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454DB" w14:textId="47609D18" w:rsidR="00C245C4" w:rsidRDefault="00F30A10" w:rsidP="00F30A10">
      <w:pPr>
        <w:pStyle w:val="Pagedecouverture"/>
        <w:rPr>
          <w:noProof/>
        </w:rPr>
      </w:pPr>
      <w:bookmarkStart w:id="0" w:name="LW_BM_COVERPAGE"/>
      <w:r>
        <w:rPr>
          <w:noProof/>
        </w:rPr>
        <w:pict w14:anchorId="68360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2A2254DD-4FC6-4C46-B73C-357982CCA305" style="width:455.25pt;height:522.75pt">
            <v:imagedata r:id="rId11" o:title=""/>
          </v:shape>
        </w:pict>
      </w:r>
    </w:p>
    <w:bookmarkEnd w:id="0"/>
    <w:p w14:paraId="3E0E8C1F" w14:textId="77777777" w:rsidR="00C245C4" w:rsidRDefault="00C245C4" w:rsidP="00C245C4">
      <w:pPr>
        <w:rPr>
          <w:noProof/>
        </w:rPr>
        <w:sectPr w:rsidR="00C245C4" w:rsidSect="00F30A10">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21264114" w14:textId="2CA18B17" w:rsidR="007F43F7" w:rsidRPr="00532C20" w:rsidRDefault="007F43F7" w:rsidP="00532C20">
      <w:pPr>
        <w:tabs>
          <w:tab w:val="left" w:pos="8505"/>
        </w:tabs>
        <w:spacing w:line="240" w:lineRule="auto"/>
        <w:ind w:right="521"/>
        <w:jc w:val="center"/>
        <w:rPr>
          <w:rFonts w:ascii="Times New Roman" w:hAnsi="Times New Roman" w:cs="Times New Roman"/>
          <w:bCs/>
          <w:noProof/>
        </w:rPr>
      </w:pPr>
      <w:bookmarkStart w:id="1" w:name="_GoBack"/>
      <w:bookmarkEnd w:id="1"/>
      <w:r w:rsidRPr="00532C20">
        <w:rPr>
          <w:rFonts w:ascii="Times New Roman" w:hAnsi="Times New Roman" w:cs="Times New Roman"/>
          <w:b/>
          <w:bCs/>
          <w:noProof/>
          <w:sz w:val="32"/>
          <w:szCs w:val="32"/>
        </w:rPr>
        <w:lastRenderedPageBreak/>
        <w:t>Table of content</w:t>
      </w:r>
    </w:p>
    <w:p w14:paraId="3C7AAAB1" w14:textId="77777777" w:rsidR="00953A8E" w:rsidRPr="00532C20" w:rsidRDefault="00953A8E"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r w:rsidRPr="00532C20">
        <w:rPr>
          <w:rFonts w:ascii="Times New Roman" w:eastAsia="Times New Roman" w:hAnsi="Times New Roman" w:cs="Times New Roman"/>
          <w:b/>
          <w:noProof/>
          <w:sz w:val="24"/>
          <w:szCs w:val="24"/>
          <w:lang w:val="en-IE"/>
        </w:rPr>
        <w:fldChar w:fldCharType="begin"/>
      </w:r>
      <w:r w:rsidRPr="00532C20">
        <w:rPr>
          <w:rFonts w:ascii="Times New Roman" w:eastAsia="Times New Roman" w:hAnsi="Times New Roman" w:cs="Times New Roman"/>
          <w:b/>
          <w:noProof/>
          <w:sz w:val="24"/>
          <w:szCs w:val="24"/>
          <w:lang w:val="en-IE"/>
        </w:rPr>
        <w:instrText xml:space="preserve"> TOC \o "1-4" \h \z \u </w:instrText>
      </w:r>
      <w:r w:rsidRPr="00532C20">
        <w:rPr>
          <w:rFonts w:ascii="Times New Roman" w:eastAsia="Times New Roman" w:hAnsi="Times New Roman" w:cs="Times New Roman"/>
          <w:b/>
          <w:noProof/>
          <w:sz w:val="24"/>
          <w:szCs w:val="24"/>
          <w:lang w:val="en-IE"/>
        </w:rPr>
        <w:fldChar w:fldCharType="separate"/>
      </w:r>
      <w:hyperlink w:anchor="_Toc151564781" w:history="1">
        <w:r w:rsidRPr="00532C20">
          <w:rPr>
            <w:rStyle w:val="Hyperlink"/>
            <w:rFonts w:ascii="Times New Roman" w:hAnsi="Times New Roman" w:cs="Times New Roman"/>
            <w:bCs/>
            <w:noProof/>
          </w:rPr>
          <w:t>1.</w:t>
        </w:r>
        <w:r w:rsidRPr="00532C20">
          <w:rPr>
            <w:rFonts w:ascii="Times New Roman" w:eastAsiaTheme="minorEastAsia" w:hAnsi="Times New Roman" w:cs="Times New Roman"/>
            <w:caps w:val="0"/>
            <w:noProof/>
            <w:szCs w:val="22"/>
            <w:lang w:val="en-IE" w:eastAsia="en-IE"/>
          </w:rPr>
          <w:tab/>
        </w:r>
        <w:r w:rsidRPr="00532C20">
          <w:rPr>
            <w:rStyle w:val="Hyperlink"/>
            <w:rFonts w:ascii="Times New Roman" w:hAnsi="Times New Roman" w:cs="Times New Roman"/>
            <w:noProof/>
          </w:rPr>
          <w:t>Introduction: Political and legal context</w:t>
        </w:r>
        <w:r w:rsidRPr="00532C20">
          <w:rPr>
            <w:rFonts w:ascii="Times New Roman" w:hAnsi="Times New Roman" w:cs="Times New Roman"/>
            <w:noProof/>
            <w:webHidden/>
          </w:rPr>
          <w:tab/>
        </w:r>
        <w:r w:rsidRPr="00532C20">
          <w:rPr>
            <w:rFonts w:ascii="Times New Roman" w:hAnsi="Times New Roman" w:cs="Times New Roman"/>
            <w:noProof/>
            <w:webHidden/>
          </w:rPr>
          <w:fldChar w:fldCharType="begin"/>
        </w:r>
        <w:r w:rsidRPr="00532C20">
          <w:rPr>
            <w:rFonts w:ascii="Times New Roman" w:hAnsi="Times New Roman" w:cs="Times New Roman"/>
            <w:noProof/>
            <w:webHidden/>
          </w:rPr>
          <w:instrText xml:space="preserve"> PAGEREF _Toc151564781 \h </w:instrText>
        </w:r>
        <w:r w:rsidRPr="00532C20">
          <w:rPr>
            <w:rFonts w:ascii="Times New Roman" w:hAnsi="Times New Roman" w:cs="Times New Roman"/>
            <w:noProof/>
            <w:webHidden/>
          </w:rPr>
        </w:r>
        <w:r w:rsidRPr="00532C20">
          <w:rPr>
            <w:rFonts w:ascii="Times New Roman" w:hAnsi="Times New Roman" w:cs="Times New Roman"/>
            <w:noProof/>
            <w:webHidden/>
          </w:rPr>
          <w:fldChar w:fldCharType="separate"/>
        </w:r>
        <w:r>
          <w:rPr>
            <w:rFonts w:ascii="Times New Roman" w:hAnsi="Times New Roman" w:cs="Times New Roman"/>
            <w:noProof/>
            <w:webHidden/>
          </w:rPr>
          <w:t>5</w:t>
        </w:r>
        <w:r w:rsidRPr="00532C20">
          <w:rPr>
            <w:rFonts w:ascii="Times New Roman" w:hAnsi="Times New Roman" w:cs="Times New Roman"/>
            <w:noProof/>
            <w:webHidden/>
          </w:rPr>
          <w:fldChar w:fldCharType="end"/>
        </w:r>
      </w:hyperlink>
    </w:p>
    <w:p w14:paraId="48F329DB"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782" w:history="1">
        <w:r w:rsidR="00953A8E" w:rsidRPr="00532C20">
          <w:rPr>
            <w:rStyle w:val="Hyperlink"/>
            <w:rFonts w:ascii="Times New Roman" w:eastAsia="Times New Roman" w:hAnsi="Times New Roman" w:cs="Times New Roman"/>
            <w:bCs/>
            <w:noProof/>
          </w:rPr>
          <w:t>2.</w:t>
        </w:r>
        <w:r w:rsidR="00953A8E" w:rsidRPr="00532C20">
          <w:rPr>
            <w:rFonts w:ascii="Times New Roman" w:eastAsiaTheme="minorEastAsia" w:hAnsi="Times New Roman" w:cs="Times New Roman"/>
            <w:caps w:val="0"/>
            <w:noProof/>
            <w:szCs w:val="22"/>
            <w:lang w:val="en-IE" w:eastAsia="en-IE"/>
          </w:rPr>
          <w:tab/>
        </w:r>
        <w:r w:rsidR="00953A8E" w:rsidRPr="00532C20">
          <w:rPr>
            <w:rStyle w:val="Hyperlink"/>
            <w:rFonts w:ascii="Times New Roman" w:hAnsi="Times New Roman" w:cs="Times New Roman"/>
            <w:noProof/>
          </w:rPr>
          <w:t>What is the problem and why it is a problem?</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_Toc151564782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9</w:t>
        </w:r>
        <w:r w:rsidR="00953A8E" w:rsidRPr="00532C20">
          <w:rPr>
            <w:rFonts w:ascii="Times New Roman" w:hAnsi="Times New Roman" w:cs="Times New Roman"/>
            <w:noProof/>
            <w:webHidden/>
          </w:rPr>
          <w:fldChar w:fldCharType="end"/>
        </w:r>
      </w:hyperlink>
    </w:p>
    <w:p w14:paraId="3399A36E" w14:textId="77777777"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783" w:history="1">
        <w:r w:rsidR="00953A8E" w:rsidRPr="00532C20">
          <w:rPr>
            <w:rStyle w:val="Hyperlink"/>
            <w:rFonts w:ascii="Times New Roman" w:hAnsi="Times New Roman" w:cs="Times New Roman"/>
            <w:noProof/>
          </w:rPr>
          <w:t>2.1.</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What are the problems?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_Toc151564783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9</w:t>
        </w:r>
        <w:r w:rsidR="00953A8E" w:rsidRPr="00532C20">
          <w:rPr>
            <w:rFonts w:ascii="Times New Roman" w:hAnsi="Times New Roman" w:cs="Times New Roman"/>
            <w:noProof/>
            <w:webHidden/>
          </w:rPr>
          <w:fldChar w:fldCharType="end"/>
        </w:r>
      </w:hyperlink>
    </w:p>
    <w:p w14:paraId="281F89E1" w14:textId="77777777" w:rsidR="00953A8E" w:rsidRPr="00532C20" w:rsidRDefault="00F30A10" w:rsidP="00C76A62">
      <w:pPr>
        <w:pStyle w:val="TOC3"/>
        <w:rPr>
          <w:rFonts w:eastAsiaTheme="minorEastAsia"/>
          <w:noProof/>
          <w:szCs w:val="22"/>
          <w:lang w:val="en-IE" w:eastAsia="en-IE"/>
        </w:rPr>
      </w:pPr>
      <w:hyperlink w:anchor="_Toc151564784" w:history="1">
        <w:r w:rsidR="00953A8E" w:rsidRPr="00532C20">
          <w:rPr>
            <w:rStyle w:val="Hyperlink"/>
            <w:rFonts w:ascii="Times New Roman" w:hAnsi="Times New Roman" w:cs="Times New Roman"/>
            <w:noProof/>
          </w:rPr>
          <w:t>2.1.1.</w:t>
        </w:r>
        <w:r w:rsidR="00953A8E" w:rsidRPr="00532C20">
          <w:rPr>
            <w:rFonts w:eastAsiaTheme="minorEastAsia"/>
            <w:noProof/>
            <w:szCs w:val="22"/>
            <w:lang w:val="en-IE" w:eastAsia="en-IE"/>
          </w:rPr>
          <w:tab/>
        </w:r>
        <w:r w:rsidR="00953A8E" w:rsidRPr="00532C20">
          <w:rPr>
            <w:rStyle w:val="Hyperlink"/>
            <w:rFonts w:ascii="Times New Roman" w:hAnsi="Times New Roman" w:cs="Times New Roman"/>
            <w:noProof/>
          </w:rPr>
          <w:t>Obstacles to the internal market for interest representation activities carried out on behalf of third countries.</w:t>
        </w:r>
        <w:r w:rsidR="00953A8E" w:rsidRPr="00532C20">
          <w:rPr>
            <w:noProof/>
            <w:webHidden/>
          </w:rPr>
          <w:tab/>
        </w:r>
        <w:r w:rsidR="00953A8E" w:rsidRPr="00532C20">
          <w:rPr>
            <w:noProof/>
            <w:webHidden/>
          </w:rPr>
          <w:fldChar w:fldCharType="begin"/>
        </w:r>
        <w:r w:rsidR="00953A8E" w:rsidRPr="00532C20">
          <w:rPr>
            <w:noProof/>
            <w:webHidden/>
          </w:rPr>
          <w:instrText xml:space="preserve"> PAGEREF _Toc151564784 \h </w:instrText>
        </w:r>
        <w:r w:rsidR="00953A8E" w:rsidRPr="00532C20">
          <w:rPr>
            <w:noProof/>
            <w:webHidden/>
          </w:rPr>
        </w:r>
        <w:r w:rsidR="00953A8E" w:rsidRPr="00532C20">
          <w:rPr>
            <w:noProof/>
            <w:webHidden/>
          </w:rPr>
          <w:fldChar w:fldCharType="separate"/>
        </w:r>
        <w:r w:rsidR="00953A8E">
          <w:rPr>
            <w:noProof/>
            <w:webHidden/>
          </w:rPr>
          <w:t>9</w:t>
        </w:r>
        <w:r w:rsidR="00953A8E" w:rsidRPr="00532C20">
          <w:rPr>
            <w:noProof/>
            <w:webHidden/>
          </w:rPr>
          <w:fldChar w:fldCharType="end"/>
        </w:r>
      </w:hyperlink>
    </w:p>
    <w:p w14:paraId="5CF94B30" w14:textId="77777777" w:rsidR="00953A8E" w:rsidRPr="00532C20" w:rsidRDefault="00F30A10" w:rsidP="00C76A62">
      <w:pPr>
        <w:pStyle w:val="TOC3"/>
        <w:rPr>
          <w:rFonts w:eastAsiaTheme="minorEastAsia"/>
          <w:noProof/>
          <w:szCs w:val="22"/>
          <w:lang w:val="en-IE" w:eastAsia="en-IE"/>
        </w:rPr>
      </w:pPr>
      <w:hyperlink w:anchor="_Toc151564785" w:history="1">
        <w:r w:rsidR="00953A8E" w:rsidRPr="00532C20">
          <w:rPr>
            <w:rStyle w:val="Hyperlink"/>
            <w:rFonts w:ascii="Times New Roman" w:hAnsi="Times New Roman" w:cs="Times New Roman"/>
            <w:noProof/>
          </w:rPr>
          <w:t>2.1.2.</w:t>
        </w:r>
        <w:r w:rsidR="00953A8E" w:rsidRPr="00532C20">
          <w:rPr>
            <w:rFonts w:eastAsiaTheme="minorEastAsia"/>
            <w:noProof/>
            <w:szCs w:val="22"/>
            <w:lang w:val="en-IE" w:eastAsia="en-IE"/>
          </w:rPr>
          <w:tab/>
        </w:r>
        <w:r w:rsidR="00953A8E" w:rsidRPr="00532C20">
          <w:rPr>
            <w:rStyle w:val="Hyperlink"/>
            <w:rFonts w:ascii="Times New Roman" w:hAnsi="Times New Roman" w:cs="Times New Roman"/>
            <w:noProof/>
          </w:rPr>
          <w:t>Unknown magnitude, trends and actors of interest representation activities carried out on behalf of third countries.</w:t>
        </w:r>
        <w:r w:rsidR="00953A8E" w:rsidRPr="00532C20">
          <w:rPr>
            <w:noProof/>
            <w:webHidden/>
          </w:rPr>
          <w:tab/>
        </w:r>
        <w:r w:rsidR="00953A8E" w:rsidRPr="00532C20">
          <w:rPr>
            <w:noProof/>
            <w:webHidden/>
          </w:rPr>
          <w:fldChar w:fldCharType="begin"/>
        </w:r>
        <w:r w:rsidR="00953A8E" w:rsidRPr="00532C20">
          <w:rPr>
            <w:noProof/>
            <w:webHidden/>
          </w:rPr>
          <w:instrText xml:space="preserve"> PAGEREF _Toc151564785 \h </w:instrText>
        </w:r>
        <w:r w:rsidR="00953A8E" w:rsidRPr="00532C20">
          <w:rPr>
            <w:noProof/>
            <w:webHidden/>
          </w:rPr>
        </w:r>
        <w:r w:rsidR="00953A8E" w:rsidRPr="00532C20">
          <w:rPr>
            <w:noProof/>
            <w:webHidden/>
          </w:rPr>
          <w:fldChar w:fldCharType="separate"/>
        </w:r>
        <w:r w:rsidR="00953A8E">
          <w:rPr>
            <w:noProof/>
            <w:webHidden/>
          </w:rPr>
          <w:t>12</w:t>
        </w:r>
        <w:r w:rsidR="00953A8E" w:rsidRPr="00532C20">
          <w:rPr>
            <w:noProof/>
            <w:webHidden/>
          </w:rPr>
          <w:fldChar w:fldCharType="end"/>
        </w:r>
      </w:hyperlink>
    </w:p>
    <w:p w14:paraId="62C65118" w14:textId="77777777"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786" w:history="1">
        <w:r w:rsidR="00953A8E" w:rsidRPr="00532C20">
          <w:rPr>
            <w:rStyle w:val="Hyperlink"/>
            <w:rFonts w:ascii="Times New Roman" w:hAnsi="Times New Roman" w:cs="Times New Roman"/>
            <w:noProof/>
          </w:rPr>
          <w:t>2.2.</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Magnitude of the problems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_Toc151564786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15</w:t>
        </w:r>
        <w:r w:rsidR="00953A8E" w:rsidRPr="00532C20">
          <w:rPr>
            <w:rFonts w:ascii="Times New Roman" w:hAnsi="Times New Roman" w:cs="Times New Roman"/>
            <w:noProof/>
            <w:webHidden/>
          </w:rPr>
          <w:fldChar w:fldCharType="end"/>
        </w:r>
      </w:hyperlink>
    </w:p>
    <w:p w14:paraId="6D21EBB2" w14:textId="77777777"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787" w:history="1">
        <w:r w:rsidR="00953A8E" w:rsidRPr="00532C20">
          <w:rPr>
            <w:rStyle w:val="Hyperlink"/>
            <w:rFonts w:ascii="Times New Roman" w:hAnsi="Times New Roman" w:cs="Times New Roman"/>
            <w:noProof/>
          </w:rPr>
          <w:t>2.3.</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How will the problems evolve?</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_Toc151564787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16</w:t>
        </w:r>
        <w:r w:rsidR="00953A8E" w:rsidRPr="00532C20">
          <w:rPr>
            <w:rFonts w:ascii="Times New Roman" w:hAnsi="Times New Roman" w:cs="Times New Roman"/>
            <w:noProof/>
            <w:webHidden/>
          </w:rPr>
          <w:fldChar w:fldCharType="end"/>
        </w:r>
      </w:hyperlink>
    </w:p>
    <w:p w14:paraId="495BEDAC"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788" w:history="1">
        <w:r w:rsidR="00953A8E" w:rsidRPr="00532C20">
          <w:rPr>
            <w:rStyle w:val="Hyperlink"/>
            <w:rFonts w:ascii="Times New Roman" w:hAnsi="Times New Roman" w:cs="Times New Roman"/>
            <w:bCs/>
            <w:noProof/>
          </w:rPr>
          <w:t>3.</w:t>
        </w:r>
        <w:r w:rsidR="00953A8E" w:rsidRPr="00532C20">
          <w:rPr>
            <w:rFonts w:ascii="Times New Roman" w:eastAsiaTheme="minorEastAsia" w:hAnsi="Times New Roman" w:cs="Times New Roman"/>
            <w:caps w:val="0"/>
            <w:noProof/>
            <w:szCs w:val="22"/>
            <w:lang w:val="en-IE" w:eastAsia="en-IE"/>
          </w:rPr>
          <w:tab/>
        </w:r>
        <w:r w:rsidR="00953A8E" w:rsidRPr="00532C20">
          <w:rPr>
            <w:rStyle w:val="Hyperlink"/>
            <w:rFonts w:ascii="Times New Roman" w:hAnsi="Times New Roman" w:cs="Times New Roman"/>
            <w:noProof/>
          </w:rPr>
          <w:t>Why should the EU act?</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_Toc151564788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17</w:t>
        </w:r>
        <w:r w:rsidR="00953A8E" w:rsidRPr="00532C20">
          <w:rPr>
            <w:rFonts w:ascii="Times New Roman" w:hAnsi="Times New Roman" w:cs="Times New Roman"/>
            <w:noProof/>
            <w:webHidden/>
          </w:rPr>
          <w:fldChar w:fldCharType="end"/>
        </w:r>
      </w:hyperlink>
    </w:p>
    <w:p w14:paraId="66B9A970" w14:textId="77777777"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789" w:history="1">
        <w:r w:rsidR="00953A8E" w:rsidRPr="00532C20">
          <w:rPr>
            <w:rStyle w:val="Hyperlink"/>
            <w:rFonts w:ascii="Times New Roman" w:hAnsi="Times New Roman" w:cs="Times New Roman"/>
            <w:noProof/>
          </w:rPr>
          <w:t>3.1.</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Legal basis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_Toc151564789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17</w:t>
        </w:r>
        <w:r w:rsidR="00953A8E" w:rsidRPr="00532C20">
          <w:rPr>
            <w:rFonts w:ascii="Times New Roman" w:hAnsi="Times New Roman" w:cs="Times New Roman"/>
            <w:noProof/>
            <w:webHidden/>
          </w:rPr>
          <w:fldChar w:fldCharType="end"/>
        </w:r>
      </w:hyperlink>
    </w:p>
    <w:p w14:paraId="7BA6123D" w14:textId="77777777"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790" w:history="1">
        <w:r w:rsidR="00953A8E" w:rsidRPr="00532C20">
          <w:rPr>
            <w:rStyle w:val="Hyperlink"/>
            <w:rFonts w:ascii="Times New Roman" w:hAnsi="Times New Roman" w:cs="Times New Roman"/>
            <w:noProof/>
          </w:rPr>
          <w:t>3.2.</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Subsidiarity: Necessity and added value of the EU action</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_Toc151564790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19</w:t>
        </w:r>
        <w:r w:rsidR="00953A8E" w:rsidRPr="00532C20">
          <w:rPr>
            <w:rFonts w:ascii="Times New Roman" w:hAnsi="Times New Roman" w:cs="Times New Roman"/>
            <w:noProof/>
            <w:webHidden/>
          </w:rPr>
          <w:fldChar w:fldCharType="end"/>
        </w:r>
      </w:hyperlink>
    </w:p>
    <w:p w14:paraId="2D16A539"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791" w:history="1">
        <w:r w:rsidR="00953A8E" w:rsidRPr="00532C20">
          <w:rPr>
            <w:rStyle w:val="Hyperlink"/>
            <w:rFonts w:ascii="Times New Roman" w:hAnsi="Times New Roman" w:cs="Times New Roman"/>
            <w:bCs/>
            <w:noProof/>
          </w:rPr>
          <w:t>4.</w:t>
        </w:r>
        <w:r w:rsidR="00953A8E" w:rsidRPr="00532C20">
          <w:rPr>
            <w:rFonts w:ascii="Times New Roman" w:eastAsiaTheme="minorEastAsia" w:hAnsi="Times New Roman" w:cs="Times New Roman"/>
            <w:caps w:val="0"/>
            <w:noProof/>
            <w:szCs w:val="22"/>
            <w:lang w:val="en-IE" w:eastAsia="en-IE"/>
          </w:rPr>
          <w:tab/>
        </w:r>
        <w:r w:rsidR="00953A8E" w:rsidRPr="00532C20">
          <w:rPr>
            <w:rStyle w:val="Hyperlink"/>
            <w:rFonts w:ascii="Times New Roman" w:hAnsi="Times New Roman" w:cs="Times New Roman"/>
            <w:noProof/>
          </w:rPr>
          <w:t>Objectives: What is to be achieved?</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_Toc151564791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21</w:t>
        </w:r>
        <w:r w:rsidR="00953A8E" w:rsidRPr="00532C20">
          <w:rPr>
            <w:rFonts w:ascii="Times New Roman" w:hAnsi="Times New Roman" w:cs="Times New Roman"/>
            <w:noProof/>
            <w:webHidden/>
          </w:rPr>
          <w:fldChar w:fldCharType="end"/>
        </w:r>
      </w:hyperlink>
    </w:p>
    <w:p w14:paraId="58CD474F" w14:textId="77777777"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792" w:history="1">
        <w:r w:rsidR="00953A8E" w:rsidRPr="00532C20">
          <w:rPr>
            <w:rStyle w:val="Hyperlink"/>
            <w:rFonts w:ascii="Times New Roman" w:hAnsi="Times New Roman" w:cs="Times New Roman"/>
            <w:noProof/>
          </w:rPr>
          <w:t>4.1.</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General objectives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_Toc151564792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21</w:t>
        </w:r>
        <w:r w:rsidR="00953A8E" w:rsidRPr="00532C20">
          <w:rPr>
            <w:rFonts w:ascii="Times New Roman" w:hAnsi="Times New Roman" w:cs="Times New Roman"/>
            <w:noProof/>
            <w:webHidden/>
          </w:rPr>
          <w:fldChar w:fldCharType="end"/>
        </w:r>
      </w:hyperlink>
    </w:p>
    <w:p w14:paraId="5635861A" w14:textId="77777777"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793" w:history="1">
        <w:r w:rsidR="00953A8E" w:rsidRPr="00532C20">
          <w:rPr>
            <w:rStyle w:val="Hyperlink"/>
            <w:rFonts w:ascii="Times New Roman" w:hAnsi="Times New Roman" w:cs="Times New Roman"/>
            <w:noProof/>
          </w:rPr>
          <w:t>4.2.</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Specific objectives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_Toc151564793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21</w:t>
        </w:r>
        <w:r w:rsidR="00953A8E" w:rsidRPr="00532C20">
          <w:rPr>
            <w:rFonts w:ascii="Times New Roman" w:hAnsi="Times New Roman" w:cs="Times New Roman"/>
            <w:noProof/>
            <w:webHidden/>
          </w:rPr>
          <w:fldChar w:fldCharType="end"/>
        </w:r>
      </w:hyperlink>
    </w:p>
    <w:p w14:paraId="5E667C91"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794" w:history="1">
        <w:r w:rsidR="00953A8E" w:rsidRPr="00532C20">
          <w:rPr>
            <w:rStyle w:val="Hyperlink"/>
            <w:rFonts w:ascii="Times New Roman" w:hAnsi="Times New Roman" w:cs="Times New Roman"/>
            <w:bCs/>
            <w:noProof/>
          </w:rPr>
          <w:t>5.</w:t>
        </w:r>
        <w:r w:rsidR="00953A8E" w:rsidRPr="00532C20">
          <w:rPr>
            <w:rFonts w:ascii="Times New Roman" w:eastAsiaTheme="minorEastAsia" w:hAnsi="Times New Roman" w:cs="Times New Roman"/>
            <w:caps w:val="0"/>
            <w:noProof/>
            <w:szCs w:val="22"/>
            <w:lang w:val="en-IE" w:eastAsia="en-IE"/>
          </w:rPr>
          <w:tab/>
        </w:r>
        <w:r w:rsidR="00953A8E" w:rsidRPr="00532C20">
          <w:rPr>
            <w:rStyle w:val="Hyperlink"/>
            <w:rFonts w:ascii="Times New Roman" w:hAnsi="Times New Roman" w:cs="Times New Roman"/>
            <w:noProof/>
          </w:rPr>
          <w:t>What are the available policy options?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_Toc151564794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21</w:t>
        </w:r>
        <w:r w:rsidR="00953A8E" w:rsidRPr="00532C20">
          <w:rPr>
            <w:rFonts w:ascii="Times New Roman" w:hAnsi="Times New Roman" w:cs="Times New Roman"/>
            <w:noProof/>
            <w:webHidden/>
          </w:rPr>
          <w:fldChar w:fldCharType="end"/>
        </w:r>
      </w:hyperlink>
    </w:p>
    <w:p w14:paraId="1CC5C0D0" w14:textId="77777777"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795" w:history="1">
        <w:r w:rsidR="00953A8E" w:rsidRPr="00532C20">
          <w:rPr>
            <w:rStyle w:val="Hyperlink"/>
            <w:rFonts w:ascii="Times New Roman" w:hAnsi="Times New Roman" w:cs="Times New Roman"/>
            <w:noProof/>
          </w:rPr>
          <w:t>5.1.</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What is the baseline from which policy options are assessed?</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_Toc151564795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21</w:t>
        </w:r>
        <w:r w:rsidR="00953A8E" w:rsidRPr="00532C20">
          <w:rPr>
            <w:rFonts w:ascii="Times New Roman" w:hAnsi="Times New Roman" w:cs="Times New Roman"/>
            <w:noProof/>
            <w:webHidden/>
          </w:rPr>
          <w:fldChar w:fldCharType="end"/>
        </w:r>
      </w:hyperlink>
    </w:p>
    <w:p w14:paraId="6982A1E2" w14:textId="3446A870"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796" w:history="1">
        <w:r w:rsidR="00953A8E" w:rsidRPr="00532C20">
          <w:rPr>
            <w:rStyle w:val="Hyperlink"/>
            <w:rFonts w:ascii="Times New Roman" w:hAnsi="Times New Roman" w:cs="Times New Roman"/>
            <w:noProof/>
          </w:rPr>
          <w:t>5.2.</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Scope of the policy intervention</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_Toc151564796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2</w:t>
        </w:r>
        <w:r w:rsidR="00C76A62">
          <w:rPr>
            <w:rFonts w:ascii="Times New Roman" w:hAnsi="Times New Roman" w:cs="Times New Roman"/>
            <w:noProof/>
            <w:webHidden/>
          </w:rPr>
          <w:t>2</w:t>
        </w:r>
        <w:r w:rsidR="00953A8E" w:rsidRPr="00532C20">
          <w:rPr>
            <w:rFonts w:ascii="Times New Roman" w:hAnsi="Times New Roman" w:cs="Times New Roman"/>
            <w:noProof/>
            <w:webHidden/>
          </w:rPr>
          <w:fldChar w:fldCharType="end"/>
        </w:r>
      </w:hyperlink>
    </w:p>
    <w:p w14:paraId="53894F64" w14:textId="66ACB188" w:rsidR="00953A8E" w:rsidRPr="00532C20" w:rsidRDefault="00F30A10" w:rsidP="00C76A62">
      <w:pPr>
        <w:pStyle w:val="TOC3"/>
        <w:rPr>
          <w:rFonts w:eastAsiaTheme="minorEastAsia"/>
          <w:noProof/>
          <w:szCs w:val="22"/>
          <w:lang w:val="en-IE" w:eastAsia="en-IE"/>
        </w:rPr>
      </w:pPr>
      <w:hyperlink w:anchor="_Toc151564797" w:history="1">
        <w:r w:rsidR="00953A8E" w:rsidRPr="00532C20">
          <w:rPr>
            <w:rStyle w:val="Hyperlink"/>
            <w:rFonts w:ascii="Times New Roman" w:hAnsi="Times New Roman" w:cs="Times New Roman"/>
            <w:noProof/>
          </w:rPr>
          <w:t>5.2.1.</w:t>
        </w:r>
        <w:r w:rsidR="00953A8E" w:rsidRPr="00532C20">
          <w:rPr>
            <w:rFonts w:eastAsiaTheme="minorEastAsia"/>
            <w:noProof/>
            <w:szCs w:val="22"/>
            <w:lang w:val="en-IE" w:eastAsia="en-IE"/>
          </w:rPr>
          <w:tab/>
        </w:r>
        <w:r w:rsidR="00953A8E" w:rsidRPr="00532C20">
          <w:rPr>
            <w:rStyle w:val="Hyperlink"/>
            <w:rFonts w:ascii="Times New Roman" w:hAnsi="Times New Roman" w:cs="Times New Roman"/>
            <w:noProof/>
          </w:rPr>
          <w:t>Option A</w:t>
        </w:r>
        <w:r w:rsidR="00953A8E" w:rsidRPr="00532C20">
          <w:rPr>
            <w:noProof/>
            <w:webHidden/>
          </w:rPr>
          <w:tab/>
        </w:r>
        <w:r w:rsidR="00953A8E" w:rsidRPr="00532C20">
          <w:rPr>
            <w:noProof/>
            <w:webHidden/>
          </w:rPr>
          <w:fldChar w:fldCharType="begin"/>
        </w:r>
        <w:r w:rsidR="00953A8E" w:rsidRPr="00532C20">
          <w:rPr>
            <w:noProof/>
            <w:webHidden/>
          </w:rPr>
          <w:instrText xml:space="preserve"> PAGEREF _Toc151564797 \h </w:instrText>
        </w:r>
        <w:r w:rsidR="00953A8E" w:rsidRPr="00532C20">
          <w:rPr>
            <w:noProof/>
            <w:webHidden/>
          </w:rPr>
        </w:r>
        <w:r w:rsidR="00953A8E" w:rsidRPr="00532C20">
          <w:rPr>
            <w:noProof/>
            <w:webHidden/>
          </w:rPr>
          <w:fldChar w:fldCharType="separate"/>
        </w:r>
        <w:r w:rsidR="00953A8E">
          <w:rPr>
            <w:noProof/>
            <w:webHidden/>
          </w:rPr>
          <w:t>2</w:t>
        </w:r>
        <w:r w:rsidR="00953A8E" w:rsidRPr="00532C20">
          <w:rPr>
            <w:noProof/>
            <w:webHidden/>
          </w:rPr>
          <w:fldChar w:fldCharType="end"/>
        </w:r>
      </w:hyperlink>
      <w:r w:rsidR="00C76A62">
        <w:rPr>
          <w:noProof/>
        </w:rPr>
        <w:t>3</w:t>
      </w:r>
    </w:p>
    <w:p w14:paraId="55B78592" w14:textId="77777777" w:rsidR="00953A8E" w:rsidRPr="00532C20" w:rsidRDefault="00F30A10" w:rsidP="00C76A62">
      <w:pPr>
        <w:pStyle w:val="TOC3"/>
        <w:rPr>
          <w:rFonts w:eastAsiaTheme="minorEastAsia"/>
          <w:noProof/>
          <w:szCs w:val="22"/>
          <w:lang w:val="en-IE" w:eastAsia="en-IE"/>
        </w:rPr>
      </w:pPr>
      <w:hyperlink w:anchor="_Toc151564798" w:history="1">
        <w:r w:rsidR="00953A8E" w:rsidRPr="00532C20">
          <w:rPr>
            <w:rStyle w:val="Hyperlink"/>
            <w:rFonts w:ascii="Times New Roman" w:hAnsi="Times New Roman" w:cs="Times New Roman"/>
            <w:noProof/>
          </w:rPr>
          <w:t>5.2.2.</w:t>
        </w:r>
        <w:r w:rsidR="00953A8E" w:rsidRPr="00532C20">
          <w:rPr>
            <w:rFonts w:eastAsiaTheme="minorEastAsia"/>
            <w:noProof/>
            <w:szCs w:val="22"/>
            <w:lang w:val="en-IE" w:eastAsia="en-IE"/>
          </w:rPr>
          <w:tab/>
        </w:r>
        <w:r w:rsidR="00953A8E" w:rsidRPr="00532C20">
          <w:rPr>
            <w:rStyle w:val="Hyperlink"/>
            <w:rFonts w:ascii="Times New Roman" w:hAnsi="Times New Roman" w:cs="Times New Roman"/>
            <w:noProof/>
          </w:rPr>
          <w:t>Option B</w:t>
        </w:r>
        <w:r w:rsidR="00953A8E" w:rsidRPr="00532C20">
          <w:rPr>
            <w:noProof/>
            <w:webHidden/>
          </w:rPr>
          <w:tab/>
        </w:r>
        <w:r w:rsidR="00953A8E" w:rsidRPr="00532C20">
          <w:rPr>
            <w:noProof/>
            <w:webHidden/>
          </w:rPr>
          <w:fldChar w:fldCharType="begin"/>
        </w:r>
        <w:r w:rsidR="00953A8E" w:rsidRPr="00532C20">
          <w:rPr>
            <w:noProof/>
            <w:webHidden/>
          </w:rPr>
          <w:instrText xml:space="preserve"> PAGEREF _Toc151564798 \h </w:instrText>
        </w:r>
        <w:r w:rsidR="00953A8E" w:rsidRPr="00532C20">
          <w:rPr>
            <w:noProof/>
            <w:webHidden/>
          </w:rPr>
        </w:r>
        <w:r w:rsidR="00953A8E" w:rsidRPr="00532C20">
          <w:rPr>
            <w:noProof/>
            <w:webHidden/>
          </w:rPr>
          <w:fldChar w:fldCharType="separate"/>
        </w:r>
        <w:r w:rsidR="00953A8E">
          <w:rPr>
            <w:noProof/>
            <w:webHidden/>
          </w:rPr>
          <w:t>24</w:t>
        </w:r>
        <w:r w:rsidR="00953A8E" w:rsidRPr="00532C20">
          <w:rPr>
            <w:noProof/>
            <w:webHidden/>
          </w:rPr>
          <w:fldChar w:fldCharType="end"/>
        </w:r>
      </w:hyperlink>
    </w:p>
    <w:p w14:paraId="7C8C0E7F" w14:textId="77777777" w:rsidR="00953A8E" w:rsidRPr="00532C20" w:rsidRDefault="00F30A10" w:rsidP="00C76A62">
      <w:pPr>
        <w:pStyle w:val="TOC3"/>
        <w:rPr>
          <w:rFonts w:eastAsiaTheme="minorEastAsia"/>
          <w:noProof/>
          <w:szCs w:val="22"/>
          <w:lang w:val="en-IE" w:eastAsia="en-IE"/>
        </w:rPr>
      </w:pPr>
      <w:hyperlink w:anchor="_Toc151564799" w:history="1">
        <w:r w:rsidR="00953A8E" w:rsidRPr="00532C20">
          <w:rPr>
            <w:rStyle w:val="Hyperlink"/>
            <w:rFonts w:ascii="Times New Roman" w:hAnsi="Times New Roman" w:cs="Times New Roman"/>
            <w:noProof/>
          </w:rPr>
          <w:t>5.2.3.</w:t>
        </w:r>
        <w:r w:rsidR="00953A8E" w:rsidRPr="00532C20">
          <w:rPr>
            <w:rFonts w:eastAsiaTheme="minorEastAsia"/>
            <w:noProof/>
            <w:szCs w:val="22"/>
            <w:lang w:val="en-IE" w:eastAsia="en-IE"/>
          </w:rPr>
          <w:tab/>
        </w:r>
        <w:r w:rsidR="00953A8E" w:rsidRPr="00532C20">
          <w:rPr>
            <w:rStyle w:val="Hyperlink"/>
            <w:rFonts w:ascii="Times New Roman" w:hAnsi="Times New Roman" w:cs="Times New Roman"/>
            <w:noProof/>
          </w:rPr>
          <w:t>Option C</w:t>
        </w:r>
        <w:r w:rsidR="00953A8E" w:rsidRPr="00532C20">
          <w:rPr>
            <w:noProof/>
            <w:webHidden/>
          </w:rPr>
          <w:tab/>
        </w:r>
        <w:r w:rsidR="00953A8E" w:rsidRPr="00532C20">
          <w:rPr>
            <w:noProof/>
            <w:webHidden/>
          </w:rPr>
          <w:fldChar w:fldCharType="begin"/>
        </w:r>
        <w:r w:rsidR="00953A8E" w:rsidRPr="00532C20">
          <w:rPr>
            <w:noProof/>
            <w:webHidden/>
          </w:rPr>
          <w:instrText xml:space="preserve"> PAGEREF _Toc151564799 \h </w:instrText>
        </w:r>
        <w:r w:rsidR="00953A8E" w:rsidRPr="00532C20">
          <w:rPr>
            <w:noProof/>
            <w:webHidden/>
          </w:rPr>
        </w:r>
        <w:r w:rsidR="00953A8E" w:rsidRPr="00532C20">
          <w:rPr>
            <w:noProof/>
            <w:webHidden/>
          </w:rPr>
          <w:fldChar w:fldCharType="separate"/>
        </w:r>
        <w:r w:rsidR="00953A8E">
          <w:rPr>
            <w:noProof/>
            <w:webHidden/>
          </w:rPr>
          <w:t>24</w:t>
        </w:r>
        <w:r w:rsidR="00953A8E" w:rsidRPr="00532C20">
          <w:rPr>
            <w:noProof/>
            <w:webHidden/>
          </w:rPr>
          <w:fldChar w:fldCharType="end"/>
        </w:r>
      </w:hyperlink>
    </w:p>
    <w:p w14:paraId="241523E3" w14:textId="77777777" w:rsidR="00953A8E" w:rsidRPr="00532C20" w:rsidRDefault="00F30A10" w:rsidP="00C76A62">
      <w:pPr>
        <w:pStyle w:val="TOC3"/>
        <w:rPr>
          <w:rFonts w:eastAsiaTheme="minorEastAsia"/>
          <w:noProof/>
          <w:szCs w:val="22"/>
          <w:lang w:val="en-IE" w:eastAsia="en-IE"/>
        </w:rPr>
      </w:pPr>
      <w:hyperlink w:anchor="_Toc151564800" w:history="1">
        <w:r w:rsidR="00953A8E" w:rsidRPr="00532C20">
          <w:rPr>
            <w:rStyle w:val="Hyperlink"/>
            <w:rFonts w:ascii="Times New Roman" w:hAnsi="Times New Roman" w:cs="Times New Roman"/>
            <w:noProof/>
          </w:rPr>
          <w:t>5.2.4.</w:t>
        </w:r>
        <w:r w:rsidR="00953A8E" w:rsidRPr="00532C20">
          <w:rPr>
            <w:rFonts w:eastAsiaTheme="minorEastAsia"/>
            <w:noProof/>
            <w:szCs w:val="22"/>
            <w:lang w:val="en-IE" w:eastAsia="en-IE"/>
          </w:rPr>
          <w:tab/>
        </w:r>
        <w:r w:rsidR="00953A8E" w:rsidRPr="00532C20">
          <w:rPr>
            <w:rStyle w:val="Hyperlink"/>
            <w:rFonts w:ascii="Times New Roman" w:hAnsi="Times New Roman" w:cs="Times New Roman"/>
            <w:noProof/>
          </w:rPr>
          <w:t>Other possible scope</w:t>
        </w:r>
        <w:r w:rsidR="00953A8E" w:rsidRPr="00532C20">
          <w:rPr>
            <w:noProof/>
            <w:webHidden/>
          </w:rPr>
          <w:tab/>
        </w:r>
        <w:r w:rsidR="00953A8E" w:rsidRPr="00532C20">
          <w:rPr>
            <w:noProof/>
            <w:webHidden/>
          </w:rPr>
          <w:fldChar w:fldCharType="begin"/>
        </w:r>
        <w:r w:rsidR="00953A8E" w:rsidRPr="00532C20">
          <w:rPr>
            <w:noProof/>
            <w:webHidden/>
          </w:rPr>
          <w:instrText xml:space="preserve"> PAGEREF _Toc151564800 \h </w:instrText>
        </w:r>
        <w:r w:rsidR="00953A8E" w:rsidRPr="00532C20">
          <w:rPr>
            <w:noProof/>
            <w:webHidden/>
          </w:rPr>
        </w:r>
        <w:r w:rsidR="00953A8E" w:rsidRPr="00532C20">
          <w:rPr>
            <w:noProof/>
            <w:webHidden/>
          </w:rPr>
          <w:fldChar w:fldCharType="separate"/>
        </w:r>
        <w:r w:rsidR="00953A8E">
          <w:rPr>
            <w:noProof/>
            <w:webHidden/>
          </w:rPr>
          <w:t>24</w:t>
        </w:r>
        <w:r w:rsidR="00953A8E" w:rsidRPr="00532C20">
          <w:rPr>
            <w:noProof/>
            <w:webHidden/>
          </w:rPr>
          <w:fldChar w:fldCharType="end"/>
        </w:r>
      </w:hyperlink>
    </w:p>
    <w:p w14:paraId="5A0E77C8"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01" w:history="1">
        <w:r w:rsidR="00953A8E" w:rsidRPr="00532C20">
          <w:rPr>
            <w:rStyle w:val="Hyperlink"/>
            <w:rFonts w:ascii="Times New Roman" w:hAnsi="Times New Roman" w:cs="Times New Roman"/>
            <w:noProof/>
          </w:rPr>
          <w:t>5.2.4.1.</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Interest representation carried out on behalf of any government or entity</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_Toc151564801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24</w:t>
        </w:r>
        <w:r w:rsidR="00953A8E" w:rsidRPr="00532C20">
          <w:rPr>
            <w:rFonts w:ascii="Times New Roman" w:hAnsi="Times New Roman" w:cs="Times New Roman"/>
            <w:noProof/>
            <w:webHidden/>
          </w:rPr>
          <w:fldChar w:fldCharType="end"/>
        </w:r>
      </w:hyperlink>
    </w:p>
    <w:p w14:paraId="781615F6"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02" w:history="1">
        <w:r w:rsidR="00953A8E" w:rsidRPr="00532C20">
          <w:rPr>
            <w:rStyle w:val="Hyperlink"/>
            <w:rFonts w:ascii="Times New Roman" w:hAnsi="Times New Roman" w:cs="Times New Roman"/>
            <w:noProof/>
          </w:rPr>
          <w:t>5.2.4.2.</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Exclusion of some entities from the scope</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_Toc151564802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25</w:t>
        </w:r>
        <w:r w:rsidR="00953A8E" w:rsidRPr="00532C20">
          <w:rPr>
            <w:rFonts w:ascii="Times New Roman" w:hAnsi="Times New Roman" w:cs="Times New Roman"/>
            <w:noProof/>
            <w:webHidden/>
          </w:rPr>
          <w:fldChar w:fldCharType="end"/>
        </w:r>
      </w:hyperlink>
    </w:p>
    <w:p w14:paraId="02556433" w14:textId="77777777"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803" w:history="1">
        <w:r w:rsidR="00953A8E" w:rsidRPr="00532C20">
          <w:rPr>
            <w:rStyle w:val="Hyperlink"/>
            <w:rFonts w:ascii="Times New Roman" w:hAnsi="Times New Roman" w:cs="Times New Roman"/>
            <w:noProof/>
          </w:rPr>
          <w:t>5.3.</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Description of the policy options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_Toc151564803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26</w:t>
        </w:r>
        <w:r w:rsidR="00953A8E" w:rsidRPr="00532C20">
          <w:rPr>
            <w:rFonts w:ascii="Times New Roman" w:hAnsi="Times New Roman" w:cs="Times New Roman"/>
            <w:noProof/>
            <w:webHidden/>
          </w:rPr>
          <w:fldChar w:fldCharType="end"/>
        </w:r>
      </w:hyperlink>
    </w:p>
    <w:p w14:paraId="20F1A650" w14:textId="77777777" w:rsidR="00953A8E" w:rsidRPr="00532C20" w:rsidRDefault="00F30A10" w:rsidP="00C76A62">
      <w:pPr>
        <w:pStyle w:val="TOC3"/>
        <w:rPr>
          <w:rFonts w:eastAsiaTheme="minorEastAsia"/>
          <w:noProof/>
          <w:szCs w:val="22"/>
          <w:lang w:val="en-IE" w:eastAsia="en-IE"/>
        </w:rPr>
      </w:pPr>
      <w:hyperlink w:anchor="_Toc151564804" w:history="1">
        <w:r w:rsidR="00953A8E" w:rsidRPr="00532C20">
          <w:rPr>
            <w:rStyle w:val="Hyperlink"/>
            <w:rFonts w:ascii="Times New Roman" w:hAnsi="Times New Roman" w:cs="Times New Roman"/>
            <w:noProof/>
          </w:rPr>
          <w:t>5.3.1.</w:t>
        </w:r>
        <w:r w:rsidR="00953A8E" w:rsidRPr="00532C20">
          <w:rPr>
            <w:rFonts w:eastAsiaTheme="minorEastAsia"/>
            <w:noProof/>
            <w:szCs w:val="22"/>
            <w:lang w:val="en-IE" w:eastAsia="en-IE"/>
          </w:rPr>
          <w:tab/>
        </w:r>
        <w:r w:rsidR="00953A8E" w:rsidRPr="00532C20">
          <w:rPr>
            <w:rStyle w:val="Hyperlink"/>
            <w:rFonts w:ascii="Times New Roman" w:hAnsi="Times New Roman" w:cs="Times New Roman"/>
            <w:noProof/>
          </w:rPr>
          <w:t>Policy Option 1: Non-legislative measures</w:t>
        </w:r>
        <w:r w:rsidR="00953A8E" w:rsidRPr="00532C20">
          <w:rPr>
            <w:noProof/>
            <w:webHidden/>
          </w:rPr>
          <w:tab/>
        </w:r>
        <w:r w:rsidR="00953A8E" w:rsidRPr="00532C20">
          <w:rPr>
            <w:noProof/>
            <w:webHidden/>
          </w:rPr>
          <w:fldChar w:fldCharType="begin"/>
        </w:r>
        <w:r w:rsidR="00953A8E" w:rsidRPr="00532C20">
          <w:rPr>
            <w:noProof/>
            <w:webHidden/>
          </w:rPr>
          <w:instrText xml:space="preserve"> PAGEREF _Toc151564804 \h </w:instrText>
        </w:r>
        <w:r w:rsidR="00953A8E" w:rsidRPr="00532C20">
          <w:rPr>
            <w:noProof/>
            <w:webHidden/>
          </w:rPr>
        </w:r>
        <w:r w:rsidR="00953A8E" w:rsidRPr="00532C20">
          <w:rPr>
            <w:noProof/>
            <w:webHidden/>
          </w:rPr>
          <w:fldChar w:fldCharType="separate"/>
        </w:r>
        <w:r w:rsidR="00953A8E">
          <w:rPr>
            <w:noProof/>
            <w:webHidden/>
          </w:rPr>
          <w:t>29</w:t>
        </w:r>
        <w:r w:rsidR="00953A8E" w:rsidRPr="00532C20">
          <w:rPr>
            <w:noProof/>
            <w:webHidden/>
          </w:rPr>
          <w:fldChar w:fldCharType="end"/>
        </w:r>
      </w:hyperlink>
    </w:p>
    <w:p w14:paraId="7185FDDD" w14:textId="77777777" w:rsidR="00953A8E" w:rsidRPr="00532C20" w:rsidRDefault="00F30A10" w:rsidP="00C76A62">
      <w:pPr>
        <w:pStyle w:val="TOC3"/>
        <w:rPr>
          <w:rFonts w:eastAsiaTheme="minorEastAsia"/>
          <w:noProof/>
          <w:szCs w:val="22"/>
          <w:lang w:val="en-IE" w:eastAsia="en-IE"/>
        </w:rPr>
      </w:pPr>
      <w:hyperlink w:anchor="_Toc151564805" w:history="1">
        <w:r w:rsidR="00953A8E" w:rsidRPr="00532C20">
          <w:rPr>
            <w:rStyle w:val="Hyperlink"/>
            <w:rFonts w:ascii="Times New Roman" w:hAnsi="Times New Roman" w:cs="Times New Roman"/>
            <w:noProof/>
          </w:rPr>
          <w:t>5.3.2.</w:t>
        </w:r>
        <w:r w:rsidR="00953A8E" w:rsidRPr="00532C20">
          <w:rPr>
            <w:rFonts w:eastAsiaTheme="minorEastAsia"/>
            <w:noProof/>
            <w:szCs w:val="22"/>
            <w:lang w:val="en-IE" w:eastAsia="en-IE"/>
          </w:rPr>
          <w:tab/>
        </w:r>
        <w:r w:rsidR="00953A8E" w:rsidRPr="00532C20">
          <w:rPr>
            <w:rStyle w:val="Hyperlink"/>
            <w:rFonts w:ascii="Times New Roman" w:hAnsi="Times New Roman" w:cs="Times New Roman"/>
            <w:noProof/>
          </w:rPr>
          <w:t>Policy Option 2: Legislative intervention</w:t>
        </w:r>
        <w:r w:rsidR="00953A8E" w:rsidRPr="00532C20">
          <w:rPr>
            <w:noProof/>
            <w:webHidden/>
          </w:rPr>
          <w:tab/>
        </w:r>
        <w:r w:rsidR="00953A8E" w:rsidRPr="00532C20">
          <w:rPr>
            <w:noProof/>
            <w:webHidden/>
          </w:rPr>
          <w:fldChar w:fldCharType="begin"/>
        </w:r>
        <w:r w:rsidR="00953A8E" w:rsidRPr="00532C20">
          <w:rPr>
            <w:noProof/>
            <w:webHidden/>
          </w:rPr>
          <w:instrText xml:space="preserve"> PAGEREF _Toc151564805 \h </w:instrText>
        </w:r>
        <w:r w:rsidR="00953A8E" w:rsidRPr="00532C20">
          <w:rPr>
            <w:noProof/>
            <w:webHidden/>
          </w:rPr>
        </w:r>
        <w:r w:rsidR="00953A8E" w:rsidRPr="00532C20">
          <w:rPr>
            <w:noProof/>
            <w:webHidden/>
          </w:rPr>
          <w:fldChar w:fldCharType="separate"/>
        </w:r>
        <w:r w:rsidR="00953A8E">
          <w:rPr>
            <w:noProof/>
            <w:webHidden/>
          </w:rPr>
          <w:t>30</w:t>
        </w:r>
        <w:r w:rsidR="00953A8E" w:rsidRPr="00532C20">
          <w:rPr>
            <w:noProof/>
            <w:webHidden/>
          </w:rPr>
          <w:fldChar w:fldCharType="end"/>
        </w:r>
      </w:hyperlink>
    </w:p>
    <w:p w14:paraId="3C68FDF9"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06" w:history="1">
        <w:r w:rsidR="00953A8E" w:rsidRPr="00532C20">
          <w:rPr>
            <w:rStyle w:val="Hyperlink"/>
            <w:rFonts w:ascii="Times New Roman" w:hAnsi="Times New Roman" w:cs="Times New Roman"/>
            <w:noProof/>
          </w:rPr>
          <w:t>5.3.2.1.</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Policy Option 2.1: Targeted requirements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_Toc151564806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30</w:t>
        </w:r>
        <w:r w:rsidR="00953A8E" w:rsidRPr="00532C20">
          <w:rPr>
            <w:rFonts w:ascii="Times New Roman" w:hAnsi="Times New Roman" w:cs="Times New Roman"/>
            <w:noProof/>
            <w:webHidden/>
          </w:rPr>
          <w:fldChar w:fldCharType="end"/>
        </w:r>
      </w:hyperlink>
    </w:p>
    <w:p w14:paraId="22E40882"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07" w:history="1">
        <w:r w:rsidR="00953A8E" w:rsidRPr="00532C20">
          <w:rPr>
            <w:rStyle w:val="Hyperlink"/>
            <w:rFonts w:ascii="Times New Roman" w:hAnsi="Times New Roman" w:cs="Times New Roman"/>
            <w:noProof/>
          </w:rPr>
          <w:t>5.3.2.2.</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Policy Option 2.2: Extended requirement</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_Toc151564807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33</w:t>
        </w:r>
        <w:r w:rsidR="00953A8E" w:rsidRPr="00532C20">
          <w:rPr>
            <w:rFonts w:ascii="Times New Roman" w:hAnsi="Times New Roman" w:cs="Times New Roman"/>
            <w:noProof/>
            <w:webHidden/>
          </w:rPr>
          <w:fldChar w:fldCharType="end"/>
        </w:r>
      </w:hyperlink>
    </w:p>
    <w:p w14:paraId="21272EE8"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808" w:history="1">
        <w:r w:rsidR="00953A8E" w:rsidRPr="00532C20">
          <w:rPr>
            <w:rStyle w:val="Hyperlink"/>
            <w:rFonts w:ascii="Times New Roman" w:hAnsi="Times New Roman" w:cs="Times New Roman"/>
            <w:bCs/>
            <w:noProof/>
          </w:rPr>
          <w:t>6.</w:t>
        </w:r>
        <w:r w:rsidR="00953A8E" w:rsidRPr="00532C20">
          <w:rPr>
            <w:rFonts w:ascii="Times New Roman" w:eastAsiaTheme="minorEastAsia" w:hAnsi="Times New Roman" w:cs="Times New Roman"/>
            <w:caps w:val="0"/>
            <w:noProof/>
            <w:szCs w:val="22"/>
            <w:lang w:val="en-IE" w:eastAsia="en-IE"/>
          </w:rPr>
          <w:tab/>
        </w:r>
        <w:r w:rsidR="00953A8E" w:rsidRPr="00532C20">
          <w:rPr>
            <w:rStyle w:val="Hyperlink"/>
            <w:rFonts w:ascii="Times New Roman" w:hAnsi="Times New Roman" w:cs="Times New Roman"/>
            <w:noProof/>
          </w:rPr>
          <w:t>What are the impacts of the policy options?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_Toc151564808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34</w:t>
        </w:r>
        <w:r w:rsidR="00953A8E" w:rsidRPr="00532C20">
          <w:rPr>
            <w:rFonts w:ascii="Times New Roman" w:hAnsi="Times New Roman" w:cs="Times New Roman"/>
            <w:noProof/>
            <w:webHidden/>
          </w:rPr>
          <w:fldChar w:fldCharType="end"/>
        </w:r>
      </w:hyperlink>
    </w:p>
    <w:p w14:paraId="773F3F4A" w14:textId="77777777"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809" w:history="1">
        <w:r w:rsidR="00953A8E" w:rsidRPr="00532C20">
          <w:rPr>
            <w:rStyle w:val="Hyperlink"/>
            <w:rFonts w:ascii="Times New Roman" w:hAnsi="Times New Roman" w:cs="Times New Roman"/>
            <w:noProof/>
          </w:rPr>
          <w:t>6.1.</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The baseline scenario</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_Toc151564809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34</w:t>
        </w:r>
        <w:r w:rsidR="00953A8E" w:rsidRPr="00532C20">
          <w:rPr>
            <w:rFonts w:ascii="Times New Roman" w:hAnsi="Times New Roman" w:cs="Times New Roman"/>
            <w:noProof/>
            <w:webHidden/>
          </w:rPr>
          <w:fldChar w:fldCharType="end"/>
        </w:r>
      </w:hyperlink>
    </w:p>
    <w:p w14:paraId="506BDEE3" w14:textId="77777777"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810" w:history="1">
        <w:r w:rsidR="00953A8E" w:rsidRPr="00532C20">
          <w:rPr>
            <w:rStyle w:val="Hyperlink"/>
            <w:rFonts w:ascii="Times New Roman" w:hAnsi="Times New Roman" w:cs="Times New Roman"/>
            <w:noProof/>
          </w:rPr>
          <w:t>6.2.</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Assessment of the options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_Toc151564810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35</w:t>
        </w:r>
        <w:r w:rsidR="00953A8E" w:rsidRPr="00532C20">
          <w:rPr>
            <w:rFonts w:ascii="Times New Roman" w:hAnsi="Times New Roman" w:cs="Times New Roman"/>
            <w:noProof/>
            <w:webHidden/>
          </w:rPr>
          <w:fldChar w:fldCharType="end"/>
        </w:r>
      </w:hyperlink>
    </w:p>
    <w:p w14:paraId="55527E9C" w14:textId="77777777" w:rsidR="00953A8E" w:rsidRPr="00532C20" w:rsidRDefault="00F30A10" w:rsidP="00C76A62">
      <w:pPr>
        <w:pStyle w:val="TOC3"/>
        <w:rPr>
          <w:rFonts w:eastAsiaTheme="minorEastAsia"/>
          <w:noProof/>
          <w:szCs w:val="22"/>
          <w:lang w:val="en-IE" w:eastAsia="en-IE"/>
        </w:rPr>
      </w:pPr>
      <w:hyperlink w:anchor="_Toc151564811" w:history="1">
        <w:r w:rsidR="00953A8E" w:rsidRPr="00532C20">
          <w:rPr>
            <w:rStyle w:val="Hyperlink"/>
            <w:rFonts w:ascii="Times New Roman" w:hAnsi="Times New Roman" w:cs="Times New Roman"/>
            <w:noProof/>
          </w:rPr>
          <w:t>6.2.1.</w:t>
        </w:r>
        <w:r w:rsidR="00953A8E" w:rsidRPr="00532C20">
          <w:rPr>
            <w:rFonts w:eastAsiaTheme="minorEastAsia"/>
            <w:noProof/>
            <w:szCs w:val="22"/>
            <w:lang w:val="en-IE" w:eastAsia="en-IE"/>
          </w:rPr>
          <w:tab/>
        </w:r>
        <w:r w:rsidR="00953A8E" w:rsidRPr="00532C20">
          <w:rPr>
            <w:rStyle w:val="Hyperlink"/>
            <w:rFonts w:ascii="Times New Roman" w:hAnsi="Times New Roman" w:cs="Times New Roman"/>
            <w:noProof/>
          </w:rPr>
          <w:t>Economic impacts</w:t>
        </w:r>
        <w:r w:rsidR="00953A8E" w:rsidRPr="00532C20">
          <w:rPr>
            <w:noProof/>
            <w:webHidden/>
          </w:rPr>
          <w:tab/>
        </w:r>
        <w:r w:rsidR="00953A8E" w:rsidRPr="00532C20">
          <w:rPr>
            <w:noProof/>
            <w:webHidden/>
          </w:rPr>
          <w:fldChar w:fldCharType="begin"/>
        </w:r>
        <w:r w:rsidR="00953A8E" w:rsidRPr="00532C20">
          <w:rPr>
            <w:noProof/>
            <w:webHidden/>
          </w:rPr>
          <w:instrText xml:space="preserve"> PAGEREF _Toc151564811 \h </w:instrText>
        </w:r>
        <w:r w:rsidR="00953A8E" w:rsidRPr="00532C20">
          <w:rPr>
            <w:noProof/>
            <w:webHidden/>
          </w:rPr>
        </w:r>
        <w:r w:rsidR="00953A8E" w:rsidRPr="00532C20">
          <w:rPr>
            <w:noProof/>
            <w:webHidden/>
          </w:rPr>
          <w:fldChar w:fldCharType="separate"/>
        </w:r>
        <w:r w:rsidR="00953A8E">
          <w:rPr>
            <w:noProof/>
            <w:webHidden/>
          </w:rPr>
          <w:t>35</w:t>
        </w:r>
        <w:r w:rsidR="00953A8E" w:rsidRPr="00532C20">
          <w:rPr>
            <w:noProof/>
            <w:webHidden/>
          </w:rPr>
          <w:fldChar w:fldCharType="end"/>
        </w:r>
      </w:hyperlink>
    </w:p>
    <w:p w14:paraId="58CFFFD6"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12" w:history="1">
        <w:r w:rsidR="00953A8E" w:rsidRPr="00532C20">
          <w:rPr>
            <w:rStyle w:val="Hyperlink"/>
            <w:rFonts w:ascii="Times New Roman" w:hAnsi="Times New Roman" w:cs="Times New Roman"/>
            <w:noProof/>
          </w:rPr>
          <w:t>6.2.1.1.</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Functioning of the internal market</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_Toc151564812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35</w:t>
        </w:r>
        <w:r w:rsidR="00953A8E" w:rsidRPr="00532C20">
          <w:rPr>
            <w:rFonts w:ascii="Times New Roman" w:hAnsi="Times New Roman" w:cs="Times New Roman"/>
            <w:noProof/>
            <w:webHidden/>
          </w:rPr>
          <w:fldChar w:fldCharType="end"/>
        </w:r>
      </w:hyperlink>
    </w:p>
    <w:p w14:paraId="3E96946D"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13" w:history="1">
        <w:r w:rsidR="00953A8E" w:rsidRPr="00532C20">
          <w:rPr>
            <w:rStyle w:val="Hyperlink"/>
            <w:rFonts w:ascii="Times New Roman" w:hAnsi="Times New Roman" w:cs="Times New Roman"/>
            <w:noProof/>
          </w:rPr>
          <w:t>6.2.1.2.</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Competitiveness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_Toc151564813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36</w:t>
        </w:r>
        <w:r w:rsidR="00953A8E" w:rsidRPr="00532C20">
          <w:rPr>
            <w:rFonts w:ascii="Times New Roman" w:hAnsi="Times New Roman" w:cs="Times New Roman"/>
            <w:noProof/>
            <w:webHidden/>
          </w:rPr>
          <w:fldChar w:fldCharType="end"/>
        </w:r>
      </w:hyperlink>
    </w:p>
    <w:p w14:paraId="31C8F1B7"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14" w:history="1">
        <w:r w:rsidR="00953A8E" w:rsidRPr="00532C20">
          <w:rPr>
            <w:rStyle w:val="Hyperlink"/>
            <w:rFonts w:ascii="Times New Roman" w:hAnsi="Times New Roman" w:cs="Times New Roman"/>
            <w:noProof/>
          </w:rPr>
          <w:t>6.2.1.3.</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Costs and administrative burdens for economic actors (+SMEs)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_Toc151564814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37</w:t>
        </w:r>
        <w:r w:rsidR="00953A8E" w:rsidRPr="00532C20">
          <w:rPr>
            <w:rFonts w:ascii="Times New Roman" w:hAnsi="Times New Roman" w:cs="Times New Roman"/>
            <w:noProof/>
            <w:webHidden/>
          </w:rPr>
          <w:fldChar w:fldCharType="end"/>
        </w:r>
      </w:hyperlink>
    </w:p>
    <w:p w14:paraId="04EDC456"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15" w:history="1">
        <w:r w:rsidR="00953A8E" w:rsidRPr="00532C20">
          <w:rPr>
            <w:rStyle w:val="Hyperlink"/>
            <w:rFonts w:ascii="Times New Roman" w:hAnsi="Times New Roman" w:cs="Times New Roman"/>
            <w:noProof/>
          </w:rPr>
          <w:t>6.2.1.4.</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Costs for public authorities of measures addressed to economic actors.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_Toc151564815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39</w:t>
        </w:r>
        <w:r w:rsidR="00953A8E" w:rsidRPr="00532C20">
          <w:rPr>
            <w:rFonts w:ascii="Times New Roman" w:hAnsi="Times New Roman" w:cs="Times New Roman"/>
            <w:noProof/>
            <w:webHidden/>
          </w:rPr>
          <w:fldChar w:fldCharType="end"/>
        </w:r>
      </w:hyperlink>
    </w:p>
    <w:p w14:paraId="3091DC54" w14:textId="77777777" w:rsidR="00953A8E" w:rsidRPr="00532C20" w:rsidRDefault="00F30A10" w:rsidP="00C76A62">
      <w:pPr>
        <w:pStyle w:val="TOC3"/>
        <w:rPr>
          <w:rFonts w:eastAsiaTheme="minorEastAsia"/>
          <w:noProof/>
          <w:szCs w:val="22"/>
          <w:lang w:val="en-IE" w:eastAsia="en-IE"/>
        </w:rPr>
      </w:pPr>
      <w:hyperlink w:anchor="_Toc151564816" w:history="1">
        <w:r w:rsidR="00953A8E" w:rsidRPr="00532C20">
          <w:rPr>
            <w:rStyle w:val="Hyperlink"/>
            <w:rFonts w:ascii="Times New Roman" w:hAnsi="Times New Roman" w:cs="Times New Roman"/>
            <w:noProof/>
          </w:rPr>
          <w:t>6.2.2.</w:t>
        </w:r>
        <w:r w:rsidR="00953A8E" w:rsidRPr="00532C20">
          <w:rPr>
            <w:rFonts w:eastAsiaTheme="minorEastAsia"/>
            <w:noProof/>
            <w:szCs w:val="22"/>
            <w:lang w:val="en-IE" w:eastAsia="en-IE"/>
          </w:rPr>
          <w:tab/>
        </w:r>
        <w:r w:rsidR="00953A8E" w:rsidRPr="00532C20">
          <w:rPr>
            <w:rStyle w:val="Hyperlink"/>
            <w:rFonts w:ascii="Times New Roman" w:hAnsi="Times New Roman" w:cs="Times New Roman"/>
            <w:noProof/>
          </w:rPr>
          <w:t>Social impacts</w:t>
        </w:r>
        <w:r w:rsidR="00953A8E" w:rsidRPr="00532C20">
          <w:rPr>
            <w:noProof/>
            <w:webHidden/>
          </w:rPr>
          <w:tab/>
        </w:r>
        <w:r w:rsidR="00953A8E" w:rsidRPr="00532C20">
          <w:rPr>
            <w:noProof/>
            <w:webHidden/>
          </w:rPr>
          <w:fldChar w:fldCharType="begin"/>
        </w:r>
        <w:r w:rsidR="00953A8E" w:rsidRPr="00532C20">
          <w:rPr>
            <w:noProof/>
            <w:webHidden/>
          </w:rPr>
          <w:instrText xml:space="preserve"> PAGEREF _Toc151564816 \h </w:instrText>
        </w:r>
        <w:r w:rsidR="00953A8E" w:rsidRPr="00532C20">
          <w:rPr>
            <w:noProof/>
            <w:webHidden/>
          </w:rPr>
        </w:r>
        <w:r w:rsidR="00953A8E" w:rsidRPr="00532C20">
          <w:rPr>
            <w:noProof/>
            <w:webHidden/>
          </w:rPr>
          <w:fldChar w:fldCharType="separate"/>
        </w:r>
        <w:r w:rsidR="00953A8E">
          <w:rPr>
            <w:noProof/>
            <w:webHidden/>
          </w:rPr>
          <w:t>40</w:t>
        </w:r>
        <w:r w:rsidR="00953A8E" w:rsidRPr="00532C20">
          <w:rPr>
            <w:noProof/>
            <w:webHidden/>
          </w:rPr>
          <w:fldChar w:fldCharType="end"/>
        </w:r>
      </w:hyperlink>
    </w:p>
    <w:p w14:paraId="66BE481F"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17" w:history="1">
        <w:r w:rsidR="00953A8E" w:rsidRPr="00532C20">
          <w:rPr>
            <w:rStyle w:val="Hyperlink"/>
            <w:rFonts w:ascii="Times New Roman" w:hAnsi="Times New Roman" w:cs="Times New Roman"/>
            <w:noProof/>
          </w:rPr>
          <w:t>6.2.2.1.</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Transparency of interest representation activities carried out on behalf of third countries.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_Toc151564817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40</w:t>
        </w:r>
        <w:r w:rsidR="00953A8E" w:rsidRPr="00532C20">
          <w:rPr>
            <w:rFonts w:ascii="Times New Roman" w:hAnsi="Times New Roman" w:cs="Times New Roman"/>
            <w:noProof/>
            <w:webHidden/>
          </w:rPr>
          <w:fldChar w:fldCharType="end"/>
        </w:r>
      </w:hyperlink>
    </w:p>
    <w:p w14:paraId="2CE1C3A6"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18" w:history="1">
        <w:r w:rsidR="00953A8E" w:rsidRPr="00532C20">
          <w:rPr>
            <w:rStyle w:val="Hyperlink"/>
            <w:rFonts w:ascii="Times New Roman" w:hAnsi="Times New Roman" w:cs="Times New Roman"/>
            <w:noProof/>
          </w:rPr>
          <w:t>6.2.2.2.</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Improve knowledge about the magnitude, trends and actors of interest representation activities carried out on behalf of third countries.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_Toc151564818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41</w:t>
        </w:r>
        <w:r w:rsidR="00953A8E" w:rsidRPr="00532C20">
          <w:rPr>
            <w:rFonts w:ascii="Times New Roman" w:hAnsi="Times New Roman" w:cs="Times New Roman"/>
            <w:noProof/>
            <w:webHidden/>
          </w:rPr>
          <w:fldChar w:fldCharType="end"/>
        </w:r>
      </w:hyperlink>
    </w:p>
    <w:p w14:paraId="6C1B90D7"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19" w:history="1">
        <w:r w:rsidR="00953A8E" w:rsidRPr="00532C20">
          <w:rPr>
            <w:rStyle w:val="Hyperlink"/>
            <w:rFonts w:ascii="Times New Roman" w:hAnsi="Times New Roman" w:cs="Times New Roman"/>
            <w:noProof/>
          </w:rPr>
          <w:t>6.2.2.3.</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Enforcement and supervision by authorities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_Toc151564819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41</w:t>
        </w:r>
        <w:r w:rsidR="00953A8E" w:rsidRPr="00532C20">
          <w:rPr>
            <w:rFonts w:ascii="Times New Roman" w:hAnsi="Times New Roman" w:cs="Times New Roman"/>
            <w:noProof/>
            <w:webHidden/>
          </w:rPr>
          <w:fldChar w:fldCharType="end"/>
        </w:r>
      </w:hyperlink>
    </w:p>
    <w:p w14:paraId="78908AA1" w14:textId="77777777" w:rsidR="00953A8E" w:rsidRPr="00532C20" w:rsidRDefault="00F30A10" w:rsidP="00C76A62">
      <w:pPr>
        <w:pStyle w:val="TOC3"/>
        <w:rPr>
          <w:rFonts w:eastAsiaTheme="minorEastAsia"/>
          <w:noProof/>
          <w:szCs w:val="22"/>
          <w:lang w:val="en-IE" w:eastAsia="en-IE"/>
        </w:rPr>
      </w:pPr>
      <w:hyperlink w:anchor="_Toc151564820" w:history="1">
        <w:r w:rsidR="00953A8E" w:rsidRPr="00532C20">
          <w:rPr>
            <w:rStyle w:val="Hyperlink"/>
            <w:rFonts w:ascii="Times New Roman" w:hAnsi="Times New Roman" w:cs="Times New Roman"/>
            <w:noProof/>
          </w:rPr>
          <w:t>6.2.3.</w:t>
        </w:r>
        <w:r w:rsidR="00953A8E" w:rsidRPr="00532C20">
          <w:rPr>
            <w:rFonts w:eastAsiaTheme="minorEastAsia"/>
            <w:noProof/>
            <w:szCs w:val="22"/>
            <w:lang w:val="en-IE" w:eastAsia="en-IE"/>
          </w:rPr>
          <w:tab/>
        </w:r>
        <w:r w:rsidR="00953A8E" w:rsidRPr="00532C20">
          <w:rPr>
            <w:rStyle w:val="Hyperlink"/>
            <w:rFonts w:ascii="Times New Roman" w:hAnsi="Times New Roman" w:cs="Times New Roman"/>
            <w:noProof/>
          </w:rPr>
          <w:t>Fundamental rights impacts</w:t>
        </w:r>
        <w:r w:rsidR="00953A8E" w:rsidRPr="00532C20">
          <w:rPr>
            <w:noProof/>
            <w:webHidden/>
          </w:rPr>
          <w:tab/>
        </w:r>
        <w:r w:rsidR="00953A8E" w:rsidRPr="00532C20">
          <w:rPr>
            <w:noProof/>
            <w:webHidden/>
          </w:rPr>
          <w:fldChar w:fldCharType="begin"/>
        </w:r>
        <w:r w:rsidR="00953A8E" w:rsidRPr="00532C20">
          <w:rPr>
            <w:noProof/>
            <w:webHidden/>
          </w:rPr>
          <w:instrText xml:space="preserve"> PAGEREF _Toc151564820 \h </w:instrText>
        </w:r>
        <w:r w:rsidR="00953A8E" w:rsidRPr="00532C20">
          <w:rPr>
            <w:noProof/>
            <w:webHidden/>
          </w:rPr>
        </w:r>
        <w:r w:rsidR="00953A8E" w:rsidRPr="00532C20">
          <w:rPr>
            <w:noProof/>
            <w:webHidden/>
          </w:rPr>
          <w:fldChar w:fldCharType="separate"/>
        </w:r>
        <w:r w:rsidR="00953A8E">
          <w:rPr>
            <w:noProof/>
            <w:webHidden/>
          </w:rPr>
          <w:t>43</w:t>
        </w:r>
        <w:r w:rsidR="00953A8E" w:rsidRPr="00532C20">
          <w:rPr>
            <w:noProof/>
            <w:webHidden/>
          </w:rPr>
          <w:fldChar w:fldCharType="end"/>
        </w:r>
      </w:hyperlink>
    </w:p>
    <w:p w14:paraId="5C232C83"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21" w:history="1">
        <w:r w:rsidR="00953A8E" w:rsidRPr="00532C20">
          <w:rPr>
            <w:rStyle w:val="Hyperlink"/>
            <w:rFonts w:ascii="Times New Roman" w:hAnsi="Times New Roman" w:cs="Times New Roman"/>
            <w:noProof/>
          </w:rPr>
          <w:t>6.2.3.1.</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Right to private life and to the protection of personal data</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_Toc151564821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43</w:t>
        </w:r>
        <w:r w:rsidR="00953A8E" w:rsidRPr="00532C20">
          <w:rPr>
            <w:rFonts w:ascii="Times New Roman" w:hAnsi="Times New Roman" w:cs="Times New Roman"/>
            <w:noProof/>
            <w:webHidden/>
          </w:rPr>
          <w:fldChar w:fldCharType="end"/>
        </w:r>
      </w:hyperlink>
    </w:p>
    <w:p w14:paraId="4C6F7854"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22" w:history="1">
        <w:r w:rsidR="00953A8E" w:rsidRPr="00532C20">
          <w:rPr>
            <w:rStyle w:val="Hyperlink"/>
            <w:rFonts w:ascii="Times New Roman" w:hAnsi="Times New Roman" w:cs="Times New Roman"/>
            <w:noProof/>
          </w:rPr>
          <w:t>6.2.3.2.</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Freedom of association</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_Toc151564822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44</w:t>
        </w:r>
        <w:r w:rsidR="00953A8E" w:rsidRPr="00532C20">
          <w:rPr>
            <w:rFonts w:ascii="Times New Roman" w:hAnsi="Times New Roman" w:cs="Times New Roman"/>
            <w:noProof/>
            <w:webHidden/>
          </w:rPr>
          <w:fldChar w:fldCharType="end"/>
        </w:r>
      </w:hyperlink>
    </w:p>
    <w:p w14:paraId="6B680714"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23" w:history="1">
        <w:r w:rsidR="00953A8E" w:rsidRPr="00532C20">
          <w:rPr>
            <w:rStyle w:val="Hyperlink"/>
            <w:rFonts w:ascii="Times New Roman" w:hAnsi="Times New Roman" w:cs="Times New Roman"/>
            <w:noProof/>
          </w:rPr>
          <w:t>6.2.3.3.</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Freedom of the arts and sciences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_Toc151564823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47</w:t>
        </w:r>
        <w:r w:rsidR="00953A8E" w:rsidRPr="00532C20">
          <w:rPr>
            <w:rFonts w:ascii="Times New Roman" w:hAnsi="Times New Roman" w:cs="Times New Roman"/>
            <w:noProof/>
            <w:webHidden/>
          </w:rPr>
          <w:fldChar w:fldCharType="end"/>
        </w:r>
      </w:hyperlink>
    </w:p>
    <w:p w14:paraId="10E47EEF"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24" w:history="1">
        <w:r w:rsidR="00953A8E" w:rsidRPr="00532C20">
          <w:rPr>
            <w:rStyle w:val="Hyperlink"/>
            <w:rFonts w:ascii="Times New Roman" w:hAnsi="Times New Roman" w:cs="Times New Roman"/>
            <w:noProof/>
          </w:rPr>
          <w:t>6.2.3.4.</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Freedom of expression and information</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_Toc151564824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48</w:t>
        </w:r>
        <w:r w:rsidR="00953A8E" w:rsidRPr="00532C20">
          <w:rPr>
            <w:rFonts w:ascii="Times New Roman" w:hAnsi="Times New Roman" w:cs="Times New Roman"/>
            <w:noProof/>
            <w:webHidden/>
          </w:rPr>
          <w:fldChar w:fldCharType="end"/>
        </w:r>
      </w:hyperlink>
    </w:p>
    <w:p w14:paraId="28E64342" w14:textId="77777777" w:rsidR="00953A8E" w:rsidRPr="00532C20" w:rsidRDefault="00F30A10" w:rsidP="00953A8E">
      <w:pPr>
        <w:pStyle w:val="TOC4"/>
        <w:tabs>
          <w:tab w:val="right" w:leader="dot" w:pos="8505"/>
        </w:tabs>
        <w:rPr>
          <w:rFonts w:ascii="Times New Roman" w:hAnsi="Times New Roman" w:cs="Times New Roman"/>
          <w:noProof/>
          <w:lang w:val="en-IE" w:eastAsia="en-IE"/>
        </w:rPr>
      </w:pPr>
      <w:hyperlink w:anchor="_Toc151564825" w:history="1">
        <w:r w:rsidR="00953A8E" w:rsidRPr="00532C20">
          <w:rPr>
            <w:rStyle w:val="Hyperlink"/>
            <w:rFonts w:ascii="Times New Roman" w:hAnsi="Times New Roman" w:cs="Times New Roman"/>
            <w:noProof/>
          </w:rPr>
          <w:t>6.2.3.5.</w:t>
        </w:r>
        <w:r w:rsidR="00953A8E" w:rsidRPr="00532C20">
          <w:rPr>
            <w:rFonts w:ascii="Times New Roman" w:hAnsi="Times New Roman" w:cs="Times New Roman"/>
            <w:noProof/>
            <w:lang w:val="en-IE" w:eastAsia="en-IE"/>
          </w:rPr>
          <w:tab/>
        </w:r>
        <w:r w:rsidR="00953A8E" w:rsidRPr="00532C20">
          <w:rPr>
            <w:rStyle w:val="Hyperlink"/>
            <w:rFonts w:ascii="Times New Roman" w:hAnsi="Times New Roman" w:cs="Times New Roman"/>
            <w:noProof/>
          </w:rPr>
          <w:t>Freedom to conduct a business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_Toc151564825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49</w:t>
        </w:r>
        <w:r w:rsidR="00953A8E" w:rsidRPr="00532C20">
          <w:rPr>
            <w:rFonts w:ascii="Times New Roman" w:hAnsi="Times New Roman" w:cs="Times New Roman"/>
            <w:noProof/>
            <w:webHidden/>
          </w:rPr>
          <w:fldChar w:fldCharType="end"/>
        </w:r>
      </w:hyperlink>
    </w:p>
    <w:p w14:paraId="24AF09CE" w14:textId="77777777" w:rsidR="00953A8E" w:rsidRPr="00532C20" w:rsidRDefault="00F30A10" w:rsidP="00C76A62">
      <w:pPr>
        <w:pStyle w:val="TOC3"/>
        <w:rPr>
          <w:rFonts w:eastAsiaTheme="minorEastAsia"/>
          <w:noProof/>
          <w:szCs w:val="22"/>
          <w:lang w:val="en-IE" w:eastAsia="en-IE"/>
        </w:rPr>
      </w:pPr>
      <w:hyperlink w:anchor="_Toc151564826" w:history="1">
        <w:r w:rsidR="00953A8E" w:rsidRPr="00532C20">
          <w:rPr>
            <w:rStyle w:val="Hyperlink"/>
            <w:rFonts w:ascii="Times New Roman" w:hAnsi="Times New Roman" w:cs="Times New Roman"/>
            <w:noProof/>
          </w:rPr>
          <w:t>6.2.4.</w:t>
        </w:r>
        <w:r w:rsidR="00953A8E" w:rsidRPr="00532C20">
          <w:rPr>
            <w:rFonts w:eastAsiaTheme="minorEastAsia"/>
            <w:noProof/>
            <w:szCs w:val="22"/>
            <w:lang w:val="en-IE" w:eastAsia="en-IE"/>
          </w:rPr>
          <w:tab/>
        </w:r>
        <w:r w:rsidR="00953A8E" w:rsidRPr="00532C20">
          <w:rPr>
            <w:rStyle w:val="Hyperlink"/>
            <w:rFonts w:ascii="Times New Roman" w:hAnsi="Times New Roman" w:cs="Times New Roman"/>
            <w:noProof/>
          </w:rPr>
          <w:t>Geopolitical implications</w:t>
        </w:r>
        <w:r w:rsidR="00953A8E" w:rsidRPr="00532C20">
          <w:rPr>
            <w:noProof/>
            <w:webHidden/>
          </w:rPr>
          <w:tab/>
        </w:r>
        <w:r w:rsidR="00953A8E" w:rsidRPr="00532C20">
          <w:rPr>
            <w:noProof/>
            <w:webHidden/>
          </w:rPr>
          <w:fldChar w:fldCharType="begin"/>
        </w:r>
        <w:r w:rsidR="00953A8E" w:rsidRPr="00532C20">
          <w:rPr>
            <w:noProof/>
            <w:webHidden/>
          </w:rPr>
          <w:instrText xml:space="preserve"> PAGEREF _Toc151564826 \h </w:instrText>
        </w:r>
        <w:r w:rsidR="00953A8E" w:rsidRPr="00532C20">
          <w:rPr>
            <w:noProof/>
            <w:webHidden/>
          </w:rPr>
        </w:r>
        <w:r w:rsidR="00953A8E" w:rsidRPr="00532C20">
          <w:rPr>
            <w:noProof/>
            <w:webHidden/>
          </w:rPr>
          <w:fldChar w:fldCharType="separate"/>
        </w:r>
        <w:r w:rsidR="00953A8E">
          <w:rPr>
            <w:noProof/>
            <w:webHidden/>
          </w:rPr>
          <w:t>49</w:t>
        </w:r>
        <w:r w:rsidR="00953A8E" w:rsidRPr="00532C20">
          <w:rPr>
            <w:noProof/>
            <w:webHidden/>
          </w:rPr>
          <w:fldChar w:fldCharType="end"/>
        </w:r>
      </w:hyperlink>
    </w:p>
    <w:p w14:paraId="6A17DA9B" w14:textId="77777777" w:rsidR="00953A8E" w:rsidRPr="00532C20" w:rsidRDefault="00F30A10" w:rsidP="00C76A62">
      <w:pPr>
        <w:pStyle w:val="TOC3"/>
        <w:rPr>
          <w:rFonts w:eastAsiaTheme="minorEastAsia"/>
          <w:noProof/>
          <w:szCs w:val="22"/>
          <w:lang w:val="en-IE" w:eastAsia="en-IE"/>
        </w:rPr>
      </w:pPr>
      <w:hyperlink w:anchor="_Toc151564827" w:history="1">
        <w:r w:rsidR="00953A8E" w:rsidRPr="00532C20">
          <w:rPr>
            <w:rStyle w:val="Hyperlink"/>
            <w:rFonts w:ascii="Times New Roman" w:hAnsi="Times New Roman" w:cs="Times New Roman"/>
            <w:noProof/>
          </w:rPr>
          <w:t>6.2.5.</w:t>
        </w:r>
        <w:r w:rsidR="00953A8E" w:rsidRPr="00532C20">
          <w:rPr>
            <w:rFonts w:eastAsiaTheme="minorEastAsia"/>
            <w:noProof/>
            <w:szCs w:val="22"/>
            <w:lang w:val="en-IE" w:eastAsia="en-IE"/>
          </w:rPr>
          <w:tab/>
        </w:r>
        <w:r w:rsidR="00953A8E" w:rsidRPr="00532C20">
          <w:rPr>
            <w:rStyle w:val="Hyperlink"/>
            <w:rFonts w:ascii="Times New Roman" w:hAnsi="Times New Roman" w:cs="Times New Roman"/>
            <w:noProof/>
          </w:rPr>
          <w:t>Digital by default principle</w:t>
        </w:r>
        <w:r w:rsidR="00953A8E" w:rsidRPr="00532C20">
          <w:rPr>
            <w:noProof/>
            <w:webHidden/>
          </w:rPr>
          <w:tab/>
        </w:r>
        <w:r w:rsidR="00953A8E" w:rsidRPr="00532C20">
          <w:rPr>
            <w:noProof/>
            <w:webHidden/>
          </w:rPr>
          <w:fldChar w:fldCharType="begin"/>
        </w:r>
        <w:r w:rsidR="00953A8E" w:rsidRPr="00532C20">
          <w:rPr>
            <w:noProof/>
            <w:webHidden/>
          </w:rPr>
          <w:instrText xml:space="preserve"> PAGEREF _Toc151564827 \h </w:instrText>
        </w:r>
        <w:r w:rsidR="00953A8E" w:rsidRPr="00532C20">
          <w:rPr>
            <w:noProof/>
            <w:webHidden/>
          </w:rPr>
        </w:r>
        <w:r w:rsidR="00953A8E" w:rsidRPr="00532C20">
          <w:rPr>
            <w:noProof/>
            <w:webHidden/>
          </w:rPr>
          <w:fldChar w:fldCharType="separate"/>
        </w:r>
        <w:r w:rsidR="00953A8E">
          <w:rPr>
            <w:noProof/>
            <w:webHidden/>
          </w:rPr>
          <w:t>53</w:t>
        </w:r>
        <w:r w:rsidR="00953A8E" w:rsidRPr="00532C20">
          <w:rPr>
            <w:noProof/>
            <w:webHidden/>
          </w:rPr>
          <w:fldChar w:fldCharType="end"/>
        </w:r>
      </w:hyperlink>
    </w:p>
    <w:p w14:paraId="302A640C"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828" w:history="1">
        <w:r w:rsidR="00953A8E" w:rsidRPr="00532C20">
          <w:rPr>
            <w:rStyle w:val="Hyperlink"/>
            <w:rFonts w:ascii="Times New Roman" w:hAnsi="Times New Roman" w:cs="Times New Roman"/>
            <w:bCs/>
            <w:noProof/>
          </w:rPr>
          <w:t>7.</w:t>
        </w:r>
        <w:r w:rsidR="00953A8E" w:rsidRPr="00532C20">
          <w:rPr>
            <w:rFonts w:ascii="Times New Roman" w:eastAsiaTheme="minorEastAsia" w:hAnsi="Times New Roman" w:cs="Times New Roman"/>
            <w:caps w:val="0"/>
            <w:noProof/>
            <w:szCs w:val="22"/>
            <w:lang w:val="en-IE" w:eastAsia="en-IE"/>
          </w:rPr>
          <w:tab/>
        </w:r>
        <w:r w:rsidR="00953A8E" w:rsidRPr="00532C20">
          <w:rPr>
            <w:rStyle w:val="Hyperlink"/>
            <w:rFonts w:ascii="Times New Roman" w:hAnsi="Times New Roman" w:cs="Times New Roman"/>
            <w:noProof/>
          </w:rPr>
          <w:t>How do the options compare?</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_Toc151564828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54</w:t>
        </w:r>
        <w:r w:rsidR="00953A8E" w:rsidRPr="00532C20">
          <w:rPr>
            <w:rFonts w:ascii="Times New Roman" w:hAnsi="Times New Roman" w:cs="Times New Roman"/>
            <w:noProof/>
            <w:webHidden/>
          </w:rPr>
          <w:fldChar w:fldCharType="end"/>
        </w:r>
      </w:hyperlink>
    </w:p>
    <w:p w14:paraId="654CDDE0" w14:textId="7F9E435F"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829" w:history="1">
        <w:r w:rsidR="00953A8E" w:rsidRPr="00532C20">
          <w:rPr>
            <w:rStyle w:val="Hyperlink"/>
            <w:rFonts w:ascii="Times New Roman" w:hAnsi="Times New Roman" w:cs="Times New Roman"/>
            <w:noProof/>
          </w:rPr>
          <w:t>7.1.</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Effectiveness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_Toc151564829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5</w:t>
        </w:r>
        <w:r w:rsidR="006A0F4D">
          <w:rPr>
            <w:rFonts w:ascii="Times New Roman" w:hAnsi="Times New Roman" w:cs="Times New Roman"/>
            <w:noProof/>
            <w:webHidden/>
          </w:rPr>
          <w:t>5</w:t>
        </w:r>
        <w:r w:rsidR="00953A8E" w:rsidRPr="00532C20">
          <w:rPr>
            <w:rFonts w:ascii="Times New Roman" w:hAnsi="Times New Roman" w:cs="Times New Roman"/>
            <w:noProof/>
            <w:webHidden/>
          </w:rPr>
          <w:fldChar w:fldCharType="end"/>
        </w:r>
      </w:hyperlink>
    </w:p>
    <w:p w14:paraId="50E8B915" w14:textId="77777777"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830" w:history="1">
        <w:r w:rsidR="00953A8E" w:rsidRPr="00532C20">
          <w:rPr>
            <w:rStyle w:val="Hyperlink"/>
            <w:rFonts w:ascii="Times New Roman" w:hAnsi="Times New Roman" w:cs="Times New Roman"/>
            <w:noProof/>
          </w:rPr>
          <w:t>7.2.</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Efficiency</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_Toc151564830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55</w:t>
        </w:r>
        <w:r w:rsidR="00953A8E" w:rsidRPr="00532C20">
          <w:rPr>
            <w:rFonts w:ascii="Times New Roman" w:hAnsi="Times New Roman" w:cs="Times New Roman"/>
            <w:noProof/>
            <w:webHidden/>
          </w:rPr>
          <w:fldChar w:fldCharType="end"/>
        </w:r>
      </w:hyperlink>
    </w:p>
    <w:p w14:paraId="0B114B40" w14:textId="54FA55E9"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831" w:history="1">
        <w:r w:rsidR="00953A8E" w:rsidRPr="00532C20">
          <w:rPr>
            <w:rStyle w:val="Hyperlink"/>
            <w:rFonts w:ascii="Times New Roman" w:hAnsi="Times New Roman" w:cs="Times New Roman"/>
            <w:noProof/>
          </w:rPr>
          <w:t>7.3.</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Coherence with other EU initiatives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_Toc151564831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5</w:t>
        </w:r>
        <w:r w:rsidR="004D496D">
          <w:rPr>
            <w:rFonts w:ascii="Times New Roman" w:hAnsi="Times New Roman" w:cs="Times New Roman"/>
            <w:noProof/>
            <w:webHidden/>
          </w:rPr>
          <w:t>6</w:t>
        </w:r>
        <w:r w:rsidR="00953A8E" w:rsidRPr="00532C20">
          <w:rPr>
            <w:rFonts w:ascii="Times New Roman" w:hAnsi="Times New Roman" w:cs="Times New Roman"/>
            <w:noProof/>
            <w:webHidden/>
          </w:rPr>
          <w:fldChar w:fldCharType="end"/>
        </w:r>
      </w:hyperlink>
    </w:p>
    <w:p w14:paraId="318089F4" w14:textId="454983F1"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832" w:history="1">
        <w:r w:rsidR="00953A8E" w:rsidRPr="00532C20">
          <w:rPr>
            <w:rStyle w:val="Hyperlink"/>
            <w:rFonts w:ascii="Times New Roman" w:hAnsi="Times New Roman" w:cs="Times New Roman"/>
            <w:noProof/>
          </w:rPr>
          <w:t>7.4.</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Proportionality</w:t>
        </w:r>
        <w:r w:rsidR="00953A8E" w:rsidRPr="00532C20">
          <w:rPr>
            <w:rFonts w:ascii="Times New Roman" w:hAnsi="Times New Roman" w:cs="Times New Roman"/>
            <w:noProof/>
            <w:webHidden/>
          </w:rPr>
          <w:tab/>
        </w:r>
        <w:r w:rsidR="00F22FC2">
          <w:rPr>
            <w:rFonts w:ascii="Times New Roman" w:hAnsi="Times New Roman" w:cs="Times New Roman"/>
            <w:noProof/>
            <w:webHidden/>
          </w:rPr>
          <w:t>60</w:t>
        </w:r>
      </w:hyperlink>
    </w:p>
    <w:p w14:paraId="2B3915DB" w14:textId="48590B82"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833" w:history="1">
        <w:r w:rsidR="00953A8E" w:rsidRPr="00532C20">
          <w:rPr>
            <w:rStyle w:val="Hyperlink"/>
            <w:rFonts w:ascii="Times New Roman" w:hAnsi="Times New Roman" w:cs="Times New Roman"/>
            <w:noProof/>
          </w:rPr>
          <w:t>7.5.</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Comparison of options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_Toc151564833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60</w:t>
        </w:r>
        <w:r w:rsidR="00953A8E" w:rsidRPr="00532C20">
          <w:rPr>
            <w:rFonts w:ascii="Times New Roman" w:hAnsi="Times New Roman" w:cs="Times New Roman"/>
            <w:noProof/>
            <w:webHidden/>
          </w:rPr>
          <w:fldChar w:fldCharType="end"/>
        </w:r>
      </w:hyperlink>
    </w:p>
    <w:p w14:paraId="48083F96" w14:textId="29F01BA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834" w:history="1">
        <w:r w:rsidR="00953A8E" w:rsidRPr="00532C20">
          <w:rPr>
            <w:rStyle w:val="Hyperlink"/>
            <w:rFonts w:ascii="Times New Roman" w:hAnsi="Times New Roman" w:cs="Times New Roman"/>
            <w:bCs/>
            <w:noProof/>
          </w:rPr>
          <w:t>8.</w:t>
        </w:r>
        <w:r w:rsidR="00953A8E" w:rsidRPr="00532C20">
          <w:rPr>
            <w:rFonts w:ascii="Times New Roman" w:eastAsiaTheme="minorEastAsia" w:hAnsi="Times New Roman" w:cs="Times New Roman"/>
            <w:caps w:val="0"/>
            <w:noProof/>
            <w:szCs w:val="22"/>
            <w:lang w:val="en-IE" w:eastAsia="en-IE"/>
          </w:rPr>
          <w:tab/>
        </w:r>
        <w:r w:rsidR="00953A8E" w:rsidRPr="00532C20">
          <w:rPr>
            <w:rStyle w:val="Hyperlink"/>
            <w:rFonts w:ascii="Times New Roman" w:hAnsi="Times New Roman" w:cs="Times New Roman"/>
            <w:noProof/>
          </w:rPr>
          <w:t>Preferred option</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_Toc151564834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6</w:t>
        </w:r>
        <w:r w:rsidR="00F22FC2">
          <w:rPr>
            <w:rFonts w:ascii="Times New Roman" w:hAnsi="Times New Roman" w:cs="Times New Roman"/>
            <w:noProof/>
            <w:webHidden/>
          </w:rPr>
          <w:t>1</w:t>
        </w:r>
        <w:r w:rsidR="00953A8E" w:rsidRPr="00532C20">
          <w:rPr>
            <w:rFonts w:ascii="Times New Roman" w:hAnsi="Times New Roman" w:cs="Times New Roman"/>
            <w:noProof/>
            <w:webHidden/>
          </w:rPr>
          <w:fldChar w:fldCharType="end"/>
        </w:r>
      </w:hyperlink>
    </w:p>
    <w:p w14:paraId="7F7C2CD6" w14:textId="77777777"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835" w:history="1">
        <w:r w:rsidR="00953A8E" w:rsidRPr="00532C20">
          <w:rPr>
            <w:rStyle w:val="Hyperlink"/>
            <w:rFonts w:ascii="Times New Roman" w:hAnsi="Times New Roman" w:cs="Times New Roman"/>
            <w:noProof/>
          </w:rPr>
          <w:t>8.1.</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Description of the preferred option</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_Toc151564835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60</w:t>
        </w:r>
        <w:r w:rsidR="00953A8E" w:rsidRPr="00532C20">
          <w:rPr>
            <w:rFonts w:ascii="Times New Roman" w:hAnsi="Times New Roman" w:cs="Times New Roman"/>
            <w:noProof/>
            <w:webHidden/>
          </w:rPr>
          <w:fldChar w:fldCharType="end"/>
        </w:r>
      </w:hyperlink>
    </w:p>
    <w:p w14:paraId="59D11BA8" w14:textId="77777777"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836" w:history="1">
        <w:r w:rsidR="00953A8E" w:rsidRPr="00532C20">
          <w:rPr>
            <w:rStyle w:val="Hyperlink"/>
            <w:rFonts w:ascii="Times New Roman" w:hAnsi="Times New Roman" w:cs="Times New Roman"/>
            <w:noProof/>
          </w:rPr>
          <w:t>8.2.</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The choice of instrument</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_Toc151564836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61</w:t>
        </w:r>
        <w:r w:rsidR="00953A8E" w:rsidRPr="00532C20">
          <w:rPr>
            <w:rFonts w:ascii="Times New Roman" w:hAnsi="Times New Roman" w:cs="Times New Roman"/>
            <w:noProof/>
            <w:webHidden/>
          </w:rPr>
          <w:fldChar w:fldCharType="end"/>
        </w:r>
      </w:hyperlink>
    </w:p>
    <w:p w14:paraId="461ED712" w14:textId="5DAFE510" w:rsidR="00953A8E" w:rsidRPr="00532C20" w:rsidRDefault="00F30A10" w:rsidP="00953A8E">
      <w:pPr>
        <w:pStyle w:val="TOC2"/>
        <w:tabs>
          <w:tab w:val="clear" w:pos="8640"/>
          <w:tab w:val="left" w:pos="1077"/>
          <w:tab w:val="right" w:leader="dot" w:pos="8505"/>
        </w:tabs>
        <w:ind w:right="521"/>
        <w:rPr>
          <w:rFonts w:ascii="Times New Roman" w:eastAsiaTheme="minorEastAsia" w:hAnsi="Times New Roman" w:cs="Times New Roman"/>
          <w:noProof/>
          <w:szCs w:val="22"/>
          <w:lang w:val="en-IE" w:eastAsia="en-IE"/>
        </w:rPr>
      </w:pPr>
      <w:hyperlink w:anchor="_Toc151564837" w:history="1">
        <w:r w:rsidR="00953A8E" w:rsidRPr="00532C20">
          <w:rPr>
            <w:rStyle w:val="Hyperlink"/>
            <w:rFonts w:ascii="Times New Roman" w:hAnsi="Times New Roman" w:cs="Times New Roman"/>
            <w:noProof/>
          </w:rPr>
          <w:t>8.3.</w:t>
        </w:r>
        <w:r w:rsidR="00953A8E" w:rsidRPr="00532C20">
          <w:rPr>
            <w:rFonts w:ascii="Times New Roman" w:eastAsiaTheme="minorEastAsia" w:hAnsi="Times New Roman" w:cs="Times New Roman"/>
            <w:noProof/>
            <w:szCs w:val="22"/>
            <w:lang w:val="en-IE" w:eastAsia="en-IE"/>
          </w:rPr>
          <w:tab/>
        </w:r>
        <w:r w:rsidR="00953A8E" w:rsidRPr="00532C20">
          <w:rPr>
            <w:rStyle w:val="Hyperlink"/>
            <w:rFonts w:ascii="Times New Roman" w:hAnsi="Times New Roman" w:cs="Times New Roman"/>
            <w:noProof/>
          </w:rPr>
          <w:t>Application of the “one in, one out” approach</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_Toc151564837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6</w:t>
        </w:r>
        <w:r w:rsidR="00F90191">
          <w:rPr>
            <w:rFonts w:ascii="Times New Roman" w:hAnsi="Times New Roman" w:cs="Times New Roman"/>
            <w:noProof/>
            <w:webHidden/>
          </w:rPr>
          <w:t>2</w:t>
        </w:r>
        <w:r w:rsidR="00953A8E" w:rsidRPr="00532C20">
          <w:rPr>
            <w:rFonts w:ascii="Times New Roman" w:hAnsi="Times New Roman" w:cs="Times New Roman"/>
            <w:noProof/>
            <w:webHidden/>
          </w:rPr>
          <w:fldChar w:fldCharType="end"/>
        </w:r>
      </w:hyperlink>
    </w:p>
    <w:p w14:paraId="282D9B9E"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838" w:history="1">
        <w:r w:rsidR="00953A8E" w:rsidRPr="00532C20">
          <w:rPr>
            <w:rStyle w:val="Hyperlink"/>
            <w:rFonts w:ascii="Times New Roman" w:hAnsi="Times New Roman" w:cs="Times New Roman"/>
            <w:bCs/>
            <w:noProof/>
          </w:rPr>
          <w:t>9.</w:t>
        </w:r>
        <w:r w:rsidR="00953A8E" w:rsidRPr="00532C20">
          <w:rPr>
            <w:rFonts w:ascii="Times New Roman" w:eastAsiaTheme="minorEastAsia" w:hAnsi="Times New Roman" w:cs="Times New Roman"/>
            <w:caps w:val="0"/>
            <w:noProof/>
            <w:szCs w:val="22"/>
            <w:lang w:val="en-IE" w:eastAsia="en-IE"/>
          </w:rPr>
          <w:tab/>
        </w:r>
        <w:r w:rsidR="00953A8E" w:rsidRPr="00532C20">
          <w:rPr>
            <w:rStyle w:val="Hyperlink"/>
            <w:rFonts w:ascii="Times New Roman" w:hAnsi="Times New Roman" w:cs="Times New Roman"/>
            <w:noProof/>
          </w:rPr>
          <w:t>How will actual impacts be monitored and evaluated?</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_Toc151564838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62</w:t>
        </w:r>
        <w:r w:rsidR="00953A8E" w:rsidRPr="00532C20">
          <w:rPr>
            <w:rFonts w:ascii="Times New Roman" w:hAnsi="Times New Roman" w:cs="Times New Roman"/>
            <w:noProof/>
            <w:webHidden/>
          </w:rPr>
          <w:fldChar w:fldCharType="end"/>
        </w:r>
      </w:hyperlink>
    </w:p>
    <w:p w14:paraId="78B7BA36"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839" w:history="1">
        <w:r w:rsidR="00953A8E" w:rsidRPr="00532C20">
          <w:rPr>
            <w:rStyle w:val="Hyperlink"/>
            <w:rFonts w:ascii="Times New Roman" w:hAnsi="Times New Roman" w:cs="Times New Roman"/>
            <w:noProof/>
          </w:rPr>
          <w:t>Annex 1: Procedural information</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_Toc151564839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65</w:t>
        </w:r>
        <w:r w:rsidR="00953A8E" w:rsidRPr="00532C20">
          <w:rPr>
            <w:rFonts w:ascii="Times New Roman" w:hAnsi="Times New Roman" w:cs="Times New Roman"/>
            <w:noProof/>
            <w:webHidden/>
          </w:rPr>
          <w:fldChar w:fldCharType="end"/>
        </w:r>
      </w:hyperlink>
    </w:p>
    <w:p w14:paraId="3B6FA433"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840" w:history="1">
        <w:r w:rsidR="00953A8E" w:rsidRPr="00532C20">
          <w:rPr>
            <w:rStyle w:val="Hyperlink"/>
            <w:rFonts w:ascii="Times New Roman" w:hAnsi="Times New Roman" w:cs="Times New Roman"/>
            <w:noProof/>
          </w:rPr>
          <w:t>Annex 2: Stakeholder consultations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_Toc151564840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69</w:t>
        </w:r>
        <w:r w:rsidR="00953A8E" w:rsidRPr="00532C20">
          <w:rPr>
            <w:rFonts w:ascii="Times New Roman" w:hAnsi="Times New Roman" w:cs="Times New Roman"/>
            <w:noProof/>
            <w:webHidden/>
          </w:rPr>
          <w:fldChar w:fldCharType="end"/>
        </w:r>
      </w:hyperlink>
    </w:p>
    <w:p w14:paraId="44FB18A9"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841" w:history="1">
        <w:r w:rsidR="00953A8E" w:rsidRPr="00532C20">
          <w:rPr>
            <w:rStyle w:val="Hyperlink"/>
            <w:rFonts w:ascii="Times New Roman" w:hAnsi="Times New Roman" w:cs="Times New Roman"/>
            <w:noProof/>
          </w:rPr>
          <w:t>Annex 3: Who is affected and how?</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_Toc151564841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89</w:t>
        </w:r>
        <w:r w:rsidR="00953A8E" w:rsidRPr="00532C20">
          <w:rPr>
            <w:rFonts w:ascii="Times New Roman" w:hAnsi="Times New Roman" w:cs="Times New Roman"/>
            <w:noProof/>
            <w:webHidden/>
          </w:rPr>
          <w:fldChar w:fldCharType="end"/>
        </w:r>
      </w:hyperlink>
    </w:p>
    <w:p w14:paraId="6FEDE6F4"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842" w:history="1">
        <w:r w:rsidR="00953A8E" w:rsidRPr="00532C20">
          <w:rPr>
            <w:rStyle w:val="Hyperlink"/>
            <w:rFonts w:ascii="Times New Roman" w:hAnsi="Times New Roman" w:cs="Times New Roman"/>
            <w:noProof/>
          </w:rPr>
          <w:t>Annex 4: Analytical methods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_Toc151564842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96</w:t>
        </w:r>
        <w:r w:rsidR="00953A8E" w:rsidRPr="00532C20">
          <w:rPr>
            <w:rFonts w:ascii="Times New Roman" w:hAnsi="Times New Roman" w:cs="Times New Roman"/>
            <w:noProof/>
            <w:webHidden/>
          </w:rPr>
          <w:fldChar w:fldCharType="end"/>
        </w:r>
      </w:hyperlink>
    </w:p>
    <w:p w14:paraId="14C21D7F"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843" w:history="1">
        <w:r w:rsidR="00953A8E" w:rsidRPr="00532C20">
          <w:rPr>
            <w:rStyle w:val="Hyperlink"/>
            <w:rFonts w:ascii="Times New Roman" w:hAnsi="Times New Roman" w:cs="Times New Roman"/>
            <w:noProof/>
          </w:rPr>
          <w:t>Annex 5: Competitiveness check</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_Toc151564843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143</w:t>
        </w:r>
        <w:r w:rsidR="00953A8E" w:rsidRPr="00532C20">
          <w:rPr>
            <w:rFonts w:ascii="Times New Roman" w:hAnsi="Times New Roman" w:cs="Times New Roman"/>
            <w:noProof/>
            <w:webHidden/>
          </w:rPr>
          <w:fldChar w:fldCharType="end"/>
        </w:r>
      </w:hyperlink>
    </w:p>
    <w:p w14:paraId="75F2588A"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844" w:history="1">
        <w:r w:rsidR="00953A8E" w:rsidRPr="00532C20">
          <w:rPr>
            <w:rStyle w:val="Hyperlink"/>
            <w:rFonts w:ascii="Times New Roman" w:hAnsi="Times New Roman" w:cs="Times New Roman"/>
            <w:noProof/>
          </w:rPr>
          <w:t>Annex 6: Evidence of current and potential future fragmentation in the regulation of interest representation activities across the internal market</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_Toc151564844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144</w:t>
        </w:r>
        <w:r w:rsidR="00953A8E" w:rsidRPr="00532C20">
          <w:rPr>
            <w:rFonts w:ascii="Times New Roman" w:hAnsi="Times New Roman" w:cs="Times New Roman"/>
            <w:noProof/>
            <w:webHidden/>
          </w:rPr>
          <w:fldChar w:fldCharType="end"/>
        </w:r>
      </w:hyperlink>
    </w:p>
    <w:p w14:paraId="6D3BAA4E"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845" w:history="1">
        <w:r w:rsidR="00953A8E" w:rsidRPr="00532C20">
          <w:rPr>
            <w:rStyle w:val="Hyperlink"/>
            <w:rFonts w:ascii="Times New Roman" w:hAnsi="Times New Roman" w:cs="Times New Roman"/>
            <w:noProof/>
          </w:rPr>
          <w:t>Annex 7: Analysis of administrative fines and thresholds for information requests</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_Toc151564845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162</w:t>
        </w:r>
        <w:r w:rsidR="00953A8E" w:rsidRPr="00532C20">
          <w:rPr>
            <w:rFonts w:ascii="Times New Roman" w:hAnsi="Times New Roman" w:cs="Times New Roman"/>
            <w:noProof/>
            <w:webHidden/>
          </w:rPr>
          <w:fldChar w:fldCharType="end"/>
        </w:r>
      </w:hyperlink>
    </w:p>
    <w:p w14:paraId="25015C10"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846" w:history="1">
        <w:r w:rsidR="00953A8E" w:rsidRPr="00532C20">
          <w:rPr>
            <w:rStyle w:val="Hyperlink"/>
            <w:rFonts w:ascii="Times New Roman" w:hAnsi="Times New Roman" w:cs="Times New Roman"/>
            <w:noProof/>
          </w:rPr>
          <w:t>Annex 8: Fundamental rights impact</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_Toc151564846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168</w:t>
        </w:r>
        <w:r w:rsidR="00953A8E" w:rsidRPr="00532C20">
          <w:rPr>
            <w:rFonts w:ascii="Times New Roman" w:hAnsi="Times New Roman" w:cs="Times New Roman"/>
            <w:noProof/>
            <w:webHidden/>
          </w:rPr>
          <w:fldChar w:fldCharType="end"/>
        </w:r>
      </w:hyperlink>
    </w:p>
    <w:p w14:paraId="403590AD" w14:textId="77777777" w:rsidR="00953A8E" w:rsidRPr="00532C20" w:rsidRDefault="00F30A10" w:rsidP="00953A8E">
      <w:pPr>
        <w:pStyle w:val="TOC1"/>
        <w:tabs>
          <w:tab w:val="clear" w:pos="8640"/>
          <w:tab w:val="right" w:leader="dot" w:pos="8505"/>
        </w:tabs>
        <w:ind w:right="521"/>
        <w:rPr>
          <w:rFonts w:ascii="Times New Roman" w:eastAsiaTheme="minorEastAsia" w:hAnsi="Times New Roman" w:cs="Times New Roman"/>
          <w:caps w:val="0"/>
          <w:noProof/>
          <w:szCs w:val="22"/>
          <w:lang w:val="en-IE" w:eastAsia="en-IE"/>
        </w:rPr>
      </w:pPr>
      <w:hyperlink w:anchor="_Toc151564847" w:history="1">
        <w:r w:rsidR="00953A8E" w:rsidRPr="00532C20">
          <w:rPr>
            <w:rStyle w:val="Hyperlink"/>
            <w:rFonts w:ascii="Times New Roman" w:hAnsi="Times New Roman" w:cs="Times New Roman"/>
            <w:noProof/>
          </w:rPr>
          <w:t>Annex 9: The baseline</w:t>
        </w:r>
        <w:r w:rsidR="00953A8E" w:rsidRPr="00532C20">
          <w:rPr>
            <w:rFonts w:ascii="Times New Roman" w:hAnsi="Times New Roman" w:cs="Times New Roman"/>
            <w:noProof/>
            <w:webHidden/>
          </w:rPr>
          <w:tab/>
        </w:r>
        <w:r w:rsidR="00953A8E" w:rsidRPr="00532C20">
          <w:rPr>
            <w:rFonts w:ascii="Times New Roman" w:hAnsi="Times New Roman" w:cs="Times New Roman"/>
            <w:noProof/>
            <w:webHidden/>
          </w:rPr>
          <w:fldChar w:fldCharType="begin"/>
        </w:r>
        <w:r w:rsidR="00953A8E" w:rsidRPr="00532C20">
          <w:rPr>
            <w:rFonts w:ascii="Times New Roman" w:hAnsi="Times New Roman" w:cs="Times New Roman"/>
            <w:noProof/>
            <w:webHidden/>
          </w:rPr>
          <w:instrText xml:space="preserve"> PAGEREF _Toc151564847 \h </w:instrText>
        </w:r>
        <w:r w:rsidR="00953A8E" w:rsidRPr="00532C20">
          <w:rPr>
            <w:rFonts w:ascii="Times New Roman" w:hAnsi="Times New Roman" w:cs="Times New Roman"/>
            <w:noProof/>
            <w:webHidden/>
          </w:rPr>
        </w:r>
        <w:r w:rsidR="00953A8E" w:rsidRPr="00532C20">
          <w:rPr>
            <w:rFonts w:ascii="Times New Roman" w:hAnsi="Times New Roman" w:cs="Times New Roman"/>
            <w:noProof/>
            <w:webHidden/>
          </w:rPr>
          <w:fldChar w:fldCharType="separate"/>
        </w:r>
        <w:r w:rsidR="00953A8E">
          <w:rPr>
            <w:rFonts w:ascii="Times New Roman" w:hAnsi="Times New Roman" w:cs="Times New Roman"/>
            <w:noProof/>
            <w:webHidden/>
          </w:rPr>
          <w:t>174</w:t>
        </w:r>
        <w:r w:rsidR="00953A8E" w:rsidRPr="00532C20">
          <w:rPr>
            <w:rFonts w:ascii="Times New Roman" w:hAnsi="Times New Roman" w:cs="Times New Roman"/>
            <w:noProof/>
            <w:webHidden/>
          </w:rPr>
          <w:fldChar w:fldCharType="end"/>
        </w:r>
      </w:hyperlink>
    </w:p>
    <w:p w14:paraId="7A216A9B" w14:textId="61FC25E5" w:rsidR="00E370B9" w:rsidRDefault="00953A8E" w:rsidP="00953A8E">
      <w:pPr>
        <w:pStyle w:val="TOC1"/>
        <w:rPr>
          <w:rFonts w:ascii="Times New Roman" w:eastAsia="Times New Roman" w:hAnsi="Times New Roman" w:cs="Times New Roman"/>
          <w:b/>
          <w:noProof/>
          <w:sz w:val="24"/>
          <w:szCs w:val="24"/>
          <w:lang w:val="en-IE"/>
        </w:rPr>
      </w:pPr>
      <w:r w:rsidRPr="00532C20">
        <w:rPr>
          <w:rFonts w:ascii="Times New Roman" w:eastAsia="Times New Roman" w:hAnsi="Times New Roman" w:cs="Times New Roman"/>
          <w:b/>
          <w:noProof/>
          <w:sz w:val="24"/>
          <w:szCs w:val="24"/>
          <w:lang w:val="en-IE"/>
        </w:rPr>
        <w:fldChar w:fldCharType="end"/>
      </w:r>
    </w:p>
    <w:p w14:paraId="69A3856C" w14:textId="7678249C" w:rsidR="00465992" w:rsidRPr="00532C20" w:rsidRDefault="004274AB" w:rsidP="00E370B9">
      <w:pPr>
        <w:pStyle w:val="TOC1"/>
        <w:rPr>
          <w:rFonts w:ascii="Times New Roman" w:hAnsi="Times New Roman" w:cs="Times New Roman"/>
          <w:b/>
          <w:bCs/>
          <w:caps w:val="0"/>
          <w:noProof/>
          <w:sz w:val="24"/>
          <w:szCs w:val="24"/>
          <w:lang w:val="en-IE"/>
        </w:rPr>
      </w:pPr>
      <w:r w:rsidRPr="00532C20">
        <w:rPr>
          <w:rFonts w:ascii="Times New Roman" w:eastAsia="Times New Roman" w:hAnsi="Times New Roman" w:cs="Times New Roman"/>
          <w:b/>
          <w:noProof/>
          <w:sz w:val="24"/>
          <w:szCs w:val="24"/>
          <w:lang w:val="en-IE"/>
        </w:rPr>
        <w:fldChar w:fldCharType="begin"/>
      </w:r>
      <w:r w:rsidRPr="00532C20">
        <w:rPr>
          <w:rFonts w:ascii="Times New Roman" w:eastAsia="Times New Roman" w:hAnsi="Times New Roman" w:cs="Times New Roman"/>
          <w:b/>
          <w:noProof/>
          <w:sz w:val="24"/>
          <w:szCs w:val="24"/>
          <w:lang w:val="en-IE"/>
        </w:rPr>
        <w:instrText xml:space="preserve"> TOC \o "1-4" \h \z \u </w:instrText>
      </w:r>
      <w:r w:rsidRPr="00532C20">
        <w:rPr>
          <w:rFonts w:ascii="Times New Roman" w:eastAsia="Times New Roman" w:hAnsi="Times New Roman" w:cs="Times New Roman"/>
          <w:b/>
          <w:noProof/>
          <w:sz w:val="24"/>
          <w:szCs w:val="24"/>
          <w:lang w:val="en-IE"/>
        </w:rPr>
        <w:fldChar w:fldCharType="end"/>
      </w:r>
      <w:r w:rsidR="00465992" w:rsidRPr="00532C20">
        <w:rPr>
          <w:rFonts w:ascii="Times New Roman" w:hAnsi="Times New Roman" w:cs="Times New Roman"/>
          <w:b/>
          <w:bCs/>
          <w:caps w:val="0"/>
          <w:noProof/>
          <w:sz w:val="24"/>
          <w:szCs w:val="24"/>
          <w:lang w:val="en-IE"/>
        </w:rPr>
        <w:br w:type="page"/>
      </w:r>
    </w:p>
    <w:p w14:paraId="0A9F78AF" w14:textId="3FF56FE4" w:rsidR="00D3706C" w:rsidRPr="00532C20" w:rsidRDefault="00D3706C" w:rsidP="004B0958">
      <w:pPr>
        <w:spacing w:line="240" w:lineRule="auto"/>
        <w:jc w:val="center"/>
        <w:rPr>
          <w:rFonts w:ascii="Times New Roman" w:hAnsi="Times New Roman" w:cs="Times New Roman"/>
          <w:bCs/>
          <w:noProof/>
        </w:rPr>
      </w:pPr>
      <w:r w:rsidRPr="00532C20">
        <w:rPr>
          <w:rFonts w:ascii="Times New Roman" w:hAnsi="Times New Roman" w:cs="Times New Roman"/>
          <w:b/>
          <w:bCs/>
          <w:noProof/>
          <w:sz w:val="32"/>
          <w:szCs w:val="32"/>
        </w:rPr>
        <w:t>Glossary and acronyms</w:t>
      </w:r>
    </w:p>
    <w:tbl>
      <w:tblPr>
        <w:tblStyle w:val="CV16"/>
        <w:tblW w:w="0" w:type="auto"/>
        <w:tblLook w:val="04A0" w:firstRow="1" w:lastRow="0" w:firstColumn="1" w:lastColumn="0" w:noHBand="0" w:noVBand="1"/>
      </w:tblPr>
      <w:tblGrid>
        <w:gridCol w:w="2263"/>
        <w:gridCol w:w="6753"/>
      </w:tblGrid>
      <w:tr w:rsidR="00D3706C" w:rsidRPr="00532C20" w14:paraId="56268DEA" w14:textId="77777777" w:rsidTr="16AC7E58">
        <w:tc>
          <w:tcPr>
            <w:tcW w:w="2263" w:type="dxa"/>
            <w:tcBorders>
              <w:bottom w:val="single" w:sz="4" w:space="0" w:color="auto"/>
            </w:tcBorders>
            <w:shd w:val="clear" w:color="auto" w:fill="F2F2F2" w:themeFill="background1" w:themeFillShade="F2"/>
          </w:tcPr>
          <w:p w14:paraId="22E590D1" w14:textId="77777777" w:rsidR="00D3706C" w:rsidRPr="00532C20" w:rsidRDefault="00D3706C" w:rsidP="004B0958">
            <w:pPr>
              <w:spacing w:before="120"/>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Term or acronym</w:t>
            </w:r>
          </w:p>
        </w:tc>
        <w:tc>
          <w:tcPr>
            <w:tcW w:w="6753" w:type="dxa"/>
            <w:tcBorders>
              <w:bottom w:val="single" w:sz="4" w:space="0" w:color="auto"/>
            </w:tcBorders>
            <w:shd w:val="clear" w:color="auto" w:fill="F2F2F2" w:themeFill="background1" w:themeFillShade="F2"/>
          </w:tcPr>
          <w:p w14:paraId="5BF16117" w14:textId="77777777" w:rsidR="00D3706C" w:rsidRPr="00532C20" w:rsidRDefault="00D3706C" w:rsidP="004B0958">
            <w:pPr>
              <w:spacing w:before="120"/>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Meaning</w:t>
            </w:r>
          </w:p>
        </w:tc>
      </w:tr>
      <w:tr w:rsidR="00D1506D" w:rsidRPr="00532C20" w14:paraId="22D4172F" w14:textId="77777777" w:rsidTr="16AC7E58">
        <w:tc>
          <w:tcPr>
            <w:tcW w:w="2263" w:type="dxa"/>
            <w:tcBorders>
              <w:top w:val="single" w:sz="4" w:space="0" w:color="auto"/>
            </w:tcBorders>
            <w:tcMar>
              <w:top w:w="85" w:type="dxa"/>
              <w:left w:w="57" w:type="dxa"/>
              <w:bottom w:w="85" w:type="dxa"/>
              <w:right w:w="57" w:type="dxa"/>
            </w:tcMar>
          </w:tcPr>
          <w:p w14:paraId="53170030" w14:textId="1D60A57F" w:rsidR="00D1506D" w:rsidRPr="00532C20" w:rsidRDefault="00D1506D"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Actions on behalf of third countries </w:t>
            </w:r>
          </w:p>
        </w:tc>
        <w:tc>
          <w:tcPr>
            <w:tcW w:w="6753" w:type="dxa"/>
            <w:tcBorders>
              <w:top w:val="single" w:sz="4" w:space="0" w:color="auto"/>
            </w:tcBorders>
            <w:tcMar>
              <w:top w:w="85" w:type="dxa"/>
              <w:left w:w="57" w:type="dxa"/>
              <w:bottom w:w="85" w:type="dxa"/>
              <w:right w:w="57" w:type="dxa"/>
            </w:tcMar>
          </w:tcPr>
          <w:p w14:paraId="346F09B4" w14:textId="07791DF5" w:rsidR="00D1506D" w:rsidRPr="00532C20" w:rsidRDefault="00CA0720" w:rsidP="00D1506D">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A</w:t>
            </w:r>
            <w:r w:rsidR="00D1506D" w:rsidRPr="00532C20">
              <w:rPr>
                <w:rFonts w:ascii="Times New Roman" w:hAnsi="Times New Roman" w:cs="Times New Roman"/>
                <w:noProof/>
                <w:sz w:val="24"/>
                <w:szCs w:val="24"/>
                <w:lang w:val="en-IE"/>
              </w:rPr>
              <w:t>ctions that can ultimately be attributed to a central government or public authorities of a country. It would cover situations where a government is behind the decision of another entity to have interest representation activities carried out on its behalf, in particular by giving instructions or directives to that entity</w:t>
            </w:r>
            <w:r w:rsidR="00D1506D" w:rsidRPr="00532C20">
              <w:rPr>
                <w:rFonts w:ascii="Times New Roman" w:hAnsi="Times New Roman" w:cs="Times New Roman"/>
                <w:noProof/>
                <w:sz w:val="24"/>
                <w:szCs w:val="24"/>
                <w:vertAlign w:val="superscript"/>
                <w:lang w:val="en-IE"/>
              </w:rPr>
              <w:footnoteReference w:id="2"/>
            </w:r>
            <w:r w:rsidR="00D1506D" w:rsidRPr="00532C20">
              <w:rPr>
                <w:rFonts w:ascii="Times New Roman" w:hAnsi="Times New Roman" w:cs="Times New Roman"/>
                <w:noProof/>
                <w:sz w:val="24"/>
                <w:szCs w:val="24"/>
                <w:lang w:val="en-IE"/>
              </w:rPr>
              <w:t>. It would also cover entities that are controlled</w:t>
            </w:r>
            <w:r w:rsidR="00D1506D" w:rsidRPr="00532C20">
              <w:rPr>
                <w:rFonts w:ascii="Times New Roman" w:hAnsi="Times New Roman" w:cs="Times New Roman"/>
                <w:noProof/>
                <w:sz w:val="24"/>
                <w:szCs w:val="24"/>
                <w:vertAlign w:val="superscript"/>
                <w:lang w:val="en-IE"/>
              </w:rPr>
              <w:footnoteReference w:id="3"/>
            </w:r>
            <w:r w:rsidR="00D1506D" w:rsidRPr="00532C20">
              <w:rPr>
                <w:rFonts w:ascii="Times New Roman" w:hAnsi="Times New Roman" w:cs="Times New Roman"/>
                <w:noProof/>
                <w:sz w:val="24"/>
                <w:szCs w:val="24"/>
                <w:lang w:val="en-IE"/>
              </w:rPr>
              <w:t xml:space="preserve"> by the government or a public authority</w:t>
            </w:r>
            <w:bookmarkStart w:id="2" w:name="_Ref151564535"/>
            <w:r w:rsidRPr="00532C20">
              <w:rPr>
                <w:rStyle w:val="FootnoteReference"/>
                <w:rFonts w:ascii="Times New Roman" w:hAnsi="Times New Roman" w:cs="Times New Roman"/>
                <w:noProof/>
                <w:sz w:val="24"/>
                <w:szCs w:val="24"/>
                <w:lang w:val="en-IE"/>
              </w:rPr>
              <w:footnoteReference w:id="4"/>
            </w:r>
            <w:bookmarkEnd w:id="2"/>
            <w:r w:rsidR="00D1506D" w:rsidRPr="00532C20">
              <w:rPr>
                <w:rFonts w:ascii="Times New Roman" w:hAnsi="Times New Roman" w:cs="Times New Roman"/>
                <w:noProof/>
                <w:sz w:val="24"/>
                <w:szCs w:val="24"/>
                <w:lang w:val="en-IE"/>
              </w:rPr>
              <w:t xml:space="preserve">. </w:t>
            </w:r>
          </w:p>
        </w:tc>
      </w:tr>
      <w:tr w:rsidR="000C327F" w:rsidRPr="00532C20" w14:paraId="5C59F0CF" w14:textId="77777777" w:rsidTr="16AC7E58">
        <w:tc>
          <w:tcPr>
            <w:tcW w:w="2263" w:type="dxa"/>
            <w:tcBorders>
              <w:top w:val="single" w:sz="4" w:space="0" w:color="auto"/>
            </w:tcBorders>
            <w:tcMar>
              <w:top w:w="85" w:type="dxa"/>
              <w:left w:w="57" w:type="dxa"/>
              <w:bottom w:w="85" w:type="dxa"/>
              <w:right w:w="57" w:type="dxa"/>
            </w:tcMar>
          </w:tcPr>
          <w:p w14:paraId="6D47FACA" w14:textId="4362AC19" w:rsidR="000C327F" w:rsidRPr="00532C20" w:rsidRDefault="000C327F"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AVMSD </w:t>
            </w:r>
          </w:p>
        </w:tc>
        <w:tc>
          <w:tcPr>
            <w:tcW w:w="6753" w:type="dxa"/>
            <w:tcBorders>
              <w:top w:val="single" w:sz="4" w:space="0" w:color="auto"/>
            </w:tcBorders>
            <w:tcMar>
              <w:top w:w="85" w:type="dxa"/>
              <w:left w:w="57" w:type="dxa"/>
              <w:bottom w:w="85" w:type="dxa"/>
              <w:right w:w="57" w:type="dxa"/>
            </w:tcMar>
          </w:tcPr>
          <w:p w14:paraId="7D6D1209" w14:textId="2B21078A" w:rsidR="000C327F" w:rsidRPr="00532C20" w:rsidRDefault="000C327F" w:rsidP="00D1506D">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Audiovisual Media Services Directive </w:t>
            </w:r>
          </w:p>
        </w:tc>
      </w:tr>
      <w:tr w:rsidR="002960DC" w:rsidRPr="00532C20" w14:paraId="1AF74B40" w14:textId="77777777" w:rsidTr="16AC7E58">
        <w:tc>
          <w:tcPr>
            <w:tcW w:w="2263" w:type="dxa"/>
            <w:tcBorders>
              <w:top w:val="single" w:sz="4" w:space="0" w:color="auto"/>
            </w:tcBorders>
            <w:tcMar>
              <w:top w:w="85" w:type="dxa"/>
              <w:left w:w="57" w:type="dxa"/>
              <w:bottom w:w="85" w:type="dxa"/>
              <w:right w:w="57" w:type="dxa"/>
            </w:tcMar>
          </w:tcPr>
          <w:p w14:paraId="3A02EB90" w14:textId="43F67CB4" w:rsidR="002960DC" w:rsidRPr="00532C20" w:rsidRDefault="002960DC"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CER Directive </w:t>
            </w:r>
          </w:p>
        </w:tc>
        <w:tc>
          <w:tcPr>
            <w:tcW w:w="6753" w:type="dxa"/>
            <w:tcBorders>
              <w:top w:val="single" w:sz="4" w:space="0" w:color="auto"/>
            </w:tcBorders>
            <w:tcMar>
              <w:top w:w="85" w:type="dxa"/>
              <w:left w:w="57" w:type="dxa"/>
              <w:bottom w:w="85" w:type="dxa"/>
              <w:right w:w="57" w:type="dxa"/>
            </w:tcMar>
          </w:tcPr>
          <w:p w14:paraId="1D13C849" w14:textId="44EA2A07" w:rsidR="002960DC" w:rsidRPr="00532C20" w:rsidRDefault="002960DC" w:rsidP="00D1506D">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Critical Entities Resilience Directive </w:t>
            </w:r>
          </w:p>
        </w:tc>
      </w:tr>
      <w:tr w:rsidR="002960DC" w:rsidRPr="00532C20" w14:paraId="0FE81DAE" w14:textId="77777777" w:rsidTr="16AC7E58">
        <w:tc>
          <w:tcPr>
            <w:tcW w:w="2263" w:type="dxa"/>
            <w:tcBorders>
              <w:top w:val="single" w:sz="4" w:space="0" w:color="auto"/>
            </w:tcBorders>
            <w:tcMar>
              <w:top w:w="85" w:type="dxa"/>
              <w:left w:w="57" w:type="dxa"/>
              <w:bottom w:w="85" w:type="dxa"/>
              <w:right w:w="57" w:type="dxa"/>
            </w:tcMar>
          </w:tcPr>
          <w:p w14:paraId="55E3AFFA" w14:textId="4A54958B" w:rsidR="002960DC" w:rsidRPr="00532C20" w:rsidRDefault="002960DC"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CFSP</w:t>
            </w:r>
          </w:p>
        </w:tc>
        <w:tc>
          <w:tcPr>
            <w:tcW w:w="6753" w:type="dxa"/>
            <w:tcBorders>
              <w:top w:val="single" w:sz="4" w:space="0" w:color="auto"/>
            </w:tcBorders>
            <w:tcMar>
              <w:top w:w="85" w:type="dxa"/>
              <w:left w:w="57" w:type="dxa"/>
              <w:bottom w:w="85" w:type="dxa"/>
              <w:right w:w="57" w:type="dxa"/>
            </w:tcMar>
          </w:tcPr>
          <w:p w14:paraId="1AE2F545" w14:textId="7747E9B7" w:rsidR="002960DC" w:rsidRPr="00532C20" w:rsidRDefault="002960DC" w:rsidP="00D1506D">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Common Foreign and Security Policy </w:t>
            </w:r>
          </w:p>
        </w:tc>
      </w:tr>
      <w:tr w:rsidR="00D1506D" w:rsidRPr="00532C20" w14:paraId="0DABDE2B" w14:textId="77777777" w:rsidTr="16AC7E58">
        <w:tc>
          <w:tcPr>
            <w:tcW w:w="2263" w:type="dxa"/>
            <w:tcBorders>
              <w:top w:val="single" w:sz="4" w:space="0" w:color="auto"/>
            </w:tcBorders>
            <w:tcMar>
              <w:top w:w="85" w:type="dxa"/>
              <w:left w:w="57" w:type="dxa"/>
              <w:bottom w:w="85" w:type="dxa"/>
              <w:right w:w="57" w:type="dxa"/>
            </w:tcMar>
          </w:tcPr>
          <w:p w14:paraId="31C7B0C4" w14:textId="54EACFDB" w:rsidR="00D1506D" w:rsidRPr="00532C20" w:rsidRDefault="00D1506D" w:rsidP="00313F32">
            <w:pPr>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Civil society organisation (CSO) </w:t>
            </w:r>
          </w:p>
        </w:tc>
        <w:tc>
          <w:tcPr>
            <w:tcW w:w="6753" w:type="dxa"/>
            <w:tcBorders>
              <w:top w:val="single" w:sz="4" w:space="0" w:color="auto"/>
            </w:tcBorders>
            <w:tcMar>
              <w:top w:w="85" w:type="dxa"/>
              <w:left w:w="57" w:type="dxa"/>
              <w:bottom w:w="85" w:type="dxa"/>
              <w:right w:w="57" w:type="dxa"/>
            </w:tcMar>
          </w:tcPr>
          <w:p w14:paraId="54D515A3" w14:textId="7F08AAC3" w:rsidR="00D1506D" w:rsidRPr="00532C20" w:rsidRDefault="00CA0720" w:rsidP="00D1506D">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rPr>
              <w:t>N</w:t>
            </w:r>
            <w:r w:rsidR="00D1506D" w:rsidRPr="00532C20">
              <w:rPr>
                <w:rFonts w:ascii="Times New Roman" w:hAnsi="Times New Roman" w:cs="Times New Roman"/>
                <w:noProof/>
                <w:sz w:val="24"/>
                <w:szCs w:val="24"/>
              </w:rPr>
              <w:t>on-governmental organisations and institutions of civil society, active in the field of fundamental rights, which are voluntary self-governing bodies or organisations established to pursue the essentially non-profit-making objectives of their founders or members.</w:t>
            </w:r>
            <w:r w:rsidR="008E1590" w:rsidRPr="00532C20">
              <w:rPr>
                <w:rStyle w:val="FootnoteReference"/>
                <w:rFonts w:ascii="Times New Roman" w:hAnsi="Times New Roman" w:cs="Times New Roman"/>
                <w:noProof/>
                <w:sz w:val="24"/>
                <w:szCs w:val="24"/>
              </w:rPr>
              <w:footnoteReference w:id="5"/>
            </w:r>
          </w:p>
        </w:tc>
      </w:tr>
      <w:tr w:rsidR="00C868BA" w:rsidRPr="00532C20" w14:paraId="0DF68E44" w14:textId="77777777" w:rsidTr="16AC7E58">
        <w:tc>
          <w:tcPr>
            <w:tcW w:w="2263" w:type="dxa"/>
            <w:tcBorders>
              <w:top w:val="single" w:sz="4" w:space="0" w:color="auto"/>
            </w:tcBorders>
            <w:tcMar>
              <w:top w:w="85" w:type="dxa"/>
              <w:left w:w="57" w:type="dxa"/>
              <w:bottom w:w="85" w:type="dxa"/>
              <w:right w:w="57" w:type="dxa"/>
            </w:tcMar>
          </w:tcPr>
          <w:p w14:paraId="0F11B25B" w14:textId="065BCCAA" w:rsidR="00C868BA" w:rsidRPr="00532C20" w:rsidRDefault="00C868BA"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DSA</w:t>
            </w:r>
          </w:p>
        </w:tc>
        <w:tc>
          <w:tcPr>
            <w:tcW w:w="6753" w:type="dxa"/>
            <w:tcBorders>
              <w:top w:val="single" w:sz="4" w:space="0" w:color="auto"/>
            </w:tcBorders>
            <w:tcMar>
              <w:top w:w="85" w:type="dxa"/>
              <w:left w:w="57" w:type="dxa"/>
              <w:bottom w:w="85" w:type="dxa"/>
              <w:right w:w="57" w:type="dxa"/>
            </w:tcMar>
          </w:tcPr>
          <w:p w14:paraId="34F3F479" w14:textId="3E4EA05E" w:rsidR="00C868BA" w:rsidRPr="00532C20" w:rsidRDefault="00C868BA" w:rsidP="00D1506D">
            <w:pPr>
              <w:jc w:val="both"/>
              <w:rPr>
                <w:rFonts w:ascii="Times New Roman" w:hAnsi="Times New Roman" w:cs="Times New Roman"/>
                <w:noProof/>
                <w:sz w:val="24"/>
                <w:szCs w:val="24"/>
              </w:rPr>
            </w:pPr>
            <w:r w:rsidRPr="00532C20">
              <w:rPr>
                <w:rFonts w:ascii="Times New Roman" w:hAnsi="Times New Roman" w:cs="Times New Roman"/>
                <w:noProof/>
                <w:sz w:val="24"/>
                <w:szCs w:val="24"/>
              </w:rPr>
              <w:t xml:space="preserve">Digital Services Act </w:t>
            </w:r>
          </w:p>
        </w:tc>
      </w:tr>
      <w:tr w:rsidR="00637DF6" w:rsidRPr="00532C20" w14:paraId="6ECDD78B" w14:textId="77777777" w:rsidTr="16AC7E58">
        <w:tc>
          <w:tcPr>
            <w:tcW w:w="2263" w:type="dxa"/>
            <w:tcBorders>
              <w:top w:val="single" w:sz="4" w:space="0" w:color="auto"/>
            </w:tcBorders>
            <w:tcMar>
              <w:top w:w="85" w:type="dxa"/>
              <w:left w:w="57" w:type="dxa"/>
              <w:bottom w:w="85" w:type="dxa"/>
              <w:right w:w="57" w:type="dxa"/>
            </w:tcMar>
          </w:tcPr>
          <w:p w14:paraId="25DB7519" w14:textId="0FB75124" w:rsidR="00637DF6" w:rsidRPr="00532C20" w:rsidRDefault="00637DF6"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ECNE </w:t>
            </w:r>
          </w:p>
        </w:tc>
        <w:tc>
          <w:tcPr>
            <w:tcW w:w="6753" w:type="dxa"/>
            <w:tcBorders>
              <w:top w:val="single" w:sz="4" w:space="0" w:color="auto"/>
            </w:tcBorders>
            <w:tcMar>
              <w:top w:w="85" w:type="dxa"/>
              <w:left w:w="57" w:type="dxa"/>
              <w:bottom w:w="85" w:type="dxa"/>
              <w:right w:w="57" w:type="dxa"/>
            </w:tcMar>
          </w:tcPr>
          <w:p w14:paraId="6F280ED4" w14:textId="33461749" w:rsidR="00637DF6" w:rsidRPr="00532C20" w:rsidRDefault="00637DF6" w:rsidP="00D1506D">
            <w:pPr>
              <w:jc w:val="both"/>
              <w:rPr>
                <w:rFonts w:ascii="Times New Roman" w:hAnsi="Times New Roman" w:cs="Times New Roman"/>
                <w:noProof/>
                <w:sz w:val="24"/>
                <w:szCs w:val="24"/>
              </w:rPr>
            </w:pPr>
            <w:r w:rsidRPr="00532C20">
              <w:rPr>
                <w:rFonts w:ascii="Times New Roman" w:hAnsi="Times New Roman" w:cs="Times New Roman"/>
                <w:noProof/>
                <w:sz w:val="24"/>
                <w:szCs w:val="24"/>
              </w:rPr>
              <w:t xml:space="preserve">European </w:t>
            </w:r>
            <w:r w:rsidR="004022B8" w:rsidRPr="00532C20">
              <w:rPr>
                <w:rFonts w:ascii="Times New Roman" w:hAnsi="Times New Roman" w:cs="Times New Roman"/>
                <w:noProof/>
                <w:sz w:val="24"/>
                <w:szCs w:val="24"/>
              </w:rPr>
              <w:t xml:space="preserve">Cooperation Network on Elections </w:t>
            </w:r>
          </w:p>
        </w:tc>
      </w:tr>
      <w:tr w:rsidR="007D56DD" w:rsidRPr="00532C20" w14:paraId="79DBE2A0" w14:textId="77777777" w:rsidTr="16AC7E58">
        <w:tc>
          <w:tcPr>
            <w:tcW w:w="2263" w:type="dxa"/>
            <w:tcBorders>
              <w:top w:val="single" w:sz="4" w:space="0" w:color="auto"/>
            </w:tcBorders>
            <w:tcMar>
              <w:top w:w="85" w:type="dxa"/>
              <w:left w:w="57" w:type="dxa"/>
              <w:bottom w:w="85" w:type="dxa"/>
              <w:right w:w="57" w:type="dxa"/>
            </w:tcMar>
          </w:tcPr>
          <w:p w14:paraId="7C83AB72" w14:textId="24F65F9B" w:rsidR="007D56DD" w:rsidRPr="00532C20" w:rsidRDefault="007D56DD"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EMFA </w:t>
            </w:r>
          </w:p>
        </w:tc>
        <w:tc>
          <w:tcPr>
            <w:tcW w:w="6753" w:type="dxa"/>
            <w:tcBorders>
              <w:top w:val="single" w:sz="4" w:space="0" w:color="auto"/>
            </w:tcBorders>
            <w:tcMar>
              <w:top w:w="85" w:type="dxa"/>
              <w:left w:w="57" w:type="dxa"/>
              <w:bottom w:w="85" w:type="dxa"/>
              <w:right w:w="57" w:type="dxa"/>
            </w:tcMar>
          </w:tcPr>
          <w:p w14:paraId="625534EA" w14:textId="2EBFF6C6" w:rsidR="007D56DD" w:rsidRPr="00532C20" w:rsidRDefault="007D56DD" w:rsidP="00D1506D">
            <w:pPr>
              <w:jc w:val="both"/>
              <w:rPr>
                <w:rFonts w:ascii="Times New Roman" w:hAnsi="Times New Roman" w:cs="Times New Roman"/>
                <w:noProof/>
                <w:sz w:val="24"/>
                <w:szCs w:val="24"/>
              </w:rPr>
            </w:pPr>
            <w:r w:rsidRPr="00532C20">
              <w:rPr>
                <w:rFonts w:ascii="Times New Roman" w:hAnsi="Times New Roman" w:cs="Times New Roman"/>
                <w:noProof/>
                <w:sz w:val="24"/>
                <w:szCs w:val="24"/>
              </w:rPr>
              <w:t xml:space="preserve">European Media Freedom Act </w:t>
            </w:r>
          </w:p>
        </w:tc>
      </w:tr>
      <w:tr w:rsidR="001F5F37" w:rsidRPr="00532C20" w14:paraId="3163BDB7" w14:textId="77777777" w:rsidTr="16AC7E58">
        <w:tc>
          <w:tcPr>
            <w:tcW w:w="2263" w:type="dxa"/>
            <w:tcBorders>
              <w:top w:val="single" w:sz="4" w:space="0" w:color="auto"/>
            </w:tcBorders>
            <w:tcMar>
              <w:top w:w="85" w:type="dxa"/>
              <w:left w:w="57" w:type="dxa"/>
              <w:bottom w:w="85" w:type="dxa"/>
              <w:right w:w="57" w:type="dxa"/>
            </w:tcMar>
          </w:tcPr>
          <w:p w14:paraId="3251FB19" w14:textId="46046587" w:rsidR="001F5F37" w:rsidRPr="00532C20" w:rsidRDefault="001F5F37"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FDI </w:t>
            </w:r>
          </w:p>
        </w:tc>
        <w:tc>
          <w:tcPr>
            <w:tcW w:w="6753" w:type="dxa"/>
            <w:tcBorders>
              <w:top w:val="single" w:sz="4" w:space="0" w:color="auto"/>
            </w:tcBorders>
            <w:tcMar>
              <w:top w:w="85" w:type="dxa"/>
              <w:left w:w="57" w:type="dxa"/>
              <w:bottom w:w="85" w:type="dxa"/>
              <w:right w:w="57" w:type="dxa"/>
            </w:tcMar>
          </w:tcPr>
          <w:p w14:paraId="0E1AB378" w14:textId="750D8A47" w:rsidR="001F5F37" w:rsidRPr="00532C20" w:rsidRDefault="001F5F37" w:rsidP="00D1506D">
            <w:pPr>
              <w:jc w:val="both"/>
              <w:rPr>
                <w:rFonts w:ascii="Times New Roman" w:hAnsi="Times New Roman" w:cs="Times New Roman"/>
                <w:noProof/>
                <w:sz w:val="24"/>
                <w:szCs w:val="24"/>
              </w:rPr>
            </w:pPr>
            <w:r w:rsidRPr="00532C20">
              <w:rPr>
                <w:rFonts w:ascii="Times New Roman" w:hAnsi="Times New Roman" w:cs="Times New Roman"/>
                <w:noProof/>
                <w:sz w:val="24"/>
                <w:szCs w:val="24"/>
              </w:rPr>
              <w:t xml:space="preserve">Foreign direct investment </w:t>
            </w:r>
          </w:p>
        </w:tc>
      </w:tr>
      <w:tr w:rsidR="00D3788B" w:rsidRPr="00532C20" w14:paraId="6730D36A" w14:textId="77777777" w:rsidTr="16AC7E58">
        <w:tc>
          <w:tcPr>
            <w:tcW w:w="2263" w:type="dxa"/>
            <w:tcBorders>
              <w:top w:val="single" w:sz="4" w:space="0" w:color="auto"/>
            </w:tcBorders>
            <w:tcMar>
              <w:top w:w="85" w:type="dxa"/>
              <w:left w:w="57" w:type="dxa"/>
              <w:bottom w:w="85" w:type="dxa"/>
              <w:right w:w="57" w:type="dxa"/>
            </w:tcMar>
          </w:tcPr>
          <w:p w14:paraId="10186CAB" w14:textId="52C936D8" w:rsidR="00D3788B" w:rsidRPr="00532C20" w:rsidRDefault="00D3788B"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FIMI </w:t>
            </w:r>
          </w:p>
        </w:tc>
        <w:tc>
          <w:tcPr>
            <w:tcW w:w="6753" w:type="dxa"/>
            <w:tcBorders>
              <w:top w:val="single" w:sz="4" w:space="0" w:color="auto"/>
            </w:tcBorders>
            <w:tcMar>
              <w:top w:w="85" w:type="dxa"/>
              <w:left w:w="57" w:type="dxa"/>
              <w:bottom w:w="85" w:type="dxa"/>
              <w:right w:w="57" w:type="dxa"/>
            </w:tcMar>
          </w:tcPr>
          <w:p w14:paraId="140D8EED" w14:textId="281F52E5" w:rsidR="00D3788B" w:rsidRPr="00532C20" w:rsidRDefault="00D3788B" w:rsidP="00D1506D">
            <w:pPr>
              <w:jc w:val="both"/>
              <w:rPr>
                <w:rFonts w:ascii="Times New Roman" w:hAnsi="Times New Roman" w:cs="Times New Roman"/>
                <w:noProof/>
                <w:sz w:val="24"/>
                <w:szCs w:val="24"/>
              </w:rPr>
            </w:pPr>
            <w:r w:rsidRPr="00532C20">
              <w:rPr>
                <w:rFonts w:ascii="Times New Roman" w:hAnsi="Times New Roman" w:cs="Times New Roman"/>
                <w:noProof/>
                <w:sz w:val="24"/>
                <w:szCs w:val="24"/>
              </w:rPr>
              <w:t>Foreign information manipulation and interference</w:t>
            </w:r>
          </w:p>
        </w:tc>
      </w:tr>
      <w:tr w:rsidR="00D1506D" w:rsidRPr="00532C20" w14:paraId="3219FA53" w14:textId="77777777" w:rsidTr="16AC7E58">
        <w:tc>
          <w:tcPr>
            <w:tcW w:w="2263" w:type="dxa"/>
            <w:tcBorders>
              <w:top w:val="single" w:sz="4" w:space="0" w:color="auto"/>
            </w:tcBorders>
            <w:tcMar>
              <w:top w:w="85" w:type="dxa"/>
              <w:left w:w="57" w:type="dxa"/>
              <w:bottom w:w="85" w:type="dxa"/>
              <w:right w:w="57" w:type="dxa"/>
            </w:tcMar>
          </w:tcPr>
          <w:p w14:paraId="6256F027" w14:textId="04883650" w:rsidR="00D1506D" w:rsidRPr="00532C20" w:rsidRDefault="00D1506D"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Foreign influence</w:t>
            </w:r>
          </w:p>
        </w:tc>
        <w:tc>
          <w:tcPr>
            <w:tcW w:w="6753" w:type="dxa"/>
            <w:tcBorders>
              <w:top w:val="single" w:sz="4" w:space="0" w:color="auto"/>
            </w:tcBorders>
            <w:tcMar>
              <w:top w:w="85" w:type="dxa"/>
              <w:left w:w="57" w:type="dxa"/>
              <w:bottom w:w="85" w:type="dxa"/>
              <w:right w:w="57" w:type="dxa"/>
            </w:tcMar>
          </w:tcPr>
          <w:p w14:paraId="3C4805F9" w14:textId="0D9A4B10" w:rsidR="00D1506D" w:rsidRPr="00532C20" w:rsidRDefault="00D1506D" w:rsidP="00D1506D">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Intervention by third country governments to influence the democratic sphere including legislation and policies, also by shaping public opinion in a way which benefits their interests. </w:t>
            </w:r>
          </w:p>
        </w:tc>
      </w:tr>
      <w:tr w:rsidR="00D1506D" w:rsidRPr="00532C20" w14:paraId="270CDD53" w14:textId="77777777" w:rsidTr="16AC7E58">
        <w:tc>
          <w:tcPr>
            <w:tcW w:w="2263" w:type="dxa"/>
            <w:tcBorders>
              <w:top w:val="single" w:sz="4" w:space="0" w:color="auto"/>
            </w:tcBorders>
            <w:tcMar>
              <w:top w:w="85" w:type="dxa"/>
              <w:left w:w="57" w:type="dxa"/>
              <w:bottom w:w="85" w:type="dxa"/>
              <w:right w:w="57" w:type="dxa"/>
            </w:tcMar>
          </w:tcPr>
          <w:p w14:paraId="47121D16" w14:textId="507DC42F" w:rsidR="00D1506D" w:rsidRPr="00532C20" w:rsidRDefault="00D1506D"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Foreign interference</w:t>
            </w:r>
          </w:p>
        </w:tc>
        <w:tc>
          <w:tcPr>
            <w:tcW w:w="6753" w:type="dxa"/>
            <w:tcBorders>
              <w:top w:val="single" w:sz="4" w:space="0" w:color="auto"/>
            </w:tcBorders>
            <w:tcMar>
              <w:top w:w="85" w:type="dxa"/>
              <w:left w:w="57" w:type="dxa"/>
              <w:bottom w:w="85" w:type="dxa"/>
              <w:right w:w="57" w:type="dxa"/>
            </w:tcMar>
          </w:tcPr>
          <w:p w14:paraId="1CF2BB6C" w14:textId="1758956C" w:rsidR="00D1506D" w:rsidRPr="00532C20" w:rsidRDefault="00D1506D" w:rsidP="00D1506D">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Foreign interference is used to differentiate between influencing activities that are integral to diplomatic relations and activities that are carried out by, or on behalf of, a foreign state-level actor, which are coercive, covert, deceptive, or corrupting and are contrary to the sovereignty, values, and interests of the Union.</w:t>
            </w:r>
            <w:r w:rsidRPr="00532C20">
              <w:rPr>
                <w:rStyle w:val="FootnoteReference"/>
                <w:rFonts w:ascii="Times New Roman" w:hAnsi="Times New Roman" w:cs="Times New Roman"/>
                <w:noProof/>
                <w:sz w:val="24"/>
                <w:szCs w:val="24"/>
                <w:lang w:val="en-IE"/>
              </w:rPr>
              <w:footnoteReference w:id="6"/>
            </w:r>
          </w:p>
        </w:tc>
      </w:tr>
      <w:tr w:rsidR="000C327F" w:rsidRPr="00532C20" w14:paraId="7184BB19" w14:textId="77777777" w:rsidTr="16AC7E58">
        <w:tc>
          <w:tcPr>
            <w:tcW w:w="2263" w:type="dxa"/>
            <w:tcBorders>
              <w:top w:val="single" w:sz="4" w:space="0" w:color="auto"/>
            </w:tcBorders>
            <w:tcMar>
              <w:top w:w="85" w:type="dxa"/>
              <w:left w:w="57" w:type="dxa"/>
              <w:bottom w:w="85" w:type="dxa"/>
              <w:right w:w="57" w:type="dxa"/>
            </w:tcMar>
          </w:tcPr>
          <w:p w14:paraId="5CF147DF" w14:textId="412FC1E2" w:rsidR="000C327F" w:rsidRPr="00532C20" w:rsidRDefault="000C327F"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GDPR </w:t>
            </w:r>
          </w:p>
        </w:tc>
        <w:tc>
          <w:tcPr>
            <w:tcW w:w="6753" w:type="dxa"/>
            <w:tcBorders>
              <w:top w:val="single" w:sz="4" w:space="0" w:color="auto"/>
            </w:tcBorders>
            <w:tcMar>
              <w:top w:w="85" w:type="dxa"/>
              <w:left w:w="57" w:type="dxa"/>
              <w:bottom w:w="85" w:type="dxa"/>
              <w:right w:w="57" w:type="dxa"/>
            </w:tcMar>
          </w:tcPr>
          <w:p w14:paraId="2F5F2E6C" w14:textId="7EA246E8" w:rsidR="000C327F" w:rsidRPr="00532C20" w:rsidRDefault="00171C85" w:rsidP="00D1506D">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General Data Protection Regulation </w:t>
            </w:r>
          </w:p>
        </w:tc>
      </w:tr>
      <w:tr w:rsidR="00071CEB" w:rsidRPr="00532C20" w14:paraId="23ADEA62" w14:textId="77777777" w:rsidTr="16AC7E58">
        <w:tc>
          <w:tcPr>
            <w:tcW w:w="2263" w:type="dxa"/>
            <w:tcBorders>
              <w:top w:val="single" w:sz="4" w:space="0" w:color="auto"/>
            </w:tcBorders>
            <w:tcMar>
              <w:top w:w="85" w:type="dxa"/>
              <w:left w:w="57" w:type="dxa"/>
              <w:bottom w:w="85" w:type="dxa"/>
              <w:right w:w="57" w:type="dxa"/>
            </w:tcMar>
          </w:tcPr>
          <w:p w14:paraId="3B4FA525" w14:textId="459E5446" w:rsidR="00071CEB" w:rsidRPr="00532C20" w:rsidRDefault="00071CEB"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IMI system </w:t>
            </w:r>
          </w:p>
        </w:tc>
        <w:tc>
          <w:tcPr>
            <w:tcW w:w="6753" w:type="dxa"/>
            <w:tcBorders>
              <w:top w:val="single" w:sz="4" w:space="0" w:color="auto"/>
            </w:tcBorders>
            <w:tcMar>
              <w:top w:w="85" w:type="dxa"/>
              <w:left w:w="57" w:type="dxa"/>
              <w:bottom w:w="85" w:type="dxa"/>
              <w:right w:w="57" w:type="dxa"/>
            </w:tcMar>
          </w:tcPr>
          <w:p w14:paraId="797F4CB0" w14:textId="3A0183E9" w:rsidR="00071CEB" w:rsidRPr="00532C20" w:rsidRDefault="00071CEB" w:rsidP="00D1506D">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Internal Market Information System</w:t>
            </w:r>
          </w:p>
        </w:tc>
      </w:tr>
      <w:tr w:rsidR="00D1506D" w:rsidRPr="00532C20" w14:paraId="159912F7" w14:textId="77777777" w:rsidTr="16AC7E58">
        <w:tc>
          <w:tcPr>
            <w:tcW w:w="2263" w:type="dxa"/>
            <w:tcBorders>
              <w:top w:val="single" w:sz="4" w:space="0" w:color="auto"/>
            </w:tcBorders>
            <w:tcMar>
              <w:top w:w="85" w:type="dxa"/>
              <w:left w:w="57" w:type="dxa"/>
              <w:bottom w:w="85" w:type="dxa"/>
              <w:right w:w="57" w:type="dxa"/>
            </w:tcMar>
          </w:tcPr>
          <w:p w14:paraId="634B6AA9" w14:textId="77777777" w:rsidR="00D1506D" w:rsidRPr="00532C20" w:rsidRDefault="00D1506D"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Interest representation</w:t>
            </w:r>
          </w:p>
        </w:tc>
        <w:tc>
          <w:tcPr>
            <w:tcW w:w="6753" w:type="dxa"/>
            <w:tcBorders>
              <w:top w:val="single" w:sz="4" w:space="0" w:color="auto"/>
            </w:tcBorders>
            <w:tcMar>
              <w:top w:w="85" w:type="dxa"/>
              <w:left w:w="57" w:type="dxa"/>
              <w:bottom w:w="85" w:type="dxa"/>
              <w:right w:w="57" w:type="dxa"/>
            </w:tcMar>
          </w:tcPr>
          <w:p w14:paraId="7CEDA77F" w14:textId="77777777" w:rsidR="00D1506D" w:rsidRPr="00532C20" w:rsidRDefault="00D1506D" w:rsidP="00D1506D">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Interest representation means an activity conducted with the objective of influencing the development, formulation or implementation of policy or legislation, or public decision-making processes in the Union. </w:t>
            </w:r>
          </w:p>
          <w:p w14:paraId="11D5150F" w14:textId="77777777" w:rsidR="00D1506D" w:rsidRPr="00532C20" w:rsidRDefault="00D1506D" w:rsidP="00D1506D">
            <w:pPr>
              <w:jc w:val="both"/>
              <w:rPr>
                <w:rFonts w:ascii="Times New Roman" w:hAnsi="Times New Roman" w:cs="Times New Roman"/>
                <w:noProof/>
                <w:sz w:val="24"/>
                <w:szCs w:val="24"/>
                <w:lang w:val="en-IE"/>
              </w:rPr>
            </w:pPr>
          </w:p>
          <w:p w14:paraId="32698827" w14:textId="4D5D70E8" w:rsidR="00D1506D" w:rsidRPr="00532C20" w:rsidRDefault="00D1506D" w:rsidP="00D1506D">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It cover</w:t>
            </w:r>
            <w:r w:rsidR="00CA752E" w:rsidRPr="00532C20">
              <w:rPr>
                <w:rFonts w:ascii="Times New Roman" w:hAnsi="Times New Roman" w:cs="Times New Roman"/>
                <w:noProof/>
                <w:sz w:val="24"/>
                <w:szCs w:val="24"/>
                <w:lang w:val="en-IE"/>
              </w:rPr>
              <w:t>s</w:t>
            </w:r>
            <w:r w:rsidRPr="00532C20">
              <w:rPr>
                <w:rFonts w:ascii="Times New Roman" w:hAnsi="Times New Roman" w:cs="Times New Roman"/>
                <w:noProof/>
                <w:sz w:val="24"/>
                <w:szCs w:val="24"/>
                <w:lang w:val="en-IE"/>
              </w:rPr>
              <w:t xml:space="preserve"> a broad range of activities. It would include both activities that aim to influence public decision-making both </w:t>
            </w:r>
            <w:r w:rsidRPr="00532C20">
              <w:rPr>
                <w:rFonts w:ascii="Times New Roman" w:hAnsi="Times New Roman" w:cs="Times New Roman"/>
                <w:b/>
                <w:bCs/>
                <w:noProof/>
                <w:sz w:val="24"/>
                <w:szCs w:val="24"/>
                <w:lang w:val="en-IE"/>
              </w:rPr>
              <w:t>directly</w:t>
            </w:r>
            <w:r w:rsidRPr="00532C20">
              <w:rPr>
                <w:rFonts w:ascii="Times New Roman" w:hAnsi="Times New Roman" w:cs="Times New Roman"/>
                <w:noProof/>
                <w:sz w:val="24"/>
                <w:szCs w:val="24"/>
                <w:lang w:val="en-IE"/>
              </w:rPr>
              <w:t xml:space="preserve"> (e.g. direct engagements with public officials) and </w:t>
            </w:r>
            <w:r w:rsidRPr="00532C20">
              <w:rPr>
                <w:rFonts w:ascii="Times New Roman" w:hAnsi="Times New Roman" w:cs="Times New Roman"/>
                <w:b/>
                <w:bCs/>
                <w:noProof/>
                <w:sz w:val="24"/>
                <w:szCs w:val="24"/>
                <w:lang w:val="en-IE"/>
              </w:rPr>
              <w:t>indirectly</w:t>
            </w:r>
            <w:r w:rsidRPr="00532C20">
              <w:rPr>
                <w:rFonts w:ascii="Times New Roman" w:hAnsi="Times New Roman" w:cs="Times New Roman"/>
                <w:noProof/>
                <w:sz w:val="24"/>
                <w:szCs w:val="24"/>
                <w:lang w:val="en-IE"/>
              </w:rPr>
              <w:t xml:space="preserve"> (e.g. the dissemination of research outputs, the organisation of and participation in conferences / events, and the provision of education, training and cultural engagement, when performed with the same objective). </w:t>
            </w:r>
          </w:p>
        </w:tc>
      </w:tr>
      <w:tr w:rsidR="004D2A43" w:rsidRPr="00532C20" w14:paraId="2580BB68" w14:textId="77777777" w:rsidTr="16AC7E58">
        <w:tc>
          <w:tcPr>
            <w:tcW w:w="2263" w:type="dxa"/>
            <w:tcBorders>
              <w:top w:val="single" w:sz="4" w:space="0" w:color="auto"/>
            </w:tcBorders>
            <w:tcMar>
              <w:top w:w="85" w:type="dxa"/>
              <w:left w:w="57" w:type="dxa"/>
              <w:bottom w:w="85" w:type="dxa"/>
              <w:right w:w="57" w:type="dxa"/>
            </w:tcMar>
          </w:tcPr>
          <w:p w14:paraId="436C784E" w14:textId="031FE3B2" w:rsidR="004D2A43" w:rsidRPr="00532C20" w:rsidRDefault="004D2A43" w:rsidP="00D1506D">
            <w:pPr>
              <w:jc w:val="both"/>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NGO </w:t>
            </w:r>
          </w:p>
        </w:tc>
        <w:tc>
          <w:tcPr>
            <w:tcW w:w="6753" w:type="dxa"/>
            <w:tcBorders>
              <w:top w:val="single" w:sz="4" w:space="0" w:color="auto"/>
            </w:tcBorders>
            <w:tcMar>
              <w:top w:w="85" w:type="dxa"/>
              <w:left w:w="57" w:type="dxa"/>
              <w:bottom w:w="85" w:type="dxa"/>
              <w:right w:w="57" w:type="dxa"/>
            </w:tcMar>
          </w:tcPr>
          <w:p w14:paraId="33502AA5" w14:textId="2D9510A3" w:rsidR="004D2A43" w:rsidRPr="00532C20" w:rsidRDefault="004D2A43" w:rsidP="00D1506D">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Non-governmental organisation </w:t>
            </w:r>
          </w:p>
        </w:tc>
      </w:tr>
      <w:tr w:rsidR="004957B4" w:rsidRPr="00532C20" w14:paraId="0577CFE4" w14:textId="77777777" w:rsidTr="16AC7E58">
        <w:tc>
          <w:tcPr>
            <w:tcW w:w="2263" w:type="dxa"/>
            <w:tcBorders>
              <w:top w:val="single" w:sz="4" w:space="0" w:color="auto"/>
            </w:tcBorders>
            <w:tcMar>
              <w:top w:w="85" w:type="dxa"/>
              <w:left w:w="57" w:type="dxa"/>
              <w:bottom w:w="85" w:type="dxa"/>
              <w:right w:w="57" w:type="dxa"/>
            </w:tcMar>
          </w:tcPr>
          <w:p w14:paraId="18BEC557" w14:textId="7C1840B9" w:rsidR="004957B4" w:rsidRPr="00532C20" w:rsidRDefault="004957B4" w:rsidP="00AF5DFF">
            <w:pPr>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OECD </w:t>
            </w:r>
          </w:p>
        </w:tc>
        <w:tc>
          <w:tcPr>
            <w:tcW w:w="6753" w:type="dxa"/>
            <w:tcBorders>
              <w:top w:val="single" w:sz="4" w:space="0" w:color="auto"/>
            </w:tcBorders>
            <w:tcMar>
              <w:top w:w="85" w:type="dxa"/>
              <w:left w:w="57" w:type="dxa"/>
              <w:bottom w:w="85" w:type="dxa"/>
              <w:right w:w="57" w:type="dxa"/>
            </w:tcMar>
          </w:tcPr>
          <w:p w14:paraId="69A54C95" w14:textId="1BAB9D92" w:rsidR="004957B4" w:rsidRPr="00532C20" w:rsidRDefault="004957B4" w:rsidP="004957B4">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Organisa</w:t>
            </w:r>
            <w:r w:rsidR="008A2344" w:rsidRPr="00532C20">
              <w:rPr>
                <w:rFonts w:ascii="Times New Roman" w:hAnsi="Times New Roman" w:cs="Times New Roman"/>
                <w:noProof/>
                <w:sz w:val="24"/>
                <w:szCs w:val="24"/>
                <w:lang w:val="en-IE"/>
              </w:rPr>
              <w:t xml:space="preserve">tion for Economic Co-operation and Development </w:t>
            </w:r>
          </w:p>
        </w:tc>
      </w:tr>
      <w:tr w:rsidR="004957B4" w:rsidRPr="00532C20" w14:paraId="3C3AD5DC" w14:textId="77777777" w:rsidTr="16AC7E58">
        <w:tc>
          <w:tcPr>
            <w:tcW w:w="2263" w:type="dxa"/>
            <w:tcBorders>
              <w:top w:val="single" w:sz="4" w:space="0" w:color="auto"/>
            </w:tcBorders>
            <w:tcMar>
              <w:top w:w="85" w:type="dxa"/>
              <w:left w:w="57" w:type="dxa"/>
              <w:bottom w:w="85" w:type="dxa"/>
              <w:right w:w="57" w:type="dxa"/>
            </w:tcMar>
          </w:tcPr>
          <w:p w14:paraId="7E55CEB8" w14:textId="154D5CCD" w:rsidR="004957B4" w:rsidRPr="00532C20" w:rsidRDefault="008A2344" w:rsidP="00AF5DFF">
            <w:pPr>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OSCE </w:t>
            </w:r>
          </w:p>
        </w:tc>
        <w:tc>
          <w:tcPr>
            <w:tcW w:w="6753" w:type="dxa"/>
            <w:tcBorders>
              <w:top w:val="single" w:sz="4" w:space="0" w:color="auto"/>
            </w:tcBorders>
            <w:tcMar>
              <w:top w:w="85" w:type="dxa"/>
              <w:left w:w="57" w:type="dxa"/>
              <w:bottom w:w="85" w:type="dxa"/>
              <w:right w:w="57" w:type="dxa"/>
            </w:tcMar>
          </w:tcPr>
          <w:p w14:paraId="3CE870C4" w14:textId="75363A3A" w:rsidR="004957B4" w:rsidRPr="00532C20" w:rsidRDefault="008A2344" w:rsidP="004957B4">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Orga</w:t>
            </w:r>
            <w:r w:rsidR="00150464" w:rsidRPr="00532C20">
              <w:rPr>
                <w:rFonts w:ascii="Times New Roman" w:hAnsi="Times New Roman" w:cs="Times New Roman"/>
                <w:noProof/>
                <w:sz w:val="24"/>
                <w:szCs w:val="24"/>
                <w:lang w:val="en-IE"/>
              </w:rPr>
              <w:t>nization for Sec</w:t>
            </w:r>
            <w:r w:rsidR="007D56DD" w:rsidRPr="00532C20">
              <w:rPr>
                <w:rFonts w:ascii="Times New Roman" w:hAnsi="Times New Roman" w:cs="Times New Roman"/>
                <w:noProof/>
                <w:sz w:val="24"/>
                <w:szCs w:val="24"/>
                <w:lang w:val="en-IE"/>
              </w:rPr>
              <w:t xml:space="preserve">urity and Co-operation in Europe </w:t>
            </w:r>
          </w:p>
        </w:tc>
      </w:tr>
      <w:tr w:rsidR="004957B4" w:rsidRPr="00532C20" w14:paraId="3C87FB14" w14:textId="77777777" w:rsidTr="16AC7E58">
        <w:tc>
          <w:tcPr>
            <w:tcW w:w="2263" w:type="dxa"/>
            <w:tcBorders>
              <w:top w:val="single" w:sz="4" w:space="0" w:color="auto"/>
            </w:tcBorders>
            <w:tcMar>
              <w:top w:w="85" w:type="dxa"/>
              <w:left w:w="57" w:type="dxa"/>
              <w:bottom w:w="85" w:type="dxa"/>
              <w:right w:w="57" w:type="dxa"/>
            </w:tcMar>
          </w:tcPr>
          <w:p w14:paraId="0083F0B4" w14:textId="62DB72B2" w:rsidR="004957B4" w:rsidRPr="00532C20" w:rsidRDefault="004957B4" w:rsidP="00582553">
            <w:pPr>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Public Official</w:t>
            </w:r>
          </w:p>
        </w:tc>
        <w:tc>
          <w:tcPr>
            <w:tcW w:w="6753" w:type="dxa"/>
            <w:tcBorders>
              <w:top w:val="single" w:sz="4" w:space="0" w:color="auto"/>
            </w:tcBorders>
            <w:tcMar>
              <w:top w:w="85" w:type="dxa"/>
              <w:left w:w="57" w:type="dxa"/>
              <w:bottom w:w="85" w:type="dxa"/>
              <w:right w:w="57" w:type="dxa"/>
            </w:tcMar>
          </w:tcPr>
          <w:p w14:paraId="60B5E110" w14:textId="17CC05EF" w:rsidR="004957B4" w:rsidRPr="00532C20" w:rsidRDefault="004957B4" w:rsidP="004957B4">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Member States and Union officials.</w:t>
            </w:r>
          </w:p>
        </w:tc>
      </w:tr>
      <w:tr w:rsidR="00D3788B" w:rsidRPr="00532C20" w14:paraId="2095C557" w14:textId="77777777" w:rsidTr="16AC7E58">
        <w:tc>
          <w:tcPr>
            <w:tcW w:w="2263" w:type="dxa"/>
            <w:tcBorders>
              <w:top w:val="single" w:sz="4" w:space="0" w:color="auto"/>
            </w:tcBorders>
            <w:tcMar>
              <w:top w:w="85" w:type="dxa"/>
              <w:left w:w="57" w:type="dxa"/>
              <w:bottom w:w="85" w:type="dxa"/>
              <w:right w:w="57" w:type="dxa"/>
            </w:tcMar>
          </w:tcPr>
          <w:p w14:paraId="14DA9F97" w14:textId="0B28738C" w:rsidR="00D3788B" w:rsidRPr="00532C20" w:rsidRDefault="00D3788B" w:rsidP="00AF5DFF">
            <w:pPr>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TEU </w:t>
            </w:r>
          </w:p>
        </w:tc>
        <w:tc>
          <w:tcPr>
            <w:tcW w:w="6753" w:type="dxa"/>
            <w:tcBorders>
              <w:top w:val="single" w:sz="4" w:space="0" w:color="auto"/>
            </w:tcBorders>
            <w:tcMar>
              <w:top w:w="85" w:type="dxa"/>
              <w:left w:w="57" w:type="dxa"/>
              <w:bottom w:w="85" w:type="dxa"/>
              <w:right w:w="57" w:type="dxa"/>
            </w:tcMar>
          </w:tcPr>
          <w:p w14:paraId="22292C50" w14:textId="4CF86B6A" w:rsidR="00D3788B" w:rsidRPr="00532C20" w:rsidRDefault="00D3788B" w:rsidP="004957B4">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Treaty on European Union </w:t>
            </w:r>
          </w:p>
        </w:tc>
      </w:tr>
      <w:tr w:rsidR="00D3788B" w:rsidRPr="00532C20" w14:paraId="7F553434" w14:textId="77777777" w:rsidTr="16AC7E58">
        <w:tc>
          <w:tcPr>
            <w:tcW w:w="2263" w:type="dxa"/>
            <w:tcBorders>
              <w:top w:val="single" w:sz="4" w:space="0" w:color="auto"/>
            </w:tcBorders>
            <w:tcMar>
              <w:top w:w="85" w:type="dxa"/>
              <w:left w:w="57" w:type="dxa"/>
              <w:bottom w:w="85" w:type="dxa"/>
              <w:right w:w="57" w:type="dxa"/>
            </w:tcMar>
          </w:tcPr>
          <w:p w14:paraId="74EC2181" w14:textId="7B314DF0" w:rsidR="00D3788B" w:rsidRPr="00532C20" w:rsidRDefault="00D3788B" w:rsidP="00AF5DFF">
            <w:pPr>
              <w:rPr>
                <w:rFonts w:ascii="Times New Roman" w:hAnsi="Times New Roman" w:cs="Times New Roman"/>
                <w:b/>
                <w:noProof/>
                <w:sz w:val="24"/>
                <w:szCs w:val="24"/>
                <w:lang w:val="en-IE"/>
              </w:rPr>
            </w:pPr>
            <w:r w:rsidRPr="00532C20">
              <w:rPr>
                <w:rFonts w:ascii="Times New Roman" w:hAnsi="Times New Roman" w:cs="Times New Roman"/>
                <w:b/>
                <w:noProof/>
                <w:sz w:val="24"/>
                <w:szCs w:val="24"/>
                <w:lang w:val="en-IE"/>
              </w:rPr>
              <w:t xml:space="preserve">TFEU </w:t>
            </w:r>
          </w:p>
        </w:tc>
        <w:tc>
          <w:tcPr>
            <w:tcW w:w="6753" w:type="dxa"/>
            <w:tcBorders>
              <w:top w:val="single" w:sz="4" w:space="0" w:color="auto"/>
            </w:tcBorders>
            <w:tcMar>
              <w:top w:w="85" w:type="dxa"/>
              <w:left w:w="57" w:type="dxa"/>
              <w:bottom w:w="85" w:type="dxa"/>
              <w:right w:w="57" w:type="dxa"/>
            </w:tcMar>
          </w:tcPr>
          <w:p w14:paraId="21CE385E" w14:textId="14718809" w:rsidR="00D3788B" w:rsidRPr="00532C20" w:rsidRDefault="00D3788B" w:rsidP="004957B4">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Treaty on the </w:t>
            </w:r>
            <w:r w:rsidR="002A116B" w:rsidRPr="00532C20">
              <w:rPr>
                <w:rFonts w:ascii="Times New Roman" w:hAnsi="Times New Roman" w:cs="Times New Roman"/>
                <w:noProof/>
                <w:sz w:val="24"/>
                <w:szCs w:val="24"/>
                <w:lang w:val="en-IE"/>
              </w:rPr>
              <w:t>Functioning</w:t>
            </w:r>
            <w:r w:rsidRPr="00532C20">
              <w:rPr>
                <w:rFonts w:ascii="Times New Roman" w:hAnsi="Times New Roman" w:cs="Times New Roman"/>
                <w:noProof/>
                <w:sz w:val="24"/>
                <w:szCs w:val="24"/>
                <w:lang w:val="en-IE"/>
              </w:rPr>
              <w:t xml:space="preserve"> of the European Union </w:t>
            </w:r>
          </w:p>
        </w:tc>
      </w:tr>
      <w:tr w:rsidR="004957B4" w:rsidRPr="00532C20" w14:paraId="301CDA95" w14:textId="77777777" w:rsidTr="16AC7E58">
        <w:tc>
          <w:tcPr>
            <w:tcW w:w="2263" w:type="dxa"/>
            <w:tcMar>
              <w:top w:w="85" w:type="dxa"/>
              <w:left w:w="57" w:type="dxa"/>
              <w:bottom w:w="85" w:type="dxa"/>
              <w:right w:w="57" w:type="dxa"/>
            </w:tcMar>
          </w:tcPr>
          <w:p w14:paraId="2C795C8E" w14:textId="77777777" w:rsidR="004957B4" w:rsidRPr="00532C20" w:rsidRDefault="004957B4" w:rsidP="004957B4">
            <w:pPr>
              <w:autoSpaceDE w:val="0"/>
              <w:autoSpaceDN w:val="0"/>
              <w:adjustRightInd w:val="0"/>
              <w:jc w:val="both"/>
              <w:rPr>
                <w:rFonts w:ascii="Times New Roman" w:hAnsi="Times New Roman" w:cs="Times New Roman"/>
                <w:b/>
                <w:noProof/>
                <w:sz w:val="24"/>
                <w:szCs w:val="24"/>
                <w:lang w:val="en-IE"/>
              </w:rPr>
            </w:pPr>
            <w:r w:rsidRPr="00532C20">
              <w:rPr>
                <w:rFonts w:ascii="Times New Roman" w:hAnsi="Times New Roman" w:cs="Times New Roman"/>
                <w:b/>
                <w:bCs/>
                <w:noProof/>
                <w:sz w:val="24"/>
                <w:szCs w:val="24"/>
                <w:lang w:val="en-IE"/>
              </w:rPr>
              <w:t>Third country</w:t>
            </w:r>
          </w:p>
        </w:tc>
        <w:tc>
          <w:tcPr>
            <w:tcW w:w="6753" w:type="dxa"/>
            <w:tcMar>
              <w:top w:w="85" w:type="dxa"/>
              <w:left w:w="57" w:type="dxa"/>
              <w:bottom w:w="85" w:type="dxa"/>
              <w:right w:w="57" w:type="dxa"/>
            </w:tcMar>
          </w:tcPr>
          <w:p w14:paraId="46E090B9" w14:textId="3ED119C7" w:rsidR="004957B4" w:rsidRPr="00532C20" w:rsidRDefault="004957B4" w:rsidP="004957B4">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Countries outside of the European Economic Area (EEA). </w:t>
            </w:r>
          </w:p>
        </w:tc>
      </w:tr>
      <w:tr w:rsidR="004957B4" w:rsidRPr="00532C20" w14:paraId="5CCC8C37" w14:textId="77777777" w:rsidTr="16AC7E58">
        <w:tc>
          <w:tcPr>
            <w:tcW w:w="2263" w:type="dxa"/>
            <w:tcMar>
              <w:top w:w="85" w:type="dxa"/>
              <w:left w:w="57" w:type="dxa"/>
              <w:bottom w:w="85" w:type="dxa"/>
              <w:right w:w="57" w:type="dxa"/>
            </w:tcMar>
          </w:tcPr>
          <w:p w14:paraId="7054AB20" w14:textId="1274D9FE" w:rsidR="004957B4" w:rsidRPr="00532C20" w:rsidRDefault="004957B4" w:rsidP="004957B4">
            <w:pPr>
              <w:autoSpaceDE w:val="0"/>
              <w:autoSpaceDN w:val="0"/>
              <w:adjustRightInd w:val="0"/>
              <w:jc w:val="both"/>
              <w:rPr>
                <w:rFonts w:ascii="Times New Roman" w:hAnsi="Times New Roman" w:cs="Times New Roman"/>
                <w:b/>
                <w:bCs/>
                <w:noProof/>
                <w:sz w:val="24"/>
                <w:szCs w:val="24"/>
                <w:lang w:val="en-IE"/>
              </w:rPr>
            </w:pPr>
            <w:r w:rsidRPr="00532C20">
              <w:rPr>
                <w:rFonts w:ascii="Times New Roman" w:hAnsi="Times New Roman" w:cs="Times New Roman"/>
                <w:b/>
                <w:bCs/>
                <w:noProof/>
                <w:sz w:val="24"/>
                <w:szCs w:val="24"/>
                <w:lang w:val="en-IE"/>
              </w:rPr>
              <w:t>Third country entity</w:t>
            </w:r>
          </w:p>
        </w:tc>
        <w:tc>
          <w:tcPr>
            <w:tcW w:w="6753" w:type="dxa"/>
            <w:tcMar>
              <w:top w:w="85" w:type="dxa"/>
              <w:left w:w="57" w:type="dxa"/>
              <w:bottom w:w="85" w:type="dxa"/>
              <w:right w:w="57" w:type="dxa"/>
            </w:tcMar>
          </w:tcPr>
          <w:p w14:paraId="7B35DF83" w14:textId="0C89EA50" w:rsidR="004957B4" w:rsidRPr="00532C20" w:rsidRDefault="004957B4" w:rsidP="004957B4">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The central government and public authorities at all other levels of a third country as well as </w:t>
            </w:r>
            <w:bookmarkStart w:id="3" w:name="_Hlk135415101"/>
            <w:r w:rsidRPr="00532C20">
              <w:rPr>
                <w:rFonts w:ascii="Times New Roman" w:hAnsi="Times New Roman" w:cs="Times New Roman"/>
                <w:noProof/>
                <w:sz w:val="24"/>
                <w:szCs w:val="24"/>
                <w:lang w:val="en-IE"/>
              </w:rPr>
              <w:t>a public or private entity whose actions can be attributed to such central government or public authorities</w:t>
            </w:r>
            <w:bookmarkEnd w:id="3"/>
            <w:r w:rsidRPr="00532C20">
              <w:rPr>
                <w:rFonts w:ascii="Times New Roman" w:hAnsi="Times New Roman" w:cs="Times New Roman"/>
                <w:noProof/>
                <w:sz w:val="24"/>
                <w:szCs w:val="24"/>
                <w:lang w:val="en-IE"/>
              </w:rPr>
              <w:t>.</w:t>
            </w:r>
          </w:p>
        </w:tc>
      </w:tr>
    </w:tbl>
    <w:p w14:paraId="02F1F3CD" w14:textId="77777777" w:rsidR="00CB048A" w:rsidRPr="00532C20" w:rsidRDefault="00CB048A" w:rsidP="004B0958">
      <w:pPr>
        <w:spacing w:line="240" w:lineRule="auto"/>
        <w:rPr>
          <w:rFonts w:ascii="Times New Roman" w:eastAsia="Times" w:hAnsi="Times New Roman" w:cs="Times New Roman"/>
          <w:b/>
          <w:noProof/>
          <w:sz w:val="24"/>
          <w:szCs w:val="24"/>
          <w:lang w:val="en-IE"/>
        </w:rPr>
      </w:pPr>
    </w:p>
    <w:p w14:paraId="0A1E58CB" w14:textId="77777777" w:rsidR="000C606A" w:rsidRPr="00532C20" w:rsidRDefault="000C606A" w:rsidP="004B0958">
      <w:pPr>
        <w:spacing w:line="240" w:lineRule="auto"/>
        <w:rPr>
          <w:rFonts w:ascii="Times New Roman" w:eastAsia="Times" w:hAnsi="Times New Roman" w:cs="Times New Roman"/>
          <w:b/>
          <w:noProof/>
          <w:sz w:val="24"/>
          <w:szCs w:val="24"/>
          <w:lang w:val="en-IE"/>
        </w:rPr>
        <w:sectPr w:rsidR="000C606A" w:rsidRPr="00532C20" w:rsidSect="00B759D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NumType w:fmt="lowerRoman" w:start="1"/>
          <w:cols w:space="720"/>
          <w:docGrid w:linePitch="360"/>
        </w:sectPr>
      </w:pPr>
    </w:p>
    <w:p w14:paraId="475340F6" w14:textId="25E72661" w:rsidR="0043172B" w:rsidRPr="00532C20" w:rsidRDefault="00A06A51" w:rsidP="00236521">
      <w:pPr>
        <w:pStyle w:val="1levelonetitle"/>
        <w:spacing w:before="0"/>
        <w:rPr>
          <w:noProof/>
        </w:rPr>
      </w:pPr>
      <w:bookmarkStart w:id="4" w:name="_Toc78816926"/>
      <w:bookmarkStart w:id="5" w:name="_Toc78817069"/>
      <w:bookmarkStart w:id="6" w:name="_Toc78817214"/>
      <w:bookmarkStart w:id="7" w:name="_Toc78817383"/>
      <w:bookmarkStart w:id="8" w:name="_Toc78817526"/>
      <w:bookmarkStart w:id="9" w:name="_Toc78817669"/>
      <w:bookmarkStart w:id="10" w:name="_Toc78817896"/>
      <w:bookmarkStart w:id="11" w:name="_Toc78818038"/>
      <w:bookmarkStart w:id="12" w:name="_Toc78818211"/>
      <w:bookmarkStart w:id="13" w:name="_Toc78819375"/>
      <w:bookmarkStart w:id="14" w:name="_Toc78819517"/>
      <w:bookmarkStart w:id="15" w:name="_Toc78820812"/>
      <w:bookmarkStart w:id="16" w:name="_Toc78820963"/>
      <w:bookmarkStart w:id="17" w:name="_Toc78821120"/>
      <w:bookmarkStart w:id="18" w:name="_Toc78821262"/>
      <w:bookmarkStart w:id="19" w:name="_Toc78821404"/>
      <w:bookmarkStart w:id="20" w:name="_Toc78821546"/>
      <w:bookmarkStart w:id="21" w:name="_Toc78821692"/>
      <w:bookmarkStart w:id="22" w:name="_Toc78821918"/>
      <w:bookmarkStart w:id="23" w:name="_Toc78822060"/>
      <w:bookmarkStart w:id="24" w:name="_Toc78822202"/>
      <w:bookmarkStart w:id="25" w:name="_Toc78822552"/>
      <w:bookmarkStart w:id="26" w:name="_Toc78822847"/>
      <w:bookmarkStart w:id="27" w:name="_Toc78825978"/>
      <w:bookmarkStart w:id="28" w:name="_Toc78817571"/>
      <w:bookmarkStart w:id="29" w:name="_Toc79679501"/>
      <w:bookmarkStart w:id="30" w:name="_Toc79680365"/>
      <w:bookmarkStart w:id="31" w:name="_Toc79742161"/>
      <w:bookmarkStart w:id="32" w:name="_Toc79745645"/>
      <w:bookmarkStart w:id="33" w:name="_Toc79748352"/>
      <w:bookmarkStart w:id="34" w:name="_Toc79765300"/>
      <w:bookmarkStart w:id="35" w:name="_Toc79765397"/>
      <w:bookmarkStart w:id="36" w:name="_Toc80020687"/>
      <w:bookmarkStart w:id="37" w:name="_Toc80024161"/>
      <w:bookmarkStart w:id="38" w:name="_Toc80025884"/>
      <w:bookmarkStart w:id="39" w:name="_Toc80028634"/>
      <w:bookmarkStart w:id="40" w:name="_Toc80087349"/>
      <w:bookmarkStart w:id="41" w:name="_Toc80093464"/>
      <w:bookmarkStart w:id="42" w:name="_Toc80110093"/>
      <w:bookmarkStart w:id="43" w:name="_Toc80111478"/>
      <w:bookmarkStart w:id="44" w:name="_Toc80116059"/>
      <w:bookmarkStart w:id="45" w:name="_Toc80637857"/>
      <w:bookmarkStart w:id="46" w:name="_Toc80640248"/>
      <w:bookmarkStart w:id="47" w:name="_Toc80643388"/>
      <w:bookmarkStart w:id="48" w:name="_Toc80643503"/>
      <w:bookmarkStart w:id="49" w:name="_Toc80643732"/>
      <w:bookmarkStart w:id="50" w:name="_Toc80703160"/>
      <w:bookmarkStart w:id="51" w:name="_Toc80708246"/>
      <w:bookmarkStart w:id="52" w:name="_Toc80709719"/>
      <w:bookmarkStart w:id="53" w:name="_Toc80710107"/>
      <w:bookmarkStart w:id="54" w:name="_Toc80725940"/>
      <w:bookmarkStart w:id="55" w:name="_Toc80808456"/>
      <w:bookmarkStart w:id="56" w:name="_Toc80865879"/>
      <w:bookmarkStart w:id="57" w:name="_Toc80888214"/>
      <w:bookmarkStart w:id="58" w:name="_Toc80893596"/>
      <w:bookmarkStart w:id="59" w:name="_Toc80980423"/>
      <w:bookmarkStart w:id="60" w:name="_Toc81222293"/>
      <w:bookmarkStart w:id="61" w:name="_Toc81225179"/>
      <w:bookmarkStart w:id="62" w:name="_Toc81227721"/>
      <w:bookmarkStart w:id="63" w:name="_Toc81228493"/>
      <w:bookmarkStart w:id="64" w:name="_Toc81233780"/>
      <w:bookmarkStart w:id="65" w:name="_Toc81242106"/>
      <w:bookmarkStart w:id="66" w:name="_Toc81242295"/>
      <w:bookmarkStart w:id="67" w:name="_Toc81298946"/>
      <w:bookmarkStart w:id="68" w:name="_Toc81306479"/>
      <w:bookmarkStart w:id="69" w:name="_Toc81314454"/>
      <w:bookmarkStart w:id="70" w:name="_Toc81394854"/>
      <w:bookmarkStart w:id="71" w:name="_Toc81401526"/>
      <w:bookmarkStart w:id="72" w:name="_Toc81405149"/>
      <w:bookmarkStart w:id="73" w:name="_Toc81406599"/>
      <w:bookmarkStart w:id="74" w:name="_Toc81406790"/>
      <w:bookmarkStart w:id="75" w:name="_Toc81406894"/>
      <w:bookmarkStart w:id="76" w:name="_Toc86145208"/>
      <w:bookmarkStart w:id="77" w:name="_Toc86160825"/>
      <w:bookmarkStart w:id="78" w:name="_Toc86168819"/>
      <w:bookmarkStart w:id="79" w:name="_Toc86226263"/>
      <w:bookmarkStart w:id="80" w:name="_Toc86231939"/>
      <w:bookmarkStart w:id="81" w:name="_Toc86334961"/>
      <w:bookmarkStart w:id="82" w:name="_Toc87609595"/>
      <w:bookmarkStart w:id="83" w:name="_Toc132810102"/>
      <w:bookmarkStart w:id="84" w:name="_Toc134028703"/>
      <w:bookmarkStart w:id="85" w:name="_Toc134620347"/>
      <w:bookmarkStart w:id="86" w:name="_Toc152864662"/>
      <w:bookmarkStart w:id="87" w:name="_Toc73478661"/>
      <w:bookmarkStart w:id="88" w:name="_Toc73525700"/>
      <w:bookmarkStart w:id="89" w:name="_Toc73551016"/>
      <w:bookmarkStart w:id="90" w:name="_Toc73562534"/>
      <w:bookmarkStart w:id="91" w:name="_Toc73567223"/>
      <w:bookmarkStart w:id="92" w:name="_Toc73606826"/>
      <w:bookmarkStart w:id="93" w:name="_Toc75282865"/>
      <w:bookmarkStart w:id="94" w:name="_Toc75291795"/>
      <w:bookmarkStart w:id="95" w:name="_Toc75862415"/>
      <w:bookmarkStart w:id="96" w:name="_Toc75882152"/>
      <w:bookmarkStart w:id="97" w:name="_Toc75882636"/>
      <w:bookmarkStart w:id="98" w:name="_Toc75886595"/>
      <w:bookmarkStart w:id="99" w:name="_Toc75893745"/>
      <w:bookmarkStart w:id="100" w:name="_Toc75895455"/>
      <w:bookmarkStart w:id="101" w:name="_Toc77579195"/>
      <w:bookmarkStart w:id="102" w:name="_Toc78820674"/>
      <w:bookmarkStart w:id="103" w:name="_Toc78821790"/>
      <w:bookmarkStart w:id="104" w:name="_Toc74081086"/>
      <w:bookmarkStart w:id="105" w:name="_Toc74168086"/>
      <w:bookmarkStart w:id="106" w:name="_Toc74171537"/>
      <w:bookmarkStart w:id="107" w:name="_Toc74596026"/>
      <w:bookmarkStart w:id="108" w:name="_Toc74666143"/>
      <w:bookmarkStart w:id="109" w:name="_Toc74746561"/>
      <w:bookmarkStart w:id="110" w:name="_Toc7364913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32C20">
        <w:rPr>
          <w:noProof/>
        </w:rPr>
        <w:t xml:space="preserve">Introduction: Political </w:t>
      </w:r>
      <w:r w:rsidR="00AD3144" w:rsidRPr="00532C20">
        <w:rPr>
          <w:noProof/>
        </w:rPr>
        <w:t xml:space="preserve">and legal </w:t>
      </w:r>
      <w:r w:rsidRPr="00532C20">
        <w:rPr>
          <w:noProof/>
        </w:rPr>
        <w:t>context</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532C20" w:rsidDel="003065F0">
        <w:rPr>
          <w:noProof/>
        </w:rPr>
        <w:t xml:space="preserve"> </w:t>
      </w:r>
      <w:bookmarkStart w:id="111" w:name="_Toc7528286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5317EE03" w14:textId="407F83AB" w:rsidR="00886A3B" w:rsidRPr="00532C20" w:rsidRDefault="0035133C" w:rsidP="007241BF">
      <w:pPr>
        <w:spacing w:after="120" w:line="240" w:lineRule="auto"/>
        <w:jc w:val="both"/>
        <w:rPr>
          <w:rFonts w:ascii="Times New Roman" w:eastAsia="Symbol" w:hAnsi="Times New Roman" w:cs="Times New Roman"/>
          <w:noProof/>
          <w:sz w:val="24"/>
          <w:szCs w:val="24"/>
          <w:lang w:val="en-IE"/>
        </w:rPr>
      </w:pPr>
      <w:bookmarkStart w:id="112" w:name="_Toc73478662"/>
      <w:bookmarkStart w:id="113" w:name="_Toc73525701"/>
      <w:bookmarkStart w:id="114" w:name="_Toc73551017"/>
      <w:bookmarkStart w:id="115" w:name="_Toc73562535"/>
      <w:bookmarkStart w:id="116" w:name="_Toc73567224"/>
      <w:bookmarkStart w:id="117" w:name="_Toc73606827"/>
      <w:bookmarkStart w:id="118" w:name="_Toc73649139"/>
      <w:bookmarkStart w:id="119" w:name="_Toc74081087"/>
      <w:bookmarkStart w:id="120" w:name="_Toc74168087"/>
      <w:bookmarkStart w:id="121" w:name="_Toc74171538"/>
      <w:bookmarkStart w:id="122" w:name="_Toc74596027"/>
      <w:bookmarkStart w:id="123" w:name="_Toc74666144"/>
      <w:bookmarkStart w:id="124" w:name="_Toc74746562"/>
      <w:bookmarkStart w:id="125" w:name="_Toc75282867"/>
      <w:bookmarkStart w:id="126" w:name="_Toc75291797"/>
      <w:bookmarkStart w:id="127" w:name="_Toc75862416"/>
      <w:bookmarkStart w:id="128" w:name="_Toc75882153"/>
      <w:bookmarkStart w:id="129" w:name="_Toc75882637"/>
      <w:bookmarkStart w:id="130" w:name="_Toc75886596"/>
      <w:bookmarkStart w:id="131" w:name="_Toc75893746"/>
      <w:bookmarkStart w:id="132" w:name="_Toc75895456"/>
      <w:bookmarkStart w:id="133" w:name="_Toc77579196"/>
      <w:bookmarkStart w:id="134" w:name="_Toc78820675"/>
      <w:bookmarkStart w:id="135" w:name="_Toc78821791"/>
      <w:bookmarkStart w:id="136" w:name="_Toc79679502"/>
      <w:bookmarkStart w:id="137" w:name="_Toc79680366"/>
      <w:bookmarkStart w:id="138" w:name="_Toc79742162"/>
      <w:bookmarkStart w:id="139" w:name="_Toc79745646"/>
      <w:bookmarkStart w:id="140" w:name="_Toc79748353"/>
      <w:bookmarkStart w:id="141" w:name="_Toc79765301"/>
      <w:bookmarkStart w:id="142" w:name="_Toc79765398"/>
      <w:bookmarkStart w:id="143" w:name="_Toc80020688"/>
      <w:bookmarkStart w:id="144" w:name="_Toc80024162"/>
      <w:bookmarkStart w:id="145" w:name="_Toc80025885"/>
      <w:bookmarkStart w:id="146" w:name="_Toc80028635"/>
      <w:bookmarkStart w:id="147" w:name="_Toc80087350"/>
      <w:bookmarkStart w:id="148" w:name="_Toc80093465"/>
      <w:bookmarkStart w:id="149" w:name="_Toc80110094"/>
      <w:bookmarkStart w:id="150" w:name="_Toc80111479"/>
      <w:bookmarkStart w:id="151" w:name="_Toc80116060"/>
      <w:bookmarkStart w:id="152" w:name="_Toc81222294"/>
      <w:bookmarkStart w:id="153" w:name="_Toc80637858"/>
      <w:bookmarkStart w:id="154" w:name="_Toc80643389"/>
      <w:bookmarkStart w:id="155" w:name="_Toc80643504"/>
      <w:bookmarkStart w:id="156" w:name="_Toc80643733"/>
      <w:bookmarkStart w:id="157" w:name="_Toc80703161"/>
      <w:bookmarkStart w:id="158" w:name="_Toc80708247"/>
      <w:bookmarkStart w:id="159" w:name="_Toc80709720"/>
      <w:bookmarkStart w:id="160" w:name="_Toc80710108"/>
      <w:bookmarkStart w:id="161" w:name="_Toc80725941"/>
      <w:bookmarkStart w:id="162" w:name="_Toc80808457"/>
      <w:bookmarkStart w:id="163" w:name="_Toc80865880"/>
      <w:bookmarkStart w:id="164" w:name="_Toc80888215"/>
      <w:bookmarkStart w:id="165" w:name="_Toc80893597"/>
      <w:bookmarkStart w:id="166" w:name="_Toc80980424"/>
      <w:bookmarkStart w:id="167" w:name="_Toc81225180"/>
      <w:bookmarkStart w:id="168" w:name="_Toc81227722"/>
      <w:bookmarkStart w:id="169" w:name="_Toc81228494"/>
      <w:bookmarkStart w:id="170" w:name="_Toc81233781"/>
      <w:bookmarkStart w:id="171" w:name="_Toc81242107"/>
      <w:bookmarkStart w:id="172" w:name="_Toc81242296"/>
      <w:bookmarkStart w:id="173" w:name="_Toc81298947"/>
      <w:bookmarkStart w:id="174" w:name="_Toc81306480"/>
      <w:bookmarkStart w:id="175" w:name="_Toc81314455"/>
      <w:bookmarkStart w:id="176" w:name="_Toc81394855"/>
      <w:bookmarkStart w:id="177" w:name="_Toc81401527"/>
      <w:bookmarkStart w:id="178" w:name="_Toc81405150"/>
      <w:bookmarkStart w:id="179" w:name="_Toc81406600"/>
      <w:bookmarkStart w:id="180" w:name="_Toc81406791"/>
      <w:bookmarkStart w:id="181" w:name="_Toc81406895"/>
      <w:bookmarkStart w:id="182" w:name="_Toc86145209"/>
      <w:bookmarkStart w:id="183" w:name="_Toc86160826"/>
      <w:bookmarkStart w:id="184" w:name="_Toc86168820"/>
      <w:bookmarkStart w:id="185" w:name="_Toc86226264"/>
      <w:bookmarkStart w:id="186" w:name="_Toc86231940"/>
      <w:bookmarkStart w:id="187" w:name="_Toc86334962"/>
      <w:bookmarkStart w:id="188" w:name="_Toc87609596"/>
      <w:bookmarkStart w:id="189" w:name="_Toc80640249"/>
      <w:bookmarkStart w:id="190" w:name="_Toc132810103"/>
      <w:bookmarkStart w:id="191" w:name="_Toc134028704"/>
      <w:bookmarkStart w:id="192" w:name="_Hlk130741803"/>
      <w:bookmarkEnd w:id="104"/>
      <w:bookmarkEnd w:id="105"/>
      <w:bookmarkEnd w:id="106"/>
      <w:bookmarkEnd w:id="107"/>
      <w:bookmarkEnd w:id="108"/>
      <w:bookmarkEnd w:id="109"/>
      <w:bookmarkEnd w:id="110"/>
      <w:bookmarkEnd w:id="111"/>
      <w:r w:rsidRPr="00532C20">
        <w:rPr>
          <w:rFonts w:ascii="Times New Roman" w:eastAsia="Symbol" w:hAnsi="Times New Roman" w:cs="Times New Roman"/>
          <w:noProof/>
          <w:sz w:val="24"/>
          <w:szCs w:val="24"/>
          <w:lang w:val="en-IE"/>
        </w:rPr>
        <w:t xml:space="preserve">Together with the </w:t>
      </w:r>
      <w:r w:rsidR="008F5581" w:rsidRPr="00532C20">
        <w:rPr>
          <w:rFonts w:ascii="Times New Roman" w:eastAsia="Symbol" w:hAnsi="Times New Roman" w:cs="Times New Roman"/>
          <w:noProof/>
          <w:sz w:val="24"/>
          <w:szCs w:val="24"/>
          <w:lang w:val="en-IE"/>
        </w:rPr>
        <w:t>r</w:t>
      </w:r>
      <w:r w:rsidRPr="00532C20">
        <w:rPr>
          <w:rFonts w:ascii="Times New Roman" w:eastAsia="Symbol" w:hAnsi="Times New Roman" w:cs="Times New Roman"/>
          <w:noProof/>
          <w:sz w:val="24"/>
          <w:szCs w:val="24"/>
          <w:lang w:val="en-IE"/>
        </w:rPr>
        <w:t xml:space="preserve">ule of </w:t>
      </w:r>
      <w:r w:rsidR="008F5581" w:rsidRPr="00532C20">
        <w:rPr>
          <w:rFonts w:ascii="Times New Roman" w:eastAsia="Symbol" w:hAnsi="Times New Roman" w:cs="Times New Roman"/>
          <w:noProof/>
          <w:sz w:val="24"/>
          <w:szCs w:val="24"/>
          <w:lang w:val="en-IE"/>
        </w:rPr>
        <w:t>l</w:t>
      </w:r>
      <w:r w:rsidRPr="00532C20">
        <w:rPr>
          <w:rFonts w:ascii="Times New Roman" w:eastAsia="Symbol" w:hAnsi="Times New Roman" w:cs="Times New Roman"/>
          <w:noProof/>
          <w:sz w:val="24"/>
          <w:szCs w:val="24"/>
          <w:lang w:val="en-IE"/>
        </w:rPr>
        <w:t xml:space="preserve">aw and </w:t>
      </w:r>
      <w:r w:rsidR="008F5581" w:rsidRPr="00532C20">
        <w:rPr>
          <w:rFonts w:ascii="Times New Roman" w:eastAsia="Symbol" w:hAnsi="Times New Roman" w:cs="Times New Roman"/>
          <w:noProof/>
          <w:sz w:val="24"/>
          <w:szCs w:val="24"/>
          <w:lang w:val="en-IE"/>
        </w:rPr>
        <w:t>f</w:t>
      </w:r>
      <w:r w:rsidRPr="00532C20">
        <w:rPr>
          <w:rFonts w:ascii="Times New Roman" w:eastAsia="Symbol" w:hAnsi="Times New Roman" w:cs="Times New Roman"/>
          <w:noProof/>
          <w:sz w:val="24"/>
          <w:szCs w:val="24"/>
          <w:lang w:val="en-IE"/>
        </w:rPr>
        <w:t xml:space="preserve">undamental </w:t>
      </w:r>
      <w:r w:rsidR="008F5581" w:rsidRPr="00532C20">
        <w:rPr>
          <w:rFonts w:ascii="Times New Roman" w:eastAsia="Symbol" w:hAnsi="Times New Roman" w:cs="Times New Roman"/>
          <w:noProof/>
          <w:sz w:val="24"/>
          <w:szCs w:val="24"/>
          <w:lang w:val="en-IE"/>
        </w:rPr>
        <w:t>r</w:t>
      </w:r>
      <w:r w:rsidRPr="00532C20">
        <w:rPr>
          <w:rFonts w:ascii="Times New Roman" w:eastAsia="Symbol" w:hAnsi="Times New Roman" w:cs="Times New Roman"/>
          <w:noProof/>
          <w:sz w:val="24"/>
          <w:szCs w:val="24"/>
          <w:lang w:val="en-IE"/>
        </w:rPr>
        <w:t xml:space="preserve">ights, </w:t>
      </w:r>
      <w:r w:rsidR="008F5581" w:rsidRPr="00532C20">
        <w:rPr>
          <w:rFonts w:ascii="Times New Roman" w:eastAsia="Symbol" w:hAnsi="Times New Roman" w:cs="Times New Roman"/>
          <w:noProof/>
          <w:sz w:val="24"/>
          <w:szCs w:val="24"/>
          <w:lang w:val="en-IE"/>
        </w:rPr>
        <w:t>d</w:t>
      </w:r>
      <w:r w:rsidR="002457BC" w:rsidRPr="00532C20">
        <w:rPr>
          <w:rFonts w:ascii="Times New Roman" w:eastAsia="Symbol" w:hAnsi="Times New Roman" w:cs="Times New Roman"/>
          <w:noProof/>
          <w:sz w:val="24"/>
          <w:szCs w:val="24"/>
          <w:lang w:val="en-IE"/>
        </w:rPr>
        <w:t>emocracy</w:t>
      </w:r>
      <w:r w:rsidR="003D64E0" w:rsidRPr="00532C20">
        <w:rPr>
          <w:rFonts w:ascii="Times New Roman" w:eastAsia="Symbol" w:hAnsi="Times New Roman" w:cs="Times New Roman"/>
          <w:noProof/>
          <w:sz w:val="24"/>
          <w:szCs w:val="24"/>
          <w:lang w:val="en-IE"/>
        </w:rPr>
        <w:t xml:space="preserve"> </w:t>
      </w:r>
      <w:r w:rsidR="00AD1A37" w:rsidRPr="00532C20">
        <w:rPr>
          <w:rFonts w:ascii="Times New Roman" w:eastAsia="Symbol" w:hAnsi="Times New Roman" w:cs="Times New Roman"/>
          <w:noProof/>
          <w:sz w:val="24"/>
          <w:szCs w:val="24"/>
          <w:lang w:val="en-IE"/>
        </w:rPr>
        <w:t xml:space="preserve">is a </w:t>
      </w:r>
      <w:r w:rsidR="00942B67" w:rsidRPr="00532C20">
        <w:rPr>
          <w:rFonts w:ascii="Times New Roman" w:eastAsia="Symbol" w:hAnsi="Times New Roman" w:cs="Times New Roman"/>
          <w:noProof/>
          <w:sz w:val="24"/>
          <w:szCs w:val="24"/>
          <w:lang w:val="en-IE"/>
        </w:rPr>
        <w:t xml:space="preserve">founding </w:t>
      </w:r>
      <w:r w:rsidR="00AD1A37" w:rsidRPr="00532C20">
        <w:rPr>
          <w:rFonts w:ascii="Times New Roman" w:eastAsia="Symbol" w:hAnsi="Times New Roman" w:cs="Times New Roman"/>
          <w:noProof/>
          <w:sz w:val="24"/>
          <w:szCs w:val="24"/>
          <w:lang w:val="en-IE"/>
        </w:rPr>
        <w:t>value of the European U</w:t>
      </w:r>
      <w:r w:rsidRPr="00532C20">
        <w:rPr>
          <w:rFonts w:ascii="Times New Roman" w:eastAsia="Symbol" w:hAnsi="Times New Roman" w:cs="Times New Roman"/>
          <w:noProof/>
          <w:sz w:val="24"/>
          <w:szCs w:val="24"/>
          <w:lang w:val="en-IE"/>
        </w:rPr>
        <w:t>n</w:t>
      </w:r>
      <w:r w:rsidR="00AD1A37" w:rsidRPr="00532C20">
        <w:rPr>
          <w:rFonts w:ascii="Times New Roman" w:eastAsia="Symbol" w:hAnsi="Times New Roman" w:cs="Times New Roman"/>
          <w:noProof/>
          <w:sz w:val="24"/>
          <w:szCs w:val="24"/>
          <w:lang w:val="en-IE"/>
        </w:rPr>
        <w:t xml:space="preserve">ion. </w:t>
      </w:r>
      <w:r w:rsidR="00942B67" w:rsidRPr="00532C20">
        <w:rPr>
          <w:rFonts w:ascii="Times New Roman" w:eastAsia="Symbol" w:hAnsi="Times New Roman" w:cs="Times New Roman"/>
          <w:noProof/>
          <w:sz w:val="24"/>
          <w:szCs w:val="24"/>
          <w:lang w:val="en-IE"/>
        </w:rPr>
        <w:t>For democracy to</w:t>
      </w:r>
      <w:r w:rsidR="002457BC" w:rsidRPr="00532C20">
        <w:rPr>
          <w:rFonts w:ascii="Times New Roman" w:eastAsia="Symbol" w:hAnsi="Times New Roman" w:cs="Times New Roman"/>
          <w:noProof/>
          <w:sz w:val="24"/>
          <w:szCs w:val="24"/>
          <w:lang w:val="en-IE"/>
        </w:rPr>
        <w:t xml:space="preserve"> </w:t>
      </w:r>
      <w:r w:rsidR="00942B67" w:rsidRPr="00532C20">
        <w:rPr>
          <w:rFonts w:ascii="Times New Roman" w:eastAsia="Symbol" w:hAnsi="Times New Roman" w:cs="Times New Roman"/>
          <w:noProof/>
          <w:sz w:val="24"/>
          <w:szCs w:val="24"/>
          <w:lang w:val="en-IE"/>
        </w:rPr>
        <w:t>function well, citizens must be able to</w:t>
      </w:r>
      <w:r w:rsidR="002457BC" w:rsidRPr="00532C20">
        <w:rPr>
          <w:rFonts w:ascii="Times New Roman" w:eastAsia="Symbol" w:hAnsi="Times New Roman" w:cs="Times New Roman"/>
          <w:noProof/>
          <w:sz w:val="24"/>
          <w:szCs w:val="24"/>
          <w:lang w:val="en-IE"/>
        </w:rPr>
        <w:t xml:space="preserve"> </w:t>
      </w:r>
      <w:r w:rsidR="00E14822" w:rsidRPr="00532C20">
        <w:rPr>
          <w:rFonts w:ascii="Times New Roman" w:eastAsia="Symbol" w:hAnsi="Times New Roman" w:cs="Times New Roman"/>
          <w:noProof/>
          <w:sz w:val="24"/>
          <w:szCs w:val="24"/>
          <w:lang w:val="en-IE"/>
        </w:rPr>
        <w:t xml:space="preserve">express their preferences </w:t>
      </w:r>
      <w:r w:rsidR="00AA2F90" w:rsidRPr="00532C20">
        <w:rPr>
          <w:rFonts w:ascii="Times New Roman" w:eastAsia="Symbol" w:hAnsi="Times New Roman" w:cs="Times New Roman"/>
          <w:noProof/>
          <w:sz w:val="24"/>
          <w:szCs w:val="24"/>
          <w:lang w:val="en-IE"/>
        </w:rPr>
        <w:t xml:space="preserve">and elect their representatives </w:t>
      </w:r>
      <w:r w:rsidR="00E14822" w:rsidRPr="00532C20">
        <w:rPr>
          <w:rFonts w:ascii="Times New Roman" w:eastAsia="Symbol" w:hAnsi="Times New Roman" w:cs="Times New Roman"/>
          <w:noProof/>
          <w:sz w:val="24"/>
          <w:szCs w:val="24"/>
          <w:lang w:val="en-IE"/>
        </w:rPr>
        <w:t>freely</w:t>
      </w:r>
      <w:r w:rsidR="0065031B" w:rsidRPr="00532C20">
        <w:rPr>
          <w:rFonts w:ascii="Times New Roman" w:eastAsia="Symbol" w:hAnsi="Times New Roman" w:cs="Times New Roman"/>
          <w:noProof/>
          <w:sz w:val="24"/>
          <w:szCs w:val="24"/>
          <w:lang w:val="en-IE"/>
        </w:rPr>
        <w:t xml:space="preserve">. </w:t>
      </w:r>
    </w:p>
    <w:p w14:paraId="6B72A131" w14:textId="667BC9BE" w:rsidR="00236521" w:rsidRPr="00532C20" w:rsidRDefault="004A2C78" w:rsidP="007241BF">
      <w:pPr>
        <w:spacing w:after="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One important characteristic of democratic systems is that</w:t>
      </w:r>
      <w:r w:rsidR="00414A70" w:rsidRPr="00532C20">
        <w:rPr>
          <w:rFonts w:ascii="Times New Roman" w:eastAsia="Symbol" w:hAnsi="Times New Roman" w:cs="Times New Roman"/>
          <w:noProof/>
          <w:sz w:val="24"/>
          <w:szCs w:val="24"/>
          <w:lang w:val="en-IE"/>
        </w:rPr>
        <w:t xml:space="preserve"> stakeholders, citizens and civil society organisations (CSOs), are consulted and involved in the preparation of laws and policies on the basis of transparent processes, at European, national, regional and local levels. </w:t>
      </w:r>
      <w:r w:rsidR="002646BB" w:rsidRPr="00532C20">
        <w:rPr>
          <w:rFonts w:ascii="Times New Roman" w:eastAsia="Symbol" w:hAnsi="Times New Roman" w:cs="Times New Roman"/>
          <w:noProof/>
          <w:sz w:val="24"/>
          <w:szCs w:val="24"/>
          <w:lang w:val="en-IE"/>
        </w:rPr>
        <w:t>The space for public debate in Europe is and must remain open, also to ideas</w:t>
      </w:r>
      <w:r w:rsidR="00E42975" w:rsidRPr="00532C20">
        <w:rPr>
          <w:rFonts w:ascii="Times New Roman" w:eastAsia="Symbol" w:hAnsi="Times New Roman" w:cs="Times New Roman"/>
          <w:noProof/>
          <w:sz w:val="24"/>
          <w:szCs w:val="24"/>
          <w:lang w:val="en-IE"/>
        </w:rPr>
        <w:t xml:space="preserve"> </w:t>
      </w:r>
      <w:r w:rsidR="00A4140C" w:rsidRPr="00532C20">
        <w:rPr>
          <w:rFonts w:ascii="Times New Roman" w:eastAsia="Symbol" w:hAnsi="Times New Roman" w:cs="Times New Roman"/>
          <w:noProof/>
          <w:sz w:val="24"/>
          <w:szCs w:val="24"/>
          <w:lang w:val="en-IE"/>
        </w:rPr>
        <w:t xml:space="preserve">from </w:t>
      </w:r>
      <w:r w:rsidR="00C87207" w:rsidRPr="00532C20">
        <w:rPr>
          <w:rFonts w:ascii="Times New Roman" w:eastAsia="Symbol" w:hAnsi="Times New Roman" w:cs="Times New Roman"/>
          <w:noProof/>
          <w:sz w:val="24"/>
          <w:szCs w:val="24"/>
          <w:lang w:val="en-IE"/>
        </w:rPr>
        <w:t>across the world</w:t>
      </w:r>
      <w:r w:rsidR="00A4140C" w:rsidRPr="00532C20">
        <w:rPr>
          <w:rFonts w:ascii="Times New Roman" w:eastAsia="Symbol" w:hAnsi="Times New Roman" w:cs="Times New Roman"/>
          <w:noProof/>
          <w:sz w:val="24"/>
          <w:szCs w:val="24"/>
          <w:vertAlign w:val="superscript"/>
          <w:lang w:val="en-IE"/>
        </w:rPr>
        <w:footnoteReference w:id="7"/>
      </w:r>
      <w:r w:rsidR="00A4140C" w:rsidRPr="00532C20">
        <w:rPr>
          <w:rFonts w:ascii="Times New Roman" w:eastAsia="Symbol" w:hAnsi="Times New Roman" w:cs="Times New Roman"/>
          <w:noProof/>
          <w:sz w:val="24"/>
          <w:szCs w:val="24"/>
          <w:lang w:val="en-IE"/>
        </w:rPr>
        <w:t xml:space="preserve">. </w:t>
      </w:r>
    </w:p>
    <w:p w14:paraId="5750D9FB" w14:textId="0B0D0E62" w:rsidR="00125FE4" w:rsidRPr="00532C20" w:rsidRDefault="00B8459A" w:rsidP="00B734F8">
      <w:pPr>
        <w:spacing w:after="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There</w:t>
      </w:r>
      <w:r w:rsidR="00A4140C" w:rsidRPr="00532C20">
        <w:rPr>
          <w:rFonts w:ascii="Times New Roman" w:eastAsia="Symbol" w:hAnsi="Times New Roman" w:cs="Times New Roman"/>
          <w:noProof/>
          <w:sz w:val="24"/>
          <w:szCs w:val="24"/>
          <w:lang w:val="en-IE"/>
        </w:rPr>
        <w:t xml:space="preserve"> is a growing concern that </w:t>
      </w:r>
      <w:r w:rsidR="002E62BC" w:rsidRPr="00532C20">
        <w:rPr>
          <w:rFonts w:ascii="Times New Roman" w:eastAsia="Symbol" w:hAnsi="Times New Roman" w:cs="Times New Roman"/>
          <w:noProof/>
          <w:sz w:val="24"/>
          <w:szCs w:val="24"/>
          <w:lang w:val="en-IE"/>
        </w:rPr>
        <w:t xml:space="preserve">the </w:t>
      </w:r>
      <w:r w:rsidR="00A4140C" w:rsidRPr="00532C20">
        <w:rPr>
          <w:rFonts w:ascii="Times New Roman" w:eastAsia="Symbol" w:hAnsi="Times New Roman" w:cs="Times New Roman"/>
          <w:noProof/>
          <w:sz w:val="24"/>
          <w:szCs w:val="24"/>
          <w:lang w:val="en-IE"/>
        </w:rPr>
        <w:t xml:space="preserve">openness of European societies </w:t>
      </w:r>
      <w:r w:rsidR="00210FA4" w:rsidRPr="00532C20">
        <w:rPr>
          <w:rFonts w:ascii="Times New Roman" w:eastAsia="Symbol" w:hAnsi="Times New Roman" w:cs="Times New Roman"/>
          <w:noProof/>
          <w:sz w:val="24"/>
          <w:szCs w:val="24"/>
          <w:lang w:val="en-IE"/>
        </w:rPr>
        <w:t xml:space="preserve">is </w:t>
      </w:r>
      <w:r w:rsidR="00A4140C" w:rsidRPr="00532C20">
        <w:rPr>
          <w:rFonts w:ascii="Times New Roman" w:eastAsia="Symbol" w:hAnsi="Times New Roman" w:cs="Times New Roman"/>
          <w:noProof/>
          <w:sz w:val="24"/>
          <w:szCs w:val="24"/>
          <w:lang w:val="en-IE"/>
        </w:rPr>
        <w:t>be</w:t>
      </w:r>
      <w:r w:rsidR="00210FA4" w:rsidRPr="00532C20">
        <w:rPr>
          <w:rFonts w:ascii="Times New Roman" w:eastAsia="Symbol" w:hAnsi="Times New Roman" w:cs="Times New Roman"/>
          <w:noProof/>
          <w:sz w:val="24"/>
          <w:szCs w:val="24"/>
          <w:lang w:val="en-IE"/>
        </w:rPr>
        <w:t>ing</w:t>
      </w:r>
      <w:r w:rsidR="00A4140C" w:rsidRPr="00532C20">
        <w:rPr>
          <w:rFonts w:ascii="Times New Roman" w:eastAsia="Symbol" w:hAnsi="Times New Roman" w:cs="Times New Roman"/>
          <w:noProof/>
          <w:sz w:val="24"/>
          <w:szCs w:val="24"/>
          <w:lang w:val="en-IE"/>
        </w:rPr>
        <w:t xml:space="preserve"> exploited </w:t>
      </w:r>
      <w:r w:rsidR="007401EB" w:rsidRPr="00532C20">
        <w:rPr>
          <w:rFonts w:ascii="Times New Roman" w:eastAsia="Symbol" w:hAnsi="Times New Roman" w:cs="Times New Roman"/>
          <w:noProof/>
          <w:sz w:val="24"/>
          <w:szCs w:val="24"/>
          <w:lang w:val="en-IE"/>
        </w:rPr>
        <w:t>for</w:t>
      </w:r>
      <w:r w:rsidR="00A4140C" w:rsidRPr="00532C20">
        <w:rPr>
          <w:rFonts w:ascii="Times New Roman" w:eastAsia="Symbol" w:hAnsi="Times New Roman" w:cs="Times New Roman"/>
          <w:noProof/>
          <w:sz w:val="24"/>
          <w:szCs w:val="24"/>
          <w:lang w:val="en-IE"/>
        </w:rPr>
        <w:t xml:space="preserve"> covert interference</w:t>
      </w:r>
      <w:r w:rsidR="00812128" w:rsidRPr="00532C20">
        <w:rPr>
          <w:rStyle w:val="FootnoteReference"/>
          <w:rFonts w:ascii="Times New Roman" w:eastAsia="Symbol" w:hAnsi="Times New Roman" w:cs="Times New Roman"/>
          <w:noProof/>
          <w:sz w:val="24"/>
          <w:szCs w:val="24"/>
          <w:lang w:val="en-IE"/>
        </w:rPr>
        <w:footnoteReference w:id="8"/>
      </w:r>
      <w:r w:rsidR="00A4140C" w:rsidRPr="00532C20">
        <w:rPr>
          <w:rFonts w:ascii="Times New Roman" w:eastAsia="Symbol" w:hAnsi="Times New Roman" w:cs="Times New Roman"/>
          <w:noProof/>
          <w:sz w:val="24"/>
          <w:szCs w:val="24"/>
          <w:lang w:val="en-IE"/>
        </w:rPr>
        <w:t xml:space="preserve"> </w:t>
      </w:r>
      <w:r w:rsidR="005A08CA" w:rsidRPr="00532C20">
        <w:rPr>
          <w:rFonts w:ascii="Times New Roman" w:eastAsia="Symbol" w:hAnsi="Times New Roman" w:cs="Times New Roman"/>
          <w:noProof/>
          <w:sz w:val="24"/>
          <w:szCs w:val="24"/>
          <w:lang w:val="en-IE"/>
        </w:rPr>
        <w:t>from</w:t>
      </w:r>
      <w:r w:rsidR="00A4140C" w:rsidRPr="00532C20">
        <w:rPr>
          <w:rFonts w:ascii="Times New Roman" w:eastAsia="Symbol" w:hAnsi="Times New Roman" w:cs="Times New Roman"/>
          <w:noProof/>
          <w:sz w:val="24"/>
          <w:szCs w:val="24"/>
          <w:lang w:val="en-IE"/>
        </w:rPr>
        <w:t xml:space="preserve"> foreign governments to manipulate decision</w:t>
      </w:r>
      <w:r w:rsidR="007401EB" w:rsidRPr="00532C20">
        <w:rPr>
          <w:rFonts w:ascii="Times New Roman" w:eastAsia="Symbol" w:hAnsi="Times New Roman" w:cs="Times New Roman"/>
          <w:noProof/>
          <w:sz w:val="24"/>
          <w:szCs w:val="24"/>
          <w:lang w:val="en-IE"/>
        </w:rPr>
        <w:t>-</w:t>
      </w:r>
      <w:r w:rsidR="00A4140C" w:rsidRPr="00532C20">
        <w:rPr>
          <w:rFonts w:ascii="Times New Roman" w:eastAsia="Symbol" w:hAnsi="Times New Roman" w:cs="Times New Roman"/>
          <w:noProof/>
          <w:sz w:val="24"/>
          <w:szCs w:val="24"/>
          <w:lang w:val="en-IE"/>
        </w:rPr>
        <w:t>making process</w:t>
      </w:r>
      <w:r w:rsidR="007401EB" w:rsidRPr="00532C20">
        <w:rPr>
          <w:rFonts w:ascii="Times New Roman" w:eastAsia="Symbol" w:hAnsi="Times New Roman" w:cs="Times New Roman"/>
          <w:noProof/>
          <w:sz w:val="24"/>
          <w:szCs w:val="24"/>
          <w:lang w:val="en-IE"/>
        </w:rPr>
        <w:t>es</w:t>
      </w:r>
      <w:r w:rsidR="00A4140C" w:rsidRPr="00532C20">
        <w:rPr>
          <w:rFonts w:ascii="Times New Roman" w:eastAsia="Symbol" w:hAnsi="Times New Roman" w:cs="Times New Roman"/>
          <w:noProof/>
          <w:sz w:val="24"/>
          <w:szCs w:val="24"/>
          <w:lang w:val="en-IE"/>
        </w:rPr>
        <w:t xml:space="preserve"> and public opinion</w:t>
      </w:r>
      <w:r w:rsidR="00C10189" w:rsidRPr="00532C20">
        <w:rPr>
          <w:rFonts w:ascii="Times New Roman" w:eastAsia="Symbol" w:hAnsi="Times New Roman" w:cs="Times New Roman"/>
          <w:noProof/>
          <w:sz w:val="24"/>
          <w:szCs w:val="24"/>
          <w:lang w:val="en-IE"/>
        </w:rPr>
        <w:t xml:space="preserve"> in the </w:t>
      </w:r>
      <w:r w:rsidR="00830F54" w:rsidRPr="00532C20">
        <w:rPr>
          <w:rFonts w:ascii="Times New Roman" w:eastAsia="Symbol" w:hAnsi="Times New Roman" w:cs="Times New Roman"/>
          <w:noProof/>
          <w:sz w:val="24"/>
          <w:szCs w:val="24"/>
          <w:lang w:val="en-IE"/>
        </w:rPr>
        <w:t>EU</w:t>
      </w:r>
      <w:r w:rsidR="00A4140C" w:rsidRPr="00532C20">
        <w:rPr>
          <w:rFonts w:ascii="Times New Roman" w:eastAsia="Symbol" w:hAnsi="Times New Roman" w:cs="Times New Roman"/>
          <w:noProof/>
          <w:sz w:val="24"/>
          <w:szCs w:val="24"/>
          <w:lang w:val="en-IE"/>
        </w:rPr>
        <w:t xml:space="preserve">. </w:t>
      </w:r>
      <w:r w:rsidR="0001126E" w:rsidRPr="00532C20">
        <w:rPr>
          <w:rFonts w:ascii="Times New Roman" w:eastAsia="Symbol" w:hAnsi="Times New Roman" w:cs="Times New Roman"/>
          <w:noProof/>
          <w:sz w:val="24"/>
          <w:szCs w:val="24"/>
          <w:lang w:val="en-IE"/>
        </w:rPr>
        <w:t>T</w:t>
      </w:r>
      <w:r w:rsidR="0001126E" w:rsidRPr="00532C20">
        <w:rPr>
          <w:rFonts w:ascii="Times New Roman" w:eastAsia="Arial" w:hAnsi="Times New Roman" w:cs="Times New Roman"/>
          <w:noProof/>
          <w:sz w:val="24"/>
          <w:szCs w:val="24"/>
          <w:lang w:val="en-IE"/>
        </w:rPr>
        <w:t xml:space="preserve">he </w:t>
      </w:r>
      <w:r w:rsidR="0001126E" w:rsidRPr="00532C20">
        <w:rPr>
          <w:rFonts w:ascii="Times New Roman" w:eastAsia="Arial" w:hAnsi="Times New Roman" w:cs="Times New Roman"/>
          <w:noProof/>
          <w:sz w:val="24"/>
          <w:szCs w:val="24"/>
          <w:lang w:val="en-IE" w:eastAsia="en-GB"/>
        </w:rPr>
        <w:t>European Parliament</w:t>
      </w:r>
      <w:bookmarkStart w:id="193" w:name="_Ref147739120"/>
      <w:r w:rsidR="0001126E" w:rsidRPr="00532C20">
        <w:rPr>
          <w:rStyle w:val="FootnoteReference"/>
          <w:rFonts w:ascii="Times New Roman" w:eastAsia="Arial" w:hAnsi="Times New Roman" w:cs="Times New Roman"/>
          <w:noProof/>
          <w:sz w:val="24"/>
          <w:szCs w:val="24"/>
          <w:lang w:val="en-IE"/>
        </w:rPr>
        <w:footnoteReference w:id="9"/>
      </w:r>
      <w:bookmarkEnd w:id="193"/>
      <w:r w:rsidR="0001126E" w:rsidRPr="00532C20">
        <w:rPr>
          <w:rFonts w:ascii="Times New Roman" w:eastAsia="Arial" w:hAnsi="Times New Roman" w:cs="Times New Roman"/>
          <w:noProof/>
          <w:sz w:val="24"/>
          <w:szCs w:val="24"/>
          <w:lang w:val="en-IE" w:eastAsia="en-GB"/>
        </w:rPr>
        <w:t xml:space="preserve"> and </w:t>
      </w:r>
      <w:r w:rsidR="0001126E" w:rsidRPr="00532C20">
        <w:rPr>
          <w:rFonts w:ascii="Times New Roman" w:eastAsia="Arial" w:hAnsi="Times New Roman" w:cs="Times New Roman"/>
          <w:noProof/>
          <w:sz w:val="24"/>
          <w:szCs w:val="24"/>
          <w:lang w:val="en-IE"/>
        </w:rPr>
        <w:t xml:space="preserve">the </w:t>
      </w:r>
      <w:r w:rsidR="0001126E" w:rsidRPr="00532C20">
        <w:rPr>
          <w:rFonts w:ascii="Times New Roman" w:eastAsia="Arial" w:hAnsi="Times New Roman" w:cs="Times New Roman"/>
          <w:noProof/>
          <w:sz w:val="24"/>
          <w:szCs w:val="24"/>
          <w:lang w:val="en-IE" w:eastAsia="en-GB"/>
        </w:rPr>
        <w:t>Council</w:t>
      </w:r>
      <w:r w:rsidR="0001126E" w:rsidRPr="00532C20">
        <w:rPr>
          <w:rFonts w:ascii="Times New Roman" w:eastAsia="Arial" w:hAnsi="Times New Roman" w:cs="Times New Roman"/>
          <w:noProof/>
          <w:sz w:val="24"/>
          <w:szCs w:val="24"/>
          <w:vertAlign w:val="superscript"/>
          <w:lang w:val="en-IE"/>
        </w:rPr>
        <w:footnoteReference w:id="10"/>
      </w:r>
      <w:r w:rsidR="0001126E" w:rsidRPr="00532C20">
        <w:rPr>
          <w:rFonts w:ascii="Times New Roman" w:eastAsia="Arial" w:hAnsi="Times New Roman" w:cs="Times New Roman"/>
          <w:noProof/>
          <w:sz w:val="24"/>
          <w:szCs w:val="24"/>
          <w:lang w:val="en-IE" w:eastAsia="en-GB"/>
        </w:rPr>
        <w:t xml:space="preserve"> </w:t>
      </w:r>
      <w:r w:rsidR="0001126E" w:rsidRPr="00532C20">
        <w:rPr>
          <w:rFonts w:ascii="Times New Roman" w:eastAsia="Arial" w:hAnsi="Times New Roman" w:cs="Times New Roman"/>
          <w:noProof/>
          <w:sz w:val="24"/>
          <w:szCs w:val="24"/>
          <w:lang w:val="en-IE"/>
        </w:rPr>
        <w:t xml:space="preserve">have underlined the importance of addressing the threat to democracy posed by such covert foreign interference. </w:t>
      </w:r>
      <w:r w:rsidR="00CC2845" w:rsidRPr="00532C20">
        <w:rPr>
          <w:rFonts w:ascii="Times New Roman" w:eastAsia="Symbol" w:hAnsi="Times New Roman" w:cs="Times New Roman"/>
          <w:noProof/>
          <w:sz w:val="24"/>
          <w:szCs w:val="24"/>
          <w:lang w:val="en-IE"/>
        </w:rPr>
        <w:t>Governments</w:t>
      </w:r>
      <w:r w:rsidR="00B237EE" w:rsidRPr="00532C20">
        <w:rPr>
          <w:rStyle w:val="FootnoteReference"/>
          <w:rFonts w:ascii="Times New Roman" w:eastAsia="Symbol" w:hAnsi="Times New Roman" w:cs="Times New Roman"/>
          <w:noProof/>
          <w:sz w:val="24"/>
          <w:szCs w:val="24"/>
          <w:lang w:val="en-IE"/>
        </w:rPr>
        <w:footnoteReference w:id="11"/>
      </w:r>
      <w:r w:rsidR="00CC2845" w:rsidRPr="00532C20">
        <w:rPr>
          <w:rFonts w:ascii="Times New Roman" w:eastAsia="Symbol" w:hAnsi="Times New Roman" w:cs="Times New Roman"/>
          <w:noProof/>
          <w:sz w:val="24"/>
          <w:szCs w:val="24"/>
          <w:lang w:val="en-IE"/>
        </w:rPr>
        <w:t>, c</w:t>
      </w:r>
      <w:r w:rsidR="00A4140C" w:rsidRPr="00532C20">
        <w:rPr>
          <w:rFonts w:ascii="Times New Roman" w:eastAsia="Symbol" w:hAnsi="Times New Roman" w:cs="Times New Roman"/>
          <w:noProof/>
          <w:sz w:val="24"/>
          <w:szCs w:val="24"/>
          <w:lang w:val="en-IE"/>
        </w:rPr>
        <w:t>itizens</w:t>
      </w:r>
      <w:r w:rsidR="00B237EE" w:rsidRPr="00532C20">
        <w:rPr>
          <w:rStyle w:val="FootnoteReference"/>
          <w:rFonts w:ascii="Times New Roman" w:eastAsia="Symbol" w:hAnsi="Times New Roman" w:cs="Times New Roman"/>
          <w:noProof/>
          <w:sz w:val="24"/>
          <w:szCs w:val="24"/>
          <w:lang w:val="en-IE"/>
        </w:rPr>
        <w:footnoteReference w:id="12"/>
      </w:r>
      <w:r w:rsidR="00994902" w:rsidRPr="00532C20">
        <w:rPr>
          <w:rFonts w:ascii="Times New Roman" w:eastAsia="Symbol" w:hAnsi="Times New Roman" w:cs="Times New Roman"/>
          <w:noProof/>
          <w:sz w:val="24"/>
          <w:szCs w:val="24"/>
          <w:lang w:val="en-IE"/>
        </w:rPr>
        <w:t xml:space="preserve"> and </w:t>
      </w:r>
      <w:r w:rsidR="00186761" w:rsidRPr="00532C20">
        <w:rPr>
          <w:rFonts w:ascii="Times New Roman" w:eastAsia="Symbol" w:hAnsi="Times New Roman" w:cs="Times New Roman"/>
          <w:noProof/>
          <w:sz w:val="24"/>
          <w:szCs w:val="24"/>
          <w:lang w:val="en-IE"/>
        </w:rPr>
        <w:t>civil society</w:t>
      </w:r>
      <w:r w:rsidR="00956CE4" w:rsidRPr="00532C20">
        <w:rPr>
          <w:rFonts w:ascii="Times New Roman" w:eastAsia="Symbol" w:hAnsi="Times New Roman" w:cs="Times New Roman"/>
          <w:noProof/>
          <w:sz w:val="24"/>
          <w:szCs w:val="24"/>
          <w:lang w:val="en-IE"/>
        </w:rPr>
        <w:t xml:space="preserve"> </w:t>
      </w:r>
      <w:r w:rsidR="00EC4B79" w:rsidRPr="00532C20">
        <w:rPr>
          <w:rFonts w:ascii="Times New Roman" w:eastAsia="Symbol" w:hAnsi="Times New Roman" w:cs="Times New Roman"/>
          <w:noProof/>
          <w:sz w:val="24"/>
          <w:szCs w:val="24"/>
          <w:lang w:val="en-IE"/>
        </w:rPr>
        <w:t>organ</w:t>
      </w:r>
      <w:r w:rsidR="005508F1" w:rsidRPr="00532C20">
        <w:rPr>
          <w:rFonts w:ascii="Times New Roman" w:eastAsia="Symbol" w:hAnsi="Times New Roman" w:cs="Times New Roman"/>
          <w:noProof/>
          <w:sz w:val="24"/>
          <w:szCs w:val="24"/>
          <w:lang w:val="en-IE"/>
        </w:rPr>
        <w:t>is</w:t>
      </w:r>
      <w:r w:rsidR="00EC4B79" w:rsidRPr="00532C20">
        <w:rPr>
          <w:rFonts w:ascii="Times New Roman" w:eastAsia="Symbol" w:hAnsi="Times New Roman" w:cs="Times New Roman"/>
          <w:noProof/>
          <w:sz w:val="24"/>
          <w:szCs w:val="24"/>
          <w:lang w:val="en-IE"/>
        </w:rPr>
        <w:t>ations</w:t>
      </w:r>
      <w:r w:rsidR="00B237EE" w:rsidRPr="00532C20">
        <w:rPr>
          <w:rStyle w:val="FootnoteReference"/>
          <w:rFonts w:ascii="Times New Roman" w:eastAsia="Symbol" w:hAnsi="Times New Roman" w:cs="Times New Roman"/>
          <w:noProof/>
          <w:sz w:val="24"/>
          <w:szCs w:val="24"/>
          <w:lang w:val="en-IE"/>
        </w:rPr>
        <w:footnoteReference w:id="13"/>
      </w:r>
      <w:r w:rsidR="00A4140C" w:rsidRPr="00532C20">
        <w:rPr>
          <w:rFonts w:ascii="Times New Roman" w:eastAsia="Symbol" w:hAnsi="Times New Roman" w:cs="Times New Roman"/>
          <w:noProof/>
          <w:sz w:val="24"/>
          <w:szCs w:val="24"/>
          <w:lang w:val="en-IE"/>
        </w:rPr>
        <w:t xml:space="preserve"> are</w:t>
      </w:r>
      <w:r w:rsidR="00F915C5" w:rsidRPr="00532C20">
        <w:rPr>
          <w:rFonts w:ascii="Times New Roman" w:eastAsia="Symbol" w:hAnsi="Times New Roman" w:cs="Times New Roman"/>
          <w:noProof/>
          <w:sz w:val="24"/>
          <w:szCs w:val="24"/>
          <w:lang w:val="en-IE"/>
        </w:rPr>
        <w:t xml:space="preserve"> </w:t>
      </w:r>
      <w:r w:rsidR="00A4140C" w:rsidRPr="00532C20">
        <w:rPr>
          <w:rFonts w:ascii="Times New Roman" w:eastAsia="Symbol" w:hAnsi="Times New Roman" w:cs="Times New Roman"/>
          <w:noProof/>
          <w:sz w:val="24"/>
          <w:szCs w:val="24"/>
          <w:lang w:val="en-IE"/>
        </w:rPr>
        <w:t>concerned by the</w:t>
      </w:r>
      <w:r w:rsidR="006F6799" w:rsidRPr="00532C20">
        <w:rPr>
          <w:rFonts w:ascii="Times New Roman" w:eastAsia="Symbol" w:hAnsi="Times New Roman" w:cs="Times New Roman"/>
          <w:noProof/>
          <w:sz w:val="24"/>
          <w:szCs w:val="24"/>
          <w:lang w:val="en-IE"/>
        </w:rPr>
        <w:t xml:space="preserve"> </w:t>
      </w:r>
      <w:r w:rsidR="00A4140C" w:rsidRPr="00532C20">
        <w:rPr>
          <w:rFonts w:ascii="Times New Roman" w:eastAsia="Symbol" w:hAnsi="Times New Roman" w:cs="Times New Roman"/>
          <w:noProof/>
          <w:sz w:val="24"/>
          <w:szCs w:val="24"/>
          <w:lang w:val="en-IE"/>
        </w:rPr>
        <w:t xml:space="preserve">impact </w:t>
      </w:r>
      <w:r w:rsidR="00E97F9C" w:rsidRPr="00532C20">
        <w:rPr>
          <w:rFonts w:ascii="Times New Roman" w:eastAsia="Symbol" w:hAnsi="Times New Roman" w:cs="Times New Roman"/>
          <w:noProof/>
          <w:sz w:val="24"/>
          <w:szCs w:val="24"/>
          <w:lang w:val="en-IE"/>
        </w:rPr>
        <w:t xml:space="preserve">of such external interference </w:t>
      </w:r>
      <w:r w:rsidR="006F6799" w:rsidRPr="00532C20">
        <w:rPr>
          <w:rFonts w:ascii="Times New Roman" w:eastAsia="Symbol" w:hAnsi="Times New Roman" w:cs="Times New Roman"/>
          <w:noProof/>
          <w:sz w:val="24"/>
          <w:szCs w:val="24"/>
          <w:lang w:val="en-IE"/>
        </w:rPr>
        <w:t>on European democracies and the public sphere</w:t>
      </w:r>
      <w:r w:rsidR="00A4140C" w:rsidRPr="00532C20">
        <w:rPr>
          <w:rFonts w:ascii="Times New Roman" w:eastAsia="Symbol" w:hAnsi="Times New Roman" w:cs="Times New Roman"/>
          <w:noProof/>
          <w:sz w:val="24"/>
          <w:szCs w:val="24"/>
          <w:lang w:val="en-IE"/>
        </w:rPr>
        <w:t xml:space="preserve">. </w:t>
      </w:r>
      <w:r w:rsidR="005E2F2F" w:rsidRPr="00532C20">
        <w:rPr>
          <w:rFonts w:ascii="Times New Roman" w:eastAsia="Symbol" w:hAnsi="Times New Roman" w:cs="Times New Roman"/>
          <w:noProof/>
          <w:sz w:val="24"/>
          <w:szCs w:val="24"/>
          <w:lang w:val="en-IE"/>
        </w:rPr>
        <w:t xml:space="preserve">For example, a recent Flash Eurobarometer survey on </w:t>
      </w:r>
      <w:r w:rsidR="005E2F2F" w:rsidRPr="00532C20">
        <w:rPr>
          <w:rFonts w:ascii="Times New Roman" w:eastAsia="Times New Roman" w:hAnsi="Times New Roman" w:cs="Times New Roman"/>
          <w:noProof/>
          <w:sz w:val="24"/>
          <w:szCs w:val="24"/>
          <w:lang w:val="en-IE"/>
        </w:rPr>
        <w:t>Citizenship and Democracy found that about</w:t>
      </w:r>
      <w:r w:rsidR="00A90D63" w:rsidRPr="00532C20">
        <w:rPr>
          <w:rFonts w:ascii="Times New Roman" w:eastAsia="Times New Roman" w:hAnsi="Times New Roman" w:cs="Times New Roman"/>
          <w:noProof/>
          <w:sz w:val="24"/>
          <w:szCs w:val="24"/>
          <w:lang w:val="en-IE"/>
        </w:rPr>
        <w:t xml:space="preserve"> 8 </w:t>
      </w:r>
      <w:r w:rsidR="005E2F2F" w:rsidRPr="00532C20">
        <w:rPr>
          <w:rFonts w:ascii="Times New Roman" w:eastAsia="Times New Roman" w:hAnsi="Times New Roman" w:cs="Times New Roman"/>
          <w:noProof/>
          <w:sz w:val="24"/>
          <w:szCs w:val="24"/>
          <w:lang w:val="en-IE"/>
        </w:rPr>
        <w:t>in</w:t>
      </w:r>
      <w:r w:rsidR="00A90D63" w:rsidRPr="00532C20">
        <w:rPr>
          <w:rFonts w:ascii="Times New Roman" w:eastAsia="Times New Roman" w:hAnsi="Times New Roman" w:cs="Times New Roman"/>
          <w:noProof/>
          <w:sz w:val="24"/>
          <w:szCs w:val="24"/>
          <w:lang w:val="en-IE"/>
        </w:rPr>
        <w:t xml:space="preserve"> 10</w:t>
      </w:r>
      <w:r w:rsidR="005E2F2F" w:rsidRPr="00532C20">
        <w:rPr>
          <w:rFonts w:ascii="Times New Roman" w:eastAsia="Times New Roman" w:hAnsi="Times New Roman" w:cs="Times New Roman"/>
          <w:noProof/>
          <w:sz w:val="24"/>
          <w:szCs w:val="24"/>
          <w:lang w:val="en-IE"/>
        </w:rPr>
        <w:t xml:space="preserve"> Europeans agree that foreign interference in European democratic systems is a serious problem that should be addressed</w:t>
      </w:r>
      <w:r w:rsidR="005E2F2F" w:rsidRPr="00532C20">
        <w:rPr>
          <w:rStyle w:val="FootnoteReference"/>
          <w:rFonts w:ascii="Times New Roman" w:eastAsia="Times New Roman" w:hAnsi="Times New Roman" w:cs="Times New Roman"/>
          <w:noProof/>
          <w:sz w:val="24"/>
          <w:szCs w:val="24"/>
          <w:lang w:val="en-IE"/>
        </w:rPr>
        <w:footnoteReference w:id="14"/>
      </w:r>
      <w:r w:rsidR="005E2F2F" w:rsidRPr="00532C20">
        <w:rPr>
          <w:rFonts w:ascii="Times New Roman" w:eastAsia="Times New Roman" w:hAnsi="Times New Roman" w:cs="Times New Roman"/>
          <w:noProof/>
          <w:sz w:val="24"/>
          <w:szCs w:val="24"/>
          <w:lang w:val="en-IE"/>
        </w:rPr>
        <w:t>.</w:t>
      </w:r>
      <w:r w:rsidR="0001126E" w:rsidRPr="00532C20">
        <w:rPr>
          <w:rFonts w:ascii="Times New Roman" w:eastAsia="Times New Roman" w:hAnsi="Times New Roman" w:cs="Times New Roman"/>
          <w:noProof/>
          <w:sz w:val="24"/>
          <w:szCs w:val="24"/>
          <w:lang w:val="en-IE"/>
        </w:rPr>
        <w:t xml:space="preserve"> </w:t>
      </w:r>
      <w:r w:rsidR="009134E9">
        <w:rPr>
          <w:rFonts w:ascii="Times New Roman" w:eastAsia="Times New Roman" w:hAnsi="Times New Roman" w:cs="Times New Roman"/>
          <w:noProof/>
          <w:sz w:val="24"/>
          <w:szCs w:val="24"/>
          <w:lang w:val="en-IE"/>
        </w:rPr>
        <w:t>C</w:t>
      </w:r>
      <w:r w:rsidR="0001126E" w:rsidRPr="00532C20">
        <w:rPr>
          <w:rFonts w:ascii="Times New Roman" w:eastAsia="Arial" w:hAnsi="Times New Roman" w:cs="Times New Roman"/>
          <w:noProof/>
          <w:sz w:val="24"/>
          <w:szCs w:val="24"/>
          <w:lang w:val="en-IE"/>
        </w:rPr>
        <w:t xml:space="preserve">oncerns have intensified after Russia’s war of aggression against Ukraine and the so-called “Qatar-gate”, a corruption scandal involving Members of the European Parliament and EU staff. </w:t>
      </w:r>
      <w:r w:rsidR="006B36F2" w:rsidRPr="00532C20">
        <w:rPr>
          <w:rFonts w:ascii="Times New Roman" w:eastAsia="Arial" w:hAnsi="Times New Roman" w:cs="Times New Roman"/>
          <w:noProof/>
          <w:sz w:val="24"/>
          <w:szCs w:val="24"/>
          <w:lang w:val="en-IE"/>
        </w:rPr>
        <w:t>The</w:t>
      </w:r>
      <w:r w:rsidR="006B36F2" w:rsidRPr="00532C20" w:rsidDel="00F23214">
        <w:rPr>
          <w:rFonts w:ascii="Times New Roman" w:eastAsia="Arial" w:hAnsi="Times New Roman" w:cs="Times New Roman"/>
          <w:noProof/>
          <w:sz w:val="24"/>
          <w:szCs w:val="24"/>
          <w:lang w:val="en-IE"/>
        </w:rPr>
        <w:t xml:space="preserve"> </w:t>
      </w:r>
      <w:r w:rsidR="00F23214">
        <w:rPr>
          <w:rFonts w:ascii="Times New Roman" w:eastAsia="Arial" w:hAnsi="Times New Roman" w:cs="Times New Roman"/>
          <w:noProof/>
          <w:sz w:val="24"/>
          <w:szCs w:val="24"/>
          <w:lang w:val="en-IE"/>
        </w:rPr>
        <w:t>Union</w:t>
      </w:r>
      <w:r w:rsidR="006B36F2" w:rsidRPr="00532C20">
        <w:rPr>
          <w:rFonts w:ascii="Times New Roman" w:eastAsia="Arial" w:hAnsi="Times New Roman" w:cs="Times New Roman"/>
          <w:noProof/>
          <w:sz w:val="24"/>
          <w:szCs w:val="24"/>
          <w:lang w:val="en-IE"/>
        </w:rPr>
        <w:t xml:space="preserve"> witnessed numerous instances of some third countries seeking to covertly influence in its politics and decision-making</w:t>
      </w:r>
      <w:r w:rsidR="006B36F2" w:rsidRPr="00532C20">
        <w:rPr>
          <w:rStyle w:val="FootnoteReference"/>
          <w:rFonts w:ascii="Times New Roman" w:eastAsia="Arial" w:hAnsi="Times New Roman" w:cs="Times New Roman"/>
          <w:noProof/>
          <w:sz w:val="24"/>
          <w:szCs w:val="24"/>
          <w:lang w:val="en-IE"/>
        </w:rPr>
        <w:footnoteReference w:id="15"/>
      </w:r>
      <w:r w:rsidR="006B36F2" w:rsidRPr="00532C20">
        <w:rPr>
          <w:rFonts w:ascii="Times New Roman" w:eastAsia="Times New Roman" w:hAnsi="Times New Roman" w:cs="Times New Roman"/>
          <w:noProof/>
          <w:color w:val="000000" w:themeColor="text1"/>
          <w:sz w:val="24"/>
          <w:szCs w:val="24"/>
        </w:rPr>
        <w:t>. While the full scale of this phenomenon is unknown, reports of such activities exist</w:t>
      </w:r>
      <w:r w:rsidR="006B36F2" w:rsidRPr="00532C20">
        <w:rPr>
          <w:rStyle w:val="FootnoteReference"/>
          <w:rFonts w:ascii="Times New Roman" w:eastAsia="Times New Roman" w:hAnsi="Times New Roman" w:cs="Times New Roman"/>
          <w:noProof/>
          <w:color w:val="000000" w:themeColor="text1"/>
          <w:sz w:val="24"/>
          <w:szCs w:val="24"/>
        </w:rPr>
        <w:footnoteReference w:id="16"/>
      </w:r>
      <w:r w:rsidR="006B36F2" w:rsidRPr="00532C20">
        <w:rPr>
          <w:rFonts w:ascii="Times New Roman" w:eastAsia="Times New Roman" w:hAnsi="Times New Roman" w:cs="Times New Roman"/>
          <w:noProof/>
          <w:color w:val="000000" w:themeColor="text1"/>
          <w:sz w:val="24"/>
          <w:szCs w:val="24"/>
        </w:rPr>
        <w:t xml:space="preserve">. </w:t>
      </w:r>
    </w:p>
    <w:p w14:paraId="578B723A" w14:textId="7D6E640B" w:rsidR="001A6DBD" w:rsidRPr="00532C20" w:rsidRDefault="00B734F8" w:rsidP="00B734F8">
      <w:pPr>
        <w:spacing w:after="120" w:line="240" w:lineRule="auto"/>
        <w:jc w:val="both"/>
        <w:rPr>
          <w:rFonts w:ascii="Times New Roman" w:eastAsia="Aria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‘A new push for European democracy’ is a headline priority of the Commission and many initiatives have been adopted over recent years, including in the framework of the </w:t>
      </w:r>
      <w:r w:rsidRPr="00532C20">
        <w:rPr>
          <w:rFonts w:ascii="Times New Roman" w:eastAsia="Arial" w:hAnsi="Times New Roman" w:cs="Times New Roman"/>
          <w:noProof/>
          <w:sz w:val="24"/>
          <w:szCs w:val="24"/>
          <w:lang w:val="en-IE"/>
        </w:rPr>
        <w:t>European Democracy Action Plan</w:t>
      </w:r>
      <w:bookmarkStart w:id="194" w:name="_Ref147768391"/>
      <w:r w:rsidR="00C615EF" w:rsidRPr="00532C20">
        <w:rPr>
          <w:rStyle w:val="FootnoteReference"/>
          <w:rFonts w:ascii="Times New Roman" w:eastAsia="Arial" w:hAnsi="Times New Roman" w:cs="Times New Roman"/>
          <w:noProof/>
          <w:sz w:val="24"/>
          <w:szCs w:val="24"/>
          <w:lang w:val="en-IE"/>
        </w:rPr>
        <w:footnoteReference w:id="17"/>
      </w:r>
      <w:bookmarkEnd w:id="194"/>
      <w:r w:rsidRPr="00532C20">
        <w:rPr>
          <w:rFonts w:ascii="Times New Roman" w:eastAsia="Arial" w:hAnsi="Times New Roman" w:cs="Times New Roman"/>
          <w:noProof/>
          <w:sz w:val="24"/>
          <w:szCs w:val="24"/>
          <w:lang w:val="en-IE"/>
        </w:rPr>
        <w:t xml:space="preserve"> presented in 2020, that put forward a comprehensive approach</w:t>
      </w:r>
      <w:r w:rsidRPr="00532C20">
        <w:rPr>
          <w:rFonts w:ascii="Times New Roman" w:eastAsia="Arial" w:hAnsi="Times New Roman" w:cs="Times New Roman"/>
          <w:noProof/>
          <w:sz w:val="24"/>
          <w:szCs w:val="24"/>
          <w:lang w:eastAsia="en-GB"/>
        </w:rPr>
        <w:t xml:space="preserve"> </w:t>
      </w:r>
      <w:r w:rsidRPr="00532C20">
        <w:rPr>
          <w:rFonts w:ascii="Times New Roman" w:eastAsia="Times New Roman" w:hAnsi="Times New Roman" w:cs="Times New Roman"/>
          <w:noProof/>
          <w:sz w:val="24"/>
          <w:szCs w:val="24"/>
          <w:lang w:eastAsia="en-GB"/>
        </w:rPr>
        <w:t>to ‘</w:t>
      </w:r>
      <w:r w:rsidRPr="00532C20">
        <w:rPr>
          <w:rFonts w:ascii="Times New Roman" w:eastAsia="Times New Roman" w:hAnsi="Times New Roman" w:cs="Times New Roman"/>
          <w:i/>
          <w:iCs/>
          <w:noProof/>
          <w:sz w:val="24"/>
          <w:szCs w:val="24"/>
          <w:lang w:eastAsia="en-GB"/>
        </w:rPr>
        <w:t xml:space="preserve">empower citizens and </w:t>
      </w:r>
      <w:r w:rsidRPr="00532C20">
        <w:rPr>
          <w:rFonts w:ascii="Times New Roman" w:eastAsia="Arial" w:hAnsi="Times New Roman" w:cs="Times New Roman"/>
          <w:i/>
          <w:iCs/>
          <w:noProof/>
          <w:sz w:val="24"/>
          <w:szCs w:val="24"/>
          <w:lang w:eastAsia="en-GB"/>
        </w:rPr>
        <w:t xml:space="preserve">build more resilient democracies across the </w:t>
      </w:r>
      <w:r w:rsidRPr="00532C20">
        <w:rPr>
          <w:rFonts w:ascii="Times New Roman" w:eastAsia="Times New Roman" w:hAnsi="Times New Roman" w:cs="Times New Roman"/>
          <w:i/>
          <w:iCs/>
          <w:noProof/>
          <w:sz w:val="24"/>
          <w:szCs w:val="24"/>
          <w:lang w:eastAsia="en-GB"/>
        </w:rPr>
        <w:t>EU</w:t>
      </w:r>
      <w:r w:rsidRPr="00532C20">
        <w:rPr>
          <w:rFonts w:ascii="Times New Roman" w:eastAsia="Times New Roman" w:hAnsi="Times New Roman" w:cs="Times New Roman"/>
          <w:noProof/>
          <w:sz w:val="24"/>
          <w:szCs w:val="24"/>
          <w:lang w:eastAsia="en-GB"/>
        </w:rPr>
        <w:t>’.</w:t>
      </w:r>
      <w:r w:rsidRPr="00532C20">
        <w:rPr>
          <w:rFonts w:ascii="Times New Roman" w:eastAsia="Arial" w:hAnsi="Times New Roman" w:cs="Times New Roman"/>
          <w:noProof/>
          <w:sz w:val="24"/>
          <w:szCs w:val="24"/>
          <w:lang w:eastAsia="en-GB"/>
        </w:rPr>
        <w:t xml:space="preserve"> </w:t>
      </w:r>
      <w:r w:rsidRPr="00532C20">
        <w:rPr>
          <w:rFonts w:ascii="Times New Roman" w:eastAsia="Arial" w:hAnsi="Times New Roman" w:cs="Times New Roman"/>
          <w:noProof/>
          <w:sz w:val="24"/>
          <w:szCs w:val="24"/>
        </w:rPr>
        <w:t>Existing policy interventions</w:t>
      </w:r>
      <w:r w:rsidRPr="00532C20">
        <w:rPr>
          <w:rFonts w:ascii="Times New Roman" w:eastAsia="Arial" w:hAnsi="Times New Roman" w:cs="Times New Roman"/>
          <w:noProof/>
          <w:sz w:val="24"/>
          <w:szCs w:val="24"/>
          <w:lang w:val="en-IE"/>
        </w:rPr>
        <w:t xml:space="preserve"> include updating rules governing European political parties and foundations</w:t>
      </w:r>
      <w:bookmarkStart w:id="195" w:name="_Ref147768679"/>
      <w:r w:rsidRPr="00532C20">
        <w:rPr>
          <w:rFonts w:ascii="Times New Roman" w:eastAsia="Arial" w:hAnsi="Times New Roman" w:cs="Times New Roman"/>
          <w:noProof/>
          <w:sz w:val="24"/>
          <w:szCs w:val="24"/>
          <w:vertAlign w:val="superscript"/>
          <w:lang w:val="en-IE"/>
        </w:rPr>
        <w:footnoteReference w:id="18"/>
      </w:r>
      <w:bookmarkEnd w:id="195"/>
      <w:r w:rsidRPr="00532C20">
        <w:rPr>
          <w:rFonts w:ascii="Times New Roman" w:eastAsia="Arial" w:hAnsi="Times New Roman" w:cs="Times New Roman"/>
          <w:noProof/>
          <w:sz w:val="24"/>
          <w:szCs w:val="24"/>
          <w:lang w:val="en-IE"/>
        </w:rPr>
        <w:t>, regulating various aspects of online platforms</w:t>
      </w:r>
      <w:bookmarkStart w:id="196" w:name="_Ref147840610"/>
      <w:r w:rsidR="00741068" w:rsidRPr="00532C20">
        <w:rPr>
          <w:rStyle w:val="FootnoteReference"/>
          <w:rFonts w:ascii="Times New Roman" w:eastAsia="Arial" w:hAnsi="Times New Roman" w:cs="Times New Roman"/>
          <w:noProof/>
          <w:sz w:val="24"/>
          <w:szCs w:val="24"/>
          <w:lang w:val="en-IE"/>
        </w:rPr>
        <w:footnoteReference w:id="19"/>
      </w:r>
      <w:bookmarkEnd w:id="196"/>
      <w:r w:rsidRPr="00532C20">
        <w:rPr>
          <w:rFonts w:ascii="Times New Roman" w:eastAsia="Arial" w:hAnsi="Times New Roman" w:cs="Times New Roman"/>
          <w:noProof/>
          <w:sz w:val="24"/>
          <w:szCs w:val="24"/>
          <w:lang w:val="en-IE"/>
        </w:rPr>
        <w:t>, addressing disinformation</w:t>
      </w:r>
      <w:bookmarkStart w:id="197" w:name="_Ref147840747"/>
      <w:r w:rsidR="00741068" w:rsidRPr="00532C20">
        <w:rPr>
          <w:rStyle w:val="FootnoteReference"/>
          <w:rFonts w:ascii="Times New Roman" w:eastAsia="Arial" w:hAnsi="Times New Roman" w:cs="Times New Roman"/>
          <w:noProof/>
          <w:sz w:val="24"/>
          <w:szCs w:val="24"/>
          <w:lang w:val="en-IE"/>
        </w:rPr>
        <w:footnoteReference w:id="20"/>
      </w:r>
      <w:bookmarkEnd w:id="197"/>
      <w:r w:rsidRPr="00532C20">
        <w:rPr>
          <w:rFonts w:ascii="Times New Roman" w:eastAsia="Arial" w:hAnsi="Times New Roman" w:cs="Times New Roman"/>
          <w:noProof/>
          <w:sz w:val="24"/>
          <w:szCs w:val="24"/>
          <w:lang w:val="en-IE"/>
        </w:rPr>
        <w:t>, detecting, analysing and countering foreign information manipulation and interference (FIMI)</w:t>
      </w:r>
      <w:bookmarkStart w:id="198" w:name="_Ref147768495"/>
      <w:r w:rsidRPr="00532C20">
        <w:rPr>
          <w:rFonts w:ascii="Times New Roman" w:eastAsia="Arial" w:hAnsi="Times New Roman" w:cs="Times New Roman"/>
          <w:noProof/>
          <w:sz w:val="24"/>
          <w:szCs w:val="24"/>
          <w:vertAlign w:val="superscript"/>
          <w:lang w:val="en-IE"/>
        </w:rPr>
        <w:footnoteReference w:id="21"/>
      </w:r>
      <w:bookmarkEnd w:id="198"/>
      <w:r w:rsidRPr="00532C20">
        <w:rPr>
          <w:rFonts w:ascii="Times New Roman" w:eastAsia="Arial" w:hAnsi="Times New Roman" w:cs="Times New Roman"/>
          <w:noProof/>
          <w:sz w:val="24"/>
          <w:szCs w:val="24"/>
          <w:lang w:val="en-IE"/>
        </w:rPr>
        <w:t>, regulating political advertising including on social media</w:t>
      </w:r>
      <w:bookmarkStart w:id="199" w:name="_Ref147769323"/>
      <w:r w:rsidRPr="00532C20">
        <w:rPr>
          <w:rFonts w:ascii="Times New Roman" w:eastAsia="Arial" w:hAnsi="Times New Roman" w:cs="Times New Roman"/>
          <w:noProof/>
          <w:sz w:val="24"/>
          <w:szCs w:val="24"/>
          <w:vertAlign w:val="superscript"/>
          <w:lang w:val="en-IE"/>
        </w:rPr>
        <w:footnoteReference w:id="22"/>
      </w:r>
      <w:bookmarkEnd w:id="199"/>
      <w:r w:rsidRPr="00532C20">
        <w:rPr>
          <w:rFonts w:ascii="Times New Roman" w:eastAsia="Arial" w:hAnsi="Times New Roman" w:cs="Times New Roman"/>
          <w:noProof/>
          <w:sz w:val="24"/>
          <w:szCs w:val="24"/>
          <w:lang w:val="en-IE"/>
        </w:rPr>
        <w:t>, supporting free, fair and inclusive elections, supporting free and plural media</w:t>
      </w:r>
      <w:bookmarkStart w:id="200" w:name="_Ref147769867"/>
      <w:r w:rsidRPr="00532C20">
        <w:rPr>
          <w:rFonts w:ascii="Times New Roman" w:eastAsia="Arial" w:hAnsi="Times New Roman" w:cs="Times New Roman"/>
          <w:noProof/>
          <w:sz w:val="24"/>
          <w:szCs w:val="24"/>
          <w:vertAlign w:val="superscript"/>
          <w:lang w:val="en-IE"/>
        </w:rPr>
        <w:footnoteReference w:id="23"/>
      </w:r>
      <w:bookmarkEnd w:id="200"/>
      <w:r w:rsidRPr="00532C20">
        <w:rPr>
          <w:rFonts w:ascii="Times New Roman" w:eastAsia="Arial" w:hAnsi="Times New Roman" w:cs="Times New Roman"/>
          <w:noProof/>
          <w:sz w:val="24"/>
          <w:szCs w:val="24"/>
          <w:lang w:val="en-IE"/>
        </w:rPr>
        <w:t>, addressing questions of investments by third countries in electoral infrastructure</w:t>
      </w:r>
      <w:bookmarkStart w:id="201" w:name="_Ref147770155"/>
      <w:r w:rsidRPr="00532C20">
        <w:rPr>
          <w:rFonts w:ascii="Times New Roman" w:eastAsia="Arial" w:hAnsi="Times New Roman" w:cs="Times New Roman"/>
          <w:noProof/>
          <w:sz w:val="24"/>
          <w:szCs w:val="24"/>
          <w:vertAlign w:val="superscript"/>
          <w:lang w:val="en-IE"/>
        </w:rPr>
        <w:footnoteReference w:id="24"/>
      </w:r>
      <w:bookmarkEnd w:id="201"/>
      <w:r w:rsidRPr="00532C20">
        <w:rPr>
          <w:rFonts w:ascii="Times New Roman" w:eastAsia="Arial" w:hAnsi="Times New Roman" w:cs="Times New Roman"/>
          <w:noProof/>
          <w:sz w:val="24"/>
          <w:szCs w:val="24"/>
          <w:lang w:val="en-IE"/>
        </w:rPr>
        <w:t>, cybersecurity</w:t>
      </w:r>
      <w:bookmarkStart w:id="202" w:name="_Ref147770570"/>
      <w:r w:rsidRPr="00532C20">
        <w:rPr>
          <w:rFonts w:ascii="Times New Roman" w:eastAsia="Arial" w:hAnsi="Times New Roman" w:cs="Times New Roman"/>
          <w:noProof/>
          <w:sz w:val="24"/>
          <w:szCs w:val="24"/>
          <w:vertAlign w:val="superscript"/>
          <w:lang w:val="en-IE"/>
        </w:rPr>
        <w:footnoteReference w:id="25"/>
      </w:r>
      <w:bookmarkEnd w:id="202"/>
      <w:r w:rsidRPr="00532C20">
        <w:rPr>
          <w:rFonts w:ascii="Times New Roman" w:eastAsia="Arial" w:hAnsi="Times New Roman" w:cs="Times New Roman"/>
          <w:noProof/>
          <w:sz w:val="24"/>
          <w:szCs w:val="24"/>
          <w:lang w:val="en-IE"/>
        </w:rPr>
        <w:t>, anti-money laundering and corruption</w:t>
      </w:r>
      <w:bookmarkStart w:id="203" w:name="_Ref147770611"/>
      <w:r w:rsidRPr="00532C20">
        <w:rPr>
          <w:rFonts w:ascii="Times New Roman" w:eastAsia="Arial" w:hAnsi="Times New Roman" w:cs="Times New Roman"/>
          <w:noProof/>
          <w:sz w:val="24"/>
          <w:szCs w:val="24"/>
          <w:vertAlign w:val="superscript"/>
          <w:lang w:val="en-IE"/>
        </w:rPr>
        <w:footnoteReference w:id="26"/>
      </w:r>
      <w:bookmarkEnd w:id="203"/>
      <w:r w:rsidRPr="00532C20">
        <w:rPr>
          <w:rFonts w:ascii="Times New Roman" w:eastAsia="Arial" w:hAnsi="Times New Roman" w:cs="Times New Roman"/>
          <w:noProof/>
          <w:sz w:val="24"/>
          <w:szCs w:val="24"/>
          <w:lang w:val="en-IE"/>
        </w:rPr>
        <w:t xml:space="preserve">. </w:t>
      </w:r>
    </w:p>
    <w:p w14:paraId="4705A471" w14:textId="73251024" w:rsidR="00EE0762" w:rsidRPr="00532C20" w:rsidRDefault="00621C57" w:rsidP="007241BF">
      <w:pPr>
        <w:spacing w:after="120" w:line="240" w:lineRule="auto"/>
        <w:jc w:val="both"/>
        <w:rPr>
          <w:rStyle w:val="normaltextrun"/>
          <w:rFonts w:ascii="Times New Roman" w:hAnsi="Times New Roman" w:cs="Times New Roman"/>
          <w:noProof/>
          <w:color w:val="000000"/>
          <w:sz w:val="24"/>
          <w:szCs w:val="24"/>
          <w:shd w:val="clear" w:color="auto" w:fill="FFFFFF"/>
        </w:rPr>
      </w:pPr>
      <w:r w:rsidRPr="00532C20">
        <w:rPr>
          <w:rFonts w:ascii="Times" w:eastAsia="Symbol" w:hAnsi="Times" w:cs="Times"/>
          <w:noProof/>
          <w:sz w:val="24"/>
          <w:szCs w:val="24"/>
          <w:lang w:val="en-IE"/>
        </w:rPr>
        <w:t>Instead of relying on traditional and formal diplomatic channels and processes, foreign governments increasingly rely on lobbyists and other forms of influence to promote their policy objectives</w:t>
      </w:r>
      <w:bookmarkStart w:id="204" w:name="_Ref147753663"/>
      <w:r w:rsidRPr="00532C20">
        <w:rPr>
          <w:rFonts w:ascii="Times" w:eastAsia="Symbol" w:hAnsi="Times" w:cs="Times"/>
          <w:noProof/>
          <w:sz w:val="24"/>
          <w:szCs w:val="24"/>
          <w:vertAlign w:val="superscript"/>
          <w:lang w:val="en-IE"/>
        </w:rPr>
        <w:footnoteReference w:id="27"/>
      </w:r>
      <w:bookmarkEnd w:id="204"/>
      <w:r w:rsidRPr="00532C20">
        <w:rPr>
          <w:rFonts w:ascii="Times" w:eastAsia="Symbol" w:hAnsi="Times" w:cs="Times"/>
          <w:noProof/>
          <w:sz w:val="24"/>
          <w:szCs w:val="24"/>
          <w:lang w:val="en-IE"/>
        </w:rPr>
        <w:t xml:space="preserve">. </w:t>
      </w:r>
      <w:r w:rsidR="004817BB" w:rsidRPr="00532C20">
        <w:rPr>
          <w:rFonts w:ascii="Times" w:eastAsia="Symbol" w:hAnsi="Times" w:cs="Times"/>
          <w:noProof/>
          <w:sz w:val="24"/>
          <w:szCs w:val="24"/>
          <w:lang w:val="en-IE"/>
        </w:rPr>
        <w:t>Typically</w:t>
      </w:r>
      <w:r w:rsidR="00E94C82">
        <w:rPr>
          <w:rFonts w:ascii="Times" w:eastAsia="Symbol" w:hAnsi="Times" w:cs="Times"/>
          <w:noProof/>
          <w:sz w:val="24"/>
          <w:szCs w:val="24"/>
          <w:lang w:val="en-IE"/>
        </w:rPr>
        <w:t>,</w:t>
      </w:r>
      <w:r w:rsidR="004817BB" w:rsidRPr="00532C20">
        <w:rPr>
          <w:rFonts w:ascii="Times" w:eastAsia="Symbol" w:hAnsi="Times" w:cs="Times"/>
          <w:noProof/>
          <w:sz w:val="24"/>
          <w:szCs w:val="24"/>
          <w:lang w:val="en-IE"/>
        </w:rPr>
        <w:t xml:space="preserve"> states have resources that private actors might not have and </w:t>
      </w:r>
      <w:r w:rsidR="00BE3361" w:rsidRPr="00532C20">
        <w:rPr>
          <w:rFonts w:ascii="Times" w:eastAsia="Symbol" w:hAnsi="Times" w:cs="Times"/>
          <w:noProof/>
          <w:sz w:val="24"/>
          <w:szCs w:val="24"/>
          <w:lang w:val="en-IE"/>
        </w:rPr>
        <w:t>pursue</w:t>
      </w:r>
      <w:r w:rsidR="004817BB" w:rsidRPr="00532C20">
        <w:rPr>
          <w:rFonts w:ascii="Times" w:eastAsia="Symbol" w:hAnsi="Times" w:cs="Times"/>
          <w:noProof/>
          <w:sz w:val="24"/>
          <w:szCs w:val="24"/>
          <w:lang w:val="en-IE"/>
        </w:rPr>
        <w:t xml:space="preserve"> different aims</w:t>
      </w:r>
      <w:r w:rsidR="00885AAC" w:rsidRPr="00532C20">
        <w:rPr>
          <w:rFonts w:ascii="Times" w:eastAsia="Symbol" w:hAnsi="Times" w:cs="Times"/>
          <w:noProof/>
          <w:sz w:val="24"/>
          <w:szCs w:val="24"/>
          <w:lang w:val="en-IE"/>
        </w:rPr>
        <w:t xml:space="preserve">. </w:t>
      </w:r>
      <w:r w:rsidR="00EE0762" w:rsidRPr="00532C20">
        <w:rPr>
          <w:rStyle w:val="normaltextrun"/>
          <w:rFonts w:ascii="Times New Roman" w:hAnsi="Times New Roman" w:cs="Times New Roman"/>
          <w:noProof/>
          <w:color w:val="000000"/>
          <w:sz w:val="24"/>
          <w:szCs w:val="24"/>
          <w:shd w:val="clear" w:color="auto" w:fill="FFFFFF"/>
        </w:rPr>
        <w:t xml:space="preserve">As noted by the Organisation for Economic Co-operation and </w:t>
      </w:r>
      <w:r w:rsidR="00EE0762" w:rsidRPr="00532C20">
        <w:rPr>
          <w:rFonts w:ascii="Times New Roman" w:eastAsia="Times" w:hAnsi="Times New Roman" w:cs="Times New Roman"/>
          <w:noProof/>
          <w:sz w:val="24"/>
          <w:szCs w:val="24"/>
          <w:lang w:val="en-IE"/>
        </w:rPr>
        <w:t>Development</w:t>
      </w:r>
      <w:r w:rsidR="00EE0762" w:rsidRPr="00532C20">
        <w:rPr>
          <w:rStyle w:val="normaltextrun"/>
          <w:rFonts w:ascii="Times New Roman" w:hAnsi="Times New Roman" w:cs="Times New Roman"/>
          <w:noProof/>
          <w:color w:val="000000"/>
          <w:sz w:val="24"/>
          <w:szCs w:val="24"/>
          <w:shd w:val="clear" w:color="auto" w:fill="FFFFFF"/>
        </w:rPr>
        <w:t xml:space="preserve"> (OECD), foreign governments “</w:t>
      </w:r>
      <w:r w:rsidR="00EE0762" w:rsidRPr="00532C20">
        <w:rPr>
          <w:rStyle w:val="normaltextrun"/>
          <w:rFonts w:ascii="Times New Roman" w:hAnsi="Times New Roman" w:cs="Times New Roman"/>
          <w:i/>
          <w:noProof/>
          <w:color w:val="000000"/>
          <w:sz w:val="24"/>
          <w:szCs w:val="24"/>
          <w:shd w:val="clear" w:color="auto" w:fill="FFFFFF"/>
        </w:rPr>
        <w:t>can have a transformative impact on the political life of a country, not only on domestic policies but also on its foreign policy, its election system, economic interests and its ability to protect its national interests and national security</w:t>
      </w:r>
      <w:r w:rsidR="00FE3E3D" w:rsidRPr="00532C20">
        <w:rPr>
          <w:noProof/>
        </w:rPr>
        <w:t>”</w:t>
      </w:r>
      <w:r w:rsidR="00EE0762" w:rsidRPr="00532C20">
        <w:rPr>
          <w:rStyle w:val="FootnoteReference"/>
          <w:rFonts w:ascii="Times New Roman" w:hAnsi="Times New Roman" w:cs="Times New Roman"/>
          <w:noProof/>
          <w:color w:val="000000"/>
          <w:sz w:val="24"/>
          <w:szCs w:val="24"/>
          <w:shd w:val="clear" w:color="auto" w:fill="FFFFFF"/>
        </w:rPr>
        <w:footnoteReference w:id="28"/>
      </w:r>
      <w:r w:rsidR="00EE0762" w:rsidRPr="00532C20">
        <w:rPr>
          <w:rStyle w:val="normaltextrun"/>
          <w:rFonts w:ascii="Times New Roman" w:hAnsi="Times New Roman" w:cs="Times New Roman"/>
          <w:noProof/>
          <w:color w:val="000000"/>
          <w:sz w:val="24"/>
          <w:szCs w:val="24"/>
          <w:shd w:val="clear" w:color="auto" w:fill="FFFFFF"/>
        </w:rPr>
        <w:t xml:space="preserve"> and the risks involved in lobbying and influence activities of foreign government are higher than the risks posed by purely domestic lobbying and influence activities</w:t>
      </w:r>
      <w:r w:rsidR="00EE0762" w:rsidRPr="00532C20">
        <w:rPr>
          <w:rStyle w:val="FootnoteReference"/>
          <w:rFonts w:ascii="Times New Roman" w:hAnsi="Times New Roman" w:cs="Times New Roman"/>
          <w:noProof/>
          <w:color w:val="000000"/>
          <w:sz w:val="24"/>
          <w:szCs w:val="24"/>
          <w:shd w:val="clear" w:color="auto" w:fill="FFFFFF"/>
        </w:rPr>
        <w:footnoteReference w:id="29"/>
      </w:r>
      <w:r w:rsidR="00EE0762" w:rsidRPr="00532C20">
        <w:rPr>
          <w:rStyle w:val="normaltextrun"/>
          <w:rFonts w:ascii="Times New Roman" w:hAnsi="Times New Roman" w:cs="Times New Roman"/>
          <w:noProof/>
          <w:color w:val="000000"/>
          <w:sz w:val="24"/>
          <w:szCs w:val="24"/>
          <w:shd w:val="clear" w:color="auto" w:fill="FFFFFF"/>
        </w:rPr>
        <w:t>.</w:t>
      </w:r>
    </w:p>
    <w:p w14:paraId="5331498A" w14:textId="49364FD3" w:rsidR="00AA7A5E" w:rsidRPr="00532C20" w:rsidRDefault="00AA7A5E" w:rsidP="007241BF">
      <w:pPr>
        <w:spacing w:after="120" w:line="240" w:lineRule="auto"/>
        <w:jc w:val="both"/>
        <w:rPr>
          <w:rFonts w:ascii="Times New Roman" w:eastAsia="Arial" w:hAnsi="Times New Roman" w:cs="Times New Roman"/>
          <w:noProof/>
          <w:sz w:val="24"/>
          <w:szCs w:val="24"/>
          <w:lang w:eastAsia="en-GB"/>
        </w:rPr>
      </w:pPr>
      <w:r w:rsidRPr="00532C20">
        <w:rPr>
          <w:rFonts w:ascii="Times New Roman" w:eastAsia="Arial" w:hAnsi="Times New Roman" w:cs="Times New Roman"/>
          <w:noProof/>
          <w:sz w:val="24"/>
          <w:szCs w:val="24"/>
          <w:lang w:val="en-IE"/>
        </w:rPr>
        <w:t>Several democratic countries outside the</w:t>
      </w:r>
      <w:r w:rsidRPr="00532C20" w:rsidDel="00F23214">
        <w:rPr>
          <w:rFonts w:ascii="Times New Roman" w:eastAsia="Arial" w:hAnsi="Times New Roman" w:cs="Times New Roman"/>
          <w:noProof/>
          <w:sz w:val="24"/>
          <w:szCs w:val="24"/>
          <w:lang w:val="en-IE"/>
        </w:rPr>
        <w:t xml:space="preserve"> </w:t>
      </w:r>
      <w:r w:rsidR="00F23214">
        <w:rPr>
          <w:rFonts w:ascii="Times New Roman" w:eastAsia="Arial" w:hAnsi="Times New Roman" w:cs="Times New Roman"/>
          <w:noProof/>
          <w:sz w:val="24"/>
          <w:szCs w:val="24"/>
          <w:lang w:val="en-IE"/>
        </w:rPr>
        <w:t>Union</w:t>
      </w:r>
      <w:r w:rsidRPr="00532C20">
        <w:rPr>
          <w:rFonts w:ascii="Times New Roman" w:eastAsia="Arial" w:hAnsi="Times New Roman" w:cs="Times New Roman"/>
          <w:noProof/>
          <w:sz w:val="24"/>
          <w:szCs w:val="24"/>
          <w:lang w:val="en-IE"/>
        </w:rPr>
        <w:t xml:space="preserve"> have already adopted measures </w:t>
      </w:r>
      <w:r w:rsidR="001E5E3D" w:rsidRPr="00532C20">
        <w:rPr>
          <w:rFonts w:ascii="Times New Roman" w:eastAsia="Arial" w:hAnsi="Times New Roman" w:cs="Times New Roman"/>
          <w:noProof/>
          <w:sz w:val="24"/>
          <w:szCs w:val="24"/>
          <w:lang w:val="en-IE"/>
        </w:rPr>
        <w:t xml:space="preserve">including </w:t>
      </w:r>
      <w:r w:rsidRPr="00532C20">
        <w:rPr>
          <w:rFonts w:ascii="Times New Roman" w:eastAsia="Arial" w:hAnsi="Times New Roman" w:cs="Times New Roman"/>
          <w:noProof/>
          <w:sz w:val="24"/>
          <w:szCs w:val="24"/>
          <w:lang w:val="en-IE"/>
        </w:rPr>
        <w:t>to enhance transparency</w:t>
      </w:r>
      <w:r w:rsidR="00CE4009" w:rsidRPr="00532C20">
        <w:rPr>
          <w:rFonts w:ascii="Times New Roman" w:eastAsia="Arial" w:hAnsi="Times New Roman" w:cs="Times New Roman"/>
          <w:noProof/>
          <w:sz w:val="24"/>
          <w:szCs w:val="24"/>
          <w:lang w:val="en-IE"/>
        </w:rPr>
        <w:t xml:space="preserve"> of </w:t>
      </w:r>
      <w:r w:rsidR="00E42341" w:rsidRPr="00532C20">
        <w:rPr>
          <w:rFonts w:ascii="Times New Roman" w:eastAsia="Arial" w:hAnsi="Times New Roman" w:cs="Times New Roman"/>
          <w:noProof/>
          <w:sz w:val="24"/>
          <w:szCs w:val="24"/>
          <w:lang w:val="en-IE"/>
        </w:rPr>
        <w:t>interest representation activities carried out on behalf of third countries</w:t>
      </w:r>
      <w:r w:rsidR="00CE4009" w:rsidRPr="00532C20">
        <w:rPr>
          <w:rFonts w:ascii="Times New Roman" w:eastAsia="Arial" w:hAnsi="Times New Roman" w:cs="Times New Roman"/>
          <w:noProof/>
          <w:sz w:val="24"/>
          <w:szCs w:val="24"/>
          <w:lang w:val="en-IE"/>
        </w:rPr>
        <w:t xml:space="preserve"> </w:t>
      </w:r>
      <w:r w:rsidRPr="00532C20">
        <w:rPr>
          <w:rFonts w:ascii="Times New Roman" w:eastAsia="Arial" w:hAnsi="Times New Roman" w:cs="Times New Roman"/>
          <w:noProof/>
          <w:sz w:val="24"/>
          <w:szCs w:val="24"/>
          <w:lang w:val="en-IE"/>
        </w:rPr>
        <w:t>and support democratic accountability. These include Australia and the US, while other democracies, like the UK and Canada are considering adopting similar measures.</w:t>
      </w:r>
      <w:r w:rsidR="000E3E7D" w:rsidRPr="00532C20">
        <w:rPr>
          <w:rStyle w:val="FootnoteReference"/>
          <w:rFonts w:ascii="Times New Roman" w:eastAsia="Arial" w:hAnsi="Times New Roman" w:cs="Times New Roman"/>
          <w:noProof/>
          <w:sz w:val="24"/>
          <w:szCs w:val="24"/>
          <w:lang w:val="en-IE"/>
        </w:rPr>
        <w:footnoteReference w:id="30"/>
      </w:r>
      <w:r w:rsidRPr="00532C20">
        <w:rPr>
          <w:rFonts w:ascii="Times New Roman" w:eastAsia="Arial" w:hAnsi="Times New Roman" w:cs="Times New Roman"/>
          <w:noProof/>
          <w:sz w:val="24"/>
          <w:szCs w:val="24"/>
          <w:lang w:val="en-IE"/>
        </w:rPr>
        <w:t xml:space="preserve"> International organisations and fora such as </w:t>
      </w:r>
      <w:r w:rsidR="007C34D8" w:rsidRPr="00532C20">
        <w:rPr>
          <w:rFonts w:ascii="Times New Roman" w:eastAsia="Arial" w:hAnsi="Times New Roman" w:cs="Times New Roman"/>
          <w:noProof/>
          <w:sz w:val="24"/>
          <w:szCs w:val="24"/>
          <w:lang w:val="en-IE"/>
        </w:rPr>
        <w:t xml:space="preserve">the </w:t>
      </w:r>
      <w:r w:rsidR="00AC0B39" w:rsidRPr="00532C20">
        <w:rPr>
          <w:rFonts w:ascii="Times New Roman" w:eastAsia="Arial" w:hAnsi="Times New Roman" w:cs="Times New Roman"/>
          <w:noProof/>
          <w:sz w:val="24"/>
          <w:szCs w:val="24"/>
          <w:lang w:val="en-IE"/>
        </w:rPr>
        <w:t>Organization for Security and Co-operation in Europe</w:t>
      </w:r>
      <w:r w:rsidR="00D94CAF" w:rsidRPr="00532C20">
        <w:rPr>
          <w:rFonts w:ascii="Times New Roman" w:eastAsia="Arial" w:hAnsi="Times New Roman" w:cs="Times New Roman"/>
          <w:noProof/>
          <w:sz w:val="24"/>
          <w:szCs w:val="24"/>
          <w:lang w:val="en-IE"/>
        </w:rPr>
        <w:t xml:space="preserve"> </w:t>
      </w:r>
      <w:r w:rsidR="00AC0B39" w:rsidRPr="00532C20">
        <w:rPr>
          <w:rFonts w:ascii="Times New Roman" w:eastAsia="Arial" w:hAnsi="Times New Roman" w:cs="Times New Roman"/>
          <w:noProof/>
          <w:sz w:val="24"/>
          <w:szCs w:val="24"/>
          <w:lang w:val="en-IE"/>
        </w:rPr>
        <w:t xml:space="preserve">(OSCE), </w:t>
      </w:r>
      <w:r w:rsidRPr="00532C20">
        <w:rPr>
          <w:rFonts w:ascii="Times New Roman" w:eastAsia="Arial" w:hAnsi="Times New Roman" w:cs="Times New Roman"/>
          <w:noProof/>
          <w:sz w:val="24"/>
          <w:szCs w:val="24"/>
          <w:lang w:val="en-IE"/>
        </w:rPr>
        <w:t xml:space="preserve">OECD and G7 have also been working on the issue. </w:t>
      </w:r>
    </w:p>
    <w:p w14:paraId="20189193" w14:textId="1C75FF86" w:rsidR="00B73872" w:rsidRPr="00532C20" w:rsidRDefault="00621C57" w:rsidP="007241BF">
      <w:pPr>
        <w:spacing w:after="120" w:line="240" w:lineRule="auto"/>
        <w:jc w:val="both"/>
        <w:rPr>
          <w:rFonts w:ascii="Times New Roman" w:eastAsia="Times New Roman" w:hAnsi="Times New Roman" w:cs="Times New Roman"/>
          <w:noProof/>
          <w:color w:val="000000" w:themeColor="text1"/>
          <w:sz w:val="24"/>
          <w:szCs w:val="24"/>
        </w:rPr>
      </w:pPr>
      <w:r w:rsidRPr="00532C20">
        <w:rPr>
          <w:rFonts w:ascii="Times New Roman" w:eastAsia="Arial" w:hAnsi="Times New Roman" w:cs="Times New Roman"/>
          <w:noProof/>
          <w:sz w:val="24"/>
          <w:szCs w:val="24"/>
          <w:lang w:val="en-IE"/>
        </w:rPr>
        <w:t xml:space="preserve">In the internal market, a wide range of cross-border activities which </w:t>
      </w:r>
      <w:r w:rsidR="005F19FE" w:rsidRPr="00532C20">
        <w:rPr>
          <w:rFonts w:ascii="Times New Roman" w:eastAsia="Arial" w:hAnsi="Times New Roman" w:cs="Times New Roman"/>
          <w:noProof/>
          <w:sz w:val="24"/>
          <w:szCs w:val="24"/>
          <w:lang w:val="en-IE"/>
        </w:rPr>
        <w:t xml:space="preserve">seeks to influence </w:t>
      </w:r>
      <w:r w:rsidRPr="00532C20">
        <w:rPr>
          <w:rFonts w:ascii="Times New Roman" w:eastAsia="Arial" w:hAnsi="Times New Roman" w:cs="Times New Roman"/>
          <w:noProof/>
          <w:sz w:val="24"/>
          <w:szCs w:val="24"/>
          <w:lang w:val="en-IE"/>
        </w:rPr>
        <w:t>decision</w:t>
      </w:r>
      <w:r w:rsidR="00EF61D4">
        <w:rPr>
          <w:rFonts w:ascii="Times New Roman" w:eastAsia="Arial" w:hAnsi="Times New Roman" w:cs="Times New Roman"/>
          <w:noProof/>
          <w:sz w:val="24"/>
          <w:szCs w:val="24"/>
          <w:lang w:val="en-IE"/>
        </w:rPr>
        <w:t>-</w:t>
      </w:r>
      <w:r w:rsidRPr="00532C20">
        <w:rPr>
          <w:rFonts w:ascii="Times New Roman" w:eastAsia="Arial" w:hAnsi="Times New Roman" w:cs="Times New Roman"/>
          <w:noProof/>
          <w:sz w:val="24"/>
          <w:szCs w:val="24"/>
          <w:lang w:val="en-IE"/>
        </w:rPr>
        <w:t xml:space="preserve">making processes </w:t>
      </w:r>
      <w:r w:rsidR="002833BA" w:rsidRPr="00532C20">
        <w:rPr>
          <w:rFonts w:ascii="Times New Roman" w:eastAsia="Arial" w:hAnsi="Times New Roman" w:cs="Times New Roman"/>
          <w:noProof/>
          <w:sz w:val="24"/>
          <w:szCs w:val="24"/>
          <w:lang w:val="en-IE"/>
        </w:rPr>
        <w:t xml:space="preserve">is </w:t>
      </w:r>
      <w:r w:rsidRPr="00532C20">
        <w:rPr>
          <w:rFonts w:ascii="Times New Roman" w:eastAsia="Arial" w:hAnsi="Times New Roman" w:cs="Times New Roman"/>
          <w:noProof/>
          <w:sz w:val="24"/>
          <w:szCs w:val="24"/>
          <w:lang w:val="en-IE"/>
        </w:rPr>
        <w:t>conducted on behalf of third countries</w:t>
      </w:r>
      <w:r w:rsidR="00FA7FCF" w:rsidRPr="00532C20">
        <w:rPr>
          <w:rFonts w:ascii="Times New Roman" w:eastAsia="Arial" w:hAnsi="Times New Roman" w:cs="Times New Roman"/>
          <w:noProof/>
          <w:sz w:val="24"/>
          <w:szCs w:val="24"/>
          <w:lang w:val="en-IE"/>
        </w:rPr>
        <w:t>. Such activities involve</w:t>
      </w:r>
      <w:r w:rsidRPr="00532C20">
        <w:rPr>
          <w:rFonts w:ascii="Times New Roman" w:eastAsia="Arial" w:hAnsi="Times New Roman" w:cs="Times New Roman"/>
          <w:noProof/>
          <w:sz w:val="24"/>
          <w:szCs w:val="24"/>
          <w:lang w:val="en-IE"/>
        </w:rPr>
        <w:t xml:space="preserve"> different types of EU-based commercial and non-commercial entities such as think tanks, lobbying firms, CSOs, or law firms. Interest representation involves direct contact with decision</w:t>
      </w:r>
      <w:r w:rsidR="00980695">
        <w:rPr>
          <w:rFonts w:ascii="Times New Roman" w:eastAsia="Arial" w:hAnsi="Times New Roman" w:cs="Times New Roman"/>
          <w:noProof/>
          <w:sz w:val="24"/>
          <w:szCs w:val="24"/>
          <w:lang w:val="en-IE"/>
        </w:rPr>
        <w:t>-</w:t>
      </w:r>
      <w:r w:rsidRPr="00532C20">
        <w:rPr>
          <w:rFonts w:ascii="Times New Roman" w:eastAsia="Arial" w:hAnsi="Times New Roman" w:cs="Times New Roman"/>
          <w:noProof/>
          <w:sz w:val="24"/>
          <w:szCs w:val="24"/>
          <w:lang w:val="en-IE"/>
        </w:rPr>
        <w:t>makers, communication and other efforts to represent a particular interest and influence decision</w:t>
      </w:r>
      <w:r w:rsidR="00980695">
        <w:rPr>
          <w:rFonts w:ascii="Times New Roman" w:eastAsia="Arial" w:hAnsi="Times New Roman" w:cs="Times New Roman"/>
          <w:noProof/>
          <w:sz w:val="24"/>
          <w:szCs w:val="24"/>
          <w:lang w:val="en-IE"/>
        </w:rPr>
        <w:t>-</w:t>
      </w:r>
      <w:r w:rsidRPr="00532C20">
        <w:rPr>
          <w:rFonts w:ascii="Times New Roman" w:eastAsia="Arial" w:hAnsi="Times New Roman" w:cs="Times New Roman"/>
          <w:noProof/>
          <w:sz w:val="24"/>
          <w:szCs w:val="24"/>
          <w:lang w:val="en-IE"/>
        </w:rPr>
        <w:t xml:space="preserve">makers and the wider debate. </w:t>
      </w:r>
      <w:r w:rsidR="00DE6DE4" w:rsidRPr="00532C20">
        <w:rPr>
          <w:rFonts w:ascii="Times New Roman" w:eastAsia="Arial" w:hAnsi="Times New Roman" w:cs="Times New Roman"/>
          <w:noProof/>
          <w:sz w:val="24"/>
          <w:szCs w:val="24"/>
          <w:lang w:val="en-IE"/>
        </w:rPr>
        <w:t>While these activities can be conducted transparently, this is not always the case, and national measures intended to ensure the transparency and accountability of such activities are not always effective in isolation at the national level.</w:t>
      </w:r>
      <w:r w:rsidRPr="00532C20">
        <w:rPr>
          <w:rFonts w:ascii="Times New Roman" w:eastAsia="Arial" w:hAnsi="Times New Roman" w:cs="Times New Roman"/>
          <w:noProof/>
          <w:sz w:val="24"/>
          <w:szCs w:val="24"/>
          <w:lang w:val="en-IE"/>
        </w:rPr>
        <w:t xml:space="preserve"> </w:t>
      </w:r>
    </w:p>
    <w:p w14:paraId="3F3A257E" w14:textId="0D3FD06D" w:rsidR="006B36F2" w:rsidRPr="00532C20" w:rsidRDefault="00B56877" w:rsidP="007241BF">
      <w:pPr>
        <w:spacing w:after="120" w:line="240" w:lineRule="auto"/>
        <w:jc w:val="both"/>
        <w:rPr>
          <w:rFonts w:ascii="Times New Roman" w:eastAsia="Times" w:hAnsi="Times New Roman" w:cs="Times New Roman"/>
          <w:noProof/>
          <w:sz w:val="24"/>
          <w:szCs w:val="24"/>
          <w:lang w:val="en-IE" w:eastAsia="fr-BE"/>
        </w:rPr>
      </w:pPr>
      <w:r w:rsidRPr="00532C20">
        <w:rPr>
          <w:rFonts w:ascii="Times New Roman" w:eastAsia="Times" w:hAnsi="Times New Roman" w:cs="Times New Roman"/>
          <w:noProof/>
          <w:sz w:val="24"/>
          <w:szCs w:val="24"/>
          <w:lang w:val="en-IE" w:eastAsia="fr-BE"/>
        </w:rPr>
        <w:t xml:space="preserve">Where </w:t>
      </w:r>
      <w:r w:rsidR="00E94C82">
        <w:rPr>
          <w:rFonts w:ascii="Times New Roman" w:eastAsia="Times" w:hAnsi="Times New Roman" w:cs="Times New Roman"/>
          <w:noProof/>
          <w:sz w:val="24"/>
          <w:szCs w:val="24"/>
          <w:lang w:val="en-IE" w:eastAsia="fr-BE"/>
        </w:rPr>
        <w:t>they are</w:t>
      </w:r>
      <w:r w:rsidRPr="00532C20">
        <w:rPr>
          <w:rFonts w:ascii="Times New Roman" w:eastAsia="Times" w:hAnsi="Times New Roman" w:cs="Times New Roman"/>
          <w:noProof/>
          <w:sz w:val="24"/>
          <w:szCs w:val="24"/>
          <w:lang w:val="en-IE" w:eastAsia="fr-BE"/>
        </w:rPr>
        <w:t xml:space="preserve"> regulated, </w:t>
      </w:r>
      <w:r w:rsidRPr="00532C20">
        <w:rPr>
          <w:rFonts w:ascii="Times New Roman" w:eastAsia="Times New Roman" w:hAnsi="Times New Roman" w:cs="Times New Roman"/>
          <w:noProof/>
          <w:sz w:val="24"/>
          <w:szCs w:val="24"/>
          <w:lang w:val="en-IE"/>
        </w:rPr>
        <w:t>interest representation activities carried out on behalf of third countries are regulated together with other interest representation activities</w:t>
      </w:r>
      <w:r w:rsidR="006B36F2" w:rsidRPr="00532C20">
        <w:rPr>
          <w:rFonts w:ascii="Times New Roman" w:eastAsia="Times" w:hAnsi="Times New Roman" w:cs="Times New Roman"/>
          <w:noProof/>
          <w:sz w:val="24"/>
          <w:szCs w:val="24"/>
          <w:lang w:val="en-IE" w:eastAsia="fr-BE"/>
        </w:rPr>
        <w:t xml:space="preserve">. </w:t>
      </w:r>
      <w:r w:rsidR="00E95E53" w:rsidRPr="00532C20">
        <w:rPr>
          <w:rFonts w:ascii="Times New Roman" w:eastAsia="Times" w:hAnsi="Times New Roman" w:cs="Times New Roman"/>
          <w:noProof/>
          <w:sz w:val="24"/>
          <w:szCs w:val="24"/>
          <w:lang w:val="en-IE" w:eastAsia="fr-BE"/>
        </w:rPr>
        <w:t>Currently</w:t>
      </w:r>
      <w:r w:rsidR="006B36F2" w:rsidRPr="00532C20">
        <w:rPr>
          <w:rFonts w:ascii="Times New Roman" w:eastAsia="Times" w:hAnsi="Times New Roman" w:cs="Times New Roman"/>
          <w:noProof/>
          <w:sz w:val="24"/>
          <w:szCs w:val="24"/>
          <w:lang w:val="en-IE" w:eastAsia="fr-BE"/>
        </w:rPr>
        <w:t>, 15 Member States</w:t>
      </w:r>
      <w:r w:rsidR="006B36F2" w:rsidRPr="00532C20">
        <w:rPr>
          <w:rFonts w:ascii="Times New Roman" w:eastAsia="Times" w:hAnsi="Times New Roman" w:cs="Times New Roman"/>
          <w:noProof/>
          <w:sz w:val="24"/>
          <w:szCs w:val="24"/>
          <w:vertAlign w:val="superscript"/>
          <w:lang w:val="en-IE" w:eastAsia="fr-BE"/>
        </w:rPr>
        <w:footnoteReference w:id="31"/>
      </w:r>
      <w:r w:rsidR="006B36F2" w:rsidRPr="00532C20">
        <w:rPr>
          <w:rFonts w:ascii="Times New Roman" w:eastAsia="Times" w:hAnsi="Times New Roman" w:cs="Times New Roman"/>
          <w:noProof/>
          <w:sz w:val="24"/>
          <w:szCs w:val="24"/>
          <w:lang w:val="en-IE" w:eastAsia="fr-BE"/>
        </w:rPr>
        <w:t xml:space="preserve"> have a transparency register on interest representation activities, albeit only at sub-national level for some</w:t>
      </w:r>
      <w:r w:rsidR="006B36F2" w:rsidRPr="00532C20">
        <w:rPr>
          <w:rStyle w:val="FootnoteReference"/>
          <w:rFonts w:ascii="Times New Roman" w:eastAsia="Times" w:hAnsi="Times New Roman" w:cs="Times New Roman"/>
          <w:noProof/>
          <w:sz w:val="24"/>
          <w:szCs w:val="24"/>
          <w:lang w:val="en-IE" w:eastAsia="fr-BE"/>
        </w:rPr>
        <w:footnoteReference w:id="32"/>
      </w:r>
      <w:r w:rsidR="006B36F2" w:rsidRPr="00532C20">
        <w:rPr>
          <w:rFonts w:ascii="Times New Roman" w:eastAsia="Times" w:hAnsi="Times New Roman" w:cs="Times New Roman"/>
          <w:noProof/>
          <w:sz w:val="24"/>
          <w:szCs w:val="24"/>
          <w:lang w:val="en-IE" w:eastAsia="fr-BE"/>
        </w:rPr>
        <w:t>.</w:t>
      </w:r>
      <w:r w:rsidR="00DF7571" w:rsidRPr="00532C20">
        <w:rPr>
          <w:rFonts w:ascii="Times New Roman" w:eastAsia="Times" w:hAnsi="Times New Roman" w:cs="Times New Roman"/>
          <w:noProof/>
          <w:sz w:val="24"/>
          <w:szCs w:val="24"/>
          <w:lang w:val="en-IE" w:eastAsia="fr-BE"/>
        </w:rPr>
        <w:t xml:space="preserve"> </w:t>
      </w:r>
      <w:r w:rsidR="006B36F2" w:rsidRPr="00532C20">
        <w:rPr>
          <w:rFonts w:ascii="Times New Roman" w:eastAsia="Times" w:hAnsi="Times New Roman" w:cs="Times New Roman"/>
          <w:noProof/>
          <w:sz w:val="24"/>
          <w:szCs w:val="24"/>
          <w:lang w:val="en-IE" w:eastAsia="fr-BE"/>
        </w:rPr>
        <w:t xml:space="preserve">In those Member States, </w:t>
      </w:r>
      <w:r w:rsidR="00DF7571" w:rsidRPr="00532C20">
        <w:rPr>
          <w:rFonts w:ascii="Times New Roman" w:eastAsia="Times" w:hAnsi="Times New Roman" w:cs="Times New Roman"/>
          <w:noProof/>
          <w:sz w:val="24"/>
          <w:szCs w:val="24"/>
          <w:lang w:val="en-IE" w:eastAsia="fr-BE"/>
        </w:rPr>
        <w:t>where such a</w:t>
      </w:r>
      <w:r w:rsidR="006B36F2" w:rsidRPr="00532C20">
        <w:rPr>
          <w:rFonts w:ascii="Times New Roman" w:eastAsia="Times" w:hAnsi="Times New Roman" w:cs="Times New Roman"/>
          <w:noProof/>
          <w:sz w:val="24"/>
          <w:szCs w:val="24"/>
          <w:lang w:val="en-IE" w:eastAsia="fr-BE"/>
        </w:rPr>
        <w:t xml:space="preserve"> regulatory framework</w:t>
      </w:r>
      <w:r w:rsidR="00DF7571" w:rsidRPr="00532C20">
        <w:rPr>
          <w:rFonts w:ascii="Times New Roman" w:eastAsia="Times" w:hAnsi="Times New Roman" w:cs="Times New Roman"/>
          <w:noProof/>
          <w:sz w:val="24"/>
          <w:szCs w:val="24"/>
          <w:lang w:val="en-IE" w:eastAsia="fr-BE"/>
        </w:rPr>
        <w:t xml:space="preserve"> </w:t>
      </w:r>
      <w:r w:rsidR="00D16ED2" w:rsidRPr="00532C20">
        <w:rPr>
          <w:rFonts w:ascii="Times New Roman" w:eastAsia="Times" w:hAnsi="Times New Roman" w:cs="Times New Roman"/>
          <w:noProof/>
          <w:sz w:val="24"/>
          <w:szCs w:val="24"/>
          <w:lang w:val="en-IE" w:eastAsia="fr-BE"/>
        </w:rPr>
        <w:t>exists</w:t>
      </w:r>
      <w:r w:rsidR="00DF7571" w:rsidRPr="00532C20">
        <w:rPr>
          <w:rFonts w:ascii="Times New Roman" w:eastAsia="Times" w:hAnsi="Times New Roman" w:cs="Times New Roman"/>
          <w:noProof/>
          <w:sz w:val="24"/>
          <w:szCs w:val="24"/>
          <w:lang w:val="en-IE" w:eastAsia="fr-BE"/>
        </w:rPr>
        <w:t>, it</w:t>
      </w:r>
      <w:r w:rsidR="006B36F2" w:rsidRPr="00532C20">
        <w:rPr>
          <w:rFonts w:ascii="Times New Roman" w:eastAsia="Times" w:hAnsi="Times New Roman" w:cs="Times New Roman"/>
          <w:noProof/>
          <w:sz w:val="24"/>
          <w:szCs w:val="24"/>
          <w:lang w:val="en-IE" w:eastAsia="fr-BE"/>
        </w:rPr>
        <w:t xml:space="preserve"> is highly fragmented across the EU</w:t>
      </w:r>
      <w:r w:rsidR="006B36F2" w:rsidRPr="00532C20">
        <w:rPr>
          <w:rFonts w:ascii="Times New Roman" w:eastAsia="Times" w:hAnsi="Times New Roman" w:cs="Times New Roman"/>
          <w:noProof/>
          <w:sz w:val="24"/>
          <w:szCs w:val="24"/>
          <w:vertAlign w:val="superscript"/>
          <w:lang w:val="en-IE" w:eastAsia="fr-BE"/>
        </w:rPr>
        <w:footnoteReference w:id="33"/>
      </w:r>
      <w:r w:rsidR="006B36F2" w:rsidRPr="00532C20">
        <w:rPr>
          <w:rFonts w:ascii="Times New Roman" w:eastAsia="Times" w:hAnsi="Times New Roman" w:cs="Times New Roman"/>
          <w:noProof/>
          <w:sz w:val="24"/>
          <w:szCs w:val="24"/>
          <w:lang w:val="en-IE" w:eastAsia="fr-BE"/>
        </w:rPr>
        <w:t>. T</w:t>
      </w:r>
      <w:r w:rsidR="006B36F2" w:rsidRPr="00532C20">
        <w:rPr>
          <w:rFonts w:ascii="Times New Roman" w:eastAsia="Times New Roman" w:hAnsi="Times New Roman" w:cs="Times New Roman"/>
          <w:noProof/>
          <w:sz w:val="24"/>
          <w:szCs w:val="24"/>
          <w:lang w:val="en-IE"/>
        </w:rPr>
        <w:t>he scope of the entities and activities covered differ widely</w:t>
      </w:r>
      <w:r w:rsidR="006B36F2" w:rsidRPr="00532C20">
        <w:rPr>
          <w:rStyle w:val="FootnoteReference"/>
          <w:rFonts w:ascii="Times New Roman" w:eastAsia="Times New Roman" w:hAnsi="Times New Roman" w:cs="Times New Roman"/>
          <w:noProof/>
          <w:sz w:val="24"/>
          <w:szCs w:val="24"/>
          <w:lang w:val="en-IE"/>
        </w:rPr>
        <w:footnoteReference w:id="34"/>
      </w:r>
      <w:r w:rsidR="006B36F2" w:rsidRPr="00532C20">
        <w:rPr>
          <w:rFonts w:ascii="Times New Roman" w:eastAsia="Times New Roman" w:hAnsi="Times New Roman" w:cs="Times New Roman"/>
          <w:noProof/>
          <w:sz w:val="24"/>
          <w:szCs w:val="24"/>
          <w:lang w:val="en-IE"/>
        </w:rPr>
        <w:t xml:space="preserve">. </w:t>
      </w:r>
      <w:r w:rsidR="009E5EBD" w:rsidRPr="00532C20">
        <w:rPr>
          <w:rFonts w:ascii="Times New Roman" w:eastAsia="Times New Roman" w:hAnsi="Times New Roman" w:cs="Times New Roman"/>
          <w:noProof/>
          <w:sz w:val="24"/>
          <w:szCs w:val="24"/>
          <w:lang w:val="en-IE"/>
        </w:rPr>
        <w:t>There are different</w:t>
      </w:r>
      <w:r w:rsidR="006B36F2" w:rsidRPr="00532C20">
        <w:rPr>
          <w:rFonts w:ascii="Times New Roman" w:eastAsia="Times New Roman" w:hAnsi="Times New Roman" w:cs="Times New Roman"/>
          <w:noProof/>
          <w:sz w:val="24"/>
          <w:szCs w:val="24"/>
          <w:lang w:val="en-IE"/>
        </w:rPr>
        <w:t xml:space="preserve"> definition</w:t>
      </w:r>
      <w:r w:rsidR="00133FC6" w:rsidRPr="00532C20">
        <w:rPr>
          <w:rFonts w:ascii="Times New Roman" w:eastAsia="Times New Roman" w:hAnsi="Times New Roman" w:cs="Times New Roman"/>
          <w:noProof/>
          <w:sz w:val="24"/>
          <w:szCs w:val="24"/>
          <w:lang w:val="en-IE"/>
        </w:rPr>
        <w:t>s</w:t>
      </w:r>
      <w:r w:rsidR="006B36F2" w:rsidRPr="00532C20">
        <w:rPr>
          <w:rFonts w:ascii="Times New Roman" w:eastAsia="Times New Roman" w:hAnsi="Times New Roman" w:cs="Times New Roman"/>
          <w:noProof/>
          <w:sz w:val="24"/>
          <w:szCs w:val="24"/>
          <w:lang w:val="en-IE"/>
        </w:rPr>
        <w:t xml:space="preserve"> of interest representation </w:t>
      </w:r>
      <w:r w:rsidR="00C54D30" w:rsidRPr="00532C20">
        <w:rPr>
          <w:rFonts w:ascii="Times New Roman" w:eastAsia="Times New Roman" w:hAnsi="Times New Roman" w:cs="Times New Roman"/>
          <w:noProof/>
          <w:sz w:val="24"/>
          <w:szCs w:val="24"/>
          <w:lang w:val="en-IE"/>
        </w:rPr>
        <w:t>activities</w:t>
      </w:r>
      <w:r w:rsidR="006B36F2" w:rsidRPr="00532C20">
        <w:rPr>
          <w:rFonts w:ascii="Times New Roman" w:eastAsia="Times New Roman" w:hAnsi="Times New Roman" w:cs="Times New Roman"/>
          <w:noProof/>
          <w:sz w:val="24"/>
          <w:szCs w:val="24"/>
          <w:lang w:val="en-IE"/>
        </w:rPr>
        <w:t>, thresholds on the size of entities or level of activities triggering transparency or registration requirements, as well as record</w:t>
      </w:r>
      <w:r w:rsidR="00E94C82">
        <w:rPr>
          <w:rFonts w:ascii="Times New Roman" w:eastAsia="Times New Roman" w:hAnsi="Times New Roman" w:cs="Times New Roman"/>
          <w:noProof/>
          <w:sz w:val="24"/>
          <w:szCs w:val="24"/>
          <w:lang w:val="en-IE"/>
        </w:rPr>
        <w:t>-</w:t>
      </w:r>
      <w:r w:rsidR="006B36F2" w:rsidRPr="00532C20">
        <w:rPr>
          <w:rFonts w:ascii="Times New Roman" w:eastAsia="Times New Roman" w:hAnsi="Times New Roman" w:cs="Times New Roman"/>
          <w:noProof/>
          <w:sz w:val="24"/>
          <w:szCs w:val="24"/>
          <w:lang w:val="en-IE"/>
        </w:rPr>
        <w:t>keeping</w:t>
      </w:r>
      <w:r w:rsidR="006B36F2" w:rsidRPr="00532C20">
        <w:rPr>
          <w:rStyle w:val="FootnoteReference"/>
          <w:rFonts w:ascii="Times New Roman" w:eastAsia="Times New Roman" w:hAnsi="Times New Roman" w:cs="Times New Roman"/>
          <w:noProof/>
          <w:sz w:val="24"/>
          <w:szCs w:val="24"/>
          <w:lang w:val="en-IE"/>
        </w:rPr>
        <w:footnoteReference w:id="35"/>
      </w:r>
      <w:r w:rsidR="006B36F2" w:rsidRPr="00532C20">
        <w:rPr>
          <w:rFonts w:ascii="Times New Roman" w:eastAsia="Times New Roman" w:hAnsi="Times New Roman" w:cs="Times New Roman"/>
          <w:noProof/>
          <w:sz w:val="24"/>
          <w:szCs w:val="24"/>
          <w:lang w:val="en-IE"/>
        </w:rPr>
        <w:t>. Moreover, the existence, powers, structure</w:t>
      </w:r>
      <w:r w:rsidR="00B44CE7" w:rsidRPr="00532C20">
        <w:rPr>
          <w:rFonts w:ascii="Times New Roman" w:eastAsia="Times New Roman" w:hAnsi="Times New Roman" w:cs="Times New Roman"/>
          <w:noProof/>
          <w:sz w:val="24"/>
          <w:szCs w:val="24"/>
          <w:lang w:val="en-IE"/>
        </w:rPr>
        <w:t>s</w:t>
      </w:r>
      <w:r w:rsidR="006B36F2" w:rsidRPr="00532C20">
        <w:rPr>
          <w:rFonts w:ascii="Times New Roman" w:eastAsia="Times New Roman" w:hAnsi="Times New Roman" w:cs="Times New Roman"/>
          <w:noProof/>
          <w:sz w:val="24"/>
          <w:szCs w:val="24"/>
          <w:lang w:val="en-IE"/>
        </w:rPr>
        <w:t xml:space="preserve"> and independence of supervisory authorities differ greatly across the EU. The same goes for the nature of sanctions, and amounts of pecuniary fines, where they exist</w:t>
      </w:r>
      <w:r w:rsidR="006B36F2" w:rsidRPr="00532C20">
        <w:rPr>
          <w:rStyle w:val="FootnoteReference"/>
          <w:rFonts w:ascii="Times New Roman" w:eastAsia="Times New Roman" w:hAnsi="Times New Roman" w:cs="Times New Roman"/>
          <w:noProof/>
          <w:sz w:val="24"/>
          <w:szCs w:val="24"/>
          <w:lang w:val="en-IE"/>
        </w:rPr>
        <w:footnoteReference w:id="36"/>
      </w:r>
      <w:r w:rsidR="00E96E20" w:rsidRPr="00532C20">
        <w:rPr>
          <w:rFonts w:ascii="Times New Roman" w:eastAsia="Times New Roman" w:hAnsi="Times New Roman" w:cs="Times New Roman"/>
          <w:noProof/>
          <w:sz w:val="24"/>
          <w:szCs w:val="24"/>
          <w:lang w:val="en-IE"/>
        </w:rPr>
        <w:t>.</w:t>
      </w:r>
      <w:r w:rsidR="006B36F2" w:rsidRPr="00532C20">
        <w:rPr>
          <w:rFonts w:ascii="Times New Roman" w:eastAsia="Times New Roman" w:hAnsi="Times New Roman" w:cs="Times New Roman"/>
          <w:noProof/>
          <w:sz w:val="24"/>
          <w:szCs w:val="24"/>
          <w:lang w:val="en-IE"/>
        </w:rPr>
        <w:t xml:space="preserve"> </w:t>
      </w:r>
      <w:r w:rsidR="008230BA" w:rsidRPr="00532C20">
        <w:rPr>
          <w:rFonts w:ascii="Times New Roman" w:eastAsia="Calibri" w:hAnsi="Times New Roman" w:cs="Times New Roman"/>
          <w:noProof/>
          <w:sz w:val="24"/>
          <w:szCs w:val="24"/>
          <w:lang w:val="en-IE"/>
        </w:rPr>
        <w:t xml:space="preserve">12 Member States do not regulate the transparency of interest representation </w:t>
      </w:r>
      <w:r w:rsidR="009A194A" w:rsidRPr="00532C20">
        <w:rPr>
          <w:rFonts w:ascii="Times New Roman" w:eastAsia="Calibri" w:hAnsi="Times New Roman" w:cs="Times New Roman"/>
          <w:noProof/>
          <w:sz w:val="24"/>
          <w:szCs w:val="24"/>
          <w:lang w:val="en-IE"/>
        </w:rPr>
        <w:t>activities</w:t>
      </w:r>
      <w:r w:rsidR="008230BA" w:rsidRPr="00532C20">
        <w:rPr>
          <w:rFonts w:ascii="Times New Roman" w:eastAsia="Calibri" w:hAnsi="Times New Roman" w:cs="Times New Roman"/>
          <w:noProof/>
          <w:sz w:val="24"/>
          <w:szCs w:val="24"/>
          <w:vertAlign w:val="superscript"/>
          <w:lang w:val="en-IE"/>
        </w:rPr>
        <w:footnoteReference w:id="37"/>
      </w:r>
      <w:r w:rsidR="008230BA" w:rsidRPr="00532C20">
        <w:rPr>
          <w:rFonts w:ascii="Times New Roman" w:eastAsia="Calibri" w:hAnsi="Times New Roman" w:cs="Times New Roman"/>
          <w:noProof/>
          <w:sz w:val="24"/>
          <w:szCs w:val="24"/>
          <w:lang w:val="en-IE"/>
        </w:rPr>
        <w:t>.</w:t>
      </w:r>
    </w:p>
    <w:p w14:paraId="032832E0" w14:textId="23C05EDB" w:rsidR="00B8459A" w:rsidRPr="00532C20" w:rsidRDefault="00D16ED2" w:rsidP="007241BF">
      <w:pPr>
        <w:spacing w:after="120" w:line="240" w:lineRule="auto"/>
        <w:jc w:val="both"/>
        <w:rPr>
          <w:rFonts w:ascii="Times New Roman" w:eastAsia="Arial" w:hAnsi="Times New Roman" w:cs="Times New Roman"/>
          <w:noProof/>
          <w:sz w:val="24"/>
          <w:szCs w:val="24"/>
          <w:lang w:val="en-IE"/>
        </w:rPr>
      </w:pPr>
      <w:r w:rsidRPr="00532C20">
        <w:rPr>
          <w:rFonts w:ascii="Times New Roman" w:eastAsia="Times New Roman" w:hAnsi="Times New Roman" w:cs="Times New Roman"/>
          <w:noProof/>
          <w:sz w:val="24"/>
          <w:szCs w:val="24"/>
          <w:lang w:val="en-IE"/>
        </w:rPr>
        <w:t>The</w:t>
      </w:r>
      <w:r w:rsidRPr="00532C20">
        <w:rPr>
          <w:rFonts w:ascii="Times New Roman" w:eastAsia="Arial" w:hAnsi="Times New Roman" w:cs="Times New Roman"/>
          <w:noProof/>
          <w:sz w:val="24"/>
          <w:szCs w:val="24"/>
          <w:lang w:val="en-IE"/>
        </w:rPr>
        <w:t xml:space="preserve"> internal market, already fragmented by existing rules, risks being further fragmented.</w:t>
      </w:r>
      <w:r w:rsidR="00B8459A" w:rsidRPr="00532C20">
        <w:rPr>
          <w:rFonts w:ascii="Times New Roman" w:eastAsia="Arial" w:hAnsi="Times New Roman" w:cs="Times New Roman"/>
          <w:noProof/>
          <w:sz w:val="24"/>
          <w:szCs w:val="24"/>
          <w:lang w:val="en-IE"/>
        </w:rPr>
        <w:t xml:space="preserve"> </w:t>
      </w:r>
      <w:r w:rsidR="00611C82" w:rsidRPr="00532C20">
        <w:rPr>
          <w:rFonts w:ascii="Times New Roman" w:eastAsia="Arial" w:hAnsi="Times New Roman" w:cs="Times New Roman"/>
          <w:noProof/>
          <w:sz w:val="24"/>
          <w:szCs w:val="24"/>
          <w:lang w:val="en-IE"/>
        </w:rPr>
        <w:t>Member</w:t>
      </w:r>
      <w:r w:rsidR="00B8459A" w:rsidRPr="00532C20" w:rsidDel="00B8459A">
        <w:rPr>
          <w:rFonts w:ascii="Times New Roman" w:eastAsia="Arial" w:hAnsi="Times New Roman" w:cs="Times New Roman"/>
          <w:noProof/>
          <w:sz w:val="24"/>
          <w:szCs w:val="24"/>
          <w:lang w:val="en-IE"/>
        </w:rPr>
        <w:t xml:space="preserve"> </w:t>
      </w:r>
      <w:r w:rsidR="00B8459A" w:rsidRPr="00532C20">
        <w:rPr>
          <w:rFonts w:ascii="Times New Roman" w:eastAsia="Arial" w:hAnsi="Times New Roman" w:cs="Times New Roman"/>
          <w:noProof/>
          <w:sz w:val="24"/>
          <w:szCs w:val="24"/>
          <w:lang w:val="en-IE"/>
        </w:rPr>
        <w:t xml:space="preserve">States have expressed increasing concerns about covert influence by third countries in democratic processes in the </w:t>
      </w:r>
      <w:r w:rsidR="00830F54" w:rsidRPr="00532C20">
        <w:rPr>
          <w:rFonts w:ascii="Times New Roman" w:eastAsia="Arial" w:hAnsi="Times New Roman" w:cs="Times New Roman"/>
          <w:noProof/>
          <w:sz w:val="24"/>
          <w:szCs w:val="24"/>
          <w:lang w:val="en-IE"/>
        </w:rPr>
        <w:t>EU</w:t>
      </w:r>
      <w:r w:rsidR="00B8459A" w:rsidRPr="00532C20">
        <w:rPr>
          <w:rFonts w:ascii="Times New Roman" w:eastAsia="Arial" w:hAnsi="Times New Roman" w:cs="Times New Roman"/>
          <w:noProof/>
          <w:sz w:val="24"/>
          <w:szCs w:val="24"/>
          <w:lang w:val="en-IE"/>
        </w:rPr>
        <w:t xml:space="preserve">. </w:t>
      </w:r>
      <w:r w:rsidR="00B8459A" w:rsidRPr="00532C20" w:rsidDel="00970CD3">
        <w:rPr>
          <w:rFonts w:ascii="Times New Roman" w:eastAsia="Arial" w:hAnsi="Times New Roman" w:cs="Times New Roman"/>
          <w:noProof/>
          <w:sz w:val="24"/>
          <w:szCs w:val="24"/>
          <w:lang w:val="en-IE"/>
        </w:rPr>
        <w:t xml:space="preserve">Some Member States are thinking to adopt measures to protect their democratic sphere. </w:t>
      </w:r>
      <w:r w:rsidR="00B8459A" w:rsidRPr="00532C20">
        <w:rPr>
          <w:rFonts w:ascii="Times New Roman" w:eastAsia="Arial" w:hAnsi="Times New Roman" w:cs="Times New Roman"/>
          <w:noProof/>
          <w:sz w:val="24"/>
          <w:szCs w:val="24"/>
          <w:lang w:val="en-IE"/>
        </w:rPr>
        <w:t xml:space="preserve">Member States generally agree that EU action is needed </w:t>
      </w:r>
      <w:r w:rsidR="009D16B3" w:rsidRPr="00532C20">
        <w:rPr>
          <w:rFonts w:ascii="Times New Roman" w:eastAsia="Arial" w:hAnsi="Times New Roman" w:cs="Times New Roman"/>
          <w:noProof/>
          <w:sz w:val="24"/>
          <w:szCs w:val="24"/>
          <w:lang w:val="en-IE"/>
        </w:rPr>
        <w:t xml:space="preserve">against the background of the need to </w:t>
      </w:r>
      <w:r w:rsidR="00B8459A" w:rsidRPr="00532C20">
        <w:rPr>
          <w:rFonts w:ascii="Times New Roman" w:eastAsia="Arial" w:hAnsi="Times New Roman" w:cs="Times New Roman"/>
          <w:noProof/>
          <w:sz w:val="24"/>
          <w:szCs w:val="24"/>
          <w:lang w:val="en-IE"/>
        </w:rPr>
        <w:t>address foreign interference.</w:t>
      </w:r>
    </w:p>
    <w:p w14:paraId="5F3EEC33" w14:textId="77777777" w:rsidR="002D04DF" w:rsidRPr="00532C20" w:rsidRDefault="00466240" w:rsidP="007241BF">
      <w:pPr>
        <w:spacing w:after="120" w:line="240" w:lineRule="auto"/>
        <w:jc w:val="both"/>
        <w:rPr>
          <w:rFonts w:ascii="Times New Roman" w:eastAsia="Symbol" w:hAnsi="Times New Roman" w:cs="Times New Roman"/>
          <w:noProof/>
          <w:sz w:val="24"/>
          <w:szCs w:val="24"/>
          <w:lang w:val="en-IE"/>
        </w:rPr>
      </w:pPr>
      <w:r w:rsidRPr="00532C20">
        <w:rPr>
          <w:rFonts w:ascii="Times New Roman" w:hAnsi="Times New Roman" w:cs="Times New Roman"/>
          <w:noProof/>
          <w:sz w:val="24"/>
          <w:szCs w:val="24"/>
        </w:rPr>
        <w:t>In its Work Programme for 2023, the Commission announced that it would present a “Defence of Democracy” package to increase transparency and accountability, thus promoting “</w:t>
      </w:r>
      <w:r w:rsidRPr="00532C20">
        <w:rPr>
          <w:rFonts w:ascii="Times New Roman" w:hAnsi="Times New Roman" w:cs="Times New Roman"/>
          <w:i/>
          <w:noProof/>
          <w:sz w:val="24"/>
          <w:szCs w:val="24"/>
        </w:rPr>
        <w:t>institutional trust and democratic values in the EU</w:t>
      </w:r>
      <w:r w:rsidRPr="00532C20">
        <w:rPr>
          <w:rFonts w:ascii="Times New Roman" w:hAnsi="Times New Roman" w:cs="Times New Roman"/>
          <w:noProof/>
          <w:sz w:val="24"/>
          <w:szCs w:val="24"/>
        </w:rPr>
        <w:t>” and protecting “</w:t>
      </w:r>
      <w:r w:rsidRPr="00532C20">
        <w:rPr>
          <w:rFonts w:ascii="Times New Roman" w:hAnsi="Times New Roman" w:cs="Times New Roman"/>
          <w:i/>
          <w:noProof/>
          <w:sz w:val="24"/>
          <w:szCs w:val="24"/>
        </w:rPr>
        <w:t>the EU democratic sphere from covert interference in democratic processes</w:t>
      </w:r>
      <w:r w:rsidRPr="00532C20">
        <w:rPr>
          <w:rFonts w:ascii="Times New Roman" w:hAnsi="Times New Roman" w:cs="Times New Roman"/>
          <w:noProof/>
          <w:sz w:val="24"/>
          <w:szCs w:val="24"/>
        </w:rPr>
        <w:t>”.</w:t>
      </w:r>
      <w:r w:rsidR="00784228" w:rsidRPr="00532C20">
        <w:rPr>
          <w:rFonts w:ascii="Times New Roman" w:eastAsia="Symbol" w:hAnsi="Times New Roman" w:cs="Times New Roman"/>
          <w:noProof/>
          <w:sz w:val="24"/>
          <w:szCs w:val="24"/>
          <w:lang w:val="en-IE"/>
        </w:rPr>
        <w:t xml:space="preserve"> </w:t>
      </w:r>
    </w:p>
    <w:p w14:paraId="10785E00" w14:textId="4BA91C2D" w:rsidR="008B5440" w:rsidRPr="00532C20" w:rsidRDefault="00421989" w:rsidP="007241BF">
      <w:pPr>
        <w:spacing w:after="120" w:line="240" w:lineRule="auto"/>
        <w:jc w:val="both"/>
        <w:rPr>
          <w:rFonts w:ascii="Times New Roman" w:eastAsia="Symbol" w:hAnsi="Times New Roman" w:cs="Times New Roman"/>
          <w:noProof/>
          <w:sz w:val="24"/>
          <w:szCs w:val="24"/>
          <w:lang w:val="en-US"/>
        </w:rPr>
      </w:pPr>
      <w:r w:rsidRPr="00532C20">
        <w:rPr>
          <w:rFonts w:ascii="Times New Roman" w:eastAsia="Symbol" w:hAnsi="Times New Roman" w:cs="Times New Roman"/>
          <w:noProof/>
          <w:sz w:val="24"/>
          <w:szCs w:val="24"/>
          <w:lang w:val="en-IE"/>
        </w:rPr>
        <w:t>The</w:t>
      </w:r>
      <w:r w:rsidR="00DE6F85" w:rsidRPr="00532C20">
        <w:rPr>
          <w:rFonts w:ascii="Times New Roman" w:eastAsia="Symbol" w:hAnsi="Times New Roman" w:cs="Times New Roman"/>
          <w:noProof/>
          <w:sz w:val="24"/>
          <w:szCs w:val="24"/>
          <w:lang w:val="en-IE"/>
        </w:rPr>
        <w:t xml:space="preserve"> package </w:t>
      </w:r>
      <w:r w:rsidR="002D04DF" w:rsidRPr="00532C20">
        <w:rPr>
          <w:rFonts w:ascii="Times New Roman" w:eastAsia="Symbol" w:hAnsi="Times New Roman" w:cs="Times New Roman"/>
          <w:noProof/>
          <w:sz w:val="24"/>
          <w:szCs w:val="24"/>
          <w:lang w:val="en-IE"/>
        </w:rPr>
        <w:t>builds upon</w:t>
      </w:r>
      <w:r w:rsidR="006C200C" w:rsidRPr="00532C20">
        <w:rPr>
          <w:rFonts w:ascii="Times New Roman" w:eastAsia="Symbol" w:hAnsi="Times New Roman" w:cs="Times New Roman"/>
          <w:noProof/>
          <w:sz w:val="24"/>
          <w:szCs w:val="24"/>
          <w:lang w:val="en-IE"/>
        </w:rPr>
        <w:t xml:space="preserve"> and </w:t>
      </w:r>
      <w:r w:rsidR="00DE6F85" w:rsidRPr="00532C20">
        <w:rPr>
          <w:rFonts w:ascii="Times New Roman" w:eastAsia="Symbol" w:hAnsi="Times New Roman" w:cs="Times New Roman"/>
          <w:noProof/>
          <w:sz w:val="24"/>
          <w:szCs w:val="24"/>
          <w:lang w:val="en-IE"/>
        </w:rPr>
        <w:t>is complementary to the European Democracy Action Plan and fully aligned with its logic</w:t>
      </w:r>
      <w:r w:rsidR="00B85522" w:rsidRPr="00532C20">
        <w:rPr>
          <w:rStyle w:val="FootnoteReference"/>
          <w:rFonts w:ascii="Times New Roman" w:eastAsia="Symbol" w:hAnsi="Times New Roman" w:cs="Times New Roman"/>
          <w:noProof/>
          <w:sz w:val="24"/>
          <w:szCs w:val="24"/>
          <w:lang w:val="en-IE"/>
        </w:rPr>
        <w:footnoteReference w:id="38"/>
      </w:r>
      <w:r w:rsidR="00DE6F85" w:rsidRPr="00532C20">
        <w:rPr>
          <w:rFonts w:ascii="Times New Roman" w:eastAsia="Symbol" w:hAnsi="Times New Roman" w:cs="Times New Roman"/>
          <w:noProof/>
          <w:sz w:val="24"/>
          <w:szCs w:val="24"/>
          <w:lang w:val="en-IE"/>
        </w:rPr>
        <w:t>.</w:t>
      </w:r>
      <w:r w:rsidR="00B001FF" w:rsidRPr="00532C20">
        <w:rPr>
          <w:rFonts w:ascii="Times New Roman" w:eastAsia="Symbol" w:hAnsi="Times New Roman" w:cs="Times New Roman"/>
          <w:noProof/>
          <w:sz w:val="24"/>
          <w:szCs w:val="24"/>
          <w:lang w:val="en-IE"/>
        </w:rPr>
        <w:t xml:space="preserve"> Th</w:t>
      </w:r>
      <w:r w:rsidR="002D04DF" w:rsidRPr="00532C20">
        <w:rPr>
          <w:rFonts w:ascii="Times New Roman" w:eastAsia="Symbol" w:hAnsi="Times New Roman" w:cs="Times New Roman"/>
          <w:noProof/>
          <w:sz w:val="24"/>
          <w:szCs w:val="24"/>
          <w:lang w:val="en-IE"/>
        </w:rPr>
        <w:t xml:space="preserve">e </w:t>
      </w:r>
      <w:r w:rsidR="00B001FF" w:rsidRPr="00532C20">
        <w:rPr>
          <w:rFonts w:ascii="Times New Roman" w:eastAsia="Symbol" w:hAnsi="Times New Roman" w:cs="Times New Roman"/>
          <w:noProof/>
          <w:sz w:val="24"/>
          <w:szCs w:val="24"/>
          <w:lang w:val="en-IE"/>
        </w:rPr>
        <w:t xml:space="preserve">initiative </w:t>
      </w:r>
      <w:r w:rsidR="00DB61DF" w:rsidRPr="00532C20">
        <w:rPr>
          <w:rFonts w:ascii="Times New Roman" w:eastAsia="Symbol" w:hAnsi="Times New Roman" w:cs="Times New Roman"/>
          <w:noProof/>
          <w:sz w:val="24"/>
          <w:szCs w:val="24"/>
          <w:lang w:val="en-IE"/>
        </w:rPr>
        <w:t xml:space="preserve">related to interest representation activities </w:t>
      </w:r>
      <w:r w:rsidR="00B001FF" w:rsidRPr="00532C20">
        <w:rPr>
          <w:rFonts w:ascii="Times New Roman" w:eastAsia="Symbol" w:hAnsi="Times New Roman" w:cs="Times New Roman"/>
          <w:noProof/>
          <w:sz w:val="24"/>
          <w:szCs w:val="24"/>
          <w:lang w:val="en-IE"/>
        </w:rPr>
        <w:t xml:space="preserve">is </w:t>
      </w:r>
      <w:r w:rsidR="00CD0DF8" w:rsidRPr="00532C20">
        <w:rPr>
          <w:rFonts w:ascii="Times New Roman" w:eastAsia="Symbol" w:hAnsi="Times New Roman" w:cs="Times New Roman"/>
          <w:noProof/>
          <w:sz w:val="24"/>
          <w:szCs w:val="24"/>
          <w:lang w:val="en-IE"/>
        </w:rPr>
        <w:t xml:space="preserve">a key component </w:t>
      </w:r>
      <w:r w:rsidR="00143E96" w:rsidRPr="00532C20">
        <w:rPr>
          <w:rFonts w:ascii="Times New Roman" w:eastAsia="Symbol" w:hAnsi="Times New Roman" w:cs="Times New Roman"/>
          <w:noProof/>
          <w:sz w:val="24"/>
          <w:szCs w:val="24"/>
          <w:lang w:val="en-IE"/>
        </w:rPr>
        <w:t>of</w:t>
      </w:r>
      <w:r w:rsidR="00B001FF" w:rsidRPr="00532C20">
        <w:rPr>
          <w:rFonts w:ascii="Times New Roman" w:eastAsia="Symbol" w:hAnsi="Times New Roman" w:cs="Times New Roman"/>
          <w:noProof/>
          <w:sz w:val="24"/>
          <w:szCs w:val="24"/>
          <w:lang w:val="en-IE"/>
        </w:rPr>
        <w:t xml:space="preserve"> the Defence of Democracy package</w:t>
      </w:r>
      <w:r w:rsidR="00143E96" w:rsidRPr="00532C20">
        <w:rPr>
          <w:rFonts w:ascii="Times New Roman" w:eastAsia="Symbol" w:hAnsi="Times New Roman" w:cs="Times New Roman"/>
          <w:noProof/>
          <w:sz w:val="24"/>
          <w:szCs w:val="24"/>
          <w:lang w:val="en-IE"/>
        </w:rPr>
        <w:t xml:space="preserve">. </w:t>
      </w:r>
      <w:r w:rsidR="00686D15" w:rsidRPr="00532C20">
        <w:rPr>
          <w:rFonts w:ascii="Times New Roman" w:eastAsia="Symbol" w:hAnsi="Times New Roman" w:cs="Times New Roman"/>
          <w:noProof/>
          <w:sz w:val="24"/>
          <w:szCs w:val="24"/>
          <w:lang w:val="en-IE"/>
        </w:rPr>
        <w:t xml:space="preserve">The </w:t>
      </w:r>
      <w:r w:rsidR="002D04DF" w:rsidRPr="00532C20">
        <w:rPr>
          <w:rFonts w:ascii="Times New Roman" w:eastAsia="Symbol" w:hAnsi="Times New Roman" w:cs="Times New Roman"/>
          <w:noProof/>
          <w:sz w:val="24"/>
          <w:szCs w:val="24"/>
          <w:lang w:val="en-IE"/>
        </w:rPr>
        <w:t>package</w:t>
      </w:r>
      <w:r w:rsidR="00CD0DF8" w:rsidRPr="00532C20">
        <w:rPr>
          <w:rFonts w:ascii="Times New Roman" w:eastAsia="Symbol" w:hAnsi="Times New Roman" w:cs="Times New Roman"/>
          <w:noProof/>
          <w:sz w:val="24"/>
          <w:szCs w:val="24"/>
          <w:lang w:val="en-IE"/>
        </w:rPr>
        <w:t xml:space="preserve"> </w:t>
      </w:r>
      <w:r w:rsidR="00B001FF" w:rsidRPr="00532C20">
        <w:rPr>
          <w:rFonts w:ascii="Times New Roman" w:eastAsia="Symbol" w:hAnsi="Times New Roman" w:cs="Times New Roman"/>
          <w:noProof/>
          <w:sz w:val="24"/>
          <w:szCs w:val="24"/>
          <w:lang w:val="en-IE"/>
        </w:rPr>
        <w:t xml:space="preserve">will also include non-legislative measures aiming to promote high standards for elections to the European Parliament and </w:t>
      </w:r>
      <w:r w:rsidR="00495EC2" w:rsidRPr="00532C20">
        <w:rPr>
          <w:rFonts w:ascii="Times New Roman" w:eastAsia="Symbol" w:hAnsi="Times New Roman" w:cs="Times New Roman"/>
          <w:noProof/>
          <w:sz w:val="24"/>
          <w:szCs w:val="24"/>
          <w:lang w:val="en-IE"/>
        </w:rPr>
        <w:t>elections</w:t>
      </w:r>
      <w:r w:rsidR="002D04DF" w:rsidRPr="00532C20">
        <w:rPr>
          <w:rFonts w:ascii="Times New Roman" w:eastAsia="Symbol" w:hAnsi="Times New Roman" w:cs="Times New Roman"/>
          <w:noProof/>
          <w:sz w:val="24"/>
          <w:szCs w:val="24"/>
          <w:lang w:val="en-IE"/>
        </w:rPr>
        <w:t xml:space="preserve"> and </w:t>
      </w:r>
      <w:r w:rsidR="00B001FF" w:rsidRPr="00532C20">
        <w:rPr>
          <w:rFonts w:ascii="Times New Roman" w:eastAsia="Symbol" w:hAnsi="Times New Roman" w:cs="Times New Roman"/>
          <w:noProof/>
          <w:sz w:val="24"/>
          <w:szCs w:val="24"/>
          <w:lang w:val="en-IE"/>
        </w:rPr>
        <w:t>referenda at national level and to foster an enabling civic space and promote the inclusive and effective participation of citizens and civil society organisations in the public policy</w:t>
      </w:r>
      <w:r w:rsidR="000507B4">
        <w:rPr>
          <w:rFonts w:ascii="Times New Roman" w:eastAsia="Symbol" w:hAnsi="Times New Roman" w:cs="Times New Roman"/>
          <w:noProof/>
          <w:sz w:val="24"/>
          <w:szCs w:val="24"/>
          <w:lang w:val="en-IE"/>
        </w:rPr>
        <w:t>-</w:t>
      </w:r>
      <w:r w:rsidR="00B001FF" w:rsidRPr="00532C20">
        <w:rPr>
          <w:rFonts w:ascii="Times New Roman" w:eastAsia="Symbol" w:hAnsi="Times New Roman" w:cs="Times New Roman"/>
          <w:noProof/>
          <w:sz w:val="24"/>
          <w:szCs w:val="24"/>
          <w:lang w:val="en-IE"/>
        </w:rPr>
        <w:t>making processes.</w:t>
      </w:r>
    </w:p>
    <w:p w14:paraId="6C9F58B7" w14:textId="31AABCD8" w:rsidR="008D467F" w:rsidRPr="00532C20" w:rsidRDefault="00B8459A" w:rsidP="00875E24">
      <w:pPr>
        <w:spacing w:after="120" w:line="240" w:lineRule="auto"/>
        <w:jc w:val="both"/>
        <w:textAlignment w:val="baseline"/>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w:t>
      </w:r>
      <w:r w:rsidR="00F137F2" w:rsidRPr="00532C20">
        <w:rPr>
          <w:rFonts w:ascii="Times New Roman" w:eastAsia="Symbol" w:hAnsi="Times New Roman" w:cs="Times New Roman"/>
          <w:noProof/>
          <w:sz w:val="24"/>
          <w:szCs w:val="24"/>
          <w:lang w:val="en-IE"/>
        </w:rPr>
        <w:t>he</w:t>
      </w:r>
      <w:r w:rsidR="009C06CC" w:rsidRPr="00532C20">
        <w:rPr>
          <w:rFonts w:ascii="Times New Roman" w:eastAsia="Symbol" w:hAnsi="Times New Roman" w:cs="Times New Roman"/>
          <w:noProof/>
          <w:sz w:val="24"/>
          <w:szCs w:val="24"/>
          <w:lang w:val="en-IE"/>
        </w:rPr>
        <w:t xml:space="preserve"> </w:t>
      </w:r>
      <w:r w:rsidR="00F20937" w:rsidRPr="00532C20">
        <w:rPr>
          <w:rFonts w:ascii="Times New Roman" w:eastAsia="Symbol" w:hAnsi="Times New Roman" w:cs="Times New Roman"/>
          <w:noProof/>
          <w:sz w:val="24"/>
          <w:szCs w:val="24"/>
          <w:lang w:val="en-IE"/>
        </w:rPr>
        <w:t>main aim</w:t>
      </w:r>
      <w:r w:rsidR="009C06CC" w:rsidRPr="00532C20">
        <w:rPr>
          <w:rFonts w:ascii="Times New Roman" w:eastAsia="Symbol" w:hAnsi="Times New Roman" w:cs="Times New Roman"/>
          <w:noProof/>
          <w:sz w:val="24"/>
          <w:szCs w:val="24"/>
          <w:lang w:val="en-IE"/>
        </w:rPr>
        <w:t xml:space="preserve"> behind </w:t>
      </w:r>
      <w:r w:rsidR="42655C4B" w:rsidRPr="00532C20">
        <w:rPr>
          <w:rFonts w:ascii="Times New Roman" w:eastAsia="Symbol" w:hAnsi="Times New Roman" w:cs="Times New Roman"/>
          <w:noProof/>
          <w:sz w:val="24"/>
          <w:szCs w:val="24"/>
          <w:lang w:val="en-IE"/>
        </w:rPr>
        <w:t>th</w:t>
      </w:r>
      <w:r w:rsidR="00DB61DF" w:rsidRPr="00532C20">
        <w:rPr>
          <w:rFonts w:ascii="Times New Roman" w:eastAsia="Symbol" w:hAnsi="Times New Roman" w:cs="Times New Roman"/>
          <w:noProof/>
          <w:sz w:val="24"/>
          <w:szCs w:val="24"/>
          <w:lang w:val="en-IE"/>
        </w:rPr>
        <w:t xml:space="preserve">is </w:t>
      </w:r>
      <w:r w:rsidR="009C06CC" w:rsidRPr="00532C20">
        <w:rPr>
          <w:rFonts w:ascii="Times New Roman" w:eastAsia="Symbol" w:hAnsi="Times New Roman" w:cs="Times New Roman"/>
          <w:noProof/>
          <w:sz w:val="24"/>
          <w:szCs w:val="24"/>
          <w:lang w:val="en-IE"/>
        </w:rPr>
        <w:t>initiative</w:t>
      </w:r>
      <w:r w:rsidR="00AF260F" w:rsidRPr="00532C20">
        <w:rPr>
          <w:rFonts w:ascii="Times New Roman" w:eastAsia="Symbol" w:hAnsi="Times New Roman" w:cs="Times New Roman"/>
          <w:noProof/>
          <w:sz w:val="24"/>
          <w:szCs w:val="24"/>
          <w:lang w:val="en-IE"/>
        </w:rPr>
        <w:t xml:space="preserve"> </w:t>
      </w:r>
      <w:r w:rsidR="002F60BE" w:rsidRPr="00532C20">
        <w:rPr>
          <w:rFonts w:ascii="Times New Roman" w:eastAsia="Symbol" w:hAnsi="Times New Roman" w:cs="Times New Roman"/>
          <w:noProof/>
          <w:sz w:val="24"/>
          <w:szCs w:val="24"/>
          <w:lang w:val="en-IE"/>
        </w:rPr>
        <w:t>is</w:t>
      </w:r>
      <w:r w:rsidR="009C06CC" w:rsidRPr="00532C20">
        <w:rPr>
          <w:rFonts w:ascii="Times New Roman" w:eastAsia="Symbol" w:hAnsi="Times New Roman" w:cs="Times New Roman"/>
          <w:noProof/>
          <w:sz w:val="24"/>
          <w:szCs w:val="24"/>
          <w:lang w:val="en-IE"/>
        </w:rPr>
        <w:t xml:space="preserve"> to </w:t>
      </w:r>
      <w:r w:rsidR="009C06CC" w:rsidRPr="00532C20">
        <w:rPr>
          <w:rFonts w:ascii="Times New Roman" w:eastAsia="Symbol" w:hAnsi="Times New Roman" w:cs="Times New Roman"/>
          <w:b/>
          <w:noProof/>
          <w:sz w:val="24"/>
          <w:szCs w:val="24"/>
          <w:lang w:val="en-IE"/>
        </w:rPr>
        <w:t xml:space="preserve">introduce common transparency and accountability standards in the internal market for interest representation </w:t>
      </w:r>
      <w:r w:rsidR="00684936" w:rsidRPr="00532C20">
        <w:rPr>
          <w:rFonts w:ascii="Times New Roman" w:eastAsia="Symbol" w:hAnsi="Times New Roman" w:cs="Times New Roman"/>
          <w:b/>
          <w:noProof/>
          <w:sz w:val="24"/>
          <w:szCs w:val="24"/>
          <w:lang w:val="en-IE"/>
        </w:rPr>
        <w:t xml:space="preserve">activities </w:t>
      </w:r>
      <w:r w:rsidR="009C06CC" w:rsidRPr="00532C20">
        <w:rPr>
          <w:rFonts w:ascii="Times New Roman" w:eastAsia="Symbol" w:hAnsi="Times New Roman" w:cs="Times New Roman"/>
          <w:b/>
          <w:noProof/>
          <w:sz w:val="24"/>
          <w:szCs w:val="24"/>
          <w:lang w:val="en-IE"/>
        </w:rPr>
        <w:t>carried out on behalf of third countries</w:t>
      </w:r>
      <w:r w:rsidR="009C06CC" w:rsidRPr="00532C20">
        <w:rPr>
          <w:rFonts w:ascii="Times New Roman" w:eastAsia="Symbol" w:hAnsi="Times New Roman" w:cs="Times New Roman"/>
          <w:noProof/>
          <w:sz w:val="24"/>
          <w:szCs w:val="24"/>
          <w:lang w:val="en-IE"/>
        </w:rPr>
        <w:t xml:space="preserve">. </w:t>
      </w:r>
      <w:r w:rsidRPr="00532C20">
        <w:rPr>
          <w:rFonts w:ascii="Times New Roman" w:eastAsia="Symbol" w:hAnsi="Times New Roman" w:cs="Times New Roman"/>
          <w:noProof/>
          <w:sz w:val="24"/>
          <w:szCs w:val="24"/>
          <w:lang w:val="en-IE"/>
        </w:rPr>
        <w:t>By</w:t>
      </w:r>
      <w:r w:rsidR="002F435E" w:rsidRPr="00532C20">
        <w:rPr>
          <w:rFonts w:ascii="Times New Roman" w:eastAsia="Symbol" w:hAnsi="Times New Roman" w:cs="Times New Roman"/>
          <w:noProof/>
          <w:sz w:val="24"/>
          <w:szCs w:val="24"/>
          <w:lang w:val="en-IE"/>
        </w:rPr>
        <w:t xml:space="preserve"> providing </w:t>
      </w:r>
      <w:r w:rsidR="001B3299" w:rsidRPr="00532C20">
        <w:rPr>
          <w:rFonts w:ascii="Times New Roman" w:eastAsia="Symbol" w:hAnsi="Times New Roman" w:cs="Times New Roman"/>
          <w:noProof/>
          <w:sz w:val="24"/>
          <w:szCs w:val="24"/>
          <w:lang w:val="en-IE"/>
        </w:rPr>
        <w:t>common</w:t>
      </w:r>
      <w:r w:rsidR="002F435E" w:rsidRPr="00532C20">
        <w:rPr>
          <w:rFonts w:ascii="Times New Roman" w:eastAsia="Symbol" w:hAnsi="Times New Roman" w:cs="Times New Roman"/>
          <w:noProof/>
          <w:sz w:val="24"/>
          <w:szCs w:val="24"/>
          <w:lang w:val="en-IE"/>
        </w:rPr>
        <w:t xml:space="preserve"> transparency requirements </w:t>
      </w:r>
      <w:r w:rsidR="00C20240" w:rsidRPr="00532C20">
        <w:rPr>
          <w:rFonts w:ascii="Times New Roman" w:eastAsia="Symbol" w:hAnsi="Times New Roman" w:cs="Times New Roman"/>
          <w:noProof/>
          <w:sz w:val="24"/>
          <w:szCs w:val="24"/>
          <w:lang w:val="en-IE"/>
        </w:rPr>
        <w:t xml:space="preserve">for such </w:t>
      </w:r>
      <w:r w:rsidR="00C67C02" w:rsidRPr="00532C20">
        <w:rPr>
          <w:rFonts w:ascii="Times New Roman" w:eastAsia="Symbol" w:hAnsi="Times New Roman" w:cs="Times New Roman"/>
          <w:noProof/>
          <w:sz w:val="24"/>
          <w:szCs w:val="24"/>
          <w:lang w:val="en-IE"/>
        </w:rPr>
        <w:t>activities</w:t>
      </w:r>
      <w:r w:rsidR="00C20240" w:rsidRPr="00532C20">
        <w:rPr>
          <w:rFonts w:ascii="Times New Roman" w:eastAsia="Symbol" w:hAnsi="Times New Roman" w:cs="Times New Roman"/>
          <w:noProof/>
          <w:sz w:val="24"/>
          <w:szCs w:val="24"/>
          <w:lang w:val="en-IE"/>
        </w:rPr>
        <w:t xml:space="preserve">, the </w:t>
      </w:r>
      <w:r w:rsidR="002D3724" w:rsidRPr="00532C20">
        <w:rPr>
          <w:rFonts w:ascii="Times New Roman" w:eastAsia="Symbol" w:hAnsi="Times New Roman" w:cs="Times New Roman"/>
          <w:noProof/>
          <w:sz w:val="24"/>
          <w:szCs w:val="24"/>
          <w:lang w:val="en-IE"/>
        </w:rPr>
        <w:t>initiative</w:t>
      </w:r>
      <w:r w:rsidR="00C20240" w:rsidRPr="00532C20">
        <w:rPr>
          <w:rFonts w:ascii="Times New Roman" w:eastAsia="Symbol" w:hAnsi="Times New Roman" w:cs="Times New Roman"/>
          <w:noProof/>
          <w:sz w:val="24"/>
          <w:szCs w:val="24"/>
          <w:lang w:val="en-IE"/>
        </w:rPr>
        <w:t xml:space="preserve"> </w:t>
      </w:r>
      <w:r w:rsidR="00E30C75" w:rsidRPr="00532C20">
        <w:rPr>
          <w:rFonts w:ascii="Times New Roman" w:eastAsia="Symbol" w:hAnsi="Times New Roman" w:cs="Times New Roman"/>
          <w:noProof/>
          <w:sz w:val="24"/>
          <w:szCs w:val="24"/>
          <w:lang w:val="en-IE"/>
        </w:rPr>
        <w:t xml:space="preserve">will </w:t>
      </w:r>
      <w:r w:rsidR="002F435E" w:rsidRPr="00532C20">
        <w:rPr>
          <w:rFonts w:ascii="Times New Roman" w:eastAsia="Symbol" w:hAnsi="Times New Roman" w:cs="Times New Roman"/>
          <w:noProof/>
          <w:sz w:val="24"/>
          <w:szCs w:val="24"/>
          <w:lang w:val="en-IE"/>
        </w:rPr>
        <w:t>improve</w:t>
      </w:r>
      <w:r w:rsidRPr="00532C20">
        <w:rPr>
          <w:rFonts w:ascii="Times New Roman" w:eastAsia="Symbol" w:hAnsi="Times New Roman" w:cs="Times New Roman"/>
          <w:noProof/>
          <w:sz w:val="24"/>
          <w:szCs w:val="24"/>
          <w:lang w:val="en-IE"/>
        </w:rPr>
        <w:t xml:space="preserve"> the</w:t>
      </w:r>
      <w:r w:rsidR="00C20240" w:rsidRPr="00532C20">
        <w:rPr>
          <w:rFonts w:ascii="Times New Roman" w:eastAsia="Symbol" w:hAnsi="Times New Roman" w:cs="Times New Roman"/>
          <w:noProof/>
          <w:sz w:val="24"/>
          <w:szCs w:val="24"/>
          <w:lang w:val="en-IE"/>
        </w:rPr>
        <w:t xml:space="preserve"> functioning of the </w:t>
      </w:r>
      <w:r w:rsidRPr="00532C20">
        <w:rPr>
          <w:rFonts w:ascii="Times New Roman" w:eastAsia="Symbol" w:hAnsi="Times New Roman" w:cs="Times New Roman"/>
          <w:noProof/>
          <w:sz w:val="24"/>
          <w:szCs w:val="24"/>
          <w:lang w:val="en-IE"/>
        </w:rPr>
        <w:t>internal market</w:t>
      </w:r>
      <w:r w:rsidR="002F435E" w:rsidRPr="00532C20">
        <w:rPr>
          <w:rFonts w:ascii="Times New Roman" w:eastAsia="Symbol" w:hAnsi="Times New Roman" w:cs="Times New Roman"/>
          <w:noProof/>
          <w:sz w:val="24"/>
          <w:szCs w:val="24"/>
          <w:lang w:val="en-IE"/>
        </w:rPr>
        <w:t xml:space="preserve"> </w:t>
      </w:r>
      <w:r w:rsidR="00E94C82">
        <w:rPr>
          <w:rFonts w:ascii="Times New Roman" w:eastAsia="Symbol" w:hAnsi="Times New Roman" w:cs="Times New Roman"/>
          <w:noProof/>
          <w:sz w:val="24"/>
          <w:szCs w:val="24"/>
          <w:lang w:val="en-IE"/>
        </w:rPr>
        <w:t>for</w:t>
      </w:r>
      <w:r w:rsidR="002F435E" w:rsidRPr="00532C20">
        <w:rPr>
          <w:rFonts w:ascii="Times New Roman" w:eastAsia="Symbol" w:hAnsi="Times New Roman" w:cs="Times New Roman"/>
          <w:noProof/>
          <w:sz w:val="24"/>
          <w:szCs w:val="24"/>
          <w:lang w:val="en-IE"/>
        </w:rPr>
        <w:t xml:space="preserve"> such </w:t>
      </w:r>
      <w:r w:rsidR="00C67C02" w:rsidRPr="00532C20">
        <w:rPr>
          <w:rFonts w:ascii="Times New Roman" w:eastAsia="Symbol" w:hAnsi="Times New Roman" w:cs="Times New Roman"/>
          <w:noProof/>
          <w:sz w:val="24"/>
          <w:szCs w:val="24"/>
          <w:lang w:val="en-IE"/>
        </w:rPr>
        <w:t>activities</w:t>
      </w:r>
      <w:r w:rsidR="003427BB" w:rsidRPr="00532C20">
        <w:rPr>
          <w:rFonts w:ascii="Times New Roman" w:eastAsia="Symbol" w:hAnsi="Times New Roman" w:cs="Times New Roman"/>
          <w:noProof/>
          <w:sz w:val="24"/>
          <w:szCs w:val="24"/>
          <w:lang w:val="en-IE"/>
        </w:rPr>
        <w:t>, by creating a level playing</w:t>
      </w:r>
      <w:r w:rsidR="002510FE" w:rsidRPr="00532C20">
        <w:rPr>
          <w:rFonts w:ascii="Times New Roman" w:eastAsia="Symbol" w:hAnsi="Times New Roman" w:cs="Times New Roman"/>
          <w:noProof/>
          <w:sz w:val="24"/>
          <w:szCs w:val="24"/>
          <w:lang w:val="en-IE"/>
        </w:rPr>
        <w:t xml:space="preserve"> field</w:t>
      </w:r>
      <w:r w:rsidR="003427BB" w:rsidRPr="00532C20">
        <w:rPr>
          <w:rFonts w:ascii="Times New Roman" w:eastAsia="Symbol" w:hAnsi="Times New Roman" w:cs="Times New Roman"/>
          <w:noProof/>
          <w:sz w:val="24"/>
          <w:szCs w:val="24"/>
          <w:lang w:val="en-IE"/>
        </w:rPr>
        <w:t xml:space="preserve">, reducing </w:t>
      </w:r>
      <w:r w:rsidR="001B626F" w:rsidRPr="00532C20">
        <w:rPr>
          <w:rStyle w:val="normaltextrun"/>
          <w:rFonts w:ascii="Times New Roman" w:hAnsi="Times New Roman" w:cs="Times New Roman"/>
          <w:noProof/>
          <w:sz w:val="24"/>
          <w:szCs w:val="24"/>
          <w:lang w:val="en-IE"/>
        </w:rPr>
        <w:t xml:space="preserve">unnecessary cost for entities that seek to carry out interest representation activities on behalf of third countries </w:t>
      </w:r>
      <w:r w:rsidR="00575475" w:rsidRPr="00532C20">
        <w:rPr>
          <w:rStyle w:val="normaltextrun"/>
          <w:rFonts w:ascii="Times New Roman" w:hAnsi="Times New Roman" w:cs="Times New Roman"/>
          <w:noProof/>
          <w:sz w:val="24"/>
          <w:szCs w:val="24"/>
          <w:lang w:val="en-IE"/>
        </w:rPr>
        <w:t>across borders</w:t>
      </w:r>
      <w:r w:rsidR="001B626F" w:rsidRPr="00532C20">
        <w:rPr>
          <w:rStyle w:val="normaltextrun"/>
          <w:rFonts w:ascii="Times New Roman" w:hAnsi="Times New Roman" w:cs="Times New Roman"/>
          <w:noProof/>
          <w:sz w:val="24"/>
          <w:szCs w:val="24"/>
          <w:lang w:val="en-IE"/>
        </w:rPr>
        <w:t xml:space="preserve"> and prevent regulatory arbitrage</w:t>
      </w:r>
      <w:r w:rsidR="00C20240" w:rsidRPr="00532C20">
        <w:rPr>
          <w:rFonts w:ascii="Times New Roman" w:eastAsia="Symbol" w:hAnsi="Times New Roman" w:cs="Times New Roman"/>
          <w:noProof/>
          <w:sz w:val="24"/>
          <w:szCs w:val="24"/>
          <w:lang w:val="en-IE"/>
        </w:rPr>
        <w:t xml:space="preserve">. </w:t>
      </w:r>
    </w:p>
    <w:p w14:paraId="522FF391" w14:textId="76B31C18" w:rsidR="00875E24" w:rsidRPr="00532C20" w:rsidRDefault="00C20240" w:rsidP="00875E24">
      <w:pPr>
        <w:spacing w:after="120" w:line="240" w:lineRule="auto"/>
        <w:jc w:val="both"/>
        <w:textAlignment w:val="baseline"/>
        <w:rPr>
          <w:rFonts w:ascii="Times New Roman" w:eastAsia="Symbol" w:hAnsi="Times New Roman" w:cs="Times New Roman"/>
          <w:noProof/>
          <w:sz w:val="24"/>
          <w:szCs w:val="24"/>
          <w:lang w:val="en-IE"/>
        </w:rPr>
      </w:pPr>
      <w:r w:rsidRPr="00532C20">
        <w:rPr>
          <w:rFonts w:ascii="Times New Roman" w:eastAsia="Times" w:hAnsi="Times New Roman" w:cs="Times New Roman"/>
          <w:noProof/>
          <w:sz w:val="24"/>
          <w:szCs w:val="24"/>
          <w:lang w:val="en-IE" w:eastAsia="en-IE"/>
        </w:rPr>
        <w:t xml:space="preserve">This intervention </w:t>
      </w:r>
      <w:r w:rsidR="00E30FB4" w:rsidRPr="00532C20">
        <w:rPr>
          <w:rFonts w:ascii="Times New Roman" w:eastAsia="Times" w:hAnsi="Times New Roman" w:cs="Times New Roman"/>
          <w:noProof/>
          <w:sz w:val="24"/>
          <w:szCs w:val="24"/>
          <w:lang w:val="en-IE" w:eastAsia="en-IE"/>
        </w:rPr>
        <w:t xml:space="preserve">would </w:t>
      </w:r>
      <w:r w:rsidRPr="00532C20">
        <w:rPr>
          <w:rFonts w:ascii="Times New Roman" w:eastAsia="Times" w:hAnsi="Times New Roman" w:cs="Times New Roman"/>
          <w:noProof/>
          <w:sz w:val="24"/>
          <w:szCs w:val="24"/>
          <w:lang w:val="en-IE" w:eastAsia="en-IE"/>
        </w:rPr>
        <w:t>also enhance the integrity of, and public trust in, the EU and Member State democratic institutions by ensuring the transparency of interest representation activities carried out on behalf of third countries</w:t>
      </w:r>
      <w:r w:rsidR="003E096C" w:rsidRPr="00532C20">
        <w:rPr>
          <w:rFonts w:ascii="Times New Roman" w:eastAsia="Times" w:hAnsi="Times New Roman" w:cs="Times New Roman"/>
          <w:noProof/>
          <w:sz w:val="24"/>
          <w:szCs w:val="24"/>
          <w:lang w:val="en-IE" w:eastAsia="en-IE"/>
        </w:rPr>
        <w:t xml:space="preserve"> on the basis of proportionate standards</w:t>
      </w:r>
      <w:r w:rsidRPr="00532C20">
        <w:rPr>
          <w:rFonts w:ascii="Times New Roman" w:eastAsia="Times" w:hAnsi="Times New Roman" w:cs="Times New Roman"/>
          <w:noProof/>
          <w:sz w:val="24"/>
          <w:szCs w:val="24"/>
          <w:lang w:val="en-IE" w:eastAsia="en-IE"/>
        </w:rPr>
        <w:t xml:space="preserve">, </w:t>
      </w:r>
      <w:r w:rsidR="00E41AF0" w:rsidRPr="00532C20">
        <w:rPr>
          <w:rFonts w:ascii="Times New Roman" w:eastAsia="Times" w:hAnsi="Times New Roman" w:cs="Times New Roman"/>
          <w:noProof/>
          <w:sz w:val="24"/>
          <w:szCs w:val="24"/>
          <w:lang w:val="en-IE" w:eastAsia="en-IE"/>
        </w:rPr>
        <w:t xml:space="preserve">and </w:t>
      </w:r>
      <w:r w:rsidRPr="00532C20">
        <w:rPr>
          <w:rFonts w:ascii="Times New Roman" w:eastAsia="Times" w:hAnsi="Times New Roman" w:cs="Times New Roman"/>
          <w:noProof/>
          <w:sz w:val="24"/>
          <w:szCs w:val="24"/>
          <w:lang w:val="en-IE" w:eastAsia="en-IE"/>
        </w:rPr>
        <w:t xml:space="preserve">by improving the knowledge </w:t>
      </w:r>
      <w:r w:rsidR="00665F69" w:rsidRPr="00532C20">
        <w:rPr>
          <w:rFonts w:ascii="Times New Roman" w:eastAsia="Times" w:hAnsi="Times New Roman" w:cs="Times New Roman"/>
          <w:noProof/>
          <w:sz w:val="24"/>
          <w:szCs w:val="24"/>
          <w:lang w:val="en-IE" w:eastAsia="en-IE"/>
        </w:rPr>
        <w:t xml:space="preserve">of </w:t>
      </w:r>
      <w:r w:rsidRPr="00532C20">
        <w:rPr>
          <w:rFonts w:ascii="Times New Roman" w:eastAsia="Times" w:hAnsi="Times New Roman" w:cs="Times New Roman"/>
          <w:noProof/>
          <w:sz w:val="24"/>
          <w:szCs w:val="24"/>
          <w:lang w:val="en-IE" w:eastAsia="en-IE"/>
        </w:rPr>
        <w:t>the magnitude</w:t>
      </w:r>
      <w:r w:rsidR="009E642E">
        <w:rPr>
          <w:rFonts w:ascii="Times New Roman" w:eastAsia="Times" w:hAnsi="Times New Roman" w:cs="Times New Roman"/>
          <w:noProof/>
          <w:sz w:val="24"/>
          <w:szCs w:val="24"/>
          <w:lang w:val="en-IE" w:eastAsia="en-IE"/>
        </w:rPr>
        <w:t xml:space="preserve">, </w:t>
      </w:r>
      <w:r w:rsidRPr="00532C20">
        <w:rPr>
          <w:rFonts w:ascii="Times New Roman" w:eastAsia="Times" w:hAnsi="Times New Roman" w:cs="Times New Roman"/>
          <w:noProof/>
          <w:sz w:val="24"/>
          <w:szCs w:val="24"/>
          <w:lang w:val="en-IE" w:eastAsia="en-IE"/>
        </w:rPr>
        <w:t>trends and actors of interest representation activities carried out on behalf of third</w:t>
      </w:r>
      <w:r w:rsidR="00E30FB4" w:rsidRPr="00532C20">
        <w:rPr>
          <w:rFonts w:ascii="Times New Roman" w:eastAsia="Times" w:hAnsi="Times New Roman" w:cs="Times New Roman"/>
          <w:noProof/>
          <w:sz w:val="24"/>
          <w:szCs w:val="24"/>
          <w:lang w:val="en-IE" w:eastAsia="en-IE"/>
        </w:rPr>
        <w:t xml:space="preserve"> countries</w:t>
      </w:r>
      <w:r w:rsidRPr="00532C20">
        <w:rPr>
          <w:rFonts w:ascii="Times New Roman" w:eastAsia="Times" w:hAnsi="Times New Roman" w:cs="Times New Roman"/>
          <w:noProof/>
          <w:sz w:val="24"/>
          <w:szCs w:val="24"/>
          <w:lang w:val="en-IE" w:eastAsia="en-IE"/>
        </w:rPr>
        <w:t xml:space="preserve">. </w:t>
      </w:r>
      <w:r w:rsidR="00E30FB4" w:rsidRPr="00532C20">
        <w:rPr>
          <w:rFonts w:ascii="Times New Roman" w:eastAsia="Symbol" w:hAnsi="Times New Roman" w:cs="Times New Roman"/>
          <w:noProof/>
          <w:sz w:val="24"/>
          <w:szCs w:val="24"/>
          <w:lang w:val="en-IE"/>
        </w:rPr>
        <w:t xml:space="preserve">The </w:t>
      </w:r>
      <w:r w:rsidR="00C67C02" w:rsidRPr="00532C20">
        <w:rPr>
          <w:rFonts w:ascii="Times New Roman" w:eastAsia="Symbol" w:hAnsi="Times New Roman" w:cs="Times New Roman"/>
          <w:noProof/>
          <w:sz w:val="24"/>
          <w:szCs w:val="24"/>
          <w:lang w:val="en-IE"/>
        </w:rPr>
        <w:t>initiative</w:t>
      </w:r>
      <w:r w:rsidR="00E30FB4" w:rsidRPr="00532C20">
        <w:rPr>
          <w:rFonts w:ascii="Times New Roman" w:eastAsia="Symbol" w:hAnsi="Times New Roman" w:cs="Times New Roman"/>
          <w:noProof/>
          <w:sz w:val="24"/>
          <w:szCs w:val="24"/>
          <w:lang w:val="en-IE"/>
        </w:rPr>
        <w:t xml:space="preserve"> would </w:t>
      </w:r>
      <w:r w:rsidR="009C06CC" w:rsidRPr="00532C20">
        <w:rPr>
          <w:rFonts w:ascii="Times New Roman" w:eastAsia="Symbol" w:hAnsi="Times New Roman" w:cs="Times New Roman"/>
          <w:noProof/>
          <w:sz w:val="24"/>
          <w:szCs w:val="24"/>
          <w:lang w:val="en-IE"/>
        </w:rPr>
        <w:t>ensur</w:t>
      </w:r>
      <w:r w:rsidR="00E30FB4" w:rsidRPr="00532C20">
        <w:rPr>
          <w:rFonts w:ascii="Times New Roman" w:eastAsia="Symbol" w:hAnsi="Times New Roman" w:cs="Times New Roman"/>
          <w:noProof/>
          <w:sz w:val="24"/>
          <w:szCs w:val="24"/>
          <w:lang w:val="en-IE"/>
        </w:rPr>
        <w:t>e</w:t>
      </w:r>
      <w:r w:rsidR="009C06CC" w:rsidRPr="00532C20">
        <w:rPr>
          <w:rFonts w:ascii="Times New Roman" w:eastAsia="Symbol" w:hAnsi="Times New Roman" w:cs="Times New Roman"/>
          <w:noProof/>
          <w:sz w:val="24"/>
          <w:szCs w:val="24"/>
          <w:lang w:val="en-IE"/>
        </w:rPr>
        <w:t xml:space="preserve"> full respect of fundamental rights and democratic values</w:t>
      </w:r>
      <w:r w:rsidR="00B97946" w:rsidRPr="00532C20">
        <w:rPr>
          <w:rFonts w:ascii="Times New Roman" w:eastAsia="Symbol" w:hAnsi="Times New Roman" w:cs="Times New Roman"/>
          <w:noProof/>
          <w:sz w:val="24"/>
          <w:szCs w:val="24"/>
          <w:lang w:val="en-IE"/>
        </w:rPr>
        <w:t>;</w:t>
      </w:r>
      <w:r w:rsidR="007E26FB" w:rsidRPr="00532C20">
        <w:rPr>
          <w:rFonts w:ascii="Times New Roman" w:eastAsia="Symbol" w:hAnsi="Times New Roman" w:cs="Times New Roman"/>
          <w:noProof/>
          <w:sz w:val="24"/>
          <w:szCs w:val="24"/>
          <w:lang w:val="en-IE"/>
        </w:rPr>
        <w:t xml:space="preserve"> </w:t>
      </w:r>
      <w:r w:rsidR="00AF25E2" w:rsidRPr="00532C20">
        <w:rPr>
          <w:rFonts w:ascii="Times New Roman" w:eastAsia="Symbol" w:hAnsi="Times New Roman" w:cs="Times New Roman"/>
          <w:noProof/>
          <w:sz w:val="24"/>
          <w:szCs w:val="24"/>
          <w:lang w:val="en-IE"/>
        </w:rPr>
        <w:t>strong safeguards should mitigate the</w:t>
      </w:r>
      <w:r w:rsidR="00AF25E2" w:rsidRPr="00532C20">
        <w:rPr>
          <w:noProof/>
        </w:rPr>
        <w:t xml:space="preserve"> </w:t>
      </w:r>
      <w:r w:rsidR="00AF25E2" w:rsidRPr="00532C20">
        <w:rPr>
          <w:rFonts w:ascii="Times New Roman" w:eastAsia="Symbol" w:hAnsi="Times New Roman" w:cs="Times New Roman"/>
          <w:noProof/>
          <w:sz w:val="24"/>
          <w:szCs w:val="24"/>
          <w:lang w:val="en-IE"/>
        </w:rPr>
        <w:t>potential negative impacts on concerned entities</w:t>
      </w:r>
      <w:r w:rsidR="009C06CC" w:rsidRPr="00532C20">
        <w:rPr>
          <w:rFonts w:ascii="Times New Roman" w:eastAsia="Symbol" w:hAnsi="Times New Roman" w:cs="Times New Roman"/>
          <w:noProof/>
          <w:sz w:val="24"/>
          <w:szCs w:val="24"/>
          <w:lang w:val="en-IE"/>
        </w:rPr>
        <w:t>.</w:t>
      </w:r>
      <w:r w:rsidR="004F0AD8" w:rsidRPr="00532C20">
        <w:rPr>
          <w:rFonts w:ascii="Times New Roman" w:eastAsia="Symbol" w:hAnsi="Times New Roman" w:cs="Times New Roman"/>
          <w:noProof/>
          <w:sz w:val="24"/>
          <w:szCs w:val="24"/>
          <w:lang w:val="en-IE"/>
        </w:rPr>
        <w:t xml:space="preserve"> </w:t>
      </w:r>
    </w:p>
    <w:p w14:paraId="4BE23CF1" w14:textId="7E1B83C8" w:rsidR="00B3049C" w:rsidRPr="00532C20" w:rsidRDefault="00875E24" w:rsidP="00140F2A">
      <w:pPr>
        <w:spacing w:after="120" w:line="240" w:lineRule="auto"/>
        <w:jc w:val="both"/>
        <w:textAlignment w:val="baseline"/>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This initiative </w:t>
      </w:r>
      <w:r w:rsidR="00D4413F" w:rsidRPr="00532C20">
        <w:rPr>
          <w:rFonts w:ascii="Times New Roman" w:eastAsia="Symbol" w:hAnsi="Times New Roman" w:cs="Times New Roman"/>
          <w:noProof/>
          <w:sz w:val="24"/>
          <w:szCs w:val="24"/>
          <w:lang w:val="en-IE"/>
        </w:rPr>
        <w:t>will provide for common</w:t>
      </w:r>
      <w:r w:rsidR="00A4797B" w:rsidRPr="00532C20">
        <w:rPr>
          <w:rFonts w:ascii="Times New Roman" w:eastAsia="Symbol" w:hAnsi="Times New Roman" w:cs="Times New Roman"/>
          <w:noProof/>
          <w:sz w:val="24"/>
          <w:szCs w:val="24"/>
          <w:lang w:val="en-IE"/>
        </w:rPr>
        <w:t xml:space="preserve"> transparency standards in the context</w:t>
      </w:r>
      <w:r w:rsidR="004B63EE" w:rsidRPr="00532C20">
        <w:rPr>
          <w:rFonts w:ascii="Times New Roman" w:eastAsia="Symbol" w:hAnsi="Times New Roman" w:cs="Times New Roman"/>
          <w:noProof/>
          <w:sz w:val="24"/>
          <w:szCs w:val="24"/>
          <w:lang w:val="en-IE"/>
        </w:rPr>
        <w:t xml:space="preserve"> of</w:t>
      </w:r>
      <w:r w:rsidR="00A4797B" w:rsidRPr="00532C20">
        <w:rPr>
          <w:rFonts w:ascii="Times New Roman" w:eastAsia="Symbol" w:hAnsi="Times New Roman" w:cs="Times New Roman"/>
          <w:noProof/>
          <w:sz w:val="24"/>
          <w:szCs w:val="24"/>
          <w:lang w:val="en-IE"/>
        </w:rPr>
        <w:t xml:space="preserve"> </w:t>
      </w:r>
      <w:r w:rsidRPr="00532C20">
        <w:rPr>
          <w:rFonts w:ascii="Times New Roman" w:eastAsia="Symbol" w:hAnsi="Times New Roman" w:cs="Times New Roman"/>
          <w:noProof/>
          <w:sz w:val="24"/>
          <w:szCs w:val="24"/>
          <w:lang w:val="en-IE"/>
        </w:rPr>
        <w:t xml:space="preserve">legal and legitimate </w:t>
      </w:r>
      <w:r w:rsidR="009E323A" w:rsidRPr="00532C20">
        <w:rPr>
          <w:rFonts w:ascii="Times New Roman" w:eastAsia="Symbol" w:hAnsi="Times New Roman" w:cs="Times New Roman"/>
          <w:noProof/>
          <w:sz w:val="24"/>
          <w:szCs w:val="24"/>
          <w:lang w:val="en-IE"/>
        </w:rPr>
        <w:t xml:space="preserve">interest </w:t>
      </w:r>
      <w:r w:rsidRPr="00532C20">
        <w:rPr>
          <w:rFonts w:ascii="Times New Roman" w:eastAsia="Symbol" w:hAnsi="Times New Roman" w:cs="Times New Roman"/>
          <w:noProof/>
          <w:sz w:val="24"/>
          <w:szCs w:val="24"/>
          <w:lang w:val="en-IE"/>
        </w:rPr>
        <w:t xml:space="preserve">representation </w:t>
      </w:r>
      <w:r w:rsidR="009E323A" w:rsidRPr="00532C20">
        <w:rPr>
          <w:rFonts w:ascii="Times New Roman" w:eastAsia="Symbol" w:hAnsi="Times New Roman" w:cs="Times New Roman"/>
          <w:noProof/>
          <w:sz w:val="24"/>
          <w:szCs w:val="24"/>
          <w:lang w:val="en-IE"/>
        </w:rPr>
        <w:t>activities carried out in</w:t>
      </w:r>
      <w:r w:rsidRPr="00532C20">
        <w:rPr>
          <w:rFonts w:ascii="Times New Roman" w:eastAsia="Symbol" w:hAnsi="Times New Roman" w:cs="Times New Roman"/>
          <w:noProof/>
          <w:sz w:val="24"/>
          <w:szCs w:val="24"/>
          <w:lang w:val="en-IE"/>
        </w:rPr>
        <w:t xml:space="preserve"> the interests of third countries </w:t>
      </w:r>
      <w:r w:rsidR="009E323A" w:rsidRPr="00532C20">
        <w:rPr>
          <w:rFonts w:ascii="Times New Roman" w:eastAsia="Symbol" w:hAnsi="Times New Roman" w:cs="Times New Roman"/>
          <w:noProof/>
          <w:sz w:val="24"/>
          <w:szCs w:val="24"/>
          <w:lang w:val="en-IE"/>
        </w:rPr>
        <w:t xml:space="preserve">in the internal </w:t>
      </w:r>
      <w:r w:rsidRPr="00532C20">
        <w:rPr>
          <w:rFonts w:ascii="Times New Roman" w:eastAsia="Symbol" w:hAnsi="Times New Roman" w:cs="Times New Roman"/>
          <w:noProof/>
          <w:sz w:val="24"/>
          <w:szCs w:val="24"/>
          <w:lang w:val="en-IE"/>
        </w:rPr>
        <w:t xml:space="preserve">market. </w:t>
      </w:r>
      <w:r w:rsidR="00494534" w:rsidRPr="00532C20">
        <w:rPr>
          <w:rFonts w:ascii="Times New Roman" w:eastAsia="Symbol" w:hAnsi="Times New Roman" w:cs="Times New Roman"/>
          <w:noProof/>
          <w:sz w:val="24"/>
          <w:szCs w:val="24"/>
          <w:lang w:val="en-IE"/>
        </w:rPr>
        <w:t xml:space="preserve">While </w:t>
      </w:r>
      <w:r w:rsidR="00D071A4" w:rsidRPr="00532C20">
        <w:rPr>
          <w:rFonts w:ascii="Times New Roman" w:eastAsia="Symbol" w:hAnsi="Times New Roman" w:cs="Times New Roman"/>
          <w:noProof/>
          <w:sz w:val="24"/>
          <w:szCs w:val="24"/>
          <w:lang w:val="en-IE"/>
        </w:rPr>
        <w:t xml:space="preserve">interest </w:t>
      </w:r>
      <w:r w:rsidR="008802FF" w:rsidRPr="00532C20">
        <w:rPr>
          <w:rFonts w:ascii="Times New Roman" w:eastAsia="Symbol" w:hAnsi="Times New Roman" w:cs="Times New Roman"/>
          <w:noProof/>
          <w:sz w:val="24"/>
          <w:szCs w:val="24"/>
          <w:lang w:val="en-IE"/>
        </w:rPr>
        <w:t>representation</w:t>
      </w:r>
      <w:r w:rsidR="00D071A4" w:rsidRPr="00532C20">
        <w:rPr>
          <w:rFonts w:ascii="Times New Roman" w:eastAsia="Symbol" w:hAnsi="Times New Roman" w:cs="Times New Roman"/>
          <w:noProof/>
          <w:sz w:val="24"/>
          <w:szCs w:val="24"/>
          <w:lang w:val="en-IE"/>
        </w:rPr>
        <w:t xml:space="preserve"> activities carried out covertly on behalf of third countries could amount to foreign interference, foreign interference encompasse</w:t>
      </w:r>
      <w:r w:rsidR="00E94C82">
        <w:rPr>
          <w:rFonts w:ascii="Times New Roman" w:eastAsia="Symbol" w:hAnsi="Times New Roman" w:cs="Times New Roman"/>
          <w:noProof/>
          <w:sz w:val="24"/>
          <w:szCs w:val="24"/>
          <w:lang w:val="en-IE"/>
        </w:rPr>
        <w:t>s</w:t>
      </w:r>
      <w:r w:rsidR="00D071A4" w:rsidRPr="00532C20">
        <w:rPr>
          <w:rFonts w:ascii="Times New Roman" w:eastAsia="Symbol" w:hAnsi="Times New Roman" w:cs="Times New Roman"/>
          <w:noProof/>
          <w:sz w:val="24"/>
          <w:szCs w:val="24"/>
          <w:lang w:val="en-IE"/>
        </w:rPr>
        <w:t xml:space="preserve"> a wide</w:t>
      </w:r>
      <w:r w:rsidRPr="00532C20">
        <w:rPr>
          <w:rFonts w:ascii="Times New Roman" w:eastAsia="Symbol" w:hAnsi="Times New Roman" w:cs="Times New Roman"/>
          <w:noProof/>
          <w:sz w:val="24"/>
          <w:szCs w:val="24"/>
          <w:lang w:val="en-IE"/>
        </w:rPr>
        <w:t xml:space="preserve"> range of activities that are carried out by or on behalf of a foreign state or a state actor, and which are coercive, deceptive or corrupting and are contrary to the sovereignty, values and interests of the Union and its Member States. This can for example include disinformation, corruption of officials or cyber-attacks on the IT infrastructure supporting elections. Th</w:t>
      </w:r>
      <w:r w:rsidR="00E97C7F" w:rsidRPr="00532C20">
        <w:rPr>
          <w:rFonts w:ascii="Times New Roman" w:eastAsia="Symbol" w:hAnsi="Times New Roman" w:cs="Times New Roman"/>
          <w:noProof/>
          <w:sz w:val="24"/>
          <w:szCs w:val="24"/>
          <w:lang w:val="en-IE"/>
        </w:rPr>
        <w:t>is</w:t>
      </w:r>
      <w:r w:rsidRPr="00532C20">
        <w:rPr>
          <w:rFonts w:ascii="Times New Roman" w:eastAsia="Symbol" w:hAnsi="Times New Roman" w:cs="Times New Roman"/>
          <w:noProof/>
          <w:sz w:val="24"/>
          <w:szCs w:val="24"/>
          <w:lang w:val="en-IE"/>
        </w:rPr>
        <w:t xml:space="preserve"> initiative does not aim to exhaustively address </w:t>
      </w:r>
      <w:r w:rsidR="00D61816" w:rsidRPr="00532C20">
        <w:rPr>
          <w:rFonts w:ascii="Times New Roman" w:eastAsia="Symbol" w:hAnsi="Times New Roman" w:cs="Times New Roman"/>
          <w:noProof/>
          <w:sz w:val="24"/>
          <w:szCs w:val="24"/>
          <w:lang w:val="en-IE"/>
        </w:rPr>
        <w:t xml:space="preserve">all </w:t>
      </w:r>
      <w:r w:rsidR="008802FF" w:rsidRPr="00532C20">
        <w:rPr>
          <w:rFonts w:ascii="Times New Roman" w:eastAsia="Symbol" w:hAnsi="Times New Roman" w:cs="Times New Roman"/>
          <w:noProof/>
          <w:sz w:val="24"/>
          <w:szCs w:val="24"/>
          <w:lang w:val="en-IE"/>
        </w:rPr>
        <w:t>foreign interference</w:t>
      </w:r>
      <w:r w:rsidR="00D61816" w:rsidRPr="00532C20">
        <w:rPr>
          <w:rFonts w:ascii="Times New Roman" w:eastAsia="Symbol" w:hAnsi="Times New Roman" w:cs="Times New Roman"/>
          <w:noProof/>
          <w:sz w:val="24"/>
          <w:szCs w:val="24"/>
          <w:lang w:val="en-IE"/>
        </w:rPr>
        <w:t xml:space="preserve"> activities. </w:t>
      </w:r>
    </w:p>
    <w:p w14:paraId="7E84DFCE" w14:textId="6821DCBD" w:rsidR="001B46BE" w:rsidRPr="00532C20" w:rsidRDefault="00820E8F" w:rsidP="001B46BE">
      <w:pPr>
        <w:spacing w:after="120" w:line="240" w:lineRule="auto"/>
        <w:jc w:val="both"/>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The legislative initiative complements existing measures at EU level</w:t>
      </w:r>
      <w:r w:rsidR="001B46BE" w:rsidRPr="00532C20">
        <w:rPr>
          <w:rFonts w:ascii="Times New Roman" w:eastAsia="Times" w:hAnsi="Times New Roman" w:cs="Times New Roman"/>
          <w:noProof/>
          <w:sz w:val="24"/>
          <w:szCs w:val="24"/>
          <w:lang w:val="en-IE" w:eastAsia="en-IE"/>
        </w:rPr>
        <w:t xml:space="preserve"> that contribute to</w:t>
      </w:r>
      <w:r w:rsidR="00335D76" w:rsidRPr="00532C20">
        <w:rPr>
          <w:rFonts w:ascii="Times New Roman" w:eastAsia="Times" w:hAnsi="Times New Roman" w:cs="Times New Roman"/>
          <w:noProof/>
          <w:sz w:val="24"/>
          <w:szCs w:val="24"/>
          <w:lang w:val="en-IE" w:eastAsia="en-IE"/>
        </w:rPr>
        <w:t xml:space="preserve"> enhanc</w:t>
      </w:r>
      <w:r w:rsidR="00E94C82">
        <w:rPr>
          <w:rFonts w:ascii="Times New Roman" w:eastAsia="Times" w:hAnsi="Times New Roman" w:cs="Times New Roman"/>
          <w:noProof/>
          <w:sz w:val="24"/>
          <w:szCs w:val="24"/>
          <w:lang w:val="en-IE" w:eastAsia="en-IE"/>
        </w:rPr>
        <w:t>ing</w:t>
      </w:r>
      <w:r w:rsidR="001B46BE" w:rsidRPr="00532C20">
        <w:rPr>
          <w:rFonts w:ascii="Times New Roman" w:eastAsia="Times" w:hAnsi="Times New Roman" w:cs="Times New Roman"/>
          <w:noProof/>
          <w:sz w:val="24"/>
          <w:szCs w:val="24"/>
          <w:lang w:val="en-IE" w:eastAsia="en-IE"/>
        </w:rPr>
        <w:t xml:space="preserve"> transparency</w:t>
      </w:r>
      <w:r w:rsidR="00335D76" w:rsidRPr="00532C20">
        <w:rPr>
          <w:rFonts w:ascii="Times New Roman" w:eastAsia="Times" w:hAnsi="Times New Roman" w:cs="Times New Roman"/>
          <w:noProof/>
          <w:sz w:val="24"/>
          <w:szCs w:val="24"/>
          <w:lang w:val="en-IE" w:eastAsia="en-IE"/>
        </w:rPr>
        <w:t xml:space="preserve"> and address</w:t>
      </w:r>
      <w:r w:rsidR="00E94C82">
        <w:rPr>
          <w:rFonts w:ascii="Times New Roman" w:eastAsia="Times" w:hAnsi="Times New Roman" w:cs="Times New Roman"/>
          <w:noProof/>
          <w:sz w:val="24"/>
          <w:szCs w:val="24"/>
          <w:lang w:val="en-IE" w:eastAsia="en-IE"/>
        </w:rPr>
        <w:t>ing</w:t>
      </w:r>
      <w:r w:rsidR="001B46BE" w:rsidRPr="00532C20">
        <w:rPr>
          <w:rFonts w:ascii="Times New Roman" w:eastAsia="Times" w:hAnsi="Times New Roman" w:cs="Times New Roman"/>
          <w:noProof/>
          <w:sz w:val="24"/>
          <w:szCs w:val="24"/>
          <w:lang w:val="en-IE" w:eastAsia="en-IE"/>
        </w:rPr>
        <w:t xml:space="preserve"> </w:t>
      </w:r>
      <w:r w:rsidR="00335D76" w:rsidRPr="00532C20">
        <w:rPr>
          <w:rFonts w:ascii="Times New Roman" w:eastAsia="Times" w:hAnsi="Times New Roman" w:cs="Times New Roman"/>
          <w:noProof/>
          <w:sz w:val="24"/>
          <w:szCs w:val="24"/>
          <w:lang w:val="en-IE" w:eastAsia="en-IE"/>
        </w:rPr>
        <w:t xml:space="preserve">certain activities carried out by or on behalf of third countries. </w:t>
      </w:r>
      <w:r w:rsidR="00325354" w:rsidRPr="00532C20">
        <w:rPr>
          <w:rFonts w:ascii="Times New Roman" w:eastAsia="Times" w:hAnsi="Times New Roman" w:cs="Times New Roman"/>
          <w:noProof/>
          <w:sz w:val="24"/>
          <w:szCs w:val="24"/>
          <w:lang w:val="en-IE" w:eastAsia="en-IE"/>
        </w:rPr>
        <w:t>As regards activities impacting the democratic sphere, t</w:t>
      </w:r>
      <w:r w:rsidR="00335D76" w:rsidRPr="00532C20">
        <w:rPr>
          <w:rFonts w:ascii="Times New Roman" w:eastAsia="Times" w:hAnsi="Times New Roman" w:cs="Times New Roman"/>
          <w:noProof/>
          <w:sz w:val="24"/>
          <w:szCs w:val="24"/>
          <w:lang w:val="en-IE" w:eastAsia="en-IE"/>
        </w:rPr>
        <w:t>his includes</w:t>
      </w:r>
      <w:r w:rsidRPr="00532C20">
        <w:rPr>
          <w:rFonts w:ascii="Times New Roman" w:eastAsia="Times" w:hAnsi="Times New Roman" w:cs="Times New Roman"/>
          <w:noProof/>
          <w:sz w:val="24"/>
          <w:szCs w:val="24"/>
          <w:lang w:val="en-IE" w:eastAsia="en-IE"/>
        </w:rPr>
        <w:t xml:space="preserve"> the proposal for a Regulation on the transparency and targeting of political advertising</w:t>
      </w:r>
      <w:r w:rsidR="00C33B01" w:rsidRPr="00532C20">
        <w:rPr>
          <w:rFonts w:ascii="Times New Roman" w:eastAsia="Times" w:hAnsi="Times New Roman" w:cs="Times New Roman"/>
          <w:noProof/>
          <w:sz w:val="24"/>
          <w:szCs w:val="24"/>
          <w:lang w:val="en-IE" w:eastAsia="en-IE"/>
        </w:rPr>
        <w:t>,</w:t>
      </w:r>
      <w:r w:rsidRPr="00532C20">
        <w:rPr>
          <w:rFonts w:ascii="Times New Roman" w:eastAsia="Times" w:hAnsi="Times New Roman" w:cs="Times New Roman"/>
          <w:noProof/>
          <w:sz w:val="24"/>
          <w:szCs w:val="24"/>
          <w:lang w:val="en-IE" w:eastAsia="en-IE"/>
        </w:rPr>
        <w:t xml:space="preserve"> the </w:t>
      </w:r>
      <w:r w:rsidR="00335D76" w:rsidRPr="00532C20">
        <w:rPr>
          <w:rFonts w:ascii="Times New Roman" w:eastAsia="Times" w:hAnsi="Times New Roman" w:cs="Times New Roman"/>
          <w:noProof/>
          <w:sz w:val="24"/>
          <w:szCs w:val="24"/>
          <w:lang w:val="en-IE" w:eastAsia="en-IE"/>
        </w:rPr>
        <w:t xml:space="preserve">proposal for </w:t>
      </w:r>
      <w:r w:rsidRPr="00532C20">
        <w:rPr>
          <w:rFonts w:ascii="Times New Roman" w:eastAsia="Times" w:hAnsi="Times New Roman" w:cs="Times New Roman"/>
          <w:noProof/>
          <w:sz w:val="24"/>
          <w:szCs w:val="24"/>
          <w:lang w:val="en-IE" w:eastAsia="en-IE"/>
        </w:rPr>
        <w:t>European Media Freedom Act</w:t>
      </w:r>
      <w:r w:rsidR="00FD777C" w:rsidRPr="00532C20">
        <w:rPr>
          <w:rFonts w:ascii="Times New Roman" w:eastAsia="Calibri" w:hAnsi="Times New Roman" w:cs="Times New Roman"/>
          <w:noProof/>
          <w:sz w:val="24"/>
          <w:szCs w:val="24"/>
          <w:vertAlign w:val="superscript"/>
        </w:rPr>
        <w:footnoteReference w:id="39"/>
      </w:r>
      <w:r w:rsidR="00FD777C" w:rsidRPr="00532C20">
        <w:rPr>
          <w:rFonts w:ascii="Times New Roman" w:eastAsia="Arial Unicode MS" w:hAnsi="Times New Roman" w:cs="Times New Roman"/>
          <w:b/>
          <w:noProof/>
          <w:sz w:val="24"/>
          <w:szCs w:val="24"/>
          <w:lang w:val="en-IE"/>
        </w:rPr>
        <w:t xml:space="preserve"> </w:t>
      </w:r>
      <w:r w:rsidR="00FD777C" w:rsidRPr="00532C20">
        <w:rPr>
          <w:rFonts w:ascii="Times New Roman" w:eastAsia="Arial Unicode MS" w:hAnsi="Times New Roman" w:cs="Times New Roman"/>
          <w:noProof/>
          <w:sz w:val="24"/>
          <w:szCs w:val="24"/>
          <w:lang w:val="en-IE"/>
        </w:rPr>
        <w:t>(EMFA)</w:t>
      </w:r>
      <w:r w:rsidR="00335D76" w:rsidRPr="00532C20">
        <w:rPr>
          <w:rFonts w:ascii="Times New Roman" w:eastAsia="Times" w:hAnsi="Times New Roman" w:cs="Times New Roman"/>
          <w:noProof/>
          <w:sz w:val="24"/>
          <w:szCs w:val="24"/>
          <w:lang w:val="en-IE" w:eastAsia="en-IE"/>
        </w:rPr>
        <w:t xml:space="preserve">, </w:t>
      </w:r>
      <w:r w:rsidR="00FD777C" w:rsidRPr="00532C20">
        <w:rPr>
          <w:rFonts w:ascii="Times New Roman" w:eastAsia="Times" w:hAnsi="Times New Roman" w:cs="Times New Roman"/>
          <w:noProof/>
          <w:sz w:val="24"/>
          <w:szCs w:val="24"/>
          <w:lang w:val="en-IE" w:eastAsia="en-IE"/>
        </w:rPr>
        <w:t>the Digital Services Act</w:t>
      </w:r>
      <w:r w:rsidR="00FD777C" w:rsidRPr="00532C20">
        <w:rPr>
          <w:rFonts w:ascii="Times New Roman" w:eastAsia="Calibri" w:hAnsi="Times New Roman" w:cs="Times New Roman"/>
          <w:noProof/>
          <w:sz w:val="24"/>
          <w:szCs w:val="24"/>
          <w:vertAlign w:val="superscript"/>
        </w:rPr>
        <w:footnoteReference w:id="40"/>
      </w:r>
      <w:r w:rsidR="00FD777C" w:rsidRPr="00532C20">
        <w:rPr>
          <w:rFonts w:ascii="Times New Roman" w:eastAsia="Times" w:hAnsi="Times New Roman" w:cs="Times New Roman"/>
          <w:noProof/>
          <w:sz w:val="24"/>
          <w:szCs w:val="24"/>
          <w:lang w:eastAsia="en-IE"/>
        </w:rPr>
        <w:t xml:space="preserve"> (DSA)</w:t>
      </w:r>
      <w:r w:rsidR="00627561" w:rsidRPr="00532C20">
        <w:rPr>
          <w:rFonts w:ascii="Times New Roman" w:eastAsia="Times" w:hAnsi="Times New Roman" w:cs="Times New Roman"/>
          <w:noProof/>
          <w:sz w:val="24"/>
          <w:szCs w:val="24"/>
          <w:lang w:eastAsia="en-IE"/>
        </w:rPr>
        <w:t xml:space="preserve">, the </w:t>
      </w:r>
      <w:r w:rsidR="00627561" w:rsidRPr="00532C20">
        <w:rPr>
          <w:rFonts w:ascii="Times New Roman" w:eastAsia="Arial Unicode MS" w:hAnsi="Times New Roman" w:cs="Times New Roman"/>
          <w:noProof/>
          <w:sz w:val="24"/>
          <w:szCs w:val="24"/>
        </w:rPr>
        <w:t>Regulation on</w:t>
      </w:r>
      <w:r w:rsidR="00627561" w:rsidRPr="00532C20">
        <w:rPr>
          <w:rFonts w:ascii="Times New Roman" w:eastAsia="Arial Unicode MS" w:hAnsi="Times New Roman" w:cs="Times New Roman"/>
          <w:noProof/>
          <w:sz w:val="24"/>
          <w:szCs w:val="24"/>
          <w:lang w:val="en-IE"/>
        </w:rPr>
        <w:t xml:space="preserve"> </w:t>
      </w:r>
      <w:r w:rsidR="00627561" w:rsidRPr="00532C20">
        <w:rPr>
          <w:rFonts w:ascii="Times New Roman" w:eastAsia="Arial Unicode MS" w:hAnsi="Times New Roman" w:cs="Times New Roman"/>
          <w:bCs/>
          <w:noProof/>
          <w:sz w:val="24"/>
          <w:szCs w:val="24"/>
          <w:lang w:val="en-IE"/>
        </w:rPr>
        <w:t>European political parties and European political foundations</w:t>
      </w:r>
      <w:r w:rsidR="00C336E1" w:rsidRPr="00532C20">
        <w:rPr>
          <w:rFonts w:ascii="Times New Roman" w:eastAsia="Arial Unicode MS" w:hAnsi="Times New Roman" w:cs="Times New Roman"/>
          <w:bCs/>
          <w:noProof/>
          <w:sz w:val="24"/>
          <w:szCs w:val="24"/>
          <w:lang w:val="en-IE"/>
        </w:rPr>
        <w:t xml:space="preserve"> and the proposal to amend it</w:t>
      </w:r>
      <w:r w:rsidR="00627561" w:rsidRPr="00532C20">
        <w:rPr>
          <w:rFonts w:ascii="Times New Roman" w:eastAsia="Calibri" w:hAnsi="Times New Roman" w:cs="Times New Roman"/>
          <w:noProof/>
          <w:sz w:val="24"/>
          <w:szCs w:val="24"/>
          <w:vertAlign w:val="superscript"/>
        </w:rPr>
        <w:footnoteReference w:id="41"/>
      </w:r>
      <w:r w:rsidRPr="00532C20">
        <w:rPr>
          <w:rFonts w:ascii="Times New Roman" w:eastAsia="Times" w:hAnsi="Times New Roman" w:cs="Times New Roman"/>
          <w:noProof/>
          <w:sz w:val="24"/>
          <w:szCs w:val="24"/>
          <w:lang w:val="en-IE" w:eastAsia="en-IE"/>
        </w:rPr>
        <w:t xml:space="preserve"> and non-legislative measures for combating disinformation and other forms of foreign interference, including the Foreign Information Manipulation and Interference </w:t>
      </w:r>
      <w:r w:rsidR="00E94C82">
        <w:rPr>
          <w:rFonts w:ascii="Times New Roman" w:eastAsia="Times" w:hAnsi="Times New Roman" w:cs="Times New Roman"/>
          <w:noProof/>
          <w:sz w:val="24"/>
          <w:szCs w:val="24"/>
          <w:lang w:val="en-IE" w:eastAsia="en-IE"/>
        </w:rPr>
        <w:t>T</w:t>
      </w:r>
      <w:r w:rsidRPr="00532C20">
        <w:rPr>
          <w:rFonts w:ascii="Times New Roman" w:eastAsia="Times" w:hAnsi="Times New Roman" w:cs="Times New Roman"/>
          <w:noProof/>
          <w:sz w:val="24"/>
          <w:szCs w:val="24"/>
          <w:lang w:val="en-IE" w:eastAsia="en-IE"/>
        </w:rPr>
        <w:t>oolbox. It also complements and is coherent with other legislative proposals, legislation and initiatives beyond the European Democracy Action Plan which enhance the transparency of activities affecting democratic processes, such as the Anti-Money Laundering Directive</w:t>
      </w:r>
      <w:r w:rsidR="00A54C52" w:rsidRPr="00532C20">
        <w:rPr>
          <w:rFonts w:ascii="Times New Roman" w:eastAsia="Times" w:hAnsi="Times New Roman" w:cs="Times New Roman"/>
          <w:noProof/>
          <w:sz w:val="24"/>
          <w:szCs w:val="24"/>
          <w:lang w:val="en-IE" w:eastAsia="en-IE"/>
        </w:rPr>
        <w:t xml:space="preserve"> and</w:t>
      </w:r>
      <w:r w:rsidRPr="00532C20">
        <w:rPr>
          <w:rFonts w:ascii="Times New Roman" w:eastAsia="Times" w:hAnsi="Times New Roman" w:cs="Times New Roman"/>
          <w:noProof/>
          <w:sz w:val="24"/>
          <w:szCs w:val="24"/>
          <w:lang w:val="en-IE" w:eastAsia="en-IE"/>
        </w:rPr>
        <w:t xml:space="preserve"> the Whistle-blower Directive</w:t>
      </w:r>
      <w:r w:rsidR="00A54C52" w:rsidRPr="00532C20">
        <w:rPr>
          <w:rFonts w:ascii="Times New Roman" w:eastAsia="Times" w:hAnsi="Times New Roman" w:cs="Times New Roman"/>
          <w:noProof/>
          <w:sz w:val="24"/>
          <w:szCs w:val="24"/>
          <w:lang w:val="en-IE" w:eastAsia="en-IE"/>
        </w:rPr>
        <w:t>.</w:t>
      </w:r>
    </w:p>
    <w:p w14:paraId="32A79BE2" w14:textId="7B263715" w:rsidR="00C67476" w:rsidRPr="00532C20" w:rsidRDefault="001B46BE" w:rsidP="00086606">
      <w:pPr>
        <w:spacing w:after="120" w:line="240" w:lineRule="auto"/>
        <w:jc w:val="both"/>
        <w:rPr>
          <w:rFonts w:ascii="Times New Roman" w:eastAsia="Arial Unicode MS" w:hAnsi="Times New Roman" w:cs="Times New Roman"/>
          <w:noProof/>
          <w:sz w:val="24"/>
          <w:szCs w:val="24"/>
          <w:lang w:val="en-IE"/>
        </w:rPr>
      </w:pPr>
      <w:r w:rsidRPr="00532C20">
        <w:rPr>
          <w:rFonts w:ascii="Times New Roman" w:eastAsia="Arial Unicode MS" w:hAnsi="Times New Roman" w:cs="Times New Roman"/>
          <w:noProof/>
          <w:sz w:val="24"/>
          <w:szCs w:val="24"/>
          <w:lang w:val="en-IE"/>
        </w:rPr>
        <w:t>The transparency achieved by these EU instruments and initiatives leaves an important part uncovered</w:t>
      </w:r>
      <w:r w:rsidR="00402538" w:rsidRPr="00532C20">
        <w:rPr>
          <w:rFonts w:ascii="Times New Roman" w:eastAsia="Arial Unicode MS" w:hAnsi="Times New Roman" w:cs="Times New Roman"/>
          <w:noProof/>
          <w:sz w:val="24"/>
          <w:szCs w:val="24"/>
          <w:lang w:val="en-IE"/>
        </w:rPr>
        <w:t xml:space="preserve"> which this initiative aims to address</w:t>
      </w:r>
      <w:r w:rsidRPr="00532C20">
        <w:rPr>
          <w:rFonts w:ascii="Times New Roman" w:eastAsia="Arial Unicode MS" w:hAnsi="Times New Roman" w:cs="Times New Roman"/>
          <w:noProof/>
          <w:sz w:val="24"/>
          <w:szCs w:val="24"/>
          <w:lang w:val="en-IE"/>
        </w:rPr>
        <w:t xml:space="preserve"> –</w:t>
      </w:r>
      <w:r w:rsidR="00402538" w:rsidRPr="00532C20">
        <w:rPr>
          <w:rFonts w:ascii="Times New Roman" w:eastAsia="Arial Unicode MS" w:hAnsi="Times New Roman" w:cs="Times New Roman"/>
          <w:noProof/>
          <w:sz w:val="24"/>
          <w:szCs w:val="24"/>
          <w:lang w:val="en-IE"/>
        </w:rPr>
        <w:t xml:space="preserve"> interest representation carried out on behalf of third countries</w:t>
      </w:r>
      <w:r w:rsidRPr="00532C20">
        <w:rPr>
          <w:rFonts w:ascii="Times New Roman" w:eastAsia="Arial Unicode MS" w:hAnsi="Times New Roman" w:cs="Times New Roman"/>
          <w:noProof/>
          <w:sz w:val="24"/>
          <w:szCs w:val="24"/>
          <w:lang w:val="en-IE"/>
        </w:rPr>
        <w:t>.</w:t>
      </w:r>
      <w:r w:rsidR="00402538" w:rsidRPr="00532C20">
        <w:rPr>
          <w:rFonts w:ascii="Times New Roman" w:eastAsia="Arial Unicode MS" w:hAnsi="Times New Roman" w:cs="Times New Roman"/>
          <w:noProof/>
          <w:sz w:val="24"/>
          <w:szCs w:val="24"/>
          <w:lang w:val="en-IE"/>
        </w:rPr>
        <w:t xml:space="preserve"> </w:t>
      </w:r>
    </w:p>
    <w:p w14:paraId="096F1D55" w14:textId="0047ADF8" w:rsidR="007B395F" w:rsidRPr="00532C20" w:rsidRDefault="007E2971" w:rsidP="00582553">
      <w:pPr>
        <w:pStyle w:val="1levelonetitle"/>
        <w:rPr>
          <w:rFonts w:eastAsia="Times New Roman"/>
          <w:noProof/>
        </w:rPr>
      </w:pPr>
      <w:bookmarkStart w:id="205" w:name="_Toc15286466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532C20">
        <w:rPr>
          <w:noProof/>
        </w:rPr>
        <w:t xml:space="preserve">What </w:t>
      </w:r>
      <w:r w:rsidR="004520F8" w:rsidRPr="00532C20">
        <w:rPr>
          <w:noProof/>
        </w:rPr>
        <w:t>is</w:t>
      </w:r>
      <w:r w:rsidR="00CA433A" w:rsidRPr="00532C20">
        <w:rPr>
          <w:noProof/>
        </w:rPr>
        <w:t xml:space="preserve"> </w:t>
      </w:r>
      <w:r w:rsidRPr="00532C20">
        <w:rPr>
          <w:noProof/>
        </w:rPr>
        <w:t>the problem</w:t>
      </w:r>
      <w:r w:rsidR="00B723AE" w:rsidRPr="00532C20">
        <w:rPr>
          <w:noProof/>
        </w:rPr>
        <w:t xml:space="preserve"> and why i</w:t>
      </w:r>
      <w:r w:rsidR="005C6AD7">
        <w:rPr>
          <w:noProof/>
        </w:rPr>
        <w:t>s</w:t>
      </w:r>
      <w:r w:rsidR="00B723AE" w:rsidRPr="00532C20">
        <w:rPr>
          <w:noProof/>
        </w:rPr>
        <w:t xml:space="preserve"> i</w:t>
      </w:r>
      <w:r w:rsidR="005C6AD7">
        <w:rPr>
          <w:noProof/>
        </w:rPr>
        <w:t>t</w:t>
      </w:r>
      <w:r w:rsidR="00B723AE" w:rsidRPr="00532C20">
        <w:rPr>
          <w:noProof/>
        </w:rPr>
        <w:t xml:space="preserve"> a problem</w:t>
      </w:r>
      <w:r w:rsidR="00096DAC" w:rsidRPr="00532C20">
        <w:rPr>
          <w:noProof/>
        </w:rPr>
        <w:t>?</w:t>
      </w:r>
      <w:bookmarkEnd w:id="205"/>
    </w:p>
    <w:p w14:paraId="00027A3E" w14:textId="2FC4B6CE" w:rsidR="00B16245" w:rsidRPr="00532C20" w:rsidRDefault="00B16245" w:rsidP="00D6485D">
      <w:pPr>
        <w:pStyle w:val="11Subsection"/>
        <w:rPr>
          <w:noProof/>
          <w:u w:val="none"/>
        </w:rPr>
      </w:pPr>
      <w:bookmarkStart w:id="206" w:name="_Toc152864664"/>
      <w:r w:rsidRPr="00532C20">
        <w:rPr>
          <w:noProof/>
        </w:rPr>
        <w:t>What are the problems?</w:t>
      </w:r>
      <w:bookmarkEnd w:id="206"/>
    </w:p>
    <w:p w14:paraId="2174E0E3" w14:textId="7B545BD9" w:rsidR="004B2FEE" w:rsidRPr="00532C20" w:rsidRDefault="004B2FEE" w:rsidP="00313F32">
      <w:pPr>
        <w:pStyle w:val="111level3title"/>
        <w:ind w:left="2268" w:hanging="828"/>
        <w:rPr>
          <w:noProof/>
        </w:rPr>
      </w:pPr>
      <w:bookmarkStart w:id="207" w:name="_Toc152864665"/>
      <w:r w:rsidRPr="00532C20">
        <w:rPr>
          <w:noProof/>
        </w:rPr>
        <w:t xml:space="preserve">Obstacles to the </w:t>
      </w:r>
      <w:r w:rsidR="00AA6A4B" w:rsidRPr="00532C20">
        <w:rPr>
          <w:noProof/>
        </w:rPr>
        <w:t>internal</w:t>
      </w:r>
      <w:r w:rsidRPr="00532C20">
        <w:rPr>
          <w:noProof/>
        </w:rPr>
        <w:t xml:space="preserve"> market for interest representation activities </w:t>
      </w:r>
      <w:r w:rsidR="0065268B" w:rsidRPr="00532C20">
        <w:rPr>
          <w:noProof/>
        </w:rPr>
        <w:t>carried out on behalf of third countries.</w:t>
      </w:r>
      <w:bookmarkEnd w:id="207"/>
    </w:p>
    <w:p w14:paraId="123D491B" w14:textId="5EC0D4CE" w:rsidR="009B4A6D" w:rsidRPr="00532C20" w:rsidRDefault="009B4A6D" w:rsidP="00294BDC">
      <w:pPr>
        <w:spacing w:after="120" w:line="240" w:lineRule="auto"/>
        <w:jc w:val="both"/>
        <w:rPr>
          <w:rFonts w:ascii="Times New Roman" w:eastAsia="Times New Roman" w:hAnsi="Times New Roman" w:cs="Times New Roman"/>
          <w:noProof/>
          <w:sz w:val="24"/>
          <w:szCs w:val="24"/>
          <w:lang w:val="en-IE"/>
        </w:rPr>
      </w:pPr>
      <w:r w:rsidRPr="00532C20">
        <w:rPr>
          <w:rFonts w:ascii="Times New Roman" w:eastAsia="Times New Roman" w:hAnsi="Times New Roman" w:cs="Times New Roman"/>
          <w:noProof/>
          <w:sz w:val="24"/>
          <w:szCs w:val="24"/>
          <w:lang w:val="en-IE"/>
        </w:rPr>
        <w:t>In Member States</w:t>
      </w:r>
      <w:r w:rsidR="00B56877" w:rsidRPr="00532C20">
        <w:rPr>
          <w:rFonts w:ascii="Times New Roman" w:eastAsia="Times New Roman" w:hAnsi="Times New Roman" w:cs="Times New Roman"/>
          <w:noProof/>
          <w:sz w:val="24"/>
          <w:szCs w:val="24"/>
          <w:lang w:val="en-IE"/>
        </w:rPr>
        <w:t xml:space="preserve"> w</w:t>
      </w:r>
      <w:r w:rsidR="00B56877" w:rsidRPr="00532C20">
        <w:rPr>
          <w:rFonts w:ascii="Times New Roman" w:eastAsia="Times" w:hAnsi="Times New Roman" w:cs="Times New Roman"/>
          <w:noProof/>
          <w:sz w:val="24"/>
          <w:szCs w:val="24"/>
          <w:lang w:val="en-IE" w:eastAsia="fr-BE"/>
        </w:rPr>
        <w:t>here it is regulated,</w:t>
      </w:r>
      <w:r w:rsidRPr="00532C20">
        <w:rPr>
          <w:rFonts w:ascii="Times New Roman" w:eastAsia="Times New Roman" w:hAnsi="Times New Roman" w:cs="Times New Roman"/>
          <w:noProof/>
          <w:sz w:val="24"/>
          <w:szCs w:val="24"/>
          <w:lang w:val="en-IE"/>
        </w:rPr>
        <w:t xml:space="preserve"> interest representation </w:t>
      </w:r>
      <w:r w:rsidR="003964B3" w:rsidRPr="00532C20">
        <w:rPr>
          <w:rFonts w:ascii="Times New Roman" w:eastAsia="Times New Roman" w:hAnsi="Times New Roman" w:cs="Times New Roman"/>
          <w:noProof/>
          <w:sz w:val="24"/>
          <w:szCs w:val="24"/>
          <w:lang w:val="en-IE"/>
        </w:rPr>
        <w:t>activities</w:t>
      </w:r>
      <w:r w:rsidR="001B4B42" w:rsidRPr="00532C20">
        <w:rPr>
          <w:rFonts w:ascii="Times New Roman" w:eastAsia="Times New Roman" w:hAnsi="Times New Roman" w:cs="Times New Roman"/>
          <w:noProof/>
          <w:sz w:val="24"/>
          <w:szCs w:val="24"/>
          <w:lang w:val="en-IE"/>
        </w:rPr>
        <w:t xml:space="preserve"> carried out on behalf of third countries are regulated</w:t>
      </w:r>
      <w:r w:rsidR="003964B3" w:rsidRPr="00532C20">
        <w:rPr>
          <w:rFonts w:ascii="Times New Roman" w:eastAsia="Times New Roman" w:hAnsi="Times New Roman" w:cs="Times New Roman"/>
          <w:noProof/>
          <w:sz w:val="24"/>
          <w:szCs w:val="24"/>
          <w:lang w:val="en-IE"/>
        </w:rPr>
        <w:t xml:space="preserve"> together with other interest representation </w:t>
      </w:r>
      <w:r w:rsidR="0020137F" w:rsidRPr="00532C20">
        <w:rPr>
          <w:rFonts w:ascii="Times New Roman" w:eastAsia="Times New Roman" w:hAnsi="Times New Roman" w:cs="Times New Roman"/>
          <w:noProof/>
          <w:sz w:val="24"/>
          <w:szCs w:val="24"/>
          <w:lang w:val="en-IE"/>
        </w:rPr>
        <w:t>activities</w:t>
      </w:r>
      <w:r w:rsidR="003964B3" w:rsidRPr="00532C20">
        <w:rPr>
          <w:rFonts w:ascii="Times New Roman" w:eastAsia="Times New Roman" w:hAnsi="Times New Roman" w:cs="Times New Roman"/>
          <w:noProof/>
          <w:sz w:val="24"/>
          <w:szCs w:val="24"/>
          <w:lang w:val="en-IE"/>
        </w:rPr>
        <w:t>.</w:t>
      </w:r>
    </w:p>
    <w:p w14:paraId="66325D1F" w14:textId="78BECB93" w:rsidR="009B4A6D" w:rsidRPr="00532C20" w:rsidRDefault="009B4A6D" w:rsidP="00F23383">
      <w:pPr>
        <w:spacing w:after="120" w:line="240" w:lineRule="auto"/>
        <w:jc w:val="both"/>
        <w:textAlignment w:val="baseline"/>
        <w:rPr>
          <w:rFonts w:ascii="Times New Roman" w:eastAsia="Times" w:hAnsi="Times New Roman" w:cs="Times New Roman"/>
          <w:noProof/>
          <w:sz w:val="24"/>
          <w:szCs w:val="24"/>
          <w:lang w:val="en-IE" w:eastAsia="fr-BE"/>
        </w:rPr>
      </w:pPr>
      <w:r w:rsidRPr="00532C20">
        <w:rPr>
          <w:rFonts w:ascii="Times New Roman" w:eastAsia="Times" w:hAnsi="Times New Roman" w:cs="Times New Roman"/>
          <w:noProof/>
          <w:sz w:val="24"/>
          <w:szCs w:val="24"/>
          <w:lang w:val="en-IE" w:eastAsia="fr-BE"/>
        </w:rPr>
        <w:t>At present, 15 Member States</w:t>
      </w:r>
      <w:r w:rsidRPr="00532C20">
        <w:rPr>
          <w:rFonts w:ascii="Times New Roman" w:eastAsia="Times" w:hAnsi="Times New Roman" w:cs="Times New Roman"/>
          <w:noProof/>
          <w:sz w:val="24"/>
          <w:szCs w:val="24"/>
          <w:vertAlign w:val="superscript"/>
          <w:lang w:val="en-IE" w:eastAsia="fr-BE"/>
        </w:rPr>
        <w:footnoteReference w:id="42"/>
      </w:r>
      <w:r w:rsidRPr="00532C20">
        <w:rPr>
          <w:rFonts w:ascii="Times New Roman" w:eastAsia="Times" w:hAnsi="Times New Roman" w:cs="Times New Roman"/>
          <w:noProof/>
          <w:sz w:val="24"/>
          <w:szCs w:val="24"/>
          <w:lang w:val="en-IE" w:eastAsia="fr-BE"/>
        </w:rPr>
        <w:t xml:space="preserve"> regulate the transparency of interest representation activities and have a transparency register on interest representation activities, albeit only at sub-national level for some</w:t>
      </w:r>
      <w:r w:rsidRPr="00532C20">
        <w:rPr>
          <w:rStyle w:val="FootnoteReference"/>
          <w:rFonts w:ascii="Times New Roman" w:eastAsia="Times" w:hAnsi="Times New Roman" w:cs="Times New Roman"/>
          <w:noProof/>
          <w:sz w:val="24"/>
          <w:szCs w:val="24"/>
          <w:lang w:val="en-IE" w:eastAsia="fr-BE"/>
        </w:rPr>
        <w:footnoteReference w:id="43"/>
      </w:r>
      <w:r w:rsidRPr="00532C20">
        <w:rPr>
          <w:rFonts w:ascii="Times New Roman" w:eastAsia="Times" w:hAnsi="Times New Roman" w:cs="Times New Roman"/>
          <w:noProof/>
          <w:sz w:val="24"/>
          <w:szCs w:val="24"/>
          <w:lang w:val="en-IE" w:eastAsia="fr-BE"/>
        </w:rPr>
        <w:t xml:space="preserve">. </w:t>
      </w:r>
      <w:r w:rsidR="0020137F" w:rsidRPr="00532C20">
        <w:rPr>
          <w:rFonts w:ascii="Times New Roman" w:eastAsia="Times" w:hAnsi="Times New Roman" w:cs="Times New Roman"/>
          <w:noProof/>
          <w:sz w:val="24"/>
          <w:szCs w:val="24"/>
          <w:lang w:val="en-IE" w:eastAsia="fr-BE"/>
        </w:rPr>
        <w:t>In those Member States, where such a regulatory framework exists, it is highly fragmented across the EU</w:t>
      </w:r>
      <w:r w:rsidRPr="00532C20">
        <w:rPr>
          <w:rStyle w:val="FootnoteReference"/>
          <w:rFonts w:ascii="Times New Roman" w:eastAsia="Times New Roman" w:hAnsi="Times New Roman" w:cs="Times New Roman"/>
          <w:noProof/>
          <w:sz w:val="24"/>
          <w:szCs w:val="24"/>
          <w:lang w:val="en-IE"/>
        </w:rPr>
        <w:footnoteReference w:id="44"/>
      </w:r>
      <w:r w:rsidR="002C065A" w:rsidRPr="00532C20">
        <w:rPr>
          <w:rFonts w:ascii="Times New Roman" w:eastAsia="Times" w:hAnsi="Times New Roman" w:cs="Times New Roman"/>
          <w:noProof/>
          <w:sz w:val="24"/>
          <w:szCs w:val="24"/>
          <w:lang w:val="en-IE" w:eastAsia="fr-BE"/>
        </w:rPr>
        <w:t xml:space="preserve">, and </w:t>
      </w:r>
      <w:r w:rsidR="00B36716" w:rsidRPr="00532C20">
        <w:rPr>
          <w:rFonts w:ascii="Times New Roman" w:eastAsia="Times" w:hAnsi="Times New Roman" w:cs="Times New Roman"/>
          <w:noProof/>
          <w:sz w:val="24"/>
          <w:szCs w:val="24"/>
          <w:lang w:val="en-IE" w:eastAsia="fr-BE"/>
        </w:rPr>
        <w:t>only 9 of those Member States impose a specific legal obligation to register before carrying out interest representation activities</w:t>
      </w:r>
      <w:r w:rsidR="00B36716" w:rsidRPr="00532C20">
        <w:rPr>
          <w:rStyle w:val="FootnoteReference"/>
          <w:rFonts w:ascii="Times New Roman" w:eastAsia="Times" w:hAnsi="Times New Roman" w:cs="Times New Roman"/>
          <w:noProof/>
          <w:sz w:val="24"/>
          <w:szCs w:val="24"/>
          <w:lang w:val="en-IE" w:eastAsia="fr-BE"/>
        </w:rPr>
        <w:footnoteReference w:id="45"/>
      </w:r>
      <w:r w:rsidRPr="00532C20">
        <w:rPr>
          <w:rFonts w:ascii="Times New Roman" w:eastAsia="Times" w:hAnsi="Times New Roman" w:cs="Times New Roman"/>
          <w:noProof/>
          <w:sz w:val="24"/>
          <w:szCs w:val="24"/>
          <w:lang w:val="en-IE" w:eastAsia="fr-BE"/>
        </w:rPr>
        <w:t xml:space="preserve">. </w:t>
      </w:r>
      <w:r w:rsidR="001B626F" w:rsidRPr="00532C20">
        <w:rPr>
          <w:rFonts w:ascii="Times New Roman" w:eastAsia="Times New Roman" w:hAnsi="Times New Roman" w:cs="Times New Roman"/>
          <w:noProof/>
          <w:sz w:val="24"/>
          <w:szCs w:val="24"/>
          <w:lang w:val="en-IE"/>
        </w:rPr>
        <w:t>Conversely,</w:t>
      </w:r>
      <w:r w:rsidR="001B626F" w:rsidRPr="00532C20">
        <w:rPr>
          <w:rFonts w:ascii="Times New Roman" w:eastAsia="Calibri" w:hAnsi="Times New Roman" w:cs="Times New Roman"/>
          <w:noProof/>
          <w:sz w:val="24"/>
          <w:szCs w:val="24"/>
          <w:lang w:val="en-IE"/>
        </w:rPr>
        <w:t xml:space="preserve"> 12 Member States do not regulate the transparency of interest representation activities</w:t>
      </w:r>
      <w:r w:rsidR="001B626F" w:rsidRPr="00532C20">
        <w:rPr>
          <w:rFonts w:ascii="Times New Roman" w:eastAsia="Calibri" w:hAnsi="Times New Roman" w:cs="Times New Roman"/>
          <w:noProof/>
          <w:sz w:val="24"/>
          <w:szCs w:val="24"/>
          <w:vertAlign w:val="superscript"/>
          <w:lang w:val="en-IE"/>
        </w:rPr>
        <w:footnoteReference w:id="46"/>
      </w:r>
      <w:r w:rsidR="001B626F" w:rsidRPr="00532C20">
        <w:rPr>
          <w:rFonts w:ascii="Times New Roman" w:eastAsia="Calibri" w:hAnsi="Times New Roman" w:cs="Times New Roman"/>
          <w:noProof/>
          <w:sz w:val="24"/>
          <w:szCs w:val="24"/>
          <w:lang w:val="en-IE"/>
        </w:rPr>
        <w:t>.</w:t>
      </w:r>
    </w:p>
    <w:p w14:paraId="3C764772" w14:textId="232D6E47" w:rsidR="0020137F" w:rsidRPr="00532C20" w:rsidRDefault="0020137F" w:rsidP="00F23D33">
      <w:pPr>
        <w:pBdr>
          <w:top w:val="single" w:sz="4" w:space="1" w:color="auto"/>
          <w:left w:val="single" w:sz="4" w:space="4" w:color="auto"/>
          <w:bottom w:val="single" w:sz="4" w:space="1" w:color="auto"/>
          <w:right w:val="single" w:sz="4" w:space="4" w:color="auto"/>
        </w:pBdr>
        <w:spacing w:after="0" w:line="240" w:lineRule="auto"/>
        <w:jc w:val="both"/>
        <w:textAlignment w:val="baseline"/>
        <w:rPr>
          <w:rFonts w:ascii="Times New Roman" w:eastAsia="Times New Roman" w:hAnsi="Times New Roman" w:cs="Times New Roman"/>
          <w:b/>
          <w:bCs/>
          <w:noProof/>
          <w:lang w:val="en-IE"/>
        </w:rPr>
      </w:pPr>
      <w:r w:rsidRPr="00532C20">
        <w:rPr>
          <w:rFonts w:ascii="Times New Roman" w:eastAsia="Times New Roman" w:hAnsi="Times New Roman" w:cs="Times New Roman"/>
          <w:b/>
          <w:bCs/>
          <w:noProof/>
          <w:lang w:val="en-IE"/>
        </w:rPr>
        <w:t>Fragmentation of the internal market for interest r</w:t>
      </w:r>
      <w:r w:rsidR="00785895" w:rsidRPr="00532C20">
        <w:rPr>
          <w:rFonts w:ascii="Times New Roman" w:eastAsia="Times New Roman" w:hAnsi="Times New Roman" w:cs="Times New Roman"/>
          <w:b/>
          <w:bCs/>
          <w:noProof/>
          <w:lang w:val="en-IE"/>
        </w:rPr>
        <w:t xml:space="preserve">epresentation </w:t>
      </w:r>
      <w:r w:rsidR="00F335D8" w:rsidRPr="00532C20">
        <w:rPr>
          <w:rFonts w:ascii="Times New Roman" w:eastAsia="Times New Roman" w:hAnsi="Times New Roman" w:cs="Times New Roman"/>
          <w:b/>
          <w:bCs/>
          <w:noProof/>
          <w:lang w:val="en-IE"/>
        </w:rPr>
        <w:t>activities</w:t>
      </w:r>
      <w:r w:rsidR="00785895" w:rsidRPr="00532C20">
        <w:rPr>
          <w:rFonts w:ascii="Times New Roman" w:eastAsia="Times New Roman" w:hAnsi="Times New Roman" w:cs="Times New Roman"/>
          <w:b/>
          <w:bCs/>
          <w:noProof/>
          <w:lang w:val="en-IE"/>
        </w:rPr>
        <w:t>.</w:t>
      </w:r>
    </w:p>
    <w:p w14:paraId="352B5597" w14:textId="763FFC55" w:rsidR="009B4A6D" w:rsidRPr="00532C20" w:rsidRDefault="009B4A6D" w:rsidP="009D4675">
      <w:pPr>
        <w:pBdr>
          <w:top w:val="single" w:sz="4" w:space="1" w:color="auto"/>
          <w:left w:val="single" w:sz="4" w:space="4" w:color="auto"/>
          <w:bottom w:val="single" w:sz="4" w:space="1" w:color="auto"/>
          <w:right w:val="single" w:sz="4" w:space="4" w:color="auto"/>
        </w:pBdr>
        <w:spacing w:after="120" w:line="240" w:lineRule="auto"/>
        <w:jc w:val="both"/>
        <w:textAlignment w:val="baseline"/>
        <w:rPr>
          <w:rFonts w:ascii="Times New Roman" w:eastAsia="Times" w:hAnsi="Times New Roman" w:cs="Times New Roman"/>
          <w:noProof/>
          <w:lang w:val="en-IE" w:eastAsia="fr-BE"/>
        </w:rPr>
      </w:pPr>
      <w:r w:rsidRPr="00532C20">
        <w:rPr>
          <w:rFonts w:ascii="Times New Roman" w:eastAsia="Times New Roman" w:hAnsi="Times New Roman" w:cs="Times New Roman"/>
          <w:noProof/>
          <w:lang w:val="en-IE"/>
        </w:rPr>
        <w:t xml:space="preserve">The </w:t>
      </w:r>
      <w:r w:rsidRPr="00532C20">
        <w:rPr>
          <w:rFonts w:ascii="Times New Roman" w:eastAsia="Times New Roman" w:hAnsi="Times New Roman" w:cs="Times New Roman"/>
          <w:b/>
          <w:bCs/>
          <w:i/>
          <w:iCs/>
          <w:noProof/>
          <w:lang w:val="en-IE"/>
        </w:rPr>
        <w:t>definition</w:t>
      </w:r>
      <w:r w:rsidRPr="00532C20">
        <w:rPr>
          <w:rFonts w:ascii="Times New Roman" w:eastAsia="Times New Roman" w:hAnsi="Times New Roman" w:cs="Times New Roman"/>
          <w:noProof/>
          <w:lang w:val="en-IE"/>
        </w:rPr>
        <w:t xml:space="preserve"> of interest representation activities</w:t>
      </w:r>
      <w:r w:rsidR="00BF1AAA" w:rsidRPr="00532C20">
        <w:rPr>
          <w:rFonts w:ascii="Times New Roman" w:eastAsia="Times New Roman" w:hAnsi="Times New Roman" w:cs="Times New Roman"/>
          <w:noProof/>
          <w:vertAlign w:val="superscript"/>
          <w:lang w:val="en-IE"/>
        </w:rPr>
        <w:footnoteReference w:id="47"/>
      </w:r>
      <w:r w:rsidR="00BF1AAA" w:rsidRPr="00532C20">
        <w:rPr>
          <w:rFonts w:ascii="Times New Roman" w:eastAsia="Times" w:hAnsi="Times New Roman" w:cs="Times New Roman"/>
          <w:noProof/>
          <w:lang w:val="en-IE" w:eastAsia="en-IE"/>
        </w:rPr>
        <w:t>,</w:t>
      </w:r>
      <w:r w:rsidRPr="00532C20">
        <w:rPr>
          <w:rFonts w:ascii="Times New Roman" w:eastAsia="Times New Roman" w:hAnsi="Times New Roman" w:cs="Times New Roman"/>
          <w:noProof/>
          <w:lang w:val="en-IE"/>
        </w:rPr>
        <w:t xml:space="preserve"> and </w:t>
      </w:r>
      <w:r w:rsidR="00647DEF" w:rsidRPr="00532C20">
        <w:rPr>
          <w:rFonts w:ascii="Times New Roman" w:eastAsia="Times New Roman" w:hAnsi="Times New Roman" w:cs="Times New Roman"/>
          <w:noProof/>
          <w:lang w:val="en-IE"/>
        </w:rPr>
        <w:t xml:space="preserve">the </w:t>
      </w:r>
      <w:r w:rsidRPr="00532C20">
        <w:rPr>
          <w:rFonts w:ascii="Times New Roman" w:eastAsia="Times New Roman" w:hAnsi="Times New Roman" w:cs="Times New Roman"/>
          <w:b/>
          <w:bCs/>
          <w:i/>
          <w:iCs/>
          <w:noProof/>
          <w:lang w:val="en-IE"/>
        </w:rPr>
        <w:t>scope</w:t>
      </w:r>
      <w:r w:rsidRPr="00532C20">
        <w:rPr>
          <w:rFonts w:ascii="Times New Roman" w:eastAsia="Times New Roman" w:hAnsi="Times New Roman" w:cs="Times New Roman"/>
          <w:noProof/>
          <w:lang w:val="en-IE"/>
        </w:rPr>
        <w:t xml:space="preserve"> of the entities and activities covered differ widely</w:t>
      </w:r>
      <w:r w:rsidRPr="00532C20">
        <w:rPr>
          <w:rFonts w:ascii="Times New Roman" w:eastAsia="Times" w:hAnsi="Times New Roman" w:cs="Times New Roman"/>
          <w:noProof/>
          <w:lang w:val="en-IE" w:eastAsia="en-IE"/>
        </w:rPr>
        <w:t xml:space="preserve"> leading to gaps in entities and activities covered. </w:t>
      </w:r>
      <w:r w:rsidRPr="00532C20">
        <w:rPr>
          <w:rFonts w:ascii="Times New Roman" w:eastAsia="Calibri" w:hAnsi="Times New Roman" w:cs="Times New Roman"/>
          <w:noProof/>
          <w:lang w:val="en-IE" w:eastAsia="en-IE"/>
        </w:rPr>
        <w:t>The actors required to register are usually formulated in general terms across Member States</w:t>
      </w:r>
      <w:r w:rsidRPr="00532C20">
        <w:rPr>
          <w:rFonts w:ascii="Times New Roman" w:eastAsia="Calibri" w:hAnsi="Times New Roman" w:cs="Times New Roman"/>
          <w:noProof/>
          <w:vertAlign w:val="superscript"/>
          <w:lang w:val="en-IE" w:eastAsia="en-IE"/>
        </w:rPr>
        <w:footnoteReference w:id="48"/>
      </w:r>
      <w:r w:rsidRPr="00532C20">
        <w:rPr>
          <w:rFonts w:ascii="Times New Roman" w:eastAsia="Calibri" w:hAnsi="Times New Roman" w:cs="Times New Roman"/>
          <w:noProof/>
          <w:lang w:val="en-IE" w:eastAsia="en-IE"/>
        </w:rPr>
        <w:t xml:space="preserve">, with natural and legal persons conducting interest representation activities having an obligation to register themselves. In </w:t>
      </w:r>
      <w:r w:rsidR="00F42F39" w:rsidRPr="00532C20">
        <w:rPr>
          <w:rFonts w:ascii="Times New Roman" w:eastAsia="Calibri" w:hAnsi="Times New Roman" w:cs="Times New Roman"/>
          <w:noProof/>
          <w:lang w:val="en-IE" w:eastAsia="en-IE"/>
        </w:rPr>
        <w:t>5</w:t>
      </w:r>
      <w:r w:rsidRPr="00532C20">
        <w:rPr>
          <w:rFonts w:ascii="Times New Roman" w:eastAsia="Calibri" w:hAnsi="Times New Roman" w:cs="Times New Roman"/>
          <w:noProof/>
          <w:lang w:val="en-IE" w:eastAsia="en-IE"/>
        </w:rPr>
        <w:t xml:space="preserve"> Member States,</w:t>
      </w:r>
      <w:r w:rsidRPr="00532C20">
        <w:rPr>
          <w:rFonts w:ascii="Times New Roman" w:eastAsia="Times" w:hAnsi="Times New Roman" w:cs="Times New Roman"/>
          <w:noProof/>
          <w:lang w:val="en-IE" w:eastAsia="fr-BE"/>
        </w:rPr>
        <w:t xml:space="preserve"> more precise rules exist on the personal scope for registering</w:t>
      </w:r>
      <w:r w:rsidRPr="00532C20">
        <w:rPr>
          <w:rFonts w:ascii="Times New Roman" w:eastAsia="Calibri" w:hAnsi="Times New Roman" w:cs="Times New Roman"/>
          <w:noProof/>
          <w:vertAlign w:val="superscript"/>
          <w:lang w:val="en-IE" w:eastAsia="en-IE"/>
        </w:rPr>
        <w:footnoteReference w:id="49"/>
      </w:r>
      <w:r w:rsidRPr="00532C20">
        <w:rPr>
          <w:rFonts w:ascii="Times New Roman" w:eastAsia="Times" w:hAnsi="Times New Roman" w:cs="Times New Roman"/>
          <w:noProof/>
          <w:lang w:val="en-IE" w:eastAsia="fr-BE"/>
        </w:rPr>
        <w:t xml:space="preserve">. </w:t>
      </w:r>
    </w:p>
    <w:p w14:paraId="5FF3CF9B" w14:textId="26B0C871" w:rsidR="009B4A6D" w:rsidRPr="00532C20" w:rsidRDefault="00F42F39" w:rsidP="009D4675">
      <w:pPr>
        <w:pBdr>
          <w:top w:val="single" w:sz="4" w:space="1" w:color="auto"/>
          <w:left w:val="single" w:sz="4" w:space="4" w:color="auto"/>
          <w:bottom w:val="single" w:sz="4" w:space="1" w:color="auto"/>
          <w:right w:val="single" w:sz="4" w:space="4" w:color="auto"/>
        </w:pBdr>
        <w:spacing w:after="120" w:line="240" w:lineRule="auto"/>
        <w:jc w:val="both"/>
        <w:textAlignment w:val="baseline"/>
        <w:rPr>
          <w:rFonts w:ascii="Times New Roman" w:eastAsia="Times New Roman" w:hAnsi="Times New Roman" w:cs="Times New Roman"/>
          <w:noProof/>
          <w:lang w:val="en-IE" w:eastAsia="en-GB"/>
        </w:rPr>
      </w:pPr>
      <w:r w:rsidRPr="00532C20">
        <w:rPr>
          <w:rFonts w:ascii="Times New Roman" w:eastAsia="Times" w:hAnsi="Times New Roman" w:cs="Times New Roman"/>
          <w:noProof/>
          <w:lang w:val="en-IE" w:eastAsia="en-GB"/>
        </w:rPr>
        <w:t>10</w:t>
      </w:r>
      <w:r w:rsidR="009B4A6D" w:rsidRPr="00532C20">
        <w:rPr>
          <w:rFonts w:ascii="Times New Roman" w:eastAsia="Times" w:hAnsi="Times New Roman" w:cs="Times New Roman"/>
          <w:noProof/>
          <w:lang w:val="en-IE" w:eastAsia="en-GB"/>
        </w:rPr>
        <w:t xml:space="preserve"> Member States</w:t>
      </w:r>
      <w:r w:rsidR="009B4A6D" w:rsidRPr="00532C20">
        <w:rPr>
          <w:rFonts w:ascii="Times New Roman" w:eastAsia="Times" w:hAnsi="Times New Roman" w:cs="Times New Roman"/>
          <w:noProof/>
          <w:vertAlign w:val="superscript"/>
          <w:lang w:val="en-IE" w:eastAsia="en-GB"/>
        </w:rPr>
        <w:footnoteReference w:id="50"/>
      </w:r>
      <w:r w:rsidR="009B4A6D" w:rsidRPr="00532C20">
        <w:rPr>
          <w:rFonts w:ascii="Times New Roman" w:eastAsia="Times" w:hAnsi="Times New Roman" w:cs="Times New Roman"/>
          <w:noProof/>
          <w:lang w:val="en-IE" w:eastAsia="en-GB"/>
        </w:rPr>
        <w:t xml:space="preserve"> do not have any </w:t>
      </w:r>
      <w:r w:rsidR="009B4A6D" w:rsidRPr="00532C20">
        <w:rPr>
          <w:rFonts w:ascii="Times New Roman" w:eastAsia="Times" w:hAnsi="Times New Roman" w:cs="Times New Roman"/>
          <w:b/>
          <w:bCs/>
          <w:i/>
          <w:iCs/>
          <w:noProof/>
          <w:lang w:val="en-IE" w:eastAsia="en-GB"/>
        </w:rPr>
        <w:t>thresholds</w:t>
      </w:r>
      <w:r w:rsidR="009B4A6D" w:rsidRPr="00532C20">
        <w:rPr>
          <w:rFonts w:ascii="Times New Roman" w:eastAsia="Times" w:hAnsi="Times New Roman" w:cs="Times New Roman"/>
          <w:noProof/>
          <w:lang w:val="en-IE" w:eastAsia="en-GB"/>
        </w:rPr>
        <w:t xml:space="preserve"> in place </w:t>
      </w:r>
      <w:r w:rsidR="009B4A6D" w:rsidRPr="00532C20">
        <w:rPr>
          <w:rFonts w:ascii="Times New Roman" w:eastAsia="Times" w:hAnsi="Times New Roman" w:cs="Times New Roman"/>
          <w:b/>
          <w:bCs/>
          <w:i/>
          <w:iCs/>
          <w:noProof/>
          <w:lang w:val="en-IE" w:eastAsia="en-GB"/>
        </w:rPr>
        <w:t>for registration</w:t>
      </w:r>
      <w:r w:rsidR="009B4A6D" w:rsidRPr="00532C20">
        <w:rPr>
          <w:rFonts w:ascii="Times New Roman" w:eastAsia="Times" w:hAnsi="Times New Roman" w:cs="Times New Roman"/>
          <w:noProof/>
          <w:lang w:val="en-IE" w:eastAsia="en-GB"/>
        </w:rPr>
        <w:t xml:space="preserve">. In </w:t>
      </w:r>
      <w:r w:rsidRPr="00532C20">
        <w:rPr>
          <w:rFonts w:ascii="Times New Roman" w:eastAsia="Times" w:hAnsi="Times New Roman" w:cs="Times New Roman"/>
          <w:noProof/>
          <w:lang w:val="en-IE" w:eastAsia="en-GB"/>
        </w:rPr>
        <w:t>2</w:t>
      </w:r>
      <w:r w:rsidR="009B4A6D" w:rsidRPr="00532C20">
        <w:rPr>
          <w:rFonts w:ascii="Times New Roman" w:eastAsia="Times" w:hAnsi="Times New Roman" w:cs="Times New Roman"/>
          <w:noProof/>
          <w:lang w:val="en-IE" w:eastAsia="en-GB"/>
        </w:rPr>
        <w:t xml:space="preserve"> Member States</w:t>
      </w:r>
      <w:r w:rsidR="009B4A6D" w:rsidRPr="00532C20">
        <w:rPr>
          <w:rFonts w:ascii="Times New Roman" w:eastAsia="Times" w:hAnsi="Times New Roman" w:cs="Times New Roman"/>
          <w:noProof/>
          <w:vertAlign w:val="superscript"/>
          <w:lang w:val="en-IE" w:eastAsia="en-GB"/>
        </w:rPr>
        <w:footnoteReference w:id="51"/>
      </w:r>
      <w:r w:rsidR="009B4A6D" w:rsidRPr="00532C20">
        <w:rPr>
          <w:rFonts w:ascii="Times New Roman" w:eastAsia="Times" w:hAnsi="Times New Roman" w:cs="Times New Roman"/>
          <w:noProof/>
          <w:lang w:val="en-IE" w:eastAsia="en-GB"/>
        </w:rPr>
        <w:t>, thresholds are purely financial, while in the</w:t>
      </w:r>
      <w:r w:rsidR="00A90D63" w:rsidRPr="00532C20">
        <w:rPr>
          <w:rFonts w:ascii="Times New Roman" w:eastAsia="Times" w:hAnsi="Times New Roman" w:cs="Times New Roman"/>
          <w:noProof/>
          <w:lang w:val="en-IE" w:eastAsia="en-GB"/>
        </w:rPr>
        <w:t xml:space="preserve"> 3 </w:t>
      </w:r>
      <w:r w:rsidR="009B4A6D" w:rsidRPr="00532C20">
        <w:rPr>
          <w:rFonts w:ascii="Times New Roman" w:eastAsia="Times" w:hAnsi="Times New Roman" w:cs="Times New Roman"/>
          <w:noProof/>
          <w:lang w:val="en-IE" w:eastAsia="en-GB"/>
        </w:rPr>
        <w:t>others</w:t>
      </w:r>
      <w:r w:rsidR="009B4A6D" w:rsidRPr="00532C20">
        <w:rPr>
          <w:rFonts w:ascii="Times New Roman" w:eastAsia="Times" w:hAnsi="Times New Roman" w:cs="Times New Roman"/>
          <w:noProof/>
          <w:vertAlign w:val="superscript"/>
          <w:lang w:val="en-IE" w:eastAsia="en-GB"/>
        </w:rPr>
        <w:footnoteReference w:id="52"/>
      </w:r>
      <w:r w:rsidR="009B4A6D" w:rsidRPr="00532C20">
        <w:rPr>
          <w:rFonts w:ascii="Times New Roman" w:eastAsia="Times" w:hAnsi="Times New Roman" w:cs="Times New Roman"/>
          <w:noProof/>
          <w:lang w:val="en-IE" w:eastAsia="en-GB"/>
        </w:rPr>
        <w:t>, they are non-financial and based on criteria such as the frequency of contacts, the number of employees, or the time dedicated to lobbying activities.</w:t>
      </w:r>
      <w:r w:rsidR="005977DA" w:rsidRPr="00532C20">
        <w:rPr>
          <w:rFonts w:ascii="Times New Roman" w:eastAsia="Times" w:hAnsi="Times New Roman" w:cs="Times New Roman"/>
          <w:noProof/>
          <w:lang w:val="en-IE" w:eastAsia="en-GB"/>
        </w:rPr>
        <w:t xml:space="preserve"> </w:t>
      </w:r>
      <w:r w:rsidR="009B4A6D" w:rsidRPr="00532C20">
        <w:rPr>
          <w:rFonts w:ascii="Times New Roman" w:eastAsia="Times New Roman" w:hAnsi="Times New Roman" w:cs="Times New Roman"/>
          <w:b/>
          <w:bCs/>
          <w:i/>
          <w:iCs/>
          <w:noProof/>
          <w:lang w:val="en-IE"/>
        </w:rPr>
        <w:t>Record</w:t>
      </w:r>
      <w:r w:rsidR="00D87DD2">
        <w:rPr>
          <w:rFonts w:ascii="Times New Roman" w:eastAsia="Times New Roman" w:hAnsi="Times New Roman" w:cs="Times New Roman"/>
          <w:b/>
          <w:bCs/>
          <w:i/>
          <w:iCs/>
          <w:noProof/>
          <w:lang w:val="en-IE"/>
        </w:rPr>
        <w:t>-</w:t>
      </w:r>
      <w:r w:rsidR="009B4A6D" w:rsidRPr="00532C20">
        <w:rPr>
          <w:rFonts w:ascii="Times New Roman" w:eastAsia="Times New Roman" w:hAnsi="Times New Roman" w:cs="Times New Roman"/>
          <w:b/>
          <w:bCs/>
          <w:i/>
          <w:iCs/>
          <w:noProof/>
          <w:lang w:val="en-IE"/>
        </w:rPr>
        <w:t>keeping</w:t>
      </w:r>
      <w:r w:rsidR="009B4A6D" w:rsidRPr="00532C20">
        <w:rPr>
          <w:rFonts w:ascii="Times New Roman" w:eastAsia="Times New Roman" w:hAnsi="Times New Roman" w:cs="Times New Roman"/>
          <w:noProof/>
          <w:lang w:val="en-IE"/>
        </w:rPr>
        <w:t xml:space="preserve"> obligations also </w:t>
      </w:r>
      <w:r w:rsidR="009B4A6D" w:rsidRPr="00532C20">
        <w:rPr>
          <w:rFonts w:ascii="Times New Roman" w:eastAsia="Times" w:hAnsi="Times New Roman" w:cs="Times New Roman"/>
          <w:noProof/>
          <w:lang w:val="en-IE" w:eastAsia="fr-BE"/>
        </w:rPr>
        <w:t>differ</w:t>
      </w:r>
      <w:r w:rsidR="009B4A6D" w:rsidRPr="00532C20">
        <w:rPr>
          <w:rFonts w:ascii="Times New Roman" w:eastAsia="Times New Roman" w:hAnsi="Times New Roman" w:cs="Times New Roman"/>
          <w:noProof/>
          <w:lang w:val="en-IE"/>
        </w:rPr>
        <w:t xml:space="preserve"> across </w:t>
      </w:r>
      <w:r w:rsidR="00605620" w:rsidRPr="00532C20">
        <w:rPr>
          <w:rFonts w:ascii="Times New Roman" w:eastAsia="Times New Roman" w:hAnsi="Times New Roman" w:cs="Times New Roman"/>
          <w:noProof/>
          <w:lang w:val="en-IE"/>
        </w:rPr>
        <w:t>Member States</w:t>
      </w:r>
      <w:r w:rsidR="005977DA" w:rsidRPr="00532C20">
        <w:rPr>
          <w:rStyle w:val="FootnoteReference"/>
          <w:rFonts w:ascii="Times New Roman" w:eastAsia="Times New Roman" w:hAnsi="Times New Roman" w:cs="Times New Roman"/>
          <w:noProof/>
          <w:lang w:val="en-IE"/>
        </w:rPr>
        <w:footnoteReference w:id="53"/>
      </w:r>
      <w:r w:rsidR="009B4A6D" w:rsidRPr="00532C20">
        <w:rPr>
          <w:rFonts w:ascii="Times New Roman" w:eastAsia="Times New Roman" w:hAnsi="Times New Roman" w:cs="Times New Roman"/>
          <w:noProof/>
          <w:lang w:val="en-IE"/>
        </w:rPr>
        <w:t xml:space="preserve">. </w:t>
      </w:r>
    </w:p>
    <w:p w14:paraId="2770589C" w14:textId="5DFB2561" w:rsidR="009B4A6D" w:rsidRPr="00532C20" w:rsidRDefault="00170011" w:rsidP="009D4675">
      <w:pPr>
        <w:pBdr>
          <w:top w:val="single" w:sz="4" w:space="1" w:color="auto"/>
          <w:left w:val="single" w:sz="4" w:space="4" w:color="auto"/>
          <w:bottom w:val="single" w:sz="4" w:space="1" w:color="auto"/>
          <w:right w:val="single" w:sz="4" w:space="4" w:color="auto"/>
        </w:pBdr>
        <w:spacing w:after="120" w:line="240" w:lineRule="auto"/>
        <w:jc w:val="both"/>
        <w:textAlignment w:val="baseline"/>
        <w:rPr>
          <w:rFonts w:ascii="Times New Roman" w:eastAsia="Times" w:hAnsi="Times New Roman" w:cs="Times New Roman"/>
          <w:noProof/>
          <w:lang w:val="en-IE" w:eastAsia="fr-BE"/>
        </w:rPr>
      </w:pPr>
      <w:r w:rsidRPr="00532C20">
        <w:rPr>
          <w:rFonts w:ascii="Times New Roman" w:eastAsia="Times New Roman" w:hAnsi="Times New Roman" w:cs="Times New Roman"/>
          <w:noProof/>
          <w:lang w:val="en-IE"/>
        </w:rPr>
        <w:t>W</w:t>
      </w:r>
      <w:r w:rsidR="009B4A6D" w:rsidRPr="00532C20">
        <w:rPr>
          <w:rFonts w:ascii="Times New Roman" w:eastAsia="Times New Roman" w:hAnsi="Times New Roman" w:cs="Times New Roman"/>
          <w:noProof/>
          <w:lang w:val="en-IE"/>
        </w:rPr>
        <w:t xml:space="preserve">ith regard to </w:t>
      </w:r>
      <w:r w:rsidR="009B4A6D" w:rsidRPr="00532C20">
        <w:rPr>
          <w:rFonts w:ascii="Times New Roman" w:eastAsia="Times New Roman" w:hAnsi="Times New Roman" w:cs="Times New Roman"/>
          <w:b/>
          <w:bCs/>
          <w:i/>
          <w:iCs/>
          <w:noProof/>
          <w:lang w:val="en-IE"/>
        </w:rPr>
        <w:t>supervision, enforcement and sanctions</w:t>
      </w:r>
      <w:r w:rsidR="009B4A6D" w:rsidRPr="00532C20">
        <w:rPr>
          <w:rFonts w:ascii="Times New Roman" w:eastAsia="Times New Roman" w:hAnsi="Times New Roman" w:cs="Times New Roman"/>
          <w:noProof/>
          <w:lang w:val="en-IE"/>
        </w:rPr>
        <w:t xml:space="preserve">, </w:t>
      </w:r>
      <w:r w:rsidRPr="00532C20">
        <w:rPr>
          <w:rFonts w:ascii="Times New Roman" w:eastAsia="Times New Roman" w:hAnsi="Times New Roman" w:cs="Times New Roman"/>
          <w:noProof/>
          <w:lang w:val="en-IE"/>
        </w:rPr>
        <w:t>i</w:t>
      </w:r>
      <w:r w:rsidR="009B4A6D" w:rsidRPr="00532C20">
        <w:rPr>
          <w:rFonts w:ascii="Times New Roman" w:eastAsia="Times" w:hAnsi="Times New Roman" w:cs="Times New Roman"/>
          <w:noProof/>
          <w:lang w:val="en-IE" w:eastAsia="en-GB"/>
        </w:rPr>
        <w:t xml:space="preserve">n </w:t>
      </w:r>
      <w:r w:rsidR="00F23D33" w:rsidRPr="00532C20">
        <w:rPr>
          <w:rFonts w:ascii="Times New Roman" w:eastAsia="Times" w:hAnsi="Times New Roman" w:cs="Times New Roman"/>
          <w:noProof/>
          <w:lang w:val="en-IE" w:eastAsia="en-GB"/>
        </w:rPr>
        <w:t xml:space="preserve">9 </w:t>
      </w:r>
      <w:r w:rsidR="009B4A6D" w:rsidRPr="00532C20">
        <w:rPr>
          <w:rFonts w:ascii="Times New Roman" w:eastAsia="Times" w:hAnsi="Times New Roman" w:cs="Times New Roman"/>
          <w:noProof/>
          <w:lang w:val="en-IE" w:eastAsia="en-GB"/>
        </w:rPr>
        <w:t>Member States</w:t>
      </w:r>
      <w:r w:rsidR="009B4A6D" w:rsidRPr="00532C20">
        <w:rPr>
          <w:rFonts w:ascii="Times New Roman" w:eastAsia="Times" w:hAnsi="Times New Roman" w:cs="Times New Roman"/>
          <w:noProof/>
          <w:vertAlign w:val="superscript"/>
          <w:lang w:val="en-IE" w:eastAsia="en-GB"/>
        </w:rPr>
        <w:footnoteReference w:id="54"/>
      </w:r>
      <w:r w:rsidR="009B4A6D" w:rsidRPr="00532C20">
        <w:rPr>
          <w:rFonts w:ascii="Times New Roman" w:eastAsia="Times" w:hAnsi="Times New Roman" w:cs="Times New Roman"/>
          <w:noProof/>
          <w:lang w:val="en-IE" w:eastAsia="en-GB"/>
        </w:rPr>
        <w:t xml:space="preserve">, the registers are supervised by an independent authority. </w:t>
      </w:r>
      <w:r w:rsidR="00CF33F8" w:rsidRPr="00532C20">
        <w:rPr>
          <w:rFonts w:ascii="Times New Roman" w:eastAsia="Times" w:hAnsi="Times New Roman" w:cs="Times New Roman"/>
          <w:noProof/>
          <w:lang w:val="en-IE" w:eastAsia="en-GB"/>
        </w:rPr>
        <w:t>3</w:t>
      </w:r>
      <w:r w:rsidR="009B4A6D" w:rsidRPr="00532C20">
        <w:rPr>
          <w:rFonts w:ascii="Times New Roman" w:eastAsia="Times" w:hAnsi="Times New Roman" w:cs="Times New Roman"/>
          <w:noProof/>
          <w:lang w:val="en-IE" w:eastAsia="en-GB"/>
        </w:rPr>
        <w:t xml:space="preserve"> other Member States</w:t>
      </w:r>
      <w:r w:rsidR="009B4A6D" w:rsidRPr="00532C20">
        <w:rPr>
          <w:rFonts w:ascii="Times New Roman" w:eastAsia="Times" w:hAnsi="Times New Roman" w:cs="Times New Roman"/>
          <w:noProof/>
          <w:vertAlign w:val="superscript"/>
          <w:lang w:val="en-IE" w:eastAsia="en-GB"/>
        </w:rPr>
        <w:footnoteReference w:id="55"/>
      </w:r>
      <w:r w:rsidR="009B4A6D" w:rsidRPr="00532C20">
        <w:rPr>
          <w:rFonts w:ascii="Times New Roman" w:eastAsia="Times" w:hAnsi="Times New Roman" w:cs="Times New Roman"/>
          <w:noProof/>
          <w:lang w:val="en-IE" w:eastAsia="en-GB"/>
        </w:rPr>
        <w:t xml:space="preserve"> tasked their government with this supervision, while</w:t>
      </w:r>
      <w:r w:rsidR="00A90D63" w:rsidRPr="00532C20">
        <w:rPr>
          <w:rFonts w:ascii="Times New Roman" w:eastAsia="Times" w:hAnsi="Times New Roman" w:cs="Times New Roman"/>
          <w:noProof/>
          <w:lang w:val="en-IE" w:eastAsia="en-GB"/>
        </w:rPr>
        <w:t xml:space="preserve"> 3 </w:t>
      </w:r>
      <w:r w:rsidR="009B4A6D" w:rsidRPr="00532C20">
        <w:rPr>
          <w:rFonts w:ascii="Times New Roman" w:eastAsia="Times" w:hAnsi="Times New Roman" w:cs="Times New Roman"/>
          <w:noProof/>
          <w:lang w:val="en-IE" w:eastAsia="en-GB"/>
        </w:rPr>
        <w:t>others</w:t>
      </w:r>
      <w:r w:rsidR="009B4A6D" w:rsidRPr="00532C20">
        <w:rPr>
          <w:rFonts w:ascii="Times New Roman" w:eastAsia="Times" w:hAnsi="Times New Roman" w:cs="Times New Roman"/>
          <w:noProof/>
          <w:vertAlign w:val="superscript"/>
          <w:lang w:val="en-IE" w:eastAsia="en-GB"/>
        </w:rPr>
        <w:footnoteReference w:id="56"/>
      </w:r>
      <w:r w:rsidR="009B4A6D" w:rsidRPr="00532C20">
        <w:rPr>
          <w:rFonts w:ascii="Times New Roman" w:eastAsia="Times" w:hAnsi="Times New Roman" w:cs="Times New Roman"/>
          <w:noProof/>
          <w:lang w:val="en-IE" w:eastAsia="en-GB"/>
        </w:rPr>
        <w:t xml:space="preserve"> tasked their parliament.</w:t>
      </w:r>
      <w:r w:rsidR="009B4A6D" w:rsidRPr="00532C20">
        <w:rPr>
          <w:rFonts w:ascii="Times New Roman" w:eastAsia="Times New Roman" w:hAnsi="Times New Roman" w:cs="Times New Roman"/>
          <w:noProof/>
          <w:lang w:val="en-IE" w:eastAsia="en-GB"/>
        </w:rPr>
        <w:t xml:space="preserve"> All Member States that have a supervisory regime also have sanctions regimes. </w:t>
      </w:r>
      <w:r w:rsidR="008A3AA0" w:rsidRPr="00532C20">
        <w:rPr>
          <w:rFonts w:ascii="Times New Roman" w:eastAsia="Times New Roman" w:hAnsi="Times New Roman" w:cs="Times New Roman"/>
          <w:noProof/>
          <w:lang w:val="en-IE" w:eastAsia="en-GB"/>
        </w:rPr>
        <w:t>Pe</w:t>
      </w:r>
      <w:r w:rsidR="009B4A6D" w:rsidRPr="00532C20">
        <w:rPr>
          <w:rFonts w:ascii="Times New Roman" w:eastAsia="Times New Roman" w:hAnsi="Times New Roman" w:cs="Times New Roman"/>
          <w:noProof/>
          <w:lang w:val="en-IE" w:eastAsia="en-GB"/>
        </w:rPr>
        <w:t>cuniary sanctions</w:t>
      </w:r>
      <w:r w:rsidR="008A3AA0" w:rsidRPr="00532C20">
        <w:rPr>
          <w:rFonts w:ascii="Times New Roman" w:eastAsia="Times New Roman" w:hAnsi="Times New Roman" w:cs="Times New Roman"/>
          <w:noProof/>
          <w:lang w:val="en-IE" w:eastAsia="en-GB"/>
        </w:rPr>
        <w:t xml:space="preserve"> exist in </w:t>
      </w:r>
      <w:r w:rsidR="00F23D33" w:rsidRPr="00532C20">
        <w:rPr>
          <w:rFonts w:ascii="Times New Roman" w:eastAsia="Times New Roman" w:hAnsi="Times New Roman" w:cs="Times New Roman"/>
          <w:noProof/>
          <w:lang w:val="en-IE" w:eastAsia="en-GB"/>
        </w:rPr>
        <w:t xml:space="preserve">10 </w:t>
      </w:r>
      <w:r w:rsidR="008A3AA0" w:rsidRPr="00532C20">
        <w:rPr>
          <w:rFonts w:ascii="Times New Roman" w:eastAsia="Times New Roman" w:hAnsi="Times New Roman" w:cs="Times New Roman"/>
          <w:noProof/>
          <w:lang w:val="en-IE" w:eastAsia="en-GB"/>
        </w:rPr>
        <w:t>Member States</w:t>
      </w:r>
      <w:r w:rsidR="008A3AA0" w:rsidRPr="00532C20">
        <w:rPr>
          <w:rFonts w:ascii="Times New Roman" w:eastAsia="Times New Roman" w:hAnsi="Times New Roman" w:cs="Times New Roman"/>
          <w:noProof/>
          <w:vertAlign w:val="superscript"/>
          <w:lang w:val="en-IE" w:eastAsia="en-GB"/>
        </w:rPr>
        <w:footnoteReference w:id="57"/>
      </w:r>
      <w:r w:rsidR="009B4A6D" w:rsidRPr="00532C20">
        <w:rPr>
          <w:rFonts w:ascii="Times New Roman" w:eastAsia="Times New Roman" w:hAnsi="Times New Roman" w:cs="Times New Roman"/>
          <w:noProof/>
          <w:lang w:val="en-IE" w:eastAsia="en-GB"/>
        </w:rPr>
        <w:t>. In all those Member States, pecuniary sanctions are of an administrative nature, except in France where pecuniary sanctions are of a criminal nature. Criminal sanctions exist in</w:t>
      </w:r>
      <w:r w:rsidR="00EF06C4" w:rsidRPr="00532C20">
        <w:rPr>
          <w:rFonts w:ascii="Times New Roman" w:eastAsia="Times New Roman" w:hAnsi="Times New Roman" w:cs="Times New Roman"/>
          <w:noProof/>
          <w:lang w:val="en-IE" w:eastAsia="en-GB"/>
        </w:rPr>
        <w:t xml:space="preserve"> </w:t>
      </w:r>
      <w:r w:rsidR="009B4A6D" w:rsidRPr="00532C20">
        <w:rPr>
          <w:rFonts w:ascii="Times New Roman" w:eastAsia="Times New Roman" w:hAnsi="Times New Roman" w:cs="Times New Roman"/>
          <w:noProof/>
          <w:lang w:val="en-IE" w:eastAsia="en-GB"/>
        </w:rPr>
        <w:t>Member States</w:t>
      </w:r>
      <w:r w:rsidR="00EF06C4" w:rsidRPr="00532C20">
        <w:rPr>
          <w:rFonts w:ascii="Times New Roman" w:eastAsia="Times New Roman" w:hAnsi="Times New Roman" w:cs="Times New Roman"/>
          <w:noProof/>
          <w:lang w:val="en-IE" w:eastAsia="en-GB"/>
        </w:rPr>
        <w:t xml:space="preserve"> such as France and Ireland</w:t>
      </w:r>
      <w:r w:rsidR="009B4A6D" w:rsidRPr="00532C20">
        <w:rPr>
          <w:rStyle w:val="FootnoteReference"/>
          <w:rFonts w:ascii="Times New Roman" w:eastAsia="Times New Roman" w:hAnsi="Times New Roman" w:cs="Times New Roman"/>
          <w:noProof/>
          <w:lang w:val="en-IE" w:eastAsia="en-GB"/>
        </w:rPr>
        <w:footnoteReference w:id="58"/>
      </w:r>
      <w:r w:rsidR="009B4A6D" w:rsidRPr="00532C20">
        <w:rPr>
          <w:rFonts w:ascii="Times New Roman" w:eastAsia="Times New Roman" w:hAnsi="Times New Roman" w:cs="Times New Roman"/>
          <w:noProof/>
          <w:lang w:val="en-IE" w:eastAsia="en-GB"/>
        </w:rPr>
        <w:t xml:space="preserve">. </w:t>
      </w:r>
      <w:r w:rsidR="009B4A6D" w:rsidRPr="00532C20">
        <w:rPr>
          <w:rFonts w:ascii="Times New Roman" w:eastAsia="Times" w:hAnsi="Times New Roman" w:cs="Times New Roman"/>
          <w:noProof/>
          <w:lang w:val="en-IE" w:eastAsia="fr-BE"/>
        </w:rPr>
        <w:t xml:space="preserve">Suspension or removal from a register is present as an enforcement measure in </w:t>
      </w:r>
      <w:r w:rsidR="00F23D33" w:rsidRPr="00532C20">
        <w:rPr>
          <w:rFonts w:ascii="Times New Roman" w:eastAsia="Times" w:hAnsi="Times New Roman" w:cs="Times New Roman"/>
          <w:noProof/>
          <w:lang w:val="en-IE" w:eastAsia="fr-BE"/>
        </w:rPr>
        <w:t xml:space="preserve">2 </w:t>
      </w:r>
      <w:r w:rsidR="009B4A6D" w:rsidRPr="00532C20">
        <w:rPr>
          <w:rFonts w:ascii="Times New Roman" w:eastAsia="Times" w:hAnsi="Times New Roman" w:cs="Times New Roman"/>
          <w:noProof/>
          <w:lang w:val="en-IE" w:eastAsia="fr-BE"/>
        </w:rPr>
        <w:t>Member States</w:t>
      </w:r>
      <w:r w:rsidR="009B4A6D" w:rsidRPr="00532C20">
        <w:rPr>
          <w:rFonts w:ascii="Times New Roman" w:eastAsia="Times" w:hAnsi="Times New Roman" w:cs="Times New Roman"/>
          <w:noProof/>
          <w:vertAlign w:val="superscript"/>
          <w:lang w:val="en-IE" w:eastAsia="fr-BE"/>
        </w:rPr>
        <w:footnoteReference w:id="59"/>
      </w:r>
      <w:r w:rsidR="009B4A6D" w:rsidRPr="00532C20">
        <w:rPr>
          <w:rFonts w:ascii="Times New Roman" w:eastAsia="Times" w:hAnsi="Times New Roman" w:cs="Times New Roman"/>
          <w:noProof/>
          <w:lang w:val="en-IE" w:eastAsia="fr-BE"/>
        </w:rPr>
        <w:t xml:space="preserve">. </w:t>
      </w:r>
    </w:p>
    <w:p w14:paraId="145D00D1" w14:textId="66ECBE35" w:rsidR="00C86DC6" w:rsidRPr="00532C20" w:rsidRDefault="003605E9" w:rsidP="00294BDC">
      <w:pPr>
        <w:spacing w:after="120" w:line="240" w:lineRule="auto"/>
        <w:jc w:val="both"/>
        <w:rPr>
          <w:rFonts w:ascii="Times New Roman" w:hAnsi="Times New Roman" w:cs="Times New Roman"/>
          <w:b/>
          <w:bCs/>
          <w:noProof/>
          <w:sz w:val="24"/>
          <w:szCs w:val="24"/>
        </w:rPr>
      </w:pPr>
      <w:r w:rsidRPr="00532C20">
        <w:rPr>
          <w:rFonts w:ascii="Times New Roman" w:eastAsia="Times New Roman" w:hAnsi="Times New Roman" w:cs="Times New Roman"/>
          <w:b/>
          <w:bCs/>
          <w:noProof/>
          <w:sz w:val="24"/>
          <w:szCs w:val="24"/>
          <w:lang w:val="en-IE"/>
        </w:rPr>
        <w:t>This fragmentation causes</w:t>
      </w:r>
      <w:r w:rsidR="00E91007" w:rsidRPr="00532C20">
        <w:rPr>
          <w:rFonts w:ascii="Times New Roman" w:eastAsia="Times New Roman" w:hAnsi="Times New Roman" w:cs="Times New Roman"/>
          <w:b/>
          <w:bCs/>
          <w:noProof/>
          <w:sz w:val="24"/>
          <w:szCs w:val="24"/>
          <w:lang w:val="en-IE"/>
        </w:rPr>
        <w:t xml:space="preserve"> several </w:t>
      </w:r>
      <w:r w:rsidR="00C0176C" w:rsidRPr="00532C20">
        <w:rPr>
          <w:rFonts w:ascii="Times New Roman" w:eastAsia="Times New Roman" w:hAnsi="Times New Roman" w:cs="Times New Roman"/>
          <w:b/>
          <w:bCs/>
          <w:noProof/>
          <w:sz w:val="24"/>
          <w:szCs w:val="24"/>
          <w:lang w:val="en-IE"/>
        </w:rPr>
        <w:t xml:space="preserve">obstacles in the </w:t>
      </w:r>
      <w:r w:rsidR="00AA6A4B" w:rsidRPr="00532C20">
        <w:rPr>
          <w:rFonts w:ascii="Times New Roman" w:eastAsia="Times New Roman" w:hAnsi="Times New Roman" w:cs="Times New Roman"/>
          <w:b/>
          <w:bCs/>
          <w:noProof/>
          <w:sz w:val="24"/>
          <w:szCs w:val="24"/>
          <w:lang w:val="en-IE"/>
        </w:rPr>
        <w:t>internal</w:t>
      </w:r>
      <w:r w:rsidR="00C0176C" w:rsidRPr="00532C20">
        <w:rPr>
          <w:rFonts w:ascii="Times New Roman" w:eastAsia="Times New Roman" w:hAnsi="Times New Roman" w:cs="Times New Roman"/>
          <w:b/>
          <w:bCs/>
          <w:noProof/>
          <w:sz w:val="24"/>
          <w:szCs w:val="24"/>
          <w:lang w:val="en-IE"/>
        </w:rPr>
        <w:t xml:space="preserve"> market for interest representation activities</w:t>
      </w:r>
      <w:r w:rsidR="002313E9" w:rsidRPr="00532C20">
        <w:rPr>
          <w:rFonts w:ascii="Times New Roman" w:eastAsia="Times New Roman" w:hAnsi="Times New Roman" w:cs="Times New Roman"/>
          <w:b/>
          <w:bCs/>
          <w:noProof/>
          <w:sz w:val="24"/>
          <w:szCs w:val="24"/>
          <w:lang w:val="en-IE"/>
        </w:rPr>
        <w:t xml:space="preserve"> </w:t>
      </w:r>
      <w:r w:rsidR="00AA6A4B" w:rsidRPr="00532C20">
        <w:rPr>
          <w:rFonts w:ascii="Times New Roman" w:eastAsia="Times New Roman" w:hAnsi="Times New Roman" w:cs="Times New Roman"/>
          <w:b/>
          <w:bCs/>
          <w:noProof/>
          <w:sz w:val="24"/>
          <w:szCs w:val="24"/>
          <w:lang w:val="en-IE"/>
        </w:rPr>
        <w:t xml:space="preserve">carried out on behalf of third countries </w:t>
      </w:r>
      <w:r w:rsidR="002313E9" w:rsidRPr="00532C20">
        <w:rPr>
          <w:rFonts w:ascii="Times New Roman" w:eastAsia="Times New Roman" w:hAnsi="Times New Roman" w:cs="Times New Roman"/>
          <w:b/>
          <w:bCs/>
          <w:noProof/>
          <w:sz w:val="24"/>
          <w:szCs w:val="24"/>
          <w:lang w:val="en-IE"/>
        </w:rPr>
        <w:t xml:space="preserve">that undermine the proper functioning of the internal market. </w:t>
      </w:r>
      <w:r w:rsidR="00EF76C3" w:rsidRPr="00532C20" w:rsidDel="006C6F1A">
        <w:rPr>
          <w:rFonts w:ascii="Times New Roman" w:eastAsia="Times New Roman" w:hAnsi="Times New Roman" w:cs="Times New Roman"/>
          <w:b/>
          <w:bCs/>
          <w:noProof/>
          <w:sz w:val="24"/>
          <w:szCs w:val="24"/>
          <w:lang w:val="en-IE"/>
        </w:rPr>
        <w:t xml:space="preserve"> </w:t>
      </w:r>
    </w:p>
    <w:p w14:paraId="562265AC" w14:textId="0CECF12A" w:rsidR="00E664F7" w:rsidRPr="00532C20" w:rsidRDefault="00D91B01" w:rsidP="00294BDC">
      <w:pPr>
        <w:spacing w:after="120" w:line="240" w:lineRule="auto"/>
        <w:jc w:val="both"/>
        <w:rPr>
          <w:rFonts w:ascii="Times New Roman" w:eastAsia="Times New Roman" w:hAnsi="Times New Roman" w:cs="Times New Roman"/>
          <w:noProof/>
          <w:lang w:val="en-IE"/>
        </w:rPr>
      </w:pPr>
      <w:r w:rsidRPr="00532C20">
        <w:rPr>
          <w:rFonts w:ascii="Times New Roman" w:eastAsia="Times New Roman" w:hAnsi="Times New Roman" w:cs="Times New Roman"/>
          <w:noProof/>
          <w:sz w:val="24"/>
          <w:szCs w:val="24"/>
          <w:lang w:val="en-IE"/>
        </w:rPr>
        <w:t xml:space="preserve">First, </w:t>
      </w:r>
      <w:r w:rsidR="00E40F5D" w:rsidRPr="00532C20">
        <w:rPr>
          <w:rFonts w:ascii="Times New Roman" w:eastAsia="Times New Roman" w:hAnsi="Times New Roman" w:cs="Times New Roman"/>
          <w:noProof/>
          <w:sz w:val="24"/>
          <w:szCs w:val="24"/>
          <w:lang w:val="en-IE"/>
        </w:rPr>
        <w:t xml:space="preserve">there is an </w:t>
      </w:r>
      <w:r w:rsidRPr="00532C20">
        <w:rPr>
          <w:rFonts w:ascii="Times New Roman" w:eastAsia="Times New Roman" w:hAnsi="Times New Roman" w:cs="Times New Roman"/>
          <w:b/>
          <w:bCs/>
          <w:noProof/>
          <w:sz w:val="24"/>
          <w:szCs w:val="24"/>
          <w:lang w:val="en-IE"/>
        </w:rPr>
        <w:t>uneven playing field</w:t>
      </w:r>
      <w:r w:rsidR="006C6F1A" w:rsidRPr="00532C20">
        <w:rPr>
          <w:rFonts w:ascii="Times New Roman" w:eastAsia="Times New Roman" w:hAnsi="Times New Roman" w:cs="Times New Roman"/>
          <w:noProof/>
          <w:sz w:val="24"/>
          <w:szCs w:val="24"/>
          <w:lang w:val="en-IE"/>
        </w:rPr>
        <w:t xml:space="preserve">. </w:t>
      </w:r>
      <w:r w:rsidR="00CF13F2" w:rsidRPr="00532C20">
        <w:rPr>
          <w:rFonts w:ascii="Times New Roman" w:eastAsia="Times New Roman" w:hAnsi="Times New Roman" w:cs="Times New Roman"/>
          <w:noProof/>
          <w:sz w:val="24"/>
          <w:szCs w:val="24"/>
          <w:lang w:val="en-IE"/>
        </w:rPr>
        <w:t xml:space="preserve">Geographically, </w:t>
      </w:r>
      <w:r w:rsidR="00C25CAF" w:rsidRPr="00532C20">
        <w:rPr>
          <w:rFonts w:ascii="Times New Roman" w:eastAsia="Times New Roman" w:hAnsi="Times New Roman" w:cs="Times New Roman"/>
          <w:noProof/>
          <w:sz w:val="24"/>
          <w:szCs w:val="24"/>
          <w:lang w:val="en-IE"/>
        </w:rPr>
        <w:t xml:space="preserve">the transparency of </w:t>
      </w:r>
      <w:r w:rsidR="00FC07F9" w:rsidRPr="00532C20">
        <w:rPr>
          <w:rFonts w:ascii="Times New Roman" w:eastAsia="Times New Roman" w:hAnsi="Times New Roman" w:cs="Times New Roman"/>
          <w:noProof/>
          <w:sz w:val="24"/>
          <w:szCs w:val="24"/>
          <w:lang w:val="en-IE"/>
        </w:rPr>
        <w:t xml:space="preserve">interest representation activities </w:t>
      </w:r>
      <w:r w:rsidR="00C20977" w:rsidRPr="00532C20">
        <w:rPr>
          <w:rFonts w:ascii="Times New Roman" w:eastAsia="Times New Roman" w:hAnsi="Times New Roman" w:cs="Times New Roman"/>
          <w:noProof/>
          <w:sz w:val="24"/>
          <w:szCs w:val="24"/>
          <w:lang w:val="en-IE"/>
        </w:rPr>
        <w:t>is</w:t>
      </w:r>
      <w:r w:rsidR="00FC07F9" w:rsidRPr="00532C20">
        <w:rPr>
          <w:rFonts w:ascii="Times New Roman" w:eastAsia="Times New Roman" w:hAnsi="Times New Roman" w:cs="Times New Roman"/>
          <w:noProof/>
          <w:sz w:val="24"/>
          <w:szCs w:val="24"/>
          <w:lang w:val="en-IE"/>
        </w:rPr>
        <w:t xml:space="preserve"> regulated differently </w:t>
      </w:r>
      <w:r w:rsidR="0040656F" w:rsidRPr="00532C20">
        <w:rPr>
          <w:rFonts w:ascii="Times New Roman" w:eastAsia="Times New Roman" w:hAnsi="Times New Roman" w:cs="Times New Roman"/>
          <w:noProof/>
          <w:sz w:val="24"/>
          <w:szCs w:val="24"/>
          <w:lang w:val="en-IE"/>
        </w:rPr>
        <w:t>in different Member States. T</w:t>
      </w:r>
      <w:r w:rsidRPr="00532C20">
        <w:rPr>
          <w:rFonts w:ascii="Times New Roman" w:eastAsia="Times New Roman" w:hAnsi="Times New Roman" w:cs="Times New Roman"/>
          <w:noProof/>
          <w:sz w:val="24"/>
          <w:szCs w:val="24"/>
          <w:lang w:val="en-IE"/>
        </w:rPr>
        <w:t>h</w:t>
      </w:r>
      <w:r w:rsidR="0040656F" w:rsidRPr="00532C20">
        <w:rPr>
          <w:rFonts w:ascii="Times New Roman" w:eastAsia="Times New Roman" w:hAnsi="Times New Roman" w:cs="Times New Roman"/>
          <w:noProof/>
          <w:sz w:val="24"/>
          <w:szCs w:val="24"/>
          <w:lang w:val="en-IE"/>
        </w:rPr>
        <w:t>is</w:t>
      </w:r>
      <w:r w:rsidR="00CF13F2" w:rsidRPr="00532C20">
        <w:rPr>
          <w:rFonts w:ascii="Times New Roman" w:eastAsia="Times New Roman" w:hAnsi="Times New Roman" w:cs="Times New Roman"/>
          <w:noProof/>
          <w:sz w:val="24"/>
          <w:szCs w:val="24"/>
          <w:lang w:val="en-IE"/>
        </w:rPr>
        <w:t xml:space="preserve"> </w:t>
      </w:r>
      <w:r w:rsidRPr="00532C20">
        <w:rPr>
          <w:rFonts w:ascii="Times New Roman" w:eastAsia="Times New Roman" w:hAnsi="Times New Roman" w:cs="Times New Roman"/>
          <w:noProof/>
          <w:sz w:val="24"/>
          <w:szCs w:val="24"/>
          <w:lang w:val="en-IE"/>
        </w:rPr>
        <w:t xml:space="preserve">regulatory fragmentation results </w:t>
      </w:r>
      <w:r w:rsidR="00612242" w:rsidRPr="00532C20">
        <w:rPr>
          <w:rFonts w:ascii="Times New Roman" w:eastAsia="Times New Roman" w:hAnsi="Times New Roman" w:cs="Times New Roman"/>
          <w:noProof/>
          <w:sz w:val="24"/>
          <w:szCs w:val="24"/>
          <w:lang w:val="en-IE"/>
        </w:rPr>
        <w:t>in</w:t>
      </w:r>
      <w:r w:rsidRPr="00532C20">
        <w:rPr>
          <w:rFonts w:ascii="Times New Roman" w:eastAsia="Times New Roman" w:hAnsi="Times New Roman" w:cs="Times New Roman"/>
          <w:noProof/>
          <w:sz w:val="24"/>
          <w:szCs w:val="24"/>
          <w:lang w:val="en-IE"/>
        </w:rPr>
        <w:t xml:space="preserve"> a landscape in which interest representation activities are costly and complex </w:t>
      </w:r>
      <w:r w:rsidR="0040656F" w:rsidRPr="00532C20">
        <w:rPr>
          <w:rFonts w:ascii="Times New Roman" w:eastAsia="Times New Roman" w:hAnsi="Times New Roman" w:cs="Times New Roman"/>
          <w:noProof/>
          <w:sz w:val="24"/>
          <w:szCs w:val="24"/>
          <w:lang w:val="en-IE"/>
        </w:rPr>
        <w:t>to perform</w:t>
      </w:r>
      <w:r w:rsidRPr="00532C20">
        <w:rPr>
          <w:rFonts w:ascii="Times New Roman" w:eastAsia="Times New Roman" w:hAnsi="Times New Roman" w:cs="Times New Roman"/>
          <w:noProof/>
          <w:sz w:val="24"/>
          <w:szCs w:val="24"/>
          <w:lang w:val="en-IE"/>
        </w:rPr>
        <w:t xml:space="preserve"> </w:t>
      </w:r>
      <w:r w:rsidR="00B333C7" w:rsidRPr="00532C20">
        <w:rPr>
          <w:rFonts w:ascii="Times New Roman" w:eastAsia="Times New Roman" w:hAnsi="Times New Roman" w:cs="Times New Roman"/>
          <w:noProof/>
          <w:sz w:val="24"/>
          <w:szCs w:val="24"/>
          <w:lang w:val="en-IE"/>
        </w:rPr>
        <w:t xml:space="preserve">in some Member States </w:t>
      </w:r>
      <w:r w:rsidR="00E219CB" w:rsidRPr="00532C20">
        <w:rPr>
          <w:rFonts w:ascii="Times New Roman" w:eastAsia="Times New Roman" w:hAnsi="Times New Roman" w:cs="Times New Roman"/>
          <w:noProof/>
          <w:sz w:val="24"/>
          <w:szCs w:val="24"/>
          <w:lang w:val="en-IE"/>
        </w:rPr>
        <w:t xml:space="preserve">and </w:t>
      </w:r>
      <w:r w:rsidRPr="00532C20">
        <w:rPr>
          <w:rFonts w:ascii="Times New Roman" w:eastAsia="Times New Roman" w:hAnsi="Times New Roman" w:cs="Times New Roman"/>
          <w:noProof/>
          <w:sz w:val="24"/>
          <w:szCs w:val="24"/>
          <w:lang w:val="en-IE"/>
        </w:rPr>
        <w:t>not</w:t>
      </w:r>
      <w:r w:rsidR="00E219CB" w:rsidRPr="00532C20">
        <w:rPr>
          <w:rFonts w:ascii="Times New Roman" w:eastAsia="Times New Roman" w:hAnsi="Times New Roman" w:cs="Times New Roman"/>
          <w:noProof/>
          <w:sz w:val="24"/>
          <w:szCs w:val="24"/>
          <w:lang w:val="en-IE"/>
        </w:rPr>
        <w:t>, or</w:t>
      </w:r>
      <w:r w:rsidRPr="00532C20">
        <w:rPr>
          <w:rFonts w:ascii="Times New Roman" w:eastAsia="Times New Roman" w:hAnsi="Times New Roman" w:cs="Times New Roman"/>
          <w:noProof/>
          <w:sz w:val="24"/>
          <w:szCs w:val="24"/>
          <w:lang w:val="en-IE"/>
        </w:rPr>
        <w:t xml:space="preserve"> not to the same extent</w:t>
      </w:r>
      <w:r w:rsidR="0027115A" w:rsidRPr="00532C20">
        <w:rPr>
          <w:rFonts w:ascii="Times New Roman" w:eastAsia="Times New Roman" w:hAnsi="Times New Roman" w:cs="Times New Roman"/>
          <w:noProof/>
          <w:sz w:val="24"/>
          <w:szCs w:val="24"/>
          <w:lang w:val="en-IE"/>
        </w:rPr>
        <w:t>,</w:t>
      </w:r>
      <w:r w:rsidRPr="00532C20">
        <w:rPr>
          <w:rFonts w:ascii="Times New Roman" w:eastAsia="Times New Roman" w:hAnsi="Times New Roman" w:cs="Times New Roman"/>
          <w:noProof/>
          <w:sz w:val="24"/>
          <w:szCs w:val="24"/>
          <w:lang w:val="en-IE"/>
        </w:rPr>
        <w:t xml:space="preserve"> in others</w:t>
      </w:r>
      <w:r w:rsidR="00655C72" w:rsidRPr="00532C20">
        <w:rPr>
          <w:rFonts w:ascii="Times New Roman" w:eastAsia="Times New Roman" w:hAnsi="Times New Roman" w:cs="Times New Roman"/>
          <w:noProof/>
          <w:sz w:val="24"/>
          <w:szCs w:val="24"/>
          <w:lang w:val="en-IE"/>
        </w:rPr>
        <w:t>.</w:t>
      </w:r>
      <w:r w:rsidR="007B6977" w:rsidRPr="00532C20">
        <w:rPr>
          <w:rFonts w:ascii="Times New Roman" w:eastAsia="Times New Roman" w:hAnsi="Times New Roman" w:cs="Times New Roman"/>
          <w:noProof/>
          <w:sz w:val="24"/>
          <w:szCs w:val="24"/>
          <w:lang w:val="en-IE"/>
        </w:rPr>
        <w:t xml:space="preserve"> </w:t>
      </w:r>
      <w:r w:rsidR="0001682B" w:rsidRPr="00532C20">
        <w:rPr>
          <w:rFonts w:ascii="Times New Roman" w:eastAsia="Times New Roman" w:hAnsi="Times New Roman" w:cs="Times New Roman"/>
          <w:noProof/>
          <w:sz w:val="24"/>
          <w:szCs w:val="24"/>
          <w:lang w:val="en-IE"/>
        </w:rPr>
        <w:t xml:space="preserve">Among providers of interest representation activities, </w:t>
      </w:r>
      <w:r w:rsidR="00F73ED5" w:rsidRPr="00532C20">
        <w:rPr>
          <w:rFonts w:ascii="Times New Roman" w:eastAsia="Times New Roman" w:hAnsi="Times New Roman" w:cs="Times New Roman"/>
          <w:noProof/>
          <w:sz w:val="24"/>
          <w:szCs w:val="24"/>
          <w:lang w:val="en-IE"/>
        </w:rPr>
        <w:t xml:space="preserve">diverging </w:t>
      </w:r>
      <w:r w:rsidR="00567464" w:rsidRPr="00532C20">
        <w:rPr>
          <w:rFonts w:ascii="Times New Roman" w:eastAsia="Times New Roman" w:hAnsi="Times New Roman" w:cs="Times New Roman"/>
          <w:noProof/>
          <w:sz w:val="24"/>
          <w:szCs w:val="24"/>
          <w:lang w:val="en-IE"/>
        </w:rPr>
        <w:t>requirements</w:t>
      </w:r>
      <w:r w:rsidR="00F73ED5" w:rsidRPr="00532C20">
        <w:rPr>
          <w:rFonts w:ascii="Times New Roman" w:eastAsia="Times New Roman" w:hAnsi="Times New Roman" w:cs="Times New Roman"/>
          <w:noProof/>
          <w:sz w:val="24"/>
          <w:szCs w:val="24"/>
          <w:lang w:val="en-IE"/>
        </w:rPr>
        <w:t xml:space="preserve"> at</w:t>
      </w:r>
      <w:r w:rsidR="0015375F" w:rsidRPr="00532C20">
        <w:rPr>
          <w:rFonts w:ascii="Times New Roman" w:eastAsia="Times New Roman" w:hAnsi="Times New Roman" w:cs="Times New Roman"/>
          <w:noProof/>
          <w:sz w:val="24"/>
          <w:szCs w:val="24"/>
          <w:lang w:val="en-IE"/>
        </w:rPr>
        <w:t xml:space="preserve"> </w:t>
      </w:r>
      <w:r w:rsidR="00F73ED5" w:rsidRPr="00532C20">
        <w:rPr>
          <w:rFonts w:ascii="Times New Roman" w:eastAsia="Times New Roman" w:hAnsi="Times New Roman" w:cs="Times New Roman"/>
          <w:noProof/>
          <w:sz w:val="24"/>
          <w:szCs w:val="24"/>
          <w:lang w:val="en-IE"/>
        </w:rPr>
        <w:t>Member State level impact different types of stakeholders</w:t>
      </w:r>
      <w:r w:rsidR="00567464" w:rsidRPr="00532C20">
        <w:rPr>
          <w:rFonts w:ascii="Times New Roman" w:eastAsia="Times New Roman" w:hAnsi="Times New Roman" w:cs="Times New Roman"/>
          <w:noProof/>
          <w:sz w:val="24"/>
          <w:szCs w:val="24"/>
          <w:lang w:val="en-IE"/>
        </w:rPr>
        <w:t xml:space="preserve"> </w:t>
      </w:r>
      <w:r w:rsidR="00F73ED5" w:rsidRPr="00532C20">
        <w:rPr>
          <w:rFonts w:ascii="Times New Roman" w:eastAsia="Times New Roman" w:hAnsi="Times New Roman" w:cs="Times New Roman"/>
          <w:noProof/>
          <w:sz w:val="24"/>
          <w:szCs w:val="24"/>
          <w:lang w:val="en-IE"/>
        </w:rPr>
        <w:t>in different ways</w:t>
      </w:r>
      <w:r w:rsidR="00567464" w:rsidRPr="00532C20">
        <w:rPr>
          <w:rFonts w:ascii="Times New Roman" w:eastAsia="Times New Roman" w:hAnsi="Times New Roman" w:cs="Times New Roman"/>
          <w:noProof/>
          <w:sz w:val="24"/>
          <w:szCs w:val="24"/>
          <w:lang w:val="en-IE"/>
        </w:rPr>
        <w:t xml:space="preserve">, making </w:t>
      </w:r>
      <w:r w:rsidR="00676431" w:rsidRPr="00532C20">
        <w:rPr>
          <w:rFonts w:ascii="Times New Roman" w:eastAsia="Times New Roman" w:hAnsi="Times New Roman" w:cs="Times New Roman"/>
          <w:noProof/>
          <w:sz w:val="24"/>
          <w:szCs w:val="24"/>
          <w:lang w:val="en-IE"/>
        </w:rPr>
        <w:t>them</w:t>
      </w:r>
      <w:r w:rsidR="00424E1F" w:rsidRPr="00532C20">
        <w:rPr>
          <w:rFonts w:ascii="Times New Roman" w:eastAsia="Times New Roman" w:hAnsi="Times New Roman" w:cs="Times New Roman"/>
          <w:noProof/>
          <w:sz w:val="24"/>
          <w:szCs w:val="24"/>
          <w:lang w:val="en-IE"/>
        </w:rPr>
        <w:t xml:space="preserve"> subject to more stringent requirements than others although they would be performing the same activities</w:t>
      </w:r>
      <w:r w:rsidR="00C92E57" w:rsidRPr="00532C20">
        <w:rPr>
          <w:rStyle w:val="FootnoteReference"/>
          <w:rFonts w:ascii="Times New Roman" w:eastAsia="Times New Roman" w:hAnsi="Times New Roman" w:cs="Times New Roman"/>
          <w:noProof/>
          <w:sz w:val="24"/>
          <w:szCs w:val="24"/>
          <w:lang w:val="en-IE"/>
        </w:rPr>
        <w:footnoteReference w:id="60"/>
      </w:r>
      <w:r w:rsidR="009D4675" w:rsidRPr="00532C20">
        <w:rPr>
          <w:rFonts w:ascii="Times New Roman" w:eastAsia="Times New Roman" w:hAnsi="Times New Roman" w:cs="Times New Roman"/>
          <w:noProof/>
          <w:sz w:val="24"/>
          <w:szCs w:val="24"/>
          <w:lang w:val="en-IE"/>
        </w:rPr>
        <w:t>.</w:t>
      </w:r>
    </w:p>
    <w:p w14:paraId="54779DDE" w14:textId="5E04166D" w:rsidR="00437B34" w:rsidRPr="00532C20" w:rsidRDefault="002B6714" w:rsidP="00437B34">
      <w:pPr>
        <w:pBdr>
          <w:top w:val="single" w:sz="4" w:space="1" w:color="auto"/>
          <w:left w:val="single" w:sz="4" w:space="1" w:color="auto"/>
          <w:bottom w:val="single" w:sz="4" w:space="1" w:color="auto"/>
          <w:right w:val="single" w:sz="4" w:space="1" w:color="auto"/>
        </w:pBdr>
        <w:spacing w:after="120" w:line="240" w:lineRule="auto"/>
        <w:jc w:val="both"/>
        <w:rPr>
          <w:rFonts w:ascii="Times New Roman" w:eastAsia="Times New Roman" w:hAnsi="Times New Roman" w:cs="Times New Roman"/>
          <w:b/>
          <w:i/>
          <w:noProof/>
        </w:rPr>
      </w:pPr>
      <w:r w:rsidRPr="00532C20">
        <w:rPr>
          <w:rFonts w:ascii="Times New Roman" w:eastAsia="Times New Roman" w:hAnsi="Times New Roman" w:cs="Times New Roman"/>
          <w:b/>
          <w:bCs/>
          <w:i/>
          <w:iCs/>
          <w:noProof/>
          <w:lang w:val="en-IE"/>
        </w:rPr>
        <w:t>Uneven playing field between different actors</w:t>
      </w:r>
    </w:p>
    <w:p w14:paraId="5EBE7027" w14:textId="2647D27D" w:rsidR="00E34537" w:rsidRPr="00532C20" w:rsidRDefault="00E34537" w:rsidP="00E34537">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noProof/>
          <w:lang w:val="en-IE"/>
        </w:rPr>
      </w:pPr>
      <w:r w:rsidRPr="00532C20">
        <w:rPr>
          <w:rFonts w:ascii="Times New Roman" w:eastAsia="Times New Roman" w:hAnsi="Times New Roman" w:cs="Times New Roman"/>
          <w:b/>
          <w:noProof/>
        </w:rPr>
        <w:t>Stakeholder</w:t>
      </w:r>
      <w:r w:rsidRPr="00532C20">
        <w:rPr>
          <w:rFonts w:ascii="Times New Roman" w:eastAsia="Times New Roman" w:hAnsi="Times New Roman" w:cs="Times New Roman"/>
          <w:b/>
          <w:noProof/>
          <w:lang w:val="en-IE"/>
        </w:rPr>
        <w:t xml:space="preserve"> views:</w:t>
      </w:r>
    </w:p>
    <w:p w14:paraId="77E9C884" w14:textId="67065637" w:rsidR="00E34537" w:rsidRPr="00532C20" w:rsidRDefault="00E34537" w:rsidP="00E34537">
      <w:pPr>
        <w:pBdr>
          <w:top w:val="single" w:sz="4" w:space="1" w:color="auto"/>
          <w:left w:val="single" w:sz="4" w:space="1" w:color="auto"/>
          <w:bottom w:val="single" w:sz="4" w:space="1" w:color="auto"/>
          <w:right w:val="single" w:sz="4" w:space="1" w:color="auto"/>
        </w:pBdr>
        <w:spacing w:after="120" w:line="240" w:lineRule="auto"/>
        <w:jc w:val="both"/>
        <w:rPr>
          <w:rFonts w:ascii="Times New Roman" w:eastAsia="Times New Roman" w:hAnsi="Times New Roman" w:cs="Times New Roman"/>
          <w:noProof/>
          <w:lang w:val="en-IE"/>
        </w:rPr>
      </w:pPr>
      <w:r w:rsidRPr="00532C20">
        <w:rPr>
          <w:rFonts w:ascii="Times New Roman" w:eastAsia="Times New Roman" w:hAnsi="Times New Roman" w:cs="Times New Roman"/>
          <w:noProof/>
          <w:lang w:val="en-IE"/>
        </w:rPr>
        <w:t xml:space="preserve">During the focus group with </w:t>
      </w:r>
      <w:r w:rsidRPr="00532C20" w:rsidDel="0097786B">
        <w:rPr>
          <w:rFonts w:ascii="Times New Roman" w:eastAsia="Times New Roman" w:hAnsi="Times New Roman" w:cs="Times New Roman"/>
          <w:noProof/>
          <w:lang w:val="en-IE"/>
        </w:rPr>
        <w:t xml:space="preserve">representatives of </w:t>
      </w:r>
      <w:r w:rsidRPr="00532C20">
        <w:rPr>
          <w:rFonts w:ascii="Times New Roman" w:eastAsia="Times New Roman" w:hAnsi="Times New Roman" w:cs="Times New Roman"/>
          <w:noProof/>
          <w:lang w:val="en-IE"/>
        </w:rPr>
        <w:t>the legal profession</w:t>
      </w:r>
      <w:r w:rsidRPr="00532C20">
        <w:rPr>
          <w:rStyle w:val="FootnoteReference"/>
          <w:rFonts w:ascii="Times New Roman" w:eastAsia="Times New Roman" w:hAnsi="Times New Roman" w:cs="Times New Roman"/>
          <w:noProof/>
          <w:lang w:val="en-IE"/>
        </w:rPr>
        <w:footnoteReference w:id="61"/>
      </w:r>
      <w:r w:rsidRPr="00532C20">
        <w:rPr>
          <w:rFonts w:ascii="Times New Roman" w:eastAsia="Times New Roman" w:hAnsi="Times New Roman" w:cs="Times New Roman"/>
          <w:noProof/>
          <w:lang w:val="en-IE"/>
        </w:rPr>
        <w:t xml:space="preserve">, </w:t>
      </w:r>
      <w:r w:rsidR="00401860" w:rsidRPr="00532C20">
        <w:rPr>
          <w:rFonts w:ascii="Times New Roman" w:eastAsia="Times New Roman" w:hAnsi="Times New Roman" w:cs="Times New Roman"/>
          <w:noProof/>
          <w:lang w:val="en-IE"/>
        </w:rPr>
        <w:t xml:space="preserve">a </w:t>
      </w:r>
      <w:r w:rsidRPr="00532C20">
        <w:rPr>
          <w:rFonts w:ascii="Times New Roman" w:eastAsia="Times New Roman" w:hAnsi="Times New Roman" w:cs="Times New Roman"/>
          <w:noProof/>
          <w:lang w:val="en-IE"/>
        </w:rPr>
        <w:t>majority of participants emphasi</w:t>
      </w:r>
      <w:r w:rsidR="008E14B9" w:rsidRPr="00532C20">
        <w:rPr>
          <w:rFonts w:ascii="Times New Roman" w:eastAsia="Times New Roman" w:hAnsi="Times New Roman" w:cs="Times New Roman"/>
          <w:noProof/>
          <w:lang w:val="en-IE"/>
        </w:rPr>
        <w:t>s</w:t>
      </w:r>
      <w:r w:rsidRPr="00532C20">
        <w:rPr>
          <w:rFonts w:ascii="Times New Roman" w:eastAsia="Times New Roman" w:hAnsi="Times New Roman" w:cs="Times New Roman"/>
          <w:noProof/>
          <w:lang w:val="en-IE"/>
        </w:rPr>
        <w:t>ed the importance of setting up transparency requirements that apply to all entities performing interest representation activities</w:t>
      </w:r>
      <w:r w:rsidR="00466A7B">
        <w:rPr>
          <w:rFonts w:ascii="Times New Roman" w:eastAsia="Times New Roman" w:hAnsi="Times New Roman" w:cs="Times New Roman"/>
          <w:noProof/>
          <w:lang w:val="en-IE"/>
        </w:rPr>
        <w:t xml:space="preserve"> in the internal market</w:t>
      </w:r>
      <w:r w:rsidRPr="00532C20">
        <w:rPr>
          <w:rFonts w:ascii="Times New Roman" w:eastAsia="Times New Roman" w:hAnsi="Times New Roman" w:cs="Times New Roman"/>
          <w:noProof/>
          <w:lang w:val="en-IE"/>
        </w:rPr>
        <w:t xml:space="preserve">. Among other, certain participants expressed </w:t>
      </w:r>
      <w:r w:rsidR="00FE0257" w:rsidRPr="00532C20">
        <w:rPr>
          <w:rFonts w:ascii="Times New Roman" w:eastAsia="Times New Roman" w:hAnsi="Times New Roman" w:cs="Times New Roman"/>
          <w:noProof/>
          <w:lang w:val="en-IE"/>
        </w:rPr>
        <w:t xml:space="preserve">the view </w:t>
      </w:r>
      <w:r w:rsidRPr="00532C20">
        <w:rPr>
          <w:rFonts w:ascii="Times New Roman" w:eastAsia="Times New Roman" w:hAnsi="Times New Roman" w:cs="Times New Roman"/>
          <w:noProof/>
          <w:lang w:val="en-IE"/>
        </w:rPr>
        <w:t>that there are loopholes in the current regimes regarding CSOs which carry out similar activities while not being subject to similar transparency requirements regarding the funding of their activities</w:t>
      </w:r>
      <w:r w:rsidR="008E14B9" w:rsidRPr="00532C20">
        <w:rPr>
          <w:rFonts w:ascii="Times New Roman" w:eastAsia="Times New Roman" w:hAnsi="Times New Roman" w:cs="Times New Roman"/>
          <w:noProof/>
          <w:lang w:val="en-IE"/>
        </w:rPr>
        <w:t xml:space="preserve"> influencing decision</w:t>
      </w:r>
      <w:r w:rsidR="002B5847">
        <w:rPr>
          <w:rFonts w:ascii="Times New Roman" w:eastAsia="Times New Roman" w:hAnsi="Times New Roman" w:cs="Times New Roman"/>
          <w:noProof/>
          <w:lang w:val="en-IE"/>
        </w:rPr>
        <w:t>-</w:t>
      </w:r>
      <w:r w:rsidR="008E14B9" w:rsidRPr="00532C20">
        <w:rPr>
          <w:rFonts w:ascii="Times New Roman" w:eastAsia="Times New Roman" w:hAnsi="Times New Roman" w:cs="Times New Roman"/>
          <w:noProof/>
          <w:lang w:val="en-IE"/>
        </w:rPr>
        <w:t>making process</w:t>
      </w:r>
      <w:r w:rsidR="009E642E">
        <w:rPr>
          <w:rFonts w:ascii="Times New Roman" w:eastAsia="Times New Roman" w:hAnsi="Times New Roman" w:cs="Times New Roman"/>
          <w:noProof/>
          <w:lang w:val="en-IE"/>
        </w:rPr>
        <w:t>es</w:t>
      </w:r>
      <w:r w:rsidR="008E14B9" w:rsidRPr="00532C20">
        <w:rPr>
          <w:rFonts w:ascii="Times New Roman" w:eastAsia="Times New Roman" w:hAnsi="Times New Roman" w:cs="Times New Roman"/>
          <w:noProof/>
          <w:lang w:val="en-IE"/>
        </w:rPr>
        <w:t xml:space="preserve"> in the </w:t>
      </w:r>
      <w:r w:rsidR="001D4A52" w:rsidRPr="00532C20">
        <w:rPr>
          <w:rFonts w:ascii="Times New Roman" w:eastAsia="Times New Roman" w:hAnsi="Times New Roman" w:cs="Times New Roman"/>
          <w:noProof/>
          <w:lang w:val="en-IE"/>
        </w:rPr>
        <w:t>EU</w:t>
      </w:r>
      <w:r w:rsidRPr="00532C20">
        <w:rPr>
          <w:rFonts w:ascii="Times New Roman" w:eastAsia="Times New Roman" w:hAnsi="Times New Roman" w:cs="Times New Roman"/>
          <w:noProof/>
          <w:lang w:val="en-IE"/>
        </w:rPr>
        <w:t>.</w:t>
      </w:r>
    </w:p>
    <w:p w14:paraId="3347EEA4" w14:textId="7EE10976" w:rsidR="006B36AB" w:rsidRPr="00532C20" w:rsidRDefault="00962391" w:rsidP="00E34537">
      <w:pPr>
        <w:pBdr>
          <w:top w:val="single" w:sz="4" w:space="1" w:color="auto"/>
          <w:left w:val="single" w:sz="4" w:space="1" w:color="auto"/>
          <w:bottom w:val="single" w:sz="4" w:space="1" w:color="auto"/>
          <w:right w:val="single" w:sz="4" w:space="1" w:color="auto"/>
        </w:pBdr>
        <w:spacing w:after="120" w:line="240" w:lineRule="auto"/>
        <w:jc w:val="both"/>
        <w:rPr>
          <w:rFonts w:ascii="Times New Roman" w:eastAsia="Times New Roman" w:hAnsi="Times New Roman" w:cs="Times New Roman"/>
          <w:noProof/>
          <w:lang w:val="en-IE"/>
        </w:rPr>
      </w:pPr>
      <w:r w:rsidRPr="00532C20">
        <w:rPr>
          <w:rFonts w:ascii="Times New Roman" w:eastAsia="Times New Roman" w:hAnsi="Times New Roman" w:cs="Times New Roman"/>
          <w:noProof/>
          <w:lang w:val="en-IE"/>
        </w:rPr>
        <w:t>During the second focus group with commercial actors involved in interest representation</w:t>
      </w:r>
      <w:r w:rsidR="00950DC6" w:rsidRPr="00532C20">
        <w:rPr>
          <w:rStyle w:val="FootnoteReference"/>
          <w:rFonts w:ascii="Times New Roman" w:eastAsia="Times New Roman" w:hAnsi="Times New Roman" w:cs="Times New Roman"/>
          <w:noProof/>
          <w:lang w:val="en-IE"/>
        </w:rPr>
        <w:footnoteReference w:id="62"/>
      </w:r>
      <w:r w:rsidR="003516BA" w:rsidRPr="00532C20">
        <w:rPr>
          <w:rFonts w:ascii="Times New Roman" w:eastAsia="Times New Roman" w:hAnsi="Times New Roman" w:cs="Times New Roman"/>
          <w:noProof/>
          <w:lang w:val="en-IE"/>
        </w:rPr>
        <w:t>, one participant noted that in its Member State</w:t>
      </w:r>
      <w:r w:rsidR="00C910B5" w:rsidRPr="00532C20">
        <w:rPr>
          <w:rFonts w:ascii="Times New Roman" w:eastAsia="Times New Roman" w:hAnsi="Times New Roman" w:cs="Times New Roman"/>
          <w:noProof/>
          <w:lang w:val="en-IE"/>
        </w:rPr>
        <w:t xml:space="preserve"> </w:t>
      </w:r>
      <w:r w:rsidR="005C50FF" w:rsidRPr="00532C20">
        <w:rPr>
          <w:rFonts w:ascii="Times New Roman" w:eastAsia="Times New Roman" w:hAnsi="Times New Roman" w:cs="Times New Roman"/>
          <w:noProof/>
          <w:lang w:val="en-IE"/>
        </w:rPr>
        <w:t xml:space="preserve">some of the exemptions are too </w:t>
      </w:r>
      <w:r w:rsidR="00466A7B">
        <w:rPr>
          <w:rFonts w:ascii="Times New Roman" w:eastAsia="Times New Roman" w:hAnsi="Times New Roman" w:cs="Times New Roman"/>
          <w:noProof/>
          <w:lang w:val="en-IE"/>
        </w:rPr>
        <w:t>broad</w:t>
      </w:r>
      <w:r w:rsidR="00466A7B" w:rsidRPr="00532C20">
        <w:rPr>
          <w:rFonts w:ascii="Times New Roman" w:eastAsia="Times New Roman" w:hAnsi="Times New Roman" w:cs="Times New Roman"/>
          <w:noProof/>
          <w:lang w:val="en-IE"/>
        </w:rPr>
        <w:t xml:space="preserve"> </w:t>
      </w:r>
      <w:r w:rsidR="005C50FF" w:rsidRPr="00532C20">
        <w:rPr>
          <w:rFonts w:ascii="Times New Roman" w:eastAsia="Times New Roman" w:hAnsi="Times New Roman" w:cs="Times New Roman"/>
          <w:noProof/>
          <w:lang w:val="en-IE"/>
        </w:rPr>
        <w:t>and for example exclude lawyers from registration requirements although they may carry similar activities.</w:t>
      </w:r>
      <w:r w:rsidR="003516BA" w:rsidRPr="00532C20">
        <w:rPr>
          <w:rFonts w:ascii="Times New Roman" w:eastAsia="Times New Roman" w:hAnsi="Times New Roman" w:cs="Times New Roman"/>
          <w:noProof/>
          <w:lang w:val="en-IE"/>
        </w:rPr>
        <w:t xml:space="preserve"> </w:t>
      </w:r>
    </w:p>
    <w:p w14:paraId="6FE0A370" w14:textId="54DC56EF" w:rsidR="00D80222" w:rsidRPr="0080543E" w:rsidRDefault="00370240" w:rsidP="002B6714">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i/>
          <w:noProof/>
          <w:lang w:val="en-IE"/>
        </w:rPr>
      </w:pPr>
      <w:r w:rsidRPr="0080543E">
        <w:rPr>
          <w:rFonts w:ascii="Times New Roman" w:eastAsia="Times New Roman" w:hAnsi="Times New Roman" w:cs="Times New Roman"/>
          <w:b/>
          <w:i/>
          <w:noProof/>
          <w:lang w:val="en-IE"/>
        </w:rPr>
        <w:t xml:space="preserve">Illustrative case study n°1: </w:t>
      </w:r>
    </w:p>
    <w:p w14:paraId="46A6B69A" w14:textId="0F9AB3BB" w:rsidR="00370240" w:rsidRPr="00532C20" w:rsidRDefault="00F64571" w:rsidP="00E34537">
      <w:pPr>
        <w:pBdr>
          <w:top w:val="single" w:sz="4" w:space="1" w:color="auto"/>
          <w:left w:val="single" w:sz="4" w:space="1" w:color="auto"/>
          <w:bottom w:val="single" w:sz="4" w:space="1" w:color="auto"/>
          <w:right w:val="single" w:sz="4" w:space="1" w:color="auto"/>
        </w:pBdr>
        <w:spacing w:after="120" w:line="240" w:lineRule="auto"/>
        <w:jc w:val="both"/>
        <w:rPr>
          <w:rFonts w:ascii="Times New Roman" w:eastAsia="Times New Roman" w:hAnsi="Times New Roman" w:cs="Times New Roman"/>
          <w:b/>
          <w:bCs/>
          <w:i/>
          <w:iCs/>
          <w:noProof/>
          <w:lang w:val="en-IE"/>
        </w:rPr>
      </w:pPr>
      <w:r w:rsidRPr="0080543E">
        <w:rPr>
          <w:rFonts w:ascii="Times New Roman" w:eastAsia="Times New Roman" w:hAnsi="Times New Roman" w:cs="Times New Roman"/>
          <w:noProof/>
          <w:lang w:val="en-IE"/>
        </w:rPr>
        <w:t>C</w:t>
      </w:r>
      <w:r w:rsidR="00466A7B">
        <w:rPr>
          <w:rFonts w:ascii="Times New Roman" w:eastAsia="Times New Roman" w:hAnsi="Times New Roman" w:cs="Times New Roman"/>
          <w:noProof/>
          <w:lang w:val="en-IE"/>
        </w:rPr>
        <w:t>ommercial C</w:t>
      </w:r>
      <w:r w:rsidRPr="0080543E">
        <w:rPr>
          <w:rFonts w:ascii="Times New Roman" w:eastAsia="Times New Roman" w:hAnsi="Times New Roman" w:cs="Times New Roman"/>
          <w:noProof/>
          <w:lang w:val="en-IE"/>
        </w:rPr>
        <w:t xml:space="preserve">ompany A carries out </w:t>
      </w:r>
      <w:r w:rsidR="008B30B2" w:rsidRPr="0080543E">
        <w:rPr>
          <w:rFonts w:ascii="Times New Roman" w:eastAsia="Times New Roman" w:hAnsi="Times New Roman" w:cs="Times New Roman"/>
          <w:noProof/>
          <w:lang w:val="en-IE"/>
        </w:rPr>
        <w:t>interest</w:t>
      </w:r>
      <w:r w:rsidRPr="0080543E">
        <w:rPr>
          <w:rFonts w:ascii="Times New Roman" w:eastAsia="Times New Roman" w:hAnsi="Times New Roman" w:cs="Times New Roman"/>
          <w:noProof/>
          <w:lang w:val="en-IE"/>
        </w:rPr>
        <w:t xml:space="preserve"> representation activities </w:t>
      </w:r>
      <w:r w:rsidR="00D57B5C" w:rsidRPr="0080543E">
        <w:rPr>
          <w:rFonts w:ascii="Times New Roman" w:eastAsia="Times New Roman" w:hAnsi="Times New Roman" w:cs="Times New Roman"/>
          <w:noProof/>
          <w:lang w:val="en-IE"/>
        </w:rPr>
        <w:t>in Germany</w:t>
      </w:r>
      <w:r w:rsidR="00D36469" w:rsidRPr="0080543E">
        <w:rPr>
          <w:rFonts w:ascii="Times New Roman" w:eastAsia="Times New Roman" w:hAnsi="Times New Roman" w:cs="Times New Roman"/>
          <w:noProof/>
          <w:lang w:val="en-IE"/>
        </w:rPr>
        <w:t xml:space="preserve"> </w:t>
      </w:r>
      <w:r w:rsidR="00DB1D97" w:rsidRPr="0080543E">
        <w:rPr>
          <w:rFonts w:ascii="Times New Roman" w:eastAsia="Times New Roman" w:hAnsi="Times New Roman" w:cs="Times New Roman"/>
          <w:noProof/>
          <w:lang w:val="en-IE"/>
        </w:rPr>
        <w:t>and in Lithuania</w:t>
      </w:r>
      <w:r w:rsidR="00466A7B">
        <w:rPr>
          <w:rFonts w:ascii="Times New Roman" w:eastAsia="Times New Roman" w:hAnsi="Times New Roman" w:cs="Times New Roman"/>
          <w:noProof/>
          <w:lang w:val="en-IE"/>
        </w:rPr>
        <w:t xml:space="preserve"> and faces different competitors in both Member States which do not face the same regulatory </w:t>
      </w:r>
      <w:r w:rsidR="00563D05">
        <w:rPr>
          <w:rFonts w:ascii="Times New Roman" w:eastAsia="Times New Roman" w:hAnsi="Times New Roman" w:cs="Times New Roman"/>
          <w:noProof/>
          <w:lang w:val="en-IE"/>
        </w:rPr>
        <w:t>requirements</w:t>
      </w:r>
      <w:r w:rsidR="00254021" w:rsidRPr="0080543E">
        <w:rPr>
          <w:rFonts w:ascii="Times New Roman" w:eastAsia="Times New Roman" w:hAnsi="Times New Roman" w:cs="Times New Roman"/>
          <w:noProof/>
          <w:lang w:val="en-IE"/>
        </w:rPr>
        <w:t xml:space="preserve">. </w:t>
      </w:r>
      <w:r w:rsidR="000035E7" w:rsidRPr="0080543E">
        <w:rPr>
          <w:rFonts w:ascii="Times New Roman" w:eastAsia="Times New Roman" w:hAnsi="Times New Roman" w:cs="Times New Roman"/>
          <w:noProof/>
          <w:lang w:val="en-IE"/>
        </w:rPr>
        <w:t>In Germany, m</w:t>
      </w:r>
      <w:r w:rsidR="00434EE9" w:rsidRPr="0080543E">
        <w:rPr>
          <w:rFonts w:ascii="Times New Roman" w:eastAsia="Times New Roman" w:hAnsi="Times New Roman" w:cs="Times New Roman"/>
          <w:noProof/>
          <w:lang w:val="en-IE"/>
        </w:rPr>
        <w:t xml:space="preserve">any of its competitors are organised like it, in the form of a </w:t>
      </w:r>
      <w:r w:rsidR="00466A7B">
        <w:rPr>
          <w:rFonts w:ascii="Times New Roman" w:eastAsia="Times New Roman" w:hAnsi="Times New Roman" w:cs="Times New Roman"/>
          <w:noProof/>
          <w:lang w:val="en-IE"/>
        </w:rPr>
        <w:t xml:space="preserve">commercial </w:t>
      </w:r>
      <w:r w:rsidR="00434EE9" w:rsidRPr="0080543E">
        <w:rPr>
          <w:rFonts w:ascii="Times New Roman" w:eastAsia="Times New Roman" w:hAnsi="Times New Roman" w:cs="Times New Roman"/>
          <w:noProof/>
          <w:lang w:val="en-IE"/>
        </w:rPr>
        <w:t>company.</w:t>
      </w:r>
      <w:r w:rsidR="00563D05">
        <w:rPr>
          <w:rFonts w:ascii="Times New Roman" w:eastAsia="Times New Roman" w:hAnsi="Times New Roman" w:cs="Times New Roman"/>
          <w:noProof/>
          <w:lang w:val="en-IE"/>
        </w:rPr>
        <w:t xml:space="preserve"> </w:t>
      </w:r>
      <w:r w:rsidR="00ED6EC4" w:rsidRPr="0080543E">
        <w:rPr>
          <w:rFonts w:ascii="Times New Roman" w:eastAsia="Times New Roman" w:hAnsi="Times New Roman" w:cs="Times New Roman"/>
          <w:noProof/>
          <w:lang w:val="en-IE"/>
        </w:rPr>
        <w:t xml:space="preserve">However, it also faces competition from law firms which also perform interest representation activities but do not </w:t>
      </w:r>
      <w:r w:rsidR="00ED6EC4" w:rsidRPr="004B75A3">
        <w:rPr>
          <w:rFonts w:ascii="Times New Roman" w:eastAsia="Times New Roman" w:hAnsi="Times New Roman" w:cs="Times New Roman"/>
          <w:noProof/>
          <w:lang w:val="en-IE"/>
        </w:rPr>
        <w:t xml:space="preserve">always </w:t>
      </w:r>
      <w:r w:rsidR="00ED6EC4" w:rsidRPr="0080543E">
        <w:rPr>
          <w:rFonts w:ascii="Times New Roman" w:eastAsia="Times New Roman" w:hAnsi="Times New Roman" w:cs="Times New Roman"/>
          <w:noProof/>
          <w:lang w:val="en-IE"/>
        </w:rPr>
        <w:t>incur regulatory costs related to these activities</w:t>
      </w:r>
      <w:r w:rsidR="00ED6EC4" w:rsidRPr="004B75A3">
        <w:rPr>
          <w:rFonts w:ascii="Times New Roman" w:eastAsia="Times New Roman" w:hAnsi="Times New Roman" w:cs="Times New Roman"/>
          <w:noProof/>
          <w:lang w:val="en-IE"/>
        </w:rPr>
        <w:t xml:space="preserve"> when working in Germany</w:t>
      </w:r>
      <w:r w:rsidR="00563D05">
        <w:rPr>
          <w:rFonts w:ascii="Times New Roman" w:eastAsia="Times New Roman" w:hAnsi="Times New Roman" w:cs="Times New Roman"/>
          <w:noProof/>
          <w:lang w:val="en-IE"/>
        </w:rPr>
        <w:t xml:space="preserve"> at local level</w:t>
      </w:r>
      <w:r w:rsidR="00ED6EC4" w:rsidRPr="0080543E">
        <w:rPr>
          <w:rFonts w:ascii="Times New Roman" w:eastAsia="Times New Roman" w:hAnsi="Times New Roman" w:cs="Times New Roman"/>
          <w:noProof/>
          <w:lang w:val="en-IE"/>
        </w:rPr>
        <w:t xml:space="preserve">, as legal professionals </w:t>
      </w:r>
      <w:r w:rsidR="00173285" w:rsidRPr="004B75A3">
        <w:rPr>
          <w:rFonts w:ascii="Times New Roman" w:eastAsia="Times New Roman" w:hAnsi="Times New Roman" w:cs="Times New Roman"/>
          <w:noProof/>
          <w:lang w:val="en-IE"/>
        </w:rPr>
        <w:t xml:space="preserve">only </w:t>
      </w:r>
      <w:r w:rsidR="00ED6EC4" w:rsidRPr="0080543E">
        <w:rPr>
          <w:rFonts w:ascii="Times New Roman" w:eastAsia="Times New Roman" w:hAnsi="Times New Roman" w:cs="Times New Roman"/>
          <w:noProof/>
          <w:lang w:val="en-IE"/>
        </w:rPr>
        <w:t xml:space="preserve">fall under the scope of </w:t>
      </w:r>
      <w:r w:rsidR="00ED6EC4" w:rsidRPr="004B75A3">
        <w:rPr>
          <w:rFonts w:ascii="Times New Roman" w:eastAsia="Times New Roman" w:hAnsi="Times New Roman" w:cs="Times New Roman"/>
          <w:noProof/>
          <w:lang w:val="en-IE"/>
        </w:rPr>
        <w:t xml:space="preserve">rules on registration and transparency in some Länder </w:t>
      </w:r>
      <w:r w:rsidR="00EC6575" w:rsidRPr="0080543E">
        <w:rPr>
          <w:rFonts w:ascii="Times New Roman" w:eastAsia="Times New Roman" w:hAnsi="Times New Roman" w:cs="Times New Roman"/>
          <w:noProof/>
          <w:lang w:val="en-IE"/>
        </w:rPr>
        <w:t>(e.g.</w:t>
      </w:r>
      <w:r w:rsidR="00ED6EC4" w:rsidRPr="00ED6EC4">
        <w:rPr>
          <w:rFonts w:ascii="Times New Roman" w:eastAsia="Times New Roman" w:hAnsi="Times New Roman" w:cs="Times New Roman"/>
          <w:noProof/>
          <w:lang w:val="en-IE"/>
        </w:rPr>
        <w:t xml:space="preserve"> Baden-Württemberg</w:t>
      </w:r>
      <w:r w:rsidR="002A2178">
        <w:rPr>
          <w:rStyle w:val="FootnoteReference"/>
          <w:rFonts w:ascii="Times New Roman" w:eastAsia="Times New Roman" w:hAnsi="Times New Roman" w:cs="Times New Roman"/>
          <w:noProof/>
          <w:lang w:val="en-IE"/>
        </w:rPr>
        <w:footnoteReference w:id="63"/>
      </w:r>
      <w:r w:rsidR="00ED6EC4" w:rsidRPr="00ED6EC4">
        <w:rPr>
          <w:rFonts w:ascii="Times New Roman" w:eastAsia="Times New Roman" w:hAnsi="Times New Roman" w:cs="Times New Roman"/>
          <w:noProof/>
          <w:lang w:val="en-IE"/>
        </w:rPr>
        <w:t xml:space="preserve">) whereas other Länder do not include them in the scope of their transparency registers (e.g. </w:t>
      </w:r>
      <w:r w:rsidR="00EC6575" w:rsidRPr="00ED6EC4">
        <w:rPr>
          <w:rFonts w:ascii="Times New Roman" w:eastAsia="Times New Roman" w:hAnsi="Times New Roman" w:cs="Times New Roman"/>
          <w:noProof/>
          <w:lang w:val="en-IE"/>
        </w:rPr>
        <w:t>Brandenburg</w:t>
      </w:r>
      <w:r w:rsidR="008041E2">
        <w:rPr>
          <w:rStyle w:val="FootnoteReference"/>
          <w:rFonts w:ascii="Times New Roman" w:eastAsia="Times New Roman" w:hAnsi="Times New Roman" w:cs="Times New Roman"/>
          <w:noProof/>
          <w:lang w:val="en-IE"/>
        </w:rPr>
        <w:footnoteReference w:id="64"/>
      </w:r>
      <w:r w:rsidR="00EC6575" w:rsidRPr="00ED6EC4">
        <w:rPr>
          <w:rFonts w:ascii="Times New Roman" w:eastAsia="Times New Roman" w:hAnsi="Times New Roman" w:cs="Times New Roman"/>
          <w:noProof/>
          <w:lang w:val="en-IE"/>
        </w:rPr>
        <w:t>)</w:t>
      </w:r>
      <w:r w:rsidR="00563D05">
        <w:rPr>
          <w:rStyle w:val="FootnoteReference"/>
          <w:rFonts w:ascii="Times New Roman" w:eastAsia="Times New Roman" w:hAnsi="Times New Roman" w:cs="Times New Roman"/>
          <w:noProof/>
          <w:lang w:val="en-IE"/>
        </w:rPr>
        <w:footnoteReference w:id="65"/>
      </w:r>
      <w:r w:rsidR="00DB1D97" w:rsidRPr="0080543E">
        <w:rPr>
          <w:rFonts w:ascii="Times New Roman" w:eastAsia="Times New Roman" w:hAnsi="Times New Roman" w:cs="Times New Roman"/>
          <w:noProof/>
          <w:lang w:val="en-IE"/>
        </w:rPr>
        <w:t xml:space="preserve">. </w:t>
      </w:r>
      <w:r w:rsidR="000035E7" w:rsidRPr="0080543E">
        <w:rPr>
          <w:rFonts w:ascii="Times New Roman" w:eastAsia="Times New Roman" w:hAnsi="Times New Roman" w:cs="Times New Roman"/>
          <w:noProof/>
          <w:lang w:val="en-IE"/>
        </w:rPr>
        <w:t>In Lithuania,</w:t>
      </w:r>
      <w:r w:rsidR="00000DB5" w:rsidRPr="0080543E">
        <w:rPr>
          <w:rFonts w:ascii="Times New Roman" w:eastAsia="Times New Roman" w:hAnsi="Times New Roman" w:cs="Times New Roman"/>
          <w:noProof/>
          <w:lang w:val="en-IE"/>
        </w:rPr>
        <w:t xml:space="preserve"> </w:t>
      </w:r>
      <w:r w:rsidR="00466A7B">
        <w:rPr>
          <w:rFonts w:ascii="Times New Roman" w:eastAsia="Times New Roman" w:hAnsi="Times New Roman" w:cs="Times New Roman"/>
          <w:noProof/>
          <w:lang w:val="en-IE"/>
        </w:rPr>
        <w:t xml:space="preserve">Commercial </w:t>
      </w:r>
      <w:r w:rsidR="00000DB5" w:rsidRPr="0080543E">
        <w:rPr>
          <w:rFonts w:ascii="Times New Roman" w:eastAsia="Times New Roman" w:hAnsi="Times New Roman" w:cs="Times New Roman"/>
          <w:noProof/>
          <w:lang w:val="en-IE"/>
        </w:rPr>
        <w:t>Company A</w:t>
      </w:r>
      <w:r w:rsidR="00A26529" w:rsidRPr="0080543E">
        <w:rPr>
          <w:rFonts w:ascii="Times New Roman" w:eastAsia="Times New Roman" w:hAnsi="Times New Roman" w:cs="Times New Roman"/>
          <w:noProof/>
          <w:lang w:val="en-IE"/>
        </w:rPr>
        <w:t xml:space="preserve"> </w:t>
      </w:r>
      <w:r w:rsidR="00BF1433" w:rsidRPr="0080543E">
        <w:rPr>
          <w:rFonts w:ascii="Times New Roman" w:eastAsia="Times New Roman" w:hAnsi="Times New Roman" w:cs="Times New Roman"/>
          <w:noProof/>
          <w:lang w:val="en-IE"/>
        </w:rPr>
        <w:t>faces regulatory requirements which do not apply to civil society organisations</w:t>
      </w:r>
      <w:r w:rsidR="00840710" w:rsidRPr="0080543E">
        <w:rPr>
          <w:rFonts w:ascii="Times New Roman" w:eastAsia="Times New Roman" w:hAnsi="Times New Roman" w:cs="Times New Roman"/>
          <w:noProof/>
          <w:lang w:val="en-IE"/>
        </w:rPr>
        <w:t xml:space="preserve"> performing similar activities, because these are excluded from the scope of the registration and transparency requirements existing in Lithuania</w:t>
      </w:r>
      <w:r w:rsidR="005F4183">
        <w:rPr>
          <w:rStyle w:val="FootnoteReference"/>
          <w:rFonts w:ascii="Times New Roman" w:eastAsia="Times New Roman" w:hAnsi="Times New Roman" w:cs="Times New Roman"/>
          <w:noProof/>
          <w:lang w:val="en-IE"/>
        </w:rPr>
        <w:footnoteReference w:id="66"/>
      </w:r>
      <w:r w:rsidR="00840710" w:rsidRPr="0080543E">
        <w:rPr>
          <w:rFonts w:ascii="Times New Roman" w:eastAsia="Times New Roman" w:hAnsi="Times New Roman" w:cs="Times New Roman"/>
          <w:noProof/>
          <w:lang w:val="en-IE"/>
        </w:rPr>
        <w:t>.</w:t>
      </w:r>
      <w:r w:rsidR="00840710" w:rsidRPr="00532C20">
        <w:rPr>
          <w:rFonts w:ascii="Times New Roman" w:eastAsia="Times New Roman" w:hAnsi="Times New Roman" w:cs="Times New Roman"/>
          <w:noProof/>
          <w:lang w:val="en-IE"/>
        </w:rPr>
        <w:t xml:space="preserve"> </w:t>
      </w:r>
    </w:p>
    <w:p w14:paraId="1392AC73" w14:textId="3EBC3FF7" w:rsidR="00D91B01" w:rsidRPr="00532C20" w:rsidRDefault="00D91B01" w:rsidP="002B6714">
      <w:pPr>
        <w:spacing w:after="120" w:line="240" w:lineRule="auto"/>
        <w:jc w:val="both"/>
        <w:rPr>
          <w:rFonts w:ascii="Times New Roman" w:eastAsia="Times New Roman" w:hAnsi="Times New Roman" w:cs="Times New Roman"/>
          <w:noProof/>
          <w:sz w:val="24"/>
          <w:szCs w:val="24"/>
          <w:lang w:val="en-IE"/>
        </w:rPr>
      </w:pPr>
      <w:r w:rsidRPr="00532C20">
        <w:rPr>
          <w:rFonts w:ascii="Times New Roman" w:eastAsia="Times New Roman" w:hAnsi="Times New Roman" w:cs="Times New Roman"/>
          <w:noProof/>
          <w:sz w:val="24"/>
          <w:szCs w:val="24"/>
          <w:lang w:val="en-IE"/>
        </w:rPr>
        <w:t xml:space="preserve">Second, there are </w:t>
      </w:r>
      <w:r w:rsidR="0017243A" w:rsidRPr="00532C20">
        <w:rPr>
          <w:rFonts w:ascii="Times New Roman" w:eastAsia="Times New Roman" w:hAnsi="Times New Roman" w:cs="Times New Roman"/>
          <w:b/>
          <w:bCs/>
          <w:noProof/>
          <w:sz w:val="24"/>
          <w:szCs w:val="24"/>
          <w:lang w:val="en-IE"/>
        </w:rPr>
        <w:t xml:space="preserve">unnecessary </w:t>
      </w:r>
      <w:r w:rsidRPr="00532C20">
        <w:rPr>
          <w:rFonts w:ascii="Times New Roman" w:eastAsia="Times New Roman" w:hAnsi="Times New Roman" w:cs="Times New Roman"/>
          <w:b/>
          <w:bCs/>
          <w:noProof/>
          <w:sz w:val="24"/>
          <w:szCs w:val="24"/>
          <w:lang w:val="en-IE"/>
        </w:rPr>
        <w:t xml:space="preserve">costs for </w:t>
      </w:r>
      <w:r w:rsidR="001B32DC" w:rsidRPr="00532C20">
        <w:rPr>
          <w:rFonts w:ascii="Times New Roman" w:eastAsia="Times New Roman" w:hAnsi="Times New Roman" w:cs="Times New Roman"/>
          <w:b/>
          <w:bCs/>
          <w:noProof/>
          <w:sz w:val="24"/>
          <w:szCs w:val="24"/>
          <w:lang w:val="en-IE"/>
        </w:rPr>
        <w:t>entities</w:t>
      </w:r>
      <w:r w:rsidRPr="00532C20">
        <w:rPr>
          <w:rFonts w:ascii="Times New Roman" w:eastAsia="Times New Roman" w:hAnsi="Times New Roman" w:cs="Times New Roman"/>
          <w:b/>
          <w:bCs/>
          <w:noProof/>
          <w:sz w:val="24"/>
          <w:szCs w:val="24"/>
          <w:lang w:val="en-IE"/>
        </w:rPr>
        <w:t xml:space="preserve"> that wish to operate across borders</w:t>
      </w:r>
      <w:r w:rsidRPr="00532C20">
        <w:rPr>
          <w:rFonts w:ascii="Times New Roman" w:eastAsia="Times New Roman" w:hAnsi="Times New Roman" w:cs="Times New Roman"/>
          <w:noProof/>
          <w:sz w:val="24"/>
          <w:szCs w:val="24"/>
          <w:lang w:val="en-IE"/>
        </w:rPr>
        <w:t xml:space="preserve"> in the internal market. At present, the process of entering a new market </w:t>
      </w:r>
      <w:r w:rsidR="00B52A6C" w:rsidRPr="00532C20">
        <w:rPr>
          <w:rFonts w:ascii="Times New Roman" w:eastAsia="Times New Roman" w:hAnsi="Times New Roman" w:cs="Times New Roman"/>
          <w:noProof/>
          <w:sz w:val="24"/>
          <w:szCs w:val="24"/>
          <w:lang w:val="en-IE"/>
        </w:rPr>
        <w:t>in another</w:t>
      </w:r>
      <w:r w:rsidRPr="00532C20">
        <w:rPr>
          <w:rFonts w:ascii="Times New Roman" w:eastAsia="Times New Roman" w:hAnsi="Times New Roman" w:cs="Times New Roman"/>
          <w:noProof/>
          <w:sz w:val="24"/>
          <w:szCs w:val="24"/>
          <w:lang w:val="en-IE"/>
        </w:rPr>
        <w:t xml:space="preserve"> Member State</w:t>
      </w:r>
      <w:r w:rsidR="00B52A6C" w:rsidRPr="00532C20">
        <w:rPr>
          <w:rFonts w:ascii="Times New Roman" w:eastAsia="Times New Roman" w:hAnsi="Times New Roman" w:cs="Times New Roman"/>
          <w:noProof/>
          <w:sz w:val="24"/>
          <w:szCs w:val="24"/>
          <w:lang w:val="en-IE"/>
        </w:rPr>
        <w:t xml:space="preserve"> than the state of establishment</w:t>
      </w:r>
      <w:r w:rsidRPr="00532C20">
        <w:rPr>
          <w:rFonts w:ascii="Times New Roman" w:eastAsia="Times New Roman" w:hAnsi="Times New Roman" w:cs="Times New Roman"/>
          <w:noProof/>
          <w:sz w:val="24"/>
          <w:szCs w:val="24"/>
          <w:lang w:val="en-IE"/>
        </w:rPr>
        <w:t xml:space="preserve"> is </w:t>
      </w:r>
      <w:r w:rsidR="00B52A6C" w:rsidRPr="00532C20">
        <w:rPr>
          <w:rFonts w:ascii="Times New Roman" w:eastAsia="Times New Roman" w:hAnsi="Times New Roman" w:cs="Times New Roman"/>
          <w:noProof/>
          <w:sz w:val="24"/>
          <w:szCs w:val="24"/>
          <w:lang w:val="en-IE"/>
        </w:rPr>
        <w:t>made</w:t>
      </w:r>
      <w:r w:rsidRPr="00532C20">
        <w:rPr>
          <w:rFonts w:ascii="Times New Roman" w:eastAsia="Times New Roman" w:hAnsi="Times New Roman" w:cs="Times New Roman"/>
          <w:noProof/>
          <w:sz w:val="24"/>
          <w:szCs w:val="24"/>
          <w:lang w:val="en-IE"/>
        </w:rPr>
        <w:t xml:space="preserve"> difficult by the costs of complying with fragmented rules</w:t>
      </w:r>
      <w:r w:rsidR="00277C54" w:rsidRPr="00532C20">
        <w:rPr>
          <w:rFonts w:ascii="Times New Roman" w:eastAsia="Times New Roman" w:hAnsi="Times New Roman" w:cs="Times New Roman"/>
          <w:noProof/>
          <w:sz w:val="24"/>
          <w:szCs w:val="24"/>
          <w:lang w:val="en-IE"/>
        </w:rPr>
        <w:t xml:space="preserve">. </w:t>
      </w:r>
    </w:p>
    <w:p w14:paraId="1AF257CC" w14:textId="5CCC5B07" w:rsidR="00A2656A" w:rsidRPr="00532C20" w:rsidRDefault="00A2656A" w:rsidP="00D95435">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i/>
          <w:noProof/>
          <w:lang w:val="en-IE"/>
        </w:rPr>
      </w:pPr>
      <w:r w:rsidRPr="00532C20">
        <w:rPr>
          <w:rFonts w:ascii="Times New Roman" w:eastAsia="Times New Roman" w:hAnsi="Times New Roman" w:cs="Times New Roman"/>
          <w:b/>
          <w:i/>
          <w:noProof/>
          <w:lang w:val="en-IE"/>
        </w:rPr>
        <w:t xml:space="preserve">Compliance </w:t>
      </w:r>
      <w:r w:rsidR="007505B1" w:rsidRPr="00532C20">
        <w:rPr>
          <w:rFonts w:ascii="Times New Roman" w:eastAsia="Times New Roman" w:hAnsi="Times New Roman" w:cs="Times New Roman"/>
          <w:b/>
          <w:i/>
          <w:noProof/>
          <w:lang w:val="en-IE"/>
        </w:rPr>
        <w:t>with</w:t>
      </w:r>
      <w:r w:rsidRPr="00532C20">
        <w:rPr>
          <w:rFonts w:ascii="Times New Roman" w:eastAsia="Times New Roman" w:hAnsi="Times New Roman" w:cs="Times New Roman"/>
          <w:b/>
          <w:i/>
          <w:noProof/>
          <w:lang w:val="en-IE"/>
        </w:rPr>
        <w:t xml:space="preserve"> different regulatory framework</w:t>
      </w:r>
      <w:r w:rsidR="009E642E">
        <w:rPr>
          <w:rFonts w:ascii="Times New Roman" w:eastAsia="Times New Roman" w:hAnsi="Times New Roman" w:cs="Times New Roman"/>
          <w:b/>
          <w:i/>
          <w:noProof/>
          <w:lang w:val="en-IE"/>
        </w:rPr>
        <w:t>s</w:t>
      </w:r>
    </w:p>
    <w:p w14:paraId="649D0981" w14:textId="5AE16647" w:rsidR="00A2656A" w:rsidRPr="00532C20" w:rsidRDefault="00A2656A" w:rsidP="00A2656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lang w:val="en-IE"/>
        </w:rPr>
        <w:t>Stakeholder</w:t>
      </w:r>
      <w:r w:rsidRPr="00532C20">
        <w:rPr>
          <w:rFonts w:ascii="Times New Roman" w:eastAsia="Times New Roman" w:hAnsi="Times New Roman" w:cs="Times New Roman"/>
          <w:b/>
          <w:noProof/>
        </w:rPr>
        <w:t xml:space="preserve"> views</w:t>
      </w:r>
    </w:p>
    <w:p w14:paraId="1C94FE74" w14:textId="77827B58" w:rsidR="00A2656A" w:rsidRPr="00532C20" w:rsidRDefault="00A2656A" w:rsidP="00A2656A">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noProof/>
        </w:rPr>
      </w:pPr>
      <w:r w:rsidRPr="00532C20">
        <w:rPr>
          <w:rFonts w:ascii="Times New Roman" w:eastAsia="Times New Roman" w:hAnsi="Times New Roman" w:cs="Times New Roman"/>
          <w:noProof/>
          <w:lang w:val="en-IE"/>
        </w:rPr>
        <w:t>Interest representation service providers expressed their desire to expand beyond their Member State’s market</w:t>
      </w:r>
      <w:r w:rsidRPr="00532C20">
        <w:rPr>
          <w:rStyle w:val="FootnoteReference"/>
          <w:rFonts w:ascii="Times New Roman" w:eastAsia="Times New Roman" w:hAnsi="Times New Roman" w:cs="Times New Roman"/>
          <w:noProof/>
          <w:lang w:val="en-IE"/>
        </w:rPr>
        <w:footnoteReference w:id="67"/>
      </w:r>
      <w:r w:rsidRPr="00532C20">
        <w:rPr>
          <w:rFonts w:ascii="Times New Roman" w:eastAsia="Times New Roman" w:hAnsi="Times New Roman" w:cs="Times New Roman"/>
          <w:noProof/>
          <w:lang w:val="en-IE"/>
        </w:rPr>
        <w:t xml:space="preserve">. </w:t>
      </w:r>
      <w:r w:rsidRPr="00532C20">
        <w:rPr>
          <w:rFonts w:ascii="Times New Roman" w:eastAsia="Times New Roman" w:hAnsi="Times New Roman" w:cs="Times New Roman"/>
          <w:noProof/>
        </w:rPr>
        <w:t>During a focus group consultation with commercial actors involved in cross-border interest representation activities, participants explained their difficulties to comply with all the different transparency registers’ requirements, in particular with the need to maintain up-to-date information in all of them, as the obligations vary across Member States.</w:t>
      </w:r>
    </w:p>
    <w:p w14:paraId="64DC5C98" w14:textId="5457924D" w:rsidR="00A2656A" w:rsidRPr="00532C20" w:rsidRDefault="007E3275" w:rsidP="00D95435">
      <w:pPr>
        <w:keepNext/>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i/>
          <w:noProof/>
          <w:lang w:val="en-IE"/>
        </w:rPr>
      </w:pPr>
      <w:r w:rsidRPr="00532C20">
        <w:rPr>
          <w:rFonts w:ascii="Times New Roman" w:eastAsia="Times New Roman" w:hAnsi="Times New Roman" w:cs="Times New Roman"/>
          <w:b/>
          <w:i/>
          <w:noProof/>
          <w:lang w:val="en-IE"/>
        </w:rPr>
        <w:t>Illustrative c</w:t>
      </w:r>
      <w:r w:rsidR="00A2656A" w:rsidRPr="00532C20">
        <w:rPr>
          <w:rFonts w:ascii="Times New Roman" w:eastAsia="Times New Roman" w:hAnsi="Times New Roman" w:cs="Times New Roman"/>
          <w:b/>
          <w:i/>
          <w:noProof/>
          <w:lang w:val="en-IE"/>
        </w:rPr>
        <w:t>ase study n°</w:t>
      </w:r>
      <w:r w:rsidR="006D6F94" w:rsidRPr="00532C20">
        <w:rPr>
          <w:rFonts w:ascii="Times New Roman" w:eastAsia="Times New Roman" w:hAnsi="Times New Roman" w:cs="Times New Roman"/>
          <w:b/>
          <w:i/>
          <w:noProof/>
          <w:lang w:val="en-IE"/>
        </w:rPr>
        <w:t>2</w:t>
      </w:r>
    </w:p>
    <w:p w14:paraId="792E6354" w14:textId="79265A89" w:rsidR="00AE3B9B" w:rsidRPr="00532C20" w:rsidRDefault="00A2656A" w:rsidP="00A2656A">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noProof/>
          <w:lang w:val="en-IE"/>
        </w:rPr>
      </w:pPr>
      <w:r w:rsidRPr="00532C20">
        <w:rPr>
          <w:rFonts w:ascii="Times New Roman" w:eastAsia="Times New Roman" w:hAnsi="Times New Roman" w:cs="Times New Roman"/>
          <w:noProof/>
          <w:lang w:val="en-IE"/>
        </w:rPr>
        <w:t xml:space="preserve">A small-sized service provider established in Sweden, specialised in interest representation activities </w:t>
      </w:r>
      <w:r w:rsidR="00492EA0" w:rsidRPr="00532C20">
        <w:rPr>
          <w:rFonts w:ascii="Times New Roman" w:eastAsia="Times New Roman" w:hAnsi="Times New Roman" w:cs="Times New Roman"/>
          <w:noProof/>
          <w:lang w:val="en-IE"/>
        </w:rPr>
        <w:t xml:space="preserve">on behalf of </w:t>
      </w:r>
      <w:r w:rsidRPr="00532C20">
        <w:rPr>
          <w:rFonts w:ascii="Times New Roman" w:eastAsia="Times New Roman" w:hAnsi="Times New Roman" w:cs="Times New Roman"/>
          <w:noProof/>
          <w:lang w:val="en-IE"/>
        </w:rPr>
        <w:t>third country A, wants to carry out these activities in several other Member States</w:t>
      </w:r>
      <w:r w:rsidR="00D87DD2">
        <w:rPr>
          <w:rFonts w:ascii="Times New Roman" w:eastAsia="Times New Roman" w:hAnsi="Times New Roman" w:cs="Times New Roman"/>
          <w:noProof/>
          <w:lang w:val="en-IE"/>
        </w:rPr>
        <w:t>. It</w:t>
      </w:r>
      <w:r w:rsidR="00563D05">
        <w:rPr>
          <w:rFonts w:ascii="Times New Roman" w:eastAsia="Times New Roman" w:hAnsi="Times New Roman" w:cs="Times New Roman"/>
          <w:noProof/>
          <w:lang w:val="en-IE"/>
        </w:rPr>
        <w:t xml:space="preserve"> therefore has to comply with </w:t>
      </w:r>
      <w:r w:rsidR="00E138A5">
        <w:rPr>
          <w:rFonts w:ascii="Times New Roman" w:eastAsia="Times New Roman" w:hAnsi="Times New Roman" w:cs="Times New Roman"/>
          <w:noProof/>
          <w:lang w:val="en-IE"/>
        </w:rPr>
        <w:t>different rules and requirements in each Member State</w:t>
      </w:r>
      <w:r w:rsidR="004933A7">
        <w:rPr>
          <w:rFonts w:ascii="Times New Roman" w:eastAsia="Times New Roman" w:hAnsi="Times New Roman" w:cs="Times New Roman"/>
          <w:noProof/>
          <w:lang w:val="en-IE"/>
        </w:rPr>
        <w:t xml:space="preserve"> which implies costs</w:t>
      </w:r>
      <w:r w:rsidRPr="00532C20">
        <w:rPr>
          <w:rFonts w:ascii="Times New Roman" w:eastAsia="Times New Roman" w:hAnsi="Times New Roman" w:cs="Times New Roman"/>
          <w:noProof/>
          <w:lang w:val="en-IE"/>
        </w:rPr>
        <w:t>. It decides to start with Greece and Slovenia. At present, Sweden</w:t>
      </w:r>
      <w:r w:rsidR="005F4183">
        <w:rPr>
          <w:rStyle w:val="FootnoteReference"/>
          <w:rFonts w:ascii="Times New Roman" w:eastAsia="Times New Roman" w:hAnsi="Times New Roman" w:cs="Times New Roman"/>
          <w:noProof/>
          <w:lang w:val="en-IE"/>
        </w:rPr>
        <w:footnoteReference w:id="68"/>
      </w:r>
      <w:r w:rsidRPr="00532C20">
        <w:rPr>
          <w:rFonts w:ascii="Times New Roman" w:eastAsia="Times New Roman" w:hAnsi="Times New Roman" w:cs="Times New Roman"/>
          <w:noProof/>
          <w:lang w:val="en-IE"/>
        </w:rPr>
        <w:t xml:space="preserve"> does not regulate interest representation activities while Greek</w:t>
      </w:r>
      <w:r w:rsidR="005F4183">
        <w:rPr>
          <w:rStyle w:val="FootnoteReference"/>
          <w:rFonts w:ascii="Times New Roman" w:eastAsia="Times New Roman" w:hAnsi="Times New Roman" w:cs="Times New Roman"/>
          <w:noProof/>
          <w:lang w:val="en-IE"/>
        </w:rPr>
        <w:footnoteReference w:id="69"/>
      </w:r>
      <w:r w:rsidRPr="00532C20">
        <w:rPr>
          <w:rFonts w:ascii="Times New Roman" w:eastAsia="Times New Roman" w:hAnsi="Times New Roman" w:cs="Times New Roman"/>
          <w:noProof/>
          <w:lang w:val="en-IE"/>
        </w:rPr>
        <w:t xml:space="preserve"> </w:t>
      </w:r>
      <w:r w:rsidR="00847C26" w:rsidRPr="00532C20">
        <w:rPr>
          <w:rFonts w:ascii="Times New Roman" w:eastAsia="Times New Roman" w:hAnsi="Times New Roman" w:cs="Times New Roman"/>
          <w:noProof/>
          <w:lang w:val="en-IE"/>
        </w:rPr>
        <w:t>and Slovene</w:t>
      </w:r>
      <w:r w:rsidR="005F4183">
        <w:rPr>
          <w:rStyle w:val="FootnoteReference"/>
          <w:rFonts w:ascii="Times New Roman" w:eastAsia="Times New Roman" w:hAnsi="Times New Roman" w:cs="Times New Roman"/>
          <w:noProof/>
          <w:lang w:val="en-IE"/>
        </w:rPr>
        <w:footnoteReference w:id="70"/>
      </w:r>
      <w:r w:rsidRPr="00532C20">
        <w:rPr>
          <w:rFonts w:ascii="Times New Roman" w:eastAsia="Times New Roman" w:hAnsi="Times New Roman" w:cs="Times New Roman"/>
          <w:noProof/>
          <w:lang w:val="en-IE"/>
        </w:rPr>
        <w:t xml:space="preserve"> law</w:t>
      </w:r>
      <w:r w:rsidR="00847C26" w:rsidRPr="00532C20">
        <w:rPr>
          <w:rFonts w:ascii="Times New Roman" w:eastAsia="Times New Roman" w:hAnsi="Times New Roman" w:cs="Times New Roman"/>
          <w:noProof/>
          <w:lang w:val="en-IE"/>
        </w:rPr>
        <w:t>s</w:t>
      </w:r>
      <w:r w:rsidRPr="00532C20">
        <w:rPr>
          <w:rFonts w:ascii="Times New Roman" w:eastAsia="Times New Roman" w:hAnsi="Times New Roman" w:cs="Times New Roman"/>
          <w:noProof/>
          <w:lang w:val="en-IE"/>
        </w:rPr>
        <w:t xml:space="preserve"> require to declare information such as the institutions or bodies it intends to direct its interest representation activities to, the policy areas and types of decisions it intends to target, and the intended results of its interest representation activities. </w:t>
      </w:r>
      <w:r w:rsidR="00A5442C" w:rsidRPr="00532C20">
        <w:rPr>
          <w:rFonts w:ascii="Times New Roman" w:eastAsia="Times New Roman" w:hAnsi="Times New Roman" w:cs="Times New Roman"/>
          <w:noProof/>
          <w:lang w:val="en-IE"/>
        </w:rPr>
        <w:t>T</w:t>
      </w:r>
      <w:r w:rsidRPr="00532C20">
        <w:rPr>
          <w:rFonts w:ascii="Times New Roman" w:eastAsia="Times New Roman" w:hAnsi="Times New Roman" w:cs="Times New Roman"/>
          <w:noProof/>
          <w:lang w:val="en-IE"/>
        </w:rPr>
        <w:t xml:space="preserve">he service provider </w:t>
      </w:r>
      <w:r w:rsidR="00A5442C" w:rsidRPr="00532C20">
        <w:rPr>
          <w:rFonts w:ascii="Times New Roman" w:eastAsia="Times New Roman" w:hAnsi="Times New Roman" w:cs="Times New Roman"/>
          <w:noProof/>
          <w:lang w:val="en-IE"/>
        </w:rPr>
        <w:t>needs to ensure that its</w:t>
      </w:r>
      <w:r w:rsidRPr="00532C20">
        <w:rPr>
          <w:rFonts w:ascii="Times New Roman" w:eastAsia="Times New Roman" w:hAnsi="Times New Roman" w:cs="Times New Roman"/>
          <w:noProof/>
          <w:lang w:val="en-IE"/>
        </w:rPr>
        <w:t xml:space="preserve"> internal record</w:t>
      </w:r>
      <w:r w:rsidR="00563D05">
        <w:rPr>
          <w:rFonts w:ascii="Times New Roman" w:eastAsia="Times New Roman" w:hAnsi="Times New Roman" w:cs="Times New Roman"/>
          <w:noProof/>
          <w:lang w:val="en-IE"/>
        </w:rPr>
        <w:t>-keeping</w:t>
      </w:r>
      <w:r w:rsidRPr="00532C20">
        <w:rPr>
          <w:rFonts w:ascii="Times New Roman" w:eastAsia="Times New Roman" w:hAnsi="Times New Roman" w:cs="Times New Roman"/>
          <w:noProof/>
          <w:lang w:val="en-IE"/>
        </w:rPr>
        <w:t xml:space="preserve"> allow</w:t>
      </w:r>
      <w:r w:rsidR="00A5442C" w:rsidRPr="00532C20">
        <w:rPr>
          <w:rFonts w:ascii="Times New Roman" w:eastAsia="Times New Roman" w:hAnsi="Times New Roman" w:cs="Times New Roman"/>
          <w:noProof/>
          <w:lang w:val="en-IE"/>
        </w:rPr>
        <w:t>s</w:t>
      </w:r>
      <w:r w:rsidRPr="00532C20">
        <w:rPr>
          <w:rFonts w:ascii="Times New Roman" w:eastAsia="Times New Roman" w:hAnsi="Times New Roman" w:cs="Times New Roman"/>
          <w:noProof/>
          <w:lang w:val="en-IE"/>
        </w:rPr>
        <w:t xml:space="preserve"> it to easily comply with Greek </w:t>
      </w:r>
      <w:r w:rsidR="00847C26" w:rsidRPr="00532C20">
        <w:rPr>
          <w:rFonts w:ascii="Times New Roman" w:eastAsia="Times New Roman" w:hAnsi="Times New Roman" w:cs="Times New Roman"/>
          <w:noProof/>
          <w:lang w:val="en-IE"/>
        </w:rPr>
        <w:t>and Slovene</w:t>
      </w:r>
      <w:r w:rsidRPr="00532C20">
        <w:rPr>
          <w:rFonts w:ascii="Times New Roman" w:eastAsia="Times New Roman" w:hAnsi="Times New Roman" w:cs="Times New Roman"/>
          <w:noProof/>
          <w:lang w:val="en-IE"/>
        </w:rPr>
        <w:t xml:space="preserve"> law</w:t>
      </w:r>
      <w:r w:rsidR="00847C26" w:rsidRPr="00532C20">
        <w:rPr>
          <w:rFonts w:ascii="Times New Roman" w:eastAsia="Times New Roman" w:hAnsi="Times New Roman" w:cs="Times New Roman"/>
          <w:noProof/>
          <w:lang w:val="en-IE"/>
        </w:rPr>
        <w:t>s</w:t>
      </w:r>
      <w:r w:rsidRPr="00532C20">
        <w:rPr>
          <w:rFonts w:ascii="Times New Roman" w:eastAsia="Times New Roman" w:hAnsi="Times New Roman" w:cs="Times New Roman"/>
          <w:noProof/>
          <w:lang w:val="en-IE"/>
        </w:rPr>
        <w:t xml:space="preserve">. </w:t>
      </w:r>
    </w:p>
    <w:p w14:paraId="74D91F43" w14:textId="03957238" w:rsidR="00A2656A" w:rsidRPr="00532C20" w:rsidRDefault="00AE3B9B" w:rsidP="00A2656A">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noProof/>
          <w:lang w:val="en-IE"/>
        </w:rPr>
      </w:pPr>
      <w:r w:rsidRPr="00532C20">
        <w:rPr>
          <w:rFonts w:ascii="Times New Roman" w:eastAsia="Times New Roman" w:hAnsi="Times New Roman" w:cs="Times New Roman"/>
          <w:noProof/>
          <w:lang w:val="en-IE"/>
        </w:rPr>
        <w:t>The</w:t>
      </w:r>
      <w:r w:rsidR="00A2656A" w:rsidRPr="00532C20">
        <w:rPr>
          <w:rFonts w:ascii="Times New Roman" w:eastAsia="Times New Roman" w:hAnsi="Times New Roman" w:cs="Times New Roman"/>
          <w:noProof/>
          <w:lang w:val="en-IE"/>
        </w:rPr>
        <w:t xml:space="preserve"> service provider </w:t>
      </w:r>
      <w:r w:rsidRPr="00532C20">
        <w:rPr>
          <w:rFonts w:ascii="Times New Roman" w:eastAsia="Times New Roman" w:hAnsi="Times New Roman" w:cs="Times New Roman"/>
          <w:noProof/>
          <w:lang w:val="en-IE"/>
        </w:rPr>
        <w:t xml:space="preserve">then </w:t>
      </w:r>
      <w:r w:rsidR="00A2656A" w:rsidRPr="00532C20">
        <w:rPr>
          <w:rFonts w:ascii="Times New Roman" w:eastAsia="Times New Roman" w:hAnsi="Times New Roman" w:cs="Times New Roman"/>
          <w:noProof/>
          <w:lang w:val="en-IE"/>
        </w:rPr>
        <w:t xml:space="preserve">decides to enter the </w:t>
      </w:r>
      <w:r w:rsidR="00637CAF" w:rsidRPr="00532C20">
        <w:rPr>
          <w:rFonts w:ascii="Times New Roman" w:eastAsia="Times New Roman" w:hAnsi="Times New Roman" w:cs="Times New Roman"/>
          <w:noProof/>
          <w:lang w:val="en-IE"/>
        </w:rPr>
        <w:t xml:space="preserve">German </w:t>
      </w:r>
      <w:r w:rsidR="00A2656A" w:rsidRPr="00532C20">
        <w:rPr>
          <w:rFonts w:ascii="Times New Roman" w:eastAsia="Times New Roman" w:hAnsi="Times New Roman" w:cs="Times New Roman"/>
          <w:noProof/>
          <w:lang w:val="en-IE"/>
        </w:rPr>
        <w:t>market</w:t>
      </w:r>
      <w:r w:rsidRPr="00532C20">
        <w:rPr>
          <w:rFonts w:ascii="Times New Roman" w:eastAsia="Times New Roman" w:hAnsi="Times New Roman" w:cs="Times New Roman"/>
          <w:noProof/>
          <w:lang w:val="en-IE"/>
        </w:rPr>
        <w:t>. However</w:t>
      </w:r>
      <w:r w:rsidR="00A2656A" w:rsidRPr="00532C20">
        <w:rPr>
          <w:rFonts w:ascii="Times New Roman" w:eastAsia="Times New Roman" w:hAnsi="Times New Roman" w:cs="Times New Roman"/>
          <w:noProof/>
          <w:lang w:val="en-IE"/>
        </w:rPr>
        <w:t>, its internal record</w:t>
      </w:r>
      <w:r w:rsidR="004933A7">
        <w:rPr>
          <w:rFonts w:ascii="Times New Roman" w:eastAsia="Times New Roman" w:hAnsi="Times New Roman" w:cs="Times New Roman"/>
          <w:noProof/>
          <w:lang w:val="en-IE"/>
        </w:rPr>
        <w:t>-</w:t>
      </w:r>
      <w:r w:rsidR="00A2656A" w:rsidRPr="00532C20">
        <w:rPr>
          <w:rFonts w:ascii="Times New Roman" w:eastAsia="Times New Roman" w:hAnsi="Times New Roman" w:cs="Times New Roman"/>
          <w:noProof/>
          <w:lang w:val="en-IE"/>
        </w:rPr>
        <w:t>keeping is not fit for purpose in this new context</w:t>
      </w:r>
      <w:r w:rsidR="00605E96" w:rsidRPr="00532C20">
        <w:rPr>
          <w:rFonts w:ascii="Times New Roman" w:eastAsia="Times New Roman" w:hAnsi="Times New Roman" w:cs="Times New Roman"/>
          <w:noProof/>
          <w:lang w:val="en-IE"/>
        </w:rPr>
        <w:t xml:space="preserve"> because Slovenia</w:t>
      </w:r>
      <w:r w:rsidR="005F4183">
        <w:rPr>
          <w:rStyle w:val="FootnoteReference"/>
          <w:rFonts w:ascii="Times New Roman" w:eastAsia="Times New Roman" w:hAnsi="Times New Roman" w:cs="Times New Roman"/>
          <w:noProof/>
          <w:lang w:val="en-IE"/>
        </w:rPr>
        <w:footnoteReference w:id="71"/>
      </w:r>
      <w:r w:rsidR="00605E96" w:rsidRPr="00532C20">
        <w:rPr>
          <w:rFonts w:ascii="Times New Roman" w:eastAsia="Times New Roman" w:hAnsi="Times New Roman" w:cs="Times New Roman"/>
          <w:noProof/>
          <w:lang w:val="en-IE"/>
        </w:rPr>
        <w:t xml:space="preserve"> require</w:t>
      </w:r>
      <w:r w:rsidR="00CB5A1D" w:rsidRPr="00532C20">
        <w:rPr>
          <w:rFonts w:ascii="Times New Roman" w:eastAsia="Times New Roman" w:hAnsi="Times New Roman" w:cs="Times New Roman"/>
          <w:noProof/>
          <w:lang w:val="en-IE"/>
        </w:rPr>
        <w:t>s</w:t>
      </w:r>
      <w:r w:rsidR="00605E96" w:rsidRPr="00532C20">
        <w:rPr>
          <w:rFonts w:ascii="Times New Roman" w:eastAsia="Times New Roman" w:hAnsi="Times New Roman" w:cs="Times New Roman"/>
          <w:noProof/>
          <w:lang w:val="en-IE"/>
        </w:rPr>
        <w:t xml:space="preserve"> financial disclosures to be based on </w:t>
      </w:r>
      <w:r w:rsidR="00B8312C" w:rsidRPr="00532C20">
        <w:rPr>
          <w:rFonts w:ascii="Times New Roman" w:eastAsia="Times New Roman" w:hAnsi="Times New Roman" w:cs="Times New Roman"/>
          <w:noProof/>
          <w:lang w:val="en-IE"/>
        </w:rPr>
        <w:t>payments received from interest regroups for each matter handled</w:t>
      </w:r>
      <w:r w:rsidR="000F4BAA" w:rsidRPr="00532C20">
        <w:rPr>
          <w:rFonts w:ascii="Times New Roman" w:eastAsia="Times New Roman" w:hAnsi="Times New Roman" w:cs="Times New Roman"/>
          <w:noProof/>
          <w:lang w:val="en-IE"/>
        </w:rPr>
        <w:t xml:space="preserve"> while in Germany</w:t>
      </w:r>
      <w:r w:rsidR="005F4183">
        <w:rPr>
          <w:rStyle w:val="FootnoteReference"/>
          <w:rFonts w:ascii="Times New Roman" w:eastAsia="Times New Roman" w:hAnsi="Times New Roman" w:cs="Times New Roman"/>
          <w:noProof/>
          <w:lang w:val="en-IE"/>
        </w:rPr>
        <w:footnoteReference w:id="72"/>
      </w:r>
      <w:r w:rsidR="000F4BAA" w:rsidRPr="00532C20">
        <w:rPr>
          <w:rFonts w:ascii="Times New Roman" w:eastAsia="Times New Roman" w:hAnsi="Times New Roman" w:cs="Times New Roman"/>
          <w:noProof/>
          <w:lang w:val="en-IE"/>
        </w:rPr>
        <w:t xml:space="preserve"> these are based on expenditures</w:t>
      </w:r>
      <w:r w:rsidR="00B8312C" w:rsidRPr="00532C20">
        <w:rPr>
          <w:rFonts w:ascii="Times New Roman" w:eastAsia="Times New Roman" w:hAnsi="Times New Roman" w:cs="Times New Roman"/>
          <w:noProof/>
          <w:lang w:val="en-IE"/>
        </w:rPr>
        <w:t xml:space="preserve"> linked to interest representation activities</w:t>
      </w:r>
      <w:r w:rsidR="000F4BAA" w:rsidRPr="00532C20">
        <w:rPr>
          <w:rFonts w:ascii="Times New Roman" w:eastAsia="Times New Roman" w:hAnsi="Times New Roman" w:cs="Times New Roman"/>
          <w:noProof/>
          <w:lang w:val="en-IE"/>
        </w:rPr>
        <w:t>.</w:t>
      </w:r>
    </w:p>
    <w:p w14:paraId="1FC5084E" w14:textId="1049AC27" w:rsidR="00A2656A" w:rsidRPr="00532C20" w:rsidRDefault="00A2656A" w:rsidP="00A2656A">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noProof/>
          <w:sz w:val="24"/>
          <w:szCs w:val="24"/>
          <w:lang w:val="en-IE"/>
        </w:rPr>
      </w:pPr>
      <w:r w:rsidRPr="00532C20">
        <w:rPr>
          <w:rFonts w:ascii="Times New Roman" w:eastAsia="Times New Roman" w:hAnsi="Times New Roman" w:cs="Times New Roman"/>
          <w:noProof/>
          <w:lang w:val="en-IE"/>
        </w:rPr>
        <w:t>Later on, the interest representation service provider decides to also expand into Ireland and Lithuania. While the mandatory update timeframes to the Greek</w:t>
      </w:r>
      <w:r w:rsidR="005F4183">
        <w:rPr>
          <w:rStyle w:val="FootnoteReference"/>
          <w:rFonts w:ascii="Times New Roman" w:eastAsia="Times New Roman" w:hAnsi="Times New Roman" w:cs="Times New Roman"/>
          <w:noProof/>
          <w:lang w:val="en-IE"/>
        </w:rPr>
        <w:footnoteReference w:id="73"/>
      </w:r>
      <w:r w:rsidRPr="00532C20">
        <w:rPr>
          <w:rFonts w:ascii="Times New Roman" w:eastAsia="Times New Roman" w:hAnsi="Times New Roman" w:cs="Times New Roman"/>
          <w:noProof/>
          <w:lang w:val="en-IE"/>
        </w:rPr>
        <w:t xml:space="preserve"> and Slovene</w:t>
      </w:r>
      <w:r w:rsidR="005F4183">
        <w:rPr>
          <w:rStyle w:val="FootnoteReference"/>
          <w:rFonts w:ascii="Times New Roman" w:eastAsia="Times New Roman" w:hAnsi="Times New Roman" w:cs="Times New Roman"/>
          <w:noProof/>
          <w:lang w:val="en-IE"/>
        </w:rPr>
        <w:footnoteReference w:id="74"/>
      </w:r>
      <w:r w:rsidRPr="00532C20">
        <w:rPr>
          <w:rFonts w:ascii="Times New Roman" w:eastAsia="Times New Roman" w:hAnsi="Times New Roman" w:cs="Times New Roman"/>
          <w:noProof/>
          <w:lang w:val="en-IE"/>
        </w:rPr>
        <w:t xml:space="preserve"> registers are the same, i.e. annual, the requirements in Ireland</w:t>
      </w:r>
      <w:r w:rsidR="005F4183">
        <w:rPr>
          <w:rStyle w:val="FootnoteReference"/>
          <w:rFonts w:ascii="Times New Roman" w:eastAsia="Times New Roman" w:hAnsi="Times New Roman" w:cs="Times New Roman"/>
          <w:noProof/>
          <w:lang w:val="en-IE"/>
        </w:rPr>
        <w:footnoteReference w:id="75"/>
      </w:r>
      <w:r w:rsidRPr="00532C20">
        <w:rPr>
          <w:rFonts w:ascii="Times New Roman" w:eastAsia="Times New Roman" w:hAnsi="Times New Roman" w:cs="Times New Roman"/>
          <w:noProof/>
          <w:lang w:val="en-IE"/>
        </w:rPr>
        <w:t xml:space="preserve"> are to update registration information every </w:t>
      </w:r>
      <w:r w:rsidR="0017043F" w:rsidRPr="00532C20">
        <w:rPr>
          <w:rFonts w:ascii="Times New Roman" w:eastAsia="Times New Roman" w:hAnsi="Times New Roman" w:cs="Times New Roman"/>
          <w:noProof/>
          <w:lang w:val="en-IE"/>
        </w:rPr>
        <w:t xml:space="preserve">4 </w:t>
      </w:r>
      <w:r w:rsidRPr="00532C20">
        <w:rPr>
          <w:rFonts w:ascii="Times New Roman" w:eastAsia="Times New Roman" w:hAnsi="Times New Roman" w:cs="Times New Roman"/>
          <w:noProof/>
          <w:lang w:val="en-IE"/>
        </w:rPr>
        <w:t>months, and in Lithuania</w:t>
      </w:r>
      <w:r w:rsidR="005F4183">
        <w:rPr>
          <w:rStyle w:val="FootnoteReference"/>
          <w:rFonts w:ascii="Times New Roman" w:eastAsia="Times New Roman" w:hAnsi="Times New Roman" w:cs="Times New Roman"/>
          <w:noProof/>
          <w:lang w:val="en-IE"/>
        </w:rPr>
        <w:footnoteReference w:id="76"/>
      </w:r>
      <w:r w:rsidRPr="00532C20">
        <w:rPr>
          <w:rFonts w:ascii="Times New Roman" w:eastAsia="Times New Roman" w:hAnsi="Times New Roman" w:cs="Times New Roman"/>
          <w:noProof/>
          <w:lang w:val="en-IE"/>
        </w:rPr>
        <w:t xml:space="preserve"> within</w:t>
      </w:r>
      <w:r w:rsidR="00A90D63" w:rsidRPr="00532C20">
        <w:rPr>
          <w:rFonts w:ascii="Times New Roman" w:eastAsia="Times New Roman" w:hAnsi="Times New Roman" w:cs="Times New Roman"/>
          <w:noProof/>
          <w:lang w:val="en-IE"/>
        </w:rPr>
        <w:t xml:space="preserve"> </w:t>
      </w:r>
      <w:r w:rsidR="00D526BC">
        <w:rPr>
          <w:rFonts w:ascii="Times New Roman" w:eastAsia="Times New Roman" w:hAnsi="Times New Roman" w:cs="Times New Roman"/>
          <w:noProof/>
          <w:lang w:val="en-IE"/>
        </w:rPr>
        <w:t>7</w:t>
      </w:r>
      <w:r w:rsidR="00A90D63" w:rsidRPr="00532C20">
        <w:rPr>
          <w:rFonts w:ascii="Times New Roman" w:eastAsia="Times New Roman" w:hAnsi="Times New Roman" w:cs="Times New Roman"/>
          <w:noProof/>
          <w:lang w:val="en-IE"/>
        </w:rPr>
        <w:t xml:space="preserve"> </w:t>
      </w:r>
      <w:r w:rsidRPr="00532C20">
        <w:rPr>
          <w:rFonts w:ascii="Times New Roman" w:eastAsia="Times New Roman" w:hAnsi="Times New Roman" w:cs="Times New Roman"/>
          <w:noProof/>
          <w:lang w:val="en-IE"/>
        </w:rPr>
        <w:t xml:space="preserve">days following each lobbying activity. This will lead to creating an on-going mechanism throughout the year instead of performing a disclosure exercise once yearly, as well as potentially dedicating </w:t>
      </w:r>
      <w:r w:rsidR="000D52B1" w:rsidRPr="00532C20">
        <w:rPr>
          <w:rFonts w:ascii="Times New Roman" w:eastAsia="Times New Roman" w:hAnsi="Times New Roman" w:cs="Times New Roman"/>
          <w:noProof/>
          <w:lang w:val="en-IE"/>
        </w:rPr>
        <w:t>resources</w:t>
      </w:r>
      <w:r w:rsidRPr="00532C20">
        <w:rPr>
          <w:rFonts w:ascii="Times New Roman" w:eastAsia="Times New Roman" w:hAnsi="Times New Roman" w:cs="Times New Roman"/>
          <w:noProof/>
          <w:lang w:val="en-IE"/>
        </w:rPr>
        <w:t xml:space="preserve"> to maintain registrations up-to-date across the markets it operates in.</w:t>
      </w:r>
    </w:p>
    <w:p w14:paraId="22CB4414" w14:textId="4F6C42D0" w:rsidR="00EF76C3" w:rsidRPr="00532C20" w:rsidRDefault="00EF76C3" w:rsidP="00804F4E">
      <w:pPr>
        <w:spacing w:before="160" w:after="160" w:line="240" w:lineRule="auto"/>
        <w:jc w:val="both"/>
        <w:rPr>
          <w:rFonts w:ascii="Times New Roman" w:eastAsia="Times New Roman" w:hAnsi="Times New Roman" w:cs="Times New Roman"/>
          <w:noProof/>
          <w:sz w:val="24"/>
          <w:szCs w:val="24"/>
          <w:lang w:val="en-IE"/>
        </w:rPr>
      </w:pPr>
      <w:r w:rsidRPr="00532C20">
        <w:rPr>
          <w:rFonts w:ascii="Times New Roman" w:eastAsia="Times New Roman" w:hAnsi="Times New Roman" w:cs="Times New Roman"/>
          <w:noProof/>
          <w:sz w:val="24"/>
          <w:szCs w:val="24"/>
          <w:lang w:val="en-IE"/>
        </w:rPr>
        <w:t>This situation</w:t>
      </w:r>
      <w:r w:rsidR="00364D12" w:rsidRPr="00532C20">
        <w:rPr>
          <w:rFonts w:ascii="Times New Roman" w:eastAsia="Times New Roman" w:hAnsi="Times New Roman" w:cs="Times New Roman"/>
          <w:noProof/>
          <w:sz w:val="24"/>
          <w:szCs w:val="24"/>
          <w:lang w:val="en-IE"/>
        </w:rPr>
        <w:t xml:space="preserve"> also</w:t>
      </w:r>
      <w:r w:rsidRPr="00532C20">
        <w:rPr>
          <w:rFonts w:ascii="Times New Roman" w:eastAsia="Times New Roman" w:hAnsi="Times New Roman" w:cs="Times New Roman"/>
          <w:noProof/>
          <w:sz w:val="24"/>
          <w:szCs w:val="24"/>
          <w:lang w:val="en-IE"/>
        </w:rPr>
        <w:t xml:space="preserve"> leads to </w:t>
      </w:r>
      <w:r w:rsidR="00B05D29" w:rsidRPr="00532C20">
        <w:rPr>
          <w:rFonts w:ascii="Times New Roman" w:eastAsia="Times New Roman" w:hAnsi="Times New Roman" w:cs="Times New Roman"/>
          <w:noProof/>
          <w:sz w:val="24"/>
          <w:szCs w:val="24"/>
          <w:lang w:val="en-IE"/>
        </w:rPr>
        <w:t>one</w:t>
      </w:r>
      <w:r w:rsidRPr="00532C20">
        <w:rPr>
          <w:rFonts w:ascii="Times New Roman" w:eastAsia="Times New Roman" w:hAnsi="Times New Roman" w:cs="Times New Roman"/>
          <w:noProof/>
          <w:sz w:val="24"/>
          <w:szCs w:val="24"/>
          <w:lang w:val="en-IE"/>
        </w:rPr>
        <w:t xml:space="preserve"> </w:t>
      </w:r>
      <w:r w:rsidR="00E1116F">
        <w:rPr>
          <w:rFonts w:ascii="Times New Roman" w:eastAsia="Times New Roman" w:hAnsi="Times New Roman" w:cs="Times New Roman"/>
          <w:noProof/>
          <w:sz w:val="24"/>
          <w:szCs w:val="24"/>
          <w:lang w:val="en-IE"/>
        </w:rPr>
        <w:t xml:space="preserve">main </w:t>
      </w:r>
      <w:r w:rsidRPr="00532C20">
        <w:rPr>
          <w:rFonts w:ascii="Times New Roman" w:eastAsia="Times New Roman" w:hAnsi="Times New Roman" w:cs="Times New Roman"/>
          <w:b/>
          <w:noProof/>
          <w:sz w:val="24"/>
          <w:szCs w:val="24"/>
          <w:lang w:val="en-IE"/>
        </w:rPr>
        <w:t>consequence</w:t>
      </w:r>
      <w:r w:rsidR="00804F4E" w:rsidRPr="00532C20">
        <w:rPr>
          <w:rFonts w:ascii="Times New Roman" w:eastAsia="Times New Roman" w:hAnsi="Times New Roman" w:cs="Times New Roman"/>
          <w:b/>
          <w:noProof/>
          <w:sz w:val="24"/>
          <w:szCs w:val="24"/>
          <w:lang w:val="en-IE"/>
        </w:rPr>
        <w:t>.</w:t>
      </w:r>
      <w:r w:rsidRPr="00532C20">
        <w:rPr>
          <w:rFonts w:ascii="Times New Roman" w:eastAsia="Times New Roman" w:hAnsi="Times New Roman" w:cs="Times New Roman"/>
          <w:noProof/>
          <w:sz w:val="24"/>
          <w:szCs w:val="24"/>
          <w:lang w:val="en-IE"/>
        </w:rPr>
        <w:t xml:space="preserve"> </w:t>
      </w:r>
      <w:r w:rsidR="00804F4E" w:rsidRPr="00532C20">
        <w:rPr>
          <w:rFonts w:ascii="Times New Roman" w:eastAsia="Times New Roman" w:hAnsi="Times New Roman" w:cs="Times New Roman"/>
          <w:noProof/>
          <w:sz w:val="24"/>
          <w:szCs w:val="24"/>
          <w:lang w:val="en-IE"/>
        </w:rPr>
        <w:t>T</w:t>
      </w:r>
      <w:r w:rsidRPr="00532C20">
        <w:rPr>
          <w:rFonts w:ascii="Times New Roman" w:eastAsia="Times New Roman" w:hAnsi="Times New Roman" w:cs="Times New Roman"/>
          <w:noProof/>
          <w:sz w:val="24"/>
          <w:szCs w:val="24"/>
          <w:lang w:val="en-IE"/>
        </w:rPr>
        <w:t xml:space="preserve">he uneven playing field </w:t>
      </w:r>
      <w:r w:rsidR="00152E51" w:rsidRPr="00532C20">
        <w:rPr>
          <w:rFonts w:ascii="Times New Roman" w:eastAsia="Times New Roman" w:hAnsi="Times New Roman" w:cs="Times New Roman"/>
          <w:b/>
          <w:noProof/>
          <w:sz w:val="24"/>
          <w:szCs w:val="24"/>
          <w:lang w:val="en-IE"/>
        </w:rPr>
        <w:t>direct</w:t>
      </w:r>
      <w:r w:rsidR="000F5B44" w:rsidRPr="00532C20">
        <w:rPr>
          <w:rFonts w:ascii="Times New Roman" w:eastAsia="Times New Roman" w:hAnsi="Times New Roman" w:cs="Times New Roman"/>
          <w:b/>
          <w:noProof/>
          <w:sz w:val="24"/>
          <w:szCs w:val="24"/>
          <w:lang w:val="en-IE"/>
        </w:rPr>
        <w:t>s</w:t>
      </w:r>
      <w:r w:rsidR="00436C42" w:rsidRPr="00532C20">
        <w:rPr>
          <w:rFonts w:ascii="Times New Roman" w:eastAsia="Times New Roman" w:hAnsi="Times New Roman" w:cs="Times New Roman"/>
          <w:b/>
          <w:noProof/>
          <w:sz w:val="24"/>
          <w:szCs w:val="24"/>
          <w:lang w:val="en-IE"/>
        </w:rPr>
        <w:t xml:space="preserve"> cross</w:t>
      </w:r>
      <w:r w:rsidR="00C64771" w:rsidRPr="00532C20">
        <w:rPr>
          <w:rFonts w:ascii="Times New Roman" w:eastAsia="Times New Roman" w:hAnsi="Times New Roman" w:cs="Times New Roman"/>
          <w:b/>
          <w:noProof/>
          <w:sz w:val="24"/>
          <w:szCs w:val="24"/>
          <w:lang w:val="en-IE"/>
        </w:rPr>
        <w:t>-</w:t>
      </w:r>
      <w:r w:rsidR="00436C42" w:rsidRPr="00532C20">
        <w:rPr>
          <w:rFonts w:ascii="Times New Roman" w:eastAsia="Times New Roman" w:hAnsi="Times New Roman" w:cs="Times New Roman"/>
          <w:b/>
          <w:noProof/>
          <w:sz w:val="24"/>
          <w:szCs w:val="24"/>
          <w:lang w:val="en-IE"/>
        </w:rPr>
        <w:t>border</w:t>
      </w:r>
      <w:r w:rsidR="00152E51" w:rsidRPr="00532C20">
        <w:rPr>
          <w:rFonts w:ascii="Times New Roman" w:eastAsia="Times New Roman" w:hAnsi="Times New Roman" w:cs="Times New Roman"/>
          <w:b/>
          <w:noProof/>
          <w:sz w:val="24"/>
          <w:szCs w:val="24"/>
          <w:lang w:val="en-IE"/>
        </w:rPr>
        <w:t xml:space="preserve"> interest representation </w:t>
      </w:r>
      <w:r w:rsidR="00436C42" w:rsidRPr="00532C20">
        <w:rPr>
          <w:rFonts w:ascii="Times New Roman" w:eastAsia="Times New Roman" w:hAnsi="Times New Roman" w:cs="Times New Roman"/>
          <w:b/>
          <w:noProof/>
          <w:sz w:val="24"/>
          <w:szCs w:val="24"/>
          <w:lang w:val="en-IE"/>
        </w:rPr>
        <w:t>activities away from more regulated Member States towards less regulated ones or where enforcement is limited</w:t>
      </w:r>
      <w:r w:rsidR="00436C42" w:rsidRPr="00532C20">
        <w:rPr>
          <w:rFonts w:ascii="Times New Roman" w:eastAsia="Times New Roman" w:hAnsi="Times New Roman" w:cs="Times New Roman"/>
          <w:noProof/>
          <w:sz w:val="24"/>
          <w:szCs w:val="24"/>
          <w:lang w:val="en-IE"/>
        </w:rPr>
        <w:t xml:space="preserve">. </w:t>
      </w:r>
      <w:r w:rsidR="0014436B" w:rsidRPr="00532C20">
        <w:rPr>
          <w:rFonts w:ascii="Times New Roman" w:eastAsia="Times New Roman" w:hAnsi="Times New Roman" w:cs="Times New Roman"/>
          <w:noProof/>
          <w:sz w:val="24"/>
          <w:szCs w:val="24"/>
          <w:lang w:val="en-IE"/>
        </w:rPr>
        <w:t xml:space="preserve">In other </w:t>
      </w:r>
      <w:r w:rsidR="00DE4D63" w:rsidRPr="00532C20">
        <w:rPr>
          <w:rFonts w:ascii="Times New Roman" w:eastAsia="Times New Roman" w:hAnsi="Times New Roman" w:cs="Times New Roman"/>
          <w:noProof/>
          <w:sz w:val="24"/>
          <w:szCs w:val="24"/>
          <w:lang w:val="en-IE"/>
        </w:rPr>
        <w:t>words</w:t>
      </w:r>
      <w:r w:rsidR="0014436B" w:rsidRPr="00532C20">
        <w:rPr>
          <w:rFonts w:ascii="Times New Roman" w:eastAsia="Times New Roman" w:hAnsi="Times New Roman" w:cs="Times New Roman"/>
          <w:noProof/>
          <w:sz w:val="24"/>
          <w:szCs w:val="24"/>
          <w:lang w:val="en-IE"/>
        </w:rPr>
        <w:t>, there is a risk of</w:t>
      </w:r>
      <w:r w:rsidRPr="00532C20">
        <w:rPr>
          <w:rFonts w:ascii="Times New Roman" w:eastAsia="Times New Roman" w:hAnsi="Times New Roman" w:cs="Times New Roman"/>
          <w:noProof/>
          <w:sz w:val="24"/>
          <w:szCs w:val="24"/>
          <w:lang w:val="en-IE"/>
        </w:rPr>
        <w:t xml:space="preserve"> forum shopping and regulatory arbitrage by </w:t>
      </w:r>
      <w:r w:rsidR="001B32DC" w:rsidRPr="00532C20">
        <w:rPr>
          <w:rFonts w:ascii="Times New Roman" w:eastAsia="Times New Roman" w:hAnsi="Times New Roman" w:cs="Times New Roman"/>
          <w:noProof/>
          <w:sz w:val="24"/>
          <w:szCs w:val="24"/>
          <w:lang w:val="en-IE"/>
        </w:rPr>
        <w:t>entities</w:t>
      </w:r>
      <w:r w:rsidRPr="00532C20">
        <w:rPr>
          <w:rFonts w:ascii="Times New Roman" w:eastAsia="Times New Roman" w:hAnsi="Times New Roman" w:cs="Times New Roman"/>
          <w:noProof/>
          <w:sz w:val="24"/>
          <w:szCs w:val="24"/>
          <w:lang w:val="en-IE"/>
        </w:rPr>
        <w:t xml:space="preserve"> seeking to evade regulation in certain Member States. This</w:t>
      </w:r>
      <w:r w:rsidR="001F5BDB" w:rsidRPr="00532C20">
        <w:rPr>
          <w:rFonts w:ascii="Times New Roman" w:eastAsia="Times New Roman" w:hAnsi="Times New Roman" w:cs="Times New Roman"/>
          <w:noProof/>
          <w:sz w:val="24"/>
          <w:szCs w:val="24"/>
          <w:lang w:val="en-IE"/>
        </w:rPr>
        <w:t xml:space="preserve"> risk</w:t>
      </w:r>
      <w:r w:rsidRPr="00532C20">
        <w:rPr>
          <w:rFonts w:ascii="Times New Roman" w:eastAsia="Times New Roman" w:hAnsi="Times New Roman" w:cs="Times New Roman"/>
          <w:noProof/>
          <w:sz w:val="24"/>
          <w:szCs w:val="24"/>
          <w:lang w:val="en-IE"/>
        </w:rPr>
        <w:t xml:space="preserve"> </w:t>
      </w:r>
      <w:r w:rsidR="00BF4C03" w:rsidRPr="00532C20">
        <w:rPr>
          <w:rFonts w:ascii="Times New Roman" w:eastAsia="Times New Roman" w:hAnsi="Times New Roman" w:cs="Times New Roman"/>
          <w:noProof/>
          <w:sz w:val="24"/>
          <w:szCs w:val="24"/>
          <w:lang w:val="en-IE"/>
        </w:rPr>
        <w:t>is</w:t>
      </w:r>
      <w:r w:rsidRPr="00532C20">
        <w:rPr>
          <w:rFonts w:ascii="Times New Roman" w:eastAsia="Times New Roman" w:hAnsi="Times New Roman" w:cs="Times New Roman"/>
          <w:noProof/>
          <w:sz w:val="24"/>
          <w:szCs w:val="24"/>
          <w:lang w:val="en-IE"/>
        </w:rPr>
        <w:t xml:space="preserve"> </w:t>
      </w:r>
      <w:r w:rsidR="00BF4C03" w:rsidRPr="00532C20">
        <w:rPr>
          <w:rFonts w:ascii="Times New Roman" w:eastAsia="Times New Roman" w:hAnsi="Times New Roman" w:cs="Times New Roman"/>
          <w:noProof/>
          <w:sz w:val="24"/>
          <w:szCs w:val="24"/>
          <w:lang w:val="en-IE"/>
        </w:rPr>
        <w:t>especially</w:t>
      </w:r>
      <w:r w:rsidRPr="00532C20">
        <w:rPr>
          <w:rFonts w:ascii="Times New Roman" w:eastAsia="Times New Roman" w:hAnsi="Times New Roman" w:cs="Times New Roman"/>
          <w:noProof/>
          <w:sz w:val="24"/>
          <w:szCs w:val="24"/>
          <w:lang w:val="en-IE"/>
        </w:rPr>
        <w:t xml:space="preserve"> </w:t>
      </w:r>
      <w:r w:rsidR="001F5BDB" w:rsidRPr="00532C20">
        <w:rPr>
          <w:rFonts w:ascii="Times New Roman" w:eastAsia="Times New Roman" w:hAnsi="Times New Roman" w:cs="Times New Roman"/>
          <w:noProof/>
          <w:sz w:val="24"/>
          <w:szCs w:val="24"/>
          <w:lang w:val="en-IE"/>
        </w:rPr>
        <w:t>high</w:t>
      </w:r>
      <w:r w:rsidRPr="00532C20">
        <w:rPr>
          <w:rFonts w:ascii="Times New Roman" w:eastAsia="Times New Roman" w:hAnsi="Times New Roman" w:cs="Times New Roman"/>
          <w:noProof/>
          <w:sz w:val="24"/>
          <w:szCs w:val="24"/>
          <w:lang w:val="en-IE"/>
        </w:rPr>
        <w:t xml:space="preserve"> in </w:t>
      </w:r>
      <w:r w:rsidR="001F5BDB" w:rsidRPr="00532C20">
        <w:rPr>
          <w:rFonts w:ascii="Times New Roman" w:eastAsia="Times New Roman" w:hAnsi="Times New Roman" w:cs="Times New Roman"/>
          <w:noProof/>
          <w:sz w:val="24"/>
          <w:szCs w:val="24"/>
          <w:lang w:val="en-IE"/>
        </w:rPr>
        <w:t>those</w:t>
      </w:r>
      <w:r w:rsidRPr="00532C20">
        <w:rPr>
          <w:rFonts w:ascii="Times New Roman" w:eastAsia="Times New Roman" w:hAnsi="Times New Roman" w:cs="Times New Roman"/>
          <w:noProof/>
          <w:sz w:val="24"/>
          <w:szCs w:val="24"/>
          <w:lang w:val="en-IE"/>
        </w:rPr>
        <w:t xml:space="preserve"> Member States </w:t>
      </w:r>
      <w:r w:rsidR="001F5BDB" w:rsidRPr="00532C20">
        <w:rPr>
          <w:rFonts w:ascii="Times New Roman" w:eastAsia="Times New Roman" w:hAnsi="Times New Roman" w:cs="Times New Roman"/>
          <w:noProof/>
          <w:sz w:val="24"/>
          <w:szCs w:val="24"/>
          <w:lang w:val="en-IE"/>
        </w:rPr>
        <w:t>that</w:t>
      </w:r>
      <w:r w:rsidRPr="00532C20">
        <w:rPr>
          <w:rFonts w:ascii="Times New Roman" w:eastAsia="Times New Roman" w:hAnsi="Times New Roman" w:cs="Times New Roman"/>
          <w:noProof/>
          <w:sz w:val="24"/>
          <w:szCs w:val="24"/>
          <w:lang w:val="en-IE"/>
        </w:rPr>
        <w:t xml:space="preserve"> have a regulatory regime for </w:t>
      </w:r>
      <w:r w:rsidR="002D516D" w:rsidRPr="00532C20">
        <w:rPr>
          <w:rFonts w:ascii="Times New Roman" w:eastAsia="Times New Roman" w:hAnsi="Times New Roman" w:cs="Times New Roman"/>
          <w:noProof/>
          <w:sz w:val="24"/>
          <w:szCs w:val="24"/>
          <w:lang w:val="en-IE"/>
        </w:rPr>
        <w:t xml:space="preserve">the transparency of </w:t>
      </w:r>
      <w:r w:rsidRPr="00532C20">
        <w:rPr>
          <w:rFonts w:ascii="Times New Roman" w:eastAsia="Times New Roman" w:hAnsi="Times New Roman" w:cs="Times New Roman"/>
          <w:noProof/>
          <w:sz w:val="24"/>
          <w:szCs w:val="24"/>
          <w:lang w:val="en-IE"/>
        </w:rPr>
        <w:t xml:space="preserve">interest representation, </w:t>
      </w:r>
      <w:r w:rsidR="001F5BDB" w:rsidRPr="00532C20">
        <w:rPr>
          <w:rFonts w:ascii="Times New Roman" w:eastAsia="Times New Roman" w:hAnsi="Times New Roman" w:cs="Times New Roman"/>
          <w:noProof/>
          <w:sz w:val="24"/>
          <w:szCs w:val="24"/>
          <w:lang w:val="en-IE"/>
        </w:rPr>
        <w:t>but do</w:t>
      </w:r>
      <w:r w:rsidR="007E2614" w:rsidRPr="00532C20">
        <w:rPr>
          <w:rFonts w:ascii="Times New Roman" w:eastAsia="Times New Roman" w:hAnsi="Times New Roman" w:cs="Times New Roman"/>
          <w:noProof/>
          <w:sz w:val="24"/>
          <w:szCs w:val="24"/>
          <w:lang w:val="en-IE"/>
        </w:rPr>
        <w:t xml:space="preserve"> not </w:t>
      </w:r>
      <w:r w:rsidR="001F5BDB" w:rsidRPr="00532C20">
        <w:rPr>
          <w:rFonts w:ascii="Times New Roman" w:eastAsia="Times New Roman" w:hAnsi="Times New Roman" w:cs="Times New Roman"/>
          <w:noProof/>
          <w:sz w:val="24"/>
          <w:szCs w:val="24"/>
          <w:lang w:val="en-IE"/>
        </w:rPr>
        <w:t>make registration</w:t>
      </w:r>
      <w:r w:rsidR="007E2614" w:rsidRPr="00532C20">
        <w:rPr>
          <w:rFonts w:ascii="Times New Roman" w:eastAsia="Times New Roman" w:hAnsi="Times New Roman" w:cs="Times New Roman"/>
          <w:noProof/>
          <w:sz w:val="24"/>
          <w:szCs w:val="24"/>
          <w:lang w:val="en-IE"/>
        </w:rPr>
        <w:t xml:space="preserve"> </w:t>
      </w:r>
      <w:r w:rsidR="007E2614" w:rsidRPr="00532C20" w:rsidDel="00FA109A">
        <w:rPr>
          <w:rFonts w:ascii="Times New Roman" w:eastAsia="Times New Roman" w:hAnsi="Times New Roman" w:cs="Times New Roman"/>
          <w:noProof/>
          <w:sz w:val="24"/>
          <w:szCs w:val="24"/>
          <w:lang w:val="en-IE"/>
        </w:rPr>
        <w:t>compulsory</w:t>
      </w:r>
      <w:r w:rsidR="007E2614" w:rsidRPr="00532C20">
        <w:rPr>
          <w:rFonts w:ascii="Times New Roman" w:eastAsia="Times New Roman" w:hAnsi="Times New Roman" w:cs="Times New Roman"/>
          <w:noProof/>
          <w:sz w:val="24"/>
          <w:szCs w:val="24"/>
          <w:lang w:val="en-IE"/>
        </w:rPr>
        <w:t xml:space="preserve"> or </w:t>
      </w:r>
      <w:r w:rsidR="001F5BDB" w:rsidRPr="00532C20">
        <w:rPr>
          <w:rFonts w:ascii="Times New Roman" w:eastAsia="Times New Roman" w:hAnsi="Times New Roman" w:cs="Times New Roman"/>
          <w:noProof/>
          <w:sz w:val="24"/>
          <w:szCs w:val="24"/>
          <w:lang w:val="en-IE"/>
        </w:rPr>
        <w:t>lack</w:t>
      </w:r>
      <w:r w:rsidRPr="00532C20">
        <w:rPr>
          <w:rFonts w:ascii="Times New Roman" w:eastAsia="Times New Roman" w:hAnsi="Times New Roman" w:cs="Times New Roman"/>
          <w:noProof/>
          <w:sz w:val="24"/>
          <w:szCs w:val="24"/>
          <w:lang w:val="en-IE"/>
        </w:rPr>
        <w:t xml:space="preserve"> monitoring or enforcement </w:t>
      </w:r>
      <w:r w:rsidR="001F5BDB" w:rsidRPr="00532C20">
        <w:rPr>
          <w:rFonts w:ascii="Times New Roman" w:eastAsia="Times New Roman" w:hAnsi="Times New Roman" w:cs="Times New Roman"/>
          <w:noProof/>
          <w:sz w:val="24"/>
          <w:szCs w:val="24"/>
          <w:lang w:val="en-IE"/>
        </w:rPr>
        <w:t>mechanisms</w:t>
      </w:r>
      <w:r w:rsidR="004A5E81" w:rsidRPr="00532C20">
        <w:rPr>
          <w:rFonts w:ascii="Times New Roman" w:eastAsia="Times New Roman" w:hAnsi="Times New Roman" w:cs="Times New Roman"/>
          <w:noProof/>
          <w:sz w:val="24"/>
          <w:szCs w:val="24"/>
          <w:lang w:val="en-IE"/>
        </w:rPr>
        <w:t>. Beyond</w:t>
      </w:r>
      <w:r w:rsidR="0004285A" w:rsidRPr="00532C20">
        <w:rPr>
          <w:rFonts w:ascii="Times New Roman" w:eastAsia="Times New Roman" w:hAnsi="Times New Roman" w:cs="Times New Roman"/>
          <w:noProof/>
          <w:sz w:val="24"/>
          <w:szCs w:val="24"/>
          <w:lang w:val="en-IE"/>
        </w:rPr>
        <w:t xml:space="preserve"> the internal market</w:t>
      </w:r>
      <w:r w:rsidR="00017183" w:rsidRPr="00532C20">
        <w:rPr>
          <w:rFonts w:ascii="Times New Roman" w:eastAsia="Times New Roman" w:hAnsi="Times New Roman" w:cs="Times New Roman"/>
          <w:noProof/>
          <w:sz w:val="24"/>
          <w:szCs w:val="24"/>
          <w:lang w:val="en-IE"/>
        </w:rPr>
        <w:t>-related consequences</w:t>
      </w:r>
      <w:r w:rsidR="0050252D" w:rsidRPr="00532C20">
        <w:rPr>
          <w:rFonts w:ascii="Times New Roman" w:eastAsia="Times New Roman" w:hAnsi="Times New Roman" w:cs="Times New Roman"/>
          <w:noProof/>
          <w:sz w:val="24"/>
          <w:szCs w:val="24"/>
          <w:lang w:val="en-IE"/>
        </w:rPr>
        <w:t xml:space="preserve"> described </w:t>
      </w:r>
      <w:r w:rsidR="005919A8" w:rsidRPr="00532C20">
        <w:rPr>
          <w:rFonts w:ascii="Times New Roman" w:eastAsia="Times New Roman" w:hAnsi="Times New Roman" w:cs="Times New Roman"/>
          <w:noProof/>
          <w:sz w:val="24"/>
          <w:szCs w:val="24"/>
          <w:lang w:val="en-IE"/>
        </w:rPr>
        <w:t>here</w:t>
      </w:r>
      <w:r w:rsidR="0050252D" w:rsidRPr="00532C20">
        <w:rPr>
          <w:rFonts w:ascii="Times New Roman" w:eastAsia="Times New Roman" w:hAnsi="Times New Roman" w:cs="Times New Roman"/>
          <w:noProof/>
          <w:sz w:val="24"/>
          <w:szCs w:val="24"/>
          <w:lang w:val="en-IE"/>
        </w:rPr>
        <w:t>, t</w:t>
      </w:r>
      <w:r w:rsidR="00841DE8" w:rsidRPr="00532C20">
        <w:rPr>
          <w:rFonts w:ascii="Times New Roman" w:eastAsia="Times New Roman" w:hAnsi="Times New Roman" w:cs="Times New Roman"/>
          <w:noProof/>
          <w:sz w:val="24"/>
          <w:szCs w:val="24"/>
          <w:lang w:val="en-IE"/>
        </w:rPr>
        <w:t>h</w:t>
      </w:r>
      <w:r w:rsidR="00C04B1F" w:rsidRPr="00532C20">
        <w:rPr>
          <w:rFonts w:ascii="Times New Roman" w:eastAsia="Times New Roman" w:hAnsi="Times New Roman" w:cs="Times New Roman"/>
          <w:noProof/>
          <w:sz w:val="24"/>
          <w:szCs w:val="24"/>
          <w:lang w:val="en-IE"/>
        </w:rPr>
        <w:t>is</w:t>
      </w:r>
      <w:r w:rsidR="00841DE8" w:rsidRPr="00532C20">
        <w:rPr>
          <w:rFonts w:ascii="Times New Roman" w:eastAsia="Times New Roman" w:hAnsi="Times New Roman" w:cs="Times New Roman"/>
          <w:noProof/>
          <w:sz w:val="24"/>
          <w:szCs w:val="24"/>
          <w:lang w:val="en-IE"/>
        </w:rPr>
        <w:t xml:space="preserve"> phenomenon of regulatory </w:t>
      </w:r>
      <w:r w:rsidR="00DD2443" w:rsidRPr="00532C20">
        <w:rPr>
          <w:rFonts w:ascii="Times New Roman" w:eastAsia="Times New Roman" w:hAnsi="Times New Roman" w:cs="Times New Roman"/>
          <w:noProof/>
          <w:sz w:val="24"/>
          <w:szCs w:val="24"/>
          <w:lang w:val="en-IE"/>
        </w:rPr>
        <w:t>arbitrage</w:t>
      </w:r>
      <w:r w:rsidR="00841DE8" w:rsidRPr="00532C20">
        <w:rPr>
          <w:rFonts w:ascii="Times New Roman" w:eastAsia="Times New Roman" w:hAnsi="Times New Roman" w:cs="Times New Roman"/>
          <w:noProof/>
          <w:sz w:val="24"/>
          <w:szCs w:val="24"/>
          <w:lang w:val="en-IE"/>
        </w:rPr>
        <w:t xml:space="preserve"> </w:t>
      </w:r>
      <w:r w:rsidR="00B20E73" w:rsidRPr="00532C20">
        <w:rPr>
          <w:rFonts w:ascii="Times New Roman" w:eastAsia="Times New Roman" w:hAnsi="Times New Roman" w:cs="Times New Roman"/>
          <w:noProof/>
          <w:sz w:val="24"/>
          <w:szCs w:val="24"/>
          <w:lang w:val="en-IE"/>
        </w:rPr>
        <w:t xml:space="preserve">could also </w:t>
      </w:r>
      <w:r w:rsidR="00851B75" w:rsidRPr="00532C20">
        <w:rPr>
          <w:rFonts w:ascii="Times New Roman" w:eastAsia="Times New Roman" w:hAnsi="Times New Roman" w:cs="Times New Roman"/>
          <w:noProof/>
          <w:sz w:val="24"/>
          <w:szCs w:val="24"/>
          <w:lang w:val="en-IE"/>
        </w:rPr>
        <w:t>present an opportunity</w:t>
      </w:r>
      <w:r w:rsidR="00B20E73" w:rsidRPr="00532C20">
        <w:rPr>
          <w:rFonts w:ascii="Times New Roman" w:eastAsia="Times New Roman" w:hAnsi="Times New Roman" w:cs="Times New Roman"/>
          <w:noProof/>
          <w:sz w:val="24"/>
          <w:szCs w:val="24"/>
          <w:lang w:val="en-IE"/>
        </w:rPr>
        <w:t xml:space="preserve"> for third</w:t>
      </w:r>
      <w:r w:rsidR="00851B75" w:rsidRPr="00532C20">
        <w:rPr>
          <w:rFonts w:ascii="Times New Roman" w:eastAsia="Times New Roman" w:hAnsi="Times New Roman" w:cs="Times New Roman"/>
          <w:noProof/>
          <w:sz w:val="24"/>
          <w:szCs w:val="24"/>
          <w:lang w:val="en-IE"/>
        </w:rPr>
        <w:t>-</w:t>
      </w:r>
      <w:r w:rsidR="00B20E73" w:rsidRPr="00532C20">
        <w:rPr>
          <w:rFonts w:ascii="Times New Roman" w:eastAsia="Times New Roman" w:hAnsi="Times New Roman" w:cs="Times New Roman"/>
          <w:noProof/>
          <w:sz w:val="24"/>
          <w:szCs w:val="24"/>
          <w:lang w:val="en-IE"/>
        </w:rPr>
        <w:t xml:space="preserve">country </w:t>
      </w:r>
      <w:r w:rsidR="00851B75" w:rsidRPr="00532C20">
        <w:rPr>
          <w:rFonts w:ascii="Times New Roman" w:eastAsia="Times New Roman" w:hAnsi="Times New Roman" w:cs="Times New Roman"/>
          <w:noProof/>
          <w:sz w:val="24"/>
          <w:szCs w:val="24"/>
          <w:lang w:val="en-IE"/>
        </w:rPr>
        <w:t>actors</w:t>
      </w:r>
      <w:r w:rsidR="00B20E73" w:rsidRPr="00532C20">
        <w:rPr>
          <w:rFonts w:ascii="Times New Roman" w:eastAsia="Times New Roman" w:hAnsi="Times New Roman" w:cs="Times New Roman"/>
          <w:noProof/>
          <w:sz w:val="24"/>
          <w:szCs w:val="24"/>
          <w:lang w:val="en-IE"/>
        </w:rPr>
        <w:t xml:space="preserve"> to evade </w:t>
      </w:r>
      <w:r w:rsidR="003B3363" w:rsidRPr="00532C20">
        <w:rPr>
          <w:rFonts w:ascii="Times New Roman" w:eastAsia="Times New Roman" w:hAnsi="Times New Roman" w:cs="Times New Roman"/>
          <w:noProof/>
          <w:sz w:val="24"/>
          <w:szCs w:val="24"/>
          <w:lang w:val="en-IE"/>
        </w:rPr>
        <w:t>transparency requirements and covertly influence decision</w:t>
      </w:r>
      <w:r w:rsidR="002B5847">
        <w:rPr>
          <w:rFonts w:ascii="Times New Roman" w:eastAsia="Times New Roman" w:hAnsi="Times New Roman" w:cs="Times New Roman"/>
          <w:noProof/>
          <w:sz w:val="24"/>
          <w:szCs w:val="24"/>
          <w:lang w:val="en-IE"/>
        </w:rPr>
        <w:t>-</w:t>
      </w:r>
      <w:r w:rsidR="003B3363" w:rsidRPr="00532C20">
        <w:rPr>
          <w:rFonts w:ascii="Times New Roman" w:eastAsia="Times New Roman" w:hAnsi="Times New Roman" w:cs="Times New Roman"/>
          <w:noProof/>
          <w:sz w:val="24"/>
          <w:szCs w:val="24"/>
          <w:lang w:val="en-IE"/>
        </w:rPr>
        <w:t>making in the EU.</w:t>
      </w:r>
      <w:r w:rsidR="00841DE8" w:rsidRPr="00532C20">
        <w:rPr>
          <w:rFonts w:ascii="Times New Roman" w:eastAsia="Times New Roman" w:hAnsi="Times New Roman" w:cs="Times New Roman"/>
          <w:noProof/>
          <w:sz w:val="24"/>
          <w:szCs w:val="24"/>
          <w:lang w:val="en-IE"/>
        </w:rPr>
        <w:t xml:space="preserve"> </w:t>
      </w:r>
      <w:r w:rsidRPr="00532C20">
        <w:rPr>
          <w:rFonts w:ascii="Times New Roman" w:eastAsia="Times New Roman" w:hAnsi="Times New Roman" w:cs="Times New Roman"/>
          <w:noProof/>
          <w:sz w:val="24"/>
          <w:szCs w:val="24"/>
          <w:lang w:val="en-IE"/>
        </w:rPr>
        <w:t xml:space="preserve"> </w:t>
      </w:r>
    </w:p>
    <w:p w14:paraId="261A7D5A" w14:textId="074C07F2" w:rsidR="00EF76C3" w:rsidRPr="00532C20" w:rsidRDefault="002E3086" w:rsidP="00313F32">
      <w:pPr>
        <w:pStyle w:val="111level3title"/>
        <w:spacing w:before="120" w:line="240" w:lineRule="auto"/>
        <w:ind w:left="2268" w:hanging="828"/>
        <w:rPr>
          <w:noProof/>
        </w:rPr>
      </w:pPr>
      <w:bookmarkStart w:id="209" w:name="_Ref146892275"/>
      <w:bookmarkStart w:id="210" w:name="_Toc152864666"/>
      <w:r w:rsidRPr="00532C20">
        <w:rPr>
          <w:noProof/>
        </w:rPr>
        <w:t xml:space="preserve">Unknown </w:t>
      </w:r>
      <w:bookmarkStart w:id="211" w:name="_Hlk147508524"/>
      <w:r w:rsidRPr="00532C20">
        <w:rPr>
          <w:noProof/>
        </w:rPr>
        <w:t>magnitude</w:t>
      </w:r>
      <w:r w:rsidR="00ED1197" w:rsidRPr="00532C20">
        <w:rPr>
          <w:noProof/>
        </w:rPr>
        <w:t>, trends and actors</w:t>
      </w:r>
      <w:r w:rsidRPr="00532C20">
        <w:rPr>
          <w:noProof/>
        </w:rPr>
        <w:t xml:space="preserve"> of interest</w:t>
      </w:r>
      <w:r w:rsidR="00C25247" w:rsidRPr="00532C20">
        <w:rPr>
          <w:noProof/>
        </w:rPr>
        <w:t xml:space="preserve"> representation </w:t>
      </w:r>
      <w:r w:rsidRPr="00532C20">
        <w:rPr>
          <w:noProof/>
        </w:rPr>
        <w:t xml:space="preserve">activities carried out </w:t>
      </w:r>
      <w:r w:rsidR="00C25247" w:rsidRPr="00532C20">
        <w:rPr>
          <w:noProof/>
        </w:rPr>
        <w:t xml:space="preserve">on behalf of third </w:t>
      </w:r>
      <w:r w:rsidR="00E9039F" w:rsidRPr="00532C20">
        <w:rPr>
          <w:noProof/>
        </w:rPr>
        <w:t>countries</w:t>
      </w:r>
      <w:bookmarkEnd w:id="209"/>
      <w:bookmarkEnd w:id="210"/>
      <w:bookmarkEnd w:id="211"/>
    </w:p>
    <w:p w14:paraId="663DF732" w14:textId="4E0D171F" w:rsidR="00F32514" w:rsidRPr="00532C20" w:rsidRDefault="00645176" w:rsidP="00B26B58">
      <w:pPr>
        <w:spacing w:after="120" w:line="240" w:lineRule="auto"/>
        <w:jc w:val="both"/>
        <w:rPr>
          <w:rFonts w:ascii="Times New Roman" w:eastAsia="Times New Roman" w:hAnsi="Times New Roman" w:cs="Times New Roman"/>
          <w:noProof/>
          <w:sz w:val="24"/>
          <w:szCs w:val="24"/>
          <w:lang w:val="en-IE"/>
        </w:rPr>
      </w:pPr>
      <w:r w:rsidRPr="00532C20">
        <w:rPr>
          <w:rFonts w:ascii="Times New Roman" w:eastAsia="Times New Roman" w:hAnsi="Times New Roman" w:cs="Times New Roman"/>
          <w:noProof/>
          <w:sz w:val="24"/>
          <w:szCs w:val="24"/>
          <w:lang w:val="en-IE"/>
        </w:rPr>
        <w:t xml:space="preserve">The scale of interest representation </w:t>
      </w:r>
      <w:r w:rsidRPr="00532C20">
        <w:rPr>
          <w:rFonts w:ascii="Times New Roman" w:eastAsia="Times New Roman" w:hAnsi="Times New Roman" w:cs="Times New Roman"/>
          <w:b/>
          <w:noProof/>
          <w:sz w:val="24"/>
          <w:szCs w:val="24"/>
          <w:lang w:val="en-IE"/>
        </w:rPr>
        <w:t xml:space="preserve">activities carried out on behalf of third countries </w:t>
      </w:r>
      <w:r w:rsidR="00B95455" w:rsidRPr="00532C20">
        <w:rPr>
          <w:rFonts w:ascii="Times New Roman" w:eastAsia="Times New Roman" w:hAnsi="Times New Roman" w:cs="Times New Roman"/>
          <w:b/>
          <w:noProof/>
          <w:sz w:val="24"/>
          <w:szCs w:val="24"/>
          <w:lang w:val="en-IE"/>
        </w:rPr>
        <w:t xml:space="preserve">in the Member states </w:t>
      </w:r>
      <w:r w:rsidRPr="00532C20">
        <w:rPr>
          <w:rFonts w:ascii="Times New Roman" w:eastAsia="Times New Roman" w:hAnsi="Times New Roman" w:cs="Times New Roman"/>
          <w:b/>
          <w:noProof/>
          <w:sz w:val="24"/>
          <w:szCs w:val="24"/>
          <w:lang w:val="en-IE"/>
        </w:rPr>
        <w:t xml:space="preserve">is largely </w:t>
      </w:r>
      <w:r w:rsidRPr="00532C20">
        <w:rPr>
          <w:rFonts w:ascii="Times New Roman" w:eastAsia="Times New Roman" w:hAnsi="Times New Roman" w:cs="Times New Roman"/>
          <w:b/>
          <w:bCs/>
          <w:noProof/>
          <w:sz w:val="24"/>
          <w:szCs w:val="24"/>
          <w:lang w:val="en-IE"/>
        </w:rPr>
        <w:t>unknown</w:t>
      </w:r>
      <w:r w:rsidRPr="00532C20">
        <w:rPr>
          <w:rFonts w:ascii="Times New Roman" w:eastAsia="Times New Roman" w:hAnsi="Times New Roman" w:cs="Times New Roman"/>
          <w:noProof/>
          <w:sz w:val="24"/>
          <w:szCs w:val="24"/>
          <w:lang w:val="en-IE"/>
        </w:rPr>
        <w:t xml:space="preserve">. </w:t>
      </w:r>
    </w:p>
    <w:p w14:paraId="0FBB4358" w14:textId="58434748" w:rsidR="0071608C" w:rsidRPr="00532C20" w:rsidRDefault="007C0F05" w:rsidP="00B26B58">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There are indications that the broader phenomenon of foreign interference exists and is increasing. </w:t>
      </w:r>
      <w:r w:rsidR="00F32514" w:rsidRPr="00532C20">
        <w:rPr>
          <w:rFonts w:ascii="Times New Roman" w:eastAsia="Times New Roman" w:hAnsi="Times New Roman" w:cs="Times New Roman"/>
          <w:noProof/>
          <w:sz w:val="24"/>
          <w:szCs w:val="24"/>
          <w:lang w:val="en-IE"/>
        </w:rPr>
        <w:t>Some s</w:t>
      </w:r>
      <w:r w:rsidR="00021810" w:rsidRPr="00532C20">
        <w:rPr>
          <w:rFonts w:ascii="Times New Roman" w:eastAsia="Times New Roman" w:hAnsi="Times New Roman" w:cs="Times New Roman"/>
          <w:noProof/>
          <w:sz w:val="24"/>
          <w:szCs w:val="24"/>
          <w:lang w:val="en-IE"/>
        </w:rPr>
        <w:t>takeholders</w:t>
      </w:r>
      <w:r w:rsidR="007A68D4" w:rsidRPr="00532C20">
        <w:rPr>
          <w:rFonts w:ascii="Times New Roman" w:eastAsia="Times New Roman" w:hAnsi="Times New Roman" w:cs="Times New Roman"/>
          <w:noProof/>
          <w:sz w:val="24"/>
          <w:szCs w:val="24"/>
          <w:lang w:val="en-IE"/>
        </w:rPr>
        <w:t xml:space="preserve"> have </w:t>
      </w:r>
      <w:r w:rsidR="00772BC6" w:rsidRPr="00532C20">
        <w:rPr>
          <w:rFonts w:ascii="Times New Roman" w:eastAsia="Times New Roman" w:hAnsi="Times New Roman" w:cs="Times New Roman"/>
          <w:noProof/>
          <w:sz w:val="24"/>
          <w:szCs w:val="24"/>
          <w:lang w:val="en-IE"/>
        </w:rPr>
        <w:t>indicated</w:t>
      </w:r>
      <w:r w:rsidR="00021810" w:rsidRPr="00532C20">
        <w:rPr>
          <w:rFonts w:ascii="Times New Roman" w:eastAsia="Times New Roman" w:hAnsi="Times New Roman" w:cs="Times New Roman"/>
          <w:noProof/>
          <w:sz w:val="24"/>
          <w:szCs w:val="24"/>
          <w:lang w:val="en-IE"/>
        </w:rPr>
        <w:t xml:space="preserve"> </w:t>
      </w:r>
      <w:r w:rsidR="00CF159F" w:rsidRPr="00532C20">
        <w:rPr>
          <w:rFonts w:ascii="Times New Roman" w:eastAsia="Times New Roman" w:hAnsi="Times New Roman" w:cs="Times New Roman"/>
          <w:noProof/>
          <w:sz w:val="24"/>
          <w:szCs w:val="24"/>
          <w:lang w:val="en-IE"/>
        </w:rPr>
        <w:t xml:space="preserve">that </w:t>
      </w:r>
      <w:r w:rsidR="00021810" w:rsidRPr="00532C20">
        <w:rPr>
          <w:rFonts w:ascii="Times New Roman" w:eastAsia="Times New Roman" w:hAnsi="Times New Roman" w:cs="Times New Roman"/>
          <w:noProof/>
          <w:sz w:val="24"/>
          <w:szCs w:val="24"/>
          <w:lang w:val="en-IE"/>
        </w:rPr>
        <w:t>third country</w:t>
      </w:r>
      <w:r w:rsidR="007A68D4" w:rsidRPr="00532C20">
        <w:rPr>
          <w:rFonts w:ascii="Times New Roman" w:eastAsia="Times New Roman" w:hAnsi="Times New Roman" w:cs="Times New Roman"/>
          <w:noProof/>
          <w:sz w:val="24"/>
          <w:szCs w:val="24"/>
          <w:lang w:val="en-IE"/>
        </w:rPr>
        <w:t xml:space="preserve"> </w:t>
      </w:r>
      <w:r w:rsidR="00021810" w:rsidRPr="00532C20">
        <w:rPr>
          <w:rFonts w:ascii="Times New Roman" w:eastAsia="Times New Roman" w:hAnsi="Times New Roman" w:cs="Times New Roman"/>
          <w:noProof/>
          <w:sz w:val="24"/>
          <w:szCs w:val="24"/>
          <w:lang w:val="en-IE"/>
        </w:rPr>
        <w:t>government</w:t>
      </w:r>
      <w:r w:rsidR="00D42DFD" w:rsidRPr="00532C20">
        <w:rPr>
          <w:rFonts w:ascii="Times New Roman" w:eastAsia="Times New Roman" w:hAnsi="Times New Roman" w:cs="Times New Roman"/>
          <w:noProof/>
          <w:sz w:val="24"/>
          <w:szCs w:val="24"/>
          <w:lang w:val="en-IE"/>
        </w:rPr>
        <w:t>s</w:t>
      </w:r>
      <w:r w:rsidR="007A68D4" w:rsidRPr="00532C20">
        <w:rPr>
          <w:rFonts w:ascii="Times New Roman" w:eastAsia="Times New Roman" w:hAnsi="Times New Roman" w:cs="Times New Roman"/>
          <w:noProof/>
          <w:sz w:val="24"/>
          <w:szCs w:val="24"/>
          <w:lang w:val="en-IE"/>
        </w:rPr>
        <w:t xml:space="preserve"> provide</w:t>
      </w:r>
      <w:r w:rsidR="00021810" w:rsidRPr="00532C20">
        <w:rPr>
          <w:rFonts w:ascii="Times New Roman" w:eastAsia="Times New Roman" w:hAnsi="Times New Roman" w:cs="Times New Roman"/>
          <w:noProof/>
          <w:sz w:val="24"/>
          <w:szCs w:val="24"/>
          <w:lang w:val="en-IE"/>
        </w:rPr>
        <w:t xml:space="preserve"> </w:t>
      </w:r>
      <w:r w:rsidR="006C4589" w:rsidRPr="00532C20">
        <w:rPr>
          <w:rFonts w:ascii="Times New Roman" w:eastAsia="Times New Roman" w:hAnsi="Times New Roman" w:cs="Times New Roman"/>
          <w:noProof/>
          <w:sz w:val="24"/>
          <w:szCs w:val="24"/>
          <w:lang w:val="en-IE"/>
        </w:rPr>
        <w:t>funding</w:t>
      </w:r>
      <w:r w:rsidR="00C53764" w:rsidRPr="00532C20">
        <w:rPr>
          <w:rFonts w:ascii="Times New Roman" w:eastAsia="Times New Roman" w:hAnsi="Times New Roman" w:cs="Times New Roman"/>
          <w:noProof/>
          <w:sz w:val="24"/>
          <w:szCs w:val="24"/>
          <w:lang w:val="en-IE"/>
        </w:rPr>
        <w:t xml:space="preserve"> with clear objectives which </w:t>
      </w:r>
      <w:r w:rsidR="00713354" w:rsidRPr="00532C20">
        <w:rPr>
          <w:rFonts w:ascii="Times New Roman" w:eastAsia="Times New Roman" w:hAnsi="Times New Roman" w:cs="Times New Roman"/>
          <w:noProof/>
          <w:sz w:val="24"/>
          <w:szCs w:val="24"/>
          <w:lang w:val="en-IE"/>
        </w:rPr>
        <w:t>aim at legal or policy changes</w:t>
      </w:r>
      <w:r w:rsidR="00713354" w:rsidRPr="00532C20">
        <w:rPr>
          <w:rStyle w:val="FootnoteReference"/>
          <w:rFonts w:ascii="Times New Roman" w:eastAsia="Times New Roman" w:hAnsi="Times New Roman" w:cs="Times New Roman"/>
          <w:noProof/>
          <w:sz w:val="24"/>
          <w:szCs w:val="24"/>
          <w:lang w:val="en-IE"/>
        </w:rPr>
        <w:footnoteReference w:id="77"/>
      </w:r>
      <w:r w:rsidR="00645176" w:rsidRPr="00532C20">
        <w:rPr>
          <w:rFonts w:ascii="Times New Roman" w:eastAsia="Times New Roman" w:hAnsi="Times New Roman" w:cs="Times New Roman"/>
          <w:noProof/>
          <w:sz w:val="24"/>
          <w:szCs w:val="24"/>
          <w:lang w:val="en-IE"/>
        </w:rPr>
        <w:t xml:space="preserve">. </w:t>
      </w:r>
      <w:r w:rsidR="00D224FE" w:rsidRPr="00532C20">
        <w:rPr>
          <w:rFonts w:ascii="Times New Roman" w:hAnsi="Times New Roman" w:cs="Times New Roman"/>
          <w:noProof/>
          <w:sz w:val="24"/>
          <w:szCs w:val="24"/>
          <w:lang w:val="en-IE"/>
        </w:rPr>
        <w:t>T</w:t>
      </w:r>
      <w:r w:rsidR="00761411" w:rsidRPr="00532C20">
        <w:rPr>
          <w:rFonts w:ascii="Times New Roman" w:hAnsi="Times New Roman" w:cs="Times New Roman"/>
          <w:noProof/>
          <w:sz w:val="24"/>
          <w:szCs w:val="24"/>
          <w:lang w:val="en-IE"/>
        </w:rPr>
        <w:t xml:space="preserve">here are </w:t>
      </w:r>
      <w:r w:rsidR="00B95455" w:rsidRPr="00532C20">
        <w:rPr>
          <w:rFonts w:ascii="Times New Roman" w:hAnsi="Times New Roman" w:cs="Times New Roman"/>
          <w:noProof/>
          <w:sz w:val="24"/>
          <w:szCs w:val="24"/>
          <w:lang w:val="en-IE"/>
        </w:rPr>
        <w:t>also</w:t>
      </w:r>
      <w:r w:rsidR="00761411" w:rsidRPr="00532C20">
        <w:rPr>
          <w:rFonts w:ascii="Times New Roman" w:hAnsi="Times New Roman" w:cs="Times New Roman"/>
          <w:noProof/>
          <w:sz w:val="24"/>
          <w:szCs w:val="24"/>
          <w:lang w:val="en-IE"/>
        </w:rPr>
        <w:t xml:space="preserve"> numerous media report</w:t>
      </w:r>
      <w:r w:rsidR="00C545A0" w:rsidRPr="00532C20">
        <w:rPr>
          <w:rFonts w:ascii="Times New Roman" w:hAnsi="Times New Roman" w:cs="Times New Roman"/>
          <w:noProof/>
          <w:sz w:val="24"/>
          <w:szCs w:val="24"/>
          <w:lang w:val="en-IE"/>
        </w:rPr>
        <w:t>s</w:t>
      </w:r>
      <w:r w:rsidR="00761411" w:rsidRPr="00532C20">
        <w:rPr>
          <w:rFonts w:ascii="Times New Roman" w:hAnsi="Times New Roman" w:cs="Times New Roman"/>
          <w:noProof/>
          <w:sz w:val="24"/>
          <w:szCs w:val="24"/>
          <w:lang w:val="en-IE"/>
        </w:rPr>
        <w:t xml:space="preserve"> of foreign interference from third </w:t>
      </w:r>
      <w:r w:rsidR="00F35695" w:rsidRPr="00532C20">
        <w:rPr>
          <w:rFonts w:ascii="Times New Roman" w:hAnsi="Times New Roman" w:cs="Times New Roman"/>
          <w:noProof/>
          <w:sz w:val="24"/>
          <w:szCs w:val="24"/>
          <w:lang w:val="en-IE"/>
        </w:rPr>
        <w:t>countries</w:t>
      </w:r>
      <w:r w:rsidR="00761411" w:rsidRPr="00532C20">
        <w:rPr>
          <w:rFonts w:ascii="Times New Roman" w:hAnsi="Times New Roman" w:cs="Times New Roman"/>
          <w:noProof/>
          <w:sz w:val="24"/>
          <w:szCs w:val="24"/>
          <w:lang w:val="en-IE"/>
        </w:rPr>
        <w:t xml:space="preserve"> whereby interest representation activities are being carried out on behalf of third </w:t>
      </w:r>
      <w:r w:rsidR="008A67A2" w:rsidRPr="00532C20">
        <w:rPr>
          <w:rFonts w:ascii="Times New Roman" w:hAnsi="Times New Roman" w:cs="Times New Roman"/>
          <w:noProof/>
          <w:sz w:val="24"/>
          <w:szCs w:val="24"/>
          <w:lang w:val="en-IE"/>
        </w:rPr>
        <w:t xml:space="preserve">countries </w:t>
      </w:r>
      <w:r w:rsidR="001613FA" w:rsidRPr="00532C20">
        <w:rPr>
          <w:rFonts w:ascii="Times New Roman" w:hAnsi="Times New Roman" w:cs="Times New Roman"/>
          <w:noProof/>
          <w:sz w:val="24"/>
          <w:szCs w:val="24"/>
          <w:lang w:val="en-IE"/>
        </w:rPr>
        <w:t xml:space="preserve">covertly to </w:t>
      </w:r>
      <w:r w:rsidR="00B95455" w:rsidRPr="00532C20">
        <w:rPr>
          <w:rFonts w:ascii="Times New Roman" w:hAnsi="Times New Roman" w:cs="Times New Roman"/>
          <w:noProof/>
          <w:sz w:val="24"/>
          <w:szCs w:val="24"/>
          <w:lang w:val="en-IE"/>
        </w:rPr>
        <w:t>influence decision</w:t>
      </w:r>
      <w:r w:rsidR="002B5847">
        <w:rPr>
          <w:rFonts w:ascii="Times New Roman" w:hAnsi="Times New Roman" w:cs="Times New Roman"/>
          <w:noProof/>
          <w:sz w:val="24"/>
          <w:szCs w:val="24"/>
          <w:lang w:val="en-IE"/>
        </w:rPr>
        <w:t>-</w:t>
      </w:r>
      <w:r w:rsidR="00B95455" w:rsidRPr="00532C20">
        <w:rPr>
          <w:rFonts w:ascii="Times New Roman" w:hAnsi="Times New Roman" w:cs="Times New Roman"/>
          <w:noProof/>
          <w:sz w:val="24"/>
          <w:szCs w:val="24"/>
          <w:lang w:val="en-IE"/>
        </w:rPr>
        <w:t>making process</w:t>
      </w:r>
      <w:r w:rsidR="008A67A2" w:rsidRPr="00532C20">
        <w:rPr>
          <w:rFonts w:ascii="Times New Roman" w:hAnsi="Times New Roman" w:cs="Times New Roman"/>
          <w:noProof/>
          <w:sz w:val="24"/>
          <w:szCs w:val="24"/>
          <w:lang w:val="en-IE"/>
        </w:rPr>
        <w:t>es</w:t>
      </w:r>
      <w:r w:rsidR="00A55543">
        <w:rPr>
          <w:rFonts w:ascii="Times New Roman" w:hAnsi="Times New Roman" w:cs="Times New Roman"/>
          <w:noProof/>
          <w:sz w:val="24"/>
          <w:szCs w:val="24"/>
          <w:lang w:val="en-IE"/>
        </w:rPr>
        <w:t xml:space="preserve">, </w:t>
      </w:r>
      <w:r w:rsidR="008A67A2" w:rsidRPr="00532C20">
        <w:rPr>
          <w:rFonts w:ascii="Times New Roman" w:hAnsi="Times New Roman" w:cs="Times New Roman"/>
          <w:noProof/>
          <w:sz w:val="24"/>
          <w:szCs w:val="24"/>
          <w:lang w:val="en-IE"/>
        </w:rPr>
        <w:t xml:space="preserve">sow </w:t>
      </w:r>
      <w:r w:rsidR="001613FA" w:rsidRPr="00532C20">
        <w:rPr>
          <w:rFonts w:ascii="Times New Roman" w:hAnsi="Times New Roman" w:cs="Times New Roman"/>
          <w:noProof/>
          <w:sz w:val="24"/>
          <w:szCs w:val="24"/>
          <w:lang w:val="en-IE"/>
        </w:rPr>
        <w:t xml:space="preserve">distrust and </w:t>
      </w:r>
      <w:r w:rsidR="00BF601B" w:rsidRPr="00532C20">
        <w:rPr>
          <w:rFonts w:ascii="Times New Roman" w:hAnsi="Times New Roman" w:cs="Times New Roman"/>
          <w:noProof/>
          <w:sz w:val="24"/>
          <w:szCs w:val="24"/>
          <w:lang w:val="en-IE"/>
        </w:rPr>
        <w:t xml:space="preserve">undermine the </w:t>
      </w:r>
      <w:r w:rsidR="00633640" w:rsidRPr="00532C20">
        <w:rPr>
          <w:rFonts w:ascii="Times New Roman" w:hAnsi="Times New Roman" w:cs="Times New Roman"/>
          <w:noProof/>
          <w:sz w:val="24"/>
          <w:szCs w:val="24"/>
          <w:lang w:val="en-IE"/>
        </w:rPr>
        <w:t xml:space="preserve">EU’s </w:t>
      </w:r>
      <w:r w:rsidR="00BF601B" w:rsidRPr="00532C20">
        <w:rPr>
          <w:rFonts w:ascii="Times New Roman" w:hAnsi="Times New Roman" w:cs="Times New Roman"/>
          <w:noProof/>
          <w:sz w:val="24"/>
          <w:szCs w:val="24"/>
          <w:lang w:val="en-IE"/>
        </w:rPr>
        <w:t>democratic processes</w:t>
      </w:r>
      <w:r w:rsidR="004C638C" w:rsidRPr="00532C20">
        <w:rPr>
          <w:rStyle w:val="FootnoteReference"/>
          <w:rFonts w:ascii="Times New Roman" w:hAnsi="Times New Roman" w:cs="Times New Roman"/>
          <w:noProof/>
          <w:sz w:val="24"/>
          <w:szCs w:val="24"/>
          <w:lang w:val="en-IE"/>
        </w:rPr>
        <w:footnoteReference w:id="78"/>
      </w:r>
      <w:r w:rsidR="00BF601B" w:rsidRPr="00532C20">
        <w:rPr>
          <w:rFonts w:ascii="Times New Roman" w:hAnsi="Times New Roman" w:cs="Times New Roman"/>
          <w:noProof/>
          <w:sz w:val="24"/>
          <w:szCs w:val="24"/>
          <w:lang w:val="en-IE"/>
        </w:rPr>
        <w:t>.</w:t>
      </w:r>
      <w:r w:rsidR="000D1F2A" w:rsidRPr="00532C20">
        <w:rPr>
          <w:rFonts w:ascii="Times New Roman" w:hAnsi="Times New Roman" w:cs="Times New Roman"/>
          <w:noProof/>
          <w:sz w:val="24"/>
          <w:szCs w:val="24"/>
          <w:lang w:val="en-IE"/>
        </w:rPr>
        <w:t xml:space="preserve"> </w:t>
      </w:r>
    </w:p>
    <w:p w14:paraId="21170682" w14:textId="6AD2D6B1" w:rsidR="00427DE7" w:rsidRPr="00532C20" w:rsidRDefault="00FC59B1" w:rsidP="00B26B58">
      <w:pPr>
        <w:spacing w:after="120" w:line="240" w:lineRule="auto"/>
        <w:jc w:val="both"/>
        <w:rPr>
          <w:rFonts w:ascii="Times New Roman" w:eastAsia="Times New Roman" w:hAnsi="Times New Roman" w:cs="Times New Roman"/>
          <w:noProof/>
          <w:sz w:val="24"/>
          <w:szCs w:val="24"/>
          <w:lang w:val="en-IE"/>
        </w:rPr>
      </w:pPr>
      <w:r w:rsidRPr="00532C20">
        <w:rPr>
          <w:rFonts w:ascii="Times New Roman" w:hAnsi="Times New Roman" w:cs="Times New Roman"/>
          <w:noProof/>
          <w:sz w:val="24"/>
          <w:szCs w:val="24"/>
          <w:lang w:val="en-IE"/>
        </w:rPr>
        <w:t>Interest representation</w:t>
      </w:r>
      <w:r w:rsidR="00555688" w:rsidRPr="00532C20">
        <w:rPr>
          <w:rFonts w:ascii="Times New Roman" w:hAnsi="Times New Roman" w:cs="Times New Roman"/>
          <w:noProof/>
          <w:sz w:val="24"/>
          <w:szCs w:val="24"/>
          <w:lang w:val="en-IE"/>
        </w:rPr>
        <w:t xml:space="preserve"> activities</w:t>
      </w:r>
      <w:r w:rsidR="00FF71B3" w:rsidRPr="00532C20">
        <w:rPr>
          <w:rFonts w:ascii="Times New Roman" w:hAnsi="Times New Roman" w:cs="Times New Roman"/>
          <w:noProof/>
          <w:sz w:val="24"/>
          <w:szCs w:val="24"/>
          <w:lang w:val="en-IE"/>
        </w:rPr>
        <w:t xml:space="preserve"> </w:t>
      </w:r>
      <w:r w:rsidR="009102A8" w:rsidRPr="00532C20">
        <w:rPr>
          <w:rFonts w:ascii="Times New Roman" w:hAnsi="Times New Roman" w:cs="Times New Roman"/>
          <w:noProof/>
          <w:sz w:val="24"/>
          <w:szCs w:val="24"/>
          <w:lang w:val="en-IE"/>
        </w:rPr>
        <w:t>can</w:t>
      </w:r>
      <w:r w:rsidR="00FF71B3" w:rsidRPr="00532C20">
        <w:rPr>
          <w:rFonts w:ascii="Times New Roman" w:hAnsi="Times New Roman" w:cs="Times New Roman"/>
          <w:noProof/>
          <w:sz w:val="24"/>
          <w:szCs w:val="24"/>
          <w:lang w:val="en-IE"/>
        </w:rPr>
        <w:t xml:space="preserve"> </w:t>
      </w:r>
      <w:r w:rsidR="00555688" w:rsidRPr="00532C20">
        <w:rPr>
          <w:rFonts w:ascii="Times New Roman" w:hAnsi="Times New Roman" w:cs="Times New Roman"/>
          <w:noProof/>
          <w:sz w:val="24"/>
          <w:szCs w:val="24"/>
          <w:lang w:val="en-IE"/>
        </w:rPr>
        <w:t xml:space="preserve">take very different forms </w:t>
      </w:r>
      <w:r w:rsidR="009514EF" w:rsidRPr="00532C20">
        <w:rPr>
          <w:rFonts w:ascii="Times New Roman" w:hAnsi="Times New Roman" w:cs="Times New Roman"/>
          <w:noProof/>
          <w:sz w:val="24"/>
          <w:szCs w:val="24"/>
          <w:lang w:val="en-IE"/>
        </w:rPr>
        <w:t>such as direct lobbying of decision</w:t>
      </w:r>
      <w:r w:rsidR="00980695">
        <w:rPr>
          <w:rFonts w:ascii="Times New Roman" w:hAnsi="Times New Roman" w:cs="Times New Roman"/>
          <w:noProof/>
          <w:sz w:val="24"/>
          <w:szCs w:val="24"/>
          <w:lang w:val="en-IE"/>
        </w:rPr>
        <w:t>-</w:t>
      </w:r>
      <w:r w:rsidR="009514EF" w:rsidRPr="00532C20">
        <w:rPr>
          <w:rFonts w:ascii="Times New Roman" w:hAnsi="Times New Roman" w:cs="Times New Roman"/>
          <w:noProof/>
          <w:sz w:val="24"/>
          <w:szCs w:val="24"/>
          <w:lang w:val="en-IE"/>
        </w:rPr>
        <w:t xml:space="preserve">makers, </w:t>
      </w:r>
      <w:r w:rsidR="00C56178" w:rsidRPr="00532C20">
        <w:rPr>
          <w:rFonts w:ascii="Times New Roman" w:hAnsi="Times New Roman" w:cs="Times New Roman"/>
          <w:noProof/>
          <w:sz w:val="24"/>
          <w:szCs w:val="24"/>
          <w:lang w:val="en-IE"/>
        </w:rPr>
        <w:t>organising or participating in meetings, conferences or events, contributing to or participating in consultations or parliamentary hearings, organising communication or advertising campaigns, organising networks and grassroots initiatives, preparing policy and position papers, legislative amendments, opinion polls, surveys or open letters, or activities in the context of research and education, where they are specifically carried out with that objective</w:t>
      </w:r>
      <w:r w:rsidR="009514EF" w:rsidRPr="00532C20">
        <w:rPr>
          <w:rFonts w:ascii="Times New Roman" w:hAnsi="Times New Roman" w:cs="Times New Roman"/>
          <w:noProof/>
          <w:sz w:val="24"/>
          <w:szCs w:val="24"/>
          <w:lang w:val="en-IE"/>
        </w:rPr>
        <w:t xml:space="preserve">. They can be </w:t>
      </w:r>
      <w:r w:rsidR="00B07EE6" w:rsidRPr="00532C20">
        <w:rPr>
          <w:rFonts w:ascii="Times New Roman" w:hAnsi="Times New Roman" w:cs="Times New Roman"/>
          <w:noProof/>
          <w:sz w:val="24"/>
          <w:szCs w:val="24"/>
          <w:lang w:val="en-IE"/>
        </w:rPr>
        <w:t xml:space="preserve">conducted both at European, national, and sub-national level and they can </w:t>
      </w:r>
      <w:r w:rsidR="00322112" w:rsidRPr="00532C20">
        <w:rPr>
          <w:rFonts w:ascii="Times New Roman" w:hAnsi="Times New Roman" w:cs="Times New Roman"/>
          <w:noProof/>
          <w:sz w:val="24"/>
          <w:szCs w:val="24"/>
          <w:lang w:val="en-IE"/>
        </w:rPr>
        <w:t>have a harmful and disruptive impact on decision</w:t>
      </w:r>
      <w:r w:rsidR="002B5847">
        <w:rPr>
          <w:rFonts w:ascii="Times New Roman" w:hAnsi="Times New Roman" w:cs="Times New Roman"/>
          <w:noProof/>
          <w:sz w:val="24"/>
          <w:szCs w:val="24"/>
          <w:lang w:val="en-IE"/>
        </w:rPr>
        <w:t>-</w:t>
      </w:r>
      <w:r w:rsidR="00322112" w:rsidRPr="00532C20">
        <w:rPr>
          <w:rFonts w:ascii="Times New Roman" w:hAnsi="Times New Roman" w:cs="Times New Roman"/>
          <w:noProof/>
          <w:sz w:val="24"/>
          <w:szCs w:val="24"/>
          <w:lang w:val="en-IE"/>
        </w:rPr>
        <w:t xml:space="preserve">making processes. </w:t>
      </w:r>
      <w:r w:rsidR="00AD6364" w:rsidRPr="00532C20">
        <w:rPr>
          <w:rFonts w:ascii="Times New Roman" w:eastAsia="Times New Roman" w:hAnsi="Times New Roman" w:cs="Times New Roman"/>
          <w:noProof/>
          <w:sz w:val="24"/>
          <w:szCs w:val="24"/>
          <w:lang w:val="en-IE"/>
        </w:rPr>
        <w:t>However</w:t>
      </w:r>
      <w:r w:rsidR="00582553" w:rsidRPr="00532C20">
        <w:rPr>
          <w:rFonts w:ascii="Times New Roman" w:eastAsia="Times New Roman" w:hAnsi="Times New Roman" w:cs="Times New Roman"/>
          <w:noProof/>
          <w:sz w:val="24"/>
          <w:szCs w:val="24"/>
          <w:lang w:val="en-IE"/>
        </w:rPr>
        <w:t>,</w:t>
      </w:r>
      <w:r w:rsidR="00F87DB0" w:rsidRPr="00532C20">
        <w:rPr>
          <w:rFonts w:ascii="Times New Roman" w:eastAsia="Times New Roman" w:hAnsi="Times New Roman" w:cs="Times New Roman"/>
          <w:noProof/>
          <w:sz w:val="24"/>
          <w:szCs w:val="24"/>
          <w:lang w:val="en-IE"/>
        </w:rPr>
        <w:t xml:space="preserve"> </w:t>
      </w:r>
      <w:r w:rsidR="00427DE7" w:rsidRPr="00532C20">
        <w:rPr>
          <w:rFonts w:ascii="Times New Roman" w:hAnsi="Times New Roman" w:cs="Times New Roman"/>
          <w:noProof/>
          <w:sz w:val="24"/>
          <w:szCs w:val="24"/>
        </w:rPr>
        <w:t>Member States do not consisten</w:t>
      </w:r>
      <w:r w:rsidR="00F539EA" w:rsidRPr="00532C20">
        <w:rPr>
          <w:rFonts w:ascii="Times New Roman" w:hAnsi="Times New Roman" w:cs="Times New Roman"/>
          <w:noProof/>
          <w:sz w:val="24"/>
          <w:szCs w:val="24"/>
        </w:rPr>
        <w:t>tly</w:t>
      </w:r>
      <w:r w:rsidR="00ED46F3" w:rsidRPr="00532C20">
        <w:rPr>
          <w:rFonts w:ascii="Times New Roman" w:hAnsi="Times New Roman" w:cs="Times New Roman"/>
          <w:noProof/>
          <w:sz w:val="24"/>
          <w:szCs w:val="24"/>
        </w:rPr>
        <w:t xml:space="preserve"> </w:t>
      </w:r>
      <w:r w:rsidR="00427DE7" w:rsidRPr="00532C20">
        <w:rPr>
          <w:rFonts w:ascii="Times New Roman" w:hAnsi="Times New Roman" w:cs="Times New Roman"/>
          <w:noProof/>
          <w:sz w:val="24"/>
          <w:szCs w:val="24"/>
        </w:rPr>
        <w:t xml:space="preserve">collect </w:t>
      </w:r>
      <w:r w:rsidR="00F539EA" w:rsidRPr="00532C20">
        <w:rPr>
          <w:rFonts w:ascii="Times New Roman" w:hAnsi="Times New Roman" w:cs="Times New Roman"/>
          <w:noProof/>
          <w:sz w:val="24"/>
          <w:szCs w:val="24"/>
        </w:rPr>
        <w:t xml:space="preserve">or systematically </w:t>
      </w:r>
      <w:r w:rsidR="00427DE7" w:rsidRPr="00532C20">
        <w:rPr>
          <w:rFonts w:ascii="Times New Roman" w:hAnsi="Times New Roman" w:cs="Times New Roman"/>
          <w:noProof/>
          <w:sz w:val="24"/>
          <w:szCs w:val="24"/>
        </w:rPr>
        <w:t>share information on interest representation carried out on behalf of third countries</w:t>
      </w:r>
      <w:r w:rsidR="00F539EA" w:rsidRPr="00532C20">
        <w:rPr>
          <w:rFonts w:ascii="Times New Roman" w:hAnsi="Times New Roman" w:cs="Times New Roman"/>
          <w:noProof/>
          <w:sz w:val="24"/>
          <w:szCs w:val="24"/>
        </w:rPr>
        <w:t xml:space="preserve"> </w:t>
      </w:r>
      <w:r w:rsidR="0057734C" w:rsidRPr="00532C20">
        <w:rPr>
          <w:rFonts w:ascii="Times New Roman" w:eastAsia="Times New Roman" w:hAnsi="Times New Roman" w:cs="Times New Roman"/>
          <w:noProof/>
          <w:sz w:val="24"/>
          <w:szCs w:val="24"/>
          <w:lang w:val="en-IE"/>
        </w:rPr>
        <w:t>and t</w:t>
      </w:r>
      <w:r w:rsidR="00AD6364" w:rsidRPr="00532C20">
        <w:rPr>
          <w:rFonts w:ascii="Times New Roman" w:eastAsia="Times New Roman" w:hAnsi="Times New Roman" w:cs="Times New Roman"/>
          <w:noProof/>
          <w:sz w:val="24"/>
          <w:szCs w:val="24"/>
          <w:lang w:val="en-IE"/>
        </w:rPr>
        <w:t xml:space="preserve">here </w:t>
      </w:r>
      <w:r w:rsidR="003D1863" w:rsidRPr="00532C20">
        <w:rPr>
          <w:rFonts w:ascii="Times New Roman" w:eastAsia="Times New Roman" w:hAnsi="Times New Roman" w:cs="Times New Roman"/>
          <w:noProof/>
          <w:sz w:val="24"/>
          <w:szCs w:val="24"/>
          <w:lang w:val="en-IE"/>
        </w:rPr>
        <w:t>is</w:t>
      </w:r>
      <w:r w:rsidR="00AD6364" w:rsidRPr="00532C20">
        <w:rPr>
          <w:rFonts w:ascii="Times New Roman" w:eastAsia="Times New Roman" w:hAnsi="Times New Roman" w:cs="Times New Roman"/>
          <w:noProof/>
          <w:sz w:val="24"/>
          <w:szCs w:val="24"/>
          <w:lang w:val="en-IE"/>
        </w:rPr>
        <w:t xml:space="preserve"> no reliable and consistent data </w:t>
      </w:r>
      <w:r w:rsidR="00D73295" w:rsidRPr="00532C20">
        <w:rPr>
          <w:rFonts w:ascii="Times New Roman" w:eastAsia="Times New Roman" w:hAnsi="Times New Roman" w:cs="Times New Roman"/>
          <w:noProof/>
          <w:sz w:val="24"/>
          <w:szCs w:val="24"/>
          <w:lang w:val="en-IE"/>
        </w:rPr>
        <w:t xml:space="preserve">on </w:t>
      </w:r>
      <w:r w:rsidR="003D1863" w:rsidRPr="00532C20">
        <w:rPr>
          <w:rFonts w:ascii="Times New Roman" w:eastAsia="Times New Roman" w:hAnsi="Times New Roman" w:cs="Times New Roman"/>
          <w:noProof/>
          <w:sz w:val="24"/>
          <w:szCs w:val="24"/>
          <w:lang w:val="en-IE"/>
        </w:rPr>
        <w:t>these activities</w:t>
      </w:r>
      <w:r w:rsidR="00E26B26" w:rsidRPr="00532C20">
        <w:rPr>
          <w:rFonts w:ascii="Times New Roman" w:eastAsia="Times New Roman" w:hAnsi="Times New Roman" w:cs="Times New Roman"/>
          <w:noProof/>
          <w:sz w:val="24"/>
          <w:szCs w:val="24"/>
          <w:lang w:val="en-IE"/>
        </w:rPr>
        <w:t xml:space="preserve">. </w:t>
      </w:r>
      <w:r w:rsidR="00D73295" w:rsidRPr="00532C20">
        <w:rPr>
          <w:rFonts w:ascii="Times New Roman" w:hAnsi="Times New Roman" w:cs="Times New Roman"/>
          <w:bCs/>
          <w:noProof/>
          <w:sz w:val="24"/>
          <w:szCs w:val="24"/>
        </w:rPr>
        <w:t>This results in difficulties to identify and map interest representation activities carried out on behalf of third countries and do so in a coordinated and efficient way across the EU.</w:t>
      </w:r>
      <w:r w:rsidR="00D73295" w:rsidRPr="00532C20">
        <w:rPr>
          <w:rStyle w:val="normaltextrun"/>
          <w:rFonts w:ascii="Times New Roman" w:hAnsi="Times New Roman" w:cs="Times New Roman"/>
          <w:bCs/>
          <w:noProof/>
          <w:sz w:val="24"/>
          <w:szCs w:val="24"/>
        </w:rPr>
        <w:t xml:space="preserve"> </w:t>
      </w:r>
      <w:r w:rsidR="00E26B26" w:rsidRPr="00532C20">
        <w:rPr>
          <w:rFonts w:ascii="Times New Roman" w:eastAsia="Times New Roman" w:hAnsi="Times New Roman" w:cs="Times New Roman"/>
          <w:noProof/>
          <w:sz w:val="24"/>
          <w:szCs w:val="24"/>
          <w:lang w:val="en-IE"/>
        </w:rPr>
        <w:t xml:space="preserve">This makes </w:t>
      </w:r>
      <w:r w:rsidR="005E668B" w:rsidRPr="00532C20">
        <w:rPr>
          <w:rFonts w:ascii="Times New Roman" w:eastAsia="Times New Roman" w:hAnsi="Times New Roman" w:cs="Times New Roman"/>
          <w:noProof/>
          <w:sz w:val="24"/>
          <w:szCs w:val="24"/>
          <w:lang w:val="en-IE"/>
        </w:rPr>
        <w:t>the situation</w:t>
      </w:r>
      <w:r w:rsidR="00E26B26" w:rsidRPr="00532C20">
        <w:rPr>
          <w:rFonts w:ascii="Times New Roman" w:eastAsia="Times New Roman" w:hAnsi="Times New Roman" w:cs="Times New Roman"/>
          <w:noProof/>
          <w:sz w:val="24"/>
          <w:szCs w:val="24"/>
          <w:lang w:val="en-IE"/>
        </w:rPr>
        <w:t xml:space="preserve"> prone to foreign interference operations, </w:t>
      </w:r>
      <w:r w:rsidR="00D73295" w:rsidRPr="00532C20">
        <w:rPr>
          <w:rFonts w:ascii="Times New Roman" w:hAnsi="Times New Roman" w:cs="Times New Roman"/>
          <w:bCs/>
          <w:noProof/>
          <w:sz w:val="24"/>
          <w:szCs w:val="24"/>
        </w:rPr>
        <w:t>as third countries may seek to exploit the information asymmetry among authorities. In</w:t>
      </w:r>
      <w:r w:rsidR="00E26B26" w:rsidRPr="00532C20">
        <w:rPr>
          <w:rFonts w:ascii="Times New Roman" w:eastAsia="Times New Roman" w:hAnsi="Times New Roman" w:cs="Times New Roman"/>
          <w:noProof/>
          <w:sz w:val="24"/>
          <w:szCs w:val="24"/>
          <w:lang w:val="en-IE"/>
        </w:rPr>
        <w:t xml:space="preserve"> turn</w:t>
      </w:r>
      <w:r w:rsidR="00D73295" w:rsidRPr="00532C20">
        <w:rPr>
          <w:rFonts w:ascii="Times New Roman" w:eastAsia="Times New Roman" w:hAnsi="Times New Roman" w:cs="Times New Roman"/>
          <w:noProof/>
          <w:sz w:val="24"/>
          <w:szCs w:val="24"/>
          <w:lang w:val="en-IE"/>
        </w:rPr>
        <w:t>, it</w:t>
      </w:r>
      <w:r w:rsidR="00E26B26" w:rsidRPr="00532C20">
        <w:rPr>
          <w:rFonts w:ascii="Times New Roman" w:eastAsia="Times New Roman" w:hAnsi="Times New Roman" w:cs="Times New Roman"/>
          <w:noProof/>
          <w:sz w:val="24"/>
          <w:szCs w:val="24"/>
          <w:lang w:val="en-IE"/>
        </w:rPr>
        <w:t xml:space="preserve"> has an effect on wider perceptions about the integrity of public decision</w:t>
      </w:r>
      <w:r w:rsidR="002B5847">
        <w:rPr>
          <w:rFonts w:ascii="Times New Roman" w:eastAsia="Times New Roman" w:hAnsi="Times New Roman" w:cs="Times New Roman"/>
          <w:noProof/>
          <w:sz w:val="24"/>
          <w:szCs w:val="24"/>
          <w:lang w:val="en-IE"/>
        </w:rPr>
        <w:t>-</w:t>
      </w:r>
      <w:r w:rsidR="00E26B26" w:rsidRPr="00532C20">
        <w:rPr>
          <w:rFonts w:ascii="Times New Roman" w:eastAsia="Times New Roman" w:hAnsi="Times New Roman" w:cs="Times New Roman"/>
          <w:noProof/>
          <w:sz w:val="24"/>
          <w:szCs w:val="24"/>
          <w:lang w:val="en-IE"/>
        </w:rPr>
        <w:t xml:space="preserve">making. </w:t>
      </w:r>
    </w:p>
    <w:p w14:paraId="16CD35DD" w14:textId="6E2DB000" w:rsidR="007F7C4B" w:rsidRPr="00532C20" w:rsidRDefault="007F7C4B" w:rsidP="00B26B58">
      <w:pPr>
        <w:spacing w:after="120" w:line="240" w:lineRule="auto"/>
        <w:jc w:val="both"/>
        <w:rPr>
          <w:rFonts w:ascii="Times New Roman" w:eastAsia="Times New Roman" w:hAnsi="Times New Roman" w:cs="Times New Roman"/>
          <w:noProof/>
          <w:sz w:val="24"/>
          <w:szCs w:val="24"/>
          <w:lang w:val="en-IE"/>
        </w:rPr>
      </w:pPr>
      <w:r w:rsidRPr="00532C20">
        <w:rPr>
          <w:rFonts w:ascii="Times New Roman" w:eastAsia="Times New Roman" w:hAnsi="Times New Roman" w:cs="Times New Roman"/>
          <w:noProof/>
          <w:sz w:val="24"/>
          <w:szCs w:val="24"/>
          <w:lang w:val="en-IE"/>
        </w:rPr>
        <w:t xml:space="preserve">The lack of transparency and inconsistency of regulation and oversight, the many different ways in which interest representation activities on behalf of third countries are carried out and the difficulty of measuring them, do not allow to </w:t>
      </w:r>
      <w:r w:rsidR="00C23DC8" w:rsidRPr="00532C20">
        <w:rPr>
          <w:rFonts w:ascii="Times New Roman" w:eastAsia="Times New Roman" w:hAnsi="Times New Roman" w:cs="Times New Roman"/>
          <w:noProof/>
          <w:sz w:val="24"/>
          <w:szCs w:val="24"/>
          <w:lang w:val="en-IE"/>
        </w:rPr>
        <w:t>monitor</w:t>
      </w:r>
      <w:r w:rsidRPr="00532C20">
        <w:rPr>
          <w:rFonts w:ascii="Times New Roman" w:eastAsia="Times New Roman" w:hAnsi="Times New Roman" w:cs="Times New Roman"/>
          <w:noProof/>
          <w:sz w:val="24"/>
          <w:szCs w:val="24"/>
          <w:lang w:val="en-IE"/>
        </w:rPr>
        <w:t xml:space="preserve"> </w:t>
      </w:r>
      <w:r w:rsidR="005408E7" w:rsidRPr="00532C20">
        <w:rPr>
          <w:rFonts w:ascii="Times New Roman" w:eastAsia="Times New Roman" w:hAnsi="Times New Roman" w:cs="Times New Roman"/>
          <w:noProof/>
          <w:sz w:val="24"/>
          <w:szCs w:val="24"/>
          <w:lang w:val="en-IE"/>
        </w:rPr>
        <w:t>these activities</w:t>
      </w:r>
      <w:r w:rsidRPr="00532C20">
        <w:rPr>
          <w:rFonts w:ascii="Times New Roman" w:eastAsia="Times New Roman" w:hAnsi="Times New Roman" w:cs="Times New Roman"/>
          <w:noProof/>
          <w:sz w:val="24"/>
          <w:szCs w:val="24"/>
          <w:lang w:val="en-IE"/>
        </w:rPr>
        <w:t xml:space="preserve"> accurately, especially with quantitative data.</w:t>
      </w:r>
      <w:r w:rsidR="000D0183" w:rsidRPr="00532C20">
        <w:rPr>
          <w:rFonts w:ascii="Times New Roman" w:eastAsia="Times New Roman" w:hAnsi="Times New Roman" w:cs="Times New Roman"/>
          <w:noProof/>
          <w:sz w:val="24"/>
          <w:szCs w:val="24"/>
          <w:lang w:val="en-IE"/>
        </w:rPr>
        <w:t xml:space="preserve"> It</w:t>
      </w:r>
      <w:r w:rsidR="00AF2E50" w:rsidRPr="00532C20">
        <w:rPr>
          <w:rFonts w:ascii="Times New Roman" w:eastAsia="Times New Roman" w:hAnsi="Times New Roman" w:cs="Times New Roman"/>
          <w:noProof/>
          <w:sz w:val="24"/>
          <w:szCs w:val="24"/>
          <w:lang w:val="en-IE"/>
        </w:rPr>
        <w:t xml:space="preserve"> also risks conflating legitimate interest representation by third countries with covert activities which </w:t>
      </w:r>
      <w:r w:rsidR="000F2FDA" w:rsidRPr="00532C20">
        <w:rPr>
          <w:rFonts w:ascii="Times New Roman" w:eastAsia="Times New Roman" w:hAnsi="Times New Roman" w:cs="Times New Roman"/>
          <w:noProof/>
          <w:sz w:val="24"/>
          <w:szCs w:val="24"/>
          <w:lang w:val="en-IE"/>
        </w:rPr>
        <w:t xml:space="preserve">may </w:t>
      </w:r>
      <w:r w:rsidR="00AF2E50" w:rsidRPr="00532C20">
        <w:rPr>
          <w:rFonts w:ascii="Times New Roman" w:eastAsia="Times New Roman" w:hAnsi="Times New Roman" w:cs="Times New Roman"/>
          <w:noProof/>
          <w:sz w:val="24"/>
          <w:szCs w:val="24"/>
          <w:lang w:val="en-IE"/>
        </w:rPr>
        <w:t>not pursue such ends.</w:t>
      </w:r>
    </w:p>
    <w:p w14:paraId="458C192E" w14:textId="1DB2E65A" w:rsidR="007F7681" w:rsidRPr="00532C20" w:rsidRDefault="00716399" w:rsidP="00D9543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noProof/>
          <w:lang w:val="en-IE"/>
        </w:rPr>
      </w:pPr>
      <w:r w:rsidRPr="00532C20">
        <w:rPr>
          <w:rFonts w:ascii="Times New Roman" w:eastAsia="Times New Roman" w:hAnsi="Times New Roman" w:cs="Times New Roman"/>
          <w:b/>
          <w:bCs/>
          <w:noProof/>
          <w:lang w:val="en-IE"/>
        </w:rPr>
        <w:t xml:space="preserve">Differences </w:t>
      </w:r>
      <w:r w:rsidR="007F7681" w:rsidRPr="00532C20">
        <w:rPr>
          <w:rFonts w:ascii="Times New Roman" w:eastAsia="Times New Roman" w:hAnsi="Times New Roman" w:cs="Times New Roman"/>
          <w:b/>
          <w:bCs/>
          <w:noProof/>
          <w:lang w:val="en-IE"/>
        </w:rPr>
        <w:t>in data collection requirements</w:t>
      </w:r>
      <w:r w:rsidR="007F7681" w:rsidRPr="00532C20">
        <w:rPr>
          <w:rFonts w:ascii="Times New Roman" w:eastAsia="Times New Roman" w:hAnsi="Times New Roman" w:cs="Times New Roman"/>
          <w:noProof/>
          <w:lang w:val="en-IE"/>
        </w:rPr>
        <w:t xml:space="preserve"> </w:t>
      </w:r>
    </w:p>
    <w:p w14:paraId="2AAEE2FD" w14:textId="41B1E244" w:rsidR="007F7681" w:rsidRPr="00532C20" w:rsidRDefault="007F7681" w:rsidP="00B26B58">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noProof/>
          <w:lang w:val="en-IE"/>
        </w:rPr>
      </w:pPr>
      <w:r w:rsidRPr="00532C20">
        <w:rPr>
          <w:rFonts w:ascii="Times New Roman" w:eastAsia="Times New Roman" w:hAnsi="Times New Roman" w:cs="Times New Roman"/>
          <w:noProof/>
          <w:lang w:val="en-IE"/>
        </w:rPr>
        <w:t xml:space="preserve">Discrepancies in data collection requirements in Member States make it difficult to shed light </w:t>
      </w:r>
      <w:r w:rsidR="00156A3B" w:rsidRPr="00532C20">
        <w:rPr>
          <w:rFonts w:ascii="Times New Roman" w:eastAsia="Times New Roman" w:hAnsi="Times New Roman" w:cs="Times New Roman"/>
          <w:noProof/>
          <w:lang w:val="en-IE"/>
        </w:rPr>
        <w:t>and id</w:t>
      </w:r>
      <w:r w:rsidR="00287410" w:rsidRPr="00532C20">
        <w:rPr>
          <w:rFonts w:ascii="Times New Roman" w:eastAsia="Times New Roman" w:hAnsi="Times New Roman" w:cs="Times New Roman"/>
          <w:noProof/>
          <w:lang w:val="en-IE"/>
        </w:rPr>
        <w:t xml:space="preserve">entify patterns </w:t>
      </w:r>
      <w:r w:rsidRPr="00532C20">
        <w:rPr>
          <w:rFonts w:ascii="Times New Roman" w:eastAsia="Times New Roman" w:hAnsi="Times New Roman" w:cs="Times New Roman"/>
          <w:noProof/>
          <w:lang w:val="en-IE"/>
        </w:rPr>
        <w:t xml:space="preserve">on the magnitude of the phenomenon of interest representation activities carried out on behalf of third countries, be it with regard to the entities, the activities they </w:t>
      </w:r>
      <w:r w:rsidR="00956732" w:rsidRPr="00532C20">
        <w:rPr>
          <w:rFonts w:ascii="Times New Roman" w:eastAsia="Times New Roman" w:hAnsi="Times New Roman" w:cs="Times New Roman"/>
          <w:noProof/>
          <w:lang w:val="en-IE"/>
        </w:rPr>
        <w:t>perform,</w:t>
      </w:r>
      <w:r w:rsidRPr="00532C20">
        <w:rPr>
          <w:rFonts w:ascii="Times New Roman" w:eastAsia="Times New Roman" w:hAnsi="Times New Roman" w:cs="Times New Roman"/>
          <w:noProof/>
          <w:lang w:val="en-IE"/>
        </w:rPr>
        <w:t xml:space="preserve"> and the amounts of money involved</w:t>
      </w:r>
      <w:r w:rsidR="00F45AD5" w:rsidRPr="00532C20">
        <w:rPr>
          <w:rFonts w:ascii="Times New Roman" w:eastAsia="Times New Roman" w:hAnsi="Times New Roman" w:cs="Times New Roman"/>
          <w:noProof/>
          <w:lang w:val="en-IE"/>
        </w:rPr>
        <w:t>.</w:t>
      </w:r>
    </w:p>
    <w:p w14:paraId="7705BBE1" w14:textId="2C57A478" w:rsidR="0015005D" w:rsidRPr="00532C20" w:rsidRDefault="007F7681" w:rsidP="00B26B58">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noProof/>
          <w:lang w:val="en-IE"/>
        </w:rPr>
      </w:pPr>
      <w:r w:rsidRPr="00532C20">
        <w:rPr>
          <w:rFonts w:ascii="Times New Roman" w:eastAsia="Times New Roman" w:hAnsi="Times New Roman" w:cs="Times New Roman"/>
          <w:noProof/>
          <w:lang w:val="en-IE"/>
        </w:rPr>
        <w:t>While</w:t>
      </w:r>
      <w:r w:rsidR="007A735A" w:rsidRPr="00532C20">
        <w:rPr>
          <w:rFonts w:ascii="Times New Roman" w:eastAsia="Times New Roman" w:hAnsi="Times New Roman" w:cs="Times New Roman"/>
          <w:noProof/>
          <w:lang w:val="en-IE"/>
        </w:rPr>
        <w:t xml:space="preserve"> 12</w:t>
      </w:r>
      <w:r w:rsidRPr="00532C20">
        <w:rPr>
          <w:rFonts w:ascii="Times New Roman" w:eastAsia="Times New Roman" w:hAnsi="Times New Roman" w:cs="Times New Roman"/>
          <w:noProof/>
          <w:lang w:val="en-IE"/>
        </w:rPr>
        <w:t xml:space="preserve"> Member States</w:t>
      </w:r>
      <w:r w:rsidRPr="00532C20">
        <w:rPr>
          <w:rStyle w:val="FootnoteReference"/>
          <w:rFonts w:ascii="Times New Roman" w:eastAsia="Times New Roman" w:hAnsi="Times New Roman" w:cs="Times New Roman"/>
          <w:noProof/>
          <w:lang w:val="en-IE"/>
        </w:rPr>
        <w:footnoteReference w:id="79"/>
      </w:r>
      <w:r w:rsidRPr="00532C20">
        <w:rPr>
          <w:rFonts w:ascii="Times New Roman" w:eastAsia="Times New Roman" w:hAnsi="Times New Roman" w:cs="Times New Roman"/>
          <w:noProof/>
          <w:lang w:val="en-IE"/>
        </w:rPr>
        <w:t xml:space="preserve"> require identification data of interest representatives (e.g. name of the lobbyist), only</w:t>
      </w:r>
      <w:r w:rsidR="00A90D63" w:rsidRPr="00532C20">
        <w:rPr>
          <w:rFonts w:ascii="Times New Roman" w:eastAsia="Times New Roman" w:hAnsi="Times New Roman" w:cs="Times New Roman"/>
          <w:noProof/>
          <w:lang w:val="en-IE"/>
        </w:rPr>
        <w:t xml:space="preserve"> 8 </w:t>
      </w:r>
      <w:r w:rsidRPr="00532C20">
        <w:rPr>
          <w:rFonts w:ascii="Times New Roman" w:eastAsia="Times New Roman" w:hAnsi="Times New Roman" w:cs="Times New Roman"/>
          <w:noProof/>
          <w:lang w:val="en-IE"/>
        </w:rPr>
        <w:t>Member States</w:t>
      </w:r>
      <w:r w:rsidRPr="00532C20">
        <w:rPr>
          <w:rStyle w:val="FootnoteReference"/>
          <w:rFonts w:ascii="Times New Roman" w:eastAsia="Times New Roman" w:hAnsi="Times New Roman" w:cs="Times New Roman"/>
          <w:noProof/>
          <w:lang w:val="en-IE"/>
        </w:rPr>
        <w:footnoteReference w:id="80"/>
      </w:r>
      <w:r w:rsidRPr="00532C20">
        <w:rPr>
          <w:rFonts w:ascii="Times New Roman" w:eastAsia="Times New Roman" w:hAnsi="Times New Roman" w:cs="Times New Roman"/>
          <w:noProof/>
          <w:lang w:val="en-IE"/>
        </w:rPr>
        <w:t xml:space="preserve"> request specific information on the client represented by the entity carrying out interest representation activities (e.g. name of the client). Furthermore, only</w:t>
      </w:r>
      <w:r w:rsidR="00A90D63" w:rsidRPr="00532C20">
        <w:rPr>
          <w:rFonts w:ascii="Times New Roman" w:eastAsia="Times New Roman" w:hAnsi="Times New Roman" w:cs="Times New Roman"/>
          <w:noProof/>
          <w:lang w:val="en-IE"/>
        </w:rPr>
        <w:t xml:space="preserve"> 10 </w:t>
      </w:r>
      <w:r w:rsidRPr="00532C20">
        <w:rPr>
          <w:rFonts w:ascii="Times New Roman" w:eastAsia="Times New Roman" w:hAnsi="Times New Roman" w:cs="Times New Roman"/>
          <w:noProof/>
          <w:lang w:val="en-IE"/>
        </w:rPr>
        <w:t>Member State</w:t>
      </w:r>
      <w:r w:rsidR="00021251">
        <w:rPr>
          <w:rFonts w:ascii="Times New Roman" w:eastAsia="Times New Roman" w:hAnsi="Times New Roman" w:cs="Times New Roman"/>
          <w:noProof/>
          <w:lang w:val="en-IE"/>
        </w:rPr>
        <w:t>s</w:t>
      </w:r>
      <w:r w:rsidRPr="00532C20">
        <w:rPr>
          <w:rStyle w:val="FootnoteReference"/>
          <w:rFonts w:ascii="Times New Roman" w:eastAsia="Times New Roman" w:hAnsi="Times New Roman" w:cs="Times New Roman"/>
          <w:noProof/>
          <w:lang w:val="en-IE"/>
        </w:rPr>
        <w:footnoteReference w:id="81"/>
      </w:r>
      <w:r w:rsidRPr="00532C20">
        <w:rPr>
          <w:rFonts w:ascii="Times New Roman" w:eastAsia="Times New Roman" w:hAnsi="Times New Roman" w:cs="Times New Roman"/>
          <w:noProof/>
          <w:lang w:val="en-IE"/>
        </w:rPr>
        <w:t xml:space="preserve"> require entities to provide information on the policy field in which they pursue interest representation </w:t>
      </w:r>
      <w:r w:rsidR="005B199D" w:rsidRPr="00532C20">
        <w:rPr>
          <w:rFonts w:ascii="Times New Roman" w:eastAsia="Times New Roman" w:hAnsi="Times New Roman" w:cs="Times New Roman"/>
          <w:noProof/>
          <w:lang w:val="en-IE"/>
        </w:rPr>
        <w:t>for their</w:t>
      </w:r>
      <w:r w:rsidRPr="00532C20">
        <w:rPr>
          <w:rFonts w:ascii="Times New Roman" w:eastAsia="Times New Roman" w:hAnsi="Times New Roman" w:cs="Times New Roman"/>
          <w:noProof/>
          <w:lang w:val="en-IE"/>
        </w:rPr>
        <w:t xml:space="preserve"> clients, while </w:t>
      </w:r>
      <w:r w:rsidR="00DF1E0C" w:rsidRPr="00532C20">
        <w:rPr>
          <w:rFonts w:ascii="Times New Roman" w:eastAsia="Times New Roman" w:hAnsi="Times New Roman" w:cs="Times New Roman"/>
          <w:noProof/>
          <w:lang w:val="en-IE"/>
        </w:rPr>
        <w:t>6</w:t>
      </w:r>
      <w:r w:rsidR="00942EEB" w:rsidRPr="00532C20">
        <w:rPr>
          <w:rFonts w:ascii="Times New Roman" w:eastAsia="Times New Roman" w:hAnsi="Times New Roman" w:cs="Times New Roman"/>
          <w:noProof/>
          <w:lang w:val="en-IE"/>
        </w:rPr>
        <w:t xml:space="preserve"> </w:t>
      </w:r>
      <w:r w:rsidRPr="00532C20">
        <w:rPr>
          <w:rFonts w:ascii="Times New Roman" w:eastAsia="Times New Roman" w:hAnsi="Times New Roman" w:cs="Times New Roman"/>
          <w:noProof/>
          <w:lang w:val="en-IE"/>
        </w:rPr>
        <w:t>Member States</w:t>
      </w:r>
      <w:r w:rsidRPr="00532C20">
        <w:rPr>
          <w:rStyle w:val="FootnoteReference"/>
          <w:rFonts w:ascii="Times New Roman" w:eastAsia="Times New Roman" w:hAnsi="Times New Roman" w:cs="Times New Roman"/>
          <w:noProof/>
          <w:lang w:val="en-IE"/>
        </w:rPr>
        <w:footnoteReference w:id="82"/>
      </w:r>
      <w:r w:rsidRPr="00532C20">
        <w:rPr>
          <w:rFonts w:ascii="Times New Roman" w:eastAsia="Times New Roman" w:hAnsi="Times New Roman" w:cs="Times New Roman"/>
          <w:noProof/>
          <w:lang w:val="en-IE"/>
        </w:rPr>
        <w:t xml:space="preserve"> ask for information on the budget/expenditure from entities carrying out interest representation activities</w:t>
      </w:r>
      <w:r w:rsidR="00287EBA" w:rsidRPr="00532C20">
        <w:rPr>
          <w:rFonts w:ascii="Times New Roman" w:eastAsia="Times New Roman" w:hAnsi="Times New Roman" w:cs="Times New Roman"/>
          <w:noProof/>
          <w:lang w:val="en-IE"/>
        </w:rPr>
        <w:t>, albeit in different ways</w:t>
      </w:r>
      <w:r w:rsidR="00FB016D" w:rsidRPr="00532C20">
        <w:rPr>
          <w:rStyle w:val="FootnoteReference"/>
          <w:rFonts w:ascii="Times New Roman" w:eastAsia="Times New Roman" w:hAnsi="Times New Roman" w:cs="Times New Roman"/>
          <w:noProof/>
          <w:lang w:val="en-IE"/>
        </w:rPr>
        <w:footnoteReference w:id="83"/>
      </w:r>
      <w:r w:rsidRPr="00532C20">
        <w:rPr>
          <w:rFonts w:ascii="Times New Roman" w:eastAsia="Times New Roman" w:hAnsi="Times New Roman" w:cs="Times New Roman"/>
          <w:noProof/>
          <w:lang w:val="en-IE"/>
        </w:rPr>
        <w:t>.</w:t>
      </w:r>
      <w:r w:rsidR="00E43C1F" w:rsidRPr="00532C20">
        <w:rPr>
          <w:rFonts w:ascii="Times New Roman" w:eastAsia="Times New Roman" w:hAnsi="Times New Roman" w:cs="Times New Roman"/>
          <w:noProof/>
          <w:lang w:val="en-IE"/>
        </w:rPr>
        <w:t xml:space="preserve"> </w:t>
      </w:r>
    </w:p>
    <w:p w14:paraId="3F23F50F" w14:textId="38CB9F9C" w:rsidR="007F7681" w:rsidRPr="00532C20" w:rsidRDefault="007F7681" w:rsidP="00B26B58">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noProof/>
          <w:lang w:val="en-IE"/>
        </w:rPr>
      </w:pPr>
      <w:r w:rsidRPr="00532C20">
        <w:rPr>
          <w:rFonts w:ascii="Times New Roman" w:eastAsia="Times New Roman" w:hAnsi="Times New Roman" w:cs="Times New Roman"/>
          <w:noProof/>
          <w:lang w:val="en-IE"/>
        </w:rPr>
        <w:t xml:space="preserve">Data comparisons are further complexified by the differences in regimes with regard to the updates of </w:t>
      </w:r>
      <w:r w:rsidR="00EB34D5" w:rsidRPr="00532C20">
        <w:rPr>
          <w:rFonts w:ascii="Times New Roman" w:eastAsia="Times New Roman" w:hAnsi="Times New Roman" w:cs="Times New Roman"/>
          <w:noProof/>
          <w:lang w:val="en-IE"/>
        </w:rPr>
        <w:t>that</w:t>
      </w:r>
      <w:r w:rsidRPr="00532C20">
        <w:rPr>
          <w:rFonts w:ascii="Times New Roman" w:eastAsia="Times New Roman" w:hAnsi="Times New Roman" w:cs="Times New Roman"/>
          <w:noProof/>
          <w:lang w:val="en-IE"/>
        </w:rPr>
        <w:t xml:space="preserve"> data. For example, in Ireland</w:t>
      </w:r>
      <w:r w:rsidR="005F4183">
        <w:rPr>
          <w:rStyle w:val="FootnoteReference"/>
          <w:rFonts w:ascii="Times New Roman" w:eastAsia="Times New Roman" w:hAnsi="Times New Roman" w:cs="Times New Roman"/>
          <w:noProof/>
          <w:lang w:val="en-IE"/>
        </w:rPr>
        <w:footnoteReference w:id="84"/>
      </w:r>
      <w:r w:rsidRPr="00532C20">
        <w:rPr>
          <w:rFonts w:ascii="Times New Roman" w:eastAsia="Times New Roman" w:hAnsi="Times New Roman" w:cs="Times New Roman"/>
          <w:noProof/>
          <w:lang w:val="en-IE"/>
        </w:rPr>
        <w:t>, updates have to take place 3 times a year, while in countries such as France</w:t>
      </w:r>
      <w:r w:rsidR="005F4183">
        <w:rPr>
          <w:rStyle w:val="FootnoteReference"/>
          <w:rFonts w:ascii="Times New Roman" w:eastAsia="Times New Roman" w:hAnsi="Times New Roman" w:cs="Times New Roman"/>
          <w:noProof/>
          <w:lang w:val="en-IE"/>
        </w:rPr>
        <w:footnoteReference w:id="85"/>
      </w:r>
      <w:r w:rsidRPr="00532C20">
        <w:rPr>
          <w:rFonts w:ascii="Times New Roman" w:eastAsia="Times New Roman" w:hAnsi="Times New Roman" w:cs="Times New Roman"/>
          <w:noProof/>
          <w:lang w:val="en-IE"/>
        </w:rPr>
        <w:t xml:space="preserve"> or Greece</w:t>
      </w:r>
      <w:r w:rsidR="005F4183">
        <w:rPr>
          <w:rStyle w:val="FootnoteReference"/>
          <w:rFonts w:ascii="Times New Roman" w:eastAsia="Times New Roman" w:hAnsi="Times New Roman" w:cs="Times New Roman"/>
          <w:noProof/>
          <w:lang w:val="en-IE"/>
        </w:rPr>
        <w:footnoteReference w:id="86"/>
      </w:r>
      <w:r w:rsidRPr="00532C20">
        <w:rPr>
          <w:rFonts w:ascii="Times New Roman" w:eastAsia="Times New Roman" w:hAnsi="Times New Roman" w:cs="Times New Roman"/>
          <w:noProof/>
          <w:lang w:val="en-IE"/>
        </w:rPr>
        <w:t xml:space="preserve"> updates take place once yearly. In other Member States such as Finland</w:t>
      </w:r>
      <w:r w:rsidR="005F4183">
        <w:rPr>
          <w:rStyle w:val="FootnoteReference"/>
          <w:rFonts w:ascii="Times New Roman" w:eastAsia="Times New Roman" w:hAnsi="Times New Roman" w:cs="Times New Roman"/>
          <w:noProof/>
          <w:lang w:val="en-IE"/>
        </w:rPr>
        <w:footnoteReference w:id="87"/>
      </w:r>
      <w:r w:rsidRPr="00532C20">
        <w:rPr>
          <w:rFonts w:ascii="Times New Roman" w:eastAsia="Times New Roman" w:hAnsi="Times New Roman" w:cs="Times New Roman"/>
          <w:noProof/>
          <w:lang w:val="en-IE"/>
        </w:rPr>
        <w:t xml:space="preserve"> or Germany</w:t>
      </w:r>
      <w:r w:rsidR="005F4183">
        <w:rPr>
          <w:rStyle w:val="FootnoteReference"/>
          <w:rFonts w:ascii="Times New Roman" w:eastAsia="Times New Roman" w:hAnsi="Times New Roman" w:cs="Times New Roman"/>
          <w:noProof/>
          <w:lang w:val="en-IE"/>
        </w:rPr>
        <w:footnoteReference w:id="88"/>
      </w:r>
      <w:r w:rsidRPr="00532C20">
        <w:rPr>
          <w:rFonts w:ascii="Times New Roman" w:eastAsia="Times New Roman" w:hAnsi="Times New Roman" w:cs="Times New Roman"/>
          <w:noProof/>
          <w:lang w:val="en-IE"/>
        </w:rPr>
        <w:t>, only some information has to be updated yearly while other information has to be updated twice yearly (e.g. financial information in Finland) or at the end of every quarter (e.g. basic personal data such as addresses and contact details in Germany). Another system exists for example in Lithuania</w:t>
      </w:r>
      <w:r w:rsidR="005F4183">
        <w:rPr>
          <w:rStyle w:val="FootnoteReference"/>
          <w:rFonts w:ascii="Times New Roman" w:eastAsia="Times New Roman" w:hAnsi="Times New Roman" w:cs="Times New Roman"/>
          <w:noProof/>
          <w:lang w:val="en-IE"/>
        </w:rPr>
        <w:footnoteReference w:id="89"/>
      </w:r>
      <w:r w:rsidRPr="00532C20">
        <w:rPr>
          <w:rFonts w:ascii="Times New Roman" w:eastAsia="Times New Roman" w:hAnsi="Times New Roman" w:cs="Times New Roman"/>
          <w:noProof/>
          <w:lang w:val="en-IE"/>
        </w:rPr>
        <w:t xml:space="preserve"> where updates have to take place within</w:t>
      </w:r>
      <w:r w:rsidR="00A90D63" w:rsidRPr="00532C20">
        <w:rPr>
          <w:rFonts w:ascii="Times New Roman" w:eastAsia="Times New Roman" w:hAnsi="Times New Roman" w:cs="Times New Roman"/>
          <w:noProof/>
          <w:lang w:val="en-IE"/>
        </w:rPr>
        <w:t xml:space="preserve"> </w:t>
      </w:r>
      <w:r w:rsidR="00CC2E99">
        <w:rPr>
          <w:rFonts w:ascii="Times New Roman" w:eastAsia="Times New Roman" w:hAnsi="Times New Roman" w:cs="Times New Roman"/>
          <w:noProof/>
          <w:lang w:val="en-IE"/>
        </w:rPr>
        <w:t>7</w:t>
      </w:r>
      <w:r w:rsidR="00A90D63" w:rsidRPr="00532C20">
        <w:rPr>
          <w:rFonts w:ascii="Times New Roman" w:eastAsia="Times New Roman" w:hAnsi="Times New Roman" w:cs="Times New Roman"/>
          <w:noProof/>
          <w:lang w:val="en-IE"/>
        </w:rPr>
        <w:t xml:space="preserve"> </w:t>
      </w:r>
      <w:r w:rsidRPr="00532C20">
        <w:rPr>
          <w:rFonts w:ascii="Times New Roman" w:eastAsia="Times New Roman" w:hAnsi="Times New Roman" w:cs="Times New Roman"/>
          <w:noProof/>
          <w:lang w:val="en-IE"/>
        </w:rPr>
        <w:t xml:space="preserve">days of an interest representation activity taking place. </w:t>
      </w:r>
    </w:p>
    <w:p w14:paraId="617D0F1F" w14:textId="1EEB1B50" w:rsidR="007F7681" w:rsidRPr="00532C20" w:rsidRDefault="007F7681" w:rsidP="00B26B58">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noProof/>
          <w:sz w:val="24"/>
          <w:szCs w:val="24"/>
          <w:lang w:val="en-IE"/>
        </w:rPr>
      </w:pPr>
      <w:r w:rsidRPr="00532C20">
        <w:rPr>
          <w:rFonts w:ascii="Times New Roman" w:eastAsia="Times New Roman" w:hAnsi="Times New Roman" w:cs="Times New Roman"/>
          <w:noProof/>
          <w:lang w:val="en-IE"/>
        </w:rPr>
        <w:t xml:space="preserve">Lastly, data analysis is rendered difficult by the fact that not all registers are public, and that for those that are, not all data is publicly accessible. </w:t>
      </w:r>
      <w:r w:rsidRPr="00532C20">
        <w:rPr>
          <w:rFonts w:ascii="Times New Roman" w:eastAsia="Times" w:hAnsi="Times New Roman" w:cs="Times New Roman"/>
          <w:noProof/>
          <w:lang w:val="en-IE"/>
        </w:rPr>
        <w:t>The data of transparency registers on lobbying is made public on the websites of</w:t>
      </w:r>
      <w:r w:rsidR="00A90D63" w:rsidRPr="00532C20">
        <w:rPr>
          <w:rFonts w:ascii="Times New Roman" w:eastAsia="Times" w:hAnsi="Times New Roman" w:cs="Times New Roman"/>
          <w:noProof/>
          <w:lang w:val="en-IE"/>
        </w:rPr>
        <w:t xml:space="preserve"> 10 </w:t>
      </w:r>
      <w:r w:rsidRPr="00532C20">
        <w:rPr>
          <w:rFonts w:ascii="Times New Roman" w:eastAsia="Times" w:hAnsi="Times New Roman" w:cs="Times New Roman"/>
          <w:noProof/>
          <w:lang w:val="en-IE"/>
        </w:rPr>
        <w:t>Member State</w:t>
      </w:r>
      <w:r w:rsidRPr="00532C20">
        <w:rPr>
          <w:rStyle w:val="FootnoteReference"/>
          <w:rFonts w:ascii="Times New Roman" w:eastAsia="Times" w:hAnsi="Times New Roman" w:cs="Times New Roman"/>
          <w:noProof/>
          <w:lang w:val="en-IE"/>
        </w:rPr>
        <w:footnoteReference w:id="90"/>
      </w:r>
      <w:r w:rsidRPr="00532C20">
        <w:rPr>
          <w:rFonts w:ascii="Times New Roman" w:eastAsia="Times" w:hAnsi="Times New Roman" w:cs="Times New Roman"/>
          <w:noProof/>
          <w:lang w:val="en-IE"/>
        </w:rPr>
        <w:t xml:space="preserve"> authorities, while it is not the case in </w:t>
      </w:r>
      <w:r w:rsidR="00292679" w:rsidRPr="00532C20">
        <w:rPr>
          <w:rFonts w:ascii="Times New Roman" w:eastAsia="Times" w:hAnsi="Times New Roman" w:cs="Times New Roman"/>
          <w:noProof/>
          <w:lang w:val="en-IE"/>
        </w:rPr>
        <w:t xml:space="preserve">2 </w:t>
      </w:r>
      <w:r w:rsidRPr="00532C20">
        <w:rPr>
          <w:rFonts w:ascii="Times New Roman" w:eastAsia="Times" w:hAnsi="Times New Roman" w:cs="Times New Roman"/>
          <w:noProof/>
          <w:lang w:val="en-IE"/>
        </w:rPr>
        <w:t>others</w:t>
      </w:r>
      <w:r w:rsidRPr="00532C20">
        <w:rPr>
          <w:rStyle w:val="FootnoteReference"/>
          <w:rFonts w:ascii="Times New Roman" w:eastAsia="Times" w:hAnsi="Times New Roman" w:cs="Times New Roman"/>
          <w:noProof/>
          <w:lang w:val="en-IE"/>
        </w:rPr>
        <w:footnoteReference w:id="91"/>
      </w:r>
      <w:r w:rsidRPr="00532C20">
        <w:rPr>
          <w:rFonts w:ascii="Times New Roman" w:eastAsia="Times" w:hAnsi="Times New Roman" w:cs="Times New Roman"/>
          <w:noProof/>
          <w:lang w:val="en-IE"/>
        </w:rPr>
        <w:t>. In the Member States where transparency registers are publicly accessible, certain restrictions exist. For example,</w:t>
      </w:r>
      <w:r w:rsidR="005F4183">
        <w:rPr>
          <w:rFonts w:ascii="Times New Roman" w:eastAsia="Times" w:hAnsi="Times New Roman" w:cs="Times New Roman"/>
          <w:noProof/>
          <w:lang w:val="en-IE"/>
        </w:rPr>
        <w:t xml:space="preserve"> in Austria</w:t>
      </w:r>
      <w:r w:rsidR="005F4183">
        <w:rPr>
          <w:rStyle w:val="FootnoteReference"/>
          <w:rFonts w:ascii="Times New Roman" w:eastAsia="Times" w:hAnsi="Times New Roman" w:cs="Times New Roman"/>
          <w:noProof/>
          <w:lang w:val="en-IE"/>
        </w:rPr>
        <w:footnoteReference w:id="92"/>
      </w:r>
      <w:r w:rsidR="005F4183">
        <w:rPr>
          <w:rFonts w:ascii="Times New Roman" w:eastAsia="Times" w:hAnsi="Times New Roman" w:cs="Times New Roman"/>
          <w:noProof/>
          <w:lang w:val="en-IE"/>
        </w:rPr>
        <w:t>,</w:t>
      </w:r>
      <w:r w:rsidRPr="00532C20">
        <w:rPr>
          <w:rFonts w:ascii="Times New Roman" w:eastAsia="Times" w:hAnsi="Times New Roman" w:cs="Times New Roman"/>
          <w:noProof/>
          <w:lang w:val="en-IE"/>
        </w:rPr>
        <w:t xml:space="preserve"> </w:t>
      </w:r>
      <w:r w:rsidR="00A53141" w:rsidRPr="00A53141">
        <w:rPr>
          <w:rFonts w:ascii="Times New Roman" w:eastAsia="Times" w:hAnsi="Times New Roman" w:cs="Times New Roman"/>
          <w:noProof/>
          <w:lang w:val="en-IE"/>
        </w:rPr>
        <w:t xml:space="preserve">the legal regime only requires the disclosure of general information about the purposes and amounts spent on interest representation activities and does not include most of the information on clients that </w:t>
      </w:r>
      <w:r w:rsidR="003F50A1">
        <w:rPr>
          <w:rFonts w:ascii="Times New Roman" w:eastAsia="Times" w:hAnsi="Times New Roman" w:cs="Times New Roman"/>
          <w:noProof/>
          <w:lang w:val="en-IE"/>
        </w:rPr>
        <w:t xml:space="preserve">certain </w:t>
      </w:r>
      <w:r w:rsidR="00A53141" w:rsidRPr="00A53141">
        <w:rPr>
          <w:rFonts w:ascii="Times New Roman" w:eastAsia="Times" w:hAnsi="Times New Roman" w:cs="Times New Roman"/>
          <w:noProof/>
          <w:lang w:val="en-IE"/>
        </w:rPr>
        <w:t>other Member States require (e.g. names and contact details of the clients or granular description of the sums received)</w:t>
      </w:r>
      <w:r w:rsidRPr="00532C20">
        <w:rPr>
          <w:rFonts w:ascii="Times New Roman" w:eastAsia="Times" w:hAnsi="Times New Roman" w:cs="Times New Roman"/>
          <w:noProof/>
          <w:lang w:val="en-IE"/>
        </w:rPr>
        <w:t>.</w:t>
      </w:r>
    </w:p>
    <w:p w14:paraId="655AEB21" w14:textId="400A69F9" w:rsidR="00BD7A68" w:rsidRPr="00532C20" w:rsidRDefault="008E27CB" w:rsidP="00B26B58">
      <w:pPr>
        <w:spacing w:after="120" w:line="240" w:lineRule="auto"/>
        <w:jc w:val="both"/>
        <w:rPr>
          <w:rFonts w:ascii="Times New Roman" w:eastAsia="Times New Roman" w:hAnsi="Times New Roman" w:cs="Times New Roman"/>
          <w:noProof/>
          <w:sz w:val="24"/>
          <w:szCs w:val="24"/>
          <w:lang w:val="en-IE"/>
        </w:rPr>
      </w:pPr>
      <w:r w:rsidRPr="00532C20">
        <w:rPr>
          <w:rFonts w:ascii="Times New Roman" w:eastAsia="Times New Roman" w:hAnsi="Times New Roman" w:cs="Times New Roman"/>
          <w:noProof/>
          <w:sz w:val="24"/>
          <w:szCs w:val="24"/>
          <w:lang w:val="en-IE"/>
        </w:rPr>
        <w:t xml:space="preserve">The </w:t>
      </w:r>
      <w:r w:rsidR="00EF76C3" w:rsidRPr="00532C20">
        <w:rPr>
          <w:rFonts w:ascii="Times New Roman" w:eastAsia="Times New Roman" w:hAnsi="Times New Roman" w:cs="Times New Roman"/>
          <w:noProof/>
          <w:sz w:val="24"/>
          <w:szCs w:val="24"/>
          <w:lang w:val="en-IE"/>
        </w:rPr>
        <w:t xml:space="preserve">lack of transparency </w:t>
      </w:r>
      <w:r w:rsidR="00EF76C3" w:rsidRPr="00532C20">
        <w:rPr>
          <w:rFonts w:ascii="Times New Roman" w:eastAsia="Times New Roman" w:hAnsi="Times New Roman" w:cs="Times New Roman"/>
          <w:b/>
          <w:noProof/>
          <w:sz w:val="24"/>
          <w:szCs w:val="24"/>
          <w:lang w:val="en-IE"/>
        </w:rPr>
        <w:t xml:space="preserve">undermines democratic processes and </w:t>
      </w:r>
      <w:r w:rsidR="00D74DA8" w:rsidRPr="00532C20">
        <w:rPr>
          <w:rFonts w:ascii="Times New Roman" w:eastAsia="Times New Roman" w:hAnsi="Times New Roman" w:cs="Times New Roman"/>
          <w:b/>
          <w:noProof/>
          <w:sz w:val="24"/>
          <w:szCs w:val="24"/>
          <w:lang w:val="en-IE"/>
        </w:rPr>
        <w:t xml:space="preserve">impacts </w:t>
      </w:r>
      <w:r w:rsidR="00571BD9" w:rsidRPr="00532C20">
        <w:rPr>
          <w:rFonts w:ascii="Times New Roman" w:eastAsia="Times New Roman" w:hAnsi="Times New Roman" w:cs="Times New Roman"/>
          <w:b/>
          <w:noProof/>
          <w:sz w:val="24"/>
          <w:szCs w:val="24"/>
          <w:lang w:val="en-IE"/>
        </w:rPr>
        <w:t xml:space="preserve">EU citizens’ </w:t>
      </w:r>
      <w:r w:rsidR="00EF76C3" w:rsidRPr="00532C20">
        <w:rPr>
          <w:rFonts w:ascii="Times New Roman" w:eastAsia="Times New Roman" w:hAnsi="Times New Roman" w:cs="Times New Roman"/>
          <w:b/>
          <w:noProof/>
          <w:sz w:val="24"/>
          <w:szCs w:val="24"/>
          <w:lang w:val="en-IE"/>
        </w:rPr>
        <w:t>trust in related processes and/or decision-makers</w:t>
      </w:r>
      <w:r w:rsidR="00485272">
        <w:rPr>
          <w:rFonts w:ascii="Times New Roman" w:eastAsia="Times New Roman" w:hAnsi="Times New Roman" w:cs="Times New Roman"/>
          <w:b/>
          <w:noProof/>
          <w:sz w:val="24"/>
          <w:szCs w:val="24"/>
          <w:lang w:val="en-IE"/>
        </w:rPr>
        <w:t xml:space="preserve"> </w:t>
      </w:r>
      <w:r w:rsidR="00485272" w:rsidRPr="00485272">
        <w:rPr>
          <w:rFonts w:ascii="Times New Roman" w:eastAsia="Times New Roman" w:hAnsi="Times New Roman" w:cs="Times New Roman"/>
          <w:b/>
          <w:noProof/>
          <w:sz w:val="24"/>
          <w:szCs w:val="24"/>
          <w:lang w:val="en-IE"/>
        </w:rPr>
        <w:t>and their ability to exercise their rights and responsibilities</w:t>
      </w:r>
      <w:r w:rsidR="00EF76C3" w:rsidRPr="00532C20">
        <w:rPr>
          <w:rFonts w:ascii="Times New Roman" w:eastAsia="Times New Roman" w:hAnsi="Times New Roman" w:cs="Times New Roman"/>
          <w:noProof/>
          <w:sz w:val="24"/>
          <w:szCs w:val="24"/>
          <w:lang w:val="en-IE"/>
        </w:rPr>
        <w:t xml:space="preserve">. </w:t>
      </w:r>
    </w:p>
    <w:p w14:paraId="6073FEC1" w14:textId="3CFD3568" w:rsidR="00757B76" w:rsidRPr="00532C20" w:rsidRDefault="00002175" w:rsidP="00B26B58">
      <w:pPr>
        <w:spacing w:after="120" w:line="240" w:lineRule="auto"/>
        <w:jc w:val="both"/>
        <w:rPr>
          <w:rFonts w:ascii="Times New Roman" w:eastAsia="Times New Roman" w:hAnsi="Times New Roman" w:cs="Times New Roman"/>
          <w:noProof/>
          <w:sz w:val="24"/>
          <w:szCs w:val="24"/>
          <w:lang w:val="en-IE"/>
        </w:rPr>
      </w:pPr>
      <w:r w:rsidRPr="00532C20">
        <w:rPr>
          <w:rFonts w:ascii="Times New Roman" w:hAnsi="Times New Roman" w:cs="Times New Roman"/>
          <w:noProof/>
          <w:sz w:val="24"/>
          <w:szCs w:val="24"/>
          <w:lang w:val="en-IE"/>
        </w:rPr>
        <w:t>Citizens</w:t>
      </w:r>
      <w:r w:rsidR="00836AA8" w:rsidRPr="00532C20" w:rsidDel="00E230CF">
        <w:rPr>
          <w:rFonts w:ascii="Times New Roman" w:hAnsi="Times New Roman" w:cs="Times New Roman"/>
          <w:noProof/>
          <w:sz w:val="24"/>
          <w:szCs w:val="24"/>
          <w:lang w:val="en-IE"/>
        </w:rPr>
        <w:t xml:space="preserve"> </w:t>
      </w:r>
      <w:r w:rsidR="00E230CF">
        <w:rPr>
          <w:rFonts w:ascii="Times New Roman" w:hAnsi="Times New Roman" w:cs="Times New Roman"/>
          <w:noProof/>
          <w:sz w:val="24"/>
          <w:szCs w:val="24"/>
          <w:lang w:val="en-IE"/>
        </w:rPr>
        <w:t>are concerned about</w:t>
      </w:r>
      <w:r w:rsidR="00E230CF" w:rsidRPr="00532C20">
        <w:rPr>
          <w:rFonts w:ascii="Times New Roman" w:hAnsi="Times New Roman" w:cs="Times New Roman"/>
          <w:noProof/>
          <w:sz w:val="24"/>
          <w:szCs w:val="24"/>
          <w:lang w:val="en-IE"/>
        </w:rPr>
        <w:t xml:space="preserve"> </w:t>
      </w:r>
      <w:r w:rsidR="00836AA8" w:rsidRPr="00532C20">
        <w:rPr>
          <w:rFonts w:ascii="Times New Roman" w:hAnsi="Times New Roman" w:cs="Times New Roman"/>
          <w:noProof/>
          <w:sz w:val="24"/>
          <w:szCs w:val="24"/>
          <w:lang w:val="en-IE"/>
        </w:rPr>
        <w:t>the impacts of</w:t>
      </w:r>
      <w:r w:rsidR="00BD7A68" w:rsidRPr="00532C20">
        <w:rPr>
          <w:rFonts w:ascii="Times New Roman" w:hAnsi="Times New Roman" w:cs="Times New Roman"/>
          <w:noProof/>
          <w:sz w:val="24"/>
          <w:szCs w:val="24"/>
          <w:lang w:val="en-IE"/>
        </w:rPr>
        <w:t xml:space="preserve"> foreign government meddling with </w:t>
      </w:r>
      <w:r w:rsidR="00836AA8" w:rsidRPr="00532C20">
        <w:rPr>
          <w:rFonts w:ascii="Times New Roman" w:hAnsi="Times New Roman" w:cs="Times New Roman"/>
          <w:noProof/>
          <w:sz w:val="24"/>
          <w:szCs w:val="24"/>
          <w:lang w:val="en-IE"/>
        </w:rPr>
        <w:t xml:space="preserve">decision-making </w:t>
      </w:r>
      <w:r w:rsidR="000D0183" w:rsidRPr="00532C20">
        <w:rPr>
          <w:rFonts w:ascii="Times New Roman" w:hAnsi="Times New Roman" w:cs="Times New Roman"/>
          <w:noProof/>
          <w:sz w:val="24"/>
          <w:szCs w:val="24"/>
          <w:lang w:val="en-IE"/>
        </w:rPr>
        <w:t>processes</w:t>
      </w:r>
      <w:r w:rsidR="00BD7A68" w:rsidRPr="00532C20">
        <w:rPr>
          <w:rFonts w:ascii="Times New Roman" w:hAnsi="Times New Roman" w:cs="Times New Roman"/>
          <w:noProof/>
          <w:sz w:val="24"/>
          <w:szCs w:val="24"/>
          <w:lang w:val="en-IE"/>
        </w:rPr>
        <w:t xml:space="preserve"> in the </w:t>
      </w:r>
      <w:r w:rsidR="00F73488" w:rsidRPr="00532C20">
        <w:rPr>
          <w:rFonts w:ascii="Times New Roman" w:hAnsi="Times New Roman" w:cs="Times New Roman"/>
          <w:noProof/>
          <w:sz w:val="24"/>
          <w:szCs w:val="24"/>
          <w:lang w:val="en-IE"/>
        </w:rPr>
        <w:t>EU</w:t>
      </w:r>
      <w:r w:rsidR="00BD7A68" w:rsidRPr="00532C20">
        <w:rPr>
          <w:rFonts w:ascii="Times New Roman" w:hAnsi="Times New Roman" w:cs="Times New Roman"/>
          <w:noProof/>
          <w:sz w:val="24"/>
          <w:szCs w:val="24"/>
          <w:lang w:val="en-IE"/>
        </w:rPr>
        <w:t xml:space="preserve">. </w:t>
      </w:r>
      <w:r w:rsidR="00C81EDB" w:rsidRPr="00532C20">
        <w:rPr>
          <w:rFonts w:ascii="Times New Roman" w:eastAsia="Times New Roman" w:hAnsi="Times New Roman" w:cs="Times New Roman"/>
          <w:noProof/>
          <w:sz w:val="24"/>
          <w:szCs w:val="24"/>
          <w:lang w:val="en-IE"/>
        </w:rPr>
        <w:t>A recent</w:t>
      </w:r>
      <w:r w:rsidR="00F00E4B" w:rsidRPr="00532C20">
        <w:rPr>
          <w:rFonts w:ascii="Times New Roman" w:eastAsia="Times New Roman" w:hAnsi="Times New Roman" w:cs="Times New Roman"/>
          <w:noProof/>
          <w:sz w:val="24"/>
          <w:szCs w:val="24"/>
          <w:lang w:val="en-IE"/>
        </w:rPr>
        <w:t xml:space="preserve"> Eurobarometer </w:t>
      </w:r>
      <w:r w:rsidR="00C81EDB" w:rsidRPr="00532C20">
        <w:rPr>
          <w:rFonts w:ascii="Times New Roman" w:eastAsia="Times New Roman" w:hAnsi="Times New Roman" w:cs="Times New Roman"/>
          <w:noProof/>
          <w:sz w:val="24"/>
          <w:szCs w:val="24"/>
          <w:lang w:val="en-IE"/>
        </w:rPr>
        <w:t>on</w:t>
      </w:r>
      <w:r w:rsidR="00F00E4B" w:rsidRPr="00532C20">
        <w:rPr>
          <w:rFonts w:ascii="Times New Roman" w:eastAsia="Times New Roman" w:hAnsi="Times New Roman" w:cs="Times New Roman"/>
          <w:noProof/>
          <w:sz w:val="24"/>
          <w:szCs w:val="24"/>
          <w:lang w:val="en-IE"/>
        </w:rPr>
        <w:t xml:space="preserve"> Citizenship and Democracy showed that about</w:t>
      </w:r>
      <w:r w:rsidR="00A90D63" w:rsidRPr="00532C20">
        <w:rPr>
          <w:rFonts w:ascii="Times New Roman" w:eastAsia="Times New Roman" w:hAnsi="Times New Roman" w:cs="Times New Roman"/>
          <w:noProof/>
          <w:sz w:val="24"/>
          <w:szCs w:val="24"/>
          <w:lang w:val="en-IE"/>
        </w:rPr>
        <w:t xml:space="preserve"> 8 </w:t>
      </w:r>
      <w:r w:rsidR="00F00E4B" w:rsidRPr="00532C20">
        <w:rPr>
          <w:rFonts w:ascii="Times New Roman" w:eastAsia="Times New Roman" w:hAnsi="Times New Roman" w:cs="Times New Roman"/>
          <w:noProof/>
          <w:sz w:val="24"/>
          <w:szCs w:val="24"/>
          <w:lang w:val="en-IE"/>
        </w:rPr>
        <w:t>in</w:t>
      </w:r>
      <w:r w:rsidR="00A90D63" w:rsidRPr="00532C20">
        <w:rPr>
          <w:rFonts w:ascii="Times New Roman" w:eastAsia="Times New Roman" w:hAnsi="Times New Roman" w:cs="Times New Roman"/>
          <w:noProof/>
          <w:sz w:val="24"/>
          <w:szCs w:val="24"/>
          <w:lang w:val="en-IE"/>
        </w:rPr>
        <w:t xml:space="preserve"> 10</w:t>
      </w:r>
      <w:r w:rsidR="00F00E4B" w:rsidRPr="00532C20">
        <w:rPr>
          <w:rFonts w:ascii="Times New Roman" w:eastAsia="Times New Roman" w:hAnsi="Times New Roman" w:cs="Times New Roman"/>
          <w:noProof/>
          <w:sz w:val="24"/>
          <w:szCs w:val="24"/>
          <w:lang w:val="en-IE"/>
        </w:rPr>
        <w:t xml:space="preserve"> Europeans agree that foreign interference in European democratic systems is </w:t>
      </w:r>
      <w:r w:rsidR="00F00E4B" w:rsidRPr="00532C20">
        <w:rPr>
          <w:rFonts w:ascii="Times New Roman" w:hAnsi="Times New Roman" w:cs="Times New Roman"/>
          <w:noProof/>
          <w:sz w:val="24"/>
          <w:szCs w:val="24"/>
          <w:lang w:val="en-IE"/>
        </w:rPr>
        <w:t xml:space="preserve">a </w:t>
      </w:r>
      <w:r w:rsidR="00F00E4B" w:rsidRPr="00532C20">
        <w:rPr>
          <w:rFonts w:ascii="Times New Roman" w:eastAsia="Times New Roman" w:hAnsi="Times New Roman" w:cs="Times New Roman"/>
          <w:noProof/>
          <w:sz w:val="24"/>
          <w:szCs w:val="24"/>
          <w:lang w:val="en-IE"/>
        </w:rPr>
        <w:t>serious problem that should be addressed</w:t>
      </w:r>
      <w:r w:rsidR="00F00E4B" w:rsidRPr="00532C20">
        <w:rPr>
          <w:rStyle w:val="FootnoteReference"/>
          <w:rFonts w:ascii="Times New Roman" w:eastAsia="Times New Roman" w:hAnsi="Times New Roman" w:cs="Times New Roman"/>
          <w:noProof/>
          <w:sz w:val="24"/>
          <w:szCs w:val="24"/>
          <w:lang w:val="en-IE"/>
        </w:rPr>
        <w:footnoteReference w:id="93"/>
      </w:r>
      <w:r w:rsidR="00F00E4B" w:rsidRPr="00532C20">
        <w:rPr>
          <w:rFonts w:ascii="Times New Roman" w:eastAsia="Times New Roman" w:hAnsi="Times New Roman" w:cs="Times New Roman"/>
          <w:noProof/>
          <w:sz w:val="24"/>
          <w:szCs w:val="24"/>
          <w:lang w:val="en-IE"/>
        </w:rPr>
        <w:t>.</w:t>
      </w:r>
      <w:r w:rsidR="00F00E4B" w:rsidRPr="00532C20">
        <w:rPr>
          <w:rFonts w:ascii="Times New Roman" w:hAnsi="Times New Roman" w:cs="Times New Roman"/>
          <w:noProof/>
          <w:sz w:val="24"/>
          <w:szCs w:val="24"/>
          <w:lang w:val="en-IE"/>
        </w:rPr>
        <w:t xml:space="preserve"> </w:t>
      </w:r>
      <w:r w:rsidR="00662FC5" w:rsidRPr="00532C20">
        <w:rPr>
          <w:rFonts w:ascii="Times New Roman" w:hAnsi="Times New Roman" w:cs="Times New Roman"/>
          <w:noProof/>
          <w:sz w:val="24"/>
          <w:szCs w:val="24"/>
          <w:lang w:val="en-IE"/>
        </w:rPr>
        <w:t xml:space="preserve">According to the </w:t>
      </w:r>
      <w:r w:rsidR="00BD7A68" w:rsidRPr="00532C20">
        <w:rPr>
          <w:rFonts w:ascii="Times New Roman" w:hAnsi="Times New Roman" w:cs="Times New Roman"/>
          <w:noProof/>
          <w:sz w:val="24"/>
          <w:szCs w:val="24"/>
          <w:lang w:val="en-IE"/>
        </w:rPr>
        <w:t xml:space="preserve">Online Public Consultation </w:t>
      </w:r>
      <w:r w:rsidR="00A40081" w:rsidRPr="00532C20">
        <w:rPr>
          <w:rFonts w:ascii="Times New Roman" w:hAnsi="Times New Roman" w:cs="Times New Roman"/>
          <w:noProof/>
          <w:sz w:val="24"/>
          <w:szCs w:val="24"/>
          <w:lang w:val="en-IE"/>
        </w:rPr>
        <w:t xml:space="preserve">84.5% of respondents considered </w:t>
      </w:r>
      <w:r w:rsidR="00F35314" w:rsidRPr="00532C20">
        <w:rPr>
          <w:rFonts w:ascii="Times New Roman" w:hAnsi="Times New Roman" w:cs="Times New Roman"/>
          <w:noProof/>
          <w:sz w:val="24"/>
          <w:szCs w:val="24"/>
          <w:lang w:val="en-IE"/>
        </w:rPr>
        <w:t xml:space="preserve">that </w:t>
      </w:r>
      <w:r w:rsidR="00662FC5" w:rsidRPr="00532C20">
        <w:rPr>
          <w:rFonts w:ascii="Times New Roman" w:hAnsi="Times New Roman" w:cs="Times New Roman"/>
          <w:noProof/>
          <w:sz w:val="24"/>
          <w:szCs w:val="24"/>
          <w:lang w:val="en-IE"/>
        </w:rPr>
        <w:t>lobbying or public relations activities remunerated by or controlled by third countrie</w:t>
      </w:r>
      <w:r w:rsidR="004151AB" w:rsidRPr="00532C20">
        <w:rPr>
          <w:rFonts w:ascii="Times New Roman" w:hAnsi="Times New Roman" w:cs="Times New Roman"/>
          <w:noProof/>
          <w:sz w:val="24"/>
          <w:szCs w:val="24"/>
          <w:lang w:val="en-IE"/>
        </w:rPr>
        <w:t>s</w:t>
      </w:r>
      <w:r w:rsidR="00662FC5" w:rsidRPr="00532C20">
        <w:rPr>
          <w:rFonts w:ascii="Times New Roman" w:hAnsi="Times New Roman" w:cs="Times New Roman"/>
          <w:noProof/>
          <w:sz w:val="24"/>
          <w:szCs w:val="24"/>
          <w:lang w:val="en-IE"/>
        </w:rPr>
        <w:t xml:space="preserve"> </w:t>
      </w:r>
      <w:r w:rsidR="009D1B5E" w:rsidRPr="00532C20">
        <w:rPr>
          <w:rFonts w:ascii="Times New Roman" w:hAnsi="Times New Roman" w:cs="Times New Roman"/>
          <w:noProof/>
          <w:sz w:val="24"/>
          <w:szCs w:val="24"/>
          <w:lang w:val="en-IE"/>
        </w:rPr>
        <w:t>trigger</w:t>
      </w:r>
      <w:r w:rsidR="00EB34D5" w:rsidRPr="00532C20">
        <w:rPr>
          <w:rFonts w:ascii="Times New Roman" w:hAnsi="Times New Roman" w:cs="Times New Roman"/>
          <w:noProof/>
          <w:sz w:val="24"/>
          <w:szCs w:val="24"/>
          <w:lang w:val="en-IE"/>
        </w:rPr>
        <w:t>ed</w:t>
      </w:r>
      <w:r w:rsidR="00F35314" w:rsidRPr="00532C20">
        <w:rPr>
          <w:rFonts w:ascii="Times New Roman" w:hAnsi="Times New Roman" w:cs="Times New Roman"/>
          <w:noProof/>
          <w:sz w:val="24"/>
          <w:szCs w:val="24"/>
          <w:lang w:val="en-IE"/>
        </w:rPr>
        <w:t xml:space="preserve"> </w:t>
      </w:r>
      <w:r w:rsidR="009D1B5E" w:rsidRPr="00532C20">
        <w:rPr>
          <w:rFonts w:ascii="Times New Roman" w:hAnsi="Times New Roman" w:cs="Times New Roman"/>
          <w:noProof/>
          <w:sz w:val="24"/>
          <w:szCs w:val="24"/>
          <w:lang w:val="en-IE"/>
        </w:rPr>
        <w:t>a high risk of</w:t>
      </w:r>
      <w:r w:rsidR="00BD7A68" w:rsidRPr="00532C20" w:rsidDel="009D1B5E">
        <w:rPr>
          <w:rFonts w:ascii="Times New Roman" w:hAnsi="Times New Roman" w:cs="Times New Roman"/>
          <w:noProof/>
          <w:sz w:val="24"/>
          <w:szCs w:val="24"/>
          <w:lang w:val="en-IE"/>
        </w:rPr>
        <w:t xml:space="preserve"> </w:t>
      </w:r>
      <w:r w:rsidR="009D1B5E" w:rsidRPr="00532C20">
        <w:rPr>
          <w:rFonts w:ascii="Times New Roman" w:hAnsi="Times New Roman" w:cs="Times New Roman"/>
          <w:noProof/>
          <w:sz w:val="24"/>
          <w:szCs w:val="24"/>
          <w:lang w:val="en-IE"/>
        </w:rPr>
        <w:t>covert foreign interference.</w:t>
      </w:r>
      <w:r w:rsidR="007B6977" w:rsidRPr="00532C20">
        <w:rPr>
          <w:rFonts w:ascii="Times New Roman" w:hAnsi="Times New Roman" w:cs="Times New Roman"/>
          <w:noProof/>
          <w:sz w:val="24"/>
          <w:szCs w:val="24"/>
          <w:lang w:val="en-IE"/>
        </w:rPr>
        <w:t xml:space="preserve"> 65% of them considered that t</w:t>
      </w:r>
      <w:r w:rsidR="00BD7A68" w:rsidRPr="00532C20">
        <w:rPr>
          <w:rFonts w:ascii="Times New Roman" w:hAnsi="Times New Roman" w:cs="Times New Roman"/>
          <w:noProof/>
          <w:sz w:val="24"/>
          <w:szCs w:val="24"/>
          <w:lang w:val="en-IE"/>
        </w:rPr>
        <w:t>he activities of think tanks remunerated by third countries trigger</w:t>
      </w:r>
      <w:r w:rsidR="007B6977" w:rsidRPr="00532C20">
        <w:rPr>
          <w:rFonts w:ascii="Times New Roman" w:hAnsi="Times New Roman" w:cs="Times New Roman"/>
          <w:noProof/>
          <w:sz w:val="24"/>
          <w:szCs w:val="24"/>
          <w:lang w:val="en-IE"/>
        </w:rPr>
        <w:t>ed</w:t>
      </w:r>
      <w:r w:rsidR="00BD7A68" w:rsidRPr="00532C20">
        <w:rPr>
          <w:rFonts w:ascii="Times New Roman" w:hAnsi="Times New Roman" w:cs="Times New Roman"/>
          <w:noProof/>
          <w:sz w:val="24"/>
          <w:szCs w:val="24"/>
          <w:lang w:val="en-IE"/>
        </w:rPr>
        <w:t xml:space="preserve"> </w:t>
      </w:r>
      <w:r w:rsidR="007B6977" w:rsidRPr="00532C20">
        <w:rPr>
          <w:rFonts w:ascii="Times New Roman" w:hAnsi="Times New Roman" w:cs="Times New Roman"/>
          <w:noProof/>
          <w:sz w:val="24"/>
          <w:szCs w:val="24"/>
          <w:lang w:val="en-IE"/>
        </w:rPr>
        <w:t xml:space="preserve">such a </w:t>
      </w:r>
      <w:r w:rsidR="00BD7A68" w:rsidRPr="00532C20">
        <w:rPr>
          <w:rFonts w:ascii="Times New Roman" w:hAnsi="Times New Roman" w:cs="Times New Roman"/>
          <w:noProof/>
          <w:sz w:val="24"/>
          <w:szCs w:val="24"/>
          <w:lang w:val="en-IE"/>
        </w:rPr>
        <w:t>risk</w:t>
      </w:r>
      <w:r w:rsidR="00836AA8" w:rsidRPr="00532C20">
        <w:rPr>
          <w:rFonts w:ascii="Times New Roman" w:hAnsi="Times New Roman" w:cs="Times New Roman"/>
          <w:noProof/>
          <w:sz w:val="24"/>
          <w:szCs w:val="24"/>
          <w:lang w:val="en-IE"/>
        </w:rPr>
        <w:t>. A</w:t>
      </w:r>
      <w:r w:rsidR="00BD7A68" w:rsidRPr="00532C20">
        <w:rPr>
          <w:rFonts w:ascii="Times New Roman" w:hAnsi="Times New Roman" w:cs="Times New Roman"/>
          <w:noProof/>
          <w:sz w:val="24"/>
          <w:szCs w:val="24"/>
          <w:lang w:val="en-IE"/>
        </w:rPr>
        <w:t xml:space="preserve"> survey conducted by Friedrich-Ebert-Stiftung on European sovereignty in 8 EU Member States</w:t>
      </w:r>
      <w:r w:rsidR="00BD7A68" w:rsidRPr="00532C20">
        <w:rPr>
          <w:rStyle w:val="FootnoteReference"/>
          <w:rFonts w:ascii="Times New Roman" w:hAnsi="Times New Roman" w:cs="Times New Roman"/>
          <w:noProof/>
          <w:sz w:val="24"/>
          <w:szCs w:val="24"/>
          <w:lang w:val="en-IE"/>
        </w:rPr>
        <w:footnoteReference w:id="94"/>
      </w:r>
      <w:r w:rsidR="00BD7A68" w:rsidRPr="00532C20">
        <w:rPr>
          <w:rFonts w:ascii="Times New Roman" w:hAnsi="Times New Roman" w:cs="Times New Roman"/>
          <w:noProof/>
          <w:sz w:val="24"/>
          <w:szCs w:val="24"/>
          <w:lang w:val="en-IE"/>
        </w:rPr>
        <w:t xml:space="preserve"> found that 93% of respondents considered that it is essential or important to have common tools to combat foreign interference for Europe to be sovereign</w:t>
      </w:r>
      <w:r w:rsidR="00BD7A68" w:rsidRPr="00532C20">
        <w:rPr>
          <w:rStyle w:val="FootnoteReference"/>
          <w:rFonts w:ascii="Times New Roman" w:hAnsi="Times New Roman" w:cs="Times New Roman"/>
          <w:noProof/>
          <w:sz w:val="24"/>
          <w:szCs w:val="24"/>
          <w:lang w:val="en-IE"/>
        </w:rPr>
        <w:footnoteReference w:id="95"/>
      </w:r>
      <w:r w:rsidR="00BD7A68" w:rsidRPr="00532C20">
        <w:rPr>
          <w:rFonts w:ascii="Times New Roman" w:hAnsi="Times New Roman" w:cs="Times New Roman"/>
          <w:noProof/>
          <w:sz w:val="24"/>
          <w:szCs w:val="24"/>
          <w:lang w:val="en-IE"/>
        </w:rPr>
        <w:t xml:space="preserve">. </w:t>
      </w:r>
      <w:r w:rsidR="00757B76" w:rsidRPr="00532C20">
        <w:rPr>
          <w:rFonts w:ascii="Times New Roman" w:eastAsia="Times New Roman" w:hAnsi="Times New Roman" w:cs="Times New Roman"/>
          <w:noProof/>
          <w:sz w:val="24"/>
          <w:szCs w:val="24"/>
          <w:lang w:val="en-IE"/>
        </w:rPr>
        <w:t xml:space="preserve">Due to the lack of information on the magnitude, trends and actors of interest representation carried out on behalf of third countries, it </w:t>
      </w:r>
      <w:r w:rsidR="00021251">
        <w:rPr>
          <w:rFonts w:ascii="Times New Roman" w:eastAsia="Times New Roman" w:hAnsi="Times New Roman" w:cs="Times New Roman"/>
          <w:noProof/>
          <w:sz w:val="24"/>
          <w:szCs w:val="24"/>
          <w:lang w:val="en-IE"/>
        </w:rPr>
        <w:t xml:space="preserve">is </w:t>
      </w:r>
      <w:r w:rsidR="00757B76" w:rsidRPr="00532C20">
        <w:rPr>
          <w:rFonts w:ascii="Times New Roman" w:eastAsia="Times New Roman" w:hAnsi="Times New Roman" w:cs="Times New Roman"/>
          <w:noProof/>
          <w:sz w:val="24"/>
          <w:szCs w:val="24"/>
          <w:lang w:val="en-IE"/>
        </w:rPr>
        <w:t xml:space="preserve">difficult to assess the reality and the risks </w:t>
      </w:r>
      <w:r w:rsidR="00096CA8" w:rsidRPr="00532C20">
        <w:rPr>
          <w:rFonts w:ascii="Times New Roman" w:eastAsia="Times New Roman" w:hAnsi="Times New Roman" w:cs="Times New Roman"/>
          <w:noProof/>
          <w:sz w:val="24"/>
          <w:szCs w:val="24"/>
          <w:lang w:val="en-IE"/>
        </w:rPr>
        <w:t>c</w:t>
      </w:r>
      <w:r w:rsidR="00757B76" w:rsidRPr="00532C20">
        <w:rPr>
          <w:rFonts w:ascii="Times New Roman" w:eastAsia="Times New Roman" w:hAnsi="Times New Roman" w:cs="Times New Roman"/>
          <w:noProof/>
          <w:sz w:val="24"/>
          <w:szCs w:val="24"/>
          <w:lang w:val="en-IE"/>
        </w:rPr>
        <w:t>ause</w:t>
      </w:r>
      <w:r w:rsidR="00096CA8" w:rsidRPr="00532C20">
        <w:rPr>
          <w:rFonts w:ascii="Times New Roman" w:eastAsia="Times New Roman" w:hAnsi="Times New Roman" w:cs="Times New Roman"/>
          <w:noProof/>
          <w:sz w:val="24"/>
          <w:szCs w:val="24"/>
          <w:lang w:val="en-IE"/>
        </w:rPr>
        <w:t>d</w:t>
      </w:r>
      <w:r w:rsidR="00757B76" w:rsidRPr="00532C20">
        <w:rPr>
          <w:rFonts w:ascii="Times New Roman" w:eastAsia="Times New Roman" w:hAnsi="Times New Roman" w:cs="Times New Roman"/>
          <w:noProof/>
          <w:sz w:val="24"/>
          <w:szCs w:val="24"/>
          <w:lang w:val="en-IE"/>
        </w:rPr>
        <w:t xml:space="preserve"> by this phenomenon and establish the data needed to develop evidence-based policy. </w:t>
      </w:r>
    </w:p>
    <w:p w14:paraId="7B1652CF" w14:textId="35833AEA" w:rsidR="00074BD9" w:rsidRPr="00532C20" w:rsidRDefault="00F35314" w:rsidP="00F35314">
      <w:pPr>
        <w:pStyle w:val="Style222"/>
        <w:numPr>
          <w:ilvl w:val="1"/>
          <w:numId w:val="0"/>
        </w:numPr>
        <w:spacing w:after="120" w:line="240" w:lineRule="auto"/>
        <w:contextualSpacing w:val="0"/>
        <w:jc w:val="both"/>
        <w:rPr>
          <w:b w:val="0"/>
          <w:bCs/>
          <w:noProof/>
        </w:rPr>
      </w:pPr>
      <w:r w:rsidRPr="00532C20">
        <w:rPr>
          <w:rStyle w:val="normaltextrun"/>
          <w:rFonts w:ascii="Times New Roman" w:hAnsi="Times New Roman" w:cs="Times New Roman"/>
          <w:b w:val="0"/>
          <w:bCs/>
          <w:noProof/>
        </w:rPr>
        <w:t xml:space="preserve">This problem is </w:t>
      </w:r>
      <w:r w:rsidR="00C42A80" w:rsidRPr="00532C20">
        <w:rPr>
          <w:rStyle w:val="normaltextrun"/>
          <w:rFonts w:ascii="Times New Roman" w:hAnsi="Times New Roman" w:cs="Times New Roman"/>
          <w:b w:val="0"/>
          <w:bCs/>
          <w:noProof/>
        </w:rPr>
        <w:t xml:space="preserve">a European one. </w:t>
      </w:r>
      <w:r w:rsidRPr="00532C20">
        <w:rPr>
          <w:rStyle w:val="normaltextrun"/>
          <w:rFonts w:ascii="Times New Roman" w:hAnsi="Times New Roman" w:cs="Times New Roman"/>
          <w:b w:val="0"/>
          <w:bCs/>
          <w:noProof/>
        </w:rPr>
        <w:t xml:space="preserve">Interest representation </w:t>
      </w:r>
      <w:r w:rsidR="000D52B1" w:rsidRPr="00532C20">
        <w:rPr>
          <w:rStyle w:val="normaltextrun"/>
          <w:rFonts w:ascii="Times New Roman" w:hAnsi="Times New Roman" w:cs="Times New Roman"/>
          <w:b w:val="0"/>
          <w:bCs/>
          <w:noProof/>
        </w:rPr>
        <w:t>activities</w:t>
      </w:r>
      <w:r w:rsidRPr="00532C20">
        <w:rPr>
          <w:rStyle w:val="normaltextrun"/>
          <w:rFonts w:ascii="Times New Roman" w:hAnsi="Times New Roman" w:cs="Times New Roman"/>
          <w:b w:val="0"/>
          <w:bCs/>
          <w:noProof/>
        </w:rPr>
        <w:t xml:space="preserve"> carried out on behalf of third countries is a transnational issue with cross-border implications that can affect the policy decisions and political processes of other countries. This is because third countries often engage in activities aimed at influencing policy decisions and political processes in Member States, which can have an impact beyond each Member States’ borders. It is not necessary to exercise influence at the European level to impact EU decision</w:t>
      </w:r>
      <w:r w:rsidR="007F0FA3">
        <w:rPr>
          <w:rStyle w:val="normaltextrun"/>
          <w:rFonts w:ascii="Times New Roman" w:hAnsi="Times New Roman" w:cs="Times New Roman"/>
          <w:b w:val="0"/>
          <w:bCs/>
          <w:noProof/>
        </w:rPr>
        <w:t>-</w:t>
      </w:r>
      <w:r w:rsidRPr="00532C20">
        <w:rPr>
          <w:rStyle w:val="normaltextrun"/>
          <w:rFonts w:ascii="Times New Roman" w:hAnsi="Times New Roman" w:cs="Times New Roman"/>
          <w:b w:val="0"/>
          <w:bCs/>
          <w:noProof/>
        </w:rPr>
        <w:t>making</w:t>
      </w:r>
      <w:r w:rsidRPr="00532C20">
        <w:rPr>
          <w:b w:val="0"/>
          <w:bCs/>
          <w:noProof/>
        </w:rPr>
        <w:t xml:space="preserve">. </w:t>
      </w:r>
    </w:p>
    <w:p w14:paraId="09172FC2" w14:textId="77777777" w:rsidR="001B1613" w:rsidRPr="00532C20" w:rsidRDefault="001B1613" w:rsidP="00F35314">
      <w:pPr>
        <w:pStyle w:val="Style222"/>
        <w:numPr>
          <w:ilvl w:val="1"/>
          <w:numId w:val="0"/>
        </w:numPr>
        <w:spacing w:after="120" w:line="240" w:lineRule="auto"/>
        <w:contextualSpacing w:val="0"/>
        <w:jc w:val="both"/>
        <w:rPr>
          <w:b w:val="0"/>
          <w:bCs/>
          <w:noProof/>
        </w:rPr>
      </w:pPr>
    </w:p>
    <w:p w14:paraId="24F9AACA" w14:textId="77777777" w:rsidR="00021251" w:rsidRDefault="00021251">
      <w:pPr>
        <w:rPr>
          <w:rFonts w:ascii="Times New Roman" w:hAnsi="Times New Roman" w:cs="Times New Roman"/>
          <w:b/>
          <w:bCs/>
          <w:noProof/>
          <w:u w:val="single"/>
          <w:lang w:val="en-IE" w:eastAsia="en-IE"/>
        </w:rPr>
      </w:pPr>
      <w:r>
        <w:rPr>
          <w:rFonts w:ascii="Times New Roman" w:hAnsi="Times New Roman" w:cs="Times New Roman"/>
          <w:b/>
          <w:bCs/>
          <w:noProof/>
          <w:u w:val="single"/>
          <w:lang w:val="en-IE" w:eastAsia="en-IE"/>
        </w:rPr>
        <w:br w:type="page"/>
      </w:r>
    </w:p>
    <w:p w14:paraId="5750683A" w14:textId="6D7533E4" w:rsidR="00871418" w:rsidRPr="00532C20" w:rsidRDefault="00871418" w:rsidP="00871418">
      <w:pPr>
        <w:spacing w:after="0" w:line="240" w:lineRule="auto"/>
        <w:rPr>
          <w:rFonts w:ascii="Times New Roman" w:hAnsi="Times New Roman" w:cs="Times New Roman"/>
          <w:b/>
          <w:bCs/>
          <w:noProof/>
          <w:u w:val="single"/>
          <w:lang w:val="en-IE" w:eastAsia="en-IE"/>
        </w:rPr>
      </w:pPr>
      <w:r w:rsidRPr="00532C20">
        <w:rPr>
          <w:rFonts w:ascii="Times New Roman" w:hAnsi="Times New Roman" w:cs="Times New Roman"/>
          <w:b/>
          <w:bCs/>
          <w:noProof/>
          <w:u w:val="single"/>
          <w:lang w:val="en-IE" w:eastAsia="en-IE"/>
        </w:rPr>
        <w:t xml:space="preserve">Figure </w:t>
      </w:r>
      <w:r w:rsidRPr="00532C20">
        <w:rPr>
          <w:rFonts w:ascii="Times New Roman" w:hAnsi="Times New Roman" w:cs="Times New Roman"/>
          <w:b/>
          <w:noProof/>
          <w:u w:val="single"/>
          <w:lang w:val="en-IE" w:eastAsia="en-IE"/>
        </w:rPr>
        <w:t>1</w:t>
      </w:r>
      <w:r w:rsidRPr="00532C20">
        <w:rPr>
          <w:rFonts w:ascii="Times New Roman" w:hAnsi="Times New Roman" w:cs="Times New Roman"/>
          <w:b/>
          <w:bCs/>
          <w:noProof/>
          <w:u w:val="single"/>
          <w:lang w:val="en-IE" w:eastAsia="en-IE"/>
        </w:rPr>
        <w:t>. Problem tree:</w:t>
      </w:r>
    </w:p>
    <w:p w14:paraId="088B0482" w14:textId="77777777" w:rsidR="001B1613" w:rsidRPr="00532C20" w:rsidRDefault="001B1613" w:rsidP="001B1613">
      <w:pPr>
        <w:rPr>
          <w:b/>
          <w:bCs/>
          <w:noProof/>
        </w:rPr>
      </w:pPr>
    </w:p>
    <w:p w14:paraId="725D1EE7" w14:textId="461883B4" w:rsidR="00F35314" w:rsidRPr="00532C20" w:rsidRDefault="001B1613" w:rsidP="00582553">
      <w:pPr>
        <w:rPr>
          <w:noProof/>
        </w:rPr>
      </w:pPr>
      <w:r w:rsidRPr="00532C20">
        <w:rPr>
          <w:b/>
          <w:bCs/>
          <w:noProof/>
          <w:lang w:eastAsia="en-GB"/>
        </w:rPr>
        <w:drawing>
          <wp:inline distT="0" distB="0" distL="0" distR="0" wp14:anchorId="2456ECE8" wp14:editId="18937412">
            <wp:extent cx="5731200" cy="5230800"/>
            <wp:effectExtent l="0" t="0" r="3175" b="8255"/>
            <wp:docPr id="1" name="Picture 1" descr="A diagram of a probl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blem&#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200" cy="5230800"/>
                    </a:xfrm>
                    <a:prstGeom prst="rect">
                      <a:avLst/>
                    </a:prstGeom>
                  </pic:spPr>
                </pic:pic>
              </a:graphicData>
            </a:graphic>
          </wp:inline>
        </w:drawing>
      </w:r>
    </w:p>
    <w:p w14:paraId="78090ACA" w14:textId="42E287D5" w:rsidR="5859781C" w:rsidRPr="00532C20" w:rsidRDefault="5859781C" w:rsidP="00D6485D">
      <w:pPr>
        <w:pStyle w:val="11Subsection"/>
        <w:rPr>
          <w:noProof/>
        </w:rPr>
      </w:pPr>
      <w:bookmarkStart w:id="212" w:name="_Toc152864667"/>
      <w:bookmarkStart w:id="213" w:name="_Toc73525710"/>
      <w:bookmarkStart w:id="214" w:name="_Toc73551026"/>
      <w:bookmarkStart w:id="215" w:name="_Toc73562544"/>
      <w:bookmarkStart w:id="216" w:name="_Toc73649143"/>
      <w:bookmarkStart w:id="217" w:name="_Toc74081090"/>
      <w:bookmarkStart w:id="218" w:name="_Toc74168090"/>
      <w:bookmarkStart w:id="219" w:name="_Toc74596030"/>
      <w:bookmarkStart w:id="220" w:name="_Toc75282870"/>
      <w:bookmarkStart w:id="221" w:name="_Toc75291800"/>
      <w:bookmarkStart w:id="222" w:name="_Toc75862418"/>
      <w:bookmarkStart w:id="223" w:name="_Toc75882157"/>
      <w:bookmarkStart w:id="224" w:name="_Toc75882641"/>
      <w:bookmarkStart w:id="225" w:name="_Toc75886600"/>
      <w:bookmarkStart w:id="226" w:name="_Toc75893750"/>
      <w:bookmarkStart w:id="227" w:name="_Toc75895460"/>
      <w:bookmarkStart w:id="228" w:name="_Toc78820678"/>
      <w:bookmarkStart w:id="229" w:name="_Toc78821794"/>
      <w:bookmarkStart w:id="230" w:name="_Toc79679505"/>
      <w:bookmarkStart w:id="231" w:name="_Toc79680369"/>
      <w:bookmarkStart w:id="232" w:name="_Toc79742165"/>
      <w:bookmarkStart w:id="233" w:name="_Toc79745649"/>
      <w:bookmarkStart w:id="234" w:name="_Toc79748356"/>
      <w:bookmarkStart w:id="235" w:name="_Toc79765304"/>
      <w:bookmarkStart w:id="236" w:name="_Toc79765401"/>
      <w:bookmarkStart w:id="237" w:name="_Toc80020691"/>
      <w:bookmarkStart w:id="238" w:name="_Toc80024165"/>
      <w:bookmarkStart w:id="239" w:name="_Toc80025888"/>
      <w:bookmarkStart w:id="240" w:name="_Toc80028638"/>
      <w:bookmarkStart w:id="241" w:name="_Toc80093468"/>
      <w:bookmarkStart w:id="242" w:name="_Toc80110097"/>
      <w:bookmarkStart w:id="243" w:name="_Toc80111482"/>
      <w:bookmarkStart w:id="244" w:name="_Toc80116063"/>
      <w:bookmarkStart w:id="245" w:name="_Toc80637861"/>
      <w:bookmarkStart w:id="246" w:name="_Toc80640252"/>
      <w:bookmarkStart w:id="247" w:name="_Toc80643507"/>
      <w:bookmarkStart w:id="248" w:name="_Toc80643736"/>
      <w:bookmarkStart w:id="249" w:name="_Toc80703164"/>
      <w:bookmarkStart w:id="250" w:name="_Toc80709723"/>
      <w:bookmarkStart w:id="251" w:name="_Toc80710111"/>
      <w:bookmarkStart w:id="252" w:name="_Toc80725944"/>
      <w:bookmarkStart w:id="253" w:name="_Toc80808460"/>
      <w:bookmarkStart w:id="254" w:name="_Toc80865883"/>
      <w:bookmarkStart w:id="255" w:name="_Toc80888218"/>
      <w:bookmarkStart w:id="256" w:name="_Toc80980427"/>
      <w:bookmarkStart w:id="257" w:name="_Toc81222297"/>
      <w:bookmarkStart w:id="258" w:name="_Toc81225183"/>
      <w:bookmarkStart w:id="259" w:name="_Toc81227725"/>
      <w:bookmarkStart w:id="260" w:name="_Toc81228497"/>
      <w:bookmarkStart w:id="261" w:name="_Toc81232679"/>
      <w:bookmarkStart w:id="262" w:name="_Toc81233784"/>
      <w:bookmarkStart w:id="263" w:name="_Toc81242110"/>
      <w:bookmarkStart w:id="264" w:name="_Toc81242299"/>
      <w:bookmarkStart w:id="265" w:name="_Toc81298950"/>
      <w:bookmarkStart w:id="266" w:name="_Toc81306483"/>
      <w:bookmarkStart w:id="267" w:name="_Toc81314458"/>
      <w:bookmarkStart w:id="268" w:name="_Toc81394858"/>
      <w:bookmarkStart w:id="269" w:name="_Toc81401530"/>
      <w:bookmarkStart w:id="270" w:name="_Toc81405153"/>
      <w:bookmarkStart w:id="271" w:name="_Toc81406603"/>
      <w:bookmarkStart w:id="272" w:name="_Toc81406794"/>
      <w:bookmarkStart w:id="273" w:name="_Toc86145212"/>
      <w:bookmarkStart w:id="274" w:name="_Toc86160829"/>
      <w:bookmarkStart w:id="275" w:name="_Toc86226267"/>
      <w:bookmarkStart w:id="276" w:name="_Toc86231943"/>
      <w:bookmarkStart w:id="277" w:name="_Toc87609599"/>
      <w:bookmarkStart w:id="278" w:name="_Toc132810110"/>
      <w:r w:rsidRPr="00532C20">
        <w:rPr>
          <w:noProof/>
        </w:rPr>
        <w:t>Magnitude of the problems</w:t>
      </w:r>
      <w:bookmarkEnd w:id="212"/>
    </w:p>
    <w:p w14:paraId="0BD6A616" w14:textId="74C19AEB" w:rsidR="00110DB9" w:rsidRPr="00532C20" w:rsidRDefault="5859781C" w:rsidP="007160DA">
      <w:pPr>
        <w:spacing w:after="120" w:line="240" w:lineRule="auto"/>
        <w:jc w:val="both"/>
        <w:rPr>
          <w:rFonts w:ascii="Times New Roman" w:eastAsia="Times New Roman" w:hAnsi="Times New Roman" w:cs="Times New Roman"/>
          <w:b/>
          <w:bCs/>
          <w:noProof/>
          <w:color w:val="000000" w:themeColor="text1"/>
          <w:sz w:val="24"/>
          <w:szCs w:val="24"/>
          <w:lang w:val="en-IE"/>
        </w:rPr>
      </w:pPr>
      <w:r w:rsidRPr="00532C20">
        <w:rPr>
          <w:rFonts w:ascii="Times New Roman" w:eastAsia="Times New Roman" w:hAnsi="Times New Roman" w:cs="Times New Roman"/>
          <w:noProof/>
          <w:color w:val="000000" w:themeColor="text1"/>
          <w:sz w:val="24"/>
          <w:szCs w:val="24"/>
        </w:rPr>
        <w:t xml:space="preserve">As presented in detail </w:t>
      </w:r>
      <w:r w:rsidR="00EE650F" w:rsidRPr="00532C20">
        <w:rPr>
          <w:rFonts w:ascii="Times New Roman" w:eastAsia="Times New Roman" w:hAnsi="Times New Roman" w:cs="Times New Roman"/>
          <w:noProof/>
          <w:color w:val="000000" w:themeColor="text1"/>
          <w:sz w:val="24"/>
          <w:szCs w:val="24"/>
        </w:rPr>
        <w:t>in Annex</w:t>
      </w:r>
      <w:r w:rsidR="00C86924" w:rsidRPr="00532C20">
        <w:rPr>
          <w:rFonts w:ascii="Times New Roman" w:eastAsia="Times New Roman" w:hAnsi="Times New Roman" w:cs="Times New Roman"/>
          <w:noProof/>
          <w:color w:val="000000" w:themeColor="text1"/>
          <w:sz w:val="24"/>
          <w:szCs w:val="24"/>
        </w:rPr>
        <w:t>es</w:t>
      </w:r>
      <w:r w:rsidR="00EE650F" w:rsidRPr="00532C20">
        <w:rPr>
          <w:rFonts w:ascii="Times New Roman" w:eastAsia="Times New Roman" w:hAnsi="Times New Roman" w:cs="Times New Roman"/>
          <w:noProof/>
          <w:color w:val="000000" w:themeColor="text1"/>
          <w:sz w:val="24"/>
          <w:szCs w:val="24"/>
        </w:rPr>
        <w:t xml:space="preserve"> 3</w:t>
      </w:r>
      <w:r w:rsidR="00C86924" w:rsidRPr="00532C20">
        <w:rPr>
          <w:rFonts w:ascii="Times New Roman" w:eastAsia="Times New Roman" w:hAnsi="Times New Roman" w:cs="Times New Roman"/>
          <w:noProof/>
          <w:color w:val="000000" w:themeColor="text1"/>
          <w:sz w:val="24"/>
          <w:szCs w:val="24"/>
        </w:rPr>
        <w:t xml:space="preserve"> and 4</w:t>
      </w:r>
      <w:r w:rsidRPr="00532C20">
        <w:rPr>
          <w:rFonts w:ascii="Times New Roman" w:eastAsia="Times New Roman" w:hAnsi="Times New Roman" w:cs="Times New Roman"/>
          <w:noProof/>
          <w:color w:val="000000" w:themeColor="text1"/>
          <w:sz w:val="24"/>
          <w:szCs w:val="24"/>
        </w:rPr>
        <w:t xml:space="preserve">, </w:t>
      </w:r>
      <w:r w:rsidR="005A769B" w:rsidRPr="00532C20" w:rsidDel="00A4079D">
        <w:rPr>
          <w:rFonts w:ascii="Times New Roman" w:eastAsia="Times New Roman" w:hAnsi="Times New Roman" w:cs="Times New Roman"/>
          <w:noProof/>
          <w:color w:val="000000" w:themeColor="text1"/>
          <w:sz w:val="24"/>
          <w:szCs w:val="24"/>
          <w:lang w:val="en-IE"/>
        </w:rPr>
        <w:t>t</w:t>
      </w:r>
      <w:r w:rsidR="005A769B" w:rsidRPr="00532C20">
        <w:rPr>
          <w:rFonts w:ascii="Times New Roman" w:eastAsia="Times New Roman" w:hAnsi="Times New Roman" w:cs="Times New Roman"/>
          <w:noProof/>
          <w:color w:val="000000" w:themeColor="text1"/>
          <w:sz w:val="24"/>
          <w:szCs w:val="24"/>
          <w:lang w:val="en-IE"/>
        </w:rPr>
        <w:t xml:space="preserve">he estimates place the </w:t>
      </w:r>
      <w:r w:rsidR="00F83648" w:rsidRPr="00532C20">
        <w:rPr>
          <w:rFonts w:ascii="Times New Roman" w:eastAsia="Times New Roman" w:hAnsi="Times New Roman" w:cs="Times New Roman"/>
          <w:noProof/>
          <w:color w:val="000000" w:themeColor="text1"/>
          <w:sz w:val="24"/>
          <w:szCs w:val="24"/>
          <w:lang w:val="en-IE"/>
        </w:rPr>
        <w:t xml:space="preserve">number </w:t>
      </w:r>
      <w:r w:rsidR="00EE5FCF" w:rsidRPr="00532C20">
        <w:rPr>
          <w:rFonts w:ascii="Times New Roman" w:eastAsia="Times New Roman" w:hAnsi="Times New Roman" w:cs="Times New Roman"/>
          <w:noProof/>
          <w:color w:val="000000" w:themeColor="text1"/>
          <w:sz w:val="24"/>
          <w:szCs w:val="24"/>
          <w:lang w:val="en-IE"/>
        </w:rPr>
        <w:t xml:space="preserve">of players </w:t>
      </w:r>
      <w:r w:rsidR="008501EC" w:rsidRPr="00532C20">
        <w:rPr>
          <w:rFonts w:ascii="Times New Roman" w:eastAsia="Times New Roman" w:hAnsi="Times New Roman" w:cs="Times New Roman"/>
          <w:noProof/>
          <w:color w:val="000000" w:themeColor="text1"/>
          <w:sz w:val="24"/>
          <w:szCs w:val="24"/>
          <w:lang w:val="en-IE"/>
        </w:rPr>
        <w:t>in</w:t>
      </w:r>
      <w:r w:rsidR="00EE5FCF" w:rsidRPr="00532C20">
        <w:rPr>
          <w:rFonts w:ascii="Times New Roman" w:eastAsia="Times New Roman" w:hAnsi="Times New Roman" w:cs="Times New Roman"/>
          <w:noProof/>
          <w:color w:val="000000" w:themeColor="text1"/>
          <w:sz w:val="24"/>
          <w:szCs w:val="24"/>
          <w:lang w:val="en-IE"/>
        </w:rPr>
        <w:t xml:space="preserve"> the </w:t>
      </w:r>
      <w:r w:rsidR="002565D2">
        <w:rPr>
          <w:rFonts w:ascii="Times New Roman" w:eastAsia="Times New Roman" w:hAnsi="Times New Roman" w:cs="Times New Roman"/>
          <w:noProof/>
          <w:color w:val="000000" w:themeColor="text1"/>
          <w:sz w:val="24"/>
          <w:szCs w:val="24"/>
          <w:lang w:val="en-IE"/>
        </w:rPr>
        <w:t>internal</w:t>
      </w:r>
      <w:r w:rsidR="002565D2" w:rsidRPr="00532C20">
        <w:rPr>
          <w:rFonts w:ascii="Times New Roman" w:eastAsia="Times New Roman" w:hAnsi="Times New Roman" w:cs="Times New Roman"/>
          <w:noProof/>
          <w:color w:val="000000" w:themeColor="text1"/>
          <w:sz w:val="24"/>
          <w:szCs w:val="24"/>
          <w:lang w:val="en-IE"/>
        </w:rPr>
        <w:t xml:space="preserve"> </w:t>
      </w:r>
      <w:r w:rsidR="005A769B" w:rsidRPr="00532C20">
        <w:rPr>
          <w:rFonts w:ascii="Times New Roman" w:eastAsia="Times New Roman" w:hAnsi="Times New Roman" w:cs="Times New Roman"/>
          <w:noProof/>
          <w:color w:val="000000" w:themeColor="text1"/>
          <w:sz w:val="24"/>
          <w:szCs w:val="24"/>
          <w:lang w:val="en-IE"/>
        </w:rPr>
        <w:t xml:space="preserve">market for </w:t>
      </w:r>
      <w:r w:rsidR="00F539EA" w:rsidRPr="00532C20">
        <w:rPr>
          <w:rFonts w:ascii="Times New Roman" w:eastAsia="Times New Roman" w:hAnsi="Times New Roman" w:cs="Times New Roman"/>
          <w:noProof/>
          <w:color w:val="000000" w:themeColor="text1"/>
          <w:sz w:val="24"/>
          <w:szCs w:val="24"/>
          <w:lang w:val="en-IE"/>
        </w:rPr>
        <w:t>interest</w:t>
      </w:r>
      <w:r w:rsidR="00A2259F" w:rsidRPr="00532C20">
        <w:rPr>
          <w:rFonts w:ascii="Times New Roman" w:eastAsia="Times New Roman" w:hAnsi="Times New Roman" w:cs="Times New Roman"/>
          <w:noProof/>
          <w:color w:val="000000" w:themeColor="text1"/>
          <w:sz w:val="24"/>
          <w:szCs w:val="24"/>
          <w:lang w:val="en-IE"/>
        </w:rPr>
        <w:t xml:space="preserve"> representation activities carried out on behalf of third countries</w:t>
      </w:r>
      <w:r w:rsidR="005A769B" w:rsidRPr="00532C20">
        <w:rPr>
          <w:rFonts w:ascii="Times New Roman" w:eastAsia="Times New Roman" w:hAnsi="Times New Roman" w:cs="Times New Roman"/>
          <w:noProof/>
          <w:color w:val="000000" w:themeColor="text1"/>
          <w:sz w:val="24"/>
          <w:szCs w:val="24"/>
          <w:lang w:val="en-IE"/>
        </w:rPr>
        <w:t xml:space="preserve"> (the population of enterprises that would be subject to requirements under the proposed policy options) at </w:t>
      </w:r>
      <w:r w:rsidR="005A769B" w:rsidRPr="00532C20">
        <w:rPr>
          <w:rFonts w:ascii="Times New Roman" w:eastAsia="Times New Roman" w:hAnsi="Times New Roman" w:cs="Times New Roman"/>
          <w:b/>
          <w:noProof/>
          <w:color w:val="000000" w:themeColor="text1"/>
          <w:sz w:val="24"/>
          <w:szCs w:val="24"/>
          <w:lang w:val="en-IE"/>
        </w:rPr>
        <w:t>between 712-1,068 enterprises</w:t>
      </w:r>
      <w:r w:rsidR="00E77759" w:rsidRPr="00532C20">
        <w:rPr>
          <w:rStyle w:val="FootnoteReference"/>
          <w:rFonts w:ascii="Times New Roman" w:eastAsia="Times New Roman" w:hAnsi="Times New Roman" w:cs="Times New Roman"/>
          <w:bCs/>
          <w:noProof/>
          <w:color w:val="000000" w:themeColor="text1"/>
          <w:sz w:val="24"/>
          <w:szCs w:val="24"/>
          <w:lang w:val="en-IE"/>
        </w:rPr>
        <w:footnoteReference w:id="96"/>
      </w:r>
      <w:r w:rsidR="005A769B" w:rsidRPr="00532C20">
        <w:rPr>
          <w:rFonts w:ascii="Times New Roman" w:eastAsia="Times New Roman" w:hAnsi="Times New Roman" w:cs="Times New Roman"/>
          <w:bCs/>
          <w:noProof/>
          <w:color w:val="000000" w:themeColor="text1"/>
          <w:sz w:val="24"/>
          <w:szCs w:val="24"/>
          <w:lang w:val="en-IE"/>
        </w:rPr>
        <w:t xml:space="preserve">. </w:t>
      </w:r>
      <w:r w:rsidR="00315678" w:rsidRPr="00532C20">
        <w:rPr>
          <w:rFonts w:ascii="Times New Roman" w:eastAsia="Times New Roman" w:hAnsi="Times New Roman" w:cs="Times New Roman"/>
          <w:bCs/>
          <w:noProof/>
          <w:color w:val="000000" w:themeColor="text1"/>
          <w:sz w:val="24"/>
          <w:szCs w:val="24"/>
          <w:lang w:val="en-IE"/>
        </w:rPr>
        <w:t xml:space="preserve">The number of </w:t>
      </w:r>
      <w:r w:rsidR="00CA4437" w:rsidRPr="00532C20">
        <w:rPr>
          <w:rFonts w:ascii="Times New Roman" w:eastAsia="Times New Roman" w:hAnsi="Times New Roman" w:cs="Times New Roman"/>
          <w:bCs/>
          <w:noProof/>
          <w:color w:val="000000" w:themeColor="text1"/>
          <w:sz w:val="24"/>
          <w:szCs w:val="24"/>
          <w:lang w:val="en-IE"/>
        </w:rPr>
        <w:t xml:space="preserve">market actors does not prejudge the </w:t>
      </w:r>
      <w:r w:rsidR="00620CA4" w:rsidRPr="00532C20">
        <w:rPr>
          <w:rFonts w:ascii="Times New Roman" w:eastAsia="Times New Roman" w:hAnsi="Times New Roman" w:cs="Times New Roman"/>
          <w:bCs/>
          <w:noProof/>
          <w:color w:val="000000" w:themeColor="text1"/>
          <w:sz w:val="24"/>
          <w:szCs w:val="24"/>
          <w:lang w:val="en-IE"/>
        </w:rPr>
        <w:t>influence</w:t>
      </w:r>
      <w:r w:rsidR="007A1FFD" w:rsidRPr="00532C20">
        <w:rPr>
          <w:rFonts w:ascii="Times New Roman" w:eastAsia="Times New Roman" w:hAnsi="Times New Roman" w:cs="Times New Roman"/>
          <w:bCs/>
          <w:noProof/>
          <w:color w:val="000000" w:themeColor="text1"/>
          <w:sz w:val="24"/>
          <w:szCs w:val="24"/>
          <w:lang w:val="en-IE"/>
        </w:rPr>
        <w:t xml:space="preserve"> of such activities on the democratic sphere (see section 2.1.2).</w:t>
      </w:r>
    </w:p>
    <w:p w14:paraId="44D33510" w14:textId="76B6E2FC" w:rsidR="00687153" w:rsidRPr="00532C20" w:rsidRDefault="001606E4" w:rsidP="007160DA">
      <w:pPr>
        <w:spacing w:after="120" w:line="240" w:lineRule="auto"/>
        <w:jc w:val="both"/>
        <w:rPr>
          <w:rFonts w:ascii="Times New Roman" w:eastAsia="Times New Roman" w:hAnsi="Times New Roman" w:cs="Times New Roman"/>
          <w:bCs/>
          <w:noProof/>
          <w:color w:val="000000" w:themeColor="text1"/>
          <w:sz w:val="24"/>
          <w:szCs w:val="24"/>
          <w:lang w:val="en-IE"/>
        </w:rPr>
      </w:pPr>
      <w:r w:rsidRPr="00532C20">
        <w:rPr>
          <w:rFonts w:ascii="Times New Roman" w:eastAsia="Times New Roman" w:hAnsi="Times New Roman" w:cs="Times New Roman"/>
          <w:bCs/>
          <w:noProof/>
          <w:color w:val="000000" w:themeColor="text1"/>
          <w:sz w:val="24"/>
          <w:szCs w:val="24"/>
          <w:lang w:val="en-IE"/>
        </w:rPr>
        <w:t>Currently</w:t>
      </w:r>
      <w:r w:rsidR="00E5063B" w:rsidRPr="00532C20">
        <w:rPr>
          <w:rFonts w:ascii="Times New Roman" w:eastAsia="Times New Roman" w:hAnsi="Times New Roman" w:cs="Times New Roman"/>
          <w:bCs/>
          <w:noProof/>
          <w:color w:val="000000" w:themeColor="text1"/>
          <w:sz w:val="24"/>
          <w:szCs w:val="24"/>
          <w:lang w:val="en-IE"/>
        </w:rPr>
        <w:t>, there is no</w:t>
      </w:r>
      <w:r w:rsidR="00E5063B" w:rsidRPr="00532C20">
        <w:rPr>
          <w:rFonts w:ascii="Times New Roman" w:eastAsia="Times New Roman" w:hAnsi="Times New Roman" w:cs="Times New Roman"/>
          <w:noProof/>
          <w:color w:val="000000" w:themeColor="text1"/>
          <w:sz w:val="24"/>
          <w:szCs w:val="24"/>
          <w:lang w:val="en-IE"/>
        </w:rPr>
        <w:t xml:space="preserve"> comprehensive data available on the size of the market for interest representation across the EU, or the specific market for interest representation activities carried out on behalf of third countries. </w:t>
      </w:r>
      <w:r w:rsidR="00BA3E9E" w:rsidRPr="00532C20">
        <w:rPr>
          <w:rFonts w:ascii="Times New Roman" w:eastAsia="Times New Roman" w:hAnsi="Times New Roman" w:cs="Times New Roman"/>
          <w:noProof/>
          <w:color w:val="000000" w:themeColor="text1"/>
          <w:sz w:val="24"/>
          <w:szCs w:val="24"/>
          <w:lang w:val="en-IE"/>
        </w:rPr>
        <w:t xml:space="preserve">Furthermore, even if interest representation </w:t>
      </w:r>
      <w:r w:rsidR="00620CA4" w:rsidRPr="00532C20">
        <w:rPr>
          <w:rFonts w:ascii="Times New Roman" w:eastAsia="Times New Roman" w:hAnsi="Times New Roman" w:cs="Times New Roman"/>
          <w:noProof/>
          <w:color w:val="000000" w:themeColor="text1"/>
          <w:sz w:val="24"/>
          <w:szCs w:val="24"/>
          <w:lang w:val="en-IE"/>
        </w:rPr>
        <w:t>activities</w:t>
      </w:r>
      <w:r w:rsidR="00BA3E9E" w:rsidRPr="00532C20">
        <w:rPr>
          <w:rFonts w:ascii="Times New Roman" w:eastAsia="Times New Roman" w:hAnsi="Times New Roman" w:cs="Times New Roman"/>
          <w:noProof/>
          <w:color w:val="000000" w:themeColor="text1"/>
          <w:sz w:val="24"/>
          <w:szCs w:val="24"/>
          <w:lang w:val="en-IE"/>
        </w:rPr>
        <w:t xml:space="preserve"> carried out on behalf of third countries </w:t>
      </w:r>
      <w:r w:rsidR="00021251">
        <w:rPr>
          <w:rFonts w:ascii="Times New Roman" w:eastAsia="Times New Roman" w:hAnsi="Times New Roman" w:cs="Times New Roman"/>
          <w:noProof/>
          <w:color w:val="000000" w:themeColor="text1"/>
          <w:sz w:val="24"/>
          <w:szCs w:val="24"/>
          <w:lang w:val="en-IE"/>
        </w:rPr>
        <w:t>are</w:t>
      </w:r>
      <w:r w:rsidR="00BA3E9E" w:rsidRPr="00532C20">
        <w:rPr>
          <w:rFonts w:ascii="Times New Roman" w:eastAsia="Times New Roman" w:hAnsi="Times New Roman" w:cs="Times New Roman"/>
          <w:noProof/>
          <w:color w:val="000000" w:themeColor="text1"/>
          <w:sz w:val="24"/>
          <w:szCs w:val="24"/>
          <w:lang w:val="en-IE"/>
        </w:rPr>
        <w:t xml:space="preserve"> a transnational issue, t</w:t>
      </w:r>
      <w:r w:rsidR="00B07CB8" w:rsidRPr="00532C20">
        <w:rPr>
          <w:rFonts w:ascii="Times New Roman" w:eastAsia="Times New Roman" w:hAnsi="Times New Roman" w:cs="Times New Roman"/>
          <w:noProof/>
          <w:color w:val="000000" w:themeColor="text1"/>
          <w:sz w:val="24"/>
          <w:szCs w:val="24"/>
          <w:lang w:val="en-IE"/>
        </w:rPr>
        <w:t>here is</w:t>
      </w:r>
      <w:r w:rsidR="00E5063B" w:rsidRPr="00532C20">
        <w:rPr>
          <w:rFonts w:ascii="Times New Roman" w:eastAsia="Times New Roman" w:hAnsi="Times New Roman" w:cs="Times New Roman"/>
          <w:noProof/>
          <w:color w:val="000000" w:themeColor="text1"/>
          <w:sz w:val="24"/>
          <w:szCs w:val="24"/>
          <w:lang w:val="en-IE"/>
        </w:rPr>
        <w:t xml:space="preserve"> also</w:t>
      </w:r>
      <w:r w:rsidR="00B07CB8" w:rsidRPr="00532C20">
        <w:rPr>
          <w:rFonts w:ascii="Times New Roman" w:eastAsia="Times New Roman" w:hAnsi="Times New Roman" w:cs="Times New Roman"/>
          <w:bCs/>
          <w:noProof/>
          <w:color w:val="000000" w:themeColor="text1"/>
          <w:sz w:val="24"/>
          <w:szCs w:val="24"/>
          <w:lang w:val="en-IE"/>
        </w:rPr>
        <w:t xml:space="preserve"> a lack of data on the cross-border activities of these </w:t>
      </w:r>
      <w:r w:rsidR="00E5063B" w:rsidRPr="00532C20">
        <w:rPr>
          <w:rFonts w:ascii="Times New Roman" w:eastAsia="Times New Roman" w:hAnsi="Times New Roman" w:cs="Times New Roman"/>
          <w:bCs/>
          <w:noProof/>
          <w:color w:val="000000" w:themeColor="text1"/>
          <w:sz w:val="24"/>
          <w:szCs w:val="24"/>
          <w:lang w:val="en-IE"/>
        </w:rPr>
        <w:t>entities</w:t>
      </w:r>
      <w:r w:rsidR="00EE6A64" w:rsidRPr="00532C20">
        <w:rPr>
          <w:rFonts w:ascii="Times New Roman" w:eastAsia="Times New Roman" w:hAnsi="Times New Roman" w:cs="Times New Roman"/>
          <w:bCs/>
          <w:noProof/>
          <w:color w:val="000000" w:themeColor="text1"/>
          <w:sz w:val="24"/>
          <w:szCs w:val="24"/>
          <w:lang w:val="en-IE"/>
        </w:rPr>
        <w:t xml:space="preserve"> carrying out interest representation activities on behalf of third countries. </w:t>
      </w:r>
    </w:p>
    <w:p w14:paraId="6D4529F9" w14:textId="1DA098E2" w:rsidR="008F3C52" w:rsidRPr="00532C20" w:rsidRDefault="00B73F25" w:rsidP="007160DA">
      <w:pPr>
        <w:spacing w:after="120" w:line="240" w:lineRule="auto"/>
        <w:jc w:val="both"/>
        <w:rPr>
          <w:rFonts w:ascii="Times New Roman" w:eastAsia="Times New Roman" w:hAnsi="Times New Roman" w:cs="Times New Roman"/>
          <w:noProof/>
          <w:color w:val="000000" w:themeColor="text1"/>
          <w:sz w:val="24"/>
          <w:szCs w:val="24"/>
          <w:lang w:val="en-IE"/>
        </w:rPr>
      </w:pPr>
      <w:r w:rsidRPr="00532C20">
        <w:rPr>
          <w:rFonts w:ascii="Times New Roman" w:eastAsia="Times New Roman" w:hAnsi="Times New Roman" w:cs="Times New Roman"/>
          <w:bCs/>
          <w:noProof/>
          <w:color w:val="000000" w:themeColor="text1"/>
          <w:sz w:val="24"/>
          <w:szCs w:val="24"/>
          <w:lang w:val="en-IE"/>
        </w:rPr>
        <w:t>T</w:t>
      </w:r>
      <w:r w:rsidR="008C7F3D" w:rsidRPr="00532C20">
        <w:rPr>
          <w:rFonts w:ascii="Times New Roman" w:eastAsia="Times New Roman" w:hAnsi="Times New Roman" w:cs="Times New Roman"/>
          <w:bCs/>
          <w:noProof/>
          <w:color w:val="000000" w:themeColor="text1"/>
          <w:sz w:val="24"/>
          <w:szCs w:val="24"/>
          <w:lang w:val="en-IE"/>
        </w:rPr>
        <w:t xml:space="preserve">he current legal fragmentation described in the previous </w:t>
      </w:r>
      <w:r w:rsidR="001D19A4" w:rsidRPr="00532C20">
        <w:rPr>
          <w:rFonts w:ascii="Times New Roman" w:eastAsia="Times New Roman" w:hAnsi="Times New Roman" w:cs="Times New Roman"/>
          <w:bCs/>
          <w:noProof/>
          <w:color w:val="000000" w:themeColor="text1"/>
          <w:sz w:val="24"/>
          <w:szCs w:val="24"/>
          <w:lang w:val="en-IE"/>
        </w:rPr>
        <w:t xml:space="preserve">section contributes to </w:t>
      </w:r>
      <w:r w:rsidR="00CF2C8E" w:rsidRPr="00532C20">
        <w:rPr>
          <w:rFonts w:ascii="Times New Roman" w:eastAsia="Times New Roman" w:hAnsi="Times New Roman" w:cs="Times New Roman"/>
          <w:bCs/>
          <w:noProof/>
          <w:color w:val="000000" w:themeColor="text1"/>
          <w:sz w:val="24"/>
          <w:szCs w:val="24"/>
          <w:lang w:val="en-IE"/>
        </w:rPr>
        <w:t xml:space="preserve">explain </w:t>
      </w:r>
      <w:r w:rsidR="001D19A4" w:rsidRPr="00532C20">
        <w:rPr>
          <w:rFonts w:ascii="Times New Roman" w:eastAsia="Times New Roman" w:hAnsi="Times New Roman" w:cs="Times New Roman"/>
          <w:bCs/>
          <w:noProof/>
          <w:color w:val="000000" w:themeColor="text1"/>
          <w:sz w:val="24"/>
          <w:szCs w:val="24"/>
          <w:lang w:val="en-IE"/>
        </w:rPr>
        <w:t xml:space="preserve">this lack of information. </w:t>
      </w:r>
      <w:r w:rsidR="00D05BD8" w:rsidRPr="00532C20">
        <w:rPr>
          <w:rFonts w:ascii="Times New Roman" w:eastAsia="Times New Roman" w:hAnsi="Times New Roman" w:cs="Times New Roman"/>
          <w:bCs/>
          <w:noProof/>
          <w:color w:val="000000" w:themeColor="text1"/>
          <w:sz w:val="24"/>
          <w:szCs w:val="24"/>
          <w:lang w:val="en-IE"/>
        </w:rPr>
        <w:t xml:space="preserve">Data collection across Member States is </w:t>
      </w:r>
      <w:r w:rsidR="0090776C" w:rsidRPr="00532C20">
        <w:rPr>
          <w:rFonts w:ascii="Times New Roman" w:eastAsia="Times New Roman" w:hAnsi="Times New Roman" w:cs="Times New Roman"/>
          <w:bCs/>
          <w:noProof/>
          <w:color w:val="000000" w:themeColor="text1"/>
          <w:sz w:val="24"/>
          <w:szCs w:val="24"/>
          <w:lang w:val="en-IE"/>
        </w:rPr>
        <w:t xml:space="preserve">not unified and cannot </w:t>
      </w:r>
      <w:r w:rsidR="00BC69AC" w:rsidRPr="00532C20">
        <w:rPr>
          <w:rFonts w:ascii="Times New Roman" w:eastAsia="Times New Roman" w:hAnsi="Times New Roman" w:cs="Times New Roman"/>
          <w:bCs/>
          <w:noProof/>
          <w:color w:val="000000" w:themeColor="text1"/>
          <w:sz w:val="24"/>
          <w:szCs w:val="24"/>
          <w:lang w:val="en-IE"/>
        </w:rPr>
        <w:t xml:space="preserve">provide </w:t>
      </w:r>
      <w:r w:rsidR="00892AA2" w:rsidRPr="00532C20">
        <w:rPr>
          <w:rFonts w:ascii="Times New Roman" w:eastAsia="Times New Roman" w:hAnsi="Times New Roman" w:cs="Times New Roman"/>
          <w:bCs/>
          <w:noProof/>
          <w:color w:val="000000" w:themeColor="text1"/>
          <w:sz w:val="24"/>
          <w:szCs w:val="24"/>
          <w:lang w:val="en-IE"/>
        </w:rPr>
        <w:t>a sufficient basis to highlight how much of th</w:t>
      </w:r>
      <w:r w:rsidR="002A4921" w:rsidRPr="00532C20">
        <w:rPr>
          <w:rFonts w:ascii="Times New Roman" w:eastAsia="Times New Roman" w:hAnsi="Times New Roman" w:cs="Times New Roman"/>
          <w:bCs/>
          <w:noProof/>
          <w:color w:val="000000" w:themeColor="text1"/>
          <w:sz w:val="24"/>
          <w:szCs w:val="24"/>
          <w:lang w:val="en-IE"/>
        </w:rPr>
        <w:t>e</w:t>
      </w:r>
      <w:r w:rsidR="00892AA2" w:rsidRPr="00532C20">
        <w:rPr>
          <w:rFonts w:ascii="Times New Roman" w:eastAsia="Times New Roman" w:hAnsi="Times New Roman" w:cs="Times New Roman"/>
          <w:bCs/>
          <w:noProof/>
          <w:color w:val="000000" w:themeColor="text1"/>
          <w:sz w:val="24"/>
          <w:szCs w:val="24"/>
          <w:lang w:val="en-IE"/>
        </w:rPr>
        <w:t xml:space="preserve"> interest representation </w:t>
      </w:r>
      <w:r w:rsidR="002A4921" w:rsidRPr="00532C20">
        <w:rPr>
          <w:rFonts w:ascii="Times New Roman" w:eastAsia="Times New Roman" w:hAnsi="Times New Roman" w:cs="Times New Roman"/>
          <w:bCs/>
          <w:noProof/>
          <w:color w:val="000000" w:themeColor="text1"/>
          <w:sz w:val="24"/>
          <w:szCs w:val="24"/>
          <w:lang w:val="en-IE"/>
        </w:rPr>
        <w:t>act</w:t>
      </w:r>
      <w:r w:rsidR="004E1257" w:rsidRPr="00532C20">
        <w:rPr>
          <w:rFonts w:ascii="Times New Roman" w:eastAsia="Times New Roman" w:hAnsi="Times New Roman" w:cs="Times New Roman"/>
          <w:bCs/>
          <w:noProof/>
          <w:color w:val="000000" w:themeColor="text1"/>
          <w:sz w:val="24"/>
          <w:szCs w:val="24"/>
          <w:lang w:val="en-IE"/>
        </w:rPr>
        <w:t xml:space="preserve">ivities </w:t>
      </w:r>
      <w:r w:rsidR="00F2417C" w:rsidRPr="00532C20">
        <w:rPr>
          <w:rFonts w:ascii="Times New Roman" w:eastAsia="Times New Roman" w:hAnsi="Times New Roman" w:cs="Times New Roman"/>
          <w:bCs/>
          <w:noProof/>
          <w:color w:val="000000" w:themeColor="text1"/>
          <w:sz w:val="24"/>
          <w:szCs w:val="24"/>
          <w:lang w:val="en-IE"/>
        </w:rPr>
        <w:t>taking place in the internal market happen across borders</w:t>
      </w:r>
      <w:r w:rsidR="00687153" w:rsidRPr="00532C20">
        <w:rPr>
          <w:rFonts w:ascii="Times New Roman" w:eastAsia="Times New Roman" w:hAnsi="Times New Roman" w:cs="Times New Roman"/>
          <w:bCs/>
          <w:noProof/>
          <w:color w:val="000000" w:themeColor="text1"/>
          <w:sz w:val="24"/>
          <w:szCs w:val="24"/>
          <w:lang w:val="en-IE"/>
        </w:rPr>
        <w:t xml:space="preserve"> nor to estimate the size of the market</w:t>
      </w:r>
      <w:r w:rsidR="00F2417C" w:rsidRPr="00532C20">
        <w:rPr>
          <w:rFonts w:ascii="Times New Roman" w:eastAsia="Times New Roman" w:hAnsi="Times New Roman" w:cs="Times New Roman"/>
          <w:bCs/>
          <w:noProof/>
          <w:color w:val="000000" w:themeColor="text1"/>
          <w:sz w:val="24"/>
          <w:szCs w:val="24"/>
          <w:lang w:val="en-IE"/>
        </w:rPr>
        <w:t xml:space="preserve">. </w:t>
      </w:r>
      <w:r w:rsidRPr="00532C20">
        <w:rPr>
          <w:rFonts w:ascii="Times New Roman" w:eastAsia="Times New Roman" w:hAnsi="Times New Roman" w:cs="Times New Roman"/>
          <w:bCs/>
          <w:noProof/>
          <w:color w:val="000000" w:themeColor="text1"/>
          <w:sz w:val="24"/>
          <w:szCs w:val="24"/>
          <w:lang w:val="en-IE"/>
        </w:rPr>
        <w:t>T</w:t>
      </w:r>
      <w:r w:rsidR="00232C9C" w:rsidRPr="00532C20">
        <w:rPr>
          <w:rFonts w:ascii="Times New Roman" w:eastAsia="Times New Roman" w:hAnsi="Times New Roman" w:cs="Times New Roman"/>
          <w:bCs/>
          <w:noProof/>
          <w:color w:val="000000" w:themeColor="text1"/>
          <w:sz w:val="24"/>
          <w:szCs w:val="24"/>
          <w:lang w:val="en-IE"/>
        </w:rPr>
        <w:t>his issue is</w:t>
      </w:r>
      <w:r w:rsidRPr="00532C20">
        <w:rPr>
          <w:rFonts w:ascii="Times New Roman" w:eastAsia="Times New Roman" w:hAnsi="Times New Roman" w:cs="Times New Roman"/>
          <w:bCs/>
          <w:noProof/>
          <w:color w:val="000000" w:themeColor="text1"/>
          <w:sz w:val="24"/>
          <w:szCs w:val="24"/>
          <w:lang w:val="en-IE"/>
        </w:rPr>
        <w:t xml:space="preserve"> further</w:t>
      </w:r>
      <w:r w:rsidR="00232C9C" w:rsidRPr="00532C20">
        <w:rPr>
          <w:rFonts w:ascii="Times New Roman" w:eastAsia="Times New Roman" w:hAnsi="Times New Roman" w:cs="Times New Roman"/>
          <w:bCs/>
          <w:noProof/>
          <w:color w:val="000000" w:themeColor="text1"/>
          <w:sz w:val="24"/>
          <w:szCs w:val="24"/>
          <w:lang w:val="en-IE"/>
        </w:rPr>
        <w:t xml:space="preserve"> compounded by the </w:t>
      </w:r>
      <w:r w:rsidR="00342CB6" w:rsidRPr="00532C20">
        <w:rPr>
          <w:rFonts w:ascii="Times New Roman" w:eastAsia="Times New Roman" w:hAnsi="Times New Roman" w:cs="Times New Roman"/>
          <w:bCs/>
          <w:noProof/>
          <w:color w:val="000000" w:themeColor="text1"/>
          <w:sz w:val="24"/>
          <w:szCs w:val="24"/>
          <w:lang w:val="en-IE"/>
        </w:rPr>
        <w:t xml:space="preserve">lack of transparency generally </w:t>
      </w:r>
      <w:r w:rsidR="00E378B9" w:rsidRPr="00532C20">
        <w:rPr>
          <w:rFonts w:ascii="Times New Roman" w:eastAsia="Times New Roman" w:hAnsi="Times New Roman" w:cs="Times New Roman"/>
          <w:bCs/>
          <w:noProof/>
          <w:color w:val="000000" w:themeColor="text1"/>
          <w:sz w:val="24"/>
          <w:szCs w:val="24"/>
          <w:lang w:val="en-IE"/>
        </w:rPr>
        <w:t>characterising</w:t>
      </w:r>
      <w:r w:rsidR="00232C9C" w:rsidRPr="00532C20">
        <w:rPr>
          <w:rFonts w:ascii="Times New Roman" w:eastAsia="Times New Roman" w:hAnsi="Times New Roman" w:cs="Times New Roman"/>
          <w:bCs/>
          <w:noProof/>
          <w:color w:val="000000" w:themeColor="text1"/>
          <w:sz w:val="24"/>
          <w:szCs w:val="24"/>
          <w:lang w:val="en-IE"/>
        </w:rPr>
        <w:t xml:space="preserve"> </w:t>
      </w:r>
      <w:r w:rsidR="00CF2C8E" w:rsidRPr="00532C20">
        <w:rPr>
          <w:rFonts w:ascii="Times New Roman" w:eastAsia="Times New Roman" w:hAnsi="Times New Roman" w:cs="Times New Roman"/>
          <w:bCs/>
          <w:noProof/>
          <w:color w:val="000000" w:themeColor="text1"/>
          <w:sz w:val="24"/>
          <w:szCs w:val="24"/>
          <w:lang w:val="en-IE"/>
        </w:rPr>
        <w:t xml:space="preserve">the </w:t>
      </w:r>
      <w:r w:rsidR="00E378B9" w:rsidRPr="00532C20">
        <w:rPr>
          <w:rFonts w:ascii="Times New Roman" w:eastAsia="Times New Roman" w:hAnsi="Times New Roman" w:cs="Times New Roman"/>
          <w:bCs/>
          <w:noProof/>
          <w:color w:val="000000" w:themeColor="text1"/>
          <w:sz w:val="24"/>
          <w:szCs w:val="24"/>
          <w:lang w:val="en-IE"/>
        </w:rPr>
        <w:t xml:space="preserve">market for </w:t>
      </w:r>
      <w:r w:rsidR="006D5CA3" w:rsidRPr="00532C20">
        <w:rPr>
          <w:rFonts w:ascii="Times New Roman" w:eastAsia="Times New Roman" w:hAnsi="Times New Roman" w:cs="Times New Roman"/>
          <w:bCs/>
          <w:noProof/>
          <w:color w:val="000000" w:themeColor="text1"/>
          <w:sz w:val="24"/>
          <w:szCs w:val="24"/>
          <w:lang w:val="en-IE"/>
        </w:rPr>
        <w:t xml:space="preserve">interest representation </w:t>
      </w:r>
      <w:r w:rsidR="00E378B9" w:rsidRPr="00532C20">
        <w:rPr>
          <w:rFonts w:ascii="Times New Roman" w:eastAsia="Times New Roman" w:hAnsi="Times New Roman" w:cs="Times New Roman"/>
          <w:bCs/>
          <w:noProof/>
          <w:color w:val="000000" w:themeColor="text1"/>
          <w:sz w:val="24"/>
          <w:szCs w:val="24"/>
          <w:lang w:val="en-IE"/>
        </w:rPr>
        <w:t>activities.</w:t>
      </w:r>
    </w:p>
    <w:p w14:paraId="22BEA4EE" w14:textId="2B1B262A" w:rsidR="009937C8" w:rsidRPr="00532C20" w:rsidRDefault="009937C8" w:rsidP="007160DA">
      <w:pPr>
        <w:pStyle w:val="Style222"/>
        <w:numPr>
          <w:ilvl w:val="1"/>
          <w:numId w:val="0"/>
        </w:numPr>
        <w:spacing w:after="120" w:line="240" w:lineRule="auto"/>
        <w:contextualSpacing w:val="0"/>
        <w:jc w:val="both"/>
        <w:rPr>
          <w:rFonts w:ascii="Times New Roman" w:eastAsia="Times New Roman" w:hAnsi="Times New Roman" w:cs="Times New Roman"/>
          <w:b w:val="0"/>
          <w:noProof/>
          <w:color w:val="000000" w:themeColor="text1"/>
        </w:rPr>
      </w:pPr>
      <w:r w:rsidRPr="00532C20">
        <w:rPr>
          <w:rFonts w:ascii="Times New Roman" w:eastAsia="Times" w:hAnsi="Times New Roman" w:cs="Times New Roman"/>
          <w:b w:val="0"/>
          <w:noProof/>
          <w:color w:val="000000" w:themeColor="text1"/>
        </w:rPr>
        <w:t xml:space="preserve">The fragmentation of the internal market for interest representation activities carried out on behalf of third countries is presented in section 2.1.1. </w:t>
      </w:r>
      <w:r w:rsidRPr="00532C20">
        <w:rPr>
          <w:rFonts w:ascii="Times New Roman" w:eastAsia="Times New Roman" w:hAnsi="Times New Roman" w:cs="Times New Roman"/>
          <w:b w:val="0"/>
          <w:noProof/>
          <w:color w:val="000000" w:themeColor="text1"/>
        </w:rPr>
        <w:t xml:space="preserve">Annex 6 presents the regulatory situation in the Member States. </w:t>
      </w:r>
    </w:p>
    <w:p w14:paraId="4F990E18" w14:textId="1DA368C9" w:rsidR="00F147A3" w:rsidRPr="00532C20" w:rsidRDefault="00F147A3" w:rsidP="007160DA">
      <w:pPr>
        <w:pStyle w:val="Style222"/>
        <w:numPr>
          <w:ilvl w:val="1"/>
          <w:numId w:val="0"/>
        </w:numPr>
        <w:spacing w:after="120" w:line="240" w:lineRule="auto"/>
        <w:contextualSpacing w:val="0"/>
        <w:jc w:val="both"/>
        <w:rPr>
          <w:rFonts w:ascii="Times New Roman" w:eastAsia="Times" w:hAnsi="Times New Roman" w:cs="Times New Roman"/>
          <w:b w:val="0"/>
          <w:noProof/>
          <w:color w:val="000000" w:themeColor="text1"/>
        </w:rPr>
      </w:pPr>
      <w:r w:rsidRPr="00532C20">
        <w:rPr>
          <w:rFonts w:ascii="Times New Roman" w:eastAsia="Times New Roman" w:hAnsi="Times New Roman" w:cs="Times New Roman"/>
          <w:b w:val="0"/>
          <w:noProof/>
          <w:color w:val="000000" w:themeColor="text1"/>
        </w:rPr>
        <w:t xml:space="preserve">As explained in Section 2.1.2 </w:t>
      </w:r>
      <w:r w:rsidRPr="00532C20">
        <w:rPr>
          <w:rFonts w:ascii="Times New Roman" w:eastAsia="Times" w:hAnsi="Times New Roman" w:cs="Times New Roman"/>
          <w:b w:val="0"/>
          <w:noProof/>
          <w:color w:val="000000" w:themeColor="text1"/>
        </w:rPr>
        <w:t>comprehensive information on the magnitude, trends and actors of interest representation activities carried out on behalf of third countries is lacking.</w:t>
      </w:r>
    </w:p>
    <w:p w14:paraId="6D52B4F4" w14:textId="5F83F107" w:rsidR="001133A7" w:rsidRPr="00532C20" w:rsidRDefault="005E80EF" w:rsidP="00763436">
      <w:pPr>
        <w:pStyle w:val="11Subsection"/>
        <w:rPr>
          <w:noProof/>
        </w:rPr>
      </w:pPr>
      <w:bookmarkStart w:id="279" w:name="_Toc134028709"/>
      <w:bookmarkStart w:id="280" w:name="_Toc134620353"/>
      <w:bookmarkStart w:id="281" w:name="_Toc152864668"/>
      <w:r w:rsidRPr="00532C20">
        <w:rPr>
          <w:noProof/>
        </w:rPr>
        <w:t xml:space="preserve">How will the problems </w:t>
      </w:r>
      <w:bookmarkStart w:id="282" w:name="_Toc73478663"/>
      <w:bookmarkStart w:id="283" w:name="_Toc73525711"/>
      <w:bookmarkStart w:id="284" w:name="_Toc73551027"/>
      <w:bookmarkStart w:id="285" w:name="_Toc73562545"/>
      <w:bookmarkStart w:id="286" w:name="_Toc73567225"/>
      <w:bookmarkStart w:id="287" w:name="_Toc73606828"/>
      <w:bookmarkStart w:id="288" w:name="_Toc73649144"/>
      <w:bookmarkStart w:id="289" w:name="_Toc74081091"/>
      <w:bookmarkStart w:id="290" w:name="_Toc74168091"/>
      <w:bookmarkStart w:id="291" w:name="_Toc74171539"/>
      <w:bookmarkStart w:id="292" w:name="_Toc74596031"/>
      <w:bookmarkStart w:id="293" w:name="_Toc74666145"/>
      <w:bookmarkStart w:id="294" w:name="_Toc74746563"/>
      <w:bookmarkStart w:id="295" w:name="_Toc75282871"/>
      <w:bookmarkStart w:id="296" w:name="_Toc75291801"/>
      <w:bookmarkStart w:id="297" w:name="_Toc75862419"/>
      <w:bookmarkStart w:id="298" w:name="_Toc75882158"/>
      <w:bookmarkStart w:id="299" w:name="_Toc75882642"/>
      <w:bookmarkStart w:id="300" w:name="_Toc75886601"/>
      <w:bookmarkStart w:id="301" w:name="_Toc75893751"/>
      <w:bookmarkStart w:id="302" w:name="_Toc75895461"/>
      <w:bookmarkStart w:id="303" w:name="_Toc77579198"/>
      <w:bookmarkStart w:id="304" w:name="_Toc78820679"/>
      <w:bookmarkStart w:id="305" w:name="_Toc78821795"/>
      <w:bookmarkStart w:id="306" w:name="_Toc79679506"/>
      <w:bookmarkStart w:id="307" w:name="_Toc79680370"/>
      <w:bookmarkStart w:id="308" w:name="_Toc79742166"/>
      <w:bookmarkStart w:id="309" w:name="_Toc79745650"/>
      <w:bookmarkStart w:id="310" w:name="_Toc79748357"/>
      <w:bookmarkStart w:id="311" w:name="_Toc79765305"/>
      <w:bookmarkStart w:id="312" w:name="_Toc79765402"/>
      <w:bookmarkStart w:id="313" w:name="_Toc80020692"/>
      <w:bookmarkStart w:id="314" w:name="_Toc80024166"/>
      <w:bookmarkStart w:id="315" w:name="_Toc80025889"/>
      <w:bookmarkStart w:id="316" w:name="_Toc80028639"/>
      <w:bookmarkStart w:id="317" w:name="_Toc80093469"/>
      <w:bookmarkStart w:id="318" w:name="_Toc80110098"/>
      <w:bookmarkStart w:id="319" w:name="_Toc80111483"/>
      <w:bookmarkStart w:id="320" w:name="_Toc80116064"/>
      <w:bookmarkStart w:id="321" w:name="_Toc80637862"/>
      <w:bookmarkStart w:id="322" w:name="_Toc80640253"/>
      <w:bookmarkStart w:id="323" w:name="_Toc80643390"/>
      <w:bookmarkStart w:id="324" w:name="_Toc80643508"/>
      <w:bookmarkStart w:id="325" w:name="_Toc80643737"/>
      <w:bookmarkStart w:id="326" w:name="_Toc80699506"/>
      <w:bookmarkStart w:id="327" w:name="_Toc80703165"/>
      <w:bookmarkStart w:id="328" w:name="_Toc80709724"/>
      <w:bookmarkStart w:id="329" w:name="_Toc80710112"/>
      <w:bookmarkStart w:id="330" w:name="_Toc80725945"/>
      <w:bookmarkStart w:id="331" w:name="_Toc80808461"/>
      <w:bookmarkStart w:id="332" w:name="_Toc80865884"/>
      <w:bookmarkStart w:id="333" w:name="_Toc80888219"/>
      <w:bookmarkStart w:id="334" w:name="_Toc80893598"/>
      <w:bookmarkStart w:id="335" w:name="_Toc80980428"/>
      <w:bookmarkStart w:id="336" w:name="_Toc81222298"/>
      <w:bookmarkStart w:id="337" w:name="_Toc81225184"/>
      <w:bookmarkStart w:id="338" w:name="_Toc81227726"/>
      <w:bookmarkStart w:id="339" w:name="_Toc81228498"/>
      <w:bookmarkStart w:id="340" w:name="_Toc81232680"/>
      <w:bookmarkStart w:id="341" w:name="_Toc81233785"/>
      <w:bookmarkStart w:id="342" w:name="_Toc81242111"/>
      <w:bookmarkStart w:id="343" w:name="_Toc81242300"/>
      <w:bookmarkStart w:id="344" w:name="_Toc81298951"/>
      <w:bookmarkStart w:id="345" w:name="_Toc81306484"/>
      <w:bookmarkStart w:id="346" w:name="_Toc81314459"/>
      <w:bookmarkStart w:id="347" w:name="_Toc81394859"/>
      <w:bookmarkStart w:id="348" w:name="_Toc81401531"/>
      <w:bookmarkStart w:id="349" w:name="_Toc81405154"/>
      <w:bookmarkStart w:id="350" w:name="_Toc81406604"/>
      <w:bookmarkStart w:id="351" w:name="_Toc81406795"/>
      <w:bookmarkStart w:id="352" w:name="_Toc81406896"/>
      <w:bookmarkStart w:id="353" w:name="_Toc86145213"/>
      <w:bookmarkStart w:id="354" w:name="_Toc86160830"/>
      <w:bookmarkStart w:id="355" w:name="_Toc86168821"/>
      <w:bookmarkStart w:id="356" w:name="_Toc86226268"/>
      <w:bookmarkStart w:id="357" w:name="_Toc86231944"/>
      <w:bookmarkStart w:id="358" w:name="_Toc86334963"/>
      <w:bookmarkStart w:id="359" w:name="_Toc87609600"/>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557E6D29" w:rsidRPr="00532C20">
        <w:rPr>
          <w:noProof/>
        </w:rPr>
        <w:t>evolve?</w:t>
      </w:r>
      <w:bookmarkEnd w:id="279"/>
      <w:bookmarkEnd w:id="280"/>
      <w:bookmarkEnd w:id="281"/>
    </w:p>
    <w:p w14:paraId="39583434" w14:textId="0FEFC771" w:rsidR="0004650F" w:rsidRPr="00532C20" w:rsidRDefault="00D16C3F" w:rsidP="00881D31">
      <w:pPr>
        <w:pStyle w:val="Style111"/>
        <w:spacing w:after="120" w:line="240" w:lineRule="auto"/>
        <w:contextualSpacing w:val="0"/>
        <w:jc w:val="both"/>
        <w:rPr>
          <w:rStyle w:val="eop"/>
          <w:rFonts w:ascii="Times New Roman" w:hAnsi="Times New Roman" w:cs="Times New Roman"/>
          <w:b w:val="0"/>
          <w:bCs/>
          <w:smallCaps w:val="0"/>
          <w:noProof/>
        </w:rPr>
      </w:pPr>
      <w:r w:rsidRPr="00532C20">
        <w:rPr>
          <w:rStyle w:val="eop"/>
          <w:rFonts w:ascii="Times New Roman" w:hAnsi="Times New Roman" w:cs="Times New Roman"/>
          <w:b w:val="0"/>
          <w:bCs/>
          <w:smallCaps w:val="0"/>
          <w:noProof/>
        </w:rPr>
        <w:t xml:space="preserve">Regarding the </w:t>
      </w:r>
      <w:r w:rsidRPr="00532C20">
        <w:rPr>
          <w:rStyle w:val="eop"/>
          <w:rFonts w:ascii="Times New Roman" w:hAnsi="Times New Roman" w:cs="Times New Roman"/>
          <w:smallCaps w:val="0"/>
          <w:noProof/>
        </w:rPr>
        <w:t>first problem</w:t>
      </w:r>
      <w:r w:rsidR="00600D8F" w:rsidRPr="00532C20">
        <w:rPr>
          <w:rStyle w:val="eop"/>
          <w:rFonts w:ascii="Times New Roman" w:hAnsi="Times New Roman" w:cs="Times New Roman"/>
          <w:b w:val="0"/>
          <w:bCs/>
          <w:smallCaps w:val="0"/>
          <w:noProof/>
        </w:rPr>
        <w:t xml:space="preserve">, </w:t>
      </w:r>
      <w:r w:rsidR="000B3D3A" w:rsidRPr="00532C20">
        <w:rPr>
          <w:rStyle w:val="eop"/>
          <w:rFonts w:ascii="Times New Roman" w:hAnsi="Times New Roman" w:cs="Times New Roman"/>
          <w:smallCaps w:val="0"/>
          <w:noProof/>
        </w:rPr>
        <w:t xml:space="preserve">obstacles </w:t>
      </w:r>
      <w:r w:rsidR="000245CF" w:rsidRPr="00532C20">
        <w:rPr>
          <w:rStyle w:val="eop"/>
          <w:rFonts w:ascii="Times New Roman" w:hAnsi="Times New Roman" w:cs="Times New Roman"/>
          <w:smallCaps w:val="0"/>
          <w:noProof/>
        </w:rPr>
        <w:t>in</w:t>
      </w:r>
      <w:r w:rsidR="000B3D3A" w:rsidRPr="00532C20">
        <w:rPr>
          <w:rStyle w:val="eop"/>
          <w:rFonts w:ascii="Times New Roman" w:hAnsi="Times New Roman" w:cs="Times New Roman"/>
          <w:smallCaps w:val="0"/>
          <w:noProof/>
        </w:rPr>
        <w:t xml:space="preserve"> the internal market</w:t>
      </w:r>
      <w:r w:rsidRPr="00532C20">
        <w:rPr>
          <w:rStyle w:val="eop"/>
          <w:rFonts w:ascii="Times New Roman" w:hAnsi="Times New Roman" w:cs="Times New Roman"/>
          <w:b w:val="0"/>
          <w:bCs/>
          <w:smallCaps w:val="0"/>
          <w:noProof/>
        </w:rPr>
        <w:t xml:space="preserve">, </w:t>
      </w:r>
      <w:r w:rsidR="00D46F88" w:rsidRPr="00532C20">
        <w:rPr>
          <w:rStyle w:val="eop"/>
          <w:rFonts w:ascii="Times New Roman" w:hAnsi="Times New Roman" w:cs="Times New Roman"/>
          <w:b w:val="0"/>
          <w:bCs/>
          <w:smallCaps w:val="0"/>
          <w:noProof/>
        </w:rPr>
        <w:t>the issues related to the u</w:t>
      </w:r>
      <w:r w:rsidR="00BD5A3E" w:rsidRPr="00532C20">
        <w:rPr>
          <w:rStyle w:val="eop"/>
          <w:rFonts w:ascii="Times New Roman" w:hAnsi="Times New Roman" w:cs="Times New Roman"/>
          <w:b w:val="0"/>
          <w:bCs/>
          <w:smallCaps w:val="0"/>
          <w:noProof/>
        </w:rPr>
        <w:t>neven playing field</w:t>
      </w:r>
      <w:r w:rsidR="00A2259F" w:rsidRPr="00532C20">
        <w:rPr>
          <w:rStyle w:val="eop"/>
          <w:rFonts w:ascii="Times New Roman" w:hAnsi="Times New Roman" w:cs="Times New Roman"/>
          <w:b w:val="0"/>
          <w:bCs/>
          <w:smallCaps w:val="0"/>
          <w:noProof/>
        </w:rPr>
        <w:t xml:space="preserve">, the risk of regulatory arbitrage and </w:t>
      </w:r>
      <w:r w:rsidR="00D46F88" w:rsidRPr="00532C20">
        <w:rPr>
          <w:rStyle w:val="eop"/>
          <w:rFonts w:ascii="Times New Roman" w:hAnsi="Times New Roman" w:cs="Times New Roman"/>
          <w:b w:val="0"/>
          <w:bCs/>
          <w:smallCaps w:val="0"/>
          <w:noProof/>
        </w:rPr>
        <w:t xml:space="preserve">the unnecessary </w:t>
      </w:r>
      <w:r w:rsidR="00300724" w:rsidRPr="00532C20">
        <w:rPr>
          <w:rStyle w:val="eop"/>
          <w:rFonts w:ascii="Times New Roman" w:hAnsi="Times New Roman" w:cs="Times New Roman"/>
          <w:b w:val="0"/>
          <w:bCs/>
          <w:smallCaps w:val="0"/>
          <w:noProof/>
        </w:rPr>
        <w:t xml:space="preserve">costs for </w:t>
      </w:r>
      <w:r w:rsidR="00A2259F" w:rsidRPr="00532C20">
        <w:rPr>
          <w:rStyle w:val="eop"/>
          <w:rFonts w:ascii="Times New Roman" w:hAnsi="Times New Roman" w:cs="Times New Roman"/>
          <w:b w:val="0"/>
          <w:bCs/>
          <w:smallCaps w:val="0"/>
          <w:noProof/>
        </w:rPr>
        <w:t xml:space="preserve">entities </w:t>
      </w:r>
      <w:r w:rsidR="00702AF5" w:rsidRPr="00532C20">
        <w:rPr>
          <w:rStyle w:val="eop"/>
          <w:rFonts w:ascii="Times New Roman" w:hAnsi="Times New Roman" w:cs="Times New Roman"/>
          <w:b w:val="0"/>
          <w:bCs/>
          <w:smallCaps w:val="0"/>
          <w:noProof/>
        </w:rPr>
        <w:t>carrying</w:t>
      </w:r>
      <w:r w:rsidR="00A2259F" w:rsidRPr="00532C20">
        <w:rPr>
          <w:rStyle w:val="eop"/>
          <w:rFonts w:ascii="Times New Roman" w:hAnsi="Times New Roman" w:cs="Times New Roman"/>
          <w:b w:val="0"/>
          <w:bCs/>
          <w:smallCaps w:val="0"/>
          <w:noProof/>
        </w:rPr>
        <w:t xml:space="preserve"> out </w:t>
      </w:r>
      <w:r w:rsidR="001D20D5" w:rsidRPr="00532C20">
        <w:rPr>
          <w:rStyle w:val="eop"/>
          <w:rFonts w:ascii="Times New Roman" w:hAnsi="Times New Roman" w:cs="Times New Roman"/>
          <w:b w:val="0"/>
          <w:bCs/>
          <w:smallCaps w:val="0"/>
          <w:noProof/>
        </w:rPr>
        <w:t>interest</w:t>
      </w:r>
      <w:r w:rsidR="00A2259F" w:rsidRPr="00532C20">
        <w:rPr>
          <w:rStyle w:val="eop"/>
          <w:rFonts w:ascii="Times New Roman" w:hAnsi="Times New Roman" w:cs="Times New Roman"/>
          <w:b w:val="0"/>
          <w:bCs/>
          <w:smallCaps w:val="0"/>
          <w:noProof/>
        </w:rPr>
        <w:t xml:space="preserve"> representation </w:t>
      </w:r>
      <w:r w:rsidR="00702AF5" w:rsidRPr="00532C20">
        <w:rPr>
          <w:rStyle w:val="eop"/>
          <w:rFonts w:ascii="Times New Roman" w:hAnsi="Times New Roman" w:cs="Times New Roman"/>
          <w:b w:val="0"/>
          <w:bCs/>
          <w:smallCaps w:val="0"/>
          <w:noProof/>
        </w:rPr>
        <w:t>activities</w:t>
      </w:r>
      <w:r w:rsidR="00300724" w:rsidRPr="00532C20">
        <w:rPr>
          <w:rStyle w:val="eop"/>
          <w:rFonts w:ascii="Times New Roman" w:hAnsi="Times New Roman" w:cs="Times New Roman"/>
          <w:b w:val="0"/>
          <w:bCs/>
          <w:smallCaps w:val="0"/>
          <w:noProof/>
        </w:rPr>
        <w:t xml:space="preserve"> that wish to operate across Member States</w:t>
      </w:r>
      <w:r w:rsidR="0008166B" w:rsidRPr="00532C20">
        <w:rPr>
          <w:rStyle w:val="eop"/>
          <w:rFonts w:ascii="Times New Roman" w:hAnsi="Times New Roman" w:cs="Times New Roman"/>
          <w:b w:val="0"/>
          <w:bCs/>
          <w:smallCaps w:val="0"/>
          <w:noProof/>
        </w:rPr>
        <w:t xml:space="preserve"> are</w:t>
      </w:r>
      <w:r w:rsidR="0004650F" w:rsidRPr="00532C20">
        <w:rPr>
          <w:rStyle w:val="eop"/>
          <w:rFonts w:ascii="Times New Roman" w:hAnsi="Times New Roman" w:cs="Times New Roman"/>
          <w:b w:val="0"/>
          <w:bCs/>
          <w:smallCaps w:val="0"/>
          <w:noProof/>
        </w:rPr>
        <w:t xml:space="preserve"> bound to increase. </w:t>
      </w:r>
    </w:p>
    <w:p w14:paraId="69F0A1A6" w14:textId="35815DA5" w:rsidR="00B947E1" w:rsidRPr="00532C20" w:rsidRDefault="00F147A3" w:rsidP="00881D31">
      <w:pPr>
        <w:pStyle w:val="Style111"/>
        <w:spacing w:after="120" w:line="240" w:lineRule="auto"/>
        <w:contextualSpacing w:val="0"/>
        <w:jc w:val="both"/>
        <w:rPr>
          <w:rStyle w:val="eop"/>
          <w:rFonts w:ascii="Times New Roman" w:hAnsi="Times New Roman" w:cs="Times New Roman"/>
          <w:b w:val="0"/>
          <w:bCs/>
          <w:smallCaps w:val="0"/>
          <w:noProof/>
        </w:rPr>
      </w:pPr>
      <w:r w:rsidRPr="00532C20">
        <w:rPr>
          <w:rStyle w:val="eop"/>
          <w:rFonts w:ascii="Times New Roman" w:hAnsi="Times New Roman" w:cs="Times New Roman"/>
          <w:b w:val="0"/>
          <w:bCs/>
          <w:smallCaps w:val="0"/>
          <w:noProof/>
        </w:rPr>
        <w:t>T</w:t>
      </w:r>
      <w:r w:rsidR="0052031E" w:rsidRPr="00532C20">
        <w:rPr>
          <w:rStyle w:val="eop"/>
          <w:rFonts w:ascii="Times New Roman" w:hAnsi="Times New Roman" w:cs="Times New Roman"/>
          <w:b w:val="0"/>
          <w:bCs/>
          <w:smallCaps w:val="0"/>
          <w:noProof/>
        </w:rPr>
        <w:t xml:space="preserve">his problem is </w:t>
      </w:r>
      <w:r w:rsidR="0008166B" w:rsidRPr="00532C20">
        <w:rPr>
          <w:rStyle w:val="eop"/>
          <w:rFonts w:ascii="Times New Roman" w:hAnsi="Times New Roman" w:cs="Times New Roman"/>
          <w:b w:val="0"/>
          <w:bCs/>
          <w:smallCaps w:val="0"/>
          <w:noProof/>
        </w:rPr>
        <w:t>driven in a large part by the fragmentation of the internal market</w:t>
      </w:r>
      <w:r w:rsidR="000778B0" w:rsidRPr="00532C20">
        <w:rPr>
          <w:rStyle w:val="eop"/>
          <w:rFonts w:ascii="Times New Roman" w:hAnsi="Times New Roman" w:cs="Times New Roman"/>
          <w:b w:val="0"/>
          <w:bCs/>
          <w:smallCaps w:val="0"/>
          <w:noProof/>
        </w:rPr>
        <w:t xml:space="preserve"> which </w:t>
      </w:r>
      <w:r w:rsidR="000B3D3A" w:rsidRPr="00532C20">
        <w:rPr>
          <w:rStyle w:val="eop"/>
          <w:rFonts w:ascii="Times New Roman" w:hAnsi="Times New Roman" w:cs="Times New Roman"/>
          <w:b w:val="0"/>
          <w:bCs/>
          <w:smallCaps w:val="0"/>
          <w:noProof/>
        </w:rPr>
        <w:t xml:space="preserve">is </w:t>
      </w:r>
      <w:r w:rsidR="000778B0" w:rsidRPr="00532C20">
        <w:rPr>
          <w:rStyle w:val="eop"/>
          <w:rFonts w:ascii="Times New Roman" w:hAnsi="Times New Roman" w:cs="Times New Roman"/>
          <w:b w:val="0"/>
          <w:bCs/>
          <w:smallCaps w:val="0"/>
          <w:noProof/>
        </w:rPr>
        <w:t xml:space="preserve">itself </w:t>
      </w:r>
      <w:r w:rsidR="0052031E" w:rsidRPr="00532C20">
        <w:rPr>
          <w:rStyle w:val="eop"/>
          <w:rFonts w:ascii="Times New Roman" w:hAnsi="Times New Roman" w:cs="Times New Roman"/>
          <w:b w:val="0"/>
          <w:bCs/>
          <w:smallCaps w:val="0"/>
          <w:noProof/>
        </w:rPr>
        <w:t>likely</w:t>
      </w:r>
      <w:r w:rsidR="00F92D3D" w:rsidRPr="00532C20">
        <w:rPr>
          <w:rStyle w:val="eop"/>
          <w:rFonts w:ascii="Times New Roman" w:hAnsi="Times New Roman" w:cs="Times New Roman"/>
          <w:b w:val="0"/>
          <w:bCs/>
          <w:smallCaps w:val="0"/>
          <w:noProof/>
        </w:rPr>
        <w:t xml:space="preserve"> to increase. T</w:t>
      </w:r>
      <w:r w:rsidR="00B947E1" w:rsidRPr="00532C20">
        <w:rPr>
          <w:rStyle w:val="eop"/>
          <w:rFonts w:ascii="Times New Roman" w:hAnsi="Times New Roman" w:cs="Times New Roman"/>
          <w:b w:val="0"/>
          <w:bCs/>
          <w:smallCaps w:val="0"/>
          <w:noProof/>
        </w:rPr>
        <w:t>he consultations</w:t>
      </w:r>
      <w:r w:rsidR="00F92D3D" w:rsidRPr="00532C20">
        <w:rPr>
          <w:rStyle w:val="eop"/>
          <w:rFonts w:ascii="Times New Roman" w:hAnsi="Times New Roman" w:cs="Times New Roman"/>
          <w:b w:val="0"/>
          <w:bCs/>
          <w:smallCaps w:val="0"/>
          <w:noProof/>
        </w:rPr>
        <w:t xml:space="preserve"> carried out during the</w:t>
      </w:r>
      <w:r w:rsidR="00FC4D53" w:rsidRPr="00532C20">
        <w:rPr>
          <w:rStyle w:val="eop"/>
          <w:rFonts w:ascii="Times New Roman" w:hAnsi="Times New Roman" w:cs="Times New Roman"/>
          <w:b w:val="0"/>
          <w:bCs/>
          <w:smallCaps w:val="0"/>
          <w:noProof/>
        </w:rPr>
        <w:t xml:space="preserve"> </w:t>
      </w:r>
      <w:r w:rsidR="00C60CA8" w:rsidRPr="00532C20">
        <w:rPr>
          <w:rStyle w:val="eop"/>
          <w:rFonts w:ascii="Times New Roman" w:hAnsi="Times New Roman" w:cs="Times New Roman"/>
          <w:b w:val="0"/>
          <w:bCs/>
          <w:smallCaps w:val="0"/>
          <w:noProof/>
        </w:rPr>
        <w:t xml:space="preserve">preparation of the </w:t>
      </w:r>
      <w:r w:rsidR="00FC4D53" w:rsidRPr="00532C20">
        <w:rPr>
          <w:rStyle w:val="eop"/>
          <w:rFonts w:ascii="Times New Roman" w:hAnsi="Times New Roman" w:cs="Times New Roman"/>
          <w:b w:val="0"/>
          <w:bCs/>
          <w:smallCaps w:val="0"/>
          <w:noProof/>
        </w:rPr>
        <w:t>initiative</w:t>
      </w:r>
      <w:r w:rsidR="00F92D3D" w:rsidRPr="00532C20">
        <w:rPr>
          <w:rStyle w:val="eop"/>
          <w:rFonts w:ascii="Times New Roman" w:hAnsi="Times New Roman" w:cs="Times New Roman"/>
          <w:b w:val="0"/>
          <w:bCs/>
          <w:smallCaps w:val="0"/>
          <w:noProof/>
        </w:rPr>
        <w:t xml:space="preserve">, in particular </w:t>
      </w:r>
      <w:r w:rsidR="0070251C" w:rsidRPr="00532C20">
        <w:rPr>
          <w:rStyle w:val="eop"/>
          <w:rFonts w:ascii="Times New Roman" w:hAnsi="Times New Roman" w:cs="Times New Roman"/>
          <w:b w:val="0"/>
          <w:bCs/>
          <w:smallCaps w:val="0"/>
          <w:noProof/>
        </w:rPr>
        <w:t xml:space="preserve">in the context of focus group meetings and </w:t>
      </w:r>
      <w:r w:rsidR="008058C0" w:rsidRPr="00532C20">
        <w:rPr>
          <w:rStyle w:val="eop"/>
          <w:rFonts w:ascii="Times New Roman" w:hAnsi="Times New Roman" w:cs="Times New Roman"/>
          <w:b w:val="0"/>
          <w:bCs/>
          <w:smallCaps w:val="0"/>
          <w:noProof/>
        </w:rPr>
        <w:t>contributions provided by</w:t>
      </w:r>
      <w:r w:rsidR="00E02AB0" w:rsidRPr="00532C20">
        <w:rPr>
          <w:rStyle w:val="eop"/>
          <w:rFonts w:ascii="Times New Roman" w:hAnsi="Times New Roman" w:cs="Times New Roman"/>
          <w:b w:val="0"/>
          <w:bCs/>
          <w:smallCaps w:val="0"/>
          <w:noProof/>
        </w:rPr>
        <w:t xml:space="preserve"> </w:t>
      </w:r>
      <w:r w:rsidR="0070251C" w:rsidRPr="00532C20">
        <w:rPr>
          <w:rStyle w:val="eop"/>
          <w:rFonts w:ascii="Times New Roman" w:hAnsi="Times New Roman" w:cs="Times New Roman"/>
          <w:b w:val="0"/>
          <w:bCs/>
          <w:smallCaps w:val="0"/>
          <w:noProof/>
        </w:rPr>
        <w:t>Member State authorities</w:t>
      </w:r>
      <w:r w:rsidR="008058C0" w:rsidRPr="00532C20">
        <w:rPr>
          <w:rStyle w:val="eop"/>
          <w:rFonts w:ascii="Times New Roman" w:hAnsi="Times New Roman" w:cs="Times New Roman"/>
          <w:b w:val="0"/>
          <w:bCs/>
          <w:smallCaps w:val="0"/>
          <w:noProof/>
        </w:rPr>
        <w:t xml:space="preserve"> showed</w:t>
      </w:r>
      <w:r w:rsidR="00B947E1" w:rsidRPr="00532C20">
        <w:rPr>
          <w:rStyle w:val="eop"/>
          <w:rFonts w:ascii="Times New Roman" w:hAnsi="Times New Roman" w:cs="Times New Roman"/>
          <w:b w:val="0"/>
          <w:bCs/>
          <w:smallCaps w:val="0"/>
          <w:noProof/>
        </w:rPr>
        <w:t xml:space="preserve"> an increasing risk awareness in Member States about the issue of interest representation carried out on behalf of third countries, and an increase in national plans for regulatory interventions to address this </w:t>
      </w:r>
      <w:r w:rsidR="00620CA4" w:rsidRPr="00532C20">
        <w:rPr>
          <w:rStyle w:val="eop"/>
          <w:rFonts w:ascii="Times New Roman" w:hAnsi="Times New Roman" w:cs="Times New Roman"/>
          <w:b w:val="0"/>
          <w:bCs/>
          <w:smallCaps w:val="0"/>
          <w:noProof/>
        </w:rPr>
        <w:t>issue.</w:t>
      </w:r>
      <w:r w:rsidR="00B947E1" w:rsidRPr="00532C20">
        <w:rPr>
          <w:rStyle w:val="eop"/>
          <w:rFonts w:ascii="Times New Roman" w:hAnsi="Times New Roman" w:cs="Times New Roman"/>
          <w:b w:val="0"/>
          <w:bCs/>
          <w:smallCaps w:val="0"/>
          <w:noProof/>
        </w:rPr>
        <w:t xml:space="preserve"> For example, in countries like Poland and the Netherlands</w:t>
      </w:r>
      <w:r w:rsidR="00166FC7" w:rsidRPr="00532C20">
        <w:rPr>
          <w:rStyle w:val="FootnoteReference"/>
          <w:rFonts w:ascii="Times New Roman" w:hAnsi="Times New Roman" w:cs="Times New Roman"/>
          <w:b w:val="0"/>
          <w:bCs/>
          <w:smallCaps w:val="0"/>
          <w:noProof/>
        </w:rPr>
        <w:footnoteReference w:id="97"/>
      </w:r>
      <w:r w:rsidR="00B947E1" w:rsidRPr="00532C20">
        <w:rPr>
          <w:rStyle w:val="eop"/>
          <w:rFonts w:ascii="Times New Roman" w:hAnsi="Times New Roman" w:cs="Times New Roman"/>
          <w:b w:val="0"/>
          <w:bCs/>
          <w:smallCaps w:val="0"/>
          <w:noProof/>
        </w:rPr>
        <w:t xml:space="preserve">, draft laws have been put forward which would </w:t>
      </w:r>
      <w:r w:rsidR="00027E6E" w:rsidRPr="00532C20">
        <w:rPr>
          <w:rStyle w:val="eop"/>
          <w:rFonts w:ascii="Times New Roman" w:hAnsi="Times New Roman" w:cs="Times New Roman"/>
          <w:b w:val="0"/>
          <w:bCs/>
          <w:smallCaps w:val="0"/>
          <w:noProof/>
        </w:rPr>
        <w:t xml:space="preserve">impact </w:t>
      </w:r>
      <w:r w:rsidR="00B947E1" w:rsidRPr="00532C20">
        <w:rPr>
          <w:rStyle w:val="eop"/>
          <w:rFonts w:ascii="Times New Roman" w:hAnsi="Times New Roman" w:cs="Times New Roman"/>
          <w:b w:val="0"/>
          <w:bCs/>
          <w:smallCaps w:val="0"/>
          <w:noProof/>
        </w:rPr>
        <w:t>foreign funding, which could affect entities carrying out interest representation on behalf of third countries. In both cases, stakeholders expressed concerns, which were also reflected in the 2022 Rule of Law Report</w:t>
      </w:r>
      <w:r w:rsidR="00B947E1" w:rsidRPr="00532C20">
        <w:rPr>
          <w:rStyle w:val="FootnoteReference"/>
          <w:rFonts w:ascii="Times New Roman" w:hAnsi="Times New Roman" w:cs="Times New Roman"/>
          <w:b w:val="0"/>
          <w:bCs/>
          <w:smallCaps w:val="0"/>
          <w:noProof/>
        </w:rPr>
        <w:footnoteReference w:id="98"/>
      </w:r>
      <w:r w:rsidR="00B947E1" w:rsidRPr="00532C20">
        <w:rPr>
          <w:rStyle w:val="eop"/>
          <w:rFonts w:ascii="Times New Roman" w:hAnsi="Times New Roman" w:cs="Times New Roman"/>
          <w:b w:val="0"/>
          <w:bCs/>
          <w:smallCaps w:val="0"/>
          <w:noProof/>
        </w:rPr>
        <w:t xml:space="preserve">. </w:t>
      </w:r>
      <w:r w:rsidR="003A4CD7" w:rsidRPr="00532C20">
        <w:rPr>
          <w:rStyle w:val="eop"/>
          <w:rFonts w:ascii="Times New Roman" w:hAnsi="Times New Roman" w:cs="Times New Roman"/>
          <w:b w:val="0"/>
          <w:bCs/>
          <w:smallCaps w:val="0"/>
          <w:noProof/>
        </w:rPr>
        <w:t>Some</w:t>
      </w:r>
      <w:r w:rsidR="00B947E1" w:rsidRPr="00532C20">
        <w:rPr>
          <w:rStyle w:val="eop"/>
          <w:rFonts w:ascii="Times New Roman" w:hAnsi="Times New Roman" w:cs="Times New Roman"/>
          <w:b w:val="0"/>
          <w:bCs/>
          <w:smallCaps w:val="0"/>
          <w:noProof/>
        </w:rPr>
        <w:t xml:space="preserve"> Member States</w:t>
      </w:r>
      <w:r w:rsidR="00B3625E" w:rsidRPr="00532C20">
        <w:rPr>
          <w:rStyle w:val="eop"/>
          <w:rFonts w:ascii="Times New Roman" w:hAnsi="Times New Roman" w:cs="Times New Roman"/>
          <w:b w:val="0"/>
          <w:bCs/>
          <w:smallCaps w:val="0"/>
          <w:noProof/>
        </w:rPr>
        <w:t xml:space="preserve">, </w:t>
      </w:r>
      <w:r w:rsidR="00C971FF" w:rsidRPr="00532C20">
        <w:rPr>
          <w:rStyle w:val="eop"/>
          <w:rFonts w:ascii="Times New Roman" w:hAnsi="Times New Roman" w:cs="Times New Roman"/>
          <w:b w:val="0"/>
          <w:bCs/>
          <w:smallCaps w:val="0"/>
          <w:noProof/>
        </w:rPr>
        <w:t>such as France,</w:t>
      </w:r>
      <w:r w:rsidR="00B947E1" w:rsidRPr="00532C20">
        <w:rPr>
          <w:rStyle w:val="eop"/>
          <w:rFonts w:ascii="Times New Roman" w:hAnsi="Times New Roman" w:cs="Times New Roman"/>
          <w:b w:val="0"/>
          <w:bCs/>
          <w:smallCaps w:val="0"/>
          <w:noProof/>
        </w:rPr>
        <w:t xml:space="preserve"> have indicated their interest in regulating in particular interest representation carried out on behalf of third countries</w:t>
      </w:r>
      <w:r w:rsidR="00FB3522" w:rsidRPr="00532C20">
        <w:rPr>
          <w:rStyle w:val="FootnoteReference"/>
          <w:rFonts w:ascii="Times New Roman" w:hAnsi="Times New Roman" w:cs="Times New Roman"/>
          <w:b w:val="0"/>
          <w:bCs/>
          <w:smallCaps w:val="0"/>
          <w:noProof/>
        </w:rPr>
        <w:footnoteReference w:id="99"/>
      </w:r>
      <w:r w:rsidR="00B947E1" w:rsidRPr="00532C20">
        <w:rPr>
          <w:rStyle w:val="eop"/>
          <w:rFonts w:ascii="Times New Roman" w:hAnsi="Times New Roman" w:cs="Times New Roman"/>
          <w:b w:val="0"/>
          <w:bCs/>
          <w:smallCaps w:val="0"/>
          <w:noProof/>
        </w:rPr>
        <w:t xml:space="preserve">. </w:t>
      </w:r>
      <w:r w:rsidR="00B50C32" w:rsidRPr="00532C20">
        <w:rPr>
          <w:rStyle w:val="eop"/>
          <w:rFonts w:ascii="Times New Roman" w:hAnsi="Times New Roman" w:cs="Times New Roman"/>
          <w:b w:val="0"/>
          <w:bCs/>
          <w:smallCaps w:val="0"/>
          <w:noProof/>
        </w:rPr>
        <w:t xml:space="preserve">Furthermore, </w:t>
      </w:r>
      <w:r w:rsidR="00B50C32" w:rsidRPr="00532C20">
        <w:rPr>
          <w:rStyle w:val="eop"/>
          <w:b w:val="0"/>
          <w:bCs/>
          <w:smallCaps w:val="0"/>
          <w:noProof/>
        </w:rPr>
        <w:t>draft laws regulating interest representation in general are either under discussion or planned in 12 Member State</w:t>
      </w:r>
      <w:r w:rsidR="003F3B2F" w:rsidRPr="00532C20">
        <w:rPr>
          <w:rStyle w:val="eop"/>
          <w:b w:val="0"/>
          <w:bCs/>
          <w:smallCaps w:val="0"/>
          <w:noProof/>
        </w:rPr>
        <w:t>s</w:t>
      </w:r>
      <w:r w:rsidR="00B50C32" w:rsidRPr="00532C20">
        <w:rPr>
          <w:rStyle w:val="FootnoteReference"/>
          <w:rFonts w:ascii="Times New Roman" w:hAnsi="Times New Roman" w:cs="Times New Roman"/>
          <w:b w:val="0"/>
          <w:bCs/>
          <w:smallCaps w:val="0"/>
          <w:noProof/>
        </w:rPr>
        <w:footnoteReference w:id="100"/>
      </w:r>
      <w:r w:rsidR="003F3B2F" w:rsidRPr="00532C20">
        <w:rPr>
          <w:rStyle w:val="eop"/>
          <w:b w:val="0"/>
          <w:bCs/>
          <w:smallCaps w:val="0"/>
          <w:noProof/>
        </w:rPr>
        <w:t xml:space="preserve">. </w:t>
      </w:r>
      <w:r w:rsidR="002A7795" w:rsidRPr="00532C20">
        <w:rPr>
          <w:rStyle w:val="eop"/>
          <w:b w:val="0"/>
          <w:bCs/>
          <w:smallCaps w:val="0"/>
          <w:noProof/>
        </w:rPr>
        <w:t xml:space="preserve">Furthermore, the fact that </w:t>
      </w:r>
      <w:r w:rsidR="002A7795" w:rsidRPr="00532C20">
        <w:rPr>
          <w:rStyle w:val="eop"/>
          <w:rFonts w:ascii="Times New Roman" w:hAnsi="Times New Roman" w:cs="Times New Roman"/>
          <w:b w:val="0"/>
          <w:bCs/>
          <w:smallCaps w:val="0"/>
          <w:noProof/>
        </w:rPr>
        <w:t xml:space="preserve">Member States do not consistently collect or systematically share information on interest representation carried out on behalf of third countries </w:t>
      </w:r>
      <w:r w:rsidR="00B4688A" w:rsidRPr="00532C20">
        <w:rPr>
          <w:rStyle w:val="eop"/>
          <w:rFonts w:ascii="Times New Roman" w:hAnsi="Times New Roman" w:cs="Times New Roman"/>
          <w:b w:val="0"/>
          <w:bCs/>
          <w:smallCaps w:val="0"/>
          <w:noProof/>
        </w:rPr>
        <w:t xml:space="preserve">leads to </w:t>
      </w:r>
      <w:r w:rsidR="009E7B63" w:rsidRPr="00532C20">
        <w:rPr>
          <w:rStyle w:val="eop"/>
          <w:rFonts w:ascii="Times New Roman" w:hAnsi="Times New Roman" w:cs="Times New Roman"/>
          <w:b w:val="0"/>
          <w:bCs/>
          <w:smallCaps w:val="0"/>
          <w:noProof/>
        </w:rPr>
        <w:t xml:space="preserve">different </w:t>
      </w:r>
      <w:r w:rsidR="00F03E60" w:rsidRPr="00532C20">
        <w:rPr>
          <w:rStyle w:val="eop"/>
          <w:rFonts w:ascii="Times New Roman" w:hAnsi="Times New Roman" w:cs="Times New Roman"/>
          <w:b w:val="0"/>
          <w:bCs/>
          <w:smallCaps w:val="0"/>
          <w:noProof/>
        </w:rPr>
        <w:t xml:space="preserve">levels of </w:t>
      </w:r>
      <w:r w:rsidR="00EA0421" w:rsidRPr="00532C20">
        <w:rPr>
          <w:rStyle w:val="eop"/>
          <w:rFonts w:ascii="Times New Roman" w:hAnsi="Times New Roman" w:cs="Times New Roman"/>
          <w:b w:val="0"/>
          <w:bCs/>
          <w:smallCaps w:val="0"/>
          <w:noProof/>
        </w:rPr>
        <w:t>awareness of the issue</w:t>
      </w:r>
      <w:r w:rsidR="00EA0421" w:rsidRPr="00532C20">
        <w:rPr>
          <w:rStyle w:val="eop"/>
          <w:b w:val="0"/>
          <w:smallCaps w:val="0"/>
          <w:noProof/>
        </w:rPr>
        <w:t xml:space="preserve"> </w:t>
      </w:r>
      <w:r w:rsidR="002A7795" w:rsidRPr="00532C20">
        <w:rPr>
          <w:rStyle w:val="eop"/>
          <w:b w:val="0"/>
          <w:bCs/>
          <w:smallCaps w:val="0"/>
          <w:noProof/>
        </w:rPr>
        <w:t>that could</w:t>
      </w:r>
      <w:r w:rsidR="001100AF" w:rsidRPr="00532C20">
        <w:rPr>
          <w:rStyle w:val="eop"/>
          <w:b w:val="0"/>
          <w:bCs/>
          <w:smallCaps w:val="0"/>
          <w:noProof/>
        </w:rPr>
        <w:t xml:space="preserve"> </w:t>
      </w:r>
      <w:r w:rsidR="00B373E3" w:rsidRPr="00532C20">
        <w:rPr>
          <w:rStyle w:val="eop"/>
          <w:b w:val="0"/>
          <w:bCs/>
          <w:smallCaps w:val="0"/>
          <w:noProof/>
        </w:rPr>
        <w:t>result in</w:t>
      </w:r>
      <w:r w:rsidR="002A7795" w:rsidRPr="00532C20">
        <w:rPr>
          <w:rStyle w:val="eop"/>
          <w:b w:val="0"/>
          <w:bCs/>
          <w:smallCaps w:val="0"/>
          <w:noProof/>
        </w:rPr>
        <w:t xml:space="preserve"> Member States respond</w:t>
      </w:r>
      <w:r w:rsidR="00B373E3" w:rsidRPr="00532C20">
        <w:rPr>
          <w:rStyle w:val="eop"/>
          <w:b w:val="0"/>
          <w:bCs/>
          <w:smallCaps w:val="0"/>
          <w:noProof/>
        </w:rPr>
        <w:t>ing</w:t>
      </w:r>
      <w:r w:rsidR="002A7795" w:rsidRPr="00532C20">
        <w:rPr>
          <w:rStyle w:val="eop"/>
          <w:b w:val="0"/>
          <w:bCs/>
          <w:smallCaps w:val="0"/>
          <w:noProof/>
        </w:rPr>
        <w:t xml:space="preserve"> </w:t>
      </w:r>
      <w:r w:rsidR="00B373E3" w:rsidRPr="00532C20">
        <w:rPr>
          <w:rStyle w:val="eop"/>
          <w:b w:val="0"/>
          <w:bCs/>
          <w:smallCaps w:val="0"/>
          <w:noProof/>
        </w:rPr>
        <w:t xml:space="preserve">divergently </w:t>
      </w:r>
      <w:r w:rsidR="002A7795" w:rsidRPr="00532C20">
        <w:rPr>
          <w:rStyle w:val="eop"/>
          <w:b w:val="0"/>
          <w:bCs/>
          <w:smallCaps w:val="0"/>
          <w:noProof/>
        </w:rPr>
        <w:t>to this phenomenon.</w:t>
      </w:r>
      <w:r w:rsidR="001100AF" w:rsidRPr="00532C20">
        <w:rPr>
          <w:rStyle w:val="eop"/>
          <w:b w:val="0"/>
          <w:bCs/>
          <w:smallCaps w:val="0"/>
          <w:noProof/>
        </w:rPr>
        <w:t xml:space="preserve"> </w:t>
      </w:r>
      <w:r w:rsidR="00B947E1" w:rsidRPr="00532C20">
        <w:rPr>
          <w:rStyle w:val="eop"/>
          <w:rFonts w:ascii="Times New Roman" w:hAnsi="Times New Roman" w:cs="Times New Roman"/>
          <w:b w:val="0"/>
          <w:bCs/>
          <w:smallCaps w:val="0"/>
          <w:noProof/>
        </w:rPr>
        <w:t>Such fragmentation would exacerbate the obstacles faced by entities carrying out interest representation on behalf of third countries</w:t>
      </w:r>
      <w:r w:rsidR="00B3625E" w:rsidRPr="00532C20">
        <w:rPr>
          <w:rStyle w:val="eop"/>
          <w:rFonts w:ascii="Times New Roman" w:hAnsi="Times New Roman" w:cs="Times New Roman"/>
          <w:b w:val="0"/>
          <w:bCs/>
          <w:smallCaps w:val="0"/>
          <w:noProof/>
        </w:rPr>
        <w:t xml:space="preserve"> in the internal market</w:t>
      </w:r>
      <w:r w:rsidR="00B947E1" w:rsidRPr="00532C20">
        <w:rPr>
          <w:rStyle w:val="eop"/>
          <w:rFonts w:ascii="Times New Roman" w:hAnsi="Times New Roman" w:cs="Times New Roman"/>
          <w:b w:val="0"/>
          <w:bCs/>
          <w:smallCaps w:val="0"/>
          <w:noProof/>
        </w:rPr>
        <w:t xml:space="preserve">. </w:t>
      </w:r>
    </w:p>
    <w:p w14:paraId="1D86589B" w14:textId="0677EB2B" w:rsidR="001211A3" w:rsidRPr="00532C20" w:rsidRDefault="00C22E2F" w:rsidP="00881D31">
      <w:pPr>
        <w:pStyle w:val="Style111"/>
        <w:spacing w:after="120" w:line="240" w:lineRule="auto"/>
        <w:contextualSpacing w:val="0"/>
        <w:jc w:val="both"/>
        <w:rPr>
          <w:rStyle w:val="eop"/>
          <w:rFonts w:ascii="Times New Roman" w:hAnsi="Times New Roman" w:cs="Times New Roman"/>
          <w:b w:val="0"/>
          <w:smallCaps w:val="0"/>
          <w:noProof/>
        </w:rPr>
      </w:pPr>
      <w:r w:rsidRPr="00532C20">
        <w:rPr>
          <w:rFonts w:ascii="Times New Roman" w:hAnsi="Times New Roman" w:cs="Times New Roman"/>
          <w:b w:val="0"/>
          <w:smallCaps w:val="0"/>
          <w:noProof/>
        </w:rPr>
        <w:t>T</w:t>
      </w:r>
      <w:r w:rsidR="00875F99" w:rsidRPr="00532C20">
        <w:rPr>
          <w:rFonts w:ascii="Times New Roman" w:hAnsi="Times New Roman" w:cs="Times New Roman"/>
          <w:b w:val="0"/>
          <w:smallCaps w:val="0"/>
          <w:noProof/>
        </w:rPr>
        <w:t xml:space="preserve">he </w:t>
      </w:r>
      <w:r w:rsidR="00875F99" w:rsidRPr="00532C20">
        <w:rPr>
          <w:rFonts w:ascii="Times New Roman" w:hAnsi="Times New Roman" w:cs="Times New Roman"/>
          <w:bCs/>
          <w:smallCaps w:val="0"/>
          <w:noProof/>
        </w:rPr>
        <w:t>second problem</w:t>
      </w:r>
      <w:r w:rsidR="00875F99" w:rsidRPr="00532C20">
        <w:rPr>
          <w:rFonts w:ascii="Times New Roman" w:hAnsi="Times New Roman" w:cs="Times New Roman"/>
          <w:b w:val="0"/>
          <w:smallCaps w:val="0"/>
          <w:noProof/>
        </w:rPr>
        <w:t xml:space="preserve">, </w:t>
      </w:r>
      <w:r w:rsidR="00E14F44" w:rsidRPr="00532C20">
        <w:rPr>
          <w:rFonts w:ascii="Times New Roman" w:hAnsi="Times New Roman" w:cs="Times New Roman"/>
          <w:b w:val="0"/>
          <w:smallCaps w:val="0"/>
          <w:noProof/>
        </w:rPr>
        <w:t xml:space="preserve">the </w:t>
      </w:r>
      <w:r w:rsidR="00E14F44" w:rsidRPr="00532C20">
        <w:rPr>
          <w:rFonts w:ascii="Times New Roman" w:hAnsi="Times New Roman" w:cs="Times New Roman"/>
          <w:bCs/>
          <w:smallCaps w:val="0"/>
          <w:noProof/>
        </w:rPr>
        <w:t>unknown magnitude</w:t>
      </w:r>
      <w:r w:rsidR="00007935" w:rsidRPr="00532C20">
        <w:rPr>
          <w:rFonts w:ascii="Times New Roman" w:hAnsi="Times New Roman" w:cs="Times New Roman"/>
          <w:bCs/>
          <w:smallCaps w:val="0"/>
          <w:noProof/>
        </w:rPr>
        <w:t>, trend and actors</w:t>
      </w:r>
      <w:r w:rsidR="00E14F44" w:rsidRPr="00532C20">
        <w:rPr>
          <w:rFonts w:ascii="Times New Roman" w:hAnsi="Times New Roman" w:cs="Times New Roman"/>
          <w:bCs/>
          <w:smallCaps w:val="0"/>
          <w:noProof/>
        </w:rPr>
        <w:t xml:space="preserve"> of covert interest representation activities carried out on behalf of third countries</w:t>
      </w:r>
      <w:r w:rsidR="00E14F44" w:rsidRPr="00532C20">
        <w:rPr>
          <w:rFonts w:ascii="Times New Roman" w:hAnsi="Times New Roman" w:cs="Times New Roman"/>
          <w:b w:val="0"/>
          <w:smallCaps w:val="0"/>
          <w:noProof/>
        </w:rPr>
        <w:t>,</w:t>
      </w:r>
      <w:r w:rsidR="00730DDC" w:rsidRPr="00532C20">
        <w:rPr>
          <w:rFonts w:ascii="Times New Roman" w:hAnsi="Times New Roman" w:cs="Times New Roman"/>
          <w:b w:val="0"/>
          <w:smallCaps w:val="0"/>
          <w:noProof/>
        </w:rPr>
        <w:t xml:space="preserve"> will not be solved over</w:t>
      </w:r>
      <w:r w:rsidR="00F01478" w:rsidRPr="00532C20">
        <w:rPr>
          <w:rFonts w:ascii="Times New Roman" w:hAnsi="Times New Roman" w:cs="Times New Roman"/>
          <w:b w:val="0"/>
          <w:smallCaps w:val="0"/>
          <w:noProof/>
        </w:rPr>
        <w:t xml:space="preserve"> </w:t>
      </w:r>
      <w:r w:rsidR="00730DDC" w:rsidRPr="00532C20">
        <w:rPr>
          <w:rFonts w:ascii="Times New Roman" w:hAnsi="Times New Roman" w:cs="Times New Roman"/>
          <w:b w:val="0"/>
          <w:smallCaps w:val="0"/>
          <w:noProof/>
        </w:rPr>
        <w:t>time</w:t>
      </w:r>
      <w:r w:rsidR="000358A0" w:rsidRPr="00532C20">
        <w:rPr>
          <w:rFonts w:ascii="Times New Roman" w:hAnsi="Times New Roman" w:cs="Times New Roman"/>
          <w:b w:val="0"/>
          <w:smallCaps w:val="0"/>
          <w:noProof/>
        </w:rPr>
        <w:t xml:space="preserve"> wit</w:t>
      </w:r>
      <w:r w:rsidR="00964BE0" w:rsidRPr="00532C20">
        <w:rPr>
          <w:rFonts w:ascii="Times New Roman" w:hAnsi="Times New Roman" w:cs="Times New Roman"/>
          <w:b w:val="0"/>
          <w:smallCaps w:val="0"/>
          <w:noProof/>
        </w:rPr>
        <w:t>hin</w:t>
      </w:r>
      <w:r w:rsidR="000358A0" w:rsidRPr="00532C20">
        <w:rPr>
          <w:rFonts w:ascii="Times New Roman" w:hAnsi="Times New Roman" w:cs="Times New Roman"/>
          <w:b w:val="0"/>
          <w:smallCaps w:val="0"/>
          <w:noProof/>
        </w:rPr>
        <w:t xml:space="preserve"> the current </w:t>
      </w:r>
      <w:r w:rsidR="00964BE0" w:rsidRPr="00532C20">
        <w:rPr>
          <w:rFonts w:ascii="Times New Roman" w:hAnsi="Times New Roman" w:cs="Times New Roman"/>
          <w:b w:val="0"/>
          <w:smallCaps w:val="0"/>
          <w:noProof/>
        </w:rPr>
        <w:t>baseline scenario</w:t>
      </w:r>
      <w:r w:rsidR="00730DDC" w:rsidRPr="00532C20">
        <w:rPr>
          <w:rFonts w:ascii="Times New Roman" w:hAnsi="Times New Roman" w:cs="Times New Roman"/>
          <w:b w:val="0"/>
          <w:smallCaps w:val="0"/>
          <w:noProof/>
        </w:rPr>
        <w:t xml:space="preserve">. </w:t>
      </w:r>
      <w:r w:rsidR="004915C8" w:rsidRPr="00532C20">
        <w:rPr>
          <w:rFonts w:ascii="Times New Roman" w:hAnsi="Times New Roman" w:cs="Times New Roman"/>
          <w:b w:val="0"/>
          <w:smallCaps w:val="0"/>
          <w:noProof/>
        </w:rPr>
        <w:t>B</w:t>
      </w:r>
      <w:r w:rsidR="00F46E00" w:rsidRPr="00532C20">
        <w:rPr>
          <w:rFonts w:ascii="Times New Roman" w:hAnsi="Times New Roman" w:cs="Times New Roman"/>
          <w:b w:val="0"/>
          <w:smallCaps w:val="0"/>
          <w:noProof/>
        </w:rPr>
        <w:t xml:space="preserve">oth </w:t>
      </w:r>
      <w:r w:rsidR="00C06E29" w:rsidRPr="00532C20">
        <w:rPr>
          <w:rFonts w:ascii="Times New Roman" w:hAnsi="Times New Roman" w:cs="Times New Roman"/>
          <w:b w:val="0"/>
          <w:smallCaps w:val="0"/>
          <w:noProof/>
        </w:rPr>
        <w:t xml:space="preserve">the </w:t>
      </w:r>
      <w:r w:rsidR="00E36761" w:rsidRPr="00532C20">
        <w:rPr>
          <w:rFonts w:ascii="Times New Roman" w:hAnsi="Times New Roman" w:cs="Times New Roman"/>
          <w:b w:val="0"/>
          <w:smallCaps w:val="0"/>
          <w:noProof/>
        </w:rPr>
        <w:t xml:space="preserve">issues of the </w:t>
      </w:r>
      <w:r w:rsidR="00C06E29" w:rsidRPr="00532C20">
        <w:rPr>
          <w:rFonts w:ascii="Times New Roman" w:hAnsi="Times New Roman" w:cs="Times New Roman"/>
          <w:b w:val="0"/>
          <w:smallCaps w:val="0"/>
          <w:noProof/>
        </w:rPr>
        <w:t xml:space="preserve">lack of transparency in the market for interest representation activities carried out on behalf of third countries and the willingness of third countries to </w:t>
      </w:r>
      <w:r w:rsidR="0004650F" w:rsidRPr="00532C20">
        <w:rPr>
          <w:rFonts w:ascii="Times New Roman" w:hAnsi="Times New Roman" w:cs="Times New Roman"/>
          <w:b w:val="0"/>
          <w:smallCaps w:val="0"/>
          <w:noProof/>
        </w:rPr>
        <w:t>covertly influence decision</w:t>
      </w:r>
      <w:r w:rsidR="007F0FA3">
        <w:rPr>
          <w:rFonts w:ascii="Times New Roman" w:hAnsi="Times New Roman" w:cs="Times New Roman"/>
          <w:b w:val="0"/>
          <w:smallCaps w:val="0"/>
          <w:noProof/>
        </w:rPr>
        <w:t>-</w:t>
      </w:r>
      <w:r w:rsidR="0004650F" w:rsidRPr="00532C20">
        <w:rPr>
          <w:rFonts w:ascii="Times New Roman" w:hAnsi="Times New Roman" w:cs="Times New Roman"/>
          <w:b w:val="0"/>
          <w:smallCaps w:val="0"/>
          <w:noProof/>
        </w:rPr>
        <w:t xml:space="preserve">making in the EU are </w:t>
      </w:r>
      <w:r w:rsidR="00147E40" w:rsidRPr="00532C20">
        <w:rPr>
          <w:rFonts w:ascii="Times New Roman" w:hAnsi="Times New Roman" w:cs="Times New Roman"/>
          <w:b w:val="0"/>
          <w:smallCaps w:val="0"/>
          <w:noProof/>
        </w:rPr>
        <w:t>likely</w:t>
      </w:r>
      <w:r w:rsidR="0004650F" w:rsidRPr="00532C20">
        <w:rPr>
          <w:rFonts w:ascii="Times New Roman" w:hAnsi="Times New Roman" w:cs="Times New Roman"/>
          <w:b w:val="0"/>
          <w:smallCaps w:val="0"/>
          <w:noProof/>
        </w:rPr>
        <w:t xml:space="preserve"> to remain or increase</w:t>
      </w:r>
      <w:r w:rsidR="004915C8" w:rsidRPr="00532C20">
        <w:rPr>
          <w:rFonts w:ascii="Times New Roman" w:hAnsi="Times New Roman" w:cs="Times New Roman"/>
          <w:b w:val="0"/>
          <w:smallCaps w:val="0"/>
          <w:noProof/>
        </w:rPr>
        <w:t>.</w:t>
      </w:r>
      <w:r w:rsidR="00F46E00" w:rsidRPr="00532C20">
        <w:rPr>
          <w:rFonts w:ascii="Times New Roman" w:hAnsi="Times New Roman" w:cs="Times New Roman"/>
          <w:b w:val="0"/>
          <w:smallCaps w:val="0"/>
          <w:noProof/>
        </w:rPr>
        <w:t xml:space="preserve"> </w:t>
      </w:r>
      <w:r w:rsidR="008171C2" w:rsidRPr="00532C20">
        <w:rPr>
          <w:rFonts w:ascii="Times New Roman" w:hAnsi="Times New Roman" w:cs="Times New Roman"/>
          <w:b w:val="0"/>
          <w:smallCaps w:val="0"/>
          <w:noProof/>
        </w:rPr>
        <w:t xml:space="preserve">While it is in the interest of many actors in this market to operate transparently </w:t>
      </w:r>
      <w:r w:rsidR="00180DF7" w:rsidRPr="00532C20">
        <w:rPr>
          <w:rFonts w:ascii="Times New Roman" w:hAnsi="Times New Roman" w:cs="Times New Roman"/>
          <w:b w:val="0"/>
          <w:smallCaps w:val="0"/>
          <w:noProof/>
        </w:rPr>
        <w:t>to preserve the reputation of their industry and of their other clients, t</w:t>
      </w:r>
      <w:r w:rsidR="00B947E1" w:rsidRPr="00532C20">
        <w:rPr>
          <w:rStyle w:val="eop"/>
          <w:rFonts w:ascii="Times New Roman" w:hAnsi="Times New Roman" w:cs="Times New Roman"/>
          <w:b w:val="0"/>
          <w:smallCaps w:val="0"/>
          <w:noProof/>
        </w:rPr>
        <w:t xml:space="preserve">he market for interest representation </w:t>
      </w:r>
      <w:r w:rsidR="00620CA4" w:rsidRPr="00532C20">
        <w:rPr>
          <w:rStyle w:val="eop"/>
          <w:rFonts w:ascii="Times New Roman" w:hAnsi="Times New Roman" w:cs="Times New Roman"/>
          <w:b w:val="0"/>
          <w:smallCaps w:val="0"/>
          <w:noProof/>
        </w:rPr>
        <w:t>activities</w:t>
      </w:r>
      <w:r w:rsidR="006A6A1A" w:rsidRPr="00532C20">
        <w:rPr>
          <w:rStyle w:val="eop"/>
          <w:rFonts w:ascii="Times New Roman" w:hAnsi="Times New Roman" w:cs="Times New Roman"/>
          <w:b w:val="0"/>
          <w:smallCaps w:val="0"/>
          <w:noProof/>
        </w:rPr>
        <w:t xml:space="preserve"> </w:t>
      </w:r>
      <w:r w:rsidR="00180DF7" w:rsidRPr="00532C20">
        <w:rPr>
          <w:rStyle w:val="eop"/>
          <w:rFonts w:ascii="Times New Roman" w:hAnsi="Times New Roman" w:cs="Times New Roman"/>
          <w:b w:val="0"/>
          <w:smallCaps w:val="0"/>
          <w:noProof/>
        </w:rPr>
        <w:t>can</w:t>
      </w:r>
      <w:r w:rsidR="00B947E1" w:rsidRPr="00532C20">
        <w:rPr>
          <w:rStyle w:val="eop"/>
          <w:rFonts w:ascii="Times New Roman" w:hAnsi="Times New Roman" w:cs="Times New Roman"/>
          <w:b w:val="0"/>
          <w:smallCaps w:val="0"/>
          <w:noProof/>
        </w:rPr>
        <w:t>not by itself promote more transparency without regulatory interventions</w:t>
      </w:r>
      <w:r w:rsidR="00180DF7" w:rsidRPr="00532C20">
        <w:rPr>
          <w:rStyle w:val="eop"/>
          <w:rFonts w:ascii="Times New Roman" w:hAnsi="Times New Roman" w:cs="Times New Roman"/>
          <w:b w:val="0"/>
          <w:smallCaps w:val="0"/>
          <w:noProof/>
        </w:rPr>
        <w:t>.</w:t>
      </w:r>
      <w:r w:rsidR="00B947E1" w:rsidRPr="00532C20">
        <w:rPr>
          <w:rStyle w:val="eop"/>
          <w:rFonts w:ascii="Times New Roman" w:hAnsi="Times New Roman" w:cs="Times New Roman"/>
          <w:b w:val="0"/>
          <w:smallCaps w:val="0"/>
          <w:noProof/>
        </w:rPr>
        <w:t xml:space="preserve"> </w:t>
      </w:r>
    </w:p>
    <w:p w14:paraId="06C685C1" w14:textId="39B3AA0F" w:rsidR="00B947E1" w:rsidRPr="00532C20" w:rsidRDefault="00A26E1C" w:rsidP="00881D31">
      <w:pPr>
        <w:pStyle w:val="Style111"/>
        <w:spacing w:after="120" w:line="240" w:lineRule="auto"/>
        <w:contextualSpacing w:val="0"/>
        <w:jc w:val="both"/>
        <w:rPr>
          <w:rFonts w:ascii="Times New Roman" w:hAnsi="Times New Roman" w:cs="Times New Roman"/>
          <w:b w:val="0"/>
          <w:smallCaps w:val="0"/>
          <w:noProof/>
        </w:rPr>
      </w:pPr>
      <w:r w:rsidRPr="00532C20">
        <w:rPr>
          <w:rStyle w:val="eop"/>
          <w:rFonts w:ascii="Times New Roman" w:hAnsi="Times New Roman" w:cs="Times New Roman"/>
          <w:b w:val="0"/>
          <w:smallCaps w:val="0"/>
          <w:noProof/>
        </w:rPr>
        <w:t>In addition</w:t>
      </w:r>
      <w:r w:rsidR="00667235" w:rsidRPr="00532C20">
        <w:rPr>
          <w:rStyle w:val="eop"/>
          <w:rFonts w:ascii="Times New Roman" w:hAnsi="Times New Roman" w:cs="Times New Roman"/>
          <w:b w:val="0"/>
          <w:smallCaps w:val="0"/>
          <w:noProof/>
        </w:rPr>
        <w:t xml:space="preserve">, </w:t>
      </w:r>
      <w:r w:rsidR="00900704" w:rsidRPr="00532C20">
        <w:rPr>
          <w:rStyle w:val="eop"/>
          <w:rFonts w:ascii="Times New Roman" w:hAnsi="Times New Roman" w:cs="Times New Roman"/>
          <w:b w:val="0"/>
          <w:smallCaps w:val="0"/>
          <w:noProof/>
        </w:rPr>
        <w:t>a</w:t>
      </w:r>
      <w:r w:rsidR="00DA462A" w:rsidRPr="00532C20">
        <w:rPr>
          <w:rFonts w:ascii="Times New Roman" w:hAnsi="Times New Roman" w:cs="Times New Roman"/>
          <w:b w:val="0"/>
          <w:smallCaps w:val="0"/>
          <w:noProof/>
        </w:rPr>
        <w:t xml:space="preserve">n increase in </w:t>
      </w:r>
      <w:r w:rsidR="00C427D9" w:rsidRPr="00532C20">
        <w:rPr>
          <w:rFonts w:ascii="Times New Roman" w:hAnsi="Times New Roman" w:cs="Times New Roman"/>
          <w:b w:val="0"/>
          <w:smallCaps w:val="0"/>
          <w:noProof/>
        </w:rPr>
        <w:t>reports of</w:t>
      </w:r>
      <w:r w:rsidR="00DA462A" w:rsidRPr="00532C20">
        <w:rPr>
          <w:rFonts w:ascii="Times New Roman" w:hAnsi="Times New Roman" w:cs="Times New Roman"/>
          <w:b w:val="0"/>
          <w:smallCaps w:val="0"/>
          <w:noProof/>
        </w:rPr>
        <w:t xml:space="preserve"> interference operations </w:t>
      </w:r>
      <w:r w:rsidR="00DE49E6" w:rsidRPr="00532C20">
        <w:rPr>
          <w:rFonts w:ascii="Times New Roman" w:hAnsi="Times New Roman" w:cs="Times New Roman"/>
          <w:b w:val="0"/>
          <w:smallCaps w:val="0"/>
          <w:noProof/>
        </w:rPr>
        <w:t xml:space="preserve">carried out via interest representation activities </w:t>
      </w:r>
      <w:r w:rsidR="00DA462A" w:rsidRPr="00532C20">
        <w:rPr>
          <w:rFonts w:ascii="Times New Roman" w:hAnsi="Times New Roman" w:cs="Times New Roman"/>
          <w:b w:val="0"/>
          <w:smallCaps w:val="0"/>
          <w:noProof/>
        </w:rPr>
        <w:t>would lead to more distrust from citizens in decision</w:t>
      </w:r>
      <w:r w:rsidR="007F0FA3">
        <w:rPr>
          <w:rFonts w:ascii="Times New Roman" w:hAnsi="Times New Roman" w:cs="Times New Roman"/>
          <w:b w:val="0"/>
          <w:smallCaps w:val="0"/>
          <w:noProof/>
        </w:rPr>
        <w:t>-</w:t>
      </w:r>
      <w:r w:rsidR="00DA462A" w:rsidRPr="00532C20">
        <w:rPr>
          <w:rFonts w:ascii="Times New Roman" w:hAnsi="Times New Roman" w:cs="Times New Roman"/>
          <w:b w:val="0"/>
          <w:smallCaps w:val="0"/>
          <w:noProof/>
        </w:rPr>
        <w:t>making processes and decision</w:t>
      </w:r>
      <w:r w:rsidR="00980695">
        <w:rPr>
          <w:rFonts w:ascii="Times New Roman" w:hAnsi="Times New Roman" w:cs="Times New Roman"/>
          <w:b w:val="0"/>
          <w:smallCaps w:val="0"/>
          <w:noProof/>
        </w:rPr>
        <w:t>-</w:t>
      </w:r>
      <w:r w:rsidR="00DA462A" w:rsidRPr="00532C20">
        <w:rPr>
          <w:rFonts w:ascii="Times New Roman" w:hAnsi="Times New Roman" w:cs="Times New Roman"/>
          <w:b w:val="0"/>
          <w:smallCaps w:val="0"/>
          <w:noProof/>
        </w:rPr>
        <w:t>makers.</w:t>
      </w:r>
      <w:r w:rsidR="001C6331" w:rsidRPr="00532C20">
        <w:rPr>
          <w:rFonts w:ascii="Times New Roman" w:hAnsi="Times New Roman" w:cs="Times New Roman"/>
          <w:b w:val="0"/>
          <w:smallCaps w:val="0"/>
          <w:noProof/>
        </w:rPr>
        <w:t xml:space="preserve"> </w:t>
      </w:r>
      <w:r w:rsidR="005B7EFA" w:rsidRPr="00532C20">
        <w:rPr>
          <w:rFonts w:ascii="Times New Roman" w:hAnsi="Times New Roman" w:cs="Times New Roman"/>
          <w:b w:val="0"/>
          <w:smallCaps w:val="0"/>
          <w:noProof/>
        </w:rPr>
        <w:t>T</w:t>
      </w:r>
      <w:r w:rsidR="002E38DE" w:rsidRPr="00532C20">
        <w:rPr>
          <w:rFonts w:ascii="Times New Roman" w:hAnsi="Times New Roman" w:cs="Times New Roman"/>
          <w:b w:val="0"/>
          <w:smallCaps w:val="0"/>
          <w:noProof/>
        </w:rPr>
        <w:t xml:space="preserve">he Commission’s 2021 Strategic </w:t>
      </w:r>
      <w:r w:rsidR="003A4CD7" w:rsidRPr="00532C20">
        <w:rPr>
          <w:rFonts w:ascii="Times New Roman" w:hAnsi="Times New Roman" w:cs="Times New Roman"/>
          <w:b w:val="0"/>
          <w:smallCaps w:val="0"/>
          <w:noProof/>
        </w:rPr>
        <w:t>F</w:t>
      </w:r>
      <w:r w:rsidR="002E38DE" w:rsidRPr="00532C20">
        <w:rPr>
          <w:rFonts w:ascii="Times New Roman" w:hAnsi="Times New Roman" w:cs="Times New Roman"/>
          <w:b w:val="0"/>
          <w:smallCaps w:val="0"/>
          <w:noProof/>
        </w:rPr>
        <w:t xml:space="preserve">oresight </w:t>
      </w:r>
      <w:r w:rsidR="00327493" w:rsidRPr="00532C20">
        <w:rPr>
          <w:rFonts w:ascii="Times New Roman" w:hAnsi="Times New Roman" w:cs="Times New Roman"/>
          <w:b w:val="0"/>
          <w:smallCaps w:val="0"/>
          <w:noProof/>
        </w:rPr>
        <w:t>R</w:t>
      </w:r>
      <w:r w:rsidR="002E38DE" w:rsidRPr="00532C20">
        <w:rPr>
          <w:rFonts w:ascii="Times New Roman" w:hAnsi="Times New Roman" w:cs="Times New Roman"/>
          <w:b w:val="0"/>
          <w:smallCaps w:val="0"/>
          <w:noProof/>
        </w:rPr>
        <w:t xml:space="preserve">eport </w:t>
      </w:r>
      <w:r w:rsidR="003A4CD7" w:rsidRPr="00532C20">
        <w:rPr>
          <w:rFonts w:ascii="Times New Roman" w:hAnsi="Times New Roman" w:cs="Times New Roman"/>
          <w:b w:val="0"/>
          <w:smallCaps w:val="0"/>
          <w:noProof/>
        </w:rPr>
        <w:t>indicates</w:t>
      </w:r>
      <w:r w:rsidR="009A51F5" w:rsidRPr="00532C20">
        <w:rPr>
          <w:rFonts w:ascii="Times New Roman" w:hAnsi="Times New Roman" w:cs="Times New Roman"/>
          <w:b w:val="0"/>
          <w:smallCaps w:val="0"/>
          <w:noProof/>
        </w:rPr>
        <w:t xml:space="preserve"> </w:t>
      </w:r>
      <w:r w:rsidR="002E38DE" w:rsidRPr="00532C20">
        <w:rPr>
          <w:rFonts w:ascii="Times New Roman" w:hAnsi="Times New Roman" w:cs="Times New Roman"/>
          <w:b w:val="0"/>
          <w:smallCaps w:val="0"/>
          <w:noProof/>
        </w:rPr>
        <w:t xml:space="preserve">that pressure on democratic models of governance and values </w:t>
      </w:r>
      <w:r w:rsidR="003A4CD7" w:rsidRPr="00532C20">
        <w:rPr>
          <w:rFonts w:ascii="Times New Roman" w:hAnsi="Times New Roman" w:cs="Times New Roman"/>
          <w:b w:val="0"/>
          <w:smallCaps w:val="0"/>
          <w:noProof/>
        </w:rPr>
        <w:t>is</w:t>
      </w:r>
      <w:r w:rsidR="00A03BD9" w:rsidRPr="00532C20">
        <w:rPr>
          <w:rFonts w:ascii="Times New Roman" w:hAnsi="Times New Roman" w:cs="Times New Roman"/>
          <w:b w:val="0"/>
          <w:smallCaps w:val="0"/>
          <w:noProof/>
        </w:rPr>
        <w:t xml:space="preserve"> likely to persist in the coming decades due to rising geopolitical tensions</w:t>
      </w:r>
      <w:r w:rsidR="000563DA" w:rsidRPr="00532C20">
        <w:rPr>
          <w:rFonts w:ascii="Times New Roman" w:hAnsi="Times New Roman" w:cs="Times New Roman"/>
          <w:b w:val="0"/>
          <w:smallCaps w:val="0"/>
          <w:noProof/>
        </w:rPr>
        <w:t>, and that “</w:t>
      </w:r>
      <w:r w:rsidR="000563DA" w:rsidRPr="00532C20">
        <w:rPr>
          <w:rFonts w:ascii="Times New Roman" w:hAnsi="Times New Roman" w:cs="Times New Roman"/>
          <w:b w:val="0"/>
          <w:i/>
          <w:smallCaps w:val="0"/>
          <w:noProof/>
        </w:rPr>
        <w:t xml:space="preserve">the </w:t>
      </w:r>
      <w:r w:rsidR="006D258B" w:rsidRPr="00532C20">
        <w:rPr>
          <w:rFonts w:ascii="Times New Roman" w:hAnsi="Times New Roman" w:cs="Times New Roman"/>
          <w:b w:val="0"/>
          <w:i/>
          <w:smallCaps w:val="0"/>
          <w:noProof/>
        </w:rPr>
        <w:t>long-term</w:t>
      </w:r>
      <w:r w:rsidR="000563DA" w:rsidRPr="00532C20">
        <w:rPr>
          <w:rFonts w:ascii="Times New Roman" w:hAnsi="Times New Roman" w:cs="Times New Roman"/>
          <w:b w:val="0"/>
          <w:i/>
          <w:smallCaps w:val="0"/>
          <w:noProof/>
        </w:rPr>
        <w:t xml:space="preserve"> performance of democratic systems hinges on their capacities to adapt to new realities and to remain resilient to internal and external challenges”</w:t>
      </w:r>
      <w:r w:rsidR="00876467" w:rsidRPr="00532C20">
        <w:rPr>
          <w:rStyle w:val="FootnoteReference"/>
          <w:rFonts w:ascii="Times New Roman" w:hAnsi="Times New Roman" w:cs="Times New Roman"/>
          <w:b w:val="0"/>
          <w:smallCaps w:val="0"/>
          <w:noProof/>
        </w:rPr>
        <w:footnoteReference w:id="101"/>
      </w:r>
      <w:r w:rsidR="00A03BD9" w:rsidRPr="00532C20">
        <w:rPr>
          <w:rFonts w:ascii="Times New Roman" w:hAnsi="Times New Roman" w:cs="Times New Roman"/>
          <w:b w:val="0"/>
          <w:smallCaps w:val="0"/>
          <w:noProof/>
        </w:rPr>
        <w:t xml:space="preserve">. </w:t>
      </w:r>
      <w:r w:rsidR="00B55C1E" w:rsidRPr="00532C20">
        <w:rPr>
          <w:rStyle w:val="eop"/>
          <w:rFonts w:ascii="Times New Roman" w:hAnsi="Times New Roman" w:cs="Times New Roman"/>
          <w:b w:val="0"/>
          <w:smallCaps w:val="0"/>
          <w:noProof/>
        </w:rPr>
        <w:t>As reported by t</w:t>
      </w:r>
      <w:r w:rsidR="00875F99" w:rsidRPr="00532C20" w:rsidDel="00B947E1">
        <w:rPr>
          <w:rFonts w:ascii="Times New Roman" w:hAnsi="Times New Roman" w:cs="Times New Roman"/>
          <w:b w:val="0"/>
          <w:smallCaps w:val="0"/>
          <w:noProof/>
        </w:rPr>
        <w:t>he OECD</w:t>
      </w:r>
      <w:r w:rsidR="00B55C1E" w:rsidRPr="00532C20">
        <w:rPr>
          <w:rFonts w:ascii="Times New Roman" w:hAnsi="Times New Roman" w:cs="Times New Roman"/>
          <w:b w:val="0"/>
          <w:smallCaps w:val="0"/>
          <w:noProof/>
        </w:rPr>
        <w:t xml:space="preserve">, </w:t>
      </w:r>
      <w:r w:rsidR="00875F99" w:rsidRPr="00532C20" w:rsidDel="00B947E1">
        <w:rPr>
          <w:rFonts w:ascii="Times New Roman" w:hAnsi="Times New Roman" w:cs="Times New Roman"/>
          <w:b w:val="0"/>
          <w:smallCaps w:val="0"/>
          <w:noProof/>
        </w:rPr>
        <w:t>foreign governments increasingly rely on lobbyists and other forms of influence to promote their policy objectives</w:t>
      </w:r>
      <w:r w:rsidR="007974DD" w:rsidRPr="00532C20">
        <w:rPr>
          <w:rStyle w:val="FootnoteReference"/>
          <w:rFonts w:ascii="Times New Roman" w:hAnsi="Times New Roman" w:cs="Times New Roman"/>
          <w:b w:val="0"/>
          <w:smallCaps w:val="0"/>
          <w:noProof/>
        </w:rPr>
        <w:footnoteReference w:id="102"/>
      </w:r>
      <w:r w:rsidR="00875F99" w:rsidRPr="00532C20" w:rsidDel="00B947E1">
        <w:rPr>
          <w:rFonts w:ascii="Times New Roman" w:hAnsi="Times New Roman" w:cs="Times New Roman"/>
          <w:b w:val="0"/>
          <w:smallCaps w:val="0"/>
          <w:noProof/>
        </w:rPr>
        <w:t>.</w:t>
      </w:r>
    </w:p>
    <w:p w14:paraId="71998B68" w14:textId="5BED6291" w:rsidR="006B087E" w:rsidRPr="00532C20" w:rsidRDefault="0EA95307" w:rsidP="0049021A">
      <w:pPr>
        <w:pStyle w:val="1levelonetitle"/>
        <w:spacing w:after="120"/>
        <w:rPr>
          <w:noProof/>
        </w:rPr>
      </w:pPr>
      <w:bookmarkStart w:id="362" w:name="_Toc132810111"/>
      <w:bookmarkStart w:id="363" w:name="_Toc134028710"/>
      <w:bookmarkStart w:id="364" w:name="_Toc134620354"/>
      <w:bookmarkStart w:id="365" w:name="_Toc152864669"/>
      <w:r w:rsidRPr="00532C20">
        <w:rPr>
          <w:noProof/>
        </w:rPr>
        <w:t>Why should the EU act?</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2"/>
      <w:bookmarkEnd w:id="363"/>
      <w:bookmarkEnd w:id="364"/>
      <w:bookmarkEnd w:id="365"/>
    </w:p>
    <w:p w14:paraId="0337CFB0" w14:textId="533AA813" w:rsidR="005C09EF" w:rsidRPr="00532C20" w:rsidRDefault="005C09EF" w:rsidP="00D6485D">
      <w:pPr>
        <w:pStyle w:val="11Subsection"/>
        <w:rPr>
          <w:rFonts w:cs="Times New Roman"/>
          <w:noProof/>
        </w:rPr>
      </w:pPr>
      <w:bookmarkStart w:id="366" w:name="_Toc152864670"/>
      <w:bookmarkStart w:id="367" w:name="_Toc132810113"/>
      <w:bookmarkStart w:id="368" w:name="_Toc134028064"/>
      <w:bookmarkStart w:id="369" w:name="_Toc134028712"/>
      <w:bookmarkStart w:id="370" w:name="_Toc134620356"/>
      <w:bookmarkStart w:id="371" w:name="_Toc86145215"/>
      <w:bookmarkStart w:id="372" w:name="_Toc73525713"/>
      <w:bookmarkStart w:id="373" w:name="_Toc73551029"/>
      <w:bookmarkStart w:id="374" w:name="_Toc73562547"/>
      <w:bookmarkStart w:id="375" w:name="_Toc73649146"/>
      <w:bookmarkStart w:id="376" w:name="_Toc74081093"/>
      <w:bookmarkStart w:id="377" w:name="_Toc74168093"/>
      <w:bookmarkStart w:id="378" w:name="_Toc74596033"/>
      <w:bookmarkStart w:id="379" w:name="_Toc75282873"/>
      <w:bookmarkStart w:id="380" w:name="_Toc75291803"/>
      <w:bookmarkStart w:id="381" w:name="_Toc75862421"/>
      <w:bookmarkStart w:id="382" w:name="_Toc75882160"/>
      <w:bookmarkStart w:id="383" w:name="_Toc75882644"/>
      <w:bookmarkStart w:id="384" w:name="_Toc75886603"/>
      <w:bookmarkStart w:id="385" w:name="_Toc75893753"/>
      <w:bookmarkStart w:id="386" w:name="_Toc75895463"/>
      <w:bookmarkStart w:id="387" w:name="_Toc78820681"/>
      <w:bookmarkStart w:id="388" w:name="_Toc78821797"/>
      <w:bookmarkStart w:id="389" w:name="_Toc79679508"/>
      <w:bookmarkStart w:id="390" w:name="_Toc79680372"/>
      <w:bookmarkStart w:id="391" w:name="_Toc79742168"/>
      <w:bookmarkStart w:id="392" w:name="_Toc79745652"/>
      <w:bookmarkStart w:id="393" w:name="_Toc79748359"/>
      <w:bookmarkStart w:id="394" w:name="_Toc79765307"/>
      <w:bookmarkStart w:id="395" w:name="_Toc79765404"/>
      <w:bookmarkStart w:id="396" w:name="_Toc80020694"/>
      <w:bookmarkStart w:id="397" w:name="_Toc80024168"/>
      <w:bookmarkStart w:id="398" w:name="_Toc80025891"/>
      <w:bookmarkStart w:id="399" w:name="_Toc80028641"/>
      <w:bookmarkStart w:id="400" w:name="_Toc80093471"/>
      <w:bookmarkStart w:id="401" w:name="_Toc80110100"/>
      <w:bookmarkStart w:id="402" w:name="_Toc80111485"/>
      <w:bookmarkStart w:id="403" w:name="_Toc80116066"/>
      <w:bookmarkStart w:id="404" w:name="_Toc80637864"/>
      <w:bookmarkStart w:id="405" w:name="_Toc80640255"/>
      <w:bookmarkStart w:id="406" w:name="_Toc80643510"/>
      <w:bookmarkStart w:id="407" w:name="_Toc80643739"/>
      <w:bookmarkStart w:id="408" w:name="_Toc80703167"/>
      <w:bookmarkStart w:id="409" w:name="_Toc80709726"/>
      <w:bookmarkStart w:id="410" w:name="_Toc80710114"/>
      <w:bookmarkStart w:id="411" w:name="_Toc80725947"/>
      <w:bookmarkStart w:id="412" w:name="_Toc80808463"/>
      <w:bookmarkStart w:id="413" w:name="_Toc80865886"/>
      <w:bookmarkStart w:id="414" w:name="_Toc80888221"/>
      <w:bookmarkStart w:id="415" w:name="_Toc80980430"/>
      <w:bookmarkStart w:id="416" w:name="_Toc81222300"/>
      <w:bookmarkStart w:id="417" w:name="_Toc81225186"/>
      <w:bookmarkStart w:id="418" w:name="_Toc81227728"/>
      <w:bookmarkStart w:id="419" w:name="_Toc81228500"/>
      <w:bookmarkStart w:id="420" w:name="_Toc81232682"/>
      <w:bookmarkStart w:id="421" w:name="_Toc81233787"/>
      <w:bookmarkStart w:id="422" w:name="_Toc81242113"/>
      <w:bookmarkStart w:id="423" w:name="_Toc81242302"/>
      <w:bookmarkStart w:id="424" w:name="_Toc81298953"/>
      <w:bookmarkStart w:id="425" w:name="_Toc81306486"/>
      <w:bookmarkStart w:id="426" w:name="_Toc81314461"/>
      <w:bookmarkStart w:id="427" w:name="_Toc81394861"/>
      <w:bookmarkStart w:id="428" w:name="_Toc81401533"/>
      <w:bookmarkStart w:id="429" w:name="_Toc81405156"/>
      <w:bookmarkStart w:id="430" w:name="_Toc81406606"/>
      <w:bookmarkStart w:id="431" w:name="_Toc81406797"/>
      <w:bookmarkStart w:id="432" w:name="_Toc86160832"/>
      <w:bookmarkStart w:id="433" w:name="_Toc86226270"/>
      <w:bookmarkStart w:id="434" w:name="_Toc86231946"/>
      <w:bookmarkStart w:id="435" w:name="_Toc87609602"/>
      <w:r w:rsidRPr="00532C20">
        <w:rPr>
          <w:rFonts w:cs="Times New Roman"/>
          <w:noProof/>
        </w:rPr>
        <w:t>Legal basis</w:t>
      </w:r>
      <w:bookmarkEnd w:id="366"/>
    </w:p>
    <w:bookmarkEnd w:id="367"/>
    <w:bookmarkEnd w:id="368"/>
    <w:bookmarkEnd w:id="369"/>
    <w:bookmarkEnd w:id="370"/>
    <w:p w14:paraId="5726ED72" w14:textId="28DF589E" w:rsidR="00E54068" w:rsidRPr="00532C20" w:rsidRDefault="00E2451B" w:rsidP="00EB6684">
      <w:pPr>
        <w:spacing w:after="12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Article 114 </w:t>
      </w:r>
      <w:r w:rsidR="0054210D" w:rsidRPr="00532C20">
        <w:rPr>
          <w:rFonts w:ascii="Times New Roman" w:eastAsia="Times" w:hAnsi="Times New Roman" w:cs="Times New Roman"/>
          <w:noProof/>
          <w:sz w:val="24"/>
          <w:szCs w:val="24"/>
          <w:lang w:val="en-IE" w:eastAsia="en-IE"/>
        </w:rPr>
        <w:t xml:space="preserve">of the Treaty on </w:t>
      </w:r>
      <w:r w:rsidR="007A2095" w:rsidRPr="00532C20">
        <w:rPr>
          <w:rFonts w:ascii="Times New Roman" w:eastAsia="Times" w:hAnsi="Times New Roman" w:cs="Times New Roman"/>
          <w:noProof/>
          <w:sz w:val="24"/>
          <w:szCs w:val="24"/>
          <w:lang w:val="en-IE" w:eastAsia="en-IE"/>
        </w:rPr>
        <w:t xml:space="preserve">the </w:t>
      </w:r>
      <w:r w:rsidR="00620CA4" w:rsidRPr="00532C20">
        <w:rPr>
          <w:rFonts w:ascii="Times New Roman" w:eastAsia="Times" w:hAnsi="Times New Roman" w:cs="Times New Roman"/>
          <w:noProof/>
          <w:sz w:val="24"/>
          <w:szCs w:val="24"/>
          <w:lang w:val="en-IE" w:eastAsia="en-IE"/>
        </w:rPr>
        <w:t>Functioning</w:t>
      </w:r>
      <w:r w:rsidR="0054210D" w:rsidRPr="00532C20">
        <w:rPr>
          <w:rFonts w:ascii="Times New Roman" w:eastAsia="Times" w:hAnsi="Times New Roman" w:cs="Times New Roman"/>
          <w:noProof/>
          <w:sz w:val="24"/>
          <w:szCs w:val="24"/>
          <w:lang w:val="en-IE" w:eastAsia="en-IE"/>
        </w:rPr>
        <w:t xml:space="preserve"> of the European Union (</w:t>
      </w:r>
      <w:r w:rsidRPr="00532C20">
        <w:rPr>
          <w:rFonts w:ascii="Times New Roman" w:eastAsia="Times" w:hAnsi="Times New Roman" w:cs="Times New Roman"/>
          <w:noProof/>
          <w:sz w:val="24"/>
          <w:szCs w:val="24"/>
          <w:lang w:val="en-IE" w:eastAsia="en-IE"/>
        </w:rPr>
        <w:t>TFEU</w:t>
      </w:r>
      <w:r w:rsidR="0054210D" w:rsidRPr="00532C20">
        <w:rPr>
          <w:rFonts w:ascii="Times New Roman" w:eastAsia="Times" w:hAnsi="Times New Roman" w:cs="Times New Roman"/>
          <w:noProof/>
          <w:sz w:val="24"/>
          <w:szCs w:val="24"/>
          <w:lang w:val="en-IE" w:eastAsia="en-IE"/>
        </w:rPr>
        <w:t>)</w:t>
      </w:r>
      <w:r w:rsidRPr="00532C20">
        <w:rPr>
          <w:rFonts w:ascii="Times New Roman" w:eastAsia="Times" w:hAnsi="Times New Roman" w:cs="Times New Roman"/>
          <w:noProof/>
          <w:sz w:val="24"/>
          <w:szCs w:val="24"/>
          <w:lang w:val="en-IE" w:eastAsia="en-IE"/>
        </w:rPr>
        <w:t xml:space="preserve"> </w:t>
      </w:r>
      <w:r w:rsidR="00437E2E" w:rsidRPr="00532C20">
        <w:rPr>
          <w:rFonts w:ascii="Times New Roman" w:eastAsia="Times" w:hAnsi="Times New Roman" w:cs="Times New Roman"/>
          <w:noProof/>
          <w:sz w:val="24"/>
          <w:szCs w:val="24"/>
          <w:lang w:val="en-IE" w:eastAsia="en-IE"/>
        </w:rPr>
        <w:t xml:space="preserve">allows </w:t>
      </w:r>
      <w:r w:rsidRPr="00532C20">
        <w:rPr>
          <w:rFonts w:ascii="Times New Roman" w:eastAsia="Times" w:hAnsi="Times New Roman" w:cs="Times New Roman"/>
          <w:noProof/>
          <w:sz w:val="24"/>
          <w:szCs w:val="24"/>
          <w:lang w:val="en-IE" w:eastAsia="en-IE"/>
        </w:rPr>
        <w:t xml:space="preserve">for the adoption of measures which have as their object the establishment or functioning of the internal market and which are considered necessary for the approximation of the provisions laid down by law, regulation or administrative action in the Member States. </w:t>
      </w:r>
      <w:r w:rsidR="00E54068" w:rsidRPr="00532C20">
        <w:rPr>
          <w:rFonts w:ascii="Times New Roman" w:eastAsia="Times" w:hAnsi="Times New Roman" w:cs="Times New Roman"/>
          <w:noProof/>
          <w:sz w:val="24"/>
          <w:szCs w:val="24"/>
          <w:lang w:val="en-IE" w:eastAsia="en-IE"/>
        </w:rPr>
        <w:t xml:space="preserve">In accordance with Article 288 TFEU, </w:t>
      </w:r>
      <w:r w:rsidR="009904D7" w:rsidRPr="00532C20">
        <w:rPr>
          <w:rFonts w:ascii="Times New Roman" w:eastAsia="Times" w:hAnsi="Times New Roman" w:cs="Times New Roman"/>
          <w:noProof/>
          <w:sz w:val="24"/>
          <w:szCs w:val="24"/>
          <w:lang w:val="en-IE" w:eastAsia="en-IE"/>
        </w:rPr>
        <w:t>these measures may take the form of regulations, directives, decisions, recommendations</w:t>
      </w:r>
      <w:r w:rsidR="00697BF6" w:rsidRPr="00532C20">
        <w:rPr>
          <w:rFonts w:ascii="Times New Roman" w:eastAsia="Times" w:hAnsi="Times New Roman" w:cs="Times New Roman"/>
          <w:noProof/>
          <w:sz w:val="24"/>
          <w:szCs w:val="24"/>
          <w:lang w:val="en-IE" w:eastAsia="en-IE"/>
        </w:rPr>
        <w:t>,</w:t>
      </w:r>
      <w:r w:rsidR="009904D7" w:rsidRPr="00532C20">
        <w:rPr>
          <w:rFonts w:ascii="Times New Roman" w:eastAsia="Times" w:hAnsi="Times New Roman" w:cs="Times New Roman"/>
          <w:noProof/>
          <w:sz w:val="24"/>
          <w:szCs w:val="24"/>
          <w:lang w:val="en-IE" w:eastAsia="en-IE"/>
        </w:rPr>
        <w:t xml:space="preserve"> and opinions.</w:t>
      </w:r>
    </w:p>
    <w:p w14:paraId="0ADBE4C3" w14:textId="6E3009FC" w:rsidR="0097161A" w:rsidRPr="00532C20" w:rsidRDefault="2521AC04" w:rsidP="00EB6684">
      <w:pPr>
        <w:spacing w:after="12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The Court </w:t>
      </w:r>
      <w:r w:rsidR="00C60CA8" w:rsidRPr="00532C20">
        <w:rPr>
          <w:rFonts w:ascii="Times New Roman" w:eastAsia="Times" w:hAnsi="Times New Roman" w:cs="Times New Roman"/>
          <w:noProof/>
          <w:sz w:val="24"/>
          <w:szCs w:val="24"/>
          <w:lang w:val="en-IE" w:eastAsia="en-IE"/>
        </w:rPr>
        <w:t xml:space="preserve">of Justice </w:t>
      </w:r>
      <w:r w:rsidRPr="00532C20">
        <w:rPr>
          <w:rFonts w:ascii="Times New Roman" w:eastAsia="Times" w:hAnsi="Times New Roman" w:cs="Times New Roman"/>
          <w:noProof/>
          <w:sz w:val="24"/>
          <w:szCs w:val="24"/>
          <w:lang w:val="en-IE" w:eastAsia="en-IE"/>
        </w:rPr>
        <w:t>has confirmed that recourse to Article 114 TFEU as a legal basis is possible if the aim is to prevent the emergence of future obstacles to trade as a result of divergences in national laws</w:t>
      </w:r>
      <w:r w:rsidR="3DEE9BDE" w:rsidRPr="00532C20">
        <w:rPr>
          <w:rFonts w:ascii="Times New Roman" w:eastAsia="Times" w:hAnsi="Times New Roman" w:cs="Times New Roman"/>
          <w:noProof/>
          <w:sz w:val="24"/>
          <w:szCs w:val="24"/>
          <w:lang w:val="en-IE" w:eastAsia="en-IE"/>
        </w:rPr>
        <w:t xml:space="preserve">, where </w:t>
      </w:r>
      <w:r w:rsidRPr="00532C20">
        <w:rPr>
          <w:rFonts w:ascii="Times New Roman" w:eastAsia="Times" w:hAnsi="Times New Roman" w:cs="Times New Roman"/>
          <w:noProof/>
          <w:sz w:val="24"/>
          <w:szCs w:val="24"/>
          <w:lang w:val="en-IE" w:eastAsia="en-IE"/>
        </w:rPr>
        <w:t xml:space="preserve">the emergence of such obstacles </w:t>
      </w:r>
      <w:r w:rsidR="3DEE9BDE" w:rsidRPr="00532C20">
        <w:rPr>
          <w:rFonts w:ascii="Times New Roman" w:eastAsia="Times" w:hAnsi="Times New Roman" w:cs="Times New Roman"/>
          <w:noProof/>
          <w:sz w:val="24"/>
          <w:szCs w:val="24"/>
          <w:lang w:val="en-IE" w:eastAsia="en-IE"/>
        </w:rPr>
        <w:t xml:space="preserve">is </w:t>
      </w:r>
      <w:r w:rsidRPr="00532C20">
        <w:rPr>
          <w:rFonts w:ascii="Times New Roman" w:eastAsia="Times" w:hAnsi="Times New Roman" w:cs="Times New Roman"/>
          <w:noProof/>
          <w:sz w:val="24"/>
          <w:szCs w:val="24"/>
          <w:lang w:val="en-IE" w:eastAsia="en-IE"/>
        </w:rPr>
        <w:t xml:space="preserve">likely and the measure in question </w:t>
      </w:r>
      <w:r w:rsidR="3DEE9BDE" w:rsidRPr="00532C20">
        <w:rPr>
          <w:rFonts w:ascii="Times New Roman" w:eastAsia="Times" w:hAnsi="Times New Roman" w:cs="Times New Roman"/>
          <w:noProof/>
          <w:sz w:val="24"/>
          <w:szCs w:val="24"/>
          <w:lang w:val="en-IE" w:eastAsia="en-IE"/>
        </w:rPr>
        <w:t>is</w:t>
      </w:r>
      <w:r w:rsidRPr="00532C20">
        <w:rPr>
          <w:rFonts w:ascii="Times New Roman" w:eastAsia="Times" w:hAnsi="Times New Roman" w:cs="Times New Roman"/>
          <w:noProof/>
          <w:sz w:val="24"/>
          <w:szCs w:val="24"/>
          <w:lang w:val="en-IE" w:eastAsia="en-IE"/>
        </w:rPr>
        <w:t xml:space="preserve"> designed to prevent them</w:t>
      </w:r>
      <w:r w:rsidR="00E8572C" w:rsidRPr="00532C20">
        <w:rPr>
          <w:rStyle w:val="FootnoteReference"/>
          <w:rFonts w:ascii="Times New Roman" w:eastAsia="Times" w:hAnsi="Times New Roman" w:cs="Times New Roman"/>
          <w:noProof/>
          <w:sz w:val="24"/>
          <w:szCs w:val="24"/>
          <w:lang w:val="en-IE" w:eastAsia="en-IE"/>
        </w:rPr>
        <w:footnoteReference w:id="103"/>
      </w:r>
      <w:r w:rsidR="3DEE9BDE" w:rsidRPr="00532C20">
        <w:rPr>
          <w:rFonts w:ascii="Times New Roman" w:eastAsia="Times" w:hAnsi="Times New Roman" w:cs="Times New Roman"/>
          <w:noProof/>
          <w:sz w:val="24"/>
          <w:szCs w:val="24"/>
          <w:lang w:val="en-IE" w:eastAsia="en-IE"/>
        </w:rPr>
        <w:t>.</w:t>
      </w:r>
    </w:p>
    <w:p w14:paraId="1DF808A5" w14:textId="7ED32CD9" w:rsidR="004006CE" w:rsidRPr="00532C20" w:rsidRDefault="1F4D6149" w:rsidP="00EB6684">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Article 114 TFEU does not presuppose the existence of a link with the free movement of services in every situation covered by the measures founded on that basis</w:t>
      </w:r>
      <w:bookmarkStart w:id="436" w:name="_Ref147910226"/>
      <w:r w:rsidR="004006CE" w:rsidRPr="00532C20">
        <w:rPr>
          <w:rStyle w:val="FootnoteReference"/>
          <w:rFonts w:ascii="Times New Roman" w:hAnsi="Times New Roman" w:cs="Times New Roman"/>
          <w:noProof/>
          <w:sz w:val="24"/>
          <w:szCs w:val="24"/>
          <w:lang w:val="en-IE"/>
        </w:rPr>
        <w:footnoteReference w:id="104"/>
      </w:r>
      <w:bookmarkEnd w:id="436"/>
      <w:r w:rsidRPr="00532C20">
        <w:rPr>
          <w:rFonts w:ascii="Times New Roman" w:hAnsi="Times New Roman" w:cs="Times New Roman"/>
          <w:noProof/>
          <w:sz w:val="24"/>
          <w:szCs w:val="24"/>
          <w:lang w:val="en-IE"/>
        </w:rPr>
        <w:t>. It permits additional objectives to be pursued</w:t>
      </w:r>
      <w:r w:rsidR="004006CE" w:rsidRPr="00532C20">
        <w:rPr>
          <w:rStyle w:val="FootnoteReference"/>
          <w:rFonts w:ascii="Times New Roman" w:hAnsi="Times New Roman" w:cs="Times New Roman"/>
          <w:noProof/>
          <w:sz w:val="24"/>
          <w:szCs w:val="24"/>
          <w:lang w:val="en-IE"/>
        </w:rPr>
        <w:footnoteReference w:id="105"/>
      </w:r>
      <w:r w:rsidRPr="00532C20">
        <w:rPr>
          <w:rFonts w:ascii="Times New Roman" w:hAnsi="Times New Roman" w:cs="Times New Roman"/>
          <w:noProof/>
          <w:sz w:val="24"/>
          <w:szCs w:val="24"/>
          <w:lang w:val="en-IE"/>
        </w:rPr>
        <w:t xml:space="preserve">. </w:t>
      </w:r>
      <w:r w:rsidR="007A5295" w:rsidRPr="00532C20">
        <w:rPr>
          <w:rFonts w:ascii="Times New Roman" w:hAnsi="Times New Roman" w:cs="Times New Roman"/>
          <w:noProof/>
          <w:sz w:val="24"/>
          <w:szCs w:val="24"/>
          <w:lang w:val="en-IE"/>
        </w:rPr>
        <w:t>M</w:t>
      </w:r>
      <w:r w:rsidRPr="00532C20">
        <w:rPr>
          <w:rFonts w:ascii="Times New Roman" w:hAnsi="Times New Roman" w:cs="Times New Roman"/>
          <w:noProof/>
          <w:sz w:val="24"/>
          <w:szCs w:val="24"/>
          <w:lang w:val="en-IE"/>
        </w:rPr>
        <w:t xml:space="preserve">easures based on Article 114 TFEU </w:t>
      </w:r>
      <w:r w:rsidR="00B13E25" w:rsidRPr="00532C20">
        <w:rPr>
          <w:rFonts w:ascii="Times New Roman" w:hAnsi="Times New Roman" w:cs="Times New Roman"/>
          <w:noProof/>
          <w:sz w:val="24"/>
          <w:szCs w:val="24"/>
          <w:lang w:val="en-IE"/>
        </w:rPr>
        <w:t>may</w:t>
      </w:r>
      <w:r w:rsidRPr="00532C20">
        <w:rPr>
          <w:rFonts w:ascii="Times New Roman" w:hAnsi="Times New Roman" w:cs="Times New Roman"/>
          <w:noProof/>
          <w:sz w:val="24"/>
          <w:szCs w:val="24"/>
          <w:lang w:val="en-IE"/>
        </w:rPr>
        <w:t xml:space="preserve"> touch upon many different areas, because the economic and the non-economic aspects </w:t>
      </w:r>
      <w:r w:rsidR="00CB1EA2" w:rsidRPr="00532C20">
        <w:rPr>
          <w:rFonts w:ascii="Times New Roman" w:hAnsi="Times New Roman" w:cs="Times New Roman"/>
          <w:noProof/>
          <w:sz w:val="24"/>
          <w:szCs w:val="24"/>
          <w:lang w:val="en-IE"/>
        </w:rPr>
        <w:t xml:space="preserve">of national </w:t>
      </w:r>
      <w:r w:rsidR="000C3D53" w:rsidRPr="00532C20">
        <w:rPr>
          <w:rFonts w:ascii="Times New Roman" w:hAnsi="Times New Roman" w:cs="Times New Roman"/>
          <w:noProof/>
          <w:sz w:val="24"/>
          <w:szCs w:val="24"/>
          <w:lang w:val="en-IE"/>
        </w:rPr>
        <w:t>provisions</w:t>
      </w:r>
      <w:r w:rsidR="00CB1EA2" w:rsidRPr="00532C20">
        <w:rPr>
          <w:rFonts w:ascii="Times New Roman" w:hAnsi="Times New Roman" w:cs="Times New Roman"/>
          <w:noProof/>
          <w:sz w:val="24"/>
          <w:szCs w:val="24"/>
          <w:lang w:val="en-IE"/>
        </w:rPr>
        <w:t xml:space="preserve"> pursu</w:t>
      </w:r>
      <w:r w:rsidR="00140EB3" w:rsidRPr="00532C20">
        <w:rPr>
          <w:rFonts w:ascii="Times New Roman" w:hAnsi="Times New Roman" w:cs="Times New Roman"/>
          <w:noProof/>
          <w:sz w:val="24"/>
          <w:szCs w:val="24"/>
          <w:lang w:val="en-IE"/>
        </w:rPr>
        <w:t>ing</w:t>
      </w:r>
      <w:r w:rsidR="00CB1EA2" w:rsidRPr="00532C20">
        <w:rPr>
          <w:rFonts w:ascii="Times New Roman" w:hAnsi="Times New Roman" w:cs="Times New Roman"/>
          <w:noProof/>
          <w:sz w:val="24"/>
          <w:szCs w:val="24"/>
          <w:lang w:val="en-IE"/>
        </w:rPr>
        <w:t xml:space="preserve"> an objective in </w:t>
      </w:r>
      <w:r w:rsidR="000C3D53" w:rsidRPr="00532C20">
        <w:rPr>
          <w:rFonts w:ascii="Times New Roman" w:hAnsi="Times New Roman" w:cs="Times New Roman"/>
          <w:noProof/>
          <w:sz w:val="24"/>
          <w:szCs w:val="24"/>
          <w:lang w:val="en-IE"/>
        </w:rPr>
        <w:t xml:space="preserve">the </w:t>
      </w:r>
      <w:r w:rsidR="00CB1EA2" w:rsidRPr="00532C20">
        <w:rPr>
          <w:rFonts w:ascii="Times New Roman" w:hAnsi="Times New Roman" w:cs="Times New Roman"/>
          <w:noProof/>
          <w:sz w:val="24"/>
          <w:szCs w:val="24"/>
          <w:lang w:val="en-IE"/>
        </w:rPr>
        <w:t xml:space="preserve">public interest </w:t>
      </w:r>
      <w:r w:rsidRPr="00532C20">
        <w:rPr>
          <w:rFonts w:ascii="Times New Roman" w:hAnsi="Times New Roman" w:cs="Times New Roman"/>
          <w:noProof/>
          <w:sz w:val="24"/>
          <w:szCs w:val="24"/>
          <w:lang w:val="en-IE"/>
        </w:rPr>
        <w:t>are many times closely intertwined. As confirmed by the Court, the EU legislature cannot be prevented from relying on that legal basis on the ground that the protection of other policy objectives is a decisive factor in the choices to be made</w:t>
      </w:r>
      <w:bookmarkStart w:id="437" w:name="_Ref147754021"/>
      <w:r w:rsidR="004006CE" w:rsidRPr="00532C20">
        <w:rPr>
          <w:rStyle w:val="FootnoteReference"/>
          <w:rFonts w:ascii="Times New Roman" w:hAnsi="Times New Roman" w:cs="Times New Roman"/>
          <w:noProof/>
          <w:sz w:val="24"/>
          <w:szCs w:val="24"/>
          <w:lang w:val="en-IE"/>
        </w:rPr>
        <w:footnoteReference w:id="106"/>
      </w:r>
      <w:bookmarkEnd w:id="437"/>
      <w:r w:rsidRPr="00532C20">
        <w:rPr>
          <w:rFonts w:ascii="Times New Roman" w:hAnsi="Times New Roman" w:cs="Times New Roman"/>
          <w:noProof/>
          <w:sz w:val="24"/>
          <w:szCs w:val="24"/>
          <w:lang w:val="en-IE"/>
        </w:rPr>
        <w:t xml:space="preserve">. What is relevant is that the measures adopted on that basis be actually intended to improve the conditions for </w:t>
      </w:r>
      <w:r w:rsidR="006C0E40" w:rsidRPr="00532C20">
        <w:rPr>
          <w:rFonts w:ascii="Times New Roman" w:hAnsi="Times New Roman" w:cs="Times New Roman"/>
          <w:noProof/>
          <w:sz w:val="24"/>
          <w:szCs w:val="24"/>
          <w:lang w:val="en-IE"/>
        </w:rPr>
        <w:t xml:space="preserve">the </w:t>
      </w:r>
      <w:r w:rsidRPr="00532C20">
        <w:rPr>
          <w:rFonts w:ascii="Times New Roman" w:hAnsi="Times New Roman" w:cs="Times New Roman"/>
          <w:noProof/>
          <w:sz w:val="24"/>
          <w:szCs w:val="24"/>
          <w:lang w:val="en-IE"/>
        </w:rPr>
        <w:t>establishment and functioning of the internal market</w:t>
      </w:r>
      <w:r w:rsidR="004006CE" w:rsidRPr="00532C20">
        <w:rPr>
          <w:rStyle w:val="FootnoteReference"/>
          <w:rFonts w:ascii="Times New Roman" w:hAnsi="Times New Roman" w:cs="Times New Roman"/>
          <w:noProof/>
          <w:sz w:val="24"/>
          <w:szCs w:val="24"/>
          <w:lang w:val="en-IE"/>
        </w:rPr>
        <w:footnoteReference w:id="107"/>
      </w:r>
      <w:r w:rsidRPr="00532C20">
        <w:rPr>
          <w:rFonts w:ascii="Times New Roman" w:hAnsi="Times New Roman" w:cs="Times New Roman"/>
          <w:noProof/>
          <w:sz w:val="24"/>
          <w:szCs w:val="24"/>
          <w:lang w:val="en-IE"/>
        </w:rPr>
        <w:t>.</w:t>
      </w:r>
      <w:r w:rsidR="0056352E" w:rsidRPr="00532C20">
        <w:rPr>
          <w:rFonts w:ascii="Times New Roman" w:hAnsi="Times New Roman" w:cs="Times New Roman"/>
          <w:noProof/>
          <w:sz w:val="24"/>
          <w:szCs w:val="24"/>
          <w:lang w:val="en-IE"/>
        </w:rPr>
        <w:t>T</w:t>
      </w:r>
      <w:r w:rsidRPr="00532C20">
        <w:rPr>
          <w:rFonts w:ascii="Times New Roman" w:hAnsi="Times New Roman" w:cs="Times New Roman"/>
          <w:noProof/>
          <w:sz w:val="24"/>
          <w:szCs w:val="24"/>
          <w:lang w:val="en-IE"/>
        </w:rPr>
        <w:t xml:space="preserve">he Court focuses on the fulfilment of the conditions for the use of Article 114 TFEU, i.e., that the measure in question effectively pursues the internal market objective. </w:t>
      </w:r>
    </w:p>
    <w:p w14:paraId="716E76B7" w14:textId="0D46FFFC" w:rsidR="00584DDB" w:rsidRPr="00532C20" w:rsidRDefault="086BBF6F" w:rsidP="00EB6684">
      <w:pPr>
        <w:spacing w:after="12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Currently</w:t>
      </w:r>
      <w:r w:rsidR="00AD0E19" w:rsidRPr="00532C20">
        <w:rPr>
          <w:rFonts w:ascii="Times New Roman" w:eastAsia="Times" w:hAnsi="Times New Roman" w:cs="Times New Roman"/>
          <w:noProof/>
          <w:sz w:val="24"/>
          <w:szCs w:val="24"/>
          <w:lang w:val="en-IE" w:eastAsia="en-IE"/>
        </w:rPr>
        <w:t>,</w:t>
      </w:r>
      <w:r w:rsidRPr="00532C20">
        <w:rPr>
          <w:rFonts w:ascii="Times New Roman" w:eastAsia="Times" w:hAnsi="Times New Roman" w:cs="Times New Roman"/>
          <w:noProof/>
          <w:sz w:val="24"/>
          <w:szCs w:val="24"/>
          <w:lang w:val="en-IE" w:eastAsia="en-IE"/>
        </w:rPr>
        <w:t xml:space="preserve"> </w:t>
      </w:r>
      <w:r w:rsidR="3D43CC16" w:rsidRPr="00532C20">
        <w:rPr>
          <w:rFonts w:ascii="Times New Roman" w:eastAsia="Times" w:hAnsi="Times New Roman" w:cs="Times New Roman"/>
          <w:noProof/>
          <w:sz w:val="24"/>
          <w:szCs w:val="24"/>
          <w:lang w:val="en-IE" w:eastAsia="en-IE"/>
        </w:rPr>
        <w:t xml:space="preserve">Member States have divergent approaches to defining and regulating interest representation </w:t>
      </w:r>
      <w:r w:rsidR="7DFEC21F" w:rsidRPr="00532C20">
        <w:rPr>
          <w:rFonts w:ascii="Times New Roman" w:eastAsia="Times" w:hAnsi="Times New Roman" w:cs="Times New Roman"/>
          <w:noProof/>
          <w:sz w:val="24"/>
          <w:szCs w:val="24"/>
          <w:lang w:val="en-IE" w:eastAsia="en-IE"/>
        </w:rPr>
        <w:t xml:space="preserve">activities </w:t>
      </w:r>
      <w:r w:rsidR="00E06FD5" w:rsidRPr="00532C20">
        <w:rPr>
          <w:rFonts w:ascii="Times New Roman" w:eastAsia="Times" w:hAnsi="Times New Roman" w:cs="Times New Roman"/>
          <w:noProof/>
          <w:sz w:val="24"/>
          <w:szCs w:val="24"/>
          <w:lang w:val="en-IE" w:eastAsia="en-IE"/>
        </w:rPr>
        <w:t xml:space="preserve">carried out on behalf of third countries </w:t>
      </w:r>
      <w:r w:rsidR="7DFEC21F" w:rsidRPr="00532C20">
        <w:rPr>
          <w:rFonts w:ascii="Times New Roman" w:eastAsia="Times" w:hAnsi="Times New Roman" w:cs="Times New Roman"/>
          <w:noProof/>
          <w:sz w:val="24"/>
          <w:szCs w:val="24"/>
          <w:lang w:val="en-IE" w:eastAsia="en-IE"/>
        </w:rPr>
        <w:t>in the internal market</w:t>
      </w:r>
      <w:r w:rsidR="3D43CC16" w:rsidRPr="00532C20">
        <w:rPr>
          <w:rFonts w:ascii="Times New Roman" w:eastAsia="Times" w:hAnsi="Times New Roman" w:cs="Times New Roman"/>
          <w:noProof/>
          <w:sz w:val="24"/>
          <w:szCs w:val="24"/>
          <w:lang w:val="en-IE" w:eastAsia="en-IE"/>
        </w:rPr>
        <w:t xml:space="preserve">. These differences </w:t>
      </w:r>
      <w:r w:rsidR="008452FD" w:rsidRPr="00532C20">
        <w:rPr>
          <w:rFonts w:ascii="Times New Roman" w:eastAsia="Times" w:hAnsi="Times New Roman" w:cs="Times New Roman"/>
          <w:noProof/>
          <w:sz w:val="24"/>
          <w:szCs w:val="24"/>
          <w:lang w:val="en-IE" w:eastAsia="en-IE"/>
        </w:rPr>
        <w:t>restrict</w:t>
      </w:r>
      <w:r w:rsidR="3D43CC16" w:rsidRPr="00532C20">
        <w:rPr>
          <w:rFonts w:ascii="Times New Roman" w:eastAsia="Times" w:hAnsi="Times New Roman" w:cs="Times New Roman"/>
          <w:noProof/>
          <w:sz w:val="24"/>
          <w:szCs w:val="24"/>
          <w:lang w:val="en-IE" w:eastAsia="en-IE"/>
        </w:rPr>
        <w:t xml:space="preserve"> the freedom</w:t>
      </w:r>
      <w:r w:rsidR="6FDE15B0" w:rsidRPr="00532C20">
        <w:rPr>
          <w:rFonts w:ascii="Times New Roman" w:eastAsia="Times" w:hAnsi="Times New Roman" w:cs="Times New Roman"/>
          <w:noProof/>
          <w:sz w:val="24"/>
          <w:szCs w:val="24"/>
          <w:lang w:val="en-IE" w:eastAsia="en-IE"/>
        </w:rPr>
        <w:t xml:space="preserve"> to provide </w:t>
      </w:r>
      <w:r w:rsidR="3D43CC16" w:rsidRPr="00532C20">
        <w:rPr>
          <w:rFonts w:ascii="Times New Roman" w:eastAsia="Times" w:hAnsi="Times New Roman" w:cs="Times New Roman"/>
          <w:noProof/>
          <w:sz w:val="24"/>
          <w:szCs w:val="24"/>
          <w:lang w:val="en-IE" w:eastAsia="en-IE"/>
        </w:rPr>
        <w:t>services</w:t>
      </w:r>
      <w:r w:rsidR="0096276C" w:rsidRPr="00532C20">
        <w:rPr>
          <w:rStyle w:val="FootnoteReference"/>
          <w:rFonts w:ascii="Times New Roman" w:eastAsia="Times" w:hAnsi="Times New Roman" w:cs="Times New Roman"/>
          <w:noProof/>
          <w:sz w:val="24"/>
          <w:szCs w:val="24"/>
          <w:lang w:val="en-IE" w:eastAsia="en-IE"/>
        </w:rPr>
        <w:footnoteReference w:id="108"/>
      </w:r>
      <w:r w:rsidR="3D43CC16" w:rsidRPr="00532C20">
        <w:rPr>
          <w:rFonts w:ascii="Times New Roman" w:eastAsia="Times" w:hAnsi="Times New Roman" w:cs="Times New Roman"/>
          <w:noProof/>
          <w:sz w:val="24"/>
          <w:szCs w:val="24"/>
          <w:lang w:val="en-IE" w:eastAsia="en-IE"/>
        </w:rPr>
        <w:t xml:space="preserve"> and </w:t>
      </w:r>
      <w:r w:rsidR="009934CB" w:rsidRPr="00532C20">
        <w:rPr>
          <w:rFonts w:ascii="Times New Roman" w:eastAsia="Times" w:hAnsi="Times New Roman" w:cs="Times New Roman"/>
          <w:noProof/>
          <w:sz w:val="24"/>
          <w:szCs w:val="24"/>
          <w:lang w:val="en-IE" w:eastAsia="en-IE"/>
        </w:rPr>
        <w:t>therefore</w:t>
      </w:r>
      <w:r w:rsidR="3D43CC16" w:rsidRPr="00532C20">
        <w:rPr>
          <w:rFonts w:ascii="Times New Roman" w:eastAsia="Times" w:hAnsi="Times New Roman" w:cs="Times New Roman"/>
          <w:noProof/>
          <w:sz w:val="24"/>
          <w:szCs w:val="24"/>
          <w:lang w:val="en-IE" w:eastAsia="en-IE"/>
        </w:rPr>
        <w:t xml:space="preserve"> have a direct effect on the functioning of the internal market</w:t>
      </w:r>
      <w:r w:rsidR="003A1E3A" w:rsidRPr="00532C20">
        <w:rPr>
          <w:rStyle w:val="FootnoteReference"/>
          <w:rFonts w:ascii="Times New Roman" w:eastAsia="Times" w:hAnsi="Times New Roman" w:cs="Times New Roman"/>
          <w:noProof/>
          <w:sz w:val="24"/>
          <w:szCs w:val="24"/>
          <w:lang w:val="en-IE" w:eastAsia="en-IE"/>
        </w:rPr>
        <w:footnoteReference w:id="109"/>
      </w:r>
      <w:r w:rsidR="001E6CF2" w:rsidRPr="00532C20">
        <w:rPr>
          <w:rFonts w:ascii="Times New Roman" w:eastAsia="Times" w:hAnsi="Times New Roman" w:cs="Times New Roman"/>
          <w:noProof/>
          <w:sz w:val="24"/>
          <w:szCs w:val="24"/>
          <w:lang w:val="en-IE" w:eastAsia="en-IE"/>
        </w:rPr>
        <w:t>.</w:t>
      </w:r>
      <w:r w:rsidR="3D43CC16" w:rsidRPr="00532C20">
        <w:rPr>
          <w:rFonts w:ascii="Times New Roman" w:eastAsia="Times" w:hAnsi="Times New Roman" w:cs="Times New Roman"/>
          <w:noProof/>
          <w:sz w:val="24"/>
          <w:szCs w:val="24"/>
          <w:lang w:val="en-IE" w:eastAsia="en-IE"/>
        </w:rPr>
        <w:t> </w:t>
      </w:r>
      <w:r w:rsidR="00584DDB" w:rsidRPr="00532C20">
        <w:rPr>
          <w:rFonts w:ascii="Times New Roman" w:eastAsia="Times" w:hAnsi="Times New Roman" w:cs="Times New Roman"/>
          <w:noProof/>
          <w:sz w:val="24"/>
          <w:szCs w:val="24"/>
          <w:lang w:val="en-IE" w:eastAsia="en-IE"/>
        </w:rPr>
        <w:t xml:space="preserve">In the absence of EU action, some Member States </w:t>
      </w:r>
      <w:r w:rsidR="00820A7D" w:rsidRPr="00532C20">
        <w:rPr>
          <w:rFonts w:ascii="Times New Roman" w:eastAsia="Times" w:hAnsi="Times New Roman" w:cs="Times New Roman"/>
          <w:noProof/>
          <w:sz w:val="24"/>
          <w:szCs w:val="24"/>
          <w:lang w:val="en-IE" w:eastAsia="en-IE"/>
        </w:rPr>
        <w:t>are likely</w:t>
      </w:r>
      <w:r w:rsidR="00584DDB" w:rsidRPr="00532C20">
        <w:rPr>
          <w:rFonts w:ascii="Times New Roman" w:eastAsia="Times" w:hAnsi="Times New Roman" w:cs="Times New Roman"/>
          <w:noProof/>
          <w:sz w:val="24"/>
          <w:szCs w:val="24"/>
          <w:lang w:val="en-IE" w:eastAsia="en-IE"/>
        </w:rPr>
        <w:t xml:space="preserve"> to implement national legislation. </w:t>
      </w:r>
      <w:r w:rsidR="002B1269" w:rsidRPr="00532C20">
        <w:rPr>
          <w:rFonts w:ascii="Times New Roman" w:eastAsia="Times" w:hAnsi="Times New Roman" w:cs="Times New Roman"/>
          <w:noProof/>
          <w:sz w:val="24"/>
          <w:szCs w:val="24"/>
          <w:lang w:val="en-IE" w:eastAsia="en-IE"/>
        </w:rPr>
        <w:t>D</w:t>
      </w:r>
      <w:r w:rsidR="00584DDB" w:rsidRPr="00532C20">
        <w:rPr>
          <w:rFonts w:ascii="Times New Roman" w:eastAsia="Times" w:hAnsi="Times New Roman" w:cs="Times New Roman"/>
          <w:noProof/>
          <w:sz w:val="24"/>
          <w:szCs w:val="24"/>
          <w:lang w:val="en-IE" w:eastAsia="en-IE"/>
        </w:rPr>
        <w:t xml:space="preserve">raft laws regulating interest representation </w:t>
      </w:r>
      <w:r w:rsidR="00D86700" w:rsidRPr="00532C20">
        <w:rPr>
          <w:rFonts w:ascii="Times New Roman" w:eastAsia="Times" w:hAnsi="Times New Roman" w:cs="Times New Roman"/>
          <w:noProof/>
          <w:sz w:val="24"/>
          <w:szCs w:val="24"/>
          <w:lang w:val="en-IE" w:eastAsia="en-IE"/>
        </w:rPr>
        <w:t xml:space="preserve">in general </w:t>
      </w:r>
      <w:r w:rsidR="00584DDB" w:rsidRPr="00532C20">
        <w:rPr>
          <w:rFonts w:ascii="Times New Roman" w:eastAsia="Times" w:hAnsi="Times New Roman" w:cs="Times New Roman"/>
          <w:noProof/>
          <w:sz w:val="24"/>
          <w:szCs w:val="24"/>
          <w:lang w:val="en-IE" w:eastAsia="en-IE"/>
        </w:rPr>
        <w:t xml:space="preserve">are either under discussion or planned in </w:t>
      </w:r>
      <w:r w:rsidR="00FE5B64" w:rsidRPr="00532C20">
        <w:rPr>
          <w:rFonts w:ascii="Times New Roman" w:eastAsia="Times" w:hAnsi="Times New Roman" w:cs="Times New Roman"/>
          <w:noProof/>
          <w:sz w:val="24"/>
          <w:szCs w:val="24"/>
          <w:lang w:val="en-IE" w:eastAsia="en-IE"/>
        </w:rPr>
        <w:t xml:space="preserve">12 </w:t>
      </w:r>
      <w:r w:rsidR="00584DDB" w:rsidRPr="00532C20">
        <w:rPr>
          <w:rFonts w:ascii="Times New Roman" w:eastAsia="Times" w:hAnsi="Times New Roman" w:cs="Times New Roman"/>
          <w:noProof/>
          <w:sz w:val="24"/>
          <w:szCs w:val="24"/>
          <w:lang w:val="en-IE" w:eastAsia="en-IE"/>
        </w:rPr>
        <w:t>Member States</w:t>
      </w:r>
      <w:r w:rsidR="00127747" w:rsidRPr="00532C20">
        <w:rPr>
          <w:rStyle w:val="FootnoteReference"/>
          <w:rFonts w:ascii="Times New Roman" w:eastAsia="Times" w:hAnsi="Times New Roman" w:cs="Times New Roman"/>
          <w:noProof/>
          <w:sz w:val="24"/>
          <w:szCs w:val="24"/>
          <w:lang w:val="en-IE" w:eastAsia="en-IE"/>
        </w:rPr>
        <w:footnoteReference w:id="110"/>
      </w:r>
      <w:r w:rsidR="00584DDB" w:rsidRPr="00532C20">
        <w:rPr>
          <w:rFonts w:ascii="Times New Roman" w:eastAsia="Times" w:hAnsi="Times New Roman" w:cs="Times New Roman"/>
          <w:noProof/>
          <w:sz w:val="24"/>
          <w:szCs w:val="24"/>
          <w:lang w:val="en-IE" w:eastAsia="en-IE"/>
        </w:rPr>
        <w:t>.</w:t>
      </w:r>
      <w:r w:rsidR="008825C5" w:rsidRPr="00532C20">
        <w:rPr>
          <w:rFonts w:ascii="Times New Roman" w:eastAsia="Times" w:hAnsi="Times New Roman" w:cs="Times New Roman"/>
          <w:noProof/>
          <w:sz w:val="24"/>
          <w:szCs w:val="24"/>
          <w:lang w:val="en-IE" w:eastAsia="en-IE"/>
        </w:rPr>
        <w:t xml:space="preserve"> Poland, </w:t>
      </w:r>
      <w:r w:rsidR="00B55C7C" w:rsidRPr="00532C20">
        <w:rPr>
          <w:rFonts w:ascii="Times New Roman" w:eastAsia="Times" w:hAnsi="Times New Roman" w:cs="Times New Roman"/>
          <w:noProof/>
          <w:sz w:val="24"/>
          <w:szCs w:val="24"/>
          <w:lang w:val="en-IE" w:eastAsia="en-IE"/>
        </w:rPr>
        <w:t xml:space="preserve">the </w:t>
      </w:r>
      <w:r w:rsidR="008825C5" w:rsidRPr="00532C20">
        <w:rPr>
          <w:rFonts w:ascii="Times New Roman" w:eastAsia="Times" w:hAnsi="Times New Roman" w:cs="Times New Roman"/>
          <w:noProof/>
          <w:sz w:val="24"/>
          <w:szCs w:val="24"/>
          <w:lang w:val="en-IE" w:eastAsia="en-IE"/>
        </w:rPr>
        <w:t>Netherland</w:t>
      </w:r>
      <w:r w:rsidR="00B55C7C" w:rsidRPr="00532C20">
        <w:rPr>
          <w:rFonts w:ascii="Times New Roman" w:eastAsia="Times" w:hAnsi="Times New Roman" w:cs="Times New Roman"/>
          <w:noProof/>
          <w:sz w:val="24"/>
          <w:szCs w:val="24"/>
          <w:lang w:val="en-IE" w:eastAsia="en-IE"/>
        </w:rPr>
        <w:t>s</w:t>
      </w:r>
      <w:r w:rsidR="008825C5" w:rsidRPr="00532C20">
        <w:rPr>
          <w:rFonts w:ascii="Times New Roman" w:eastAsia="Times" w:hAnsi="Times New Roman" w:cs="Times New Roman"/>
          <w:noProof/>
          <w:sz w:val="24"/>
          <w:szCs w:val="24"/>
          <w:lang w:val="en-IE" w:eastAsia="en-IE"/>
        </w:rPr>
        <w:t xml:space="preserve"> and France are </w:t>
      </w:r>
      <w:r w:rsidR="003F4593" w:rsidRPr="00532C20">
        <w:rPr>
          <w:rFonts w:ascii="Times New Roman" w:eastAsia="Times" w:hAnsi="Times New Roman" w:cs="Times New Roman"/>
          <w:noProof/>
          <w:sz w:val="24"/>
          <w:szCs w:val="24"/>
          <w:lang w:val="en-IE" w:eastAsia="en-IE"/>
        </w:rPr>
        <w:t>considering legislations which w</w:t>
      </w:r>
      <w:r w:rsidR="008825C5" w:rsidRPr="00532C20">
        <w:rPr>
          <w:rFonts w:ascii="Times New Roman" w:eastAsia="Times" w:hAnsi="Times New Roman" w:cs="Times New Roman"/>
          <w:noProof/>
          <w:sz w:val="24"/>
          <w:szCs w:val="24"/>
          <w:lang w:val="en-IE" w:eastAsia="en-IE"/>
        </w:rPr>
        <w:t xml:space="preserve">ould affect </w:t>
      </w:r>
      <w:r w:rsidR="003F4593" w:rsidRPr="00532C20">
        <w:rPr>
          <w:rFonts w:ascii="Times New Roman" w:eastAsia="Times" w:hAnsi="Times New Roman" w:cs="Times New Roman"/>
          <w:noProof/>
          <w:sz w:val="24"/>
          <w:szCs w:val="24"/>
          <w:lang w:val="en-IE" w:eastAsia="en-IE"/>
        </w:rPr>
        <w:t xml:space="preserve">in particular </w:t>
      </w:r>
      <w:r w:rsidR="008825C5" w:rsidRPr="00532C20">
        <w:rPr>
          <w:rFonts w:ascii="Times New Roman" w:eastAsia="Times" w:hAnsi="Times New Roman" w:cs="Times New Roman"/>
          <w:noProof/>
          <w:sz w:val="24"/>
          <w:szCs w:val="24"/>
          <w:lang w:val="en-IE" w:eastAsia="en-IE"/>
        </w:rPr>
        <w:t>entities carrying out interest representation on behalf of third countries</w:t>
      </w:r>
      <w:r w:rsidR="003F4593" w:rsidRPr="00532C20">
        <w:rPr>
          <w:rFonts w:ascii="Times New Roman" w:eastAsia="Times" w:hAnsi="Times New Roman" w:cs="Times New Roman"/>
          <w:noProof/>
          <w:sz w:val="24"/>
          <w:szCs w:val="24"/>
          <w:lang w:val="en-IE" w:eastAsia="en-IE"/>
        </w:rPr>
        <w:t>.</w:t>
      </w:r>
    </w:p>
    <w:p w14:paraId="1DF147E1" w14:textId="3FB74020" w:rsidR="00584DDB" w:rsidRPr="00532C20" w:rsidRDefault="00883A43" w:rsidP="00EB6684">
      <w:pPr>
        <w:spacing w:after="12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I</w:t>
      </w:r>
      <w:r w:rsidR="738C9FDA" w:rsidRPr="00532C20">
        <w:rPr>
          <w:rFonts w:ascii="Times New Roman" w:eastAsia="Times" w:hAnsi="Times New Roman" w:cs="Times New Roman"/>
          <w:noProof/>
          <w:sz w:val="24"/>
          <w:szCs w:val="24"/>
          <w:lang w:val="en-IE" w:eastAsia="en-IE"/>
        </w:rPr>
        <w:t xml:space="preserve">n light of the existing </w:t>
      </w:r>
      <w:r w:rsidR="36D9CA81" w:rsidRPr="00532C20">
        <w:rPr>
          <w:rFonts w:ascii="Times New Roman" w:eastAsia="Times" w:hAnsi="Times New Roman" w:cs="Times New Roman"/>
          <w:noProof/>
          <w:sz w:val="24"/>
          <w:szCs w:val="24"/>
          <w:lang w:val="en-IE" w:eastAsia="en-IE"/>
        </w:rPr>
        <w:t>fragmentation</w:t>
      </w:r>
      <w:r w:rsidRPr="00532C20">
        <w:rPr>
          <w:rFonts w:ascii="Times New Roman" w:eastAsia="Times" w:hAnsi="Times New Roman" w:cs="Times New Roman"/>
          <w:noProof/>
          <w:sz w:val="24"/>
          <w:szCs w:val="24"/>
          <w:lang w:val="en-IE" w:eastAsia="en-IE"/>
        </w:rPr>
        <w:t xml:space="preserve"> (see section 2.1.1)</w:t>
      </w:r>
      <w:r w:rsidR="4F7A81D2" w:rsidRPr="00532C20">
        <w:rPr>
          <w:rFonts w:ascii="Times New Roman" w:eastAsia="Times" w:hAnsi="Times New Roman" w:cs="Times New Roman"/>
          <w:noProof/>
          <w:sz w:val="24"/>
          <w:szCs w:val="24"/>
          <w:lang w:val="en-IE" w:eastAsia="en-IE"/>
        </w:rPr>
        <w:t>,</w:t>
      </w:r>
      <w:r w:rsidR="36D9CA81" w:rsidRPr="00532C20">
        <w:rPr>
          <w:rFonts w:ascii="Times New Roman" w:eastAsia="Times" w:hAnsi="Times New Roman" w:cs="Times New Roman"/>
          <w:noProof/>
          <w:sz w:val="24"/>
          <w:szCs w:val="24"/>
          <w:lang w:val="en-IE" w:eastAsia="en-IE"/>
        </w:rPr>
        <w:t xml:space="preserve"> which is likely to</w:t>
      </w:r>
      <w:r w:rsidR="738C9FDA" w:rsidRPr="00532C20">
        <w:rPr>
          <w:rFonts w:ascii="Times New Roman" w:eastAsia="Times" w:hAnsi="Times New Roman" w:cs="Times New Roman"/>
          <w:noProof/>
          <w:sz w:val="24"/>
          <w:szCs w:val="24"/>
          <w:lang w:val="en-IE" w:eastAsia="en-IE"/>
        </w:rPr>
        <w:t xml:space="preserve"> increase, it is necessary to provide for harmonised </w:t>
      </w:r>
      <w:r w:rsidR="00FA2712" w:rsidRPr="00532C20">
        <w:rPr>
          <w:rFonts w:ascii="Times New Roman" w:eastAsia="Times" w:hAnsi="Times New Roman" w:cs="Times New Roman"/>
          <w:noProof/>
          <w:sz w:val="24"/>
          <w:szCs w:val="24"/>
          <w:lang w:val="en-IE" w:eastAsia="en-IE"/>
        </w:rPr>
        <w:t xml:space="preserve">transparency </w:t>
      </w:r>
      <w:r w:rsidR="738C9FDA" w:rsidRPr="00532C20">
        <w:rPr>
          <w:rFonts w:ascii="Times New Roman" w:eastAsia="Times" w:hAnsi="Times New Roman" w:cs="Times New Roman"/>
          <w:noProof/>
          <w:sz w:val="24"/>
          <w:szCs w:val="24"/>
          <w:lang w:val="en-IE" w:eastAsia="en-IE"/>
        </w:rPr>
        <w:t xml:space="preserve">measures to </w:t>
      </w:r>
      <w:r w:rsidR="00E14EEA" w:rsidRPr="00532C20">
        <w:rPr>
          <w:rFonts w:ascii="Times New Roman" w:eastAsia="Times" w:hAnsi="Times New Roman" w:cs="Times New Roman"/>
          <w:noProof/>
          <w:sz w:val="24"/>
          <w:szCs w:val="24"/>
          <w:lang w:val="en-IE" w:eastAsia="en-IE"/>
        </w:rPr>
        <w:t xml:space="preserve">create </w:t>
      </w:r>
      <w:r w:rsidR="00DC4E17" w:rsidRPr="00532C20">
        <w:rPr>
          <w:rFonts w:ascii="Times New Roman" w:eastAsia="Times" w:hAnsi="Times New Roman" w:cs="Times New Roman"/>
          <w:noProof/>
          <w:sz w:val="24"/>
          <w:szCs w:val="24"/>
          <w:lang w:val="en-IE" w:eastAsia="en-IE"/>
        </w:rPr>
        <w:t xml:space="preserve">an even playing field, </w:t>
      </w:r>
      <w:r w:rsidR="004A19E0" w:rsidRPr="00532C20">
        <w:rPr>
          <w:rFonts w:ascii="Times New Roman" w:eastAsia="Times" w:hAnsi="Times New Roman" w:cs="Times New Roman"/>
          <w:noProof/>
          <w:sz w:val="24"/>
          <w:szCs w:val="24"/>
          <w:lang w:val="en-IE" w:eastAsia="en-IE"/>
        </w:rPr>
        <w:t xml:space="preserve">reduce </w:t>
      </w:r>
      <w:r w:rsidR="4BD15347" w:rsidRPr="00532C20">
        <w:rPr>
          <w:rFonts w:ascii="Times New Roman" w:eastAsia="Times" w:hAnsi="Times New Roman" w:cs="Times New Roman"/>
          <w:noProof/>
          <w:sz w:val="24"/>
          <w:szCs w:val="24"/>
          <w:lang w:val="en-IE" w:eastAsia="en-IE"/>
        </w:rPr>
        <w:t xml:space="preserve">existing compliance costs and </w:t>
      </w:r>
      <w:r w:rsidRPr="00532C20">
        <w:rPr>
          <w:rFonts w:ascii="Times New Roman" w:eastAsia="Times" w:hAnsi="Times New Roman" w:cs="Times New Roman"/>
          <w:noProof/>
          <w:sz w:val="24"/>
          <w:szCs w:val="24"/>
          <w:lang w:val="en-IE" w:eastAsia="en-IE"/>
        </w:rPr>
        <w:t xml:space="preserve">regulatory arbitrage </w:t>
      </w:r>
      <w:r w:rsidR="00934D5F" w:rsidRPr="00532C20">
        <w:rPr>
          <w:rFonts w:ascii="Times New Roman" w:eastAsia="Times" w:hAnsi="Times New Roman" w:cs="Times New Roman"/>
          <w:noProof/>
          <w:sz w:val="24"/>
          <w:szCs w:val="24"/>
          <w:lang w:val="en-IE" w:eastAsia="en-IE"/>
        </w:rPr>
        <w:t xml:space="preserve">as well as </w:t>
      </w:r>
      <w:r w:rsidR="738C9FDA" w:rsidRPr="00532C20">
        <w:rPr>
          <w:rFonts w:ascii="Times New Roman" w:eastAsia="Times" w:hAnsi="Times New Roman" w:cs="Times New Roman"/>
          <w:noProof/>
          <w:sz w:val="24"/>
          <w:szCs w:val="24"/>
          <w:lang w:val="en-IE" w:eastAsia="en-IE"/>
        </w:rPr>
        <w:t xml:space="preserve">the emergence of additional obstacles </w:t>
      </w:r>
      <w:r w:rsidR="00AA6A4B" w:rsidRPr="00532C20">
        <w:rPr>
          <w:rFonts w:ascii="Times New Roman" w:eastAsia="Times New Roman" w:hAnsi="Times New Roman" w:cs="Times New Roman"/>
          <w:noProof/>
          <w:sz w:val="24"/>
          <w:szCs w:val="24"/>
          <w:lang w:val="en-IE"/>
        </w:rPr>
        <w:t>in the internal market for interest representation activities carried out on behalf of third countries</w:t>
      </w:r>
      <w:r w:rsidR="738C9FDA" w:rsidRPr="00532C20">
        <w:rPr>
          <w:rFonts w:ascii="Times New Roman" w:eastAsia="Times" w:hAnsi="Times New Roman" w:cs="Times New Roman"/>
          <w:noProof/>
          <w:sz w:val="24"/>
          <w:szCs w:val="24"/>
          <w:lang w:val="en-IE" w:eastAsia="en-IE"/>
        </w:rPr>
        <w:t xml:space="preserve">, resulting from </w:t>
      </w:r>
      <w:r w:rsidR="008336B7">
        <w:rPr>
          <w:rFonts w:ascii="Times New Roman" w:eastAsia="Times" w:hAnsi="Times New Roman" w:cs="Times New Roman"/>
          <w:noProof/>
          <w:sz w:val="24"/>
          <w:szCs w:val="24"/>
          <w:lang w:val="en-IE" w:eastAsia="en-IE"/>
        </w:rPr>
        <w:t xml:space="preserve">an </w:t>
      </w:r>
      <w:r w:rsidR="738C9FDA" w:rsidRPr="00532C20">
        <w:rPr>
          <w:rFonts w:ascii="Times New Roman" w:eastAsia="Times" w:hAnsi="Times New Roman" w:cs="Times New Roman"/>
          <w:noProof/>
          <w:sz w:val="24"/>
          <w:szCs w:val="24"/>
          <w:lang w:val="en-IE" w:eastAsia="en-IE"/>
        </w:rPr>
        <w:t xml:space="preserve">inconsistent development of national laws. </w:t>
      </w:r>
    </w:p>
    <w:p w14:paraId="1A430412" w14:textId="0982EC2B" w:rsidR="003A573A" w:rsidRPr="00532C20" w:rsidRDefault="00CD0DD5" w:rsidP="00EB6684">
      <w:pPr>
        <w:spacing w:after="12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T</w:t>
      </w:r>
      <w:r w:rsidR="000703E3" w:rsidRPr="00532C20">
        <w:rPr>
          <w:rFonts w:ascii="Times New Roman" w:eastAsia="Times" w:hAnsi="Times New Roman" w:cs="Times New Roman"/>
          <w:noProof/>
          <w:sz w:val="24"/>
          <w:szCs w:val="24"/>
          <w:lang w:val="en-IE" w:eastAsia="en-IE"/>
        </w:rPr>
        <w:t xml:space="preserve">he objective of this intervention is </w:t>
      </w:r>
      <w:r w:rsidR="009F257C" w:rsidRPr="00532C20">
        <w:rPr>
          <w:rFonts w:ascii="Times New Roman" w:eastAsia="Times" w:hAnsi="Times New Roman" w:cs="Times New Roman"/>
          <w:noProof/>
          <w:sz w:val="24"/>
          <w:szCs w:val="24"/>
          <w:lang w:val="en-IE" w:eastAsia="en-IE"/>
        </w:rPr>
        <w:t xml:space="preserve">to ensure the proper functioning of the </w:t>
      </w:r>
      <w:r w:rsidR="000A2624" w:rsidRPr="00532C20">
        <w:rPr>
          <w:rFonts w:ascii="Times New Roman" w:eastAsia="Times" w:hAnsi="Times New Roman" w:cs="Times New Roman"/>
          <w:noProof/>
          <w:sz w:val="24"/>
          <w:szCs w:val="24"/>
          <w:lang w:val="en-IE" w:eastAsia="en-IE"/>
        </w:rPr>
        <w:t xml:space="preserve">internal </w:t>
      </w:r>
      <w:r w:rsidR="009F257C" w:rsidRPr="00532C20">
        <w:rPr>
          <w:rFonts w:ascii="Times New Roman" w:eastAsia="Times" w:hAnsi="Times New Roman" w:cs="Times New Roman"/>
          <w:noProof/>
          <w:sz w:val="24"/>
          <w:szCs w:val="24"/>
          <w:lang w:val="en-IE" w:eastAsia="en-IE"/>
        </w:rPr>
        <w:t>market for interest representation</w:t>
      </w:r>
      <w:r w:rsidR="00C02624" w:rsidRPr="00532C20">
        <w:rPr>
          <w:rFonts w:ascii="Times New Roman" w:eastAsia="Times" w:hAnsi="Times New Roman" w:cs="Times New Roman"/>
          <w:noProof/>
          <w:sz w:val="24"/>
          <w:szCs w:val="24"/>
          <w:lang w:val="en-IE" w:eastAsia="en-IE"/>
        </w:rPr>
        <w:t xml:space="preserve"> activities carried out</w:t>
      </w:r>
      <w:r w:rsidR="009F257C" w:rsidRPr="00532C20">
        <w:rPr>
          <w:rFonts w:ascii="Times New Roman" w:eastAsia="Times" w:hAnsi="Times New Roman" w:cs="Times New Roman"/>
          <w:noProof/>
          <w:sz w:val="24"/>
          <w:szCs w:val="24"/>
          <w:lang w:val="en-IE" w:eastAsia="en-IE"/>
        </w:rPr>
        <w:t xml:space="preserve"> </w:t>
      </w:r>
      <w:r w:rsidR="00315A6C" w:rsidRPr="00532C20">
        <w:rPr>
          <w:rFonts w:ascii="Times New Roman" w:eastAsia="Times" w:hAnsi="Times New Roman" w:cs="Times New Roman"/>
          <w:noProof/>
          <w:sz w:val="24"/>
          <w:szCs w:val="24"/>
          <w:lang w:val="en-IE" w:eastAsia="en-IE"/>
        </w:rPr>
        <w:t>on behalf of</w:t>
      </w:r>
      <w:r w:rsidR="009F257C" w:rsidRPr="00532C20">
        <w:rPr>
          <w:rFonts w:ascii="Times New Roman" w:eastAsia="Times" w:hAnsi="Times New Roman" w:cs="Times New Roman"/>
          <w:noProof/>
          <w:sz w:val="24"/>
          <w:szCs w:val="24"/>
          <w:lang w:val="en-IE" w:eastAsia="en-IE"/>
        </w:rPr>
        <w:t xml:space="preserve"> third countries through harmonisation of regulatory approaches regarding the transparency of such activities</w:t>
      </w:r>
      <w:r w:rsidR="000703E3" w:rsidRPr="00532C20">
        <w:rPr>
          <w:rFonts w:ascii="Times New Roman" w:eastAsia="Times" w:hAnsi="Times New Roman" w:cs="Times New Roman"/>
          <w:noProof/>
          <w:sz w:val="24"/>
          <w:szCs w:val="24"/>
          <w:lang w:val="en-IE" w:eastAsia="en-IE"/>
        </w:rPr>
        <w:t xml:space="preserve">. </w:t>
      </w:r>
    </w:p>
    <w:p w14:paraId="7FFB7EA3" w14:textId="481DE11C" w:rsidR="00CC4622" w:rsidRPr="00532C20" w:rsidRDefault="003A573A" w:rsidP="00EB6684">
      <w:pPr>
        <w:spacing w:after="12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Even though Article 114(3) TFEU does not mention the </w:t>
      </w:r>
      <w:r w:rsidR="00E259AF" w:rsidRPr="00532C20">
        <w:rPr>
          <w:rFonts w:ascii="Times New Roman" w:eastAsia="Times" w:hAnsi="Times New Roman" w:cs="Times New Roman"/>
          <w:noProof/>
          <w:sz w:val="24"/>
          <w:szCs w:val="24"/>
          <w:lang w:val="en-IE" w:eastAsia="en-IE"/>
        </w:rPr>
        <w:t>resilience</w:t>
      </w:r>
      <w:r w:rsidRPr="00532C20">
        <w:rPr>
          <w:rFonts w:ascii="Times New Roman" w:eastAsia="Times" w:hAnsi="Times New Roman" w:cs="Times New Roman"/>
          <w:noProof/>
          <w:sz w:val="24"/>
          <w:szCs w:val="24"/>
          <w:lang w:val="en-IE" w:eastAsia="en-IE"/>
        </w:rPr>
        <w:t xml:space="preserve"> of</w:t>
      </w:r>
      <w:r w:rsidR="00490E07" w:rsidRPr="00532C20">
        <w:rPr>
          <w:rFonts w:ascii="Times New Roman" w:eastAsia="Times" w:hAnsi="Times New Roman" w:cs="Times New Roman"/>
          <w:noProof/>
          <w:sz w:val="24"/>
          <w:szCs w:val="24"/>
          <w:lang w:val="en-IE" w:eastAsia="en-IE"/>
        </w:rPr>
        <w:t xml:space="preserve"> </w:t>
      </w:r>
      <w:r w:rsidR="00E77F28" w:rsidRPr="00532C20">
        <w:rPr>
          <w:rFonts w:ascii="Times New Roman" w:eastAsia="Times" w:hAnsi="Times New Roman" w:cs="Times New Roman"/>
          <w:noProof/>
          <w:sz w:val="24"/>
          <w:szCs w:val="24"/>
          <w:lang w:val="en-IE" w:eastAsia="en-IE"/>
        </w:rPr>
        <w:t>EU democrac</w:t>
      </w:r>
      <w:r w:rsidR="00B83807" w:rsidRPr="00532C20">
        <w:rPr>
          <w:rFonts w:ascii="Times New Roman" w:eastAsia="Times" w:hAnsi="Times New Roman" w:cs="Times New Roman"/>
          <w:noProof/>
          <w:sz w:val="24"/>
          <w:szCs w:val="24"/>
          <w:lang w:val="en-IE" w:eastAsia="en-IE"/>
        </w:rPr>
        <w:t>ies</w:t>
      </w:r>
      <w:r w:rsidR="00E77F28" w:rsidRPr="00532C20">
        <w:rPr>
          <w:rFonts w:ascii="Times New Roman" w:eastAsia="Times" w:hAnsi="Times New Roman" w:cs="Times New Roman"/>
          <w:noProof/>
          <w:sz w:val="24"/>
          <w:szCs w:val="24"/>
          <w:lang w:val="en-IE" w:eastAsia="en-IE"/>
        </w:rPr>
        <w:t xml:space="preserve"> and</w:t>
      </w:r>
      <w:r w:rsidRPr="00532C20">
        <w:rPr>
          <w:rFonts w:ascii="Times New Roman" w:eastAsia="Times" w:hAnsi="Times New Roman" w:cs="Times New Roman"/>
          <w:noProof/>
          <w:sz w:val="24"/>
          <w:szCs w:val="24"/>
          <w:lang w:val="en-IE" w:eastAsia="en-IE"/>
        </w:rPr>
        <w:t xml:space="preserve"> </w:t>
      </w:r>
      <w:r w:rsidR="00490E07" w:rsidRPr="00532C20">
        <w:rPr>
          <w:rFonts w:ascii="Times New Roman" w:eastAsia="Times" w:hAnsi="Times New Roman" w:cs="Times New Roman"/>
          <w:noProof/>
          <w:sz w:val="24"/>
          <w:szCs w:val="24"/>
          <w:lang w:val="en-IE" w:eastAsia="en-IE"/>
        </w:rPr>
        <w:t>decision-making processes</w:t>
      </w:r>
      <w:r w:rsidR="00AA2921" w:rsidRPr="00532C20">
        <w:rPr>
          <w:rFonts w:ascii="Times New Roman" w:eastAsia="Times" w:hAnsi="Times New Roman" w:cs="Times New Roman"/>
          <w:noProof/>
          <w:sz w:val="24"/>
          <w:szCs w:val="24"/>
          <w:lang w:val="en-IE" w:eastAsia="en-IE"/>
        </w:rPr>
        <w:t xml:space="preserve"> (</w:t>
      </w:r>
      <w:r w:rsidRPr="00532C20">
        <w:rPr>
          <w:rFonts w:ascii="Times New Roman" w:eastAsia="Times" w:hAnsi="Times New Roman" w:cs="Times New Roman"/>
          <w:noProof/>
          <w:sz w:val="24"/>
          <w:szCs w:val="24"/>
          <w:lang w:val="en-IE" w:eastAsia="en-IE"/>
        </w:rPr>
        <w:t>unlike</w:t>
      </w:r>
      <w:r w:rsidR="00AA2921" w:rsidRPr="00532C20">
        <w:rPr>
          <w:rFonts w:ascii="Times New Roman" w:eastAsia="Times" w:hAnsi="Times New Roman" w:cs="Times New Roman"/>
          <w:noProof/>
          <w:sz w:val="24"/>
          <w:szCs w:val="24"/>
          <w:lang w:val="en-IE" w:eastAsia="en-IE"/>
        </w:rPr>
        <w:t>,</w:t>
      </w:r>
      <w:r w:rsidRPr="00532C20">
        <w:rPr>
          <w:rFonts w:ascii="Times New Roman" w:eastAsia="Times" w:hAnsi="Times New Roman" w:cs="Times New Roman"/>
          <w:noProof/>
          <w:sz w:val="24"/>
          <w:szCs w:val="24"/>
          <w:lang w:val="en-IE" w:eastAsia="en-IE"/>
        </w:rPr>
        <w:t xml:space="preserve"> for example</w:t>
      </w:r>
      <w:r w:rsidR="00AA2921" w:rsidRPr="00532C20">
        <w:rPr>
          <w:rFonts w:ascii="Times New Roman" w:eastAsia="Times" w:hAnsi="Times New Roman" w:cs="Times New Roman"/>
          <w:noProof/>
          <w:sz w:val="24"/>
          <w:szCs w:val="24"/>
          <w:lang w:val="en-IE" w:eastAsia="en-IE"/>
        </w:rPr>
        <w:t>,</w:t>
      </w:r>
      <w:r w:rsidRPr="00532C20">
        <w:rPr>
          <w:rFonts w:ascii="Times New Roman" w:eastAsia="Times" w:hAnsi="Times New Roman" w:cs="Times New Roman"/>
          <w:noProof/>
          <w:sz w:val="24"/>
          <w:szCs w:val="24"/>
          <w:lang w:val="en-IE" w:eastAsia="en-IE"/>
        </w:rPr>
        <w:t xml:space="preserve"> a high level of health protection, environmental protection or consumer protection</w:t>
      </w:r>
      <w:r w:rsidR="00AA2921" w:rsidRPr="00532C20">
        <w:rPr>
          <w:rFonts w:ascii="Times New Roman" w:eastAsia="Times" w:hAnsi="Times New Roman" w:cs="Times New Roman"/>
          <w:noProof/>
          <w:sz w:val="24"/>
          <w:szCs w:val="24"/>
          <w:lang w:val="en-IE" w:eastAsia="en-IE"/>
        </w:rPr>
        <w:t>)</w:t>
      </w:r>
      <w:r w:rsidR="00F07410" w:rsidRPr="00532C20">
        <w:rPr>
          <w:rFonts w:ascii="Times New Roman" w:eastAsia="Times" w:hAnsi="Times New Roman" w:cs="Times New Roman"/>
          <w:noProof/>
          <w:sz w:val="24"/>
          <w:szCs w:val="24"/>
          <w:lang w:val="en-IE" w:eastAsia="en-IE"/>
        </w:rPr>
        <w:t>,</w:t>
      </w:r>
      <w:r w:rsidRPr="00532C20">
        <w:rPr>
          <w:rFonts w:ascii="Times New Roman" w:eastAsia="Times" w:hAnsi="Times New Roman" w:cs="Times New Roman"/>
          <w:noProof/>
          <w:sz w:val="24"/>
          <w:szCs w:val="24"/>
          <w:lang w:val="en-IE" w:eastAsia="en-IE"/>
        </w:rPr>
        <w:t xml:space="preserve"> it is inherent </w:t>
      </w:r>
      <w:r w:rsidR="00F07410" w:rsidRPr="00532C20">
        <w:rPr>
          <w:rFonts w:ascii="Times New Roman" w:eastAsia="Times" w:hAnsi="Times New Roman" w:cs="Times New Roman"/>
          <w:noProof/>
          <w:sz w:val="24"/>
          <w:szCs w:val="24"/>
          <w:lang w:val="en-IE" w:eastAsia="en-IE"/>
        </w:rPr>
        <w:t xml:space="preserve">to </w:t>
      </w:r>
      <w:r w:rsidR="00B55C7C" w:rsidRPr="00532C20">
        <w:rPr>
          <w:rFonts w:ascii="Times New Roman" w:eastAsia="Times" w:hAnsi="Times New Roman" w:cs="Times New Roman"/>
          <w:noProof/>
          <w:sz w:val="24"/>
          <w:szCs w:val="24"/>
          <w:lang w:val="en-IE" w:eastAsia="en-IE"/>
        </w:rPr>
        <w:t xml:space="preserve">the </w:t>
      </w:r>
      <w:r w:rsidR="00F07410" w:rsidRPr="00532C20">
        <w:rPr>
          <w:rFonts w:ascii="Times New Roman" w:eastAsia="Times" w:hAnsi="Times New Roman" w:cs="Times New Roman"/>
          <w:noProof/>
          <w:sz w:val="24"/>
          <w:szCs w:val="24"/>
          <w:lang w:val="en-IE" w:eastAsia="en-IE"/>
        </w:rPr>
        <w:t>purpose of</w:t>
      </w:r>
      <w:r w:rsidRPr="00532C20">
        <w:rPr>
          <w:rFonts w:ascii="Times New Roman" w:eastAsia="Times" w:hAnsi="Times New Roman" w:cs="Times New Roman"/>
          <w:noProof/>
          <w:sz w:val="24"/>
          <w:szCs w:val="24"/>
          <w:lang w:val="en-IE" w:eastAsia="en-IE"/>
        </w:rPr>
        <w:t xml:space="preserve"> Article 114 TFEU that </w:t>
      </w:r>
      <w:r w:rsidR="009A4E2C" w:rsidRPr="00532C20">
        <w:rPr>
          <w:rFonts w:ascii="Times New Roman" w:eastAsia="Times" w:hAnsi="Times New Roman" w:cs="Times New Roman"/>
          <w:noProof/>
          <w:sz w:val="24"/>
          <w:szCs w:val="24"/>
          <w:lang w:val="en-IE" w:eastAsia="en-IE"/>
        </w:rPr>
        <w:t xml:space="preserve">the </w:t>
      </w:r>
      <w:r w:rsidR="00392D80" w:rsidRPr="00532C20">
        <w:rPr>
          <w:rFonts w:ascii="Times New Roman" w:eastAsia="Times" w:hAnsi="Times New Roman" w:cs="Times New Roman"/>
          <w:noProof/>
          <w:sz w:val="24"/>
          <w:szCs w:val="24"/>
          <w:lang w:val="en-IE" w:eastAsia="en-IE"/>
        </w:rPr>
        <w:t xml:space="preserve">objectives of the </w:t>
      </w:r>
      <w:r w:rsidRPr="00532C20">
        <w:rPr>
          <w:rFonts w:ascii="Times New Roman" w:eastAsia="Times" w:hAnsi="Times New Roman" w:cs="Times New Roman"/>
          <w:noProof/>
          <w:sz w:val="24"/>
          <w:szCs w:val="24"/>
          <w:lang w:val="en-IE" w:eastAsia="en-IE"/>
        </w:rPr>
        <w:t xml:space="preserve">national rules </w:t>
      </w:r>
      <w:r w:rsidR="009A4E2C" w:rsidRPr="00532C20">
        <w:rPr>
          <w:rFonts w:ascii="Times New Roman" w:eastAsia="Times" w:hAnsi="Times New Roman" w:cs="Times New Roman"/>
          <w:noProof/>
          <w:sz w:val="24"/>
          <w:szCs w:val="24"/>
          <w:lang w:val="en-IE" w:eastAsia="en-IE"/>
        </w:rPr>
        <w:t xml:space="preserve">which </w:t>
      </w:r>
      <w:r w:rsidRPr="00532C20">
        <w:rPr>
          <w:rFonts w:ascii="Times New Roman" w:eastAsia="Times" w:hAnsi="Times New Roman" w:cs="Times New Roman"/>
          <w:noProof/>
          <w:sz w:val="24"/>
          <w:szCs w:val="24"/>
          <w:lang w:val="en-IE" w:eastAsia="en-IE"/>
        </w:rPr>
        <w:t xml:space="preserve">are </w:t>
      </w:r>
      <w:r w:rsidR="00392D80" w:rsidRPr="00532C20">
        <w:rPr>
          <w:rFonts w:ascii="Times New Roman" w:eastAsia="Times" w:hAnsi="Times New Roman" w:cs="Times New Roman"/>
          <w:noProof/>
          <w:sz w:val="24"/>
          <w:szCs w:val="24"/>
          <w:lang w:val="en-IE" w:eastAsia="en-IE"/>
        </w:rPr>
        <w:t xml:space="preserve">to be approximated through </w:t>
      </w:r>
      <w:r w:rsidRPr="00532C20">
        <w:rPr>
          <w:rFonts w:ascii="Times New Roman" w:eastAsia="Times" w:hAnsi="Times New Roman" w:cs="Times New Roman"/>
          <w:noProof/>
          <w:sz w:val="24"/>
          <w:szCs w:val="24"/>
          <w:lang w:val="en-IE" w:eastAsia="en-IE"/>
        </w:rPr>
        <w:t>harmonis</w:t>
      </w:r>
      <w:r w:rsidR="00392D80" w:rsidRPr="00532C20">
        <w:rPr>
          <w:rFonts w:ascii="Times New Roman" w:eastAsia="Times" w:hAnsi="Times New Roman" w:cs="Times New Roman"/>
          <w:noProof/>
          <w:sz w:val="24"/>
          <w:szCs w:val="24"/>
          <w:lang w:val="en-IE" w:eastAsia="en-IE"/>
        </w:rPr>
        <w:t>ation should be</w:t>
      </w:r>
      <w:r w:rsidRPr="00532C20">
        <w:rPr>
          <w:rFonts w:ascii="Times New Roman" w:eastAsia="Times" w:hAnsi="Times New Roman" w:cs="Times New Roman"/>
          <w:noProof/>
          <w:sz w:val="24"/>
          <w:szCs w:val="24"/>
          <w:lang w:val="en-IE" w:eastAsia="en-IE"/>
        </w:rPr>
        <w:t xml:space="preserve"> taken in</w:t>
      </w:r>
      <w:r w:rsidR="00392D80" w:rsidRPr="00532C20">
        <w:rPr>
          <w:rFonts w:ascii="Times New Roman" w:eastAsia="Times" w:hAnsi="Times New Roman" w:cs="Times New Roman"/>
          <w:noProof/>
          <w:sz w:val="24"/>
          <w:szCs w:val="24"/>
          <w:lang w:val="en-IE" w:eastAsia="en-IE"/>
        </w:rPr>
        <w:t>to account</w:t>
      </w:r>
      <w:r w:rsidRPr="00532C20">
        <w:rPr>
          <w:rFonts w:ascii="Times New Roman" w:eastAsia="Times" w:hAnsi="Times New Roman" w:cs="Times New Roman"/>
          <w:noProof/>
          <w:sz w:val="24"/>
          <w:szCs w:val="24"/>
          <w:lang w:val="en-IE" w:eastAsia="en-IE"/>
        </w:rPr>
        <w:t xml:space="preserve">. </w:t>
      </w:r>
      <w:r w:rsidR="00257196" w:rsidRPr="00532C20">
        <w:rPr>
          <w:rFonts w:ascii="Times New Roman" w:eastAsia="Times" w:hAnsi="Times New Roman" w:cs="Times New Roman"/>
          <w:noProof/>
          <w:sz w:val="24"/>
          <w:szCs w:val="24"/>
          <w:lang w:val="en-IE" w:eastAsia="en-IE"/>
        </w:rPr>
        <w:t xml:space="preserve">The </w:t>
      </w:r>
      <w:r w:rsidR="00586707" w:rsidRPr="00532C20">
        <w:rPr>
          <w:rFonts w:ascii="Times New Roman" w:eastAsia="Times" w:hAnsi="Times New Roman" w:cs="Times New Roman"/>
          <w:noProof/>
          <w:sz w:val="24"/>
          <w:szCs w:val="24"/>
          <w:lang w:val="en-IE" w:eastAsia="en-IE"/>
        </w:rPr>
        <w:t xml:space="preserve">objective of </w:t>
      </w:r>
      <w:r w:rsidR="00257196" w:rsidRPr="00532C20">
        <w:rPr>
          <w:rFonts w:ascii="Times New Roman" w:eastAsia="Times" w:hAnsi="Times New Roman" w:cs="Times New Roman"/>
          <w:noProof/>
          <w:sz w:val="24"/>
          <w:szCs w:val="24"/>
          <w:lang w:val="en-IE" w:eastAsia="en-IE"/>
        </w:rPr>
        <w:t>ensur</w:t>
      </w:r>
      <w:r w:rsidR="00586707" w:rsidRPr="00532C20">
        <w:rPr>
          <w:rFonts w:ascii="Times New Roman" w:eastAsia="Times" w:hAnsi="Times New Roman" w:cs="Times New Roman"/>
          <w:noProof/>
          <w:sz w:val="24"/>
          <w:szCs w:val="24"/>
          <w:lang w:val="en-IE" w:eastAsia="en-IE"/>
        </w:rPr>
        <w:t>ing the</w:t>
      </w:r>
      <w:r w:rsidR="00257196" w:rsidRPr="00532C20">
        <w:rPr>
          <w:rFonts w:ascii="Times New Roman" w:eastAsia="Times" w:hAnsi="Times New Roman" w:cs="Times New Roman"/>
          <w:noProof/>
          <w:sz w:val="24"/>
          <w:szCs w:val="24"/>
          <w:lang w:val="en-IE" w:eastAsia="en-IE"/>
        </w:rPr>
        <w:t xml:space="preserve"> transparency of activities affecting </w:t>
      </w:r>
      <w:r w:rsidR="00290CB0" w:rsidRPr="00532C20">
        <w:rPr>
          <w:rFonts w:ascii="Times New Roman" w:eastAsia="Times" w:hAnsi="Times New Roman" w:cs="Times New Roman"/>
          <w:noProof/>
          <w:sz w:val="24"/>
          <w:szCs w:val="24"/>
          <w:lang w:val="en-IE" w:eastAsia="en-IE"/>
        </w:rPr>
        <w:t>public decision</w:t>
      </w:r>
      <w:r w:rsidR="007F0FA3">
        <w:rPr>
          <w:rFonts w:ascii="Times New Roman" w:eastAsia="Times" w:hAnsi="Times New Roman" w:cs="Times New Roman"/>
          <w:noProof/>
          <w:sz w:val="24"/>
          <w:szCs w:val="24"/>
          <w:lang w:val="en-IE" w:eastAsia="en-IE"/>
        </w:rPr>
        <w:t>-</w:t>
      </w:r>
      <w:r w:rsidR="00290CB0" w:rsidRPr="00532C20">
        <w:rPr>
          <w:rFonts w:ascii="Times New Roman" w:eastAsia="Times" w:hAnsi="Times New Roman" w:cs="Times New Roman"/>
          <w:noProof/>
          <w:sz w:val="24"/>
          <w:szCs w:val="24"/>
          <w:lang w:val="en-IE" w:eastAsia="en-IE"/>
        </w:rPr>
        <w:t xml:space="preserve">making and the </w:t>
      </w:r>
      <w:r w:rsidR="00A95A76" w:rsidRPr="00532C20">
        <w:rPr>
          <w:rFonts w:ascii="Times New Roman" w:eastAsia="Times" w:hAnsi="Times New Roman" w:cs="Times New Roman"/>
          <w:noProof/>
          <w:sz w:val="24"/>
          <w:szCs w:val="24"/>
          <w:lang w:val="en-IE" w:eastAsia="en-IE"/>
        </w:rPr>
        <w:t>functioning</w:t>
      </w:r>
      <w:r w:rsidR="00290CB0" w:rsidRPr="00532C20">
        <w:rPr>
          <w:rFonts w:ascii="Times New Roman" w:eastAsia="Times" w:hAnsi="Times New Roman" w:cs="Times New Roman"/>
          <w:noProof/>
          <w:sz w:val="24"/>
          <w:szCs w:val="24"/>
          <w:lang w:val="en-IE" w:eastAsia="en-IE"/>
        </w:rPr>
        <w:t xml:space="preserve"> of</w:t>
      </w:r>
      <w:r w:rsidR="00257196" w:rsidRPr="00532C20">
        <w:rPr>
          <w:rFonts w:ascii="Times New Roman" w:eastAsia="Times" w:hAnsi="Times New Roman" w:cs="Times New Roman"/>
          <w:noProof/>
          <w:sz w:val="24"/>
          <w:szCs w:val="24"/>
          <w:lang w:val="en-IE" w:eastAsia="en-IE"/>
        </w:rPr>
        <w:t xml:space="preserve"> </w:t>
      </w:r>
      <w:r w:rsidR="00A95A76" w:rsidRPr="00532C20">
        <w:rPr>
          <w:rFonts w:ascii="Times New Roman" w:eastAsia="Times" w:hAnsi="Times New Roman" w:cs="Times New Roman"/>
          <w:noProof/>
          <w:sz w:val="24"/>
          <w:szCs w:val="24"/>
          <w:lang w:val="en-IE" w:eastAsia="en-IE"/>
        </w:rPr>
        <w:t xml:space="preserve">democratic </w:t>
      </w:r>
      <w:r w:rsidR="00290CB0" w:rsidRPr="00532C20">
        <w:rPr>
          <w:rFonts w:ascii="Times New Roman" w:eastAsia="Times" w:hAnsi="Times New Roman" w:cs="Times New Roman"/>
          <w:noProof/>
          <w:sz w:val="24"/>
          <w:szCs w:val="24"/>
          <w:lang w:val="en-IE" w:eastAsia="en-IE"/>
        </w:rPr>
        <w:t>institutions</w:t>
      </w:r>
      <w:r w:rsidR="00257196" w:rsidRPr="00532C20">
        <w:rPr>
          <w:rFonts w:ascii="Times New Roman" w:eastAsia="Times" w:hAnsi="Times New Roman" w:cs="Times New Roman"/>
          <w:noProof/>
          <w:sz w:val="24"/>
          <w:szCs w:val="24"/>
          <w:lang w:val="en-IE" w:eastAsia="en-IE"/>
        </w:rPr>
        <w:t xml:space="preserve"> is a legitimate public goal. </w:t>
      </w:r>
      <w:r w:rsidR="003A014C" w:rsidRPr="00532C20">
        <w:rPr>
          <w:rFonts w:ascii="Times New Roman" w:eastAsia="Times" w:hAnsi="Times New Roman" w:cs="Times New Roman"/>
          <w:noProof/>
          <w:sz w:val="24"/>
          <w:szCs w:val="24"/>
          <w:lang w:val="en-IE" w:eastAsia="en-IE"/>
        </w:rPr>
        <w:t xml:space="preserve">It therefore </w:t>
      </w:r>
      <w:r w:rsidR="000830F8" w:rsidRPr="00532C20">
        <w:rPr>
          <w:rFonts w:ascii="Times New Roman" w:eastAsia="Times" w:hAnsi="Times New Roman" w:cs="Times New Roman"/>
          <w:noProof/>
          <w:sz w:val="24"/>
          <w:szCs w:val="24"/>
          <w:lang w:val="en-IE" w:eastAsia="en-IE"/>
        </w:rPr>
        <w:t>follows from</w:t>
      </w:r>
      <w:r w:rsidR="003A014C" w:rsidRPr="00532C20">
        <w:rPr>
          <w:rFonts w:ascii="Times New Roman" w:eastAsia="Times" w:hAnsi="Times New Roman" w:cs="Times New Roman"/>
          <w:noProof/>
          <w:sz w:val="24"/>
          <w:szCs w:val="24"/>
          <w:lang w:val="en-IE" w:eastAsia="en-IE"/>
        </w:rPr>
        <w:t xml:space="preserve"> the </w:t>
      </w:r>
      <w:r w:rsidR="000830F8" w:rsidRPr="00532C20">
        <w:rPr>
          <w:rFonts w:ascii="Times New Roman" w:eastAsia="Times" w:hAnsi="Times New Roman" w:cs="Times New Roman"/>
          <w:noProof/>
          <w:sz w:val="24"/>
          <w:szCs w:val="24"/>
          <w:lang w:val="en-IE" w:eastAsia="en-IE"/>
        </w:rPr>
        <w:t>purpose</w:t>
      </w:r>
      <w:r w:rsidR="003A014C" w:rsidRPr="00532C20">
        <w:rPr>
          <w:rFonts w:ascii="Times New Roman" w:eastAsia="Times" w:hAnsi="Times New Roman" w:cs="Times New Roman"/>
          <w:noProof/>
          <w:sz w:val="24"/>
          <w:szCs w:val="24"/>
          <w:lang w:val="en-IE" w:eastAsia="en-IE"/>
        </w:rPr>
        <w:t xml:space="preserve"> of Article 114 TFEU that </w:t>
      </w:r>
      <w:r w:rsidR="00B62E5A" w:rsidRPr="00532C20">
        <w:rPr>
          <w:rFonts w:ascii="Times New Roman" w:eastAsia="Times" w:hAnsi="Times New Roman" w:cs="Times New Roman"/>
          <w:noProof/>
          <w:sz w:val="24"/>
          <w:szCs w:val="24"/>
          <w:lang w:val="en-IE" w:eastAsia="en-IE"/>
        </w:rPr>
        <w:t>EU</w:t>
      </w:r>
      <w:r w:rsidR="003A014C" w:rsidRPr="00532C20">
        <w:rPr>
          <w:rFonts w:ascii="Times New Roman" w:eastAsia="Times" w:hAnsi="Times New Roman" w:cs="Times New Roman"/>
          <w:noProof/>
          <w:sz w:val="24"/>
          <w:szCs w:val="24"/>
          <w:lang w:val="en-IE" w:eastAsia="en-IE"/>
        </w:rPr>
        <w:t xml:space="preserve"> rules harmonising national rules </w:t>
      </w:r>
      <w:r w:rsidR="003E3EF0" w:rsidRPr="00532C20">
        <w:rPr>
          <w:rFonts w:ascii="Times New Roman" w:eastAsia="Times" w:hAnsi="Times New Roman" w:cs="Times New Roman"/>
          <w:noProof/>
          <w:sz w:val="24"/>
          <w:szCs w:val="24"/>
          <w:lang w:val="en-IE" w:eastAsia="en-IE"/>
        </w:rPr>
        <w:t xml:space="preserve">adopted to regulate </w:t>
      </w:r>
      <w:r w:rsidR="00356EC8" w:rsidRPr="00532C20">
        <w:rPr>
          <w:rFonts w:ascii="Times New Roman" w:eastAsia="Times" w:hAnsi="Times New Roman" w:cs="Times New Roman"/>
          <w:noProof/>
          <w:sz w:val="24"/>
          <w:szCs w:val="24"/>
          <w:lang w:val="en-IE" w:eastAsia="en-IE"/>
        </w:rPr>
        <w:t>an</w:t>
      </w:r>
      <w:r w:rsidR="003E3EF0" w:rsidRPr="00532C20">
        <w:rPr>
          <w:rFonts w:ascii="Times New Roman" w:eastAsia="Times" w:hAnsi="Times New Roman" w:cs="Times New Roman"/>
          <w:noProof/>
          <w:sz w:val="24"/>
          <w:szCs w:val="24"/>
          <w:lang w:val="en-IE" w:eastAsia="en-IE"/>
        </w:rPr>
        <w:t xml:space="preserve"> activity in the pursuit of </w:t>
      </w:r>
      <w:r w:rsidR="003A014C" w:rsidRPr="00532C20">
        <w:rPr>
          <w:rFonts w:ascii="Times New Roman" w:eastAsia="Times" w:hAnsi="Times New Roman" w:cs="Times New Roman"/>
          <w:noProof/>
          <w:sz w:val="24"/>
          <w:szCs w:val="24"/>
          <w:lang w:val="en-IE" w:eastAsia="en-IE"/>
        </w:rPr>
        <w:t xml:space="preserve">these </w:t>
      </w:r>
      <w:r w:rsidR="006E703A" w:rsidRPr="00532C20">
        <w:rPr>
          <w:rFonts w:ascii="Times New Roman" w:eastAsia="Times" w:hAnsi="Times New Roman" w:cs="Times New Roman"/>
          <w:noProof/>
          <w:sz w:val="24"/>
          <w:szCs w:val="24"/>
          <w:lang w:val="en-IE" w:eastAsia="en-IE"/>
        </w:rPr>
        <w:t>goals</w:t>
      </w:r>
      <w:r w:rsidR="003E3EF0" w:rsidRPr="00532C20">
        <w:rPr>
          <w:rFonts w:ascii="Times New Roman" w:eastAsia="Times" w:hAnsi="Times New Roman" w:cs="Times New Roman"/>
          <w:noProof/>
          <w:sz w:val="24"/>
          <w:szCs w:val="24"/>
          <w:lang w:val="en-IE" w:eastAsia="en-IE"/>
        </w:rPr>
        <w:t xml:space="preserve"> </w:t>
      </w:r>
      <w:r w:rsidR="002912C1" w:rsidRPr="00532C20">
        <w:rPr>
          <w:rFonts w:ascii="Times New Roman" w:eastAsia="Times" w:hAnsi="Times New Roman" w:cs="Times New Roman"/>
          <w:noProof/>
          <w:sz w:val="24"/>
          <w:szCs w:val="24"/>
          <w:lang w:val="en-IE" w:eastAsia="en-IE"/>
        </w:rPr>
        <w:t xml:space="preserve">may </w:t>
      </w:r>
      <w:r w:rsidR="003E3EF0" w:rsidRPr="00532C20">
        <w:rPr>
          <w:rFonts w:ascii="Times New Roman" w:eastAsia="Times" w:hAnsi="Times New Roman" w:cs="Times New Roman"/>
          <w:noProof/>
          <w:sz w:val="24"/>
          <w:szCs w:val="24"/>
          <w:lang w:val="en-IE" w:eastAsia="en-IE"/>
        </w:rPr>
        <w:t xml:space="preserve">themselves </w:t>
      </w:r>
      <w:r w:rsidR="00481CBF" w:rsidRPr="00532C20">
        <w:rPr>
          <w:rFonts w:ascii="Times New Roman" w:eastAsia="Times" w:hAnsi="Times New Roman" w:cs="Times New Roman"/>
          <w:noProof/>
          <w:sz w:val="24"/>
          <w:szCs w:val="24"/>
          <w:lang w:val="en-IE" w:eastAsia="en-IE"/>
        </w:rPr>
        <w:t>pursue the same ends</w:t>
      </w:r>
      <w:r w:rsidR="003A014C" w:rsidRPr="00532C20">
        <w:rPr>
          <w:rFonts w:ascii="Times New Roman" w:eastAsia="Times" w:hAnsi="Times New Roman" w:cs="Times New Roman"/>
          <w:noProof/>
          <w:sz w:val="24"/>
          <w:szCs w:val="24"/>
          <w:lang w:val="en-IE" w:eastAsia="en-IE"/>
        </w:rPr>
        <w:t xml:space="preserve">. </w:t>
      </w:r>
      <w:r w:rsidR="00120582" w:rsidRPr="00532C20">
        <w:rPr>
          <w:rFonts w:ascii="Times New Roman" w:eastAsia="Times" w:hAnsi="Times New Roman" w:cs="Times New Roman"/>
          <w:noProof/>
          <w:sz w:val="24"/>
          <w:szCs w:val="24"/>
          <w:lang w:val="en-IE" w:eastAsia="en-IE"/>
        </w:rPr>
        <w:t xml:space="preserve">In this regard, </w:t>
      </w:r>
      <w:r w:rsidR="000703E3" w:rsidRPr="00532C20">
        <w:rPr>
          <w:rFonts w:ascii="Times New Roman" w:eastAsia="Times" w:hAnsi="Times New Roman" w:cs="Times New Roman"/>
          <w:noProof/>
          <w:sz w:val="24"/>
          <w:szCs w:val="24"/>
          <w:lang w:val="en-IE" w:eastAsia="en-IE"/>
        </w:rPr>
        <w:t>this intervention</w:t>
      </w:r>
      <w:r w:rsidR="007F7D9F" w:rsidRPr="00532C20">
        <w:rPr>
          <w:rFonts w:ascii="Times New Roman" w:eastAsia="Times" w:hAnsi="Times New Roman" w:cs="Times New Roman"/>
          <w:noProof/>
          <w:sz w:val="24"/>
          <w:szCs w:val="24"/>
          <w:lang w:val="en-IE" w:eastAsia="en-IE"/>
        </w:rPr>
        <w:t xml:space="preserve"> also aims</w:t>
      </w:r>
      <w:r w:rsidR="000703E3" w:rsidRPr="00532C20">
        <w:rPr>
          <w:rFonts w:ascii="Times New Roman" w:eastAsia="Times" w:hAnsi="Times New Roman" w:cs="Times New Roman"/>
          <w:noProof/>
          <w:sz w:val="24"/>
          <w:szCs w:val="24"/>
          <w:lang w:val="en-IE" w:eastAsia="en-IE"/>
        </w:rPr>
        <w:t xml:space="preserve"> </w:t>
      </w:r>
      <w:r w:rsidR="009F257C" w:rsidRPr="00532C20">
        <w:rPr>
          <w:rFonts w:ascii="Times New Roman" w:eastAsia="Times" w:hAnsi="Times New Roman" w:cs="Times New Roman"/>
          <w:noProof/>
          <w:sz w:val="24"/>
          <w:szCs w:val="24"/>
          <w:lang w:val="en-IE" w:eastAsia="en-IE"/>
        </w:rPr>
        <w:t>t</w:t>
      </w:r>
      <w:r w:rsidR="00CC4622" w:rsidRPr="00532C20">
        <w:rPr>
          <w:rFonts w:ascii="Times New Roman" w:eastAsia="Times" w:hAnsi="Times New Roman" w:cs="Times New Roman"/>
          <w:noProof/>
          <w:sz w:val="24"/>
          <w:szCs w:val="24"/>
          <w:lang w:val="en-IE" w:eastAsia="en-IE"/>
        </w:rPr>
        <w:t xml:space="preserve">o enhance the integrity of, and public trust in, </w:t>
      </w:r>
      <w:r w:rsidR="00481CBF" w:rsidRPr="00532C20">
        <w:rPr>
          <w:rFonts w:ascii="Times New Roman" w:eastAsia="Times" w:hAnsi="Times New Roman" w:cs="Times New Roman"/>
          <w:noProof/>
          <w:sz w:val="24"/>
          <w:szCs w:val="24"/>
          <w:lang w:val="en-IE" w:eastAsia="en-IE"/>
        </w:rPr>
        <w:t xml:space="preserve">the </w:t>
      </w:r>
      <w:r w:rsidR="00CC4622" w:rsidRPr="00532C20">
        <w:rPr>
          <w:rFonts w:ascii="Times New Roman" w:eastAsia="Times" w:hAnsi="Times New Roman" w:cs="Times New Roman"/>
          <w:noProof/>
          <w:sz w:val="24"/>
          <w:szCs w:val="24"/>
          <w:lang w:val="en-IE" w:eastAsia="en-IE"/>
        </w:rPr>
        <w:t>EU and Member State democratic institutions</w:t>
      </w:r>
      <w:r w:rsidR="000F221E" w:rsidRPr="00532C20">
        <w:rPr>
          <w:rFonts w:ascii="Times New Roman" w:eastAsia="Times" w:hAnsi="Times New Roman" w:cs="Times New Roman"/>
          <w:noProof/>
          <w:sz w:val="24"/>
          <w:szCs w:val="24"/>
          <w:lang w:val="en-IE" w:eastAsia="en-IE"/>
        </w:rPr>
        <w:t xml:space="preserve"> by ensuring </w:t>
      </w:r>
      <w:r w:rsidR="00481CBF" w:rsidRPr="00532C20">
        <w:rPr>
          <w:rFonts w:ascii="Times New Roman" w:eastAsia="Times" w:hAnsi="Times New Roman" w:cs="Times New Roman"/>
          <w:noProof/>
          <w:sz w:val="24"/>
          <w:szCs w:val="24"/>
          <w:lang w:val="en-IE" w:eastAsia="en-IE"/>
        </w:rPr>
        <w:t xml:space="preserve">the </w:t>
      </w:r>
      <w:r w:rsidR="000F221E" w:rsidRPr="00532C20">
        <w:rPr>
          <w:rFonts w:ascii="Times New Roman" w:eastAsia="Times" w:hAnsi="Times New Roman" w:cs="Times New Roman"/>
          <w:noProof/>
          <w:sz w:val="24"/>
          <w:szCs w:val="24"/>
          <w:lang w:val="en-IE" w:eastAsia="en-IE"/>
        </w:rPr>
        <w:t xml:space="preserve">transparency of interest representation </w:t>
      </w:r>
      <w:r w:rsidR="00C02624" w:rsidRPr="00532C20">
        <w:rPr>
          <w:rFonts w:ascii="Times New Roman" w:eastAsia="Times" w:hAnsi="Times New Roman" w:cs="Times New Roman"/>
          <w:noProof/>
          <w:sz w:val="24"/>
          <w:szCs w:val="24"/>
          <w:lang w:val="en-IE" w:eastAsia="en-IE"/>
        </w:rPr>
        <w:t xml:space="preserve">activities carried out </w:t>
      </w:r>
      <w:r w:rsidR="00315A6C" w:rsidRPr="00532C20">
        <w:rPr>
          <w:rFonts w:ascii="Times New Roman" w:eastAsia="Times" w:hAnsi="Times New Roman" w:cs="Times New Roman"/>
          <w:noProof/>
          <w:sz w:val="24"/>
          <w:szCs w:val="24"/>
          <w:lang w:val="en-IE" w:eastAsia="en-IE"/>
        </w:rPr>
        <w:t>on behalf of</w:t>
      </w:r>
      <w:r w:rsidR="000F221E" w:rsidRPr="00532C20">
        <w:rPr>
          <w:rFonts w:ascii="Times New Roman" w:eastAsia="Times" w:hAnsi="Times New Roman" w:cs="Times New Roman"/>
          <w:noProof/>
          <w:sz w:val="24"/>
          <w:szCs w:val="24"/>
          <w:lang w:val="en-IE" w:eastAsia="en-IE"/>
        </w:rPr>
        <w:t xml:space="preserve"> third countries</w:t>
      </w:r>
      <w:r w:rsidR="009E24B4" w:rsidRPr="00532C20">
        <w:rPr>
          <w:rFonts w:ascii="Times New Roman" w:eastAsia="Times" w:hAnsi="Times New Roman" w:cs="Times New Roman"/>
          <w:noProof/>
          <w:sz w:val="24"/>
          <w:szCs w:val="24"/>
          <w:lang w:val="en-IE" w:eastAsia="en-IE"/>
        </w:rPr>
        <w:t xml:space="preserve">. </w:t>
      </w:r>
      <w:r w:rsidR="00CC4622" w:rsidRPr="00532C20">
        <w:rPr>
          <w:rFonts w:ascii="Times New Roman" w:eastAsia="Times" w:hAnsi="Times New Roman" w:cs="Times New Roman"/>
          <w:noProof/>
          <w:sz w:val="24"/>
          <w:szCs w:val="24"/>
          <w:lang w:val="en-IE" w:eastAsia="en-IE"/>
        </w:rPr>
        <w:t xml:space="preserve"> </w:t>
      </w:r>
    </w:p>
    <w:p w14:paraId="113B4FA8" w14:textId="749D39F0" w:rsidR="00885AE4" w:rsidRPr="00532C20" w:rsidRDefault="6AA666C9" w:rsidP="00EB6684">
      <w:pPr>
        <w:spacing w:after="12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Furthermore, </w:t>
      </w:r>
      <w:r w:rsidR="00B863D7" w:rsidRPr="00532C20">
        <w:rPr>
          <w:rFonts w:ascii="Times New Roman" w:eastAsia="Times" w:hAnsi="Times New Roman" w:cs="Times New Roman"/>
          <w:noProof/>
          <w:sz w:val="24"/>
          <w:szCs w:val="24"/>
          <w:lang w:val="en-IE" w:eastAsia="en-IE"/>
        </w:rPr>
        <w:t xml:space="preserve">in Article 2 of the Treaty on European Union (TEU) </w:t>
      </w:r>
      <w:r w:rsidRPr="00532C20">
        <w:rPr>
          <w:rFonts w:ascii="Times New Roman" w:eastAsia="Times" w:hAnsi="Times New Roman" w:cs="Times New Roman"/>
          <w:noProof/>
          <w:sz w:val="24"/>
          <w:szCs w:val="24"/>
          <w:lang w:val="en-IE" w:eastAsia="en-IE"/>
        </w:rPr>
        <w:t xml:space="preserve">democracy is recognised as </w:t>
      </w:r>
      <w:r w:rsidR="00EE76CE" w:rsidRPr="00532C20">
        <w:rPr>
          <w:rFonts w:ascii="Times New Roman" w:eastAsia="Times" w:hAnsi="Times New Roman" w:cs="Times New Roman"/>
          <w:noProof/>
          <w:sz w:val="24"/>
          <w:szCs w:val="24"/>
          <w:lang w:val="en-IE" w:eastAsia="en-IE"/>
        </w:rPr>
        <w:t xml:space="preserve">one of the </w:t>
      </w:r>
      <w:r w:rsidRPr="00532C20">
        <w:rPr>
          <w:rFonts w:ascii="Times New Roman" w:eastAsia="Times" w:hAnsi="Times New Roman" w:cs="Times New Roman"/>
          <w:noProof/>
          <w:sz w:val="24"/>
          <w:szCs w:val="24"/>
          <w:lang w:val="en-IE" w:eastAsia="en-IE"/>
        </w:rPr>
        <w:t>essential values on which the Union is founded. The Court has ruled on 16 February 2022 on the rule of law conditionality regulation that “</w:t>
      </w:r>
      <w:r w:rsidRPr="00532C20">
        <w:rPr>
          <w:rFonts w:ascii="Times New Roman" w:eastAsia="Times" w:hAnsi="Times New Roman" w:cs="Times New Roman"/>
          <w:i/>
          <w:noProof/>
          <w:sz w:val="24"/>
          <w:szCs w:val="24"/>
          <w:lang w:val="en-IE" w:eastAsia="en-IE"/>
        </w:rPr>
        <w:t xml:space="preserve">the </w:t>
      </w:r>
      <w:r w:rsidR="001D4A52" w:rsidRPr="00532C20">
        <w:rPr>
          <w:rFonts w:ascii="Times New Roman" w:eastAsia="Times" w:hAnsi="Times New Roman" w:cs="Times New Roman"/>
          <w:i/>
          <w:noProof/>
          <w:sz w:val="24"/>
          <w:szCs w:val="24"/>
          <w:lang w:val="en-IE" w:eastAsia="en-IE"/>
        </w:rPr>
        <w:t>EU</w:t>
      </w:r>
      <w:r w:rsidRPr="00532C20">
        <w:rPr>
          <w:rFonts w:ascii="Times New Roman" w:eastAsia="Times" w:hAnsi="Times New Roman" w:cs="Times New Roman"/>
          <w:i/>
          <w:noProof/>
          <w:sz w:val="24"/>
          <w:szCs w:val="24"/>
          <w:lang w:val="en-IE" w:eastAsia="en-IE"/>
        </w:rPr>
        <w:t xml:space="preserve"> must be able to defend those values, within the limits of its powers as laid down by the Treaties</w:t>
      </w:r>
      <w:r w:rsidR="00132985" w:rsidRPr="00532C20">
        <w:rPr>
          <w:rFonts w:ascii="Times New Roman" w:eastAsia="Times" w:hAnsi="Times New Roman" w:cs="Times New Roman"/>
          <w:noProof/>
          <w:sz w:val="24"/>
          <w:szCs w:val="24"/>
          <w:lang w:val="en-IE" w:eastAsia="en-IE"/>
        </w:rPr>
        <w:t>”</w:t>
      </w:r>
      <w:bookmarkStart w:id="438" w:name="_Ref147912597"/>
      <w:r w:rsidR="00D74F20" w:rsidRPr="00532C20">
        <w:rPr>
          <w:rStyle w:val="FootnoteReference"/>
          <w:rFonts w:ascii="Times New Roman" w:eastAsia="Times" w:hAnsi="Times New Roman" w:cs="Times New Roman"/>
          <w:noProof/>
          <w:sz w:val="24"/>
          <w:szCs w:val="24"/>
          <w:lang w:val="en-IE" w:eastAsia="en-IE"/>
        </w:rPr>
        <w:footnoteReference w:id="111"/>
      </w:r>
      <w:bookmarkEnd w:id="438"/>
      <w:r w:rsidRPr="00532C20">
        <w:rPr>
          <w:rFonts w:ascii="Times New Roman" w:eastAsia="Times" w:hAnsi="Times New Roman" w:cs="Times New Roman"/>
          <w:noProof/>
          <w:sz w:val="24"/>
          <w:szCs w:val="24"/>
          <w:lang w:val="en-IE" w:eastAsia="en-IE"/>
        </w:rPr>
        <w:t xml:space="preserve">. This case law indicates that the </w:t>
      </w:r>
      <w:r w:rsidR="00B62E5A" w:rsidRPr="00532C20">
        <w:rPr>
          <w:rFonts w:ascii="Times New Roman" w:eastAsia="Times" w:hAnsi="Times New Roman" w:cs="Times New Roman"/>
          <w:noProof/>
          <w:sz w:val="24"/>
          <w:szCs w:val="24"/>
          <w:lang w:val="en-IE" w:eastAsia="en-IE"/>
        </w:rPr>
        <w:t>EU</w:t>
      </w:r>
      <w:r w:rsidRPr="00532C20">
        <w:rPr>
          <w:rFonts w:ascii="Times New Roman" w:eastAsia="Times" w:hAnsi="Times New Roman" w:cs="Times New Roman"/>
          <w:noProof/>
          <w:sz w:val="24"/>
          <w:szCs w:val="24"/>
          <w:lang w:val="en-IE" w:eastAsia="en-IE"/>
        </w:rPr>
        <w:t xml:space="preserve"> legislature is empowered to ensure the protection of the values mentioned in Article 2 TEU and of other fundamental rights </w:t>
      </w:r>
      <w:r w:rsidR="00ED2560" w:rsidRPr="00532C20">
        <w:rPr>
          <w:rFonts w:ascii="Times New Roman" w:eastAsia="Times" w:hAnsi="Times New Roman" w:cs="Times New Roman"/>
          <w:noProof/>
          <w:sz w:val="24"/>
          <w:szCs w:val="24"/>
          <w:lang w:val="en-IE" w:eastAsia="en-IE"/>
        </w:rPr>
        <w:t xml:space="preserve">(such as the right to receive information) </w:t>
      </w:r>
      <w:r w:rsidRPr="00532C20">
        <w:rPr>
          <w:rFonts w:ascii="Times New Roman" w:eastAsia="Times" w:hAnsi="Times New Roman" w:cs="Times New Roman"/>
          <w:noProof/>
          <w:sz w:val="24"/>
          <w:szCs w:val="24"/>
          <w:lang w:val="en-IE" w:eastAsia="en-IE"/>
        </w:rPr>
        <w:t>where it has an appropriate legal basis for taking legislative action.</w:t>
      </w:r>
    </w:p>
    <w:p w14:paraId="1AF3D11F" w14:textId="4EC4972F" w:rsidR="00B8037E" w:rsidRPr="00532C20" w:rsidRDefault="77B0B32D" w:rsidP="00D13757">
      <w:pPr>
        <w:spacing w:after="120" w:line="240" w:lineRule="auto"/>
        <w:jc w:val="both"/>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EU action </w:t>
      </w:r>
      <w:r w:rsidR="00003984" w:rsidRPr="00532C20">
        <w:rPr>
          <w:rFonts w:ascii="Times New Roman" w:eastAsia="Times" w:hAnsi="Times New Roman" w:cs="Times New Roman"/>
          <w:noProof/>
          <w:sz w:val="24"/>
          <w:szCs w:val="24"/>
          <w:lang w:val="en-IE" w:eastAsia="en-IE"/>
        </w:rPr>
        <w:t>focusing on transparency</w:t>
      </w:r>
      <w:r w:rsidRPr="00532C20">
        <w:rPr>
          <w:rFonts w:ascii="Times New Roman" w:eastAsia="Times" w:hAnsi="Times New Roman" w:cs="Times New Roman"/>
          <w:noProof/>
          <w:sz w:val="24"/>
          <w:szCs w:val="24"/>
          <w:lang w:val="en-IE" w:eastAsia="en-IE"/>
        </w:rPr>
        <w:t xml:space="preserve"> is needed to </w:t>
      </w:r>
      <w:r w:rsidR="4A129DA7" w:rsidRPr="00532C20">
        <w:rPr>
          <w:rFonts w:ascii="Times New Roman" w:eastAsia="Times" w:hAnsi="Times New Roman" w:cs="Times New Roman"/>
          <w:noProof/>
          <w:sz w:val="24"/>
          <w:szCs w:val="24"/>
          <w:lang w:val="en-IE" w:eastAsia="en-IE"/>
        </w:rPr>
        <w:t>prevent</w:t>
      </w:r>
      <w:r w:rsidRPr="00532C20">
        <w:rPr>
          <w:rFonts w:ascii="Times New Roman" w:eastAsia="Times" w:hAnsi="Times New Roman" w:cs="Times New Roman"/>
          <w:noProof/>
          <w:sz w:val="24"/>
          <w:szCs w:val="24"/>
          <w:lang w:val="en-IE" w:eastAsia="en-IE"/>
        </w:rPr>
        <w:t xml:space="preserve"> </w:t>
      </w:r>
      <w:r w:rsidR="4A129DA7" w:rsidRPr="00532C20">
        <w:rPr>
          <w:rFonts w:ascii="Times New Roman" w:eastAsia="Times" w:hAnsi="Times New Roman" w:cs="Times New Roman"/>
          <w:noProof/>
          <w:sz w:val="24"/>
          <w:szCs w:val="24"/>
          <w:lang w:val="en-IE" w:eastAsia="en-IE"/>
        </w:rPr>
        <w:t xml:space="preserve">obstacles </w:t>
      </w:r>
      <w:r w:rsidRPr="00532C20">
        <w:rPr>
          <w:rFonts w:ascii="Times New Roman" w:eastAsia="Times" w:hAnsi="Times New Roman" w:cs="Times New Roman"/>
          <w:noProof/>
          <w:sz w:val="24"/>
          <w:szCs w:val="24"/>
          <w:lang w:val="en-IE" w:eastAsia="en-IE"/>
        </w:rPr>
        <w:t xml:space="preserve">to the provision of interest representation </w:t>
      </w:r>
      <w:r w:rsidR="001A40D0" w:rsidRPr="00532C20">
        <w:rPr>
          <w:rFonts w:ascii="Times New Roman" w:eastAsia="Times" w:hAnsi="Times New Roman" w:cs="Times New Roman"/>
          <w:noProof/>
          <w:sz w:val="24"/>
          <w:szCs w:val="24"/>
          <w:lang w:val="en-IE" w:eastAsia="en-IE"/>
        </w:rPr>
        <w:t>activities</w:t>
      </w:r>
      <w:r w:rsidR="00C02624" w:rsidRPr="00532C20">
        <w:rPr>
          <w:rFonts w:ascii="Times New Roman" w:eastAsia="Times" w:hAnsi="Times New Roman" w:cs="Times New Roman"/>
          <w:noProof/>
          <w:sz w:val="24"/>
          <w:szCs w:val="24"/>
          <w:lang w:val="en-IE" w:eastAsia="en-IE"/>
        </w:rPr>
        <w:t xml:space="preserve"> carried out</w:t>
      </w:r>
      <w:r w:rsidR="001A40D0" w:rsidRPr="00532C20">
        <w:rPr>
          <w:rFonts w:ascii="Times New Roman" w:eastAsia="Times" w:hAnsi="Times New Roman" w:cs="Times New Roman"/>
          <w:noProof/>
          <w:sz w:val="24"/>
          <w:szCs w:val="24"/>
          <w:lang w:val="en-IE" w:eastAsia="en-IE"/>
        </w:rPr>
        <w:t xml:space="preserve"> </w:t>
      </w:r>
      <w:r w:rsidR="00045A6F" w:rsidRPr="00532C20">
        <w:rPr>
          <w:rFonts w:ascii="Times New Roman" w:eastAsia="Times" w:hAnsi="Times New Roman" w:cs="Times New Roman"/>
          <w:noProof/>
          <w:sz w:val="24"/>
          <w:szCs w:val="24"/>
          <w:lang w:val="en-IE" w:eastAsia="en-IE"/>
        </w:rPr>
        <w:t>on behalf of</w:t>
      </w:r>
      <w:r w:rsidR="4A129DA7" w:rsidRPr="00532C20">
        <w:rPr>
          <w:rFonts w:ascii="Times New Roman" w:eastAsia="Times" w:hAnsi="Times New Roman" w:cs="Times New Roman"/>
          <w:noProof/>
          <w:sz w:val="24"/>
          <w:szCs w:val="24"/>
          <w:lang w:val="en-IE" w:eastAsia="en-IE"/>
        </w:rPr>
        <w:t xml:space="preserve"> third country entities</w:t>
      </w:r>
      <w:r w:rsidR="4B80B541" w:rsidRPr="00532C20">
        <w:rPr>
          <w:rFonts w:ascii="Times New Roman" w:eastAsia="Times" w:hAnsi="Times New Roman" w:cs="Times New Roman"/>
          <w:noProof/>
          <w:sz w:val="24"/>
          <w:szCs w:val="24"/>
          <w:lang w:val="en-IE" w:eastAsia="en-IE"/>
        </w:rPr>
        <w:t>,</w:t>
      </w:r>
      <w:r w:rsidRPr="00532C20">
        <w:rPr>
          <w:rFonts w:ascii="Times New Roman" w:eastAsia="Times" w:hAnsi="Times New Roman" w:cs="Times New Roman"/>
          <w:noProof/>
          <w:sz w:val="24"/>
          <w:szCs w:val="24"/>
          <w:lang w:val="en-IE" w:eastAsia="en-IE"/>
        </w:rPr>
        <w:t xml:space="preserve"> </w:t>
      </w:r>
      <w:r w:rsidR="4B80B541" w:rsidRPr="00532C20">
        <w:rPr>
          <w:rFonts w:ascii="Times New Roman" w:eastAsia="Times" w:hAnsi="Times New Roman" w:cs="Times New Roman"/>
          <w:noProof/>
          <w:sz w:val="24"/>
          <w:szCs w:val="24"/>
          <w:lang w:val="en-IE" w:eastAsia="en-IE"/>
        </w:rPr>
        <w:t>ensuring the establishment and functioning of the internal market</w:t>
      </w:r>
      <w:r w:rsidR="00060FCC" w:rsidRPr="00532C20">
        <w:rPr>
          <w:rFonts w:ascii="Times New Roman" w:eastAsia="Times" w:hAnsi="Times New Roman" w:cs="Times New Roman"/>
          <w:noProof/>
          <w:sz w:val="24"/>
          <w:szCs w:val="24"/>
          <w:lang w:val="en-IE" w:eastAsia="en-IE"/>
        </w:rPr>
        <w:t>.</w:t>
      </w:r>
      <w:r w:rsidR="00527552" w:rsidRPr="00532C20">
        <w:rPr>
          <w:rFonts w:ascii="Times New Roman" w:eastAsia="Times" w:hAnsi="Times New Roman" w:cs="Times New Roman"/>
          <w:noProof/>
          <w:sz w:val="24"/>
          <w:szCs w:val="24"/>
          <w:lang w:val="en-IE" w:eastAsia="en-IE"/>
        </w:rPr>
        <w:t xml:space="preserve"> It will also contribute to</w:t>
      </w:r>
      <w:r w:rsidR="00E64CC0" w:rsidRPr="00532C20">
        <w:rPr>
          <w:rFonts w:ascii="Times New Roman" w:eastAsia="Times" w:hAnsi="Times New Roman" w:cs="Times New Roman"/>
          <w:noProof/>
          <w:sz w:val="24"/>
          <w:szCs w:val="24"/>
          <w:lang w:val="en-IE" w:eastAsia="en-IE"/>
        </w:rPr>
        <w:t xml:space="preserve"> improve the knowledge on the magnitude</w:t>
      </w:r>
      <w:r w:rsidR="00007935" w:rsidRPr="00532C20">
        <w:rPr>
          <w:rFonts w:ascii="Times New Roman" w:eastAsia="Times" w:hAnsi="Times New Roman" w:cs="Times New Roman"/>
          <w:noProof/>
          <w:sz w:val="24"/>
          <w:szCs w:val="24"/>
          <w:lang w:val="en-IE" w:eastAsia="en-IE"/>
        </w:rPr>
        <w:t>,</w:t>
      </w:r>
      <w:r w:rsidR="007160DA" w:rsidRPr="00532C20">
        <w:rPr>
          <w:rFonts w:ascii="Times New Roman" w:eastAsia="Times" w:hAnsi="Times New Roman" w:cs="Times New Roman"/>
          <w:noProof/>
          <w:sz w:val="24"/>
          <w:szCs w:val="24"/>
          <w:lang w:val="en-IE" w:eastAsia="en-IE"/>
        </w:rPr>
        <w:t xml:space="preserve"> trends</w:t>
      </w:r>
      <w:r w:rsidR="00007935" w:rsidRPr="00532C20">
        <w:rPr>
          <w:rFonts w:ascii="Times New Roman" w:eastAsia="Times" w:hAnsi="Times New Roman" w:cs="Times New Roman"/>
          <w:noProof/>
          <w:sz w:val="24"/>
          <w:szCs w:val="24"/>
          <w:lang w:val="en-IE" w:eastAsia="en-IE"/>
        </w:rPr>
        <w:t xml:space="preserve"> and actors</w:t>
      </w:r>
      <w:r w:rsidR="00E64CC0" w:rsidRPr="00532C20">
        <w:rPr>
          <w:rFonts w:ascii="Times New Roman" w:eastAsia="Times" w:hAnsi="Times New Roman" w:cs="Times New Roman"/>
          <w:noProof/>
          <w:sz w:val="24"/>
          <w:szCs w:val="24"/>
          <w:lang w:val="en-IE" w:eastAsia="en-IE"/>
        </w:rPr>
        <w:t xml:space="preserve"> of interest representation activities carried out on behalf of third</w:t>
      </w:r>
      <w:r w:rsidR="008336B7">
        <w:rPr>
          <w:rFonts w:ascii="Times New Roman" w:eastAsia="Times" w:hAnsi="Times New Roman" w:cs="Times New Roman"/>
          <w:noProof/>
          <w:sz w:val="24"/>
          <w:szCs w:val="24"/>
          <w:lang w:val="en-IE" w:eastAsia="en-IE"/>
        </w:rPr>
        <w:t xml:space="preserve"> countries</w:t>
      </w:r>
      <w:r w:rsidR="4B80B541" w:rsidRPr="00532C20">
        <w:rPr>
          <w:rFonts w:ascii="Times New Roman" w:eastAsia="Times" w:hAnsi="Times New Roman" w:cs="Times New Roman"/>
          <w:noProof/>
          <w:sz w:val="24"/>
          <w:szCs w:val="24"/>
          <w:lang w:val="en-IE" w:eastAsia="en-IE"/>
        </w:rPr>
        <w:t>.</w:t>
      </w:r>
      <w:r w:rsidRPr="00532C20">
        <w:rPr>
          <w:rFonts w:ascii="Times New Roman" w:eastAsia="Times" w:hAnsi="Times New Roman" w:cs="Times New Roman"/>
          <w:noProof/>
          <w:sz w:val="24"/>
          <w:szCs w:val="24"/>
          <w:lang w:val="en-IE" w:eastAsia="en-IE"/>
        </w:rPr>
        <w:t xml:space="preserve"> </w:t>
      </w:r>
      <w:r w:rsidR="00773DE6" w:rsidRPr="00532C20">
        <w:rPr>
          <w:rFonts w:ascii="Times New Roman" w:eastAsia="Times" w:hAnsi="Times New Roman" w:cs="Times New Roman"/>
          <w:noProof/>
          <w:sz w:val="24"/>
          <w:szCs w:val="24"/>
          <w:lang w:val="en-IE" w:eastAsia="en-IE"/>
        </w:rPr>
        <w:t xml:space="preserve">Importantly, the intervention does not aim to restrict the provision of interest representation activities carried out on behalf of third countries in the internal market. </w:t>
      </w:r>
    </w:p>
    <w:p w14:paraId="27BF87FE" w14:textId="0C0E4C12" w:rsidR="00E83429" w:rsidRPr="00532C20" w:rsidRDefault="00E83429" w:rsidP="007F13A1">
      <w:pPr>
        <w:pStyle w:val="11Subsection"/>
        <w:spacing w:before="200" w:after="200"/>
        <w:rPr>
          <w:noProof/>
        </w:rPr>
      </w:pPr>
      <w:bookmarkStart w:id="439" w:name="_Toc132810115"/>
      <w:bookmarkStart w:id="440" w:name="_Toc134028066"/>
      <w:bookmarkStart w:id="441" w:name="_Toc134028714"/>
      <w:bookmarkStart w:id="442" w:name="_Toc134620358"/>
      <w:bookmarkStart w:id="443" w:name="_Toc152864671"/>
      <w:r w:rsidRPr="00532C20">
        <w:rPr>
          <w:noProof/>
        </w:rPr>
        <w:t xml:space="preserve">Subsidiarity: Necessity </w:t>
      </w:r>
      <w:r w:rsidR="008B16F1" w:rsidRPr="00532C20">
        <w:rPr>
          <w:noProof/>
        </w:rPr>
        <w:t xml:space="preserve">and added value </w:t>
      </w:r>
      <w:r w:rsidRPr="00532C20">
        <w:rPr>
          <w:noProof/>
        </w:rPr>
        <w:t xml:space="preserve">of </w:t>
      </w:r>
      <w:r w:rsidR="008B16F1" w:rsidRPr="00532C20">
        <w:rPr>
          <w:noProof/>
        </w:rPr>
        <w:t xml:space="preserve">the </w:t>
      </w:r>
      <w:r w:rsidRPr="00532C20">
        <w:rPr>
          <w:noProof/>
        </w:rPr>
        <w:t>EU action</w:t>
      </w:r>
      <w:bookmarkEnd w:id="439"/>
      <w:bookmarkEnd w:id="440"/>
      <w:bookmarkEnd w:id="441"/>
      <w:bookmarkEnd w:id="442"/>
      <w:bookmarkEnd w:id="443"/>
    </w:p>
    <w:p w14:paraId="3ABECAE2" w14:textId="0C108EA9" w:rsidR="002959F3" w:rsidRPr="00532C20" w:rsidRDefault="004006CE" w:rsidP="007F13A1">
      <w:pPr>
        <w:pStyle w:val="paragraph"/>
        <w:spacing w:before="0" w:beforeAutospacing="0" w:after="120" w:afterAutospacing="0"/>
        <w:jc w:val="both"/>
        <w:textAlignment w:val="baseline"/>
        <w:rPr>
          <w:rStyle w:val="normaltextrun"/>
          <w:rFonts w:ascii="Times New Roman" w:hAnsi="Times New Roman" w:cs="Times New Roman"/>
          <w:noProof/>
          <w:lang w:val="en-IE"/>
        </w:rPr>
      </w:pPr>
      <w:bookmarkStart w:id="444" w:name="_Toc73525714"/>
      <w:bookmarkStart w:id="445" w:name="_Toc73551030"/>
      <w:bookmarkStart w:id="446" w:name="_Toc73562548"/>
      <w:bookmarkStart w:id="447" w:name="_Toc73649147"/>
      <w:bookmarkStart w:id="448" w:name="_Toc74081094"/>
      <w:bookmarkStart w:id="449" w:name="_Toc74168094"/>
      <w:bookmarkStart w:id="450" w:name="_Toc74596034"/>
      <w:bookmarkStart w:id="451" w:name="_Toc75282874"/>
      <w:bookmarkStart w:id="452" w:name="_Toc75291804"/>
      <w:bookmarkStart w:id="453" w:name="_Toc75862422"/>
      <w:bookmarkStart w:id="454" w:name="_Toc75882161"/>
      <w:bookmarkStart w:id="455" w:name="_Toc75882645"/>
      <w:bookmarkStart w:id="456" w:name="_Toc75886604"/>
      <w:bookmarkStart w:id="457" w:name="_Toc75893754"/>
      <w:bookmarkStart w:id="458" w:name="_Toc75895464"/>
      <w:bookmarkStart w:id="459" w:name="_Toc78820682"/>
      <w:bookmarkStart w:id="460" w:name="_Toc78821798"/>
      <w:bookmarkStart w:id="461" w:name="_Toc79679509"/>
      <w:bookmarkStart w:id="462" w:name="_Toc79680373"/>
      <w:bookmarkStart w:id="463" w:name="_Toc79742169"/>
      <w:bookmarkStart w:id="464" w:name="_Toc79745653"/>
      <w:bookmarkStart w:id="465" w:name="_Toc79748360"/>
      <w:bookmarkStart w:id="466" w:name="_Toc79765308"/>
      <w:bookmarkStart w:id="467" w:name="_Toc79765405"/>
      <w:bookmarkStart w:id="468" w:name="_Toc80020695"/>
      <w:bookmarkStart w:id="469" w:name="_Toc80024169"/>
      <w:bookmarkStart w:id="470" w:name="_Toc80025892"/>
      <w:bookmarkStart w:id="471" w:name="_Toc80028642"/>
      <w:bookmarkStart w:id="472" w:name="_Toc80093472"/>
      <w:bookmarkStart w:id="473" w:name="_Toc80110101"/>
      <w:bookmarkStart w:id="474" w:name="_Toc80111486"/>
      <w:bookmarkStart w:id="475" w:name="_Toc80116067"/>
      <w:bookmarkStart w:id="476" w:name="_Toc80637865"/>
      <w:bookmarkStart w:id="477" w:name="_Toc80640256"/>
      <w:bookmarkStart w:id="478" w:name="_Toc80643511"/>
      <w:bookmarkStart w:id="479" w:name="_Toc80643740"/>
      <w:bookmarkStart w:id="480" w:name="_Toc80703168"/>
      <w:bookmarkStart w:id="481" w:name="_Toc80709727"/>
      <w:bookmarkStart w:id="482" w:name="_Toc80710115"/>
      <w:bookmarkStart w:id="483" w:name="_Toc80725948"/>
      <w:bookmarkStart w:id="484" w:name="_Toc80808464"/>
      <w:bookmarkStart w:id="485" w:name="_Toc80865887"/>
      <w:bookmarkStart w:id="486" w:name="_Toc80888222"/>
      <w:bookmarkStart w:id="487" w:name="_Toc80980431"/>
      <w:bookmarkStart w:id="488" w:name="_Toc81222301"/>
      <w:bookmarkStart w:id="489" w:name="_Toc81225187"/>
      <w:bookmarkStart w:id="490" w:name="_Toc81227729"/>
      <w:bookmarkStart w:id="491" w:name="_Toc81228501"/>
      <w:bookmarkStart w:id="492" w:name="_Toc81232683"/>
      <w:bookmarkStart w:id="493" w:name="_Toc81233788"/>
      <w:bookmarkStart w:id="494" w:name="_Toc81242114"/>
      <w:bookmarkStart w:id="495" w:name="_Toc81242303"/>
      <w:bookmarkStart w:id="496" w:name="_Toc81298954"/>
      <w:bookmarkStart w:id="497" w:name="_Toc81306487"/>
      <w:bookmarkStart w:id="498" w:name="_Toc81314462"/>
      <w:bookmarkStart w:id="499" w:name="_Toc81394862"/>
      <w:bookmarkStart w:id="500" w:name="_Toc81401534"/>
      <w:bookmarkStart w:id="501" w:name="_Toc81405157"/>
      <w:bookmarkStart w:id="502" w:name="_Toc81406607"/>
      <w:bookmarkStart w:id="503" w:name="_Toc81406798"/>
      <w:bookmarkStart w:id="504" w:name="_Toc86145216"/>
      <w:bookmarkStart w:id="505" w:name="_Toc86160833"/>
      <w:bookmarkStart w:id="506" w:name="_Toc86226271"/>
      <w:bookmarkStart w:id="507" w:name="_Toc86231947"/>
      <w:bookmarkStart w:id="508" w:name="_Toc87609603"/>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532C20">
        <w:rPr>
          <w:rStyle w:val="normaltextrun"/>
          <w:rFonts w:ascii="Times New Roman" w:hAnsi="Times New Roman" w:cs="Times New Roman"/>
          <w:noProof/>
          <w:lang w:val="en-IE"/>
        </w:rPr>
        <w:t xml:space="preserve">According to the principle of subsidiarity </w:t>
      </w:r>
      <w:r w:rsidR="008145B4" w:rsidRPr="00532C20">
        <w:rPr>
          <w:rStyle w:val="normaltextrun"/>
          <w:rFonts w:ascii="Times New Roman" w:hAnsi="Times New Roman" w:cs="Times New Roman"/>
          <w:noProof/>
          <w:lang w:val="en-IE"/>
        </w:rPr>
        <w:t>(</w:t>
      </w:r>
      <w:r w:rsidRPr="00532C20">
        <w:rPr>
          <w:rStyle w:val="normaltextrun"/>
          <w:rFonts w:ascii="Times New Roman" w:hAnsi="Times New Roman" w:cs="Times New Roman"/>
          <w:noProof/>
          <w:lang w:val="en-IE"/>
        </w:rPr>
        <w:t xml:space="preserve">Article 5(3) </w:t>
      </w:r>
      <w:r w:rsidR="007C3296" w:rsidRPr="00532C20">
        <w:rPr>
          <w:rStyle w:val="normaltextrun"/>
          <w:rFonts w:ascii="Times New Roman" w:hAnsi="Times New Roman" w:cs="Times New Roman"/>
          <w:noProof/>
          <w:lang w:val="en-IE"/>
        </w:rPr>
        <w:t>TEU</w:t>
      </w:r>
      <w:r w:rsidR="008145B4" w:rsidRPr="00532C20">
        <w:rPr>
          <w:rStyle w:val="normaltextrun"/>
          <w:rFonts w:ascii="Times New Roman" w:hAnsi="Times New Roman" w:cs="Times New Roman"/>
          <w:noProof/>
          <w:lang w:val="en-IE"/>
        </w:rPr>
        <w:t>)</w:t>
      </w:r>
      <w:r w:rsidRPr="00532C20">
        <w:rPr>
          <w:rStyle w:val="normaltextrun"/>
          <w:rFonts w:ascii="Times New Roman" w:hAnsi="Times New Roman" w:cs="Times New Roman"/>
          <w:noProof/>
          <w:lang w:val="en-IE"/>
        </w:rPr>
        <w:t xml:space="preserve">, action at EU level should be taken only when the aims envisaged cannot be achieved sufficiently by Member States alone and can therefore, by reason of the scale or effects, be better achieved by the EU. </w:t>
      </w:r>
    </w:p>
    <w:p w14:paraId="3525C568" w14:textId="77777777" w:rsidR="00AF5134" w:rsidRPr="00532C20" w:rsidRDefault="002174B9" w:rsidP="007F13A1">
      <w:pPr>
        <w:pStyle w:val="paragraph"/>
        <w:spacing w:before="0" w:beforeAutospacing="0" w:after="120" w:afterAutospacing="0"/>
        <w:jc w:val="both"/>
        <w:textAlignment w:val="baseline"/>
        <w:rPr>
          <w:rStyle w:val="normaltextrun"/>
          <w:noProof/>
          <w:lang w:val="en-US"/>
        </w:rPr>
      </w:pPr>
      <w:r w:rsidRPr="00532C20">
        <w:rPr>
          <w:rStyle w:val="normaltextrun"/>
          <w:noProof/>
          <w:lang w:val="en-US"/>
        </w:rPr>
        <w:t xml:space="preserve">As Member States’ rules affecting interest representation on behalf of third countries </w:t>
      </w:r>
      <w:r w:rsidRPr="00532C20">
        <w:rPr>
          <w:rStyle w:val="normaltextrun"/>
          <w:noProof/>
          <w:lang w:val="en-IE"/>
        </w:rPr>
        <w:t>diverge</w:t>
      </w:r>
      <w:r w:rsidRPr="00532C20">
        <w:rPr>
          <w:rStyle w:val="normaltextrun"/>
          <w:noProof/>
          <w:lang w:val="en-US"/>
        </w:rPr>
        <w:t xml:space="preserve"> in their scope, content and effect, a </w:t>
      </w:r>
      <w:r w:rsidRPr="00532C20">
        <w:rPr>
          <w:rStyle w:val="normaltextrun"/>
          <w:noProof/>
          <w:lang w:val="en-IE"/>
        </w:rPr>
        <w:t>patchy framework</w:t>
      </w:r>
      <w:r w:rsidRPr="00532C20">
        <w:rPr>
          <w:rStyle w:val="normaltextrun"/>
          <w:noProof/>
          <w:lang w:val="en-US"/>
        </w:rPr>
        <w:t xml:space="preserve"> of national rules is appearing and </w:t>
      </w:r>
      <w:r w:rsidRPr="00532C20">
        <w:rPr>
          <w:rStyle w:val="normaltextrun"/>
          <w:noProof/>
          <w:lang w:val="en-IE"/>
        </w:rPr>
        <w:t>risks</w:t>
      </w:r>
      <w:r w:rsidRPr="00532C20">
        <w:rPr>
          <w:rStyle w:val="normaltextrun"/>
          <w:noProof/>
          <w:lang w:val="en-US"/>
        </w:rPr>
        <w:t xml:space="preserve"> to increase, especially when it comes to interest representation </w:t>
      </w:r>
      <w:r w:rsidRPr="00532C20">
        <w:rPr>
          <w:rStyle w:val="normaltextrun"/>
          <w:noProof/>
          <w:lang w:val="en-IE"/>
        </w:rPr>
        <w:t xml:space="preserve">activities </w:t>
      </w:r>
      <w:r w:rsidRPr="00532C20">
        <w:rPr>
          <w:rStyle w:val="normaltextrun"/>
          <w:noProof/>
          <w:lang w:val="en-US"/>
        </w:rPr>
        <w:t xml:space="preserve">carried out on behalf of third countries. </w:t>
      </w:r>
      <w:r w:rsidRPr="00532C20">
        <w:rPr>
          <w:rStyle w:val="normaltextrun"/>
          <w:noProof/>
          <w:lang w:val="en-IE"/>
        </w:rPr>
        <w:t>It undermines the internal market by creating</w:t>
      </w:r>
      <w:r w:rsidRPr="00532C20">
        <w:rPr>
          <w:rStyle w:val="normaltextrun"/>
          <w:noProof/>
          <w:lang w:val="en-US"/>
        </w:rPr>
        <w:t xml:space="preserve"> an </w:t>
      </w:r>
      <w:r w:rsidRPr="00532C20">
        <w:rPr>
          <w:rStyle w:val="normaltextrun"/>
          <w:noProof/>
          <w:lang w:val="en-IE"/>
        </w:rPr>
        <w:t xml:space="preserve">uneven playing field and unnecessary costs for entities that seek to carry out cross-border interest representation activities on behalf of third countries. It invites regulatory arbitrage to avoid transparency measures which </w:t>
      </w:r>
      <w:r w:rsidRPr="00532C20">
        <w:rPr>
          <w:rStyle w:val="normaltextrun"/>
          <w:noProof/>
          <w:lang w:val="en-US"/>
        </w:rPr>
        <w:t xml:space="preserve">in </w:t>
      </w:r>
      <w:r w:rsidRPr="00532C20">
        <w:rPr>
          <w:rStyle w:val="normaltextrun"/>
          <w:noProof/>
          <w:lang w:val="en-IE"/>
        </w:rPr>
        <w:t>turn impacts the citizens’ confidence and trust in the effectiveness of regulation.</w:t>
      </w:r>
      <w:r w:rsidRPr="00532C20">
        <w:rPr>
          <w:rStyle w:val="normaltextrun"/>
          <w:noProof/>
          <w:lang w:val="en-US"/>
        </w:rPr>
        <w:t xml:space="preserve"> </w:t>
      </w:r>
    </w:p>
    <w:p w14:paraId="76B7BDBD" w14:textId="66E8CE99" w:rsidR="008B16F1" w:rsidRPr="00532C20" w:rsidRDefault="004006CE" w:rsidP="007F13A1">
      <w:pPr>
        <w:pStyle w:val="paragraph"/>
        <w:spacing w:before="0" w:beforeAutospacing="0" w:after="120" w:afterAutospacing="0"/>
        <w:jc w:val="both"/>
        <w:textAlignment w:val="baseline"/>
        <w:rPr>
          <w:rStyle w:val="normaltextrun"/>
          <w:rFonts w:ascii="Times New Roman" w:hAnsi="Times New Roman" w:cs="Times New Roman"/>
          <w:noProof/>
          <w:lang w:val="en-IE"/>
        </w:rPr>
      </w:pPr>
      <w:r w:rsidRPr="00532C20">
        <w:rPr>
          <w:rStyle w:val="normaltextrun"/>
          <w:rFonts w:ascii="Times New Roman" w:hAnsi="Times New Roman" w:cs="Times New Roman"/>
          <w:noProof/>
          <w:lang w:val="en-IE"/>
        </w:rPr>
        <w:t xml:space="preserve">Only intervention at </w:t>
      </w:r>
      <w:r w:rsidR="006F4B79" w:rsidRPr="00532C20">
        <w:rPr>
          <w:rStyle w:val="normaltextrun"/>
          <w:rFonts w:ascii="Times New Roman" w:hAnsi="Times New Roman" w:cs="Times New Roman"/>
          <w:noProof/>
          <w:lang w:val="en-IE"/>
        </w:rPr>
        <w:t>EU</w:t>
      </w:r>
      <w:r w:rsidRPr="00532C20">
        <w:rPr>
          <w:rStyle w:val="normaltextrun"/>
          <w:rFonts w:ascii="Times New Roman" w:hAnsi="Times New Roman" w:cs="Times New Roman"/>
          <w:noProof/>
          <w:lang w:val="en-IE"/>
        </w:rPr>
        <w:t xml:space="preserve"> level can solve </w:t>
      </w:r>
      <w:r w:rsidR="009E4A30" w:rsidRPr="00532C20">
        <w:rPr>
          <w:rStyle w:val="normaltextrun"/>
          <w:rFonts w:ascii="Times New Roman" w:hAnsi="Times New Roman" w:cs="Times New Roman"/>
          <w:noProof/>
          <w:lang w:val="en-IE"/>
        </w:rPr>
        <w:t>these</w:t>
      </w:r>
      <w:r w:rsidR="00AF5134" w:rsidRPr="00532C20">
        <w:rPr>
          <w:rStyle w:val="normaltextrun"/>
          <w:rFonts w:ascii="Times New Roman" w:hAnsi="Times New Roman" w:cs="Times New Roman"/>
          <w:noProof/>
          <w:lang w:val="en-IE"/>
        </w:rPr>
        <w:t xml:space="preserve"> problems</w:t>
      </w:r>
      <w:r w:rsidRPr="00532C20">
        <w:rPr>
          <w:rStyle w:val="normaltextrun"/>
          <w:rFonts w:ascii="Times New Roman" w:hAnsi="Times New Roman" w:cs="Times New Roman"/>
          <w:noProof/>
          <w:lang w:val="en-IE"/>
        </w:rPr>
        <w:t xml:space="preserve">, as regulation at national level </w:t>
      </w:r>
      <w:r w:rsidR="007028E7" w:rsidRPr="00532C20">
        <w:rPr>
          <w:rStyle w:val="normaltextrun"/>
          <w:rFonts w:ascii="Times New Roman" w:hAnsi="Times New Roman" w:cs="Times New Roman"/>
          <w:noProof/>
          <w:lang w:val="en-IE"/>
        </w:rPr>
        <w:t xml:space="preserve">already </w:t>
      </w:r>
      <w:r w:rsidR="008D17F2" w:rsidRPr="00532C20">
        <w:rPr>
          <w:rStyle w:val="normaltextrun"/>
          <w:rFonts w:ascii="Times New Roman" w:hAnsi="Times New Roman" w:cs="Times New Roman"/>
          <w:noProof/>
          <w:lang w:val="en-IE"/>
        </w:rPr>
        <w:t>result</w:t>
      </w:r>
      <w:r w:rsidR="00397C41" w:rsidRPr="00532C20">
        <w:rPr>
          <w:rStyle w:val="normaltextrun"/>
          <w:rFonts w:ascii="Times New Roman" w:hAnsi="Times New Roman" w:cs="Times New Roman"/>
          <w:noProof/>
          <w:lang w:val="en-IE"/>
        </w:rPr>
        <w:t>s</w:t>
      </w:r>
      <w:r w:rsidR="008D17F2" w:rsidRPr="00532C20">
        <w:rPr>
          <w:rStyle w:val="normaltextrun"/>
          <w:rFonts w:ascii="Times New Roman" w:hAnsi="Times New Roman" w:cs="Times New Roman"/>
          <w:noProof/>
          <w:lang w:val="en-IE"/>
        </w:rPr>
        <w:t xml:space="preserve"> in</w:t>
      </w:r>
      <w:r w:rsidRPr="00532C20">
        <w:rPr>
          <w:rStyle w:val="normaltextrun"/>
          <w:rFonts w:ascii="Times New Roman" w:hAnsi="Times New Roman" w:cs="Times New Roman"/>
          <w:noProof/>
          <w:lang w:val="en-IE"/>
        </w:rPr>
        <w:t xml:space="preserve"> the </w:t>
      </w:r>
      <w:r w:rsidR="008D17F2" w:rsidRPr="00532C20">
        <w:rPr>
          <w:rStyle w:val="normaltextrun"/>
          <w:rFonts w:ascii="Times New Roman" w:hAnsi="Times New Roman" w:cs="Times New Roman"/>
          <w:noProof/>
          <w:lang w:val="en-IE"/>
        </w:rPr>
        <w:t>creation of</w:t>
      </w:r>
      <w:r w:rsidR="00AF2010" w:rsidRPr="00532C20">
        <w:rPr>
          <w:rStyle w:val="normaltextrun"/>
          <w:rFonts w:ascii="Times New Roman" w:hAnsi="Times New Roman" w:cs="Times New Roman"/>
          <w:noProof/>
          <w:lang w:val="en-IE"/>
        </w:rPr>
        <w:t xml:space="preserve"> </w:t>
      </w:r>
      <w:r w:rsidR="00A32813" w:rsidRPr="00532C20">
        <w:rPr>
          <w:rStyle w:val="normaltextrun"/>
          <w:rFonts w:ascii="Times New Roman" w:hAnsi="Times New Roman" w:cs="Times New Roman"/>
          <w:noProof/>
          <w:lang w:val="en-IE"/>
        </w:rPr>
        <w:t xml:space="preserve">obstacles </w:t>
      </w:r>
      <w:r w:rsidRPr="00532C20">
        <w:rPr>
          <w:rStyle w:val="normaltextrun"/>
          <w:rFonts w:ascii="Times New Roman" w:hAnsi="Times New Roman" w:cs="Times New Roman"/>
          <w:noProof/>
          <w:lang w:val="en-IE"/>
        </w:rPr>
        <w:t>to cross-border interest representation</w:t>
      </w:r>
      <w:r w:rsidR="001568F4" w:rsidRPr="00532C20">
        <w:rPr>
          <w:rStyle w:val="normaltextrun"/>
          <w:rFonts w:ascii="Times New Roman" w:hAnsi="Times New Roman" w:cs="Times New Roman"/>
          <w:noProof/>
          <w:lang w:val="en-IE"/>
        </w:rPr>
        <w:t xml:space="preserve"> activities</w:t>
      </w:r>
      <w:r w:rsidR="00AF2010" w:rsidRPr="00532C20">
        <w:rPr>
          <w:rStyle w:val="normaltextrun"/>
          <w:rFonts w:ascii="Times New Roman" w:hAnsi="Times New Roman" w:cs="Times New Roman"/>
          <w:noProof/>
          <w:lang w:val="en-IE"/>
        </w:rPr>
        <w:t xml:space="preserve"> in the internal market</w:t>
      </w:r>
      <w:r w:rsidR="00191549" w:rsidRPr="00532C20">
        <w:rPr>
          <w:rStyle w:val="normaltextrun"/>
          <w:rFonts w:ascii="Times New Roman" w:hAnsi="Times New Roman" w:cs="Times New Roman"/>
          <w:noProof/>
          <w:lang w:val="en-IE"/>
        </w:rPr>
        <w:t>.</w:t>
      </w:r>
      <w:r w:rsidR="00AF5134" w:rsidRPr="00532C20">
        <w:rPr>
          <w:rFonts w:ascii="Times New Roman" w:eastAsia="Times New Roman" w:hAnsi="Times New Roman" w:cs="Times New Roman"/>
          <w:noProof/>
          <w:lang w:val="en-IE"/>
        </w:rPr>
        <w:t xml:space="preserve"> </w:t>
      </w:r>
      <w:r w:rsidR="008B16F1" w:rsidRPr="00532C20">
        <w:rPr>
          <w:rStyle w:val="normaltextrun"/>
          <w:rFonts w:ascii="Times New Roman" w:hAnsi="Times New Roman" w:cs="Times New Roman"/>
          <w:noProof/>
          <w:lang w:val="en-IE"/>
        </w:rPr>
        <w:t>In contrast, the effects of any action taken under national law would be limited to a single Member State and risk</w:t>
      </w:r>
      <w:r w:rsidR="00EB4BE3" w:rsidRPr="00532C20">
        <w:rPr>
          <w:rStyle w:val="normaltextrun"/>
          <w:rFonts w:ascii="Times New Roman" w:hAnsi="Times New Roman" w:cs="Times New Roman"/>
          <w:noProof/>
          <w:lang w:val="en-IE"/>
        </w:rPr>
        <w:t>s</w:t>
      </w:r>
      <w:r w:rsidR="008B16F1" w:rsidRPr="00532C20">
        <w:rPr>
          <w:rStyle w:val="normaltextrun"/>
          <w:rFonts w:ascii="Times New Roman" w:hAnsi="Times New Roman" w:cs="Times New Roman"/>
          <w:noProof/>
          <w:lang w:val="en-IE"/>
        </w:rPr>
        <w:t xml:space="preserve"> being circumvented or be difficult to oversee in relation to entities carrying out interest representation on behalf of third countries from other Member States. </w:t>
      </w:r>
      <w:r w:rsidR="00AB77AB" w:rsidRPr="00532C20">
        <w:rPr>
          <w:rStyle w:val="normaltextrun"/>
          <w:rFonts w:ascii="Times New Roman" w:hAnsi="Times New Roman" w:cs="Times New Roman"/>
          <w:noProof/>
          <w:lang w:val="en-IE"/>
        </w:rPr>
        <w:t>Furthermore, s</w:t>
      </w:r>
      <w:r w:rsidR="00480C70" w:rsidRPr="00532C20">
        <w:rPr>
          <w:rStyle w:val="normaltextrun"/>
          <w:rFonts w:ascii="Times New Roman" w:hAnsi="Times New Roman" w:cs="Times New Roman"/>
          <w:noProof/>
          <w:lang w:val="en-IE"/>
        </w:rPr>
        <w:t>ome Member States are currently considering legislative initiatives in the field of foreign influence that might not align with the proportionate and targeted approach of this initiative and that might not provide with a comprehensive system of safeguards. Only action at EU level can address this consistently across the internal market. Introducing common and proportionate standards for transparency of interest representation carried out on behalf of third countries at EU level is essential to ensure that such measures are established consistently across all Member States with respect to all fundamental rights and in particular subject to comprehensive safeguards including access to the courts.</w:t>
      </w:r>
    </w:p>
    <w:p w14:paraId="62525E9A" w14:textId="03E7C50C" w:rsidR="00537046" w:rsidRPr="00532C20" w:rsidRDefault="00AB77AB" w:rsidP="007F13A1">
      <w:pPr>
        <w:pStyle w:val="paragraph"/>
        <w:spacing w:before="0" w:beforeAutospacing="0" w:after="120" w:afterAutospacing="0"/>
        <w:jc w:val="both"/>
        <w:textAlignment w:val="baseline"/>
        <w:rPr>
          <w:rStyle w:val="eop"/>
          <w:rFonts w:ascii="Times New Roman" w:hAnsi="Times New Roman" w:cs="Times New Roman"/>
          <w:noProof/>
          <w:lang w:val="en-IE"/>
        </w:rPr>
      </w:pPr>
      <w:r w:rsidRPr="00532C20">
        <w:rPr>
          <w:rStyle w:val="normaltextrun"/>
          <w:rFonts w:ascii="Times New Roman" w:hAnsi="Times New Roman" w:cs="Times New Roman"/>
          <w:noProof/>
          <w:lang w:val="en-IE"/>
        </w:rPr>
        <w:t>Finally</w:t>
      </w:r>
      <w:r w:rsidR="00537046" w:rsidRPr="00532C20">
        <w:rPr>
          <w:rStyle w:val="normaltextrun"/>
          <w:rFonts w:ascii="Times New Roman" w:hAnsi="Times New Roman" w:cs="Times New Roman"/>
          <w:noProof/>
          <w:lang w:val="en-IE"/>
        </w:rPr>
        <w:t>, interest representation activities carried out on behalf of third countries is a transnational issue with cross-border implications</w:t>
      </w:r>
      <w:r w:rsidRPr="00532C20">
        <w:rPr>
          <w:rStyle w:val="normaltextrun"/>
          <w:rFonts w:ascii="Times New Roman" w:hAnsi="Times New Roman" w:cs="Times New Roman"/>
          <w:noProof/>
          <w:lang w:val="en-IE"/>
        </w:rPr>
        <w:t xml:space="preserve"> that need to be addressed at EU level</w:t>
      </w:r>
      <w:r w:rsidR="00537046" w:rsidRPr="00532C20">
        <w:rPr>
          <w:rStyle w:val="normaltextrun"/>
          <w:rFonts w:ascii="Times New Roman" w:hAnsi="Times New Roman" w:cs="Times New Roman"/>
          <w:noProof/>
          <w:lang w:val="en-IE"/>
        </w:rPr>
        <w:t xml:space="preserve">. Influencing policy decisions and political processes in one Member State can have an impact beyond that Member State’s borders, in another Member State or at the European level. The absence of EU-level action may result in some Member States being less knowledgeable than others about interest representation activities carried out on behalf of third countries, and it </w:t>
      </w:r>
      <w:r w:rsidR="00537046" w:rsidRPr="00532C20">
        <w:rPr>
          <w:rStyle w:val="normaltextrun"/>
          <w:noProof/>
          <w:lang w:val="en-IE"/>
        </w:rPr>
        <w:t>seems unlikely that Member States would converge on aligned standards on how to collect comparable data on interest representation activities carried out on behalf of third countries, or establish a systematic EU wide cooperation mechanism to exchange information with each other and the Commission.</w:t>
      </w:r>
    </w:p>
    <w:p w14:paraId="46F8FC23" w14:textId="77777777" w:rsidR="003461F2" w:rsidRPr="00532C20" w:rsidRDefault="003461F2" w:rsidP="00132572">
      <w:pPr>
        <w:spacing w:after="120" w:line="240" w:lineRule="auto"/>
        <w:jc w:val="both"/>
        <w:rPr>
          <w:rFonts w:ascii="Times New Roman" w:hAnsi="Times New Roman" w:cs="Times New Roman"/>
          <w:noProof/>
          <w:sz w:val="24"/>
          <w:szCs w:val="24"/>
          <w:lang w:val="en-IE" w:eastAsia="en-IE"/>
        </w:rPr>
      </w:pPr>
      <w:bookmarkStart w:id="509" w:name="_Toc133290980"/>
      <w:bookmarkStart w:id="510" w:name="_Toc133290984"/>
      <w:bookmarkStart w:id="511" w:name="_Toc133512109"/>
      <w:bookmarkStart w:id="512" w:name="_Toc133512154"/>
      <w:bookmarkStart w:id="513" w:name="_Toc133512200"/>
      <w:bookmarkStart w:id="514" w:name="_Toc133512202"/>
      <w:bookmarkStart w:id="515" w:name="_Toc79748364"/>
      <w:bookmarkStart w:id="516" w:name="_Toc79765312"/>
      <w:bookmarkStart w:id="517" w:name="_Toc79765409"/>
      <w:bookmarkStart w:id="518" w:name="_Toc80020699"/>
      <w:bookmarkStart w:id="519" w:name="_Toc80024173"/>
      <w:bookmarkStart w:id="520" w:name="_Toc80025896"/>
      <w:bookmarkStart w:id="521" w:name="_Toc80028646"/>
      <w:bookmarkStart w:id="522" w:name="_Toc80093476"/>
      <w:bookmarkStart w:id="523" w:name="_Toc80110105"/>
      <w:bookmarkStart w:id="524" w:name="_Toc80111490"/>
      <w:bookmarkStart w:id="525" w:name="_Toc80116071"/>
      <w:bookmarkStart w:id="526" w:name="_Toc80637869"/>
      <w:bookmarkStart w:id="527" w:name="_Toc80640260"/>
      <w:bookmarkStart w:id="528" w:name="_Toc80643393"/>
      <w:bookmarkStart w:id="529" w:name="_Toc80643515"/>
      <w:bookmarkStart w:id="530" w:name="_Toc80643744"/>
      <w:bookmarkStart w:id="531" w:name="_Toc80703173"/>
      <w:bookmarkStart w:id="532" w:name="_Toc80709731"/>
      <w:bookmarkStart w:id="533" w:name="_Toc80710119"/>
      <w:bookmarkStart w:id="534" w:name="_Toc80725953"/>
      <w:bookmarkStart w:id="535" w:name="_Toc80808468"/>
      <w:bookmarkStart w:id="536" w:name="_Toc80865892"/>
      <w:bookmarkStart w:id="537" w:name="_Toc80888227"/>
      <w:bookmarkStart w:id="538" w:name="_Toc80893601"/>
      <w:bookmarkStart w:id="539" w:name="_Toc80980435"/>
      <w:bookmarkStart w:id="540" w:name="_Toc81222305"/>
      <w:bookmarkStart w:id="541" w:name="_Toc81225191"/>
      <w:bookmarkStart w:id="542" w:name="_Toc81227733"/>
      <w:bookmarkStart w:id="543" w:name="_Toc81228505"/>
      <w:bookmarkStart w:id="544" w:name="_Toc81232687"/>
      <w:bookmarkStart w:id="545" w:name="_Toc81233792"/>
      <w:bookmarkStart w:id="546" w:name="_Toc81242118"/>
      <w:bookmarkStart w:id="547" w:name="_Toc81242307"/>
      <w:bookmarkStart w:id="548" w:name="_Toc81298958"/>
      <w:bookmarkStart w:id="549" w:name="_Toc81306491"/>
      <w:bookmarkStart w:id="550" w:name="_Toc81314466"/>
      <w:bookmarkStart w:id="551" w:name="_Toc81394866"/>
      <w:bookmarkStart w:id="552" w:name="_Toc81401538"/>
      <w:bookmarkStart w:id="553" w:name="_Toc81405161"/>
      <w:bookmarkStart w:id="554" w:name="_Toc81406611"/>
      <w:bookmarkStart w:id="555" w:name="_Toc81406802"/>
      <w:bookmarkStart w:id="556" w:name="_Toc81406898"/>
      <w:bookmarkStart w:id="557" w:name="_Toc86145220"/>
      <w:bookmarkStart w:id="558" w:name="_Toc86160837"/>
      <w:bookmarkStart w:id="559" w:name="_Toc86168823"/>
      <w:bookmarkStart w:id="560" w:name="_Toc86226275"/>
      <w:bookmarkStart w:id="561" w:name="_Toc86231951"/>
      <w:bookmarkStart w:id="562" w:name="_Toc86334965"/>
      <w:bookmarkStart w:id="563" w:name="_Toc87609607"/>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0A01E2F8" w14:textId="77777777" w:rsidR="00451531" w:rsidRPr="00532C20" w:rsidRDefault="00451531" w:rsidP="00132572">
      <w:pPr>
        <w:spacing w:after="120" w:line="240" w:lineRule="auto"/>
        <w:jc w:val="both"/>
        <w:rPr>
          <w:rFonts w:ascii="Times New Roman" w:hAnsi="Times New Roman" w:cs="Times New Roman"/>
          <w:noProof/>
          <w:sz w:val="24"/>
          <w:szCs w:val="24"/>
          <w:lang w:val="en-IE" w:eastAsia="en-IE"/>
        </w:rPr>
        <w:sectPr w:rsidR="00451531" w:rsidRPr="00532C20" w:rsidSect="009B402D">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9" w:footer="709" w:gutter="0"/>
          <w:cols w:space="720"/>
          <w:docGrid w:linePitch="360"/>
        </w:sectPr>
      </w:pPr>
    </w:p>
    <w:p w14:paraId="6D5A5743" w14:textId="01841950" w:rsidR="00451531" w:rsidRPr="00532C20" w:rsidRDefault="00AB459F" w:rsidP="005F4CF5">
      <w:pPr>
        <w:spacing w:after="0" w:line="240" w:lineRule="auto"/>
        <w:rPr>
          <w:rFonts w:ascii="Times New Roman" w:hAnsi="Times New Roman" w:cs="Times New Roman"/>
          <w:b/>
          <w:bCs/>
          <w:noProof/>
          <w:u w:val="single"/>
          <w:lang w:val="en-IE" w:eastAsia="en-IE"/>
        </w:rPr>
      </w:pPr>
      <w:r w:rsidRPr="00532C20">
        <w:rPr>
          <w:rFonts w:ascii="Times New Roman" w:hAnsi="Times New Roman" w:cs="Times New Roman"/>
          <w:b/>
          <w:bCs/>
          <w:noProof/>
          <w:u w:val="single"/>
          <w:lang w:val="en-IE" w:eastAsia="en-IE"/>
        </w:rPr>
        <w:t xml:space="preserve">Figure </w:t>
      </w:r>
      <w:r w:rsidR="006A6481" w:rsidRPr="00532C20">
        <w:rPr>
          <w:rFonts w:ascii="Times New Roman" w:hAnsi="Times New Roman" w:cs="Times New Roman"/>
          <w:b/>
          <w:noProof/>
          <w:u w:val="single"/>
          <w:lang w:val="en-IE" w:eastAsia="en-IE"/>
        </w:rPr>
        <w:t>2</w:t>
      </w:r>
      <w:r w:rsidRPr="00532C20">
        <w:rPr>
          <w:rFonts w:ascii="Times New Roman" w:hAnsi="Times New Roman" w:cs="Times New Roman"/>
          <w:b/>
          <w:bCs/>
          <w:noProof/>
          <w:u w:val="single"/>
          <w:lang w:val="en-IE" w:eastAsia="en-IE"/>
        </w:rPr>
        <w:t>. Intervention log</w:t>
      </w:r>
      <w:r w:rsidR="184D8419" w:rsidRPr="00532C20">
        <w:rPr>
          <w:rFonts w:ascii="Times New Roman" w:hAnsi="Times New Roman" w:cs="Times New Roman"/>
          <w:b/>
          <w:bCs/>
          <w:noProof/>
          <w:u w:val="single"/>
          <w:lang w:val="en-IE" w:eastAsia="en-IE"/>
        </w:rPr>
        <w:t>ic</w:t>
      </w:r>
      <w:r w:rsidR="00453147" w:rsidRPr="00532C20">
        <w:rPr>
          <w:rFonts w:ascii="Times New Roman" w:hAnsi="Times New Roman" w:cs="Times New Roman"/>
          <w:b/>
          <w:bCs/>
          <w:noProof/>
          <w:u w:val="single"/>
          <w:lang w:val="en-IE" w:eastAsia="en-IE"/>
        </w:rPr>
        <w:t>:</w:t>
      </w:r>
    </w:p>
    <w:p w14:paraId="7E0DFCC9" w14:textId="43CBC5CD" w:rsidR="00453147" w:rsidRPr="00532C20" w:rsidRDefault="005F4CF5" w:rsidP="004B0958">
      <w:pPr>
        <w:spacing w:line="240" w:lineRule="auto"/>
        <w:jc w:val="both"/>
        <w:rPr>
          <w:noProof/>
        </w:rPr>
        <w:sectPr w:rsidR="00453147" w:rsidRPr="00532C20" w:rsidSect="00582553">
          <w:headerReference w:type="even" r:id="rId31"/>
          <w:headerReference w:type="default" r:id="rId32"/>
          <w:footerReference w:type="even" r:id="rId33"/>
          <w:footerReference w:type="default" r:id="rId34"/>
          <w:headerReference w:type="first" r:id="rId35"/>
          <w:footerReference w:type="first" r:id="rId36"/>
          <w:pgSz w:w="16838" w:h="11906" w:orient="landscape"/>
          <w:pgMar w:top="1440" w:right="1440" w:bottom="1440" w:left="1440" w:header="709" w:footer="709" w:gutter="0"/>
          <w:cols w:space="720"/>
          <w:docGrid w:linePitch="360"/>
        </w:sectPr>
      </w:pPr>
      <w:r w:rsidRPr="00532C20">
        <w:rPr>
          <w:noProof/>
          <w:lang w:eastAsia="en-GB"/>
        </w:rPr>
        <w:drawing>
          <wp:inline distT="0" distB="0" distL="0" distR="0" wp14:anchorId="17F8FF3C" wp14:editId="3A1A1D77">
            <wp:extent cx="8143875" cy="55645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155654" cy="5572617"/>
                    </a:xfrm>
                    <a:prstGeom prst="rect">
                      <a:avLst/>
                    </a:prstGeom>
                  </pic:spPr>
                </pic:pic>
              </a:graphicData>
            </a:graphic>
          </wp:inline>
        </w:drawing>
      </w:r>
    </w:p>
    <w:p w14:paraId="5F55126B" w14:textId="77777777" w:rsidR="008A5BE0" w:rsidRPr="00532C20" w:rsidRDefault="008A5BE0" w:rsidP="008A5BE0">
      <w:pPr>
        <w:pStyle w:val="1levelonetitle"/>
        <w:spacing w:before="0"/>
        <w:rPr>
          <w:noProof/>
        </w:rPr>
      </w:pPr>
      <w:bookmarkStart w:id="564" w:name="_Toc134028716"/>
      <w:bookmarkStart w:id="565" w:name="_Toc134620360"/>
      <w:bookmarkStart w:id="566" w:name="_Toc152864672"/>
      <w:bookmarkStart w:id="567" w:name="_Toc73525720"/>
      <w:bookmarkStart w:id="568" w:name="_Toc73551036"/>
      <w:bookmarkStart w:id="569" w:name="_Toc73562554"/>
      <w:bookmarkStart w:id="570" w:name="_Toc73649153"/>
      <w:bookmarkStart w:id="571" w:name="_Toc74081100"/>
      <w:bookmarkStart w:id="572" w:name="_Toc74168100"/>
      <w:bookmarkStart w:id="573" w:name="_Toc74596040"/>
      <w:bookmarkStart w:id="574" w:name="_Toc75282880"/>
      <w:bookmarkStart w:id="575" w:name="_Toc75291810"/>
      <w:bookmarkStart w:id="576" w:name="_Toc75862428"/>
      <w:bookmarkStart w:id="577" w:name="_Toc75882167"/>
      <w:bookmarkStart w:id="578" w:name="_Toc75882651"/>
      <w:bookmarkStart w:id="579" w:name="_Toc75886610"/>
      <w:bookmarkStart w:id="580" w:name="_Toc75893760"/>
      <w:bookmarkStart w:id="581" w:name="_Toc75895470"/>
      <w:bookmarkStart w:id="582" w:name="_Toc78820688"/>
      <w:bookmarkStart w:id="583" w:name="_Toc78821804"/>
      <w:bookmarkStart w:id="584" w:name="_Toc79679515"/>
      <w:bookmarkStart w:id="585" w:name="_Toc79680379"/>
      <w:bookmarkStart w:id="586" w:name="_Toc79742175"/>
      <w:bookmarkStart w:id="587" w:name="_Toc79745659"/>
      <w:bookmarkStart w:id="588" w:name="_Toc79748366"/>
      <w:bookmarkStart w:id="589" w:name="_Toc79765314"/>
      <w:bookmarkStart w:id="590" w:name="_Toc79765411"/>
      <w:bookmarkStart w:id="591" w:name="_Toc80020701"/>
      <w:bookmarkStart w:id="592" w:name="_Toc80024175"/>
      <w:bookmarkStart w:id="593" w:name="_Toc80025898"/>
      <w:bookmarkStart w:id="594" w:name="_Toc80028648"/>
      <w:bookmarkStart w:id="595" w:name="_Toc80093478"/>
      <w:bookmarkStart w:id="596" w:name="_Toc80110107"/>
      <w:bookmarkStart w:id="597" w:name="_Toc80111492"/>
      <w:bookmarkStart w:id="598" w:name="_Toc80116073"/>
      <w:bookmarkStart w:id="599" w:name="_Toc80637871"/>
      <w:bookmarkStart w:id="600" w:name="_Toc80640262"/>
      <w:bookmarkStart w:id="601" w:name="_Toc80643517"/>
      <w:bookmarkStart w:id="602" w:name="_Toc80643746"/>
      <w:bookmarkStart w:id="603" w:name="_Toc80703175"/>
      <w:bookmarkStart w:id="604" w:name="_Toc80708260"/>
      <w:bookmarkStart w:id="605" w:name="_Toc80709733"/>
      <w:bookmarkStart w:id="606" w:name="_Toc80710121"/>
      <w:bookmarkStart w:id="607" w:name="_Toc80725955"/>
      <w:bookmarkStart w:id="608" w:name="_Toc80808470"/>
      <w:bookmarkStart w:id="609" w:name="_Toc80865894"/>
      <w:bookmarkStart w:id="610" w:name="_Toc80888229"/>
      <w:bookmarkStart w:id="611" w:name="_Toc80980437"/>
      <w:bookmarkStart w:id="612" w:name="_Toc81222307"/>
      <w:bookmarkStart w:id="613" w:name="_Toc81225193"/>
      <w:bookmarkStart w:id="614" w:name="_Toc81227735"/>
      <w:bookmarkStart w:id="615" w:name="_Toc81228507"/>
      <w:bookmarkStart w:id="616" w:name="_Toc81232689"/>
      <w:bookmarkStart w:id="617" w:name="_Toc81233794"/>
      <w:bookmarkStart w:id="618" w:name="_Toc81242120"/>
      <w:bookmarkStart w:id="619" w:name="_Toc81242309"/>
      <w:bookmarkStart w:id="620" w:name="_Toc81298960"/>
      <w:bookmarkStart w:id="621" w:name="_Toc81306493"/>
      <w:bookmarkStart w:id="622" w:name="_Toc81314468"/>
      <w:bookmarkStart w:id="623" w:name="_Toc81394868"/>
      <w:bookmarkStart w:id="624" w:name="_Toc81401540"/>
      <w:bookmarkStart w:id="625" w:name="_Toc81405163"/>
      <w:bookmarkStart w:id="626" w:name="_Toc81406613"/>
      <w:bookmarkStart w:id="627" w:name="_Toc81406804"/>
      <w:bookmarkStart w:id="628" w:name="_Toc86145222"/>
      <w:bookmarkStart w:id="629" w:name="_Toc86160839"/>
      <w:bookmarkStart w:id="630" w:name="_Toc86226277"/>
      <w:bookmarkStart w:id="631" w:name="_Toc86231953"/>
      <w:bookmarkStart w:id="632" w:name="_Toc87609609"/>
      <w:bookmarkStart w:id="633" w:name="_Toc132810123"/>
      <w:bookmarkStart w:id="634" w:name="_Toc134028721"/>
      <w:bookmarkStart w:id="635" w:name="_Toc134620365"/>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sidRPr="00532C20">
        <w:rPr>
          <w:noProof/>
        </w:rPr>
        <w:t>Objectives: What is to be achieved?</w:t>
      </w:r>
      <w:bookmarkEnd w:id="564"/>
      <w:bookmarkEnd w:id="565"/>
      <w:bookmarkEnd w:id="566"/>
    </w:p>
    <w:p w14:paraId="5DB07912" w14:textId="77777777" w:rsidR="008A5BE0" w:rsidRPr="00532C20" w:rsidRDefault="008A5BE0" w:rsidP="008A5BE0">
      <w:pPr>
        <w:pStyle w:val="11Subsection"/>
        <w:rPr>
          <w:noProof/>
        </w:rPr>
      </w:pPr>
      <w:bookmarkStart w:id="636" w:name="_Toc134028717"/>
      <w:bookmarkStart w:id="637" w:name="_Toc134620361"/>
      <w:bookmarkStart w:id="638" w:name="_Toc152864673"/>
      <w:r w:rsidRPr="00532C20">
        <w:rPr>
          <w:noProof/>
        </w:rPr>
        <w:t>General objectives</w:t>
      </w:r>
      <w:bookmarkEnd w:id="636"/>
      <w:bookmarkEnd w:id="637"/>
      <w:bookmarkEnd w:id="638"/>
      <w:r w:rsidRPr="00532C20">
        <w:rPr>
          <w:noProof/>
        </w:rPr>
        <w:t xml:space="preserve"> </w:t>
      </w:r>
    </w:p>
    <w:p w14:paraId="56219E73" w14:textId="77777777" w:rsidR="008A5BE0" w:rsidRPr="00532C20" w:rsidRDefault="008A5BE0" w:rsidP="008A5BE0">
      <w:pPr>
        <w:spacing w:after="12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There are 2 general objectives:</w:t>
      </w:r>
    </w:p>
    <w:p w14:paraId="62C885BB" w14:textId="77777777" w:rsidR="008A5BE0" w:rsidRPr="00532C20" w:rsidRDefault="008A5BE0">
      <w:pPr>
        <w:pStyle w:val="ListParagraph"/>
        <w:numPr>
          <w:ilvl w:val="0"/>
          <w:numId w:val="41"/>
        </w:numPr>
        <w:spacing w:after="120"/>
        <w:ind w:left="714" w:hanging="357"/>
        <w:contextualSpacing w:val="0"/>
        <w:jc w:val="both"/>
        <w:textAlignment w:val="baseline"/>
        <w:rPr>
          <w:rFonts w:ascii="Times New Roman" w:hAnsi="Times New Roman" w:cs="Times New Roman"/>
          <w:noProof/>
          <w:lang w:val="en-US" w:eastAsia="en-IE"/>
        </w:rPr>
      </w:pPr>
      <w:r w:rsidRPr="00532C20">
        <w:rPr>
          <w:rFonts w:ascii="Times New Roman" w:hAnsi="Times New Roman" w:cs="Times New Roman"/>
          <w:noProof/>
          <w:lang w:val="en-US" w:eastAsia="en-IE"/>
        </w:rPr>
        <w:t>Ensure the proper functioning of the internal market for interest representation activities carried out on behalf of third countries.</w:t>
      </w:r>
    </w:p>
    <w:p w14:paraId="41BF3C9D" w14:textId="04F57123" w:rsidR="008A5BE0" w:rsidRPr="00532C20" w:rsidRDefault="008A5BE0">
      <w:pPr>
        <w:pStyle w:val="ListParagraph"/>
        <w:numPr>
          <w:ilvl w:val="0"/>
          <w:numId w:val="41"/>
        </w:numPr>
        <w:spacing w:after="120"/>
        <w:ind w:left="714" w:hanging="357"/>
        <w:jc w:val="both"/>
        <w:textAlignment w:val="baseline"/>
        <w:rPr>
          <w:rFonts w:ascii="Times New Roman" w:hAnsi="Times New Roman" w:cs="Times New Roman"/>
          <w:noProof/>
          <w:lang w:val="en-US" w:eastAsia="en-IE"/>
        </w:rPr>
      </w:pPr>
      <w:r w:rsidRPr="00532C20">
        <w:rPr>
          <w:rFonts w:ascii="Times New Roman" w:hAnsi="Times New Roman" w:cs="Times New Roman"/>
          <w:noProof/>
          <w:lang w:val="en-US" w:eastAsia="en-IE"/>
        </w:rPr>
        <w:t>To contribute to the transparency, integrity of, and public trust in, EU and Member State decision</w:t>
      </w:r>
      <w:r w:rsidR="007F0FA3">
        <w:rPr>
          <w:rFonts w:ascii="Times New Roman" w:hAnsi="Times New Roman" w:cs="Times New Roman"/>
          <w:noProof/>
          <w:lang w:val="en-US" w:eastAsia="en-IE"/>
        </w:rPr>
        <w:t>-</w:t>
      </w:r>
      <w:r w:rsidRPr="00532C20">
        <w:rPr>
          <w:rFonts w:ascii="Times New Roman" w:hAnsi="Times New Roman" w:cs="Times New Roman"/>
          <w:noProof/>
          <w:lang w:val="en-US" w:eastAsia="en-IE"/>
        </w:rPr>
        <w:t>making processes, with regard to the influence of third countries.</w:t>
      </w:r>
    </w:p>
    <w:p w14:paraId="6085192B" w14:textId="77777777" w:rsidR="008A5BE0" w:rsidRPr="00532C20" w:rsidRDefault="008A5BE0" w:rsidP="008A5BE0">
      <w:pPr>
        <w:pStyle w:val="11Subsection"/>
        <w:rPr>
          <w:noProof/>
        </w:rPr>
      </w:pPr>
      <w:bookmarkStart w:id="639" w:name="_Toc80024172"/>
      <w:bookmarkStart w:id="640" w:name="_Toc80028645"/>
      <w:bookmarkStart w:id="641" w:name="_Toc80111489"/>
      <w:bookmarkStart w:id="642" w:name="_Toc80637868"/>
      <w:bookmarkStart w:id="643" w:name="_Toc80640259"/>
      <w:bookmarkStart w:id="644" w:name="_Toc80643514"/>
      <w:bookmarkStart w:id="645" w:name="_Toc80643743"/>
      <w:bookmarkStart w:id="646" w:name="_Toc80703172"/>
      <w:bookmarkStart w:id="647" w:name="_Toc80709730"/>
      <w:bookmarkStart w:id="648" w:name="_Toc80710118"/>
      <w:bookmarkStart w:id="649" w:name="_Toc80725952"/>
      <w:bookmarkStart w:id="650" w:name="_Toc80808467"/>
      <w:bookmarkStart w:id="651" w:name="_Toc80865891"/>
      <w:bookmarkStart w:id="652" w:name="_Toc80888226"/>
      <w:bookmarkStart w:id="653" w:name="_Toc80980434"/>
      <w:bookmarkStart w:id="654" w:name="_Toc81222304"/>
      <w:bookmarkStart w:id="655" w:name="_Toc81225190"/>
      <w:bookmarkStart w:id="656" w:name="_Toc81227732"/>
      <w:bookmarkStart w:id="657" w:name="_Toc81228504"/>
      <w:bookmarkStart w:id="658" w:name="_Toc81232686"/>
      <w:bookmarkStart w:id="659" w:name="_Toc81233791"/>
      <w:bookmarkStart w:id="660" w:name="_Toc81242117"/>
      <w:bookmarkStart w:id="661" w:name="_Toc81242306"/>
      <w:bookmarkStart w:id="662" w:name="_Toc81298957"/>
      <w:bookmarkStart w:id="663" w:name="_Toc81306490"/>
      <w:bookmarkStart w:id="664" w:name="_Toc81314465"/>
      <w:bookmarkStart w:id="665" w:name="_Toc81394865"/>
      <w:bookmarkStart w:id="666" w:name="_Toc81401537"/>
      <w:bookmarkStart w:id="667" w:name="_Toc81405160"/>
      <w:bookmarkStart w:id="668" w:name="_Toc81406610"/>
      <w:bookmarkStart w:id="669" w:name="_Toc81406801"/>
      <w:bookmarkStart w:id="670" w:name="_Toc86145219"/>
      <w:bookmarkStart w:id="671" w:name="_Toc86160836"/>
      <w:bookmarkStart w:id="672" w:name="_Toc86226274"/>
      <w:bookmarkStart w:id="673" w:name="_Toc86231950"/>
      <w:bookmarkStart w:id="674" w:name="_Toc87609606"/>
      <w:bookmarkStart w:id="675" w:name="_Toc132810119"/>
      <w:bookmarkStart w:id="676" w:name="_Toc134028718"/>
      <w:bookmarkStart w:id="677" w:name="_Toc134620362"/>
      <w:bookmarkStart w:id="678" w:name="_Toc152864674"/>
      <w:bookmarkStart w:id="679" w:name="_Toc80020698"/>
      <w:bookmarkStart w:id="680" w:name="_Toc80025895"/>
      <w:bookmarkStart w:id="681" w:name="_Toc80093475"/>
      <w:bookmarkStart w:id="682" w:name="_Toc80110104"/>
      <w:bookmarkStart w:id="683" w:name="_Toc80116070"/>
      <w:r w:rsidRPr="00532C20">
        <w:rPr>
          <w:noProof/>
        </w:rPr>
        <w:t>Specific objectives</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sidRPr="00532C20">
        <w:rPr>
          <w:noProof/>
        </w:rPr>
        <w:t xml:space="preserve"> </w:t>
      </w:r>
      <w:bookmarkEnd w:id="679"/>
      <w:bookmarkEnd w:id="680"/>
      <w:bookmarkEnd w:id="681"/>
      <w:bookmarkEnd w:id="682"/>
      <w:bookmarkEnd w:id="683"/>
    </w:p>
    <w:p w14:paraId="6D23610F" w14:textId="77777777" w:rsidR="008A5BE0" w:rsidRPr="00532C20" w:rsidRDefault="008A5BE0" w:rsidP="008A5BE0">
      <w:pPr>
        <w:spacing w:after="12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In line with the general objectives, the following are the specific objectives: </w:t>
      </w:r>
    </w:p>
    <w:p w14:paraId="014F5F82" w14:textId="77777777" w:rsidR="008A5BE0" w:rsidRPr="00532C20" w:rsidRDefault="008A5BE0">
      <w:pPr>
        <w:pStyle w:val="ListParagraph"/>
        <w:numPr>
          <w:ilvl w:val="0"/>
          <w:numId w:val="34"/>
        </w:numPr>
        <w:spacing w:after="120"/>
        <w:contextualSpacing w:val="0"/>
        <w:jc w:val="both"/>
        <w:textAlignment w:val="baseline"/>
        <w:rPr>
          <w:rFonts w:ascii="Times New Roman" w:hAnsi="Times New Roman" w:cs="Times New Roman"/>
          <w:noProof/>
          <w:lang w:val="en-IE" w:eastAsia="en-IE"/>
        </w:rPr>
      </w:pPr>
      <w:r w:rsidRPr="00532C20">
        <w:rPr>
          <w:rFonts w:ascii="Times New Roman" w:hAnsi="Times New Roman" w:cs="Times New Roman"/>
          <w:noProof/>
          <w:lang w:val="en-US" w:eastAsia="en-IE"/>
        </w:rPr>
        <w:t>Facilitate cross-border interest representation activities carried out on behalf of third countries when done transparently.</w:t>
      </w:r>
    </w:p>
    <w:p w14:paraId="5D0FB6CC" w14:textId="1D6FCA73" w:rsidR="008A5BE0" w:rsidRPr="00532C20" w:rsidDel="00443D3D" w:rsidRDefault="008A5BE0" w:rsidP="00A85482">
      <w:pPr>
        <w:pStyle w:val="ListParagraph"/>
        <w:numPr>
          <w:ilvl w:val="0"/>
          <w:numId w:val="34"/>
        </w:numPr>
        <w:spacing w:after="120"/>
        <w:contextualSpacing w:val="0"/>
        <w:jc w:val="both"/>
        <w:textAlignment w:val="baseline"/>
        <w:rPr>
          <w:rFonts w:ascii="Times New Roman" w:hAnsi="Times New Roman" w:cs="Times New Roman"/>
          <w:noProof/>
          <w:lang w:val="en-US" w:eastAsia="en-IE"/>
        </w:rPr>
      </w:pPr>
      <w:r w:rsidRPr="00532C20">
        <w:rPr>
          <w:rFonts w:ascii="Times New Roman" w:hAnsi="Times New Roman" w:cs="Times New Roman"/>
          <w:noProof/>
          <w:lang w:val="en-US" w:eastAsia="en-IE"/>
        </w:rPr>
        <w:t>Improve knowledge about the magnitude, trends and actors of interest representation carried out on behalf of third countries.</w:t>
      </w:r>
    </w:p>
    <w:p w14:paraId="00952B0D" w14:textId="4473759D" w:rsidR="00443D3D" w:rsidRPr="00532C20" w:rsidRDefault="000E5BE7" w:rsidP="00582553">
      <w:pPr>
        <w:spacing w:after="120"/>
        <w:jc w:val="both"/>
        <w:textAlignment w:val="baseline"/>
        <w:rPr>
          <w:rFonts w:ascii="Times New Roman" w:hAnsi="Times New Roman" w:cs="Times New Roman"/>
          <w:noProof/>
          <w:lang w:val="en-IE" w:eastAsia="en-IE"/>
        </w:rPr>
      </w:pPr>
      <w:r w:rsidRPr="00532C20">
        <w:rPr>
          <w:rFonts w:ascii="Times New Roman" w:hAnsi="Times New Roman" w:cs="Times New Roman"/>
          <w:noProof/>
          <w:sz w:val="24"/>
          <w:szCs w:val="24"/>
          <w:lang w:val="en-IE" w:eastAsia="en-IE"/>
        </w:rPr>
        <w:t>T</w:t>
      </w:r>
      <w:r w:rsidR="00FF7C92" w:rsidRPr="00532C20">
        <w:rPr>
          <w:rFonts w:ascii="Times New Roman" w:hAnsi="Times New Roman" w:cs="Times New Roman"/>
          <w:noProof/>
          <w:sz w:val="24"/>
          <w:szCs w:val="24"/>
          <w:lang w:val="en-IE" w:eastAsia="en-IE"/>
        </w:rPr>
        <w:t>here may be</w:t>
      </w:r>
      <w:r w:rsidR="009E4538" w:rsidRPr="00532C20">
        <w:rPr>
          <w:rFonts w:ascii="Times New Roman" w:hAnsi="Times New Roman" w:cs="Times New Roman"/>
          <w:noProof/>
          <w:sz w:val="24"/>
          <w:szCs w:val="24"/>
          <w:lang w:val="en-IE" w:eastAsia="en-IE"/>
        </w:rPr>
        <w:t xml:space="preserve"> </w:t>
      </w:r>
      <w:r w:rsidR="00970D05" w:rsidRPr="00532C20">
        <w:rPr>
          <w:rFonts w:ascii="Times New Roman" w:hAnsi="Times New Roman" w:cs="Times New Roman"/>
          <w:noProof/>
          <w:sz w:val="24"/>
          <w:szCs w:val="24"/>
          <w:lang w:val="en-IE" w:eastAsia="en-IE"/>
        </w:rPr>
        <w:t>trade-offs between facilitating cross</w:t>
      </w:r>
      <w:r w:rsidR="00353111" w:rsidRPr="00532C20">
        <w:rPr>
          <w:rFonts w:ascii="Times New Roman" w:hAnsi="Times New Roman" w:cs="Times New Roman"/>
          <w:noProof/>
          <w:sz w:val="24"/>
          <w:szCs w:val="24"/>
          <w:lang w:val="en-IE" w:eastAsia="en-IE"/>
        </w:rPr>
        <w:t>-</w:t>
      </w:r>
      <w:r w:rsidR="00970D05" w:rsidRPr="00532C20">
        <w:rPr>
          <w:rFonts w:ascii="Times New Roman" w:hAnsi="Times New Roman" w:cs="Times New Roman"/>
          <w:noProof/>
          <w:sz w:val="24"/>
          <w:szCs w:val="24"/>
          <w:lang w:val="en-IE" w:eastAsia="en-IE"/>
        </w:rPr>
        <w:t xml:space="preserve">border interest representation </w:t>
      </w:r>
      <w:r w:rsidR="00353111" w:rsidRPr="00532C20">
        <w:rPr>
          <w:rFonts w:ascii="Times New Roman" w:hAnsi="Times New Roman" w:cs="Times New Roman"/>
          <w:noProof/>
          <w:sz w:val="24"/>
          <w:szCs w:val="24"/>
          <w:lang w:val="en-IE" w:eastAsia="en-IE"/>
        </w:rPr>
        <w:t xml:space="preserve">activities </w:t>
      </w:r>
      <w:r w:rsidR="00970D05" w:rsidRPr="00532C20">
        <w:rPr>
          <w:rFonts w:ascii="Times New Roman" w:hAnsi="Times New Roman" w:cs="Times New Roman"/>
          <w:noProof/>
          <w:sz w:val="24"/>
          <w:szCs w:val="24"/>
          <w:lang w:val="en-IE" w:eastAsia="en-IE"/>
        </w:rPr>
        <w:t xml:space="preserve">and </w:t>
      </w:r>
      <w:r w:rsidR="000F2A2C" w:rsidRPr="00532C20">
        <w:rPr>
          <w:rFonts w:ascii="Times New Roman" w:hAnsi="Times New Roman" w:cs="Times New Roman"/>
          <w:noProof/>
          <w:sz w:val="24"/>
          <w:szCs w:val="24"/>
          <w:lang w:val="en-IE" w:eastAsia="en-IE"/>
        </w:rPr>
        <w:t>imposing</w:t>
      </w:r>
      <w:r w:rsidR="00970D05" w:rsidRPr="00532C20">
        <w:rPr>
          <w:rFonts w:ascii="Times New Roman" w:hAnsi="Times New Roman" w:cs="Times New Roman"/>
          <w:noProof/>
          <w:sz w:val="24"/>
          <w:szCs w:val="24"/>
          <w:lang w:val="en-IE" w:eastAsia="en-IE"/>
        </w:rPr>
        <w:t xml:space="preserve"> common transparency standards </w:t>
      </w:r>
      <w:r w:rsidR="000F2A2C" w:rsidRPr="00532C20">
        <w:rPr>
          <w:rFonts w:ascii="Times New Roman" w:hAnsi="Times New Roman" w:cs="Times New Roman"/>
          <w:noProof/>
          <w:sz w:val="24"/>
          <w:szCs w:val="24"/>
          <w:lang w:val="en-IE" w:eastAsia="en-IE"/>
        </w:rPr>
        <w:t>on entities</w:t>
      </w:r>
      <w:r w:rsidR="00CB710C" w:rsidRPr="00532C20">
        <w:rPr>
          <w:rFonts w:ascii="Times New Roman" w:hAnsi="Times New Roman" w:cs="Times New Roman"/>
          <w:noProof/>
          <w:sz w:val="24"/>
          <w:szCs w:val="24"/>
          <w:lang w:val="en-IE" w:eastAsia="en-IE"/>
        </w:rPr>
        <w:t xml:space="preserve"> carrying out interest representation on behalf of third countries. </w:t>
      </w:r>
    </w:p>
    <w:p w14:paraId="3EE48F45" w14:textId="77777777" w:rsidR="008A5BE0" w:rsidRPr="00532C20" w:rsidRDefault="008A5BE0" w:rsidP="008A5BE0">
      <w:pPr>
        <w:pStyle w:val="1levelonetitle"/>
        <w:rPr>
          <w:noProof/>
        </w:rPr>
      </w:pPr>
      <w:bookmarkStart w:id="684" w:name="_Toc152864675"/>
      <w:r w:rsidRPr="00532C20">
        <w:rPr>
          <w:noProof/>
        </w:rPr>
        <w:t>What are the available policy options?</w:t>
      </w:r>
      <w:bookmarkEnd w:id="684"/>
    </w:p>
    <w:p w14:paraId="6159233B" w14:textId="77777777" w:rsidR="008A5BE0" w:rsidRPr="00532C20" w:rsidRDefault="008A5BE0" w:rsidP="008A5BE0">
      <w:pPr>
        <w:pStyle w:val="11Subsection"/>
        <w:rPr>
          <w:noProof/>
        </w:rPr>
      </w:pPr>
      <w:bookmarkStart w:id="685" w:name="_Toc152864676"/>
      <w:r w:rsidRPr="00532C20">
        <w:rPr>
          <w:noProof/>
        </w:rPr>
        <w:t>What is the baseline from which policy options are assessed?</w:t>
      </w:r>
      <w:bookmarkEnd w:id="685"/>
    </w:p>
    <w:p w14:paraId="33A96E1E" w14:textId="77777777" w:rsidR="008A5BE0" w:rsidRPr="00532C20" w:rsidRDefault="008A5BE0" w:rsidP="008A5BE0">
      <w:pPr>
        <w:spacing w:after="120" w:line="240" w:lineRule="auto"/>
        <w:jc w:val="both"/>
        <w:textAlignment w:val="baseline"/>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The </w:t>
      </w:r>
      <w:r w:rsidRPr="00532C20">
        <w:rPr>
          <w:rFonts w:ascii="Times New Roman" w:eastAsia="Symbol" w:hAnsi="Times New Roman" w:cs="Times New Roman"/>
          <w:b/>
          <w:noProof/>
          <w:sz w:val="24"/>
          <w:szCs w:val="24"/>
          <w:lang w:val="en-IE"/>
        </w:rPr>
        <w:t>baseline is formed by Member States’ fragmented regulatory frameworks or its absence</w:t>
      </w:r>
      <w:r w:rsidRPr="00532C20">
        <w:rPr>
          <w:rFonts w:ascii="Times New Roman" w:eastAsia="Symbol" w:hAnsi="Times New Roman" w:cs="Times New Roman"/>
          <w:noProof/>
          <w:sz w:val="24"/>
          <w:szCs w:val="24"/>
          <w:lang w:val="en-IE"/>
        </w:rPr>
        <w:t xml:space="preserve">, which has been illustrated in the previous sections. There is currently no EU action that directly address the obstacles encountered in the internal market for interest representation activities carried out on behalf of third countries. </w:t>
      </w:r>
    </w:p>
    <w:p w14:paraId="72156C1F" w14:textId="5AF332E9" w:rsidR="001E5D0F" w:rsidRPr="00532C20" w:rsidRDefault="008A5BE0" w:rsidP="008A5BE0">
      <w:pPr>
        <w:spacing w:after="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The EU has, however, an existing toolbox of measures that aim at addressing issues in certain areas, potentially exploited by some third countries</w:t>
      </w:r>
      <w:r w:rsidR="00BE58D9" w:rsidRPr="00532C20">
        <w:rPr>
          <w:rFonts w:ascii="Times New Roman" w:eastAsia="Symbol" w:hAnsi="Times New Roman" w:cs="Times New Roman"/>
          <w:noProof/>
          <w:sz w:val="24"/>
          <w:szCs w:val="24"/>
          <w:lang w:val="en-IE"/>
        </w:rPr>
        <w:t>, and that continue to evolve (dynamic</w:t>
      </w:r>
      <w:r w:rsidR="008336B7">
        <w:rPr>
          <w:rFonts w:ascii="Times New Roman" w:eastAsia="Symbol" w:hAnsi="Times New Roman" w:cs="Times New Roman"/>
          <w:noProof/>
          <w:sz w:val="24"/>
          <w:szCs w:val="24"/>
          <w:lang w:val="en-IE"/>
        </w:rPr>
        <w:t>ally</w:t>
      </w:r>
      <w:r w:rsidR="00BE58D9" w:rsidRPr="00532C20">
        <w:rPr>
          <w:rFonts w:ascii="Times New Roman" w:eastAsia="Symbol" w:hAnsi="Times New Roman" w:cs="Times New Roman"/>
          <w:noProof/>
          <w:sz w:val="24"/>
          <w:szCs w:val="24"/>
          <w:lang w:val="en-IE"/>
        </w:rPr>
        <w:t>)</w:t>
      </w:r>
      <w:r w:rsidRPr="00532C20">
        <w:rPr>
          <w:rFonts w:ascii="Times New Roman" w:eastAsia="Symbol" w:hAnsi="Times New Roman" w:cs="Times New Roman"/>
          <w:noProof/>
          <w:sz w:val="24"/>
          <w:szCs w:val="24"/>
          <w:lang w:val="en-IE"/>
        </w:rPr>
        <w:t>. An overview of those current and planned measures is presented in Annex 9. They</w:t>
      </w:r>
      <w:r w:rsidRPr="00532C20">
        <w:rPr>
          <w:rFonts w:ascii="Times New Roman" w:eastAsia="Arial" w:hAnsi="Times New Roman" w:cs="Times New Roman"/>
          <w:noProof/>
          <w:sz w:val="24"/>
          <w:szCs w:val="24"/>
          <w:lang w:val="en-IE"/>
        </w:rPr>
        <w:t xml:space="preserve"> include updating rules governing European political parties and foundations</w:t>
      </w:r>
      <w:r w:rsidRPr="00532C20">
        <w:rPr>
          <w:rFonts w:ascii="Times New Roman" w:eastAsia="Arial" w:hAnsi="Times New Roman" w:cs="Times New Roman"/>
          <w:noProof/>
          <w:sz w:val="24"/>
          <w:szCs w:val="24"/>
          <w:vertAlign w:val="superscript"/>
          <w:lang w:val="en-IE"/>
        </w:rPr>
        <w:footnoteReference w:id="112"/>
      </w:r>
      <w:r w:rsidRPr="00532C20">
        <w:rPr>
          <w:rFonts w:ascii="Times New Roman" w:eastAsia="Arial" w:hAnsi="Times New Roman" w:cs="Times New Roman"/>
          <w:noProof/>
          <w:sz w:val="24"/>
          <w:szCs w:val="24"/>
          <w:lang w:val="en-IE"/>
        </w:rPr>
        <w:t>, regulating various aspects of online platforms, addressing disinformation, detecting, analysing and countering foreign information manipulation and interference (FIMI)</w:t>
      </w:r>
      <w:r w:rsidRPr="00532C20">
        <w:rPr>
          <w:rFonts w:ascii="Times New Roman" w:eastAsia="Arial" w:hAnsi="Times New Roman" w:cs="Times New Roman"/>
          <w:noProof/>
          <w:sz w:val="24"/>
          <w:szCs w:val="24"/>
          <w:vertAlign w:val="superscript"/>
          <w:lang w:val="en-IE"/>
        </w:rPr>
        <w:footnoteReference w:id="113"/>
      </w:r>
      <w:r w:rsidRPr="00532C20">
        <w:rPr>
          <w:rFonts w:ascii="Times New Roman" w:eastAsia="Arial" w:hAnsi="Times New Roman" w:cs="Times New Roman"/>
          <w:noProof/>
          <w:sz w:val="24"/>
          <w:szCs w:val="24"/>
          <w:lang w:val="en-IE"/>
        </w:rPr>
        <w:t>, regulating political advertising including on social media</w:t>
      </w:r>
      <w:r w:rsidRPr="00532C20">
        <w:rPr>
          <w:rFonts w:ascii="Times New Roman" w:eastAsia="Arial" w:hAnsi="Times New Roman" w:cs="Times New Roman"/>
          <w:noProof/>
          <w:sz w:val="24"/>
          <w:szCs w:val="24"/>
          <w:vertAlign w:val="superscript"/>
          <w:lang w:val="en-IE"/>
        </w:rPr>
        <w:footnoteReference w:id="114"/>
      </w:r>
      <w:r w:rsidRPr="00532C20">
        <w:rPr>
          <w:rFonts w:ascii="Times New Roman" w:eastAsia="Arial" w:hAnsi="Times New Roman" w:cs="Times New Roman"/>
          <w:noProof/>
          <w:sz w:val="24"/>
          <w:szCs w:val="24"/>
          <w:lang w:val="en-IE"/>
        </w:rPr>
        <w:t>, supporting free, fair and inclusive elections, supporting free and plural media</w:t>
      </w:r>
      <w:r w:rsidRPr="00532C20">
        <w:rPr>
          <w:rFonts w:ascii="Times New Roman" w:eastAsia="Arial" w:hAnsi="Times New Roman" w:cs="Times New Roman"/>
          <w:noProof/>
          <w:sz w:val="24"/>
          <w:szCs w:val="24"/>
          <w:vertAlign w:val="superscript"/>
          <w:lang w:val="en-IE"/>
        </w:rPr>
        <w:footnoteReference w:id="115"/>
      </w:r>
      <w:r w:rsidRPr="00532C20">
        <w:rPr>
          <w:rFonts w:ascii="Times New Roman" w:eastAsia="Arial" w:hAnsi="Times New Roman" w:cs="Times New Roman"/>
          <w:noProof/>
          <w:sz w:val="24"/>
          <w:szCs w:val="24"/>
          <w:lang w:val="en-IE"/>
        </w:rPr>
        <w:t>, addressing questions of investments by third countries in electoral infrastructure</w:t>
      </w:r>
      <w:r w:rsidRPr="00532C20">
        <w:rPr>
          <w:rFonts w:ascii="Times New Roman" w:eastAsia="Arial" w:hAnsi="Times New Roman" w:cs="Times New Roman"/>
          <w:noProof/>
          <w:sz w:val="24"/>
          <w:szCs w:val="24"/>
          <w:vertAlign w:val="superscript"/>
          <w:lang w:val="en-IE"/>
        </w:rPr>
        <w:footnoteReference w:id="116"/>
      </w:r>
      <w:r w:rsidRPr="00532C20">
        <w:rPr>
          <w:rFonts w:ascii="Times New Roman" w:eastAsia="Arial" w:hAnsi="Times New Roman" w:cs="Times New Roman"/>
          <w:noProof/>
          <w:sz w:val="24"/>
          <w:szCs w:val="24"/>
          <w:lang w:val="en-IE"/>
        </w:rPr>
        <w:t>, cybersecurity</w:t>
      </w:r>
      <w:r w:rsidRPr="00532C20">
        <w:rPr>
          <w:rFonts w:ascii="Times New Roman" w:eastAsia="Arial" w:hAnsi="Times New Roman" w:cs="Times New Roman"/>
          <w:noProof/>
          <w:sz w:val="24"/>
          <w:szCs w:val="24"/>
          <w:vertAlign w:val="superscript"/>
          <w:lang w:val="en-IE"/>
        </w:rPr>
        <w:footnoteReference w:id="117"/>
      </w:r>
      <w:r w:rsidRPr="00532C20">
        <w:rPr>
          <w:rFonts w:ascii="Times New Roman" w:eastAsia="Arial" w:hAnsi="Times New Roman" w:cs="Times New Roman"/>
          <w:noProof/>
          <w:sz w:val="24"/>
          <w:szCs w:val="24"/>
          <w:lang w:val="en-IE"/>
        </w:rPr>
        <w:t>, anti-money laundering and corruption</w:t>
      </w:r>
      <w:r w:rsidRPr="00532C20">
        <w:rPr>
          <w:rFonts w:ascii="Times New Roman" w:eastAsia="Arial" w:hAnsi="Times New Roman" w:cs="Times New Roman"/>
          <w:noProof/>
          <w:sz w:val="24"/>
          <w:szCs w:val="24"/>
          <w:vertAlign w:val="superscript"/>
          <w:lang w:val="en-IE"/>
        </w:rPr>
        <w:footnoteReference w:id="118"/>
      </w:r>
      <w:r w:rsidRPr="00532C20">
        <w:rPr>
          <w:rFonts w:ascii="Times New Roman" w:eastAsia="Arial" w:hAnsi="Times New Roman" w:cs="Times New Roman"/>
          <w:noProof/>
          <w:sz w:val="24"/>
          <w:szCs w:val="24"/>
          <w:lang w:val="en-IE"/>
        </w:rPr>
        <w:t xml:space="preserve">. </w:t>
      </w:r>
      <w:r w:rsidRPr="00532C20">
        <w:rPr>
          <w:rFonts w:ascii="Times New Roman" w:eastAsia="Symbol" w:hAnsi="Times New Roman" w:cs="Times New Roman"/>
          <w:noProof/>
          <w:sz w:val="24"/>
          <w:szCs w:val="24"/>
          <w:lang w:val="en-IE"/>
        </w:rPr>
        <w:t xml:space="preserve">These instruments are relevant for defining the broader environment in which a potential EU initiative under consideration will insert itself and evaluate its complementarity, coherence, added value. </w:t>
      </w:r>
    </w:p>
    <w:p w14:paraId="3D29430F" w14:textId="10C70256" w:rsidR="00E10EF7" w:rsidRPr="00532C20" w:rsidRDefault="00DB5AF9" w:rsidP="00D6485D">
      <w:pPr>
        <w:pStyle w:val="11Subsection"/>
        <w:rPr>
          <w:noProof/>
        </w:rPr>
      </w:pPr>
      <w:bookmarkStart w:id="686" w:name="_Toc152864677"/>
      <w:r w:rsidRPr="00532C20">
        <w:rPr>
          <w:noProof/>
        </w:rPr>
        <w:t>S</w:t>
      </w:r>
      <w:r w:rsidR="00B97204" w:rsidRPr="00532C20">
        <w:rPr>
          <w:noProof/>
        </w:rPr>
        <w:t xml:space="preserve">cope </w:t>
      </w:r>
      <w:r w:rsidRPr="00532C20">
        <w:rPr>
          <w:noProof/>
        </w:rPr>
        <w:t>of the policy intervention</w:t>
      </w:r>
      <w:bookmarkEnd w:id="686"/>
    </w:p>
    <w:p w14:paraId="22C29955" w14:textId="69BD8AA2" w:rsidR="00092CC1" w:rsidRPr="00532C20" w:rsidRDefault="00903E73" w:rsidP="00E10EF7">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Specific options</w:t>
      </w:r>
      <w:r w:rsidR="00092CC1" w:rsidRPr="00532C20">
        <w:rPr>
          <w:rFonts w:ascii="Times New Roman" w:eastAsia="Times" w:hAnsi="Times New Roman" w:cs="Times New Roman"/>
          <w:noProof/>
          <w:sz w:val="24"/>
          <w:szCs w:val="24"/>
          <w:lang w:val="en-IE"/>
        </w:rPr>
        <w:t xml:space="preserve"> have been discarded on the basis of the following analysis.</w:t>
      </w:r>
    </w:p>
    <w:p w14:paraId="4EEDC556" w14:textId="034BA51B" w:rsidR="00E10EF7" w:rsidRPr="00532C20" w:rsidRDefault="00E10EF7" w:rsidP="00E10EF7">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The scope of the intervention could be modulated on the basis of i) </w:t>
      </w:r>
      <w:r w:rsidR="00B91FCE" w:rsidRPr="00532C20">
        <w:rPr>
          <w:rFonts w:ascii="Times New Roman" w:eastAsia="Times" w:hAnsi="Times New Roman" w:cs="Times New Roman"/>
          <w:noProof/>
          <w:sz w:val="24"/>
          <w:szCs w:val="24"/>
          <w:lang w:val="en-IE"/>
        </w:rPr>
        <w:t xml:space="preserve">the </w:t>
      </w:r>
      <w:r w:rsidRPr="00532C20">
        <w:rPr>
          <w:rFonts w:ascii="Times New Roman" w:eastAsia="Times" w:hAnsi="Times New Roman" w:cs="Times New Roman"/>
          <w:noProof/>
          <w:sz w:val="24"/>
          <w:szCs w:val="24"/>
          <w:lang w:val="en-IE"/>
        </w:rPr>
        <w:t xml:space="preserve">geographical location and ii) </w:t>
      </w:r>
      <w:r w:rsidR="00B91FCE" w:rsidRPr="00532C20">
        <w:rPr>
          <w:rFonts w:ascii="Times New Roman" w:eastAsia="Times" w:hAnsi="Times New Roman" w:cs="Times New Roman"/>
          <w:noProof/>
          <w:sz w:val="24"/>
          <w:szCs w:val="24"/>
          <w:lang w:val="en-IE"/>
        </w:rPr>
        <w:t xml:space="preserve">the </w:t>
      </w:r>
      <w:r w:rsidRPr="00532C20">
        <w:rPr>
          <w:rFonts w:ascii="Times New Roman" w:eastAsia="Times" w:hAnsi="Times New Roman" w:cs="Times New Roman"/>
          <w:noProof/>
          <w:sz w:val="24"/>
          <w:szCs w:val="24"/>
          <w:lang w:val="en-IE"/>
        </w:rPr>
        <w:t>nature of the entity on whose behalf the interest representation activity is carried out.</w:t>
      </w:r>
    </w:p>
    <w:p w14:paraId="12B8561A" w14:textId="77777777" w:rsidR="00E10EF7" w:rsidRPr="00532C20" w:rsidRDefault="00E10EF7" w:rsidP="00E10EF7">
      <w:pPr>
        <w:keepNext/>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eastAsia="en-IE"/>
        </w:rPr>
        <w:t>When it comes to the geographical location, the available possibilities would be to cover either:</w:t>
      </w:r>
    </w:p>
    <w:p w14:paraId="44CBDF77" w14:textId="7698C349" w:rsidR="00E10EF7" w:rsidRPr="00532C20" w:rsidRDefault="00E10EF7" w:rsidP="00E10EF7">
      <w:pPr>
        <w:numPr>
          <w:ilvl w:val="0"/>
          <w:numId w:val="44"/>
        </w:num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b/>
          <w:bCs/>
          <w:noProof/>
          <w:sz w:val="24"/>
          <w:szCs w:val="24"/>
          <w:lang w:val="en-IE"/>
        </w:rPr>
        <w:t>some third countries:</w:t>
      </w:r>
      <w:r w:rsidRPr="00532C20">
        <w:rPr>
          <w:rFonts w:ascii="Times New Roman" w:eastAsia="Times" w:hAnsi="Times New Roman" w:cs="Times New Roman"/>
          <w:noProof/>
          <w:sz w:val="24"/>
          <w:szCs w:val="24"/>
          <w:lang w:val="en-IE"/>
        </w:rPr>
        <w:t xml:space="preserve"> this option would seek to include in the scope only activities on behalf </w:t>
      </w:r>
      <w:r w:rsidR="00B1745A">
        <w:rPr>
          <w:rFonts w:ascii="Times New Roman" w:eastAsia="Times" w:hAnsi="Times New Roman" w:cs="Times New Roman"/>
          <w:noProof/>
          <w:sz w:val="24"/>
          <w:szCs w:val="24"/>
          <w:lang w:val="en-IE"/>
        </w:rPr>
        <w:t xml:space="preserve">of </w:t>
      </w:r>
      <w:r w:rsidRPr="00532C20">
        <w:rPr>
          <w:rFonts w:ascii="Times New Roman" w:eastAsia="Times" w:hAnsi="Times New Roman" w:cs="Times New Roman"/>
          <w:noProof/>
          <w:sz w:val="24"/>
          <w:szCs w:val="24"/>
          <w:lang w:val="en-IE"/>
        </w:rPr>
        <w:t>specific third countries identified based on objective criteria. In its resolution on foreign interference in all democratic processes, the European Parliament expressed the preference for a risk-based approach based on some criteria which includes: “</w:t>
      </w:r>
      <w:r w:rsidRPr="00532C20">
        <w:rPr>
          <w:rFonts w:ascii="Times New Roman" w:eastAsia="Times" w:hAnsi="Times New Roman" w:cs="Times New Roman"/>
          <w:i/>
          <w:iCs/>
          <w:noProof/>
          <w:sz w:val="24"/>
          <w:szCs w:val="24"/>
          <w:lang w:val="en-IE"/>
        </w:rPr>
        <w:t>engagement in activities of foreign interference, an intellectual property theft programme directed against the EU and its Member States, legislation that forces national non-state actors to participate in intelligence activities, consistent violation of human rights, revisionist policy towards the existing international legal order, enforcement of authoritarian ideology extraterritorially</w:t>
      </w:r>
      <w:r w:rsidRPr="00532C20">
        <w:rPr>
          <w:rFonts w:ascii="Times New Roman" w:eastAsia="Times" w:hAnsi="Times New Roman" w:cs="Times New Roman"/>
          <w:noProof/>
          <w:sz w:val="24"/>
          <w:szCs w:val="24"/>
          <w:lang w:val="en-IE"/>
        </w:rPr>
        <w:t>”</w:t>
      </w:r>
      <w:r w:rsidRPr="00532C20">
        <w:rPr>
          <w:rFonts w:ascii="Times New Roman" w:eastAsia="Times" w:hAnsi="Times New Roman" w:cs="Times New Roman"/>
          <w:noProof/>
          <w:sz w:val="24"/>
          <w:szCs w:val="24"/>
          <w:vertAlign w:val="superscript"/>
          <w:lang w:val="en-IE"/>
        </w:rPr>
        <w:footnoteReference w:id="119"/>
      </w:r>
      <w:r w:rsidRPr="00532C20">
        <w:rPr>
          <w:rFonts w:ascii="Times New Roman" w:eastAsia="Times" w:hAnsi="Times New Roman" w:cs="Times New Roman"/>
          <w:noProof/>
          <w:sz w:val="24"/>
          <w:szCs w:val="24"/>
          <w:lang w:val="en-IE"/>
        </w:rPr>
        <w:t>. Similarly</w:t>
      </w:r>
      <w:r w:rsidRPr="00532C20" w:rsidDel="00590590">
        <w:rPr>
          <w:rFonts w:ascii="Times New Roman" w:eastAsia="Times" w:hAnsi="Times New Roman" w:cs="Times New Roman"/>
          <w:noProof/>
          <w:sz w:val="24"/>
          <w:szCs w:val="24"/>
          <w:lang w:val="en-IE"/>
        </w:rPr>
        <w:t>,</w:t>
      </w:r>
      <w:r w:rsidRPr="00532C20">
        <w:rPr>
          <w:rFonts w:ascii="Times New Roman" w:eastAsia="Times" w:hAnsi="Times New Roman" w:cs="Times New Roman"/>
          <w:noProof/>
          <w:sz w:val="24"/>
          <w:szCs w:val="24"/>
          <w:lang w:val="en-IE"/>
        </w:rPr>
        <w:t xml:space="preserve"> to the Anti-Money laundering Directive</w:t>
      </w:r>
      <w:r w:rsidRPr="00532C20">
        <w:rPr>
          <w:rFonts w:ascii="Times New Roman" w:eastAsia="Times" w:hAnsi="Times New Roman" w:cs="Times New Roman"/>
          <w:noProof/>
          <w:sz w:val="24"/>
          <w:szCs w:val="24"/>
          <w:vertAlign w:val="superscript"/>
          <w:lang w:val="en-IE"/>
        </w:rPr>
        <w:footnoteReference w:id="120"/>
      </w:r>
      <w:r w:rsidRPr="00532C20">
        <w:rPr>
          <w:rFonts w:ascii="Times New Roman" w:eastAsia="Times" w:hAnsi="Times New Roman" w:cs="Times New Roman"/>
          <w:noProof/>
          <w:sz w:val="24"/>
          <w:szCs w:val="24"/>
          <w:lang w:val="en-IE"/>
        </w:rPr>
        <w:t>, a list of such countries would be established by the Commission through delegated acts. EEA Member States would not be included; or</w:t>
      </w:r>
    </w:p>
    <w:p w14:paraId="5C489EA9" w14:textId="3EF5070F" w:rsidR="00E10EF7" w:rsidRPr="00532C20" w:rsidRDefault="00E10EF7" w:rsidP="00E10EF7">
      <w:pPr>
        <w:numPr>
          <w:ilvl w:val="0"/>
          <w:numId w:val="44"/>
        </w:num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b/>
          <w:bCs/>
          <w:noProof/>
          <w:sz w:val="24"/>
          <w:szCs w:val="24"/>
          <w:lang w:val="en-IE"/>
        </w:rPr>
        <w:t>all third countries (with additional requirements for some countries based on a risk-based approach):</w:t>
      </w:r>
      <w:r w:rsidRPr="00532C20">
        <w:rPr>
          <w:rFonts w:ascii="Times New Roman" w:eastAsia="Times" w:hAnsi="Times New Roman" w:cs="Times New Roman"/>
          <w:noProof/>
          <w:sz w:val="24"/>
          <w:szCs w:val="24"/>
          <w:lang w:val="en-IE"/>
        </w:rPr>
        <w:t xml:space="preserve"> this option would include activities on behalf of entities in all third countries, but specific requirements could be imposed when an entity carr</w:t>
      </w:r>
      <w:r w:rsidR="00B1745A">
        <w:rPr>
          <w:rFonts w:ascii="Times New Roman" w:eastAsia="Times" w:hAnsi="Times New Roman" w:cs="Times New Roman"/>
          <w:noProof/>
          <w:sz w:val="24"/>
          <w:szCs w:val="24"/>
          <w:lang w:val="en-IE"/>
        </w:rPr>
        <w:t>ies</w:t>
      </w:r>
      <w:r w:rsidRPr="00532C20">
        <w:rPr>
          <w:rFonts w:ascii="Times New Roman" w:eastAsia="Times" w:hAnsi="Times New Roman" w:cs="Times New Roman"/>
          <w:noProof/>
          <w:sz w:val="24"/>
          <w:szCs w:val="24"/>
          <w:lang w:val="en-IE"/>
        </w:rPr>
        <w:t xml:space="preserve"> out interest representation activities on behalf of a third country that has spent a significant amount on interest representation in a Member State or the EU as a whole</w:t>
      </w:r>
      <w:r w:rsidRPr="00532C20">
        <w:rPr>
          <w:rStyle w:val="FootnoteReference"/>
          <w:rFonts w:ascii="Times New Roman" w:eastAsia="Times" w:hAnsi="Times New Roman" w:cs="Times New Roman"/>
          <w:noProof/>
          <w:sz w:val="24"/>
          <w:szCs w:val="24"/>
          <w:lang w:val="en-IE"/>
        </w:rPr>
        <w:footnoteReference w:id="121"/>
      </w:r>
      <w:r w:rsidRPr="00532C20">
        <w:rPr>
          <w:rFonts w:ascii="Times New Roman" w:eastAsia="Times" w:hAnsi="Times New Roman" w:cs="Times New Roman"/>
          <w:noProof/>
          <w:sz w:val="24"/>
          <w:szCs w:val="24"/>
          <w:lang w:val="en-IE"/>
        </w:rPr>
        <w:t xml:space="preserve"> (risk-based approach). EEA Member States would not be included.</w:t>
      </w:r>
    </w:p>
    <w:p w14:paraId="68FBAFB4" w14:textId="77777777" w:rsidR="00E10EF7" w:rsidRPr="00532C20" w:rsidRDefault="00E10EF7" w:rsidP="00E10EF7">
      <w:pPr>
        <w:keepNext/>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eastAsia="en-IE"/>
        </w:rPr>
        <w:t xml:space="preserve">The scope of the legislative intervention would also change on the basis of the type of entity on whose behalf the interest representation would be carried out: </w:t>
      </w:r>
    </w:p>
    <w:p w14:paraId="1A908554" w14:textId="3DCE5E19" w:rsidR="00E10EF7" w:rsidRPr="00532C20" w:rsidRDefault="00E10EF7" w:rsidP="00E10EF7">
      <w:pPr>
        <w:numPr>
          <w:ilvl w:val="0"/>
          <w:numId w:val="44"/>
        </w:num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b/>
          <w:bCs/>
          <w:noProof/>
          <w:sz w:val="24"/>
          <w:szCs w:val="24"/>
          <w:lang w:val="en-IE"/>
        </w:rPr>
        <w:t>governments and affiliated entities (that is, governments and entities whose action can be attributed to them)</w:t>
      </w:r>
      <w:r w:rsidRPr="00532C20">
        <w:rPr>
          <w:rFonts w:ascii="Times New Roman" w:eastAsia="Times" w:hAnsi="Times New Roman" w:cs="Times New Roman"/>
          <w:noProof/>
          <w:sz w:val="24"/>
          <w:szCs w:val="24"/>
          <w:lang w:val="en-IE"/>
        </w:rPr>
        <w:t>: it would cover i) the central government and public authorities at all other levels of a third country (except EEA) as well as, to avoid circumvention, ii)</w:t>
      </w:r>
      <w:r w:rsidRPr="00532C20">
        <w:rPr>
          <w:rFonts w:ascii="Times New Roman" w:eastAsia="Calibri" w:hAnsi="Times New Roman" w:cs="Times New Roman"/>
          <w:noProof/>
          <w:sz w:val="24"/>
          <w:szCs w:val="24"/>
          <w:lang w:val="en-IE"/>
        </w:rPr>
        <w:t xml:space="preserve"> </w:t>
      </w:r>
      <w:r w:rsidRPr="00532C20">
        <w:rPr>
          <w:rFonts w:ascii="Times New Roman" w:eastAsia="Times" w:hAnsi="Times New Roman" w:cs="Times New Roman"/>
          <w:noProof/>
          <w:sz w:val="24"/>
          <w:szCs w:val="24"/>
          <w:lang w:val="en-IE"/>
        </w:rPr>
        <w:t>public or private entities, including EU citizens and legal persons established in the EU, whose actions can ultimately be attributed</w:t>
      </w:r>
      <w:r w:rsidRPr="00532C20">
        <w:rPr>
          <w:rStyle w:val="FootnoteReference"/>
          <w:rFonts w:ascii="Times New Roman" w:eastAsia="Times" w:hAnsi="Times New Roman" w:cs="Times New Roman"/>
          <w:noProof/>
          <w:sz w:val="24"/>
          <w:szCs w:val="24"/>
          <w:lang w:val="en-IE"/>
        </w:rPr>
        <w:footnoteReference w:id="122"/>
      </w:r>
      <w:r w:rsidRPr="00532C20">
        <w:rPr>
          <w:rFonts w:ascii="Times New Roman" w:eastAsia="Times" w:hAnsi="Times New Roman" w:cs="Times New Roman"/>
          <w:noProof/>
          <w:sz w:val="24"/>
          <w:szCs w:val="24"/>
          <w:lang w:val="en-IE"/>
        </w:rPr>
        <w:t xml:space="preserve"> to a central government or public authorities of a country. It would cover situations where a government is behind the decision of another entity to have interest representation activities carried out on its behalf, in particular by giving instructions or directives to that entity</w:t>
      </w:r>
      <w:r w:rsidRPr="00532C20">
        <w:rPr>
          <w:rFonts w:ascii="Times New Roman" w:eastAsia="Times" w:hAnsi="Times New Roman" w:cs="Times New Roman"/>
          <w:noProof/>
          <w:sz w:val="24"/>
          <w:szCs w:val="24"/>
          <w:vertAlign w:val="superscript"/>
          <w:lang w:val="en-IE"/>
        </w:rPr>
        <w:footnoteReference w:id="123"/>
      </w:r>
      <w:r w:rsidRPr="00532C20">
        <w:rPr>
          <w:rFonts w:ascii="Times New Roman" w:eastAsia="Times" w:hAnsi="Times New Roman" w:cs="Times New Roman"/>
          <w:noProof/>
          <w:sz w:val="24"/>
          <w:szCs w:val="24"/>
          <w:lang w:val="en-IE"/>
        </w:rPr>
        <w:t>. It would also cover entities that are controlled</w:t>
      </w:r>
      <w:r w:rsidRPr="00532C20">
        <w:rPr>
          <w:rFonts w:ascii="Times New Roman" w:eastAsia="Times" w:hAnsi="Times New Roman" w:cs="Times New Roman"/>
          <w:noProof/>
          <w:sz w:val="24"/>
          <w:szCs w:val="24"/>
          <w:vertAlign w:val="superscript"/>
          <w:lang w:val="en-IE"/>
        </w:rPr>
        <w:footnoteReference w:id="124"/>
      </w:r>
      <w:r w:rsidRPr="00532C20">
        <w:rPr>
          <w:rFonts w:ascii="Times New Roman" w:eastAsia="Times" w:hAnsi="Times New Roman" w:cs="Times New Roman"/>
          <w:noProof/>
          <w:sz w:val="24"/>
          <w:szCs w:val="24"/>
          <w:lang w:val="en-IE"/>
        </w:rPr>
        <w:t xml:space="preserve"> by the government or a public authority. In terms of actors covered, all public or private entities, including EU citizens and legal persons, i.e. for example commercial entities, CSOs, cultural or research organisations, law firms etc., could fall under the scope given that their actions can ultimately be attributed to a central government or public authorities of a country. </w:t>
      </w:r>
    </w:p>
    <w:p w14:paraId="3557A170" w14:textId="0BD65435" w:rsidR="00E10EF7" w:rsidRPr="00532C20" w:rsidRDefault="00E10EF7" w:rsidP="00E10EF7">
      <w:pPr>
        <w:numPr>
          <w:ilvl w:val="0"/>
          <w:numId w:val="44"/>
        </w:num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b/>
          <w:bCs/>
          <w:noProof/>
          <w:sz w:val="24"/>
          <w:szCs w:val="24"/>
          <w:lang w:val="en-IE"/>
        </w:rPr>
        <w:t xml:space="preserve">all entities established in the designated countries. </w:t>
      </w:r>
      <w:r w:rsidRPr="00532C20">
        <w:rPr>
          <w:rFonts w:ascii="Times New Roman" w:eastAsia="Times" w:hAnsi="Times New Roman" w:cs="Times New Roman"/>
          <w:noProof/>
          <w:sz w:val="24"/>
          <w:szCs w:val="24"/>
          <w:lang w:val="en-IE"/>
        </w:rPr>
        <w:t>This would include activities on behalf of governments and affiliated – as defined above</w:t>
      </w:r>
      <w:r w:rsidR="00B1745A">
        <w:rPr>
          <w:rFonts w:ascii="Times New Roman" w:eastAsia="Times" w:hAnsi="Times New Roman" w:cs="Times New Roman"/>
          <w:noProof/>
          <w:sz w:val="24"/>
          <w:szCs w:val="24"/>
          <w:lang w:val="en-IE"/>
        </w:rPr>
        <w:t xml:space="preserve"> –</w:t>
      </w:r>
      <w:r w:rsidRPr="00532C20">
        <w:rPr>
          <w:rFonts w:ascii="Times New Roman" w:eastAsia="Times" w:hAnsi="Times New Roman" w:cs="Times New Roman"/>
          <w:noProof/>
          <w:sz w:val="24"/>
          <w:szCs w:val="24"/>
          <w:lang w:val="en-IE"/>
        </w:rPr>
        <w:t xml:space="preserve">, but also cases where they are carried out on behalf of other entities, including private actors or other organisations such as or international organisations (e.g., lobbying on behalf of a company) </w:t>
      </w:r>
    </w:p>
    <w:p w14:paraId="7DD908D2" w14:textId="77777777" w:rsidR="00E10EF7" w:rsidRPr="00532C20" w:rsidRDefault="00E10EF7" w:rsidP="00E10EF7">
      <w:pPr>
        <w:keepNext/>
        <w:spacing w:after="0" w:line="240" w:lineRule="auto"/>
        <w:jc w:val="both"/>
        <w:rPr>
          <w:rFonts w:ascii="Times New Roman" w:eastAsia="Times" w:hAnsi="Times New Roman" w:cs="Times New Roman"/>
          <w:b/>
          <w:bCs/>
          <w:noProof/>
          <w:sz w:val="24"/>
          <w:szCs w:val="24"/>
          <w:lang w:val="en-IE"/>
        </w:rPr>
      </w:pPr>
      <w:r w:rsidRPr="00532C20">
        <w:rPr>
          <w:rFonts w:ascii="Times New Roman" w:eastAsia="Times" w:hAnsi="Times New Roman" w:cs="Times New Roman"/>
          <w:b/>
          <w:bCs/>
          <w:noProof/>
          <w:sz w:val="24"/>
          <w:szCs w:val="24"/>
          <w:lang w:val="en-IE"/>
        </w:rPr>
        <w:t>Table 1: possible approaches to scope of the measures</w:t>
      </w:r>
    </w:p>
    <w:tbl>
      <w:tblPr>
        <w:tblStyle w:val="TableGrid2"/>
        <w:tblW w:w="9138" w:type="dxa"/>
        <w:jc w:val="center"/>
        <w:tblLook w:val="0480" w:firstRow="0" w:lastRow="0" w:firstColumn="1" w:lastColumn="0" w:noHBand="0" w:noVBand="1"/>
      </w:tblPr>
      <w:tblGrid>
        <w:gridCol w:w="3162"/>
        <w:gridCol w:w="2718"/>
        <w:gridCol w:w="3258"/>
      </w:tblGrid>
      <w:tr w:rsidR="00E10EF7" w:rsidRPr="00532C20" w14:paraId="2C8DDE00" w14:textId="77777777">
        <w:trPr>
          <w:trHeight w:val="311"/>
          <w:jc w:val="center"/>
        </w:trPr>
        <w:tc>
          <w:tcPr>
            <w:tcW w:w="3162" w:type="dxa"/>
            <w:vAlign w:val="center"/>
          </w:tcPr>
          <w:p w14:paraId="0A3456E7" w14:textId="77777777" w:rsidR="00E10EF7" w:rsidRPr="00532C20" w:rsidRDefault="00E10EF7">
            <w:pPr>
              <w:rPr>
                <w:rFonts w:ascii="Times New Roman" w:eastAsia="Times New Roman" w:hAnsi="Times New Roman" w:cs="Times New Roman"/>
                <w:noProof/>
                <w:lang w:val="en-IE" w:eastAsia="en-GB"/>
              </w:rPr>
            </w:pPr>
          </w:p>
        </w:tc>
        <w:tc>
          <w:tcPr>
            <w:tcW w:w="2718" w:type="dxa"/>
            <w:vAlign w:val="center"/>
          </w:tcPr>
          <w:p w14:paraId="14F6A414" w14:textId="77777777" w:rsidR="00E10EF7" w:rsidRPr="00532C20" w:rsidRDefault="00E10EF7">
            <w:pPr>
              <w:rPr>
                <w:rFonts w:ascii="Times New Roman" w:eastAsia="Times New Roman" w:hAnsi="Times New Roman" w:cs="Times New Roman"/>
                <w:b/>
                <w:bCs/>
                <w:noProof/>
                <w:lang w:val="en-IE" w:eastAsia="en-GB"/>
              </w:rPr>
            </w:pPr>
            <w:r w:rsidRPr="00532C20">
              <w:rPr>
                <w:rFonts w:ascii="Times New Roman" w:eastAsia="Times New Roman" w:hAnsi="Times New Roman" w:cs="Times New Roman"/>
                <w:b/>
                <w:bCs/>
                <w:noProof/>
                <w:lang w:val="en-IE" w:eastAsia="en-GB"/>
              </w:rPr>
              <w:t>Some 3</w:t>
            </w:r>
            <w:r w:rsidRPr="00532C20">
              <w:rPr>
                <w:rFonts w:ascii="Times New Roman" w:eastAsia="Times New Roman" w:hAnsi="Times New Roman" w:cs="Times New Roman"/>
                <w:b/>
                <w:bCs/>
                <w:noProof/>
                <w:vertAlign w:val="superscript"/>
                <w:lang w:val="en-IE" w:eastAsia="en-GB"/>
              </w:rPr>
              <w:t>rd</w:t>
            </w:r>
            <w:r w:rsidRPr="00532C20">
              <w:rPr>
                <w:rFonts w:ascii="Times New Roman" w:eastAsia="Times New Roman" w:hAnsi="Times New Roman" w:cs="Times New Roman"/>
                <w:b/>
                <w:bCs/>
                <w:noProof/>
                <w:lang w:val="en-IE" w:eastAsia="en-GB"/>
              </w:rPr>
              <w:t xml:space="preserve"> countries</w:t>
            </w:r>
          </w:p>
        </w:tc>
        <w:tc>
          <w:tcPr>
            <w:tcW w:w="3258" w:type="dxa"/>
            <w:vAlign w:val="center"/>
          </w:tcPr>
          <w:p w14:paraId="550143AB" w14:textId="77777777" w:rsidR="00E10EF7" w:rsidRPr="00532C20" w:rsidRDefault="00E10EF7">
            <w:pPr>
              <w:rPr>
                <w:rFonts w:ascii="Times New Roman" w:eastAsia="Times New Roman" w:hAnsi="Times New Roman" w:cs="Times New Roman"/>
                <w:b/>
                <w:bCs/>
                <w:noProof/>
                <w:lang w:val="en-IE" w:eastAsia="en-GB"/>
              </w:rPr>
            </w:pPr>
            <w:r w:rsidRPr="00532C20">
              <w:rPr>
                <w:rFonts w:ascii="Times New Roman" w:eastAsia="Times New Roman" w:hAnsi="Times New Roman" w:cs="Times New Roman"/>
                <w:b/>
                <w:bCs/>
                <w:noProof/>
                <w:lang w:val="en-IE" w:eastAsia="en-GB"/>
              </w:rPr>
              <w:t>All 3</w:t>
            </w:r>
            <w:r w:rsidRPr="00532C20">
              <w:rPr>
                <w:rFonts w:ascii="Times New Roman" w:eastAsia="Times New Roman" w:hAnsi="Times New Roman" w:cs="Times New Roman"/>
                <w:b/>
                <w:bCs/>
                <w:noProof/>
                <w:vertAlign w:val="superscript"/>
                <w:lang w:val="en-IE" w:eastAsia="en-GB"/>
              </w:rPr>
              <w:t>rd</w:t>
            </w:r>
            <w:r w:rsidRPr="00532C20">
              <w:rPr>
                <w:rFonts w:ascii="Times New Roman" w:eastAsia="Times New Roman" w:hAnsi="Times New Roman" w:cs="Times New Roman"/>
                <w:b/>
                <w:bCs/>
                <w:noProof/>
                <w:lang w:val="en-IE" w:eastAsia="en-GB"/>
              </w:rPr>
              <w:t xml:space="preserve"> countries</w:t>
            </w:r>
          </w:p>
        </w:tc>
      </w:tr>
      <w:tr w:rsidR="00E10EF7" w:rsidRPr="00532C20" w14:paraId="3A4143BD" w14:textId="77777777">
        <w:trPr>
          <w:trHeight w:val="311"/>
          <w:jc w:val="center"/>
        </w:trPr>
        <w:tc>
          <w:tcPr>
            <w:tcW w:w="3162" w:type="dxa"/>
            <w:vAlign w:val="center"/>
          </w:tcPr>
          <w:p w14:paraId="598A6889" w14:textId="77777777" w:rsidR="00E10EF7" w:rsidRPr="00532C20" w:rsidRDefault="00E10EF7">
            <w:pPr>
              <w:rPr>
                <w:rFonts w:ascii="Times New Roman" w:eastAsia="Times New Roman" w:hAnsi="Times New Roman" w:cs="Times New Roman"/>
                <w:b/>
                <w:bCs/>
                <w:noProof/>
                <w:lang w:val="en-IE" w:eastAsia="en-GB"/>
              </w:rPr>
            </w:pPr>
            <w:r w:rsidRPr="00532C20">
              <w:rPr>
                <w:rFonts w:ascii="Times New Roman" w:eastAsia="Times New Roman" w:hAnsi="Times New Roman" w:cs="Times New Roman"/>
                <w:b/>
                <w:bCs/>
                <w:noProof/>
                <w:lang w:val="en-IE" w:eastAsia="en-GB"/>
              </w:rPr>
              <w:t>Governments and affiliated</w:t>
            </w:r>
          </w:p>
        </w:tc>
        <w:tc>
          <w:tcPr>
            <w:tcW w:w="2718" w:type="dxa"/>
            <w:vAlign w:val="center"/>
          </w:tcPr>
          <w:p w14:paraId="2DD93500" w14:textId="789D4BB9" w:rsidR="00E10EF7" w:rsidRPr="00532C20" w:rsidRDefault="00F56D4D">
            <w:pPr>
              <w:rPr>
                <w:rFonts w:ascii="Times New Roman" w:eastAsia="Times New Roman" w:hAnsi="Times New Roman" w:cs="Times New Roman"/>
                <w:noProof/>
                <w:lang w:val="en-IE" w:eastAsia="en-GB"/>
              </w:rPr>
            </w:pPr>
            <w:r w:rsidRPr="00532C20">
              <w:rPr>
                <w:rFonts w:ascii="Times New Roman" w:eastAsia="Times New Roman" w:hAnsi="Times New Roman" w:cs="Times New Roman"/>
                <w:noProof/>
                <w:lang w:val="en-IE" w:eastAsia="en-GB"/>
              </w:rPr>
              <w:t>O</w:t>
            </w:r>
            <w:r w:rsidR="00E10EF7" w:rsidRPr="00532C20">
              <w:rPr>
                <w:rFonts w:ascii="Times New Roman" w:eastAsia="Times New Roman" w:hAnsi="Times New Roman" w:cs="Times New Roman"/>
                <w:noProof/>
                <w:lang w:val="en-IE" w:eastAsia="en-GB"/>
              </w:rPr>
              <w:t xml:space="preserve">ption </w:t>
            </w:r>
            <w:r w:rsidR="009B3D63" w:rsidRPr="00532C20">
              <w:rPr>
                <w:rFonts w:ascii="Times New Roman" w:eastAsia="Times New Roman" w:hAnsi="Times New Roman" w:cs="Times New Roman"/>
                <w:noProof/>
                <w:lang w:val="en-IE" w:eastAsia="en-GB"/>
              </w:rPr>
              <w:t>A</w:t>
            </w:r>
          </w:p>
        </w:tc>
        <w:tc>
          <w:tcPr>
            <w:tcW w:w="3258" w:type="dxa"/>
            <w:vAlign w:val="center"/>
          </w:tcPr>
          <w:p w14:paraId="00D303B1" w14:textId="3DB158A9" w:rsidR="00E10EF7" w:rsidRPr="00532C20" w:rsidRDefault="00E05661">
            <w:pPr>
              <w:rPr>
                <w:rFonts w:ascii="Times New Roman" w:eastAsia="Times New Roman" w:hAnsi="Times New Roman" w:cs="Times New Roman"/>
                <w:noProof/>
                <w:lang w:val="en-IE" w:eastAsia="en-GB"/>
              </w:rPr>
            </w:pPr>
            <w:r w:rsidRPr="00532C20">
              <w:rPr>
                <w:rFonts w:ascii="Times New Roman" w:eastAsia="Times New Roman" w:hAnsi="Times New Roman" w:cs="Times New Roman"/>
                <w:noProof/>
                <w:lang w:val="en-IE" w:eastAsia="en-GB"/>
              </w:rPr>
              <w:t xml:space="preserve">Scope of the initiative </w:t>
            </w:r>
          </w:p>
        </w:tc>
      </w:tr>
      <w:tr w:rsidR="00E10EF7" w:rsidRPr="00532C20" w14:paraId="024A394F" w14:textId="77777777">
        <w:trPr>
          <w:trHeight w:val="311"/>
          <w:jc w:val="center"/>
        </w:trPr>
        <w:tc>
          <w:tcPr>
            <w:tcW w:w="3162" w:type="dxa"/>
            <w:vAlign w:val="center"/>
          </w:tcPr>
          <w:p w14:paraId="74D08A77" w14:textId="77777777" w:rsidR="00E10EF7" w:rsidRPr="00532C20" w:rsidRDefault="00E10EF7">
            <w:pPr>
              <w:rPr>
                <w:rFonts w:ascii="Times New Roman" w:eastAsia="Times New Roman" w:hAnsi="Times New Roman" w:cs="Times New Roman"/>
                <w:b/>
                <w:bCs/>
                <w:noProof/>
                <w:lang w:val="en-IE" w:eastAsia="en-GB"/>
              </w:rPr>
            </w:pPr>
            <w:r w:rsidRPr="00532C20">
              <w:rPr>
                <w:rFonts w:ascii="Times New Roman" w:eastAsia="Times New Roman" w:hAnsi="Times New Roman" w:cs="Times New Roman"/>
                <w:b/>
                <w:bCs/>
                <w:noProof/>
                <w:lang w:val="en-IE" w:eastAsia="en-GB"/>
              </w:rPr>
              <w:t>All entities</w:t>
            </w:r>
          </w:p>
        </w:tc>
        <w:tc>
          <w:tcPr>
            <w:tcW w:w="2718" w:type="dxa"/>
            <w:vAlign w:val="center"/>
          </w:tcPr>
          <w:p w14:paraId="7F5CF69B" w14:textId="19716F24" w:rsidR="00E10EF7" w:rsidRPr="00532C20" w:rsidRDefault="00F56D4D">
            <w:pPr>
              <w:rPr>
                <w:rFonts w:ascii="Times New Roman" w:eastAsia="Times New Roman" w:hAnsi="Times New Roman" w:cs="Times New Roman"/>
                <w:noProof/>
                <w:lang w:val="en-IE" w:eastAsia="en-GB"/>
              </w:rPr>
            </w:pPr>
            <w:r w:rsidRPr="00532C20">
              <w:rPr>
                <w:rFonts w:ascii="Times New Roman" w:eastAsia="Times New Roman" w:hAnsi="Times New Roman" w:cs="Times New Roman"/>
                <w:noProof/>
                <w:lang w:val="en-IE" w:eastAsia="en-GB"/>
              </w:rPr>
              <w:t xml:space="preserve">Option </w:t>
            </w:r>
            <w:r w:rsidR="00C511C5" w:rsidRPr="00532C20">
              <w:rPr>
                <w:rFonts w:ascii="Times New Roman" w:eastAsia="Times New Roman" w:hAnsi="Times New Roman" w:cs="Times New Roman"/>
                <w:noProof/>
                <w:lang w:val="en-IE" w:eastAsia="en-GB"/>
              </w:rPr>
              <w:t>B</w:t>
            </w:r>
          </w:p>
        </w:tc>
        <w:tc>
          <w:tcPr>
            <w:tcW w:w="3258" w:type="dxa"/>
            <w:vAlign w:val="center"/>
          </w:tcPr>
          <w:p w14:paraId="2C6D906C" w14:textId="6124482B" w:rsidR="00E10EF7" w:rsidRPr="00532C20" w:rsidRDefault="00F56D4D">
            <w:pPr>
              <w:rPr>
                <w:rFonts w:ascii="Times New Roman" w:eastAsia="Times New Roman" w:hAnsi="Times New Roman" w:cs="Times New Roman"/>
                <w:noProof/>
                <w:lang w:val="en-IE" w:eastAsia="en-GB"/>
              </w:rPr>
            </w:pPr>
            <w:r w:rsidRPr="00532C20">
              <w:rPr>
                <w:rFonts w:ascii="Times New Roman" w:eastAsia="Times New Roman" w:hAnsi="Times New Roman" w:cs="Times New Roman"/>
                <w:noProof/>
                <w:lang w:val="en-IE" w:eastAsia="en-GB"/>
              </w:rPr>
              <w:t>O</w:t>
            </w:r>
            <w:r w:rsidR="00E10EF7" w:rsidRPr="00532C20">
              <w:rPr>
                <w:rFonts w:ascii="Times New Roman" w:eastAsia="Times New Roman" w:hAnsi="Times New Roman" w:cs="Times New Roman"/>
                <w:noProof/>
                <w:lang w:val="en-IE" w:eastAsia="en-GB"/>
              </w:rPr>
              <w:t xml:space="preserve">ption </w:t>
            </w:r>
            <w:r w:rsidR="006D0D36" w:rsidRPr="00532C20">
              <w:rPr>
                <w:rFonts w:ascii="Times New Roman" w:eastAsia="Times New Roman" w:hAnsi="Times New Roman" w:cs="Times New Roman"/>
                <w:noProof/>
                <w:lang w:val="en-IE" w:eastAsia="en-GB"/>
              </w:rPr>
              <w:t xml:space="preserve">C </w:t>
            </w:r>
          </w:p>
        </w:tc>
      </w:tr>
    </w:tbl>
    <w:p w14:paraId="74853668" w14:textId="29149DC1" w:rsidR="00E10EF7" w:rsidRPr="00532C20" w:rsidRDefault="00B40E21" w:rsidP="00582553">
      <w:pPr>
        <w:pStyle w:val="111level3title"/>
        <w:rPr>
          <w:noProof/>
        </w:rPr>
      </w:pPr>
      <w:bookmarkStart w:id="687" w:name="_Toc152864678"/>
      <w:r w:rsidRPr="00532C20">
        <w:rPr>
          <w:noProof/>
        </w:rPr>
        <w:t>O</w:t>
      </w:r>
      <w:r w:rsidR="006D0D36" w:rsidRPr="00532C20">
        <w:rPr>
          <w:noProof/>
        </w:rPr>
        <w:t>ption A</w:t>
      </w:r>
      <w:bookmarkEnd w:id="687"/>
      <w:r w:rsidR="006D0D36" w:rsidRPr="00532C20">
        <w:rPr>
          <w:noProof/>
        </w:rPr>
        <w:t xml:space="preserve"> </w:t>
      </w:r>
    </w:p>
    <w:p w14:paraId="35852227" w14:textId="77777777" w:rsidR="00E10EF7" w:rsidRPr="00532C20" w:rsidRDefault="00E10EF7" w:rsidP="00E10EF7">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This policy option requires to establish a list of third countries that have attempted to conduct foreign interference. This option faces 4 types of operational difficulty. </w:t>
      </w:r>
    </w:p>
    <w:p w14:paraId="4F7C1200" w14:textId="77777777" w:rsidR="00E10EF7" w:rsidRPr="00532C20" w:rsidRDefault="00E10EF7" w:rsidP="00E10EF7">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Firstly, assessing whether a third country meets the criteria mentioned by the European Parliament (in particular: </w:t>
      </w:r>
      <w:r w:rsidRPr="00532C20">
        <w:rPr>
          <w:rFonts w:ascii="Times New Roman" w:eastAsia="Times" w:hAnsi="Times New Roman" w:cs="Times New Roman"/>
          <w:i/>
          <w:iCs/>
          <w:noProof/>
          <w:sz w:val="24"/>
          <w:szCs w:val="24"/>
          <w:lang w:val="en-IE"/>
        </w:rPr>
        <w:t xml:space="preserve">consistent </w:t>
      </w:r>
      <w:r w:rsidRPr="00532C20">
        <w:rPr>
          <w:rFonts w:ascii="Times New Roman" w:eastAsia="Times" w:hAnsi="Times New Roman" w:cs="Times New Roman"/>
          <w:noProof/>
          <w:sz w:val="24"/>
          <w:szCs w:val="24"/>
          <w:lang w:val="en-IE"/>
        </w:rPr>
        <w:t>violation of human rights</w:t>
      </w:r>
      <w:r w:rsidRPr="00532C20">
        <w:rPr>
          <w:rFonts w:ascii="Times New Roman" w:eastAsia="Times" w:hAnsi="Times New Roman" w:cs="Times New Roman"/>
          <w:i/>
          <w:iCs/>
          <w:noProof/>
          <w:sz w:val="24"/>
          <w:szCs w:val="24"/>
          <w:lang w:val="en-IE"/>
        </w:rPr>
        <w:t xml:space="preserve">, revisionist policy </w:t>
      </w:r>
      <w:r w:rsidRPr="00532C20">
        <w:rPr>
          <w:rFonts w:ascii="Times New Roman" w:eastAsia="Times" w:hAnsi="Times New Roman" w:cs="Times New Roman"/>
          <w:noProof/>
          <w:sz w:val="24"/>
          <w:szCs w:val="24"/>
          <w:lang w:val="en-IE"/>
        </w:rPr>
        <w:t>towards the existing international legal order</w:t>
      </w:r>
      <w:r w:rsidRPr="00532C20">
        <w:rPr>
          <w:rFonts w:ascii="Times New Roman" w:eastAsia="Times" w:hAnsi="Times New Roman" w:cs="Times New Roman"/>
          <w:i/>
          <w:iCs/>
          <w:noProof/>
          <w:sz w:val="24"/>
          <w:szCs w:val="24"/>
          <w:lang w:val="en-IE"/>
        </w:rPr>
        <w:t xml:space="preserve">, </w:t>
      </w:r>
      <w:r w:rsidRPr="00532C20">
        <w:rPr>
          <w:rFonts w:ascii="Times New Roman" w:eastAsia="Times" w:hAnsi="Times New Roman" w:cs="Times New Roman"/>
          <w:noProof/>
          <w:sz w:val="24"/>
          <w:szCs w:val="24"/>
          <w:lang w:val="en-IE"/>
        </w:rPr>
        <w:t>enforcement of</w:t>
      </w:r>
      <w:r w:rsidRPr="00532C20">
        <w:rPr>
          <w:rFonts w:ascii="Times New Roman" w:eastAsia="Times" w:hAnsi="Times New Roman" w:cs="Times New Roman"/>
          <w:i/>
          <w:iCs/>
          <w:noProof/>
          <w:sz w:val="24"/>
          <w:szCs w:val="24"/>
          <w:lang w:val="en-IE"/>
        </w:rPr>
        <w:t xml:space="preserve"> authoritarian ideology </w:t>
      </w:r>
      <w:r w:rsidRPr="00532C20">
        <w:rPr>
          <w:rFonts w:ascii="Times New Roman" w:eastAsia="Times" w:hAnsi="Times New Roman" w:cs="Times New Roman"/>
          <w:noProof/>
          <w:sz w:val="24"/>
          <w:szCs w:val="24"/>
          <w:lang w:val="en-IE"/>
        </w:rPr>
        <w:t>extraterritorially) might prove challenging as the criteria are subject to interpretation. This lack of objective criteria might lead to a political decision instead of an objective technical one</w:t>
      </w:r>
      <w:r w:rsidRPr="00532C20">
        <w:rPr>
          <w:rFonts w:ascii="Times New Roman" w:eastAsia="Times" w:hAnsi="Times New Roman" w:cs="Times New Roman"/>
          <w:noProof/>
          <w:sz w:val="24"/>
          <w:szCs w:val="24"/>
          <w:vertAlign w:val="superscript"/>
          <w:lang w:val="en-IE"/>
        </w:rPr>
        <w:footnoteReference w:id="125"/>
      </w:r>
      <w:r w:rsidRPr="00532C20">
        <w:rPr>
          <w:rFonts w:ascii="Times New Roman" w:eastAsia="Times" w:hAnsi="Times New Roman" w:cs="Times New Roman"/>
          <w:noProof/>
          <w:sz w:val="24"/>
          <w:szCs w:val="24"/>
          <w:lang w:val="en-IE"/>
        </w:rPr>
        <w:t>.</w:t>
      </w:r>
    </w:p>
    <w:p w14:paraId="65CB700D" w14:textId="65AE2FEA" w:rsidR="00E10EF7" w:rsidRPr="00532C20" w:rsidRDefault="00E10EF7" w:rsidP="00E10EF7">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Secondly, the management of the list will be very difficult. In light of the subjective nature of the criteria, agreeing on common criteria could prove difficult, making it likely that only a limited number of third countries would be included, limiting the effectiveness of the instrument. Furthermore, if a third country targets only 1 or 2 Member States</w:t>
      </w:r>
      <w:r w:rsidR="00B1745A">
        <w:rPr>
          <w:rFonts w:ascii="Times New Roman" w:eastAsia="Times" w:hAnsi="Times New Roman" w:cs="Times New Roman"/>
          <w:noProof/>
          <w:sz w:val="24"/>
          <w:szCs w:val="24"/>
          <w:lang w:val="en-IE"/>
        </w:rPr>
        <w:t>,</w:t>
      </w:r>
      <w:r w:rsidRPr="00532C20">
        <w:rPr>
          <w:rFonts w:ascii="Times New Roman" w:eastAsia="Times" w:hAnsi="Times New Roman" w:cs="Times New Roman"/>
          <w:noProof/>
          <w:sz w:val="24"/>
          <w:szCs w:val="24"/>
          <w:lang w:val="en-IE"/>
        </w:rPr>
        <w:t xml:space="preserve"> it might be politically difficult to include such third country on a common list, thereby limiting the possibility of the concerned Member States </w:t>
      </w:r>
      <w:r w:rsidR="00B1745A">
        <w:rPr>
          <w:rFonts w:ascii="Times New Roman" w:eastAsia="Times" w:hAnsi="Times New Roman" w:cs="Times New Roman"/>
          <w:noProof/>
          <w:sz w:val="24"/>
          <w:szCs w:val="24"/>
          <w:lang w:val="en-IE"/>
        </w:rPr>
        <w:t xml:space="preserve">to </w:t>
      </w:r>
      <w:r w:rsidRPr="00532C20">
        <w:rPr>
          <w:rFonts w:ascii="Times New Roman" w:eastAsia="Times" w:hAnsi="Times New Roman" w:cs="Times New Roman"/>
          <w:noProof/>
          <w:sz w:val="24"/>
          <w:szCs w:val="24"/>
          <w:lang w:val="en-IE"/>
        </w:rPr>
        <w:t>provide for transparency for such activities. Establishing a list at Member State level may lead to an even more uneven playing field within the single market. In addition, the list of third countries would need to be constantly reviewed and adapted on the basis of the evolving political situation in the concerned third countries.</w:t>
      </w:r>
    </w:p>
    <w:p w14:paraId="48968BB2" w14:textId="77777777" w:rsidR="00E10EF7" w:rsidRPr="00532C20" w:rsidRDefault="00E10EF7" w:rsidP="00E10EF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w:hAnsi="Times New Roman" w:cs="Times New Roman"/>
          <w:b/>
          <w:noProof/>
          <w:lang w:val="en-IE"/>
        </w:rPr>
      </w:pPr>
      <w:r w:rsidRPr="00532C20">
        <w:rPr>
          <w:rFonts w:ascii="Times New Roman" w:eastAsia="Times" w:hAnsi="Times New Roman" w:cs="Times New Roman"/>
          <w:b/>
          <w:noProof/>
          <w:lang w:val="en-IE"/>
        </w:rPr>
        <w:t xml:space="preserve">Stakeholder </w:t>
      </w:r>
      <w:r w:rsidRPr="00532C20">
        <w:rPr>
          <w:rFonts w:ascii="Times New Roman" w:eastAsia="Times" w:hAnsi="Times New Roman" w:cs="Times New Roman"/>
          <w:b/>
          <w:iCs/>
          <w:noProof/>
          <w:lang w:val="en-IE"/>
        </w:rPr>
        <w:t>views</w:t>
      </w:r>
      <w:r w:rsidRPr="00532C20">
        <w:rPr>
          <w:rFonts w:ascii="Times New Roman" w:eastAsia="Times" w:hAnsi="Times New Roman" w:cs="Times New Roman"/>
          <w:b/>
          <w:noProof/>
          <w:lang w:val="en-IE"/>
        </w:rPr>
        <w:t>:</w:t>
      </w:r>
    </w:p>
    <w:p w14:paraId="527A17DC" w14:textId="77777777" w:rsidR="00E10EF7" w:rsidRPr="00532C20" w:rsidRDefault="00E10EF7" w:rsidP="00E10EF7">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w:hAnsi="Times New Roman" w:cs="Times New Roman"/>
          <w:noProof/>
          <w:lang w:val="en-IE"/>
        </w:rPr>
      </w:pPr>
      <w:r w:rsidRPr="00532C20">
        <w:rPr>
          <w:rFonts w:ascii="Times New Roman" w:eastAsia="Times" w:hAnsi="Times New Roman" w:cs="Times New Roman"/>
          <w:noProof/>
          <w:lang w:val="en-IE"/>
        </w:rPr>
        <w:t>1 CSO (out of 11) stated that imposing “</w:t>
      </w:r>
      <w:r w:rsidRPr="00532C20">
        <w:rPr>
          <w:rFonts w:ascii="Times New Roman" w:eastAsia="Times" w:hAnsi="Times New Roman" w:cs="Times New Roman"/>
          <w:i/>
          <w:iCs/>
          <w:noProof/>
          <w:lang w:val="en-IE"/>
        </w:rPr>
        <w:t>transparency requirements only on entities from third countries, drawing up a list of specific third countries could be very risky, as countries could be selected on the basis of the political and economic interests of Member States. The list would therefore be incomplete and leave out third countries that were not on the European Commission's radar because of their advocacy activities.</w:t>
      </w:r>
      <w:r w:rsidRPr="00532C20">
        <w:rPr>
          <w:rFonts w:ascii="Times New Roman" w:eastAsia="Times" w:hAnsi="Times New Roman" w:cs="Times New Roman"/>
          <w:noProof/>
          <w:lang w:val="en-IE"/>
        </w:rPr>
        <w:t>”</w:t>
      </w:r>
    </w:p>
    <w:p w14:paraId="30F237DA" w14:textId="77777777" w:rsidR="00E10EF7" w:rsidRPr="00532C20" w:rsidRDefault="00E10EF7" w:rsidP="00E10EF7">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w:hAnsi="Times New Roman" w:cs="Times New Roman"/>
          <w:noProof/>
          <w:lang w:val="en-IE"/>
        </w:rPr>
      </w:pPr>
      <w:r w:rsidRPr="00532C20">
        <w:rPr>
          <w:rFonts w:ascii="Times New Roman" w:eastAsia="Times" w:hAnsi="Times New Roman" w:cs="Times New Roman"/>
          <w:noProof/>
          <w:lang w:val="en-IE"/>
        </w:rPr>
        <w:t>2 out of 15 Member States cautioned against such an approach. 1 of them stated that “</w:t>
      </w:r>
      <w:r w:rsidRPr="00532C20">
        <w:rPr>
          <w:rFonts w:ascii="Times New Roman" w:eastAsia="Times" w:hAnsi="Times New Roman" w:cs="Times New Roman"/>
          <w:i/>
          <w:iCs/>
          <w:noProof/>
          <w:lang w:val="en-IE"/>
        </w:rPr>
        <w:t>it would be almost impossible to objectively define such countries</w:t>
      </w:r>
      <w:r w:rsidRPr="00532C20">
        <w:rPr>
          <w:rFonts w:ascii="Times New Roman" w:eastAsia="Times" w:hAnsi="Times New Roman" w:cs="Times New Roman"/>
          <w:noProof/>
          <w:lang w:val="en-IE"/>
        </w:rPr>
        <w:t>”.</w:t>
      </w:r>
    </w:p>
    <w:p w14:paraId="2E1ADC16" w14:textId="77777777" w:rsidR="00B1745A" w:rsidRDefault="00E10EF7" w:rsidP="00E10EF7">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Thirdly, because the scope would only focus on third countries specifically identified, the entities that would fall into scope would be subject to significant risks of stigmatisation, a key concern of expressed by CSOs in the consultation process. </w:t>
      </w:r>
    </w:p>
    <w:p w14:paraId="5755735F" w14:textId="2CCCBC9D" w:rsidR="00E10EF7" w:rsidRPr="00532C20" w:rsidRDefault="00E10EF7" w:rsidP="00E10EF7">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Similarly, the geopolitical implication</w:t>
      </w:r>
      <w:r w:rsidR="009E26B2">
        <w:rPr>
          <w:rFonts w:ascii="Times New Roman" w:eastAsia="Times" w:hAnsi="Times New Roman" w:cs="Times New Roman"/>
          <w:noProof/>
          <w:sz w:val="24"/>
          <w:szCs w:val="24"/>
          <w:lang w:val="en-IE"/>
        </w:rPr>
        <w:t>s</w:t>
      </w:r>
      <w:r w:rsidRPr="00532C20">
        <w:rPr>
          <w:rFonts w:ascii="Times New Roman" w:eastAsia="Times" w:hAnsi="Times New Roman" w:cs="Times New Roman"/>
          <w:noProof/>
          <w:sz w:val="24"/>
          <w:szCs w:val="24"/>
          <w:lang w:val="en-IE"/>
        </w:rPr>
        <w:t xml:space="preserve"> concerning the identified third countries could be more severe. </w:t>
      </w:r>
    </w:p>
    <w:p w14:paraId="12DA1F20" w14:textId="5C17EB17" w:rsidR="00002520" w:rsidRPr="00532C20" w:rsidRDefault="00002520" w:rsidP="00E10EF7">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This option has therefore been discarded. </w:t>
      </w:r>
    </w:p>
    <w:p w14:paraId="6EB7D16A" w14:textId="49E8FA96" w:rsidR="00E10EF7" w:rsidRPr="00532C20" w:rsidRDefault="00B40E21" w:rsidP="00582553">
      <w:pPr>
        <w:pStyle w:val="111level3title"/>
        <w:rPr>
          <w:noProof/>
        </w:rPr>
      </w:pPr>
      <w:bookmarkStart w:id="688" w:name="_Toc152864679"/>
      <w:r w:rsidRPr="00532C20">
        <w:rPr>
          <w:noProof/>
        </w:rPr>
        <w:t>O</w:t>
      </w:r>
      <w:r w:rsidR="00770CE0" w:rsidRPr="00532C20">
        <w:rPr>
          <w:noProof/>
        </w:rPr>
        <w:t xml:space="preserve">ption </w:t>
      </w:r>
      <w:r w:rsidR="00371EFA" w:rsidRPr="00532C20">
        <w:rPr>
          <w:noProof/>
        </w:rPr>
        <w:t>B</w:t>
      </w:r>
      <w:bookmarkEnd w:id="688"/>
      <w:r w:rsidR="00B579E1" w:rsidRPr="00532C20">
        <w:rPr>
          <w:noProof/>
        </w:rPr>
        <w:t xml:space="preserve"> </w:t>
      </w:r>
    </w:p>
    <w:p w14:paraId="1CE9D183" w14:textId="4518EEB7" w:rsidR="00E10EF7" w:rsidRPr="00532C20" w:rsidRDefault="00E10EF7" w:rsidP="00E10EF7">
      <w:pPr>
        <w:spacing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This policy option may be discarded in light of the elements underlined in </w:t>
      </w:r>
      <w:r w:rsidR="00433F02" w:rsidRPr="00532C20">
        <w:rPr>
          <w:rFonts w:ascii="Times New Roman" w:eastAsia="Times" w:hAnsi="Times New Roman" w:cs="Times New Roman"/>
          <w:noProof/>
          <w:sz w:val="24"/>
          <w:szCs w:val="24"/>
          <w:lang w:val="en-IE"/>
        </w:rPr>
        <w:t>A</w:t>
      </w:r>
      <w:r w:rsidRPr="00532C20">
        <w:rPr>
          <w:rFonts w:ascii="Times New Roman" w:eastAsia="Times" w:hAnsi="Times New Roman" w:cs="Times New Roman"/>
          <w:noProof/>
          <w:sz w:val="24"/>
          <w:szCs w:val="24"/>
          <w:lang w:val="en-IE"/>
        </w:rPr>
        <w:t xml:space="preserve"> and </w:t>
      </w:r>
      <w:r w:rsidR="00433F02" w:rsidRPr="00532C20">
        <w:rPr>
          <w:rFonts w:ascii="Times New Roman" w:eastAsia="Times" w:hAnsi="Times New Roman" w:cs="Times New Roman"/>
          <w:noProof/>
          <w:sz w:val="24"/>
          <w:szCs w:val="24"/>
          <w:lang w:val="en-IE"/>
        </w:rPr>
        <w:t>C</w:t>
      </w:r>
    </w:p>
    <w:p w14:paraId="3B4ED94E" w14:textId="79E32712" w:rsidR="00E10EF7" w:rsidRPr="00532C20" w:rsidRDefault="00B40E21" w:rsidP="00582553">
      <w:pPr>
        <w:pStyle w:val="111level3title"/>
        <w:rPr>
          <w:noProof/>
        </w:rPr>
      </w:pPr>
      <w:bookmarkStart w:id="689" w:name="_Toc152864680"/>
      <w:r w:rsidRPr="00532C20">
        <w:rPr>
          <w:noProof/>
        </w:rPr>
        <w:t>O</w:t>
      </w:r>
      <w:r w:rsidR="00B97204" w:rsidRPr="00532C20">
        <w:rPr>
          <w:noProof/>
        </w:rPr>
        <w:t>ption C</w:t>
      </w:r>
      <w:bookmarkEnd w:id="689"/>
      <w:r w:rsidR="00B97204" w:rsidRPr="00532C20">
        <w:rPr>
          <w:noProof/>
        </w:rPr>
        <w:t xml:space="preserve"> </w:t>
      </w:r>
    </w:p>
    <w:p w14:paraId="5AF35CC7" w14:textId="75F65B1D" w:rsidR="00E10EF7" w:rsidRPr="00532C20" w:rsidRDefault="00E10EF7" w:rsidP="00E10EF7">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Policy Option </w:t>
      </w:r>
      <w:r w:rsidR="00433F02" w:rsidRPr="00532C20">
        <w:rPr>
          <w:rFonts w:ascii="Times New Roman" w:eastAsia="Times" w:hAnsi="Times New Roman" w:cs="Times New Roman"/>
          <w:noProof/>
          <w:sz w:val="24"/>
          <w:szCs w:val="24"/>
          <w:lang w:val="en-IE"/>
        </w:rPr>
        <w:t>C</w:t>
      </w:r>
      <w:r w:rsidRPr="00532C20">
        <w:rPr>
          <w:rFonts w:ascii="Times New Roman" w:eastAsia="Times" w:hAnsi="Times New Roman" w:cs="Times New Roman"/>
          <w:noProof/>
          <w:sz w:val="24"/>
          <w:szCs w:val="24"/>
          <w:lang w:val="en-IE"/>
        </w:rPr>
        <w:t xml:space="preserve"> would cover interest representation activities seeking to influence decision</w:t>
      </w:r>
      <w:r w:rsidR="007F0FA3">
        <w:rPr>
          <w:rFonts w:ascii="Times New Roman" w:eastAsia="Times" w:hAnsi="Times New Roman" w:cs="Times New Roman"/>
          <w:noProof/>
          <w:sz w:val="24"/>
          <w:szCs w:val="24"/>
          <w:lang w:val="en-IE"/>
        </w:rPr>
        <w:t>-</w:t>
      </w:r>
      <w:r w:rsidRPr="00532C20">
        <w:rPr>
          <w:rFonts w:ascii="Times New Roman" w:eastAsia="Times" w:hAnsi="Times New Roman" w:cs="Times New Roman"/>
          <w:noProof/>
          <w:sz w:val="24"/>
          <w:szCs w:val="24"/>
          <w:lang w:val="en-IE"/>
        </w:rPr>
        <w:t xml:space="preserve">making in the EU carried out on behalf of any entities established in a third country. Such scope would be designed, not based on a genuine link with the risk of covert influence by third countries administrations but on an overshooting presumption made on </w:t>
      </w:r>
      <w:r w:rsidR="009E26B2">
        <w:rPr>
          <w:rFonts w:ascii="Times New Roman" w:eastAsia="Times" w:hAnsi="Times New Roman" w:cs="Times New Roman"/>
          <w:noProof/>
          <w:sz w:val="24"/>
          <w:szCs w:val="24"/>
          <w:lang w:val="en-IE"/>
        </w:rPr>
        <w:t xml:space="preserve">the </w:t>
      </w:r>
      <w:r w:rsidRPr="00532C20">
        <w:rPr>
          <w:rFonts w:ascii="Times New Roman" w:eastAsia="Times" w:hAnsi="Times New Roman" w:cs="Times New Roman"/>
          <w:noProof/>
          <w:sz w:val="24"/>
          <w:szCs w:val="24"/>
          <w:lang w:val="en-IE"/>
        </w:rPr>
        <w:t xml:space="preserve">principle that any interest representation activity on behalf of a natural or legal person established in a third country could be source of covert influence by said third country </w:t>
      </w:r>
      <w:r w:rsidR="00260296">
        <w:rPr>
          <w:rFonts w:ascii="Times New Roman" w:eastAsia="Times" w:hAnsi="Times New Roman" w:cs="Times New Roman"/>
          <w:noProof/>
          <w:sz w:val="24"/>
          <w:szCs w:val="24"/>
          <w:lang w:val="en-IE"/>
        </w:rPr>
        <w:t>government</w:t>
      </w:r>
      <w:r w:rsidRPr="00532C20">
        <w:rPr>
          <w:rFonts w:ascii="Times New Roman" w:eastAsia="Times" w:hAnsi="Times New Roman" w:cs="Times New Roman"/>
          <w:noProof/>
          <w:sz w:val="24"/>
          <w:szCs w:val="24"/>
          <w:lang w:val="en-IE"/>
        </w:rPr>
        <w:t>. Such a broad scope would not be targeted enough in view of the pursued aim of the initiative and therefore be disproportionate</w:t>
      </w:r>
      <w:bookmarkStart w:id="690" w:name="_Ref151564725"/>
      <w:r w:rsidRPr="00532C20">
        <w:rPr>
          <w:rFonts w:ascii="Times New Roman" w:eastAsia="Times" w:hAnsi="Times New Roman" w:cs="Times New Roman"/>
          <w:noProof/>
          <w:sz w:val="24"/>
          <w:szCs w:val="24"/>
          <w:vertAlign w:val="superscript"/>
          <w:lang w:val="en-IE"/>
        </w:rPr>
        <w:footnoteReference w:id="126"/>
      </w:r>
      <w:bookmarkEnd w:id="690"/>
      <w:r w:rsidRPr="00532C20">
        <w:rPr>
          <w:rFonts w:ascii="Times New Roman" w:eastAsia="Times" w:hAnsi="Times New Roman" w:cs="Times New Roman"/>
          <w:noProof/>
          <w:sz w:val="24"/>
          <w:szCs w:val="24"/>
          <w:lang w:val="en-IE"/>
        </w:rPr>
        <w:t xml:space="preserve">. </w:t>
      </w:r>
      <w:r w:rsidR="006D2FB1" w:rsidRPr="00532C20">
        <w:rPr>
          <w:rFonts w:ascii="Times New Roman" w:eastAsia="Times" w:hAnsi="Times New Roman" w:cs="Times New Roman"/>
          <w:noProof/>
          <w:sz w:val="24"/>
          <w:szCs w:val="24"/>
          <w:lang w:val="en-IE"/>
        </w:rPr>
        <w:t xml:space="preserve">Option C has therefore been discarded. </w:t>
      </w:r>
    </w:p>
    <w:p w14:paraId="453B1728" w14:textId="77777777" w:rsidR="00E10EF7" w:rsidRPr="00532C20" w:rsidRDefault="00E10EF7" w:rsidP="004E736D">
      <w:pPr>
        <w:pStyle w:val="111level3title"/>
        <w:rPr>
          <w:noProof/>
        </w:rPr>
      </w:pPr>
      <w:bookmarkStart w:id="691" w:name="_Toc152864681"/>
      <w:r w:rsidRPr="00532C20">
        <w:rPr>
          <w:noProof/>
        </w:rPr>
        <w:t>Other possible scope</w:t>
      </w:r>
      <w:bookmarkEnd w:id="691"/>
    </w:p>
    <w:p w14:paraId="6C389512" w14:textId="15EAE21E" w:rsidR="00B97204" w:rsidRPr="00532C20" w:rsidRDefault="00B97204" w:rsidP="00582553">
      <w:pPr>
        <w:pStyle w:val="1111level4section"/>
        <w:rPr>
          <w:noProof/>
        </w:rPr>
      </w:pPr>
      <w:bookmarkStart w:id="692" w:name="_Toc152864682"/>
      <w:r w:rsidRPr="00532C20">
        <w:rPr>
          <w:noProof/>
        </w:rPr>
        <w:t xml:space="preserve">Interest representation carried out on behalf of </w:t>
      </w:r>
      <w:r w:rsidR="001D4C92" w:rsidRPr="00532C20">
        <w:rPr>
          <w:noProof/>
        </w:rPr>
        <w:t>any government or entity</w:t>
      </w:r>
      <w:bookmarkEnd w:id="692"/>
      <w:r w:rsidR="001D4C92" w:rsidRPr="00532C20">
        <w:rPr>
          <w:noProof/>
        </w:rPr>
        <w:t xml:space="preserve"> </w:t>
      </w:r>
    </w:p>
    <w:p w14:paraId="06F443B5" w14:textId="77777777" w:rsidR="00E10EF7" w:rsidRPr="00532C20" w:rsidRDefault="00E10EF7" w:rsidP="00E10EF7">
      <w:pPr>
        <w:spacing w:after="120" w:line="240" w:lineRule="auto"/>
        <w:jc w:val="both"/>
        <w:rPr>
          <w:rFonts w:ascii="Times New Roman" w:eastAsia="Times" w:hAnsi="Times New Roman" w:cs="Times New Roman"/>
          <w:noProof/>
          <w:sz w:val="24"/>
          <w:szCs w:val="24"/>
          <w:lang w:val="en-IE"/>
        </w:rPr>
      </w:pPr>
      <w:r w:rsidRPr="00532C20">
        <w:rPr>
          <w:rFonts w:ascii="Times New Roman" w:eastAsia="Arial" w:hAnsi="Times New Roman" w:cs="Times New Roman"/>
          <w:noProof/>
          <w:sz w:val="24"/>
          <w:szCs w:val="24"/>
          <w:lang w:eastAsia="en-GB"/>
        </w:rPr>
        <w:t xml:space="preserve">It could be </w:t>
      </w:r>
      <w:r w:rsidRPr="00532C20">
        <w:rPr>
          <w:rFonts w:ascii="Times New Roman" w:eastAsia="Times" w:hAnsi="Times New Roman" w:cs="Times New Roman"/>
          <w:noProof/>
          <w:sz w:val="24"/>
          <w:szCs w:val="24"/>
          <w:lang w:val="en-IE"/>
        </w:rPr>
        <w:t xml:space="preserve">considered to enlarge the scope of the initiative to cover 1) interest representation carried out on behalf of any governments (including EU Member States and EEA countries) or 2) to cover interest representation carried out on behalf of any entity. </w:t>
      </w:r>
    </w:p>
    <w:p w14:paraId="63D638FD" w14:textId="77777777" w:rsidR="00E10EF7" w:rsidRPr="00532C20" w:rsidRDefault="00E10EF7" w:rsidP="00E10EF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w:hAnsi="Times New Roman" w:cs="Times New Roman"/>
          <w:b/>
          <w:noProof/>
          <w:lang w:val="en-IE"/>
        </w:rPr>
      </w:pPr>
      <w:r w:rsidRPr="00532C20">
        <w:rPr>
          <w:rFonts w:ascii="Times New Roman" w:eastAsia="Times" w:hAnsi="Times New Roman" w:cs="Times New Roman"/>
          <w:b/>
          <w:noProof/>
          <w:lang w:val="en-IE"/>
        </w:rPr>
        <w:t>Stakeholder views:</w:t>
      </w:r>
    </w:p>
    <w:p w14:paraId="2C5531A1" w14:textId="77777777" w:rsidR="00E10EF7" w:rsidRPr="00532C20" w:rsidRDefault="00E10EF7" w:rsidP="00E10EF7">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w:hAnsi="Times New Roman" w:cs="Times New Roman"/>
          <w:noProof/>
          <w:lang w:val="en-IE"/>
        </w:rPr>
      </w:pPr>
      <w:r w:rsidRPr="00532C20">
        <w:rPr>
          <w:rFonts w:ascii="Times New Roman" w:eastAsia="Times" w:hAnsi="Times New Roman" w:cs="Times New Roman"/>
          <w:noProof/>
          <w:lang w:val="en-IE"/>
        </w:rPr>
        <w:t>Extending the scope to cover intra-EU activity has been suggested by 6 CSOs (out of 11), 6 Members States (out of 15) and 2 industry associations (out of 3) in their contributions. 1 Member State explicitly opposed this by indicating that “</w:t>
      </w:r>
      <w:r w:rsidRPr="00532C20">
        <w:rPr>
          <w:rFonts w:ascii="Times New Roman" w:eastAsia="Times" w:hAnsi="Times New Roman" w:cs="Times New Roman"/>
          <w:i/>
          <w:iCs/>
          <w:noProof/>
          <w:lang w:val="en-IE"/>
        </w:rPr>
        <w:t>harmonisation of all the measures governing interest representation in the Member States would go far beyond the purpose of the Commission’s initiative and would be difficult to achieve at least in the short term</w:t>
      </w:r>
      <w:r w:rsidRPr="00532C20">
        <w:rPr>
          <w:rFonts w:ascii="Times New Roman" w:eastAsia="Times" w:hAnsi="Times New Roman" w:cs="Times New Roman"/>
          <w:noProof/>
          <w:lang w:val="en-IE"/>
        </w:rPr>
        <w:t xml:space="preserve">.” </w:t>
      </w:r>
    </w:p>
    <w:p w14:paraId="5B5DC0A8" w14:textId="071267BB" w:rsidR="00E10EF7" w:rsidRPr="00532C20" w:rsidRDefault="00E10EF7" w:rsidP="00E10EF7">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As highlighted in sections 2 and 4, the intervention covered by this initiative focuses on interest </w:t>
      </w:r>
      <w:r w:rsidRPr="00532C20">
        <w:rPr>
          <w:rFonts w:ascii="Times New Roman" w:eastAsia="Arial" w:hAnsi="Times New Roman" w:cs="Times New Roman"/>
          <w:noProof/>
          <w:sz w:val="24"/>
          <w:szCs w:val="24"/>
          <w:lang w:eastAsia="en-GB"/>
        </w:rPr>
        <w:t>representation</w:t>
      </w:r>
      <w:r w:rsidRPr="00532C20">
        <w:rPr>
          <w:rFonts w:ascii="Times New Roman" w:eastAsia="Times" w:hAnsi="Times New Roman" w:cs="Times New Roman"/>
          <w:noProof/>
          <w:sz w:val="24"/>
          <w:szCs w:val="24"/>
          <w:lang w:val="en-IE"/>
        </w:rPr>
        <w:t xml:space="preserve"> carried out on behalf of third countries. Taking into account the geopolitical context, an increasing number of Member States are considering specific measures related to interest representation activities carried out on behalf of foreign governments (see section 2.3). The targeted scope of the intervention logic seeks to remove obstacles in the market of interest representation activities by establishing common transparency standards for activities influencing decision</w:t>
      </w:r>
      <w:r w:rsidR="007F0FA3">
        <w:rPr>
          <w:rFonts w:ascii="Times New Roman" w:eastAsia="Times" w:hAnsi="Times New Roman" w:cs="Times New Roman"/>
          <w:noProof/>
          <w:sz w:val="24"/>
          <w:szCs w:val="24"/>
          <w:lang w:val="en-IE"/>
        </w:rPr>
        <w:t>-</w:t>
      </w:r>
      <w:r w:rsidRPr="00532C20">
        <w:rPr>
          <w:rFonts w:ascii="Times New Roman" w:eastAsia="Times" w:hAnsi="Times New Roman" w:cs="Times New Roman"/>
          <w:noProof/>
          <w:sz w:val="24"/>
          <w:szCs w:val="24"/>
          <w:lang w:val="en-IE"/>
        </w:rPr>
        <w:t>making process</w:t>
      </w:r>
      <w:r w:rsidR="00E753F5">
        <w:rPr>
          <w:rFonts w:ascii="Times New Roman" w:eastAsia="Times" w:hAnsi="Times New Roman" w:cs="Times New Roman"/>
          <w:noProof/>
          <w:sz w:val="24"/>
          <w:szCs w:val="24"/>
          <w:lang w:val="en-IE"/>
        </w:rPr>
        <w:t>es</w:t>
      </w:r>
      <w:r w:rsidRPr="00532C20">
        <w:rPr>
          <w:rFonts w:ascii="Times New Roman" w:eastAsia="Times" w:hAnsi="Times New Roman" w:cs="Times New Roman"/>
          <w:noProof/>
          <w:sz w:val="24"/>
          <w:szCs w:val="24"/>
          <w:lang w:val="en-IE"/>
        </w:rPr>
        <w:t xml:space="preserve"> in the EU carried out on behalf of third countries. Covering interest representation carried out on behalf of any entity would further harmonise requirements in the internal market</w:t>
      </w:r>
      <w:r w:rsidRPr="00532C20" w:rsidDel="009750A5">
        <w:rPr>
          <w:rFonts w:ascii="Times New Roman" w:eastAsia="Times" w:hAnsi="Times New Roman" w:cs="Times New Roman"/>
          <w:noProof/>
          <w:sz w:val="24"/>
          <w:szCs w:val="24"/>
          <w:lang w:val="en-IE"/>
        </w:rPr>
        <w:t>,</w:t>
      </w:r>
      <w:r w:rsidRPr="00532C20">
        <w:rPr>
          <w:rFonts w:ascii="Times New Roman" w:eastAsia="Times" w:hAnsi="Times New Roman" w:cs="Times New Roman"/>
          <w:noProof/>
          <w:sz w:val="24"/>
          <w:szCs w:val="24"/>
          <w:lang w:val="en-IE"/>
        </w:rPr>
        <w:t xml:space="preserve"> but</w:t>
      </w:r>
      <w:r w:rsidRPr="00532C20" w:rsidDel="009750A5">
        <w:rPr>
          <w:rFonts w:ascii="Times New Roman" w:eastAsia="Times" w:hAnsi="Times New Roman" w:cs="Times New Roman"/>
          <w:noProof/>
          <w:sz w:val="24"/>
          <w:szCs w:val="24"/>
          <w:lang w:val="en-IE"/>
        </w:rPr>
        <w:t xml:space="preserve"> it</w:t>
      </w:r>
      <w:r w:rsidRPr="00532C20">
        <w:rPr>
          <w:rFonts w:ascii="Times New Roman" w:eastAsia="Times" w:hAnsi="Times New Roman" w:cs="Times New Roman"/>
          <w:noProof/>
          <w:sz w:val="24"/>
          <w:szCs w:val="24"/>
          <w:lang w:val="en-IE"/>
        </w:rPr>
        <w:t xml:space="preserve"> would require </w:t>
      </w:r>
      <w:r w:rsidR="00621AD1" w:rsidRPr="00532C20">
        <w:rPr>
          <w:rFonts w:ascii="Times New Roman" w:eastAsia="Times" w:hAnsi="Times New Roman" w:cs="Times New Roman"/>
          <w:noProof/>
          <w:sz w:val="24"/>
          <w:szCs w:val="24"/>
          <w:lang w:val="en-IE"/>
        </w:rPr>
        <w:t>moving</w:t>
      </w:r>
      <w:r w:rsidRPr="00532C20">
        <w:rPr>
          <w:rFonts w:ascii="Times New Roman" w:eastAsia="Times" w:hAnsi="Times New Roman" w:cs="Times New Roman"/>
          <w:noProof/>
          <w:sz w:val="24"/>
          <w:szCs w:val="24"/>
          <w:lang w:val="en-IE" w:eastAsia="en-GB"/>
        </w:rPr>
        <w:t xml:space="preserve"> away from the issue of foreign interference.</w:t>
      </w:r>
      <w:r w:rsidRPr="00532C20">
        <w:rPr>
          <w:rFonts w:ascii="Times New Roman" w:eastAsia="Times" w:hAnsi="Times New Roman" w:cs="Times New Roman"/>
          <w:noProof/>
          <w:sz w:val="24"/>
          <w:szCs w:val="24"/>
          <w:lang w:val="en-IE"/>
        </w:rPr>
        <w:t xml:space="preserve"> </w:t>
      </w:r>
    </w:p>
    <w:p w14:paraId="36B4DEB3" w14:textId="77777777" w:rsidR="00E10EF7" w:rsidRPr="00532C20" w:rsidRDefault="00E10EF7" w:rsidP="00E10EF7">
      <w:pPr>
        <w:spacing w:after="120" w:line="240" w:lineRule="auto"/>
        <w:jc w:val="both"/>
        <w:rPr>
          <w:rFonts w:ascii="Times" w:eastAsia="Symbol" w:hAnsi="Times" w:cs="Times"/>
          <w:noProof/>
          <w:sz w:val="24"/>
          <w:szCs w:val="24"/>
          <w:lang w:val="en-IE"/>
        </w:rPr>
      </w:pPr>
      <w:r w:rsidRPr="00532C20">
        <w:rPr>
          <w:rFonts w:ascii="Times New Roman" w:eastAsia="Times" w:hAnsi="Times New Roman" w:cs="Times New Roman"/>
          <w:noProof/>
          <w:sz w:val="24"/>
          <w:szCs w:val="24"/>
          <w:lang w:val="en-IE"/>
        </w:rPr>
        <w:t>As reported by the OECD, instead of relying on traditional and formal diplomatic channels and processes, foreign governments increasingly rely on lobbyists and other forms of influence to promote their policy objectives</w:t>
      </w:r>
      <w:r w:rsidRPr="00532C20">
        <w:rPr>
          <w:rFonts w:ascii="Times New Roman" w:eastAsia="Times" w:hAnsi="Times New Roman" w:cs="Times New Roman"/>
          <w:noProof/>
          <w:sz w:val="24"/>
          <w:szCs w:val="24"/>
          <w:vertAlign w:val="superscript"/>
          <w:lang w:val="en-IE"/>
        </w:rPr>
        <w:footnoteReference w:id="127"/>
      </w:r>
      <w:r w:rsidRPr="00532C20">
        <w:rPr>
          <w:rFonts w:ascii="Times New Roman" w:eastAsia="Times" w:hAnsi="Times New Roman" w:cs="Times New Roman"/>
          <w:noProof/>
          <w:sz w:val="24"/>
          <w:szCs w:val="24"/>
          <w:lang w:val="en-IE"/>
        </w:rPr>
        <w:t xml:space="preserve">. </w:t>
      </w:r>
      <w:r w:rsidRPr="00532C20">
        <w:rPr>
          <w:rFonts w:ascii="Times" w:eastAsia="Symbol" w:hAnsi="Times" w:cs="Times"/>
          <w:noProof/>
          <w:sz w:val="24"/>
          <w:szCs w:val="24"/>
          <w:lang w:val="en-IE"/>
        </w:rPr>
        <w:t xml:space="preserve">Third country governments may engage in lobbying, including by contracting public relations firms to conduct lobbying on their behalf. They may also fund other entities to produce evidence supporting their goals, including by providing benefits in kind such as material gifts. This type of influence activities by third country governments, if done covertly, is concerning as it undermines the principles of transparency and accountability when trying to influence public decision-making processes in the EU. </w:t>
      </w:r>
    </w:p>
    <w:p w14:paraId="53D0418F" w14:textId="031A87F5" w:rsidR="00E10EF7" w:rsidRPr="00532C20" w:rsidRDefault="00E10EF7" w:rsidP="00E10EF7">
      <w:pPr>
        <w:spacing w:after="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The impact of such influence is increasingly acknowledged in international fora. The OECD considers that foreign governments “can have a transformative impact on the political life of a country, not only on domestic policies but also on its foreign policy, its election system, economic interests and its ability to protect its national interests and national security</w:t>
      </w:r>
      <w:r w:rsidRPr="00532C20">
        <w:rPr>
          <w:rFonts w:ascii="Times New Roman" w:eastAsia="Symbol" w:hAnsi="Times New Roman" w:cs="Times New Roman"/>
          <w:noProof/>
          <w:sz w:val="24"/>
          <w:szCs w:val="24"/>
          <w:vertAlign w:val="superscript"/>
          <w:lang w:val="en-IE"/>
        </w:rPr>
        <w:footnoteReference w:id="128"/>
      </w:r>
      <w:r w:rsidRPr="00532C20">
        <w:rPr>
          <w:rFonts w:ascii="Times New Roman" w:eastAsia="Symbol" w:hAnsi="Times New Roman" w:cs="Times New Roman"/>
          <w:noProof/>
          <w:sz w:val="24"/>
          <w:szCs w:val="24"/>
          <w:lang w:val="en-IE"/>
        </w:rPr>
        <w:t>” and the risks involved in lobbying and influence activities of foreign government are higher than the risks posed by purely domestic lobbying and influence activities</w:t>
      </w:r>
      <w:r w:rsidRPr="00532C20">
        <w:rPr>
          <w:rFonts w:ascii="Times New Roman" w:eastAsia="Symbol" w:hAnsi="Times New Roman" w:cs="Times New Roman"/>
          <w:noProof/>
          <w:sz w:val="24"/>
          <w:szCs w:val="24"/>
          <w:vertAlign w:val="superscript"/>
          <w:lang w:val="en-IE"/>
        </w:rPr>
        <w:footnoteReference w:id="129"/>
      </w:r>
      <w:r w:rsidRPr="00532C20">
        <w:rPr>
          <w:rFonts w:ascii="Times New Roman" w:eastAsia="Symbol" w:hAnsi="Times New Roman" w:cs="Times New Roman"/>
          <w:noProof/>
          <w:sz w:val="24"/>
          <w:szCs w:val="24"/>
          <w:lang w:val="en-IE"/>
        </w:rPr>
        <w:t xml:space="preserve">. Covert foreign funding seeking to influence </w:t>
      </w:r>
      <w:r w:rsidR="00A8009E">
        <w:rPr>
          <w:rFonts w:ascii="Times New Roman" w:eastAsia="Symbol" w:hAnsi="Times New Roman" w:cs="Times New Roman"/>
          <w:noProof/>
          <w:sz w:val="24"/>
          <w:szCs w:val="24"/>
          <w:lang w:val="en-IE"/>
        </w:rPr>
        <w:t>a</w:t>
      </w:r>
      <w:r w:rsidRPr="00532C20">
        <w:rPr>
          <w:rFonts w:ascii="Times New Roman" w:eastAsia="Symbol" w:hAnsi="Times New Roman" w:cs="Times New Roman"/>
          <w:noProof/>
          <w:sz w:val="24"/>
          <w:szCs w:val="24"/>
          <w:lang w:val="en-IE"/>
        </w:rPr>
        <w:t xml:space="preserve"> decision</w:t>
      </w:r>
      <w:r w:rsidR="00A8009E">
        <w:rPr>
          <w:rFonts w:ascii="Times New Roman" w:eastAsia="Symbol" w:hAnsi="Times New Roman" w:cs="Times New Roman"/>
          <w:noProof/>
          <w:sz w:val="24"/>
          <w:szCs w:val="24"/>
          <w:lang w:val="en-IE"/>
        </w:rPr>
        <w:t xml:space="preserve"> </w:t>
      </w:r>
      <w:r w:rsidRPr="00532C20">
        <w:rPr>
          <w:rFonts w:ascii="Times New Roman" w:eastAsia="Symbol" w:hAnsi="Times New Roman" w:cs="Times New Roman"/>
          <w:noProof/>
          <w:sz w:val="24"/>
          <w:szCs w:val="24"/>
          <w:lang w:val="en-IE"/>
        </w:rPr>
        <w:t xml:space="preserve">making process is by definition difficult to demonstrate due to its secret nature. </w:t>
      </w:r>
    </w:p>
    <w:p w14:paraId="776FDE31" w14:textId="77777777" w:rsidR="00E10EF7" w:rsidRPr="00532C20" w:rsidRDefault="00E10EF7" w:rsidP="00E10EF7">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Covering interest representation carried out on behalf of any entity would benefit economic actors as it would remove obstacles to the internal market for other interest representation activities. 1 CSO also argues that it could limit stigmatisation. A wider scope covering interest representation on behalf of any entities would also be disproportionate to achieve the targeted objectives of this initiative. </w:t>
      </w:r>
      <w:r w:rsidRPr="00532C20">
        <w:rPr>
          <w:rFonts w:ascii="Times New Roman" w:eastAsia="Arial" w:hAnsi="Times New Roman" w:cs="Times New Roman"/>
          <w:noProof/>
          <w:sz w:val="24"/>
          <w:szCs w:val="24"/>
          <w:lang w:val="en-IE" w:eastAsia="en-GB"/>
        </w:rPr>
        <w:t xml:space="preserve">An intervention covering all types </w:t>
      </w:r>
      <w:r w:rsidRPr="00532C20">
        <w:rPr>
          <w:rFonts w:ascii="Times New Roman" w:eastAsia="Arial" w:hAnsi="Times New Roman" w:cs="Times New Roman"/>
          <w:noProof/>
          <w:sz w:val="24"/>
          <w:szCs w:val="24"/>
          <w:lang w:eastAsia="en-GB"/>
        </w:rPr>
        <w:t>of</w:t>
      </w:r>
      <w:r w:rsidRPr="00532C20">
        <w:rPr>
          <w:rFonts w:ascii="Times New Roman" w:eastAsia="Arial" w:hAnsi="Times New Roman" w:cs="Times New Roman"/>
          <w:noProof/>
          <w:sz w:val="24"/>
          <w:szCs w:val="24"/>
          <w:lang w:val="en-IE" w:eastAsia="en-GB"/>
        </w:rPr>
        <w:t xml:space="preserve"> interest representation would affect around 3.5 million entities in the EU</w:t>
      </w:r>
      <w:r w:rsidRPr="00532C20">
        <w:rPr>
          <w:rStyle w:val="FootnoteReference"/>
          <w:rFonts w:ascii="Times New Roman" w:eastAsia="Arial" w:hAnsi="Times New Roman" w:cs="Times New Roman"/>
          <w:noProof/>
          <w:sz w:val="24"/>
          <w:szCs w:val="24"/>
          <w:lang w:val="en-IE" w:eastAsia="en-GB"/>
        </w:rPr>
        <w:footnoteReference w:id="130"/>
      </w:r>
      <w:r w:rsidRPr="00532C20">
        <w:rPr>
          <w:rFonts w:ascii="Times New Roman" w:eastAsia="Arial" w:hAnsi="Times New Roman" w:cs="Times New Roman"/>
          <w:noProof/>
          <w:sz w:val="24"/>
          <w:szCs w:val="24"/>
          <w:lang w:val="en-IE" w:eastAsia="en-GB"/>
        </w:rPr>
        <w:t xml:space="preserve">, when it </w:t>
      </w:r>
      <w:r w:rsidRPr="00532C20">
        <w:rPr>
          <w:rFonts w:ascii="Times New Roman" w:eastAsia="Times" w:hAnsi="Times New Roman" w:cs="Times New Roman"/>
          <w:noProof/>
          <w:sz w:val="24"/>
          <w:szCs w:val="24"/>
          <w:lang w:val="en-IE"/>
        </w:rPr>
        <w:t>can be estimated that only around 700 to 1100 entities provide interest representation on behalf of third country governments in the EU</w:t>
      </w:r>
      <w:r w:rsidRPr="00532C20">
        <w:rPr>
          <w:rStyle w:val="FootnoteReference"/>
          <w:rFonts w:ascii="Times New Roman" w:eastAsia="Arial" w:hAnsi="Times New Roman" w:cs="Times New Roman"/>
          <w:noProof/>
          <w:sz w:val="24"/>
          <w:szCs w:val="24"/>
          <w:lang w:val="en-IE" w:eastAsia="en-GB"/>
        </w:rPr>
        <w:footnoteReference w:id="131"/>
      </w:r>
      <w:r w:rsidRPr="00532C20">
        <w:rPr>
          <w:rFonts w:ascii="Times New Roman" w:eastAsia="Times" w:hAnsi="Times New Roman" w:cs="Times New Roman"/>
          <w:noProof/>
          <w:sz w:val="24"/>
          <w:szCs w:val="24"/>
          <w:lang w:val="en-IE"/>
        </w:rPr>
        <w:t xml:space="preserve">. In addition, since 2020, the Commission </w:t>
      </w:r>
      <w:r w:rsidRPr="00532C20">
        <w:rPr>
          <w:rFonts w:ascii="Times New Roman" w:eastAsia="Symbol" w:hAnsi="Times New Roman" w:cs="Times New Roman"/>
          <w:noProof/>
          <w:sz w:val="24"/>
          <w:szCs w:val="24"/>
        </w:rPr>
        <w:t>monitors</w:t>
      </w:r>
      <w:r w:rsidRPr="00532C20">
        <w:rPr>
          <w:rFonts w:ascii="Times New Roman" w:eastAsia="Times" w:hAnsi="Times New Roman" w:cs="Times New Roman"/>
          <w:noProof/>
          <w:sz w:val="24"/>
          <w:szCs w:val="24"/>
          <w:lang w:val="en-IE"/>
        </w:rPr>
        <w:t xml:space="preserve"> with specific recommendations</w:t>
      </w:r>
      <w:r w:rsidRPr="00532C20">
        <w:rPr>
          <w:rFonts w:ascii="Times New Roman" w:eastAsia="Symbol" w:hAnsi="Times New Roman" w:cs="Times New Roman"/>
          <w:noProof/>
          <w:sz w:val="24"/>
          <w:szCs w:val="24"/>
        </w:rPr>
        <w:t>, under the anti-corruption pillar</w:t>
      </w:r>
      <w:r w:rsidRPr="00532C20">
        <w:rPr>
          <w:rFonts w:ascii="Times New Roman" w:eastAsia="Times" w:hAnsi="Times New Roman" w:cs="Times New Roman"/>
          <w:noProof/>
          <w:sz w:val="24"/>
          <w:szCs w:val="24"/>
          <w:lang w:val="en-IE"/>
        </w:rPr>
        <w:t xml:space="preserve"> of the Rule of Law Report</w:t>
      </w:r>
      <w:r w:rsidRPr="00532C20">
        <w:rPr>
          <w:rFonts w:ascii="Times New Roman" w:eastAsia="Symbol" w:hAnsi="Times New Roman" w:cs="Times New Roman"/>
          <w:noProof/>
          <w:sz w:val="24"/>
          <w:szCs w:val="24"/>
        </w:rPr>
        <w:t>, the regulation of all interest representation in Member States, within the framework of existing European and international standard</w:t>
      </w:r>
      <w:r w:rsidRPr="00532C20">
        <w:rPr>
          <w:rStyle w:val="FootnoteReference"/>
          <w:rFonts w:ascii="Times New Roman" w:eastAsia="Symbol" w:hAnsi="Times New Roman" w:cs="Times New Roman"/>
          <w:noProof/>
          <w:sz w:val="24"/>
          <w:szCs w:val="24"/>
        </w:rPr>
        <w:footnoteReference w:id="132"/>
      </w:r>
      <w:r w:rsidRPr="00532C20">
        <w:rPr>
          <w:rFonts w:ascii="Times New Roman" w:eastAsia="Symbol" w:hAnsi="Times New Roman" w:cs="Times New Roman"/>
          <w:noProof/>
          <w:sz w:val="24"/>
          <w:szCs w:val="24"/>
        </w:rPr>
        <w:t xml:space="preserve">. </w:t>
      </w:r>
    </w:p>
    <w:p w14:paraId="19ABF670" w14:textId="0D73A236" w:rsidR="00E10EF7" w:rsidRPr="00532C20" w:rsidRDefault="00E10EF7" w:rsidP="00E10EF7">
      <w:pPr>
        <w:spacing w:after="120" w:line="240" w:lineRule="auto"/>
        <w:jc w:val="both"/>
        <w:rPr>
          <w:rFonts w:ascii="Times New Roman" w:eastAsia="Times" w:hAnsi="Times New Roman" w:cs="Times New Roman"/>
          <w:noProof/>
          <w:sz w:val="24"/>
          <w:szCs w:val="24"/>
          <w:lang w:val="en-IE" w:eastAsia="en-GB"/>
        </w:rPr>
      </w:pPr>
      <w:r w:rsidRPr="00532C20">
        <w:rPr>
          <w:rFonts w:ascii="Times New Roman" w:eastAsia="Times" w:hAnsi="Times New Roman" w:cs="Times New Roman"/>
          <w:noProof/>
          <w:sz w:val="24"/>
          <w:szCs w:val="24"/>
          <w:lang w:val="en-IE"/>
        </w:rPr>
        <w:t xml:space="preserve">Covering interest representation activities carried out by other Member States/EEA countries would not be aligned with </w:t>
      </w:r>
      <w:r w:rsidRPr="00532C20">
        <w:rPr>
          <w:rFonts w:ascii="Times New Roman" w:eastAsia="Times" w:hAnsi="Times New Roman" w:cs="Times New Roman"/>
          <w:noProof/>
          <w:sz w:val="24"/>
          <w:szCs w:val="24"/>
          <w:lang w:val="en-IE" w:eastAsia="en-GB"/>
        </w:rPr>
        <w:t>the second objective aiming to contribute to the transparency, integrity of, and public trust in, EU and Member State decision</w:t>
      </w:r>
      <w:r w:rsidR="007F0FA3">
        <w:rPr>
          <w:rFonts w:ascii="Times New Roman" w:eastAsia="Times" w:hAnsi="Times New Roman" w:cs="Times New Roman"/>
          <w:noProof/>
          <w:sz w:val="24"/>
          <w:szCs w:val="24"/>
          <w:lang w:val="en-IE" w:eastAsia="en-GB"/>
        </w:rPr>
        <w:t>-</w:t>
      </w:r>
      <w:r w:rsidRPr="00532C20">
        <w:rPr>
          <w:rFonts w:ascii="Times New Roman" w:eastAsia="Times" w:hAnsi="Times New Roman" w:cs="Times New Roman"/>
          <w:noProof/>
          <w:sz w:val="24"/>
          <w:szCs w:val="24"/>
          <w:lang w:val="en-IE" w:eastAsia="en-GB"/>
        </w:rPr>
        <w:t>making processes, with regard to the influence of third countries. This is coherent with the principle of mutual trust, which is a general principle of Union law whose fundamental importance has been recognized by the European Court of Justice (see e.g. Case C‑34/17). There is also no specific concern being expressed regarding the conduct of influence activities by EU Member States and no corresponding anticipated national legislation to address this.</w:t>
      </w:r>
    </w:p>
    <w:p w14:paraId="7519EB3E" w14:textId="77777777" w:rsidR="00E10EF7" w:rsidRPr="00532C20" w:rsidRDefault="00E10EF7" w:rsidP="00E10EF7">
      <w:pPr>
        <w:spacing w:after="120" w:line="240" w:lineRule="auto"/>
        <w:jc w:val="both"/>
        <w:rPr>
          <w:rFonts w:ascii="Times New Roman" w:eastAsia="Times" w:hAnsi="Times New Roman" w:cs="Times New Roman"/>
          <w:b/>
          <w:bCs/>
          <w:noProof/>
          <w:sz w:val="24"/>
          <w:szCs w:val="24"/>
          <w:lang w:val="en-IE"/>
        </w:rPr>
      </w:pPr>
      <w:r w:rsidRPr="00532C20">
        <w:rPr>
          <w:rFonts w:ascii="Times New Roman" w:eastAsia="Times" w:hAnsi="Times New Roman" w:cs="Times New Roman"/>
          <w:noProof/>
          <w:sz w:val="24"/>
          <w:szCs w:val="24"/>
          <w:lang w:val="en-IE"/>
        </w:rPr>
        <w:t>Finally, it should be underlined that a broader scope would not mean that exactly the same measures would be provided for all interest representation activities as different situations may justify different types of measures to adapt to different needs.</w:t>
      </w:r>
    </w:p>
    <w:p w14:paraId="7E62B171" w14:textId="77777777" w:rsidR="00E10EF7" w:rsidRPr="00532C20" w:rsidRDefault="00E10EF7" w:rsidP="00E10EF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w:hAnsi="Times New Roman" w:cs="Times New Roman"/>
          <w:b/>
          <w:bCs/>
          <w:noProof/>
          <w:lang w:val="en-IE"/>
        </w:rPr>
      </w:pPr>
      <w:r w:rsidRPr="00532C20">
        <w:rPr>
          <w:rFonts w:ascii="Times New Roman" w:eastAsia="Times" w:hAnsi="Times New Roman" w:cs="Times New Roman"/>
          <w:b/>
          <w:bCs/>
          <w:noProof/>
          <w:lang w:val="en-IE"/>
        </w:rPr>
        <w:t>Stakeholder views:</w:t>
      </w:r>
    </w:p>
    <w:p w14:paraId="53BF5411" w14:textId="2E0E0E37" w:rsidR="00E10EF7" w:rsidRPr="00532C20" w:rsidRDefault="00E10EF7" w:rsidP="00582553">
      <w:pPr>
        <w:pBdr>
          <w:top w:val="single" w:sz="4" w:space="1" w:color="auto"/>
          <w:left w:val="single" w:sz="4" w:space="4" w:color="auto"/>
          <w:bottom w:val="single" w:sz="4" w:space="1" w:color="auto"/>
          <w:right w:val="single" w:sz="4" w:space="4" w:color="auto"/>
        </w:pBdr>
        <w:spacing w:after="120" w:line="240" w:lineRule="auto"/>
        <w:jc w:val="both"/>
        <w:rPr>
          <w:rFonts w:eastAsia="Times" w:cs="Times New Roman"/>
          <w:noProof/>
        </w:rPr>
      </w:pPr>
      <w:r w:rsidRPr="00532C20">
        <w:rPr>
          <w:rFonts w:ascii="Times New Roman" w:eastAsia="Times" w:hAnsi="Times New Roman" w:cs="Times New Roman"/>
          <w:noProof/>
          <w:lang w:val="en-IE"/>
        </w:rPr>
        <w:t>1</w:t>
      </w:r>
      <w:r w:rsidRPr="00532C20" w:rsidDel="006E5DCA">
        <w:rPr>
          <w:rFonts w:ascii="Times New Roman" w:eastAsia="Times" w:hAnsi="Times New Roman" w:cs="Times New Roman"/>
          <w:noProof/>
          <w:lang w:val="en-IE"/>
        </w:rPr>
        <w:t xml:space="preserve"> CSO </w:t>
      </w:r>
      <w:r w:rsidRPr="00532C20">
        <w:rPr>
          <w:rFonts w:ascii="Times New Roman" w:eastAsia="Times" w:hAnsi="Times New Roman" w:cs="Times New Roman"/>
          <w:noProof/>
          <w:lang w:val="en-IE"/>
        </w:rPr>
        <w:t xml:space="preserve">(out of 11) </w:t>
      </w:r>
      <w:r w:rsidRPr="00532C20" w:rsidDel="006E5DCA">
        <w:rPr>
          <w:rFonts w:ascii="Times New Roman" w:eastAsia="Times" w:hAnsi="Times New Roman" w:cs="Times New Roman"/>
          <w:noProof/>
          <w:lang w:val="en-IE"/>
        </w:rPr>
        <w:t>consider</w:t>
      </w:r>
      <w:r w:rsidRPr="00532C20">
        <w:rPr>
          <w:rFonts w:ascii="Times New Roman" w:eastAsia="Times" w:hAnsi="Times New Roman" w:cs="Times New Roman"/>
          <w:noProof/>
          <w:lang w:val="en-IE"/>
        </w:rPr>
        <w:t>ed</w:t>
      </w:r>
      <w:r w:rsidRPr="00532C20" w:rsidDel="006E5DCA">
        <w:rPr>
          <w:rFonts w:ascii="Times New Roman" w:eastAsia="Times" w:hAnsi="Times New Roman" w:cs="Times New Roman"/>
          <w:noProof/>
          <w:lang w:val="en-IE"/>
        </w:rPr>
        <w:t xml:space="preserve"> that harmonising interest representation in general “</w:t>
      </w:r>
      <w:r w:rsidRPr="00532C20" w:rsidDel="006E5DCA">
        <w:rPr>
          <w:rFonts w:ascii="Times New Roman" w:eastAsia="Times" w:hAnsi="Times New Roman" w:cs="Times New Roman"/>
          <w:i/>
          <w:iCs/>
          <w:noProof/>
          <w:lang w:val="en-IE"/>
        </w:rPr>
        <w:t>would be a crucial first step in the right direction towards more transparency. However, they would not bring sufficient transparency of lobbying by third countries (…). Stronger and more targeted legislation is needed.</w:t>
      </w:r>
      <w:r w:rsidRPr="00532C20" w:rsidDel="006E5DCA">
        <w:rPr>
          <w:rFonts w:ascii="Times New Roman" w:eastAsia="Times" w:hAnsi="Times New Roman" w:cs="Times New Roman"/>
          <w:noProof/>
          <w:lang w:val="en-IE"/>
        </w:rPr>
        <w:t>”</w:t>
      </w:r>
    </w:p>
    <w:p w14:paraId="76604841" w14:textId="77777777" w:rsidR="00371EFA" w:rsidRPr="00532C20" w:rsidRDefault="00371EFA" w:rsidP="00582553">
      <w:pPr>
        <w:pStyle w:val="1111level4section"/>
        <w:rPr>
          <w:noProof/>
        </w:rPr>
      </w:pPr>
      <w:bookmarkStart w:id="693" w:name="_Toc152864683"/>
      <w:r w:rsidRPr="00532C20">
        <w:rPr>
          <w:noProof/>
        </w:rPr>
        <w:t>Exclusion of some entities from the scope</w:t>
      </w:r>
      <w:bookmarkEnd w:id="693"/>
    </w:p>
    <w:p w14:paraId="66C0DEB2" w14:textId="48F5FA2E" w:rsidR="00371EFA" w:rsidRPr="00532C20" w:rsidRDefault="00371EFA" w:rsidP="00371EFA">
      <w:pPr>
        <w:spacing w:after="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As proposed by 4 </w:t>
      </w:r>
      <w:r w:rsidR="009C3AA4" w:rsidRPr="00532C20">
        <w:rPr>
          <w:rFonts w:ascii="Times New Roman" w:eastAsia="Symbol" w:hAnsi="Times New Roman" w:cs="Times New Roman"/>
          <w:noProof/>
          <w:sz w:val="24"/>
          <w:szCs w:val="24"/>
          <w:lang w:val="en-IE"/>
        </w:rPr>
        <w:t>out of 11</w:t>
      </w:r>
      <w:r w:rsidRPr="00532C20">
        <w:rPr>
          <w:rFonts w:ascii="Times New Roman" w:eastAsia="Symbol" w:hAnsi="Times New Roman" w:cs="Times New Roman"/>
          <w:noProof/>
          <w:sz w:val="24"/>
          <w:szCs w:val="24"/>
          <w:lang w:val="en-IE"/>
        </w:rPr>
        <w:t xml:space="preserve"> CSOs</w:t>
      </w:r>
      <w:r w:rsidR="004E490C" w:rsidRPr="00532C20">
        <w:rPr>
          <w:rFonts w:ascii="Times New Roman" w:eastAsia="Symbol" w:hAnsi="Times New Roman" w:cs="Times New Roman"/>
          <w:noProof/>
          <w:sz w:val="24"/>
          <w:szCs w:val="24"/>
          <w:lang w:val="en-IE"/>
        </w:rPr>
        <w:t xml:space="preserve"> consulted</w:t>
      </w:r>
      <w:r w:rsidRPr="00532C20">
        <w:rPr>
          <w:rFonts w:ascii="Times New Roman" w:eastAsia="Symbol" w:hAnsi="Times New Roman" w:cs="Times New Roman"/>
          <w:noProof/>
          <w:sz w:val="24"/>
          <w:szCs w:val="24"/>
          <w:lang w:val="en-IE"/>
        </w:rPr>
        <w:t>, it could be considered to exclude from the scope some non-profit organisations carrying out interest representation (for example through a threshold), in light of their specific role in a democratic society as part of the system of checks and balances. This position is not shared by all CSOs</w:t>
      </w:r>
      <w:r w:rsidR="004E490C" w:rsidRPr="00532C20">
        <w:rPr>
          <w:rFonts w:ascii="Times New Roman" w:eastAsia="Symbol" w:hAnsi="Times New Roman" w:cs="Times New Roman"/>
          <w:noProof/>
          <w:sz w:val="24"/>
          <w:szCs w:val="24"/>
          <w:lang w:val="en-IE"/>
        </w:rPr>
        <w:t xml:space="preserve"> consulted</w:t>
      </w:r>
      <w:r w:rsidRPr="00532C20">
        <w:rPr>
          <w:rFonts w:ascii="Times New Roman" w:eastAsia="Symbol" w:hAnsi="Times New Roman" w:cs="Times New Roman"/>
          <w:noProof/>
          <w:sz w:val="24"/>
          <w:szCs w:val="24"/>
          <w:lang w:val="en-IE"/>
        </w:rPr>
        <w:t>.</w:t>
      </w:r>
    </w:p>
    <w:p w14:paraId="102C40E3" w14:textId="2822A039" w:rsidR="00371EFA" w:rsidRPr="00532C20" w:rsidRDefault="00371EFA" w:rsidP="00371EFA">
      <w:pPr>
        <w:spacing w:after="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It can be</w:t>
      </w:r>
      <w:r w:rsidRPr="00532C20" w:rsidDel="008A5371">
        <w:rPr>
          <w:rFonts w:ascii="Times New Roman" w:eastAsia="Symbol" w:hAnsi="Times New Roman" w:cs="Times New Roman"/>
          <w:noProof/>
          <w:sz w:val="24"/>
          <w:szCs w:val="24"/>
          <w:lang w:val="en-IE"/>
        </w:rPr>
        <w:t xml:space="preserve"> </w:t>
      </w:r>
      <w:r w:rsidRPr="00532C20">
        <w:rPr>
          <w:rFonts w:ascii="Times New Roman" w:eastAsia="Symbol" w:hAnsi="Times New Roman" w:cs="Times New Roman"/>
          <w:noProof/>
          <w:sz w:val="24"/>
          <w:szCs w:val="24"/>
          <w:lang w:val="en-IE"/>
        </w:rPr>
        <w:t>understood from existing transparency registers, that CSOs form a large portion of the entities carrying out interest representation activities (</w:t>
      </w:r>
      <w:r w:rsidR="00627D63" w:rsidRPr="00532C20">
        <w:rPr>
          <w:rFonts w:ascii="Times New Roman" w:eastAsia="Symbol" w:hAnsi="Times New Roman" w:cs="Times New Roman"/>
          <w:noProof/>
          <w:sz w:val="24"/>
          <w:szCs w:val="24"/>
          <w:lang w:val="en-IE"/>
        </w:rPr>
        <w:t>Non</w:t>
      </w:r>
      <w:r w:rsidR="00B700B6" w:rsidRPr="00532C20">
        <w:rPr>
          <w:rFonts w:ascii="Times New Roman" w:eastAsia="Symbol" w:hAnsi="Times New Roman" w:cs="Times New Roman"/>
          <w:noProof/>
          <w:sz w:val="24"/>
          <w:szCs w:val="24"/>
          <w:lang w:val="en-IE"/>
        </w:rPr>
        <w:t>-</w:t>
      </w:r>
      <w:r w:rsidR="00627D63" w:rsidRPr="00532C20">
        <w:rPr>
          <w:rFonts w:ascii="Times New Roman" w:eastAsia="Symbol" w:hAnsi="Times New Roman" w:cs="Times New Roman"/>
          <w:noProof/>
          <w:sz w:val="24"/>
          <w:szCs w:val="24"/>
          <w:lang w:val="en-IE"/>
        </w:rPr>
        <w:t>governmental organisations</w:t>
      </w:r>
      <w:r w:rsidR="00B700B6" w:rsidRPr="00532C20">
        <w:rPr>
          <w:rFonts w:ascii="Times New Roman" w:eastAsia="Symbol" w:hAnsi="Times New Roman" w:cs="Times New Roman"/>
          <w:noProof/>
          <w:sz w:val="24"/>
          <w:szCs w:val="24"/>
          <w:lang w:val="en-IE"/>
        </w:rPr>
        <w:t xml:space="preserve"> (NGO)</w:t>
      </w:r>
      <w:r w:rsidRPr="00532C20">
        <w:rPr>
          <w:rFonts w:ascii="Times New Roman" w:eastAsia="Symbol" w:hAnsi="Times New Roman" w:cs="Times New Roman"/>
          <w:noProof/>
          <w:sz w:val="24"/>
          <w:szCs w:val="24"/>
          <w:lang w:val="en-IE"/>
        </w:rPr>
        <w:t>, think tanks, trade associations etc.)</w:t>
      </w:r>
      <w:r w:rsidRPr="00532C20">
        <w:rPr>
          <w:rFonts w:ascii="Times New Roman" w:eastAsia="Symbol" w:hAnsi="Times New Roman" w:cs="Times New Roman"/>
          <w:noProof/>
          <w:sz w:val="24"/>
          <w:szCs w:val="24"/>
          <w:vertAlign w:val="superscript"/>
          <w:lang w:val="en-IE"/>
        </w:rPr>
        <w:footnoteReference w:id="133"/>
      </w:r>
      <w:r w:rsidRPr="00532C20">
        <w:rPr>
          <w:rFonts w:ascii="Times New Roman" w:eastAsia="Symbol" w:hAnsi="Times New Roman" w:cs="Times New Roman"/>
          <w:noProof/>
          <w:sz w:val="24"/>
          <w:szCs w:val="24"/>
          <w:lang w:val="en-IE"/>
        </w:rPr>
        <w:t>. Excluding CSOs carrying out interest representation activities in the internal market from the scope would in addition create an uneven playing field between the actors in the interest representation market (see section 2.1.1). It would also create a risk of circumvention with some entities in a position of covertly influencing decision</w:t>
      </w:r>
      <w:r w:rsidR="007F0FA3">
        <w:rPr>
          <w:rFonts w:ascii="Times New Roman" w:eastAsia="Symbol" w:hAnsi="Times New Roman" w:cs="Times New Roman"/>
          <w:noProof/>
          <w:sz w:val="24"/>
          <w:szCs w:val="24"/>
          <w:lang w:val="en-IE"/>
        </w:rPr>
        <w:t>-</w:t>
      </w:r>
      <w:r w:rsidRPr="00532C20">
        <w:rPr>
          <w:rFonts w:ascii="Times New Roman" w:eastAsia="Symbol" w:hAnsi="Times New Roman" w:cs="Times New Roman"/>
          <w:noProof/>
          <w:sz w:val="24"/>
          <w:szCs w:val="24"/>
          <w:lang w:val="en-IE"/>
        </w:rPr>
        <w:t>making on behalf of third countries in the EU while other entities carrying out similar activities would be subject to transparency requirements.</w:t>
      </w:r>
    </w:p>
    <w:p w14:paraId="0CC1FF5D" w14:textId="77777777" w:rsidR="00371EFA" w:rsidRPr="00532C20" w:rsidRDefault="00371EFA" w:rsidP="00371EF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Symbol" w:hAnsi="Times New Roman" w:cs="Times New Roman"/>
          <w:b/>
          <w:bCs/>
          <w:noProof/>
          <w:lang w:val="en-IE"/>
        </w:rPr>
      </w:pPr>
      <w:r w:rsidRPr="00532C20">
        <w:rPr>
          <w:rFonts w:ascii="Times New Roman" w:eastAsia="Symbol" w:hAnsi="Times New Roman" w:cs="Times New Roman"/>
          <w:b/>
          <w:bCs/>
          <w:noProof/>
          <w:lang w:val="en-IE"/>
        </w:rPr>
        <w:t>Stakeholder views:</w:t>
      </w:r>
    </w:p>
    <w:p w14:paraId="096E3D6C" w14:textId="77777777" w:rsidR="00371EFA" w:rsidRPr="00532C20" w:rsidRDefault="00371EFA" w:rsidP="00371EFA">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Industry representatives considered that “</w:t>
      </w:r>
      <w:r w:rsidRPr="00532C20">
        <w:rPr>
          <w:rFonts w:ascii="Times New Roman" w:eastAsia="Symbol" w:hAnsi="Times New Roman" w:cs="Times New Roman"/>
          <w:i/>
          <w:iCs/>
          <w:noProof/>
          <w:lang w:val="en-IE"/>
        </w:rPr>
        <w:t>equal rules should apply to all organisations carrying out interest representation activities. There are many examples in national jurisdictions where creating exemptions has led to loopholes which malign interests use to circumvent transparency requirements</w:t>
      </w:r>
      <w:r w:rsidRPr="00532C20">
        <w:rPr>
          <w:rFonts w:ascii="Times New Roman" w:eastAsia="Symbol" w:hAnsi="Times New Roman" w:cs="Times New Roman"/>
          <w:i/>
          <w:noProof/>
          <w:lang w:val="en-IE"/>
        </w:rPr>
        <w:t>.</w:t>
      </w:r>
      <w:r w:rsidRPr="00532C20">
        <w:rPr>
          <w:rFonts w:ascii="Times New Roman" w:eastAsia="Symbol" w:hAnsi="Times New Roman" w:cs="Times New Roman"/>
          <w:noProof/>
          <w:lang w:val="en-IE"/>
        </w:rPr>
        <w:t>”</w:t>
      </w:r>
    </w:p>
    <w:p w14:paraId="65371945" w14:textId="77777777" w:rsidR="00371EFA" w:rsidRPr="00532C20" w:rsidRDefault="00371EFA" w:rsidP="00371EFA">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11 out of 15 Member States would prefer not to include such exemptions</w:t>
      </w:r>
      <w:r w:rsidRPr="00532C20">
        <w:rPr>
          <w:rFonts w:ascii="Times New Roman" w:eastAsia="Symbol" w:hAnsi="Times New Roman" w:cs="Times New Roman"/>
          <w:noProof/>
          <w:vertAlign w:val="superscript"/>
          <w:lang w:val="en-IE"/>
        </w:rPr>
        <w:footnoteReference w:id="134"/>
      </w:r>
      <w:r w:rsidRPr="00532C20">
        <w:rPr>
          <w:rFonts w:ascii="Times New Roman" w:eastAsia="Symbol" w:hAnsi="Times New Roman" w:cs="Times New Roman"/>
          <w:noProof/>
          <w:lang w:val="en-IE"/>
        </w:rPr>
        <w:t>.</w:t>
      </w:r>
    </w:p>
    <w:p w14:paraId="1046FA5E" w14:textId="3E609F84" w:rsidR="00371EFA" w:rsidRPr="00532C20" w:rsidRDefault="00371EFA" w:rsidP="00582553">
      <w:pPr>
        <w:spacing w:after="120" w:line="240" w:lineRule="auto"/>
        <w:jc w:val="both"/>
        <w:rPr>
          <w:rFonts w:eastAsia="Symbol" w:cs="Times New Roman"/>
          <w:noProof/>
        </w:rPr>
      </w:pPr>
      <w:r w:rsidRPr="00532C20">
        <w:rPr>
          <w:rFonts w:ascii="Times New Roman" w:eastAsia="Symbol" w:hAnsi="Times New Roman" w:cs="Times New Roman"/>
          <w:noProof/>
          <w:sz w:val="24"/>
          <w:szCs w:val="24"/>
          <w:lang w:val="en-IE"/>
        </w:rPr>
        <w:t>As this option would not be coherent with the internal market objective of this initiative and would severely limit the effectiveness of the measure seeking to enhance transparency of interest representation activities carried out on behalf of third countries, it should be discarded.</w:t>
      </w:r>
    </w:p>
    <w:p w14:paraId="6F8E15C9" w14:textId="6D93DE8B" w:rsidR="006B087E" w:rsidRPr="00532C20" w:rsidRDefault="641FB71F" w:rsidP="00D6485D">
      <w:pPr>
        <w:pStyle w:val="11Subsection"/>
        <w:rPr>
          <w:noProof/>
        </w:rPr>
      </w:pPr>
      <w:bookmarkStart w:id="694" w:name="_Toc152864684"/>
      <w:r w:rsidRPr="00532C20">
        <w:rPr>
          <w:noProof/>
        </w:rPr>
        <w:t>Description of the policy options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94"/>
    </w:p>
    <w:p w14:paraId="07054699" w14:textId="6A67749F" w:rsidR="00672B45" w:rsidRPr="00532C20" w:rsidRDefault="003A5780" w:rsidP="00672B45">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T</w:t>
      </w:r>
      <w:r w:rsidR="00672B45" w:rsidRPr="00532C20">
        <w:rPr>
          <w:rFonts w:ascii="Times New Roman" w:eastAsia="Times" w:hAnsi="Times New Roman" w:cs="Times New Roman"/>
          <w:noProof/>
          <w:sz w:val="24"/>
          <w:szCs w:val="24"/>
          <w:lang w:val="en-IE"/>
        </w:rPr>
        <w:t xml:space="preserve">he proposed intervention would concern </w:t>
      </w:r>
      <w:r w:rsidR="00672B45" w:rsidRPr="00532C20">
        <w:rPr>
          <w:rFonts w:ascii="Times New Roman" w:eastAsia="Times" w:hAnsi="Times New Roman" w:cs="Times New Roman"/>
          <w:b/>
          <w:noProof/>
          <w:sz w:val="24"/>
          <w:szCs w:val="24"/>
          <w:lang w:val="en-IE"/>
        </w:rPr>
        <w:t>interest representation activities</w:t>
      </w:r>
      <w:r w:rsidR="00672B45" w:rsidRPr="00532C20">
        <w:rPr>
          <w:rFonts w:ascii="Times New Roman" w:eastAsia="Times" w:hAnsi="Times New Roman" w:cs="Times New Roman"/>
          <w:noProof/>
          <w:sz w:val="24"/>
          <w:szCs w:val="24"/>
          <w:lang w:val="en-IE"/>
        </w:rPr>
        <w:t>.</w:t>
      </w:r>
      <w:r w:rsidR="00672B45" w:rsidRPr="00532C20">
        <w:rPr>
          <w:noProof/>
          <w:lang w:val="en-IE"/>
        </w:rPr>
        <w:t xml:space="preserve"> </w:t>
      </w:r>
      <w:r w:rsidR="00672B45" w:rsidRPr="00532C20">
        <w:rPr>
          <w:rFonts w:ascii="Times New Roman" w:eastAsia="Times" w:hAnsi="Times New Roman" w:cs="Times New Roman"/>
          <w:noProof/>
          <w:sz w:val="24"/>
          <w:szCs w:val="24"/>
          <w:lang w:val="en-IE"/>
        </w:rPr>
        <w:t>It would cover a broad range of activities conducted with the objective of influencing the development, formulation or implementation of policy or legislation, or public decision-making processes in the EU</w:t>
      </w:r>
      <w:r w:rsidR="00672B45" w:rsidRPr="00532C20">
        <w:rPr>
          <w:rStyle w:val="FootnoteReference"/>
          <w:rFonts w:ascii="Times New Roman" w:eastAsia="Times" w:hAnsi="Times New Roman" w:cs="Times New Roman"/>
          <w:noProof/>
          <w:sz w:val="24"/>
          <w:szCs w:val="24"/>
          <w:lang w:val="en-IE"/>
        </w:rPr>
        <w:footnoteReference w:id="135"/>
      </w:r>
      <w:r w:rsidR="00672B45" w:rsidRPr="00532C20">
        <w:rPr>
          <w:rFonts w:ascii="Times New Roman" w:eastAsia="Times" w:hAnsi="Times New Roman" w:cs="Times New Roman"/>
          <w:noProof/>
          <w:sz w:val="24"/>
          <w:szCs w:val="24"/>
          <w:lang w:val="en-IE"/>
        </w:rPr>
        <w:t>.</w:t>
      </w:r>
    </w:p>
    <w:p w14:paraId="70722190" w14:textId="1DF1F711" w:rsidR="00672B45" w:rsidRPr="00532C20" w:rsidRDefault="00672B45" w:rsidP="00672B45">
      <w:pPr>
        <w:pStyle w:val="ListParagraph"/>
        <w:numPr>
          <w:ilvl w:val="0"/>
          <w:numId w:val="45"/>
        </w:numPr>
        <w:spacing w:after="120"/>
        <w:ind w:left="714" w:hanging="357"/>
        <w:contextualSpacing w:val="0"/>
        <w:jc w:val="both"/>
        <w:rPr>
          <w:noProof/>
          <w:lang w:val="en-IE" w:eastAsia="en-US"/>
        </w:rPr>
      </w:pPr>
      <w:r w:rsidRPr="00532C20">
        <w:rPr>
          <w:noProof/>
          <w:lang w:val="en-IE" w:eastAsia="en-US"/>
        </w:rPr>
        <w:t xml:space="preserve">It would include </w:t>
      </w:r>
      <w:r w:rsidRPr="00532C20">
        <w:rPr>
          <w:b/>
          <w:noProof/>
          <w:lang w:val="en-IE" w:eastAsia="en-US"/>
        </w:rPr>
        <w:t>activities that aim to influence public decision-making both directly</w:t>
      </w:r>
      <w:r w:rsidRPr="00532C20">
        <w:rPr>
          <w:noProof/>
          <w:lang w:val="en-IE" w:eastAsia="en-US"/>
        </w:rPr>
        <w:t xml:space="preserve"> (e.g. direct engagements with public officials) and </w:t>
      </w:r>
      <w:r w:rsidRPr="00532C20">
        <w:rPr>
          <w:b/>
          <w:noProof/>
          <w:lang w:val="en-IE" w:eastAsia="en-US"/>
        </w:rPr>
        <w:t>indirectly</w:t>
      </w:r>
      <w:r w:rsidRPr="00532C20">
        <w:rPr>
          <w:rStyle w:val="FootnoteReference"/>
          <w:bCs/>
          <w:noProof/>
          <w:lang w:val="en-IE" w:eastAsia="en-US"/>
        </w:rPr>
        <w:footnoteReference w:id="136"/>
      </w:r>
      <w:r w:rsidRPr="00532C20">
        <w:rPr>
          <w:bCs/>
          <w:noProof/>
          <w:lang w:val="en-IE" w:eastAsia="en-US"/>
        </w:rPr>
        <w:t xml:space="preserve"> </w:t>
      </w:r>
      <w:r w:rsidRPr="00532C20">
        <w:rPr>
          <w:noProof/>
          <w:lang w:val="en-IE" w:eastAsia="en-US"/>
        </w:rPr>
        <w:t>(e.g. the dissemination of research outputs</w:t>
      </w:r>
      <w:r w:rsidRPr="00532C20">
        <w:rPr>
          <w:rStyle w:val="FootnoteReference"/>
          <w:noProof/>
          <w:lang w:val="en-IE" w:eastAsia="en-US"/>
        </w:rPr>
        <w:footnoteReference w:id="137"/>
      </w:r>
      <w:r w:rsidRPr="00532C20">
        <w:rPr>
          <w:noProof/>
          <w:lang w:val="en-IE" w:eastAsia="en-US"/>
        </w:rPr>
        <w:t xml:space="preserve">, the organisation of and participation in conferences/events, and the provision of education, training and cultural engagement, when performed with the same objective). It would cover activities carried out online and offline. </w:t>
      </w:r>
    </w:p>
    <w:p w14:paraId="657E842D" w14:textId="71183556" w:rsidR="00672B45" w:rsidRPr="00532C20" w:rsidRDefault="00672B45" w:rsidP="00672B45">
      <w:pPr>
        <w:pStyle w:val="ListParagraph"/>
        <w:numPr>
          <w:ilvl w:val="0"/>
          <w:numId w:val="45"/>
        </w:numPr>
        <w:spacing w:after="120"/>
        <w:ind w:left="714" w:hanging="357"/>
        <w:contextualSpacing w:val="0"/>
        <w:jc w:val="both"/>
        <w:rPr>
          <w:noProof/>
          <w:lang w:val="en-IE" w:eastAsia="en-US"/>
        </w:rPr>
      </w:pPr>
      <w:r w:rsidRPr="00532C20">
        <w:rPr>
          <w:noProof/>
          <w:lang w:val="en-IE" w:eastAsia="en-US"/>
        </w:rPr>
        <w:t>It would cover only interest representation that seeks to influence decision</w:t>
      </w:r>
      <w:r w:rsidR="007F0FA3">
        <w:rPr>
          <w:noProof/>
          <w:lang w:val="en-IE" w:eastAsia="en-US"/>
        </w:rPr>
        <w:t>-</w:t>
      </w:r>
      <w:r w:rsidRPr="00532C20">
        <w:rPr>
          <w:noProof/>
          <w:lang w:val="en-IE" w:eastAsia="en-US"/>
        </w:rPr>
        <w:t xml:space="preserve">making in the EU, regardless at which level (EU, national, regional or local level). It would </w:t>
      </w:r>
      <w:r w:rsidRPr="00532C20">
        <w:rPr>
          <w:b/>
          <w:noProof/>
          <w:lang w:val="en-IE" w:eastAsia="en-US"/>
        </w:rPr>
        <w:t>not</w:t>
      </w:r>
      <w:r w:rsidRPr="00532C20">
        <w:rPr>
          <w:noProof/>
          <w:lang w:val="en-IE" w:eastAsia="en-US"/>
        </w:rPr>
        <w:t xml:space="preserve"> cover activities carried out in the EU or in a third country that seeks to influence </w:t>
      </w:r>
      <w:r w:rsidRPr="00532C20">
        <w:rPr>
          <w:b/>
          <w:noProof/>
          <w:lang w:val="en-IE" w:eastAsia="en-US"/>
        </w:rPr>
        <w:t>decision</w:t>
      </w:r>
      <w:r w:rsidR="007F0FA3">
        <w:rPr>
          <w:b/>
          <w:noProof/>
          <w:lang w:val="en-IE" w:eastAsia="en-US"/>
        </w:rPr>
        <w:t>-</w:t>
      </w:r>
      <w:r w:rsidRPr="00532C20">
        <w:rPr>
          <w:b/>
          <w:noProof/>
          <w:lang w:val="en-IE" w:eastAsia="en-US"/>
        </w:rPr>
        <w:t>making in a third country</w:t>
      </w:r>
      <w:r w:rsidRPr="00532C20">
        <w:rPr>
          <w:noProof/>
          <w:lang w:val="en-IE" w:eastAsia="en-US"/>
        </w:rPr>
        <w:t>.</w:t>
      </w:r>
    </w:p>
    <w:p w14:paraId="702C80D8" w14:textId="6E035359" w:rsidR="00672B45" w:rsidRPr="00532C20" w:rsidRDefault="00672B45" w:rsidP="00313F32">
      <w:pPr>
        <w:pStyle w:val="ListParagraph"/>
        <w:numPr>
          <w:ilvl w:val="0"/>
          <w:numId w:val="45"/>
        </w:numPr>
        <w:spacing w:after="120"/>
        <w:contextualSpacing w:val="0"/>
        <w:jc w:val="both"/>
        <w:rPr>
          <w:noProof/>
          <w:lang w:val="en-IE" w:eastAsia="en-US"/>
        </w:rPr>
      </w:pPr>
      <w:r w:rsidRPr="00532C20">
        <w:rPr>
          <w:noProof/>
          <w:lang w:val="en-IE"/>
        </w:rPr>
        <w:t xml:space="preserve">It would </w:t>
      </w:r>
      <w:r w:rsidRPr="00532C20">
        <w:rPr>
          <w:b/>
          <w:noProof/>
          <w:lang w:val="en-IE"/>
        </w:rPr>
        <w:t>not</w:t>
      </w:r>
      <w:r w:rsidRPr="00532C20">
        <w:rPr>
          <w:noProof/>
          <w:lang w:val="en-IE"/>
        </w:rPr>
        <w:t xml:space="preserve"> </w:t>
      </w:r>
      <w:r w:rsidRPr="00532C20">
        <w:rPr>
          <w:b/>
          <w:bCs/>
          <w:noProof/>
          <w:lang w:val="en-IE"/>
        </w:rPr>
        <w:t>cover</w:t>
      </w:r>
      <w:r w:rsidRPr="00532C20">
        <w:rPr>
          <w:noProof/>
          <w:lang w:val="en-IE"/>
        </w:rPr>
        <w:t xml:space="preserve"> activities that are connected with the </w:t>
      </w:r>
      <w:r w:rsidRPr="00532C20">
        <w:rPr>
          <w:b/>
          <w:noProof/>
          <w:lang w:val="en-IE"/>
        </w:rPr>
        <w:t>exercise of official authority</w:t>
      </w:r>
      <w:r w:rsidRPr="00532C20">
        <w:rPr>
          <w:noProof/>
          <w:lang w:val="en-IE"/>
        </w:rPr>
        <w:t xml:space="preserve">, including activities related to the exercise of </w:t>
      </w:r>
      <w:r w:rsidRPr="00532C20">
        <w:rPr>
          <w:b/>
          <w:noProof/>
          <w:lang w:val="en-IE"/>
        </w:rPr>
        <w:t>diplomatic relations</w:t>
      </w:r>
      <w:r w:rsidRPr="00532C20">
        <w:rPr>
          <w:noProof/>
          <w:lang w:val="en-IE"/>
        </w:rPr>
        <w:t xml:space="preserve"> between States or international relations, nor would it cover the provision of </w:t>
      </w:r>
      <w:r w:rsidRPr="00532C20">
        <w:rPr>
          <w:b/>
          <w:noProof/>
          <w:lang w:val="en-IE"/>
        </w:rPr>
        <w:t>legal and other professional advice in the course of legal proceedings</w:t>
      </w:r>
      <w:r w:rsidRPr="00532C20">
        <w:rPr>
          <w:rStyle w:val="FootnoteReference"/>
          <w:bCs/>
          <w:noProof/>
          <w:lang w:val="en-IE" w:eastAsia="en-US"/>
        </w:rPr>
        <w:footnoteReference w:id="138"/>
      </w:r>
      <w:r w:rsidRPr="00532C20">
        <w:rPr>
          <w:bCs/>
          <w:noProof/>
          <w:lang w:val="en-IE"/>
        </w:rPr>
        <w:t xml:space="preserve"> or </w:t>
      </w:r>
      <w:r w:rsidRPr="00532C20">
        <w:rPr>
          <w:b/>
          <w:noProof/>
          <w:lang w:val="en-IE" w:eastAsia="en-US"/>
        </w:rPr>
        <w:t>ancillary activities</w:t>
      </w:r>
      <w:r w:rsidRPr="00532C20">
        <w:rPr>
          <w:bCs/>
          <w:noProof/>
          <w:lang w:val="en-IE" w:eastAsia="en-US"/>
        </w:rPr>
        <w:t>, which are activities that support the provision of an interest representation activity but have no direct influence on its content (e.g. a caterer supplying a lobbying event or intermediary service provided by an online platform).</w:t>
      </w:r>
    </w:p>
    <w:p w14:paraId="4613CC6E" w14:textId="77777777" w:rsidR="00EB2913" w:rsidRPr="00532C20" w:rsidRDefault="00672B45" w:rsidP="00672B45">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In line with the Article 114 TFEU legal basis, the legislative instrument would approximate laws regulating the market for interest representation activities carried out on behalf of third countries. The initiative does not prohibit the conduct of such activities but could deter them as it provides common transparency (disclosure) standards. Illegal activities would remain governed by other rules, for instance rules on corruption</w:t>
      </w:r>
      <w:r w:rsidRPr="00532C20">
        <w:rPr>
          <w:rFonts w:ascii="Times New Roman" w:eastAsia="Arial Unicode MS" w:hAnsi="Times New Roman" w:cs="Times New Roman"/>
          <w:noProof/>
          <w:sz w:val="24"/>
          <w:szCs w:val="24"/>
          <w:vertAlign w:val="superscript"/>
          <w:lang w:val="en-IE"/>
        </w:rPr>
        <w:footnoteReference w:id="139"/>
      </w:r>
      <w:r w:rsidRPr="00532C20">
        <w:rPr>
          <w:rFonts w:ascii="Times New Roman" w:hAnsi="Times New Roman" w:cs="Times New Roman"/>
          <w:noProof/>
          <w:sz w:val="24"/>
          <w:szCs w:val="24"/>
          <w:lang w:val="en-IE"/>
        </w:rPr>
        <w:t>.</w:t>
      </w:r>
      <w:r w:rsidRPr="00532C20" w:rsidDel="00662228">
        <w:rPr>
          <w:rFonts w:ascii="Times New Roman" w:eastAsia="Times" w:hAnsi="Times New Roman" w:cs="Times New Roman"/>
          <w:noProof/>
          <w:sz w:val="24"/>
          <w:szCs w:val="24"/>
          <w:lang w:val="en-IE"/>
        </w:rPr>
        <w:t xml:space="preserve"> </w:t>
      </w:r>
    </w:p>
    <w:p w14:paraId="7657D8F9" w14:textId="572874C0" w:rsidR="00672B45" w:rsidRPr="00532C20" w:rsidRDefault="00672B45" w:rsidP="00672B45">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The legislative instrument would cover:</w:t>
      </w:r>
    </w:p>
    <w:p w14:paraId="666BBBBA" w14:textId="0860D0FD" w:rsidR="007C562E" w:rsidRPr="00532C20" w:rsidRDefault="00672B45" w:rsidP="007C562E">
      <w:pPr>
        <w:pStyle w:val="ListParagraph"/>
        <w:numPr>
          <w:ilvl w:val="0"/>
          <w:numId w:val="45"/>
        </w:numPr>
        <w:spacing w:after="120"/>
        <w:ind w:left="714" w:hanging="357"/>
        <w:contextualSpacing w:val="0"/>
        <w:jc w:val="both"/>
        <w:rPr>
          <w:rFonts w:ascii="Times New Roman" w:hAnsi="Times New Roman" w:cs="Times New Roman"/>
          <w:noProof/>
          <w:lang w:val="en-IE"/>
        </w:rPr>
      </w:pPr>
      <w:r w:rsidRPr="00532C20">
        <w:rPr>
          <w:rFonts w:ascii="Times New Roman" w:hAnsi="Times New Roman" w:cs="Times New Roman"/>
          <w:noProof/>
          <w:lang w:val="en-IE"/>
        </w:rPr>
        <w:t xml:space="preserve">Interest representation service provided to a third country entity. This would cover </w:t>
      </w:r>
      <w:r w:rsidRPr="00532C20">
        <w:rPr>
          <w:rFonts w:ascii="Times New Roman" w:hAnsi="Times New Roman" w:cs="Times New Roman"/>
          <w:b/>
          <w:noProof/>
          <w:lang w:val="en-IE"/>
        </w:rPr>
        <w:t>interest</w:t>
      </w:r>
      <w:r w:rsidRPr="00532C20">
        <w:rPr>
          <w:rFonts w:ascii="Times New Roman" w:hAnsi="Times New Roman" w:cs="Times New Roman"/>
          <w:noProof/>
          <w:lang w:val="en-IE"/>
        </w:rPr>
        <w:t xml:space="preserve"> </w:t>
      </w:r>
      <w:r w:rsidRPr="00532C20">
        <w:rPr>
          <w:rFonts w:ascii="Times New Roman" w:hAnsi="Times New Roman" w:cs="Times New Roman"/>
          <w:b/>
          <w:noProof/>
          <w:lang w:val="en-IE"/>
        </w:rPr>
        <w:t>representation activities normally provided for remuneration</w:t>
      </w:r>
      <w:r w:rsidRPr="00532C20">
        <w:rPr>
          <w:rFonts w:ascii="Times New Roman" w:hAnsi="Times New Roman" w:cs="Times New Roman"/>
          <w:noProof/>
          <w:lang w:val="en-IE"/>
        </w:rPr>
        <w:t>. Where remuneration is provided, it would cover a large spectrum of different types of consideration, such as loans, capital injection, debt forgiveness, fiscal incentives or tax exemption</w:t>
      </w:r>
      <w:r w:rsidR="007D7407">
        <w:rPr>
          <w:rFonts w:ascii="Times New Roman" w:hAnsi="Times New Roman" w:cs="Times New Roman"/>
          <w:noProof/>
          <w:lang w:val="en-IE"/>
        </w:rPr>
        <w:t>s</w:t>
      </w:r>
      <w:r w:rsidRPr="00532C20">
        <w:rPr>
          <w:rFonts w:ascii="Times New Roman" w:hAnsi="Times New Roman" w:cs="Times New Roman"/>
          <w:noProof/>
          <w:lang w:val="en-IE"/>
        </w:rPr>
        <w:t>. Remuneration would also cover benefits in kind, such as the provision of office space.</w:t>
      </w:r>
    </w:p>
    <w:p w14:paraId="57406F4F" w14:textId="75C60076" w:rsidR="00672B45" w:rsidRPr="00532C20" w:rsidRDefault="00672B45" w:rsidP="007C562E">
      <w:pPr>
        <w:pStyle w:val="ListParagraph"/>
        <w:numPr>
          <w:ilvl w:val="0"/>
          <w:numId w:val="45"/>
        </w:numPr>
        <w:spacing w:after="120"/>
        <w:ind w:left="714" w:hanging="357"/>
        <w:contextualSpacing w:val="0"/>
        <w:jc w:val="both"/>
        <w:rPr>
          <w:rFonts w:ascii="Times New Roman" w:hAnsi="Times New Roman" w:cs="Times New Roman"/>
          <w:noProof/>
          <w:lang w:val="en-IE"/>
        </w:rPr>
      </w:pPr>
      <w:r w:rsidRPr="00532C20">
        <w:rPr>
          <w:rFonts w:ascii="Times New Roman" w:hAnsi="Times New Roman" w:cs="Times New Roman"/>
          <w:noProof/>
          <w:lang w:val="en-IE"/>
        </w:rPr>
        <w:t>The essential characteristic of remuneration lies in the fact that it constitutes consideration (‘contra-prestation’) for the services in question</w:t>
      </w:r>
      <w:r w:rsidRPr="00532C20">
        <w:rPr>
          <w:noProof/>
          <w:vertAlign w:val="superscript"/>
          <w:lang w:val="en-IE"/>
        </w:rPr>
        <w:footnoteReference w:id="140"/>
      </w:r>
      <w:r w:rsidRPr="00532C20">
        <w:rPr>
          <w:rFonts w:ascii="Times New Roman" w:hAnsi="Times New Roman" w:cs="Times New Roman"/>
          <w:noProof/>
          <w:lang w:val="en-IE"/>
        </w:rPr>
        <w:t xml:space="preserve">. </w:t>
      </w:r>
      <w:r w:rsidRPr="00532C20">
        <w:rPr>
          <w:rFonts w:ascii="Times New Roman" w:hAnsi="Times New Roman" w:cs="Times New Roman"/>
          <w:b/>
          <w:noProof/>
          <w:lang w:val="en-IE"/>
        </w:rPr>
        <w:t>Contributions to the core funding of an organisation</w:t>
      </w:r>
      <w:r w:rsidRPr="00532C20">
        <w:rPr>
          <w:rFonts w:ascii="Times New Roman" w:hAnsi="Times New Roman" w:cs="Times New Roman"/>
          <w:noProof/>
          <w:lang w:val="en-IE"/>
        </w:rPr>
        <w:t xml:space="preserve"> or similar financial support, for example provided under a third country donor grant scheme, </w:t>
      </w:r>
      <w:r w:rsidRPr="00532C20">
        <w:rPr>
          <w:rFonts w:ascii="Times New Roman" w:hAnsi="Times New Roman" w:cs="Times New Roman"/>
          <w:b/>
          <w:noProof/>
          <w:lang w:val="en-IE"/>
        </w:rPr>
        <w:t>would not be considered as remuneration</w:t>
      </w:r>
      <w:r w:rsidRPr="00532C20">
        <w:rPr>
          <w:rFonts w:ascii="Times New Roman" w:hAnsi="Times New Roman" w:cs="Times New Roman"/>
          <w:noProof/>
          <w:lang w:val="en-IE"/>
        </w:rPr>
        <w:t xml:space="preserve"> for an interest representation service </w:t>
      </w:r>
      <w:r w:rsidRPr="00532C20">
        <w:rPr>
          <w:rFonts w:ascii="Times New Roman" w:hAnsi="Times New Roman" w:cs="Times New Roman"/>
          <w:b/>
          <w:noProof/>
          <w:lang w:val="en-IE"/>
        </w:rPr>
        <w:t>where they are unrelated to an interest representation activity</w:t>
      </w:r>
      <w:r w:rsidRPr="00532C20">
        <w:rPr>
          <w:rFonts w:ascii="Times New Roman" w:hAnsi="Times New Roman" w:cs="Times New Roman"/>
          <w:noProof/>
          <w:lang w:val="en-IE"/>
        </w:rPr>
        <w:t>, that is, where the entity would receive such funding regardless of whether it carries out the specific interest representation activity at issue. Such contributions would not be covered by this intervention.</w:t>
      </w:r>
      <w:r w:rsidR="007C562E" w:rsidRPr="00532C20">
        <w:rPr>
          <w:rFonts w:ascii="Times New Roman" w:hAnsi="Times New Roman" w:cs="Times New Roman"/>
          <w:noProof/>
          <w:lang w:val="en-IE"/>
        </w:rPr>
        <w:t xml:space="preserve"> </w:t>
      </w:r>
      <w:r w:rsidRPr="00532C20">
        <w:rPr>
          <w:rFonts w:ascii="Times New Roman" w:hAnsi="Times New Roman" w:cs="Times New Roman"/>
          <w:noProof/>
          <w:lang w:val="en-IE"/>
        </w:rPr>
        <w:t>In line with the case law (and to prevent circumvention), anything received in return for an interest representation service should be considered as remuneration for the purposes of this legislative intervention. This could cover financial contributions, such as loans, debt forgiveness etc., received in return for an interest representation activity. Remuneration could also include benefits in kind, such as the provision of office space</w:t>
      </w:r>
      <w:r w:rsidRPr="00532C20">
        <w:rPr>
          <w:rStyle w:val="FootnoteReference"/>
          <w:rFonts w:ascii="Times New Roman" w:hAnsi="Times New Roman" w:cs="Times New Roman"/>
          <w:noProof/>
          <w:lang w:val="en-IE"/>
        </w:rPr>
        <w:footnoteReference w:id="141"/>
      </w:r>
      <w:r w:rsidRPr="00532C20">
        <w:rPr>
          <w:rFonts w:ascii="Times New Roman" w:hAnsi="Times New Roman" w:cs="Times New Roman"/>
          <w:noProof/>
          <w:lang w:val="en-IE"/>
        </w:rPr>
        <w:t xml:space="preserve">. </w:t>
      </w:r>
    </w:p>
    <w:p w14:paraId="5DFB172B" w14:textId="634C7E46" w:rsidR="00672B45" w:rsidRPr="00532C20" w:rsidRDefault="00672B45" w:rsidP="007C562E">
      <w:pPr>
        <w:pStyle w:val="ListParagraph"/>
        <w:numPr>
          <w:ilvl w:val="0"/>
          <w:numId w:val="45"/>
        </w:numPr>
        <w:spacing w:after="120"/>
        <w:ind w:left="714" w:hanging="357"/>
        <w:contextualSpacing w:val="0"/>
        <w:jc w:val="both"/>
        <w:rPr>
          <w:rFonts w:ascii="Times New Roman" w:hAnsi="Times New Roman" w:cs="Times New Roman"/>
          <w:noProof/>
          <w:lang w:val="en-IE"/>
        </w:rPr>
      </w:pPr>
      <w:r w:rsidRPr="00532C20">
        <w:rPr>
          <w:rFonts w:ascii="Times New Roman" w:hAnsi="Times New Roman" w:cs="Times New Roman"/>
          <w:noProof/>
          <w:lang w:val="en-IE"/>
        </w:rPr>
        <w:t>It will be for national authorities to monitor whether the contributions to the ‘core funding’ of an entity aim to circumvent the rules applicable to interest representation activities. The advisory group of competent national authorities to be established would be tasked with sharing best practices on relevant criteria and indicators to assess circumvention. The Commission could also facilitate exchanges and sharing of information and best practices. A specific provision will require Member States to prohibit and sanction the circumvention of the obligations of the initiative.</w:t>
      </w:r>
    </w:p>
    <w:p w14:paraId="04B4B4ED" w14:textId="77777777" w:rsidR="00672B45" w:rsidRPr="00532C20" w:rsidRDefault="00672B45" w:rsidP="00672B45">
      <w:pPr>
        <w:pBdr>
          <w:top w:val="single" w:sz="4" w:space="1" w:color="auto"/>
          <w:left w:val="single" w:sz="4" w:space="4" w:color="auto"/>
          <w:bottom w:val="single" w:sz="4" w:space="1" w:color="auto"/>
          <w:right w:val="single" w:sz="4" w:space="4" w:color="auto"/>
        </w:pBdr>
        <w:spacing w:after="0" w:line="240" w:lineRule="auto"/>
        <w:ind w:left="720"/>
        <w:jc w:val="both"/>
        <w:rPr>
          <w:rFonts w:ascii="Times New Roman" w:eastAsia="Times" w:hAnsi="Times New Roman" w:cs="Times New Roman"/>
          <w:b/>
          <w:bCs/>
          <w:noProof/>
          <w:lang w:val="en-IE"/>
        </w:rPr>
      </w:pPr>
      <w:r w:rsidRPr="00532C20">
        <w:rPr>
          <w:rFonts w:ascii="Times New Roman" w:eastAsia="Times" w:hAnsi="Times New Roman" w:cs="Times New Roman"/>
          <w:b/>
          <w:bCs/>
          <w:noProof/>
          <w:lang w:val="en-IE"/>
        </w:rPr>
        <w:t>Stakeholder views:</w:t>
      </w:r>
    </w:p>
    <w:p w14:paraId="238D9595" w14:textId="77777777" w:rsidR="00672B45" w:rsidRPr="00532C20" w:rsidRDefault="00672B45" w:rsidP="00672B45">
      <w:pPr>
        <w:pBdr>
          <w:top w:val="single" w:sz="4" w:space="1" w:color="auto"/>
          <w:left w:val="single" w:sz="4" w:space="4" w:color="auto"/>
          <w:bottom w:val="single" w:sz="4" w:space="1" w:color="auto"/>
          <w:right w:val="single" w:sz="4" w:space="4" w:color="auto"/>
        </w:pBdr>
        <w:spacing w:after="120" w:line="240" w:lineRule="auto"/>
        <w:ind w:left="720"/>
        <w:jc w:val="both"/>
        <w:rPr>
          <w:rFonts w:ascii="Times New Roman" w:hAnsi="Times New Roman" w:cs="Times New Roman"/>
          <w:noProof/>
        </w:rPr>
      </w:pPr>
      <w:r w:rsidRPr="00532C20">
        <w:rPr>
          <w:rFonts w:ascii="Times New Roman" w:eastAsia="Times" w:hAnsi="Times New Roman" w:cs="Times New Roman"/>
          <w:noProof/>
          <w:lang w:val="en-IE"/>
        </w:rPr>
        <w:t>2 out of 11 CSOs that participated in the targeted consultation via a questionnaire considered that “</w:t>
      </w:r>
      <w:r w:rsidRPr="00532C20">
        <w:rPr>
          <w:rFonts w:ascii="Times New Roman" w:hAnsi="Times New Roman" w:cs="Times New Roman"/>
          <w:i/>
          <w:iCs/>
          <w:noProof/>
        </w:rPr>
        <w:t xml:space="preserve">There should be a clear distinction, e.g., between receiving foreign </w:t>
      </w:r>
      <w:r w:rsidRPr="00532C20">
        <w:rPr>
          <w:rFonts w:ascii="Times New Roman" w:eastAsia="Times" w:hAnsi="Times New Roman" w:cs="Times New Roman"/>
          <w:i/>
          <w:iCs/>
          <w:noProof/>
          <w:lang w:val="en-IE"/>
        </w:rPr>
        <w:t>funding</w:t>
      </w:r>
      <w:r w:rsidRPr="00532C20">
        <w:rPr>
          <w:rFonts w:ascii="Times New Roman" w:hAnsi="Times New Roman" w:cs="Times New Roman"/>
          <w:i/>
          <w:iCs/>
          <w:noProof/>
        </w:rPr>
        <w:t xml:space="preserve"> to carry out the mission of an organisation and the receipt of funding to represent someone as a service. Legitimate CSO funding should not be considered as income for interest representation unless it is provided specifically under such a contract.</w:t>
      </w:r>
      <w:r w:rsidRPr="00532C20">
        <w:rPr>
          <w:rFonts w:ascii="Times New Roman" w:hAnsi="Times New Roman" w:cs="Times New Roman"/>
          <w:noProof/>
        </w:rPr>
        <w:t>”</w:t>
      </w:r>
    </w:p>
    <w:p w14:paraId="2F550E66" w14:textId="77777777" w:rsidR="007C562E" w:rsidRPr="00532C20" w:rsidRDefault="00672B45" w:rsidP="007C562E">
      <w:pPr>
        <w:pStyle w:val="ListParagraph"/>
        <w:numPr>
          <w:ilvl w:val="0"/>
          <w:numId w:val="45"/>
        </w:numPr>
        <w:spacing w:after="120"/>
        <w:ind w:left="714" w:hanging="357"/>
        <w:jc w:val="both"/>
        <w:rPr>
          <w:rFonts w:ascii="Times New Roman" w:hAnsi="Times New Roman" w:cs="Times New Roman"/>
          <w:noProof/>
          <w:lang w:val="en-IE" w:eastAsia="en-US"/>
        </w:rPr>
      </w:pPr>
      <w:r w:rsidRPr="00532C20">
        <w:rPr>
          <w:rFonts w:ascii="Times New Roman" w:hAnsi="Times New Roman" w:cs="Times New Roman"/>
          <w:noProof/>
          <w:lang w:val="en-IE" w:eastAsia="en-US"/>
        </w:rPr>
        <w:t xml:space="preserve">Interest </w:t>
      </w:r>
      <w:r w:rsidRPr="00532C20">
        <w:rPr>
          <w:rFonts w:ascii="Times New Roman" w:hAnsi="Times New Roman" w:cs="Times New Roman"/>
          <w:noProof/>
          <w:lang w:val="en-IE"/>
        </w:rPr>
        <w:t>representation</w:t>
      </w:r>
      <w:r w:rsidRPr="00532C20">
        <w:rPr>
          <w:rFonts w:ascii="Times New Roman" w:hAnsi="Times New Roman" w:cs="Times New Roman"/>
          <w:noProof/>
          <w:lang w:val="en-IE" w:eastAsia="en-US"/>
        </w:rPr>
        <w:t xml:space="preserve"> activities provided by an entity whose conduct can be attributed to a third country government, and which is of a commercial or economic nature and comparable to an interest representation service provided to a third country entity.</w:t>
      </w:r>
    </w:p>
    <w:p w14:paraId="52F7BF1C" w14:textId="0E4B4A73" w:rsidR="00B579E1" w:rsidRPr="00532C20" w:rsidRDefault="00B579E1" w:rsidP="00C172D4">
      <w:pPr>
        <w:pStyle w:val="ListParagraph"/>
        <w:numPr>
          <w:ilvl w:val="0"/>
          <w:numId w:val="45"/>
        </w:numPr>
        <w:spacing w:after="120"/>
        <w:ind w:left="714" w:hanging="357"/>
        <w:jc w:val="both"/>
        <w:rPr>
          <w:rFonts w:ascii="Times New Roman" w:hAnsi="Times New Roman" w:cs="Times New Roman"/>
          <w:noProof/>
          <w:lang w:val="en-IE"/>
        </w:rPr>
      </w:pPr>
      <w:r w:rsidRPr="00532C20">
        <w:rPr>
          <w:rFonts w:ascii="Times New Roman" w:hAnsi="Times New Roman" w:cs="Times New Roman"/>
          <w:b/>
          <w:noProof/>
        </w:rPr>
        <w:t>Establishing specific safeguards</w:t>
      </w:r>
      <w:r w:rsidR="000C5115" w:rsidRPr="00532C20">
        <w:rPr>
          <w:rFonts w:ascii="Times New Roman" w:hAnsi="Times New Roman" w:cs="Times New Roman"/>
          <w:b/>
          <w:bCs/>
          <w:noProof/>
        </w:rPr>
        <w:t xml:space="preserve">: </w:t>
      </w:r>
      <w:r w:rsidR="000C5115" w:rsidRPr="00532C20">
        <w:rPr>
          <w:rFonts w:ascii="Times New Roman" w:hAnsi="Times New Roman" w:cs="Times New Roman"/>
          <w:noProof/>
        </w:rPr>
        <w:t>t</w:t>
      </w:r>
      <w:r w:rsidRPr="00532C20">
        <w:rPr>
          <w:rFonts w:ascii="Times New Roman" w:hAnsi="Times New Roman" w:cs="Times New Roman"/>
          <w:noProof/>
        </w:rPr>
        <w:t xml:space="preserve">o avoid circumvention and ensure a level playing field between actors, </w:t>
      </w:r>
      <w:r w:rsidR="00196B3F" w:rsidRPr="00532C20">
        <w:rPr>
          <w:rFonts w:ascii="Times New Roman" w:hAnsi="Times New Roman" w:cs="Times New Roman"/>
          <w:noProof/>
        </w:rPr>
        <w:t>the following options</w:t>
      </w:r>
      <w:r w:rsidRPr="00532C20">
        <w:rPr>
          <w:rFonts w:ascii="Times New Roman" w:hAnsi="Times New Roman" w:cs="Times New Roman"/>
          <w:noProof/>
        </w:rPr>
        <w:t xml:space="preserve"> would cover any natural or legal person carrying out interest representation on behalf of third country entities. </w:t>
      </w:r>
      <w:r w:rsidR="00A959E1" w:rsidRPr="00532C20">
        <w:rPr>
          <w:rFonts w:ascii="Times New Roman" w:hAnsi="Times New Roman" w:cs="Times New Roman"/>
          <w:noProof/>
        </w:rPr>
        <w:t>They</w:t>
      </w:r>
      <w:r w:rsidRPr="00532C20">
        <w:rPr>
          <w:rFonts w:ascii="Times New Roman" w:hAnsi="Times New Roman" w:cs="Times New Roman"/>
          <w:noProof/>
        </w:rPr>
        <w:t xml:space="preserve"> would cover different types of commercial entities (e.g. consulting firms, law firms, individual businesses) and non-commercial entities (e.g. think tanks, education, research, cultural and academic institutions, business, trade or professional associations, or CSOs). To limit risks of gold plating and frame Member States’ action in this field, the legislative intervention would provide for a full harmonisation. Supervision would be entrusted to independent supervisory authorities with clearly established powers and national authorities would need to ensure that no adverse consequences, such as stigmatisation, </w:t>
      </w:r>
      <w:r w:rsidRPr="00532C20">
        <w:rPr>
          <w:rFonts w:ascii="Times New Roman" w:hAnsi="Times New Roman" w:cs="Times New Roman"/>
          <w:noProof/>
          <w:lang w:val="en-IE"/>
        </w:rPr>
        <w:t>arise from the mere fact that an entity falls within the scope of the legislative instrument. For example, Member States would be prevented from requiring the entities that fall within the scope of the initiative to register ‘as an organisation in receipt of support from abroad’ or indicate on their internet site and in their publications and other press material the information that they are organisations in receipt of support from abroad. The right to judicial redress would also be guaranteed.</w:t>
      </w:r>
    </w:p>
    <w:p w14:paraId="056B89C4" w14:textId="0B07ECF9" w:rsidR="00B579E1" w:rsidRPr="00532C20" w:rsidRDefault="00B579E1" w:rsidP="00B579E1">
      <w:pPr>
        <w:keepNext/>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w:hAnsi="Times New Roman" w:cs="Times New Roman"/>
          <w:b/>
          <w:bCs/>
          <w:noProof/>
          <w:lang w:val="en-IE"/>
        </w:rPr>
      </w:pPr>
      <w:r w:rsidRPr="00532C20">
        <w:rPr>
          <w:rFonts w:ascii="Times New Roman" w:eastAsia="Times" w:hAnsi="Times New Roman" w:cs="Times New Roman"/>
          <w:b/>
          <w:bCs/>
          <w:noProof/>
          <w:lang w:val="en-IE"/>
        </w:rPr>
        <w:t>Stakeholder views:</w:t>
      </w:r>
    </w:p>
    <w:p w14:paraId="0990C999" w14:textId="0B07ECF9" w:rsidR="00B579E1" w:rsidRPr="00532C20" w:rsidRDefault="00B579E1" w:rsidP="00B579E1">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w:hAnsi="Times New Roman" w:cs="Times New Roman"/>
          <w:noProof/>
        </w:rPr>
      </w:pPr>
      <w:r w:rsidRPr="00532C20">
        <w:rPr>
          <w:rFonts w:ascii="Times New Roman" w:eastAsia="Symbol" w:hAnsi="Times New Roman" w:cs="Times New Roman"/>
          <w:noProof/>
          <w:lang w:val="en-IE"/>
        </w:rPr>
        <w:t>1 CSO (out of 11) indicated that “</w:t>
      </w:r>
      <w:r w:rsidRPr="00532C20">
        <w:rPr>
          <w:rFonts w:ascii="Times New Roman" w:eastAsia="Symbol" w:hAnsi="Times New Roman" w:cs="Times New Roman"/>
          <w:i/>
          <w:iCs/>
          <w:noProof/>
          <w:lang w:val="en-IE"/>
        </w:rPr>
        <w:t>the legal instrument should be delivered with clear and strong wording against the negative labelling of the registered entities as “foreign agents” by Member States. It should also prevent governments and policymakers from making disparaging statements in the press and/or in campaigns that clearly aim to stigmatise these entities, especially CSOs and organisations that represent minority groups. Additionally, the information provided by registered entities on the transparency registers that are publicly available should be limited to what is strictly necessary and presented in a “neutral” way to avoid stigmatisation.</w:t>
      </w:r>
      <w:r w:rsidRPr="00532C20">
        <w:rPr>
          <w:rFonts w:ascii="Times New Roman" w:eastAsia="Symbol" w:hAnsi="Times New Roman" w:cs="Times New Roman"/>
          <w:noProof/>
          <w:lang w:val="en-IE"/>
        </w:rPr>
        <w:t>”</w:t>
      </w:r>
    </w:p>
    <w:p w14:paraId="12929833" w14:textId="18B34107" w:rsidR="00B579E1" w:rsidRPr="00532C20" w:rsidRDefault="00B579E1" w:rsidP="00A45B8D">
      <w:pPr>
        <w:pStyle w:val="ListParagraph"/>
        <w:numPr>
          <w:ilvl w:val="0"/>
          <w:numId w:val="115"/>
        </w:numPr>
        <w:spacing w:after="120"/>
        <w:jc w:val="both"/>
        <w:rPr>
          <w:rFonts w:ascii="Times New Roman" w:hAnsi="Times New Roman" w:cs="Times New Roman"/>
          <w:noProof/>
        </w:rPr>
      </w:pPr>
      <w:r w:rsidRPr="00532C20">
        <w:rPr>
          <w:rFonts w:ascii="Times New Roman" w:hAnsi="Times New Roman" w:cs="Times New Roman"/>
          <w:noProof/>
        </w:rPr>
        <w:t xml:space="preserve">Furthermore, strong safeguards would be included to address potential risks for specific actors. To limit, among other, negative implications for entities active in third countries, entities would be able to request that all or part of the information gathered for the purpose of the transparency requirement is not made public based on an overriding interest. </w:t>
      </w:r>
    </w:p>
    <w:p w14:paraId="69B6F525" w14:textId="2FD25D52" w:rsidR="00421320" w:rsidRPr="00532C20" w:rsidRDefault="00421320" w:rsidP="00FC7900">
      <w:pPr>
        <w:spacing w:after="120" w:line="240" w:lineRule="auto"/>
        <w:jc w:val="both"/>
        <w:rPr>
          <w:rFonts w:ascii="Times New Roman" w:eastAsia="Times" w:hAnsi="Times New Roman" w:cs="Times New Roman"/>
          <w:noProof/>
          <w:sz w:val="24"/>
          <w:szCs w:val="24"/>
          <w:lang w:val="en-IE" w:eastAsia="en-IE"/>
        </w:rPr>
      </w:pPr>
      <w:bookmarkStart w:id="695" w:name="_Toc79678401"/>
      <w:bookmarkStart w:id="696" w:name="_Toc79679148"/>
      <w:bookmarkStart w:id="697" w:name="_Toc79679741"/>
      <w:bookmarkStart w:id="698" w:name="_Toc79681798"/>
      <w:bookmarkStart w:id="699" w:name="_Toc79740141"/>
      <w:bookmarkStart w:id="700" w:name="_Toc79741606"/>
      <w:bookmarkStart w:id="701" w:name="_Toc79742177"/>
      <w:bookmarkStart w:id="702" w:name="_Toc79743630"/>
      <w:bookmarkStart w:id="703" w:name="_Toc79743678"/>
      <w:bookmarkStart w:id="704" w:name="_Toc79743706"/>
      <w:bookmarkStart w:id="705" w:name="_Toc79744653"/>
      <w:bookmarkStart w:id="706" w:name="_Toc79745661"/>
      <w:bookmarkStart w:id="707" w:name="_Toc79746107"/>
      <w:bookmarkStart w:id="708" w:name="_Toc79746228"/>
      <w:bookmarkStart w:id="709" w:name="_Toc79746272"/>
      <w:bookmarkStart w:id="710" w:name="_Toc79746657"/>
      <w:bookmarkStart w:id="711" w:name="_Toc79748368"/>
      <w:bookmarkStart w:id="712" w:name="_Toc79750120"/>
      <w:bookmarkStart w:id="713" w:name="_Toc79765316"/>
      <w:bookmarkStart w:id="714" w:name="_Toc79765413"/>
      <w:bookmarkStart w:id="715" w:name="_Toc79999996"/>
      <w:bookmarkStart w:id="716" w:name="_Toc80000099"/>
      <w:bookmarkStart w:id="717" w:name="_Toc80004213"/>
      <w:bookmarkStart w:id="718" w:name="_Toc80005446"/>
      <w:bookmarkStart w:id="719" w:name="_Toc80005585"/>
      <w:bookmarkStart w:id="720" w:name="_Toc80005797"/>
      <w:bookmarkStart w:id="721" w:name="_Toc80009567"/>
      <w:bookmarkStart w:id="722" w:name="_Toc80019427"/>
      <w:bookmarkStart w:id="723" w:name="_Toc80019991"/>
      <w:bookmarkStart w:id="724" w:name="_Toc80024177"/>
      <w:bookmarkStart w:id="725" w:name="_Toc80025505"/>
      <w:bookmarkStart w:id="726" w:name="_Toc80026052"/>
      <w:bookmarkStart w:id="727" w:name="_Toc80026525"/>
      <w:bookmarkStart w:id="728" w:name="_Toc80027527"/>
      <w:bookmarkStart w:id="729" w:name="_Toc80027788"/>
      <w:bookmarkStart w:id="730" w:name="_Toc80027969"/>
      <w:bookmarkStart w:id="731" w:name="_Toc80028317"/>
      <w:bookmarkStart w:id="732" w:name="_Toc80028650"/>
      <w:bookmarkStart w:id="733" w:name="_Toc80030423"/>
      <w:bookmarkStart w:id="734" w:name="_Toc80083591"/>
      <w:bookmarkStart w:id="735" w:name="_Toc80084942"/>
      <w:bookmarkStart w:id="736" w:name="_Toc80085425"/>
      <w:bookmarkStart w:id="737" w:name="_Toc80090138"/>
      <w:bookmarkStart w:id="738" w:name="_Toc80090503"/>
      <w:bookmarkStart w:id="739" w:name="_Toc80091463"/>
      <w:bookmarkStart w:id="740" w:name="_Toc80091563"/>
      <w:bookmarkStart w:id="741" w:name="_Toc80094473"/>
      <w:bookmarkStart w:id="742" w:name="_Toc80095433"/>
      <w:bookmarkStart w:id="743" w:name="_Toc80102635"/>
      <w:bookmarkStart w:id="744" w:name="_Toc80102664"/>
      <w:bookmarkStart w:id="745" w:name="_Toc80111494"/>
      <w:bookmarkStart w:id="746" w:name="_Hlk145420708"/>
      <w:bookmarkStart w:id="747" w:name="_Toc73478666"/>
      <w:bookmarkStart w:id="748" w:name="_Toc73525722"/>
      <w:bookmarkStart w:id="749" w:name="_Toc73551038"/>
      <w:bookmarkStart w:id="750" w:name="_Toc73562556"/>
      <w:bookmarkStart w:id="751" w:name="_Toc73567228"/>
      <w:bookmarkStart w:id="752" w:name="_Toc73606831"/>
      <w:bookmarkStart w:id="753" w:name="_Toc73649155"/>
      <w:bookmarkStart w:id="754" w:name="_Toc74081102"/>
      <w:bookmarkStart w:id="755" w:name="_Toc74168103"/>
      <w:bookmarkStart w:id="756" w:name="_Toc74171542"/>
      <w:bookmarkStart w:id="757" w:name="_Toc74596042"/>
      <w:bookmarkStart w:id="758" w:name="_Toc74666149"/>
      <w:bookmarkStart w:id="759" w:name="_Toc74746567"/>
      <w:bookmarkStart w:id="760" w:name="_Toc75282882"/>
      <w:bookmarkStart w:id="761" w:name="_Toc75291812"/>
      <w:bookmarkStart w:id="762" w:name="_Toc75862430"/>
      <w:bookmarkStart w:id="763" w:name="_Toc75882169"/>
      <w:bookmarkStart w:id="764" w:name="_Toc75882653"/>
      <w:bookmarkStart w:id="765" w:name="_Toc75886612"/>
      <w:bookmarkStart w:id="766" w:name="_Toc75893762"/>
      <w:bookmarkStart w:id="767" w:name="_Toc75895472"/>
      <w:bookmarkStart w:id="768" w:name="_Toc77579201"/>
      <w:bookmarkStart w:id="769" w:name="_Toc78820690"/>
      <w:bookmarkStart w:id="770" w:name="_Toc78821806"/>
      <w:bookmarkStart w:id="771" w:name="_Toc79679517"/>
      <w:bookmarkStart w:id="772" w:name="_Toc79680381"/>
      <w:bookmarkStart w:id="773" w:name="_Toc79742178"/>
      <w:bookmarkStart w:id="774" w:name="_Toc79745662"/>
      <w:bookmarkStart w:id="775" w:name="_Toc79748369"/>
      <w:bookmarkStart w:id="776" w:name="_Toc79765317"/>
      <w:bookmarkStart w:id="777" w:name="_Toc79765414"/>
      <w:bookmarkStart w:id="778" w:name="_Toc80020703"/>
      <w:bookmarkStart w:id="779" w:name="_Toc80024178"/>
      <w:bookmarkStart w:id="780" w:name="_Toc80025900"/>
      <w:bookmarkStart w:id="781" w:name="_Toc80028651"/>
      <w:bookmarkStart w:id="782" w:name="_Toc80093480"/>
      <w:bookmarkStart w:id="783" w:name="_Toc80110109"/>
      <w:bookmarkStart w:id="784" w:name="_Toc80111495"/>
      <w:bookmarkStart w:id="785" w:name="_Toc80116075"/>
      <w:bookmarkStart w:id="786" w:name="_Toc80637873"/>
      <w:bookmarkStart w:id="787" w:name="_Toc80640264"/>
      <w:bookmarkStart w:id="788" w:name="_Toc80643394"/>
      <w:bookmarkStart w:id="789" w:name="_Toc80643519"/>
      <w:bookmarkStart w:id="790" w:name="_Toc80643748"/>
      <w:bookmarkStart w:id="791" w:name="_Toc80703177"/>
      <w:bookmarkStart w:id="792" w:name="_Toc80708262"/>
      <w:bookmarkStart w:id="793" w:name="_Toc80709735"/>
      <w:bookmarkStart w:id="794" w:name="_Toc80710123"/>
      <w:bookmarkStart w:id="795" w:name="_Toc80725957"/>
      <w:bookmarkStart w:id="796" w:name="_Toc80808472"/>
      <w:bookmarkStart w:id="797" w:name="_Toc80865896"/>
      <w:bookmarkStart w:id="798" w:name="_Toc80888231"/>
      <w:bookmarkStart w:id="799" w:name="_Toc80893602"/>
      <w:bookmarkStart w:id="800" w:name="_Toc80980439"/>
      <w:bookmarkStart w:id="801" w:name="_Toc81222309"/>
      <w:bookmarkStart w:id="802" w:name="_Toc81225195"/>
      <w:bookmarkStart w:id="803" w:name="_Toc81227737"/>
      <w:bookmarkStart w:id="804" w:name="_Toc81228509"/>
      <w:bookmarkStart w:id="805" w:name="_Toc81232691"/>
      <w:bookmarkStart w:id="806" w:name="_Toc81233796"/>
      <w:bookmarkStart w:id="807" w:name="_Toc81242122"/>
      <w:bookmarkStart w:id="808" w:name="_Toc81242311"/>
      <w:bookmarkStart w:id="809" w:name="_Toc81298962"/>
      <w:bookmarkStart w:id="810" w:name="_Toc81306495"/>
      <w:bookmarkStart w:id="811" w:name="_Toc81314470"/>
      <w:bookmarkStart w:id="812" w:name="_Toc81394870"/>
      <w:bookmarkStart w:id="813" w:name="_Toc81401542"/>
      <w:bookmarkStart w:id="814" w:name="_Toc81405165"/>
      <w:bookmarkStart w:id="815" w:name="_Toc81406615"/>
      <w:bookmarkStart w:id="816" w:name="_Toc81406806"/>
      <w:bookmarkStart w:id="817" w:name="_Toc81406899"/>
      <w:bookmarkStart w:id="818" w:name="_Toc86145224"/>
      <w:bookmarkStart w:id="819" w:name="_Toc86160841"/>
      <w:bookmarkStart w:id="820" w:name="_Toc86168824"/>
      <w:bookmarkStart w:id="821" w:name="_Toc86226279"/>
      <w:bookmarkStart w:id="822" w:name="_Toc86231955"/>
      <w:bookmarkStart w:id="823" w:name="_Toc86334966"/>
      <w:bookmarkStart w:id="824" w:name="_Toc87609611"/>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532C20">
        <w:rPr>
          <w:rFonts w:ascii="Times New Roman" w:eastAsia="Times" w:hAnsi="Times New Roman" w:cs="Times New Roman"/>
          <w:noProof/>
          <w:sz w:val="24"/>
          <w:szCs w:val="24"/>
          <w:lang w:val="en-IE" w:eastAsia="en-IE"/>
        </w:rPr>
        <w:t xml:space="preserve">All the options would recommend or require Member States to provide </w:t>
      </w:r>
      <w:r w:rsidR="00463152" w:rsidRPr="00532C20">
        <w:rPr>
          <w:rFonts w:ascii="Times New Roman" w:eastAsia="Times" w:hAnsi="Times New Roman" w:cs="Times New Roman"/>
          <w:noProof/>
          <w:sz w:val="24"/>
          <w:szCs w:val="24"/>
          <w:lang w:val="en-IE" w:eastAsia="en-IE"/>
        </w:rPr>
        <w:t>for</w:t>
      </w:r>
      <w:r w:rsidRPr="00532C20">
        <w:rPr>
          <w:rFonts w:ascii="Times New Roman" w:eastAsia="Times" w:hAnsi="Times New Roman" w:cs="Times New Roman"/>
          <w:noProof/>
          <w:sz w:val="24"/>
          <w:szCs w:val="24"/>
          <w:lang w:val="en-IE" w:eastAsia="en-IE"/>
        </w:rPr>
        <w:t xml:space="preserve"> similar requirements on transparency of interest representation carried out on behalf of third countries and address SO1 (facilitate cross-border interest representation </w:t>
      </w:r>
      <w:r w:rsidR="006A6A1A" w:rsidRPr="00532C20">
        <w:rPr>
          <w:rFonts w:ascii="Times New Roman" w:eastAsia="Times" w:hAnsi="Times New Roman" w:cs="Times New Roman"/>
          <w:noProof/>
          <w:sz w:val="24"/>
          <w:szCs w:val="24"/>
          <w:lang w:val="en-IE" w:eastAsia="en-IE"/>
        </w:rPr>
        <w:t xml:space="preserve">activities </w:t>
      </w:r>
      <w:r w:rsidRPr="00532C20">
        <w:rPr>
          <w:rFonts w:ascii="Times New Roman" w:eastAsia="Times" w:hAnsi="Times New Roman" w:cs="Times New Roman"/>
          <w:noProof/>
          <w:sz w:val="24"/>
          <w:szCs w:val="24"/>
          <w:lang w:val="en-IE" w:eastAsia="en-IE"/>
        </w:rPr>
        <w:t xml:space="preserve">carried out on behalf of third countries done transparently). </w:t>
      </w:r>
    </w:p>
    <w:p w14:paraId="64CB8136" w14:textId="5CD96E2C" w:rsidR="001C7353" w:rsidRPr="00532C20" w:rsidRDefault="00421320" w:rsidP="00FC7900">
      <w:pPr>
        <w:spacing w:after="120" w:line="240" w:lineRule="auto"/>
        <w:jc w:val="both"/>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All the options would recommend or require Member States to provide for comparable and publicly available information on the entities carrying out interest representation activities, the activities conducted and the entities on whose behalf the activity is conducted</w:t>
      </w:r>
      <w:r w:rsidR="00A96941" w:rsidRPr="00532C20">
        <w:rPr>
          <w:rStyle w:val="FootnoteReference"/>
          <w:rFonts w:ascii="Times New Roman" w:eastAsia="Times" w:hAnsi="Times New Roman" w:cs="Times New Roman"/>
          <w:noProof/>
          <w:sz w:val="24"/>
          <w:szCs w:val="24"/>
          <w:lang w:val="en-IE" w:eastAsia="en-IE"/>
        </w:rPr>
        <w:footnoteReference w:id="142"/>
      </w:r>
      <w:r w:rsidRPr="00532C20">
        <w:rPr>
          <w:rFonts w:ascii="Times New Roman" w:eastAsia="Times" w:hAnsi="Times New Roman" w:cs="Times New Roman"/>
          <w:noProof/>
          <w:sz w:val="24"/>
          <w:szCs w:val="24"/>
          <w:lang w:val="en-IE" w:eastAsia="en-IE"/>
        </w:rPr>
        <w:t xml:space="preserve"> and would thus address SO2 (improve knowledge about the magnitude</w:t>
      </w:r>
      <w:r w:rsidR="00007935" w:rsidRPr="00532C20">
        <w:rPr>
          <w:rFonts w:ascii="Times New Roman" w:eastAsia="Times" w:hAnsi="Times New Roman" w:cs="Times New Roman"/>
          <w:noProof/>
          <w:sz w:val="24"/>
          <w:szCs w:val="24"/>
          <w:lang w:val="en-IE" w:eastAsia="en-IE"/>
        </w:rPr>
        <w:t>,</w:t>
      </w:r>
      <w:r w:rsidR="004656CE" w:rsidRPr="00532C20">
        <w:rPr>
          <w:rFonts w:ascii="Times New Roman" w:eastAsia="Times" w:hAnsi="Times New Roman" w:cs="Times New Roman"/>
          <w:noProof/>
          <w:sz w:val="24"/>
          <w:szCs w:val="24"/>
          <w:lang w:val="en-IE" w:eastAsia="en-IE"/>
        </w:rPr>
        <w:t xml:space="preserve"> </w:t>
      </w:r>
      <w:r w:rsidRPr="00532C20">
        <w:rPr>
          <w:rFonts w:ascii="Times New Roman" w:eastAsia="Times" w:hAnsi="Times New Roman" w:cs="Times New Roman"/>
          <w:noProof/>
          <w:sz w:val="24"/>
          <w:szCs w:val="24"/>
          <w:lang w:val="en-IE" w:eastAsia="en-IE"/>
        </w:rPr>
        <w:t>trends</w:t>
      </w:r>
      <w:r w:rsidR="00007935" w:rsidRPr="00532C20">
        <w:rPr>
          <w:rFonts w:ascii="Times New Roman" w:eastAsia="Times" w:hAnsi="Times New Roman" w:cs="Times New Roman"/>
          <w:noProof/>
          <w:sz w:val="24"/>
          <w:szCs w:val="24"/>
          <w:lang w:val="en-IE" w:eastAsia="en-IE"/>
        </w:rPr>
        <w:t xml:space="preserve"> and actors</w:t>
      </w:r>
      <w:r w:rsidRPr="00532C20">
        <w:rPr>
          <w:rFonts w:ascii="Times New Roman" w:eastAsia="Times" w:hAnsi="Times New Roman" w:cs="Times New Roman"/>
          <w:noProof/>
          <w:sz w:val="24"/>
          <w:szCs w:val="24"/>
          <w:lang w:val="en-IE" w:eastAsia="en-IE"/>
        </w:rPr>
        <w:t xml:space="preserve"> of interest representation carried out on behalf of third countries).</w:t>
      </w:r>
    </w:p>
    <w:p w14:paraId="470CE1BD" w14:textId="1CA42E11" w:rsidR="00271DC3" w:rsidRPr="00532C20" w:rsidRDefault="00C37371" w:rsidP="004B0958">
      <w:pPr>
        <w:spacing w:line="240" w:lineRule="auto"/>
        <w:jc w:val="both"/>
        <w:rPr>
          <w:rFonts w:ascii="Times New Roman" w:eastAsia="Times" w:hAnsi="Times New Roman" w:cs="Times New Roman"/>
          <w:noProof/>
          <w:color w:val="FF0000"/>
          <w:sz w:val="24"/>
          <w:szCs w:val="24"/>
          <w:lang w:val="en-IE"/>
        </w:rPr>
      </w:pPr>
      <w:r w:rsidRPr="00532C20">
        <w:rPr>
          <w:rFonts w:ascii="Times New Roman" w:eastAsia="Times" w:hAnsi="Times New Roman" w:cs="Times New Roman"/>
          <w:noProof/>
          <w:sz w:val="24"/>
          <w:szCs w:val="24"/>
          <w:lang w:val="en-IE"/>
        </w:rPr>
        <w:t xml:space="preserve">Activities that are </w:t>
      </w:r>
      <w:r w:rsidR="00F773FE" w:rsidRPr="00532C20">
        <w:rPr>
          <w:rFonts w:ascii="Times New Roman" w:eastAsia="Times" w:hAnsi="Times New Roman" w:cs="Times New Roman"/>
          <w:noProof/>
          <w:sz w:val="24"/>
          <w:szCs w:val="24"/>
          <w:lang w:val="en-IE"/>
        </w:rPr>
        <w:t xml:space="preserve">currently illegal or even criminalised </w:t>
      </w:r>
      <w:r w:rsidRPr="00532C20">
        <w:rPr>
          <w:rFonts w:ascii="Times New Roman" w:eastAsia="Times" w:hAnsi="Times New Roman" w:cs="Times New Roman"/>
          <w:noProof/>
          <w:sz w:val="24"/>
          <w:szCs w:val="24"/>
          <w:lang w:val="en-IE"/>
        </w:rPr>
        <w:t>in Member States, such as corruption, would not be affected by this initiative.</w:t>
      </w:r>
      <w:r w:rsidR="004F3B10" w:rsidRPr="00532C20">
        <w:rPr>
          <w:rFonts w:ascii="Times New Roman" w:eastAsia="Times" w:hAnsi="Times New Roman" w:cs="Times New Roman"/>
          <w:noProof/>
          <w:sz w:val="24"/>
          <w:szCs w:val="24"/>
          <w:lang w:val="en-IE"/>
        </w:rPr>
        <w:t xml:space="preserve"> The harmonised transparency requirements could however support the detection and prosecution of such illegal behaviours by relevant competent authorities, including the circumvention of sanctions where interest representation activities are carried out for or on behalf of an entity subject to restrictive measures.</w:t>
      </w:r>
    </w:p>
    <w:p w14:paraId="0ED111E2" w14:textId="6856E204" w:rsidR="00F9628F" w:rsidRPr="00532C20" w:rsidRDefault="00831C7B" w:rsidP="004B0958">
      <w:pPr>
        <w:pStyle w:val="111level3title"/>
        <w:spacing w:line="240" w:lineRule="auto"/>
        <w:rPr>
          <w:noProof/>
        </w:rPr>
      </w:pPr>
      <w:bookmarkStart w:id="825" w:name="_Toc152864685"/>
      <w:r w:rsidRPr="00532C20">
        <w:rPr>
          <w:noProof/>
        </w:rPr>
        <w:t xml:space="preserve">Policy </w:t>
      </w:r>
      <w:r w:rsidR="00F9628F" w:rsidRPr="00532C20">
        <w:rPr>
          <w:noProof/>
        </w:rPr>
        <w:t>Option 1: Non-legislative measures</w:t>
      </w:r>
      <w:bookmarkEnd w:id="825"/>
    </w:p>
    <w:p w14:paraId="05A7C4BA" w14:textId="4B76FED5" w:rsidR="006F28F4" w:rsidRPr="00532C20" w:rsidRDefault="006F28F4" w:rsidP="004F7ECF">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The first option considered takes the form of a non-legislative </w:t>
      </w:r>
      <w:r w:rsidR="18CA1814" w:rsidRPr="00532C20">
        <w:rPr>
          <w:rFonts w:ascii="Times New Roman" w:eastAsia="Times" w:hAnsi="Times New Roman" w:cs="Times New Roman"/>
          <w:noProof/>
          <w:sz w:val="24"/>
          <w:szCs w:val="24"/>
          <w:lang w:val="en-IE"/>
        </w:rPr>
        <w:t>i</w:t>
      </w:r>
      <w:r w:rsidRPr="00532C20">
        <w:rPr>
          <w:rFonts w:ascii="Times New Roman" w:eastAsia="Times" w:hAnsi="Times New Roman" w:cs="Times New Roman"/>
          <w:noProof/>
          <w:sz w:val="24"/>
          <w:szCs w:val="24"/>
          <w:lang w:val="en-IE"/>
        </w:rPr>
        <w:t>n</w:t>
      </w:r>
      <w:r w:rsidR="18CA1814" w:rsidRPr="00532C20">
        <w:rPr>
          <w:rFonts w:ascii="Times New Roman" w:eastAsia="Times" w:hAnsi="Times New Roman" w:cs="Times New Roman"/>
          <w:noProof/>
          <w:sz w:val="24"/>
          <w:szCs w:val="24"/>
          <w:lang w:val="en-IE"/>
        </w:rPr>
        <w:t>tervention</w:t>
      </w:r>
      <w:bookmarkStart w:id="826" w:name="_Ref147910343"/>
      <w:r w:rsidR="008274BE" w:rsidRPr="00532C20">
        <w:rPr>
          <w:rStyle w:val="FootnoteReference"/>
          <w:rFonts w:ascii="Times New Roman" w:eastAsia="Times" w:hAnsi="Times New Roman" w:cs="Times New Roman"/>
          <w:noProof/>
          <w:sz w:val="24"/>
          <w:szCs w:val="24"/>
          <w:lang w:val="en-IE"/>
        </w:rPr>
        <w:footnoteReference w:id="143"/>
      </w:r>
      <w:bookmarkEnd w:id="826"/>
      <w:r w:rsidRPr="00532C20">
        <w:rPr>
          <w:rFonts w:ascii="Times New Roman" w:eastAsia="Times" w:hAnsi="Times New Roman" w:cs="Times New Roman"/>
          <w:noProof/>
          <w:sz w:val="24"/>
          <w:szCs w:val="24"/>
          <w:lang w:val="en-IE"/>
        </w:rPr>
        <w:t>.</w:t>
      </w:r>
      <w:r w:rsidRPr="00532C20">
        <w:rPr>
          <w:rFonts w:ascii="Times New Roman" w:eastAsia="Calibri" w:hAnsi="Times New Roman" w:cs="Times New Roman"/>
          <w:noProof/>
          <w:sz w:val="24"/>
          <w:szCs w:val="24"/>
          <w:lang w:val="en-IE"/>
        </w:rPr>
        <w:t xml:space="preserve"> </w:t>
      </w:r>
    </w:p>
    <w:p w14:paraId="328C5683" w14:textId="0696E8F6" w:rsidR="00FD6EEF" w:rsidRPr="00532C20" w:rsidRDefault="006F28F4" w:rsidP="00FD6EEF">
      <w:pPr>
        <w:spacing w:after="120" w:line="240" w:lineRule="auto"/>
        <w:jc w:val="both"/>
        <w:rPr>
          <w:rFonts w:ascii="Times New Roman" w:eastAsia="Arial Unicode MS" w:hAnsi="Times New Roman" w:cs="Times New Roman"/>
          <w:noProof/>
          <w:sz w:val="24"/>
          <w:szCs w:val="24"/>
          <w:lang w:val="en-IE"/>
        </w:rPr>
      </w:pPr>
      <w:r w:rsidRPr="00532C20">
        <w:rPr>
          <w:rFonts w:ascii="Times New Roman" w:eastAsia="Times" w:hAnsi="Times New Roman" w:cs="Times New Roman"/>
          <w:noProof/>
          <w:sz w:val="24"/>
          <w:szCs w:val="24"/>
          <w:lang w:val="en-IE" w:eastAsia="en-IE"/>
        </w:rPr>
        <w:t xml:space="preserve">This </w:t>
      </w:r>
      <w:r w:rsidR="1AB063C3" w:rsidRPr="00532C20">
        <w:rPr>
          <w:rFonts w:ascii="Times New Roman" w:eastAsia="Times" w:hAnsi="Times New Roman" w:cs="Times New Roman"/>
          <w:noProof/>
          <w:sz w:val="24"/>
          <w:szCs w:val="24"/>
          <w:lang w:val="en-IE" w:eastAsia="en-IE"/>
        </w:rPr>
        <w:t>policy option</w:t>
      </w:r>
      <w:r w:rsidRPr="00532C20">
        <w:rPr>
          <w:rFonts w:ascii="Times New Roman" w:eastAsia="Times" w:hAnsi="Times New Roman" w:cs="Times New Roman"/>
          <w:noProof/>
          <w:sz w:val="24"/>
          <w:szCs w:val="24"/>
          <w:lang w:val="en-IE" w:eastAsia="en-IE"/>
        </w:rPr>
        <w:t xml:space="preserve"> would consist of </w:t>
      </w:r>
      <w:r w:rsidRPr="00532C20">
        <w:rPr>
          <w:rFonts w:ascii="Times New Roman" w:eastAsia="Times" w:hAnsi="Times New Roman" w:cs="Times New Roman"/>
          <w:b/>
          <w:bCs/>
          <w:noProof/>
          <w:sz w:val="24"/>
          <w:szCs w:val="24"/>
          <w:lang w:val="en-IE" w:eastAsia="en-IE"/>
        </w:rPr>
        <w:t>recommending to Member States a set of measures to be applied to interest representation activities carried out on behalf of third countries</w:t>
      </w:r>
      <w:r w:rsidRPr="00532C20">
        <w:rPr>
          <w:rFonts w:ascii="Times New Roman" w:eastAsia="Times" w:hAnsi="Times New Roman" w:cs="Times New Roman"/>
          <w:noProof/>
          <w:sz w:val="24"/>
          <w:szCs w:val="24"/>
          <w:lang w:val="en-IE" w:eastAsia="en-IE"/>
        </w:rPr>
        <w:t>. Member States would be encouraged to provide for similar and proportionate transparency measures aimed at facilitating accountability and over</w:t>
      </w:r>
      <w:r w:rsidR="002254BD" w:rsidRPr="00532C20">
        <w:rPr>
          <w:rFonts w:ascii="Times New Roman" w:eastAsia="Times" w:hAnsi="Times New Roman" w:cs="Times New Roman"/>
          <w:noProof/>
          <w:sz w:val="24"/>
          <w:szCs w:val="24"/>
          <w:lang w:val="en-IE" w:eastAsia="en-IE"/>
        </w:rPr>
        <w:t>s</w:t>
      </w:r>
      <w:r w:rsidRPr="00532C20">
        <w:rPr>
          <w:rFonts w:ascii="Times New Roman" w:eastAsia="Times" w:hAnsi="Times New Roman" w:cs="Times New Roman"/>
          <w:noProof/>
          <w:sz w:val="24"/>
          <w:szCs w:val="24"/>
          <w:lang w:val="en-IE" w:eastAsia="en-IE"/>
        </w:rPr>
        <w:t xml:space="preserve">ight and addressing the challenges for democratic processes associated with such activities. </w:t>
      </w:r>
      <w:r w:rsidR="00FD6EEF" w:rsidRPr="00532C20">
        <w:rPr>
          <w:rFonts w:ascii="Times New Roman" w:eastAsia="Times" w:hAnsi="Times New Roman" w:cs="Times New Roman"/>
          <w:noProof/>
          <w:sz w:val="24"/>
          <w:szCs w:val="24"/>
          <w:lang w:val="en-IE" w:eastAsia="en-IE"/>
        </w:rPr>
        <w:t>This could include, for example, a recommendation to Member States with lobbying registers to request interest representatives to provide, on a voluntary basis, an indication in their lobbying registry of whether the interest represented is that of a third country, and to other Member States to establish, on a voluntary basis, registers covering activities affecting decision-making process</w:t>
      </w:r>
      <w:r w:rsidR="00C7067B">
        <w:rPr>
          <w:rFonts w:ascii="Times New Roman" w:eastAsia="Times" w:hAnsi="Times New Roman" w:cs="Times New Roman"/>
          <w:noProof/>
          <w:sz w:val="24"/>
          <w:szCs w:val="24"/>
          <w:lang w:val="en-IE" w:eastAsia="en-IE"/>
        </w:rPr>
        <w:t>es</w:t>
      </w:r>
      <w:r w:rsidR="00FD6EEF" w:rsidRPr="00532C20">
        <w:rPr>
          <w:rFonts w:ascii="Times New Roman" w:eastAsia="Times" w:hAnsi="Times New Roman" w:cs="Times New Roman"/>
          <w:noProof/>
          <w:sz w:val="24"/>
          <w:szCs w:val="24"/>
          <w:lang w:val="en-IE" w:eastAsia="en-IE"/>
        </w:rPr>
        <w:t xml:space="preserve"> funded by third countries.</w:t>
      </w:r>
      <w:r w:rsidR="00FD6EEF" w:rsidRPr="00532C20">
        <w:rPr>
          <w:rFonts w:ascii="Times New Roman" w:eastAsia="Arial Unicode MS" w:hAnsi="Times New Roman" w:cs="Times New Roman"/>
          <w:noProof/>
          <w:sz w:val="24"/>
          <w:szCs w:val="24"/>
          <w:lang w:val="en-IE"/>
        </w:rPr>
        <w:t xml:space="preserve"> </w:t>
      </w:r>
      <w:r w:rsidR="000C0DA2" w:rsidRPr="00532C20">
        <w:rPr>
          <w:rFonts w:ascii="Times New Roman" w:eastAsia="Arial Unicode MS" w:hAnsi="Times New Roman" w:cs="Times New Roman"/>
          <w:noProof/>
          <w:sz w:val="24"/>
          <w:szCs w:val="24"/>
          <w:lang w:val="en-IE"/>
        </w:rPr>
        <w:t>The recommendations would also include references to safeguards that Member States should establish, including to prevent stigmatisation of the registered entities.</w:t>
      </w:r>
      <w:r w:rsidR="00B628C3" w:rsidRPr="00532C20">
        <w:rPr>
          <w:rFonts w:ascii="Times New Roman" w:eastAsia="Arial Unicode MS" w:hAnsi="Times New Roman" w:cs="Times New Roman"/>
          <w:noProof/>
          <w:sz w:val="24"/>
          <w:szCs w:val="24"/>
          <w:lang w:val="en-IE"/>
        </w:rPr>
        <w:t xml:space="preserve"> </w:t>
      </w:r>
    </w:p>
    <w:p w14:paraId="33AE48BA" w14:textId="77777777" w:rsidR="004F7DA8" w:rsidRPr="00532C20" w:rsidRDefault="00D45A7A" w:rsidP="00FD6EEF">
      <w:pPr>
        <w:spacing w:after="120" w:line="240" w:lineRule="auto"/>
        <w:jc w:val="both"/>
        <w:rPr>
          <w:rFonts w:ascii="Times New Roman" w:eastAsia="Arial Unicode MS" w:hAnsi="Times New Roman" w:cs="Times New Roman"/>
          <w:noProof/>
          <w:sz w:val="24"/>
          <w:szCs w:val="24"/>
          <w:lang w:val="en-IE"/>
        </w:rPr>
      </w:pPr>
      <w:r w:rsidRPr="00532C20">
        <w:rPr>
          <w:rFonts w:ascii="Times New Roman" w:eastAsia="Arial Unicode MS" w:hAnsi="Times New Roman" w:cs="Times New Roman"/>
          <w:noProof/>
          <w:sz w:val="24"/>
          <w:szCs w:val="24"/>
          <w:lang w:val="en-IE"/>
        </w:rPr>
        <w:t>This policy option would b</w:t>
      </w:r>
      <w:r w:rsidR="009771EC" w:rsidRPr="00532C20">
        <w:rPr>
          <w:rFonts w:ascii="Times New Roman" w:eastAsia="Arial Unicode MS" w:hAnsi="Times New Roman" w:cs="Times New Roman"/>
          <w:noProof/>
          <w:sz w:val="24"/>
          <w:szCs w:val="24"/>
          <w:lang w:val="en-IE"/>
        </w:rPr>
        <w:t xml:space="preserve">uild upon </w:t>
      </w:r>
      <w:r w:rsidR="00F23CC8" w:rsidRPr="00532C20">
        <w:rPr>
          <w:rFonts w:ascii="Times New Roman" w:eastAsia="Arial Unicode MS" w:hAnsi="Times New Roman" w:cs="Times New Roman"/>
          <w:noProof/>
          <w:sz w:val="24"/>
          <w:szCs w:val="24"/>
          <w:lang w:val="en-IE"/>
        </w:rPr>
        <w:t xml:space="preserve">and be complementary to </w:t>
      </w:r>
      <w:r w:rsidR="009771EC" w:rsidRPr="00532C20">
        <w:rPr>
          <w:rFonts w:ascii="Times New Roman" w:eastAsia="Arial Unicode MS" w:hAnsi="Times New Roman" w:cs="Times New Roman"/>
          <w:noProof/>
          <w:sz w:val="24"/>
          <w:szCs w:val="24"/>
          <w:lang w:val="en-IE"/>
        </w:rPr>
        <w:t xml:space="preserve">the recommendations that have been issued </w:t>
      </w:r>
      <w:r w:rsidR="00085993" w:rsidRPr="00532C20">
        <w:rPr>
          <w:rFonts w:ascii="Times New Roman" w:eastAsia="Arial Unicode MS" w:hAnsi="Times New Roman" w:cs="Times New Roman"/>
          <w:noProof/>
          <w:sz w:val="24"/>
          <w:szCs w:val="24"/>
          <w:lang w:val="en-IE"/>
        </w:rPr>
        <w:t xml:space="preserve">by the Commission in the </w:t>
      </w:r>
      <w:r w:rsidR="001E1624" w:rsidRPr="00532C20">
        <w:rPr>
          <w:rFonts w:ascii="Times New Roman" w:eastAsia="Arial Unicode MS" w:hAnsi="Times New Roman" w:cs="Times New Roman"/>
          <w:noProof/>
          <w:sz w:val="24"/>
          <w:szCs w:val="24"/>
          <w:lang w:val="en-IE"/>
        </w:rPr>
        <w:t xml:space="preserve">context of its annual Rule of Law Reports </w:t>
      </w:r>
      <w:r w:rsidR="00D859BA" w:rsidRPr="00532C20">
        <w:rPr>
          <w:rFonts w:ascii="Times New Roman" w:eastAsia="Arial Unicode MS" w:hAnsi="Times New Roman" w:cs="Times New Roman"/>
          <w:noProof/>
          <w:sz w:val="24"/>
          <w:szCs w:val="24"/>
          <w:lang w:val="en-IE"/>
        </w:rPr>
        <w:t xml:space="preserve">regularly inviting Member States to </w:t>
      </w:r>
      <w:r w:rsidR="00444392" w:rsidRPr="00532C20">
        <w:rPr>
          <w:rFonts w:ascii="Times New Roman" w:eastAsia="Arial Unicode MS" w:hAnsi="Times New Roman" w:cs="Times New Roman"/>
          <w:noProof/>
          <w:sz w:val="24"/>
          <w:szCs w:val="24"/>
          <w:lang w:val="en-IE"/>
        </w:rPr>
        <w:t xml:space="preserve">introduce or improve rules on lobbying </w:t>
      </w:r>
      <w:r w:rsidR="00640907" w:rsidRPr="00532C20">
        <w:rPr>
          <w:rFonts w:ascii="Times New Roman" w:eastAsia="Arial Unicode MS" w:hAnsi="Times New Roman" w:cs="Times New Roman"/>
          <w:noProof/>
          <w:sz w:val="24"/>
          <w:szCs w:val="24"/>
          <w:lang w:val="en-IE"/>
        </w:rPr>
        <w:t xml:space="preserve">and interest representation. </w:t>
      </w:r>
    </w:p>
    <w:p w14:paraId="5C49E980" w14:textId="6187D975" w:rsidR="00FF52C5" w:rsidRPr="00532C20" w:rsidRDefault="00405FD2" w:rsidP="00FD6EEF">
      <w:pPr>
        <w:spacing w:after="120" w:line="240" w:lineRule="auto"/>
        <w:jc w:val="both"/>
        <w:rPr>
          <w:rFonts w:ascii="Times New Roman" w:eastAsia="Arial Unicode MS" w:hAnsi="Times New Roman" w:cs="Times New Roman"/>
          <w:noProof/>
          <w:sz w:val="24"/>
          <w:szCs w:val="24"/>
          <w:lang w:val="en-IE"/>
        </w:rPr>
      </w:pPr>
      <w:r w:rsidRPr="00532C20">
        <w:rPr>
          <w:rFonts w:ascii="Times New Roman" w:eastAsia="Arial Unicode MS" w:hAnsi="Times New Roman" w:cs="Times New Roman"/>
          <w:noProof/>
          <w:sz w:val="24"/>
          <w:szCs w:val="24"/>
          <w:lang w:val="en-IE"/>
        </w:rPr>
        <w:t xml:space="preserve">Additionally, this policy option would go beyond these recommendations </w:t>
      </w:r>
      <w:r w:rsidR="00146B76" w:rsidRPr="00532C20">
        <w:rPr>
          <w:rFonts w:ascii="Times New Roman" w:eastAsia="Arial Unicode MS" w:hAnsi="Times New Roman" w:cs="Times New Roman"/>
          <w:noProof/>
          <w:sz w:val="24"/>
          <w:szCs w:val="24"/>
          <w:lang w:val="en-IE"/>
        </w:rPr>
        <w:t xml:space="preserve">as it provides for a list </w:t>
      </w:r>
      <w:r w:rsidR="00F23CC8" w:rsidRPr="00532C20">
        <w:rPr>
          <w:rFonts w:ascii="Times New Roman" w:eastAsia="Arial Unicode MS" w:hAnsi="Times New Roman" w:cs="Times New Roman"/>
          <w:noProof/>
          <w:sz w:val="24"/>
          <w:szCs w:val="24"/>
          <w:lang w:val="en-IE"/>
        </w:rPr>
        <w:t>of specific standards related to record-keeping, registration and transparency</w:t>
      </w:r>
      <w:r w:rsidR="008C2C50" w:rsidRPr="00532C20">
        <w:rPr>
          <w:rFonts w:ascii="Times New Roman" w:eastAsia="Arial Unicode MS" w:hAnsi="Times New Roman" w:cs="Times New Roman"/>
          <w:noProof/>
          <w:sz w:val="24"/>
          <w:szCs w:val="24"/>
          <w:lang w:val="en-IE"/>
        </w:rPr>
        <w:t xml:space="preserve"> (1)</w:t>
      </w:r>
      <w:r w:rsidR="00F23CC8" w:rsidRPr="00532C20">
        <w:rPr>
          <w:rFonts w:ascii="Times New Roman" w:eastAsia="Arial Unicode MS" w:hAnsi="Times New Roman" w:cs="Times New Roman"/>
          <w:noProof/>
          <w:sz w:val="24"/>
          <w:szCs w:val="24"/>
          <w:lang w:val="en-IE"/>
        </w:rPr>
        <w:t>, a detailed but voluntary reporting on the application of the specific standards</w:t>
      </w:r>
      <w:r w:rsidR="00C71112" w:rsidRPr="00532C20">
        <w:rPr>
          <w:rFonts w:ascii="Times New Roman" w:eastAsia="Arial Unicode MS" w:hAnsi="Times New Roman" w:cs="Times New Roman"/>
          <w:noProof/>
          <w:sz w:val="24"/>
          <w:szCs w:val="24"/>
          <w:lang w:val="en-IE"/>
        </w:rPr>
        <w:t xml:space="preserve"> (2) and a monitoring of the implementation of the recommendation (3)</w:t>
      </w:r>
      <w:r w:rsidR="00F23CC8" w:rsidRPr="00532C20">
        <w:rPr>
          <w:rFonts w:ascii="Times New Roman" w:eastAsia="Arial Unicode MS" w:hAnsi="Times New Roman" w:cs="Times New Roman"/>
          <w:noProof/>
          <w:sz w:val="24"/>
          <w:szCs w:val="24"/>
          <w:lang w:val="en-IE"/>
        </w:rPr>
        <w:t xml:space="preserve">. </w:t>
      </w:r>
      <w:r w:rsidR="00C71112" w:rsidRPr="00532C20">
        <w:rPr>
          <w:rFonts w:ascii="Times New Roman" w:eastAsia="Arial Unicode MS" w:hAnsi="Times New Roman" w:cs="Times New Roman"/>
          <w:noProof/>
          <w:sz w:val="24"/>
          <w:szCs w:val="24"/>
          <w:lang w:val="en-IE"/>
        </w:rPr>
        <w:t>It</w:t>
      </w:r>
      <w:r w:rsidR="00F23CC8" w:rsidRPr="00532C20">
        <w:rPr>
          <w:rFonts w:ascii="Times New Roman" w:eastAsia="Arial Unicode MS" w:hAnsi="Times New Roman" w:cs="Times New Roman"/>
          <w:noProof/>
          <w:sz w:val="24"/>
          <w:szCs w:val="24"/>
          <w:lang w:val="en-IE"/>
        </w:rPr>
        <w:t xml:space="preserve"> would also include references to safeguards that Member States should establish, including to prevent stigmatisation of the registered entities.</w:t>
      </w:r>
    </w:p>
    <w:p w14:paraId="65B6F496" w14:textId="42A148FE" w:rsidR="000C0DA2" w:rsidRPr="00532C20" w:rsidRDefault="00A53D38" w:rsidP="00251670">
      <w:pPr>
        <w:spacing w:after="120" w:line="240" w:lineRule="auto"/>
        <w:jc w:val="both"/>
        <w:rPr>
          <w:rFonts w:ascii="Times New Roman" w:hAnsi="Times New Roman" w:cs="Times New Roman"/>
          <w:noProof/>
          <w:sz w:val="24"/>
          <w:szCs w:val="24"/>
        </w:rPr>
      </w:pPr>
      <w:r w:rsidRPr="00532C20">
        <w:rPr>
          <w:rFonts w:ascii="Times New Roman" w:eastAsia="Arial Unicode MS" w:hAnsi="Times New Roman" w:cs="Times New Roman"/>
          <w:noProof/>
          <w:sz w:val="24"/>
          <w:szCs w:val="24"/>
          <w:lang w:val="en-IE"/>
        </w:rPr>
        <w:t xml:space="preserve">Due to the non-binding nature of the initiative, </w:t>
      </w:r>
      <w:r w:rsidRPr="00532C20">
        <w:rPr>
          <w:rFonts w:ascii="Times New Roman" w:hAnsi="Times New Roman" w:cs="Times New Roman"/>
          <w:noProof/>
          <w:sz w:val="24"/>
          <w:szCs w:val="24"/>
        </w:rPr>
        <w:t xml:space="preserve">Member States could rely on the EU Recommendation while not </w:t>
      </w:r>
      <w:r w:rsidR="00531AB5" w:rsidRPr="00532C20">
        <w:rPr>
          <w:rFonts w:ascii="Times New Roman" w:hAnsi="Times New Roman" w:cs="Times New Roman"/>
          <w:noProof/>
          <w:sz w:val="24"/>
          <w:szCs w:val="24"/>
        </w:rPr>
        <w:t xml:space="preserve">being </w:t>
      </w:r>
      <w:r w:rsidRPr="00532C20">
        <w:rPr>
          <w:rFonts w:ascii="Times New Roman" w:hAnsi="Times New Roman" w:cs="Times New Roman"/>
          <w:noProof/>
          <w:sz w:val="24"/>
          <w:szCs w:val="24"/>
        </w:rPr>
        <w:t>bound by law regarding the necessary safeguards when implementing the recommended standards</w:t>
      </w:r>
      <w:r w:rsidR="00CC35A2" w:rsidRPr="00532C20">
        <w:rPr>
          <w:rFonts w:ascii="Times New Roman" w:hAnsi="Times New Roman" w:cs="Times New Roman"/>
          <w:noProof/>
          <w:sz w:val="24"/>
          <w:szCs w:val="24"/>
        </w:rPr>
        <w:t xml:space="preserve">. Hence, there is </w:t>
      </w:r>
      <w:r w:rsidRPr="00532C20">
        <w:rPr>
          <w:rFonts w:ascii="Times New Roman" w:hAnsi="Times New Roman" w:cs="Times New Roman"/>
          <w:noProof/>
          <w:sz w:val="24"/>
          <w:szCs w:val="24"/>
        </w:rPr>
        <w:t>a risk of gold-plating.</w:t>
      </w:r>
    </w:p>
    <w:p w14:paraId="1032BAD6" w14:textId="3B22F176" w:rsidR="006F28F4" w:rsidRPr="00532C20" w:rsidRDefault="006F28F4" w:rsidP="00251670">
      <w:pPr>
        <w:spacing w:after="120" w:line="240" w:lineRule="auto"/>
        <w:jc w:val="both"/>
        <w:rPr>
          <w:rFonts w:ascii="Times New Roman" w:eastAsia="Arial Unicode MS" w:hAnsi="Times New Roman" w:cs="Times New Roman"/>
          <w:noProof/>
          <w:sz w:val="24"/>
          <w:szCs w:val="24"/>
        </w:rPr>
      </w:pPr>
      <w:r w:rsidRPr="00532C20">
        <w:rPr>
          <w:rFonts w:ascii="Times New Roman" w:eastAsia="Times" w:hAnsi="Times New Roman" w:cs="Times New Roman"/>
          <w:noProof/>
          <w:sz w:val="24"/>
          <w:szCs w:val="24"/>
          <w:lang w:val="en-IE" w:eastAsia="en-IE"/>
        </w:rPr>
        <w:t>Appropriate monitoring of implementation of the Recommendations would be conducted. A report would assess the effects of the Recommendation and consider other measures including possible future legislation.</w:t>
      </w:r>
      <w:r w:rsidR="73F7DF8C" w:rsidRPr="00532C20">
        <w:rPr>
          <w:rFonts w:ascii="Times New Roman" w:eastAsia="Times" w:hAnsi="Times New Roman" w:cs="Times New Roman"/>
          <w:noProof/>
          <w:sz w:val="24"/>
          <w:szCs w:val="24"/>
          <w:lang w:val="en-IE" w:eastAsia="en-IE"/>
        </w:rPr>
        <w:t xml:space="preserve"> </w:t>
      </w:r>
      <w:r w:rsidR="00A53D38" w:rsidRPr="00532C20">
        <w:rPr>
          <w:rFonts w:ascii="Times New Roman" w:eastAsia="Times" w:hAnsi="Times New Roman" w:cs="Times New Roman"/>
          <w:noProof/>
          <w:sz w:val="24"/>
          <w:szCs w:val="24"/>
          <w:lang w:val="en-IE" w:eastAsia="en-IE"/>
        </w:rPr>
        <w:t xml:space="preserve"> </w:t>
      </w:r>
    </w:p>
    <w:p w14:paraId="7AD82C5B" w14:textId="48C3274B" w:rsidR="00266F09" w:rsidRPr="00532C20" w:rsidRDefault="000C0DA2" w:rsidP="00266F09">
      <w:pPr>
        <w:spacing w:after="120" w:line="240" w:lineRule="auto"/>
        <w:jc w:val="both"/>
        <w:rPr>
          <w:rFonts w:ascii="Times New Roman" w:hAnsi="Times New Roman" w:cs="Times New Roman"/>
          <w:noProof/>
          <w:sz w:val="24"/>
          <w:szCs w:val="24"/>
          <w:lang w:val="en-IE"/>
        </w:rPr>
      </w:pPr>
      <w:r w:rsidRPr="00532C20">
        <w:rPr>
          <w:rFonts w:ascii="Times New Roman" w:eastAsia="Times" w:hAnsi="Times New Roman" w:cs="Times New Roman"/>
          <w:noProof/>
          <w:sz w:val="24"/>
          <w:szCs w:val="24"/>
          <w:lang w:val="en-IE" w:eastAsia="en-IE"/>
        </w:rPr>
        <w:t>Use</w:t>
      </w:r>
      <w:r w:rsidR="00266F09" w:rsidRPr="00532C20">
        <w:rPr>
          <w:rFonts w:ascii="Times New Roman" w:eastAsia="Times" w:hAnsi="Times New Roman" w:cs="Times New Roman"/>
          <w:noProof/>
          <w:sz w:val="24"/>
          <w:szCs w:val="24"/>
          <w:lang w:val="en-IE" w:eastAsia="en-IE"/>
        </w:rPr>
        <w:t xml:space="preserve"> would </w:t>
      </w:r>
      <w:r w:rsidRPr="00532C20">
        <w:rPr>
          <w:rFonts w:ascii="Times New Roman" w:eastAsia="Times" w:hAnsi="Times New Roman" w:cs="Times New Roman"/>
          <w:noProof/>
          <w:sz w:val="24"/>
          <w:szCs w:val="24"/>
          <w:lang w:val="en-IE" w:eastAsia="en-IE"/>
        </w:rPr>
        <w:t xml:space="preserve">be made of existing expert groups as governance structures. </w:t>
      </w:r>
      <w:r w:rsidR="00266F09" w:rsidRPr="00532C20">
        <w:rPr>
          <w:rFonts w:ascii="Times New Roman" w:eastAsia="Arial Unicode MS" w:hAnsi="Times New Roman" w:cs="Times New Roman"/>
          <w:noProof/>
          <w:sz w:val="24"/>
          <w:szCs w:val="24"/>
          <w:lang w:val="en-IE"/>
        </w:rPr>
        <w:t xml:space="preserve">The Commission would be able to rely on exchanges on the implementation of the voluntary measures to support their take up in existing networks, such as the European Cooperation </w:t>
      </w:r>
      <w:r w:rsidR="009568C0">
        <w:rPr>
          <w:rFonts w:ascii="Times New Roman" w:eastAsia="Arial Unicode MS" w:hAnsi="Times New Roman" w:cs="Times New Roman"/>
          <w:noProof/>
          <w:sz w:val="24"/>
          <w:szCs w:val="24"/>
          <w:lang w:val="en-IE"/>
        </w:rPr>
        <w:t>N</w:t>
      </w:r>
      <w:r w:rsidR="00266F09" w:rsidRPr="00532C20">
        <w:rPr>
          <w:rFonts w:ascii="Times New Roman" w:eastAsia="Arial Unicode MS" w:hAnsi="Times New Roman" w:cs="Times New Roman"/>
          <w:noProof/>
          <w:sz w:val="24"/>
          <w:szCs w:val="24"/>
          <w:lang w:val="en-IE"/>
        </w:rPr>
        <w:t xml:space="preserve">etwork on </w:t>
      </w:r>
      <w:r w:rsidR="009568C0">
        <w:rPr>
          <w:rFonts w:ascii="Times New Roman" w:eastAsia="Arial Unicode MS" w:hAnsi="Times New Roman" w:cs="Times New Roman"/>
          <w:noProof/>
          <w:sz w:val="24"/>
          <w:szCs w:val="24"/>
          <w:lang w:val="en-IE"/>
        </w:rPr>
        <w:t>E</w:t>
      </w:r>
      <w:r w:rsidR="00266F09" w:rsidRPr="00532C20">
        <w:rPr>
          <w:rFonts w:ascii="Times New Roman" w:eastAsia="Arial Unicode MS" w:hAnsi="Times New Roman" w:cs="Times New Roman"/>
          <w:noProof/>
          <w:sz w:val="24"/>
          <w:szCs w:val="24"/>
          <w:lang w:val="en-IE"/>
        </w:rPr>
        <w:t>lections or the membership of the Rule of Law contact group</w:t>
      </w:r>
      <w:r w:rsidR="00266F09" w:rsidRPr="00532C20">
        <w:rPr>
          <w:rFonts w:ascii="Times New Roman" w:hAnsi="Times New Roman" w:cs="Times New Roman"/>
          <w:noProof/>
          <w:sz w:val="24"/>
          <w:szCs w:val="24"/>
          <w:lang w:val="en-IE"/>
        </w:rPr>
        <w:t xml:space="preserve"> and on the reporting by the Commission on the follow-up given </w:t>
      </w:r>
      <w:r w:rsidR="00196B4E" w:rsidRPr="00532C20">
        <w:rPr>
          <w:rFonts w:ascii="Times New Roman" w:hAnsi="Times New Roman" w:cs="Times New Roman"/>
          <w:noProof/>
          <w:sz w:val="24"/>
          <w:szCs w:val="24"/>
          <w:lang w:val="en-IE"/>
        </w:rPr>
        <w:t xml:space="preserve">to </w:t>
      </w:r>
      <w:r w:rsidR="00266F09" w:rsidRPr="00532C20">
        <w:rPr>
          <w:rFonts w:ascii="Times New Roman" w:hAnsi="Times New Roman" w:cs="Times New Roman"/>
          <w:noProof/>
          <w:sz w:val="24"/>
          <w:szCs w:val="24"/>
          <w:lang w:val="en-IE"/>
        </w:rPr>
        <w:t>the Recommendation.</w:t>
      </w:r>
    </w:p>
    <w:p w14:paraId="05365E1E" w14:textId="71909484" w:rsidR="006F28F4" w:rsidRPr="00532C20" w:rsidRDefault="006F28F4" w:rsidP="004B0958">
      <w:pPr>
        <w:pStyle w:val="111level3title"/>
        <w:spacing w:line="240" w:lineRule="auto"/>
        <w:rPr>
          <w:noProof/>
        </w:rPr>
      </w:pPr>
      <w:bookmarkStart w:id="827" w:name="_Toc152864686"/>
      <w:r w:rsidRPr="00532C20">
        <w:rPr>
          <w:noProof/>
        </w:rPr>
        <w:t>Policy Option 2: Legislative intervention</w:t>
      </w:r>
      <w:bookmarkEnd w:id="827"/>
      <w:r w:rsidRPr="00532C20">
        <w:rPr>
          <w:noProof/>
        </w:rPr>
        <w:t xml:space="preserve"> </w:t>
      </w:r>
    </w:p>
    <w:p w14:paraId="57F96DC8" w14:textId="0985A8A8" w:rsidR="006F28F4" w:rsidRPr="00532C20" w:rsidRDefault="0072772A" w:rsidP="004F7ECF">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The second policy option takes the form of a </w:t>
      </w:r>
      <w:r w:rsidRPr="00532C20">
        <w:rPr>
          <w:rFonts w:ascii="Times New Roman" w:eastAsia="Times" w:hAnsi="Times New Roman" w:cs="Times New Roman"/>
          <w:b/>
          <w:bCs/>
          <w:noProof/>
          <w:sz w:val="24"/>
          <w:szCs w:val="24"/>
          <w:lang w:val="en-IE"/>
        </w:rPr>
        <w:t>legislative intervention harmonising the requirements</w:t>
      </w:r>
      <w:r w:rsidR="00647742" w:rsidRPr="00532C20">
        <w:rPr>
          <w:rStyle w:val="FootnoteReference"/>
          <w:rFonts w:ascii="Times New Roman" w:eastAsia="Times" w:hAnsi="Times New Roman" w:cs="Times New Roman"/>
          <w:noProof/>
          <w:sz w:val="24"/>
          <w:szCs w:val="24"/>
          <w:lang w:val="en-IE"/>
        </w:rPr>
        <w:footnoteReference w:id="144"/>
      </w:r>
      <w:r w:rsidRPr="00532C20">
        <w:rPr>
          <w:rFonts w:ascii="Times New Roman" w:eastAsia="Times" w:hAnsi="Times New Roman" w:cs="Times New Roman"/>
          <w:b/>
          <w:bCs/>
          <w:noProof/>
          <w:sz w:val="24"/>
          <w:szCs w:val="24"/>
          <w:lang w:val="en-IE"/>
        </w:rPr>
        <w:t xml:space="preserve"> in the internal market</w:t>
      </w:r>
      <w:r w:rsidRPr="00532C20">
        <w:rPr>
          <w:rFonts w:ascii="Times New Roman" w:eastAsia="Times" w:hAnsi="Times New Roman" w:cs="Times New Roman"/>
          <w:noProof/>
          <w:sz w:val="24"/>
          <w:szCs w:val="24"/>
          <w:lang w:val="en-IE"/>
        </w:rPr>
        <w:t xml:space="preserve">, based on Article 114 TFEU. It would not seek to directly prevent </w:t>
      </w:r>
      <w:r w:rsidR="00CD0828" w:rsidRPr="00532C20">
        <w:rPr>
          <w:rFonts w:ascii="Times New Roman" w:eastAsia="Times" w:hAnsi="Times New Roman" w:cs="Times New Roman"/>
          <w:noProof/>
          <w:sz w:val="24"/>
          <w:szCs w:val="24"/>
          <w:lang w:val="en-IE"/>
        </w:rPr>
        <w:t>interest</w:t>
      </w:r>
      <w:r w:rsidR="00AF6D34" w:rsidRPr="00532C20">
        <w:rPr>
          <w:rFonts w:ascii="Times New Roman" w:eastAsia="Times" w:hAnsi="Times New Roman" w:cs="Times New Roman"/>
          <w:noProof/>
          <w:sz w:val="24"/>
          <w:szCs w:val="24"/>
          <w:lang w:val="en-IE"/>
        </w:rPr>
        <w:t xml:space="preserve"> representation </w:t>
      </w:r>
      <w:r w:rsidR="00CD0828" w:rsidRPr="00532C20">
        <w:rPr>
          <w:rFonts w:ascii="Times New Roman" w:eastAsia="Times" w:hAnsi="Times New Roman" w:cs="Times New Roman"/>
          <w:noProof/>
          <w:sz w:val="24"/>
          <w:szCs w:val="24"/>
          <w:lang w:val="en-IE"/>
        </w:rPr>
        <w:t>activities</w:t>
      </w:r>
      <w:r w:rsidR="00AF6D34" w:rsidRPr="00532C20">
        <w:rPr>
          <w:rFonts w:ascii="Times New Roman" w:eastAsia="Times" w:hAnsi="Times New Roman" w:cs="Times New Roman"/>
          <w:noProof/>
          <w:sz w:val="24"/>
          <w:szCs w:val="24"/>
          <w:lang w:val="en-IE"/>
        </w:rPr>
        <w:t xml:space="preserve"> carried out on behalf of third countries</w:t>
      </w:r>
      <w:r w:rsidRPr="00532C20">
        <w:rPr>
          <w:rFonts w:ascii="Times New Roman" w:eastAsia="Times" w:hAnsi="Times New Roman" w:cs="Times New Roman"/>
          <w:noProof/>
          <w:sz w:val="24"/>
          <w:szCs w:val="24"/>
          <w:lang w:val="en-IE"/>
        </w:rPr>
        <w:t xml:space="preserve"> but would provide transparency requirements for entities carrying out </w:t>
      </w:r>
      <w:r w:rsidR="00410940" w:rsidRPr="00532C20">
        <w:rPr>
          <w:rFonts w:ascii="Times New Roman" w:eastAsia="Times" w:hAnsi="Times New Roman" w:cs="Times New Roman"/>
          <w:noProof/>
          <w:sz w:val="24"/>
          <w:szCs w:val="24"/>
          <w:lang w:val="en-IE"/>
        </w:rPr>
        <w:t>such activities</w:t>
      </w:r>
      <w:r w:rsidRPr="00532C20">
        <w:rPr>
          <w:rFonts w:ascii="Times New Roman" w:eastAsia="Times" w:hAnsi="Times New Roman" w:cs="Times New Roman"/>
          <w:noProof/>
          <w:sz w:val="24"/>
          <w:szCs w:val="24"/>
          <w:lang w:val="en-IE"/>
        </w:rPr>
        <w:t>.</w:t>
      </w:r>
      <w:r w:rsidR="00B76B8B" w:rsidRPr="00532C20">
        <w:rPr>
          <w:rFonts w:ascii="Times New Roman" w:eastAsia="Times" w:hAnsi="Times New Roman" w:cs="Times New Roman"/>
          <w:noProof/>
          <w:sz w:val="24"/>
          <w:szCs w:val="24"/>
          <w:lang w:val="en-IE"/>
        </w:rPr>
        <w:t xml:space="preserve"> </w:t>
      </w:r>
      <w:r w:rsidR="005F160D" w:rsidRPr="00532C20">
        <w:rPr>
          <w:rFonts w:ascii="Times New Roman" w:eastAsia="Times" w:hAnsi="Times New Roman" w:cs="Times New Roman"/>
          <w:noProof/>
          <w:sz w:val="24"/>
          <w:szCs w:val="24"/>
          <w:lang w:val="en-IE"/>
        </w:rPr>
        <w:t>With regard to the</w:t>
      </w:r>
      <w:r w:rsidR="00B76B8B" w:rsidRPr="00532C20">
        <w:rPr>
          <w:rFonts w:ascii="Times New Roman" w:eastAsia="Times" w:hAnsi="Times New Roman" w:cs="Times New Roman"/>
          <w:b/>
          <w:bCs/>
          <w:noProof/>
          <w:sz w:val="24"/>
          <w:szCs w:val="24"/>
          <w:lang w:val="en-IE"/>
        </w:rPr>
        <w:t xml:space="preserve"> transparency and related obligations</w:t>
      </w:r>
      <w:r w:rsidR="005F160D" w:rsidRPr="00532C20">
        <w:rPr>
          <w:rFonts w:ascii="Times New Roman" w:eastAsia="Times" w:hAnsi="Times New Roman" w:cs="Times New Roman"/>
          <w:noProof/>
          <w:sz w:val="24"/>
          <w:szCs w:val="24"/>
          <w:lang w:val="en-IE"/>
        </w:rPr>
        <w:t>, t</w:t>
      </w:r>
      <w:r w:rsidR="00B76B8B" w:rsidRPr="00532C20">
        <w:rPr>
          <w:rFonts w:ascii="Times New Roman" w:eastAsia="Times" w:hAnsi="Times New Roman" w:cs="Times New Roman"/>
          <w:noProof/>
          <w:sz w:val="24"/>
          <w:szCs w:val="24"/>
          <w:lang w:val="en-IE"/>
        </w:rPr>
        <w:t>wo options are possible: targeted requirements (PO2.1)</w:t>
      </w:r>
      <w:r w:rsidR="005F160D" w:rsidRPr="00532C20">
        <w:rPr>
          <w:rFonts w:ascii="Times New Roman" w:eastAsia="Times" w:hAnsi="Times New Roman" w:cs="Times New Roman"/>
          <w:noProof/>
          <w:sz w:val="24"/>
          <w:szCs w:val="24"/>
          <w:lang w:val="en-IE"/>
        </w:rPr>
        <w:t xml:space="preserve"> </w:t>
      </w:r>
      <w:r w:rsidR="00B76B8B" w:rsidRPr="00532C20">
        <w:rPr>
          <w:rFonts w:ascii="Times New Roman" w:eastAsia="Times" w:hAnsi="Times New Roman" w:cs="Times New Roman"/>
          <w:noProof/>
          <w:sz w:val="24"/>
          <w:szCs w:val="24"/>
          <w:lang w:val="en-IE"/>
        </w:rPr>
        <w:t xml:space="preserve">or extended requirements (PO2.2). </w:t>
      </w:r>
      <w:r w:rsidRPr="00532C20">
        <w:rPr>
          <w:rFonts w:ascii="Times New Roman" w:eastAsia="Times" w:hAnsi="Times New Roman" w:cs="Times New Roman"/>
          <w:noProof/>
          <w:sz w:val="24"/>
          <w:szCs w:val="24"/>
          <w:lang w:val="en-IE"/>
        </w:rPr>
        <w:t xml:space="preserve"> </w:t>
      </w:r>
    </w:p>
    <w:p w14:paraId="10510F3B" w14:textId="7E3A403A" w:rsidR="006F28F4" w:rsidRPr="00532C20" w:rsidRDefault="006F28F4" w:rsidP="00582553">
      <w:pPr>
        <w:pStyle w:val="1111level4section"/>
        <w:rPr>
          <w:noProof/>
        </w:rPr>
      </w:pPr>
      <w:bookmarkStart w:id="828" w:name="_Toc152864687"/>
      <w:r w:rsidRPr="00532C20">
        <w:rPr>
          <w:noProof/>
        </w:rPr>
        <w:t>Policy Option 2.</w:t>
      </w:r>
      <w:r w:rsidR="00CC2535" w:rsidRPr="00532C20">
        <w:rPr>
          <w:noProof/>
        </w:rPr>
        <w:t>1</w:t>
      </w:r>
      <w:r w:rsidRPr="00532C20">
        <w:rPr>
          <w:noProof/>
        </w:rPr>
        <w:t>: Targeted requirements</w:t>
      </w:r>
      <w:r w:rsidR="0026791C" w:rsidRPr="00532C20">
        <w:rPr>
          <w:rStyle w:val="FootnoteReference"/>
          <w:noProof/>
        </w:rPr>
        <w:footnoteReference w:id="145"/>
      </w:r>
      <w:bookmarkEnd w:id="828"/>
    </w:p>
    <w:p w14:paraId="0720D44A" w14:textId="04581D7E" w:rsidR="006F28F4" w:rsidRPr="00532C20" w:rsidRDefault="006F28F4" w:rsidP="00FE7B86">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bCs/>
          <w:noProof/>
          <w:sz w:val="24"/>
          <w:szCs w:val="24"/>
          <w:lang w:val="en-IE"/>
        </w:rPr>
        <w:t>Entities carrying out interest representation activities</w:t>
      </w:r>
      <w:r w:rsidR="001546BD" w:rsidRPr="00532C20">
        <w:rPr>
          <w:rFonts w:ascii="Times New Roman" w:eastAsia="Times" w:hAnsi="Times New Roman" w:cs="Times New Roman"/>
          <w:bCs/>
          <w:noProof/>
          <w:sz w:val="24"/>
          <w:szCs w:val="24"/>
          <w:lang w:val="en-IE"/>
        </w:rPr>
        <w:t xml:space="preserve"> on behalf of third country entities</w:t>
      </w:r>
      <w:r w:rsidRPr="00532C20">
        <w:rPr>
          <w:rFonts w:ascii="Times New Roman" w:eastAsia="Times" w:hAnsi="Times New Roman" w:cs="Times New Roman"/>
          <w:b/>
          <w:noProof/>
          <w:sz w:val="24"/>
          <w:szCs w:val="24"/>
          <w:lang w:val="en-IE"/>
        </w:rPr>
        <w:t xml:space="preserve"> </w:t>
      </w:r>
      <w:r w:rsidRPr="00532C20">
        <w:rPr>
          <w:rFonts w:ascii="Times New Roman" w:eastAsia="Times" w:hAnsi="Times New Roman" w:cs="Times New Roman"/>
          <w:noProof/>
          <w:sz w:val="24"/>
          <w:szCs w:val="24"/>
          <w:lang w:val="en-IE"/>
        </w:rPr>
        <w:t xml:space="preserve">would be </w:t>
      </w:r>
      <w:r w:rsidRPr="00532C20">
        <w:rPr>
          <w:rFonts w:ascii="Times New Roman" w:eastAsia="Times" w:hAnsi="Times New Roman" w:cs="Times New Roman"/>
          <w:b/>
          <w:bCs/>
          <w:noProof/>
          <w:sz w:val="24"/>
          <w:szCs w:val="24"/>
          <w:lang w:val="en-IE"/>
        </w:rPr>
        <w:t xml:space="preserve">required to </w:t>
      </w:r>
      <w:r w:rsidR="00AD1093" w:rsidRPr="00532C20">
        <w:rPr>
          <w:rFonts w:ascii="Times New Roman" w:eastAsia="Times" w:hAnsi="Times New Roman" w:cs="Times New Roman"/>
          <w:b/>
          <w:bCs/>
          <w:noProof/>
          <w:sz w:val="24"/>
          <w:szCs w:val="24"/>
          <w:lang w:val="en-IE"/>
        </w:rPr>
        <w:t xml:space="preserve">register and </w:t>
      </w:r>
      <w:r w:rsidRPr="00532C20">
        <w:rPr>
          <w:rFonts w:ascii="Times New Roman" w:eastAsia="Times" w:hAnsi="Times New Roman" w:cs="Times New Roman"/>
          <w:b/>
          <w:bCs/>
          <w:noProof/>
          <w:sz w:val="24"/>
          <w:szCs w:val="24"/>
          <w:lang w:val="en-IE"/>
        </w:rPr>
        <w:t>keep certain records</w:t>
      </w:r>
      <w:r w:rsidR="00AD1093" w:rsidRPr="00532C20">
        <w:rPr>
          <w:rFonts w:ascii="Times New Roman" w:eastAsia="Times" w:hAnsi="Times New Roman" w:cs="Times New Roman"/>
          <w:noProof/>
          <w:sz w:val="24"/>
          <w:szCs w:val="24"/>
          <w:lang w:val="en-IE"/>
        </w:rPr>
        <w:t>.</w:t>
      </w:r>
      <w:r w:rsidRPr="00532C20">
        <w:rPr>
          <w:rFonts w:ascii="Times New Roman" w:eastAsia="Times" w:hAnsi="Times New Roman" w:cs="Times New Roman"/>
          <w:noProof/>
          <w:sz w:val="24"/>
          <w:szCs w:val="24"/>
          <w:lang w:val="en-IE"/>
        </w:rPr>
        <w:t xml:space="preserve"> In addition, interest representation service providers </w:t>
      </w:r>
      <w:r w:rsidR="004C66A0" w:rsidRPr="00532C20">
        <w:rPr>
          <w:rFonts w:ascii="Times New Roman" w:eastAsia="Times" w:hAnsi="Times New Roman" w:cs="Times New Roman"/>
          <w:noProof/>
          <w:sz w:val="24"/>
          <w:szCs w:val="24"/>
          <w:lang w:val="en-IE"/>
        </w:rPr>
        <w:t>would have the possibility</w:t>
      </w:r>
      <w:r w:rsidRPr="00532C20">
        <w:rPr>
          <w:rFonts w:ascii="Times New Roman" w:eastAsia="Times" w:hAnsi="Times New Roman" w:cs="Times New Roman"/>
          <w:noProof/>
          <w:sz w:val="24"/>
          <w:szCs w:val="24"/>
          <w:lang w:val="en-IE"/>
        </w:rPr>
        <w:t xml:space="preserve"> to </w:t>
      </w:r>
      <w:r w:rsidRPr="00532C20">
        <w:rPr>
          <w:rFonts w:ascii="Times New Roman" w:eastAsia="Times" w:hAnsi="Times New Roman" w:cs="Times New Roman"/>
          <w:b/>
          <w:bCs/>
          <w:noProof/>
          <w:sz w:val="24"/>
          <w:szCs w:val="24"/>
          <w:lang w:val="en-IE"/>
        </w:rPr>
        <w:t>take measures to identify the recipients of the services</w:t>
      </w:r>
      <w:r w:rsidRPr="00532C20">
        <w:rPr>
          <w:rFonts w:ascii="Times New Roman" w:eastAsia="Times" w:hAnsi="Times New Roman" w:cs="Times New Roman"/>
          <w:noProof/>
          <w:sz w:val="24"/>
          <w:szCs w:val="24"/>
          <w:lang w:val="en-IE"/>
        </w:rPr>
        <w:t>.</w:t>
      </w:r>
    </w:p>
    <w:p w14:paraId="117CCAEA" w14:textId="2300DCB7" w:rsidR="006F28F4" w:rsidRPr="00532C20" w:rsidRDefault="006F28F4">
      <w:pPr>
        <w:numPr>
          <w:ilvl w:val="2"/>
          <w:numId w:val="8"/>
        </w:numPr>
        <w:spacing w:after="120" w:line="240" w:lineRule="auto"/>
        <w:ind w:left="360"/>
        <w:jc w:val="both"/>
        <w:rPr>
          <w:rFonts w:ascii="Times New Roman" w:eastAsia="Times" w:hAnsi="Times New Roman" w:cs="Times New Roman"/>
          <w:noProof/>
          <w:sz w:val="24"/>
          <w:szCs w:val="24"/>
          <w:lang w:val="en-IE"/>
        </w:rPr>
      </w:pPr>
      <w:r w:rsidRPr="00532C20">
        <w:rPr>
          <w:rFonts w:ascii="Times New Roman" w:eastAsia="Times" w:hAnsi="Times New Roman" w:cs="Times New Roman"/>
          <w:i/>
          <w:noProof/>
          <w:sz w:val="24"/>
          <w:szCs w:val="24"/>
          <w:u w:val="single"/>
          <w:lang w:val="en-IE"/>
        </w:rPr>
        <w:t>Record-keeping:</w:t>
      </w:r>
      <w:r w:rsidRPr="00532C20">
        <w:rPr>
          <w:rFonts w:ascii="Times New Roman" w:eastAsia="Times" w:hAnsi="Times New Roman" w:cs="Times New Roman"/>
          <w:noProof/>
          <w:sz w:val="24"/>
          <w:szCs w:val="24"/>
          <w:lang w:val="en-IE"/>
        </w:rPr>
        <w:t xml:space="preserve"> Entities would be required to keep, for a reasonable period, information on the </w:t>
      </w:r>
      <w:r w:rsidRPr="00532C20">
        <w:rPr>
          <w:rFonts w:ascii="Times New Roman" w:eastAsia="Times" w:hAnsi="Times New Roman" w:cs="Times New Roman"/>
          <w:b/>
          <w:bCs/>
          <w:noProof/>
          <w:sz w:val="24"/>
          <w:szCs w:val="24"/>
          <w:lang w:val="en-IE"/>
        </w:rPr>
        <w:t>identity</w:t>
      </w:r>
      <w:r w:rsidRPr="00532C20">
        <w:rPr>
          <w:rFonts w:ascii="Times New Roman" w:eastAsia="Times" w:hAnsi="Times New Roman" w:cs="Times New Roman"/>
          <w:noProof/>
          <w:sz w:val="24"/>
          <w:szCs w:val="24"/>
          <w:lang w:val="en-IE"/>
        </w:rPr>
        <w:t xml:space="preserve"> of the entity on whose behalf the activity is carried out, a </w:t>
      </w:r>
      <w:r w:rsidRPr="00532C20">
        <w:rPr>
          <w:rFonts w:ascii="Times New Roman" w:eastAsia="Times" w:hAnsi="Times New Roman" w:cs="Times New Roman"/>
          <w:b/>
          <w:bCs/>
          <w:noProof/>
          <w:sz w:val="24"/>
          <w:szCs w:val="24"/>
          <w:lang w:val="en-IE"/>
        </w:rPr>
        <w:t>description of the purpose</w:t>
      </w:r>
      <w:r w:rsidRPr="00532C20">
        <w:rPr>
          <w:rFonts w:ascii="Times New Roman" w:eastAsia="Times" w:hAnsi="Times New Roman" w:cs="Times New Roman"/>
          <w:noProof/>
          <w:sz w:val="24"/>
          <w:szCs w:val="24"/>
          <w:lang w:val="en-IE"/>
        </w:rPr>
        <w:t xml:space="preserve"> of the interest representation activity, </w:t>
      </w:r>
      <w:r w:rsidRPr="00532C20">
        <w:rPr>
          <w:rFonts w:ascii="Times New Roman" w:eastAsia="Times" w:hAnsi="Times New Roman" w:cs="Times New Roman"/>
          <w:b/>
          <w:bCs/>
          <w:noProof/>
          <w:sz w:val="24"/>
          <w:szCs w:val="24"/>
          <w:lang w:val="en-IE"/>
        </w:rPr>
        <w:t>contracts and key exchanges</w:t>
      </w:r>
      <w:r w:rsidRPr="00532C20">
        <w:rPr>
          <w:rFonts w:ascii="Times New Roman" w:eastAsia="Times" w:hAnsi="Times New Roman" w:cs="Times New Roman"/>
          <w:noProof/>
          <w:sz w:val="24"/>
          <w:szCs w:val="24"/>
          <w:lang w:val="en-IE"/>
        </w:rPr>
        <w:t xml:space="preserve"> with the entity to the extent that they are essential to understand the nature and purpose of the interest representation carried out</w:t>
      </w:r>
      <w:r w:rsidR="00871E65" w:rsidRPr="00532C20">
        <w:rPr>
          <w:rFonts w:ascii="Times New Roman" w:eastAsia="Times" w:hAnsi="Times New Roman" w:cs="Times New Roman"/>
          <w:noProof/>
          <w:sz w:val="24"/>
          <w:szCs w:val="24"/>
          <w:lang w:val="en-IE"/>
        </w:rPr>
        <w:t>, as well as</w:t>
      </w:r>
      <w:r w:rsidRPr="00532C20">
        <w:rPr>
          <w:rFonts w:ascii="Times New Roman" w:eastAsia="Times" w:hAnsi="Times New Roman" w:cs="Times New Roman"/>
          <w:noProof/>
          <w:sz w:val="24"/>
          <w:szCs w:val="24"/>
          <w:lang w:val="en-IE"/>
        </w:rPr>
        <w:t xml:space="preserve"> information or material constituting key components of the interest representation activity.</w:t>
      </w:r>
    </w:p>
    <w:p w14:paraId="7B81370A" w14:textId="7C9F7624" w:rsidR="0007735E" w:rsidRPr="00532C20" w:rsidRDefault="13230160">
      <w:pPr>
        <w:numPr>
          <w:ilvl w:val="2"/>
          <w:numId w:val="8"/>
        </w:numPr>
        <w:spacing w:after="120" w:line="240" w:lineRule="auto"/>
        <w:ind w:left="360"/>
        <w:jc w:val="both"/>
        <w:rPr>
          <w:rFonts w:ascii="Times New Roman" w:eastAsia="Times" w:hAnsi="Times New Roman" w:cs="Times New Roman"/>
          <w:noProof/>
          <w:sz w:val="24"/>
          <w:szCs w:val="24"/>
          <w:lang w:val="en-IE"/>
        </w:rPr>
      </w:pPr>
      <w:r w:rsidRPr="00532C20">
        <w:rPr>
          <w:rFonts w:ascii="Times New Roman" w:eastAsia="Times" w:hAnsi="Times New Roman" w:cs="Times New Roman"/>
          <w:i/>
          <w:noProof/>
          <w:sz w:val="24"/>
          <w:szCs w:val="24"/>
          <w:u w:val="single"/>
          <w:lang w:val="en-IE"/>
        </w:rPr>
        <w:t>Registration:</w:t>
      </w:r>
      <w:r w:rsidRPr="00532C20">
        <w:rPr>
          <w:rFonts w:ascii="Times New Roman" w:eastAsia="Times" w:hAnsi="Times New Roman" w:cs="Times New Roman"/>
          <w:noProof/>
          <w:sz w:val="24"/>
          <w:szCs w:val="24"/>
          <w:lang w:val="en-IE"/>
        </w:rPr>
        <w:t xml:space="preserve"> </w:t>
      </w:r>
      <w:r w:rsidR="54FEA7C9" w:rsidRPr="00532C20">
        <w:rPr>
          <w:rFonts w:ascii="Times New Roman" w:eastAsia="Times" w:hAnsi="Times New Roman" w:cs="Times New Roman"/>
          <w:noProof/>
          <w:sz w:val="24"/>
          <w:szCs w:val="24"/>
          <w:lang w:val="en-IE"/>
        </w:rPr>
        <w:t>E</w:t>
      </w:r>
      <w:r w:rsidRPr="00532C20">
        <w:rPr>
          <w:rFonts w:ascii="Times New Roman" w:eastAsia="Times" w:hAnsi="Times New Roman" w:cs="Times New Roman"/>
          <w:noProof/>
          <w:sz w:val="24"/>
          <w:szCs w:val="24"/>
          <w:lang w:val="en-IE"/>
        </w:rPr>
        <w:t xml:space="preserve">ntities would be required to </w:t>
      </w:r>
      <w:r w:rsidRPr="00532C20">
        <w:rPr>
          <w:rFonts w:ascii="Times New Roman" w:eastAsia="Times" w:hAnsi="Times New Roman" w:cs="Times New Roman"/>
          <w:b/>
          <w:noProof/>
          <w:sz w:val="24"/>
          <w:szCs w:val="24"/>
          <w:lang w:val="en-IE"/>
        </w:rPr>
        <w:t>register</w:t>
      </w:r>
      <w:r w:rsidRPr="00532C20">
        <w:rPr>
          <w:rFonts w:ascii="Times New Roman" w:eastAsia="Times" w:hAnsi="Times New Roman" w:cs="Times New Roman"/>
          <w:noProof/>
          <w:sz w:val="24"/>
          <w:szCs w:val="24"/>
          <w:lang w:val="en-IE"/>
        </w:rPr>
        <w:t xml:space="preserve"> </w:t>
      </w:r>
      <w:r w:rsidR="53B5CFB8" w:rsidRPr="00532C20">
        <w:rPr>
          <w:rFonts w:ascii="Times New Roman" w:eastAsia="Times" w:hAnsi="Times New Roman" w:cs="Times New Roman"/>
          <w:noProof/>
          <w:sz w:val="24"/>
          <w:szCs w:val="24"/>
          <w:lang w:val="en-IE"/>
        </w:rPr>
        <w:t>in a national re</w:t>
      </w:r>
      <w:r w:rsidR="26C67826" w:rsidRPr="00532C20">
        <w:rPr>
          <w:rFonts w:ascii="Times New Roman" w:eastAsia="Times" w:hAnsi="Times New Roman" w:cs="Times New Roman"/>
          <w:noProof/>
          <w:sz w:val="24"/>
          <w:szCs w:val="24"/>
          <w:lang w:val="en-IE"/>
        </w:rPr>
        <w:t>gist</w:t>
      </w:r>
      <w:r w:rsidR="005E6226" w:rsidRPr="00532C20">
        <w:rPr>
          <w:rFonts w:ascii="Times New Roman" w:eastAsia="Times" w:hAnsi="Times New Roman" w:cs="Times New Roman"/>
          <w:noProof/>
          <w:sz w:val="24"/>
          <w:szCs w:val="24"/>
          <w:lang w:val="en-IE"/>
        </w:rPr>
        <w:t>er</w:t>
      </w:r>
      <w:r w:rsidR="26C67826" w:rsidRPr="00532C20">
        <w:rPr>
          <w:rFonts w:ascii="Times New Roman" w:eastAsia="Times" w:hAnsi="Times New Roman" w:cs="Times New Roman"/>
          <w:noProof/>
          <w:sz w:val="24"/>
          <w:szCs w:val="24"/>
          <w:lang w:val="en-IE"/>
        </w:rPr>
        <w:t xml:space="preserve"> </w:t>
      </w:r>
      <w:r w:rsidR="64A38DAE" w:rsidRPr="00532C20">
        <w:rPr>
          <w:rFonts w:ascii="Times New Roman" w:eastAsia="Times" w:hAnsi="Times New Roman" w:cs="Times New Roman"/>
          <w:noProof/>
          <w:sz w:val="24"/>
          <w:szCs w:val="24"/>
          <w:lang w:val="en-IE"/>
        </w:rPr>
        <w:t xml:space="preserve">and provide </w:t>
      </w:r>
      <w:r w:rsidRPr="00532C20">
        <w:rPr>
          <w:rFonts w:ascii="Times New Roman" w:eastAsia="Times" w:hAnsi="Times New Roman" w:cs="Times New Roman"/>
          <w:noProof/>
          <w:sz w:val="24"/>
          <w:szCs w:val="24"/>
          <w:lang w:val="en-IE"/>
        </w:rPr>
        <w:t>information</w:t>
      </w:r>
      <w:r w:rsidR="00601FBA" w:rsidRPr="00532C20">
        <w:rPr>
          <w:rStyle w:val="FootnoteReference"/>
          <w:rFonts w:ascii="Times New Roman" w:eastAsia="Times" w:hAnsi="Times New Roman" w:cs="Times New Roman"/>
          <w:noProof/>
          <w:sz w:val="24"/>
          <w:szCs w:val="24"/>
          <w:lang w:val="en-IE"/>
        </w:rPr>
        <w:footnoteReference w:id="146"/>
      </w:r>
      <w:r w:rsidRPr="00532C20">
        <w:rPr>
          <w:rFonts w:ascii="Times New Roman" w:eastAsia="Times" w:hAnsi="Times New Roman" w:cs="Times New Roman"/>
          <w:noProof/>
          <w:sz w:val="24"/>
          <w:szCs w:val="24"/>
          <w:lang w:val="en-IE"/>
        </w:rPr>
        <w:t xml:space="preserve"> on the</w:t>
      </w:r>
      <w:r w:rsidR="64A38DAE" w:rsidRPr="00532C20">
        <w:rPr>
          <w:rFonts w:ascii="Times New Roman" w:eastAsia="Times" w:hAnsi="Times New Roman" w:cs="Times New Roman"/>
          <w:noProof/>
          <w:sz w:val="24"/>
          <w:szCs w:val="24"/>
          <w:lang w:val="en-IE"/>
        </w:rPr>
        <w:t xml:space="preserve">mselves, </w:t>
      </w:r>
      <w:r w:rsidRPr="00532C20">
        <w:rPr>
          <w:rFonts w:ascii="Times New Roman" w:eastAsia="Times" w:hAnsi="Times New Roman" w:cs="Times New Roman"/>
          <w:noProof/>
          <w:sz w:val="24"/>
          <w:szCs w:val="24"/>
          <w:lang w:val="en-IE"/>
        </w:rPr>
        <w:t>the activities conduct</w:t>
      </w:r>
      <w:r w:rsidR="5C510647" w:rsidRPr="00532C20">
        <w:rPr>
          <w:rFonts w:ascii="Times New Roman" w:eastAsia="Times" w:hAnsi="Times New Roman" w:cs="Times New Roman"/>
          <w:noProof/>
          <w:sz w:val="24"/>
          <w:szCs w:val="24"/>
          <w:lang w:val="en-IE"/>
        </w:rPr>
        <w:t>ed,</w:t>
      </w:r>
      <w:r w:rsidRPr="00532C20">
        <w:rPr>
          <w:rFonts w:ascii="Times New Roman" w:eastAsia="Times" w:hAnsi="Times New Roman" w:cs="Times New Roman"/>
          <w:noProof/>
          <w:sz w:val="24"/>
          <w:szCs w:val="24"/>
          <w:lang w:val="en-IE"/>
        </w:rPr>
        <w:t xml:space="preserve"> and the</w:t>
      </w:r>
      <w:r w:rsidR="64A38DAE" w:rsidRPr="00532C20">
        <w:rPr>
          <w:rFonts w:ascii="Times New Roman" w:eastAsia="Times" w:hAnsi="Times New Roman" w:cs="Times New Roman"/>
          <w:noProof/>
          <w:sz w:val="24"/>
          <w:szCs w:val="24"/>
          <w:lang w:val="en-IE"/>
        </w:rPr>
        <w:t xml:space="preserve"> </w:t>
      </w:r>
      <w:r w:rsidR="006F28F4" w:rsidRPr="00532C20">
        <w:rPr>
          <w:rFonts w:ascii="Times New Roman" w:eastAsia="Times" w:hAnsi="Times New Roman" w:cs="Times New Roman"/>
          <w:noProof/>
          <w:sz w:val="24"/>
          <w:szCs w:val="24"/>
          <w:lang w:val="en-IE"/>
        </w:rPr>
        <w:t>entities they conduct the activities on behalf of.</w:t>
      </w:r>
      <w:r w:rsidRPr="00532C20">
        <w:rPr>
          <w:rFonts w:ascii="Times New Roman" w:eastAsia="Times" w:hAnsi="Times New Roman" w:cs="Times New Roman"/>
          <w:noProof/>
          <w:sz w:val="24"/>
          <w:szCs w:val="24"/>
          <w:lang w:val="en-IE"/>
        </w:rPr>
        <w:t xml:space="preserve"> </w:t>
      </w:r>
    </w:p>
    <w:p w14:paraId="27297824" w14:textId="77777777" w:rsidR="0007735E" w:rsidRPr="00532C20" w:rsidRDefault="1B8637DB">
      <w:pPr>
        <w:numPr>
          <w:ilvl w:val="3"/>
          <w:numId w:val="8"/>
        </w:numPr>
        <w:spacing w:after="120" w:line="240" w:lineRule="auto"/>
        <w:ind w:left="1069"/>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On the </w:t>
      </w:r>
      <w:r w:rsidRPr="00532C20">
        <w:rPr>
          <w:rFonts w:ascii="Times New Roman" w:eastAsia="Times" w:hAnsi="Times New Roman" w:cs="Times New Roman"/>
          <w:b/>
          <w:noProof/>
          <w:sz w:val="24"/>
          <w:szCs w:val="24"/>
          <w:lang w:val="en-IE"/>
        </w:rPr>
        <w:t>entity</w:t>
      </w:r>
      <w:r w:rsidRPr="00532C20">
        <w:rPr>
          <w:rFonts w:ascii="Times New Roman" w:eastAsia="Times" w:hAnsi="Times New Roman" w:cs="Times New Roman"/>
          <w:noProof/>
          <w:sz w:val="24"/>
          <w:szCs w:val="24"/>
          <w:lang w:val="en-IE"/>
        </w:rPr>
        <w:t>: information</w:t>
      </w:r>
      <w:r w:rsidR="13230160" w:rsidRPr="00532C20">
        <w:rPr>
          <w:rFonts w:ascii="Times New Roman" w:eastAsia="Times" w:hAnsi="Times New Roman" w:cs="Times New Roman"/>
          <w:noProof/>
          <w:sz w:val="24"/>
          <w:szCs w:val="24"/>
          <w:lang w:val="en-IE"/>
        </w:rPr>
        <w:t xml:space="preserve"> could include name, </w:t>
      </w:r>
      <w:r w:rsidR="44256C33" w:rsidRPr="00532C20">
        <w:rPr>
          <w:rFonts w:ascii="Times New Roman" w:eastAsia="Times" w:hAnsi="Times New Roman" w:cs="Times New Roman"/>
          <w:noProof/>
          <w:sz w:val="24"/>
          <w:szCs w:val="24"/>
          <w:lang w:val="en-IE"/>
        </w:rPr>
        <w:t>contact details,</w:t>
      </w:r>
      <w:r w:rsidR="26D39436" w:rsidRPr="00532C20">
        <w:rPr>
          <w:rFonts w:ascii="Times New Roman" w:eastAsia="Times" w:hAnsi="Times New Roman" w:cs="Times New Roman"/>
          <w:noProof/>
          <w:sz w:val="24"/>
          <w:szCs w:val="24"/>
          <w:lang w:val="en-IE"/>
        </w:rPr>
        <w:t xml:space="preserve"> </w:t>
      </w:r>
      <w:r w:rsidR="13230160" w:rsidRPr="00532C20">
        <w:rPr>
          <w:rFonts w:ascii="Times New Roman" w:eastAsia="Times" w:hAnsi="Times New Roman" w:cs="Times New Roman"/>
          <w:noProof/>
          <w:sz w:val="24"/>
          <w:szCs w:val="24"/>
          <w:lang w:val="en-IE"/>
        </w:rPr>
        <w:t xml:space="preserve">category of organisation (e.g. law firm, consultancy, think tank etc.), address of the </w:t>
      </w:r>
      <w:r w:rsidR="5BA0B8D9" w:rsidRPr="00532C20">
        <w:rPr>
          <w:rFonts w:ascii="Times New Roman" w:eastAsia="Times" w:hAnsi="Times New Roman" w:cs="Times New Roman"/>
          <w:noProof/>
          <w:sz w:val="24"/>
          <w:szCs w:val="24"/>
          <w:lang w:val="en-IE"/>
        </w:rPr>
        <w:t xml:space="preserve">place of </w:t>
      </w:r>
      <w:r w:rsidR="1E7DBFB1" w:rsidRPr="00532C20">
        <w:rPr>
          <w:rFonts w:ascii="Times New Roman" w:eastAsia="Times" w:hAnsi="Times New Roman" w:cs="Times New Roman"/>
          <w:noProof/>
          <w:sz w:val="24"/>
          <w:szCs w:val="24"/>
          <w:lang w:val="en-IE"/>
        </w:rPr>
        <w:t xml:space="preserve">establishment, </w:t>
      </w:r>
      <w:r w:rsidR="013AB188" w:rsidRPr="00532C20">
        <w:rPr>
          <w:rFonts w:ascii="Times New Roman" w:eastAsia="Times" w:hAnsi="Times New Roman" w:cs="Times New Roman"/>
          <w:noProof/>
          <w:sz w:val="24"/>
          <w:szCs w:val="24"/>
          <w:lang w:val="en-IE"/>
        </w:rPr>
        <w:t>etc.</w:t>
      </w:r>
    </w:p>
    <w:p w14:paraId="7CF2BA24" w14:textId="3452D9F9" w:rsidR="006F28F4" w:rsidRPr="00532C20" w:rsidRDefault="006F28F4">
      <w:pPr>
        <w:numPr>
          <w:ilvl w:val="3"/>
          <w:numId w:val="8"/>
        </w:numPr>
        <w:spacing w:after="120" w:line="240" w:lineRule="auto"/>
        <w:ind w:left="1069"/>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On the </w:t>
      </w:r>
      <w:r w:rsidRPr="00532C20">
        <w:rPr>
          <w:rFonts w:ascii="Times New Roman" w:eastAsia="Times" w:hAnsi="Times New Roman" w:cs="Times New Roman"/>
          <w:b/>
          <w:bCs/>
          <w:noProof/>
          <w:sz w:val="24"/>
          <w:szCs w:val="24"/>
          <w:lang w:val="en-IE"/>
        </w:rPr>
        <w:t>activity</w:t>
      </w:r>
      <w:r w:rsidRPr="00532C20">
        <w:rPr>
          <w:rFonts w:ascii="Times New Roman" w:eastAsia="Times" w:hAnsi="Times New Roman" w:cs="Times New Roman"/>
          <w:noProof/>
          <w:sz w:val="24"/>
          <w:szCs w:val="24"/>
          <w:lang w:val="en-IE"/>
        </w:rPr>
        <w:t>: information could include the type of activity provided, the Member States in which it will be carried out</w:t>
      </w:r>
      <w:r w:rsidR="00F635D9" w:rsidRPr="00532C20">
        <w:rPr>
          <w:rFonts w:ascii="Times New Roman" w:eastAsia="Times" w:hAnsi="Times New Roman" w:cs="Times New Roman"/>
          <w:noProof/>
          <w:sz w:val="24"/>
          <w:szCs w:val="24"/>
          <w:lang w:val="en-IE"/>
        </w:rPr>
        <w:t xml:space="preserve"> (the </w:t>
      </w:r>
      <w:r w:rsidR="00F635D9" w:rsidRPr="00532C20">
        <w:rPr>
          <w:rFonts w:ascii="Times New Roman" w:eastAsia="Times" w:hAnsi="Times New Roman" w:cs="Times New Roman"/>
          <w:bCs/>
          <w:noProof/>
          <w:sz w:val="24"/>
          <w:szCs w:val="24"/>
          <w:lang w:val="en-IE"/>
        </w:rPr>
        <w:t>Member State of registration should notify the Member State</w:t>
      </w:r>
      <w:r w:rsidR="00F635D9" w:rsidRPr="00532C20">
        <w:rPr>
          <w:rFonts w:ascii="Times New Roman" w:eastAsia="Times" w:hAnsi="Times New Roman" w:cs="Times New Roman"/>
          <w:noProof/>
          <w:sz w:val="24"/>
          <w:szCs w:val="24"/>
          <w:lang w:val="en-IE"/>
        </w:rPr>
        <w:t xml:space="preserve"> where the activity is performed)</w:t>
      </w:r>
      <w:r w:rsidRPr="00532C20">
        <w:rPr>
          <w:rFonts w:ascii="Times New Roman" w:eastAsia="Times" w:hAnsi="Times New Roman" w:cs="Times New Roman"/>
          <w:noProof/>
          <w:sz w:val="24"/>
          <w:szCs w:val="24"/>
          <w:lang w:val="en-IE"/>
        </w:rPr>
        <w:t>, the policy sought to influence, the remuneration received covering all the tasks carried out with the objective of influencing the development, formulation or implementation of the same proposal</w:t>
      </w:r>
      <w:r w:rsidR="00871E65" w:rsidRPr="00532C20">
        <w:rPr>
          <w:rFonts w:ascii="Times New Roman" w:eastAsia="Times" w:hAnsi="Times New Roman" w:cs="Times New Roman"/>
          <w:noProof/>
          <w:sz w:val="24"/>
          <w:szCs w:val="24"/>
          <w:lang w:val="en-IE"/>
        </w:rPr>
        <w:t>,</w:t>
      </w:r>
      <w:r w:rsidRPr="00532C20">
        <w:rPr>
          <w:rFonts w:ascii="Times New Roman" w:eastAsia="Times" w:hAnsi="Times New Roman" w:cs="Times New Roman"/>
          <w:noProof/>
          <w:sz w:val="24"/>
          <w:szCs w:val="24"/>
          <w:lang w:val="en-IE"/>
        </w:rPr>
        <w:t xml:space="preserve"> policy or initiative</w:t>
      </w:r>
      <w:r w:rsidR="002D6A22" w:rsidRPr="00532C20">
        <w:rPr>
          <w:rFonts w:ascii="Times New Roman" w:eastAsia="Times" w:hAnsi="Times New Roman" w:cs="Times New Roman"/>
          <w:noProof/>
          <w:sz w:val="24"/>
          <w:szCs w:val="24"/>
          <w:lang w:val="en-IE"/>
        </w:rPr>
        <w:t>, where relevant</w:t>
      </w:r>
      <w:r w:rsidR="00FE7B86" w:rsidRPr="00532C20">
        <w:rPr>
          <w:rFonts w:ascii="Times New Roman" w:eastAsia="Times" w:hAnsi="Times New Roman" w:cs="Times New Roman"/>
          <w:noProof/>
          <w:sz w:val="24"/>
          <w:szCs w:val="24"/>
          <w:lang w:val="en-IE"/>
        </w:rPr>
        <w:t>,</w:t>
      </w:r>
      <w:r w:rsidR="002D6A22" w:rsidRPr="00532C20">
        <w:rPr>
          <w:rFonts w:ascii="Times New Roman" w:eastAsia="Times" w:hAnsi="Times New Roman" w:cs="Times New Roman"/>
          <w:noProof/>
          <w:sz w:val="24"/>
          <w:szCs w:val="24"/>
          <w:lang w:val="en-IE"/>
        </w:rPr>
        <w:t xml:space="preserve"> </w:t>
      </w:r>
      <w:r w:rsidR="005E322E" w:rsidRPr="00532C20">
        <w:rPr>
          <w:rFonts w:ascii="Times New Roman" w:eastAsia="Times" w:hAnsi="Times New Roman" w:cs="Times New Roman"/>
          <w:noProof/>
          <w:sz w:val="24"/>
          <w:szCs w:val="24"/>
          <w:lang w:val="en-IE"/>
        </w:rPr>
        <w:t xml:space="preserve">the </w:t>
      </w:r>
      <w:r w:rsidR="00C2091E" w:rsidRPr="00532C20">
        <w:rPr>
          <w:rFonts w:ascii="Times New Roman" w:eastAsia="Times" w:hAnsi="Times New Roman" w:cs="Times New Roman"/>
          <w:noProof/>
          <w:sz w:val="24"/>
          <w:szCs w:val="24"/>
          <w:lang w:val="en-IE"/>
        </w:rPr>
        <w:t xml:space="preserve">name of the </w:t>
      </w:r>
      <w:r w:rsidR="00E70089" w:rsidRPr="00532C20">
        <w:rPr>
          <w:rFonts w:ascii="Times New Roman" w:eastAsia="Times" w:hAnsi="Times New Roman" w:cs="Times New Roman"/>
          <w:noProof/>
          <w:sz w:val="24"/>
          <w:szCs w:val="24"/>
          <w:lang w:val="en-IE"/>
        </w:rPr>
        <w:t xml:space="preserve">service provider entrusted with </w:t>
      </w:r>
      <w:r w:rsidR="008B2E59" w:rsidRPr="00532C20">
        <w:rPr>
          <w:rFonts w:ascii="Times New Roman" w:eastAsia="Times" w:hAnsi="Times New Roman" w:cs="Times New Roman"/>
          <w:noProof/>
          <w:sz w:val="24"/>
          <w:szCs w:val="24"/>
          <w:lang w:val="en-IE"/>
        </w:rPr>
        <w:t>t</w:t>
      </w:r>
      <w:r w:rsidR="00E70089" w:rsidRPr="00532C20">
        <w:rPr>
          <w:rFonts w:ascii="Times New Roman" w:eastAsia="Times" w:hAnsi="Times New Roman" w:cs="Times New Roman"/>
          <w:noProof/>
          <w:sz w:val="24"/>
          <w:szCs w:val="24"/>
          <w:lang w:val="en-IE"/>
        </w:rPr>
        <w:t xml:space="preserve">he publication or dissemination of information to the public (such as </w:t>
      </w:r>
      <w:r w:rsidR="00FE7B86" w:rsidRPr="00532C20">
        <w:rPr>
          <w:rFonts w:ascii="Times New Roman" w:eastAsia="Times" w:hAnsi="Times New Roman" w:cs="Times New Roman"/>
          <w:noProof/>
          <w:sz w:val="24"/>
          <w:szCs w:val="24"/>
          <w:lang w:val="en-IE"/>
        </w:rPr>
        <w:t>a newspaper)</w:t>
      </w:r>
      <w:r w:rsidRPr="00532C20">
        <w:rPr>
          <w:rFonts w:ascii="Times New Roman" w:eastAsia="Times" w:hAnsi="Times New Roman" w:cs="Times New Roman"/>
          <w:noProof/>
          <w:sz w:val="24"/>
          <w:szCs w:val="24"/>
          <w:lang w:val="en-IE"/>
        </w:rPr>
        <w:t>.</w:t>
      </w:r>
    </w:p>
    <w:p w14:paraId="06DBF8B5" w14:textId="73200A9B" w:rsidR="006F28F4" w:rsidRPr="00532C20" w:rsidRDefault="006F28F4">
      <w:pPr>
        <w:numPr>
          <w:ilvl w:val="3"/>
          <w:numId w:val="8"/>
        </w:numPr>
        <w:spacing w:after="120" w:line="240" w:lineRule="auto"/>
        <w:ind w:left="1069"/>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On the </w:t>
      </w:r>
      <w:r w:rsidRPr="00532C20">
        <w:rPr>
          <w:rFonts w:ascii="Times New Roman" w:eastAsia="Times" w:hAnsi="Times New Roman" w:cs="Times New Roman"/>
          <w:b/>
          <w:bCs/>
          <w:noProof/>
          <w:sz w:val="24"/>
          <w:szCs w:val="24"/>
          <w:lang w:val="en-IE"/>
        </w:rPr>
        <w:t>entity on whose behalf the activity is carried out</w:t>
      </w:r>
      <w:r w:rsidRPr="00532C20">
        <w:rPr>
          <w:rFonts w:ascii="Times New Roman" w:eastAsia="Times" w:hAnsi="Times New Roman" w:cs="Times New Roman"/>
          <w:noProof/>
          <w:sz w:val="24"/>
          <w:szCs w:val="24"/>
          <w:lang w:val="en-IE"/>
        </w:rPr>
        <w:t>: information could include their name, contact details and the third country on whose behalf the entity is acting.</w:t>
      </w:r>
    </w:p>
    <w:p w14:paraId="3FE0F485" w14:textId="43701CAD" w:rsidR="001043D5" w:rsidRPr="00532C20" w:rsidRDefault="001043D5" w:rsidP="00FE7B86">
      <w:pPr>
        <w:spacing w:after="120" w:line="240" w:lineRule="auto"/>
        <w:ind w:left="382"/>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Upon registration, the entity would </w:t>
      </w:r>
      <w:r w:rsidRPr="00532C20">
        <w:rPr>
          <w:rFonts w:ascii="Times New Roman" w:eastAsia="Times" w:hAnsi="Times New Roman" w:cs="Times New Roman"/>
          <w:b/>
          <w:noProof/>
          <w:sz w:val="24"/>
          <w:szCs w:val="24"/>
          <w:lang w:val="en-IE"/>
        </w:rPr>
        <w:t>receive a registration number</w:t>
      </w:r>
      <w:r w:rsidR="0014001F" w:rsidRPr="00532C20">
        <w:rPr>
          <w:rFonts w:ascii="Times New Roman" w:eastAsia="Times" w:hAnsi="Times New Roman" w:cs="Times New Roman"/>
          <w:noProof/>
          <w:sz w:val="24"/>
          <w:szCs w:val="24"/>
          <w:lang w:val="en-IE"/>
        </w:rPr>
        <w:t xml:space="preserve"> that could be used throughout the internal market</w:t>
      </w:r>
      <w:r w:rsidR="00C10F80" w:rsidRPr="00532C20">
        <w:rPr>
          <w:noProof/>
        </w:rPr>
        <w:t xml:space="preserve">, </w:t>
      </w:r>
      <w:r w:rsidR="00C10F80" w:rsidRPr="00532C20">
        <w:rPr>
          <w:rFonts w:ascii="Times New Roman" w:eastAsia="Times" w:hAnsi="Times New Roman" w:cs="Times New Roman"/>
          <w:noProof/>
          <w:sz w:val="24"/>
          <w:szCs w:val="24"/>
          <w:lang w:val="en-IE"/>
        </w:rPr>
        <w:t>which would serve as a mean to facilitate the identification across the Union of entities registered pursuant to the legislative initiative. The format of such number could be specified in the legislative initiative (e.g. in an Annex), and should include a country code. Existing registration numbers that may be issued by Member States regulating interest representation would still be maintained for those activities falling outside the scope of the legislative initiative. Entities would need to include such national registration numbers as part of their registration</w:t>
      </w:r>
      <w:r w:rsidRPr="00532C20">
        <w:rPr>
          <w:rFonts w:ascii="Times New Roman" w:eastAsia="Times" w:hAnsi="Times New Roman" w:cs="Times New Roman"/>
          <w:noProof/>
          <w:sz w:val="24"/>
          <w:szCs w:val="24"/>
          <w:lang w:val="en-IE"/>
        </w:rPr>
        <w:t>.</w:t>
      </w:r>
    </w:p>
    <w:p w14:paraId="34117812" w14:textId="77777777" w:rsidR="006C2DC9" w:rsidRPr="00532C20" w:rsidRDefault="26D39436" w:rsidP="00FE7B86">
      <w:pPr>
        <w:spacing w:after="120" w:line="240" w:lineRule="auto"/>
        <w:ind w:left="382"/>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Information necessary for the enforcement, such as the name </w:t>
      </w:r>
      <w:r w:rsidR="2EBDDF97" w:rsidRPr="00532C20">
        <w:rPr>
          <w:rFonts w:ascii="Times New Roman" w:eastAsia="Times" w:hAnsi="Times New Roman" w:cs="Times New Roman"/>
          <w:noProof/>
          <w:sz w:val="24"/>
          <w:szCs w:val="24"/>
          <w:lang w:val="en-IE"/>
        </w:rPr>
        <w:t>and address of the entity</w:t>
      </w:r>
      <w:r w:rsidR="0C48E235" w:rsidRPr="00532C20">
        <w:rPr>
          <w:rFonts w:ascii="Times New Roman" w:eastAsia="Times" w:hAnsi="Times New Roman" w:cs="Times New Roman"/>
          <w:noProof/>
          <w:sz w:val="24"/>
          <w:szCs w:val="24"/>
          <w:lang w:val="en-IE"/>
        </w:rPr>
        <w:t>,</w:t>
      </w:r>
      <w:r w:rsidR="7399EA6E" w:rsidRPr="00532C20">
        <w:rPr>
          <w:rFonts w:ascii="Times New Roman" w:eastAsia="Times" w:hAnsi="Times New Roman" w:cs="Times New Roman"/>
          <w:noProof/>
          <w:sz w:val="24"/>
          <w:szCs w:val="24"/>
          <w:lang w:val="en-IE"/>
        </w:rPr>
        <w:t xml:space="preserve"> </w:t>
      </w:r>
      <w:r w:rsidR="55D3D4E5" w:rsidRPr="00532C20">
        <w:rPr>
          <w:rFonts w:ascii="Times New Roman" w:eastAsia="Times" w:hAnsi="Times New Roman" w:cs="Times New Roman"/>
          <w:noProof/>
          <w:sz w:val="24"/>
          <w:szCs w:val="24"/>
          <w:lang w:val="en-IE"/>
        </w:rPr>
        <w:t xml:space="preserve">would need to be </w:t>
      </w:r>
      <w:r w:rsidR="55D3D4E5" w:rsidRPr="00532C20">
        <w:rPr>
          <w:rFonts w:ascii="Times New Roman" w:eastAsia="Times" w:hAnsi="Times New Roman" w:cs="Times New Roman"/>
          <w:b/>
          <w:noProof/>
          <w:sz w:val="24"/>
          <w:szCs w:val="24"/>
          <w:lang w:val="en-IE"/>
        </w:rPr>
        <w:t>updated regularly</w:t>
      </w:r>
      <w:r w:rsidR="55D3D4E5" w:rsidRPr="00532C20">
        <w:rPr>
          <w:rFonts w:ascii="Times New Roman" w:eastAsia="Times" w:hAnsi="Times New Roman" w:cs="Times New Roman"/>
          <w:noProof/>
          <w:sz w:val="24"/>
          <w:szCs w:val="24"/>
          <w:lang w:val="en-IE"/>
        </w:rPr>
        <w:t xml:space="preserve">. Other information </w:t>
      </w:r>
      <w:r w:rsidR="3714787F" w:rsidRPr="00532C20">
        <w:rPr>
          <w:rFonts w:ascii="Times New Roman" w:eastAsia="Times" w:hAnsi="Times New Roman" w:cs="Times New Roman"/>
          <w:noProof/>
          <w:sz w:val="24"/>
          <w:szCs w:val="24"/>
          <w:lang w:val="en-IE"/>
        </w:rPr>
        <w:t xml:space="preserve">would need to be updated at least </w:t>
      </w:r>
      <w:r w:rsidR="3714787F" w:rsidRPr="00532C20">
        <w:rPr>
          <w:rFonts w:ascii="Times New Roman" w:eastAsia="Times" w:hAnsi="Times New Roman" w:cs="Times New Roman"/>
          <w:b/>
          <w:noProof/>
          <w:sz w:val="24"/>
          <w:szCs w:val="24"/>
          <w:lang w:val="en-IE"/>
        </w:rPr>
        <w:t>annually</w:t>
      </w:r>
      <w:r w:rsidR="3714787F" w:rsidRPr="00532C20">
        <w:rPr>
          <w:rFonts w:ascii="Times New Roman" w:eastAsia="Times" w:hAnsi="Times New Roman" w:cs="Times New Roman"/>
          <w:noProof/>
          <w:sz w:val="24"/>
          <w:szCs w:val="24"/>
          <w:lang w:val="en-IE"/>
        </w:rPr>
        <w:t>.</w:t>
      </w:r>
    </w:p>
    <w:p w14:paraId="1D3817A5" w14:textId="40C2E22D" w:rsidR="0058209C" w:rsidRPr="00532C20" w:rsidRDefault="0001342A" w:rsidP="00FE7B86">
      <w:pPr>
        <w:spacing w:after="120" w:line="240" w:lineRule="auto"/>
        <w:ind w:left="382"/>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T</w:t>
      </w:r>
      <w:r w:rsidR="4610233D" w:rsidRPr="00532C20">
        <w:rPr>
          <w:rFonts w:ascii="Times New Roman" w:eastAsia="Times" w:hAnsi="Times New Roman" w:cs="Times New Roman"/>
          <w:noProof/>
          <w:sz w:val="24"/>
          <w:szCs w:val="24"/>
          <w:lang w:val="en-IE"/>
        </w:rPr>
        <w:t xml:space="preserve">he information </w:t>
      </w:r>
      <w:r w:rsidR="3C867AA5" w:rsidRPr="00532C20">
        <w:rPr>
          <w:rFonts w:ascii="Times New Roman" w:eastAsia="Times" w:hAnsi="Times New Roman" w:cs="Times New Roman"/>
          <w:noProof/>
          <w:sz w:val="24"/>
          <w:szCs w:val="24"/>
          <w:lang w:val="en-IE"/>
        </w:rPr>
        <w:t xml:space="preserve">necessary to ensure public accountability would be </w:t>
      </w:r>
      <w:r w:rsidR="3C867AA5" w:rsidRPr="00532C20">
        <w:rPr>
          <w:rFonts w:ascii="Times New Roman" w:eastAsia="Times" w:hAnsi="Times New Roman" w:cs="Times New Roman"/>
          <w:b/>
          <w:noProof/>
          <w:sz w:val="24"/>
          <w:szCs w:val="24"/>
          <w:lang w:val="en-IE"/>
        </w:rPr>
        <w:t>made public</w:t>
      </w:r>
      <w:r w:rsidR="0050121B" w:rsidRPr="00532C20">
        <w:rPr>
          <w:rFonts w:ascii="Times New Roman" w:eastAsia="Times" w:hAnsi="Times New Roman" w:cs="Times New Roman"/>
          <w:noProof/>
          <w:sz w:val="24"/>
          <w:szCs w:val="24"/>
          <w:lang w:val="en-IE"/>
        </w:rPr>
        <w:t xml:space="preserve">. </w:t>
      </w:r>
      <w:r w:rsidR="00446F2A" w:rsidRPr="00532C20">
        <w:rPr>
          <w:rFonts w:ascii="Times New Roman" w:eastAsia="Times" w:hAnsi="Times New Roman" w:cs="Times New Roman"/>
          <w:noProof/>
          <w:sz w:val="24"/>
          <w:szCs w:val="24"/>
          <w:lang w:val="en-IE"/>
        </w:rPr>
        <w:t xml:space="preserve">Information that would not be necessary to ensure public accountability, such as certain type of personal data, would only be </w:t>
      </w:r>
      <w:r w:rsidR="00446F2A" w:rsidRPr="00532C20">
        <w:rPr>
          <w:rFonts w:ascii="Times New Roman" w:eastAsia="Times" w:hAnsi="Times New Roman" w:cs="Times New Roman"/>
          <w:b/>
          <w:noProof/>
          <w:sz w:val="24"/>
          <w:szCs w:val="24"/>
          <w:lang w:val="en-IE"/>
        </w:rPr>
        <w:t xml:space="preserve">accessible to </w:t>
      </w:r>
      <w:r w:rsidR="009E6F0F" w:rsidRPr="00532C20">
        <w:rPr>
          <w:rFonts w:ascii="Times New Roman" w:eastAsia="Times" w:hAnsi="Times New Roman" w:cs="Times New Roman"/>
          <w:b/>
          <w:noProof/>
          <w:sz w:val="24"/>
          <w:szCs w:val="24"/>
          <w:lang w:val="en-IE"/>
        </w:rPr>
        <w:t xml:space="preserve">supervisory </w:t>
      </w:r>
      <w:r w:rsidR="00446F2A" w:rsidRPr="00532C20">
        <w:rPr>
          <w:rFonts w:ascii="Times New Roman" w:eastAsia="Times" w:hAnsi="Times New Roman" w:cs="Times New Roman"/>
          <w:b/>
          <w:noProof/>
          <w:sz w:val="24"/>
          <w:szCs w:val="24"/>
          <w:lang w:val="en-IE"/>
        </w:rPr>
        <w:t>authorities</w:t>
      </w:r>
      <w:r w:rsidR="003747DD" w:rsidRPr="00532C20">
        <w:rPr>
          <w:rFonts w:ascii="Times New Roman" w:eastAsia="Times" w:hAnsi="Times New Roman" w:cs="Times New Roman"/>
          <w:bCs/>
          <w:noProof/>
          <w:sz w:val="24"/>
          <w:szCs w:val="24"/>
          <w:lang w:val="en-IE"/>
        </w:rPr>
        <w:t xml:space="preserve"> to facilitate enforcement</w:t>
      </w:r>
      <w:r w:rsidR="00446F2A" w:rsidRPr="00532C20">
        <w:rPr>
          <w:rFonts w:ascii="Times New Roman" w:eastAsia="Times" w:hAnsi="Times New Roman" w:cs="Times New Roman"/>
          <w:noProof/>
          <w:sz w:val="24"/>
          <w:szCs w:val="24"/>
          <w:lang w:val="en-IE"/>
        </w:rPr>
        <w:t xml:space="preserve">. </w:t>
      </w:r>
    </w:p>
    <w:p w14:paraId="0BEFC4E6" w14:textId="77777777" w:rsidR="006F28F4" w:rsidRPr="00532C20" w:rsidRDefault="006F28F4">
      <w:pPr>
        <w:numPr>
          <w:ilvl w:val="2"/>
          <w:numId w:val="8"/>
        </w:numPr>
        <w:spacing w:after="120" w:line="240" w:lineRule="auto"/>
        <w:ind w:left="360"/>
        <w:jc w:val="both"/>
        <w:rPr>
          <w:rFonts w:ascii="Times New Roman" w:eastAsia="Times" w:hAnsi="Times New Roman" w:cs="Times New Roman"/>
          <w:noProof/>
          <w:sz w:val="24"/>
          <w:szCs w:val="24"/>
          <w:lang w:val="en-IE"/>
        </w:rPr>
      </w:pPr>
      <w:r w:rsidRPr="00532C20">
        <w:rPr>
          <w:rFonts w:ascii="Times New Roman" w:eastAsia="Times" w:hAnsi="Times New Roman" w:cs="Times New Roman"/>
          <w:i/>
          <w:noProof/>
          <w:sz w:val="24"/>
          <w:szCs w:val="24"/>
          <w:u w:val="single"/>
          <w:lang w:val="en-IE"/>
        </w:rPr>
        <w:t>Transparency:</w:t>
      </w:r>
      <w:r w:rsidRPr="00532C20">
        <w:rPr>
          <w:rFonts w:ascii="Times New Roman" w:eastAsia="Times" w:hAnsi="Times New Roman" w:cs="Times New Roman"/>
          <w:noProof/>
          <w:sz w:val="24"/>
          <w:szCs w:val="24"/>
          <w:lang w:val="en-IE"/>
        </w:rPr>
        <w:t xml:space="preserve"> Entities carrying out interest representation as well as their subcontractors would have to </w:t>
      </w:r>
      <w:r w:rsidRPr="00532C20">
        <w:rPr>
          <w:rFonts w:ascii="Times New Roman" w:eastAsia="Times" w:hAnsi="Times New Roman" w:cs="Times New Roman"/>
          <w:b/>
          <w:bCs/>
          <w:noProof/>
          <w:sz w:val="24"/>
          <w:szCs w:val="24"/>
          <w:lang w:val="en-IE"/>
        </w:rPr>
        <w:t>provide their registration number</w:t>
      </w:r>
      <w:r w:rsidRPr="00532C20">
        <w:rPr>
          <w:rFonts w:ascii="Times New Roman" w:eastAsia="Times" w:hAnsi="Times New Roman" w:cs="Times New Roman"/>
          <w:noProof/>
          <w:sz w:val="24"/>
          <w:szCs w:val="24"/>
          <w:lang w:val="en-IE"/>
        </w:rPr>
        <w:t xml:space="preserve"> when in direct contact with public officials.</w:t>
      </w:r>
    </w:p>
    <w:p w14:paraId="086168A0" w14:textId="5A958BFF" w:rsidR="00D024A9" w:rsidRPr="00532C20" w:rsidRDefault="25FF4BBC" w:rsidP="00FE7B86">
      <w:pPr>
        <w:spacing w:after="120" w:line="240" w:lineRule="auto"/>
        <w:ind w:left="360"/>
        <w:jc w:val="both"/>
        <w:rPr>
          <w:rFonts w:ascii="Times New Roman" w:eastAsia="Times" w:hAnsi="Times New Roman" w:cs="Times New Roman"/>
          <w:noProof/>
          <w:sz w:val="24"/>
          <w:szCs w:val="24"/>
          <w:lang w:val="en-IE"/>
        </w:rPr>
      </w:pPr>
      <w:r w:rsidRPr="00532C20">
        <w:rPr>
          <w:rFonts w:ascii="Times New Roman" w:eastAsia="Times" w:hAnsi="Times New Roman" w:cs="Times New Roman"/>
          <w:b/>
          <w:noProof/>
          <w:sz w:val="24"/>
          <w:szCs w:val="24"/>
          <w:lang w:val="en-IE"/>
        </w:rPr>
        <w:t>Member State</w:t>
      </w:r>
      <w:r w:rsidR="00C7067B">
        <w:rPr>
          <w:rFonts w:ascii="Times New Roman" w:eastAsia="Times" w:hAnsi="Times New Roman" w:cs="Times New Roman"/>
          <w:b/>
          <w:noProof/>
          <w:sz w:val="24"/>
          <w:szCs w:val="24"/>
          <w:lang w:val="en-IE"/>
        </w:rPr>
        <w:t>s</w:t>
      </w:r>
      <w:r w:rsidRPr="00532C20">
        <w:rPr>
          <w:rFonts w:ascii="Times New Roman" w:eastAsia="Times" w:hAnsi="Times New Roman" w:cs="Times New Roman"/>
          <w:b/>
          <w:noProof/>
          <w:sz w:val="24"/>
          <w:szCs w:val="24"/>
          <w:lang w:val="en-IE"/>
        </w:rPr>
        <w:t xml:space="preserve"> </w:t>
      </w:r>
      <w:r w:rsidRPr="00532C20">
        <w:rPr>
          <w:rFonts w:ascii="Times New Roman" w:eastAsia="Times" w:hAnsi="Times New Roman" w:cs="Times New Roman"/>
          <w:noProof/>
          <w:sz w:val="24"/>
          <w:szCs w:val="24"/>
          <w:lang w:val="en-IE"/>
        </w:rPr>
        <w:t xml:space="preserve">would be required to ensure that </w:t>
      </w:r>
      <w:r w:rsidRPr="00532C20">
        <w:rPr>
          <w:rFonts w:ascii="Times New Roman" w:eastAsia="Times" w:hAnsi="Times New Roman" w:cs="Times New Roman"/>
          <w:b/>
          <w:noProof/>
          <w:sz w:val="24"/>
          <w:szCs w:val="24"/>
          <w:lang w:val="en-IE"/>
        </w:rPr>
        <w:t xml:space="preserve">publicly available national </w:t>
      </w:r>
      <w:r w:rsidR="4A748D72" w:rsidRPr="00532C20">
        <w:rPr>
          <w:rFonts w:ascii="Times New Roman" w:eastAsia="Times" w:hAnsi="Times New Roman" w:cs="Times New Roman"/>
          <w:b/>
          <w:noProof/>
          <w:sz w:val="24"/>
          <w:szCs w:val="24"/>
          <w:lang w:val="en-IE"/>
        </w:rPr>
        <w:t>regist</w:t>
      </w:r>
      <w:r w:rsidR="007B04EC" w:rsidRPr="00532C20">
        <w:rPr>
          <w:rFonts w:ascii="Times New Roman" w:eastAsia="Times" w:hAnsi="Times New Roman" w:cs="Times New Roman"/>
          <w:b/>
          <w:noProof/>
          <w:sz w:val="24"/>
          <w:szCs w:val="24"/>
          <w:lang w:val="en-IE"/>
        </w:rPr>
        <w:t>ers</w:t>
      </w:r>
      <w:r w:rsidR="4A748D72" w:rsidRPr="00532C20">
        <w:rPr>
          <w:rFonts w:ascii="Times New Roman" w:eastAsia="Times" w:hAnsi="Times New Roman" w:cs="Times New Roman"/>
          <w:noProof/>
          <w:sz w:val="24"/>
          <w:szCs w:val="24"/>
          <w:lang w:val="en-IE"/>
        </w:rPr>
        <w:t xml:space="preserve"> </w:t>
      </w:r>
      <w:r w:rsidRPr="00532C20">
        <w:rPr>
          <w:rFonts w:ascii="Times New Roman" w:eastAsia="Times" w:hAnsi="Times New Roman" w:cs="Times New Roman"/>
          <w:noProof/>
          <w:sz w:val="24"/>
          <w:szCs w:val="24"/>
          <w:lang w:val="en-IE"/>
        </w:rPr>
        <w:t xml:space="preserve">are in place and that they cover the information and reporting requirements included in the intervention. </w:t>
      </w:r>
      <w:r w:rsidR="34BE5392" w:rsidRPr="00532C20">
        <w:rPr>
          <w:rFonts w:ascii="Times New Roman" w:eastAsia="Times" w:hAnsi="Times New Roman" w:cs="Times New Roman"/>
          <w:noProof/>
          <w:sz w:val="24"/>
          <w:szCs w:val="24"/>
          <w:lang w:val="en-IE"/>
        </w:rPr>
        <w:t xml:space="preserve">They would need to </w:t>
      </w:r>
      <w:r w:rsidR="34BE5392" w:rsidRPr="00532C20">
        <w:rPr>
          <w:rFonts w:ascii="Times New Roman" w:eastAsia="Times" w:hAnsi="Times New Roman" w:cs="Times New Roman"/>
          <w:b/>
          <w:noProof/>
          <w:sz w:val="24"/>
          <w:szCs w:val="24"/>
          <w:lang w:val="en-IE"/>
        </w:rPr>
        <w:t>designate or set up supervisory authorities</w:t>
      </w:r>
      <w:r w:rsidR="34BE5392" w:rsidRPr="00532C20">
        <w:rPr>
          <w:rFonts w:ascii="Times New Roman" w:eastAsia="Times" w:hAnsi="Times New Roman" w:cs="Times New Roman"/>
          <w:noProof/>
          <w:sz w:val="24"/>
          <w:szCs w:val="24"/>
          <w:lang w:val="en-IE"/>
        </w:rPr>
        <w:t xml:space="preserve"> ensuring proper implementation</w:t>
      </w:r>
      <w:r w:rsidR="006F28F4" w:rsidRPr="00532C20">
        <w:rPr>
          <w:rFonts w:ascii="Times New Roman" w:eastAsia="Times" w:hAnsi="Times New Roman" w:cs="Times New Roman"/>
          <w:noProof/>
          <w:sz w:val="24"/>
          <w:szCs w:val="24"/>
          <w:lang w:val="en-IE"/>
        </w:rPr>
        <w:t>.</w:t>
      </w:r>
      <w:r w:rsidR="2EBDDF97" w:rsidRPr="00532C20">
        <w:rPr>
          <w:rFonts w:ascii="Times New Roman" w:eastAsia="Times" w:hAnsi="Times New Roman" w:cs="Times New Roman"/>
          <w:noProof/>
          <w:sz w:val="24"/>
          <w:szCs w:val="24"/>
          <w:lang w:val="en-IE"/>
        </w:rPr>
        <w:t xml:space="preserve"> </w:t>
      </w:r>
      <w:r w:rsidRPr="00532C20">
        <w:rPr>
          <w:rFonts w:ascii="Times New Roman" w:eastAsia="Times" w:hAnsi="Times New Roman" w:cs="Times New Roman"/>
          <w:noProof/>
          <w:sz w:val="24"/>
          <w:szCs w:val="24"/>
          <w:lang w:val="en-IE"/>
        </w:rPr>
        <w:t xml:space="preserve">Member State authorities could also be required to participate in the </w:t>
      </w:r>
      <w:r w:rsidRPr="00532C20">
        <w:rPr>
          <w:rFonts w:ascii="Times New Roman" w:eastAsia="Times" w:hAnsi="Times New Roman" w:cs="Times New Roman"/>
          <w:b/>
          <w:noProof/>
          <w:sz w:val="24"/>
          <w:szCs w:val="24"/>
          <w:lang w:val="en-IE"/>
        </w:rPr>
        <w:t>established governance and information sharing structures</w:t>
      </w:r>
      <w:r w:rsidRPr="00532C20">
        <w:rPr>
          <w:rFonts w:ascii="Times New Roman" w:eastAsia="Times" w:hAnsi="Times New Roman" w:cs="Times New Roman"/>
          <w:noProof/>
          <w:sz w:val="24"/>
          <w:szCs w:val="24"/>
          <w:lang w:val="en-IE"/>
        </w:rPr>
        <w:t>.</w:t>
      </w:r>
      <w:r w:rsidR="4421EED3" w:rsidRPr="00532C20">
        <w:rPr>
          <w:rFonts w:ascii="Times New Roman" w:eastAsia="Times" w:hAnsi="Times New Roman" w:cs="Times New Roman"/>
          <w:noProof/>
          <w:sz w:val="24"/>
          <w:szCs w:val="24"/>
          <w:lang w:val="en-IE"/>
        </w:rPr>
        <w:t xml:space="preserve"> </w:t>
      </w:r>
      <w:r w:rsidR="6B51D81B" w:rsidRPr="00532C20">
        <w:rPr>
          <w:rFonts w:ascii="Times New Roman" w:eastAsia="Times" w:hAnsi="Times New Roman" w:cs="Times New Roman"/>
          <w:noProof/>
          <w:sz w:val="24"/>
          <w:szCs w:val="24"/>
          <w:lang w:val="en-IE"/>
        </w:rPr>
        <w:t xml:space="preserve">Where available, Member States should be able to make use of existing transparency registers. Depending on their organisation, they should be able to </w:t>
      </w:r>
      <w:r w:rsidR="04A74F04" w:rsidRPr="00532C20">
        <w:rPr>
          <w:rFonts w:ascii="Times New Roman" w:eastAsia="Times" w:hAnsi="Times New Roman" w:cs="Times New Roman"/>
          <w:noProof/>
          <w:sz w:val="24"/>
          <w:szCs w:val="24"/>
          <w:lang w:val="en-IE"/>
        </w:rPr>
        <w:t xml:space="preserve">establish one or multiple </w:t>
      </w:r>
      <w:r w:rsidR="2D6475A8" w:rsidRPr="00532C20">
        <w:rPr>
          <w:rFonts w:ascii="Times New Roman" w:eastAsia="Times" w:hAnsi="Times New Roman" w:cs="Times New Roman"/>
          <w:noProof/>
          <w:sz w:val="24"/>
          <w:szCs w:val="24"/>
          <w:lang w:val="en-IE"/>
        </w:rPr>
        <w:t>registers</w:t>
      </w:r>
      <w:r w:rsidR="43B16995" w:rsidRPr="00532C20">
        <w:rPr>
          <w:rFonts w:ascii="Times New Roman" w:eastAsia="Times" w:hAnsi="Times New Roman" w:cs="Times New Roman"/>
          <w:noProof/>
          <w:sz w:val="24"/>
          <w:szCs w:val="24"/>
          <w:lang w:val="en-IE"/>
        </w:rPr>
        <w:t>.</w:t>
      </w:r>
    </w:p>
    <w:p w14:paraId="1BF77707" w14:textId="6980EE5C" w:rsidR="00F60B37" w:rsidRPr="00532C20" w:rsidRDefault="00F60B37" w:rsidP="00FE7B86">
      <w:pPr>
        <w:spacing w:after="120" w:line="240" w:lineRule="auto"/>
        <w:ind w:left="360"/>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To </w:t>
      </w:r>
      <w:r w:rsidR="00A372E3" w:rsidRPr="00532C20">
        <w:rPr>
          <w:rFonts w:ascii="Times New Roman" w:eastAsia="Times" w:hAnsi="Times New Roman" w:cs="Times New Roman"/>
          <w:noProof/>
          <w:sz w:val="24"/>
          <w:szCs w:val="24"/>
          <w:lang w:val="en-IE"/>
        </w:rPr>
        <w:t xml:space="preserve">facilitate coordination and access to the registers, where an entity </w:t>
      </w:r>
      <w:r w:rsidR="00CE574A" w:rsidRPr="00532C20">
        <w:rPr>
          <w:rFonts w:ascii="Times New Roman" w:eastAsia="Times" w:hAnsi="Times New Roman" w:cs="Times New Roman"/>
          <w:noProof/>
          <w:sz w:val="24"/>
          <w:szCs w:val="24"/>
          <w:lang w:val="en-IE"/>
        </w:rPr>
        <w:t xml:space="preserve">carries out activity in a Member State other than that of registration, </w:t>
      </w:r>
      <w:r w:rsidR="00A372E3" w:rsidRPr="00532C20">
        <w:rPr>
          <w:rFonts w:ascii="Times New Roman" w:eastAsia="Times" w:hAnsi="Times New Roman" w:cs="Times New Roman"/>
          <w:noProof/>
          <w:sz w:val="24"/>
          <w:szCs w:val="24"/>
          <w:lang w:val="en-IE"/>
        </w:rPr>
        <w:t xml:space="preserve">the </w:t>
      </w:r>
      <w:r w:rsidR="00A372E3" w:rsidRPr="00532C20">
        <w:rPr>
          <w:rFonts w:ascii="Times New Roman" w:eastAsia="Times" w:hAnsi="Times New Roman" w:cs="Times New Roman"/>
          <w:b/>
          <w:noProof/>
          <w:sz w:val="24"/>
          <w:szCs w:val="24"/>
          <w:lang w:val="en-IE"/>
        </w:rPr>
        <w:t xml:space="preserve">Member State of registration should </w:t>
      </w:r>
      <w:r w:rsidR="004608D0" w:rsidRPr="00532C20">
        <w:rPr>
          <w:rFonts w:ascii="Times New Roman" w:eastAsia="Times" w:hAnsi="Times New Roman" w:cs="Times New Roman"/>
          <w:b/>
          <w:noProof/>
          <w:sz w:val="24"/>
          <w:szCs w:val="24"/>
          <w:lang w:val="en-IE"/>
        </w:rPr>
        <w:t>notify</w:t>
      </w:r>
      <w:r w:rsidR="00A372E3" w:rsidRPr="00532C20">
        <w:rPr>
          <w:rFonts w:ascii="Times New Roman" w:eastAsia="Times" w:hAnsi="Times New Roman" w:cs="Times New Roman"/>
          <w:b/>
          <w:noProof/>
          <w:sz w:val="24"/>
          <w:szCs w:val="24"/>
          <w:lang w:val="en-IE"/>
        </w:rPr>
        <w:t xml:space="preserve"> the Member</w:t>
      </w:r>
      <w:r w:rsidR="001F47FC" w:rsidRPr="00532C20">
        <w:rPr>
          <w:rFonts w:ascii="Times New Roman" w:eastAsia="Times" w:hAnsi="Times New Roman" w:cs="Times New Roman"/>
          <w:b/>
          <w:noProof/>
          <w:sz w:val="24"/>
          <w:szCs w:val="24"/>
          <w:lang w:val="en-IE"/>
        </w:rPr>
        <w:t xml:space="preserve"> State</w:t>
      </w:r>
      <w:r w:rsidR="00A372E3" w:rsidRPr="00532C20">
        <w:rPr>
          <w:rFonts w:ascii="Times New Roman" w:eastAsia="Times" w:hAnsi="Times New Roman" w:cs="Times New Roman"/>
          <w:noProof/>
          <w:sz w:val="24"/>
          <w:szCs w:val="24"/>
          <w:lang w:val="en-IE"/>
        </w:rPr>
        <w:t xml:space="preserve"> </w:t>
      </w:r>
      <w:r w:rsidR="00CE574A" w:rsidRPr="00532C20">
        <w:rPr>
          <w:rFonts w:ascii="Times New Roman" w:eastAsia="Times" w:hAnsi="Times New Roman" w:cs="Times New Roman"/>
          <w:noProof/>
          <w:sz w:val="24"/>
          <w:szCs w:val="24"/>
          <w:lang w:val="en-IE"/>
        </w:rPr>
        <w:t xml:space="preserve">where the activity </w:t>
      </w:r>
      <w:r w:rsidR="00FC0274" w:rsidRPr="00532C20">
        <w:rPr>
          <w:rFonts w:ascii="Times New Roman" w:eastAsia="Times" w:hAnsi="Times New Roman" w:cs="Times New Roman"/>
          <w:noProof/>
          <w:sz w:val="24"/>
          <w:szCs w:val="24"/>
          <w:lang w:val="en-IE"/>
        </w:rPr>
        <w:t xml:space="preserve">is performed </w:t>
      </w:r>
      <w:r w:rsidR="004608D0" w:rsidRPr="00532C20">
        <w:rPr>
          <w:rFonts w:ascii="Times New Roman" w:eastAsia="Times" w:hAnsi="Times New Roman" w:cs="Times New Roman"/>
          <w:noProof/>
          <w:sz w:val="24"/>
          <w:szCs w:val="24"/>
          <w:lang w:val="en-IE"/>
        </w:rPr>
        <w:t>of the name</w:t>
      </w:r>
      <w:r w:rsidR="002764D6" w:rsidRPr="00532C20">
        <w:rPr>
          <w:rFonts w:ascii="Times New Roman" w:eastAsia="Times" w:hAnsi="Times New Roman" w:cs="Times New Roman"/>
          <w:noProof/>
          <w:sz w:val="24"/>
          <w:szCs w:val="24"/>
          <w:lang w:val="en-IE"/>
        </w:rPr>
        <w:t xml:space="preserve"> of the concerned entity</w:t>
      </w:r>
      <w:r w:rsidR="004608D0" w:rsidRPr="00532C20">
        <w:rPr>
          <w:rFonts w:ascii="Times New Roman" w:eastAsia="Times" w:hAnsi="Times New Roman" w:cs="Times New Roman"/>
          <w:noProof/>
          <w:sz w:val="24"/>
          <w:szCs w:val="24"/>
          <w:lang w:val="en-IE"/>
        </w:rPr>
        <w:t xml:space="preserve">, </w:t>
      </w:r>
      <w:r w:rsidR="002764D6" w:rsidRPr="00532C20">
        <w:rPr>
          <w:rFonts w:ascii="Times New Roman" w:eastAsia="Times" w:hAnsi="Times New Roman" w:cs="Times New Roman"/>
          <w:noProof/>
          <w:sz w:val="24"/>
          <w:szCs w:val="24"/>
          <w:lang w:val="en-IE"/>
        </w:rPr>
        <w:t xml:space="preserve">its </w:t>
      </w:r>
      <w:r w:rsidR="004608D0" w:rsidRPr="00532C20">
        <w:rPr>
          <w:rFonts w:ascii="Times New Roman" w:eastAsia="Times" w:hAnsi="Times New Roman" w:cs="Times New Roman"/>
          <w:noProof/>
          <w:sz w:val="24"/>
          <w:szCs w:val="24"/>
          <w:lang w:val="en-IE"/>
        </w:rPr>
        <w:t xml:space="preserve">registration number and </w:t>
      </w:r>
      <w:r w:rsidR="002764D6" w:rsidRPr="00532C20">
        <w:rPr>
          <w:rFonts w:ascii="Times New Roman" w:eastAsia="Times" w:hAnsi="Times New Roman" w:cs="Times New Roman"/>
          <w:noProof/>
          <w:sz w:val="24"/>
          <w:szCs w:val="24"/>
          <w:lang w:val="en-IE"/>
        </w:rPr>
        <w:t xml:space="preserve">the </w:t>
      </w:r>
      <w:r w:rsidR="004608D0" w:rsidRPr="00532C20">
        <w:rPr>
          <w:rFonts w:ascii="Times New Roman" w:eastAsia="Times" w:hAnsi="Times New Roman" w:cs="Times New Roman"/>
          <w:noProof/>
          <w:sz w:val="24"/>
          <w:szCs w:val="24"/>
          <w:lang w:val="en-IE"/>
        </w:rPr>
        <w:t xml:space="preserve">link </w:t>
      </w:r>
      <w:r w:rsidR="00AE5763" w:rsidRPr="00532C20">
        <w:rPr>
          <w:rFonts w:ascii="Times New Roman" w:eastAsia="Times" w:hAnsi="Times New Roman" w:cs="Times New Roman"/>
          <w:noProof/>
          <w:sz w:val="24"/>
          <w:szCs w:val="24"/>
          <w:lang w:val="en-IE"/>
        </w:rPr>
        <w:t>to the national registers where the registration took place</w:t>
      </w:r>
      <w:r w:rsidR="003F3B3B" w:rsidRPr="00532C20">
        <w:rPr>
          <w:rFonts w:ascii="Times New Roman" w:eastAsia="Times" w:hAnsi="Times New Roman" w:cs="Times New Roman"/>
          <w:noProof/>
          <w:sz w:val="24"/>
          <w:szCs w:val="24"/>
          <w:lang w:val="en-IE"/>
        </w:rPr>
        <w:t>. That Member State should include</w:t>
      </w:r>
      <w:r w:rsidR="00FD74A6" w:rsidRPr="00532C20">
        <w:rPr>
          <w:rFonts w:ascii="Times New Roman" w:eastAsia="Times" w:hAnsi="Times New Roman" w:cs="Times New Roman"/>
          <w:noProof/>
          <w:sz w:val="24"/>
          <w:szCs w:val="24"/>
          <w:lang w:val="en-IE"/>
        </w:rPr>
        <w:t xml:space="preserve"> in</w:t>
      </w:r>
      <w:r w:rsidR="003F3B3B" w:rsidRPr="00532C20">
        <w:rPr>
          <w:rFonts w:ascii="Times New Roman" w:eastAsia="Times" w:hAnsi="Times New Roman" w:cs="Times New Roman"/>
          <w:noProof/>
          <w:sz w:val="24"/>
          <w:szCs w:val="24"/>
          <w:lang w:val="en-IE"/>
        </w:rPr>
        <w:t xml:space="preserve"> its own </w:t>
      </w:r>
      <w:r w:rsidR="003D330F" w:rsidRPr="00532C20">
        <w:rPr>
          <w:rFonts w:ascii="Times New Roman" w:eastAsia="Times" w:hAnsi="Times New Roman" w:cs="Times New Roman"/>
          <w:noProof/>
          <w:sz w:val="24"/>
          <w:szCs w:val="24"/>
          <w:lang w:val="en-IE"/>
        </w:rPr>
        <w:t xml:space="preserve">register the </w:t>
      </w:r>
      <w:r w:rsidRPr="00532C20">
        <w:rPr>
          <w:rFonts w:ascii="Times New Roman" w:eastAsia="Times" w:hAnsi="Times New Roman" w:cs="Times New Roman"/>
          <w:noProof/>
          <w:sz w:val="24"/>
          <w:szCs w:val="24"/>
          <w:lang w:val="en-IE"/>
        </w:rPr>
        <w:t xml:space="preserve">information laid down in that notification. </w:t>
      </w:r>
    </w:p>
    <w:p w14:paraId="08E36D19" w14:textId="77777777" w:rsidR="00086937" w:rsidRPr="00086937" w:rsidRDefault="00BA2FDA" w:rsidP="00313F32">
      <w:pPr>
        <w:pStyle w:val="ListParagraph"/>
        <w:numPr>
          <w:ilvl w:val="2"/>
          <w:numId w:val="8"/>
        </w:numPr>
        <w:spacing w:after="120"/>
        <w:ind w:left="357" w:hanging="357"/>
        <w:jc w:val="both"/>
        <w:rPr>
          <w:rFonts w:ascii="Times New Roman" w:hAnsi="Times New Roman" w:cs="Times New Roman"/>
          <w:noProof/>
          <w:lang w:val="en-IE"/>
        </w:rPr>
      </w:pPr>
      <w:r w:rsidRPr="005C00B4">
        <w:rPr>
          <w:rFonts w:ascii="Times New Roman" w:hAnsi="Times New Roman" w:cs="Times New Roman"/>
          <w:i/>
          <w:noProof/>
          <w:u w:val="single"/>
          <w:lang w:val="en-IE"/>
        </w:rPr>
        <w:t>Reporting:</w:t>
      </w:r>
      <w:r w:rsidRPr="005C00B4">
        <w:rPr>
          <w:rFonts w:ascii="Times New Roman" w:hAnsi="Times New Roman" w:cs="Times New Roman"/>
          <w:noProof/>
          <w:lang w:val="en-IE"/>
        </w:rPr>
        <w:t xml:space="preserve"> In order to </w:t>
      </w:r>
      <w:r w:rsidR="00AA1288" w:rsidRPr="005C00B4">
        <w:rPr>
          <w:rFonts w:ascii="Times New Roman" w:hAnsi="Times New Roman" w:cs="Times New Roman"/>
          <w:noProof/>
          <w:lang w:val="en-IE"/>
        </w:rPr>
        <w:t xml:space="preserve">increase transparency and accountability of the magnitude, trends and actors of interest representation activities carried out on behalf of third countries, Member States </w:t>
      </w:r>
      <w:r w:rsidRPr="005C00B4">
        <w:rPr>
          <w:rFonts w:ascii="Times New Roman" w:hAnsi="Times New Roman" w:cs="Times New Roman"/>
          <w:noProof/>
          <w:lang w:val="en-IE"/>
        </w:rPr>
        <w:t xml:space="preserve">would need to </w:t>
      </w:r>
      <w:r w:rsidRPr="005C00B4">
        <w:rPr>
          <w:rFonts w:ascii="Times New Roman" w:hAnsi="Times New Roman" w:cs="Times New Roman"/>
          <w:b/>
          <w:noProof/>
          <w:lang w:val="en-IE"/>
        </w:rPr>
        <w:t>publish an annual report</w:t>
      </w:r>
      <w:r w:rsidRPr="005C00B4">
        <w:rPr>
          <w:rFonts w:ascii="Times New Roman" w:hAnsi="Times New Roman" w:cs="Times New Roman"/>
          <w:noProof/>
          <w:lang w:val="en-IE"/>
        </w:rPr>
        <w:t xml:space="preserve"> based on the data entered in the register</w:t>
      </w:r>
      <w:r w:rsidRPr="00532C20">
        <w:rPr>
          <w:rStyle w:val="FootnoteReference"/>
          <w:rFonts w:ascii="Times New Roman" w:hAnsi="Times New Roman" w:cs="Times New Roman"/>
          <w:noProof/>
          <w:lang w:val="en-IE"/>
        </w:rPr>
        <w:footnoteReference w:id="147"/>
      </w:r>
      <w:r w:rsidR="00AA1288" w:rsidRPr="005C00B4">
        <w:rPr>
          <w:rFonts w:ascii="Times New Roman" w:hAnsi="Times New Roman" w:cs="Times New Roman"/>
          <w:noProof/>
          <w:lang w:val="en-IE"/>
        </w:rPr>
        <w:t>.</w:t>
      </w:r>
      <w:r w:rsidR="00662860" w:rsidRPr="005C00B4">
        <w:rPr>
          <w:rFonts w:ascii="Times New Roman" w:hAnsi="Times New Roman" w:cs="Times New Roman"/>
          <w:noProof/>
          <w:lang w:val="en-IE"/>
        </w:rPr>
        <w:t xml:space="preserve"> Thi</w:t>
      </w:r>
      <w:r w:rsidR="00662860" w:rsidRPr="005C00B4">
        <w:rPr>
          <w:rFonts w:ascii="Times New Roman" w:eastAsia="Calibri" w:hAnsi="Times New Roman" w:cs="Times New Roman"/>
          <w:noProof/>
          <w:lang w:val="en-IE"/>
        </w:rPr>
        <w:t>s annual report could include aggregated data on the annual amounts per third country</w:t>
      </w:r>
      <w:r w:rsidR="00914076" w:rsidRPr="005C00B4">
        <w:rPr>
          <w:rFonts w:ascii="Times New Roman" w:eastAsia="Calibri" w:hAnsi="Times New Roman" w:cs="Times New Roman"/>
          <w:noProof/>
          <w:lang w:val="en-IE"/>
        </w:rPr>
        <w:t xml:space="preserve"> and</w:t>
      </w:r>
      <w:r w:rsidR="00662860" w:rsidRPr="005C00B4">
        <w:rPr>
          <w:rFonts w:ascii="Times New Roman" w:eastAsia="Calibri" w:hAnsi="Times New Roman" w:cs="Times New Roman"/>
          <w:noProof/>
          <w:lang w:val="en-IE"/>
        </w:rPr>
        <w:t xml:space="preserve"> per category of organisation for each third country in the preceding financial year.</w:t>
      </w:r>
      <w:r w:rsidR="00662860" w:rsidRPr="005C00B4">
        <w:rPr>
          <w:rFonts w:ascii="Times New Roman" w:eastAsia="Calibri" w:hAnsi="Times New Roman" w:cs="Times New Roman"/>
          <w:noProof/>
        </w:rPr>
        <w:t xml:space="preserve"> </w:t>
      </w:r>
    </w:p>
    <w:p w14:paraId="3C00BB1C" w14:textId="59400A99" w:rsidR="001E0E3A" w:rsidRPr="00E11FB2" w:rsidRDefault="001E0E3A" w:rsidP="00E11FB2">
      <w:pPr>
        <w:spacing w:after="120"/>
        <w:ind w:left="-76"/>
        <w:jc w:val="both"/>
        <w:rPr>
          <w:rFonts w:ascii="Times New Roman" w:hAnsi="Times New Roman" w:cs="Times New Roman"/>
          <w:noProof/>
          <w:lang w:val="en-IE"/>
        </w:rPr>
      </w:pPr>
      <w:r w:rsidRPr="00E11FB2">
        <w:rPr>
          <w:rFonts w:ascii="Times New Roman" w:hAnsi="Times New Roman" w:cs="Times New Roman"/>
          <w:b/>
          <w:noProof/>
          <w:u w:val="single"/>
          <w:lang w:val="en-IE"/>
        </w:rPr>
        <w:t>A risk</w:t>
      </w:r>
      <w:r w:rsidR="00DB10B0" w:rsidRPr="00E11FB2">
        <w:rPr>
          <w:rFonts w:ascii="Times New Roman" w:hAnsi="Times New Roman" w:cs="Times New Roman"/>
          <w:b/>
          <w:noProof/>
          <w:u w:val="single"/>
          <w:lang w:val="en-IE"/>
        </w:rPr>
        <w:t>-</w:t>
      </w:r>
      <w:r w:rsidRPr="00E11FB2">
        <w:rPr>
          <w:rFonts w:ascii="Times New Roman" w:hAnsi="Times New Roman" w:cs="Times New Roman"/>
          <w:b/>
          <w:noProof/>
          <w:u w:val="single"/>
          <w:lang w:val="en-IE"/>
        </w:rPr>
        <w:t>based approach</w:t>
      </w:r>
      <w:r w:rsidRPr="00E11FB2">
        <w:rPr>
          <w:rFonts w:ascii="Times New Roman" w:hAnsi="Times New Roman" w:cs="Times New Roman"/>
          <w:noProof/>
          <w:lang w:val="en-IE"/>
        </w:rPr>
        <w:t xml:space="preserve">: To enable Member States to monitor interest representation activities that are particularly likely to have a significant influence on public life and public debate, </w:t>
      </w:r>
      <w:r w:rsidRPr="00E11FB2">
        <w:rPr>
          <w:rFonts w:ascii="Times New Roman" w:hAnsi="Times New Roman" w:cs="Times New Roman"/>
          <w:b/>
          <w:bCs/>
          <w:noProof/>
          <w:lang w:val="en-IE"/>
        </w:rPr>
        <w:t>supervisory authority should be able to request the records kept</w:t>
      </w:r>
      <w:r w:rsidRPr="00E11FB2">
        <w:rPr>
          <w:rFonts w:ascii="Times New Roman" w:hAnsi="Times New Roman" w:cs="Times New Roman"/>
          <w:noProof/>
          <w:lang w:val="en-IE"/>
        </w:rPr>
        <w:t xml:space="preserve"> by entities carrying out interest representation activities on behalf of third countries</w:t>
      </w:r>
      <w:r w:rsidRPr="00E11FB2" w:rsidDel="00D8498C">
        <w:rPr>
          <w:rFonts w:ascii="Times New Roman" w:hAnsi="Times New Roman" w:cs="Times New Roman"/>
          <w:noProof/>
          <w:lang w:val="en-IE"/>
        </w:rPr>
        <w:t xml:space="preserve"> </w:t>
      </w:r>
      <w:r w:rsidR="00B013D2" w:rsidRPr="00E11FB2">
        <w:rPr>
          <w:rFonts w:ascii="Times New Roman" w:hAnsi="Times New Roman" w:cs="Times New Roman"/>
          <w:noProof/>
          <w:lang w:val="en-IE"/>
        </w:rPr>
        <w:t>if:</w:t>
      </w:r>
      <w:r w:rsidRPr="00E11FB2" w:rsidDel="00D8498C">
        <w:rPr>
          <w:rFonts w:ascii="Times New Roman" w:hAnsi="Times New Roman" w:cs="Times New Roman"/>
          <w:noProof/>
          <w:lang w:val="en-IE"/>
        </w:rPr>
        <w:t xml:space="preserve"> </w:t>
      </w:r>
      <w:r w:rsidRPr="00E11FB2">
        <w:rPr>
          <w:rFonts w:ascii="Times New Roman" w:hAnsi="Times New Roman" w:cs="Times New Roman"/>
          <w:noProof/>
          <w:lang w:val="en-IE"/>
        </w:rPr>
        <w:t xml:space="preserve">(i) these entities </w:t>
      </w:r>
      <w:r w:rsidRPr="00E11FB2">
        <w:rPr>
          <w:rFonts w:ascii="Times New Roman" w:hAnsi="Times New Roman" w:cs="Times New Roman"/>
          <w:b/>
          <w:bCs/>
          <w:noProof/>
          <w:lang w:val="en-IE"/>
        </w:rPr>
        <w:t xml:space="preserve">receive </w:t>
      </w:r>
      <w:r w:rsidR="007171B8" w:rsidRPr="00E11FB2">
        <w:rPr>
          <w:rFonts w:ascii="Times New Roman" w:hAnsi="Times New Roman" w:cs="Times New Roman"/>
          <w:b/>
          <w:bCs/>
          <w:noProof/>
          <w:lang w:val="en-IE"/>
        </w:rPr>
        <w:t>more than EUR 1 000 000</w:t>
      </w:r>
      <w:r w:rsidRPr="00E11FB2">
        <w:rPr>
          <w:rFonts w:ascii="Times New Roman" w:hAnsi="Times New Roman" w:cs="Times New Roman"/>
          <w:noProof/>
          <w:lang w:val="en-IE"/>
        </w:rPr>
        <w:t xml:space="preserve"> </w:t>
      </w:r>
      <w:r w:rsidRPr="00E11FB2">
        <w:rPr>
          <w:rFonts w:ascii="Times New Roman" w:hAnsi="Times New Roman" w:cs="Times New Roman"/>
          <w:b/>
          <w:noProof/>
          <w:lang w:val="en-IE"/>
        </w:rPr>
        <w:t xml:space="preserve">from a </w:t>
      </w:r>
      <w:r w:rsidR="007171B8" w:rsidRPr="00E11FB2">
        <w:rPr>
          <w:rFonts w:ascii="Times New Roman" w:hAnsi="Times New Roman" w:cs="Times New Roman"/>
          <w:b/>
          <w:bCs/>
          <w:noProof/>
          <w:lang w:val="en-IE"/>
        </w:rPr>
        <w:t>single</w:t>
      </w:r>
      <w:r w:rsidRPr="00E11FB2">
        <w:rPr>
          <w:rFonts w:ascii="Times New Roman" w:hAnsi="Times New Roman" w:cs="Times New Roman"/>
          <w:b/>
          <w:bCs/>
          <w:noProof/>
          <w:lang w:val="en-IE"/>
        </w:rPr>
        <w:t xml:space="preserve"> </w:t>
      </w:r>
      <w:r w:rsidRPr="00E11FB2">
        <w:rPr>
          <w:rFonts w:ascii="Times New Roman" w:hAnsi="Times New Roman" w:cs="Times New Roman"/>
          <w:b/>
          <w:noProof/>
          <w:lang w:val="en-IE"/>
        </w:rPr>
        <w:t>third country entity</w:t>
      </w:r>
      <w:r w:rsidRPr="00E11FB2">
        <w:rPr>
          <w:rFonts w:ascii="Times New Roman" w:hAnsi="Times New Roman" w:cs="Times New Roman"/>
          <w:noProof/>
          <w:lang w:val="en-IE"/>
        </w:rPr>
        <w:t xml:space="preserve"> </w:t>
      </w:r>
      <w:r w:rsidR="007171B8" w:rsidRPr="00E11FB2">
        <w:rPr>
          <w:rFonts w:ascii="Times New Roman" w:hAnsi="Times New Roman" w:cs="Times New Roman"/>
          <w:noProof/>
          <w:lang w:val="en-IE"/>
        </w:rPr>
        <w:t>in the preceding financial year</w:t>
      </w:r>
      <w:r w:rsidRPr="00E11FB2">
        <w:rPr>
          <w:rFonts w:ascii="Times New Roman" w:hAnsi="Times New Roman" w:cs="Times New Roman"/>
          <w:noProof/>
          <w:lang w:val="en-IE"/>
        </w:rPr>
        <w:t xml:space="preserve"> or (ii) when they carry out interest representation activities for a third country entity whose action can be </w:t>
      </w:r>
      <w:r w:rsidRPr="00E11FB2">
        <w:rPr>
          <w:rFonts w:ascii="Times New Roman" w:hAnsi="Times New Roman" w:cs="Times New Roman"/>
          <w:b/>
          <w:bCs/>
          <w:noProof/>
          <w:lang w:val="en-IE"/>
        </w:rPr>
        <w:t xml:space="preserve">attributed to a third country that has spent a </w:t>
      </w:r>
      <w:r w:rsidR="00CE130E" w:rsidRPr="00E11FB2">
        <w:rPr>
          <w:rFonts w:ascii="Times New Roman" w:hAnsi="Times New Roman" w:cs="Times New Roman"/>
          <w:b/>
          <w:bCs/>
          <w:noProof/>
          <w:lang w:val="en-IE"/>
        </w:rPr>
        <w:t>EUR 1 500 000</w:t>
      </w:r>
      <w:r w:rsidRPr="00E11FB2">
        <w:rPr>
          <w:rFonts w:ascii="Times New Roman" w:hAnsi="Times New Roman" w:cs="Times New Roman"/>
          <w:b/>
          <w:bCs/>
          <w:noProof/>
          <w:lang w:val="en-IE"/>
        </w:rPr>
        <w:t xml:space="preserve"> </w:t>
      </w:r>
      <w:r w:rsidRPr="00E11FB2">
        <w:rPr>
          <w:rFonts w:ascii="Times New Roman" w:hAnsi="Times New Roman" w:cs="Times New Roman"/>
          <w:b/>
          <w:noProof/>
          <w:lang w:val="en-IE"/>
        </w:rPr>
        <w:t xml:space="preserve">on interest representation in a Member State or </w:t>
      </w:r>
      <w:r w:rsidR="00CE130E" w:rsidRPr="00E11FB2">
        <w:rPr>
          <w:rFonts w:ascii="Times New Roman" w:hAnsi="Times New Roman" w:cs="Times New Roman"/>
          <w:b/>
          <w:bCs/>
          <w:noProof/>
          <w:lang w:val="en-IE"/>
        </w:rPr>
        <w:t>EUR 8</w:t>
      </w:r>
      <w:r w:rsidR="006D5DDC" w:rsidRPr="00E11FB2">
        <w:rPr>
          <w:rFonts w:ascii="Times New Roman" w:hAnsi="Times New Roman" w:cs="Times New Roman"/>
          <w:b/>
          <w:bCs/>
          <w:noProof/>
          <w:lang w:val="en-IE"/>
        </w:rPr>
        <w:t xml:space="preserve"> 500 000 in </w:t>
      </w:r>
      <w:r w:rsidRPr="00E11FB2">
        <w:rPr>
          <w:rFonts w:ascii="Times New Roman" w:hAnsi="Times New Roman" w:cs="Times New Roman"/>
          <w:b/>
          <w:noProof/>
          <w:lang w:val="en-IE"/>
        </w:rPr>
        <w:t>the EU as a whole</w:t>
      </w:r>
      <w:r w:rsidR="006D5DDC" w:rsidRPr="00E11FB2">
        <w:rPr>
          <w:rFonts w:ascii="Times New Roman" w:hAnsi="Times New Roman" w:cs="Times New Roman"/>
          <w:noProof/>
          <w:lang w:val="en-IE"/>
        </w:rPr>
        <w:t xml:space="preserve"> in one of the last 5 years</w:t>
      </w:r>
      <w:r w:rsidRPr="00E11FB2">
        <w:rPr>
          <w:rFonts w:ascii="Times New Roman" w:hAnsi="Times New Roman" w:cs="Times New Roman"/>
          <w:noProof/>
          <w:lang w:val="en-IE"/>
        </w:rPr>
        <w:t>.</w:t>
      </w:r>
      <w:r w:rsidR="0078326E" w:rsidRPr="00E11FB2">
        <w:rPr>
          <w:rFonts w:ascii="Times New Roman" w:hAnsi="Times New Roman" w:cs="Times New Roman"/>
          <w:noProof/>
          <w:lang w:val="en-IE"/>
        </w:rPr>
        <w:t xml:space="preserve"> </w:t>
      </w:r>
      <w:r w:rsidR="00612466" w:rsidRPr="00E11FB2">
        <w:rPr>
          <w:rFonts w:ascii="Times New Roman" w:hAnsi="Times New Roman" w:cs="Times New Roman"/>
          <w:noProof/>
          <w:lang w:val="en-IE"/>
        </w:rPr>
        <w:t>Entities that receive, in the preceding financial year, an aggregate remuneration of less than EUR 25 000</w:t>
      </w:r>
      <w:r w:rsidR="00612466" w:rsidRPr="00532C20">
        <w:rPr>
          <w:rStyle w:val="FootnoteReference"/>
          <w:rFonts w:ascii="Times New Roman" w:hAnsi="Times New Roman" w:cs="Times New Roman"/>
          <w:noProof/>
          <w:lang w:val="en-IE"/>
        </w:rPr>
        <w:footnoteReference w:id="148"/>
      </w:r>
      <w:r w:rsidR="00612466" w:rsidRPr="00E11FB2">
        <w:rPr>
          <w:rFonts w:ascii="Times New Roman" w:hAnsi="Times New Roman" w:cs="Times New Roman"/>
          <w:noProof/>
          <w:lang w:val="en-IE"/>
        </w:rPr>
        <w:t xml:space="preserve"> would not be covered</w:t>
      </w:r>
      <w:r w:rsidR="007D7869" w:rsidRPr="00E11FB2">
        <w:rPr>
          <w:rFonts w:ascii="Times New Roman" w:hAnsi="Times New Roman" w:cs="Times New Roman"/>
          <w:noProof/>
          <w:lang w:val="en-IE"/>
        </w:rPr>
        <w:t xml:space="preserve"> by this risk</w:t>
      </w:r>
      <w:r w:rsidR="002618EF" w:rsidRPr="00E11FB2">
        <w:rPr>
          <w:rFonts w:ascii="Times New Roman" w:hAnsi="Times New Roman" w:cs="Times New Roman"/>
          <w:noProof/>
          <w:lang w:val="en-IE"/>
        </w:rPr>
        <w:t>-</w:t>
      </w:r>
      <w:r w:rsidR="007D7869" w:rsidRPr="00E11FB2">
        <w:rPr>
          <w:rFonts w:ascii="Times New Roman" w:hAnsi="Times New Roman" w:cs="Times New Roman"/>
          <w:noProof/>
          <w:lang w:val="en-IE"/>
        </w:rPr>
        <w:t>based approach</w:t>
      </w:r>
      <w:r w:rsidR="00612466" w:rsidRPr="00E11FB2">
        <w:rPr>
          <w:rFonts w:ascii="Times New Roman" w:hAnsi="Times New Roman" w:cs="Times New Roman"/>
          <w:noProof/>
          <w:lang w:val="en-IE"/>
        </w:rPr>
        <w:t>.</w:t>
      </w:r>
    </w:p>
    <w:p w14:paraId="3DBA24C9" w14:textId="082E9544" w:rsidR="004E5E12" w:rsidRPr="00532C20" w:rsidRDefault="004E5E12" w:rsidP="004E5E12">
      <w:pPr>
        <w:pBdr>
          <w:top w:val="nil"/>
          <w:left w:val="nil"/>
          <w:bottom w:val="nil"/>
          <w:right w:val="nil"/>
          <w:between w:val="nil"/>
          <w:bar w:val="nil"/>
        </w:pBdr>
        <w:spacing w:after="120" w:line="240" w:lineRule="auto"/>
        <w:jc w:val="both"/>
        <w:rPr>
          <w:rFonts w:ascii="Times New Roman" w:eastAsia="Arial Unicode MS" w:hAnsi="Times New Roman" w:cs="Times New Roman"/>
          <w:noProof/>
          <w:sz w:val="24"/>
          <w:szCs w:val="24"/>
          <w:lang w:val="en-IE"/>
        </w:rPr>
      </w:pPr>
      <w:r w:rsidRPr="00532C20">
        <w:rPr>
          <w:rFonts w:ascii="Times New Roman" w:eastAsia="Arial Unicode MS" w:hAnsi="Times New Roman" w:cs="Times New Roman"/>
          <w:noProof/>
          <w:sz w:val="24"/>
          <w:szCs w:val="24"/>
          <w:lang w:val="en-IE"/>
        </w:rPr>
        <w:t>The reasoning behind the establishment of the different threshold levels is detailed in Annex 7. I</w:t>
      </w:r>
      <w:r w:rsidR="00565C03" w:rsidRPr="00532C20">
        <w:rPr>
          <w:rFonts w:ascii="Times New Roman" w:eastAsia="Arial Unicode MS" w:hAnsi="Times New Roman" w:cs="Times New Roman"/>
          <w:noProof/>
          <w:sz w:val="24"/>
          <w:szCs w:val="24"/>
          <w:lang w:val="en-IE"/>
        </w:rPr>
        <w:t>t</w:t>
      </w:r>
      <w:r w:rsidRPr="00532C20">
        <w:rPr>
          <w:rFonts w:ascii="Times New Roman" w:eastAsia="Arial Unicode MS" w:hAnsi="Times New Roman" w:cs="Times New Roman"/>
          <w:noProof/>
          <w:sz w:val="24"/>
          <w:szCs w:val="24"/>
          <w:lang w:val="en-IE"/>
        </w:rPr>
        <w:t xml:space="preserve"> can be summarised as follows:</w:t>
      </w:r>
    </w:p>
    <w:p w14:paraId="29221002" w14:textId="49EECA71" w:rsidR="004E5E12" w:rsidRPr="00532C20" w:rsidRDefault="004E5E12" w:rsidP="004E5E12">
      <w:pPr>
        <w:numPr>
          <w:ilvl w:val="1"/>
          <w:numId w:val="94"/>
        </w:numPr>
        <w:pBdr>
          <w:top w:val="nil"/>
          <w:left w:val="nil"/>
          <w:bottom w:val="nil"/>
          <w:right w:val="nil"/>
          <w:between w:val="nil"/>
          <w:bar w:val="nil"/>
        </w:pBdr>
        <w:spacing w:after="240" w:line="240" w:lineRule="auto"/>
        <w:ind w:left="426"/>
        <w:contextualSpacing/>
        <w:jc w:val="both"/>
        <w:rPr>
          <w:rFonts w:ascii="Times New Roman" w:eastAsia="Arial Unicode MS" w:hAnsi="Times New Roman" w:cs="Times New Roman"/>
          <w:noProof/>
          <w:sz w:val="24"/>
          <w:szCs w:val="24"/>
          <w:lang w:val="en-IE"/>
        </w:rPr>
      </w:pPr>
      <w:r w:rsidRPr="00532C20">
        <w:rPr>
          <w:rFonts w:ascii="Times New Roman" w:eastAsia="Arial Unicode MS" w:hAnsi="Times New Roman" w:cs="Times New Roman"/>
          <w:noProof/>
          <w:sz w:val="24"/>
          <w:szCs w:val="24"/>
          <w:lang w:val="en-IE"/>
        </w:rPr>
        <w:t>The EUR 1 000 000 and EUR 25 000 (</w:t>
      </w:r>
      <w:r w:rsidRPr="00532C20">
        <w:rPr>
          <w:rFonts w:ascii="Times New Roman" w:eastAsia="Arial Unicode MS" w:hAnsi="Times New Roman" w:cs="Times New Roman"/>
          <w:i/>
          <w:noProof/>
          <w:sz w:val="24"/>
          <w:szCs w:val="24"/>
          <w:lang w:val="en-IE"/>
        </w:rPr>
        <w:t>de minimis</w:t>
      </w:r>
      <w:r w:rsidRPr="00532C20">
        <w:rPr>
          <w:rFonts w:ascii="Times New Roman" w:eastAsia="Arial Unicode MS" w:hAnsi="Times New Roman" w:cs="Times New Roman"/>
          <w:noProof/>
          <w:sz w:val="24"/>
          <w:szCs w:val="24"/>
          <w:lang w:val="en-IE"/>
        </w:rPr>
        <w:t xml:space="preserve">) thresholds come from </w:t>
      </w:r>
      <w:r w:rsidR="0085193E" w:rsidRPr="00532C20">
        <w:rPr>
          <w:rFonts w:ascii="Times New Roman" w:eastAsia="Arial Unicode MS" w:hAnsi="Times New Roman" w:cs="Times New Roman"/>
          <w:noProof/>
          <w:sz w:val="24"/>
          <w:szCs w:val="24"/>
          <w:lang w:val="en-IE"/>
        </w:rPr>
        <w:t xml:space="preserve">an analysis of </w:t>
      </w:r>
      <w:r w:rsidRPr="00532C20">
        <w:rPr>
          <w:rFonts w:ascii="Times New Roman" w:eastAsia="Arial Unicode MS" w:hAnsi="Times New Roman" w:cs="Times New Roman"/>
          <w:noProof/>
          <w:sz w:val="24"/>
          <w:szCs w:val="24"/>
          <w:lang w:val="en-IE"/>
        </w:rPr>
        <w:t xml:space="preserve">data of the EU Transparency Register. They respectively would create a possibility for additional scrutiny over the 2.5% largest </w:t>
      </w:r>
      <w:r w:rsidR="0085193E" w:rsidRPr="00532C20">
        <w:rPr>
          <w:rFonts w:ascii="Times New Roman" w:eastAsia="Arial Unicode MS" w:hAnsi="Times New Roman" w:cs="Times New Roman"/>
          <w:noProof/>
          <w:sz w:val="24"/>
          <w:szCs w:val="24"/>
          <w:lang w:val="en-IE"/>
        </w:rPr>
        <w:t xml:space="preserve">relevant </w:t>
      </w:r>
      <w:r w:rsidRPr="00532C20">
        <w:rPr>
          <w:rFonts w:ascii="Times New Roman" w:eastAsia="Arial Unicode MS" w:hAnsi="Times New Roman" w:cs="Times New Roman"/>
          <w:noProof/>
          <w:sz w:val="24"/>
          <w:szCs w:val="24"/>
          <w:lang w:val="en-IE"/>
        </w:rPr>
        <w:t xml:space="preserve">entities, while excluding the 36% smallest </w:t>
      </w:r>
      <w:r w:rsidR="0085193E" w:rsidRPr="00532C20">
        <w:rPr>
          <w:rFonts w:ascii="Times New Roman" w:eastAsia="Arial Unicode MS" w:hAnsi="Times New Roman" w:cs="Times New Roman"/>
          <w:noProof/>
          <w:sz w:val="24"/>
          <w:szCs w:val="24"/>
          <w:lang w:val="en-IE"/>
        </w:rPr>
        <w:t>relevant</w:t>
      </w:r>
      <w:r w:rsidRPr="00532C20">
        <w:rPr>
          <w:rFonts w:ascii="Times New Roman" w:eastAsia="Arial Unicode MS" w:hAnsi="Times New Roman" w:cs="Times New Roman"/>
          <w:noProof/>
          <w:sz w:val="24"/>
          <w:szCs w:val="24"/>
          <w:lang w:val="en-IE"/>
        </w:rPr>
        <w:t xml:space="preserve"> entities from the scope of the information requests requirements.</w:t>
      </w:r>
    </w:p>
    <w:p w14:paraId="1ACCE02A" w14:textId="519EFB31" w:rsidR="004E5E12" w:rsidRPr="00532C20" w:rsidRDefault="004E5E12" w:rsidP="004E5E12">
      <w:pPr>
        <w:numPr>
          <w:ilvl w:val="1"/>
          <w:numId w:val="94"/>
        </w:numPr>
        <w:pBdr>
          <w:top w:val="nil"/>
          <w:left w:val="nil"/>
          <w:bottom w:val="nil"/>
          <w:right w:val="nil"/>
          <w:between w:val="nil"/>
          <w:bar w:val="nil"/>
        </w:pBdr>
        <w:spacing w:after="120" w:line="240" w:lineRule="auto"/>
        <w:ind w:left="426"/>
        <w:jc w:val="both"/>
        <w:rPr>
          <w:rFonts w:ascii="Times New Roman" w:eastAsia="Arial Unicode MS" w:hAnsi="Times New Roman" w:cs="Times New Roman"/>
          <w:noProof/>
          <w:sz w:val="24"/>
          <w:szCs w:val="24"/>
          <w:lang w:val="en-IE"/>
        </w:rPr>
      </w:pPr>
      <w:r w:rsidRPr="00532C20">
        <w:rPr>
          <w:rFonts w:ascii="Times New Roman" w:eastAsia="Arial Unicode MS" w:hAnsi="Times New Roman" w:cs="Times New Roman"/>
          <w:noProof/>
          <w:sz w:val="24"/>
          <w:szCs w:val="24"/>
          <w:lang w:val="en-IE"/>
        </w:rPr>
        <w:t>The EUR 8 500 000</w:t>
      </w:r>
      <w:r w:rsidRPr="00532C20">
        <w:rPr>
          <w:rFonts w:ascii="Times New Roman" w:eastAsia="Arial Unicode MS" w:hAnsi="Times New Roman" w:cs="Times New Roman"/>
          <w:noProof/>
          <w:sz w:val="24"/>
          <w:szCs w:val="24"/>
          <w:vertAlign w:val="superscript"/>
          <w:lang w:val="en-IE"/>
        </w:rPr>
        <w:footnoteReference w:id="149"/>
      </w:r>
      <w:r w:rsidRPr="00532C20">
        <w:rPr>
          <w:rFonts w:ascii="Times New Roman" w:eastAsia="Arial Unicode MS" w:hAnsi="Times New Roman" w:cs="Times New Roman"/>
          <w:noProof/>
          <w:sz w:val="24"/>
          <w:szCs w:val="24"/>
          <w:lang w:val="en-IE"/>
        </w:rPr>
        <w:t xml:space="preserve"> and EUR 1 500 000</w:t>
      </w:r>
      <w:r w:rsidRPr="00532C20">
        <w:rPr>
          <w:rFonts w:ascii="Times New Roman" w:eastAsia="Arial Unicode MS" w:hAnsi="Times New Roman" w:cs="Times New Roman"/>
          <w:noProof/>
          <w:sz w:val="24"/>
          <w:szCs w:val="24"/>
          <w:vertAlign w:val="superscript"/>
          <w:lang w:val="en-IE"/>
        </w:rPr>
        <w:footnoteReference w:id="150"/>
      </w:r>
      <w:r w:rsidRPr="00532C20">
        <w:rPr>
          <w:rFonts w:ascii="Times New Roman" w:eastAsia="Arial Unicode MS" w:hAnsi="Times New Roman" w:cs="Times New Roman"/>
          <w:noProof/>
          <w:sz w:val="24"/>
          <w:szCs w:val="24"/>
          <w:lang w:val="en-IE"/>
        </w:rPr>
        <w:t xml:space="preserve"> thresholds were obtained by extrapolating data from the closest existing benchmark available, the US FARA, adapted to account for the specificities of the </w:t>
      </w:r>
      <w:r w:rsidR="005E6BD2">
        <w:rPr>
          <w:rFonts w:ascii="Times New Roman" w:eastAsia="Arial Unicode MS" w:hAnsi="Times New Roman" w:cs="Times New Roman"/>
          <w:noProof/>
          <w:sz w:val="24"/>
          <w:szCs w:val="24"/>
          <w:lang w:val="en-IE"/>
        </w:rPr>
        <w:t>internal</w:t>
      </w:r>
      <w:r w:rsidRPr="00532C20">
        <w:rPr>
          <w:rFonts w:ascii="Times New Roman" w:eastAsia="Arial Unicode MS" w:hAnsi="Times New Roman" w:cs="Times New Roman"/>
          <w:noProof/>
          <w:sz w:val="24"/>
          <w:szCs w:val="24"/>
          <w:lang w:val="en-IE"/>
        </w:rPr>
        <w:t xml:space="preserve"> market. </w:t>
      </w:r>
    </w:p>
    <w:p w14:paraId="1D6464D9" w14:textId="191E093C" w:rsidR="006F28F4" w:rsidRPr="00532C20" w:rsidRDefault="006F28F4" w:rsidP="00582553">
      <w:pPr>
        <w:pStyle w:val="Bullet0"/>
        <w:numPr>
          <w:ilvl w:val="0"/>
          <w:numId w:val="0"/>
        </w:numPr>
        <w:rPr>
          <w:noProof/>
          <w:szCs w:val="24"/>
        </w:rPr>
      </w:pPr>
      <w:r w:rsidRPr="00532C20">
        <w:rPr>
          <w:rFonts w:eastAsia="Times"/>
          <w:b/>
          <w:noProof/>
          <w:szCs w:val="24"/>
          <w:u w:val="single"/>
          <w:lang w:val="en-IE"/>
        </w:rPr>
        <w:t>Governance, supervision and sanctions</w:t>
      </w:r>
      <w:r w:rsidRPr="00532C20">
        <w:rPr>
          <w:rFonts w:eastAsia="Times"/>
          <w:noProof/>
          <w:szCs w:val="24"/>
          <w:lang w:val="en-IE"/>
        </w:rPr>
        <w:t xml:space="preserve">: At national level, Member States would be required to </w:t>
      </w:r>
      <w:r w:rsidRPr="00532C20">
        <w:rPr>
          <w:rFonts w:eastAsia="Times"/>
          <w:b/>
          <w:noProof/>
          <w:szCs w:val="24"/>
          <w:lang w:val="en-IE"/>
        </w:rPr>
        <w:t xml:space="preserve">establish </w:t>
      </w:r>
      <w:r w:rsidR="009A411C" w:rsidRPr="00532C20">
        <w:rPr>
          <w:rFonts w:eastAsia="Times"/>
          <w:b/>
          <w:bCs/>
          <w:noProof/>
          <w:szCs w:val="24"/>
          <w:lang w:val="en-IE"/>
        </w:rPr>
        <w:t>or designate</w:t>
      </w:r>
      <w:r w:rsidRPr="00532C20">
        <w:rPr>
          <w:rFonts w:eastAsia="Times"/>
          <w:b/>
          <w:bCs/>
          <w:noProof/>
          <w:szCs w:val="24"/>
          <w:lang w:val="en-IE"/>
        </w:rPr>
        <w:t xml:space="preserve"> </w:t>
      </w:r>
      <w:r w:rsidR="00797A76" w:rsidRPr="00532C20">
        <w:rPr>
          <w:rFonts w:eastAsia="Times"/>
          <w:b/>
          <w:noProof/>
          <w:szCs w:val="24"/>
          <w:lang w:val="en-IE"/>
        </w:rPr>
        <w:t>one or more authorities responsible for national registers an</w:t>
      </w:r>
      <w:r w:rsidR="00752C6C" w:rsidRPr="00532C20">
        <w:rPr>
          <w:rFonts w:eastAsia="Times"/>
          <w:b/>
          <w:noProof/>
          <w:szCs w:val="24"/>
          <w:lang w:val="en-IE"/>
        </w:rPr>
        <w:t>d</w:t>
      </w:r>
      <w:r w:rsidR="00797A76" w:rsidRPr="00532C20">
        <w:rPr>
          <w:rFonts w:eastAsia="Times"/>
          <w:b/>
          <w:noProof/>
          <w:szCs w:val="24"/>
          <w:lang w:val="en-IE"/>
        </w:rPr>
        <w:t xml:space="preserve"> one or more </w:t>
      </w:r>
      <w:r w:rsidR="00F1388C" w:rsidRPr="00532C20">
        <w:rPr>
          <w:rFonts w:eastAsia="Times"/>
          <w:b/>
          <w:noProof/>
          <w:szCs w:val="24"/>
          <w:lang w:val="en-IE"/>
        </w:rPr>
        <w:t xml:space="preserve">independent </w:t>
      </w:r>
      <w:r w:rsidRPr="00532C20">
        <w:rPr>
          <w:rFonts w:eastAsia="Times"/>
          <w:b/>
          <w:noProof/>
          <w:szCs w:val="24"/>
          <w:lang w:val="en-IE"/>
        </w:rPr>
        <w:t>supervisory authorities</w:t>
      </w:r>
      <w:r w:rsidR="00F1388C" w:rsidRPr="00532C20">
        <w:rPr>
          <w:rStyle w:val="FootnoteReference"/>
          <w:rFonts w:eastAsia="Times"/>
          <w:b/>
          <w:noProof/>
          <w:szCs w:val="24"/>
          <w:lang w:val="en-IE"/>
        </w:rPr>
        <w:footnoteReference w:id="151"/>
      </w:r>
      <w:r w:rsidRPr="00532C20">
        <w:rPr>
          <w:rFonts w:eastAsia="Times"/>
          <w:b/>
          <w:noProof/>
          <w:szCs w:val="24"/>
          <w:lang w:val="en-IE"/>
        </w:rPr>
        <w:t xml:space="preserve"> responsible for the supervision and enforcement</w:t>
      </w:r>
      <w:r w:rsidRPr="00532C20">
        <w:rPr>
          <w:rFonts w:eastAsia="Times"/>
          <w:noProof/>
          <w:szCs w:val="24"/>
          <w:lang w:val="en-IE"/>
        </w:rPr>
        <w:t xml:space="preserve"> of the </w:t>
      </w:r>
      <w:r w:rsidR="00FF5588">
        <w:rPr>
          <w:rFonts w:eastAsia="Times"/>
          <w:noProof/>
          <w:szCs w:val="24"/>
          <w:lang w:val="en-IE"/>
        </w:rPr>
        <w:t>D</w:t>
      </w:r>
      <w:r w:rsidRPr="00532C20">
        <w:rPr>
          <w:rFonts w:eastAsia="Times"/>
          <w:noProof/>
          <w:szCs w:val="24"/>
          <w:lang w:val="en-IE"/>
        </w:rPr>
        <w:t xml:space="preserve">irective. </w:t>
      </w:r>
      <w:r w:rsidR="00E941AA" w:rsidRPr="00532C20">
        <w:rPr>
          <w:noProof/>
          <w:szCs w:val="24"/>
          <w:lang w:val="en-IE"/>
        </w:rPr>
        <w:t>They could also designate the same authority for both tasks</w:t>
      </w:r>
      <w:r w:rsidR="009A411C" w:rsidRPr="00532C20">
        <w:rPr>
          <w:noProof/>
          <w:szCs w:val="24"/>
          <w:lang w:val="en-IE"/>
        </w:rPr>
        <w:t xml:space="preserve"> and they could rely on existing authorities, as long as the requirements of the initiative are complied with</w:t>
      </w:r>
      <w:r w:rsidR="00E941AA" w:rsidRPr="00532C20">
        <w:rPr>
          <w:noProof/>
          <w:szCs w:val="24"/>
          <w:lang w:val="en-IE"/>
        </w:rPr>
        <w:t xml:space="preserve">. </w:t>
      </w:r>
      <w:r w:rsidRPr="00532C20">
        <w:rPr>
          <w:rFonts w:eastAsia="Times"/>
          <w:noProof/>
          <w:szCs w:val="24"/>
          <w:lang w:val="en-IE"/>
        </w:rPr>
        <w:t>The policy option would also include appropriate monitoring and enforcement mechanisms</w:t>
      </w:r>
      <w:r w:rsidR="00126241" w:rsidRPr="00532C20">
        <w:rPr>
          <w:rFonts w:eastAsia="Times"/>
          <w:noProof/>
          <w:szCs w:val="24"/>
          <w:lang w:val="en-IE"/>
        </w:rPr>
        <w:t xml:space="preserve">, for </w:t>
      </w:r>
      <w:r w:rsidR="00CC1A91" w:rsidRPr="00532C20">
        <w:rPr>
          <w:rFonts w:eastAsia="Times"/>
          <w:noProof/>
          <w:szCs w:val="24"/>
          <w:lang w:val="en-IE"/>
        </w:rPr>
        <w:t xml:space="preserve">instance where a </w:t>
      </w:r>
      <w:r w:rsidR="006542D4" w:rsidRPr="00532C20">
        <w:rPr>
          <w:rFonts w:eastAsia="Times"/>
          <w:noProof/>
          <w:szCs w:val="24"/>
          <w:lang w:val="en-IE"/>
        </w:rPr>
        <w:t>supervisory</w:t>
      </w:r>
      <w:r w:rsidR="00CC1A91" w:rsidRPr="00532C20">
        <w:rPr>
          <w:rFonts w:eastAsia="Times"/>
          <w:noProof/>
          <w:szCs w:val="24"/>
          <w:lang w:val="en-IE"/>
        </w:rPr>
        <w:t xml:space="preserve"> authority has reliable information of possible non-compliance by an entity i</w:t>
      </w:r>
      <w:r w:rsidR="006542D4" w:rsidRPr="00532C20">
        <w:rPr>
          <w:rFonts w:eastAsia="Times"/>
          <w:noProof/>
          <w:szCs w:val="24"/>
          <w:lang w:val="en-IE"/>
        </w:rPr>
        <w:t>t may ask that entity to provide the records kept necessary to investigate the possible non-compliance.</w:t>
      </w:r>
      <w:r w:rsidR="00EB5564" w:rsidRPr="00532C20">
        <w:rPr>
          <w:rFonts w:eastAsia="Times"/>
          <w:noProof/>
          <w:szCs w:val="24"/>
          <w:lang w:val="en-IE"/>
        </w:rPr>
        <w:t xml:space="preserve"> Reports of breaches or at</w:t>
      </w:r>
      <w:r w:rsidR="0082244D" w:rsidRPr="00532C20">
        <w:rPr>
          <w:rFonts w:eastAsia="Times"/>
          <w:noProof/>
          <w:szCs w:val="24"/>
          <w:lang w:val="en-IE"/>
        </w:rPr>
        <w:t>tempts to circumvent the obligations</w:t>
      </w:r>
      <w:r w:rsidR="00A10073" w:rsidRPr="00532C20">
        <w:rPr>
          <w:rFonts w:eastAsia="Times"/>
          <w:noProof/>
          <w:szCs w:val="24"/>
          <w:lang w:val="en-IE"/>
        </w:rPr>
        <w:t xml:space="preserve"> </w:t>
      </w:r>
      <w:r w:rsidR="00EB5564" w:rsidRPr="00532C20">
        <w:rPr>
          <w:rFonts w:eastAsia="Times"/>
          <w:noProof/>
          <w:szCs w:val="24"/>
          <w:lang w:val="en-IE"/>
        </w:rPr>
        <w:t>by w</w:t>
      </w:r>
      <w:r w:rsidR="003D49F4" w:rsidRPr="00532C20">
        <w:rPr>
          <w:rFonts w:eastAsia="Times"/>
          <w:noProof/>
          <w:szCs w:val="24"/>
          <w:lang w:val="en-IE"/>
        </w:rPr>
        <w:t>h</w:t>
      </w:r>
      <w:r w:rsidR="00EB5564" w:rsidRPr="00532C20">
        <w:rPr>
          <w:rFonts w:eastAsia="Times"/>
          <w:noProof/>
          <w:szCs w:val="24"/>
          <w:lang w:val="en-IE"/>
        </w:rPr>
        <w:t>istle</w:t>
      </w:r>
      <w:r w:rsidR="007E0C1A" w:rsidRPr="00532C20">
        <w:rPr>
          <w:rFonts w:eastAsia="Times"/>
          <w:noProof/>
          <w:szCs w:val="24"/>
          <w:lang w:val="en-IE"/>
        </w:rPr>
        <w:t>-</w:t>
      </w:r>
      <w:r w:rsidR="00EB5564" w:rsidRPr="00532C20">
        <w:rPr>
          <w:rFonts w:eastAsia="Times"/>
          <w:noProof/>
          <w:szCs w:val="24"/>
          <w:lang w:val="en-IE"/>
        </w:rPr>
        <w:t>blowers</w:t>
      </w:r>
      <w:r w:rsidR="00A10073" w:rsidRPr="00532C20">
        <w:rPr>
          <w:rFonts w:eastAsia="Times"/>
          <w:noProof/>
          <w:szCs w:val="24"/>
          <w:lang w:val="en-IE"/>
        </w:rPr>
        <w:t xml:space="preserve"> would be</w:t>
      </w:r>
      <w:r w:rsidR="001514E4" w:rsidRPr="00532C20">
        <w:rPr>
          <w:rFonts w:eastAsia="Times"/>
          <w:noProof/>
          <w:szCs w:val="24"/>
          <w:lang w:val="en-IE"/>
        </w:rPr>
        <w:t xml:space="preserve"> possible.</w:t>
      </w:r>
      <w:r w:rsidR="00225650" w:rsidRPr="00532C20">
        <w:rPr>
          <w:rFonts w:eastAsia="Times"/>
          <w:noProof/>
          <w:szCs w:val="24"/>
          <w:lang w:val="en-IE"/>
        </w:rPr>
        <w:t xml:space="preserve"> </w:t>
      </w:r>
      <w:r w:rsidR="00225650" w:rsidRPr="00532C20">
        <w:rPr>
          <w:noProof/>
          <w:szCs w:val="24"/>
          <w:lang w:val="en-IE"/>
        </w:rPr>
        <w:t xml:space="preserve">The initiative would provide for </w:t>
      </w:r>
      <w:r w:rsidR="00225650" w:rsidRPr="00532C20">
        <w:rPr>
          <w:b/>
          <w:noProof/>
          <w:szCs w:val="24"/>
          <w:lang w:val="en-IE"/>
        </w:rPr>
        <w:t>cross-border cooperation and information sharing mechanisms</w:t>
      </w:r>
      <w:r w:rsidR="00225650" w:rsidRPr="00532C20">
        <w:rPr>
          <w:noProof/>
          <w:szCs w:val="24"/>
          <w:lang w:val="en-IE"/>
        </w:rPr>
        <w:t xml:space="preserve"> among supervisory authorities from different Member States. The Internal Market Information System (‘IMI system’) Regulation would support the administrative cooperation and the exchange of information using existing IT tools.</w:t>
      </w:r>
      <w:r w:rsidR="00225650" w:rsidRPr="00532C20">
        <w:rPr>
          <w:noProof/>
          <w:szCs w:val="24"/>
        </w:rPr>
        <w:t xml:space="preserve"> </w:t>
      </w:r>
      <w:r w:rsidR="00A64751" w:rsidRPr="00532C20">
        <w:rPr>
          <w:rFonts w:eastAsia="Times"/>
          <w:noProof/>
          <w:szCs w:val="24"/>
          <w:lang w:val="en-IE"/>
        </w:rPr>
        <w:t xml:space="preserve">At the EU level, a </w:t>
      </w:r>
      <w:r w:rsidR="00A64751" w:rsidRPr="00532C20">
        <w:rPr>
          <w:rFonts w:eastAsia="Times"/>
          <w:b/>
          <w:bCs/>
          <w:noProof/>
          <w:szCs w:val="24"/>
          <w:lang w:val="en-IE"/>
        </w:rPr>
        <w:t>governance cooperation mechanism</w:t>
      </w:r>
      <w:r w:rsidR="00A64751" w:rsidRPr="00532C20">
        <w:rPr>
          <w:rFonts w:eastAsia="Times"/>
          <w:noProof/>
          <w:szCs w:val="24"/>
          <w:lang w:val="en-IE"/>
        </w:rPr>
        <w:t xml:space="preserve"> (e.g. an advisory group chaired by the Commission) would be established to facilitate exchanges and cooperation between the Member States supervisory authorities and ensure interoperability of the data collected. </w:t>
      </w:r>
      <w:r w:rsidR="009A411C" w:rsidRPr="00532C20">
        <w:rPr>
          <w:rFonts w:eastAsia="Times"/>
          <w:noProof/>
          <w:szCs w:val="24"/>
          <w:lang w:val="en-IE"/>
        </w:rPr>
        <w:t xml:space="preserve">Among other things, they would exchange best practices on the technical arrangements </w:t>
      </w:r>
      <w:r w:rsidR="00BA017E" w:rsidRPr="00532C20">
        <w:rPr>
          <w:rFonts w:eastAsia="Times"/>
          <w:noProof/>
          <w:szCs w:val="24"/>
          <w:lang w:val="en-IE"/>
        </w:rPr>
        <w:t>for</w:t>
      </w:r>
      <w:r w:rsidR="009A411C" w:rsidRPr="00532C20">
        <w:rPr>
          <w:rFonts w:eastAsia="Times"/>
          <w:noProof/>
          <w:szCs w:val="24"/>
          <w:lang w:val="en-IE"/>
        </w:rPr>
        <w:t xml:space="preserve"> the </w:t>
      </w:r>
      <w:r w:rsidR="00BA017E" w:rsidRPr="00532C20">
        <w:rPr>
          <w:rFonts w:eastAsia="Times"/>
          <w:noProof/>
          <w:szCs w:val="24"/>
          <w:lang w:val="en-IE"/>
        </w:rPr>
        <w:t>national</w:t>
      </w:r>
      <w:r w:rsidR="009A411C" w:rsidRPr="00532C20">
        <w:rPr>
          <w:rFonts w:eastAsia="Times"/>
          <w:noProof/>
          <w:szCs w:val="24"/>
          <w:lang w:val="en-IE"/>
        </w:rPr>
        <w:t xml:space="preserve"> registers.</w:t>
      </w:r>
      <w:r w:rsidR="00A64751" w:rsidRPr="00532C20">
        <w:rPr>
          <w:rFonts w:eastAsia="Times"/>
          <w:noProof/>
          <w:szCs w:val="24"/>
          <w:lang w:val="en-IE"/>
        </w:rPr>
        <w:t xml:space="preserve"> </w:t>
      </w:r>
      <w:r w:rsidR="00A06D6F" w:rsidRPr="00532C20">
        <w:rPr>
          <w:rFonts w:eastAsia="Times"/>
          <w:noProof/>
          <w:szCs w:val="24"/>
          <w:lang w:val="en-IE"/>
        </w:rPr>
        <w:t>The advisory group would also assist the Commission on possible guidance on the implementation of th</w:t>
      </w:r>
      <w:r w:rsidR="007F23F2">
        <w:rPr>
          <w:rFonts w:eastAsia="Times"/>
          <w:noProof/>
          <w:szCs w:val="24"/>
          <w:lang w:val="en-IE"/>
        </w:rPr>
        <w:t>e</w:t>
      </w:r>
      <w:r w:rsidR="00A06D6F" w:rsidRPr="00532C20">
        <w:rPr>
          <w:rFonts w:eastAsia="Times"/>
          <w:noProof/>
          <w:szCs w:val="24"/>
          <w:lang w:val="en-IE"/>
        </w:rPr>
        <w:t xml:space="preserve"> </w:t>
      </w:r>
      <w:r w:rsidR="00437511">
        <w:rPr>
          <w:rFonts w:eastAsia="Times"/>
          <w:noProof/>
          <w:szCs w:val="24"/>
          <w:lang w:val="en-IE"/>
        </w:rPr>
        <w:t>D</w:t>
      </w:r>
      <w:r w:rsidR="00A06D6F" w:rsidRPr="00532C20">
        <w:rPr>
          <w:rFonts w:eastAsia="Times"/>
          <w:noProof/>
          <w:szCs w:val="24"/>
          <w:lang w:val="en-IE"/>
        </w:rPr>
        <w:t xml:space="preserve">irective. </w:t>
      </w:r>
      <w:r w:rsidR="00A64751" w:rsidRPr="00532C20">
        <w:rPr>
          <w:noProof/>
          <w:szCs w:val="24"/>
        </w:rPr>
        <w:t>The initiative would not envisage a direct enforcement role for the Commission. The Commission would be responsible for publishing a summary of the data received from the Member States and a list of third countries in the context of the risk-based approach. However, to efficiently monitor the implementation of the legislative initiative and improve the knowledge on the size and distribution of the overall interest representation activities that are carried out on behalf of third countries in the Union; the Commission will be able to request data from Member States.</w:t>
      </w:r>
      <w:r w:rsidR="003B052E" w:rsidRPr="00532C20">
        <w:rPr>
          <w:noProof/>
        </w:rPr>
        <w:t xml:space="preserve"> </w:t>
      </w:r>
    </w:p>
    <w:p w14:paraId="3E336DF4" w14:textId="794E8136" w:rsidR="00CC617E" w:rsidRPr="00532C20" w:rsidRDefault="006F28F4" w:rsidP="00FE7B86">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b/>
          <w:noProof/>
          <w:sz w:val="24"/>
          <w:szCs w:val="24"/>
          <w:u w:val="single"/>
          <w:lang w:val="en-IE"/>
        </w:rPr>
        <w:t>Sanctions</w:t>
      </w:r>
      <w:r w:rsidRPr="00532C20">
        <w:rPr>
          <w:rFonts w:ascii="Times New Roman" w:eastAsia="Times" w:hAnsi="Times New Roman" w:cs="Times New Roman"/>
          <w:noProof/>
          <w:sz w:val="24"/>
          <w:szCs w:val="24"/>
          <w:lang w:val="en-IE"/>
        </w:rPr>
        <w:t xml:space="preserve"> would be fully harmonised administrative fines </w:t>
      </w:r>
      <w:r w:rsidR="0078326E" w:rsidRPr="00532C20">
        <w:rPr>
          <w:rFonts w:ascii="Times New Roman" w:eastAsia="Times" w:hAnsi="Times New Roman" w:cs="Times New Roman"/>
          <w:noProof/>
          <w:sz w:val="24"/>
          <w:szCs w:val="24"/>
          <w:lang w:val="en-IE"/>
        </w:rPr>
        <w:t>which would represent a maximum of 1% of the entities’ annual worldwide turnover</w:t>
      </w:r>
      <w:r w:rsidR="00AD1093" w:rsidRPr="00532C20">
        <w:rPr>
          <w:rFonts w:ascii="Times New Roman" w:eastAsia="Times" w:hAnsi="Times New Roman" w:cs="Times New Roman"/>
          <w:noProof/>
          <w:sz w:val="24"/>
          <w:szCs w:val="24"/>
          <w:lang w:val="en-IE"/>
        </w:rPr>
        <w:t>.</w:t>
      </w:r>
      <w:r w:rsidRPr="00532C20">
        <w:rPr>
          <w:rFonts w:ascii="Times New Roman" w:eastAsia="Times" w:hAnsi="Times New Roman" w:cs="Times New Roman"/>
          <w:noProof/>
          <w:sz w:val="24"/>
          <w:szCs w:val="24"/>
          <w:lang w:val="en-IE"/>
        </w:rPr>
        <w:t xml:space="preserve"> </w:t>
      </w:r>
      <w:r w:rsidR="00166C41" w:rsidRPr="00532C20">
        <w:rPr>
          <w:rFonts w:ascii="Times New Roman" w:eastAsia="Times" w:hAnsi="Times New Roman" w:cs="Times New Roman"/>
          <w:noProof/>
          <w:sz w:val="24"/>
          <w:szCs w:val="24"/>
          <w:lang w:val="en-IE"/>
        </w:rPr>
        <w:t xml:space="preserve">Sanctions </w:t>
      </w:r>
      <w:r w:rsidR="00CB21EB" w:rsidRPr="00532C20">
        <w:rPr>
          <w:rFonts w:ascii="Times New Roman" w:eastAsia="Times" w:hAnsi="Times New Roman" w:cs="Times New Roman"/>
          <w:noProof/>
          <w:sz w:val="24"/>
          <w:szCs w:val="24"/>
          <w:lang w:val="en-IE"/>
        </w:rPr>
        <w:t>would take into account the nature, recurrence and duration of the infringement in view of the public interest at stake, the scope and kind of activities carried out, and the economic capacity of the entity carrying out interest representation activities.</w:t>
      </w:r>
      <w:r w:rsidR="00FD02BA" w:rsidRPr="00532C20">
        <w:rPr>
          <w:rFonts w:ascii="Times New Roman" w:eastAsia="Times" w:hAnsi="Times New Roman" w:cs="Times New Roman"/>
          <w:noProof/>
          <w:sz w:val="24"/>
          <w:szCs w:val="24"/>
          <w:lang w:val="en-IE"/>
        </w:rPr>
        <w:t xml:space="preserve"> </w:t>
      </w:r>
    </w:p>
    <w:p w14:paraId="00177A47" w14:textId="04CF9D3F" w:rsidR="00166C41" w:rsidRPr="00532C20" w:rsidRDefault="00E44EBD" w:rsidP="00FE7B86">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The sanctions regime shall in each </w:t>
      </w:r>
      <w:r w:rsidR="002E43EC" w:rsidRPr="00532C20">
        <w:rPr>
          <w:rFonts w:ascii="Times New Roman" w:eastAsia="Times" w:hAnsi="Times New Roman" w:cs="Times New Roman"/>
          <w:noProof/>
          <w:sz w:val="24"/>
          <w:szCs w:val="24"/>
          <w:lang w:val="en-IE"/>
        </w:rPr>
        <w:t>individual case be effective, proportionate and dissuasive, with due respect for fundamental rights including freedom of expression, association, academic freedom and freedom of scientific research, safeguards and access to effective remedies, including the right to be heard.</w:t>
      </w:r>
      <w:r w:rsidR="00CC617E" w:rsidRPr="00532C20">
        <w:rPr>
          <w:rFonts w:ascii="Times New Roman" w:eastAsia="Times" w:hAnsi="Times New Roman" w:cs="Times New Roman"/>
          <w:noProof/>
          <w:sz w:val="24"/>
          <w:szCs w:val="24"/>
          <w:lang w:val="en-IE"/>
        </w:rPr>
        <w:t xml:space="preserve"> This option would ensure that entities would not be exposed to the threat of criminal penalties or dissolution.</w:t>
      </w:r>
    </w:p>
    <w:p w14:paraId="5580E4D7" w14:textId="17715E3F" w:rsidR="00C526A0" w:rsidRPr="00532C20" w:rsidRDefault="00CF2B27" w:rsidP="00FE7B86">
      <w:pPr>
        <w:spacing w:after="120" w:line="240" w:lineRule="auto"/>
        <w:jc w:val="both"/>
        <w:rPr>
          <w:rFonts w:ascii="Times New Roman" w:eastAsia="Arial Unicode MS" w:hAnsi="Times New Roman" w:cs="Times New Roman"/>
          <w:noProof/>
          <w:sz w:val="24"/>
          <w:szCs w:val="24"/>
          <w:lang w:val="en-IE"/>
        </w:rPr>
      </w:pPr>
      <w:r w:rsidRPr="00532C20">
        <w:rPr>
          <w:rFonts w:ascii="Times New Roman" w:eastAsia="Arial Unicode MS" w:hAnsi="Times New Roman" w:cs="Times New Roman"/>
          <w:noProof/>
          <w:sz w:val="24"/>
          <w:szCs w:val="24"/>
          <w:lang w:val="en-IE"/>
        </w:rPr>
        <w:t xml:space="preserve">A detailed explanation on the reasoning </w:t>
      </w:r>
      <w:r w:rsidR="00C17F10">
        <w:rPr>
          <w:rFonts w:ascii="Times New Roman" w:eastAsia="Arial Unicode MS" w:hAnsi="Times New Roman" w:cs="Times New Roman"/>
          <w:noProof/>
          <w:sz w:val="24"/>
          <w:szCs w:val="24"/>
          <w:lang w:val="en-IE"/>
        </w:rPr>
        <w:t xml:space="preserve">around </w:t>
      </w:r>
      <w:r w:rsidRPr="00532C20">
        <w:rPr>
          <w:rFonts w:ascii="Times New Roman" w:eastAsia="Arial Unicode MS" w:hAnsi="Times New Roman" w:cs="Times New Roman"/>
          <w:noProof/>
          <w:sz w:val="24"/>
          <w:szCs w:val="24"/>
          <w:lang w:val="en-IE"/>
        </w:rPr>
        <w:t xml:space="preserve">the maximum sanctions amount of 1% of the entities’ worldwide turnover is provided in Annex 7. In essence, this </w:t>
      </w:r>
      <w:r w:rsidR="00F576A7" w:rsidRPr="00532C20">
        <w:rPr>
          <w:rFonts w:ascii="Times New Roman" w:eastAsia="Arial Unicode MS" w:hAnsi="Times New Roman" w:cs="Times New Roman"/>
          <w:noProof/>
          <w:sz w:val="24"/>
          <w:szCs w:val="24"/>
          <w:lang w:val="en-IE"/>
        </w:rPr>
        <w:t>was determined</w:t>
      </w:r>
      <w:r w:rsidRPr="00532C20">
        <w:rPr>
          <w:rFonts w:ascii="Times New Roman" w:eastAsia="Arial Unicode MS" w:hAnsi="Times New Roman" w:cs="Times New Roman"/>
          <w:noProof/>
          <w:sz w:val="24"/>
          <w:szCs w:val="24"/>
          <w:lang w:val="en-IE"/>
        </w:rPr>
        <w:t xml:space="preserve"> by </w:t>
      </w:r>
      <w:r w:rsidR="00F576A7" w:rsidRPr="00532C20">
        <w:rPr>
          <w:rFonts w:ascii="Times New Roman" w:eastAsia="Arial Unicode MS" w:hAnsi="Times New Roman" w:cs="Times New Roman"/>
          <w:noProof/>
          <w:sz w:val="24"/>
          <w:szCs w:val="24"/>
          <w:lang w:val="en-IE"/>
        </w:rPr>
        <w:t>analogy with</w:t>
      </w:r>
      <w:r w:rsidRPr="00532C20">
        <w:rPr>
          <w:rFonts w:ascii="Times New Roman" w:eastAsia="Arial Unicode MS" w:hAnsi="Times New Roman" w:cs="Times New Roman"/>
          <w:noProof/>
          <w:sz w:val="24"/>
          <w:szCs w:val="24"/>
          <w:lang w:val="en-IE"/>
        </w:rPr>
        <w:t xml:space="preserve"> the Digital Services Act’s Article </w:t>
      </w:r>
      <w:r w:rsidR="00D74932" w:rsidRPr="00532C20">
        <w:rPr>
          <w:rFonts w:ascii="Times New Roman" w:eastAsia="Arial Unicode MS" w:hAnsi="Times New Roman" w:cs="Times New Roman"/>
          <w:noProof/>
          <w:sz w:val="24"/>
          <w:szCs w:val="24"/>
          <w:lang w:val="en-IE"/>
        </w:rPr>
        <w:t>52(3)</w:t>
      </w:r>
      <w:r w:rsidR="00E611DC" w:rsidRPr="00532C20">
        <w:rPr>
          <w:rStyle w:val="FootnoteReference"/>
          <w:rFonts w:ascii="Times New Roman" w:eastAsia="Arial Unicode MS" w:hAnsi="Times New Roman" w:cs="Times New Roman"/>
          <w:noProof/>
          <w:sz w:val="24"/>
          <w:szCs w:val="24"/>
          <w:lang w:val="en-IE"/>
        </w:rPr>
        <w:footnoteReference w:id="152"/>
      </w:r>
      <w:r w:rsidR="00D74932" w:rsidRPr="00532C20">
        <w:rPr>
          <w:rFonts w:ascii="Times New Roman" w:eastAsia="Arial Unicode MS" w:hAnsi="Times New Roman" w:cs="Times New Roman"/>
          <w:noProof/>
          <w:sz w:val="24"/>
          <w:szCs w:val="24"/>
          <w:lang w:val="en-IE"/>
        </w:rPr>
        <w:t xml:space="preserve"> which similarly relates to issues </w:t>
      </w:r>
      <w:r w:rsidR="00705DC2" w:rsidRPr="00532C20">
        <w:rPr>
          <w:rFonts w:ascii="Times New Roman" w:eastAsia="Arial Unicode MS" w:hAnsi="Times New Roman" w:cs="Times New Roman"/>
          <w:noProof/>
          <w:sz w:val="24"/>
          <w:szCs w:val="24"/>
          <w:lang w:val="en-IE"/>
        </w:rPr>
        <w:t>with information disclosures.</w:t>
      </w:r>
    </w:p>
    <w:p w14:paraId="5D2201F1" w14:textId="6E41F557" w:rsidR="00847393" w:rsidRPr="00532C20" w:rsidRDefault="00FD52A1" w:rsidP="00FD52A1">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w:hAnsi="Times New Roman" w:cs="Times New Roman"/>
          <w:b/>
          <w:bCs/>
          <w:noProof/>
          <w:lang w:val="en-IE"/>
        </w:rPr>
      </w:pPr>
      <w:r w:rsidRPr="00532C20">
        <w:rPr>
          <w:rFonts w:ascii="Times New Roman" w:eastAsia="Times" w:hAnsi="Times New Roman" w:cs="Times New Roman"/>
          <w:b/>
          <w:bCs/>
          <w:noProof/>
          <w:lang w:val="en-IE"/>
        </w:rPr>
        <w:t>Stakeholder</w:t>
      </w:r>
      <w:r w:rsidR="00847393" w:rsidRPr="00532C20">
        <w:rPr>
          <w:rFonts w:ascii="Times New Roman" w:eastAsia="Times" w:hAnsi="Times New Roman" w:cs="Times New Roman"/>
          <w:b/>
          <w:bCs/>
          <w:noProof/>
          <w:lang w:val="en-IE"/>
        </w:rPr>
        <w:t xml:space="preserve"> views:</w:t>
      </w:r>
    </w:p>
    <w:p w14:paraId="44793B7D" w14:textId="43F2F22B" w:rsidR="00847393" w:rsidRPr="00532C20" w:rsidRDefault="00A33152" w:rsidP="008E060A">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 xml:space="preserve">1 </w:t>
      </w:r>
      <w:r w:rsidR="00514D23" w:rsidRPr="00532C20">
        <w:rPr>
          <w:rFonts w:ascii="Times New Roman" w:eastAsia="Symbol" w:hAnsi="Times New Roman" w:cs="Times New Roman"/>
          <w:noProof/>
          <w:lang w:val="en-IE"/>
        </w:rPr>
        <w:t xml:space="preserve">out of 11 </w:t>
      </w:r>
      <w:r w:rsidR="00847393" w:rsidRPr="00532C20">
        <w:rPr>
          <w:rFonts w:ascii="Times New Roman" w:eastAsia="Symbol" w:hAnsi="Times New Roman" w:cs="Times New Roman"/>
          <w:noProof/>
          <w:lang w:val="en-IE"/>
        </w:rPr>
        <w:t>CSO</w:t>
      </w:r>
      <w:r w:rsidR="00514D23" w:rsidRPr="00532C20">
        <w:rPr>
          <w:rFonts w:ascii="Times New Roman" w:eastAsia="Symbol" w:hAnsi="Times New Roman" w:cs="Times New Roman"/>
          <w:noProof/>
          <w:lang w:val="en-IE"/>
        </w:rPr>
        <w:t>s</w:t>
      </w:r>
      <w:r w:rsidR="00847393" w:rsidRPr="00532C20">
        <w:rPr>
          <w:rFonts w:ascii="Times New Roman" w:eastAsia="Symbol" w:hAnsi="Times New Roman" w:cs="Times New Roman"/>
          <w:noProof/>
          <w:lang w:val="en-IE"/>
        </w:rPr>
        <w:t xml:space="preserve"> indicated that “</w:t>
      </w:r>
      <w:r w:rsidR="00E70DF5" w:rsidRPr="00532C20">
        <w:rPr>
          <w:rFonts w:ascii="Times New Roman" w:eastAsia="Symbol" w:hAnsi="Times New Roman" w:cs="Times New Roman"/>
          <w:i/>
          <w:iCs/>
          <w:noProof/>
          <w:lang w:val="en-IE"/>
        </w:rPr>
        <w:t xml:space="preserve">administrative sanction </w:t>
      </w:r>
      <w:r w:rsidR="00FD52A1" w:rsidRPr="00532C20">
        <w:rPr>
          <w:rFonts w:ascii="Times New Roman" w:eastAsia="Symbol" w:hAnsi="Times New Roman" w:cs="Times New Roman"/>
          <w:i/>
          <w:iCs/>
          <w:noProof/>
          <w:lang w:val="en-IE"/>
        </w:rPr>
        <w:t>is</w:t>
      </w:r>
      <w:r w:rsidR="00E70DF5" w:rsidRPr="00532C20">
        <w:rPr>
          <w:rFonts w:ascii="Times New Roman" w:eastAsia="Symbol" w:hAnsi="Times New Roman" w:cs="Times New Roman"/>
          <w:i/>
          <w:iCs/>
          <w:noProof/>
          <w:lang w:val="en-IE"/>
        </w:rPr>
        <w:t xml:space="preserve"> the </w:t>
      </w:r>
      <w:r w:rsidR="00FD52A1" w:rsidRPr="00532C20">
        <w:rPr>
          <w:rFonts w:ascii="Times New Roman" w:eastAsia="Symbol" w:hAnsi="Times New Roman" w:cs="Times New Roman"/>
          <w:i/>
          <w:iCs/>
          <w:noProof/>
          <w:lang w:val="en-IE"/>
        </w:rPr>
        <w:t>most</w:t>
      </w:r>
      <w:r w:rsidR="00E70DF5" w:rsidRPr="00532C20">
        <w:rPr>
          <w:rFonts w:ascii="Times New Roman" w:eastAsia="Symbol" w:hAnsi="Times New Roman" w:cs="Times New Roman"/>
          <w:i/>
          <w:iCs/>
          <w:noProof/>
          <w:lang w:val="en-IE"/>
        </w:rPr>
        <w:t xml:space="preserve"> proportionate option to deter misconduct. The receipt </w:t>
      </w:r>
      <w:r w:rsidR="00FD52A1" w:rsidRPr="00532C20">
        <w:rPr>
          <w:rFonts w:ascii="Times New Roman" w:eastAsia="Symbol" w:hAnsi="Times New Roman" w:cs="Times New Roman"/>
          <w:i/>
          <w:iCs/>
          <w:noProof/>
          <w:lang w:val="en-IE"/>
        </w:rPr>
        <w:t>of funds is not in itself a criminal office, so a criminal sanction would be disproportionate</w:t>
      </w:r>
      <w:r w:rsidR="00FD52A1" w:rsidRPr="00532C20">
        <w:rPr>
          <w:rFonts w:ascii="Times New Roman" w:eastAsia="Symbol" w:hAnsi="Times New Roman" w:cs="Times New Roman"/>
          <w:noProof/>
          <w:lang w:val="en-IE"/>
        </w:rPr>
        <w:t>.”</w:t>
      </w:r>
    </w:p>
    <w:p w14:paraId="02DE5C7E" w14:textId="461776F0" w:rsidR="00C526A0" w:rsidRPr="00532C20" w:rsidRDefault="00167291" w:rsidP="006C1E33">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 xml:space="preserve">On the harmonisation of sanctions, </w:t>
      </w:r>
      <w:r w:rsidR="00AE5343" w:rsidRPr="00532C20">
        <w:rPr>
          <w:rFonts w:ascii="Times New Roman" w:eastAsia="Symbol" w:hAnsi="Times New Roman" w:cs="Times New Roman"/>
          <w:noProof/>
          <w:lang w:val="en-IE"/>
        </w:rPr>
        <w:t xml:space="preserve">out of the 15 Member that answered the questionnaire </w:t>
      </w:r>
      <w:r w:rsidR="00A33152" w:rsidRPr="00532C20">
        <w:rPr>
          <w:rFonts w:ascii="Times New Roman" w:eastAsia="Symbol" w:hAnsi="Times New Roman" w:cs="Times New Roman"/>
          <w:noProof/>
          <w:lang w:val="en-IE"/>
        </w:rPr>
        <w:t xml:space="preserve">4 </w:t>
      </w:r>
      <w:r w:rsidRPr="00532C20">
        <w:rPr>
          <w:rFonts w:ascii="Times New Roman" w:eastAsia="Symbol" w:hAnsi="Times New Roman" w:cs="Times New Roman"/>
          <w:noProof/>
          <w:lang w:val="en-IE"/>
        </w:rPr>
        <w:t xml:space="preserve">prefer not to </w:t>
      </w:r>
      <w:r w:rsidR="00C056F6" w:rsidRPr="00532C20">
        <w:rPr>
          <w:rFonts w:ascii="Times New Roman" w:eastAsia="Symbol" w:hAnsi="Times New Roman" w:cs="Times New Roman"/>
          <w:noProof/>
          <w:lang w:val="en-IE"/>
        </w:rPr>
        <w:t xml:space="preserve">harmonise administrative fines while </w:t>
      </w:r>
      <w:r w:rsidR="00A33152" w:rsidRPr="00532C20">
        <w:rPr>
          <w:rFonts w:ascii="Times New Roman" w:eastAsia="Symbol" w:hAnsi="Times New Roman" w:cs="Times New Roman"/>
          <w:noProof/>
          <w:lang w:val="en-IE"/>
        </w:rPr>
        <w:t xml:space="preserve">3 </w:t>
      </w:r>
      <w:r w:rsidR="00C056F6" w:rsidRPr="00532C20">
        <w:rPr>
          <w:rFonts w:ascii="Times New Roman" w:eastAsia="Symbol" w:hAnsi="Times New Roman" w:cs="Times New Roman"/>
          <w:noProof/>
          <w:lang w:val="en-IE"/>
        </w:rPr>
        <w:t>are in favour.</w:t>
      </w:r>
      <w:r w:rsidR="00582553" w:rsidRPr="00532C20">
        <w:rPr>
          <w:rFonts w:ascii="Times New Roman" w:eastAsia="Symbol" w:hAnsi="Times New Roman" w:cs="Times New Roman"/>
          <w:noProof/>
          <w:lang w:val="en-IE"/>
        </w:rPr>
        <w:t xml:space="preserve"> </w:t>
      </w:r>
      <w:r w:rsidR="00AE5343" w:rsidRPr="00532C20">
        <w:rPr>
          <w:rFonts w:ascii="Times New Roman" w:eastAsia="Symbol" w:hAnsi="Times New Roman" w:cs="Times New Roman"/>
          <w:noProof/>
          <w:lang w:val="en-IE"/>
        </w:rPr>
        <w:t xml:space="preserve">The remaining 8 did not pronounce themselves on the issue. </w:t>
      </w:r>
    </w:p>
    <w:p w14:paraId="0F798EAA" w14:textId="0D1CEE1B" w:rsidR="006F28F4" w:rsidRPr="00532C20" w:rsidRDefault="006F28F4" w:rsidP="00582553">
      <w:pPr>
        <w:pStyle w:val="1111level4section"/>
        <w:rPr>
          <w:noProof/>
        </w:rPr>
      </w:pPr>
      <w:bookmarkStart w:id="829" w:name="_Toc152864688"/>
      <w:r w:rsidRPr="00532C20">
        <w:rPr>
          <w:noProof/>
        </w:rPr>
        <w:t>Policy Option 2.</w:t>
      </w:r>
      <w:r w:rsidR="00E6660A" w:rsidRPr="00532C20">
        <w:rPr>
          <w:noProof/>
        </w:rPr>
        <w:t>2</w:t>
      </w:r>
      <w:r w:rsidRPr="00532C20">
        <w:rPr>
          <w:noProof/>
        </w:rPr>
        <w:t xml:space="preserve">: </w:t>
      </w:r>
      <w:r w:rsidR="00131EFA" w:rsidRPr="00532C20">
        <w:rPr>
          <w:noProof/>
        </w:rPr>
        <w:t>E</w:t>
      </w:r>
      <w:r w:rsidRPr="00532C20">
        <w:rPr>
          <w:noProof/>
        </w:rPr>
        <w:t>xtended requirement</w:t>
      </w:r>
      <w:bookmarkEnd w:id="829"/>
      <w:r w:rsidRPr="00532C20">
        <w:rPr>
          <w:noProof/>
        </w:rPr>
        <w:t xml:space="preserve"> </w:t>
      </w:r>
    </w:p>
    <w:p w14:paraId="7FE7C2BC" w14:textId="29E74492" w:rsidR="006D2D28" w:rsidRPr="00532C20" w:rsidRDefault="006D2D28" w:rsidP="001546BD">
      <w:pPr>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Entities carrying out interest representation activities </w:t>
      </w:r>
      <w:r w:rsidR="001546BD" w:rsidRPr="00532C20">
        <w:rPr>
          <w:rFonts w:ascii="Times New Roman" w:eastAsia="Times" w:hAnsi="Times New Roman" w:cs="Times New Roman"/>
          <w:noProof/>
          <w:sz w:val="24"/>
          <w:szCs w:val="24"/>
          <w:lang w:val="en-IE"/>
        </w:rPr>
        <w:t>on behalf of third country entities</w:t>
      </w:r>
      <w:r w:rsidRPr="00532C20">
        <w:rPr>
          <w:rFonts w:ascii="Times New Roman" w:eastAsia="Times" w:hAnsi="Times New Roman" w:cs="Times New Roman"/>
          <w:noProof/>
          <w:sz w:val="24"/>
          <w:szCs w:val="24"/>
          <w:lang w:val="en-IE"/>
        </w:rPr>
        <w:t xml:space="preserve"> would face the same requirement as in</w:t>
      </w:r>
      <w:r w:rsidR="00386606" w:rsidRPr="00532C20">
        <w:rPr>
          <w:rFonts w:ascii="Times New Roman" w:eastAsia="Times" w:hAnsi="Times New Roman" w:cs="Times New Roman"/>
          <w:noProof/>
          <w:sz w:val="24"/>
          <w:szCs w:val="24"/>
          <w:lang w:val="en-IE"/>
        </w:rPr>
        <w:t xml:space="preserve"> PO</w:t>
      </w:r>
      <w:r w:rsidRPr="00532C20">
        <w:rPr>
          <w:rFonts w:ascii="Times New Roman" w:eastAsia="Times" w:hAnsi="Times New Roman" w:cs="Times New Roman"/>
          <w:noProof/>
          <w:sz w:val="24"/>
          <w:szCs w:val="24"/>
          <w:lang w:val="en-IE"/>
        </w:rPr>
        <w:t>2.</w:t>
      </w:r>
      <w:r w:rsidR="00715566" w:rsidRPr="00532C20">
        <w:rPr>
          <w:rFonts w:ascii="Times New Roman" w:eastAsia="Times" w:hAnsi="Times New Roman" w:cs="Times New Roman"/>
          <w:noProof/>
          <w:sz w:val="24"/>
          <w:szCs w:val="24"/>
          <w:lang w:val="en-IE"/>
        </w:rPr>
        <w:t>1</w:t>
      </w:r>
      <w:r w:rsidRPr="00532C20">
        <w:rPr>
          <w:rFonts w:ascii="Times New Roman" w:eastAsia="Times" w:hAnsi="Times New Roman" w:cs="Times New Roman"/>
          <w:noProof/>
          <w:sz w:val="24"/>
          <w:szCs w:val="24"/>
          <w:lang w:val="en-IE"/>
        </w:rPr>
        <w:t>, they would also face some additional requirements.</w:t>
      </w:r>
    </w:p>
    <w:p w14:paraId="7926B1F6" w14:textId="283E68D0" w:rsidR="00BD2258" w:rsidRPr="00532C20" w:rsidRDefault="14FF33FF">
      <w:pPr>
        <w:numPr>
          <w:ilvl w:val="2"/>
          <w:numId w:val="8"/>
        </w:numPr>
        <w:spacing w:after="120" w:line="240" w:lineRule="auto"/>
        <w:ind w:left="360"/>
        <w:jc w:val="both"/>
        <w:rPr>
          <w:rFonts w:ascii="Times New Roman" w:eastAsia="Times" w:hAnsi="Times New Roman" w:cs="Times New Roman"/>
          <w:noProof/>
          <w:sz w:val="24"/>
          <w:szCs w:val="24"/>
          <w:lang w:val="en-IE"/>
        </w:rPr>
      </w:pPr>
      <w:r w:rsidRPr="00532C20">
        <w:rPr>
          <w:rFonts w:ascii="Times New Roman" w:eastAsia="Times" w:hAnsi="Times New Roman" w:cs="Times New Roman"/>
          <w:i/>
          <w:noProof/>
          <w:sz w:val="24"/>
          <w:szCs w:val="24"/>
          <w:u w:val="single"/>
          <w:lang w:val="en-IE" w:eastAsia="en-IE"/>
        </w:rPr>
        <w:t>Record</w:t>
      </w:r>
      <w:r w:rsidR="2205874B" w:rsidRPr="00532C20">
        <w:rPr>
          <w:rFonts w:ascii="Times New Roman" w:eastAsia="Times" w:hAnsi="Times New Roman" w:cs="Times New Roman"/>
          <w:i/>
          <w:noProof/>
          <w:sz w:val="24"/>
          <w:szCs w:val="24"/>
          <w:u w:val="single"/>
          <w:lang w:val="en-IE" w:eastAsia="en-IE"/>
        </w:rPr>
        <w:t>-</w:t>
      </w:r>
      <w:r w:rsidRPr="00532C20">
        <w:rPr>
          <w:rFonts w:ascii="Times New Roman" w:eastAsia="Times" w:hAnsi="Times New Roman" w:cs="Times New Roman"/>
          <w:i/>
          <w:noProof/>
          <w:sz w:val="24"/>
          <w:szCs w:val="24"/>
          <w:u w:val="single"/>
          <w:lang w:val="en-IE" w:eastAsia="en-IE"/>
        </w:rPr>
        <w:t>keeping:</w:t>
      </w:r>
      <w:r w:rsidRPr="00532C20">
        <w:rPr>
          <w:rFonts w:ascii="Times New Roman" w:eastAsia="Times" w:hAnsi="Times New Roman" w:cs="Times New Roman"/>
          <w:noProof/>
          <w:sz w:val="24"/>
          <w:szCs w:val="24"/>
          <w:lang w:val="en-IE" w:eastAsia="en-IE"/>
        </w:rPr>
        <w:t xml:space="preserve"> </w:t>
      </w:r>
      <w:r w:rsidR="06320A98" w:rsidRPr="00532C20">
        <w:rPr>
          <w:rFonts w:ascii="Times New Roman" w:eastAsia="Times" w:hAnsi="Times New Roman" w:cs="Times New Roman"/>
          <w:noProof/>
          <w:sz w:val="24"/>
          <w:szCs w:val="24"/>
          <w:lang w:val="en-IE" w:eastAsia="en-IE"/>
        </w:rPr>
        <w:t xml:space="preserve">In </w:t>
      </w:r>
      <w:r w:rsidR="06320A98" w:rsidRPr="00532C20">
        <w:rPr>
          <w:rFonts w:ascii="Times New Roman" w:eastAsia="Times" w:hAnsi="Times New Roman" w:cs="Times New Roman"/>
          <w:noProof/>
          <w:sz w:val="24"/>
          <w:szCs w:val="24"/>
          <w:lang w:val="en-IE"/>
        </w:rPr>
        <w:t>addition</w:t>
      </w:r>
      <w:r w:rsidR="06320A98" w:rsidRPr="00532C20">
        <w:rPr>
          <w:rFonts w:ascii="Times New Roman" w:eastAsia="Times" w:hAnsi="Times New Roman" w:cs="Times New Roman"/>
          <w:noProof/>
          <w:sz w:val="24"/>
          <w:szCs w:val="24"/>
          <w:lang w:val="en-IE" w:eastAsia="en-IE"/>
        </w:rPr>
        <w:t xml:space="preserve"> to the elements included in</w:t>
      </w:r>
      <w:r w:rsidR="00386606" w:rsidRPr="00532C20">
        <w:rPr>
          <w:rFonts w:ascii="Times New Roman" w:eastAsia="Times" w:hAnsi="Times New Roman" w:cs="Times New Roman"/>
          <w:noProof/>
          <w:sz w:val="24"/>
          <w:szCs w:val="24"/>
          <w:lang w:val="en-IE" w:eastAsia="en-IE"/>
        </w:rPr>
        <w:t xml:space="preserve"> PO</w:t>
      </w:r>
      <w:r w:rsidR="006F28F4" w:rsidRPr="00532C20">
        <w:rPr>
          <w:rFonts w:ascii="Times New Roman" w:eastAsia="Times" w:hAnsi="Times New Roman" w:cs="Times New Roman"/>
          <w:noProof/>
          <w:sz w:val="24"/>
          <w:szCs w:val="24"/>
          <w:lang w:val="en-IE" w:eastAsia="en-IE"/>
        </w:rPr>
        <w:t>2.</w:t>
      </w:r>
      <w:r w:rsidR="00715566" w:rsidRPr="00532C20">
        <w:rPr>
          <w:rFonts w:ascii="Times New Roman" w:eastAsia="Times" w:hAnsi="Times New Roman" w:cs="Times New Roman"/>
          <w:noProof/>
          <w:sz w:val="24"/>
          <w:szCs w:val="24"/>
          <w:lang w:val="en-IE" w:eastAsia="en-IE"/>
        </w:rPr>
        <w:t>1</w:t>
      </w:r>
      <w:r w:rsidR="006F28F4" w:rsidRPr="00532C20">
        <w:rPr>
          <w:rFonts w:ascii="Times New Roman" w:eastAsia="Times" w:hAnsi="Times New Roman" w:cs="Times New Roman"/>
          <w:noProof/>
          <w:sz w:val="24"/>
          <w:szCs w:val="24"/>
          <w:lang w:val="en-IE" w:eastAsia="en-IE"/>
        </w:rPr>
        <w:t>, th</w:t>
      </w:r>
      <w:r w:rsidR="006F28F4" w:rsidRPr="00532C20">
        <w:rPr>
          <w:rFonts w:ascii="Times New Roman" w:eastAsia="Times" w:hAnsi="Times New Roman" w:cs="Times New Roman"/>
          <w:noProof/>
          <w:sz w:val="24"/>
          <w:szCs w:val="24"/>
          <w:lang w:val="en-IE"/>
        </w:rPr>
        <w:t xml:space="preserve">ese entities would be </w:t>
      </w:r>
      <w:r w:rsidR="006F28F4" w:rsidRPr="00532C20">
        <w:rPr>
          <w:rFonts w:ascii="Times New Roman" w:eastAsia="Times" w:hAnsi="Times New Roman" w:cs="Times New Roman"/>
          <w:b/>
          <w:bCs/>
          <w:noProof/>
          <w:sz w:val="24"/>
          <w:szCs w:val="24"/>
          <w:lang w:val="en-IE"/>
        </w:rPr>
        <w:t>required to keep records of</w:t>
      </w:r>
      <w:r w:rsidR="0444D673" w:rsidRPr="00532C20">
        <w:rPr>
          <w:rFonts w:ascii="Times New Roman" w:eastAsia="Times" w:hAnsi="Times New Roman" w:cs="Times New Roman"/>
          <w:b/>
          <w:noProof/>
          <w:sz w:val="24"/>
          <w:szCs w:val="24"/>
          <w:lang w:val="en-IE"/>
        </w:rPr>
        <w:t xml:space="preserve"> </w:t>
      </w:r>
      <w:r w:rsidR="06320A98" w:rsidRPr="00532C20">
        <w:rPr>
          <w:rFonts w:ascii="Times New Roman" w:eastAsia="Times" w:hAnsi="Times New Roman" w:cs="Times New Roman"/>
          <w:b/>
          <w:noProof/>
          <w:sz w:val="24"/>
          <w:szCs w:val="24"/>
          <w:lang w:val="en-IE"/>
        </w:rPr>
        <w:t xml:space="preserve">all </w:t>
      </w:r>
      <w:r w:rsidR="0444D673" w:rsidRPr="00532C20">
        <w:rPr>
          <w:rFonts w:ascii="Times New Roman" w:eastAsia="Times" w:hAnsi="Times New Roman" w:cs="Times New Roman"/>
          <w:b/>
          <w:noProof/>
          <w:sz w:val="24"/>
          <w:szCs w:val="24"/>
          <w:lang w:val="en-IE"/>
        </w:rPr>
        <w:t>contracts and exchange</w:t>
      </w:r>
      <w:r w:rsidR="06320A98" w:rsidRPr="00532C20">
        <w:rPr>
          <w:rFonts w:ascii="Times New Roman" w:eastAsia="Times" w:hAnsi="Times New Roman" w:cs="Times New Roman"/>
          <w:b/>
          <w:noProof/>
          <w:sz w:val="24"/>
          <w:szCs w:val="24"/>
          <w:lang w:val="en-IE"/>
        </w:rPr>
        <w:t>s</w:t>
      </w:r>
      <w:r w:rsidR="06320A98" w:rsidRPr="00532C20">
        <w:rPr>
          <w:rFonts w:ascii="Times New Roman" w:eastAsia="Times" w:hAnsi="Times New Roman" w:cs="Times New Roman"/>
          <w:noProof/>
          <w:sz w:val="24"/>
          <w:szCs w:val="24"/>
          <w:lang w:val="en-IE"/>
        </w:rPr>
        <w:t xml:space="preserve"> (written and oral)</w:t>
      </w:r>
      <w:r w:rsidR="0444D673" w:rsidRPr="00532C20">
        <w:rPr>
          <w:rFonts w:ascii="Times New Roman" w:eastAsia="Times" w:hAnsi="Times New Roman" w:cs="Times New Roman"/>
          <w:noProof/>
          <w:sz w:val="24"/>
          <w:szCs w:val="24"/>
          <w:lang w:val="en-IE"/>
        </w:rPr>
        <w:t xml:space="preserve"> with the </w:t>
      </w:r>
      <w:r w:rsidR="006F28F4" w:rsidRPr="00532C20">
        <w:rPr>
          <w:rFonts w:ascii="Times New Roman" w:eastAsia="Times" w:hAnsi="Times New Roman" w:cs="Times New Roman"/>
          <w:noProof/>
          <w:sz w:val="24"/>
          <w:szCs w:val="24"/>
          <w:lang w:val="en-IE"/>
        </w:rPr>
        <w:t xml:space="preserve">entity on whose behalf the activity is carried out </w:t>
      </w:r>
      <w:r w:rsidR="06320A98" w:rsidRPr="00532C20">
        <w:rPr>
          <w:rFonts w:ascii="Times New Roman" w:eastAsia="Times" w:hAnsi="Times New Roman" w:cs="Times New Roman"/>
          <w:noProof/>
          <w:sz w:val="24"/>
          <w:szCs w:val="24"/>
          <w:lang w:val="en-IE"/>
        </w:rPr>
        <w:t>as well as all</w:t>
      </w:r>
      <w:r w:rsidR="0444D673" w:rsidRPr="00532C20">
        <w:rPr>
          <w:rFonts w:ascii="Times New Roman" w:eastAsia="Times" w:hAnsi="Times New Roman" w:cs="Times New Roman"/>
          <w:noProof/>
          <w:sz w:val="24"/>
          <w:szCs w:val="24"/>
          <w:lang w:val="en-IE"/>
        </w:rPr>
        <w:t xml:space="preserve"> information or material o</w:t>
      </w:r>
      <w:r w:rsidR="00994D79" w:rsidRPr="00532C20">
        <w:rPr>
          <w:rFonts w:ascii="Times New Roman" w:eastAsia="Times" w:hAnsi="Times New Roman" w:cs="Times New Roman"/>
          <w:noProof/>
          <w:sz w:val="24"/>
          <w:szCs w:val="24"/>
          <w:lang w:val="en-IE"/>
        </w:rPr>
        <w:t>n</w:t>
      </w:r>
      <w:r w:rsidR="0444D673" w:rsidRPr="00532C20">
        <w:rPr>
          <w:rFonts w:ascii="Times New Roman" w:eastAsia="Times" w:hAnsi="Times New Roman" w:cs="Times New Roman"/>
          <w:noProof/>
          <w:sz w:val="24"/>
          <w:szCs w:val="24"/>
          <w:lang w:val="en-IE"/>
        </w:rPr>
        <w:t xml:space="preserve"> the interest representation activity. </w:t>
      </w:r>
    </w:p>
    <w:p w14:paraId="1FAF10B9" w14:textId="62104366" w:rsidR="006F28F4" w:rsidRPr="00532C20" w:rsidRDefault="006F28F4">
      <w:pPr>
        <w:numPr>
          <w:ilvl w:val="2"/>
          <w:numId w:val="8"/>
        </w:numPr>
        <w:spacing w:after="120" w:line="240" w:lineRule="auto"/>
        <w:ind w:left="360"/>
        <w:jc w:val="both"/>
        <w:rPr>
          <w:rFonts w:ascii="Times New Roman" w:eastAsia="Times" w:hAnsi="Times New Roman" w:cs="Times New Roman"/>
          <w:noProof/>
          <w:sz w:val="24"/>
          <w:szCs w:val="24"/>
          <w:lang w:val="en-IE" w:eastAsia="en-IE"/>
        </w:rPr>
      </w:pPr>
      <w:r w:rsidRPr="00532C20">
        <w:rPr>
          <w:rFonts w:ascii="Times New Roman" w:eastAsia="Times" w:hAnsi="Times New Roman" w:cs="Times New Roman"/>
          <w:i/>
          <w:noProof/>
          <w:sz w:val="24"/>
          <w:szCs w:val="24"/>
          <w:u w:val="single"/>
          <w:lang w:val="en-IE" w:eastAsia="en-IE"/>
        </w:rPr>
        <w:t>Prior authorisation / licencing</w:t>
      </w:r>
      <w:r w:rsidRPr="00532C20">
        <w:rPr>
          <w:rFonts w:ascii="Times New Roman" w:eastAsia="Times" w:hAnsi="Times New Roman" w:cs="Times New Roman"/>
          <w:i/>
          <w:noProof/>
          <w:sz w:val="24"/>
          <w:szCs w:val="24"/>
          <w:u w:val="single"/>
          <w:lang w:val="en-IE"/>
        </w:rPr>
        <w:t>:</w:t>
      </w:r>
      <w:r w:rsidR="00892C5F" w:rsidRPr="00532C20">
        <w:rPr>
          <w:rStyle w:val="FootnoteReference"/>
          <w:rFonts w:ascii="Times New Roman" w:eastAsia="Times" w:hAnsi="Times New Roman" w:cs="Times New Roman"/>
          <w:i/>
          <w:noProof/>
          <w:sz w:val="24"/>
          <w:szCs w:val="24"/>
          <w:u w:val="single"/>
          <w:lang w:val="en-IE"/>
        </w:rPr>
        <w:footnoteReference w:id="153"/>
      </w:r>
      <w:r w:rsidRPr="00532C20">
        <w:rPr>
          <w:rFonts w:ascii="Times New Roman" w:eastAsia="Times" w:hAnsi="Times New Roman" w:cs="Times New Roman"/>
          <w:noProof/>
          <w:sz w:val="24"/>
          <w:szCs w:val="24"/>
          <w:lang w:val="en-IE"/>
        </w:rPr>
        <w:t xml:space="preserve"> For each new interest representation activity</w:t>
      </w:r>
      <w:r w:rsidRPr="00532C20">
        <w:rPr>
          <w:rFonts w:ascii="Times New Roman" w:eastAsia="Times" w:hAnsi="Times New Roman" w:cs="Times New Roman"/>
          <w:noProof/>
          <w:sz w:val="24"/>
          <w:szCs w:val="24"/>
          <w:lang w:val="en-IE" w:eastAsia="en-IE"/>
        </w:rPr>
        <w:t xml:space="preserve"> </w:t>
      </w:r>
      <w:r w:rsidRPr="00532C20">
        <w:rPr>
          <w:rFonts w:ascii="Times New Roman" w:eastAsia="Times" w:hAnsi="Times New Roman" w:cs="Times New Roman"/>
          <w:b/>
          <w:bCs/>
          <w:noProof/>
          <w:sz w:val="24"/>
          <w:szCs w:val="24"/>
          <w:lang w:val="en-IE" w:eastAsia="en-IE"/>
        </w:rPr>
        <w:t>above a certain financial threshold</w:t>
      </w:r>
      <w:r w:rsidRPr="00532C20">
        <w:rPr>
          <w:rFonts w:ascii="Times New Roman" w:eastAsia="Times" w:hAnsi="Times New Roman" w:cs="Times New Roman"/>
          <w:noProof/>
          <w:sz w:val="24"/>
          <w:szCs w:val="24"/>
          <w:lang w:val="en-IE"/>
        </w:rPr>
        <w:t xml:space="preserve">, these entities would have </w:t>
      </w:r>
      <w:r w:rsidRPr="00532C20">
        <w:rPr>
          <w:rFonts w:ascii="Times New Roman" w:eastAsia="Times" w:hAnsi="Times New Roman" w:cs="Times New Roman"/>
          <w:noProof/>
          <w:sz w:val="24"/>
          <w:szCs w:val="24"/>
          <w:lang w:val="en-IE" w:eastAsia="en-IE"/>
        </w:rPr>
        <w:t xml:space="preserve">to </w:t>
      </w:r>
      <w:r w:rsidRPr="00532C20">
        <w:rPr>
          <w:rFonts w:ascii="Times New Roman" w:eastAsia="Times" w:hAnsi="Times New Roman" w:cs="Times New Roman"/>
          <w:b/>
          <w:bCs/>
          <w:noProof/>
          <w:sz w:val="24"/>
          <w:szCs w:val="24"/>
          <w:lang w:val="en-IE" w:eastAsia="en-IE"/>
        </w:rPr>
        <w:t>apply to the competent national authority for a licence</w:t>
      </w:r>
      <w:r w:rsidRPr="00532C20">
        <w:rPr>
          <w:rFonts w:ascii="Times New Roman" w:eastAsia="Times" w:hAnsi="Times New Roman" w:cs="Times New Roman"/>
          <w:noProof/>
          <w:sz w:val="24"/>
          <w:szCs w:val="24"/>
          <w:lang w:val="en-IE" w:eastAsia="en-IE"/>
        </w:rPr>
        <w:t xml:space="preserve"> to conduct said activity.</w:t>
      </w:r>
    </w:p>
    <w:p w14:paraId="1A214AFF" w14:textId="7D47A9E2" w:rsidR="006F28F4" w:rsidRPr="00532C20" w:rsidRDefault="006F28F4">
      <w:pPr>
        <w:numPr>
          <w:ilvl w:val="3"/>
          <w:numId w:val="8"/>
        </w:numPr>
        <w:spacing w:after="120" w:line="240" w:lineRule="auto"/>
        <w:ind w:left="1069"/>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eastAsia="en-IE"/>
        </w:rPr>
        <w:t xml:space="preserve">The </w:t>
      </w:r>
      <w:r w:rsidRPr="00532C20">
        <w:rPr>
          <w:rFonts w:ascii="Times New Roman" w:eastAsia="Times" w:hAnsi="Times New Roman" w:cs="Times New Roman"/>
          <w:noProof/>
          <w:sz w:val="24"/>
          <w:szCs w:val="24"/>
          <w:lang w:val="en-IE"/>
        </w:rPr>
        <w:t>request</w:t>
      </w:r>
      <w:r w:rsidRPr="00532C20">
        <w:rPr>
          <w:rFonts w:ascii="Times New Roman" w:eastAsia="Times" w:hAnsi="Times New Roman" w:cs="Times New Roman"/>
          <w:noProof/>
          <w:sz w:val="24"/>
          <w:szCs w:val="24"/>
          <w:lang w:val="en-IE" w:eastAsia="en-IE"/>
        </w:rPr>
        <w:t xml:space="preserve"> would require submitting the </w:t>
      </w:r>
      <w:r w:rsidRPr="00532C20">
        <w:rPr>
          <w:rFonts w:ascii="Times New Roman" w:eastAsia="Times" w:hAnsi="Times New Roman" w:cs="Times New Roman"/>
          <w:b/>
          <w:bCs/>
          <w:noProof/>
          <w:sz w:val="24"/>
          <w:szCs w:val="24"/>
          <w:lang w:val="en-IE" w:eastAsia="en-IE"/>
        </w:rPr>
        <w:t>same information</w:t>
      </w:r>
      <w:r w:rsidRPr="00532C20">
        <w:rPr>
          <w:rFonts w:ascii="Times New Roman" w:eastAsia="Times" w:hAnsi="Times New Roman" w:cs="Times New Roman"/>
          <w:noProof/>
          <w:sz w:val="24"/>
          <w:szCs w:val="24"/>
          <w:lang w:val="en-IE" w:eastAsia="en-IE"/>
        </w:rPr>
        <w:t xml:space="preserve"> as those provided under the registration of</w:t>
      </w:r>
      <w:r w:rsidR="00386606" w:rsidRPr="00532C20">
        <w:rPr>
          <w:rFonts w:ascii="Times New Roman" w:eastAsia="Times" w:hAnsi="Times New Roman" w:cs="Times New Roman"/>
          <w:noProof/>
          <w:sz w:val="24"/>
          <w:szCs w:val="24"/>
          <w:lang w:val="en-IE" w:eastAsia="en-IE"/>
        </w:rPr>
        <w:t xml:space="preserve"> PO</w:t>
      </w:r>
      <w:r w:rsidRPr="00532C20">
        <w:rPr>
          <w:rFonts w:ascii="Times New Roman" w:eastAsia="Times" w:hAnsi="Times New Roman" w:cs="Times New Roman"/>
          <w:noProof/>
          <w:sz w:val="24"/>
          <w:szCs w:val="24"/>
          <w:lang w:val="en-IE"/>
        </w:rPr>
        <w:t>2.</w:t>
      </w:r>
      <w:r w:rsidR="002161B1" w:rsidRPr="00532C20">
        <w:rPr>
          <w:rFonts w:ascii="Times New Roman" w:eastAsia="Times" w:hAnsi="Times New Roman" w:cs="Times New Roman"/>
          <w:noProof/>
          <w:sz w:val="24"/>
          <w:szCs w:val="24"/>
          <w:lang w:val="en-IE"/>
        </w:rPr>
        <w:t>1</w:t>
      </w:r>
      <w:r w:rsidR="006D2D28" w:rsidRPr="00532C20">
        <w:rPr>
          <w:rFonts w:ascii="Times New Roman" w:eastAsia="Times" w:hAnsi="Times New Roman" w:cs="Times New Roman"/>
          <w:noProof/>
          <w:sz w:val="24"/>
          <w:szCs w:val="24"/>
          <w:lang w:val="en-IE" w:eastAsia="en-IE"/>
        </w:rPr>
        <w:t>.</w:t>
      </w:r>
      <w:r w:rsidRPr="00532C20">
        <w:rPr>
          <w:rFonts w:ascii="Times New Roman" w:eastAsia="Times" w:hAnsi="Times New Roman" w:cs="Times New Roman"/>
          <w:noProof/>
          <w:sz w:val="24"/>
          <w:szCs w:val="24"/>
          <w:lang w:val="en-IE" w:eastAsia="en-IE"/>
        </w:rPr>
        <w:t xml:space="preserve"> </w:t>
      </w:r>
    </w:p>
    <w:p w14:paraId="0A46DE8C" w14:textId="77777777" w:rsidR="006F28F4" w:rsidRPr="00532C20" w:rsidRDefault="006F28F4">
      <w:pPr>
        <w:numPr>
          <w:ilvl w:val="3"/>
          <w:numId w:val="8"/>
        </w:numPr>
        <w:spacing w:after="120" w:line="240" w:lineRule="auto"/>
        <w:ind w:left="1069"/>
        <w:jc w:val="both"/>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Licences would be refused only where in light of the information provided and of the </w:t>
      </w:r>
      <w:r w:rsidRPr="00532C20">
        <w:rPr>
          <w:rFonts w:ascii="Times New Roman" w:eastAsia="Times" w:hAnsi="Times New Roman" w:cs="Times New Roman"/>
          <w:b/>
          <w:bCs/>
          <w:noProof/>
          <w:sz w:val="24"/>
          <w:szCs w:val="24"/>
          <w:lang w:val="en-IE" w:eastAsia="en-IE"/>
        </w:rPr>
        <w:t>entity(ies)</w:t>
      </w:r>
      <w:r w:rsidRPr="00532C20">
        <w:rPr>
          <w:rFonts w:ascii="Times New Roman" w:eastAsia="Times" w:hAnsi="Times New Roman" w:cs="Times New Roman"/>
          <w:noProof/>
          <w:sz w:val="24"/>
          <w:szCs w:val="24"/>
          <w:lang w:val="en-IE" w:eastAsia="en-IE"/>
        </w:rPr>
        <w:t xml:space="preserve"> the interest representation is carried out </w:t>
      </w:r>
      <w:r w:rsidRPr="00532C20">
        <w:rPr>
          <w:rFonts w:ascii="Times New Roman" w:eastAsia="Times" w:hAnsi="Times New Roman" w:cs="Times New Roman"/>
          <w:noProof/>
          <w:sz w:val="24"/>
          <w:szCs w:val="24"/>
          <w:lang w:val="en-IE"/>
        </w:rPr>
        <w:t>for</w:t>
      </w:r>
      <w:r w:rsidRPr="00532C20">
        <w:rPr>
          <w:rFonts w:ascii="Times New Roman" w:eastAsia="Times" w:hAnsi="Times New Roman" w:cs="Times New Roman"/>
          <w:noProof/>
          <w:sz w:val="24"/>
          <w:szCs w:val="24"/>
          <w:lang w:val="en-IE" w:eastAsia="en-IE"/>
        </w:rPr>
        <w:t xml:space="preserve"> (taking into account, where applicable the </w:t>
      </w:r>
      <w:r w:rsidRPr="00532C20">
        <w:rPr>
          <w:rFonts w:ascii="Times New Roman" w:eastAsia="Times" w:hAnsi="Times New Roman" w:cs="Times New Roman"/>
          <w:b/>
          <w:bCs/>
          <w:noProof/>
          <w:sz w:val="24"/>
          <w:szCs w:val="24"/>
          <w:lang w:val="en-IE" w:eastAsia="en-IE"/>
        </w:rPr>
        <w:t>risk-based approach</w:t>
      </w:r>
      <w:r w:rsidRPr="00532C20">
        <w:rPr>
          <w:rFonts w:ascii="Times New Roman" w:eastAsia="Times" w:hAnsi="Times New Roman" w:cs="Times New Roman"/>
          <w:noProof/>
          <w:sz w:val="24"/>
          <w:szCs w:val="24"/>
          <w:lang w:val="en-IE" w:eastAsia="en-IE"/>
        </w:rPr>
        <w:t>) the activity is likely to seriously affect public security</w:t>
      </w:r>
      <w:r w:rsidRPr="00532C20">
        <w:rPr>
          <w:rFonts w:ascii="Times New Roman" w:eastAsia="Times" w:hAnsi="Times New Roman" w:cs="Times New Roman"/>
          <w:noProof/>
          <w:sz w:val="24"/>
          <w:szCs w:val="24"/>
          <w:vertAlign w:val="superscript"/>
          <w:lang w:val="en-IE" w:eastAsia="en-IE"/>
        </w:rPr>
        <w:footnoteReference w:id="154"/>
      </w:r>
      <w:r w:rsidRPr="00532C20">
        <w:rPr>
          <w:rFonts w:ascii="Times New Roman" w:eastAsia="Times" w:hAnsi="Times New Roman" w:cs="Times New Roman"/>
          <w:noProof/>
          <w:sz w:val="24"/>
          <w:szCs w:val="24"/>
          <w:lang w:val="en-IE" w:eastAsia="en-IE"/>
        </w:rPr>
        <w:t xml:space="preserve">. </w:t>
      </w:r>
    </w:p>
    <w:p w14:paraId="5BD46664" w14:textId="12453583" w:rsidR="006F28F4" w:rsidRPr="00532C20" w:rsidRDefault="006F28F4">
      <w:pPr>
        <w:numPr>
          <w:ilvl w:val="3"/>
          <w:numId w:val="8"/>
        </w:numPr>
        <w:spacing w:after="120" w:line="240" w:lineRule="auto"/>
        <w:ind w:left="1069"/>
        <w:jc w:val="both"/>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To support the decision-making process regarding the refusal of a license and ensure consistency in the EU, the legislative instrument would </w:t>
      </w:r>
      <w:r w:rsidRPr="00532C20">
        <w:rPr>
          <w:rFonts w:ascii="Times New Roman" w:eastAsia="Times" w:hAnsi="Times New Roman" w:cs="Times New Roman"/>
          <w:b/>
          <w:bCs/>
          <w:noProof/>
          <w:sz w:val="24"/>
          <w:szCs w:val="24"/>
          <w:lang w:val="en-IE" w:eastAsia="en-IE"/>
        </w:rPr>
        <w:t>create a cooperation mechanism</w:t>
      </w:r>
      <w:r w:rsidR="003D49F4" w:rsidRPr="00532C20">
        <w:rPr>
          <w:rStyle w:val="FootnoteReference"/>
          <w:rFonts w:ascii="Times New Roman" w:eastAsia="Times" w:hAnsi="Times New Roman" w:cs="Times New Roman"/>
          <w:noProof/>
          <w:sz w:val="24"/>
          <w:szCs w:val="24"/>
          <w:lang w:val="en-IE" w:eastAsia="en-IE"/>
        </w:rPr>
        <w:footnoteReference w:id="155"/>
      </w:r>
      <w:r w:rsidRPr="00532C20">
        <w:rPr>
          <w:rFonts w:ascii="Times New Roman" w:eastAsia="Times" w:hAnsi="Times New Roman" w:cs="Times New Roman"/>
          <w:noProof/>
          <w:sz w:val="24"/>
          <w:szCs w:val="24"/>
          <w:lang w:val="en-IE" w:eastAsia="en-IE"/>
        </w:rPr>
        <w:t xml:space="preserve"> whereby, the competent authority in the Member State assessing the application would notify the other Member States’ authorities and the Commission. Other Member States would be able to submit comments if the activity is likely to seriously affect public security in </w:t>
      </w:r>
      <w:r w:rsidRPr="00532C20">
        <w:rPr>
          <w:rFonts w:ascii="Times New Roman" w:eastAsia="Times" w:hAnsi="Times New Roman" w:cs="Times New Roman"/>
          <w:noProof/>
          <w:sz w:val="24"/>
          <w:szCs w:val="24"/>
          <w:lang w:val="en-IE"/>
        </w:rPr>
        <w:t>their</w:t>
      </w:r>
      <w:r w:rsidRPr="00532C20">
        <w:rPr>
          <w:rFonts w:ascii="Times New Roman" w:eastAsia="Times" w:hAnsi="Times New Roman" w:cs="Times New Roman"/>
          <w:noProof/>
          <w:sz w:val="24"/>
          <w:szCs w:val="24"/>
          <w:lang w:val="en-IE" w:eastAsia="en-IE"/>
        </w:rPr>
        <w:t xml:space="preserve"> Member States. The Commission may issue an opinion if, based on the information transmitted by the concerned Member States, the activity is likely to seriously affect public policy in a Member State. </w:t>
      </w:r>
    </w:p>
    <w:p w14:paraId="7E68F9BE" w14:textId="77777777" w:rsidR="006F28F4" w:rsidRPr="00532C20" w:rsidRDefault="006F28F4">
      <w:pPr>
        <w:numPr>
          <w:ilvl w:val="3"/>
          <w:numId w:val="8"/>
        </w:numPr>
        <w:spacing w:after="120" w:line="240" w:lineRule="auto"/>
        <w:ind w:left="1069"/>
        <w:jc w:val="both"/>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Where a licence is granted despite comments submitted by a Member State or an opinion from the Commission, a publicly available flag would be added in the registration of the said entity. </w:t>
      </w:r>
    </w:p>
    <w:p w14:paraId="1C41F20D" w14:textId="414D3764" w:rsidR="006F28F4" w:rsidRPr="00532C20" w:rsidRDefault="006F28F4">
      <w:pPr>
        <w:numPr>
          <w:ilvl w:val="3"/>
          <w:numId w:val="8"/>
        </w:numPr>
        <w:spacing w:after="120" w:line="240" w:lineRule="auto"/>
        <w:ind w:left="1069"/>
        <w:jc w:val="both"/>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Entities would receive a </w:t>
      </w:r>
      <w:r w:rsidRPr="00532C20">
        <w:rPr>
          <w:rFonts w:ascii="Times New Roman" w:eastAsia="Times" w:hAnsi="Times New Roman" w:cs="Times New Roman"/>
          <w:b/>
          <w:bCs/>
          <w:noProof/>
          <w:sz w:val="24"/>
          <w:szCs w:val="24"/>
          <w:lang w:val="en-IE" w:eastAsia="en-IE"/>
        </w:rPr>
        <w:t>licence number</w:t>
      </w:r>
      <w:r w:rsidRPr="00532C20">
        <w:rPr>
          <w:rFonts w:ascii="Times New Roman" w:eastAsia="Times" w:hAnsi="Times New Roman" w:cs="Times New Roman"/>
          <w:noProof/>
          <w:sz w:val="24"/>
          <w:szCs w:val="24"/>
          <w:lang w:val="en-IE" w:eastAsia="en-IE"/>
        </w:rPr>
        <w:t xml:space="preserve"> </w:t>
      </w:r>
      <w:r w:rsidRPr="00532C20">
        <w:rPr>
          <w:rFonts w:ascii="Times New Roman" w:eastAsia="Times" w:hAnsi="Times New Roman" w:cs="Times New Roman"/>
          <w:noProof/>
          <w:sz w:val="24"/>
          <w:szCs w:val="24"/>
          <w:lang w:val="en-IE"/>
        </w:rPr>
        <w:t xml:space="preserve">that could be used throughout the internal market. </w:t>
      </w:r>
      <w:r w:rsidRPr="00532C20">
        <w:rPr>
          <w:rFonts w:ascii="Times New Roman" w:eastAsia="Times" w:hAnsi="Times New Roman" w:cs="Times New Roman"/>
          <w:noProof/>
          <w:sz w:val="24"/>
          <w:szCs w:val="24"/>
          <w:lang w:val="en-IE" w:eastAsia="en-IE"/>
        </w:rPr>
        <w:t>In the same condition as in</w:t>
      </w:r>
      <w:r w:rsidR="00386606" w:rsidRPr="00532C20">
        <w:rPr>
          <w:rFonts w:ascii="Times New Roman" w:eastAsia="Times" w:hAnsi="Times New Roman" w:cs="Times New Roman"/>
          <w:noProof/>
          <w:sz w:val="24"/>
          <w:szCs w:val="24"/>
          <w:lang w:val="en-IE" w:eastAsia="en-IE"/>
        </w:rPr>
        <w:t xml:space="preserve"> PO</w:t>
      </w:r>
      <w:r w:rsidRPr="00532C20">
        <w:rPr>
          <w:rFonts w:ascii="Times New Roman" w:eastAsia="Times" w:hAnsi="Times New Roman" w:cs="Times New Roman"/>
          <w:noProof/>
          <w:sz w:val="24"/>
          <w:szCs w:val="24"/>
          <w:lang w:val="en-IE" w:eastAsia="en-IE"/>
        </w:rPr>
        <w:t>2</w:t>
      </w:r>
      <w:r w:rsidR="00486C67" w:rsidRPr="00532C20">
        <w:rPr>
          <w:rFonts w:ascii="Times New Roman" w:eastAsia="Times" w:hAnsi="Times New Roman" w:cs="Times New Roman"/>
          <w:noProof/>
          <w:sz w:val="24"/>
          <w:szCs w:val="24"/>
          <w:lang w:val="en-IE" w:eastAsia="en-IE"/>
        </w:rPr>
        <w:t>.</w:t>
      </w:r>
      <w:r w:rsidR="002161B1" w:rsidRPr="00532C20">
        <w:rPr>
          <w:rFonts w:ascii="Times New Roman" w:eastAsia="Times" w:hAnsi="Times New Roman" w:cs="Times New Roman"/>
          <w:noProof/>
          <w:sz w:val="24"/>
          <w:szCs w:val="24"/>
          <w:lang w:val="en-IE" w:eastAsia="en-IE"/>
        </w:rPr>
        <w:t>1</w:t>
      </w:r>
      <w:r w:rsidRPr="00532C20">
        <w:rPr>
          <w:rFonts w:ascii="Times New Roman" w:eastAsia="Times" w:hAnsi="Times New Roman" w:cs="Times New Roman"/>
          <w:noProof/>
          <w:sz w:val="24"/>
          <w:szCs w:val="24"/>
          <w:lang w:val="en-IE" w:eastAsia="en-IE"/>
        </w:rPr>
        <w:t xml:space="preserve">, upon obtaining the licence, the information provided by the entities would be </w:t>
      </w:r>
      <w:r w:rsidRPr="00532C20">
        <w:rPr>
          <w:rFonts w:ascii="Times New Roman" w:eastAsia="Times" w:hAnsi="Times New Roman" w:cs="Times New Roman"/>
          <w:b/>
          <w:bCs/>
          <w:noProof/>
          <w:sz w:val="24"/>
          <w:szCs w:val="24"/>
          <w:lang w:val="en-IE" w:eastAsia="en-IE"/>
        </w:rPr>
        <w:t>published in national transparency registers</w:t>
      </w:r>
      <w:r w:rsidRPr="00532C20">
        <w:rPr>
          <w:rFonts w:ascii="Times New Roman" w:eastAsia="Times" w:hAnsi="Times New Roman" w:cs="Times New Roman"/>
          <w:noProof/>
          <w:sz w:val="24"/>
          <w:szCs w:val="24"/>
          <w:lang w:val="en-IE" w:eastAsia="en-IE"/>
        </w:rPr>
        <w:t>.</w:t>
      </w:r>
    </w:p>
    <w:p w14:paraId="28EF924C" w14:textId="77777777" w:rsidR="006F28F4" w:rsidRPr="00532C20" w:rsidRDefault="006F28F4">
      <w:pPr>
        <w:numPr>
          <w:ilvl w:val="3"/>
          <w:numId w:val="8"/>
        </w:numPr>
        <w:spacing w:after="120" w:line="240" w:lineRule="auto"/>
        <w:ind w:left="1069"/>
        <w:jc w:val="both"/>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The failure to abide by these requirements would lead to significant penalties. </w:t>
      </w:r>
    </w:p>
    <w:p w14:paraId="09CC4295" w14:textId="4A52CD92" w:rsidR="006D2D28" w:rsidRPr="00532C20" w:rsidRDefault="006D2D28">
      <w:pPr>
        <w:numPr>
          <w:ilvl w:val="2"/>
          <w:numId w:val="8"/>
        </w:numPr>
        <w:spacing w:after="120" w:line="240" w:lineRule="auto"/>
        <w:ind w:left="360"/>
        <w:jc w:val="both"/>
        <w:rPr>
          <w:rFonts w:ascii="Times New Roman" w:eastAsia="Times" w:hAnsi="Times New Roman" w:cs="Times New Roman"/>
          <w:noProof/>
          <w:sz w:val="24"/>
          <w:szCs w:val="24"/>
          <w:lang w:val="en-IE"/>
        </w:rPr>
      </w:pPr>
      <w:r w:rsidRPr="00532C20">
        <w:rPr>
          <w:rFonts w:ascii="Times New Roman" w:eastAsia="Times" w:hAnsi="Times New Roman" w:cs="Times New Roman"/>
          <w:i/>
          <w:noProof/>
          <w:sz w:val="24"/>
          <w:szCs w:val="24"/>
          <w:u w:val="single"/>
          <w:lang w:val="en-IE"/>
        </w:rPr>
        <w:t>Transparency:</w:t>
      </w:r>
      <w:r w:rsidRPr="00532C20">
        <w:rPr>
          <w:rFonts w:ascii="Times New Roman" w:eastAsia="Times" w:hAnsi="Times New Roman" w:cs="Times New Roman"/>
          <w:noProof/>
          <w:sz w:val="24"/>
          <w:szCs w:val="24"/>
          <w:lang w:val="en-IE"/>
        </w:rPr>
        <w:t xml:space="preserve"> As in</w:t>
      </w:r>
      <w:r w:rsidR="00386606" w:rsidRPr="00532C20">
        <w:rPr>
          <w:rFonts w:ascii="Times New Roman" w:eastAsia="Times" w:hAnsi="Times New Roman" w:cs="Times New Roman"/>
          <w:noProof/>
          <w:sz w:val="24"/>
          <w:szCs w:val="24"/>
          <w:lang w:val="en-IE"/>
        </w:rPr>
        <w:t xml:space="preserve"> PO</w:t>
      </w:r>
      <w:r w:rsidRPr="00532C20">
        <w:rPr>
          <w:rFonts w:ascii="Times New Roman" w:eastAsia="Times" w:hAnsi="Times New Roman" w:cs="Times New Roman"/>
          <w:noProof/>
          <w:sz w:val="24"/>
          <w:szCs w:val="24"/>
          <w:lang w:val="en-IE"/>
        </w:rPr>
        <w:t>2.</w:t>
      </w:r>
      <w:r w:rsidR="00E67F4D" w:rsidRPr="00532C20">
        <w:rPr>
          <w:rFonts w:ascii="Times New Roman" w:eastAsia="Times" w:hAnsi="Times New Roman" w:cs="Times New Roman"/>
          <w:noProof/>
          <w:sz w:val="24"/>
          <w:szCs w:val="24"/>
          <w:lang w:val="en-IE"/>
        </w:rPr>
        <w:t>1</w:t>
      </w:r>
      <w:r w:rsidRPr="00532C20">
        <w:rPr>
          <w:rFonts w:ascii="Times New Roman" w:eastAsia="Times" w:hAnsi="Times New Roman" w:cs="Times New Roman"/>
          <w:noProof/>
          <w:sz w:val="24"/>
          <w:szCs w:val="24"/>
          <w:lang w:val="en-IE"/>
        </w:rPr>
        <w:t xml:space="preserve">, these entities as well as their subcontractors would have to </w:t>
      </w:r>
      <w:r w:rsidRPr="00532C20">
        <w:rPr>
          <w:rFonts w:ascii="Times New Roman" w:eastAsia="Times" w:hAnsi="Times New Roman" w:cs="Times New Roman"/>
          <w:b/>
          <w:bCs/>
          <w:noProof/>
          <w:sz w:val="24"/>
          <w:szCs w:val="24"/>
          <w:lang w:val="en-IE"/>
        </w:rPr>
        <w:t>provide their licence number</w:t>
      </w:r>
      <w:r w:rsidRPr="00532C20">
        <w:rPr>
          <w:rFonts w:ascii="Times New Roman" w:eastAsia="Times" w:hAnsi="Times New Roman" w:cs="Times New Roman"/>
          <w:noProof/>
          <w:sz w:val="24"/>
          <w:szCs w:val="24"/>
          <w:lang w:val="en-IE"/>
        </w:rPr>
        <w:t xml:space="preserve"> when in direct contact with public officials. </w:t>
      </w:r>
    </w:p>
    <w:p w14:paraId="4C92F294" w14:textId="65A53680" w:rsidR="00131EFA" w:rsidRPr="00532C20" w:rsidRDefault="00131EFA" w:rsidP="001546BD">
      <w:pPr>
        <w:spacing w:after="120" w:line="240" w:lineRule="auto"/>
        <w:jc w:val="both"/>
        <w:rPr>
          <w:rFonts w:ascii="Times New Roman" w:eastAsia="Times" w:hAnsi="Times New Roman" w:cs="Times New Roman"/>
          <w:b/>
          <w:noProof/>
          <w:sz w:val="24"/>
          <w:szCs w:val="24"/>
          <w:u w:val="single"/>
          <w:lang w:val="en-IE" w:eastAsia="en-IE"/>
        </w:rPr>
      </w:pPr>
      <w:r w:rsidRPr="00532C20">
        <w:rPr>
          <w:rFonts w:ascii="Times New Roman" w:eastAsia="Times" w:hAnsi="Times New Roman" w:cs="Times New Roman"/>
          <w:b/>
          <w:noProof/>
          <w:sz w:val="24"/>
          <w:szCs w:val="24"/>
          <w:u w:val="single"/>
          <w:lang w:val="en-IE" w:eastAsia="en-IE"/>
        </w:rPr>
        <w:t>Risk-based approach:</w:t>
      </w:r>
      <w:r w:rsidRPr="00532C20">
        <w:rPr>
          <w:rFonts w:ascii="Times New Roman" w:eastAsia="Times" w:hAnsi="Times New Roman" w:cs="Times New Roman"/>
          <w:b/>
          <w:noProof/>
          <w:sz w:val="24"/>
          <w:szCs w:val="24"/>
          <w:lang w:val="en-IE" w:eastAsia="en-IE"/>
        </w:rPr>
        <w:t xml:space="preserve"> </w:t>
      </w:r>
      <w:r w:rsidRPr="00532C20">
        <w:rPr>
          <w:rFonts w:ascii="Times New Roman" w:eastAsia="Times" w:hAnsi="Times New Roman" w:cs="Times New Roman"/>
          <w:noProof/>
          <w:sz w:val="24"/>
          <w:szCs w:val="24"/>
          <w:lang w:val="en-IE"/>
        </w:rPr>
        <w:t xml:space="preserve">Entities carrying out interest representation activities on behalf of third countries would be required to </w:t>
      </w:r>
      <w:r w:rsidRPr="00532C20">
        <w:rPr>
          <w:rFonts w:ascii="Times New Roman" w:eastAsia="Times" w:hAnsi="Times New Roman" w:cs="Times New Roman"/>
          <w:b/>
          <w:bCs/>
          <w:noProof/>
          <w:sz w:val="24"/>
          <w:szCs w:val="24"/>
          <w:lang w:val="en-IE"/>
        </w:rPr>
        <w:t>automatically share all the records</w:t>
      </w:r>
      <w:r w:rsidRPr="00532C20">
        <w:rPr>
          <w:rFonts w:ascii="Times New Roman" w:eastAsia="Times" w:hAnsi="Times New Roman" w:cs="Times New Roman"/>
          <w:noProof/>
          <w:sz w:val="24"/>
          <w:szCs w:val="24"/>
          <w:lang w:val="en-IE"/>
        </w:rPr>
        <w:t xml:space="preserve"> </w:t>
      </w:r>
      <w:r w:rsidR="001B0BE8" w:rsidRPr="00532C20">
        <w:rPr>
          <w:rFonts w:ascii="Times New Roman" w:eastAsia="Times" w:hAnsi="Times New Roman" w:cs="Times New Roman"/>
          <w:noProof/>
          <w:sz w:val="24"/>
          <w:szCs w:val="24"/>
          <w:lang w:val="en-IE"/>
        </w:rPr>
        <w:t xml:space="preserve">when they fulfil the </w:t>
      </w:r>
      <w:r w:rsidR="008E4D1D" w:rsidRPr="00532C20">
        <w:rPr>
          <w:rFonts w:ascii="Times New Roman" w:eastAsia="Times" w:hAnsi="Times New Roman" w:cs="Times New Roman"/>
          <w:noProof/>
          <w:sz w:val="24"/>
          <w:szCs w:val="24"/>
          <w:lang w:val="en-IE"/>
        </w:rPr>
        <w:t>conditions of</w:t>
      </w:r>
      <w:r w:rsidR="00782F6D" w:rsidRPr="00532C20">
        <w:rPr>
          <w:rFonts w:ascii="Times New Roman" w:eastAsia="Times" w:hAnsi="Times New Roman" w:cs="Times New Roman"/>
          <w:noProof/>
          <w:sz w:val="24"/>
          <w:szCs w:val="24"/>
          <w:lang w:val="en-IE"/>
        </w:rPr>
        <w:t xml:space="preserve"> the </w:t>
      </w:r>
      <w:r w:rsidR="008E4D1D" w:rsidRPr="00532C20">
        <w:rPr>
          <w:rFonts w:ascii="Times New Roman" w:eastAsia="Times" w:hAnsi="Times New Roman" w:cs="Times New Roman"/>
          <w:noProof/>
          <w:sz w:val="24"/>
          <w:szCs w:val="24"/>
          <w:lang w:val="en-IE"/>
        </w:rPr>
        <w:t>risk-based</w:t>
      </w:r>
      <w:r w:rsidR="00782F6D" w:rsidRPr="00532C20">
        <w:rPr>
          <w:rFonts w:ascii="Times New Roman" w:eastAsia="Times" w:hAnsi="Times New Roman" w:cs="Times New Roman"/>
          <w:noProof/>
          <w:sz w:val="24"/>
          <w:szCs w:val="24"/>
          <w:lang w:val="en-IE"/>
        </w:rPr>
        <w:t xml:space="preserve"> approach </w:t>
      </w:r>
      <w:r w:rsidR="008E4D1D" w:rsidRPr="00532C20">
        <w:rPr>
          <w:rFonts w:ascii="Times New Roman" w:eastAsia="Times" w:hAnsi="Times New Roman" w:cs="Times New Roman"/>
          <w:noProof/>
          <w:sz w:val="24"/>
          <w:szCs w:val="24"/>
          <w:lang w:val="en-IE"/>
        </w:rPr>
        <w:t xml:space="preserve">set out </w:t>
      </w:r>
      <w:r w:rsidR="00782F6D" w:rsidRPr="00532C20">
        <w:rPr>
          <w:rFonts w:ascii="Times New Roman" w:eastAsia="Times" w:hAnsi="Times New Roman" w:cs="Times New Roman"/>
          <w:noProof/>
          <w:sz w:val="24"/>
          <w:szCs w:val="24"/>
          <w:lang w:val="en-IE"/>
        </w:rPr>
        <w:t>in</w:t>
      </w:r>
      <w:r w:rsidR="00386606" w:rsidRPr="00532C20">
        <w:rPr>
          <w:rFonts w:ascii="Times New Roman" w:eastAsia="Times" w:hAnsi="Times New Roman" w:cs="Times New Roman"/>
          <w:noProof/>
          <w:sz w:val="24"/>
          <w:szCs w:val="24"/>
          <w:lang w:val="en-IE"/>
        </w:rPr>
        <w:t xml:space="preserve"> PO</w:t>
      </w:r>
      <w:r w:rsidR="00782F6D" w:rsidRPr="00532C20">
        <w:rPr>
          <w:rFonts w:ascii="Times New Roman" w:eastAsia="Times" w:hAnsi="Times New Roman" w:cs="Times New Roman"/>
          <w:noProof/>
          <w:sz w:val="24"/>
          <w:szCs w:val="24"/>
          <w:lang w:val="en-IE"/>
        </w:rPr>
        <w:t>2.</w:t>
      </w:r>
      <w:r w:rsidR="002161B1" w:rsidRPr="00532C20">
        <w:rPr>
          <w:rFonts w:ascii="Times New Roman" w:eastAsia="Times" w:hAnsi="Times New Roman" w:cs="Times New Roman"/>
          <w:noProof/>
          <w:sz w:val="24"/>
          <w:szCs w:val="24"/>
          <w:lang w:val="en-IE"/>
        </w:rPr>
        <w:t>1</w:t>
      </w:r>
      <w:r w:rsidRPr="00532C20">
        <w:rPr>
          <w:rFonts w:ascii="Times New Roman" w:eastAsia="Times" w:hAnsi="Times New Roman" w:cs="Times New Roman"/>
          <w:noProof/>
          <w:sz w:val="24"/>
          <w:szCs w:val="24"/>
          <w:lang w:val="en-IE"/>
        </w:rPr>
        <w:t>.</w:t>
      </w:r>
    </w:p>
    <w:p w14:paraId="7C2300DA" w14:textId="0E28ABE3" w:rsidR="006D2D28" w:rsidRPr="00532C20" w:rsidRDefault="006D2D28" w:rsidP="001546BD">
      <w:pPr>
        <w:spacing w:after="120" w:line="240" w:lineRule="auto"/>
        <w:jc w:val="both"/>
        <w:rPr>
          <w:rFonts w:ascii="Times New Roman" w:eastAsia="Times" w:hAnsi="Times New Roman" w:cs="Times New Roman"/>
          <w:bCs/>
          <w:noProof/>
          <w:sz w:val="24"/>
          <w:szCs w:val="24"/>
          <w:lang w:val="en-IE" w:eastAsia="en-IE"/>
        </w:rPr>
      </w:pPr>
      <w:r w:rsidRPr="00532C20">
        <w:rPr>
          <w:rFonts w:ascii="Times New Roman" w:eastAsia="Times" w:hAnsi="Times New Roman" w:cs="Times New Roman"/>
          <w:b/>
          <w:noProof/>
          <w:sz w:val="24"/>
          <w:szCs w:val="24"/>
          <w:u w:val="single"/>
          <w:lang w:val="en-IE" w:eastAsia="en-IE"/>
        </w:rPr>
        <w:t>Governance, supervision and sanctions</w:t>
      </w:r>
      <w:r w:rsidRPr="00532C20">
        <w:rPr>
          <w:rFonts w:ascii="Times New Roman" w:eastAsia="Times" w:hAnsi="Times New Roman" w:cs="Times New Roman"/>
          <w:noProof/>
          <w:sz w:val="24"/>
          <w:szCs w:val="24"/>
          <w:lang w:val="en-IE" w:eastAsia="en-IE"/>
        </w:rPr>
        <w:t>: building on</w:t>
      </w:r>
      <w:r w:rsidR="00386606" w:rsidRPr="00532C20">
        <w:rPr>
          <w:rFonts w:ascii="Times New Roman" w:eastAsia="Times" w:hAnsi="Times New Roman" w:cs="Times New Roman"/>
          <w:noProof/>
          <w:sz w:val="24"/>
          <w:szCs w:val="24"/>
          <w:lang w:val="en-IE" w:eastAsia="en-IE"/>
        </w:rPr>
        <w:t xml:space="preserve"> PO</w:t>
      </w:r>
      <w:r w:rsidRPr="00532C20">
        <w:rPr>
          <w:rFonts w:ascii="Times New Roman" w:eastAsia="Times" w:hAnsi="Times New Roman" w:cs="Times New Roman"/>
          <w:noProof/>
          <w:sz w:val="24"/>
          <w:szCs w:val="24"/>
          <w:lang w:val="en-IE" w:eastAsia="en-IE"/>
        </w:rPr>
        <w:t>2.</w:t>
      </w:r>
      <w:r w:rsidR="002161B1" w:rsidRPr="00532C20">
        <w:rPr>
          <w:rFonts w:ascii="Times New Roman" w:eastAsia="Times" w:hAnsi="Times New Roman" w:cs="Times New Roman"/>
          <w:noProof/>
          <w:sz w:val="24"/>
          <w:szCs w:val="24"/>
          <w:lang w:val="en-IE" w:eastAsia="en-IE"/>
        </w:rPr>
        <w:t>1</w:t>
      </w:r>
      <w:r w:rsidRPr="00532C20">
        <w:rPr>
          <w:rFonts w:ascii="Times New Roman" w:eastAsia="Times" w:hAnsi="Times New Roman" w:cs="Times New Roman"/>
          <w:noProof/>
          <w:sz w:val="24"/>
          <w:szCs w:val="24"/>
          <w:lang w:val="en-IE" w:eastAsia="en-IE"/>
        </w:rPr>
        <w:t xml:space="preserve">, this option would require </w:t>
      </w:r>
      <w:r w:rsidRPr="00532C20">
        <w:rPr>
          <w:rFonts w:ascii="Times New Roman" w:eastAsia="Times" w:hAnsi="Times New Roman" w:cs="Times New Roman"/>
          <w:b/>
          <w:noProof/>
          <w:sz w:val="24"/>
          <w:szCs w:val="24"/>
          <w:lang w:val="en-IE" w:eastAsia="en-IE"/>
        </w:rPr>
        <w:t>Member State authorities</w:t>
      </w:r>
      <w:r w:rsidRPr="00532C20">
        <w:rPr>
          <w:rFonts w:ascii="Times New Roman" w:eastAsia="Times" w:hAnsi="Times New Roman" w:cs="Times New Roman"/>
          <w:noProof/>
          <w:sz w:val="24"/>
          <w:szCs w:val="24"/>
          <w:lang w:val="en-IE" w:eastAsia="en-IE"/>
        </w:rPr>
        <w:t xml:space="preserve"> to set up a prior authorisation/licencing system. </w:t>
      </w:r>
    </w:p>
    <w:p w14:paraId="224690E8" w14:textId="77777777" w:rsidR="003F200D" w:rsidRPr="00532C20" w:rsidRDefault="658B6300" w:rsidP="004B0958">
      <w:pPr>
        <w:pStyle w:val="1levelonetitle"/>
        <w:rPr>
          <w:noProof/>
        </w:rPr>
      </w:pPr>
      <w:bookmarkStart w:id="830" w:name="_Toc132810129"/>
      <w:bookmarkStart w:id="831" w:name="_Toc134028726"/>
      <w:bookmarkStart w:id="832" w:name="_Toc134620370"/>
      <w:bookmarkStart w:id="833" w:name="_Toc152864689"/>
      <w:bookmarkEnd w:id="746"/>
      <w:r w:rsidRPr="00532C20">
        <w:rPr>
          <w:noProof/>
        </w:rPr>
        <w:t>What are the impacts of the policy option</w:t>
      </w:r>
      <w:r w:rsidR="00477EE1" w:rsidRPr="00532C20">
        <w:rPr>
          <w:noProof/>
        </w:rPr>
        <w:t>s</w:t>
      </w:r>
      <w:r w:rsidRPr="00532C20">
        <w:rPr>
          <w:noProof/>
        </w:rPr>
        <w:t>?</w:t>
      </w:r>
      <w:bookmarkEnd w:id="830"/>
      <w:bookmarkEnd w:id="831"/>
      <w:bookmarkEnd w:id="832"/>
      <w:bookmarkEnd w:id="833"/>
    </w:p>
    <w:p w14:paraId="1A385DBF" w14:textId="04C4D2D3" w:rsidR="0077487C" w:rsidRPr="00532C20" w:rsidRDefault="0077487C" w:rsidP="00B216DD">
      <w:pPr>
        <w:pStyle w:val="11Subsection"/>
        <w:rPr>
          <w:noProof/>
        </w:rPr>
      </w:pPr>
      <w:bookmarkStart w:id="834" w:name="_Toc132820606"/>
      <w:bookmarkStart w:id="835" w:name="_Toc132893720"/>
      <w:bookmarkStart w:id="836" w:name="_Toc132820608"/>
      <w:bookmarkStart w:id="837" w:name="_Toc132893722"/>
      <w:bookmarkStart w:id="838" w:name="_Toc132820609"/>
      <w:bookmarkStart w:id="839" w:name="_Toc132893723"/>
      <w:bookmarkStart w:id="840" w:name="_Toc132820614"/>
      <w:bookmarkStart w:id="841" w:name="_Toc132893728"/>
      <w:bookmarkStart w:id="842" w:name="_Toc132820616"/>
      <w:bookmarkStart w:id="843" w:name="_Toc132893730"/>
      <w:bookmarkStart w:id="844" w:name="_Toc132820619"/>
      <w:bookmarkStart w:id="845" w:name="_Toc132893733"/>
      <w:bookmarkStart w:id="846" w:name="_Toc132820621"/>
      <w:bookmarkStart w:id="847" w:name="_Toc132893735"/>
      <w:bookmarkStart w:id="848" w:name="_Toc132820623"/>
      <w:bookmarkStart w:id="849" w:name="_Toc132893737"/>
      <w:bookmarkStart w:id="850" w:name="_Toc132820625"/>
      <w:bookmarkStart w:id="851" w:name="_Toc132893739"/>
      <w:bookmarkStart w:id="852" w:name="_Toc132820628"/>
      <w:bookmarkStart w:id="853" w:name="_Toc132893742"/>
      <w:bookmarkStart w:id="854" w:name="_Toc152864690"/>
      <w:bookmarkStart w:id="855" w:name="_Toc132810133"/>
      <w:bookmarkStart w:id="856" w:name="_Toc134028727"/>
      <w:bookmarkStart w:id="857" w:name="_Toc134620371"/>
      <w:bookmarkStart w:id="858" w:name="_Toc73562558"/>
      <w:bookmarkStart w:id="859" w:name="_Toc73551040"/>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Pr="00532C20">
        <w:rPr>
          <w:noProof/>
        </w:rPr>
        <w:t>The baseline scenario</w:t>
      </w:r>
      <w:bookmarkEnd w:id="854"/>
    </w:p>
    <w:p w14:paraId="79731056" w14:textId="1689D87D" w:rsidR="00D237F3" w:rsidRPr="00532C20" w:rsidRDefault="00372F48" w:rsidP="000D10D5">
      <w:pPr>
        <w:spacing w:after="120" w:line="240" w:lineRule="auto"/>
        <w:jc w:val="both"/>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T</w:t>
      </w:r>
      <w:r w:rsidR="00A17F63" w:rsidRPr="00532C20">
        <w:rPr>
          <w:rFonts w:ascii="Times New Roman" w:hAnsi="Times New Roman" w:cs="Times New Roman"/>
          <w:noProof/>
          <w:sz w:val="24"/>
          <w:szCs w:val="24"/>
          <w:lang w:val="en-IE" w:eastAsia="en-IE"/>
        </w:rPr>
        <w:t xml:space="preserve">he </w:t>
      </w:r>
      <w:r w:rsidR="0020608E" w:rsidRPr="00532C20">
        <w:rPr>
          <w:rFonts w:ascii="Times New Roman" w:hAnsi="Times New Roman" w:cs="Times New Roman"/>
          <w:noProof/>
          <w:sz w:val="24"/>
          <w:szCs w:val="24"/>
          <w:lang w:val="en-IE" w:eastAsia="en-IE"/>
        </w:rPr>
        <w:t>dynamic</w:t>
      </w:r>
      <w:r w:rsidR="00A17F63" w:rsidRPr="00532C20">
        <w:rPr>
          <w:rFonts w:ascii="Times New Roman" w:hAnsi="Times New Roman" w:cs="Times New Roman"/>
          <w:noProof/>
          <w:sz w:val="24"/>
          <w:szCs w:val="24"/>
          <w:lang w:val="en-IE" w:eastAsia="en-IE"/>
        </w:rPr>
        <w:t xml:space="preserve"> baseline scenario is </w:t>
      </w:r>
      <w:r w:rsidR="00C71EDC" w:rsidRPr="00532C20">
        <w:rPr>
          <w:rFonts w:ascii="Times New Roman" w:hAnsi="Times New Roman" w:cs="Times New Roman"/>
          <w:noProof/>
          <w:sz w:val="24"/>
          <w:szCs w:val="24"/>
          <w:lang w:val="en-IE" w:eastAsia="en-IE"/>
        </w:rPr>
        <w:t xml:space="preserve">already presented </w:t>
      </w:r>
      <w:r w:rsidR="00A17F63" w:rsidRPr="00532C20">
        <w:rPr>
          <w:rFonts w:ascii="Times New Roman" w:hAnsi="Times New Roman" w:cs="Times New Roman"/>
          <w:noProof/>
          <w:sz w:val="24"/>
          <w:szCs w:val="24"/>
          <w:lang w:val="en-IE" w:eastAsia="en-IE"/>
        </w:rPr>
        <w:t xml:space="preserve">under the </w:t>
      </w:r>
      <w:r w:rsidR="004D7BEC" w:rsidRPr="00532C20">
        <w:rPr>
          <w:rFonts w:ascii="Times New Roman" w:hAnsi="Times New Roman" w:cs="Times New Roman"/>
          <w:noProof/>
          <w:sz w:val="24"/>
          <w:szCs w:val="24"/>
          <w:lang w:val="en-IE" w:eastAsia="en-IE"/>
        </w:rPr>
        <w:t xml:space="preserve">section dedicated to </w:t>
      </w:r>
      <w:r w:rsidRPr="00532C20">
        <w:rPr>
          <w:rFonts w:ascii="Times New Roman" w:hAnsi="Times New Roman" w:cs="Times New Roman"/>
          <w:noProof/>
          <w:sz w:val="24"/>
          <w:szCs w:val="24"/>
          <w:lang w:val="en-IE" w:eastAsia="en-IE"/>
        </w:rPr>
        <w:t xml:space="preserve">the </w:t>
      </w:r>
      <w:r w:rsidR="004D7BEC" w:rsidRPr="00532C20">
        <w:rPr>
          <w:rFonts w:ascii="Times New Roman" w:hAnsi="Times New Roman" w:cs="Times New Roman"/>
          <w:noProof/>
          <w:sz w:val="24"/>
          <w:szCs w:val="24"/>
          <w:lang w:val="en-IE" w:eastAsia="en-IE"/>
        </w:rPr>
        <w:t xml:space="preserve">problem definition and </w:t>
      </w:r>
      <w:r w:rsidR="00B153B0" w:rsidRPr="00532C20">
        <w:rPr>
          <w:rFonts w:ascii="Times New Roman" w:hAnsi="Times New Roman" w:cs="Times New Roman"/>
          <w:noProof/>
          <w:sz w:val="24"/>
          <w:szCs w:val="24"/>
          <w:lang w:val="en-IE" w:eastAsia="en-IE"/>
        </w:rPr>
        <w:t>its</w:t>
      </w:r>
      <w:r w:rsidR="004D7BEC" w:rsidRPr="00532C20">
        <w:rPr>
          <w:rFonts w:ascii="Times New Roman" w:hAnsi="Times New Roman" w:cs="Times New Roman"/>
          <w:noProof/>
          <w:sz w:val="24"/>
          <w:szCs w:val="24"/>
          <w:lang w:val="en-IE" w:eastAsia="en-IE"/>
        </w:rPr>
        <w:t xml:space="preserve"> evolution</w:t>
      </w:r>
      <w:r w:rsidR="008E737E" w:rsidRPr="00532C20">
        <w:rPr>
          <w:rFonts w:ascii="Times New Roman" w:hAnsi="Times New Roman" w:cs="Times New Roman"/>
          <w:noProof/>
          <w:sz w:val="24"/>
          <w:szCs w:val="24"/>
          <w:lang w:val="en-IE" w:eastAsia="en-IE"/>
        </w:rPr>
        <w:t xml:space="preserve"> (see sections 2 and 3.2)</w:t>
      </w:r>
      <w:r w:rsidR="007F6A09" w:rsidRPr="00532C20">
        <w:rPr>
          <w:rFonts w:ascii="Times New Roman" w:hAnsi="Times New Roman" w:cs="Times New Roman"/>
          <w:noProof/>
          <w:sz w:val="24"/>
          <w:szCs w:val="24"/>
          <w:lang w:val="en-IE" w:eastAsia="en-IE"/>
        </w:rPr>
        <w:t xml:space="preserve">, while </w:t>
      </w:r>
      <w:r w:rsidR="00FD757D" w:rsidRPr="00532C20">
        <w:rPr>
          <w:rFonts w:ascii="Times New Roman" w:hAnsi="Times New Roman" w:cs="Times New Roman"/>
          <w:noProof/>
          <w:sz w:val="24"/>
          <w:szCs w:val="24"/>
          <w:lang w:val="en-IE" w:eastAsia="en-IE"/>
        </w:rPr>
        <w:t xml:space="preserve">Annex </w:t>
      </w:r>
      <w:r w:rsidR="0015623F" w:rsidRPr="00532C20">
        <w:rPr>
          <w:rFonts w:ascii="Times New Roman" w:hAnsi="Times New Roman" w:cs="Times New Roman"/>
          <w:noProof/>
          <w:sz w:val="24"/>
          <w:szCs w:val="24"/>
          <w:lang w:val="en-IE" w:eastAsia="en-IE"/>
        </w:rPr>
        <w:t>9</w:t>
      </w:r>
      <w:r w:rsidR="00D237F3" w:rsidRPr="00532C20">
        <w:rPr>
          <w:rFonts w:ascii="Times New Roman" w:hAnsi="Times New Roman" w:cs="Times New Roman"/>
          <w:noProof/>
          <w:sz w:val="24"/>
          <w:szCs w:val="24"/>
          <w:lang w:val="en-IE" w:eastAsia="en-IE"/>
        </w:rPr>
        <w:t xml:space="preserve"> </w:t>
      </w:r>
      <w:r w:rsidR="007F6A09" w:rsidRPr="00532C20">
        <w:rPr>
          <w:rFonts w:ascii="Times New Roman" w:hAnsi="Times New Roman" w:cs="Times New Roman"/>
          <w:noProof/>
          <w:sz w:val="24"/>
          <w:szCs w:val="24"/>
          <w:lang w:val="en-IE" w:eastAsia="en-IE"/>
        </w:rPr>
        <w:t xml:space="preserve">provides a detailed description of the measures currently in place </w:t>
      </w:r>
      <w:r w:rsidR="00946AF3" w:rsidRPr="00532C20">
        <w:rPr>
          <w:rFonts w:ascii="Times New Roman" w:hAnsi="Times New Roman" w:cs="Times New Roman"/>
          <w:noProof/>
          <w:sz w:val="24"/>
          <w:szCs w:val="24"/>
          <w:lang w:val="en-IE" w:eastAsia="en-IE"/>
        </w:rPr>
        <w:t xml:space="preserve">or proposed </w:t>
      </w:r>
      <w:r w:rsidR="007F6A09" w:rsidRPr="00532C20">
        <w:rPr>
          <w:rFonts w:ascii="Times New Roman" w:hAnsi="Times New Roman" w:cs="Times New Roman"/>
          <w:noProof/>
          <w:sz w:val="24"/>
          <w:szCs w:val="24"/>
          <w:lang w:val="en-IE" w:eastAsia="en-IE"/>
        </w:rPr>
        <w:t xml:space="preserve">in this area. </w:t>
      </w:r>
    </w:p>
    <w:p w14:paraId="040D9F34" w14:textId="30550BEE" w:rsidR="00F4167A" w:rsidRPr="00532C20" w:rsidRDefault="00F4167A" w:rsidP="00F4167A">
      <w:pPr>
        <w:spacing w:after="120" w:line="240" w:lineRule="auto"/>
        <w:jc w:val="both"/>
        <w:rPr>
          <w:rFonts w:ascii="Times New Roman" w:eastAsia="Arial Unicode MS" w:hAnsi="Times New Roman" w:cs="Times New Roman"/>
          <w:noProof/>
          <w:sz w:val="24"/>
          <w:szCs w:val="24"/>
          <w:lang w:val="en-IE"/>
        </w:rPr>
      </w:pPr>
      <w:r w:rsidRPr="00532C20">
        <w:rPr>
          <w:rFonts w:ascii="Times New Roman" w:eastAsia="Arial Unicode MS" w:hAnsi="Times New Roman" w:cs="Times New Roman"/>
          <w:noProof/>
          <w:sz w:val="24"/>
          <w:szCs w:val="24"/>
          <w:lang w:val="en-IE"/>
        </w:rPr>
        <w:t xml:space="preserve">Even </w:t>
      </w:r>
      <w:r w:rsidR="00A505B4" w:rsidRPr="00532C20">
        <w:rPr>
          <w:rFonts w:ascii="Times New Roman" w:eastAsia="Arial Unicode MS" w:hAnsi="Times New Roman" w:cs="Times New Roman"/>
          <w:noProof/>
          <w:sz w:val="24"/>
          <w:szCs w:val="24"/>
          <w:lang w:val="en-IE"/>
        </w:rPr>
        <w:t>existing</w:t>
      </w:r>
      <w:r w:rsidRPr="00532C20">
        <w:rPr>
          <w:rFonts w:ascii="Times New Roman" w:eastAsia="Arial Unicode MS" w:hAnsi="Times New Roman" w:cs="Times New Roman"/>
          <w:noProof/>
          <w:sz w:val="24"/>
          <w:szCs w:val="24"/>
          <w:lang w:val="en-IE"/>
        </w:rPr>
        <w:t xml:space="preserve"> </w:t>
      </w:r>
      <w:r w:rsidR="0082475E" w:rsidRPr="00532C20">
        <w:rPr>
          <w:rFonts w:ascii="Times New Roman" w:eastAsia="Arial Unicode MS" w:hAnsi="Times New Roman" w:cs="Times New Roman"/>
          <w:noProof/>
          <w:sz w:val="24"/>
          <w:szCs w:val="24"/>
          <w:lang w:val="en-IE"/>
        </w:rPr>
        <w:t>initiatives and legislation</w:t>
      </w:r>
      <w:r w:rsidRPr="00532C20">
        <w:rPr>
          <w:rFonts w:ascii="Times New Roman" w:eastAsia="Arial Unicode MS" w:hAnsi="Times New Roman" w:cs="Times New Roman"/>
          <w:noProof/>
          <w:sz w:val="24"/>
          <w:szCs w:val="24"/>
          <w:lang w:val="en-IE"/>
        </w:rPr>
        <w:t xml:space="preserve"> </w:t>
      </w:r>
      <w:r w:rsidR="0082475E" w:rsidRPr="00532C20">
        <w:rPr>
          <w:rFonts w:ascii="Times New Roman" w:eastAsia="Arial Unicode MS" w:hAnsi="Times New Roman" w:cs="Times New Roman"/>
          <w:noProof/>
          <w:sz w:val="24"/>
          <w:szCs w:val="24"/>
          <w:lang w:val="en-IE"/>
        </w:rPr>
        <w:t>at EU level (</w:t>
      </w:r>
      <w:r w:rsidRPr="00532C20">
        <w:rPr>
          <w:rFonts w:ascii="Times New Roman" w:eastAsia="Arial Unicode MS" w:hAnsi="Times New Roman" w:cs="Times New Roman"/>
          <w:noProof/>
          <w:sz w:val="24"/>
          <w:szCs w:val="24"/>
          <w:lang w:val="en-IE"/>
        </w:rPr>
        <w:t xml:space="preserve">from the European Democracy Action </w:t>
      </w:r>
      <w:r w:rsidR="00437511">
        <w:rPr>
          <w:rFonts w:ascii="Times New Roman" w:eastAsia="Arial Unicode MS" w:hAnsi="Times New Roman" w:cs="Times New Roman"/>
          <w:noProof/>
          <w:sz w:val="24"/>
          <w:szCs w:val="24"/>
          <w:lang w:val="en-IE"/>
        </w:rPr>
        <w:t>P</w:t>
      </w:r>
      <w:r w:rsidRPr="00532C20">
        <w:rPr>
          <w:rFonts w:ascii="Times New Roman" w:eastAsia="Arial Unicode MS" w:hAnsi="Times New Roman" w:cs="Times New Roman"/>
          <w:noProof/>
          <w:sz w:val="24"/>
          <w:szCs w:val="24"/>
          <w:lang w:val="en-IE"/>
        </w:rPr>
        <w:t>lan and beyond</w:t>
      </w:r>
      <w:r w:rsidR="0082475E" w:rsidRPr="00532C20">
        <w:rPr>
          <w:rFonts w:ascii="Times New Roman" w:eastAsia="Arial Unicode MS" w:hAnsi="Times New Roman" w:cs="Times New Roman"/>
          <w:noProof/>
          <w:sz w:val="24"/>
          <w:szCs w:val="24"/>
          <w:lang w:val="en-IE"/>
        </w:rPr>
        <w:t>)</w:t>
      </w:r>
      <w:r w:rsidRPr="00532C20">
        <w:rPr>
          <w:rFonts w:ascii="Times New Roman" w:eastAsia="Arial Unicode MS" w:hAnsi="Times New Roman" w:cs="Times New Roman"/>
          <w:noProof/>
          <w:sz w:val="24"/>
          <w:szCs w:val="24"/>
          <w:lang w:val="en-IE"/>
        </w:rPr>
        <w:t xml:space="preserve"> would continue to ensure transparency of certain attempts of foreign influence, such transparency </w:t>
      </w:r>
      <w:r w:rsidR="005A0BAE" w:rsidRPr="00532C20">
        <w:rPr>
          <w:rFonts w:ascii="Times New Roman" w:eastAsia="Arial Unicode MS" w:hAnsi="Times New Roman" w:cs="Times New Roman"/>
          <w:noProof/>
          <w:sz w:val="24"/>
          <w:szCs w:val="24"/>
          <w:lang w:val="en-IE"/>
        </w:rPr>
        <w:t>would</w:t>
      </w:r>
      <w:r w:rsidRPr="00532C20">
        <w:rPr>
          <w:rFonts w:ascii="Times New Roman" w:eastAsia="Arial Unicode MS" w:hAnsi="Times New Roman" w:cs="Times New Roman"/>
          <w:noProof/>
          <w:sz w:val="24"/>
          <w:szCs w:val="24"/>
          <w:lang w:val="en-IE"/>
        </w:rPr>
        <w:t xml:space="preserve"> </w:t>
      </w:r>
      <w:r w:rsidR="009B2366" w:rsidRPr="00532C20">
        <w:rPr>
          <w:rFonts w:ascii="Times New Roman" w:eastAsia="Arial Unicode MS" w:hAnsi="Times New Roman" w:cs="Times New Roman"/>
          <w:noProof/>
          <w:sz w:val="24"/>
          <w:szCs w:val="24"/>
          <w:lang w:val="en-IE"/>
        </w:rPr>
        <w:t>leave</w:t>
      </w:r>
      <w:r w:rsidRPr="00532C20">
        <w:rPr>
          <w:rFonts w:ascii="Times New Roman" w:eastAsia="Arial Unicode MS" w:hAnsi="Times New Roman" w:cs="Times New Roman"/>
          <w:noProof/>
          <w:sz w:val="24"/>
          <w:szCs w:val="24"/>
          <w:lang w:val="en-IE"/>
        </w:rPr>
        <w:t xml:space="preserve"> an important part uncovered – the role of interest representatives or lobbyists.</w:t>
      </w:r>
      <w:r w:rsidR="00492A00" w:rsidRPr="00532C20">
        <w:rPr>
          <w:rFonts w:ascii="Times New Roman" w:eastAsia="Arial Unicode MS" w:hAnsi="Times New Roman" w:cs="Times New Roman"/>
          <w:noProof/>
          <w:sz w:val="24"/>
          <w:szCs w:val="24"/>
          <w:lang w:val="en-IE"/>
        </w:rPr>
        <w:t xml:space="preserve"> Interest representation activities would not be effectively covered by the following instruments:</w:t>
      </w:r>
    </w:p>
    <w:p w14:paraId="19A152FA" w14:textId="77777777" w:rsidR="00062352" w:rsidRPr="00532C20" w:rsidRDefault="00062352" w:rsidP="00062352">
      <w:pPr>
        <w:pStyle w:val="ListParagraph"/>
        <w:numPr>
          <w:ilvl w:val="0"/>
          <w:numId w:val="97"/>
        </w:numPr>
        <w:spacing w:after="120"/>
        <w:contextualSpacing w:val="0"/>
        <w:jc w:val="both"/>
        <w:rPr>
          <w:rFonts w:ascii="Times New Roman" w:eastAsia="Arial Unicode MS" w:hAnsi="Times New Roman" w:cs="Times New Roman"/>
          <w:noProof/>
          <w:lang w:val="en-IE"/>
        </w:rPr>
      </w:pPr>
      <w:r w:rsidRPr="00532C20">
        <w:rPr>
          <w:rFonts w:ascii="Times New Roman" w:eastAsia="Arial Unicode MS" w:hAnsi="Times New Roman" w:cs="Times New Roman"/>
          <w:noProof/>
          <w:lang w:val="en-IE"/>
        </w:rPr>
        <w:t xml:space="preserve">the </w:t>
      </w:r>
      <w:r w:rsidRPr="00532C20">
        <w:rPr>
          <w:rFonts w:ascii="Times New Roman" w:eastAsia="Arial Unicode MS" w:hAnsi="Times New Roman" w:cs="Times New Roman"/>
          <w:b/>
          <w:noProof/>
          <w:lang w:val="en-IE"/>
        </w:rPr>
        <w:t>Political Advertising Regulation</w:t>
      </w:r>
      <w:r w:rsidRPr="00532C20">
        <w:rPr>
          <w:rFonts w:ascii="Times New Roman" w:eastAsia="Arial Unicode MS" w:hAnsi="Times New Roman" w:cs="Times New Roman"/>
          <w:noProof/>
          <w:lang w:val="en-IE"/>
        </w:rPr>
        <w:t xml:space="preserve"> would not cover interest representation activities</w:t>
      </w:r>
      <w:r w:rsidRPr="00532C20" w:rsidDel="00601243">
        <w:rPr>
          <w:rFonts w:ascii="Times New Roman" w:eastAsia="Arial Unicode MS" w:hAnsi="Times New Roman" w:cs="Times New Roman"/>
          <w:noProof/>
          <w:lang w:val="en-IE"/>
        </w:rPr>
        <w:t xml:space="preserve"> </w:t>
      </w:r>
      <w:r w:rsidRPr="00532C20">
        <w:rPr>
          <w:rFonts w:ascii="Times New Roman" w:eastAsia="Arial Unicode MS" w:hAnsi="Times New Roman" w:cs="Times New Roman"/>
          <w:noProof/>
          <w:lang w:val="en-IE"/>
        </w:rPr>
        <w:t>which do not also qualify as ‘political advertising’ (e.g. lobbying);</w:t>
      </w:r>
    </w:p>
    <w:p w14:paraId="5CF9066D" w14:textId="77777777" w:rsidR="00062352" w:rsidRPr="00532C20" w:rsidRDefault="00B56EFE" w:rsidP="00062352">
      <w:pPr>
        <w:pStyle w:val="ListParagraph"/>
        <w:numPr>
          <w:ilvl w:val="0"/>
          <w:numId w:val="97"/>
        </w:numPr>
        <w:spacing w:after="120"/>
        <w:contextualSpacing w:val="0"/>
        <w:jc w:val="both"/>
        <w:rPr>
          <w:rFonts w:ascii="Times New Roman" w:eastAsia="Arial Unicode MS" w:hAnsi="Times New Roman" w:cs="Times New Roman"/>
          <w:noProof/>
          <w:lang w:val="en-IE"/>
        </w:rPr>
      </w:pPr>
      <w:r w:rsidRPr="00532C20">
        <w:rPr>
          <w:rFonts w:ascii="Times New Roman" w:eastAsia="Arial Unicode MS" w:hAnsi="Times New Roman" w:cs="Times New Roman"/>
          <w:noProof/>
          <w:lang w:val="en-IE"/>
        </w:rPr>
        <w:t xml:space="preserve">the </w:t>
      </w:r>
      <w:r w:rsidR="00062352" w:rsidRPr="00532C20">
        <w:rPr>
          <w:rFonts w:ascii="Times New Roman" w:eastAsia="Arial Unicode MS" w:hAnsi="Times New Roman" w:cs="Times New Roman"/>
          <w:b/>
          <w:noProof/>
          <w:lang w:val="en-IE"/>
        </w:rPr>
        <w:t>European Media Freedom Act</w:t>
      </w:r>
      <w:r w:rsidRPr="00532C20">
        <w:rPr>
          <w:rFonts w:ascii="Times New Roman" w:eastAsia="Calibri" w:hAnsi="Times New Roman" w:cs="Times New Roman"/>
          <w:noProof/>
          <w:vertAlign w:val="superscript"/>
        </w:rPr>
        <w:t xml:space="preserve"> </w:t>
      </w:r>
      <w:r w:rsidRPr="00532C20">
        <w:rPr>
          <w:rFonts w:ascii="Times New Roman" w:eastAsia="Arial Unicode MS" w:hAnsi="Times New Roman" w:cs="Times New Roman"/>
          <w:noProof/>
          <w:lang w:val="en-IE"/>
        </w:rPr>
        <w:t xml:space="preserve">would not ensure transparency of instances where </w:t>
      </w:r>
      <w:r w:rsidR="00062352" w:rsidRPr="00532C20">
        <w:rPr>
          <w:rFonts w:ascii="Times New Roman" w:eastAsia="Arial Unicode MS" w:hAnsi="Times New Roman" w:cs="Times New Roman"/>
          <w:noProof/>
          <w:lang w:val="en-IE"/>
        </w:rPr>
        <w:t>a third country obtains interest representation activities from a media service provider</w:t>
      </w:r>
      <w:r w:rsidRPr="00532C20">
        <w:rPr>
          <w:rFonts w:ascii="Times New Roman" w:eastAsia="Arial Unicode MS" w:hAnsi="Times New Roman" w:cs="Times New Roman"/>
          <w:noProof/>
          <w:lang w:val="en-IE"/>
        </w:rPr>
        <w:t>;</w:t>
      </w:r>
      <w:r w:rsidR="00062352" w:rsidRPr="00532C20">
        <w:rPr>
          <w:rFonts w:ascii="Times New Roman" w:eastAsia="Arial Unicode MS" w:hAnsi="Times New Roman" w:cs="Times New Roman"/>
          <w:noProof/>
          <w:lang w:val="en-IE"/>
        </w:rPr>
        <w:t xml:space="preserve"> </w:t>
      </w:r>
    </w:p>
    <w:p w14:paraId="587879FC" w14:textId="77777777" w:rsidR="00B56EFE" w:rsidRPr="00532C20" w:rsidRDefault="00B56EFE" w:rsidP="00B56EFE">
      <w:pPr>
        <w:pStyle w:val="ListParagraph"/>
        <w:numPr>
          <w:ilvl w:val="0"/>
          <w:numId w:val="97"/>
        </w:numPr>
        <w:spacing w:after="120"/>
        <w:contextualSpacing w:val="0"/>
        <w:jc w:val="both"/>
        <w:rPr>
          <w:rFonts w:ascii="Times New Roman" w:eastAsia="Arial Unicode MS" w:hAnsi="Times New Roman" w:cs="Times New Roman"/>
          <w:noProof/>
          <w:lang w:val="en-IE"/>
        </w:rPr>
      </w:pPr>
      <w:r w:rsidRPr="00532C20">
        <w:rPr>
          <w:rFonts w:ascii="Times New Roman" w:eastAsia="Arial Unicode MS" w:hAnsi="Times New Roman" w:cs="Times New Roman"/>
          <w:noProof/>
          <w:lang w:val="en-IE"/>
        </w:rPr>
        <w:t xml:space="preserve">the </w:t>
      </w:r>
      <w:r w:rsidRPr="00532C20">
        <w:rPr>
          <w:rFonts w:ascii="Times New Roman" w:eastAsia="Arial Unicode MS" w:hAnsi="Times New Roman" w:cs="Times New Roman"/>
          <w:b/>
          <w:noProof/>
          <w:lang w:val="en-IE"/>
        </w:rPr>
        <w:t>Digital Services Act</w:t>
      </w:r>
      <w:r w:rsidRPr="00532C20">
        <w:rPr>
          <w:rFonts w:ascii="Times New Roman" w:eastAsia="Arial Unicode MS" w:hAnsi="Times New Roman" w:cs="Times New Roman"/>
          <w:noProof/>
          <w:lang w:val="en-IE"/>
        </w:rPr>
        <w:t xml:space="preserve"> would not cover </w:t>
      </w:r>
      <w:r w:rsidR="009B2366" w:rsidRPr="00532C20">
        <w:rPr>
          <w:rFonts w:ascii="Times New Roman" w:eastAsia="Arial Unicode MS" w:hAnsi="Times New Roman" w:cs="Times New Roman"/>
          <w:noProof/>
          <w:lang w:val="en-IE"/>
        </w:rPr>
        <w:t xml:space="preserve">providers of </w:t>
      </w:r>
      <w:r w:rsidRPr="00532C20">
        <w:rPr>
          <w:rFonts w:ascii="Times New Roman" w:eastAsia="Arial Unicode MS" w:hAnsi="Times New Roman" w:cs="Times New Roman"/>
          <w:noProof/>
          <w:lang w:val="en-IE"/>
        </w:rPr>
        <w:t>interest representation activities covered by the initiative as they are not ‘intermediary services’;</w:t>
      </w:r>
    </w:p>
    <w:p w14:paraId="20EC9217" w14:textId="77777777" w:rsidR="00CC4740" w:rsidRPr="00532C20" w:rsidRDefault="00CC4740" w:rsidP="00CC4740">
      <w:pPr>
        <w:pStyle w:val="ListParagraph"/>
        <w:numPr>
          <w:ilvl w:val="0"/>
          <w:numId w:val="97"/>
        </w:numPr>
        <w:pBdr>
          <w:top w:val="nil"/>
          <w:left w:val="nil"/>
          <w:bottom w:val="nil"/>
          <w:right w:val="nil"/>
          <w:between w:val="nil"/>
          <w:bar w:val="nil"/>
        </w:pBdr>
        <w:spacing w:after="120"/>
        <w:contextualSpacing w:val="0"/>
        <w:jc w:val="both"/>
        <w:rPr>
          <w:rFonts w:ascii="Times New Roman" w:eastAsia="Arial Unicode MS" w:hAnsi="Times New Roman" w:cs="Times New Roman"/>
          <w:noProof/>
          <w:lang w:val="en-IE"/>
        </w:rPr>
      </w:pPr>
      <w:r w:rsidRPr="00532C20">
        <w:rPr>
          <w:rFonts w:ascii="Times New Roman" w:eastAsia="Arial Unicode MS" w:hAnsi="Times New Roman" w:cs="Times New Roman"/>
          <w:noProof/>
          <w:lang w:val="en-IE"/>
        </w:rPr>
        <w:t xml:space="preserve">the </w:t>
      </w:r>
      <w:r w:rsidRPr="00532C20">
        <w:rPr>
          <w:rFonts w:ascii="Times New Roman" w:eastAsia="Arial Unicode MS" w:hAnsi="Times New Roman" w:cs="Times New Roman"/>
          <w:b/>
          <w:noProof/>
          <w:lang w:val="en-IE"/>
        </w:rPr>
        <w:t>Audiovisual Media Services Directive</w:t>
      </w:r>
      <w:r w:rsidRPr="00532C20">
        <w:rPr>
          <w:rFonts w:ascii="Times New Roman" w:eastAsia="Calibri" w:hAnsi="Times New Roman" w:cs="Times New Roman"/>
          <w:noProof/>
          <w:vertAlign w:val="superscript"/>
        </w:rPr>
        <w:footnoteReference w:id="156"/>
      </w:r>
      <w:r w:rsidRPr="00532C20">
        <w:rPr>
          <w:rFonts w:ascii="Times New Roman" w:eastAsia="Arial Unicode MS" w:hAnsi="Times New Roman" w:cs="Times New Roman"/>
          <w:b/>
          <w:noProof/>
          <w:lang w:val="en-IE"/>
        </w:rPr>
        <w:t xml:space="preserve"> (AVMSD)</w:t>
      </w:r>
      <w:r w:rsidRPr="00532C20">
        <w:rPr>
          <w:rFonts w:ascii="Times New Roman" w:eastAsia="Arial Unicode MS" w:hAnsi="Times New Roman" w:cs="Times New Roman"/>
          <w:noProof/>
        </w:rPr>
        <w:t xml:space="preserve"> would not cover interest representation </w:t>
      </w:r>
      <w:r w:rsidR="009B2366" w:rsidRPr="00532C20">
        <w:rPr>
          <w:rFonts w:ascii="Times New Roman" w:eastAsia="Arial Unicode MS" w:hAnsi="Times New Roman" w:cs="Times New Roman"/>
          <w:noProof/>
        </w:rPr>
        <w:t>activities</w:t>
      </w:r>
      <w:r w:rsidRPr="00532C20">
        <w:rPr>
          <w:rFonts w:ascii="Times New Roman" w:eastAsia="Arial Unicode MS" w:hAnsi="Times New Roman" w:cs="Times New Roman"/>
          <w:noProof/>
        </w:rPr>
        <w:t xml:space="preserve"> given that </w:t>
      </w:r>
      <w:r w:rsidRPr="00532C20">
        <w:rPr>
          <w:rFonts w:ascii="Times New Roman" w:eastAsia="Arial Unicode MS" w:hAnsi="Times New Roman" w:cs="Times New Roman"/>
          <w:noProof/>
          <w:lang w:val="en-IE"/>
        </w:rPr>
        <w:t xml:space="preserve">advertising campaigns </w:t>
      </w:r>
      <w:r w:rsidR="009B2366" w:rsidRPr="00532C20">
        <w:rPr>
          <w:rFonts w:ascii="Times New Roman" w:eastAsia="Arial Unicode MS" w:hAnsi="Times New Roman" w:cs="Times New Roman"/>
          <w:noProof/>
          <w:lang w:val="en-IE"/>
        </w:rPr>
        <w:t>covered by the notion of interest representation</w:t>
      </w:r>
      <w:r w:rsidRPr="00532C20">
        <w:rPr>
          <w:rFonts w:ascii="Times New Roman" w:eastAsia="Arial Unicode MS" w:hAnsi="Times New Roman" w:cs="Times New Roman"/>
          <w:noProof/>
          <w:lang w:val="en-IE"/>
        </w:rPr>
        <w:t>are unlikely to fall within the scope of the AVMSD, whose advertising rules are focused on the promotion of goods and services;</w:t>
      </w:r>
    </w:p>
    <w:p w14:paraId="2EAD3228" w14:textId="49B767BA" w:rsidR="00062352" w:rsidRPr="00532C20" w:rsidRDefault="00ED21B4" w:rsidP="00582553">
      <w:pPr>
        <w:pStyle w:val="ListParagraph"/>
        <w:numPr>
          <w:ilvl w:val="0"/>
          <w:numId w:val="97"/>
        </w:numPr>
        <w:pBdr>
          <w:top w:val="nil"/>
          <w:left w:val="nil"/>
          <w:bottom w:val="nil"/>
          <w:right w:val="nil"/>
          <w:between w:val="nil"/>
          <w:bar w:val="nil"/>
        </w:pBdr>
        <w:spacing w:after="120"/>
        <w:contextualSpacing w:val="0"/>
        <w:jc w:val="both"/>
        <w:rPr>
          <w:rFonts w:ascii="Times New Roman" w:eastAsia="Arial Unicode MS" w:hAnsi="Times New Roman" w:cs="Times New Roman"/>
          <w:noProof/>
          <w:lang w:val="en-IE"/>
        </w:rPr>
      </w:pPr>
      <w:r w:rsidRPr="00532C20">
        <w:rPr>
          <w:rFonts w:ascii="Times New Roman" w:eastAsia="Arial Unicode MS" w:hAnsi="Times New Roman" w:cs="Times New Roman"/>
          <w:noProof/>
          <w:lang w:val="en-IE"/>
        </w:rPr>
        <w:t>T</w:t>
      </w:r>
      <w:r w:rsidR="00CC4740" w:rsidRPr="00532C20">
        <w:rPr>
          <w:rFonts w:ascii="Times New Roman" w:eastAsia="Arial Unicode MS" w:hAnsi="Times New Roman" w:cs="Times New Roman"/>
          <w:noProof/>
          <w:lang w:val="en-IE"/>
        </w:rPr>
        <w:t xml:space="preserve">he </w:t>
      </w:r>
      <w:r w:rsidR="00CC4740" w:rsidRPr="00532C20">
        <w:rPr>
          <w:rFonts w:ascii="Times New Roman" w:eastAsia="Arial Unicode MS" w:hAnsi="Times New Roman" w:cs="Times New Roman"/>
          <w:b/>
          <w:noProof/>
          <w:lang w:val="en-IE"/>
        </w:rPr>
        <w:t>EU transparency register</w:t>
      </w:r>
      <w:r w:rsidRPr="00532C20">
        <w:rPr>
          <w:rFonts w:ascii="Times New Roman" w:eastAsia="Arial Unicode MS" w:hAnsi="Times New Roman" w:cs="Times New Roman"/>
          <w:noProof/>
          <w:lang w:val="en-IE"/>
        </w:rPr>
        <w:t xml:space="preserve"> would continue to apply. However, such </w:t>
      </w:r>
      <w:r w:rsidR="00487E74" w:rsidRPr="00532C20">
        <w:rPr>
          <w:rFonts w:ascii="Times New Roman" w:eastAsia="Arial Unicode MS" w:hAnsi="Times New Roman" w:cs="Times New Roman"/>
          <w:noProof/>
          <w:lang w:val="en-IE"/>
        </w:rPr>
        <w:t>Register</w:t>
      </w:r>
      <w:r w:rsidRPr="00532C20">
        <w:rPr>
          <w:rFonts w:ascii="Times New Roman" w:eastAsia="Arial Unicode MS" w:hAnsi="Times New Roman" w:cs="Times New Roman"/>
          <w:noProof/>
          <w:lang w:val="en-IE"/>
        </w:rPr>
        <w:t xml:space="preserve"> </w:t>
      </w:r>
      <w:r w:rsidR="00487E74" w:rsidRPr="00532C20">
        <w:rPr>
          <w:rFonts w:ascii="Times New Roman" w:eastAsia="Arial Unicode MS" w:hAnsi="Times New Roman" w:cs="Times New Roman"/>
          <w:noProof/>
          <w:lang w:val="en-IE"/>
        </w:rPr>
        <w:t>is</w:t>
      </w:r>
      <w:r w:rsidRPr="00532C20">
        <w:rPr>
          <w:rFonts w:ascii="Times New Roman" w:eastAsia="Arial Unicode MS" w:hAnsi="Times New Roman" w:cs="Times New Roman"/>
          <w:noProof/>
          <w:lang w:val="en-IE"/>
        </w:rPr>
        <w:t xml:space="preserve"> not </w:t>
      </w:r>
      <w:r w:rsidR="009B2366" w:rsidRPr="00532C20">
        <w:rPr>
          <w:rFonts w:ascii="Times New Roman" w:eastAsia="Arial Unicode MS" w:hAnsi="Times New Roman" w:cs="Times New Roman"/>
          <w:noProof/>
          <w:lang w:val="en-IE"/>
        </w:rPr>
        <w:t>binding,</w:t>
      </w:r>
      <w:r w:rsidRPr="00532C20">
        <w:rPr>
          <w:rFonts w:ascii="Times New Roman" w:eastAsia="Arial Unicode MS" w:hAnsi="Times New Roman" w:cs="Times New Roman"/>
          <w:noProof/>
          <w:lang w:val="en-IE"/>
        </w:rPr>
        <w:t xml:space="preserve"> and</w:t>
      </w:r>
      <w:r w:rsidR="00487E74" w:rsidRPr="00532C20">
        <w:rPr>
          <w:rFonts w:ascii="Times New Roman" w:eastAsia="Arial Unicode MS" w:hAnsi="Times New Roman" w:cs="Times New Roman"/>
          <w:noProof/>
          <w:lang w:val="en-IE"/>
        </w:rPr>
        <w:t xml:space="preserve"> the standards</w:t>
      </w:r>
      <w:r w:rsidRPr="00532C20">
        <w:rPr>
          <w:rFonts w:ascii="Times New Roman" w:eastAsia="Arial Unicode MS" w:hAnsi="Times New Roman" w:cs="Times New Roman"/>
          <w:noProof/>
          <w:lang w:val="en-IE"/>
        </w:rPr>
        <w:t xml:space="preserve"> are</w:t>
      </w:r>
      <w:r w:rsidR="00CC4740" w:rsidRPr="00532C20">
        <w:rPr>
          <w:rFonts w:ascii="Times New Roman" w:eastAsia="Arial Unicode MS" w:hAnsi="Times New Roman" w:cs="Times New Roman"/>
          <w:noProof/>
          <w:lang w:val="en-IE"/>
        </w:rPr>
        <w:t xml:space="preserve"> limited to interest representation activities directed at EU institutions and its decision</w:t>
      </w:r>
      <w:r w:rsidR="00980695">
        <w:rPr>
          <w:rFonts w:ascii="Times New Roman" w:eastAsia="Arial Unicode MS" w:hAnsi="Times New Roman" w:cs="Times New Roman"/>
          <w:noProof/>
          <w:lang w:val="en-IE"/>
        </w:rPr>
        <w:t>-</w:t>
      </w:r>
      <w:r w:rsidR="00CC4740" w:rsidRPr="00532C20">
        <w:rPr>
          <w:rFonts w:ascii="Times New Roman" w:eastAsia="Arial Unicode MS" w:hAnsi="Times New Roman" w:cs="Times New Roman"/>
          <w:noProof/>
          <w:lang w:val="en-IE"/>
        </w:rPr>
        <w:t xml:space="preserve">makers. </w:t>
      </w:r>
      <w:r w:rsidRPr="00532C20">
        <w:rPr>
          <w:rFonts w:ascii="Times New Roman" w:eastAsia="Arial Unicode MS" w:hAnsi="Times New Roman" w:cs="Times New Roman"/>
          <w:noProof/>
          <w:lang w:val="en-IE"/>
        </w:rPr>
        <w:t>Interest representation activities carried out with the objective of influencing national policy, legislation or decision</w:t>
      </w:r>
      <w:r w:rsidR="00187F71" w:rsidRPr="00532C20">
        <w:rPr>
          <w:rFonts w:ascii="Times New Roman" w:eastAsia="Arial Unicode MS" w:hAnsi="Times New Roman" w:cs="Times New Roman"/>
          <w:noProof/>
          <w:lang w:val="en-IE"/>
        </w:rPr>
        <w:t>-</w:t>
      </w:r>
      <w:r w:rsidRPr="00532C20">
        <w:rPr>
          <w:rFonts w:ascii="Times New Roman" w:eastAsia="Arial Unicode MS" w:hAnsi="Times New Roman" w:cs="Times New Roman"/>
          <w:noProof/>
          <w:lang w:val="en-IE"/>
        </w:rPr>
        <w:t>making processes would not be covered.</w:t>
      </w:r>
    </w:p>
    <w:p w14:paraId="4569EC0B" w14:textId="1FFF94F4" w:rsidR="00492A00" w:rsidRPr="00532C20" w:rsidRDefault="00937CF9" w:rsidP="00582553">
      <w:pPr>
        <w:pStyle w:val="BodyText"/>
        <w:rPr>
          <w:noProof/>
          <w:szCs w:val="28"/>
          <w:lang w:val="en-IE" w:eastAsia="en-GB"/>
        </w:rPr>
      </w:pPr>
      <w:r w:rsidRPr="00532C20">
        <w:rPr>
          <w:noProof/>
          <w:szCs w:val="28"/>
          <w:lang w:val="en-IE" w:eastAsia="en-GB"/>
        </w:rPr>
        <w:t>The EU’s toolbox to tackle Foreign Information Manipulation and Interference (FIMI Toolbox</w:t>
      </w:r>
      <w:r w:rsidR="003B00A7" w:rsidRPr="00532C20">
        <w:rPr>
          <w:noProof/>
          <w:szCs w:val="28"/>
          <w:lang w:val="en-IE" w:eastAsia="en-GB"/>
        </w:rPr>
        <w:t xml:space="preserve">) </w:t>
      </w:r>
      <w:r w:rsidRPr="00532C20">
        <w:rPr>
          <w:noProof/>
          <w:szCs w:val="28"/>
          <w:lang w:val="en-IE" w:eastAsia="en-GB"/>
        </w:rPr>
        <w:t xml:space="preserve">would continue to </w:t>
      </w:r>
      <w:r w:rsidR="00191004" w:rsidRPr="00532C20">
        <w:rPr>
          <w:noProof/>
          <w:szCs w:val="28"/>
          <w:lang w:val="en-IE" w:eastAsia="en-GB"/>
        </w:rPr>
        <w:t>inventory the EU’s approach to FIMI and disinformation</w:t>
      </w:r>
      <w:r w:rsidR="005C7C8F" w:rsidRPr="00532C20">
        <w:rPr>
          <w:noProof/>
          <w:szCs w:val="28"/>
          <w:lang w:val="en-IE" w:eastAsia="en-GB"/>
        </w:rPr>
        <w:t>.</w:t>
      </w:r>
      <w:r w:rsidR="001D63FF" w:rsidRPr="00532C20">
        <w:rPr>
          <w:noProof/>
          <w:szCs w:val="28"/>
          <w:lang w:val="en-IE" w:eastAsia="en-GB"/>
        </w:rPr>
        <w:t xml:space="preserve"> However, in the absence of an initiative on interest representation, it would not benefit from </w:t>
      </w:r>
      <w:r w:rsidR="003B00A7" w:rsidRPr="00532C20">
        <w:rPr>
          <w:noProof/>
          <w:szCs w:val="28"/>
          <w:lang w:val="en-IE" w:eastAsia="en-GB"/>
        </w:rPr>
        <w:t>the data obtained through this initiative, which could support developing</w:t>
      </w:r>
      <w:r w:rsidR="001D63FF" w:rsidRPr="00532C20">
        <w:rPr>
          <w:noProof/>
          <w:szCs w:val="28"/>
          <w:lang w:val="en-IE" w:eastAsia="en-GB"/>
        </w:rPr>
        <w:t xml:space="preserve"> </w:t>
      </w:r>
      <w:r w:rsidR="00010278">
        <w:rPr>
          <w:noProof/>
          <w:szCs w:val="28"/>
          <w:lang w:val="en-IE" w:eastAsia="en-GB"/>
        </w:rPr>
        <w:t xml:space="preserve">an </w:t>
      </w:r>
      <w:r w:rsidR="001D63FF" w:rsidRPr="00532C20">
        <w:rPr>
          <w:noProof/>
          <w:szCs w:val="28"/>
          <w:lang w:val="en-IE" w:eastAsia="en-GB"/>
        </w:rPr>
        <w:t>overview of such activities when used to manipulate or interfere</w:t>
      </w:r>
      <w:r w:rsidR="003B00A7" w:rsidRPr="00532C20">
        <w:rPr>
          <w:noProof/>
          <w:szCs w:val="28"/>
          <w:lang w:val="en-IE" w:eastAsia="en-GB"/>
        </w:rPr>
        <w:t>.</w:t>
      </w:r>
    </w:p>
    <w:p w14:paraId="0B912EBA" w14:textId="6E4D6917" w:rsidR="00487E74" w:rsidRPr="00532C20" w:rsidRDefault="00487E74" w:rsidP="00487E74">
      <w:pPr>
        <w:spacing w:after="120" w:line="240" w:lineRule="auto"/>
        <w:jc w:val="both"/>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 xml:space="preserve">In a nutshell, other initiatives would not address the objective of reducing the fragmentation in the regulation of cross-border interest representation activities carried out on behalf of third countries in the internal market (which is expected to increase). As regards the objective of improving knowledge about the magnitude, trends and actors of interest representation carried out on behalf of third countries, the existing initiatives at EU level do not address the lack of </w:t>
      </w:r>
      <w:r w:rsidR="00115D42">
        <w:rPr>
          <w:rFonts w:ascii="Times New Roman" w:hAnsi="Times New Roman" w:cs="Times New Roman"/>
          <w:noProof/>
          <w:sz w:val="24"/>
          <w:szCs w:val="24"/>
          <w:lang w:val="en-IE" w:eastAsia="en-IE"/>
        </w:rPr>
        <w:t xml:space="preserve">an </w:t>
      </w:r>
      <w:r w:rsidRPr="00532C20">
        <w:rPr>
          <w:rFonts w:ascii="Times New Roman" w:hAnsi="Times New Roman" w:cs="Times New Roman"/>
          <w:noProof/>
          <w:sz w:val="24"/>
          <w:szCs w:val="24"/>
          <w:lang w:val="en-IE" w:eastAsia="en-IE"/>
        </w:rPr>
        <w:t xml:space="preserve">overall understanding of the phenomenon and the specific collection of data. </w:t>
      </w:r>
    </w:p>
    <w:p w14:paraId="0A4C85BD" w14:textId="4F964754" w:rsidR="00E00818" w:rsidRPr="0006475C" w:rsidRDefault="00487E74" w:rsidP="000D10D5">
      <w:pPr>
        <w:spacing w:after="120" w:line="240" w:lineRule="auto"/>
        <w:jc w:val="both"/>
        <w:rPr>
          <w:rFonts w:ascii="Times New Roman" w:hAnsi="Times New Roman" w:cs="Times New Roman"/>
          <w:noProof/>
          <w:sz w:val="28"/>
          <w:szCs w:val="28"/>
          <w:lang w:eastAsia="en-IE"/>
        </w:rPr>
      </w:pPr>
      <w:r w:rsidRPr="0006475C">
        <w:rPr>
          <w:rFonts w:ascii="Times New Roman" w:hAnsi="Times New Roman" w:cs="Times New Roman"/>
          <w:noProof/>
          <w:sz w:val="24"/>
          <w:szCs w:val="24"/>
          <w:lang w:val="en-IE" w:eastAsia="en-IE"/>
        </w:rPr>
        <w:t>Furthermore, any interventions at Member State level would not necessarily be equipped with the robust safeguards envisaged by the initiative</w:t>
      </w:r>
      <w:r w:rsidR="00582553" w:rsidRPr="0006475C">
        <w:rPr>
          <w:rFonts w:ascii="Times New Roman" w:hAnsi="Times New Roman" w:cs="Times New Roman"/>
          <w:noProof/>
          <w:sz w:val="24"/>
          <w:szCs w:val="24"/>
          <w:lang w:val="en-IE" w:eastAsia="en-IE"/>
        </w:rPr>
        <w:t xml:space="preserve"> </w:t>
      </w:r>
      <w:r w:rsidRPr="0006475C">
        <w:rPr>
          <w:rFonts w:ascii="Times New Roman" w:hAnsi="Times New Roman" w:cs="Times New Roman"/>
          <w:noProof/>
          <w:sz w:val="24"/>
          <w:szCs w:val="24"/>
          <w:lang w:val="en-IE" w:eastAsia="en-IE"/>
        </w:rPr>
        <w:t>and may result disproportionate.</w:t>
      </w:r>
      <w:r w:rsidR="00A6113D" w:rsidRPr="0006475C">
        <w:rPr>
          <w:rFonts w:ascii="Times New Roman" w:hAnsi="Times New Roman" w:cs="Times New Roman"/>
          <w:noProof/>
          <w:sz w:val="24"/>
          <w:szCs w:val="24"/>
          <w:lang w:val="en-IE" w:eastAsia="en-IE"/>
        </w:rPr>
        <w:t xml:space="preserve"> </w:t>
      </w:r>
    </w:p>
    <w:p w14:paraId="728548C5" w14:textId="257780D5" w:rsidR="00A17F63" w:rsidRPr="00532C20" w:rsidRDefault="007931F9" w:rsidP="00B216DD">
      <w:pPr>
        <w:pStyle w:val="11Subsection"/>
        <w:rPr>
          <w:noProof/>
        </w:rPr>
      </w:pPr>
      <w:bookmarkStart w:id="860" w:name="_Toc152864691"/>
      <w:r w:rsidRPr="00532C20">
        <w:rPr>
          <w:noProof/>
        </w:rPr>
        <w:t xml:space="preserve">Assessment of the </w:t>
      </w:r>
      <w:r w:rsidR="000447F8" w:rsidRPr="00532C20">
        <w:rPr>
          <w:noProof/>
        </w:rPr>
        <w:t>o</w:t>
      </w:r>
      <w:r w:rsidRPr="00532C20">
        <w:rPr>
          <w:noProof/>
        </w:rPr>
        <w:t>ptions</w:t>
      </w:r>
      <w:bookmarkEnd w:id="860"/>
    </w:p>
    <w:p w14:paraId="187DAC6D" w14:textId="58632492" w:rsidR="000447F8" w:rsidRPr="00532C20" w:rsidRDefault="000447F8" w:rsidP="002A5340">
      <w:pPr>
        <w:spacing w:after="120" w:line="240" w:lineRule="auto"/>
        <w:jc w:val="both"/>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 xml:space="preserve">The policy options were evaluated for the following economic, social, fundamental rights and geopolitical impacts. </w:t>
      </w:r>
      <w:r w:rsidR="00C32127" w:rsidRPr="00532C20">
        <w:rPr>
          <w:rFonts w:ascii="Times New Roman" w:hAnsi="Times New Roman" w:cs="Times New Roman"/>
          <w:noProof/>
          <w:sz w:val="24"/>
          <w:szCs w:val="24"/>
          <w:lang w:val="en-IE"/>
        </w:rPr>
        <w:t>The assessment of impacts did not identify any relevant environmental impacts. The options</w:t>
      </w:r>
      <w:r w:rsidR="00C32127" w:rsidRPr="00532C20" w:rsidDel="00046C44">
        <w:rPr>
          <w:rFonts w:ascii="Times New Roman" w:hAnsi="Times New Roman" w:cs="Times New Roman"/>
          <w:noProof/>
          <w:sz w:val="24"/>
          <w:szCs w:val="24"/>
          <w:lang w:val="en-IE"/>
        </w:rPr>
        <w:t xml:space="preserve"> </w:t>
      </w:r>
      <w:r w:rsidR="00C32127" w:rsidRPr="00532C20">
        <w:rPr>
          <w:rFonts w:ascii="Times New Roman" w:hAnsi="Times New Roman" w:cs="Times New Roman"/>
          <w:noProof/>
          <w:sz w:val="24"/>
          <w:szCs w:val="24"/>
          <w:lang w:val="en-IE"/>
        </w:rPr>
        <w:t xml:space="preserve">will therefore respect the “do no significant harm” </w:t>
      </w:r>
      <w:r w:rsidR="001B5B73" w:rsidRPr="001B5B73">
        <w:rPr>
          <w:rFonts w:ascii="Times New Roman" w:hAnsi="Times New Roman" w:cs="Times New Roman"/>
          <w:noProof/>
          <w:sz w:val="24"/>
          <w:szCs w:val="24"/>
          <w:lang w:val="en-IE"/>
        </w:rPr>
        <w:t>principle and is consistent with the climate neutrality objective, its intermediate targets and the adaptation objectives as set out in the European Climate Law</w:t>
      </w:r>
      <w:r w:rsidR="00C32127" w:rsidRPr="00532C20">
        <w:rPr>
          <w:rStyle w:val="FootnoteReference"/>
          <w:rFonts w:ascii="Times New Roman" w:hAnsi="Times New Roman" w:cs="Times New Roman"/>
          <w:noProof/>
          <w:sz w:val="24"/>
          <w:szCs w:val="24"/>
          <w:lang w:val="en-IE"/>
        </w:rPr>
        <w:footnoteReference w:id="157"/>
      </w:r>
      <w:r w:rsidR="00C32127" w:rsidRPr="00532C20">
        <w:rPr>
          <w:rFonts w:ascii="Times New Roman" w:hAnsi="Times New Roman" w:cs="Times New Roman"/>
          <w:noProof/>
          <w:sz w:val="24"/>
          <w:szCs w:val="24"/>
          <w:lang w:val="en-IE"/>
        </w:rPr>
        <w:t>.</w:t>
      </w:r>
    </w:p>
    <w:p w14:paraId="410D037B" w14:textId="37982082" w:rsidR="006C08F5" w:rsidRPr="00532C20" w:rsidRDefault="006C08F5" w:rsidP="004B0958">
      <w:pPr>
        <w:pStyle w:val="111level3title"/>
        <w:spacing w:line="240" w:lineRule="auto"/>
        <w:rPr>
          <w:rFonts w:cs="Times New Roman"/>
          <w:noProof/>
        </w:rPr>
      </w:pPr>
      <w:bookmarkStart w:id="861" w:name="_Toc134028729"/>
      <w:bookmarkStart w:id="862" w:name="_Toc134620373"/>
      <w:bookmarkStart w:id="863" w:name="_Toc152864692"/>
      <w:bookmarkEnd w:id="855"/>
      <w:bookmarkEnd w:id="856"/>
      <w:bookmarkEnd w:id="857"/>
      <w:r w:rsidRPr="00532C20">
        <w:rPr>
          <w:noProof/>
        </w:rPr>
        <w:t>Economic impacts</w:t>
      </w:r>
      <w:bookmarkEnd w:id="861"/>
      <w:bookmarkEnd w:id="862"/>
      <w:bookmarkEnd w:id="863"/>
    </w:p>
    <w:p w14:paraId="166DEAEB" w14:textId="29B5BAE6" w:rsidR="00695093" w:rsidRPr="00532C20" w:rsidRDefault="00A976B1" w:rsidP="00E415E8">
      <w:pPr>
        <w:pStyle w:val="1111level4section"/>
        <w:spacing w:before="120" w:after="120" w:line="240" w:lineRule="auto"/>
        <w:rPr>
          <w:noProof/>
        </w:rPr>
      </w:pPr>
      <w:bookmarkStart w:id="864" w:name="_Ref146210343"/>
      <w:bookmarkStart w:id="865" w:name="_Ref146210351"/>
      <w:bookmarkStart w:id="866" w:name="_Toc152864693"/>
      <w:r w:rsidRPr="00532C20">
        <w:rPr>
          <w:noProof/>
        </w:rPr>
        <w:t>Functioning of the internal market</w:t>
      </w:r>
      <w:bookmarkEnd w:id="864"/>
      <w:bookmarkEnd w:id="865"/>
      <w:bookmarkEnd w:id="866"/>
    </w:p>
    <w:p w14:paraId="46465265" w14:textId="1DC784F1" w:rsidR="00A976B1" w:rsidRPr="00532C20" w:rsidRDefault="00A976B1" w:rsidP="008F2F02">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u w:val="single"/>
          <w:lang w:val="en-IE"/>
        </w:rPr>
        <w:t>All</w:t>
      </w:r>
      <w:r w:rsidR="00A90D63" w:rsidRPr="00532C20">
        <w:rPr>
          <w:rFonts w:ascii="Times New Roman" w:hAnsi="Times New Roman" w:cs="Times New Roman"/>
          <w:noProof/>
          <w:sz w:val="24"/>
          <w:szCs w:val="24"/>
          <w:u w:val="single"/>
          <w:lang w:val="en-IE"/>
        </w:rPr>
        <w:t xml:space="preserve"> 3 </w:t>
      </w:r>
      <w:r w:rsidRPr="00532C20">
        <w:rPr>
          <w:rFonts w:ascii="Times New Roman" w:hAnsi="Times New Roman" w:cs="Times New Roman"/>
          <w:noProof/>
          <w:sz w:val="24"/>
          <w:szCs w:val="24"/>
          <w:u w:val="single"/>
          <w:lang w:val="en-IE"/>
        </w:rPr>
        <w:t>options</w:t>
      </w:r>
      <w:r w:rsidRPr="00532C20">
        <w:rPr>
          <w:rFonts w:ascii="Times New Roman" w:hAnsi="Times New Roman" w:cs="Times New Roman"/>
          <w:noProof/>
          <w:sz w:val="24"/>
          <w:szCs w:val="24"/>
          <w:lang w:val="en-IE"/>
        </w:rPr>
        <w:t xml:space="preserve"> would have a positive effect on the functioning of the internal market.</w:t>
      </w:r>
    </w:p>
    <w:p w14:paraId="7EAFF267" w14:textId="25154592" w:rsidR="00A0140C" w:rsidRPr="00532C20" w:rsidRDefault="00A65549" w:rsidP="008F2F02">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u w:val="single"/>
          <w:lang w:val="en-IE"/>
        </w:rPr>
        <w:t>The</w:t>
      </w:r>
      <w:r w:rsidR="00A90D63" w:rsidRPr="00532C20">
        <w:rPr>
          <w:rFonts w:ascii="Times New Roman" w:hAnsi="Times New Roman" w:cs="Times New Roman"/>
          <w:noProof/>
          <w:sz w:val="24"/>
          <w:szCs w:val="24"/>
          <w:u w:val="single"/>
          <w:lang w:val="en-IE"/>
        </w:rPr>
        <w:t xml:space="preserve"> 2</w:t>
      </w:r>
      <w:r w:rsidRPr="00532C20">
        <w:rPr>
          <w:rFonts w:ascii="Times New Roman" w:hAnsi="Times New Roman" w:cs="Times New Roman"/>
          <w:noProof/>
          <w:sz w:val="24"/>
          <w:szCs w:val="24"/>
          <w:u w:val="single"/>
          <w:lang w:val="en-IE"/>
        </w:rPr>
        <w:t xml:space="preserve"> legislative options (</w:t>
      </w:r>
      <w:r w:rsidR="002161B1" w:rsidRPr="00532C20">
        <w:rPr>
          <w:rFonts w:ascii="Times New Roman" w:hAnsi="Times New Roman" w:cs="Times New Roman"/>
          <w:noProof/>
          <w:sz w:val="24"/>
          <w:szCs w:val="24"/>
          <w:u w:val="single"/>
          <w:lang w:val="en-IE"/>
        </w:rPr>
        <w:t>PO2.1</w:t>
      </w:r>
      <w:r w:rsidRPr="00532C20">
        <w:rPr>
          <w:rFonts w:ascii="Times New Roman" w:hAnsi="Times New Roman" w:cs="Times New Roman"/>
          <w:noProof/>
          <w:sz w:val="24"/>
          <w:szCs w:val="24"/>
          <w:u w:val="single"/>
          <w:lang w:val="en-IE"/>
        </w:rPr>
        <w:t>and PO</w:t>
      </w:r>
      <w:r w:rsidR="002161B1" w:rsidRPr="00532C20">
        <w:rPr>
          <w:rFonts w:ascii="Times New Roman" w:hAnsi="Times New Roman" w:cs="Times New Roman"/>
          <w:noProof/>
          <w:sz w:val="24"/>
          <w:szCs w:val="24"/>
          <w:u w:val="single"/>
          <w:lang w:val="en-IE"/>
        </w:rPr>
        <w:t>2.2</w:t>
      </w:r>
      <w:r w:rsidRPr="00532C20">
        <w:rPr>
          <w:rFonts w:ascii="Times New Roman" w:hAnsi="Times New Roman" w:cs="Times New Roman"/>
          <w:noProof/>
          <w:sz w:val="24"/>
          <w:szCs w:val="24"/>
          <w:u w:val="single"/>
          <w:lang w:val="en-IE"/>
        </w:rPr>
        <w:t>)</w:t>
      </w:r>
      <w:r w:rsidRPr="00532C20">
        <w:rPr>
          <w:rFonts w:ascii="Times New Roman" w:hAnsi="Times New Roman" w:cs="Times New Roman"/>
          <w:noProof/>
          <w:sz w:val="24"/>
          <w:szCs w:val="24"/>
          <w:lang w:val="en-IE"/>
        </w:rPr>
        <w:t>, and</w:t>
      </w:r>
      <w:r w:rsidR="001F5753" w:rsidRPr="00532C20">
        <w:rPr>
          <w:rFonts w:ascii="Times New Roman" w:hAnsi="Times New Roman" w:cs="Times New Roman"/>
          <w:noProof/>
          <w:sz w:val="24"/>
          <w:szCs w:val="24"/>
          <w:lang w:val="en-IE"/>
        </w:rPr>
        <w:t>,</w:t>
      </w:r>
      <w:r w:rsidRPr="00532C20">
        <w:rPr>
          <w:rFonts w:ascii="Times New Roman" w:hAnsi="Times New Roman" w:cs="Times New Roman"/>
          <w:noProof/>
          <w:sz w:val="24"/>
          <w:szCs w:val="24"/>
          <w:lang w:val="en-IE"/>
        </w:rPr>
        <w:t xml:space="preserve"> assuming that its recommendations are followed, </w:t>
      </w:r>
      <w:r w:rsidRPr="00532C20">
        <w:rPr>
          <w:rFonts w:ascii="Times New Roman" w:hAnsi="Times New Roman" w:cs="Times New Roman"/>
          <w:noProof/>
          <w:sz w:val="24"/>
          <w:szCs w:val="24"/>
          <w:u w:val="single"/>
          <w:lang w:val="en-IE"/>
        </w:rPr>
        <w:t>the non-legislative option (PO1)</w:t>
      </w:r>
      <w:r w:rsidR="001F5753" w:rsidRPr="00532C20">
        <w:rPr>
          <w:rFonts w:ascii="Times New Roman" w:hAnsi="Times New Roman" w:cs="Times New Roman"/>
          <w:noProof/>
          <w:sz w:val="24"/>
          <w:szCs w:val="24"/>
          <w:u w:val="single"/>
          <w:lang w:val="en-IE"/>
        </w:rPr>
        <w:t>,</w:t>
      </w:r>
      <w:r w:rsidRPr="00532C20">
        <w:rPr>
          <w:rFonts w:ascii="Times New Roman" w:hAnsi="Times New Roman" w:cs="Times New Roman"/>
          <w:noProof/>
          <w:sz w:val="24"/>
          <w:szCs w:val="24"/>
          <w:lang w:val="en-IE"/>
        </w:rPr>
        <w:t xml:space="preserve"> </w:t>
      </w:r>
      <w:r w:rsidR="00D024EA" w:rsidRPr="00532C20">
        <w:rPr>
          <w:rFonts w:ascii="Times New Roman" w:hAnsi="Times New Roman" w:cs="Times New Roman"/>
          <w:noProof/>
          <w:sz w:val="24"/>
          <w:szCs w:val="24"/>
          <w:lang w:val="en-IE"/>
        </w:rPr>
        <w:t xml:space="preserve">would </w:t>
      </w:r>
      <w:r w:rsidR="003770B7" w:rsidRPr="00532C20">
        <w:rPr>
          <w:rFonts w:ascii="Times New Roman" w:hAnsi="Times New Roman" w:cs="Times New Roman"/>
          <w:noProof/>
          <w:sz w:val="24"/>
          <w:szCs w:val="24"/>
          <w:lang w:val="en-IE"/>
        </w:rPr>
        <w:t xml:space="preserve">result in </w:t>
      </w:r>
      <w:r w:rsidR="00D024EA" w:rsidRPr="00532C20">
        <w:rPr>
          <w:rFonts w:ascii="Times New Roman" w:hAnsi="Times New Roman" w:cs="Times New Roman"/>
          <w:noProof/>
          <w:sz w:val="24"/>
          <w:szCs w:val="24"/>
          <w:lang w:val="en-IE"/>
        </w:rPr>
        <w:t xml:space="preserve">similar transparency requirements in </w:t>
      </w:r>
      <w:r w:rsidR="009F07C1" w:rsidRPr="00532C20">
        <w:rPr>
          <w:rFonts w:ascii="Times New Roman" w:hAnsi="Times New Roman" w:cs="Times New Roman"/>
          <w:noProof/>
          <w:sz w:val="24"/>
          <w:szCs w:val="24"/>
          <w:lang w:val="en-IE"/>
        </w:rPr>
        <w:t>all</w:t>
      </w:r>
      <w:r w:rsidR="00D024EA" w:rsidRPr="00532C20">
        <w:rPr>
          <w:rFonts w:ascii="Times New Roman" w:hAnsi="Times New Roman" w:cs="Times New Roman"/>
          <w:noProof/>
          <w:sz w:val="24"/>
          <w:szCs w:val="24"/>
          <w:lang w:val="en-IE"/>
        </w:rPr>
        <w:t xml:space="preserve"> Member States, thereby </w:t>
      </w:r>
      <w:r w:rsidR="005C124F" w:rsidRPr="00532C20">
        <w:rPr>
          <w:rFonts w:ascii="Times New Roman" w:hAnsi="Times New Roman" w:cs="Times New Roman"/>
          <w:noProof/>
          <w:sz w:val="24"/>
          <w:szCs w:val="24"/>
          <w:lang w:val="en-IE"/>
        </w:rPr>
        <w:t>levelling the playing field</w:t>
      </w:r>
      <w:r w:rsidR="006A0D63" w:rsidRPr="00532C20">
        <w:rPr>
          <w:rFonts w:ascii="Times New Roman" w:hAnsi="Times New Roman" w:cs="Times New Roman"/>
          <w:noProof/>
          <w:sz w:val="24"/>
          <w:szCs w:val="24"/>
          <w:lang w:val="en-IE"/>
        </w:rPr>
        <w:t xml:space="preserve"> and </w:t>
      </w:r>
      <w:r w:rsidR="00D024EA" w:rsidRPr="00532C20">
        <w:rPr>
          <w:rFonts w:ascii="Times New Roman" w:hAnsi="Times New Roman" w:cs="Times New Roman"/>
          <w:noProof/>
          <w:sz w:val="24"/>
          <w:szCs w:val="24"/>
          <w:lang w:val="en-IE"/>
        </w:rPr>
        <w:t xml:space="preserve">limiting the risks of </w:t>
      </w:r>
      <w:r w:rsidR="00932B25" w:rsidRPr="00532C20">
        <w:rPr>
          <w:rFonts w:ascii="Times New Roman" w:hAnsi="Times New Roman" w:cs="Times New Roman"/>
          <w:noProof/>
          <w:sz w:val="24"/>
          <w:szCs w:val="24"/>
          <w:lang w:val="en-IE"/>
        </w:rPr>
        <w:t>regulatory arbitrage</w:t>
      </w:r>
      <w:r w:rsidR="00D024EA" w:rsidRPr="00532C20">
        <w:rPr>
          <w:rFonts w:ascii="Times New Roman" w:hAnsi="Times New Roman" w:cs="Times New Roman"/>
          <w:noProof/>
          <w:sz w:val="24"/>
          <w:szCs w:val="24"/>
          <w:lang w:val="en-IE"/>
        </w:rPr>
        <w:t>. However, unlike the legislative measures in Option 2.</w:t>
      </w:r>
      <w:r w:rsidR="002161B1" w:rsidRPr="00532C20">
        <w:rPr>
          <w:rFonts w:ascii="Times New Roman" w:hAnsi="Times New Roman" w:cs="Times New Roman"/>
          <w:noProof/>
          <w:sz w:val="24"/>
          <w:szCs w:val="24"/>
          <w:lang w:val="en-IE"/>
        </w:rPr>
        <w:t>1</w:t>
      </w:r>
      <w:r w:rsidR="00A0140C" w:rsidRPr="00532C20">
        <w:rPr>
          <w:rFonts w:ascii="Times New Roman" w:hAnsi="Times New Roman" w:cs="Times New Roman"/>
          <w:noProof/>
          <w:sz w:val="24"/>
          <w:szCs w:val="24"/>
          <w:lang w:val="en-IE"/>
        </w:rPr>
        <w:t xml:space="preserve"> </w:t>
      </w:r>
      <w:r w:rsidR="00D024EA" w:rsidRPr="00532C20">
        <w:rPr>
          <w:rFonts w:ascii="Times New Roman" w:hAnsi="Times New Roman" w:cs="Times New Roman"/>
          <w:noProof/>
          <w:sz w:val="24"/>
          <w:szCs w:val="24"/>
          <w:lang w:val="en-IE"/>
        </w:rPr>
        <w:t>and Option</w:t>
      </w:r>
      <w:r w:rsidR="00A0140C" w:rsidRPr="00532C20">
        <w:rPr>
          <w:rFonts w:ascii="Times New Roman" w:hAnsi="Times New Roman" w:cs="Times New Roman"/>
          <w:noProof/>
          <w:sz w:val="24"/>
          <w:szCs w:val="24"/>
          <w:lang w:val="en-IE"/>
        </w:rPr>
        <w:t xml:space="preserve"> </w:t>
      </w:r>
      <w:r w:rsidR="002161B1" w:rsidRPr="00532C20">
        <w:rPr>
          <w:rFonts w:ascii="Times New Roman" w:hAnsi="Times New Roman" w:cs="Times New Roman"/>
          <w:noProof/>
          <w:sz w:val="24"/>
          <w:szCs w:val="24"/>
          <w:lang w:val="en-IE"/>
        </w:rPr>
        <w:t>2.2</w:t>
      </w:r>
      <w:r w:rsidR="00D024EA" w:rsidRPr="00532C20">
        <w:rPr>
          <w:rFonts w:ascii="Times New Roman" w:hAnsi="Times New Roman" w:cs="Times New Roman"/>
          <w:noProof/>
          <w:sz w:val="24"/>
          <w:szCs w:val="24"/>
          <w:lang w:val="en-IE"/>
        </w:rPr>
        <w:t xml:space="preserve">, </w:t>
      </w:r>
      <w:r w:rsidR="00D024EA" w:rsidRPr="00532C20">
        <w:rPr>
          <w:rFonts w:ascii="Times New Roman" w:hAnsi="Times New Roman" w:cs="Times New Roman"/>
          <w:noProof/>
          <w:sz w:val="24"/>
          <w:szCs w:val="24"/>
          <w:u w:val="single"/>
          <w:lang w:val="en-IE"/>
        </w:rPr>
        <w:t>Option 1</w:t>
      </w:r>
      <w:r w:rsidR="00D024EA" w:rsidRPr="00532C20">
        <w:rPr>
          <w:rFonts w:ascii="Times New Roman" w:hAnsi="Times New Roman" w:cs="Times New Roman"/>
          <w:noProof/>
          <w:sz w:val="24"/>
          <w:szCs w:val="24"/>
          <w:lang w:val="en-IE"/>
        </w:rPr>
        <w:t xml:space="preserve"> would not provide entities with a registration number that could be used throughout the internal market; entities carrying out interest representation on behalf of third countries cross border would still need to </w:t>
      </w:r>
      <w:r w:rsidR="00E9012E" w:rsidRPr="00532C20">
        <w:rPr>
          <w:rFonts w:ascii="Times New Roman" w:hAnsi="Times New Roman" w:cs="Times New Roman"/>
          <w:noProof/>
          <w:sz w:val="24"/>
          <w:szCs w:val="24"/>
          <w:lang w:val="en-IE"/>
        </w:rPr>
        <w:t>comply with different rules, including registration requirements,</w:t>
      </w:r>
      <w:r w:rsidR="00D024EA" w:rsidRPr="00532C20">
        <w:rPr>
          <w:rFonts w:ascii="Times New Roman" w:hAnsi="Times New Roman" w:cs="Times New Roman"/>
          <w:noProof/>
          <w:sz w:val="24"/>
          <w:szCs w:val="24"/>
          <w:lang w:val="en-IE"/>
        </w:rPr>
        <w:t xml:space="preserve"> in the different Member States</w:t>
      </w:r>
      <w:r w:rsidR="006C4532" w:rsidRPr="00532C20">
        <w:rPr>
          <w:rFonts w:ascii="Times New Roman" w:hAnsi="Times New Roman" w:cs="Times New Roman"/>
          <w:noProof/>
          <w:sz w:val="24"/>
          <w:szCs w:val="24"/>
          <w:lang w:val="en-IE"/>
        </w:rPr>
        <w:t xml:space="preserve"> in which they operate</w:t>
      </w:r>
      <w:r w:rsidR="00D024EA" w:rsidRPr="00532C20">
        <w:rPr>
          <w:rFonts w:ascii="Times New Roman" w:hAnsi="Times New Roman" w:cs="Times New Roman"/>
          <w:noProof/>
          <w:sz w:val="24"/>
          <w:szCs w:val="24"/>
          <w:lang w:val="en-IE"/>
        </w:rPr>
        <w:t>.</w:t>
      </w:r>
      <w:r w:rsidR="000C7455" w:rsidRPr="00532C20">
        <w:rPr>
          <w:rFonts w:ascii="Times New Roman" w:hAnsi="Times New Roman" w:cs="Times New Roman"/>
          <w:noProof/>
          <w:sz w:val="24"/>
          <w:szCs w:val="24"/>
          <w:lang w:val="en-IE"/>
        </w:rPr>
        <w:t xml:space="preserve"> </w:t>
      </w:r>
    </w:p>
    <w:p w14:paraId="3C653A5F" w14:textId="65E4E3C5" w:rsidR="00D024EA" w:rsidRPr="00532C20" w:rsidRDefault="00D024EA" w:rsidP="008F2F02">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u w:val="single"/>
          <w:lang w:val="en-IE"/>
        </w:rPr>
        <w:t>The legislative measures</w:t>
      </w:r>
      <w:r w:rsidR="005D797C" w:rsidRPr="00532C20">
        <w:rPr>
          <w:rFonts w:ascii="Times New Roman" w:hAnsi="Times New Roman" w:cs="Times New Roman"/>
          <w:noProof/>
          <w:sz w:val="24"/>
          <w:szCs w:val="24"/>
          <w:u w:val="single"/>
          <w:lang w:val="en-IE"/>
        </w:rPr>
        <w:t xml:space="preserve"> </w:t>
      </w:r>
      <w:r w:rsidR="00254EF3" w:rsidRPr="00532C20">
        <w:rPr>
          <w:rFonts w:ascii="Times New Roman" w:hAnsi="Times New Roman" w:cs="Times New Roman"/>
          <w:noProof/>
          <w:sz w:val="24"/>
          <w:szCs w:val="24"/>
          <w:u w:val="single"/>
          <w:lang w:val="en-IE"/>
        </w:rPr>
        <w:t>PO2.1 and PO 2.2</w:t>
      </w:r>
      <w:r w:rsidR="00932B25" w:rsidRPr="00532C20">
        <w:rPr>
          <w:rFonts w:ascii="Times New Roman" w:hAnsi="Times New Roman" w:cs="Times New Roman"/>
          <w:noProof/>
          <w:sz w:val="24"/>
          <w:szCs w:val="24"/>
          <w:u w:val="single"/>
          <w:lang w:val="en-IE"/>
        </w:rPr>
        <w:t>)</w:t>
      </w:r>
      <w:r w:rsidRPr="00532C20">
        <w:rPr>
          <w:rFonts w:ascii="Times New Roman" w:hAnsi="Times New Roman" w:cs="Times New Roman"/>
          <w:noProof/>
          <w:sz w:val="24"/>
          <w:szCs w:val="24"/>
          <w:lang w:val="en-IE"/>
        </w:rPr>
        <w:t>, by providing fully harmonised transparency requirements, would reduce the costs resulting from legal fragmentation and uncertainty for economic actors, thereby facilitating the offering of interest representation activities on behalf of third country entities across border</w:t>
      </w:r>
      <w:r w:rsidR="003770B7" w:rsidRPr="00532C20">
        <w:rPr>
          <w:rFonts w:ascii="Times New Roman" w:hAnsi="Times New Roman" w:cs="Times New Roman"/>
          <w:noProof/>
          <w:sz w:val="24"/>
          <w:szCs w:val="24"/>
          <w:lang w:val="en-IE"/>
        </w:rPr>
        <w:t>s</w:t>
      </w:r>
      <w:r w:rsidRPr="00532C20">
        <w:rPr>
          <w:rFonts w:ascii="Times New Roman" w:hAnsi="Times New Roman" w:cs="Times New Roman"/>
          <w:noProof/>
          <w:sz w:val="24"/>
          <w:szCs w:val="24"/>
          <w:lang w:val="en-IE"/>
        </w:rPr>
        <w:t xml:space="preserve">. </w:t>
      </w:r>
      <w:r w:rsidR="002D6348" w:rsidRPr="00532C20">
        <w:rPr>
          <w:rFonts w:ascii="Times New Roman" w:hAnsi="Times New Roman" w:cs="Times New Roman"/>
          <w:noProof/>
          <w:sz w:val="24"/>
          <w:szCs w:val="24"/>
          <w:lang w:val="en-IE"/>
        </w:rPr>
        <w:t>In addition, the</w:t>
      </w:r>
      <w:r w:rsidR="00B9024A" w:rsidRPr="00532C20">
        <w:rPr>
          <w:rFonts w:ascii="Times New Roman" w:hAnsi="Times New Roman" w:cs="Times New Roman"/>
          <w:noProof/>
          <w:sz w:val="24"/>
          <w:szCs w:val="24"/>
          <w:lang w:val="en-IE"/>
        </w:rPr>
        <w:t xml:space="preserve">se </w:t>
      </w:r>
      <w:r w:rsidR="002513F9" w:rsidRPr="00532C20">
        <w:rPr>
          <w:rFonts w:ascii="Times New Roman" w:hAnsi="Times New Roman" w:cs="Times New Roman"/>
          <w:noProof/>
          <w:sz w:val="24"/>
          <w:szCs w:val="24"/>
          <w:lang w:val="en-IE"/>
        </w:rPr>
        <w:t>harmonised</w:t>
      </w:r>
      <w:r w:rsidR="00B9024A" w:rsidRPr="00532C20">
        <w:rPr>
          <w:rFonts w:ascii="Times New Roman" w:hAnsi="Times New Roman" w:cs="Times New Roman"/>
          <w:noProof/>
          <w:sz w:val="24"/>
          <w:szCs w:val="24"/>
          <w:lang w:val="en-IE"/>
        </w:rPr>
        <w:t xml:space="preserve"> requirements would add legal predictability for interest representation </w:t>
      </w:r>
      <w:r w:rsidR="002513F9" w:rsidRPr="00532C20">
        <w:rPr>
          <w:rFonts w:ascii="Times New Roman" w:hAnsi="Times New Roman" w:cs="Times New Roman"/>
          <w:noProof/>
          <w:sz w:val="24"/>
          <w:szCs w:val="24"/>
          <w:lang w:val="en-IE"/>
        </w:rPr>
        <w:t>activities</w:t>
      </w:r>
      <w:r w:rsidR="00B9024A" w:rsidRPr="00532C20">
        <w:rPr>
          <w:rFonts w:ascii="Times New Roman" w:hAnsi="Times New Roman" w:cs="Times New Roman"/>
          <w:noProof/>
          <w:sz w:val="24"/>
          <w:szCs w:val="24"/>
          <w:lang w:val="en-IE"/>
        </w:rPr>
        <w:t xml:space="preserve"> carried out on behalf of third country entities in </w:t>
      </w:r>
      <w:r w:rsidR="002513F9" w:rsidRPr="00532C20">
        <w:rPr>
          <w:rFonts w:ascii="Times New Roman" w:hAnsi="Times New Roman" w:cs="Times New Roman"/>
          <w:noProof/>
          <w:sz w:val="24"/>
          <w:szCs w:val="24"/>
          <w:lang w:val="en-IE"/>
        </w:rPr>
        <w:t xml:space="preserve">several </w:t>
      </w:r>
      <w:r w:rsidR="00BD115A" w:rsidRPr="00532C20">
        <w:rPr>
          <w:rFonts w:ascii="Times New Roman" w:hAnsi="Times New Roman" w:cs="Times New Roman"/>
          <w:noProof/>
          <w:sz w:val="24"/>
          <w:szCs w:val="24"/>
          <w:lang w:val="en-IE"/>
        </w:rPr>
        <w:t>M</w:t>
      </w:r>
      <w:r w:rsidR="002513F9" w:rsidRPr="00532C20">
        <w:rPr>
          <w:rFonts w:ascii="Times New Roman" w:hAnsi="Times New Roman" w:cs="Times New Roman"/>
          <w:noProof/>
          <w:sz w:val="24"/>
          <w:szCs w:val="24"/>
          <w:lang w:val="en-IE"/>
        </w:rPr>
        <w:t xml:space="preserve">ember States. </w:t>
      </w:r>
      <w:r w:rsidR="00953712" w:rsidRPr="00532C20">
        <w:rPr>
          <w:rFonts w:ascii="Times New Roman" w:hAnsi="Times New Roman" w:cs="Times New Roman"/>
          <w:noProof/>
          <w:sz w:val="24"/>
          <w:szCs w:val="24"/>
          <w:lang w:val="en-IE"/>
        </w:rPr>
        <w:t xml:space="preserve">In particular, the possibility to obtain a registration number that could be used throughout the internal market would </w:t>
      </w:r>
      <w:r w:rsidR="00B4020C" w:rsidRPr="00532C20">
        <w:rPr>
          <w:rFonts w:ascii="Times New Roman" w:hAnsi="Times New Roman" w:cs="Times New Roman"/>
          <w:noProof/>
          <w:sz w:val="24"/>
          <w:szCs w:val="24"/>
          <w:lang w:val="en-IE"/>
        </w:rPr>
        <w:t xml:space="preserve">remove </w:t>
      </w:r>
      <w:r w:rsidR="00953712" w:rsidRPr="00532C20">
        <w:rPr>
          <w:rFonts w:ascii="Times New Roman" w:hAnsi="Times New Roman" w:cs="Times New Roman"/>
          <w:noProof/>
          <w:sz w:val="24"/>
          <w:szCs w:val="24"/>
          <w:lang w:val="en-IE"/>
        </w:rPr>
        <w:t>the need for multiple registrations</w:t>
      </w:r>
      <w:r w:rsidR="00953712" w:rsidRPr="00532C20">
        <w:rPr>
          <w:rStyle w:val="FootnoteReference"/>
          <w:rFonts w:ascii="Times New Roman" w:hAnsi="Times New Roman" w:cs="Times New Roman"/>
          <w:noProof/>
          <w:sz w:val="24"/>
          <w:szCs w:val="24"/>
          <w:lang w:val="en-IE"/>
        </w:rPr>
        <w:footnoteReference w:id="158"/>
      </w:r>
      <w:r w:rsidR="00953712" w:rsidRPr="00532C20">
        <w:rPr>
          <w:rFonts w:ascii="Times New Roman" w:hAnsi="Times New Roman" w:cs="Times New Roman"/>
          <w:noProof/>
          <w:sz w:val="24"/>
          <w:szCs w:val="24"/>
          <w:lang w:val="en-IE"/>
        </w:rPr>
        <w:t>.</w:t>
      </w:r>
      <w:r w:rsidR="008748B5" w:rsidRPr="00532C20">
        <w:rPr>
          <w:rFonts w:ascii="Times New Roman" w:hAnsi="Times New Roman" w:cs="Times New Roman"/>
          <w:noProof/>
          <w:sz w:val="24"/>
          <w:szCs w:val="24"/>
          <w:lang w:val="en-IE"/>
        </w:rPr>
        <w:t xml:space="preserve"> This would imply that for each Member State </w:t>
      </w:r>
      <w:r w:rsidR="004033A4" w:rsidRPr="00532C20">
        <w:rPr>
          <w:rFonts w:ascii="Times New Roman" w:hAnsi="Times New Roman" w:cs="Times New Roman"/>
          <w:noProof/>
          <w:sz w:val="24"/>
          <w:szCs w:val="24"/>
          <w:lang w:val="en-IE"/>
        </w:rPr>
        <w:t xml:space="preserve">(outside the </w:t>
      </w:r>
      <w:r w:rsidR="00C626F0" w:rsidRPr="00532C20">
        <w:rPr>
          <w:rFonts w:ascii="Times New Roman" w:hAnsi="Times New Roman" w:cs="Times New Roman"/>
          <w:noProof/>
          <w:sz w:val="24"/>
          <w:szCs w:val="24"/>
          <w:lang w:val="en-IE"/>
        </w:rPr>
        <w:t>M</w:t>
      </w:r>
      <w:r w:rsidR="004033A4" w:rsidRPr="00532C20">
        <w:rPr>
          <w:rFonts w:ascii="Times New Roman" w:hAnsi="Times New Roman" w:cs="Times New Roman"/>
          <w:noProof/>
          <w:sz w:val="24"/>
          <w:szCs w:val="24"/>
          <w:lang w:val="en-IE"/>
        </w:rPr>
        <w:t xml:space="preserve">ember </w:t>
      </w:r>
      <w:r w:rsidR="00C626F0" w:rsidRPr="00532C20">
        <w:rPr>
          <w:rFonts w:ascii="Times New Roman" w:hAnsi="Times New Roman" w:cs="Times New Roman"/>
          <w:noProof/>
          <w:sz w:val="24"/>
          <w:szCs w:val="24"/>
          <w:lang w:val="en-IE"/>
        </w:rPr>
        <w:t>S</w:t>
      </w:r>
      <w:r w:rsidR="004033A4" w:rsidRPr="00532C20">
        <w:rPr>
          <w:rFonts w:ascii="Times New Roman" w:hAnsi="Times New Roman" w:cs="Times New Roman"/>
          <w:noProof/>
          <w:sz w:val="24"/>
          <w:szCs w:val="24"/>
          <w:lang w:val="en-IE"/>
        </w:rPr>
        <w:t>tate of main establishment</w:t>
      </w:r>
      <w:r w:rsidR="00B964EF" w:rsidRPr="00532C20">
        <w:rPr>
          <w:rFonts w:ascii="Times New Roman" w:hAnsi="Times New Roman" w:cs="Times New Roman"/>
          <w:noProof/>
          <w:sz w:val="24"/>
          <w:szCs w:val="24"/>
          <w:lang w:val="en-IE"/>
        </w:rPr>
        <w:t xml:space="preserve"> where a registration is currently required</w:t>
      </w:r>
      <w:r w:rsidR="004033A4" w:rsidRPr="00532C20">
        <w:rPr>
          <w:rFonts w:ascii="Times New Roman" w:hAnsi="Times New Roman" w:cs="Times New Roman"/>
          <w:noProof/>
          <w:sz w:val="24"/>
          <w:szCs w:val="24"/>
          <w:lang w:val="en-IE"/>
        </w:rPr>
        <w:t>)</w:t>
      </w:r>
      <w:r w:rsidR="008748B5" w:rsidRPr="00532C20">
        <w:rPr>
          <w:rFonts w:ascii="Times New Roman" w:hAnsi="Times New Roman" w:cs="Times New Roman"/>
          <w:noProof/>
          <w:sz w:val="24"/>
          <w:szCs w:val="24"/>
          <w:lang w:val="en-IE"/>
        </w:rPr>
        <w:t xml:space="preserve"> in which an entity </w:t>
      </w:r>
      <w:r w:rsidR="004033A4" w:rsidRPr="00532C20">
        <w:rPr>
          <w:rFonts w:ascii="Times New Roman" w:hAnsi="Times New Roman" w:cs="Times New Roman"/>
          <w:noProof/>
          <w:sz w:val="24"/>
          <w:szCs w:val="24"/>
          <w:lang w:val="en-IE"/>
        </w:rPr>
        <w:t xml:space="preserve">carries out interest representation on behalf of third countries, that entity would </w:t>
      </w:r>
      <w:r w:rsidR="00627830" w:rsidRPr="00532C20">
        <w:rPr>
          <w:rFonts w:ascii="Times New Roman" w:hAnsi="Times New Roman" w:cs="Times New Roman"/>
          <w:noProof/>
          <w:sz w:val="24"/>
          <w:szCs w:val="24"/>
          <w:lang w:val="en-IE"/>
        </w:rPr>
        <w:t xml:space="preserve">be able to obtain some savings due to synergies </w:t>
      </w:r>
      <w:r w:rsidR="00FD56BB" w:rsidRPr="00532C20">
        <w:rPr>
          <w:rFonts w:ascii="Times New Roman" w:hAnsi="Times New Roman" w:cs="Times New Roman"/>
          <w:noProof/>
          <w:sz w:val="24"/>
          <w:szCs w:val="24"/>
          <w:lang w:val="en-IE"/>
        </w:rPr>
        <w:t>permitted by similar registration and information disclosures requirements</w:t>
      </w:r>
      <w:r w:rsidR="005970D3" w:rsidRPr="00532C20">
        <w:rPr>
          <w:rStyle w:val="FootnoteReference"/>
          <w:rFonts w:ascii="Times New Roman" w:hAnsi="Times New Roman" w:cs="Times New Roman"/>
          <w:noProof/>
          <w:sz w:val="24"/>
          <w:szCs w:val="24"/>
          <w:lang w:val="en-IE"/>
        </w:rPr>
        <w:footnoteReference w:id="159"/>
      </w:r>
      <w:r w:rsidR="00D217A0" w:rsidRPr="00532C20">
        <w:rPr>
          <w:rFonts w:ascii="Times New Roman" w:hAnsi="Times New Roman" w:cs="Times New Roman"/>
          <w:noProof/>
          <w:sz w:val="24"/>
          <w:szCs w:val="24"/>
          <w:lang w:val="en-IE"/>
        </w:rPr>
        <w:t>.</w:t>
      </w:r>
    </w:p>
    <w:p w14:paraId="0C9153AA" w14:textId="4C3E032F" w:rsidR="00EB18FF" w:rsidRPr="00532C20" w:rsidRDefault="002346DC" w:rsidP="002346D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noProof/>
          <w:lang w:val="en-IE"/>
        </w:rPr>
      </w:pPr>
      <w:r w:rsidRPr="00532C20">
        <w:rPr>
          <w:rFonts w:ascii="Times New Roman" w:hAnsi="Times New Roman" w:cs="Times New Roman"/>
          <w:b/>
          <w:bCs/>
          <w:noProof/>
          <w:lang w:val="en-IE"/>
        </w:rPr>
        <w:t>Stakeholder</w:t>
      </w:r>
      <w:r w:rsidR="00EB18FF" w:rsidRPr="00532C20">
        <w:rPr>
          <w:rFonts w:ascii="Times New Roman" w:hAnsi="Times New Roman" w:cs="Times New Roman"/>
          <w:b/>
          <w:bCs/>
          <w:noProof/>
          <w:lang w:val="en-IE"/>
        </w:rPr>
        <w:t xml:space="preserve"> views:</w:t>
      </w:r>
    </w:p>
    <w:p w14:paraId="03582E42" w14:textId="5C0DC663" w:rsidR="00EB18FF" w:rsidRPr="00532C20" w:rsidRDefault="00E64555" w:rsidP="008F2F02">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lang w:val="en-IE"/>
        </w:rPr>
      </w:pPr>
      <w:r w:rsidRPr="00532C20">
        <w:rPr>
          <w:rFonts w:ascii="Times New Roman" w:hAnsi="Times New Roman" w:cs="Times New Roman"/>
          <w:noProof/>
          <w:lang w:val="en-IE"/>
        </w:rPr>
        <w:t>1</w:t>
      </w:r>
      <w:r w:rsidR="00EB18FF" w:rsidRPr="00532C20">
        <w:rPr>
          <w:rFonts w:ascii="Times New Roman" w:hAnsi="Times New Roman" w:cs="Times New Roman"/>
          <w:noProof/>
          <w:lang w:val="en-IE"/>
        </w:rPr>
        <w:t xml:space="preserve"> CSO </w:t>
      </w:r>
      <w:r w:rsidR="00D078C8" w:rsidRPr="00532C20">
        <w:rPr>
          <w:rFonts w:ascii="Times New Roman" w:hAnsi="Times New Roman" w:cs="Times New Roman"/>
          <w:noProof/>
          <w:lang w:val="en-IE"/>
        </w:rPr>
        <w:t xml:space="preserve">(out of 11) </w:t>
      </w:r>
      <w:r w:rsidR="00EB18FF" w:rsidRPr="00532C20">
        <w:rPr>
          <w:rFonts w:ascii="Times New Roman" w:hAnsi="Times New Roman" w:cs="Times New Roman"/>
          <w:noProof/>
          <w:lang w:val="en-IE"/>
        </w:rPr>
        <w:t>considered that “</w:t>
      </w:r>
      <w:r w:rsidR="00A71BAB" w:rsidRPr="00532C20">
        <w:rPr>
          <w:rFonts w:ascii="Times New Roman" w:hAnsi="Times New Roman" w:cs="Times New Roman"/>
          <w:i/>
          <w:iCs/>
          <w:noProof/>
          <w:lang w:val="en-IE"/>
        </w:rPr>
        <w:t xml:space="preserve">the introduction of harmonised measures at EU level </w:t>
      </w:r>
      <w:r w:rsidR="00056381" w:rsidRPr="00532C20">
        <w:rPr>
          <w:rFonts w:ascii="Times New Roman" w:hAnsi="Times New Roman" w:cs="Times New Roman"/>
          <w:i/>
          <w:iCs/>
          <w:noProof/>
          <w:lang w:val="en-IE"/>
        </w:rPr>
        <w:t>can increase coherence</w:t>
      </w:r>
      <w:r w:rsidR="00752E3C" w:rsidRPr="00532C20">
        <w:rPr>
          <w:rFonts w:ascii="Times New Roman" w:hAnsi="Times New Roman" w:cs="Times New Roman"/>
          <w:i/>
          <w:iCs/>
          <w:noProof/>
          <w:lang w:val="en-IE"/>
        </w:rPr>
        <w:t xml:space="preserve"> (…) and </w:t>
      </w:r>
      <w:r w:rsidR="00A71BAB" w:rsidRPr="00532C20">
        <w:rPr>
          <w:rFonts w:ascii="Times New Roman" w:hAnsi="Times New Roman" w:cs="Times New Roman"/>
          <w:i/>
          <w:iCs/>
          <w:noProof/>
          <w:lang w:val="en-IE"/>
        </w:rPr>
        <w:t>would reduce the compliance burden for companies that previously had to register in different Member State with different requirements and obligations</w:t>
      </w:r>
      <w:r w:rsidRPr="00532C20">
        <w:rPr>
          <w:rFonts w:ascii="Times New Roman" w:hAnsi="Times New Roman" w:cs="Times New Roman"/>
          <w:i/>
          <w:iCs/>
          <w:noProof/>
          <w:lang w:val="en-IE"/>
        </w:rPr>
        <w:t>.</w:t>
      </w:r>
      <w:r w:rsidR="00A71BAB" w:rsidRPr="00532C20">
        <w:rPr>
          <w:rFonts w:ascii="Times New Roman" w:hAnsi="Times New Roman" w:cs="Times New Roman"/>
          <w:noProof/>
          <w:lang w:val="en-IE"/>
        </w:rPr>
        <w:t>”</w:t>
      </w:r>
    </w:p>
    <w:p w14:paraId="2587CB85" w14:textId="1902E1B9" w:rsidR="00607989" w:rsidRPr="00532C20" w:rsidRDefault="00887AF5" w:rsidP="004F15E4">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By providing the same level of transparency and supporting </w:t>
      </w:r>
      <w:r w:rsidR="00F85EA9" w:rsidRPr="00532C20">
        <w:rPr>
          <w:rFonts w:ascii="Times New Roman" w:hAnsi="Times New Roman" w:cs="Times New Roman"/>
          <w:noProof/>
          <w:sz w:val="24"/>
          <w:szCs w:val="24"/>
          <w:lang w:val="en-IE"/>
        </w:rPr>
        <w:t>coordination</w:t>
      </w:r>
      <w:r w:rsidRPr="00532C20">
        <w:rPr>
          <w:rFonts w:ascii="Times New Roman" w:hAnsi="Times New Roman" w:cs="Times New Roman"/>
          <w:noProof/>
          <w:sz w:val="24"/>
          <w:szCs w:val="24"/>
          <w:lang w:val="en-IE"/>
        </w:rPr>
        <w:t xml:space="preserve"> among competent authorities, both of these options </w:t>
      </w:r>
      <w:r w:rsidR="00F85EA9" w:rsidRPr="00532C20">
        <w:rPr>
          <w:rFonts w:ascii="Times New Roman" w:hAnsi="Times New Roman" w:cs="Times New Roman"/>
          <w:noProof/>
          <w:sz w:val="24"/>
          <w:szCs w:val="24"/>
          <w:lang w:val="en-IE"/>
        </w:rPr>
        <w:t xml:space="preserve">contribute to improving the regulatory </w:t>
      </w:r>
      <w:r w:rsidR="008515CC" w:rsidRPr="00532C20">
        <w:rPr>
          <w:rFonts w:ascii="Times New Roman" w:hAnsi="Times New Roman" w:cs="Times New Roman"/>
          <w:noProof/>
          <w:sz w:val="24"/>
          <w:szCs w:val="24"/>
          <w:lang w:val="en-IE"/>
        </w:rPr>
        <w:t>outcome</w:t>
      </w:r>
      <w:r w:rsidR="0030141A" w:rsidRPr="00532C20">
        <w:rPr>
          <w:rFonts w:ascii="Times New Roman" w:hAnsi="Times New Roman" w:cs="Times New Roman"/>
          <w:noProof/>
          <w:sz w:val="24"/>
          <w:szCs w:val="24"/>
          <w:lang w:val="en-IE"/>
        </w:rPr>
        <w:t xml:space="preserve"> </w:t>
      </w:r>
      <w:r w:rsidR="00F36FDE" w:rsidRPr="00532C20">
        <w:rPr>
          <w:rFonts w:ascii="Times New Roman" w:hAnsi="Times New Roman" w:cs="Times New Roman"/>
          <w:noProof/>
          <w:sz w:val="24"/>
          <w:szCs w:val="24"/>
          <w:lang w:val="en-IE"/>
        </w:rPr>
        <w:t>with regard to</w:t>
      </w:r>
      <w:r w:rsidR="00B83B8A" w:rsidRPr="00532C20">
        <w:rPr>
          <w:rFonts w:ascii="Times New Roman" w:hAnsi="Times New Roman" w:cs="Times New Roman"/>
          <w:noProof/>
          <w:sz w:val="24"/>
          <w:szCs w:val="24"/>
          <w:lang w:val="en-IE"/>
        </w:rPr>
        <w:t xml:space="preserve"> interest representation activities carried out on behalf of third country entities.</w:t>
      </w:r>
    </w:p>
    <w:p w14:paraId="3AC9A472" w14:textId="1E9A31ED" w:rsidR="0018711F" w:rsidRPr="00532C20" w:rsidRDefault="009923B2" w:rsidP="004B0958">
      <w:pPr>
        <w:spacing w:line="240" w:lineRule="auto"/>
        <w:jc w:val="both"/>
        <w:rPr>
          <w:rFonts w:ascii="Times New Roman" w:eastAsia="Times" w:hAnsi="Times New Roman" w:cs="Times New Roman"/>
          <w:noProof/>
          <w:sz w:val="24"/>
          <w:szCs w:val="24"/>
          <w:lang w:val="en-IE" w:eastAsia="en-IE"/>
        </w:rPr>
      </w:pPr>
      <w:r w:rsidRPr="00532C20">
        <w:rPr>
          <w:rFonts w:ascii="Times New Roman" w:hAnsi="Times New Roman" w:cs="Times New Roman"/>
          <w:noProof/>
          <w:sz w:val="24"/>
          <w:szCs w:val="24"/>
          <w:lang w:val="en-IE"/>
        </w:rPr>
        <w:t>The licensing/prior authorisation system set out in t</w:t>
      </w:r>
      <w:r w:rsidR="007C0FB9" w:rsidRPr="00532C20">
        <w:rPr>
          <w:rFonts w:ascii="Times New Roman" w:hAnsi="Times New Roman" w:cs="Times New Roman"/>
          <w:noProof/>
          <w:sz w:val="24"/>
          <w:szCs w:val="24"/>
          <w:lang w:val="en-IE"/>
        </w:rPr>
        <w:t xml:space="preserve">he </w:t>
      </w:r>
      <w:r w:rsidR="007C0FB9" w:rsidRPr="00532C20">
        <w:rPr>
          <w:rFonts w:ascii="Times New Roman" w:hAnsi="Times New Roman" w:cs="Times New Roman"/>
          <w:noProof/>
          <w:sz w:val="24"/>
          <w:szCs w:val="24"/>
          <w:u w:val="single"/>
          <w:lang w:val="en-IE"/>
        </w:rPr>
        <w:t>legislative option PO</w:t>
      </w:r>
      <w:r w:rsidR="00254EF3" w:rsidRPr="00532C20">
        <w:rPr>
          <w:rFonts w:ascii="Times New Roman" w:hAnsi="Times New Roman" w:cs="Times New Roman"/>
          <w:noProof/>
          <w:sz w:val="24"/>
          <w:szCs w:val="24"/>
          <w:u w:val="single"/>
          <w:lang w:val="en-IE"/>
        </w:rPr>
        <w:t>2.2</w:t>
      </w:r>
      <w:r w:rsidR="007C0FB9" w:rsidRPr="00532C20">
        <w:rPr>
          <w:rFonts w:ascii="Times New Roman" w:hAnsi="Times New Roman" w:cs="Times New Roman"/>
          <w:noProof/>
          <w:sz w:val="24"/>
          <w:szCs w:val="24"/>
          <w:lang w:val="en-IE"/>
        </w:rPr>
        <w:t xml:space="preserve">, could lead to a limited </w:t>
      </w:r>
      <w:r w:rsidR="00C37AFF" w:rsidRPr="00532C20">
        <w:rPr>
          <w:rFonts w:ascii="Times New Roman" w:hAnsi="Times New Roman" w:cs="Times New Roman"/>
          <w:noProof/>
          <w:sz w:val="24"/>
          <w:szCs w:val="24"/>
          <w:lang w:val="en-IE"/>
        </w:rPr>
        <w:t xml:space="preserve">regulatory arbitrage </w:t>
      </w:r>
      <w:r w:rsidRPr="00532C20">
        <w:rPr>
          <w:rFonts w:ascii="Times New Roman" w:hAnsi="Times New Roman" w:cs="Times New Roman"/>
          <w:noProof/>
          <w:sz w:val="24"/>
          <w:szCs w:val="24"/>
          <w:lang w:val="en-IE"/>
        </w:rPr>
        <w:t>as economic actors might seek to obtain said licence in more lenient jurisdiction</w:t>
      </w:r>
      <w:r w:rsidRPr="00532C20">
        <w:rPr>
          <w:rStyle w:val="FootnoteReference"/>
          <w:rFonts w:ascii="Times New Roman" w:hAnsi="Times New Roman" w:cs="Times New Roman"/>
          <w:noProof/>
          <w:sz w:val="24"/>
          <w:szCs w:val="24"/>
          <w:lang w:val="en-IE"/>
        </w:rPr>
        <w:footnoteReference w:id="160"/>
      </w:r>
      <w:r w:rsidRPr="00532C20">
        <w:rPr>
          <w:rFonts w:ascii="Times New Roman" w:hAnsi="Times New Roman" w:cs="Times New Roman"/>
          <w:noProof/>
          <w:sz w:val="24"/>
          <w:szCs w:val="24"/>
          <w:lang w:val="en-IE"/>
        </w:rPr>
        <w:t xml:space="preserve">. </w:t>
      </w:r>
    </w:p>
    <w:p w14:paraId="1A587DA9" w14:textId="3BA0715B" w:rsidR="00D97A7E" w:rsidRPr="00532C20" w:rsidRDefault="00D97A7E" w:rsidP="00E415E8">
      <w:pPr>
        <w:pStyle w:val="1111level4section"/>
        <w:spacing w:before="120" w:after="120" w:line="240" w:lineRule="auto"/>
        <w:rPr>
          <w:noProof/>
        </w:rPr>
      </w:pPr>
      <w:bookmarkStart w:id="867" w:name="_Toc152864694"/>
      <w:r w:rsidRPr="00532C20">
        <w:rPr>
          <w:noProof/>
        </w:rPr>
        <w:t>Competitiveness</w:t>
      </w:r>
      <w:bookmarkEnd w:id="867"/>
    </w:p>
    <w:p w14:paraId="0B1175F1" w14:textId="203C5B31" w:rsidR="002D08C3" w:rsidRPr="00532C20" w:rsidRDefault="00895F0B" w:rsidP="004F15E4">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u w:val="single"/>
          <w:lang w:val="en-IE"/>
        </w:rPr>
        <w:t>All</w:t>
      </w:r>
      <w:r w:rsidR="00A90D63" w:rsidRPr="00532C20">
        <w:rPr>
          <w:rFonts w:ascii="Times New Roman" w:hAnsi="Times New Roman" w:cs="Times New Roman"/>
          <w:noProof/>
          <w:sz w:val="24"/>
          <w:szCs w:val="24"/>
          <w:u w:val="single"/>
          <w:lang w:val="en-IE"/>
        </w:rPr>
        <w:t xml:space="preserve"> 3</w:t>
      </w:r>
      <w:r w:rsidRPr="00532C20">
        <w:rPr>
          <w:rFonts w:ascii="Times New Roman" w:hAnsi="Times New Roman" w:cs="Times New Roman"/>
          <w:noProof/>
          <w:sz w:val="24"/>
          <w:szCs w:val="24"/>
          <w:u w:val="single"/>
          <w:lang w:val="en-IE"/>
        </w:rPr>
        <w:t xml:space="preserve"> options</w:t>
      </w:r>
      <w:r w:rsidR="00273934" w:rsidRPr="00532C20">
        <w:rPr>
          <w:rFonts w:ascii="Times New Roman" w:hAnsi="Times New Roman" w:cs="Times New Roman"/>
          <w:noProof/>
          <w:sz w:val="24"/>
          <w:szCs w:val="24"/>
          <w:lang w:val="en-IE"/>
        </w:rPr>
        <w:t xml:space="preserve"> are expected to have a positive impact on the competitiveness, innovation and investment in cross-border </w:t>
      </w:r>
      <w:r w:rsidR="00CF6C96" w:rsidRPr="00532C20">
        <w:rPr>
          <w:rFonts w:ascii="Times New Roman" w:hAnsi="Times New Roman" w:cs="Times New Roman"/>
          <w:noProof/>
          <w:sz w:val="24"/>
          <w:szCs w:val="24"/>
          <w:lang w:val="en-IE"/>
        </w:rPr>
        <w:t>interest r</w:t>
      </w:r>
      <w:r w:rsidRPr="00532C20">
        <w:rPr>
          <w:rFonts w:ascii="Times New Roman" w:hAnsi="Times New Roman" w:cs="Times New Roman"/>
          <w:noProof/>
          <w:sz w:val="24"/>
          <w:szCs w:val="24"/>
          <w:lang w:val="en-IE"/>
        </w:rPr>
        <w:t xml:space="preserve">epresentation </w:t>
      </w:r>
      <w:r w:rsidR="00D00FF1" w:rsidRPr="00532C20">
        <w:rPr>
          <w:rFonts w:ascii="Times New Roman" w:hAnsi="Times New Roman" w:cs="Times New Roman"/>
          <w:noProof/>
          <w:sz w:val="24"/>
          <w:szCs w:val="24"/>
          <w:lang w:val="en-IE"/>
        </w:rPr>
        <w:t>activities</w:t>
      </w:r>
      <w:r w:rsidRPr="00532C20">
        <w:rPr>
          <w:rFonts w:ascii="Times New Roman" w:hAnsi="Times New Roman" w:cs="Times New Roman"/>
          <w:noProof/>
          <w:sz w:val="24"/>
          <w:szCs w:val="24"/>
          <w:lang w:val="en-IE"/>
        </w:rPr>
        <w:t xml:space="preserve"> carried out on behalf of third countries</w:t>
      </w:r>
      <w:r w:rsidR="00273934" w:rsidRPr="00532C20">
        <w:rPr>
          <w:rFonts w:ascii="Times New Roman" w:hAnsi="Times New Roman" w:cs="Times New Roman"/>
          <w:noProof/>
          <w:sz w:val="24"/>
          <w:szCs w:val="24"/>
          <w:lang w:val="en-IE"/>
        </w:rPr>
        <w:t>.</w:t>
      </w:r>
      <w:r w:rsidR="004C689B" w:rsidRPr="00532C20">
        <w:rPr>
          <w:rFonts w:ascii="Times New Roman" w:hAnsi="Times New Roman" w:cs="Times New Roman"/>
          <w:noProof/>
          <w:sz w:val="24"/>
          <w:szCs w:val="24"/>
          <w:lang w:val="en-IE"/>
        </w:rPr>
        <w:t xml:space="preserve"> By levelling the playing field </w:t>
      </w:r>
      <w:r w:rsidR="007D625F" w:rsidRPr="00532C20">
        <w:rPr>
          <w:rFonts w:ascii="Times New Roman" w:hAnsi="Times New Roman" w:cs="Times New Roman"/>
          <w:noProof/>
          <w:sz w:val="24"/>
          <w:szCs w:val="24"/>
          <w:lang w:val="en-IE"/>
        </w:rPr>
        <w:t>and reducing the compliance cost</w:t>
      </w:r>
      <w:r w:rsidR="00A934B7" w:rsidRPr="00532C20">
        <w:rPr>
          <w:rFonts w:ascii="Times New Roman" w:hAnsi="Times New Roman" w:cs="Times New Roman"/>
          <w:noProof/>
          <w:sz w:val="24"/>
          <w:szCs w:val="24"/>
          <w:lang w:val="en-IE"/>
        </w:rPr>
        <w:t>s</w:t>
      </w:r>
      <w:r w:rsidR="007D625F" w:rsidRPr="00532C20">
        <w:rPr>
          <w:rFonts w:ascii="Times New Roman" w:hAnsi="Times New Roman" w:cs="Times New Roman"/>
          <w:noProof/>
          <w:sz w:val="24"/>
          <w:szCs w:val="24"/>
          <w:lang w:val="en-IE"/>
        </w:rPr>
        <w:t xml:space="preserve"> linked to cross border activities, </w:t>
      </w:r>
      <w:r w:rsidR="00A934B7" w:rsidRPr="00532C20">
        <w:rPr>
          <w:rFonts w:ascii="Times New Roman" w:hAnsi="Times New Roman" w:cs="Times New Roman"/>
          <w:noProof/>
          <w:sz w:val="24"/>
          <w:szCs w:val="24"/>
          <w:lang w:val="en-IE"/>
        </w:rPr>
        <w:t xml:space="preserve">they </w:t>
      </w:r>
      <w:r w:rsidR="002D08C3" w:rsidRPr="00532C20">
        <w:rPr>
          <w:rFonts w:ascii="Times New Roman" w:hAnsi="Times New Roman" w:cs="Times New Roman"/>
          <w:noProof/>
          <w:sz w:val="24"/>
          <w:szCs w:val="24"/>
          <w:lang w:val="en-IE"/>
        </w:rPr>
        <w:t xml:space="preserve">will enable existing national enterprises to scale up. </w:t>
      </w:r>
      <w:r w:rsidR="008E3A60" w:rsidRPr="00532C20">
        <w:rPr>
          <w:rFonts w:ascii="Times New Roman" w:hAnsi="Times New Roman" w:cs="Times New Roman"/>
          <w:noProof/>
          <w:sz w:val="24"/>
          <w:szCs w:val="24"/>
          <w:lang w:val="en-IE"/>
        </w:rPr>
        <w:t xml:space="preserve">By increasing </w:t>
      </w:r>
      <w:r w:rsidR="00FB61FD" w:rsidRPr="00532C20">
        <w:rPr>
          <w:rFonts w:ascii="Times New Roman" w:hAnsi="Times New Roman" w:cs="Times New Roman"/>
          <w:noProof/>
          <w:sz w:val="24"/>
          <w:szCs w:val="24"/>
          <w:lang w:val="en-IE"/>
        </w:rPr>
        <w:t>transparency,</w:t>
      </w:r>
      <w:r w:rsidR="008E3A60" w:rsidRPr="00532C20">
        <w:rPr>
          <w:rFonts w:ascii="Times New Roman" w:hAnsi="Times New Roman" w:cs="Times New Roman"/>
          <w:noProof/>
          <w:sz w:val="24"/>
          <w:szCs w:val="24"/>
          <w:lang w:val="en-IE"/>
        </w:rPr>
        <w:t xml:space="preserve"> they would decrease popular distrust in these activities</w:t>
      </w:r>
      <w:r w:rsidR="00CF69B3" w:rsidRPr="00532C20">
        <w:rPr>
          <w:rFonts w:ascii="Times New Roman" w:hAnsi="Times New Roman" w:cs="Times New Roman"/>
          <w:noProof/>
          <w:sz w:val="24"/>
          <w:szCs w:val="24"/>
          <w:lang w:val="en-IE"/>
        </w:rPr>
        <w:t>, strengthening the attractiveness of entry to this market</w:t>
      </w:r>
      <w:r w:rsidR="007D7834" w:rsidRPr="00532C20">
        <w:rPr>
          <w:rFonts w:ascii="Times New Roman" w:hAnsi="Times New Roman" w:cs="Times New Roman"/>
          <w:noProof/>
          <w:sz w:val="24"/>
          <w:szCs w:val="24"/>
          <w:lang w:val="en-IE"/>
        </w:rPr>
        <w:t>.</w:t>
      </w:r>
    </w:p>
    <w:p w14:paraId="63F96394" w14:textId="1477FA41" w:rsidR="009A49D8" w:rsidRPr="00532C20" w:rsidRDefault="002D08C3" w:rsidP="004F15E4">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In particular, </w:t>
      </w:r>
      <w:r w:rsidRPr="00532C20">
        <w:rPr>
          <w:rFonts w:ascii="Times New Roman" w:hAnsi="Times New Roman" w:cs="Times New Roman"/>
          <w:noProof/>
          <w:sz w:val="24"/>
          <w:szCs w:val="24"/>
          <w:u w:val="single"/>
          <w:lang w:val="en-IE"/>
        </w:rPr>
        <w:t xml:space="preserve">the legislative measures </w:t>
      </w:r>
      <w:r w:rsidR="00480DA3" w:rsidRPr="00532C20">
        <w:rPr>
          <w:rFonts w:ascii="Times New Roman" w:hAnsi="Times New Roman" w:cs="Times New Roman"/>
          <w:noProof/>
          <w:sz w:val="24"/>
          <w:szCs w:val="24"/>
          <w:u w:val="single"/>
          <w:lang w:val="en-IE"/>
        </w:rPr>
        <w:t>(</w:t>
      </w:r>
      <w:r w:rsidR="00254EF3" w:rsidRPr="00532C20">
        <w:rPr>
          <w:rFonts w:ascii="Times New Roman" w:hAnsi="Times New Roman" w:cs="Times New Roman"/>
          <w:noProof/>
          <w:sz w:val="24"/>
          <w:szCs w:val="24"/>
          <w:u w:val="single"/>
          <w:lang w:val="en-IE"/>
        </w:rPr>
        <w:t xml:space="preserve">PO2.1 </w:t>
      </w:r>
      <w:r w:rsidR="00480DA3" w:rsidRPr="00532C20">
        <w:rPr>
          <w:rFonts w:ascii="Times New Roman" w:hAnsi="Times New Roman" w:cs="Times New Roman"/>
          <w:noProof/>
          <w:sz w:val="24"/>
          <w:szCs w:val="24"/>
          <w:u w:val="single"/>
          <w:lang w:val="en-IE"/>
        </w:rPr>
        <w:t>and PO</w:t>
      </w:r>
      <w:r w:rsidR="00254EF3" w:rsidRPr="00532C20">
        <w:rPr>
          <w:rFonts w:ascii="Times New Roman" w:hAnsi="Times New Roman" w:cs="Times New Roman"/>
          <w:noProof/>
          <w:sz w:val="24"/>
          <w:szCs w:val="24"/>
          <w:u w:val="single"/>
          <w:lang w:val="en-IE"/>
        </w:rPr>
        <w:t>2.2</w:t>
      </w:r>
      <w:r w:rsidR="00480DA3" w:rsidRPr="00532C20">
        <w:rPr>
          <w:rFonts w:ascii="Times New Roman" w:hAnsi="Times New Roman" w:cs="Times New Roman"/>
          <w:noProof/>
          <w:sz w:val="24"/>
          <w:szCs w:val="24"/>
          <w:u w:val="single"/>
          <w:lang w:val="en-IE"/>
        </w:rPr>
        <w:t>)</w:t>
      </w:r>
      <w:r w:rsidRPr="00532C20">
        <w:rPr>
          <w:rFonts w:ascii="Times New Roman" w:hAnsi="Times New Roman" w:cs="Times New Roman"/>
          <w:noProof/>
          <w:sz w:val="24"/>
          <w:szCs w:val="24"/>
          <w:lang w:val="en-IE"/>
        </w:rPr>
        <w:t xml:space="preserve">, by fully removing the obstacles resulting from legal uncertainty and fragmentation, as well as </w:t>
      </w:r>
      <w:r w:rsidR="009A49D8" w:rsidRPr="00532C20">
        <w:rPr>
          <w:rFonts w:ascii="Times New Roman" w:hAnsi="Times New Roman" w:cs="Times New Roman"/>
          <w:noProof/>
          <w:sz w:val="24"/>
          <w:szCs w:val="24"/>
          <w:lang w:val="en-IE"/>
        </w:rPr>
        <w:t>reducing the need for multiple registration</w:t>
      </w:r>
      <w:r w:rsidR="00DA1A07" w:rsidRPr="00532C20">
        <w:rPr>
          <w:rFonts w:ascii="Times New Roman" w:hAnsi="Times New Roman" w:cs="Times New Roman"/>
          <w:noProof/>
          <w:sz w:val="24"/>
          <w:szCs w:val="24"/>
          <w:lang w:val="en-IE"/>
        </w:rPr>
        <w:t xml:space="preserve"> would help create a stable market to enable SMEs to scale up their operations and stimulate the development of new services offered at EU level</w:t>
      </w:r>
      <w:r w:rsidR="009A49D8" w:rsidRPr="00532C20">
        <w:rPr>
          <w:rFonts w:ascii="Times New Roman" w:hAnsi="Times New Roman" w:cs="Times New Roman"/>
          <w:noProof/>
          <w:sz w:val="24"/>
          <w:szCs w:val="24"/>
          <w:lang w:val="en-IE"/>
        </w:rPr>
        <w:t>.</w:t>
      </w:r>
    </w:p>
    <w:p w14:paraId="4DD8DDAA" w14:textId="79B5ABA8" w:rsidR="00272DEA" w:rsidRPr="00532C20" w:rsidRDefault="00646A4C" w:rsidP="004F15E4">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u w:val="single"/>
          <w:lang w:val="en-IE"/>
        </w:rPr>
        <w:t>All</w:t>
      </w:r>
      <w:r w:rsidR="00A90D63" w:rsidRPr="00532C20">
        <w:rPr>
          <w:rFonts w:ascii="Times New Roman" w:hAnsi="Times New Roman" w:cs="Times New Roman"/>
          <w:noProof/>
          <w:sz w:val="24"/>
          <w:szCs w:val="24"/>
          <w:u w:val="single"/>
          <w:lang w:val="en-IE"/>
        </w:rPr>
        <w:t xml:space="preserve"> 3</w:t>
      </w:r>
      <w:r w:rsidRPr="00532C20">
        <w:rPr>
          <w:rFonts w:ascii="Times New Roman" w:hAnsi="Times New Roman" w:cs="Times New Roman"/>
          <w:noProof/>
          <w:sz w:val="24"/>
          <w:szCs w:val="24"/>
          <w:u w:val="single"/>
          <w:lang w:val="en-IE"/>
        </w:rPr>
        <w:t xml:space="preserve"> policy options</w:t>
      </w:r>
      <w:r w:rsidRPr="00532C20">
        <w:rPr>
          <w:rFonts w:ascii="Times New Roman" w:hAnsi="Times New Roman" w:cs="Times New Roman"/>
          <w:noProof/>
          <w:sz w:val="24"/>
          <w:szCs w:val="24"/>
          <w:lang w:val="en-IE"/>
        </w:rPr>
        <w:t xml:space="preserve"> would only provide for transparency requirements and would thus </w:t>
      </w:r>
      <w:r w:rsidRPr="00532C20">
        <w:rPr>
          <w:rFonts w:ascii="Times New Roman" w:hAnsi="Times New Roman" w:cs="Times New Roman"/>
          <w:noProof/>
          <w:sz w:val="24"/>
          <w:szCs w:val="24"/>
          <w:u w:val="single"/>
          <w:lang w:val="en-IE"/>
        </w:rPr>
        <w:t>have no impact on the capacity</w:t>
      </w:r>
      <w:r w:rsidR="00BA5B3B" w:rsidRPr="00532C20">
        <w:rPr>
          <w:rFonts w:ascii="Times New Roman" w:hAnsi="Times New Roman" w:cs="Times New Roman"/>
          <w:noProof/>
          <w:sz w:val="24"/>
          <w:szCs w:val="24"/>
          <w:u w:val="single"/>
          <w:lang w:val="en-IE"/>
        </w:rPr>
        <w:t xml:space="preserve"> to innovate</w:t>
      </w:r>
      <w:r w:rsidR="00BA5B3B" w:rsidRPr="00532C20">
        <w:rPr>
          <w:rFonts w:ascii="Times New Roman" w:hAnsi="Times New Roman" w:cs="Times New Roman"/>
          <w:noProof/>
          <w:sz w:val="24"/>
          <w:szCs w:val="24"/>
          <w:lang w:val="en-IE"/>
        </w:rPr>
        <w:t xml:space="preserve"> of the entities falling within their scope.</w:t>
      </w:r>
    </w:p>
    <w:p w14:paraId="6AEEA971" w14:textId="3ED8A174" w:rsidR="00F36FDE" w:rsidRPr="00532C20" w:rsidRDefault="00D4126A" w:rsidP="00582553">
      <w:pPr>
        <w:pStyle w:val="1111level4section"/>
        <w:spacing w:after="120" w:line="240" w:lineRule="auto"/>
        <w:rPr>
          <w:noProof/>
        </w:rPr>
      </w:pPr>
      <w:bookmarkStart w:id="868" w:name="_Toc152864695"/>
      <w:r w:rsidRPr="00532C20">
        <w:rPr>
          <w:noProof/>
        </w:rPr>
        <w:t xml:space="preserve">Costs and administrative </w:t>
      </w:r>
      <w:r w:rsidR="00A16FB0" w:rsidRPr="00532C20">
        <w:rPr>
          <w:noProof/>
        </w:rPr>
        <w:t>burdens</w:t>
      </w:r>
      <w:r w:rsidRPr="00532C20">
        <w:rPr>
          <w:noProof/>
        </w:rPr>
        <w:t xml:space="preserve"> </w:t>
      </w:r>
      <w:r w:rsidR="00A16FB0" w:rsidRPr="00532C20">
        <w:rPr>
          <w:noProof/>
        </w:rPr>
        <w:t>for economic actors</w:t>
      </w:r>
      <w:r w:rsidR="00D97A7E" w:rsidRPr="00532C20">
        <w:rPr>
          <w:noProof/>
        </w:rPr>
        <w:t xml:space="preserve"> (+SMEs)</w:t>
      </w:r>
      <w:bookmarkEnd w:id="868"/>
    </w:p>
    <w:p w14:paraId="6F3B71BD" w14:textId="59C83A52" w:rsidR="00DE7F3B" w:rsidRPr="00532C20" w:rsidRDefault="005D45FA" w:rsidP="00AD69C6">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u w:val="single"/>
          <w:lang w:val="en-IE"/>
        </w:rPr>
        <w:t>All</w:t>
      </w:r>
      <w:r w:rsidR="00A90D63" w:rsidRPr="00532C20">
        <w:rPr>
          <w:rFonts w:ascii="Times New Roman" w:hAnsi="Times New Roman" w:cs="Times New Roman"/>
          <w:noProof/>
          <w:sz w:val="24"/>
          <w:szCs w:val="24"/>
          <w:u w:val="single"/>
          <w:lang w:val="en-IE"/>
        </w:rPr>
        <w:t xml:space="preserve"> 3 </w:t>
      </w:r>
      <w:r w:rsidR="00C4203B" w:rsidRPr="00532C20">
        <w:rPr>
          <w:rFonts w:ascii="Times New Roman" w:hAnsi="Times New Roman" w:cs="Times New Roman"/>
          <w:noProof/>
          <w:sz w:val="24"/>
          <w:szCs w:val="24"/>
          <w:u w:val="single"/>
          <w:lang w:val="en-IE"/>
        </w:rPr>
        <w:t>options</w:t>
      </w:r>
      <w:r w:rsidR="00C4203B" w:rsidRPr="00532C20">
        <w:rPr>
          <w:rFonts w:ascii="Times New Roman" w:hAnsi="Times New Roman" w:cs="Times New Roman"/>
          <w:noProof/>
          <w:sz w:val="24"/>
          <w:szCs w:val="24"/>
          <w:lang w:val="en-IE"/>
        </w:rPr>
        <w:t xml:space="preserve"> would add compliance costs for economic actors providing </w:t>
      </w:r>
      <w:r w:rsidRPr="00532C20">
        <w:rPr>
          <w:rFonts w:ascii="Times New Roman" w:hAnsi="Times New Roman" w:cs="Times New Roman"/>
          <w:noProof/>
          <w:sz w:val="24"/>
          <w:szCs w:val="24"/>
          <w:lang w:val="en-IE"/>
        </w:rPr>
        <w:t>activities</w:t>
      </w:r>
      <w:r w:rsidR="00C4203B" w:rsidRPr="00532C20">
        <w:rPr>
          <w:rFonts w:ascii="Times New Roman" w:hAnsi="Times New Roman" w:cs="Times New Roman"/>
          <w:noProof/>
          <w:sz w:val="24"/>
          <w:szCs w:val="24"/>
          <w:lang w:val="en-IE"/>
        </w:rPr>
        <w:t xml:space="preserve"> which are in scope. These are expected to be compensated by the efficiencies realised from the removal of legal fragmentation that facilitate the </w:t>
      </w:r>
      <w:r w:rsidR="008441A2" w:rsidRPr="00532C20">
        <w:rPr>
          <w:rFonts w:ascii="Times New Roman" w:hAnsi="Times New Roman" w:cs="Times New Roman"/>
          <w:noProof/>
          <w:sz w:val="24"/>
          <w:szCs w:val="24"/>
          <w:lang w:val="en-IE"/>
        </w:rPr>
        <w:t>cross</w:t>
      </w:r>
      <w:r w:rsidR="00D1410B" w:rsidRPr="00532C20">
        <w:rPr>
          <w:rFonts w:ascii="Times New Roman" w:hAnsi="Times New Roman" w:cs="Times New Roman"/>
          <w:noProof/>
          <w:sz w:val="24"/>
          <w:szCs w:val="24"/>
          <w:lang w:val="en-IE"/>
        </w:rPr>
        <w:t>-</w:t>
      </w:r>
      <w:r w:rsidR="008441A2" w:rsidRPr="00532C20">
        <w:rPr>
          <w:rFonts w:ascii="Times New Roman" w:hAnsi="Times New Roman" w:cs="Times New Roman"/>
          <w:noProof/>
          <w:sz w:val="24"/>
          <w:szCs w:val="24"/>
          <w:lang w:val="en-IE"/>
        </w:rPr>
        <w:t>border</w:t>
      </w:r>
      <w:r w:rsidR="00C4203B" w:rsidRPr="00532C20">
        <w:rPr>
          <w:rFonts w:ascii="Times New Roman" w:hAnsi="Times New Roman" w:cs="Times New Roman"/>
          <w:noProof/>
          <w:sz w:val="24"/>
          <w:szCs w:val="24"/>
          <w:lang w:val="en-IE"/>
        </w:rPr>
        <w:t xml:space="preserve"> provision of </w:t>
      </w:r>
      <w:r w:rsidR="001229E9" w:rsidRPr="00532C20">
        <w:rPr>
          <w:rFonts w:ascii="Times New Roman" w:hAnsi="Times New Roman" w:cs="Times New Roman"/>
          <w:noProof/>
          <w:sz w:val="24"/>
          <w:szCs w:val="24"/>
          <w:lang w:val="en-IE"/>
        </w:rPr>
        <w:t>interest</w:t>
      </w:r>
      <w:r w:rsidR="008B2E59" w:rsidRPr="00532C20">
        <w:rPr>
          <w:rFonts w:ascii="Times New Roman" w:hAnsi="Times New Roman" w:cs="Times New Roman"/>
          <w:noProof/>
          <w:sz w:val="24"/>
          <w:szCs w:val="24"/>
          <w:lang w:val="en-IE"/>
        </w:rPr>
        <w:t xml:space="preserve"> representation </w:t>
      </w:r>
      <w:r w:rsidR="001229E9" w:rsidRPr="00532C20">
        <w:rPr>
          <w:rFonts w:ascii="Times New Roman" w:hAnsi="Times New Roman" w:cs="Times New Roman"/>
          <w:noProof/>
          <w:sz w:val="24"/>
          <w:szCs w:val="24"/>
          <w:lang w:val="en-IE"/>
        </w:rPr>
        <w:t>activities</w:t>
      </w:r>
      <w:r w:rsidR="008B2E59" w:rsidRPr="00532C20">
        <w:rPr>
          <w:rFonts w:ascii="Times New Roman" w:hAnsi="Times New Roman" w:cs="Times New Roman"/>
          <w:noProof/>
          <w:sz w:val="24"/>
          <w:szCs w:val="24"/>
          <w:lang w:val="en-IE"/>
        </w:rPr>
        <w:t xml:space="preserve"> on behalf of third countr</w:t>
      </w:r>
      <w:r w:rsidR="001C32E8" w:rsidRPr="00532C20">
        <w:rPr>
          <w:rFonts w:ascii="Times New Roman" w:hAnsi="Times New Roman" w:cs="Times New Roman"/>
          <w:noProof/>
          <w:sz w:val="24"/>
          <w:szCs w:val="24"/>
          <w:lang w:val="en-IE"/>
        </w:rPr>
        <w:t>ies</w:t>
      </w:r>
      <w:r w:rsidR="00D1410B" w:rsidRPr="00532C20">
        <w:rPr>
          <w:rFonts w:ascii="Times New Roman" w:hAnsi="Times New Roman" w:cs="Times New Roman"/>
          <w:noProof/>
          <w:sz w:val="24"/>
          <w:szCs w:val="24"/>
          <w:lang w:val="en-IE"/>
        </w:rPr>
        <w:t>, in particular with regard to the legislative policy options (see section 6.2.1.1)</w:t>
      </w:r>
      <w:r w:rsidR="00C4203B" w:rsidRPr="00532C20">
        <w:rPr>
          <w:rFonts w:ascii="Times New Roman" w:hAnsi="Times New Roman" w:cs="Times New Roman"/>
          <w:noProof/>
          <w:sz w:val="24"/>
          <w:szCs w:val="24"/>
          <w:lang w:val="en-IE"/>
        </w:rPr>
        <w:t xml:space="preserve">. </w:t>
      </w:r>
    </w:p>
    <w:p w14:paraId="0481FD24" w14:textId="58745241" w:rsidR="009F7CA0" w:rsidRPr="00532C20" w:rsidRDefault="00DE7F3B" w:rsidP="00AD69C6">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In light of the removal for the need for multiple registrations, t</w:t>
      </w:r>
      <w:r w:rsidR="00C4203B" w:rsidRPr="00532C20">
        <w:rPr>
          <w:rFonts w:ascii="Times New Roman" w:hAnsi="Times New Roman" w:cs="Times New Roman"/>
          <w:noProof/>
          <w:sz w:val="24"/>
          <w:szCs w:val="24"/>
          <w:lang w:val="en-IE"/>
        </w:rPr>
        <w:t>he net expected result is a cost reduction against the baseline</w:t>
      </w:r>
      <w:r w:rsidRPr="00532C20">
        <w:rPr>
          <w:rFonts w:ascii="Times New Roman" w:hAnsi="Times New Roman" w:cs="Times New Roman"/>
          <w:noProof/>
          <w:sz w:val="24"/>
          <w:szCs w:val="24"/>
          <w:lang w:val="en-IE"/>
        </w:rPr>
        <w:t xml:space="preserve"> for </w:t>
      </w:r>
      <w:r w:rsidRPr="00532C20">
        <w:rPr>
          <w:rFonts w:ascii="Times New Roman" w:hAnsi="Times New Roman" w:cs="Times New Roman"/>
          <w:noProof/>
          <w:sz w:val="24"/>
          <w:szCs w:val="24"/>
          <w:u w:val="single"/>
          <w:lang w:val="en-IE"/>
        </w:rPr>
        <w:t>the legislative policy options</w:t>
      </w:r>
      <w:r w:rsidR="00C4203B" w:rsidRPr="00532C20">
        <w:rPr>
          <w:rFonts w:ascii="Times New Roman" w:hAnsi="Times New Roman" w:cs="Times New Roman"/>
          <w:noProof/>
          <w:sz w:val="24"/>
          <w:szCs w:val="24"/>
          <w:lang w:val="en-IE"/>
        </w:rPr>
        <w:t xml:space="preserve">. </w:t>
      </w:r>
    </w:p>
    <w:p w14:paraId="5B727C30" w14:textId="71724A28" w:rsidR="00C4203B" w:rsidRPr="00532C20" w:rsidRDefault="00244C80" w:rsidP="00AD69C6">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u w:val="single"/>
          <w:lang w:val="en-IE"/>
        </w:rPr>
        <w:t xml:space="preserve">The extended requirements of </w:t>
      </w:r>
      <w:r w:rsidR="002875D9" w:rsidRPr="00532C20">
        <w:rPr>
          <w:rFonts w:ascii="Times New Roman" w:hAnsi="Times New Roman" w:cs="Times New Roman"/>
          <w:noProof/>
          <w:sz w:val="24"/>
          <w:szCs w:val="24"/>
          <w:u w:val="single"/>
          <w:lang w:val="en-IE"/>
        </w:rPr>
        <w:t>PO</w:t>
      </w:r>
      <w:r w:rsidR="00C4203B" w:rsidRPr="00532C20">
        <w:rPr>
          <w:rFonts w:ascii="Times New Roman" w:hAnsi="Times New Roman" w:cs="Times New Roman"/>
          <w:noProof/>
          <w:sz w:val="24"/>
          <w:szCs w:val="24"/>
          <w:u w:val="single"/>
          <w:lang w:val="en-IE"/>
        </w:rPr>
        <w:t>2</w:t>
      </w:r>
      <w:r w:rsidRPr="00532C20">
        <w:rPr>
          <w:rFonts w:ascii="Times New Roman" w:hAnsi="Times New Roman" w:cs="Times New Roman"/>
          <w:noProof/>
          <w:sz w:val="24"/>
          <w:szCs w:val="24"/>
          <w:u w:val="single"/>
          <w:lang w:val="en-IE"/>
        </w:rPr>
        <w:t>.</w:t>
      </w:r>
      <w:r w:rsidR="00254EF3" w:rsidRPr="00532C20">
        <w:rPr>
          <w:rFonts w:ascii="Times New Roman" w:hAnsi="Times New Roman" w:cs="Times New Roman"/>
          <w:noProof/>
          <w:sz w:val="24"/>
          <w:szCs w:val="24"/>
          <w:u w:val="single"/>
          <w:lang w:val="en-IE"/>
        </w:rPr>
        <w:t>2</w:t>
      </w:r>
      <w:r w:rsidR="00B719DB" w:rsidRPr="00313F32">
        <w:rPr>
          <w:rFonts w:ascii="Times New Roman" w:hAnsi="Times New Roman" w:cs="Times New Roman"/>
          <w:noProof/>
          <w:sz w:val="24"/>
          <w:szCs w:val="24"/>
          <w:lang w:val="en-IE"/>
        </w:rPr>
        <w:t xml:space="preserve"> </w:t>
      </w:r>
      <w:r w:rsidR="00C4203B" w:rsidRPr="00532C20">
        <w:rPr>
          <w:rFonts w:ascii="Times New Roman" w:hAnsi="Times New Roman" w:cs="Times New Roman"/>
          <w:noProof/>
          <w:sz w:val="24"/>
          <w:szCs w:val="24"/>
          <w:lang w:val="en-IE"/>
        </w:rPr>
        <w:t xml:space="preserve">introduce </w:t>
      </w:r>
      <w:r w:rsidR="003524F2" w:rsidRPr="00532C20">
        <w:rPr>
          <w:rFonts w:ascii="Times New Roman" w:hAnsi="Times New Roman" w:cs="Times New Roman"/>
          <w:noProof/>
          <w:sz w:val="24"/>
          <w:szCs w:val="24"/>
          <w:lang w:val="en-IE"/>
        </w:rPr>
        <w:t>a</w:t>
      </w:r>
      <w:r w:rsidR="003068E6" w:rsidRPr="00532C20">
        <w:rPr>
          <w:rFonts w:ascii="Times New Roman" w:hAnsi="Times New Roman" w:cs="Times New Roman"/>
          <w:noProof/>
          <w:sz w:val="24"/>
          <w:szCs w:val="24"/>
          <w:lang w:val="en-IE"/>
        </w:rPr>
        <w:t xml:space="preserve"> </w:t>
      </w:r>
      <w:r w:rsidR="00841482" w:rsidRPr="00532C20">
        <w:rPr>
          <w:rFonts w:ascii="Times New Roman" w:hAnsi="Times New Roman" w:cs="Times New Roman"/>
          <w:noProof/>
          <w:sz w:val="24"/>
          <w:szCs w:val="24"/>
          <w:lang w:val="en-IE"/>
        </w:rPr>
        <w:t>prior authorisation/licencing</w:t>
      </w:r>
      <w:r w:rsidR="003524F2" w:rsidRPr="00532C20">
        <w:rPr>
          <w:rFonts w:ascii="Times New Roman" w:hAnsi="Times New Roman" w:cs="Times New Roman"/>
          <w:noProof/>
          <w:sz w:val="24"/>
          <w:szCs w:val="24"/>
          <w:lang w:val="en-IE"/>
        </w:rPr>
        <w:t xml:space="preserve"> system</w:t>
      </w:r>
      <w:r w:rsidR="00C4203B" w:rsidRPr="00532C20">
        <w:rPr>
          <w:rFonts w:ascii="Times New Roman" w:hAnsi="Times New Roman" w:cs="Times New Roman"/>
          <w:noProof/>
          <w:sz w:val="24"/>
          <w:szCs w:val="24"/>
          <w:lang w:val="en-IE"/>
        </w:rPr>
        <w:t xml:space="preserve"> over </w:t>
      </w:r>
      <w:r w:rsidR="00B342D3" w:rsidRPr="00532C20">
        <w:rPr>
          <w:rFonts w:ascii="Times New Roman" w:hAnsi="Times New Roman" w:cs="Times New Roman"/>
          <w:noProof/>
          <w:sz w:val="24"/>
          <w:szCs w:val="24"/>
          <w:lang w:val="en-IE"/>
        </w:rPr>
        <w:t>the other options</w:t>
      </w:r>
      <w:r w:rsidR="00C4203B" w:rsidRPr="00532C20">
        <w:rPr>
          <w:rFonts w:ascii="Times New Roman" w:hAnsi="Times New Roman" w:cs="Times New Roman"/>
          <w:noProof/>
          <w:sz w:val="24"/>
          <w:szCs w:val="24"/>
          <w:lang w:val="en-IE"/>
        </w:rPr>
        <w:t xml:space="preserve"> and the baseline.</w:t>
      </w:r>
      <w:r w:rsidR="00C74CCF" w:rsidRPr="00532C20">
        <w:rPr>
          <w:rFonts w:ascii="Times New Roman" w:hAnsi="Times New Roman" w:cs="Times New Roman"/>
          <w:noProof/>
          <w:sz w:val="24"/>
          <w:szCs w:val="24"/>
          <w:lang w:val="en-IE"/>
        </w:rPr>
        <w:t xml:space="preserve"> </w:t>
      </w:r>
      <w:r w:rsidR="00055E1F" w:rsidRPr="00532C20">
        <w:rPr>
          <w:rFonts w:ascii="Times New Roman" w:hAnsi="Times New Roman" w:cs="Times New Roman"/>
          <w:noProof/>
          <w:sz w:val="24"/>
          <w:szCs w:val="24"/>
          <w:lang w:val="en-IE"/>
        </w:rPr>
        <w:t>B</w:t>
      </w:r>
      <w:r w:rsidR="00C74CCF" w:rsidRPr="00532C20">
        <w:rPr>
          <w:rFonts w:ascii="Times New Roman" w:eastAsia="Times" w:hAnsi="Times New Roman" w:cs="Times New Roman"/>
          <w:noProof/>
          <w:sz w:val="24"/>
          <w:szCs w:val="24"/>
          <w:lang w:val="en-IE"/>
        </w:rPr>
        <w:t xml:space="preserve">y having the possibility to </w:t>
      </w:r>
      <w:r w:rsidR="00C74CCF" w:rsidRPr="00532C20">
        <w:rPr>
          <w:rFonts w:ascii="Times New Roman" w:eastAsia="Times" w:hAnsi="Times New Roman" w:cs="Times New Roman"/>
          <w:noProof/>
          <w:sz w:val="24"/>
          <w:szCs w:val="24"/>
          <w:lang w:val="en-IE" w:eastAsia="en-IE"/>
        </w:rPr>
        <w:t xml:space="preserve">refuse to authorise an interest representation activity that is likely to seriously affect public security, </w:t>
      </w:r>
      <w:r w:rsidR="00C74CCF" w:rsidRPr="00532C20">
        <w:rPr>
          <w:rFonts w:ascii="Times New Roman" w:hAnsi="Times New Roman" w:cs="Times New Roman"/>
          <w:noProof/>
          <w:sz w:val="24"/>
          <w:szCs w:val="24"/>
          <w:lang w:val="en-IE"/>
        </w:rPr>
        <w:t>this option would create a positive reputational impact for economic actors that have been granted a licence</w:t>
      </w:r>
      <w:r w:rsidR="00821432" w:rsidRPr="00532C20">
        <w:rPr>
          <w:rFonts w:ascii="Times New Roman" w:hAnsi="Times New Roman" w:cs="Times New Roman"/>
          <w:noProof/>
          <w:sz w:val="24"/>
          <w:szCs w:val="24"/>
          <w:lang w:val="en-IE"/>
        </w:rPr>
        <w:t>, which could be leverage</w:t>
      </w:r>
      <w:r w:rsidR="00EC572B" w:rsidRPr="00532C20">
        <w:rPr>
          <w:rFonts w:ascii="Times New Roman" w:hAnsi="Times New Roman" w:cs="Times New Roman"/>
          <w:noProof/>
          <w:sz w:val="24"/>
          <w:szCs w:val="24"/>
          <w:lang w:val="en-IE"/>
        </w:rPr>
        <w:t>d</w:t>
      </w:r>
      <w:r w:rsidR="00821432" w:rsidRPr="00532C20">
        <w:rPr>
          <w:rFonts w:ascii="Times New Roman" w:hAnsi="Times New Roman" w:cs="Times New Roman"/>
          <w:noProof/>
          <w:sz w:val="24"/>
          <w:szCs w:val="24"/>
          <w:lang w:val="en-IE"/>
        </w:rPr>
        <w:t xml:space="preserve"> for commerc</w:t>
      </w:r>
      <w:r w:rsidR="006C77A3" w:rsidRPr="00532C20">
        <w:rPr>
          <w:rFonts w:ascii="Times New Roman" w:hAnsi="Times New Roman" w:cs="Times New Roman"/>
          <w:noProof/>
          <w:sz w:val="24"/>
          <w:szCs w:val="24"/>
          <w:lang w:val="en-IE"/>
        </w:rPr>
        <w:t>ial gains</w:t>
      </w:r>
      <w:r w:rsidR="00C74CCF" w:rsidRPr="00532C20">
        <w:rPr>
          <w:rFonts w:ascii="Times New Roman" w:hAnsi="Times New Roman" w:cs="Times New Roman"/>
          <w:noProof/>
          <w:sz w:val="24"/>
          <w:szCs w:val="24"/>
          <w:lang w:val="en-IE"/>
        </w:rPr>
        <w:t>.</w:t>
      </w:r>
      <w:r w:rsidR="00E404DE" w:rsidRPr="00532C20">
        <w:rPr>
          <w:rStyle w:val="FootnoteReference"/>
          <w:rFonts w:ascii="Times New Roman" w:hAnsi="Times New Roman" w:cs="Times New Roman"/>
          <w:noProof/>
          <w:sz w:val="24"/>
          <w:szCs w:val="24"/>
          <w:lang w:val="en-IE"/>
        </w:rPr>
        <w:footnoteReference w:id="161"/>
      </w:r>
    </w:p>
    <w:p w14:paraId="42843C42" w14:textId="556598B8" w:rsidR="00E404DE" w:rsidRPr="00532C20" w:rsidRDefault="00E404DE" w:rsidP="00AD69C6">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Annex 4 details the methodology used to determine the costs for economic actors.</w:t>
      </w:r>
    </w:p>
    <w:p w14:paraId="3FB096D4" w14:textId="55735AFD" w:rsidR="008E1B0D" w:rsidRPr="00532C20" w:rsidRDefault="009E267A" w:rsidP="00AE26B4">
      <w:pPr>
        <w:keepNext/>
        <w:spacing w:after="0" w:line="240" w:lineRule="auto"/>
        <w:jc w:val="both"/>
        <w:rPr>
          <w:rFonts w:ascii="Times New Roman" w:hAnsi="Times New Roman" w:cs="Times New Roman"/>
          <w:b/>
          <w:noProof/>
          <w:sz w:val="24"/>
          <w:szCs w:val="24"/>
          <w:lang w:val="en-IE"/>
        </w:rPr>
      </w:pPr>
      <w:r w:rsidRPr="00532C20">
        <w:rPr>
          <w:rFonts w:ascii="Times New Roman" w:hAnsi="Times New Roman" w:cs="Times New Roman"/>
          <w:b/>
          <w:bCs/>
          <w:noProof/>
          <w:sz w:val="24"/>
          <w:szCs w:val="24"/>
          <w:lang w:val="en-IE"/>
        </w:rPr>
        <w:t xml:space="preserve">Table 3: </w:t>
      </w:r>
      <w:r w:rsidR="000A74B5" w:rsidRPr="00532C20">
        <w:rPr>
          <w:rFonts w:ascii="Times New Roman" w:hAnsi="Times New Roman" w:cs="Times New Roman"/>
          <w:b/>
          <w:bCs/>
          <w:noProof/>
          <w:sz w:val="24"/>
          <w:szCs w:val="24"/>
          <w:lang w:val="en-IE"/>
        </w:rPr>
        <w:t>Estimates of costs for obligations addressed to economic actors.</w:t>
      </w:r>
    </w:p>
    <w:tbl>
      <w:tblPr>
        <w:tblStyle w:val="TableGrid"/>
        <w:tblW w:w="0" w:type="auto"/>
        <w:tblLayout w:type="fixed"/>
        <w:tblLook w:val="04A0" w:firstRow="1" w:lastRow="0" w:firstColumn="1" w:lastColumn="0" w:noHBand="0" w:noVBand="1"/>
      </w:tblPr>
      <w:tblGrid>
        <w:gridCol w:w="1555"/>
        <w:gridCol w:w="1559"/>
        <w:gridCol w:w="1984"/>
        <w:gridCol w:w="3918"/>
      </w:tblGrid>
      <w:tr w:rsidR="00A9596C" w:rsidRPr="00532C20" w14:paraId="2A674FD3" w14:textId="77777777" w:rsidTr="00345CB9">
        <w:tc>
          <w:tcPr>
            <w:tcW w:w="1555" w:type="dxa"/>
          </w:tcPr>
          <w:p w14:paraId="0E34F2BF" w14:textId="4BC13EF4" w:rsidR="00A9596C" w:rsidRPr="00532C20" w:rsidRDefault="00A47B82" w:rsidP="004B0958">
            <w:pPr>
              <w:jc w:val="both"/>
              <w:rPr>
                <w:rFonts w:ascii="Times New Roman" w:hAnsi="Times New Roman" w:cs="Times New Roman"/>
                <w:i/>
                <w:noProof/>
                <w:sz w:val="22"/>
                <w:szCs w:val="22"/>
                <w:lang w:val="en-IE"/>
              </w:rPr>
            </w:pPr>
            <w:r w:rsidRPr="00532C20">
              <w:rPr>
                <w:rFonts w:ascii="Times New Roman" w:hAnsi="Times New Roman" w:cs="Times New Roman"/>
                <w:i/>
                <w:noProof/>
                <w:sz w:val="22"/>
                <w:szCs w:val="22"/>
                <w:lang w:val="en-IE"/>
              </w:rPr>
              <w:t>Type of cost</w:t>
            </w:r>
          </w:p>
        </w:tc>
        <w:tc>
          <w:tcPr>
            <w:tcW w:w="1559" w:type="dxa"/>
          </w:tcPr>
          <w:p w14:paraId="32238512" w14:textId="77777777" w:rsidR="00345CB9" w:rsidRPr="00532C20" w:rsidRDefault="00A47B82" w:rsidP="004B0958">
            <w:pPr>
              <w:jc w:val="both"/>
              <w:rPr>
                <w:rFonts w:ascii="Times New Roman" w:hAnsi="Times New Roman" w:cs="Times New Roman"/>
                <w:noProof/>
                <w:sz w:val="22"/>
                <w:szCs w:val="22"/>
                <w:lang w:val="en-IE"/>
              </w:rPr>
            </w:pPr>
            <w:r w:rsidRPr="00532C20">
              <w:rPr>
                <w:rFonts w:ascii="Times New Roman" w:hAnsi="Times New Roman" w:cs="Times New Roman"/>
                <w:b/>
                <w:noProof/>
                <w:sz w:val="22"/>
                <w:szCs w:val="22"/>
                <w:lang w:val="en-IE"/>
              </w:rPr>
              <w:t>Option 1</w:t>
            </w:r>
            <w:r w:rsidR="00150DD9" w:rsidRPr="00532C20">
              <w:rPr>
                <w:rFonts w:ascii="Times New Roman" w:hAnsi="Times New Roman" w:cs="Times New Roman"/>
                <w:b/>
                <w:bCs/>
                <w:noProof/>
                <w:sz w:val="22"/>
                <w:szCs w:val="22"/>
                <w:vertAlign w:val="superscript"/>
                <w:lang w:val="en-IE"/>
              </w:rPr>
              <w:t>(*)</w:t>
            </w:r>
            <w:r w:rsidRPr="00532C20">
              <w:rPr>
                <w:rFonts w:ascii="Times New Roman" w:hAnsi="Times New Roman" w:cs="Times New Roman"/>
                <w:noProof/>
                <w:sz w:val="22"/>
                <w:szCs w:val="22"/>
                <w:lang w:val="en-IE"/>
              </w:rPr>
              <w:t>:</w:t>
            </w:r>
          </w:p>
          <w:p w14:paraId="20512F87" w14:textId="21F6B01E" w:rsidR="00A9596C" w:rsidRPr="00532C20" w:rsidRDefault="00A47B82" w:rsidP="004B0958">
            <w:pPr>
              <w:jc w:val="both"/>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non-legislative measure</w:t>
            </w:r>
            <w:r w:rsidR="00B719DB">
              <w:rPr>
                <w:rFonts w:ascii="Times New Roman" w:hAnsi="Times New Roman" w:cs="Times New Roman"/>
                <w:noProof/>
                <w:sz w:val="22"/>
                <w:szCs w:val="22"/>
                <w:lang w:val="en-IE"/>
              </w:rPr>
              <w:t>s</w:t>
            </w:r>
          </w:p>
        </w:tc>
        <w:tc>
          <w:tcPr>
            <w:tcW w:w="1984" w:type="dxa"/>
          </w:tcPr>
          <w:p w14:paraId="659912FA" w14:textId="62F61EB0" w:rsidR="00A9596C" w:rsidRPr="00532C20" w:rsidRDefault="00A47B82" w:rsidP="00313F32">
            <w:pPr>
              <w:rPr>
                <w:rFonts w:ascii="Times New Roman" w:hAnsi="Times New Roman" w:cs="Times New Roman"/>
                <w:noProof/>
                <w:sz w:val="22"/>
                <w:szCs w:val="22"/>
                <w:lang w:val="en-IE"/>
              </w:rPr>
            </w:pPr>
            <w:r w:rsidRPr="00532C20">
              <w:rPr>
                <w:rFonts w:ascii="Times New Roman" w:hAnsi="Times New Roman" w:cs="Times New Roman"/>
                <w:b/>
                <w:noProof/>
                <w:sz w:val="22"/>
                <w:szCs w:val="22"/>
                <w:lang w:val="en-IE"/>
              </w:rPr>
              <w:t>Option</w:t>
            </w:r>
            <w:r w:rsidR="008427E6">
              <w:rPr>
                <w:rFonts w:ascii="Times New Roman" w:hAnsi="Times New Roman" w:cs="Times New Roman"/>
                <w:b/>
                <w:noProof/>
                <w:sz w:val="22"/>
                <w:szCs w:val="22"/>
                <w:lang w:val="en-IE"/>
              </w:rPr>
              <w:t xml:space="preserve"> </w:t>
            </w:r>
            <w:r w:rsidRPr="00532C20">
              <w:rPr>
                <w:rFonts w:ascii="Times New Roman" w:hAnsi="Times New Roman" w:cs="Times New Roman"/>
                <w:b/>
                <w:noProof/>
                <w:sz w:val="22"/>
                <w:szCs w:val="22"/>
                <w:lang w:val="en-IE"/>
              </w:rPr>
              <w:t>2.</w:t>
            </w:r>
            <w:r w:rsidR="00254EF3" w:rsidRPr="00532C20">
              <w:rPr>
                <w:rFonts w:ascii="Times New Roman" w:hAnsi="Times New Roman" w:cs="Times New Roman"/>
                <w:b/>
                <w:noProof/>
                <w:sz w:val="22"/>
                <w:szCs w:val="22"/>
                <w:lang w:val="en-IE"/>
              </w:rPr>
              <w:t>1</w:t>
            </w:r>
            <w:r w:rsidRPr="00532C20">
              <w:rPr>
                <w:rFonts w:ascii="Times New Roman" w:hAnsi="Times New Roman" w:cs="Times New Roman"/>
                <w:noProof/>
                <w:sz w:val="22"/>
                <w:szCs w:val="22"/>
                <w:lang w:val="en-IE"/>
              </w:rPr>
              <w:t>: targeted legislative requirement</w:t>
            </w:r>
            <w:r w:rsidR="00B719DB">
              <w:rPr>
                <w:rFonts w:ascii="Times New Roman" w:hAnsi="Times New Roman" w:cs="Times New Roman"/>
                <w:noProof/>
                <w:sz w:val="22"/>
                <w:szCs w:val="22"/>
                <w:lang w:val="en-IE"/>
              </w:rPr>
              <w:t>s</w:t>
            </w:r>
          </w:p>
        </w:tc>
        <w:tc>
          <w:tcPr>
            <w:tcW w:w="3918" w:type="dxa"/>
          </w:tcPr>
          <w:p w14:paraId="190AF8DD" w14:textId="5B81237E" w:rsidR="00345CB9" w:rsidRPr="00532C20" w:rsidRDefault="00A47B82" w:rsidP="004B0958">
            <w:pPr>
              <w:jc w:val="both"/>
              <w:rPr>
                <w:rFonts w:ascii="Times New Roman" w:hAnsi="Times New Roman" w:cs="Times New Roman"/>
                <w:noProof/>
                <w:sz w:val="22"/>
                <w:szCs w:val="22"/>
                <w:lang w:val="en-IE"/>
              </w:rPr>
            </w:pPr>
            <w:r w:rsidRPr="00532C20">
              <w:rPr>
                <w:rFonts w:ascii="Times New Roman" w:hAnsi="Times New Roman" w:cs="Times New Roman"/>
                <w:b/>
                <w:noProof/>
                <w:sz w:val="22"/>
                <w:szCs w:val="22"/>
                <w:lang w:val="en-IE"/>
              </w:rPr>
              <w:t>Option 2.</w:t>
            </w:r>
            <w:r w:rsidR="00254EF3" w:rsidRPr="00532C20">
              <w:rPr>
                <w:rFonts w:ascii="Times New Roman" w:hAnsi="Times New Roman" w:cs="Times New Roman"/>
                <w:b/>
                <w:noProof/>
                <w:sz w:val="22"/>
                <w:szCs w:val="22"/>
                <w:lang w:val="en-IE"/>
              </w:rPr>
              <w:t>2</w:t>
            </w:r>
            <w:r w:rsidRPr="00532C20">
              <w:rPr>
                <w:rFonts w:ascii="Times New Roman" w:hAnsi="Times New Roman" w:cs="Times New Roman"/>
                <w:noProof/>
                <w:sz w:val="22"/>
                <w:szCs w:val="22"/>
                <w:lang w:val="en-IE"/>
              </w:rPr>
              <w:t>:</w:t>
            </w:r>
          </w:p>
          <w:p w14:paraId="3C79DEDB" w14:textId="076A1E46" w:rsidR="00A9596C" w:rsidRPr="00532C20" w:rsidRDefault="00A47B82" w:rsidP="004B0958">
            <w:pPr>
              <w:jc w:val="both"/>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extended legislative requirements</w:t>
            </w:r>
          </w:p>
        </w:tc>
      </w:tr>
      <w:tr w:rsidR="00A9596C" w:rsidRPr="00532C20" w14:paraId="47B9BB8C" w14:textId="77777777" w:rsidTr="00655C42">
        <w:tc>
          <w:tcPr>
            <w:tcW w:w="1555" w:type="dxa"/>
          </w:tcPr>
          <w:p w14:paraId="586E2A71" w14:textId="049CABEE" w:rsidR="00A9596C" w:rsidRPr="00532C20" w:rsidRDefault="001D6EBD" w:rsidP="004B0958">
            <w:pPr>
              <w:ind w:right="-106"/>
              <w:jc w:val="both"/>
              <w:rPr>
                <w:rFonts w:ascii="Times New Roman" w:hAnsi="Times New Roman" w:cs="Times New Roman"/>
                <w:i/>
                <w:noProof/>
                <w:sz w:val="22"/>
                <w:szCs w:val="22"/>
                <w:lang w:val="en-IE"/>
              </w:rPr>
            </w:pPr>
            <w:r w:rsidRPr="00532C20">
              <w:rPr>
                <w:rFonts w:ascii="Times New Roman" w:hAnsi="Times New Roman" w:cs="Times New Roman"/>
                <w:i/>
                <w:noProof/>
                <w:sz w:val="22"/>
                <w:szCs w:val="22"/>
                <w:lang w:val="en-IE"/>
              </w:rPr>
              <w:t>Familiarisation costs</w:t>
            </w:r>
          </w:p>
        </w:tc>
        <w:tc>
          <w:tcPr>
            <w:tcW w:w="7461" w:type="dxa"/>
            <w:gridSpan w:val="3"/>
          </w:tcPr>
          <w:p w14:paraId="44006B56" w14:textId="77777777" w:rsidR="0011396B" w:rsidRPr="00532C20" w:rsidRDefault="00EF38ED" w:rsidP="004B0958">
            <w:pPr>
              <w:jc w:val="both"/>
              <w:rPr>
                <w:rFonts w:ascii="Times New Roman" w:hAnsi="Times New Roman" w:cs="Times New Roman"/>
                <w:noProof/>
                <w:sz w:val="22"/>
                <w:szCs w:val="22"/>
                <w:u w:val="single"/>
                <w:lang w:val="en-IE"/>
              </w:rPr>
            </w:pPr>
            <w:r w:rsidRPr="00532C20">
              <w:rPr>
                <w:rFonts w:ascii="Times New Roman" w:hAnsi="Times New Roman" w:cs="Times New Roman"/>
                <w:noProof/>
                <w:sz w:val="22"/>
                <w:szCs w:val="22"/>
                <w:u w:val="single"/>
                <w:lang w:val="en-IE"/>
              </w:rPr>
              <w:t>Basic familiarisation costs</w:t>
            </w:r>
            <w:r w:rsidR="0011396B" w:rsidRPr="00532C20">
              <w:rPr>
                <w:rFonts w:ascii="Times New Roman" w:hAnsi="Times New Roman" w:cs="Times New Roman"/>
                <w:noProof/>
                <w:sz w:val="22"/>
                <w:szCs w:val="22"/>
                <w:u w:val="single"/>
                <w:lang w:val="en-IE"/>
              </w:rPr>
              <w:t>:</w:t>
            </w:r>
          </w:p>
          <w:p w14:paraId="7EFCCC73" w14:textId="11240A04" w:rsidR="0011396B" w:rsidRPr="00532C20" w:rsidRDefault="003A5216" w:rsidP="00AE26B4">
            <w:pPr>
              <w:spacing w:after="120"/>
              <w:jc w:val="both"/>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Entities</w:t>
            </w:r>
            <w:r w:rsidR="006C3F46" w:rsidRPr="00532C20">
              <w:rPr>
                <w:rFonts w:ascii="Times New Roman" w:hAnsi="Times New Roman" w:cs="Times New Roman"/>
                <w:noProof/>
                <w:sz w:val="22"/>
                <w:szCs w:val="22"/>
                <w:lang w:val="en-IE"/>
              </w:rPr>
              <w:t xml:space="preserve"> that carry out interest </w:t>
            </w:r>
            <w:r w:rsidRPr="00532C20">
              <w:rPr>
                <w:rFonts w:ascii="Times New Roman" w:hAnsi="Times New Roman" w:cs="Times New Roman"/>
                <w:noProof/>
                <w:sz w:val="22"/>
                <w:szCs w:val="22"/>
                <w:lang w:val="en-IE"/>
              </w:rPr>
              <w:t>representation</w:t>
            </w:r>
            <w:r w:rsidR="006C3F46" w:rsidRPr="00532C20">
              <w:rPr>
                <w:rFonts w:ascii="Times New Roman" w:hAnsi="Times New Roman" w:cs="Times New Roman"/>
                <w:noProof/>
                <w:sz w:val="22"/>
                <w:szCs w:val="22"/>
                <w:lang w:val="en-IE"/>
              </w:rPr>
              <w:t xml:space="preserve"> </w:t>
            </w:r>
            <w:r w:rsidRPr="00532C20">
              <w:rPr>
                <w:rFonts w:ascii="Times New Roman" w:hAnsi="Times New Roman" w:cs="Times New Roman"/>
                <w:noProof/>
                <w:sz w:val="22"/>
                <w:szCs w:val="22"/>
                <w:lang w:val="en-IE"/>
              </w:rPr>
              <w:t xml:space="preserve">activities will </w:t>
            </w:r>
            <w:r w:rsidR="00447FBD" w:rsidRPr="00532C20">
              <w:rPr>
                <w:rFonts w:ascii="Times New Roman" w:hAnsi="Times New Roman" w:cs="Times New Roman"/>
                <w:noProof/>
                <w:sz w:val="22"/>
                <w:szCs w:val="22"/>
                <w:lang w:val="en-IE"/>
              </w:rPr>
              <w:t>conduct</w:t>
            </w:r>
            <w:r w:rsidRPr="00532C20">
              <w:rPr>
                <w:rFonts w:ascii="Times New Roman" w:hAnsi="Times New Roman" w:cs="Times New Roman"/>
                <w:noProof/>
                <w:sz w:val="22"/>
                <w:szCs w:val="22"/>
                <w:lang w:val="en-IE"/>
              </w:rPr>
              <w:t xml:space="preserve"> some basic familiarisation with the new</w:t>
            </w:r>
            <w:r w:rsidR="00447FBD" w:rsidRPr="00532C20">
              <w:rPr>
                <w:rFonts w:ascii="Times New Roman" w:hAnsi="Times New Roman" w:cs="Times New Roman"/>
                <w:noProof/>
                <w:sz w:val="22"/>
                <w:szCs w:val="22"/>
                <w:lang w:val="en-IE"/>
              </w:rPr>
              <w:t xml:space="preserve"> regulatory framework to assess </w:t>
            </w:r>
            <w:r w:rsidR="000B05E7" w:rsidRPr="00532C20">
              <w:rPr>
                <w:rFonts w:ascii="Times New Roman" w:hAnsi="Times New Roman" w:cs="Times New Roman"/>
                <w:noProof/>
                <w:sz w:val="22"/>
                <w:szCs w:val="22"/>
                <w:lang w:val="en-IE"/>
              </w:rPr>
              <w:t>whether</w:t>
            </w:r>
            <w:r w:rsidR="00447FBD" w:rsidRPr="00532C20">
              <w:rPr>
                <w:rFonts w:ascii="Times New Roman" w:hAnsi="Times New Roman" w:cs="Times New Roman"/>
                <w:noProof/>
                <w:sz w:val="22"/>
                <w:szCs w:val="22"/>
                <w:lang w:val="en-IE"/>
              </w:rPr>
              <w:t xml:space="preserve"> their operations would fall into scope. </w:t>
            </w:r>
            <w:r w:rsidR="00642FD0" w:rsidRPr="00532C20">
              <w:rPr>
                <w:rFonts w:ascii="Times New Roman" w:hAnsi="Times New Roman" w:cs="Times New Roman"/>
                <w:noProof/>
                <w:sz w:val="22"/>
                <w:szCs w:val="22"/>
                <w:lang w:val="en-IE"/>
              </w:rPr>
              <w:t>S</w:t>
            </w:r>
            <w:r w:rsidR="00447FBD" w:rsidRPr="00532C20">
              <w:rPr>
                <w:rFonts w:ascii="Times New Roman" w:hAnsi="Times New Roman" w:cs="Times New Roman"/>
                <w:noProof/>
                <w:sz w:val="22"/>
                <w:szCs w:val="22"/>
                <w:lang w:val="en-IE"/>
              </w:rPr>
              <w:t xml:space="preserve">uch cost would be around </w:t>
            </w:r>
            <w:r w:rsidR="00642FD0" w:rsidRPr="00532C20">
              <w:rPr>
                <w:rFonts w:ascii="Times New Roman" w:hAnsi="Times New Roman" w:cs="Times New Roman"/>
                <w:noProof/>
                <w:sz w:val="22"/>
                <w:szCs w:val="22"/>
                <w:lang w:val="en-IE"/>
              </w:rPr>
              <w:t xml:space="preserve">EUR </w:t>
            </w:r>
            <w:r w:rsidR="00447FBD" w:rsidRPr="00532C20">
              <w:rPr>
                <w:rFonts w:ascii="Times New Roman" w:hAnsi="Times New Roman" w:cs="Times New Roman"/>
                <w:noProof/>
                <w:sz w:val="22"/>
                <w:szCs w:val="22"/>
                <w:lang w:val="en-IE"/>
              </w:rPr>
              <w:t>20 to 60 per organisation</w:t>
            </w:r>
            <w:r w:rsidR="00F12E50" w:rsidRPr="00532C20">
              <w:rPr>
                <w:rStyle w:val="FootnoteReference"/>
                <w:rFonts w:ascii="Times New Roman" w:hAnsi="Times New Roman" w:cs="Times New Roman"/>
                <w:noProof/>
                <w:sz w:val="22"/>
                <w:szCs w:val="22"/>
                <w:lang w:val="en-IE"/>
              </w:rPr>
              <w:footnoteReference w:id="162"/>
            </w:r>
            <w:r w:rsidR="00447FBD" w:rsidRPr="00532C20">
              <w:rPr>
                <w:rFonts w:ascii="Times New Roman" w:hAnsi="Times New Roman" w:cs="Times New Roman"/>
                <w:noProof/>
                <w:sz w:val="22"/>
                <w:szCs w:val="22"/>
                <w:lang w:val="en-IE"/>
              </w:rPr>
              <w:t>.</w:t>
            </w:r>
          </w:p>
          <w:p w14:paraId="1398D5A8" w14:textId="515ACD58" w:rsidR="00447FBD" w:rsidRPr="00532C20" w:rsidRDefault="00447FBD" w:rsidP="004B0958">
            <w:pPr>
              <w:jc w:val="both"/>
              <w:rPr>
                <w:rFonts w:ascii="Times New Roman" w:hAnsi="Times New Roman" w:cs="Times New Roman"/>
                <w:noProof/>
                <w:sz w:val="22"/>
                <w:szCs w:val="22"/>
                <w:u w:val="single"/>
                <w:lang w:val="en-IE"/>
              </w:rPr>
            </w:pPr>
            <w:r w:rsidRPr="00532C20">
              <w:rPr>
                <w:rFonts w:ascii="Times New Roman" w:hAnsi="Times New Roman" w:cs="Times New Roman"/>
                <w:noProof/>
                <w:sz w:val="22"/>
                <w:szCs w:val="22"/>
                <w:u w:val="single"/>
                <w:lang w:val="en-IE"/>
              </w:rPr>
              <w:t xml:space="preserve">Extended </w:t>
            </w:r>
            <w:r w:rsidR="000B05E7" w:rsidRPr="00532C20">
              <w:rPr>
                <w:rFonts w:ascii="Times New Roman" w:hAnsi="Times New Roman" w:cs="Times New Roman"/>
                <w:noProof/>
                <w:sz w:val="22"/>
                <w:szCs w:val="22"/>
                <w:u w:val="single"/>
                <w:lang w:val="en-IE"/>
              </w:rPr>
              <w:t>familiarisation</w:t>
            </w:r>
            <w:r w:rsidRPr="00532C20">
              <w:rPr>
                <w:rFonts w:ascii="Times New Roman" w:hAnsi="Times New Roman" w:cs="Times New Roman"/>
                <w:noProof/>
                <w:sz w:val="22"/>
                <w:szCs w:val="22"/>
                <w:u w:val="single"/>
                <w:lang w:val="en-IE"/>
              </w:rPr>
              <w:t xml:space="preserve"> costs:</w:t>
            </w:r>
          </w:p>
          <w:p w14:paraId="34FC2239" w14:textId="34FA1036" w:rsidR="00A9596C" w:rsidRPr="00532C20" w:rsidRDefault="000B05E7" w:rsidP="004B0958">
            <w:pPr>
              <w:jc w:val="both"/>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E</w:t>
            </w:r>
            <w:r w:rsidR="00447FBD" w:rsidRPr="00532C20">
              <w:rPr>
                <w:rFonts w:ascii="Times New Roman" w:hAnsi="Times New Roman" w:cs="Times New Roman"/>
                <w:noProof/>
                <w:sz w:val="22"/>
                <w:szCs w:val="22"/>
                <w:lang w:val="en-IE"/>
              </w:rPr>
              <w:t xml:space="preserve">ntities concerned by the </w:t>
            </w:r>
            <w:r w:rsidRPr="00532C20">
              <w:rPr>
                <w:rFonts w:ascii="Times New Roman" w:hAnsi="Times New Roman" w:cs="Times New Roman"/>
                <w:noProof/>
                <w:sz w:val="22"/>
                <w:szCs w:val="22"/>
                <w:lang w:val="en-IE"/>
              </w:rPr>
              <w:t xml:space="preserve">new regulatory framework would need to </w:t>
            </w:r>
            <w:r w:rsidR="007B1B62" w:rsidRPr="00532C20">
              <w:rPr>
                <w:rFonts w:ascii="Times New Roman" w:hAnsi="Times New Roman" w:cs="Times New Roman"/>
                <w:noProof/>
                <w:sz w:val="22"/>
                <w:szCs w:val="22"/>
                <w:lang w:val="en-IE"/>
              </w:rPr>
              <w:t>asses</w:t>
            </w:r>
            <w:r w:rsidR="007B1B62" w:rsidRPr="00532C20">
              <w:rPr>
                <w:rFonts w:ascii="Times New Roman" w:hAnsi="Times New Roman" w:cs="Times New Roman"/>
                <w:noProof/>
                <w:lang w:val="en-IE"/>
              </w:rPr>
              <w:t>s</w:t>
            </w:r>
            <w:r w:rsidR="00642FD0" w:rsidRPr="00532C20">
              <w:rPr>
                <w:rFonts w:ascii="Times New Roman" w:hAnsi="Times New Roman" w:cs="Times New Roman"/>
                <w:noProof/>
                <w:sz w:val="22"/>
                <w:szCs w:val="22"/>
                <w:lang w:val="en-IE"/>
              </w:rPr>
              <w:t xml:space="preserve"> the practical implication, develop compliance strategies and allocated responsibilities for compliance related tasks. These costs would be around EUR 80 to 240 per organisations</w:t>
            </w:r>
            <w:r w:rsidR="00F12E50" w:rsidRPr="00532C20">
              <w:rPr>
                <w:rStyle w:val="FootnoteReference"/>
                <w:rFonts w:ascii="Times New Roman" w:hAnsi="Times New Roman" w:cs="Times New Roman"/>
                <w:noProof/>
                <w:sz w:val="22"/>
                <w:szCs w:val="22"/>
                <w:lang w:val="en-IE"/>
              </w:rPr>
              <w:footnoteReference w:id="163"/>
            </w:r>
            <w:r w:rsidR="00642FD0" w:rsidRPr="00532C20">
              <w:rPr>
                <w:rFonts w:ascii="Times New Roman" w:hAnsi="Times New Roman" w:cs="Times New Roman"/>
                <w:noProof/>
                <w:sz w:val="22"/>
                <w:szCs w:val="22"/>
                <w:lang w:val="en-IE"/>
              </w:rPr>
              <w:t xml:space="preserve"> </w:t>
            </w:r>
            <w:r w:rsidRPr="00532C20">
              <w:rPr>
                <w:rFonts w:ascii="Times New Roman" w:hAnsi="Times New Roman" w:cs="Times New Roman"/>
                <w:noProof/>
                <w:sz w:val="22"/>
                <w:szCs w:val="22"/>
                <w:lang w:val="en-IE"/>
              </w:rPr>
              <w:t xml:space="preserve"> </w:t>
            </w:r>
          </w:p>
        </w:tc>
      </w:tr>
      <w:tr w:rsidR="00A9596C" w:rsidRPr="00532C20" w14:paraId="6B6DB86E" w14:textId="77777777" w:rsidTr="00345CB9">
        <w:tc>
          <w:tcPr>
            <w:tcW w:w="1555" w:type="dxa"/>
          </w:tcPr>
          <w:p w14:paraId="3B5CD7B4" w14:textId="2578FA9D" w:rsidR="00A9596C" w:rsidRPr="00532C20" w:rsidRDefault="00A847AC" w:rsidP="004B0958">
            <w:pPr>
              <w:jc w:val="both"/>
              <w:rPr>
                <w:rFonts w:ascii="Times New Roman" w:hAnsi="Times New Roman" w:cs="Times New Roman"/>
                <w:i/>
                <w:noProof/>
                <w:sz w:val="22"/>
                <w:szCs w:val="22"/>
                <w:lang w:val="en-IE"/>
              </w:rPr>
            </w:pPr>
            <w:r w:rsidRPr="00532C20">
              <w:rPr>
                <w:rFonts w:ascii="Times New Roman" w:hAnsi="Times New Roman" w:cs="Times New Roman"/>
                <w:i/>
                <w:noProof/>
                <w:sz w:val="22"/>
                <w:szCs w:val="22"/>
                <w:lang w:val="en-IE"/>
              </w:rPr>
              <w:t>Record keeping</w:t>
            </w:r>
          </w:p>
        </w:tc>
        <w:tc>
          <w:tcPr>
            <w:tcW w:w="1559" w:type="dxa"/>
          </w:tcPr>
          <w:p w14:paraId="73CBF92B" w14:textId="739FB2AE" w:rsidR="00A9596C" w:rsidRPr="00532C20" w:rsidRDefault="00475C93" w:rsidP="004B0958">
            <w:pPr>
              <w:jc w:val="both"/>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N/A</w:t>
            </w:r>
          </w:p>
        </w:tc>
        <w:tc>
          <w:tcPr>
            <w:tcW w:w="5902" w:type="dxa"/>
            <w:gridSpan w:val="2"/>
          </w:tcPr>
          <w:p w14:paraId="47005B8E" w14:textId="6CFB6B2F" w:rsidR="00655C42" w:rsidRPr="00532C20" w:rsidRDefault="004B334F" w:rsidP="004B0958">
            <w:pPr>
              <w:jc w:val="both"/>
              <w:rPr>
                <w:rFonts w:ascii="Times New Roman" w:hAnsi="Times New Roman" w:cs="Times New Roman"/>
                <w:noProof/>
                <w:sz w:val="22"/>
                <w:szCs w:val="22"/>
                <w:u w:val="single"/>
                <w:lang w:val="en-IE"/>
              </w:rPr>
            </w:pPr>
            <w:r w:rsidRPr="00532C20">
              <w:rPr>
                <w:rFonts w:ascii="Times New Roman" w:hAnsi="Times New Roman" w:cs="Times New Roman"/>
                <w:noProof/>
                <w:sz w:val="22"/>
                <w:szCs w:val="22"/>
                <w:u w:val="single"/>
                <w:lang w:val="en-IE"/>
              </w:rPr>
              <w:t xml:space="preserve">Establishing and </w:t>
            </w:r>
            <w:r w:rsidR="00797DFE" w:rsidRPr="00532C20">
              <w:rPr>
                <w:rFonts w:ascii="Times New Roman" w:hAnsi="Times New Roman" w:cs="Times New Roman"/>
                <w:noProof/>
                <w:sz w:val="22"/>
                <w:szCs w:val="22"/>
                <w:u w:val="single"/>
                <w:lang w:val="en-IE"/>
              </w:rPr>
              <w:t>implementing record keeping processe</w:t>
            </w:r>
            <w:r w:rsidR="00797DFE" w:rsidRPr="00532C20">
              <w:rPr>
                <w:rFonts w:ascii="Times New Roman" w:hAnsi="Times New Roman" w:cs="Times New Roman"/>
                <w:noProof/>
                <w:u w:val="single"/>
                <w:lang w:val="en-IE"/>
              </w:rPr>
              <w:t>s</w:t>
            </w:r>
            <w:r w:rsidR="00797DFE" w:rsidRPr="00532C20">
              <w:rPr>
                <w:rFonts w:ascii="Times New Roman" w:hAnsi="Times New Roman" w:cs="Times New Roman"/>
                <w:noProof/>
                <w:sz w:val="22"/>
                <w:szCs w:val="22"/>
                <w:u w:val="single"/>
                <w:lang w:val="en-IE"/>
              </w:rPr>
              <w:t>:</w:t>
            </w:r>
          </w:p>
          <w:p w14:paraId="19018C3D" w14:textId="48009CE1" w:rsidR="00A9596C" w:rsidRPr="00532C20" w:rsidRDefault="00373728" w:rsidP="004B0958">
            <w:pPr>
              <w:jc w:val="both"/>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 xml:space="preserve">Concerned entities would need to identify and assess the risks related to </w:t>
            </w:r>
            <w:r w:rsidR="00797F10" w:rsidRPr="00532C20">
              <w:rPr>
                <w:rFonts w:ascii="Times New Roman" w:hAnsi="Times New Roman" w:cs="Times New Roman"/>
                <w:noProof/>
                <w:sz w:val="22"/>
                <w:szCs w:val="22"/>
                <w:lang w:val="en-IE"/>
              </w:rPr>
              <w:t xml:space="preserve">each new </w:t>
            </w:r>
            <w:r w:rsidRPr="00532C20">
              <w:rPr>
                <w:rFonts w:ascii="Times New Roman" w:hAnsi="Times New Roman" w:cs="Times New Roman"/>
                <w:noProof/>
                <w:sz w:val="22"/>
                <w:szCs w:val="22"/>
                <w:lang w:val="en-IE"/>
              </w:rPr>
              <w:t>engagements</w:t>
            </w:r>
            <w:r w:rsidR="00797F10" w:rsidRPr="00532C20">
              <w:rPr>
                <w:rFonts w:ascii="Times New Roman" w:hAnsi="Times New Roman" w:cs="Times New Roman"/>
                <w:noProof/>
                <w:sz w:val="22"/>
                <w:szCs w:val="22"/>
                <w:lang w:val="en-IE"/>
              </w:rPr>
              <w:t xml:space="preserve"> and</w:t>
            </w:r>
            <w:r w:rsidR="00475C93" w:rsidRPr="00532C20">
              <w:rPr>
                <w:rFonts w:ascii="Times New Roman" w:hAnsi="Times New Roman" w:cs="Times New Roman"/>
                <w:noProof/>
                <w:sz w:val="22"/>
                <w:szCs w:val="22"/>
                <w:lang w:val="en-IE"/>
              </w:rPr>
              <w:t xml:space="preserve"> then</w:t>
            </w:r>
            <w:r w:rsidR="00B3757F" w:rsidRPr="00532C20">
              <w:rPr>
                <w:rFonts w:ascii="Times New Roman" w:hAnsi="Times New Roman" w:cs="Times New Roman"/>
                <w:noProof/>
                <w:sz w:val="22"/>
                <w:szCs w:val="22"/>
                <w:lang w:val="en-IE"/>
              </w:rPr>
              <w:t xml:space="preserve"> implement a record keeping process. </w:t>
            </w:r>
            <w:r w:rsidR="00F0549E" w:rsidRPr="00532C20">
              <w:rPr>
                <w:rFonts w:ascii="Times New Roman" w:hAnsi="Times New Roman" w:cs="Times New Roman"/>
                <w:noProof/>
                <w:sz w:val="22"/>
                <w:szCs w:val="22"/>
                <w:lang w:val="en-IE"/>
              </w:rPr>
              <w:t xml:space="preserve">While there would be a need to formalise these processes, stakeholders </w:t>
            </w:r>
            <w:r w:rsidR="00AB7524" w:rsidRPr="00532C20">
              <w:rPr>
                <w:rFonts w:ascii="Times New Roman" w:hAnsi="Times New Roman" w:cs="Times New Roman"/>
                <w:noProof/>
                <w:sz w:val="22"/>
                <w:szCs w:val="22"/>
                <w:lang w:val="en-IE"/>
              </w:rPr>
              <w:t>con</w:t>
            </w:r>
            <w:r w:rsidR="00AB7524" w:rsidRPr="00532C20">
              <w:rPr>
                <w:rFonts w:ascii="Times New Roman" w:hAnsi="Times New Roman" w:cs="Times New Roman"/>
                <w:noProof/>
                <w:lang w:val="en-IE"/>
              </w:rPr>
              <w:t>firmed</w:t>
            </w:r>
            <w:r w:rsidR="00F0549E" w:rsidRPr="00532C20">
              <w:rPr>
                <w:rFonts w:ascii="Times New Roman" w:hAnsi="Times New Roman" w:cs="Times New Roman"/>
                <w:noProof/>
                <w:sz w:val="22"/>
                <w:szCs w:val="22"/>
                <w:lang w:val="en-IE"/>
              </w:rPr>
              <w:t xml:space="preserve"> that </w:t>
            </w:r>
            <w:r w:rsidR="00AB7524" w:rsidRPr="00532C20">
              <w:rPr>
                <w:rFonts w:ascii="Times New Roman" w:hAnsi="Times New Roman" w:cs="Times New Roman"/>
                <w:noProof/>
                <w:sz w:val="22"/>
                <w:szCs w:val="22"/>
                <w:lang w:val="en-IE"/>
              </w:rPr>
              <w:t>these costs could be considered as business as usual</w:t>
            </w:r>
            <w:r w:rsidR="007230A1" w:rsidRPr="00532C20">
              <w:rPr>
                <w:rStyle w:val="FootnoteReference"/>
                <w:rFonts w:ascii="Times New Roman" w:hAnsi="Times New Roman" w:cs="Times New Roman"/>
                <w:noProof/>
                <w:sz w:val="22"/>
                <w:szCs w:val="22"/>
                <w:lang w:val="en-IE"/>
              </w:rPr>
              <w:footnoteReference w:id="164"/>
            </w:r>
            <w:r w:rsidR="00AB7524" w:rsidRPr="00532C20">
              <w:rPr>
                <w:rFonts w:ascii="Times New Roman" w:hAnsi="Times New Roman" w:cs="Times New Roman"/>
                <w:noProof/>
                <w:sz w:val="22"/>
                <w:szCs w:val="22"/>
                <w:lang w:val="en-IE"/>
              </w:rPr>
              <w:t>.</w:t>
            </w:r>
          </w:p>
        </w:tc>
      </w:tr>
      <w:tr w:rsidR="00A9596C" w:rsidRPr="00532C20" w14:paraId="6C139B15" w14:textId="77777777">
        <w:tc>
          <w:tcPr>
            <w:tcW w:w="1555" w:type="dxa"/>
          </w:tcPr>
          <w:p w14:paraId="6B493D9C" w14:textId="6F7BD72A" w:rsidR="00A9596C" w:rsidRPr="00532C20" w:rsidRDefault="00A847AC" w:rsidP="004B0958">
            <w:pPr>
              <w:jc w:val="both"/>
              <w:rPr>
                <w:rFonts w:ascii="Times New Roman" w:hAnsi="Times New Roman" w:cs="Times New Roman"/>
                <w:i/>
                <w:noProof/>
                <w:sz w:val="22"/>
                <w:szCs w:val="22"/>
                <w:lang w:val="en-IE"/>
              </w:rPr>
            </w:pPr>
            <w:r w:rsidRPr="00532C20">
              <w:rPr>
                <w:rFonts w:ascii="Times New Roman" w:hAnsi="Times New Roman" w:cs="Times New Roman"/>
                <w:i/>
                <w:noProof/>
                <w:sz w:val="22"/>
                <w:szCs w:val="22"/>
                <w:lang w:val="en-IE"/>
              </w:rPr>
              <w:t>Registration</w:t>
            </w:r>
          </w:p>
        </w:tc>
        <w:tc>
          <w:tcPr>
            <w:tcW w:w="7461" w:type="dxa"/>
            <w:gridSpan w:val="3"/>
          </w:tcPr>
          <w:p w14:paraId="02084B54" w14:textId="77777777" w:rsidR="004103A4" w:rsidRPr="00532C20" w:rsidRDefault="005D27EF" w:rsidP="004B0958">
            <w:pPr>
              <w:jc w:val="both"/>
              <w:rPr>
                <w:rFonts w:ascii="Times New Roman" w:hAnsi="Times New Roman" w:cs="Times New Roman"/>
                <w:noProof/>
                <w:sz w:val="22"/>
                <w:szCs w:val="22"/>
                <w:u w:val="single"/>
                <w:lang w:val="en-IE"/>
              </w:rPr>
            </w:pPr>
            <w:r w:rsidRPr="00532C20">
              <w:rPr>
                <w:rFonts w:ascii="Times New Roman" w:hAnsi="Times New Roman" w:cs="Times New Roman"/>
                <w:noProof/>
                <w:sz w:val="22"/>
                <w:szCs w:val="22"/>
                <w:u w:val="single"/>
                <w:lang w:val="en-IE"/>
              </w:rPr>
              <w:t>R</w:t>
            </w:r>
            <w:r w:rsidR="004B3A8C" w:rsidRPr="00532C20">
              <w:rPr>
                <w:rFonts w:ascii="Times New Roman" w:hAnsi="Times New Roman" w:cs="Times New Roman"/>
                <w:noProof/>
                <w:sz w:val="22"/>
                <w:szCs w:val="22"/>
                <w:u w:val="single"/>
                <w:lang w:val="en-IE"/>
              </w:rPr>
              <w:t>egistration costs</w:t>
            </w:r>
            <w:r w:rsidR="00843560" w:rsidRPr="00532C20">
              <w:rPr>
                <w:rFonts w:ascii="Times New Roman" w:hAnsi="Times New Roman" w:cs="Times New Roman"/>
                <w:noProof/>
                <w:sz w:val="22"/>
                <w:szCs w:val="22"/>
                <w:u w:val="single"/>
                <w:lang w:val="en-IE"/>
              </w:rPr>
              <w:t>:</w:t>
            </w:r>
          </w:p>
          <w:p w14:paraId="0AD0171E" w14:textId="785AA23B" w:rsidR="00A9596C" w:rsidRPr="00532C20" w:rsidRDefault="00721E0A" w:rsidP="004B0958">
            <w:pPr>
              <w:jc w:val="both"/>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 xml:space="preserve">In </w:t>
            </w:r>
            <w:r w:rsidR="0044152F" w:rsidRPr="00532C20">
              <w:rPr>
                <w:rFonts w:ascii="Times New Roman" w:hAnsi="Times New Roman" w:cs="Times New Roman"/>
                <w:noProof/>
                <w:sz w:val="22"/>
                <w:szCs w:val="22"/>
                <w:lang w:val="en-IE"/>
              </w:rPr>
              <w:t xml:space="preserve">the 15 </w:t>
            </w:r>
            <w:r w:rsidRPr="00532C20">
              <w:rPr>
                <w:rFonts w:ascii="Times New Roman" w:hAnsi="Times New Roman" w:cs="Times New Roman"/>
                <w:noProof/>
                <w:sz w:val="22"/>
                <w:szCs w:val="22"/>
                <w:lang w:val="en-IE"/>
              </w:rPr>
              <w:t xml:space="preserve">Member States that currently maintain a transparency register, </w:t>
            </w:r>
            <w:r w:rsidR="0044152F" w:rsidRPr="00532C20">
              <w:rPr>
                <w:rFonts w:ascii="Times New Roman" w:hAnsi="Times New Roman" w:cs="Times New Roman"/>
                <w:noProof/>
                <w:sz w:val="22"/>
                <w:szCs w:val="22"/>
                <w:lang w:val="en-IE"/>
              </w:rPr>
              <w:t xml:space="preserve">entities would need to update their registration. In the 12 other Member State, they would need </w:t>
            </w:r>
            <w:r w:rsidR="00773FA2" w:rsidRPr="00532C20">
              <w:rPr>
                <w:rFonts w:ascii="Times New Roman" w:hAnsi="Times New Roman" w:cs="Times New Roman"/>
                <w:noProof/>
                <w:sz w:val="22"/>
                <w:szCs w:val="22"/>
                <w:lang w:val="en-IE"/>
              </w:rPr>
              <w:t xml:space="preserve">to register. In all 27 Member States, concerned entities would need to </w:t>
            </w:r>
            <w:r w:rsidR="00A41498" w:rsidRPr="00532C20">
              <w:rPr>
                <w:rFonts w:ascii="Times New Roman" w:hAnsi="Times New Roman" w:cs="Times New Roman"/>
                <w:noProof/>
                <w:sz w:val="22"/>
                <w:szCs w:val="22"/>
                <w:lang w:val="en-IE"/>
              </w:rPr>
              <w:t xml:space="preserve">regularly update their registration. </w:t>
            </w:r>
            <w:r w:rsidR="00F71A01" w:rsidRPr="00532C20">
              <w:rPr>
                <w:rFonts w:ascii="Times New Roman" w:hAnsi="Times New Roman" w:cs="Times New Roman"/>
                <w:noProof/>
                <w:sz w:val="22"/>
                <w:szCs w:val="22"/>
                <w:lang w:val="en-IE"/>
              </w:rPr>
              <w:t xml:space="preserve">Furthermore, the larger the firm, the </w:t>
            </w:r>
            <w:r w:rsidR="00184E89" w:rsidRPr="00532C20">
              <w:rPr>
                <w:rFonts w:ascii="Times New Roman" w:hAnsi="Times New Roman" w:cs="Times New Roman"/>
                <w:noProof/>
                <w:sz w:val="22"/>
                <w:szCs w:val="22"/>
                <w:lang w:val="en-IE"/>
              </w:rPr>
              <w:t xml:space="preserve">more complex and costly the reporting process. </w:t>
            </w:r>
            <w:r w:rsidR="001D570D" w:rsidRPr="00532C20">
              <w:rPr>
                <w:rFonts w:ascii="Times New Roman" w:hAnsi="Times New Roman" w:cs="Times New Roman"/>
                <w:noProof/>
                <w:sz w:val="22"/>
                <w:szCs w:val="22"/>
                <w:lang w:val="en-IE"/>
              </w:rPr>
              <w:t>The</w:t>
            </w:r>
            <w:r w:rsidR="00030047" w:rsidRPr="00532C20">
              <w:rPr>
                <w:rFonts w:ascii="Times New Roman" w:hAnsi="Times New Roman" w:cs="Times New Roman"/>
                <w:noProof/>
                <w:sz w:val="22"/>
                <w:szCs w:val="22"/>
                <w:lang w:val="en-IE"/>
              </w:rPr>
              <w:t xml:space="preserve"> total </w:t>
            </w:r>
            <w:r w:rsidR="001D570D" w:rsidRPr="00532C20">
              <w:rPr>
                <w:rFonts w:ascii="Times New Roman" w:hAnsi="Times New Roman" w:cs="Times New Roman"/>
                <w:noProof/>
                <w:sz w:val="22"/>
                <w:szCs w:val="22"/>
                <w:lang w:val="en-IE"/>
              </w:rPr>
              <w:t xml:space="preserve">registration would </w:t>
            </w:r>
            <w:r w:rsidR="00B964EF" w:rsidRPr="00532C20">
              <w:rPr>
                <w:rFonts w:ascii="Times New Roman" w:hAnsi="Times New Roman" w:cs="Times New Roman"/>
                <w:noProof/>
                <w:sz w:val="22"/>
                <w:szCs w:val="22"/>
                <w:lang w:val="en-IE"/>
              </w:rPr>
              <w:t>thus</w:t>
            </w:r>
            <w:r w:rsidR="001D570D" w:rsidRPr="00532C20">
              <w:rPr>
                <w:rFonts w:ascii="Times New Roman" w:hAnsi="Times New Roman" w:cs="Times New Roman"/>
                <w:noProof/>
                <w:sz w:val="22"/>
                <w:szCs w:val="22"/>
                <w:lang w:val="en-IE"/>
              </w:rPr>
              <w:t xml:space="preserve"> cost around EUR 828 per organisation per year</w:t>
            </w:r>
            <w:r w:rsidR="00563695" w:rsidRPr="00532C20">
              <w:rPr>
                <w:rFonts w:ascii="Times New Roman" w:hAnsi="Times New Roman" w:cs="Times New Roman"/>
                <w:noProof/>
                <w:sz w:val="22"/>
                <w:szCs w:val="22"/>
                <w:lang w:val="en-IE"/>
              </w:rPr>
              <w:t xml:space="preserve"> for small entities</w:t>
            </w:r>
            <w:r w:rsidR="00563695" w:rsidRPr="00532C20">
              <w:rPr>
                <w:rStyle w:val="FootnoteReference"/>
                <w:rFonts w:ascii="Times New Roman" w:hAnsi="Times New Roman" w:cs="Times New Roman"/>
                <w:noProof/>
                <w:sz w:val="22"/>
                <w:szCs w:val="22"/>
                <w:lang w:val="en-IE"/>
              </w:rPr>
              <w:footnoteReference w:id="165"/>
            </w:r>
            <w:r w:rsidR="00563695" w:rsidRPr="00532C20">
              <w:rPr>
                <w:rFonts w:ascii="Times New Roman" w:hAnsi="Times New Roman" w:cs="Times New Roman"/>
                <w:noProof/>
                <w:sz w:val="22"/>
                <w:szCs w:val="22"/>
                <w:lang w:val="en-IE"/>
              </w:rPr>
              <w:t xml:space="preserve">, </w:t>
            </w:r>
            <w:r w:rsidR="000E0447" w:rsidRPr="00532C20">
              <w:rPr>
                <w:rFonts w:ascii="Times New Roman" w:hAnsi="Times New Roman" w:cs="Times New Roman"/>
                <w:noProof/>
                <w:sz w:val="22"/>
                <w:szCs w:val="22"/>
                <w:lang w:val="en-IE"/>
              </w:rPr>
              <w:t>EUR</w:t>
            </w:r>
            <w:r w:rsidR="005513EB" w:rsidRPr="00532C20">
              <w:rPr>
                <w:rFonts w:ascii="Times New Roman" w:hAnsi="Times New Roman" w:cs="Times New Roman"/>
                <w:noProof/>
                <w:sz w:val="22"/>
                <w:szCs w:val="22"/>
                <w:lang w:val="en-IE"/>
              </w:rPr>
              <w:t xml:space="preserve"> 1 686 for medium entities</w:t>
            </w:r>
            <w:r w:rsidR="00030047" w:rsidRPr="00532C20">
              <w:rPr>
                <w:rStyle w:val="FootnoteReference"/>
                <w:rFonts w:ascii="Times New Roman" w:hAnsi="Times New Roman" w:cs="Times New Roman"/>
                <w:noProof/>
                <w:sz w:val="22"/>
                <w:szCs w:val="22"/>
                <w:lang w:val="en-IE"/>
              </w:rPr>
              <w:footnoteReference w:id="166"/>
            </w:r>
            <w:r w:rsidR="005513EB" w:rsidRPr="00532C20">
              <w:rPr>
                <w:rFonts w:ascii="Times New Roman" w:hAnsi="Times New Roman" w:cs="Times New Roman"/>
                <w:noProof/>
                <w:sz w:val="22"/>
                <w:szCs w:val="22"/>
                <w:lang w:val="en-IE"/>
              </w:rPr>
              <w:t xml:space="preserve"> and </w:t>
            </w:r>
            <w:r w:rsidR="00CA2984" w:rsidRPr="00532C20">
              <w:rPr>
                <w:rFonts w:ascii="Times New Roman" w:hAnsi="Times New Roman" w:cs="Times New Roman"/>
                <w:noProof/>
                <w:sz w:val="22"/>
                <w:szCs w:val="22"/>
                <w:lang w:val="en-IE"/>
              </w:rPr>
              <w:t>EUR 3 314 for large entities</w:t>
            </w:r>
            <w:r w:rsidR="00030047" w:rsidRPr="00532C20">
              <w:rPr>
                <w:rStyle w:val="FootnoteReference"/>
                <w:rFonts w:ascii="Times New Roman" w:hAnsi="Times New Roman" w:cs="Times New Roman"/>
                <w:noProof/>
                <w:sz w:val="22"/>
                <w:szCs w:val="22"/>
                <w:lang w:val="en-IE"/>
              </w:rPr>
              <w:footnoteReference w:id="167"/>
            </w:r>
            <w:r w:rsidR="00CA2984" w:rsidRPr="00532C20">
              <w:rPr>
                <w:rFonts w:ascii="Times New Roman" w:hAnsi="Times New Roman" w:cs="Times New Roman"/>
                <w:noProof/>
                <w:sz w:val="22"/>
                <w:szCs w:val="22"/>
                <w:lang w:val="en-IE"/>
              </w:rPr>
              <w:t xml:space="preserve">. </w:t>
            </w:r>
            <w:r w:rsidR="00CA2984" w:rsidRPr="00532C20">
              <w:rPr>
                <w:rFonts w:ascii="Times New Roman" w:eastAsia="Symbol" w:hAnsi="Times New Roman" w:cs="Times New Roman"/>
                <w:noProof/>
                <w:sz w:val="22"/>
                <w:szCs w:val="22"/>
                <w:lang w:val="en-IE"/>
              </w:rPr>
              <w:t xml:space="preserve">97.3% of entities falling under the scope of the </w:t>
            </w:r>
            <w:r w:rsidR="009C0BA2" w:rsidRPr="00532C20">
              <w:rPr>
                <w:rFonts w:ascii="Times New Roman" w:eastAsia="Symbol" w:hAnsi="Times New Roman" w:cs="Times New Roman"/>
                <w:noProof/>
                <w:sz w:val="22"/>
                <w:szCs w:val="22"/>
                <w:lang w:val="en-IE"/>
              </w:rPr>
              <w:t xml:space="preserve">initiative </w:t>
            </w:r>
            <w:r w:rsidR="00CA2984" w:rsidRPr="00532C20">
              <w:rPr>
                <w:rFonts w:ascii="Times New Roman" w:eastAsia="Symbol" w:hAnsi="Times New Roman" w:cs="Times New Roman"/>
                <w:noProof/>
                <w:sz w:val="22"/>
                <w:szCs w:val="22"/>
                <w:lang w:val="en-IE"/>
              </w:rPr>
              <w:t xml:space="preserve">would </w:t>
            </w:r>
            <w:r w:rsidR="007C5D71" w:rsidRPr="00532C20">
              <w:rPr>
                <w:rFonts w:ascii="Times New Roman" w:eastAsia="Symbol" w:hAnsi="Times New Roman" w:cs="Times New Roman"/>
                <w:noProof/>
                <w:sz w:val="22"/>
                <w:szCs w:val="22"/>
                <w:lang w:val="en-IE"/>
              </w:rPr>
              <w:t>be</w:t>
            </w:r>
            <w:r w:rsidR="00CA2984" w:rsidRPr="00532C20">
              <w:rPr>
                <w:rFonts w:ascii="Times New Roman" w:eastAsia="Symbol" w:hAnsi="Times New Roman" w:cs="Times New Roman"/>
                <w:noProof/>
                <w:sz w:val="22"/>
                <w:szCs w:val="22"/>
                <w:lang w:val="en-IE"/>
              </w:rPr>
              <w:t xml:space="preserve"> small entities</w:t>
            </w:r>
            <w:r w:rsidR="007051F0" w:rsidRPr="00532C20">
              <w:rPr>
                <w:rStyle w:val="FootnoteReference"/>
                <w:rFonts w:ascii="Times New Roman" w:eastAsia="Symbol" w:hAnsi="Times New Roman" w:cs="Times New Roman"/>
                <w:noProof/>
                <w:sz w:val="22"/>
                <w:szCs w:val="22"/>
                <w:lang w:val="en-IE"/>
              </w:rPr>
              <w:footnoteReference w:id="168"/>
            </w:r>
            <w:r w:rsidR="00CA2984" w:rsidRPr="00532C20">
              <w:rPr>
                <w:rFonts w:ascii="Times New Roman" w:eastAsia="Symbol" w:hAnsi="Times New Roman" w:cs="Times New Roman"/>
                <w:noProof/>
                <w:sz w:val="22"/>
                <w:szCs w:val="22"/>
                <w:lang w:val="en-IE"/>
              </w:rPr>
              <w:t>.</w:t>
            </w:r>
          </w:p>
        </w:tc>
      </w:tr>
      <w:tr w:rsidR="00A9596C" w:rsidRPr="00532C20" w14:paraId="2D5CE991" w14:textId="77777777" w:rsidTr="00345CB9">
        <w:tc>
          <w:tcPr>
            <w:tcW w:w="1555" w:type="dxa"/>
          </w:tcPr>
          <w:p w14:paraId="5F54B26B" w14:textId="77777777" w:rsidR="00475C93" w:rsidRPr="00532C20" w:rsidRDefault="00475C93" w:rsidP="004B0958">
            <w:pPr>
              <w:jc w:val="both"/>
              <w:rPr>
                <w:rFonts w:ascii="Times New Roman" w:hAnsi="Times New Roman" w:cs="Times New Roman"/>
                <w:i/>
                <w:iCs/>
                <w:noProof/>
                <w:sz w:val="22"/>
                <w:szCs w:val="22"/>
                <w:lang w:val="en-IE"/>
              </w:rPr>
            </w:pPr>
            <w:r w:rsidRPr="00532C20">
              <w:rPr>
                <w:rFonts w:ascii="Times New Roman" w:hAnsi="Times New Roman" w:cs="Times New Roman"/>
                <w:i/>
                <w:iCs/>
                <w:noProof/>
                <w:sz w:val="22"/>
                <w:szCs w:val="22"/>
                <w:lang w:val="en-IE"/>
              </w:rPr>
              <w:t>Prior authorisation</w:t>
            </w:r>
          </w:p>
          <w:p w14:paraId="11F00A42" w14:textId="04CD9EE0" w:rsidR="00A9596C" w:rsidRPr="00532C20" w:rsidRDefault="00475C93" w:rsidP="004B0958">
            <w:pPr>
              <w:jc w:val="both"/>
              <w:rPr>
                <w:rFonts w:ascii="Times New Roman" w:hAnsi="Times New Roman" w:cs="Times New Roman"/>
                <w:i/>
                <w:noProof/>
                <w:sz w:val="22"/>
                <w:szCs w:val="22"/>
                <w:lang w:val="en-IE"/>
              </w:rPr>
            </w:pPr>
            <w:r w:rsidRPr="00532C20">
              <w:rPr>
                <w:rFonts w:ascii="Times New Roman" w:hAnsi="Times New Roman" w:cs="Times New Roman"/>
                <w:i/>
                <w:iCs/>
                <w:noProof/>
                <w:sz w:val="22"/>
                <w:szCs w:val="22"/>
                <w:lang w:val="en-IE"/>
              </w:rPr>
              <w:t>/licencing</w:t>
            </w:r>
          </w:p>
        </w:tc>
        <w:tc>
          <w:tcPr>
            <w:tcW w:w="1559" w:type="dxa"/>
          </w:tcPr>
          <w:p w14:paraId="40C6461E" w14:textId="23AF5877" w:rsidR="00A9596C" w:rsidRPr="00532C20" w:rsidRDefault="00475C93" w:rsidP="004B0958">
            <w:pPr>
              <w:jc w:val="both"/>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N/A</w:t>
            </w:r>
          </w:p>
        </w:tc>
        <w:tc>
          <w:tcPr>
            <w:tcW w:w="1984" w:type="dxa"/>
          </w:tcPr>
          <w:p w14:paraId="117CC9F6" w14:textId="19C7FA1B" w:rsidR="00A9596C" w:rsidRPr="00532C20" w:rsidRDefault="00475C93" w:rsidP="004B0958">
            <w:pPr>
              <w:jc w:val="both"/>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N/A</w:t>
            </w:r>
          </w:p>
        </w:tc>
        <w:tc>
          <w:tcPr>
            <w:tcW w:w="3918" w:type="dxa"/>
          </w:tcPr>
          <w:p w14:paraId="7B5CACC5" w14:textId="0F4AAB95" w:rsidR="00A9596C" w:rsidRPr="00532C20" w:rsidRDefault="00D630BC" w:rsidP="004B0958">
            <w:pPr>
              <w:jc w:val="both"/>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 xml:space="preserve">Within the application for a licence, </w:t>
            </w:r>
            <w:r w:rsidR="00DE7F3B" w:rsidRPr="00532C20">
              <w:rPr>
                <w:rFonts w:ascii="Times New Roman" w:hAnsi="Times New Roman" w:cs="Times New Roman"/>
                <w:noProof/>
                <w:sz w:val="22"/>
                <w:szCs w:val="22"/>
                <w:lang w:val="en-IE"/>
              </w:rPr>
              <w:t xml:space="preserve">concerned </w:t>
            </w:r>
            <w:r w:rsidRPr="00532C20">
              <w:rPr>
                <w:rFonts w:ascii="Times New Roman" w:hAnsi="Times New Roman" w:cs="Times New Roman"/>
                <w:noProof/>
                <w:sz w:val="22"/>
                <w:szCs w:val="22"/>
                <w:lang w:val="en-IE"/>
              </w:rPr>
              <w:t xml:space="preserve">entities would be required to submit the same information as under the registration obligations. Thus, the core activities, and direct costs, stemming from the prior authorisation/licencing system would be covered by the </w:t>
            </w:r>
            <w:r w:rsidR="00A87419" w:rsidRPr="00532C20">
              <w:rPr>
                <w:rFonts w:ascii="Times New Roman" w:hAnsi="Times New Roman" w:cs="Times New Roman"/>
                <w:noProof/>
                <w:sz w:val="22"/>
                <w:szCs w:val="22"/>
                <w:lang w:val="en-IE"/>
              </w:rPr>
              <w:t xml:space="preserve">“Registration” cell </w:t>
            </w:r>
            <w:r w:rsidRPr="00532C20">
              <w:rPr>
                <w:rFonts w:ascii="Times New Roman" w:hAnsi="Times New Roman" w:cs="Times New Roman"/>
                <w:noProof/>
                <w:sz w:val="22"/>
                <w:szCs w:val="22"/>
                <w:lang w:val="en-IE"/>
              </w:rPr>
              <w:t>above.</w:t>
            </w:r>
            <w:r w:rsidR="00226107" w:rsidRPr="00532C20">
              <w:rPr>
                <w:rStyle w:val="FootnoteReference"/>
                <w:rFonts w:ascii="Times New Roman" w:hAnsi="Times New Roman" w:cs="Times New Roman"/>
                <w:noProof/>
                <w:sz w:val="22"/>
                <w:szCs w:val="22"/>
                <w:lang w:val="en-IE"/>
              </w:rPr>
              <w:footnoteReference w:id="169"/>
            </w:r>
            <w:r w:rsidR="00B978FF" w:rsidRPr="00532C20">
              <w:rPr>
                <w:rFonts w:ascii="Times New Roman" w:hAnsi="Times New Roman" w:cs="Times New Roman"/>
                <w:noProof/>
                <w:sz w:val="22"/>
                <w:szCs w:val="22"/>
                <w:lang w:val="en-IE"/>
              </w:rPr>
              <w:t xml:space="preserve"> </w:t>
            </w:r>
          </w:p>
        </w:tc>
      </w:tr>
    </w:tbl>
    <w:p w14:paraId="78C6B558" w14:textId="08F45C72" w:rsidR="00D6399E" w:rsidRPr="00532C20" w:rsidRDefault="00D62AD3" w:rsidP="004B0958">
      <w:pPr>
        <w:spacing w:line="240" w:lineRule="auto"/>
        <w:jc w:val="both"/>
        <w:rPr>
          <w:rFonts w:ascii="Times New Roman" w:hAnsi="Times New Roman" w:cs="Times New Roman"/>
          <w:noProof/>
          <w:sz w:val="20"/>
          <w:szCs w:val="20"/>
          <w:lang w:val="en-IE"/>
        </w:rPr>
      </w:pPr>
      <w:r w:rsidRPr="00532C20">
        <w:rPr>
          <w:rFonts w:ascii="Times New Roman" w:hAnsi="Times New Roman" w:cs="Times New Roman"/>
          <w:noProof/>
          <w:sz w:val="20"/>
          <w:szCs w:val="20"/>
          <w:lang w:val="en-IE"/>
        </w:rPr>
        <w:t xml:space="preserve">(*) </w:t>
      </w:r>
      <w:r w:rsidR="00150DD9" w:rsidRPr="00532C20">
        <w:rPr>
          <w:rFonts w:ascii="Times New Roman" w:hAnsi="Times New Roman" w:cs="Times New Roman"/>
          <w:noProof/>
          <w:sz w:val="20"/>
          <w:szCs w:val="20"/>
          <w:lang w:val="en-IE"/>
        </w:rPr>
        <w:t xml:space="preserve">For the purpose of this table, it is assumed that </w:t>
      </w:r>
      <w:r w:rsidR="00BA621F" w:rsidRPr="00532C20">
        <w:rPr>
          <w:rFonts w:ascii="Times New Roman" w:hAnsi="Times New Roman" w:cs="Times New Roman"/>
          <w:noProof/>
          <w:sz w:val="20"/>
          <w:szCs w:val="20"/>
          <w:lang w:val="en-IE"/>
        </w:rPr>
        <w:t>M</w:t>
      </w:r>
      <w:r w:rsidR="00150DD9" w:rsidRPr="00532C20">
        <w:rPr>
          <w:rFonts w:ascii="Times New Roman" w:hAnsi="Times New Roman" w:cs="Times New Roman"/>
          <w:noProof/>
          <w:sz w:val="20"/>
          <w:szCs w:val="20"/>
          <w:lang w:val="en-IE"/>
        </w:rPr>
        <w:t xml:space="preserve">ember </w:t>
      </w:r>
      <w:r w:rsidR="00BA621F" w:rsidRPr="00532C20">
        <w:rPr>
          <w:rFonts w:ascii="Times New Roman" w:hAnsi="Times New Roman" w:cs="Times New Roman"/>
          <w:noProof/>
          <w:sz w:val="20"/>
          <w:szCs w:val="20"/>
          <w:lang w:val="en-IE"/>
        </w:rPr>
        <w:t>S</w:t>
      </w:r>
      <w:r w:rsidR="00150DD9" w:rsidRPr="00532C20">
        <w:rPr>
          <w:rFonts w:ascii="Times New Roman" w:hAnsi="Times New Roman" w:cs="Times New Roman"/>
          <w:noProof/>
          <w:sz w:val="20"/>
          <w:szCs w:val="20"/>
          <w:lang w:val="en-IE"/>
        </w:rPr>
        <w:t xml:space="preserve">tates enact legislation to </w:t>
      </w:r>
      <w:r w:rsidR="00BA621F" w:rsidRPr="00532C20">
        <w:rPr>
          <w:rFonts w:ascii="Times New Roman" w:hAnsi="Times New Roman" w:cs="Times New Roman"/>
          <w:noProof/>
          <w:sz w:val="20"/>
          <w:szCs w:val="20"/>
          <w:lang w:val="en-IE"/>
        </w:rPr>
        <w:t>adopt</w:t>
      </w:r>
      <w:r w:rsidR="00150DD9" w:rsidRPr="00532C20">
        <w:rPr>
          <w:rFonts w:ascii="Times New Roman" w:hAnsi="Times New Roman" w:cs="Times New Roman"/>
          <w:noProof/>
          <w:sz w:val="20"/>
          <w:szCs w:val="20"/>
          <w:lang w:val="en-IE"/>
        </w:rPr>
        <w:t xml:space="preserve"> the transparency measures </w:t>
      </w:r>
      <w:r w:rsidRPr="00532C20">
        <w:rPr>
          <w:rFonts w:ascii="Times New Roman" w:hAnsi="Times New Roman" w:cs="Times New Roman"/>
          <w:noProof/>
          <w:sz w:val="20"/>
          <w:szCs w:val="20"/>
          <w:lang w:val="en-IE"/>
        </w:rPr>
        <w:t>recommended in Option 1.</w:t>
      </w:r>
      <w:r w:rsidR="00B719DB">
        <w:rPr>
          <w:rFonts w:ascii="Times New Roman" w:hAnsi="Times New Roman" w:cs="Times New Roman"/>
          <w:noProof/>
          <w:sz w:val="20"/>
          <w:szCs w:val="20"/>
          <w:lang w:val="en-IE"/>
        </w:rPr>
        <w:t xml:space="preserve"> Further analysis is provided in Annex 4.</w:t>
      </w:r>
    </w:p>
    <w:p w14:paraId="6960510F" w14:textId="6615753D" w:rsidR="002D155E" w:rsidRPr="00532C20" w:rsidRDefault="002D155E" w:rsidP="009C57B0">
      <w:pPr>
        <w:keepNext/>
        <w:spacing w:after="120" w:line="240" w:lineRule="auto"/>
        <w:jc w:val="both"/>
        <w:rPr>
          <w:rFonts w:ascii="Times New Roman" w:hAnsi="Times New Roman" w:cs="Times New Roman"/>
          <w:b/>
          <w:bCs/>
          <w:noProof/>
          <w:sz w:val="24"/>
          <w:szCs w:val="24"/>
          <w:lang w:val="en-IE"/>
        </w:rPr>
      </w:pPr>
      <w:r w:rsidRPr="00532C20">
        <w:rPr>
          <w:rFonts w:ascii="Times New Roman" w:hAnsi="Times New Roman" w:cs="Times New Roman"/>
          <w:b/>
          <w:bCs/>
          <w:noProof/>
          <w:sz w:val="24"/>
          <w:szCs w:val="24"/>
          <w:lang w:val="en-IE"/>
        </w:rPr>
        <w:t>SME test</w:t>
      </w:r>
    </w:p>
    <w:p w14:paraId="5B75C9B2" w14:textId="482C61C6" w:rsidR="008A4355" w:rsidRPr="00532C20" w:rsidRDefault="002D155E" w:rsidP="00286B1B">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It is not possible to fully exempt SMEs from the transparency requirements as they are important actors in</w:t>
      </w:r>
      <w:r w:rsidR="00BD799A" w:rsidRPr="00532C20">
        <w:rPr>
          <w:rFonts w:ascii="Times New Roman" w:hAnsi="Times New Roman" w:cs="Times New Roman"/>
          <w:noProof/>
          <w:sz w:val="24"/>
          <w:szCs w:val="24"/>
          <w:lang w:val="en-IE"/>
        </w:rPr>
        <w:t xml:space="preserve"> the market for</w:t>
      </w:r>
      <w:r w:rsidRPr="00532C20">
        <w:rPr>
          <w:rFonts w:ascii="Times New Roman" w:hAnsi="Times New Roman" w:cs="Times New Roman"/>
          <w:noProof/>
          <w:sz w:val="24"/>
          <w:szCs w:val="24"/>
          <w:lang w:val="en-IE"/>
        </w:rPr>
        <w:t xml:space="preserve"> </w:t>
      </w:r>
      <w:r w:rsidR="00CF69B3" w:rsidRPr="00532C20">
        <w:rPr>
          <w:rFonts w:ascii="Times New Roman" w:hAnsi="Times New Roman" w:cs="Times New Roman"/>
          <w:noProof/>
          <w:sz w:val="24"/>
          <w:szCs w:val="24"/>
          <w:lang w:val="en-IE"/>
        </w:rPr>
        <w:t xml:space="preserve">interest representation </w:t>
      </w:r>
      <w:r w:rsidR="00BD799A" w:rsidRPr="00532C20">
        <w:rPr>
          <w:rFonts w:ascii="Times New Roman" w:hAnsi="Times New Roman" w:cs="Times New Roman"/>
          <w:noProof/>
          <w:sz w:val="24"/>
          <w:szCs w:val="24"/>
          <w:lang w:val="en-IE"/>
        </w:rPr>
        <w:t>activities carried out on behalf of third countries</w:t>
      </w:r>
      <w:r w:rsidR="00220E03" w:rsidRPr="00532C20">
        <w:rPr>
          <w:rStyle w:val="FootnoteReference"/>
          <w:rFonts w:ascii="Times New Roman" w:hAnsi="Times New Roman" w:cs="Times New Roman"/>
          <w:noProof/>
          <w:sz w:val="24"/>
          <w:szCs w:val="24"/>
          <w:lang w:val="en-IE"/>
        </w:rPr>
        <w:footnoteReference w:id="170"/>
      </w:r>
      <w:r w:rsidRPr="00532C20">
        <w:rPr>
          <w:rFonts w:ascii="Times New Roman" w:hAnsi="Times New Roman" w:cs="Times New Roman"/>
          <w:noProof/>
          <w:sz w:val="24"/>
          <w:szCs w:val="24"/>
          <w:lang w:val="en-IE"/>
        </w:rPr>
        <w:t>. Legal fragmentation in the internal market for</w:t>
      </w:r>
      <w:r w:rsidR="00E87DCD" w:rsidRPr="00532C20">
        <w:rPr>
          <w:rFonts w:ascii="Times New Roman" w:hAnsi="Times New Roman" w:cs="Times New Roman"/>
          <w:noProof/>
          <w:sz w:val="24"/>
          <w:szCs w:val="24"/>
          <w:lang w:val="en-IE"/>
        </w:rPr>
        <w:t xml:space="preserve"> entities carrying out</w:t>
      </w:r>
      <w:r w:rsidRPr="00532C20">
        <w:rPr>
          <w:rFonts w:ascii="Times New Roman" w:hAnsi="Times New Roman" w:cs="Times New Roman"/>
          <w:noProof/>
          <w:sz w:val="24"/>
          <w:szCs w:val="24"/>
          <w:lang w:val="en-IE"/>
        </w:rPr>
        <w:t xml:space="preserve"> </w:t>
      </w:r>
      <w:r w:rsidR="00F87F56" w:rsidRPr="00532C20">
        <w:rPr>
          <w:rFonts w:ascii="Times New Roman" w:hAnsi="Times New Roman" w:cs="Times New Roman"/>
          <w:noProof/>
          <w:sz w:val="24"/>
          <w:szCs w:val="24"/>
          <w:lang w:val="en-IE"/>
        </w:rPr>
        <w:t>interest representation</w:t>
      </w:r>
      <w:r w:rsidRPr="00532C20">
        <w:rPr>
          <w:rFonts w:ascii="Times New Roman" w:hAnsi="Times New Roman" w:cs="Times New Roman"/>
          <w:noProof/>
          <w:sz w:val="24"/>
          <w:szCs w:val="24"/>
          <w:lang w:val="en-IE"/>
        </w:rPr>
        <w:t xml:space="preserve"> </w:t>
      </w:r>
      <w:r w:rsidR="00E87DCD" w:rsidRPr="00532C20">
        <w:rPr>
          <w:rFonts w:ascii="Times New Roman" w:hAnsi="Times New Roman" w:cs="Times New Roman"/>
          <w:noProof/>
          <w:sz w:val="24"/>
          <w:szCs w:val="24"/>
          <w:lang w:val="en-IE"/>
        </w:rPr>
        <w:t xml:space="preserve">activities on behalf of a third country </w:t>
      </w:r>
      <w:r w:rsidRPr="00532C20">
        <w:rPr>
          <w:rFonts w:ascii="Times New Roman" w:hAnsi="Times New Roman" w:cs="Times New Roman"/>
          <w:noProof/>
          <w:sz w:val="24"/>
          <w:szCs w:val="24"/>
          <w:lang w:val="en-IE"/>
        </w:rPr>
        <w:t xml:space="preserve">is a significant barrier for SMEs, amounting to prohibitive legal and </w:t>
      </w:r>
      <w:r w:rsidR="00F90BEF" w:rsidRPr="00532C20">
        <w:rPr>
          <w:rFonts w:ascii="Times New Roman" w:hAnsi="Times New Roman" w:cs="Times New Roman"/>
          <w:noProof/>
          <w:sz w:val="24"/>
          <w:szCs w:val="24"/>
          <w:lang w:val="en-IE"/>
        </w:rPr>
        <w:t>financial</w:t>
      </w:r>
      <w:r w:rsidRPr="00532C20">
        <w:rPr>
          <w:rFonts w:ascii="Times New Roman" w:hAnsi="Times New Roman" w:cs="Times New Roman"/>
          <w:noProof/>
          <w:sz w:val="24"/>
          <w:szCs w:val="24"/>
          <w:lang w:val="en-IE"/>
        </w:rPr>
        <w:t xml:space="preserve"> obstacles to such enterprises. SMEs are also more affected by policies established by some Member States</w:t>
      </w:r>
      <w:r w:rsidR="00F91998" w:rsidRPr="00532C20">
        <w:rPr>
          <w:rFonts w:ascii="Times New Roman" w:hAnsi="Times New Roman" w:cs="Times New Roman"/>
          <w:noProof/>
          <w:sz w:val="24"/>
          <w:szCs w:val="24"/>
          <w:lang w:val="en-IE"/>
        </w:rPr>
        <w:t xml:space="preserve"> which </w:t>
      </w:r>
      <w:r w:rsidR="009418E7" w:rsidRPr="00532C20">
        <w:rPr>
          <w:rFonts w:ascii="Times New Roman" w:hAnsi="Times New Roman" w:cs="Times New Roman"/>
          <w:noProof/>
          <w:sz w:val="24"/>
          <w:szCs w:val="24"/>
          <w:lang w:val="en-IE"/>
        </w:rPr>
        <w:t xml:space="preserve">require entities carrying out interest representation to </w:t>
      </w:r>
      <w:r w:rsidR="00BC7D7C" w:rsidRPr="00532C20">
        <w:rPr>
          <w:rFonts w:ascii="Times New Roman" w:hAnsi="Times New Roman" w:cs="Times New Roman"/>
          <w:noProof/>
          <w:sz w:val="24"/>
          <w:szCs w:val="24"/>
          <w:lang w:val="en-IE"/>
        </w:rPr>
        <w:t>registered</w:t>
      </w:r>
      <w:r w:rsidR="00F91998" w:rsidRPr="00532C20">
        <w:rPr>
          <w:rFonts w:ascii="Times New Roman" w:hAnsi="Times New Roman" w:cs="Times New Roman"/>
          <w:noProof/>
          <w:sz w:val="24"/>
          <w:szCs w:val="24"/>
          <w:lang w:val="en-IE"/>
        </w:rPr>
        <w:t xml:space="preserve"> in </w:t>
      </w:r>
      <w:r w:rsidR="00E8517E" w:rsidRPr="00532C20">
        <w:rPr>
          <w:rFonts w:ascii="Times New Roman" w:hAnsi="Times New Roman" w:cs="Times New Roman"/>
          <w:noProof/>
          <w:sz w:val="24"/>
          <w:szCs w:val="24"/>
          <w:lang w:val="en-IE"/>
        </w:rPr>
        <w:t>that</w:t>
      </w:r>
      <w:r w:rsidR="00F91998" w:rsidRPr="00532C20">
        <w:rPr>
          <w:rFonts w:ascii="Times New Roman" w:hAnsi="Times New Roman" w:cs="Times New Roman"/>
          <w:noProof/>
          <w:sz w:val="24"/>
          <w:szCs w:val="24"/>
          <w:lang w:val="en-IE"/>
        </w:rPr>
        <w:t xml:space="preserve"> Member State. </w:t>
      </w:r>
    </w:p>
    <w:p w14:paraId="515CA1F0" w14:textId="2CE7FEF9" w:rsidR="00F91998" w:rsidRPr="00532C20" w:rsidRDefault="00F91998" w:rsidP="00286B1B">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The obligation to </w:t>
      </w:r>
      <w:r w:rsidR="001F4C98" w:rsidRPr="00532C20">
        <w:rPr>
          <w:rFonts w:ascii="Times New Roman" w:hAnsi="Times New Roman" w:cs="Times New Roman"/>
          <w:noProof/>
          <w:sz w:val="24"/>
          <w:szCs w:val="24"/>
          <w:lang w:val="en-IE"/>
        </w:rPr>
        <w:t>maintain updated registration</w:t>
      </w:r>
      <w:r w:rsidRPr="00532C20">
        <w:rPr>
          <w:rFonts w:ascii="Times New Roman" w:hAnsi="Times New Roman" w:cs="Times New Roman"/>
          <w:noProof/>
          <w:sz w:val="24"/>
          <w:szCs w:val="24"/>
          <w:lang w:val="en-IE"/>
        </w:rPr>
        <w:t xml:space="preserve"> </w:t>
      </w:r>
      <w:r w:rsidR="00121A80" w:rsidRPr="00532C20">
        <w:rPr>
          <w:rFonts w:ascii="Times New Roman" w:hAnsi="Times New Roman" w:cs="Times New Roman"/>
          <w:noProof/>
          <w:sz w:val="24"/>
          <w:szCs w:val="24"/>
          <w:lang w:val="en-IE"/>
        </w:rPr>
        <w:t xml:space="preserve">included in </w:t>
      </w:r>
      <w:r w:rsidR="00121A80" w:rsidRPr="00532C20">
        <w:rPr>
          <w:rFonts w:ascii="Times New Roman" w:hAnsi="Times New Roman" w:cs="Times New Roman"/>
          <w:noProof/>
          <w:sz w:val="24"/>
          <w:szCs w:val="24"/>
          <w:u w:val="single"/>
          <w:lang w:val="en-IE"/>
        </w:rPr>
        <w:t>all</w:t>
      </w:r>
      <w:r w:rsidR="00A90D63" w:rsidRPr="00532C20">
        <w:rPr>
          <w:rFonts w:ascii="Times New Roman" w:hAnsi="Times New Roman" w:cs="Times New Roman"/>
          <w:noProof/>
          <w:sz w:val="24"/>
          <w:szCs w:val="24"/>
          <w:u w:val="single"/>
          <w:lang w:val="en-IE"/>
        </w:rPr>
        <w:t xml:space="preserve"> 3 </w:t>
      </w:r>
      <w:r w:rsidR="00121A80" w:rsidRPr="00532C20">
        <w:rPr>
          <w:rFonts w:ascii="Times New Roman" w:hAnsi="Times New Roman" w:cs="Times New Roman"/>
          <w:noProof/>
          <w:sz w:val="24"/>
          <w:szCs w:val="24"/>
          <w:u w:val="single"/>
          <w:lang w:val="en-IE"/>
        </w:rPr>
        <w:t>options</w:t>
      </w:r>
      <w:r w:rsidR="00121A80" w:rsidRPr="00532C20">
        <w:rPr>
          <w:rFonts w:ascii="Times New Roman" w:hAnsi="Times New Roman" w:cs="Times New Roman"/>
          <w:noProof/>
          <w:sz w:val="24"/>
          <w:szCs w:val="24"/>
          <w:lang w:val="en-IE"/>
        </w:rPr>
        <w:t xml:space="preserve"> </w:t>
      </w:r>
      <w:r w:rsidRPr="00532C20">
        <w:rPr>
          <w:rFonts w:ascii="Times New Roman" w:hAnsi="Times New Roman" w:cs="Times New Roman"/>
          <w:noProof/>
          <w:sz w:val="24"/>
          <w:szCs w:val="24"/>
          <w:lang w:val="en-IE"/>
        </w:rPr>
        <w:t xml:space="preserve">involve an ongoing compliance cost. While the ongoing costs depend on the </w:t>
      </w:r>
      <w:r w:rsidR="00F645E1" w:rsidRPr="00532C20">
        <w:rPr>
          <w:rFonts w:ascii="Times New Roman" w:hAnsi="Times New Roman" w:cs="Times New Roman"/>
          <w:noProof/>
          <w:sz w:val="24"/>
          <w:szCs w:val="24"/>
          <w:lang w:val="en-IE"/>
        </w:rPr>
        <w:t>number of int</w:t>
      </w:r>
      <w:r w:rsidR="00911831" w:rsidRPr="00532C20">
        <w:rPr>
          <w:rFonts w:ascii="Times New Roman" w:hAnsi="Times New Roman" w:cs="Times New Roman"/>
          <w:noProof/>
          <w:sz w:val="24"/>
          <w:szCs w:val="24"/>
          <w:lang w:val="en-IE"/>
        </w:rPr>
        <w:t>e</w:t>
      </w:r>
      <w:r w:rsidR="00F645E1" w:rsidRPr="00532C20">
        <w:rPr>
          <w:rFonts w:ascii="Times New Roman" w:hAnsi="Times New Roman" w:cs="Times New Roman"/>
          <w:noProof/>
          <w:sz w:val="24"/>
          <w:szCs w:val="24"/>
          <w:lang w:val="en-IE"/>
        </w:rPr>
        <w:t>rest representation</w:t>
      </w:r>
      <w:r w:rsidR="00911831" w:rsidRPr="00532C20">
        <w:rPr>
          <w:rFonts w:ascii="Times New Roman" w:hAnsi="Times New Roman" w:cs="Times New Roman"/>
          <w:noProof/>
          <w:sz w:val="24"/>
          <w:szCs w:val="24"/>
          <w:lang w:val="en-IE"/>
        </w:rPr>
        <w:t xml:space="preserve"> activities</w:t>
      </w:r>
      <w:r w:rsidR="00F645E1" w:rsidRPr="00532C20">
        <w:rPr>
          <w:rFonts w:ascii="Times New Roman" w:hAnsi="Times New Roman" w:cs="Times New Roman"/>
          <w:noProof/>
          <w:sz w:val="24"/>
          <w:szCs w:val="24"/>
          <w:lang w:val="en-IE"/>
        </w:rPr>
        <w:t xml:space="preserve"> carried out on behalf of third countries</w:t>
      </w:r>
      <w:r w:rsidRPr="00532C20">
        <w:rPr>
          <w:rFonts w:ascii="Times New Roman" w:hAnsi="Times New Roman" w:cs="Times New Roman"/>
          <w:noProof/>
          <w:sz w:val="24"/>
          <w:szCs w:val="24"/>
          <w:lang w:val="en-IE"/>
        </w:rPr>
        <w:t>, the described</w:t>
      </w:r>
      <w:r w:rsidR="00911831" w:rsidRPr="00532C20">
        <w:rPr>
          <w:rFonts w:ascii="Times New Roman" w:hAnsi="Times New Roman" w:cs="Times New Roman"/>
          <w:noProof/>
          <w:sz w:val="24"/>
          <w:szCs w:val="24"/>
          <w:lang w:val="en-IE"/>
        </w:rPr>
        <w:t xml:space="preserve"> cost</w:t>
      </w:r>
      <w:r w:rsidRPr="00532C20">
        <w:rPr>
          <w:rFonts w:ascii="Times New Roman" w:hAnsi="Times New Roman" w:cs="Times New Roman"/>
          <w:noProof/>
          <w:sz w:val="24"/>
          <w:szCs w:val="24"/>
          <w:lang w:val="en-IE"/>
        </w:rPr>
        <w:t xml:space="preserve"> affect SMEs proportionately more than other actors. </w:t>
      </w:r>
    </w:p>
    <w:p w14:paraId="3D609F1F" w14:textId="12E3B368" w:rsidR="00B04CA3" w:rsidRPr="00532C20" w:rsidRDefault="005E2886" w:rsidP="00286B1B">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u w:val="single"/>
          <w:lang w:val="en-IE"/>
        </w:rPr>
        <w:t>The legislative option</w:t>
      </w:r>
      <w:r w:rsidR="001A5962" w:rsidRPr="00532C20">
        <w:rPr>
          <w:rFonts w:ascii="Times New Roman" w:hAnsi="Times New Roman" w:cs="Times New Roman"/>
          <w:noProof/>
          <w:sz w:val="24"/>
          <w:szCs w:val="24"/>
          <w:u w:val="single"/>
          <w:lang w:val="en-IE"/>
        </w:rPr>
        <w:t xml:space="preserve">s </w:t>
      </w:r>
      <w:r w:rsidR="0051461B" w:rsidRPr="00532C20">
        <w:rPr>
          <w:rFonts w:ascii="Times New Roman" w:hAnsi="Times New Roman" w:cs="Times New Roman"/>
          <w:noProof/>
          <w:sz w:val="24"/>
          <w:szCs w:val="24"/>
          <w:u w:val="single"/>
          <w:lang w:val="en-IE"/>
        </w:rPr>
        <w:t>(PO2.</w:t>
      </w:r>
      <w:r w:rsidR="00035A84" w:rsidRPr="00532C20">
        <w:rPr>
          <w:rFonts w:ascii="Times New Roman" w:hAnsi="Times New Roman" w:cs="Times New Roman"/>
          <w:noProof/>
          <w:sz w:val="24"/>
          <w:szCs w:val="24"/>
          <w:u w:val="single"/>
          <w:lang w:val="en-IE"/>
        </w:rPr>
        <w:t>1</w:t>
      </w:r>
      <w:r w:rsidR="00B719DB">
        <w:rPr>
          <w:rFonts w:ascii="Times New Roman" w:hAnsi="Times New Roman" w:cs="Times New Roman"/>
          <w:noProof/>
          <w:sz w:val="24"/>
          <w:szCs w:val="24"/>
          <w:u w:val="single"/>
          <w:lang w:val="en-IE"/>
        </w:rPr>
        <w:t xml:space="preserve"> </w:t>
      </w:r>
      <w:r w:rsidR="0051461B" w:rsidRPr="00532C20">
        <w:rPr>
          <w:rFonts w:ascii="Times New Roman" w:hAnsi="Times New Roman" w:cs="Times New Roman"/>
          <w:noProof/>
          <w:sz w:val="24"/>
          <w:szCs w:val="24"/>
          <w:u w:val="single"/>
          <w:lang w:val="en-IE"/>
        </w:rPr>
        <w:t>and PO</w:t>
      </w:r>
      <w:r w:rsidR="00035A84" w:rsidRPr="00532C20">
        <w:rPr>
          <w:rFonts w:ascii="Times New Roman" w:hAnsi="Times New Roman" w:cs="Times New Roman"/>
          <w:noProof/>
          <w:sz w:val="24"/>
          <w:szCs w:val="24"/>
          <w:u w:val="single"/>
          <w:lang w:val="en-IE"/>
        </w:rPr>
        <w:t>2.2</w:t>
      </w:r>
      <w:r w:rsidR="00C248E0" w:rsidRPr="00532C20">
        <w:rPr>
          <w:rFonts w:ascii="Times New Roman" w:hAnsi="Times New Roman" w:cs="Times New Roman"/>
          <w:noProof/>
          <w:sz w:val="24"/>
          <w:szCs w:val="24"/>
          <w:u w:val="single"/>
          <w:lang w:val="en-IE"/>
        </w:rPr>
        <w:t>)</w:t>
      </w:r>
      <w:r w:rsidRPr="00532C20">
        <w:rPr>
          <w:rFonts w:ascii="Times New Roman" w:hAnsi="Times New Roman" w:cs="Times New Roman"/>
          <w:noProof/>
          <w:sz w:val="24"/>
          <w:szCs w:val="24"/>
          <w:lang w:val="en-IE"/>
        </w:rPr>
        <w:t xml:space="preserve"> </w:t>
      </w:r>
      <w:r w:rsidR="00F91998" w:rsidRPr="00532C20">
        <w:rPr>
          <w:rFonts w:ascii="Times New Roman" w:hAnsi="Times New Roman" w:cs="Times New Roman"/>
          <w:noProof/>
          <w:sz w:val="24"/>
          <w:szCs w:val="24"/>
          <w:lang w:val="en-IE"/>
        </w:rPr>
        <w:t xml:space="preserve">offer more opportunities for such costs to be offset by savings resulting from simplification of the rules and the elimination of the need for multiple </w:t>
      </w:r>
      <w:r w:rsidR="00C248E0" w:rsidRPr="00532C20">
        <w:rPr>
          <w:rFonts w:ascii="Times New Roman" w:hAnsi="Times New Roman" w:cs="Times New Roman"/>
          <w:noProof/>
          <w:sz w:val="24"/>
          <w:szCs w:val="24"/>
          <w:lang w:val="en-IE"/>
        </w:rPr>
        <w:t>registration</w:t>
      </w:r>
      <w:r w:rsidR="00F91998" w:rsidRPr="00532C20">
        <w:rPr>
          <w:rFonts w:ascii="Times New Roman" w:hAnsi="Times New Roman" w:cs="Times New Roman"/>
          <w:noProof/>
          <w:sz w:val="24"/>
          <w:szCs w:val="24"/>
          <w:lang w:val="en-IE"/>
        </w:rPr>
        <w:t xml:space="preserve"> when offering </w:t>
      </w:r>
      <w:r w:rsidR="009B773C" w:rsidRPr="00532C20">
        <w:rPr>
          <w:rFonts w:ascii="Times New Roman" w:hAnsi="Times New Roman" w:cs="Times New Roman"/>
          <w:noProof/>
          <w:sz w:val="24"/>
          <w:szCs w:val="24"/>
          <w:lang w:val="en-IE"/>
        </w:rPr>
        <w:t>activit</w:t>
      </w:r>
      <w:r w:rsidR="0025032A" w:rsidRPr="00532C20">
        <w:rPr>
          <w:rFonts w:ascii="Times New Roman" w:hAnsi="Times New Roman" w:cs="Times New Roman"/>
          <w:noProof/>
          <w:sz w:val="24"/>
          <w:szCs w:val="24"/>
          <w:lang w:val="en-IE"/>
        </w:rPr>
        <w:t>i</w:t>
      </w:r>
      <w:r w:rsidR="009B773C" w:rsidRPr="00532C20">
        <w:rPr>
          <w:rFonts w:ascii="Times New Roman" w:hAnsi="Times New Roman" w:cs="Times New Roman"/>
          <w:noProof/>
          <w:sz w:val="24"/>
          <w:szCs w:val="24"/>
          <w:lang w:val="en-IE"/>
        </w:rPr>
        <w:t xml:space="preserve">es </w:t>
      </w:r>
      <w:r w:rsidR="00F91998" w:rsidRPr="00532C20">
        <w:rPr>
          <w:rFonts w:ascii="Times New Roman" w:hAnsi="Times New Roman" w:cs="Times New Roman"/>
          <w:noProof/>
          <w:sz w:val="24"/>
          <w:szCs w:val="24"/>
          <w:lang w:val="en-IE"/>
        </w:rPr>
        <w:t xml:space="preserve">across borders. This would increase cross-border activity in particular for SMEs, which could offer their </w:t>
      </w:r>
      <w:r w:rsidR="009B773C" w:rsidRPr="00532C20">
        <w:rPr>
          <w:rFonts w:ascii="Times New Roman" w:hAnsi="Times New Roman" w:cs="Times New Roman"/>
          <w:noProof/>
          <w:sz w:val="24"/>
          <w:szCs w:val="24"/>
          <w:lang w:val="en-IE"/>
        </w:rPr>
        <w:t xml:space="preserve">activities </w:t>
      </w:r>
      <w:r w:rsidR="00F91998" w:rsidRPr="00532C20">
        <w:rPr>
          <w:rFonts w:ascii="Times New Roman" w:hAnsi="Times New Roman" w:cs="Times New Roman"/>
          <w:noProof/>
          <w:sz w:val="24"/>
          <w:szCs w:val="24"/>
          <w:lang w:val="en-IE"/>
        </w:rPr>
        <w:t xml:space="preserve">to clients outside their Member State of establishment and would have the opportunity to scale up to operate at EU level. </w:t>
      </w:r>
      <w:r w:rsidR="00636D2B" w:rsidRPr="00532C20">
        <w:rPr>
          <w:rFonts w:ascii="Times New Roman" w:hAnsi="Times New Roman" w:cs="Times New Roman"/>
          <w:noProof/>
          <w:sz w:val="24"/>
          <w:szCs w:val="24"/>
          <w:lang w:val="en-IE"/>
        </w:rPr>
        <w:t xml:space="preserve">Support </w:t>
      </w:r>
      <w:r w:rsidR="009566D6" w:rsidRPr="00532C20">
        <w:rPr>
          <w:rFonts w:ascii="Times New Roman" w:hAnsi="Times New Roman" w:cs="Times New Roman"/>
          <w:noProof/>
          <w:sz w:val="24"/>
          <w:szCs w:val="24"/>
          <w:lang w:val="en-IE"/>
        </w:rPr>
        <w:t xml:space="preserve">to compliance </w:t>
      </w:r>
      <w:r w:rsidR="00237F50" w:rsidRPr="00532C20">
        <w:rPr>
          <w:rFonts w:ascii="Times New Roman" w:hAnsi="Times New Roman" w:cs="Times New Roman"/>
          <w:noProof/>
          <w:sz w:val="24"/>
          <w:szCs w:val="24"/>
          <w:lang w:val="en-IE"/>
        </w:rPr>
        <w:t xml:space="preserve">to transparency </w:t>
      </w:r>
      <w:r w:rsidR="00F672C3" w:rsidRPr="00532C20">
        <w:rPr>
          <w:rFonts w:ascii="Times New Roman" w:hAnsi="Times New Roman" w:cs="Times New Roman"/>
          <w:noProof/>
          <w:sz w:val="24"/>
          <w:szCs w:val="24"/>
          <w:lang w:val="en-IE"/>
        </w:rPr>
        <w:t>requirements</w:t>
      </w:r>
      <w:r w:rsidR="00237F50" w:rsidRPr="00532C20">
        <w:rPr>
          <w:rFonts w:ascii="Times New Roman" w:hAnsi="Times New Roman" w:cs="Times New Roman"/>
          <w:noProof/>
          <w:sz w:val="24"/>
          <w:szCs w:val="24"/>
          <w:lang w:val="en-IE"/>
        </w:rPr>
        <w:t xml:space="preserve"> </w:t>
      </w:r>
      <w:r w:rsidR="00F90BEF" w:rsidRPr="00532C20">
        <w:rPr>
          <w:rFonts w:ascii="Times New Roman" w:hAnsi="Times New Roman" w:cs="Times New Roman"/>
          <w:noProof/>
          <w:sz w:val="24"/>
          <w:szCs w:val="24"/>
          <w:lang w:val="en-IE"/>
        </w:rPr>
        <w:t>w</w:t>
      </w:r>
      <w:r w:rsidR="00237F50" w:rsidRPr="00532C20">
        <w:rPr>
          <w:rFonts w:ascii="Times New Roman" w:hAnsi="Times New Roman" w:cs="Times New Roman"/>
          <w:noProof/>
          <w:sz w:val="24"/>
          <w:szCs w:val="24"/>
          <w:lang w:val="en-IE"/>
        </w:rPr>
        <w:t xml:space="preserve">ould be offered by competent national </w:t>
      </w:r>
      <w:r w:rsidR="00F672C3" w:rsidRPr="00532C20">
        <w:rPr>
          <w:rFonts w:ascii="Times New Roman" w:hAnsi="Times New Roman" w:cs="Times New Roman"/>
          <w:noProof/>
          <w:sz w:val="24"/>
          <w:szCs w:val="24"/>
          <w:lang w:val="en-IE"/>
        </w:rPr>
        <w:t xml:space="preserve">authority, notably on the notion of </w:t>
      </w:r>
      <w:r w:rsidR="00B04CA3" w:rsidRPr="00532C20">
        <w:rPr>
          <w:rFonts w:ascii="Times New Roman" w:hAnsi="Times New Roman" w:cs="Times New Roman"/>
          <w:noProof/>
          <w:sz w:val="24"/>
          <w:szCs w:val="24"/>
          <w:lang w:val="en-IE"/>
        </w:rPr>
        <w:t xml:space="preserve">third country entity or on the scope. </w:t>
      </w:r>
    </w:p>
    <w:p w14:paraId="146CF2C1" w14:textId="4893CFBA" w:rsidR="00575251" w:rsidRPr="00532C20" w:rsidRDefault="0039480F" w:rsidP="00397BF7">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To limit administrative burden</w:t>
      </w:r>
      <w:r w:rsidR="003B1F00" w:rsidRPr="00532C20">
        <w:rPr>
          <w:rFonts w:ascii="Times New Roman" w:hAnsi="Times New Roman" w:cs="Times New Roman"/>
          <w:noProof/>
          <w:sz w:val="24"/>
          <w:szCs w:val="24"/>
          <w:lang w:val="en-IE"/>
        </w:rPr>
        <w:t>, in particular for SMEs,</w:t>
      </w:r>
      <w:r w:rsidR="00575251" w:rsidRPr="00532C20">
        <w:rPr>
          <w:rFonts w:ascii="Times New Roman" w:hAnsi="Times New Roman" w:cs="Times New Roman"/>
          <w:noProof/>
          <w:sz w:val="24"/>
          <w:szCs w:val="24"/>
          <w:lang w:val="en-IE"/>
        </w:rPr>
        <w:t xml:space="preserve"> </w:t>
      </w:r>
      <w:r w:rsidR="00950B34" w:rsidRPr="00532C20">
        <w:rPr>
          <w:rFonts w:ascii="Times New Roman" w:hAnsi="Times New Roman" w:cs="Times New Roman"/>
          <w:noProof/>
          <w:sz w:val="24"/>
          <w:szCs w:val="24"/>
          <w:lang w:val="en-IE"/>
        </w:rPr>
        <w:t>an obligation would be introduced to make</w:t>
      </w:r>
      <w:r w:rsidR="00575251" w:rsidRPr="00532C20">
        <w:rPr>
          <w:rFonts w:ascii="Times New Roman" w:hAnsi="Times New Roman" w:cs="Times New Roman"/>
          <w:noProof/>
          <w:sz w:val="24"/>
          <w:szCs w:val="24"/>
          <w:lang w:val="en-IE"/>
        </w:rPr>
        <w:t xml:space="preserve"> information on the registration obligations and formalities established by </w:t>
      </w:r>
      <w:r w:rsidR="00FD2436" w:rsidRPr="00532C20">
        <w:rPr>
          <w:rFonts w:ascii="Times New Roman" w:hAnsi="Times New Roman" w:cs="Times New Roman"/>
          <w:noProof/>
          <w:sz w:val="24"/>
          <w:szCs w:val="24"/>
          <w:lang w:val="en-IE"/>
        </w:rPr>
        <w:t xml:space="preserve">the </w:t>
      </w:r>
      <w:r w:rsidR="00FD2436" w:rsidRPr="00532C20">
        <w:rPr>
          <w:rFonts w:ascii="Times New Roman" w:hAnsi="Times New Roman" w:cs="Times New Roman"/>
          <w:noProof/>
          <w:sz w:val="24"/>
          <w:szCs w:val="24"/>
          <w:u w:val="single"/>
          <w:lang w:val="en-IE"/>
        </w:rPr>
        <w:t>legislative options</w:t>
      </w:r>
      <w:r w:rsidR="00575251" w:rsidRPr="00532C20">
        <w:rPr>
          <w:rFonts w:ascii="Times New Roman" w:hAnsi="Times New Roman" w:cs="Times New Roman"/>
          <w:noProof/>
          <w:sz w:val="24"/>
          <w:szCs w:val="24"/>
          <w:lang w:val="en-IE"/>
        </w:rPr>
        <w:t xml:space="preserve"> available via the Single Digital Gateway</w:t>
      </w:r>
      <w:bookmarkStart w:id="869" w:name="_Ref147841119"/>
      <w:r w:rsidR="00575251" w:rsidRPr="00532C20">
        <w:rPr>
          <w:rStyle w:val="FootnoteReference"/>
          <w:rFonts w:ascii="Times New Roman" w:hAnsi="Times New Roman" w:cs="Times New Roman"/>
          <w:noProof/>
          <w:sz w:val="24"/>
          <w:szCs w:val="24"/>
          <w:lang w:val="en-IE"/>
        </w:rPr>
        <w:footnoteReference w:id="171"/>
      </w:r>
      <w:bookmarkEnd w:id="869"/>
      <w:r w:rsidR="00575251" w:rsidRPr="00532C20">
        <w:rPr>
          <w:rFonts w:ascii="Times New Roman" w:hAnsi="Times New Roman" w:cs="Times New Roman"/>
          <w:noProof/>
          <w:sz w:val="24"/>
          <w:szCs w:val="24"/>
          <w:lang w:val="en-IE"/>
        </w:rPr>
        <w:t xml:space="preserve"> which, through the Your Europe web portal, sets up a one-stop</w:t>
      </w:r>
      <w:r w:rsidR="00B719DB">
        <w:rPr>
          <w:rFonts w:ascii="Times New Roman" w:hAnsi="Times New Roman" w:cs="Times New Roman"/>
          <w:noProof/>
          <w:sz w:val="24"/>
          <w:szCs w:val="24"/>
          <w:lang w:val="en-IE"/>
        </w:rPr>
        <w:t>-</w:t>
      </w:r>
      <w:r w:rsidR="00575251" w:rsidRPr="00532C20">
        <w:rPr>
          <w:rFonts w:ascii="Times New Roman" w:hAnsi="Times New Roman" w:cs="Times New Roman"/>
          <w:noProof/>
          <w:sz w:val="24"/>
          <w:szCs w:val="24"/>
          <w:lang w:val="en-IE"/>
        </w:rPr>
        <w:t>shop that provides businesses and citizens with information about rules and procedures in the Single Market, at all levels of government and direct, centralised, and guided access to assistance and problem-solving services as well as to a wide range of fully digitised administrative procedures. In addition, the procedure for registration is fully online and organised in accordance with the ‘once only’ principle to facilitate the reuse of data.</w:t>
      </w:r>
    </w:p>
    <w:p w14:paraId="287CE99D" w14:textId="6C8106E2" w:rsidR="00FD2436" w:rsidRPr="00532C20" w:rsidRDefault="00A759E3" w:rsidP="00BF16AA">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Finally,</w:t>
      </w:r>
      <w:r w:rsidR="00FD2436" w:rsidRPr="00532C20">
        <w:rPr>
          <w:rFonts w:ascii="Times New Roman" w:hAnsi="Times New Roman" w:cs="Times New Roman"/>
          <w:noProof/>
          <w:sz w:val="24"/>
          <w:szCs w:val="24"/>
          <w:lang w:val="en-IE"/>
        </w:rPr>
        <w:t xml:space="preserve"> the </w:t>
      </w:r>
      <w:r w:rsidR="003924A6" w:rsidRPr="00532C20">
        <w:rPr>
          <w:rFonts w:ascii="Times New Roman" w:hAnsi="Times New Roman" w:cs="Times New Roman"/>
          <w:noProof/>
          <w:sz w:val="24"/>
          <w:szCs w:val="24"/>
          <w:lang w:val="en-IE"/>
        </w:rPr>
        <w:t>risk-based</w:t>
      </w:r>
      <w:r w:rsidR="00FD2436" w:rsidRPr="00532C20">
        <w:rPr>
          <w:rFonts w:ascii="Times New Roman" w:hAnsi="Times New Roman" w:cs="Times New Roman"/>
          <w:noProof/>
          <w:sz w:val="24"/>
          <w:szCs w:val="24"/>
          <w:lang w:val="en-IE"/>
        </w:rPr>
        <w:t xml:space="preserve"> approach</w:t>
      </w:r>
      <w:r w:rsidR="00A21489" w:rsidRPr="00532C20">
        <w:rPr>
          <w:rFonts w:ascii="Times New Roman" w:hAnsi="Times New Roman" w:cs="Times New Roman"/>
          <w:noProof/>
          <w:sz w:val="24"/>
          <w:szCs w:val="24"/>
          <w:lang w:val="en-IE"/>
        </w:rPr>
        <w:t xml:space="preserve"> and,</w:t>
      </w:r>
      <w:r w:rsidR="0076176E" w:rsidRPr="00532C20">
        <w:rPr>
          <w:rFonts w:ascii="Times New Roman" w:hAnsi="Times New Roman" w:cs="Times New Roman"/>
          <w:noProof/>
          <w:sz w:val="24"/>
          <w:szCs w:val="24"/>
          <w:lang w:val="en-IE"/>
        </w:rPr>
        <w:t xml:space="preserve"> </w:t>
      </w:r>
      <w:r w:rsidR="009F664C" w:rsidRPr="00532C20">
        <w:rPr>
          <w:rFonts w:ascii="Times New Roman" w:hAnsi="Times New Roman" w:cs="Times New Roman"/>
          <w:noProof/>
          <w:sz w:val="24"/>
          <w:szCs w:val="24"/>
          <w:lang w:val="en-IE"/>
        </w:rPr>
        <w:t xml:space="preserve">in </w:t>
      </w:r>
      <w:r w:rsidR="00A52D23" w:rsidRPr="00532C20">
        <w:rPr>
          <w:rFonts w:ascii="Times New Roman" w:hAnsi="Times New Roman" w:cs="Times New Roman"/>
          <w:noProof/>
          <w:sz w:val="24"/>
          <w:szCs w:val="24"/>
          <w:lang w:val="en-IE"/>
        </w:rPr>
        <w:t>PO</w:t>
      </w:r>
      <w:r w:rsidR="009F664C" w:rsidRPr="00532C20">
        <w:rPr>
          <w:rFonts w:ascii="Times New Roman" w:hAnsi="Times New Roman" w:cs="Times New Roman"/>
          <w:noProof/>
          <w:sz w:val="24"/>
          <w:szCs w:val="24"/>
          <w:lang w:val="en-IE"/>
        </w:rPr>
        <w:t>2.</w:t>
      </w:r>
      <w:r w:rsidR="00035A84" w:rsidRPr="00532C20">
        <w:rPr>
          <w:rFonts w:ascii="Times New Roman" w:hAnsi="Times New Roman" w:cs="Times New Roman"/>
          <w:noProof/>
          <w:sz w:val="24"/>
          <w:szCs w:val="24"/>
          <w:lang w:val="en-IE"/>
        </w:rPr>
        <w:t>2</w:t>
      </w:r>
      <w:r w:rsidR="009F664C" w:rsidRPr="00532C20">
        <w:rPr>
          <w:rFonts w:ascii="Times New Roman" w:hAnsi="Times New Roman" w:cs="Times New Roman"/>
          <w:noProof/>
          <w:sz w:val="24"/>
          <w:szCs w:val="24"/>
          <w:lang w:val="en-IE"/>
        </w:rPr>
        <w:t xml:space="preserve">, the prior authorisation/licencing </w:t>
      </w:r>
      <w:r w:rsidR="00C70BB3" w:rsidRPr="00532C20">
        <w:rPr>
          <w:rFonts w:ascii="Times New Roman" w:hAnsi="Times New Roman" w:cs="Times New Roman"/>
          <w:noProof/>
          <w:sz w:val="24"/>
          <w:szCs w:val="24"/>
          <w:lang w:val="en-IE"/>
        </w:rPr>
        <w:t xml:space="preserve">would be subject to </w:t>
      </w:r>
      <w:r w:rsidR="00A55706" w:rsidRPr="00532C20">
        <w:rPr>
          <w:rFonts w:ascii="Times New Roman" w:hAnsi="Times New Roman" w:cs="Times New Roman"/>
          <w:noProof/>
          <w:sz w:val="24"/>
          <w:szCs w:val="24"/>
          <w:lang w:val="en-IE"/>
        </w:rPr>
        <w:t xml:space="preserve">a </w:t>
      </w:r>
      <w:r w:rsidR="00C70BB3" w:rsidRPr="00532C20">
        <w:rPr>
          <w:rFonts w:ascii="Times New Roman" w:hAnsi="Times New Roman" w:cs="Times New Roman"/>
          <w:i/>
          <w:iCs/>
          <w:noProof/>
          <w:sz w:val="24"/>
          <w:szCs w:val="24"/>
          <w:lang w:val="en-IE"/>
        </w:rPr>
        <w:t>de minims</w:t>
      </w:r>
      <w:r w:rsidR="00C70BB3" w:rsidRPr="00532C20">
        <w:rPr>
          <w:rFonts w:ascii="Times New Roman" w:hAnsi="Times New Roman" w:cs="Times New Roman"/>
          <w:noProof/>
          <w:sz w:val="24"/>
          <w:szCs w:val="24"/>
          <w:lang w:val="en-IE"/>
        </w:rPr>
        <w:t xml:space="preserve">, to avoid imposing </w:t>
      </w:r>
      <w:r w:rsidR="00AE21F3" w:rsidRPr="00532C20">
        <w:rPr>
          <w:rFonts w:ascii="Times New Roman" w:hAnsi="Times New Roman" w:cs="Times New Roman"/>
          <w:noProof/>
          <w:sz w:val="24"/>
          <w:szCs w:val="24"/>
          <w:lang w:val="en-IE"/>
        </w:rPr>
        <w:t>excessive burden on SMEs.</w:t>
      </w:r>
    </w:p>
    <w:p w14:paraId="60857EE4" w14:textId="2C48C677" w:rsidR="00280312" w:rsidRPr="00532C20" w:rsidRDefault="00280312" w:rsidP="00E06951">
      <w:pPr>
        <w:pStyle w:val="1111level4section"/>
        <w:spacing w:before="120" w:after="120" w:line="240" w:lineRule="auto"/>
        <w:ind w:left="2694" w:hanging="894"/>
        <w:rPr>
          <w:noProof/>
        </w:rPr>
      </w:pPr>
      <w:bookmarkStart w:id="870" w:name="_Toc152864696"/>
      <w:r w:rsidRPr="00532C20">
        <w:rPr>
          <w:noProof/>
        </w:rPr>
        <w:t xml:space="preserve">Costs for public authorities of measures addressed to economic </w:t>
      </w:r>
      <w:r w:rsidR="00175026" w:rsidRPr="00532C20">
        <w:rPr>
          <w:noProof/>
        </w:rPr>
        <w:t>actors.</w:t>
      </w:r>
      <w:bookmarkEnd w:id="870"/>
    </w:p>
    <w:p w14:paraId="78D132EA" w14:textId="66EC613E" w:rsidR="00DB460B" w:rsidRPr="00532C20" w:rsidRDefault="00844AB0" w:rsidP="004B0958">
      <w:pPr>
        <w:pStyle w:val="Text2"/>
        <w:spacing w:after="120"/>
        <w:ind w:left="0"/>
        <w:rPr>
          <w:noProof/>
        </w:rPr>
      </w:pPr>
      <w:r w:rsidRPr="00532C20">
        <w:rPr>
          <w:noProof/>
          <w:u w:val="single"/>
        </w:rPr>
        <w:t xml:space="preserve">The </w:t>
      </w:r>
      <w:r w:rsidR="00E16750" w:rsidRPr="00532C20">
        <w:rPr>
          <w:noProof/>
          <w:u w:val="single"/>
        </w:rPr>
        <w:t xml:space="preserve">2 </w:t>
      </w:r>
      <w:r w:rsidRPr="00532C20">
        <w:rPr>
          <w:noProof/>
          <w:u w:val="single"/>
        </w:rPr>
        <w:t>legislative options</w:t>
      </w:r>
      <w:r w:rsidR="00893836" w:rsidRPr="00532C20">
        <w:rPr>
          <w:noProof/>
          <w:u w:val="single"/>
        </w:rPr>
        <w:t xml:space="preserve"> </w:t>
      </w:r>
      <w:r w:rsidR="0020285B" w:rsidRPr="00532C20">
        <w:rPr>
          <w:rFonts w:ascii="Times New Roman" w:hAnsi="Times New Roman" w:cs="Times New Roman"/>
          <w:noProof/>
          <w:szCs w:val="24"/>
          <w:u w:val="single"/>
          <w:lang w:val="en-IE"/>
        </w:rPr>
        <w:t>(</w:t>
      </w:r>
      <w:r w:rsidR="00701330" w:rsidRPr="00532C20">
        <w:rPr>
          <w:noProof/>
          <w:u w:val="single"/>
        </w:rPr>
        <w:t xml:space="preserve">PO2.1 </w:t>
      </w:r>
      <w:r w:rsidR="00BA465B" w:rsidRPr="00532C20">
        <w:rPr>
          <w:noProof/>
          <w:u w:val="single"/>
        </w:rPr>
        <w:t xml:space="preserve">and </w:t>
      </w:r>
      <w:r w:rsidR="00727159" w:rsidRPr="00532C20">
        <w:rPr>
          <w:noProof/>
          <w:u w:val="single"/>
        </w:rPr>
        <w:t>PO2.2</w:t>
      </w:r>
      <w:r w:rsidR="0020285B" w:rsidRPr="00532C20">
        <w:rPr>
          <w:noProof/>
          <w:u w:val="single"/>
        </w:rPr>
        <w:t>)</w:t>
      </w:r>
      <w:r w:rsidR="00893836" w:rsidRPr="00532C20">
        <w:rPr>
          <w:rFonts w:ascii="Times New Roman" w:hAnsi="Times New Roman" w:cs="Times New Roman"/>
          <w:noProof/>
          <w:szCs w:val="24"/>
          <w:u w:val="single"/>
          <w:lang w:val="en-IE"/>
        </w:rPr>
        <w:t xml:space="preserve"> </w:t>
      </w:r>
      <w:r w:rsidR="00175026" w:rsidRPr="00532C20">
        <w:rPr>
          <w:noProof/>
        </w:rPr>
        <w:t>would aim to streamline oversight, providing better access to needed information, more opportunities for coordinated action and resource-sharing and clarity about the responsible authority. This would result in more effective regulatory outcomes.</w:t>
      </w:r>
      <w:r w:rsidR="00893836" w:rsidRPr="00532C20">
        <w:rPr>
          <w:noProof/>
        </w:rPr>
        <w:t xml:space="preserve"> </w:t>
      </w:r>
      <w:r w:rsidR="00175026" w:rsidRPr="00532C20">
        <w:rPr>
          <w:noProof/>
        </w:rPr>
        <w:t xml:space="preserve">It also provides support to Member State authorities to request information </w:t>
      </w:r>
      <w:r w:rsidR="00131986" w:rsidRPr="00532C20">
        <w:rPr>
          <w:noProof/>
        </w:rPr>
        <w:t>and</w:t>
      </w:r>
      <w:r w:rsidR="00175026" w:rsidRPr="00532C20">
        <w:rPr>
          <w:noProof/>
        </w:rPr>
        <w:t xml:space="preserve"> facilitate cross-border oversight</w:t>
      </w:r>
      <w:r w:rsidR="00976A56" w:rsidRPr="00532C20">
        <w:rPr>
          <w:noProof/>
        </w:rPr>
        <w:t xml:space="preserve"> via the </w:t>
      </w:r>
      <w:r w:rsidR="00976A56" w:rsidRPr="00532C20">
        <w:rPr>
          <w:rFonts w:ascii="Times New Roman" w:hAnsi="Times New Roman" w:cs="Times New Roman"/>
          <w:noProof/>
          <w:szCs w:val="24"/>
          <w:lang w:val="en-IE"/>
        </w:rPr>
        <w:t>Internal Market Information System</w:t>
      </w:r>
      <w:bookmarkStart w:id="871" w:name="_Ref147841186"/>
      <w:r w:rsidR="00374753" w:rsidRPr="00532C20">
        <w:rPr>
          <w:rStyle w:val="FootnoteReference"/>
          <w:noProof/>
        </w:rPr>
        <w:footnoteReference w:id="172"/>
      </w:r>
      <w:bookmarkEnd w:id="871"/>
      <w:r w:rsidR="00B03D71" w:rsidRPr="00532C20">
        <w:rPr>
          <w:noProof/>
        </w:rPr>
        <w:t>, while focusing on entities whose main establishment lie in their jurisdiction</w:t>
      </w:r>
      <w:r w:rsidR="00175026" w:rsidRPr="00532C20">
        <w:rPr>
          <w:noProof/>
        </w:rPr>
        <w:t xml:space="preserve">. </w:t>
      </w:r>
    </w:p>
    <w:p w14:paraId="41F1891F" w14:textId="5B67913A" w:rsidR="00175026" w:rsidRPr="00532C20" w:rsidRDefault="00C90570" w:rsidP="004B0958">
      <w:pPr>
        <w:pStyle w:val="Text2"/>
        <w:spacing w:after="120"/>
        <w:ind w:left="0"/>
        <w:rPr>
          <w:noProof/>
        </w:rPr>
      </w:pPr>
      <w:r w:rsidRPr="00532C20">
        <w:rPr>
          <w:noProof/>
        </w:rPr>
        <w:t xml:space="preserve">As detailed in Annex </w:t>
      </w:r>
      <w:r w:rsidR="00F0723C" w:rsidRPr="00532C20">
        <w:rPr>
          <w:noProof/>
        </w:rPr>
        <w:t>4</w:t>
      </w:r>
      <w:r w:rsidRPr="00532C20">
        <w:rPr>
          <w:noProof/>
        </w:rPr>
        <w:t>, i</w:t>
      </w:r>
      <w:r w:rsidR="00175026" w:rsidRPr="00532C20">
        <w:rPr>
          <w:noProof/>
        </w:rPr>
        <w:t xml:space="preserve">t could result in some costs for national authorities: one-off </w:t>
      </w:r>
      <w:r w:rsidR="000E292A" w:rsidRPr="00532C20">
        <w:rPr>
          <w:noProof/>
        </w:rPr>
        <w:t>familiarisation</w:t>
      </w:r>
      <w:r w:rsidR="00CD618F" w:rsidRPr="00532C20">
        <w:rPr>
          <w:noProof/>
        </w:rPr>
        <w:t xml:space="preserve"> costs</w:t>
      </w:r>
      <w:r w:rsidR="00E74F45" w:rsidRPr="00532C20">
        <w:rPr>
          <w:noProof/>
        </w:rPr>
        <w:t xml:space="preserve">, </w:t>
      </w:r>
      <w:r w:rsidR="00E74F45" w:rsidRPr="00532C20">
        <w:rPr>
          <w:rFonts w:ascii="Times New Roman" w:hAnsi="Times New Roman" w:cs="Times New Roman"/>
          <w:noProof/>
          <w:szCs w:val="24"/>
          <w:lang w:val="en-IE"/>
        </w:rPr>
        <w:t xml:space="preserve">15 Members </w:t>
      </w:r>
      <w:r w:rsidR="00426C83" w:rsidRPr="00532C20">
        <w:rPr>
          <w:rFonts w:ascii="Times New Roman" w:hAnsi="Times New Roman" w:cs="Times New Roman"/>
          <w:noProof/>
          <w:szCs w:val="24"/>
          <w:lang w:val="en-IE"/>
        </w:rPr>
        <w:t>S</w:t>
      </w:r>
      <w:r w:rsidR="00E74F45" w:rsidRPr="00532C20">
        <w:rPr>
          <w:rFonts w:ascii="Times New Roman" w:hAnsi="Times New Roman" w:cs="Times New Roman"/>
          <w:noProof/>
          <w:szCs w:val="24"/>
          <w:lang w:val="en-IE"/>
        </w:rPr>
        <w:t>tates that have a publicly accessible transparency register</w:t>
      </w:r>
      <w:r w:rsidR="00E74F45" w:rsidRPr="00532C20">
        <w:rPr>
          <w:rStyle w:val="FootnoteReference"/>
          <w:rFonts w:ascii="Times New Roman" w:hAnsi="Times New Roman" w:cs="Times New Roman"/>
          <w:noProof/>
          <w:szCs w:val="24"/>
          <w:lang w:val="en-IE"/>
        </w:rPr>
        <w:footnoteReference w:id="173"/>
      </w:r>
      <w:r w:rsidR="00E74F45" w:rsidRPr="00532C20">
        <w:rPr>
          <w:rFonts w:ascii="Times New Roman" w:hAnsi="Times New Roman" w:cs="Times New Roman"/>
          <w:noProof/>
          <w:szCs w:val="24"/>
          <w:lang w:val="en-IE"/>
        </w:rPr>
        <w:t xml:space="preserve"> would </w:t>
      </w:r>
      <w:r w:rsidR="00843FE9" w:rsidRPr="00532C20">
        <w:rPr>
          <w:rFonts w:ascii="Times New Roman" w:hAnsi="Times New Roman" w:cs="Times New Roman"/>
          <w:noProof/>
          <w:szCs w:val="24"/>
          <w:lang w:val="en-IE"/>
        </w:rPr>
        <w:t xml:space="preserve">have a one-off </w:t>
      </w:r>
      <w:r w:rsidR="008B7AA8" w:rsidRPr="00532C20">
        <w:rPr>
          <w:rFonts w:ascii="Times New Roman" w:hAnsi="Times New Roman" w:cs="Times New Roman"/>
          <w:noProof/>
          <w:szCs w:val="24"/>
          <w:lang w:val="en-IE"/>
        </w:rPr>
        <w:t xml:space="preserve">cost to amend their regime, while the 12 other Member </w:t>
      </w:r>
      <w:r w:rsidR="00426C83" w:rsidRPr="00532C20">
        <w:rPr>
          <w:rFonts w:ascii="Times New Roman" w:hAnsi="Times New Roman" w:cs="Times New Roman"/>
          <w:noProof/>
          <w:szCs w:val="24"/>
          <w:lang w:val="en-IE"/>
        </w:rPr>
        <w:t>S</w:t>
      </w:r>
      <w:r w:rsidR="008B7AA8" w:rsidRPr="00532C20">
        <w:rPr>
          <w:rFonts w:ascii="Times New Roman" w:hAnsi="Times New Roman" w:cs="Times New Roman"/>
          <w:noProof/>
          <w:szCs w:val="24"/>
          <w:lang w:val="en-IE"/>
        </w:rPr>
        <w:t>tate</w:t>
      </w:r>
      <w:r w:rsidR="00426C83" w:rsidRPr="00532C20">
        <w:rPr>
          <w:rFonts w:ascii="Times New Roman" w:hAnsi="Times New Roman" w:cs="Times New Roman"/>
          <w:noProof/>
          <w:szCs w:val="24"/>
          <w:lang w:val="en-IE"/>
        </w:rPr>
        <w:t>s</w:t>
      </w:r>
      <w:r w:rsidR="00426C83" w:rsidRPr="00532C20">
        <w:rPr>
          <w:rStyle w:val="FootnoteReference"/>
          <w:rFonts w:ascii="Times New Roman" w:hAnsi="Times New Roman" w:cs="Times New Roman"/>
          <w:noProof/>
          <w:szCs w:val="24"/>
          <w:lang w:val="en-IE"/>
        </w:rPr>
        <w:footnoteReference w:id="174"/>
      </w:r>
      <w:r w:rsidR="008B7AA8" w:rsidRPr="00532C20">
        <w:rPr>
          <w:rFonts w:ascii="Times New Roman" w:hAnsi="Times New Roman" w:cs="Times New Roman"/>
          <w:noProof/>
          <w:szCs w:val="24"/>
          <w:lang w:val="en-IE"/>
        </w:rPr>
        <w:t xml:space="preserve"> would need to establish </w:t>
      </w:r>
      <w:r w:rsidR="00AE1D52" w:rsidRPr="00532C20">
        <w:rPr>
          <w:rFonts w:ascii="Times New Roman" w:hAnsi="Times New Roman" w:cs="Times New Roman"/>
          <w:noProof/>
          <w:szCs w:val="24"/>
          <w:lang w:val="en-IE"/>
        </w:rPr>
        <w:t xml:space="preserve">such register. All Member States would need to </w:t>
      </w:r>
      <w:r w:rsidR="00FA4433" w:rsidRPr="00532C20">
        <w:rPr>
          <w:rFonts w:ascii="Times New Roman" w:hAnsi="Times New Roman" w:cs="Times New Roman"/>
          <w:noProof/>
          <w:szCs w:val="24"/>
          <w:lang w:val="en-IE"/>
        </w:rPr>
        <w:t>maintain the registers an</w:t>
      </w:r>
      <w:r w:rsidR="005014E4" w:rsidRPr="00532C20">
        <w:rPr>
          <w:rFonts w:ascii="Times New Roman" w:hAnsi="Times New Roman" w:cs="Times New Roman"/>
          <w:noProof/>
          <w:szCs w:val="24"/>
          <w:lang w:val="en-IE"/>
        </w:rPr>
        <w:t xml:space="preserve">d maintain </w:t>
      </w:r>
      <w:r w:rsidR="005B412F" w:rsidRPr="00532C20">
        <w:rPr>
          <w:rFonts w:ascii="Times New Roman" w:hAnsi="Times New Roman" w:cs="Times New Roman"/>
          <w:noProof/>
          <w:szCs w:val="24"/>
          <w:lang w:val="en-IE"/>
        </w:rPr>
        <w:t>appropriate management, monitoring and enforcement mechanisms</w:t>
      </w:r>
      <w:r w:rsidR="00ED1CA7" w:rsidRPr="00532C20">
        <w:rPr>
          <w:rStyle w:val="FootnoteReference"/>
          <w:noProof/>
        </w:rPr>
        <w:footnoteReference w:id="175"/>
      </w:r>
      <w:r w:rsidR="00175026" w:rsidRPr="00532C20">
        <w:rPr>
          <w:noProof/>
        </w:rPr>
        <w:t xml:space="preserve">. These costs are expected to be </w:t>
      </w:r>
      <w:r w:rsidR="00EC3FC1" w:rsidRPr="00532C20">
        <w:rPr>
          <w:noProof/>
        </w:rPr>
        <w:t xml:space="preserve">partialy </w:t>
      </w:r>
      <w:r w:rsidR="00175026" w:rsidRPr="00532C20">
        <w:rPr>
          <w:noProof/>
        </w:rPr>
        <w:t>offset against the efficiency savings expected from the harmonised obligations and streamlined and strengthened oversight process.</w:t>
      </w:r>
    </w:p>
    <w:p w14:paraId="422D33E7" w14:textId="3F7509B2" w:rsidR="002F39C7" w:rsidRPr="00532C20" w:rsidRDefault="001614D3" w:rsidP="004B0958">
      <w:pPr>
        <w:pStyle w:val="Text2"/>
        <w:spacing w:after="120"/>
        <w:ind w:left="0"/>
        <w:rPr>
          <w:rFonts w:ascii="Times New Roman" w:hAnsi="Times New Roman" w:cs="Times New Roman"/>
          <w:noProof/>
          <w:szCs w:val="24"/>
          <w:lang w:val="en-IE"/>
        </w:rPr>
      </w:pPr>
      <w:r w:rsidRPr="00532C20">
        <w:rPr>
          <w:noProof/>
        </w:rPr>
        <w:t xml:space="preserve">If fully implemented, </w:t>
      </w:r>
      <w:r w:rsidR="002875D9" w:rsidRPr="00532C20">
        <w:rPr>
          <w:noProof/>
          <w:u w:val="single"/>
        </w:rPr>
        <w:t>PO</w:t>
      </w:r>
      <w:r w:rsidRPr="00532C20">
        <w:rPr>
          <w:noProof/>
          <w:u w:val="single"/>
        </w:rPr>
        <w:t>1</w:t>
      </w:r>
      <w:r w:rsidRPr="00532C20">
        <w:rPr>
          <w:noProof/>
        </w:rPr>
        <w:t xml:space="preserve"> would lead to the same costs as the </w:t>
      </w:r>
      <w:r w:rsidR="00672A21" w:rsidRPr="00532C20">
        <w:rPr>
          <w:noProof/>
        </w:rPr>
        <w:t xml:space="preserve">targeted requirements </w:t>
      </w:r>
      <w:r w:rsidR="00E620C4" w:rsidRPr="00532C20">
        <w:rPr>
          <w:noProof/>
        </w:rPr>
        <w:t xml:space="preserve">in </w:t>
      </w:r>
      <w:r w:rsidR="00E620C4" w:rsidRPr="00532C20">
        <w:rPr>
          <w:rFonts w:ascii="Times New Roman" w:hAnsi="Times New Roman" w:cs="Times New Roman"/>
          <w:noProof/>
          <w:szCs w:val="24"/>
          <w:lang w:val="en-IE"/>
        </w:rPr>
        <w:t>Option 2.</w:t>
      </w:r>
      <w:r w:rsidR="00035A84" w:rsidRPr="00532C20">
        <w:rPr>
          <w:rFonts w:ascii="Times New Roman" w:hAnsi="Times New Roman" w:cs="Times New Roman"/>
          <w:noProof/>
          <w:szCs w:val="24"/>
          <w:lang w:val="en-IE"/>
        </w:rPr>
        <w:t>1</w:t>
      </w:r>
      <w:r w:rsidR="00E620C4" w:rsidRPr="00532C20">
        <w:rPr>
          <w:rFonts w:ascii="Times New Roman" w:hAnsi="Times New Roman" w:cs="Times New Roman"/>
          <w:noProof/>
          <w:szCs w:val="24"/>
          <w:lang w:val="en-IE"/>
        </w:rPr>
        <w:t xml:space="preserve">without the benefits stemming from the </w:t>
      </w:r>
      <w:r w:rsidR="00A90BAD" w:rsidRPr="00532C20">
        <w:rPr>
          <w:rFonts w:ascii="Times New Roman" w:hAnsi="Times New Roman" w:cs="Times New Roman"/>
          <w:noProof/>
          <w:szCs w:val="24"/>
          <w:lang w:val="en-IE"/>
        </w:rPr>
        <w:t xml:space="preserve">streamlined </w:t>
      </w:r>
      <w:r w:rsidR="00C322F8" w:rsidRPr="00532C20">
        <w:rPr>
          <w:rFonts w:ascii="Times New Roman" w:hAnsi="Times New Roman" w:cs="Times New Roman"/>
          <w:noProof/>
          <w:szCs w:val="24"/>
          <w:lang w:val="en-IE"/>
        </w:rPr>
        <w:t xml:space="preserve">oversight and cooperation </w:t>
      </w:r>
      <w:r w:rsidR="00862925" w:rsidRPr="00532C20">
        <w:rPr>
          <w:rFonts w:ascii="Times New Roman" w:hAnsi="Times New Roman" w:cs="Times New Roman"/>
          <w:noProof/>
          <w:szCs w:val="24"/>
          <w:lang w:val="en-IE"/>
        </w:rPr>
        <w:t>systems.</w:t>
      </w:r>
    </w:p>
    <w:p w14:paraId="07C983FE" w14:textId="0801C763" w:rsidR="00426C83" w:rsidRPr="00532C20" w:rsidRDefault="002F39C7" w:rsidP="004B0958">
      <w:pPr>
        <w:pStyle w:val="Text2"/>
        <w:spacing w:after="120"/>
        <w:ind w:left="0"/>
        <w:rPr>
          <w:noProof/>
        </w:rPr>
      </w:pPr>
      <w:r w:rsidRPr="00532C20">
        <w:rPr>
          <w:rFonts w:ascii="Times New Roman" w:hAnsi="Times New Roman" w:cs="Times New Roman"/>
          <w:noProof/>
          <w:szCs w:val="24"/>
          <w:lang w:val="en-IE"/>
        </w:rPr>
        <w:t xml:space="preserve">Should the recommendation under </w:t>
      </w:r>
      <w:r w:rsidRPr="00532C20">
        <w:rPr>
          <w:rFonts w:ascii="Times New Roman" w:hAnsi="Times New Roman" w:cs="Times New Roman"/>
          <w:noProof/>
          <w:szCs w:val="24"/>
          <w:u w:val="single"/>
          <w:lang w:val="en-IE"/>
        </w:rPr>
        <w:t>PO1</w:t>
      </w:r>
      <w:r w:rsidRPr="00532C20">
        <w:rPr>
          <w:rFonts w:ascii="Times New Roman" w:hAnsi="Times New Roman" w:cs="Times New Roman"/>
          <w:noProof/>
          <w:szCs w:val="24"/>
          <w:lang w:val="en-IE"/>
        </w:rPr>
        <w:t xml:space="preserve"> not be </w:t>
      </w:r>
      <w:r w:rsidR="003E28B9" w:rsidRPr="00532C20">
        <w:rPr>
          <w:rFonts w:ascii="Times New Roman" w:hAnsi="Times New Roman" w:cs="Times New Roman"/>
          <w:noProof/>
          <w:szCs w:val="24"/>
          <w:lang w:val="en-IE"/>
        </w:rPr>
        <w:t>implemented</w:t>
      </w:r>
      <w:r w:rsidRPr="00532C20">
        <w:rPr>
          <w:rFonts w:ascii="Times New Roman" w:hAnsi="Times New Roman" w:cs="Times New Roman"/>
          <w:noProof/>
          <w:szCs w:val="24"/>
          <w:lang w:val="en-IE"/>
        </w:rPr>
        <w:t xml:space="preserve"> fully, the costs under a scenario of 50% take up by Member States has also been assessed, which would lead to lower costs for Member States authorities</w:t>
      </w:r>
      <w:r w:rsidRPr="00532C20">
        <w:rPr>
          <w:rStyle w:val="FootnoteReference"/>
          <w:rFonts w:ascii="Times New Roman" w:hAnsi="Times New Roman" w:cs="Times New Roman"/>
          <w:noProof/>
          <w:szCs w:val="24"/>
          <w:lang w:val="en-IE"/>
        </w:rPr>
        <w:footnoteReference w:id="176"/>
      </w:r>
      <w:r w:rsidRPr="00532C20">
        <w:rPr>
          <w:rFonts w:ascii="Times New Roman" w:hAnsi="Times New Roman" w:cs="Times New Roman"/>
          <w:noProof/>
          <w:szCs w:val="24"/>
          <w:lang w:val="en-IE"/>
        </w:rPr>
        <w:t>.</w:t>
      </w:r>
    </w:p>
    <w:p w14:paraId="7AEC1386" w14:textId="7067BF49" w:rsidR="00426C83" w:rsidRPr="00532C20" w:rsidRDefault="000B2AF7" w:rsidP="00551B8E">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In addition to the costs and benefit </w:t>
      </w:r>
      <w:r w:rsidR="007B1224" w:rsidRPr="00532C20">
        <w:rPr>
          <w:rFonts w:ascii="Times New Roman" w:hAnsi="Times New Roman" w:cs="Times New Roman"/>
          <w:noProof/>
          <w:sz w:val="24"/>
          <w:szCs w:val="24"/>
          <w:lang w:val="en-IE"/>
        </w:rPr>
        <w:t xml:space="preserve">of the </w:t>
      </w:r>
      <w:r w:rsidR="005A0466" w:rsidRPr="00532C20">
        <w:rPr>
          <w:rFonts w:ascii="Times New Roman" w:hAnsi="Times New Roman" w:cs="Times New Roman"/>
          <w:noProof/>
          <w:sz w:val="24"/>
          <w:szCs w:val="24"/>
          <w:lang w:val="en-IE"/>
        </w:rPr>
        <w:t>PO</w:t>
      </w:r>
      <w:r w:rsidR="00035A84" w:rsidRPr="00532C20">
        <w:rPr>
          <w:rFonts w:ascii="Times New Roman" w:hAnsi="Times New Roman" w:cs="Times New Roman"/>
          <w:noProof/>
          <w:sz w:val="24"/>
          <w:szCs w:val="24"/>
          <w:lang w:val="en-IE"/>
        </w:rPr>
        <w:t>2.1</w:t>
      </w:r>
      <w:r w:rsidR="007B1224" w:rsidRPr="00532C20">
        <w:rPr>
          <w:rFonts w:ascii="Times New Roman" w:hAnsi="Times New Roman" w:cs="Times New Roman"/>
          <w:noProof/>
          <w:sz w:val="24"/>
          <w:szCs w:val="24"/>
          <w:lang w:val="en-IE"/>
        </w:rPr>
        <w:t xml:space="preserve">, </w:t>
      </w:r>
      <w:r w:rsidR="007B1224" w:rsidRPr="00532C20">
        <w:rPr>
          <w:rFonts w:ascii="Times New Roman" w:hAnsi="Times New Roman" w:cs="Times New Roman"/>
          <w:noProof/>
          <w:sz w:val="24"/>
          <w:szCs w:val="24"/>
          <w:u w:val="single"/>
          <w:lang w:val="en-IE"/>
        </w:rPr>
        <w:t>t</w:t>
      </w:r>
      <w:r w:rsidR="00426C83" w:rsidRPr="00532C20">
        <w:rPr>
          <w:rFonts w:ascii="Times New Roman" w:hAnsi="Times New Roman" w:cs="Times New Roman"/>
          <w:noProof/>
          <w:sz w:val="24"/>
          <w:szCs w:val="24"/>
          <w:u w:val="single"/>
          <w:lang w:val="en-IE"/>
        </w:rPr>
        <w:t xml:space="preserve">he extended requirements of </w:t>
      </w:r>
      <w:r w:rsidR="005A0466" w:rsidRPr="00532C20">
        <w:rPr>
          <w:rFonts w:ascii="Times New Roman" w:hAnsi="Times New Roman" w:cs="Times New Roman"/>
          <w:noProof/>
          <w:sz w:val="24"/>
          <w:szCs w:val="24"/>
          <w:u w:val="single"/>
          <w:lang w:val="en-IE"/>
        </w:rPr>
        <w:t>PO</w:t>
      </w:r>
      <w:r w:rsidR="00EB517C" w:rsidRPr="00532C20">
        <w:rPr>
          <w:rFonts w:ascii="Times New Roman" w:hAnsi="Times New Roman" w:cs="Times New Roman"/>
          <w:noProof/>
          <w:sz w:val="24"/>
          <w:szCs w:val="24"/>
          <w:u w:val="single"/>
          <w:lang w:val="en-IE"/>
        </w:rPr>
        <w:t>2.2</w:t>
      </w:r>
      <w:r w:rsidR="00426C83" w:rsidRPr="00532C20">
        <w:rPr>
          <w:rFonts w:ascii="Times New Roman" w:hAnsi="Times New Roman" w:cs="Times New Roman"/>
          <w:noProof/>
          <w:sz w:val="24"/>
          <w:szCs w:val="24"/>
          <w:lang w:val="en-IE"/>
        </w:rPr>
        <w:t xml:space="preserve"> introduce some additional specific obligations over the other options and the baseline which would imply additional costs.</w:t>
      </w:r>
    </w:p>
    <w:p w14:paraId="72100F1D" w14:textId="6EC4DC94" w:rsidR="006C08F5" w:rsidRPr="00532C20" w:rsidRDefault="006C08F5" w:rsidP="004B0958">
      <w:pPr>
        <w:pStyle w:val="111level3title"/>
        <w:spacing w:line="240" w:lineRule="auto"/>
        <w:rPr>
          <w:noProof/>
        </w:rPr>
      </w:pPr>
      <w:bookmarkStart w:id="872" w:name="_Toc134028730"/>
      <w:bookmarkStart w:id="873" w:name="_Toc134620374"/>
      <w:bookmarkStart w:id="874" w:name="_Toc152864697"/>
      <w:r w:rsidRPr="00532C20">
        <w:rPr>
          <w:noProof/>
        </w:rPr>
        <w:t>Social impacts</w:t>
      </w:r>
      <w:bookmarkEnd w:id="872"/>
      <w:bookmarkEnd w:id="873"/>
      <w:bookmarkEnd w:id="874"/>
    </w:p>
    <w:p w14:paraId="580CA653" w14:textId="5722578B" w:rsidR="00C32127" w:rsidRPr="00532C20" w:rsidRDefault="00431453" w:rsidP="00E06951">
      <w:pPr>
        <w:pStyle w:val="1111level4section"/>
        <w:spacing w:before="120" w:after="120" w:line="240" w:lineRule="auto"/>
        <w:ind w:left="2694" w:hanging="894"/>
        <w:rPr>
          <w:noProof/>
        </w:rPr>
      </w:pPr>
      <w:bookmarkStart w:id="875" w:name="_Toc152864698"/>
      <w:r w:rsidRPr="00532C20">
        <w:rPr>
          <w:noProof/>
        </w:rPr>
        <w:t xml:space="preserve">Transparency </w:t>
      </w:r>
      <w:r w:rsidR="00D80044" w:rsidRPr="00532C20">
        <w:rPr>
          <w:noProof/>
        </w:rPr>
        <w:t xml:space="preserve">of interest representation activities carried out on behalf of third </w:t>
      </w:r>
      <w:r w:rsidR="004C11A4" w:rsidRPr="00532C20">
        <w:rPr>
          <w:noProof/>
        </w:rPr>
        <w:t>countries</w:t>
      </w:r>
      <w:bookmarkEnd w:id="875"/>
    </w:p>
    <w:p w14:paraId="538711B0" w14:textId="5B854B6F" w:rsidR="00D85B6A" w:rsidRPr="00532C20" w:rsidRDefault="006B2E9F" w:rsidP="00D85B6A">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u w:val="single"/>
          <w:lang w:val="en-IE"/>
        </w:rPr>
        <w:t>The</w:t>
      </w:r>
      <w:r w:rsidR="00A90D63" w:rsidRPr="00532C20">
        <w:rPr>
          <w:rFonts w:ascii="Times New Roman" w:hAnsi="Times New Roman" w:cs="Times New Roman"/>
          <w:noProof/>
          <w:sz w:val="24"/>
          <w:szCs w:val="24"/>
          <w:u w:val="single"/>
          <w:lang w:val="en-IE"/>
        </w:rPr>
        <w:t xml:space="preserve"> 2</w:t>
      </w:r>
      <w:r w:rsidRPr="00532C20">
        <w:rPr>
          <w:rFonts w:ascii="Times New Roman" w:hAnsi="Times New Roman" w:cs="Times New Roman"/>
          <w:noProof/>
          <w:sz w:val="24"/>
          <w:szCs w:val="24"/>
          <w:u w:val="single"/>
          <w:lang w:val="en-IE"/>
        </w:rPr>
        <w:t xml:space="preserve"> legislative options (PO2.</w:t>
      </w:r>
      <w:r w:rsidR="00EB517C" w:rsidRPr="00532C20">
        <w:rPr>
          <w:rFonts w:ascii="Times New Roman" w:hAnsi="Times New Roman" w:cs="Times New Roman"/>
          <w:noProof/>
          <w:sz w:val="24"/>
          <w:szCs w:val="24"/>
          <w:u w:val="single"/>
          <w:lang w:val="en-IE"/>
        </w:rPr>
        <w:t>1</w:t>
      </w:r>
      <w:r w:rsidRPr="00532C20">
        <w:rPr>
          <w:rFonts w:ascii="Times New Roman" w:hAnsi="Times New Roman" w:cs="Times New Roman"/>
          <w:noProof/>
          <w:sz w:val="24"/>
          <w:szCs w:val="24"/>
          <w:u w:val="single"/>
          <w:lang w:val="en-IE"/>
        </w:rPr>
        <w:t xml:space="preserve"> and PO2.</w:t>
      </w:r>
      <w:r w:rsidR="00EB517C" w:rsidRPr="00532C20">
        <w:rPr>
          <w:rFonts w:ascii="Times New Roman" w:hAnsi="Times New Roman" w:cs="Times New Roman"/>
          <w:noProof/>
          <w:sz w:val="24"/>
          <w:szCs w:val="24"/>
          <w:u w:val="single"/>
          <w:lang w:val="en-IE"/>
        </w:rPr>
        <w:t>1</w:t>
      </w:r>
      <w:r w:rsidRPr="00532C20">
        <w:rPr>
          <w:rFonts w:ascii="Times New Roman" w:hAnsi="Times New Roman" w:cs="Times New Roman"/>
          <w:noProof/>
          <w:sz w:val="24"/>
          <w:szCs w:val="24"/>
          <w:u w:val="single"/>
          <w:lang w:val="en-IE"/>
        </w:rPr>
        <w:t>)</w:t>
      </w:r>
      <w:r w:rsidRPr="00532C20">
        <w:rPr>
          <w:rFonts w:ascii="Times New Roman" w:hAnsi="Times New Roman" w:cs="Times New Roman"/>
          <w:noProof/>
          <w:sz w:val="24"/>
          <w:szCs w:val="24"/>
          <w:lang w:val="en-IE"/>
        </w:rPr>
        <w:t xml:space="preserve">, and assuming that its recommendations are followed, </w:t>
      </w:r>
      <w:r w:rsidRPr="00532C20">
        <w:rPr>
          <w:rFonts w:ascii="Times New Roman" w:hAnsi="Times New Roman" w:cs="Times New Roman"/>
          <w:noProof/>
          <w:sz w:val="24"/>
          <w:szCs w:val="24"/>
          <w:u w:val="single"/>
          <w:lang w:val="en-IE"/>
        </w:rPr>
        <w:t>the non-legislative option (PO1)</w:t>
      </w:r>
      <w:r w:rsidRPr="00532C20">
        <w:rPr>
          <w:rFonts w:ascii="Times New Roman" w:hAnsi="Times New Roman" w:cs="Times New Roman"/>
          <w:noProof/>
          <w:sz w:val="24"/>
          <w:szCs w:val="24"/>
          <w:lang w:val="en-IE"/>
        </w:rPr>
        <w:t xml:space="preserve"> enhance the transparency of interest representation activities carried out on behalf of third countries. </w:t>
      </w:r>
      <w:r w:rsidR="000D1D12" w:rsidRPr="00532C20">
        <w:rPr>
          <w:rFonts w:ascii="Times New Roman" w:hAnsi="Times New Roman" w:cs="Times New Roman"/>
          <w:noProof/>
          <w:sz w:val="24"/>
          <w:szCs w:val="24"/>
          <w:lang w:val="en-IE"/>
        </w:rPr>
        <w:t xml:space="preserve">As voters, citizens are important decision-makers in their own right, and as such, they can be the target for certain interest representation activities. </w:t>
      </w:r>
      <w:r w:rsidRPr="00532C20">
        <w:rPr>
          <w:rFonts w:ascii="Times New Roman" w:hAnsi="Times New Roman" w:cs="Times New Roman"/>
          <w:noProof/>
          <w:sz w:val="24"/>
          <w:szCs w:val="24"/>
          <w:lang w:val="en-IE"/>
        </w:rPr>
        <w:t>By revealing the information on the interest representation activity conducted and the entity on whose behalf the activity is carried out, all</w:t>
      </w:r>
      <w:r w:rsidR="00A90D63" w:rsidRPr="00532C20">
        <w:rPr>
          <w:rFonts w:ascii="Times New Roman" w:hAnsi="Times New Roman" w:cs="Times New Roman"/>
          <w:noProof/>
          <w:sz w:val="24"/>
          <w:szCs w:val="24"/>
          <w:lang w:val="en-IE"/>
        </w:rPr>
        <w:t xml:space="preserve"> 3 </w:t>
      </w:r>
      <w:r w:rsidRPr="00532C20">
        <w:rPr>
          <w:rFonts w:ascii="Times New Roman" w:hAnsi="Times New Roman" w:cs="Times New Roman"/>
          <w:noProof/>
          <w:sz w:val="24"/>
          <w:szCs w:val="24"/>
          <w:lang w:val="en-IE"/>
        </w:rPr>
        <w:t xml:space="preserve">options would enable citizens </w:t>
      </w:r>
      <w:r w:rsidR="00C21BA0" w:rsidRPr="00532C20">
        <w:rPr>
          <w:rFonts w:ascii="Times New Roman" w:hAnsi="Times New Roman" w:cs="Times New Roman"/>
          <w:noProof/>
          <w:sz w:val="24"/>
          <w:szCs w:val="24"/>
          <w:lang w:val="en-IE"/>
        </w:rPr>
        <w:t>and public official</w:t>
      </w:r>
      <w:r w:rsidR="00DF2741" w:rsidRPr="00532C20">
        <w:rPr>
          <w:rFonts w:ascii="Times New Roman" w:hAnsi="Times New Roman" w:cs="Times New Roman"/>
          <w:noProof/>
          <w:sz w:val="24"/>
          <w:szCs w:val="24"/>
          <w:lang w:val="en-IE"/>
        </w:rPr>
        <w:t>s</w:t>
      </w:r>
      <w:r w:rsidR="00C21BA0" w:rsidRPr="00532C20">
        <w:rPr>
          <w:rFonts w:ascii="Times New Roman" w:hAnsi="Times New Roman" w:cs="Times New Roman"/>
          <w:noProof/>
          <w:sz w:val="24"/>
          <w:szCs w:val="24"/>
          <w:lang w:val="en-IE"/>
        </w:rPr>
        <w:t xml:space="preserve"> </w:t>
      </w:r>
      <w:r w:rsidRPr="00532C20">
        <w:rPr>
          <w:rFonts w:ascii="Times New Roman" w:hAnsi="Times New Roman" w:cs="Times New Roman"/>
          <w:noProof/>
          <w:sz w:val="24"/>
          <w:szCs w:val="24"/>
          <w:lang w:val="en-IE"/>
        </w:rPr>
        <w:t>to easily recognise influence campaigns by third countries</w:t>
      </w:r>
      <w:r w:rsidR="006A54AE" w:rsidRPr="00532C20">
        <w:rPr>
          <w:rFonts w:ascii="Times New Roman" w:hAnsi="Times New Roman" w:cs="Times New Roman"/>
          <w:noProof/>
          <w:sz w:val="24"/>
          <w:szCs w:val="24"/>
          <w:lang w:val="en-IE"/>
        </w:rPr>
        <w:t xml:space="preserve"> thereby contributing to the integrity of, and public trust in, EU and Member State decision</w:t>
      </w:r>
      <w:r w:rsidR="007F0FA3">
        <w:rPr>
          <w:rFonts w:ascii="Times New Roman" w:hAnsi="Times New Roman" w:cs="Times New Roman"/>
          <w:noProof/>
          <w:sz w:val="24"/>
          <w:szCs w:val="24"/>
          <w:lang w:val="en-IE"/>
        </w:rPr>
        <w:t>-</w:t>
      </w:r>
      <w:r w:rsidR="006A54AE" w:rsidRPr="00532C20">
        <w:rPr>
          <w:rFonts w:ascii="Times New Roman" w:hAnsi="Times New Roman" w:cs="Times New Roman"/>
          <w:noProof/>
          <w:sz w:val="24"/>
          <w:szCs w:val="24"/>
          <w:lang w:val="en-IE"/>
        </w:rPr>
        <w:t>making processes</w:t>
      </w:r>
      <w:r w:rsidRPr="00532C20">
        <w:rPr>
          <w:rFonts w:ascii="Times New Roman" w:hAnsi="Times New Roman" w:cs="Times New Roman"/>
          <w:noProof/>
          <w:sz w:val="24"/>
          <w:szCs w:val="24"/>
          <w:lang w:val="en-IE"/>
        </w:rPr>
        <w:t xml:space="preserve">. It would support oversight by competent authorities as well as scrutiny from interested actors (including CSOs, political actors, researchers, elections observes or journalist) to monitor interest representation activities carried out on behalf of third countries. The strengthening of the quality of information available </w:t>
      </w:r>
      <w:r w:rsidR="00D151E6" w:rsidRPr="00532C20">
        <w:rPr>
          <w:rFonts w:ascii="Times New Roman" w:hAnsi="Times New Roman" w:cs="Times New Roman"/>
          <w:noProof/>
          <w:sz w:val="24"/>
          <w:szCs w:val="24"/>
          <w:lang w:val="en-IE"/>
        </w:rPr>
        <w:t>would</w:t>
      </w:r>
      <w:r w:rsidRPr="00532C20">
        <w:rPr>
          <w:rFonts w:ascii="Times New Roman" w:hAnsi="Times New Roman" w:cs="Times New Roman"/>
          <w:noProof/>
          <w:sz w:val="24"/>
          <w:szCs w:val="24"/>
          <w:lang w:val="en-IE"/>
        </w:rPr>
        <w:t xml:space="preserve"> help enrich the political debate.</w:t>
      </w:r>
      <w:r w:rsidR="00D85B6A" w:rsidRPr="00532C20">
        <w:rPr>
          <w:rFonts w:ascii="Times New Roman" w:hAnsi="Times New Roman" w:cs="Times New Roman"/>
          <w:noProof/>
          <w:sz w:val="24"/>
          <w:szCs w:val="24"/>
          <w:lang w:val="en-IE"/>
        </w:rPr>
        <w:t xml:space="preserve"> </w:t>
      </w:r>
    </w:p>
    <w:p w14:paraId="7FBE6054" w14:textId="56FCB2FF" w:rsidR="00D85B6A" w:rsidRPr="00532C20" w:rsidRDefault="00D85B6A" w:rsidP="002C652C">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b/>
          <w:noProof/>
          <w:lang w:val="en-IE"/>
        </w:rPr>
      </w:pPr>
      <w:r w:rsidRPr="00532C20">
        <w:rPr>
          <w:rFonts w:ascii="Times New Roman" w:hAnsi="Times New Roman" w:cs="Times New Roman"/>
          <w:b/>
          <w:noProof/>
          <w:lang w:val="en-IE"/>
        </w:rPr>
        <w:t>Stakeholder views:</w:t>
      </w:r>
    </w:p>
    <w:p w14:paraId="2BCAE1B5" w14:textId="0D7D3457" w:rsidR="002C652C" w:rsidRPr="00532C20" w:rsidRDefault="00DE7D82" w:rsidP="002C652C">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noProof/>
          <w:lang w:val="en-IE"/>
        </w:rPr>
      </w:pPr>
      <w:r w:rsidRPr="00532C20">
        <w:rPr>
          <w:rFonts w:ascii="Times New Roman" w:hAnsi="Times New Roman" w:cs="Times New Roman"/>
          <w:noProof/>
          <w:lang w:val="en-IE"/>
        </w:rPr>
        <w:t xml:space="preserve">10 Member States </w:t>
      </w:r>
      <w:r w:rsidR="00AE17E4" w:rsidRPr="00532C20">
        <w:rPr>
          <w:rFonts w:ascii="Times New Roman" w:hAnsi="Times New Roman" w:cs="Times New Roman"/>
          <w:noProof/>
          <w:lang w:val="en-IE"/>
        </w:rPr>
        <w:t xml:space="preserve">(out of 15) </w:t>
      </w:r>
      <w:r w:rsidR="00E12BF0" w:rsidRPr="00532C20">
        <w:rPr>
          <w:rFonts w:ascii="Times New Roman" w:hAnsi="Times New Roman" w:cs="Times New Roman"/>
          <w:noProof/>
          <w:lang w:val="en-IE"/>
        </w:rPr>
        <w:t xml:space="preserve">pointed out that </w:t>
      </w:r>
      <w:r w:rsidR="003D680D" w:rsidRPr="00532C20">
        <w:rPr>
          <w:rFonts w:ascii="Times New Roman" w:hAnsi="Times New Roman" w:cs="Times New Roman"/>
          <w:noProof/>
          <w:lang w:val="en-IE"/>
        </w:rPr>
        <w:t>it</w:t>
      </w:r>
      <w:r w:rsidR="00825FE2" w:rsidRPr="00532C20">
        <w:rPr>
          <w:rFonts w:ascii="Times New Roman" w:hAnsi="Times New Roman" w:cs="Times New Roman"/>
          <w:noProof/>
          <w:lang w:val="en-IE"/>
        </w:rPr>
        <w:t xml:space="preserve"> is </w:t>
      </w:r>
      <w:r w:rsidR="003D680D" w:rsidRPr="00532C20">
        <w:rPr>
          <w:rFonts w:ascii="Times New Roman" w:hAnsi="Times New Roman" w:cs="Times New Roman"/>
          <w:noProof/>
          <w:lang w:val="en-IE"/>
        </w:rPr>
        <w:t>in the</w:t>
      </w:r>
      <w:r w:rsidR="00825FE2" w:rsidRPr="00532C20">
        <w:rPr>
          <w:rFonts w:ascii="Times New Roman" w:hAnsi="Times New Roman" w:cs="Times New Roman"/>
          <w:noProof/>
          <w:lang w:val="en-IE"/>
        </w:rPr>
        <w:t xml:space="preserve"> general interest of the society to know about interest representation activities on behalf of third countries seeking to influence the formulation or implementation of policy or legislation or public decision-making processes in the EU. </w:t>
      </w:r>
      <w:r w:rsidR="00B833C9" w:rsidRPr="00532C20">
        <w:rPr>
          <w:rFonts w:ascii="Times New Roman" w:hAnsi="Times New Roman" w:cs="Times New Roman"/>
          <w:noProof/>
          <w:lang w:val="en-IE"/>
        </w:rPr>
        <w:t>For example</w:t>
      </w:r>
      <w:r w:rsidR="002978B9" w:rsidRPr="00532C20">
        <w:rPr>
          <w:rFonts w:ascii="Times New Roman" w:hAnsi="Times New Roman" w:cs="Times New Roman"/>
          <w:noProof/>
          <w:lang w:val="en-IE"/>
        </w:rPr>
        <w:t>,</w:t>
      </w:r>
      <w:r w:rsidR="00B833C9" w:rsidRPr="00532C20">
        <w:rPr>
          <w:rFonts w:ascii="Times New Roman" w:hAnsi="Times New Roman" w:cs="Times New Roman"/>
          <w:noProof/>
          <w:lang w:val="en-IE"/>
        </w:rPr>
        <w:t xml:space="preserve"> </w:t>
      </w:r>
      <w:r w:rsidR="00253006" w:rsidRPr="00532C20">
        <w:rPr>
          <w:rFonts w:ascii="Times New Roman" w:hAnsi="Times New Roman" w:cs="Times New Roman"/>
          <w:noProof/>
          <w:lang w:val="en-IE"/>
        </w:rPr>
        <w:t>1</w:t>
      </w:r>
      <w:r w:rsidR="00B833C9" w:rsidRPr="00532C20">
        <w:rPr>
          <w:rFonts w:ascii="Times New Roman" w:hAnsi="Times New Roman" w:cs="Times New Roman"/>
          <w:noProof/>
          <w:lang w:val="en-IE"/>
        </w:rPr>
        <w:t xml:space="preserve"> of them </w:t>
      </w:r>
      <w:r w:rsidR="00332CC9" w:rsidRPr="00532C20">
        <w:rPr>
          <w:rFonts w:ascii="Times New Roman" w:hAnsi="Times New Roman" w:cs="Times New Roman"/>
          <w:noProof/>
          <w:lang w:val="en-IE"/>
        </w:rPr>
        <w:t>emphasize</w:t>
      </w:r>
      <w:r w:rsidR="0090731F" w:rsidRPr="00532C20">
        <w:rPr>
          <w:rFonts w:ascii="Times New Roman" w:hAnsi="Times New Roman" w:cs="Times New Roman"/>
          <w:noProof/>
          <w:lang w:val="en-IE"/>
        </w:rPr>
        <w:t>d</w:t>
      </w:r>
      <w:r w:rsidR="00332CC9" w:rsidRPr="00532C20">
        <w:rPr>
          <w:rFonts w:ascii="Times New Roman" w:hAnsi="Times New Roman" w:cs="Times New Roman"/>
          <w:noProof/>
          <w:lang w:val="en-IE"/>
        </w:rPr>
        <w:t xml:space="preserve"> that </w:t>
      </w:r>
      <w:r w:rsidR="00332CC9" w:rsidRPr="00532C20">
        <w:rPr>
          <w:rFonts w:ascii="Times New Roman" w:hAnsi="Times New Roman" w:cs="Times New Roman"/>
          <w:i/>
          <w:iCs/>
          <w:noProof/>
          <w:lang w:val="en-IE"/>
        </w:rPr>
        <w:t>“i</w:t>
      </w:r>
      <w:r w:rsidR="00825FE2" w:rsidRPr="00532C20">
        <w:rPr>
          <w:rFonts w:ascii="Times New Roman" w:hAnsi="Times New Roman" w:cs="Times New Roman"/>
          <w:i/>
          <w:iCs/>
          <w:noProof/>
          <w:lang w:val="en-IE"/>
        </w:rPr>
        <w:t>t</w:t>
      </w:r>
      <w:r w:rsidR="00825FE2" w:rsidRPr="00532C20">
        <w:rPr>
          <w:rFonts w:ascii="Times New Roman" w:hAnsi="Times New Roman" w:cs="Times New Roman"/>
          <w:i/>
          <w:noProof/>
          <w:lang w:val="en-IE"/>
        </w:rPr>
        <w:t xml:space="preserve"> is not sufficient that only decision</w:t>
      </w:r>
      <w:r w:rsidR="00980695">
        <w:rPr>
          <w:rFonts w:ascii="Times New Roman" w:hAnsi="Times New Roman" w:cs="Times New Roman"/>
          <w:i/>
          <w:noProof/>
          <w:lang w:val="en-IE"/>
        </w:rPr>
        <w:t>-</w:t>
      </w:r>
      <w:r w:rsidR="00825FE2" w:rsidRPr="00532C20">
        <w:rPr>
          <w:rFonts w:ascii="Times New Roman" w:hAnsi="Times New Roman" w:cs="Times New Roman"/>
          <w:i/>
          <w:noProof/>
          <w:lang w:val="en-IE"/>
        </w:rPr>
        <w:t>makers have access to such information. Such access should be made available to every person interested to be informed about lobbying activities, while, at the same time respecting any limitations with regard to confidentiality or GDPR</w:t>
      </w:r>
      <w:r w:rsidR="00825FE2" w:rsidRPr="00532C20">
        <w:rPr>
          <w:rFonts w:ascii="Times New Roman" w:hAnsi="Times New Roman" w:cs="Times New Roman"/>
          <w:i/>
          <w:iCs/>
          <w:noProof/>
          <w:lang w:val="en-IE"/>
        </w:rPr>
        <w:t>.</w:t>
      </w:r>
      <w:r w:rsidR="00332CC9" w:rsidRPr="00532C20">
        <w:rPr>
          <w:rFonts w:ascii="Times New Roman" w:hAnsi="Times New Roman" w:cs="Times New Roman"/>
          <w:i/>
          <w:iCs/>
          <w:noProof/>
          <w:lang w:val="en-IE"/>
        </w:rPr>
        <w:t>”</w:t>
      </w:r>
      <w:r w:rsidR="00332CC9" w:rsidRPr="00532C20">
        <w:rPr>
          <w:rFonts w:ascii="Times New Roman" w:hAnsi="Times New Roman" w:cs="Times New Roman"/>
          <w:noProof/>
          <w:lang w:val="en-IE"/>
        </w:rPr>
        <w:t xml:space="preserve"> </w:t>
      </w:r>
    </w:p>
    <w:p w14:paraId="6A97BD98" w14:textId="1DC439C0" w:rsidR="00E16750" w:rsidRPr="00532C20" w:rsidRDefault="003823F0" w:rsidP="009E2ADD">
      <w:pPr>
        <w:spacing w:after="120" w:line="240" w:lineRule="auto"/>
        <w:jc w:val="both"/>
        <w:rPr>
          <w:rFonts w:ascii="Times New Roman" w:hAnsi="Times New Roman" w:cs="Times New Roman"/>
          <w:noProof/>
          <w:sz w:val="28"/>
          <w:szCs w:val="28"/>
          <w:lang w:val="en-IE"/>
        </w:rPr>
      </w:pPr>
      <w:r w:rsidRPr="00532C20">
        <w:rPr>
          <w:rFonts w:ascii="Times New Roman" w:hAnsi="Times New Roman" w:cs="Times New Roman"/>
          <w:noProof/>
          <w:sz w:val="24"/>
          <w:szCs w:val="24"/>
          <w:u w:val="single"/>
          <w:lang w:val="en-IE"/>
        </w:rPr>
        <w:t>The 2 legislative options (PO2.</w:t>
      </w:r>
      <w:r w:rsidR="00EB517C" w:rsidRPr="00532C20">
        <w:rPr>
          <w:rFonts w:ascii="Times New Roman" w:hAnsi="Times New Roman" w:cs="Times New Roman"/>
          <w:noProof/>
          <w:sz w:val="24"/>
          <w:szCs w:val="24"/>
          <w:u w:val="single"/>
          <w:lang w:val="en-IE"/>
        </w:rPr>
        <w:t>1</w:t>
      </w:r>
      <w:r w:rsidRPr="00532C20">
        <w:rPr>
          <w:rFonts w:ascii="Times New Roman" w:hAnsi="Times New Roman" w:cs="Times New Roman"/>
          <w:noProof/>
          <w:sz w:val="24"/>
          <w:szCs w:val="24"/>
          <w:u w:val="single"/>
          <w:lang w:val="en-IE"/>
        </w:rPr>
        <w:t xml:space="preserve"> and PO2.</w:t>
      </w:r>
      <w:r w:rsidR="00EB517C" w:rsidRPr="00532C20">
        <w:rPr>
          <w:rFonts w:ascii="Times New Roman" w:hAnsi="Times New Roman" w:cs="Times New Roman"/>
          <w:noProof/>
          <w:sz w:val="24"/>
          <w:szCs w:val="24"/>
          <w:u w:val="single"/>
          <w:lang w:val="en-IE"/>
        </w:rPr>
        <w:t>2</w:t>
      </w:r>
      <w:r w:rsidRPr="00532C20">
        <w:rPr>
          <w:rFonts w:ascii="Times New Roman" w:hAnsi="Times New Roman" w:cs="Times New Roman"/>
          <w:noProof/>
          <w:sz w:val="24"/>
          <w:szCs w:val="24"/>
          <w:u w:val="single"/>
          <w:lang w:val="en-IE"/>
        </w:rPr>
        <w:t>)</w:t>
      </w:r>
      <w:r w:rsidR="00993048" w:rsidRPr="00532C20">
        <w:rPr>
          <w:rFonts w:ascii="Times New Roman" w:hAnsi="Times New Roman" w:cs="Times New Roman"/>
          <w:noProof/>
          <w:sz w:val="24"/>
          <w:szCs w:val="24"/>
          <w:lang w:val="en-IE"/>
        </w:rPr>
        <w:t xml:space="preserve"> could have limited impacts </w:t>
      </w:r>
      <w:r w:rsidR="00A72674" w:rsidRPr="00532C20">
        <w:rPr>
          <w:rFonts w:ascii="Times New Roman" w:hAnsi="Times New Roman" w:cs="Times New Roman"/>
          <w:noProof/>
          <w:sz w:val="24"/>
          <w:szCs w:val="24"/>
          <w:lang w:val="en-IE"/>
        </w:rPr>
        <w:t xml:space="preserve">on </w:t>
      </w:r>
      <w:r w:rsidR="00896718" w:rsidRPr="00532C20">
        <w:rPr>
          <w:rFonts w:ascii="Times New Roman" w:hAnsi="Times New Roman" w:cs="Times New Roman"/>
          <w:noProof/>
          <w:sz w:val="24"/>
          <w:szCs w:val="24"/>
          <w:lang w:val="en-IE"/>
        </w:rPr>
        <w:t xml:space="preserve">the confidentiality of the registered entity. </w:t>
      </w:r>
      <w:r w:rsidR="006D1B80" w:rsidRPr="00532C20">
        <w:rPr>
          <w:rFonts w:ascii="Times New Roman" w:eastAsia="Arial Unicode MS" w:hAnsi="Times New Roman" w:cs="Times New Roman"/>
          <w:noProof/>
          <w:sz w:val="24"/>
          <w:szCs w:val="24"/>
          <w:lang w:val="en-IE"/>
        </w:rPr>
        <w:t>However</w:t>
      </w:r>
      <w:r w:rsidR="0092395F" w:rsidRPr="00532C20">
        <w:rPr>
          <w:rFonts w:ascii="Times New Roman" w:eastAsia="Arial Unicode MS" w:hAnsi="Times New Roman" w:cs="Times New Roman"/>
          <w:noProof/>
          <w:sz w:val="24"/>
          <w:szCs w:val="24"/>
          <w:lang w:val="en-IE"/>
        </w:rPr>
        <w:t>,</w:t>
      </w:r>
      <w:r w:rsidR="0031554B" w:rsidRPr="00532C20">
        <w:rPr>
          <w:rFonts w:ascii="Times New Roman" w:eastAsia="Arial Unicode MS" w:hAnsi="Times New Roman" w:cs="Times New Roman"/>
          <w:noProof/>
          <w:sz w:val="24"/>
          <w:szCs w:val="24"/>
          <w:lang w:val="en-IE"/>
        </w:rPr>
        <w:t xml:space="preserve"> no derogation to </w:t>
      </w:r>
      <w:r w:rsidR="0031554B" w:rsidRPr="00532C20">
        <w:rPr>
          <w:rFonts w:ascii="Times New Roman" w:eastAsia="Arial Unicode MS" w:hAnsi="Times New Roman" w:cs="Times New Roman"/>
          <w:bCs/>
          <w:noProof/>
          <w:sz w:val="24"/>
          <w:szCs w:val="24"/>
          <w:lang w:val="en-IE"/>
        </w:rPr>
        <w:t>confidentiality requirements</w:t>
      </w:r>
      <w:r w:rsidR="0031554B" w:rsidRPr="00532C20">
        <w:rPr>
          <w:rFonts w:ascii="Times New Roman" w:eastAsia="Arial Unicode MS" w:hAnsi="Times New Roman" w:cs="Times New Roman"/>
          <w:noProof/>
          <w:sz w:val="24"/>
          <w:szCs w:val="24"/>
          <w:lang w:val="en-IE"/>
        </w:rPr>
        <w:t xml:space="preserve"> will be sought. If such requirements apply, entities will be able to refer to them in order to not have their data published in the register or to have only a limited set of data published.</w:t>
      </w:r>
      <w:r w:rsidR="006D1B80" w:rsidRPr="00532C20">
        <w:rPr>
          <w:rFonts w:ascii="Times New Roman" w:eastAsia="Arial Unicode MS" w:hAnsi="Times New Roman" w:cs="Times New Roman"/>
          <w:noProof/>
          <w:sz w:val="24"/>
          <w:szCs w:val="24"/>
          <w:lang w:val="en-IE"/>
        </w:rPr>
        <w:t xml:space="preserve"> Furthermore, financial amounts would be published in ranges, since publicity on the granularity of the specific amounts paid is not strictly needed for the objective of public accountability. </w:t>
      </w:r>
    </w:p>
    <w:p w14:paraId="1031439D" w14:textId="6761804C" w:rsidR="006B2E9F" w:rsidRPr="00532C20" w:rsidRDefault="006B2E9F" w:rsidP="009E2ADD">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The</w:t>
      </w:r>
      <w:r w:rsidR="00A90D63" w:rsidRPr="00532C20">
        <w:rPr>
          <w:rFonts w:ascii="Times New Roman" w:hAnsi="Times New Roman" w:cs="Times New Roman"/>
          <w:noProof/>
          <w:sz w:val="24"/>
          <w:szCs w:val="24"/>
          <w:lang w:val="en-IE"/>
        </w:rPr>
        <w:t xml:space="preserve"> 2</w:t>
      </w:r>
      <w:r w:rsidRPr="00532C20">
        <w:rPr>
          <w:rFonts w:ascii="Times New Roman" w:hAnsi="Times New Roman" w:cs="Times New Roman"/>
          <w:noProof/>
          <w:sz w:val="24"/>
          <w:szCs w:val="24"/>
          <w:lang w:val="en-IE"/>
        </w:rPr>
        <w:t xml:space="preserve"> </w:t>
      </w:r>
      <w:r w:rsidRPr="00532C20">
        <w:rPr>
          <w:rFonts w:ascii="Times New Roman" w:hAnsi="Times New Roman" w:cs="Times New Roman"/>
          <w:noProof/>
          <w:sz w:val="24"/>
          <w:szCs w:val="24"/>
          <w:u w:val="single"/>
          <w:lang w:val="en-IE"/>
        </w:rPr>
        <w:t>legislative options (PO2.</w:t>
      </w:r>
      <w:r w:rsidR="00EB517C" w:rsidRPr="00532C20">
        <w:rPr>
          <w:rFonts w:ascii="Times New Roman" w:hAnsi="Times New Roman" w:cs="Times New Roman"/>
          <w:noProof/>
          <w:sz w:val="24"/>
          <w:szCs w:val="24"/>
          <w:u w:val="single"/>
          <w:lang w:val="en-IE"/>
        </w:rPr>
        <w:t>1</w:t>
      </w:r>
      <w:r w:rsidRPr="00532C20">
        <w:rPr>
          <w:rFonts w:ascii="Times New Roman" w:hAnsi="Times New Roman" w:cs="Times New Roman"/>
          <w:noProof/>
          <w:sz w:val="24"/>
          <w:szCs w:val="24"/>
          <w:u w:val="single"/>
          <w:lang w:val="en-IE"/>
        </w:rPr>
        <w:t xml:space="preserve"> and PO2.</w:t>
      </w:r>
      <w:r w:rsidR="00EB517C" w:rsidRPr="00532C20">
        <w:rPr>
          <w:rFonts w:ascii="Times New Roman" w:hAnsi="Times New Roman" w:cs="Times New Roman"/>
          <w:noProof/>
          <w:sz w:val="24"/>
          <w:szCs w:val="24"/>
          <w:u w:val="single"/>
          <w:lang w:val="en-IE"/>
        </w:rPr>
        <w:t>2</w:t>
      </w:r>
      <w:r w:rsidRPr="00532C20">
        <w:rPr>
          <w:rFonts w:ascii="Times New Roman" w:hAnsi="Times New Roman" w:cs="Times New Roman"/>
          <w:noProof/>
          <w:sz w:val="24"/>
          <w:szCs w:val="24"/>
          <w:u w:val="single"/>
          <w:lang w:val="en-IE"/>
        </w:rPr>
        <w:t>)</w:t>
      </w:r>
      <w:r w:rsidRPr="00532C20">
        <w:rPr>
          <w:rFonts w:ascii="Times New Roman" w:hAnsi="Times New Roman" w:cs="Times New Roman"/>
          <w:noProof/>
          <w:sz w:val="24"/>
          <w:szCs w:val="24"/>
          <w:lang w:val="en-IE"/>
        </w:rPr>
        <w:t xml:space="preserve"> would require entities carrying out interest representation </w:t>
      </w:r>
      <w:r w:rsidR="00ED65F0" w:rsidRPr="00532C20">
        <w:rPr>
          <w:rFonts w:ascii="Times New Roman" w:hAnsi="Times New Roman" w:cs="Times New Roman"/>
          <w:noProof/>
          <w:sz w:val="24"/>
          <w:szCs w:val="24"/>
          <w:lang w:val="en-IE"/>
        </w:rPr>
        <w:t xml:space="preserve">on behalf of third country entities </w:t>
      </w:r>
      <w:r w:rsidRPr="00532C20">
        <w:rPr>
          <w:rFonts w:ascii="Times New Roman" w:hAnsi="Times New Roman" w:cs="Times New Roman"/>
          <w:noProof/>
          <w:sz w:val="24"/>
          <w:szCs w:val="24"/>
          <w:lang w:val="en-IE"/>
        </w:rPr>
        <w:t xml:space="preserve">to provide their registration number when in direct contact with public officials. </w:t>
      </w:r>
    </w:p>
    <w:p w14:paraId="51FD212B" w14:textId="7BC34C25" w:rsidR="00323D7B" w:rsidRPr="00532C20" w:rsidRDefault="00323D7B" w:rsidP="00281E75">
      <w:pPr>
        <w:keepNext/>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b/>
          <w:noProof/>
          <w:lang w:val="en-IE"/>
        </w:rPr>
      </w:pPr>
      <w:r w:rsidRPr="00532C20">
        <w:rPr>
          <w:rFonts w:ascii="Times New Roman" w:hAnsi="Times New Roman" w:cs="Times New Roman"/>
          <w:b/>
          <w:noProof/>
          <w:lang w:val="en-IE"/>
        </w:rPr>
        <w:t>Stakeholder views:</w:t>
      </w:r>
    </w:p>
    <w:p w14:paraId="2EB565F7" w14:textId="174D9FF6" w:rsidR="003B01BF" w:rsidRPr="00532C20" w:rsidDel="00063557" w:rsidRDefault="003B01BF" w:rsidP="00323D7B">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noProof/>
          <w:lang w:val="en-IE"/>
        </w:rPr>
      </w:pPr>
      <w:r w:rsidRPr="00532C20">
        <w:rPr>
          <w:rFonts w:ascii="Times New Roman" w:hAnsi="Times New Roman" w:cs="Times New Roman"/>
          <w:noProof/>
          <w:lang w:val="en-IE"/>
        </w:rPr>
        <w:t xml:space="preserve">5 </w:t>
      </w:r>
      <w:r w:rsidR="00AE17E4" w:rsidRPr="00532C20">
        <w:rPr>
          <w:rFonts w:ascii="Times New Roman" w:hAnsi="Times New Roman" w:cs="Times New Roman"/>
          <w:noProof/>
          <w:lang w:val="en-IE"/>
        </w:rPr>
        <w:t xml:space="preserve">out of 11 </w:t>
      </w:r>
      <w:r w:rsidRPr="00532C20">
        <w:rPr>
          <w:rFonts w:ascii="Times New Roman" w:hAnsi="Times New Roman" w:cs="Times New Roman"/>
          <w:noProof/>
          <w:lang w:val="en-IE"/>
        </w:rPr>
        <w:t>CSOs consider</w:t>
      </w:r>
      <w:r w:rsidR="00D350BF" w:rsidRPr="00532C20">
        <w:rPr>
          <w:rFonts w:ascii="Times New Roman" w:hAnsi="Times New Roman" w:cs="Times New Roman"/>
          <w:noProof/>
          <w:lang w:val="en-IE"/>
        </w:rPr>
        <w:t>ed</w:t>
      </w:r>
      <w:r w:rsidRPr="00532C20">
        <w:rPr>
          <w:rFonts w:ascii="Times New Roman" w:hAnsi="Times New Roman" w:cs="Times New Roman"/>
          <w:noProof/>
          <w:lang w:val="en-IE"/>
        </w:rPr>
        <w:t xml:space="preserve"> that a requirement for all registered entities to provide their registration number </w:t>
      </w:r>
      <w:r w:rsidR="00EE72EF" w:rsidRPr="00532C20">
        <w:rPr>
          <w:rFonts w:ascii="Times New Roman" w:hAnsi="Times New Roman" w:cs="Times New Roman"/>
          <w:noProof/>
          <w:lang w:val="en-IE"/>
        </w:rPr>
        <w:t>when in direct contact with public</w:t>
      </w:r>
      <w:r w:rsidRPr="00532C20">
        <w:rPr>
          <w:rFonts w:ascii="Times New Roman" w:hAnsi="Times New Roman" w:cs="Times New Roman"/>
          <w:noProof/>
          <w:lang w:val="en-IE"/>
        </w:rPr>
        <w:t xml:space="preserve"> officials would </w:t>
      </w:r>
      <w:r w:rsidR="00703A00" w:rsidRPr="00532C20">
        <w:rPr>
          <w:rFonts w:ascii="Times New Roman" w:hAnsi="Times New Roman" w:cs="Times New Roman"/>
          <w:noProof/>
          <w:lang w:val="en-IE"/>
        </w:rPr>
        <w:t xml:space="preserve">unduly </w:t>
      </w:r>
      <w:r w:rsidRPr="00532C20">
        <w:rPr>
          <w:rFonts w:ascii="Times New Roman" w:hAnsi="Times New Roman" w:cs="Times New Roman"/>
          <w:noProof/>
          <w:lang w:val="en-IE"/>
        </w:rPr>
        <w:t>restrict</w:t>
      </w:r>
      <w:r w:rsidR="009B51EC" w:rsidRPr="00532C20">
        <w:rPr>
          <w:rFonts w:ascii="Times New Roman" w:hAnsi="Times New Roman" w:cs="Times New Roman"/>
          <w:noProof/>
          <w:lang w:val="en-IE"/>
        </w:rPr>
        <w:t xml:space="preserve"> CSOs</w:t>
      </w:r>
      <w:r w:rsidRPr="00532C20">
        <w:rPr>
          <w:rFonts w:ascii="Times New Roman" w:hAnsi="Times New Roman" w:cs="Times New Roman"/>
          <w:noProof/>
          <w:lang w:val="en-IE"/>
        </w:rPr>
        <w:t xml:space="preserve"> access to policy</w:t>
      </w:r>
      <w:r w:rsidR="000507B4">
        <w:rPr>
          <w:rFonts w:ascii="Times New Roman" w:hAnsi="Times New Roman" w:cs="Times New Roman"/>
          <w:noProof/>
          <w:lang w:val="en-IE"/>
        </w:rPr>
        <w:t>-</w:t>
      </w:r>
      <w:r w:rsidRPr="00532C20">
        <w:rPr>
          <w:rFonts w:ascii="Times New Roman" w:hAnsi="Times New Roman" w:cs="Times New Roman"/>
          <w:noProof/>
          <w:lang w:val="en-IE"/>
        </w:rPr>
        <w:t>making.</w:t>
      </w:r>
      <w:r w:rsidR="00F06FDA" w:rsidRPr="00532C20">
        <w:rPr>
          <w:rFonts w:ascii="Times New Roman" w:hAnsi="Times New Roman" w:cs="Times New Roman"/>
          <w:noProof/>
          <w:lang w:val="en-IE"/>
        </w:rPr>
        <w:t xml:space="preserve"> </w:t>
      </w:r>
      <w:r w:rsidR="008E52D8" w:rsidRPr="00532C20">
        <w:rPr>
          <w:rFonts w:ascii="Times New Roman" w:hAnsi="Times New Roman" w:cs="Times New Roman"/>
          <w:noProof/>
          <w:lang w:val="en-IE"/>
        </w:rPr>
        <w:t xml:space="preserve">5 </w:t>
      </w:r>
      <w:r w:rsidR="00AE17E4" w:rsidRPr="00532C20">
        <w:rPr>
          <w:rFonts w:ascii="Times New Roman" w:hAnsi="Times New Roman" w:cs="Times New Roman"/>
          <w:noProof/>
          <w:lang w:val="en-IE"/>
        </w:rPr>
        <w:t xml:space="preserve">out of 15 </w:t>
      </w:r>
      <w:r w:rsidR="008E52D8" w:rsidRPr="00532C20">
        <w:rPr>
          <w:rFonts w:ascii="Times New Roman" w:hAnsi="Times New Roman" w:cs="Times New Roman"/>
          <w:noProof/>
          <w:lang w:val="en-IE"/>
        </w:rPr>
        <w:t xml:space="preserve">Member States </w:t>
      </w:r>
      <w:r w:rsidR="009B51EC" w:rsidRPr="00532C20">
        <w:rPr>
          <w:rFonts w:ascii="Times New Roman" w:hAnsi="Times New Roman" w:cs="Times New Roman"/>
          <w:noProof/>
          <w:lang w:val="en-IE"/>
        </w:rPr>
        <w:t>expressed similar concerns</w:t>
      </w:r>
      <w:r w:rsidR="00FA61FE" w:rsidRPr="00532C20">
        <w:rPr>
          <w:rFonts w:ascii="Times New Roman" w:hAnsi="Times New Roman" w:cs="Times New Roman"/>
          <w:noProof/>
          <w:lang w:val="en-IE"/>
        </w:rPr>
        <w:t xml:space="preserve">. </w:t>
      </w:r>
      <w:r w:rsidR="0026051D" w:rsidRPr="00532C20">
        <w:rPr>
          <w:rFonts w:ascii="Times New Roman" w:hAnsi="Times New Roman" w:cs="Times New Roman"/>
          <w:noProof/>
          <w:lang w:val="en-IE"/>
        </w:rPr>
        <w:t>6</w:t>
      </w:r>
      <w:r w:rsidR="008B6233" w:rsidRPr="00532C20">
        <w:rPr>
          <w:rFonts w:ascii="Times New Roman" w:hAnsi="Times New Roman" w:cs="Times New Roman"/>
          <w:noProof/>
          <w:lang w:val="en-IE"/>
        </w:rPr>
        <w:t xml:space="preserve"> Member States actively support</w:t>
      </w:r>
      <w:r w:rsidR="00FA61FE" w:rsidRPr="00532C20">
        <w:rPr>
          <w:rFonts w:ascii="Times New Roman" w:hAnsi="Times New Roman" w:cs="Times New Roman"/>
          <w:noProof/>
          <w:lang w:val="en-IE"/>
        </w:rPr>
        <w:t xml:space="preserve"> such requirements. According </w:t>
      </w:r>
      <w:r w:rsidR="003B06B6" w:rsidRPr="00532C20">
        <w:rPr>
          <w:rFonts w:ascii="Times New Roman" w:hAnsi="Times New Roman" w:cs="Times New Roman"/>
          <w:noProof/>
          <w:lang w:val="en-IE"/>
        </w:rPr>
        <w:t>to 1 of them</w:t>
      </w:r>
      <w:r w:rsidR="004A306C" w:rsidRPr="00532C20">
        <w:rPr>
          <w:rFonts w:ascii="Times New Roman" w:hAnsi="Times New Roman" w:cs="Times New Roman"/>
          <w:noProof/>
          <w:lang w:val="en-IE"/>
        </w:rPr>
        <w:t xml:space="preserve"> </w:t>
      </w:r>
      <w:r w:rsidR="004A306C" w:rsidRPr="00532C20">
        <w:rPr>
          <w:rFonts w:ascii="Times New Roman" w:hAnsi="Times New Roman" w:cs="Times New Roman"/>
          <w:i/>
          <w:iCs/>
          <w:noProof/>
          <w:lang w:val="en-IE"/>
        </w:rPr>
        <w:t>“this would help ensure transparency and accountability in lobbying activities</w:t>
      </w:r>
      <w:r w:rsidR="0026051D" w:rsidRPr="00532C20">
        <w:rPr>
          <w:rFonts w:ascii="Times New Roman" w:hAnsi="Times New Roman" w:cs="Times New Roman"/>
          <w:i/>
          <w:iCs/>
          <w:noProof/>
          <w:lang w:val="en-IE"/>
        </w:rPr>
        <w:t>.”</w:t>
      </w:r>
      <w:r w:rsidR="0026051D" w:rsidRPr="00532C20">
        <w:rPr>
          <w:rFonts w:ascii="Times New Roman" w:hAnsi="Times New Roman" w:cs="Times New Roman"/>
          <w:noProof/>
          <w:lang w:val="en-IE"/>
        </w:rPr>
        <w:t xml:space="preserve"> </w:t>
      </w:r>
    </w:p>
    <w:p w14:paraId="53E07550" w14:textId="17FE563E" w:rsidR="00631650" w:rsidRPr="00532C20" w:rsidRDefault="006E7053" w:rsidP="00C70A8D">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Neither of the</w:t>
      </w:r>
      <w:r w:rsidR="003B06B6" w:rsidRPr="00532C20">
        <w:rPr>
          <w:rFonts w:ascii="Times New Roman" w:hAnsi="Times New Roman" w:cs="Times New Roman"/>
          <w:noProof/>
          <w:sz w:val="24"/>
          <w:szCs w:val="24"/>
          <w:lang w:val="en-IE"/>
        </w:rPr>
        <w:t>se</w:t>
      </w:r>
      <w:r w:rsidRPr="00532C20">
        <w:rPr>
          <w:rFonts w:ascii="Times New Roman" w:hAnsi="Times New Roman" w:cs="Times New Roman"/>
          <w:noProof/>
          <w:sz w:val="24"/>
          <w:szCs w:val="24"/>
          <w:lang w:val="en-IE"/>
        </w:rPr>
        <w:t xml:space="preserve"> two policy options would </w:t>
      </w:r>
      <w:r w:rsidR="0050176B" w:rsidRPr="00532C20">
        <w:rPr>
          <w:rFonts w:ascii="Times New Roman" w:hAnsi="Times New Roman" w:cs="Times New Roman"/>
          <w:noProof/>
          <w:sz w:val="24"/>
          <w:szCs w:val="24"/>
          <w:lang w:val="en-IE"/>
        </w:rPr>
        <w:t xml:space="preserve">regulate the </w:t>
      </w:r>
      <w:r w:rsidR="000C784D" w:rsidRPr="00532C20">
        <w:rPr>
          <w:rFonts w:ascii="Times New Roman" w:hAnsi="Times New Roman" w:cs="Times New Roman"/>
          <w:noProof/>
          <w:sz w:val="24"/>
          <w:szCs w:val="24"/>
          <w:lang w:val="en-IE"/>
        </w:rPr>
        <w:t xml:space="preserve">transparency </w:t>
      </w:r>
      <w:r w:rsidR="00EE446D" w:rsidRPr="00532C20">
        <w:rPr>
          <w:rFonts w:ascii="Times New Roman" w:hAnsi="Times New Roman" w:cs="Times New Roman"/>
          <w:noProof/>
          <w:sz w:val="24"/>
          <w:szCs w:val="24"/>
          <w:lang w:val="en-IE"/>
        </w:rPr>
        <w:t xml:space="preserve">or ethical requirements that Member </w:t>
      </w:r>
      <w:r w:rsidR="00A801F7" w:rsidRPr="00532C20">
        <w:rPr>
          <w:rFonts w:ascii="Times New Roman" w:hAnsi="Times New Roman" w:cs="Times New Roman"/>
          <w:noProof/>
          <w:sz w:val="24"/>
          <w:szCs w:val="24"/>
          <w:lang w:val="en-IE"/>
        </w:rPr>
        <w:t>S</w:t>
      </w:r>
      <w:r w:rsidR="00EE446D" w:rsidRPr="00532C20">
        <w:rPr>
          <w:rFonts w:ascii="Times New Roman" w:hAnsi="Times New Roman" w:cs="Times New Roman"/>
          <w:noProof/>
          <w:sz w:val="24"/>
          <w:szCs w:val="24"/>
          <w:lang w:val="en-IE"/>
        </w:rPr>
        <w:t>tates may</w:t>
      </w:r>
      <w:r w:rsidR="0050176B" w:rsidRPr="00532C20">
        <w:rPr>
          <w:rFonts w:ascii="Times New Roman" w:hAnsi="Times New Roman" w:cs="Times New Roman"/>
          <w:noProof/>
          <w:sz w:val="24"/>
          <w:szCs w:val="24"/>
          <w:lang w:val="en-IE"/>
        </w:rPr>
        <w:t xml:space="preserve"> imposed on public officials</w:t>
      </w:r>
      <w:r w:rsidR="00EE446D" w:rsidRPr="00532C20">
        <w:rPr>
          <w:rFonts w:ascii="Times New Roman" w:hAnsi="Times New Roman" w:cs="Times New Roman"/>
          <w:noProof/>
          <w:sz w:val="24"/>
          <w:szCs w:val="24"/>
          <w:lang w:val="en-IE"/>
        </w:rPr>
        <w:t>.</w:t>
      </w:r>
      <w:r w:rsidR="00D142E8" w:rsidRPr="00532C20">
        <w:rPr>
          <w:rFonts w:ascii="Times New Roman" w:hAnsi="Times New Roman" w:cs="Times New Roman"/>
          <w:noProof/>
          <w:sz w:val="24"/>
          <w:szCs w:val="24"/>
          <w:lang w:val="en-IE"/>
        </w:rPr>
        <w:t xml:space="preserve"> Except when carrying out</w:t>
      </w:r>
      <w:r w:rsidR="00631650" w:rsidRPr="00532C20">
        <w:rPr>
          <w:rFonts w:ascii="Times New Roman" w:hAnsi="Times New Roman" w:cs="Times New Roman"/>
          <w:noProof/>
          <w:sz w:val="24"/>
          <w:szCs w:val="24"/>
          <w:lang w:val="en-IE"/>
        </w:rPr>
        <w:t xml:space="preserve"> </w:t>
      </w:r>
      <w:r w:rsidR="00FE24E3" w:rsidRPr="00532C20">
        <w:rPr>
          <w:rFonts w:ascii="Times New Roman" w:hAnsi="Times New Roman" w:cs="Times New Roman"/>
          <w:noProof/>
          <w:sz w:val="24"/>
          <w:szCs w:val="24"/>
          <w:lang w:val="en-IE"/>
        </w:rPr>
        <w:t>interest</w:t>
      </w:r>
      <w:r w:rsidR="00631650" w:rsidRPr="00532C20">
        <w:rPr>
          <w:rFonts w:ascii="Times New Roman" w:hAnsi="Times New Roman" w:cs="Times New Roman"/>
          <w:noProof/>
          <w:sz w:val="24"/>
          <w:szCs w:val="24"/>
          <w:lang w:val="en-IE"/>
        </w:rPr>
        <w:t xml:space="preserve"> representation activities on behalf of </w:t>
      </w:r>
      <w:r w:rsidR="00FE24E3" w:rsidRPr="00532C20">
        <w:rPr>
          <w:rFonts w:ascii="Times New Roman" w:hAnsi="Times New Roman" w:cs="Times New Roman"/>
          <w:noProof/>
          <w:sz w:val="24"/>
          <w:szCs w:val="24"/>
          <w:lang w:val="en-IE"/>
        </w:rPr>
        <w:t xml:space="preserve">third </w:t>
      </w:r>
      <w:r w:rsidR="00EE1CD4" w:rsidRPr="00532C20">
        <w:rPr>
          <w:rFonts w:ascii="Times New Roman" w:hAnsi="Times New Roman" w:cs="Times New Roman"/>
          <w:noProof/>
          <w:sz w:val="24"/>
          <w:szCs w:val="24"/>
          <w:lang w:val="en-IE"/>
        </w:rPr>
        <w:t>countr</w:t>
      </w:r>
      <w:r w:rsidR="00D142E8" w:rsidRPr="00532C20">
        <w:rPr>
          <w:rFonts w:ascii="Times New Roman" w:hAnsi="Times New Roman" w:cs="Times New Roman"/>
          <w:noProof/>
          <w:sz w:val="24"/>
          <w:szCs w:val="24"/>
          <w:lang w:val="en-IE"/>
        </w:rPr>
        <w:t xml:space="preserve">y entities, </w:t>
      </w:r>
      <w:r w:rsidR="00F1246D" w:rsidRPr="00532C20">
        <w:rPr>
          <w:rFonts w:ascii="Times New Roman" w:hAnsi="Times New Roman" w:cs="Times New Roman"/>
          <w:noProof/>
          <w:sz w:val="24"/>
          <w:szCs w:val="24"/>
          <w:lang w:val="en-IE"/>
        </w:rPr>
        <w:t xml:space="preserve">concerned </w:t>
      </w:r>
      <w:r w:rsidR="00F3103D" w:rsidRPr="00532C20">
        <w:rPr>
          <w:rFonts w:ascii="Times New Roman" w:hAnsi="Times New Roman" w:cs="Times New Roman"/>
          <w:noProof/>
          <w:sz w:val="24"/>
          <w:szCs w:val="24"/>
          <w:lang w:val="en-IE"/>
        </w:rPr>
        <w:t>entities</w:t>
      </w:r>
      <w:r w:rsidR="00D142E8" w:rsidRPr="00532C20">
        <w:rPr>
          <w:rFonts w:ascii="Times New Roman" w:hAnsi="Times New Roman" w:cs="Times New Roman"/>
          <w:noProof/>
          <w:sz w:val="24"/>
          <w:szCs w:val="24"/>
          <w:lang w:val="en-IE"/>
        </w:rPr>
        <w:t xml:space="preserve"> would be fre</w:t>
      </w:r>
      <w:r w:rsidR="00AC22F4" w:rsidRPr="00532C20">
        <w:rPr>
          <w:rFonts w:ascii="Times New Roman" w:hAnsi="Times New Roman" w:cs="Times New Roman"/>
          <w:noProof/>
          <w:sz w:val="24"/>
          <w:szCs w:val="24"/>
          <w:lang w:val="en-IE"/>
        </w:rPr>
        <w:t xml:space="preserve">e to interact with </w:t>
      </w:r>
      <w:r w:rsidR="00F1246D" w:rsidRPr="00532C20">
        <w:rPr>
          <w:rFonts w:ascii="Times New Roman" w:hAnsi="Times New Roman" w:cs="Times New Roman"/>
          <w:noProof/>
          <w:sz w:val="24"/>
          <w:szCs w:val="24"/>
          <w:lang w:val="en-IE"/>
        </w:rPr>
        <w:t>public official</w:t>
      </w:r>
      <w:r w:rsidR="00ED65F0" w:rsidRPr="00532C20">
        <w:rPr>
          <w:rFonts w:ascii="Times New Roman" w:hAnsi="Times New Roman" w:cs="Times New Roman"/>
          <w:noProof/>
          <w:sz w:val="24"/>
          <w:szCs w:val="24"/>
          <w:lang w:val="en-IE"/>
        </w:rPr>
        <w:t xml:space="preserve"> without additional requirements under EU law. The </w:t>
      </w:r>
      <w:r w:rsidR="00106E18" w:rsidRPr="00532C20">
        <w:rPr>
          <w:rFonts w:ascii="Times New Roman" w:hAnsi="Times New Roman" w:cs="Times New Roman"/>
          <w:noProof/>
          <w:sz w:val="24"/>
          <w:szCs w:val="24"/>
          <w:lang w:val="en-IE"/>
        </w:rPr>
        <w:t>requirement would be limited to provid</w:t>
      </w:r>
      <w:r w:rsidR="00BA2058" w:rsidRPr="00532C20">
        <w:rPr>
          <w:rFonts w:ascii="Times New Roman" w:hAnsi="Times New Roman" w:cs="Times New Roman"/>
          <w:noProof/>
          <w:sz w:val="24"/>
          <w:szCs w:val="24"/>
          <w:lang w:val="en-IE"/>
        </w:rPr>
        <w:t>ing the</w:t>
      </w:r>
      <w:r w:rsidR="00106E18" w:rsidRPr="00532C20">
        <w:rPr>
          <w:rFonts w:ascii="Times New Roman" w:hAnsi="Times New Roman" w:cs="Times New Roman"/>
          <w:noProof/>
          <w:sz w:val="24"/>
          <w:szCs w:val="24"/>
          <w:lang w:val="en-IE"/>
        </w:rPr>
        <w:t xml:space="preserve"> registration number</w:t>
      </w:r>
      <w:r w:rsidR="00BA2058" w:rsidRPr="00532C20">
        <w:rPr>
          <w:rFonts w:ascii="Times New Roman" w:hAnsi="Times New Roman" w:cs="Times New Roman"/>
          <w:noProof/>
          <w:sz w:val="24"/>
          <w:szCs w:val="24"/>
          <w:lang w:val="en-IE"/>
        </w:rPr>
        <w:t xml:space="preserve"> and</w:t>
      </w:r>
      <w:r w:rsidR="00106E18" w:rsidRPr="00532C20">
        <w:rPr>
          <w:rFonts w:ascii="Times New Roman" w:hAnsi="Times New Roman" w:cs="Times New Roman"/>
          <w:noProof/>
          <w:sz w:val="24"/>
          <w:szCs w:val="24"/>
          <w:lang w:val="en-IE"/>
        </w:rPr>
        <w:t xml:space="preserve"> </w:t>
      </w:r>
      <w:r w:rsidR="002309AC" w:rsidRPr="00532C20">
        <w:rPr>
          <w:rFonts w:ascii="Times New Roman" w:hAnsi="Times New Roman" w:cs="Times New Roman"/>
          <w:noProof/>
          <w:sz w:val="24"/>
          <w:szCs w:val="24"/>
          <w:lang w:val="en-IE"/>
        </w:rPr>
        <w:t xml:space="preserve">would </w:t>
      </w:r>
      <w:r w:rsidR="00631650" w:rsidRPr="00532C20">
        <w:rPr>
          <w:rFonts w:ascii="Times New Roman" w:hAnsi="Times New Roman" w:cs="Times New Roman"/>
          <w:noProof/>
          <w:sz w:val="24"/>
          <w:szCs w:val="24"/>
          <w:lang w:val="en-IE"/>
        </w:rPr>
        <w:t>ensure that decision</w:t>
      </w:r>
      <w:r w:rsidR="00980695">
        <w:rPr>
          <w:rFonts w:ascii="Times New Roman" w:hAnsi="Times New Roman" w:cs="Times New Roman"/>
          <w:noProof/>
          <w:sz w:val="24"/>
          <w:szCs w:val="24"/>
          <w:lang w:val="en-IE"/>
        </w:rPr>
        <w:t>-</w:t>
      </w:r>
      <w:r w:rsidR="00631650" w:rsidRPr="00532C20">
        <w:rPr>
          <w:rFonts w:ascii="Times New Roman" w:hAnsi="Times New Roman" w:cs="Times New Roman"/>
          <w:noProof/>
          <w:sz w:val="24"/>
          <w:szCs w:val="24"/>
          <w:lang w:val="en-IE"/>
        </w:rPr>
        <w:t>makers can easily access the information on the interest represented, and thus critically analyse the content to which they are exposed and make informed choices</w:t>
      </w:r>
      <w:r w:rsidR="00C70A8D" w:rsidRPr="00532C20">
        <w:rPr>
          <w:rFonts w:ascii="Times New Roman" w:hAnsi="Times New Roman" w:cs="Times New Roman"/>
          <w:noProof/>
          <w:sz w:val="24"/>
          <w:szCs w:val="24"/>
          <w:lang w:val="en-IE"/>
        </w:rPr>
        <w:t>. It would not unduly</w:t>
      </w:r>
      <w:r w:rsidR="00612B43" w:rsidRPr="00532C20">
        <w:rPr>
          <w:rFonts w:ascii="Times New Roman" w:hAnsi="Times New Roman" w:cs="Times New Roman"/>
          <w:noProof/>
          <w:sz w:val="24"/>
          <w:szCs w:val="24"/>
          <w:lang w:val="en-IE"/>
        </w:rPr>
        <w:t xml:space="preserve"> restrict access to public officials.</w:t>
      </w:r>
    </w:p>
    <w:p w14:paraId="0A35EFD0" w14:textId="189A6141" w:rsidR="00E16CF8" w:rsidRPr="00532C20" w:rsidRDefault="006B2E9F" w:rsidP="009E2ADD">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By providing for similar transparency requirements in each Member States, and thus limit</w:t>
      </w:r>
      <w:r w:rsidR="004C67DB" w:rsidRPr="00532C20">
        <w:rPr>
          <w:rFonts w:ascii="Times New Roman" w:hAnsi="Times New Roman" w:cs="Times New Roman"/>
          <w:noProof/>
          <w:sz w:val="24"/>
          <w:szCs w:val="24"/>
          <w:lang w:val="en-IE"/>
        </w:rPr>
        <w:t>ing</w:t>
      </w:r>
      <w:r w:rsidRPr="00532C20">
        <w:rPr>
          <w:rFonts w:ascii="Times New Roman" w:hAnsi="Times New Roman" w:cs="Times New Roman"/>
          <w:noProof/>
          <w:sz w:val="24"/>
          <w:szCs w:val="24"/>
          <w:lang w:val="en-IE"/>
        </w:rPr>
        <w:t xml:space="preserve"> forum shopping, </w:t>
      </w:r>
      <w:r w:rsidRPr="00532C20">
        <w:rPr>
          <w:rFonts w:ascii="Times New Roman" w:hAnsi="Times New Roman" w:cs="Times New Roman"/>
          <w:noProof/>
          <w:sz w:val="24"/>
          <w:szCs w:val="24"/>
          <w:u w:val="single"/>
          <w:lang w:val="en-IE"/>
        </w:rPr>
        <w:t>the</w:t>
      </w:r>
      <w:r w:rsidR="00A90D63" w:rsidRPr="00532C20">
        <w:rPr>
          <w:rFonts w:ascii="Times New Roman" w:hAnsi="Times New Roman" w:cs="Times New Roman"/>
          <w:noProof/>
          <w:sz w:val="24"/>
          <w:szCs w:val="24"/>
          <w:u w:val="single"/>
          <w:lang w:val="en-IE"/>
        </w:rPr>
        <w:t xml:space="preserve"> 3 </w:t>
      </w:r>
      <w:r w:rsidRPr="00532C20">
        <w:rPr>
          <w:rFonts w:ascii="Times New Roman" w:hAnsi="Times New Roman" w:cs="Times New Roman"/>
          <w:noProof/>
          <w:sz w:val="24"/>
          <w:szCs w:val="24"/>
          <w:u w:val="single"/>
          <w:lang w:val="en-IE"/>
        </w:rPr>
        <w:t>options</w:t>
      </w:r>
      <w:r w:rsidRPr="00532C20">
        <w:rPr>
          <w:rFonts w:ascii="Times New Roman" w:hAnsi="Times New Roman" w:cs="Times New Roman"/>
          <w:noProof/>
          <w:sz w:val="24"/>
          <w:szCs w:val="24"/>
          <w:lang w:val="en-IE"/>
        </w:rPr>
        <w:t xml:space="preserve"> would </w:t>
      </w:r>
      <w:r w:rsidR="00F57AE9" w:rsidRPr="00532C20">
        <w:rPr>
          <w:rFonts w:ascii="Times New Roman" w:hAnsi="Times New Roman" w:cs="Times New Roman"/>
          <w:noProof/>
          <w:sz w:val="24"/>
          <w:szCs w:val="24"/>
          <w:lang w:val="en-IE"/>
        </w:rPr>
        <w:t>ensure that</w:t>
      </w:r>
      <w:r w:rsidRPr="00532C20">
        <w:rPr>
          <w:rFonts w:ascii="Times New Roman" w:hAnsi="Times New Roman" w:cs="Times New Roman"/>
          <w:noProof/>
          <w:sz w:val="24"/>
          <w:szCs w:val="24"/>
          <w:lang w:val="en-IE"/>
        </w:rPr>
        <w:t xml:space="preserve"> </w:t>
      </w:r>
      <w:r w:rsidR="001D61B3" w:rsidRPr="00532C20">
        <w:rPr>
          <w:rFonts w:ascii="Times New Roman" w:hAnsi="Times New Roman" w:cs="Times New Roman"/>
          <w:noProof/>
          <w:sz w:val="24"/>
          <w:szCs w:val="24"/>
          <w:lang w:val="en-IE"/>
        </w:rPr>
        <w:t xml:space="preserve">entities </w:t>
      </w:r>
      <w:r w:rsidR="001B214D" w:rsidRPr="00532C20">
        <w:rPr>
          <w:rFonts w:ascii="Times New Roman" w:hAnsi="Times New Roman" w:cs="Times New Roman"/>
          <w:noProof/>
          <w:sz w:val="24"/>
          <w:szCs w:val="24"/>
          <w:lang w:val="en-IE"/>
        </w:rPr>
        <w:t xml:space="preserve">do not </w:t>
      </w:r>
      <w:r w:rsidR="001D61B3" w:rsidRPr="00532C20">
        <w:rPr>
          <w:rFonts w:ascii="Times New Roman" w:hAnsi="Times New Roman" w:cs="Times New Roman"/>
          <w:noProof/>
          <w:sz w:val="24"/>
          <w:szCs w:val="24"/>
          <w:lang w:val="en-IE"/>
        </w:rPr>
        <w:t xml:space="preserve">carry out interest representation on behalf of </w:t>
      </w:r>
      <w:r w:rsidRPr="00532C20">
        <w:rPr>
          <w:rFonts w:ascii="Times New Roman" w:hAnsi="Times New Roman" w:cs="Times New Roman"/>
          <w:noProof/>
          <w:sz w:val="24"/>
          <w:szCs w:val="24"/>
          <w:lang w:val="en-IE"/>
        </w:rPr>
        <w:t xml:space="preserve">third countries </w:t>
      </w:r>
      <w:r w:rsidR="00C36132" w:rsidRPr="00532C20">
        <w:rPr>
          <w:rFonts w:ascii="Times New Roman" w:hAnsi="Times New Roman" w:cs="Times New Roman"/>
          <w:noProof/>
          <w:sz w:val="24"/>
          <w:szCs w:val="24"/>
          <w:lang w:val="en-IE"/>
        </w:rPr>
        <w:t>covertly</w:t>
      </w:r>
      <w:r w:rsidRPr="00532C20">
        <w:rPr>
          <w:rFonts w:ascii="Times New Roman" w:hAnsi="Times New Roman" w:cs="Times New Roman"/>
          <w:noProof/>
          <w:sz w:val="24"/>
          <w:szCs w:val="24"/>
          <w:lang w:val="en-IE"/>
        </w:rPr>
        <w:t xml:space="preserve">. </w:t>
      </w:r>
    </w:p>
    <w:p w14:paraId="2ACD7092" w14:textId="133F5301" w:rsidR="00E7191F" w:rsidRPr="00532C20" w:rsidRDefault="00E7191F" w:rsidP="00313F32">
      <w:pPr>
        <w:pStyle w:val="1111level4section"/>
        <w:spacing w:before="120" w:after="120" w:line="240" w:lineRule="auto"/>
        <w:ind w:left="2694" w:hanging="894"/>
        <w:rPr>
          <w:noProof/>
        </w:rPr>
      </w:pPr>
      <w:bookmarkStart w:id="876" w:name="_Toc152864699"/>
      <w:r w:rsidRPr="00532C20">
        <w:rPr>
          <w:noProof/>
        </w:rPr>
        <w:t>Improve knowledge a</w:t>
      </w:r>
      <w:r w:rsidR="00032E73" w:rsidRPr="00532C20">
        <w:rPr>
          <w:noProof/>
        </w:rPr>
        <w:t xml:space="preserve">bout the </w:t>
      </w:r>
      <w:r w:rsidR="004079EA" w:rsidRPr="00532C20">
        <w:rPr>
          <w:noProof/>
        </w:rPr>
        <w:t>magnitude</w:t>
      </w:r>
      <w:r w:rsidR="00FA18DB" w:rsidRPr="00532C20">
        <w:rPr>
          <w:noProof/>
        </w:rPr>
        <w:t>,</w:t>
      </w:r>
      <w:r w:rsidR="004079EA" w:rsidRPr="00532C20">
        <w:rPr>
          <w:noProof/>
        </w:rPr>
        <w:t xml:space="preserve"> trends</w:t>
      </w:r>
      <w:r w:rsidR="00FA18DB" w:rsidRPr="00532C20">
        <w:rPr>
          <w:noProof/>
        </w:rPr>
        <w:t xml:space="preserve"> and actors</w:t>
      </w:r>
      <w:r w:rsidR="004079EA" w:rsidRPr="00532C20">
        <w:rPr>
          <w:noProof/>
        </w:rPr>
        <w:t xml:space="preserve"> of </w:t>
      </w:r>
      <w:r w:rsidR="00FA2E50" w:rsidRPr="00532C20">
        <w:rPr>
          <w:noProof/>
        </w:rPr>
        <w:t xml:space="preserve">interest representation activities carried out on behalf of third </w:t>
      </w:r>
      <w:r w:rsidR="00A6219E" w:rsidRPr="00532C20">
        <w:rPr>
          <w:noProof/>
        </w:rPr>
        <w:t>countries</w:t>
      </w:r>
      <w:bookmarkEnd w:id="876"/>
    </w:p>
    <w:p w14:paraId="0F8E2B2D" w14:textId="05CD95DA" w:rsidR="00DA55F4" w:rsidRPr="00532C20" w:rsidRDefault="00DA55F4" w:rsidP="009E2ADD">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u w:val="single"/>
          <w:lang w:val="en-IE"/>
        </w:rPr>
        <w:t>The</w:t>
      </w:r>
      <w:r w:rsidR="00A90D63" w:rsidRPr="00532C20">
        <w:rPr>
          <w:rFonts w:ascii="Times New Roman" w:hAnsi="Times New Roman" w:cs="Times New Roman"/>
          <w:noProof/>
          <w:sz w:val="24"/>
          <w:szCs w:val="24"/>
          <w:u w:val="single"/>
          <w:lang w:val="en-IE"/>
        </w:rPr>
        <w:t xml:space="preserve"> 2</w:t>
      </w:r>
      <w:r w:rsidRPr="00532C20">
        <w:rPr>
          <w:rFonts w:ascii="Times New Roman" w:hAnsi="Times New Roman" w:cs="Times New Roman"/>
          <w:noProof/>
          <w:sz w:val="24"/>
          <w:szCs w:val="24"/>
          <w:u w:val="single"/>
          <w:lang w:val="en-IE"/>
        </w:rPr>
        <w:t xml:space="preserve"> legislative options (PO2.</w:t>
      </w:r>
      <w:r w:rsidR="00EB517C" w:rsidRPr="00532C20">
        <w:rPr>
          <w:rFonts w:ascii="Times New Roman" w:hAnsi="Times New Roman" w:cs="Times New Roman"/>
          <w:noProof/>
          <w:sz w:val="24"/>
          <w:szCs w:val="24"/>
          <w:u w:val="single"/>
          <w:lang w:val="en-IE"/>
        </w:rPr>
        <w:t>1</w:t>
      </w:r>
      <w:r w:rsidRPr="00532C20">
        <w:rPr>
          <w:rFonts w:ascii="Times New Roman" w:hAnsi="Times New Roman" w:cs="Times New Roman"/>
          <w:noProof/>
          <w:sz w:val="24"/>
          <w:szCs w:val="24"/>
          <w:u w:val="single"/>
          <w:lang w:val="en-IE"/>
        </w:rPr>
        <w:t xml:space="preserve"> and PO2.</w:t>
      </w:r>
      <w:r w:rsidR="00EB517C" w:rsidRPr="00532C20">
        <w:rPr>
          <w:rFonts w:ascii="Times New Roman" w:hAnsi="Times New Roman" w:cs="Times New Roman"/>
          <w:noProof/>
          <w:sz w:val="24"/>
          <w:szCs w:val="24"/>
          <w:u w:val="single"/>
          <w:lang w:val="en-IE"/>
        </w:rPr>
        <w:t>2</w:t>
      </w:r>
      <w:r w:rsidRPr="00532C20">
        <w:rPr>
          <w:rFonts w:ascii="Times New Roman" w:hAnsi="Times New Roman" w:cs="Times New Roman"/>
          <w:noProof/>
          <w:sz w:val="24"/>
          <w:szCs w:val="24"/>
          <w:u w:val="single"/>
          <w:lang w:val="en-IE"/>
        </w:rPr>
        <w:t>)</w:t>
      </w:r>
      <w:r w:rsidRPr="00532C20">
        <w:rPr>
          <w:rFonts w:ascii="Times New Roman" w:hAnsi="Times New Roman" w:cs="Times New Roman"/>
          <w:noProof/>
          <w:sz w:val="24"/>
          <w:szCs w:val="24"/>
          <w:lang w:val="en-IE"/>
        </w:rPr>
        <w:t>, and assuming that its recommendations are followed</w:t>
      </w:r>
      <w:r w:rsidR="00E02270" w:rsidRPr="00532C20">
        <w:rPr>
          <w:rFonts w:ascii="Times New Roman" w:hAnsi="Times New Roman" w:cs="Times New Roman"/>
          <w:noProof/>
          <w:sz w:val="24"/>
          <w:szCs w:val="24"/>
          <w:lang w:val="en-IE"/>
        </w:rPr>
        <w:t xml:space="preserve"> </w:t>
      </w:r>
      <w:r w:rsidRPr="00532C20">
        <w:rPr>
          <w:rFonts w:ascii="Times New Roman" w:hAnsi="Times New Roman" w:cs="Times New Roman"/>
          <w:noProof/>
          <w:sz w:val="24"/>
          <w:szCs w:val="24"/>
          <w:u w:val="single"/>
          <w:lang w:val="en-IE"/>
        </w:rPr>
        <w:t>PO1</w:t>
      </w:r>
      <w:r w:rsidR="00E02270" w:rsidRPr="00532C20">
        <w:rPr>
          <w:rFonts w:ascii="Times New Roman" w:hAnsi="Times New Roman" w:cs="Times New Roman"/>
          <w:noProof/>
          <w:sz w:val="24"/>
          <w:szCs w:val="24"/>
          <w:lang w:val="en-IE"/>
        </w:rPr>
        <w:t>, would</w:t>
      </w:r>
      <w:r w:rsidRPr="00532C20">
        <w:rPr>
          <w:rFonts w:ascii="Times New Roman" w:hAnsi="Times New Roman" w:cs="Times New Roman"/>
          <w:noProof/>
          <w:sz w:val="24"/>
          <w:szCs w:val="24"/>
          <w:lang w:val="en-IE"/>
        </w:rPr>
        <w:t xml:space="preserve"> improve knowledge about the magnitude</w:t>
      </w:r>
      <w:r w:rsidR="00FA18DB" w:rsidRPr="00532C20">
        <w:rPr>
          <w:rFonts w:ascii="Times New Roman" w:hAnsi="Times New Roman" w:cs="Times New Roman"/>
          <w:noProof/>
          <w:sz w:val="24"/>
          <w:szCs w:val="24"/>
          <w:lang w:val="en-IE"/>
        </w:rPr>
        <w:t>,</w:t>
      </w:r>
      <w:r w:rsidR="0034116E" w:rsidRPr="00532C20">
        <w:rPr>
          <w:rFonts w:ascii="Times New Roman" w:hAnsi="Times New Roman" w:cs="Times New Roman"/>
          <w:noProof/>
          <w:sz w:val="24"/>
          <w:szCs w:val="24"/>
          <w:lang w:val="en-IE"/>
        </w:rPr>
        <w:t xml:space="preserve"> </w:t>
      </w:r>
      <w:r w:rsidRPr="00532C20">
        <w:rPr>
          <w:rFonts w:ascii="Times New Roman" w:hAnsi="Times New Roman" w:cs="Times New Roman"/>
          <w:noProof/>
          <w:sz w:val="24"/>
          <w:szCs w:val="24"/>
          <w:lang w:val="en-IE"/>
        </w:rPr>
        <w:t>trends</w:t>
      </w:r>
      <w:r w:rsidR="00FA18DB" w:rsidRPr="00532C20">
        <w:rPr>
          <w:rFonts w:ascii="Times New Roman" w:hAnsi="Times New Roman" w:cs="Times New Roman"/>
          <w:noProof/>
          <w:sz w:val="24"/>
          <w:szCs w:val="24"/>
          <w:lang w:val="en-IE"/>
        </w:rPr>
        <w:t xml:space="preserve"> and actors</w:t>
      </w:r>
      <w:r w:rsidRPr="00532C20">
        <w:rPr>
          <w:rFonts w:ascii="Times New Roman" w:hAnsi="Times New Roman" w:cs="Times New Roman"/>
          <w:noProof/>
          <w:sz w:val="24"/>
          <w:szCs w:val="24"/>
          <w:lang w:val="en-IE"/>
        </w:rPr>
        <w:t xml:space="preserve"> of interest representation activities carried out on behalf of third countries</w:t>
      </w:r>
      <w:r w:rsidR="00930160" w:rsidRPr="00532C20">
        <w:rPr>
          <w:rFonts w:ascii="Times New Roman" w:hAnsi="Times New Roman" w:cs="Times New Roman"/>
          <w:noProof/>
          <w:sz w:val="24"/>
          <w:szCs w:val="24"/>
          <w:lang w:val="en-IE"/>
        </w:rPr>
        <w:t>, by providing for publicly available data on such activities.</w:t>
      </w:r>
      <w:r w:rsidR="00CC6AA0" w:rsidRPr="00532C20">
        <w:rPr>
          <w:rFonts w:ascii="Times New Roman" w:hAnsi="Times New Roman" w:cs="Times New Roman"/>
          <w:noProof/>
          <w:sz w:val="24"/>
          <w:szCs w:val="24"/>
          <w:lang w:val="en-IE"/>
        </w:rPr>
        <w:t xml:space="preserve"> In particular</w:t>
      </w:r>
      <w:r w:rsidR="00D95EAC" w:rsidRPr="00532C20">
        <w:rPr>
          <w:rFonts w:ascii="Times New Roman" w:hAnsi="Times New Roman" w:cs="Times New Roman"/>
          <w:noProof/>
          <w:sz w:val="24"/>
          <w:szCs w:val="24"/>
          <w:lang w:val="en-IE"/>
        </w:rPr>
        <w:t>,</w:t>
      </w:r>
      <w:r w:rsidR="00CC6AA0" w:rsidRPr="00532C20">
        <w:rPr>
          <w:rFonts w:ascii="Times New Roman" w:hAnsi="Times New Roman" w:cs="Times New Roman"/>
          <w:noProof/>
          <w:sz w:val="24"/>
          <w:szCs w:val="24"/>
          <w:lang w:val="en-IE"/>
        </w:rPr>
        <w:t xml:space="preserve"> Members States would be able to establish</w:t>
      </w:r>
      <w:r w:rsidR="0093200F" w:rsidRPr="00532C20">
        <w:rPr>
          <w:rFonts w:ascii="Times New Roman" w:hAnsi="Times New Roman" w:cs="Times New Roman"/>
          <w:noProof/>
          <w:sz w:val="24"/>
          <w:szCs w:val="24"/>
          <w:lang w:val="en-IE"/>
        </w:rPr>
        <w:t xml:space="preserve"> </w:t>
      </w:r>
      <w:r w:rsidR="008F65A6" w:rsidRPr="00532C20">
        <w:rPr>
          <w:rFonts w:ascii="Times New Roman" w:hAnsi="Times New Roman" w:cs="Times New Roman"/>
          <w:noProof/>
          <w:sz w:val="24"/>
          <w:szCs w:val="24"/>
          <w:lang w:val="en-IE"/>
        </w:rPr>
        <w:t>aggregate</w:t>
      </w:r>
      <w:r w:rsidR="0093200F" w:rsidRPr="00532C20">
        <w:rPr>
          <w:rFonts w:ascii="Times New Roman" w:hAnsi="Times New Roman" w:cs="Times New Roman"/>
          <w:noProof/>
          <w:sz w:val="24"/>
          <w:szCs w:val="24"/>
          <w:lang w:val="en-IE"/>
        </w:rPr>
        <w:t xml:space="preserve"> data on</w:t>
      </w:r>
      <w:r w:rsidR="00B37DDC" w:rsidRPr="00532C20">
        <w:rPr>
          <w:rFonts w:ascii="Times New Roman" w:hAnsi="Times New Roman" w:cs="Times New Roman"/>
          <w:noProof/>
          <w:sz w:val="24"/>
          <w:szCs w:val="24"/>
          <w:lang w:val="en-IE"/>
        </w:rPr>
        <w:t xml:space="preserve"> the interest representation activities being carried out, the decision-making processes targeted,</w:t>
      </w:r>
      <w:r w:rsidR="0093200F" w:rsidRPr="00532C20">
        <w:rPr>
          <w:rFonts w:ascii="Times New Roman" w:hAnsi="Times New Roman" w:cs="Times New Roman"/>
          <w:noProof/>
          <w:sz w:val="24"/>
          <w:szCs w:val="24"/>
          <w:lang w:val="en-IE"/>
        </w:rPr>
        <w:t xml:space="preserve"> the amounts spent by </w:t>
      </w:r>
      <w:r w:rsidR="00D76C94" w:rsidRPr="00532C20">
        <w:rPr>
          <w:rFonts w:ascii="Times New Roman" w:hAnsi="Times New Roman" w:cs="Times New Roman"/>
          <w:noProof/>
          <w:sz w:val="24"/>
          <w:szCs w:val="24"/>
          <w:lang w:val="en-IE"/>
        </w:rPr>
        <w:t xml:space="preserve">each </w:t>
      </w:r>
      <w:r w:rsidR="0093200F" w:rsidRPr="00532C20">
        <w:rPr>
          <w:rFonts w:ascii="Times New Roman" w:hAnsi="Times New Roman" w:cs="Times New Roman"/>
          <w:noProof/>
          <w:sz w:val="24"/>
          <w:szCs w:val="24"/>
          <w:lang w:val="en-IE"/>
        </w:rPr>
        <w:t>third country</w:t>
      </w:r>
      <w:r w:rsidR="00B37DDC" w:rsidRPr="00532C20">
        <w:rPr>
          <w:rFonts w:ascii="Times New Roman" w:hAnsi="Times New Roman" w:cs="Times New Roman"/>
          <w:noProof/>
          <w:sz w:val="24"/>
          <w:szCs w:val="24"/>
          <w:lang w:val="en-IE"/>
        </w:rPr>
        <w:t xml:space="preserve">. They will </w:t>
      </w:r>
      <w:r w:rsidR="00FC762C">
        <w:rPr>
          <w:rFonts w:ascii="Times New Roman" w:hAnsi="Times New Roman" w:cs="Times New Roman"/>
          <w:noProof/>
          <w:sz w:val="24"/>
          <w:szCs w:val="24"/>
          <w:lang w:val="en-IE"/>
        </w:rPr>
        <w:t>en</w:t>
      </w:r>
      <w:r w:rsidR="00B37DDC" w:rsidRPr="00532C20">
        <w:rPr>
          <w:rFonts w:ascii="Times New Roman" w:hAnsi="Times New Roman" w:cs="Times New Roman"/>
          <w:noProof/>
          <w:sz w:val="24"/>
          <w:szCs w:val="24"/>
          <w:lang w:val="en-IE"/>
        </w:rPr>
        <w:t>able</w:t>
      </w:r>
      <w:r w:rsidR="00C258F4" w:rsidRPr="00532C20">
        <w:rPr>
          <w:rFonts w:ascii="Times New Roman" w:hAnsi="Times New Roman" w:cs="Times New Roman"/>
          <w:noProof/>
          <w:sz w:val="24"/>
          <w:szCs w:val="24"/>
          <w:lang w:val="en-IE"/>
        </w:rPr>
        <w:t xml:space="preserve"> journalist</w:t>
      </w:r>
      <w:r w:rsidR="00E02270" w:rsidRPr="00532C20">
        <w:rPr>
          <w:rFonts w:ascii="Times New Roman" w:hAnsi="Times New Roman" w:cs="Times New Roman"/>
          <w:noProof/>
          <w:sz w:val="24"/>
          <w:szCs w:val="24"/>
          <w:lang w:val="en-IE"/>
        </w:rPr>
        <w:t>s</w:t>
      </w:r>
      <w:r w:rsidR="00C258F4" w:rsidRPr="00532C20">
        <w:rPr>
          <w:rFonts w:ascii="Times New Roman" w:hAnsi="Times New Roman" w:cs="Times New Roman"/>
          <w:noProof/>
          <w:sz w:val="24"/>
          <w:szCs w:val="24"/>
          <w:lang w:val="en-IE"/>
        </w:rPr>
        <w:t xml:space="preserve">, CSOs, researchers as well and national or European authorities </w:t>
      </w:r>
      <w:r w:rsidR="00B37DDC" w:rsidRPr="00532C20">
        <w:rPr>
          <w:rFonts w:ascii="Times New Roman" w:hAnsi="Times New Roman" w:cs="Times New Roman"/>
          <w:noProof/>
          <w:sz w:val="24"/>
          <w:szCs w:val="24"/>
          <w:lang w:val="en-IE"/>
        </w:rPr>
        <w:t xml:space="preserve">to </w:t>
      </w:r>
      <w:r w:rsidR="00CE0C1F" w:rsidRPr="00532C20">
        <w:rPr>
          <w:rFonts w:ascii="Times New Roman" w:hAnsi="Times New Roman" w:cs="Times New Roman"/>
          <w:noProof/>
          <w:sz w:val="24"/>
          <w:szCs w:val="24"/>
          <w:lang w:val="en-IE"/>
        </w:rPr>
        <w:t xml:space="preserve">map the </w:t>
      </w:r>
      <w:r w:rsidR="00EF1F8C" w:rsidRPr="00532C20">
        <w:rPr>
          <w:rFonts w:ascii="Times New Roman" w:hAnsi="Times New Roman" w:cs="Times New Roman"/>
          <w:noProof/>
          <w:sz w:val="24"/>
          <w:szCs w:val="24"/>
          <w:lang w:val="en-IE"/>
        </w:rPr>
        <w:t>entities carrying out interest representation on behalf of each third country</w:t>
      </w:r>
      <w:r w:rsidR="001535F8" w:rsidRPr="00532C20">
        <w:rPr>
          <w:rFonts w:ascii="Times New Roman" w:hAnsi="Times New Roman" w:cs="Times New Roman"/>
          <w:noProof/>
          <w:sz w:val="24"/>
          <w:szCs w:val="24"/>
          <w:lang w:val="en-IE"/>
        </w:rPr>
        <w:t xml:space="preserve"> as well as </w:t>
      </w:r>
      <w:r w:rsidR="008F3F80" w:rsidRPr="00532C20">
        <w:rPr>
          <w:rFonts w:ascii="Times New Roman" w:hAnsi="Times New Roman" w:cs="Times New Roman"/>
          <w:noProof/>
          <w:sz w:val="24"/>
          <w:szCs w:val="24"/>
          <w:lang w:val="en-IE"/>
        </w:rPr>
        <w:t>the</w:t>
      </w:r>
      <w:r w:rsidR="00707470" w:rsidRPr="00532C20">
        <w:rPr>
          <w:rFonts w:ascii="Times New Roman" w:hAnsi="Times New Roman" w:cs="Times New Roman"/>
          <w:noProof/>
          <w:sz w:val="24"/>
          <w:szCs w:val="24"/>
          <w:lang w:val="en-IE"/>
        </w:rPr>
        <w:t xml:space="preserve"> means</w:t>
      </w:r>
      <w:r w:rsidR="001535F8" w:rsidRPr="00532C20">
        <w:rPr>
          <w:rFonts w:ascii="Times New Roman" w:hAnsi="Times New Roman" w:cs="Times New Roman"/>
          <w:noProof/>
          <w:sz w:val="24"/>
          <w:szCs w:val="24"/>
          <w:lang w:val="en-IE"/>
        </w:rPr>
        <w:t>,</w:t>
      </w:r>
      <w:r w:rsidR="00707470" w:rsidRPr="00532C20">
        <w:rPr>
          <w:rFonts w:ascii="Times New Roman" w:hAnsi="Times New Roman" w:cs="Times New Roman"/>
          <w:noProof/>
          <w:sz w:val="24"/>
          <w:szCs w:val="24"/>
          <w:lang w:val="en-IE"/>
        </w:rPr>
        <w:t xml:space="preserve"> </w:t>
      </w:r>
      <w:r w:rsidR="00D17843" w:rsidRPr="00532C20">
        <w:rPr>
          <w:rFonts w:ascii="Times New Roman" w:hAnsi="Times New Roman" w:cs="Times New Roman"/>
          <w:noProof/>
          <w:sz w:val="24"/>
          <w:szCs w:val="24"/>
          <w:lang w:val="en-IE"/>
        </w:rPr>
        <w:t xml:space="preserve">such as </w:t>
      </w:r>
      <w:r w:rsidR="00185AFA" w:rsidRPr="00532C20">
        <w:rPr>
          <w:rFonts w:ascii="Times New Roman" w:hAnsi="Times New Roman" w:cs="Times New Roman"/>
          <w:noProof/>
          <w:sz w:val="24"/>
          <w:szCs w:val="24"/>
          <w:lang w:val="en-IE"/>
        </w:rPr>
        <w:t>a newspaper</w:t>
      </w:r>
      <w:r w:rsidR="008F3F80" w:rsidRPr="00532C20">
        <w:rPr>
          <w:rFonts w:ascii="Times New Roman" w:hAnsi="Times New Roman" w:cs="Times New Roman"/>
          <w:noProof/>
          <w:sz w:val="24"/>
          <w:szCs w:val="24"/>
          <w:lang w:val="en-IE"/>
        </w:rPr>
        <w:t xml:space="preserve"> or online platform</w:t>
      </w:r>
      <w:r w:rsidR="00C10A3B" w:rsidRPr="00532C20">
        <w:rPr>
          <w:rFonts w:ascii="Times New Roman" w:hAnsi="Times New Roman" w:cs="Times New Roman"/>
          <w:noProof/>
          <w:sz w:val="24"/>
          <w:szCs w:val="24"/>
          <w:lang w:val="en-IE"/>
        </w:rPr>
        <w:t xml:space="preserve"> disse</w:t>
      </w:r>
      <w:r w:rsidR="006F3A11" w:rsidRPr="00532C20">
        <w:rPr>
          <w:rFonts w:ascii="Times New Roman" w:hAnsi="Times New Roman" w:cs="Times New Roman"/>
          <w:noProof/>
          <w:sz w:val="24"/>
          <w:szCs w:val="24"/>
          <w:lang w:val="en-IE"/>
        </w:rPr>
        <w:t>minating ads,</w:t>
      </w:r>
      <w:r w:rsidR="008F3F80" w:rsidRPr="00532C20">
        <w:rPr>
          <w:rFonts w:ascii="Times New Roman" w:hAnsi="Times New Roman" w:cs="Times New Roman"/>
          <w:noProof/>
          <w:sz w:val="24"/>
          <w:szCs w:val="24"/>
          <w:lang w:val="en-IE"/>
        </w:rPr>
        <w:t xml:space="preserve"> </w:t>
      </w:r>
      <w:r w:rsidR="00707470" w:rsidRPr="00532C20">
        <w:rPr>
          <w:rFonts w:ascii="Times New Roman" w:hAnsi="Times New Roman" w:cs="Times New Roman"/>
          <w:noProof/>
          <w:sz w:val="24"/>
          <w:szCs w:val="24"/>
          <w:lang w:val="en-IE"/>
        </w:rPr>
        <w:t xml:space="preserve">by which </w:t>
      </w:r>
      <w:r w:rsidR="004B1AA7" w:rsidRPr="00532C20">
        <w:rPr>
          <w:rFonts w:ascii="Times New Roman" w:hAnsi="Times New Roman" w:cs="Times New Roman"/>
          <w:noProof/>
          <w:sz w:val="24"/>
          <w:szCs w:val="24"/>
          <w:lang w:val="en-IE"/>
        </w:rPr>
        <w:t xml:space="preserve">the content of an interest </w:t>
      </w:r>
      <w:r w:rsidR="008F3F80" w:rsidRPr="00532C20">
        <w:rPr>
          <w:rFonts w:ascii="Times New Roman" w:hAnsi="Times New Roman" w:cs="Times New Roman"/>
          <w:noProof/>
          <w:sz w:val="24"/>
          <w:szCs w:val="24"/>
          <w:lang w:val="en-IE"/>
        </w:rPr>
        <w:t xml:space="preserve">representation is being </w:t>
      </w:r>
      <w:r w:rsidR="00614C13" w:rsidRPr="00532C20">
        <w:rPr>
          <w:rFonts w:ascii="Times New Roman" w:hAnsi="Times New Roman" w:cs="Times New Roman"/>
          <w:noProof/>
          <w:sz w:val="24"/>
          <w:szCs w:val="24"/>
          <w:lang w:val="en-IE"/>
        </w:rPr>
        <w:t>disseminated</w:t>
      </w:r>
      <w:r w:rsidR="00D17843" w:rsidRPr="00532C20">
        <w:rPr>
          <w:rFonts w:ascii="Times New Roman" w:hAnsi="Times New Roman" w:cs="Times New Roman"/>
          <w:noProof/>
          <w:sz w:val="24"/>
          <w:szCs w:val="24"/>
          <w:lang w:val="en-IE"/>
        </w:rPr>
        <w:t xml:space="preserve"> to the public</w:t>
      </w:r>
      <w:r w:rsidR="001535F8" w:rsidRPr="00532C20">
        <w:rPr>
          <w:rFonts w:ascii="Times New Roman" w:hAnsi="Times New Roman" w:cs="Times New Roman"/>
          <w:noProof/>
          <w:sz w:val="24"/>
          <w:szCs w:val="24"/>
          <w:lang w:val="en-IE"/>
        </w:rPr>
        <w:t>. They will be able to</w:t>
      </w:r>
      <w:r w:rsidR="00EF1F8C" w:rsidRPr="00532C20">
        <w:rPr>
          <w:rFonts w:ascii="Times New Roman" w:hAnsi="Times New Roman" w:cs="Times New Roman"/>
          <w:noProof/>
          <w:sz w:val="24"/>
          <w:szCs w:val="24"/>
          <w:lang w:val="en-IE"/>
        </w:rPr>
        <w:t xml:space="preserve"> assess the evolution of that market over the years.</w:t>
      </w:r>
      <w:r w:rsidR="006F17FF" w:rsidRPr="00532C20">
        <w:rPr>
          <w:rFonts w:ascii="Times New Roman" w:hAnsi="Times New Roman" w:cs="Times New Roman"/>
          <w:noProof/>
          <w:sz w:val="24"/>
          <w:szCs w:val="24"/>
          <w:lang w:val="en-IE"/>
        </w:rPr>
        <w:t xml:space="preserve"> The publication of </w:t>
      </w:r>
      <w:r w:rsidR="00B37DDC" w:rsidRPr="00532C20">
        <w:rPr>
          <w:rFonts w:ascii="Times New Roman" w:hAnsi="Times New Roman" w:cs="Times New Roman"/>
          <w:noProof/>
          <w:sz w:val="24"/>
          <w:szCs w:val="24"/>
          <w:lang w:val="en-IE"/>
        </w:rPr>
        <w:t>some of these</w:t>
      </w:r>
      <w:r w:rsidR="006F17FF" w:rsidRPr="00532C20">
        <w:rPr>
          <w:rFonts w:ascii="Times New Roman" w:hAnsi="Times New Roman" w:cs="Times New Roman"/>
          <w:noProof/>
          <w:sz w:val="24"/>
          <w:szCs w:val="24"/>
          <w:lang w:val="en-IE"/>
        </w:rPr>
        <w:t xml:space="preserve"> aggregate amount</w:t>
      </w:r>
      <w:r w:rsidR="00D76C94" w:rsidRPr="00532C20">
        <w:rPr>
          <w:rFonts w:ascii="Times New Roman" w:hAnsi="Times New Roman" w:cs="Times New Roman"/>
          <w:noProof/>
          <w:sz w:val="24"/>
          <w:szCs w:val="24"/>
          <w:lang w:val="en-IE"/>
        </w:rPr>
        <w:t>s</w:t>
      </w:r>
      <w:r w:rsidR="00D95EAC" w:rsidRPr="00532C20">
        <w:rPr>
          <w:rFonts w:ascii="Times New Roman" w:hAnsi="Times New Roman" w:cs="Times New Roman"/>
          <w:noProof/>
          <w:sz w:val="24"/>
          <w:szCs w:val="24"/>
          <w:lang w:val="en-IE"/>
        </w:rPr>
        <w:t xml:space="preserve"> and</w:t>
      </w:r>
      <w:r w:rsidR="001750B5" w:rsidRPr="00532C20">
        <w:rPr>
          <w:rFonts w:ascii="Times New Roman" w:hAnsi="Times New Roman" w:cs="Times New Roman"/>
          <w:noProof/>
          <w:sz w:val="24"/>
          <w:szCs w:val="24"/>
          <w:lang w:val="en-IE"/>
        </w:rPr>
        <w:t xml:space="preserve"> the establishment of </w:t>
      </w:r>
      <w:r w:rsidR="00D95EAC" w:rsidRPr="00532C20">
        <w:rPr>
          <w:rFonts w:ascii="Times New Roman" w:hAnsi="Times New Roman" w:cs="Times New Roman"/>
          <w:noProof/>
          <w:sz w:val="24"/>
          <w:szCs w:val="24"/>
          <w:lang w:val="en-IE"/>
        </w:rPr>
        <w:t>machine-readable</w:t>
      </w:r>
      <w:r w:rsidR="008745BB" w:rsidRPr="00532C20">
        <w:rPr>
          <w:rStyle w:val="FootnoteReference"/>
          <w:rFonts w:ascii="Times New Roman" w:hAnsi="Times New Roman" w:cs="Times New Roman"/>
          <w:noProof/>
          <w:sz w:val="24"/>
          <w:szCs w:val="24"/>
          <w:lang w:val="en-IE"/>
        </w:rPr>
        <w:footnoteReference w:id="177"/>
      </w:r>
      <w:r w:rsidR="001750B5" w:rsidRPr="00532C20">
        <w:rPr>
          <w:rFonts w:ascii="Times New Roman" w:hAnsi="Times New Roman" w:cs="Times New Roman"/>
          <w:noProof/>
          <w:sz w:val="24"/>
          <w:szCs w:val="24"/>
          <w:lang w:val="en-IE"/>
        </w:rPr>
        <w:t xml:space="preserve"> register</w:t>
      </w:r>
      <w:r w:rsidR="006F17FF" w:rsidRPr="00532C20">
        <w:rPr>
          <w:rFonts w:ascii="Times New Roman" w:hAnsi="Times New Roman" w:cs="Times New Roman"/>
          <w:noProof/>
          <w:sz w:val="24"/>
          <w:szCs w:val="24"/>
          <w:lang w:val="en-IE"/>
        </w:rPr>
        <w:t xml:space="preserve"> would </w:t>
      </w:r>
      <w:r w:rsidR="009066A6" w:rsidRPr="00532C20">
        <w:rPr>
          <w:rFonts w:ascii="Times New Roman" w:hAnsi="Times New Roman" w:cs="Times New Roman"/>
          <w:noProof/>
          <w:sz w:val="24"/>
          <w:szCs w:val="24"/>
          <w:lang w:val="en-IE"/>
        </w:rPr>
        <w:t>strengthen of the quality of information available on this subject, help enrich the political debate and inform future policy</w:t>
      </w:r>
      <w:r w:rsidR="000507B4">
        <w:rPr>
          <w:rFonts w:ascii="Times New Roman" w:hAnsi="Times New Roman" w:cs="Times New Roman"/>
          <w:noProof/>
          <w:sz w:val="24"/>
          <w:szCs w:val="24"/>
          <w:lang w:val="en-IE"/>
        </w:rPr>
        <w:t>-</w:t>
      </w:r>
      <w:r w:rsidR="009066A6" w:rsidRPr="00532C20">
        <w:rPr>
          <w:rFonts w:ascii="Times New Roman" w:hAnsi="Times New Roman" w:cs="Times New Roman"/>
          <w:noProof/>
          <w:sz w:val="24"/>
          <w:szCs w:val="24"/>
          <w:lang w:val="en-IE"/>
        </w:rPr>
        <w:t>making.</w:t>
      </w:r>
      <w:r w:rsidR="00861645" w:rsidRPr="00532C20">
        <w:rPr>
          <w:rFonts w:ascii="Times New Roman" w:hAnsi="Times New Roman" w:cs="Times New Roman"/>
          <w:noProof/>
          <w:sz w:val="24"/>
          <w:szCs w:val="24"/>
          <w:lang w:val="en-IE"/>
        </w:rPr>
        <w:t xml:space="preserve"> This information could also serve to build capacity</w:t>
      </w:r>
      <w:r w:rsidR="004B4ABC" w:rsidRPr="00532C20">
        <w:rPr>
          <w:rFonts w:ascii="Times New Roman" w:hAnsi="Times New Roman" w:cs="Times New Roman"/>
          <w:noProof/>
          <w:sz w:val="24"/>
          <w:szCs w:val="24"/>
          <w:lang w:val="en-IE"/>
        </w:rPr>
        <w:t xml:space="preserve"> and help citizens and policy</w:t>
      </w:r>
      <w:r w:rsidR="000507B4">
        <w:rPr>
          <w:rFonts w:ascii="Times New Roman" w:hAnsi="Times New Roman" w:cs="Times New Roman"/>
          <w:noProof/>
          <w:sz w:val="24"/>
          <w:szCs w:val="24"/>
          <w:lang w:val="en-IE"/>
        </w:rPr>
        <w:t>-</w:t>
      </w:r>
      <w:r w:rsidR="004B4ABC" w:rsidRPr="00532C20">
        <w:rPr>
          <w:rFonts w:ascii="Times New Roman" w:hAnsi="Times New Roman" w:cs="Times New Roman"/>
          <w:noProof/>
          <w:sz w:val="24"/>
          <w:szCs w:val="24"/>
          <w:lang w:val="en-IE"/>
        </w:rPr>
        <w:t xml:space="preserve">makers </w:t>
      </w:r>
      <w:r w:rsidR="00B2664B" w:rsidRPr="00532C20">
        <w:rPr>
          <w:rFonts w:ascii="Times New Roman" w:hAnsi="Times New Roman" w:cs="Times New Roman"/>
          <w:noProof/>
          <w:sz w:val="24"/>
          <w:szCs w:val="24"/>
          <w:lang w:val="en-IE"/>
        </w:rPr>
        <w:t>understand and, where relevant, react to influence campaign of third countries.</w:t>
      </w:r>
    </w:p>
    <w:p w14:paraId="3ADEA609" w14:textId="7E2CBE04" w:rsidR="00704A97" w:rsidRPr="00532C20" w:rsidRDefault="003D1BE3" w:rsidP="00704A97">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u w:val="single"/>
          <w:lang w:val="en-IE"/>
        </w:rPr>
        <w:t>T</w:t>
      </w:r>
      <w:r w:rsidR="00930160" w:rsidRPr="00532C20">
        <w:rPr>
          <w:rFonts w:ascii="Times New Roman" w:hAnsi="Times New Roman" w:cs="Times New Roman"/>
          <w:noProof/>
          <w:sz w:val="24"/>
          <w:szCs w:val="24"/>
          <w:u w:val="single"/>
          <w:lang w:val="en-IE"/>
        </w:rPr>
        <w:t>he</w:t>
      </w:r>
      <w:r w:rsidR="00A90D63" w:rsidRPr="00532C20">
        <w:rPr>
          <w:rFonts w:ascii="Times New Roman" w:hAnsi="Times New Roman" w:cs="Times New Roman"/>
          <w:noProof/>
          <w:sz w:val="24"/>
          <w:szCs w:val="24"/>
          <w:u w:val="single"/>
          <w:lang w:val="en-IE"/>
        </w:rPr>
        <w:t xml:space="preserve"> 2</w:t>
      </w:r>
      <w:r w:rsidR="00930160" w:rsidRPr="00532C20">
        <w:rPr>
          <w:rFonts w:ascii="Times New Roman" w:hAnsi="Times New Roman" w:cs="Times New Roman"/>
          <w:noProof/>
          <w:sz w:val="24"/>
          <w:szCs w:val="24"/>
          <w:u w:val="single"/>
          <w:lang w:val="en-IE"/>
        </w:rPr>
        <w:t xml:space="preserve"> legislative options (PO2.</w:t>
      </w:r>
      <w:r w:rsidR="0079219B" w:rsidRPr="00532C20">
        <w:rPr>
          <w:rFonts w:ascii="Times New Roman" w:hAnsi="Times New Roman" w:cs="Times New Roman"/>
          <w:noProof/>
          <w:sz w:val="24"/>
          <w:szCs w:val="24"/>
          <w:u w:val="single"/>
          <w:lang w:val="en-IE"/>
        </w:rPr>
        <w:t>1</w:t>
      </w:r>
      <w:r w:rsidR="00930160" w:rsidRPr="00532C20">
        <w:rPr>
          <w:rFonts w:ascii="Times New Roman" w:hAnsi="Times New Roman" w:cs="Times New Roman"/>
          <w:noProof/>
          <w:sz w:val="24"/>
          <w:szCs w:val="24"/>
          <w:u w:val="single"/>
          <w:lang w:val="en-IE"/>
        </w:rPr>
        <w:t xml:space="preserve"> and PO2.</w:t>
      </w:r>
      <w:r w:rsidR="0079219B" w:rsidRPr="00532C20">
        <w:rPr>
          <w:rFonts w:ascii="Times New Roman" w:hAnsi="Times New Roman" w:cs="Times New Roman"/>
          <w:noProof/>
          <w:sz w:val="24"/>
          <w:szCs w:val="24"/>
          <w:u w:val="single"/>
          <w:lang w:val="en-IE"/>
        </w:rPr>
        <w:t>2</w:t>
      </w:r>
      <w:r w:rsidR="00930160" w:rsidRPr="00532C20">
        <w:rPr>
          <w:rFonts w:ascii="Times New Roman" w:hAnsi="Times New Roman" w:cs="Times New Roman"/>
          <w:noProof/>
          <w:sz w:val="24"/>
          <w:szCs w:val="24"/>
          <w:u w:val="single"/>
          <w:lang w:val="en-IE"/>
        </w:rPr>
        <w:t>)</w:t>
      </w:r>
      <w:r w:rsidR="00930160" w:rsidRPr="00532C20">
        <w:rPr>
          <w:rFonts w:ascii="Times New Roman" w:hAnsi="Times New Roman" w:cs="Times New Roman"/>
          <w:noProof/>
          <w:sz w:val="24"/>
          <w:szCs w:val="24"/>
          <w:lang w:val="en-IE"/>
        </w:rPr>
        <w:t xml:space="preserve">, </w:t>
      </w:r>
      <w:r w:rsidR="00041D13" w:rsidRPr="00532C20">
        <w:rPr>
          <w:rFonts w:ascii="Times New Roman" w:hAnsi="Times New Roman" w:cs="Times New Roman"/>
          <w:noProof/>
          <w:sz w:val="24"/>
          <w:szCs w:val="24"/>
          <w:lang w:val="en-IE"/>
        </w:rPr>
        <w:t xml:space="preserve">would greatly facilitate </w:t>
      </w:r>
      <w:r w:rsidR="00257D87" w:rsidRPr="00532C20">
        <w:rPr>
          <w:rFonts w:ascii="Times New Roman" w:hAnsi="Times New Roman" w:cs="Times New Roman"/>
          <w:noProof/>
          <w:sz w:val="24"/>
          <w:szCs w:val="24"/>
          <w:lang w:val="en-IE"/>
        </w:rPr>
        <w:t xml:space="preserve">comparison between Member </w:t>
      </w:r>
      <w:r w:rsidR="00D76C94" w:rsidRPr="00532C20">
        <w:rPr>
          <w:rFonts w:ascii="Times New Roman" w:hAnsi="Times New Roman" w:cs="Times New Roman"/>
          <w:noProof/>
          <w:sz w:val="24"/>
          <w:szCs w:val="24"/>
          <w:lang w:val="en-IE"/>
        </w:rPr>
        <w:t>S</w:t>
      </w:r>
      <w:r w:rsidR="00257D87" w:rsidRPr="00532C20">
        <w:rPr>
          <w:rFonts w:ascii="Times New Roman" w:hAnsi="Times New Roman" w:cs="Times New Roman"/>
          <w:noProof/>
          <w:sz w:val="24"/>
          <w:szCs w:val="24"/>
          <w:lang w:val="en-IE"/>
        </w:rPr>
        <w:t>tates and establishing trends at EU level</w:t>
      </w:r>
      <w:r w:rsidR="001E5C65" w:rsidRPr="00532C20">
        <w:rPr>
          <w:rFonts w:ascii="Times New Roman" w:hAnsi="Times New Roman" w:cs="Times New Roman"/>
          <w:noProof/>
          <w:sz w:val="24"/>
          <w:szCs w:val="24"/>
          <w:lang w:val="en-IE"/>
        </w:rPr>
        <w:t xml:space="preserve">, </w:t>
      </w:r>
      <w:r w:rsidR="00930160" w:rsidRPr="00532C20">
        <w:rPr>
          <w:rFonts w:ascii="Times New Roman" w:hAnsi="Times New Roman" w:cs="Times New Roman"/>
          <w:noProof/>
          <w:sz w:val="24"/>
          <w:szCs w:val="24"/>
          <w:lang w:val="en-IE"/>
        </w:rPr>
        <w:t xml:space="preserve">by providing </w:t>
      </w:r>
      <w:r w:rsidRPr="00532C20">
        <w:rPr>
          <w:rFonts w:ascii="Times New Roman" w:hAnsi="Times New Roman" w:cs="Times New Roman"/>
          <w:noProof/>
          <w:sz w:val="24"/>
          <w:szCs w:val="24"/>
          <w:lang w:val="en-IE"/>
        </w:rPr>
        <w:t xml:space="preserve">identical </w:t>
      </w:r>
      <w:r w:rsidR="00041D13" w:rsidRPr="00532C20">
        <w:rPr>
          <w:rFonts w:ascii="Times New Roman" w:hAnsi="Times New Roman" w:cs="Times New Roman"/>
          <w:noProof/>
          <w:sz w:val="24"/>
          <w:szCs w:val="24"/>
          <w:lang w:val="en-IE"/>
        </w:rPr>
        <w:t>information to be provided upon registration</w:t>
      </w:r>
      <w:r w:rsidR="001E3AC7" w:rsidRPr="00532C20">
        <w:rPr>
          <w:rFonts w:ascii="Times New Roman" w:hAnsi="Times New Roman" w:cs="Times New Roman"/>
          <w:noProof/>
          <w:sz w:val="24"/>
          <w:szCs w:val="24"/>
          <w:lang w:val="en-IE"/>
        </w:rPr>
        <w:t xml:space="preserve">, and </w:t>
      </w:r>
      <w:r w:rsidR="00DA6659" w:rsidRPr="00532C20">
        <w:rPr>
          <w:rFonts w:ascii="Times New Roman" w:hAnsi="Times New Roman" w:cs="Times New Roman"/>
          <w:noProof/>
          <w:sz w:val="24"/>
          <w:szCs w:val="24"/>
          <w:lang w:val="en-IE"/>
        </w:rPr>
        <w:t xml:space="preserve">promoting harmonized publication standards of aggregated data through </w:t>
      </w:r>
      <w:r w:rsidR="00DA6659" w:rsidRPr="00532C20">
        <w:rPr>
          <w:rFonts w:ascii="Times New Roman" w:eastAsia="Times" w:hAnsi="Times New Roman" w:cs="Times New Roman"/>
          <w:noProof/>
          <w:sz w:val="24"/>
          <w:szCs w:val="24"/>
          <w:lang w:val="en-IE"/>
        </w:rPr>
        <w:t>their respective governance cooperation mechanism.</w:t>
      </w:r>
      <w:r w:rsidR="00041D13" w:rsidRPr="00532C20">
        <w:rPr>
          <w:rFonts w:ascii="Times New Roman" w:hAnsi="Times New Roman" w:cs="Times New Roman"/>
          <w:noProof/>
          <w:sz w:val="24"/>
          <w:szCs w:val="24"/>
          <w:lang w:val="en-IE"/>
        </w:rPr>
        <w:t xml:space="preserve"> </w:t>
      </w:r>
      <w:r w:rsidR="00D95EAC" w:rsidRPr="00532C20">
        <w:rPr>
          <w:rFonts w:ascii="Times New Roman" w:hAnsi="Times New Roman" w:cs="Times New Roman"/>
          <w:noProof/>
          <w:sz w:val="24"/>
          <w:szCs w:val="24"/>
          <w:lang w:val="en-IE"/>
        </w:rPr>
        <w:t>These legislative options also provide</w:t>
      </w:r>
      <w:r w:rsidR="00EE12BD" w:rsidRPr="00532C20">
        <w:rPr>
          <w:rFonts w:ascii="Times New Roman" w:hAnsi="Times New Roman" w:cs="Times New Roman"/>
          <w:noProof/>
          <w:sz w:val="24"/>
          <w:szCs w:val="24"/>
          <w:lang w:val="en-IE"/>
        </w:rPr>
        <w:t xml:space="preserve"> for a flexible and evolutive approach to this data collection </w:t>
      </w:r>
      <w:r w:rsidR="005551C7" w:rsidRPr="00532C20">
        <w:rPr>
          <w:rFonts w:ascii="Times New Roman" w:hAnsi="Times New Roman" w:cs="Times New Roman"/>
          <w:noProof/>
          <w:sz w:val="24"/>
          <w:szCs w:val="24"/>
          <w:lang w:val="en-IE"/>
        </w:rPr>
        <w:t>by enabling</w:t>
      </w:r>
      <w:r w:rsidR="00D95EAC" w:rsidRPr="00532C20">
        <w:rPr>
          <w:rFonts w:ascii="Times New Roman" w:hAnsi="Times New Roman" w:cs="Times New Roman"/>
          <w:noProof/>
          <w:sz w:val="24"/>
          <w:szCs w:val="24"/>
          <w:lang w:val="en-IE"/>
        </w:rPr>
        <w:t xml:space="preserve"> to adapt the information requested upon registration </w:t>
      </w:r>
      <w:r w:rsidR="006A538E" w:rsidRPr="00532C20">
        <w:rPr>
          <w:rFonts w:ascii="Times New Roman" w:hAnsi="Times New Roman" w:cs="Times New Roman"/>
          <w:noProof/>
          <w:sz w:val="24"/>
          <w:szCs w:val="24"/>
          <w:lang w:val="en-IE"/>
        </w:rPr>
        <w:t xml:space="preserve">as well as the </w:t>
      </w:r>
      <w:r w:rsidR="00EE12BD" w:rsidRPr="00532C20">
        <w:rPr>
          <w:rFonts w:ascii="Times New Roman" w:hAnsi="Times New Roman" w:cs="Times New Roman"/>
          <w:noProof/>
          <w:sz w:val="24"/>
          <w:szCs w:val="24"/>
          <w:lang w:val="en-IE"/>
        </w:rPr>
        <w:t>aggregate data to be made public</w:t>
      </w:r>
      <w:r w:rsidR="00D170E4" w:rsidRPr="00532C20">
        <w:rPr>
          <w:rFonts w:ascii="Times New Roman" w:hAnsi="Times New Roman" w:cs="Times New Roman"/>
          <w:noProof/>
          <w:sz w:val="24"/>
          <w:szCs w:val="24"/>
          <w:lang w:val="en-IE"/>
        </w:rPr>
        <w:t xml:space="preserve"> through for delegated act</w:t>
      </w:r>
      <w:r w:rsidR="007F2BE1" w:rsidRPr="00532C20">
        <w:rPr>
          <w:rFonts w:ascii="Times New Roman" w:hAnsi="Times New Roman" w:cs="Times New Roman"/>
          <w:noProof/>
          <w:sz w:val="24"/>
          <w:szCs w:val="24"/>
          <w:lang w:val="en-IE"/>
        </w:rPr>
        <w:t>.</w:t>
      </w:r>
      <w:r w:rsidR="00800606" w:rsidRPr="00532C20">
        <w:rPr>
          <w:rFonts w:ascii="Times New Roman" w:hAnsi="Times New Roman" w:cs="Times New Roman"/>
          <w:noProof/>
          <w:sz w:val="24"/>
          <w:szCs w:val="24"/>
          <w:lang w:val="en-IE"/>
        </w:rPr>
        <w:t xml:space="preserve"> </w:t>
      </w:r>
    </w:p>
    <w:p w14:paraId="128EB076" w14:textId="3AFA90FB" w:rsidR="00DA55F4" w:rsidRPr="00532C20" w:rsidRDefault="00C52995" w:rsidP="009E2ADD">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By providing for an early </w:t>
      </w:r>
      <w:r w:rsidR="00B25BEF" w:rsidRPr="00532C20">
        <w:rPr>
          <w:rFonts w:ascii="Times New Roman" w:hAnsi="Times New Roman" w:cs="Times New Roman"/>
          <w:noProof/>
          <w:sz w:val="24"/>
          <w:szCs w:val="24"/>
          <w:lang w:val="en-IE"/>
        </w:rPr>
        <w:t xml:space="preserve">assessment of the information provided, </w:t>
      </w:r>
      <w:r w:rsidR="00B25BEF" w:rsidRPr="00532C20">
        <w:rPr>
          <w:rFonts w:ascii="Times New Roman" w:hAnsi="Times New Roman" w:cs="Times New Roman"/>
          <w:noProof/>
          <w:sz w:val="24"/>
          <w:szCs w:val="24"/>
          <w:u w:val="single"/>
          <w:lang w:val="en-IE"/>
        </w:rPr>
        <w:t>t</w:t>
      </w:r>
      <w:r w:rsidR="00800606" w:rsidRPr="00532C20">
        <w:rPr>
          <w:rFonts w:ascii="Times New Roman" w:hAnsi="Times New Roman" w:cs="Times New Roman"/>
          <w:noProof/>
          <w:sz w:val="24"/>
          <w:szCs w:val="24"/>
          <w:u w:val="single"/>
          <w:lang w:val="en-IE"/>
        </w:rPr>
        <w:t xml:space="preserve">he prior </w:t>
      </w:r>
      <w:r w:rsidR="0074701E" w:rsidRPr="00532C20">
        <w:rPr>
          <w:rFonts w:ascii="Times New Roman" w:hAnsi="Times New Roman" w:cs="Times New Roman"/>
          <w:noProof/>
          <w:sz w:val="24"/>
          <w:szCs w:val="24"/>
          <w:u w:val="single"/>
          <w:lang w:val="en-IE"/>
        </w:rPr>
        <w:t>authorisation</w:t>
      </w:r>
      <w:r w:rsidR="00800606" w:rsidRPr="00532C20">
        <w:rPr>
          <w:rFonts w:ascii="Times New Roman" w:hAnsi="Times New Roman" w:cs="Times New Roman"/>
          <w:noProof/>
          <w:sz w:val="24"/>
          <w:szCs w:val="24"/>
          <w:u w:val="single"/>
          <w:lang w:val="en-IE"/>
        </w:rPr>
        <w:t xml:space="preserve"> system in PO2.</w:t>
      </w:r>
      <w:r w:rsidR="00FD27B4" w:rsidRPr="00532C20">
        <w:rPr>
          <w:rFonts w:ascii="Times New Roman" w:hAnsi="Times New Roman" w:cs="Times New Roman"/>
          <w:noProof/>
          <w:sz w:val="24"/>
          <w:szCs w:val="24"/>
          <w:u w:val="single"/>
          <w:lang w:val="en-IE"/>
        </w:rPr>
        <w:t>2</w:t>
      </w:r>
      <w:r w:rsidR="00800606" w:rsidRPr="00532C20">
        <w:rPr>
          <w:rFonts w:ascii="Times New Roman" w:hAnsi="Times New Roman" w:cs="Times New Roman"/>
          <w:noProof/>
          <w:sz w:val="24"/>
          <w:szCs w:val="24"/>
          <w:lang w:val="en-IE"/>
        </w:rPr>
        <w:t xml:space="preserve"> would ensure that the</w:t>
      </w:r>
      <w:r w:rsidR="00177272" w:rsidRPr="00532C20">
        <w:rPr>
          <w:rFonts w:ascii="Times New Roman" w:hAnsi="Times New Roman" w:cs="Times New Roman"/>
          <w:noProof/>
          <w:sz w:val="24"/>
          <w:szCs w:val="24"/>
          <w:lang w:val="en-IE"/>
        </w:rPr>
        <w:t xml:space="preserve"> information provided in the </w:t>
      </w:r>
      <w:r w:rsidR="009B4535" w:rsidRPr="00532C20">
        <w:rPr>
          <w:rFonts w:ascii="Times New Roman" w:hAnsi="Times New Roman" w:cs="Times New Roman"/>
          <w:noProof/>
          <w:sz w:val="24"/>
          <w:szCs w:val="24"/>
          <w:lang w:val="en-IE"/>
        </w:rPr>
        <w:t xml:space="preserve">register is </w:t>
      </w:r>
      <w:r w:rsidR="00B25BEF" w:rsidRPr="00532C20">
        <w:rPr>
          <w:rFonts w:ascii="Times New Roman" w:hAnsi="Times New Roman" w:cs="Times New Roman"/>
          <w:noProof/>
          <w:sz w:val="24"/>
          <w:szCs w:val="24"/>
          <w:lang w:val="en-IE"/>
        </w:rPr>
        <w:t>correct and complete</w:t>
      </w:r>
      <w:r w:rsidR="00B9426B" w:rsidRPr="00532C20">
        <w:rPr>
          <w:rFonts w:ascii="Times New Roman" w:hAnsi="Times New Roman" w:cs="Times New Roman"/>
          <w:noProof/>
          <w:sz w:val="24"/>
          <w:szCs w:val="24"/>
          <w:lang w:val="en-IE"/>
        </w:rPr>
        <w:t xml:space="preserve"> and would further</w:t>
      </w:r>
      <w:r w:rsidR="00634BD7" w:rsidRPr="00532C20">
        <w:rPr>
          <w:rFonts w:ascii="Times New Roman" w:hAnsi="Times New Roman" w:cs="Times New Roman"/>
          <w:noProof/>
          <w:sz w:val="24"/>
          <w:szCs w:val="24"/>
          <w:lang w:val="en-IE"/>
        </w:rPr>
        <w:t xml:space="preserve"> the</w:t>
      </w:r>
      <w:r w:rsidR="00B9426B" w:rsidRPr="00532C20">
        <w:rPr>
          <w:rFonts w:ascii="Times New Roman" w:hAnsi="Times New Roman" w:cs="Times New Roman"/>
          <w:noProof/>
          <w:sz w:val="24"/>
          <w:szCs w:val="24"/>
          <w:lang w:val="en-IE"/>
        </w:rPr>
        <w:t xml:space="preserve"> </w:t>
      </w:r>
      <w:r w:rsidR="00BE4B2D" w:rsidRPr="00532C20">
        <w:rPr>
          <w:rFonts w:ascii="Times New Roman" w:hAnsi="Times New Roman" w:cs="Times New Roman"/>
          <w:noProof/>
          <w:sz w:val="24"/>
          <w:szCs w:val="24"/>
          <w:lang w:val="en-IE"/>
        </w:rPr>
        <w:t xml:space="preserve">knowledge </w:t>
      </w:r>
      <w:r w:rsidR="00B9426B" w:rsidRPr="00532C20">
        <w:rPr>
          <w:rFonts w:ascii="Times New Roman" w:hAnsi="Times New Roman" w:cs="Times New Roman"/>
          <w:noProof/>
          <w:sz w:val="24"/>
          <w:szCs w:val="24"/>
          <w:lang w:val="en-IE"/>
        </w:rPr>
        <w:t>on the magnitude</w:t>
      </w:r>
      <w:r w:rsidR="00FA18DB" w:rsidRPr="00532C20">
        <w:rPr>
          <w:rFonts w:ascii="Times New Roman" w:hAnsi="Times New Roman" w:cs="Times New Roman"/>
          <w:noProof/>
          <w:sz w:val="24"/>
          <w:szCs w:val="24"/>
          <w:lang w:val="en-IE"/>
        </w:rPr>
        <w:t xml:space="preserve">, </w:t>
      </w:r>
      <w:r w:rsidR="00B9426B" w:rsidRPr="00532C20">
        <w:rPr>
          <w:rFonts w:ascii="Times New Roman" w:hAnsi="Times New Roman" w:cs="Times New Roman"/>
          <w:noProof/>
          <w:sz w:val="24"/>
          <w:szCs w:val="24"/>
          <w:lang w:val="en-IE"/>
        </w:rPr>
        <w:t>trends</w:t>
      </w:r>
      <w:r w:rsidR="00FA18DB" w:rsidRPr="00532C20">
        <w:rPr>
          <w:rFonts w:ascii="Times New Roman" w:hAnsi="Times New Roman" w:cs="Times New Roman"/>
          <w:noProof/>
          <w:sz w:val="24"/>
          <w:szCs w:val="24"/>
          <w:lang w:val="en-IE"/>
        </w:rPr>
        <w:t xml:space="preserve"> and actors</w:t>
      </w:r>
      <w:r w:rsidR="00B9426B" w:rsidRPr="00532C20">
        <w:rPr>
          <w:rFonts w:ascii="Times New Roman" w:hAnsi="Times New Roman" w:cs="Times New Roman"/>
          <w:noProof/>
          <w:sz w:val="24"/>
          <w:szCs w:val="24"/>
          <w:lang w:val="en-IE"/>
        </w:rPr>
        <w:t xml:space="preserve"> of interest representation activities carried out on behalf of third countries.</w:t>
      </w:r>
    </w:p>
    <w:p w14:paraId="1EF33B84" w14:textId="4835A8E4" w:rsidR="003960AE" w:rsidRPr="00532C20" w:rsidRDefault="009066A6" w:rsidP="00E415E8">
      <w:pPr>
        <w:pStyle w:val="1111level4section"/>
        <w:spacing w:before="120" w:after="120" w:line="240" w:lineRule="auto"/>
        <w:rPr>
          <w:noProof/>
        </w:rPr>
      </w:pPr>
      <w:bookmarkStart w:id="877" w:name="_Toc152864700"/>
      <w:r w:rsidRPr="00532C20">
        <w:rPr>
          <w:noProof/>
        </w:rPr>
        <w:t>Enforcement</w:t>
      </w:r>
      <w:r w:rsidR="006F17FF" w:rsidRPr="00532C20">
        <w:rPr>
          <w:noProof/>
        </w:rPr>
        <w:t xml:space="preserve"> and supervision by authorities</w:t>
      </w:r>
      <w:bookmarkEnd w:id="877"/>
    </w:p>
    <w:p w14:paraId="5188B70A" w14:textId="76D7145B" w:rsidR="008141D8" w:rsidRPr="00532C20" w:rsidRDefault="00F55D4C" w:rsidP="009E2ADD">
      <w:pPr>
        <w:spacing w:after="120" w:line="240" w:lineRule="auto"/>
        <w:jc w:val="both"/>
        <w:rPr>
          <w:rFonts w:ascii="Times New Roman" w:eastAsia="Calibri" w:hAnsi="Times New Roman" w:cs="Times"/>
          <w:bCs/>
          <w:noProof/>
          <w:sz w:val="24"/>
          <w:szCs w:val="24"/>
          <w:lang w:val="en-IE" w:eastAsia="en-GB"/>
        </w:rPr>
      </w:pPr>
      <w:r w:rsidRPr="00532C20">
        <w:rPr>
          <w:rFonts w:ascii="Times New Roman" w:hAnsi="Times New Roman" w:cs="Times New Roman"/>
          <w:noProof/>
          <w:sz w:val="24"/>
          <w:szCs w:val="24"/>
          <w:lang w:val="en-IE"/>
        </w:rPr>
        <w:t xml:space="preserve">By limiting </w:t>
      </w:r>
      <w:r w:rsidRPr="00532C20">
        <w:rPr>
          <w:rFonts w:ascii="Times New Roman" w:eastAsia="Calibri" w:hAnsi="Times New Roman" w:cs="Times"/>
          <w:noProof/>
          <w:sz w:val="24"/>
          <w:szCs w:val="24"/>
          <w:lang w:val="en-IE" w:eastAsia="en-GB"/>
        </w:rPr>
        <w:t xml:space="preserve">the risk </w:t>
      </w:r>
      <w:r w:rsidRPr="00532C20">
        <w:rPr>
          <w:rFonts w:ascii="Times New Roman" w:eastAsia="Calibri" w:hAnsi="Times New Roman" w:cs="Times"/>
          <w:bCs/>
          <w:noProof/>
          <w:sz w:val="24"/>
          <w:szCs w:val="24"/>
          <w:lang w:val="en-IE" w:eastAsia="en-GB"/>
        </w:rPr>
        <w:t xml:space="preserve">of </w:t>
      </w:r>
      <w:r w:rsidR="008141D8" w:rsidRPr="00532C20">
        <w:rPr>
          <w:rFonts w:ascii="Times New Roman" w:eastAsia="Calibri" w:hAnsi="Times New Roman" w:cs="Times"/>
          <w:noProof/>
          <w:sz w:val="24"/>
          <w:szCs w:val="24"/>
          <w:lang w:val="en-IE" w:eastAsia="en-GB"/>
        </w:rPr>
        <w:t>forum shopping</w:t>
      </w:r>
      <w:r w:rsidR="008141D8" w:rsidRPr="00532C20">
        <w:rPr>
          <w:rFonts w:ascii="Times New Roman" w:eastAsia="Calibri" w:hAnsi="Times New Roman" w:cs="Times"/>
          <w:bCs/>
          <w:noProof/>
          <w:sz w:val="24"/>
          <w:szCs w:val="24"/>
          <w:lang w:val="en-IE" w:eastAsia="en-GB"/>
        </w:rPr>
        <w:t xml:space="preserve"> (see section </w:t>
      </w:r>
      <w:r w:rsidR="008141D8" w:rsidRPr="00532C20">
        <w:rPr>
          <w:rFonts w:ascii="Times New Roman" w:eastAsia="Calibri" w:hAnsi="Times New Roman" w:cs="Times"/>
          <w:bCs/>
          <w:noProof/>
          <w:sz w:val="24"/>
          <w:szCs w:val="24"/>
          <w:lang w:val="en-IE" w:eastAsia="en-GB"/>
        </w:rPr>
        <w:fldChar w:fldCharType="begin"/>
      </w:r>
      <w:r w:rsidR="008141D8" w:rsidRPr="00532C20">
        <w:rPr>
          <w:rFonts w:ascii="Times New Roman" w:eastAsia="Calibri" w:hAnsi="Times New Roman" w:cs="Times"/>
          <w:bCs/>
          <w:noProof/>
          <w:sz w:val="24"/>
          <w:szCs w:val="24"/>
          <w:lang w:val="en-IE" w:eastAsia="en-GB"/>
        </w:rPr>
        <w:instrText xml:space="preserve"> REF _Ref146210343 \r \h </w:instrText>
      </w:r>
      <w:r w:rsidR="004B0958" w:rsidRPr="00532C20">
        <w:rPr>
          <w:rFonts w:ascii="Times New Roman" w:eastAsia="Calibri" w:hAnsi="Times New Roman" w:cs="Times"/>
          <w:bCs/>
          <w:noProof/>
          <w:sz w:val="24"/>
          <w:szCs w:val="24"/>
          <w:lang w:val="en-IE" w:eastAsia="en-GB"/>
        </w:rPr>
        <w:instrText xml:space="preserve"> \* MERGEFORMAT </w:instrText>
      </w:r>
      <w:r w:rsidR="008141D8" w:rsidRPr="00532C20">
        <w:rPr>
          <w:rFonts w:ascii="Times New Roman" w:eastAsia="Calibri" w:hAnsi="Times New Roman" w:cs="Times"/>
          <w:bCs/>
          <w:noProof/>
          <w:sz w:val="24"/>
          <w:szCs w:val="24"/>
          <w:lang w:val="en-IE" w:eastAsia="en-GB"/>
        </w:rPr>
      </w:r>
      <w:r w:rsidR="008141D8" w:rsidRPr="00532C20">
        <w:rPr>
          <w:rFonts w:ascii="Times New Roman" w:eastAsia="Calibri" w:hAnsi="Times New Roman" w:cs="Times"/>
          <w:bCs/>
          <w:noProof/>
          <w:sz w:val="24"/>
          <w:szCs w:val="24"/>
          <w:lang w:val="en-IE" w:eastAsia="en-GB"/>
        </w:rPr>
        <w:fldChar w:fldCharType="separate"/>
      </w:r>
      <w:r w:rsidR="00DD4A72">
        <w:rPr>
          <w:rFonts w:ascii="Times New Roman" w:eastAsia="Calibri" w:hAnsi="Times New Roman" w:cs="Times"/>
          <w:bCs/>
          <w:noProof/>
          <w:sz w:val="24"/>
          <w:szCs w:val="24"/>
          <w:lang w:val="en-IE" w:eastAsia="en-GB"/>
        </w:rPr>
        <w:t>6.2.1.1</w:t>
      </w:r>
      <w:r w:rsidR="008141D8" w:rsidRPr="00532C20">
        <w:rPr>
          <w:rFonts w:ascii="Times New Roman" w:eastAsia="Calibri" w:hAnsi="Times New Roman" w:cs="Times"/>
          <w:bCs/>
          <w:noProof/>
          <w:sz w:val="24"/>
          <w:szCs w:val="24"/>
          <w:lang w:val="en-IE" w:eastAsia="en-GB"/>
        </w:rPr>
        <w:fldChar w:fldCharType="end"/>
      </w:r>
      <w:r w:rsidR="00F14D89" w:rsidRPr="00532C20">
        <w:rPr>
          <w:rFonts w:ascii="Times New Roman" w:eastAsia="Calibri" w:hAnsi="Times New Roman" w:cs="Times"/>
          <w:bCs/>
          <w:noProof/>
          <w:sz w:val="24"/>
          <w:szCs w:val="24"/>
          <w:lang w:val="en-IE" w:eastAsia="en-GB"/>
        </w:rPr>
        <w:t xml:space="preserve"> above), </w:t>
      </w:r>
      <w:r w:rsidR="00C354CE">
        <w:rPr>
          <w:rFonts w:ascii="Times New Roman" w:eastAsia="Calibri" w:hAnsi="Times New Roman" w:cs="Times"/>
          <w:bCs/>
          <w:noProof/>
          <w:sz w:val="24"/>
          <w:szCs w:val="24"/>
          <w:u w:val="single"/>
          <w:lang w:val="en-IE" w:eastAsia="en-GB"/>
        </w:rPr>
        <w:t>PO</w:t>
      </w:r>
      <w:r w:rsidR="00F14D89" w:rsidRPr="00532C20">
        <w:rPr>
          <w:rFonts w:ascii="Times New Roman" w:eastAsia="Calibri" w:hAnsi="Times New Roman" w:cs="Times"/>
          <w:bCs/>
          <w:noProof/>
          <w:sz w:val="24"/>
          <w:szCs w:val="24"/>
          <w:u w:val="single"/>
          <w:lang w:val="en-IE" w:eastAsia="en-GB"/>
        </w:rPr>
        <w:t>1</w:t>
      </w:r>
      <w:r w:rsidR="00F14D89" w:rsidRPr="00532C20">
        <w:rPr>
          <w:rFonts w:ascii="Times New Roman" w:eastAsia="Calibri" w:hAnsi="Times New Roman" w:cs="Times"/>
          <w:bCs/>
          <w:noProof/>
          <w:sz w:val="24"/>
          <w:szCs w:val="24"/>
          <w:lang w:val="en-IE" w:eastAsia="en-GB"/>
        </w:rPr>
        <w:t xml:space="preserve"> would be a </w:t>
      </w:r>
      <w:r w:rsidR="00C25237" w:rsidRPr="00532C20">
        <w:rPr>
          <w:rFonts w:ascii="Times New Roman" w:eastAsia="Calibri" w:hAnsi="Times New Roman" w:cs="Times"/>
          <w:bCs/>
          <w:noProof/>
          <w:sz w:val="24"/>
          <w:szCs w:val="24"/>
          <w:lang w:val="en-IE" w:eastAsia="en-GB"/>
        </w:rPr>
        <w:t xml:space="preserve">limited </w:t>
      </w:r>
      <w:r w:rsidR="00F14D89" w:rsidRPr="00532C20">
        <w:rPr>
          <w:rFonts w:ascii="Times New Roman" w:eastAsia="Calibri" w:hAnsi="Times New Roman" w:cs="Times"/>
          <w:bCs/>
          <w:noProof/>
          <w:sz w:val="24"/>
          <w:szCs w:val="24"/>
          <w:lang w:val="en-IE" w:eastAsia="en-GB"/>
        </w:rPr>
        <w:t xml:space="preserve">improvement compared to the baseline, as </w:t>
      </w:r>
      <w:r w:rsidR="00BB251C" w:rsidRPr="00532C20">
        <w:rPr>
          <w:rFonts w:ascii="Times New Roman" w:eastAsia="Calibri" w:hAnsi="Times New Roman" w:cs="Times"/>
          <w:bCs/>
          <w:noProof/>
          <w:sz w:val="24"/>
          <w:szCs w:val="24"/>
          <w:lang w:val="en-IE" w:eastAsia="en-GB"/>
        </w:rPr>
        <w:t xml:space="preserve">interest representatives are less likely </w:t>
      </w:r>
      <w:r w:rsidR="00AA4E06" w:rsidRPr="00532C20">
        <w:rPr>
          <w:rFonts w:ascii="Times New Roman" w:eastAsia="Calibri" w:hAnsi="Times New Roman" w:cs="Times"/>
          <w:bCs/>
          <w:noProof/>
          <w:sz w:val="24"/>
          <w:szCs w:val="24"/>
          <w:lang w:val="en-IE" w:eastAsia="en-GB"/>
        </w:rPr>
        <w:t>to direct their operations towards less regulated Member States, enabling</w:t>
      </w:r>
      <w:r w:rsidR="009A3356" w:rsidRPr="00532C20">
        <w:rPr>
          <w:rFonts w:ascii="Times New Roman" w:eastAsia="Calibri" w:hAnsi="Times New Roman" w:cs="Times"/>
          <w:bCs/>
          <w:noProof/>
          <w:sz w:val="24"/>
          <w:szCs w:val="24"/>
          <w:lang w:val="en-IE" w:eastAsia="en-GB"/>
        </w:rPr>
        <w:t xml:space="preserve"> M</w:t>
      </w:r>
      <w:r w:rsidR="00AA4E06" w:rsidRPr="00532C20">
        <w:rPr>
          <w:rFonts w:ascii="Times New Roman" w:eastAsia="Calibri" w:hAnsi="Times New Roman" w:cs="Times"/>
          <w:bCs/>
          <w:noProof/>
          <w:sz w:val="24"/>
          <w:szCs w:val="24"/>
          <w:lang w:val="en-IE" w:eastAsia="en-GB"/>
        </w:rPr>
        <w:t xml:space="preserve">ember </w:t>
      </w:r>
      <w:r w:rsidR="009A3356" w:rsidRPr="00532C20">
        <w:rPr>
          <w:rFonts w:ascii="Times New Roman" w:eastAsia="Calibri" w:hAnsi="Times New Roman" w:cs="Times"/>
          <w:bCs/>
          <w:noProof/>
          <w:sz w:val="24"/>
          <w:szCs w:val="24"/>
          <w:lang w:val="en-IE" w:eastAsia="en-GB"/>
        </w:rPr>
        <w:t>S</w:t>
      </w:r>
      <w:r w:rsidR="00AA4E06" w:rsidRPr="00532C20">
        <w:rPr>
          <w:rFonts w:ascii="Times New Roman" w:eastAsia="Calibri" w:hAnsi="Times New Roman" w:cs="Times"/>
          <w:bCs/>
          <w:noProof/>
          <w:sz w:val="24"/>
          <w:szCs w:val="24"/>
          <w:lang w:val="en-IE" w:eastAsia="en-GB"/>
        </w:rPr>
        <w:t xml:space="preserve">tates to better monitor interest </w:t>
      </w:r>
      <w:r w:rsidR="00C25237" w:rsidRPr="00532C20">
        <w:rPr>
          <w:rFonts w:ascii="Times New Roman" w:eastAsia="Calibri" w:hAnsi="Times New Roman" w:cs="Times"/>
          <w:bCs/>
          <w:noProof/>
          <w:sz w:val="24"/>
          <w:szCs w:val="24"/>
          <w:lang w:val="en-IE" w:eastAsia="en-GB"/>
        </w:rPr>
        <w:t>representation</w:t>
      </w:r>
      <w:r w:rsidR="00AA4E06" w:rsidRPr="00532C20">
        <w:rPr>
          <w:rFonts w:ascii="Times New Roman" w:eastAsia="Calibri" w:hAnsi="Times New Roman" w:cs="Times"/>
          <w:bCs/>
          <w:noProof/>
          <w:sz w:val="24"/>
          <w:szCs w:val="24"/>
          <w:lang w:val="en-IE" w:eastAsia="en-GB"/>
        </w:rPr>
        <w:t xml:space="preserve"> </w:t>
      </w:r>
      <w:r w:rsidR="00C25237" w:rsidRPr="00532C20">
        <w:rPr>
          <w:rFonts w:ascii="Times New Roman" w:eastAsia="Calibri" w:hAnsi="Times New Roman" w:cs="Times"/>
          <w:bCs/>
          <w:noProof/>
          <w:sz w:val="24"/>
          <w:szCs w:val="24"/>
          <w:lang w:val="en-IE" w:eastAsia="en-GB"/>
        </w:rPr>
        <w:t>activities</w:t>
      </w:r>
      <w:r w:rsidR="00AA4E06" w:rsidRPr="00532C20">
        <w:rPr>
          <w:rFonts w:ascii="Times New Roman" w:eastAsia="Calibri" w:hAnsi="Times New Roman" w:cs="Times"/>
          <w:bCs/>
          <w:noProof/>
          <w:sz w:val="24"/>
          <w:szCs w:val="24"/>
          <w:lang w:val="en-IE" w:eastAsia="en-GB"/>
        </w:rPr>
        <w:t xml:space="preserve"> </w:t>
      </w:r>
      <w:r w:rsidR="00C25237" w:rsidRPr="00532C20">
        <w:rPr>
          <w:rFonts w:ascii="Times New Roman" w:eastAsia="Calibri" w:hAnsi="Times New Roman" w:cs="Times"/>
          <w:bCs/>
          <w:noProof/>
          <w:sz w:val="24"/>
          <w:szCs w:val="24"/>
          <w:lang w:val="en-IE" w:eastAsia="en-GB"/>
        </w:rPr>
        <w:t>carried out on behalf of third countries in their jurisdiction.</w:t>
      </w:r>
    </w:p>
    <w:p w14:paraId="3EBCEEB6" w14:textId="3434D6C7" w:rsidR="00AA4E06" w:rsidRPr="00195D7D" w:rsidRDefault="00AA4E06" w:rsidP="009E2ADD">
      <w:pPr>
        <w:spacing w:after="120" w:line="240" w:lineRule="auto"/>
        <w:jc w:val="both"/>
        <w:rPr>
          <w:rFonts w:ascii="Times New Roman" w:hAnsi="Times New Roman" w:cs="Times New Roman"/>
          <w:noProof/>
          <w:sz w:val="24"/>
          <w:szCs w:val="24"/>
          <w:lang w:val="en-IE"/>
        </w:rPr>
      </w:pPr>
      <w:r w:rsidRPr="00195D7D">
        <w:rPr>
          <w:rFonts w:ascii="Times New Roman" w:hAnsi="Times New Roman" w:cs="Times New Roman"/>
          <w:noProof/>
          <w:sz w:val="24"/>
          <w:szCs w:val="24"/>
          <w:u w:val="single"/>
          <w:lang w:val="en-IE"/>
        </w:rPr>
        <w:t>The</w:t>
      </w:r>
      <w:r w:rsidR="00A90D63" w:rsidRPr="00195D7D">
        <w:rPr>
          <w:rFonts w:ascii="Times New Roman" w:hAnsi="Times New Roman" w:cs="Times New Roman"/>
          <w:noProof/>
          <w:sz w:val="24"/>
          <w:szCs w:val="24"/>
          <w:u w:val="single"/>
          <w:lang w:val="en-IE"/>
        </w:rPr>
        <w:t xml:space="preserve"> 2</w:t>
      </w:r>
      <w:r w:rsidRPr="00195D7D">
        <w:rPr>
          <w:rFonts w:ascii="Times New Roman" w:hAnsi="Times New Roman" w:cs="Times New Roman"/>
          <w:noProof/>
          <w:sz w:val="24"/>
          <w:szCs w:val="24"/>
          <w:u w:val="single"/>
          <w:lang w:val="en-IE"/>
        </w:rPr>
        <w:t xml:space="preserve"> legislative options (PO2.</w:t>
      </w:r>
      <w:r w:rsidR="00A80C58" w:rsidRPr="00195D7D">
        <w:rPr>
          <w:rFonts w:ascii="Times New Roman" w:hAnsi="Times New Roman" w:cs="Times New Roman"/>
          <w:noProof/>
          <w:sz w:val="24"/>
          <w:szCs w:val="24"/>
          <w:u w:val="single"/>
          <w:lang w:val="en-IE"/>
        </w:rPr>
        <w:t>1</w:t>
      </w:r>
      <w:r w:rsidR="004A5352" w:rsidRPr="00195D7D">
        <w:rPr>
          <w:rFonts w:ascii="Times New Roman" w:hAnsi="Times New Roman" w:cs="Times New Roman"/>
          <w:noProof/>
          <w:sz w:val="24"/>
          <w:szCs w:val="24"/>
          <w:u w:val="single"/>
          <w:lang w:val="en-IE"/>
        </w:rPr>
        <w:t xml:space="preserve"> </w:t>
      </w:r>
      <w:r w:rsidRPr="00195D7D">
        <w:rPr>
          <w:rFonts w:ascii="Times New Roman" w:hAnsi="Times New Roman" w:cs="Times New Roman"/>
          <w:noProof/>
          <w:sz w:val="24"/>
          <w:szCs w:val="24"/>
          <w:u w:val="single"/>
          <w:lang w:val="en-IE"/>
        </w:rPr>
        <w:t>and PO2.</w:t>
      </w:r>
      <w:r w:rsidR="00A80C58" w:rsidRPr="00195D7D">
        <w:rPr>
          <w:rFonts w:ascii="Times New Roman" w:hAnsi="Times New Roman" w:cs="Times New Roman"/>
          <w:noProof/>
          <w:sz w:val="24"/>
          <w:szCs w:val="24"/>
          <w:u w:val="single"/>
          <w:lang w:val="en-IE"/>
        </w:rPr>
        <w:t>2</w:t>
      </w:r>
      <w:r w:rsidRPr="00195D7D">
        <w:rPr>
          <w:rFonts w:ascii="Times New Roman" w:hAnsi="Times New Roman" w:cs="Times New Roman"/>
          <w:noProof/>
          <w:sz w:val="24"/>
          <w:szCs w:val="24"/>
          <w:u w:val="single"/>
          <w:lang w:val="en-IE"/>
        </w:rPr>
        <w:t>)</w:t>
      </w:r>
      <w:r w:rsidRPr="00195D7D">
        <w:rPr>
          <w:rFonts w:ascii="Times New Roman" w:hAnsi="Times New Roman" w:cs="Times New Roman"/>
          <w:noProof/>
          <w:sz w:val="24"/>
          <w:szCs w:val="24"/>
          <w:lang w:val="en-IE"/>
        </w:rPr>
        <w:t xml:space="preserve">, </w:t>
      </w:r>
      <w:r w:rsidR="009A3356" w:rsidRPr="00195D7D">
        <w:rPr>
          <w:rFonts w:ascii="Times New Roman" w:hAnsi="Times New Roman" w:cs="Times New Roman"/>
          <w:noProof/>
          <w:sz w:val="24"/>
          <w:szCs w:val="24"/>
          <w:lang w:val="en-IE"/>
        </w:rPr>
        <w:t xml:space="preserve">entail further improvement by </w:t>
      </w:r>
      <w:r w:rsidR="00DA779A" w:rsidRPr="00195D7D">
        <w:rPr>
          <w:rFonts w:ascii="Times New Roman" w:hAnsi="Times New Roman" w:cs="Times New Roman"/>
          <w:noProof/>
          <w:sz w:val="24"/>
          <w:szCs w:val="24"/>
          <w:lang w:val="en-IE"/>
        </w:rPr>
        <w:t xml:space="preserve">strengthening regulatory coordination among competent </w:t>
      </w:r>
      <w:r w:rsidR="00CF5AE8" w:rsidRPr="00195D7D">
        <w:rPr>
          <w:rFonts w:ascii="Times New Roman" w:hAnsi="Times New Roman" w:cs="Times New Roman"/>
          <w:noProof/>
          <w:sz w:val="24"/>
          <w:szCs w:val="24"/>
          <w:lang w:val="en-IE"/>
        </w:rPr>
        <w:t>authorities</w:t>
      </w:r>
      <w:r w:rsidR="00DA779A" w:rsidRPr="00195D7D">
        <w:rPr>
          <w:rFonts w:ascii="Times New Roman" w:hAnsi="Times New Roman" w:cs="Times New Roman"/>
          <w:noProof/>
          <w:sz w:val="24"/>
          <w:szCs w:val="24"/>
          <w:lang w:val="en-IE"/>
        </w:rPr>
        <w:t xml:space="preserve"> especially via</w:t>
      </w:r>
      <w:r w:rsidR="00CF5AE8" w:rsidRPr="00195D7D">
        <w:rPr>
          <w:rFonts w:ascii="Times New Roman" w:hAnsi="Times New Roman" w:cs="Times New Roman"/>
          <w:noProof/>
          <w:sz w:val="24"/>
          <w:szCs w:val="24"/>
          <w:lang w:val="en-IE"/>
        </w:rPr>
        <w:t xml:space="preserve"> the establishment of a </w:t>
      </w:r>
      <w:r w:rsidR="00CF5AE8" w:rsidRPr="00195D7D">
        <w:rPr>
          <w:rFonts w:ascii="Times New Roman" w:eastAsia="Times" w:hAnsi="Times New Roman" w:cs="Times New Roman"/>
          <w:noProof/>
          <w:sz w:val="24"/>
          <w:szCs w:val="24"/>
          <w:lang w:val="en-IE"/>
        </w:rPr>
        <w:t>governance cooperation mechanism</w:t>
      </w:r>
      <w:r w:rsidR="00DA779A" w:rsidRPr="00195D7D">
        <w:rPr>
          <w:rFonts w:ascii="Times New Roman" w:hAnsi="Times New Roman" w:cs="Times New Roman"/>
          <w:noProof/>
          <w:sz w:val="24"/>
          <w:szCs w:val="24"/>
          <w:lang w:val="en-IE"/>
        </w:rPr>
        <w:t xml:space="preserve"> </w:t>
      </w:r>
      <w:r w:rsidR="00CF5AE8" w:rsidRPr="00195D7D">
        <w:rPr>
          <w:rFonts w:ascii="Times New Roman" w:hAnsi="Times New Roman" w:cs="Times New Roman"/>
          <w:noProof/>
          <w:sz w:val="24"/>
          <w:szCs w:val="24"/>
          <w:lang w:val="en-IE"/>
        </w:rPr>
        <w:t xml:space="preserve">such as </w:t>
      </w:r>
      <w:r w:rsidR="00DA779A" w:rsidRPr="00195D7D">
        <w:rPr>
          <w:rFonts w:ascii="Times New Roman" w:hAnsi="Times New Roman" w:cs="Times New Roman"/>
          <w:noProof/>
          <w:sz w:val="24"/>
          <w:szCs w:val="24"/>
          <w:lang w:val="en-IE"/>
        </w:rPr>
        <w:t xml:space="preserve">an </w:t>
      </w:r>
      <w:r w:rsidR="00CF5AE8" w:rsidRPr="00195D7D">
        <w:rPr>
          <w:rFonts w:ascii="Times New Roman" w:eastAsia="Times" w:hAnsi="Times New Roman" w:cs="Times New Roman"/>
          <w:noProof/>
          <w:sz w:val="24"/>
          <w:szCs w:val="24"/>
          <w:lang w:val="en-IE"/>
        </w:rPr>
        <w:t>advisory group</w:t>
      </w:r>
      <w:r w:rsidR="001036CB" w:rsidRPr="00195D7D">
        <w:rPr>
          <w:rFonts w:ascii="Times New Roman" w:eastAsia="Times" w:hAnsi="Times New Roman" w:cs="Times New Roman"/>
          <w:noProof/>
          <w:sz w:val="24"/>
          <w:szCs w:val="24"/>
          <w:lang w:val="en-IE"/>
        </w:rPr>
        <w:t>, and information sharing structures</w:t>
      </w:r>
      <w:r w:rsidR="00CF5AE8" w:rsidRPr="00195D7D">
        <w:rPr>
          <w:rFonts w:ascii="Times New Roman" w:eastAsia="Times" w:hAnsi="Times New Roman" w:cs="Times New Roman"/>
          <w:noProof/>
          <w:sz w:val="24"/>
          <w:szCs w:val="24"/>
          <w:lang w:val="en-IE"/>
        </w:rPr>
        <w:t>.</w:t>
      </w:r>
      <w:r w:rsidR="009A3356" w:rsidRPr="00195D7D">
        <w:rPr>
          <w:rFonts w:ascii="Times New Roman" w:hAnsi="Times New Roman" w:cs="Times New Roman"/>
          <w:noProof/>
          <w:sz w:val="24"/>
          <w:szCs w:val="24"/>
          <w:lang w:val="en-IE"/>
        </w:rPr>
        <w:t xml:space="preserve"> </w:t>
      </w:r>
      <w:r w:rsidR="001036CB" w:rsidRPr="00195D7D">
        <w:rPr>
          <w:rFonts w:ascii="Times New Roman" w:hAnsi="Times New Roman" w:cs="Times New Roman"/>
          <w:noProof/>
          <w:sz w:val="24"/>
          <w:szCs w:val="24"/>
          <w:lang w:val="en-IE"/>
        </w:rPr>
        <w:t xml:space="preserve">This would ensure that oversight on a common set of </w:t>
      </w:r>
      <w:r w:rsidR="00D61C39" w:rsidRPr="00195D7D">
        <w:rPr>
          <w:rFonts w:ascii="Times New Roman" w:hAnsi="Times New Roman" w:cs="Times New Roman"/>
          <w:noProof/>
          <w:sz w:val="24"/>
          <w:szCs w:val="24"/>
          <w:lang w:val="en-IE"/>
        </w:rPr>
        <w:t>transparency requirements is better coordinated among national authorities</w:t>
      </w:r>
      <w:r w:rsidR="00CA5AED" w:rsidRPr="00195D7D">
        <w:rPr>
          <w:rStyle w:val="FootnoteReference"/>
          <w:rFonts w:ascii="Times New Roman" w:hAnsi="Times New Roman" w:cs="Times New Roman"/>
          <w:noProof/>
          <w:sz w:val="24"/>
          <w:szCs w:val="24"/>
          <w:lang w:val="en-IE"/>
        </w:rPr>
        <w:footnoteReference w:id="178"/>
      </w:r>
      <w:r w:rsidR="00D61C39" w:rsidRPr="00195D7D">
        <w:rPr>
          <w:rFonts w:ascii="Times New Roman" w:hAnsi="Times New Roman" w:cs="Times New Roman"/>
          <w:noProof/>
          <w:sz w:val="24"/>
          <w:szCs w:val="24"/>
          <w:lang w:val="en-IE"/>
        </w:rPr>
        <w:t>.</w:t>
      </w:r>
      <w:r w:rsidR="00816E59" w:rsidRPr="00195D7D">
        <w:rPr>
          <w:rFonts w:ascii="Times New Roman" w:hAnsi="Times New Roman" w:cs="Times New Roman"/>
          <w:noProof/>
          <w:sz w:val="24"/>
          <w:szCs w:val="24"/>
          <w:lang w:val="en-IE"/>
        </w:rPr>
        <w:t xml:space="preserve"> </w:t>
      </w:r>
    </w:p>
    <w:p w14:paraId="3B3D4396" w14:textId="6A206389" w:rsidR="00FF55B1" w:rsidRPr="00532C20" w:rsidRDefault="00021514" w:rsidP="009E2ADD">
      <w:pPr>
        <w:spacing w:after="120" w:line="240" w:lineRule="auto"/>
        <w:jc w:val="both"/>
        <w:rPr>
          <w:rFonts w:ascii="Times New Roman" w:hAnsi="Times New Roman" w:cs="Times New Roman"/>
          <w:noProof/>
          <w:sz w:val="24"/>
          <w:szCs w:val="24"/>
          <w:lang w:val="en-IE"/>
        </w:rPr>
      </w:pPr>
      <w:r w:rsidRPr="00195D7D">
        <w:rPr>
          <w:rFonts w:ascii="Times New Roman" w:hAnsi="Times New Roman" w:cs="Times New Roman"/>
          <w:noProof/>
          <w:sz w:val="24"/>
          <w:szCs w:val="24"/>
          <w:lang w:val="en-IE"/>
        </w:rPr>
        <w:t>In addition</w:t>
      </w:r>
      <w:r w:rsidR="00FF55B1" w:rsidRPr="00195D7D">
        <w:rPr>
          <w:rFonts w:ascii="Times New Roman" w:hAnsi="Times New Roman" w:cs="Times New Roman"/>
          <w:noProof/>
          <w:sz w:val="24"/>
          <w:szCs w:val="24"/>
          <w:lang w:val="en-IE"/>
        </w:rPr>
        <w:t>,</w:t>
      </w:r>
      <w:r w:rsidRPr="00195D7D">
        <w:rPr>
          <w:rFonts w:ascii="Times New Roman" w:hAnsi="Times New Roman" w:cs="Times New Roman"/>
          <w:noProof/>
          <w:sz w:val="24"/>
          <w:szCs w:val="24"/>
          <w:lang w:val="en-IE"/>
        </w:rPr>
        <w:t xml:space="preserve"> both </w:t>
      </w:r>
      <w:r w:rsidR="001939EE" w:rsidRPr="00195D7D">
        <w:rPr>
          <w:rFonts w:ascii="Times New Roman" w:hAnsi="Times New Roman" w:cs="Times New Roman"/>
          <w:noProof/>
          <w:sz w:val="24"/>
          <w:szCs w:val="24"/>
          <w:lang w:val="en-IE"/>
        </w:rPr>
        <w:t>legislative option</w:t>
      </w:r>
      <w:r w:rsidR="00FF55B1" w:rsidRPr="00195D7D">
        <w:rPr>
          <w:rFonts w:ascii="Times New Roman" w:hAnsi="Times New Roman" w:cs="Times New Roman"/>
          <w:noProof/>
          <w:sz w:val="24"/>
          <w:szCs w:val="24"/>
          <w:lang w:val="en-IE"/>
        </w:rPr>
        <w:t>s</w:t>
      </w:r>
      <w:r w:rsidR="001939EE" w:rsidRPr="00195D7D">
        <w:rPr>
          <w:rFonts w:ascii="Times New Roman" w:hAnsi="Times New Roman" w:cs="Times New Roman"/>
          <w:noProof/>
          <w:sz w:val="24"/>
          <w:szCs w:val="24"/>
          <w:lang w:val="en-IE"/>
        </w:rPr>
        <w:t xml:space="preserve"> provide</w:t>
      </w:r>
      <w:r w:rsidR="001939EE" w:rsidRPr="00532C20">
        <w:rPr>
          <w:rFonts w:ascii="Times New Roman" w:hAnsi="Times New Roman" w:cs="Times New Roman"/>
          <w:noProof/>
          <w:sz w:val="24"/>
          <w:szCs w:val="24"/>
          <w:lang w:val="en-IE"/>
        </w:rPr>
        <w:t xml:space="preserve"> for</w:t>
      </w:r>
      <w:r w:rsidR="007F3BA4" w:rsidRPr="00532C20">
        <w:rPr>
          <w:rFonts w:ascii="Times New Roman" w:hAnsi="Times New Roman" w:cs="Times New Roman"/>
          <w:noProof/>
          <w:sz w:val="24"/>
          <w:szCs w:val="24"/>
          <w:lang w:val="en-IE"/>
        </w:rPr>
        <w:t xml:space="preserve"> gradual enforcement mechanism thanks to a</w:t>
      </w:r>
      <w:r w:rsidR="001939EE" w:rsidRPr="00532C20">
        <w:rPr>
          <w:rFonts w:ascii="Times New Roman" w:hAnsi="Times New Roman" w:cs="Times New Roman"/>
          <w:noProof/>
          <w:sz w:val="24"/>
          <w:szCs w:val="24"/>
          <w:lang w:val="en-IE"/>
        </w:rPr>
        <w:t xml:space="preserve"> </w:t>
      </w:r>
      <w:r w:rsidR="00FF55B1" w:rsidRPr="00532C20">
        <w:rPr>
          <w:rFonts w:ascii="Times New Roman" w:hAnsi="Times New Roman" w:cs="Times New Roman"/>
          <w:i/>
          <w:iCs/>
          <w:noProof/>
          <w:sz w:val="24"/>
          <w:szCs w:val="24"/>
          <w:lang w:val="en-IE"/>
        </w:rPr>
        <w:t>risk-based</w:t>
      </w:r>
      <w:r w:rsidR="001939EE" w:rsidRPr="00532C20">
        <w:rPr>
          <w:rFonts w:ascii="Times New Roman" w:hAnsi="Times New Roman" w:cs="Times New Roman"/>
          <w:i/>
          <w:iCs/>
          <w:noProof/>
          <w:sz w:val="24"/>
          <w:szCs w:val="24"/>
          <w:lang w:val="en-IE"/>
        </w:rPr>
        <w:t xml:space="preserve"> approach</w:t>
      </w:r>
      <w:r w:rsidR="00CE45EF" w:rsidRPr="00532C20">
        <w:rPr>
          <w:rFonts w:ascii="Times New Roman" w:hAnsi="Times New Roman" w:cs="Times New Roman"/>
          <w:i/>
          <w:iCs/>
          <w:noProof/>
          <w:sz w:val="24"/>
          <w:szCs w:val="24"/>
          <w:lang w:val="en-IE"/>
        </w:rPr>
        <w:t xml:space="preserve">. </w:t>
      </w:r>
      <w:r w:rsidR="00CE45EF" w:rsidRPr="00313F32">
        <w:rPr>
          <w:rFonts w:ascii="Times New Roman" w:hAnsi="Times New Roman" w:cs="Times New Roman"/>
          <w:noProof/>
          <w:sz w:val="24"/>
          <w:szCs w:val="24"/>
          <w:lang w:val="en-IE"/>
        </w:rPr>
        <w:t>In</w:t>
      </w:r>
      <w:r w:rsidR="00386606" w:rsidRPr="00313F32">
        <w:rPr>
          <w:rFonts w:ascii="Times New Roman" w:hAnsi="Times New Roman" w:cs="Times New Roman"/>
          <w:noProof/>
          <w:sz w:val="24"/>
          <w:szCs w:val="24"/>
          <w:lang w:val="en-IE"/>
        </w:rPr>
        <w:t xml:space="preserve"> </w:t>
      </w:r>
      <w:r w:rsidR="00386606" w:rsidRPr="00532C20">
        <w:rPr>
          <w:rFonts w:ascii="Times New Roman" w:hAnsi="Times New Roman" w:cs="Times New Roman"/>
          <w:noProof/>
          <w:sz w:val="24"/>
          <w:szCs w:val="24"/>
          <w:u w:val="single"/>
          <w:lang w:val="en-IE"/>
        </w:rPr>
        <w:t>PO</w:t>
      </w:r>
      <w:r w:rsidR="00CE45EF" w:rsidRPr="00532C20">
        <w:rPr>
          <w:rFonts w:ascii="Times New Roman" w:hAnsi="Times New Roman" w:cs="Times New Roman"/>
          <w:noProof/>
          <w:sz w:val="24"/>
          <w:szCs w:val="24"/>
          <w:u w:val="single"/>
          <w:lang w:val="en-IE"/>
        </w:rPr>
        <w:t>2.</w:t>
      </w:r>
      <w:r w:rsidR="00A80C58" w:rsidRPr="00532C20">
        <w:rPr>
          <w:rFonts w:ascii="Times New Roman" w:hAnsi="Times New Roman" w:cs="Times New Roman"/>
          <w:noProof/>
          <w:sz w:val="24"/>
          <w:szCs w:val="24"/>
          <w:u w:val="single"/>
          <w:lang w:val="en-IE"/>
        </w:rPr>
        <w:t>1</w:t>
      </w:r>
      <w:r w:rsidR="00CE45EF" w:rsidRPr="00532C20">
        <w:rPr>
          <w:rFonts w:ascii="Times New Roman" w:hAnsi="Times New Roman" w:cs="Times New Roman"/>
          <w:noProof/>
          <w:sz w:val="24"/>
          <w:szCs w:val="24"/>
          <w:u w:val="single"/>
          <w:lang w:val="en-IE"/>
        </w:rPr>
        <w:t>,</w:t>
      </w:r>
      <w:r w:rsidR="00CE45EF" w:rsidRPr="00532C20">
        <w:rPr>
          <w:rFonts w:ascii="Times New Roman" w:hAnsi="Times New Roman" w:cs="Times New Roman"/>
          <w:noProof/>
          <w:sz w:val="24"/>
          <w:szCs w:val="24"/>
          <w:lang w:val="en-IE"/>
        </w:rPr>
        <w:t xml:space="preserve"> </w:t>
      </w:r>
      <w:r w:rsidR="00AE6451" w:rsidRPr="00532C20">
        <w:rPr>
          <w:rFonts w:ascii="Times New Roman" w:hAnsi="Times New Roman" w:cs="Times New Roman"/>
          <w:noProof/>
          <w:sz w:val="24"/>
          <w:szCs w:val="24"/>
          <w:lang w:val="en-IE"/>
        </w:rPr>
        <w:t>supervisory authorities</w:t>
      </w:r>
      <w:r w:rsidR="001939EE" w:rsidRPr="00532C20">
        <w:rPr>
          <w:rFonts w:ascii="Times New Roman" w:hAnsi="Times New Roman" w:cs="Times New Roman"/>
          <w:noProof/>
          <w:sz w:val="24"/>
          <w:szCs w:val="24"/>
          <w:lang w:val="en-IE"/>
        </w:rPr>
        <w:t xml:space="preserve"> </w:t>
      </w:r>
      <w:r w:rsidR="00CE45EF" w:rsidRPr="00532C20">
        <w:rPr>
          <w:rFonts w:ascii="Times New Roman" w:hAnsi="Times New Roman" w:cs="Times New Roman"/>
          <w:noProof/>
          <w:sz w:val="24"/>
          <w:szCs w:val="24"/>
          <w:lang w:val="en-IE"/>
        </w:rPr>
        <w:t xml:space="preserve">would be able to </w:t>
      </w:r>
      <w:r w:rsidR="00CE45EF" w:rsidRPr="00532C20">
        <w:rPr>
          <w:rFonts w:ascii="Times New Roman" w:hAnsi="Times New Roman" w:cs="Times New Roman"/>
          <w:i/>
          <w:iCs/>
          <w:noProof/>
          <w:sz w:val="24"/>
          <w:szCs w:val="24"/>
          <w:lang w:val="en-IE"/>
        </w:rPr>
        <w:t>request</w:t>
      </w:r>
      <w:r w:rsidR="009B59BD" w:rsidRPr="00532C20">
        <w:rPr>
          <w:rFonts w:ascii="Times New Roman" w:hAnsi="Times New Roman" w:cs="Times New Roman"/>
          <w:i/>
          <w:iCs/>
          <w:noProof/>
          <w:sz w:val="24"/>
          <w:szCs w:val="24"/>
          <w:lang w:val="en-IE"/>
        </w:rPr>
        <w:t xml:space="preserve">, without </w:t>
      </w:r>
      <w:r w:rsidR="00CE45EF" w:rsidRPr="00532C20">
        <w:rPr>
          <w:rFonts w:ascii="Times New Roman" w:hAnsi="Times New Roman" w:cs="Times New Roman"/>
          <w:i/>
          <w:iCs/>
          <w:noProof/>
          <w:sz w:val="24"/>
          <w:szCs w:val="24"/>
          <w:lang w:val="en-IE"/>
        </w:rPr>
        <w:t xml:space="preserve">any </w:t>
      </w:r>
      <w:r w:rsidR="00004DF3" w:rsidRPr="00532C20">
        <w:rPr>
          <w:rFonts w:ascii="Times New Roman" w:hAnsi="Times New Roman" w:cs="Times New Roman"/>
          <w:i/>
          <w:iCs/>
          <w:noProof/>
          <w:sz w:val="24"/>
          <w:szCs w:val="24"/>
          <w:lang w:val="en-IE"/>
        </w:rPr>
        <w:t>justification,</w:t>
      </w:r>
      <w:r w:rsidR="001939EE" w:rsidRPr="00532C20">
        <w:rPr>
          <w:rFonts w:ascii="Times New Roman" w:hAnsi="Times New Roman" w:cs="Times New Roman"/>
          <w:i/>
          <w:iCs/>
          <w:noProof/>
          <w:sz w:val="24"/>
          <w:szCs w:val="24"/>
          <w:lang w:val="en-IE"/>
        </w:rPr>
        <w:t xml:space="preserve"> the records kept</w:t>
      </w:r>
      <w:r w:rsidR="001939EE" w:rsidRPr="00532C20">
        <w:rPr>
          <w:rFonts w:ascii="Times New Roman" w:hAnsi="Times New Roman" w:cs="Times New Roman"/>
          <w:noProof/>
          <w:sz w:val="24"/>
          <w:szCs w:val="24"/>
          <w:lang w:val="en-IE"/>
        </w:rPr>
        <w:t xml:space="preserve"> by</w:t>
      </w:r>
      <w:r w:rsidR="0024103E" w:rsidRPr="00532C20">
        <w:rPr>
          <w:rFonts w:ascii="Times New Roman" w:hAnsi="Times New Roman" w:cs="Times New Roman"/>
          <w:noProof/>
          <w:sz w:val="24"/>
          <w:szCs w:val="24"/>
          <w:lang w:val="en-IE"/>
        </w:rPr>
        <w:t xml:space="preserve"> </w:t>
      </w:r>
      <w:r w:rsidR="001939EE" w:rsidRPr="00532C20">
        <w:rPr>
          <w:rFonts w:ascii="Times New Roman" w:hAnsi="Times New Roman" w:cs="Times New Roman"/>
          <w:noProof/>
          <w:sz w:val="24"/>
          <w:szCs w:val="24"/>
          <w:lang w:val="en-IE"/>
        </w:rPr>
        <w:t>entities</w:t>
      </w:r>
      <w:r w:rsidR="00CE45EF" w:rsidRPr="00532C20">
        <w:rPr>
          <w:rFonts w:ascii="Times New Roman" w:hAnsi="Times New Roman" w:cs="Times New Roman"/>
          <w:noProof/>
          <w:sz w:val="24"/>
          <w:szCs w:val="24"/>
          <w:lang w:val="en-IE"/>
        </w:rPr>
        <w:t xml:space="preserve"> ful</w:t>
      </w:r>
      <w:r w:rsidR="00EE2577" w:rsidRPr="00532C20">
        <w:rPr>
          <w:rFonts w:ascii="Times New Roman" w:hAnsi="Times New Roman" w:cs="Times New Roman"/>
          <w:noProof/>
          <w:sz w:val="24"/>
          <w:szCs w:val="24"/>
          <w:lang w:val="en-IE"/>
        </w:rPr>
        <w:t>fil</w:t>
      </w:r>
      <w:r w:rsidR="00CE45EF" w:rsidRPr="00532C20">
        <w:rPr>
          <w:rFonts w:ascii="Times New Roman" w:hAnsi="Times New Roman" w:cs="Times New Roman"/>
          <w:noProof/>
          <w:sz w:val="24"/>
          <w:szCs w:val="24"/>
          <w:lang w:val="en-IE"/>
        </w:rPr>
        <w:t xml:space="preserve">ling the risk-based approach </w:t>
      </w:r>
      <w:r w:rsidR="00004DF3" w:rsidRPr="00532C20">
        <w:rPr>
          <w:rFonts w:ascii="Times New Roman" w:hAnsi="Times New Roman" w:cs="Times New Roman"/>
          <w:noProof/>
          <w:sz w:val="24"/>
          <w:szCs w:val="24"/>
          <w:lang w:val="en-IE"/>
        </w:rPr>
        <w:t>criteria</w:t>
      </w:r>
      <w:r w:rsidR="001939EE" w:rsidRPr="00532C20">
        <w:rPr>
          <w:rFonts w:ascii="Times New Roman" w:hAnsi="Times New Roman" w:cs="Times New Roman"/>
          <w:noProof/>
          <w:sz w:val="24"/>
          <w:szCs w:val="24"/>
          <w:lang w:val="en-IE"/>
        </w:rPr>
        <w:t>.</w:t>
      </w:r>
      <w:r w:rsidR="006F3E5A" w:rsidRPr="00532C20">
        <w:rPr>
          <w:rFonts w:ascii="Times New Roman" w:hAnsi="Times New Roman" w:cs="Times New Roman"/>
          <w:noProof/>
          <w:sz w:val="24"/>
          <w:szCs w:val="24"/>
          <w:lang w:val="en-IE"/>
        </w:rPr>
        <w:t xml:space="preserve"> </w:t>
      </w:r>
      <w:r w:rsidR="00637F8C" w:rsidRPr="00532C20">
        <w:rPr>
          <w:rFonts w:ascii="Times New Roman" w:hAnsi="Times New Roman" w:cs="Times New Roman"/>
          <w:noProof/>
          <w:sz w:val="24"/>
          <w:szCs w:val="24"/>
          <w:u w:val="single"/>
          <w:lang w:val="en-IE"/>
        </w:rPr>
        <w:t>In</w:t>
      </w:r>
      <w:r w:rsidR="00386606" w:rsidRPr="00532C20">
        <w:rPr>
          <w:rFonts w:ascii="Times New Roman" w:hAnsi="Times New Roman" w:cs="Times New Roman"/>
          <w:noProof/>
          <w:sz w:val="24"/>
          <w:szCs w:val="24"/>
          <w:u w:val="single"/>
          <w:lang w:val="en-IE"/>
        </w:rPr>
        <w:t xml:space="preserve"> PO</w:t>
      </w:r>
      <w:r w:rsidR="001B0BE8" w:rsidRPr="00532C20">
        <w:rPr>
          <w:rFonts w:ascii="Times New Roman" w:hAnsi="Times New Roman" w:cs="Times New Roman"/>
          <w:noProof/>
          <w:sz w:val="24"/>
          <w:szCs w:val="24"/>
          <w:u w:val="single"/>
          <w:lang w:val="en-IE"/>
        </w:rPr>
        <w:t>2.</w:t>
      </w:r>
      <w:r w:rsidR="00A80C58" w:rsidRPr="00532C20">
        <w:rPr>
          <w:rFonts w:ascii="Times New Roman" w:hAnsi="Times New Roman" w:cs="Times New Roman"/>
          <w:noProof/>
          <w:sz w:val="24"/>
          <w:szCs w:val="24"/>
          <w:u w:val="single"/>
          <w:lang w:val="en-IE"/>
        </w:rPr>
        <w:t>2</w:t>
      </w:r>
      <w:r w:rsidR="001B0BE8" w:rsidRPr="00532C20">
        <w:rPr>
          <w:rFonts w:ascii="Times New Roman" w:hAnsi="Times New Roman" w:cs="Times New Roman"/>
          <w:noProof/>
          <w:sz w:val="24"/>
          <w:szCs w:val="24"/>
          <w:u w:val="single"/>
          <w:lang w:val="en-IE"/>
        </w:rPr>
        <w:t>,</w:t>
      </w:r>
      <w:r w:rsidR="00CE45EF" w:rsidRPr="00532C20">
        <w:rPr>
          <w:rFonts w:ascii="Times New Roman" w:hAnsi="Times New Roman" w:cs="Times New Roman"/>
          <w:noProof/>
          <w:sz w:val="24"/>
          <w:szCs w:val="24"/>
          <w:lang w:val="en-IE"/>
        </w:rPr>
        <w:t xml:space="preserve"> </w:t>
      </w:r>
      <w:r w:rsidR="00A91BCD" w:rsidRPr="00532C20">
        <w:rPr>
          <w:rFonts w:ascii="Times New Roman" w:eastAsia="Times" w:hAnsi="Times New Roman" w:cs="Times New Roman"/>
          <w:noProof/>
          <w:sz w:val="24"/>
          <w:szCs w:val="24"/>
          <w:lang w:val="en-IE"/>
        </w:rPr>
        <w:t>entities in the scope of the instrument would also be r</w:t>
      </w:r>
      <w:r w:rsidR="008F4E39" w:rsidRPr="00532C20">
        <w:rPr>
          <w:rFonts w:ascii="Times New Roman" w:eastAsia="Times" w:hAnsi="Times New Roman" w:cs="Times New Roman"/>
          <w:noProof/>
          <w:sz w:val="24"/>
          <w:szCs w:val="24"/>
          <w:lang w:val="en-IE"/>
        </w:rPr>
        <w:t xml:space="preserve">equired to </w:t>
      </w:r>
      <w:r w:rsidR="00A91BCD" w:rsidRPr="00532C20">
        <w:rPr>
          <w:rFonts w:ascii="Times New Roman" w:eastAsia="Times" w:hAnsi="Times New Roman" w:cs="Times New Roman"/>
          <w:noProof/>
          <w:sz w:val="24"/>
          <w:szCs w:val="24"/>
          <w:lang w:val="en-IE"/>
        </w:rPr>
        <w:t>keep records of all contracts and exchanges</w:t>
      </w:r>
      <w:r w:rsidR="008F4E39" w:rsidRPr="00532C20">
        <w:rPr>
          <w:rFonts w:ascii="Times New Roman" w:eastAsia="Times" w:hAnsi="Times New Roman" w:cs="Times New Roman"/>
          <w:noProof/>
          <w:sz w:val="24"/>
          <w:szCs w:val="24"/>
          <w:lang w:val="en-IE"/>
        </w:rPr>
        <w:t xml:space="preserve"> with the third country entity</w:t>
      </w:r>
      <w:r w:rsidR="001F5DA0" w:rsidRPr="00532C20">
        <w:rPr>
          <w:rFonts w:ascii="Times New Roman" w:eastAsia="Times" w:hAnsi="Times New Roman" w:cs="Times New Roman"/>
          <w:noProof/>
          <w:sz w:val="24"/>
          <w:szCs w:val="24"/>
          <w:lang w:val="en-IE"/>
        </w:rPr>
        <w:t>, if the</w:t>
      </w:r>
      <w:r w:rsidR="00325D7E" w:rsidRPr="00532C20">
        <w:rPr>
          <w:rFonts w:ascii="Times New Roman" w:eastAsia="Times" w:hAnsi="Times New Roman" w:cs="Times New Roman"/>
          <w:noProof/>
          <w:sz w:val="24"/>
          <w:szCs w:val="24"/>
          <w:lang w:val="en-IE"/>
        </w:rPr>
        <w:t>y fall within the scope of the risk-based approach,</w:t>
      </w:r>
      <w:r w:rsidR="00A91BCD" w:rsidRPr="00532C20">
        <w:rPr>
          <w:rFonts w:ascii="Times New Roman" w:hAnsi="Times New Roman" w:cs="Times New Roman"/>
          <w:noProof/>
          <w:sz w:val="24"/>
          <w:szCs w:val="24"/>
          <w:lang w:val="en-IE"/>
        </w:rPr>
        <w:t xml:space="preserve"> </w:t>
      </w:r>
      <w:r w:rsidR="003C669E" w:rsidRPr="00532C20">
        <w:rPr>
          <w:rFonts w:ascii="Times New Roman" w:hAnsi="Times New Roman" w:cs="Times New Roman"/>
          <w:noProof/>
          <w:sz w:val="24"/>
          <w:szCs w:val="24"/>
          <w:lang w:val="en-IE"/>
        </w:rPr>
        <w:t xml:space="preserve">and </w:t>
      </w:r>
      <w:r w:rsidR="00CE45EF" w:rsidRPr="00532C20">
        <w:rPr>
          <w:rFonts w:ascii="Times New Roman" w:hAnsi="Times New Roman" w:cs="Times New Roman"/>
          <w:noProof/>
          <w:sz w:val="24"/>
          <w:szCs w:val="24"/>
          <w:lang w:val="en-IE"/>
        </w:rPr>
        <w:t>these entities would be</w:t>
      </w:r>
      <w:r w:rsidR="001B0BE8" w:rsidRPr="00532C20">
        <w:rPr>
          <w:rFonts w:ascii="Times New Roman" w:hAnsi="Times New Roman" w:cs="Times New Roman"/>
          <w:noProof/>
          <w:sz w:val="24"/>
          <w:szCs w:val="24"/>
          <w:lang w:val="en-IE"/>
        </w:rPr>
        <w:t xml:space="preserve"> </w:t>
      </w:r>
      <w:r w:rsidR="00CE45EF" w:rsidRPr="00532C20">
        <w:rPr>
          <w:rFonts w:ascii="Times New Roman" w:eastAsia="Times" w:hAnsi="Times New Roman" w:cs="Times New Roman"/>
          <w:i/>
          <w:iCs/>
          <w:noProof/>
          <w:sz w:val="24"/>
          <w:szCs w:val="24"/>
          <w:lang w:val="en-IE"/>
        </w:rPr>
        <w:t xml:space="preserve">required to automatically share all </w:t>
      </w:r>
      <w:r w:rsidR="00004DF3" w:rsidRPr="00532C20">
        <w:rPr>
          <w:rFonts w:ascii="Times New Roman" w:eastAsia="Times" w:hAnsi="Times New Roman" w:cs="Times New Roman"/>
          <w:i/>
          <w:iCs/>
          <w:noProof/>
          <w:sz w:val="24"/>
          <w:szCs w:val="24"/>
          <w:lang w:val="en-IE"/>
        </w:rPr>
        <w:t>of these</w:t>
      </w:r>
      <w:r w:rsidR="00CE45EF" w:rsidRPr="00532C20">
        <w:rPr>
          <w:rFonts w:ascii="Times New Roman" w:eastAsia="Times" w:hAnsi="Times New Roman" w:cs="Times New Roman"/>
          <w:i/>
          <w:iCs/>
          <w:noProof/>
          <w:sz w:val="24"/>
          <w:szCs w:val="24"/>
          <w:lang w:val="en-IE"/>
        </w:rPr>
        <w:t xml:space="preserve"> records</w:t>
      </w:r>
      <w:r w:rsidR="00004DF3" w:rsidRPr="00532C20">
        <w:rPr>
          <w:rFonts w:ascii="Times New Roman" w:eastAsia="Times" w:hAnsi="Times New Roman" w:cs="Times New Roman"/>
          <w:noProof/>
          <w:sz w:val="24"/>
          <w:szCs w:val="24"/>
          <w:lang w:val="en-IE"/>
        </w:rPr>
        <w:t>.</w:t>
      </w:r>
      <w:r w:rsidR="00CE45EF" w:rsidRPr="00532C20">
        <w:rPr>
          <w:rFonts w:ascii="Times New Roman" w:eastAsia="Times" w:hAnsi="Times New Roman" w:cs="Times New Roman"/>
          <w:noProof/>
          <w:sz w:val="24"/>
          <w:szCs w:val="24"/>
          <w:lang w:val="en-IE"/>
        </w:rPr>
        <w:t xml:space="preserve"> </w:t>
      </w:r>
      <w:r w:rsidR="006F3E5A" w:rsidRPr="00532C20">
        <w:rPr>
          <w:rFonts w:ascii="Times New Roman" w:hAnsi="Times New Roman" w:cs="Times New Roman"/>
          <w:noProof/>
          <w:sz w:val="24"/>
          <w:szCs w:val="24"/>
          <w:lang w:val="en-IE"/>
        </w:rPr>
        <w:t>Th</w:t>
      </w:r>
      <w:r w:rsidR="00C75BF6" w:rsidRPr="00532C20">
        <w:rPr>
          <w:rFonts w:ascii="Times New Roman" w:hAnsi="Times New Roman" w:cs="Times New Roman"/>
          <w:noProof/>
          <w:sz w:val="24"/>
          <w:szCs w:val="24"/>
          <w:lang w:val="en-IE"/>
        </w:rPr>
        <w:t>ese provisions</w:t>
      </w:r>
      <w:r w:rsidR="006F3E5A" w:rsidRPr="00532C20">
        <w:rPr>
          <w:rFonts w:ascii="Times New Roman" w:hAnsi="Times New Roman" w:cs="Times New Roman"/>
          <w:noProof/>
          <w:sz w:val="24"/>
          <w:szCs w:val="24"/>
          <w:lang w:val="en-IE"/>
        </w:rPr>
        <w:t xml:space="preserve"> </w:t>
      </w:r>
      <w:r w:rsidR="00305EF5" w:rsidRPr="00532C20">
        <w:rPr>
          <w:rFonts w:ascii="Times New Roman" w:hAnsi="Times New Roman" w:cs="Times New Roman"/>
          <w:noProof/>
          <w:sz w:val="24"/>
          <w:szCs w:val="24"/>
          <w:lang w:val="en-IE"/>
        </w:rPr>
        <w:t xml:space="preserve">will </w:t>
      </w:r>
      <w:r w:rsidR="00802600" w:rsidRPr="00532C20">
        <w:rPr>
          <w:rFonts w:ascii="Times New Roman" w:hAnsi="Times New Roman" w:cs="Times New Roman"/>
          <w:noProof/>
          <w:sz w:val="24"/>
          <w:szCs w:val="24"/>
          <w:lang w:val="en-IE"/>
        </w:rPr>
        <w:t>facilitate</w:t>
      </w:r>
      <w:r w:rsidR="00305EF5" w:rsidRPr="00532C20">
        <w:rPr>
          <w:rFonts w:ascii="Times New Roman" w:hAnsi="Times New Roman" w:cs="Times New Roman"/>
          <w:noProof/>
          <w:sz w:val="24"/>
          <w:szCs w:val="24"/>
          <w:lang w:val="en-IE"/>
        </w:rPr>
        <w:t xml:space="preserve"> the enforcement of the transparency requirements with regard to </w:t>
      </w:r>
      <w:r w:rsidR="00AD1AF7" w:rsidRPr="00532C20">
        <w:rPr>
          <w:rFonts w:ascii="Times New Roman" w:hAnsi="Times New Roman" w:cs="Times New Roman"/>
          <w:noProof/>
          <w:sz w:val="24"/>
          <w:szCs w:val="24"/>
          <w:lang w:val="en-IE"/>
        </w:rPr>
        <w:t>entities that carry</w:t>
      </w:r>
      <w:r w:rsidR="006971A0" w:rsidRPr="00532C20">
        <w:rPr>
          <w:rFonts w:ascii="Times New Roman" w:hAnsi="Times New Roman" w:cs="Times New Roman"/>
          <w:noProof/>
          <w:sz w:val="24"/>
          <w:szCs w:val="24"/>
          <w:lang w:val="en-IE"/>
        </w:rPr>
        <w:t xml:space="preserve"> out</w:t>
      </w:r>
      <w:r w:rsidR="00AD1AF7" w:rsidRPr="00532C20">
        <w:rPr>
          <w:rFonts w:ascii="Times New Roman" w:hAnsi="Times New Roman" w:cs="Times New Roman"/>
          <w:noProof/>
          <w:sz w:val="24"/>
          <w:szCs w:val="24"/>
          <w:lang w:val="en-IE"/>
        </w:rPr>
        <w:t xml:space="preserve"> </w:t>
      </w:r>
      <w:r w:rsidR="006F3E5A" w:rsidRPr="00532C20">
        <w:rPr>
          <w:rFonts w:ascii="Times New Roman" w:hAnsi="Times New Roman" w:cs="Times New Roman"/>
          <w:noProof/>
          <w:sz w:val="24"/>
          <w:szCs w:val="24"/>
          <w:lang w:val="en-IE"/>
        </w:rPr>
        <w:t>interest representation activities that are particularly likely to have a significant influence on public life and public debate</w:t>
      </w:r>
      <w:r w:rsidR="00305EF5" w:rsidRPr="00532C20">
        <w:rPr>
          <w:rFonts w:ascii="Times New Roman" w:hAnsi="Times New Roman" w:cs="Times New Roman"/>
          <w:noProof/>
          <w:sz w:val="24"/>
          <w:szCs w:val="24"/>
          <w:lang w:val="en-IE"/>
        </w:rPr>
        <w:t>. It will also</w:t>
      </w:r>
      <w:r w:rsidR="006971A0" w:rsidRPr="00532C20">
        <w:rPr>
          <w:rFonts w:ascii="Times New Roman" w:hAnsi="Times New Roman" w:cs="Times New Roman"/>
          <w:noProof/>
          <w:sz w:val="24"/>
          <w:szCs w:val="24"/>
          <w:lang w:val="en-IE"/>
        </w:rPr>
        <w:t xml:space="preserve"> enable authorities t</w:t>
      </w:r>
      <w:r w:rsidR="00305EF5" w:rsidRPr="00532C20">
        <w:rPr>
          <w:rFonts w:ascii="Times New Roman" w:hAnsi="Times New Roman" w:cs="Times New Roman"/>
          <w:noProof/>
          <w:sz w:val="24"/>
          <w:szCs w:val="24"/>
          <w:lang w:val="en-IE"/>
        </w:rPr>
        <w:t xml:space="preserve">o have access to </w:t>
      </w:r>
      <w:r w:rsidR="00802600" w:rsidRPr="00532C20">
        <w:rPr>
          <w:rFonts w:ascii="Times New Roman" w:hAnsi="Times New Roman" w:cs="Times New Roman"/>
          <w:noProof/>
          <w:sz w:val="24"/>
          <w:szCs w:val="24"/>
          <w:lang w:val="en-IE"/>
        </w:rPr>
        <w:t xml:space="preserve">contracts and key exchanges </w:t>
      </w:r>
      <w:r w:rsidR="00126241" w:rsidRPr="00532C20">
        <w:rPr>
          <w:rFonts w:ascii="Times New Roman" w:hAnsi="Times New Roman" w:cs="Times New Roman"/>
          <w:noProof/>
          <w:sz w:val="24"/>
          <w:szCs w:val="24"/>
          <w:lang w:val="en-IE"/>
        </w:rPr>
        <w:t>enabling them to better understand and supervise</w:t>
      </w:r>
      <w:r w:rsidR="00802600" w:rsidRPr="00532C20">
        <w:rPr>
          <w:rFonts w:ascii="Times New Roman" w:hAnsi="Times New Roman" w:cs="Times New Roman"/>
          <w:noProof/>
          <w:sz w:val="24"/>
          <w:szCs w:val="24"/>
          <w:lang w:val="en-IE"/>
        </w:rPr>
        <w:t xml:space="preserve"> interest representation activities </w:t>
      </w:r>
      <w:r w:rsidR="00C5379D" w:rsidRPr="00532C20">
        <w:rPr>
          <w:rFonts w:ascii="Times New Roman" w:hAnsi="Times New Roman" w:cs="Times New Roman"/>
          <w:noProof/>
          <w:sz w:val="24"/>
          <w:szCs w:val="24"/>
          <w:lang w:val="en-IE"/>
        </w:rPr>
        <w:t>carried out on behalf of third countries</w:t>
      </w:r>
      <w:r w:rsidR="001F64C4" w:rsidRPr="00532C20">
        <w:rPr>
          <w:rFonts w:ascii="Times New Roman" w:hAnsi="Times New Roman" w:cs="Times New Roman"/>
          <w:noProof/>
          <w:sz w:val="24"/>
          <w:szCs w:val="24"/>
          <w:lang w:val="en-IE"/>
        </w:rPr>
        <w:t>.</w:t>
      </w:r>
      <w:r w:rsidR="00D256A8" w:rsidRPr="00532C20">
        <w:rPr>
          <w:rFonts w:ascii="Times New Roman" w:hAnsi="Times New Roman" w:cs="Times New Roman"/>
          <w:noProof/>
          <w:sz w:val="24"/>
          <w:szCs w:val="24"/>
          <w:lang w:val="en-IE"/>
        </w:rPr>
        <w:t xml:space="preserve"> </w:t>
      </w:r>
      <w:r w:rsidR="00FF55B1" w:rsidRPr="00532C20">
        <w:rPr>
          <w:rFonts w:ascii="Times New Roman" w:hAnsi="Times New Roman" w:cs="Times New Roman"/>
          <w:noProof/>
          <w:sz w:val="24"/>
          <w:szCs w:val="24"/>
          <w:lang w:val="en-IE"/>
        </w:rPr>
        <w:t>T</w:t>
      </w:r>
      <w:r w:rsidR="00813E8A" w:rsidRPr="00532C20">
        <w:rPr>
          <w:rFonts w:ascii="Times New Roman" w:hAnsi="Times New Roman" w:cs="Times New Roman"/>
          <w:noProof/>
          <w:sz w:val="24"/>
          <w:szCs w:val="24"/>
          <w:lang w:val="en-IE"/>
        </w:rPr>
        <w:t xml:space="preserve">he risk-based approach would be </w:t>
      </w:r>
      <w:r w:rsidR="00FF55B1" w:rsidRPr="00532C20">
        <w:rPr>
          <w:rFonts w:ascii="Times New Roman" w:hAnsi="Times New Roman" w:cs="Times New Roman"/>
          <w:noProof/>
          <w:sz w:val="24"/>
          <w:szCs w:val="24"/>
          <w:lang w:val="en-IE"/>
        </w:rPr>
        <w:t>flexible and evolutive</w:t>
      </w:r>
      <w:r w:rsidR="003A0575" w:rsidRPr="00532C20">
        <w:rPr>
          <w:rFonts w:ascii="Times New Roman" w:hAnsi="Times New Roman" w:cs="Times New Roman"/>
          <w:noProof/>
          <w:sz w:val="24"/>
          <w:szCs w:val="24"/>
          <w:lang w:val="en-IE"/>
        </w:rPr>
        <w:t xml:space="preserve">, as the threshold could be modified via </w:t>
      </w:r>
      <w:r w:rsidR="00A10FD2">
        <w:rPr>
          <w:rFonts w:ascii="Times New Roman" w:hAnsi="Times New Roman" w:cs="Times New Roman"/>
          <w:noProof/>
          <w:sz w:val="24"/>
          <w:szCs w:val="24"/>
          <w:lang w:val="en-IE"/>
        </w:rPr>
        <w:t xml:space="preserve">a </w:t>
      </w:r>
      <w:r w:rsidR="003A0575" w:rsidRPr="00532C20">
        <w:rPr>
          <w:rFonts w:ascii="Times New Roman" w:hAnsi="Times New Roman" w:cs="Times New Roman"/>
          <w:noProof/>
          <w:sz w:val="24"/>
          <w:szCs w:val="24"/>
          <w:lang w:val="en-IE"/>
        </w:rPr>
        <w:t xml:space="preserve">delegated act </w:t>
      </w:r>
      <w:r w:rsidR="00661210" w:rsidRPr="00532C20">
        <w:rPr>
          <w:rFonts w:ascii="Times New Roman" w:hAnsi="Times New Roman" w:cs="Times New Roman"/>
          <w:noProof/>
          <w:sz w:val="24"/>
          <w:szCs w:val="24"/>
          <w:lang w:val="en-IE"/>
        </w:rPr>
        <w:t>using the data collected over time</w:t>
      </w:r>
      <w:r w:rsidR="00FF55B1" w:rsidRPr="00532C20">
        <w:rPr>
          <w:rFonts w:ascii="Times New Roman" w:hAnsi="Times New Roman" w:cs="Times New Roman"/>
          <w:noProof/>
          <w:sz w:val="24"/>
          <w:szCs w:val="24"/>
          <w:lang w:val="en-IE"/>
        </w:rPr>
        <w:t>.</w:t>
      </w:r>
    </w:p>
    <w:p w14:paraId="5F9A7BD6" w14:textId="77777777" w:rsidR="008C5BEC" w:rsidRPr="00532C20" w:rsidRDefault="008C5BEC" w:rsidP="004B095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lang w:val="en-IE"/>
        </w:rPr>
      </w:pPr>
      <w:r w:rsidRPr="00532C20">
        <w:rPr>
          <w:rFonts w:ascii="Times New Roman" w:hAnsi="Times New Roman" w:cs="Times New Roman"/>
          <w:b/>
          <w:noProof/>
          <w:lang w:val="en-IE"/>
        </w:rPr>
        <w:t>Stakeholder view:</w:t>
      </w:r>
    </w:p>
    <w:p w14:paraId="27CC1E99" w14:textId="77977767" w:rsidR="00CA6B02" w:rsidRPr="00532C20" w:rsidRDefault="00253006" w:rsidP="00CA6B02">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lang w:val="en-IE"/>
        </w:rPr>
      </w:pPr>
      <w:r w:rsidRPr="00532C20">
        <w:rPr>
          <w:rFonts w:ascii="Times New Roman" w:hAnsi="Times New Roman" w:cs="Times New Roman"/>
          <w:noProof/>
          <w:lang w:val="en-IE"/>
        </w:rPr>
        <w:t xml:space="preserve">7 </w:t>
      </w:r>
      <w:r w:rsidR="00AE17E4" w:rsidRPr="00532C20">
        <w:rPr>
          <w:rFonts w:ascii="Times New Roman" w:hAnsi="Times New Roman" w:cs="Times New Roman"/>
          <w:noProof/>
          <w:lang w:val="en-IE"/>
        </w:rPr>
        <w:t xml:space="preserve">out of 11 </w:t>
      </w:r>
      <w:r w:rsidR="001E17F1" w:rsidRPr="00532C20">
        <w:rPr>
          <w:rFonts w:ascii="Times New Roman" w:hAnsi="Times New Roman" w:cs="Times New Roman"/>
          <w:noProof/>
          <w:lang w:val="en-IE"/>
        </w:rPr>
        <w:t>CSO</w:t>
      </w:r>
      <w:r w:rsidR="00BD791F" w:rsidRPr="00532C20">
        <w:rPr>
          <w:rFonts w:ascii="Times New Roman" w:hAnsi="Times New Roman" w:cs="Times New Roman"/>
          <w:noProof/>
          <w:lang w:val="en-IE"/>
        </w:rPr>
        <w:t>s</w:t>
      </w:r>
      <w:r w:rsidR="004166E5" w:rsidRPr="00532C20">
        <w:rPr>
          <w:rFonts w:ascii="Times New Roman" w:hAnsi="Times New Roman" w:cs="Times New Roman"/>
          <w:noProof/>
          <w:lang w:val="en-IE"/>
        </w:rPr>
        <w:t xml:space="preserve"> and </w:t>
      </w:r>
      <w:r w:rsidR="00AE17E4" w:rsidRPr="00532C20">
        <w:rPr>
          <w:rFonts w:ascii="Times New Roman" w:hAnsi="Times New Roman" w:cs="Times New Roman"/>
          <w:noProof/>
          <w:lang w:val="en-IE"/>
        </w:rPr>
        <w:t>all of the</w:t>
      </w:r>
      <w:r w:rsidR="004166E5" w:rsidRPr="00532C20">
        <w:rPr>
          <w:rFonts w:ascii="Times New Roman" w:hAnsi="Times New Roman" w:cs="Times New Roman"/>
          <w:noProof/>
          <w:lang w:val="en-IE"/>
        </w:rPr>
        <w:t xml:space="preserve"> </w:t>
      </w:r>
      <w:r w:rsidR="004166E5" w:rsidRPr="00532C20">
        <w:rPr>
          <w:rFonts w:ascii="Times New Roman" w:eastAsia="Times" w:hAnsi="Times New Roman" w:cs="Times New Roman"/>
          <w:noProof/>
          <w:lang w:val="en-IE"/>
        </w:rPr>
        <w:t>industry representatives</w:t>
      </w:r>
      <w:r w:rsidR="001E17F1" w:rsidRPr="00532C20">
        <w:rPr>
          <w:rFonts w:ascii="Times New Roman" w:hAnsi="Times New Roman" w:cs="Times New Roman"/>
          <w:noProof/>
          <w:lang w:val="en-IE"/>
        </w:rPr>
        <w:t xml:space="preserve"> </w:t>
      </w:r>
      <w:r w:rsidR="00B87B25" w:rsidRPr="00532C20">
        <w:rPr>
          <w:rFonts w:ascii="Times New Roman" w:hAnsi="Times New Roman" w:cs="Times New Roman"/>
          <w:noProof/>
          <w:lang w:val="en-IE"/>
        </w:rPr>
        <w:t xml:space="preserve">who answered the questionnaire (3) </w:t>
      </w:r>
      <w:r w:rsidR="00D72DF6" w:rsidRPr="00532C20">
        <w:rPr>
          <w:rFonts w:ascii="Times New Roman" w:hAnsi="Times New Roman" w:cs="Times New Roman"/>
          <w:noProof/>
          <w:lang w:val="en-IE"/>
        </w:rPr>
        <w:t>highlighted</w:t>
      </w:r>
      <w:r w:rsidR="001E17F1" w:rsidRPr="00532C20">
        <w:rPr>
          <w:rFonts w:ascii="Times New Roman" w:hAnsi="Times New Roman" w:cs="Times New Roman"/>
          <w:noProof/>
          <w:lang w:val="en-IE"/>
        </w:rPr>
        <w:t xml:space="preserve"> </w:t>
      </w:r>
      <w:r w:rsidR="00D72DF6" w:rsidRPr="00532C20">
        <w:rPr>
          <w:rFonts w:ascii="Times New Roman" w:hAnsi="Times New Roman" w:cs="Times New Roman"/>
          <w:noProof/>
          <w:lang w:val="en-IE"/>
        </w:rPr>
        <w:t>the</w:t>
      </w:r>
      <w:r w:rsidR="001E17F1" w:rsidRPr="00532C20">
        <w:rPr>
          <w:rFonts w:ascii="Times New Roman" w:hAnsi="Times New Roman" w:cs="Times New Roman"/>
          <w:noProof/>
          <w:lang w:val="en-IE"/>
        </w:rPr>
        <w:t xml:space="preserve"> risk of circumvention</w:t>
      </w:r>
      <w:r w:rsidR="00154612" w:rsidRPr="00532C20">
        <w:rPr>
          <w:rFonts w:ascii="Times New Roman" w:hAnsi="Times New Roman" w:cs="Times New Roman"/>
          <w:noProof/>
          <w:lang w:val="en-IE"/>
        </w:rPr>
        <w:t xml:space="preserve">. </w:t>
      </w:r>
      <w:r w:rsidRPr="00532C20">
        <w:rPr>
          <w:rFonts w:ascii="Times New Roman" w:hAnsi="Times New Roman" w:cs="Times New Roman"/>
          <w:noProof/>
          <w:lang w:val="en-IE"/>
        </w:rPr>
        <w:t>2</w:t>
      </w:r>
      <w:r w:rsidR="00154612" w:rsidRPr="00532C20">
        <w:rPr>
          <w:rFonts w:ascii="Times New Roman" w:hAnsi="Times New Roman" w:cs="Times New Roman"/>
          <w:noProof/>
          <w:lang w:val="en-IE"/>
        </w:rPr>
        <w:t xml:space="preserve"> of them stated</w:t>
      </w:r>
      <w:r w:rsidR="00381317" w:rsidRPr="00532C20">
        <w:rPr>
          <w:rFonts w:ascii="Times New Roman" w:hAnsi="Times New Roman" w:cs="Times New Roman"/>
          <w:noProof/>
          <w:lang w:val="en-IE"/>
        </w:rPr>
        <w:t xml:space="preserve"> that in the absence of transparency </w:t>
      </w:r>
      <w:r w:rsidR="001339E0" w:rsidRPr="00532C20">
        <w:rPr>
          <w:rFonts w:ascii="Times New Roman" w:hAnsi="Times New Roman" w:cs="Times New Roman"/>
          <w:noProof/>
          <w:lang w:val="en-IE"/>
        </w:rPr>
        <w:t xml:space="preserve">standards applicable to all forms of </w:t>
      </w:r>
      <w:r w:rsidR="00481F87" w:rsidRPr="00532C20">
        <w:rPr>
          <w:rFonts w:ascii="Times New Roman" w:hAnsi="Times New Roman" w:cs="Times New Roman"/>
          <w:noProof/>
          <w:lang w:val="en-IE"/>
        </w:rPr>
        <w:t>interest</w:t>
      </w:r>
      <w:r w:rsidR="001339E0" w:rsidRPr="00532C20">
        <w:rPr>
          <w:rFonts w:ascii="Times New Roman" w:hAnsi="Times New Roman" w:cs="Times New Roman"/>
          <w:noProof/>
          <w:lang w:val="en-IE"/>
        </w:rPr>
        <w:t xml:space="preserve"> representation “</w:t>
      </w:r>
      <w:r w:rsidR="001339E0" w:rsidRPr="00532C20">
        <w:rPr>
          <w:rFonts w:ascii="Times New Roman" w:hAnsi="Times New Roman" w:cs="Times New Roman"/>
          <w:i/>
          <w:iCs/>
          <w:noProof/>
          <w:lang w:val="en-IE"/>
        </w:rPr>
        <w:t xml:space="preserve">external entities will invariably discover avenues to wield their influence, notably </w:t>
      </w:r>
      <w:r w:rsidR="00481F87" w:rsidRPr="00532C20">
        <w:rPr>
          <w:rFonts w:ascii="Times New Roman" w:hAnsi="Times New Roman" w:cs="Times New Roman"/>
          <w:i/>
          <w:iCs/>
          <w:noProof/>
          <w:lang w:val="en-IE"/>
        </w:rPr>
        <w:t>through</w:t>
      </w:r>
      <w:r w:rsidR="001339E0" w:rsidRPr="00532C20">
        <w:rPr>
          <w:rFonts w:ascii="Times New Roman" w:hAnsi="Times New Roman" w:cs="Times New Roman"/>
          <w:i/>
          <w:iCs/>
          <w:noProof/>
          <w:lang w:val="en-IE"/>
        </w:rPr>
        <w:t xml:space="preserve"> private entities registered </w:t>
      </w:r>
      <w:r w:rsidR="00481F87" w:rsidRPr="00532C20">
        <w:rPr>
          <w:rFonts w:ascii="Times New Roman" w:hAnsi="Times New Roman" w:cs="Times New Roman"/>
          <w:i/>
          <w:iCs/>
          <w:noProof/>
          <w:lang w:val="en-IE"/>
        </w:rPr>
        <w:t>within</w:t>
      </w:r>
      <w:r w:rsidR="001339E0" w:rsidRPr="00532C20">
        <w:rPr>
          <w:rFonts w:ascii="Times New Roman" w:hAnsi="Times New Roman" w:cs="Times New Roman"/>
          <w:i/>
          <w:iCs/>
          <w:noProof/>
          <w:lang w:val="en-IE"/>
        </w:rPr>
        <w:t xml:space="preserve"> </w:t>
      </w:r>
      <w:r w:rsidR="00165D51" w:rsidRPr="00532C20">
        <w:rPr>
          <w:rFonts w:ascii="Times New Roman" w:hAnsi="Times New Roman" w:cs="Times New Roman"/>
          <w:i/>
          <w:iCs/>
          <w:noProof/>
          <w:lang w:val="en-IE"/>
        </w:rPr>
        <w:t xml:space="preserve">EU </w:t>
      </w:r>
      <w:r w:rsidR="00A10FD2">
        <w:rPr>
          <w:rFonts w:ascii="Times New Roman" w:hAnsi="Times New Roman" w:cs="Times New Roman"/>
          <w:i/>
          <w:iCs/>
          <w:noProof/>
          <w:lang w:val="en-IE"/>
        </w:rPr>
        <w:t>M</w:t>
      </w:r>
      <w:r w:rsidR="00165D51" w:rsidRPr="00532C20">
        <w:rPr>
          <w:rFonts w:ascii="Times New Roman" w:hAnsi="Times New Roman" w:cs="Times New Roman"/>
          <w:i/>
          <w:iCs/>
          <w:noProof/>
          <w:lang w:val="en-IE"/>
        </w:rPr>
        <w:t>ember States</w:t>
      </w:r>
      <w:r w:rsidR="00165D51" w:rsidRPr="00532C20">
        <w:rPr>
          <w:rFonts w:ascii="Times New Roman" w:hAnsi="Times New Roman" w:cs="Times New Roman"/>
          <w:noProof/>
          <w:lang w:val="en-IE"/>
        </w:rPr>
        <w:t>”.</w:t>
      </w:r>
      <w:r w:rsidR="00A264BA" w:rsidRPr="00532C20">
        <w:rPr>
          <w:rFonts w:ascii="Times New Roman" w:hAnsi="Times New Roman" w:cs="Times New Roman"/>
          <w:noProof/>
          <w:lang w:val="en-IE"/>
        </w:rPr>
        <w:t xml:space="preserve"> </w:t>
      </w:r>
    </w:p>
    <w:p w14:paraId="4DB0E393" w14:textId="3B8A989B" w:rsidR="0099208F" w:rsidRPr="00532C20" w:rsidRDefault="00D26BBB" w:rsidP="00634BD7">
      <w:pPr>
        <w:spacing w:after="120" w:line="240" w:lineRule="auto"/>
        <w:jc w:val="both"/>
        <w:rPr>
          <w:rFonts w:ascii="Times New Roman" w:eastAsia="Times" w:hAnsi="Times New Roman" w:cs="Times New Roman"/>
          <w:b/>
          <w:noProof/>
          <w:sz w:val="24"/>
          <w:szCs w:val="24"/>
          <w:u w:val="single"/>
          <w:lang w:val="en-IE" w:eastAsia="en-IE"/>
        </w:rPr>
      </w:pPr>
      <w:r w:rsidRPr="00532C20">
        <w:rPr>
          <w:rFonts w:ascii="Times New Roman" w:hAnsi="Times New Roman" w:cs="Times New Roman"/>
          <w:noProof/>
          <w:sz w:val="24"/>
          <w:szCs w:val="24"/>
          <w:lang w:val="en-IE"/>
        </w:rPr>
        <w:t xml:space="preserve">By </w:t>
      </w:r>
      <w:r w:rsidR="00B73EE3" w:rsidRPr="00532C20">
        <w:rPr>
          <w:rFonts w:ascii="Times New Roman" w:hAnsi="Times New Roman" w:cs="Times New Roman"/>
          <w:noProof/>
          <w:sz w:val="24"/>
          <w:szCs w:val="24"/>
          <w:lang w:val="en-IE"/>
        </w:rPr>
        <w:t>conditioning interest representation to</w:t>
      </w:r>
      <w:r w:rsidR="00B346EC" w:rsidRPr="00532C20">
        <w:rPr>
          <w:rFonts w:ascii="Times New Roman" w:hAnsi="Times New Roman" w:cs="Times New Roman"/>
          <w:noProof/>
          <w:sz w:val="24"/>
          <w:szCs w:val="24"/>
          <w:lang w:val="en-IE"/>
        </w:rPr>
        <w:t xml:space="preserve"> the respect of transparency requirements, all</w:t>
      </w:r>
      <w:r w:rsidR="00A90D63" w:rsidRPr="00532C20">
        <w:rPr>
          <w:rFonts w:ascii="Times New Roman" w:hAnsi="Times New Roman" w:cs="Times New Roman"/>
          <w:noProof/>
          <w:sz w:val="24"/>
          <w:szCs w:val="24"/>
          <w:lang w:val="en-IE"/>
        </w:rPr>
        <w:t xml:space="preserve"> 3 </w:t>
      </w:r>
      <w:r w:rsidR="00B346EC" w:rsidRPr="00532C20">
        <w:rPr>
          <w:rFonts w:ascii="Times New Roman" w:hAnsi="Times New Roman" w:cs="Times New Roman"/>
          <w:noProof/>
          <w:sz w:val="24"/>
          <w:szCs w:val="24"/>
          <w:lang w:val="en-IE"/>
        </w:rPr>
        <w:t>policy option</w:t>
      </w:r>
      <w:r w:rsidR="003A1A99" w:rsidRPr="00532C20">
        <w:rPr>
          <w:rFonts w:ascii="Times New Roman" w:hAnsi="Times New Roman" w:cs="Times New Roman"/>
          <w:noProof/>
          <w:sz w:val="24"/>
          <w:szCs w:val="24"/>
          <w:lang w:val="en-IE"/>
        </w:rPr>
        <w:t>s</w:t>
      </w:r>
      <w:r w:rsidR="00B346EC" w:rsidRPr="00532C20">
        <w:rPr>
          <w:rFonts w:ascii="Times New Roman" w:hAnsi="Times New Roman" w:cs="Times New Roman"/>
          <w:noProof/>
          <w:sz w:val="24"/>
          <w:szCs w:val="24"/>
          <w:lang w:val="en-IE"/>
        </w:rPr>
        <w:t xml:space="preserve"> (assuming t</w:t>
      </w:r>
      <w:r w:rsidR="003A1A99" w:rsidRPr="00532C20">
        <w:rPr>
          <w:rFonts w:ascii="Times New Roman" w:hAnsi="Times New Roman" w:cs="Times New Roman"/>
          <w:noProof/>
          <w:sz w:val="24"/>
          <w:szCs w:val="24"/>
          <w:lang w:val="en-IE"/>
        </w:rPr>
        <w:t xml:space="preserve">hat </w:t>
      </w:r>
      <w:r w:rsidR="008E3361">
        <w:rPr>
          <w:rFonts w:ascii="Times New Roman" w:hAnsi="Times New Roman" w:cs="Times New Roman"/>
          <w:noProof/>
          <w:sz w:val="24"/>
          <w:szCs w:val="24"/>
          <w:lang w:val="en-IE"/>
        </w:rPr>
        <w:t xml:space="preserve">the </w:t>
      </w:r>
      <w:r w:rsidR="003A1A99" w:rsidRPr="00532C20">
        <w:rPr>
          <w:rFonts w:ascii="Times New Roman" w:hAnsi="Times New Roman" w:cs="Times New Roman"/>
          <w:noProof/>
          <w:sz w:val="24"/>
          <w:szCs w:val="24"/>
          <w:lang w:val="en-IE"/>
        </w:rPr>
        <w:t>recommendation</w:t>
      </w:r>
      <w:r w:rsidR="008E3361">
        <w:rPr>
          <w:rFonts w:ascii="Times New Roman" w:hAnsi="Times New Roman" w:cs="Times New Roman"/>
          <w:noProof/>
          <w:sz w:val="24"/>
          <w:szCs w:val="24"/>
          <w:lang w:val="en-IE"/>
        </w:rPr>
        <w:t>s</w:t>
      </w:r>
      <w:r w:rsidR="003A1A99" w:rsidRPr="00532C20">
        <w:rPr>
          <w:rFonts w:ascii="Times New Roman" w:hAnsi="Times New Roman" w:cs="Times New Roman"/>
          <w:noProof/>
          <w:sz w:val="24"/>
          <w:szCs w:val="24"/>
          <w:lang w:val="en-IE"/>
        </w:rPr>
        <w:t xml:space="preserve"> in PO1 are implemented through legislation) would </w:t>
      </w:r>
      <w:r w:rsidR="00B3671D" w:rsidRPr="00532C20">
        <w:rPr>
          <w:rFonts w:ascii="Times New Roman" w:hAnsi="Times New Roman" w:cs="Times New Roman"/>
          <w:noProof/>
          <w:sz w:val="24"/>
          <w:szCs w:val="24"/>
          <w:lang w:val="en-IE"/>
        </w:rPr>
        <w:t xml:space="preserve">ensure that </w:t>
      </w:r>
      <w:r w:rsidR="003A1A99" w:rsidRPr="00532C20">
        <w:rPr>
          <w:rFonts w:ascii="Times New Roman" w:hAnsi="Times New Roman" w:cs="Times New Roman"/>
          <w:noProof/>
          <w:sz w:val="24"/>
          <w:szCs w:val="24"/>
          <w:lang w:val="en-IE"/>
        </w:rPr>
        <w:t>interest representative</w:t>
      </w:r>
      <w:r w:rsidR="0071213B">
        <w:rPr>
          <w:rFonts w:ascii="Times New Roman" w:hAnsi="Times New Roman" w:cs="Times New Roman"/>
          <w:noProof/>
          <w:sz w:val="24"/>
          <w:szCs w:val="24"/>
          <w:lang w:val="en-IE"/>
        </w:rPr>
        <w:t>s</w:t>
      </w:r>
      <w:r w:rsidR="003A1A99" w:rsidRPr="00532C20">
        <w:rPr>
          <w:rFonts w:ascii="Times New Roman" w:hAnsi="Times New Roman" w:cs="Times New Roman"/>
          <w:noProof/>
          <w:sz w:val="24"/>
          <w:szCs w:val="24"/>
          <w:lang w:val="en-IE"/>
        </w:rPr>
        <w:t xml:space="preserve"> </w:t>
      </w:r>
      <w:r w:rsidR="00324810" w:rsidRPr="00532C20">
        <w:rPr>
          <w:rFonts w:ascii="Times New Roman" w:hAnsi="Times New Roman" w:cs="Times New Roman"/>
          <w:noProof/>
          <w:sz w:val="24"/>
          <w:szCs w:val="24"/>
          <w:lang w:val="en-IE"/>
        </w:rPr>
        <w:t xml:space="preserve">do not </w:t>
      </w:r>
      <w:r w:rsidR="003A1A99" w:rsidRPr="00532C20">
        <w:rPr>
          <w:rFonts w:ascii="Times New Roman" w:hAnsi="Times New Roman" w:cs="Times New Roman"/>
          <w:noProof/>
          <w:sz w:val="24"/>
          <w:szCs w:val="24"/>
          <w:lang w:val="en-IE"/>
        </w:rPr>
        <w:t>carry</w:t>
      </w:r>
      <w:r w:rsidR="0044557C" w:rsidRPr="00532C20">
        <w:rPr>
          <w:rFonts w:ascii="Times New Roman" w:hAnsi="Times New Roman" w:cs="Times New Roman"/>
          <w:noProof/>
          <w:sz w:val="24"/>
          <w:szCs w:val="24"/>
          <w:lang w:val="en-IE"/>
        </w:rPr>
        <w:t xml:space="preserve"> </w:t>
      </w:r>
      <w:r w:rsidR="003A1A99" w:rsidRPr="00532C20">
        <w:rPr>
          <w:rFonts w:ascii="Times New Roman" w:hAnsi="Times New Roman" w:cs="Times New Roman"/>
          <w:noProof/>
          <w:sz w:val="24"/>
          <w:szCs w:val="24"/>
          <w:lang w:val="en-IE"/>
        </w:rPr>
        <w:t xml:space="preserve">out interest representation activities on behalf of third countries covertly. In </w:t>
      </w:r>
      <w:r w:rsidR="003A1A99" w:rsidRPr="00532C20">
        <w:rPr>
          <w:rFonts w:ascii="Times New Roman" w:hAnsi="Times New Roman" w:cs="Times New Roman"/>
          <w:noProof/>
          <w:sz w:val="24"/>
          <w:szCs w:val="24"/>
          <w:u w:val="single"/>
          <w:lang w:val="en-IE"/>
        </w:rPr>
        <w:t>the</w:t>
      </w:r>
      <w:r w:rsidR="00A90D63" w:rsidRPr="00532C20">
        <w:rPr>
          <w:rFonts w:ascii="Times New Roman" w:hAnsi="Times New Roman" w:cs="Times New Roman"/>
          <w:noProof/>
          <w:sz w:val="24"/>
          <w:szCs w:val="24"/>
          <w:u w:val="single"/>
          <w:lang w:val="en-IE"/>
        </w:rPr>
        <w:t xml:space="preserve"> 2</w:t>
      </w:r>
      <w:r w:rsidR="003A1A99" w:rsidRPr="00532C20">
        <w:rPr>
          <w:rFonts w:ascii="Times New Roman" w:hAnsi="Times New Roman" w:cs="Times New Roman"/>
          <w:noProof/>
          <w:sz w:val="24"/>
          <w:szCs w:val="24"/>
          <w:u w:val="single"/>
          <w:lang w:val="en-IE"/>
        </w:rPr>
        <w:t xml:space="preserve"> legislative options</w:t>
      </w:r>
      <w:r w:rsidR="001F02E2" w:rsidRPr="00532C20">
        <w:rPr>
          <w:rFonts w:ascii="Times New Roman" w:hAnsi="Times New Roman" w:cs="Times New Roman"/>
          <w:noProof/>
          <w:sz w:val="24"/>
          <w:szCs w:val="24"/>
          <w:u w:val="single"/>
          <w:lang w:val="en-IE"/>
        </w:rPr>
        <w:t xml:space="preserve"> (PO2.</w:t>
      </w:r>
      <w:r w:rsidR="00A80C58" w:rsidRPr="00532C20">
        <w:rPr>
          <w:rFonts w:ascii="Times New Roman" w:hAnsi="Times New Roman" w:cs="Times New Roman"/>
          <w:noProof/>
          <w:sz w:val="24"/>
          <w:szCs w:val="24"/>
          <w:u w:val="single"/>
          <w:lang w:val="en-IE"/>
        </w:rPr>
        <w:t>1</w:t>
      </w:r>
      <w:r w:rsidR="001F02E2" w:rsidRPr="00532C20">
        <w:rPr>
          <w:rFonts w:ascii="Times New Roman" w:hAnsi="Times New Roman" w:cs="Times New Roman"/>
          <w:noProof/>
          <w:sz w:val="24"/>
          <w:szCs w:val="24"/>
          <w:u w:val="single"/>
          <w:lang w:val="en-IE"/>
        </w:rPr>
        <w:t xml:space="preserve"> and PO2.</w:t>
      </w:r>
      <w:r w:rsidR="00A80C58" w:rsidRPr="00532C20">
        <w:rPr>
          <w:rFonts w:ascii="Times New Roman" w:hAnsi="Times New Roman" w:cs="Times New Roman"/>
          <w:noProof/>
          <w:sz w:val="24"/>
          <w:szCs w:val="24"/>
          <w:u w:val="single"/>
          <w:lang w:val="en-IE"/>
        </w:rPr>
        <w:t>2</w:t>
      </w:r>
      <w:r w:rsidR="001F02E2" w:rsidRPr="00532C20">
        <w:rPr>
          <w:rFonts w:ascii="Times New Roman" w:hAnsi="Times New Roman" w:cs="Times New Roman"/>
          <w:noProof/>
          <w:sz w:val="24"/>
          <w:szCs w:val="24"/>
          <w:u w:val="single"/>
          <w:lang w:val="en-IE"/>
        </w:rPr>
        <w:t>)</w:t>
      </w:r>
      <w:r w:rsidR="003A1A99" w:rsidRPr="00532C20">
        <w:rPr>
          <w:rFonts w:ascii="Times New Roman" w:hAnsi="Times New Roman" w:cs="Times New Roman"/>
          <w:noProof/>
          <w:sz w:val="24"/>
          <w:szCs w:val="24"/>
          <w:lang w:val="en-IE"/>
        </w:rPr>
        <w:t xml:space="preserve">, the </w:t>
      </w:r>
      <w:r w:rsidR="003A1A99" w:rsidRPr="00532C20">
        <w:rPr>
          <w:rFonts w:ascii="Times New Roman" w:hAnsi="Times New Roman" w:cs="Times New Roman"/>
          <w:b/>
          <w:bCs/>
          <w:noProof/>
          <w:sz w:val="24"/>
          <w:szCs w:val="24"/>
          <w:lang w:val="en-IE"/>
        </w:rPr>
        <w:t xml:space="preserve">risk of circumvention would be </w:t>
      </w:r>
      <w:r w:rsidR="00AD1F60" w:rsidRPr="00532C20">
        <w:rPr>
          <w:rFonts w:ascii="Times New Roman" w:hAnsi="Times New Roman" w:cs="Times New Roman"/>
          <w:b/>
          <w:bCs/>
          <w:noProof/>
          <w:sz w:val="24"/>
          <w:szCs w:val="24"/>
          <w:lang w:val="en-IE"/>
        </w:rPr>
        <w:t>limited</w:t>
      </w:r>
      <w:r w:rsidR="00AD1F60" w:rsidRPr="00532C20">
        <w:rPr>
          <w:rFonts w:ascii="Times New Roman" w:hAnsi="Times New Roman" w:cs="Times New Roman"/>
          <w:noProof/>
          <w:sz w:val="24"/>
          <w:szCs w:val="24"/>
          <w:lang w:val="en-IE"/>
        </w:rPr>
        <w:t xml:space="preserve"> thanks to </w:t>
      </w:r>
      <w:r w:rsidR="00661210" w:rsidRPr="00532C20">
        <w:rPr>
          <w:rFonts w:ascii="Times New Roman" w:hAnsi="Times New Roman" w:cs="Times New Roman"/>
          <w:noProof/>
          <w:sz w:val="24"/>
          <w:szCs w:val="24"/>
          <w:lang w:val="en-IE"/>
        </w:rPr>
        <w:t>t</w:t>
      </w:r>
      <w:r w:rsidR="0099208F" w:rsidRPr="00532C20">
        <w:rPr>
          <w:rFonts w:ascii="Times New Roman" w:hAnsi="Times New Roman" w:cs="Times New Roman"/>
          <w:noProof/>
          <w:sz w:val="24"/>
          <w:szCs w:val="24"/>
          <w:lang w:val="en-IE"/>
        </w:rPr>
        <w:t>he broad notion of third country entity</w:t>
      </w:r>
      <w:r w:rsidR="00AD1F60" w:rsidRPr="00532C20">
        <w:rPr>
          <w:rFonts w:ascii="Times New Roman" w:hAnsi="Times New Roman" w:cs="Times New Roman"/>
          <w:noProof/>
          <w:sz w:val="24"/>
          <w:szCs w:val="24"/>
          <w:lang w:val="en-IE"/>
        </w:rPr>
        <w:t xml:space="preserve">. </w:t>
      </w:r>
      <w:r w:rsidR="00250821" w:rsidRPr="00532C20">
        <w:rPr>
          <w:rFonts w:ascii="Times New Roman" w:hAnsi="Times New Roman" w:cs="Times New Roman"/>
          <w:noProof/>
          <w:sz w:val="24"/>
          <w:szCs w:val="24"/>
          <w:lang w:val="en-IE"/>
        </w:rPr>
        <w:t>T</w:t>
      </w:r>
      <w:r w:rsidR="00AD1F60" w:rsidRPr="00532C20">
        <w:rPr>
          <w:rFonts w:ascii="Times New Roman" w:hAnsi="Times New Roman" w:cs="Times New Roman"/>
          <w:noProof/>
          <w:sz w:val="24"/>
          <w:szCs w:val="24"/>
          <w:lang w:val="en-IE"/>
        </w:rPr>
        <w:t xml:space="preserve">his notion would include </w:t>
      </w:r>
      <w:r w:rsidR="0099208F" w:rsidRPr="00532C20">
        <w:rPr>
          <w:rFonts w:ascii="Times New Roman" w:eastAsia="Times" w:hAnsi="Times New Roman" w:cs="Times New Roman"/>
          <w:noProof/>
          <w:sz w:val="24"/>
          <w:szCs w:val="24"/>
          <w:lang w:val="en-IE"/>
        </w:rPr>
        <w:t xml:space="preserve">public or private entities, including </w:t>
      </w:r>
      <w:r w:rsidR="00ED7C32" w:rsidRPr="00532C20">
        <w:rPr>
          <w:rFonts w:ascii="Times New Roman" w:eastAsia="Times" w:hAnsi="Times New Roman" w:cs="Times New Roman"/>
          <w:noProof/>
          <w:sz w:val="24"/>
          <w:szCs w:val="24"/>
          <w:lang w:val="en-IE"/>
        </w:rPr>
        <w:t xml:space="preserve">EU </w:t>
      </w:r>
      <w:r w:rsidR="0099208F" w:rsidRPr="00532C20">
        <w:rPr>
          <w:rFonts w:ascii="Times New Roman" w:eastAsia="Times" w:hAnsi="Times New Roman" w:cs="Times New Roman"/>
          <w:noProof/>
          <w:sz w:val="24"/>
          <w:szCs w:val="24"/>
          <w:lang w:val="en-IE"/>
        </w:rPr>
        <w:t>citizens and legal persons established</w:t>
      </w:r>
      <w:r w:rsidR="0099208F" w:rsidRPr="00532C20">
        <w:rPr>
          <w:rFonts w:ascii="Times New Roman" w:hAnsi="Times New Roman" w:cs="Times New Roman"/>
          <w:noProof/>
          <w:sz w:val="24"/>
          <w:szCs w:val="24"/>
          <w:lang w:val="en-IE"/>
        </w:rPr>
        <w:t xml:space="preserve"> in</w:t>
      </w:r>
      <w:r w:rsidR="0099208F" w:rsidRPr="00532C20">
        <w:rPr>
          <w:rFonts w:ascii="Times New Roman" w:eastAsia="Times" w:hAnsi="Times New Roman" w:cs="Times New Roman"/>
          <w:noProof/>
          <w:sz w:val="24"/>
          <w:szCs w:val="24"/>
          <w:lang w:val="en-IE"/>
        </w:rPr>
        <w:t xml:space="preserve"> the </w:t>
      </w:r>
      <w:r w:rsidR="00ED7C32" w:rsidRPr="00532C20">
        <w:rPr>
          <w:rFonts w:ascii="Times New Roman" w:eastAsia="Times" w:hAnsi="Times New Roman" w:cs="Times New Roman"/>
          <w:noProof/>
          <w:sz w:val="24"/>
          <w:szCs w:val="24"/>
          <w:lang w:val="en-IE"/>
        </w:rPr>
        <w:t>EU</w:t>
      </w:r>
      <w:r w:rsidR="0099208F" w:rsidRPr="00532C20">
        <w:rPr>
          <w:rFonts w:ascii="Times New Roman" w:eastAsia="Times" w:hAnsi="Times New Roman" w:cs="Times New Roman"/>
          <w:noProof/>
          <w:sz w:val="24"/>
          <w:szCs w:val="24"/>
          <w:lang w:val="en-IE"/>
        </w:rPr>
        <w:t>, whose actions can ultimately be attributed to a central government or public authorities of a third country</w:t>
      </w:r>
      <w:r w:rsidR="000D6924" w:rsidRPr="00532C20">
        <w:rPr>
          <w:rStyle w:val="FootnoteReference"/>
          <w:rFonts w:ascii="Times New Roman" w:eastAsia="Times" w:hAnsi="Times New Roman" w:cs="Times New Roman"/>
          <w:noProof/>
          <w:sz w:val="24"/>
          <w:szCs w:val="24"/>
          <w:lang w:val="en-IE"/>
        </w:rPr>
        <w:footnoteReference w:id="179"/>
      </w:r>
      <w:r w:rsidR="0099208F" w:rsidRPr="00532C20">
        <w:rPr>
          <w:rFonts w:ascii="Times New Roman" w:eastAsia="Times" w:hAnsi="Times New Roman" w:cs="Times New Roman"/>
          <w:noProof/>
          <w:sz w:val="24"/>
          <w:szCs w:val="24"/>
          <w:lang w:val="en-IE"/>
        </w:rPr>
        <w:t>.</w:t>
      </w:r>
      <w:r w:rsidR="008C52E9" w:rsidRPr="00532C20">
        <w:rPr>
          <w:rFonts w:ascii="Times New Roman" w:eastAsia="Times" w:hAnsi="Times New Roman" w:cs="Times New Roman"/>
          <w:noProof/>
          <w:sz w:val="24"/>
          <w:szCs w:val="24"/>
          <w:lang w:val="en-IE"/>
        </w:rPr>
        <w:t xml:space="preserve"> Guidance </w:t>
      </w:r>
      <w:r w:rsidR="00BC2CFD" w:rsidRPr="00532C20">
        <w:rPr>
          <w:rFonts w:ascii="Times New Roman" w:hAnsi="Times New Roman" w:cs="Times New Roman"/>
          <w:noProof/>
          <w:sz w:val="24"/>
          <w:szCs w:val="24"/>
          <w:lang w:val="en-IE"/>
        </w:rPr>
        <w:t>could be offered by competent national authorit</w:t>
      </w:r>
      <w:r w:rsidR="00773742">
        <w:rPr>
          <w:rFonts w:ascii="Times New Roman" w:hAnsi="Times New Roman" w:cs="Times New Roman"/>
          <w:noProof/>
          <w:sz w:val="24"/>
          <w:szCs w:val="24"/>
          <w:lang w:val="en-IE"/>
        </w:rPr>
        <w:t>ies</w:t>
      </w:r>
      <w:r w:rsidR="00BC2CFD" w:rsidRPr="00532C20">
        <w:rPr>
          <w:rFonts w:ascii="Times New Roman" w:hAnsi="Times New Roman" w:cs="Times New Roman"/>
          <w:noProof/>
          <w:sz w:val="24"/>
          <w:szCs w:val="24"/>
          <w:lang w:val="en-IE"/>
        </w:rPr>
        <w:t xml:space="preserve">, </w:t>
      </w:r>
      <w:r w:rsidR="008C52E9" w:rsidRPr="00532C20">
        <w:rPr>
          <w:rFonts w:ascii="Times New Roman" w:eastAsia="Times" w:hAnsi="Times New Roman" w:cs="Times New Roman"/>
          <w:noProof/>
          <w:sz w:val="24"/>
          <w:szCs w:val="24"/>
          <w:lang w:val="en-IE"/>
        </w:rPr>
        <w:t>to help concerned entities apply this concept.</w:t>
      </w:r>
      <w:r w:rsidR="001D293B" w:rsidRPr="00532C20">
        <w:rPr>
          <w:rFonts w:ascii="Times New Roman" w:eastAsia="Times" w:hAnsi="Times New Roman" w:cs="Times New Roman"/>
          <w:noProof/>
          <w:sz w:val="24"/>
          <w:szCs w:val="24"/>
          <w:lang w:val="en-IE"/>
        </w:rPr>
        <w:t xml:space="preserve"> </w:t>
      </w:r>
      <w:r w:rsidR="001D3320" w:rsidRPr="00532C20">
        <w:rPr>
          <w:rFonts w:ascii="Times New Roman" w:eastAsia="Times" w:hAnsi="Times New Roman" w:cs="Times New Roman"/>
          <w:noProof/>
          <w:sz w:val="24"/>
          <w:szCs w:val="24"/>
          <w:lang w:val="en-IE"/>
        </w:rPr>
        <w:t>W</w:t>
      </w:r>
      <w:r w:rsidR="00C67EFC" w:rsidRPr="00532C20">
        <w:rPr>
          <w:rFonts w:ascii="Times New Roman" w:eastAsia="Times" w:hAnsi="Times New Roman" w:cs="Times New Roman"/>
          <w:noProof/>
          <w:sz w:val="24"/>
          <w:szCs w:val="24"/>
          <w:lang w:val="en-IE"/>
        </w:rPr>
        <w:t>here a supervisory authority has reliable information of possible non-compliance</w:t>
      </w:r>
      <w:r w:rsidR="008515ED" w:rsidRPr="00532C20">
        <w:rPr>
          <w:rFonts w:ascii="Times New Roman" w:eastAsia="Times" w:hAnsi="Times New Roman" w:cs="Times New Roman"/>
          <w:noProof/>
          <w:sz w:val="24"/>
          <w:szCs w:val="24"/>
          <w:lang w:val="en-IE"/>
        </w:rPr>
        <w:t>, e.g.</w:t>
      </w:r>
      <w:r w:rsidR="008756DD" w:rsidRPr="00532C20">
        <w:rPr>
          <w:rFonts w:ascii="Times New Roman" w:eastAsia="Times" w:hAnsi="Times New Roman" w:cs="Times New Roman"/>
          <w:noProof/>
          <w:sz w:val="24"/>
          <w:szCs w:val="24"/>
          <w:lang w:val="en-IE"/>
        </w:rPr>
        <w:t xml:space="preserve"> a</w:t>
      </w:r>
      <w:r w:rsidR="008515ED" w:rsidRPr="00532C20">
        <w:rPr>
          <w:rFonts w:ascii="Times New Roman" w:eastAsia="Times" w:hAnsi="Times New Roman" w:cs="Times New Roman"/>
          <w:noProof/>
          <w:sz w:val="24"/>
          <w:szCs w:val="24"/>
          <w:lang w:val="en-IE"/>
        </w:rPr>
        <w:t xml:space="preserve"> private entit</w:t>
      </w:r>
      <w:r w:rsidR="008756DD" w:rsidRPr="00532C20">
        <w:rPr>
          <w:rFonts w:ascii="Times New Roman" w:eastAsia="Times" w:hAnsi="Times New Roman" w:cs="Times New Roman"/>
          <w:noProof/>
          <w:sz w:val="24"/>
          <w:szCs w:val="24"/>
          <w:lang w:val="en-IE"/>
        </w:rPr>
        <w:t>y</w:t>
      </w:r>
      <w:r w:rsidR="008515ED" w:rsidRPr="00532C20">
        <w:rPr>
          <w:rFonts w:ascii="Times New Roman" w:eastAsia="Times" w:hAnsi="Times New Roman" w:cs="Times New Roman"/>
          <w:noProof/>
          <w:sz w:val="24"/>
          <w:szCs w:val="24"/>
          <w:lang w:val="en-IE"/>
        </w:rPr>
        <w:t xml:space="preserve"> registered in the EU trying to </w:t>
      </w:r>
      <w:r w:rsidR="00B3383B" w:rsidRPr="00532C20">
        <w:rPr>
          <w:rFonts w:ascii="Times New Roman" w:eastAsia="Times" w:hAnsi="Times New Roman" w:cs="Times New Roman"/>
          <w:noProof/>
          <w:sz w:val="24"/>
          <w:szCs w:val="24"/>
          <w:lang w:val="en-IE"/>
        </w:rPr>
        <w:t>cover u</w:t>
      </w:r>
      <w:r w:rsidR="00B40CE9" w:rsidRPr="00532C20">
        <w:rPr>
          <w:rFonts w:ascii="Times New Roman" w:eastAsia="Times" w:hAnsi="Times New Roman" w:cs="Times New Roman"/>
          <w:noProof/>
          <w:sz w:val="24"/>
          <w:szCs w:val="24"/>
          <w:lang w:val="en-IE"/>
        </w:rPr>
        <w:t xml:space="preserve">p </w:t>
      </w:r>
      <w:r w:rsidR="008756DD" w:rsidRPr="00532C20">
        <w:rPr>
          <w:rFonts w:ascii="Times New Roman" w:eastAsia="Times" w:hAnsi="Times New Roman" w:cs="Times New Roman"/>
          <w:noProof/>
          <w:sz w:val="24"/>
          <w:szCs w:val="24"/>
          <w:lang w:val="en-IE"/>
        </w:rPr>
        <w:t>its work on behalf of third countries,</w:t>
      </w:r>
      <w:r w:rsidR="00C67EFC" w:rsidRPr="00532C20">
        <w:rPr>
          <w:rFonts w:ascii="Times New Roman" w:eastAsia="Times" w:hAnsi="Times New Roman" w:cs="Times New Roman"/>
          <w:noProof/>
          <w:sz w:val="24"/>
          <w:szCs w:val="24"/>
          <w:lang w:val="en-IE"/>
        </w:rPr>
        <w:t xml:space="preserve"> it may ask that entity to provide the records kept necessary to investigate the possible non-compliance. </w:t>
      </w:r>
      <w:r w:rsidR="001D293B" w:rsidRPr="00532C20">
        <w:rPr>
          <w:rFonts w:ascii="Times New Roman" w:eastAsia="Times" w:hAnsi="Times New Roman" w:cs="Times New Roman"/>
          <w:noProof/>
          <w:sz w:val="24"/>
          <w:szCs w:val="24"/>
          <w:lang w:val="en-IE"/>
        </w:rPr>
        <w:t>These</w:t>
      </w:r>
      <w:r w:rsidR="00A90D63" w:rsidRPr="00532C20">
        <w:rPr>
          <w:rFonts w:ascii="Times New Roman" w:eastAsia="Times" w:hAnsi="Times New Roman" w:cs="Times New Roman"/>
          <w:noProof/>
          <w:sz w:val="24"/>
          <w:szCs w:val="24"/>
          <w:lang w:val="en-IE"/>
        </w:rPr>
        <w:t xml:space="preserve"> 2</w:t>
      </w:r>
      <w:r w:rsidR="001D293B" w:rsidRPr="00532C20">
        <w:rPr>
          <w:rFonts w:ascii="Times New Roman" w:eastAsia="Times" w:hAnsi="Times New Roman" w:cs="Times New Roman"/>
          <w:noProof/>
          <w:sz w:val="24"/>
          <w:szCs w:val="24"/>
          <w:lang w:val="en-IE"/>
        </w:rPr>
        <w:t xml:space="preserve"> policy option</w:t>
      </w:r>
      <w:r w:rsidR="00CA2DC3" w:rsidRPr="00532C20">
        <w:rPr>
          <w:rFonts w:ascii="Times New Roman" w:eastAsia="Times" w:hAnsi="Times New Roman" w:cs="Times New Roman"/>
          <w:noProof/>
          <w:sz w:val="24"/>
          <w:szCs w:val="24"/>
          <w:lang w:val="en-IE"/>
        </w:rPr>
        <w:t>s</w:t>
      </w:r>
      <w:r w:rsidR="001D293B" w:rsidRPr="00532C20">
        <w:rPr>
          <w:rFonts w:ascii="Times New Roman" w:eastAsia="Times" w:hAnsi="Times New Roman" w:cs="Times New Roman"/>
          <w:noProof/>
          <w:sz w:val="24"/>
          <w:szCs w:val="24"/>
          <w:lang w:val="en-IE"/>
        </w:rPr>
        <w:t xml:space="preserve"> would also enable </w:t>
      </w:r>
      <w:r w:rsidR="001A4657" w:rsidRPr="00532C20">
        <w:rPr>
          <w:rFonts w:ascii="Times New Roman" w:eastAsia="Times" w:hAnsi="Times New Roman" w:cs="Times New Roman"/>
          <w:noProof/>
          <w:sz w:val="24"/>
          <w:szCs w:val="24"/>
          <w:lang w:val="en-IE"/>
        </w:rPr>
        <w:t>reports of breaches or attempts to circumvent the obligations by whistle-blowers</w:t>
      </w:r>
      <w:r w:rsidR="001A4657" w:rsidRPr="00532C20">
        <w:rPr>
          <w:rStyle w:val="FootnoteReference"/>
          <w:rFonts w:ascii="Times New Roman" w:eastAsia="Times" w:hAnsi="Times New Roman" w:cs="Times New Roman"/>
          <w:noProof/>
          <w:sz w:val="24"/>
          <w:szCs w:val="24"/>
          <w:lang w:val="en-IE"/>
        </w:rPr>
        <w:footnoteReference w:id="180"/>
      </w:r>
      <w:r w:rsidR="001A4657" w:rsidRPr="00532C20">
        <w:rPr>
          <w:rFonts w:ascii="Times New Roman" w:eastAsia="Times" w:hAnsi="Times New Roman" w:cs="Times New Roman"/>
          <w:noProof/>
          <w:sz w:val="24"/>
          <w:szCs w:val="24"/>
          <w:lang w:val="en-IE"/>
        </w:rPr>
        <w:t>.</w:t>
      </w:r>
    </w:p>
    <w:p w14:paraId="6F850CDC" w14:textId="43814EA8" w:rsidR="006F3E5A" w:rsidRPr="00532C20" w:rsidRDefault="006F3E5A" w:rsidP="004B0958">
      <w:pPr>
        <w:spacing w:line="240" w:lineRule="auto"/>
        <w:jc w:val="both"/>
        <w:rPr>
          <w:rFonts w:ascii="Times New Roman"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By having the possibility to </w:t>
      </w:r>
      <w:r w:rsidRPr="00532C20">
        <w:rPr>
          <w:rFonts w:ascii="Times New Roman" w:eastAsia="Times" w:hAnsi="Times New Roman" w:cs="Times New Roman"/>
          <w:noProof/>
          <w:sz w:val="24"/>
          <w:szCs w:val="24"/>
          <w:lang w:val="en-IE" w:eastAsia="en-IE"/>
        </w:rPr>
        <w:t xml:space="preserve">refuse to authorise an interest representation activity that is likely to seriously affect public security, </w:t>
      </w:r>
      <w:r w:rsidRPr="00532C20">
        <w:rPr>
          <w:rFonts w:ascii="Times New Roman" w:hAnsi="Times New Roman" w:cs="Times New Roman"/>
          <w:noProof/>
          <w:sz w:val="24"/>
          <w:szCs w:val="24"/>
          <w:u w:val="single"/>
          <w:lang w:val="en-IE"/>
        </w:rPr>
        <w:t>the legislative option PO2.</w:t>
      </w:r>
      <w:r w:rsidR="00A80C58" w:rsidRPr="00532C20">
        <w:rPr>
          <w:rFonts w:ascii="Times New Roman" w:hAnsi="Times New Roman" w:cs="Times New Roman"/>
          <w:noProof/>
          <w:sz w:val="24"/>
          <w:szCs w:val="24"/>
          <w:u w:val="single"/>
          <w:lang w:val="en-IE"/>
        </w:rPr>
        <w:t>2</w:t>
      </w:r>
      <w:r w:rsidRPr="00532C20">
        <w:rPr>
          <w:rFonts w:ascii="Times New Roman" w:hAnsi="Times New Roman" w:cs="Times New Roman"/>
          <w:noProof/>
          <w:sz w:val="24"/>
          <w:szCs w:val="24"/>
          <w:lang w:val="en-IE"/>
        </w:rPr>
        <w:t xml:space="preserve"> would </w:t>
      </w:r>
      <w:r w:rsidR="00DF1411" w:rsidRPr="00532C20">
        <w:rPr>
          <w:rFonts w:ascii="Times New Roman" w:hAnsi="Times New Roman" w:cs="Times New Roman"/>
          <w:noProof/>
          <w:sz w:val="24"/>
          <w:szCs w:val="24"/>
          <w:lang w:val="en-IE"/>
        </w:rPr>
        <w:t xml:space="preserve">enable supervisory authorities to </w:t>
      </w:r>
      <w:r w:rsidR="0027544F" w:rsidRPr="00532C20">
        <w:rPr>
          <w:rFonts w:ascii="Times New Roman" w:hAnsi="Times New Roman" w:cs="Times New Roman"/>
          <w:noProof/>
          <w:sz w:val="24"/>
          <w:szCs w:val="24"/>
          <w:lang w:val="en-IE"/>
        </w:rPr>
        <w:t xml:space="preserve">prevent activities that could pose a </w:t>
      </w:r>
      <w:r w:rsidR="00B8642F" w:rsidRPr="00532C20">
        <w:rPr>
          <w:rFonts w:ascii="Times New Roman" w:hAnsi="Times New Roman" w:cs="Times New Roman"/>
          <w:noProof/>
          <w:sz w:val="24"/>
          <w:szCs w:val="24"/>
          <w:lang w:val="en-IE"/>
        </w:rPr>
        <w:t>threat</w:t>
      </w:r>
      <w:r w:rsidR="0027544F" w:rsidRPr="00532C20">
        <w:rPr>
          <w:rFonts w:ascii="Times New Roman" w:hAnsi="Times New Roman" w:cs="Times New Roman"/>
          <w:noProof/>
          <w:sz w:val="24"/>
          <w:szCs w:val="24"/>
          <w:lang w:val="en-IE"/>
        </w:rPr>
        <w:t xml:space="preserve"> to the functioning of the institutions and essential public services, as well as the risk of a serious disturbance to foreign relations or to peaceful coexistence of nations</w:t>
      </w:r>
      <w:r w:rsidRPr="00532C20">
        <w:rPr>
          <w:rFonts w:ascii="Times New Roman" w:hAnsi="Times New Roman" w:cs="Times New Roman"/>
          <w:noProof/>
          <w:sz w:val="24"/>
          <w:szCs w:val="24"/>
          <w:lang w:val="en-IE"/>
        </w:rPr>
        <w:t>.</w:t>
      </w:r>
    </w:p>
    <w:p w14:paraId="2DB2DCB6" w14:textId="4D974423" w:rsidR="006C08F5" w:rsidRPr="00532C20" w:rsidRDefault="006C08F5" w:rsidP="004B0958">
      <w:pPr>
        <w:pStyle w:val="111level3title"/>
        <w:spacing w:line="240" w:lineRule="auto"/>
        <w:rPr>
          <w:noProof/>
        </w:rPr>
      </w:pPr>
      <w:bookmarkStart w:id="878" w:name="_Toc134028732"/>
      <w:bookmarkStart w:id="879" w:name="_Toc134620376"/>
      <w:bookmarkStart w:id="880" w:name="_Toc152864701"/>
      <w:bookmarkStart w:id="881" w:name="_Toc132810137"/>
      <w:r w:rsidRPr="00532C20">
        <w:rPr>
          <w:noProof/>
        </w:rPr>
        <w:t>Fundamental rights</w:t>
      </w:r>
      <w:bookmarkEnd w:id="878"/>
      <w:bookmarkEnd w:id="879"/>
      <w:r w:rsidR="00AF644C" w:rsidRPr="00532C20">
        <w:rPr>
          <w:noProof/>
        </w:rPr>
        <w:t xml:space="preserve"> impacts</w:t>
      </w:r>
      <w:bookmarkEnd w:id="880"/>
      <w:r w:rsidR="00BC2CFD" w:rsidRPr="00532C20">
        <w:rPr>
          <w:noProof/>
        </w:rPr>
        <w:t xml:space="preserve"> </w:t>
      </w:r>
    </w:p>
    <w:p w14:paraId="76DCBE26" w14:textId="068AB445" w:rsidR="002840A8" w:rsidRPr="00532C20" w:rsidRDefault="002840A8" w:rsidP="00E415E8">
      <w:pPr>
        <w:pStyle w:val="1111level4section"/>
        <w:spacing w:before="120" w:after="120" w:line="240" w:lineRule="auto"/>
        <w:rPr>
          <w:noProof/>
        </w:rPr>
      </w:pPr>
      <w:bookmarkStart w:id="882" w:name="_Toc152864702"/>
      <w:r w:rsidRPr="00532C20">
        <w:rPr>
          <w:noProof/>
        </w:rPr>
        <w:t>Right to private life and to the protection of personal data</w:t>
      </w:r>
      <w:r w:rsidR="005E62A6" w:rsidRPr="00532C20">
        <w:rPr>
          <w:rStyle w:val="FootnoteReference"/>
          <w:rFonts w:cs="Times New Roman"/>
          <w:noProof/>
        </w:rPr>
        <w:footnoteReference w:id="181"/>
      </w:r>
      <w:bookmarkEnd w:id="882"/>
    </w:p>
    <w:p w14:paraId="335EA938" w14:textId="72437880" w:rsidR="002840A8" w:rsidRPr="00532C20" w:rsidRDefault="00465742" w:rsidP="00FA1C29">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u w:val="single"/>
          <w:lang w:val="en-IE"/>
        </w:rPr>
        <w:t>All</w:t>
      </w:r>
      <w:r w:rsidR="00A90D63" w:rsidRPr="00532C20">
        <w:rPr>
          <w:rFonts w:ascii="Times New Roman" w:hAnsi="Times New Roman" w:cs="Times New Roman"/>
          <w:noProof/>
          <w:szCs w:val="24"/>
          <w:u w:val="single"/>
          <w:lang w:val="en-IE"/>
        </w:rPr>
        <w:t xml:space="preserve"> 3</w:t>
      </w:r>
      <w:r w:rsidRPr="00532C20">
        <w:rPr>
          <w:rFonts w:ascii="Times New Roman" w:hAnsi="Times New Roman" w:cs="Times New Roman"/>
          <w:noProof/>
          <w:szCs w:val="24"/>
          <w:u w:val="single"/>
          <w:lang w:val="en-IE"/>
        </w:rPr>
        <w:t xml:space="preserve"> policy options</w:t>
      </w:r>
      <w:r w:rsidRPr="00532C20">
        <w:rPr>
          <w:rFonts w:ascii="Times New Roman" w:hAnsi="Times New Roman" w:cs="Times New Roman"/>
          <w:noProof/>
          <w:szCs w:val="24"/>
          <w:lang w:val="en-IE"/>
        </w:rPr>
        <w:t xml:space="preserve"> </w:t>
      </w:r>
      <w:r w:rsidR="002840A8" w:rsidRPr="00532C20">
        <w:rPr>
          <w:rFonts w:ascii="Times New Roman" w:hAnsi="Times New Roman" w:cs="Times New Roman"/>
          <w:b/>
          <w:bCs/>
          <w:noProof/>
          <w:szCs w:val="24"/>
          <w:lang w:val="en-IE"/>
        </w:rPr>
        <w:t>impose</w:t>
      </w:r>
      <w:r w:rsidR="002840A8" w:rsidRPr="00532C20">
        <w:rPr>
          <w:rFonts w:ascii="Times New Roman" w:hAnsi="Times New Roman" w:cs="Times New Roman"/>
          <w:b/>
          <w:noProof/>
          <w:szCs w:val="24"/>
          <w:lang w:val="en-IE"/>
        </w:rPr>
        <w:t xml:space="preserve"> limited restrictions</w:t>
      </w:r>
      <w:r w:rsidR="002840A8" w:rsidRPr="00532C20">
        <w:rPr>
          <w:rFonts w:ascii="Times New Roman" w:hAnsi="Times New Roman" w:cs="Times New Roman"/>
          <w:noProof/>
          <w:szCs w:val="24"/>
          <w:lang w:val="en-IE"/>
        </w:rPr>
        <w:t xml:space="preserve"> on the </w:t>
      </w:r>
      <w:r w:rsidR="002840A8" w:rsidRPr="00532C20">
        <w:rPr>
          <w:rFonts w:ascii="Times New Roman" w:hAnsi="Times New Roman" w:cs="Times New Roman"/>
          <w:b/>
          <w:noProof/>
          <w:szCs w:val="24"/>
          <w:lang w:val="en-IE"/>
        </w:rPr>
        <w:t xml:space="preserve">right to private life </w:t>
      </w:r>
      <w:r w:rsidR="002840A8" w:rsidRPr="00532C20">
        <w:rPr>
          <w:rFonts w:ascii="Times New Roman" w:hAnsi="Times New Roman" w:cs="Times New Roman"/>
          <w:bCs/>
          <w:noProof/>
          <w:szCs w:val="24"/>
          <w:lang w:val="en-IE"/>
        </w:rPr>
        <w:t>(Article 7</w:t>
      </w:r>
      <w:r w:rsidR="00537168" w:rsidRPr="00532C20">
        <w:rPr>
          <w:rFonts w:ascii="Times New Roman" w:hAnsi="Times New Roman" w:cs="Times New Roman"/>
          <w:bCs/>
          <w:noProof/>
          <w:szCs w:val="24"/>
          <w:lang w:val="en-IE"/>
        </w:rPr>
        <w:t xml:space="preserve"> of the Charter</w:t>
      </w:r>
      <w:r w:rsidR="009D2277" w:rsidRPr="00532C20">
        <w:rPr>
          <w:rFonts w:ascii="Times New Roman" w:hAnsi="Times New Roman" w:cs="Times New Roman"/>
          <w:bCs/>
          <w:noProof/>
          <w:szCs w:val="24"/>
          <w:lang w:val="en-IE"/>
        </w:rPr>
        <w:t xml:space="preserve"> of Fundamental Rights, hereinafter ‘the Charter’</w:t>
      </w:r>
      <w:r w:rsidR="009D2277" w:rsidRPr="00532C20">
        <w:rPr>
          <w:rStyle w:val="FootnoteReference"/>
          <w:rFonts w:ascii="Times New Roman" w:hAnsi="Times New Roman" w:cs="Times New Roman"/>
          <w:bCs/>
          <w:noProof/>
          <w:szCs w:val="24"/>
          <w:lang w:val="en-IE"/>
        </w:rPr>
        <w:footnoteReference w:id="182"/>
      </w:r>
      <w:r w:rsidR="002840A8" w:rsidRPr="00532C20">
        <w:rPr>
          <w:rFonts w:ascii="Times New Roman" w:hAnsi="Times New Roman" w:cs="Times New Roman"/>
          <w:bCs/>
          <w:noProof/>
          <w:szCs w:val="24"/>
          <w:lang w:val="en-IE"/>
        </w:rPr>
        <w:t>)</w:t>
      </w:r>
      <w:r w:rsidR="00773742">
        <w:rPr>
          <w:rFonts w:ascii="Times New Roman" w:hAnsi="Times New Roman" w:cs="Times New Roman"/>
          <w:bCs/>
          <w:noProof/>
          <w:szCs w:val="24"/>
          <w:lang w:val="en-IE"/>
        </w:rPr>
        <w:t xml:space="preserve"> and</w:t>
      </w:r>
      <w:r w:rsidR="002840A8" w:rsidRPr="00532C20">
        <w:rPr>
          <w:rFonts w:ascii="Times New Roman" w:hAnsi="Times New Roman" w:cs="Times New Roman"/>
          <w:noProof/>
          <w:szCs w:val="24"/>
          <w:lang w:val="en-IE"/>
        </w:rPr>
        <w:t xml:space="preserve"> the </w:t>
      </w:r>
      <w:r w:rsidR="002840A8" w:rsidRPr="00532C20">
        <w:rPr>
          <w:rFonts w:ascii="Times New Roman" w:hAnsi="Times New Roman" w:cs="Times New Roman"/>
          <w:b/>
          <w:noProof/>
          <w:szCs w:val="24"/>
          <w:lang w:val="en-IE"/>
        </w:rPr>
        <w:t xml:space="preserve">right to the protection of personal data </w:t>
      </w:r>
      <w:r w:rsidR="002840A8" w:rsidRPr="00532C20">
        <w:rPr>
          <w:rFonts w:ascii="Times New Roman" w:hAnsi="Times New Roman" w:cs="Times New Roman"/>
          <w:bCs/>
          <w:noProof/>
          <w:szCs w:val="24"/>
          <w:lang w:val="en-IE"/>
        </w:rPr>
        <w:t>(Article 8</w:t>
      </w:r>
      <w:r w:rsidR="00537168" w:rsidRPr="00532C20">
        <w:rPr>
          <w:rFonts w:ascii="Times New Roman" w:hAnsi="Times New Roman" w:cs="Times New Roman"/>
          <w:bCs/>
          <w:noProof/>
          <w:szCs w:val="24"/>
          <w:lang w:val="en-IE"/>
        </w:rPr>
        <w:t xml:space="preserve"> of the Charter</w:t>
      </w:r>
      <w:r w:rsidR="002840A8" w:rsidRPr="00532C20">
        <w:rPr>
          <w:rFonts w:ascii="Times New Roman" w:hAnsi="Times New Roman" w:cs="Times New Roman"/>
          <w:bCs/>
          <w:noProof/>
          <w:szCs w:val="24"/>
          <w:lang w:val="en-IE"/>
        </w:rPr>
        <w:t>), insofar</w:t>
      </w:r>
      <w:r w:rsidR="002840A8" w:rsidRPr="00532C20">
        <w:rPr>
          <w:rFonts w:ascii="Times New Roman" w:hAnsi="Times New Roman" w:cs="Times New Roman"/>
          <w:noProof/>
          <w:szCs w:val="24"/>
          <w:lang w:val="en-IE"/>
        </w:rPr>
        <w:t xml:space="preserve"> as </w:t>
      </w:r>
      <w:r w:rsidRPr="00532C20">
        <w:rPr>
          <w:rFonts w:ascii="Times New Roman" w:hAnsi="Times New Roman" w:cs="Times New Roman"/>
          <w:noProof/>
          <w:szCs w:val="24"/>
          <w:lang w:val="en-IE"/>
        </w:rPr>
        <w:t xml:space="preserve">they </w:t>
      </w:r>
      <w:r w:rsidR="002840A8" w:rsidRPr="00532C20">
        <w:rPr>
          <w:rFonts w:ascii="Times New Roman" w:hAnsi="Times New Roman" w:cs="Times New Roman"/>
          <w:noProof/>
          <w:szCs w:val="24"/>
          <w:lang w:val="en-IE"/>
        </w:rPr>
        <w:t>require that entities keep and provide certain information to the national authorities and provide</w:t>
      </w:r>
      <w:r w:rsidR="00931403" w:rsidRPr="00532C20">
        <w:rPr>
          <w:rFonts w:ascii="Times New Roman" w:hAnsi="Times New Roman" w:cs="Times New Roman"/>
          <w:noProof/>
          <w:szCs w:val="24"/>
          <w:lang w:val="en-IE"/>
        </w:rPr>
        <w:t xml:space="preserve"> access</w:t>
      </w:r>
      <w:r w:rsidR="002840A8" w:rsidRPr="00532C20">
        <w:rPr>
          <w:rFonts w:ascii="Times New Roman" w:hAnsi="Times New Roman" w:cs="Times New Roman"/>
          <w:noProof/>
          <w:szCs w:val="24"/>
          <w:lang w:val="en-IE"/>
        </w:rPr>
        <w:t xml:space="preserve"> for the public to a part of that information</w:t>
      </w:r>
      <w:r w:rsidR="009365EC" w:rsidRPr="00532C20">
        <w:rPr>
          <w:rFonts w:ascii="Times New Roman" w:hAnsi="Times New Roman" w:cs="Times New Roman"/>
          <w:noProof/>
          <w:szCs w:val="24"/>
          <w:lang w:val="en-IE"/>
        </w:rPr>
        <w:t xml:space="preserve"> which might include personal data</w:t>
      </w:r>
      <w:r w:rsidR="002840A8" w:rsidRPr="00532C20">
        <w:rPr>
          <w:rFonts w:ascii="Times New Roman" w:hAnsi="Times New Roman" w:cs="Times New Roman"/>
          <w:noProof/>
          <w:szCs w:val="24"/>
          <w:lang w:val="en-IE"/>
        </w:rPr>
        <w:t xml:space="preserve">. </w:t>
      </w:r>
      <w:r w:rsidR="00A65FAA" w:rsidRPr="00532C20">
        <w:rPr>
          <w:rFonts w:ascii="Times New Roman" w:hAnsi="Times New Roman" w:cs="Times New Roman"/>
          <w:noProof/>
          <w:szCs w:val="24"/>
          <w:lang w:val="en-IE"/>
        </w:rPr>
        <w:t>The legislative policy options (</w:t>
      </w:r>
      <w:r w:rsidR="00A65FAA" w:rsidRPr="00313F32">
        <w:rPr>
          <w:rFonts w:ascii="Times New Roman" w:hAnsi="Times New Roman" w:cs="Times New Roman"/>
          <w:noProof/>
          <w:szCs w:val="24"/>
          <w:u w:val="single"/>
          <w:lang w:val="en-IE"/>
        </w:rPr>
        <w:t>PO</w:t>
      </w:r>
      <w:r w:rsidR="00BC277B" w:rsidRPr="00313F32">
        <w:rPr>
          <w:rFonts w:ascii="Times New Roman" w:hAnsi="Times New Roman" w:cs="Times New Roman"/>
          <w:noProof/>
          <w:szCs w:val="24"/>
          <w:u w:val="single"/>
          <w:lang w:val="en-IE"/>
        </w:rPr>
        <w:t>2.1</w:t>
      </w:r>
      <w:r w:rsidR="00A65FAA" w:rsidRPr="00532C20">
        <w:rPr>
          <w:rFonts w:ascii="Times New Roman" w:hAnsi="Times New Roman" w:cs="Times New Roman"/>
          <w:noProof/>
          <w:szCs w:val="24"/>
          <w:lang w:val="en-IE"/>
        </w:rPr>
        <w:t xml:space="preserve">and </w:t>
      </w:r>
      <w:r w:rsidR="00A65FAA" w:rsidRPr="00313F32">
        <w:rPr>
          <w:rFonts w:ascii="Times New Roman" w:hAnsi="Times New Roman" w:cs="Times New Roman"/>
          <w:noProof/>
          <w:szCs w:val="24"/>
          <w:u w:val="single"/>
          <w:lang w:val="en-IE"/>
        </w:rPr>
        <w:t>PO</w:t>
      </w:r>
      <w:r w:rsidR="00A66D7D" w:rsidRPr="00313F32">
        <w:rPr>
          <w:rFonts w:ascii="Times New Roman" w:hAnsi="Times New Roman" w:cs="Times New Roman"/>
          <w:noProof/>
          <w:szCs w:val="24"/>
          <w:u w:val="single"/>
          <w:lang w:val="en-IE"/>
        </w:rPr>
        <w:t>2.2</w:t>
      </w:r>
      <w:r w:rsidR="00A65FAA" w:rsidRPr="00532C20">
        <w:rPr>
          <w:rFonts w:ascii="Times New Roman" w:hAnsi="Times New Roman" w:cs="Times New Roman"/>
          <w:noProof/>
          <w:szCs w:val="24"/>
          <w:lang w:val="en-IE"/>
        </w:rPr>
        <w:t>) provide in addition for the exchange of such information among competent national authorit</w:t>
      </w:r>
      <w:r w:rsidR="00093D2B" w:rsidRPr="00532C20">
        <w:rPr>
          <w:rFonts w:ascii="Times New Roman" w:hAnsi="Times New Roman" w:cs="Times New Roman"/>
          <w:noProof/>
          <w:szCs w:val="24"/>
          <w:lang w:val="en-IE"/>
        </w:rPr>
        <w:t>ies</w:t>
      </w:r>
      <w:r w:rsidR="00A65FAA" w:rsidRPr="00532C20">
        <w:rPr>
          <w:rFonts w:ascii="Times New Roman" w:hAnsi="Times New Roman" w:cs="Times New Roman"/>
          <w:noProof/>
          <w:szCs w:val="24"/>
          <w:lang w:val="en-IE"/>
        </w:rPr>
        <w:t>.</w:t>
      </w:r>
    </w:p>
    <w:p w14:paraId="2555BBBA" w14:textId="2172CD99" w:rsidR="002840A8" w:rsidRPr="00532C20" w:rsidRDefault="002C4796" w:rsidP="000F4B0E">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lang w:val="en-IE"/>
        </w:rPr>
        <w:t xml:space="preserve">As voters, citizens are important decision-makers in their own right, and as such, they can be the target for certain interest representation </w:t>
      </w:r>
      <w:r w:rsidR="00E97246" w:rsidRPr="00532C20">
        <w:rPr>
          <w:rFonts w:ascii="Times New Roman" w:hAnsi="Times New Roman" w:cs="Times New Roman"/>
          <w:noProof/>
          <w:szCs w:val="24"/>
          <w:lang w:val="en-IE"/>
        </w:rPr>
        <w:t>activities</w:t>
      </w:r>
      <w:r w:rsidRPr="00532C20">
        <w:rPr>
          <w:rFonts w:ascii="Times New Roman" w:hAnsi="Times New Roman" w:cs="Times New Roman"/>
          <w:noProof/>
          <w:szCs w:val="24"/>
          <w:lang w:val="en-IE"/>
        </w:rPr>
        <w:t xml:space="preserve">. </w:t>
      </w:r>
      <w:r w:rsidR="000F4B0E" w:rsidRPr="00532C20">
        <w:rPr>
          <w:rFonts w:ascii="Times New Roman" w:hAnsi="Times New Roman" w:cs="Times New Roman"/>
          <w:noProof/>
          <w:szCs w:val="24"/>
          <w:u w:val="single"/>
          <w:lang w:val="en-IE"/>
        </w:rPr>
        <w:t>All 3 policy options</w:t>
      </w:r>
      <w:r w:rsidR="000F4B0E" w:rsidRPr="00532C20">
        <w:rPr>
          <w:rFonts w:ascii="Times New Roman" w:hAnsi="Times New Roman" w:cs="Times New Roman"/>
          <w:noProof/>
          <w:szCs w:val="24"/>
          <w:lang w:val="en-IE"/>
        </w:rPr>
        <w:t xml:space="preserve"> enhance the integrity of, and public trust in</w:t>
      </w:r>
      <w:r w:rsidR="002F3544" w:rsidRPr="00532C20">
        <w:rPr>
          <w:rFonts w:ascii="Times New Roman" w:hAnsi="Times New Roman" w:cs="Times New Roman"/>
          <w:noProof/>
          <w:szCs w:val="24"/>
          <w:lang w:val="en-IE"/>
        </w:rPr>
        <w:t>,</w:t>
      </w:r>
      <w:r w:rsidR="000F4B0E" w:rsidRPr="00532C20">
        <w:rPr>
          <w:rFonts w:ascii="Times New Roman" w:hAnsi="Times New Roman" w:cs="Times New Roman"/>
          <w:noProof/>
          <w:szCs w:val="24"/>
          <w:lang w:val="en-IE"/>
        </w:rPr>
        <w:t xml:space="preserve"> the EU</w:t>
      </w:r>
      <w:r w:rsidR="003C4C19" w:rsidRPr="00532C20">
        <w:rPr>
          <w:rFonts w:ascii="Times New Roman" w:hAnsi="Times New Roman" w:cs="Times New Roman"/>
          <w:noProof/>
          <w:szCs w:val="24"/>
          <w:lang w:val="en-IE"/>
        </w:rPr>
        <w:t>’s</w:t>
      </w:r>
      <w:r w:rsidR="000F4B0E" w:rsidRPr="00532C20">
        <w:rPr>
          <w:rFonts w:ascii="Times New Roman" w:hAnsi="Times New Roman" w:cs="Times New Roman"/>
          <w:noProof/>
          <w:szCs w:val="24"/>
          <w:lang w:val="en-IE"/>
        </w:rPr>
        <w:t xml:space="preserve"> and Member State</w:t>
      </w:r>
      <w:r w:rsidR="003C4C19" w:rsidRPr="00532C20">
        <w:rPr>
          <w:rFonts w:ascii="Times New Roman" w:hAnsi="Times New Roman" w:cs="Times New Roman"/>
          <w:noProof/>
          <w:szCs w:val="24"/>
          <w:lang w:val="en-IE"/>
        </w:rPr>
        <w:t>s’</w:t>
      </w:r>
      <w:r w:rsidR="000F4B0E" w:rsidRPr="00532C20">
        <w:rPr>
          <w:rFonts w:ascii="Times New Roman" w:hAnsi="Times New Roman" w:cs="Times New Roman"/>
          <w:noProof/>
          <w:szCs w:val="24"/>
          <w:lang w:val="en-IE"/>
        </w:rPr>
        <w:t xml:space="preserve"> democratic institutions by ensuring the transparency of interest representation activities carried out on behalf of third countries, and by improving the knowledge </w:t>
      </w:r>
      <w:r w:rsidR="00ED4AB7">
        <w:rPr>
          <w:rFonts w:ascii="Times New Roman" w:hAnsi="Times New Roman" w:cs="Times New Roman"/>
          <w:noProof/>
          <w:szCs w:val="24"/>
          <w:lang w:val="en-IE"/>
        </w:rPr>
        <w:t>about</w:t>
      </w:r>
      <w:r w:rsidR="00ED4AB7" w:rsidRPr="00532C20">
        <w:rPr>
          <w:rFonts w:ascii="Times New Roman" w:hAnsi="Times New Roman" w:cs="Times New Roman"/>
          <w:noProof/>
          <w:szCs w:val="24"/>
          <w:lang w:val="en-IE"/>
        </w:rPr>
        <w:t xml:space="preserve"> </w:t>
      </w:r>
      <w:r w:rsidR="000F4B0E" w:rsidRPr="00532C20">
        <w:rPr>
          <w:rFonts w:ascii="Times New Roman" w:hAnsi="Times New Roman" w:cs="Times New Roman"/>
          <w:noProof/>
          <w:szCs w:val="24"/>
          <w:lang w:val="en-IE"/>
        </w:rPr>
        <w:t>the magnitude, trends and actors of interest representation activities carried out on behalf of third countries (see sections 6.2.2.1 and 6.2.2.2)</w:t>
      </w:r>
      <w:bookmarkStart w:id="883" w:name="_Ref147837080"/>
      <w:r w:rsidR="000F4B0E" w:rsidRPr="00532C20">
        <w:rPr>
          <w:rStyle w:val="FootnoteReference"/>
          <w:rFonts w:ascii="Times New Roman" w:hAnsi="Times New Roman" w:cs="Times New Roman"/>
          <w:noProof/>
          <w:lang w:val="en-IE"/>
        </w:rPr>
        <w:footnoteReference w:id="183"/>
      </w:r>
      <w:bookmarkEnd w:id="883"/>
      <w:r w:rsidR="000F4B0E" w:rsidRPr="00532C20">
        <w:rPr>
          <w:rFonts w:ascii="Times New Roman" w:hAnsi="Times New Roman" w:cs="Times New Roman"/>
          <w:noProof/>
          <w:lang w:val="en-IE"/>
        </w:rPr>
        <w:t>. The</w:t>
      </w:r>
      <w:r w:rsidR="000F4B0E" w:rsidRPr="00532C20" w:rsidDel="009867D4">
        <w:rPr>
          <w:rFonts w:ascii="Times New Roman" w:hAnsi="Times New Roman" w:cs="Times New Roman"/>
          <w:noProof/>
          <w:lang w:val="en-IE"/>
        </w:rPr>
        <w:t xml:space="preserve"> </w:t>
      </w:r>
      <w:r w:rsidR="000F4B0E" w:rsidRPr="00532C20">
        <w:rPr>
          <w:rFonts w:ascii="Times New Roman" w:hAnsi="Times New Roman" w:cs="Times New Roman"/>
          <w:noProof/>
          <w:lang w:val="en-IE"/>
        </w:rPr>
        <w:t>CJEU has recognised that the objective consisting in increasing transparency is an overriding reason in the public interest</w:t>
      </w:r>
      <w:r w:rsidR="000F4B0E" w:rsidRPr="00532C20">
        <w:rPr>
          <w:rStyle w:val="FootnoteReference"/>
          <w:rFonts w:ascii="Times New Roman" w:hAnsi="Times New Roman" w:cs="Times New Roman"/>
          <w:noProof/>
          <w:lang w:val="en-IE"/>
        </w:rPr>
        <w:footnoteReference w:id="184"/>
      </w:r>
      <w:r w:rsidR="000F4B0E" w:rsidRPr="00532C20">
        <w:rPr>
          <w:rFonts w:ascii="Times New Roman" w:hAnsi="Times New Roman" w:cs="Times New Roman"/>
          <w:noProof/>
          <w:lang w:val="en-IE"/>
        </w:rPr>
        <w:t>.</w:t>
      </w:r>
      <w:r w:rsidR="009B2936">
        <w:rPr>
          <w:rFonts w:ascii="Times New Roman" w:hAnsi="Times New Roman" w:cs="Times New Roman"/>
          <w:noProof/>
          <w:lang w:val="en-IE"/>
        </w:rPr>
        <w:t xml:space="preserve"> </w:t>
      </w:r>
      <w:r w:rsidR="002840A8" w:rsidRPr="00532C20">
        <w:rPr>
          <w:rFonts w:ascii="Times New Roman" w:hAnsi="Times New Roman" w:cs="Times New Roman"/>
          <w:noProof/>
          <w:szCs w:val="24"/>
          <w:lang w:val="en-IE"/>
        </w:rPr>
        <w:t>The aim pursued by</w:t>
      </w:r>
      <w:r w:rsidR="00E011F8" w:rsidRPr="00532C20">
        <w:rPr>
          <w:rFonts w:ascii="Times New Roman" w:hAnsi="Times New Roman" w:cs="Times New Roman"/>
          <w:noProof/>
          <w:szCs w:val="24"/>
          <w:lang w:val="en-IE"/>
        </w:rPr>
        <w:t xml:space="preserve"> </w:t>
      </w:r>
      <w:r w:rsidR="00E011F8" w:rsidRPr="00532C20">
        <w:rPr>
          <w:rFonts w:ascii="Times New Roman" w:hAnsi="Times New Roman" w:cs="Times New Roman"/>
          <w:noProof/>
          <w:szCs w:val="24"/>
          <w:u w:val="single"/>
          <w:lang w:val="en-IE"/>
        </w:rPr>
        <w:t>the</w:t>
      </w:r>
      <w:r w:rsidR="00A90D63" w:rsidRPr="00532C20">
        <w:rPr>
          <w:rFonts w:ascii="Times New Roman" w:hAnsi="Times New Roman" w:cs="Times New Roman"/>
          <w:noProof/>
          <w:szCs w:val="24"/>
          <w:u w:val="single"/>
          <w:lang w:val="en-IE"/>
        </w:rPr>
        <w:t xml:space="preserve"> 3</w:t>
      </w:r>
      <w:r w:rsidR="002840A8" w:rsidRPr="00532C20" w:rsidDel="00BA33BA">
        <w:rPr>
          <w:rFonts w:ascii="Times New Roman" w:hAnsi="Times New Roman" w:cs="Times New Roman"/>
          <w:noProof/>
          <w:szCs w:val="24"/>
          <w:u w:val="single"/>
          <w:lang w:val="en-IE"/>
        </w:rPr>
        <w:t xml:space="preserve"> </w:t>
      </w:r>
      <w:r w:rsidR="002840A8" w:rsidRPr="00532C20">
        <w:rPr>
          <w:rFonts w:ascii="Times New Roman" w:hAnsi="Times New Roman" w:cs="Times New Roman"/>
          <w:noProof/>
          <w:szCs w:val="24"/>
          <w:u w:val="single"/>
          <w:lang w:val="en-IE"/>
        </w:rPr>
        <w:t>policy option</w:t>
      </w:r>
      <w:r w:rsidR="00E011F8" w:rsidRPr="00532C20">
        <w:rPr>
          <w:rFonts w:ascii="Times New Roman" w:hAnsi="Times New Roman" w:cs="Times New Roman"/>
          <w:noProof/>
          <w:szCs w:val="24"/>
          <w:u w:val="single"/>
          <w:lang w:val="en-IE"/>
        </w:rPr>
        <w:t>s</w:t>
      </w:r>
      <w:r w:rsidR="00BA33BA" w:rsidRPr="00532C20">
        <w:rPr>
          <w:rFonts w:ascii="Times New Roman" w:hAnsi="Times New Roman" w:cs="Times New Roman"/>
          <w:noProof/>
          <w:szCs w:val="24"/>
          <w:lang w:val="en-IE"/>
        </w:rPr>
        <w:t xml:space="preserve"> </w:t>
      </w:r>
      <w:r w:rsidR="00B46A9B" w:rsidRPr="00532C20">
        <w:rPr>
          <w:rFonts w:ascii="Times New Roman" w:hAnsi="Times New Roman" w:cs="Times New Roman"/>
          <w:noProof/>
          <w:szCs w:val="24"/>
          <w:lang w:val="en-IE"/>
        </w:rPr>
        <w:t xml:space="preserve">therefore </w:t>
      </w:r>
      <w:r w:rsidR="002840A8" w:rsidRPr="00532C20">
        <w:rPr>
          <w:rFonts w:ascii="Times New Roman" w:hAnsi="Times New Roman" w:cs="Times New Roman"/>
          <w:noProof/>
          <w:szCs w:val="24"/>
          <w:lang w:val="en-IE"/>
        </w:rPr>
        <w:t xml:space="preserve">constitutes </w:t>
      </w:r>
      <w:r w:rsidR="002840A8" w:rsidRPr="00532C20">
        <w:rPr>
          <w:rFonts w:ascii="Times New Roman" w:hAnsi="Times New Roman" w:cs="Times New Roman"/>
          <w:b/>
          <w:noProof/>
          <w:szCs w:val="24"/>
          <w:lang w:val="en-IE"/>
        </w:rPr>
        <w:t>an objective of general interest that is capable of justifying interferences with the fundamental rights enshrined in Articles 7 and 8 of the Charter</w:t>
      </w:r>
      <w:r w:rsidR="00D24962" w:rsidRPr="00532C20">
        <w:rPr>
          <w:rFonts w:ascii="Times New Roman" w:hAnsi="Times New Roman" w:cs="Times New Roman"/>
          <w:b/>
          <w:noProof/>
          <w:szCs w:val="24"/>
          <w:lang w:val="en-IE"/>
        </w:rPr>
        <w:t xml:space="preserve"> in line with Article 52 thereof</w:t>
      </w:r>
      <w:r w:rsidR="002840A8" w:rsidRPr="00532C20">
        <w:rPr>
          <w:rFonts w:ascii="Times New Roman" w:hAnsi="Times New Roman" w:cs="Times New Roman"/>
          <w:noProof/>
          <w:szCs w:val="24"/>
          <w:lang w:val="en-IE"/>
        </w:rPr>
        <w:t>.</w:t>
      </w:r>
    </w:p>
    <w:p w14:paraId="763517D3" w14:textId="78DA7E94" w:rsidR="00C82354" w:rsidRPr="00532C20" w:rsidRDefault="006478CC" w:rsidP="00FA1C29">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u w:val="single"/>
          <w:lang w:val="en-IE"/>
        </w:rPr>
        <w:t>All</w:t>
      </w:r>
      <w:r w:rsidR="00A90D63" w:rsidRPr="00532C20">
        <w:rPr>
          <w:rFonts w:ascii="Times New Roman" w:hAnsi="Times New Roman" w:cs="Times New Roman"/>
          <w:noProof/>
          <w:u w:val="single"/>
          <w:lang w:val="en-IE"/>
        </w:rPr>
        <w:t xml:space="preserve"> 3</w:t>
      </w:r>
      <w:r w:rsidRPr="00532C20">
        <w:rPr>
          <w:rFonts w:ascii="Times New Roman" w:hAnsi="Times New Roman" w:cs="Times New Roman"/>
          <w:noProof/>
          <w:u w:val="single"/>
          <w:lang w:val="en-IE"/>
        </w:rPr>
        <w:t xml:space="preserve"> policy options</w:t>
      </w:r>
      <w:r w:rsidRPr="00532C20">
        <w:rPr>
          <w:rFonts w:ascii="Times New Roman" w:hAnsi="Times New Roman" w:cs="Times New Roman"/>
          <w:noProof/>
          <w:lang w:val="en-IE"/>
        </w:rPr>
        <w:t xml:space="preserve"> provide for public access to a </w:t>
      </w:r>
      <w:r w:rsidRPr="00532C20">
        <w:rPr>
          <w:rFonts w:ascii="Times New Roman" w:hAnsi="Times New Roman" w:cs="Times New Roman"/>
          <w:b/>
          <w:noProof/>
          <w:lang w:val="en-IE"/>
        </w:rPr>
        <w:t>proportionate</w:t>
      </w:r>
      <w:r w:rsidRPr="00532C20">
        <w:rPr>
          <w:rFonts w:ascii="Times New Roman" w:hAnsi="Times New Roman" w:cs="Times New Roman"/>
          <w:noProof/>
          <w:lang w:val="en-IE"/>
        </w:rPr>
        <w:t xml:space="preserve">, clearly defined and limited set of information, which excludes information that is not </w:t>
      </w:r>
      <w:r w:rsidR="00040BF9" w:rsidRPr="00532C20">
        <w:rPr>
          <w:rFonts w:ascii="Times New Roman" w:hAnsi="Times New Roman" w:cs="Times New Roman"/>
          <w:noProof/>
          <w:lang w:val="en-IE"/>
        </w:rPr>
        <w:t>absolutely</w:t>
      </w:r>
      <w:r w:rsidR="00CF6CF0" w:rsidRPr="00532C20">
        <w:rPr>
          <w:rFonts w:ascii="Times New Roman" w:hAnsi="Times New Roman" w:cs="Times New Roman"/>
          <w:noProof/>
          <w:lang w:val="en-IE"/>
        </w:rPr>
        <w:t xml:space="preserve"> needed</w:t>
      </w:r>
      <w:r w:rsidRPr="00532C20">
        <w:rPr>
          <w:rFonts w:ascii="Times New Roman" w:hAnsi="Times New Roman" w:cs="Times New Roman"/>
          <w:noProof/>
          <w:lang w:val="en-IE"/>
        </w:rPr>
        <w:t xml:space="preserve"> to </w:t>
      </w:r>
      <w:r w:rsidR="00040BF9" w:rsidRPr="00532C20">
        <w:rPr>
          <w:rFonts w:ascii="Times New Roman" w:hAnsi="Times New Roman" w:cs="Times New Roman"/>
          <w:noProof/>
          <w:lang w:val="en-IE"/>
        </w:rPr>
        <w:t xml:space="preserve">reach </w:t>
      </w:r>
      <w:r w:rsidRPr="00532C20">
        <w:rPr>
          <w:rFonts w:ascii="Times New Roman" w:hAnsi="Times New Roman" w:cs="Times New Roman"/>
          <w:noProof/>
          <w:lang w:val="en-IE"/>
        </w:rPr>
        <w:t xml:space="preserve">the purposes pursued. </w:t>
      </w:r>
      <w:r w:rsidR="008260F3" w:rsidRPr="00532C20">
        <w:rPr>
          <w:rFonts w:ascii="Times New Roman" w:hAnsi="Times New Roman" w:cs="Times New Roman"/>
          <w:noProof/>
          <w:szCs w:val="24"/>
          <w:lang w:val="en-IE"/>
        </w:rPr>
        <w:t>T</w:t>
      </w:r>
      <w:r w:rsidR="008260F3" w:rsidRPr="00532C20">
        <w:rPr>
          <w:rFonts w:ascii="Times New Roman" w:hAnsi="Times New Roman" w:cs="Times New Roman"/>
          <w:noProof/>
          <w:lang w:val="en-IE"/>
        </w:rPr>
        <w:t>he</w:t>
      </w:r>
      <w:r w:rsidR="008260F3" w:rsidRPr="00532C20">
        <w:rPr>
          <w:rFonts w:ascii="Times New Roman" w:hAnsi="Times New Roman" w:cs="Times New Roman"/>
          <w:noProof/>
          <w:szCs w:val="24"/>
          <w:lang w:val="en-IE"/>
        </w:rPr>
        <w:t xml:space="preserve"> limitations on the right to private life and the right to the protection of personal data </w:t>
      </w:r>
      <w:r w:rsidR="00E419A7" w:rsidRPr="00532C20">
        <w:rPr>
          <w:rFonts w:ascii="Times New Roman" w:hAnsi="Times New Roman" w:cs="Times New Roman"/>
          <w:b/>
          <w:noProof/>
          <w:szCs w:val="24"/>
          <w:lang w:val="en-IE"/>
        </w:rPr>
        <w:t>respect</w:t>
      </w:r>
      <w:r w:rsidR="00E059CE" w:rsidRPr="00532C20">
        <w:rPr>
          <w:rFonts w:ascii="Times New Roman" w:hAnsi="Times New Roman" w:cs="Times New Roman"/>
          <w:b/>
          <w:noProof/>
          <w:szCs w:val="24"/>
          <w:lang w:val="en-IE"/>
        </w:rPr>
        <w:t xml:space="preserve"> the essence of those rights</w:t>
      </w:r>
      <w:r w:rsidR="008260F3" w:rsidRPr="00532C20">
        <w:rPr>
          <w:rFonts w:ascii="Times New Roman" w:hAnsi="Times New Roman" w:cs="Times New Roman"/>
          <w:b/>
          <w:noProof/>
          <w:szCs w:val="24"/>
          <w:lang w:val="en-IE"/>
        </w:rPr>
        <w:t>, genuinely meet a general interest recognised by the EU, and are proportionate and limited to the minimum necessary</w:t>
      </w:r>
      <w:r w:rsidR="008260F3" w:rsidRPr="00532C20">
        <w:rPr>
          <w:rFonts w:ascii="Times New Roman" w:hAnsi="Times New Roman" w:cs="Times New Roman"/>
          <w:noProof/>
          <w:szCs w:val="24"/>
          <w:lang w:val="en-IE"/>
        </w:rPr>
        <w:t xml:space="preserve">. </w:t>
      </w:r>
    </w:p>
    <w:p w14:paraId="7DF72A88" w14:textId="1A1EE69E" w:rsidR="00EE2577" w:rsidRPr="00532C20" w:rsidRDefault="00EE2577" w:rsidP="00FA1C29">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lang w:val="en-IE"/>
        </w:rPr>
        <w:t>In particular, in the legislative policy options (PO2.</w:t>
      </w:r>
      <w:r w:rsidR="00F26663" w:rsidRPr="00532C20">
        <w:rPr>
          <w:rFonts w:ascii="Times New Roman" w:hAnsi="Times New Roman" w:cs="Times New Roman"/>
          <w:noProof/>
          <w:szCs w:val="24"/>
          <w:lang w:val="en-IE"/>
        </w:rPr>
        <w:t>1</w:t>
      </w:r>
      <w:r w:rsidRPr="00532C20">
        <w:rPr>
          <w:rFonts w:ascii="Times New Roman" w:hAnsi="Times New Roman" w:cs="Times New Roman"/>
          <w:noProof/>
          <w:szCs w:val="24"/>
          <w:lang w:val="en-IE"/>
        </w:rPr>
        <w:t xml:space="preserve"> and PO2.</w:t>
      </w:r>
      <w:r w:rsidR="00F26663" w:rsidRPr="00532C20">
        <w:rPr>
          <w:rFonts w:ascii="Times New Roman" w:hAnsi="Times New Roman" w:cs="Times New Roman"/>
          <w:noProof/>
          <w:szCs w:val="24"/>
          <w:lang w:val="en-IE"/>
        </w:rPr>
        <w:t>2</w:t>
      </w:r>
      <w:r w:rsidRPr="00532C20">
        <w:rPr>
          <w:rFonts w:ascii="Times New Roman" w:hAnsi="Times New Roman" w:cs="Times New Roman"/>
          <w:noProof/>
          <w:szCs w:val="24"/>
          <w:lang w:val="en-IE"/>
        </w:rPr>
        <w:t>), the set of data to be made available to the public is limited</w:t>
      </w:r>
      <w:r w:rsidR="001C0F7F" w:rsidRPr="00532C20">
        <w:rPr>
          <w:rFonts w:ascii="Times New Roman" w:hAnsi="Times New Roman" w:cs="Times New Roman"/>
          <w:noProof/>
          <w:szCs w:val="24"/>
          <w:lang w:val="en-IE"/>
        </w:rPr>
        <w:t xml:space="preserve"> to what is necessary to improve knowledge about the magnitude</w:t>
      </w:r>
      <w:r w:rsidR="00B7262F" w:rsidRPr="00532C20">
        <w:rPr>
          <w:rFonts w:ascii="Times New Roman" w:hAnsi="Times New Roman" w:cs="Times New Roman"/>
          <w:noProof/>
          <w:szCs w:val="24"/>
          <w:lang w:val="en-IE"/>
        </w:rPr>
        <w:t>,</w:t>
      </w:r>
      <w:r w:rsidR="001C0F7F" w:rsidRPr="00532C20">
        <w:rPr>
          <w:rFonts w:ascii="Times New Roman" w:hAnsi="Times New Roman" w:cs="Times New Roman"/>
          <w:noProof/>
          <w:szCs w:val="24"/>
          <w:lang w:val="en-IE"/>
        </w:rPr>
        <w:t xml:space="preserve"> trends</w:t>
      </w:r>
      <w:r w:rsidR="00B7262F" w:rsidRPr="00532C20">
        <w:rPr>
          <w:rFonts w:ascii="Times New Roman" w:hAnsi="Times New Roman" w:cs="Times New Roman"/>
          <w:noProof/>
          <w:szCs w:val="24"/>
          <w:lang w:val="en-IE"/>
        </w:rPr>
        <w:t>,</w:t>
      </w:r>
      <w:r w:rsidR="00FA18DB" w:rsidRPr="00532C20">
        <w:rPr>
          <w:rFonts w:ascii="Times New Roman" w:hAnsi="Times New Roman" w:cs="Times New Roman"/>
          <w:noProof/>
          <w:szCs w:val="24"/>
          <w:lang w:val="en-IE"/>
        </w:rPr>
        <w:t xml:space="preserve"> and actors</w:t>
      </w:r>
      <w:r w:rsidR="001C0F7F" w:rsidRPr="00532C20">
        <w:rPr>
          <w:rFonts w:ascii="Times New Roman" w:hAnsi="Times New Roman" w:cs="Times New Roman"/>
          <w:noProof/>
          <w:szCs w:val="24"/>
          <w:lang w:val="en-IE"/>
        </w:rPr>
        <w:t xml:space="preserve"> of interest representation carried out on behalf of third countries</w:t>
      </w:r>
      <w:r w:rsidR="002378CC" w:rsidRPr="00532C20">
        <w:rPr>
          <w:rStyle w:val="FootnoteReference"/>
          <w:rFonts w:ascii="Times New Roman" w:hAnsi="Times New Roman" w:cs="Times New Roman"/>
          <w:noProof/>
          <w:szCs w:val="24"/>
          <w:lang w:val="en-IE"/>
        </w:rPr>
        <w:footnoteReference w:id="185"/>
      </w:r>
      <w:r w:rsidR="001C0F7F" w:rsidRPr="00532C20">
        <w:rPr>
          <w:rFonts w:ascii="Times New Roman" w:hAnsi="Times New Roman" w:cs="Times New Roman"/>
          <w:noProof/>
          <w:szCs w:val="24"/>
          <w:lang w:val="en-IE"/>
        </w:rPr>
        <w:t>. It is</w:t>
      </w:r>
      <w:r w:rsidRPr="00532C20">
        <w:rPr>
          <w:rFonts w:ascii="Times New Roman" w:hAnsi="Times New Roman" w:cs="Times New Roman"/>
          <w:noProof/>
          <w:szCs w:val="24"/>
          <w:lang w:val="en-IE"/>
        </w:rPr>
        <w:t xml:space="preserve"> clearly and exhaustively defined and fully harmonised throughout the EU. </w:t>
      </w:r>
      <w:r w:rsidR="006D1B80" w:rsidRPr="00532C20">
        <w:rPr>
          <w:rFonts w:ascii="Times New Roman" w:eastAsia="Arial Unicode MS" w:hAnsi="Times New Roman" w:cs="Times New Roman"/>
          <w:noProof/>
          <w:lang w:val="en-IE"/>
        </w:rPr>
        <w:t>Most of the information contained in the register would not consist of personal data</w:t>
      </w:r>
      <w:r w:rsidR="006D1B80" w:rsidRPr="00532C20">
        <w:rPr>
          <w:rFonts w:ascii="Times New Roman" w:eastAsia="Arial Unicode MS" w:hAnsi="Times New Roman" w:cs="Times New Roman"/>
          <w:noProof/>
          <w:szCs w:val="24"/>
          <w:lang w:val="en-IE"/>
        </w:rPr>
        <w:t xml:space="preserve">. </w:t>
      </w:r>
      <w:r w:rsidR="00AF68BB" w:rsidRPr="00532C20">
        <w:rPr>
          <w:rFonts w:ascii="Times New Roman" w:eastAsia="Arial Unicode MS" w:hAnsi="Times New Roman" w:cs="Times New Roman"/>
          <w:noProof/>
          <w:lang w:val="en-IE"/>
        </w:rPr>
        <w:t>T</w:t>
      </w:r>
      <w:r w:rsidR="006D1B80" w:rsidRPr="00532C20">
        <w:rPr>
          <w:rFonts w:ascii="Times New Roman" w:eastAsia="Arial Unicode MS" w:hAnsi="Times New Roman" w:cs="Times New Roman"/>
          <w:noProof/>
          <w:lang w:val="en-IE"/>
        </w:rPr>
        <w:t>he data minimisation principle contained in the GDPR would be uphold in this context by limiting</w:t>
      </w:r>
      <w:r w:rsidRPr="00532C20">
        <w:rPr>
          <w:rFonts w:ascii="Times New Roman" w:hAnsi="Times New Roman" w:cs="Times New Roman"/>
          <w:noProof/>
          <w:szCs w:val="24"/>
          <w:lang w:val="en-IE"/>
        </w:rPr>
        <w:t xml:space="preserve"> personal data made publicly available to the minimum required for citizens to be informed about the entity carrying out interest representation and the activity carried out on behalf of third country entities. Information of relevance only to the competent national authorities, supervising and monitoring compliance with those options, would not be made publicly available, to safeguard against the risks of abuse of the information provided.</w:t>
      </w:r>
    </w:p>
    <w:p w14:paraId="6F05E959" w14:textId="4C462D3D" w:rsidR="00C407F8" w:rsidRPr="00532C20" w:rsidRDefault="006478CC" w:rsidP="00FA1C29">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lang w:val="en-IE"/>
        </w:rPr>
        <w:t xml:space="preserve">In </w:t>
      </w:r>
      <w:r w:rsidR="00164DC5" w:rsidRPr="00532C20">
        <w:rPr>
          <w:rFonts w:ascii="Times New Roman" w:hAnsi="Times New Roman" w:cs="Times New Roman"/>
          <w:noProof/>
          <w:lang w:val="en-IE"/>
        </w:rPr>
        <w:t>addition,</w:t>
      </w:r>
      <w:r w:rsidRPr="00532C20">
        <w:rPr>
          <w:rFonts w:ascii="Times New Roman" w:hAnsi="Times New Roman" w:cs="Times New Roman"/>
          <w:noProof/>
          <w:lang w:val="en-IE"/>
        </w:rPr>
        <w:t xml:space="preserve"> the </w:t>
      </w:r>
      <w:r w:rsidRPr="00532C20">
        <w:rPr>
          <w:rFonts w:ascii="Times New Roman" w:hAnsi="Times New Roman" w:cs="Times New Roman"/>
          <w:noProof/>
          <w:szCs w:val="24"/>
          <w:u w:val="single"/>
          <w:lang w:val="en-IE"/>
        </w:rPr>
        <w:t>legislative policy options (PO2.</w:t>
      </w:r>
      <w:r w:rsidR="00F26663" w:rsidRPr="00532C20">
        <w:rPr>
          <w:rFonts w:ascii="Times New Roman" w:hAnsi="Times New Roman" w:cs="Times New Roman"/>
          <w:noProof/>
          <w:szCs w:val="24"/>
          <w:u w:val="single"/>
          <w:lang w:val="en-IE"/>
        </w:rPr>
        <w:t>1</w:t>
      </w:r>
      <w:r w:rsidRPr="00532C20">
        <w:rPr>
          <w:rFonts w:ascii="Times New Roman" w:hAnsi="Times New Roman" w:cs="Times New Roman"/>
          <w:noProof/>
          <w:szCs w:val="24"/>
          <w:u w:val="single"/>
          <w:lang w:val="en-IE"/>
        </w:rPr>
        <w:t xml:space="preserve"> and PO2.</w:t>
      </w:r>
      <w:r w:rsidR="00F26663" w:rsidRPr="00532C20">
        <w:rPr>
          <w:rFonts w:ascii="Times New Roman" w:hAnsi="Times New Roman" w:cs="Times New Roman"/>
          <w:noProof/>
          <w:szCs w:val="24"/>
          <w:u w:val="single"/>
          <w:lang w:val="en-IE"/>
        </w:rPr>
        <w:t>2</w:t>
      </w:r>
      <w:r w:rsidRPr="00532C20">
        <w:rPr>
          <w:rFonts w:ascii="Times New Roman" w:hAnsi="Times New Roman" w:cs="Times New Roman"/>
          <w:noProof/>
          <w:szCs w:val="24"/>
          <w:u w:val="single"/>
          <w:lang w:val="en-IE"/>
        </w:rPr>
        <w:t>)</w:t>
      </w:r>
      <w:r w:rsidR="00164DC5" w:rsidRPr="00532C20">
        <w:rPr>
          <w:rFonts w:ascii="Times New Roman" w:hAnsi="Times New Roman" w:cs="Times New Roman"/>
          <w:noProof/>
          <w:szCs w:val="24"/>
          <w:u w:val="single"/>
          <w:lang w:val="en-IE"/>
        </w:rPr>
        <w:t>,</w:t>
      </w:r>
      <w:r w:rsidR="00164DC5" w:rsidRPr="00532C20">
        <w:rPr>
          <w:rFonts w:ascii="Times New Roman" w:hAnsi="Times New Roman" w:cs="Times New Roman"/>
          <w:noProof/>
          <w:szCs w:val="24"/>
          <w:lang w:val="en-IE"/>
        </w:rPr>
        <w:t xml:space="preserve"> </w:t>
      </w:r>
      <w:r w:rsidR="00BC0340" w:rsidRPr="00532C20">
        <w:rPr>
          <w:rFonts w:ascii="Times New Roman" w:hAnsi="Times New Roman" w:cs="Times New Roman"/>
          <w:noProof/>
          <w:szCs w:val="24"/>
          <w:lang w:val="en-IE"/>
        </w:rPr>
        <w:t xml:space="preserve">beyond </w:t>
      </w:r>
      <w:r w:rsidR="00164DC5" w:rsidRPr="00532C20">
        <w:rPr>
          <w:rFonts w:ascii="Times New Roman" w:hAnsi="Times New Roman" w:cs="Times New Roman"/>
          <w:noProof/>
          <w:szCs w:val="24"/>
          <w:lang w:val="en-IE"/>
        </w:rPr>
        <w:t>fully harmonis</w:t>
      </w:r>
      <w:r w:rsidR="00BC0340" w:rsidRPr="00532C20">
        <w:rPr>
          <w:rFonts w:ascii="Times New Roman" w:hAnsi="Times New Roman" w:cs="Times New Roman"/>
          <w:noProof/>
          <w:szCs w:val="24"/>
          <w:lang w:val="en-IE"/>
        </w:rPr>
        <w:t>ing</w:t>
      </w:r>
      <w:r w:rsidR="00164DC5" w:rsidRPr="00532C20">
        <w:rPr>
          <w:rFonts w:ascii="Times New Roman" w:hAnsi="Times New Roman" w:cs="Times New Roman"/>
          <w:noProof/>
          <w:szCs w:val="24"/>
          <w:lang w:val="en-IE"/>
        </w:rPr>
        <w:t xml:space="preserve"> the set of data to be made public,</w:t>
      </w:r>
      <w:r w:rsidRPr="00532C20">
        <w:rPr>
          <w:rFonts w:ascii="Times New Roman" w:hAnsi="Times New Roman" w:cs="Times New Roman"/>
          <w:noProof/>
          <w:szCs w:val="24"/>
          <w:lang w:val="en-IE"/>
        </w:rPr>
        <w:t xml:space="preserve"> provide for</w:t>
      </w:r>
      <w:r w:rsidR="008260F3" w:rsidRPr="00532C20">
        <w:rPr>
          <w:rFonts w:ascii="Times New Roman" w:hAnsi="Times New Roman" w:cs="Times New Roman"/>
          <w:noProof/>
          <w:szCs w:val="24"/>
          <w:lang w:val="en-IE"/>
        </w:rPr>
        <w:t xml:space="preserve"> additional and</w:t>
      </w:r>
      <w:r w:rsidRPr="00532C20">
        <w:rPr>
          <w:rFonts w:ascii="Times New Roman" w:hAnsi="Times New Roman" w:cs="Times New Roman"/>
          <w:noProof/>
          <w:szCs w:val="24"/>
          <w:lang w:val="en-IE"/>
        </w:rPr>
        <w:t xml:space="preserve"> specific safeguards</w:t>
      </w:r>
      <w:r w:rsidR="00164DC5" w:rsidRPr="00532C20">
        <w:rPr>
          <w:rFonts w:ascii="Times New Roman" w:hAnsi="Times New Roman" w:cs="Times New Roman"/>
          <w:noProof/>
          <w:szCs w:val="24"/>
          <w:lang w:val="en-IE"/>
        </w:rPr>
        <w:t xml:space="preserve"> </w:t>
      </w:r>
      <w:r w:rsidR="00AB0CA1" w:rsidRPr="00532C20">
        <w:rPr>
          <w:rFonts w:ascii="Times New Roman" w:hAnsi="Times New Roman" w:cs="Times New Roman"/>
          <w:noProof/>
          <w:szCs w:val="24"/>
          <w:lang w:val="en-IE"/>
        </w:rPr>
        <w:t>by</w:t>
      </w:r>
      <w:r w:rsidR="00E603CD" w:rsidRPr="00532C20">
        <w:rPr>
          <w:rFonts w:ascii="Times New Roman" w:hAnsi="Times New Roman" w:cs="Times New Roman"/>
          <w:noProof/>
          <w:szCs w:val="24"/>
          <w:lang w:val="en-IE"/>
        </w:rPr>
        <w:t xml:space="preserve"> </w:t>
      </w:r>
      <w:r w:rsidR="00E603CD" w:rsidRPr="00532C20">
        <w:rPr>
          <w:rFonts w:ascii="Times New Roman" w:hAnsi="Times New Roman" w:cs="Times New Roman"/>
          <w:noProof/>
          <w:szCs w:val="24"/>
        </w:rPr>
        <w:t>enabling entities to request that all or part of the information gathered for the purpose of the transparency requirement is not made public based on an overriding</w:t>
      </w:r>
      <w:r w:rsidR="0042471F" w:rsidRPr="00532C20">
        <w:rPr>
          <w:rFonts w:ascii="Times New Roman" w:hAnsi="Times New Roman" w:cs="Times New Roman"/>
          <w:noProof/>
          <w:szCs w:val="24"/>
        </w:rPr>
        <w:t xml:space="preserve"> interest</w:t>
      </w:r>
      <w:r w:rsidR="00164DC5" w:rsidRPr="00532C20">
        <w:rPr>
          <w:rFonts w:ascii="Times New Roman" w:hAnsi="Times New Roman" w:cs="Times New Roman"/>
          <w:noProof/>
          <w:szCs w:val="24"/>
          <w:lang w:val="en-IE"/>
        </w:rPr>
        <w:t>.</w:t>
      </w:r>
      <w:r w:rsidR="009B2936" w:rsidRPr="00ED4AB7">
        <w:rPr>
          <w:rFonts w:ascii="Times New Roman" w:hAnsi="Times New Roman" w:cs="Times New Roman"/>
          <w:noProof/>
          <w:szCs w:val="24"/>
          <w:lang w:val="en-IE"/>
        </w:rPr>
        <w:t xml:space="preserve"> </w:t>
      </w:r>
      <w:r w:rsidR="00C407F8" w:rsidRPr="00313F32">
        <w:rPr>
          <w:rFonts w:ascii="Times New Roman" w:hAnsi="Times New Roman" w:cs="Times New Roman"/>
          <w:noProof/>
          <w:szCs w:val="24"/>
          <w:lang w:val="en-IE"/>
        </w:rPr>
        <w:t>The requirement in</w:t>
      </w:r>
      <w:r w:rsidR="008B2F8F">
        <w:rPr>
          <w:rFonts w:ascii="Times New Roman" w:hAnsi="Times New Roman" w:cs="Times New Roman"/>
          <w:noProof/>
          <w:szCs w:val="24"/>
          <w:u w:val="single"/>
          <w:lang w:val="en-IE"/>
        </w:rPr>
        <w:t xml:space="preserve"> </w:t>
      </w:r>
      <w:r w:rsidR="00C407F8" w:rsidRPr="00532C20">
        <w:rPr>
          <w:rFonts w:ascii="Times New Roman" w:hAnsi="Times New Roman" w:cs="Times New Roman"/>
          <w:noProof/>
          <w:szCs w:val="24"/>
          <w:u w:val="single"/>
          <w:lang w:val="en-IE"/>
        </w:rPr>
        <w:t>PO2.</w:t>
      </w:r>
      <w:r w:rsidR="00F26663" w:rsidRPr="00532C20">
        <w:rPr>
          <w:rFonts w:ascii="Times New Roman" w:hAnsi="Times New Roman" w:cs="Times New Roman"/>
          <w:noProof/>
          <w:szCs w:val="24"/>
          <w:u w:val="single"/>
          <w:lang w:val="en-IE"/>
        </w:rPr>
        <w:t>2</w:t>
      </w:r>
      <w:r w:rsidR="00C62F84" w:rsidRPr="00532C20">
        <w:rPr>
          <w:rFonts w:ascii="Times New Roman" w:hAnsi="Times New Roman" w:cs="Times New Roman"/>
          <w:noProof/>
          <w:szCs w:val="24"/>
          <w:lang w:val="en-IE"/>
        </w:rPr>
        <w:t xml:space="preserve"> that</w:t>
      </w:r>
      <w:r w:rsidR="00C407F8" w:rsidRPr="00532C20">
        <w:rPr>
          <w:rFonts w:ascii="Times New Roman" w:hAnsi="Times New Roman" w:cs="Times New Roman"/>
          <w:noProof/>
          <w:szCs w:val="24"/>
          <w:lang w:val="en-IE"/>
        </w:rPr>
        <w:t xml:space="preserve"> entities </w:t>
      </w:r>
      <w:r w:rsidR="008E5A0A" w:rsidRPr="00532C20">
        <w:rPr>
          <w:rFonts w:ascii="Times New Roman" w:hAnsi="Times New Roman" w:cs="Times New Roman"/>
          <w:noProof/>
          <w:szCs w:val="24"/>
          <w:lang w:val="en-IE"/>
        </w:rPr>
        <w:t>falling</w:t>
      </w:r>
      <w:r w:rsidR="00C407F8" w:rsidRPr="00532C20">
        <w:rPr>
          <w:rFonts w:ascii="Times New Roman" w:hAnsi="Times New Roman" w:cs="Times New Roman"/>
          <w:noProof/>
          <w:szCs w:val="24"/>
          <w:lang w:val="en-IE"/>
        </w:rPr>
        <w:t xml:space="preserve"> within the scope of the risk-based approach</w:t>
      </w:r>
      <w:r w:rsidR="00C62F84" w:rsidRPr="00532C20">
        <w:rPr>
          <w:rFonts w:ascii="Times New Roman" w:hAnsi="Times New Roman" w:cs="Times New Roman"/>
          <w:noProof/>
          <w:szCs w:val="24"/>
          <w:lang w:val="en-IE"/>
        </w:rPr>
        <w:t xml:space="preserve"> are</w:t>
      </w:r>
      <w:r w:rsidR="00C407F8" w:rsidRPr="00532C20">
        <w:rPr>
          <w:rFonts w:ascii="Times New Roman" w:hAnsi="Times New Roman" w:cs="Times New Roman"/>
          <w:noProof/>
          <w:szCs w:val="24"/>
          <w:lang w:val="en-IE"/>
        </w:rPr>
        <w:t xml:space="preserve"> required to automatically share all of the</w:t>
      </w:r>
      <w:r w:rsidR="00C62F84" w:rsidRPr="00532C20">
        <w:rPr>
          <w:rFonts w:ascii="Times New Roman" w:hAnsi="Times New Roman" w:cs="Times New Roman"/>
          <w:noProof/>
          <w:szCs w:val="24"/>
          <w:lang w:val="en-IE"/>
        </w:rPr>
        <w:t>ir</w:t>
      </w:r>
      <w:r w:rsidR="00C407F8" w:rsidRPr="00532C20">
        <w:rPr>
          <w:rFonts w:ascii="Times New Roman" w:hAnsi="Times New Roman" w:cs="Times New Roman"/>
          <w:noProof/>
          <w:szCs w:val="24"/>
          <w:lang w:val="en-IE"/>
        </w:rPr>
        <w:t xml:space="preserve"> records</w:t>
      </w:r>
      <w:r w:rsidR="00C62F84" w:rsidRPr="00532C20">
        <w:rPr>
          <w:rFonts w:ascii="Times New Roman" w:hAnsi="Times New Roman" w:cs="Times New Roman"/>
          <w:noProof/>
          <w:szCs w:val="24"/>
          <w:lang w:val="en-IE"/>
        </w:rPr>
        <w:t xml:space="preserve"> with </w:t>
      </w:r>
      <w:r w:rsidR="000876A1" w:rsidRPr="00532C20">
        <w:rPr>
          <w:rFonts w:ascii="Times New Roman" w:hAnsi="Times New Roman" w:cs="Times New Roman"/>
          <w:noProof/>
          <w:szCs w:val="24"/>
          <w:lang w:val="en-IE"/>
        </w:rPr>
        <w:t xml:space="preserve">the supervisory authorities could go beyond what is necessary to </w:t>
      </w:r>
      <w:r w:rsidR="002139FE" w:rsidRPr="00532C20">
        <w:rPr>
          <w:rFonts w:ascii="Times New Roman" w:hAnsi="Times New Roman" w:cs="Times New Roman"/>
          <w:noProof/>
          <w:szCs w:val="24"/>
          <w:lang w:val="en-IE"/>
        </w:rPr>
        <w:t>ensure the transparency of interest representation activities carried out on behalf of third countries</w:t>
      </w:r>
      <w:r w:rsidR="00C407F8" w:rsidRPr="00532C20">
        <w:rPr>
          <w:rFonts w:ascii="Times New Roman" w:hAnsi="Times New Roman" w:cs="Times New Roman"/>
          <w:noProof/>
          <w:szCs w:val="24"/>
          <w:lang w:val="en-IE"/>
        </w:rPr>
        <w:t>.</w:t>
      </w:r>
    </w:p>
    <w:p w14:paraId="02C9AF21" w14:textId="689C3834" w:rsidR="009B635F" w:rsidRPr="00532C20" w:rsidRDefault="009B635F" w:rsidP="00E415E8">
      <w:pPr>
        <w:pStyle w:val="1111level4section"/>
        <w:spacing w:before="120" w:after="120" w:line="240" w:lineRule="auto"/>
        <w:rPr>
          <w:noProof/>
        </w:rPr>
      </w:pPr>
      <w:bookmarkStart w:id="884" w:name="_Ref147148651"/>
      <w:bookmarkStart w:id="885" w:name="_Toc152864703"/>
      <w:bookmarkStart w:id="886" w:name="_Toc73478669"/>
      <w:bookmarkStart w:id="887" w:name="_Toc73525727"/>
      <w:bookmarkStart w:id="888" w:name="_Toc73551043"/>
      <w:bookmarkStart w:id="889" w:name="_Toc73562561"/>
      <w:bookmarkStart w:id="890" w:name="_Toc73567231"/>
      <w:bookmarkStart w:id="891" w:name="_Toc73606834"/>
      <w:bookmarkStart w:id="892" w:name="_Toc73649161"/>
      <w:bookmarkStart w:id="893" w:name="_Toc74081106"/>
      <w:bookmarkStart w:id="894" w:name="_Toc74168107"/>
      <w:bookmarkStart w:id="895" w:name="_Toc74171544"/>
      <w:bookmarkStart w:id="896" w:name="_Toc74596046"/>
      <w:bookmarkStart w:id="897" w:name="_Toc74666151"/>
      <w:bookmarkStart w:id="898" w:name="_Toc74746569"/>
      <w:bookmarkStart w:id="899" w:name="_Toc75282887"/>
      <w:bookmarkStart w:id="900" w:name="_Toc75291817"/>
      <w:bookmarkStart w:id="901" w:name="_Toc75862443"/>
      <w:bookmarkStart w:id="902" w:name="_Toc75882181"/>
      <w:bookmarkStart w:id="903" w:name="_Toc75882665"/>
      <w:bookmarkStart w:id="904" w:name="_Toc75886624"/>
      <w:bookmarkStart w:id="905" w:name="_Toc75893774"/>
      <w:bookmarkStart w:id="906" w:name="_Toc75895484"/>
      <w:bookmarkStart w:id="907" w:name="_Toc77579203"/>
      <w:bookmarkStart w:id="908" w:name="_Toc78820719"/>
      <w:bookmarkStart w:id="909" w:name="_Toc78821835"/>
      <w:bookmarkStart w:id="910" w:name="_Toc79679526"/>
      <w:bookmarkStart w:id="911" w:name="_Toc79680390"/>
      <w:bookmarkStart w:id="912" w:name="_Toc79742188"/>
      <w:bookmarkStart w:id="913" w:name="_Toc79745672"/>
      <w:bookmarkStart w:id="914" w:name="_Toc79748379"/>
      <w:bookmarkStart w:id="915" w:name="_Toc79765326"/>
      <w:bookmarkStart w:id="916" w:name="_Toc79765423"/>
      <w:bookmarkStart w:id="917" w:name="_Toc80020712"/>
      <w:bookmarkStart w:id="918" w:name="_Toc80024187"/>
      <w:bookmarkStart w:id="919" w:name="_Toc80025909"/>
      <w:bookmarkStart w:id="920" w:name="_Toc80028660"/>
      <w:bookmarkStart w:id="921" w:name="_Toc80093489"/>
      <w:bookmarkStart w:id="922" w:name="_Toc80110118"/>
      <w:bookmarkStart w:id="923" w:name="_Toc80111504"/>
      <w:bookmarkStart w:id="924" w:name="_Toc80116084"/>
      <w:bookmarkStart w:id="925" w:name="_Toc80637884"/>
      <w:bookmarkStart w:id="926" w:name="_Toc80640275"/>
      <w:bookmarkStart w:id="927" w:name="_Toc80643397"/>
      <w:bookmarkStart w:id="928" w:name="_Toc80643531"/>
      <w:bookmarkStart w:id="929" w:name="_Toc80643760"/>
      <w:bookmarkStart w:id="930" w:name="_Toc80703189"/>
      <w:bookmarkStart w:id="931" w:name="_Toc80708274"/>
      <w:bookmarkStart w:id="932" w:name="_Toc80709747"/>
      <w:bookmarkStart w:id="933" w:name="_Toc80710135"/>
      <w:bookmarkStart w:id="934" w:name="_Toc80725968"/>
      <w:bookmarkStart w:id="935" w:name="_Toc80808483"/>
      <w:bookmarkStart w:id="936" w:name="_Toc80865907"/>
      <w:bookmarkStart w:id="937" w:name="_Toc80888242"/>
      <w:bookmarkStart w:id="938" w:name="_Toc80893605"/>
      <w:bookmarkStart w:id="939" w:name="_Toc80980450"/>
      <w:bookmarkStart w:id="940" w:name="_Toc81222320"/>
      <w:bookmarkStart w:id="941" w:name="_Toc81225206"/>
      <w:bookmarkStart w:id="942" w:name="_Toc81227748"/>
      <w:bookmarkStart w:id="943" w:name="_Toc81228520"/>
      <w:bookmarkStart w:id="944" w:name="_Toc81232702"/>
      <w:bookmarkStart w:id="945" w:name="_Toc81233807"/>
      <w:bookmarkStart w:id="946" w:name="_Toc81242133"/>
      <w:bookmarkStart w:id="947" w:name="_Toc81242322"/>
      <w:bookmarkStart w:id="948" w:name="_Toc81298973"/>
      <w:bookmarkStart w:id="949" w:name="_Toc81306506"/>
      <w:bookmarkStart w:id="950" w:name="_Toc81307882"/>
      <w:bookmarkStart w:id="951" w:name="_Toc81314481"/>
      <w:bookmarkStart w:id="952" w:name="_Toc81394881"/>
      <w:bookmarkStart w:id="953" w:name="_Toc81401553"/>
      <w:bookmarkStart w:id="954" w:name="_Toc81405176"/>
      <w:bookmarkStart w:id="955" w:name="_Toc81406626"/>
      <w:bookmarkStart w:id="956" w:name="_Toc81406817"/>
      <w:bookmarkStart w:id="957" w:name="_Toc81406902"/>
      <w:bookmarkStart w:id="958" w:name="_Toc86145235"/>
      <w:bookmarkStart w:id="959" w:name="_Toc86160852"/>
      <w:bookmarkStart w:id="960" w:name="_Toc86168827"/>
      <w:bookmarkStart w:id="961" w:name="_Toc86226290"/>
      <w:bookmarkStart w:id="962" w:name="_Toc86231966"/>
      <w:bookmarkStart w:id="963" w:name="_Toc86334969"/>
      <w:bookmarkStart w:id="964" w:name="_Toc87609622"/>
      <w:bookmarkStart w:id="965" w:name="_Toc132810141"/>
      <w:bookmarkStart w:id="966" w:name="_Toc134028734"/>
      <w:bookmarkStart w:id="967" w:name="_Toc134620378"/>
      <w:bookmarkEnd w:id="858"/>
      <w:bookmarkEnd w:id="859"/>
      <w:bookmarkEnd w:id="881"/>
      <w:r w:rsidRPr="00532C20">
        <w:rPr>
          <w:noProof/>
        </w:rPr>
        <w:t>Freedom of association</w:t>
      </w:r>
      <w:r w:rsidR="005E62A6" w:rsidRPr="00532C20">
        <w:rPr>
          <w:rStyle w:val="FootnoteReference"/>
          <w:rFonts w:cs="Times New Roman"/>
          <w:noProof/>
        </w:rPr>
        <w:footnoteReference w:id="186"/>
      </w:r>
      <w:bookmarkEnd w:id="884"/>
      <w:bookmarkEnd w:id="885"/>
    </w:p>
    <w:p w14:paraId="0E504428" w14:textId="25BD1525" w:rsidR="009B635F" w:rsidRPr="00532C20" w:rsidRDefault="005C4C65" w:rsidP="00FA1C29">
      <w:pPr>
        <w:pStyle w:val="Text2"/>
        <w:spacing w:after="120"/>
        <w:ind w:left="0"/>
        <w:rPr>
          <w:rFonts w:ascii="Times New Roman" w:hAnsi="Times New Roman" w:cs="Times New Roman"/>
          <w:noProof/>
          <w:szCs w:val="24"/>
          <w:lang w:val="en-IE"/>
        </w:rPr>
      </w:pPr>
      <w:r w:rsidRPr="00532C20">
        <w:rPr>
          <w:rFonts w:ascii="Times New Roman" w:hAnsi="Times New Roman" w:cs="Times New Roman"/>
          <w:b/>
          <w:noProof/>
          <w:szCs w:val="24"/>
          <w:lang w:val="en-IE"/>
        </w:rPr>
        <w:t>The right to f</w:t>
      </w:r>
      <w:r w:rsidR="009B635F" w:rsidRPr="00532C20">
        <w:rPr>
          <w:rFonts w:ascii="Times New Roman" w:hAnsi="Times New Roman" w:cs="Times New Roman"/>
          <w:b/>
          <w:noProof/>
          <w:szCs w:val="24"/>
          <w:lang w:val="en-IE"/>
        </w:rPr>
        <w:t>reedom of association</w:t>
      </w:r>
      <w:r w:rsidR="009B635F" w:rsidRPr="00532C20">
        <w:rPr>
          <w:rFonts w:ascii="Times New Roman" w:hAnsi="Times New Roman" w:cs="Times New Roman"/>
          <w:noProof/>
          <w:szCs w:val="24"/>
          <w:lang w:val="en-IE"/>
        </w:rPr>
        <w:t xml:space="preserve"> is guaranteed under Article 12 of the Charter</w:t>
      </w:r>
      <w:r w:rsidR="00262B78" w:rsidRPr="00532C20">
        <w:rPr>
          <w:rFonts w:ascii="Times New Roman" w:hAnsi="Times New Roman" w:cs="Times New Roman"/>
          <w:noProof/>
          <w:szCs w:val="24"/>
          <w:lang w:val="en-IE"/>
        </w:rPr>
        <w:t xml:space="preserve">, </w:t>
      </w:r>
      <w:r w:rsidR="0055107A" w:rsidRPr="00532C20">
        <w:rPr>
          <w:rFonts w:ascii="Times New Roman" w:hAnsi="Times New Roman" w:cs="Times New Roman"/>
          <w:noProof/>
          <w:szCs w:val="24"/>
          <w:lang w:val="en-IE"/>
        </w:rPr>
        <w:t>it applies to</w:t>
      </w:r>
      <w:r w:rsidR="009B635F" w:rsidRPr="00532C20">
        <w:rPr>
          <w:rFonts w:ascii="Times New Roman" w:hAnsi="Times New Roman" w:cs="Times New Roman"/>
          <w:noProof/>
          <w:szCs w:val="24"/>
          <w:lang w:val="en-IE"/>
        </w:rPr>
        <w:t xml:space="preserve"> associations, including CSOs, interest groups, trade unions and political parties. </w:t>
      </w:r>
    </w:p>
    <w:p w14:paraId="1699136B" w14:textId="1138CD17" w:rsidR="00CC3AEB" w:rsidRPr="00532C20" w:rsidRDefault="00B63A65" w:rsidP="00FA1C29">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lang w:val="en-IE"/>
        </w:rPr>
        <w:t>C</w:t>
      </w:r>
      <w:r w:rsidR="00074A1D" w:rsidRPr="00532C20" w:rsidDel="008C7C62">
        <w:rPr>
          <w:rFonts w:ascii="Times New Roman" w:hAnsi="Times New Roman" w:cs="Times New Roman"/>
          <w:noProof/>
          <w:szCs w:val="24"/>
          <w:lang w:val="en-IE"/>
        </w:rPr>
        <w:t xml:space="preserve">areful consideration </w:t>
      </w:r>
      <w:r w:rsidRPr="00532C20">
        <w:rPr>
          <w:rFonts w:ascii="Times New Roman" w:hAnsi="Times New Roman" w:cs="Times New Roman"/>
          <w:noProof/>
          <w:szCs w:val="24"/>
          <w:lang w:val="en-IE"/>
        </w:rPr>
        <w:t>is being</w:t>
      </w:r>
      <w:r w:rsidR="00074A1D" w:rsidRPr="00532C20" w:rsidDel="008C7C62">
        <w:rPr>
          <w:rFonts w:ascii="Times New Roman" w:hAnsi="Times New Roman" w:cs="Times New Roman"/>
          <w:noProof/>
          <w:szCs w:val="24"/>
          <w:lang w:val="en-IE"/>
        </w:rPr>
        <w:t xml:space="preserve"> given to the potential </w:t>
      </w:r>
      <w:r w:rsidRPr="00532C20">
        <w:rPr>
          <w:rFonts w:ascii="Times New Roman" w:hAnsi="Times New Roman" w:cs="Times New Roman"/>
          <w:noProof/>
          <w:szCs w:val="24"/>
          <w:lang w:val="en-IE"/>
        </w:rPr>
        <w:t xml:space="preserve">spill over effect of the measures and </w:t>
      </w:r>
      <w:r w:rsidR="00074A1D" w:rsidRPr="00532C20" w:rsidDel="008C7C62">
        <w:rPr>
          <w:rFonts w:ascii="Times New Roman" w:hAnsi="Times New Roman" w:cs="Times New Roman"/>
          <w:noProof/>
          <w:szCs w:val="24"/>
          <w:lang w:val="en-IE"/>
        </w:rPr>
        <w:t xml:space="preserve">unintended negative consequences </w:t>
      </w:r>
      <w:r w:rsidR="00EE4965" w:rsidRPr="00532C20">
        <w:rPr>
          <w:rFonts w:ascii="Times New Roman" w:hAnsi="Times New Roman" w:cs="Times New Roman"/>
          <w:noProof/>
          <w:szCs w:val="24"/>
          <w:lang w:val="en-IE"/>
        </w:rPr>
        <w:t>for</w:t>
      </w:r>
      <w:r w:rsidR="00074A1D" w:rsidRPr="00532C20" w:rsidDel="008C7C62">
        <w:rPr>
          <w:rFonts w:ascii="Times New Roman" w:hAnsi="Times New Roman" w:cs="Times New Roman"/>
          <w:noProof/>
          <w:szCs w:val="24"/>
          <w:lang w:val="en-IE"/>
        </w:rPr>
        <w:t xml:space="preserve"> the operation of CSOs, which are </w:t>
      </w:r>
      <w:r w:rsidRPr="00532C20">
        <w:rPr>
          <w:rFonts w:ascii="Times New Roman" w:hAnsi="Times New Roman" w:cs="Times New Roman"/>
          <w:noProof/>
          <w:szCs w:val="24"/>
          <w:lang w:val="en-IE"/>
        </w:rPr>
        <w:t>operating</w:t>
      </w:r>
      <w:r w:rsidR="007657E7" w:rsidRPr="00532C20">
        <w:rPr>
          <w:rFonts w:ascii="Times New Roman" w:hAnsi="Times New Roman" w:cs="Times New Roman"/>
          <w:noProof/>
          <w:szCs w:val="24"/>
          <w:lang w:val="en-IE"/>
        </w:rPr>
        <w:t xml:space="preserve"> </w:t>
      </w:r>
      <w:r w:rsidR="00074A1D" w:rsidRPr="00532C20" w:rsidDel="008C7C62">
        <w:rPr>
          <w:rFonts w:ascii="Times New Roman" w:hAnsi="Times New Roman" w:cs="Times New Roman"/>
          <w:noProof/>
          <w:szCs w:val="24"/>
          <w:lang w:val="en-IE"/>
        </w:rPr>
        <w:t>in a shrinking civic space</w:t>
      </w:r>
      <w:r w:rsidR="007657E7" w:rsidRPr="00532C20">
        <w:rPr>
          <w:rStyle w:val="FootnoteReference"/>
          <w:rFonts w:ascii="Times New Roman" w:hAnsi="Times New Roman" w:cs="Times New Roman"/>
          <w:noProof/>
          <w:szCs w:val="24"/>
          <w:lang w:val="en-IE"/>
        </w:rPr>
        <w:footnoteReference w:id="187"/>
      </w:r>
      <w:r w:rsidR="00074A1D" w:rsidRPr="00532C20" w:rsidDel="008C7C62">
        <w:rPr>
          <w:rFonts w:ascii="Times New Roman" w:hAnsi="Times New Roman" w:cs="Times New Roman"/>
          <w:noProof/>
          <w:szCs w:val="24"/>
          <w:lang w:val="en-IE"/>
        </w:rPr>
        <w:t xml:space="preserve">. </w:t>
      </w:r>
    </w:p>
    <w:tbl>
      <w:tblPr>
        <w:tblStyle w:val="TableGrid"/>
        <w:tblW w:w="0" w:type="auto"/>
        <w:tblLook w:val="04A0" w:firstRow="1" w:lastRow="0" w:firstColumn="1" w:lastColumn="0" w:noHBand="0" w:noVBand="1"/>
      </w:tblPr>
      <w:tblGrid>
        <w:gridCol w:w="9016"/>
      </w:tblGrid>
      <w:tr w:rsidR="00CC3AEB" w:rsidRPr="00532C20" w14:paraId="072C0FFE" w14:textId="77777777">
        <w:tc>
          <w:tcPr>
            <w:tcW w:w="9016" w:type="dxa"/>
          </w:tcPr>
          <w:p w14:paraId="4374920A" w14:textId="362C06B8" w:rsidR="00CC3AEB" w:rsidRPr="00532C20" w:rsidRDefault="00CC3AEB" w:rsidP="00A070E1">
            <w:pPr>
              <w:keepNext/>
              <w:jc w:val="both"/>
              <w:rPr>
                <w:rFonts w:ascii="Times New Roman" w:eastAsia="Times New Roman" w:hAnsi="Times New Roman" w:cs="Times New Roman"/>
                <w:noProof/>
                <w:sz w:val="22"/>
                <w:szCs w:val="22"/>
                <w:lang w:val="en-IE"/>
              </w:rPr>
            </w:pPr>
            <w:r w:rsidRPr="00532C20">
              <w:rPr>
                <w:rFonts w:ascii="Times New Roman" w:eastAsia="Times New Roman" w:hAnsi="Times New Roman" w:cs="Times New Roman"/>
                <w:b/>
                <w:noProof/>
                <w:sz w:val="22"/>
                <w:szCs w:val="22"/>
                <w:lang w:val="en-IE"/>
              </w:rPr>
              <w:t>Stakeholder views:</w:t>
            </w:r>
          </w:p>
          <w:p w14:paraId="6A1372E8" w14:textId="5BD3FA11" w:rsidR="00CC3AEB" w:rsidRPr="008B2F8F" w:rsidRDefault="002634A2" w:rsidP="007F3C6C">
            <w:pPr>
              <w:spacing w:after="120"/>
              <w:jc w:val="both"/>
              <w:rPr>
                <w:rFonts w:ascii="Times New Roman" w:eastAsia="Times New Roman" w:hAnsi="Times New Roman" w:cs="Times New Roman"/>
                <w:noProof/>
                <w:sz w:val="22"/>
                <w:szCs w:val="22"/>
                <w:lang w:val="en-IE"/>
              </w:rPr>
            </w:pPr>
            <w:r w:rsidRPr="008B2F8F">
              <w:rPr>
                <w:rFonts w:ascii="Times New Roman" w:eastAsia="Times New Roman" w:hAnsi="Times New Roman" w:cs="Times New Roman"/>
                <w:noProof/>
                <w:sz w:val="22"/>
                <w:szCs w:val="22"/>
                <w:lang w:val="en-IE"/>
              </w:rPr>
              <w:t>7</w:t>
            </w:r>
            <w:r w:rsidR="00542FBF" w:rsidRPr="008B2F8F">
              <w:rPr>
                <w:rFonts w:ascii="Times New Roman" w:eastAsia="Times New Roman" w:hAnsi="Times New Roman" w:cs="Times New Roman"/>
                <w:noProof/>
                <w:sz w:val="22"/>
                <w:szCs w:val="22"/>
                <w:lang w:val="en-IE"/>
              </w:rPr>
              <w:t xml:space="preserve"> </w:t>
            </w:r>
            <w:r w:rsidR="00B87B25" w:rsidRPr="008B2F8F">
              <w:rPr>
                <w:rFonts w:ascii="Times New Roman" w:eastAsia="Times New Roman" w:hAnsi="Times New Roman" w:cs="Times New Roman"/>
                <w:noProof/>
                <w:sz w:val="22"/>
                <w:szCs w:val="22"/>
                <w:lang w:val="en-IE"/>
              </w:rPr>
              <w:t xml:space="preserve">out of 11 </w:t>
            </w:r>
            <w:r w:rsidR="00CC3AEB" w:rsidRPr="008B2F8F">
              <w:rPr>
                <w:rFonts w:ascii="Times New Roman" w:eastAsia="Times New Roman" w:hAnsi="Times New Roman" w:cs="Times New Roman"/>
                <w:noProof/>
                <w:sz w:val="22"/>
                <w:szCs w:val="22"/>
                <w:lang w:val="en-IE"/>
              </w:rPr>
              <w:t xml:space="preserve">CSOs voiced concerns about the </w:t>
            </w:r>
            <w:r w:rsidR="000B5D17" w:rsidRPr="008B2F8F">
              <w:rPr>
                <w:rFonts w:ascii="Times New Roman" w:eastAsia="Times New Roman" w:hAnsi="Times New Roman" w:cs="Times New Roman"/>
                <w:noProof/>
                <w:sz w:val="22"/>
                <w:szCs w:val="22"/>
                <w:lang w:val="en-IE"/>
              </w:rPr>
              <w:t xml:space="preserve">risk of </w:t>
            </w:r>
            <w:r w:rsidR="00F07C9C" w:rsidRPr="008B2F8F">
              <w:rPr>
                <w:rFonts w:ascii="Times New Roman" w:eastAsia="Times New Roman" w:hAnsi="Times New Roman" w:cs="Times New Roman"/>
                <w:noProof/>
                <w:sz w:val="22"/>
                <w:szCs w:val="22"/>
                <w:lang w:val="en-IE"/>
              </w:rPr>
              <w:t>“</w:t>
            </w:r>
            <w:r w:rsidR="00F07C9C" w:rsidRPr="008B2F8F">
              <w:rPr>
                <w:rFonts w:ascii="Times New Roman" w:eastAsia="Times New Roman" w:hAnsi="Times New Roman" w:cs="Times New Roman"/>
                <w:i/>
                <w:iCs/>
                <w:noProof/>
                <w:sz w:val="22"/>
                <w:szCs w:val="22"/>
                <w:lang w:val="en-IE"/>
              </w:rPr>
              <w:t>creating a negative presumption and stigmatising CSOs who received foreign funding</w:t>
            </w:r>
            <w:r w:rsidR="00F07C9C" w:rsidRPr="008B2F8F">
              <w:rPr>
                <w:rFonts w:ascii="Times New Roman" w:eastAsia="Times New Roman" w:hAnsi="Times New Roman" w:cs="Times New Roman"/>
                <w:noProof/>
                <w:sz w:val="22"/>
                <w:szCs w:val="22"/>
                <w:lang w:val="en-IE"/>
              </w:rPr>
              <w:t>”</w:t>
            </w:r>
            <w:r w:rsidR="00CC3AEB" w:rsidRPr="008B2F8F">
              <w:rPr>
                <w:rFonts w:ascii="Times New Roman" w:eastAsia="Times New Roman" w:hAnsi="Times New Roman" w:cs="Times New Roman"/>
                <w:noProof/>
                <w:sz w:val="22"/>
                <w:szCs w:val="22"/>
                <w:lang w:val="en-IE"/>
              </w:rPr>
              <w:t xml:space="preserve"> and about the risk </w:t>
            </w:r>
            <w:r w:rsidR="00207438" w:rsidRPr="008B2F8F">
              <w:rPr>
                <w:rFonts w:ascii="Times New Roman" w:eastAsia="Times New Roman" w:hAnsi="Times New Roman" w:cs="Times New Roman"/>
                <w:noProof/>
                <w:sz w:val="22"/>
                <w:szCs w:val="22"/>
                <w:lang w:val="en-IE"/>
              </w:rPr>
              <w:t xml:space="preserve">that they </w:t>
            </w:r>
            <w:r w:rsidR="008B2F8F" w:rsidRPr="008B2F8F">
              <w:rPr>
                <w:rFonts w:ascii="Times New Roman" w:eastAsia="Times New Roman" w:hAnsi="Times New Roman" w:cs="Times New Roman"/>
                <w:noProof/>
                <w:sz w:val="22"/>
                <w:szCs w:val="22"/>
                <w:lang w:val="en-IE"/>
              </w:rPr>
              <w:t xml:space="preserve">might </w:t>
            </w:r>
            <w:r w:rsidR="00207438" w:rsidRPr="008B2F8F">
              <w:rPr>
                <w:rFonts w:ascii="Times New Roman" w:eastAsia="Times New Roman" w:hAnsi="Times New Roman" w:cs="Times New Roman"/>
                <w:noProof/>
                <w:sz w:val="22"/>
                <w:szCs w:val="22"/>
                <w:lang w:val="en-IE"/>
              </w:rPr>
              <w:t xml:space="preserve">be </w:t>
            </w:r>
            <w:r w:rsidR="00147D5A" w:rsidRPr="008B2F8F">
              <w:rPr>
                <w:rFonts w:ascii="Times New Roman" w:eastAsia="Times New Roman" w:hAnsi="Times New Roman" w:cs="Times New Roman"/>
                <w:noProof/>
                <w:sz w:val="22"/>
                <w:szCs w:val="22"/>
                <w:lang w:val="en-IE"/>
              </w:rPr>
              <w:t>“</w:t>
            </w:r>
            <w:r w:rsidR="00147D5A" w:rsidRPr="008B2F8F">
              <w:rPr>
                <w:rFonts w:ascii="Times New Roman" w:eastAsia="Times New Roman" w:hAnsi="Times New Roman" w:cs="Times New Roman"/>
                <w:i/>
                <w:noProof/>
                <w:sz w:val="22"/>
                <w:szCs w:val="22"/>
                <w:lang w:val="en-IE"/>
              </w:rPr>
              <w:t>misused by Member States in expansive transposition</w:t>
            </w:r>
            <w:r w:rsidR="00147D5A" w:rsidRPr="008B2F8F">
              <w:rPr>
                <w:rFonts w:ascii="Times New Roman" w:eastAsia="Times New Roman" w:hAnsi="Times New Roman" w:cs="Times New Roman"/>
                <w:noProof/>
                <w:sz w:val="22"/>
                <w:szCs w:val="22"/>
                <w:lang w:val="en-IE"/>
              </w:rPr>
              <w:t>”</w:t>
            </w:r>
            <w:r w:rsidR="00CC3AEB" w:rsidRPr="008B2F8F">
              <w:rPr>
                <w:rFonts w:ascii="Times New Roman" w:eastAsia="Times New Roman" w:hAnsi="Times New Roman" w:cs="Times New Roman"/>
                <w:noProof/>
                <w:sz w:val="22"/>
                <w:szCs w:val="22"/>
                <w:lang w:val="en-IE"/>
              </w:rPr>
              <w:t xml:space="preserve">. </w:t>
            </w:r>
            <w:r w:rsidR="00B2762E" w:rsidRPr="008B2F8F">
              <w:rPr>
                <w:rFonts w:ascii="Times New Roman" w:eastAsia="Times New Roman" w:hAnsi="Times New Roman" w:cs="Times New Roman"/>
                <w:noProof/>
                <w:sz w:val="22"/>
                <w:szCs w:val="22"/>
                <w:lang w:val="en-IE"/>
              </w:rPr>
              <w:t xml:space="preserve">4 CSOs argued </w:t>
            </w:r>
            <w:r w:rsidR="00AF2456" w:rsidRPr="008B2F8F">
              <w:rPr>
                <w:rFonts w:ascii="Times New Roman" w:eastAsia="Times New Roman" w:hAnsi="Times New Roman" w:cs="Times New Roman"/>
                <w:noProof/>
                <w:sz w:val="22"/>
                <w:szCs w:val="22"/>
                <w:lang w:val="en-IE"/>
              </w:rPr>
              <w:t xml:space="preserve">that the proposed measures do not </w:t>
            </w:r>
            <w:r w:rsidR="00AF2456" w:rsidRPr="00313F32">
              <w:rPr>
                <w:rFonts w:ascii="Times New Roman" w:eastAsia="Times New Roman" w:hAnsi="Times New Roman" w:cs="Times New Roman"/>
                <w:i/>
                <w:noProof/>
                <w:sz w:val="22"/>
                <w:szCs w:val="22"/>
                <w:lang w:val="en-IE"/>
              </w:rPr>
              <w:t>“remove potential obstacles to the functioning of the internal market, [but] that they</w:t>
            </w:r>
            <w:r w:rsidR="00B2762E" w:rsidRPr="00313F32">
              <w:rPr>
                <w:rFonts w:ascii="Times New Roman" w:eastAsia="Times New Roman" w:hAnsi="Times New Roman" w:cs="Times New Roman"/>
                <w:i/>
                <w:noProof/>
                <w:sz w:val="22"/>
                <w:szCs w:val="22"/>
                <w:lang w:val="en-IE"/>
              </w:rPr>
              <w:t xml:space="preserve"> introduce additional</w:t>
            </w:r>
            <w:r w:rsidR="002C34F0" w:rsidRPr="008B2F8F">
              <w:rPr>
                <w:rFonts w:ascii="Times New Roman" w:eastAsia="Times New Roman" w:hAnsi="Times New Roman" w:cs="Times New Roman"/>
                <w:i/>
                <w:iCs/>
                <w:noProof/>
                <w:sz w:val="22"/>
                <w:szCs w:val="22"/>
                <w:lang w:val="en-IE"/>
              </w:rPr>
              <w:t xml:space="preserve"> obstacles</w:t>
            </w:r>
            <w:r w:rsidR="00B2762E" w:rsidRPr="00313F32">
              <w:rPr>
                <w:rFonts w:ascii="Times New Roman" w:eastAsia="Times New Roman" w:hAnsi="Times New Roman" w:cs="Times New Roman"/>
                <w:i/>
                <w:noProof/>
                <w:sz w:val="22"/>
                <w:szCs w:val="22"/>
                <w:lang w:val="en-IE"/>
              </w:rPr>
              <w:t xml:space="preserve"> </w:t>
            </w:r>
            <w:r w:rsidR="00AF2456" w:rsidRPr="00313F32">
              <w:rPr>
                <w:rFonts w:ascii="Times New Roman" w:eastAsia="Times New Roman" w:hAnsi="Times New Roman" w:cs="Times New Roman"/>
                <w:i/>
                <w:noProof/>
                <w:sz w:val="22"/>
                <w:szCs w:val="22"/>
                <w:lang w:val="en-IE"/>
              </w:rPr>
              <w:t>[…]</w:t>
            </w:r>
            <w:r w:rsidR="00B2762E" w:rsidRPr="00313F32">
              <w:rPr>
                <w:rFonts w:ascii="Times New Roman" w:eastAsia="Times New Roman" w:hAnsi="Times New Roman" w:cs="Times New Roman"/>
                <w:i/>
                <w:noProof/>
                <w:sz w:val="22"/>
                <w:szCs w:val="22"/>
                <w:lang w:val="en-IE"/>
              </w:rPr>
              <w:t xml:space="preserve"> by limiting the ability of organisations to seek and receive funds.”</w:t>
            </w:r>
          </w:p>
        </w:tc>
      </w:tr>
    </w:tbl>
    <w:p w14:paraId="24ED4EB8" w14:textId="77D7B022" w:rsidR="009B635F" w:rsidRPr="00532C20" w:rsidRDefault="009B635F" w:rsidP="007F3C6C">
      <w:pPr>
        <w:pStyle w:val="Text2"/>
        <w:spacing w:after="120"/>
        <w:ind w:left="0"/>
        <w:rPr>
          <w:rFonts w:ascii="Times New Roman" w:hAnsi="Times New Roman" w:cs="Times New Roman"/>
          <w:noProof/>
          <w:lang w:val="en-IE"/>
        </w:rPr>
      </w:pPr>
      <w:r w:rsidRPr="00532C20">
        <w:rPr>
          <w:rFonts w:ascii="Times New Roman" w:hAnsi="Times New Roman" w:cs="Times New Roman"/>
          <w:noProof/>
          <w:lang w:val="en-IE"/>
        </w:rPr>
        <w:t xml:space="preserve">Freedom of association constitutes one of the essential </w:t>
      </w:r>
      <w:r w:rsidR="00EE4965" w:rsidRPr="00532C20">
        <w:rPr>
          <w:rFonts w:ascii="Times New Roman" w:hAnsi="Times New Roman" w:cs="Times New Roman"/>
          <w:noProof/>
          <w:lang w:val="en-IE"/>
        </w:rPr>
        <w:t>pillars</w:t>
      </w:r>
      <w:r w:rsidRPr="00532C20">
        <w:rPr>
          <w:rFonts w:ascii="Times New Roman" w:hAnsi="Times New Roman" w:cs="Times New Roman"/>
          <w:noProof/>
          <w:lang w:val="en-IE"/>
        </w:rPr>
        <w:t xml:space="preserve"> of a democratic and pluralistic society, in</w:t>
      </w:r>
      <w:r w:rsidR="003766DD" w:rsidRPr="00532C20">
        <w:rPr>
          <w:rFonts w:ascii="Times New Roman" w:hAnsi="Times New Roman" w:cs="Times New Roman"/>
          <w:noProof/>
          <w:lang w:val="en-IE"/>
        </w:rPr>
        <w:t xml:space="preserve"> </w:t>
      </w:r>
      <w:r w:rsidRPr="00532C20">
        <w:rPr>
          <w:rFonts w:ascii="Times New Roman" w:hAnsi="Times New Roman" w:cs="Times New Roman"/>
          <w:noProof/>
          <w:lang w:val="en-IE"/>
        </w:rPr>
        <w:t>as</w:t>
      </w:r>
      <w:r w:rsidR="003766DD" w:rsidRPr="00532C20">
        <w:rPr>
          <w:rFonts w:ascii="Times New Roman" w:hAnsi="Times New Roman" w:cs="Times New Roman"/>
          <w:noProof/>
          <w:lang w:val="en-IE"/>
        </w:rPr>
        <w:t xml:space="preserve"> </w:t>
      </w:r>
      <w:r w:rsidRPr="00532C20">
        <w:rPr>
          <w:rFonts w:ascii="Times New Roman" w:hAnsi="Times New Roman" w:cs="Times New Roman"/>
          <w:noProof/>
          <w:lang w:val="en-IE"/>
        </w:rPr>
        <w:t>much as it allows citizens to act collectively in fields of mutual interest and to contribute to the proper functioning of public li</w:t>
      </w:r>
      <w:bookmarkStart w:id="968" w:name="_Ref147754739"/>
      <w:r w:rsidRPr="00532C20">
        <w:rPr>
          <w:rFonts w:ascii="Times New Roman" w:hAnsi="Times New Roman" w:cs="Times New Roman"/>
          <w:noProof/>
          <w:lang w:val="en-IE"/>
        </w:rPr>
        <w:t>f</w:t>
      </w:r>
      <w:bookmarkEnd w:id="968"/>
      <w:r w:rsidRPr="00532C20">
        <w:rPr>
          <w:rFonts w:ascii="Times New Roman" w:hAnsi="Times New Roman" w:cs="Times New Roman"/>
          <w:noProof/>
          <w:lang w:val="en-IE"/>
        </w:rPr>
        <w:t>e</w:t>
      </w:r>
      <w:bookmarkStart w:id="969" w:name="_Ref147754493"/>
      <w:r w:rsidRPr="00532C20">
        <w:rPr>
          <w:rStyle w:val="FootnoteReference"/>
          <w:rFonts w:ascii="Times New Roman" w:hAnsi="Times New Roman" w:cs="Times New Roman"/>
          <w:noProof/>
          <w:lang w:val="en-IE"/>
        </w:rPr>
        <w:footnoteReference w:id="188"/>
      </w:r>
      <w:bookmarkEnd w:id="969"/>
      <w:r w:rsidRPr="00532C20">
        <w:rPr>
          <w:rFonts w:ascii="Times New Roman" w:hAnsi="Times New Roman" w:cs="Times New Roman"/>
          <w:noProof/>
          <w:lang w:val="en-IE"/>
        </w:rPr>
        <w:t>. Associations must be able to pursue their activities</w:t>
      </w:r>
      <w:r w:rsidR="008A3CDF" w:rsidRPr="00532C20">
        <w:rPr>
          <w:rFonts w:ascii="Times New Roman" w:hAnsi="Times New Roman" w:cs="Times New Roman"/>
          <w:noProof/>
          <w:lang w:val="en-IE"/>
        </w:rPr>
        <w:t xml:space="preserve">, </w:t>
      </w:r>
      <w:r w:rsidRPr="00532C20">
        <w:rPr>
          <w:rFonts w:ascii="Times New Roman" w:hAnsi="Times New Roman" w:cs="Times New Roman"/>
          <w:noProof/>
          <w:lang w:val="en-IE"/>
        </w:rPr>
        <w:t>operate without unjustified interference</w:t>
      </w:r>
      <w:r w:rsidR="008A32B2" w:rsidRPr="00532C20">
        <w:rPr>
          <w:rFonts w:ascii="Times New Roman" w:hAnsi="Times New Roman" w:cs="Times New Roman"/>
          <w:noProof/>
          <w:lang w:val="en-IE"/>
        </w:rPr>
        <w:t>, and obtain resources to support their operations</w:t>
      </w:r>
      <w:r w:rsidRPr="00532C20">
        <w:rPr>
          <w:rFonts w:ascii="Times New Roman" w:hAnsi="Times New Roman" w:cs="Times New Roman"/>
          <w:noProof/>
          <w:lang w:val="en-IE"/>
        </w:rPr>
        <w:t xml:space="preserve">. The Court considers that legislation which renders significantly more difficult the action or operations of associations, whether by strengthening the requirements in relation to their registration, by limiting their capacity to receive financial resources, by </w:t>
      </w:r>
      <w:r w:rsidR="00B426FA" w:rsidRPr="00532C20">
        <w:rPr>
          <w:rFonts w:ascii="Times New Roman" w:hAnsi="Times New Roman" w:cs="Times New Roman"/>
          <w:noProof/>
          <w:lang w:val="en-IE"/>
        </w:rPr>
        <w:t>imposing</w:t>
      </w:r>
      <w:r w:rsidRPr="00532C20">
        <w:rPr>
          <w:rFonts w:ascii="Times New Roman" w:hAnsi="Times New Roman" w:cs="Times New Roman"/>
          <w:noProof/>
          <w:lang w:val="en-IE"/>
        </w:rPr>
        <w:t xml:space="preserve"> obligations of declaration and publications such as to create a negative image of them or by exposing them to the threat of penalties, in particular of dissolution, is to be classified as a limitation to the freedom of association</w:t>
      </w:r>
      <w:bookmarkStart w:id="970" w:name="_Ref147914450"/>
      <w:r w:rsidRPr="00532C20">
        <w:rPr>
          <w:rStyle w:val="FootnoteReference"/>
          <w:rFonts w:ascii="Times New Roman" w:hAnsi="Times New Roman" w:cs="Times New Roman"/>
          <w:noProof/>
          <w:lang w:val="en-IE"/>
        </w:rPr>
        <w:footnoteReference w:id="189"/>
      </w:r>
      <w:bookmarkEnd w:id="970"/>
      <w:r w:rsidRPr="00532C20">
        <w:rPr>
          <w:rFonts w:ascii="Times New Roman" w:hAnsi="Times New Roman" w:cs="Times New Roman"/>
          <w:noProof/>
          <w:lang w:val="en-IE"/>
        </w:rPr>
        <w:t xml:space="preserve">. </w:t>
      </w:r>
    </w:p>
    <w:p w14:paraId="62848FB3" w14:textId="7CB6F9A8" w:rsidR="00632F03" w:rsidRPr="00532C20" w:rsidRDefault="00E84AA0" w:rsidP="007F3C6C">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lang w:val="en-IE"/>
        </w:rPr>
        <w:t>The examined</w:t>
      </w:r>
      <w:r w:rsidR="009B635F" w:rsidRPr="00532C20" w:rsidDel="00BC2AB5">
        <w:rPr>
          <w:rFonts w:ascii="Times New Roman" w:hAnsi="Times New Roman" w:cs="Times New Roman"/>
          <w:noProof/>
          <w:szCs w:val="24"/>
          <w:lang w:val="en-IE"/>
        </w:rPr>
        <w:t xml:space="preserve"> </w:t>
      </w:r>
      <w:r w:rsidR="00E90E5E" w:rsidRPr="00532C20">
        <w:rPr>
          <w:rFonts w:ascii="Times New Roman" w:hAnsi="Times New Roman" w:cs="Times New Roman"/>
          <w:noProof/>
          <w:szCs w:val="24"/>
          <w:lang w:val="en-IE"/>
        </w:rPr>
        <w:t>policy options</w:t>
      </w:r>
      <w:r w:rsidR="009B635F" w:rsidRPr="00532C20">
        <w:rPr>
          <w:rFonts w:ascii="Times New Roman" w:hAnsi="Times New Roman" w:cs="Times New Roman"/>
          <w:noProof/>
          <w:szCs w:val="24"/>
          <w:lang w:val="en-IE"/>
        </w:rPr>
        <w:t xml:space="preserve"> </w:t>
      </w:r>
      <w:r w:rsidR="00D621C9" w:rsidRPr="00532C20">
        <w:rPr>
          <w:rFonts w:ascii="Times New Roman" w:hAnsi="Times New Roman" w:cs="Times New Roman"/>
          <w:noProof/>
          <w:szCs w:val="24"/>
          <w:lang w:val="en-IE"/>
        </w:rPr>
        <w:t>are limited to ensuring transparency regarding</w:t>
      </w:r>
      <w:r w:rsidR="00262B78" w:rsidRPr="00532C20">
        <w:rPr>
          <w:rFonts w:ascii="Times New Roman" w:hAnsi="Times New Roman" w:cs="Times New Roman"/>
          <w:noProof/>
          <w:szCs w:val="24"/>
          <w:lang w:val="en-IE"/>
        </w:rPr>
        <w:t xml:space="preserve"> interest representation</w:t>
      </w:r>
      <w:r w:rsidR="00D621C9" w:rsidRPr="00532C20">
        <w:rPr>
          <w:rFonts w:ascii="Times New Roman" w:hAnsi="Times New Roman" w:cs="Times New Roman"/>
          <w:noProof/>
          <w:szCs w:val="24"/>
          <w:lang w:val="en-IE"/>
        </w:rPr>
        <w:t xml:space="preserve"> activities carried out on behalf of third country entities and seeking to influence decision</w:t>
      </w:r>
      <w:r w:rsidR="007F0FA3">
        <w:rPr>
          <w:rFonts w:ascii="Times New Roman" w:hAnsi="Times New Roman" w:cs="Times New Roman"/>
          <w:noProof/>
          <w:szCs w:val="24"/>
          <w:lang w:val="en-IE"/>
        </w:rPr>
        <w:t>-</w:t>
      </w:r>
      <w:r w:rsidR="00D621C9" w:rsidRPr="00532C20">
        <w:rPr>
          <w:rFonts w:ascii="Times New Roman" w:hAnsi="Times New Roman" w:cs="Times New Roman"/>
          <w:noProof/>
          <w:szCs w:val="24"/>
          <w:lang w:val="en-IE"/>
        </w:rPr>
        <w:t>making process</w:t>
      </w:r>
      <w:r w:rsidR="00197B8D" w:rsidRPr="00532C20">
        <w:rPr>
          <w:rFonts w:ascii="Times New Roman" w:hAnsi="Times New Roman" w:cs="Times New Roman"/>
          <w:noProof/>
          <w:szCs w:val="24"/>
          <w:lang w:val="en-IE"/>
        </w:rPr>
        <w:t>es</w:t>
      </w:r>
      <w:r w:rsidR="00D621C9" w:rsidRPr="00532C20">
        <w:rPr>
          <w:rFonts w:ascii="Times New Roman" w:hAnsi="Times New Roman" w:cs="Times New Roman"/>
          <w:noProof/>
          <w:szCs w:val="24"/>
          <w:lang w:val="en-IE"/>
        </w:rPr>
        <w:t xml:space="preserve"> in the EU</w:t>
      </w:r>
      <w:r w:rsidR="000437CB" w:rsidRPr="00532C20">
        <w:rPr>
          <w:rFonts w:ascii="Times New Roman" w:hAnsi="Times New Roman" w:cs="Times New Roman"/>
          <w:noProof/>
          <w:szCs w:val="24"/>
          <w:lang w:val="en-IE"/>
        </w:rPr>
        <w:t>.</w:t>
      </w:r>
      <w:r w:rsidR="00D621C9" w:rsidRPr="00532C20">
        <w:rPr>
          <w:rFonts w:ascii="Times New Roman" w:hAnsi="Times New Roman" w:cs="Times New Roman"/>
          <w:noProof/>
          <w:szCs w:val="24"/>
          <w:lang w:val="en-IE"/>
        </w:rPr>
        <w:t xml:space="preserve"> </w:t>
      </w:r>
      <w:r w:rsidR="000437CB" w:rsidRPr="00532C20">
        <w:rPr>
          <w:rFonts w:ascii="Times New Roman" w:hAnsi="Times New Roman" w:cs="Times New Roman"/>
          <w:noProof/>
          <w:szCs w:val="24"/>
          <w:lang w:val="en-IE"/>
        </w:rPr>
        <w:t>T</w:t>
      </w:r>
      <w:r w:rsidR="00D621C9" w:rsidRPr="00532C20">
        <w:rPr>
          <w:rFonts w:ascii="Times New Roman" w:hAnsi="Times New Roman" w:cs="Times New Roman"/>
          <w:noProof/>
          <w:szCs w:val="24"/>
          <w:lang w:val="en-IE"/>
        </w:rPr>
        <w:t>hey do</w:t>
      </w:r>
      <w:r w:rsidR="008D4A5B" w:rsidRPr="00532C20">
        <w:rPr>
          <w:rFonts w:ascii="Times New Roman" w:hAnsi="Times New Roman" w:cs="Times New Roman"/>
          <w:noProof/>
          <w:szCs w:val="24"/>
          <w:lang w:val="en-IE"/>
        </w:rPr>
        <w:t xml:space="preserve"> </w:t>
      </w:r>
      <w:r w:rsidR="00D621C9" w:rsidRPr="00532C20">
        <w:rPr>
          <w:rFonts w:ascii="Times New Roman" w:hAnsi="Times New Roman" w:cs="Times New Roman"/>
          <w:noProof/>
          <w:szCs w:val="24"/>
          <w:lang w:val="en-IE"/>
        </w:rPr>
        <w:t xml:space="preserve">not affect </w:t>
      </w:r>
      <w:r w:rsidR="008D4A5B" w:rsidRPr="00532C20">
        <w:rPr>
          <w:rFonts w:ascii="Times New Roman" w:hAnsi="Times New Roman" w:cs="Times New Roman"/>
          <w:noProof/>
          <w:szCs w:val="24"/>
          <w:lang w:val="en-IE"/>
        </w:rPr>
        <w:t>as such</w:t>
      </w:r>
      <w:r w:rsidR="00D621C9" w:rsidRPr="00532C20">
        <w:rPr>
          <w:rFonts w:ascii="Times New Roman" w:hAnsi="Times New Roman" w:cs="Times New Roman"/>
          <w:noProof/>
          <w:szCs w:val="24"/>
          <w:lang w:val="en-IE"/>
        </w:rPr>
        <w:t xml:space="preserve"> the </w:t>
      </w:r>
      <w:r w:rsidR="000D6C8A" w:rsidRPr="00532C20">
        <w:rPr>
          <w:rFonts w:ascii="Times New Roman" w:hAnsi="Times New Roman" w:cs="Times New Roman"/>
          <w:noProof/>
          <w:szCs w:val="24"/>
          <w:lang w:val="en-IE"/>
        </w:rPr>
        <w:t>possibility for entities to carry out these activities</w:t>
      </w:r>
      <w:r w:rsidR="00C81D00" w:rsidRPr="00532C20">
        <w:rPr>
          <w:rFonts w:ascii="Times New Roman" w:hAnsi="Times New Roman" w:cs="Times New Roman"/>
          <w:noProof/>
          <w:szCs w:val="24"/>
          <w:lang w:val="en-IE"/>
        </w:rPr>
        <w:t xml:space="preserve"> (with the exception of </w:t>
      </w:r>
      <w:r w:rsidR="00AD5E22" w:rsidRPr="00313F32">
        <w:rPr>
          <w:rFonts w:ascii="Times New Roman" w:hAnsi="Times New Roman" w:cs="Times New Roman"/>
          <w:noProof/>
          <w:szCs w:val="24"/>
          <w:u w:val="single"/>
          <w:lang w:val="en-IE"/>
        </w:rPr>
        <w:t>PO</w:t>
      </w:r>
      <w:r w:rsidR="00000DE1" w:rsidRPr="00313F32">
        <w:rPr>
          <w:rFonts w:ascii="Times New Roman" w:hAnsi="Times New Roman" w:cs="Times New Roman"/>
          <w:noProof/>
          <w:szCs w:val="24"/>
          <w:u w:val="single"/>
          <w:lang w:val="en-IE"/>
        </w:rPr>
        <w:t>2.2</w:t>
      </w:r>
      <w:r w:rsidR="00AD5E22">
        <w:rPr>
          <w:rFonts w:ascii="Times New Roman" w:hAnsi="Times New Roman" w:cs="Times New Roman"/>
          <w:noProof/>
          <w:szCs w:val="24"/>
          <w:lang w:val="en-IE"/>
        </w:rPr>
        <w:t>)</w:t>
      </w:r>
      <w:r w:rsidR="00A91FAC" w:rsidRPr="00532C20">
        <w:rPr>
          <w:rFonts w:ascii="Times New Roman" w:hAnsi="Times New Roman" w:cs="Times New Roman"/>
          <w:noProof/>
          <w:szCs w:val="24"/>
          <w:lang w:val="en-IE"/>
        </w:rPr>
        <w:t>.</w:t>
      </w:r>
      <w:r w:rsidR="008D4A5B" w:rsidRPr="00532C20">
        <w:rPr>
          <w:rFonts w:ascii="Times New Roman" w:hAnsi="Times New Roman" w:cs="Times New Roman"/>
          <w:noProof/>
          <w:szCs w:val="24"/>
          <w:lang w:val="en-IE"/>
        </w:rPr>
        <w:t xml:space="preserve"> </w:t>
      </w:r>
      <w:r w:rsidR="00540EEC" w:rsidRPr="00532C20">
        <w:rPr>
          <w:rFonts w:ascii="Times New Roman" w:hAnsi="Times New Roman" w:cs="Times New Roman"/>
          <w:noProof/>
          <w:szCs w:val="24"/>
          <w:lang w:val="en-IE"/>
        </w:rPr>
        <w:t xml:space="preserve">However, transparency requirements could have a spill over effect on </w:t>
      </w:r>
      <w:r w:rsidR="00817A31" w:rsidRPr="00532C20">
        <w:rPr>
          <w:rFonts w:ascii="Times New Roman" w:hAnsi="Times New Roman" w:cs="Times New Roman"/>
          <w:noProof/>
          <w:szCs w:val="24"/>
          <w:lang w:val="en-IE"/>
        </w:rPr>
        <w:t xml:space="preserve">other activities of CSOs </w:t>
      </w:r>
      <w:r w:rsidR="00B83F9D" w:rsidRPr="00532C20">
        <w:rPr>
          <w:rFonts w:ascii="Times New Roman" w:hAnsi="Times New Roman" w:cs="Times New Roman"/>
          <w:noProof/>
          <w:szCs w:val="24"/>
          <w:lang w:val="en-IE"/>
        </w:rPr>
        <w:t>for instance their advocacy work.</w:t>
      </w:r>
    </w:p>
    <w:p w14:paraId="46C444C5" w14:textId="2662EB67" w:rsidR="00562474" w:rsidRPr="00532C20" w:rsidRDefault="00EA2A58" w:rsidP="00FD0117">
      <w:pPr>
        <w:pStyle w:val="Text2"/>
        <w:spacing w:after="120"/>
        <w:ind w:left="0"/>
        <w:rPr>
          <w:rFonts w:ascii="Times New Roman" w:hAnsi="Times New Roman" w:cs="Times New Roman"/>
          <w:noProof/>
          <w:lang w:val="en-IE"/>
        </w:rPr>
      </w:pPr>
      <w:r w:rsidRPr="00532C20">
        <w:rPr>
          <w:rFonts w:ascii="Times New Roman" w:hAnsi="Times New Roman" w:cs="Times New Roman"/>
          <w:noProof/>
          <w:lang w:val="en-IE"/>
        </w:rPr>
        <w:t>All</w:t>
      </w:r>
      <w:r w:rsidR="00A90D63" w:rsidRPr="00532C20">
        <w:rPr>
          <w:rFonts w:ascii="Times New Roman" w:hAnsi="Times New Roman" w:cs="Times New Roman"/>
          <w:noProof/>
          <w:lang w:val="en-IE"/>
        </w:rPr>
        <w:t xml:space="preserve"> </w:t>
      </w:r>
      <w:r w:rsidR="00A90D63" w:rsidRPr="00532C20">
        <w:rPr>
          <w:rFonts w:ascii="Times New Roman" w:hAnsi="Times New Roman" w:cs="Times New Roman"/>
          <w:noProof/>
          <w:u w:val="single"/>
          <w:lang w:val="en-IE"/>
        </w:rPr>
        <w:t>3</w:t>
      </w:r>
      <w:r w:rsidR="00C6256E" w:rsidRPr="00532C20">
        <w:rPr>
          <w:rFonts w:ascii="Times New Roman" w:hAnsi="Times New Roman" w:cs="Times New Roman"/>
          <w:noProof/>
          <w:u w:val="single"/>
          <w:lang w:val="en-IE"/>
        </w:rPr>
        <w:t xml:space="preserve"> policy</w:t>
      </w:r>
      <w:r w:rsidR="009B635F" w:rsidRPr="00532C20">
        <w:rPr>
          <w:rFonts w:ascii="Times New Roman" w:hAnsi="Times New Roman" w:cs="Times New Roman"/>
          <w:noProof/>
          <w:u w:val="single"/>
          <w:lang w:val="en-IE"/>
        </w:rPr>
        <w:t xml:space="preserve"> option</w:t>
      </w:r>
      <w:r w:rsidR="00C6256E" w:rsidRPr="00532C20">
        <w:rPr>
          <w:rFonts w:ascii="Times New Roman" w:hAnsi="Times New Roman" w:cs="Times New Roman"/>
          <w:noProof/>
          <w:u w:val="single"/>
          <w:lang w:val="en-IE"/>
        </w:rPr>
        <w:t>s</w:t>
      </w:r>
      <w:r w:rsidR="00A55CDC" w:rsidRPr="00532C20">
        <w:rPr>
          <w:rFonts w:ascii="Times New Roman" w:hAnsi="Times New Roman" w:cs="Times New Roman"/>
          <w:noProof/>
          <w:lang w:val="en-IE"/>
        </w:rPr>
        <w:t xml:space="preserve"> </w:t>
      </w:r>
      <w:r w:rsidR="000F4B0E" w:rsidRPr="00532C20">
        <w:rPr>
          <w:rFonts w:ascii="Times New Roman" w:hAnsi="Times New Roman" w:cs="Times New Roman"/>
          <w:noProof/>
          <w:szCs w:val="24"/>
          <w:lang w:val="en-IE"/>
        </w:rPr>
        <w:t>enhance the integrity of, and public trust in, the EU</w:t>
      </w:r>
      <w:r w:rsidR="005D7234" w:rsidRPr="00532C20">
        <w:rPr>
          <w:rFonts w:ascii="Times New Roman" w:hAnsi="Times New Roman" w:cs="Times New Roman"/>
          <w:noProof/>
          <w:szCs w:val="24"/>
          <w:lang w:val="en-IE"/>
        </w:rPr>
        <w:t>’s</w:t>
      </w:r>
      <w:r w:rsidR="000F4B0E" w:rsidRPr="00532C20">
        <w:rPr>
          <w:rFonts w:ascii="Times New Roman" w:hAnsi="Times New Roman" w:cs="Times New Roman"/>
          <w:noProof/>
          <w:szCs w:val="24"/>
          <w:lang w:val="en-IE"/>
        </w:rPr>
        <w:t xml:space="preserve"> and Member State</w:t>
      </w:r>
      <w:r w:rsidR="005D7234" w:rsidRPr="00532C20">
        <w:rPr>
          <w:rFonts w:ascii="Times New Roman" w:hAnsi="Times New Roman" w:cs="Times New Roman"/>
          <w:noProof/>
          <w:szCs w:val="24"/>
          <w:lang w:val="en-IE"/>
        </w:rPr>
        <w:t>s’</w:t>
      </w:r>
      <w:r w:rsidR="000F4B0E" w:rsidRPr="00532C20">
        <w:rPr>
          <w:rFonts w:ascii="Times New Roman" w:hAnsi="Times New Roman" w:cs="Times New Roman"/>
          <w:noProof/>
          <w:szCs w:val="24"/>
          <w:lang w:val="en-IE"/>
        </w:rPr>
        <w:t xml:space="preserve"> democratic institutions by ensuring the transparency of interest representation activities carried out on behalf of third countries, and by improving the knowledge </w:t>
      </w:r>
      <w:r w:rsidR="007D5191">
        <w:rPr>
          <w:rFonts w:ascii="Times New Roman" w:hAnsi="Times New Roman" w:cs="Times New Roman"/>
          <w:noProof/>
          <w:szCs w:val="24"/>
          <w:lang w:val="en-IE"/>
        </w:rPr>
        <w:t>about</w:t>
      </w:r>
      <w:r w:rsidR="007D5191" w:rsidRPr="00532C20">
        <w:rPr>
          <w:rFonts w:ascii="Times New Roman" w:hAnsi="Times New Roman" w:cs="Times New Roman"/>
          <w:noProof/>
          <w:szCs w:val="24"/>
          <w:lang w:val="en-IE"/>
        </w:rPr>
        <w:t xml:space="preserve"> </w:t>
      </w:r>
      <w:r w:rsidR="000F4B0E" w:rsidRPr="00532C20">
        <w:rPr>
          <w:rFonts w:ascii="Times New Roman" w:hAnsi="Times New Roman" w:cs="Times New Roman"/>
          <w:noProof/>
          <w:szCs w:val="24"/>
          <w:lang w:val="en-IE"/>
        </w:rPr>
        <w:t>the magnitude, trends and actors of interest representation activities carried out on behalf of third countries (see sections 6.2.2.1 and 6.2.2.2)</w:t>
      </w:r>
      <w:r w:rsidR="00C6256E" w:rsidRPr="00532C20">
        <w:rPr>
          <w:rStyle w:val="FootnoteReference"/>
          <w:rFonts w:ascii="Times New Roman" w:hAnsi="Times New Roman" w:cs="Times New Roman"/>
          <w:noProof/>
          <w:lang w:val="en-IE"/>
        </w:rPr>
        <w:footnoteReference w:id="190"/>
      </w:r>
      <w:r w:rsidR="009B635F" w:rsidRPr="00532C20">
        <w:rPr>
          <w:rFonts w:ascii="Times New Roman" w:hAnsi="Times New Roman" w:cs="Times New Roman"/>
          <w:noProof/>
          <w:lang w:val="en-IE"/>
        </w:rPr>
        <w:t>. The</w:t>
      </w:r>
      <w:r w:rsidR="009B635F" w:rsidRPr="00532C20" w:rsidDel="009867D4">
        <w:rPr>
          <w:rFonts w:ascii="Times New Roman" w:hAnsi="Times New Roman" w:cs="Times New Roman"/>
          <w:noProof/>
          <w:lang w:val="en-IE"/>
        </w:rPr>
        <w:t xml:space="preserve"> </w:t>
      </w:r>
      <w:r w:rsidR="009867D4" w:rsidRPr="00532C20">
        <w:rPr>
          <w:rFonts w:ascii="Times New Roman" w:hAnsi="Times New Roman" w:cs="Times New Roman"/>
          <w:noProof/>
          <w:lang w:val="en-IE"/>
        </w:rPr>
        <w:t>CJEU</w:t>
      </w:r>
      <w:r w:rsidR="009B635F" w:rsidRPr="00532C20">
        <w:rPr>
          <w:rFonts w:ascii="Times New Roman" w:hAnsi="Times New Roman" w:cs="Times New Roman"/>
          <w:noProof/>
          <w:lang w:val="en-IE"/>
        </w:rPr>
        <w:t xml:space="preserve"> has recognised that the objective consisting in increasing transparency is an overriding reason in the public interest</w:t>
      </w:r>
      <w:r w:rsidR="009B635F" w:rsidRPr="00532C20">
        <w:rPr>
          <w:rStyle w:val="FootnoteReference"/>
          <w:rFonts w:ascii="Times New Roman" w:hAnsi="Times New Roman" w:cs="Times New Roman"/>
          <w:noProof/>
          <w:lang w:val="en-IE"/>
        </w:rPr>
        <w:footnoteReference w:id="191"/>
      </w:r>
      <w:r w:rsidR="009B635F" w:rsidRPr="00532C20">
        <w:rPr>
          <w:rFonts w:ascii="Times New Roman" w:hAnsi="Times New Roman" w:cs="Times New Roman"/>
          <w:noProof/>
          <w:lang w:val="en-IE"/>
        </w:rPr>
        <w:t xml:space="preserve">. </w:t>
      </w:r>
      <w:r w:rsidR="004A76DD" w:rsidRPr="00532C20">
        <w:rPr>
          <w:rFonts w:ascii="Times New Roman" w:hAnsi="Times New Roman" w:cs="Times New Roman"/>
          <w:noProof/>
          <w:lang w:val="en-IE"/>
        </w:rPr>
        <w:t xml:space="preserve">As such, </w:t>
      </w:r>
      <w:r w:rsidR="004B11FA" w:rsidRPr="00532C20">
        <w:rPr>
          <w:rFonts w:ascii="Times New Roman" w:hAnsi="Times New Roman" w:cs="Times New Roman"/>
          <w:noProof/>
          <w:lang w:val="en-IE"/>
        </w:rPr>
        <w:t xml:space="preserve">it is </w:t>
      </w:r>
      <w:r w:rsidR="00AD5E22">
        <w:rPr>
          <w:rFonts w:ascii="Times New Roman" w:hAnsi="Times New Roman" w:cs="Times New Roman"/>
          <w:noProof/>
          <w:lang w:val="en-IE"/>
        </w:rPr>
        <w:t>possible</w:t>
      </w:r>
      <w:r w:rsidR="004B11FA" w:rsidRPr="00532C20">
        <w:rPr>
          <w:rFonts w:ascii="Times New Roman" w:hAnsi="Times New Roman" w:cs="Times New Roman"/>
          <w:noProof/>
          <w:lang w:val="en-IE"/>
        </w:rPr>
        <w:t xml:space="preserve"> to justify the limited</w:t>
      </w:r>
      <w:r w:rsidR="00EB523D" w:rsidRPr="00532C20">
        <w:rPr>
          <w:rFonts w:ascii="Times New Roman" w:hAnsi="Times New Roman" w:cs="Times New Roman"/>
          <w:noProof/>
        </w:rPr>
        <w:t xml:space="preserve"> and proportionate</w:t>
      </w:r>
      <w:r w:rsidR="00FD0117" w:rsidRPr="00532C20">
        <w:rPr>
          <w:rFonts w:ascii="Times New Roman" w:hAnsi="Times New Roman" w:cs="Times New Roman"/>
          <w:noProof/>
          <w:lang w:val="en-IE"/>
        </w:rPr>
        <w:t xml:space="preserve"> impact on freedom of association</w:t>
      </w:r>
      <w:r w:rsidR="005B0F89" w:rsidRPr="00532C20">
        <w:rPr>
          <w:rFonts w:ascii="Times New Roman" w:hAnsi="Times New Roman" w:cs="Times New Roman"/>
          <w:noProof/>
          <w:lang w:val="en-IE"/>
        </w:rPr>
        <w:t xml:space="preserve"> </w:t>
      </w:r>
      <w:r w:rsidR="007D03D9" w:rsidRPr="00532C20">
        <w:rPr>
          <w:rFonts w:ascii="Times New Roman" w:hAnsi="Times New Roman" w:cs="Times New Roman"/>
          <w:noProof/>
        </w:rPr>
        <w:t>resulting from</w:t>
      </w:r>
      <w:r w:rsidR="005B0F89" w:rsidRPr="00532C20">
        <w:rPr>
          <w:rFonts w:ascii="Times New Roman" w:hAnsi="Times New Roman" w:cs="Times New Roman"/>
          <w:noProof/>
          <w:lang w:val="en-IE"/>
        </w:rPr>
        <w:t xml:space="preserve"> the initiative </w:t>
      </w:r>
      <w:r w:rsidR="00617DF8" w:rsidRPr="00532C20">
        <w:rPr>
          <w:rFonts w:ascii="Times New Roman" w:hAnsi="Times New Roman" w:cs="Times New Roman"/>
          <w:noProof/>
          <w:szCs w:val="24"/>
          <w:lang w:val="en-IE"/>
        </w:rPr>
        <w:t>–</w:t>
      </w:r>
      <w:r w:rsidR="005B0F89" w:rsidRPr="00532C20">
        <w:rPr>
          <w:rFonts w:ascii="Times New Roman" w:hAnsi="Times New Roman" w:cs="Times New Roman"/>
          <w:noProof/>
          <w:szCs w:val="24"/>
          <w:lang w:val="en-IE"/>
        </w:rPr>
        <w:t xml:space="preserve"> in as much as the requested organisations would have to comply with the registration</w:t>
      </w:r>
      <w:r w:rsidR="007D5191">
        <w:rPr>
          <w:rFonts w:ascii="Times New Roman" w:hAnsi="Times New Roman" w:cs="Times New Roman"/>
          <w:noProof/>
          <w:szCs w:val="24"/>
          <w:lang w:val="en-IE"/>
        </w:rPr>
        <w:t xml:space="preserve"> and </w:t>
      </w:r>
      <w:r w:rsidR="005B0F89" w:rsidRPr="00532C20">
        <w:rPr>
          <w:rFonts w:ascii="Times New Roman" w:hAnsi="Times New Roman" w:cs="Times New Roman"/>
          <w:noProof/>
          <w:szCs w:val="24"/>
          <w:lang w:val="en-IE"/>
        </w:rPr>
        <w:t>reporting obligations and pay the related costs</w:t>
      </w:r>
      <w:r w:rsidR="00FD0117" w:rsidRPr="00532C20">
        <w:rPr>
          <w:rFonts w:ascii="Times New Roman" w:hAnsi="Times New Roman" w:cs="Times New Roman"/>
          <w:noProof/>
          <w:lang w:val="en-IE"/>
        </w:rPr>
        <w:t>.</w:t>
      </w:r>
      <w:r w:rsidR="009B635F" w:rsidRPr="00532C20">
        <w:rPr>
          <w:rFonts w:ascii="Times New Roman" w:hAnsi="Times New Roman" w:cs="Times New Roman"/>
          <w:noProof/>
          <w:lang w:val="en-IE"/>
        </w:rPr>
        <w:t xml:space="preserve"> </w:t>
      </w:r>
    </w:p>
    <w:p w14:paraId="379618CB" w14:textId="3BED9DB1" w:rsidR="00FD0117" w:rsidRPr="00532C20" w:rsidRDefault="009C3F78" w:rsidP="00FD0117">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lang w:val="en-IE"/>
        </w:rPr>
        <w:t>The limited transparency obligations would, furthermore, not affect the essence of the right to freedom of association.</w:t>
      </w:r>
      <w:r w:rsidR="009B635F" w:rsidRPr="00532C20">
        <w:rPr>
          <w:rFonts w:ascii="Times New Roman" w:hAnsi="Times New Roman" w:cs="Times New Roman"/>
          <w:noProof/>
          <w:lang w:val="en-IE"/>
        </w:rPr>
        <w:t xml:space="preserve"> </w:t>
      </w:r>
      <w:r w:rsidR="00156E64" w:rsidRPr="00532C20">
        <w:rPr>
          <w:rFonts w:ascii="Times New Roman" w:hAnsi="Times New Roman" w:cs="Times New Roman"/>
          <w:noProof/>
        </w:rPr>
        <w:t xml:space="preserve">In particular, </w:t>
      </w:r>
      <w:r w:rsidR="00156E64" w:rsidRPr="00532C20">
        <w:rPr>
          <w:rFonts w:ascii="Times New Roman" w:hAnsi="Times New Roman" w:cs="Times New Roman"/>
          <w:noProof/>
          <w:szCs w:val="24"/>
        </w:rPr>
        <w:t>w</w:t>
      </w:r>
      <w:r w:rsidR="00FD0117" w:rsidRPr="00532C20">
        <w:rPr>
          <w:rFonts w:ascii="Times New Roman" w:hAnsi="Times New Roman" w:cs="Times New Roman"/>
          <w:noProof/>
          <w:szCs w:val="24"/>
          <w:lang w:val="en-IE"/>
        </w:rPr>
        <w:t>hile imposing transparency obligations</w:t>
      </w:r>
      <w:r w:rsidR="00801ED0" w:rsidRPr="00532C20">
        <w:rPr>
          <w:rFonts w:ascii="Times New Roman" w:hAnsi="Times New Roman" w:cs="Times New Roman"/>
          <w:noProof/>
          <w:szCs w:val="24"/>
          <w:lang w:val="en-IE"/>
        </w:rPr>
        <w:t xml:space="preserve">, the proposed measures do not </w:t>
      </w:r>
      <w:r w:rsidR="00506163" w:rsidRPr="00532C20">
        <w:rPr>
          <w:rFonts w:ascii="Times New Roman" w:hAnsi="Times New Roman" w:cs="Times New Roman"/>
          <w:noProof/>
          <w:szCs w:val="24"/>
          <w:lang w:val="en-IE"/>
        </w:rPr>
        <w:t>restrict the right to</w:t>
      </w:r>
      <w:r w:rsidR="008E0536">
        <w:rPr>
          <w:rFonts w:ascii="Times New Roman" w:hAnsi="Times New Roman" w:cs="Times New Roman"/>
          <w:noProof/>
          <w:szCs w:val="24"/>
          <w:lang w:val="en-IE"/>
        </w:rPr>
        <w:t xml:space="preserve"> </w:t>
      </w:r>
      <w:r w:rsidR="00FD0117" w:rsidRPr="00532C20">
        <w:rPr>
          <w:rFonts w:ascii="Times New Roman" w:hAnsi="Times New Roman" w:cs="Times New Roman"/>
          <w:noProof/>
          <w:szCs w:val="24"/>
          <w:lang w:val="en-IE"/>
        </w:rPr>
        <w:t>seek for funding and resources</w:t>
      </w:r>
      <w:r w:rsidR="00506163" w:rsidRPr="00532C20">
        <w:rPr>
          <w:rFonts w:ascii="Times New Roman" w:hAnsi="Times New Roman" w:cs="Times New Roman"/>
          <w:noProof/>
          <w:szCs w:val="24"/>
          <w:lang w:val="en-IE"/>
        </w:rPr>
        <w:t xml:space="preserve"> as</w:t>
      </w:r>
      <w:r w:rsidR="00FD0117" w:rsidRPr="00532C20">
        <w:rPr>
          <w:rFonts w:ascii="Times New Roman" w:hAnsi="Times New Roman" w:cs="Times New Roman"/>
          <w:noProof/>
          <w:szCs w:val="24"/>
          <w:lang w:val="en-IE"/>
        </w:rPr>
        <w:t xml:space="preserve"> none of the policy options ban foreign funding.</w:t>
      </w:r>
    </w:p>
    <w:p w14:paraId="498096A3" w14:textId="6F39627E" w:rsidR="009B635F" w:rsidRPr="00532C20" w:rsidRDefault="00C10354" w:rsidP="007F3C6C">
      <w:pPr>
        <w:pStyle w:val="Text2"/>
        <w:spacing w:after="120"/>
        <w:ind w:left="0"/>
        <w:rPr>
          <w:rFonts w:ascii="Times New Roman" w:hAnsi="Times New Roman" w:cs="Times New Roman"/>
          <w:noProof/>
          <w:szCs w:val="24"/>
          <w:lang w:val="en-IE"/>
        </w:rPr>
      </w:pPr>
      <w:r w:rsidRPr="00532C20">
        <w:rPr>
          <w:rFonts w:ascii="Times New Roman" w:hAnsi="Times New Roman" w:cs="Times New Roman"/>
          <w:b/>
          <w:noProof/>
          <w:lang w:val="en-IE"/>
        </w:rPr>
        <w:t>All</w:t>
      </w:r>
      <w:r w:rsidR="00A90D63" w:rsidRPr="00532C20">
        <w:rPr>
          <w:rFonts w:ascii="Times New Roman" w:hAnsi="Times New Roman" w:cs="Times New Roman"/>
          <w:b/>
          <w:noProof/>
          <w:lang w:val="en-IE"/>
        </w:rPr>
        <w:t xml:space="preserve"> 3</w:t>
      </w:r>
      <w:r w:rsidRPr="00532C20">
        <w:rPr>
          <w:rFonts w:ascii="Times New Roman" w:hAnsi="Times New Roman" w:cs="Times New Roman"/>
          <w:b/>
          <w:noProof/>
          <w:lang w:val="en-IE"/>
        </w:rPr>
        <w:t xml:space="preserve"> </w:t>
      </w:r>
      <w:r w:rsidRPr="00532C20">
        <w:rPr>
          <w:rFonts w:ascii="Times New Roman" w:hAnsi="Times New Roman" w:cs="Times New Roman"/>
          <w:b/>
          <w:noProof/>
          <w:u w:val="single"/>
          <w:lang w:val="en-IE"/>
        </w:rPr>
        <w:t>policy option</w:t>
      </w:r>
      <w:r w:rsidR="00F07D1A" w:rsidRPr="00532C20">
        <w:rPr>
          <w:rFonts w:ascii="Times New Roman" w:hAnsi="Times New Roman" w:cs="Times New Roman"/>
          <w:b/>
          <w:noProof/>
          <w:u w:val="single"/>
          <w:lang w:val="en-IE"/>
        </w:rPr>
        <w:t>s</w:t>
      </w:r>
      <w:r w:rsidRPr="00532C20">
        <w:rPr>
          <w:rFonts w:ascii="Times New Roman" w:hAnsi="Times New Roman" w:cs="Times New Roman"/>
          <w:b/>
          <w:noProof/>
          <w:lang w:val="en-IE"/>
        </w:rPr>
        <w:t xml:space="preserve"> thus</w:t>
      </w:r>
      <w:r w:rsidR="009B635F" w:rsidRPr="00532C20">
        <w:rPr>
          <w:rFonts w:ascii="Times New Roman" w:hAnsi="Times New Roman" w:cs="Times New Roman"/>
          <w:b/>
          <w:noProof/>
          <w:szCs w:val="24"/>
          <w:lang w:val="en-IE"/>
        </w:rPr>
        <w:t xml:space="preserve"> meet </w:t>
      </w:r>
      <w:r w:rsidR="003C3B31" w:rsidRPr="00532C20">
        <w:rPr>
          <w:rFonts w:ascii="Times New Roman" w:hAnsi="Times New Roman" w:cs="Times New Roman"/>
          <w:b/>
          <w:noProof/>
          <w:szCs w:val="24"/>
          <w:lang w:val="en-IE"/>
        </w:rPr>
        <w:t>the</w:t>
      </w:r>
      <w:r w:rsidR="009B635F" w:rsidRPr="00532C20">
        <w:rPr>
          <w:rFonts w:ascii="Times New Roman" w:hAnsi="Times New Roman" w:cs="Times New Roman"/>
          <w:b/>
          <w:noProof/>
          <w:szCs w:val="24"/>
          <w:lang w:val="en-IE"/>
        </w:rPr>
        <w:t xml:space="preserve"> objective of general interest</w:t>
      </w:r>
      <w:r w:rsidR="009B635F" w:rsidRPr="00532C20">
        <w:rPr>
          <w:rFonts w:ascii="Times New Roman" w:hAnsi="Times New Roman" w:cs="Times New Roman"/>
          <w:noProof/>
          <w:szCs w:val="24"/>
          <w:lang w:val="en-IE"/>
        </w:rPr>
        <w:t xml:space="preserve">, in light of the principles of openness and transparency, which must guide the democratic life of the </w:t>
      </w:r>
      <w:r w:rsidR="002E1956" w:rsidRPr="00532C20">
        <w:rPr>
          <w:rFonts w:ascii="Times New Roman" w:hAnsi="Times New Roman" w:cs="Times New Roman"/>
          <w:noProof/>
          <w:szCs w:val="24"/>
          <w:lang w:val="en-IE"/>
        </w:rPr>
        <w:t>EU</w:t>
      </w:r>
      <w:r w:rsidR="009B635F" w:rsidRPr="00532C20">
        <w:rPr>
          <w:rFonts w:ascii="Times New Roman" w:hAnsi="Times New Roman" w:cs="Times New Roman"/>
          <w:noProof/>
          <w:szCs w:val="24"/>
          <w:lang w:val="en-IE"/>
        </w:rPr>
        <w:t xml:space="preserve"> in accordance with the second paragraph of Article 1 and Article 10(3) TEU and in conformity with the democratic values shared by the </w:t>
      </w:r>
      <w:r w:rsidR="002E1956" w:rsidRPr="00532C20">
        <w:rPr>
          <w:rFonts w:ascii="Times New Roman" w:hAnsi="Times New Roman" w:cs="Times New Roman"/>
          <w:noProof/>
          <w:szCs w:val="24"/>
          <w:lang w:val="en-IE"/>
        </w:rPr>
        <w:t>EU</w:t>
      </w:r>
      <w:r w:rsidR="009B635F" w:rsidRPr="00532C20">
        <w:rPr>
          <w:rFonts w:ascii="Times New Roman" w:hAnsi="Times New Roman" w:cs="Times New Roman"/>
          <w:noProof/>
          <w:szCs w:val="24"/>
          <w:lang w:val="en-IE"/>
        </w:rPr>
        <w:t xml:space="preserve"> and its Member States pursuant to Article 2 TEU.</w:t>
      </w:r>
    </w:p>
    <w:p w14:paraId="310A8DD5" w14:textId="25C76FE3" w:rsidR="00780EE6" w:rsidRPr="00532C20" w:rsidRDefault="00B465F4" w:rsidP="007F3C6C">
      <w:pPr>
        <w:pStyle w:val="Text2"/>
        <w:spacing w:after="120"/>
        <w:ind w:left="0"/>
        <w:rPr>
          <w:rFonts w:ascii="Times New Roman" w:hAnsi="Times New Roman" w:cs="Times New Roman"/>
          <w:noProof/>
          <w:lang w:val="en-IE"/>
        </w:rPr>
      </w:pPr>
      <w:r w:rsidRPr="00532C20">
        <w:rPr>
          <w:rFonts w:ascii="Times New Roman" w:hAnsi="Times New Roman" w:cs="Times New Roman"/>
          <w:noProof/>
          <w:lang w:val="en-IE"/>
        </w:rPr>
        <w:t>With regard</w:t>
      </w:r>
      <w:r w:rsidR="009B635F" w:rsidRPr="00532C20">
        <w:rPr>
          <w:rFonts w:ascii="Times New Roman" w:hAnsi="Times New Roman" w:cs="Times New Roman"/>
          <w:noProof/>
          <w:lang w:val="en-IE"/>
        </w:rPr>
        <w:t xml:space="preserve"> to the proportionality of the limitation,</w:t>
      </w:r>
      <w:r w:rsidR="009B635F" w:rsidRPr="00532C20" w:rsidDel="00573B93">
        <w:rPr>
          <w:rFonts w:ascii="Times New Roman" w:hAnsi="Times New Roman" w:cs="Times New Roman"/>
          <w:noProof/>
          <w:lang w:val="en-IE"/>
        </w:rPr>
        <w:t xml:space="preserve"> </w:t>
      </w:r>
      <w:r w:rsidRPr="00532C20">
        <w:rPr>
          <w:rFonts w:ascii="Times New Roman" w:hAnsi="Times New Roman" w:cs="Times New Roman"/>
          <w:b/>
          <w:bCs/>
          <w:noProof/>
          <w:u w:val="single"/>
          <w:lang w:val="en-IE"/>
        </w:rPr>
        <w:t>all</w:t>
      </w:r>
      <w:r w:rsidR="00A90D63" w:rsidRPr="00532C20">
        <w:rPr>
          <w:rFonts w:ascii="Times New Roman" w:hAnsi="Times New Roman" w:cs="Times New Roman"/>
          <w:b/>
          <w:noProof/>
          <w:u w:val="single"/>
          <w:lang w:val="en-IE"/>
        </w:rPr>
        <w:t xml:space="preserve"> 3</w:t>
      </w:r>
      <w:r w:rsidRPr="00532C20">
        <w:rPr>
          <w:rFonts w:ascii="Times New Roman" w:hAnsi="Times New Roman" w:cs="Times New Roman"/>
          <w:b/>
          <w:noProof/>
          <w:u w:val="single"/>
          <w:lang w:val="en-IE"/>
        </w:rPr>
        <w:t xml:space="preserve"> options</w:t>
      </w:r>
      <w:r w:rsidR="009B635F" w:rsidRPr="00532C20">
        <w:rPr>
          <w:rFonts w:ascii="Times New Roman" w:hAnsi="Times New Roman" w:cs="Times New Roman"/>
          <w:b/>
          <w:noProof/>
          <w:lang w:val="en-IE"/>
        </w:rPr>
        <w:t xml:space="preserve"> apply indiscriminately to any entity receiving financial support from abroad</w:t>
      </w:r>
      <w:r w:rsidR="00742450" w:rsidRPr="00532C20">
        <w:rPr>
          <w:rFonts w:ascii="Times New Roman" w:hAnsi="Times New Roman" w:cs="Times New Roman"/>
          <w:b/>
          <w:noProof/>
          <w:lang w:val="en-IE"/>
        </w:rPr>
        <w:t xml:space="preserve"> </w:t>
      </w:r>
      <w:r w:rsidR="00A05D75" w:rsidRPr="00532C20">
        <w:rPr>
          <w:rFonts w:ascii="Times New Roman" w:hAnsi="Times New Roman" w:cs="Times New Roman"/>
          <w:b/>
          <w:noProof/>
          <w:lang w:val="en-IE"/>
        </w:rPr>
        <w:t xml:space="preserve">by reason of the </w:t>
      </w:r>
      <w:r w:rsidR="001B53B5" w:rsidRPr="00532C20">
        <w:rPr>
          <w:rFonts w:ascii="Times New Roman" w:hAnsi="Times New Roman" w:cs="Times New Roman"/>
          <w:b/>
          <w:noProof/>
          <w:lang w:val="en-IE"/>
        </w:rPr>
        <w:t>type of activity they carry out</w:t>
      </w:r>
      <w:r w:rsidR="009B635F" w:rsidRPr="00532C20">
        <w:rPr>
          <w:rFonts w:ascii="Times New Roman" w:hAnsi="Times New Roman" w:cs="Times New Roman"/>
          <w:noProof/>
          <w:lang w:val="en-IE"/>
        </w:rPr>
        <w:t xml:space="preserve">. </w:t>
      </w:r>
      <w:r w:rsidR="00E70B1F" w:rsidRPr="00532C20">
        <w:rPr>
          <w:rFonts w:ascii="Times New Roman" w:hAnsi="Times New Roman" w:cs="Times New Roman"/>
          <w:noProof/>
          <w:lang w:val="en-IE"/>
        </w:rPr>
        <w:t xml:space="preserve">In particular, </w:t>
      </w:r>
      <w:r w:rsidR="00E70B1F" w:rsidRPr="00532C20">
        <w:rPr>
          <w:rFonts w:ascii="Times New Roman" w:hAnsi="Times New Roman" w:cs="Times New Roman"/>
          <w:noProof/>
          <w:szCs w:val="24"/>
          <w:u w:val="single"/>
          <w:lang w:val="en-IE"/>
        </w:rPr>
        <w:t>the legislative policy options (PO2.</w:t>
      </w:r>
      <w:r w:rsidR="007A61B3" w:rsidRPr="00532C20">
        <w:rPr>
          <w:rFonts w:ascii="Times New Roman" w:hAnsi="Times New Roman" w:cs="Times New Roman"/>
          <w:noProof/>
          <w:szCs w:val="24"/>
          <w:u w:val="single"/>
          <w:lang w:val="en-IE"/>
        </w:rPr>
        <w:t>1</w:t>
      </w:r>
      <w:r w:rsidR="00E70B1F" w:rsidRPr="00532C20">
        <w:rPr>
          <w:rFonts w:ascii="Times New Roman" w:hAnsi="Times New Roman" w:cs="Times New Roman"/>
          <w:noProof/>
          <w:szCs w:val="24"/>
          <w:u w:val="single"/>
          <w:lang w:val="en-IE"/>
        </w:rPr>
        <w:t xml:space="preserve"> and PO2.</w:t>
      </w:r>
      <w:r w:rsidR="007A61B3" w:rsidRPr="00532C20">
        <w:rPr>
          <w:rFonts w:ascii="Times New Roman" w:hAnsi="Times New Roman" w:cs="Times New Roman"/>
          <w:noProof/>
          <w:szCs w:val="24"/>
          <w:u w:val="single"/>
          <w:lang w:val="en-IE"/>
        </w:rPr>
        <w:t>2</w:t>
      </w:r>
      <w:r w:rsidR="00E70B1F" w:rsidRPr="00532C20">
        <w:rPr>
          <w:rFonts w:ascii="Times New Roman" w:hAnsi="Times New Roman" w:cs="Times New Roman"/>
          <w:noProof/>
          <w:szCs w:val="24"/>
          <w:u w:val="single"/>
          <w:lang w:val="en-IE"/>
        </w:rPr>
        <w:t>)</w:t>
      </w:r>
      <w:r w:rsidR="00E70B1F" w:rsidRPr="00532C20">
        <w:rPr>
          <w:rFonts w:ascii="Times New Roman" w:hAnsi="Times New Roman" w:cs="Times New Roman"/>
          <w:noProof/>
          <w:szCs w:val="24"/>
          <w:lang w:val="en-IE"/>
        </w:rPr>
        <w:t xml:space="preserve"> </w:t>
      </w:r>
      <w:r w:rsidR="009B635F" w:rsidRPr="00532C20">
        <w:rPr>
          <w:rFonts w:ascii="Times New Roman" w:hAnsi="Times New Roman" w:cs="Times New Roman"/>
          <w:noProof/>
          <w:lang w:val="en-IE"/>
        </w:rPr>
        <w:t xml:space="preserve">would not cover </w:t>
      </w:r>
      <w:r w:rsidR="00567237" w:rsidRPr="00532C20">
        <w:rPr>
          <w:rFonts w:ascii="Times New Roman" w:hAnsi="Times New Roman" w:cs="Times New Roman"/>
          <w:noProof/>
          <w:lang w:val="en-IE"/>
        </w:rPr>
        <w:t xml:space="preserve">any </w:t>
      </w:r>
      <w:r w:rsidR="009B635F" w:rsidRPr="00532C20">
        <w:rPr>
          <w:rFonts w:ascii="Times New Roman" w:hAnsi="Times New Roman" w:cs="Times New Roman"/>
          <w:noProof/>
          <w:lang w:val="en-IE"/>
        </w:rPr>
        <w:t>funding given by a third country entity</w:t>
      </w:r>
      <w:r w:rsidR="00F45D3C" w:rsidRPr="00532C20">
        <w:rPr>
          <w:rStyle w:val="FootnoteReference"/>
          <w:rFonts w:ascii="Times New Roman" w:hAnsi="Times New Roman" w:cs="Times New Roman"/>
          <w:noProof/>
          <w:lang w:val="en-IE"/>
        </w:rPr>
        <w:footnoteReference w:id="192"/>
      </w:r>
      <w:r w:rsidR="006947BF" w:rsidRPr="00532C20">
        <w:rPr>
          <w:rFonts w:ascii="Times New Roman" w:hAnsi="Times New Roman" w:cs="Times New Roman"/>
          <w:noProof/>
          <w:lang w:val="en-IE"/>
        </w:rPr>
        <w:t xml:space="preserve">, but only </w:t>
      </w:r>
      <w:r w:rsidR="00685FBB" w:rsidRPr="00532C20">
        <w:rPr>
          <w:rFonts w:ascii="Times New Roman" w:hAnsi="Times New Roman" w:cs="Times New Roman"/>
          <w:noProof/>
          <w:lang w:val="en-IE"/>
        </w:rPr>
        <w:t xml:space="preserve">the funding </w:t>
      </w:r>
      <w:r w:rsidR="00333948" w:rsidRPr="00532C20">
        <w:rPr>
          <w:rFonts w:ascii="Times New Roman" w:hAnsi="Times New Roman" w:cs="Times New Roman"/>
          <w:noProof/>
          <w:lang w:val="en-IE"/>
        </w:rPr>
        <w:t>which</w:t>
      </w:r>
      <w:r w:rsidR="009B635F" w:rsidRPr="00532C20">
        <w:rPr>
          <w:rFonts w:ascii="Times New Roman" w:hAnsi="Times New Roman" w:cs="Times New Roman"/>
          <w:noProof/>
          <w:lang w:val="en-IE"/>
        </w:rPr>
        <w:t xml:space="preserve"> is related to an interest representation activity</w:t>
      </w:r>
      <w:r w:rsidR="008A685F" w:rsidRPr="00532C20">
        <w:rPr>
          <w:rFonts w:ascii="Times New Roman" w:hAnsi="Times New Roman" w:cs="Times New Roman"/>
          <w:noProof/>
          <w:lang w:val="en-IE"/>
        </w:rPr>
        <w:t xml:space="preserve"> (structural grant</w:t>
      </w:r>
      <w:r w:rsidR="00E9740B" w:rsidRPr="00532C20">
        <w:rPr>
          <w:rFonts w:ascii="Times New Roman" w:hAnsi="Times New Roman" w:cs="Times New Roman"/>
          <w:noProof/>
          <w:lang w:val="en-IE"/>
        </w:rPr>
        <w:t>s</w:t>
      </w:r>
      <w:r w:rsidR="008A685F" w:rsidRPr="00532C20">
        <w:rPr>
          <w:rFonts w:ascii="Times New Roman" w:hAnsi="Times New Roman" w:cs="Times New Roman"/>
          <w:noProof/>
          <w:lang w:val="en-IE"/>
        </w:rPr>
        <w:t>, donation</w:t>
      </w:r>
      <w:r w:rsidR="00E9740B" w:rsidRPr="00532C20">
        <w:rPr>
          <w:rFonts w:ascii="Times New Roman" w:hAnsi="Times New Roman" w:cs="Times New Roman"/>
          <w:noProof/>
          <w:lang w:val="en-IE"/>
        </w:rPr>
        <w:t>s</w:t>
      </w:r>
      <w:r w:rsidR="008A685F" w:rsidRPr="00532C20">
        <w:rPr>
          <w:rFonts w:ascii="Times New Roman" w:hAnsi="Times New Roman" w:cs="Times New Roman"/>
          <w:noProof/>
          <w:lang w:val="en-IE"/>
        </w:rPr>
        <w:t>, etc.</w:t>
      </w:r>
      <w:r w:rsidR="000D1AC1" w:rsidRPr="00532C20">
        <w:rPr>
          <w:rFonts w:ascii="Times New Roman" w:hAnsi="Times New Roman" w:cs="Times New Roman"/>
          <w:noProof/>
          <w:lang w:val="en-IE"/>
        </w:rPr>
        <w:t xml:space="preserve"> are therefore excluded</w:t>
      </w:r>
      <w:r w:rsidR="008A685F" w:rsidRPr="00532C20">
        <w:rPr>
          <w:rFonts w:ascii="Times New Roman" w:hAnsi="Times New Roman" w:cs="Times New Roman"/>
          <w:noProof/>
          <w:lang w:val="en-IE"/>
        </w:rPr>
        <w:t>)</w:t>
      </w:r>
      <w:r w:rsidR="009B635F" w:rsidRPr="00532C20">
        <w:rPr>
          <w:rFonts w:ascii="Times New Roman" w:hAnsi="Times New Roman" w:cs="Times New Roman"/>
          <w:noProof/>
          <w:lang w:val="en-IE"/>
        </w:rPr>
        <w:t>.</w:t>
      </w:r>
      <w:r w:rsidR="00AA3895" w:rsidRPr="00532C20">
        <w:rPr>
          <w:rFonts w:ascii="Times New Roman" w:hAnsi="Times New Roman" w:cs="Times New Roman"/>
          <w:noProof/>
          <w:lang w:val="en-IE"/>
        </w:rPr>
        <w:t xml:space="preserve"> T</w:t>
      </w:r>
      <w:r w:rsidR="002B56A5" w:rsidRPr="00532C20">
        <w:rPr>
          <w:rFonts w:ascii="Times New Roman" w:hAnsi="Times New Roman" w:cs="Times New Roman"/>
          <w:noProof/>
          <w:lang w:val="en-IE"/>
        </w:rPr>
        <w:t>hese</w:t>
      </w:r>
      <w:r w:rsidR="00EF012B" w:rsidRPr="00532C20">
        <w:rPr>
          <w:rFonts w:ascii="Times New Roman" w:hAnsi="Times New Roman" w:cs="Times New Roman"/>
          <w:noProof/>
          <w:lang w:val="en-IE"/>
        </w:rPr>
        <w:t xml:space="preserve"> legislative</w:t>
      </w:r>
      <w:r w:rsidR="002B56A5" w:rsidRPr="00532C20">
        <w:rPr>
          <w:rFonts w:ascii="Times New Roman" w:hAnsi="Times New Roman" w:cs="Times New Roman"/>
          <w:noProof/>
          <w:lang w:val="en-IE"/>
        </w:rPr>
        <w:t xml:space="preserve"> options</w:t>
      </w:r>
      <w:r w:rsidR="009B635F" w:rsidRPr="00532C20" w:rsidDel="002B56A5">
        <w:rPr>
          <w:rFonts w:ascii="Times New Roman" w:hAnsi="Times New Roman" w:cs="Times New Roman"/>
          <w:noProof/>
          <w:lang w:val="en-IE"/>
        </w:rPr>
        <w:t xml:space="preserve"> </w:t>
      </w:r>
      <w:r w:rsidR="009B635F" w:rsidRPr="00532C20">
        <w:rPr>
          <w:rFonts w:ascii="Times New Roman" w:hAnsi="Times New Roman" w:cs="Times New Roman"/>
          <w:noProof/>
          <w:lang w:val="en-IE"/>
        </w:rPr>
        <w:t xml:space="preserve">only </w:t>
      </w:r>
      <w:r w:rsidR="00D52BFB" w:rsidRPr="00532C20">
        <w:rPr>
          <w:rFonts w:ascii="Times New Roman" w:hAnsi="Times New Roman" w:cs="Times New Roman"/>
          <w:noProof/>
          <w:lang w:val="en-IE"/>
        </w:rPr>
        <w:t>focus on the</w:t>
      </w:r>
      <w:r w:rsidR="009B635F" w:rsidRPr="00532C20">
        <w:rPr>
          <w:rFonts w:ascii="Times New Roman" w:hAnsi="Times New Roman" w:cs="Times New Roman"/>
          <w:noProof/>
          <w:lang w:val="en-IE"/>
        </w:rPr>
        <w:t xml:space="preserve"> activities that are genuinely likely to have a significant influence on public life and public debate. Secondly, </w:t>
      </w:r>
      <w:r w:rsidR="003E6B33" w:rsidRPr="00532C20">
        <w:rPr>
          <w:rFonts w:ascii="Times New Roman" w:hAnsi="Times New Roman" w:cs="Times New Roman"/>
          <w:b/>
          <w:bCs/>
          <w:noProof/>
          <w:u w:val="single"/>
          <w:lang w:val="en-IE"/>
        </w:rPr>
        <w:t>none</w:t>
      </w:r>
      <w:r w:rsidR="003E6B33" w:rsidRPr="00532C20">
        <w:rPr>
          <w:rFonts w:ascii="Times New Roman" w:hAnsi="Times New Roman" w:cs="Times New Roman"/>
          <w:b/>
          <w:noProof/>
          <w:u w:val="single"/>
          <w:lang w:val="en-IE"/>
        </w:rPr>
        <w:t xml:space="preserve"> of the policy option</w:t>
      </w:r>
      <w:r w:rsidR="00B94AB3" w:rsidRPr="00532C20">
        <w:rPr>
          <w:rFonts w:ascii="Times New Roman" w:hAnsi="Times New Roman" w:cs="Times New Roman"/>
          <w:b/>
          <w:noProof/>
          <w:u w:val="single"/>
          <w:lang w:val="en-IE"/>
        </w:rPr>
        <w:t>s</w:t>
      </w:r>
      <w:r w:rsidR="009B635F" w:rsidRPr="00532C20">
        <w:rPr>
          <w:rFonts w:ascii="Times New Roman" w:hAnsi="Times New Roman" w:cs="Times New Roman"/>
          <w:b/>
          <w:noProof/>
          <w:lang w:val="en-IE"/>
        </w:rPr>
        <w:t xml:space="preserve"> </w:t>
      </w:r>
      <w:r w:rsidR="008A685F" w:rsidRPr="00532C20">
        <w:rPr>
          <w:rFonts w:ascii="Times New Roman" w:hAnsi="Times New Roman" w:cs="Times New Roman"/>
          <w:b/>
          <w:noProof/>
          <w:lang w:val="en-IE"/>
        </w:rPr>
        <w:t xml:space="preserve">target </w:t>
      </w:r>
      <w:r w:rsidR="00F564DC" w:rsidRPr="00532C20">
        <w:rPr>
          <w:rFonts w:ascii="Times New Roman" w:hAnsi="Times New Roman" w:cs="Times New Roman"/>
          <w:b/>
          <w:bCs/>
          <w:noProof/>
          <w:lang w:val="en-IE"/>
        </w:rPr>
        <w:t xml:space="preserve">specifically </w:t>
      </w:r>
      <w:r w:rsidR="009B635F" w:rsidRPr="00532C20">
        <w:rPr>
          <w:rFonts w:ascii="Times New Roman" w:hAnsi="Times New Roman" w:cs="Times New Roman"/>
          <w:b/>
          <w:noProof/>
          <w:lang w:val="en-IE"/>
        </w:rPr>
        <w:t>CSOs or other associations</w:t>
      </w:r>
      <w:r w:rsidR="00D52BFB" w:rsidRPr="00532C20">
        <w:rPr>
          <w:rFonts w:ascii="Times New Roman" w:hAnsi="Times New Roman" w:cs="Times New Roman"/>
          <w:bCs/>
          <w:noProof/>
          <w:lang w:val="en-IE"/>
        </w:rPr>
        <w:t xml:space="preserve">, </w:t>
      </w:r>
      <w:r w:rsidR="0035645E" w:rsidRPr="00532C20">
        <w:rPr>
          <w:rFonts w:ascii="Times New Roman" w:hAnsi="Times New Roman" w:cs="Times New Roman"/>
          <w:bCs/>
          <w:noProof/>
          <w:lang w:val="en-IE"/>
        </w:rPr>
        <w:t>significantly reducing the risk of stigmatisation</w:t>
      </w:r>
      <w:r w:rsidR="009B635F" w:rsidRPr="00532C20">
        <w:rPr>
          <w:rFonts w:ascii="Times New Roman" w:hAnsi="Times New Roman" w:cs="Times New Roman"/>
          <w:noProof/>
          <w:lang w:val="en-IE"/>
        </w:rPr>
        <w:t xml:space="preserve">. </w:t>
      </w:r>
      <w:r w:rsidR="00742450" w:rsidRPr="00532C20">
        <w:rPr>
          <w:rFonts w:ascii="Times New Roman" w:hAnsi="Times New Roman" w:cs="Times New Roman"/>
          <w:noProof/>
          <w:lang w:val="en-IE"/>
        </w:rPr>
        <w:t>They</w:t>
      </w:r>
      <w:r w:rsidR="009B635F" w:rsidRPr="00532C20">
        <w:rPr>
          <w:rFonts w:ascii="Times New Roman" w:hAnsi="Times New Roman" w:cs="Times New Roman"/>
          <w:noProof/>
          <w:lang w:val="en-IE"/>
        </w:rPr>
        <w:t xml:space="preserve"> regulate a specific type of activity – interest representation activities carried out on behalf of third country governments – </w:t>
      </w:r>
      <w:r w:rsidR="004F5309" w:rsidRPr="00532C20">
        <w:rPr>
          <w:rFonts w:ascii="Times New Roman" w:hAnsi="Times New Roman" w:cs="Times New Roman"/>
          <w:noProof/>
          <w:lang w:val="en-IE"/>
        </w:rPr>
        <w:t xml:space="preserve">regardless </w:t>
      </w:r>
      <w:r w:rsidR="009B635F" w:rsidRPr="00532C20">
        <w:rPr>
          <w:rFonts w:ascii="Times New Roman" w:hAnsi="Times New Roman" w:cs="Times New Roman"/>
          <w:noProof/>
          <w:lang w:val="en-IE"/>
        </w:rPr>
        <w:t>of the natural or legal person carrying</w:t>
      </w:r>
      <w:r w:rsidR="00AA3895" w:rsidRPr="00532C20">
        <w:rPr>
          <w:rFonts w:ascii="Times New Roman" w:hAnsi="Times New Roman" w:cs="Times New Roman"/>
          <w:noProof/>
          <w:lang w:val="en-IE"/>
        </w:rPr>
        <w:t xml:space="preserve"> it</w:t>
      </w:r>
      <w:r w:rsidR="009B635F" w:rsidRPr="00532C20">
        <w:rPr>
          <w:rFonts w:ascii="Times New Roman" w:hAnsi="Times New Roman" w:cs="Times New Roman"/>
          <w:noProof/>
          <w:lang w:val="en-IE"/>
        </w:rPr>
        <w:t xml:space="preserve"> out. </w:t>
      </w:r>
    </w:p>
    <w:p w14:paraId="782EC27D" w14:textId="2E05B49F" w:rsidR="00010D3D" w:rsidRPr="00532C20" w:rsidRDefault="00A359A6" w:rsidP="007F3C6C">
      <w:pPr>
        <w:pStyle w:val="Text2"/>
        <w:spacing w:after="120"/>
        <w:ind w:left="0"/>
        <w:rPr>
          <w:rFonts w:ascii="Times New Roman" w:hAnsi="Times New Roman" w:cs="Times New Roman"/>
          <w:noProof/>
          <w:lang w:val="en-IE"/>
        </w:rPr>
      </w:pPr>
      <w:r w:rsidRPr="00532C20">
        <w:rPr>
          <w:rFonts w:ascii="Times New Roman" w:hAnsi="Times New Roman" w:cs="Times New Roman"/>
          <w:noProof/>
          <w:u w:val="single"/>
          <w:lang w:val="en-IE"/>
        </w:rPr>
        <w:t>T</w:t>
      </w:r>
      <w:r w:rsidR="00780EE6" w:rsidRPr="00532C20">
        <w:rPr>
          <w:rFonts w:ascii="Times New Roman" w:hAnsi="Times New Roman" w:cs="Times New Roman"/>
          <w:noProof/>
          <w:u w:val="single"/>
          <w:lang w:val="en-IE"/>
        </w:rPr>
        <w:t>he legislative policy options (PO2.</w:t>
      </w:r>
      <w:r w:rsidR="007A61B3" w:rsidRPr="00532C20">
        <w:rPr>
          <w:rFonts w:ascii="Times New Roman" w:hAnsi="Times New Roman" w:cs="Times New Roman"/>
          <w:noProof/>
          <w:u w:val="single"/>
          <w:lang w:val="en-IE"/>
        </w:rPr>
        <w:t>1</w:t>
      </w:r>
      <w:r w:rsidR="00780EE6" w:rsidRPr="00532C20">
        <w:rPr>
          <w:rFonts w:ascii="Times New Roman" w:hAnsi="Times New Roman" w:cs="Times New Roman"/>
          <w:noProof/>
          <w:u w:val="single"/>
          <w:lang w:val="en-IE"/>
        </w:rPr>
        <w:t xml:space="preserve"> and PO2.</w:t>
      </w:r>
      <w:r w:rsidR="007A61B3" w:rsidRPr="00532C20">
        <w:rPr>
          <w:rFonts w:ascii="Times New Roman" w:hAnsi="Times New Roman" w:cs="Times New Roman"/>
          <w:noProof/>
          <w:u w:val="single"/>
          <w:lang w:val="en-IE"/>
        </w:rPr>
        <w:t>2</w:t>
      </w:r>
      <w:r w:rsidR="00780EE6" w:rsidRPr="00532C20">
        <w:rPr>
          <w:rFonts w:ascii="Times New Roman" w:hAnsi="Times New Roman" w:cs="Times New Roman"/>
          <w:noProof/>
          <w:u w:val="single"/>
          <w:lang w:val="en-IE"/>
        </w:rPr>
        <w:t>)</w:t>
      </w:r>
      <w:r w:rsidR="00780EE6" w:rsidRPr="00532C20">
        <w:rPr>
          <w:rFonts w:ascii="Times New Roman" w:hAnsi="Times New Roman" w:cs="Times New Roman"/>
          <w:noProof/>
          <w:lang w:val="en-IE"/>
        </w:rPr>
        <w:t xml:space="preserve"> </w:t>
      </w:r>
      <w:r w:rsidR="009B635F" w:rsidRPr="00532C20">
        <w:rPr>
          <w:rFonts w:ascii="Times New Roman" w:hAnsi="Times New Roman" w:cs="Times New Roman"/>
          <w:noProof/>
          <w:lang w:val="en-IE"/>
        </w:rPr>
        <w:t xml:space="preserve">contain </w:t>
      </w:r>
      <w:r w:rsidR="003A650D" w:rsidRPr="00532C20">
        <w:rPr>
          <w:rFonts w:ascii="Times New Roman" w:hAnsi="Times New Roman" w:cs="Times New Roman"/>
          <w:noProof/>
          <w:lang w:val="en-IE"/>
        </w:rPr>
        <w:t xml:space="preserve">specific </w:t>
      </w:r>
      <w:r w:rsidR="009B635F" w:rsidRPr="00532C20">
        <w:rPr>
          <w:rFonts w:ascii="Times New Roman" w:hAnsi="Times New Roman" w:cs="Times New Roman"/>
          <w:b/>
          <w:noProof/>
          <w:lang w:val="en-IE"/>
        </w:rPr>
        <w:t>safeguards to avoid stigmatisation</w:t>
      </w:r>
      <w:r w:rsidR="009B635F" w:rsidRPr="00532C20">
        <w:rPr>
          <w:rFonts w:ascii="Times New Roman" w:hAnsi="Times New Roman" w:cs="Times New Roman"/>
          <w:noProof/>
          <w:lang w:val="en-IE"/>
        </w:rPr>
        <w:t>.</w:t>
      </w:r>
      <w:r w:rsidR="009B635F" w:rsidRPr="00532C20">
        <w:rPr>
          <w:noProof/>
        </w:rPr>
        <w:t xml:space="preserve"> </w:t>
      </w:r>
      <w:r w:rsidR="004B73B6" w:rsidRPr="00532C20">
        <w:rPr>
          <w:rFonts w:ascii="Times New Roman" w:hAnsi="Times New Roman" w:cs="Times New Roman"/>
          <w:noProof/>
          <w:lang w:val="en-IE"/>
        </w:rPr>
        <w:t xml:space="preserve">Firstly, the national public registers would have to be presented in a neutral manner and in such a way that it does not lead to stigmatisation of the entities included in the register (e.g. Member States would be prevented from requiring the entities that fall within the scope of the initiative to register ‘as an organisation in receipt of support from abroad’ or indicate on their internet site and in their publications and other press material the information that they are organisations in receipt of support from abroad). </w:t>
      </w:r>
      <w:r w:rsidR="00205861" w:rsidRPr="00205861">
        <w:rPr>
          <w:rFonts w:ascii="Times New Roman" w:hAnsi="Times New Roman" w:cs="Times New Roman"/>
          <w:noProof/>
          <w:lang w:val="en-IE"/>
        </w:rPr>
        <w:t xml:space="preserve">In particular, the publication should not be presented with or </w:t>
      </w:r>
      <w:r w:rsidR="008E0536">
        <w:rPr>
          <w:rFonts w:ascii="Times New Roman" w:hAnsi="Times New Roman" w:cs="Times New Roman"/>
          <w:noProof/>
          <w:lang w:val="en-IE"/>
        </w:rPr>
        <w:t xml:space="preserve">be </w:t>
      </w:r>
      <w:r w:rsidR="00205861" w:rsidRPr="00205861">
        <w:rPr>
          <w:rFonts w:ascii="Times New Roman" w:hAnsi="Times New Roman" w:cs="Times New Roman"/>
          <w:noProof/>
          <w:lang w:val="en-IE"/>
        </w:rPr>
        <w:t>accompanied by statements or provisions that could create a climate of distrust with regard to the registered entities, apt to deter natural or legal persons from Member States or third countries from engaging with them or providing them with financial support.</w:t>
      </w:r>
    </w:p>
    <w:p w14:paraId="2D9F18A3" w14:textId="54F835F1" w:rsidR="00010D3D" w:rsidRPr="00532C20" w:rsidRDefault="004B73B6" w:rsidP="007F3C6C">
      <w:pPr>
        <w:pStyle w:val="Text2"/>
        <w:spacing w:after="120"/>
        <w:ind w:left="0"/>
        <w:rPr>
          <w:rFonts w:ascii="Times New Roman" w:hAnsi="Times New Roman" w:cs="Times New Roman"/>
          <w:noProof/>
          <w:lang w:val="en-IE"/>
        </w:rPr>
      </w:pPr>
      <w:r w:rsidRPr="00532C20">
        <w:rPr>
          <w:rFonts w:ascii="Times New Roman" w:hAnsi="Times New Roman" w:cs="Times New Roman"/>
          <w:noProof/>
          <w:lang w:val="en-IE"/>
        </w:rPr>
        <w:t>Secondly, Member States should ensure that when carrying out their tasks, the national authorities ensure that no adverse consequence</w:t>
      </w:r>
      <w:r w:rsidR="00E15746">
        <w:rPr>
          <w:rFonts w:ascii="Times New Roman" w:hAnsi="Times New Roman" w:cs="Times New Roman"/>
          <w:noProof/>
          <w:lang w:val="en-IE"/>
        </w:rPr>
        <w:t>s</w:t>
      </w:r>
      <w:r w:rsidRPr="00532C20">
        <w:rPr>
          <w:rFonts w:ascii="Times New Roman" w:hAnsi="Times New Roman" w:cs="Times New Roman"/>
          <w:noProof/>
          <w:lang w:val="en-IE"/>
        </w:rPr>
        <w:t xml:space="preserve"> arise from the mere fact that an entity is registered. </w:t>
      </w:r>
    </w:p>
    <w:p w14:paraId="537F8E4D" w14:textId="072DD4E6" w:rsidR="00010D3D" w:rsidRPr="00532C20" w:rsidRDefault="004B73B6" w:rsidP="007F3C6C">
      <w:pPr>
        <w:pStyle w:val="Text2"/>
        <w:spacing w:after="120"/>
        <w:ind w:left="0"/>
        <w:rPr>
          <w:rFonts w:ascii="Times New Roman" w:hAnsi="Times New Roman" w:cs="Times New Roman"/>
          <w:noProof/>
          <w:lang w:val="en-IE"/>
        </w:rPr>
      </w:pPr>
      <w:r w:rsidRPr="00532C20">
        <w:rPr>
          <w:rFonts w:ascii="Times New Roman" w:hAnsi="Times New Roman" w:cs="Times New Roman"/>
          <w:noProof/>
          <w:lang w:val="en-IE"/>
        </w:rPr>
        <w:t>Thirdly, the registered entities would be able to request that all or part of the information is not made publicly available where there are overriding legitimate interests preventing publication.</w:t>
      </w:r>
      <w:r w:rsidR="009B635F" w:rsidRPr="00532C20">
        <w:rPr>
          <w:rFonts w:ascii="Times New Roman" w:hAnsi="Times New Roman" w:cs="Times New Roman"/>
          <w:noProof/>
          <w:lang w:val="en-IE"/>
        </w:rPr>
        <w:t xml:space="preserve"> </w:t>
      </w:r>
      <w:r w:rsidR="007723E9" w:rsidRPr="00532C20">
        <w:rPr>
          <w:rFonts w:ascii="Times New Roman" w:hAnsi="Times New Roman" w:cs="Times New Roman"/>
          <w:noProof/>
          <w:lang w:val="en-IE"/>
        </w:rPr>
        <w:t>B</w:t>
      </w:r>
      <w:r w:rsidR="009B635F" w:rsidRPr="00532C20">
        <w:rPr>
          <w:rFonts w:ascii="Times New Roman" w:hAnsi="Times New Roman" w:cs="Times New Roman"/>
          <w:noProof/>
          <w:lang w:val="en-IE"/>
        </w:rPr>
        <w:t xml:space="preserve">y imposing a </w:t>
      </w:r>
      <w:r w:rsidR="009B635F" w:rsidRPr="00532C20">
        <w:rPr>
          <w:rFonts w:ascii="Times New Roman" w:hAnsi="Times New Roman" w:cs="Times New Roman"/>
          <w:b/>
          <w:noProof/>
          <w:lang w:val="en-IE"/>
        </w:rPr>
        <w:t>full harmonisation of the transparency requirements</w:t>
      </w:r>
      <w:r w:rsidR="009B635F" w:rsidRPr="00532C20">
        <w:rPr>
          <w:rFonts w:ascii="Times New Roman" w:hAnsi="Times New Roman" w:cs="Times New Roman"/>
          <w:noProof/>
          <w:lang w:val="en-IE"/>
        </w:rPr>
        <w:t xml:space="preserve">, </w:t>
      </w:r>
      <w:r w:rsidR="002F1731" w:rsidRPr="00532C20">
        <w:rPr>
          <w:rFonts w:ascii="Times New Roman" w:hAnsi="Times New Roman" w:cs="Times New Roman"/>
          <w:noProof/>
          <w:lang w:val="en-IE"/>
        </w:rPr>
        <w:t>these</w:t>
      </w:r>
      <w:r w:rsidR="00A90D63" w:rsidRPr="00532C20">
        <w:rPr>
          <w:rFonts w:ascii="Times New Roman" w:hAnsi="Times New Roman" w:cs="Times New Roman"/>
          <w:noProof/>
          <w:lang w:val="en-IE"/>
        </w:rPr>
        <w:t xml:space="preserve"> 2 </w:t>
      </w:r>
      <w:r w:rsidR="002F1731" w:rsidRPr="00532C20">
        <w:rPr>
          <w:rFonts w:ascii="Times New Roman" w:hAnsi="Times New Roman" w:cs="Times New Roman"/>
          <w:noProof/>
          <w:lang w:val="en-IE"/>
        </w:rPr>
        <w:t>options ensure that</w:t>
      </w:r>
      <w:r w:rsidR="009B635F" w:rsidRPr="00532C20">
        <w:rPr>
          <w:rFonts w:ascii="Times New Roman" w:hAnsi="Times New Roman" w:cs="Times New Roman"/>
          <w:noProof/>
          <w:lang w:val="en-IE"/>
        </w:rPr>
        <w:t xml:space="preserve"> registered entit</w:t>
      </w:r>
      <w:r w:rsidR="00610C64" w:rsidRPr="00532C20">
        <w:rPr>
          <w:rFonts w:ascii="Times New Roman" w:hAnsi="Times New Roman" w:cs="Times New Roman"/>
          <w:noProof/>
          <w:lang w:val="en-IE"/>
        </w:rPr>
        <w:t>ies</w:t>
      </w:r>
      <w:r w:rsidR="009B635F" w:rsidRPr="00532C20">
        <w:rPr>
          <w:rFonts w:ascii="Times New Roman" w:hAnsi="Times New Roman" w:cs="Times New Roman"/>
          <w:noProof/>
          <w:lang w:val="en-IE"/>
        </w:rPr>
        <w:t xml:space="preserve"> may not be required to present themselves to the </w:t>
      </w:r>
      <w:r w:rsidRPr="00532C20">
        <w:rPr>
          <w:rFonts w:ascii="Times New Roman" w:hAnsi="Times New Roman" w:cs="Times New Roman"/>
          <w:noProof/>
          <w:lang w:val="en-IE"/>
        </w:rPr>
        <w:t xml:space="preserve">general </w:t>
      </w:r>
      <w:r w:rsidR="009B635F" w:rsidRPr="00532C20">
        <w:rPr>
          <w:rFonts w:ascii="Times New Roman" w:hAnsi="Times New Roman" w:cs="Times New Roman"/>
          <w:noProof/>
          <w:lang w:val="en-IE"/>
        </w:rPr>
        <w:t>public in a manner</w:t>
      </w:r>
      <w:r w:rsidR="00551F8C" w:rsidRPr="00532C20">
        <w:rPr>
          <w:rFonts w:ascii="Times New Roman" w:hAnsi="Times New Roman" w:cs="Times New Roman"/>
          <w:noProof/>
          <w:lang w:val="en-IE"/>
        </w:rPr>
        <w:t xml:space="preserve"> liable to stigmatise them</w:t>
      </w:r>
      <w:r w:rsidR="009B635F" w:rsidRPr="00532C20">
        <w:rPr>
          <w:rStyle w:val="FootnoteReference"/>
          <w:rFonts w:ascii="Times New Roman" w:hAnsi="Times New Roman" w:cs="Times New Roman"/>
          <w:noProof/>
          <w:lang w:val="en-IE"/>
        </w:rPr>
        <w:footnoteReference w:id="193"/>
      </w:r>
      <w:r w:rsidR="009B635F" w:rsidRPr="00532C20">
        <w:rPr>
          <w:rFonts w:ascii="Times New Roman" w:hAnsi="Times New Roman" w:cs="Times New Roman"/>
          <w:noProof/>
          <w:lang w:val="en-IE"/>
        </w:rPr>
        <w:t xml:space="preserve">. </w:t>
      </w:r>
    </w:p>
    <w:p w14:paraId="7EBA7581" w14:textId="77777777" w:rsidR="00010D3D" w:rsidRPr="00532C20" w:rsidRDefault="00B233F7" w:rsidP="007F3C6C">
      <w:pPr>
        <w:pStyle w:val="Text2"/>
        <w:spacing w:after="120"/>
        <w:ind w:left="0"/>
        <w:rPr>
          <w:rFonts w:ascii="Times New Roman" w:hAnsi="Times New Roman" w:cs="Times New Roman"/>
          <w:noProof/>
          <w:lang w:val="en-IE"/>
        </w:rPr>
      </w:pPr>
      <w:r w:rsidRPr="00532C20">
        <w:rPr>
          <w:rFonts w:ascii="Times New Roman" w:hAnsi="Times New Roman" w:cs="Times New Roman"/>
          <w:noProof/>
          <w:lang w:val="en-IE"/>
        </w:rPr>
        <w:t>Additionally, th</w:t>
      </w:r>
      <w:r w:rsidR="00FE4974" w:rsidRPr="00532C20">
        <w:rPr>
          <w:rFonts w:ascii="Times New Roman" w:hAnsi="Times New Roman" w:cs="Times New Roman"/>
          <w:noProof/>
          <w:lang w:val="en-IE"/>
        </w:rPr>
        <w:t xml:space="preserve">e full harmonisation responds to the concerns of CSOs that the legislative instrument could be “misused by Member States in expansive transposition”. This would not be possible as Member States </w:t>
      </w:r>
      <w:r w:rsidR="0022020F" w:rsidRPr="00532C20">
        <w:rPr>
          <w:rFonts w:ascii="Times New Roman" w:hAnsi="Times New Roman" w:cs="Times New Roman"/>
          <w:noProof/>
          <w:lang w:val="en-IE"/>
        </w:rPr>
        <w:t xml:space="preserve">would be prohibited </w:t>
      </w:r>
      <w:r w:rsidR="00DC56EE" w:rsidRPr="00532C20">
        <w:rPr>
          <w:rFonts w:ascii="Times New Roman" w:hAnsi="Times New Roman" w:cs="Times New Roman"/>
          <w:noProof/>
          <w:lang w:val="en-IE"/>
        </w:rPr>
        <w:t xml:space="preserve">from exceeding the limits </w:t>
      </w:r>
      <w:r w:rsidR="00C572EF" w:rsidRPr="00532C20">
        <w:rPr>
          <w:rFonts w:ascii="Times New Roman" w:hAnsi="Times New Roman" w:cs="Times New Roman"/>
          <w:noProof/>
          <w:lang w:val="en-IE"/>
        </w:rPr>
        <w:t>imposed by the legislation and could not lay down more stringent protective measures on the grounds of transparency.</w:t>
      </w:r>
      <w:r w:rsidR="00DC56EE" w:rsidRPr="00532C20">
        <w:rPr>
          <w:rFonts w:ascii="Times New Roman" w:hAnsi="Times New Roman" w:cs="Times New Roman"/>
          <w:noProof/>
          <w:lang w:val="en-IE"/>
        </w:rPr>
        <w:t xml:space="preserve"> </w:t>
      </w:r>
    </w:p>
    <w:p w14:paraId="16BF8833" w14:textId="044D28E4" w:rsidR="00350883" w:rsidRPr="00532C20" w:rsidRDefault="0091531B" w:rsidP="007F3C6C">
      <w:pPr>
        <w:pStyle w:val="Text2"/>
        <w:spacing w:after="120"/>
        <w:ind w:left="0"/>
        <w:rPr>
          <w:rFonts w:ascii="Times New Roman" w:hAnsi="Times New Roman" w:cs="Times New Roman"/>
          <w:noProof/>
          <w:lang w:val="en-IE"/>
        </w:rPr>
      </w:pPr>
      <w:r w:rsidRPr="00532C20">
        <w:rPr>
          <w:rFonts w:ascii="Times New Roman" w:hAnsi="Times New Roman" w:cs="Times New Roman"/>
          <w:noProof/>
          <w:lang w:val="en-IE"/>
        </w:rPr>
        <w:t>Furthermore, the reporting obligations would be fully harmonised. The reports available to the public would present the amounts in an aggregated data and per type of entity registered (i.e., no amounts spent by specific entities would be provided). When it comes to the information available in the registers, the ranges in which the amounts should be public would be fully harm</w:t>
      </w:r>
      <w:r w:rsidR="008E09C9" w:rsidRPr="00532C20">
        <w:rPr>
          <w:rFonts w:ascii="Times New Roman" w:hAnsi="Times New Roman" w:cs="Times New Roman"/>
          <w:noProof/>
          <w:lang w:val="en-IE"/>
        </w:rPr>
        <w:t>o</w:t>
      </w:r>
      <w:r w:rsidRPr="00532C20">
        <w:rPr>
          <w:rFonts w:ascii="Times New Roman" w:hAnsi="Times New Roman" w:cs="Times New Roman"/>
          <w:noProof/>
          <w:lang w:val="en-IE"/>
        </w:rPr>
        <w:t>nised</w:t>
      </w:r>
      <w:r w:rsidR="008E09C9" w:rsidRPr="00532C20">
        <w:rPr>
          <w:rFonts w:ascii="Times New Roman" w:hAnsi="Times New Roman" w:cs="Times New Roman"/>
          <w:noProof/>
          <w:lang w:val="en-IE"/>
        </w:rPr>
        <w:t>.</w:t>
      </w:r>
    </w:p>
    <w:p w14:paraId="1DDC3837" w14:textId="22A2E84D" w:rsidR="00AC02BF" w:rsidRPr="00532C20" w:rsidRDefault="00962647" w:rsidP="007F3C6C">
      <w:pPr>
        <w:pStyle w:val="Text2"/>
        <w:spacing w:after="120"/>
        <w:ind w:left="0"/>
        <w:rPr>
          <w:rFonts w:ascii="Times New Roman" w:hAnsi="Times New Roman" w:cs="Times New Roman"/>
          <w:noProof/>
          <w:lang w:val="en-IE"/>
        </w:rPr>
      </w:pPr>
      <w:r w:rsidRPr="00532C20">
        <w:rPr>
          <w:rFonts w:ascii="Times New Roman" w:hAnsi="Times New Roman" w:cs="Times New Roman"/>
          <w:noProof/>
          <w:lang w:val="en-IE"/>
        </w:rPr>
        <w:t xml:space="preserve">The legislative policy options </w:t>
      </w:r>
      <w:r w:rsidR="00C05EDA" w:rsidRPr="00532C20">
        <w:rPr>
          <w:rFonts w:ascii="Times New Roman" w:hAnsi="Times New Roman" w:cs="Times New Roman"/>
          <w:noProof/>
          <w:lang w:val="en-IE"/>
        </w:rPr>
        <w:t>(</w:t>
      </w:r>
      <w:r w:rsidR="00C05EDA" w:rsidRPr="00313F32">
        <w:rPr>
          <w:rFonts w:ascii="Times New Roman" w:hAnsi="Times New Roman" w:cs="Times New Roman"/>
          <w:noProof/>
          <w:u w:val="single"/>
          <w:lang w:val="en-IE"/>
        </w:rPr>
        <w:t>PO2.1</w:t>
      </w:r>
      <w:r w:rsidR="00C05EDA" w:rsidRPr="00532C20">
        <w:rPr>
          <w:rFonts w:ascii="Times New Roman" w:hAnsi="Times New Roman" w:cs="Times New Roman"/>
          <w:noProof/>
          <w:lang w:val="en-IE"/>
        </w:rPr>
        <w:t xml:space="preserve"> and </w:t>
      </w:r>
      <w:r w:rsidR="00C05EDA" w:rsidRPr="00313F32">
        <w:rPr>
          <w:rFonts w:ascii="Times New Roman" w:hAnsi="Times New Roman" w:cs="Times New Roman"/>
          <w:noProof/>
          <w:u w:val="single"/>
          <w:lang w:val="en-IE"/>
        </w:rPr>
        <w:t>PO2.2</w:t>
      </w:r>
      <w:r w:rsidR="00C05EDA" w:rsidRPr="00532C20">
        <w:rPr>
          <w:rFonts w:ascii="Times New Roman" w:hAnsi="Times New Roman" w:cs="Times New Roman"/>
          <w:noProof/>
          <w:lang w:val="en-IE"/>
        </w:rPr>
        <w:t xml:space="preserve">) </w:t>
      </w:r>
      <w:r w:rsidRPr="00532C20">
        <w:rPr>
          <w:rFonts w:ascii="Times New Roman" w:hAnsi="Times New Roman" w:cs="Times New Roman"/>
          <w:noProof/>
          <w:lang w:val="en-IE"/>
        </w:rPr>
        <w:t>also include</w:t>
      </w:r>
      <w:r w:rsidR="00E133A0" w:rsidRPr="00532C20">
        <w:rPr>
          <w:rFonts w:ascii="Times New Roman" w:hAnsi="Times New Roman" w:cs="Times New Roman"/>
          <w:noProof/>
          <w:lang w:val="en-IE"/>
        </w:rPr>
        <w:t xml:space="preserve"> proportionate sanctions and</w:t>
      </w:r>
      <w:r w:rsidRPr="00532C20">
        <w:rPr>
          <w:rFonts w:ascii="Times New Roman" w:hAnsi="Times New Roman" w:cs="Times New Roman"/>
          <w:noProof/>
          <w:lang w:val="en-IE"/>
        </w:rPr>
        <w:t xml:space="preserve"> a comprehensive system of </w:t>
      </w:r>
      <w:r w:rsidRPr="00532C20">
        <w:rPr>
          <w:rFonts w:ascii="Times New Roman" w:hAnsi="Times New Roman" w:cs="Times New Roman"/>
          <w:b/>
          <w:noProof/>
          <w:lang w:val="en-IE"/>
        </w:rPr>
        <w:t>safeguards</w:t>
      </w:r>
      <w:r w:rsidRPr="00532C20">
        <w:rPr>
          <w:rFonts w:ascii="Times New Roman" w:hAnsi="Times New Roman" w:cs="Times New Roman"/>
          <w:noProof/>
          <w:lang w:val="en-IE"/>
        </w:rPr>
        <w:t>, including effective judicial review</w:t>
      </w:r>
      <w:r w:rsidR="00006DA8" w:rsidRPr="00532C20">
        <w:rPr>
          <w:rStyle w:val="FootnoteReference"/>
          <w:rFonts w:ascii="Times New Roman" w:hAnsi="Times New Roman" w:cs="Times New Roman"/>
          <w:noProof/>
          <w:lang w:val="en-IE"/>
        </w:rPr>
        <w:footnoteReference w:id="194"/>
      </w:r>
      <w:r w:rsidRPr="00532C20">
        <w:rPr>
          <w:rFonts w:ascii="Times New Roman" w:hAnsi="Times New Roman" w:cs="Times New Roman"/>
          <w:noProof/>
          <w:lang w:val="en-IE"/>
        </w:rPr>
        <w:t>. The</w:t>
      </w:r>
      <w:r w:rsidR="00E133A0" w:rsidRPr="00532C20">
        <w:rPr>
          <w:rFonts w:ascii="Times New Roman" w:hAnsi="Times New Roman" w:cs="Times New Roman"/>
          <w:noProof/>
          <w:lang w:val="en-IE"/>
        </w:rPr>
        <w:t>se</w:t>
      </w:r>
      <w:r w:rsidRPr="00532C20">
        <w:rPr>
          <w:rFonts w:ascii="Times New Roman" w:hAnsi="Times New Roman" w:cs="Times New Roman"/>
          <w:noProof/>
          <w:lang w:val="en-IE"/>
        </w:rPr>
        <w:t xml:space="preserve"> </w:t>
      </w:r>
      <w:r w:rsidR="00006DA8" w:rsidRPr="00532C20">
        <w:rPr>
          <w:rFonts w:ascii="Times New Roman" w:hAnsi="Times New Roman" w:cs="Times New Roman"/>
          <w:noProof/>
          <w:lang w:val="en-IE"/>
        </w:rPr>
        <w:t>options</w:t>
      </w:r>
      <w:r w:rsidRPr="00532C20">
        <w:rPr>
          <w:rFonts w:ascii="Times New Roman" w:hAnsi="Times New Roman" w:cs="Times New Roman"/>
          <w:noProof/>
          <w:lang w:val="en-IE"/>
        </w:rPr>
        <w:t xml:space="preserve"> would ensure that CSOs and other associations would not be exposed to the threat of criminal penalties or dissolution. </w:t>
      </w:r>
    </w:p>
    <w:p w14:paraId="18B6A1FC" w14:textId="77777777" w:rsidR="00C05EDA" w:rsidRPr="00532C20" w:rsidRDefault="00714F69" w:rsidP="00582553">
      <w:pPr>
        <w:keepNext/>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noProof/>
          <w:lang w:val="en-IE"/>
        </w:rPr>
      </w:pPr>
      <w:r w:rsidRPr="00532C20">
        <w:rPr>
          <w:rFonts w:ascii="Times New Roman" w:eastAsia="Times New Roman" w:hAnsi="Times New Roman" w:cs="Times New Roman"/>
          <w:b/>
          <w:noProof/>
          <w:lang w:val="en-IE"/>
        </w:rPr>
        <w:t>Stakeholder views:</w:t>
      </w:r>
      <w:r w:rsidR="00C05EDA" w:rsidRPr="00532C20">
        <w:rPr>
          <w:rFonts w:ascii="Times New Roman" w:eastAsia="Times New Roman" w:hAnsi="Times New Roman" w:cs="Times New Roman"/>
          <w:b/>
          <w:noProof/>
          <w:lang w:val="en-IE"/>
        </w:rPr>
        <w:t xml:space="preserve"> </w:t>
      </w:r>
    </w:p>
    <w:p w14:paraId="6AEB7814" w14:textId="704A9C31" w:rsidR="004D1A19" w:rsidRPr="00532C20" w:rsidRDefault="004D1A19" w:rsidP="00582553">
      <w:pPr>
        <w:keepNext/>
        <w:pBdr>
          <w:top w:val="single" w:sz="4" w:space="1" w:color="auto"/>
          <w:left w:val="single" w:sz="4" w:space="4" w:color="auto"/>
          <w:bottom w:val="single" w:sz="4" w:space="1" w:color="auto"/>
          <w:right w:val="single" w:sz="4" w:space="4" w:color="auto"/>
        </w:pBdr>
        <w:spacing w:line="240" w:lineRule="auto"/>
        <w:jc w:val="both"/>
        <w:rPr>
          <w:rFonts w:ascii="Times New Roman" w:eastAsia="Times New Roman" w:hAnsi="Times New Roman" w:cs="Times New Roman"/>
          <w:b/>
          <w:noProof/>
          <w:lang w:val="en-IE"/>
        </w:rPr>
      </w:pPr>
      <w:r w:rsidRPr="00532C20">
        <w:rPr>
          <w:rFonts w:ascii="Times New Roman" w:hAnsi="Times New Roman" w:cs="Times New Roman"/>
          <w:noProof/>
          <w:szCs w:val="24"/>
          <w:lang w:val="en-IE"/>
        </w:rPr>
        <w:t>1 (out of 11) CSO</w:t>
      </w:r>
      <w:r w:rsidR="00E15746">
        <w:rPr>
          <w:rFonts w:ascii="Times New Roman" w:hAnsi="Times New Roman" w:cs="Times New Roman"/>
          <w:noProof/>
          <w:szCs w:val="24"/>
          <w:lang w:val="en-IE"/>
        </w:rPr>
        <w:t>s</w:t>
      </w:r>
      <w:r w:rsidRPr="00532C20">
        <w:rPr>
          <w:rFonts w:ascii="Times New Roman" w:hAnsi="Times New Roman" w:cs="Times New Roman"/>
          <w:noProof/>
          <w:szCs w:val="24"/>
          <w:lang w:val="en-IE"/>
        </w:rPr>
        <w:t xml:space="preserve"> highlights that “</w:t>
      </w:r>
      <w:r w:rsidRPr="00532C20">
        <w:rPr>
          <w:rFonts w:ascii="Times New Roman" w:hAnsi="Times New Roman" w:cs="Times New Roman"/>
          <w:i/>
          <w:iCs/>
          <w:noProof/>
          <w:szCs w:val="24"/>
          <w:lang w:val="en-IE"/>
        </w:rPr>
        <w:t>registration procedures must be manageable by volunteers and amateurs, since unlike business corporations, CSOs are often staffed by volunteers.”</w:t>
      </w:r>
    </w:p>
    <w:p w14:paraId="0A608BC5" w14:textId="5EB69BA0" w:rsidR="00322C1E" w:rsidRPr="00532C20" w:rsidRDefault="00B741FB" w:rsidP="007F3C6C">
      <w:pPr>
        <w:pStyle w:val="Text2"/>
        <w:spacing w:after="120"/>
        <w:ind w:left="0"/>
        <w:rPr>
          <w:rFonts w:ascii="Times New Roman" w:hAnsi="Times New Roman" w:cs="Times New Roman"/>
          <w:noProof/>
          <w:lang w:val="en-IE"/>
        </w:rPr>
      </w:pPr>
      <w:r w:rsidRPr="00532C20">
        <w:rPr>
          <w:rFonts w:ascii="Times New Roman" w:hAnsi="Times New Roman" w:cs="Times New Roman"/>
          <w:noProof/>
          <w:lang w:val="en-IE"/>
        </w:rPr>
        <w:t xml:space="preserve">The </w:t>
      </w:r>
      <w:r w:rsidRPr="00532C20">
        <w:rPr>
          <w:rFonts w:ascii="Times New Roman" w:hAnsi="Times New Roman" w:cs="Times New Roman"/>
          <w:noProof/>
          <w:u w:val="single"/>
          <w:lang w:val="en-IE"/>
        </w:rPr>
        <w:t>targeted requirements included in PO2.</w:t>
      </w:r>
      <w:r w:rsidR="007A61B3" w:rsidRPr="00532C20">
        <w:rPr>
          <w:rFonts w:ascii="Times New Roman" w:hAnsi="Times New Roman" w:cs="Times New Roman"/>
          <w:noProof/>
          <w:u w:val="single"/>
          <w:lang w:val="en-IE"/>
        </w:rPr>
        <w:t>1</w:t>
      </w:r>
      <w:r w:rsidRPr="00532C20">
        <w:rPr>
          <w:rFonts w:ascii="Times New Roman" w:hAnsi="Times New Roman" w:cs="Times New Roman"/>
          <w:noProof/>
          <w:lang w:val="en-IE"/>
        </w:rPr>
        <w:t xml:space="preserve"> </w:t>
      </w:r>
      <w:r w:rsidR="000911AF" w:rsidRPr="00532C20">
        <w:rPr>
          <w:rFonts w:ascii="Times New Roman" w:hAnsi="Times New Roman" w:cs="Times New Roman"/>
          <w:noProof/>
          <w:lang w:val="en-IE"/>
        </w:rPr>
        <w:t>are</w:t>
      </w:r>
      <w:r w:rsidR="00AC02BF" w:rsidRPr="00532C20">
        <w:rPr>
          <w:rFonts w:ascii="Times New Roman" w:hAnsi="Times New Roman" w:cs="Times New Roman"/>
          <w:noProof/>
          <w:lang w:val="en-IE"/>
        </w:rPr>
        <w:t xml:space="preserve"> </w:t>
      </w:r>
      <w:r w:rsidR="00AC02BF" w:rsidRPr="00532C20">
        <w:rPr>
          <w:rFonts w:ascii="Times New Roman" w:hAnsi="Times New Roman" w:cs="Times New Roman"/>
          <w:b/>
          <w:noProof/>
          <w:lang w:val="en-IE"/>
        </w:rPr>
        <w:t>proportionate</w:t>
      </w:r>
      <w:r w:rsidR="00AC02BF" w:rsidRPr="00532C20">
        <w:rPr>
          <w:rFonts w:ascii="Times New Roman" w:hAnsi="Times New Roman" w:cs="Times New Roman"/>
          <w:noProof/>
          <w:lang w:val="en-IE"/>
        </w:rPr>
        <w:t xml:space="preserve"> and </w:t>
      </w:r>
      <w:r w:rsidR="000911AF" w:rsidRPr="00532C20">
        <w:rPr>
          <w:rFonts w:ascii="Times New Roman" w:hAnsi="Times New Roman" w:cs="Times New Roman"/>
          <w:noProof/>
          <w:lang w:val="en-IE"/>
        </w:rPr>
        <w:t xml:space="preserve">will </w:t>
      </w:r>
      <w:r w:rsidR="00AC02BF" w:rsidRPr="00532C20">
        <w:rPr>
          <w:rFonts w:ascii="Times New Roman" w:hAnsi="Times New Roman" w:cs="Times New Roman"/>
          <w:noProof/>
          <w:lang w:val="en-IE"/>
        </w:rPr>
        <w:t>not overburden concerned entities</w:t>
      </w:r>
      <w:r w:rsidR="00D211C7" w:rsidRPr="00532C20">
        <w:rPr>
          <w:rFonts w:ascii="Times New Roman" w:hAnsi="Times New Roman" w:cs="Times New Roman"/>
          <w:noProof/>
          <w:lang w:val="en-IE"/>
        </w:rPr>
        <w:t>, also not those run b</w:t>
      </w:r>
      <w:r w:rsidR="007312E5" w:rsidRPr="00532C20">
        <w:rPr>
          <w:rFonts w:ascii="Times New Roman" w:hAnsi="Times New Roman" w:cs="Times New Roman"/>
          <w:noProof/>
          <w:lang w:val="en-IE"/>
        </w:rPr>
        <w:t>y smaller teams or by volunteers</w:t>
      </w:r>
      <w:r w:rsidR="00681D85" w:rsidRPr="00532C20">
        <w:rPr>
          <w:rFonts w:ascii="Times New Roman" w:hAnsi="Times New Roman" w:cs="Times New Roman"/>
          <w:noProof/>
          <w:lang w:val="en-IE"/>
        </w:rPr>
        <w:t xml:space="preserve">. </w:t>
      </w:r>
      <w:r w:rsidR="00CA3F90" w:rsidRPr="00532C20">
        <w:rPr>
          <w:rFonts w:ascii="Times New Roman" w:hAnsi="Times New Roman" w:cs="Times New Roman"/>
          <w:noProof/>
          <w:lang w:val="en-IE"/>
        </w:rPr>
        <w:t xml:space="preserve">(i) </w:t>
      </w:r>
      <w:r w:rsidR="00C525FC" w:rsidRPr="00532C20">
        <w:rPr>
          <w:rFonts w:ascii="Times New Roman" w:hAnsi="Times New Roman" w:cs="Times New Roman"/>
          <w:noProof/>
          <w:lang w:val="en-IE"/>
        </w:rPr>
        <w:t>I</w:t>
      </w:r>
      <w:r w:rsidR="00AC02BF" w:rsidRPr="00532C20">
        <w:rPr>
          <w:rFonts w:ascii="Times New Roman" w:hAnsi="Times New Roman" w:cs="Times New Roman"/>
          <w:noProof/>
          <w:lang w:val="en-IE"/>
        </w:rPr>
        <w:t xml:space="preserve">n terms of </w:t>
      </w:r>
      <w:r w:rsidR="00AC02BF" w:rsidRPr="00532C20">
        <w:rPr>
          <w:rFonts w:ascii="Times New Roman" w:hAnsi="Times New Roman" w:cs="Times New Roman"/>
          <w:i/>
          <w:noProof/>
          <w:lang w:val="en-IE"/>
        </w:rPr>
        <w:t>record-keeping</w:t>
      </w:r>
      <w:r w:rsidR="00AC02BF" w:rsidRPr="00532C20">
        <w:rPr>
          <w:rFonts w:ascii="Times New Roman" w:hAnsi="Times New Roman" w:cs="Times New Roman"/>
          <w:noProof/>
          <w:lang w:val="en-IE"/>
        </w:rPr>
        <w:t>, the concerned entities would be required to keep, for a limited period,</w:t>
      </w:r>
      <w:r w:rsidR="00995EE9" w:rsidRPr="00532C20">
        <w:rPr>
          <w:rFonts w:ascii="Times New Roman" w:hAnsi="Times New Roman" w:cs="Times New Roman"/>
          <w:noProof/>
          <w:lang w:val="en-IE"/>
        </w:rPr>
        <w:t xml:space="preserve"> a clearly defined set of</w:t>
      </w:r>
      <w:r w:rsidR="00AC02BF" w:rsidRPr="00532C20">
        <w:rPr>
          <w:rFonts w:ascii="Times New Roman" w:hAnsi="Times New Roman" w:cs="Times New Roman"/>
          <w:noProof/>
          <w:lang w:val="en-IE"/>
        </w:rPr>
        <w:t xml:space="preserve"> information</w:t>
      </w:r>
      <w:r w:rsidR="00995EE9" w:rsidRPr="00532C20">
        <w:rPr>
          <w:rStyle w:val="FootnoteReference"/>
          <w:rFonts w:ascii="Times New Roman" w:hAnsi="Times New Roman" w:cs="Times New Roman"/>
          <w:noProof/>
          <w:lang w:val="en-IE"/>
        </w:rPr>
        <w:footnoteReference w:id="195"/>
      </w:r>
      <w:r w:rsidR="00AC02BF" w:rsidRPr="00532C20">
        <w:rPr>
          <w:rFonts w:ascii="Times New Roman" w:hAnsi="Times New Roman" w:cs="Times New Roman"/>
          <w:noProof/>
          <w:lang w:val="en-IE"/>
        </w:rPr>
        <w:t>.</w:t>
      </w:r>
      <w:r w:rsidR="00AC02BF" w:rsidRPr="00532C20" w:rsidDel="00C525FC">
        <w:rPr>
          <w:rFonts w:ascii="Times New Roman" w:hAnsi="Times New Roman" w:cs="Times New Roman"/>
          <w:noProof/>
          <w:lang w:val="en-IE"/>
        </w:rPr>
        <w:t xml:space="preserve"> </w:t>
      </w:r>
      <w:r w:rsidR="00C525FC" w:rsidRPr="00532C20">
        <w:rPr>
          <w:rFonts w:ascii="Times New Roman" w:hAnsi="Times New Roman" w:cs="Times New Roman"/>
          <w:noProof/>
          <w:lang w:val="en-IE"/>
        </w:rPr>
        <w:t xml:space="preserve">(ii) </w:t>
      </w:r>
      <w:r w:rsidR="00AC02BF" w:rsidRPr="00532C20">
        <w:rPr>
          <w:rFonts w:ascii="Times New Roman" w:hAnsi="Times New Roman" w:cs="Times New Roman"/>
          <w:noProof/>
          <w:lang w:val="en-IE"/>
        </w:rPr>
        <w:t xml:space="preserve">In terms of </w:t>
      </w:r>
      <w:r w:rsidR="00AC02BF" w:rsidRPr="00532C20">
        <w:rPr>
          <w:rFonts w:ascii="Times New Roman" w:hAnsi="Times New Roman" w:cs="Times New Roman"/>
          <w:i/>
          <w:noProof/>
          <w:lang w:val="en-IE"/>
        </w:rPr>
        <w:t>registration</w:t>
      </w:r>
      <w:r w:rsidR="00AC02BF" w:rsidRPr="00532C20">
        <w:rPr>
          <w:rFonts w:ascii="Times New Roman" w:hAnsi="Times New Roman" w:cs="Times New Roman"/>
          <w:noProof/>
          <w:lang w:val="en-IE"/>
        </w:rPr>
        <w:t>, the concerned entities would only be required to provide limited information on themselves, the activities conducted, and the third country entities they conduct the activities for. The registration would include an approximation</w:t>
      </w:r>
      <w:r w:rsidR="00AC02BF" w:rsidRPr="00532C20">
        <w:rPr>
          <w:rFonts w:ascii="Times New Roman" w:hAnsi="Times New Roman" w:cs="Times New Roman"/>
          <w:noProof/>
          <w:vertAlign w:val="superscript"/>
        </w:rPr>
        <w:footnoteReference w:id="196"/>
      </w:r>
      <w:r w:rsidR="00AC02BF" w:rsidRPr="00532C20">
        <w:rPr>
          <w:rFonts w:ascii="Times New Roman" w:hAnsi="Times New Roman" w:cs="Times New Roman"/>
          <w:noProof/>
          <w:lang w:val="en-IE"/>
        </w:rPr>
        <w:t xml:space="preserve"> of the </w:t>
      </w:r>
      <w:r w:rsidR="003D5AF6" w:rsidRPr="00532C20">
        <w:rPr>
          <w:rFonts w:ascii="Times New Roman" w:hAnsi="Times New Roman" w:cs="Times New Roman"/>
          <w:noProof/>
          <w:lang w:val="en-IE"/>
        </w:rPr>
        <w:t>remuneration</w:t>
      </w:r>
      <w:r w:rsidR="00AC02BF" w:rsidRPr="00532C20">
        <w:rPr>
          <w:rFonts w:ascii="Times New Roman" w:hAnsi="Times New Roman" w:cs="Times New Roman"/>
          <w:noProof/>
          <w:lang w:val="en-IE"/>
        </w:rPr>
        <w:t xml:space="preserve"> received. Only the information necessary for the application and oversight of the </w:t>
      </w:r>
      <w:r w:rsidR="00A26C63" w:rsidRPr="00532C20">
        <w:rPr>
          <w:rFonts w:ascii="Times New Roman" w:hAnsi="Times New Roman" w:cs="Times New Roman"/>
          <w:noProof/>
          <w:lang w:val="en-IE"/>
        </w:rPr>
        <w:t xml:space="preserve">legislative initiative </w:t>
      </w:r>
      <w:r w:rsidR="00AC02BF" w:rsidRPr="00532C20">
        <w:rPr>
          <w:rFonts w:ascii="Times New Roman" w:hAnsi="Times New Roman" w:cs="Times New Roman"/>
          <w:noProof/>
          <w:lang w:val="en-IE"/>
        </w:rPr>
        <w:t xml:space="preserve">would need to be updated regularly. Other information would only need to be updated annually. </w:t>
      </w:r>
      <w:r w:rsidR="00C525FC" w:rsidRPr="00532C20">
        <w:rPr>
          <w:rFonts w:ascii="Times New Roman" w:hAnsi="Times New Roman" w:cs="Times New Roman"/>
          <w:noProof/>
          <w:lang w:val="en-IE"/>
        </w:rPr>
        <w:t xml:space="preserve">(iii) </w:t>
      </w:r>
      <w:r w:rsidR="00AC02BF" w:rsidRPr="00532C20">
        <w:rPr>
          <w:rFonts w:ascii="Times New Roman" w:hAnsi="Times New Roman" w:cs="Times New Roman"/>
          <w:noProof/>
          <w:lang w:val="en-IE"/>
        </w:rPr>
        <w:t xml:space="preserve">Apart from where it is necessary to examine non-compliance with the registration requirements, registered entities can only be </w:t>
      </w:r>
      <w:r w:rsidR="00AC02BF" w:rsidRPr="00532C20">
        <w:rPr>
          <w:rFonts w:ascii="Times New Roman" w:hAnsi="Times New Roman" w:cs="Times New Roman"/>
          <w:i/>
          <w:noProof/>
          <w:lang w:val="en-IE"/>
        </w:rPr>
        <w:t>requested to share their records</w:t>
      </w:r>
      <w:r w:rsidR="00AC02BF" w:rsidRPr="00532C20">
        <w:rPr>
          <w:rFonts w:ascii="Times New Roman" w:hAnsi="Times New Roman" w:cs="Times New Roman"/>
          <w:noProof/>
          <w:lang w:val="en-IE"/>
        </w:rPr>
        <w:t xml:space="preserve"> with the supervisory authority</w:t>
      </w:r>
      <w:r w:rsidR="00A87F15" w:rsidRPr="00532C20">
        <w:rPr>
          <w:rFonts w:ascii="Times New Roman" w:hAnsi="Times New Roman" w:cs="Times New Roman"/>
          <w:noProof/>
          <w:lang w:val="en-IE"/>
        </w:rPr>
        <w:t xml:space="preserve"> a</w:t>
      </w:r>
      <w:r w:rsidR="00322C1E" w:rsidRPr="00532C20">
        <w:rPr>
          <w:rFonts w:ascii="Times New Roman" w:hAnsi="Times New Roman" w:cs="Times New Roman"/>
          <w:noProof/>
          <w:lang w:val="en-IE"/>
        </w:rPr>
        <w:t>s part of a risk-based approach</w:t>
      </w:r>
      <w:r w:rsidR="00AC02BF" w:rsidRPr="00532C20">
        <w:rPr>
          <w:rFonts w:ascii="Times New Roman" w:hAnsi="Times New Roman" w:cs="Times New Roman"/>
          <w:noProof/>
          <w:lang w:val="en-IE"/>
        </w:rPr>
        <w:t xml:space="preserve"> where, based on objective factors, they are particularly likely to have a significant influence on public life and public debate. </w:t>
      </w:r>
      <w:r w:rsidR="00C525FC" w:rsidRPr="00532C20">
        <w:rPr>
          <w:rFonts w:ascii="Times New Roman" w:hAnsi="Times New Roman" w:cs="Times New Roman"/>
          <w:noProof/>
          <w:lang w:val="en-IE"/>
        </w:rPr>
        <w:t xml:space="preserve">(iv) </w:t>
      </w:r>
      <w:r w:rsidR="00322C1E" w:rsidRPr="00532C20">
        <w:rPr>
          <w:rFonts w:ascii="Times New Roman" w:hAnsi="Times New Roman" w:cs="Times New Roman"/>
          <w:noProof/>
          <w:lang w:val="en-IE"/>
        </w:rPr>
        <w:t>As illustrated in section 6.2.1.3 and Annex</w:t>
      </w:r>
      <w:r w:rsidR="00C86924" w:rsidRPr="00532C20">
        <w:rPr>
          <w:rFonts w:ascii="Times New Roman" w:hAnsi="Times New Roman" w:cs="Times New Roman"/>
          <w:noProof/>
          <w:lang w:val="en-IE"/>
        </w:rPr>
        <w:t>es</w:t>
      </w:r>
      <w:r w:rsidR="00322C1E" w:rsidRPr="00532C20">
        <w:rPr>
          <w:rFonts w:ascii="Times New Roman" w:hAnsi="Times New Roman" w:cs="Times New Roman"/>
          <w:noProof/>
          <w:lang w:val="en-IE"/>
        </w:rPr>
        <w:t xml:space="preserve"> 3</w:t>
      </w:r>
      <w:r w:rsidR="00C86924" w:rsidRPr="00532C20">
        <w:rPr>
          <w:rFonts w:ascii="Times New Roman" w:hAnsi="Times New Roman" w:cs="Times New Roman"/>
          <w:noProof/>
          <w:lang w:val="en-IE"/>
        </w:rPr>
        <w:t xml:space="preserve"> and 4</w:t>
      </w:r>
      <w:r w:rsidR="00322C1E" w:rsidRPr="00532C20">
        <w:rPr>
          <w:rFonts w:ascii="Times New Roman" w:hAnsi="Times New Roman" w:cs="Times New Roman"/>
          <w:noProof/>
          <w:lang w:val="en-IE"/>
        </w:rPr>
        <w:t>, the costs for private entities are not likely to render significantly more difficult the action or operations of associations and are limited to what is necessary to ensure transparency.</w:t>
      </w:r>
    </w:p>
    <w:p w14:paraId="501E29BC" w14:textId="7A056ADD" w:rsidR="00185383" w:rsidRPr="00532C20" w:rsidRDefault="00DD43CA" w:rsidP="007F3C6C">
      <w:pPr>
        <w:pStyle w:val="Text2"/>
        <w:spacing w:after="120"/>
        <w:ind w:left="0"/>
        <w:rPr>
          <w:noProof/>
          <w:lang w:val="en-IE"/>
        </w:rPr>
      </w:pPr>
      <w:r w:rsidRPr="00532C20">
        <w:rPr>
          <w:rFonts w:ascii="Times New Roman" w:hAnsi="Times New Roman" w:cs="Times New Roman"/>
          <w:noProof/>
          <w:u w:val="single"/>
          <w:lang w:val="en-IE"/>
        </w:rPr>
        <w:t>The extended requirements included in PO2.</w:t>
      </w:r>
      <w:r w:rsidR="006B79D4" w:rsidRPr="00532C20">
        <w:rPr>
          <w:rFonts w:ascii="Times New Roman" w:hAnsi="Times New Roman" w:cs="Times New Roman"/>
          <w:noProof/>
          <w:u w:val="single"/>
          <w:lang w:val="en-IE"/>
        </w:rPr>
        <w:t>2</w:t>
      </w:r>
      <w:r w:rsidRPr="00532C20">
        <w:rPr>
          <w:rFonts w:ascii="Times New Roman" w:hAnsi="Times New Roman" w:cs="Times New Roman"/>
          <w:noProof/>
          <w:lang w:val="en-IE"/>
        </w:rPr>
        <w:t xml:space="preserve"> </w:t>
      </w:r>
      <w:r w:rsidR="009B635F" w:rsidRPr="00532C20">
        <w:rPr>
          <w:b/>
          <w:bCs/>
          <w:noProof/>
          <w:lang w:val="en-IE"/>
        </w:rPr>
        <w:t xml:space="preserve">impose additional burdens on </w:t>
      </w:r>
      <w:r w:rsidR="00984E8E" w:rsidRPr="00532C20">
        <w:rPr>
          <w:b/>
          <w:bCs/>
          <w:noProof/>
          <w:lang w:val="en-IE"/>
        </w:rPr>
        <w:t>the concerned entities</w:t>
      </w:r>
      <w:r w:rsidR="009B635F" w:rsidRPr="00532C20">
        <w:rPr>
          <w:noProof/>
          <w:lang w:val="en-IE"/>
        </w:rPr>
        <w:t xml:space="preserve"> as compared to </w:t>
      </w:r>
      <w:r w:rsidR="00984E8E" w:rsidRPr="00532C20">
        <w:rPr>
          <w:noProof/>
          <w:lang w:val="en-IE"/>
        </w:rPr>
        <w:t xml:space="preserve">the </w:t>
      </w:r>
      <w:r w:rsidR="00984E8E" w:rsidRPr="00532C20">
        <w:rPr>
          <w:rFonts w:ascii="Times New Roman" w:hAnsi="Times New Roman" w:cs="Times New Roman"/>
          <w:noProof/>
          <w:lang w:val="en-IE"/>
        </w:rPr>
        <w:t xml:space="preserve">targeted requirements included in </w:t>
      </w:r>
      <w:r w:rsidR="00984E8E" w:rsidRPr="00313F32">
        <w:rPr>
          <w:rFonts w:ascii="Times New Roman" w:hAnsi="Times New Roman" w:cs="Times New Roman"/>
          <w:noProof/>
          <w:u w:val="single"/>
          <w:lang w:val="en-IE"/>
        </w:rPr>
        <w:t>PO2.</w:t>
      </w:r>
      <w:r w:rsidR="006B79D4" w:rsidRPr="00313F32">
        <w:rPr>
          <w:rFonts w:ascii="Times New Roman" w:hAnsi="Times New Roman" w:cs="Times New Roman"/>
          <w:noProof/>
          <w:u w:val="single"/>
          <w:lang w:val="en-IE"/>
        </w:rPr>
        <w:t>1</w:t>
      </w:r>
      <w:r w:rsidR="007000C9" w:rsidRPr="00532C20">
        <w:rPr>
          <w:rStyle w:val="FootnoteReference"/>
          <w:rFonts w:ascii="Times New Roman" w:hAnsi="Times New Roman" w:cs="Times New Roman"/>
          <w:noProof/>
          <w:lang w:val="en-IE"/>
        </w:rPr>
        <w:footnoteReference w:id="197"/>
      </w:r>
      <w:r w:rsidR="009B635F" w:rsidRPr="00532C20">
        <w:rPr>
          <w:noProof/>
          <w:lang w:val="en-IE"/>
        </w:rPr>
        <w:t>.</w:t>
      </w:r>
      <w:r w:rsidR="007000C9" w:rsidRPr="00532C20">
        <w:rPr>
          <w:noProof/>
          <w:lang w:val="en-IE"/>
        </w:rPr>
        <w:t xml:space="preserve"> </w:t>
      </w:r>
      <w:r w:rsidR="009B635F" w:rsidRPr="00532C20">
        <w:rPr>
          <w:noProof/>
          <w:lang w:val="en-IE"/>
        </w:rPr>
        <w:t xml:space="preserve">These additional provisions </w:t>
      </w:r>
      <w:r w:rsidR="009B635F" w:rsidRPr="00532C20">
        <w:rPr>
          <w:b/>
          <w:bCs/>
          <w:noProof/>
          <w:lang w:val="en-IE"/>
        </w:rPr>
        <w:t>enhance the restrictions on the right to freedom of association</w:t>
      </w:r>
      <w:r w:rsidR="009B635F" w:rsidRPr="00532C20">
        <w:rPr>
          <w:noProof/>
          <w:lang w:val="en-IE"/>
        </w:rPr>
        <w:t xml:space="preserve">. </w:t>
      </w:r>
      <w:r w:rsidR="00200DE3" w:rsidRPr="00532C20">
        <w:rPr>
          <w:noProof/>
          <w:lang w:val="en-IE"/>
        </w:rPr>
        <w:t xml:space="preserve">Member States would be able to refuse granting a </w:t>
      </w:r>
      <w:r w:rsidR="00A80C89" w:rsidRPr="00532C20">
        <w:rPr>
          <w:noProof/>
          <w:lang w:val="en-IE"/>
        </w:rPr>
        <w:t xml:space="preserve">licence on the ground </w:t>
      </w:r>
      <w:r w:rsidR="00185383" w:rsidRPr="00532C20">
        <w:rPr>
          <w:noProof/>
          <w:lang w:val="en-IE"/>
        </w:rPr>
        <w:t>that the activity is likely to seriously affec</w:t>
      </w:r>
      <w:r w:rsidR="009850F8" w:rsidRPr="00532C20">
        <w:rPr>
          <w:noProof/>
          <w:lang w:val="en-IE"/>
        </w:rPr>
        <w:t>t</w:t>
      </w:r>
      <w:r w:rsidR="00A80C89" w:rsidRPr="00532C20">
        <w:rPr>
          <w:noProof/>
          <w:lang w:val="en-IE"/>
        </w:rPr>
        <w:t xml:space="preserve"> public security. While such measure would be </w:t>
      </w:r>
      <w:r w:rsidR="009850F8" w:rsidRPr="00532C20">
        <w:rPr>
          <w:noProof/>
          <w:lang w:val="en-IE"/>
        </w:rPr>
        <w:t>suitable to address threats to internal and external security</w:t>
      </w:r>
      <w:r w:rsidR="00A80C89" w:rsidRPr="00532C20">
        <w:rPr>
          <w:noProof/>
          <w:lang w:val="en-IE"/>
        </w:rPr>
        <w:t>,</w:t>
      </w:r>
      <w:r w:rsidR="00185383" w:rsidRPr="00532C20">
        <w:rPr>
          <w:noProof/>
          <w:lang w:val="en-IE"/>
        </w:rPr>
        <w:t xml:space="preserve"> </w:t>
      </w:r>
      <w:r w:rsidR="009850F8" w:rsidRPr="00532C20">
        <w:rPr>
          <w:noProof/>
          <w:lang w:val="en-IE"/>
        </w:rPr>
        <w:t xml:space="preserve">it would still </w:t>
      </w:r>
      <w:r w:rsidR="00185383" w:rsidRPr="00532C20">
        <w:rPr>
          <w:noProof/>
          <w:lang w:val="en-IE"/>
        </w:rPr>
        <w:t>plac</w:t>
      </w:r>
      <w:r w:rsidR="009850F8" w:rsidRPr="00532C20">
        <w:rPr>
          <w:noProof/>
          <w:lang w:val="en-IE"/>
        </w:rPr>
        <w:t>e</w:t>
      </w:r>
      <w:r w:rsidR="00185383" w:rsidRPr="00532C20">
        <w:rPr>
          <w:noProof/>
          <w:lang w:val="en-IE"/>
        </w:rPr>
        <w:t xml:space="preserve"> </w:t>
      </w:r>
      <w:r w:rsidR="00185383" w:rsidRPr="00532C20">
        <w:rPr>
          <w:i/>
          <w:iCs/>
          <w:noProof/>
          <w:lang w:val="en-IE"/>
        </w:rPr>
        <w:t>de facto</w:t>
      </w:r>
      <w:r w:rsidR="00185383" w:rsidRPr="00532C20">
        <w:rPr>
          <w:noProof/>
          <w:lang w:val="en-IE"/>
        </w:rPr>
        <w:t xml:space="preserve"> prior authorisation obligations on the mechanisms by which associations use </w:t>
      </w:r>
      <w:r w:rsidR="00E60285" w:rsidRPr="00532C20">
        <w:rPr>
          <w:noProof/>
          <w:lang w:val="en-IE"/>
        </w:rPr>
        <w:t xml:space="preserve">certain </w:t>
      </w:r>
      <w:r w:rsidR="009850F8" w:rsidRPr="00532C20">
        <w:rPr>
          <w:noProof/>
          <w:lang w:val="en-IE"/>
        </w:rPr>
        <w:t>remuneration</w:t>
      </w:r>
      <w:r w:rsidR="00E60285" w:rsidRPr="00532C20">
        <w:rPr>
          <w:noProof/>
          <w:lang w:val="en-IE"/>
        </w:rPr>
        <w:t>s</w:t>
      </w:r>
      <w:r w:rsidR="009850F8" w:rsidRPr="00532C20">
        <w:rPr>
          <w:noProof/>
          <w:lang w:val="en-IE"/>
        </w:rPr>
        <w:t xml:space="preserve"> from third countries</w:t>
      </w:r>
      <w:r w:rsidR="001B36CD" w:rsidRPr="00532C20">
        <w:rPr>
          <w:noProof/>
          <w:lang w:val="en-IE"/>
        </w:rPr>
        <w:t>. Such measures</w:t>
      </w:r>
      <w:r w:rsidR="00FC62BC" w:rsidRPr="00532C20">
        <w:rPr>
          <w:noProof/>
          <w:lang w:val="en-IE"/>
        </w:rPr>
        <w:t xml:space="preserve"> could </w:t>
      </w:r>
      <w:r w:rsidR="0033169B" w:rsidRPr="00532C20">
        <w:rPr>
          <w:noProof/>
          <w:lang w:val="en-IE"/>
        </w:rPr>
        <w:t>have a</w:t>
      </w:r>
      <w:r w:rsidR="00FC62BC" w:rsidRPr="00532C20">
        <w:rPr>
          <w:noProof/>
          <w:lang w:val="en-IE"/>
        </w:rPr>
        <w:t xml:space="preserve"> </w:t>
      </w:r>
      <w:r w:rsidR="001B36CD" w:rsidRPr="00532C20">
        <w:rPr>
          <w:noProof/>
          <w:lang w:val="en-IE"/>
        </w:rPr>
        <w:t>disproportionate</w:t>
      </w:r>
      <w:r w:rsidR="00FC62BC" w:rsidRPr="00532C20">
        <w:rPr>
          <w:noProof/>
          <w:lang w:val="en-IE"/>
        </w:rPr>
        <w:t xml:space="preserve"> </w:t>
      </w:r>
      <w:r w:rsidR="0033169B" w:rsidRPr="00532C20">
        <w:rPr>
          <w:noProof/>
          <w:lang w:val="en-IE"/>
        </w:rPr>
        <w:t>impact</w:t>
      </w:r>
      <w:r w:rsidR="002048E6">
        <w:rPr>
          <w:noProof/>
          <w:lang w:val="en-IE"/>
        </w:rPr>
        <w:t xml:space="preserve"> in</w:t>
      </w:r>
      <w:r w:rsidR="0033169B" w:rsidRPr="00532C20">
        <w:rPr>
          <w:noProof/>
          <w:lang w:val="en-IE"/>
        </w:rPr>
        <w:t xml:space="preserve"> the light </w:t>
      </w:r>
      <w:r w:rsidR="00006E74" w:rsidRPr="00532C20">
        <w:rPr>
          <w:noProof/>
          <w:lang w:val="en-IE"/>
        </w:rPr>
        <w:t>of</w:t>
      </w:r>
      <w:r w:rsidR="0033169B" w:rsidRPr="00532C20">
        <w:rPr>
          <w:noProof/>
          <w:lang w:val="en-IE"/>
        </w:rPr>
        <w:t xml:space="preserve"> </w:t>
      </w:r>
      <w:r w:rsidR="00FC62BC" w:rsidRPr="00532C20">
        <w:rPr>
          <w:noProof/>
          <w:lang w:val="en-IE"/>
        </w:rPr>
        <w:t>the objective that it seeks to achieve</w:t>
      </w:r>
      <w:r w:rsidR="009850F8" w:rsidRPr="00532C20">
        <w:rPr>
          <w:rStyle w:val="FootnoteReference"/>
          <w:noProof/>
          <w:lang w:val="en-IE"/>
        </w:rPr>
        <w:footnoteReference w:id="198"/>
      </w:r>
      <w:r w:rsidR="00185383" w:rsidRPr="00532C20">
        <w:rPr>
          <w:noProof/>
          <w:lang w:val="en-IE"/>
        </w:rPr>
        <w:t>.</w:t>
      </w:r>
      <w:r w:rsidR="007C3D00" w:rsidRPr="00532C20">
        <w:rPr>
          <w:noProof/>
          <w:lang w:val="en-IE"/>
        </w:rPr>
        <w:t xml:space="preserve"> Furthermore,</w:t>
      </w:r>
      <w:r w:rsidR="00541B70" w:rsidRPr="00532C20">
        <w:rPr>
          <w:noProof/>
          <w:lang w:val="en-IE"/>
        </w:rPr>
        <w:t xml:space="preserve"> this system of prior authorisation would give Member State</w:t>
      </w:r>
      <w:r w:rsidR="005F1ABC" w:rsidRPr="00532C20">
        <w:rPr>
          <w:noProof/>
          <w:lang w:val="en-IE"/>
        </w:rPr>
        <w:t>s</w:t>
      </w:r>
      <w:r w:rsidR="00541B70" w:rsidRPr="00532C20">
        <w:rPr>
          <w:noProof/>
          <w:lang w:val="en-IE"/>
        </w:rPr>
        <w:t xml:space="preserve"> a certain leeway which could </w:t>
      </w:r>
      <w:r w:rsidR="008827F7" w:rsidRPr="00532C20">
        <w:rPr>
          <w:noProof/>
          <w:lang w:val="en-IE"/>
        </w:rPr>
        <w:t>create a risk of arbitrariness in the decision</w:t>
      </w:r>
      <w:r w:rsidR="002A7230" w:rsidRPr="00532C20">
        <w:rPr>
          <w:noProof/>
          <w:lang w:val="en-IE"/>
        </w:rPr>
        <w:t>s</w:t>
      </w:r>
      <w:r w:rsidR="008827F7" w:rsidRPr="00532C20">
        <w:rPr>
          <w:noProof/>
          <w:lang w:val="en-IE"/>
        </w:rPr>
        <w:t xml:space="preserve"> to grant said licence</w:t>
      </w:r>
      <w:r w:rsidR="00761703" w:rsidRPr="00532C20">
        <w:rPr>
          <w:noProof/>
          <w:lang w:val="en-IE"/>
        </w:rPr>
        <w:t>.</w:t>
      </w:r>
      <w:r w:rsidR="00436F71" w:rsidRPr="00532C20">
        <w:rPr>
          <w:noProof/>
          <w:lang w:val="en-IE"/>
        </w:rPr>
        <w:t xml:space="preserve"> </w:t>
      </w:r>
      <w:r w:rsidR="00761703" w:rsidRPr="00532C20">
        <w:rPr>
          <w:noProof/>
          <w:lang w:val="en-IE"/>
        </w:rPr>
        <w:t>Finally,</w:t>
      </w:r>
      <w:r w:rsidR="007C3D00" w:rsidRPr="00532C20">
        <w:rPr>
          <w:noProof/>
          <w:lang w:val="en-IE"/>
        </w:rPr>
        <w:t xml:space="preserve"> the fact that a </w:t>
      </w:r>
      <w:r w:rsidR="00D16F8C" w:rsidRPr="00532C20">
        <w:rPr>
          <w:noProof/>
          <w:lang w:val="en-IE"/>
        </w:rPr>
        <w:t>publicly</w:t>
      </w:r>
      <w:r w:rsidR="007C3D00" w:rsidRPr="00532C20">
        <w:rPr>
          <w:noProof/>
          <w:lang w:val="en-IE"/>
        </w:rPr>
        <w:t xml:space="preserve"> available flag would </w:t>
      </w:r>
      <w:r w:rsidR="00D16F8C" w:rsidRPr="00532C20">
        <w:rPr>
          <w:noProof/>
          <w:lang w:val="en-IE"/>
        </w:rPr>
        <w:t>be</w:t>
      </w:r>
      <w:r w:rsidR="007C3D00" w:rsidRPr="00532C20">
        <w:rPr>
          <w:noProof/>
          <w:lang w:val="en-IE"/>
        </w:rPr>
        <w:t xml:space="preserve"> added in the registration of</w:t>
      </w:r>
      <w:r w:rsidR="00D16F8C" w:rsidRPr="00532C20">
        <w:rPr>
          <w:noProof/>
          <w:lang w:val="en-IE"/>
        </w:rPr>
        <w:t xml:space="preserve"> </w:t>
      </w:r>
      <w:r w:rsidR="009D0D24" w:rsidRPr="00532C20">
        <w:rPr>
          <w:noProof/>
          <w:lang w:val="en-IE"/>
        </w:rPr>
        <w:t>the</w:t>
      </w:r>
      <w:r w:rsidR="00D16F8C" w:rsidRPr="00532C20">
        <w:rPr>
          <w:noProof/>
          <w:lang w:val="en-IE"/>
        </w:rPr>
        <w:t xml:space="preserve"> entity who received a </w:t>
      </w:r>
      <w:r w:rsidR="001A78E8" w:rsidRPr="00532C20">
        <w:rPr>
          <w:noProof/>
          <w:lang w:val="en-IE"/>
        </w:rPr>
        <w:t>licence</w:t>
      </w:r>
      <w:r w:rsidR="00D16F8C" w:rsidRPr="00532C20">
        <w:rPr>
          <w:noProof/>
          <w:lang w:val="en-IE"/>
        </w:rPr>
        <w:t xml:space="preserve"> despite comments submitted by a Member State or the Commission, </w:t>
      </w:r>
      <w:r w:rsidR="001A78E8" w:rsidRPr="00532C20">
        <w:rPr>
          <w:noProof/>
          <w:lang w:val="en-IE"/>
        </w:rPr>
        <w:t>c</w:t>
      </w:r>
      <w:r w:rsidR="00D16F8C" w:rsidRPr="00532C20">
        <w:rPr>
          <w:noProof/>
          <w:lang w:val="en-IE"/>
        </w:rPr>
        <w:t>ould lead to stigmatisation of the said entity</w:t>
      </w:r>
      <w:r w:rsidR="00AF2314" w:rsidRPr="00532C20">
        <w:rPr>
          <w:noProof/>
          <w:lang w:val="en-IE"/>
        </w:rPr>
        <w:t>.</w:t>
      </w:r>
    </w:p>
    <w:p w14:paraId="2A1741AC" w14:textId="33BD50DA" w:rsidR="00523D27" w:rsidRPr="00532C20" w:rsidRDefault="00AF2314" w:rsidP="007F3C6C">
      <w:pPr>
        <w:pStyle w:val="Text2"/>
        <w:spacing w:after="120"/>
        <w:ind w:left="0"/>
        <w:rPr>
          <w:noProof/>
          <w:lang w:val="en-IE"/>
        </w:rPr>
      </w:pPr>
      <w:r w:rsidRPr="00532C20">
        <w:rPr>
          <w:rFonts w:ascii="Times New Roman" w:hAnsi="Times New Roman" w:cs="Times New Roman"/>
          <w:noProof/>
          <w:u w:val="single"/>
          <w:lang w:val="en-IE"/>
        </w:rPr>
        <w:t>The non-legislative option (PO1)</w:t>
      </w:r>
      <w:r w:rsidRPr="00532C20">
        <w:rPr>
          <w:rFonts w:ascii="Times New Roman" w:hAnsi="Times New Roman" w:cs="Times New Roman"/>
          <w:noProof/>
          <w:lang w:val="en-IE"/>
        </w:rPr>
        <w:t xml:space="preserve"> would not provide</w:t>
      </w:r>
      <w:r w:rsidR="00E60285" w:rsidRPr="00532C20">
        <w:rPr>
          <w:rFonts w:ascii="Times New Roman" w:hAnsi="Times New Roman" w:cs="Times New Roman"/>
          <w:noProof/>
          <w:lang w:val="en-IE"/>
        </w:rPr>
        <w:t xml:space="preserve"> for the extended requirements of the PO2.</w:t>
      </w:r>
      <w:r w:rsidR="006B79D4" w:rsidRPr="00532C20">
        <w:rPr>
          <w:rFonts w:ascii="Times New Roman" w:hAnsi="Times New Roman" w:cs="Times New Roman"/>
          <w:noProof/>
          <w:lang w:val="en-IE"/>
        </w:rPr>
        <w:t>2</w:t>
      </w:r>
      <w:r w:rsidR="00E60285" w:rsidRPr="00532C20">
        <w:rPr>
          <w:rFonts w:ascii="Times New Roman" w:hAnsi="Times New Roman" w:cs="Times New Roman"/>
          <w:noProof/>
          <w:lang w:val="en-IE"/>
        </w:rPr>
        <w:t xml:space="preserve">. </w:t>
      </w:r>
      <w:r w:rsidR="004551AB" w:rsidRPr="00532C20">
        <w:rPr>
          <w:rFonts w:ascii="Times New Roman" w:hAnsi="Times New Roman" w:cs="Times New Roman"/>
          <w:noProof/>
          <w:lang w:val="en-IE"/>
        </w:rPr>
        <w:t>However,</w:t>
      </w:r>
      <w:r w:rsidR="00E60285" w:rsidRPr="00532C20">
        <w:rPr>
          <w:rFonts w:ascii="Times New Roman" w:hAnsi="Times New Roman" w:cs="Times New Roman"/>
          <w:noProof/>
          <w:lang w:val="en-IE"/>
        </w:rPr>
        <w:t xml:space="preserve"> it would </w:t>
      </w:r>
      <w:r w:rsidRPr="00532C20">
        <w:rPr>
          <w:rFonts w:ascii="Times New Roman" w:hAnsi="Times New Roman" w:cs="Times New Roman"/>
          <w:noProof/>
          <w:lang w:val="en-IE"/>
        </w:rPr>
        <w:t xml:space="preserve">only provide </w:t>
      </w:r>
      <w:r w:rsidR="00610C64" w:rsidRPr="00532C20">
        <w:rPr>
          <w:rFonts w:ascii="Times New Roman" w:hAnsi="Times New Roman" w:cs="Times New Roman"/>
          <w:noProof/>
          <w:lang w:val="en-IE"/>
        </w:rPr>
        <w:t xml:space="preserve">for </w:t>
      </w:r>
      <w:r w:rsidRPr="00532C20">
        <w:rPr>
          <w:rFonts w:ascii="Times New Roman" w:hAnsi="Times New Roman" w:cs="Times New Roman"/>
          <w:noProof/>
          <w:lang w:val="en-IE"/>
        </w:rPr>
        <w:t xml:space="preserve">recommendations, </w:t>
      </w:r>
      <w:r w:rsidRPr="00532C20">
        <w:rPr>
          <w:rFonts w:ascii="Times New Roman" w:hAnsi="Times New Roman" w:cs="Times New Roman"/>
          <w:b/>
          <w:bCs/>
          <w:noProof/>
          <w:lang w:val="en-IE"/>
        </w:rPr>
        <w:t xml:space="preserve">leaving Member States a large room of manoeuvre </w:t>
      </w:r>
      <w:r w:rsidRPr="00532C20">
        <w:rPr>
          <w:rFonts w:ascii="Times New Roman" w:hAnsi="Times New Roman" w:cs="Times New Roman"/>
          <w:noProof/>
          <w:lang w:val="en-IE"/>
        </w:rPr>
        <w:t xml:space="preserve">to implement transparency requirements and would not ensure the implementation of the safeguards provided by the legislative options. </w:t>
      </w:r>
      <w:r w:rsidR="00C75A5F" w:rsidRPr="00532C20">
        <w:rPr>
          <w:rFonts w:ascii="Times New Roman" w:hAnsi="Times New Roman" w:cs="Times New Roman"/>
          <w:noProof/>
          <w:lang w:val="en-IE"/>
        </w:rPr>
        <w:t xml:space="preserve">In the </w:t>
      </w:r>
      <w:r w:rsidR="00B87B25" w:rsidRPr="00532C20">
        <w:rPr>
          <w:rFonts w:ascii="Times New Roman" w:hAnsi="Times New Roman" w:cs="Times New Roman"/>
          <w:noProof/>
          <w:lang w:val="en-IE"/>
        </w:rPr>
        <w:t>questionnaire that was sent to Member States, CSOs, and industry representatives,</w:t>
      </w:r>
      <w:r w:rsidR="00C75A5F" w:rsidRPr="00532C20">
        <w:rPr>
          <w:rFonts w:ascii="Times New Roman" w:hAnsi="Times New Roman" w:cs="Times New Roman"/>
          <w:noProof/>
          <w:lang w:val="en-IE"/>
        </w:rPr>
        <w:t xml:space="preserve"> </w:t>
      </w:r>
      <w:r w:rsidR="006D0C4D" w:rsidRPr="00532C20">
        <w:rPr>
          <w:rFonts w:ascii="Times New Roman" w:hAnsi="Times New Roman" w:cs="Times New Roman"/>
          <w:noProof/>
          <w:lang w:val="en-IE"/>
        </w:rPr>
        <w:t>6</w:t>
      </w:r>
      <w:r w:rsidR="00C75A5F" w:rsidRPr="00532C20">
        <w:rPr>
          <w:rFonts w:ascii="Times New Roman" w:hAnsi="Times New Roman" w:cs="Times New Roman"/>
          <w:noProof/>
          <w:lang w:val="en-IE"/>
        </w:rPr>
        <w:t xml:space="preserve"> </w:t>
      </w:r>
      <w:r w:rsidR="00336A32">
        <w:rPr>
          <w:rFonts w:ascii="Times New Roman" w:hAnsi="Times New Roman" w:cs="Times New Roman"/>
          <w:noProof/>
          <w:lang w:val="en-IE"/>
        </w:rPr>
        <w:t xml:space="preserve">out </w:t>
      </w:r>
      <w:r w:rsidR="00B87B25" w:rsidRPr="00532C20">
        <w:rPr>
          <w:rFonts w:ascii="Times New Roman" w:hAnsi="Times New Roman" w:cs="Times New Roman"/>
          <w:noProof/>
          <w:lang w:val="en-IE"/>
        </w:rPr>
        <w:t xml:space="preserve">of 11 </w:t>
      </w:r>
      <w:r w:rsidR="00C75A5F" w:rsidRPr="00532C20">
        <w:rPr>
          <w:rFonts w:ascii="Times New Roman" w:hAnsi="Times New Roman" w:cs="Times New Roman"/>
          <w:noProof/>
          <w:lang w:val="en-IE"/>
        </w:rPr>
        <w:t>CSOs have expressed concern</w:t>
      </w:r>
      <w:r w:rsidR="001174CD" w:rsidRPr="00532C20">
        <w:rPr>
          <w:rFonts w:ascii="Times New Roman" w:hAnsi="Times New Roman" w:cs="Times New Roman"/>
          <w:noProof/>
          <w:lang w:val="en-IE"/>
        </w:rPr>
        <w:t xml:space="preserve">s </w:t>
      </w:r>
      <w:r w:rsidR="007A4F9F" w:rsidRPr="00532C20">
        <w:rPr>
          <w:rFonts w:ascii="Times New Roman" w:hAnsi="Times New Roman" w:cs="Times New Roman"/>
          <w:noProof/>
          <w:lang w:val="en-IE"/>
        </w:rPr>
        <w:t xml:space="preserve">that such </w:t>
      </w:r>
      <w:r w:rsidR="00DD0BCE" w:rsidRPr="00532C20">
        <w:rPr>
          <w:rFonts w:ascii="Times New Roman" w:hAnsi="Times New Roman" w:cs="Times New Roman"/>
          <w:noProof/>
          <w:lang w:val="en-IE"/>
        </w:rPr>
        <w:t>recommendation</w:t>
      </w:r>
      <w:r w:rsidR="002048E6">
        <w:rPr>
          <w:rFonts w:ascii="Times New Roman" w:hAnsi="Times New Roman" w:cs="Times New Roman"/>
          <w:noProof/>
          <w:lang w:val="en-IE"/>
        </w:rPr>
        <w:t>s</w:t>
      </w:r>
      <w:r w:rsidR="00DD0BCE" w:rsidRPr="00532C20">
        <w:rPr>
          <w:rFonts w:ascii="Times New Roman" w:hAnsi="Times New Roman" w:cs="Times New Roman"/>
          <w:noProof/>
          <w:lang w:val="en-IE"/>
        </w:rPr>
        <w:t xml:space="preserve"> could be misused</w:t>
      </w:r>
      <w:r w:rsidR="00C75B0E" w:rsidRPr="00532C20">
        <w:rPr>
          <w:rFonts w:ascii="Times New Roman" w:hAnsi="Times New Roman" w:cs="Times New Roman"/>
          <w:noProof/>
          <w:lang w:val="en-IE"/>
        </w:rPr>
        <w:t>.</w:t>
      </w:r>
    </w:p>
    <w:p w14:paraId="08E8246E" w14:textId="50A4D9CC" w:rsidR="009B635F" w:rsidRPr="00532C20" w:rsidRDefault="009B635F" w:rsidP="00E415E8">
      <w:pPr>
        <w:pStyle w:val="1111level4section"/>
        <w:spacing w:before="120" w:after="120" w:line="240" w:lineRule="auto"/>
        <w:rPr>
          <w:noProof/>
        </w:rPr>
      </w:pPr>
      <w:bookmarkStart w:id="971" w:name="_Ref147148655"/>
      <w:bookmarkStart w:id="972" w:name="_Toc152864704"/>
      <w:r w:rsidRPr="00532C20">
        <w:rPr>
          <w:noProof/>
        </w:rPr>
        <w:t>Freedom of the arts and sciences</w:t>
      </w:r>
      <w:bookmarkEnd w:id="971"/>
      <w:bookmarkEnd w:id="972"/>
      <w:r w:rsidR="00BC2CFD" w:rsidRPr="00532C20">
        <w:rPr>
          <w:noProof/>
        </w:rPr>
        <w:t xml:space="preserve"> </w:t>
      </w:r>
    </w:p>
    <w:p w14:paraId="64C1DBC2" w14:textId="437E0223" w:rsidR="009362DD" w:rsidRPr="00532C20" w:rsidRDefault="009B635F" w:rsidP="00E415E8">
      <w:pPr>
        <w:tabs>
          <w:tab w:val="left" w:pos="2302"/>
        </w:tabs>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The freedom of the arts and sciences is guaranteed under Article 13 of the Charter. </w:t>
      </w:r>
      <w:r w:rsidR="00AE1D83" w:rsidRPr="00532C20">
        <w:rPr>
          <w:rFonts w:ascii="Times New Roman" w:eastAsia="Times" w:hAnsi="Times New Roman" w:cs="Times New Roman"/>
          <w:noProof/>
          <w:sz w:val="24"/>
          <w:szCs w:val="24"/>
          <w:lang w:val="en-IE"/>
        </w:rPr>
        <w:t>Among other</w:t>
      </w:r>
      <w:r w:rsidR="00AE1D83" w:rsidRPr="00532C20">
        <w:rPr>
          <w:rStyle w:val="FootnoteReference"/>
          <w:rFonts w:ascii="Times New Roman" w:eastAsia="Times" w:hAnsi="Times New Roman" w:cs="Times New Roman"/>
          <w:noProof/>
          <w:sz w:val="24"/>
          <w:szCs w:val="24"/>
          <w:lang w:val="en-IE"/>
        </w:rPr>
        <w:footnoteReference w:id="199"/>
      </w:r>
      <w:r w:rsidR="00AE1D83" w:rsidRPr="00532C20">
        <w:rPr>
          <w:rFonts w:ascii="Times New Roman" w:eastAsia="Times" w:hAnsi="Times New Roman" w:cs="Times New Roman"/>
          <w:noProof/>
          <w:sz w:val="24"/>
          <w:szCs w:val="24"/>
          <w:lang w:val="en-IE"/>
        </w:rPr>
        <w:t xml:space="preserve">, </w:t>
      </w:r>
      <w:r w:rsidR="009362DD" w:rsidRPr="00532C20">
        <w:rPr>
          <w:rFonts w:ascii="Times New Roman" w:eastAsia="Times" w:hAnsi="Times New Roman" w:cs="Times New Roman"/>
          <w:noProof/>
          <w:sz w:val="24"/>
          <w:szCs w:val="24"/>
          <w:lang w:val="en-IE"/>
        </w:rPr>
        <w:t>Article 13 of the Charter protects</w:t>
      </w:r>
      <w:r w:rsidRPr="00532C20">
        <w:rPr>
          <w:rFonts w:ascii="Times New Roman" w:eastAsia="Times" w:hAnsi="Times New Roman" w:cs="Times New Roman"/>
          <w:noProof/>
          <w:sz w:val="24"/>
          <w:szCs w:val="24"/>
          <w:lang w:val="en-IE"/>
        </w:rPr>
        <w:t xml:space="preserve"> the freedom of researchers to express their opinion without being disadvantaged by the institution or system in which they work or by governmental or institutional censorship. </w:t>
      </w:r>
    </w:p>
    <w:p w14:paraId="40EA35B0" w14:textId="00D38E12" w:rsidR="00856968" w:rsidRPr="00532C20" w:rsidRDefault="00856968" w:rsidP="00E415E8">
      <w:pPr>
        <w:tabs>
          <w:tab w:val="left" w:pos="2302"/>
        </w:tabs>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In the recent decades, research</w:t>
      </w:r>
      <w:r w:rsidR="00B8019F" w:rsidRPr="00532C20">
        <w:rPr>
          <w:rFonts w:ascii="Times New Roman" w:eastAsia="Times" w:hAnsi="Times New Roman" w:cs="Times New Roman"/>
          <w:noProof/>
          <w:sz w:val="24"/>
          <w:szCs w:val="24"/>
          <w:lang w:val="en-IE"/>
        </w:rPr>
        <w:t>,</w:t>
      </w:r>
      <w:r w:rsidRPr="00532C20">
        <w:rPr>
          <w:rFonts w:ascii="Times New Roman" w:eastAsia="Times" w:hAnsi="Times New Roman" w:cs="Times New Roman"/>
          <w:noProof/>
          <w:sz w:val="24"/>
          <w:szCs w:val="24"/>
          <w:lang w:val="en-IE"/>
        </w:rPr>
        <w:t xml:space="preserve"> innovation </w:t>
      </w:r>
      <w:r w:rsidR="00B8019F" w:rsidRPr="00532C20">
        <w:rPr>
          <w:rFonts w:ascii="Times New Roman" w:eastAsia="Times" w:hAnsi="Times New Roman" w:cs="Times New Roman"/>
          <w:noProof/>
          <w:sz w:val="24"/>
          <w:szCs w:val="24"/>
          <w:lang w:val="en-IE"/>
        </w:rPr>
        <w:t xml:space="preserve">and higher education </w:t>
      </w:r>
      <w:r w:rsidRPr="00532C20">
        <w:rPr>
          <w:rFonts w:ascii="Times New Roman" w:eastAsia="Times" w:hAnsi="Times New Roman" w:cs="Times New Roman"/>
          <w:noProof/>
          <w:sz w:val="24"/>
          <w:szCs w:val="24"/>
          <w:lang w:val="en-IE"/>
        </w:rPr>
        <w:t>have increasingly expanded beyond national borders to become fully internationalised</w:t>
      </w:r>
      <w:r w:rsidR="0078315C" w:rsidRPr="00532C20">
        <w:rPr>
          <w:rFonts w:ascii="Times New Roman" w:eastAsia="Times" w:hAnsi="Times New Roman" w:cs="Times New Roman"/>
          <w:noProof/>
          <w:sz w:val="24"/>
          <w:szCs w:val="24"/>
          <w:lang w:val="en-IE"/>
        </w:rPr>
        <w:t>.</w:t>
      </w:r>
      <w:r w:rsidRPr="00532C20">
        <w:rPr>
          <w:rFonts w:ascii="Times New Roman" w:eastAsia="Times" w:hAnsi="Times New Roman" w:cs="Times New Roman"/>
          <w:noProof/>
          <w:sz w:val="24"/>
          <w:szCs w:val="24"/>
          <w:lang w:val="en-IE"/>
        </w:rPr>
        <w:t xml:space="preserve"> </w:t>
      </w:r>
      <w:r w:rsidR="009B4FD5" w:rsidRPr="00532C20">
        <w:rPr>
          <w:rFonts w:ascii="Times New Roman" w:eastAsia="Times" w:hAnsi="Times New Roman" w:cs="Times New Roman"/>
          <w:noProof/>
          <w:sz w:val="24"/>
          <w:szCs w:val="24"/>
          <w:lang w:val="en-IE"/>
        </w:rPr>
        <w:t>While generally a welcome development, t</w:t>
      </w:r>
      <w:r w:rsidR="0078315C" w:rsidRPr="00532C20">
        <w:rPr>
          <w:rFonts w:ascii="Times New Roman" w:eastAsia="Times" w:hAnsi="Times New Roman" w:cs="Times New Roman"/>
          <w:noProof/>
          <w:sz w:val="24"/>
          <w:szCs w:val="24"/>
          <w:lang w:val="en-IE"/>
        </w:rPr>
        <w:t>his</w:t>
      </w:r>
      <w:r w:rsidRPr="00532C20">
        <w:rPr>
          <w:rFonts w:ascii="Times New Roman" w:eastAsia="Times" w:hAnsi="Times New Roman" w:cs="Times New Roman"/>
          <w:noProof/>
          <w:sz w:val="24"/>
          <w:szCs w:val="24"/>
          <w:lang w:val="en-IE"/>
        </w:rPr>
        <w:t xml:space="preserve"> </w:t>
      </w:r>
      <w:r w:rsidR="009B4FD5" w:rsidRPr="00532C20">
        <w:rPr>
          <w:rFonts w:ascii="Times New Roman" w:eastAsia="Times" w:hAnsi="Times New Roman" w:cs="Times New Roman"/>
          <w:noProof/>
          <w:sz w:val="24"/>
          <w:szCs w:val="24"/>
          <w:lang w:val="en-IE"/>
        </w:rPr>
        <w:t xml:space="preserve">also </w:t>
      </w:r>
      <w:r w:rsidR="00AE58E7" w:rsidRPr="00532C20">
        <w:rPr>
          <w:rFonts w:ascii="Times New Roman" w:eastAsia="Times" w:hAnsi="Times New Roman" w:cs="Times New Roman"/>
          <w:noProof/>
          <w:sz w:val="24"/>
          <w:szCs w:val="24"/>
          <w:lang w:val="en-IE"/>
        </w:rPr>
        <w:t>creates</w:t>
      </w:r>
      <w:r w:rsidRPr="00532C20">
        <w:rPr>
          <w:rFonts w:ascii="Times New Roman" w:eastAsia="Times" w:hAnsi="Times New Roman" w:cs="Times New Roman"/>
          <w:noProof/>
          <w:sz w:val="24"/>
          <w:szCs w:val="24"/>
          <w:lang w:val="en-IE"/>
        </w:rPr>
        <w:t xml:space="preserve"> </w:t>
      </w:r>
      <w:r w:rsidR="0078315C" w:rsidRPr="00532C20">
        <w:rPr>
          <w:rFonts w:ascii="Times New Roman" w:eastAsia="Times" w:hAnsi="Times New Roman" w:cs="Times New Roman"/>
          <w:noProof/>
          <w:sz w:val="24"/>
          <w:szCs w:val="24"/>
          <w:lang w:val="en-IE"/>
        </w:rPr>
        <w:t>challenges as</w:t>
      </w:r>
      <w:r w:rsidR="00E36ED1" w:rsidRPr="00532C20">
        <w:rPr>
          <w:rFonts w:ascii="Times New Roman" w:eastAsia="Times" w:hAnsi="Times New Roman" w:cs="Times New Roman"/>
          <w:noProof/>
          <w:sz w:val="24"/>
          <w:szCs w:val="24"/>
          <w:lang w:val="en-IE"/>
        </w:rPr>
        <w:t xml:space="preserve"> </w:t>
      </w:r>
      <w:r w:rsidR="0078315C" w:rsidRPr="00532C20">
        <w:rPr>
          <w:rFonts w:ascii="Times New Roman" w:eastAsia="Times" w:hAnsi="Times New Roman" w:cs="Times New Roman"/>
          <w:noProof/>
          <w:sz w:val="24"/>
          <w:szCs w:val="24"/>
          <w:lang w:val="en-IE"/>
        </w:rPr>
        <w:t xml:space="preserve">some </w:t>
      </w:r>
      <w:r w:rsidR="00E36ED1" w:rsidRPr="00532C20">
        <w:rPr>
          <w:rFonts w:ascii="Times New Roman" w:eastAsia="Times" w:hAnsi="Times New Roman" w:cs="Times New Roman"/>
          <w:noProof/>
          <w:sz w:val="24"/>
          <w:szCs w:val="24"/>
          <w:lang w:val="en-IE"/>
        </w:rPr>
        <w:t xml:space="preserve">third countries may seek to </w:t>
      </w:r>
      <w:r w:rsidR="00E55BB0" w:rsidRPr="00532C20">
        <w:rPr>
          <w:rFonts w:ascii="Times New Roman" w:eastAsia="Times" w:hAnsi="Times New Roman" w:cs="Times New Roman"/>
          <w:noProof/>
          <w:sz w:val="24"/>
          <w:szCs w:val="24"/>
          <w:lang w:val="en-IE"/>
        </w:rPr>
        <w:t>influence</w:t>
      </w:r>
      <w:r w:rsidR="00E36ED1" w:rsidRPr="00532C20">
        <w:rPr>
          <w:rFonts w:ascii="Times New Roman" w:eastAsia="Times" w:hAnsi="Times New Roman" w:cs="Times New Roman"/>
          <w:noProof/>
          <w:sz w:val="24"/>
          <w:szCs w:val="24"/>
          <w:lang w:val="en-IE"/>
        </w:rPr>
        <w:t xml:space="preserve"> scientific research </w:t>
      </w:r>
      <w:r w:rsidR="00B8019F" w:rsidRPr="00532C20">
        <w:rPr>
          <w:rFonts w:ascii="Times New Roman" w:eastAsia="Times" w:hAnsi="Times New Roman" w:cs="Times New Roman"/>
          <w:noProof/>
          <w:sz w:val="24"/>
          <w:szCs w:val="24"/>
          <w:lang w:val="en-IE"/>
        </w:rPr>
        <w:t xml:space="preserve">or </w:t>
      </w:r>
      <w:r w:rsidR="00B05584" w:rsidRPr="00532C20">
        <w:rPr>
          <w:rFonts w:ascii="Times New Roman" w:eastAsia="Times" w:hAnsi="Times New Roman" w:cs="Times New Roman"/>
          <w:noProof/>
          <w:sz w:val="24"/>
          <w:szCs w:val="24"/>
          <w:lang w:val="en-IE"/>
        </w:rPr>
        <w:t xml:space="preserve">shape </w:t>
      </w:r>
      <w:r w:rsidR="00B8019F" w:rsidRPr="00532C20">
        <w:rPr>
          <w:rFonts w:ascii="Times New Roman" w:eastAsia="Times" w:hAnsi="Times New Roman" w:cs="Times New Roman"/>
          <w:noProof/>
          <w:sz w:val="24"/>
          <w:szCs w:val="24"/>
          <w:lang w:val="en-IE"/>
        </w:rPr>
        <w:t>educational activities</w:t>
      </w:r>
      <w:r w:rsidR="00E36ED1" w:rsidRPr="00532C20">
        <w:rPr>
          <w:rFonts w:ascii="Times New Roman" w:eastAsia="Times" w:hAnsi="Times New Roman" w:cs="Times New Roman"/>
          <w:noProof/>
          <w:sz w:val="24"/>
          <w:szCs w:val="24"/>
          <w:lang w:val="en-IE"/>
        </w:rPr>
        <w:t xml:space="preserve"> to further their own goals and influence decision</w:t>
      </w:r>
      <w:r w:rsidR="007F0FA3">
        <w:rPr>
          <w:rFonts w:ascii="Times New Roman" w:eastAsia="Times" w:hAnsi="Times New Roman" w:cs="Times New Roman"/>
          <w:noProof/>
          <w:sz w:val="24"/>
          <w:szCs w:val="24"/>
          <w:lang w:val="en-IE"/>
        </w:rPr>
        <w:t>-</w:t>
      </w:r>
      <w:r w:rsidR="00E36ED1" w:rsidRPr="00532C20">
        <w:rPr>
          <w:rFonts w:ascii="Times New Roman" w:eastAsia="Times" w:hAnsi="Times New Roman" w:cs="Times New Roman"/>
          <w:noProof/>
          <w:sz w:val="24"/>
          <w:szCs w:val="24"/>
          <w:lang w:val="en-IE"/>
        </w:rPr>
        <w:t>making in the EU.</w:t>
      </w:r>
      <w:bookmarkStart w:id="973" w:name="_Ref147842501"/>
      <w:r w:rsidR="00E36ED1" w:rsidRPr="00532C20">
        <w:rPr>
          <w:rStyle w:val="FootnoteReference"/>
          <w:rFonts w:ascii="Times New Roman" w:eastAsia="Times" w:hAnsi="Times New Roman" w:cs="Times New Roman"/>
          <w:noProof/>
          <w:sz w:val="24"/>
          <w:szCs w:val="24"/>
          <w:lang w:val="en-IE"/>
        </w:rPr>
        <w:footnoteReference w:id="200"/>
      </w:r>
      <w:bookmarkEnd w:id="973"/>
      <w:r w:rsidR="009D6083" w:rsidRPr="00532C20">
        <w:rPr>
          <w:rFonts w:ascii="Times New Roman" w:eastAsia="Times" w:hAnsi="Times New Roman" w:cs="Times New Roman"/>
          <w:noProof/>
          <w:sz w:val="24"/>
          <w:szCs w:val="24"/>
          <w:lang w:val="en-IE"/>
        </w:rPr>
        <w:t xml:space="preserve"> By ensuring the transparency of interest representation activities carried out on behalf of third countries </w:t>
      </w:r>
      <w:r w:rsidR="008F2020" w:rsidRPr="00532C20">
        <w:rPr>
          <w:rFonts w:ascii="Times New Roman" w:eastAsia="Times" w:hAnsi="Times New Roman" w:cs="Times New Roman"/>
          <w:noProof/>
          <w:sz w:val="24"/>
          <w:szCs w:val="24"/>
          <w:lang w:val="en-IE"/>
        </w:rPr>
        <w:t xml:space="preserve">via </w:t>
      </w:r>
      <w:r w:rsidR="009D6083" w:rsidRPr="00532C20">
        <w:rPr>
          <w:rFonts w:ascii="Times New Roman" w:eastAsia="Times" w:hAnsi="Times New Roman" w:cs="Times New Roman"/>
          <w:noProof/>
          <w:sz w:val="24"/>
          <w:szCs w:val="24"/>
          <w:lang w:val="en-IE"/>
        </w:rPr>
        <w:t>education, research and academic institutions</w:t>
      </w:r>
      <w:r w:rsidR="00B20808">
        <w:rPr>
          <w:rFonts w:ascii="Times New Roman" w:eastAsia="Times" w:hAnsi="Times New Roman" w:cs="Times New Roman"/>
          <w:noProof/>
          <w:sz w:val="24"/>
          <w:szCs w:val="24"/>
          <w:lang w:val="en-IE"/>
        </w:rPr>
        <w:t>,</w:t>
      </w:r>
      <w:r w:rsidR="009D6083" w:rsidRPr="00532C20">
        <w:rPr>
          <w:rFonts w:ascii="Times New Roman" w:eastAsia="Times" w:hAnsi="Times New Roman" w:cs="Times New Roman"/>
          <w:noProof/>
          <w:sz w:val="24"/>
          <w:szCs w:val="24"/>
          <w:lang w:val="en-IE"/>
        </w:rPr>
        <w:t xml:space="preserve"> </w:t>
      </w:r>
      <w:r w:rsidR="00675A79" w:rsidRPr="00532C20">
        <w:rPr>
          <w:rFonts w:ascii="Times New Roman" w:eastAsia="Times" w:hAnsi="Times New Roman" w:cs="Times New Roman"/>
          <w:noProof/>
          <w:sz w:val="24"/>
          <w:szCs w:val="24"/>
          <w:lang w:val="en-IE"/>
        </w:rPr>
        <w:t>all</w:t>
      </w:r>
      <w:r w:rsidR="00A90D63" w:rsidRPr="00532C20">
        <w:rPr>
          <w:rFonts w:ascii="Times New Roman" w:eastAsia="Times" w:hAnsi="Times New Roman" w:cs="Times New Roman"/>
          <w:noProof/>
          <w:sz w:val="24"/>
          <w:szCs w:val="24"/>
          <w:lang w:val="en-IE"/>
        </w:rPr>
        <w:t xml:space="preserve"> 3 </w:t>
      </w:r>
      <w:r w:rsidR="00675A79" w:rsidRPr="00532C20">
        <w:rPr>
          <w:rFonts w:ascii="Times New Roman" w:eastAsia="Times" w:hAnsi="Times New Roman" w:cs="Times New Roman"/>
          <w:noProof/>
          <w:sz w:val="24"/>
          <w:szCs w:val="24"/>
          <w:lang w:val="en-IE"/>
        </w:rPr>
        <w:t>policy options</w:t>
      </w:r>
      <w:r w:rsidR="009D6083" w:rsidRPr="00532C20">
        <w:rPr>
          <w:rFonts w:ascii="Times New Roman" w:eastAsia="Times" w:hAnsi="Times New Roman" w:cs="Times New Roman"/>
          <w:noProof/>
          <w:sz w:val="24"/>
          <w:szCs w:val="24"/>
          <w:lang w:val="en-IE"/>
        </w:rPr>
        <w:t xml:space="preserve"> </w:t>
      </w:r>
      <w:r w:rsidR="00C97E3E" w:rsidRPr="00532C20">
        <w:rPr>
          <w:rFonts w:ascii="Times New Roman" w:eastAsia="Times" w:hAnsi="Times New Roman" w:cs="Times New Roman"/>
          <w:noProof/>
          <w:sz w:val="24"/>
          <w:szCs w:val="24"/>
          <w:lang w:val="en-IE"/>
        </w:rPr>
        <w:t xml:space="preserve">would shed light on </w:t>
      </w:r>
      <w:r w:rsidR="0015702D" w:rsidRPr="00532C20">
        <w:rPr>
          <w:rFonts w:ascii="Times New Roman" w:eastAsia="Times" w:hAnsi="Times New Roman" w:cs="Times New Roman"/>
          <w:noProof/>
          <w:sz w:val="24"/>
          <w:szCs w:val="24"/>
          <w:lang w:val="en-IE"/>
        </w:rPr>
        <w:t xml:space="preserve">potential cases of </w:t>
      </w:r>
      <w:r w:rsidR="002C30E1" w:rsidRPr="00532C20">
        <w:rPr>
          <w:rFonts w:ascii="Times New Roman" w:eastAsia="Times" w:hAnsi="Times New Roman" w:cs="Times New Roman"/>
          <w:noProof/>
          <w:sz w:val="24"/>
          <w:szCs w:val="24"/>
          <w:lang w:val="en-IE"/>
        </w:rPr>
        <w:t>foreign</w:t>
      </w:r>
      <w:r w:rsidR="009D6083" w:rsidRPr="00532C20">
        <w:rPr>
          <w:rFonts w:ascii="Times New Roman" w:eastAsia="Times" w:hAnsi="Times New Roman" w:cs="Times New Roman"/>
          <w:noProof/>
          <w:sz w:val="24"/>
          <w:szCs w:val="24"/>
          <w:lang w:val="en-IE"/>
        </w:rPr>
        <w:t xml:space="preserve"> interference in </w:t>
      </w:r>
      <w:r w:rsidR="00675A79" w:rsidRPr="00532C20">
        <w:rPr>
          <w:rFonts w:ascii="Times New Roman" w:eastAsia="Times" w:hAnsi="Times New Roman" w:cs="Times New Roman"/>
          <w:noProof/>
          <w:sz w:val="24"/>
          <w:szCs w:val="24"/>
          <w:lang w:val="en-IE"/>
        </w:rPr>
        <w:t>this field</w:t>
      </w:r>
      <w:r w:rsidR="009D6083" w:rsidRPr="00532C20">
        <w:rPr>
          <w:rFonts w:ascii="Times New Roman" w:eastAsia="Times" w:hAnsi="Times New Roman" w:cs="Times New Roman"/>
          <w:noProof/>
          <w:sz w:val="24"/>
          <w:szCs w:val="24"/>
          <w:lang w:val="en-IE"/>
        </w:rPr>
        <w:t>.</w:t>
      </w:r>
    </w:p>
    <w:p w14:paraId="66F2B1F2" w14:textId="406E30A4" w:rsidR="002C30E1" w:rsidRPr="00532C20" w:rsidRDefault="002C30E1" w:rsidP="00CD76B1">
      <w:pPr>
        <w:pBdr>
          <w:top w:val="single" w:sz="4" w:space="1" w:color="auto"/>
          <w:left w:val="single" w:sz="4" w:space="4" w:color="auto"/>
          <w:bottom w:val="single" w:sz="4" w:space="1" w:color="auto"/>
          <w:right w:val="single" w:sz="4" w:space="4" w:color="auto"/>
        </w:pBdr>
        <w:tabs>
          <w:tab w:val="left" w:pos="2302"/>
        </w:tabs>
        <w:spacing w:after="0" w:line="240" w:lineRule="auto"/>
        <w:jc w:val="both"/>
        <w:rPr>
          <w:rFonts w:ascii="Times New Roman" w:eastAsia="Times" w:hAnsi="Times New Roman" w:cs="Times New Roman"/>
          <w:b/>
          <w:bCs/>
          <w:noProof/>
          <w:lang w:val="en-IE"/>
        </w:rPr>
      </w:pPr>
      <w:r w:rsidRPr="00532C20">
        <w:rPr>
          <w:rFonts w:ascii="Times New Roman" w:eastAsia="Times" w:hAnsi="Times New Roman" w:cs="Times New Roman"/>
          <w:b/>
          <w:bCs/>
          <w:noProof/>
          <w:lang w:val="en-IE"/>
        </w:rPr>
        <w:t>Stakeholder views:</w:t>
      </w:r>
    </w:p>
    <w:p w14:paraId="553186D1" w14:textId="291D8AEC" w:rsidR="002C30E1" w:rsidRPr="00532C20" w:rsidRDefault="00164A9C" w:rsidP="00E415E8">
      <w:pPr>
        <w:pBdr>
          <w:top w:val="single" w:sz="4" w:space="1" w:color="auto"/>
          <w:left w:val="single" w:sz="4" w:space="4" w:color="auto"/>
          <w:bottom w:val="single" w:sz="4" w:space="1" w:color="auto"/>
          <w:right w:val="single" w:sz="4" w:space="4" w:color="auto"/>
        </w:pBdr>
        <w:tabs>
          <w:tab w:val="left" w:pos="2302"/>
        </w:tabs>
        <w:spacing w:after="120" w:line="240" w:lineRule="auto"/>
        <w:jc w:val="both"/>
        <w:rPr>
          <w:rFonts w:ascii="Times New Roman" w:eastAsia="Times" w:hAnsi="Times New Roman" w:cs="Times New Roman"/>
          <w:bCs/>
          <w:noProof/>
          <w:lang w:val="en-IE"/>
        </w:rPr>
      </w:pPr>
      <w:r w:rsidRPr="00532C20">
        <w:rPr>
          <w:rFonts w:ascii="Times New Roman" w:eastAsia="Times" w:hAnsi="Times New Roman" w:cs="Times New Roman"/>
          <w:bCs/>
          <w:noProof/>
          <w:lang w:val="en-IE"/>
        </w:rPr>
        <w:t>1</w:t>
      </w:r>
      <w:r w:rsidR="00F71B65" w:rsidRPr="00532C20">
        <w:rPr>
          <w:rFonts w:ascii="Times New Roman" w:eastAsia="Times" w:hAnsi="Times New Roman" w:cs="Times New Roman"/>
          <w:bCs/>
          <w:noProof/>
          <w:lang w:val="en-IE"/>
        </w:rPr>
        <w:t xml:space="preserve"> </w:t>
      </w:r>
      <w:r w:rsidR="00CD76B1" w:rsidRPr="00532C20">
        <w:rPr>
          <w:rFonts w:ascii="Times New Roman" w:eastAsia="Times" w:hAnsi="Times New Roman" w:cs="Times New Roman"/>
          <w:bCs/>
          <w:noProof/>
          <w:lang w:val="en-IE"/>
        </w:rPr>
        <w:t>member o</w:t>
      </w:r>
      <w:r w:rsidR="00246C88" w:rsidRPr="00532C20">
        <w:rPr>
          <w:rFonts w:ascii="Times New Roman" w:eastAsia="Times" w:hAnsi="Times New Roman" w:cs="Times New Roman"/>
          <w:bCs/>
          <w:noProof/>
          <w:lang w:val="en-IE"/>
        </w:rPr>
        <w:t>f</w:t>
      </w:r>
      <w:r w:rsidR="00CD76B1" w:rsidRPr="00532C20">
        <w:rPr>
          <w:rFonts w:ascii="Times New Roman" w:eastAsia="Times" w:hAnsi="Times New Roman" w:cs="Times New Roman"/>
          <w:bCs/>
          <w:noProof/>
          <w:lang w:val="en-IE"/>
        </w:rPr>
        <w:t xml:space="preserve"> Academia indicated </w:t>
      </w:r>
      <w:r w:rsidR="00621380" w:rsidRPr="00532C20">
        <w:rPr>
          <w:rFonts w:ascii="Times New Roman" w:eastAsia="Times" w:hAnsi="Times New Roman" w:cs="Times New Roman"/>
          <w:bCs/>
          <w:noProof/>
          <w:lang w:val="en-IE"/>
        </w:rPr>
        <w:t xml:space="preserve">in a </w:t>
      </w:r>
      <w:r w:rsidR="00A54C24" w:rsidRPr="00532C20">
        <w:rPr>
          <w:rFonts w:ascii="Times New Roman" w:eastAsia="Times" w:hAnsi="Times New Roman" w:cs="Times New Roman"/>
          <w:bCs/>
          <w:noProof/>
          <w:lang w:val="en-IE"/>
        </w:rPr>
        <w:t>follow-up</w:t>
      </w:r>
      <w:r w:rsidR="00507B1E" w:rsidRPr="00532C20">
        <w:rPr>
          <w:rFonts w:ascii="Times New Roman" w:eastAsia="Times" w:hAnsi="Times New Roman" w:cs="Times New Roman"/>
          <w:bCs/>
          <w:noProof/>
          <w:lang w:val="en-IE"/>
        </w:rPr>
        <w:t xml:space="preserve"> paper after a focus group meeting</w:t>
      </w:r>
      <w:r w:rsidR="00E00033" w:rsidRPr="00532C20">
        <w:rPr>
          <w:rStyle w:val="FootnoteReference"/>
          <w:rFonts w:ascii="Times New Roman" w:eastAsia="Times" w:hAnsi="Times New Roman" w:cs="Times New Roman"/>
          <w:bCs/>
          <w:noProof/>
          <w:lang w:val="en-IE"/>
        </w:rPr>
        <w:footnoteReference w:id="201"/>
      </w:r>
      <w:r w:rsidR="00CD76B1" w:rsidRPr="00532C20">
        <w:rPr>
          <w:rFonts w:ascii="Times New Roman" w:eastAsia="Times" w:hAnsi="Times New Roman" w:cs="Times New Roman"/>
          <w:bCs/>
          <w:noProof/>
          <w:lang w:val="en-IE"/>
        </w:rPr>
        <w:t xml:space="preserve"> that “</w:t>
      </w:r>
      <w:r w:rsidR="00584F18" w:rsidRPr="00532C20">
        <w:rPr>
          <w:rFonts w:ascii="Times New Roman" w:eastAsia="Times" w:hAnsi="Times New Roman" w:cs="Times New Roman"/>
          <w:bCs/>
          <w:i/>
          <w:iCs/>
          <w:noProof/>
          <w:lang w:val="en-IE"/>
        </w:rPr>
        <w:t>t</w:t>
      </w:r>
      <w:r w:rsidR="002C30E1" w:rsidRPr="00532C20">
        <w:rPr>
          <w:rFonts w:ascii="Times New Roman" w:eastAsia="Times" w:hAnsi="Times New Roman" w:cs="Times New Roman"/>
          <w:bCs/>
          <w:i/>
          <w:iCs/>
          <w:noProof/>
          <w:lang w:val="en-IE"/>
        </w:rPr>
        <w:t>o limit global dialogue, there must be a concrete and identifiable risk; blanket bans will undermine the long-term benefits of openness to the world. Here, the people-to-people aspect of academic exchanges remains an essential instrument for mutual understanding. This must not be hampered by general bans and obstacles unless there is a clear risk for foreign interference against the interest and values of Europe’s democracies</w:t>
      </w:r>
      <w:r w:rsidR="00CD76B1" w:rsidRPr="00532C20">
        <w:rPr>
          <w:rFonts w:ascii="Times New Roman" w:eastAsia="Times" w:hAnsi="Times New Roman" w:cs="Times New Roman"/>
          <w:bCs/>
          <w:noProof/>
          <w:lang w:val="en-IE"/>
        </w:rPr>
        <w:t>”</w:t>
      </w:r>
      <w:r w:rsidR="005A18E1" w:rsidRPr="00532C20">
        <w:rPr>
          <w:rFonts w:ascii="Times New Roman" w:eastAsia="Times" w:hAnsi="Times New Roman" w:cs="Times New Roman"/>
          <w:bCs/>
          <w:noProof/>
          <w:lang w:val="en-IE"/>
        </w:rPr>
        <w:t>.</w:t>
      </w:r>
    </w:p>
    <w:p w14:paraId="50DF44CA" w14:textId="4EFDF7F8" w:rsidR="00856968" w:rsidRPr="00532C20" w:rsidRDefault="00EC2755" w:rsidP="00E415E8">
      <w:pPr>
        <w:tabs>
          <w:tab w:val="left" w:pos="2302"/>
        </w:tabs>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u w:val="single"/>
          <w:lang w:val="en-IE"/>
        </w:rPr>
        <w:t>N</w:t>
      </w:r>
      <w:r w:rsidR="009362DD" w:rsidRPr="00532C20">
        <w:rPr>
          <w:rFonts w:ascii="Times New Roman" w:eastAsia="Times" w:hAnsi="Times New Roman" w:cs="Times New Roman"/>
          <w:noProof/>
          <w:sz w:val="24"/>
          <w:szCs w:val="24"/>
          <w:u w:val="single"/>
          <w:lang w:val="en-IE"/>
        </w:rPr>
        <w:t>one of the policy options</w:t>
      </w:r>
      <w:r w:rsidR="009B635F" w:rsidRPr="00532C20">
        <w:rPr>
          <w:rFonts w:ascii="Times New Roman" w:eastAsia="Times" w:hAnsi="Times New Roman" w:cs="Times New Roman"/>
          <w:noProof/>
          <w:sz w:val="24"/>
          <w:szCs w:val="24"/>
          <w:lang w:val="en-IE"/>
        </w:rPr>
        <w:t xml:space="preserve"> regulate the freedom to define research questions, nor the right to disseminate and publish the result</w:t>
      </w:r>
      <w:r w:rsidR="00057D1F" w:rsidRPr="00532C20">
        <w:rPr>
          <w:rFonts w:ascii="Times New Roman" w:eastAsia="Times" w:hAnsi="Times New Roman" w:cs="Times New Roman"/>
          <w:noProof/>
          <w:sz w:val="24"/>
          <w:szCs w:val="24"/>
          <w:lang w:val="en-IE"/>
        </w:rPr>
        <w:t>s</w:t>
      </w:r>
      <w:r w:rsidR="009B635F" w:rsidRPr="00532C20">
        <w:rPr>
          <w:rFonts w:ascii="Times New Roman" w:eastAsia="Times" w:hAnsi="Times New Roman" w:cs="Times New Roman"/>
          <w:noProof/>
          <w:sz w:val="24"/>
          <w:szCs w:val="24"/>
          <w:lang w:val="en-IE"/>
        </w:rPr>
        <w:t xml:space="preserve">. </w:t>
      </w:r>
      <w:r w:rsidR="00D1018D" w:rsidRPr="00532C20">
        <w:rPr>
          <w:rFonts w:ascii="Times New Roman" w:eastAsia="Times" w:hAnsi="Times New Roman" w:cs="Times New Roman"/>
          <w:noProof/>
          <w:sz w:val="24"/>
          <w:szCs w:val="24"/>
          <w:u w:val="single"/>
          <w:lang w:val="en-IE"/>
        </w:rPr>
        <w:t>N</w:t>
      </w:r>
      <w:r w:rsidR="00B2388A" w:rsidRPr="00532C20">
        <w:rPr>
          <w:rFonts w:ascii="Times New Roman" w:eastAsia="Times" w:hAnsi="Times New Roman" w:cs="Times New Roman"/>
          <w:noProof/>
          <w:sz w:val="24"/>
          <w:szCs w:val="24"/>
          <w:u w:val="single"/>
          <w:lang w:val="en-IE"/>
        </w:rPr>
        <w:t>one</w:t>
      </w:r>
      <w:r w:rsidR="00675A79" w:rsidRPr="00532C20">
        <w:rPr>
          <w:rFonts w:ascii="Times New Roman" w:eastAsia="Times" w:hAnsi="Times New Roman" w:cs="Times New Roman"/>
          <w:noProof/>
          <w:sz w:val="24"/>
          <w:szCs w:val="24"/>
          <w:u w:val="single"/>
          <w:lang w:val="en-IE"/>
        </w:rPr>
        <w:t xml:space="preserve"> </w:t>
      </w:r>
      <w:r w:rsidR="004C3776" w:rsidRPr="00532C20">
        <w:rPr>
          <w:rFonts w:ascii="Times New Roman" w:eastAsia="Times" w:hAnsi="Times New Roman" w:cs="Times New Roman"/>
          <w:noProof/>
          <w:sz w:val="24"/>
          <w:szCs w:val="24"/>
          <w:u w:val="single"/>
          <w:lang w:val="en-IE"/>
        </w:rPr>
        <w:t>of the policy options would</w:t>
      </w:r>
      <w:r w:rsidR="00D1018D" w:rsidRPr="00532C20">
        <w:rPr>
          <w:rFonts w:ascii="Times New Roman" w:eastAsia="Times" w:hAnsi="Times New Roman" w:cs="Times New Roman"/>
          <w:noProof/>
          <w:sz w:val="24"/>
          <w:szCs w:val="24"/>
          <w:u w:val="single"/>
          <w:lang w:val="en-IE"/>
        </w:rPr>
        <w:t xml:space="preserve"> include a general</w:t>
      </w:r>
      <w:r w:rsidR="004C3776" w:rsidRPr="00532C20">
        <w:rPr>
          <w:rFonts w:ascii="Times New Roman" w:eastAsia="Times" w:hAnsi="Times New Roman" w:cs="Times New Roman"/>
          <w:noProof/>
          <w:sz w:val="24"/>
          <w:szCs w:val="24"/>
          <w:u w:val="single"/>
          <w:lang w:val="en-IE"/>
        </w:rPr>
        <w:t xml:space="preserve"> </w:t>
      </w:r>
      <w:r w:rsidR="00FA7208" w:rsidRPr="00532C20">
        <w:rPr>
          <w:rFonts w:ascii="Times New Roman" w:eastAsia="Times" w:hAnsi="Times New Roman" w:cs="Times New Roman"/>
          <w:noProof/>
          <w:sz w:val="24"/>
          <w:szCs w:val="24"/>
          <w:u w:val="single"/>
          <w:lang w:val="en-IE"/>
        </w:rPr>
        <w:t>ban</w:t>
      </w:r>
      <w:r w:rsidR="004C3776" w:rsidRPr="00532C20">
        <w:rPr>
          <w:rFonts w:ascii="Times New Roman" w:eastAsia="Times" w:hAnsi="Times New Roman" w:cs="Times New Roman"/>
          <w:noProof/>
          <w:sz w:val="24"/>
          <w:szCs w:val="24"/>
          <w:u w:val="single"/>
          <w:lang w:val="en-IE"/>
        </w:rPr>
        <w:t xml:space="preserve"> </w:t>
      </w:r>
      <w:r w:rsidR="00057D1F" w:rsidRPr="00532C20">
        <w:rPr>
          <w:rFonts w:ascii="Times New Roman" w:eastAsia="Times" w:hAnsi="Times New Roman" w:cs="Times New Roman"/>
          <w:noProof/>
          <w:sz w:val="24"/>
          <w:szCs w:val="24"/>
          <w:u w:val="single"/>
          <w:lang w:val="en-IE"/>
        </w:rPr>
        <w:t>on</w:t>
      </w:r>
      <w:r w:rsidR="004C3776" w:rsidRPr="00532C20">
        <w:rPr>
          <w:rFonts w:ascii="Times New Roman" w:eastAsia="Times" w:hAnsi="Times New Roman" w:cs="Times New Roman"/>
          <w:noProof/>
          <w:sz w:val="24"/>
          <w:szCs w:val="24"/>
          <w:u w:val="single"/>
          <w:lang w:val="en-IE"/>
        </w:rPr>
        <w:t xml:space="preserve"> international </w:t>
      </w:r>
      <w:r w:rsidR="001C0068" w:rsidRPr="00532C20">
        <w:rPr>
          <w:rFonts w:ascii="Times New Roman" w:eastAsia="Times" w:hAnsi="Times New Roman" w:cs="Times New Roman"/>
          <w:noProof/>
          <w:sz w:val="24"/>
          <w:szCs w:val="24"/>
          <w:u w:val="single"/>
          <w:lang w:val="en-IE"/>
        </w:rPr>
        <w:t>collaboration</w:t>
      </w:r>
      <w:r w:rsidRPr="00532C20">
        <w:rPr>
          <w:rFonts w:ascii="Times New Roman" w:eastAsia="Times" w:hAnsi="Times New Roman" w:cs="Times New Roman"/>
          <w:noProof/>
          <w:sz w:val="24"/>
          <w:szCs w:val="24"/>
          <w:lang w:val="en-IE"/>
        </w:rPr>
        <w:t xml:space="preserve"> (only </w:t>
      </w:r>
      <w:r w:rsidR="00D1018D" w:rsidRPr="00532C20">
        <w:rPr>
          <w:rFonts w:ascii="Times New Roman" w:eastAsia="Times" w:hAnsi="Times New Roman" w:cs="Times New Roman"/>
          <w:noProof/>
          <w:sz w:val="24"/>
          <w:szCs w:val="24"/>
          <w:lang w:val="en-IE"/>
        </w:rPr>
        <w:t>the extended requirements included in the PO</w:t>
      </w:r>
      <w:r w:rsidR="002C36BA" w:rsidRPr="00532C20">
        <w:rPr>
          <w:rFonts w:ascii="Times New Roman" w:eastAsia="Times" w:hAnsi="Times New Roman" w:cs="Times New Roman"/>
          <w:noProof/>
          <w:sz w:val="24"/>
          <w:szCs w:val="24"/>
          <w:lang w:val="en-IE"/>
        </w:rPr>
        <w:t>2</w:t>
      </w:r>
      <w:r w:rsidR="00D47716" w:rsidRPr="00532C20">
        <w:rPr>
          <w:rFonts w:ascii="Times New Roman" w:eastAsia="Times" w:hAnsi="Times New Roman" w:cs="Times New Roman"/>
          <w:noProof/>
          <w:sz w:val="24"/>
          <w:szCs w:val="24"/>
          <w:lang w:val="en-IE"/>
        </w:rPr>
        <w:t>.2</w:t>
      </w:r>
      <w:r w:rsidRPr="00532C20">
        <w:rPr>
          <w:rFonts w:ascii="Times New Roman" w:eastAsia="Times" w:hAnsi="Times New Roman" w:cs="Times New Roman"/>
          <w:noProof/>
          <w:sz w:val="24"/>
          <w:szCs w:val="24"/>
          <w:lang w:val="en-IE"/>
        </w:rPr>
        <w:t xml:space="preserve"> would limit an </w:t>
      </w:r>
      <w:r w:rsidR="005A18E1" w:rsidRPr="00532C20">
        <w:rPr>
          <w:rFonts w:ascii="Times New Roman" w:eastAsia="Times" w:hAnsi="Times New Roman" w:cs="Times New Roman"/>
          <w:noProof/>
          <w:sz w:val="24"/>
          <w:szCs w:val="24"/>
          <w:lang w:val="en-IE"/>
        </w:rPr>
        <w:t>interest</w:t>
      </w:r>
      <w:r w:rsidRPr="00532C20">
        <w:rPr>
          <w:rFonts w:ascii="Times New Roman" w:eastAsia="Times" w:hAnsi="Times New Roman" w:cs="Times New Roman"/>
          <w:noProof/>
          <w:sz w:val="24"/>
          <w:szCs w:val="24"/>
          <w:lang w:val="en-IE"/>
        </w:rPr>
        <w:t xml:space="preserve"> representation on an </w:t>
      </w:r>
      <w:r w:rsidR="005A18E1" w:rsidRPr="00532C20">
        <w:rPr>
          <w:rFonts w:ascii="Times New Roman" w:eastAsia="Times" w:hAnsi="Times New Roman" w:cs="Times New Roman"/>
          <w:noProof/>
          <w:sz w:val="24"/>
          <w:szCs w:val="24"/>
          <w:lang w:val="en-IE"/>
        </w:rPr>
        <w:t>individual</w:t>
      </w:r>
      <w:r w:rsidRPr="00532C20">
        <w:rPr>
          <w:rFonts w:ascii="Times New Roman" w:eastAsia="Times" w:hAnsi="Times New Roman" w:cs="Times New Roman"/>
          <w:noProof/>
          <w:sz w:val="24"/>
          <w:szCs w:val="24"/>
          <w:lang w:val="en-IE"/>
        </w:rPr>
        <w:t xml:space="preserve"> basis, </w:t>
      </w:r>
      <w:r w:rsidR="00D1018D" w:rsidRPr="00532C20">
        <w:rPr>
          <w:rFonts w:ascii="Times New Roman" w:eastAsia="Times" w:hAnsi="Times New Roman" w:cs="Times New Roman"/>
          <w:noProof/>
          <w:sz w:val="24"/>
          <w:szCs w:val="24"/>
          <w:lang w:val="en-IE"/>
        </w:rPr>
        <w:t xml:space="preserve">in the specific situation where </w:t>
      </w:r>
      <w:r w:rsidRPr="00532C20">
        <w:rPr>
          <w:rFonts w:ascii="Times New Roman" w:eastAsia="Times" w:hAnsi="Times New Roman" w:cs="Times New Roman"/>
          <w:noProof/>
          <w:sz w:val="24"/>
          <w:szCs w:val="24"/>
          <w:lang w:val="en-IE"/>
        </w:rPr>
        <w:t xml:space="preserve">the </w:t>
      </w:r>
      <w:r w:rsidR="00D1018D" w:rsidRPr="00532C20">
        <w:rPr>
          <w:rFonts w:ascii="Times New Roman" w:eastAsia="Times" w:hAnsi="Times New Roman" w:cs="Times New Roman"/>
          <w:noProof/>
          <w:sz w:val="24"/>
          <w:szCs w:val="24"/>
          <w:lang w:val="en-IE"/>
        </w:rPr>
        <w:t>activity is likely to seriously affect public security)</w:t>
      </w:r>
      <w:r w:rsidR="001C0068" w:rsidRPr="00532C20">
        <w:rPr>
          <w:rFonts w:ascii="Times New Roman" w:eastAsia="Times" w:hAnsi="Times New Roman" w:cs="Times New Roman"/>
          <w:noProof/>
          <w:sz w:val="24"/>
          <w:szCs w:val="24"/>
          <w:lang w:val="en-IE"/>
        </w:rPr>
        <w:t>.</w:t>
      </w:r>
      <w:r w:rsidR="00107C6A" w:rsidRPr="00532C20">
        <w:rPr>
          <w:rFonts w:ascii="Times New Roman" w:eastAsia="Times" w:hAnsi="Times New Roman" w:cs="Times New Roman"/>
          <w:noProof/>
          <w:sz w:val="24"/>
          <w:szCs w:val="24"/>
          <w:lang w:val="en-IE"/>
        </w:rPr>
        <w:t xml:space="preserve"> The policy options </w:t>
      </w:r>
      <w:r w:rsidR="00201C23" w:rsidRPr="00532C20">
        <w:rPr>
          <w:rFonts w:ascii="Times New Roman" w:eastAsia="Times" w:hAnsi="Times New Roman" w:cs="Times New Roman"/>
          <w:noProof/>
          <w:sz w:val="24"/>
          <w:szCs w:val="24"/>
          <w:lang w:val="en-IE"/>
        </w:rPr>
        <w:t xml:space="preserve">would only introduce common transparency standards in the internal market for </w:t>
      </w:r>
      <w:r w:rsidR="0034116E" w:rsidRPr="00532C20">
        <w:rPr>
          <w:rFonts w:ascii="Times New Roman" w:eastAsia="Times" w:hAnsi="Times New Roman" w:cs="Times New Roman"/>
          <w:noProof/>
          <w:sz w:val="24"/>
          <w:szCs w:val="24"/>
          <w:lang w:val="en-IE"/>
        </w:rPr>
        <w:t>interest</w:t>
      </w:r>
      <w:r w:rsidR="00201C23" w:rsidRPr="00532C20">
        <w:rPr>
          <w:rFonts w:ascii="Times New Roman" w:eastAsia="Times" w:hAnsi="Times New Roman" w:cs="Times New Roman"/>
          <w:noProof/>
          <w:sz w:val="24"/>
          <w:szCs w:val="24"/>
          <w:lang w:val="en-IE"/>
        </w:rPr>
        <w:t xml:space="preserve"> </w:t>
      </w:r>
      <w:r w:rsidR="0034116E" w:rsidRPr="00532C20">
        <w:rPr>
          <w:rFonts w:ascii="Times New Roman" w:eastAsia="Times" w:hAnsi="Times New Roman" w:cs="Times New Roman"/>
          <w:noProof/>
          <w:sz w:val="24"/>
          <w:szCs w:val="24"/>
          <w:lang w:val="en-IE"/>
        </w:rPr>
        <w:t>representation</w:t>
      </w:r>
      <w:r w:rsidR="00201C23" w:rsidRPr="00532C20">
        <w:rPr>
          <w:rFonts w:ascii="Times New Roman" w:eastAsia="Times" w:hAnsi="Times New Roman" w:cs="Times New Roman"/>
          <w:noProof/>
          <w:sz w:val="24"/>
          <w:szCs w:val="24"/>
          <w:lang w:val="en-IE"/>
        </w:rPr>
        <w:t xml:space="preserve"> </w:t>
      </w:r>
      <w:r w:rsidR="0034116E" w:rsidRPr="00532C20">
        <w:rPr>
          <w:rFonts w:ascii="Times New Roman" w:eastAsia="Times" w:hAnsi="Times New Roman" w:cs="Times New Roman"/>
          <w:noProof/>
          <w:sz w:val="24"/>
          <w:szCs w:val="24"/>
          <w:lang w:val="en-IE"/>
        </w:rPr>
        <w:t>activities</w:t>
      </w:r>
      <w:r w:rsidR="00201C23" w:rsidRPr="00532C20">
        <w:rPr>
          <w:rFonts w:ascii="Times New Roman" w:eastAsia="Times" w:hAnsi="Times New Roman" w:cs="Times New Roman"/>
          <w:noProof/>
          <w:sz w:val="24"/>
          <w:szCs w:val="24"/>
          <w:lang w:val="en-IE"/>
        </w:rPr>
        <w:t xml:space="preserve"> carried out on behalf of third countries. </w:t>
      </w:r>
      <w:r w:rsidR="00201C23" w:rsidRPr="00532C20">
        <w:rPr>
          <w:rFonts w:ascii="Times New Roman" w:eastAsia="Times" w:hAnsi="Times New Roman" w:cs="Times New Roman"/>
          <w:noProof/>
          <w:sz w:val="24"/>
          <w:szCs w:val="24"/>
          <w:u w:val="single"/>
          <w:lang w:val="en-IE"/>
        </w:rPr>
        <w:t>They would not</w:t>
      </w:r>
      <w:r w:rsidR="00762E76" w:rsidRPr="00532C20">
        <w:rPr>
          <w:rFonts w:ascii="Times New Roman" w:eastAsia="Times" w:hAnsi="Times New Roman" w:cs="Times New Roman"/>
          <w:noProof/>
          <w:sz w:val="24"/>
          <w:szCs w:val="24"/>
          <w:u w:val="single"/>
          <w:lang w:val="en-IE"/>
        </w:rPr>
        <w:t xml:space="preserve"> affect the institutional autonomy</w:t>
      </w:r>
      <w:r w:rsidR="00762E76" w:rsidRPr="00532C20">
        <w:rPr>
          <w:rFonts w:ascii="Times New Roman" w:eastAsia="Times" w:hAnsi="Times New Roman" w:cs="Times New Roman"/>
          <w:noProof/>
          <w:sz w:val="24"/>
          <w:szCs w:val="24"/>
          <w:lang w:val="en-IE"/>
        </w:rPr>
        <w:t xml:space="preserve"> of </w:t>
      </w:r>
      <w:r w:rsidR="00CA4E52" w:rsidRPr="00532C20">
        <w:rPr>
          <w:rFonts w:ascii="Times New Roman" w:eastAsia="Times" w:hAnsi="Times New Roman" w:cs="Times New Roman"/>
          <w:noProof/>
          <w:sz w:val="24"/>
          <w:szCs w:val="24"/>
          <w:lang w:val="en-IE"/>
        </w:rPr>
        <w:t xml:space="preserve">EU Higher Education Institutions </w:t>
      </w:r>
      <w:r w:rsidR="005A04D7" w:rsidRPr="00532C20">
        <w:rPr>
          <w:rFonts w:ascii="Times New Roman" w:eastAsia="Times" w:hAnsi="Times New Roman" w:cs="Times New Roman"/>
          <w:noProof/>
          <w:sz w:val="24"/>
          <w:szCs w:val="24"/>
          <w:lang w:val="en-IE"/>
        </w:rPr>
        <w:t xml:space="preserve">to </w:t>
      </w:r>
      <w:r w:rsidR="007429A8" w:rsidRPr="00532C20">
        <w:rPr>
          <w:rFonts w:ascii="Times New Roman" w:eastAsia="Times" w:hAnsi="Times New Roman" w:cs="Times New Roman"/>
          <w:noProof/>
          <w:sz w:val="24"/>
          <w:szCs w:val="24"/>
          <w:lang w:val="en-IE"/>
        </w:rPr>
        <w:t xml:space="preserve">set their own </w:t>
      </w:r>
      <w:r w:rsidR="0034116E" w:rsidRPr="00532C20">
        <w:rPr>
          <w:rFonts w:ascii="Times New Roman" w:eastAsia="Times" w:hAnsi="Times New Roman" w:cs="Times New Roman"/>
          <w:noProof/>
          <w:sz w:val="24"/>
          <w:szCs w:val="24"/>
          <w:lang w:val="en-IE"/>
        </w:rPr>
        <w:t>organisations</w:t>
      </w:r>
      <w:r w:rsidR="007429A8" w:rsidRPr="00532C20">
        <w:rPr>
          <w:rFonts w:ascii="Times New Roman" w:eastAsia="Times" w:hAnsi="Times New Roman" w:cs="Times New Roman"/>
          <w:noProof/>
          <w:sz w:val="24"/>
          <w:szCs w:val="24"/>
          <w:lang w:val="en-IE"/>
        </w:rPr>
        <w:t xml:space="preserve">, recruit independently, </w:t>
      </w:r>
      <w:r w:rsidR="006E5F73" w:rsidRPr="00532C20">
        <w:rPr>
          <w:rFonts w:ascii="Times New Roman" w:eastAsia="Times" w:hAnsi="Times New Roman" w:cs="Times New Roman"/>
          <w:noProof/>
          <w:sz w:val="24"/>
          <w:szCs w:val="24"/>
          <w:lang w:val="en-IE"/>
        </w:rPr>
        <w:t xml:space="preserve">set the </w:t>
      </w:r>
      <w:r w:rsidR="0034116E" w:rsidRPr="00532C20">
        <w:rPr>
          <w:rFonts w:ascii="Times New Roman" w:eastAsia="Times" w:hAnsi="Times New Roman" w:cs="Times New Roman"/>
          <w:noProof/>
          <w:sz w:val="24"/>
          <w:szCs w:val="24"/>
          <w:lang w:val="en-IE"/>
        </w:rPr>
        <w:t>structure</w:t>
      </w:r>
      <w:r w:rsidR="006E5F73" w:rsidRPr="00532C20">
        <w:rPr>
          <w:rFonts w:ascii="Times New Roman" w:eastAsia="Times" w:hAnsi="Times New Roman" w:cs="Times New Roman"/>
          <w:noProof/>
          <w:sz w:val="24"/>
          <w:szCs w:val="24"/>
          <w:lang w:val="en-IE"/>
        </w:rPr>
        <w:t xml:space="preserve"> of content or degrees or to </w:t>
      </w:r>
      <w:r w:rsidR="000E4177" w:rsidRPr="00532C20">
        <w:rPr>
          <w:rFonts w:ascii="Times New Roman" w:eastAsia="Times" w:hAnsi="Times New Roman" w:cs="Times New Roman"/>
          <w:noProof/>
          <w:sz w:val="24"/>
          <w:szCs w:val="24"/>
          <w:lang w:val="en-IE"/>
        </w:rPr>
        <w:t>borrow money or set tuition fees</w:t>
      </w:r>
      <w:r w:rsidR="006E5F73" w:rsidRPr="00532C20">
        <w:rPr>
          <w:rFonts w:ascii="Times New Roman" w:eastAsia="Times" w:hAnsi="Times New Roman" w:cs="Times New Roman"/>
          <w:noProof/>
          <w:sz w:val="24"/>
          <w:szCs w:val="24"/>
          <w:lang w:val="en-IE"/>
        </w:rPr>
        <w:t>.</w:t>
      </w:r>
    </w:p>
    <w:p w14:paraId="6A3FA634" w14:textId="1290EB40" w:rsidR="001C0068" w:rsidRPr="00532C20" w:rsidRDefault="001C0068" w:rsidP="00E415E8">
      <w:pPr>
        <w:tabs>
          <w:tab w:val="left" w:pos="2302"/>
        </w:tabs>
        <w:spacing w:after="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With regard to the risks of stigmatisation</w:t>
      </w:r>
      <w:r w:rsidR="008857A7" w:rsidRPr="00532C20">
        <w:rPr>
          <w:rFonts w:ascii="Times New Roman" w:eastAsia="Times" w:hAnsi="Times New Roman" w:cs="Times New Roman"/>
          <w:noProof/>
          <w:sz w:val="24"/>
          <w:szCs w:val="24"/>
          <w:lang w:val="en-IE"/>
        </w:rPr>
        <w:t xml:space="preserve"> or obstacles to </w:t>
      </w:r>
      <w:r w:rsidR="00EC2755" w:rsidRPr="00532C20">
        <w:rPr>
          <w:rFonts w:ascii="Times New Roman" w:eastAsia="Times" w:hAnsi="Times New Roman" w:cs="Times New Roman"/>
          <w:noProof/>
          <w:sz w:val="24"/>
          <w:szCs w:val="24"/>
          <w:lang w:val="en-IE"/>
        </w:rPr>
        <w:t>academic freedom</w:t>
      </w:r>
      <w:r w:rsidRPr="00532C20">
        <w:rPr>
          <w:rFonts w:ascii="Times New Roman" w:eastAsia="Times" w:hAnsi="Times New Roman" w:cs="Times New Roman"/>
          <w:noProof/>
          <w:sz w:val="24"/>
          <w:szCs w:val="24"/>
          <w:lang w:val="en-IE"/>
        </w:rPr>
        <w:t xml:space="preserve">, the analysis provided with regard to the freedom of association is applicable </w:t>
      </w:r>
      <w:r w:rsidRPr="00532C20">
        <w:rPr>
          <w:rFonts w:ascii="Times New Roman" w:eastAsia="Times" w:hAnsi="Times New Roman" w:cs="Times New Roman"/>
          <w:i/>
          <w:noProof/>
          <w:sz w:val="24"/>
          <w:szCs w:val="24"/>
          <w:lang w:val="en-IE"/>
        </w:rPr>
        <w:t>mutatis mutandis</w:t>
      </w:r>
      <w:r w:rsidR="000E4177" w:rsidRPr="00532C20">
        <w:rPr>
          <w:rFonts w:ascii="Times New Roman" w:eastAsia="Times" w:hAnsi="Times New Roman" w:cs="Times New Roman"/>
          <w:i/>
          <w:noProof/>
          <w:sz w:val="24"/>
          <w:szCs w:val="24"/>
          <w:lang w:val="en-IE"/>
        </w:rPr>
        <w:t xml:space="preserve"> </w:t>
      </w:r>
      <w:r w:rsidR="000E4177" w:rsidRPr="00532C20">
        <w:rPr>
          <w:rFonts w:ascii="Times New Roman" w:eastAsia="Times" w:hAnsi="Times New Roman" w:cs="Times New Roman"/>
          <w:iCs/>
          <w:noProof/>
          <w:sz w:val="24"/>
          <w:szCs w:val="24"/>
          <w:lang w:val="en-IE"/>
        </w:rPr>
        <w:t>(see section</w:t>
      </w:r>
      <w:r w:rsidR="000E4177" w:rsidRPr="00532C20">
        <w:rPr>
          <w:rFonts w:ascii="Times New Roman" w:eastAsia="Times" w:hAnsi="Times New Roman" w:cs="Times New Roman"/>
          <w:noProof/>
          <w:sz w:val="24"/>
          <w:szCs w:val="24"/>
          <w:lang w:val="en-IE"/>
        </w:rPr>
        <w:t xml:space="preserve"> 6.2.3.2)</w:t>
      </w:r>
      <w:r w:rsidRPr="00532C20">
        <w:rPr>
          <w:rFonts w:ascii="Times New Roman" w:eastAsia="Times" w:hAnsi="Times New Roman" w:cs="Times New Roman"/>
          <w:noProof/>
          <w:sz w:val="24"/>
          <w:szCs w:val="24"/>
          <w:lang w:val="en-IE"/>
        </w:rPr>
        <w:t>.</w:t>
      </w:r>
    </w:p>
    <w:p w14:paraId="0678B224" w14:textId="026DF558" w:rsidR="009B635F" w:rsidRPr="00532C20" w:rsidRDefault="009B635F" w:rsidP="00E415E8">
      <w:pPr>
        <w:pStyle w:val="1111level4section"/>
        <w:spacing w:before="120" w:after="120" w:line="240" w:lineRule="auto"/>
        <w:rPr>
          <w:noProof/>
        </w:rPr>
      </w:pPr>
      <w:bookmarkStart w:id="974" w:name="_Ref147148658"/>
      <w:bookmarkStart w:id="975" w:name="_Toc152864705"/>
      <w:bookmarkStart w:id="976" w:name="_Toc75862442"/>
      <w:bookmarkStart w:id="977" w:name="_Toc78820717"/>
      <w:bookmarkStart w:id="978" w:name="_Toc78821833"/>
      <w:bookmarkStart w:id="979" w:name="_Toc79679525"/>
      <w:bookmarkStart w:id="980" w:name="_Toc79680389"/>
      <w:bookmarkStart w:id="981" w:name="_Toc79742187"/>
      <w:bookmarkStart w:id="982" w:name="_Toc79745671"/>
      <w:bookmarkStart w:id="983" w:name="_Toc79748378"/>
      <w:bookmarkStart w:id="984" w:name="_Toc79765325"/>
      <w:bookmarkStart w:id="985" w:name="_Toc79765422"/>
      <w:bookmarkStart w:id="986" w:name="_Toc80020711"/>
      <w:bookmarkStart w:id="987" w:name="_Toc80024186"/>
      <w:bookmarkStart w:id="988" w:name="_Toc80025908"/>
      <w:bookmarkStart w:id="989" w:name="_Toc80028659"/>
      <w:bookmarkStart w:id="990" w:name="_Toc80093488"/>
      <w:bookmarkStart w:id="991" w:name="_Toc80110117"/>
      <w:bookmarkStart w:id="992" w:name="_Toc80111503"/>
      <w:bookmarkStart w:id="993" w:name="_Toc80116083"/>
      <w:bookmarkStart w:id="994" w:name="_Toc80637882"/>
      <w:bookmarkStart w:id="995" w:name="_Toc80640273"/>
      <w:bookmarkStart w:id="996" w:name="_Toc80643529"/>
      <w:bookmarkStart w:id="997" w:name="_Toc80643758"/>
      <w:bookmarkStart w:id="998" w:name="_Toc80703187"/>
      <w:bookmarkStart w:id="999" w:name="_Toc80708272"/>
      <w:bookmarkStart w:id="1000" w:name="_Toc80709745"/>
      <w:bookmarkStart w:id="1001" w:name="_Toc80710133"/>
      <w:bookmarkStart w:id="1002" w:name="_Toc80725966"/>
      <w:bookmarkStart w:id="1003" w:name="_Toc80808481"/>
      <w:bookmarkStart w:id="1004" w:name="_Toc80865905"/>
      <w:bookmarkStart w:id="1005" w:name="_Toc80888240"/>
      <w:bookmarkStart w:id="1006" w:name="_Toc80980448"/>
      <w:bookmarkStart w:id="1007" w:name="_Toc81222318"/>
      <w:bookmarkStart w:id="1008" w:name="_Toc81225204"/>
      <w:bookmarkStart w:id="1009" w:name="_Toc81227746"/>
      <w:bookmarkStart w:id="1010" w:name="_Toc81228518"/>
      <w:bookmarkStart w:id="1011" w:name="_Toc81232700"/>
      <w:bookmarkStart w:id="1012" w:name="_Toc81233805"/>
      <w:bookmarkStart w:id="1013" w:name="_Toc81242131"/>
      <w:bookmarkStart w:id="1014" w:name="_Toc81242320"/>
      <w:bookmarkStart w:id="1015" w:name="_Toc81298971"/>
      <w:bookmarkStart w:id="1016" w:name="_Toc81306504"/>
      <w:bookmarkStart w:id="1017" w:name="_Toc81307880"/>
      <w:bookmarkStart w:id="1018" w:name="_Toc81314479"/>
      <w:bookmarkStart w:id="1019" w:name="_Toc81394879"/>
      <w:bookmarkStart w:id="1020" w:name="_Toc81401551"/>
      <w:bookmarkStart w:id="1021" w:name="_Toc81405174"/>
      <w:bookmarkStart w:id="1022" w:name="_Toc81406624"/>
      <w:bookmarkStart w:id="1023" w:name="_Toc81406815"/>
      <w:bookmarkStart w:id="1024" w:name="_Toc86145233"/>
      <w:bookmarkStart w:id="1025" w:name="_Toc86160850"/>
      <w:bookmarkStart w:id="1026" w:name="_Toc86226288"/>
      <w:bookmarkStart w:id="1027" w:name="_Toc86231964"/>
      <w:bookmarkStart w:id="1028" w:name="_Toc87609620"/>
      <w:bookmarkStart w:id="1029" w:name="_Toc132810138"/>
      <w:r w:rsidRPr="00532C20">
        <w:rPr>
          <w:noProof/>
        </w:rPr>
        <w:t>Freedom of expression and information</w:t>
      </w:r>
      <w:bookmarkEnd w:id="974"/>
      <w:bookmarkEnd w:id="975"/>
      <w:r w:rsidR="005E2F91" w:rsidRPr="00532C20">
        <w:rPr>
          <w:noProof/>
        </w:rPr>
        <w:t xml:space="preserve"> </w:t>
      </w:r>
    </w:p>
    <w:p w14:paraId="280DB95A" w14:textId="35DC4E53" w:rsidR="00B35150" w:rsidRPr="00530FF6" w:rsidRDefault="00D506B3" w:rsidP="00C7147E">
      <w:pPr>
        <w:spacing w:after="240" w:line="240" w:lineRule="auto"/>
        <w:jc w:val="both"/>
        <w:rPr>
          <w:rFonts w:ascii="Times New Roman" w:hAnsi="Times New Roman" w:cs="Times New Roman"/>
          <w:noProof/>
          <w:sz w:val="24"/>
          <w:szCs w:val="28"/>
          <w:lang w:val="en-IE"/>
        </w:rPr>
      </w:pPr>
      <w:r w:rsidRPr="00532C20">
        <w:rPr>
          <w:rFonts w:ascii="Times New Roman" w:hAnsi="Times New Roman" w:cs="Times New Roman"/>
          <w:noProof/>
          <w:szCs w:val="24"/>
          <w:lang w:val="en-IE"/>
        </w:rPr>
        <w:t>W</w:t>
      </w:r>
      <w:r w:rsidR="009B635F" w:rsidRPr="00532C20">
        <w:rPr>
          <w:rFonts w:ascii="Times New Roman" w:hAnsi="Times New Roman" w:cs="Times New Roman"/>
          <w:noProof/>
          <w:szCs w:val="24"/>
          <w:lang w:val="en-IE"/>
        </w:rPr>
        <w:t xml:space="preserve">ith regard to the freedom of expression and </w:t>
      </w:r>
      <w:r w:rsidR="009B635F" w:rsidRPr="00532C20">
        <w:rPr>
          <w:rFonts w:ascii="Times New Roman" w:hAnsi="Times New Roman" w:cs="Times New Roman"/>
          <w:noProof/>
          <w:sz w:val="24"/>
          <w:szCs w:val="28"/>
          <w:lang w:val="en-IE"/>
        </w:rPr>
        <w:t xml:space="preserve">information (Article 11 of the Charter), </w:t>
      </w:r>
      <w:r w:rsidR="00C7147E" w:rsidRPr="00532C20">
        <w:rPr>
          <w:rFonts w:ascii="Times New Roman" w:hAnsi="Times New Roman" w:cs="Times New Roman"/>
          <w:noProof/>
          <w:sz w:val="24"/>
          <w:szCs w:val="28"/>
          <w:lang w:val="en-IE"/>
        </w:rPr>
        <w:t xml:space="preserve">both policy options would positively contribute to the right of individuals to receive and impart information </w:t>
      </w:r>
      <w:r w:rsidR="00C7147E" w:rsidRPr="00530FF6">
        <w:rPr>
          <w:rFonts w:ascii="Times New Roman" w:hAnsi="Times New Roman" w:cs="Times New Roman"/>
          <w:noProof/>
          <w:sz w:val="24"/>
          <w:szCs w:val="28"/>
          <w:lang w:val="en-IE"/>
        </w:rPr>
        <w:t xml:space="preserve">and ideas without interference by public authority. </w:t>
      </w:r>
    </w:p>
    <w:p w14:paraId="62C05D5E" w14:textId="47988DFC" w:rsidR="008734C9" w:rsidRPr="00530FF6" w:rsidRDefault="00C7147E" w:rsidP="00C7147E">
      <w:pPr>
        <w:spacing w:after="240" w:line="240" w:lineRule="auto"/>
        <w:jc w:val="both"/>
        <w:rPr>
          <w:rFonts w:ascii="Times New Roman" w:hAnsi="Times New Roman" w:cs="Times New Roman"/>
          <w:noProof/>
          <w:sz w:val="24"/>
          <w:szCs w:val="28"/>
          <w:lang w:val="en-IE"/>
        </w:rPr>
      </w:pPr>
      <w:r w:rsidRPr="00530FF6">
        <w:rPr>
          <w:rFonts w:ascii="Times New Roman" w:hAnsi="Times New Roman" w:cs="Times New Roman"/>
          <w:noProof/>
          <w:sz w:val="24"/>
          <w:szCs w:val="28"/>
          <w:lang w:val="en-IE"/>
        </w:rPr>
        <w:t xml:space="preserve">Citizens would gain </w:t>
      </w:r>
      <w:r w:rsidR="000B7218" w:rsidRPr="00313F32">
        <w:rPr>
          <w:rFonts w:ascii="Times New Roman" w:hAnsi="Times New Roman" w:cs="Times New Roman"/>
          <w:noProof/>
          <w:sz w:val="24"/>
          <w:szCs w:val="28"/>
          <w:lang w:val="en-IE"/>
        </w:rPr>
        <w:t>better</w:t>
      </w:r>
      <w:r w:rsidR="000B7218" w:rsidRPr="00530FF6">
        <w:rPr>
          <w:rFonts w:ascii="Times New Roman" w:hAnsi="Times New Roman" w:cs="Times New Roman"/>
          <w:noProof/>
          <w:sz w:val="24"/>
          <w:szCs w:val="28"/>
          <w:lang w:val="en-IE"/>
        </w:rPr>
        <w:t xml:space="preserve"> </w:t>
      </w:r>
      <w:r w:rsidRPr="00530FF6">
        <w:rPr>
          <w:rFonts w:ascii="Times New Roman" w:hAnsi="Times New Roman" w:cs="Times New Roman"/>
          <w:noProof/>
          <w:sz w:val="24"/>
          <w:szCs w:val="28"/>
          <w:lang w:val="en-IE"/>
        </w:rPr>
        <w:t xml:space="preserve">access to information on interest representation activities carried out </w:t>
      </w:r>
      <w:r w:rsidR="00E472AF" w:rsidRPr="00530FF6">
        <w:rPr>
          <w:rFonts w:ascii="Times New Roman" w:hAnsi="Times New Roman" w:cs="Times New Roman"/>
          <w:noProof/>
          <w:sz w:val="24"/>
          <w:szCs w:val="28"/>
          <w:lang w:val="en-IE"/>
        </w:rPr>
        <w:t xml:space="preserve">on behalf of </w:t>
      </w:r>
      <w:r w:rsidRPr="00530FF6">
        <w:rPr>
          <w:rFonts w:ascii="Times New Roman" w:hAnsi="Times New Roman" w:cs="Times New Roman"/>
          <w:noProof/>
          <w:sz w:val="24"/>
          <w:szCs w:val="28"/>
          <w:lang w:val="en-IE"/>
        </w:rPr>
        <w:t>third countries affecting public decision</w:t>
      </w:r>
      <w:r w:rsidR="007F0FA3" w:rsidRPr="00530FF6">
        <w:rPr>
          <w:rFonts w:ascii="Times New Roman" w:hAnsi="Times New Roman" w:cs="Times New Roman"/>
          <w:noProof/>
          <w:sz w:val="24"/>
          <w:szCs w:val="28"/>
          <w:lang w:val="en-IE"/>
        </w:rPr>
        <w:t>-</w:t>
      </w:r>
      <w:r w:rsidRPr="00530FF6">
        <w:rPr>
          <w:rFonts w:ascii="Times New Roman" w:hAnsi="Times New Roman" w:cs="Times New Roman"/>
          <w:noProof/>
          <w:sz w:val="24"/>
          <w:szCs w:val="28"/>
          <w:lang w:val="en-IE"/>
        </w:rPr>
        <w:t>making</w:t>
      </w:r>
      <w:r w:rsidR="00E472AF" w:rsidRPr="00530FF6">
        <w:rPr>
          <w:rFonts w:ascii="Times New Roman" w:hAnsi="Times New Roman" w:cs="Times New Roman"/>
          <w:noProof/>
          <w:sz w:val="24"/>
          <w:szCs w:val="28"/>
          <w:lang w:val="en-IE"/>
        </w:rPr>
        <w:t xml:space="preserve">. This would strengthen </w:t>
      </w:r>
      <w:r w:rsidRPr="00530FF6">
        <w:rPr>
          <w:rFonts w:ascii="Times New Roman" w:hAnsi="Times New Roman" w:cs="Times New Roman"/>
          <w:noProof/>
          <w:sz w:val="24"/>
          <w:szCs w:val="28"/>
          <w:lang w:val="en-IE"/>
        </w:rPr>
        <w:t xml:space="preserve">their understanding of such activities, </w:t>
      </w:r>
      <w:r w:rsidR="00045564" w:rsidRPr="00530FF6">
        <w:rPr>
          <w:rFonts w:ascii="Times New Roman" w:hAnsi="Times New Roman" w:cs="Times New Roman"/>
          <w:noProof/>
          <w:sz w:val="24"/>
          <w:szCs w:val="28"/>
          <w:lang w:val="en-IE"/>
        </w:rPr>
        <w:t xml:space="preserve">reinforce </w:t>
      </w:r>
      <w:r w:rsidRPr="00530FF6">
        <w:rPr>
          <w:rFonts w:ascii="Times New Roman" w:hAnsi="Times New Roman" w:cs="Times New Roman"/>
          <w:noProof/>
          <w:sz w:val="24"/>
          <w:szCs w:val="28"/>
          <w:lang w:val="en-IE"/>
        </w:rPr>
        <w:t>their confidence in the integrity of public decision</w:t>
      </w:r>
      <w:r w:rsidR="007F0FA3" w:rsidRPr="00530FF6">
        <w:rPr>
          <w:rFonts w:ascii="Times New Roman" w:hAnsi="Times New Roman" w:cs="Times New Roman"/>
          <w:noProof/>
          <w:sz w:val="24"/>
          <w:szCs w:val="28"/>
          <w:lang w:val="en-IE"/>
        </w:rPr>
        <w:t>-</w:t>
      </w:r>
      <w:r w:rsidRPr="00530FF6">
        <w:rPr>
          <w:rFonts w:ascii="Times New Roman" w:hAnsi="Times New Roman" w:cs="Times New Roman"/>
          <w:noProof/>
          <w:sz w:val="24"/>
          <w:szCs w:val="28"/>
          <w:lang w:val="en-IE"/>
        </w:rPr>
        <w:t>making processes and deter manipulative foreign interference</w:t>
      </w:r>
      <w:r w:rsidR="00347B53" w:rsidRPr="00530FF6">
        <w:rPr>
          <w:rFonts w:ascii="Times New Roman" w:hAnsi="Times New Roman" w:cs="Times New Roman"/>
          <w:noProof/>
          <w:sz w:val="24"/>
          <w:szCs w:val="28"/>
          <w:lang w:val="en-IE"/>
        </w:rPr>
        <w:t xml:space="preserve">. </w:t>
      </w:r>
      <w:r w:rsidRPr="00530FF6">
        <w:rPr>
          <w:rFonts w:ascii="Times New Roman" w:hAnsi="Times New Roman" w:cs="Times New Roman"/>
          <w:noProof/>
          <w:sz w:val="24"/>
          <w:szCs w:val="28"/>
          <w:lang w:val="en-IE"/>
        </w:rPr>
        <w:t xml:space="preserve"> </w:t>
      </w:r>
      <w:r w:rsidR="000B7218" w:rsidRPr="00313F32">
        <w:rPr>
          <w:rFonts w:ascii="Times New Roman" w:hAnsi="Times New Roman" w:cs="Times New Roman"/>
          <w:noProof/>
          <w:sz w:val="24"/>
          <w:szCs w:val="28"/>
          <w:lang w:val="en-IE"/>
        </w:rPr>
        <w:t xml:space="preserve">At the same time, </w:t>
      </w:r>
      <w:r w:rsidRPr="00530FF6">
        <w:rPr>
          <w:rFonts w:ascii="Times New Roman" w:hAnsi="Times New Roman" w:cs="Times New Roman"/>
          <w:noProof/>
          <w:sz w:val="24"/>
          <w:szCs w:val="28"/>
          <w:lang w:val="en-IE"/>
        </w:rPr>
        <w:t xml:space="preserve">safeguards </w:t>
      </w:r>
      <w:r w:rsidR="00961D49" w:rsidRPr="00313F32">
        <w:rPr>
          <w:rFonts w:ascii="Times New Roman" w:hAnsi="Times New Roman" w:cs="Times New Roman"/>
          <w:noProof/>
          <w:sz w:val="24"/>
          <w:szCs w:val="28"/>
          <w:lang w:val="en-IE"/>
        </w:rPr>
        <w:t xml:space="preserve">ensure that </w:t>
      </w:r>
      <w:r w:rsidRPr="00530FF6">
        <w:rPr>
          <w:rFonts w:ascii="Times New Roman" w:hAnsi="Times New Roman" w:cs="Times New Roman"/>
          <w:noProof/>
          <w:sz w:val="24"/>
          <w:szCs w:val="28"/>
          <w:lang w:val="en-IE"/>
        </w:rPr>
        <w:t>the right</w:t>
      </w:r>
      <w:r w:rsidR="00961D49" w:rsidRPr="00313F32">
        <w:rPr>
          <w:rFonts w:ascii="Times New Roman" w:hAnsi="Times New Roman" w:cs="Times New Roman"/>
          <w:noProof/>
          <w:sz w:val="24"/>
          <w:szCs w:val="28"/>
          <w:lang w:val="en-IE"/>
        </w:rPr>
        <w:t xml:space="preserve"> </w:t>
      </w:r>
      <w:r w:rsidRPr="00530FF6">
        <w:rPr>
          <w:rFonts w:ascii="Times New Roman" w:hAnsi="Times New Roman" w:cs="Times New Roman"/>
          <w:noProof/>
          <w:sz w:val="24"/>
          <w:szCs w:val="28"/>
          <w:lang w:val="en-IE"/>
        </w:rPr>
        <w:t xml:space="preserve">to </w:t>
      </w:r>
      <w:r w:rsidR="00961D49" w:rsidRPr="00313F32">
        <w:rPr>
          <w:rFonts w:ascii="Times New Roman" w:hAnsi="Times New Roman" w:cs="Times New Roman"/>
          <w:noProof/>
          <w:sz w:val="24"/>
          <w:szCs w:val="28"/>
          <w:lang w:val="en-IE"/>
        </w:rPr>
        <w:t xml:space="preserve">the protection of </w:t>
      </w:r>
      <w:r w:rsidRPr="00530FF6">
        <w:rPr>
          <w:rFonts w:ascii="Times New Roman" w:hAnsi="Times New Roman" w:cs="Times New Roman"/>
          <w:noProof/>
          <w:sz w:val="24"/>
          <w:szCs w:val="28"/>
          <w:lang w:val="en-IE"/>
        </w:rPr>
        <w:t>personal data of natural persons providing information to national registries</w:t>
      </w:r>
      <w:r w:rsidR="00E156D7" w:rsidRPr="00313F32">
        <w:rPr>
          <w:rFonts w:ascii="Times New Roman" w:hAnsi="Times New Roman" w:cs="Times New Roman"/>
          <w:noProof/>
          <w:sz w:val="24"/>
          <w:szCs w:val="28"/>
          <w:lang w:val="en-IE"/>
        </w:rPr>
        <w:t xml:space="preserve"> is guaranteed. </w:t>
      </w:r>
      <w:r w:rsidR="00751101" w:rsidRPr="00313F32">
        <w:rPr>
          <w:rFonts w:ascii="Times New Roman" w:hAnsi="Times New Roman" w:cs="Times New Roman"/>
          <w:noProof/>
          <w:sz w:val="24"/>
          <w:szCs w:val="28"/>
          <w:lang w:val="en-IE"/>
        </w:rPr>
        <w:t>In addition,</w:t>
      </w:r>
      <w:r w:rsidRPr="00530FF6">
        <w:rPr>
          <w:rFonts w:ascii="Times New Roman" w:hAnsi="Times New Roman" w:cs="Times New Roman"/>
          <w:noProof/>
          <w:sz w:val="24"/>
          <w:szCs w:val="28"/>
          <w:lang w:val="en-IE"/>
        </w:rPr>
        <w:t xml:space="preserve"> in specific situations where organisations registered</w:t>
      </w:r>
      <w:r w:rsidR="00DF682E" w:rsidRPr="00313F32">
        <w:rPr>
          <w:rFonts w:ascii="Times New Roman" w:hAnsi="Times New Roman" w:cs="Times New Roman"/>
          <w:noProof/>
          <w:sz w:val="24"/>
          <w:szCs w:val="28"/>
          <w:lang w:val="en-IE"/>
        </w:rPr>
        <w:t xml:space="preserve"> justify</w:t>
      </w:r>
      <w:r w:rsidRPr="00530FF6">
        <w:rPr>
          <w:rFonts w:ascii="Times New Roman" w:hAnsi="Times New Roman" w:cs="Times New Roman"/>
          <w:noProof/>
          <w:sz w:val="24"/>
          <w:szCs w:val="28"/>
          <w:lang w:val="en-IE"/>
        </w:rPr>
        <w:t xml:space="preserve"> an overriding interest</w:t>
      </w:r>
      <w:r w:rsidR="00956BD9" w:rsidRPr="00313F32">
        <w:rPr>
          <w:rFonts w:ascii="Times New Roman" w:hAnsi="Times New Roman" w:cs="Times New Roman"/>
          <w:noProof/>
          <w:sz w:val="24"/>
          <w:szCs w:val="28"/>
          <w:lang w:val="en-IE"/>
        </w:rPr>
        <w:t xml:space="preserve">, </w:t>
      </w:r>
      <w:r w:rsidRPr="00530FF6">
        <w:rPr>
          <w:rFonts w:ascii="Times New Roman" w:hAnsi="Times New Roman" w:cs="Times New Roman"/>
          <w:noProof/>
          <w:sz w:val="24"/>
          <w:szCs w:val="28"/>
          <w:lang w:val="en-IE"/>
        </w:rPr>
        <w:t xml:space="preserve"> </w:t>
      </w:r>
      <w:r w:rsidR="005D45B9" w:rsidRPr="00313F32">
        <w:rPr>
          <w:rFonts w:ascii="Times New Roman" w:hAnsi="Times New Roman" w:cs="Times New Roman"/>
          <w:noProof/>
          <w:sz w:val="24"/>
          <w:szCs w:val="28"/>
          <w:lang w:val="en-IE"/>
        </w:rPr>
        <w:t xml:space="preserve">the </w:t>
      </w:r>
      <w:r w:rsidRPr="00530FF6">
        <w:rPr>
          <w:rFonts w:ascii="Times New Roman" w:hAnsi="Times New Roman" w:cs="Times New Roman"/>
          <w:noProof/>
          <w:sz w:val="24"/>
          <w:szCs w:val="28"/>
          <w:lang w:val="en-IE"/>
        </w:rPr>
        <w:t xml:space="preserve">publication of information </w:t>
      </w:r>
      <w:r w:rsidR="005D45B9" w:rsidRPr="00313F32">
        <w:rPr>
          <w:rFonts w:ascii="Times New Roman" w:hAnsi="Times New Roman" w:cs="Times New Roman"/>
          <w:noProof/>
          <w:sz w:val="24"/>
          <w:szCs w:val="28"/>
          <w:lang w:val="en-IE"/>
        </w:rPr>
        <w:t xml:space="preserve">may </w:t>
      </w:r>
      <w:r w:rsidRPr="00530FF6">
        <w:rPr>
          <w:rFonts w:ascii="Times New Roman" w:hAnsi="Times New Roman" w:cs="Times New Roman"/>
          <w:noProof/>
          <w:sz w:val="24"/>
          <w:szCs w:val="28"/>
          <w:lang w:val="en-IE"/>
        </w:rPr>
        <w:t xml:space="preserve">exceptionally be withheld. </w:t>
      </w:r>
    </w:p>
    <w:p w14:paraId="790F0F3F" w14:textId="10A83F6A" w:rsidR="00C7147E" w:rsidRPr="00532C20" w:rsidRDefault="00C7147E" w:rsidP="00C7147E">
      <w:pPr>
        <w:spacing w:after="240" w:line="240" w:lineRule="auto"/>
        <w:jc w:val="both"/>
        <w:rPr>
          <w:rFonts w:ascii="Times New Roman" w:hAnsi="Times New Roman" w:cs="Times New Roman"/>
          <w:noProof/>
          <w:sz w:val="24"/>
          <w:szCs w:val="28"/>
          <w:lang w:val="en-IE"/>
        </w:rPr>
      </w:pPr>
      <w:r w:rsidRPr="00530FF6">
        <w:rPr>
          <w:rFonts w:ascii="Times New Roman" w:hAnsi="Times New Roman" w:cs="Times New Roman"/>
          <w:noProof/>
          <w:sz w:val="24"/>
          <w:szCs w:val="28"/>
          <w:lang w:val="en-IE"/>
        </w:rPr>
        <w:t>In this regard, the legislative measures in the proposal would improve the transparency and accountability</w:t>
      </w:r>
      <w:r w:rsidRPr="00532C20">
        <w:rPr>
          <w:rFonts w:ascii="Times New Roman" w:hAnsi="Times New Roman" w:cs="Times New Roman"/>
          <w:noProof/>
          <w:sz w:val="24"/>
          <w:szCs w:val="28"/>
          <w:lang w:val="en-IE"/>
        </w:rPr>
        <w:t xml:space="preserve"> of entities that carry out interest representation activities on behalf of third countries and </w:t>
      </w:r>
      <w:r w:rsidR="0043055D">
        <w:rPr>
          <w:rFonts w:ascii="Times New Roman" w:hAnsi="Times New Roman" w:cs="Times New Roman"/>
          <w:noProof/>
          <w:sz w:val="24"/>
          <w:szCs w:val="28"/>
          <w:lang w:val="en-IE"/>
        </w:rPr>
        <w:t xml:space="preserve">enhance </w:t>
      </w:r>
      <w:r w:rsidRPr="00532C20">
        <w:rPr>
          <w:rFonts w:ascii="Times New Roman" w:hAnsi="Times New Roman" w:cs="Times New Roman"/>
          <w:noProof/>
          <w:sz w:val="24"/>
          <w:szCs w:val="28"/>
          <w:lang w:val="en-IE"/>
        </w:rPr>
        <w:t xml:space="preserve">the knowledge about the magnitude, trends and actors of such activities. The fundamental right to receive information would be reinforced as citizens would gain useful information to exercise their democratic rights and hold their public officials accountable. </w:t>
      </w:r>
    </w:p>
    <w:p w14:paraId="17C71180" w14:textId="50691EAA" w:rsidR="000E65F8" w:rsidRPr="00FB5DD0" w:rsidRDefault="00C7147E" w:rsidP="00DE49F8">
      <w:pPr>
        <w:pStyle w:val="Text2"/>
        <w:spacing w:after="120"/>
        <w:ind w:left="0"/>
        <w:rPr>
          <w:rFonts w:ascii="Times New Roman" w:hAnsi="Times New Roman" w:cs="Times New Roman"/>
          <w:noProof/>
          <w:szCs w:val="24"/>
          <w:lang w:val="en-IE"/>
        </w:rPr>
      </w:pPr>
      <w:r w:rsidRPr="00FB5DD0">
        <w:rPr>
          <w:rFonts w:ascii="Times New Roman" w:hAnsi="Times New Roman" w:cs="Times New Roman"/>
          <w:noProof/>
          <w:szCs w:val="24"/>
          <w:u w:val="single"/>
          <w:lang w:val="en-IE"/>
        </w:rPr>
        <w:t>N</w:t>
      </w:r>
      <w:r w:rsidR="00D506B3" w:rsidRPr="00FB5DD0">
        <w:rPr>
          <w:rFonts w:ascii="Times New Roman" w:hAnsi="Times New Roman" w:cs="Times New Roman"/>
          <w:noProof/>
          <w:szCs w:val="24"/>
          <w:u w:val="single"/>
          <w:lang w:val="en-IE"/>
        </w:rPr>
        <w:t>one of the policy options</w:t>
      </w:r>
      <w:r w:rsidR="009B635F" w:rsidRPr="00FB5DD0">
        <w:rPr>
          <w:rFonts w:ascii="Times New Roman" w:hAnsi="Times New Roman" w:cs="Times New Roman"/>
          <w:noProof/>
          <w:szCs w:val="24"/>
          <w:u w:val="single"/>
          <w:lang w:val="en-IE"/>
        </w:rPr>
        <w:t xml:space="preserve"> regulate the content of the interest representation activities</w:t>
      </w:r>
      <w:r w:rsidR="009B635F" w:rsidRPr="00FB5DD0">
        <w:rPr>
          <w:rFonts w:ascii="Times New Roman" w:hAnsi="Times New Roman" w:cs="Times New Roman"/>
          <w:noProof/>
          <w:szCs w:val="24"/>
          <w:lang w:val="en-IE"/>
        </w:rPr>
        <w:t xml:space="preserve">. </w:t>
      </w:r>
    </w:p>
    <w:p w14:paraId="3FDA10D6" w14:textId="383514D1" w:rsidR="0027032E" w:rsidRPr="00FB5DD0" w:rsidRDefault="006F4653" w:rsidP="00DE49F8">
      <w:pPr>
        <w:pStyle w:val="Text2"/>
        <w:spacing w:after="120"/>
        <w:ind w:left="0"/>
        <w:rPr>
          <w:rFonts w:ascii="Times New Roman" w:hAnsi="Times New Roman" w:cs="Times New Roman"/>
          <w:noProof/>
          <w:szCs w:val="24"/>
          <w:lang w:val="en-IE"/>
        </w:rPr>
      </w:pPr>
      <w:r w:rsidRPr="00FB5DD0">
        <w:rPr>
          <w:rFonts w:ascii="Times New Roman" w:hAnsi="Times New Roman" w:cs="Times New Roman"/>
          <w:noProof/>
          <w:szCs w:val="24"/>
          <w:u w:val="single"/>
          <w:lang w:val="en-IE"/>
        </w:rPr>
        <w:t>N</w:t>
      </w:r>
      <w:r w:rsidR="00695DEB" w:rsidRPr="00FB5DD0">
        <w:rPr>
          <w:rFonts w:ascii="Times New Roman" w:hAnsi="Times New Roman" w:cs="Times New Roman"/>
          <w:noProof/>
          <w:szCs w:val="24"/>
          <w:u w:val="single"/>
          <w:lang w:val="en-IE"/>
        </w:rPr>
        <w:t>one of the policy option</w:t>
      </w:r>
      <w:r w:rsidR="008A2854" w:rsidRPr="00FB5DD0">
        <w:rPr>
          <w:rFonts w:ascii="Times New Roman" w:hAnsi="Times New Roman" w:cs="Times New Roman"/>
          <w:noProof/>
          <w:szCs w:val="24"/>
          <w:u w:val="single"/>
          <w:lang w:val="en-IE"/>
        </w:rPr>
        <w:t>s</w:t>
      </w:r>
      <w:r w:rsidR="00695DEB" w:rsidRPr="00FB5DD0">
        <w:rPr>
          <w:rFonts w:ascii="Times New Roman" w:hAnsi="Times New Roman" w:cs="Times New Roman"/>
          <w:noProof/>
          <w:szCs w:val="24"/>
          <w:lang w:val="en-IE"/>
        </w:rPr>
        <w:t xml:space="preserve"> require transparency in terms of funding of operating expenditure</w:t>
      </w:r>
      <w:r w:rsidR="00721F73" w:rsidRPr="00FB5DD0">
        <w:rPr>
          <w:rFonts w:ascii="Times New Roman" w:hAnsi="Times New Roman" w:cs="Times New Roman"/>
          <w:noProof/>
          <w:szCs w:val="24"/>
          <w:lang w:val="en-IE"/>
        </w:rPr>
        <w:t>,</w:t>
      </w:r>
      <w:r w:rsidR="00695DEB" w:rsidRPr="00FB5DD0">
        <w:rPr>
          <w:rFonts w:ascii="Times New Roman" w:hAnsi="Times New Roman" w:cs="Times New Roman"/>
          <w:noProof/>
          <w:szCs w:val="24"/>
          <w:lang w:val="en-IE"/>
        </w:rPr>
        <w:t xml:space="preserve"> </w:t>
      </w:r>
      <w:r w:rsidR="000E65F8" w:rsidRPr="00FB5DD0">
        <w:rPr>
          <w:rFonts w:ascii="Times New Roman" w:hAnsi="Times New Roman" w:cs="Times New Roman"/>
          <w:noProof/>
          <w:szCs w:val="24"/>
          <w:lang w:val="en-IE"/>
        </w:rPr>
        <w:t>which are unrelated to an interest representation activity like s</w:t>
      </w:r>
      <w:r w:rsidR="006026AC" w:rsidRPr="00FB5DD0">
        <w:rPr>
          <w:rFonts w:ascii="Times New Roman" w:hAnsi="Times New Roman" w:cs="Times New Roman"/>
          <w:noProof/>
          <w:lang w:val="en-IE"/>
        </w:rPr>
        <w:t>tructural gr</w:t>
      </w:r>
      <w:r w:rsidR="000E65F8" w:rsidRPr="00FB5DD0">
        <w:rPr>
          <w:rFonts w:ascii="Times New Roman" w:hAnsi="Times New Roman" w:cs="Times New Roman"/>
          <w:noProof/>
          <w:lang w:val="en-IE"/>
        </w:rPr>
        <w:t xml:space="preserve">ants or donations. </w:t>
      </w:r>
      <w:r w:rsidR="00223C16" w:rsidRPr="00FB5DD0">
        <w:rPr>
          <w:rFonts w:ascii="Times New Roman" w:hAnsi="Times New Roman" w:cs="Times New Roman"/>
          <w:noProof/>
          <w:lang w:val="en-IE"/>
        </w:rPr>
        <w:t>This implies that the freedom of CSOs</w:t>
      </w:r>
      <w:r w:rsidR="0027032E" w:rsidRPr="00FB5DD0">
        <w:rPr>
          <w:rFonts w:ascii="Times New Roman" w:hAnsi="Times New Roman" w:cs="Times New Roman"/>
          <w:noProof/>
          <w:lang w:val="en-IE"/>
        </w:rPr>
        <w:t xml:space="preserve"> and other concerned entities,</w:t>
      </w:r>
      <w:r w:rsidR="00223C16" w:rsidRPr="00FB5DD0">
        <w:rPr>
          <w:rFonts w:ascii="Times New Roman" w:hAnsi="Times New Roman" w:cs="Times New Roman"/>
          <w:noProof/>
          <w:lang w:val="en-IE"/>
        </w:rPr>
        <w:t xml:space="preserve"> to express an opinion on their own behalf</w:t>
      </w:r>
      <w:r w:rsidR="0039303E" w:rsidRPr="00FB5DD0">
        <w:rPr>
          <w:rFonts w:ascii="Times New Roman" w:hAnsi="Times New Roman" w:cs="Times New Roman"/>
          <w:noProof/>
          <w:lang w:val="en-IE"/>
        </w:rPr>
        <w:t>,</w:t>
      </w:r>
      <w:r w:rsidR="00223C16" w:rsidRPr="00FB5DD0">
        <w:rPr>
          <w:rFonts w:ascii="Times New Roman" w:hAnsi="Times New Roman" w:cs="Times New Roman"/>
          <w:noProof/>
          <w:lang w:val="en-IE"/>
        </w:rPr>
        <w:t xml:space="preserve"> would </w:t>
      </w:r>
      <w:r w:rsidR="002F3008" w:rsidRPr="00FB5DD0">
        <w:rPr>
          <w:rFonts w:ascii="Times New Roman" w:hAnsi="Times New Roman" w:cs="Times New Roman"/>
          <w:i/>
          <w:noProof/>
          <w:lang w:val="en-IE"/>
        </w:rPr>
        <w:t>a priori</w:t>
      </w:r>
      <w:r w:rsidR="002F3008" w:rsidRPr="00FB5DD0">
        <w:rPr>
          <w:rFonts w:ascii="Times New Roman" w:hAnsi="Times New Roman" w:cs="Times New Roman"/>
          <w:noProof/>
          <w:lang w:val="en-IE"/>
        </w:rPr>
        <w:t xml:space="preserve"> </w:t>
      </w:r>
      <w:r w:rsidR="00223C16" w:rsidRPr="00FB5DD0">
        <w:rPr>
          <w:rFonts w:ascii="Times New Roman" w:hAnsi="Times New Roman" w:cs="Times New Roman"/>
          <w:noProof/>
          <w:lang w:val="en-IE"/>
        </w:rPr>
        <w:t xml:space="preserve">not be affected by </w:t>
      </w:r>
      <w:r w:rsidR="002F3008" w:rsidRPr="00FB5DD0">
        <w:rPr>
          <w:rFonts w:ascii="Times New Roman" w:hAnsi="Times New Roman" w:cs="Times New Roman"/>
          <w:noProof/>
          <w:lang w:val="en-IE"/>
        </w:rPr>
        <w:t>the different policy</w:t>
      </w:r>
      <w:r w:rsidR="00223C16" w:rsidRPr="00FB5DD0">
        <w:rPr>
          <w:rFonts w:ascii="Times New Roman" w:hAnsi="Times New Roman" w:cs="Times New Roman"/>
          <w:noProof/>
          <w:lang w:val="en-IE"/>
        </w:rPr>
        <w:t xml:space="preserve"> options.</w:t>
      </w:r>
      <w:r w:rsidR="0027032E" w:rsidRPr="00FB5DD0">
        <w:rPr>
          <w:rFonts w:ascii="Times New Roman" w:hAnsi="Times New Roman" w:cs="Times New Roman"/>
          <w:noProof/>
          <w:szCs w:val="24"/>
          <w:lang w:val="en-IE"/>
        </w:rPr>
        <w:t xml:space="preserve"> </w:t>
      </w:r>
    </w:p>
    <w:p w14:paraId="6394D370" w14:textId="10DF9AFC" w:rsidR="003A132C" w:rsidRPr="00FB5DD0" w:rsidRDefault="001137E9" w:rsidP="00DE49F8">
      <w:pPr>
        <w:pStyle w:val="Text2"/>
        <w:spacing w:after="120"/>
        <w:ind w:left="0"/>
        <w:rPr>
          <w:rFonts w:ascii="Times New Roman" w:hAnsi="Times New Roman" w:cs="Times New Roman"/>
          <w:noProof/>
          <w:szCs w:val="24"/>
          <w:lang w:val="en-IE"/>
        </w:rPr>
      </w:pPr>
      <w:r w:rsidRPr="00FB5DD0">
        <w:rPr>
          <w:rFonts w:ascii="Times New Roman" w:hAnsi="Times New Roman" w:cs="Times New Roman"/>
          <w:noProof/>
          <w:szCs w:val="24"/>
          <w:lang w:val="en-IE"/>
        </w:rPr>
        <w:t>T</w:t>
      </w:r>
      <w:r w:rsidR="007156B2" w:rsidRPr="00FB5DD0">
        <w:rPr>
          <w:rFonts w:ascii="Times New Roman" w:hAnsi="Times New Roman" w:cs="Times New Roman"/>
          <w:noProof/>
          <w:szCs w:val="24"/>
          <w:lang w:val="en-IE"/>
        </w:rPr>
        <w:t xml:space="preserve">he </w:t>
      </w:r>
      <w:r w:rsidR="00D61E89" w:rsidRPr="00FB5DD0">
        <w:rPr>
          <w:rFonts w:ascii="Times New Roman" w:hAnsi="Times New Roman" w:cs="Times New Roman"/>
          <w:noProof/>
          <w:szCs w:val="24"/>
          <w:lang w:val="en-IE"/>
        </w:rPr>
        <w:t>provision of transparency</w:t>
      </w:r>
      <w:r w:rsidR="00C61EE3" w:rsidRPr="00FB5DD0">
        <w:rPr>
          <w:rFonts w:ascii="Times New Roman" w:hAnsi="Times New Roman" w:cs="Times New Roman"/>
          <w:noProof/>
          <w:szCs w:val="24"/>
          <w:lang w:val="en-IE"/>
        </w:rPr>
        <w:t xml:space="preserve"> measures</w:t>
      </w:r>
      <w:r w:rsidR="006E6F92" w:rsidRPr="00FB5DD0">
        <w:rPr>
          <w:rFonts w:ascii="Times New Roman" w:hAnsi="Times New Roman" w:cs="Times New Roman"/>
          <w:noProof/>
          <w:szCs w:val="24"/>
          <w:lang w:val="en-IE"/>
        </w:rPr>
        <w:t xml:space="preserve"> could have </w:t>
      </w:r>
      <w:r w:rsidR="006E6F92" w:rsidRPr="00FB5DD0">
        <w:rPr>
          <w:rFonts w:ascii="Times New Roman" w:hAnsi="Times New Roman" w:cs="Times New Roman"/>
          <w:noProof/>
          <w:szCs w:val="24"/>
          <w:u w:val="single"/>
          <w:lang w:val="en-IE"/>
        </w:rPr>
        <w:t xml:space="preserve">a chilling effect on the decision to carry out </w:t>
      </w:r>
      <w:r w:rsidR="002136CB" w:rsidRPr="00FB5DD0">
        <w:rPr>
          <w:rFonts w:ascii="Times New Roman" w:hAnsi="Times New Roman" w:cs="Times New Roman"/>
          <w:noProof/>
          <w:szCs w:val="24"/>
          <w:u w:val="single"/>
          <w:lang w:val="en-IE"/>
        </w:rPr>
        <w:t>interest</w:t>
      </w:r>
      <w:r w:rsidR="006E6F92" w:rsidRPr="00FB5DD0">
        <w:rPr>
          <w:rFonts w:ascii="Times New Roman" w:hAnsi="Times New Roman" w:cs="Times New Roman"/>
          <w:noProof/>
          <w:szCs w:val="24"/>
          <w:u w:val="single"/>
          <w:lang w:val="en-IE"/>
        </w:rPr>
        <w:t xml:space="preserve"> representation activities</w:t>
      </w:r>
      <w:r w:rsidR="006E6F92" w:rsidRPr="00FB5DD0">
        <w:rPr>
          <w:rFonts w:ascii="Times New Roman" w:hAnsi="Times New Roman" w:cs="Times New Roman"/>
          <w:noProof/>
          <w:szCs w:val="24"/>
          <w:lang w:val="en-IE"/>
        </w:rPr>
        <w:t xml:space="preserve"> and </w:t>
      </w:r>
      <w:r w:rsidR="005300C6" w:rsidRPr="00FB5DD0">
        <w:rPr>
          <w:rFonts w:ascii="Times New Roman" w:hAnsi="Times New Roman" w:cs="Times New Roman"/>
          <w:noProof/>
          <w:szCs w:val="24"/>
          <w:lang w:val="en-IE"/>
        </w:rPr>
        <w:t xml:space="preserve">could restrict </w:t>
      </w:r>
      <w:r w:rsidR="00E05CF0" w:rsidRPr="00FB5DD0">
        <w:rPr>
          <w:rFonts w:ascii="Times New Roman" w:hAnsi="Times New Roman" w:cs="Times New Roman"/>
          <w:noProof/>
          <w:szCs w:val="24"/>
          <w:lang w:val="en-IE"/>
        </w:rPr>
        <w:t xml:space="preserve">the </w:t>
      </w:r>
      <w:r w:rsidR="005300C6" w:rsidRPr="00FB5DD0">
        <w:rPr>
          <w:rFonts w:ascii="Times New Roman" w:hAnsi="Times New Roman" w:cs="Times New Roman"/>
          <w:noProof/>
          <w:szCs w:val="24"/>
          <w:lang w:val="en-IE"/>
        </w:rPr>
        <w:t>freedom of expression of entities whose action can be attributed to a third country government (such as a private entity controlled by a third country)</w:t>
      </w:r>
      <w:r w:rsidR="00563FF3" w:rsidRPr="00FB5DD0">
        <w:rPr>
          <w:rStyle w:val="FootnoteReference"/>
          <w:rFonts w:ascii="Times New Roman" w:hAnsi="Times New Roman" w:cs="Times New Roman"/>
          <w:noProof/>
          <w:szCs w:val="24"/>
          <w:lang w:val="en-IE"/>
        </w:rPr>
        <w:footnoteReference w:id="202"/>
      </w:r>
      <w:r w:rsidR="00563FF3" w:rsidRPr="00FB5DD0">
        <w:rPr>
          <w:rFonts w:ascii="Times New Roman" w:hAnsi="Times New Roman" w:cs="Times New Roman"/>
          <w:noProof/>
          <w:szCs w:val="24"/>
          <w:lang w:val="en-IE"/>
        </w:rPr>
        <w:t>. These measures</w:t>
      </w:r>
      <w:r w:rsidR="008A2854" w:rsidRPr="00FB5DD0">
        <w:rPr>
          <w:rFonts w:ascii="Times New Roman" w:hAnsi="Times New Roman" w:cs="Times New Roman"/>
          <w:noProof/>
          <w:szCs w:val="24"/>
          <w:lang w:val="en-IE"/>
        </w:rPr>
        <w:t xml:space="preserve"> </w:t>
      </w:r>
      <w:r w:rsidR="00D61E89" w:rsidRPr="00FB5DD0">
        <w:rPr>
          <w:rFonts w:ascii="Times New Roman" w:hAnsi="Times New Roman" w:cs="Times New Roman"/>
          <w:noProof/>
          <w:szCs w:val="24"/>
          <w:lang w:val="en-IE"/>
        </w:rPr>
        <w:t xml:space="preserve">pursue an objective in the </w:t>
      </w:r>
      <w:r w:rsidR="00D61E89" w:rsidRPr="00FB5DD0">
        <w:rPr>
          <w:rFonts w:ascii="Times New Roman" w:hAnsi="Times New Roman" w:cs="Times New Roman"/>
          <w:noProof/>
          <w:szCs w:val="24"/>
          <w:u w:val="single"/>
          <w:lang w:val="en-IE"/>
        </w:rPr>
        <w:t>general interest</w:t>
      </w:r>
      <w:r w:rsidR="00D61E89" w:rsidRPr="00FB5DD0">
        <w:rPr>
          <w:rFonts w:ascii="Times New Roman" w:hAnsi="Times New Roman" w:cs="Times New Roman"/>
          <w:noProof/>
          <w:szCs w:val="24"/>
          <w:lang w:val="en-IE"/>
        </w:rPr>
        <w:t xml:space="preserve"> capable of justifying interference with this freedom</w:t>
      </w:r>
      <w:r w:rsidR="00C61EE3" w:rsidRPr="00FB5DD0">
        <w:rPr>
          <w:rFonts w:ascii="Times New Roman" w:hAnsi="Times New Roman" w:cs="Times New Roman"/>
          <w:noProof/>
          <w:szCs w:val="24"/>
          <w:lang w:val="en-IE"/>
        </w:rPr>
        <w:t xml:space="preserve"> (see section </w:t>
      </w:r>
      <w:r w:rsidR="00C61EE3" w:rsidRPr="00FB5DD0">
        <w:rPr>
          <w:rFonts w:ascii="Times New Roman" w:hAnsi="Times New Roman" w:cs="Times New Roman"/>
          <w:noProof/>
          <w:szCs w:val="24"/>
          <w:lang w:val="en-IE"/>
        </w:rPr>
        <w:fldChar w:fldCharType="begin"/>
      </w:r>
      <w:r w:rsidR="00C61EE3" w:rsidRPr="00FB5DD0">
        <w:rPr>
          <w:rFonts w:ascii="Times New Roman" w:hAnsi="Times New Roman" w:cs="Times New Roman"/>
          <w:noProof/>
          <w:szCs w:val="24"/>
          <w:lang w:val="en-IE"/>
        </w:rPr>
        <w:instrText xml:space="preserve"> REF _Ref147148651 \r \h  \* MERGEFORMAT </w:instrText>
      </w:r>
      <w:r w:rsidR="00C61EE3" w:rsidRPr="00FB5DD0">
        <w:rPr>
          <w:rFonts w:ascii="Times New Roman" w:hAnsi="Times New Roman" w:cs="Times New Roman"/>
          <w:noProof/>
          <w:szCs w:val="24"/>
          <w:lang w:val="en-IE"/>
        </w:rPr>
      </w:r>
      <w:r w:rsidR="00C61EE3" w:rsidRPr="00FB5DD0">
        <w:rPr>
          <w:rFonts w:ascii="Times New Roman" w:hAnsi="Times New Roman" w:cs="Times New Roman"/>
          <w:noProof/>
          <w:szCs w:val="24"/>
          <w:lang w:val="en-IE"/>
        </w:rPr>
        <w:fldChar w:fldCharType="separate"/>
      </w:r>
      <w:r w:rsidR="00DD4A72" w:rsidRPr="00FB5DD0">
        <w:rPr>
          <w:rFonts w:ascii="Times New Roman" w:hAnsi="Times New Roman" w:cs="Times New Roman"/>
          <w:noProof/>
          <w:szCs w:val="24"/>
          <w:lang w:val="en-IE"/>
        </w:rPr>
        <w:t>6.2.3.2</w:t>
      </w:r>
      <w:r w:rsidR="00C61EE3" w:rsidRPr="00FB5DD0">
        <w:rPr>
          <w:rFonts w:ascii="Times New Roman" w:hAnsi="Times New Roman" w:cs="Times New Roman"/>
          <w:noProof/>
          <w:szCs w:val="24"/>
          <w:lang w:val="en-IE"/>
        </w:rPr>
        <w:fldChar w:fldCharType="end"/>
      </w:r>
      <w:r w:rsidR="00C61EE3" w:rsidRPr="00FB5DD0">
        <w:rPr>
          <w:rFonts w:ascii="Times New Roman" w:hAnsi="Times New Roman" w:cs="Times New Roman"/>
          <w:noProof/>
          <w:szCs w:val="24"/>
          <w:lang w:val="en-IE"/>
        </w:rPr>
        <w:t>)</w:t>
      </w:r>
      <w:r w:rsidR="00D61E89" w:rsidRPr="00FB5DD0">
        <w:rPr>
          <w:rFonts w:ascii="Times New Roman" w:hAnsi="Times New Roman" w:cs="Times New Roman"/>
          <w:noProof/>
          <w:szCs w:val="24"/>
          <w:lang w:val="en-IE"/>
        </w:rPr>
        <w:t xml:space="preserve">. Furthermore, the specific requirements imposed by </w:t>
      </w:r>
      <w:r w:rsidR="008A2854" w:rsidRPr="00FB5DD0">
        <w:rPr>
          <w:rFonts w:ascii="Times New Roman" w:hAnsi="Times New Roman" w:cs="Times New Roman"/>
          <w:noProof/>
          <w:szCs w:val="24"/>
          <w:u w:val="single"/>
          <w:lang w:val="en-IE"/>
        </w:rPr>
        <w:t>PO</w:t>
      </w:r>
      <w:r w:rsidR="00D61E89" w:rsidRPr="00FB5DD0">
        <w:rPr>
          <w:rFonts w:ascii="Times New Roman" w:hAnsi="Times New Roman" w:cs="Times New Roman"/>
          <w:noProof/>
          <w:szCs w:val="24"/>
          <w:u w:val="single"/>
          <w:lang w:val="en-IE"/>
        </w:rPr>
        <w:t xml:space="preserve">1 and the targeted requirements in </w:t>
      </w:r>
      <w:r w:rsidR="008A2854" w:rsidRPr="00FB5DD0">
        <w:rPr>
          <w:rFonts w:ascii="Times New Roman" w:hAnsi="Times New Roman" w:cs="Times New Roman"/>
          <w:noProof/>
          <w:szCs w:val="24"/>
          <w:u w:val="single"/>
          <w:lang w:val="en-IE"/>
        </w:rPr>
        <w:t>PO</w:t>
      </w:r>
      <w:r w:rsidR="00D61E89" w:rsidRPr="00FB5DD0">
        <w:rPr>
          <w:rFonts w:ascii="Times New Roman" w:hAnsi="Times New Roman" w:cs="Times New Roman"/>
          <w:noProof/>
          <w:szCs w:val="24"/>
          <w:u w:val="single"/>
          <w:lang w:val="en-IE"/>
        </w:rPr>
        <w:t>2.</w:t>
      </w:r>
      <w:r w:rsidR="00FC01DD" w:rsidRPr="00FB5DD0">
        <w:rPr>
          <w:rFonts w:ascii="Times New Roman" w:hAnsi="Times New Roman" w:cs="Times New Roman"/>
          <w:noProof/>
          <w:szCs w:val="24"/>
          <w:u w:val="single"/>
          <w:lang w:val="en-IE"/>
        </w:rPr>
        <w:t>1</w:t>
      </w:r>
      <w:r w:rsidR="00D61E89" w:rsidRPr="00FB5DD0">
        <w:rPr>
          <w:rFonts w:ascii="Times New Roman" w:hAnsi="Times New Roman" w:cs="Times New Roman"/>
          <w:noProof/>
          <w:szCs w:val="24"/>
          <w:lang w:val="en-IE"/>
        </w:rPr>
        <w:t xml:space="preserve"> are </w:t>
      </w:r>
      <w:r w:rsidR="00D61E89" w:rsidRPr="00FB5DD0">
        <w:rPr>
          <w:rFonts w:ascii="Times New Roman" w:hAnsi="Times New Roman" w:cs="Times New Roman"/>
          <w:noProof/>
          <w:szCs w:val="24"/>
          <w:u w:val="single"/>
          <w:lang w:val="en-IE"/>
        </w:rPr>
        <w:t>not more far-reaching than would be required</w:t>
      </w:r>
      <w:r w:rsidR="00D61E89" w:rsidRPr="00FB5DD0">
        <w:rPr>
          <w:rFonts w:ascii="Times New Roman" w:hAnsi="Times New Roman" w:cs="Times New Roman"/>
          <w:noProof/>
          <w:szCs w:val="24"/>
          <w:lang w:val="en-IE"/>
        </w:rPr>
        <w:t xml:space="preserve"> to achieve this objective</w:t>
      </w:r>
      <w:r w:rsidR="008A2854" w:rsidRPr="00FB5DD0">
        <w:rPr>
          <w:rFonts w:ascii="Times New Roman" w:hAnsi="Times New Roman" w:cs="Times New Roman"/>
          <w:noProof/>
          <w:szCs w:val="24"/>
          <w:lang w:val="en-IE"/>
        </w:rPr>
        <w:t xml:space="preserve"> (see section </w:t>
      </w:r>
      <w:r w:rsidR="008A2854" w:rsidRPr="00FB5DD0">
        <w:rPr>
          <w:rFonts w:ascii="Times New Roman" w:hAnsi="Times New Roman" w:cs="Times New Roman"/>
          <w:noProof/>
          <w:szCs w:val="24"/>
          <w:lang w:val="en-IE"/>
        </w:rPr>
        <w:fldChar w:fldCharType="begin"/>
      </w:r>
      <w:r w:rsidR="008A2854" w:rsidRPr="00FB5DD0">
        <w:rPr>
          <w:rFonts w:ascii="Times New Roman" w:hAnsi="Times New Roman" w:cs="Times New Roman"/>
          <w:noProof/>
          <w:szCs w:val="24"/>
          <w:lang w:val="en-IE"/>
        </w:rPr>
        <w:instrText xml:space="preserve"> REF _Ref147148651 \r \h  \* MERGEFORMAT </w:instrText>
      </w:r>
      <w:r w:rsidR="008A2854" w:rsidRPr="00FB5DD0">
        <w:rPr>
          <w:rFonts w:ascii="Times New Roman" w:hAnsi="Times New Roman" w:cs="Times New Roman"/>
          <w:noProof/>
          <w:szCs w:val="24"/>
          <w:lang w:val="en-IE"/>
        </w:rPr>
      </w:r>
      <w:r w:rsidR="008A2854" w:rsidRPr="00FB5DD0">
        <w:rPr>
          <w:rFonts w:ascii="Times New Roman" w:hAnsi="Times New Roman" w:cs="Times New Roman"/>
          <w:noProof/>
          <w:szCs w:val="24"/>
          <w:lang w:val="en-IE"/>
        </w:rPr>
        <w:fldChar w:fldCharType="separate"/>
      </w:r>
      <w:r w:rsidR="00DD4A72" w:rsidRPr="00FB5DD0">
        <w:rPr>
          <w:rFonts w:ascii="Times New Roman" w:hAnsi="Times New Roman" w:cs="Times New Roman"/>
          <w:noProof/>
          <w:szCs w:val="24"/>
          <w:lang w:val="en-IE"/>
        </w:rPr>
        <w:t>6.2.3.2</w:t>
      </w:r>
      <w:r w:rsidR="008A2854" w:rsidRPr="00FB5DD0">
        <w:rPr>
          <w:rFonts w:ascii="Times New Roman" w:hAnsi="Times New Roman" w:cs="Times New Roman"/>
          <w:noProof/>
          <w:szCs w:val="24"/>
          <w:lang w:val="en-IE"/>
        </w:rPr>
        <w:fldChar w:fldCharType="end"/>
      </w:r>
      <w:r w:rsidR="008A2854" w:rsidRPr="00FB5DD0">
        <w:rPr>
          <w:rFonts w:ascii="Times New Roman" w:hAnsi="Times New Roman" w:cs="Times New Roman"/>
          <w:noProof/>
          <w:szCs w:val="24"/>
          <w:lang w:val="en-IE"/>
        </w:rPr>
        <w:t>)</w:t>
      </w:r>
      <w:r w:rsidR="00D61E89" w:rsidRPr="00FB5DD0">
        <w:rPr>
          <w:rFonts w:ascii="Times New Roman" w:hAnsi="Times New Roman" w:cs="Times New Roman"/>
          <w:noProof/>
          <w:szCs w:val="24"/>
          <w:lang w:val="en-IE"/>
        </w:rPr>
        <w:t>.</w:t>
      </w:r>
    </w:p>
    <w:p w14:paraId="5A6A3F77" w14:textId="10CEE1EF" w:rsidR="00E427A4" w:rsidRPr="00532C20" w:rsidRDefault="0027032E" w:rsidP="00DE49F8">
      <w:pPr>
        <w:pStyle w:val="Text2"/>
        <w:spacing w:after="120"/>
        <w:ind w:left="0"/>
        <w:rPr>
          <w:noProof/>
          <w:lang w:val="en-IE"/>
        </w:rPr>
      </w:pPr>
      <w:r w:rsidRPr="00FB5DD0">
        <w:rPr>
          <w:noProof/>
          <w:lang w:val="en-IE"/>
        </w:rPr>
        <w:t>The system of prior authorisation</w:t>
      </w:r>
      <w:r w:rsidRPr="00FB5DD0">
        <w:rPr>
          <w:rFonts w:ascii="Times New Roman" w:hAnsi="Times New Roman" w:cs="Times New Roman"/>
          <w:noProof/>
          <w:lang w:val="en-IE"/>
        </w:rPr>
        <w:t xml:space="preserve"> in </w:t>
      </w:r>
      <w:r w:rsidRPr="00FB5DD0">
        <w:rPr>
          <w:rFonts w:ascii="Times New Roman" w:hAnsi="Times New Roman" w:cs="Times New Roman"/>
          <w:noProof/>
          <w:u w:val="single"/>
          <w:lang w:val="en-IE"/>
        </w:rPr>
        <w:t>the extended requirements included in the PO2.</w:t>
      </w:r>
      <w:r w:rsidR="00FC01DD" w:rsidRPr="00FB5DD0">
        <w:rPr>
          <w:rFonts w:ascii="Times New Roman" w:hAnsi="Times New Roman" w:cs="Times New Roman"/>
          <w:noProof/>
          <w:u w:val="single"/>
          <w:lang w:val="en-IE"/>
        </w:rPr>
        <w:t>2</w:t>
      </w:r>
      <w:r w:rsidRPr="00FB5DD0">
        <w:rPr>
          <w:rFonts w:ascii="Times New Roman" w:hAnsi="Times New Roman" w:cs="Times New Roman"/>
          <w:noProof/>
          <w:u w:val="single"/>
          <w:lang w:val="en-IE"/>
        </w:rPr>
        <w:t xml:space="preserve"> </w:t>
      </w:r>
      <w:r w:rsidRPr="00FB5DD0">
        <w:rPr>
          <w:noProof/>
          <w:lang w:val="en-IE"/>
        </w:rPr>
        <w:t>impose</w:t>
      </w:r>
      <w:r w:rsidR="009D4BD4" w:rsidRPr="00FB5DD0">
        <w:rPr>
          <w:noProof/>
          <w:lang w:val="en-IE"/>
        </w:rPr>
        <w:t>s</w:t>
      </w:r>
      <w:r w:rsidRPr="00FB5DD0">
        <w:rPr>
          <w:noProof/>
          <w:lang w:val="en-IE"/>
        </w:rPr>
        <w:t xml:space="preserve"> additional </w:t>
      </w:r>
      <w:r w:rsidRPr="00FB5DD0">
        <w:rPr>
          <w:rFonts w:ascii="Times New Roman" w:hAnsi="Times New Roman" w:cs="Times New Roman"/>
          <w:noProof/>
          <w:szCs w:val="24"/>
          <w:lang w:val="en-IE"/>
        </w:rPr>
        <w:t>restriction</w:t>
      </w:r>
      <w:r w:rsidR="009D4BD4" w:rsidRPr="00FB5DD0">
        <w:rPr>
          <w:rFonts w:ascii="Times New Roman" w:hAnsi="Times New Roman" w:cs="Times New Roman"/>
          <w:noProof/>
          <w:szCs w:val="24"/>
          <w:lang w:val="en-IE"/>
        </w:rPr>
        <w:t>s</w:t>
      </w:r>
      <w:r w:rsidRPr="00FB5DD0">
        <w:rPr>
          <w:rFonts w:ascii="Times New Roman" w:hAnsi="Times New Roman" w:cs="Times New Roman"/>
          <w:noProof/>
          <w:szCs w:val="24"/>
          <w:lang w:val="en-IE"/>
        </w:rPr>
        <w:t xml:space="preserve"> on </w:t>
      </w:r>
      <w:r w:rsidR="009D4BD4" w:rsidRPr="00FB5DD0">
        <w:rPr>
          <w:rFonts w:ascii="Times New Roman" w:hAnsi="Times New Roman" w:cs="Times New Roman"/>
          <w:noProof/>
          <w:szCs w:val="24"/>
          <w:lang w:val="en-IE"/>
        </w:rPr>
        <w:t>the</w:t>
      </w:r>
      <w:r w:rsidRPr="00FB5DD0">
        <w:rPr>
          <w:rFonts w:ascii="Times New Roman" w:hAnsi="Times New Roman" w:cs="Times New Roman"/>
          <w:noProof/>
          <w:szCs w:val="24"/>
          <w:lang w:val="en-IE"/>
        </w:rPr>
        <w:t xml:space="preserve"> freedom of expression of </w:t>
      </w:r>
      <w:r w:rsidR="003036D5" w:rsidRPr="00FB5DD0">
        <w:rPr>
          <w:rFonts w:ascii="Times New Roman" w:hAnsi="Times New Roman" w:cs="Times New Roman"/>
          <w:noProof/>
          <w:szCs w:val="24"/>
          <w:lang w:val="en-IE"/>
        </w:rPr>
        <w:t>entities whose action</w:t>
      </w:r>
      <w:r w:rsidR="00CB1BA4" w:rsidRPr="00FB5DD0">
        <w:rPr>
          <w:rFonts w:ascii="Times New Roman" w:hAnsi="Times New Roman" w:cs="Times New Roman"/>
          <w:noProof/>
          <w:szCs w:val="24"/>
          <w:lang w:val="en-IE"/>
        </w:rPr>
        <w:t>s</w:t>
      </w:r>
      <w:r w:rsidR="003036D5" w:rsidRPr="00FB5DD0">
        <w:rPr>
          <w:rFonts w:ascii="Times New Roman" w:hAnsi="Times New Roman" w:cs="Times New Roman"/>
          <w:noProof/>
          <w:szCs w:val="24"/>
          <w:lang w:val="en-IE"/>
        </w:rPr>
        <w:t xml:space="preserve"> can be attributed to a third country </w:t>
      </w:r>
      <w:r w:rsidR="00A233C2" w:rsidRPr="00FB5DD0">
        <w:rPr>
          <w:rFonts w:ascii="Times New Roman" w:hAnsi="Times New Roman" w:cs="Times New Roman"/>
          <w:noProof/>
          <w:szCs w:val="24"/>
          <w:lang w:val="en-IE"/>
        </w:rPr>
        <w:t>government</w:t>
      </w:r>
      <w:r w:rsidR="008A2854" w:rsidRPr="00FB5DD0">
        <w:rPr>
          <w:rFonts w:ascii="Times New Roman" w:hAnsi="Times New Roman" w:cs="Times New Roman"/>
          <w:noProof/>
          <w:szCs w:val="24"/>
          <w:lang w:val="en-IE"/>
        </w:rPr>
        <w:t xml:space="preserve">. </w:t>
      </w:r>
      <w:r w:rsidRPr="00FB5DD0">
        <w:rPr>
          <w:noProof/>
          <w:lang w:val="en-IE"/>
        </w:rPr>
        <w:t xml:space="preserve">Member States would be able to refuse granting a licence on the ground that the activity is likely to seriously affect public security. Such measure </w:t>
      </w:r>
      <w:r w:rsidR="00666F2F" w:rsidRPr="00FB5DD0">
        <w:rPr>
          <w:noProof/>
          <w:lang w:val="en-IE"/>
        </w:rPr>
        <w:t xml:space="preserve">could have a </w:t>
      </w:r>
      <w:r w:rsidR="00516644" w:rsidRPr="00FB5DD0">
        <w:rPr>
          <w:noProof/>
          <w:lang w:val="en-IE"/>
        </w:rPr>
        <w:t>disproportionate</w:t>
      </w:r>
      <w:r w:rsidR="00715A75" w:rsidRPr="00FB5DD0">
        <w:rPr>
          <w:noProof/>
          <w:lang w:val="en-IE"/>
        </w:rPr>
        <w:t xml:space="preserve"> impact at the light of the objective that </w:t>
      </w:r>
      <w:r w:rsidR="00D8014A" w:rsidRPr="00FB5DD0">
        <w:rPr>
          <w:noProof/>
          <w:lang w:val="en-IE"/>
        </w:rPr>
        <w:t>it seeks to achieve (see section 6.2.3.2)</w:t>
      </w:r>
      <w:r w:rsidR="00516644" w:rsidRPr="00FB5DD0">
        <w:rPr>
          <w:noProof/>
          <w:lang w:val="en-IE"/>
        </w:rPr>
        <w:t>.</w:t>
      </w:r>
    </w:p>
    <w:p w14:paraId="39AF69C0" w14:textId="5F92E2DE" w:rsidR="006725A0" w:rsidRPr="00532C20" w:rsidRDefault="006725A0" w:rsidP="00E415E8">
      <w:pPr>
        <w:pStyle w:val="1111level4section"/>
        <w:spacing w:before="120" w:after="120" w:line="240" w:lineRule="auto"/>
        <w:rPr>
          <w:noProof/>
        </w:rPr>
      </w:pPr>
      <w:bookmarkStart w:id="1030" w:name="_Toc152864706"/>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rsidRPr="00532C20">
        <w:rPr>
          <w:noProof/>
        </w:rPr>
        <w:t xml:space="preserve">Freedom </w:t>
      </w:r>
      <w:r w:rsidR="008409CB" w:rsidRPr="00532C20">
        <w:rPr>
          <w:noProof/>
        </w:rPr>
        <w:t xml:space="preserve">to conduct a </w:t>
      </w:r>
      <w:r w:rsidR="001223DF" w:rsidRPr="00532C20">
        <w:rPr>
          <w:noProof/>
        </w:rPr>
        <w:t>business</w:t>
      </w:r>
      <w:bookmarkEnd w:id="1030"/>
    </w:p>
    <w:p w14:paraId="3249CA0E" w14:textId="756D28CA" w:rsidR="00C1497E" w:rsidRPr="00532C20" w:rsidRDefault="005C4D56" w:rsidP="00C1497E">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lang w:val="en-IE"/>
        </w:rPr>
        <w:t>Article 16 of the Charter recognise</w:t>
      </w:r>
      <w:r w:rsidR="009978A6" w:rsidRPr="00532C20">
        <w:rPr>
          <w:rFonts w:ascii="Times New Roman" w:hAnsi="Times New Roman" w:cs="Times New Roman"/>
          <w:noProof/>
          <w:szCs w:val="24"/>
          <w:lang w:val="en-IE"/>
        </w:rPr>
        <w:t>s</w:t>
      </w:r>
      <w:r w:rsidRPr="00532C20">
        <w:rPr>
          <w:rFonts w:ascii="Times New Roman" w:hAnsi="Times New Roman" w:cs="Times New Roman"/>
          <w:noProof/>
          <w:szCs w:val="24"/>
          <w:lang w:val="en-IE"/>
        </w:rPr>
        <w:t xml:space="preserve"> </w:t>
      </w:r>
      <w:r w:rsidR="0006282D" w:rsidRPr="00532C20">
        <w:rPr>
          <w:rFonts w:ascii="Times New Roman" w:hAnsi="Times New Roman" w:cs="Times New Roman"/>
          <w:noProof/>
          <w:szCs w:val="24"/>
          <w:lang w:val="en-IE"/>
        </w:rPr>
        <w:t xml:space="preserve">the freedom to conduct a business in accordance with </w:t>
      </w:r>
      <w:r w:rsidR="002E1956" w:rsidRPr="00532C20">
        <w:rPr>
          <w:rFonts w:ascii="Times New Roman" w:hAnsi="Times New Roman" w:cs="Times New Roman"/>
          <w:noProof/>
          <w:szCs w:val="24"/>
          <w:lang w:val="en-IE"/>
        </w:rPr>
        <w:t>EU</w:t>
      </w:r>
      <w:r w:rsidR="0006282D" w:rsidRPr="00532C20">
        <w:rPr>
          <w:rFonts w:ascii="Times New Roman" w:hAnsi="Times New Roman" w:cs="Times New Roman"/>
          <w:noProof/>
          <w:szCs w:val="24"/>
          <w:lang w:val="en-IE"/>
        </w:rPr>
        <w:t xml:space="preserve"> law and national laws and practices. </w:t>
      </w:r>
      <w:r w:rsidR="00C1497E" w:rsidRPr="00532C20">
        <w:rPr>
          <w:rFonts w:ascii="Times New Roman" w:hAnsi="Times New Roman" w:cs="Times New Roman"/>
          <w:noProof/>
          <w:szCs w:val="24"/>
          <w:lang w:val="en-IE"/>
        </w:rPr>
        <w:t>The harmonised requirements would facilitate and reduce the obstacles for the cross-</w:t>
      </w:r>
      <w:r w:rsidR="00CB1BA4">
        <w:rPr>
          <w:rFonts w:ascii="Times New Roman" w:hAnsi="Times New Roman" w:cs="Times New Roman"/>
          <w:noProof/>
          <w:szCs w:val="24"/>
          <w:lang w:val="en-IE"/>
        </w:rPr>
        <w:t xml:space="preserve">border </w:t>
      </w:r>
      <w:r w:rsidR="00C1497E" w:rsidRPr="00532C20">
        <w:rPr>
          <w:rFonts w:ascii="Times New Roman" w:hAnsi="Times New Roman" w:cs="Times New Roman"/>
          <w:noProof/>
          <w:szCs w:val="24"/>
          <w:lang w:val="en-IE"/>
        </w:rPr>
        <w:t xml:space="preserve">provision of services by entities carrying out interest representation activities on behalf of third countries, which would support such entities in the exercise of their freedom to conduct </w:t>
      </w:r>
      <w:r w:rsidR="00B1713E">
        <w:rPr>
          <w:rFonts w:ascii="Times New Roman" w:hAnsi="Times New Roman" w:cs="Times New Roman"/>
          <w:noProof/>
          <w:szCs w:val="24"/>
          <w:lang w:val="en-IE"/>
        </w:rPr>
        <w:t xml:space="preserve">a </w:t>
      </w:r>
      <w:r w:rsidR="00C1497E" w:rsidRPr="00532C20">
        <w:rPr>
          <w:rFonts w:ascii="Times New Roman" w:hAnsi="Times New Roman" w:cs="Times New Roman"/>
          <w:noProof/>
          <w:szCs w:val="24"/>
          <w:lang w:val="en-IE"/>
        </w:rPr>
        <w:t xml:space="preserve">business. </w:t>
      </w:r>
    </w:p>
    <w:p w14:paraId="1B61073E" w14:textId="0E645352" w:rsidR="00DA5E77" w:rsidRPr="00532C20" w:rsidRDefault="00D86D40" w:rsidP="00DE49F8">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lang w:val="en-IE"/>
        </w:rPr>
        <w:t>The freedom to conduct a business</w:t>
      </w:r>
      <w:r w:rsidR="00111109" w:rsidRPr="00532C20">
        <w:rPr>
          <w:rFonts w:ascii="Times New Roman" w:hAnsi="Times New Roman" w:cs="Times New Roman"/>
          <w:noProof/>
          <w:szCs w:val="24"/>
          <w:lang w:val="en-IE"/>
        </w:rPr>
        <w:t xml:space="preserve"> differs from the wording of the other fundamental freedoms laid down in Title II </w:t>
      </w:r>
      <w:r w:rsidR="001471EE" w:rsidRPr="00532C20">
        <w:rPr>
          <w:rFonts w:ascii="Times New Roman" w:hAnsi="Times New Roman" w:cs="Times New Roman"/>
          <w:noProof/>
          <w:szCs w:val="24"/>
          <w:lang w:val="en-IE"/>
        </w:rPr>
        <w:t xml:space="preserve">of the Charter, </w:t>
      </w:r>
      <w:r w:rsidR="00111109" w:rsidRPr="00532C20">
        <w:rPr>
          <w:rFonts w:ascii="Times New Roman" w:hAnsi="Times New Roman" w:cs="Times New Roman"/>
          <w:noProof/>
          <w:szCs w:val="24"/>
          <w:lang w:val="en-IE"/>
        </w:rPr>
        <w:t xml:space="preserve">such as </w:t>
      </w:r>
      <w:r w:rsidR="004B3E56" w:rsidRPr="00532C20">
        <w:rPr>
          <w:rFonts w:ascii="Times New Roman" w:hAnsi="Times New Roman" w:cs="Times New Roman"/>
          <w:noProof/>
          <w:szCs w:val="24"/>
          <w:lang w:val="en-IE"/>
        </w:rPr>
        <w:t xml:space="preserve">the freedom of association, </w:t>
      </w:r>
      <w:r w:rsidR="00DD6FAB" w:rsidRPr="00532C20">
        <w:rPr>
          <w:rFonts w:ascii="Times New Roman" w:hAnsi="Times New Roman" w:cs="Times New Roman"/>
          <w:noProof/>
          <w:szCs w:val="24"/>
          <w:lang w:val="en-IE"/>
        </w:rPr>
        <w:t>the</w:t>
      </w:r>
      <w:r w:rsidR="00B37364" w:rsidRPr="00532C20">
        <w:rPr>
          <w:rFonts w:ascii="Times New Roman" w:hAnsi="Times New Roman" w:cs="Times New Roman"/>
          <w:noProof/>
          <w:szCs w:val="24"/>
          <w:lang w:val="en-IE"/>
        </w:rPr>
        <w:t xml:space="preserve"> freedom of expression and information and the freedom of the arts and sciences</w:t>
      </w:r>
      <w:r w:rsidR="001471EE" w:rsidRPr="00532C20">
        <w:rPr>
          <w:rFonts w:ascii="Times New Roman" w:hAnsi="Times New Roman" w:cs="Times New Roman"/>
          <w:noProof/>
          <w:szCs w:val="24"/>
          <w:lang w:val="en-IE"/>
        </w:rPr>
        <w:t xml:space="preserve"> (see sections </w:t>
      </w:r>
      <w:r w:rsidR="001471EE" w:rsidRPr="00532C20">
        <w:rPr>
          <w:rFonts w:ascii="Times New Roman" w:hAnsi="Times New Roman" w:cs="Times New Roman"/>
          <w:noProof/>
          <w:szCs w:val="24"/>
          <w:lang w:val="en-IE"/>
        </w:rPr>
        <w:fldChar w:fldCharType="begin"/>
      </w:r>
      <w:r w:rsidR="001471EE" w:rsidRPr="00532C20">
        <w:rPr>
          <w:rFonts w:ascii="Times New Roman" w:hAnsi="Times New Roman" w:cs="Times New Roman"/>
          <w:noProof/>
          <w:szCs w:val="24"/>
          <w:lang w:val="en-IE"/>
        </w:rPr>
        <w:instrText xml:space="preserve"> REF _Ref147148651 \r \h </w:instrText>
      </w:r>
      <w:r w:rsidR="00C61EE3" w:rsidRPr="00532C20">
        <w:rPr>
          <w:rFonts w:ascii="Times New Roman" w:hAnsi="Times New Roman" w:cs="Times New Roman"/>
          <w:noProof/>
          <w:szCs w:val="24"/>
          <w:lang w:val="en-IE"/>
        </w:rPr>
        <w:instrText xml:space="preserve"> \* MERGEFORMAT </w:instrText>
      </w:r>
      <w:r w:rsidR="001471EE" w:rsidRPr="00532C20">
        <w:rPr>
          <w:rFonts w:ascii="Times New Roman" w:hAnsi="Times New Roman" w:cs="Times New Roman"/>
          <w:noProof/>
          <w:szCs w:val="24"/>
          <w:lang w:val="en-IE"/>
        </w:rPr>
      </w:r>
      <w:r w:rsidR="001471EE" w:rsidRPr="00532C20">
        <w:rPr>
          <w:rFonts w:ascii="Times New Roman" w:hAnsi="Times New Roman" w:cs="Times New Roman"/>
          <w:noProof/>
          <w:szCs w:val="24"/>
          <w:lang w:val="en-IE"/>
        </w:rPr>
        <w:fldChar w:fldCharType="separate"/>
      </w:r>
      <w:r w:rsidR="00DD4A72">
        <w:rPr>
          <w:rFonts w:ascii="Times New Roman" w:hAnsi="Times New Roman" w:cs="Times New Roman"/>
          <w:noProof/>
          <w:szCs w:val="24"/>
          <w:lang w:val="en-IE"/>
        </w:rPr>
        <w:t>6.2.3.2</w:t>
      </w:r>
      <w:r w:rsidR="001471EE" w:rsidRPr="00532C20">
        <w:rPr>
          <w:rFonts w:ascii="Times New Roman" w:hAnsi="Times New Roman" w:cs="Times New Roman"/>
          <w:noProof/>
          <w:szCs w:val="24"/>
          <w:lang w:val="en-IE"/>
        </w:rPr>
        <w:fldChar w:fldCharType="end"/>
      </w:r>
      <w:r w:rsidR="001471EE" w:rsidRPr="00532C20">
        <w:rPr>
          <w:rFonts w:ascii="Times New Roman" w:hAnsi="Times New Roman" w:cs="Times New Roman"/>
          <w:noProof/>
          <w:szCs w:val="24"/>
          <w:lang w:val="en-IE"/>
        </w:rPr>
        <w:t xml:space="preserve">, </w:t>
      </w:r>
      <w:r w:rsidR="001471EE" w:rsidRPr="00532C20">
        <w:rPr>
          <w:rFonts w:ascii="Times New Roman" w:hAnsi="Times New Roman" w:cs="Times New Roman"/>
          <w:noProof/>
          <w:szCs w:val="24"/>
          <w:lang w:val="en-IE"/>
        </w:rPr>
        <w:fldChar w:fldCharType="begin"/>
      </w:r>
      <w:r w:rsidR="001471EE" w:rsidRPr="00532C20">
        <w:rPr>
          <w:rFonts w:ascii="Times New Roman" w:hAnsi="Times New Roman" w:cs="Times New Roman"/>
          <w:noProof/>
          <w:szCs w:val="24"/>
          <w:lang w:val="en-IE"/>
        </w:rPr>
        <w:instrText xml:space="preserve"> REF _Ref147148655 \r \h </w:instrText>
      </w:r>
      <w:r w:rsidR="00C61EE3" w:rsidRPr="00532C20">
        <w:rPr>
          <w:rFonts w:ascii="Times New Roman" w:hAnsi="Times New Roman" w:cs="Times New Roman"/>
          <w:noProof/>
          <w:szCs w:val="24"/>
          <w:lang w:val="en-IE"/>
        </w:rPr>
        <w:instrText xml:space="preserve"> \* MERGEFORMAT </w:instrText>
      </w:r>
      <w:r w:rsidR="001471EE" w:rsidRPr="00532C20">
        <w:rPr>
          <w:rFonts w:ascii="Times New Roman" w:hAnsi="Times New Roman" w:cs="Times New Roman"/>
          <w:noProof/>
          <w:szCs w:val="24"/>
          <w:lang w:val="en-IE"/>
        </w:rPr>
      </w:r>
      <w:r w:rsidR="001471EE" w:rsidRPr="00532C20">
        <w:rPr>
          <w:rFonts w:ascii="Times New Roman" w:hAnsi="Times New Roman" w:cs="Times New Roman"/>
          <w:noProof/>
          <w:szCs w:val="24"/>
          <w:lang w:val="en-IE"/>
        </w:rPr>
        <w:fldChar w:fldCharType="separate"/>
      </w:r>
      <w:r w:rsidR="00DD4A72">
        <w:rPr>
          <w:rFonts w:ascii="Times New Roman" w:hAnsi="Times New Roman" w:cs="Times New Roman"/>
          <w:noProof/>
          <w:szCs w:val="24"/>
          <w:lang w:val="en-IE"/>
        </w:rPr>
        <w:t>6.2.3.3</w:t>
      </w:r>
      <w:r w:rsidR="001471EE" w:rsidRPr="00532C20">
        <w:rPr>
          <w:rFonts w:ascii="Times New Roman" w:hAnsi="Times New Roman" w:cs="Times New Roman"/>
          <w:noProof/>
          <w:szCs w:val="24"/>
          <w:lang w:val="en-IE"/>
        </w:rPr>
        <w:fldChar w:fldCharType="end"/>
      </w:r>
      <w:r w:rsidR="001471EE" w:rsidRPr="00532C20">
        <w:rPr>
          <w:rFonts w:ascii="Times New Roman" w:hAnsi="Times New Roman" w:cs="Times New Roman"/>
          <w:noProof/>
          <w:szCs w:val="24"/>
          <w:lang w:val="en-IE"/>
        </w:rPr>
        <w:t xml:space="preserve"> and </w:t>
      </w:r>
      <w:r w:rsidR="001471EE" w:rsidRPr="00532C20">
        <w:rPr>
          <w:rFonts w:ascii="Times New Roman" w:hAnsi="Times New Roman" w:cs="Times New Roman"/>
          <w:noProof/>
          <w:szCs w:val="24"/>
          <w:lang w:val="en-IE"/>
        </w:rPr>
        <w:fldChar w:fldCharType="begin"/>
      </w:r>
      <w:r w:rsidR="001471EE" w:rsidRPr="00532C20">
        <w:rPr>
          <w:rFonts w:ascii="Times New Roman" w:hAnsi="Times New Roman" w:cs="Times New Roman"/>
          <w:noProof/>
          <w:szCs w:val="24"/>
          <w:lang w:val="en-IE"/>
        </w:rPr>
        <w:instrText xml:space="preserve"> REF _Ref147148658 \r \h </w:instrText>
      </w:r>
      <w:r w:rsidR="00C61EE3" w:rsidRPr="00532C20">
        <w:rPr>
          <w:rFonts w:ascii="Times New Roman" w:hAnsi="Times New Roman" w:cs="Times New Roman"/>
          <w:noProof/>
          <w:szCs w:val="24"/>
          <w:lang w:val="en-IE"/>
        </w:rPr>
        <w:instrText xml:space="preserve"> \* MERGEFORMAT </w:instrText>
      </w:r>
      <w:r w:rsidR="001471EE" w:rsidRPr="00532C20">
        <w:rPr>
          <w:rFonts w:ascii="Times New Roman" w:hAnsi="Times New Roman" w:cs="Times New Roman"/>
          <w:noProof/>
          <w:szCs w:val="24"/>
          <w:lang w:val="en-IE"/>
        </w:rPr>
      </w:r>
      <w:r w:rsidR="001471EE" w:rsidRPr="00532C20">
        <w:rPr>
          <w:rFonts w:ascii="Times New Roman" w:hAnsi="Times New Roman" w:cs="Times New Roman"/>
          <w:noProof/>
          <w:szCs w:val="24"/>
          <w:lang w:val="en-IE"/>
        </w:rPr>
        <w:fldChar w:fldCharType="separate"/>
      </w:r>
      <w:r w:rsidR="00DD4A72">
        <w:rPr>
          <w:rFonts w:ascii="Times New Roman" w:hAnsi="Times New Roman" w:cs="Times New Roman"/>
          <w:noProof/>
          <w:szCs w:val="24"/>
          <w:lang w:val="en-IE"/>
        </w:rPr>
        <w:t>6.2.3.4</w:t>
      </w:r>
      <w:r w:rsidR="001471EE" w:rsidRPr="00532C20">
        <w:rPr>
          <w:rFonts w:ascii="Times New Roman" w:hAnsi="Times New Roman" w:cs="Times New Roman"/>
          <w:noProof/>
          <w:szCs w:val="24"/>
          <w:lang w:val="en-IE"/>
        </w:rPr>
        <w:fldChar w:fldCharType="end"/>
      </w:r>
      <w:r w:rsidR="001471EE" w:rsidRPr="00532C20">
        <w:rPr>
          <w:rFonts w:ascii="Times New Roman" w:hAnsi="Times New Roman" w:cs="Times New Roman"/>
          <w:noProof/>
          <w:szCs w:val="24"/>
          <w:lang w:val="en-IE"/>
        </w:rPr>
        <w:t>)</w:t>
      </w:r>
      <w:r w:rsidR="00B37364" w:rsidRPr="00532C20">
        <w:rPr>
          <w:rFonts w:ascii="Times New Roman" w:hAnsi="Times New Roman" w:cs="Times New Roman"/>
          <w:noProof/>
          <w:szCs w:val="24"/>
          <w:lang w:val="en-IE"/>
        </w:rPr>
        <w:t xml:space="preserve">, </w:t>
      </w:r>
      <w:r w:rsidR="001471EE" w:rsidRPr="00532C20">
        <w:rPr>
          <w:rFonts w:ascii="Times New Roman" w:hAnsi="Times New Roman" w:cs="Times New Roman"/>
          <w:noProof/>
          <w:szCs w:val="24"/>
          <w:lang w:val="en-IE"/>
        </w:rPr>
        <w:t>and</w:t>
      </w:r>
      <w:r w:rsidR="00111109" w:rsidRPr="00532C20">
        <w:rPr>
          <w:rFonts w:ascii="Times New Roman" w:hAnsi="Times New Roman" w:cs="Times New Roman"/>
          <w:noProof/>
          <w:szCs w:val="24"/>
          <w:lang w:val="en-IE"/>
        </w:rPr>
        <w:t xml:space="preserve"> may be subject to a broad range of interventions on the part of public authorities which may limit the exercise of economic activity in the public interest</w:t>
      </w:r>
      <w:r w:rsidR="0006282D" w:rsidRPr="00532C20">
        <w:rPr>
          <w:rStyle w:val="FootnoteReference"/>
          <w:rFonts w:ascii="Times New Roman" w:hAnsi="Times New Roman" w:cs="Times New Roman"/>
          <w:noProof/>
          <w:szCs w:val="24"/>
          <w:lang w:val="en-IE"/>
        </w:rPr>
        <w:footnoteReference w:id="203"/>
      </w:r>
      <w:r w:rsidR="00C725E5" w:rsidRPr="00532C20">
        <w:rPr>
          <w:rFonts w:ascii="Times New Roman" w:hAnsi="Times New Roman" w:cs="Times New Roman"/>
          <w:noProof/>
          <w:szCs w:val="24"/>
          <w:lang w:val="en-IE"/>
        </w:rPr>
        <w:t>.</w:t>
      </w:r>
    </w:p>
    <w:p w14:paraId="057BA626" w14:textId="571C1D80" w:rsidR="00EC04AB" w:rsidRPr="00532C20" w:rsidRDefault="004B42E4" w:rsidP="00DE49F8">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u w:val="single"/>
          <w:lang w:val="en-IE"/>
        </w:rPr>
        <w:t>All</w:t>
      </w:r>
      <w:r w:rsidR="00A90D63" w:rsidRPr="00532C20">
        <w:rPr>
          <w:rFonts w:ascii="Times New Roman" w:hAnsi="Times New Roman" w:cs="Times New Roman"/>
          <w:noProof/>
          <w:szCs w:val="24"/>
          <w:u w:val="single"/>
          <w:lang w:val="en-IE"/>
        </w:rPr>
        <w:t xml:space="preserve"> 3 </w:t>
      </w:r>
      <w:r w:rsidRPr="00532C20">
        <w:rPr>
          <w:rFonts w:ascii="Times New Roman" w:hAnsi="Times New Roman" w:cs="Times New Roman"/>
          <w:noProof/>
          <w:szCs w:val="24"/>
          <w:u w:val="single"/>
          <w:lang w:val="en-IE"/>
        </w:rPr>
        <w:t>options</w:t>
      </w:r>
      <w:r w:rsidR="006725A0" w:rsidRPr="00532C20">
        <w:rPr>
          <w:rFonts w:ascii="Times New Roman" w:hAnsi="Times New Roman" w:cs="Times New Roman"/>
          <w:noProof/>
          <w:szCs w:val="24"/>
          <w:lang w:val="en-IE"/>
        </w:rPr>
        <w:t xml:space="preserve"> impose</w:t>
      </w:r>
      <w:r w:rsidR="00045C27" w:rsidRPr="00532C20">
        <w:rPr>
          <w:rFonts w:ascii="Times New Roman" w:hAnsi="Times New Roman" w:cs="Times New Roman"/>
          <w:noProof/>
          <w:szCs w:val="24"/>
          <w:lang w:val="en-IE"/>
        </w:rPr>
        <w:t xml:space="preserve"> limit</w:t>
      </w:r>
      <w:r w:rsidR="008976C4" w:rsidRPr="00532C20">
        <w:rPr>
          <w:rFonts w:ascii="Times New Roman" w:hAnsi="Times New Roman" w:cs="Times New Roman"/>
          <w:noProof/>
          <w:szCs w:val="24"/>
          <w:lang w:val="en-IE"/>
        </w:rPr>
        <w:t>ed</w:t>
      </w:r>
      <w:r w:rsidR="00045C27" w:rsidRPr="00532C20">
        <w:rPr>
          <w:rFonts w:ascii="Times New Roman" w:hAnsi="Times New Roman" w:cs="Times New Roman"/>
          <w:noProof/>
          <w:szCs w:val="24"/>
          <w:lang w:val="en-IE"/>
        </w:rPr>
        <w:t xml:space="preserve"> restriction</w:t>
      </w:r>
      <w:r w:rsidR="005515A8" w:rsidRPr="00532C20">
        <w:rPr>
          <w:rFonts w:ascii="Times New Roman" w:hAnsi="Times New Roman" w:cs="Times New Roman"/>
          <w:noProof/>
          <w:szCs w:val="24"/>
          <w:lang w:val="en-IE"/>
        </w:rPr>
        <w:t>s</w:t>
      </w:r>
      <w:r w:rsidR="00045C27" w:rsidRPr="00532C20">
        <w:rPr>
          <w:rFonts w:ascii="Times New Roman" w:hAnsi="Times New Roman" w:cs="Times New Roman"/>
          <w:noProof/>
          <w:szCs w:val="24"/>
          <w:lang w:val="en-IE"/>
        </w:rPr>
        <w:t xml:space="preserve"> on </w:t>
      </w:r>
      <w:r w:rsidR="00D44C5D" w:rsidRPr="00532C20">
        <w:rPr>
          <w:rFonts w:ascii="Times New Roman" w:hAnsi="Times New Roman" w:cs="Times New Roman"/>
          <w:noProof/>
          <w:szCs w:val="24"/>
          <w:lang w:val="en-IE"/>
        </w:rPr>
        <w:t>economic activities</w:t>
      </w:r>
      <w:r w:rsidR="006725A0" w:rsidRPr="00532C20">
        <w:rPr>
          <w:rFonts w:ascii="Times New Roman" w:hAnsi="Times New Roman" w:cs="Times New Roman"/>
          <w:noProof/>
          <w:szCs w:val="24"/>
          <w:lang w:val="en-IE"/>
        </w:rPr>
        <w:t xml:space="preserve">, insofar as they impose on the entities the obligation to comply with certain requirements when </w:t>
      </w:r>
      <w:r w:rsidR="00E272EA" w:rsidRPr="00532C20">
        <w:rPr>
          <w:rFonts w:ascii="Times New Roman" w:hAnsi="Times New Roman" w:cs="Times New Roman"/>
          <w:noProof/>
          <w:szCs w:val="24"/>
          <w:lang w:val="en-IE"/>
        </w:rPr>
        <w:t xml:space="preserve">carrying out interest representation on behalf of third </w:t>
      </w:r>
      <w:r w:rsidRPr="00532C20">
        <w:rPr>
          <w:rFonts w:ascii="Times New Roman" w:hAnsi="Times New Roman" w:cs="Times New Roman"/>
          <w:noProof/>
          <w:szCs w:val="24"/>
          <w:lang w:val="en-IE"/>
        </w:rPr>
        <w:t>countries</w:t>
      </w:r>
      <w:r w:rsidR="006725A0" w:rsidRPr="00532C20">
        <w:rPr>
          <w:rFonts w:ascii="Times New Roman" w:hAnsi="Times New Roman" w:cs="Times New Roman"/>
          <w:noProof/>
          <w:szCs w:val="24"/>
          <w:lang w:val="en-IE"/>
        </w:rPr>
        <w:t xml:space="preserve">. </w:t>
      </w:r>
    </w:p>
    <w:p w14:paraId="5F56B477" w14:textId="25725286" w:rsidR="009B635F" w:rsidRPr="00532C20" w:rsidRDefault="006725A0" w:rsidP="00DE49F8">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lang w:val="en-IE"/>
        </w:rPr>
        <w:t>The transparency</w:t>
      </w:r>
      <w:r w:rsidR="00C61EE3" w:rsidRPr="00532C20">
        <w:rPr>
          <w:rFonts w:ascii="Times New Roman" w:hAnsi="Times New Roman" w:cs="Times New Roman"/>
          <w:noProof/>
          <w:szCs w:val="24"/>
          <w:lang w:val="en-IE"/>
        </w:rPr>
        <w:t xml:space="preserve"> measures for </w:t>
      </w:r>
      <w:r w:rsidRPr="00532C20">
        <w:rPr>
          <w:rFonts w:ascii="Times New Roman" w:hAnsi="Times New Roman" w:cs="Times New Roman"/>
          <w:noProof/>
          <w:szCs w:val="24"/>
          <w:lang w:val="en-IE"/>
        </w:rPr>
        <w:t xml:space="preserve">interest representation </w:t>
      </w:r>
      <w:r w:rsidR="00C61EE3" w:rsidRPr="00532C20">
        <w:rPr>
          <w:rFonts w:ascii="Times New Roman" w:hAnsi="Times New Roman" w:cs="Times New Roman"/>
          <w:noProof/>
          <w:szCs w:val="24"/>
          <w:lang w:val="en-IE"/>
        </w:rPr>
        <w:t>activities</w:t>
      </w:r>
      <w:r w:rsidRPr="00532C20">
        <w:rPr>
          <w:rFonts w:ascii="Times New Roman" w:hAnsi="Times New Roman" w:cs="Times New Roman"/>
          <w:noProof/>
          <w:szCs w:val="24"/>
          <w:lang w:val="en-IE"/>
        </w:rPr>
        <w:t xml:space="preserve"> carried out </w:t>
      </w:r>
      <w:r w:rsidR="00DA5322" w:rsidRPr="00532C20">
        <w:rPr>
          <w:rFonts w:ascii="Times New Roman" w:hAnsi="Times New Roman" w:cs="Times New Roman"/>
          <w:noProof/>
          <w:szCs w:val="24"/>
          <w:lang w:val="en-IE"/>
        </w:rPr>
        <w:t>on behalf of</w:t>
      </w:r>
      <w:r w:rsidRPr="00532C20">
        <w:rPr>
          <w:rFonts w:ascii="Times New Roman" w:hAnsi="Times New Roman" w:cs="Times New Roman"/>
          <w:noProof/>
          <w:szCs w:val="24"/>
          <w:lang w:val="en-IE"/>
        </w:rPr>
        <w:t xml:space="preserve"> third countries are measures which pursue an objective in the general interest capable of justifying interference with this freedom. </w:t>
      </w:r>
      <w:r w:rsidR="009524D1" w:rsidRPr="00532C20">
        <w:rPr>
          <w:rFonts w:ascii="Times New Roman" w:hAnsi="Times New Roman" w:cs="Times New Roman"/>
          <w:noProof/>
          <w:szCs w:val="24"/>
          <w:lang w:val="en-IE"/>
        </w:rPr>
        <w:t>Furthermore, t</w:t>
      </w:r>
      <w:r w:rsidRPr="00532C20">
        <w:rPr>
          <w:rFonts w:ascii="Times New Roman" w:hAnsi="Times New Roman" w:cs="Times New Roman"/>
          <w:noProof/>
          <w:szCs w:val="24"/>
          <w:lang w:val="en-IE"/>
        </w:rPr>
        <w:t xml:space="preserve">he specific requirements imposed </w:t>
      </w:r>
      <w:r w:rsidR="00B31280" w:rsidRPr="00532C20">
        <w:rPr>
          <w:rFonts w:ascii="Times New Roman" w:hAnsi="Times New Roman" w:cs="Times New Roman"/>
          <w:noProof/>
          <w:szCs w:val="24"/>
          <w:lang w:val="en-IE"/>
        </w:rPr>
        <w:t>by</w:t>
      </w:r>
      <w:r w:rsidR="00386606" w:rsidRPr="00532C20">
        <w:rPr>
          <w:rFonts w:ascii="Times New Roman" w:hAnsi="Times New Roman" w:cs="Times New Roman"/>
          <w:noProof/>
          <w:szCs w:val="24"/>
          <w:lang w:val="en-IE"/>
        </w:rPr>
        <w:t xml:space="preserve"> </w:t>
      </w:r>
      <w:r w:rsidR="00386606" w:rsidRPr="00532C20">
        <w:rPr>
          <w:rFonts w:ascii="Times New Roman" w:hAnsi="Times New Roman" w:cs="Times New Roman"/>
          <w:noProof/>
          <w:szCs w:val="24"/>
          <w:u w:val="single"/>
          <w:lang w:val="en-IE"/>
        </w:rPr>
        <w:t>PO</w:t>
      </w:r>
      <w:r w:rsidR="00B31280" w:rsidRPr="00532C20">
        <w:rPr>
          <w:rFonts w:ascii="Times New Roman" w:hAnsi="Times New Roman" w:cs="Times New Roman"/>
          <w:noProof/>
          <w:szCs w:val="24"/>
          <w:u w:val="single"/>
          <w:lang w:val="en-IE"/>
        </w:rPr>
        <w:t xml:space="preserve">1 and the targeted requirements in </w:t>
      </w:r>
      <w:r w:rsidR="00386606" w:rsidRPr="00532C20">
        <w:rPr>
          <w:rFonts w:ascii="Times New Roman" w:hAnsi="Times New Roman" w:cs="Times New Roman"/>
          <w:noProof/>
          <w:szCs w:val="24"/>
          <w:u w:val="single"/>
          <w:lang w:val="en-IE"/>
        </w:rPr>
        <w:t>PO</w:t>
      </w:r>
      <w:r w:rsidR="00B31280" w:rsidRPr="00532C20">
        <w:rPr>
          <w:rFonts w:ascii="Times New Roman" w:hAnsi="Times New Roman" w:cs="Times New Roman"/>
          <w:noProof/>
          <w:szCs w:val="24"/>
          <w:u w:val="single"/>
          <w:lang w:val="en-IE"/>
        </w:rPr>
        <w:t>2.</w:t>
      </w:r>
      <w:r w:rsidR="00FC01DD" w:rsidRPr="00532C20">
        <w:rPr>
          <w:rFonts w:ascii="Times New Roman" w:hAnsi="Times New Roman" w:cs="Times New Roman"/>
          <w:noProof/>
          <w:szCs w:val="24"/>
          <w:u w:val="single"/>
          <w:lang w:val="en-IE"/>
        </w:rPr>
        <w:t>1</w:t>
      </w:r>
      <w:r w:rsidRPr="00532C20">
        <w:rPr>
          <w:rFonts w:ascii="Times New Roman" w:hAnsi="Times New Roman" w:cs="Times New Roman"/>
          <w:noProof/>
          <w:szCs w:val="24"/>
          <w:lang w:val="en-IE"/>
        </w:rPr>
        <w:t xml:space="preserve"> are not more far-reaching than would be required to achieve this objective</w:t>
      </w:r>
      <w:r w:rsidR="009524D1" w:rsidRPr="00532C20">
        <w:rPr>
          <w:rFonts w:ascii="Times New Roman" w:hAnsi="Times New Roman" w:cs="Times New Roman"/>
          <w:noProof/>
          <w:szCs w:val="24"/>
          <w:lang w:val="en-IE"/>
        </w:rPr>
        <w:t>.</w:t>
      </w:r>
      <w:r w:rsidRPr="00532C20">
        <w:rPr>
          <w:rFonts w:ascii="Times New Roman" w:hAnsi="Times New Roman" w:cs="Times New Roman"/>
          <w:noProof/>
          <w:szCs w:val="24"/>
          <w:lang w:val="en-IE"/>
        </w:rPr>
        <w:t xml:space="preserve"> </w:t>
      </w:r>
    </w:p>
    <w:p w14:paraId="3A3C2CB1" w14:textId="428BE945" w:rsidR="009B635F" w:rsidRPr="00532C20" w:rsidRDefault="00B55169" w:rsidP="00DE49F8">
      <w:pPr>
        <w:pStyle w:val="Text2"/>
        <w:spacing w:after="120"/>
        <w:ind w:left="0"/>
        <w:rPr>
          <w:noProof/>
          <w:lang w:val="en-IE"/>
        </w:rPr>
      </w:pPr>
      <w:r w:rsidRPr="00532C20">
        <w:rPr>
          <w:noProof/>
          <w:lang w:val="en-IE"/>
        </w:rPr>
        <w:t xml:space="preserve">The </w:t>
      </w:r>
      <w:r w:rsidR="004B42E4" w:rsidRPr="00532C20">
        <w:rPr>
          <w:noProof/>
          <w:lang w:val="en-IE"/>
        </w:rPr>
        <w:t>system of prior authorisation</w:t>
      </w:r>
      <w:r w:rsidR="0023110B" w:rsidRPr="00532C20">
        <w:rPr>
          <w:rFonts w:ascii="Times New Roman" w:hAnsi="Times New Roman" w:cs="Times New Roman"/>
          <w:noProof/>
          <w:lang w:val="en-IE"/>
        </w:rPr>
        <w:t xml:space="preserve"> in </w:t>
      </w:r>
      <w:r w:rsidR="0023110B" w:rsidRPr="00532C20">
        <w:rPr>
          <w:rFonts w:ascii="Times New Roman" w:hAnsi="Times New Roman" w:cs="Times New Roman"/>
          <w:noProof/>
          <w:u w:val="single"/>
          <w:lang w:val="en-IE"/>
        </w:rPr>
        <w:t>the extended requirements included in PO2.</w:t>
      </w:r>
      <w:r w:rsidR="00FC01DD" w:rsidRPr="00532C20">
        <w:rPr>
          <w:rFonts w:ascii="Times New Roman" w:hAnsi="Times New Roman" w:cs="Times New Roman"/>
          <w:noProof/>
          <w:u w:val="single"/>
          <w:lang w:val="en-IE"/>
        </w:rPr>
        <w:t>2</w:t>
      </w:r>
      <w:r w:rsidR="00E43944" w:rsidRPr="00532C20">
        <w:rPr>
          <w:rFonts w:ascii="Times New Roman" w:hAnsi="Times New Roman" w:cs="Times New Roman"/>
          <w:noProof/>
          <w:u w:val="single"/>
          <w:lang w:val="en-IE"/>
        </w:rPr>
        <w:t xml:space="preserve"> </w:t>
      </w:r>
      <w:r w:rsidR="00E2771F" w:rsidRPr="00532C20">
        <w:rPr>
          <w:noProof/>
          <w:lang w:val="en-IE"/>
        </w:rPr>
        <w:t>impose</w:t>
      </w:r>
      <w:r w:rsidR="00A426FA" w:rsidRPr="00532C20">
        <w:rPr>
          <w:noProof/>
          <w:lang w:val="en-IE"/>
        </w:rPr>
        <w:t>s</w:t>
      </w:r>
      <w:r w:rsidR="00E2771F" w:rsidRPr="00532C20">
        <w:rPr>
          <w:noProof/>
          <w:lang w:val="en-IE"/>
        </w:rPr>
        <w:t xml:space="preserve"> additional </w:t>
      </w:r>
      <w:r w:rsidR="009524D1" w:rsidRPr="00532C20">
        <w:rPr>
          <w:rFonts w:ascii="Times New Roman" w:hAnsi="Times New Roman" w:cs="Times New Roman"/>
          <w:noProof/>
          <w:szCs w:val="24"/>
          <w:lang w:val="en-IE"/>
        </w:rPr>
        <w:t>restriction</w:t>
      </w:r>
      <w:r w:rsidR="00A426FA" w:rsidRPr="00532C20">
        <w:rPr>
          <w:rFonts w:ascii="Times New Roman" w:hAnsi="Times New Roman" w:cs="Times New Roman"/>
          <w:noProof/>
          <w:szCs w:val="24"/>
          <w:lang w:val="en-IE"/>
        </w:rPr>
        <w:t>s</w:t>
      </w:r>
      <w:r w:rsidR="009524D1" w:rsidRPr="00532C20">
        <w:rPr>
          <w:rFonts w:ascii="Times New Roman" w:hAnsi="Times New Roman" w:cs="Times New Roman"/>
          <w:noProof/>
          <w:szCs w:val="24"/>
          <w:lang w:val="en-IE"/>
        </w:rPr>
        <w:t xml:space="preserve"> on economic activities</w:t>
      </w:r>
      <w:r w:rsidR="00EC1605" w:rsidRPr="00532C20">
        <w:rPr>
          <w:noProof/>
          <w:lang w:val="en-IE"/>
        </w:rPr>
        <w:t xml:space="preserve">. </w:t>
      </w:r>
      <w:r w:rsidR="004B42E4" w:rsidRPr="00532C20">
        <w:rPr>
          <w:noProof/>
          <w:lang w:val="en-IE"/>
        </w:rPr>
        <w:t>Member States</w:t>
      </w:r>
      <w:r w:rsidR="00804851" w:rsidRPr="00532C20">
        <w:rPr>
          <w:noProof/>
          <w:lang w:val="en-IE"/>
        </w:rPr>
        <w:t xml:space="preserve"> would be able to </w:t>
      </w:r>
      <w:r w:rsidR="004B42E4" w:rsidRPr="00532C20">
        <w:rPr>
          <w:noProof/>
          <w:lang w:val="en-IE"/>
        </w:rPr>
        <w:t xml:space="preserve">refuse granting a licence on the ground that the activity is likely to seriously affect public security. </w:t>
      </w:r>
      <w:r w:rsidR="00EA392B" w:rsidRPr="00532C20">
        <w:rPr>
          <w:noProof/>
          <w:lang w:val="en-IE"/>
        </w:rPr>
        <w:t>S</w:t>
      </w:r>
      <w:r w:rsidR="004B42E4" w:rsidRPr="00532C20">
        <w:rPr>
          <w:noProof/>
          <w:lang w:val="en-IE"/>
        </w:rPr>
        <w:t xml:space="preserve">uch measure </w:t>
      </w:r>
      <w:r w:rsidR="007D0BEE" w:rsidRPr="00532C20">
        <w:rPr>
          <w:noProof/>
          <w:lang w:val="en-IE"/>
        </w:rPr>
        <w:t>would seek to address threats to internal and external security</w:t>
      </w:r>
      <w:r w:rsidR="007D0BEE" w:rsidRPr="00532C20">
        <w:rPr>
          <w:rFonts w:ascii="Times New Roman" w:hAnsi="Times New Roman" w:cs="Times New Roman"/>
          <w:noProof/>
          <w:szCs w:val="24"/>
          <w:lang w:val="en-IE"/>
        </w:rPr>
        <w:t xml:space="preserve"> which pursue an objective in the general interest capable of justifying interference with this freedom. Such measure</w:t>
      </w:r>
      <w:r w:rsidR="007D0BEE" w:rsidRPr="00532C20">
        <w:rPr>
          <w:noProof/>
          <w:lang w:val="en-IE"/>
        </w:rPr>
        <w:t xml:space="preserve"> </w:t>
      </w:r>
      <w:r w:rsidR="004B42E4" w:rsidRPr="00532C20">
        <w:rPr>
          <w:noProof/>
          <w:lang w:val="en-IE"/>
        </w:rPr>
        <w:t>would</w:t>
      </w:r>
      <w:r w:rsidR="00EA392B" w:rsidRPr="00532C20">
        <w:rPr>
          <w:noProof/>
          <w:lang w:val="en-IE"/>
        </w:rPr>
        <w:t xml:space="preserve"> apply in limited </w:t>
      </w:r>
      <w:r w:rsidR="006856B8" w:rsidRPr="00532C20">
        <w:rPr>
          <w:noProof/>
          <w:lang w:val="en-IE"/>
        </w:rPr>
        <w:t xml:space="preserve">individual </w:t>
      </w:r>
      <w:r w:rsidR="00EA392B" w:rsidRPr="00532C20">
        <w:rPr>
          <w:noProof/>
          <w:lang w:val="en-IE"/>
        </w:rPr>
        <w:t xml:space="preserve">cases </w:t>
      </w:r>
      <w:r w:rsidR="007D0BEE" w:rsidRPr="00532C20">
        <w:rPr>
          <w:noProof/>
          <w:lang w:val="en-IE"/>
        </w:rPr>
        <w:t xml:space="preserve">and would need to be justified </w:t>
      </w:r>
      <w:r w:rsidR="00EA392B" w:rsidRPr="00532C20">
        <w:rPr>
          <w:noProof/>
          <w:lang w:val="en-IE"/>
        </w:rPr>
        <w:t>and</w:t>
      </w:r>
      <w:r w:rsidR="007D0BEE" w:rsidRPr="00532C20">
        <w:rPr>
          <w:noProof/>
          <w:lang w:val="en-IE"/>
        </w:rPr>
        <w:t xml:space="preserve"> would </w:t>
      </w:r>
      <w:r w:rsidR="00F5538D" w:rsidRPr="00532C20">
        <w:rPr>
          <w:noProof/>
          <w:lang w:val="en-IE"/>
        </w:rPr>
        <w:t>not impede concerned entities to carry out other interest representation activities for which a licence has been granted.</w:t>
      </w:r>
      <w:r w:rsidR="00760AA8" w:rsidRPr="00532C20">
        <w:rPr>
          <w:noProof/>
          <w:lang w:val="en-IE"/>
        </w:rPr>
        <w:t xml:space="preserve"> This additional requirement would thus </w:t>
      </w:r>
      <w:r w:rsidR="00760AA8" w:rsidRPr="00532C20">
        <w:rPr>
          <w:rFonts w:ascii="Times New Roman" w:hAnsi="Times New Roman" w:cs="Times New Roman"/>
          <w:noProof/>
          <w:szCs w:val="24"/>
          <w:lang w:val="en-IE"/>
        </w:rPr>
        <w:t>not be more far-reaching than would be required to achieve this objective</w:t>
      </w:r>
      <w:r w:rsidR="00F80FE2" w:rsidRPr="00532C20">
        <w:rPr>
          <w:rFonts w:ascii="Times New Roman" w:hAnsi="Times New Roman" w:cs="Times New Roman"/>
          <w:noProof/>
          <w:szCs w:val="24"/>
          <w:lang w:val="en-IE"/>
        </w:rPr>
        <w:t>.</w:t>
      </w:r>
    </w:p>
    <w:p w14:paraId="383E308C" w14:textId="4A3AC1A1" w:rsidR="00E13F96" w:rsidRPr="00532C20" w:rsidRDefault="00E13F96" w:rsidP="004B0958">
      <w:pPr>
        <w:pStyle w:val="111level3title"/>
        <w:spacing w:line="240" w:lineRule="auto"/>
        <w:rPr>
          <w:noProof/>
        </w:rPr>
      </w:pPr>
      <w:bookmarkStart w:id="1031" w:name="_Toc152864707"/>
      <w:r w:rsidRPr="00532C20">
        <w:rPr>
          <w:noProof/>
        </w:rPr>
        <w:t>Geopolitical implications</w:t>
      </w:r>
      <w:bookmarkEnd w:id="1031"/>
    </w:p>
    <w:p w14:paraId="01124C7D" w14:textId="0C80C50D" w:rsidR="004C6116" w:rsidRPr="00FB5DD0" w:rsidRDefault="004C6116" w:rsidP="004C6116">
      <w:pPr>
        <w:spacing w:after="120" w:line="240" w:lineRule="auto"/>
        <w:jc w:val="both"/>
        <w:rPr>
          <w:rFonts w:ascii="Times New Roman" w:hAnsi="Times New Roman" w:cs="Times New Roman"/>
          <w:noProof/>
          <w:sz w:val="24"/>
          <w:szCs w:val="24"/>
          <w:lang w:val="en-IE"/>
        </w:rPr>
      </w:pPr>
      <w:r w:rsidRPr="00FB5DD0">
        <w:rPr>
          <w:rFonts w:ascii="Times New Roman" w:eastAsia="Times" w:hAnsi="Times New Roman" w:cs="Times New Roman"/>
          <w:noProof/>
          <w:sz w:val="24"/>
          <w:szCs w:val="24"/>
          <w:lang w:val="en-IE"/>
        </w:rPr>
        <w:t>The</w:t>
      </w:r>
      <w:r w:rsidR="003C1FA4" w:rsidRPr="00FB5DD0" w:rsidDel="00327D94">
        <w:rPr>
          <w:rFonts w:ascii="Times New Roman" w:eastAsia="Times" w:hAnsi="Times New Roman" w:cs="Times New Roman"/>
          <w:noProof/>
          <w:sz w:val="24"/>
          <w:szCs w:val="24"/>
          <w:lang w:val="en-IE"/>
        </w:rPr>
        <w:t xml:space="preserve"> </w:t>
      </w:r>
      <w:r w:rsidR="00327D94" w:rsidRPr="00FB5DD0">
        <w:rPr>
          <w:rFonts w:ascii="Times New Roman" w:eastAsia="Times" w:hAnsi="Times New Roman" w:cs="Times New Roman"/>
          <w:noProof/>
          <w:sz w:val="24"/>
          <w:szCs w:val="24"/>
          <w:lang w:val="en-IE"/>
        </w:rPr>
        <w:t>Union</w:t>
      </w:r>
      <w:r w:rsidR="003C1FA4" w:rsidRPr="00FB5DD0">
        <w:rPr>
          <w:rFonts w:ascii="Times New Roman" w:eastAsia="Times" w:hAnsi="Times New Roman" w:cs="Times New Roman"/>
          <w:noProof/>
          <w:sz w:val="24"/>
          <w:szCs w:val="24"/>
          <w:lang w:val="en-IE"/>
        </w:rPr>
        <w:t xml:space="preserve"> </w:t>
      </w:r>
      <w:r w:rsidRPr="00FB5DD0">
        <w:rPr>
          <w:rFonts w:ascii="Times New Roman" w:eastAsia="Times" w:hAnsi="Times New Roman" w:cs="Times New Roman"/>
          <w:noProof/>
          <w:sz w:val="24"/>
          <w:szCs w:val="24"/>
          <w:lang w:val="en-IE"/>
        </w:rPr>
        <w:t>is committed to supporting democracy and human rights in its external relations, in accordance with its founding principles of</w:t>
      </w:r>
      <w:r w:rsidRPr="00FB5DD0" w:rsidDel="00D1227A">
        <w:rPr>
          <w:rFonts w:ascii="Times New Roman" w:eastAsia="Times" w:hAnsi="Times New Roman" w:cs="Times New Roman"/>
          <w:noProof/>
          <w:sz w:val="24"/>
          <w:szCs w:val="24"/>
          <w:lang w:val="en-IE"/>
        </w:rPr>
        <w:t xml:space="preserve"> </w:t>
      </w:r>
      <w:r w:rsidR="004D7FD5" w:rsidRPr="00FB5DD0">
        <w:rPr>
          <w:rFonts w:ascii="Times New Roman" w:eastAsia="Times" w:hAnsi="Times New Roman" w:cs="Times New Roman"/>
          <w:noProof/>
          <w:sz w:val="24"/>
          <w:szCs w:val="24"/>
          <w:lang w:val="en-IE"/>
        </w:rPr>
        <w:t>freedom, respect to human dignity</w:t>
      </w:r>
      <w:r w:rsidR="00EE6698">
        <w:rPr>
          <w:rFonts w:ascii="Times New Roman" w:eastAsia="Times" w:hAnsi="Times New Roman" w:cs="Times New Roman"/>
          <w:noProof/>
          <w:sz w:val="24"/>
          <w:szCs w:val="24"/>
          <w:lang w:val="en-IE"/>
        </w:rPr>
        <w:t>,</w:t>
      </w:r>
      <w:r w:rsidRPr="00FB5DD0">
        <w:rPr>
          <w:rFonts w:ascii="Times New Roman" w:eastAsia="Times" w:hAnsi="Times New Roman" w:cs="Times New Roman"/>
          <w:noProof/>
          <w:sz w:val="24"/>
          <w:szCs w:val="24"/>
          <w:lang w:val="en-IE"/>
        </w:rPr>
        <w:t xml:space="preserve"> democracy and respect for human rights, fundamental freedoms and the rule of law</w:t>
      </w:r>
      <w:r w:rsidRPr="00FB5DD0">
        <w:rPr>
          <w:rStyle w:val="FootnoteReference"/>
          <w:rFonts w:ascii="Times New Roman" w:eastAsia="Times" w:hAnsi="Times New Roman" w:cs="Times New Roman"/>
          <w:noProof/>
          <w:sz w:val="24"/>
          <w:szCs w:val="24"/>
          <w:lang w:val="en-IE"/>
        </w:rPr>
        <w:footnoteReference w:id="204"/>
      </w:r>
      <w:r w:rsidRPr="00FB5DD0">
        <w:rPr>
          <w:rFonts w:ascii="Times New Roman" w:eastAsia="Times" w:hAnsi="Times New Roman" w:cs="Times New Roman"/>
          <w:noProof/>
          <w:sz w:val="24"/>
          <w:szCs w:val="24"/>
          <w:lang w:val="en-IE"/>
        </w:rPr>
        <w:t>. The</w:t>
      </w:r>
      <w:r w:rsidRPr="00FB5DD0" w:rsidDel="00327D94">
        <w:rPr>
          <w:rFonts w:ascii="Times New Roman" w:eastAsia="Times" w:hAnsi="Times New Roman" w:cs="Times New Roman"/>
          <w:noProof/>
          <w:sz w:val="24"/>
          <w:szCs w:val="24"/>
          <w:lang w:val="en-IE"/>
        </w:rPr>
        <w:t xml:space="preserve"> </w:t>
      </w:r>
      <w:r w:rsidR="00327D94" w:rsidRPr="00FB5DD0">
        <w:rPr>
          <w:rFonts w:ascii="Times New Roman" w:eastAsia="Times" w:hAnsi="Times New Roman" w:cs="Times New Roman"/>
          <w:noProof/>
          <w:sz w:val="24"/>
          <w:szCs w:val="24"/>
          <w:lang w:val="en-IE"/>
        </w:rPr>
        <w:t>Union</w:t>
      </w:r>
      <w:r w:rsidRPr="00FB5DD0">
        <w:rPr>
          <w:rFonts w:ascii="Times New Roman" w:eastAsia="Times" w:hAnsi="Times New Roman" w:cs="Times New Roman"/>
          <w:noProof/>
          <w:sz w:val="24"/>
          <w:szCs w:val="24"/>
          <w:lang w:val="en-IE"/>
        </w:rPr>
        <w:t xml:space="preserve"> has a large set of tools to support and protect democracy and human rights worldwide</w:t>
      </w:r>
      <w:r w:rsidRPr="00FB5DD0">
        <w:rPr>
          <w:rStyle w:val="FootnoteReference"/>
          <w:rFonts w:ascii="Times New Roman" w:eastAsia="Times" w:hAnsi="Times New Roman" w:cs="Times New Roman"/>
          <w:noProof/>
          <w:sz w:val="24"/>
          <w:szCs w:val="24"/>
          <w:lang w:val="en-IE"/>
        </w:rPr>
        <w:footnoteReference w:id="205"/>
      </w:r>
      <w:r w:rsidRPr="00FB5DD0">
        <w:rPr>
          <w:rFonts w:ascii="Times New Roman" w:eastAsia="Times" w:hAnsi="Times New Roman" w:cs="Times New Roman"/>
          <w:noProof/>
          <w:sz w:val="24"/>
          <w:szCs w:val="24"/>
          <w:lang w:val="en-IE"/>
        </w:rPr>
        <w:t xml:space="preserve">. </w:t>
      </w:r>
      <w:r w:rsidR="005B4587" w:rsidRPr="00FB5DD0">
        <w:rPr>
          <w:rFonts w:ascii="Times New Roman" w:eastAsia="Times" w:hAnsi="Times New Roman" w:cs="Times New Roman"/>
          <w:noProof/>
          <w:sz w:val="24"/>
          <w:szCs w:val="24"/>
          <w:lang w:val="en-IE"/>
        </w:rPr>
        <w:t>W</w:t>
      </w:r>
      <w:r w:rsidR="000F0C17" w:rsidRPr="00FB5DD0">
        <w:rPr>
          <w:rFonts w:ascii="Times New Roman" w:eastAsia="Times" w:hAnsi="Times New Roman" w:cs="Times New Roman"/>
          <w:noProof/>
          <w:sz w:val="24"/>
          <w:szCs w:val="24"/>
          <w:lang w:val="en-IE"/>
        </w:rPr>
        <w:t xml:space="preserve">ith its </w:t>
      </w:r>
      <w:r w:rsidR="005B4587" w:rsidRPr="00FB5DD0">
        <w:rPr>
          <w:rFonts w:ascii="Times New Roman" w:eastAsia="Times" w:hAnsi="Times New Roman" w:cs="Times New Roman"/>
          <w:noProof/>
          <w:sz w:val="24"/>
          <w:szCs w:val="24"/>
          <w:lang w:val="en-IE"/>
        </w:rPr>
        <w:t>M</w:t>
      </w:r>
      <w:r w:rsidR="000F0C17" w:rsidRPr="00FB5DD0">
        <w:rPr>
          <w:rFonts w:ascii="Times New Roman" w:eastAsia="Times" w:hAnsi="Times New Roman" w:cs="Times New Roman"/>
          <w:noProof/>
          <w:sz w:val="24"/>
          <w:szCs w:val="24"/>
          <w:lang w:val="en-IE"/>
        </w:rPr>
        <w:t xml:space="preserve">ember </w:t>
      </w:r>
      <w:r w:rsidR="005B4587" w:rsidRPr="00FB5DD0">
        <w:rPr>
          <w:rFonts w:ascii="Times New Roman" w:eastAsia="Times" w:hAnsi="Times New Roman" w:cs="Times New Roman"/>
          <w:noProof/>
          <w:sz w:val="24"/>
          <w:szCs w:val="24"/>
          <w:lang w:val="en-IE"/>
        </w:rPr>
        <w:t>S</w:t>
      </w:r>
      <w:r w:rsidR="000F0C17" w:rsidRPr="00FB5DD0">
        <w:rPr>
          <w:rFonts w:ascii="Times New Roman" w:eastAsia="Times" w:hAnsi="Times New Roman" w:cs="Times New Roman"/>
          <w:noProof/>
          <w:sz w:val="24"/>
          <w:szCs w:val="24"/>
          <w:lang w:val="en-IE"/>
        </w:rPr>
        <w:t>tates</w:t>
      </w:r>
      <w:r w:rsidR="005B4587" w:rsidRPr="00FB5DD0">
        <w:rPr>
          <w:rFonts w:ascii="Times New Roman" w:eastAsia="Times" w:hAnsi="Times New Roman" w:cs="Times New Roman"/>
          <w:noProof/>
          <w:sz w:val="24"/>
          <w:szCs w:val="24"/>
          <w:lang w:val="en-IE"/>
        </w:rPr>
        <w:t>, it</w:t>
      </w:r>
      <w:r w:rsidR="000F0C17" w:rsidRPr="00FB5DD0">
        <w:rPr>
          <w:rFonts w:ascii="Times New Roman" w:eastAsia="Times" w:hAnsi="Times New Roman" w:cs="Times New Roman"/>
          <w:noProof/>
          <w:sz w:val="24"/>
          <w:szCs w:val="24"/>
          <w:lang w:val="en-IE"/>
        </w:rPr>
        <w:t xml:space="preserve"> is the world’s largest provider of democracy </w:t>
      </w:r>
      <w:r w:rsidR="00DC1E1F" w:rsidRPr="00FB5DD0">
        <w:rPr>
          <w:rFonts w:ascii="Times New Roman" w:eastAsia="Times" w:hAnsi="Times New Roman" w:cs="Times New Roman"/>
          <w:noProof/>
          <w:sz w:val="24"/>
          <w:szCs w:val="24"/>
          <w:lang w:val="en-IE"/>
        </w:rPr>
        <w:t xml:space="preserve">support </w:t>
      </w:r>
      <w:r w:rsidR="000F0C17" w:rsidRPr="00FB5DD0">
        <w:rPr>
          <w:rFonts w:ascii="Times New Roman" w:eastAsia="Times" w:hAnsi="Times New Roman" w:cs="Times New Roman"/>
          <w:noProof/>
          <w:sz w:val="24"/>
          <w:szCs w:val="24"/>
          <w:lang w:val="en-IE"/>
        </w:rPr>
        <w:t>and human rights assistance, financing programmes with both state and non-state actors in the vast majority of third countries. All operations are guided by the Human Rights Based Approach, encompassing principles of respect for human rights, participation, inclusion, transparency and accountability.</w:t>
      </w:r>
    </w:p>
    <w:p w14:paraId="0E9A211A" w14:textId="03F42B83" w:rsidR="006211CB" w:rsidRPr="00532C20" w:rsidRDefault="00511953" w:rsidP="00B65690">
      <w:pPr>
        <w:spacing w:after="120" w:line="240" w:lineRule="auto"/>
        <w:jc w:val="both"/>
        <w:rPr>
          <w:rFonts w:ascii="Times New Roman" w:hAnsi="Times New Roman" w:cs="Times New Roman"/>
          <w:noProof/>
          <w:sz w:val="24"/>
          <w:szCs w:val="24"/>
          <w:lang w:val="en-IE"/>
        </w:rPr>
      </w:pPr>
      <w:r w:rsidRPr="00FB5DD0">
        <w:rPr>
          <w:rFonts w:ascii="Times New Roman" w:eastAsia="Times" w:hAnsi="Times New Roman" w:cs="Times New Roman"/>
          <w:noProof/>
          <w:sz w:val="24"/>
          <w:szCs w:val="24"/>
          <w:lang w:val="en-IE"/>
        </w:rPr>
        <w:t>The</w:t>
      </w:r>
      <w:r w:rsidRPr="00FB5DD0" w:rsidDel="00327D94">
        <w:rPr>
          <w:rFonts w:ascii="Times New Roman" w:eastAsia="Times" w:hAnsi="Times New Roman" w:cs="Times New Roman"/>
          <w:noProof/>
          <w:sz w:val="24"/>
          <w:szCs w:val="24"/>
          <w:lang w:val="en-IE"/>
        </w:rPr>
        <w:t xml:space="preserve"> </w:t>
      </w:r>
      <w:r w:rsidR="00327D94" w:rsidRPr="00FB5DD0">
        <w:rPr>
          <w:rFonts w:ascii="Times New Roman" w:eastAsia="Times" w:hAnsi="Times New Roman" w:cs="Times New Roman"/>
          <w:noProof/>
          <w:sz w:val="24"/>
          <w:szCs w:val="24"/>
          <w:lang w:val="en-IE"/>
        </w:rPr>
        <w:t>Union</w:t>
      </w:r>
      <w:r w:rsidRPr="00FB5DD0">
        <w:rPr>
          <w:rFonts w:ascii="Times New Roman" w:eastAsia="Times" w:hAnsi="Times New Roman" w:cs="Times New Roman"/>
          <w:noProof/>
          <w:sz w:val="24"/>
          <w:szCs w:val="24"/>
          <w:lang w:val="en-IE"/>
        </w:rPr>
        <w:t xml:space="preserve"> </w:t>
      </w:r>
      <w:r w:rsidRPr="00FB5DD0">
        <w:rPr>
          <w:rFonts w:ascii="Times New Roman" w:hAnsi="Times New Roman" w:cs="Times New Roman"/>
          <w:noProof/>
          <w:sz w:val="24"/>
          <w:szCs w:val="24"/>
          <w:lang w:val="en-IE"/>
        </w:rPr>
        <w:t>consistently condemns any undue limitation</w:t>
      </w:r>
      <w:r w:rsidRPr="001C4A5A">
        <w:rPr>
          <w:rFonts w:ascii="Times New Roman" w:hAnsi="Times New Roman" w:cs="Times New Roman"/>
          <w:noProof/>
          <w:sz w:val="24"/>
          <w:szCs w:val="24"/>
          <w:lang w:val="en-IE"/>
        </w:rPr>
        <w:t xml:space="preserve"> on fundamental freedoms and restrictions on civic and political space in violation of international human rights law, including </w:t>
      </w:r>
      <w:r w:rsidRPr="001C4A5A">
        <w:rPr>
          <w:rFonts w:ascii="Times New Roman" w:eastAsia="Times" w:hAnsi="Times New Roman" w:cs="Times New Roman"/>
          <w:noProof/>
          <w:sz w:val="24"/>
          <w:szCs w:val="24"/>
          <w:lang w:val="en-IE"/>
        </w:rPr>
        <w:t>so</w:t>
      </w:r>
      <w:r w:rsidR="00251E49">
        <w:rPr>
          <w:rFonts w:ascii="Times New Roman" w:eastAsia="Times" w:hAnsi="Times New Roman" w:cs="Times New Roman"/>
          <w:noProof/>
          <w:sz w:val="24"/>
          <w:szCs w:val="24"/>
          <w:lang w:val="en-IE"/>
        </w:rPr>
        <w:t>-</w:t>
      </w:r>
      <w:r w:rsidRPr="001C4A5A">
        <w:rPr>
          <w:rFonts w:ascii="Times New Roman" w:eastAsia="Times" w:hAnsi="Times New Roman" w:cs="Times New Roman"/>
          <w:noProof/>
          <w:sz w:val="24"/>
          <w:szCs w:val="24"/>
          <w:lang w:val="en-IE"/>
        </w:rPr>
        <w:t>called “foreign agent laws</w:t>
      </w:r>
      <w:r w:rsidRPr="001C4A5A">
        <w:rPr>
          <w:rFonts w:ascii="Times New Roman" w:hAnsi="Times New Roman" w:cs="Times New Roman"/>
          <w:noProof/>
          <w:sz w:val="24"/>
          <w:szCs w:val="24"/>
          <w:lang w:val="en-IE"/>
        </w:rPr>
        <w:t>”</w:t>
      </w:r>
      <w:bookmarkStart w:id="1032" w:name="_Ref147763692"/>
      <w:r w:rsidRPr="001C4A5A">
        <w:rPr>
          <w:rStyle w:val="FootnoteReference"/>
          <w:rFonts w:ascii="Times New Roman" w:hAnsi="Times New Roman" w:cs="Times New Roman"/>
          <w:noProof/>
          <w:sz w:val="24"/>
          <w:szCs w:val="24"/>
          <w:lang w:val="en-IE"/>
        </w:rPr>
        <w:footnoteReference w:id="206"/>
      </w:r>
      <w:bookmarkEnd w:id="1032"/>
      <w:r w:rsidRPr="001C4A5A">
        <w:rPr>
          <w:rFonts w:ascii="Times New Roman" w:hAnsi="Times New Roman" w:cs="Times New Roman"/>
          <w:noProof/>
          <w:sz w:val="24"/>
          <w:szCs w:val="24"/>
          <w:lang w:val="en-IE"/>
        </w:rPr>
        <w:t>.</w:t>
      </w:r>
      <w:r w:rsidR="00B65690" w:rsidRPr="001C4A5A">
        <w:rPr>
          <w:rFonts w:ascii="Times New Roman" w:hAnsi="Times New Roman" w:cs="Times New Roman"/>
          <w:noProof/>
          <w:sz w:val="24"/>
          <w:szCs w:val="24"/>
          <w:lang w:val="en-IE"/>
        </w:rPr>
        <w:t xml:space="preserve"> These laws often include measures that </w:t>
      </w:r>
      <w:r w:rsidR="006C418B">
        <w:rPr>
          <w:rFonts w:ascii="Times New Roman" w:hAnsi="Times New Roman" w:cs="Times New Roman"/>
          <w:noProof/>
          <w:sz w:val="24"/>
          <w:szCs w:val="24"/>
          <w:lang w:val="en-IE"/>
        </w:rPr>
        <w:t xml:space="preserve">unduly </w:t>
      </w:r>
      <w:r w:rsidR="00B65690" w:rsidRPr="001C4A5A">
        <w:rPr>
          <w:rFonts w:ascii="Times New Roman" w:hAnsi="Times New Roman" w:cs="Times New Roman"/>
          <w:noProof/>
          <w:sz w:val="24"/>
          <w:szCs w:val="24"/>
          <w:lang w:val="en-IE"/>
        </w:rPr>
        <w:t>limit the civic space and restrict human rights that are key pillars of a democratic society.</w:t>
      </w:r>
      <w:r w:rsidR="00DC1E1F" w:rsidRPr="001C4A5A">
        <w:rPr>
          <w:rFonts w:ascii="Times New Roman" w:hAnsi="Times New Roman" w:cs="Times New Roman"/>
          <w:noProof/>
          <w:sz w:val="24"/>
          <w:szCs w:val="24"/>
          <w:lang w:val="en-IE"/>
        </w:rPr>
        <w:t xml:space="preserve"> For example, t</w:t>
      </w:r>
      <w:r w:rsidR="007B7F13" w:rsidRPr="001C4A5A">
        <w:rPr>
          <w:rFonts w:ascii="Times New Roman" w:hAnsi="Times New Roman" w:cs="Times New Roman"/>
          <w:noProof/>
          <w:sz w:val="24"/>
          <w:szCs w:val="24"/>
          <w:lang w:val="en-IE"/>
        </w:rPr>
        <w:t xml:space="preserve">he </w:t>
      </w:r>
      <w:r w:rsidR="00B57E4A" w:rsidRPr="001C4A5A">
        <w:rPr>
          <w:rFonts w:ascii="Times New Roman" w:hAnsi="Times New Roman" w:cs="Times New Roman"/>
          <w:noProof/>
          <w:sz w:val="24"/>
          <w:szCs w:val="24"/>
          <w:lang w:val="en-IE"/>
        </w:rPr>
        <w:t xml:space="preserve">Russian Regulation of the Activities of Non-profit Organisations Performing the Functions of a Foreign Agent, adopted in 2012 and amended in 2022 has been used to </w:t>
      </w:r>
      <w:r w:rsidR="003F021D" w:rsidRPr="001C4A5A">
        <w:rPr>
          <w:rFonts w:ascii="Times New Roman" w:hAnsi="Times New Roman" w:cs="Times New Roman"/>
          <w:noProof/>
          <w:sz w:val="24"/>
          <w:szCs w:val="24"/>
          <w:lang w:val="en-IE"/>
        </w:rPr>
        <w:t>“</w:t>
      </w:r>
      <w:r w:rsidR="00B57E4A" w:rsidRPr="001C4A5A">
        <w:rPr>
          <w:rFonts w:ascii="Times New Roman" w:hAnsi="Times New Roman" w:cs="Times New Roman"/>
          <w:noProof/>
          <w:sz w:val="24"/>
          <w:szCs w:val="24"/>
          <w:lang w:val="en-IE"/>
        </w:rPr>
        <w:t xml:space="preserve">stigmatise </w:t>
      </w:r>
      <w:r w:rsidR="00CA26EF" w:rsidRPr="001C4A5A">
        <w:rPr>
          <w:rFonts w:ascii="Times New Roman" w:hAnsi="Times New Roman" w:cs="Times New Roman"/>
          <w:noProof/>
          <w:sz w:val="24"/>
          <w:szCs w:val="24"/>
          <w:lang w:val="en-IE"/>
        </w:rPr>
        <w:t xml:space="preserve">[…] </w:t>
      </w:r>
      <w:r w:rsidR="00B57E4A" w:rsidRPr="001C4A5A">
        <w:rPr>
          <w:rFonts w:ascii="Times New Roman" w:hAnsi="Times New Roman" w:cs="Times New Roman"/>
          <w:noProof/>
          <w:sz w:val="24"/>
          <w:szCs w:val="24"/>
          <w:lang w:val="en-IE"/>
        </w:rPr>
        <w:t xml:space="preserve">and </w:t>
      </w:r>
      <w:r w:rsidR="00CA26EF" w:rsidRPr="001C4A5A">
        <w:rPr>
          <w:rFonts w:ascii="Times New Roman" w:hAnsi="Times New Roman" w:cs="Times New Roman"/>
          <w:noProof/>
          <w:sz w:val="24"/>
          <w:szCs w:val="24"/>
          <w:lang w:val="en-IE"/>
        </w:rPr>
        <w:t>seriously hamper”</w:t>
      </w:r>
      <w:r w:rsidR="00BB29EC" w:rsidRPr="001C4A5A">
        <w:rPr>
          <w:rStyle w:val="FootnoteReference"/>
          <w:rFonts w:ascii="Times New Roman" w:hAnsi="Times New Roman" w:cs="Times New Roman"/>
          <w:noProof/>
          <w:sz w:val="24"/>
          <w:szCs w:val="24"/>
          <w:lang w:val="en-IE"/>
        </w:rPr>
        <w:footnoteReference w:id="207"/>
      </w:r>
      <w:r w:rsidR="00CA26EF" w:rsidRPr="001C4A5A">
        <w:rPr>
          <w:rFonts w:ascii="Times New Roman" w:hAnsi="Times New Roman" w:cs="Times New Roman"/>
          <w:noProof/>
          <w:sz w:val="24"/>
          <w:szCs w:val="24"/>
          <w:lang w:val="en-IE"/>
        </w:rPr>
        <w:t xml:space="preserve"> </w:t>
      </w:r>
      <w:r w:rsidR="00985B32" w:rsidRPr="001C4A5A">
        <w:rPr>
          <w:rFonts w:ascii="Times New Roman" w:hAnsi="Times New Roman" w:cs="Times New Roman"/>
          <w:noProof/>
          <w:sz w:val="24"/>
          <w:szCs w:val="24"/>
          <w:lang w:val="en-IE"/>
        </w:rPr>
        <w:t>the activities of</w:t>
      </w:r>
      <w:r w:rsidR="00B57E4A" w:rsidRPr="001C4A5A">
        <w:rPr>
          <w:rFonts w:ascii="Times New Roman" w:hAnsi="Times New Roman" w:cs="Times New Roman"/>
          <w:noProof/>
          <w:sz w:val="24"/>
          <w:szCs w:val="24"/>
          <w:lang w:val="en-IE"/>
        </w:rPr>
        <w:t xml:space="preserve"> </w:t>
      </w:r>
      <w:r w:rsidR="007C1EF3" w:rsidRPr="001C4A5A">
        <w:rPr>
          <w:rFonts w:ascii="Times New Roman" w:hAnsi="Times New Roman" w:cs="Times New Roman"/>
          <w:noProof/>
          <w:sz w:val="24"/>
          <w:szCs w:val="24"/>
          <w:lang w:val="en-IE"/>
        </w:rPr>
        <w:t xml:space="preserve">individuals from </w:t>
      </w:r>
      <w:r w:rsidR="00B57E4A" w:rsidRPr="001C4A5A">
        <w:rPr>
          <w:rFonts w:ascii="Times New Roman" w:hAnsi="Times New Roman" w:cs="Times New Roman"/>
          <w:noProof/>
          <w:sz w:val="24"/>
          <w:szCs w:val="24"/>
          <w:lang w:val="en-IE"/>
        </w:rPr>
        <w:t>different groups of society, including CSOs, unregistered public associations, media outlets, journalists, activists and human rights defenders. Other attempts to enact laws aiming to scrutinize the work of CSOs receiving support from abroad include the Georgian draft law on transparency of foreign influence and the Republika Srpska’s draft law on the Special Register and Transparency of the Work of the non-profit organisations</w:t>
      </w:r>
      <w:bookmarkStart w:id="1033" w:name="_Ref147763593"/>
      <w:r w:rsidR="00B57E4A" w:rsidRPr="001C4A5A">
        <w:rPr>
          <w:rStyle w:val="FootnoteReference"/>
          <w:rFonts w:ascii="Times New Roman" w:hAnsi="Times New Roman" w:cs="Times New Roman"/>
          <w:noProof/>
          <w:sz w:val="24"/>
          <w:szCs w:val="24"/>
          <w:lang w:val="en-IE"/>
        </w:rPr>
        <w:footnoteReference w:id="208"/>
      </w:r>
      <w:bookmarkEnd w:id="1033"/>
      <w:r w:rsidR="00B57E4A" w:rsidRPr="001C4A5A">
        <w:rPr>
          <w:rFonts w:ascii="Times New Roman" w:hAnsi="Times New Roman" w:cs="Times New Roman"/>
          <w:noProof/>
          <w:sz w:val="24"/>
          <w:szCs w:val="24"/>
          <w:lang w:val="en-IE"/>
        </w:rPr>
        <w:t>.</w:t>
      </w:r>
      <w:r w:rsidR="00B57E4A" w:rsidRPr="00532C20">
        <w:rPr>
          <w:rFonts w:ascii="Times New Roman" w:hAnsi="Times New Roman" w:cs="Times New Roman"/>
          <w:noProof/>
          <w:sz w:val="24"/>
          <w:szCs w:val="24"/>
          <w:lang w:val="en-IE"/>
        </w:rPr>
        <w:t xml:space="preserve"> </w:t>
      </w:r>
    </w:p>
    <w:p w14:paraId="79E51772" w14:textId="4935FF28" w:rsidR="00ED74D4" w:rsidRPr="00532C20" w:rsidRDefault="001E705B" w:rsidP="00B65690">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lang w:val="en-IE"/>
        </w:rPr>
        <w:t>In contrast to so</w:t>
      </w:r>
      <w:r w:rsidR="00251E49">
        <w:rPr>
          <w:rFonts w:ascii="Times New Roman" w:hAnsi="Times New Roman" w:cs="Times New Roman"/>
          <w:noProof/>
          <w:szCs w:val="24"/>
          <w:lang w:val="en-IE"/>
        </w:rPr>
        <w:t>-</w:t>
      </w:r>
      <w:r w:rsidRPr="00532C20">
        <w:rPr>
          <w:rFonts w:ascii="Times New Roman" w:hAnsi="Times New Roman" w:cs="Times New Roman"/>
          <w:noProof/>
          <w:szCs w:val="24"/>
          <w:lang w:val="en-IE"/>
        </w:rPr>
        <w:t xml:space="preserve">called ‘foreign agent </w:t>
      </w:r>
      <w:r w:rsidRPr="001C4A5A">
        <w:rPr>
          <w:rFonts w:ascii="Times New Roman" w:hAnsi="Times New Roman" w:cs="Times New Roman"/>
          <w:noProof/>
          <w:szCs w:val="24"/>
          <w:lang w:val="en-IE"/>
        </w:rPr>
        <w:t>law</w:t>
      </w:r>
      <w:r w:rsidR="00E92903" w:rsidRPr="001C4A5A">
        <w:rPr>
          <w:rFonts w:ascii="Times New Roman" w:hAnsi="Times New Roman" w:cs="Times New Roman"/>
          <w:noProof/>
          <w:szCs w:val="24"/>
          <w:lang w:val="en-IE"/>
        </w:rPr>
        <w:t>s</w:t>
      </w:r>
      <w:r w:rsidRPr="001C4A5A">
        <w:rPr>
          <w:rFonts w:ascii="Times New Roman" w:hAnsi="Times New Roman" w:cs="Times New Roman"/>
          <w:noProof/>
          <w:szCs w:val="24"/>
          <w:lang w:val="en-IE"/>
        </w:rPr>
        <w:t>’</w:t>
      </w:r>
      <w:r w:rsidRPr="00532C20">
        <w:rPr>
          <w:rFonts w:ascii="Times New Roman" w:hAnsi="Times New Roman" w:cs="Times New Roman"/>
          <w:noProof/>
          <w:szCs w:val="24"/>
          <w:lang w:val="en-IE"/>
        </w:rPr>
        <w:t>, which take a restrictive starting point, none of the policy options seek to regulate</w:t>
      </w:r>
      <w:r w:rsidR="004F3FFD" w:rsidRPr="00532C20">
        <w:rPr>
          <w:rFonts w:ascii="Times New Roman" w:hAnsi="Times New Roman" w:cs="Times New Roman"/>
          <w:noProof/>
          <w:szCs w:val="24"/>
          <w:lang w:val="en-IE"/>
        </w:rPr>
        <w:t xml:space="preserve"> </w:t>
      </w:r>
      <w:r w:rsidRPr="00532C20">
        <w:rPr>
          <w:rFonts w:ascii="Times New Roman" w:hAnsi="Times New Roman" w:cs="Times New Roman"/>
          <w:noProof/>
          <w:szCs w:val="24"/>
          <w:lang w:val="en-IE"/>
        </w:rPr>
        <w:t>CSOs in particular</w:t>
      </w:r>
      <w:r w:rsidR="004F3FFD" w:rsidRPr="00532C20">
        <w:rPr>
          <w:rFonts w:ascii="Times New Roman" w:hAnsi="Times New Roman" w:cs="Times New Roman"/>
          <w:noProof/>
          <w:szCs w:val="24"/>
          <w:lang w:val="en-IE"/>
        </w:rPr>
        <w:t xml:space="preserve"> nor negatively label their activities, n</w:t>
      </w:r>
      <w:r w:rsidRPr="00532C20">
        <w:rPr>
          <w:rFonts w:ascii="Times New Roman" w:hAnsi="Times New Roman" w:cs="Times New Roman"/>
          <w:noProof/>
          <w:szCs w:val="24"/>
          <w:lang w:val="en-IE"/>
        </w:rPr>
        <w:t xml:space="preserve">or restrict </w:t>
      </w:r>
      <w:r w:rsidR="007C1EF3">
        <w:rPr>
          <w:rFonts w:ascii="Times New Roman" w:hAnsi="Times New Roman" w:cs="Times New Roman"/>
          <w:noProof/>
          <w:szCs w:val="24"/>
          <w:lang w:val="en-IE"/>
        </w:rPr>
        <w:t xml:space="preserve">fundamental freedoms and </w:t>
      </w:r>
      <w:r w:rsidRPr="00532C20">
        <w:rPr>
          <w:rFonts w:ascii="Times New Roman" w:hAnsi="Times New Roman" w:cs="Times New Roman"/>
          <w:noProof/>
          <w:szCs w:val="24"/>
          <w:lang w:val="en-IE"/>
        </w:rPr>
        <w:t xml:space="preserve">civic space. Instead, the policy options are designed to provide transparency requirements and more democratic accountability </w:t>
      </w:r>
      <w:r w:rsidR="004765E5" w:rsidRPr="00532C20">
        <w:rPr>
          <w:rFonts w:ascii="Times New Roman" w:hAnsi="Times New Roman" w:cs="Times New Roman"/>
          <w:noProof/>
          <w:szCs w:val="24"/>
          <w:lang w:val="en-IE"/>
        </w:rPr>
        <w:t xml:space="preserve">to citizens </w:t>
      </w:r>
      <w:r w:rsidRPr="00532C20">
        <w:rPr>
          <w:rFonts w:ascii="Times New Roman" w:hAnsi="Times New Roman" w:cs="Times New Roman"/>
          <w:noProof/>
          <w:szCs w:val="24"/>
          <w:lang w:val="en-IE"/>
        </w:rPr>
        <w:t>on interest representation activities carried out on behalf of third country entities.</w:t>
      </w:r>
      <w:r w:rsidR="00497901" w:rsidRPr="00532C20">
        <w:rPr>
          <w:rFonts w:ascii="Times New Roman" w:hAnsi="Times New Roman" w:cs="Times New Roman"/>
          <w:noProof/>
          <w:szCs w:val="24"/>
          <w:lang w:val="en-IE"/>
        </w:rPr>
        <w:t xml:space="preserve"> </w:t>
      </w:r>
      <w:r w:rsidR="00497901" w:rsidRPr="00532C20">
        <w:rPr>
          <w:rFonts w:ascii="Times New Roman" w:hAnsi="Times New Roman" w:cs="Times New Roman"/>
          <w:b/>
          <w:noProof/>
          <w:szCs w:val="24"/>
          <w:lang w:val="en-IE"/>
        </w:rPr>
        <w:t>None of the policy options ban foreign funding</w:t>
      </w:r>
      <w:r w:rsidR="00497901" w:rsidRPr="00532C20">
        <w:rPr>
          <w:rFonts w:ascii="Times New Roman" w:hAnsi="Times New Roman" w:cs="Times New Roman"/>
          <w:b/>
          <w:bCs/>
          <w:noProof/>
          <w:szCs w:val="24"/>
          <w:lang w:val="en-IE"/>
        </w:rPr>
        <w:t xml:space="preserve"> or require transparency in terms of funding of operating expenditure of CSOs</w:t>
      </w:r>
      <w:r w:rsidR="00A13119" w:rsidRPr="00532C20">
        <w:rPr>
          <w:rFonts w:ascii="Times New Roman" w:hAnsi="Times New Roman" w:cs="Times New Roman"/>
          <w:b/>
          <w:bCs/>
          <w:noProof/>
          <w:szCs w:val="24"/>
          <w:lang w:val="en-IE"/>
        </w:rPr>
        <w:t xml:space="preserve"> </w:t>
      </w:r>
      <w:r w:rsidR="00A13119" w:rsidRPr="00532C20">
        <w:rPr>
          <w:rFonts w:ascii="Times New Roman" w:hAnsi="Times New Roman" w:cs="Times New Roman"/>
          <w:noProof/>
          <w:szCs w:val="24"/>
          <w:lang w:val="en-IE"/>
        </w:rPr>
        <w:t>(such as structural grants or donations)</w:t>
      </w:r>
      <w:r w:rsidR="00535004" w:rsidRPr="00532C20">
        <w:rPr>
          <w:rStyle w:val="FootnoteReference"/>
          <w:rFonts w:ascii="Times New Roman" w:hAnsi="Times New Roman" w:cs="Times New Roman"/>
          <w:noProof/>
          <w:szCs w:val="24"/>
          <w:lang w:val="en-IE"/>
        </w:rPr>
        <w:footnoteReference w:id="209"/>
      </w:r>
      <w:r w:rsidR="00497901" w:rsidRPr="00532C20">
        <w:rPr>
          <w:rFonts w:ascii="Times New Roman" w:hAnsi="Times New Roman" w:cs="Times New Roman"/>
          <w:noProof/>
          <w:szCs w:val="24"/>
          <w:lang w:val="en-IE"/>
        </w:rPr>
        <w:t>.</w:t>
      </w:r>
    </w:p>
    <w:p w14:paraId="764AAD63" w14:textId="203EC41D" w:rsidR="00546BC3" w:rsidRPr="00532C20" w:rsidRDefault="00A87637" w:rsidP="00EE24EB">
      <w:pPr>
        <w:spacing w:line="240" w:lineRule="auto"/>
        <w:jc w:val="both"/>
        <w:rPr>
          <w:rFonts w:ascii="Times New Roman" w:hAnsi="Times New Roman" w:cs="Times New Roman"/>
          <w:b/>
          <w:bCs/>
          <w:i/>
          <w:iCs/>
          <w:noProof/>
          <w:sz w:val="24"/>
          <w:szCs w:val="24"/>
          <w:lang w:val="en-IE"/>
        </w:rPr>
      </w:pPr>
      <w:r w:rsidRPr="00532C20">
        <w:rPr>
          <w:rFonts w:ascii="Times New Roman" w:hAnsi="Times New Roman" w:cs="Times New Roman"/>
          <w:b/>
          <w:bCs/>
          <w:i/>
          <w:iCs/>
          <w:noProof/>
          <w:sz w:val="24"/>
          <w:szCs w:val="24"/>
          <w:lang w:val="en-IE"/>
        </w:rPr>
        <w:t>Risk of retaliatory measures by third countries</w:t>
      </w:r>
    </w:p>
    <w:p w14:paraId="64C16B72" w14:textId="77777777" w:rsidR="00ED74D4" w:rsidRPr="00532C20" w:rsidRDefault="00ED74D4" w:rsidP="00ED74D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lang w:val="en-IE"/>
        </w:rPr>
      </w:pPr>
      <w:r w:rsidRPr="00532C20">
        <w:rPr>
          <w:rFonts w:ascii="Times New Roman" w:hAnsi="Times New Roman" w:cs="Times New Roman"/>
          <w:b/>
          <w:noProof/>
          <w:lang w:val="en-IE"/>
        </w:rPr>
        <w:t>Stakeholder views:</w:t>
      </w:r>
    </w:p>
    <w:p w14:paraId="6B43D824" w14:textId="378A6EB5" w:rsidR="00ED74D4" w:rsidRDefault="006C04A9" w:rsidP="00EB050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lang w:val="en-IE"/>
        </w:rPr>
      </w:pPr>
      <w:r w:rsidRPr="00532C20">
        <w:rPr>
          <w:rFonts w:ascii="Times New Roman" w:hAnsi="Times New Roman" w:cs="Times New Roman"/>
          <w:noProof/>
          <w:lang w:val="en-IE"/>
        </w:rPr>
        <w:t xml:space="preserve">8 </w:t>
      </w:r>
      <w:r w:rsidR="00BB1E5A" w:rsidRPr="00532C20">
        <w:rPr>
          <w:rFonts w:ascii="Times New Roman" w:hAnsi="Times New Roman" w:cs="Times New Roman"/>
          <w:noProof/>
          <w:lang w:val="en-IE"/>
        </w:rPr>
        <w:t xml:space="preserve">out of 11 </w:t>
      </w:r>
      <w:r w:rsidR="00ED74D4" w:rsidRPr="00532C20">
        <w:rPr>
          <w:rFonts w:ascii="Times New Roman" w:hAnsi="Times New Roman" w:cs="Times New Roman"/>
          <w:noProof/>
          <w:lang w:val="en-IE"/>
        </w:rPr>
        <w:t xml:space="preserve">CSOs and </w:t>
      </w:r>
      <w:r w:rsidRPr="00532C20">
        <w:rPr>
          <w:rFonts w:ascii="Times New Roman" w:hAnsi="Times New Roman" w:cs="Times New Roman"/>
          <w:noProof/>
          <w:lang w:val="en-IE"/>
        </w:rPr>
        <w:t xml:space="preserve">5 </w:t>
      </w:r>
      <w:r w:rsidR="00BB1E5A" w:rsidRPr="00532C20">
        <w:rPr>
          <w:rFonts w:ascii="Times New Roman" w:hAnsi="Times New Roman" w:cs="Times New Roman"/>
          <w:noProof/>
          <w:lang w:val="en-IE"/>
        </w:rPr>
        <w:t xml:space="preserve">out of 15 </w:t>
      </w:r>
      <w:r w:rsidR="00ED74D4" w:rsidRPr="00532C20">
        <w:rPr>
          <w:rFonts w:ascii="Times New Roman" w:hAnsi="Times New Roman" w:cs="Times New Roman"/>
          <w:noProof/>
          <w:lang w:val="en-IE"/>
        </w:rPr>
        <w:t xml:space="preserve">Member States </w:t>
      </w:r>
      <w:r w:rsidR="009272C2" w:rsidRPr="00532C20">
        <w:rPr>
          <w:rFonts w:ascii="Times New Roman" w:hAnsi="Times New Roman" w:cs="Times New Roman"/>
          <w:noProof/>
          <w:lang w:val="en-IE"/>
        </w:rPr>
        <w:t>considered there are associated</w:t>
      </w:r>
      <w:r w:rsidR="00ED74D4" w:rsidRPr="00532C20">
        <w:rPr>
          <w:rFonts w:ascii="Times New Roman" w:hAnsi="Times New Roman" w:cs="Times New Roman"/>
          <w:noProof/>
          <w:lang w:val="en-IE"/>
        </w:rPr>
        <w:t xml:space="preserve"> geopolitical risks. </w:t>
      </w:r>
      <w:r w:rsidRPr="00532C20">
        <w:rPr>
          <w:rFonts w:ascii="Times New Roman" w:hAnsi="Times New Roman" w:cs="Times New Roman"/>
          <w:noProof/>
          <w:lang w:val="en-IE"/>
        </w:rPr>
        <w:t>1</w:t>
      </w:r>
      <w:r w:rsidR="00ED74D4" w:rsidRPr="00532C20">
        <w:rPr>
          <w:rFonts w:ascii="Times New Roman" w:hAnsi="Times New Roman" w:cs="Times New Roman"/>
          <w:noProof/>
          <w:lang w:val="en-IE"/>
        </w:rPr>
        <w:t xml:space="preserve"> CSO explain</w:t>
      </w:r>
      <w:r w:rsidR="0038505E" w:rsidRPr="00532C20">
        <w:rPr>
          <w:rFonts w:ascii="Times New Roman" w:hAnsi="Times New Roman" w:cs="Times New Roman"/>
          <w:noProof/>
          <w:lang w:val="en-IE"/>
        </w:rPr>
        <w:t>ed</w:t>
      </w:r>
      <w:r w:rsidR="00ED74D4" w:rsidRPr="00532C20">
        <w:rPr>
          <w:rFonts w:ascii="Times New Roman" w:hAnsi="Times New Roman" w:cs="Times New Roman"/>
          <w:noProof/>
          <w:lang w:val="en-IE"/>
        </w:rPr>
        <w:t xml:space="preserve"> that the legislative policy options “</w:t>
      </w:r>
      <w:r w:rsidR="00ED74D4" w:rsidRPr="00532C20">
        <w:rPr>
          <w:rFonts w:ascii="Times New Roman" w:hAnsi="Times New Roman" w:cs="Times New Roman"/>
          <w:i/>
          <w:iCs/>
          <w:noProof/>
          <w:lang w:val="en-IE"/>
        </w:rPr>
        <w:t>bring a risk of reciprocity, in which organisations in third countries receiving EU funds would be specifically targeted by third country governments</w:t>
      </w:r>
      <w:r w:rsidR="00ED74D4" w:rsidRPr="00532C20">
        <w:rPr>
          <w:rFonts w:ascii="Times New Roman" w:hAnsi="Times New Roman" w:cs="Times New Roman"/>
          <w:noProof/>
          <w:lang w:val="en-IE"/>
        </w:rPr>
        <w:t xml:space="preserve">”. </w:t>
      </w:r>
    </w:p>
    <w:p w14:paraId="67F8F133" w14:textId="122FEA31" w:rsidR="004E7E94" w:rsidRPr="00532C20" w:rsidRDefault="00483452" w:rsidP="00EB0503">
      <w:pPr>
        <w:spacing w:after="120" w:line="240" w:lineRule="auto"/>
        <w:jc w:val="both"/>
        <w:rPr>
          <w:rFonts w:ascii="Times New Roman" w:eastAsia="Times New Roman" w:hAnsi="Times New Roman" w:cs="Times New Roman"/>
          <w:noProof/>
          <w:sz w:val="24"/>
          <w:szCs w:val="24"/>
        </w:rPr>
      </w:pPr>
      <w:r w:rsidRPr="00313F32">
        <w:rPr>
          <w:rFonts w:ascii="Times New Roman" w:hAnsi="Times New Roman" w:cs="Times New Roman"/>
          <w:noProof/>
          <w:sz w:val="24"/>
          <w:szCs w:val="24"/>
          <w:lang w:val="en-IE"/>
        </w:rPr>
        <w:t xml:space="preserve">Following the targeted questionnaire, a few Member States expressed views that </w:t>
      </w:r>
      <w:r w:rsidRPr="00313F32">
        <w:rPr>
          <w:rFonts w:ascii="Times New Roman" w:hAnsi="Times New Roman" w:cs="Times New Roman"/>
          <w:noProof/>
          <w:sz w:val="24"/>
          <w:szCs w:val="24"/>
        </w:rPr>
        <w:t>measures addressing interest representation could have an impact on diplomatic relations with third countries unless exceptions are provided for diplomatic work and international organisations.</w:t>
      </w:r>
      <w:r w:rsidR="002E5A70" w:rsidRPr="00313F32">
        <w:rPr>
          <w:rFonts w:ascii="Times New Roman" w:hAnsi="Times New Roman" w:cs="Times New Roman"/>
          <w:noProof/>
          <w:sz w:val="24"/>
          <w:szCs w:val="24"/>
        </w:rPr>
        <w:t xml:space="preserve"> </w:t>
      </w:r>
      <w:r w:rsidR="00C578D9" w:rsidRPr="000157FD">
        <w:rPr>
          <w:rFonts w:ascii="Times New Roman" w:eastAsia="Times New Roman" w:hAnsi="Times New Roman" w:cs="Times New Roman"/>
          <w:noProof/>
          <w:sz w:val="24"/>
          <w:szCs w:val="24"/>
        </w:rPr>
        <w:t>A</w:t>
      </w:r>
      <w:r w:rsidR="00546BC3" w:rsidRPr="000157FD">
        <w:rPr>
          <w:rFonts w:ascii="Times New Roman" w:eastAsia="Times New Roman" w:hAnsi="Times New Roman" w:cs="Times New Roman"/>
          <w:noProof/>
          <w:sz w:val="24"/>
          <w:szCs w:val="24"/>
        </w:rPr>
        <w:t xml:space="preserve"> number of foreign</w:t>
      </w:r>
      <w:r w:rsidR="00546BC3" w:rsidRPr="001C4A5A">
        <w:rPr>
          <w:rFonts w:ascii="Times New Roman" w:eastAsia="Times New Roman" w:hAnsi="Times New Roman" w:cs="Times New Roman"/>
          <w:noProof/>
          <w:sz w:val="24"/>
          <w:szCs w:val="24"/>
        </w:rPr>
        <w:t xml:space="preserve"> influence laws ha</w:t>
      </w:r>
      <w:r w:rsidR="00C578D9" w:rsidRPr="001C4A5A">
        <w:rPr>
          <w:rFonts w:ascii="Times New Roman" w:eastAsia="Times New Roman" w:hAnsi="Times New Roman" w:cs="Times New Roman"/>
          <w:noProof/>
          <w:sz w:val="24"/>
          <w:szCs w:val="24"/>
        </w:rPr>
        <w:t>ve</w:t>
      </w:r>
      <w:r w:rsidR="00546BC3" w:rsidRPr="001C4A5A">
        <w:rPr>
          <w:rFonts w:ascii="Times New Roman" w:eastAsia="Times New Roman" w:hAnsi="Times New Roman" w:cs="Times New Roman"/>
          <w:noProof/>
          <w:sz w:val="24"/>
          <w:szCs w:val="24"/>
        </w:rPr>
        <w:t xml:space="preserve"> been introduced worldwide. There does not seem to be a </w:t>
      </w:r>
      <w:r w:rsidR="00200F13" w:rsidRPr="001C4A5A">
        <w:rPr>
          <w:rFonts w:ascii="Times New Roman" w:eastAsia="Times New Roman" w:hAnsi="Times New Roman" w:cs="Times New Roman"/>
          <w:noProof/>
          <w:sz w:val="24"/>
          <w:szCs w:val="24"/>
        </w:rPr>
        <w:t>clear</w:t>
      </w:r>
      <w:r w:rsidR="00546BC3" w:rsidRPr="001C4A5A">
        <w:rPr>
          <w:rFonts w:ascii="Times New Roman" w:eastAsia="Times New Roman" w:hAnsi="Times New Roman" w:cs="Times New Roman"/>
          <w:noProof/>
          <w:sz w:val="24"/>
          <w:szCs w:val="24"/>
        </w:rPr>
        <w:t xml:space="preserve"> causal relationship or direct temporal link between the introduction</w:t>
      </w:r>
      <w:r w:rsidR="008C4F64" w:rsidRPr="001C4A5A">
        <w:rPr>
          <w:rFonts w:ascii="Times New Roman" w:eastAsia="Times New Roman" w:hAnsi="Times New Roman" w:cs="Times New Roman"/>
          <w:noProof/>
          <w:sz w:val="24"/>
          <w:szCs w:val="24"/>
        </w:rPr>
        <w:t xml:space="preserve"> of</w:t>
      </w:r>
      <w:r w:rsidR="00AA3FDB" w:rsidRPr="001C4A5A">
        <w:rPr>
          <w:rFonts w:ascii="Times New Roman" w:eastAsia="Times New Roman" w:hAnsi="Times New Roman" w:cs="Times New Roman"/>
          <w:noProof/>
          <w:sz w:val="24"/>
          <w:szCs w:val="24"/>
        </w:rPr>
        <w:t>, on the one hand,</w:t>
      </w:r>
      <w:r w:rsidR="00546BC3" w:rsidRPr="001C4A5A">
        <w:rPr>
          <w:rFonts w:ascii="Times New Roman" w:eastAsia="Times New Roman" w:hAnsi="Times New Roman" w:cs="Times New Roman"/>
          <w:noProof/>
          <w:sz w:val="24"/>
          <w:szCs w:val="24"/>
        </w:rPr>
        <w:t xml:space="preserve"> </w:t>
      </w:r>
      <w:r w:rsidR="00587CEA" w:rsidRPr="001C4A5A">
        <w:rPr>
          <w:rFonts w:ascii="Times New Roman" w:eastAsia="Times New Roman" w:hAnsi="Times New Roman" w:cs="Times New Roman"/>
          <w:noProof/>
          <w:sz w:val="24"/>
          <w:szCs w:val="24"/>
        </w:rPr>
        <w:t xml:space="preserve">foreign influence laws, such as </w:t>
      </w:r>
      <w:r w:rsidR="00E64381" w:rsidRPr="001C4A5A">
        <w:rPr>
          <w:rFonts w:ascii="Times New Roman" w:eastAsia="Times New Roman" w:hAnsi="Times New Roman" w:cs="Times New Roman"/>
          <w:noProof/>
          <w:sz w:val="24"/>
          <w:szCs w:val="24"/>
        </w:rPr>
        <w:t>the</w:t>
      </w:r>
      <w:r w:rsidR="00546BC3" w:rsidRPr="001C4A5A">
        <w:rPr>
          <w:rFonts w:ascii="Times New Roman" w:eastAsia="Times New Roman" w:hAnsi="Times New Roman" w:cs="Times New Roman"/>
          <w:noProof/>
          <w:sz w:val="24"/>
          <w:szCs w:val="24"/>
        </w:rPr>
        <w:t xml:space="preserve"> US Foreign Agents Registration Act (‘FARA’, in force since 1938) or the Australian Foreign Influence Transparency Scheme Act (‘FITSA’, in force since 2018)</w:t>
      </w:r>
      <w:r w:rsidR="00E64381" w:rsidRPr="001C4A5A">
        <w:rPr>
          <w:rFonts w:ascii="Times New Roman" w:eastAsia="Times New Roman" w:hAnsi="Times New Roman" w:cs="Times New Roman"/>
          <w:noProof/>
          <w:sz w:val="24"/>
          <w:szCs w:val="24"/>
        </w:rPr>
        <w:t>, and</w:t>
      </w:r>
      <w:r w:rsidR="00AA3FDB" w:rsidRPr="001C4A5A">
        <w:rPr>
          <w:rFonts w:ascii="Times New Roman" w:eastAsia="Times New Roman" w:hAnsi="Times New Roman" w:cs="Times New Roman"/>
          <w:noProof/>
          <w:sz w:val="24"/>
          <w:szCs w:val="24"/>
        </w:rPr>
        <w:t>, on the other hand</w:t>
      </w:r>
      <w:r w:rsidR="00546BC3" w:rsidRPr="001C4A5A">
        <w:rPr>
          <w:rFonts w:ascii="Times New Roman" w:eastAsia="Times New Roman" w:hAnsi="Times New Roman" w:cs="Times New Roman"/>
          <w:noProof/>
          <w:sz w:val="24"/>
          <w:szCs w:val="24"/>
        </w:rPr>
        <w:t xml:space="preserve"> any of the foreign agent laws as they exist in Russia (in force since 2012), Nicaragua (in force since 2020), El Salvador (proposed in 2021), Georgia (proposed in 2023), or Bosnia and Herzegovina’s Republika Srpska (adopted in 2023). </w:t>
      </w:r>
      <w:r w:rsidR="00C578D9" w:rsidRPr="001C4A5A">
        <w:rPr>
          <w:rFonts w:ascii="Times New Roman" w:eastAsia="Times New Roman" w:hAnsi="Times New Roman" w:cs="Times New Roman"/>
          <w:noProof/>
          <w:sz w:val="24"/>
          <w:szCs w:val="24"/>
        </w:rPr>
        <w:t>T</w:t>
      </w:r>
      <w:r w:rsidR="00546BC3" w:rsidRPr="001C4A5A">
        <w:rPr>
          <w:rFonts w:ascii="Times New Roman" w:eastAsia="Times New Roman" w:hAnsi="Times New Roman" w:cs="Times New Roman"/>
          <w:noProof/>
          <w:sz w:val="24"/>
          <w:szCs w:val="24"/>
        </w:rPr>
        <w:t>he increasing number of proposed and/or adopted foreign agent laws in recent times shows that these laws come into force independently of EU action</w:t>
      </w:r>
      <w:r w:rsidR="00E64381" w:rsidRPr="001C4A5A">
        <w:rPr>
          <w:rFonts w:ascii="Times New Roman" w:eastAsia="Times New Roman" w:hAnsi="Times New Roman" w:cs="Times New Roman"/>
          <w:noProof/>
          <w:sz w:val="24"/>
          <w:szCs w:val="24"/>
        </w:rPr>
        <w:t xml:space="preserve">, and rather illustrates </w:t>
      </w:r>
      <w:r w:rsidR="00595671">
        <w:rPr>
          <w:rFonts w:ascii="Times New Roman" w:eastAsia="Times New Roman" w:hAnsi="Times New Roman" w:cs="Times New Roman"/>
          <w:noProof/>
          <w:sz w:val="24"/>
          <w:szCs w:val="24"/>
        </w:rPr>
        <w:t>the broader</w:t>
      </w:r>
      <w:r w:rsidR="00E64381" w:rsidRPr="001C4A5A">
        <w:rPr>
          <w:rFonts w:ascii="Times New Roman" w:eastAsia="Times New Roman" w:hAnsi="Times New Roman" w:cs="Times New Roman"/>
          <w:noProof/>
          <w:sz w:val="24"/>
          <w:szCs w:val="24"/>
        </w:rPr>
        <w:t xml:space="preserve"> trend of direct and indirect restrictions on civic and political space</w:t>
      </w:r>
      <w:r w:rsidR="00546BC3" w:rsidRPr="001C4A5A">
        <w:rPr>
          <w:rFonts w:ascii="Times New Roman" w:eastAsia="Times New Roman" w:hAnsi="Times New Roman" w:cs="Times New Roman"/>
          <w:noProof/>
          <w:sz w:val="24"/>
          <w:szCs w:val="24"/>
        </w:rPr>
        <w:t>.</w:t>
      </w:r>
      <w:r w:rsidR="0064382A" w:rsidRPr="001C4A5A">
        <w:rPr>
          <w:rFonts w:ascii="Times New Roman" w:eastAsia="Times New Roman" w:hAnsi="Times New Roman" w:cs="Times New Roman"/>
          <w:noProof/>
          <w:sz w:val="24"/>
          <w:szCs w:val="24"/>
        </w:rPr>
        <w:t xml:space="preserve"> </w:t>
      </w:r>
    </w:p>
    <w:p w14:paraId="7D8F6ED3" w14:textId="533812E5" w:rsidR="00696CE7" w:rsidRPr="00532C20" w:rsidRDefault="0064382A" w:rsidP="00862413">
      <w:pPr>
        <w:spacing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However, given the prominent role and stance of the </w:t>
      </w:r>
      <w:r w:rsidR="00327D94">
        <w:rPr>
          <w:rFonts w:ascii="Times New Roman" w:eastAsia="Times New Roman" w:hAnsi="Times New Roman" w:cs="Times New Roman"/>
          <w:noProof/>
          <w:sz w:val="24"/>
          <w:szCs w:val="24"/>
        </w:rPr>
        <w:t>Union</w:t>
      </w:r>
      <w:r w:rsidRPr="00532C20">
        <w:rPr>
          <w:rFonts w:ascii="Times New Roman" w:eastAsia="Times New Roman" w:hAnsi="Times New Roman" w:cs="Times New Roman"/>
          <w:noProof/>
          <w:sz w:val="24"/>
          <w:szCs w:val="24"/>
        </w:rPr>
        <w:t xml:space="preserve"> regarding the </w:t>
      </w:r>
      <w:r w:rsidR="00225868" w:rsidRPr="00532C20">
        <w:rPr>
          <w:rFonts w:ascii="Times New Roman" w:eastAsia="Times New Roman" w:hAnsi="Times New Roman" w:cs="Times New Roman"/>
          <w:noProof/>
          <w:sz w:val="24"/>
          <w:szCs w:val="24"/>
        </w:rPr>
        <w:t xml:space="preserve">defence </w:t>
      </w:r>
      <w:r w:rsidRPr="00532C20">
        <w:rPr>
          <w:rFonts w:ascii="Times New Roman" w:eastAsia="Times New Roman" w:hAnsi="Times New Roman" w:cs="Times New Roman"/>
          <w:noProof/>
          <w:sz w:val="24"/>
          <w:szCs w:val="24"/>
        </w:rPr>
        <w:t>and promotion of democracy and human rights, EU legislative initiatives, due to their visibility, present a significant risk of manipulation</w:t>
      </w:r>
      <w:r w:rsidR="00064BE7">
        <w:rPr>
          <w:rFonts w:ascii="Times New Roman" w:eastAsia="Times New Roman" w:hAnsi="Times New Roman" w:cs="Times New Roman"/>
          <w:noProof/>
          <w:sz w:val="24"/>
          <w:szCs w:val="24"/>
        </w:rPr>
        <w:t xml:space="preserve"> and misuse</w:t>
      </w:r>
      <w:r w:rsidR="009453FD" w:rsidRPr="00532C20">
        <w:rPr>
          <w:rFonts w:ascii="Times New Roman" w:eastAsia="Times New Roman" w:hAnsi="Times New Roman" w:cs="Times New Roman"/>
          <w:noProof/>
          <w:sz w:val="24"/>
          <w:szCs w:val="24"/>
        </w:rPr>
        <w:t>.</w:t>
      </w:r>
      <w:r w:rsidRPr="00532C20">
        <w:rPr>
          <w:rFonts w:ascii="Times New Roman" w:eastAsia="Times New Roman" w:hAnsi="Times New Roman" w:cs="Times New Roman"/>
          <w:noProof/>
          <w:sz w:val="24"/>
          <w:szCs w:val="24"/>
        </w:rPr>
        <w:t xml:space="preserve"> </w:t>
      </w:r>
      <w:r w:rsidR="0074659E" w:rsidRPr="00532C20">
        <w:rPr>
          <w:rFonts w:ascii="Times New Roman" w:eastAsia="Times New Roman" w:hAnsi="Times New Roman" w:cs="Times New Roman"/>
          <w:noProof/>
          <w:sz w:val="24"/>
          <w:szCs w:val="24"/>
        </w:rPr>
        <w:t>This can happen</w:t>
      </w:r>
      <w:r w:rsidR="00546BC3" w:rsidRPr="00532C20">
        <w:rPr>
          <w:rFonts w:ascii="Times New Roman" w:eastAsia="Times New Roman" w:hAnsi="Times New Roman" w:cs="Times New Roman"/>
          <w:noProof/>
          <w:sz w:val="24"/>
          <w:szCs w:val="24"/>
        </w:rPr>
        <w:t xml:space="preserve"> in two ways. First, regardless of factual differences, </w:t>
      </w:r>
      <w:r w:rsidR="000200EC" w:rsidRPr="00532C20">
        <w:rPr>
          <w:rFonts w:ascii="Times New Roman" w:eastAsia="Times New Roman" w:hAnsi="Times New Roman" w:cs="Times New Roman"/>
          <w:noProof/>
          <w:sz w:val="24"/>
          <w:szCs w:val="24"/>
        </w:rPr>
        <w:t xml:space="preserve">third country </w:t>
      </w:r>
      <w:r w:rsidR="00546BC3" w:rsidRPr="00532C20">
        <w:rPr>
          <w:rFonts w:ascii="Times New Roman" w:eastAsia="Times New Roman" w:hAnsi="Times New Roman" w:cs="Times New Roman"/>
          <w:noProof/>
          <w:sz w:val="24"/>
          <w:szCs w:val="24"/>
        </w:rPr>
        <w:t xml:space="preserve">governments might </w:t>
      </w:r>
      <w:r w:rsidR="00E66356" w:rsidRPr="00532C20">
        <w:rPr>
          <w:rFonts w:ascii="Times New Roman" w:eastAsia="Times New Roman" w:hAnsi="Times New Roman" w:cs="Times New Roman"/>
          <w:noProof/>
          <w:sz w:val="24"/>
          <w:szCs w:val="24"/>
        </w:rPr>
        <w:t xml:space="preserve">attempt to </w:t>
      </w:r>
      <w:r w:rsidR="00546BC3" w:rsidRPr="00532C20">
        <w:rPr>
          <w:rFonts w:ascii="Times New Roman" w:eastAsia="Times New Roman" w:hAnsi="Times New Roman" w:cs="Times New Roman"/>
          <w:noProof/>
          <w:sz w:val="24"/>
          <w:szCs w:val="24"/>
        </w:rPr>
        <w:t>justify their foreign agent laws with reference to the EU’s legislation. This has been the case for the US FARA since both the governments of Russia and Georgia have explicitly referred to the act when introducing their legislation.</w:t>
      </w:r>
      <w:r w:rsidR="00546BC3" w:rsidRPr="00532C20">
        <w:rPr>
          <w:rStyle w:val="FootnoteReference"/>
          <w:rFonts w:ascii="Times New Roman" w:eastAsia="Times New Roman" w:hAnsi="Times New Roman" w:cs="Times New Roman"/>
          <w:noProof/>
          <w:sz w:val="24"/>
          <w:szCs w:val="24"/>
        </w:rPr>
        <w:footnoteReference w:id="210"/>
      </w:r>
      <w:r w:rsidR="00546BC3" w:rsidRPr="00532C20">
        <w:rPr>
          <w:rFonts w:ascii="Times New Roman" w:eastAsia="Times New Roman" w:hAnsi="Times New Roman" w:cs="Times New Roman"/>
          <w:noProof/>
          <w:sz w:val="24"/>
          <w:szCs w:val="24"/>
        </w:rPr>
        <w:t xml:space="preserve"> Second, </w:t>
      </w:r>
      <w:r w:rsidR="00662BE8" w:rsidRPr="00532C20">
        <w:rPr>
          <w:rFonts w:ascii="Times New Roman" w:eastAsia="Times New Roman" w:hAnsi="Times New Roman" w:cs="Times New Roman"/>
          <w:noProof/>
          <w:sz w:val="24"/>
          <w:szCs w:val="24"/>
        </w:rPr>
        <w:t>accusations of hypocrisy</w:t>
      </w:r>
      <w:r w:rsidR="00B60E2F" w:rsidRPr="00532C20">
        <w:rPr>
          <w:rFonts w:ascii="Times New Roman" w:eastAsia="Times New Roman" w:hAnsi="Times New Roman" w:cs="Times New Roman"/>
          <w:noProof/>
          <w:sz w:val="24"/>
          <w:szCs w:val="24"/>
        </w:rPr>
        <w:t xml:space="preserve"> or ‘double standards’</w:t>
      </w:r>
      <w:r w:rsidR="00662BE8" w:rsidRPr="00532C20">
        <w:rPr>
          <w:rFonts w:ascii="Times New Roman" w:eastAsia="Times New Roman" w:hAnsi="Times New Roman" w:cs="Times New Roman"/>
          <w:noProof/>
          <w:sz w:val="24"/>
          <w:szCs w:val="24"/>
        </w:rPr>
        <w:t xml:space="preserve"> </w:t>
      </w:r>
      <w:r w:rsidR="00F32F0D" w:rsidRPr="00532C20">
        <w:rPr>
          <w:rFonts w:ascii="Times New Roman" w:eastAsia="Times New Roman" w:hAnsi="Times New Roman" w:cs="Times New Roman"/>
          <w:noProof/>
          <w:sz w:val="24"/>
          <w:szCs w:val="24"/>
        </w:rPr>
        <w:t>could</w:t>
      </w:r>
      <w:r w:rsidR="00662BE8" w:rsidRPr="00532C20">
        <w:rPr>
          <w:rFonts w:ascii="Times New Roman" w:eastAsia="Times New Roman" w:hAnsi="Times New Roman" w:cs="Times New Roman"/>
          <w:noProof/>
          <w:sz w:val="24"/>
          <w:szCs w:val="24"/>
        </w:rPr>
        <w:t xml:space="preserve"> be expected, especially from those actors who will try to spin it for their own justification</w:t>
      </w:r>
      <w:r w:rsidR="00064BE7">
        <w:rPr>
          <w:rFonts w:ascii="Times New Roman" w:eastAsia="Times New Roman" w:hAnsi="Times New Roman" w:cs="Times New Roman"/>
          <w:noProof/>
          <w:sz w:val="24"/>
          <w:szCs w:val="24"/>
        </w:rPr>
        <w:t xml:space="preserve"> but also more widely if the differences between legislations are not clearly communicated</w:t>
      </w:r>
      <w:r w:rsidR="00C22C44">
        <w:rPr>
          <w:rFonts w:ascii="Times New Roman" w:eastAsia="Times New Roman" w:hAnsi="Times New Roman" w:cs="Times New Roman"/>
          <w:noProof/>
          <w:sz w:val="24"/>
          <w:szCs w:val="24"/>
        </w:rPr>
        <w:t xml:space="preserve"> and understood</w:t>
      </w:r>
      <w:r w:rsidR="00662BE8" w:rsidRPr="00532C20">
        <w:rPr>
          <w:rFonts w:ascii="Times New Roman" w:eastAsia="Times New Roman" w:hAnsi="Times New Roman" w:cs="Times New Roman"/>
          <w:noProof/>
          <w:sz w:val="24"/>
          <w:szCs w:val="24"/>
        </w:rPr>
        <w:t>, regardless of factual differences</w:t>
      </w:r>
      <w:r w:rsidR="00546BC3" w:rsidRPr="00532C20">
        <w:rPr>
          <w:rFonts w:ascii="Times New Roman" w:eastAsia="Times New Roman" w:hAnsi="Times New Roman" w:cs="Times New Roman"/>
          <w:noProof/>
          <w:sz w:val="24"/>
          <w:szCs w:val="24"/>
        </w:rPr>
        <w:t xml:space="preserve">. </w:t>
      </w:r>
      <w:r w:rsidR="00623121" w:rsidRPr="00532C20">
        <w:rPr>
          <w:rFonts w:ascii="Times New Roman" w:eastAsia="Times New Roman" w:hAnsi="Times New Roman" w:cs="Times New Roman"/>
          <w:noProof/>
          <w:sz w:val="24"/>
          <w:szCs w:val="24"/>
        </w:rPr>
        <w:t>The geopolitical i</w:t>
      </w:r>
      <w:r w:rsidR="004E29A2" w:rsidRPr="00532C20">
        <w:rPr>
          <w:rFonts w:ascii="Times New Roman" w:eastAsia="Times New Roman" w:hAnsi="Times New Roman" w:cs="Times New Roman"/>
          <w:noProof/>
          <w:sz w:val="24"/>
          <w:szCs w:val="24"/>
        </w:rPr>
        <w:t>mpact</w:t>
      </w:r>
      <w:r w:rsidR="005600BA" w:rsidRPr="00532C20">
        <w:rPr>
          <w:rFonts w:ascii="Times New Roman" w:eastAsia="Times New Roman" w:hAnsi="Times New Roman" w:cs="Times New Roman"/>
          <w:noProof/>
          <w:sz w:val="24"/>
          <w:szCs w:val="24"/>
        </w:rPr>
        <w:t>s</w:t>
      </w:r>
      <w:r w:rsidR="00623121" w:rsidRPr="00532C20">
        <w:rPr>
          <w:rFonts w:ascii="Times New Roman" w:eastAsia="Times New Roman" w:hAnsi="Times New Roman" w:cs="Times New Roman"/>
          <w:noProof/>
          <w:sz w:val="24"/>
          <w:szCs w:val="24"/>
        </w:rPr>
        <w:t xml:space="preserve"> of the policy options </w:t>
      </w:r>
      <w:r w:rsidR="004E29A2" w:rsidRPr="00532C20">
        <w:rPr>
          <w:rFonts w:ascii="Times New Roman" w:eastAsia="Times New Roman" w:hAnsi="Times New Roman" w:cs="Times New Roman"/>
          <w:noProof/>
          <w:sz w:val="24"/>
          <w:szCs w:val="24"/>
        </w:rPr>
        <w:t>will vary from third country to third country and may be difficult to assess in advance.</w:t>
      </w:r>
    </w:p>
    <w:p w14:paraId="74E3566A" w14:textId="2939C4C4" w:rsidR="000A3609" w:rsidRPr="00532C20" w:rsidRDefault="00730FD0" w:rsidP="00AF23A3">
      <w:pPr>
        <w:spacing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u w:val="single"/>
        </w:rPr>
        <w:t>For all</w:t>
      </w:r>
      <w:r w:rsidR="00A90D63" w:rsidRPr="00532C20">
        <w:rPr>
          <w:rFonts w:ascii="Times New Roman" w:eastAsia="Times New Roman" w:hAnsi="Times New Roman" w:cs="Times New Roman"/>
          <w:noProof/>
          <w:sz w:val="24"/>
          <w:szCs w:val="24"/>
          <w:u w:val="single"/>
        </w:rPr>
        <w:t xml:space="preserve"> 3</w:t>
      </w:r>
      <w:r w:rsidRPr="00532C20">
        <w:rPr>
          <w:rFonts w:ascii="Times New Roman" w:eastAsia="Times New Roman" w:hAnsi="Times New Roman" w:cs="Times New Roman"/>
          <w:noProof/>
          <w:sz w:val="24"/>
          <w:szCs w:val="24"/>
          <w:u w:val="single"/>
        </w:rPr>
        <w:t xml:space="preserve"> policy options</w:t>
      </w:r>
      <w:r w:rsidRPr="00532C20">
        <w:rPr>
          <w:rFonts w:ascii="Times New Roman" w:eastAsia="Times New Roman" w:hAnsi="Times New Roman" w:cs="Times New Roman"/>
          <w:noProof/>
          <w:sz w:val="24"/>
          <w:szCs w:val="24"/>
        </w:rPr>
        <w:t>, s</w:t>
      </w:r>
      <w:r w:rsidR="00944288" w:rsidRPr="00532C20">
        <w:rPr>
          <w:rFonts w:ascii="Times New Roman" w:eastAsia="Times New Roman" w:hAnsi="Times New Roman" w:cs="Times New Roman"/>
          <w:noProof/>
          <w:sz w:val="24"/>
          <w:szCs w:val="24"/>
        </w:rPr>
        <w:t>uch consequence</w:t>
      </w:r>
      <w:r w:rsidR="004A0C78" w:rsidRPr="00532C20">
        <w:rPr>
          <w:rFonts w:ascii="Times New Roman" w:eastAsia="Times New Roman" w:hAnsi="Times New Roman" w:cs="Times New Roman"/>
          <w:noProof/>
          <w:sz w:val="24"/>
          <w:szCs w:val="24"/>
        </w:rPr>
        <w:t>s</w:t>
      </w:r>
      <w:r w:rsidR="00944288" w:rsidRPr="00532C20">
        <w:rPr>
          <w:rFonts w:ascii="Times New Roman" w:eastAsia="Times New Roman" w:hAnsi="Times New Roman" w:cs="Times New Roman"/>
          <w:noProof/>
          <w:sz w:val="24"/>
          <w:szCs w:val="24"/>
        </w:rPr>
        <w:t xml:space="preserve"> could be mitigated by </w:t>
      </w:r>
      <w:r w:rsidR="005D5D2C" w:rsidRPr="00532C20">
        <w:rPr>
          <w:rFonts w:ascii="Times New Roman" w:eastAsia="Times New Roman" w:hAnsi="Times New Roman" w:cs="Times New Roman"/>
          <w:noProof/>
          <w:sz w:val="24"/>
          <w:szCs w:val="24"/>
        </w:rPr>
        <w:t xml:space="preserve">diplomatic </w:t>
      </w:r>
      <w:r w:rsidR="00EA3EA2">
        <w:rPr>
          <w:rFonts w:ascii="Times New Roman" w:eastAsia="Times New Roman" w:hAnsi="Times New Roman" w:cs="Times New Roman"/>
          <w:noProof/>
          <w:sz w:val="24"/>
          <w:szCs w:val="24"/>
        </w:rPr>
        <w:t xml:space="preserve">exchanges </w:t>
      </w:r>
      <w:r w:rsidR="005D5D2C" w:rsidRPr="00532C20">
        <w:rPr>
          <w:rFonts w:ascii="Times New Roman" w:eastAsia="Times New Roman" w:hAnsi="Times New Roman" w:cs="Times New Roman"/>
          <w:noProof/>
          <w:sz w:val="24"/>
          <w:szCs w:val="24"/>
        </w:rPr>
        <w:t xml:space="preserve">and </w:t>
      </w:r>
      <w:r w:rsidR="00EA3EA2">
        <w:rPr>
          <w:rFonts w:ascii="Times New Roman" w:eastAsia="Times New Roman" w:hAnsi="Times New Roman" w:cs="Times New Roman"/>
          <w:noProof/>
          <w:sz w:val="24"/>
          <w:szCs w:val="24"/>
        </w:rPr>
        <w:t>information activities</w:t>
      </w:r>
      <w:r w:rsidR="005D5D2C" w:rsidRPr="00532C20">
        <w:rPr>
          <w:rFonts w:ascii="Times New Roman" w:eastAsia="Times New Roman" w:hAnsi="Times New Roman" w:cs="Times New Roman"/>
          <w:noProof/>
          <w:sz w:val="24"/>
          <w:szCs w:val="24"/>
        </w:rPr>
        <w:t xml:space="preserve"> </w:t>
      </w:r>
      <w:r w:rsidR="00F92A5F" w:rsidRPr="00532C20">
        <w:rPr>
          <w:rFonts w:ascii="Times New Roman" w:eastAsia="Times New Roman" w:hAnsi="Times New Roman" w:cs="Times New Roman"/>
          <w:noProof/>
          <w:sz w:val="24"/>
          <w:szCs w:val="24"/>
        </w:rPr>
        <w:t xml:space="preserve">that will be conducted to present </w:t>
      </w:r>
      <w:r w:rsidR="000930DD" w:rsidRPr="00532C20">
        <w:rPr>
          <w:rFonts w:ascii="Times New Roman" w:eastAsia="Times New Roman" w:hAnsi="Times New Roman" w:cs="Times New Roman"/>
          <w:noProof/>
          <w:sz w:val="24"/>
          <w:szCs w:val="24"/>
        </w:rPr>
        <w:t xml:space="preserve">and explain </w:t>
      </w:r>
      <w:r w:rsidR="009C16A2" w:rsidRPr="00532C20">
        <w:rPr>
          <w:rFonts w:ascii="Times New Roman" w:eastAsia="Times New Roman" w:hAnsi="Times New Roman" w:cs="Times New Roman"/>
          <w:noProof/>
          <w:sz w:val="24"/>
          <w:szCs w:val="24"/>
        </w:rPr>
        <w:t xml:space="preserve">in details </w:t>
      </w:r>
      <w:r w:rsidR="000930DD" w:rsidRPr="00532C20">
        <w:rPr>
          <w:rFonts w:ascii="Times New Roman" w:eastAsia="Times New Roman" w:hAnsi="Times New Roman" w:cs="Times New Roman"/>
          <w:noProof/>
          <w:sz w:val="24"/>
          <w:szCs w:val="24"/>
        </w:rPr>
        <w:t xml:space="preserve">the </w:t>
      </w:r>
      <w:r w:rsidR="00C815ED" w:rsidRPr="00532C20">
        <w:rPr>
          <w:rFonts w:ascii="Times New Roman" w:eastAsia="Times New Roman" w:hAnsi="Times New Roman" w:cs="Times New Roman"/>
          <w:noProof/>
          <w:sz w:val="24"/>
          <w:szCs w:val="24"/>
        </w:rPr>
        <w:t xml:space="preserve">targeted aims </w:t>
      </w:r>
      <w:r w:rsidR="00AB51C8" w:rsidRPr="00532C20">
        <w:rPr>
          <w:rFonts w:ascii="Times New Roman" w:eastAsia="Times New Roman" w:hAnsi="Times New Roman" w:cs="Times New Roman"/>
          <w:noProof/>
          <w:sz w:val="24"/>
          <w:szCs w:val="24"/>
        </w:rPr>
        <w:t>and the proportiona</w:t>
      </w:r>
      <w:r w:rsidR="009C0A65" w:rsidRPr="00532C20">
        <w:rPr>
          <w:rFonts w:ascii="Times New Roman" w:eastAsia="Times New Roman" w:hAnsi="Times New Roman" w:cs="Times New Roman"/>
          <w:noProof/>
          <w:sz w:val="24"/>
          <w:szCs w:val="24"/>
        </w:rPr>
        <w:t>lity of the</w:t>
      </w:r>
      <w:r w:rsidR="00AB51C8" w:rsidRPr="00532C20">
        <w:rPr>
          <w:rFonts w:ascii="Times New Roman" w:eastAsia="Times New Roman" w:hAnsi="Times New Roman" w:cs="Times New Roman"/>
          <w:noProof/>
          <w:sz w:val="24"/>
          <w:szCs w:val="24"/>
        </w:rPr>
        <w:t xml:space="preserve"> measures </w:t>
      </w:r>
      <w:r w:rsidR="009C0A65" w:rsidRPr="00532C20">
        <w:rPr>
          <w:rFonts w:ascii="Times New Roman" w:eastAsia="Times New Roman" w:hAnsi="Times New Roman" w:cs="Times New Roman"/>
          <w:noProof/>
          <w:sz w:val="24"/>
          <w:szCs w:val="24"/>
        </w:rPr>
        <w:t>as well as</w:t>
      </w:r>
      <w:r w:rsidR="009C16A2" w:rsidRPr="00532C20">
        <w:rPr>
          <w:rFonts w:ascii="Times New Roman" w:eastAsia="Times New Roman" w:hAnsi="Times New Roman" w:cs="Times New Roman"/>
          <w:noProof/>
          <w:sz w:val="24"/>
          <w:szCs w:val="24"/>
        </w:rPr>
        <w:t xml:space="preserve"> the strong safeguards</w:t>
      </w:r>
      <w:r w:rsidR="0011632C" w:rsidRPr="00532C20">
        <w:rPr>
          <w:rFonts w:ascii="Times New Roman" w:eastAsia="Times New Roman" w:hAnsi="Times New Roman" w:cs="Times New Roman"/>
          <w:noProof/>
          <w:sz w:val="24"/>
          <w:szCs w:val="24"/>
        </w:rPr>
        <w:t xml:space="preserve">. </w:t>
      </w:r>
      <w:r w:rsidR="009C0A65" w:rsidRPr="00532C20">
        <w:rPr>
          <w:rFonts w:ascii="Times New Roman" w:eastAsia="Times New Roman" w:hAnsi="Times New Roman" w:cs="Times New Roman"/>
          <w:noProof/>
          <w:sz w:val="24"/>
          <w:szCs w:val="24"/>
        </w:rPr>
        <w:t xml:space="preserve">This will imply to explain in details the important </w:t>
      </w:r>
      <w:r w:rsidR="00DD53D4" w:rsidRPr="00532C20">
        <w:rPr>
          <w:rFonts w:ascii="Times New Roman" w:eastAsia="Times New Roman" w:hAnsi="Times New Roman" w:cs="Times New Roman"/>
          <w:noProof/>
          <w:sz w:val="24"/>
          <w:szCs w:val="24"/>
        </w:rPr>
        <w:t xml:space="preserve">and manifest </w:t>
      </w:r>
      <w:r w:rsidR="00696CE7" w:rsidRPr="00532C20">
        <w:rPr>
          <w:rFonts w:ascii="Times New Roman" w:eastAsia="Times New Roman" w:hAnsi="Times New Roman" w:cs="Times New Roman"/>
          <w:noProof/>
          <w:sz w:val="24"/>
          <w:szCs w:val="24"/>
        </w:rPr>
        <w:t xml:space="preserve">differences between the </w:t>
      </w:r>
      <w:r w:rsidRPr="00532C20">
        <w:rPr>
          <w:rFonts w:ascii="Times New Roman" w:eastAsia="Times New Roman" w:hAnsi="Times New Roman" w:cs="Times New Roman"/>
          <w:noProof/>
          <w:sz w:val="24"/>
          <w:szCs w:val="24"/>
        </w:rPr>
        <w:t xml:space="preserve">selected policy </w:t>
      </w:r>
      <w:r w:rsidR="00696CE7" w:rsidRPr="00532C20">
        <w:rPr>
          <w:rFonts w:ascii="Times New Roman" w:eastAsia="Times New Roman" w:hAnsi="Times New Roman" w:cs="Times New Roman"/>
          <w:noProof/>
          <w:sz w:val="24"/>
          <w:szCs w:val="24"/>
        </w:rPr>
        <w:t>option</w:t>
      </w:r>
      <w:r w:rsidR="006D0F61" w:rsidRPr="00532C20">
        <w:rPr>
          <w:rFonts w:ascii="Times New Roman" w:eastAsia="Times New Roman" w:hAnsi="Times New Roman" w:cs="Times New Roman"/>
          <w:noProof/>
          <w:sz w:val="24"/>
          <w:szCs w:val="24"/>
        </w:rPr>
        <w:t xml:space="preserve"> </w:t>
      </w:r>
      <w:r w:rsidR="00696CE7" w:rsidRPr="00532C20">
        <w:rPr>
          <w:rFonts w:ascii="Times New Roman" w:eastAsia="Times New Roman" w:hAnsi="Times New Roman" w:cs="Times New Roman"/>
          <w:noProof/>
          <w:sz w:val="24"/>
          <w:szCs w:val="24"/>
        </w:rPr>
        <w:t>and the so</w:t>
      </w:r>
      <w:r w:rsidR="00251E49">
        <w:rPr>
          <w:rFonts w:ascii="Times New Roman" w:eastAsia="Times New Roman" w:hAnsi="Times New Roman" w:cs="Times New Roman"/>
          <w:noProof/>
          <w:sz w:val="24"/>
          <w:szCs w:val="24"/>
        </w:rPr>
        <w:t>-</w:t>
      </w:r>
      <w:r w:rsidR="00696CE7" w:rsidRPr="00532C20">
        <w:rPr>
          <w:rFonts w:ascii="Times New Roman" w:eastAsia="Times New Roman" w:hAnsi="Times New Roman" w:cs="Times New Roman"/>
          <w:noProof/>
          <w:sz w:val="24"/>
          <w:szCs w:val="24"/>
        </w:rPr>
        <w:t xml:space="preserve">called </w:t>
      </w:r>
      <w:r w:rsidR="004A0C78" w:rsidRPr="00532C20">
        <w:rPr>
          <w:rFonts w:ascii="Times New Roman" w:eastAsia="Times New Roman" w:hAnsi="Times New Roman" w:cs="Times New Roman"/>
          <w:noProof/>
          <w:sz w:val="24"/>
          <w:szCs w:val="24"/>
        </w:rPr>
        <w:t>“</w:t>
      </w:r>
      <w:r w:rsidR="00696CE7" w:rsidRPr="00532C20">
        <w:rPr>
          <w:rFonts w:ascii="Times New Roman" w:eastAsia="Times New Roman" w:hAnsi="Times New Roman" w:cs="Times New Roman"/>
          <w:noProof/>
          <w:sz w:val="24"/>
          <w:szCs w:val="24"/>
        </w:rPr>
        <w:t>foreign agents</w:t>
      </w:r>
      <w:r w:rsidR="009D6A17" w:rsidRPr="00532C20">
        <w:rPr>
          <w:rFonts w:ascii="Times New Roman" w:eastAsia="Times New Roman" w:hAnsi="Times New Roman" w:cs="Times New Roman"/>
          <w:noProof/>
          <w:sz w:val="24"/>
          <w:szCs w:val="24"/>
        </w:rPr>
        <w:t xml:space="preserve"> laws</w:t>
      </w:r>
      <w:r w:rsidR="004A0C78" w:rsidRPr="00532C20">
        <w:rPr>
          <w:rFonts w:ascii="Times New Roman" w:eastAsia="Times New Roman" w:hAnsi="Times New Roman" w:cs="Times New Roman"/>
          <w:noProof/>
          <w:sz w:val="24"/>
          <w:szCs w:val="24"/>
        </w:rPr>
        <w:t>”</w:t>
      </w:r>
      <w:bookmarkStart w:id="1034" w:name="_Ref147914736"/>
      <w:r w:rsidR="001723CE" w:rsidRPr="00532C20">
        <w:rPr>
          <w:rStyle w:val="FootnoteReference"/>
          <w:rFonts w:ascii="Times New Roman" w:eastAsia="Times New Roman" w:hAnsi="Times New Roman" w:cs="Times New Roman"/>
          <w:noProof/>
          <w:sz w:val="24"/>
          <w:szCs w:val="24"/>
        </w:rPr>
        <w:footnoteReference w:id="211"/>
      </w:r>
      <w:bookmarkEnd w:id="1034"/>
      <w:r w:rsidR="000A3609" w:rsidRPr="00532C20">
        <w:rPr>
          <w:rFonts w:ascii="Times New Roman" w:eastAsia="Times New Roman" w:hAnsi="Times New Roman" w:cs="Times New Roman"/>
          <w:noProof/>
          <w:sz w:val="24"/>
          <w:szCs w:val="24"/>
        </w:rPr>
        <w:t xml:space="preserve">, </w:t>
      </w:r>
      <w:r w:rsidR="006D0F61" w:rsidRPr="00532C20">
        <w:rPr>
          <w:rFonts w:ascii="Times New Roman" w:eastAsia="Times New Roman" w:hAnsi="Times New Roman" w:cs="Times New Roman"/>
          <w:noProof/>
          <w:sz w:val="24"/>
          <w:szCs w:val="24"/>
        </w:rPr>
        <w:t xml:space="preserve">managing false narratives and potential unfounded </w:t>
      </w:r>
      <w:r w:rsidR="00EA3EA2">
        <w:rPr>
          <w:rFonts w:ascii="Times New Roman" w:eastAsia="Times New Roman" w:hAnsi="Times New Roman" w:cs="Times New Roman"/>
          <w:noProof/>
          <w:sz w:val="24"/>
          <w:szCs w:val="24"/>
        </w:rPr>
        <w:t>assimilations</w:t>
      </w:r>
      <w:r w:rsidR="00EA3EA2" w:rsidRPr="00532C20">
        <w:rPr>
          <w:rFonts w:ascii="Times New Roman" w:eastAsia="Times New Roman" w:hAnsi="Times New Roman" w:cs="Times New Roman"/>
          <w:noProof/>
          <w:sz w:val="24"/>
          <w:szCs w:val="24"/>
        </w:rPr>
        <w:t xml:space="preserve"> </w:t>
      </w:r>
      <w:r w:rsidR="006D0F61" w:rsidRPr="00532C20">
        <w:rPr>
          <w:rFonts w:ascii="Times New Roman" w:eastAsia="Times New Roman" w:hAnsi="Times New Roman" w:cs="Times New Roman"/>
          <w:noProof/>
          <w:sz w:val="24"/>
          <w:szCs w:val="24"/>
        </w:rPr>
        <w:t xml:space="preserve">through </w:t>
      </w:r>
      <w:r w:rsidR="000A3609" w:rsidRPr="00532C20">
        <w:rPr>
          <w:rFonts w:ascii="Times New Roman" w:eastAsia="Times New Roman" w:hAnsi="Times New Roman" w:cs="Times New Roman"/>
          <w:noProof/>
          <w:sz w:val="24"/>
          <w:szCs w:val="24"/>
        </w:rPr>
        <w:t>adapted</w:t>
      </w:r>
      <w:r w:rsidR="002E5A70">
        <w:rPr>
          <w:rFonts w:ascii="Times New Roman" w:eastAsia="Times New Roman" w:hAnsi="Times New Roman" w:cs="Times New Roman"/>
          <w:noProof/>
          <w:sz w:val="24"/>
          <w:szCs w:val="24"/>
        </w:rPr>
        <w:t xml:space="preserve"> </w:t>
      </w:r>
      <w:r w:rsidR="006A755B">
        <w:rPr>
          <w:rFonts w:ascii="Times New Roman" w:eastAsia="Times New Roman" w:hAnsi="Times New Roman" w:cs="Times New Roman"/>
          <w:noProof/>
          <w:sz w:val="24"/>
          <w:szCs w:val="24"/>
        </w:rPr>
        <w:t>explanations of the content of the EU initiative</w:t>
      </w:r>
      <w:r w:rsidR="00944288" w:rsidRPr="00532C20">
        <w:rPr>
          <w:rFonts w:ascii="Times New Roman" w:eastAsia="Times New Roman" w:hAnsi="Times New Roman" w:cs="Times New Roman"/>
          <w:noProof/>
          <w:sz w:val="24"/>
          <w:szCs w:val="24"/>
        </w:rPr>
        <w:t xml:space="preserve">. </w:t>
      </w:r>
    </w:p>
    <w:p w14:paraId="795DB4AA" w14:textId="283E6A6C" w:rsidR="00CA1173" w:rsidRPr="00532C20" w:rsidRDefault="00944288" w:rsidP="00AF23A3">
      <w:pPr>
        <w:spacing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C</w:t>
      </w:r>
      <w:r w:rsidR="00696CE7" w:rsidRPr="00532C20">
        <w:rPr>
          <w:rFonts w:ascii="Times New Roman" w:eastAsia="Times New Roman" w:hAnsi="Times New Roman" w:cs="Times New Roman"/>
          <w:noProof/>
          <w:sz w:val="24"/>
          <w:szCs w:val="24"/>
        </w:rPr>
        <w:t>larity on the differences</w:t>
      </w:r>
      <w:r w:rsidR="005C3424" w:rsidRPr="00532C20">
        <w:rPr>
          <w:rFonts w:ascii="Times New Roman" w:eastAsia="Times New Roman" w:hAnsi="Times New Roman" w:cs="Times New Roman"/>
          <w:noProof/>
          <w:sz w:val="24"/>
          <w:szCs w:val="24"/>
        </w:rPr>
        <w:t xml:space="preserve"> will be crucial</w:t>
      </w:r>
      <w:r w:rsidR="00064BE7">
        <w:rPr>
          <w:rFonts w:ascii="Times New Roman" w:eastAsia="Times New Roman" w:hAnsi="Times New Roman" w:cs="Times New Roman"/>
          <w:noProof/>
          <w:sz w:val="24"/>
          <w:szCs w:val="24"/>
        </w:rPr>
        <w:t>.</w:t>
      </w:r>
      <w:r w:rsidR="00696CE7" w:rsidRPr="00532C20">
        <w:rPr>
          <w:rFonts w:ascii="Times New Roman" w:eastAsia="Times New Roman" w:hAnsi="Times New Roman" w:cs="Times New Roman"/>
          <w:noProof/>
          <w:sz w:val="24"/>
          <w:szCs w:val="24"/>
        </w:rPr>
        <w:t xml:space="preserve"> </w:t>
      </w:r>
      <w:r w:rsidR="00064BE7">
        <w:rPr>
          <w:rFonts w:ascii="Times New Roman" w:eastAsia="Times New Roman" w:hAnsi="Times New Roman" w:cs="Times New Roman"/>
          <w:noProof/>
          <w:sz w:val="24"/>
          <w:szCs w:val="24"/>
        </w:rPr>
        <w:t>These include:</w:t>
      </w:r>
      <w:r w:rsidR="00696CE7" w:rsidRPr="00532C20" w:rsidDel="00064BE7">
        <w:rPr>
          <w:rFonts w:ascii="Times New Roman" w:eastAsia="Times New Roman" w:hAnsi="Times New Roman" w:cs="Times New Roman"/>
          <w:noProof/>
          <w:sz w:val="24"/>
          <w:szCs w:val="24"/>
        </w:rPr>
        <w:t xml:space="preserve"> </w:t>
      </w:r>
      <w:r w:rsidR="00696CE7" w:rsidRPr="00532C20">
        <w:rPr>
          <w:rFonts w:ascii="Times New Roman" w:eastAsia="Times New Roman" w:hAnsi="Times New Roman" w:cs="Times New Roman"/>
          <w:noProof/>
          <w:sz w:val="24"/>
          <w:szCs w:val="24"/>
        </w:rPr>
        <w:t xml:space="preserve">the focus of the EU proposal on </w:t>
      </w:r>
      <w:r w:rsidR="00551C63">
        <w:rPr>
          <w:rFonts w:ascii="Times New Roman" w:eastAsia="Times New Roman" w:hAnsi="Times New Roman" w:cs="Times New Roman"/>
          <w:noProof/>
          <w:sz w:val="24"/>
          <w:szCs w:val="24"/>
        </w:rPr>
        <w:t xml:space="preserve">interest representation </w:t>
      </w:r>
      <w:r w:rsidR="00696CE7" w:rsidRPr="00532C20">
        <w:rPr>
          <w:rFonts w:ascii="Times New Roman" w:eastAsia="Times New Roman" w:hAnsi="Times New Roman" w:cs="Times New Roman"/>
          <w:noProof/>
          <w:sz w:val="24"/>
          <w:szCs w:val="24"/>
        </w:rPr>
        <w:t xml:space="preserve">activities </w:t>
      </w:r>
      <w:r w:rsidR="00551C63">
        <w:rPr>
          <w:rFonts w:ascii="Times New Roman" w:eastAsia="Times New Roman" w:hAnsi="Times New Roman" w:cs="Times New Roman"/>
          <w:noProof/>
          <w:sz w:val="24"/>
          <w:szCs w:val="24"/>
        </w:rPr>
        <w:t>impacting decision</w:t>
      </w:r>
      <w:r w:rsidR="00354356">
        <w:rPr>
          <w:rFonts w:ascii="Times New Roman" w:eastAsia="Times New Roman" w:hAnsi="Times New Roman" w:cs="Times New Roman"/>
          <w:noProof/>
          <w:sz w:val="24"/>
          <w:szCs w:val="24"/>
        </w:rPr>
        <w:t>-</w:t>
      </w:r>
      <w:r w:rsidR="00551C63">
        <w:rPr>
          <w:rFonts w:ascii="Times New Roman" w:eastAsia="Times New Roman" w:hAnsi="Times New Roman" w:cs="Times New Roman"/>
          <w:noProof/>
          <w:sz w:val="24"/>
          <w:szCs w:val="24"/>
        </w:rPr>
        <w:t>making processes in the European Union</w:t>
      </w:r>
      <w:r w:rsidR="00696CE7" w:rsidRPr="00532C20">
        <w:rPr>
          <w:rFonts w:ascii="Times New Roman" w:eastAsia="Times New Roman" w:hAnsi="Times New Roman" w:cs="Times New Roman"/>
          <w:noProof/>
          <w:sz w:val="24"/>
          <w:szCs w:val="24"/>
        </w:rPr>
        <w:t xml:space="preserve"> rather than individual organisations, </w:t>
      </w:r>
      <w:r w:rsidR="00B00FE2" w:rsidRPr="00532C20">
        <w:rPr>
          <w:rFonts w:ascii="Times New Roman" w:eastAsia="Times New Roman" w:hAnsi="Times New Roman" w:cs="Times New Roman"/>
          <w:noProof/>
          <w:sz w:val="24"/>
          <w:szCs w:val="24"/>
        </w:rPr>
        <w:t xml:space="preserve">the exclusion of operating grants </w:t>
      </w:r>
      <w:r w:rsidR="00476105" w:rsidRPr="00532C20">
        <w:rPr>
          <w:rFonts w:ascii="Times New Roman" w:eastAsia="Times New Roman" w:hAnsi="Times New Roman" w:cs="Times New Roman"/>
          <w:noProof/>
          <w:sz w:val="24"/>
          <w:szCs w:val="24"/>
        </w:rPr>
        <w:t xml:space="preserve">for CSOs </w:t>
      </w:r>
      <w:r w:rsidR="00B00FE2" w:rsidRPr="00532C20">
        <w:rPr>
          <w:rFonts w:ascii="Times New Roman" w:eastAsia="Times New Roman" w:hAnsi="Times New Roman" w:cs="Times New Roman"/>
          <w:noProof/>
          <w:sz w:val="24"/>
          <w:szCs w:val="24"/>
        </w:rPr>
        <w:t>or private donors from the scope</w:t>
      </w:r>
      <w:r w:rsidR="00476105" w:rsidRPr="00532C20">
        <w:rPr>
          <w:rFonts w:ascii="Times New Roman" w:eastAsia="Times New Roman" w:hAnsi="Times New Roman" w:cs="Times New Roman"/>
          <w:noProof/>
          <w:sz w:val="24"/>
          <w:szCs w:val="24"/>
        </w:rPr>
        <w:t xml:space="preserve">, </w:t>
      </w:r>
      <w:r w:rsidR="00696CE7" w:rsidRPr="00532C20">
        <w:rPr>
          <w:rFonts w:ascii="Times New Roman" w:eastAsia="Times New Roman" w:hAnsi="Times New Roman" w:cs="Times New Roman"/>
          <w:noProof/>
          <w:sz w:val="24"/>
          <w:szCs w:val="24"/>
        </w:rPr>
        <w:t xml:space="preserve">the absence of any regulations that might be used to hinder the work of CSOs </w:t>
      </w:r>
      <w:r w:rsidR="00476105" w:rsidRPr="00532C20">
        <w:rPr>
          <w:rFonts w:ascii="Times New Roman" w:eastAsia="Times New Roman" w:hAnsi="Times New Roman" w:cs="Times New Roman"/>
          <w:noProof/>
          <w:sz w:val="24"/>
          <w:szCs w:val="24"/>
        </w:rPr>
        <w:t>and the absence of criminal sanctions and other restrictive measures</w:t>
      </w:r>
      <w:r w:rsidR="005215FD" w:rsidRPr="00532C20">
        <w:rPr>
          <w:rFonts w:ascii="Times New Roman" w:eastAsia="Times New Roman" w:hAnsi="Times New Roman" w:cs="Times New Roman"/>
          <w:noProof/>
          <w:sz w:val="24"/>
          <w:szCs w:val="24"/>
        </w:rPr>
        <w:t xml:space="preserve">. </w:t>
      </w:r>
      <w:r w:rsidR="00CA1173" w:rsidRPr="00532C20">
        <w:rPr>
          <w:rFonts w:ascii="Times New Roman" w:eastAsia="Times New Roman" w:hAnsi="Times New Roman" w:cs="Times New Roman"/>
          <w:noProof/>
          <w:sz w:val="24"/>
          <w:szCs w:val="24"/>
        </w:rPr>
        <w:t>Furthermore, the proposed measures include important safeguards like the possibility of judicial redress as well as the possibility to request that some of the information gathered will not be made public based on an overriding interes</w:t>
      </w:r>
      <w:r w:rsidR="00204597" w:rsidRPr="00532C20">
        <w:rPr>
          <w:rFonts w:ascii="Times New Roman" w:eastAsia="Times New Roman" w:hAnsi="Times New Roman" w:cs="Times New Roman"/>
          <w:noProof/>
          <w:sz w:val="24"/>
          <w:szCs w:val="24"/>
        </w:rPr>
        <w:t xml:space="preserve">t which differentiate them from other </w:t>
      </w:r>
      <w:r w:rsidR="00064BE7" w:rsidRPr="00532C20">
        <w:rPr>
          <w:rFonts w:ascii="Times New Roman" w:eastAsia="Times New Roman" w:hAnsi="Times New Roman" w:cs="Times New Roman"/>
          <w:noProof/>
          <w:sz w:val="24"/>
          <w:szCs w:val="24"/>
        </w:rPr>
        <w:t>measures</w:t>
      </w:r>
      <w:r w:rsidR="00204597" w:rsidRPr="00532C20">
        <w:rPr>
          <w:rFonts w:ascii="Times New Roman" w:eastAsia="Times New Roman" w:hAnsi="Times New Roman" w:cs="Times New Roman"/>
          <w:noProof/>
          <w:sz w:val="24"/>
          <w:szCs w:val="24"/>
        </w:rPr>
        <w:t>.</w:t>
      </w:r>
    </w:p>
    <w:p w14:paraId="7463D294" w14:textId="7D857531" w:rsidR="00546BC3" w:rsidRPr="00532C20" w:rsidRDefault="00204597" w:rsidP="00AF23A3">
      <w:pPr>
        <w:spacing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w:t>
      </w:r>
      <w:r w:rsidR="00722D7E" w:rsidRPr="00532C20">
        <w:rPr>
          <w:rFonts w:ascii="Times New Roman" w:eastAsia="Times New Roman" w:hAnsi="Times New Roman" w:cs="Times New Roman"/>
          <w:noProof/>
          <w:sz w:val="24"/>
          <w:szCs w:val="24"/>
        </w:rPr>
        <w:t xml:space="preserve">he proposed measures also do not </w:t>
      </w:r>
      <w:r w:rsidR="00345056" w:rsidRPr="00532C20">
        <w:rPr>
          <w:rFonts w:ascii="Times New Roman" w:eastAsia="Times New Roman" w:hAnsi="Times New Roman" w:cs="Times New Roman"/>
          <w:noProof/>
          <w:sz w:val="24"/>
          <w:szCs w:val="24"/>
        </w:rPr>
        <w:t xml:space="preserve">cover any activities related to the exercise of diplomatic relations between states </w:t>
      </w:r>
      <w:r w:rsidR="00DC5C1A">
        <w:rPr>
          <w:rFonts w:ascii="Times New Roman" w:eastAsia="Times New Roman" w:hAnsi="Times New Roman" w:cs="Times New Roman"/>
          <w:noProof/>
          <w:sz w:val="24"/>
          <w:szCs w:val="24"/>
        </w:rPr>
        <w:t>or</w:t>
      </w:r>
      <w:r w:rsidR="00DC5C1A" w:rsidRPr="00532C20">
        <w:rPr>
          <w:rFonts w:ascii="Times New Roman" w:eastAsia="Times New Roman" w:hAnsi="Times New Roman" w:cs="Times New Roman"/>
          <w:noProof/>
          <w:sz w:val="24"/>
          <w:szCs w:val="24"/>
        </w:rPr>
        <w:t xml:space="preserve"> </w:t>
      </w:r>
      <w:r w:rsidR="00345056" w:rsidRPr="00532C20">
        <w:rPr>
          <w:rFonts w:ascii="Times New Roman" w:eastAsia="Times New Roman" w:hAnsi="Times New Roman" w:cs="Times New Roman"/>
          <w:noProof/>
          <w:sz w:val="24"/>
          <w:szCs w:val="24"/>
        </w:rPr>
        <w:t>internationa</w:t>
      </w:r>
      <w:r w:rsidR="007F3EF6" w:rsidRPr="00532C20">
        <w:rPr>
          <w:rFonts w:ascii="Times New Roman" w:eastAsia="Times New Roman" w:hAnsi="Times New Roman" w:cs="Times New Roman"/>
          <w:noProof/>
          <w:sz w:val="24"/>
          <w:szCs w:val="24"/>
        </w:rPr>
        <w:t xml:space="preserve">l relations. </w:t>
      </w:r>
    </w:p>
    <w:p w14:paraId="2AB6A61F" w14:textId="248AFF0A" w:rsidR="00C46D20" w:rsidRPr="00532C20" w:rsidRDefault="009762A7" w:rsidP="00AF23A3">
      <w:pPr>
        <w:spacing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Additionally,</w:t>
      </w:r>
      <w:r w:rsidR="002F5D3D" w:rsidRPr="00532C20">
        <w:rPr>
          <w:rFonts w:ascii="Times New Roman" w:eastAsia="Times New Roman" w:hAnsi="Times New Roman" w:cs="Times New Roman"/>
          <w:noProof/>
          <w:sz w:val="24"/>
          <w:szCs w:val="24"/>
        </w:rPr>
        <w:t xml:space="preserve"> </w:t>
      </w:r>
      <w:r w:rsidR="002F5D3D" w:rsidRPr="00532C20">
        <w:rPr>
          <w:rFonts w:ascii="Times New Roman" w:eastAsia="Times New Roman" w:hAnsi="Times New Roman" w:cs="Times New Roman"/>
          <w:noProof/>
          <w:sz w:val="24"/>
          <w:szCs w:val="24"/>
          <w:u w:val="single"/>
        </w:rPr>
        <w:t xml:space="preserve">all </w:t>
      </w:r>
      <w:r w:rsidR="007B3834" w:rsidRPr="00532C20">
        <w:rPr>
          <w:rFonts w:ascii="Times New Roman" w:eastAsia="Times New Roman" w:hAnsi="Times New Roman" w:cs="Times New Roman"/>
          <w:noProof/>
          <w:sz w:val="24"/>
          <w:szCs w:val="24"/>
          <w:u w:val="single"/>
        </w:rPr>
        <w:t>3</w:t>
      </w:r>
      <w:r w:rsidR="002F5D3D" w:rsidRPr="00532C20">
        <w:rPr>
          <w:rFonts w:ascii="Times New Roman" w:eastAsia="Times New Roman" w:hAnsi="Times New Roman" w:cs="Times New Roman"/>
          <w:noProof/>
          <w:sz w:val="24"/>
          <w:szCs w:val="24"/>
          <w:u w:val="single"/>
        </w:rPr>
        <w:t xml:space="preserve"> policy options</w:t>
      </w:r>
      <w:r w:rsidR="002F5D3D" w:rsidRPr="00532C20">
        <w:rPr>
          <w:rFonts w:ascii="Times New Roman" w:eastAsia="Times New Roman" w:hAnsi="Times New Roman" w:cs="Times New Roman"/>
          <w:noProof/>
          <w:sz w:val="24"/>
          <w:szCs w:val="24"/>
        </w:rPr>
        <w:t xml:space="preserve"> </w:t>
      </w:r>
      <w:r w:rsidR="00204597" w:rsidRPr="00532C20">
        <w:rPr>
          <w:rFonts w:ascii="Times New Roman" w:eastAsia="Times New Roman" w:hAnsi="Times New Roman" w:cs="Times New Roman"/>
          <w:noProof/>
          <w:sz w:val="24"/>
          <w:szCs w:val="24"/>
        </w:rPr>
        <w:t>take into account</w:t>
      </w:r>
      <w:r w:rsidR="00F95C35" w:rsidRPr="00532C20">
        <w:rPr>
          <w:rFonts w:ascii="Times New Roman" w:eastAsia="Times New Roman" w:hAnsi="Times New Roman" w:cs="Times New Roman"/>
          <w:noProof/>
          <w:sz w:val="24"/>
          <w:szCs w:val="24"/>
        </w:rPr>
        <w:t xml:space="preserve"> the </w:t>
      </w:r>
      <w:r w:rsidR="00204597" w:rsidRPr="00532C20">
        <w:rPr>
          <w:rFonts w:ascii="Times New Roman" w:eastAsia="Times New Roman" w:hAnsi="Times New Roman" w:cs="Times New Roman"/>
          <w:noProof/>
          <w:sz w:val="24"/>
          <w:szCs w:val="24"/>
        </w:rPr>
        <w:t>feedback</w:t>
      </w:r>
      <w:r w:rsidR="00CE633E" w:rsidRPr="00532C20">
        <w:rPr>
          <w:rFonts w:ascii="Times New Roman" w:eastAsia="Times New Roman" w:hAnsi="Times New Roman" w:cs="Times New Roman"/>
          <w:noProof/>
          <w:sz w:val="24"/>
          <w:szCs w:val="24"/>
        </w:rPr>
        <w:t xml:space="preserve"> </w:t>
      </w:r>
      <w:r w:rsidR="00204597" w:rsidRPr="00532C20">
        <w:rPr>
          <w:rFonts w:ascii="Times New Roman" w:eastAsia="Times New Roman" w:hAnsi="Times New Roman" w:cs="Times New Roman"/>
          <w:noProof/>
          <w:sz w:val="24"/>
          <w:szCs w:val="24"/>
        </w:rPr>
        <w:t>related to</w:t>
      </w:r>
      <w:r w:rsidR="005C040F" w:rsidRPr="00532C20">
        <w:rPr>
          <w:rFonts w:ascii="Times New Roman" w:eastAsia="Times New Roman" w:hAnsi="Times New Roman" w:cs="Times New Roman"/>
          <w:noProof/>
          <w:sz w:val="24"/>
          <w:szCs w:val="24"/>
        </w:rPr>
        <w:t xml:space="preserve"> US FARA and the Australian FITSA</w:t>
      </w:r>
      <w:r w:rsidR="00C46A41" w:rsidRPr="00532C20">
        <w:rPr>
          <w:rFonts w:ascii="Times New Roman" w:eastAsia="Times New Roman" w:hAnsi="Times New Roman" w:cs="Times New Roman"/>
          <w:noProof/>
          <w:sz w:val="24"/>
          <w:szCs w:val="24"/>
        </w:rPr>
        <w:t xml:space="preserve">. </w:t>
      </w:r>
      <w:r w:rsidR="00764B32">
        <w:rPr>
          <w:rFonts w:ascii="Times New Roman" w:eastAsia="Times New Roman" w:hAnsi="Times New Roman" w:cs="Times New Roman"/>
          <w:noProof/>
          <w:sz w:val="24"/>
          <w:szCs w:val="24"/>
        </w:rPr>
        <w:t>T</w:t>
      </w:r>
      <w:r w:rsidR="00C46A41" w:rsidRPr="00532C20">
        <w:rPr>
          <w:rFonts w:ascii="Times New Roman" w:eastAsia="Times New Roman" w:hAnsi="Times New Roman" w:cs="Times New Roman"/>
          <w:noProof/>
          <w:sz w:val="24"/>
          <w:szCs w:val="24"/>
        </w:rPr>
        <w:t xml:space="preserve">hese two legislations </w:t>
      </w:r>
      <w:r w:rsidR="006A6304" w:rsidRPr="00532C20">
        <w:rPr>
          <w:rFonts w:ascii="Times New Roman" w:eastAsia="Times New Roman" w:hAnsi="Times New Roman" w:cs="Times New Roman"/>
          <w:noProof/>
          <w:sz w:val="24"/>
          <w:szCs w:val="24"/>
        </w:rPr>
        <w:t xml:space="preserve">are </w:t>
      </w:r>
      <w:r w:rsidR="00F75A22">
        <w:rPr>
          <w:rFonts w:ascii="Times New Roman" w:eastAsia="Times New Roman" w:hAnsi="Times New Roman" w:cs="Times New Roman"/>
          <w:noProof/>
          <w:sz w:val="24"/>
          <w:szCs w:val="24"/>
        </w:rPr>
        <w:t>fundamentally different</w:t>
      </w:r>
      <w:r w:rsidR="005109C9">
        <w:rPr>
          <w:rFonts w:ascii="Times New Roman" w:eastAsia="Times New Roman" w:hAnsi="Times New Roman" w:cs="Times New Roman"/>
          <w:noProof/>
          <w:sz w:val="24"/>
          <w:szCs w:val="24"/>
        </w:rPr>
        <w:t xml:space="preserve"> </w:t>
      </w:r>
      <w:r w:rsidR="006C418B">
        <w:rPr>
          <w:rFonts w:ascii="Times New Roman" w:eastAsia="Times New Roman" w:hAnsi="Times New Roman" w:cs="Times New Roman"/>
          <w:noProof/>
          <w:sz w:val="24"/>
          <w:szCs w:val="24"/>
        </w:rPr>
        <w:t>from</w:t>
      </w:r>
      <w:r w:rsidR="006C418B" w:rsidRPr="00532C20">
        <w:rPr>
          <w:rFonts w:ascii="Times New Roman" w:eastAsia="Times New Roman" w:hAnsi="Times New Roman" w:cs="Times New Roman"/>
          <w:noProof/>
          <w:sz w:val="24"/>
          <w:szCs w:val="24"/>
        </w:rPr>
        <w:t xml:space="preserve"> </w:t>
      </w:r>
      <w:r w:rsidR="00056818" w:rsidRPr="00532C20">
        <w:rPr>
          <w:rFonts w:ascii="Times New Roman" w:eastAsia="Times New Roman" w:hAnsi="Times New Roman" w:cs="Times New Roman"/>
          <w:noProof/>
          <w:sz w:val="24"/>
          <w:szCs w:val="24"/>
        </w:rPr>
        <w:t>foreign agent laws in place or</w:t>
      </w:r>
      <w:r w:rsidR="00DD12DB" w:rsidRPr="00532C20" w:rsidDel="00CD4661">
        <w:rPr>
          <w:rFonts w:ascii="Times New Roman" w:eastAsia="Times New Roman" w:hAnsi="Times New Roman" w:cs="Times New Roman"/>
          <w:noProof/>
          <w:sz w:val="24"/>
          <w:szCs w:val="24"/>
        </w:rPr>
        <w:t xml:space="preserve"> </w:t>
      </w:r>
      <w:r w:rsidR="00056818" w:rsidRPr="00532C20">
        <w:rPr>
          <w:rFonts w:ascii="Times New Roman" w:eastAsia="Times New Roman" w:hAnsi="Times New Roman" w:cs="Times New Roman"/>
          <w:noProof/>
          <w:sz w:val="24"/>
          <w:szCs w:val="24"/>
        </w:rPr>
        <w:t xml:space="preserve">proposed in </w:t>
      </w:r>
      <w:r w:rsidR="00C46D20" w:rsidRPr="00532C20">
        <w:rPr>
          <w:rFonts w:ascii="Times New Roman" w:eastAsia="Times New Roman" w:hAnsi="Times New Roman" w:cs="Times New Roman"/>
          <w:noProof/>
          <w:sz w:val="24"/>
          <w:szCs w:val="24"/>
        </w:rPr>
        <w:t>other third countries</w:t>
      </w:r>
      <w:r w:rsidR="00764B32">
        <w:rPr>
          <w:rFonts w:ascii="Times New Roman" w:eastAsia="Times New Roman" w:hAnsi="Times New Roman" w:cs="Times New Roman"/>
          <w:noProof/>
          <w:sz w:val="24"/>
          <w:szCs w:val="24"/>
        </w:rPr>
        <w:t>.</w:t>
      </w:r>
      <w:r w:rsidR="00473CCF" w:rsidRPr="00532C20">
        <w:rPr>
          <w:rFonts w:ascii="Times New Roman" w:eastAsia="Times New Roman" w:hAnsi="Times New Roman" w:cs="Times New Roman"/>
          <w:noProof/>
          <w:sz w:val="24"/>
          <w:szCs w:val="24"/>
        </w:rPr>
        <w:t xml:space="preserve"> </w:t>
      </w:r>
      <w:r w:rsidR="006C21F9">
        <w:rPr>
          <w:rFonts w:ascii="Times New Roman" w:eastAsia="Times New Roman" w:hAnsi="Times New Roman" w:cs="Times New Roman"/>
          <w:noProof/>
          <w:sz w:val="24"/>
          <w:szCs w:val="24"/>
        </w:rPr>
        <w:t>S</w:t>
      </w:r>
      <w:r w:rsidR="00551C63">
        <w:rPr>
          <w:rFonts w:ascii="Times New Roman" w:eastAsia="Times New Roman" w:hAnsi="Times New Roman" w:cs="Times New Roman"/>
          <w:noProof/>
          <w:sz w:val="24"/>
          <w:szCs w:val="24"/>
        </w:rPr>
        <w:t xml:space="preserve">ome </w:t>
      </w:r>
      <w:r w:rsidR="004F2BD2" w:rsidRPr="00532C20">
        <w:rPr>
          <w:rFonts w:ascii="Times New Roman" w:eastAsia="Times New Roman" w:hAnsi="Times New Roman" w:cs="Times New Roman"/>
          <w:noProof/>
          <w:sz w:val="24"/>
          <w:szCs w:val="24"/>
        </w:rPr>
        <w:t>CSOs</w:t>
      </w:r>
      <w:r w:rsidR="00D35A20" w:rsidRPr="00532C20">
        <w:rPr>
          <w:rFonts w:ascii="Times New Roman" w:eastAsia="Times New Roman" w:hAnsi="Times New Roman" w:cs="Times New Roman"/>
          <w:noProof/>
          <w:sz w:val="24"/>
          <w:szCs w:val="24"/>
        </w:rPr>
        <w:t xml:space="preserve"> and </w:t>
      </w:r>
      <w:r w:rsidR="00DF5A58" w:rsidRPr="00532C20">
        <w:rPr>
          <w:rFonts w:ascii="Times New Roman" w:eastAsia="Times New Roman" w:hAnsi="Times New Roman" w:cs="Times New Roman"/>
          <w:noProof/>
          <w:sz w:val="24"/>
          <w:szCs w:val="24"/>
        </w:rPr>
        <w:t xml:space="preserve">academics </w:t>
      </w:r>
      <w:r w:rsidR="006C21F9">
        <w:rPr>
          <w:rFonts w:ascii="Times New Roman" w:eastAsia="Times New Roman" w:hAnsi="Times New Roman" w:cs="Times New Roman"/>
          <w:noProof/>
          <w:sz w:val="24"/>
          <w:szCs w:val="24"/>
        </w:rPr>
        <w:t>c</w:t>
      </w:r>
      <w:r w:rsidR="00D44508">
        <w:rPr>
          <w:rFonts w:ascii="Times New Roman" w:eastAsia="Times New Roman" w:hAnsi="Times New Roman" w:cs="Times New Roman"/>
          <w:noProof/>
          <w:sz w:val="24"/>
          <w:szCs w:val="24"/>
        </w:rPr>
        <w:t>onsider that</w:t>
      </w:r>
      <w:r w:rsidR="00C46D20" w:rsidRPr="00532C20">
        <w:rPr>
          <w:rFonts w:ascii="Times New Roman" w:eastAsia="Times New Roman" w:hAnsi="Times New Roman" w:cs="Times New Roman"/>
          <w:noProof/>
          <w:sz w:val="24"/>
          <w:szCs w:val="24"/>
        </w:rPr>
        <w:t xml:space="preserve"> the</w:t>
      </w:r>
      <w:r w:rsidR="00CE633E" w:rsidRPr="00532C20">
        <w:rPr>
          <w:rFonts w:ascii="Times New Roman" w:eastAsia="Times New Roman" w:hAnsi="Times New Roman" w:cs="Times New Roman"/>
          <w:noProof/>
          <w:sz w:val="24"/>
          <w:szCs w:val="24"/>
        </w:rPr>
        <w:t xml:space="preserve"> </w:t>
      </w:r>
      <w:r w:rsidR="00E47F2A" w:rsidRPr="00532C20">
        <w:rPr>
          <w:rFonts w:ascii="Times New Roman" w:eastAsia="Times New Roman" w:hAnsi="Times New Roman" w:cs="Times New Roman"/>
          <w:noProof/>
          <w:sz w:val="24"/>
          <w:szCs w:val="24"/>
        </w:rPr>
        <w:t xml:space="preserve">US FARA </w:t>
      </w:r>
      <w:r w:rsidR="00D44508">
        <w:rPr>
          <w:rFonts w:ascii="Times New Roman" w:eastAsia="Times New Roman" w:hAnsi="Times New Roman" w:cs="Times New Roman"/>
          <w:noProof/>
          <w:sz w:val="24"/>
          <w:szCs w:val="24"/>
        </w:rPr>
        <w:t>is</w:t>
      </w:r>
      <w:r w:rsidR="00E47F2A" w:rsidRPr="00532C20">
        <w:rPr>
          <w:rFonts w:ascii="Times New Roman" w:eastAsia="Times New Roman" w:hAnsi="Times New Roman" w:cs="Times New Roman"/>
          <w:noProof/>
          <w:sz w:val="24"/>
          <w:szCs w:val="24"/>
        </w:rPr>
        <w:t xml:space="preserve"> too broad and </w:t>
      </w:r>
      <w:r w:rsidR="000F576E" w:rsidRPr="00532C20">
        <w:rPr>
          <w:rFonts w:ascii="Times New Roman" w:eastAsia="Times New Roman" w:hAnsi="Times New Roman" w:cs="Times New Roman"/>
          <w:noProof/>
          <w:sz w:val="24"/>
          <w:szCs w:val="24"/>
        </w:rPr>
        <w:t>vague in its definitions</w:t>
      </w:r>
      <w:r w:rsidR="00301A56" w:rsidRPr="00532C20">
        <w:rPr>
          <w:rFonts w:ascii="Times New Roman" w:eastAsia="Times New Roman" w:hAnsi="Times New Roman" w:cs="Times New Roman"/>
          <w:noProof/>
          <w:sz w:val="24"/>
          <w:szCs w:val="24"/>
        </w:rPr>
        <w:t xml:space="preserve"> </w:t>
      </w:r>
      <w:r w:rsidR="001E0AAC" w:rsidRPr="00532C20">
        <w:rPr>
          <w:rFonts w:ascii="Times New Roman" w:eastAsia="Times New Roman" w:hAnsi="Times New Roman" w:cs="Times New Roman"/>
          <w:noProof/>
          <w:sz w:val="24"/>
          <w:szCs w:val="24"/>
        </w:rPr>
        <w:t>and scope</w:t>
      </w:r>
      <w:r w:rsidR="00CF0E35">
        <w:rPr>
          <w:rFonts w:ascii="Times New Roman" w:eastAsia="Times New Roman" w:hAnsi="Times New Roman" w:cs="Times New Roman"/>
          <w:noProof/>
          <w:sz w:val="24"/>
          <w:szCs w:val="24"/>
        </w:rPr>
        <w:t>,</w:t>
      </w:r>
      <w:r w:rsidR="001E0AAC" w:rsidRPr="00532C20">
        <w:rPr>
          <w:rFonts w:ascii="Times New Roman" w:eastAsia="Times New Roman" w:hAnsi="Times New Roman" w:cs="Times New Roman"/>
          <w:noProof/>
          <w:sz w:val="24"/>
          <w:szCs w:val="24"/>
        </w:rPr>
        <w:t xml:space="preserve"> </w:t>
      </w:r>
      <w:r w:rsidR="00B046C0">
        <w:rPr>
          <w:rFonts w:ascii="Times New Roman" w:eastAsia="Times New Roman" w:hAnsi="Times New Roman" w:cs="Times New Roman"/>
          <w:noProof/>
          <w:sz w:val="24"/>
          <w:szCs w:val="24"/>
        </w:rPr>
        <w:t>and</w:t>
      </w:r>
      <w:r w:rsidR="001E0AAC" w:rsidRPr="00532C20">
        <w:rPr>
          <w:rFonts w:ascii="Times New Roman" w:eastAsia="Times New Roman" w:hAnsi="Times New Roman" w:cs="Times New Roman"/>
          <w:noProof/>
          <w:sz w:val="24"/>
          <w:szCs w:val="24"/>
        </w:rPr>
        <w:t xml:space="preserve"> </w:t>
      </w:r>
      <w:r w:rsidR="00CF0E35">
        <w:rPr>
          <w:rFonts w:ascii="Times New Roman" w:eastAsia="Times New Roman" w:hAnsi="Times New Roman" w:cs="Times New Roman"/>
          <w:noProof/>
          <w:sz w:val="24"/>
          <w:szCs w:val="24"/>
        </w:rPr>
        <w:t>e</w:t>
      </w:r>
      <w:r w:rsidR="00B046C0">
        <w:rPr>
          <w:rFonts w:ascii="Times New Roman" w:eastAsia="Times New Roman" w:hAnsi="Times New Roman" w:cs="Times New Roman"/>
          <w:noProof/>
          <w:sz w:val="24"/>
          <w:szCs w:val="24"/>
        </w:rPr>
        <w:t>xpressed concerns regarding</w:t>
      </w:r>
      <w:r w:rsidR="0036175D" w:rsidRPr="00532C20">
        <w:rPr>
          <w:rFonts w:ascii="Times New Roman" w:eastAsia="Times New Roman" w:hAnsi="Times New Roman" w:cs="Times New Roman"/>
          <w:noProof/>
          <w:sz w:val="24"/>
          <w:szCs w:val="24"/>
        </w:rPr>
        <w:t xml:space="preserve"> criminal sanctions</w:t>
      </w:r>
      <w:r w:rsidR="00301A56" w:rsidRPr="00532C20">
        <w:rPr>
          <w:rFonts w:ascii="Times New Roman" w:eastAsia="Times New Roman" w:hAnsi="Times New Roman" w:cs="Times New Roman"/>
          <w:noProof/>
          <w:sz w:val="24"/>
          <w:szCs w:val="24"/>
        </w:rPr>
        <w:t>.</w:t>
      </w:r>
      <w:r w:rsidR="00A57581" w:rsidRPr="00532C20">
        <w:rPr>
          <w:rStyle w:val="FootnoteReference"/>
          <w:rFonts w:ascii="Times New Roman" w:eastAsia="Times New Roman" w:hAnsi="Times New Roman" w:cs="Times New Roman"/>
          <w:noProof/>
          <w:sz w:val="24"/>
          <w:szCs w:val="24"/>
        </w:rPr>
        <w:footnoteReference w:id="212"/>
      </w:r>
      <w:r w:rsidR="00301A56" w:rsidRPr="00532C20">
        <w:rPr>
          <w:rFonts w:ascii="Times New Roman" w:eastAsia="Times New Roman" w:hAnsi="Times New Roman" w:cs="Times New Roman"/>
          <w:noProof/>
          <w:sz w:val="24"/>
          <w:szCs w:val="24"/>
        </w:rPr>
        <w:t xml:space="preserve"> </w:t>
      </w:r>
    </w:p>
    <w:p w14:paraId="21C483B4" w14:textId="43E1E3B9" w:rsidR="00683015" w:rsidRPr="00532C20" w:rsidRDefault="00C46D20" w:rsidP="00AF23A3">
      <w:pPr>
        <w:spacing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Taking into account this feedback</w:t>
      </w:r>
      <w:r w:rsidR="00E53F24" w:rsidRPr="00532C20">
        <w:rPr>
          <w:rFonts w:ascii="Times New Roman" w:eastAsia="Times New Roman" w:hAnsi="Times New Roman" w:cs="Times New Roman"/>
          <w:noProof/>
          <w:sz w:val="24"/>
          <w:szCs w:val="24"/>
        </w:rPr>
        <w:t xml:space="preserve">, </w:t>
      </w:r>
      <w:r w:rsidR="00E53F24" w:rsidRPr="00532C20">
        <w:rPr>
          <w:rFonts w:ascii="Times New Roman" w:eastAsia="Times New Roman" w:hAnsi="Times New Roman" w:cs="Times New Roman"/>
          <w:noProof/>
          <w:sz w:val="24"/>
          <w:szCs w:val="24"/>
          <w:u w:val="single"/>
        </w:rPr>
        <w:t>a</w:t>
      </w:r>
      <w:r w:rsidR="001E25C0" w:rsidRPr="00532C20">
        <w:rPr>
          <w:rFonts w:ascii="Times New Roman" w:eastAsia="Times New Roman" w:hAnsi="Times New Roman" w:cs="Times New Roman"/>
          <w:noProof/>
          <w:sz w:val="24"/>
          <w:szCs w:val="24"/>
          <w:u w:val="single"/>
        </w:rPr>
        <w:t>ll policy options</w:t>
      </w:r>
      <w:r w:rsidR="00473AE8" w:rsidRPr="00532C20">
        <w:rPr>
          <w:rFonts w:ascii="Times New Roman" w:eastAsia="Times New Roman" w:hAnsi="Times New Roman" w:cs="Times New Roman"/>
          <w:noProof/>
          <w:sz w:val="24"/>
          <w:szCs w:val="24"/>
        </w:rPr>
        <w:t xml:space="preserve"> define </w:t>
      </w:r>
      <w:r w:rsidR="00DE4F93" w:rsidRPr="00532C20">
        <w:rPr>
          <w:rFonts w:ascii="Times New Roman" w:eastAsia="Times New Roman" w:hAnsi="Times New Roman" w:cs="Times New Roman"/>
          <w:noProof/>
          <w:sz w:val="24"/>
          <w:szCs w:val="24"/>
        </w:rPr>
        <w:t xml:space="preserve">interest representation on behalf of third countries </w:t>
      </w:r>
      <w:r w:rsidR="007C27F8" w:rsidRPr="00532C20">
        <w:rPr>
          <w:rFonts w:ascii="Times New Roman" w:eastAsia="Times New Roman" w:hAnsi="Times New Roman" w:cs="Times New Roman"/>
          <w:noProof/>
          <w:sz w:val="24"/>
          <w:szCs w:val="24"/>
        </w:rPr>
        <w:t>in</w:t>
      </w:r>
      <w:r w:rsidR="00DE4F93" w:rsidRPr="00532C20">
        <w:rPr>
          <w:rFonts w:ascii="Times New Roman" w:eastAsia="Times New Roman" w:hAnsi="Times New Roman" w:cs="Times New Roman"/>
          <w:noProof/>
          <w:sz w:val="24"/>
          <w:szCs w:val="24"/>
        </w:rPr>
        <w:t xml:space="preserve"> </w:t>
      </w:r>
      <w:r w:rsidR="00132663" w:rsidRPr="00532C20">
        <w:rPr>
          <w:rFonts w:ascii="Times New Roman" w:eastAsia="Times New Roman" w:hAnsi="Times New Roman" w:cs="Times New Roman"/>
          <w:noProof/>
          <w:sz w:val="24"/>
          <w:szCs w:val="24"/>
        </w:rPr>
        <w:t>very clear</w:t>
      </w:r>
      <w:r w:rsidR="007C27F8" w:rsidRPr="00532C20">
        <w:rPr>
          <w:rFonts w:ascii="Times New Roman" w:eastAsia="Times New Roman" w:hAnsi="Times New Roman" w:cs="Times New Roman"/>
          <w:noProof/>
          <w:sz w:val="24"/>
          <w:szCs w:val="24"/>
        </w:rPr>
        <w:t xml:space="preserve"> terms</w:t>
      </w:r>
      <w:r w:rsidR="00132663" w:rsidRPr="00532C20">
        <w:rPr>
          <w:rFonts w:ascii="Times New Roman" w:eastAsia="Times New Roman" w:hAnsi="Times New Roman" w:cs="Times New Roman"/>
          <w:noProof/>
          <w:sz w:val="24"/>
          <w:szCs w:val="24"/>
        </w:rPr>
        <w:t xml:space="preserve"> </w:t>
      </w:r>
      <w:r w:rsidR="00E50139" w:rsidRPr="00532C20">
        <w:rPr>
          <w:rFonts w:ascii="Times New Roman" w:eastAsia="Times New Roman" w:hAnsi="Times New Roman" w:cs="Times New Roman"/>
          <w:noProof/>
          <w:sz w:val="24"/>
          <w:szCs w:val="24"/>
        </w:rPr>
        <w:t>a</w:t>
      </w:r>
      <w:r w:rsidR="00101625" w:rsidRPr="00532C20">
        <w:rPr>
          <w:rFonts w:ascii="Times New Roman" w:eastAsia="Times New Roman" w:hAnsi="Times New Roman" w:cs="Times New Roman"/>
          <w:noProof/>
          <w:sz w:val="24"/>
          <w:szCs w:val="24"/>
        </w:rPr>
        <w:t>nd</w:t>
      </w:r>
      <w:r w:rsidR="00E50139" w:rsidRPr="00532C20">
        <w:rPr>
          <w:rFonts w:ascii="Times New Roman" w:eastAsia="Times New Roman" w:hAnsi="Times New Roman" w:cs="Times New Roman"/>
          <w:noProof/>
          <w:sz w:val="24"/>
          <w:szCs w:val="24"/>
        </w:rPr>
        <w:t xml:space="preserve"> n</w:t>
      </w:r>
      <w:r w:rsidR="00AA1238" w:rsidRPr="00532C20">
        <w:rPr>
          <w:rFonts w:ascii="Times New Roman" w:eastAsia="Times New Roman" w:hAnsi="Times New Roman" w:cs="Times New Roman"/>
          <w:noProof/>
          <w:sz w:val="24"/>
          <w:szCs w:val="24"/>
        </w:rPr>
        <w:t>one of the</w:t>
      </w:r>
      <w:r w:rsidR="00943F80" w:rsidRPr="00532C20">
        <w:rPr>
          <w:rFonts w:ascii="Times New Roman" w:eastAsia="Times New Roman" w:hAnsi="Times New Roman" w:cs="Times New Roman"/>
          <w:noProof/>
          <w:sz w:val="24"/>
          <w:szCs w:val="24"/>
        </w:rPr>
        <w:t xml:space="preserve"> proposed measures </w:t>
      </w:r>
      <w:r w:rsidR="00AA1238" w:rsidRPr="00532C20">
        <w:rPr>
          <w:rFonts w:ascii="Times New Roman" w:eastAsia="Times New Roman" w:hAnsi="Times New Roman" w:cs="Times New Roman"/>
          <w:noProof/>
          <w:sz w:val="24"/>
          <w:szCs w:val="24"/>
        </w:rPr>
        <w:t>uses</w:t>
      </w:r>
      <w:r w:rsidR="00EA29B4" w:rsidRPr="00532C20">
        <w:rPr>
          <w:rFonts w:ascii="Times New Roman" w:eastAsia="Times New Roman" w:hAnsi="Times New Roman" w:cs="Times New Roman"/>
          <w:noProof/>
          <w:sz w:val="24"/>
          <w:szCs w:val="24"/>
        </w:rPr>
        <w:t xml:space="preserve"> wordings such as </w:t>
      </w:r>
      <w:r w:rsidR="00A30C1B" w:rsidRPr="00532C20">
        <w:rPr>
          <w:rFonts w:ascii="Times New Roman" w:eastAsia="Times New Roman" w:hAnsi="Times New Roman" w:cs="Times New Roman"/>
          <w:noProof/>
          <w:sz w:val="24"/>
          <w:szCs w:val="24"/>
        </w:rPr>
        <w:t>“foreign agent”</w:t>
      </w:r>
      <w:r w:rsidR="00A30C1B" w:rsidRPr="00532C20">
        <w:rPr>
          <w:rStyle w:val="FootnoteReference"/>
          <w:rFonts w:ascii="Times New Roman" w:eastAsia="Times New Roman" w:hAnsi="Times New Roman" w:cs="Times New Roman"/>
          <w:noProof/>
          <w:sz w:val="24"/>
          <w:szCs w:val="24"/>
        </w:rPr>
        <w:footnoteReference w:id="213"/>
      </w:r>
      <w:r w:rsidR="00A30C1B" w:rsidRPr="00532C20">
        <w:rPr>
          <w:rFonts w:ascii="Times New Roman" w:eastAsia="Times New Roman" w:hAnsi="Times New Roman" w:cs="Times New Roman"/>
          <w:noProof/>
          <w:sz w:val="24"/>
          <w:szCs w:val="24"/>
        </w:rPr>
        <w:t xml:space="preserve"> or </w:t>
      </w:r>
      <w:r w:rsidR="00AA1238" w:rsidRPr="00532C20">
        <w:rPr>
          <w:rFonts w:ascii="Times New Roman" w:eastAsia="Times New Roman" w:hAnsi="Times New Roman" w:cs="Times New Roman"/>
          <w:noProof/>
          <w:sz w:val="24"/>
          <w:szCs w:val="24"/>
        </w:rPr>
        <w:t>“foreign principal”</w:t>
      </w:r>
      <w:r w:rsidR="00DF3213" w:rsidRPr="00532C20">
        <w:rPr>
          <w:rStyle w:val="FootnoteReference"/>
          <w:rFonts w:ascii="Times New Roman" w:eastAsia="Times New Roman" w:hAnsi="Times New Roman" w:cs="Times New Roman"/>
          <w:noProof/>
          <w:sz w:val="24"/>
          <w:szCs w:val="24"/>
        </w:rPr>
        <w:footnoteReference w:id="214"/>
      </w:r>
      <w:r w:rsidR="007B18C8" w:rsidRPr="00532C20">
        <w:rPr>
          <w:rFonts w:ascii="Times New Roman" w:eastAsia="Times New Roman" w:hAnsi="Times New Roman" w:cs="Times New Roman"/>
          <w:noProof/>
          <w:sz w:val="24"/>
          <w:szCs w:val="24"/>
        </w:rPr>
        <w:t xml:space="preserve">. </w:t>
      </w:r>
    </w:p>
    <w:p w14:paraId="4BF00A69" w14:textId="0366D5BD" w:rsidR="00951B13" w:rsidRPr="00532C20" w:rsidRDefault="00B8083D" w:rsidP="00AF23A3">
      <w:pPr>
        <w:spacing w:after="120" w:line="240" w:lineRule="auto"/>
        <w:jc w:val="both"/>
        <w:rPr>
          <w:rFonts w:ascii="Times New Roman" w:eastAsia="Times New Roman" w:hAnsi="Times New Roman" w:cs="Times New Roman"/>
          <w:noProof/>
          <w:sz w:val="24"/>
          <w:szCs w:val="24"/>
          <w:u w:val="single"/>
        </w:rPr>
      </w:pPr>
      <w:r w:rsidRPr="00532C20">
        <w:rPr>
          <w:rFonts w:ascii="Times New Roman" w:eastAsia="Times New Roman" w:hAnsi="Times New Roman" w:cs="Times New Roman"/>
          <w:noProof/>
          <w:sz w:val="24"/>
          <w:szCs w:val="24"/>
        </w:rPr>
        <w:t>Providing for criminal</w:t>
      </w:r>
      <w:r w:rsidR="00F4237F" w:rsidRPr="00532C20">
        <w:rPr>
          <w:rFonts w:ascii="Times New Roman" w:eastAsia="Times New Roman" w:hAnsi="Times New Roman" w:cs="Times New Roman"/>
          <w:noProof/>
          <w:sz w:val="24"/>
          <w:szCs w:val="24"/>
        </w:rPr>
        <w:t xml:space="preserve"> penalties</w:t>
      </w:r>
      <w:r w:rsidR="00D038C2" w:rsidRPr="00532C20">
        <w:rPr>
          <w:rFonts w:ascii="Times New Roman" w:eastAsia="Times New Roman" w:hAnsi="Times New Roman" w:cs="Times New Roman"/>
          <w:noProof/>
          <w:sz w:val="24"/>
          <w:szCs w:val="24"/>
        </w:rPr>
        <w:t xml:space="preserve"> </w:t>
      </w:r>
      <w:r w:rsidR="00805845" w:rsidRPr="00532C20">
        <w:rPr>
          <w:rFonts w:ascii="Times New Roman" w:eastAsia="Times New Roman" w:hAnsi="Times New Roman" w:cs="Times New Roman"/>
          <w:noProof/>
          <w:sz w:val="24"/>
          <w:szCs w:val="24"/>
        </w:rPr>
        <w:t>would be dis</w:t>
      </w:r>
      <w:r w:rsidR="004C67F9" w:rsidRPr="00532C20">
        <w:rPr>
          <w:rFonts w:ascii="Times New Roman" w:eastAsia="Times New Roman" w:hAnsi="Times New Roman" w:cs="Times New Roman"/>
          <w:noProof/>
          <w:sz w:val="24"/>
          <w:szCs w:val="24"/>
        </w:rPr>
        <w:t>proportionate</w:t>
      </w:r>
      <w:r w:rsidR="00C42139">
        <w:rPr>
          <w:rFonts w:ascii="Times New Roman" w:eastAsia="Times New Roman" w:hAnsi="Times New Roman" w:cs="Times New Roman"/>
          <w:noProof/>
          <w:sz w:val="24"/>
          <w:szCs w:val="24"/>
        </w:rPr>
        <w:t>,</w:t>
      </w:r>
      <w:r w:rsidR="004C67F9" w:rsidRPr="00532C20">
        <w:rPr>
          <w:rFonts w:ascii="Times New Roman" w:eastAsia="Times New Roman" w:hAnsi="Times New Roman" w:cs="Times New Roman"/>
          <w:noProof/>
          <w:sz w:val="24"/>
          <w:szCs w:val="24"/>
        </w:rPr>
        <w:t xml:space="preserve"> </w:t>
      </w:r>
      <w:r w:rsidR="00BB59F5" w:rsidRPr="00532C20">
        <w:rPr>
          <w:rFonts w:ascii="Times New Roman" w:eastAsia="Times New Roman" w:hAnsi="Times New Roman" w:cs="Times New Roman"/>
          <w:noProof/>
          <w:sz w:val="24"/>
          <w:szCs w:val="24"/>
        </w:rPr>
        <w:t xml:space="preserve">creating an atmosphere of </w:t>
      </w:r>
      <w:r w:rsidR="00E13BD5" w:rsidRPr="00532C20">
        <w:rPr>
          <w:rFonts w:ascii="Times New Roman" w:eastAsia="Times New Roman" w:hAnsi="Times New Roman" w:cs="Times New Roman"/>
          <w:noProof/>
          <w:sz w:val="24"/>
          <w:szCs w:val="24"/>
        </w:rPr>
        <w:t xml:space="preserve">distress for </w:t>
      </w:r>
      <w:r w:rsidR="00D5525A" w:rsidRPr="00532C20">
        <w:rPr>
          <w:rFonts w:ascii="Times New Roman" w:eastAsia="Times New Roman" w:hAnsi="Times New Roman" w:cs="Times New Roman"/>
          <w:noProof/>
          <w:sz w:val="24"/>
          <w:szCs w:val="24"/>
        </w:rPr>
        <w:t>concerned entities</w:t>
      </w:r>
      <w:r w:rsidR="00C42139">
        <w:rPr>
          <w:rFonts w:ascii="Times New Roman" w:eastAsia="Times New Roman" w:hAnsi="Times New Roman" w:cs="Times New Roman"/>
          <w:noProof/>
          <w:sz w:val="24"/>
          <w:szCs w:val="24"/>
        </w:rPr>
        <w:t>.</w:t>
      </w:r>
      <w:r w:rsidR="00D5525A" w:rsidRPr="00532C20">
        <w:rPr>
          <w:rFonts w:ascii="Times New Roman" w:eastAsia="Times New Roman" w:hAnsi="Times New Roman" w:cs="Times New Roman"/>
          <w:noProof/>
          <w:sz w:val="24"/>
          <w:szCs w:val="24"/>
        </w:rPr>
        <w:t xml:space="preserve"> </w:t>
      </w:r>
      <w:r w:rsidR="00D5525A" w:rsidRPr="00DC5C1A">
        <w:rPr>
          <w:rFonts w:ascii="Times New Roman" w:eastAsia="Times New Roman" w:hAnsi="Times New Roman" w:cs="Times New Roman"/>
          <w:noProof/>
          <w:sz w:val="24"/>
          <w:szCs w:val="24"/>
          <w:u w:val="single"/>
        </w:rPr>
        <w:t>PO</w:t>
      </w:r>
      <w:r w:rsidR="000D36EA" w:rsidRPr="00DC5C1A">
        <w:rPr>
          <w:rFonts w:ascii="Times New Roman" w:eastAsia="Times New Roman" w:hAnsi="Times New Roman" w:cs="Times New Roman"/>
          <w:noProof/>
          <w:sz w:val="24"/>
          <w:szCs w:val="24"/>
          <w:u w:val="single"/>
        </w:rPr>
        <w:t>2.</w:t>
      </w:r>
      <w:r w:rsidR="00D47716" w:rsidRPr="00DC5C1A">
        <w:rPr>
          <w:rFonts w:ascii="Times New Roman" w:eastAsia="Times New Roman" w:hAnsi="Times New Roman" w:cs="Times New Roman"/>
          <w:noProof/>
          <w:sz w:val="24"/>
          <w:szCs w:val="24"/>
          <w:u w:val="single"/>
        </w:rPr>
        <w:t>1</w:t>
      </w:r>
      <w:r w:rsidR="000D36EA" w:rsidRPr="00313F32">
        <w:rPr>
          <w:rFonts w:ascii="Times New Roman" w:eastAsia="Times New Roman" w:hAnsi="Times New Roman" w:cs="Times New Roman"/>
          <w:noProof/>
          <w:sz w:val="24"/>
          <w:szCs w:val="24"/>
        </w:rPr>
        <w:t xml:space="preserve"> and </w:t>
      </w:r>
      <w:r w:rsidR="003C3437" w:rsidRPr="00DC5C1A">
        <w:rPr>
          <w:rFonts w:ascii="Times New Roman" w:eastAsia="Times New Roman" w:hAnsi="Times New Roman" w:cs="Times New Roman"/>
          <w:noProof/>
          <w:sz w:val="24"/>
          <w:szCs w:val="24"/>
          <w:u w:val="single"/>
        </w:rPr>
        <w:t>PO2.</w:t>
      </w:r>
      <w:r w:rsidR="00D47716" w:rsidRPr="00DC5C1A">
        <w:rPr>
          <w:rFonts w:ascii="Times New Roman" w:eastAsia="Times New Roman" w:hAnsi="Times New Roman" w:cs="Times New Roman"/>
          <w:noProof/>
          <w:sz w:val="24"/>
          <w:szCs w:val="24"/>
          <w:u w:val="single"/>
        </w:rPr>
        <w:t>2</w:t>
      </w:r>
      <w:r w:rsidR="003C3437" w:rsidRPr="00313F32">
        <w:rPr>
          <w:rFonts w:ascii="Times New Roman" w:eastAsia="Times New Roman" w:hAnsi="Times New Roman" w:cs="Times New Roman"/>
          <w:noProof/>
          <w:sz w:val="24"/>
          <w:szCs w:val="24"/>
        </w:rPr>
        <w:t xml:space="preserve"> </w:t>
      </w:r>
      <w:r w:rsidR="007E586A" w:rsidRPr="00313F32">
        <w:rPr>
          <w:rFonts w:ascii="Times New Roman" w:eastAsia="Times New Roman" w:hAnsi="Times New Roman" w:cs="Times New Roman"/>
          <w:noProof/>
          <w:sz w:val="24"/>
          <w:szCs w:val="24"/>
        </w:rPr>
        <w:t xml:space="preserve">envisage </w:t>
      </w:r>
      <w:r w:rsidR="00356E16" w:rsidRPr="00313F32">
        <w:rPr>
          <w:rFonts w:ascii="Times New Roman" w:eastAsia="Times New Roman" w:hAnsi="Times New Roman" w:cs="Times New Roman"/>
          <w:noProof/>
          <w:sz w:val="24"/>
          <w:szCs w:val="24"/>
        </w:rPr>
        <w:t xml:space="preserve">exclusively </w:t>
      </w:r>
      <w:r w:rsidR="00C67379" w:rsidRPr="00313F32">
        <w:rPr>
          <w:rFonts w:ascii="Times New Roman" w:eastAsia="Times New Roman" w:hAnsi="Times New Roman" w:cs="Times New Roman"/>
          <w:noProof/>
          <w:sz w:val="24"/>
          <w:szCs w:val="24"/>
        </w:rPr>
        <w:t xml:space="preserve">administrative fines </w:t>
      </w:r>
      <w:r w:rsidR="006B6D11" w:rsidRPr="00313F32">
        <w:rPr>
          <w:rFonts w:ascii="Times New Roman" w:eastAsia="Times New Roman" w:hAnsi="Times New Roman" w:cs="Times New Roman"/>
          <w:noProof/>
          <w:sz w:val="24"/>
          <w:szCs w:val="24"/>
        </w:rPr>
        <w:t>for non-compliance with the proposed measures</w:t>
      </w:r>
      <w:r w:rsidR="006B6D11" w:rsidRPr="00532C20">
        <w:rPr>
          <w:rFonts w:ascii="Times New Roman" w:eastAsia="Times New Roman" w:hAnsi="Times New Roman" w:cs="Times New Roman"/>
          <w:noProof/>
          <w:sz w:val="24"/>
          <w:szCs w:val="24"/>
          <w:u w:val="single"/>
        </w:rPr>
        <w:t xml:space="preserve">. </w:t>
      </w:r>
    </w:p>
    <w:p w14:paraId="0EAA9B12" w14:textId="60130F81" w:rsidR="00B23949" w:rsidRPr="00532C20" w:rsidRDefault="00B64F60" w:rsidP="00C6763D">
      <w:pPr>
        <w:spacing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u w:val="single"/>
        </w:rPr>
        <w:t>All policy options</w:t>
      </w:r>
      <w:r w:rsidRPr="00532C20">
        <w:rPr>
          <w:rFonts w:ascii="Times New Roman" w:eastAsia="Times New Roman" w:hAnsi="Times New Roman" w:cs="Times New Roman"/>
          <w:noProof/>
          <w:sz w:val="24"/>
          <w:szCs w:val="24"/>
        </w:rPr>
        <w:t xml:space="preserve"> would provide for </w:t>
      </w:r>
      <w:r w:rsidR="0098536B" w:rsidRPr="00532C20">
        <w:rPr>
          <w:rFonts w:ascii="Times New Roman" w:eastAsia="Times New Roman" w:hAnsi="Times New Roman" w:cs="Times New Roman"/>
          <w:noProof/>
          <w:sz w:val="24"/>
          <w:szCs w:val="24"/>
        </w:rPr>
        <w:t>coherent</w:t>
      </w:r>
      <w:r w:rsidR="00742B58" w:rsidRPr="00532C20">
        <w:rPr>
          <w:rFonts w:ascii="Times New Roman" w:eastAsia="Times New Roman" w:hAnsi="Times New Roman" w:cs="Times New Roman"/>
          <w:noProof/>
          <w:sz w:val="24"/>
          <w:szCs w:val="24"/>
        </w:rPr>
        <w:t xml:space="preserve"> transparency measures for all third countries. As raised by </w:t>
      </w:r>
      <w:r w:rsidR="001932E1" w:rsidRPr="00532C20">
        <w:rPr>
          <w:rFonts w:ascii="Times New Roman" w:eastAsia="Times New Roman" w:hAnsi="Times New Roman" w:cs="Times New Roman"/>
          <w:noProof/>
          <w:sz w:val="24"/>
          <w:szCs w:val="24"/>
        </w:rPr>
        <w:t>3</w:t>
      </w:r>
      <w:r w:rsidR="00742B58" w:rsidRPr="00532C20">
        <w:rPr>
          <w:rFonts w:ascii="Times New Roman" w:eastAsia="Times New Roman" w:hAnsi="Times New Roman" w:cs="Times New Roman"/>
          <w:noProof/>
          <w:sz w:val="24"/>
          <w:szCs w:val="24"/>
        </w:rPr>
        <w:t xml:space="preserve"> M</w:t>
      </w:r>
      <w:r w:rsidR="000738AB" w:rsidRPr="00532C20">
        <w:rPr>
          <w:rFonts w:ascii="Times New Roman" w:eastAsia="Times New Roman" w:hAnsi="Times New Roman" w:cs="Times New Roman"/>
          <w:noProof/>
          <w:sz w:val="24"/>
          <w:szCs w:val="24"/>
        </w:rPr>
        <w:t xml:space="preserve">ember </w:t>
      </w:r>
      <w:r w:rsidR="00742B58" w:rsidRPr="00532C20">
        <w:rPr>
          <w:rFonts w:ascii="Times New Roman" w:eastAsia="Times New Roman" w:hAnsi="Times New Roman" w:cs="Times New Roman"/>
          <w:noProof/>
          <w:sz w:val="24"/>
          <w:szCs w:val="24"/>
        </w:rPr>
        <w:t>S</w:t>
      </w:r>
      <w:r w:rsidR="000738AB" w:rsidRPr="00532C20">
        <w:rPr>
          <w:rFonts w:ascii="Times New Roman" w:eastAsia="Times New Roman" w:hAnsi="Times New Roman" w:cs="Times New Roman"/>
          <w:noProof/>
          <w:sz w:val="24"/>
          <w:szCs w:val="24"/>
        </w:rPr>
        <w:t>tates</w:t>
      </w:r>
      <w:r w:rsidR="00742B58" w:rsidRPr="00532C20">
        <w:rPr>
          <w:rFonts w:ascii="Times New Roman" w:eastAsia="Times New Roman" w:hAnsi="Times New Roman" w:cs="Times New Roman"/>
          <w:noProof/>
          <w:sz w:val="24"/>
          <w:szCs w:val="24"/>
        </w:rPr>
        <w:t xml:space="preserve"> </w:t>
      </w:r>
      <w:r w:rsidR="00F3185C" w:rsidRPr="00532C20">
        <w:rPr>
          <w:rFonts w:ascii="Times New Roman" w:eastAsia="Times New Roman" w:hAnsi="Times New Roman" w:cs="Times New Roman"/>
          <w:noProof/>
          <w:sz w:val="24"/>
          <w:szCs w:val="24"/>
        </w:rPr>
        <w:t xml:space="preserve">(out of 15) </w:t>
      </w:r>
      <w:r w:rsidR="00742B58" w:rsidRPr="00532C20">
        <w:rPr>
          <w:rFonts w:ascii="Times New Roman" w:eastAsia="Times New Roman" w:hAnsi="Times New Roman" w:cs="Times New Roman"/>
          <w:noProof/>
          <w:sz w:val="24"/>
          <w:szCs w:val="24"/>
        </w:rPr>
        <w:t xml:space="preserve">in the </w:t>
      </w:r>
      <w:r w:rsidR="00F3185C" w:rsidRPr="00532C20">
        <w:rPr>
          <w:rFonts w:ascii="Times New Roman" w:eastAsia="Times New Roman" w:hAnsi="Times New Roman" w:cs="Times New Roman"/>
          <w:noProof/>
          <w:sz w:val="24"/>
          <w:szCs w:val="24"/>
        </w:rPr>
        <w:t xml:space="preserve">targeted </w:t>
      </w:r>
      <w:r w:rsidR="00742B58" w:rsidRPr="00532C20">
        <w:rPr>
          <w:rFonts w:ascii="Times New Roman" w:eastAsia="Times New Roman" w:hAnsi="Times New Roman" w:cs="Times New Roman"/>
          <w:noProof/>
          <w:sz w:val="24"/>
          <w:szCs w:val="24"/>
        </w:rPr>
        <w:t>consultation, a targeted approach towards only some third countries would be more likely to lead to retaliatory measures or create diplomatic tensions</w:t>
      </w:r>
      <w:r w:rsidR="00B23949" w:rsidRPr="00532C20">
        <w:rPr>
          <w:rStyle w:val="FootnoteReference"/>
          <w:rFonts w:ascii="Times New Roman" w:eastAsia="Times New Roman" w:hAnsi="Times New Roman" w:cs="Times New Roman"/>
          <w:noProof/>
          <w:sz w:val="24"/>
          <w:szCs w:val="24"/>
        </w:rPr>
        <w:footnoteReference w:id="215"/>
      </w:r>
      <w:r w:rsidR="00742B58" w:rsidRPr="00532C20">
        <w:rPr>
          <w:rFonts w:ascii="Times New Roman" w:eastAsia="Times New Roman" w:hAnsi="Times New Roman" w:cs="Times New Roman"/>
          <w:noProof/>
          <w:sz w:val="24"/>
          <w:szCs w:val="24"/>
        </w:rPr>
        <w:t>.</w:t>
      </w:r>
      <w:r w:rsidR="009605FD" w:rsidRPr="00532C20">
        <w:rPr>
          <w:rFonts w:ascii="Times New Roman" w:eastAsia="Times New Roman" w:hAnsi="Times New Roman" w:cs="Times New Roman"/>
          <w:noProof/>
          <w:sz w:val="24"/>
          <w:szCs w:val="24"/>
        </w:rPr>
        <w:t xml:space="preserve"> The </w:t>
      </w:r>
      <w:r w:rsidR="009605FD" w:rsidRPr="00532C20">
        <w:rPr>
          <w:rFonts w:ascii="Times New Roman" w:eastAsia="Times New Roman" w:hAnsi="Times New Roman" w:cs="Times New Roman"/>
          <w:i/>
          <w:iCs/>
          <w:noProof/>
          <w:sz w:val="24"/>
          <w:szCs w:val="24"/>
        </w:rPr>
        <w:t>risk-based approach</w:t>
      </w:r>
      <w:r w:rsidR="009605FD" w:rsidRPr="00532C20">
        <w:rPr>
          <w:rFonts w:ascii="Times New Roman" w:eastAsia="Times New Roman" w:hAnsi="Times New Roman" w:cs="Times New Roman"/>
          <w:noProof/>
          <w:sz w:val="24"/>
          <w:szCs w:val="24"/>
        </w:rPr>
        <w:t xml:space="preserve"> as proposed </w:t>
      </w:r>
      <w:r w:rsidR="00D33CE0">
        <w:rPr>
          <w:rFonts w:ascii="Times New Roman" w:eastAsia="Times New Roman" w:hAnsi="Times New Roman" w:cs="Times New Roman"/>
          <w:noProof/>
          <w:sz w:val="24"/>
          <w:szCs w:val="24"/>
        </w:rPr>
        <w:t xml:space="preserve">in </w:t>
      </w:r>
      <w:r w:rsidR="009605FD" w:rsidRPr="00532C20">
        <w:rPr>
          <w:rFonts w:ascii="Times New Roman" w:eastAsia="Times New Roman" w:hAnsi="Times New Roman" w:cs="Times New Roman"/>
          <w:noProof/>
          <w:sz w:val="24"/>
          <w:szCs w:val="24"/>
        </w:rPr>
        <w:t>the legislative policy options (</w:t>
      </w:r>
      <w:r w:rsidR="009605FD" w:rsidRPr="00313F32">
        <w:rPr>
          <w:rFonts w:ascii="Times New Roman" w:eastAsia="Times New Roman" w:hAnsi="Times New Roman" w:cs="Times New Roman"/>
          <w:noProof/>
          <w:sz w:val="24"/>
          <w:szCs w:val="24"/>
          <w:u w:val="single"/>
        </w:rPr>
        <w:t>PO2.</w:t>
      </w:r>
      <w:r w:rsidR="0092741B" w:rsidRPr="00313F32">
        <w:rPr>
          <w:rFonts w:ascii="Times New Roman" w:eastAsia="Times New Roman" w:hAnsi="Times New Roman" w:cs="Times New Roman"/>
          <w:noProof/>
          <w:sz w:val="24"/>
          <w:szCs w:val="24"/>
          <w:u w:val="single"/>
        </w:rPr>
        <w:t>1</w:t>
      </w:r>
      <w:r w:rsidR="009605FD" w:rsidRPr="00532C20">
        <w:rPr>
          <w:rFonts w:ascii="Times New Roman" w:eastAsia="Times New Roman" w:hAnsi="Times New Roman" w:cs="Times New Roman"/>
          <w:noProof/>
          <w:sz w:val="24"/>
          <w:szCs w:val="24"/>
        </w:rPr>
        <w:t xml:space="preserve"> and </w:t>
      </w:r>
      <w:r w:rsidR="009605FD" w:rsidRPr="00313F32">
        <w:rPr>
          <w:rFonts w:ascii="Times New Roman" w:eastAsia="Times New Roman" w:hAnsi="Times New Roman" w:cs="Times New Roman"/>
          <w:noProof/>
          <w:sz w:val="24"/>
          <w:szCs w:val="24"/>
          <w:u w:val="single"/>
        </w:rPr>
        <w:t>PO2.</w:t>
      </w:r>
      <w:r w:rsidR="0092741B" w:rsidRPr="00313F32">
        <w:rPr>
          <w:rFonts w:ascii="Times New Roman" w:eastAsia="Times New Roman" w:hAnsi="Times New Roman" w:cs="Times New Roman"/>
          <w:noProof/>
          <w:sz w:val="24"/>
          <w:szCs w:val="24"/>
          <w:u w:val="single"/>
        </w:rPr>
        <w:t>2</w:t>
      </w:r>
      <w:r w:rsidR="009605FD" w:rsidRPr="00532C20">
        <w:rPr>
          <w:rFonts w:ascii="Times New Roman" w:eastAsia="Times New Roman" w:hAnsi="Times New Roman" w:cs="Times New Roman"/>
          <w:noProof/>
          <w:sz w:val="24"/>
          <w:szCs w:val="24"/>
        </w:rPr>
        <w:t xml:space="preserve">) is based on </w:t>
      </w:r>
      <w:r w:rsidR="00310666" w:rsidRPr="00532C20">
        <w:rPr>
          <w:rFonts w:ascii="Times New Roman" w:eastAsia="Times New Roman" w:hAnsi="Times New Roman" w:cs="Times New Roman"/>
          <w:noProof/>
          <w:sz w:val="24"/>
          <w:szCs w:val="24"/>
        </w:rPr>
        <w:t>an</w:t>
      </w:r>
      <w:r w:rsidR="009605FD" w:rsidRPr="00532C20">
        <w:rPr>
          <w:rFonts w:ascii="Times New Roman" w:eastAsia="Times New Roman" w:hAnsi="Times New Roman" w:cs="Times New Roman"/>
          <w:noProof/>
          <w:sz w:val="24"/>
          <w:szCs w:val="24"/>
        </w:rPr>
        <w:t xml:space="preserve"> </w:t>
      </w:r>
      <w:r w:rsidR="008F1500" w:rsidRPr="00532C20">
        <w:rPr>
          <w:rFonts w:ascii="Times New Roman" w:eastAsia="Times New Roman" w:hAnsi="Times New Roman" w:cs="Times New Roman"/>
          <w:noProof/>
          <w:sz w:val="24"/>
          <w:szCs w:val="24"/>
        </w:rPr>
        <w:t xml:space="preserve">objective set of indicators and would not </w:t>
      </w:r>
      <w:r w:rsidR="001229A5" w:rsidRPr="00532C20">
        <w:rPr>
          <w:rFonts w:ascii="Times New Roman" w:eastAsia="Times New Roman" w:hAnsi="Times New Roman" w:cs="Times New Roman"/>
          <w:noProof/>
          <w:sz w:val="24"/>
          <w:szCs w:val="24"/>
        </w:rPr>
        <w:t>be</w:t>
      </w:r>
      <w:r w:rsidR="008F1500" w:rsidRPr="00532C20">
        <w:rPr>
          <w:rFonts w:ascii="Times New Roman" w:eastAsia="Times New Roman" w:hAnsi="Times New Roman" w:cs="Times New Roman"/>
          <w:noProof/>
          <w:sz w:val="24"/>
          <w:szCs w:val="24"/>
        </w:rPr>
        <w:t xml:space="preserve"> arbitrarily singling out one or several countries</w:t>
      </w:r>
      <w:r w:rsidR="004A4EE0">
        <w:rPr>
          <w:rFonts w:ascii="Times New Roman" w:eastAsia="Times New Roman" w:hAnsi="Times New Roman" w:cs="Times New Roman"/>
          <w:noProof/>
          <w:sz w:val="24"/>
          <w:szCs w:val="24"/>
        </w:rPr>
        <w:t>.</w:t>
      </w:r>
      <w:r w:rsidR="00310666" w:rsidRPr="00532C20">
        <w:rPr>
          <w:rFonts w:ascii="Times New Roman" w:eastAsia="Times New Roman" w:hAnsi="Times New Roman" w:cs="Times New Roman"/>
          <w:noProof/>
          <w:sz w:val="24"/>
          <w:szCs w:val="24"/>
        </w:rPr>
        <w:t xml:space="preserve"> </w:t>
      </w:r>
      <w:r w:rsidR="004A4EE0">
        <w:rPr>
          <w:rFonts w:ascii="Times New Roman" w:eastAsia="Times New Roman" w:hAnsi="Times New Roman" w:cs="Times New Roman"/>
          <w:noProof/>
          <w:sz w:val="24"/>
          <w:szCs w:val="24"/>
        </w:rPr>
        <w:t>T</w:t>
      </w:r>
      <w:r w:rsidR="00310666" w:rsidRPr="00532C20">
        <w:rPr>
          <w:rFonts w:ascii="Times New Roman" w:eastAsia="Times New Roman" w:hAnsi="Times New Roman" w:cs="Times New Roman"/>
          <w:noProof/>
          <w:sz w:val="24"/>
          <w:szCs w:val="24"/>
        </w:rPr>
        <w:t>he risk of retaliatory measures would thus be limited.</w:t>
      </w:r>
    </w:p>
    <w:p w14:paraId="319E1E2D" w14:textId="7D528EBC" w:rsidR="005D3D4D" w:rsidRPr="00532C20" w:rsidRDefault="00CA0217" w:rsidP="00C6763D">
      <w:pPr>
        <w:spacing w:after="120" w:line="240" w:lineRule="auto"/>
        <w:jc w:val="both"/>
        <w:rPr>
          <w:rFonts w:ascii="Times New Roman" w:eastAsia="Times New Roman" w:hAnsi="Times New Roman" w:cs="Times New Roman"/>
          <w:b/>
          <w:bCs/>
          <w:noProof/>
          <w:sz w:val="24"/>
          <w:szCs w:val="24"/>
        </w:rPr>
      </w:pPr>
      <w:r w:rsidRPr="00532C20">
        <w:rPr>
          <w:rFonts w:ascii="Times New Roman" w:eastAsia="Times New Roman" w:hAnsi="Times New Roman" w:cs="Times New Roman"/>
          <w:noProof/>
          <w:sz w:val="24"/>
          <w:szCs w:val="24"/>
        </w:rPr>
        <w:t xml:space="preserve">Due to the non-binding nature of the policy recommendations set out in </w:t>
      </w:r>
      <w:r w:rsidR="00386606" w:rsidRPr="00532C20">
        <w:rPr>
          <w:rFonts w:ascii="Times New Roman" w:eastAsia="Times New Roman" w:hAnsi="Times New Roman" w:cs="Times New Roman"/>
          <w:noProof/>
          <w:sz w:val="24"/>
          <w:szCs w:val="24"/>
          <w:u w:val="single"/>
        </w:rPr>
        <w:t>PO</w:t>
      </w:r>
      <w:r w:rsidRPr="00532C20">
        <w:rPr>
          <w:rFonts w:ascii="Times New Roman" w:eastAsia="Times New Roman" w:hAnsi="Times New Roman" w:cs="Times New Roman"/>
          <w:noProof/>
          <w:sz w:val="24"/>
          <w:szCs w:val="24"/>
          <w:u w:val="single"/>
        </w:rPr>
        <w:t>1</w:t>
      </w:r>
      <w:r w:rsidR="00543FD3" w:rsidRPr="00532C20">
        <w:rPr>
          <w:rFonts w:ascii="Times New Roman" w:eastAsia="Times New Roman" w:hAnsi="Times New Roman" w:cs="Times New Roman"/>
          <w:noProof/>
          <w:sz w:val="24"/>
          <w:szCs w:val="24"/>
        </w:rPr>
        <w:t>, their</w:t>
      </w:r>
      <w:r w:rsidRPr="00532C20">
        <w:rPr>
          <w:rFonts w:ascii="Times New Roman" w:eastAsia="Times New Roman" w:hAnsi="Times New Roman" w:cs="Times New Roman"/>
          <w:noProof/>
          <w:sz w:val="24"/>
          <w:szCs w:val="24"/>
        </w:rPr>
        <w:t xml:space="preserve"> geopolitical impacts would </w:t>
      </w:r>
      <w:r w:rsidR="00C365C7" w:rsidRPr="00532C20">
        <w:rPr>
          <w:rFonts w:ascii="Times New Roman" w:eastAsia="Times New Roman" w:hAnsi="Times New Roman" w:cs="Times New Roman"/>
          <w:noProof/>
          <w:sz w:val="24"/>
          <w:szCs w:val="24"/>
        </w:rPr>
        <w:t>depend on</w:t>
      </w:r>
      <w:r w:rsidRPr="00532C20">
        <w:rPr>
          <w:rFonts w:ascii="Times New Roman" w:eastAsia="Times New Roman" w:hAnsi="Times New Roman" w:cs="Times New Roman"/>
          <w:noProof/>
          <w:sz w:val="24"/>
          <w:szCs w:val="24"/>
        </w:rPr>
        <w:t xml:space="preserve"> </w:t>
      </w:r>
      <w:r w:rsidR="00543FD3" w:rsidRPr="00532C20">
        <w:rPr>
          <w:rFonts w:ascii="Times New Roman" w:eastAsia="Times New Roman" w:hAnsi="Times New Roman" w:cs="Times New Roman"/>
          <w:noProof/>
          <w:sz w:val="24"/>
          <w:szCs w:val="24"/>
        </w:rPr>
        <w:t xml:space="preserve">their implementation by Member States. Such a recommendation could potentially have a beneficial geopolitical impact as it would clarify the EU standard in this area, and it would prevent it from being used as a </w:t>
      </w:r>
      <w:r w:rsidR="00543FD3" w:rsidRPr="00532C20">
        <w:rPr>
          <w:rFonts w:ascii="Times New Roman" w:eastAsia="Times New Roman" w:hAnsi="Times New Roman" w:cs="Times New Roman"/>
          <w:i/>
          <w:iCs/>
          <w:noProof/>
          <w:sz w:val="24"/>
          <w:szCs w:val="24"/>
        </w:rPr>
        <w:t>carte blanche</w:t>
      </w:r>
      <w:r w:rsidR="00543FD3" w:rsidRPr="00532C20">
        <w:rPr>
          <w:rFonts w:ascii="Times New Roman" w:eastAsia="Times New Roman" w:hAnsi="Times New Roman" w:cs="Times New Roman"/>
          <w:noProof/>
          <w:sz w:val="24"/>
          <w:szCs w:val="24"/>
        </w:rPr>
        <w:t xml:space="preserve"> by certain third countries to introduce legislation not in line with international human rights law and standards. </w:t>
      </w:r>
      <w:r w:rsidR="00F34CDC" w:rsidRPr="00532C20">
        <w:rPr>
          <w:rFonts w:ascii="Times New Roman" w:eastAsia="Times New Roman" w:hAnsi="Times New Roman" w:cs="Times New Roman"/>
          <w:noProof/>
          <w:sz w:val="24"/>
          <w:szCs w:val="24"/>
        </w:rPr>
        <w:t>In comparison, the current fragmented approach by Member States is more likely to be damaging to the EU’s reputation as it lacks  consisten</w:t>
      </w:r>
      <w:r w:rsidR="0029170E">
        <w:rPr>
          <w:rFonts w:ascii="Times New Roman" w:eastAsia="Times New Roman" w:hAnsi="Times New Roman" w:cs="Times New Roman"/>
          <w:noProof/>
          <w:sz w:val="24"/>
          <w:szCs w:val="24"/>
        </w:rPr>
        <w:t>cy</w:t>
      </w:r>
      <w:r w:rsidR="00F34CDC" w:rsidRPr="00532C20">
        <w:rPr>
          <w:rFonts w:ascii="Times New Roman" w:eastAsia="Times New Roman" w:hAnsi="Times New Roman" w:cs="Times New Roman"/>
          <w:noProof/>
          <w:sz w:val="24"/>
          <w:szCs w:val="24"/>
        </w:rPr>
        <w:t xml:space="preserve"> and coheren</w:t>
      </w:r>
      <w:r w:rsidR="0029170E">
        <w:rPr>
          <w:rFonts w:ascii="Times New Roman" w:eastAsia="Times New Roman" w:hAnsi="Times New Roman" w:cs="Times New Roman"/>
          <w:noProof/>
          <w:sz w:val="24"/>
          <w:szCs w:val="24"/>
        </w:rPr>
        <w:t>ce</w:t>
      </w:r>
      <w:r w:rsidR="00F34CDC" w:rsidRPr="00532C20">
        <w:rPr>
          <w:rFonts w:ascii="Times New Roman" w:eastAsia="Times New Roman" w:hAnsi="Times New Roman" w:cs="Times New Roman"/>
          <w:noProof/>
          <w:sz w:val="24"/>
          <w:szCs w:val="24"/>
        </w:rPr>
        <w:t>.</w:t>
      </w:r>
    </w:p>
    <w:p w14:paraId="39D59FEF" w14:textId="633ABB4E" w:rsidR="009F62FB" w:rsidRPr="00532C20" w:rsidRDefault="00CA0217" w:rsidP="00C6763D">
      <w:pPr>
        <w:spacing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The geopolitical impact of </w:t>
      </w:r>
      <w:r w:rsidR="0029170E">
        <w:rPr>
          <w:rFonts w:ascii="Times New Roman" w:eastAsia="Times New Roman" w:hAnsi="Times New Roman" w:cs="Times New Roman"/>
          <w:noProof/>
          <w:sz w:val="24"/>
          <w:szCs w:val="24"/>
        </w:rPr>
        <w:t xml:space="preserve">the </w:t>
      </w:r>
      <w:r w:rsidR="00E37AC5" w:rsidRPr="00532C20">
        <w:rPr>
          <w:rFonts w:ascii="Times New Roman" w:eastAsia="Times New Roman" w:hAnsi="Times New Roman" w:cs="Times New Roman"/>
          <w:noProof/>
          <w:sz w:val="24"/>
          <w:szCs w:val="24"/>
          <w:u w:val="single"/>
        </w:rPr>
        <w:t xml:space="preserve">targeted requirements in </w:t>
      </w:r>
      <w:r w:rsidR="007159F3" w:rsidRPr="00532C20">
        <w:rPr>
          <w:rFonts w:ascii="Times New Roman" w:eastAsia="Times New Roman" w:hAnsi="Times New Roman" w:cs="Times New Roman"/>
          <w:noProof/>
          <w:sz w:val="24"/>
          <w:szCs w:val="24"/>
          <w:u w:val="single"/>
        </w:rPr>
        <w:t>PO2.</w:t>
      </w:r>
      <w:r w:rsidR="0092741B" w:rsidRPr="00532C20">
        <w:rPr>
          <w:rFonts w:ascii="Times New Roman" w:eastAsia="Times New Roman" w:hAnsi="Times New Roman" w:cs="Times New Roman"/>
          <w:noProof/>
          <w:sz w:val="24"/>
          <w:szCs w:val="24"/>
          <w:u w:val="single"/>
        </w:rPr>
        <w:t>1</w:t>
      </w:r>
      <w:r w:rsidRPr="00532C20">
        <w:rPr>
          <w:rFonts w:ascii="Times New Roman" w:eastAsia="Times New Roman" w:hAnsi="Times New Roman" w:cs="Times New Roman"/>
          <w:noProof/>
          <w:sz w:val="24"/>
          <w:szCs w:val="24"/>
        </w:rPr>
        <w:t xml:space="preserve"> </w:t>
      </w:r>
      <w:r w:rsidR="007D5F46">
        <w:rPr>
          <w:rFonts w:ascii="Times New Roman" w:eastAsia="Times New Roman" w:hAnsi="Times New Roman" w:cs="Times New Roman"/>
          <w:noProof/>
          <w:sz w:val="24"/>
          <w:szCs w:val="24"/>
        </w:rPr>
        <w:t>is</w:t>
      </w:r>
      <w:r w:rsidR="007D5F46" w:rsidRPr="00532C20">
        <w:rPr>
          <w:rFonts w:ascii="Times New Roman" w:eastAsia="Times New Roman" w:hAnsi="Times New Roman" w:cs="Times New Roman"/>
          <w:noProof/>
          <w:sz w:val="24"/>
          <w:szCs w:val="24"/>
        </w:rPr>
        <w:t xml:space="preserve"> </w:t>
      </w:r>
      <w:r w:rsidRPr="00532C20">
        <w:rPr>
          <w:rFonts w:ascii="Times New Roman" w:eastAsia="Times New Roman" w:hAnsi="Times New Roman" w:cs="Times New Roman"/>
          <w:noProof/>
          <w:sz w:val="24"/>
          <w:szCs w:val="24"/>
        </w:rPr>
        <w:t>likely to b</w:t>
      </w:r>
      <w:r w:rsidR="003033F7" w:rsidRPr="00532C20">
        <w:rPr>
          <w:rFonts w:ascii="Times New Roman" w:eastAsia="Times New Roman" w:hAnsi="Times New Roman" w:cs="Times New Roman"/>
          <w:noProof/>
          <w:sz w:val="24"/>
          <w:szCs w:val="24"/>
        </w:rPr>
        <w:t xml:space="preserve">e more important compared to </w:t>
      </w:r>
      <w:r w:rsidR="000738AB" w:rsidRPr="00532C20">
        <w:rPr>
          <w:rFonts w:ascii="Times New Roman" w:eastAsia="Times New Roman" w:hAnsi="Times New Roman" w:cs="Times New Roman"/>
          <w:noProof/>
          <w:sz w:val="24"/>
          <w:szCs w:val="24"/>
        </w:rPr>
        <w:t>PO</w:t>
      </w:r>
      <w:r w:rsidR="003033F7" w:rsidRPr="00532C20">
        <w:rPr>
          <w:rFonts w:ascii="Times New Roman" w:eastAsia="Times New Roman" w:hAnsi="Times New Roman" w:cs="Times New Roman"/>
          <w:noProof/>
          <w:sz w:val="24"/>
          <w:szCs w:val="24"/>
        </w:rPr>
        <w:t xml:space="preserve">1, as </w:t>
      </w:r>
      <w:r w:rsidR="0061267A" w:rsidRPr="00532C20">
        <w:rPr>
          <w:rFonts w:ascii="Times New Roman" w:eastAsia="Times New Roman" w:hAnsi="Times New Roman" w:cs="Times New Roman"/>
          <w:noProof/>
          <w:sz w:val="24"/>
          <w:szCs w:val="24"/>
        </w:rPr>
        <w:t>a</w:t>
      </w:r>
      <w:r w:rsidR="00AD4EC5" w:rsidRPr="00532C20">
        <w:rPr>
          <w:rFonts w:ascii="Times New Roman" w:eastAsia="Times New Roman" w:hAnsi="Times New Roman" w:cs="Times New Roman"/>
          <w:noProof/>
          <w:sz w:val="24"/>
          <w:szCs w:val="24"/>
        </w:rPr>
        <w:t xml:space="preserve"> </w:t>
      </w:r>
      <w:r w:rsidR="007F5590" w:rsidRPr="00532C20">
        <w:rPr>
          <w:rFonts w:ascii="Times New Roman" w:eastAsia="Times New Roman" w:hAnsi="Times New Roman" w:cs="Times New Roman"/>
          <w:noProof/>
          <w:sz w:val="24"/>
          <w:szCs w:val="24"/>
        </w:rPr>
        <w:t>coordinated</w:t>
      </w:r>
      <w:r w:rsidR="0061267A" w:rsidRPr="00532C20">
        <w:rPr>
          <w:rFonts w:ascii="Times New Roman" w:eastAsia="Times New Roman" w:hAnsi="Times New Roman" w:cs="Times New Roman"/>
          <w:noProof/>
          <w:sz w:val="24"/>
          <w:szCs w:val="24"/>
        </w:rPr>
        <w:t xml:space="preserve"> legislative proposal would have </w:t>
      </w:r>
      <w:r w:rsidR="00AD4EC5" w:rsidRPr="00532C20">
        <w:rPr>
          <w:rFonts w:ascii="Times New Roman" w:eastAsia="Times New Roman" w:hAnsi="Times New Roman" w:cs="Times New Roman"/>
          <w:noProof/>
          <w:sz w:val="24"/>
          <w:szCs w:val="24"/>
        </w:rPr>
        <w:t>greater geopolitical visibility</w:t>
      </w:r>
      <w:r w:rsidR="002C49B0" w:rsidRPr="00532C20">
        <w:rPr>
          <w:rFonts w:ascii="Times New Roman" w:eastAsia="Times New Roman" w:hAnsi="Times New Roman" w:cs="Times New Roman"/>
          <w:noProof/>
          <w:sz w:val="24"/>
          <w:szCs w:val="24"/>
        </w:rPr>
        <w:t>. C</w:t>
      </w:r>
      <w:r w:rsidR="00D953D3" w:rsidRPr="00532C20">
        <w:rPr>
          <w:rFonts w:ascii="Times New Roman" w:eastAsia="Times New Roman" w:hAnsi="Times New Roman" w:cs="Times New Roman"/>
          <w:noProof/>
          <w:sz w:val="24"/>
          <w:szCs w:val="24"/>
        </w:rPr>
        <w:t>ompared to the non-legislative option</w:t>
      </w:r>
      <w:r w:rsidR="00D821B6" w:rsidRPr="00532C20">
        <w:rPr>
          <w:rFonts w:ascii="Times New Roman" w:eastAsia="Times New Roman" w:hAnsi="Times New Roman" w:cs="Times New Roman"/>
          <w:noProof/>
          <w:sz w:val="24"/>
          <w:szCs w:val="24"/>
        </w:rPr>
        <w:t xml:space="preserve">, </w:t>
      </w:r>
      <w:r w:rsidR="006914C5" w:rsidRPr="00532C20">
        <w:rPr>
          <w:rFonts w:ascii="Times New Roman" w:eastAsia="Times New Roman" w:hAnsi="Times New Roman" w:cs="Times New Roman"/>
          <w:noProof/>
          <w:sz w:val="24"/>
          <w:szCs w:val="24"/>
        </w:rPr>
        <w:t>this</w:t>
      </w:r>
      <w:r w:rsidR="00386606" w:rsidRPr="00532C20">
        <w:rPr>
          <w:rFonts w:ascii="Times New Roman" w:eastAsia="Times New Roman" w:hAnsi="Times New Roman" w:cs="Times New Roman"/>
          <w:noProof/>
          <w:sz w:val="24"/>
          <w:szCs w:val="24"/>
        </w:rPr>
        <w:t xml:space="preserve"> PO </w:t>
      </w:r>
      <w:r w:rsidR="005441F4" w:rsidRPr="00532C20">
        <w:rPr>
          <w:rFonts w:ascii="Times New Roman" w:eastAsia="Times New Roman" w:hAnsi="Times New Roman" w:cs="Times New Roman"/>
          <w:noProof/>
          <w:sz w:val="24"/>
          <w:szCs w:val="24"/>
        </w:rPr>
        <w:t xml:space="preserve">further limits </w:t>
      </w:r>
      <w:r w:rsidR="005957C0" w:rsidRPr="00532C20">
        <w:rPr>
          <w:rFonts w:ascii="Times New Roman" w:eastAsia="Times New Roman" w:hAnsi="Times New Roman" w:cs="Times New Roman"/>
          <w:noProof/>
          <w:sz w:val="24"/>
          <w:szCs w:val="24"/>
        </w:rPr>
        <w:t>the risk of</w:t>
      </w:r>
      <w:r w:rsidR="005441F4" w:rsidRPr="00532C20">
        <w:rPr>
          <w:rFonts w:ascii="Times New Roman" w:eastAsia="Times New Roman" w:hAnsi="Times New Roman" w:cs="Times New Roman"/>
          <w:noProof/>
          <w:sz w:val="24"/>
          <w:szCs w:val="24"/>
        </w:rPr>
        <w:t xml:space="preserve"> </w:t>
      </w:r>
      <w:r w:rsidR="00BF02D3" w:rsidRPr="00532C20">
        <w:rPr>
          <w:rFonts w:ascii="Times New Roman" w:eastAsia="Times New Roman" w:hAnsi="Times New Roman" w:cs="Times New Roman"/>
          <w:noProof/>
          <w:sz w:val="24"/>
          <w:szCs w:val="24"/>
        </w:rPr>
        <w:t>gold-plating</w:t>
      </w:r>
      <w:r w:rsidR="005441F4" w:rsidRPr="00532C20">
        <w:rPr>
          <w:rFonts w:ascii="Times New Roman" w:eastAsia="Times New Roman" w:hAnsi="Times New Roman" w:cs="Times New Roman"/>
          <w:noProof/>
          <w:sz w:val="24"/>
          <w:szCs w:val="24"/>
        </w:rPr>
        <w:t xml:space="preserve"> by </w:t>
      </w:r>
      <w:r w:rsidR="001F399A" w:rsidRPr="00532C20">
        <w:rPr>
          <w:rFonts w:ascii="Times New Roman" w:eastAsia="Times New Roman" w:hAnsi="Times New Roman" w:cs="Times New Roman"/>
          <w:noProof/>
          <w:sz w:val="24"/>
          <w:szCs w:val="24"/>
        </w:rPr>
        <w:t>introduc</w:t>
      </w:r>
      <w:r w:rsidR="003613C1" w:rsidRPr="00532C20">
        <w:rPr>
          <w:rFonts w:ascii="Times New Roman" w:eastAsia="Times New Roman" w:hAnsi="Times New Roman" w:cs="Times New Roman"/>
          <w:noProof/>
          <w:sz w:val="24"/>
          <w:szCs w:val="24"/>
        </w:rPr>
        <w:t>ing</w:t>
      </w:r>
      <w:r w:rsidR="00D33CE0">
        <w:rPr>
          <w:rFonts w:ascii="Times New Roman" w:eastAsia="Times New Roman" w:hAnsi="Times New Roman" w:cs="Times New Roman"/>
          <w:noProof/>
          <w:sz w:val="24"/>
          <w:szCs w:val="24"/>
        </w:rPr>
        <w:t xml:space="preserve"> fully</w:t>
      </w:r>
      <w:r w:rsidR="006914C5" w:rsidRPr="00532C20">
        <w:rPr>
          <w:rFonts w:ascii="Times New Roman" w:eastAsia="Times New Roman" w:hAnsi="Times New Roman" w:cs="Times New Roman"/>
          <w:noProof/>
          <w:sz w:val="24"/>
          <w:szCs w:val="24"/>
        </w:rPr>
        <w:t xml:space="preserve"> </w:t>
      </w:r>
      <w:r w:rsidR="009C4A01" w:rsidRPr="00532C20">
        <w:rPr>
          <w:rFonts w:ascii="Times New Roman" w:eastAsia="Times New Roman" w:hAnsi="Times New Roman" w:cs="Times New Roman"/>
          <w:noProof/>
          <w:sz w:val="24"/>
          <w:szCs w:val="24"/>
        </w:rPr>
        <w:t xml:space="preserve">harmonised </w:t>
      </w:r>
      <w:r w:rsidR="008F7A4B" w:rsidRPr="00532C20">
        <w:rPr>
          <w:rFonts w:ascii="Times New Roman" w:eastAsia="Times New Roman" w:hAnsi="Times New Roman" w:cs="Times New Roman"/>
          <w:noProof/>
          <w:sz w:val="24"/>
          <w:szCs w:val="24"/>
        </w:rPr>
        <w:t>measures and</w:t>
      </w:r>
      <w:r w:rsidR="000333EF" w:rsidRPr="00532C20">
        <w:rPr>
          <w:rFonts w:ascii="Times New Roman" w:eastAsia="Times New Roman" w:hAnsi="Times New Roman" w:cs="Times New Roman"/>
          <w:noProof/>
          <w:sz w:val="24"/>
          <w:szCs w:val="24"/>
        </w:rPr>
        <w:t xml:space="preserve"> allow</w:t>
      </w:r>
      <w:r w:rsidR="007A5138" w:rsidRPr="00532C20">
        <w:rPr>
          <w:rFonts w:ascii="Times New Roman" w:eastAsia="Times New Roman" w:hAnsi="Times New Roman" w:cs="Times New Roman"/>
          <w:noProof/>
          <w:sz w:val="24"/>
          <w:szCs w:val="24"/>
        </w:rPr>
        <w:t>s</w:t>
      </w:r>
      <w:r w:rsidR="000333EF" w:rsidRPr="00532C20">
        <w:rPr>
          <w:rFonts w:ascii="Times New Roman" w:eastAsia="Times New Roman" w:hAnsi="Times New Roman" w:cs="Times New Roman"/>
          <w:noProof/>
          <w:sz w:val="24"/>
          <w:szCs w:val="24"/>
        </w:rPr>
        <w:t xml:space="preserve"> the </w:t>
      </w:r>
      <w:r w:rsidR="00C577B4" w:rsidRPr="00532C20">
        <w:rPr>
          <w:rFonts w:ascii="Times New Roman" w:eastAsia="Times New Roman" w:hAnsi="Times New Roman" w:cs="Times New Roman"/>
          <w:noProof/>
          <w:sz w:val="24"/>
          <w:szCs w:val="24"/>
        </w:rPr>
        <w:t>Commission</w:t>
      </w:r>
      <w:r w:rsidR="000333EF" w:rsidRPr="00532C20">
        <w:rPr>
          <w:rFonts w:ascii="Times New Roman" w:eastAsia="Times New Roman" w:hAnsi="Times New Roman" w:cs="Times New Roman"/>
          <w:noProof/>
          <w:sz w:val="24"/>
          <w:szCs w:val="24"/>
        </w:rPr>
        <w:t xml:space="preserve"> to monitor its implementation in</w:t>
      </w:r>
      <w:r w:rsidR="009C4A01" w:rsidRPr="00532C20">
        <w:rPr>
          <w:rFonts w:ascii="Times New Roman" w:eastAsia="Times New Roman" w:hAnsi="Times New Roman" w:cs="Times New Roman"/>
          <w:noProof/>
          <w:sz w:val="24"/>
          <w:szCs w:val="24"/>
        </w:rPr>
        <w:t xml:space="preserve"> </w:t>
      </w:r>
      <w:r w:rsidR="00C577B4" w:rsidRPr="00532C20">
        <w:rPr>
          <w:rFonts w:ascii="Times New Roman" w:eastAsia="Times New Roman" w:hAnsi="Times New Roman" w:cs="Times New Roman"/>
          <w:noProof/>
          <w:sz w:val="24"/>
          <w:szCs w:val="24"/>
        </w:rPr>
        <w:t>Member</w:t>
      </w:r>
      <w:r w:rsidR="000333EF" w:rsidRPr="00532C20">
        <w:rPr>
          <w:rFonts w:ascii="Times New Roman" w:eastAsia="Times New Roman" w:hAnsi="Times New Roman" w:cs="Times New Roman"/>
          <w:noProof/>
          <w:sz w:val="24"/>
          <w:szCs w:val="24"/>
        </w:rPr>
        <w:t xml:space="preserve"> States</w:t>
      </w:r>
      <w:r w:rsidR="00C15945" w:rsidRPr="00532C20">
        <w:rPr>
          <w:rFonts w:ascii="Times New Roman" w:eastAsia="Times New Roman" w:hAnsi="Times New Roman" w:cs="Times New Roman"/>
          <w:noProof/>
          <w:sz w:val="24"/>
          <w:szCs w:val="24"/>
        </w:rPr>
        <w:t xml:space="preserve"> and react </w:t>
      </w:r>
      <w:r w:rsidR="005A077A" w:rsidRPr="00532C20">
        <w:rPr>
          <w:rFonts w:ascii="Times New Roman" w:eastAsia="Times New Roman" w:hAnsi="Times New Roman" w:cs="Times New Roman"/>
          <w:noProof/>
          <w:sz w:val="24"/>
          <w:szCs w:val="24"/>
        </w:rPr>
        <w:t>to any breaches</w:t>
      </w:r>
      <w:r w:rsidR="000333EF" w:rsidRPr="00532C20">
        <w:rPr>
          <w:rFonts w:ascii="Times New Roman" w:eastAsia="Times New Roman" w:hAnsi="Times New Roman" w:cs="Times New Roman"/>
          <w:noProof/>
          <w:sz w:val="24"/>
          <w:szCs w:val="24"/>
        </w:rPr>
        <w:t xml:space="preserve">, </w:t>
      </w:r>
      <w:r w:rsidR="000A5F86" w:rsidRPr="00532C20">
        <w:rPr>
          <w:rFonts w:ascii="Times New Roman" w:eastAsia="Times New Roman" w:hAnsi="Times New Roman" w:cs="Times New Roman"/>
          <w:noProof/>
          <w:sz w:val="24"/>
          <w:szCs w:val="24"/>
        </w:rPr>
        <w:t xml:space="preserve">including </w:t>
      </w:r>
      <w:r w:rsidR="003D0975" w:rsidRPr="00532C20">
        <w:rPr>
          <w:rFonts w:ascii="Times New Roman" w:eastAsia="Times New Roman" w:hAnsi="Times New Roman" w:cs="Times New Roman"/>
          <w:noProof/>
          <w:sz w:val="24"/>
          <w:szCs w:val="24"/>
        </w:rPr>
        <w:t xml:space="preserve">of </w:t>
      </w:r>
      <w:r w:rsidR="00037399" w:rsidRPr="00532C20">
        <w:rPr>
          <w:rFonts w:ascii="Times New Roman" w:eastAsia="Times New Roman" w:hAnsi="Times New Roman" w:cs="Times New Roman"/>
          <w:noProof/>
          <w:sz w:val="24"/>
          <w:szCs w:val="24"/>
        </w:rPr>
        <w:t>fundamental</w:t>
      </w:r>
      <w:r w:rsidR="003D0975" w:rsidRPr="00532C20">
        <w:rPr>
          <w:rFonts w:ascii="Times New Roman" w:eastAsia="Times New Roman" w:hAnsi="Times New Roman" w:cs="Times New Roman"/>
          <w:noProof/>
          <w:sz w:val="24"/>
          <w:szCs w:val="24"/>
        </w:rPr>
        <w:t xml:space="preserve"> rights</w:t>
      </w:r>
      <w:r w:rsidR="00DF34F7" w:rsidRPr="00532C20">
        <w:rPr>
          <w:rFonts w:ascii="Times New Roman" w:eastAsia="Times New Roman" w:hAnsi="Times New Roman" w:cs="Times New Roman"/>
          <w:noProof/>
          <w:sz w:val="24"/>
          <w:szCs w:val="24"/>
        </w:rPr>
        <w:t xml:space="preserve">. Furthermore, an EU coherent and </w:t>
      </w:r>
      <w:r w:rsidR="00A00BA8" w:rsidRPr="00532C20">
        <w:rPr>
          <w:rFonts w:ascii="Times New Roman" w:eastAsia="Times New Roman" w:hAnsi="Times New Roman" w:cs="Times New Roman"/>
          <w:noProof/>
          <w:sz w:val="24"/>
          <w:szCs w:val="24"/>
        </w:rPr>
        <w:t>proportionate</w:t>
      </w:r>
      <w:r w:rsidR="00DF34F7" w:rsidRPr="00532C20">
        <w:rPr>
          <w:rFonts w:ascii="Times New Roman" w:eastAsia="Times New Roman" w:hAnsi="Times New Roman" w:cs="Times New Roman"/>
          <w:noProof/>
          <w:sz w:val="24"/>
          <w:szCs w:val="24"/>
        </w:rPr>
        <w:t xml:space="preserve"> approach focusing on transparency and democratic accountability to address the challenges posed by interest representation on behalf of third countr</w:t>
      </w:r>
      <w:r w:rsidR="0016435A" w:rsidRPr="00532C20">
        <w:rPr>
          <w:rFonts w:ascii="Times New Roman" w:eastAsia="Times New Roman" w:hAnsi="Times New Roman" w:cs="Times New Roman"/>
          <w:noProof/>
          <w:sz w:val="24"/>
          <w:szCs w:val="24"/>
        </w:rPr>
        <w:t>y entities</w:t>
      </w:r>
      <w:r w:rsidR="00DF34F7" w:rsidRPr="00532C20">
        <w:rPr>
          <w:rFonts w:ascii="Times New Roman" w:eastAsia="Times New Roman" w:hAnsi="Times New Roman" w:cs="Times New Roman"/>
          <w:noProof/>
          <w:sz w:val="24"/>
          <w:szCs w:val="24"/>
        </w:rPr>
        <w:t>, c</w:t>
      </w:r>
      <w:r w:rsidR="0016435A" w:rsidRPr="00532C20">
        <w:rPr>
          <w:rFonts w:ascii="Times New Roman" w:eastAsia="Times New Roman" w:hAnsi="Times New Roman" w:cs="Times New Roman"/>
          <w:noProof/>
          <w:sz w:val="24"/>
          <w:szCs w:val="24"/>
        </w:rPr>
        <w:t>ould</w:t>
      </w:r>
      <w:r w:rsidR="00DF34F7" w:rsidRPr="00532C20">
        <w:rPr>
          <w:rFonts w:ascii="Times New Roman" w:eastAsia="Times New Roman" w:hAnsi="Times New Roman" w:cs="Times New Roman"/>
          <w:noProof/>
          <w:sz w:val="24"/>
          <w:szCs w:val="24"/>
        </w:rPr>
        <w:t xml:space="preserve"> serve to set standard</w:t>
      </w:r>
      <w:r w:rsidR="001F691C" w:rsidRPr="00532C20">
        <w:rPr>
          <w:rFonts w:ascii="Times New Roman" w:eastAsia="Times New Roman" w:hAnsi="Times New Roman" w:cs="Times New Roman"/>
          <w:noProof/>
          <w:sz w:val="24"/>
          <w:szCs w:val="24"/>
        </w:rPr>
        <w:t>s.</w:t>
      </w:r>
      <w:r w:rsidR="003033F7" w:rsidRPr="00532C20">
        <w:rPr>
          <w:rFonts w:ascii="Times New Roman" w:eastAsia="Times New Roman" w:hAnsi="Times New Roman" w:cs="Times New Roman"/>
          <w:noProof/>
          <w:sz w:val="24"/>
          <w:szCs w:val="24"/>
        </w:rPr>
        <w:t xml:space="preserve"> </w:t>
      </w:r>
      <w:r w:rsidR="00DF34F7" w:rsidRPr="00532C20">
        <w:rPr>
          <w:rFonts w:ascii="Times New Roman" w:eastAsia="Times New Roman" w:hAnsi="Times New Roman" w:cs="Times New Roman"/>
          <w:noProof/>
          <w:sz w:val="24"/>
          <w:szCs w:val="24"/>
        </w:rPr>
        <w:t xml:space="preserve"> </w:t>
      </w:r>
    </w:p>
    <w:p w14:paraId="38572157" w14:textId="5F3086A9" w:rsidR="00EE24EB" w:rsidRPr="00532C20" w:rsidRDefault="00EE24EB" w:rsidP="00C6763D">
      <w:pPr>
        <w:spacing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The geopolitical impact of </w:t>
      </w:r>
      <w:r w:rsidRPr="00532C20">
        <w:rPr>
          <w:rFonts w:ascii="Times New Roman" w:eastAsia="Times New Roman" w:hAnsi="Times New Roman" w:cs="Times New Roman"/>
          <w:noProof/>
          <w:sz w:val="24"/>
          <w:szCs w:val="24"/>
          <w:u w:val="single"/>
        </w:rPr>
        <w:t>the extended requirements of PO2.</w:t>
      </w:r>
      <w:r w:rsidR="0092741B" w:rsidRPr="00532C20">
        <w:rPr>
          <w:rFonts w:ascii="Times New Roman" w:eastAsia="Times New Roman" w:hAnsi="Times New Roman" w:cs="Times New Roman"/>
          <w:noProof/>
          <w:sz w:val="24"/>
          <w:szCs w:val="24"/>
          <w:u w:val="single"/>
        </w:rPr>
        <w:t>2</w:t>
      </w:r>
      <w:r w:rsidRPr="00532C20">
        <w:rPr>
          <w:rFonts w:ascii="Times New Roman" w:eastAsia="Times New Roman" w:hAnsi="Times New Roman" w:cs="Times New Roman"/>
          <w:noProof/>
          <w:sz w:val="24"/>
          <w:szCs w:val="24"/>
        </w:rPr>
        <w:t xml:space="preserve"> is likely to be more negative than that of PO2.</w:t>
      </w:r>
      <w:r w:rsidR="0092741B" w:rsidRPr="00532C20">
        <w:rPr>
          <w:rFonts w:ascii="Times New Roman" w:eastAsia="Times New Roman" w:hAnsi="Times New Roman" w:cs="Times New Roman"/>
          <w:noProof/>
          <w:sz w:val="24"/>
          <w:szCs w:val="24"/>
        </w:rPr>
        <w:t>1</w:t>
      </w:r>
      <w:r w:rsidRPr="00532C20">
        <w:rPr>
          <w:rFonts w:ascii="Times New Roman" w:eastAsia="Times New Roman" w:hAnsi="Times New Roman" w:cs="Times New Roman"/>
          <w:noProof/>
          <w:sz w:val="24"/>
          <w:szCs w:val="24"/>
        </w:rPr>
        <w:t xml:space="preserve"> </w:t>
      </w:r>
      <w:r w:rsidR="00DD53D4" w:rsidRPr="00532C20">
        <w:rPr>
          <w:rFonts w:ascii="Times New Roman" w:eastAsia="Times New Roman" w:hAnsi="Times New Roman" w:cs="Times New Roman"/>
          <w:noProof/>
          <w:sz w:val="24"/>
          <w:szCs w:val="24"/>
        </w:rPr>
        <w:t>s</w:t>
      </w:r>
      <w:r w:rsidRPr="00532C20">
        <w:rPr>
          <w:rFonts w:ascii="Times New Roman" w:eastAsia="Times New Roman" w:hAnsi="Times New Roman" w:cs="Times New Roman"/>
          <w:noProof/>
          <w:sz w:val="24"/>
          <w:szCs w:val="24"/>
        </w:rPr>
        <w:t xml:space="preserve">ince it includes the requirement for organisations to obtain </w:t>
      </w:r>
      <w:r w:rsidR="007D5F46">
        <w:rPr>
          <w:rFonts w:ascii="Times New Roman" w:eastAsia="Times New Roman" w:hAnsi="Times New Roman" w:cs="Times New Roman"/>
          <w:noProof/>
          <w:sz w:val="24"/>
          <w:szCs w:val="24"/>
        </w:rPr>
        <w:t xml:space="preserve">a </w:t>
      </w:r>
      <w:r w:rsidRPr="00532C20">
        <w:rPr>
          <w:rFonts w:ascii="Times New Roman" w:eastAsia="Times New Roman" w:hAnsi="Times New Roman" w:cs="Times New Roman"/>
          <w:noProof/>
          <w:sz w:val="24"/>
          <w:szCs w:val="24"/>
        </w:rPr>
        <w:t>license before they are allowed to engage in any interest representation activities</w:t>
      </w:r>
      <w:r w:rsidR="00087BF2">
        <w:rPr>
          <w:rFonts w:ascii="Times New Roman" w:eastAsia="Times New Roman" w:hAnsi="Times New Roman" w:cs="Times New Roman"/>
          <w:noProof/>
          <w:sz w:val="24"/>
          <w:szCs w:val="24"/>
        </w:rPr>
        <w:t>. T</w:t>
      </w:r>
      <w:r w:rsidRPr="00532C20">
        <w:rPr>
          <w:rFonts w:ascii="Times New Roman" w:eastAsia="Times New Roman" w:hAnsi="Times New Roman" w:cs="Times New Roman"/>
          <w:noProof/>
          <w:sz w:val="24"/>
          <w:szCs w:val="24"/>
        </w:rPr>
        <w:t>here is a possibility for pushback from</w:t>
      </w:r>
      <w:r w:rsidR="00D33CE0">
        <w:rPr>
          <w:rFonts w:ascii="Times New Roman" w:eastAsia="Times New Roman" w:hAnsi="Times New Roman" w:cs="Times New Roman"/>
          <w:noProof/>
          <w:sz w:val="24"/>
          <w:szCs w:val="24"/>
        </w:rPr>
        <w:t xml:space="preserve"> third</w:t>
      </w:r>
      <w:r w:rsidRPr="00532C20">
        <w:rPr>
          <w:rFonts w:ascii="Times New Roman" w:eastAsia="Times New Roman" w:hAnsi="Times New Roman" w:cs="Times New Roman"/>
          <w:noProof/>
          <w:sz w:val="24"/>
          <w:szCs w:val="24"/>
        </w:rPr>
        <w:t xml:space="preserve"> countries currently engaging in influence activities in the </w:t>
      </w:r>
      <w:r w:rsidR="00327D94">
        <w:rPr>
          <w:rFonts w:ascii="Times New Roman" w:eastAsia="Times New Roman" w:hAnsi="Times New Roman" w:cs="Times New Roman"/>
          <w:noProof/>
          <w:sz w:val="24"/>
          <w:szCs w:val="24"/>
        </w:rPr>
        <w:t>Union</w:t>
      </w:r>
      <w:r w:rsidR="00327D94" w:rsidRPr="00532C20">
        <w:rPr>
          <w:rFonts w:ascii="Times New Roman" w:eastAsia="Times New Roman" w:hAnsi="Times New Roman" w:cs="Times New Roman"/>
          <w:noProof/>
          <w:sz w:val="24"/>
          <w:szCs w:val="24"/>
        </w:rPr>
        <w:t xml:space="preserve"> </w:t>
      </w:r>
      <w:r w:rsidRPr="00532C20">
        <w:rPr>
          <w:rFonts w:ascii="Times New Roman" w:eastAsia="Times New Roman" w:hAnsi="Times New Roman" w:cs="Times New Roman"/>
          <w:noProof/>
          <w:sz w:val="24"/>
          <w:szCs w:val="24"/>
        </w:rPr>
        <w:t xml:space="preserve">if their activities would not be approved. Similarly, to the extent this option </w:t>
      </w:r>
      <w:r w:rsidR="00936C6C" w:rsidRPr="00532C20">
        <w:rPr>
          <w:rFonts w:ascii="Times New Roman" w:eastAsia="Times New Roman" w:hAnsi="Times New Roman" w:cs="Times New Roman"/>
          <w:noProof/>
          <w:sz w:val="24"/>
          <w:szCs w:val="24"/>
        </w:rPr>
        <w:t xml:space="preserve">may include </w:t>
      </w:r>
      <w:r w:rsidRPr="00532C20">
        <w:rPr>
          <w:rFonts w:ascii="Times New Roman" w:eastAsia="Times New Roman" w:hAnsi="Times New Roman" w:cs="Times New Roman"/>
          <w:noProof/>
          <w:sz w:val="24"/>
          <w:szCs w:val="24"/>
        </w:rPr>
        <w:t xml:space="preserve">disproportionate restrictions </w:t>
      </w:r>
      <w:r w:rsidR="00936C6C" w:rsidRPr="00532C20">
        <w:rPr>
          <w:rFonts w:ascii="Times New Roman" w:eastAsia="Times New Roman" w:hAnsi="Times New Roman" w:cs="Times New Roman"/>
          <w:noProof/>
          <w:sz w:val="24"/>
          <w:szCs w:val="24"/>
        </w:rPr>
        <w:t xml:space="preserve">to </w:t>
      </w:r>
      <w:r w:rsidRPr="00532C20">
        <w:rPr>
          <w:rFonts w:ascii="Times New Roman" w:eastAsia="Times New Roman" w:hAnsi="Times New Roman" w:cs="Times New Roman"/>
          <w:noProof/>
          <w:sz w:val="24"/>
          <w:szCs w:val="24"/>
        </w:rPr>
        <w:t>the right to freedom of association, the EU’s reputation could also be negatively impacted</w:t>
      </w:r>
      <w:r w:rsidR="000738AB" w:rsidRPr="00532C20">
        <w:rPr>
          <w:rFonts w:ascii="Times New Roman" w:eastAsia="Times New Roman" w:hAnsi="Times New Roman" w:cs="Times New Roman"/>
          <w:noProof/>
          <w:sz w:val="24"/>
          <w:szCs w:val="24"/>
        </w:rPr>
        <w:t>, and</w:t>
      </w:r>
      <w:r w:rsidRPr="00532C20">
        <w:rPr>
          <w:rFonts w:ascii="Times New Roman" w:eastAsia="Times New Roman" w:hAnsi="Times New Roman" w:cs="Times New Roman"/>
          <w:noProof/>
          <w:sz w:val="24"/>
          <w:szCs w:val="24"/>
        </w:rPr>
        <w:t xml:space="preserve"> the EU might be perceived as setting a precedent for far-reaching legislation on covert foreign influence. </w:t>
      </w:r>
    </w:p>
    <w:p w14:paraId="4B5697BE" w14:textId="4AF07C75" w:rsidR="00EE24EB" w:rsidRPr="00532C20" w:rsidRDefault="00EE24EB" w:rsidP="00D73856">
      <w:pPr>
        <w:keepNext/>
        <w:spacing w:line="240" w:lineRule="auto"/>
        <w:jc w:val="both"/>
        <w:rPr>
          <w:rFonts w:ascii="Times New Roman" w:hAnsi="Times New Roman" w:cs="Times New Roman"/>
          <w:b/>
          <w:bCs/>
          <w:i/>
          <w:iCs/>
          <w:noProof/>
          <w:sz w:val="24"/>
          <w:szCs w:val="24"/>
          <w:u w:val="single"/>
          <w:lang w:val="en-IE"/>
        </w:rPr>
      </w:pPr>
      <w:r w:rsidRPr="00532C20">
        <w:rPr>
          <w:rFonts w:ascii="Times New Roman" w:hAnsi="Times New Roman" w:cs="Times New Roman"/>
          <w:b/>
          <w:bCs/>
          <w:i/>
          <w:iCs/>
          <w:noProof/>
          <w:sz w:val="24"/>
          <w:szCs w:val="24"/>
          <w:u w:val="single"/>
          <w:lang w:val="en-IE"/>
        </w:rPr>
        <w:t>Risk to entities covered by the policy options</w:t>
      </w:r>
    </w:p>
    <w:p w14:paraId="41DFE986" w14:textId="301078AA" w:rsidR="008812ED" w:rsidRPr="00532C20" w:rsidRDefault="008812ED" w:rsidP="006D4899">
      <w:pPr>
        <w:spacing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Concerning the work of covered </w:t>
      </w:r>
      <w:r w:rsidR="003671BD" w:rsidRPr="00532C20">
        <w:rPr>
          <w:rFonts w:ascii="Times New Roman" w:eastAsia="Times New Roman" w:hAnsi="Times New Roman" w:cs="Times New Roman"/>
          <w:noProof/>
          <w:sz w:val="24"/>
          <w:szCs w:val="24"/>
        </w:rPr>
        <w:t>entities</w:t>
      </w:r>
      <w:r w:rsidRPr="00532C20">
        <w:rPr>
          <w:rFonts w:ascii="Times New Roman" w:eastAsia="Times New Roman" w:hAnsi="Times New Roman" w:cs="Times New Roman"/>
          <w:noProof/>
          <w:sz w:val="24"/>
          <w:szCs w:val="24"/>
        </w:rPr>
        <w:t xml:space="preserve"> in third countries, there is a risk that certain third countries might use EU legislation as a pretext to apply foreign agent legislation against them</w:t>
      </w:r>
      <w:r w:rsidR="003671BD" w:rsidRPr="00532C20">
        <w:rPr>
          <w:rFonts w:ascii="Times New Roman" w:eastAsia="Times New Roman" w:hAnsi="Times New Roman" w:cs="Times New Roman"/>
          <w:noProof/>
          <w:sz w:val="24"/>
          <w:szCs w:val="24"/>
        </w:rPr>
        <w:t>,</w:t>
      </w:r>
      <w:r w:rsidRPr="00532C20">
        <w:rPr>
          <w:rStyle w:val="FootnoteReference"/>
          <w:rFonts w:ascii="Times New Roman" w:eastAsia="Times New Roman" w:hAnsi="Times New Roman" w:cs="Times New Roman"/>
          <w:noProof/>
          <w:sz w:val="24"/>
          <w:szCs w:val="24"/>
        </w:rPr>
        <w:footnoteReference w:id="216"/>
      </w:r>
      <w:r w:rsidRPr="00532C20">
        <w:rPr>
          <w:rFonts w:ascii="Times New Roman" w:eastAsia="Times New Roman" w:hAnsi="Times New Roman" w:cs="Times New Roman"/>
          <w:noProof/>
          <w:sz w:val="24"/>
          <w:szCs w:val="24"/>
        </w:rPr>
        <w:t xml:space="preserve"> </w:t>
      </w:r>
      <w:r w:rsidR="003671BD" w:rsidRPr="00532C20">
        <w:rPr>
          <w:rFonts w:ascii="Times New Roman" w:eastAsia="Times New Roman" w:hAnsi="Times New Roman" w:cs="Times New Roman"/>
          <w:noProof/>
          <w:sz w:val="24"/>
          <w:szCs w:val="24"/>
        </w:rPr>
        <w:t xml:space="preserve">or otherwise restrict their </w:t>
      </w:r>
      <w:r w:rsidR="00183FB6" w:rsidRPr="00532C20">
        <w:rPr>
          <w:rFonts w:ascii="Times New Roman" w:eastAsia="Times New Roman" w:hAnsi="Times New Roman" w:cs="Times New Roman"/>
          <w:noProof/>
          <w:sz w:val="24"/>
          <w:szCs w:val="24"/>
        </w:rPr>
        <w:t>activities</w:t>
      </w:r>
      <w:r w:rsidR="003671BD" w:rsidRPr="00532C20">
        <w:rPr>
          <w:rFonts w:ascii="Times New Roman" w:eastAsia="Times New Roman" w:hAnsi="Times New Roman" w:cs="Times New Roman"/>
          <w:noProof/>
          <w:sz w:val="24"/>
          <w:szCs w:val="24"/>
        </w:rPr>
        <w:t>.</w:t>
      </w:r>
    </w:p>
    <w:p w14:paraId="5D183689" w14:textId="7BE2FCF9" w:rsidR="00136CAC" w:rsidRPr="00532C20" w:rsidRDefault="00136CAC" w:rsidP="00136CA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lang w:val="en-IE"/>
        </w:rPr>
      </w:pPr>
      <w:r w:rsidRPr="00532C20">
        <w:rPr>
          <w:rFonts w:ascii="Times New Roman" w:hAnsi="Times New Roman" w:cs="Times New Roman"/>
          <w:b/>
          <w:noProof/>
          <w:lang w:val="en-IE"/>
        </w:rPr>
        <w:t>Stakeholder views:</w:t>
      </w:r>
    </w:p>
    <w:p w14:paraId="04F0FABE" w14:textId="1B22627E" w:rsidR="00136CAC" w:rsidRPr="00532C20" w:rsidRDefault="00750C4B" w:rsidP="00136CAC">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rPr>
      </w:pPr>
      <w:r w:rsidRPr="00532C20">
        <w:rPr>
          <w:rFonts w:ascii="Times New Roman" w:hAnsi="Times New Roman" w:cs="Times New Roman"/>
          <w:noProof/>
          <w:lang w:val="en-IE"/>
        </w:rPr>
        <w:t xml:space="preserve">1 </w:t>
      </w:r>
      <w:r w:rsidR="005E2651" w:rsidRPr="00532C20">
        <w:rPr>
          <w:rFonts w:ascii="Times New Roman" w:hAnsi="Times New Roman" w:cs="Times New Roman"/>
          <w:noProof/>
          <w:lang w:val="en-IE"/>
        </w:rPr>
        <w:t xml:space="preserve">CSO </w:t>
      </w:r>
      <w:r w:rsidRPr="00532C20">
        <w:rPr>
          <w:rFonts w:ascii="Times New Roman" w:hAnsi="Times New Roman" w:cs="Times New Roman"/>
          <w:noProof/>
          <w:lang w:val="en-IE"/>
        </w:rPr>
        <w:t xml:space="preserve">(out of 11) </w:t>
      </w:r>
      <w:r w:rsidR="005E2651" w:rsidRPr="00532C20">
        <w:rPr>
          <w:rFonts w:ascii="Times New Roman" w:hAnsi="Times New Roman" w:cs="Times New Roman"/>
          <w:noProof/>
          <w:lang w:val="en-IE"/>
        </w:rPr>
        <w:t xml:space="preserve">explained that it receives funding </w:t>
      </w:r>
      <w:r w:rsidR="003671BD" w:rsidRPr="00532C20">
        <w:rPr>
          <w:rFonts w:ascii="Times New Roman" w:hAnsi="Times New Roman" w:cs="Times New Roman"/>
          <w:noProof/>
          <w:lang w:val="en-IE"/>
        </w:rPr>
        <w:t xml:space="preserve">from </w:t>
      </w:r>
      <w:r w:rsidR="005E2651" w:rsidRPr="00532C20">
        <w:rPr>
          <w:rFonts w:ascii="Times New Roman" w:hAnsi="Times New Roman" w:cs="Times New Roman"/>
          <w:noProof/>
          <w:lang w:val="en-IE"/>
        </w:rPr>
        <w:t xml:space="preserve">non-EU </w:t>
      </w:r>
      <w:r w:rsidR="003671BD" w:rsidRPr="00532C20">
        <w:rPr>
          <w:rFonts w:ascii="Times New Roman" w:hAnsi="Times New Roman" w:cs="Times New Roman"/>
          <w:noProof/>
          <w:lang w:val="en-IE"/>
        </w:rPr>
        <w:t>governments</w:t>
      </w:r>
      <w:r w:rsidR="005E2651" w:rsidRPr="00532C20">
        <w:rPr>
          <w:rFonts w:ascii="Times New Roman" w:hAnsi="Times New Roman" w:cs="Times New Roman"/>
          <w:noProof/>
          <w:lang w:val="en-IE"/>
        </w:rPr>
        <w:t xml:space="preserve"> an</w:t>
      </w:r>
      <w:r w:rsidR="00F37408" w:rsidRPr="00532C20">
        <w:rPr>
          <w:rFonts w:ascii="Times New Roman" w:hAnsi="Times New Roman" w:cs="Times New Roman"/>
          <w:noProof/>
          <w:lang w:val="en-IE"/>
        </w:rPr>
        <w:t>d</w:t>
      </w:r>
      <w:r w:rsidR="005E2651" w:rsidRPr="00532C20">
        <w:rPr>
          <w:rFonts w:ascii="Times New Roman" w:hAnsi="Times New Roman" w:cs="Times New Roman"/>
          <w:noProof/>
          <w:lang w:val="en-IE"/>
        </w:rPr>
        <w:t xml:space="preserve"> related public institutions in third countries and that part of this funding is used to support work in high-risk countries. It </w:t>
      </w:r>
      <w:r w:rsidR="00E723E2" w:rsidRPr="00532C20">
        <w:rPr>
          <w:rFonts w:ascii="Times New Roman" w:hAnsi="Times New Roman" w:cs="Times New Roman"/>
          <w:noProof/>
          <w:lang w:val="en-IE"/>
        </w:rPr>
        <w:t>explained that “</w:t>
      </w:r>
      <w:r w:rsidR="00AB06E8" w:rsidRPr="00532C20">
        <w:rPr>
          <w:rFonts w:ascii="Times New Roman" w:hAnsi="Times New Roman" w:cs="Times New Roman"/>
          <w:i/>
          <w:iCs/>
          <w:noProof/>
          <w:lang w:val="en-IE"/>
        </w:rPr>
        <w:t>p</w:t>
      </w:r>
      <w:r w:rsidR="00E723E2" w:rsidRPr="00532C20">
        <w:rPr>
          <w:rFonts w:ascii="Times New Roman" w:hAnsi="Times New Roman" w:cs="Times New Roman"/>
          <w:i/>
          <w:iCs/>
          <w:noProof/>
          <w:lang w:val="en-IE"/>
        </w:rPr>
        <w:t>ublic</w:t>
      </w:r>
      <w:r w:rsidR="00C127F2" w:rsidRPr="00532C20">
        <w:rPr>
          <w:rFonts w:ascii="Times New Roman" w:hAnsi="Times New Roman" w:cs="Times New Roman"/>
          <w:i/>
          <w:iCs/>
          <w:noProof/>
          <w:lang w:val="en-IE"/>
        </w:rPr>
        <w:t>ly accessible information about our funding sources is therefore currently very limited because it</w:t>
      </w:r>
      <w:r w:rsidR="002C2B81" w:rsidRPr="00532C20">
        <w:rPr>
          <w:rFonts w:ascii="Times New Roman" w:hAnsi="Times New Roman" w:cs="Times New Roman"/>
          <w:i/>
          <w:iCs/>
          <w:noProof/>
          <w:lang w:val="en-IE"/>
        </w:rPr>
        <w:t xml:space="preserve"> puts people and organisations [they] work with at physical and legal risks, </w:t>
      </w:r>
      <w:r w:rsidR="0030650D" w:rsidRPr="00532C20">
        <w:rPr>
          <w:rFonts w:ascii="Times New Roman" w:hAnsi="Times New Roman" w:cs="Times New Roman"/>
          <w:i/>
          <w:iCs/>
          <w:noProof/>
          <w:lang w:val="en-IE"/>
        </w:rPr>
        <w:t>it can also jeopard</w:t>
      </w:r>
      <w:r w:rsidR="00A821FD" w:rsidRPr="00532C20">
        <w:rPr>
          <w:rFonts w:ascii="Times New Roman" w:hAnsi="Times New Roman" w:cs="Times New Roman"/>
          <w:i/>
          <w:iCs/>
          <w:noProof/>
          <w:lang w:val="en-IE"/>
        </w:rPr>
        <w:t>ise</w:t>
      </w:r>
      <w:r w:rsidR="004B0773" w:rsidRPr="00532C20">
        <w:rPr>
          <w:rFonts w:ascii="Times New Roman" w:hAnsi="Times New Roman" w:cs="Times New Roman"/>
          <w:i/>
          <w:iCs/>
          <w:noProof/>
        </w:rPr>
        <w:t xml:space="preserve"> our ability to work in those </w:t>
      </w:r>
      <w:r w:rsidR="003671BD" w:rsidRPr="00532C20">
        <w:rPr>
          <w:rFonts w:ascii="Times New Roman" w:hAnsi="Times New Roman" w:cs="Times New Roman"/>
          <w:i/>
          <w:iCs/>
          <w:noProof/>
        </w:rPr>
        <w:t>countries</w:t>
      </w:r>
      <w:r w:rsidR="004B0773" w:rsidRPr="00532C20">
        <w:rPr>
          <w:rFonts w:ascii="Times New Roman" w:hAnsi="Times New Roman" w:cs="Times New Roman"/>
          <w:i/>
          <w:iCs/>
          <w:noProof/>
        </w:rPr>
        <w:t xml:space="preserve"> by alerting local </w:t>
      </w:r>
      <w:r w:rsidR="00D54F2F" w:rsidRPr="00532C20">
        <w:rPr>
          <w:rFonts w:ascii="Times New Roman" w:hAnsi="Times New Roman" w:cs="Times New Roman"/>
          <w:i/>
          <w:iCs/>
          <w:noProof/>
        </w:rPr>
        <w:t>authorities</w:t>
      </w:r>
      <w:r w:rsidR="00D54F2F" w:rsidRPr="00532C20">
        <w:rPr>
          <w:rFonts w:ascii="Times New Roman" w:hAnsi="Times New Roman" w:cs="Times New Roman"/>
          <w:noProof/>
        </w:rPr>
        <w:t>”.</w:t>
      </w:r>
    </w:p>
    <w:p w14:paraId="772C2725" w14:textId="4DB15158" w:rsidR="00136CAC" w:rsidRPr="00532C20" w:rsidRDefault="003C29BB" w:rsidP="006D4899">
      <w:pPr>
        <w:spacing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To address this point, </w:t>
      </w:r>
      <w:r w:rsidRPr="00313F32">
        <w:rPr>
          <w:rFonts w:ascii="Times New Roman" w:eastAsia="Times New Roman" w:hAnsi="Times New Roman" w:cs="Times New Roman"/>
          <w:noProof/>
          <w:sz w:val="24"/>
          <w:szCs w:val="24"/>
          <w:u w:val="single"/>
        </w:rPr>
        <w:t>t</w:t>
      </w:r>
      <w:r w:rsidR="00D73856" w:rsidRPr="00313F32">
        <w:rPr>
          <w:rFonts w:ascii="Times New Roman" w:eastAsia="Times New Roman" w:hAnsi="Times New Roman" w:cs="Times New Roman"/>
          <w:noProof/>
          <w:sz w:val="24"/>
          <w:szCs w:val="24"/>
          <w:u w:val="single"/>
        </w:rPr>
        <w:t>he legislative policy options (PO</w:t>
      </w:r>
      <w:r w:rsidR="00D47716" w:rsidRPr="00313F32">
        <w:rPr>
          <w:rFonts w:ascii="Times New Roman" w:eastAsia="Times New Roman" w:hAnsi="Times New Roman" w:cs="Times New Roman"/>
          <w:noProof/>
          <w:sz w:val="24"/>
          <w:szCs w:val="24"/>
          <w:u w:val="single"/>
        </w:rPr>
        <w:t>2.1</w:t>
      </w:r>
      <w:r w:rsidR="00D73856" w:rsidRPr="00313F32">
        <w:rPr>
          <w:rFonts w:ascii="Times New Roman" w:eastAsia="Times New Roman" w:hAnsi="Times New Roman" w:cs="Times New Roman"/>
          <w:noProof/>
          <w:sz w:val="24"/>
          <w:szCs w:val="24"/>
          <w:u w:val="single"/>
        </w:rPr>
        <w:t xml:space="preserve"> and PO</w:t>
      </w:r>
      <w:r w:rsidR="00D47716" w:rsidRPr="00313F32">
        <w:rPr>
          <w:rFonts w:ascii="Times New Roman" w:eastAsia="Times New Roman" w:hAnsi="Times New Roman" w:cs="Times New Roman"/>
          <w:noProof/>
          <w:sz w:val="24"/>
          <w:szCs w:val="24"/>
          <w:u w:val="single"/>
        </w:rPr>
        <w:t>2.2</w:t>
      </w:r>
      <w:r w:rsidR="005947F2" w:rsidRPr="00313F32">
        <w:rPr>
          <w:rFonts w:ascii="Times New Roman" w:eastAsia="Times New Roman" w:hAnsi="Times New Roman" w:cs="Times New Roman"/>
          <w:noProof/>
          <w:sz w:val="24"/>
          <w:szCs w:val="24"/>
          <w:u w:val="single"/>
        </w:rPr>
        <w:t>)</w:t>
      </w:r>
      <w:r w:rsidR="00D73856" w:rsidRPr="00532C20">
        <w:rPr>
          <w:rFonts w:ascii="Times New Roman" w:eastAsia="Times New Roman" w:hAnsi="Times New Roman" w:cs="Times New Roman"/>
          <w:noProof/>
          <w:sz w:val="24"/>
          <w:szCs w:val="24"/>
        </w:rPr>
        <w:t xml:space="preserve"> provide for additional and specific safeguards by enabling entities to request that all or part of the information gathered for the purpose of the transparency requirement is not made public based on an overriding interest.</w:t>
      </w:r>
      <w:r w:rsidR="002B6779" w:rsidRPr="00532C20">
        <w:rPr>
          <w:rFonts w:ascii="Times New Roman" w:eastAsia="Times New Roman" w:hAnsi="Times New Roman" w:cs="Times New Roman"/>
          <w:noProof/>
          <w:sz w:val="24"/>
          <w:szCs w:val="24"/>
        </w:rPr>
        <w:t xml:space="preserve"> Due to </w:t>
      </w:r>
      <w:r w:rsidR="0044178B" w:rsidRPr="00532C20">
        <w:rPr>
          <w:rFonts w:ascii="Times New Roman" w:eastAsia="Times New Roman" w:hAnsi="Times New Roman" w:cs="Times New Roman"/>
          <w:noProof/>
          <w:sz w:val="24"/>
          <w:szCs w:val="24"/>
        </w:rPr>
        <w:t>its</w:t>
      </w:r>
      <w:r w:rsidR="002B6779" w:rsidRPr="00532C20">
        <w:rPr>
          <w:rFonts w:ascii="Times New Roman" w:eastAsia="Times New Roman" w:hAnsi="Times New Roman" w:cs="Times New Roman"/>
          <w:noProof/>
          <w:sz w:val="24"/>
          <w:szCs w:val="24"/>
        </w:rPr>
        <w:t xml:space="preserve"> non</w:t>
      </w:r>
      <w:r w:rsidR="008E4E28" w:rsidRPr="00532C20">
        <w:rPr>
          <w:rFonts w:ascii="Times New Roman" w:eastAsia="Times New Roman" w:hAnsi="Times New Roman" w:cs="Times New Roman"/>
          <w:noProof/>
          <w:sz w:val="24"/>
          <w:szCs w:val="24"/>
        </w:rPr>
        <w:t>-</w:t>
      </w:r>
      <w:r w:rsidR="002B6779" w:rsidRPr="00532C20">
        <w:rPr>
          <w:rFonts w:ascii="Times New Roman" w:eastAsia="Times New Roman" w:hAnsi="Times New Roman" w:cs="Times New Roman"/>
          <w:noProof/>
          <w:sz w:val="24"/>
          <w:szCs w:val="24"/>
        </w:rPr>
        <w:t xml:space="preserve">binding nature, </w:t>
      </w:r>
      <w:r w:rsidR="00AB06E8" w:rsidRPr="00532C20">
        <w:rPr>
          <w:rFonts w:ascii="Times New Roman" w:eastAsia="Times New Roman" w:hAnsi="Times New Roman" w:cs="Times New Roman"/>
          <w:noProof/>
          <w:sz w:val="24"/>
          <w:szCs w:val="24"/>
        </w:rPr>
        <w:t>PO</w:t>
      </w:r>
      <w:r w:rsidR="006D4899" w:rsidRPr="00532C20">
        <w:rPr>
          <w:rFonts w:ascii="Times New Roman" w:eastAsia="Times New Roman" w:hAnsi="Times New Roman" w:cs="Times New Roman"/>
          <w:noProof/>
          <w:sz w:val="24"/>
          <w:szCs w:val="24"/>
        </w:rPr>
        <w:t xml:space="preserve">1 would not </w:t>
      </w:r>
      <w:r w:rsidRPr="00532C20">
        <w:rPr>
          <w:rFonts w:ascii="Times New Roman" w:eastAsia="Times New Roman" w:hAnsi="Times New Roman" w:cs="Times New Roman"/>
          <w:noProof/>
          <w:sz w:val="24"/>
          <w:szCs w:val="24"/>
        </w:rPr>
        <w:t>ensure the implementation of the safeguards provided by the legislative options</w:t>
      </w:r>
      <w:r w:rsidR="006D4899" w:rsidRPr="00532C20">
        <w:rPr>
          <w:rFonts w:ascii="Times New Roman" w:eastAsia="Times New Roman" w:hAnsi="Times New Roman" w:cs="Times New Roman"/>
          <w:noProof/>
          <w:sz w:val="24"/>
          <w:szCs w:val="24"/>
        </w:rPr>
        <w:t>.</w:t>
      </w:r>
    </w:p>
    <w:p w14:paraId="0C0A1D60" w14:textId="54A4D4E1" w:rsidR="00CA0217" w:rsidRPr="00532C20" w:rsidRDefault="00C7763A" w:rsidP="006D4899">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Even if consultations with stakeholders did not </w:t>
      </w:r>
      <w:r w:rsidR="0000214B">
        <w:rPr>
          <w:rFonts w:ascii="Times New Roman" w:eastAsia="Times New Roman" w:hAnsi="Times New Roman" w:cs="Times New Roman"/>
          <w:noProof/>
          <w:sz w:val="24"/>
          <w:szCs w:val="24"/>
        </w:rPr>
        <w:t xml:space="preserve">suggest </w:t>
      </w:r>
      <w:r w:rsidR="00B17D1D" w:rsidRPr="00532C20" w:rsidDel="0000214B">
        <w:rPr>
          <w:rFonts w:ascii="Times New Roman" w:eastAsia="Times New Roman" w:hAnsi="Times New Roman" w:cs="Times New Roman"/>
          <w:noProof/>
          <w:sz w:val="24"/>
          <w:szCs w:val="24"/>
        </w:rPr>
        <w:t>that</w:t>
      </w:r>
      <w:r w:rsidR="00B17D1D" w:rsidRPr="00532C20">
        <w:rPr>
          <w:rFonts w:ascii="Times New Roman" w:eastAsia="Times New Roman" w:hAnsi="Times New Roman" w:cs="Times New Roman"/>
          <w:noProof/>
          <w:sz w:val="24"/>
          <w:szCs w:val="24"/>
        </w:rPr>
        <w:t xml:space="preserve"> similar legislation like the US FARA or the Australian FITSA have led to a relevant decrease of foreign donations for American or Australian CSOs</w:t>
      </w:r>
      <w:r w:rsidR="00485B46" w:rsidRPr="00532C20">
        <w:rPr>
          <w:rFonts w:ascii="Times New Roman" w:eastAsia="Times New Roman" w:hAnsi="Times New Roman" w:cs="Times New Roman"/>
          <w:noProof/>
          <w:sz w:val="24"/>
          <w:szCs w:val="24"/>
        </w:rPr>
        <w:t>,</w:t>
      </w:r>
      <w:r w:rsidR="00A6110D" w:rsidRPr="00532C20">
        <w:rPr>
          <w:rFonts w:ascii="Times New Roman" w:eastAsia="Times New Roman" w:hAnsi="Times New Roman" w:cs="Times New Roman"/>
          <w:noProof/>
          <w:sz w:val="24"/>
          <w:szCs w:val="24"/>
        </w:rPr>
        <w:t xml:space="preserve"> </w:t>
      </w:r>
      <w:r w:rsidR="00415F98" w:rsidRPr="00532C20">
        <w:rPr>
          <w:rFonts w:ascii="Times New Roman" w:eastAsia="Times New Roman" w:hAnsi="Times New Roman" w:cs="Times New Roman"/>
          <w:noProof/>
          <w:sz w:val="24"/>
          <w:szCs w:val="24"/>
        </w:rPr>
        <w:t>6</w:t>
      </w:r>
      <w:r w:rsidR="00A6110D" w:rsidRPr="00532C20">
        <w:rPr>
          <w:rFonts w:ascii="Times New Roman" w:eastAsia="Times New Roman" w:hAnsi="Times New Roman" w:cs="Times New Roman"/>
          <w:noProof/>
          <w:sz w:val="24"/>
          <w:szCs w:val="24"/>
        </w:rPr>
        <w:t xml:space="preserve"> CSOs</w:t>
      </w:r>
      <w:r w:rsidR="0059043B" w:rsidRPr="00532C20">
        <w:rPr>
          <w:rFonts w:ascii="Times New Roman" w:eastAsia="Times New Roman" w:hAnsi="Times New Roman" w:cs="Times New Roman"/>
          <w:noProof/>
          <w:sz w:val="24"/>
          <w:szCs w:val="24"/>
        </w:rPr>
        <w:t xml:space="preserve"> (out of 11)</w:t>
      </w:r>
      <w:r w:rsidR="00A6110D" w:rsidRPr="00532C20">
        <w:rPr>
          <w:rFonts w:ascii="Times New Roman" w:eastAsia="Times New Roman" w:hAnsi="Times New Roman" w:cs="Times New Roman"/>
          <w:noProof/>
          <w:sz w:val="24"/>
          <w:szCs w:val="24"/>
        </w:rPr>
        <w:t xml:space="preserve"> voiced concerns that the proposed measures may </w:t>
      </w:r>
      <w:r w:rsidR="00607382" w:rsidRPr="00532C20">
        <w:rPr>
          <w:rFonts w:ascii="Times New Roman" w:eastAsia="Times New Roman" w:hAnsi="Times New Roman" w:cs="Times New Roman"/>
          <w:noProof/>
          <w:sz w:val="24"/>
          <w:szCs w:val="24"/>
        </w:rPr>
        <w:t xml:space="preserve">impact funding </w:t>
      </w:r>
      <w:r w:rsidR="00A6110D" w:rsidRPr="00532C20">
        <w:rPr>
          <w:rFonts w:ascii="Times New Roman" w:eastAsia="Times New Roman" w:hAnsi="Times New Roman" w:cs="Times New Roman"/>
          <w:noProof/>
          <w:sz w:val="24"/>
          <w:szCs w:val="24"/>
        </w:rPr>
        <w:t>from international donors.</w:t>
      </w:r>
      <w:r w:rsidR="00485B46" w:rsidRPr="00532C20">
        <w:rPr>
          <w:rFonts w:ascii="Times New Roman" w:eastAsia="Times New Roman" w:hAnsi="Times New Roman" w:cs="Times New Roman"/>
          <w:noProof/>
          <w:sz w:val="24"/>
          <w:szCs w:val="24"/>
        </w:rPr>
        <w:t xml:space="preserve"> The impacts of the policy options on the freedom of association are analysed in section 6.2.3.2. </w:t>
      </w:r>
      <w:r w:rsidR="00B17D1D" w:rsidRPr="00532C20">
        <w:rPr>
          <w:rFonts w:ascii="Times New Roman" w:eastAsia="Times New Roman" w:hAnsi="Times New Roman" w:cs="Times New Roman"/>
          <w:noProof/>
          <w:sz w:val="24"/>
          <w:szCs w:val="24"/>
        </w:rPr>
        <w:t xml:space="preserve"> </w:t>
      </w:r>
    </w:p>
    <w:p w14:paraId="5CE54E99" w14:textId="2F6F5E87" w:rsidR="008A3B3E" w:rsidRPr="00532C20" w:rsidRDefault="000F72E7" w:rsidP="00A6110D">
      <w:pPr>
        <w:spacing w:line="240" w:lineRule="auto"/>
        <w:jc w:val="both"/>
        <w:rPr>
          <w:rFonts w:ascii="Times New Roman" w:hAnsi="Times New Roman" w:cs="Times New Roman"/>
          <w:noProof/>
          <w:sz w:val="24"/>
          <w:szCs w:val="24"/>
        </w:rPr>
      </w:pPr>
      <w:r w:rsidRPr="00532C20">
        <w:rPr>
          <w:rFonts w:ascii="Times New Roman" w:eastAsia="Times New Roman" w:hAnsi="Times New Roman" w:cs="Times New Roman"/>
          <w:noProof/>
          <w:sz w:val="24"/>
          <w:szCs w:val="24"/>
        </w:rPr>
        <w:t xml:space="preserve">Lastly, </w:t>
      </w:r>
      <w:r w:rsidR="005A4AF1" w:rsidRPr="00532C20">
        <w:rPr>
          <w:rFonts w:ascii="Times New Roman" w:eastAsia="Times New Roman" w:hAnsi="Times New Roman" w:cs="Times New Roman"/>
          <w:noProof/>
          <w:sz w:val="24"/>
          <w:szCs w:val="24"/>
        </w:rPr>
        <w:t>because the policy options cover</w:t>
      </w:r>
      <w:r w:rsidR="00BF3300" w:rsidRPr="00532C20">
        <w:rPr>
          <w:rFonts w:ascii="Times New Roman" w:eastAsia="Times New Roman" w:hAnsi="Times New Roman" w:cs="Times New Roman"/>
          <w:noProof/>
          <w:sz w:val="24"/>
          <w:szCs w:val="24"/>
        </w:rPr>
        <w:t xml:space="preserve"> any entity (establish</w:t>
      </w:r>
      <w:r w:rsidR="00087BF2">
        <w:rPr>
          <w:rFonts w:ascii="Times New Roman" w:eastAsia="Times New Roman" w:hAnsi="Times New Roman" w:cs="Times New Roman"/>
          <w:noProof/>
          <w:sz w:val="24"/>
          <w:szCs w:val="24"/>
        </w:rPr>
        <w:t>ed</w:t>
      </w:r>
      <w:r w:rsidR="00BF3300" w:rsidRPr="00532C20">
        <w:rPr>
          <w:rFonts w:ascii="Times New Roman" w:eastAsia="Times New Roman" w:hAnsi="Times New Roman" w:cs="Times New Roman"/>
          <w:noProof/>
          <w:sz w:val="24"/>
          <w:szCs w:val="24"/>
        </w:rPr>
        <w:t xml:space="preserve"> within or outside the EU) that carries out</w:t>
      </w:r>
      <w:r w:rsidR="005A4AF1" w:rsidRPr="00532C20">
        <w:rPr>
          <w:rFonts w:ascii="Times New Roman" w:eastAsia="Times New Roman" w:hAnsi="Times New Roman" w:cs="Times New Roman"/>
          <w:noProof/>
          <w:sz w:val="24"/>
          <w:szCs w:val="24"/>
        </w:rPr>
        <w:t xml:space="preserve"> interest representation activity </w:t>
      </w:r>
      <w:r w:rsidR="00C03949" w:rsidRPr="00532C20">
        <w:rPr>
          <w:rFonts w:ascii="Times New Roman" w:eastAsia="Times New Roman" w:hAnsi="Times New Roman" w:cs="Times New Roman"/>
          <w:noProof/>
          <w:sz w:val="24"/>
          <w:szCs w:val="24"/>
        </w:rPr>
        <w:t xml:space="preserve">on behalf of third counties </w:t>
      </w:r>
      <w:r w:rsidR="001C6F1B" w:rsidRPr="00532C20">
        <w:rPr>
          <w:rFonts w:ascii="Times New Roman" w:eastAsia="Times New Roman" w:hAnsi="Times New Roman" w:cs="Times New Roman"/>
          <w:noProof/>
          <w:sz w:val="24"/>
          <w:szCs w:val="24"/>
        </w:rPr>
        <w:t>to</w:t>
      </w:r>
      <w:r w:rsidR="00C03949" w:rsidRPr="00532C20">
        <w:rPr>
          <w:rFonts w:ascii="Times New Roman" w:eastAsia="Times New Roman" w:hAnsi="Times New Roman" w:cs="Times New Roman"/>
          <w:noProof/>
          <w:sz w:val="24"/>
          <w:szCs w:val="24"/>
        </w:rPr>
        <w:t xml:space="preserve"> </w:t>
      </w:r>
      <w:r w:rsidR="00BF3300" w:rsidRPr="00532C20">
        <w:rPr>
          <w:rFonts w:ascii="Times New Roman" w:eastAsia="Times New Roman" w:hAnsi="Times New Roman" w:cs="Times New Roman"/>
          <w:noProof/>
          <w:sz w:val="24"/>
          <w:szCs w:val="24"/>
        </w:rPr>
        <w:t>influence decision</w:t>
      </w:r>
      <w:r w:rsidR="00354356">
        <w:rPr>
          <w:rFonts w:ascii="Times New Roman" w:eastAsia="Times New Roman" w:hAnsi="Times New Roman" w:cs="Times New Roman"/>
          <w:noProof/>
          <w:sz w:val="24"/>
          <w:szCs w:val="24"/>
        </w:rPr>
        <w:t>-</w:t>
      </w:r>
      <w:r w:rsidR="00BF3300" w:rsidRPr="00532C20">
        <w:rPr>
          <w:rFonts w:ascii="Times New Roman" w:eastAsia="Times New Roman" w:hAnsi="Times New Roman" w:cs="Times New Roman"/>
          <w:noProof/>
          <w:sz w:val="24"/>
          <w:szCs w:val="24"/>
        </w:rPr>
        <w:t>making process</w:t>
      </w:r>
      <w:r w:rsidR="0043245E" w:rsidRPr="00532C20">
        <w:rPr>
          <w:rFonts w:ascii="Times New Roman" w:eastAsia="Times New Roman" w:hAnsi="Times New Roman" w:cs="Times New Roman"/>
          <w:noProof/>
          <w:sz w:val="24"/>
          <w:szCs w:val="24"/>
        </w:rPr>
        <w:t>es</w:t>
      </w:r>
      <w:r w:rsidR="00BF3300" w:rsidRPr="00532C20">
        <w:rPr>
          <w:rFonts w:ascii="Times New Roman" w:eastAsia="Times New Roman" w:hAnsi="Times New Roman" w:cs="Times New Roman"/>
          <w:noProof/>
          <w:sz w:val="24"/>
          <w:szCs w:val="24"/>
        </w:rPr>
        <w:t xml:space="preserve"> in the EU</w:t>
      </w:r>
      <w:r w:rsidR="0043245E" w:rsidRPr="00532C20">
        <w:rPr>
          <w:rFonts w:ascii="Times New Roman" w:eastAsia="Times New Roman" w:hAnsi="Times New Roman" w:cs="Times New Roman"/>
          <w:noProof/>
          <w:sz w:val="24"/>
          <w:szCs w:val="24"/>
        </w:rPr>
        <w:t>,</w:t>
      </w:r>
      <w:r w:rsidR="00E51C8E" w:rsidRPr="00532C20">
        <w:rPr>
          <w:rFonts w:ascii="Times New Roman" w:eastAsia="Times New Roman" w:hAnsi="Times New Roman" w:cs="Times New Roman"/>
          <w:noProof/>
          <w:sz w:val="24"/>
          <w:szCs w:val="24"/>
        </w:rPr>
        <w:t xml:space="preserve"> none of them will impact the competitive position of EU f</w:t>
      </w:r>
      <w:r w:rsidR="00A6110D" w:rsidRPr="00532C20">
        <w:rPr>
          <w:rFonts w:ascii="Times New Roman" w:eastAsia="Times New Roman" w:hAnsi="Times New Roman" w:cs="Times New Roman"/>
          <w:noProof/>
          <w:sz w:val="24"/>
          <w:szCs w:val="24"/>
        </w:rPr>
        <w:t>irms with regard to non-EU competitors.</w:t>
      </w:r>
    </w:p>
    <w:p w14:paraId="08EB0D9D" w14:textId="384488BB" w:rsidR="009B635F" w:rsidRPr="00532C20" w:rsidRDefault="009B635F" w:rsidP="004B0958">
      <w:pPr>
        <w:pStyle w:val="111level3title"/>
        <w:spacing w:line="240" w:lineRule="auto"/>
        <w:rPr>
          <w:noProof/>
        </w:rPr>
      </w:pPr>
      <w:bookmarkStart w:id="1035" w:name="_Toc152864708"/>
      <w:r w:rsidRPr="00532C20">
        <w:rPr>
          <w:noProof/>
        </w:rPr>
        <w:t>Digital by default principle</w:t>
      </w:r>
      <w:bookmarkEnd w:id="1035"/>
      <w:r w:rsidRPr="00532C20">
        <w:rPr>
          <w:noProof/>
        </w:rPr>
        <w:t xml:space="preserve"> </w:t>
      </w:r>
    </w:p>
    <w:p w14:paraId="508B53ED" w14:textId="2AC00092" w:rsidR="04AC485B" w:rsidRPr="00532C20" w:rsidRDefault="00283EA5" w:rsidP="004B0958">
      <w:pPr>
        <w:pStyle w:val="Text2"/>
        <w:spacing w:after="200"/>
        <w:ind w:left="0"/>
        <w:rPr>
          <w:rFonts w:ascii="Times New Roman" w:hAnsi="Times New Roman" w:cs="Times New Roman"/>
          <w:noProof/>
          <w:lang w:val="en-IE"/>
        </w:rPr>
      </w:pPr>
      <w:r w:rsidRPr="00532C20">
        <w:rPr>
          <w:rFonts w:ascii="Times New Roman" w:hAnsi="Times New Roman" w:cs="Times New Roman"/>
          <w:noProof/>
          <w:lang w:val="en-IE"/>
        </w:rPr>
        <w:t xml:space="preserve">Under </w:t>
      </w:r>
      <w:r w:rsidR="0043245E" w:rsidRPr="00532C20">
        <w:rPr>
          <w:rFonts w:ascii="Times New Roman" w:hAnsi="Times New Roman" w:cs="Times New Roman"/>
          <w:noProof/>
          <w:u w:val="single"/>
          <w:lang w:val="en-IE"/>
        </w:rPr>
        <w:t>PO</w:t>
      </w:r>
      <w:r w:rsidRPr="00532C20">
        <w:rPr>
          <w:rFonts w:ascii="Times New Roman" w:hAnsi="Times New Roman" w:cs="Times New Roman"/>
          <w:noProof/>
          <w:u w:val="single"/>
          <w:lang w:val="en-IE"/>
        </w:rPr>
        <w:t>1</w:t>
      </w:r>
      <w:r w:rsidRPr="00532C20">
        <w:rPr>
          <w:rFonts w:ascii="Times New Roman" w:hAnsi="Times New Roman" w:cs="Times New Roman"/>
          <w:noProof/>
          <w:lang w:val="en-IE"/>
        </w:rPr>
        <w:t xml:space="preserve">, Member </w:t>
      </w:r>
      <w:r w:rsidR="0043245E" w:rsidRPr="00532C20">
        <w:rPr>
          <w:rFonts w:ascii="Times New Roman" w:hAnsi="Times New Roman" w:cs="Times New Roman"/>
          <w:noProof/>
          <w:lang w:val="en-IE"/>
        </w:rPr>
        <w:t>S</w:t>
      </w:r>
      <w:r w:rsidRPr="00532C20">
        <w:rPr>
          <w:rFonts w:ascii="Times New Roman" w:hAnsi="Times New Roman" w:cs="Times New Roman"/>
          <w:noProof/>
          <w:lang w:val="en-IE"/>
        </w:rPr>
        <w:t xml:space="preserve">tates would be </w:t>
      </w:r>
      <w:r w:rsidR="00C4445C" w:rsidRPr="00532C20">
        <w:rPr>
          <w:rFonts w:ascii="Times New Roman" w:hAnsi="Times New Roman" w:cs="Times New Roman"/>
          <w:noProof/>
          <w:lang w:val="en-IE"/>
        </w:rPr>
        <w:t>invited to use digital tools. To the extent that these recommendation</w:t>
      </w:r>
      <w:r w:rsidR="00663F45" w:rsidRPr="00532C20">
        <w:rPr>
          <w:rFonts w:ascii="Times New Roman" w:hAnsi="Times New Roman" w:cs="Times New Roman"/>
          <w:noProof/>
          <w:lang w:val="en-IE"/>
        </w:rPr>
        <w:t>s</w:t>
      </w:r>
      <w:r w:rsidR="00C4445C" w:rsidRPr="00532C20">
        <w:rPr>
          <w:rFonts w:ascii="Times New Roman" w:hAnsi="Times New Roman" w:cs="Times New Roman"/>
          <w:noProof/>
          <w:lang w:val="en-IE"/>
        </w:rPr>
        <w:t xml:space="preserve"> are followed, </w:t>
      </w:r>
      <w:r w:rsidR="004836AA" w:rsidRPr="00532C20">
        <w:rPr>
          <w:rFonts w:ascii="Times New Roman" w:hAnsi="Times New Roman" w:cs="Times New Roman"/>
          <w:noProof/>
          <w:lang w:val="en-IE"/>
        </w:rPr>
        <w:t>PO</w:t>
      </w:r>
      <w:r w:rsidR="00C4445C" w:rsidRPr="00532C20">
        <w:rPr>
          <w:rFonts w:ascii="Times New Roman" w:hAnsi="Times New Roman" w:cs="Times New Roman"/>
          <w:noProof/>
          <w:lang w:val="en-IE"/>
        </w:rPr>
        <w:t xml:space="preserve">1 would be in line with the Digital by default principle. </w:t>
      </w:r>
      <w:r w:rsidR="00713347" w:rsidRPr="00532C20">
        <w:rPr>
          <w:rFonts w:ascii="Times New Roman" w:hAnsi="Times New Roman" w:cs="Times New Roman"/>
          <w:noProof/>
          <w:lang w:val="en-IE"/>
        </w:rPr>
        <w:t>Under</w:t>
      </w:r>
      <w:r w:rsidRPr="00532C20">
        <w:rPr>
          <w:rFonts w:ascii="Times New Roman" w:hAnsi="Times New Roman" w:cs="Times New Roman"/>
          <w:noProof/>
          <w:lang w:val="en-IE"/>
        </w:rPr>
        <w:t xml:space="preserve"> </w:t>
      </w:r>
      <w:r w:rsidR="00C4445C" w:rsidRPr="00313F32">
        <w:rPr>
          <w:rFonts w:ascii="Times New Roman" w:hAnsi="Times New Roman" w:cs="Times New Roman"/>
          <w:noProof/>
          <w:u w:val="single"/>
          <w:lang w:val="en-IE"/>
        </w:rPr>
        <w:t>the legislative policy options</w:t>
      </w:r>
      <w:r w:rsidRPr="00313F32">
        <w:rPr>
          <w:rFonts w:ascii="Times New Roman" w:hAnsi="Times New Roman" w:cs="Times New Roman"/>
          <w:noProof/>
          <w:u w:val="single"/>
          <w:lang w:val="en-IE"/>
        </w:rPr>
        <w:t xml:space="preserve"> </w:t>
      </w:r>
      <w:r w:rsidR="00C4445C" w:rsidRPr="00BC2666">
        <w:rPr>
          <w:rFonts w:ascii="Times New Roman" w:hAnsi="Times New Roman" w:cs="Times New Roman"/>
          <w:noProof/>
          <w:u w:val="single"/>
          <w:lang w:val="en-IE"/>
        </w:rPr>
        <w:t>(PO2.</w:t>
      </w:r>
      <w:r w:rsidR="00FE394D" w:rsidRPr="00BC2666">
        <w:rPr>
          <w:rFonts w:ascii="Times New Roman" w:hAnsi="Times New Roman" w:cs="Times New Roman"/>
          <w:noProof/>
          <w:u w:val="single"/>
          <w:lang w:val="en-IE"/>
        </w:rPr>
        <w:t>1</w:t>
      </w:r>
      <w:r w:rsidR="00C4445C" w:rsidRPr="00BC2666">
        <w:rPr>
          <w:rFonts w:ascii="Times New Roman" w:hAnsi="Times New Roman" w:cs="Times New Roman"/>
          <w:noProof/>
          <w:u w:val="single"/>
          <w:lang w:val="en-IE"/>
        </w:rPr>
        <w:t xml:space="preserve"> and PO2.</w:t>
      </w:r>
      <w:r w:rsidR="00FE394D" w:rsidRPr="00BC2666">
        <w:rPr>
          <w:rFonts w:ascii="Times New Roman" w:hAnsi="Times New Roman" w:cs="Times New Roman"/>
          <w:noProof/>
          <w:u w:val="single"/>
          <w:lang w:val="en-IE"/>
        </w:rPr>
        <w:t>2</w:t>
      </w:r>
      <w:r w:rsidR="00C4445C" w:rsidRPr="00532C20">
        <w:rPr>
          <w:rFonts w:ascii="Times New Roman" w:hAnsi="Times New Roman" w:cs="Times New Roman"/>
          <w:noProof/>
          <w:u w:val="single"/>
          <w:lang w:val="en-IE"/>
        </w:rPr>
        <w:t>)</w:t>
      </w:r>
      <w:r w:rsidR="000A550C" w:rsidRPr="00532C20">
        <w:rPr>
          <w:rFonts w:ascii="Times New Roman" w:hAnsi="Times New Roman" w:cs="Times New Roman"/>
          <w:noProof/>
          <w:u w:val="single"/>
          <w:lang w:val="en-IE"/>
        </w:rPr>
        <w:t>,</w:t>
      </w:r>
      <w:r w:rsidR="007150E6" w:rsidRPr="00532C20">
        <w:rPr>
          <w:rFonts w:ascii="Times New Roman" w:hAnsi="Times New Roman" w:cs="Times New Roman"/>
          <w:noProof/>
          <w:lang w:val="en-IE"/>
        </w:rPr>
        <w:t xml:space="preserve"> </w:t>
      </w:r>
      <w:r w:rsidR="000A550C" w:rsidRPr="00532C20">
        <w:rPr>
          <w:rFonts w:ascii="Times New Roman" w:hAnsi="Times New Roman" w:cs="Times New Roman"/>
          <w:noProof/>
          <w:lang w:val="en-IE"/>
        </w:rPr>
        <w:t>t</w:t>
      </w:r>
      <w:r w:rsidR="04AC485B" w:rsidRPr="00532C20">
        <w:rPr>
          <w:rFonts w:ascii="Times New Roman" w:hAnsi="Times New Roman" w:cs="Times New Roman"/>
          <w:noProof/>
          <w:lang w:val="en-IE"/>
        </w:rPr>
        <w:t xml:space="preserve">he </w:t>
      </w:r>
      <w:r w:rsidR="007150E6" w:rsidRPr="00532C20">
        <w:rPr>
          <w:rFonts w:ascii="Times New Roman" w:hAnsi="Times New Roman" w:cs="Times New Roman"/>
          <w:noProof/>
          <w:lang w:val="en-IE"/>
        </w:rPr>
        <w:t xml:space="preserve">transparency </w:t>
      </w:r>
      <w:r w:rsidR="04AC485B" w:rsidRPr="00532C20">
        <w:rPr>
          <w:rFonts w:ascii="Times New Roman" w:hAnsi="Times New Roman" w:cs="Times New Roman"/>
          <w:noProof/>
          <w:lang w:val="en-IE"/>
        </w:rPr>
        <w:t>registers would have to be supported by publicly accessible IT tools in line with the 2030 Digital Compass Communicatio</w:t>
      </w:r>
      <w:r w:rsidR="04AC485B" w:rsidRPr="00532C20">
        <w:rPr>
          <w:noProof/>
          <w:lang w:val="en-IE"/>
        </w:rPr>
        <w:t>n</w:t>
      </w:r>
      <w:r w:rsidR="42EC0A31" w:rsidRPr="00532C20">
        <w:rPr>
          <w:noProof/>
          <w:vertAlign w:val="superscript"/>
          <w:lang w:val="en-IE"/>
        </w:rPr>
        <w:footnoteReference w:id="217"/>
      </w:r>
      <w:r w:rsidR="5B847685" w:rsidRPr="00532C20">
        <w:rPr>
          <w:rFonts w:ascii="Times New Roman" w:hAnsi="Times New Roman" w:cs="Times New Roman"/>
          <w:noProof/>
          <w:lang w:val="en-IE"/>
        </w:rPr>
        <w:t xml:space="preserve"> </w:t>
      </w:r>
      <w:r w:rsidR="04AC485B" w:rsidRPr="00532C20">
        <w:rPr>
          <w:rFonts w:ascii="Times New Roman" w:hAnsi="Times New Roman" w:cs="Times New Roman"/>
          <w:noProof/>
          <w:lang w:val="en-IE"/>
        </w:rPr>
        <w:t>and the need to promote “digital by default” policy-making in EU legislation</w:t>
      </w:r>
      <w:r w:rsidR="42EC0A31" w:rsidRPr="00532C20">
        <w:rPr>
          <w:rFonts w:ascii="Times New Roman" w:hAnsi="Times New Roman" w:cs="Times New Roman"/>
          <w:noProof/>
          <w:vertAlign w:val="superscript"/>
          <w:lang w:val="en-IE"/>
        </w:rPr>
        <w:footnoteReference w:id="218"/>
      </w:r>
      <w:r w:rsidR="16486A4E" w:rsidRPr="00532C20">
        <w:rPr>
          <w:rFonts w:ascii="Times New Roman" w:hAnsi="Times New Roman" w:cs="Times New Roman"/>
          <w:noProof/>
          <w:lang w:val="en-IE"/>
        </w:rPr>
        <w:t>.</w:t>
      </w:r>
      <w:r w:rsidR="00713347" w:rsidRPr="00532C20">
        <w:rPr>
          <w:rFonts w:ascii="Times New Roman" w:hAnsi="Times New Roman" w:cs="Times New Roman"/>
          <w:noProof/>
          <w:lang w:val="en-IE"/>
        </w:rPr>
        <w:t xml:space="preserve"> </w:t>
      </w:r>
      <w:r w:rsidR="004836AA" w:rsidRPr="00532C20">
        <w:rPr>
          <w:rFonts w:ascii="Times New Roman" w:hAnsi="Times New Roman" w:cs="Times New Roman"/>
          <w:noProof/>
          <w:lang w:val="en-IE"/>
        </w:rPr>
        <w:t>E</w:t>
      </w:r>
      <w:r w:rsidR="00713347" w:rsidRPr="00532C20">
        <w:rPr>
          <w:rFonts w:ascii="Times New Roman" w:hAnsi="Times New Roman" w:cs="Times New Roman"/>
          <w:noProof/>
          <w:lang w:val="en-IE"/>
        </w:rPr>
        <w:t>xchanges between authorities would</w:t>
      </w:r>
      <w:r w:rsidR="004836AA" w:rsidRPr="00532C20">
        <w:rPr>
          <w:rFonts w:ascii="Times New Roman" w:hAnsi="Times New Roman" w:cs="Times New Roman"/>
          <w:noProof/>
          <w:lang w:val="en-IE"/>
        </w:rPr>
        <w:t xml:space="preserve"> also</w:t>
      </w:r>
      <w:r w:rsidR="00713347" w:rsidRPr="00532C20">
        <w:rPr>
          <w:rFonts w:ascii="Times New Roman" w:hAnsi="Times New Roman" w:cs="Times New Roman"/>
          <w:noProof/>
          <w:lang w:val="en-IE"/>
        </w:rPr>
        <w:t xml:space="preserve"> be supported by existing IT tools.</w:t>
      </w:r>
    </w:p>
    <w:p w14:paraId="7E09AE9B" w14:textId="06249F51" w:rsidR="04AC485B" w:rsidRPr="00532C20" w:rsidRDefault="000939B1" w:rsidP="004B0958">
      <w:pPr>
        <w:pStyle w:val="Text2"/>
        <w:spacing w:after="0"/>
        <w:ind w:left="0"/>
        <w:rPr>
          <w:b/>
          <w:noProof/>
        </w:rPr>
      </w:pPr>
      <w:r w:rsidRPr="00532C20">
        <w:rPr>
          <w:rFonts w:ascii="Times New Roman" w:hAnsi="Times New Roman" w:cs="Times New Roman"/>
          <w:b/>
          <w:bCs/>
          <w:noProof/>
          <w:sz w:val="22"/>
          <w:szCs w:val="22"/>
          <w:lang w:val="en-IE"/>
        </w:rPr>
        <w:t xml:space="preserve">Table </w:t>
      </w:r>
      <w:r w:rsidR="009E267A" w:rsidRPr="00532C20">
        <w:rPr>
          <w:rFonts w:ascii="Times New Roman" w:hAnsi="Times New Roman" w:cs="Times New Roman"/>
          <w:b/>
          <w:bCs/>
          <w:noProof/>
          <w:sz w:val="22"/>
          <w:szCs w:val="22"/>
          <w:lang w:val="en-IE"/>
        </w:rPr>
        <w:t>5</w:t>
      </w:r>
      <w:r w:rsidRPr="00532C20">
        <w:rPr>
          <w:rFonts w:ascii="Times New Roman" w:hAnsi="Times New Roman" w:cs="Times New Roman"/>
          <w:b/>
          <w:bCs/>
          <w:noProof/>
          <w:sz w:val="22"/>
          <w:szCs w:val="22"/>
          <w:lang w:val="en-IE"/>
        </w:rPr>
        <w:t>: Summary of the impacts for each of option considered (compared to the baseline)</w:t>
      </w:r>
    </w:p>
    <w:tbl>
      <w:tblPr>
        <w:tblStyle w:val="TableGrid"/>
        <w:tblW w:w="0" w:type="auto"/>
        <w:tblInd w:w="-5" w:type="dxa"/>
        <w:tblLook w:val="04A0" w:firstRow="1" w:lastRow="0" w:firstColumn="1" w:lastColumn="0" w:noHBand="0" w:noVBand="1"/>
      </w:tblPr>
      <w:tblGrid>
        <w:gridCol w:w="3347"/>
        <w:gridCol w:w="928"/>
        <w:gridCol w:w="1389"/>
        <w:gridCol w:w="1673"/>
        <w:gridCol w:w="1674"/>
      </w:tblGrid>
      <w:tr w:rsidR="00EA2A2B" w:rsidRPr="00532C20" w14:paraId="60183FAE" w14:textId="77777777" w:rsidTr="00731F6A">
        <w:tc>
          <w:tcPr>
            <w:tcW w:w="3397" w:type="dxa"/>
            <w:tcBorders>
              <w:top w:val="single" w:sz="8" w:space="0" w:color="auto"/>
              <w:left w:val="single" w:sz="8" w:space="0" w:color="auto"/>
            </w:tcBorders>
          </w:tcPr>
          <w:p w14:paraId="7BBB652B" w14:textId="5D724568" w:rsidR="005B5805" w:rsidRPr="00532C20" w:rsidRDefault="005B5805" w:rsidP="004B0958">
            <w:pPr>
              <w:pStyle w:val="Style111"/>
              <w:spacing w:after="0" w:line="240" w:lineRule="auto"/>
              <w:contextualSpacing w:val="0"/>
              <w:jc w:val="both"/>
              <w:rPr>
                <w:rFonts w:ascii="Times New Roman Bold" w:hAnsi="Times New Roman Bold" w:cs="Times New Roman"/>
                <w:smallCaps w:val="0"/>
                <w:noProof/>
                <w:sz w:val="20"/>
                <w:szCs w:val="20"/>
              </w:rPr>
            </w:pPr>
            <w:r w:rsidRPr="00532C20">
              <w:rPr>
                <w:rFonts w:ascii="Times New Roman Bold" w:hAnsi="Times New Roman Bold" w:cs="Times New Roman"/>
                <w:smallCaps w:val="0"/>
                <w:noProof/>
                <w:sz w:val="20"/>
                <w:szCs w:val="20"/>
              </w:rPr>
              <w:t>Impact assessed</w:t>
            </w:r>
          </w:p>
        </w:tc>
        <w:tc>
          <w:tcPr>
            <w:tcW w:w="851" w:type="dxa"/>
            <w:tcBorders>
              <w:top w:val="single" w:sz="8" w:space="0" w:color="auto"/>
            </w:tcBorders>
          </w:tcPr>
          <w:p w14:paraId="3D42E218" w14:textId="2D2EE54C" w:rsidR="005B5805" w:rsidRPr="00532C20" w:rsidRDefault="005B5805" w:rsidP="004B0958">
            <w:pPr>
              <w:pStyle w:val="Style111"/>
              <w:spacing w:after="0" w:line="240" w:lineRule="auto"/>
              <w:contextualSpacing w:val="0"/>
              <w:jc w:val="center"/>
              <w:rPr>
                <w:rFonts w:ascii="Times New Roman Bold" w:hAnsi="Times New Roman Bold" w:cs="Times New Roman"/>
                <w:smallCaps w:val="0"/>
                <w:noProof/>
                <w:sz w:val="20"/>
                <w:szCs w:val="20"/>
              </w:rPr>
            </w:pPr>
            <w:r w:rsidRPr="00532C20">
              <w:rPr>
                <w:rFonts w:ascii="Times New Roman Bold" w:hAnsi="Times New Roman Bold" w:cs="Times New Roman"/>
                <w:smallCaps w:val="0"/>
                <w:noProof/>
                <w:sz w:val="20"/>
                <w:szCs w:val="20"/>
              </w:rPr>
              <w:t>Baseline</w:t>
            </w:r>
          </w:p>
        </w:tc>
        <w:tc>
          <w:tcPr>
            <w:tcW w:w="1398" w:type="dxa"/>
            <w:tcBorders>
              <w:top w:val="single" w:sz="8" w:space="0" w:color="auto"/>
            </w:tcBorders>
          </w:tcPr>
          <w:p w14:paraId="2F9BC00E" w14:textId="52CDD3CB" w:rsidR="005B5805" w:rsidRPr="00532C20" w:rsidRDefault="005B5805" w:rsidP="004B0958">
            <w:pPr>
              <w:pStyle w:val="Style111"/>
              <w:spacing w:after="0" w:line="240" w:lineRule="auto"/>
              <w:contextualSpacing w:val="0"/>
              <w:jc w:val="center"/>
              <w:rPr>
                <w:rFonts w:ascii="Times New Roman Bold" w:hAnsi="Times New Roman Bold" w:cs="Times New Roman"/>
                <w:smallCaps w:val="0"/>
                <w:noProof/>
                <w:sz w:val="20"/>
                <w:szCs w:val="20"/>
              </w:rPr>
            </w:pPr>
            <w:r w:rsidRPr="00532C20">
              <w:rPr>
                <w:rFonts w:ascii="Times New Roman Bold" w:hAnsi="Times New Roman Bold" w:cs="Times New Roman"/>
                <w:smallCaps w:val="0"/>
                <w:noProof/>
                <w:sz w:val="20"/>
                <w:szCs w:val="20"/>
              </w:rPr>
              <w:t>Option 1</w:t>
            </w:r>
          </w:p>
        </w:tc>
        <w:tc>
          <w:tcPr>
            <w:tcW w:w="1682" w:type="dxa"/>
            <w:tcBorders>
              <w:top w:val="single" w:sz="8" w:space="0" w:color="auto"/>
            </w:tcBorders>
          </w:tcPr>
          <w:p w14:paraId="0523A2AB" w14:textId="6A1D757A" w:rsidR="005B5805" w:rsidRPr="00532C20" w:rsidRDefault="005B5805" w:rsidP="004B0958">
            <w:pPr>
              <w:pStyle w:val="Style111"/>
              <w:spacing w:after="0" w:line="240" w:lineRule="auto"/>
              <w:contextualSpacing w:val="0"/>
              <w:jc w:val="center"/>
              <w:rPr>
                <w:rFonts w:ascii="Times New Roman Bold" w:hAnsi="Times New Roman Bold" w:cs="Times New Roman"/>
                <w:smallCaps w:val="0"/>
                <w:noProof/>
                <w:sz w:val="20"/>
                <w:szCs w:val="20"/>
              </w:rPr>
            </w:pPr>
            <w:r w:rsidRPr="00532C20">
              <w:rPr>
                <w:rFonts w:ascii="Times New Roman Bold" w:hAnsi="Times New Roman Bold" w:cs="Times New Roman"/>
                <w:smallCaps w:val="0"/>
                <w:noProof/>
                <w:sz w:val="20"/>
                <w:szCs w:val="20"/>
              </w:rPr>
              <w:t xml:space="preserve">Option </w:t>
            </w:r>
            <w:r w:rsidR="00D47716" w:rsidRPr="00532C20">
              <w:rPr>
                <w:rFonts w:ascii="Times New Roman Bold" w:hAnsi="Times New Roman Bold" w:cs="Times New Roman"/>
                <w:smallCaps w:val="0"/>
                <w:noProof/>
                <w:sz w:val="20"/>
                <w:szCs w:val="20"/>
              </w:rPr>
              <w:t>2.1</w:t>
            </w:r>
          </w:p>
        </w:tc>
        <w:tc>
          <w:tcPr>
            <w:tcW w:w="1683" w:type="dxa"/>
            <w:tcBorders>
              <w:top w:val="single" w:sz="8" w:space="0" w:color="auto"/>
              <w:right w:val="single" w:sz="8" w:space="0" w:color="auto"/>
            </w:tcBorders>
          </w:tcPr>
          <w:p w14:paraId="43243BD5" w14:textId="7134FEF3" w:rsidR="005B5805" w:rsidRPr="00532C20" w:rsidRDefault="005B5805" w:rsidP="004B0958">
            <w:pPr>
              <w:pStyle w:val="Style111"/>
              <w:spacing w:after="0" w:line="240" w:lineRule="auto"/>
              <w:contextualSpacing w:val="0"/>
              <w:jc w:val="center"/>
              <w:rPr>
                <w:rFonts w:ascii="Times New Roman Bold" w:hAnsi="Times New Roman Bold" w:cs="Times New Roman"/>
                <w:smallCaps w:val="0"/>
                <w:noProof/>
                <w:sz w:val="20"/>
                <w:szCs w:val="20"/>
              </w:rPr>
            </w:pPr>
            <w:r w:rsidRPr="00532C20">
              <w:rPr>
                <w:rFonts w:ascii="Times New Roman Bold" w:hAnsi="Times New Roman Bold" w:cs="Times New Roman"/>
                <w:smallCaps w:val="0"/>
                <w:noProof/>
                <w:sz w:val="20"/>
                <w:szCs w:val="20"/>
              </w:rPr>
              <w:t xml:space="preserve">Option </w:t>
            </w:r>
            <w:r w:rsidR="008379BC" w:rsidRPr="00532C20">
              <w:rPr>
                <w:rFonts w:ascii="Times New Roman Bold" w:hAnsi="Times New Roman Bold" w:cs="Times New Roman"/>
                <w:smallCaps w:val="0"/>
                <w:noProof/>
                <w:sz w:val="20"/>
                <w:szCs w:val="20"/>
              </w:rPr>
              <w:t>2</w:t>
            </w:r>
            <w:r w:rsidR="00D47716" w:rsidRPr="00532C20">
              <w:rPr>
                <w:rFonts w:ascii="Times New Roman Bold" w:hAnsi="Times New Roman Bold" w:cs="Times New Roman"/>
                <w:smallCaps w:val="0"/>
                <w:noProof/>
                <w:sz w:val="20"/>
                <w:szCs w:val="20"/>
              </w:rPr>
              <w:t>.2</w:t>
            </w:r>
          </w:p>
        </w:tc>
      </w:tr>
      <w:tr w:rsidR="00EA2A2B" w:rsidRPr="00532C20" w14:paraId="091C795A" w14:textId="77777777" w:rsidTr="00731F6A">
        <w:tc>
          <w:tcPr>
            <w:tcW w:w="3397" w:type="dxa"/>
            <w:tcBorders>
              <w:left w:val="single" w:sz="8" w:space="0" w:color="auto"/>
              <w:bottom w:val="single" w:sz="8" w:space="0" w:color="auto"/>
            </w:tcBorders>
          </w:tcPr>
          <w:p w14:paraId="1D4FE63B" w14:textId="77777777" w:rsidR="005B5805" w:rsidRPr="00532C20" w:rsidRDefault="005B5805" w:rsidP="004B0958">
            <w:pPr>
              <w:pStyle w:val="Style111"/>
              <w:spacing w:after="0" w:line="240" w:lineRule="auto"/>
              <w:contextualSpacing w:val="0"/>
              <w:jc w:val="both"/>
              <w:rPr>
                <w:rFonts w:ascii="Times New Roman Bold" w:hAnsi="Times New Roman Bold" w:cs="Times New Roman"/>
                <w:smallCaps w:val="0"/>
                <w:noProof/>
                <w:sz w:val="20"/>
                <w:szCs w:val="20"/>
              </w:rPr>
            </w:pPr>
          </w:p>
        </w:tc>
        <w:tc>
          <w:tcPr>
            <w:tcW w:w="851" w:type="dxa"/>
            <w:tcBorders>
              <w:bottom w:val="single" w:sz="8" w:space="0" w:color="auto"/>
            </w:tcBorders>
          </w:tcPr>
          <w:p w14:paraId="5EF2077F" w14:textId="77777777" w:rsidR="005B5805" w:rsidRPr="00532C20" w:rsidRDefault="005B5805" w:rsidP="004B0958">
            <w:pPr>
              <w:pStyle w:val="Style111"/>
              <w:spacing w:after="0" w:line="240" w:lineRule="auto"/>
              <w:contextualSpacing w:val="0"/>
              <w:jc w:val="center"/>
              <w:rPr>
                <w:rFonts w:ascii="Times New Roman Bold" w:hAnsi="Times New Roman Bold" w:cs="Times New Roman"/>
                <w:smallCaps w:val="0"/>
                <w:noProof/>
                <w:sz w:val="20"/>
                <w:szCs w:val="20"/>
              </w:rPr>
            </w:pPr>
          </w:p>
        </w:tc>
        <w:tc>
          <w:tcPr>
            <w:tcW w:w="1398" w:type="dxa"/>
            <w:tcBorders>
              <w:bottom w:val="single" w:sz="8" w:space="0" w:color="auto"/>
            </w:tcBorders>
          </w:tcPr>
          <w:p w14:paraId="4235EFB8" w14:textId="0B372E25" w:rsidR="005B5805" w:rsidRPr="00532C20" w:rsidRDefault="005B5805" w:rsidP="004B0958">
            <w:pPr>
              <w:pStyle w:val="Style111"/>
              <w:spacing w:after="0" w:line="240" w:lineRule="auto"/>
              <w:contextualSpacing w:val="0"/>
              <w:jc w:val="center"/>
              <w:rPr>
                <w:rFonts w:ascii="Times New Roman Bold" w:hAnsi="Times New Roman Bold" w:cs="Times New Roman"/>
                <w:smallCaps w:val="0"/>
                <w:noProof/>
                <w:sz w:val="20"/>
                <w:szCs w:val="20"/>
              </w:rPr>
            </w:pPr>
            <w:r w:rsidRPr="00532C20">
              <w:rPr>
                <w:rFonts w:ascii="Times New Roman Bold" w:hAnsi="Times New Roman Bold" w:cs="Times New Roman"/>
                <w:smallCaps w:val="0"/>
                <w:noProof/>
                <w:sz w:val="20"/>
                <w:szCs w:val="20"/>
              </w:rPr>
              <w:t>Non legislative</w:t>
            </w:r>
          </w:p>
        </w:tc>
        <w:tc>
          <w:tcPr>
            <w:tcW w:w="1682" w:type="dxa"/>
            <w:tcBorders>
              <w:bottom w:val="single" w:sz="8" w:space="0" w:color="auto"/>
            </w:tcBorders>
          </w:tcPr>
          <w:p w14:paraId="2A3A2FE0" w14:textId="42A1D7FB" w:rsidR="005B5805" w:rsidRPr="00532C20" w:rsidRDefault="005B5805" w:rsidP="004B0958">
            <w:pPr>
              <w:pStyle w:val="Style111"/>
              <w:spacing w:after="0" w:line="240" w:lineRule="auto"/>
              <w:contextualSpacing w:val="0"/>
              <w:jc w:val="center"/>
              <w:rPr>
                <w:rFonts w:ascii="Times New Roman Bold" w:hAnsi="Times New Roman Bold" w:cs="Times New Roman"/>
                <w:smallCaps w:val="0"/>
                <w:noProof/>
                <w:sz w:val="20"/>
                <w:szCs w:val="20"/>
              </w:rPr>
            </w:pPr>
            <w:r w:rsidRPr="00532C20">
              <w:rPr>
                <w:rFonts w:ascii="Times New Roman Bold" w:hAnsi="Times New Roman Bold" w:cs="Times New Roman"/>
                <w:smallCaps w:val="0"/>
                <w:noProof/>
                <w:sz w:val="20"/>
                <w:szCs w:val="20"/>
              </w:rPr>
              <w:t>Legislative targeted requirements</w:t>
            </w:r>
          </w:p>
        </w:tc>
        <w:tc>
          <w:tcPr>
            <w:tcW w:w="1683" w:type="dxa"/>
            <w:tcBorders>
              <w:bottom w:val="single" w:sz="8" w:space="0" w:color="auto"/>
              <w:right w:val="single" w:sz="8" w:space="0" w:color="auto"/>
            </w:tcBorders>
          </w:tcPr>
          <w:p w14:paraId="21828C47" w14:textId="62057F4F" w:rsidR="005B5805" w:rsidRPr="00532C20" w:rsidRDefault="005B5805" w:rsidP="004B0958">
            <w:pPr>
              <w:pStyle w:val="Style111"/>
              <w:spacing w:after="0" w:line="240" w:lineRule="auto"/>
              <w:contextualSpacing w:val="0"/>
              <w:jc w:val="center"/>
              <w:rPr>
                <w:rFonts w:ascii="Times New Roman Bold" w:hAnsi="Times New Roman Bold" w:cs="Times New Roman"/>
                <w:smallCaps w:val="0"/>
                <w:noProof/>
                <w:sz w:val="20"/>
                <w:szCs w:val="20"/>
              </w:rPr>
            </w:pPr>
            <w:r w:rsidRPr="00532C20">
              <w:rPr>
                <w:rFonts w:ascii="Times New Roman Bold" w:hAnsi="Times New Roman Bold" w:cs="Times New Roman"/>
                <w:smallCaps w:val="0"/>
                <w:noProof/>
                <w:sz w:val="20"/>
                <w:szCs w:val="20"/>
              </w:rPr>
              <w:t>Legislative</w:t>
            </w:r>
          </w:p>
          <w:p w14:paraId="154B6989" w14:textId="0F51E846" w:rsidR="005B5805" w:rsidRPr="00532C20" w:rsidRDefault="005B5805" w:rsidP="004B0958">
            <w:pPr>
              <w:pStyle w:val="Style111"/>
              <w:spacing w:after="0" w:line="240" w:lineRule="auto"/>
              <w:contextualSpacing w:val="0"/>
              <w:jc w:val="center"/>
              <w:rPr>
                <w:rFonts w:ascii="Times New Roman Bold" w:hAnsi="Times New Roman Bold" w:cs="Times New Roman"/>
                <w:smallCaps w:val="0"/>
                <w:noProof/>
                <w:sz w:val="20"/>
                <w:szCs w:val="20"/>
              </w:rPr>
            </w:pPr>
            <w:r w:rsidRPr="00532C20">
              <w:rPr>
                <w:rFonts w:ascii="Times New Roman Bold" w:hAnsi="Times New Roman Bold" w:cs="Times New Roman"/>
                <w:smallCaps w:val="0"/>
                <w:noProof/>
                <w:sz w:val="20"/>
                <w:szCs w:val="20"/>
              </w:rPr>
              <w:t>Extended requirements</w:t>
            </w:r>
          </w:p>
        </w:tc>
      </w:tr>
      <w:tr w:rsidR="00A93E2F" w:rsidRPr="00532C20" w14:paraId="62AE1224" w14:textId="77777777" w:rsidTr="00731F6A">
        <w:tc>
          <w:tcPr>
            <w:tcW w:w="3397" w:type="dxa"/>
            <w:tcBorders>
              <w:top w:val="single" w:sz="8" w:space="0" w:color="auto"/>
              <w:left w:val="single" w:sz="8" w:space="0" w:color="auto"/>
              <w:bottom w:val="single" w:sz="6" w:space="0" w:color="auto"/>
            </w:tcBorders>
          </w:tcPr>
          <w:p w14:paraId="2468173D" w14:textId="567362F9" w:rsidR="005B5805" w:rsidRPr="00532C20" w:rsidRDefault="005B5805" w:rsidP="004B0958">
            <w:pPr>
              <w:pStyle w:val="Style111"/>
              <w:spacing w:after="0" w:line="240" w:lineRule="auto"/>
              <w:contextualSpacing w:val="0"/>
              <w:rPr>
                <w:rFonts w:ascii="Times New Roman Bold" w:hAnsi="Times New Roman Bold" w:cs="Times New Roman"/>
                <w:i/>
                <w:smallCaps w:val="0"/>
                <w:noProof/>
                <w:sz w:val="20"/>
                <w:szCs w:val="20"/>
              </w:rPr>
            </w:pPr>
            <w:r w:rsidRPr="00532C20">
              <w:rPr>
                <w:rFonts w:ascii="Times New Roman Bold" w:hAnsi="Times New Roman Bold" w:cs="Times New Roman"/>
                <w:i/>
                <w:smallCaps w:val="0"/>
                <w:noProof/>
                <w:sz w:val="20"/>
                <w:szCs w:val="20"/>
              </w:rPr>
              <w:t>Economic impacts</w:t>
            </w:r>
          </w:p>
        </w:tc>
        <w:tc>
          <w:tcPr>
            <w:tcW w:w="851" w:type="dxa"/>
            <w:tcBorders>
              <w:top w:val="single" w:sz="8" w:space="0" w:color="auto"/>
              <w:bottom w:val="single" w:sz="6" w:space="0" w:color="auto"/>
            </w:tcBorders>
          </w:tcPr>
          <w:p w14:paraId="04187311" w14:textId="5F45A5CE" w:rsidR="005B5805" w:rsidRPr="00532C20" w:rsidRDefault="005B5805" w:rsidP="004B0958">
            <w:pPr>
              <w:pStyle w:val="Style111"/>
              <w:spacing w:after="0" w:line="240" w:lineRule="auto"/>
              <w:contextualSpacing w:val="0"/>
              <w:jc w:val="center"/>
              <w:rPr>
                <w:rFonts w:ascii="Times New Roman Bold" w:hAnsi="Times New Roman Bold" w:cs="Times New Roman"/>
                <w:i/>
                <w:smallCaps w:val="0"/>
                <w:noProof/>
                <w:sz w:val="20"/>
                <w:szCs w:val="20"/>
              </w:rPr>
            </w:pPr>
            <w:r w:rsidRPr="00532C20">
              <w:rPr>
                <w:rFonts w:ascii="Times New Roman Bold" w:hAnsi="Times New Roman Bold" w:cs="Times New Roman"/>
                <w:i/>
                <w:smallCaps w:val="0"/>
                <w:noProof/>
                <w:sz w:val="20"/>
                <w:szCs w:val="20"/>
              </w:rPr>
              <w:t>0</w:t>
            </w:r>
          </w:p>
        </w:tc>
        <w:tc>
          <w:tcPr>
            <w:tcW w:w="1398" w:type="dxa"/>
            <w:tcBorders>
              <w:top w:val="single" w:sz="8" w:space="0" w:color="auto"/>
              <w:bottom w:val="single" w:sz="6" w:space="0" w:color="auto"/>
            </w:tcBorders>
            <w:vAlign w:val="center"/>
          </w:tcPr>
          <w:p w14:paraId="47B648C2" w14:textId="42379FA6" w:rsidR="005B5805" w:rsidRPr="00532C20" w:rsidRDefault="005B5805" w:rsidP="004B0958">
            <w:pPr>
              <w:pStyle w:val="Style111"/>
              <w:spacing w:after="0" w:line="240" w:lineRule="auto"/>
              <w:contextualSpacing w:val="0"/>
              <w:jc w:val="center"/>
              <w:rPr>
                <w:rFonts w:ascii="Times New Roman Bold" w:hAnsi="Times New Roman Bold" w:cs="Times New Roman"/>
                <w:i/>
                <w:smallCaps w:val="0"/>
                <w:noProof/>
                <w:sz w:val="20"/>
                <w:szCs w:val="20"/>
              </w:rPr>
            </w:pPr>
            <w:r w:rsidRPr="00532C20">
              <w:rPr>
                <w:rFonts w:ascii="Times New Roman Bold" w:hAnsi="Times New Roman Bold" w:cs="Times New Roman"/>
                <w:i/>
                <w:smallCaps w:val="0"/>
                <w:noProof/>
                <w:sz w:val="20"/>
                <w:szCs w:val="20"/>
              </w:rPr>
              <w:t>+</w:t>
            </w:r>
          </w:p>
        </w:tc>
        <w:tc>
          <w:tcPr>
            <w:tcW w:w="1682" w:type="dxa"/>
            <w:tcBorders>
              <w:top w:val="single" w:sz="8" w:space="0" w:color="auto"/>
              <w:bottom w:val="single" w:sz="6" w:space="0" w:color="auto"/>
            </w:tcBorders>
            <w:vAlign w:val="center"/>
          </w:tcPr>
          <w:p w14:paraId="37120FBF" w14:textId="7E76EE13" w:rsidR="005B5805" w:rsidRPr="00532C20" w:rsidRDefault="005B5805" w:rsidP="004B0958">
            <w:pPr>
              <w:pStyle w:val="Style111"/>
              <w:spacing w:after="0" w:line="240" w:lineRule="auto"/>
              <w:contextualSpacing w:val="0"/>
              <w:jc w:val="center"/>
              <w:rPr>
                <w:rFonts w:ascii="Times New Roman Bold" w:hAnsi="Times New Roman Bold" w:cs="Times New Roman"/>
                <w:i/>
                <w:smallCaps w:val="0"/>
                <w:noProof/>
                <w:sz w:val="20"/>
                <w:szCs w:val="20"/>
              </w:rPr>
            </w:pPr>
            <w:r w:rsidRPr="00532C20">
              <w:rPr>
                <w:rFonts w:ascii="Times New Roman Bold" w:hAnsi="Times New Roman Bold" w:cs="Times New Roman"/>
                <w:i/>
                <w:smallCaps w:val="0"/>
                <w:noProof/>
                <w:sz w:val="20"/>
                <w:szCs w:val="20"/>
              </w:rPr>
              <w:t>++</w:t>
            </w:r>
          </w:p>
        </w:tc>
        <w:tc>
          <w:tcPr>
            <w:tcW w:w="1683" w:type="dxa"/>
            <w:tcBorders>
              <w:top w:val="single" w:sz="8" w:space="0" w:color="auto"/>
              <w:bottom w:val="single" w:sz="6" w:space="0" w:color="auto"/>
              <w:right w:val="single" w:sz="8" w:space="0" w:color="auto"/>
            </w:tcBorders>
            <w:vAlign w:val="center"/>
          </w:tcPr>
          <w:p w14:paraId="4AF2E0FC" w14:textId="1C67D188" w:rsidR="005B5805" w:rsidRPr="00532C20" w:rsidRDefault="005B5805" w:rsidP="004B0958">
            <w:pPr>
              <w:pStyle w:val="Style111"/>
              <w:spacing w:after="0" w:line="240" w:lineRule="auto"/>
              <w:contextualSpacing w:val="0"/>
              <w:jc w:val="center"/>
              <w:rPr>
                <w:rFonts w:ascii="Times New Roman Bold" w:hAnsi="Times New Roman Bold" w:cs="Times New Roman"/>
                <w:b w:val="0"/>
                <w:i/>
                <w:smallCaps w:val="0"/>
                <w:noProof/>
                <w:sz w:val="20"/>
                <w:szCs w:val="20"/>
              </w:rPr>
            </w:pPr>
            <w:r w:rsidRPr="00532C20">
              <w:rPr>
                <w:rFonts w:ascii="Times New Roman Bold" w:hAnsi="Times New Roman Bold" w:cs="Times New Roman"/>
                <w:b w:val="0"/>
                <w:bCs/>
                <w:i/>
                <w:smallCaps w:val="0"/>
                <w:noProof/>
                <w:sz w:val="20"/>
                <w:szCs w:val="20"/>
              </w:rPr>
              <w:t>+</w:t>
            </w:r>
          </w:p>
        </w:tc>
      </w:tr>
      <w:tr w:rsidR="00656FFD" w:rsidRPr="00532C20" w14:paraId="629421B3" w14:textId="77777777" w:rsidTr="00731F6A">
        <w:tc>
          <w:tcPr>
            <w:tcW w:w="3397" w:type="dxa"/>
            <w:tcBorders>
              <w:top w:val="single" w:sz="6" w:space="0" w:color="auto"/>
              <w:left w:val="single" w:sz="8" w:space="0" w:color="auto"/>
            </w:tcBorders>
          </w:tcPr>
          <w:p w14:paraId="4AFACCD0" w14:textId="7603D281" w:rsidR="005B5805" w:rsidRPr="00532C20" w:rsidRDefault="005B5805" w:rsidP="004B0958">
            <w:pPr>
              <w:pStyle w:val="Text2"/>
              <w:spacing w:after="0"/>
              <w:ind w:left="0"/>
              <w:jc w:val="left"/>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Functioning of the internal market</w:t>
            </w:r>
          </w:p>
        </w:tc>
        <w:tc>
          <w:tcPr>
            <w:tcW w:w="851" w:type="dxa"/>
            <w:tcBorders>
              <w:top w:val="single" w:sz="6" w:space="0" w:color="auto"/>
            </w:tcBorders>
          </w:tcPr>
          <w:p w14:paraId="7F8DB213" w14:textId="32861E30" w:rsidR="005B5805" w:rsidRPr="00532C20" w:rsidRDefault="005B5805"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0</w:t>
            </w:r>
          </w:p>
        </w:tc>
        <w:tc>
          <w:tcPr>
            <w:tcW w:w="1398" w:type="dxa"/>
            <w:tcBorders>
              <w:top w:val="single" w:sz="6" w:space="0" w:color="auto"/>
            </w:tcBorders>
            <w:vAlign w:val="center"/>
          </w:tcPr>
          <w:p w14:paraId="3FB44EB3" w14:textId="6679C74F" w:rsidR="005B5805" w:rsidRPr="00532C20" w:rsidRDefault="005B5805"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w:t>
            </w:r>
          </w:p>
        </w:tc>
        <w:tc>
          <w:tcPr>
            <w:tcW w:w="1682" w:type="dxa"/>
            <w:tcBorders>
              <w:top w:val="single" w:sz="6" w:space="0" w:color="auto"/>
            </w:tcBorders>
            <w:vAlign w:val="center"/>
          </w:tcPr>
          <w:p w14:paraId="033C0ABD" w14:textId="46E0C9DB" w:rsidR="005B5805" w:rsidRPr="00532C20" w:rsidRDefault="005B5805"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w:t>
            </w:r>
            <w:r w:rsidR="00E040C3" w:rsidRPr="00532C20">
              <w:rPr>
                <w:rFonts w:ascii="Times New Roman" w:hAnsi="Times New Roman" w:cs="Times New Roman"/>
                <w:noProof/>
                <w:sz w:val="20"/>
                <w:lang w:val="en-IE" w:eastAsia="en-US"/>
              </w:rPr>
              <w:t>+</w:t>
            </w:r>
          </w:p>
        </w:tc>
        <w:tc>
          <w:tcPr>
            <w:tcW w:w="1683" w:type="dxa"/>
            <w:tcBorders>
              <w:top w:val="single" w:sz="6" w:space="0" w:color="auto"/>
              <w:right w:val="single" w:sz="8" w:space="0" w:color="auto"/>
            </w:tcBorders>
            <w:vAlign w:val="center"/>
          </w:tcPr>
          <w:p w14:paraId="3174A2BE" w14:textId="71418DED" w:rsidR="005B5805" w:rsidRPr="00532C20" w:rsidRDefault="005B5805"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w:t>
            </w:r>
            <w:r w:rsidR="00E040C3" w:rsidRPr="00532C20">
              <w:rPr>
                <w:rFonts w:ascii="Times New Roman" w:hAnsi="Times New Roman" w:cs="Times New Roman"/>
                <w:noProof/>
                <w:sz w:val="20"/>
                <w:lang w:val="en-IE" w:eastAsia="en-US"/>
              </w:rPr>
              <w:t>+</w:t>
            </w:r>
          </w:p>
        </w:tc>
      </w:tr>
      <w:tr w:rsidR="00774F4E" w:rsidRPr="00532C20" w14:paraId="638E7FFD" w14:textId="77777777" w:rsidTr="00731F6A">
        <w:tc>
          <w:tcPr>
            <w:tcW w:w="3397" w:type="dxa"/>
            <w:tcBorders>
              <w:left w:val="single" w:sz="8" w:space="0" w:color="auto"/>
            </w:tcBorders>
          </w:tcPr>
          <w:p w14:paraId="68272DDD" w14:textId="049672F0" w:rsidR="005B5805" w:rsidRPr="00532C20" w:rsidRDefault="005B5805" w:rsidP="004B0958">
            <w:pPr>
              <w:pStyle w:val="Text2"/>
              <w:spacing w:after="0"/>
              <w:ind w:left="0"/>
              <w:jc w:val="left"/>
              <w:rPr>
                <w:rFonts w:ascii="Times New Roman" w:hAnsi="Times New Roman" w:cs="Times New Roman"/>
                <w:noProof/>
                <w:sz w:val="20"/>
                <w:lang w:val="en-IE"/>
              </w:rPr>
            </w:pPr>
            <w:r w:rsidRPr="00532C20">
              <w:rPr>
                <w:rFonts w:ascii="Times New Roman" w:hAnsi="Times New Roman" w:cs="Times New Roman"/>
                <w:noProof/>
                <w:sz w:val="20"/>
                <w:lang w:val="en-IE"/>
              </w:rPr>
              <w:t>Competitiveness</w:t>
            </w:r>
          </w:p>
        </w:tc>
        <w:tc>
          <w:tcPr>
            <w:tcW w:w="851" w:type="dxa"/>
          </w:tcPr>
          <w:p w14:paraId="47F4979C" w14:textId="44B131EB" w:rsidR="005B5805" w:rsidRPr="00532C20" w:rsidRDefault="005B5805"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0</w:t>
            </w:r>
          </w:p>
        </w:tc>
        <w:tc>
          <w:tcPr>
            <w:tcW w:w="1398" w:type="dxa"/>
            <w:vAlign w:val="center"/>
          </w:tcPr>
          <w:p w14:paraId="18DCCD42" w14:textId="3D7470DE" w:rsidR="005B5805" w:rsidRPr="00532C20" w:rsidRDefault="005B5805"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w:t>
            </w:r>
          </w:p>
        </w:tc>
        <w:tc>
          <w:tcPr>
            <w:tcW w:w="1682" w:type="dxa"/>
            <w:vAlign w:val="center"/>
          </w:tcPr>
          <w:p w14:paraId="69BB1B64" w14:textId="53E36987" w:rsidR="005B5805" w:rsidRPr="00532C20" w:rsidRDefault="005B5805"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w:t>
            </w:r>
          </w:p>
        </w:tc>
        <w:tc>
          <w:tcPr>
            <w:tcW w:w="1683" w:type="dxa"/>
            <w:tcBorders>
              <w:right w:val="single" w:sz="8" w:space="0" w:color="auto"/>
            </w:tcBorders>
            <w:vAlign w:val="center"/>
          </w:tcPr>
          <w:p w14:paraId="4A16B0EE" w14:textId="22ECBA5E" w:rsidR="005B5805" w:rsidRPr="00532C20" w:rsidRDefault="005B5805"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w:t>
            </w:r>
          </w:p>
        </w:tc>
      </w:tr>
      <w:tr w:rsidR="00774F4E" w:rsidRPr="00532C20" w14:paraId="4B1E5F17" w14:textId="77777777" w:rsidTr="00731F6A">
        <w:tc>
          <w:tcPr>
            <w:tcW w:w="3397" w:type="dxa"/>
            <w:tcBorders>
              <w:left w:val="single" w:sz="8" w:space="0" w:color="auto"/>
            </w:tcBorders>
          </w:tcPr>
          <w:p w14:paraId="67DDB63A" w14:textId="6404C398" w:rsidR="005B5805" w:rsidRPr="00532C20" w:rsidRDefault="005B5805" w:rsidP="004B0958">
            <w:pPr>
              <w:pStyle w:val="Text2"/>
              <w:spacing w:after="0"/>
              <w:ind w:left="0"/>
              <w:jc w:val="left"/>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Costs and administrative burdens on economic operators (+SMEs)</w:t>
            </w:r>
          </w:p>
        </w:tc>
        <w:tc>
          <w:tcPr>
            <w:tcW w:w="851" w:type="dxa"/>
          </w:tcPr>
          <w:p w14:paraId="1A46B7DD" w14:textId="1D8B0FBB" w:rsidR="005B5805" w:rsidRPr="00532C20" w:rsidRDefault="005B5805"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0</w:t>
            </w:r>
          </w:p>
        </w:tc>
        <w:tc>
          <w:tcPr>
            <w:tcW w:w="1398" w:type="dxa"/>
            <w:vAlign w:val="center"/>
          </w:tcPr>
          <w:p w14:paraId="2F4C1224" w14:textId="3EE45FDB" w:rsidR="005B5805" w:rsidRPr="00532C20" w:rsidRDefault="006A52C4"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w:t>
            </w:r>
          </w:p>
        </w:tc>
        <w:tc>
          <w:tcPr>
            <w:tcW w:w="1682" w:type="dxa"/>
            <w:vAlign w:val="center"/>
          </w:tcPr>
          <w:p w14:paraId="1460AE65" w14:textId="266FA255" w:rsidR="005B5805" w:rsidRPr="00532C20" w:rsidRDefault="00E9040D"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w:t>
            </w:r>
          </w:p>
        </w:tc>
        <w:tc>
          <w:tcPr>
            <w:tcW w:w="1683" w:type="dxa"/>
            <w:tcBorders>
              <w:right w:val="single" w:sz="8" w:space="0" w:color="auto"/>
            </w:tcBorders>
            <w:vAlign w:val="center"/>
          </w:tcPr>
          <w:p w14:paraId="5C0F1ED3" w14:textId="204E5587" w:rsidR="005B5805" w:rsidRPr="00532C20" w:rsidRDefault="00E9040D"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w:t>
            </w:r>
          </w:p>
        </w:tc>
      </w:tr>
      <w:tr w:rsidR="00656FFD" w:rsidRPr="00532C20" w14:paraId="06AF83A9" w14:textId="77777777" w:rsidTr="00731F6A">
        <w:tc>
          <w:tcPr>
            <w:tcW w:w="3397" w:type="dxa"/>
            <w:tcBorders>
              <w:left w:val="single" w:sz="8" w:space="0" w:color="auto"/>
              <w:bottom w:val="single" w:sz="8" w:space="0" w:color="auto"/>
            </w:tcBorders>
          </w:tcPr>
          <w:p w14:paraId="6732D869" w14:textId="35EE6D8B" w:rsidR="005B5805" w:rsidRPr="00532C20" w:rsidRDefault="005B5805" w:rsidP="004B0958">
            <w:pPr>
              <w:pStyle w:val="Text2"/>
              <w:spacing w:after="0"/>
              <w:ind w:left="0"/>
              <w:jc w:val="left"/>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Costs for public authorities</w:t>
            </w:r>
          </w:p>
        </w:tc>
        <w:tc>
          <w:tcPr>
            <w:tcW w:w="851" w:type="dxa"/>
            <w:tcBorders>
              <w:bottom w:val="single" w:sz="8" w:space="0" w:color="auto"/>
            </w:tcBorders>
          </w:tcPr>
          <w:p w14:paraId="0F7E0CEC" w14:textId="38BE351F" w:rsidR="005B5805" w:rsidRPr="00532C20" w:rsidRDefault="005B5805"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0</w:t>
            </w:r>
          </w:p>
        </w:tc>
        <w:tc>
          <w:tcPr>
            <w:tcW w:w="1398" w:type="dxa"/>
            <w:tcBorders>
              <w:bottom w:val="single" w:sz="8" w:space="0" w:color="auto"/>
            </w:tcBorders>
            <w:vAlign w:val="center"/>
          </w:tcPr>
          <w:p w14:paraId="6BD405AE" w14:textId="519949E1" w:rsidR="005B5805" w:rsidRPr="00532C20" w:rsidRDefault="00B4133B"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w:t>
            </w:r>
          </w:p>
        </w:tc>
        <w:tc>
          <w:tcPr>
            <w:tcW w:w="1682" w:type="dxa"/>
            <w:tcBorders>
              <w:bottom w:val="single" w:sz="8" w:space="0" w:color="auto"/>
            </w:tcBorders>
            <w:vAlign w:val="center"/>
          </w:tcPr>
          <w:p w14:paraId="3FEAE084" w14:textId="29FF36B8" w:rsidR="005B5805" w:rsidRPr="00532C20" w:rsidRDefault="00B4133B"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w:t>
            </w:r>
          </w:p>
        </w:tc>
        <w:tc>
          <w:tcPr>
            <w:tcW w:w="1683" w:type="dxa"/>
            <w:tcBorders>
              <w:bottom w:val="single" w:sz="8" w:space="0" w:color="auto"/>
              <w:right w:val="single" w:sz="8" w:space="0" w:color="auto"/>
            </w:tcBorders>
            <w:vAlign w:val="center"/>
          </w:tcPr>
          <w:p w14:paraId="30B40EFB" w14:textId="162A5101" w:rsidR="005B5805" w:rsidRPr="00532C20" w:rsidRDefault="00B4133B"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w:t>
            </w:r>
            <w:r w:rsidR="0029162F" w:rsidRPr="00532C20">
              <w:rPr>
                <w:rFonts w:ascii="Times New Roman" w:hAnsi="Times New Roman" w:cs="Times New Roman"/>
                <w:noProof/>
                <w:sz w:val="20"/>
                <w:lang w:val="en-IE" w:eastAsia="en-US"/>
              </w:rPr>
              <w:t xml:space="preserve"> </w:t>
            </w:r>
            <w:r w:rsidRPr="00532C20">
              <w:rPr>
                <w:rFonts w:ascii="Times New Roman" w:hAnsi="Times New Roman" w:cs="Times New Roman"/>
                <w:noProof/>
                <w:sz w:val="20"/>
                <w:lang w:val="en-IE" w:eastAsia="en-US"/>
              </w:rPr>
              <w:t>-</w:t>
            </w:r>
          </w:p>
        </w:tc>
      </w:tr>
      <w:tr w:rsidR="00A93E2F" w:rsidRPr="00532C20" w14:paraId="6888DA86" w14:textId="77777777" w:rsidTr="00731F6A">
        <w:tc>
          <w:tcPr>
            <w:tcW w:w="3397" w:type="dxa"/>
            <w:tcBorders>
              <w:top w:val="single" w:sz="8" w:space="0" w:color="auto"/>
              <w:left w:val="single" w:sz="8" w:space="0" w:color="auto"/>
              <w:bottom w:val="single" w:sz="6" w:space="0" w:color="auto"/>
            </w:tcBorders>
          </w:tcPr>
          <w:p w14:paraId="165AA105" w14:textId="444B452D" w:rsidR="005B5805" w:rsidRPr="00532C20" w:rsidRDefault="005B5805" w:rsidP="004B0958">
            <w:pPr>
              <w:pStyle w:val="Style111"/>
              <w:spacing w:after="0" w:line="240" w:lineRule="auto"/>
              <w:contextualSpacing w:val="0"/>
              <w:rPr>
                <w:rFonts w:ascii="Times New Roman Bold" w:hAnsi="Times New Roman Bold" w:cs="Times New Roman"/>
                <w:i/>
                <w:smallCaps w:val="0"/>
                <w:noProof/>
                <w:sz w:val="20"/>
                <w:szCs w:val="20"/>
              </w:rPr>
            </w:pPr>
            <w:r w:rsidRPr="00532C20">
              <w:rPr>
                <w:rFonts w:ascii="Times New Roman Bold" w:hAnsi="Times New Roman Bold" w:cs="Times New Roman"/>
                <w:i/>
                <w:iCs/>
                <w:smallCaps w:val="0"/>
                <w:noProof/>
                <w:sz w:val="20"/>
                <w:szCs w:val="20"/>
              </w:rPr>
              <w:t>Social impacts</w:t>
            </w:r>
          </w:p>
        </w:tc>
        <w:tc>
          <w:tcPr>
            <w:tcW w:w="851" w:type="dxa"/>
            <w:tcBorders>
              <w:top w:val="single" w:sz="8" w:space="0" w:color="auto"/>
              <w:bottom w:val="single" w:sz="6" w:space="0" w:color="auto"/>
            </w:tcBorders>
          </w:tcPr>
          <w:p w14:paraId="42DEC89B" w14:textId="50192EE2" w:rsidR="005B5805" w:rsidRPr="00532C20" w:rsidRDefault="005B5805" w:rsidP="004B0958">
            <w:pPr>
              <w:pStyle w:val="Style111"/>
              <w:spacing w:after="0" w:line="240" w:lineRule="auto"/>
              <w:contextualSpacing w:val="0"/>
              <w:jc w:val="center"/>
              <w:rPr>
                <w:rFonts w:ascii="Times New Roman Bold" w:hAnsi="Times New Roman Bold" w:cs="Times New Roman"/>
                <w:i/>
                <w:iCs/>
                <w:smallCaps w:val="0"/>
                <w:noProof/>
                <w:sz w:val="20"/>
                <w:szCs w:val="20"/>
              </w:rPr>
            </w:pPr>
            <w:r w:rsidRPr="00532C20">
              <w:rPr>
                <w:rFonts w:ascii="Times New Roman Bold" w:hAnsi="Times New Roman Bold" w:cs="Times New Roman"/>
                <w:i/>
                <w:iCs/>
                <w:smallCaps w:val="0"/>
                <w:noProof/>
                <w:sz w:val="20"/>
                <w:szCs w:val="20"/>
              </w:rPr>
              <w:t>0</w:t>
            </w:r>
          </w:p>
        </w:tc>
        <w:tc>
          <w:tcPr>
            <w:tcW w:w="1398" w:type="dxa"/>
            <w:tcBorders>
              <w:top w:val="single" w:sz="8" w:space="0" w:color="auto"/>
              <w:bottom w:val="single" w:sz="6" w:space="0" w:color="auto"/>
            </w:tcBorders>
            <w:vAlign w:val="center"/>
          </w:tcPr>
          <w:p w14:paraId="05768360" w14:textId="1925AAB6" w:rsidR="005B5805" w:rsidRPr="00532C20" w:rsidRDefault="005B5805" w:rsidP="004B0958">
            <w:pPr>
              <w:pStyle w:val="Style111"/>
              <w:spacing w:after="0" w:line="240" w:lineRule="auto"/>
              <w:contextualSpacing w:val="0"/>
              <w:jc w:val="center"/>
              <w:rPr>
                <w:rFonts w:ascii="Times New Roman Bold" w:hAnsi="Times New Roman Bold" w:cs="Times New Roman"/>
                <w:i/>
                <w:smallCaps w:val="0"/>
                <w:noProof/>
                <w:sz w:val="20"/>
                <w:szCs w:val="20"/>
              </w:rPr>
            </w:pPr>
            <w:r w:rsidRPr="00532C20">
              <w:rPr>
                <w:rFonts w:ascii="Times New Roman Bold" w:hAnsi="Times New Roman Bold" w:cs="Times New Roman"/>
                <w:i/>
                <w:iCs/>
                <w:smallCaps w:val="0"/>
                <w:noProof/>
                <w:sz w:val="20"/>
                <w:szCs w:val="20"/>
              </w:rPr>
              <w:t>+</w:t>
            </w:r>
          </w:p>
        </w:tc>
        <w:tc>
          <w:tcPr>
            <w:tcW w:w="1682" w:type="dxa"/>
            <w:tcBorders>
              <w:top w:val="single" w:sz="8" w:space="0" w:color="auto"/>
              <w:bottom w:val="single" w:sz="6" w:space="0" w:color="auto"/>
            </w:tcBorders>
            <w:vAlign w:val="center"/>
          </w:tcPr>
          <w:p w14:paraId="2E9AB179" w14:textId="36AAFE40" w:rsidR="005B5805" w:rsidRPr="00532C20" w:rsidRDefault="005B5805" w:rsidP="004B0958">
            <w:pPr>
              <w:pStyle w:val="Style111"/>
              <w:spacing w:after="0" w:line="240" w:lineRule="auto"/>
              <w:contextualSpacing w:val="0"/>
              <w:jc w:val="center"/>
              <w:rPr>
                <w:rFonts w:ascii="Times New Roman Bold" w:hAnsi="Times New Roman Bold" w:cs="Times New Roman"/>
                <w:i/>
                <w:smallCaps w:val="0"/>
                <w:noProof/>
                <w:sz w:val="20"/>
                <w:szCs w:val="20"/>
              </w:rPr>
            </w:pPr>
            <w:r w:rsidRPr="00532C20">
              <w:rPr>
                <w:rFonts w:ascii="Times New Roman Bold" w:hAnsi="Times New Roman Bold" w:cs="Times New Roman"/>
                <w:i/>
                <w:iCs/>
                <w:smallCaps w:val="0"/>
                <w:noProof/>
                <w:sz w:val="20"/>
                <w:szCs w:val="20"/>
              </w:rPr>
              <w:t>++</w:t>
            </w:r>
          </w:p>
        </w:tc>
        <w:tc>
          <w:tcPr>
            <w:tcW w:w="1683" w:type="dxa"/>
            <w:tcBorders>
              <w:top w:val="single" w:sz="8" w:space="0" w:color="auto"/>
              <w:bottom w:val="single" w:sz="6" w:space="0" w:color="auto"/>
              <w:right w:val="single" w:sz="8" w:space="0" w:color="auto"/>
            </w:tcBorders>
            <w:vAlign w:val="center"/>
          </w:tcPr>
          <w:p w14:paraId="7F974040" w14:textId="2B18AA6E" w:rsidR="005B5805" w:rsidRPr="00532C20" w:rsidRDefault="005B5805" w:rsidP="004B0958">
            <w:pPr>
              <w:pStyle w:val="Style111"/>
              <w:spacing w:after="0" w:line="240" w:lineRule="auto"/>
              <w:contextualSpacing w:val="0"/>
              <w:jc w:val="center"/>
              <w:rPr>
                <w:rFonts w:ascii="Times New Roman Bold" w:hAnsi="Times New Roman Bold" w:cs="Times New Roman"/>
                <w:i/>
                <w:smallCaps w:val="0"/>
                <w:noProof/>
                <w:sz w:val="20"/>
                <w:szCs w:val="20"/>
              </w:rPr>
            </w:pPr>
            <w:r w:rsidRPr="00532C20">
              <w:rPr>
                <w:rFonts w:ascii="Times New Roman Bold" w:hAnsi="Times New Roman Bold" w:cs="Times New Roman"/>
                <w:i/>
                <w:iCs/>
                <w:smallCaps w:val="0"/>
                <w:noProof/>
                <w:sz w:val="20"/>
                <w:szCs w:val="20"/>
              </w:rPr>
              <w:t>++</w:t>
            </w:r>
          </w:p>
        </w:tc>
      </w:tr>
      <w:tr w:rsidR="00656FFD" w:rsidRPr="00532C20" w14:paraId="31F25916" w14:textId="77777777" w:rsidTr="00731F6A">
        <w:tc>
          <w:tcPr>
            <w:tcW w:w="3397" w:type="dxa"/>
            <w:tcBorders>
              <w:top w:val="single" w:sz="6" w:space="0" w:color="auto"/>
              <w:left w:val="single" w:sz="8" w:space="0" w:color="auto"/>
            </w:tcBorders>
          </w:tcPr>
          <w:p w14:paraId="570E6433" w14:textId="0BBC068A" w:rsidR="005B5805" w:rsidRPr="00532C20" w:rsidRDefault="005B5805" w:rsidP="004B0958">
            <w:pPr>
              <w:pStyle w:val="Text2"/>
              <w:spacing w:after="0"/>
              <w:ind w:left="0"/>
              <w:jc w:val="left"/>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Transparency of interest representation activities carried out on behalf of third countries</w:t>
            </w:r>
          </w:p>
        </w:tc>
        <w:tc>
          <w:tcPr>
            <w:tcW w:w="851" w:type="dxa"/>
            <w:tcBorders>
              <w:top w:val="single" w:sz="6" w:space="0" w:color="auto"/>
            </w:tcBorders>
          </w:tcPr>
          <w:p w14:paraId="1E449033" w14:textId="7299C731" w:rsidR="005B5805" w:rsidRPr="00532C20" w:rsidRDefault="005B5805" w:rsidP="004B0958">
            <w:pPr>
              <w:pStyle w:val="Text2"/>
              <w:spacing w:after="0"/>
              <w:ind w:left="0"/>
              <w:jc w:val="center"/>
              <w:rPr>
                <w:rFonts w:ascii="Times New Roman" w:hAnsi="Times New Roman" w:cs="Times New Roman"/>
                <w:bCs/>
                <w:noProof/>
                <w:sz w:val="20"/>
                <w:lang w:val="en-IE"/>
              </w:rPr>
            </w:pPr>
            <w:r w:rsidRPr="00532C20">
              <w:rPr>
                <w:rFonts w:ascii="Times New Roman" w:hAnsi="Times New Roman" w:cs="Times New Roman"/>
                <w:bCs/>
                <w:noProof/>
                <w:sz w:val="20"/>
                <w:lang w:val="en-IE"/>
              </w:rPr>
              <w:t>0</w:t>
            </w:r>
          </w:p>
        </w:tc>
        <w:tc>
          <w:tcPr>
            <w:tcW w:w="1398" w:type="dxa"/>
            <w:tcBorders>
              <w:top w:val="single" w:sz="6" w:space="0" w:color="auto"/>
            </w:tcBorders>
            <w:vAlign w:val="center"/>
          </w:tcPr>
          <w:p w14:paraId="11A37A5C" w14:textId="76866E5B" w:rsidR="005B5805" w:rsidRPr="00532C20" w:rsidRDefault="005B5805" w:rsidP="004B0958">
            <w:pPr>
              <w:pStyle w:val="Text2"/>
              <w:spacing w:after="0"/>
              <w:ind w:left="0"/>
              <w:jc w:val="center"/>
              <w:rPr>
                <w:rFonts w:ascii="Times New Roman" w:hAnsi="Times New Roman" w:cs="Times New Roman"/>
                <w:bCs/>
                <w:noProof/>
                <w:sz w:val="20"/>
                <w:lang w:val="en-IE" w:eastAsia="en-US"/>
              </w:rPr>
            </w:pPr>
            <w:r w:rsidRPr="00532C20">
              <w:rPr>
                <w:rFonts w:ascii="Times New Roman" w:hAnsi="Times New Roman" w:cs="Times New Roman"/>
                <w:bCs/>
                <w:noProof/>
                <w:sz w:val="20"/>
                <w:lang w:val="en-IE" w:eastAsia="en-US"/>
              </w:rPr>
              <w:t>++</w:t>
            </w:r>
          </w:p>
        </w:tc>
        <w:tc>
          <w:tcPr>
            <w:tcW w:w="1682" w:type="dxa"/>
            <w:tcBorders>
              <w:top w:val="single" w:sz="6" w:space="0" w:color="auto"/>
            </w:tcBorders>
            <w:vAlign w:val="center"/>
          </w:tcPr>
          <w:p w14:paraId="4799D1E5" w14:textId="6F59C121" w:rsidR="005B5805" w:rsidRPr="00532C20" w:rsidRDefault="005B5805" w:rsidP="004B0958">
            <w:pPr>
              <w:pStyle w:val="Text2"/>
              <w:spacing w:after="0"/>
              <w:ind w:left="0"/>
              <w:jc w:val="center"/>
              <w:rPr>
                <w:rFonts w:ascii="Times New Roman" w:hAnsi="Times New Roman" w:cs="Times New Roman"/>
                <w:bCs/>
                <w:noProof/>
                <w:sz w:val="20"/>
                <w:lang w:val="en-IE" w:eastAsia="en-US"/>
              </w:rPr>
            </w:pPr>
            <w:r w:rsidRPr="00532C20">
              <w:rPr>
                <w:rFonts w:ascii="Times New Roman" w:hAnsi="Times New Roman" w:cs="Times New Roman"/>
                <w:bCs/>
                <w:noProof/>
                <w:sz w:val="20"/>
                <w:lang w:val="en-IE" w:eastAsia="en-US"/>
              </w:rPr>
              <w:t>++</w:t>
            </w:r>
          </w:p>
        </w:tc>
        <w:tc>
          <w:tcPr>
            <w:tcW w:w="1683" w:type="dxa"/>
            <w:tcBorders>
              <w:top w:val="single" w:sz="6" w:space="0" w:color="auto"/>
              <w:right w:val="single" w:sz="8" w:space="0" w:color="auto"/>
            </w:tcBorders>
            <w:vAlign w:val="center"/>
          </w:tcPr>
          <w:p w14:paraId="73161A0D" w14:textId="71BBF577" w:rsidR="005B5805" w:rsidRPr="00532C20" w:rsidRDefault="005B5805" w:rsidP="004B0958">
            <w:pPr>
              <w:pStyle w:val="Text2"/>
              <w:spacing w:after="0"/>
              <w:ind w:left="0"/>
              <w:jc w:val="center"/>
              <w:rPr>
                <w:rFonts w:ascii="Times New Roman" w:hAnsi="Times New Roman" w:cs="Times New Roman"/>
                <w:bCs/>
                <w:noProof/>
                <w:sz w:val="20"/>
                <w:lang w:val="en-IE" w:eastAsia="en-US"/>
              </w:rPr>
            </w:pPr>
            <w:r w:rsidRPr="00532C20">
              <w:rPr>
                <w:rFonts w:ascii="Times New Roman" w:hAnsi="Times New Roman" w:cs="Times New Roman"/>
                <w:bCs/>
                <w:noProof/>
                <w:sz w:val="20"/>
                <w:lang w:val="en-IE" w:eastAsia="en-US"/>
              </w:rPr>
              <w:t>++</w:t>
            </w:r>
          </w:p>
        </w:tc>
      </w:tr>
      <w:tr w:rsidR="00774F4E" w:rsidRPr="00532C20" w14:paraId="1D4883AC" w14:textId="77777777" w:rsidTr="00731F6A">
        <w:tc>
          <w:tcPr>
            <w:tcW w:w="3397" w:type="dxa"/>
            <w:tcBorders>
              <w:left w:val="single" w:sz="8" w:space="0" w:color="auto"/>
            </w:tcBorders>
          </w:tcPr>
          <w:p w14:paraId="4D98FA7E" w14:textId="60E1AD56" w:rsidR="005B5805" w:rsidRPr="00532C20" w:rsidRDefault="005B5805" w:rsidP="004B0958">
            <w:pPr>
              <w:pStyle w:val="Text2"/>
              <w:spacing w:after="0"/>
              <w:ind w:left="0"/>
              <w:jc w:val="left"/>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Improved knowledge about the magnitude</w:t>
            </w:r>
            <w:r w:rsidR="00731F6A" w:rsidRPr="00532C20">
              <w:rPr>
                <w:rFonts w:ascii="Times New Roman" w:hAnsi="Times New Roman" w:cs="Times New Roman"/>
                <w:noProof/>
                <w:sz w:val="20"/>
                <w:lang w:val="en-IE" w:eastAsia="en-US"/>
              </w:rPr>
              <w:t xml:space="preserve">, </w:t>
            </w:r>
            <w:r w:rsidRPr="00532C20">
              <w:rPr>
                <w:rFonts w:ascii="Times New Roman" w:hAnsi="Times New Roman" w:cs="Times New Roman"/>
                <w:noProof/>
                <w:sz w:val="20"/>
                <w:lang w:val="en-IE" w:eastAsia="en-US"/>
              </w:rPr>
              <w:t>trends</w:t>
            </w:r>
            <w:r w:rsidR="00FA18DB" w:rsidRPr="00532C20">
              <w:rPr>
                <w:rFonts w:ascii="Times New Roman" w:hAnsi="Times New Roman" w:cs="Times New Roman"/>
                <w:noProof/>
                <w:sz w:val="20"/>
                <w:lang w:val="en-IE" w:eastAsia="en-US"/>
              </w:rPr>
              <w:t xml:space="preserve"> and actors</w:t>
            </w:r>
          </w:p>
        </w:tc>
        <w:tc>
          <w:tcPr>
            <w:tcW w:w="851" w:type="dxa"/>
          </w:tcPr>
          <w:p w14:paraId="57AA1633" w14:textId="1AB7C7AB" w:rsidR="005B5805" w:rsidRPr="00532C20" w:rsidRDefault="005B5805" w:rsidP="004B0958">
            <w:pPr>
              <w:pStyle w:val="Text2"/>
              <w:spacing w:after="0"/>
              <w:ind w:left="0"/>
              <w:jc w:val="center"/>
              <w:rPr>
                <w:rFonts w:ascii="Times New Roman" w:hAnsi="Times New Roman" w:cs="Times New Roman"/>
                <w:bCs/>
                <w:noProof/>
                <w:sz w:val="20"/>
                <w:lang w:val="en-IE"/>
              </w:rPr>
            </w:pPr>
            <w:r w:rsidRPr="00532C20">
              <w:rPr>
                <w:rFonts w:ascii="Times New Roman" w:hAnsi="Times New Roman" w:cs="Times New Roman"/>
                <w:bCs/>
                <w:noProof/>
                <w:sz w:val="20"/>
                <w:lang w:val="en-IE"/>
              </w:rPr>
              <w:t>0</w:t>
            </w:r>
          </w:p>
        </w:tc>
        <w:tc>
          <w:tcPr>
            <w:tcW w:w="1398" w:type="dxa"/>
            <w:vAlign w:val="center"/>
          </w:tcPr>
          <w:p w14:paraId="0EAB76C1" w14:textId="1033B396" w:rsidR="005B5805" w:rsidRPr="00532C20" w:rsidRDefault="005B5805" w:rsidP="004B0958">
            <w:pPr>
              <w:pStyle w:val="Text2"/>
              <w:spacing w:after="0"/>
              <w:ind w:left="0"/>
              <w:jc w:val="center"/>
              <w:rPr>
                <w:rFonts w:ascii="Times New Roman" w:hAnsi="Times New Roman" w:cs="Times New Roman"/>
                <w:bCs/>
                <w:noProof/>
                <w:sz w:val="20"/>
                <w:lang w:val="en-IE" w:eastAsia="en-US"/>
              </w:rPr>
            </w:pPr>
            <w:r w:rsidRPr="00532C20">
              <w:rPr>
                <w:rFonts w:ascii="Times New Roman" w:hAnsi="Times New Roman" w:cs="Times New Roman"/>
                <w:bCs/>
                <w:noProof/>
                <w:sz w:val="20"/>
                <w:lang w:val="en-IE" w:eastAsia="en-US"/>
              </w:rPr>
              <w:t>+</w:t>
            </w:r>
          </w:p>
        </w:tc>
        <w:tc>
          <w:tcPr>
            <w:tcW w:w="1682" w:type="dxa"/>
            <w:vAlign w:val="center"/>
          </w:tcPr>
          <w:p w14:paraId="62F78468" w14:textId="2DDFB789" w:rsidR="005B5805" w:rsidRPr="00532C20" w:rsidRDefault="005B5805" w:rsidP="004B0958">
            <w:pPr>
              <w:pStyle w:val="Text2"/>
              <w:spacing w:after="0"/>
              <w:ind w:left="0"/>
              <w:jc w:val="center"/>
              <w:rPr>
                <w:rFonts w:ascii="Times New Roman" w:hAnsi="Times New Roman" w:cs="Times New Roman"/>
                <w:bCs/>
                <w:noProof/>
                <w:sz w:val="20"/>
                <w:lang w:val="en-IE" w:eastAsia="en-US"/>
              </w:rPr>
            </w:pPr>
            <w:r w:rsidRPr="00532C20" w:rsidDel="002419A5">
              <w:rPr>
                <w:rFonts w:ascii="Times New Roman" w:hAnsi="Times New Roman" w:cs="Times New Roman"/>
                <w:bCs/>
                <w:noProof/>
                <w:sz w:val="20"/>
                <w:lang w:val="en-IE" w:eastAsia="en-US"/>
              </w:rPr>
              <w:t>+</w:t>
            </w:r>
            <w:r w:rsidRPr="00532C20">
              <w:rPr>
                <w:rFonts w:ascii="Times New Roman" w:hAnsi="Times New Roman" w:cs="Times New Roman"/>
                <w:bCs/>
                <w:noProof/>
                <w:sz w:val="20"/>
                <w:lang w:val="en-IE" w:eastAsia="en-US"/>
              </w:rPr>
              <w:t>+</w:t>
            </w:r>
          </w:p>
        </w:tc>
        <w:tc>
          <w:tcPr>
            <w:tcW w:w="1683" w:type="dxa"/>
            <w:tcBorders>
              <w:right w:val="single" w:sz="8" w:space="0" w:color="auto"/>
            </w:tcBorders>
            <w:vAlign w:val="center"/>
          </w:tcPr>
          <w:p w14:paraId="4C9F7B42" w14:textId="26C999DE" w:rsidR="005B5805" w:rsidRPr="00532C20" w:rsidRDefault="005B5805" w:rsidP="004B0958">
            <w:pPr>
              <w:pStyle w:val="Text2"/>
              <w:spacing w:after="0"/>
              <w:ind w:left="0"/>
              <w:jc w:val="center"/>
              <w:rPr>
                <w:rFonts w:ascii="Times New Roman" w:hAnsi="Times New Roman" w:cs="Times New Roman"/>
                <w:bCs/>
                <w:noProof/>
                <w:sz w:val="20"/>
                <w:lang w:val="en-IE" w:eastAsia="en-US"/>
              </w:rPr>
            </w:pPr>
            <w:r w:rsidRPr="00532C20">
              <w:rPr>
                <w:rFonts w:ascii="Times New Roman" w:hAnsi="Times New Roman" w:cs="Times New Roman"/>
                <w:bCs/>
                <w:noProof/>
                <w:sz w:val="20"/>
                <w:lang w:val="en-IE" w:eastAsia="en-US"/>
              </w:rPr>
              <w:t>++</w:t>
            </w:r>
            <w:r w:rsidR="004377D6" w:rsidRPr="00532C20">
              <w:rPr>
                <w:rFonts w:ascii="Times New Roman" w:hAnsi="Times New Roman" w:cs="Times New Roman"/>
                <w:bCs/>
                <w:noProof/>
                <w:sz w:val="20"/>
                <w:lang w:val="en-IE" w:eastAsia="en-US"/>
              </w:rPr>
              <w:t>+</w:t>
            </w:r>
          </w:p>
        </w:tc>
      </w:tr>
      <w:tr w:rsidR="00656FFD" w:rsidRPr="00532C20" w14:paraId="0FF30B17" w14:textId="77777777" w:rsidTr="00731F6A">
        <w:tc>
          <w:tcPr>
            <w:tcW w:w="3397" w:type="dxa"/>
            <w:tcBorders>
              <w:left w:val="single" w:sz="8" w:space="0" w:color="auto"/>
              <w:bottom w:val="single" w:sz="8" w:space="0" w:color="auto"/>
            </w:tcBorders>
          </w:tcPr>
          <w:p w14:paraId="6099BECE" w14:textId="7EEFDAC3" w:rsidR="005B5805" w:rsidRPr="00532C20" w:rsidRDefault="005B5805" w:rsidP="004B0958">
            <w:pPr>
              <w:pStyle w:val="Text2"/>
              <w:spacing w:after="0"/>
              <w:ind w:left="0"/>
              <w:jc w:val="left"/>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Enforcement and supervision</w:t>
            </w:r>
          </w:p>
        </w:tc>
        <w:tc>
          <w:tcPr>
            <w:tcW w:w="851" w:type="dxa"/>
            <w:tcBorders>
              <w:bottom w:val="single" w:sz="8" w:space="0" w:color="auto"/>
            </w:tcBorders>
          </w:tcPr>
          <w:p w14:paraId="08BE1E58" w14:textId="1F5D4DE3" w:rsidR="005B5805" w:rsidRPr="00532C20" w:rsidRDefault="005B5805" w:rsidP="004B0958">
            <w:pPr>
              <w:pStyle w:val="Text2"/>
              <w:spacing w:after="0"/>
              <w:ind w:left="0"/>
              <w:jc w:val="center"/>
              <w:rPr>
                <w:rFonts w:ascii="Times New Roman" w:hAnsi="Times New Roman" w:cs="Times New Roman"/>
                <w:bCs/>
                <w:noProof/>
                <w:sz w:val="20"/>
                <w:lang w:val="en-IE"/>
              </w:rPr>
            </w:pPr>
            <w:r w:rsidRPr="00532C20">
              <w:rPr>
                <w:rFonts w:ascii="Times New Roman" w:hAnsi="Times New Roman" w:cs="Times New Roman"/>
                <w:bCs/>
                <w:noProof/>
                <w:sz w:val="20"/>
                <w:lang w:val="en-IE"/>
              </w:rPr>
              <w:t>0</w:t>
            </w:r>
          </w:p>
        </w:tc>
        <w:tc>
          <w:tcPr>
            <w:tcW w:w="1398" w:type="dxa"/>
            <w:tcBorders>
              <w:bottom w:val="single" w:sz="8" w:space="0" w:color="auto"/>
            </w:tcBorders>
            <w:vAlign w:val="center"/>
          </w:tcPr>
          <w:p w14:paraId="1437DA4E" w14:textId="33394E12" w:rsidR="005B5805" w:rsidRPr="00532C20" w:rsidRDefault="005B5805" w:rsidP="004B0958">
            <w:pPr>
              <w:pStyle w:val="Text2"/>
              <w:spacing w:after="0"/>
              <w:ind w:left="0"/>
              <w:jc w:val="center"/>
              <w:rPr>
                <w:rFonts w:ascii="Times New Roman" w:hAnsi="Times New Roman" w:cs="Times New Roman"/>
                <w:bCs/>
                <w:noProof/>
                <w:sz w:val="20"/>
                <w:lang w:val="en-IE" w:eastAsia="en-US"/>
              </w:rPr>
            </w:pPr>
            <w:r w:rsidRPr="00532C20">
              <w:rPr>
                <w:rFonts w:ascii="Times New Roman" w:hAnsi="Times New Roman" w:cs="Times New Roman"/>
                <w:bCs/>
                <w:noProof/>
                <w:sz w:val="20"/>
                <w:lang w:val="en-IE" w:eastAsia="en-US"/>
              </w:rPr>
              <w:t>+</w:t>
            </w:r>
          </w:p>
        </w:tc>
        <w:tc>
          <w:tcPr>
            <w:tcW w:w="1682" w:type="dxa"/>
            <w:tcBorders>
              <w:bottom w:val="single" w:sz="8" w:space="0" w:color="auto"/>
            </w:tcBorders>
            <w:vAlign w:val="center"/>
          </w:tcPr>
          <w:p w14:paraId="3DBEA912" w14:textId="5BADEA21" w:rsidR="005B5805" w:rsidRPr="00532C20" w:rsidRDefault="005B5805" w:rsidP="004B0958">
            <w:pPr>
              <w:pStyle w:val="Text2"/>
              <w:spacing w:after="0"/>
              <w:ind w:left="0"/>
              <w:jc w:val="center"/>
              <w:rPr>
                <w:rFonts w:ascii="Times New Roman" w:hAnsi="Times New Roman" w:cs="Times New Roman"/>
                <w:bCs/>
                <w:noProof/>
                <w:sz w:val="20"/>
                <w:lang w:val="en-IE" w:eastAsia="en-US"/>
              </w:rPr>
            </w:pPr>
            <w:r w:rsidRPr="00532C20">
              <w:rPr>
                <w:rFonts w:ascii="Times New Roman" w:hAnsi="Times New Roman" w:cs="Times New Roman"/>
                <w:bCs/>
                <w:noProof/>
                <w:sz w:val="20"/>
                <w:lang w:val="en-IE" w:eastAsia="en-US"/>
              </w:rPr>
              <w:t>++</w:t>
            </w:r>
            <w:r w:rsidR="004377D6" w:rsidRPr="00532C20">
              <w:rPr>
                <w:rFonts w:ascii="Times New Roman" w:hAnsi="Times New Roman" w:cs="Times New Roman"/>
                <w:bCs/>
                <w:noProof/>
                <w:sz w:val="20"/>
                <w:lang w:val="en-IE" w:eastAsia="en-US"/>
              </w:rPr>
              <w:t>+</w:t>
            </w:r>
          </w:p>
        </w:tc>
        <w:tc>
          <w:tcPr>
            <w:tcW w:w="1683" w:type="dxa"/>
            <w:tcBorders>
              <w:bottom w:val="single" w:sz="8" w:space="0" w:color="auto"/>
              <w:right w:val="single" w:sz="8" w:space="0" w:color="auto"/>
            </w:tcBorders>
            <w:vAlign w:val="center"/>
          </w:tcPr>
          <w:p w14:paraId="5668DCFF" w14:textId="781B7E22" w:rsidR="005B5805" w:rsidRPr="00532C20" w:rsidRDefault="005B5805" w:rsidP="004B0958">
            <w:pPr>
              <w:pStyle w:val="Text2"/>
              <w:spacing w:after="0"/>
              <w:ind w:left="0"/>
              <w:jc w:val="center"/>
              <w:rPr>
                <w:rFonts w:ascii="Times New Roman" w:hAnsi="Times New Roman" w:cs="Times New Roman"/>
                <w:bCs/>
                <w:noProof/>
                <w:sz w:val="20"/>
                <w:lang w:val="en-IE" w:eastAsia="en-US"/>
              </w:rPr>
            </w:pPr>
            <w:r w:rsidRPr="00532C20">
              <w:rPr>
                <w:rFonts w:ascii="Times New Roman" w:hAnsi="Times New Roman" w:cs="Times New Roman"/>
                <w:bCs/>
                <w:noProof/>
                <w:sz w:val="20"/>
                <w:lang w:val="en-IE" w:eastAsia="en-US"/>
              </w:rPr>
              <w:t>++</w:t>
            </w:r>
            <w:r w:rsidR="004377D6" w:rsidRPr="00532C20">
              <w:rPr>
                <w:rFonts w:ascii="Times New Roman" w:hAnsi="Times New Roman" w:cs="Times New Roman"/>
                <w:bCs/>
                <w:noProof/>
                <w:sz w:val="20"/>
                <w:lang w:val="en-IE" w:eastAsia="en-US"/>
              </w:rPr>
              <w:t>+</w:t>
            </w:r>
          </w:p>
        </w:tc>
      </w:tr>
      <w:tr w:rsidR="00A93E2F" w:rsidRPr="00532C20" w14:paraId="27502A32" w14:textId="77777777" w:rsidTr="00731F6A">
        <w:tc>
          <w:tcPr>
            <w:tcW w:w="3397" w:type="dxa"/>
            <w:tcBorders>
              <w:top w:val="single" w:sz="8" w:space="0" w:color="auto"/>
              <w:left w:val="single" w:sz="8" w:space="0" w:color="auto"/>
              <w:bottom w:val="single" w:sz="6" w:space="0" w:color="auto"/>
            </w:tcBorders>
          </w:tcPr>
          <w:p w14:paraId="40442632" w14:textId="63F38AA2" w:rsidR="005B5805" w:rsidRPr="00532C20" w:rsidRDefault="005B5805" w:rsidP="004B0958">
            <w:pPr>
              <w:pStyle w:val="Text2"/>
              <w:spacing w:after="0"/>
              <w:ind w:left="0"/>
              <w:jc w:val="left"/>
              <w:rPr>
                <w:rFonts w:ascii="Times New Roman" w:hAnsi="Times New Roman" w:cs="Times New Roman"/>
                <w:b/>
                <w:i/>
                <w:noProof/>
                <w:sz w:val="20"/>
                <w:lang w:val="en-IE" w:eastAsia="en-US"/>
              </w:rPr>
            </w:pPr>
            <w:r w:rsidRPr="00532C20">
              <w:rPr>
                <w:rFonts w:ascii="Times New Roman" w:hAnsi="Times New Roman" w:cs="Times New Roman"/>
                <w:b/>
                <w:bCs/>
                <w:i/>
                <w:iCs/>
                <w:noProof/>
                <w:sz w:val="20"/>
                <w:lang w:val="en-IE" w:eastAsia="en-US"/>
              </w:rPr>
              <w:t>Funda</w:t>
            </w:r>
            <w:r w:rsidRPr="00532C20">
              <w:rPr>
                <w:rFonts w:ascii="Times New Roman" w:hAnsi="Times New Roman" w:cs="Times New Roman"/>
                <w:b/>
                <w:bCs/>
                <w:i/>
                <w:iCs/>
                <w:noProof/>
                <w:sz w:val="20"/>
                <w:lang w:val="en-IE"/>
              </w:rPr>
              <w:t>mental</w:t>
            </w:r>
            <w:r w:rsidRPr="00532C20">
              <w:rPr>
                <w:rFonts w:ascii="Times New Roman" w:hAnsi="Times New Roman" w:cs="Times New Roman"/>
                <w:b/>
                <w:bCs/>
                <w:i/>
                <w:iCs/>
                <w:noProof/>
                <w:sz w:val="20"/>
                <w:lang w:val="en-IE" w:eastAsia="en-US"/>
              </w:rPr>
              <w:t xml:space="preserve"> rights impacts</w:t>
            </w:r>
          </w:p>
        </w:tc>
        <w:tc>
          <w:tcPr>
            <w:tcW w:w="851" w:type="dxa"/>
            <w:tcBorders>
              <w:top w:val="single" w:sz="8" w:space="0" w:color="auto"/>
              <w:bottom w:val="single" w:sz="6" w:space="0" w:color="auto"/>
            </w:tcBorders>
          </w:tcPr>
          <w:p w14:paraId="50E2FEFE" w14:textId="607096ED" w:rsidR="005B5805" w:rsidRPr="00532C20" w:rsidRDefault="005B5805" w:rsidP="004B0958">
            <w:pPr>
              <w:pStyle w:val="Text2"/>
              <w:spacing w:after="0"/>
              <w:ind w:left="0"/>
              <w:jc w:val="center"/>
              <w:rPr>
                <w:rFonts w:ascii="Times New Roman" w:hAnsi="Times New Roman" w:cs="Times New Roman"/>
                <w:b/>
                <w:bCs/>
                <w:noProof/>
                <w:sz w:val="20"/>
                <w:lang w:val="en-IE"/>
              </w:rPr>
            </w:pPr>
            <w:r w:rsidRPr="00532C20">
              <w:rPr>
                <w:rFonts w:ascii="Times New Roman" w:hAnsi="Times New Roman" w:cs="Times New Roman"/>
                <w:b/>
                <w:bCs/>
                <w:noProof/>
                <w:sz w:val="20"/>
                <w:lang w:val="en-IE"/>
              </w:rPr>
              <w:t>0</w:t>
            </w:r>
          </w:p>
        </w:tc>
        <w:tc>
          <w:tcPr>
            <w:tcW w:w="1398" w:type="dxa"/>
            <w:tcBorders>
              <w:top w:val="single" w:sz="8" w:space="0" w:color="auto"/>
              <w:bottom w:val="single" w:sz="6" w:space="0" w:color="auto"/>
            </w:tcBorders>
            <w:vAlign w:val="center"/>
          </w:tcPr>
          <w:p w14:paraId="15F6E734" w14:textId="3FE61F81" w:rsidR="005B5805" w:rsidRPr="00532C20" w:rsidRDefault="006A52C4" w:rsidP="004B0958">
            <w:pPr>
              <w:pStyle w:val="Text2"/>
              <w:spacing w:after="0"/>
              <w:ind w:left="0"/>
              <w:jc w:val="center"/>
              <w:rPr>
                <w:rFonts w:ascii="Times New Roman" w:hAnsi="Times New Roman" w:cs="Times New Roman"/>
                <w:b/>
                <w:i/>
                <w:noProof/>
                <w:sz w:val="20"/>
                <w:lang w:val="en-IE" w:eastAsia="en-US"/>
              </w:rPr>
            </w:pPr>
            <w:r w:rsidRPr="00532C20">
              <w:rPr>
                <w:rFonts w:ascii="Times New Roman" w:hAnsi="Times New Roman" w:cs="Times New Roman"/>
                <w:b/>
                <w:bCs/>
                <w:noProof/>
                <w:sz w:val="20"/>
                <w:lang w:val="en-IE" w:eastAsia="en-US"/>
              </w:rPr>
              <w:t xml:space="preserve">- </w:t>
            </w:r>
          </w:p>
        </w:tc>
        <w:tc>
          <w:tcPr>
            <w:tcW w:w="1682" w:type="dxa"/>
            <w:tcBorders>
              <w:top w:val="single" w:sz="8" w:space="0" w:color="auto"/>
              <w:bottom w:val="single" w:sz="6" w:space="0" w:color="auto"/>
            </w:tcBorders>
            <w:vAlign w:val="center"/>
          </w:tcPr>
          <w:p w14:paraId="3C1067A5" w14:textId="21FD6DE3" w:rsidR="005B5805" w:rsidRPr="00532C20" w:rsidRDefault="006A52C4" w:rsidP="004B0958">
            <w:pPr>
              <w:pStyle w:val="Text2"/>
              <w:spacing w:after="0"/>
              <w:ind w:left="0"/>
              <w:jc w:val="center"/>
              <w:rPr>
                <w:rFonts w:ascii="Times New Roman" w:hAnsi="Times New Roman" w:cs="Times New Roman"/>
                <w:b/>
                <w:i/>
                <w:noProof/>
                <w:sz w:val="20"/>
                <w:lang w:val="en-IE" w:eastAsia="en-US"/>
              </w:rPr>
            </w:pPr>
            <w:r w:rsidRPr="00532C20">
              <w:rPr>
                <w:rFonts w:ascii="Times New Roman" w:hAnsi="Times New Roman" w:cs="Times New Roman"/>
                <w:b/>
                <w:bCs/>
                <w:noProof/>
                <w:sz w:val="20"/>
                <w:lang w:val="en-IE" w:eastAsia="en-US"/>
              </w:rPr>
              <w:t>-</w:t>
            </w:r>
          </w:p>
        </w:tc>
        <w:tc>
          <w:tcPr>
            <w:tcW w:w="1683" w:type="dxa"/>
            <w:tcBorders>
              <w:top w:val="single" w:sz="8" w:space="0" w:color="auto"/>
              <w:bottom w:val="single" w:sz="6" w:space="0" w:color="auto"/>
              <w:right w:val="single" w:sz="8" w:space="0" w:color="auto"/>
            </w:tcBorders>
            <w:vAlign w:val="center"/>
          </w:tcPr>
          <w:p w14:paraId="5C64EFCB" w14:textId="0F87503B" w:rsidR="005B5805" w:rsidRPr="00532C20" w:rsidRDefault="005B5805" w:rsidP="004B0958">
            <w:pPr>
              <w:pStyle w:val="Text2"/>
              <w:spacing w:after="0"/>
              <w:ind w:left="0"/>
              <w:jc w:val="center"/>
              <w:rPr>
                <w:rFonts w:ascii="Times New Roman" w:hAnsi="Times New Roman" w:cs="Times New Roman"/>
                <w:b/>
                <w:noProof/>
                <w:sz w:val="20"/>
                <w:lang w:val="en-IE" w:eastAsia="en-US"/>
              </w:rPr>
            </w:pPr>
            <w:r w:rsidRPr="00532C20">
              <w:rPr>
                <w:rFonts w:ascii="Times New Roman" w:hAnsi="Times New Roman" w:cs="Times New Roman"/>
                <w:b/>
                <w:bCs/>
                <w:noProof/>
                <w:sz w:val="20"/>
                <w:lang w:val="en-IE" w:eastAsia="en-US"/>
              </w:rPr>
              <w:t>-</w:t>
            </w:r>
            <w:r w:rsidR="006A52C4" w:rsidRPr="00532C20">
              <w:rPr>
                <w:rFonts w:ascii="Times New Roman" w:hAnsi="Times New Roman" w:cs="Times New Roman"/>
                <w:b/>
                <w:bCs/>
                <w:noProof/>
                <w:sz w:val="20"/>
                <w:lang w:val="en-IE" w:eastAsia="en-US"/>
              </w:rPr>
              <w:t xml:space="preserve"> </w:t>
            </w:r>
            <w:r w:rsidRPr="00532C20">
              <w:rPr>
                <w:rFonts w:ascii="Times New Roman" w:hAnsi="Times New Roman" w:cs="Times New Roman"/>
                <w:b/>
                <w:bCs/>
                <w:noProof/>
                <w:sz w:val="20"/>
                <w:lang w:val="en-IE" w:eastAsia="en-US"/>
              </w:rPr>
              <w:t>-</w:t>
            </w:r>
          </w:p>
        </w:tc>
      </w:tr>
      <w:tr w:rsidR="00656FFD" w:rsidRPr="00532C20" w14:paraId="5C89BC01" w14:textId="77777777" w:rsidTr="00731F6A">
        <w:tc>
          <w:tcPr>
            <w:tcW w:w="3397" w:type="dxa"/>
            <w:tcBorders>
              <w:top w:val="single" w:sz="6" w:space="0" w:color="auto"/>
              <w:left w:val="single" w:sz="8" w:space="0" w:color="auto"/>
            </w:tcBorders>
          </w:tcPr>
          <w:p w14:paraId="176F2945" w14:textId="4A0819CF" w:rsidR="005B5805" w:rsidRPr="00532C20" w:rsidRDefault="005B5805" w:rsidP="004B0958">
            <w:pPr>
              <w:pStyle w:val="Text2"/>
              <w:spacing w:after="0"/>
              <w:ind w:left="0"/>
              <w:jc w:val="left"/>
              <w:rPr>
                <w:rFonts w:ascii="Times New Roman" w:hAnsi="Times New Roman" w:cs="Times New Roman"/>
                <w:noProof/>
                <w:sz w:val="20"/>
                <w:lang w:val="en-IE" w:eastAsia="en-US"/>
              </w:rPr>
            </w:pPr>
            <w:r w:rsidRPr="00532C20">
              <w:rPr>
                <w:rFonts w:ascii="Times New Roman" w:hAnsi="Times New Roman" w:cs="Times New Roman"/>
                <w:noProof/>
                <w:sz w:val="20"/>
                <w:lang w:val="en-IE"/>
              </w:rPr>
              <w:t>Right to private life and right to the protection of personal data</w:t>
            </w:r>
          </w:p>
        </w:tc>
        <w:tc>
          <w:tcPr>
            <w:tcW w:w="851" w:type="dxa"/>
            <w:tcBorders>
              <w:top w:val="single" w:sz="6" w:space="0" w:color="auto"/>
            </w:tcBorders>
          </w:tcPr>
          <w:p w14:paraId="4A0D47FB" w14:textId="024FA124" w:rsidR="005B5805" w:rsidRPr="00532C20" w:rsidRDefault="005B5805"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0</w:t>
            </w:r>
          </w:p>
        </w:tc>
        <w:tc>
          <w:tcPr>
            <w:tcW w:w="1398" w:type="dxa"/>
            <w:tcBorders>
              <w:top w:val="single" w:sz="6" w:space="0" w:color="auto"/>
            </w:tcBorders>
            <w:vAlign w:val="center"/>
          </w:tcPr>
          <w:p w14:paraId="6BAE02FF" w14:textId="2CA2E492" w:rsidR="005B5805" w:rsidRPr="00532C20" w:rsidRDefault="006A52C4"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rPr>
              <w:t>-</w:t>
            </w:r>
            <w:r w:rsidR="00260ED7" w:rsidRPr="00532C20">
              <w:rPr>
                <w:rFonts w:ascii="Times New Roman" w:hAnsi="Times New Roman" w:cs="Times New Roman"/>
                <w:noProof/>
                <w:sz w:val="20"/>
                <w:lang w:val="en-IE"/>
              </w:rPr>
              <w:t xml:space="preserve"> </w:t>
            </w:r>
            <w:r w:rsidRPr="00532C20">
              <w:rPr>
                <w:rFonts w:ascii="Times New Roman" w:hAnsi="Times New Roman" w:cs="Times New Roman"/>
                <w:noProof/>
                <w:sz w:val="20"/>
                <w:lang w:val="en-IE"/>
              </w:rPr>
              <w:t>-</w:t>
            </w:r>
          </w:p>
        </w:tc>
        <w:tc>
          <w:tcPr>
            <w:tcW w:w="1682" w:type="dxa"/>
            <w:tcBorders>
              <w:top w:val="single" w:sz="6" w:space="0" w:color="auto"/>
            </w:tcBorders>
            <w:vAlign w:val="center"/>
          </w:tcPr>
          <w:p w14:paraId="0DB5D053" w14:textId="1CAD4F2B" w:rsidR="005B5805" w:rsidRPr="00532C20" w:rsidRDefault="006A52C4"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w:t>
            </w:r>
          </w:p>
        </w:tc>
        <w:tc>
          <w:tcPr>
            <w:tcW w:w="1683" w:type="dxa"/>
            <w:tcBorders>
              <w:top w:val="single" w:sz="6" w:space="0" w:color="auto"/>
              <w:right w:val="single" w:sz="8" w:space="0" w:color="auto"/>
            </w:tcBorders>
            <w:vAlign w:val="center"/>
          </w:tcPr>
          <w:p w14:paraId="1305B1FC" w14:textId="3F70235D" w:rsidR="005B5805" w:rsidRPr="00532C20" w:rsidRDefault="006A52C4"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rPr>
              <w:t>-</w:t>
            </w:r>
            <w:r w:rsidR="0029162F" w:rsidRPr="00532C20">
              <w:rPr>
                <w:rFonts w:ascii="Times New Roman" w:hAnsi="Times New Roman" w:cs="Times New Roman"/>
                <w:noProof/>
                <w:sz w:val="20"/>
                <w:lang w:val="en-IE"/>
              </w:rPr>
              <w:t xml:space="preserve"> -</w:t>
            </w:r>
          </w:p>
        </w:tc>
      </w:tr>
      <w:tr w:rsidR="00774F4E" w:rsidRPr="00532C20" w14:paraId="5ADBADA8" w14:textId="77777777" w:rsidTr="00731F6A">
        <w:tc>
          <w:tcPr>
            <w:tcW w:w="3397" w:type="dxa"/>
            <w:tcBorders>
              <w:left w:val="single" w:sz="8" w:space="0" w:color="auto"/>
            </w:tcBorders>
          </w:tcPr>
          <w:p w14:paraId="042DE623" w14:textId="12676820" w:rsidR="005B5805" w:rsidRPr="00532C20" w:rsidRDefault="005B5805" w:rsidP="004B0958">
            <w:pPr>
              <w:pStyle w:val="Text2"/>
              <w:spacing w:after="0"/>
              <w:ind w:left="0"/>
              <w:jc w:val="left"/>
              <w:rPr>
                <w:rFonts w:ascii="Times New Roman" w:hAnsi="Times New Roman" w:cs="Times New Roman"/>
                <w:noProof/>
                <w:sz w:val="20"/>
                <w:lang w:eastAsia="en-US"/>
              </w:rPr>
            </w:pPr>
            <w:r w:rsidRPr="00532C20">
              <w:rPr>
                <w:rFonts w:ascii="Times New Roman" w:hAnsi="Times New Roman" w:cs="Times New Roman"/>
                <w:noProof/>
                <w:sz w:val="20"/>
              </w:rPr>
              <w:t>Freedom of association</w:t>
            </w:r>
          </w:p>
        </w:tc>
        <w:tc>
          <w:tcPr>
            <w:tcW w:w="851" w:type="dxa"/>
          </w:tcPr>
          <w:p w14:paraId="706E0E57" w14:textId="275F9A58" w:rsidR="005B5805" w:rsidRPr="00532C20" w:rsidRDefault="005B5805"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0</w:t>
            </w:r>
          </w:p>
        </w:tc>
        <w:tc>
          <w:tcPr>
            <w:tcW w:w="1398" w:type="dxa"/>
            <w:vAlign w:val="center"/>
          </w:tcPr>
          <w:p w14:paraId="5E8AD2E9" w14:textId="33291A8E" w:rsidR="005B5805" w:rsidRPr="00532C20" w:rsidRDefault="006A52C4"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rPr>
              <w:t xml:space="preserve">- </w:t>
            </w:r>
            <w:r w:rsidR="0048226A" w:rsidRPr="00532C20">
              <w:rPr>
                <w:rFonts w:ascii="Times New Roman" w:hAnsi="Times New Roman" w:cs="Times New Roman"/>
                <w:noProof/>
                <w:sz w:val="20"/>
                <w:lang w:val="en-IE"/>
              </w:rPr>
              <w:t>-</w:t>
            </w:r>
          </w:p>
        </w:tc>
        <w:tc>
          <w:tcPr>
            <w:tcW w:w="1682" w:type="dxa"/>
            <w:vAlign w:val="center"/>
          </w:tcPr>
          <w:p w14:paraId="0ECA2E68" w14:textId="69D031DD" w:rsidR="005B5805" w:rsidRPr="00532C20" w:rsidRDefault="006A52C4"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rPr>
              <w:t>-</w:t>
            </w:r>
          </w:p>
        </w:tc>
        <w:tc>
          <w:tcPr>
            <w:tcW w:w="1683" w:type="dxa"/>
            <w:tcBorders>
              <w:right w:val="single" w:sz="8" w:space="0" w:color="auto"/>
            </w:tcBorders>
            <w:vAlign w:val="center"/>
          </w:tcPr>
          <w:p w14:paraId="7D63059F" w14:textId="7CCCC86C" w:rsidR="005B5805" w:rsidRPr="00532C20" w:rsidRDefault="005B5805"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w:t>
            </w:r>
            <w:r w:rsidR="006A52C4" w:rsidRPr="00532C20">
              <w:rPr>
                <w:rFonts w:ascii="Times New Roman" w:hAnsi="Times New Roman" w:cs="Times New Roman"/>
                <w:noProof/>
                <w:sz w:val="20"/>
                <w:lang w:val="en-IE" w:eastAsia="en-US"/>
              </w:rPr>
              <w:t xml:space="preserve"> </w:t>
            </w:r>
            <w:r w:rsidRPr="00532C20">
              <w:rPr>
                <w:rFonts w:ascii="Times New Roman" w:hAnsi="Times New Roman" w:cs="Times New Roman"/>
                <w:noProof/>
                <w:sz w:val="20"/>
                <w:lang w:val="en-IE" w:eastAsia="en-US"/>
              </w:rPr>
              <w:t>-</w:t>
            </w:r>
            <w:r w:rsidR="00260ED7" w:rsidRPr="00532C20">
              <w:rPr>
                <w:rFonts w:ascii="Times New Roman" w:hAnsi="Times New Roman" w:cs="Times New Roman"/>
                <w:noProof/>
                <w:sz w:val="20"/>
                <w:lang w:val="en-IE" w:eastAsia="en-US"/>
              </w:rPr>
              <w:t xml:space="preserve"> -</w:t>
            </w:r>
          </w:p>
        </w:tc>
      </w:tr>
      <w:tr w:rsidR="00774F4E" w:rsidRPr="00532C20" w14:paraId="3AAC7F30" w14:textId="77777777" w:rsidTr="00731F6A">
        <w:tc>
          <w:tcPr>
            <w:tcW w:w="3397" w:type="dxa"/>
            <w:tcBorders>
              <w:left w:val="single" w:sz="8" w:space="0" w:color="auto"/>
            </w:tcBorders>
          </w:tcPr>
          <w:p w14:paraId="75D90306" w14:textId="050A3246" w:rsidR="005B5805" w:rsidRPr="00532C20" w:rsidRDefault="005B5805" w:rsidP="004B0958">
            <w:pPr>
              <w:pStyle w:val="Text2"/>
              <w:spacing w:after="0"/>
              <w:ind w:left="0"/>
              <w:jc w:val="left"/>
              <w:rPr>
                <w:rFonts w:ascii="Times New Roman" w:hAnsi="Times New Roman" w:cs="Times New Roman"/>
                <w:noProof/>
                <w:sz w:val="20"/>
              </w:rPr>
            </w:pPr>
            <w:r w:rsidRPr="00532C20">
              <w:rPr>
                <w:rFonts w:ascii="Times New Roman" w:hAnsi="Times New Roman" w:cs="Times New Roman"/>
                <w:noProof/>
                <w:sz w:val="20"/>
                <w:lang w:val="en-IE"/>
              </w:rPr>
              <w:t>Freedom of the arts and sciences</w:t>
            </w:r>
          </w:p>
        </w:tc>
        <w:tc>
          <w:tcPr>
            <w:tcW w:w="851" w:type="dxa"/>
          </w:tcPr>
          <w:p w14:paraId="3C0BE43D" w14:textId="1AC29DA1" w:rsidR="005B5805" w:rsidRPr="00532C20" w:rsidRDefault="005B5805"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0</w:t>
            </w:r>
          </w:p>
        </w:tc>
        <w:tc>
          <w:tcPr>
            <w:tcW w:w="1398" w:type="dxa"/>
            <w:vAlign w:val="center"/>
          </w:tcPr>
          <w:p w14:paraId="7AC9B72D" w14:textId="1BA789C2" w:rsidR="005B5805" w:rsidRPr="00532C20" w:rsidRDefault="006A52C4"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eastAsia="en-US"/>
              </w:rPr>
              <w:t xml:space="preserve">- </w:t>
            </w:r>
            <w:r w:rsidR="0048226A" w:rsidRPr="00532C20">
              <w:rPr>
                <w:rFonts w:ascii="Times New Roman" w:hAnsi="Times New Roman" w:cs="Times New Roman"/>
                <w:noProof/>
                <w:sz w:val="20"/>
                <w:lang w:val="en-IE" w:eastAsia="en-US"/>
              </w:rPr>
              <w:t>-</w:t>
            </w:r>
          </w:p>
        </w:tc>
        <w:tc>
          <w:tcPr>
            <w:tcW w:w="1682" w:type="dxa"/>
            <w:vAlign w:val="center"/>
          </w:tcPr>
          <w:p w14:paraId="278541DE" w14:textId="3EA5CFCC" w:rsidR="005B5805" w:rsidRPr="00532C20" w:rsidRDefault="006A52C4"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eastAsia="en-US"/>
              </w:rPr>
              <w:t>-</w:t>
            </w:r>
          </w:p>
        </w:tc>
        <w:tc>
          <w:tcPr>
            <w:tcW w:w="1683" w:type="dxa"/>
            <w:tcBorders>
              <w:right w:val="single" w:sz="8" w:space="0" w:color="auto"/>
            </w:tcBorders>
            <w:vAlign w:val="center"/>
          </w:tcPr>
          <w:p w14:paraId="3E3CB9B1" w14:textId="486253CB" w:rsidR="005B5805" w:rsidRPr="00532C20" w:rsidRDefault="006A52C4"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 -</w:t>
            </w:r>
            <w:r w:rsidR="00260ED7" w:rsidRPr="00532C20">
              <w:rPr>
                <w:rFonts w:ascii="Times New Roman" w:hAnsi="Times New Roman" w:cs="Times New Roman"/>
                <w:noProof/>
                <w:sz w:val="20"/>
                <w:lang w:val="en-IE"/>
              </w:rPr>
              <w:t xml:space="preserve"> - </w:t>
            </w:r>
          </w:p>
        </w:tc>
      </w:tr>
      <w:tr w:rsidR="00774F4E" w:rsidRPr="00532C20" w14:paraId="7A8857DF" w14:textId="77777777" w:rsidTr="00731F6A">
        <w:tc>
          <w:tcPr>
            <w:tcW w:w="3397" w:type="dxa"/>
            <w:tcBorders>
              <w:left w:val="single" w:sz="8" w:space="0" w:color="auto"/>
            </w:tcBorders>
          </w:tcPr>
          <w:p w14:paraId="71B40311" w14:textId="198E03CB" w:rsidR="005B5805" w:rsidRPr="00532C20" w:rsidRDefault="005B5805" w:rsidP="004B0958">
            <w:pPr>
              <w:pStyle w:val="Text2"/>
              <w:spacing w:after="0"/>
              <w:ind w:left="0"/>
              <w:jc w:val="left"/>
              <w:rPr>
                <w:rFonts w:ascii="Times New Roman" w:hAnsi="Times New Roman" w:cs="Times New Roman"/>
                <w:noProof/>
                <w:sz w:val="20"/>
                <w:lang w:val="en-IE" w:eastAsia="en-US"/>
              </w:rPr>
            </w:pPr>
            <w:r w:rsidRPr="00532C20">
              <w:rPr>
                <w:rFonts w:ascii="Times New Roman" w:hAnsi="Times New Roman" w:cs="Times New Roman"/>
                <w:noProof/>
                <w:sz w:val="20"/>
              </w:rPr>
              <w:t>Freedom of expression and information</w:t>
            </w:r>
          </w:p>
        </w:tc>
        <w:tc>
          <w:tcPr>
            <w:tcW w:w="851" w:type="dxa"/>
          </w:tcPr>
          <w:p w14:paraId="3909159F" w14:textId="0DB758B6" w:rsidR="005B5805" w:rsidRPr="00532C20" w:rsidRDefault="005B5805"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0</w:t>
            </w:r>
          </w:p>
        </w:tc>
        <w:tc>
          <w:tcPr>
            <w:tcW w:w="1398" w:type="dxa"/>
            <w:vAlign w:val="center"/>
          </w:tcPr>
          <w:p w14:paraId="23D24322" w14:textId="687D4C8A" w:rsidR="005B5805" w:rsidRPr="00532C20" w:rsidRDefault="00AB33A7"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w:t>
            </w:r>
          </w:p>
        </w:tc>
        <w:tc>
          <w:tcPr>
            <w:tcW w:w="1682" w:type="dxa"/>
            <w:vAlign w:val="center"/>
          </w:tcPr>
          <w:p w14:paraId="54662274" w14:textId="4F338128" w:rsidR="005B5805" w:rsidRPr="00532C20" w:rsidRDefault="00AB33A7"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eastAsia="en-US"/>
              </w:rPr>
              <w:t>+</w:t>
            </w:r>
          </w:p>
        </w:tc>
        <w:tc>
          <w:tcPr>
            <w:tcW w:w="1683" w:type="dxa"/>
            <w:tcBorders>
              <w:right w:val="single" w:sz="8" w:space="0" w:color="auto"/>
            </w:tcBorders>
            <w:vAlign w:val="center"/>
          </w:tcPr>
          <w:p w14:paraId="6D449155" w14:textId="00D17A45" w:rsidR="005B5805" w:rsidRPr="00532C20" w:rsidRDefault="007040FA" w:rsidP="004B0958">
            <w:pPr>
              <w:pStyle w:val="Text2"/>
              <w:spacing w:after="0"/>
              <w:ind w:left="0"/>
              <w:jc w:val="center"/>
              <w:rPr>
                <w:rFonts w:ascii="Times New Roman" w:hAnsi="Times New Roman" w:cs="Times New Roman"/>
                <w:noProof/>
                <w:sz w:val="20"/>
                <w:lang w:val="en-IE" w:eastAsia="en-US"/>
              </w:rPr>
            </w:pPr>
            <w:r w:rsidRPr="00532C20">
              <w:rPr>
                <w:rFonts w:ascii="Times New Roman" w:hAnsi="Times New Roman" w:cs="Times New Roman"/>
                <w:noProof/>
                <w:sz w:val="20"/>
                <w:lang w:val="en-IE"/>
              </w:rPr>
              <w:t>-</w:t>
            </w:r>
          </w:p>
        </w:tc>
      </w:tr>
      <w:tr w:rsidR="00656FFD" w:rsidRPr="00532C20" w14:paraId="5D04CD46" w14:textId="77777777" w:rsidTr="00731F6A">
        <w:tc>
          <w:tcPr>
            <w:tcW w:w="3397" w:type="dxa"/>
            <w:tcBorders>
              <w:left w:val="single" w:sz="8" w:space="0" w:color="auto"/>
              <w:bottom w:val="single" w:sz="8" w:space="0" w:color="auto"/>
            </w:tcBorders>
          </w:tcPr>
          <w:p w14:paraId="527962EC" w14:textId="169091DA" w:rsidR="005B5805" w:rsidRPr="00532C20" w:rsidRDefault="005B5805" w:rsidP="004B0958">
            <w:pPr>
              <w:pStyle w:val="Text2"/>
              <w:spacing w:after="0"/>
              <w:ind w:left="0"/>
              <w:jc w:val="left"/>
              <w:rPr>
                <w:rFonts w:ascii="Times New Roman" w:hAnsi="Times New Roman" w:cs="Times New Roman"/>
                <w:noProof/>
                <w:sz w:val="20"/>
              </w:rPr>
            </w:pPr>
            <w:r w:rsidRPr="00532C20">
              <w:rPr>
                <w:rFonts w:ascii="Times New Roman" w:hAnsi="Times New Roman" w:cs="Times New Roman"/>
                <w:noProof/>
                <w:sz w:val="20"/>
              </w:rPr>
              <w:t>Freedom to conduct a business</w:t>
            </w:r>
          </w:p>
        </w:tc>
        <w:tc>
          <w:tcPr>
            <w:tcW w:w="851" w:type="dxa"/>
            <w:tcBorders>
              <w:bottom w:val="single" w:sz="8" w:space="0" w:color="auto"/>
            </w:tcBorders>
          </w:tcPr>
          <w:p w14:paraId="15D0C455" w14:textId="35CFE434" w:rsidR="005B5805" w:rsidRPr="00532C20" w:rsidRDefault="005B5805"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0</w:t>
            </w:r>
          </w:p>
        </w:tc>
        <w:tc>
          <w:tcPr>
            <w:tcW w:w="1398" w:type="dxa"/>
            <w:tcBorders>
              <w:bottom w:val="single" w:sz="8" w:space="0" w:color="auto"/>
            </w:tcBorders>
            <w:vAlign w:val="center"/>
          </w:tcPr>
          <w:p w14:paraId="1F2E34F3" w14:textId="32420590" w:rsidR="005B5805" w:rsidRPr="00532C20" w:rsidRDefault="003C4B2E"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w:t>
            </w:r>
          </w:p>
        </w:tc>
        <w:tc>
          <w:tcPr>
            <w:tcW w:w="1682" w:type="dxa"/>
            <w:tcBorders>
              <w:bottom w:val="single" w:sz="8" w:space="0" w:color="auto"/>
            </w:tcBorders>
            <w:vAlign w:val="center"/>
          </w:tcPr>
          <w:p w14:paraId="4AB20EDD" w14:textId="7366D85F" w:rsidR="005B5805" w:rsidRPr="00532C20" w:rsidRDefault="003C4B2E"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w:t>
            </w:r>
          </w:p>
        </w:tc>
        <w:tc>
          <w:tcPr>
            <w:tcW w:w="1683" w:type="dxa"/>
            <w:tcBorders>
              <w:bottom w:val="single" w:sz="8" w:space="0" w:color="auto"/>
              <w:right w:val="single" w:sz="8" w:space="0" w:color="auto"/>
            </w:tcBorders>
            <w:vAlign w:val="center"/>
          </w:tcPr>
          <w:p w14:paraId="2BF12428" w14:textId="4183CABA" w:rsidR="005B5805" w:rsidRPr="00532C20" w:rsidRDefault="003C4B2E" w:rsidP="004B0958">
            <w:pPr>
              <w:pStyle w:val="Text2"/>
              <w:spacing w:after="0"/>
              <w:ind w:left="0"/>
              <w:jc w:val="center"/>
              <w:rPr>
                <w:rFonts w:ascii="Times New Roman" w:hAnsi="Times New Roman" w:cs="Times New Roman"/>
                <w:noProof/>
                <w:sz w:val="20"/>
                <w:lang w:val="en-IE"/>
              </w:rPr>
            </w:pPr>
            <w:r w:rsidRPr="00532C20">
              <w:rPr>
                <w:rFonts w:ascii="Times New Roman" w:hAnsi="Times New Roman" w:cs="Times New Roman"/>
                <w:noProof/>
                <w:sz w:val="20"/>
                <w:lang w:val="en-IE"/>
              </w:rPr>
              <w:t>-</w:t>
            </w:r>
            <w:r w:rsidR="006A52C4" w:rsidRPr="00532C20">
              <w:rPr>
                <w:rFonts w:ascii="Times New Roman" w:hAnsi="Times New Roman" w:cs="Times New Roman"/>
                <w:noProof/>
                <w:sz w:val="20"/>
                <w:lang w:val="en-IE"/>
              </w:rPr>
              <w:t xml:space="preserve"> </w:t>
            </w:r>
            <w:r w:rsidRPr="00532C20">
              <w:rPr>
                <w:rFonts w:ascii="Times New Roman" w:hAnsi="Times New Roman" w:cs="Times New Roman"/>
                <w:noProof/>
                <w:sz w:val="20"/>
                <w:lang w:val="en-IE"/>
              </w:rPr>
              <w:t>-</w:t>
            </w:r>
          </w:p>
        </w:tc>
      </w:tr>
      <w:tr w:rsidR="00656FFD" w:rsidRPr="00532C20" w14:paraId="2B890F17" w14:textId="77777777" w:rsidTr="00731F6A">
        <w:tc>
          <w:tcPr>
            <w:tcW w:w="3397" w:type="dxa"/>
            <w:tcBorders>
              <w:left w:val="single" w:sz="8" w:space="0" w:color="auto"/>
              <w:bottom w:val="single" w:sz="8" w:space="0" w:color="auto"/>
            </w:tcBorders>
          </w:tcPr>
          <w:p w14:paraId="13A39405" w14:textId="26FB4BCB" w:rsidR="005B5805" w:rsidRPr="00532C20" w:rsidRDefault="005B5805" w:rsidP="004B0958">
            <w:pPr>
              <w:pStyle w:val="Text2"/>
              <w:spacing w:after="0"/>
              <w:ind w:left="0"/>
              <w:jc w:val="left"/>
              <w:rPr>
                <w:rFonts w:ascii="Times New Roman" w:hAnsi="Times New Roman" w:cs="Times New Roman"/>
                <w:b/>
                <w:i/>
                <w:noProof/>
                <w:sz w:val="20"/>
              </w:rPr>
            </w:pPr>
            <w:r w:rsidRPr="00532C20">
              <w:rPr>
                <w:rFonts w:ascii="Times New Roman" w:hAnsi="Times New Roman" w:cs="Times New Roman"/>
                <w:b/>
                <w:i/>
                <w:noProof/>
                <w:sz w:val="20"/>
              </w:rPr>
              <w:t>Geopolitical implications</w:t>
            </w:r>
          </w:p>
        </w:tc>
        <w:tc>
          <w:tcPr>
            <w:tcW w:w="851" w:type="dxa"/>
            <w:tcBorders>
              <w:bottom w:val="single" w:sz="8" w:space="0" w:color="auto"/>
            </w:tcBorders>
          </w:tcPr>
          <w:p w14:paraId="3F8A056A" w14:textId="0EFC683F" w:rsidR="005B5805" w:rsidRPr="00532C20" w:rsidRDefault="005B5805" w:rsidP="004B0958">
            <w:pPr>
              <w:pStyle w:val="Text2"/>
              <w:spacing w:after="0"/>
              <w:ind w:left="0"/>
              <w:jc w:val="center"/>
              <w:rPr>
                <w:rFonts w:ascii="Times New Roman" w:hAnsi="Times New Roman" w:cs="Times New Roman"/>
                <w:b/>
                <w:bCs/>
                <w:noProof/>
                <w:sz w:val="20"/>
                <w:lang w:val="en-IE"/>
              </w:rPr>
            </w:pPr>
            <w:r w:rsidRPr="00532C20">
              <w:rPr>
                <w:rFonts w:ascii="Times New Roman" w:hAnsi="Times New Roman" w:cs="Times New Roman"/>
                <w:b/>
                <w:bCs/>
                <w:noProof/>
                <w:sz w:val="20"/>
                <w:lang w:val="en-IE"/>
              </w:rPr>
              <w:t>0</w:t>
            </w:r>
          </w:p>
        </w:tc>
        <w:tc>
          <w:tcPr>
            <w:tcW w:w="1398" w:type="dxa"/>
            <w:tcBorders>
              <w:bottom w:val="single" w:sz="8" w:space="0" w:color="auto"/>
            </w:tcBorders>
            <w:vAlign w:val="center"/>
          </w:tcPr>
          <w:p w14:paraId="0DE4BA33" w14:textId="1134ACEF" w:rsidR="005B5805" w:rsidRPr="00532C20" w:rsidRDefault="000B3C1B" w:rsidP="004B0958">
            <w:pPr>
              <w:pStyle w:val="Text2"/>
              <w:spacing w:after="0"/>
              <w:ind w:left="0"/>
              <w:jc w:val="center"/>
              <w:rPr>
                <w:rFonts w:ascii="Times New Roman" w:hAnsi="Times New Roman" w:cs="Times New Roman"/>
                <w:b/>
                <w:bCs/>
                <w:noProof/>
                <w:sz w:val="20"/>
                <w:lang w:val="en-IE"/>
              </w:rPr>
            </w:pPr>
            <w:r w:rsidRPr="00532C20">
              <w:rPr>
                <w:rFonts w:ascii="Times New Roman" w:hAnsi="Times New Roman" w:cs="Times New Roman"/>
                <w:b/>
                <w:bCs/>
                <w:noProof/>
                <w:sz w:val="20"/>
                <w:lang w:val="en-IE"/>
              </w:rPr>
              <w:t>+</w:t>
            </w:r>
          </w:p>
        </w:tc>
        <w:tc>
          <w:tcPr>
            <w:tcW w:w="1682" w:type="dxa"/>
            <w:tcBorders>
              <w:bottom w:val="single" w:sz="8" w:space="0" w:color="auto"/>
            </w:tcBorders>
            <w:vAlign w:val="center"/>
          </w:tcPr>
          <w:p w14:paraId="1AC7F76B" w14:textId="79325913" w:rsidR="005B5805" w:rsidRPr="00532C20" w:rsidRDefault="00C167E6" w:rsidP="004B0958">
            <w:pPr>
              <w:pStyle w:val="Text2"/>
              <w:spacing w:after="0"/>
              <w:ind w:left="0"/>
              <w:jc w:val="center"/>
              <w:rPr>
                <w:rFonts w:ascii="Times New Roman" w:hAnsi="Times New Roman" w:cs="Times New Roman"/>
                <w:b/>
                <w:bCs/>
                <w:noProof/>
                <w:sz w:val="20"/>
                <w:lang w:val="en-IE"/>
              </w:rPr>
            </w:pPr>
            <w:r w:rsidRPr="00532C20">
              <w:rPr>
                <w:rFonts w:ascii="Times New Roman" w:hAnsi="Times New Roman" w:cs="Times New Roman"/>
                <w:b/>
                <w:bCs/>
                <w:noProof/>
                <w:sz w:val="20"/>
                <w:lang w:val="en-IE"/>
              </w:rPr>
              <w:t>-</w:t>
            </w:r>
          </w:p>
        </w:tc>
        <w:tc>
          <w:tcPr>
            <w:tcW w:w="1683" w:type="dxa"/>
            <w:tcBorders>
              <w:bottom w:val="single" w:sz="8" w:space="0" w:color="auto"/>
              <w:right w:val="single" w:sz="8" w:space="0" w:color="auto"/>
            </w:tcBorders>
            <w:vAlign w:val="center"/>
          </w:tcPr>
          <w:p w14:paraId="046B82E4" w14:textId="2A1A77F7" w:rsidR="005B5805" w:rsidRPr="00532C20" w:rsidRDefault="005B5805" w:rsidP="004B0958">
            <w:pPr>
              <w:pStyle w:val="Text2"/>
              <w:spacing w:after="0"/>
              <w:ind w:left="0"/>
              <w:jc w:val="center"/>
              <w:rPr>
                <w:rFonts w:ascii="Times New Roman" w:hAnsi="Times New Roman" w:cs="Times New Roman"/>
                <w:b/>
                <w:noProof/>
                <w:sz w:val="20"/>
                <w:lang w:val="en-IE"/>
              </w:rPr>
            </w:pPr>
            <w:r w:rsidRPr="00532C20">
              <w:rPr>
                <w:rFonts w:ascii="Times New Roman" w:hAnsi="Times New Roman" w:cs="Times New Roman"/>
                <w:b/>
                <w:noProof/>
                <w:sz w:val="20"/>
                <w:lang w:val="en-IE"/>
              </w:rPr>
              <w:t>-</w:t>
            </w:r>
            <w:r w:rsidR="00C167E6" w:rsidRPr="00532C20">
              <w:rPr>
                <w:rFonts w:ascii="Times New Roman" w:hAnsi="Times New Roman" w:cs="Times New Roman"/>
                <w:b/>
                <w:noProof/>
                <w:sz w:val="20"/>
                <w:lang w:val="en-IE"/>
              </w:rPr>
              <w:t xml:space="preserve"> </w:t>
            </w:r>
            <w:r w:rsidRPr="00532C20">
              <w:rPr>
                <w:rFonts w:ascii="Times New Roman" w:hAnsi="Times New Roman" w:cs="Times New Roman"/>
                <w:b/>
                <w:noProof/>
                <w:sz w:val="20"/>
                <w:lang w:val="en-IE"/>
              </w:rPr>
              <w:t>-</w:t>
            </w:r>
          </w:p>
        </w:tc>
      </w:tr>
      <w:tr w:rsidR="00A93E2F" w:rsidRPr="00532C20" w14:paraId="2C7A52F4" w14:textId="77777777" w:rsidTr="00731F6A">
        <w:tc>
          <w:tcPr>
            <w:tcW w:w="3397" w:type="dxa"/>
            <w:tcBorders>
              <w:top w:val="single" w:sz="8" w:space="0" w:color="auto"/>
              <w:left w:val="single" w:sz="8" w:space="0" w:color="auto"/>
              <w:bottom w:val="single" w:sz="8" w:space="0" w:color="auto"/>
            </w:tcBorders>
          </w:tcPr>
          <w:p w14:paraId="76B06664" w14:textId="61A30DB4" w:rsidR="005B5805" w:rsidRPr="00532C20" w:rsidRDefault="005B5805" w:rsidP="004B0958">
            <w:pPr>
              <w:pStyle w:val="Text2"/>
              <w:spacing w:after="0"/>
              <w:ind w:left="0"/>
              <w:jc w:val="left"/>
              <w:rPr>
                <w:rFonts w:ascii="Times New Roman" w:hAnsi="Times New Roman" w:cs="Times New Roman"/>
                <w:b/>
                <w:bCs/>
                <w:i/>
                <w:iCs/>
                <w:noProof/>
                <w:sz w:val="20"/>
                <w:lang w:val="en-IE"/>
              </w:rPr>
            </w:pPr>
            <w:r w:rsidRPr="00532C20">
              <w:rPr>
                <w:rFonts w:ascii="Times New Roman" w:hAnsi="Times New Roman" w:cs="Times New Roman"/>
                <w:b/>
                <w:bCs/>
                <w:i/>
                <w:iCs/>
                <w:noProof/>
                <w:sz w:val="20"/>
                <w:lang w:val="en-IE"/>
              </w:rPr>
              <w:t>Digital by default principle</w:t>
            </w:r>
          </w:p>
        </w:tc>
        <w:tc>
          <w:tcPr>
            <w:tcW w:w="851" w:type="dxa"/>
            <w:tcBorders>
              <w:top w:val="single" w:sz="8" w:space="0" w:color="auto"/>
              <w:bottom w:val="single" w:sz="8" w:space="0" w:color="auto"/>
            </w:tcBorders>
          </w:tcPr>
          <w:p w14:paraId="22D40C09" w14:textId="1F861980" w:rsidR="005B5805" w:rsidRPr="00532C20" w:rsidRDefault="005B5805" w:rsidP="004B0958">
            <w:pPr>
              <w:pStyle w:val="Text2"/>
              <w:spacing w:after="0"/>
              <w:ind w:left="0"/>
              <w:jc w:val="center"/>
              <w:rPr>
                <w:rFonts w:ascii="Times New Roman" w:hAnsi="Times New Roman" w:cs="Times New Roman"/>
                <w:b/>
                <w:bCs/>
                <w:noProof/>
                <w:sz w:val="20"/>
                <w:lang w:val="en-IE"/>
              </w:rPr>
            </w:pPr>
            <w:r w:rsidRPr="00532C20">
              <w:rPr>
                <w:rFonts w:ascii="Times New Roman" w:hAnsi="Times New Roman" w:cs="Times New Roman"/>
                <w:b/>
                <w:bCs/>
                <w:noProof/>
                <w:sz w:val="20"/>
                <w:lang w:val="en-IE"/>
              </w:rPr>
              <w:t>0</w:t>
            </w:r>
          </w:p>
        </w:tc>
        <w:tc>
          <w:tcPr>
            <w:tcW w:w="1398" w:type="dxa"/>
            <w:tcBorders>
              <w:top w:val="single" w:sz="8" w:space="0" w:color="auto"/>
              <w:bottom w:val="single" w:sz="8" w:space="0" w:color="auto"/>
            </w:tcBorders>
            <w:vAlign w:val="center"/>
          </w:tcPr>
          <w:p w14:paraId="22BB26FC" w14:textId="04E63BF8" w:rsidR="005B5805" w:rsidRPr="00532C20" w:rsidRDefault="005B5805" w:rsidP="004B0958">
            <w:pPr>
              <w:pStyle w:val="Text2"/>
              <w:spacing w:after="0"/>
              <w:ind w:left="0"/>
              <w:jc w:val="center"/>
              <w:rPr>
                <w:rFonts w:ascii="Times New Roman" w:hAnsi="Times New Roman" w:cs="Times New Roman"/>
                <w:b/>
                <w:bCs/>
                <w:i/>
                <w:iCs/>
                <w:noProof/>
                <w:sz w:val="20"/>
                <w:lang w:val="en-IE"/>
              </w:rPr>
            </w:pPr>
            <w:r w:rsidRPr="00532C20">
              <w:rPr>
                <w:rFonts w:ascii="Times New Roman" w:hAnsi="Times New Roman" w:cs="Times New Roman"/>
                <w:b/>
                <w:bCs/>
                <w:i/>
                <w:iCs/>
                <w:noProof/>
                <w:sz w:val="20"/>
                <w:lang w:val="en-IE"/>
              </w:rPr>
              <w:t>0</w:t>
            </w:r>
          </w:p>
        </w:tc>
        <w:tc>
          <w:tcPr>
            <w:tcW w:w="1682" w:type="dxa"/>
            <w:tcBorders>
              <w:top w:val="single" w:sz="8" w:space="0" w:color="auto"/>
              <w:bottom w:val="single" w:sz="8" w:space="0" w:color="auto"/>
            </w:tcBorders>
            <w:vAlign w:val="center"/>
          </w:tcPr>
          <w:p w14:paraId="00D34FBE" w14:textId="379EB1D8" w:rsidR="005B5805" w:rsidRPr="00532C20" w:rsidRDefault="005B5805" w:rsidP="004B0958">
            <w:pPr>
              <w:pStyle w:val="Text2"/>
              <w:spacing w:after="0"/>
              <w:ind w:left="0"/>
              <w:jc w:val="center"/>
              <w:rPr>
                <w:rFonts w:ascii="Times New Roman" w:hAnsi="Times New Roman" w:cs="Times New Roman"/>
                <w:b/>
                <w:noProof/>
                <w:sz w:val="20"/>
                <w:lang w:val="en-IE"/>
              </w:rPr>
            </w:pPr>
            <w:r w:rsidRPr="00532C20">
              <w:rPr>
                <w:rFonts w:ascii="Times New Roman" w:hAnsi="Times New Roman" w:cs="Times New Roman"/>
                <w:b/>
                <w:bCs/>
                <w:noProof/>
                <w:sz w:val="20"/>
                <w:lang w:val="en-IE"/>
              </w:rPr>
              <w:t>+</w:t>
            </w:r>
          </w:p>
        </w:tc>
        <w:tc>
          <w:tcPr>
            <w:tcW w:w="1683" w:type="dxa"/>
            <w:tcBorders>
              <w:top w:val="single" w:sz="8" w:space="0" w:color="auto"/>
              <w:bottom w:val="single" w:sz="8" w:space="0" w:color="auto"/>
              <w:right w:val="single" w:sz="8" w:space="0" w:color="auto"/>
            </w:tcBorders>
            <w:vAlign w:val="center"/>
          </w:tcPr>
          <w:p w14:paraId="45A6D65C" w14:textId="2E8D07E7" w:rsidR="005B5805" w:rsidRPr="00532C20" w:rsidRDefault="005B5805" w:rsidP="004B0958">
            <w:pPr>
              <w:pStyle w:val="Text2"/>
              <w:spacing w:after="0"/>
              <w:ind w:left="0"/>
              <w:jc w:val="center"/>
              <w:rPr>
                <w:rFonts w:ascii="Times New Roman" w:hAnsi="Times New Roman" w:cs="Times New Roman"/>
                <w:b/>
                <w:noProof/>
                <w:sz w:val="20"/>
                <w:lang w:val="en-IE"/>
              </w:rPr>
            </w:pPr>
            <w:r w:rsidRPr="00532C20">
              <w:rPr>
                <w:rFonts w:ascii="Times New Roman" w:hAnsi="Times New Roman" w:cs="Times New Roman"/>
                <w:b/>
                <w:bCs/>
                <w:noProof/>
                <w:sz w:val="20"/>
                <w:lang w:val="en-IE"/>
              </w:rPr>
              <w:t>+</w:t>
            </w:r>
          </w:p>
        </w:tc>
      </w:tr>
      <w:tr w:rsidR="00A93E2F" w:rsidRPr="00532C20" w14:paraId="3391E111" w14:textId="77777777" w:rsidTr="00731F6A">
        <w:tc>
          <w:tcPr>
            <w:tcW w:w="3397" w:type="dxa"/>
            <w:tcBorders>
              <w:top w:val="single" w:sz="8" w:space="0" w:color="auto"/>
              <w:left w:val="single" w:sz="8" w:space="0" w:color="auto"/>
              <w:bottom w:val="single" w:sz="8" w:space="0" w:color="auto"/>
            </w:tcBorders>
          </w:tcPr>
          <w:p w14:paraId="110965A3" w14:textId="03723B2E" w:rsidR="005B5805" w:rsidRPr="00532C20" w:rsidRDefault="005B5805" w:rsidP="004B0958">
            <w:pPr>
              <w:pStyle w:val="Text2"/>
              <w:spacing w:after="0"/>
              <w:ind w:left="0"/>
              <w:jc w:val="left"/>
              <w:rPr>
                <w:rFonts w:ascii="Times New Roman" w:hAnsi="Times New Roman" w:cs="Times New Roman"/>
                <w:b/>
                <w:bCs/>
                <w:i/>
                <w:iCs/>
                <w:noProof/>
                <w:sz w:val="20"/>
                <w:lang w:val="en-IE"/>
              </w:rPr>
            </w:pPr>
            <w:r w:rsidRPr="00532C20">
              <w:rPr>
                <w:rFonts w:ascii="Times New Roman" w:hAnsi="Times New Roman" w:cs="Times New Roman"/>
                <w:b/>
                <w:bCs/>
                <w:i/>
                <w:iCs/>
                <w:noProof/>
                <w:sz w:val="20"/>
                <w:lang w:val="en-IE"/>
              </w:rPr>
              <w:t>Overall</w:t>
            </w:r>
          </w:p>
        </w:tc>
        <w:tc>
          <w:tcPr>
            <w:tcW w:w="851" w:type="dxa"/>
            <w:tcBorders>
              <w:top w:val="single" w:sz="8" w:space="0" w:color="auto"/>
              <w:bottom w:val="single" w:sz="8" w:space="0" w:color="auto"/>
            </w:tcBorders>
          </w:tcPr>
          <w:p w14:paraId="657D837A" w14:textId="69CD740E" w:rsidR="005B5805" w:rsidRPr="00532C20" w:rsidRDefault="005B5805" w:rsidP="004B0958">
            <w:pPr>
              <w:pStyle w:val="Text2"/>
              <w:spacing w:after="0"/>
              <w:ind w:left="0"/>
              <w:jc w:val="center"/>
              <w:rPr>
                <w:rFonts w:ascii="Times New Roman" w:hAnsi="Times New Roman" w:cs="Times New Roman"/>
                <w:b/>
                <w:bCs/>
                <w:i/>
                <w:iCs/>
                <w:noProof/>
                <w:sz w:val="20"/>
                <w:lang w:val="en-IE"/>
              </w:rPr>
            </w:pPr>
            <w:r w:rsidRPr="00532C20">
              <w:rPr>
                <w:rFonts w:ascii="Times New Roman" w:hAnsi="Times New Roman" w:cs="Times New Roman"/>
                <w:b/>
                <w:bCs/>
                <w:i/>
                <w:iCs/>
                <w:noProof/>
                <w:sz w:val="20"/>
                <w:lang w:val="en-IE"/>
              </w:rPr>
              <w:t>0</w:t>
            </w:r>
          </w:p>
        </w:tc>
        <w:tc>
          <w:tcPr>
            <w:tcW w:w="1398" w:type="dxa"/>
            <w:tcBorders>
              <w:top w:val="single" w:sz="8" w:space="0" w:color="auto"/>
              <w:bottom w:val="single" w:sz="8" w:space="0" w:color="auto"/>
            </w:tcBorders>
            <w:vAlign w:val="center"/>
          </w:tcPr>
          <w:p w14:paraId="28DBDC5E" w14:textId="36278465" w:rsidR="005B5805" w:rsidRPr="00532C20" w:rsidRDefault="005B5805" w:rsidP="004B0958">
            <w:pPr>
              <w:pStyle w:val="Text2"/>
              <w:spacing w:after="0"/>
              <w:ind w:left="0"/>
              <w:jc w:val="center"/>
              <w:rPr>
                <w:rFonts w:ascii="Times New Roman" w:hAnsi="Times New Roman" w:cs="Times New Roman"/>
                <w:b/>
                <w:bCs/>
                <w:i/>
                <w:iCs/>
                <w:noProof/>
                <w:sz w:val="20"/>
                <w:lang w:val="en-IE"/>
              </w:rPr>
            </w:pPr>
            <w:r w:rsidRPr="00532C20">
              <w:rPr>
                <w:rFonts w:ascii="Times New Roman" w:hAnsi="Times New Roman" w:cs="Times New Roman"/>
                <w:b/>
                <w:bCs/>
                <w:i/>
                <w:iCs/>
                <w:noProof/>
                <w:sz w:val="20"/>
                <w:lang w:val="en-IE"/>
              </w:rPr>
              <w:t>+</w:t>
            </w:r>
          </w:p>
        </w:tc>
        <w:tc>
          <w:tcPr>
            <w:tcW w:w="1682" w:type="dxa"/>
            <w:tcBorders>
              <w:top w:val="single" w:sz="8" w:space="0" w:color="auto"/>
              <w:bottom w:val="single" w:sz="8" w:space="0" w:color="auto"/>
            </w:tcBorders>
            <w:vAlign w:val="center"/>
          </w:tcPr>
          <w:p w14:paraId="15A1BF85" w14:textId="69308A44" w:rsidR="005B5805" w:rsidRPr="00532C20" w:rsidRDefault="005B5805" w:rsidP="004B0958">
            <w:pPr>
              <w:pStyle w:val="Text2"/>
              <w:spacing w:after="0"/>
              <w:ind w:left="0"/>
              <w:jc w:val="center"/>
              <w:rPr>
                <w:rFonts w:ascii="Times New Roman" w:hAnsi="Times New Roman" w:cs="Times New Roman"/>
                <w:b/>
                <w:bCs/>
                <w:i/>
                <w:iCs/>
                <w:noProof/>
                <w:sz w:val="20"/>
                <w:lang w:val="en-IE"/>
              </w:rPr>
            </w:pPr>
            <w:r w:rsidRPr="00532C20">
              <w:rPr>
                <w:rFonts w:ascii="Times New Roman" w:hAnsi="Times New Roman" w:cs="Times New Roman"/>
                <w:b/>
                <w:bCs/>
                <w:i/>
                <w:iCs/>
                <w:noProof/>
                <w:sz w:val="20"/>
                <w:lang w:val="en-IE"/>
              </w:rPr>
              <w:t>++</w:t>
            </w:r>
          </w:p>
        </w:tc>
        <w:tc>
          <w:tcPr>
            <w:tcW w:w="1683" w:type="dxa"/>
            <w:tcBorders>
              <w:top w:val="single" w:sz="8" w:space="0" w:color="auto"/>
              <w:bottom w:val="single" w:sz="8" w:space="0" w:color="auto"/>
              <w:right w:val="single" w:sz="8" w:space="0" w:color="auto"/>
            </w:tcBorders>
            <w:vAlign w:val="center"/>
          </w:tcPr>
          <w:p w14:paraId="793CFBB9" w14:textId="341111AD" w:rsidR="005B5805" w:rsidRPr="00532C20" w:rsidRDefault="005B5805" w:rsidP="004B0958">
            <w:pPr>
              <w:pStyle w:val="Text2"/>
              <w:spacing w:after="0"/>
              <w:ind w:left="0"/>
              <w:jc w:val="center"/>
              <w:rPr>
                <w:rFonts w:ascii="Times New Roman" w:hAnsi="Times New Roman" w:cs="Times New Roman"/>
                <w:i/>
                <w:iCs/>
                <w:noProof/>
                <w:sz w:val="20"/>
                <w:lang w:val="en-IE"/>
              </w:rPr>
            </w:pPr>
            <w:r w:rsidRPr="00532C20">
              <w:rPr>
                <w:rFonts w:ascii="Times New Roman" w:hAnsi="Times New Roman" w:cs="Times New Roman"/>
                <w:i/>
                <w:iCs/>
                <w:noProof/>
                <w:sz w:val="20"/>
                <w:lang w:val="en-IE"/>
              </w:rPr>
              <w:t>-</w:t>
            </w:r>
          </w:p>
        </w:tc>
      </w:tr>
    </w:tbl>
    <w:p w14:paraId="11CCD421" w14:textId="5A857B99" w:rsidR="009B635F" w:rsidRPr="00532C20" w:rsidRDefault="004771E9" w:rsidP="004B0958">
      <w:pPr>
        <w:spacing w:line="240" w:lineRule="auto"/>
        <w:jc w:val="both"/>
        <w:textAlignment w:val="baseline"/>
        <w:rPr>
          <w:rFonts w:ascii="Times New Roman" w:eastAsia="Times" w:hAnsi="Times New Roman" w:cs="Times New Roman"/>
          <w:b/>
          <w:noProof/>
          <w:sz w:val="24"/>
          <w:szCs w:val="24"/>
          <w:lang w:val="en-IE" w:eastAsia="en-IE"/>
        </w:rPr>
      </w:pPr>
      <w:r w:rsidRPr="00532C20">
        <w:rPr>
          <w:rFonts w:ascii="Times New Roman" w:hAnsi="Times New Roman" w:cs="Times New Roman"/>
          <w:bCs/>
          <w:noProof/>
          <w:sz w:val="20"/>
          <w:lang w:val="en-IE"/>
        </w:rPr>
        <w:t xml:space="preserve">The table should be read in </w:t>
      </w:r>
      <w:r w:rsidR="003D36C9" w:rsidRPr="00532C20">
        <w:rPr>
          <w:rFonts w:ascii="Times New Roman" w:hAnsi="Times New Roman" w:cs="Times New Roman"/>
          <w:bCs/>
          <w:noProof/>
          <w:sz w:val="20"/>
          <w:lang w:val="en-IE"/>
        </w:rPr>
        <w:t>vertical</w:t>
      </w:r>
      <w:r w:rsidRPr="00532C20">
        <w:rPr>
          <w:rFonts w:ascii="Times New Roman" w:hAnsi="Times New Roman" w:cs="Times New Roman"/>
          <w:bCs/>
          <w:noProof/>
          <w:sz w:val="20"/>
          <w:lang w:val="en-IE"/>
        </w:rPr>
        <w:t>:</w:t>
      </w:r>
      <w:r w:rsidR="003148E3" w:rsidRPr="00532C20">
        <w:rPr>
          <w:rFonts w:ascii="Times New Roman" w:hAnsi="Times New Roman" w:cs="Times New Roman"/>
          <w:b/>
          <w:noProof/>
          <w:sz w:val="20"/>
          <w:lang w:val="en-IE"/>
        </w:rPr>
        <w:t xml:space="preserve"> </w:t>
      </w:r>
      <w:r w:rsidR="008F1B4B" w:rsidRPr="00532C20">
        <w:rPr>
          <w:rFonts w:ascii="Times New Roman" w:hAnsi="Times New Roman" w:cs="Times New Roman"/>
          <w:b/>
          <w:noProof/>
          <w:sz w:val="20"/>
          <w:lang w:val="en-IE"/>
        </w:rPr>
        <w:t>‘++</w:t>
      </w:r>
      <w:r w:rsidR="0074366A" w:rsidRPr="00532C20">
        <w:rPr>
          <w:rFonts w:ascii="Times New Roman" w:hAnsi="Times New Roman" w:cs="Times New Roman"/>
          <w:b/>
          <w:noProof/>
          <w:sz w:val="20"/>
          <w:lang w:val="en-IE"/>
        </w:rPr>
        <w:t>+</w:t>
      </w:r>
      <w:r w:rsidR="008F1B4B" w:rsidRPr="00532C20">
        <w:rPr>
          <w:rFonts w:ascii="Times New Roman" w:hAnsi="Times New Roman" w:cs="Times New Roman"/>
          <w:b/>
          <w:noProof/>
          <w:sz w:val="20"/>
          <w:lang w:val="en-IE"/>
        </w:rPr>
        <w:t xml:space="preserve">’ means positive impact of </w:t>
      </w:r>
      <w:r w:rsidR="0074366A" w:rsidRPr="00532C20">
        <w:rPr>
          <w:rFonts w:ascii="Times New Roman" w:hAnsi="Times New Roman" w:cs="Times New Roman"/>
          <w:b/>
          <w:noProof/>
          <w:sz w:val="20"/>
          <w:lang w:val="en-IE"/>
        </w:rPr>
        <w:t xml:space="preserve">very </w:t>
      </w:r>
      <w:r w:rsidR="008F1B4B" w:rsidRPr="00532C20">
        <w:rPr>
          <w:rFonts w:ascii="Times New Roman" w:hAnsi="Times New Roman" w:cs="Times New Roman"/>
          <w:b/>
          <w:noProof/>
          <w:sz w:val="20"/>
          <w:lang w:val="en-IE"/>
        </w:rPr>
        <w:t xml:space="preserve">high magnitude compared to the baseline, ‘++’ means positive impact of high magnitude compared to the baseline, ‘+’ means positive impact of moderate magnitude compared to the baseline, ‘0’ means neutral impact compared to the baseline, ‘-’ means negative impact of moderate magnitude compared to the baseline, ‘- -’ means negative impact of high magnitude compared to the baseline, </w:t>
      </w:r>
      <w:r w:rsidR="0074366A" w:rsidRPr="00532C20">
        <w:rPr>
          <w:rFonts w:ascii="Times New Roman" w:hAnsi="Times New Roman" w:cs="Times New Roman"/>
          <w:b/>
          <w:noProof/>
          <w:sz w:val="20"/>
          <w:lang w:val="en-IE"/>
        </w:rPr>
        <w:t>‘- - -’ means negative impact of very high magnitude compared to the baseline</w:t>
      </w:r>
      <w:r w:rsidR="005F2609">
        <w:rPr>
          <w:rFonts w:ascii="Times New Roman" w:hAnsi="Times New Roman" w:cs="Times New Roman"/>
          <w:b/>
          <w:noProof/>
          <w:sz w:val="20"/>
          <w:lang w:val="en-IE"/>
        </w:rPr>
        <w:t>,</w:t>
      </w:r>
      <w:r w:rsidR="0074366A" w:rsidRPr="00532C20">
        <w:rPr>
          <w:rFonts w:ascii="Times New Roman" w:hAnsi="Times New Roman" w:cs="Times New Roman"/>
          <w:b/>
          <w:noProof/>
          <w:sz w:val="20"/>
          <w:lang w:val="en-IE"/>
        </w:rPr>
        <w:t xml:space="preserve"> </w:t>
      </w:r>
      <w:r w:rsidR="008F1B4B" w:rsidRPr="00532C20">
        <w:rPr>
          <w:rFonts w:ascii="Times New Roman" w:hAnsi="Times New Roman" w:cs="Times New Roman"/>
          <w:b/>
          <w:noProof/>
          <w:sz w:val="20"/>
          <w:lang w:val="en-IE"/>
        </w:rPr>
        <w:t>‘n.a’ means not applicable.</w:t>
      </w:r>
    </w:p>
    <w:p w14:paraId="71A5B44C" w14:textId="4E94FE01" w:rsidR="003F3A28" w:rsidRPr="00532C20" w:rsidRDefault="003F3A28" w:rsidP="004B0958">
      <w:pPr>
        <w:pStyle w:val="1levelonetitle"/>
        <w:rPr>
          <w:noProof/>
        </w:rPr>
      </w:pPr>
      <w:bookmarkStart w:id="1036" w:name="_Toc152864709"/>
      <w:r w:rsidRPr="00532C20">
        <w:rPr>
          <w:noProof/>
        </w:rPr>
        <w:t>How do the options compare?</w:t>
      </w:r>
      <w:bookmarkEnd w:id="1036"/>
    </w:p>
    <w:p w14:paraId="6A2B224B" w14:textId="691BAE4B" w:rsidR="00010D0F" w:rsidRPr="00532C20" w:rsidRDefault="00F7734F" w:rsidP="001C147D">
      <w:pPr>
        <w:spacing w:line="240" w:lineRule="auto"/>
        <w:jc w:val="both"/>
        <w:textAlignment w:val="baseline"/>
        <w:rPr>
          <w:rFonts w:ascii="Times New Roman"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The options were compared on the basis of the </w:t>
      </w:r>
      <w:r w:rsidR="00434F8C" w:rsidRPr="00532C20">
        <w:rPr>
          <w:rFonts w:ascii="Times New Roman" w:hAnsi="Times New Roman" w:cs="Times New Roman"/>
          <w:noProof/>
          <w:sz w:val="24"/>
          <w:szCs w:val="24"/>
          <w:lang w:val="en-IE" w:eastAsia="en-IE"/>
        </w:rPr>
        <w:t xml:space="preserve">criteria of </w:t>
      </w:r>
      <w:r w:rsidRPr="00532C20">
        <w:rPr>
          <w:rFonts w:ascii="Times New Roman" w:hAnsi="Times New Roman" w:cs="Times New Roman"/>
          <w:b/>
          <w:noProof/>
          <w:sz w:val="24"/>
          <w:szCs w:val="24"/>
          <w:lang w:val="en-IE" w:eastAsia="en-IE"/>
        </w:rPr>
        <w:t>Effectiveness</w:t>
      </w:r>
      <w:r w:rsidR="00434F8C" w:rsidRPr="00532C20">
        <w:rPr>
          <w:rStyle w:val="FootnoteReference"/>
          <w:rFonts w:ascii="Times New Roman" w:hAnsi="Times New Roman" w:cs="Times New Roman"/>
          <w:noProof/>
          <w:sz w:val="24"/>
          <w:szCs w:val="24"/>
          <w:lang w:val="en-IE" w:eastAsia="en-IE"/>
        </w:rPr>
        <w:footnoteReference w:id="219"/>
      </w:r>
      <w:r w:rsidRPr="00532C20">
        <w:rPr>
          <w:rFonts w:ascii="Times New Roman" w:hAnsi="Times New Roman" w:cs="Times New Roman"/>
          <w:noProof/>
          <w:sz w:val="24"/>
          <w:szCs w:val="24"/>
          <w:lang w:val="en-IE" w:eastAsia="en-IE"/>
        </w:rPr>
        <w:t xml:space="preserve">, </w:t>
      </w:r>
      <w:r w:rsidRPr="00532C20">
        <w:rPr>
          <w:rFonts w:ascii="Times New Roman" w:hAnsi="Times New Roman" w:cs="Times New Roman"/>
          <w:b/>
          <w:bCs/>
          <w:noProof/>
          <w:sz w:val="24"/>
          <w:szCs w:val="24"/>
          <w:lang w:val="en-IE" w:eastAsia="en-IE"/>
        </w:rPr>
        <w:t>Efficiency</w:t>
      </w:r>
      <w:r w:rsidR="00FC32F7" w:rsidRPr="00532C20">
        <w:rPr>
          <w:rStyle w:val="FootnoteReference"/>
          <w:rFonts w:ascii="Times New Roman" w:hAnsi="Times New Roman" w:cs="Times New Roman"/>
          <w:noProof/>
          <w:sz w:val="24"/>
          <w:szCs w:val="24"/>
          <w:lang w:val="en-IE" w:eastAsia="en-IE"/>
        </w:rPr>
        <w:footnoteReference w:id="220"/>
      </w:r>
      <w:r w:rsidR="00EC37D1" w:rsidRPr="00532C20">
        <w:rPr>
          <w:rFonts w:ascii="Times New Roman" w:hAnsi="Times New Roman" w:cs="Times New Roman"/>
          <w:noProof/>
          <w:sz w:val="24"/>
          <w:szCs w:val="24"/>
          <w:lang w:val="en-IE" w:eastAsia="en-IE"/>
        </w:rPr>
        <w:t xml:space="preserve">, </w:t>
      </w:r>
      <w:r w:rsidRPr="00532C20">
        <w:rPr>
          <w:rFonts w:ascii="Times New Roman" w:hAnsi="Times New Roman" w:cs="Times New Roman"/>
          <w:b/>
          <w:bCs/>
          <w:noProof/>
          <w:sz w:val="24"/>
          <w:szCs w:val="24"/>
          <w:lang w:val="en-IE" w:eastAsia="en-IE"/>
        </w:rPr>
        <w:t>Coherence</w:t>
      </w:r>
      <w:r w:rsidRPr="00532C20">
        <w:rPr>
          <w:rFonts w:ascii="Times New Roman" w:hAnsi="Times New Roman" w:cs="Times New Roman"/>
          <w:noProof/>
          <w:sz w:val="24"/>
          <w:szCs w:val="24"/>
          <w:lang w:val="en-IE" w:eastAsia="en-IE"/>
        </w:rPr>
        <w:t xml:space="preserve"> with existing and planned </w:t>
      </w:r>
      <w:r w:rsidR="00FC32F7" w:rsidRPr="00532C20">
        <w:rPr>
          <w:rFonts w:ascii="Times New Roman" w:hAnsi="Times New Roman" w:cs="Times New Roman"/>
          <w:noProof/>
          <w:sz w:val="24"/>
          <w:szCs w:val="24"/>
          <w:lang w:val="en-IE" w:eastAsia="en-IE"/>
        </w:rPr>
        <w:t xml:space="preserve">EU </w:t>
      </w:r>
      <w:r w:rsidRPr="00532C20">
        <w:rPr>
          <w:rFonts w:ascii="Times New Roman" w:hAnsi="Times New Roman" w:cs="Times New Roman"/>
          <w:noProof/>
          <w:sz w:val="24"/>
          <w:szCs w:val="24"/>
          <w:lang w:val="en-IE" w:eastAsia="en-IE"/>
        </w:rPr>
        <w:t>initiatives</w:t>
      </w:r>
      <w:r w:rsidR="00FC32F7" w:rsidRPr="00532C20">
        <w:rPr>
          <w:rFonts w:ascii="Times New Roman" w:hAnsi="Times New Roman" w:cs="Times New Roman"/>
          <w:b/>
          <w:bCs/>
          <w:noProof/>
          <w:sz w:val="24"/>
          <w:szCs w:val="24"/>
          <w:lang w:val="en-IE" w:eastAsia="en-IE"/>
        </w:rPr>
        <w:t xml:space="preserve"> </w:t>
      </w:r>
      <w:r w:rsidR="00FC32F7" w:rsidRPr="00532C20">
        <w:rPr>
          <w:rFonts w:ascii="Times New Roman" w:hAnsi="Times New Roman" w:cs="Times New Roman"/>
          <w:noProof/>
          <w:sz w:val="24"/>
          <w:szCs w:val="24"/>
          <w:lang w:val="en-IE" w:eastAsia="en-IE"/>
        </w:rPr>
        <w:t>and</w:t>
      </w:r>
      <w:r w:rsidR="00FC32F7" w:rsidRPr="00532C20">
        <w:rPr>
          <w:rFonts w:ascii="Times New Roman" w:hAnsi="Times New Roman" w:cs="Times New Roman"/>
          <w:b/>
          <w:bCs/>
          <w:noProof/>
          <w:sz w:val="24"/>
          <w:szCs w:val="24"/>
          <w:lang w:val="en-IE" w:eastAsia="en-IE"/>
        </w:rPr>
        <w:t xml:space="preserve"> </w:t>
      </w:r>
      <w:r w:rsidRPr="00532C20">
        <w:rPr>
          <w:rFonts w:ascii="Times New Roman" w:hAnsi="Times New Roman" w:cs="Times New Roman"/>
          <w:b/>
          <w:noProof/>
          <w:sz w:val="24"/>
          <w:szCs w:val="24"/>
          <w:lang w:val="en-IE" w:eastAsia="en-IE"/>
        </w:rPr>
        <w:t>Proportionality</w:t>
      </w:r>
      <w:r w:rsidR="00FC32F7" w:rsidRPr="00532C20">
        <w:rPr>
          <w:rStyle w:val="FootnoteReference"/>
          <w:rFonts w:ascii="Times New Roman" w:hAnsi="Times New Roman" w:cs="Times New Roman"/>
          <w:noProof/>
          <w:sz w:val="24"/>
          <w:szCs w:val="24"/>
          <w:lang w:val="en-IE" w:eastAsia="en-IE"/>
        </w:rPr>
        <w:footnoteReference w:id="221"/>
      </w:r>
      <w:r w:rsidR="004A7061" w:rsidRPr="00532C20">
        <w:rPr>
          <w:rFonts w:ascii="Times New Roman" w:hAnsi="Times New Roman" w:cs="Times New Roman"/>
          <w:noProof/>
          <w:sz w:val="24"/>
          <w:szCs w:val="24"/>
          <w:lang w:val="en-IE" w:eastAsia="en-IE"/>
        </w:rPr>
        <w:t>.</w:t>
      </w:r>
      <w:r w:rsidR="00373F8D" w:rsidRPr="00532C20">
        <w:rPr>
          <w:rFonts w:ascii="Times New Roman" w:hAnsi="Times New Roman" w:cs="Times New Roman"/>
          <w:noProof/>
          <w:sz w:val="24"/>
          <w:szCs w:val="24"/>
          <w:lang w:val="en-IE" w:eastAsia="en-IE"/>
        </w:rPr>
        <w:t xml:space="preserve"> </w:t>
      </w:r>
      <w:r w:rsidR="00373F8D" w:rsidRPr="00532C20">
        <w:rPr>
          <w:rFonts w:ascii="Times New Roman" w:hAnsi="Times New Roman" w:cs="Times New Roman"/>
          <w:bCs/>
          <w:noProof/>
          <w:sz w:val="24"/>
          <w:szCs w:val="24"/>
          <w:lang w:val="en-IE"/>
        </w:rPr>
        <w:t>Methodology is explained in Annex 4.</w:t>
      </w:r>
    </w:p>
    <w:p w14:paraId="003282D4" w14:textId="002B1954" w:rsidR="00EA006F" w:rsidRPr="00532C20" w:rsidRDefault="00EA006F" w:rsidP="001213F7">
      <w:pPr>
        <w:pStyle w:val="11Subsection"/>
        <w:rPr>
          <w:noProof/>
        </w:rPr>
      </w:pPr>
      <w:bookmarkStart w:id="1037" w:name="_Toc152864710"/>
      <w:r w:rsidRPr="00532C20">
        <w:rPr>
          <w:noProof/>
        </w:rPr>
        <w:t>Effectiveness</w:t>
      </w:r>
      <w:bookmarkEnd w:id="1037"/>
    </w:p>
    <w:p w14:paraId="59C3DFF4" w14:textId="4C2FFEDB" w:rsidR="00BD13E7" w:rsidRPr="00532C20" w:rsidRDefault="00C4493C">
      <w:pPr>
        <w:pStyle w:val="ListParagraph"/>
        <w:numPr>
          <w:ilvl w:val="1"/>
          <w:numId w:val="46"/>
        </w:numPr>
        <w:spacing w:after="200"/>
        <w:ind w:left="426" w:hanging="426"/>
        <w:contextualSpacing w:val="0"/>
        <w:jc w:val="both"/>
        <w:textAlignment w:val="baseline"/>
        <w:rPr>
          <w:rFonts w:ascii="Times New Roman" w:hAnsi="Times New Roman" w:cs="Times New Roman"/>
          <w:i/>
          <w:iCs/>
          <w:noProof/>
          <w:lang w:val="en-IE" w:eastAsia="en-IE"/>
        </w:rPr>
      </w:pPr>
      <w:r w:rsidRPr="00532C20">
        <w:rPr>
          <w:rFonts w:ascii="Times New Roman" w:hAnsi="Times New Roman" w:cs="Times New Roman"/>
          <w:i/>
          <w:iCs/>
          <w:noProof/>
          <w:lang w:val="en-US" w:eastAsia="en-IE"/>
        </w:rPr>
        <w:t xml:space="preserve">Facilitate cross-border interest representation </w:t>
      </w:r>
      <w:r w:rsidR="009B773C" w:rsidRPr="00532C20">
        <w:rPr>
          <w:rFonts w:ascii="Times New Roman" w:hAnsi="Times New Roman" w:cs="Times New Roman"/>
          <w:i/>
          <w:iCs/>
          <w:noProof/>
          <w:lang w:val="en-US" w:eastAsia="en-IE"/>
        </w:rPr>
        <w:t xml:space="preserve">activities </w:t>
      </w:r>
      <w:r w:rsidRPr="00532C20">
        <w:rPr>
          <w:rFonts w:ascii="Times New Roman" w:hAnsi="Times New Roman" w:cs="Times New Roman"/>
          <w:i/>
          <w:iCs/>
          <w:noProof/>
          <w:lang w:val="en-US" w:eastAsia="en-IE"/>
        </w:rPr>
        <w:t xml:space="preserve">carried out on behalf of third countries </w:t>
      </w:r>
      <w:r w:rsidR="007C465F">
        <w:rPr>
          <w:rFonts w:ascii="Times New Roman" w:hAnsi="Times New Roman" w:cs="Times New Roman"/>
          <w:i/>
          <w:iCs/>
          <w:noProof/>
          <w:lang w:val="en-US" w:eastAsia="en-IE"/>
        </w:rPr>
        <w:t xml:space="preserve">when </w:t>
      </w:r>
      <w:r w:rsidRPr="00532C20">
        <w:rPr>
          <w:rFonts w:ascii="Times New Roman" w:hAnsi="Times New Roman" w:cs="Times New Roman"/>
          <w:i/>
          <w:iCs/>
          <w:noProof/>
          <w:lang w:val="en-US" w:eastAsia="en-IE"/>
        </w:rPr>
        <w:t>done transparently</w:t>
      </w:r>
      <w:r w:rsidR="00BD13E7" w:rsidRPr="00532C20">
        <w:rPr>
          <w:rFonts w:ascii="Times New Roman" w:hAnsi="Times New Roman" w:cs="Times New Roman"/>
          <w:i/>
          <w:iCs/>
          <w:noProof/>
          <w:lang w:val="en-IE" w:eastAsia="en-IE"/>
        </w:rPr>
        <w:t xml:space="preserve">. </w:t>
      </w:r>
    </w:p>
    <w:p w14:paraId="5BC3A91A" w14:textId="42470951" w:rsidR="00F838A0" w:rsidRPr="00532C20" w:rsidRDefault="00883901" w:rsidP="004B0958">
      <w:pPr>
        <w:spacing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hAnsi="Times New Roman" w:cs="Times New Roman"/>
          <w:noProof/>
          <w:sz w:val="24"/>
          <w:szCs w:val="24"/>
          <w:u w:val="single"/>
          <w:lang w:val="en-IE" w:eastAsia="en-IE"/>
        </w:rPr>
        <w:t>All</w:t>
      </w:r>
      <w:r w:rsidR="00A90D63" w:rsidRPr="00532C20">
        <w:rPr>
          <w:rFonts w:ascii="Times New Roman" w:hAnsi="Times New Roman" w:cs="Times New Roman"/>
          <w:noProof/>
          <w:sz w:val="24"/>
          <w:szCs w:val="24"/>
          <w:u w:val="single"/>
          <w:lang w:val="en-IE" w:eastAsia="en-IE"/>
        </w:rPr>
        <w:t xml:space="preserve"> 3</w:t>
      </w:r>
      <w:r w:rsidRPr="00532C20">
        <w:rPr>
          <w:rFonts w:ascii="Times New Roman" w:hAnsi="Times New Roman" w:cs="Times New Roman"/>
          <w:noProof/>
          <w:sz w:val="24"/>
          <w:szCs w:val="24"/>
          <w:u w:val="single"/>
          <w:lang w:val="en-IE" w:eastAsia="en-IE"/>
        </w:rPr>
        <w:t xml:space="preserve"> options</w:t>
      </w:r>
      <w:r w:rsidRPr="00532C20">
        <w:rPr>
          <w:rFonts w:ascii="Times New Roman" w:hAnsi="Times New Roman" w:cs="Times New Roman"/>
          <w:noProof/>
          <w:sz w:val="24"/>
          <w:szCs w:val="24"/>
          <w:lang w:val="en-IE" w:eastAsia="en-IE"/>
        </w:rPr>
        <w:t xml:space="preserve"> </w:t>
      </w:r>
      <w:r w:rsidR="009738E7" w:rsidRPr="00532C20">
        <w:rPr>
          <w:rFonts w:ascii="Times New Roman" w:hAnsi="Times New Roman" w:cs="Times New Roman"/>
          <w:noProof/>
          <w:sz w:val="24"/>
          <w:szCs w:val="24"/>
          <w:lang w:val="en-IE" w:eastAsia="en-IE"/>
        </w:rPr>
        <w:t xml:space="preserve">would </w:t>
      </w:r>
      <w:r w:rsidR="009738E7" w:rsidRPr="00532C20">
        <w:rPr>
          <w:rFonts w:ascii="Times New Roman" w:hAnsi="Times New Roman" w:cs="Times New Roman"/>
          <w:noProof/>
          <w:sz w:val="24"/>
          <w:szCs w:val="24"/>
          <w:lang w:val="en-IE"/>
        </w:rPr>
        <w:t xml:space="preserve">provide for similar transparency requirements in all Member States, thereby levelling the playing field </w:t>
      </w:r>
      <w:r w:rsidR="00820C2E" w:rsidRPr="00532C20">
        <w:rPr>
          <w:rFonts w:ascii="Times New Roman" w:hAnsi="Times New Roman" w:cs="Times New Roman"/>
          <w:noProof/>
          <w:sz w:val="24"/>
          <w:szCs w:val="24"/>
          <w:lang w:val="en-IE"/>
        </w:rPr>
        <w:t xml:space="preserve">compliance cost </w:t>
      </w:r>
      <w:r w:rsidR="009738E7" w:rsidRPr="00532C20">
        <w:rPr>
          <w:rFonts w:ascii="Times New Roman" w:hAnsi="Times New Roman" w:cs="Times New Roman"/>
          <w:noProof/>
          <w:sz w:val="24"/>
          <w:szCs w:val="24"/>
          <w:lang w:val="en-IE"/>
        </w:rPr>
        <w:t>and limiting the risks</w:t>
      </w:r>
      <w:r w:rsidR="009738E7" w:rsidRPr="00532C20">
        <w:rPr>
          <w:rFonts w:ascii="Times New Roman" w:hAnsi="Times New Roman" w:cs="Times New Roman"/>
          <w:noProof/>
          <w:sz w:val="24"/>
          <w:szCs w:val="24"/>
          <w:lang w:val="en-IE" w:eastAsia="en-IE"/>
        </w:rPr>
        <w:t xml:space="preserve"> of </w:t>
      </w:r>
      <w:r w:rsidR="004615C8" w:rsidRPr="00532C20">
        <w:rPr>
          <w:rFonts w:ascii="Times New Roman" w:hAnsi="Times New Roman" w:cs="Times New Roman"/>
          <w:noProof/>
          <w:sz w:val="24"/>
          <w:szCs w:val="24"/>
          <w:lang w:val="en-IE" w:eastAsia="en-IE"/>
        </w:rPr>
        <w:t>regulatory arbitrage</w:t>
      </w:r>
      <w:r w:rsidRPr="00532C20">
        <w:rPr>
          <w:rFonts w:ascii="Times New Roman" w:hAnsi="Times New Roman" w:cs="Times New Roman"/>
          <w:noProof/>
          <w:sz w:val="24"/>
          <w:szCs w:val="24"/>
          <w:lang w:val="en-IE" w:eastAsia="en-IE"/>
        </w:rPr>
        <w:t>.</w:t>
      </w:r>
      <w:r w:rsidR="00F838A0" w:rsidRPr="00532C20">
        <w:rPr>
          <w:rFonts w:ascii="Times New Roman" w:hAnsi="Times New Roman" w:cs="Times New Roman"/>
          <w:noProof/>
          <w:sz w:val="24"/>
          <w:szCs w:val="24"/>
          <w:lang w:val="en-IE" w:eastAsia="en-IE"/>
        </w:rPr>
        <w:t xml:space="preserve"> However, t</w:t>
      </w:r>
      <w:r w:rsidR="000F4C01" w:rsidRPr="00532C20">
        <w:rPr>
          <w:rFonts w:ascii="Times New Roman" w:eastAsia="Times" w:hAnsi="Times New Roman" w:cs="Times New Roman"/>
          <w:noProof/>
          <w:sz w:val="24"/>
          <w:szCs w:val="24"/>
          <w:lang w:val="en-IE" w:eastAsia="en-IE"/>
        </w:rPr>
        <w:t>he non-binding nature of the proposed non-legislative measures</w:t>
      </w:r>
      <w:r w:rsidR="00E91464" w:rsidRPr="00532C20">
        <w:rPr>
          <w:rFonts w:ascii="Times New Roman" w:eastAsia="Times" w:hAnsi="Times New Roman" w:cs="Times New Roman"/>
          <w:noProof/>
          <w:sz w:val="24"/>
          <w:szCs w:val="24"/>
          <w:lang w:val="en-IE" w:eastAsia="en-IE"/>
        </w:rPr>
        <w:t>,</w:t>
      </w:r>
      <w:r w:rsidR="00386606" w:rsidRPr="00532C20">
        <w:rPr>
          <w:rFonts w:ascii="Times New Roman" w:eastAsia="Times" w:hAnsi="Times New Roman" w:cs="Times New Roman"/>
          <w:noProof/>
          <w:sz w:val="24"/>
          <w:szCs w:val="24"/>
          <w:lang w:val="en-IE" w:eastAsia="en-IE"/>
        </w:rPr>
        <w:t xml:space="preserve"> </w:t>
      </w:r>
      <w:r w:rsidR="00386606" w:rsidRPr="00313F32">
        <w:rPr>
          <w:rFonts w:ascii="Times New Roman" w:eastAsia="Times" w:hAnsi="Times New Roman" w:cs="Times New Roman"/>
          <w:noProof/>
          <w:sz w:val="24"/>
          <w:szCs w:val="24"/>
          <w:u w:val="single"/>
          <w:lang w:val="en-IE" w:eastAsia="en-IE"/>
        </w:rPr>
        <w:t>PO</w:t>
      </w:r>
      <w:r w:rsidR="000F4C01" w:rsidRPr="00532C20">
        <w:rPr>
          <w:rFonts w:ascii="Times New Roman" w:hAnsi="Times New Roman" w:cs="Times New Roman"/>
          <w:noProof/>
          <w:sz w:val="24"/>
          <w:szCs w:val="24"/>
          <w:u w:val="single"/>
          <w:lang w:val="en-IE" w:eastAsia="en-IE"/>
        </w:rPr>
        <w:t>1</w:t>
      </w:r>
      <w:r w:rsidR="000F4C01" w:rsidRPr="00532C20">
        <w:rPr>
          <w:rFonts w:ascii="Times New Roman" w:hAnsi="Times New Roman" w:cs="Times New Roman"/>
          <w:noProof/>
          <w:sz w:val="24"/>
          <w:szCs w:val="24"/>
          <w:lang w:val="en-IE" w:eastAsia="en-IE"/>
        </w:rPr>
        <w:t xml:space="preserve"> </w:t>
      </w:r>
      <w:r w:rsidR="000F4C01" w:rsidRPr="00532C20">
        <w:rPr>
          <w:rFonts w:ascii="Times New Roman" w:eastAsia="Times" w:hAnsi="Times New Roman" w:cs="Times New Roman"/>
          <w:noProof/>
          <w:sz w:val="24"/>
          <w:szCs w:val="24"/>
          <w:lang w:val="en-IE" w:eastAsia="en-IE"/>
        </w:rPr>
        <w:t>makes it difficult to determine if an</w:t>
      </w:r>
      <w:r w:rsidR="00951450" w:rsidRPr="00532C20">
        <w:rPr>
          <w:rFonts w:ascii="Times New Roman" w:eastAsia="Times" w:hAnsi="Times New Roman" w:cs="Times New Roman"/>
          <w:noProof/>
          <w:sz w:val="24"/>
          <w:szCs w:val="24"/>
          <w:lang w:val="en-IE" w:eastAsia="en-IE"/>
        </w:rPr>
        <w:t>d</w:t>
      </w:r>
      <w:r w:rsidR="000F4C01" w:rsidRPr="00532C20">
        <w:rPr>
          <w:rFonts w:ascii="Times New Roman" w:eastAsia="Times" w:hAnsi="Times New Roman" w:cs="Times New Roman"/>
          <w:noProof/>
          <w:sz w:val="24"/>
          <w:szCs w:val="24"/>
          <w:lang w:val="en-IE" w:eastAsia="en-IE"/>
        </w:rPr>
        <w:t xml:space="preserve"> how Member States would implement </w:t>
      </w:r>
      <w:r w:rsidR="002B5759" w:rsidRPr="00532C20">
        <w:rPr>
          <w:rFonts w:ascii="Times New Roman" w:eastAsia="Times" w:hAnsi="Times New Roman" w:cs="Times New Roman"/>
          <w:noProof/>
          <w:sz w:val="24"/>
          <w:szCs w:val="24"/>
          <w:lang w:val="en-IE" w:eastAsia="en-IE"/>
        </w:rPr>
        <w:t>the proposed transparency standards</w:t>
      </w:r>
      <w:r w:rsidR="004615C8" w:rsidRPr="00532C20">
        <w:rPr>
          <w:rFonts w:ascii="Times New Roman" w:eastAsia="Times" w:hAnsi="Times New Roman" w:cs="Times New Roman"/>
          <w:noProof/>
          <w:sz w:val="24"/>
          <w:szCs w:val="24"/>
          <w:lang w:val="en-IE" w:eastAsia="en-IE"/>
        </w:rPr>
        <w:t xml:space="preserve"> </w:t>
      </w:r>
      <w:r w:rsidR="00A52602" w:rsidRPr="00532C20">
        <w:rPr>
          <w:rFonts w:ascii="Times New Roman" w:eastAsia="Times" w:hAnsi="Times New Roman" w:cs="Times New Roman"/>
          <w:noProof/>
          <w:sz w:val="24"/>
          <w:szCs w:val="24"/>
          <w:lang w:val="en-IE" w:eastAsia="en-IE"/>
        </w:rPr>
        <w:t>and further</w:t>
      </w:r>
      <w:r w:rsidR="003915A3" w:rsidRPr="00532C20">
        <w:rPr>
          <w:rFonts w:ascii="Times New Roman" w:eastAsia="Times" w:hAnsi="Times New Roman" w:cs="Times New Roman"/>
          <w:noProof/>
          <w:sz w:val="24"/>
          <w:szCs w:val="24"/>
          <w:lang w:val="en-IE" w:eastAsia="en-IE"/>
        </w:rPr>
        <w:t xml:space="preserve"> fragmentation will a priori not be preventable.</w:t>
      </w:r>
      <w:r w:rsidR="000F4C01" w:rsidRPr="00532C20">
        <w:rPr>
          <w:rFonts w:ascii="Times New Roman" w:eastAsia="Times" w:hAnsi="Times New Roman" w:cs="Times New Roman"/>
          <w:noProof/>
          <w:sz w:val="24"/>
          <w:szCs w:val="24"/>
          <w:lang w:val="en-IE" w:eastAsia="en-IE"/>
        </w:rPr>
        <w:t xml:space="preserve"> </w:t>
      </w:r>
    </w:p>
    <w:p w14:paraId="29B53555" w14:textId="2F32B91C" w:rsidR="003F4926" w:rsidRPr="00532C20" w:rsidRDefault="00951450" w:rsidP="004B0958">
      <w:pPr>
        <w:spacing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u w:val="single"/>
          <w:lang w:val="en-IE" w:eastAsia="en-IE"/>
        </w:rPr>
        <w:t>The legislative options (PO</w:t>
      </w:r>
      <w:r w:rsidR="00DA6F15" w:rsidRPr="00532C20">
        <w:rPr>
          <w:rFonts w:ascii="Times New Roman" w:eastAsia="Times" w:hAnsi="Times New Roman" w:cs="Times New Roman"/>
          <w:noProof/>
          <w:sz w:val="24"/>
          <w:szCs w:val="24"/>
          <w:u w:val="single"/>
          <w:lang w:val="en-IE" w:eastAsia="en-IE"/>
        </w:rPr>
        <w:t>2</w:t>
      </w:r>
      <w:r w:rsidR="00D47716" w:rsidRPr="00532C20">
        <w:rPr>
          <w:rFonts w:ascii="Times New Roman" w:eastAsia="Times" w:hAnsi="Times New Roman" w:cs="Times New Roman"/>
          <w:noProof/>
          <w:sz w:val="24"/>
          <w:szCs w:val="24"/>
          <w:u w:val="single"/>
          <w:lang w:val="en-IE" w:eastAsia="en-IE"/>
        </w:rPr>
        <w:t>.1</w:t>
      </w:r>
      <w:r w:rsidRPr="00532C20">
        <w:rPr>
          <w:rFonts w:ascii="Times New Roman" w:eastAsia="Times" w:hAnsi="Times New Roman" w:cs="Times New Roman"/>
          <w:noProof/>
          <w:sz w:val="24"/>
          <w:szCs w:val="24"/>
          <w:u w:val="single"/>
          <w:lang w:val="en-IE" w:eastAsia="en-IE"/>
        </w:rPr>
        <w:t xml:space="preserve"> and PO</w:t>
      </w:r>
      <w:r w:rsidR="00DA6F15" w:rsidRPr="00532C20">
        <w:rPr>
          <w:rFonts w:ascii="Times New Roman" w:eastAsia="Times" w:hAnsi="Times New Roman" w:cs="Times New Roman"/>
          <w:noProof/>
          <w:sz w:val="24"/>
          <w:szCs w:val="24"/>
          <w:u w:val="single"/>
          <w:lang w:val="en-IE" w:eastAsia="en-IE"/>
        </w:rPr>
        <w:t>2</w:t>
      </w:r>
      <w:r w:rsidR="00D47716" w:rsidRPr="00532C20">
        <w:rPr>
          <w:rFonts w:ascii="Times New Roman" w:eastAsia="Times" w:hAnsi="Times New Roman" w:cs="Times New Roman"/>
          <w:noProof/>
          <w:sz w:val="24"/>
          <w:szCs w:val="24"/>
          <w:u w:val="single"/>
          <w:lang w:val="en-IE" w:eastAsia="en-IE"/>
        </w:rPr>
        <w:t>.2</w:t>
      </w:r>
      <w:r w:rsidR="00845842" w:rsidRPr="00532C20">
        <w:rPr>
          <w:rFonts w:ascii="Times New Roman" w:eastAsia="Times" w:hAnsi="Times New Roman" w:cs="Times New Roman"/>
          <w:noProof/>
          <w:sz w:val="24"/>
          <w:szCs w:val="24"/>
          <w:u w:val="single"/>
          <w:lang w:val="en-IE" w:eastAsia="en-IE"/>
        </w:rPr>
        <w:t>)</w:t>
      </w:r>
      <w:r w:rsidR="00362028" w:rsidRPr="00532C20">
        <w:rPr>
          <w:rFonts w:ascii="Times New Roman" w:eastAsia="Times" w:hAnsi="Times New Roman" w:cs="Times New Roman"/>
          <w:noProof/>
          <w:sz w:val="24"/>
          <w:szCs w:val="24"/>
          <w:lang w:val="en-IE" w:eastAsia="en-IE"/>
        </w:rPr>
        <w:t xml:space="preserve"> would increase legal certainty and reduce th</w:t>
      </w:r>
      <w:r w:rsidR="008C66AF" w:rsidRPr="00532C20">
        <w:rPr>
          <w:rFonts w:ascii="Times New Roman" w:eastAsia="Times" w:hAnsi="Times New Roman" w:cs="Times New Roman"/>
          <w:noProof/>
          <w:sz w:val="24"/>
          <w:szCs w:val="24"/>
          <w:lang w:val="en-IE" w:eastAsia="en-IE"/>
        </w:rPr>
        <w:t xml:space="preserve">e scope for </w:t>
      </w:r>
      <w:r w:rsidR="00493D37" w:rsidRPr="00532C20">
        <w:rPr>
          <w:rFonts w:ascii="Times New Roman" w:eastAsia="Times" w:hAnsi="Times New Roman" w:cs="Times New Roman"/>
          <w:noProof/>
          <w:sz w:val="24"/>
          <w:szCs w:val="24"/>
          <w:lang w:val="en-IE" w:eastAsia="en-IE"/>
        </w:rPr>
        <w:t>divergent legislation</w:t>
      </w:r>
      <w:r w:rsidR="00DF5336" w:rsidRPr="00532C20">
        <w:rPr>
          <w:rFonts w:ascii="Times New Roman" w:eastAsia="Times" w:hAnsi="Times New Roman" w:cs="Times New Roman"/>
          <w:noProof/>
          <w:sz w:val="24"/>
          <w:szCs w:val="24"/>
          <w:lang w:val="en-IE" w:eastAsia="en-IE"/>
        </w:rPr>
        <w:t xml:space="preserve">, </w:t>
      </w:r>
      <w:r w:rsidR="006A5E0E" w:rsidRPr="00532C20">
        <w:rPr>
          <w:rFonts w:ascii="Times New Roman" w:hAnsi="Times New Roman" w:cs="Times New Roman"/>
          <w:noProof/>
          <w:sz w:val="24"/>
          <w:szCs w:val="24"/>
          <w:lang w:val="en-IE"/>
        </w:rPr>
        <w:t>they would also provide for the recognition, throughout the internal market</w:t>
      </w:r>
      <w:r w:rsidR="00631B6F" w:rsidRPr="00532C20">
        <w:rPr>
          <w:rFonts w:ascii="Times New Roman" w:hAnsi="Times New Roman" w:cs="Times New Roman"/>
          <w:noProof/>
          <w:sz w:val="24"/>
          <w:szCs w:val="24"/>
          <w:lang w:val="en-IE"/>
        </w:rPr>
        <w:t>,</w:t>
      </w:r>
      <w:r w:rsidR="006A5E0E" w:rsidRPr="00532C20">
        <w:rPr>
          <w:rFonts w:ascii="Times New Roman" w:hAnsi="Times New Roman" w:cs="Times New Roman"/>
          <w:noProof/>
          <w:sz w:val="24"/>
          <w:szCs w:val="24"/>
          <w:lang w:val="en-IE"/>
        </w:rPr>
        <w:t xml:space="preserve"> of the</w:t>
      </w:r>
      <w:r w:rsidR="009A6999" w:rsidRPr="00532C20">
        <w:rPr>
          <w:rFonts w:ascii="Times New Roman" w:hAnsi="Times New Roman" w:cs="Times New Roman"/>
          <w:noProof/>
          <w:sz w:val="24"/>
          <w:szCs w:val="24"/>
          <w:lang w:val="en-IE"/>
        </w:rPr>
        <w:t xml:space="preserve"> registration</w:t>
      </w:r>
      <w:r w:rsidR="006A5E0E" w:rsidRPr="00532C20">
        <w:rPr>
          <w:rFonts w:ascii="Times New Roman" w:hAnsi="Times New Roman" w:cs="Times New Roman"/>
          <w:noProof/>
          <w:sz w:val="24"/>
          <w:szCs w:val="24"/>
          <w:lang w:val="en-IE"/>
        </w:rPr>
        <w:t xml:space="preserve"> in</w:t>
      </w:r>
      <w:r w:rsidR="00A410DA" w:rsidRPr="00532C20">
        <w:rPr>
          <w:rFonts w:ascii="Times New Roman" w:hAnsi="Times New Roman" w:cs="Times New Roman"/>
          <w:noProof/>
          <w:sz w:val="24"/>
          <w:szCs w:val="24"/>
          <w:lang w:val="en-IE"/>
        </w:rPr>
        <w:t xml:space="preserve"> </w:t>
      </w:r>
      <w:r w:rsidR="00026DB1" w:rsidRPr="00532C20">
        <w:rPr>
          <w:rFonts w:ascii="Times New Roman" w:hAnsi="Times New Roman" w:cs="Times New Roman"/>
          <w:noProof/>
          <w:sz w:val="24"/>
          <w:szCs w:val="24"/>
          <w:lang w:val="en-IE"/>
        </w:rPr>
        <w:t xml:space="preserve">1 </w:t>
      </w:r>
      <w:r w:rsidR="006A5E0E" w:rsidRPr="00532C20">
        <w:rPr>
          <w:rFonts w:ascii="Times New Roman" w:hAnsi="Times New Roman" w:cs="Times New Roman"/>
          <w:noProof/>
          <w:sz w:val="24"/>
          <w:szCs w:val="24"/>
          <w:lang w:val="en-IE"/>
        </w:rPr>
        <w:t>Member State</w:t>
      </w:r>
      <w:r w:rsidR="00F838A0" w:rsidRPr="00532C20">
        <w:rPr>
          <w:rFonts w:ascii="Times New Roman" w:hAnsi="Times New Roman" w:cs="Times New Roman"/>
          <w:noProof/>
          <w:sz w:val="24"/>
          <w:szCs w:val="24"/>
          <w:lang w:val="en-IE"/>
        </w:rPr>
        <w:t xml:space="preserve"> thereby </w:t>
      </w:r>
      <w:r w:rsidR="003F4926" w:rsidRPr="00532C20">
        <w:rPr>
          <w:rFonts w:ascii="Times New Roman" w:hAnsi="Times New Roman" w:cs="Times New Roman"/>
          <w:noProof/>
          <w:sz w:val="24"/>
          <w:szCs w:val="24"/>
          <w:lang w:val="en-IE"/>
        </w:rPr>
        <w:t>facilitating cross-border interest representation</w:t>
      </w:r>
      <w:r w:rsidR="002963BB" w:rsidRPr="00532C20">
        <w:rPr>
          <w:rFonts w:ascii="Times New Roman" w:hAnsi="Times New Roman" w:cs="Times New Roman"/>
          <w:noProof/>
          <w:sz w:val="24"/>
          <w:szCs w:val="24"/>
          <w:lang w:val="en-IE"/>
        </w:rPr>
        <w:t xml:space="preserve"> activities on behalf </w:t>
      </w:r>
      <w:r w:rsidR="00172FBB" w:rsidRPr="00532C20">
        <w:rPr>
          <w:rFonts w:ascii="Times New Roman" w:hAnsi="Times New Roman" w:cs="Times New Roman"/>
          <w:noProof/>
          <w:sz w:val="24"/>
          <w:szCs w:val="24"/>
          <w:lang w:val="en-IE"/>
        </w:rPr>
        <w:t>of third countries entities</w:t>
      </w:r>
      <w:r w:rsidR="004A373F" w:rsidRPr="00532C20">
        <w:rPr>
          <w:rFonts w:ascii="Times New Roman" w:eastAsia="Times" w:hAnsi="Times New Roman" w:cs="Times New Roman"/>
          <w:noProof/>
          <w:sz w:val="24"/>
          <w:szCs w:val="24"/>
          <w:lang w:val="en-IE" w:eastAsia="en-IE"/>
        </w:rPr>
        <w:t>.</w:t>
      </w:r>
      <w:r w:rsidR="00E91464" w:rsidRPr="00532C20">
        <w:rPr>
          <w:rFonts w:ascii="Times New Roman" w:eastAsia="Times" w:hAnsi="Times New Roman" w:cs="Times New Roman"/>
          <w:noProof/>
          <w:sz w:val="24"/>
          <w:szCs w:val="24"/>
          <w:lang w:val="en-IE" w:eastAsia="en-IE"/>
        </w:rPr>
        <w:t xml:space="preserve"> </w:t>
      </w:r>
    </w:p>
    <w:p w14:paraId="7F35AB0E" w14:textId="47F439D1" w:rsidR="000F4C01" w:rsidRPr="00532C20" w:rsidRDefault="00E91464" w:rsidP="004B0958">
      <w:pPr>
        <w:spacing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Divergence in implementation of the prior authorisation/licensing system in the </w:t>
      </w:r>
      <w:r w:rsidRPr="00532C20">
        <w:rPr>
          <w:rFonts w:ascii="Times New Roman" w:eastAsia="Times" w:hAnsi="Times New Roman" w:cs="Times New Roman"/>
          <w:noProof/>
          <w:sz w:val="24"/>
          <w:szCs w:val="24"/>
          <w:u w:val="single"/>
          <w:lang w:val="en-IE" w:eastAsia="en-IE"/>
        </w:rPr>
        <w:t>P</w:t>
      </w:r>
      <w:r w:rsidR="00386606" w:rsidRPr="00532C20">
        <w:rPr>
          <w:rFonts w:ascii="Times New Roman" w:eastAsia="Times" w:hAnsi="Times New Roman" w:cs="Times New Roman"/>
          <w:noProof/>
          <w:sz w:val="24"/>
          <w:szCs w:val="24"/>
          <w:u w:val="single"/>
          <w:lang w:val="en-IE" w:eastAsia="en-IE"/>
        </w:rPr>
        <w:t>O</w:t>
      </w:r>
      <w:r w:rsidRPr="00532C20">
        <w:rPr>
          <w:rFonts w:ascii="Times New Roman" w:eastAsia="Times" w:hAnsi="Times New Roman" w:cs="Times New Roman"/>
          <w:noProof/>
          <w:sz w:val="24"/>
          <w:szCs w:val="24"/>
          <w:u w:val="single"/>
          <w:lang w:val="en-IE" w:eastAsia="en-IE"/>
        </w:rPr>
        <w:t>2.</w:t>
      </w:r>
      <w:r w:rsidR="00C644D9" w:rsidRPr="00532C20">
        <w:rPr>
          <w:rFonts w:ascii="Times New Roman" w:eastAsia="Times" w:hAnsi="Times New Roman" w:cs="Times New Roman"/>
          <w:noProof/>
          <w:sz w:val="24"/>
          <w:szCs w:val="24"/>
          <w:u w:val="single"/>
          <w:lang w:val="en-IE" w:eastAsia="en-IE"/>
        </w:rPr>
        <w:t>2</w:t>
      </w:r>
      <w:r w:rsidRPr="00532C20">
        <w:rPr>
          <w:rFonts w:ascii="Times New Roman" w:eastAsia="Times" w:hAnsi="Times New Roman" w:cs="Times New Roman"/>
          <w:noProof/>
          <w:sz w:val="24"/>
          <w:szCs w:val="24"/>
          <w:lang w:val="en-IE" w:eastAsia="en-IE"/>
        </w:rPr>
        <w:t xml:space="preserve"> could reintroduce limited </w:t>
      </w:r>
      <w:r w:rsidR="006A5E0E" w:rsidRPr="00532C20">
        <w:rPr>
          <w:rFonts w:ascii="Times New Roman" w:eastAsia="Times" w:hAnsi="Times New Roman" w:cs="Times New Roman"/>
          <w:noProof/>
          <w:sz w:val="24"/>
          <w:szCs w:val="24"/>
          <w:lang w:val="en-IE" w:eastAsia="en-IE"/>
        </w:rPr>
        <w:t>regulatory arbitrage</w:t>
      </w:r>
      <w:r w:rsidRPr="00532C20">
        <w:rPr>
          <w:rFonts w:ascii="Times New Roman" w:eastAsia="Times" w:hAnsi="Times New Roman" w:cs="Times New Roman"/>
          <w:noProof/>
          <w:sz w:val="24"/>
          <w:szCs w:val="24"/>
          <w:lang w:val="en-IE" w:eastAsia="en-IE"/>
        </w:rPr>
        <w:t>.</w:t>
      </w:r>
    </w:p>
    <w:p w14:paraId="19996EB1" w14:textId="32CD896C" w:rsidR="00BC6D9A" w:rsidRPr="00532C20" w:rsidRDefault="00BC6D9A">
      <w:pPr>
        <w:pStyle w:val="ListParagraph"/>
        <w:keepNext/>
        <w:numPr>
          <w:ilvl w:val="1"/>
          <w:numId w:val="46"/>
        </w:numPr>
        <w:spacing w:after="200"/>
        <w:ind w:left="425" w:hanging="425"/>
        <w:contextualSpacing w:val="0"/>
        <w:jc w:val="both"/>
        <w:textAlignment w:val="baseline"/>
        <w:rPr>
          <w:rFonts w:ascii="Times New Roman" w:hAnsi="Times New Roman" w:cs="Times New Roman"/>
          <w:i/>
          <w:iCs/>
          <w:noProof/>
          <w:lang w:val="en-US" w:eastAsia="en-IE"/>
        </w:rPr>
      </w:pPr>
      <w:r w:rsidRPr="00532C20">
        <w:rPr>
          <w:rFonts w:ascii="Times New Roman" w:hAnsi="Times New Roman" w:cs="Times New Roman"/>
          <w:i/>
          <w:iCs/>
          <w:noProof/>
          <w:lang w:val="en-US" w:eastAsia="en-IE"/>
        </w:rPr>
        <w:t>Improve knowledge about the magnitude and trends of interest representation activities carried out on behalf of third countries.</w:t>
      </w:r>
    </w:p>
    <w:p w14:paraId="7D6937A5" w14:textId="5E8A25FA" w:rsidR="004806CE" w:rsidRPr="00532C20" w:rsidRDefault="006E6F0B" w:rsidP="004B0958">
      <w:pPr>
        <w:spacing w:line="240" w:lineRule="auto"/>
        <w:jc w:val="both"/>
        <w:textAlignment w:val="baseline"/>
        <w:rPr>
          <w:rFonts w:ascii="Times New Roman" w:hAnsi="Times New Roman" w:cs="Times New Roman"/>
          <w:noProof/>
          <w:sz w:val="24"/>
          <w:szCs w:val="24"/>
          <w:lang w:val="en-IE"/>
        </w:rPr>
      </w:pPr>
      <w:r w:rsidRPr="00532C20">
        <w:rPr>
          <w:rFonts w:ascii="Times New Roman" w:hAnsi="Times New Roman" w:cs="Times New Roman"/>
          <w:noProof/>
          <w:sz w:val="24"/>
          <w:szCs w:val="24"/>
          <w:u w:val="single"/>
          <w:lang w:val="en-IE" w:eastAsia="en-IE"/>
        </w:rPr>
        <w:t>All</w:t>
      </w:r>
      <w:r w:rsidR="00A90D63" w:rsidRPr="00532C20">
        <w:rPr>
          <w:rFonts w:ascii="Times New Roman" w:hAnsi="Times New Roman" w:cs="Times New Roman"/>
          <w:noProof/>
          <w:sz w:val="24"/>
          <w:szCs w:val="24"/>
          <w:u w:val="single"/>
          <w:lang w:val="en-IE" w:eastAsia="en-IE"/>
        </w:rPr>
        <w:t xml:space="preserve"> 3</w:t>
      </w:r>
      <w:r w:rsidRPr="00532C20">
        <w:rPr>
          <w:rFonts w:ascii="Times New Roman" w:hAnsi="Times New Roman" w:cs="Times New Roman"/>
          <w:noProof/>
          <w:sz w:val="24"/>
          <w:szCs w:val="24"/>
          <w:u w:val="single"/>
          <w:lang w:val="en-IE" w:eastAsia="en-IE"/>
        </w:rPr>
        <w:t xml:space="preserve"> options</w:t>
      </w:r>
      <w:r w:rsidRPr="00532C20">
        <w:rPr>
          <w:rFonts w:ascii="Times New Roman" w:hAnsi="Times New Roman" w:cs="Times New Roman"/>
          <w:noProof/>
          <w:sz w:val="24"/>
          <w:szCs w:val="24"/>
          <w:lang w:val="en-IE" w:eastAsia="en-IE"/>
        </w:rPr>
        <w:t xml:space="preserve"> would i</w:t>
      </w:r>
      <w:r w:rsidR="00152FEE" w:rsidRPr="00532C20">
        <w:rPr>
          <w:rFonts w:ascii="Times New Roman" w:hAnsi="Times New Roman" w:cs="Times New Roman"/>
          <w:noProof/>
          <w:sz w:val="24"/>
          <w:szCs w:val="24"/>
          <w:lang w:val="en-IE" w:eastAsia="en-IE"/>
        </w:rPr>
        <w:t>mprove knowledge about the</w:t>
      </w:r>
      <w:r w:rsidR="002D680B" w:rsidRPr="00532C20">
        <w:rPr>
          <w:rFonts w:ascii="Times New Roman" w:hAnsi="Times New Roman" w:cs="Times New Roman"/>
          <w:noProof/>
          <w:sz w:val="24"/>
          <w:szCs w:val="24"/>
          <w:lang w:val="en-IE" w:eastAsia="en-IE"/>
        </w:rPr>
        <w:t xml:space="preserve"> magnitude and trends of interest representation activities carried out on behalf of third countries. The</w:t>
      </w:r>
      <w:r w:rsidR="00A90D63" w:rsidRPr="00532C20">
        <w:rPr>
          <w:rFonts w:ascii="Times New Roman" w:hAnsi="Times New Roman" w:cs="Times New Roman"/>
          <w:noProof/>
          <w:sz w:val="24"/>
          <w:szCs w:val="24"/>
          <w:lang w:val="en-IE" w:eastAsia="en-IE"/>
        </w:rPr>
        <w:t xml:space="preserve"> 2</w:t>
      </w:r>
      <w:r w:rsidR="002D680B" w:rsidRPr="00532C20">
        <w:rPr>
          <w:rFonts w:ascii="Times New Roman" w:hAnsi="Times New Roman" w:cs="Times New Roman"/>
          <w:noProof/>
          <w:sz w:val="24"/>
          <w:szCs w:val="24"/>
          <w:lang w:val="en-IE" w:eastAsia="en-IE"/>
        </w:rPr>
        <w:t xml:space="preserve"> </w:t>
      </w:r>
      <w:r w:rsidR="002D680B" w:rsidRPr="00532C20">
        <w:rPr>
          <w:rFonts w:ascii="Times New Roman" w:hAnsi="Times New Roman" w:cs="Times New Roman"/>
          <w:noProof/>
          <w:sz w:val="24"/>
          <w:szCs w:val="24"/>
          <w:u w:val="single"/>
          <w:lang w:val="en-IE"/>
        </w:rPr>
        <w:t>legislative options (PO2.</w:t>
      </w:r>
      <w:r w:rsidR="00C644D9" w:rsidRPr="00532C20">
        <w:rPr>
          <w:rFonts w:ascii="Times New Roman" w:hAnsi="Times New Roman" w:cs="Times New Roman"/>
          <w:noProof/>
          <w:sz w:val="24"/>
          <w:szCs w:val="24"/>
          <w:u w:val="single"/>
          <w:lang w:val="en-IE"/>
        </w:rPr>
        <w:t>1</w:t>
      </w:r>
      <w:r w:rsidR="002D680B" w:rsidRPr="00532C20">
        <w:rPr>
          <w:rFonts w:ascii="Times New Roman" w:hAnsi="Times New Roman" w:cs="Times New Roman"/>
          <w:noProof/>
          <w:sz w:val="24"/>
          <w:szCs w:val="24"/>
          <w:u w:val="single"/>
          <w:lang w:val="en-IE"/>
        </w:rPr>
        <w:t xml:space="preserve"> and PO2.</w:t>
      </w:r>
      <w:r w:rsidR="00C644D9" w:rsidRPr="00532C20">
        <w:rPr>
          <w:rFonts w:ascii="Times New Roman" w:hAnsi="Times New Roman" w:cs="Times New Roman"/>
          <w:noProof/>
          <w:sz w:val="24"/>
          <w:szCs w:val="24"/>
          <w:u w:val="single"/>
          <w:lang w:val="en-IE"/>
        </w:rPr>
        <w:t>2</w:t>
      </w:r>
      <w:r w:rsidR="002D680B" w:rsidRPr="00532C20">
        <w:rPr>
          <w:rFonts w:ascii="Times New Roman" w:hAnsi="Times New Roman" w:cs="Times New Roman"/>
          <w:noProof/>
          <w:sz w:val="24"/>
          <w:szCs w:val="24"/>
          <w:u w:val="single"/>
          <w:lang w:val="en-IE"/>
        </w:rPr>
        <w:t>)</w:t>
      </w:r>
      <w:r w:rsidR="002D680B" w:rsidRPr="00532C20">
        <w:rPr>
          <w:rFonts w:ascii="Times New Roman" w:hAnsi="Times New Roman" w:cs="Times New Roman"/>
          <w:noProof/>
          <w:sz w:val="24"/>
          <w:szCs w:val="24"/>
          <w:lang w:val="en-IE"/>
        </w:rPr>
        <w:t xml:space="preserve">, </w:t>
      </w:r>
      <w:r w:rsidR="005E606E" w:rsidRPr="00532C20">
        <w:rPr>
          <w:rFonts w:ascii="Times New Roman" w:hAnsi="Times New Roman" w:cs="Times New Roman"/>
          <w:noProof/>
          <w:sz w:val="24"/>
          <w:szCs w:val="24"/>
          <w:lang w:val="en-IE"/>
        </w:rPr>
        <w:t xml:space="preserve">would be more effective, as by providing a </w:t>
      </w:r>
      <w:r w:rsidR="006134BA" w:rsidRPr="00532C20">
        <w:rPr>
          <w:rFonts w:ascii="Times New Roman" w:hAnsi="Times New Roman" w:cs="Times New Roman"/>
          <w:noProof/>
          <w:sz w:val="24"/>
          <w:szCs w:val="24"/>
          <w:lang w:val="en-IE"/>
        </w:rPr>
        <w:t>fully harmonized set of data to be collected and definition, they</w:t>
      </w:r>
      <w:r w:rsidR="002D680B" w:rsidRPr="00532C20">
        <w:rPr>
          <w:rFonts w:ascii="Times New Roman" w:hAnsi="Times New Roman" w:cs="Times New Roman"/>
          <w:noProof/>
          <w:sz w:val="24"/>
          <w:szCs w:val="24"/>
          <w:lang w:val="en-IE"/>
        </w:rPr>
        <w:t xml:space="preserve"> would greatly facilitate comparison between Member States and </w:t>
      </w:r>
      <w:r w:rsidR="00C24C7B" w:rsidRPr="00532C20">
        <w:rPr>
          <w:rFonts w:ascii="Times New Roman" w:hAnsi="Times New Roman" w:cs="Times New Roman"/>
          <w:noProof/>
          <w:sz w:val="24"/>
          <w:szCs w:val="24"/>
          <w:lang w:val="en-IE"/>
        </w:rPr>
        <w:t>the establishment of</w:t>
      </w:r>
      <w:r w:rsidR="002D680B" w:rsidRPr="00532C20">
        <w:rPr>
          <w:rFonts w:ascii="Times New Roman" w:hAnsi="Times New Roman" w:cs="Times New Roman"/>
          <w:noProof/>
          <w:sz w:val="24"/>
          <w:szCs w:val="24"/>
          <w:lang w:val="en-IE"/>
        </w:rPr>
        <w:t xml:space="preserve"> trends at EU level</w:t>
      </w:r>
      <w:r w:rsidR="002D680B" w:rsidRPr="00532C20">
        <w:rPr>
          <w:rFonts w:ascii="Times New Roman" w:eastAsia="Times" w:hAnsi="Times New Roman" w:cs="Times New Roman"/>
          <w:noProof/>
          <w:sz w:val="24"/>
          <w:szCs w:val="24"/>
          <w:lang w:val="en-IE"/>
        </w:rPr>
        <w:t>.</w:t>
      </w:r>
      <w:r w:rsidR="002D680B" w:rsidRPr="00532C20">
        <w:rPr>
          <w:rFonts w:ascii="Times New Roman" w:hAnsi="Times New Roman" w:cs="Times New Roman"/>
          <w:noProof/>
          <w:sz w:val="24"/>
          <w:szCs w:val="24"/>
          <w:lang w:val="en-IE"/>
        </w:rPr>
        <w:t xml:space="preserve"> </w:t>
      </w:r>
      <w:r w:rsidR="005676A9" w:rsidRPr="00532C20">
        <w:rPr>
          <w:rFonts w:ascii="Times New Roman" w:hAnsi="Times New Roman" w:cs="Times New Roman"/>
          <w:noProof/>
          <w:sz w:val="24"/>
          <w:szCs w:val="24"/>
          <w:lang w:val="en-IE"/>
        </w:rPr>
        <w:t xml:space="preserve">Transparency of interest representation carried out on behalf of third countries would </w:t>
      </w:r>
      <w:r w:rsidR="008F7531" w:rsidRPr="00532C20">
        <w:rPr>
          <w:rFonts w:ascii="Times New Roman" w:hAnsi="Times New Roman" w:cs="Times New Roman"/>
          <w:noProof/>
          <w:sz w:val="24"/>
          <w:szCs w:val="24"/>
          <w:lang w:val="en-IE"/>
        </w:rPr>
        <w:t>be decisively enhance</w:t>
      </w:r>
      <w:r w:rsidR="00EC7F25" w:rsidRPr="00532C20">
        <w:rPr>
          <w:rFonts w:ascii="Times New Roman" w:hAnsi="Times New Roman" w:cs="Times New Roman"/>
          <w:noProof/>
          <w:sz w:val="24"/>
          <w:szCs w:val="24"/>
          <w:lang w:val="en-IE"/>
        </w:rPr>
        <w:t>d</w:t>
      </w:r>
      <w:r w:rsidR="008F7531" w:rsidRPr="00532C20">
        <w:rPr>
          <w:rFonts w:ascii="Times New Roman" w:hAnsi="Times New Roman" w:cs="Times New Roman"/>
          <w:noProof/>
          <w:sz w:val="24"/>
          <w:szCs w:val="24"/>
          <w:lang w:val="en-IE"/>
        </w:rPr>
        <w:t xml:space="preserve"> as citizens could access a </w:t>
      </w:r>
      <w:r w:rsidRPr="00532C20">
        <w:rPr>
          <w:rFonts w:ascii="Times New Roman" w:hAnsi="Times New Roman" w:cs="Times New Roman"/>
          <w:noProof/>
          <w:sz w:val="24"/>
          <w:szCs w:val="24"/>
          <w:lang w:val="en-IE"/>
        </w:rPr>
        <w:t>publi</w:t>
      </w:r>
      <w:r w:rsidR="008F7531" w:rsidRPr="00532C20">
        <w:rPr>
          <w:rFonts w:ascii="Times New Roman" w:hAnsi="Times New Roman" w:cs="Times New Roman"/>
          <w:noProof/>
          <w:sz w:val="24"/>
          <w:szCs w:val="24"/>
          <w:lang w:val="en-IE"/>
        </w:rPr>
        <w:t>c register</w:t>
      </w:r>
      <w:r w:rsidR="00EC7F25" w:rsidRPr="00532C20">
        <w:rPr>
          <w:rFonts w:ascii="Times New Roman" w:hAnsi="Times New Roman" w:cs="Times New Roman"/>
          <w:noProof/>
          <w:sz w:val="24"/>
          <w:szCs w:val="24"/>
          <w:lang w:val="en-IE"/>
        </w:rPr>
        <w:t xml:space="preserve"> on all interest representation activities carried out on behalf of third countries in the EU. </w:t>
      </w:r>
      <w:r w:rsidR="00885C6C" w:rsidRPr="00532C20">
        <w:rPr>
          <w:rFonts w:ascii="Times New Roman" w:hAnsi="Times New Roman" w:cs="Times New Roman"/>
          <w:noProof/>
          <w:sz w:val="24"/>
          <w:szCs w:val="24"/>
          <w:lang w:val="en-IE"/>
        </w:rPr>
        <w:t>R</w:t>
      </w:r>
      <w:r w:rsidR="00A23C23" w:rsidRPr="00532C20">
        <w:rPr>
          <w:rFonts w:ascii="Times New Roman" w:hAnsi="Times New Roman" w:cs="Times New Roman"/>
          <w:noProof/>
          <w:sz w:val="24"/>
          <w:szCs w:val="24"/>
          <w:lang w:val="en-IE"/>
        </w:rPr>
        <w:t xml:space="preserve">esearchers, CSOs and journalists could also </w:t>
      </w:r>
      <w:r w:rsidR="00C66255" w:rsidRPr="00532C20">
        <w:rPr>
          <w:rFonts w:ascii="Times New Roman" w:hAnsi="Times New Roman" w:cs="Times New Roman"/>
          <w:noProof/>
          <w:sz w:val="24"/>
          <w:szCs w:val="24"/>
          <w:lang w:val="en-IE"/>
        </w:rPr>
        <w:t xml:space="preserve">use </w:t>
      </w:r>
      <w:r w:rsidR="00885C6C" w:rsidRPr="00532C20">
        <w:rPr>
          <w:rFonts w:ascii="Times New Roman" w:hAnsi="Times New Roman" w:cs="Times New Roman"/>
          <w:noProof/>
          <w:sz w:val="24"/>
          <w:szCs w:val="24"/>
          <w:lang w:val="en-IE"/>
        </w:rPr>
        <w:t>the information in order to better understand how foreign inf</w:t>
      </w:r>
      <w:r w:rsidR="00C66255" w:rsidRPr="00532C20">
        <w:rPr>
          <w:rFonts w:ascii="Times New Roman" w:hAnsi="Times New Roman" w:cs="Times New Roman"/>
          <w:noProof/>
          <w:sz w:val="24"/>
          <w:szCs w:val="24"/>
          <w:lang w:val="en-IE"/>
        </w:rPr>
        <w:t xml:space="preserve">luence unfolds, who is targeted, and what impacts it has on decision-making processes. </w:t>
      </w:r>
      <w:r w:rsidR="00C8651B" w:rsidRPr="00532C20">
        <w:rPr>
          <w:rFonts w:ascii="Times New Roman" w:hAnsi="Times New Roman" w:cs="Times New Roman"/>
          <w:noProof/>
          <w:sz w:val="24"/>
          <w:szCs w:val="24"/>
          <w:lang w:val="en-IE"/>
        </w:rPr>
        <w:t>Given that this knowledge is communicated to a broader public</w:t>
      </w:r>
      <w:r w:rsidR="000A135F" w:rsidRPr="00532C20">
        <w:rPr>
          <w:rFonts w:ascii="Times New Roman" w:hAnsi="Times New Roman" w:cs="Times New Roman"/>
          <w:noProof/>
          <w:sz w:val="24"/>
          <w:szCs w:val="24"/>
          <w:lang w:val="en-IE"/>
        </w:rPr>
        <w:t xml:space="preserve"> and </w:t>
      </w:r>
      <w:r w:rsidR="007F58E7" w:rsidRPr="00532C20">
        <w:rPr>
          <w:rFonts w:ascii="Times New Roman" w:hAnsi="Times New Roman" w:cs="Times New Roman"/>
          <w:noProof/>
          <w:sz w:val="24"/>
          <w:szCs w:val="24"/>
          <w:lang w:val="en-IE"/>
        </w:rPr>
        <w:t>to decision</w:t>
      </w:r>
      <w:r w:rsidR="00980695">
        <w:rPr>
          <w:rFonts w:ascii="Times New Roman" w:hAnsi="Times New Roman" w:cs="Times New Roman"/>
          <w:noProof/>
          <w:sz w:val="24"/>
          <w:szCs w:val="24"/>
          <w:lang w:val="en-IE"/>
        </w:rPr>
        <w:t>-</w:t>
      </w:r>
      <w:r w:rsidR="007F58E7" w:rsidRPr="00532C20">
        <w:rPr>
          <w:rFonts w:ascii="Times New Roman" w:hAnsi="Times New Roman" w:cs="Times New Roman"/>
          <w:noProof/>
          <w:sz w:val="24"/>
          <w:szCs w:val="24"/>
          <w:lang w:val="en-IE"/>
        </w:rPr>
        <w:t>makers</w:t>
      </w:r>
      <w:r w:rsidR="00C8651B" w:rsidRPr="00532C20">
        <w:rPr>
          <w:rFonts w:ascii="Times New Roman" w:hAnsi="Times New Roman" w:cs="Times New Roman"/>
          <w:noProof/>
          <w:sz w:val="24"/>
          <w:szCs w:val="24"/>
          <w:lang w:val="en-IE"/>
        </w:rPr>
        <w:t xml:space="preserve">, </w:t>
      </w:r>
      <w:r w:rsidR="00946752" w:rsidRPr="00532C20">
        <w:rPr>
          <w:rFonts w:ascii="Times New Roman" w:hAnsi="Times New Roman" w:cs="Times New Roman"/>
          <w:noProof/>
          <w:sz w:val="24"/>
          <w:szCs w:val="24"/>
          <w:lang w:val="en-IE"/>
        </w:rPr>
        <w:t xml:space="preserve">the </w:t>
      </w:r>
      <w:r w:rsidR="002B0406" w:rsidRPr="00532C20">
        <w:rPr>
          <w:rFonts w:ascii="Times New Roman" w:hAnsi="Times New Roman" w:cs="Times New Roman"/>
          <w:noProof/>
          <w:sz w:val="24"/>
          <w:szCs w:val="24"/>
          <w:lang w:val="en-IE"/>
        </w:rPr>
        <w:t xml:space="preserve">harmonisation of transparency requirements would present an </w:t>
      </w:r>
      <w:r w:rsidR="000A135F" w:rsidRPr="00532C20">
        <w:rPr>
          <w:rFonts w:ascii="Times New Roman" w:hAnsi="Times New Roman" w:cs="Times New Roman"/>
          <w:noProof/>
          <w:sz w:val="24"/>
          <w:szCs w:val="24"/>
          <w:lang w:val="en-IE"/>
        </w:rPr>
        <w:t xml:space="preserve">important added value for democratic decision-making. </w:t>
      </w:r>
    </w:p>
    <w:p w14:paraId="0D8A28F3" w14:textId="074501F8" w:rsidR="002D680B" w:rsidRPr="00532C20" w:rsidRDefault="006134BA" w:rsidP="004B0958">
      <w:pPr>
        <w:spacing w:line="240" w:lineRule="auto"/>
        <w:jc w:val="both"/>
        <w:textAlignment w:val="baseline"/>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Furthermore, the </w:t>
      </w:r>
      <w:r w:rsidR="002D680B" w:rsidRPr="00532C20">
        <w:rPr>
          <w:rFonts w:ascii="Times New Roman" w:hAnsi="Times New Roman" w:cs="Times New Roman"/>
          <w:noProof/>
          <w:sz w:val="24"/>
          <w:szCs w:val="24"/>
          <w:lang w:val="en-IE"/>
        </w:rPr>
        <w:t>flexible and evolutive approach to this data collection</w:t>
      </w:r>
      <w:r w:rsidRPr="00532C20">
        <w:rPr>
          <w:rFonts w:ascii="Times New Roman" w:hAnsi="Times New Roman" w:cs="Times New Roman"/>
          <w:noProof/>
          <w:sz w:val="24"/>
          <w:szCs w:val="24"/>
          <w:lang w:val="en-IE"/>
        </w:rPr>
        <w:t xml:space="preserve"> would enable to easily adapt the data collection </w:t>
      </w:r>
      <w:r w:rsidR="00502076" w:rsidRPr="00532C20">
        <w:rPr>
          <w:rFonts w:ascii="Times New Roman" w:hAnsi="Times New Roman" w:cs="Times New Roman"/>
          <w:noProof/>
          <w:sz w:val="24"/>
          <w:szCs w:val="24"/>
          <w:lang w:val="en-IE"/>
        </w:rPr>
        <w:t xml:space="preserve">to the trends observed. Finally, the </w:t>
      </w:r>
      <w:r w:rsidR="00C24C7B" w:rsidRPr="00532C20">
        <w:rPr>
          <w:rFonts w:ascii="Times New Roman" w:hAnsi="Times New Roman" w:cs="Times New Roman"/>
          <w:noProof/>
          <w:sz w:val="24"/>
          <w:szCs w:val="24"/>
          <w:lang w:val="en-IE"/>
        </w:rPr>
        <w:t xml:space="preserve">gradual and coordinated approach to </w:t>
      </w:r>
      <w:r w:rsidR="00C80840" w:rsidRPr="00532C20">
        <w:rPr>
          <w:rFonts w:ascii="Times New Roman" w:hAnsi="Times New Roman" w:cs="Times New Roman"/>
          <w:noProof/>
          <w:sz w:val="24"/>
          <w:szCs w:val="24"/>
          <w:lang w:val="en-IE"/>
        </w:rPr>
        <w:t xml:space="preserve">supervision, as well as the measures included to limit circumvention (see section </w:t>
      </w:r>
      <w:r w:rsidR="004C1500" w:rsidRPr="00532C20">
        <w:rPr>
          <w:rFonts w:ascii="Times New Roman" w:hAnsi="Times New Roman" w:cs="Times New Roman"/>
          <w:noProof/>
          <w:sz w:val="24"/>
          <w:szCs w:val="24"/>
          <w:lang w:val="en-IE"/>
        </w:rPr>
        <w:t>6.2.</w:t>
      </w:r>
      <w:r w:rsidR="007170BD" w:rsidRPr="00532C20">
        <w:rPr>
          <w:rFonts w:ascii="Times New Roman" w:hAnsi="Times New Roman" w:cs="Times New Roman"/>
          <w:noProof/>
          <w:sz w:val="24"/>
          <w:szCs w:val="24"/>
          <w:lang w:val="en-IE"/>
        </w:rPr>
        <w:t>2.3)</w:t>
      </w:r>
      <w:r w:rsidR="00C80840" w:rsidRPr="00532C20">
        <w:rPr>
          <w:rFonts w:ascii="Times New Roman" w:hAnsi="Times New Roman" w:cs="Times New Roman"/>
          <w:noProof/>
          <w:sz w:val="24"/>
          <w:szCs w:val="24"/>
          <w:lang w:val="en-IE"/>
        </w:rPr>
        <w:t xml:space="preserve"> would help ensure that</w:t>
      </w:r>
      <w:r w:rsidR="007170BD" w:rsidRPr="00532C20">
        <w:rPr>
          <w:rFonts w:ascii="Times New Roman" w:hAnsi="Times New Roman" w:cs="Times New Roman"/>
          <w:noProof/>
          <w:sz w:val="24"/>
          <w:szCs w:val="24"/>
          <w:lang w:val="en-IE"/>
        </w:rPr>
        <w:t xml:space="preserve"> the data collected is </w:t>
      </w:r>
      <w:r w:rsidR="002801AD" w:rsidRPr="00532C20">
        <w:rPr>
          <w:rFonts w:ascii="Times New Roman" w:hAnsi="Times New Roman" w:cs="Times New Roman"/>
          <w:noProof/>
          <w:sz w:val="24"/>
          <w:szCs w:val="24"/>
          <w:lang w:val="en-IE"/>
        </w:rPr>
        <w:t>correct.</w:t>
      </w:r>
      <w:r w:rsidR="00C80840" w:rsidRPr="00532C20">
        <w:rPr>
          <w:rFonts w:ascii="Times New Roman" w:hAnsi="Times New Roman" w:cs="Times New Roman"/>
          <w:noProof/>
          <w:sz w:val="24"/>
          <w:szCs w:val="24"/>
          <w:lang w:val="en-IE"/>
        </w:rPr>
        <w:t xml:space="preserve"> </w:t>
      </w:r>
    </w:p>
    <w:p w14:paraId="0697948A" w14:textId="74DFC5DA" w:rsidR="00CA5CB1" w:rsidRPr="00532C20" w:rsidRDefault="00CA5CB1" w:rsidP="004B0958">
      <w:pPr>
        <w:spacing w:line="240" w:lineRule="auto"/>
        <w:jc w:val="both"/>
        <w:textAlignment w:val="baseline"/>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Due to its </w:t>
      </w:r>
      <w:r w:rsidR="007337A5" w:rsidRPr="00532C20">
        <w:rPr>
          <w:rFonts w:ascii="Times New Roman" w:hAnsi="Times New Roman" w:cs="Times New Roman"/>
          <w:noProof/>
          <w:sz w:val="24"/>
          <w:szCs w:val="24"/>
          <w:lang w:val="en-IE"/>
        </w:rPr>
        <w:t>non-binding</w:t>
      </w:r>
      <w:r w:rsidRPr="00532C20">
        <w:rPr>
          <w:rFonts w:ascii="Times New Roman" w:hAnsi="Times New Roman" w:cs="Times New Roman"/>
          <w:noProof/>
          <w:sz w:val="24"/>
          <w:szCs w:val="24"/>
          <w:lang w:val="en-IE"/>
        </w:rPr>
        <w:t xml:space="preserve"> nature, </w:t>
      </w:r>
      <w:r w:rsidR="003F6128" w:rsidRPr="00532C20">
        <w:rPr>
          <w:rFonts w:ascii="Times New Roman" w:hAnsi="Times New Roman" w:cs="Times New Roman"/>
          <w:noProof/>
          <w:sz w:val="24"/>
          <w:szCs w:val="24"/>
          <w:u w:val="single"/>
          <w:lang w:val="en-IE"/>
        </w:rPr>
        <w:t>PO</w:t>
      </w:r>
      <w:r w:rsidRPr="00532C20">
        <w:rPr>
          <w:rFonts w:ascii="Times New Roman" w:hAnsi="Times New Roman" w:cs="Times New Roman"/>
          <w:noProof/>
          <w:sz w:val="24"/>
          <w:szCs w:val="24"/>
          <w:u w:val="single"/>
          <w:lang w:val="en-IE"/>
        </w:rPr>
        <w:t>1</w:t>
      </w:r>
      <w:r w:rsidRPr="00532C20">
        <w:rPr>
          <w:rFonts w:ascii="Times New Roman" w:hAnsi="Times New Roman" w:cs="Times New Roman"/>
          <w:noProof/>
          <w:sz w:val="24"/>
          <w:szCs w:val="24"/>
          <w:lang w:val="en-IE"/>
        </w:rPr>
        <w:t xml:space="preserve">is unable to ensure a </w:t>
      </w:r>
      <w:r w:rsidR="000F38EF" w:rsidRPr="00532C20">
        <w:rPr>
          <w:rFonts w:ascii="Times New Roman" w:hAnsi="Times New Roman" w:cs="Times New Roman"/>
          <w:noProof/>
          <w:sz w:val="24"/>
          <w:szCs w:val="24"/>
          <w:lang w:val="en-IE"/>
        </w:rPr>
        <w:t>comparable collection of</w:t>
      </w:r>
      <w:r w:rsidR="001E1AA0" w:rsidRPr="00532C20">
        <w:rPr>
          <w:rFonts w:ascii="Times New Roman" w:hAnsi="Times New Roman" w:cs="Times New Roman"/>
          <w:noProof/>
          <w:sz w:val="24"/>
          <w:szCs w:val="24"/>
          <w:lang w:val="en-IE"/>
        </w:rPr>
        <w:t xml:space="preserve"> data</w:t>
      </w:r>
      <w:r w:rsidRPr="00532C20">
        <w:rPr>
          <w:rFonts w:ascii="Times New Roman" w:hAnsi="Times New Roman" w:cs="Times New Roman"/>
          <w:noProof/>
          <w:sz w:val="24"/>
          <w:szCs w:val="24"/>
          <w:lang w:val="en-IE"/>
        </w:rPr>
        <w:t xml:space="preserve"> and the supervision of </w:t>
      </w:r>
      <w:r w:rsidR="00B12B82" w:rsidRPr="00532C20">
        <w:rPr>
          <w:rFonts w:ascii="Times New Roman" w:hAnsi="Times New Roman" w:cs="Times New Roman"/>
          <w:noProof/>
          <w:sz w:val="24"/>
          <w:szCs w:val="24"/>
          <w:lang w:val="en-IE"/>
        </w:rPr>
        <w:t xml:space="preserve">activities </w:t>
      </w:r>
      <w:r w:rsidRPr="00532C20">
        <w:rPr>
          <w:rFonts w:ascii="Times New Roman" w:hAnsi="Times New Roman" w:cs="Times New Roman"/>
          <w:noProof/>
          <w:sz w:val="24"/>
          <w:szCs w:val="24"/>
          <w:lang w:val="en-IE"/>
        </w:rPr>
        <w:t>would remain inconsistent.</w:t>
      </w:r>
    </w:p>
    <w:p w14:paraId="30BCDF25" w14:textId="4BF54939" w:rsidR="00EA006F" w:rsidRPr="00532C20" w:rsidRDefault="00EA006F" w:rsidP="00EC37D1">
      <w:pPr>
        <w:pStyle w:val="11Subsection"/>
        <w:rPr>
          <w:noProof/>
        </w:rPr>
      </w:pPr>
      <w:bookmarkStart w:id="1038" w:name="_Toc152864711"/>
      <w:r w:rsidRPr="00532C20">
        <w:rPr>
          <w:noProof/>
        </w:rPr>
        <w:t>Efficiency</w:t>
      </w:r>
      <w:bookmarkEnd w:id="1038"/>
    </w:p>
    <w:p w14:paraId="35F9550C" w14:textId="039E8B54" w:rsidR="00DE219D" w:rsidRPr="00532C20" w:rsidRDefault="00DE219D" w:rsidP="004B0958">
      <w:pPr>
        <w:pStyle w:val="Text2"/>
        <w:spacing w:after="120"/>
        <w:ind w:left="0"/>
        <w:rPr>
          <w:noProof/>
        </w:rPr>
      </w:pPr>
      <w:r w:rsidRPr="00532C20">
        <w:rPr>
          <w:noProof/>
        </w:rPr>
        <w:t>The efficiency of the options weighs the qualitative cost-benefit analysis described in Annex</w:t>
      </w:r>
      <w:r w:rsidR="00F67238" w:rsidRPr="00532C20">
        <w:rPr>
          <w:noProof/>
        </w:rPr>
        <w:t>es</w:t>
      </w:r>
      <w:r w:rsidRPr="00532C20">
        <w:rPr>
          <w:noProof/>
        </w:rPr>
        <w:t xml:space="preserve"> 3</w:t>
      </w:r>
      <w:r w:rsidR="00F67238" w:rsidRPr="00532C20">
        <w:rPr>
          <w:noProof/>
        </w:rPr>
        <w:t xml:space="preserve"> and 4</w:t>
      </w:r>
      <w:r w:rsidRPr="00532C20">
        <w:rPr>
          <w:noProof/>
        </w:rPr>
        <w:t xml:space="preserve">, as well as in the description of the impacts in section 6 above. </w:t>
      </w:r>
    </w:p>
    <w:p w14:paraId="39408267" w14:textId="14DB24CB" w:rsidR="00DE219D" w:rsidRPr="00532C20" w:rsidRDefault="00353706" w:rsidP="004B0958">
      <w:pPr>
        <w:pStyle w:val="Text2"/>
        <w:spacing w:after="120"/>
        <w:ind w:left="0"/>
        <w:rPr>
          <w:noProof/>
        </w:rPr>
      </w:pPr>
      <w:r w:rsidRPr="00532C20">
        <w:rPr>
          <w:noProof/>
        </w:rPr>
        <w:t>In all</w:t>
      </w:r>
      <w:r w:rsidR="00A90D63" w:rsidRPr="00532C20">
        <w:rPr>
          <w:noProof/>
        </w:rPr>
        <w:t xml:space="preserve"> 3</w:t>
      </w:r>
      <w:r w:rsidRPr="00532C20">
        <w:rPr>
          <w:noProof/>
        </w:rPr>
        <w:t xml:space="preserve"> options</w:t>
      </w:r>
      <w:r w:rsidR="00DE219D" w:rsidRPr="00532C20">
        <w:rPr>
          <w:noProof/>
        </w:rPr>
        <w:t xml:space="preserve">, </w:t>
      </w:r>
      <w:r w:rsidRPr="00532C20">
        <w:rPr>
          <w:noProof/>
        </w:rPr>
        <w:t xml:space="preserve">entities carrying out interest representation on behalf of third countries </w:t>
      </w:r>
      <w:r w:rsidR="00DE219D" w:rsidRPr="00532C20">
        <w:rPr>
          <w:noProof/>
        </w:rPr>
        <w:t xml:space="preserve">would face </w:t>
      </w:r>
      <w:r w:rsidR="00987061" w:rsidRPr="00532C20">
        <w:rPr>
          <w:noProof/>
        </w:rPr>
        <w:t>s</w:t>
      </w:r>
      <w:r w:rsidRPr="00532C20">
        <w:rPr>
          <w:noProof/>
        </w:rPr>
        <w:t>ome</w:t>
      </w:r>
      <w:r w:rsidR="00DE219D" w:rsidRPr="00532C20">
        <w:rPr>
          <w:noProof/>
        </w:rPr>
        <w:t xml:space="preserve"> compliance costs </w:t>
      </w:r>
      <w:r w:rsidR="00987061" w:rsidRPr="00532C20">
        <w:rPr>
          <w:noProof/>
        </w:rPr>
        <w:t>to comply with</w:t>
      </w:r>
      <w:r w:rsidR="00DE219D" w:rsidRPr="00532C20">
        <w:rPr>
          <w:noProof/>
        </w:rPr>
        <w:t xml:space="preserve"> the </w:t>
      </w:r>
      <w:r w:rsidR="00E7079E" w:rsidRPr="00532C20">
        <w:rPr>
          <w:noProof/>
        </w:rPr>
        <w:t>transparency requirements</w:t>
      </w:r>
      <w:r w:rsidR="00DE219D" w:rsidRPr="00532C20">
        <w:rPr>
          <w:noProof/>
        </w:rPr>
        <w:t xml:space="preserve">. </w:t>
      </w:r>
    </w:p>
    <w:p w14:paraId="7AD78979" w14:textId="4348591E" w:rsidR="00DE219D" w:rsidRPr="00532C20" w:rsidRDefault="00FB6F5C" w:rsidP="004B0958">
      <w:pPr>
        <w:pStyle w:val="Text2"/>
        <w:spacing w:after="120"/>
        <w:ind w:left="0"/>
        <w:rPr>
          <w:noProof/>
        </w:rPr>
      </w:pPr>
      <w:r w:rsidRPr="00532C20">
        <w:rPr>
          <w:noProof/>
          <w:u w:val="single"/>
        </w:rPr>
        <w:t>The non</w:t>
      </w:r>
      <w:r w:rsidR="004D5635">
        <w:rPr>
          <w:noProof/>
          <w:u w:val="single"/>
        </w:rPr>
        <w:t>-</w:t>
      </w:r>
      <w:r w:rsidRPr="00532C20">
        <w:rPr>
          <w:noProof/>
          <w:u w:val="single"/>
        </w:rPr>
        <w:t>legislative</w:t>
      </w:r>
      <w:r w:rsidR="004D5635">
        <w:rPr>
          <w:noProof/>
          <w:u w:val="single"/>
        </w:rPr>
        <w:t xml:space="preserve"> measures in</w:t>
      </w:r>
      <w:r w:rsidRPr="00532C20">
        <w:rPr>
          <w:noProof/>
          <w:u w:val="single"/>
        </w:rPr>
        <w:t xml:space="preserve"> </w:t>
      </w:r>
      <w:r w:rsidR="003F6128" w:rsidRPr="00532C20">
        <w:rPr>
          <w:noProof/>
          <w:u w:val="single"/>
        </w:rPr>
        <w:t>PO</w:t>
      </w:r>
      <w:r w:rsidR="00DE219D" w:rsidRPr="00532C20">
        <w:rPr>
          <w:noProof/>
          <w:u w:val="single"/>
        </w:rPr>
        <w:t>1</w:t>
      </w:r>
      <w:r w:rsidR="00844CD1" w:rsidRPr="00532C20">
        <w:rPr>
          <w:noProof/>
          <w:u w:val="single"/>
        </w:rPr>
        <w:t xml:space="preserve"> and the </w:t>
      </w:r>
      <w:r w:rsidR="008F01CA" w:rsidRPr="00532C20">
        <w:rPr>
          <w:noProof/>
          <w:u w:val="single"/>
        </w:rPr>
        <w:t xml:space="preserve">targeted requirements in </w:t>
      </w:r>
      <w:r w:rsidR="003F6128" w:rsidRPr="00532C20">
        <w:rPr>
          <w:noProof/>
          <w:u w:val="single"/>
        </w:rPr>
        <w:t>PO</w:t>
      </w:r>
      <w:r w:rsidR="008F01CA" w:rsidRPr="00532C20">
        <w:rPr>
          <w:noProof/>
          <w:u w:val="single"/>
        </w:rPr>
        <w:t>2.</w:t>
      </w:r>
      <w:r w:rsidR="00C644D9" w:rsidRPr="00532C20">
        <w:rPr>
          <w:noProof/>
          <w:u w:val="single"/>
        </w:rPr>
        <w:t>1</w:t>
      </w:r>
      <w:r w:rsidR="00DE219D" w:rsidRPr="00532C20">
        <w:rPr>
          <w:noProof/>
        </w:rPr>
        <w:t xml:space="preserve"> would impose</w:t>
      </w:r>
      <w:r w:rsidR="008F01CA" w:rsidRPr="00532C20">
        <w:rPr>
          <w:noProof/>
        </w:rPr>
        <w:t xml:space="preserve"> similar cost, however </w:t>
      </w:r>
      <w:r w:rsidR="003F6128" w:rsidRPr="00532C20">
        <w:rPr>
          <w:noProof/>
          <w:u w:val="single"/>
        </w:rPr>
        <w:t>PO</w:t>
      </w:r>
      <w:r w:rsidR="008F01CA" w:rsidRPr="00532C20">
        <w:rPr>
          <w:noProof/>
          <w:u w:val="single"/>
        </w:rPr>
        <w:t>1</w:t>
      </w:r>
      <w:r w:rsidR="008F01CA" w:rsidRPr="00532C20">
        <w:rPr>
          <w:noProof/>
        </w:rPr>
        <w:t xml:space="preserve"> would not give the same benefits in terms of </w:t>
      </w:r>
      <w:r w:rsidR="00211716" w:rsidRPr="00532C20">
        <w:rPr>
          <w:noProof/>
        </w:rPr>
        <w:t xml:space="preserve">faciliating </w:t>
      </w:r>
      <w:r w:rsidR="008F01CA" w:rsidRPr="00532C20">
        <w:rPr>
          <w:noProof/>
        </w:rPr>
        <w:t xml:space="preserve">cross-border </w:t>
      </w:r>
      <w:r w:rsidR="00211716" w:rsidRPr="00532C20">
        <w:rPr>
          <w:noProof/>
        </w:rPr>
        <w:t>int</w:t>
      </w:r>
      <w:r w:rsidR="00BE6B68" w:rsidRPr="00532C20">
        <w:rPr>
          <w:noProof/>
        </w:rPr>
        <w:t>e</w:t>
      </w:r>
      <w:r w:rsidR="00211716" w:rsidRPr="00532C20">
        <w:rPr>
          <w:noProof/>
        </w:rPr>
        <w:t>rest representation activities on behalf of third countries, nor, for public authorities, efficency gains in terms of cooperation between a</w:t>
      </w:r>
      <w:r w:rsidR="00C903DC" w:rsidRPr="00532C20">
        <w:rPr>
          <w:noProof/>
        </w:rPr>
        <w:t>uthorites with regard to enforcement and supervision.</w:t>
      </w:r>
    </w:p>
    <w:p w14:paraId="2329F6DC" w14:textId="498F9DA1" w:rsidR="00F031E8" w:rsidRPr="00532C20" w:rsidRDefault="00C903DC" w:rsidP="004B0958">
      <w:pPr>
        <w:pStyle w:val="Text2"/>
        <w:ind w:left="0"/>
        <w:rPr>
          <w:noProof/>
          <w:u w:val="single"/>
        </w:rPr>
      </w:pPr>
      <w:r w:rsidRPr="00532C20">
        <w:rPr>
          <w:noProof/>
          <w:u w:val="single"/>
        </w:rPr>
        <w:t xml:space="preserve">The extended requirements in </w:t>
      </w:r>
      <w:r w:rsidR="003F6128" w:rsidRPr="00532C20">
        <w:rPr>
          <w:noProof/>
          <w:u w:val="single"/>
        </w:rPr>
        <w:t>PO</w:t>
      </w:r>
      <w:r w:rsidR="00DE219D" w:rsidRPr="00532C20">
        <w:rPr>
          <w:noProof/>
          <w:u w:val="single"/>
        </w:rPr>
        <w:t>2</w:t>
      </w:r>
      <w:r w:rsidRPr="00532C20">
        <w:rPr>
          <w:noProof/>
          <w:u w:val="single"/>
        </w:rPr>
        <w:t>.</w:t>
      </w:r>
      <w:r w:rsidR="00C644D9" w:rsidRPr="00532C20">
        <w:rPr>
          <w:noProof/>
          <w:u w:val="single"/>
        </w:rPr>
        <w:t>2</w:t>
      </w:r>
      <w:r w:rsidRPr="00532C20">
        <w:rPr>
          <w:noProof/>
          <w:u w:val="single"/>
        </w:rPr>
        <w:t xml:space="preserve"> would </w:t>
      </w:r>
      <w:r w:rsidRPr="00532C20">
        <w:rPr>
          <w:noProof/>
        </w:rPr>
        <w:t xml:space="preserve">imply </w:t>
      </w:r>
      <w:r w:rsidR="00DE219D" w:rsidRPr="00532C20">
        <w:rPr>
          <w:noProof/>
        </w:rPr>
        <w:t xml:space="preserve">additional compliance costs for </w:t>
      </w:r>
      <w:r w:rsidRPr="00532C20">
        <w:rPr>
          <w:noProof/>
        </w:rPr>
        <w:t>national administration.</w:t>
      </w:r>
      <w:r w:rsidR="00DE219D" w:rsidRPr="00532C20">
        <w:rPr>
          <w:noProof/>
        </w:rPr>
        <w:t xml:space="preserve"> </w:t>
      </w:r>
    </w:p>
    <w:p w14:paraId="467AA997" w14:textId="03E229DF" w:rsidR="00EA006F" w:rsidRPr="00532C20" w:rsidRDefault="00EA006F" w:rsidP="00EC37D1">
      <w:pPr>
        <w:pStyle w:val="11Subsection"/>
        <w:rPr>
          <w:noProof/>
        </w:rPr>
      </w:pPr>
      <w:bookmarkStart w:id="1039" w:name="_Toc152864712"/>
      <w:r w:rsidRPr="00532C20">
        <w:rPr>
          <w:noProof/>
        </w:rPr>
        <w:t xml:space="preserve">Coherence with other </w:t>
      </w:r>
      <w:r w:rsidR="00675DCE" w:rsidRPr="00532C20">
        <w:rPr>
          <w:noProof/>
        </w:rPr>
        <w:t xml:space="preserve">EU </w:t>
      </w:r>
      <w:r w:rsidRPr="00532C20">
        <w:rPr>
          <w:noProof/>
        </w:rPr>
        <w:t>initiatives</w:t>
      </w:r>
      <w:bookmarkEnd w:id="1039"/>
    </w:p>
    <w:p w14:paraId="53AA2190" w14:textId="259EF924" w:rsidR="00A53D38" w:rsidRPr="00532C20" w:rsidRDefault="002D128E" w:rsidP="007A2AB6">
      <w:pPr>
        <w:spacing w:after="120" w:line="240" w:lineRule="auto"/>
        <w:jc w:val="both"/>
        <w:rPr>
          <w:rFonts w:ascii="Times New Roman" w:hAnsi="Times New Roman" w:cs="Times New Roman"/>
          <w:noProof/>
          <w:sz w:val="24"/>
          <w:szCs w:val="24"/>
        </w:rPr>
      </w:pPr>
      <w:r w:rsidRPr="00532C20">
        <w:rPr>
          <w:rFonts w:ascii="Times New Roman" w:hAnsi="Times New Roman" w:cs="Times New Roman"/>
          <w:noProof/>
          <w:sz w:val="24"/>
          <w:szCs w:val="24"/>
        </w:rPr>
        <w:t xml:space="preserve">Issues with coherence were not detected </w:t>
      </w:r>
      <w:r w:rsidR="00795525" w:rsidRPr="00532C20">
        <w:rPr>
          <w:rFonts w:ascii="Times New Roman" w:hAnsi="Times New Roman" w:cs="Times New Roman"/>
          <w:noProof/>
          <w:sz w:val="24"/>
          <w:szCs w:val="24"/>
        </w:rPr>
        <w:t xml:space="preserve">for </w:t>
      </w:r>
      <w:r w:rsidR="004D5635">
        <w:rPr>
          <w:rFonts w:ascii="Times New Roman" w:hAnsi="Times New Roman" w:cs="Times New Roman"/>
          <w:noProof/>
          <w:sz w:val="24"/>
          <w:szCs w:val="24"/>
        </w:rPr>
        <w:t xml:space="preserve">any of the </w:t>
      </w:r>
      <w:r w:rsidR="008D0C88" w:rsidRPr="00532C20">
        <w:rPr>
          <w:rFonts w:ascii="Times New Roman" w:hAnsi="Times New Roman" w:cs="Times New Roman"/>
          <w:noProof/>
          <w:sz w:val="24"/>
          <w:szCs w:val="24"/>
        </w:rPr>
        <w:t>three policy options</w:t>
      </w:r>
      <w:r w:rsidR="00795525" w:rsidRPr="00532C20">
        <w:rPr>
          <w:rFonts w:ascii="Times New Roman" w:hAnsi="Times New Roman" w:cs="Times New Roman"/>
          <w:noProof/>
          <w:sz w:val="24"/>
          <w:szCs w:val="24"/>
        </w:rPr>
        <w:t xml:space="preserve">. </w:t>
      </w:r>
    </w:p>
    <w:p w14:paraId="21EF27D8" w14:textId="0F56318B" w:rsidR="001F32BA" w:rsidRPr="00532C20" w:rsidRDefault="00A53D38" w:rsidP="001F32BA">
      <w:pPr>
        <w:spacing w:after="120" w:line="240" w:lineRule="auto"/>
        <w:jc w:val="both"/>
        <w:rPr>
          <w:rFonts w:ascii="Times New Roman" w:eastAsia="Arial Unicode MS" w:hAnsi="Times New Roman" w:cs="Times New Roman"/>
          <w:noProof/>
          <w:sz w:val="24"/>
          <w:szCs w:val="24"/>
          <w:lang w:val="en-IE"/>
        </w:rPr>
      </w:pPr>
      <w:r w:rsidRPr="00313F32">
        <w:rPr>
          <w:rFonts w:ascii="Times New Roman" w:eastAsia="Arial Unicode MS" w:hAnsi="Times New Roman" w:cs="Times New Roman"/>
          <w:noProof/>
          <w:sz w:val="24"/>
          <w:szCs w:val="24"/>
          <w:u w:val="single"/>
          <w:lang w:val="en-IE"/>
        </w:rPr>
        <w:t>PO1</w:t>
      </w:r>
      <w:r w:rsidRPr="00532C20">
        <w:rPr>
          <w:rFonts w:ascii="Times New Roman" w:eastAsia="Arial Unicode MS" w:hAnsi="Times New Roman" w:cs="Times New Roman"/>
          <w:noProof/>
          <w:sz w:val="24"/>
          <w:szCs w:val="24"/>
          <w:lang w:val="en-IE"/>
        </w:rPr>
        <w:t xml:space="preserve"> would build upon and be complementary to the recommendations issued by the Commission in the context of the Rule of law reports</w:t>
      </w:r>
      <w:r w:rsidR="00FD085B" w:rsidRPr="00532C20">
        <w:rPr>
          <w:rStyle w:val="FootnoteReference"/>
          <w:rFonts w:ascii="Times New Roman" w:eastAsia="Arial Unicode MS" w:hAnsi="Times New Roman" w:cs="Times New Roman"/>
          <w:noProof/>
          <w:sz w:val="24"/>
          <w:szCs w:val="24"/>
          <w:lang w:val="en-IE"/>
        </w:rPr>
        <w:footnoteReference w:id="222"/>
      </w:r>
      <w:r w:rsidRPr="00532C20">
        <w:rPr>
          <w:rFonts w:ascii="Times New Roman" w:eastAsia="Arial Unicode MS" w:hAnsi="Times New Roman" w:cs="Times New Roman"/>
          <w:noProof/>
          <w:sz w:val="24"/>
          <w:szCs w:val="24"/>
          <w:lang w:val="en-IE"/>
        </w:rPr>
        <w:t xml:space="preserve">, in terms of scope and content. </w:t>
      </w:r>
      <w:r w:rsidR="001F32BA" w:rsidRPr="00532C20">
        <w:rPr>
          <w:rFonts w:ascii="Times New Roman" w:eastAsia="Arial Unicode MS" w:hAnsi="Times New Roman" w:cs="Times New Roman"/>
          <w:noProof/>
          <w:sz w:val="24"/>
          <w:szCs w:val="24"/>
          <w:lang w:val="en-IE"/>
        </w:rPr>
        <w:t>Additionally, this policy option would go beyond these recommendations as it provides for a list of specific standards related to record-keeping, registration and transparency (1), a detailed but voluntary reporting on the application of the specific standards (2) and a monitoring of the implementation of the recommendation (3). It would also include references to safeguards that Member States should establish, including to prevent stigmatisation of the registered entities.</w:t>
      </w:r>
    </w:p>
    <w:p w14:paraId="3CE88627" w14:textId="77B43427" w:rsidR="007A2AB6" w:rsidRPr="00532C20" w:rsidRDefault="007A2AB6" w:rsidP="007A2AB6">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As the scope of legislative measures in </w:t>
      </w:r>
      <w:r w:rsidRPr="00313F32">
        <w:rPr>
          <w:rFonts w:ascii="Times New Roman" w:hAnsi="Times New Roman" w:cs="Times New Roman"/>
          <w:noProof/>
          <w:sz w:val="24"/>
          <w:szCs w:val="24"/>
          <w:u w:val="single"/>
          <w:lang w:val="en-IE"/>
        </w:rPr>
        <w:t>PO2.</w:t>
      </w:r>
      <w:r w:rsidR="00C644D9" w:rsidRPr="00313F32">
        <w:rPr>
          <w:rFonts w:ascii="Times New Roman" w:hAnsi="Times New Roman" w:cs="Times New Roman"/>
          <w:noProof/>
          <w:sz w:val="24"/>
          <w:szCs w:val="24"/>
          <w:u w:val="single"/>
          <w:lang w:val="en-IE"/>
        </w:rPr>
        <w:t>1</w:t>
      </w:r>
      <w:r w:rsidRPr="00532C20">
        <w:rPr>
          <w:rFonts w:ascii="Times New Roman" w:hAnsi="Times New Roman" w:cs="Times New Roman"/>
          <w:noProof/>
          <w:sz w:val="24"/>
          <w:szCs w:val="24"/>
          <w:lang w:val="en-IE"/>
        </w:rPr>
        <w:t xml:space="preserve"> and </w:t>
      </w:r>
      <w:r w:rsidRPr="00313F32">
        <w:rPr>
          <w:rFonts w:ascii="Times New Roman" w:hAnsi="Times New Roman" w:cs="Times New Roman"/>
          <w:noProof/>
          <w:sz w:val="24"/>
          <w:szCs w:val="24"/>
          <w:u w:val="single"/>
          <w:lang w:val="en-IE"/>
        </w:rPr>
        <w:t>PO2.</w:t>
      </w:r>
      <w:r w:rsidR="00C644D9" w:rsidRPr="00313F32">
        <w:rPr>
          <w:rFonts w:ascii="Times New Roman" w:hAnsi="Times New Roman" w:cs="Times New Roman"/>
          <w:noProof/>
          <w:sz w:val="24"/>
          <w:szCs w:val="24"/>
          <w:u w:val="single"/>
          <w:lang w:val="en-IE"/>
        </w:rPr>
        <w:t>2</w:t>
      </w:r>
      <w:r w:rsidRPr="00532C20">
        <w:rPr>
          <w:rFonts w:ascii="Times New Roman" w:hAnsi="Times New Roman" w:cs="Times New Roman"/>
          <w:noProof/>
          <w:sz w:val="24"/>
          <w:szCs w:val="24"/>
          <w:lang w:val="en-IE"/>
        </w:rPr>
        <w:t xml:space="preserve"> are the same </w:t>
      </w:r>
      <w:r w:rsidR="00644C71" w:rsidRPr="00532C20">
        <w:rPr>
          <w:rFonts w:ascii="Times New Roman" w:hAnsi="Times New Roman" w:cs="Times New Roman"/>
          <w:noProof/>
          <w:sz w:val="24"/>
          <w:szCs w:val="24"/>
          <w:lang w:val="en-IE"/>
        </w:rPr>
        <w:t>they</w:t>
      </w:r>
      <w:r w:rsidRPr="00532C20">
        <w:rPr>
          <w:rFonts w:ascii="Times New Roman" w:hAnsi="Times New Roman" w:cs="Times New Roman"/>
          <w:noProof/>
          <w:sz w:val="24"/>
          <w:szCs w:val="24"/>
          <w:lang w:val="en-IE"/>
        </w:rPr>
        <w:t xml:space="preserve"> will be </w:t>
      </w:r>
      <w:r w:rsidR="00644C71" w:rsidRPr="00532C20">
        <w:rPr>
          <w:rFonts w:ascii="Times New Roman" w:hAnsi="Times New Roman" w:cs="Times New Roman"/>
          <w:noProof/>
          <w:sz w:val="24"/>
          <w:szCs w:val="24"/>
          <w:lang w:val="en-IE"/>
        </w:rPr>
        <w:t>assessed together</w:t>
      </w:r>
      <w:r w:rsidR="00A53D38" w:rsidRPr="00532C20">
        <w:rPr>
          <w:rFonts w:ascii="Times New Roman" w:hAnsi="Times New Roman" w:cs="Times New Roman"/>
          <w:noProof/>
          <w:sz w:val="24"/>
          <w:szCs w:val="24"/>
          <w:lang w:val="en-IE"/>
        </w:rPr>
        <w:t xml:space="preserve"> in relation to other EU initiatives</w:t>
      </w:r>
      <w:r w:rsidR="008B4EB4" w:rsidRPr="00532C20">
        <w:rPr>
          <w:rFonts w:ascii="Times New Roman" w:hAnsi="Times New Roman" w:cs="Times New Roman"/>
          <w:noProof/>
          <w:sz w:val="24"/>
          <w:szCs w:val="24"/>
          <w:lang w:val="en-IE"/>
        </w:rPr>
        <w:t>.</w:t>
      </w:r>
      <w:r w:rsidRPr="00532C20">
        <w:rPr>
          <w:rFonts w:ascii="Times New Roman" w:hAnsi="Times New Roman" w:cs="Times New Roman"/>
          <w:noProof/>
          <w:sz w:val="24"/>
          <w:szCs w:val="24"/>
          <w:lang w:val="en-IE"/>
        </w:rPr>
        <w:t xml:space="preserve"> </w:t>
      </w:r>
    </w:p>
    <w:p w14:paraId="148AD34C" w14:textId="7AF432C7" w:rsidR="00D07C9E" w:rsidRPr="00532C20" w:rsidRDefault="00644C71" w:rsidP="00D07C9E">
      <w:pPr>
        <w:spacing w:after="24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The two legislative policy options</w:t>
      </w:r>
      <w:r w:rsidR="007F3DE0" w:rsidRPr="00532C20">
        <w:rPr>
          <w:rFonts w:ascii="Times New Roman" w:hAnsi="Times New Roman" w:cs="Times New Roman"/>
          <w:noProof/>
          <w:sz w:val="24"/>
          <w:szCs w:val="24"/>
          <w:lang w:val="en-IE"/>
        </w:rPr>
        <w:t xml:space="preserve"> </w:t>
      </w:r>
      <w:r w:rsidR="00AF23B5" w:rsidRPr="00532C20">
        <w:rPr>
          <w:rFonts w:ascii="Times New Roman" w:hAnsi="Times New Roman" w:cs="Times New Roman"/>
          <w:noProof/>
          <w:sz w:val="24"/>
          <w:szCs w:val="24"/>
          <w:lang w:val="en-IE"/>
        </w:rPr>
        <w:t xml:space="preserve">will complement the proposal for a </w:t>
      </w:r>
      <w:r w:rsidR="00AF23B5" w:rsidRPr="00532C20">
        <w:rPr>
          <w:rFonts w:ascii="Times New Roman" w:hAnsi="Times New Roman" w:cs="Times New Roman"/>
          <w:b/>
          <w:noProof/>
          <w:sz w:val="24"/>
          <w:szCs w:val="24"/>
          <w:lang w:val="en-IE"/>
        </w:rPr>
        <w:t>Regulation on the transparency and targeting of political advertising</w:t>
      </w:r>
      <w:r w:rsidR="00AF23B5" w:rsidRPr="00532C20">
        <w:rPr>
          <w:rFonts w:ascii="Times New Roman" w:hAnsi="Times New Roman" w:cs="Times New Roman"/>
          <w:noProof/>
          <w:sz w:val="24"/>
          <w:szCs w:val="24"/>
          <w:vertAlign w:val="superscript"/>
          <w:lang w:val="en-IE"/>
        </w:rPr>
        <w:footnoteReference w:id="223"/>
      </w:r>
      <w:r w:rsidR="00AF23B5" w:rsidRPr="00532C20">
        <w:rPr>
          <w:rFonts w:ascii="Times New Roman" w:hAnsi="Times New Roman" w:cs="Times New Roman"/>
          <w:noProof/>
          <w:sz w:val="24"/>
          <w:szCs w:val="24"/>
          <w:lang w:val="en-IE"/>
        </w:rPr>
        <w:t xml:space="preserve">. </w:t>
      </w:r>
      <w:r w:rsidR="00C00D83" w:rsidRPr="00C00D83">
        <w:rPr>
          <w:rFonts w:ascii="Times New Roman" w:hAnsi="Times New Roman" w:cs="Times New Roman"/>
          <w:noProof/>
          <w:sz w:val="24"/>
          <w:szCs w:val="24"/>
          <w:lang w:val="en-IE"/>
        </w:rPr>
        <w:t xml:space="preserve">The proposal on political advertising seeks to provide a high level of transparency for political advertising services in the Union regardless of the medium used, and to provide additional safeguards applicable to the targeting of political advertising based on the processing of personal data. </w:t>
      </w:r>
      <w:r w:rsidR="00D07C9E" w:rsidRPr="00532C20">
        <w:rPr>
          <w:rFonts w:ascii="Times New Roman" w:eastAsia="Arial Unicode MS" w:hAnsi="Times New Roman" w:cs="Times New Roman"/>
          <w:noProof/>
          <w:sz w:val="24"/>
          <w:szCs w:val="24"/>
          <w:lang w:val="en-IE"/>
        </w:rPr>
        <w:t xml:space="preserve">This initiative has a different scope from the proposal on </w:t>
      </w:r>
      <w:r w:rsidR="00B83C56" w:rsidRPr="00532C20">
        <w:rPr>
          <w:rFonts w:ascii="Times New Roman" w:eastAsia="Arial Unicode MS" w:hAnsi="Times New Roman" w:cs="Times New Roman"/>
          <w:noProof/>
          <w:sz w:val="24"/>
          <w:szCs w:val="24"/>
          <w:lang w:val="en-IE"/>
        </w:rPr>
        <w:t>political advertising</w:t>
      </w:r>
      <w:r w:rsidR="00D07C9E" w:rsidRPr="00532C20">
        <w:rPr>
          <w:rFonts w:ascii="Times New Roman" w:eastAsia="Arial Unicode MS" w:hAnsi="Times New Roman" w:cs="Times New Roman"/>
          <w:noProof/>
          <w:sz w:val="24"/>
          <w:szCs w:val="24"/>
          <w:lang w:val="en-IE"/>
        </w:rPr>
        <w:t xml:space="preserve">: it covers </w:t>
      </w:r>
      <w:r w:rsidR="00AF13F4" w:rsidRPr="00532C20">
        <w:rPr>
          <w:rFonts w:ascii="Times New Roman" w:eastAsia="Arial Unicode MS" w:hAnsi="Times New Roman" w:cs="Times New Roman"/>
          <w:noProof/>
          <w:sz w:val="24"/>
          <w:szCs w:val="24"/>
          <w:lang w:val="en-IE"/>
        </w:rPr>
        <w:t>interest representation</w:t>
      </w:r>
      <w:r w:rsidR="00D07C9E" w:rsidRPr="00532C20">
        <w:rPr>
          <w:rFonts w:ascii="Times New Roman" w:eastAsia="Arial Unicode MS" w:hAnsi="Times New Roman" w:cs="Times New Roman"/>
          <w:noProof/>
          <w:sz w:val="24"/>
          <w:szCs w:val="24"/>
          <w:lang w:val="en-IE"/>
        </w:rPr>
        <w:t xml:space="preserve"> activities carried out on behalf of a </w:t>
      </w:r>
      <w:r w:rsidR="00B83C56" w:rsidRPr="00532C20">
        <w:rPr>
          <w:rFonts w:ascii="Times New Roman" w:eastAsia="Arial Unicode MS" w:hAnsi="Times New Roman" w:cs="Times New Roman"/>
          <w:noProof/>
          <w:sz w:val="24"/>
          <w:szCs w:val="24"/>
          <w:lang w:val="en-IE"/>
        </w:rPr>
        <w:t xml:space="preserve">third country </w:t>
      </w:r>
      <w:r w:rsidR="00D07C9E" w:rsidRPr="00532C20">
        <w:rPr>
          <w:rFonts w:ascii="Times New Roman" w:eastAsia="Arial Unicode MS" w:hAnsi="Times New Roman" w:cs="Times New Roman"/>
          <w:noProof/>
          <w:sz w:val="24"/>
          <w:szCs w:val="24"/>
          <w:lang w:val="en-IE"/>
        </w:rPr>
        <w:t>entity. This includes interest representation activities consisting of the organisation of communication or advertising campaigns, which could also be considered as political advertising. However, interest representation mainly covers activities which are not also ‘political advertising’ (e.g. lobbying individuals directly). Also,</w:t>
      </w:r>
      <w:r w:rsidR="00B83C56" w:rsidRPr="00532C20">
        <w:rPr>
          <w:rFonts w:ascii="Times New Roman" w:eastAsia="Arial Unicode MS" w:hAnsi="Times New Roman" w:cs="Times New Roman"/>
          <w:noProof/>
          <w:sz w:val="24"/>
          <w:szCs w:val="24"/>
          <w:lang w:val="en-IE"/>
        </w:rPr>
        <w:t xml:space="preserve"> the </w:t>
      </w:r>
      <w:r w:rsidR="00D07C9E" w:rsidRPr="00532C20">
        <w:rPr>
          <w:rFonts w:ascii="Times New Roman" w:eastAsia="Arial Unicode MS" w:hAnsi="Times New Roman" w:cs="Times New Roman"/>
          <w:noProof/>
          <w:sz w:val="24"/>
          <w:szCs w:val="24"/>
          <w:lang w:val="en-IE"/>
        </w:rPr>
        <w:t>political advertising regulation covers activities within its scope regardless whether they are provided on behalf of a third country entity.</w:t>
      </w:r>
    </w:p>
    <w:p w14:paraId="799CAF81" w14:textId="397AB0DB" w:rsidR="00AF23B5" w:rsidRPr="00532C20" w:rsidRDefault="00D07C9E" w:rsidP="004B75A3">
      <w:pPr>
        <w:spacing w:after="24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Under</w:t>
      </w:r>
      <w:r w:rsidR="00B83C56" w:rsidRPr="00532C20">
        <w:rPr>
          <w:rFonts w:ascii="Times New Roman" w:hAnsi="Times New Roman" w:cs="Times New Roman"/>
          <w:noProof/>
          <w:sz w:val="24"/>
          <w:szCs w:val="24"/>
          <w:lang w:val="en-IE"/>
        </w:rPr>
        <w:t xml:space="preserve"> the </w:t>
      </w:r>
      <w:r w:rsidRPr="00532C20">
        <w:rPr>
          <w:rFonts w:ascii="Times New Roman" w:hAnsi="Times New Roman" w:cs="Times New Roman"/>
          <w:noProof/>
          <w:sz w:val="24"/>
          <w:szCs w:val="24"/>
          <w:lang w:val="en-IE"/>
        </w:rPr>
        <w:t xml:space="preserve">proposal on political advertising, transparency </w:t>
      </w:r>
      <w:r w:rsidRPr="00532C20">
        <w:rPr>
          <w:rFonts w:ascii="Times New Roman" w:eastAsia="Arial Unicode MS" w:hAnsi="Times New Roman" w:cs="Times New Roman"/>
          <w:noProof/>
          <w:sz w:val="24"/>
          <w:szCs w:val="24"/>
          <w:lang w:val="en-IE"/>
        </w:rPr>
        <w:t>is</w:t>
      </w:r>
      <w:r w:rsidRPr="00532C20">
        <w:rPr>
          <w:rFonts w:ascii="Times New Roman" w:hAnsi="Times New Roman" w:cs="Times New Roman"/>
          <w:noProof/>
          <w:sz w:val="24"/>
          <w:szCs w:val="24"/>
          <w:lang w:val="en-IE"/>
        </w:rPr>
        <w:t xml:space="preserve"> ensured in particular by making available to individuals certain </w:t>
      </w:r>
      <w:r w:rsidR="00B83C56" w:rsidRPr="00532C20">
        <w:rPr>
          <w:rFonts w:ascii="Times New Roman" w:hAnsi="Times New Roman" w:cs="Times New Roman"/>
          <w:noProof/>
          <w:sz w:val="24"/>
          <w:szCs w:val="24"/>
          <w:lang w:val="en-IE"/>
        </w:rPr>
        <w:t xml:space="preserve">information </w:t>
      </w:r>
      <w:r w:rsidRPr="00532C20">
        <w:rPr>
          <w:rFonts w:ascii="Times New Roman" w:hAnsi="Times New Roman" w:cs="Times New Roman"/>
          <w:noProof/>
          <w:sz w:val="24"/>
          <w:szCs w:val="24"/>
          <w:lang w:val="en-IE"/>
        </w:rPr>
        <w:t>with each political advertisement. In addition, political advertising publishers that are very large online platforms within</w:t>
      </w:r>
      <w:r w:rsidR="00B83C56" w:rsidRPr="00532C20">
        <w:rPr>
          <w:rFonts w:ascii="Times New Roman" w:hAnsi="Times New Roman" w:cs="Times New Roman"/>
          <w:noProof/>
          <w:sz w:val="24"/>
          <w:szCs w:val="24"/>
          <w:lang w:val="en-IE"/>
        </w:rPr>
        <w:t xml:space="preserve"> the </w:t>
      </w:r>
      <w:r w:rsidRPr="00532C20">
        <w:rPr>
          <w:rFonts w:ascii="Times New Roman" w:hAnsi="Times New Roman" w:cs="Times New Roman"/>
          <w:noProof/>
          <w:sz w:val="24"/>
          <w:szCs w:val="24"/>
          <w:lang w:val="en-IE"/>
        </w:rPr>
        <w:t>meaning of Regulation (EU) 2022/2065 (‘the Digital Service Act’) would have</w:t>
      </w:r>
      <w:r w:rsidR="00B83C56" w:rsidRPr="00532C20">
        <w:rPr>
          <w:rFonts w:ascii="Times New Roman" w:hAnsi="Times New Roman" w:cs="Times New Roman"/>
          <w:noProof/>
          <w:sz w:val="24"/>
          <w:szCs w:val="24"/>
          <w:lang w:val="en-IE"/>
        </w:rPr>
        <w:t xml:space="preserve"> to </w:t>
      </w:r>
      <w:r w:rsidRPr="00532C20">
        <w:rPr>
          <w:rFonts w:ascii="Times New Roman" w:hAnsi="Times New Roman" w:cs="Times New Roman"/>
          <w:noProof/>
          <w:sz w:val="24"/>
          <w:szCs w:val="24"/>
          <w:lang w:val="en-IE"/>
        </w:rPr>
        <w:t xml:space="preserve">make the </w:t>
      </w:r>
      <w:r w:rsidR="00B83C56" w:rsidRPr="00532C20">
        <w:rPr>
          <w:rFonts w:ascii="Times New Roman" w:hAnsi="Times New Roman" w:cs="Times New Roman"/>
          <w:noProof/>
          <w:sz w:val="24"/>
          <w:szCs w:val="24"/>
          <w:lang w:val="en-IE"/>
        </w:rPr>
        <w:t xml:space="preserve">information </w:t>
      </w:r>
      <w:r w:rsidRPr="00532C20">
        <w:rPr>
          <w:rFonts w:ascii="Times New Roman" w:hAnsi="Times New Roman" w:cs="Times New Roman"/>
          <w:noProof/>
          <w:sz w:val="24"/>
          <w:szCs w:val="24"/>
          <w:lang w:val="en-IE"/>
        </w:rPr>
        <w:t>contained in the transparency notice available through the repositories of advertisements published</w:t>
      </w:r>
      <w:r w:rsidRPr="00532C20">
        <w:rPr>
          <w:rFonts w:eastAsia="Arial Unicode MS"/>
          <w:noProof/>
          <w:szCs w:val="24"/>
          <w:lang w:val="en-IE"/>
        </w:rPr>
        <w:t>,</w:t>
      </w:r>
      <w:r w:rsidRPr="00532C20">
        <w:rPr>
          <w:rFonts w:ascii="Times New Roman" w:hAnsi="Times New Roman" w:cs="Times New Roman"/>
          <w:noProof/>
          <w:sz w:val="24"/>
          <w:szCs w:val="24"/>
          <w:lang w:val="en-IE"/>
        </w:rPr>
        <w:t xml:space="preserve"> pursuant to Article 39 of that Regulation. The current initiative complements this by providing public access to complementary information in the national registers of the Member States related to the providers of the interest representation activities, in particular a clear indication as to the third country on behalf of which the interest representation </w:t>
      </w:r>
      <w:r w:rsidR="00B83C56" w:rsidRPr="00532C20">
        <w:rPr>
          <w:rFonts w:ascii="Times New Roman" w:hAnsi="Times New Roman" w:cs="Times New Roman"/>
          <w:noProof/>
          <w:sz w:val="24"/>
          <w:szCs w:val="24"/>
          <w:lang w:val="en-IE"/>
        </w:rPr>
        <w:t xml:space="preserve">activity </w:t>
      </w:r>
      <w:r w:rsidRPr="00532C20">
        <w:rPr>
          <w:rFonts w:ascii="Times New Roman" w:hAnsi="Times New Roman" w:cs="Times New Roman"/>
          <w:noProof/>
          <w:sz w:val="24"/>
          <w:szCs w:val="24"/>
          <w:lang w:val="en-IE"/>
        </w:rPr>
        <w:t>is carried out, the Member States where the interest representation will be carried out, and the legislative proposals, policies or initiatives targeted by the interest representation activity.</w:t>
      </w:r>
    </w:p>
    <w:p w14:paraId="0065A600" w14:textId="362EBB10" w:rsidR="005A3689" w:rsidRDefault="00AF23B5" w:rsidP="002D209C">
      <w:pPr>
        <w:pBdr>
          <w:top w:val="nil"/>
          <w:left w:val="nil"/>
          <w:bottom w:val="nil"/>
          <w:right w:val="nil"/>
          <w:between w:val="nil"/>
          <w:bar w:val="nil"/>
        </w:pBd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Th</w:t>
      </w:r>
      <w:r w:rsidR="005136C3" w:rsidRPr="00532C20">
        <w:rPr>
          <w:rFonts w:ascii="Times New Roman" w:hAnsi="Times New Roman" w:cs="Times New Roman"/>
          <w:noProof/>
          <w:sz w:val="24"/>
          <w:szCs w:val="24"/>
          <w:lang w:val="en-IE"/>
        </w:rPr>
        <w:t>ese</w:t>
      </w:r>
      <w:r w:rsidRPr="00532C20">
        <w:rPr>
          <w:rFonts w:ascii="Times New Roman" w:hAnsi="Times New Roman" w:cs="Times New Roman"/>
          <w:noProof/>
          <w:sz w:val="24"/>
          <w:szCs w:val="24"/>
          <w:lang w:val="en-IE"/>
        </w:rPr>
        <w:t xml:space="preserve"> </w:t>
      </w:r>
      <w:r w:rsidR="00C27024" w:rsidRPr="00532C20">
        <w:rPr>
          <w:rFonts w:ascii="Times New Roman" w:hAnsi="Times New Roman" w:cs="Times New Roman"/>
          <w:noProof/>
          <w:sz w:val="24"/>
          <w:szCs w:val="24"/>
          <w:lang w:val="en-IE"/>
        </w:rPr>
        <w:t>policy option</w:t>
      </w:r>
      <w:r w:rsidR="005136C3" w:rsidRPr="00532C20">
        <w:rPr>
          <w:rFonts w:ascii="Times New Roman" w:hAnsi="Times New Roman" w:cs="Times New Roman"/>
          <w:noProof/>
          <w:sz w:val="24"/>
          <w:szCs w:val="24"/>
          <w:lang w:val="en-IE"/>
        </w:rPr>
        <w:t>s</w:t>
      </w:r>
      <w:r w:rsidR="00C27024" w:rsidRPr="00532C20">
        <w:rPr>
          <w:rFonts w:ascii="Times New Roman" w:hAnsi="Times New Roman" w:cs="Times New Roman"/>
          <w:noProof/>
          <w:sz w:val="24"/>
          <w:szCs w:val="24"/>
          <w:lang w:val="en-IE"/>
        </w:rPr>
        <w:t xml:space="preserve"> </w:t>
      </w:r>
      <w:r w:rsidRPr="00532C20">
        <w:rPr>
          <w:rFonts w:ascii="Times New Roman" w:hAnsi="Times New Roman" w:cs="Times New Roman"/>
          <w:noProof/>
          <w:sz w:val="24"/>
          <w:szCs w:val="24"/>
          <w:lang w:val="en-IE"/>
        </w:rPr>
        <w:t xml:space="preserve">would complement the </w:t>
      </w:r>
      <w:r w:rsidRPr="00532C20">
        <w:rPr>
          <w:rFonts w:ascii="Times New Roman" w:hAnsi="Times New Roman" w:cs="Times New Roman"/>
          <w:b/>
          <w:noProof/>
          <w:sz w:val="24"/>
          <w:szCs w:val="24"/>
          <w:lang w:val="en-IE"/>
        </w:rPr>
        <w:t>Digital Services Act</w:t>
      </w:r>
      <w:r w:rsidR="007B04BE" w:rsidRPr="00532C20">
        <w:rPr>
          <w:rFonts w:ascii="Times New Roman" w:hAnsi="Times New Roman" w:cs="Times New Roman"/>
          <w:b/>
          <w:bCs/>
          <w:noProof/>
          <w:sz w:val="24"/>
          <w:szCs w:val="24"/>
          <w:lang w:val="en-IE"/>
        </w:rPr>
        <w:t xml:space="preserve"> (DSA)</w:t>
      </w:r>
      <w:r w:rsidR="00CD5A98" w:rsidRPr="00532C20">
        <w:rPr>
          <w:rStyle w:val="FootnoteReference"/>
          <w:rFonts w:ascii="Times New Roman" w:hAnsi="Times New Roman" w:cs="Times New Roman"/>
          <w:noProof/>
          <w:sz w:val="24"/>
          <w:szCs w:val="24"/>
          <w:lang w:val="en-IE"/>
        </w:rPr>
        <w:footnoteReference w:id="224"/>
      </w:r>
      <w:r w:rsidR="00C55574">
        <w:rPr>
          <w:rFonts w:ascii="Times New Roman" w:hAnsi="Times New Roman" w:cs="Times New Roman"/>
          <w:b/>
          <w:bCs/>
          <w:noProof/>
          <w:sz w:val="24"/>
          <w:szCs w:val="24"/>
          <w:lang w:val="en-IE"/>
        </w:rPr>
        <w:t xml:space="preserve">, </w:t>
      </w:r>
      <w:r w:rsidR="00C55574" w:rsidRPr="004B75A3">
        <w:rPr>
          <w:rFonts w:ascii="Times New Roman" w:hAnsi="Times New Roman" w:cs="Times New Roman"/>
          <w:noProof/>
          <w:sz w:val="24"/>
          <w:szCs w:val="24"/>
          <w:lang w:val="en-IE"/>
        </w:rPr>
        <w:t>which requires providers of online platforms to make available certain information about advertisements they present on their online interfaces. In addition, the Digital Services Act requires providers of very large online platforms or of very large online search engines that present advertisements on their online interfaces to compile and make publicly available in a specific section of their online interface, through a searchable and reliable tool, a repository containing information on the advertisements</w:t>
      </w:r>
      <w:r w:rsidRPr="00532C20">
        <w:rPr>
          <w:rFonts w:ascii="Times New Roman" w:hAnsi="Times New Roman" w:cs="Times New Roman"/>
          <w:noProof/>
          <w:sz w:val="24"/>
          <w:szCs w:val="24"/>
          <w:lang w:val="en-IE"/>
        </w:rPr>
        <w:t>.</w:t>
      </w:r>
      <w:r w:rsidR="005A3689">
        <w:rPr>
          <w:rFonts w:ascii="Times New Roman" w:hAnsi="Times New Roman" w:cs="Times New Roman"/>
          <w:noProof/>
          <w:sz w:val="24"/>
          <w:szCs w:val="24"/>
          <w:lang w:val="en-IE"/>
        </w:rPr>
        <w:t xml:space="preserve"> </w:t>
      </w:r>
      <w:r w:rsidR="005A3689" w:rsidRPr="005A3689">
        <w:rPr>
          <w:rFonts w:ascii="Times New Roman" w:hAnsi="Times New Roman" w:cs="Times New Roman"/>
          <w:noProof/>
          <w:sz w:val="24"/>
          <w:szCs w:val="24"/>
          <w:lang w:val="en-IE"/>
        </w:rPr>
        <w:t>It also obliges such providers to assess and mitigate risks related to the functioning, design or use of their service that have actual or foreseeable negative effects on a series of societal risks including as regards civic discourse, electoral processes and public security.</w:t>
      </w:r>
    </w:p>
    <w:p w14:paraId="4A7AA5FE" w14:textId="5EC890C6" w:rsidR="00AF23B5" w:rsidRPr="00532C20" w:rsidRDefault="003E13C5" w:rsidP="002D209C">
      <w:pPr>
        <w:pBdr>
          <w:top w:val="nil"/>
          <w:left w:val="nil"/>
          <w:bottom w:val="nil"/>
          <w:right w:val="nil"/>
          <w:between w:val="nil"/>
          <w:bar w:val="nil"/>
        </w:pBd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The policy options</w:t>
      </w:r>
      <w:r w:rsidRPr="003E13C5">
        <w:rPr>
          <w:rFonts w:ascii="Times New Roman" w:hAnsi="Times New Roman" w:cs="Times New Roman"/>
          <w:noProof/>
          <w:sz w:val="24"/>
          <w:szCs w:val="24"/>
          <w:lang w:val="en-IE"/>
        </w:rPr>
        <w:t xml:space="preserve"> ha</w:t>
      </w:r>
      <w:r>
        <w:rPr>
          <w:rFonts w:ascii="Times New Roman" w:hAnsi="Times New Roman" w:cs="Times New Roman"/>
          <w:noProof/>
          <w:sz w:val="24"/>
          <w:szCs w:val="24"/>
          <w:lang w:val="en-IE"/>
        </w:rPr>
        <w:t>ve</w:t>
      </w:r>
      <w:r w:rsidRPr="003E13C5">
        <w:rPr>
          <w:rFonts w:ascii="Times New Roman" w:hAnsi="Times New Roman" w:cs="Times New Roman"/>
          <w:noProof/>
          <w:sz w:val="24"/>
          <w:szCs w:val="24"/>
          <w:lang w:val="en-IE"/>
        </w:rPr>
        <w:t xml:space="preserve"> a different scope to the Digital Services Act, as </w:t>
      </w:r>
      <w:r>
        <w:rPr>
          <w:rFonts w:ascii="Times New Roman" w:hAnsi="Times New Roman" w:cs="Times New Roman"/>
          <w:noProof/>
          <w:sz w:val="24"/>
          <w:szCs w:val="24"/>
          <w:lang w:val="en-IE"/>
        </w:rPr>
        <w:t>they</w:t>
      </w:r>
      <w:r w:rsidRPr="003E13C5">
        <w:rPr>
          <w:rFonts w:ascii="Times New Roman" w:hAnsi="Times New Roman" w:cs="Times New Roman"/>
          <w:noProof/>
          <w:sz w:val="24"/>
          <w:szCs w:val="24"/>
          <w:lang w:val="en-IE"/>
        </w:rPr>
        <w:t xml:space="preserve"> cover interest representation activities on behalf of third countries. Such activities can involve (e.g. as part of the organisation of and advertising or communication campaign) </w:t>
      </w:r>
      <w:r w:rsidR="005A3689">
        <w:rPr>
          <w:rFonts w:ascii="Times New Roman" w:hAnsi="Times New Roman" w:cs="Times New Roman"/>
          <w:noProof/>
          <w:sz w:val="24"/>
          <w:szCs w:val="24"/>
          <w:lang w:val="en-IE"/>
        </w:rPr>
        <w:t>placing</w:t>
      </w:r>
      <w:r w:rsidRPr="003E13C5">
        <w:rPr>
          <w:rFonts w:ascii="Times New Roman" w:hAnsi="Times New Roman" w:cs="Times New Roman"/>
          <w:noProof/>
          <w:sz w:val="24"/>
          <w:szCs w:val="24"/>
          <w:lang w:val="en-IE"/>
        </w:rPr>
        <w:t xml:space="preserve"> advertisements on the online interfaces of online platforms within the scope of the Digital Service Act. When this is the case, the current initiative provides that these online platform </w:t>
      </w:r>
      <w:r w:rsidR="005A3689">
        <w:rPr>
          <w:rFonts w:ascii="Times New Roman" w:hAnsi="Times New Roman" w:cs="Times New Roman"/>
          <w:noProof/>
          <w:sz w:val="24"/>
          <w:szCs w:val="24"/>
          <w:lang w:val="en-IE"/>
        </w:rPr>
        <w:t>services</w:t>
      </w:r>
      <w:r w:rsidRPr="003E13C5">
        <w:rPr>
          <w:rFonts w:ascii="Times New Roman" w:hAnsi="Times New Roman" w:cs="Times New Roman"/>
          <w:noProof/>
          <w:sz w:val="24"/>
          <w:szCs w:val="24"/>
          <w:lang w:val="en-IE"/>
        </w:rPr>
        <w:t xml:space="preserve"> should be named </w:t>
      </w:r>
      <w:r w:rsidR="00597020">
        <w:rPr>
          <w:rFonts w:ascii="Times New Roman" w:hAnsi="Times New Roman" w:cs="Times New Roman"/>
          <w:noProof/>
          <w:sz w:val="24"/>
          <w:szCs w:val="24"/>
          <w:lang w:val="en-IE"/>
        </w:rPr>
        <w:t xml:space="preserve">by the provider of interest representation activities </w:t>
      </w:r>
      <w:r w:rsidRPr="003E13C5">
        <w:rPr>
          <w:rFonts w:ascii="Times New Roman" w:hAnsi="Times New Roman" w:cs="Times New Roman"/>
          <w:noProof/>
          <w:sz w:val="24"/>
          <w:szCs w:val="24"/>
          <w:lang w:val="en-IE"/>
        </w:rPr>
        <w:t xml:space="preserve">in the registration of the entity, and the relevant costs attributed to their services should be included in the amount of remuneration declared by the entity carrying out the interest representation activity. However, this initiative </w:t>
      </w:r>
      <w:r w:rsidR="00597020">
        <w:rPr>
          <w:rFonts w:ascii="Times New Roman" w:hAnsi="Times New Roman" w:cs="Times New Roman"/>
          <w:noProof/>
          <w:sz w:val="24"/>
          <w:szCs w:val="24"/>
          <w:lang w:val="en-IE"/>
        </w:rPr>
        <w:t xml:space="preserve">does not regulate responsibilities of online intermediaries and </w:t>
      </w:r>
      <w:r w:rsidRPr="003E13C5">
        <w:rPr>
          <w:rFonts w:ascii="Times New Roman" w:hAnsi="Times New Roman" w:cs="Times New Roman"/>
          <w:noProof/>
          <w:sz w:val="24"/>
          <w:szCs w:val="24"/>
          <w:lang w:val="en-IE"/>
        </w:rPr>
        <w:t>would not impose requirements directly on the providers of online platform services</w:t>
      </w:r>
      <w:r w:rsidR="006D5B1D">
        <w:rPr>
          <w:rFonts w:ascii="Times New Roman" w:hAnsi="Times New Roman" w:cs="Times New Roman"/>
          <w:noProof/>
          <w:sz w:val="24"/>
          <w:szCs w:val="24"/>
          <w:lang w:val="en-IE"/>
        </w:rPr>
        <w:t xml:space="preserve"> themselves in that situation</w:t>
      </w:r>
      <w:r w:rsidRPr="003E13C5">
        <w:rPr>
          <w:rFonts w:ascii="Times New Roman" w:hAnsi="Times New Roman" w:cs="Times New Roman"/>
          <w:noProof/>
          <w:sz w:val="24"/>
          <w:szCs w:val="24"/>
          <w:lang w:val="en-IE"/>
        </w:rPr>
        <w:t>.</w:t>
      </w:r>
    </w:p>
    <w:p w14:paraId="639C3F3D" w14:textId="5CB350CA" w:rsidR="001B0F6C" w:rsidRPr="00532C20" w:rsidRDefault="0003369E" w:rsidP="00A02C82">
      <w:pPr>
        <w:pBdr>
          <w:top w:val="nil"/>
          <w:left w:val="nil"/>
          <w:bottom w:val="nil"/>
          <w:right w:val="nil"/>
          <w:between w:val="nil"/>
          <w:bar w:val="nil"/>
        </w:pBd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Similarly</w:t>
      </w:r>
      <w:r w:rsidR="004F513B" w:rsidRPr="00532C20">
        <w:rPr>
          <w:rFonts w:ascii="Times New Roman" w:hAnsi="Times New Roman" w:cs="Times New Roman"/>
          <w:noProof/>
          <w:sz w:val="24"/>
          <w:szCs w:val="24"/>
          <w:lang w:val="en-IE"/>
        </w:rPr>
        <w:t>,</w:t>
      </w:r>
      <w:r w:rsidR="00200A90" w:rsidRPr="00532C20">
        <w:rPr>
          <w:rFonts w:ascii="Times New Roman" w:hAnsi="Times New Roman" w:cs="Times New Roman"/>
          <w:noProof/>
          <w:sz w:val="24"/>
          <w:szCs w:val="24"/>
          <w:lang w:val="en-IE"/>
        </w:rPr>
        <w:t xml:space="preserve"> </w:t>
      </w:r>
      <w:r w:rsidR="00440195" w:rsidRPr="00532C20">
        <w:rPr>
          <w:rFonts w:ascii="Times New Roman" w:hAnsi="Times New Roman" w:cs="Times New Roman"/>
          <w:noProof/>
          <w:sz w:val="24"/>
          <w:szCs w:val="24"/>
          <w:lang w:val="en-IE"/>
        </w:rPr>
        <w:t xml:space="preserve">the provision of media services as defined in Article 2 of the </w:t>
      </w:r>
      <w:r w:rsidR="00440195" w:rsidRPr="00532C20">
        <w:rPr>
          <w:rFonts w:ascii="Times New Roman" w:hAnsi="Times New Roman" w:cs="Times New Roman"/>
          <w:b/>
          <w:bCs/>
          <w:noProof/>
          <w:sz w:val="24"/>
          <w:szCs w:val="24"/>
          <w:lang w:val="en-IE"/>
        </w:rPr>
        <w:t>proposal for a European Media Freedom Act</w:t>
      </w:r>
      <w:r w:rsidR="00367585" w:rsidRPr="00532C20">
        <w:rPr>
          <w:rFonts w:ascii="Times New Roman" w:hAnsi="Times New Roman" w:cs="Times New Roman"/>
          <w:b/>
          <w:bCs/>
          <w:noProof/>
          <w:sz w:val="24"/>
          <w:szCs w:val="24"/>
          <w:lang w:val="en-IE"/>
        </w:rPr>
        <w:t xml:space="preserve"> (EMFA)</w:t>
      </w:r>
      <w:r w:rsidR="00440195" w:rsidRPr="00532C20">
        <w:rPr>
          <w:rFonts w:ascii="Times New Roman" w:hAnsi="Times New Roman" w:cs="Times New Roman"/>
          <w:noProof/>
          <w:sz w:val="24"/>
          <w:szCs w:val="24"/>
          <w:vertAlign w:val="superscript"/>
          <w:lang w:val="en-IE"/>
        </w:rPr>
        <w:footnoteReference w:id="225"/>
      </w:r>
      <w:r w:rsidR="00440195" w:rsidRPr="00532C20">
        <w:rPr>
          <w:rFonts w:ascii="Times New Roman" w:hAnsi="Times New Roman" w:cs="Times New Roman"/>
          <w:noProof/>
          <w:sz w:val="24"/>
          <w:szCs w:val="24"/>
          <w:lang w:val="en-IE"/>
        </w:rPr>
        <w:t xml:space="preserve"> and the provision of audiovisual media services as defined in Article 1 of </w:t>
      </w:r>
      <w:r w:rsidR="00DA0B23" w:rsidRPr="00532C20">
        <w:rPr>
          <w:rFonts w:ascii="Times New Roman" w:hAnsi="Times New Roman" w:cs="Times New Roman"/>
          <w:noProof/>
          <w:sz w:val="24"/>
          <w:szCs w:val="24"/>
          <w:lang w:val="en-IE"/>
        </w:rPr>
        <w:t xml:space="preserve">the </w:t>
      </w:r>
      <w:r w:rsidR="00440195" w:rsidRPr="00532C20">
        <w:rPr>
          <w:rFonts w:ascii="Times New Roman" w:hAnsi="Times New Roman" w:cs="Times New Roman"/>
          <w:b/>
          <w:bCs/>
          <w:noProof/>
          <w:sz w:val="24"/>
          <w:szCs w:val="24"/>
          <w:lang w:val="en-IE"/>
        </w:rPr>
        <w:t>Audiovisual Media Services Directive</w:t>
      </w:r>
      <w:bookmarkStart w:id="1040" w:name="_Ref147914967"/>
      <w:r w:rsidR="00440195" w:rsidRPr="00532C20">
        <w:rPr>
          <w:rStyle w:val="FootnoteReference"/>
          <w:rFonts w:ascii="Times New Roman" w:hAnsi="Times New Roman" w:cs="Times New Roman"/>
          <w:noProof/>
          <w:sz w:val="24"/>
          <w:szCs w:val="24"/>
          <w:lang w:val="en-IE"/>
        </w:rPr>
        <w:footnoteReference w:id="226"/>
      </w:r>
      <w:bookmarkEnd w:id="1040"/>
      <w:r w:rsidR="00440195" w:rsidRPr="00532C20">
        <w:rPr>
          <w:rFonts w:ascii="Times New Roman" w:hAnsi="Times New Roman" w:cs="Times New Roman"/>
          <w:noProof/>
          <w:sz w:val="24"/>
          <w:szCs w:val="24"/>
          <w:lang w:val="en-IE"/>
        </w:rPr>
        <w:t xml:space="preserve"> would not fall within the scope of application of these policy options</w:t>
      </w:r>
      <w:r w:rsidR="00394909">
        <w:rPr>
          <w:rFonts w:ascii="Times New Roman" w:hAnsi="Times New Roman" w:cs="Times New Roman"/>
          <w:noProof/>
          <w:sz w:val="24"/>
          <w:szCs w:val="24"/>
          <w:lang w:val="en-IE"/>
        </w:rPr>
        <w:t>.</w:t>
      </w:r>
      <w:r w:rsidR="00440195" w:rsidRPr="00532C20">
        <w:rPr>
          <w:rFonts w:ascii="Times New Roman" w:hAnsi="Times New Roman" w:cs="Times New Roman"/>
          <w:noProof/>
          <w:sz w:val="24"/>
          <w:szCs w:val="24"/>
          <w:lang w:val="en-IE"/>
        </w:rPr>
        <w:t xml:space="preserve"> </w:t>
      </w:r>
      <w:r w:rsidR="00394909">
        <w:rPr>
          <w:rFonts w:ascii="Times New Roman" w:hAnsi="Times New Roman" w:cs="Times New Roman"/>
          <w:noProof/>
          <w:sz w:val="24"/>
          <w:szCs w:val="24"/>
          <w:lang w:val="en-IE"/>
        </w:rPr>
        <w:t>However,</w:t>
      </w:r>
      <w:r w:rsidR="00440195" w:rsidRPr="00532C20">
        <w:rPr>
          <w:rFonts w:ascii="Times New Roman" w:hAnsi="Times New Roman" w:cs="Times New Roman"/>
          <w:noProof/>
          <w:sz w:val="24"/>
          <w:szCs w:val="24"/>
          <w:lang w:val="en-IE"/>
        </w:rPr>
        <w:t xml:space="preserve"> interest representation activities carried out on behalf of third country entities</w:t>
      </w:r>
      <w:r w:rsidR="00AE543A">
        <w:rPr>
          <w:rFonts w:ascii="Times New Roman" w:hAnsi="Times New Roman" w:cs="Times New Roman"/>
          <w:noProof/>
          <w:sz w:val="24"/>
          <w:szCs w:val="24"/>
          <w:lang w:val="en-IE"/>
        </w:rPr>
        <w:t xml:space="preserve"> by media service providers would</w:t>
      </w:r>
      <w:r w:rsidR="00440195" w:rsidRPr="00532C20">
        <w:rPr>
          <w:rFonts w:ascii="Times New Roman" w:hAnsi="Times New Roman" w:cs="Times New Roman"/>
          <w:noProof/>
          <w:sz w:val="24"/>
          <w:szCs w:val="24"/>
          <w:lang w:val="en-IE"/>
        </w:rPr>
        <w:t xml:space="preserve">. </w:t>
      </w:r>
      <w:r w:rsidR="00566611" w:rsidRPr="00532C20">
        <w:rPr>
          <w:rFonts w:ascii="Times New Roman" w:hAnsi="Times New Roman" w:cs="Times New Roman"/>
          <w:noProof/>
          <w:sz w:val="24"/>
          <w:szCs w:val="24"/>
          <w:lang w:val="en-IE"/>
        </w:rPr>
        <w:t>W</w:t>
      </w:r>
      <w:r w:rsidR="004736ED" w:rsidRPr="00532C20">
        <w:rPr>
          <w:rFonts w:ascii="Times New Roman" w:hAnsi="Times New Roman" w:cs="Times New Roman"/>
          <w:noProof/>
          <w:sz w:val="24"/>
          <w:szCs w:val="24"/>
          <w:lang w:val="en-IE"/>
        </w:rPr>
        <w:t>here media service providers or video-sharing platform providers</w:t>
      </w:r>
      <w:r w:rsidR="00641492" w:rsidRPr="00532C20">
        <w:rPr>
          <w:rFonts w:ascii="Times New Roman" w:hAnsi="Times New Roman" w:cs="Times New Roman"/>
          <w:noProof/>
          <w:sz w:val="24"/>
          <w:szCs w:val="24"/>
          <w:lang w:val="en-IE"/>
        </w:rPr>
        <w:t xml:space="preserve"> </w:t>
      </w:r>
      <w:r w:rsidR="004736ED" w:rsidRPr="00532C20">
        <w:rPr>
          <w:rFonts w:ascii="Times New Roman" w:hAnsi="Times New Roman" w:cs="Times New Roman"/>
          <w:noProof/>
          <w:sz w:val="24"/>
          <w:szCs w:val="24"/>
          <w:lang w:val="en-IE"/>
        </w:rPr>
        <w:t>disseminate advertisements as a service for entities carrying out interest representation activities on behalf of third countries, the</w:t>
      </w:r>
      <w:r w:rsidR="00F20CD2" w:rsidRPr="00532C20">
        <w:rPr>
          <w:rFonts w:ascii="Times New Roman" w:hAnsi="Times New Roman" w:cs="Times New Roman"/>
          <w:noProof/>
          <w:sz w:val="24"/>
          <w:szCs w:val="24"/>
          <w:lang w:val="en-IE"/>
        </w:rPr>
        <w:t>se</w:t>
      </w:r>
      <w:r w:rsidR="004736ED" w:rsidRPr="00532C20">
        <w:rPr>
          <w:rFonts w:ascii="Times New Roman" w:hAnsi="Times New Roman" w:cs="Times New Roman"/>
          <w:noProof/>
          <w:sz w:val="24"/>
          <w:szCs w:val="24"/>
          <w:lang w:val="en-IE"/>
        </w:rPr>
        <w:t xml:space="preserve"> policy option</w:t>
      </w:r>
      <w:r w:rsidR="00F20CD2" w:rsidRPr="00532C20">
        <w:rPr>
          <w:rFonts w:ascii="Times New Roman" w:hAnsi="Times New Roman" w:cs="Times New Roman"/>
          <w:noProof/>
          <w:sz w:val="24"/>
          <w:szCs w:val="24"/>
          <w:lang w:val="en-IE"/>
        </w:rPr>
        <w:t>s</w:t>
      </w:r>
      <w:r w:rsidR="004736ED" w:rsidRPr="00532C20">
        <w:rPr>
          <w:rFonts w:ascii="Times New Roman" w:hAnsi="Times New Roman" w:cs="Times New Roman"/>
          <w:noProof/>
          <w:sz w:val="24"/>
          <w:szCs w:val="24"/>
          <w:lang w:val="en-IE"/>
        </w:rPr>
        <w:t xml:space="preserve"> would provide that </w:t>
      </w:r>
      <w:r w:rsidR="004736ED" w:rsidRPr="00532C20">
        <w:rPr>
          <w:rFonts w:ascii="Times New Roman" w:eastAsia="Arial Unicode MS" w:hAnsi="Times New Roman" w:cs="Times New Roman"/>
          <w:noProof/>
          <w:sz w:val="24"/>
          <w:szCs w:val="24"/>
          <w:lang w:val="en-IE"/>
        </w:rPr>
        <w:t>such media service providers</w:t>
      </w:r>
      <w:r w:rsidR="004736ED" w:rsidRPr="00532C20">
        <w:rPr>
          <w:rFonts w:ascii="Times New Roman" w:hAnsi="Times New Roman" w:cs="Times New Roman"/>
          <w:noProof/>
          <w:sz w:val="24"/>
          <w:szCs w:val="24"/>
          <w:lang w:val="en-IE"/>
        </w:rPr>
        <w:t xml:space="preserve"> should be named in the registration of the entity, and the relevant costs should be included in the amount of remuneration declared. </w:t>
      </w:r>
      <w:r w:rsidR="00A02C82" w:rsidRPr="00532C20">
        <w:rPr>
          <w:rFonts w:ascii="Times New Roman" w:hAnsi="Times New Roman" w:cs="Times New Roman"/>
          <w:noProof/>
          <w:sz w:val="24"/>
          <w:szCs w:val="24"/>
          <w:lang w:val="en-IE"/>
        </w:rPr>
        <w:t>Just like for providers of online platform</w:t>
      </w:r>
      <w:r w:rsidR="005E7B8D" w:rsidRPr="00532C20">
        <w:rPr>
          <w:rFonts w:ascii="Times New Roman" w:hAnsi="Times New Roman" w:cs="Times New Roman"/>
          <w:noProof/>
          <w:sz w:val="24"/>
          <w:szCs w:val="24"/>
          <w:lang w:val="en-IE"/>
        </w:rPr>
        <w:t>s</w:t>
      </w:r>
      <w:r w:rsidR="004736ED" w:rsidRPr="00532C20">
        <w:rPr>
          <w:rFonts w:ascii="Times New Roman" w:hAnsi="Times New Roman" w:cs="Times New Roman"/>
          <w:noProof/>
          <w:sz w:val="24"/>
          <w:szCs w:val="24"/>
          <w:lang w:val="en-IE"/>
        </w:rPr>
        <w:t>, th</w:t>
      </w:r>
      <w:r w:rsidR="00A02C82" w:rsidRPr="00532C20">
        <w:rPr>
          <w:rFonts w:ascii="Times New Roman" w:hAnsi="Times New Roman" w:cs="Times New Roman"/>
          <w:noProof/>
          <w:sz w:val="24"/>
          <w:szCs w:val="24"/>
          <w:lang w:val="en-IE"/>
        </w:rPr>
        <w:t>ese</w:t>
      </w:r>
      <w:r w:rsidR="004736ED" w:rsidRPr="00532C20">
        <w:rPr>
          <w:rFonts w:ascii="Times New Roman" w:hAnsi="Times New Roman" w:cs="Times New Roman"/>
          <w:noProof/>
          <w:sz w:val="24"/>
          <w:szCs w:val="24"/>
          <w:lang w:val="en-IE"/>
        </w:rPr>
        <w:t xml:space="preserve"> policy option</w:t>
      </w:r>
      <w:r w:rsidR="00A02C82" w:rsidRPr="00532C20">
        <w:rPr>
          <w:rFonts w:ascii="Times New Roman" w:hAnsi="Times New Roman" w:cs="Times New Roman"/>
          <w:noProof/>
          <w:sz w:val="24"/>
          <w:szCs w:val="24"/>
          <w:lang w:val="en-IE"/>
        </w:rPr>
        <w:t>s</w:t>
      </w:r>
      <w:r w:rsidR="004736ED" w:rsidRPr="00532C20">
        <w:rPr>
          <w:rFonts w:ascii="Times New Roman" w:hAnsi="Times New Roman" w:cs="Times New Roman"/>
          <w:noProof/>
          <w:sz w:val="24"/>
          <w:szCs w:val="24"/>
          <w:lang w:val="en-IE"/>
        </w:rPr>
        <w:t xml:space="preserve"> would </w:t>
      </w:r>
      <w:r w:rsidR="00A02C82" w:rsidRPr="00532C20">
        <w:rPr>
          <w:rFonts w:ascii="Times New Roman" w:hAnsi="Times New Roman" w:cs="Times New Roman"/>
          <w:i/>
          <w:iCs/>
          <w:noProof/>
          <w:sz w:val="24"/>
          <w:szCs w:val="24"/>
          <w:lang w:val="en-IE"/>
        </w:rPr>
        <w:t>a priori</w:t>
      </w:r>
      <w:r w:rsidR="00A02C82" w:rsidRPr="00532C20">
        <w:rPr>
          <w:rFonts w:ascii="Times New Roman" w:hAnsi="Times New Roman" w:cs="Times New Roman"/>
          <w:noProof/>
          <w:sz w:val="24"/>
          <w:szCs w:val="24"/>
          <w:lang w:val="en-IE"/>
        </w:rPr>
        <w:t xml:space="preserve"> not</w:t>
      </w:r>
      <w:r w:rsidR="004736ED" w:rsidRPr="00532C20">
        <w:rPr>
          <w:rFonts w:ascii="Times New Roman" w:hAnsi="Times New Roman" w:cs="Times New Roman"/>
          <w:noProof/>
          <w:sz w:val="24"/>
          <w:szCs w:val="24"/>
          <w:lang w:val="en-IE"/>
        </w:rPr>
        <w:t xml:space="preserve"> impose requirements on </w:t>
      </w:r>
      <w:r w:rsidR="00A02C82" w:rsidRPr="00532C20">
        <w:rPr>
          <w:rFonts w:ascii="Times New Roman" w:hAnsi="Times New Roman" w:cs="Times New Roman"/>
          <w:noProof/>
          <w:sz w:val="24"/>
          <w:szCs w:val="24"/>
          <w:lang w:val="en-IE"/>
        </w:rPr>
        <w:t xml:space="preserve">media service providers or video-sharing platform providers. </w:t>
      </w:r>
    </w:p>
    <w:p w14:paraId="49C001C6" w14:textId="429881ED" w:rsidR="00AF23B5" w:rsidRPr="00532C20" w:rsidRDefault="001B0F6C" w:rsidP="001B0F6C">
      <w:pPr>
        <w:pBdr>
          <w:top w:val="nil"/>
          <w:left w:val="nil"/>
          <w:bottom w:val="nil"/>
          <w:right w:val="nil"/>
          <w:between w:val="nil"/>
          <w:bar w:val="nil"/>
        </w:pBd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In the rare cases</w:t>
      </w:r>
      <w:r w:rsidR="00A02C82" w:rsidRPr="00532C20">
        <w:rPr>
          <w:rFonts w:ascii="Times New Roman" w:hAnsi="Times New Roman" w:cs="Times New Roman"/>
          <w:noProof/>
          <w:sz w:val="24"/>
          <w:szCs w:val="24"/>
          <w:lang w:val="en-IE"/>
        </w:rPr>
        <w:t xml:space="preserve"> where a media service provider itself carries out interest representation activities on </w:t>
      </w:r>
      <w:r w:rsidR="00A02C82" w:rsidRPr="00532C20">
        <w:rPr>
          <w:rFonts w:ascii="Times New Roman" w:eastAsia="Times New Roman" w:hAnsi="Times New Roman" w:cs="Times New Roman"/>
          <w:noProof/>
          <w:sz w:val="24"/>
          <w:szCs w:val="24"/>
          <w:lang w:val="en-IE"/>
        </w:rPr>
        <w:t>behalf of</w:t>
      </w:r>
      <w:r w:rsidR="00A02C82" w:rsidRPr="00532C20">
        <w:rPr>
          <w:rFonts w:ascii="Times New Roman" w:hAnsi="Times New Roman" w:cs="Times New Roman"/>
          <w:noProof/>
          <w:sz w:val="24"/>
          <w:szCs w:val="24"/>
          <w:lang w:val="en-IE"/>
        </w:rPr>
        <w:t xml:space="preserve"> </w:t>
      </w:r>
      <w:r w:rsidRPr="00532C20">
        <w:rPr>
          <w:rFonts w:ascii="Times New Roman" w:hAnsi="Times New Roman" w:cs="Times New Roman"/>
          <w:noProof/>
          <w:sz w:val="24"/>
          <w:szCs w:val="24"/>
          <w:lang w:val="en-IE"/>
        </w:rPr>
        <w:t xml:space="preserve">a </w:t>
      </w:r>
      <w:r w:rsidR="00A02C82" w:rsidRPr="00532C20">
        <w:rPr>
          <w:rFonts w:ascii="Times New Roman" w:hAnsi="Times New Roman" w:cs="Times New Roman"/>
          <w:noProof/>
          <w:sz w:val="24"/>
          <w:szCs w:val="24"/>
          <w:lang w:val="en-IE"/>
        </w:rPr>
        <w:t>third countr</w:t>
      </w:r>
      <w:r w:rsidRPr="00532C20">
        <w:rPr>
          <w:rFonts w:ascii="Times New Roman" w:hAnsi="Times New Roman" w:cs="Times New Roman"/>
          <w:noProof/>
          <w:sz w:val="24"/>
          <w:szCs w:val="24"/>
          <w:lang w:val="en-IE"/>
        </w:rPr>
        <w:t>y entity</w:t>
      </w:r>
      <w:r w:rsidR="00A02C82" w:rsidRPr="00532C20">
        <w:rPr>
          <w:rFonts w:ascii="Times New Roman" w:hAnsi="Times New Roman" w:cs="Times New Roman"/>
          <w:noProof/>
          <w:sz w:val="24"/>
          <w:szCs w:val="24"/>
          <w:lang w:val="en-IE"/>
        </w:rPr>
        <w:t>, it would be subject to the requirements of the policy options</w:t>
      </w:r>
      <w:r w:rsidR="00A02C82" w:rsidRPr="00532C20">
        <w:rPr>
          <w:rFonts w:ascii="Times New Roman" w:eastAsia="Arial Unicode MS" w:hAnsi="Times New Roman" w:cs="Times New Roman"/>
          <w:noProof/>
          <w:sz w:val="24"/>
          <w:szCs w:val="24"/>
          <w:lang w:val="en-IE"/>
        </w:rPr>
        <w:t>.</w:t>
      </w:r>
      <w:r w:rsidR="00A02C82" w:rsidRPr="00532C20">
        <w:rPr>
          <w:rFonts w:ascii="Times New Roman" w:hAnsi="Times New Roman" w:cs="Times New Roman"/>
          <w:noProof/>
          <w:sz w:val="24"/>
          <w:szCs w:val="24"/>
          <w:lang w:val="en-IE"/>
        </w:rPr>
        <w:t xml:space="preserve"> </w:t>
      </w:r>
      <w:r w:rsidRPr="00532C20">
        <w:rPr>
          <w:rFonts w:ascii="Times New Roman" w:hAnsi="Times New Roman" w:cs="Times New Roman"/>
          <w:noProof/>
          <w:sz w:val="24"/>
          <w:szCs w:val="24"/>
          <w:lang w:val="en-IE"/>
        </w:rPr>
        <w:t>The information to be provided would be complementary</w:t>
      </w:r>
      <w:r w:rsidR="00C20D9D" w:rsidRPr="00532C20">
        <w:rPr>
          <w:rFonts w:ascii="Times New Roman" w:eastAsia="Arial Unicode MS" w:hAnsi="Times New Roman" w:cs="Times New Roman"/>
          <w:noProof/>
          <w:sz w:val="24"/>
          <w:szCs w:val="24"/>
          <w:lang w:val="en-IE"/>
        </w:rPr>
        <w:t>.</w:t>
      </w:r>
      <w:r w:rsidR="00C2200E" w:rsidRPr="00532C20">
        <w:rPr>
          <w:rFonts w:ascii="Times New Roman" w:eastAsia="Arial Unicode MS" w:hAnsi="Times New Roman" w:cs="Times New Roman"/>
          <w:noProof/>
          <w:sz w:val="24"/>
          <w:szCs w:val="24"/>
          <w:lang w:val="en-IE"/>
        </w:rPr>
        <w:t xml:space="preserve"> </w:t>
      </w:r>
      <w:r w:rsidR="00C20D9D" w:rsidRPr="00532C20">
        <w:rPr>
          <w:rFonts w:ascii="Times New Roman" w:eastAsia="Arial Unicode MS" w:hAnsi="Times New Roman" w:cs="Times New Roman"/>
          <w:noProof/>
          <w:sz w:val="24"/>
          <w:szCs w:val="24"/>
          <w:lang w:val="en-IE"/>
        </w:rPr>
        <w:t>W</w:t>
      </w:r>
      <w:r w:rsidR="00664447" w:rsidRPr="00532C20">
        <w:rPr>
          <w:rFonts w:ascii="Times New Roman" w:eastAsia="Arial Unicode MS" w:hAnsi="Times New Roman" w:cs="Times New Roman"/>
          <w:noProof/>
          <w:sz w:val="24"/>
          <w:szCs w:val="24"/>
          <w:lang w:val="en-IE"/>
        </w:rPr>
        <w:t>hile</w:t>
      </w:r>
      <w:r w:rsidR="00C2200E" w:rsidRPr="00532C20">
        <w:rPr>
          <w:rFonts w:ascii="Times New Roman" w:hAnsi="Times New Roman" w:cs="Times New Roman"/>
          <w:noProof/>
          <w:sz w:val="24"/>
          <w:szCs w:val="24"/>
          <w:lang w:val="en-IE"/>
        </w:rPr>
        <w:t xml:space="preserve"> the </w:t>
      </w:r>
      <w:r w:rsidR="00367585" w:rsidRPr="00532C20">
        <w:rPr>
          <w:rFonts w:ascii="Times New Roman" w:hAnsi="Times New Roman" w:cs="Times New Roman"/>
          <w:noProof/>
          <w:sz w:val="24"/>
          <w:szCs w:val="24"/>
          <w:lang w:val="en-IE"/>
        </w:rPr>
        <w:t>EMFA</w:t>
      </w:r>
      <w:r w:rsidR="00C2200E" w:rsidRPr="00532C20">
        <w:rPr>
          <w:rFonts w:ascii="Times New Roman" w:hAnsi="Times New Roman" w:cs="Times New Roman"/>
          <w:noProof/>
          <w:sz w:val="24"/>
          <w:szCs w:val="24"/>
          <w:lang w:val="en-IE"/>
        </w:rPr>
        <w:t xml:space="preserve"> </w:t>
      </w:r>
      <w:r w:rsidR="00664447" w:rsidRPr="00532C20">
        <w:rPr>
          <w:rFonts w:ascii="Times New Roman" w:hAnsi="Times New Roman" w:cs="Times New Roman"/>
          <w:noProof/>
          <w:sz w:val="24"/>
          <w:szCs w:val="24"/>
          <w:lang w:val="en-IE"/>
        </w:rPr>
        <w:t>would provide information on the beneficial owner of a media service provider</w:t>
      </w:r>
      <w:r w:rsidR="00E55BDA" w:rsidRPr="00532C20">
        <w:rPr>
          <w:noProof/>
        </w:rPr>
        <w:t xml:space="preserve"> </w:t>
      </w:r>
      <w:r w:rsidR="00E55BDA" w:rsidRPr="00532C20">
        <w:rPr>
          <w:rFonts w:ascii="Times New Roman" w:hAnsi="Times New Roman" w:cs="Times New Roman"/>
          <w:noProof/>
          <w:sz w:val="24"/>
          <w:szCs w:val="24"/>
          <w:lang w:val="en-IE"/>
        </w:rPr>
        <w:t>providing news and current affairs</w:t>
      </w:r>
      <w:r w:rsidR="00664447" w:rsidRPr="00532C20">
        <w:rPr>
          <w:rFonts w:ascii="Times New Roman" w:hAnsi="Times New Roman" w:cs="Times New Roman"/>
          <w:noProof/>
          <w:sz w:val="24"/>
          <w:szCs w:val="24"/>
          <w:lang w:val="en-IE"/>
        </w:rPr>
        <w:t>, these two policy options</w:t>
      </w:r>
      <w:r w:rsidR="00A226DA" w:rsidRPr="00532C20">
        <w:rPr>
          <w:rFonts w:ascii="Times New Roman" w:hAnsi="Times New Roman" w:cs="Times New Roman"/>
          <w:noProof/>
          <w:sz w:val="24"/>
          <w:szCs w:val="24"/>
          <w:lang w:val="en-IE"/>
        </w:rPr>
        <w:t xml:space="preserve"> would provide information on </w:t>
      </w:r>
      <w:r w:rsidR="00664447" w:rsidRPr="00532C20">
        <w:rPr>
          <w:rFonts w:ascii="Times New Roman" w:hAnsi="Times New Roman" w:cs="Times New Roman"/>
          <w:noProof/>
          <w:sz w:val="24"/>
          <w:szCs w:val="24"/>
          <w:lang w:val="en-IE"/>
        </w:rPr>
        <w:t>the entity on whose behalf the interest representation is carried out.</w:t>
      </w:r>
    </w:p>
    <w:p w14:paraId="30993416" w14:textId="3A9350AA" w:rsidR="00AF23B5" w:rsidRPr="00532C20" w:rsidRDefault="00FC7911" w:rsidP="002D209C">
      <w:pPr>
        <w:pStyle w:val="ListParagraph"/>
        <w:spacing w:after="120"/>
        <w:ind w:left="0"/>
        <w:contextualSpacing w:val="0"/>
        <w:jc w:val="both"/>
        <w:textAlignment w:val="baseline"/>
        <w:rPr>
          <w:rFonts w:ascii="Times New Roman" w:hAnsi="Times New Roman" w:cs="Times New Roman"/>
          <w:noProof/>
          <w:lang w:val="en-IE"/>
        </w:rPr>
      </w:pPr>
      <w:r w:rsidRPr="00532C20">
        <w:rPr>
          <w:rFonts w:ascii="Times New Roman" w:hAnsi="Times New Roman" w:cs="Times New Roman"/>
          <w:noProof/>
          <w:lang w:val="en-IE"/>
        </w:rPr>
        <w:t>T</w:t>
      </w:r>
      <w:r w:rsidR="00AF23B5" w:rsidRPr="00532C20">
        <w:rPr>
          <w:rFonts w:ascii="Times New Roman" w:hAnsi="Times New Roman" w:cs="Times New Roman"/>
          <w:noProof/>
          <w:lang w:val="en-IE"/>
        </w:rPr>
        <w:t xml:space="preserve">he </w:t>
      </w:r>
      <w:r w:rsidR="001B0F6C" w:rsidRPr="00532C20">
        <w:rPr>
          <w:rFonts w:ascii="Times New Roman" w:hAnsi="Times New Roman" w:cs="Times New Roman"/>
          <w:noProof/>
          <w:lang w:val="en-IE"/>
        </w:rPr>
        <w:t>proposed</w:t>
      </w:r>
      <w:r w:rsidR="001B0F6C" w:rsidRPr="00532C20" w:rsidDel="00C864A2">
        <w:rPr>
          <w:rFonts w:ascii="Times New Roman" w:hAnsi="Times New Roman" w:cs="Times New Roman"/>
          <w:noProof/>
          <w:lang w:val="en-IE"/>
        </w:rPr>
        <w:t xml:space="preserve"> </w:t>
      </w:r>
      <w:r w:rsidR="001B0F6C" w:rsidRPr="00532C20">
        <w:rPr>
          <w:rFonts w:ascii="Times New Roman" w:hAnsi="Times New Roman" w:cs="Times New Roman"/>
          <w:b/>
          <w:bCs/>
          <w:noProof/>
          <w:lang w:val="en-IE"/>
        </w:rPr>
        <w:t>Directive</w:t>
      </w:r>
      <w:r w:rsidR="00C864A2">
        <w:rPr>
          <w:rFonts w:ascii="Times New Roman" w:hAnsi="Times New Roman" w:cs="Times New Roman"/>
          <w:b/>
          <w:bCs/>
          <w:noProof/>
          <w:lang w:val="en-IE"/>
        </w:rPr>
        <w:t xml:space="preserve"> on combating corruption</w:t>
      </w:r>
      <w:r w:rsidRPr="00532C20">
        <w:rPr>
          <w:rStyle w:val="FootnoteReference"/>
          <w:rFonts w:ascii="Times New Roman" w:hAnsi="Times New Roman" w:cs="Times New Roman"/>
          <w:noProof/>
          <w:lang w:val="en-IE"/>
        </w:rPr>
        <w:footnoteReference w:id="227"/>
      </w:r>
      <w:r w:rsidR="0046482D" w:rsidRPr="00532C20">
        <w:rPr>
          <w:rFonts w:ascii="Times New Roman" w:hAnsi="Times New Roman" w:cs="Times New Roman"/>
          <w:noProof/>
          <w:lang w:val="en-IE"/>
        </w:rPr>
        <w:t xml:space="preserve"> </w:t>
      </w:r>
      <w:r w:rsidR="009726D2" w:rsidRPr="004A081B">
        <w:rPr>
          <w:noProof/>
          <w:lang w:val="en-IE"/>
        </w:rPr>
        <w:t xml:space="preserve">seeks to protect democracy as well as society from the impact of corruption and </w:t>
      </w:r>
      <w:r w:rsidR="009726D2">
        <w:rPr>
          <w:noProof/>
          <w:lang w:val="en-IE"/>
        </w:rPr>
        <w:t>proposes updating the Union criminal legal framework to include</w:t>
      </w:r>
      <w:r w:rsidR="009726D2" w:rsidRPr="004A081B">
        <w:rPr>
          <w:noProof/>
          <w:lang w:val="en-IE"/>
        </w:rPr>
        <w:t xml:space="preserve"> </w:t>
      </w:r>
      <w:r w:rsidR="009726D2">
        <w:rPr>
          <w:noProof/>
          <w:lang w:val="en-IE"/>
        </w:rPr>
        <w:t xml:space="preserve">beyond </w:t>
      </w:r>
      <w:r w:rsidR="009726D2" w:rsidRPr="004A081B">
        <w:rPr>
          <w:noProof/>
          <w:lang w:val="en-IE"/>
        </w:rPr>
        <w:t>the offences of bribery</w:t>
      </w:r>
      <w:r w:rsidR="009726D2">
        <w:rPr>
          <w:noProof/>
          <w:lang w:val="en-IE"/>
        </w:rPr>
        <w:t xml:space="preserve"> and</w:t>
      </w:r>
      <w:r w:rsidR="009726D2" w:rsidRPr="004A081B">
        <w:rPr>
          <w:noProof/>
          <w:lang w:val="en-IE"/>
        </w:rPr>
        <w:t xml:space="preserve"> misappropriation, </w:t>
      </w:r>
      <w:r w:rsidR="009726D2">
        <w:rPr>
          <w:noProof/>
          <w:lang w:val="en-IE"/>
        </w:rPr>
        <w:t xml:space="preserve">also </w:t>
      </w:r>
      <w:r w:rsidR="009726D2" w:rsidRPr="004A081B">
        <w:rPr>
          <w:noProof/>
          <w:lang w:val="en-IE"/>
        </w:rPr>
        <w:t xml:space="preserve">trading in influence, abuse of functions, obstruction of justice, </w:t>
      </w:r>
      <w:r w:rsidR="009726D2">
        <w:rPr>
          <w:noProof/>
          <w:lang w:val="en-IE"/>
        </w:rPr>
        <w:t xml:space="preserve">and </w:t>
      </w:r>
      <w:r w:rsidR="009726D2" w:rsidRPr="004A081B">
        <w:rPr>
          <w:noProof/>
          <w:lang w:val="en-IE"/>
        </w:rPr>
        <w:t xml:space="preserve">enrichment </w:t>
      </w:r>
      <w:r w:rsidR="0044171A">
        <w:rPr>
          <w:noProof/>
          <w:lang w:val="en-IE"/>
        </w:rPr>
        <w:t>from</w:t>
      </w:r>
      <w:r w:rsidR="0044171A" w:rsidRPr="004A081B">
        <w:rPr>
          <w:noProof/>
          <w:lang w:val="en-IE"/>
        </w:rPr>
        <w:t xml:space="preserve"> </w:t>
      </w:r>
      <w:r w:rsidR="009726D2" w:rsidRPr="004A081B">
        <w:rPr>
          <w:noProof/>
          <w:lang w:val="en-IE"/>
        </w:rPr>
        <w:t>corruption</w:t>
      </w:r>
      <w:r w:rsidR="009726D2">
        <w:rPr>
          <w:noProof/>
          <w:lang w:val="en-IE"/>
        </w:rPr>
        <w:t>. When</w:t>
      </w:r>
      <w:r w:rsidR="009726D2" w:rsidRPr="004A081B">
        <w:rPr>
          <w:noProof/>
          <w:lang w:val="en-IE"/>
        </w:rPr>
        <w:t xml:space="preserve"> the offender committed these offences for the benefit of a third country</w:t>
      </w:r>
      <w:r w:rsidR="009726D2">
        <w:rPr>
          <w:noProof/>
          <w:lang w:val="en-IE"/>
        </w:rPr>
        <w:t>, the proposed Directive wants Member States to consider this an aggravating circumstance.</w:t>
      </w:r>
      <w:r w:rsidR="009726D2" w:rsidRPr="004A081B">
        <w:rPr>
          <w:noProof/>
          <w:lang w:val="en-IE"/>
        </w:rPr>
        <w:t xml:space="preserve"> </w:t>
      </w:r>
      <w:r w:rsidR="009B700E" w:rsidRPr="00532C20">
        <w:rPr>
          <w:rFonts w:ascii="Times New Roman" w:hAnsi="Times New Roman" w:cs="Times New Roman"/>
          <w:noProof/>
          <w:lang w:val="en-IE"/>
        </w:rPr>
        <w:t xml:space="preserve">The policy options would complement this proposal as the transparency of </w:t>
      </w:r>
      <w:r w:rsidR="008A557E" w:rsidRPr="00532C20">
        <w:rPr>
          <w:rFonts w:ascii="Times New Roman" w:hAnsi="Times New Roman" w:cs="Times New Roman"/>
          <w:noProof/>
          <w:lang w:val="en-IE"/>
        </w:rPr>
        <w:t>interest</w:t>
      </w:r>
      <w:r w:rsidR="009B700E" w:rsidRPr="00532C20">
        <w:rPr>
          <w:rFonts w:ascii="Times New Roman" w:hAnsi="Times New Roman" w:cs="Times New Roman"/>
          <w:noProof/>
          <w:lang w:val="en-IE"/>
        </w:rPr>
        <w:t xml:space="preserve"> representation </w:t>
      </w:r>
      <w:r w:rsidR="00A768A7" w:rsidRPr="00532C20">
        <w:rPr>
          <w:rFonts w:ascii="Times New Roman" w:hAnsi="Times New Roman" w:cs="Times New Roman"/>
          <w:noProof/>
          <w:lang w:val="en-IE"/>
        </w:rPr>
        <w:t>activities on behalf of third countr</w:t>
      </w:r>
      <w:r w:rsidR="008A557E" w:rsidRPr="00532C20">
        <w:rPr>
          <w:rFonts w:ascii="Times New Roman" w:hAnsi="Times New Roman" w:cs="Times New Roman"/>
          <w:noProof/>
          <w:lang w:val="en-IE"/>
        </w:rPr>
        <w:t>y entities</w:t>
      </w:r>
      <w:r w:rsidR="00047171" w:rsidRPr="00532C20">
        <w:rPr>
          <w:rFonts w:ascii="Times New Roman" w:hAnsi="Times New Roman" w:cs="Times New Roman"/>
          <w:noProof/>
          <w:lang w:val="en-IE"/>
        </w:rPr>
        <w:t xml:space="preserve"> </w:t>
      </w:r>
      <w:r w:rsidR="00AA62DA" w:rsidRPr="004A081B">
        <w:rPr>
          <w:noProof/>
          <w:lang w:val="en-IE"/>
        </w:rPr>
        <w:t xml:space="preserve">is </w:t>
      </w:r>
      <w:r w:rsidR="00AA62DA">
        <w:rPr>
          <w:noProof/>
          <w:lang w:val="en-IE"/>
        </w:rPr>
        <w:t xml:space="preserve">likewise </w:t>
      </w:r>
      <w:r w:rsidR="00AA62DA" w:rsidRPr="004A081B">
        <w:rPr>
          <w:noProof/>
          <w:lang w:val="en-IE"/>
        </w:rPr>
        <w:t>expected to make a positive contribution to the prevention and detection of corruption.</w:t>
      </w:r>
    </w:p>
    <w:p w14:paraId="65085175" w14:textId="36F3970D" w:rsidR="00FA1991" w:rsidRPr="00532C20" w:rsidRDefault="00B90CFD" w:rsidP="002D209C">
      <w:pPr>
        <w:spacing w:after="120" w:line="240" w:lineRule="auto"/>
        <w:jc w:val="both"/>
        <w:rPr>
          <w:rFonts w:ascii="Times New Roman" w:eastAsia="Arial Unicode MS" w:hAnsi="Times New Roman" w:cs="Times New Roman"/>
          <w:noProof/>
          <w:sz w:val="24"/>
          <w:szCs w:val="24"/>
        </w:rPr>
      </w:pPr>
      <w:r w:rsidRPr="00532C20">
        <w:rPr>
          <w:rFonts w:ascii="Times New Roman" w:eastAsia="Arial Unicode MS" w:hAnsi="Times New Roman" w:cs="Times New Roman"/>
          <w:noProof/>
          <w:sz w:val="24"/>
          <w:szCs w:val="24"/>
          <w:lang w:val="en-IE"/>
        </w:rPr>
        <w:t>These policy options are</w:t>
      </w:r>
      <w:r w:rsidR="00AF23B5" w:rsidRPr="00532C20">
        <w:rPr>
          <w:rFonts w:ascii="Times New Roman" w:eastAsia="Arial Unicode MS" w:hAnsi="Times New Roman" w:cs="Times New Roman"/>
          <w:noProof/>
          <w:sz w:val="24"/>
          <w:szCs w:val="24"/>
          <w:lang w:val="en-IE"/>
        </w:rPr>
        <w:t xml:space="preserve"> coherent with the annual </w:t>
      </w:r>
      <w:bookmarkStart w:id="1041" w:name="_Hlk146793361"/>
      <w:r w:rsidR="00AF23B5" w:rsidRPr="00532C20">
        <w:rPr>
          <w:rFonts w:ascii="Times New Roman" w:eastAsia="Arial Unicode MS" w:hAnsi="Times New Roman" w:cs="Times New Roman"/>
          <w:b/>
          <w:bCs/>
          <w:noProof/>
          <w:sz w:val="24"/>
          <w:szCs w:val="24"/>
          <w:lang w:val="en-IE"/>
        </w:rPr>
        <w:t>Rule of Law Reports</w:t>
      </w:r>
      <w:r w:rsidR="00CD5A98" w:rsidRPr="00532C20">
        <w:rPr>
          <w:rFonts w:ascii="Times New Roman" w:eastAsia="Arial Unicode MS" w:hAnsi="Times New Roman" w:cs="Times New Roman"/>
          <w:noProof/>
          <w:sz w:val="24"/>
          <w:szCs w:val="24"/>
          <w:vertAlign w:val="superscript"/>
          <w:lang w:val="en-IE"/>
        </w:rPr>
        <w:footnoteReference w:id="228"/>
      </w:r>
      <w:r w:rsidR="00AF23B5" w:rsidRPr="00532C20">
        <w:rPr>
          <w:rFonts w:ascii="Times New Roman" w:eastAsia="Arial Unicode MS" w:hAnsi="Times New Roman" w:cs="Times New Roman"/>
          <w:noProof/>
          <w:sz w:val="24"/>
          <w:szCs w:val="24"/>
          <w:lang w:val="en-IE"/>
        </w:rPr>
        <w:t xml:space="preserve"> of the Commission which, since 2020, monitor, under their anti-corruption pillar, the regulation of interest representation and lobbying in all Member States, within the framework of existing European and international standards. I</w:t>
      </w:r>
      <w:bookmarkEnd w:id="1041"/>
      <w:r w:rsidR="00FA1991" w:rsidRPr="00532C20">
        <w:rPr>
          <w:rFonts w:ascii="Times New Roman" w:eastAsia="Arial Unicode MS" w:hAnsi="Times New Roman" w:cs="Times New Roman"/>
          <w:noProof/>
          <w:sz w:val="24"/>
          <w:szCs w:val="24"/>
        </w:rPr>
        <w:t>t is recommended to Member States to have in place a footprint of rules for lobbying, and to secure a thorough and consistent application of similar rules to different types of lobbyists and lobbying activities</w:t>
      </w:r>
      <w:r w:rsidR="00FA1991" w:rsidRPr="00532C20">
        <w:rPr>
          <w:rFonts w:ascii="Times New Roman" w:eastAsia="Arial Unicode MS" w:hAnsi="Times New Roman" w:cs="Times New Roman"/>
          <w:noProof/>
          <w:sz w:val="24"/>
          <w:szCs w:val="24"/>
          <w:vertAlign w:val="superscript"/>
        </w:rPr>
        <w:footnoteReference w:id="229"/>
      </w:r>
      <w:r w:rsidR="00FA1991" w:rsidRPr="00532C20">
        <w:rPr>
          <w:rFonts w:ascii="Times New Roman" w:eastAsia="Arial Unicode MS" w:hAnsi="Times New Roman" w:cs="Times New Roman"/>
          <w:noProof/>
          <w:sz w:val="24"/>
          <w:szCs w:val="24"/>
        </w:rPr>
        <w:t>.</w:t>
      </w:r>
      <w:r w:rsidR="00643662" w:rsidRPr="00532C20">
        <w:rPr>
          <w:rFonts w:ascii="Times New Roman" w:eastAsia="Arial Unicode MS" w:hAnsi="Times New Roman" w:cs="Times New Roman"/>
          <w:noProof/>
          <w:sz w:val="24"/>
          <w:szCs w:val="24"/>
        </w:rPr>
        <w:t xml:space="preserve"> </w:t>
      </w:r>
    </w:p>
    <w:p w14:paraId="693622A1" w14:textId="31B949E1" w:rsidR="00643662" w:rsidRPr="00532C20" w:rsidRDefault="00643662" w:rsidP="00423A83">
      <w:pPr>
        <w:spacing w:after="120" w:line="240" w:lineRule="auto"/>
        <w:jc w:val="both"/>
        <w:textAlignment w:val="baseline"/>
        <w:rPr>
          <w:rFonts w:ascii="Times New Roman" w:eastAsia="Symbol" w:hAnsi="Times New Roman" w:cs="Times New Roman"/>
          <w:noProof/>
          <w:sz w:val="24"/>
          <w:szCs w:val="24"/>
          <w:lang w:val="en-IE"/>
        </w:rPr>
      </w:pPr>
      <w:r w:rsidRPr="00532C20">
        <w:rPr>
          <w:rFonts w:ascii="Times New Roman" w:eastAsia="Arial Unicode MS" w:hAnsi="Times New Roman" w:cs="Times New Roman"/>
          <w:noProof/>
          <w:sz w:val="24"/>
          <w:szCs w:val="24"/>
          <w:lang w:val="en-IE"/>
        </w:rPr>
        <w:t>These policy options are coherent with the</w:t>
      </w:r>
      <w:r w:rsidRPr="00532C20">
        <w:rPr>
          <w:rFonts w:ascii="Times New Roman" w:eastAsia="Symbol" w:hAnsi="Times New Roman" w:cs="Times New Roman"/>
          <w:b/>
          <w:noProof/>
          <w:sz w:val="24"/>
          <w:szCs w:val="24"/>
          <w:lang w:val="en-IE"/>
        </w:rPr>
        <w:t xml:space="preserve"> </w:t>
      </w:r>
      <w:r w:rsidRPr="00532C20">
        <w:rPr>
          <w:rFonts w:ascii="Times New Roman" w:eastAsia="Symbol" w:hAnsi="Times New Roman" w:cs="Times New Roman"/>
          <w:noProof/>
          <w:sz w:val="24"/>
          <w:szCs w:val="24"/>
          <w:lang w:val="en-IE"/>
        </w:rPr>
        <w:t xml:space="preserve">proposal for a </w:t>
      </w:r>
      <w:r w:rsidRPr="00532C20">
        <w:rPr>
          <w:rFonts w:ascii="Times New Roman" w:eastAsia="Symbol" w:hAnsi="Times New Roman" w:cs="Times New Roman"/>
          <w:b/>
          <w:noProof/>
          <w:sz w:val="24"/>
          <w:szCs w:val="24"/>
          <w:lang w:val="en-IE"/>
        </w:rPr>
        <w:t>revision of the Regulation on the funding of European political parties and European political foundations (EUPP/F)</w:t>
      </w:r>
      <w:r w:rsidRPr="00532C20">
        <w:rPr>
          <w:rStyle w:val="FootnoteReference"/>
          <w:rFonts w:ascii="Times New Roman" w:eastAsia="Symbol" w:hAnsi="Times New Roman" w:cs="Times New Roman"/>
          <w:bCs/>
          <w:noProof/>
          <w:sz w:val="24"/>
          <w:szCs w:val="24"/>
          <w:lang w:val="en-IE"/>
        </w:rPr>
        <w:footnoteReference w:id="230"/>
      </w:r>
      <w:r w:rsidRPr="00532C20">
        <w:rPr>
          <w:rFonts w:ascii="Times New Roman" w:eastAsia="Symbol" w:hAnsi="Times New Roman" w:cs="Times New Roman"/>
          <w:noProof/>
          <w:sz w:val="24"/>
          <w:szCs w:val="24"/>
          <w:lang w:val="en-IE"/>
        </w:rPr>
        <w:t xml:space="preserve"> which are in ongoing negotiations. Depending on the outcome of the negotiations, the Regulation </w:t>
      </w:r>
      <w:r w:rsidR="00D23910" w:rsidRPr="00532C20">
        <w:rPr>
          <w:rFonts w:ascii="Times New Roman" w:eastAsia="Symbol" w:hAnsi="Times New Roman" w:cs="Times New Roman"/>
          <w:noProof/>
          <w:sz w:val="24"/>
          <w:szCs w:val="24"/>
          <w:lang w:val="en-IE"/>
        </w:rPr>
        <w:t>c</w:t>
      </w:r>
      <w:r w:rsidRPr="00532C20">
        <w:rPr>
          <w:rFonts w:ascii="Times New Roman" w:eastAsia="Symbol" w:hAnsi="Times New Roman" w:cs="Times New Roman"/>
          <w:noProof/>
          <w:sz w:val="24"/>
          <w:szCs w:val="24"/>
          <w:lang w:val="en-IE"/>
        </w:rPr>
        <w:t>ould ban all contribution</w:t>
      </w:r>
      <w:r w:rsidR="00B014B9">
        <w:rPr>
          <w:rFonts w:ascii="Times New Roman" w:eastAsia="Symbol" w:hAnsi="Times New Roman" w:cs="Times New Roman"/>
          <w:noProof/>
          <w:sz w:val="24"/>
          <w:szCs w:val="24"/>
          <w:lang w:val="en-IE"/>
        </w:rPr>
        <w:t>s</w:t>
      </w:r>
      <w:r w:rsidRPr="00532C20">
        <w:rPr>
          <w:rFonts w:ascii="Times New Roman" w:eastAsia="Symbol" w:hAnsi="Times New Roman" w:cs="Times New Roman"/>
          <w:noProof/>
          <w:sz w:val="24"/>
          <w:szCs w:val="24"/>
          <w:lang w:val="en-IE"/>
        </w:rPr>
        <w:t xml:space="preserve"> from third countries to European political </w:t>
      </w:r>
      <w:r w:rsidR="00144FA5" w:rsidRPr="00532C20">
        <w:rPr>
          <w:rFonts w:ascii="Times New Roman" w:eastAsia="Symbol" w:hAnsi="Times New Roman" w:cs="Times New Roman"/>
          <w:noProof/>
          <w:sz w:val="24"/>
          <w:szCs w:val="24"/>
          <w:lang w:val="en-IE"/>
        </w:rPr>
        <w:t xml:space="preserve">parties </w:t>
      </w:r>
      <w:r w:rsidRPr="00532C20">
        <w:rPr>
          <w:rFonts w:ascii="Times New Roman" w:eastAsia="Symbol" w:hAnsi="Times New Roman" w:cs="Times New Roman"/>
          <w:noProof/>
          <w:sz w:val="24"/>
          <w:szCs w:val="24"/>
          <w:lang w:val="en-IE"/>
        </w:rPr>
        <w:t>except limited contribution</w:t>
      </w:r>
      <w:r w:rsidR="00B014B9">
        <w:rPr>
          <w:rFonts w:ascii="Times New Roman" w:eastAsia="Symbol" w:hAnsi="Times New Roman" w:cs="Times New Roman"/>
          <w:noProof/>
          <w:sz w:val="24"/>
          <w:szCs w:val="24"/>
          <w:lang w:val="en-IE"/>
        </w:rPr>
        <w:t>s</w:t>
      </w:r>
      <w:r w:rsidRPr="00532C20">
        <w:rPr>
          <w:rFonts w:ascii="Times New Roman" w:eastAsia="Symbol" w:hAnsi="Times New Roman" w:cs="Times New Roman"/>
          <w:noProof/>
          <w:sz w:val="24"/>
          <w:szCs w:val="24"/>
          <w:lang w:val="en-IE"/>
        </w:rPr>
        <w:t xml:space="preserve"> from certain third countries with</w:t>
      </w:r>
      <w:r w:rsidR="00B014B9">
        <w:rPr>
          <w:rFonts w:ascii="Times New Roman" w:eastAsia="Symbol" w:hAnsi="Times New Roman" w:cs="Times New Roman"/>
          <w:noProof/>
          <w:sz w:val="24"/>
          <w:szCs w:val="24"/>
          <w:lang w:val="en-IE"/>
        </w:rPr>
        <w:t xml:space="preserve"> a</w:t>
      </w:r>
      <w:r w:rsidRPr="00532C20">
        <w:rPr>
          <w:rFonts w:ascii="Times New Roman" w:eastAsia="Symbol" w:hAnsi="Times New Roman" w:cs="Times New Roman"/>
          <w:noProof/>
          <w:sz w:val="24"/>
          <w:szCs w:val="24"/>
          <w:lang w:val="en-IE"/>
        </w:rPr>
        <w:t xml:space="preserve"> high level of transparency concerning the financing of political parties</w:t>
      </w:r>
      <w:r w:rsidRPr="00532C20">
        <w:rPr>
          <w:rStyle w:val="FootnoteReference"/>
          <w:rFonts w:ascii="Times New Roman" w:eastAsia="Symbol" w:hAnsi="Times New Roman" w:cs="Times New Roman"/>
          <w:noProof/>
          <w:sz w:val="24"/>
          <w:szCs w:val="24"/>
          <w:lang w:val="en-IE"/>
        </w:rPr>
        <w:footnoteReference w:id="231"/>
      </w:r>
      <w:r w:rsidRPr="00532C20">
        <w:rPr>
          <w:rFonts w:ascii="Times New Roman" w:eastAsia="Symbol" w:hAnsi="Times New Roman" w:cs="Times New Roman"/>
          <w:noProof/>
          <w:sz w:val="24"/>
          <w:szCs w:val="24"/>
          <w:lang w:val="en-IE"/>
        </w:rPr>
        <w:t>.</w:t>
      </w:r>
      <w:r w:rsidR="002A05FD" w:rsidRPr="00532C20">
        <w:rPr>
          <w:rFonts w:ascii="Times New Roman" w:eastAsia="Symbol" w:hAnsi="Times New Roman" w:cs="Times New Roman"/>
          <w:noProof/>
          <w:sz w:val="24"/>
          <w:szCs w:val="24"/>
          <w:lang w:val="en-IE"/>
        </w:rPr>
        <w:t xml:space="preserve"> </w:t>
      </w:r>
    </w:p>
    <w:p w14:paraId="617BACFC" w14:textId="3FF078CE" w:rsidR="00AF23B5" w:rsidRPr="00532C20" w:rsidRDefault="000B75B0" w:rsidP="002D209C">
      <w:pPr>
        <w:pBdr>
          <w:top w:val="nil"/>
          <w:left w:val="nil"/>
          <w:bottom w:val="nil"/>
          <w:right w:val="nil"/>
          <w:between w:val="nil"/>
          <w:bar w:val="nil"/>
        </w:pBdr>
        <w:spacing w:after="12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These two policy options</w:t>
      </w:r>
      <w:r w:rsidR="00FD17FD" w:rsidRPr="00532C20">
        <w:rPr>
          <w:rFonts w:ascii="Times New Roman" w:hAnsi="Times New Roman" w:cs="Times New Roman"/>
          <w:b/>
          <w:bCs/>
          <w:noProof/>
          <w:sz w:val="24"/>
          <w:szCs w:val="24"/>
          <w:lang w:val="en-IE"/>
        </w:rPr>
        <w:t xml:space="preserve"> </w:t>
      </w:r>
      <w:r w:rsidR="00AF23B5" w:rsidRPr="00532C20">
        <w:rPr>
          <w:rFonts w:ascii="Times New Roman" w:eastAsia="Calibri" w:hAnsi="Times New Roman" w:cs="Times New Roman"/>
          <w:noProof/>
          <w:sz w:val="24"/>
          <w:szCs w:val="24"/>
          <w:lang w:val="en-IE"/>
        </w:rPr>
        <w:t xml:space="preserve">would slightly amend the </w:t>
      </w:r>
      <w:r w:rsidR="00AF23B5" w:rsidRPr="00532C20">
        <w:rPr>
          <w:rFonts w:ascii="Times New Roman" w:eastAsia="Calibri" w:hAnsi="Times New Roman" w:cs="Times New Roman"/>
          <w:b/>
          <w:bCs/>
          <w:noProof/>
          <w:sz w:val="24"/>
          <w:szCs w:val="24"/>
          <w:lang w:val="en-IE"/>
        </w:rPr>
        <w:t>Internal Market Information System (‘IMI system’) Regulation</w:t>
      </w:r>
      <w:r w:rsidR="00AF23B5" w:rsidRPr="00532C20">
        <w:rPr>
          <w:rFonts w:ascii="Times New Roman" w:eastAsia="Calibri" w:hAnsi="Times New Roman" w:cs="Times New Roman"/>
          <w:noProof/>
          <w:sz w:val="24"/>
          <w:szCs w:val="24"/>
          <w:vertAlign w:val="superscript"/>
          <w:lang w:val="en-IE"/>
        </w:rPr>
        <w:footnoteReference w:id="232"/>
      </w:r>
      <w:r w:rsidR="00AF23B5" w:rsidRPr="00532C20">
        <w:rPr>
          <w:rFonts w:ascii="Times New Roman" w:eastAsia="Calibri" w:hAnsi="Times New Roman" w:cs="Times New Roman"/>
          <w:noProof/>
          <w:sz w:val="24"/>
          <w:szCs w:val="24"/>
          <w:lang w:val="en-IE"/>
        </w:rPr>
        <w:t xml:space="preserve"> to implement the administrative cooperation and the exchange of information provided for by this initiative </w:t>
      </w:r>
      <w:r w:rsidR="00AF23B5" w:rsidRPr="00532C20">
        <w:rPr>
          <w:rFonts w:ascii="Times New Roman" w:eastAsia="Times" w:hAnsi="Times New Roman" w:cs="Times New Roman"/>
          <w:noProof/>
          <w:sz w:val="24"/>
          <w:szCs w:val="24"/>
          <w:lang w:val="en-IE"/>
        </w:rPr>
        <w:t>using existing IT tools</w:t>
      </w:r>
      <w:r w:rsidR="00AF23B5" w:rsidRPr="00532C20">
        <w:rPr>
          <w:rFonts w:ascii="Times New Roman" w:eastAsia="Calibri" w:hAnsi="Times New Roman" w:cs="Times New Roman"/>
          <w:noProof/>
          <w:sz w:val="24"/>
          <w:szCs w:val="24"/>
          <w:lang w:val="en-IE"/>
        </w:rPr>
        <w:t xml:space="preserve">. </w:t>
      </w:r>
      <w:r w:rsidR="00880507" w:rsidRPr="00532C20">
        <w:rPr>
          <w:rFonts w:ascii="Times New Roman" w:eastAsia="Calibri" w:hAnsi="Times New Roman" w:cs="Times New Roman"/>
          <w:noProof/>
          <w:sz w:val="24"/>
          <w:szCs w:val="24"/>
          <w:lang w:val="en-IE"/>
        </w:rPr>
        <w:t>T</w:t>
      </w:r>
      <w:r w:rsidRPr="00532C20">
        <w:rPr>
          <w:rFonts w:ascii="Times New Roman" w:eastAsia="Calibri" w:hAnsi="Times New Roman" w:cs="Times New Roman"/>
          <w:noProof/>
          <w:sz w:val="24"/>
          <w:szCs w:val="24"/>
          <w:lang w:val="en-IE"/>
        </w:rPr>
        <w:t>hese policy options</w:t>
      </w:r>
      <w:r w:rsidR="00880507" w:rsidRPr="00532C20">
        <w:rPr>
          <w:rFonts w:ascii="Times New Roman" w:eastAsia="Calibri" w:hAnsi="Times New Roman" w:cs="Times New Roman"/>
          <w:noProof/>
          <w:sz w:val="24"/>
          <w:szCs w:val="24"/>
          <w:lang w:val="mt-MT"/>
        </w:rPr>
        <w:t xml:space="preserve"> </w:t>
      </w:r>
      <w:r w:rsidR="00CD5444" w:rsidRPr="00532C20">
        <w:rPr>
          <w:rFonts w:ascii="Times New Roman" w:eastAsia="Calibri" w:hAnsi="Times New Roman" w:cs="Times New Roman"/>
          <w:noProof/>
          <w:sz w:val="24"/>
          <w:szCs w:val="24"/>
          <w:lang w:val="mt-MT"/>
        </w:rPr>
        <w:t xml:space="preserve">would slightly </w:t>
      </w:r>
      <w:r w:rsidR="00AF23B5" w:rsidRPr="00532C20">
        <w:rPr>
          <w:rFonts w:ascii="Times New Roman" w:eastAsia="Calibri" w:hAnsi="Times New Roman" w:cs="Times New Roman"/>
          <w:noProof/>
          <w:sz w:val="24"/>
          <w:szCs w:val="24"/>
          <w:lang w:val="mt-MT"/>
        </w:rPr>
        <w:t>amend the</w:t>
      </w:r>
      <w:r w:rsidR="00AF23B5" w:rsidRPr="00532C20">
        <w:rPr>
          <w:rFonts w:ascii="Times New Roman" w:eastAsia="Calibri" w:hAnsi="Times New Roman" w:cs="Times New Roman"/>
          <w:b/>
          <w:bCs/>
          <w:noProof/>
          <w:sz w:val="24"/>
          <w:szCs w:val="24"/>
          <w:lang w:val="mt-MT"/>
        </w:rPr>
        <w:t xml:space="preserve"> Single Digital Gateway Regulation</w:t>
      </w:r>
      <w:r w:rsidR="00AF23B5" w:rsidRPr="00532C20">
        <w:rPr>
          <w:rFonts w:ascii="Times New Roman" w:eastAsia="Calibri" w:hAnsi="Times New Roman" w:cs="Times New Roman"/>
          <w:noProof/>
          <w:sz w:val="24"/>
          <w:szCs w:val="24"/>
          <w:vertAlign w:val="superscript"/>
          <w:lang w:val="en-IE"/>
        </w:rPr>
        <w:footnoteReference w:id="233"/>
      </w:r>
      <w:r w:rsidR="00AF23B5" w:rsidRPr="00532C20">
        <w:rPr>
          <w:rFonts w:ascii="Times New Roman" w:eastAsia="Calibri" w:hAnsi="Times New Roman" w:cs="Times New Roman"/>
          <w:noProof/>
          <w:sz w:val="24"/>
          <w:szCs w:val="24"/>
          <w:lang w:val="en-IE"/>
        </w:rPr>
        <w:t xml:space="preserve"> to provide for easy online access to information on the rights and obligations stemming from this option</w:t>
      </w:r>
      <w:r w:rsidR="00AF23B5" w:rsidRPr="00532C20">
        <w:rPr>
          <w:rFonts w:ascii="Times New Roman" w:eastAsia="Calibri" w:hAnsi="Times New Roman" w:cs="Times New Roman"/>
          <w:noProof/>
          <w:sz w:val="24"/>
          <w:szCs w:val="24"/>
        </w:rPr>
        <w:t>, as well as to ensure that access to and completion of the procedure for registration required by this option is fully online.</w:t>
      </w:r>
      <w:r w:rsidR="00880507" w:rsidRPr="00532C20">
        <w:rPr>
          <w:rFonts w:ascii="Times New Roman" w:eastAsia="Calibri" w:hAnsi="Times New Roman" w:cs="Times New Roman"/>
          <w:noProof/>
          <w:sz w:val="24"/>
          <w:szCs w:val="24"/>
        </w:rPr>
        <w:t xml:space="preserve"> The </w:t>
      </w:r>
      <w:r w:rsidR="00237556" w:rsidRPr="00532C20">
        <w:rPr>
          <w:rFonts w:ascii="Times New Roman" w:eastAsia="Calibri" w:hAnsi="Times New Roman" w:cs="Times New Roman"/>
          <w:b/>
          <w:bCs/>
          <w:noProof/>
          <w:sz w:val="24"/>
          <w:szCs w:val="24"/>
        </w:rPr>
        <w:t>Whistle-blower</w:t>
      </w:r>
      <w:r w:rsidR="00880507" w:rsidRPr="00532C20">
        <w:rPr>
          <w:rFonts w:ascii="Times New Roman" w:eastAsia="Calibri" w:hAnsi="Times New Roman" w:cs="Times New Roman"/>
          <w:b/>
          <w:bCs/>
          <w:noProof/>
          <w:sz w:val="24"/>
          <w:szCs w:val="24"/>
        </w:rPr>
        <w:t xml:space="preserve"> Directive</w:t>
      </w:r>
      <w:r w:rsidR="00D6267B" w:rsidRPr="00532C20">
        <w:rPr>
          <w:rStyle w:val="FootnoteReference"/>
          <w:rFonts w:ascii="Times New Roman" w:eastAsia="Calibri" w:hAnsi="Times New Roman" w:cs="Times New Roman"/>
          <w:b/>
          <w:bCs/>
          <w:noProof/>
          <w:sz w:val="24"/>
          <w:szCs w:val="24"/>
        </w:rPr>
        <w:footnoteReference w:id="234"/>
      </w:r>
      <w:r w:rsidR="00880507" w:rsidRPr="00532C20">
        <w:rPr>
          <w:rFonts w:ascii="Times New Roman" w:eastAsia="Calibri" w:hAnsi="Times New Roman" w:cs="Times New Roman"/>
          <w:noProof/>
          <w:sz w:val="24"/>
          <w:szCs w:val="24"/>
        </w:rPr>
        <w:t xml:space="preserve"> would also be slightly amended to ensure tha</w:t>
      </w:r>
      <w:r w:rsidR="00237556" w:rsidRPr="00532C20">
        <w:rPr>
          <w:rFonts w:ascii="Times New Roman" w:eastAsia="Calibri" w:hAnsi="Times New Roman" w:cs="Times New Roman"/>
          <w:noProof/>
          <w:sz w:val="24"/>
          <w:szCs w:val="24"/>
        </w:rPr>
        <w:t>t</w:t>
      </w:r>
      <w:r w:rsidR="00880507" w:rsidRPr="00532C20">
        <w:rPr>
          <w:rFonts w:ascii="Times New Roman" w:eastAsia="Calibri" w:hAnsi="Times New Roman" w:cs="Times New Roman"/>
          <w:noProof/>
          <w:sz w:val="24"/>
          <w:szCs w:val="24"/>
        </w:rPr>
        <w:t xml:space="preserve"> </w:t>
      </w:r>
      <w:r w:rsidR="00237556" w:rsidRPr="00532C20">
        <w:rPr>
          <w:rFonts w:ascii="Times New Roman" w:eastAsia="Calibri" w:hAnsi="Times New Roman" w:cs="Times New Roman"/>
          <w:noProof/>
          <w:sz w:val="24"/>
          <w:szCs w:val="24"/>
        </w:rPr>
        <w:t>whistle-blowers are able to alert the supervisory authorities of actual or potential infringements of the policy options’ requirements.</w:t>
      </w:r>
    </w:p>
    <w:p w14:paraId="60A83269" w14:textId="3B18896C" w:rsidR="00AF23B5" w:rsidRPr="00532C20" w:rsidRDefault="00622A25" w:rsidP="002D209C">
      <w:pPr>
        <w:pBdr>
          <w:top w:val="nil"/>
          <w:left w:val="nil"/>
          <w:bottom w:val="nil"/>
          <w:right w:val="nil"/>
          <w:between w:val="nil"/>
          <w:bar w:val="nil"/>
        </w:pBdr>
        <w:spacing w:after="12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These policy options would</w:t>
      </w:r>
      <w:r w:rsidR="00AF23B5" w:rsidRPr="00532C20">
        <w:rPr>
          <w:rFonts w:ascii="Times New Roman" w:eastAsia="Calibri" w:hAnsi="Times New Roman" w:cs="Times New Roman"/>
          <w:noProof/>
          <w:sz w:val="24"/>
          <w:szCs w:val="24"/>
          <w:lang w:val="en-IE"/>
        </w:rPr>
        <w:t xml:space="preserve"> not affect the prohibition to make available, directly or indirectly, funds or economic resources to or for the benefit of natural or legal persons, entities or bodies, or natural or legal persons, entities or bodies associated with them which are listed in </w:t>
      </w:r>
      <w:r w:rsidR="002E1956" w:rsidRPr="00532C20">
        <w:rPr>
          <w:rFonts w:ascii="Times New Roman" w:eastAsia="Calibri" w:hAnsi="Times New Roman" w:cs="Times New Roman"/>
          <w:noProof/>
          <w:sz w:val="24"/>
          <w:szCs w:val="24"/>
          <w:lang w:val="en-IE"/>
        </w:rPr>
        <w:t>EU</w:t>
      </w:r>
      <w:r w:rsidR="00AF23B5" w:rsidRPr="00532C20">
        <w:rPr>
          <w:rFonts w:ascii="Times New Roman" w:eastAsia="Calibri" w:hAnsi="Times New Roman" w:cs="Times New Roman"/>
          <w:noProof/>
          <w:sz w:val="24"/>
          <w:szCs w:val="24"/>
          <w:lang w:val="en-IE"/>
        </w:rPr>
        <w:t xml:space="preserve"> restrictive measures</w:t>
      </w:r>
      <w:r w:rsidR="000A6D71" w:rsidRPr="00532C20">
        <w:rPr>
          <w:rFonts w:ascii="Times New Roman" w:eastAsia="Calibri" w:hAnsi="Times New Roman" w:cs="Times New Roman"/>
          <w:noProof/>
          <w:sz w:val="24"/>
          <w:szCs w:val="24"/>
          <w:lang w:val="en-IE"/>
        </w:rPr>
        <w:t xml:space="preserve"> adopted pursuant to Article 29 TEU </w:t>
      </w:r>
      <w:r w:rsidR="00CD28C4">
        <w:rPr>
          <w:rFonts w:ascii="Times New Roman" w:eastAsia="Calibri" w:hAnsi="Times New Roman" w:cs="Times New Roman"/>
          <w:noProof/>
          <w:sz w:val="24"/>
          <w:szCs w:val="24"/>
          <w:lang w:val="en-IE"/>
        </w:rPr>
        <w:t>and</w:t>
      </w:r>
      <w:r w:rsidR="00CD28C4" w:rsidRPr="00532C20">
        <w:rPr>
          <w:rFonts w:ascii="Times New Roman" w:eastAsia="Calibri" w:hAnsi="Times New Roman" w:cs="Times New Roman"/>
          <w:noProof/>
          <w:sz w:val="24"/>
          <w:szCs w:val="24"/>
          <w:lang w:val="en-IE"/>
        </w:rPr>
        <w:t xml:space="preserve"> </w:t>
      </w:r>
      <w:r w:rsidR="000A6D71" w:rsidRPr="00532C20">
        <w:rPr>
          <w:rFonts w:ascii="Times New Roman" w:eastAsia="Calibri" w:hAnsi="Times New Roman" w:cs="Times New Roman"/>
          <w:noProof/>
          <w:sz w:val="24"/>
          <w:szCs w:val="24"/>
          <w:lang w:val="en-IE"/>
        </w:rPr>
        <w:t>Article 215 TFEU</w:t>
      </w:r>
      <w:r w:rsidR="00AF23B5" w:rsidRPr="00532C20">
        <w:rPr>
          <w:rFonts w:ascii="Times New Roman" w:eastAsia="Calibri" w:hAnsi="Times New Roman" w:cs="Times New Roman"/>
          <w:noProof/>
          <w:sz w:val="24"/>
          <w:szCs w:val="24"/>
          <w:lang w:val="en-IE"/>
        </w:rPr>
        <w:t>.</w:t>
      </w:r>
    </w:p>
    <w:p w14:paraId="18186CCB" w14:textId="0AC8ABD4" w:rsidR="00BC060B" w:rsidRPr="00532C20" w:rsidRDefault="00652266" w:rsidP="00BC060B">
      <w:pPr>
        <w:pStyle w:val="ListParagraph"/>
        <w:spacing w:after="120"/>
        <w:ind w:left="0"/>
        <w:jc w:val="both"/>
        <w:textAlignment w:val="baseline"/>
        <w:rPr>
          <w:rFonts w:ascii="Times New Roman" w:hAnsi="Times New Roman" w:cs="Times New Roman"/>
          <w:noProof/>
          <w:lang w:val="en-IE"/>
        </w:rPr>
      </w:pPr>
      <w:bookmarkStart w:id="1042" w:name="_Hlk146794600"/>
      <w:r w:rsidRPr="00532C20">
        <w:rPr>
          <w:rFonts w:ascii="Times New Roman" w:hAnsi="Times New Roman" w:cs="Times New Roman"/>
          <w:noProof/>
          <w:lang w:val="en-IE"/>
        </w:rPr>
        <w:t>These policy options</w:t>
      </w:r>
      <w:r w:rsidR="00FD17FD" w:rsidRPr="00532C20">
        <w:rPr>
          <w:rFonts w:ascii="Times New Roman" w:hAnsi="Times New Roman" w:cs="Times New Roman"/>
          <w:noProof/>
          <w:lang w:val="en-IE"/>
        </w:rPr>
        <w:t xml:space="preserve"> </w:t>
      </w:r>
      <w:bookmarkEnd w:id="1042"/>
      <w:r w:rsidR="00AF23B5" w:rsidRPr="00532C20">
        <w:rPr>
          <w:rFonts w:ascii="Times New Roman" w:hAnsi="Times New Roman" w:cs="Times New Roman"/>
          <w:noProof/>
          <w:lang w:val="en-IE"/>
        </w:rPr>
        <w:t xml:space="preserve">will </w:t>
      </w:r>
      <w:r w:rsidR="00797324" w:rsidRPr="00532C20">
        <w:rPr>
          <w:rFonts w:ascii="Times New Roman" w:hAnsi="Times New Roman" w:cs="Times New Roman"/>
          <w:noProof/>
          <w:lang w:val="en-IE"/>
        </w:rPr>
        <w:t xml:space="preserve">have a link to </w:t>
      </w:r>
      <w:r w:rsidR="00AF23B5" w:rsidRPr="00532C20">
        <w:rPr>
          <w:rFonts w:ascii="Times New Roman" w:hAnsi="Times New Roman" w:cs="Times New Roman"/>
          <w:noProof/>
          <w:lang w:val="en-IE"/>
        </w:rPr>
        <w:t xml:space="preserve">the proposal for a </w:t>
      </w:r>
      <w:r w:rsidR="003C0F61" w:rsidRPr="00532C20">
        <w:rPr>
          <w:rFonts w:ascii="Times New Roman" w:hAnsi="Times New Roman" w:cs="Times New Roman"/>
          <w:noProof/>
          <w:lang w:val="en-IE"/>
        </w:rPr>
        <w:t>Directive</w:t>
      </w:r>
      <w:r w:rsidR="002D2180" w:rsidRPr="00532C20">
        <w:rPr>
          <w:rFonts w:ascii="Times New Roman" w:hAnsi="Times New Roman" w:cs="Times New Roman"/>
          <w:noProof/>
          <w:lang w:val="en-IE"/>
        </w:rPr>
        <w:t xml:space="preserve"> </w:t>
      </w:r>
      <w:r w:rsidR="00AF23B5" w:rsidRPr="00532C20">
        <w:rPr>
          <w:rFonts w:ascii="Times New Roman" w:hAnsi="Times New Roman" w:cs="Times New Roman"/>
          <w:noProof/>
          <w:lang w:val="en-IE"/>
        </w:rPr>
        <w:t xml:space="preserve">on </w:t>
      </w:r>
      <w:r w:rsidR="00AF23B5" w:rsidRPr="00532C20">
        <w:rPr>
          <w:rFonts w:ascii="Times New Roman" w:hAnsi="Times New Roman" w:cs="Times New Roman"/>
          <w:b/>
          <w:bCs/>
          <w:noProof/>
          <w:lang w:val="en-IE"/>
        </w:rPr>
        <w:t>cross-border activities of associations</w:t>
      </w:r>
      <w:r w:rsidR="00BE64E8" w:rsidRPr="00532C20">
        <w:rPr>
          <w:rFonts w:ascii="Times New Roman" w:hAnsi="Times New Roman" w:cs="Times New Roman"/>
          <w:b/>
          <w:bCs/>
          <w:noProof/>
          <w:lang w:val="en-IE"/>
        </w:rPr>
        <w:t xml:space="preserve"> (ECBAs)</w:t>
      </w:r>
      <w:r w:rsidR="00BE64E8" w:rsidRPr="00532C20">
        <w:rPr>
          <w:rStyle w:val="FootnoteReference"/>
          <w:rFonts w:ascii="Times New Roman" w:hAnsi="Times New Roman" w:cs="Times New Roman"/>
          <w:noProof/>
          <w:lang w:val="en-IE"/>
        </w:rPr>
        <w:footnoteReference w:id="235"/>
      </w:r>
      <w:r w:rsidR="00BE64E8" w:rsidRPr="00532C20">
        <w:rPr>
          <w:rFonts w:ascii="Times New Roman" w:hAnsi="Times New Roman" w:cs="Times New Roman"/>
          <w:noProof/>
          <w:lang w:val="en-IE"/>
        </w:rPr>
        <w:t>.</w:t>
      </w:r>
      <w:r w:rsidR="00AF23B5" w:rsidRPr="00532C20">
        <w:rPr>
          <w:rFonts w:ascii="Times New Roman" w:hAnsi="Times New Roman" w:cs="Times New Roman"/>
          <w:noProof/>
          <w:lang w:val="en-IE"/>
        </w:rPr>
        <w:t xml:space="preserve"> </w:t>
      </w:r>
      <w:r w:rsidR="001C037A" w:rsidRPr="00532C20">
        <w:rPr>
          <w:rFonts w:ascii="Times New Roman" w:hAnsi="Times New Roman" w:cs="Times New Roman"/>
          <w:noProof/>
          <w:lang w:val="en-IE"/>
        </w:rPr>
        <w:t>While the</w:t>
      </w:r>
      <w:r w:rsidR="00797324" w:rsidRPr="00532C20">
        <w:rPr>
          <w:rFonts w:ascii="Times New Roman" w:hAnsi="Times New Roman" w:cs="Times New Roman"/>
          <w:noProof/>
          <w:lang w:val="en-IE"/>
        </w:rPr>
        <w:t xml:space="preserve"> ECBA</w:t>
      </w:r>
      <w:r w:rsidR="001C037A" w:rsidRPr="00532C20">
        <w:rPr>
          <w:rFonts w:ascii="Times New Roman" w:hAnsi="Times New Roman" w:cs="Times New Roman"/>
          <w:noProof/>
          <w:lang w:val="en-IE"/>
        </w:rPr>
        <w:t xml:space="preserve"> proposal </w:t>
      </w:r>
      <w:r w:rsidR="00450FCA" w:rsidRPr="00532C20">
        <w:rPr>
          <w:rFonts w:ascii="Times New Roman" w:hAnsi="Times New Roman" w:cs="Times New Roman"/>
          <w:noProof/>
          <w:lang w:val="en-IE"/>
        </w:rPr>
        <w:t>envisages</w:t>
      </w:r>
      <w:r w:rsidR="00192C90" w:rsidRPr="00532C20">
        <w:rPr>
          <w:rFonts w:ascii="Times New Roman" w:hAnsi="Times New Roman" w:cs="Times New Roman"/>
          <w:noProof/>
          <w:lang w:val="en-IE"/>
        </w:rPr>
        <w:t xml:space="preserve"> measures </w:t>
      </w:r>
      <w:r w:rsidR="00E35CCA" w:rsidRPr="00532C20">
        <w:rPr>
          <w:rFonts w:ascii="Times New Roman" w:hAnsi="Times New Roman" w:cs="Times New Roman"/>
          <w:noProof/>
          <w:lang w:val="en-IE"/>
        </w:rPr>
        <w:t xml:space="preserve">to </w:t>
      </w:r>
      <w:r w:rsidR="00192C90" w:rsidRPr="00532C20">
        <w:rPr>
          <w:rFonts w:ascii="Times New Roman" w:hAnsi="Times New Roman" w:cs="Times New Roman"/>
          <w:noProof/>
          <w:lang w:val="en-IE"/>
        </w:rPr>
        <w:t>coordinat</w:t>
      </w:r>
      <w:r w:rsidR="00E35CCA" w:rsidRPr="00532C20">
        <w:rPr>
          <w:rFonts w:ascii="Times New Roman" w:hAnsi="Times New Roman" w:cs="Times New Roman"/>
          <w:noProof/>
          <w:lang w:val="en-IE"/>
        </w:rPr>
        <w:t>e</w:t>
      </w:r>
      <w:r w:rsidR="00192C90" w:rsidRPr="00532C20">
        <w:rPr>
          <w:rFonts w:ascii="Times New Roman" w:hAnsi="Times New Roman" w:cs="Times New Roman"/>
          <w:noProof/>
          <w:lang w:val="en-IE"/>
        </w:rPr>
        <w:t xml:space="preserve"> the conditions for establishing and operating European cross-border associations (ECBAs)</w:t>
      </w:r>
      <w:r w:rsidR="00D604F2" w:rsidRPr="00532C20">
        <w:rPr>
          <w:rFonts w:ascii="Times New Roman" w:hAnsi="Times New Roman" w:cs="Times New Roman"/>
          <w:noProof/>
          <w:lang w:val="en-IE"/>
        </w:rPr>
        <w:t xml:space="preserve"> and thereby simplifying the cross-border activities of associations, including soliciting and receiving funding</w:t>
      </w:r>
      <w:r w:rsidR="00192C90" w:rsidRPr="00532C20">
        <w:rPr>
          <w:rFonts w:ascii="Times New Roman" w:hAnsi="Times New Roman" w:cs="Times New Roman"/>
          <w:noProof/>
          <w:lang w:val="en-IE"/>
        </w:rPr>
        <w:t xml:space="preserve">, </w:t>
      </w:r>
      <w:r w:rsidR="00AB3CEB" w:rsidRPr="00532C20">
        <w:rPr>
          <w:rFonts w:ascii="Times New Roman" w:hAnsi="Times New Roman" w:cs="Times New Roman"/>
          <w:noProof/>
          <w:lang w:val="en-IE"/>
        </w:rPr>
        <w:t>the policy options</w:t>
      </w:r>
      <w:r w:rsidR="00E35CCA" w:rsidRPr="00532C20">
        <w:rPr>
          <w:rFonts w:ascii="Times New Roman" w:hAnsi="Times New Roman" w:cs="Times New Roman"/>
          <w:noProof/>
          <w:lang w:val="en-IE"/>
        </w:rPr>
        <w:t xml:space="preserve"> </w:t>
      </w:r>
      <w:r w:rsidR="00FE307A" w:rsidRPr="00532C20">
        <w:rPr>
          <w:rFonts w:ascii="Times New Roman" w:hAnsi="Times New Roman" w:cs="Times New Roman"/>
          <w:noProof/>
          <w:lang w:val="en-IE"/>
        </w:rPr>
        <w:t xml:space="preserve">create transparency standards for their interest representation activities carried out on behalf of third countries. </w:t>
      </w:r>
      <w:r w:rsidR="00D604F2" w:rsidRPr="00532C20">
        <w:rPr>
          <w:rFonts w:ascii="Times New Roman" w:hAnsi="Times New Roman" w:cs="Times New Roman"/>
          <w:noProof/>
          <w:lang w:val="en-IE"/>
        </w:rPr>
        <w:t>They do not cover funding given by a third country entity (such as a str</w:t>
      </w:r>
      <w:r w:rsidR="002A5CD5" w:rsidRPr="00532C20">
        <w:rPr>
          <w:rFonts w:ascii="Times New Roman" w:hAnsi="Times New Roman" w:cs="Times New Roman"/>
          <w:noProof/>
          <w:lang w:val="en-IE"/>
        </w:rPr>
        <w:t xml:space="preserve">uctural grant, donations, etc.) that is unrelated to an interest representation activity. </w:t>
      </w:r>
      <w:r w:rsidR="00FE307A" w:rsidRPr="00532C20">
        <w:rPr>
          <w:rFonts w:ascii="Times New Roman" w:hAnsi="Times New Roman" w:cs="Times New Roman"/>
          <w:noProof/>
          <w:lang w:val="en-IE"/>
        </w:rPr>
        <w:t xml:space="preserve">In practice, </w:t>
      </w:r>
      <w:r w:rsidR="001466C5" w:rsidRPr="00532C20">
        <w:rPr>
          <w:rFonts w:ascii="Times New Roman" w:hAnsi="Times New Roman" w:cs="Times New Roman"/>
          <w:noProof/>
          <w:lang w:val="en-IE"/>
        </w:rPr>
        <w:t>ECBAs</w:t>
      </w:r>
      <w:r w:rsidR="00FF299A" w:rsidRPr="00532C20">
        <w:rPr>
          <w:rFonts w:ascii="Times New Roman" w:hAnsi="Times New Roman" w:cs="Times New Roman"/>
          <w:noProof/>
          <w:lang w:val="en-IE"/>
        </w:rPr>
        <w:t xml:space="preserve"> will have to comply </w:t>
      </w:r>
      <w:r w:rsidR="002253AB" w:rsidRPr="00532C20">
        <w:rPr>
          <w:rFonts w:ascii="Times New Roman" w:hAnsi="Times New Roman" w:cs="Times New Roman"/>
          <w:noProof/>
          <w:lang w:val="en-IE"/>
        </w:rPr>
        <w:t xml:space="preserve">with the targeted </w:t>
      </w:r>
      <w:r w:rsidR="00E568D2" w:rsidRPr="00532C20">
        <w:rPr>
          <w:rFonts w:ascii="Times New Roman" w:hAnsi="Times New Roman" w:cs="Times New Roman"/>
          <w:noProof/>
          <w:lang w:val="en-IE"/>
        </w:rPr>
        <w:t xml:space="preserve">transparency </w:t>
      </w:r>
      <w:r w:rsidR="002253AB" w:rsidRPr="00532C20">
        <w:rPr>
          <w:rFonts w:ascii="Times New Roman" w:hAnsi="Times New Roman" w:cs="Times New Roman"/>
          <w:noProof/>
          <w:lang w:val="en-IE"/>
        </w:rPr>
        <w:t xml:space="preserve">requirements under </w:t>
      </w:r>
      <w:r w:rsidR="001466C5" w:rsidRPr="00532C20">
        <w:rPr>
          <w:rFonts w:ascii="Times New Roman" w:hAnsi="Times New Roman" w:cs="Times New Roman"/>
          <w:noProof/>
          <w:lang w:val="en-IE"/>
        </w:rPr>
        <w:t>these two policy options</w:t>
      </w:r>
      <w:r w:rsidR="007132E7" w:rsidRPr="00532C20">
        <w:rPr>
          <w:noProof/>
        </w:rPr>
        <w:t xml:space="preserve"> only if </w:t>
      </w:r>
      <w:r w:rsidR="004749AD" w:rsidRPr="00532C20">
        <w:rPr>
          <w:rFonts w:ascii="Times New Roman" w:hAnsi="Times New Roman" w:cs="Times New Roman"/>
          <w:noProof/>
          <w:lang w:val="en-IE"/>
        </w:rPr>
        <w:t xml:space="preserve">they carry </w:t>
      </w:r>
      <w:r w:rsidR="007132E7" w:rsidRPr="00532C20">
        <w:rPr>
          <w:rFonts w:ascii="Times New Roman" w:hAnsi="Times New Roman" w:cs="Times New Roman"/>
          <w:noProof/>
          <w:lang w:val="en-IE"/>
        </w:rPr>
        <w:t>out interest representation activities on behalf of third country entities</w:t>
      </w:r>
      <w:r w:rsidR="00DF4628" w:rsidRPr="00532C20">
        <w:rPr>
          <w:rFonts w:ascii="Times New Roman" w:hAnsi="Times New Roman" w:cs="Times New Roman"/>
          <w:noProof/>
          <w:lang w:val="en-IE"/>
        </w:rPr>
        <w:t>.</w:t>
      </w:r>
      <w:r w:rsidR="007132E7" w:rsidRPr="00532C20">
        <w:rPr>
          <w:rFonts w:ascii="Times New Roman" w:hAnsi="Times New Roman" w:cs="Times New Roman"/>
          <w:noProof/>
          <w:lang w:val="en-IE"/>
        </w:rPr>
        <w:t xml:space="preserve"> </w:t>
      </w:r>
    </w:p>
    <w:p w14:paraId="7CE2FB85" w14:textId="55E342CD" w:rsidR="00264EE3" w:rsidRPr="00532C20" w:rsidRDefault="00131E08" w:rsidP="004B75A3">
      <w:pPr>
        <w:pStyle w:val="ListParagraph"/>
        <w:spacing w:before="240" w:after="120"/>
        <w:ind w:left="0"/>
        <w:contextualSpacing w:val="0"/>
        <w:jc w:val="both"/>
        <w:textAlignment w:val="baseline"/>
        <w:rPr>
          <w:rFonts w:ascii="Times New Roman" w:hAnsi="Times New Roman" w:cs="Times New Roman"/>
          <w:noProof/>
          <w:lang w:val="en-IE" w:eastAsia="en-US"/>
        </w:rPr>
      </w:pPr>
      <w:r w:rsidRPr="00532C20">
        <w:rPr>
          <w:rFonts w:ascii="Times New Roman" w:hAnsi="Times New Roman" w:cs="Times New Roman"/>
          <w:noProof/>
          <w:lang w:val="en-IE" w:eastAsia="en-US"/>
        </w:rPr>
        <w:t>These policy options</w:t>
      </w:r>
      <w:r w:rsidR="00AF23B5" w:rsidRPr="00532C20" w:rsidDel="00E9752A">
        <w:rPr>
          <w:rFonts w:ascii="Times New Roman" w:hAnsi="Times New Roman" w:cs="Times New Roman"/>
          <w:noProof/>
          <w:lang w:val="en-IE" w:eastAsia="en-US"/>
        </w:rPr>
        <w:t xml:space="preserve"> </w:t>
      </w:r>
      <w:r w:rsidR="00AF23B5" w:rsidRPr="00532C20">
        <w:rPr>
          <w:rFonts w:ascii="Times New Roman" w:hAnsi="Times New Roman" w:cs="Times New Roman"/>
          <w:noProof/>
          <w:lang w:val="en-IE" w:eastAsia="en-US"/>
        </w:rPr>
        <w:t xml:space="preserve">would not affect the prerogatives of the Commission to initiate and conduct investigations </w:t>
      </w:r>
      <w:r w:rsidR="009D5156" w:rsidRPr="00532C20">
        <w:rPr>
          <w:rFonts w:ascii="Times New Roman" w:hAnsi="Times New Roman" w:cs="Times New Roman"/>
          <w:noProof/>
          <w:lang w:val="en-IE" w:eastAsia="en-US"/>
        </w:rPr>
        <w:t xml:space="preserve">into </w:t>
      </w:r>
      <w:r w:rsidR="00AF23B5" w:rsidRPr="00532C20">
        <w:rPr>
          <w:rFonts w:ascii="Times New Roman" w:hAnsi="Times New Roman" w:cs="Times New Roman"/>
          <w:noProof/>
          <w:lang w:val="en-IE" w:eastAsia="en-US"/>
        </w:rPr>
        <w:t>distortive foreign subsidies</w:t>
      </w:r>
      <w:r w:rsidR="009D5156" w:rsidRPr="00532C20">
        <w:rPr>
          <w:rFonts w:ascii="Times New Roman" w:hAnsi="Times New Roman" w:cs="Times New Roman"/>
          <w:noProof/>
          <w:lang w:val="en-IE" w:eastAsia="en-US"/>
        </w:rPr>
        <w:t xml:space="preserve"> under the </w:t>
      </w:r>
      <w:r w:rsidR="009D5156" w:rsidRPr="00532C20">
        <w:rPr>
          <w:rFonts w:ascii="Times New Roman" w:hAnsi="Times New Roman" w:cs="Times New Roman"/>
          <w:b/>
          <w:noProof/>
          <w:lang w:val="en-IE" w:eastAsia="en-US"/>
        </w:rPr>
        <w:t>Foreign Subsidies Regulation</w:t>
      </w:r>
      <w:r w:rsidR="00824486" w:rsidRPr="00532C20">
        <w:rPr>
          <w:rStyle w:val="FootnoteReference"/>
          <w:rFonts w:ascii="Times New Roman" w:hAnsi="Times New Roman" w:cs="Times New Roman"/>
          <w:noProof/>
          <w:lang w:val="en-IE" w:eastAsia="en-US"/>
        </w:rPr>
        <w:footnoteReference w:id="236"/>
      </w:r>
      <w:r w:rsidR="00FB5311" w:rsidRPr="00532C20">
        <w:rPr>
          <w:rFonts w:ascii="Times New Roman" w:hAnsi="Times New Roman" w:cs="Times New Roman"/>
          <w:noProof/>
          <w:lang w:val="en-IE" w:eastAsia="en-US"/>
        </w:rPr>
        <w:t xml:space="preserve"> or to issue opinions under </w:t>
      </w:r>
      <w:r w:rsidR="00D1333F" w:rsidRPr="00532C20">
        <w:rPr>
          <w:rFonts w:ascii="Times New Roman" w:hAnsi="Times New Roman" w:cs="Times New Roman"/>
          <w:noProof/>
          <w:lang w:val="en-IE" w:eastAsia="en-US"/>
        </w:rPr>
        <w:t xml:space="preserve">the </w:t>
      </w:r>
      <w:r w:rsidR="00CF5B16" w:rsidRPr="00532C20">
        <w:rPr>
          <w:rFonts w:ascii="Times New Roman" w:hAnsi="Times New Roman" w:cs="Times New Roman"/>
          <w:b/>
          <w:bCs/>
          <w:noProof/>
          <w:lang w:val="en-IE" w:eastAsia="en-US"/>
        </w:rPr>
        <w:t>EU</w:t>
      </w:r>
      <w:r w:rsidR="00D1333F" w:rsidRPr="00532C20">
        <w:rPr>
          <w:rFonts w:ascii="Times New Roman" w:hAnsi="Times New Roman" w:cs="Times New Roman"/>
          <w:b/>
          <w:bCs/>
          <w:noProof/>
          <w:lang w:val="en-IE" w:eastAsia="en-US"/>
        </w:rPr>
        <w:t xml:space="preserve"> Regulation</w:t>
      </w:r>
      <w:r w:rsidR="00CF5B16" w:rsidRPr="00532C20">
        <w:rPr>
          <w:rFonts w:ascii="Times New Roman" w:hAnsi="Times New Roman" w:cs="Times New Roman"/>
          <w:b/>
          <w:bCs/>
          <w:noProof/>
          <w:lang w:val="en-IE" w:eastAsia="en-US"/>
        </w:rPr>
        <w:t xml:space="preserve"> on Foreign Direct Investment (FDI) Screening</w:t>
      </w:r>
      <w:r w:rsidR="00E916BE" w:rsidRPr="00532C20">
        <w:rPr>
          <w:rStyle w:val="FootnoteReference"/>
          <w:rFonts w:ascii="Times New Roman" w:hAnsi="Times New Roman" w:cs="Times New Roman"/>
          <w:noProof/>
          <w:lang w:val="en-IE" w:eastAsia="en-US"/>
        </w:rPr>
        <w:footnoteReference w:id="237"/>
      </w:r>
      <w:r w:rsidR="00AF23B5" w:rsidRPr="00532C20">
        <w:rPr>
          <w:rFonts w:ascii="Times New Roman" w:hAnsi="Times New Roman" w:cs="Times New Roman"/>
          <w:noProof/>
          <w:lang w:val="en-IE" w:eastAsia="en-US"/>
        </w:rPr>
        <w:t>.</w:t>
      </w:r>
      <w:r w:rsidR="009D5156" w:rsidRPr="00532C20">
        <w:rPr>
          <w:rFonts w:ascii="Times New Roman" w:hAnsi="Times New Roman" w:cs="Times New Roman"/>
          <w:noProof/>
          <w:lang w:val="en-IE" w:eastAsia="en-US"/>
        </w:rPr>
        <w:t xml:space="preserve"> </w:t>
      </w:r>
    </w:p>
    <w:p w14:paraId="2A198CAA" w14:textId="0A8692AF" w:rsidR="00363772" w:rsidRPr="00532C20" w:rsidRDefault="00264EE3" w:rsidP="6BCB40D4">
      <w:pPr>
        <w:pStyle w:val="ListParagraph"/>
        <w:spacing w:after="120"/>
        <w:ind w:left="0"/>
        <w:jc w:val="both"/>
        <w:textAlignment w:val="baseline"/>
        <w:rPr>
          <w:rFonts w:ascii="Times New Roman" w:hAnsi="Times New Roman" w:cs="Times New Roman"/>
          <w:noProof/>
          <w:lang w:val="en-IE"/>
        </w:rPr>
      </w:pPr>
      <w:r w:rsidRPr="00532C20">
        <w:rPr>
          <w:rFonts w:ascii="Times New Roman" w:hAnsi="Times New Roman" w:cs="Times New Roman"/>
          <w:noProof/>
          <w:lang w:val="en-IE"/>
        </w:rPr>
        <w:t>Finally,</w:t>
      </w:r>
      <w:r w:rsidRPr="00532C20" w:rsidDel="008F5B70">
        <w:rPr>
          <w:rFonts w:ascii="Times New Roman" w:hAnsi="Times New Roman" w:cs="Times New Roman"/>
          <w:noProof/>
          <w:lang w:val="en-IE"/>
        </w:rPr>
        <w:t xml:space="preserve"> </w:t>
      </w:r>
      <w:r w:rsidR="000F3EB6" w:rsidRPr="00532C20">
        <w:rPr>
          <w:rFonts w:ascii="Times New Roman" w:hAnsi="Times New Roman" w:cs="Times New Roman"/>
          <w:noProof/>
          <w:lang w:val="en-IE"/>
        </w:rPr>
        <w:t xml:space="preserve">the policy options affect the </w:t>
      </w:r>
      <w:r w:rsidR="000F3EB6" w:rsidRPr="00532C20">
        <w:rPr>
          <w:noProof/>
        </w:rPr>
        <w:t>target of reducing burdens associated with reporting requirements, set in the Commission’s long-term competitiveness Communication</w:t>
      </w:r>
      <w:r w:rsidR="000F3EB6" w:rsidRPr="00532C20">
        <w:rPr>
          <w:rStyle w:val="FootnoteReference"/>
          <w:noProof/>
        </w:rPr>
        <w:footnoteReference w:id="238"/>
      </w:r>
      <w:r w:rsidR="000F3EB6" w:rsidRPr="00532C20">
        <w:rPr>
          <w:noProof/>
        </w:rPr>
        <w:t xml:space="preserve">. Reducing administrative burdens is crucial to maintaining the competitiveness of European businesses. In </w:t>
      </w:r>
      <w:r w:rsidR="00D6267B" w:rsidRPr="00532C20">
        <w:rPr>
          <w:noProof/>
        </w:rPr>
        <w:t>some</w:t>
      </w:r>
      <w:r w:rsidRPr="00532C20">
        <w:rPr>
          <w:noProof/>
        </w:rPr>
        <w:t xml:space="preserve"> </w:t>
      </w:r>
      <w:r w:rsidR="000F3EB6" w:rsidRPr="00532C20">
        <w:rPr>
          <w:noProof/>
        </w:rPr>
        <w:t>cases,</w:t>
      </w:r>
      <w:r w:rsidRPr="00532C20">
        <w:rPr>
          <w:rFonts w:ascii="Times New Roman" w:hAnsi="Times New Roman" w:cs="Times New Roman"/>
          <w:noProof/>
          <w:lang w:val="en-IE"/>
        </w:rPr>
        <w:t xml:space="preserve"> entities carrying out </w:t>
      </w:r>
      <w:r w:rsidRPr="00532C20">
        <w:rPr>
          <w:rFonts w:ascii="Times New Roman" w:hAnsi="Times New Roman"/>
          <w:noProof/>
          <w:lang w:val="en-IE"/>
        </w:rPr>
        <w:t>interest representation on behalf of third</w:t>
      </w:r>
      <w:r w:rsidR="00755DAB" w:rsidRPr="00532C20">
        <w:rPr>
          <w:rFonts w:ascii="Times New Roman" w:hAnsi="Times New Roman"/>
          <w:noProof/>
          <w:lang w:val="en-IE"/>
        </w:rPr>
        <w:t xml:space="preserve"> </w:t>
      </w:r>
      <w:r w:rsidR="009A44BA" w:rsidRPr="00532C20">
        <w:rPr>
          <w:rFonts w:ascii="Times New Roman" w:hAnsi="Times New Roman"/>
          <w:noProof/>
          <w:lang w:val="en-IE"/>
        </w:rPr>
        <w:t xml:space="preserve">countries could fall under the scope of the </w:t>
      </w:r>
      <w:r w:rsidR="00E201DA" w:rsidRPr="00532C20">
        <w:rPr>
          <w:rFonts w:ascii="Times New Roman" w:hAnsi="Times New Roman" w:cs="Times New Roman"/>
          <w:b/>
          <w:noProof/>
          <w:lang w:val="en-IE"/>
        </w:rPr>
        <w:t>Directive on corporate sustainability reporting</w:t>
      </w:r>
      <w:r w:rsidR="006355A3" w:rsidRPr="00532C20">
        <w:rPr>
          <w:rFonts w:ascii="Times New Roman" w:hAnsi="Times New Roman" w:cs="Times New Roman"/>
          <w:b/>
          <w:noProof/>
          <w:lang w:val="en-IE"/>
        </w:rPr>
        <w:t xml:space="preserve"> (CSR</w:t>
      </w:r>
      <w:r w:rsidR="000B6C1F" w:rsidRPr="00532C20">
        <w:rPr>
          <w:rFonts w:ascii="Times New Roman" w:hAnsi="Times New Roman" w:cs="Times New Roman"/>
          <w:b/>
          <w:noProof/>
          <w:lang w:val="en-IE"/>
        </w:rPr>
        <w:t>D</w:t>
      </w:r>
      <w:r w:rsidR="006355A3" w:rsidRPr="00532C20">
        <w:rPr>
          <w:rFonts w:ascii="Times New Roman" w:hAnsi="Times New Roman" w:cs="Times New Roman"/>
          <w:b/>
          <w:noProof/>
          <w:lang w:val="en-IE"/>
        </w:rPr>
        <w:t>)</w:t>
      </w:r>
      <w:bookmarkStart w:id="1043" w:name="_Ref147915728"/>
      <w:r w:rsidR="00CD5A98" w:rsidRPr="00532C20">
        <w:rPr>
          <w:rStyle w:val="FootnoteReference"/>
          <w:rFonts w:ascii="Times New Roman" w:hAnsi="Times New Roman" w:cs="Times New Roman"/>
          <w:noProof/>
          <w:lang w:val="en-IE"/>
        </w:rPr>
        <w:footnoteReference w:id="239"/>
      </w:r>
      <w:bookmarkEnd w:id="1043"/>
      <w:r w:rsidR="00EA04E7" w:rsidRPr="00532C20">
        <w:rPr>
          <w:rFonts w:ascii="Times New Roman" w:hAnsi="Times New Roman" w:cs="Times New Roman"/>
          <w:noProof/>
          <w:lang w:val="en-IE"/>
        </w:rPr>
        <w:t>.</w:t>
      </w:r>
      <w:r w:rsidR="00EA04E7" w:rsidRPr="00532C20">
        <w:rPr>
          <w:rFonts w:ascii="Times New Roman" w:hAnsi="Times New Roman" w:cs="Times New Roman"/>
          <w:noProof/>
        </w:rPr>
        <w:t xml:space="preserve"> </w:t>
      </w:r>
      <w:r w:rsidR="00EA04E7" w:rsidRPr="00532C20">
        <w:rPr>
          <w:rFonts w:ascii="Times New Roman" w:hAnsi="Times New Roman" w:cs="Times New Roman"/>
          <w:noProof/>
          <w:lang w:val="en-IE"/>
        </w:rPr>
        <w:t>These cases would be limited and restricted to the situation were the actions of a large company would be attributed to a third country</w:t>
      </w:r>
      <w:r w:rsidR="00EA04E7" w:rsidRPr="00532C20">
        <w:rPr>
          <w:rStyle w:val="FootnoteReference"/>
          <w:rFonts w:ascii="Times New Roman" w:hAnsi="Times New Roman" w:cs="Times New Roman"/>
          <w:noProof/>
          <w:lang w:val="en-IE"/>
        </w:rPr>
        <w:footnoteReference w:id="240"/>
      </w:r>
      <w:r w:rsidR="00EA04E7" w:rsidRPr="00532C20">
        <w:rPr>
          <w:rFonts w:ascii="Times New Roman" w:hAnsi="Times New Roman" w:cs="Times New Roman"/>
          <w:noProof/>
          <w:lang w:val="en-IE"/>
        </w:rPr>
        <w:t>.</w:t>
      </w:r>
      <w:r w:rsidR="00EA04E7" w:rsidRPr="00532C20">
        <w:rPr>
          <w:rFonts w:ascii="Times New Roman" w:hAnsi="Times New Roman"/>
          <w:noProof/>
        </w:rPr>
        <w:t xml:space="preserve"> </w:t>
      </w:r>
      <w:r w:rsidR="00EA04E7" w:rsidRPr="00532C20">
        <w:rPr>
          <w:rFonts w:ascii="Times New Roman" w:hAnsi="Times New Roman" w:cs="Times New Roman"/>
          <w:noProof/>
          <w:lang w:val="en-IE"/>
        </w:rPr>
        <w:t>In that case, the large company will have to register according to the requirement of the policy options and apply the CSR</w:t>
      </w:r>
      <w:r w:rsidR="000B6C1F" w:rsidRPr="00532C20">
        <w:rPr>
          <w:rFonts w:ascii="Times New Roman" w:hAnsi="Times New Roman" w:cs="Times New Roman"/>
          <w:noProof/>
          <w:lang w:val="en-IE"/>
        </w:rPr>
        <w:t>D</w:t>
      </w:r>
      <w:r w:rsidR="00EA04E7" w:rsidRPr="00532C20">
        <w:rPr>
          <w:rFonts w:ascii="Times New Roman" w:hAnsi="Times New Roman" w:cs="Times New Roman"/>
          <w:noProof/>
          <w:lang w:val="en-IE"/>
        </w:rPr>
        <w:t xml:space="preserve"> requirements</w:t>
      </w:r>
      <w:r w:rsidR="00EA04E7" w:rsidRPr="00532C20" w:rsidDel="00DE0283">
        <w:rPr>
          <w:rFonts w:ascii="Times New Roman" w:hAnsi="Times New Roman" w:cs="Times New Roman"/>
          <w:noProof/>
          <w:lang w:val="en-IE"/>
        </w:rPr>
        <w:t>.</w:t>
      </w:r>
      <w:r w:rsidR="00EA04E7" w:rsidRPr="00532C20">
        <w:rPr>
          <w:rFonts w:ascii="Times New Roman" w:hAnsi="Times New Roman" w:cs="Times New Roman"/>
          <w:noProof/>
          <w:lang w:val="en-IE"/>
        </w:rPr>
        <w:t xml:space="preserve"> </w:t>
      </w:r>
      <w:r w:rsidR="00D6267B" w:rsidRPr="00532C20">
        <w:rPr>
          <w:rFonts w:ascii="Times New Roman" w:hAnsi="Times New Roman" w:cs="Times New Roman"/>
          <w:noProof/>
          <w:lang w:val="en-IE"/>
        </w:rPr>
        <w:t>T</w:t>
      </w:r>
      <w:r w:rsidR="00EA04E7" w:rsidRPr="00532C20">
        <w:rPr>
          <w:rFonts w:ascii="Times New Roman" w:hAnsi="Times New Roman" w:cs="Times New Roman"/>
          <w:noProof/>
        </w:rPr>
        <w:t>he CSR</w:t>
      </w:r>
      <w:r w:rsidR="000B6C1F" w:rsidRPr="00532C20">
        <w:rPr>
          <w:rFonts w:ascii="Times New Roman" w:hAnsi="Times New Roman" w:cs="Times New Roman"/>
          <w:noProof/>
        </w:rPr>
        <w:t>D</w:t>
      </w:r>
      <w:r w:rsidR="00EA04E7" w:rsidRPr="00532C20">
        <w:rPr>
          <w:rFonts w:ascii="Times New Roman" w:hAnsi="Times New Roman" w:cs="Times New Roman"/>
          <w:noProof/>
        </w:rPr>
        <w:t>, re</w:t>
      </w:r>
      <w:r w:rsidR="00EA04E7" w:rsidRPr="00532C20">
        <w:rPr>
          <w:rFonts w:ascii="Times New Roman" w:hAnsi="Times New Roman" w:cs="Times New Roman"/>
          <w:noProof/>
          <w:lang w:val="en-IE"/>
        </w:rPr>
        <w:t xml:space="preserve">porting obligations are </w:t>
      </w:r>
      <w:r w:rsidR="000F3EB6" w:rsidRPr="00532C20">
        <w:rPr>
          <w:rFonts w:ascii="Times New Roman" w:hAnsi="Times New Roman" w:cs="Times New Roman"/>
          <w:noProof/>
          <w:lang w:val="en-IE"/>
        </w:rPr>
        <w:t xml:space="preserve">to be </w:t>
      </w:r>
      <w:r w:rsidR="00EA04E7" w:rsidRPr="00532C20">
        <w:rPr>
          <w:rFonts w:ascii="Times New Roman" w:hAnsi="Times New Roman" w:cs="Times New Roman"/>
          <w:noProof/>
          <w:lang w:val="en-IE"/>
        </w:rPr>
        <w:t xml:space="preserve">done </w:t>
      </w:r>
      <w:r w:rsidR="00EA04E7" w:rsidRPr="00532C20">
        <w:rPr>
          <w:rFonts w:ascii="Times New Roman" w:hAnsi="Times New Roman" w:cs="Times New Roman"/>
          <w:noProof/>
          <w:lang w:val="en-IE" w:eastAsia="en-US"/>
        </w:rPr>
        <w:t>annually</w:t>
      </w:r>
      <w:r w:rsidR="00EA04E7" w:rsidRPr="00532C20">
        <w:rPr>
          <w:rFonts w:ascii="Times New Roman" w:hAnsi="Times New Roman" w:cs="Times New Roman"/>
          <w:noProof/>
          <w:lang w:val="en-IE"/>
        </w:rPr>
        <w:t xml:space="preserve"> and include reporting obligations on political influence and lobbying activities.</w:t>
      </w:r>
    </w:p>
    <w:p w14:paraId="3C6EAA53" w14:textId="684AC299" w:rsidR="00363772" w:rsidRPr="00532C20" w:rsidRDefault="00363772" w:rsidP="00882803">
      <w:pPr>
        <w:pStyle w:val="ListParagraph"/>
        <w:spacing w:before="240" w:after="120"/>
        <w:ind w:left="0"/>
        <w:jc w:val="both"/>
        <w:textAlignment w:val="baseline"/>
        <w:rPr>
          <w:rFonts w:ascii="Times New Roman" w:hAnsi="Times New Roman" w:cs="Times New Roman"/>
          <w:noProof/>
          <w:lang w:val="en-IE"/>
        </w:rPr>
      </w:pPr>
      <w:r w:rsidRPr="00532C20">
        <w:rPr>
          <w:rFonts w:ascii="Times New Roman" w:hAnsi="Times New Roman" w:cs="Times New Roman"/>
          <w:noProof/>
          <w:lang w:val="en-IE"/>
        </w:rPr>
        <w:t xml:space="preserve">The transparency registered established under these two policy options would </w:t>
      </w:r>
      <w:r w:rsidR="00ED0F5C" w:rsidRPr="00532C20">
        <w:rPr>
          <w:rFonts w:ascii="Times New Roman" w:hAnsi="Times New Roman" w:cs="Times New Roman"/>
          <w:noProof/>
          <w:lang w:val="en-IE"/>
        </w:rPr>
        <w:t xml:space="preserve">be separate instruments than the </w:t>
      </w:r>
      <w:r w:rsidR="00ED0F5C" w:rsidRPr="00532C20">
        <w:rPr>
          <w:rFonts w:ascii="Times New Roman" w:hAnsi="Times New Roman" w:cs="Times New Roman"/>
          <w:b/>
          <w:bCs/>
          <w:noProof/>
          <w:lang w:val="en-IE"/>
        </w:rPr>
        <w:t>EU transparency register</w:t>
      </w:r>
      <w:r w:rsidR="00ED0F5C" w:rsidRPr="00532C20">
        <w:rPr>
          <w:rStyle w:val="FootnoteReference"/>
          <w:rFonts w:ascii="Times New Roman" w:hAnsi="Times New Roman" w:cs="Times New Roman"/>
          <w:noProof/>
          <w:lang w:val="en-IE"/>
        </w:rPr>
        <w:footnoteReference w:id="241"/>
      </w:r>
      <w:r w:rsidR="00ED0F5C" w:rsidRPr="00532C20">
        <w:rPr>
          <w:rFonts w:ascii="Times New Roman" w:hAnsi="Times New Roman" w:cs="Times New Roman"/>
          <w:noProof/>
          <w:lang w:val="en-IE"/>
        </w:rPr>
        <w:t>.</w:t>
      </w:r>
    </w:p>
    <w:p w14:paraId="388ED043" w14:textId="77777777" w:rsidR="0004068D" w:rsidRPr="00532C20" w:rsidRDefault="0004068D" w:rsidP="00882803">
      <w:pPr>
        <w:pStyle w:val="ListParagraph"/>
        <w:spacing w:before="240" w:after="120"/>
        <w:ind w:left="0"/>
        <w:jc w:val="both"/>
        <w:textAlignment w:val="baseline"/>
        <w:rPr>
          <w:rFonts w:ascii="Times New Roman" w:hAnsi="Times New Roman" w:cs="Times New Roman"/>
          <w:noProof/>
          <w:lang w:val="en-IE"/>
        </w:rPr>
      </w:pPr>
    </w:p>
    <w:p w14:paraId="42160BE6" w14:textId="0757437E" w:rsidR="0004068D" w:rsidRPr="00532C20" w:rsidRDefault="0004068D" w:rsidP="00882803">
      <w:pPr>
        <w:pStyle w:val="ListParagraph"/>
        <w:spacing w:before="240" w:after="120"/>
        <w:ind w:left="0"/>
        <w:jc w:val="both"/>
        <w:textAlignment w:val="baseline"/>
        <w:rPr>
          <w:rFonts w:ascii="Times New Roman" w:hAnsi="Times New Roman" w:cs="Times New Roman"/>
          <w:noProof/>
          <w:lang w:val="en-IE"/>
        </w:rPr>
      </w:pPr>
      <w:r w:rsidRPr="00532C20">
        <w:rPr>
          <w:rFonts w:ascii="Times New Roman" w:hAnsi="Times New Roman" w:cs="Times New Roman"/>
          <w:noProof/>
          <w:lang w:val="en-IE"/>
        </w:rPr>
        <w:t xml:space="preserve">This initiative would contribute to the available legal and policy instruments presented in the Foreign Information Manipulation and Interference (FIMI) </w:t>
      </w:r>
      <w:r w:rsidR="001D07BB">
        <w:rPr>
          <w:rFonts w:ascii="Times New Roman" w:hAnsi="Times New Roman" w:cs="Times New Roman"/>
          <w:noProof/>
          <w:lang w:val="en-IE"/>
        </w:rPr>
        <w:t>T</w:t>
      </w:r>
      <w:r w:rsidRPr="00532C20">
        <w:rPr>
          <w:rFonts w:ascii="Times New Roman" w:hAnsi="Times New Roman" w:cs="Times New Roman"/>
          <w:noProof/>
          <w:lang w:val="en-IE"/>
        </w:rPr>
        <w:t xml:space="preserve">oolbox, which frames and inventories the EU’s comprehensive approach to </w:t>
      </w:r>
      <w:r w:rsidR="001D07BB">
        <w:rPr>
          <w:rFonts w:ascii="Times New Roman" w:hAnsi="Times New Roman" w:cs="Times New Roman"/>
          <w:noProof/>
          <w:lang w:val="en-IE"/>
        </w:rPr>
        <w:t xml:space="preserve">tackle </w:t>
      </w:r>
      <w:r w:rsidRPr="00532C20">
        <w:rPr>
          <w:rFonts w:ascii="Times New Roman" w:hAnsi="Times New Roman" w:cs="Times New Roman"/>
          <w:noProof/>
          <w:lang w:val="en-IE"/>
        </w:rPr>
        <w:t xml:space="preserve">FIMI and disinformation. In instances where interest representation activities can be linked to FIMI incidents, this will help efforts initiated through the toolbox to develop a common analytical framework and methodology to collect systematic evidence of FIMI incidents, improve the understanding of tactics, techniques and procedures used to manipulate, and </w:t>
      </w:r>
      <w:r w:rsidR="001D07BB">
        <w:rPr>
          <w:rFonts w:ascii="Times New Roman" w:hAnsi="Times New Roman" w:cs="Times New Roman"/>
          <w:noProof/>
          <w:lang w:val="en-IE"/>
        </w:rPr>
        <w:t>contribute to</w:t>
      </w:r>
      <w:r w:rsidR="001D07BB" w:rsidRPr="00532C20">
        <w:rPr>
          <w:rFonts w:ascii="Times New Roman" w:hAnsi="Times New Roman" w:cs="Times New Roman"/>
          <w:noProof/>
          <w:lang w:val="en-IE"/>
        </w:rPr>
        <w:t xml:space="preserve"> </w:t>
      </w:r>
      <w:r w:rsidRPr="00532C20">
        <w:rPr>
          <w:rFonts w:ascii="Times New Roman" w:hAnsi="Times New Roman" w:cs="Times New Roman"/>
          <w:noProof/>
          <w:lang w:val="en-IE"/>
        </w:rPr>
        <w:t xml:space="preserve">an interoperable methodology aimed at supporting a whole-of-society approach to tackling FIMI. In this sense, it could also support different measures of the Common Foreign and Security Policy where interest representation activities can be linked to FIMI </w:t>
      </w:r>
      <w:r w:rsidR="001D07BB">
        <w:rPr>
          <w:rFonts w:ascii="Times New Roman" w:hAnsi="Times New Roman" w:cs="Times New Roman"/>
          <w:noProof/>
          <w:lang w:val="en-IE"/>
        </w:rPr>
        <w:t>activities</w:t>
      </w:r>
      <w:r w:rsidRPr="00532C20">
        <w:rPr>
          <w:rFonts w:ascii="Times New Roman" w:hAnsi="Times New Roman" w:cs="Times New Roman"/>
          <w:noProof/>
          <w:lang w:val="en-IE"/>
        </w:rPr>
        <w:t>.</w:t>
      </w:r>
    </w:p>
    <w:p w14:paraId="0257128B" w14:textId="77777777" w:rsidR="004B0958" w:rsidRPr="00532C20" w:rsidRDefault="004B0958" w:rsidP="00763436">
      <w:pPr>
        <w:pStyle w:val="11Subsection"/>
        <w:rPr>
          <w:noProof/>
        </w:rPr>
      </w:pPr>
      <w:bookmarkStart w:id="1044" w:name="_Toc152864713"/>
      <w:r w:rsidRPr="00532C20">
        <w:rPr>
          <w:noProof/>
        </w:rPr>
        <w:t>Proportionality</w:t>
      </w:r>
      <w:bookmarkEnd w:id="1044"/>
      <w:r w:rsidRPr="00532C20">
        <w:rPr>
          <w:noProof/>
        </w:rPr>
        <w:t xml:space="preserve"> </w:t>
      </w:r>
    </w:p>
    <w:p w14:paraId="5654FB37" w14:textId="408A6818" w:rsidR="00816F4F" w:rsidRPr="00532C20" w:rsidRDefault="001F64DC" w:rsidP="007743E3">
      <w:pPr>
        <w:pStyle w:val="BodyText"/>
        <w:rPr>
          <w:noProof/>
        </w:rPr>
      </w:pPr>
      <w:r w:rsidRPr="00532C20">
        <w:rPr>
          <w:noProof/>
        </w:rPr>
        <w:t>PO</w:t>
      </w:r>
      <w:r w:rsidR="00000DE1" w:rsidRPr="00532C20">
        <w:rPr>
          <w:noProof/>
        </w:rPr>
        <w:t xml:space="preserve">1 and the targeted requirements in </w:t>
      </w:r>
      <w:r w:rsidR="00F812F7" w:rsidRPr="00532C20">
        <w:rPr>
          <w:noProof/>
        </w:rPr>
        <w:t>PO</w:t>
      </w:r>
      <w:r w:rsidR="00000DE1" w:rsidRPr="00532C20">
        <w:rPr>
          <w:noProof/>
        </w:rPr>
        <w:t>2.</w:t>
      </w:r>
      <w:r w:rsidR="00926C12" w:rsidRPr="00532C20">
        <w:rPr>
          <w:noProof/>
        </w:rPr>
        <w:t>1</w:t>
      </w:r>
      <w:r w:rsidR="004B0958" w:rsidRPr="00532C20">
        <w:rPr>
          <w:noProof/>
        </w:rPr>
        <w:t xml:space="preserve"> are proportionate to the objectives set</w:t>
      </w:r>
      <w:r w:rsidR="00F812F7" w:rsidRPr="00532C20">
        <w:rPr>
          <w:noProof/>
        </w:rPr>
        <w:t xml:space="preserve"> (see sections 6.2.1, 6.2.3 and 6.2.4)</w:t>
      </w:r>
      <w:r w:rsidR="004B0958" w:rsidRPr="00532C20">
        <w:rPr>
          <w:noProof/>
        </w:rPr>
        <w:t xml:space="preserve">. </w:t>
      </w:r>
      <w:r w:rsidR="0085309B" w:rsidRPr="00532C20">
        <w:rPr>
          <w:noProof/>
        </w:rPr>
        <w:t>PO2.</w:t>
      </w:r>
      <w:r w:rsidR="00926C12" w:rsidRPr="00532C20">
        <w:rPr>
          <w:noProof/>
        </w:rPr>
        <w:t>1</w:t>
      </w:r>
      <w:r w:rsidR="0085309B" w:rsidRPr="00532C20">
        <w:rPr>
          <w:noProof/>
        </w:rPr>
        <w:t xml:space="preserve"> proposes safeguards that </w:t>
      </w:r>
      <w:r w:rsidR="00085415" w:rsidRPr="00532C20">
        <w:rPr>
          <w:noProof/>
        </w:rPr>
        <w:t xml:space="preserve">prevent </w:t>
      </w:r>
      <w:r w:rsidR="00FA2723" w:rsidRPr="00532C20">
        <w:rPr>
          <w:noProof/>
        </w:rPr>
        <w:t xml:space="preserve">in particular </w:t>
      </w:r>
      <w:r w:rsidR="00085415" w:rsidRPr="00532C20">
        <w:rPr>
          <w:noProof/>
        </w:rPr>
        <w:t xml:space="preserve">the stigmatisation of legitimate interest representation. They notably include </w:t>
      </w:r>
      <w:r w:rsidR="004D2B6C" w:rsidRPr="00532C20">
        <w:rPr>
          <w:noProof/>
        </w:rPr>
        <w:t xml:space="preserve">equal transparency requirements for all entities, the obligation for Member States’ authorities to ensure that no </w:t>
      </w:r>
      <w:r w:rsidR="00C23CD3" w:rsidRPr="00532C20">
        <w:rPr>
          <w:noProof/>
        </w:rPr>
        <w:t xml:space="preserve">adverse consequences arise from the mere fact of registration, the non-publishment of </w:t>
      </w:r>
      <w:r w:rsidR="00B2577C" w:rsidRPr="00532C20">
        <w:rPr>
          <w:noProof/>
        </w:rPr>
        <w:t>data based on an overriding legitimate interest</w:t>
      </w:r>
      <w:r w:rsidR="00407FE3" w:rsidRPr="00532C20">
        <w:rPr>
          <w:noProof/>
        </w:rPr>
        <w:t>, and thresholds limiting the powers of supervisory authorities to ask for information</w:t>
      </w:r>
      <w:r w:rsidR="0076277A" w:rsidRPr="00532C20">
        <w:rPr>
          <w:noProof/>
        </w:rPr>
        <w:t>.</w:t>
      </w:r>
      <w:r w:rsidR="0085309B" w:rsidRPr="00532C20">
        <w:rPr>
          <w:noProof/>
        </w:rPr>
        <w:t xml:space="preserve"> </w:t>
      </w:r>
    </w:p>
    <w:p w14:paraId="616F1B09" w14:textId="26B31A66" w:rsidR="004B0958" w:rsidRPr="00532C20" w:rsidRDefault="004B0958" w:rsidP="007743E3">
      <w:pPr>
        <w:pStyle w:val="BodyText"/>
        <w:rPr>
          <w:noProof/>
        </w:rPr>
      </w:pPr>
      <w:r w:rsidRPr="00532C20">
        <w:rPr>
          <w:noProof/>
        </w:rPr>
        <w:t xml:space="preserve">However the extended requirements in </w:t>
      </w:r>
      <w:r w:rsidR="00F812F7" w:rsidRPr="00532C20">
        <w:rPr>
          <w:noProof/>
        </w:rPr>
        <w:t>PO</w:t>
      </w:r>
      <w:r w:rsidRPr="00532C20">
        <w:rPr>
          <w:noProof/>
        </w:rPr>
        <w:t>2.</w:t>
      </w:r>
      <w:r w:rsidR="00926C12" w:rsidRPr="00532C20">
        <w:rPr>
          <w:noProof/>
        </w:rPr>
        <w:t>2</w:t>
      </w:r>
      <w:r w:rsidRPr="00532C20">
        <w:rPr>
          <w:noProof/>
        </w:rPr>
        <w:t xml:space="preserve"> would impose more costs and further rest</w:t>
      </w:r>
      <w:r w:rsidR="00691520" w:rsidRPr="00532C20">
        <w:rPr>
          <w:noProof/>
        </w:rPr>
        <w:t>r</w:t>
      </w:r>
      <w:r w:rsidRPr="00532C20">
        <w:rPr>
          <w:noProof/>
        </w:rPr>
        <w:t xml:space="preserve">ict </w:t>
      </w:r>
      <w:r w:rsidR="00000DE1" w:rsidRPr="00532C20">
        <w:rPr>
          <w:noProof/>
        </w:rPr>
        <w:t xml:space="preserve">the freedom to conduct a bussiness and </w:t>
      </w:r>
      <w:r w:rsidR="00E31B5F" w:rsidRPr="00532C20">
        <w:rPr>
          <w:noProof/>
        </w:rPr>
        <w:t>c</w:t>
      </w:r>
      <w:r w:rsidR="00000DE1" w:rsidRPr="00532C20">
        <w:rPr>
          <w:noProof/>
        </w:rPr>
        <w:t xml:space="preserve">ould </w:t>
      </w:r>
      <w:r w:rsidR="00BE182C" w:rsidRPr="00532C20">
        <w:rPr>
          <w:noProof/>
        </w:rPr>
        <w:t xml:space="preserve">have </w:t>
      </w:r>
      <w:r w:rsidR="00000DE1" w:rsidRPr="00532C20">
        <w:rPr>
          <w:noProof/>
        </w:rPr>
        <w:t xml:space="preserve">disportionate </w:t>
      </w:r>
      <w:r w:rsidR="00A52360" w:rsidRPr="00532C20">
        <w:rPr>
          <w:noProof/>
        </w:rPr>
        <w:t>e</w:t>
      </w:r>
      <w:r w:rsidR="00000DE1" w:rsidRPr="00532C20">
        <w:rPr>
          <w:noProof/>
        </w:rPr>
        <w:t>ffect</w:t>
      </w:r>
      <w:r w:rsidR="00A52360" w:rsidRPr="00532C20">
        <w:rPr>
          <w:noProof/>
        </w:rPr>
        <w:t>s</w:t>
      </w:r>
      <w:r w:rsidR="00000DE1" w:rsidRPr="00532C20">
        <w:rPr>
          <w:noProof/>
        </w:rPr>
        <w:t xml:space="preserve"> </w:t>
      </w:r>
      <w:r w:rsidR="00F30698" w:rsidRPr="00532C20">
        <w:rPr>
          <w:noProof/>
        </w:rPr>
        <w:t>on</w:t>
      </w:r>
      <w:r w:rsidR="00000DE1" w:rsidRPr="00532C20">
        <w:rPr>
          <w:noProof/>
        </w:rPr>
        <w:t xml:space="preserve"> </w:t>
      </w:r>
      <w:r w:rsidRPr="00532C20">
        <w:rPr>
          <w:noProof/>
        </w:rPr>
        <w:t>the freedom of association</w:t>
      </w:r>
      <w:r w:rsidR="00000DE1" w:rsidRPr="00532C20">
        <w:rPr>
          <w:noProof/>
        </w:rPr>
        <w:t xml:space="preserve"> and</w:t>
      </w:r>
      <w:r w:rsidRPr="00532C20">
        <w:rPr>
          <w:noProof/>
        </w:rPr>
        <w:t xml:space="preserve"> the freedom of the arts and sciences and</w:t>
      </w:r>
      <w:r w:rsidR="007743E3" w:rsidRPr="00532C20">
        <w:rPr>
          <w:noProof/>
        </w:rPr>
        <w:t xml:space="preserve"> have </w:t>
      </w:r>
      <w:r w:rsidR="000C0125" w:rsidRPr="00532C20">
        <w:rPr>
          <w:noProof/>
        </w:rPr>
        <w:t>greater geopolitical implications</w:t>
      </w:r>
      <w:r w:rsidRPr="00532C20">
        <w:rPr>
          <w:noProof/>
        </w:rPr>
        <w:t xml:space="preserve">. </w:t>
      </w:r>
    </w:p>
    <w:p w14:paraId="742DCEF5" w14:textId="7272B88C" w:rsidR="00F845E5" w:rsidRPr="00532C20" w:rsidRDefault="00DC6C3C" w:rsidP="00401759">
      <w:pPr>
        <w:pStyle w:val="11Subsection"/>
        <w:ind w:left="1560"/>
        <w:rPr>
          <w:noProof/>
        </w:rPr>
      </w:pPr>
      <w:bookmarkStart w:id="1045" w:name="_Toc152864714"/>
      <w:r w:rsidRPr="00532C20">
        <w:rPr>
          <w:noProof/>
        </w:rPr>
        <w:t>Comparison of options</w:t>
      </w:r>
      <w:bookmarkEnd w:id="1045"/>
      <w:r w:rsidRPr="00532C20">
        <w:rPr>
          <w:noProof/>
        </w:rPr>
        <w:t xml:space="preserve"> </w:t>
      </w:r>
    </w:p>
    <w:p w14:paraId="534C7A35" w14:textId="40088E60" w:rsidR="00691520" w:rsidRPr="00532C20" w:rsidRDefault="004531CB" w:rsidP="00362B2A">
      <w:pPr>
        <w:pStyle w:val="BodyText"/>
        <w:rPr>
          <w:noProof/>
          <w:lang w:val="en-IE" w:eastAsia="en-GB"/>
        </w:rPr>
      </w:pPr>
      <w:r w:rsidRPr="00532C20">
        <w:rPr>
          <w:noProof/>
          <w:lang w:val="en-IE" w:eastAsia="en-GB"/>
        </w:rPr>
        <w:t xml:space="preserve">The options are compared against the criteria of effectiveness, efficiency, coherence and proportionality. </w:t>
      </w:r>
    </w:p>
    <w:p w14:paraId="357F964F" w14:textId="24B4A7C0" w:rsidR="00691520" w:rsidRPr="00532C20" w:rsidRDefault="004531CB" w:rsidP="00362B2A">
      <w:pPr>
        <w:pStyle w:val="BodyText"/>
        <w:rPr>
          <w:noProof/>
          <w:lang w:val="en-IE" w:eastAsia="en-GB"/>
        </w:rPr>
      </w:pPr>
      <w:r w:rsidRPr="00532C20">
        <w:rPr>
          <w:noProof/>
          <w:lang w:val="en-IE" w:eastAsia="en-GB"/>
        </w:rPr>
        <w:t xml:space="preserve">In the context of this initiative, effectiveness </w:t>
      </w:r>
      <w:r w:rsidR="00654EDE" w:rsidRPr="00532C20">
        <w:rPr>
          <w:noProof/>
          <w:lang w:val="en-IE" w:eastAsia="en-GB"/>
        </w:rPr>
        <w:t>describes to what extent</w:t>
      </w:r>
      <w:r w:rsidR="0051518C" w:rsidRPr="00532C20">
        <w:rPr>
          <w:noProof/>
          <w:lang w:val="en-IE" w:eastAsia="en-GB"/>
        </w:rPr>
        <w:t xml:space="preserve"> each option would achieve the specific objectives defined in chapter 4.2</w:t>
      </w:r>
      <w:r w:rsidR="00654EDE" w:rsidRPr="00532C20">
        <w:rPr>
          <w:noProof/>
          <w:lang w:val="en-IE" w:eastAsia="en-GB"/>
        </w:rPr>
        <w:t>, i.e. to facilitate cross-border interest representation activities carried out on behalf of third countries when done transparently (1) and to improve knowledge about the magnitude, trends and actors of interest representation carried out on behalf of third countries (2).</w:t>
      </w:r>
      <w:r w:rsidR="006305F0" w:rsidRPr="00532C20">
        <w:rPr>
          <w:noProof/>
          <w:lang w:val="en-IE" w:eastAsia="en-GB"/>
        </w:rPr>
        <w:t xml:space="preserve"> </w:t>
      </w:r>
      <w:r w:rsidR="00B87364">
        <w:rPr>
          <w:noProof/>
          <w:lang w:val="en-IE" w:eastAsia="en-GB"/>
        </w:rPr>
        <w:t>PO</w:t>
      </w:r>
      <w:r w:rsidR="006305F0" w:rsidRPr="00532C20">
        <w:rPr>
          <w:noProof/>
          <w:lang w:val="en-IE" w:eastAsia="en-GB"/>
        </w:rPr>
        <w:t xml:space="preserve">2.1 </w:t>
      </w:r>
      <w:r w:rsidR="000D6921" w:rsidRPr="00532C20">
        <w:rPr>
          <w:noProof/>
          <w:lang w:val="en-IE" w:eastAsia="en-GB"/>
        </w:rPr>
        <w:t>proves to be most effective with regard</w:t>
      </w:r>
      <w:r w:rsidR="00DF102B" w:rsidRPr="00532C20">
        <w:rPr>
          <w:noProof/>
          <w:lang w:val="en-IE" w:eastAsia="en-GB"/>
        </w:rPr>
        <w:t xml:space="preserve"> to </w:t>
      </w:r>
      <w:r w:rsidR="00076BF5" w:rsidRPr="00532C20">
        <w:rPr>
          <w:noProof/>
          <w:lang w:val="en-IE" w:eastAsia="en-GB"/>
        </w:rPr>
        <w:t xml:space="preserve">objective 1, </w:t>
      </w:r>
      <w:r w:rsidR="00B87364">
        <w:rPr>
          <w:noProof/>
          <w:lang w:val="en-IE" w:eastAsia="en-GB"/>
        </w:rPr>
        <w:t>PO</w:t>
      </w:r>
      <w:r w:rsidR="00076BF5" w:rsidRPr="00532C20">
        <w:rPr>
          <w:noProof/>
          <w:lang w:val="en-IE" w:eastAsia="en-GB"/>
        </w:rPr>
        <w:t xml:space="preserve">2.1 and </w:t>
      </w:r>
      <w:r w:rsidR="00B87364">
        <w:rPr>
          <w:noProof/>
          <w:lang w:val="en-IE" w:eastAsia="en-GB"/>
        </w:rPr>
        <w:t>PO</w:t>
      </w:r>
      <w:r w:rsidR="00076BF5" w:rsidRPr="00532C20">
        <w:rPr>
          <w:noProof/>
          <w:lang w:val="en-IE" w:eastAsia="en-GB"/>
        </w:rPr>
        <w:t xml:space="preserve">2.2 are </w:t>
      </w:r>
      <w:r w:rsidR="006F2717" w:rsidRPr="00532C20">
        <w:rPr>
          <w:noProof/>
          <w:lang w:val="en-IE" w:eastAsia="en-GB"/>
        </w:rPr>
        <w:t xml:space="preserve">equally effective </w:t>
      </w:r>
      <w:r w:rsidR="0063321F" w:rsidRPr="00532C20">
        <w:rPr>
          <w:noProof/>
          <w:lang w:val="en-IE" w:eastAsia="en-GB"/>
        </w:rPr>
        <w:t>with regard to objective 2</w:t>
      </w:r>
      <w:r w:rsidR="003941B3" w:rsidRPr="00532C20">
        <w:rPr>
          <w:noProof/>
          <w:lang w:val="en-IE" w:eastAsia="en-GB"/>
        </w:rPr>
        <w:t xml:space="preserve">. </w:t>
      </w:r>
    </w:p>
    <w:p w14:paraId="4F8C926A" w14:textId="26135B85" w:rsidR="00691520" w:rsidRPr="00532C20" w:rsidRDefault="003941B3" w:rsidP="00362B2A">
      <w:pPr>
        <w:pStyle w:val="BodyText"/>
        <w:rPr>
          <w:noProof/>
          <w:lang w:val="en-IE" w:eastAsia="en-GB"/>
        </w:rPr>
      </w:pPr>
      <w:r w:rsidRPr="00532C20">
        <w:rPr>
          <w:noProof/>
          <w:lang w:val="en-IE" w:eastAsia="en-GB"/>
        </w:rPr>
        <w:t>Eff</w:t>
      </w:r>
      <w:r w:rsidR="00526094" w:rsidRPr="00532C20">
        <w:rPr>
          <w:noProof/>
          <w:lang w:val="en-IE" w:eastAsia="en-GB"/>
        </w:rPr>
        <w:t xml:space="preserve">iciency </w:t>
      </w:r>
      <w:r w:rsidR="00362B2A" w:rsidRPr="00532C20">
        <w:rPr>
          <w:noProof/>
          <w:lang w:val="en-IE" w:eastAsia="en-GB"/>
        </w:rPr>
        <w:t xml:space="preserve">assesses the anticipated costs of the measures against the expected benefits of increased effectiveness. </w:t>
      </w:r>
      <w:r w:rsidR="00B87364">
        <w:rPr>
          <w:noProof/>
          <w:lang w:val="en-IE" w:eastAsia="en-GB"/>
        </w:rPr>
        <w:t>PO</w:t>
      </w:r>
      <w:r w:rsidR="00B46A37" w:rsidRPr="00532C20">
        <w:rPr>
          <w:noProof/>
          <w:lang w:val="en-IE" w:eastAsia="en-GB"/>
        </w:rPr>
        <w:t>2.1 performs best i</w:t>
      </w:r>
      <w:r w:rsidR="00453A28" w:rsidRPr="00532C20">
        <w:rPr>
          <w:noProof/>
          <w:lang w:val="en-IE" w:eastAsia="en-GB"/>
        </w:rPr>
        <w:t>n terms of efficiency</w:t>
      </w:r>
      <w:r w:rsidR="000C55BF" w:rsidRPr="00532C20">
        <w:rPr>
          <w:noProof/>
          <w:lang w:val="en-IE" w:eastAsia="en-GB"/>
        </w:rPr>
        <w:t xml:space="preserve">, notably because of the higher </w:t>
      </w:r>
      <w:r w:rsidR="0031384D" w:rsidRPr="00532C20">
        <w:rPr>
          <w:noProof/>
          <w:lang w:val="en-IE" w:eastAsia="en-GB"/>
        </w:rPr>
        <w:t xml:space="preserve">costs </w:t>
      </w:r>
      <w:r w:rsidR="00447997" w:rsidRPr="00532C20">
        <w:rPr>
          <w:noProof/>
          <w:lang w:val="en-IE" w:eastAsia="en-GB"/>
        </w:rPr>
        <w:t xml:space="preserve">that </w:t>
      </w:r>
      <w:r w:rsidR="00B87364">
        <w:rPr>
          <w:noProof/>
          <w:lang w:val="en-IE" w:eastAsia="en-GB"/>
        </w:rPr>
        <w:t>PO</w:t>
      </w:r>
      <w:r w:rsidR="00447997" w:rsidRPr="00532C20">
        <w:rPr>
          <w:noProof/>
          <w:lang w:val="en-IE" w:eastAsia="en-GB"/>
        </w:rPr>
        <w:t xml:space="preserve">2.2 would generate without being more effective. </w:t>
      </w:r>
    </w:p>
    <w:p w14:paraId="7CA3319B" w14:textId="4FAABAE8" w:rsidR="00691520" w:rsidRPr="00532C20" w:rsidRDefault="00447997" w:rsidP="00362B2A">
      <w:pPr>
        <w:pStyle w:val="BodyText"/>
        <w:rPr>
          <w:noProof/>
          <w:lang w:val="en-IE" w:eastAsia="en-GB"/>
        </w:rPr>
      </w:pPr>
      <w:r w:rsidRPr="00532C20">
        <w:rPr>
          <w:noProof/>
          <w:lang w:val="en-IE" w:eastAsia="en-GB"/>
        </w:rPr>
        <w:t xml:space="preserve">Coherence </w:t>
      </w:r>
      <w:r w:rsidR="00A96B11" w:rsidRPr="00532C20">
        <w:rPr>
          <w:noProof/>
          <w:lang w:val="en-IE" w:eastAsia="en-GB"/>
        </w:rPr>
        <w:t xml:space="preserve">describes </w:t>
      </w:r>
      <w:r w:rsidR="00DB0099" w:rsidRPr="00532C20">
        <w:rPr>
          <w:noProof/>
          <w:lang w:val="en-IE" w:eastAsia="en-GB"/>
        </w:rPr>
        <w:t xml:space="preserve">how </w:t>
      </w:r>
      <w:r w:rsidR="000A667C" w:rsidRPr="00532C20">
        <w:rPr>
          <w:noProof/>
          <w:lang w:val="en-IE" w:eastAsia="en-GB"/>
        </w:rPr>
        <w:t xml:space="preserve">the </w:t>
      </w:r>
      <w:r w:rsidR="008C504C" w:rsidRPr="00532C20">
        <w:rPr>
          <w:noProof/>
          <w:lang w:val="en-IE" w:eastAsia="en-GB"/>
        </w:rPr>
        <w:t>proposed measures</w:t>
      </w:r>
      <w:r w:rsidR="000A667C" w:rsidRPr="00532C20">
        <w:rPr>
          <w:noProof/>
          <w:lang w:val="en-IE" w:eastAsia="en-GB"/>
        </w:rPr>
        <w:t xml:space="preserve"> </w:t>
      </w:r>
      <w:r w:rsidR="00C663B1" w:rsidRPr="00532C20">
        <w:rPr>
          <w:noProof/>
          <w:lang w:val="en-IE" w:eastAsia="en-GB"/>
        </w:rPr>
        <w:t xml:space="preserve">would complement </w:t>
      </w:r>
      <w:r w:rsidR="00BC03BC" w:rsidRPr="00532C20">
        <w:rPr>
          <w:noProof/>
          <w:lang w:val="en-IE" w:eastAsia="en-GB"/>
        </w:rPr>
        <w:t xml:space="preserve">existing and planned initiatives. Both </w:t>
      </w:r>
      <w:r w:rsidR="00B87364">
        <w:rPr>
          <w:noProof/>
          <w:lang w:val="en-IE" w:eastAsia="en-GB"/>
        </w:rPr>
        <w:t>PO</w:t>
      </w:r>
      <w:r w:rsidR="00BC03BC" w:rsidRPr="00532C20">
        <w:rPr>
          <w:noProof/>
          <w:lang w:val="en-IE" w:eastAsia="en-GB"/>
        </w:rPr>
        <w:t xml:space="preserve">2.1 and </w:t>
      </w:r>
      <w:r w:rsidR="00B87364">
        <w:rPr>
          <w:noProof/>
          <w:lang w:val="en-IE" w:eastAsia="en-GB"/>
        </w:rPr>
        <w:t>PO</w:t>
      </w:r>
      <w:r w:rsidR="00BC03BC" w:rsidRPr="00532C20">
        <w:rPr>
          <w:noProof/>
          <w:lang w:val="en-IE" w:eastAsia="en-GB"/>
        </w:rPr>
        <w:t xml:space="preserve">2.2 would </w:t>
      </w:r>
      <w:r w:rsidR="008C504C" w:rsidRPr="00532C20">
        <w:rPr>
          <w:noProof/>
          <w:lang w:val="en-IE" w:eastAsia="en-GB"/>
        </w:rPr>
        <w:t xml:space="preserve">be most coherent with other initiatives. </w:t>
      </w:r>
    </w:p>
    <w:p w14:paraId="1F672AC6" w14:textId="5D81E451" w:rsidR="003941B3" w:rsidRPr="00532C20" w:rsidRDefault="008C504C" w:rsidP="00362B2A">
      <w:pPr>
        <w:pStyle w:val="BodyText"/>
        <w:rPr>
          <w:noProof/>
          <w:lang w:val="en-IE" w:eastAsia="en-GB"/>
        </w:rPr>
      </w:pPr>
      <w:r w:rsidRPr="00532C20">
        <w:rPr>
          <w:noProof/>
          <w:lang w:val="en-IE" w:eastAsia="en-GB"/>
        </w:rPr>
        <w:t xml:space="preserve">Proportionality </w:t>
      </w:r>
      <w:r w:rsidR="005B73DA" w:rsidRPr="00532C20">
        <w:rPr>
          <w:noProof/>
          <w:lang w:val="en-IE" w:eastAsia="en-GB"/>
        </w:rPr>
        <w:t xml:space="preserve">relates effectiveness against efficiency and any negative impacts. </w:t>
      </w:r>
      <w:r w:rsidR="00B87364">
        <w:rPr>
          <w:noProof/>
          <w:lang w:val="en-IE" w:eastAsia="en-GB"/>
        </w:rPr>
        <w:t>PO1</w:t>
      </w:r>
      <w:r w:rsidR="00F2724A" w:rsidRPr="00532C20">
        <w:rPr>
          <w:noProof/>
          <w:lang w:val="en-IE" w:eastAsia="en-GB"/>
        </w:rPr>
        <w:t xml:space="preserve"> and </w:t>
      </w:r>
      <w:r w:rsidR="00B87364">
        <w:rPr>
          <w:noProof/>
          <w:lang w:val="en-IE" w:eastAsia="en-GB"/>
        </w:rPr>
        <w:t>PO</w:t>
      </w:r>
      <w:r w:rsidR="00F2724A" w:rsidRPr="00532C20">
        <w:rPr>
          <w:noProof/>
          <w:lang w:val="en-IE" w:eastAsia="en-GB"/>
        </w:rPr>
        <w:t xml:space="preserve">2.1 would </w:t>
      </w:r>
      <w:r w:rsidR="00F12089" w:rsidRPr="00532C20">
        <w:rPr>
          <w:noProof/>
          <w:lang w:val="en-IE" w:eastAsia="en-GB"/>
        </w:rPr>
        <w:t>be proportion</w:t>
      </w:r>
      <w:r w:rsidR="001F66E0" w:rsidRPr="00532C20">
        <w:rPr>
          <w:noProof/>
          <w:lang w:val="en-IE" w:eastAsia="en-GB"/>
        </w:rPr>
        <w:t xml:space="preserve">ate to the objectives set while </w:t>
      </w:r>
      <w:r w:rsidR="00B87364">
        <w:rPr>
          <w:noProof/>
          <w:lang w:val="en-IE" w:eastAsia="en-GB"/>
        </w:rPr>
        <w:t>PO</w:t>
      </w:r>
      <w:r w:rsidR="001F66E0" w:rsidRPr="00532C20">
        <w:rPr>
          <w:noProof/>
          <w:lang w:val="en-IE" w:eastAsia="en-GB"/>
        </w:rPr>
        <w:t xml:space="preserve">2.2 </w:t>
      </w:r>
      <w:r w:rsidR="001148EB" w:rsidRPr="00532C20">
        <w:rPr>
          <w:noProof/>
          <w:lang w:val="en-IE" w:eastAsia="en-GB"/>
        </w:rPr>
        <w:t xml:space="preserve">would impose more costs, </w:t>
      </w:r>
      <w:r w:rsidR="00D975A0" w:rsidRPr="00532C20">
        <w:rPr>
          <w:noProof/>
          <w:lang w:val="en-IE" w:eastAsia="en-GB"/>
        </w:rPr>
        <w:t xml:space="preserve">further </w:t>
      </w:r>
      <w:r w:rsidR="001148EB" w:rsidRPr="00532C20">
        <w:rPr>
          <w:noProof/>
          <w:lang w:val="en-IE" w:eastAsia="en-GB"/>
        </w:rPr>
        <w:t xml:space="preserve">restrict the freedom to conduct </w:t>
      </w:r>
      <w:r w:rsidR="00D975A0" w:rsidRPr="00532C20">
        <w:rPr>
          <w:noProof/>
          <w:lang w:val="en-IE" w:eastAsia="en-GB"/>
        </w:rPr>
        <w:t xml:space="preserve">a business and could have disproportionate effects on other freedoms and </w:t>
      </w:r>
      <w:r w:rsidR="00464032" w:rsidRPr="00532C20">
        <w:rPr>
          <w:noProof/>
          <w:lang w:val="en-IE" w:eastAsia="en-GB"/>
        </w:rPr>
        <w:t xml:space="preserve">diplomatic relations. </w:t>
      </w:r>
    </w:p>
    <w:p w14:paraId="0D0F9DF0" w14:textId="49E74B69" w:rsidR="004B0958" w:rsidRPr="00532C20" w:rsidRDefault="004B0958" w:rsidP="003076AD">
      <w:pPr>
        <w:keepNext/>
        <w:spacing w:before="120" w:after="0" w:line="240" w:lineRule="auto"/>
        <w:jc w:val="both"/>
        <w:rPr>
          <w:b/>
          <w:bCs/>
          <w:noProof/>
        </w:rPr>
      </w:pPr>
      <w:r w:rsidRPr="00532C20">
        <w:rPr>
          <w:rFonts w:ascii="Times New Roman" w:hAnsi="Times New Roman" w:cs="Times New Roman"/>
          <w:b/>
          <w:bCs/>
          <w:noProof/>
          <w:lang w:val="en-IE"/>
        </w:rPr>
        <w:t>Table 6: Comparison of options against the baseline</w:t>
      </w:r>
    </w:p>
    <w:tbl>
      <w:tblPr>
        <w:tblStyle w:val="TableGrid"/>
        <w:tblW w:w="5000" w:type="pct"/>
        <w:tblLook w:val="04A0" w:firstRow="1" w:lastRow="0" w:firstColumn="1" w:lastColumn="0" w:noHBand="0" w:noVBand="1"/>
      </w:tblPr>
      <w:tblGrid>
        <w:gridCol w:w="1536"/>
        <w:gridCol w:w="930"/>
        <w:gridCol w:w="947"/>
        <w:gridCol w:w="1273"/>
        <w:gridCol w:w="1287"/>
        <w:gridCol w:w="1539"/>
        <w:gridCol w:w="1504"/>
      </w:tblGrid>
      <w:tr w:rsidR="004B0958" w:rsidRPr="00532C20" w14:paraId="7F6972FF" w14:textId="077439E2" w:rsidTr="00582553">
        <w:trPr>
          <w:trHeight w:val="236"/>
        </w:trPr>
        <w:tc>
          <w:tcPr>
            <w:tcW w:w="852" w:type="pct"/>
          </w:tcPr>
          <w:p w14:paraId="2B2AAF2B" w14:textId="77777777" w:rsidR="004B0958" w:rsidRPr="00532C20" w:rsidRDefault="004B0958" w:rsidP="004B0958">
            <w:pPr>
              <w:jc w:val="both"/>
              <w:textAlignment w:val="baseline"/>
              <w:rPr>
                <w:rFonts w:ascii="Times New Roman" w:hAnsi="Times New Roman" w:cs="Times New Roman"/>
                <w:b/>
                <w:bCs/>
                <w:noProof/>
                <w:lang w:val="en-IE" w:eastAsia="en-IE"/>
              </w:rPr>
            </w:pPr>
            <w:r w:rsidRPr="00532C20">
              <w:rPr>
                <w:rFonts w:ascii="Times New Roman" w:hAnsi="Times New Roman" w:cs="Times New Roman"/>
                <w:b/>
                <w:bCs/>
                <w:noProof/>
                <w:lang w:val="en-IE" w:eastAsia="en-IE"/>
              </w:rPr>
              <w:t>Options</w:t>
            </w:r>
          </w:p>
        </w:tc>
        <w:tc>
          <w:tcPr>
            <w:tcW w:w="1041" w:type="pct"/>
            <w:gridSpan w:val="2"/>
          </w:tcPr>
          <w:p w14:paraId="1F8EDA31" w14:textId="77777777" w:rsidR="004B0958" w:rsidRPr="00532C20" w:rsidRDefault="004B0958" w:rsidP="004B0958">
            <w:pPr>
              <w:jc w:val="both"/>
              <w:textAlignment w:val="baseline"/>
              <w:rPr>
                <w:rFonts w:ascii="Times New Roman" w:hAnsi="Times New Roman" w:cs="Times New Roman"/>
                <w:b/>
                <w:bCs/>
                <w:noProof/>
                <w:lang w:val="en-IE" w:eastAsia="en-IE"/>
              </w:rPr>
            </w:pPr>
            <w:r w:rsidRPr="00532C20">
              <w:rPr>
                <w:rFonts w:ascii="Times New Roman" w:hAnsi="Times New Roman" w:cs="Times New Roman"/>
                <w:b/>
                <w:bCs/>
                <w:noProof/>
                <w:lang w:val="en-IE" w:eastAsia="en-IE"/>
              </w:rPr>
              <w:t>Effectiveness</w:t>
            </w:r>
          </w:p>
        </w:tc>
        <w:tc>
          <w:tcPr>
            <w:tcW w:w="706" w:type="pct"/>
          </w:tcPr>
          <w:p w14:paraId="46554DE9" w14:textId="77777777" w:rsidR="004B0958" w:rsidRPr="00532C20" w:rsidRDefault="004B0958" w:rsidP="004B0958">
            <w:pPr>
              <w:jc w:val="both"/>
              <w:textAlignment w:val="baseline"/>
              <w:rPr>
                <w:rFonts w:ascii="Times New Roman" w:hAnsi="Times New Roman" w:cs="Times New Roman"/>
                <w:b/>
                <w:bCs/>
                <w:noProof/>
                <w:lang w:val="en-IE" w:eastAsia="en-IE"/>
              </w:rPr>
            </w:pPr>
            <w:r w:rsidRPr="00532C20">
              <w:rPr>
                <w:rFonts w:ascii="Times New Roman" w:hAnsi="Times New Roman" w:cs="Times New Roman"/>
                <w:b/>
                <w:bCs/>
                <w:noProof/>
                <w:lang w:val="en-IE" w:eastAsia="en-IE"/>
              </w:rPr>
              <w:t>Efficiency</w:t>
            </w:r>
          </w:p>
        </w:tc>
        <w:tc>
          <w:tcPr>
            <w:tcW w:w="714" w:type="pct"/>
          </w:tcPr>
          <w:p w14:paraId="519AC1C1" w14:textId="77777777" w:rsidR="004B0958" w:rsidRPr="00532C20" w:rsidRDefault="004B0958" w:rsidP="004B0958">
            <w:pPr>
              <w:jc w:val="both"/>
              <w:textAlignment w:val="baseline"/>
              <w:rPr>
                <w:rFonts w:ascii="Times New Roman" w:hAnsi="Times New Roman" w:cs="Times New Roman"/>
                <w:b/>
                <w:bCs/>
                <w:noProof/>
                <w:lang w:val="en-IE" w:eastAsia="en-IE"/>
              </w:rPr>
            </w:pPr>
            <w:r w:rsidRPr="00532C20">
              <w:rPr>
                <w:rFonts w:ascii="Times New Roman" w:hAnsi="Times New Roman" w:cs="Times New Roman"/>
                <w:b/>
                <w:bCs/>
                <w:noProof/>
                <w:lang w:val="en-IE" w:eastAsia="en-IE"/>
              </w:rPr>
              <w:t>Coherence</w:t>
            </w:r>
          </w:p>
        </w:tc>
        <w:tc>
          <w:tcPr>
            <w:tcW w:w="853" w:type="pct"/>
          </w:tcPr>
          <w:p w14:paraId="3907E859" w14:textId="77777777" w:rsidR="004B0958" w:rsidRPr="00532C20" w:rsidRDefault="004B0958" w:rsidP="004B0958">
            <w:pPr>
              <w:jc w:val="both"/>
              <w:textAlignment w:val="baseline"/>
              <w:rPr>
                <w:rFonts w:ascii="Times New Roman" w:hAnsi="Times New Roman" w:cs="Times New Roman"/>
                <w:b/>
                <w:bCs/>
                <w:noProof/>
                <w:lang w:val="en-IE" w:eastAsia="en-IE"/>
              </w:rPr>
            </w:pPr>
            <w:r w:rsidRPr="00532C20">
              <w:rPr>
                <w:rFonts w:ascii="Times New Roman" w:hAnsi="Times New Roman" w:cs="Times New Roman"/>
                <w:b/>
                <w:bCs/>
                <w:noProof/>
                <w:lang w:val="en-IE" w:eastAsia="en-IE"/>
              </w:rPr>
              <w:t>Proportionality</w:t>
            </w:r>
          </w:p>
        </w:tc>
        <w:tc>
          <w:tcPr>
            <w:tcW w:w="834" w:type="pct"/>
          </w:tcPr>
          <w:p w14:paraId="46AC163D" w14:textId="4E0357B3" w:rsidR="008263E9" w:rsidRPr="00532C20" w:rsidRDefault="008263E9" w:rsidP="004B0958">
            <w:pPr>
              <w:jc w:val="both"/>
              <w:textAlignment w:val="baseline"/>
              <w:rPr>
                <w:rFonts w:ascii="Times New Roman" w:hAnsi="Times New Roman" w:cs="Times New Roman"/>
                <w:b/>
                <w:bCs/>
                <w:noProof/>
                <w:lang w:val="en-IE" w:eastAsia="en-IE"/>
              </w:rPr>
            </w:pPr>
            <w:r w:rsidRPr="00532C20">
              <w:rPr>
                <w:rFonts w:ascii="Times New Roman" w:hAnsi="Times New Roman" w:cs="Times New Roman"/>
                <w:b/>
                <w:bCs/>
                <w:noProof/>
                <w:lang w:val="en-IE" w:eastAsia="en-IE"/>
              </w:rPr>
              <w:t xml:space="preserve">Result </w:t>
            </w:r>
          </w:p>
        </w:tc>
      </w:tr>
      <w:tr w:rsidR="004B0958" w:rsidRPr="00532C20" w14:paraId="77228DFC" w14:textId="749B88B1" w:rsidTr="00582553">
        <w:trPr>
          <w:trHeight w:val="236"/>
        </w:trPr>
        <w:tc>
          <w:tcPr>
            <w:tcW w:w="852" w:type="pct"/>
          </w:tcPr>
          <w:p w14:paraId="0B6DAA95" w14:textId="77777777" w:rsidR="004B0958" w:rsidRPr="00532C20" w:rsidRDefault="004B0958" w:rsidP="004B0958">
            <w:pPr>
              <w:jc w:val="both"/>
              <w:textAlignment w:val="baseline"/>
              <w:rPr>
                <w:rFonts w:ascii="Times New Roman" w:hAnsi="Times New Roman" w:cs="Times New Roman"/>
                <w:noProof/>
                <w:lang w:val="en-IE" w:eastAsia="en-IE"/>
              </w:rPr>
            </w:pPr>
          </w:p>
        </w:tc>
        <w:tc>
          <w:tcPr>
            <w:tcW w:w="516" w:type="pct"/>
          </w:tcPr>
          <w:p w14:paraId="0935D90B" w14:textId="77777777"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1</w:t>
            </w:r>
          </w:p>
        </w:tc>
        <w:tc>
          <w:tcPr>
            <w:tcW w:w="525" w:type="pct"/>
          </w:tcPr>
          <w:p w14:paraId="71D43656" w14:textId="77777777"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2</w:t>
            </w:r>
          </w:p>
        </w:tc>
        <w:tc>
          <w:tcPr>
            <w:tcW w:w="706" w:type="pct"/>
          </w:tcPr>
          <w:p w14:paraId="75357C0C" w14:textId="77777777" w:rsidR="004B0958" w:rsidRPr="00532C20" w:rsidRDefault="004B0958" w:rsidP="004B0958">
            <w:pPr>
              <w:jc w:val="center"/>
              <w:textAlignment w:val="baseline"/>
              <w:rPr>
                <w:rFonts w:ascii="Times New Roman" w:hAnsi="Times New Roman" w:cs="Times New Roman"/>
                <w:noProof/>
                <w:lang w:val="en-IE" w:eastAsia="en-IE"/>
              </w:rPr>
            </w:pPr>
          </w:p>
        </w:tc>
        <w:tc>
          <w:tcPr>
            <w:tcW w:w="714" w:type="pct"/>
          </w:tcPr>
          <w:p w14:paraId="1FE4CD79" w14:textId="77777777" w:rsidR="004B0958" w:rsidRPr="00532C20" w:rsidRDefault="004B0958" w:rsidP="004B0958">
            <w:pPr>
              <w:jc w:val="center"/>
              <w:textAlignment w:val="baseline"/>
              <w:rPr>
                <w:rFonts w:ascii="Times New Roman" w:hAnsi="Times New Roman" w:cs="Times New Roman"/>
                <w:noProof/>
                <w:lang w:val="en-IE" w:eastAsia="en-IE"/>
              </w:rPr>
            </w:pPr>
          </w:p>
        </w:tc>
        <w:tc>
          <w:tcPr>
            <w:tcW w:w="853" w:type="pct"/>
          </w:tcPr>
          <w:p w14:paraId="27AB7134" w14:textId="77777777" w:rsidR="004B0958" w:rsidRPr="00532C20" w:rsidRDefault="004B0958" w:rsidP="004B0958">
            <w:pPr>
              <w:jc w:val="center"/>
              <w:textAlignment w:val="baseline"/>
              <w:rPr>
                <w:rFonts w:ascii="Times New Roman" w:hAnsi="Times New Roman" w:cs="Times New Roman"/>
                <w:noProof/>
                <w:lang w:val="en-IE" w:eastAsia="en-IE"/>
              </w:rPr>
            </w:pPr>
          </w:p>
        </w:tc>
        <w:tc>
          <w:tcPr>
            <w:tcW w:w="834" w:type="pct"/>
          </w:tcPr>
          <w:p w14:paraId="7C15DD21" w14:textId="77777777" w:rsidR="008263E9" w:rsidRPr="00532C20" w:rsidRDefault="008263E9" w:rsidP="004B0958">
            <w:pPr>
              <w:jc w:val="center"/>
              <w:textAlignment w:val="baseline"/>
              <w:rPr>
                <w:rFonts w:ascii="Times New Roman" w:hAnsi="Times New Roman" w:cs="Times New Roman"/>
                <w:noProof/>
                <w:lang w:val="en-IE" w:eastAsia="en-IE"/>
              </w:rPr>
            </w:pPr>
          </w:p>
        </w:tc>
      </w:tr>
      <w:tr w:rsidR="004B0958" w:rsidRPr="00532C20" w14:paraId="11528556" w14:textId="5C7E4EAC" w:rsidTr="00582553">
        <w:trPr>
          <w:trHeight w:val="236"/>
        </w:trPr>
        <w:tc>
          <w:tcPr>
            <w:tcW w:w="852" w:type="pct"/>
          </w:tcPr>
          <w:p w14:paraId="03AE024C" w14:textId="77777777" w:rsidR="004B0958" w:rsidRPr="00532C20" w:rsidRDefault="004B0958" w:rsidP="004B0958">
            <w:pPr>
              <w:jc w:val="both"/>
              <w:textAlignment w:val="baseline"/>
              <w:rPr>
                <w:rFonts w:ascii="Times New Roman" w:hAnsi="Times New Roman" w:cs="Times New Roman"/>
                <w:b/>
                <w:bCs/>
                <w:noProof/>
                <w:lang w:val="en-IE" w:eastAsia="en-IE"/>
              </w:rPr>
            </w:pPr>
            <w:r w:rsidRPr="00532C20">
              <w:rPr>
                <w:rFonts w:ascii="Times New Roman" w:hAnsi="Times New Roman" w:cs="Times New Roman"/>
                <w:b/>
                <w:bCs/>
                <w:noProof/>
                <w:lang w:val="en-IE" w:eastAsia="en-IE"/>
              </w:rPr>
              <w:t>Baseline</w:t>
            </w:r>
          </w:p>
        </w:tc>
        <w:tc>
          <w:tcPr>
            <w:tcW w:w="516" w:type="pct"/>
          </w:tcPr>
          <w:p w14:paraId="459AD9ED" w14:textId="2043EB1C" w:rsidR="004B0958" w:rsidRPr="00532C20" w:rsidRDefault="003148E3"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rPr>
              <w:t>0</w:t>
            </w:r>
          </w:p>
        </w:tc>
        <w:tc>
          <w:tcPr>
            <w:tcW w:w="525" w:type="pct"/>
          </w:tcPr>
          <w:p w14:paraId="60A73B67" w14:textId="61C3119D" w:rsidR="004B0958" w:rsidRPr="00532C20" w:rsidRDefault="003148E3"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0</w:t>
            </w:r>
          </w:p>
        </w:tc>
        <w:tc>
          <w:tcPr>
            <w:tcW w:w="706" w:type="pct"/>
          </w:tcPr>
          <w:p w14:paraId="0A9EC440" w14:textId="4BBA7BB9" w:rsidR="004B0958" w:rsidRPr="00532C20" w:rsidRDefault="003148E3"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0</w:t>
            </w:r>
          </w:p>
        </w:tc>
        <w:tc>
          <w:tcPr>
            <w:tcW w:w="714" w:type="pct"/>
          </w:tcPr>
          <w:p w14:paraId="07DB78F6" w14:textId="673FF357" w:rsidR="004B0958" w:rsidRPr="00532C20" w:rsidRDefault="003148E3"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rPr>
              <w:t>0</w:t>
            </w:r>
          </w:p>
        </w:tc>
        <w:tc>
          <w:tcPr>
            <w:tcW w:w="853" w:type="pct"/>
          </w:tcPr>
          <w:p w14:paraId="09BC2134" w14:textId="577E9756" w:rsidR="004B0958" w:rsidRPr="00532C20" w:rsidRDefault="003148E3"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0</w:t>
            </w:r>
          </w:p>
        </w:tc>
        <w:tc>
          <w:tcPr>
            <w:tcW w:w="834" w:type="pct"/>
          </w:tcPr>
          <w:p w14:paraId="7D5D76DD" w14:textId="086B8931" w:rsidR="000A4EA7" w:rsidRPr="00532C20" w:rsidRDefault="000A4EA7" w:rsidP="004B0958">
            <w:pPr>
              <w:jc w:val="center"/>
              <w:textAlignment w:val="baseline"/>
              <w:rPr>
                <w:rFonts w:ascii="Times New Roman" w:hAnsi="Times New Roman" w:cs="Times New Roman"/>
                <w:noProof/>
                <w:lang w:val="en-IE" w:eastAsia="en-IE"/>
              </w:rPr>
            </w:pPr>
          </w:p>
        </w:tc>
      </w:tr>
      <w:tr w:rsidR="004B0958" w:rsidRPr="00532C20" w14:paraId="2ABA8FE6" w14:textId="21F721EF" w:rsidTr="00582553">
        <w:trPr>
          <w:trHeight w:val="236"/>
        </w:trPr>
        <w:tc>
          <w:tcPr>
            <w:tcW w:w="852" w:type="pct"/>
          </w:tcPr>
          <w:p w14:paraId="25D1E59F" w14:textId="30B433E2" w:rsidR="004B0958" w:rsidRPr="00532C20" w:rsidRDefault="004B0958" w:rsidP="004B0958">
            <w:pPr>
              <w:jc w:val="both"/>
              <w:textAlignment w:val="baseline"/>
              <w:rPr>
                <w:rFonts w:ascii="Times New Roman" w:hAnsi="Times New Roman" w:cs="Times New Roman"/>
                <w:b/>
                <w:bCs/>
                <w:noProof/>
                <w:lang w:val="en-IE" w:eastAsia="en-IE"/>
              </w:rPr>
            </w:pPr>
            <w:r w:rsidRPr="00532C20">
              <w:rPr>
                <w:rFonts w:ascii="Times New Roman" w:hAnsi="Times New Roman" w:cs="Times New Roman"/>
                <w:b/>
                <w:bCs/>
                <w:noProof/>
                <w:lang w:val="en-IE" w:eastAsia="en-IE"/>
              </w:rPr>
              <w:t>Option 1</w:t>
            </w:r>
          </w:p>
        </w:tc>
        <w:tc>
          <w:tcPr>
            <w:tcW w:w="516" w:type="pct"/>
          </w:tcPr>
          <w:p w14:paraId="0062D324" w14:textId="77777777"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p>
        </w:tc>
        <w:tc>
          <w:tcPr>
            <w:tcW w:w="525" w:type="pct"/>
          </w:tcPr>
          <w:p w14:paraId="6A4ABF67" w14:textId="77777777"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p>
        </w:tc>
        <w:tc>
          <w:tcPr>
            <w:tcW w:w="706" w:type="pct"/>
          </w:tcPr>
          <w:p w14:paraId="509DBC84" w14:textId="77777777"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p>
        </w:tc>
        <w:tc>
          <w:tcPr>
            <w:tcW w:w="714" w:type="pct"/>
          </w:tcPr>
          <w:p w14:paraId="4E5603F8" w14:textId="77777777"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p>
        </w:tc>
        <w:tc>
          <w:tcPr>
            <w:tcW w:w="853" w:type="pct"/>
          </w:tcPr>
          <w:p w14:paraId="54E33023" w14:textId="207ACA6F"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p>
        </w:tc>
        <w:tc>
          <w:tcPr>
            <w:tcW w:w="834" w:type="pct"/>
          </w:tcPr>
          <w:p w14:paraId="485C2877" w14:textId="21B4CF8E" w:rsidR="008263E9" w:rsidRPr="00532C20" w:rsidRDefault="008263E9" w:rsidP="004B0958">
            <w:pPr>
              <w:jc w:val="center"/>
              <w:textAlignment w:val="baseline"/>
              <w:rPr>
                <w:rFonts w:ascii="Times New Roman" w:hAnsi="Times New Roman" w:cs="Times New Roman"/>
                <w:noProof/>
                <w:lang w:val="en-IE" w:eastAsia="en-IE"/>
              </w:rPr>
            </w:pPr>
          </w:p>
        </w:tc>
      </w:tr>
      <w:tr w:rsidR="004B0958" w:rsidRPr="00532C20" w14:paraId="32FA0600" w14:textId="52DF4B6F" w:rsidTr="00582553">
        <w:trPr>
          <w:trHeight w:val="181"/>
        </w:trPr>
        <w:tc>
          <w:tcPr>
            <w:tcW w:w="852" w:type="pct"/>
          </w:tcPr>
          <w:p w14:paraId="522F3495" w14:textId="2DD90949" w:rsidR="004B0958" w:rsidRPr="00532C20" w:rsidRDefault="004B0958" w:rsidP="004B0958">
            <w:pPr>
              <w:jc w:val="both"/>
              <w:textAlignment w:val="baseline"/>
              <w:rPr>
                <w:rFonts w:ascii="Times New Roman" w:hAnsi="Times New Roman" w:cs="Times New Roman"/>
                <w:b/>
                <w:bCs/>
                <w:noProof/>
                <w:lang w:val="en-IE" w:eastAsia="en-IE"/>
              </w:rPr>
            </w:pPr>
            <w:r w:rsidRPr="00532C20">
              <w:rPr>
                <w:rFonts w:ascii="Times New Roman" w:hAnsi="Times New Roman" w:cs="Times New Roman"/>
                <w:b/>
                <w:bCs/>
                <w:noProof/>
                <w:lang w:val="en-IE" w:eastAsia="en-IE"/>
              </w:rPr>
              <w:t>Option 2.</w:t>
            </w:r>
            <w:r w:rsidR="00D47716" w:rsidRPr="00532C20">
              <w:rPr>
                <w:rFonts w:ascii="Times New Roman" w:hAnsi="Times New Roman" w:cs="Times New Roman"/>
                <w:b/>
                <w:bCs/>
                <w:noProof/>
                <w:lang w:val="en-IE" w:eastAsia="en-IE"/>
              </w:rPr>
              <w:t>1</w:t>
            </w:r>
          </w:p>
        </w:tc>
        <w:tc>
          <w:tcPr>
            <w:tcW w:w="516" w:type="pct"/>
          </w:tcPr>
          <w:p w14:paraId="780123A6" w14:textId="04BA46D3"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r w:rsidR="0074366A" w:rsidRPr="00532C20">
              <w:rPr>
                <w:rFonts w:ascii="Times New Roman" w:hAnsi="Times New Roman" w:cs="Times New Roman"/>
                <w:noProof/>
                <w:lang w:val="en-IE" w:eastAsia="en-IE"/>
              </w:rPr>
              <w:t>+</w:t>
            </w:r>
          </w:p>
        </w:tc>
        <w:tc>
          <w:tcPr>
            <w:tcW w:w="525" w:type="pct"/>
          </w:tcPr>
          <w:p w14:paraId="5EC18A3E" w14:textId="77777777"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p>
        </w:tc>
        <w:tc>
          <w:tcPr>
            <w:tcW w:w="706" w:type="pct"/>
          </w:tcPr>
          <w:p w14:paraId="41E15EF0" w14:textId="77777777"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p>
        </w:tc>
        <w:tc>
          <w:tcPr>
            <w:tcW w:w="714" w:type="pct"/>
          </w:tcPr>
          <w:p w14:paraId="7E040509" w14:textId="77777777"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p>
        </w:tc>
        <w:tc>
          <w:tcPr>
            <w:tcW w:w="853" w:type="pct"/>
          </w:tcPr>
          <w:p w14:paraId="7B422107" w14:textId="77777777"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p>
        </w:tc>
        <w:tc>
          <w:tcPr>
            <w:tcW w:w="834" w:type="pct"/>
          </w:tcPr>
          <w:p w14:paraId="222C5E33" w14:textId="308B3C26" w:rsidR="008263E9" w:rsidRPr="00532C20" w:rsidRDefault="006D29AA"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 xml:space="preserve">Preferred option </w:t>
            </w:r>
          </w:p>
        </w:tc>
      </w:tr>
      <w:tr w:rsidR="004B0958" w:rsidRPr="00532C20" w14:paraId="6B8C9F2A" w14:textId="7F2E2A7A" w:rsidTr="00582553">
        <w:trPr>
          <w:trHeight w:val="227"/>
        </w:trPr>
        <w:tc>
          <w:tcPr>
            <w:tcW w:w="852" w:type="pct"/>
          </w:tcPr>
          <w:p w14:paraId="3CC4FC9A" w14:textId="130800D3" w:rsidR="004B0958" w:rsidRPr="00532C20" w:rsidRDefault="004B0958" w:rsidP="004B0958">
            <w:pPr>
              <w:jc w:val="both"/>
              <w:textAlignment w:val="baseline"/>
              <w:rPr>
                <w:rFonts w:ascii="Times New Roman" w:hAnsi="Times New Roman" w:cs="Times New Roman"/>
                <w:b/>
                <w:bCs/>
                <w:noProof/>
                <w:lang w:val="en-IE" w:eastAsia="en-IE"/>
              </w:rPr>
            </w:pPr>
            <w:r w:rsidRPr="00532C20">
              <w:rPr>
                <w:rFonts w:ascii="Times New Roman" w:hAnsi="Times New Roman" w:cs="Times New Roman"/>
                <w:b/>
                <w:bCs/>
                <w:noProof/>
                <w:lang w:val="en-IE" w:eastAsia="en-IE"/>
              </w:rPr>
              <w:t>Option 2.2</w:t>
            </w:r>
          </w:p>
        </w:tc>
        <w:tc>
          <w:tcPr>
            <w:tcW w:w="516" w:type="pct"/>
          </w:tcPr>
          <w:p w14:paraId="6C1B682C" w14:textId="750AD9E2"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r w:rsidR="0074366A" w:rsidRPr="00532C20">
              <w:rPr>
                <w:rFonts w:ascii="Times New Roman" w:hAnsi="Times New Roman" w:cs="Times New Roman"/>
                <w:noProof/>
                <w:lang w:val="en-IE" w:eastAsia="en-IE"/>
              </w:rPr>
              <w:t>+</w:t>
            </w:r>
          </w:p>
        </w:tc>
        <w:tc>
          <w:tcPr>
            <w:tcW w:w="525" w:type="pct"/>
          </w:tcPr>
          <w:p w14:paraId="72786415" w14:textId="77777777"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p>
        </w:tc>
        <w:tc>
          <w:tcPr>
            <w:tcW w:w="706" w:type="pct"/>
          </w:tcPr>
          <w:p w14:paraId="0FA45C76" w14:textId="77777777"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p>
        </w:tc>
        <w:tc>
          <w:tcPr>
            <w:tcW w:w="714" w:type="pct"/>
          </w:tcPr>
          <w:p w14:paraId="2F7BE4D3" w14:textId="77777777" w:rsidR="004B0958" w:rsidRPr="00532C20" w:rsidRDefault="004B0958"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p>
        </w:tc>
        <w:tc>
          <w:tcPr>
            <w:tcW w:w="853" w:type="pct"/>
          </w:tcPr>
          <w:p w14:paraId="3F0630D8" w14:textId="3E0760E9" w:rsidR="004B0958" w:rsidRPr="00532C20" w:rsidRDefault="00000DE1" w:rsidP="004B0958">
            <w:pPr>
              <w:jc w:val="center"/>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w:t>
            </w:r>
          </w:p>
        </w:tc>
        <w:tc>
          <w:tcPr>
            <w:tcW w:w="834" w:type="pct"/>
          </w:tcPr>
          <w:p w14:paraId="76C0F32A" w14:textId="688F552B" w:rsidR="008263E9" w:rsidRPr="00532C20" w:rsidRDefault="008263E9" w:rsidP="004B0958">
            <w:pPr>
              <w:jc w:val="center"/>
              <w:textAlignment w:val="baseline"/>
              <w:rPr>
                <w:rFonts w:ascii="Times New Roman" w:hAnsi="Times New Roman" w:cs="Times New Roman"/>
                <w:noProof/>
                <w:lang w:val="en-IE" w:eastAsia="en-IE"/>
              </w:rPr>
            </w:pPr>
          </w:p>
        </w:tc>
      </w:tr>
    </w:tbl>
    <w:p w14:paraId="2E5549AD" w14:textId="744D3990" w:rsidR="003148E3" w:rsidRPr="00532C20" w:rsidRDefault="004B0958" w:rsidP="004B0958">
      <w:pPr>
        <w:spacing w:line="240" w:lineRule="auto"/>
        <w:jc w:val="both"/>
        <w:textAlignment w:val="baseline"/>
        <w:rPr>
          <w:rFonts w:ascii="Times New Roman" w:eastAsia="Times" w:hAnsi="Times New Roman" w:cs="Times New Roman"/>
          <w:b/>
          <w:noProof/>
          <w:sz w:val="24"/>
          <w:szCs w:val="24"/>
          <w:lang w:val="en-IE" w:eastAsia="en-IE"/>
        </w:rPr>
      </w:pPr>
      <w:r w:rsidRPr="00532C20">
        <w:rPr>
          <w:rFonts w:ascii="Times New Roman" w:hAnsi="Times New Roman" w:cs="Times New Roman"/>
          <w:bCs/>
          <w:noProof/>
          <w:sz w:val="20"/>
          <w:lang w:val="en-IE"/>
        </w:rPr>
        <w:t xml:space="preserve">The table should be read in horizontally: </w:t>
      </w:r>
      <w:r w:rsidR="006D778D" w:rsidRPr="00532C20">
        <w:rPr>
          <w:rFonts w:ascii="Times New Roman" w:hAnsi="Times New Roman" w:cs="Times New Roman"/>
          <w:bCs/>
          <w:noProof/>
          <w:sz w:val="20"/>
          <w:lang w:val="en-IE"/>
        </w:rPr>
        <w:t>the symbols have the same meaning as in table 5</w:t>
      </w:r>
      <w:r w:rsidR="00EA75E3" w:rsidRPr="00532C20">
        <w:rPr>
          <w:rFonts w:ascii="Times New Roman" w:hAnsi="Times New Roman" w:cs="Times New Roman"/>
          <w:bCs/>
          <w:noProof/>
          <w:sz w:val="20"/>
          <w:lang w:val="en-IE"/>
        </w:rPr>
        <w:t xml:space="preserve">. Methodology </w:t>
      </w:r>
      <w:r w:rsidR="00373F8D" w:rsidRPr="00532C20">
        <w:rPr>
          <w:rFonts w:ascii="Times New Roman" w:hAnsi="Times New Roman" w:cs="Times New Roman"/>
          <w:bCs/>
          <w:noProof/>
          <w:sz w:val="20"/>
          <w:lang w:val="en-IE"/>
        </w:rPr>
        <w:t>is explained in Annex 4.</w:t>
      </w:r>
    </w:p>
    <w:p w14:paraId="55056220" w14:textId="124D2534" w:rsidR="00EA006F" w:rsidRPr="00532C20" w:rsidRDefault="00EA006F" w:rsidP="004B0958">
      <w:pPr>
        <w:pStyle w:val="1levelonetitle"/>
        <w:rPr>
          <w:noProof/>
        </w:rPr>
      </w:pPr>
      <w:bookmarkStart w:id="1046" w:name="_Toc152864715"/>
      <w:r w:rsidRPr="00532C20">
        <w:rPr>
          <w:noProof/>
        </w:rPr>
        <w:t xml:space="preserve">Preferred </w:t>
      </w:r>
      <w:r w:rsidR="00AF23B5" w:rsidRPr="00532C20">
        <w:rPr>
          <w:noProof/>
        </w:rPr>
        <w:t>option</w:t>
      </w:r>
      <w:bookmarkEnd w:id="1046"/>
    </w:p>
    <w:p w14:paraId="29E90B9D" w14:textId="575FBDF5" w:rsidR="00AF23B5" w:rsidRPr="00532C20" w:rsidRDefault="00AF23B5" w:rsidP="00763436">
      <w:pPr>
        <w:pStyle w:val="11Subsection"/>
        <w:rPr>
          <w:noProof/>
        </w:rPr>
      </w:pPr>
      <w:bookmarkStart w:id="1047" w:name="_Toc152864716"/>
      <w:r w:rsidRPr="00532C20">
        <w:rPr>
          <w:noProof/>
        </w:rPr>
        <w:t>Description</w:t>
      </w:r>
      <w:r w:rsidR="0061320B" w:rsidRPr="00532C20">
        <w:rPr>
          <w:noProof/>
        </w:rPr>
        <w:t xml:space="preserve"> of the preferred option</w:t>
      </w:r>
      <w:bookmarkEnd w:id="1047"/>
      <w:r w:rsidR="0061320B" w:rsidRPr="00532C20">
        <w:rPr>
          <w:noProof/>
        </w:rPr>
        <w:t xml:space="preserve"> </w:t>
      </w:r>
    </w:p>
    <w:p w14:paraId="0AFEC2EC" w14:textId="6966E61A" w:rsidR="006B2258" w:rsidRPr="00532C20" w:rsidRDefault="006B2258" w:rsidP="004B0958">
      <w:pPr>
        <w:spacing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Against this assessment, the preferred option consists </w:t>
      </w:r>
      <w:r w:rsidR="00A264C3" w:rsidRPr="00532C20">
        <w:rPr>
          <w:rFonts w:ascii="Times New Roman" w:hAnsi="Times New Roman" w:cs="Times New Roman"/>
          <w:noProof/>
          <w:sz w:val="24"/>
          <w:szCs w:val="24"/>
          <w:lang w:val="en-IE"/>
        </w:rPr>
        <w:t xml:space="preserve">in a legislative intervention with </w:t>
      </w:r>
      <w:r w:rsidRPr="00532C20">
        <w:rPr>
          <w:rFonts w:ascii="Times New Roman" w:hAnsi="Times New Roman" w:cs="Times New Roman"/>
          <w:noProof/>
          <w:sz w:val="24"/>
          <w:szCs w:val="24"/>
          <w:lang w:val="en-IE"/>
        </w:rPr>
        <w:t>targeted requirements.</w:t>
      </w:r>
      <w:r w:rsidR="00695435" w:rsidRPr="00532C20">
        <w:rPr>
          <w:rFonts w:ascii="Times New Roman" w:hAnsi="Times New Roman" w:cs="Times New Roman"/>
          <w:noProof/>
          <w:sz w:val="24"/>
          <w:szCs w:val="24"/>
          <w:lang w:val="en-IE"/>
        </w:rPr>
        <w:t xml:space="preserve"> </w:t>
      </w:r>
    </w:p>
    <w:p w14:paraId="6A889C11" w14:textId="16D1FAD1" w:rsidR="006B2258" w:rsidRPr="00532C20" w:rsidRDefault="006B2258" w:rsidP="004B0958">
      <w:pPr>
        <w:spacing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This option would best meet the general objectives as well as the specific objectives of this intervention. </w:t>
      </w:r>
      <w:r w:rsidR="0078445D" w:rsidRPr="00532C20">
        <w:rPr>
          <w:rFonts w:ascii="Times New Roman" w:hAnsi="Times New Roman" w:cs="Times New Roman"/>
          <w:noProof/>
          <w:sz w:val="24"/>
          <w:szCs w:val="24"/>
          <w:lang w:val="en-IE"/>
        </w:rPr>
        <w:t xml:space="preserve">The harmonised requirements </w:t>
      </w:r>
      <w:r w:rsidR="006A60DA" w:rsidRPr="00532C20">
        <w:rPr>
          <w:rFonts w:ascii="Times New Roman" w:hAnsi="Times New Roman" w:cs="Times New Roman"/>
          <w:noProof/>
          <w:sz w:val="24"/>
          <w:szCs w:val="24"/>
          <w:lang w:val="en-IE"/>
        </w:rPr>
        <w:t>sh</w:t>
      </w:r>
      <w:r w:rsidR="0078445D" w:rsidRPr="00532C20">
        <w:rPr>
          <w:rFonts w:ascii="Times New Roman" w:hAnsi="Times New Roman" w:cs="Times New Roman"/>
          <w:noProof/>
          <w:sz w:val="24"/>
          <w:szCs w:val="24"/>
          <w:lang w:val="en-IE"/>
        </w:rPr>
        <w:t xml:space="preserve">ould provide the legal certainty and </w:t>
      </w:r>
      <w:r w:rsidR="00CA52F1" w:rsidRPr="00532C20">
        <w:rPr>
          <w:rFonts w:ascii="Times New Roman" w:hAnsi="Times New Roman" w:cs="Times New Roman"/>
          <w:noProof/>
          <w:sz w:val="24"/>
          <w:szCs w:val="24"/>
          <w:lang w:val="en-IE"/>
        </w:rPr>
        <w:t xml:space="preserve">level playing field necessary to remove the obstacles </w:t>
      </w:r>
      <w:r w:rsidR="00504B84" w:rsidRPr="00532C20">
        <w:rPr>
          <w:rFonts w:ascii="Times New Roman" w:hAnsi="Times New Roman" w:cs="Times New Roman"/>
          <w:noProof/>
          <w:sz w:val="24"/>
          <w:szCs w:val="24"/>
          <w:lang w:val="en-IE"/>
        </w:rPr>
        <w:t>identified in the internal market</w:t>
      </w:r>
      <w:r w:rsidR="00C84B1A" w:rsidRPr="00532C20">
        <w:rPr>
          <w:rFonts w:ascii="Times New Roman" w:hAnsi="Times New Roman" w:cs="Times New Roman"/>
          <w:noProof/>
          <w:sz w:val="24"/>
          <w:szCs w:val="24"/>
          <w:lang w:val="en-IE"/>
        </w:rPr>
        <w:t>.</w:t>
      </w:r>
      <w:r w:rsidR="00504B84" w:rsidRPr="00532C20">
        <w:rPr>
          <w:rFonts w:ascii="Times New Roman" w:hAnsi="Times New Roman" w:cs="Times New Roman"/>
          <w:noProof/>
          <w:sz w:val="24"/>
          <w:szCs w:val="24"/>
          <w:lang w:val="en-IE"/>
        </w:rPr>
        <w:t xml:space="preserve"> </w:t>
      </w:r>
      <w:r w:rsidR="00B557CC" w:rsidRPr="00532C20">
        <w:rPr>
          <w:rFonts w:ascii="Times New Roman" w:hAnsi="Times New Roman" w:cs="Times New Roman"/>
          <w:noProof/>
          <w:sz w:val="24"/>
          <w:szCs w:val="24"/>
          <w:lang w:val="en-IE"/>
        </w:rPr>
        <w:t>It would also prevent further fragmentation</w:t>
      </w:r>
      <w:r w:rsidR="00BE4099" w:rsidRPr="00532C20">
        <w:rPr>
          <w:rFonts w:ascii="Times New Roman" w:hAnsi="Times New Roman" w:cs="Times New Roman"/>
          <w:noProof/>
          <w:sz w:val="24"/>
          <w:szCs w:val="24"/>
          <w:lang w:val="en-IE"/>
        </w:rPr>
        <w:t xml:space="preserve">. </w:t>
      </w:r>
      <w:r w:rsidR="00C84B1A" w:rsidRPr="00532C20">
        <w:rPr>
          <w:rFonts w:ascii="Times New Roman" w:hAnsi="Times New Roman" w:cs="Times New Roman"/>
          <w:noProof/>
          <w:sz w:val="24"/>
          <w:szCs w:val="24"/>
          <w:lang w:val="en-IE"/>
        </w:rPr>
        <w:t xml:space="preserve">The </w:t>
      </w:r>
      <w:r w:rsidR="0078445D" w:rsidRPr="00532C20">
        <w:rPr>
          <w:rFonts w:ascii="Times New Roman" w:hAnsi="Times New Roman" w:cs="Times New Roman"/>
          <w:noProof/>
          <w:sz w:val="24"/>
          <w:szCs w:val="24"/>
          <w:lang w:val="en-IE"/>
        </w:rPr>
        <w:t xml:space="preserve">transparency requirements </w:t>
      </w:r>
      <w:r w:rsidR="006A60DA" w:rsidRPr="00532C20">
        <w:rPr>
          <w:rFonts w:ascii="Times New Roman" w:hAnsi="Times New Roman" w:cs="Times New Roman"/>
          <w:noProof/>
          <w:sz w:val="24"/>
          <w:szCs w:val="24"/>
          <w:lang w:val="en-IE"/>
        </w:rPr>
        <w:t>sh</w:t>
      </w:r>
      <w:r w:rsidR="0078445D" w:rsidRPr="00532C20">
        <w:rPr>
          <w:rFonts w:ascii="Times New Roman" w:hAnsi="Times New Roman" w:cs="Times New Roman"/>
          <w:noProof/>
          <w:sz w:val="24"/>
          <w:szCs w:val="24"/>
          <w:lang w:val="en-IE"/>
        </w:rPr>
        <w:t xml:space="preserve">ould provide sufficient </w:t>
      </w:r>
      <w:r w:rsidR="004245B2" w:rsidRPr="00532C20">
        <w:rPr>
          <w:rFonts w:ascii="Times New Roman" w:hAnsi="Times New Roman" w:cs="Times New Roman"/>
          <w:noProof/>
          <w:sz w:val="24"/>
          <w:szCs w:val="24"/>
          <w:lang w:val="en-IE"/>
        </w:rPr>
        <w:t>information</w:t>
      </w:r>
      <w:r w:rsidR="00C84B1A" w:rsidRPr="00532C20">
        <w:rPr>
          <w:rFonts w:ascii="Times New Roman" w:hAnsi="Times New Roman" w:cs="Times New Roman"/>
          <w:noProof/>
          <w:sz w:val="24"/>
          <w:szCs w:val="24"/>
          <w:lang w:val="en-IE"/>
        </w:rPr>
        <w:t xml:space="preserve"> to</w:t>
      </w:r>
      <w:r w:rsidR="006A60DA" w:rsidRPr="00532C20">
        <w:rPr>
          <w:rFonts w:ascii="Times New Roman" w:hAnsi="Times New Roman" w:cs="Times New Roman"/>
          <w:noProof/>
          <w:sz w:val="24"/>
          <w:szCs w:val="24"/>
          <w:lang w:val="en-IE"/>
        </w:rPr>
        <w:t xml:space="preserve"> improve knowledge about the magnitude and trends of interest representation carried out on behalf of third countries</w:t>
      </w:r>
      <w:r w:rsidR="004245B2" w:rsidRPr="00532C20">
        <w:rPr>
          <w:rFonts w:ascii="Times New Roman" w:hAnsi="Times New Roman" w:cs="Times New Roman"/>
          <w:noProof/>
          <w:sz w:val="24"/>
          <w:szCs w:val="24"/>
          <w:lang w:val="en-IE"/>
        </w:rPr>
        <w:t>.</w:t>
      </w:r>
      <w:r w:rsidR="00744098" w:rsidRPr="00532C20">
        <w:rPr>
          <w:rFonts w:ascii="Times New Roman" w:hAnsi="Times New Roman" w:cs="Times New Roman"/>
          <w:noProof/>
          <w:sz w:val="24"/>
          <w:szCs w:val="24"/>
          <w:lang w:val="en-IE"/>
        </w:rPr>
        <w:t xml:space="preserve"> This </w:t>
      </w:r>
      <w:r w:rsidR="00BE4099" w:rsidRPr="00532C20">
        <w:rPr>
          <w:rFonts w:ascii="Times New Roman" w:hAnsi="Times New Roman" w:cs="Times New Roman"/>
          <w:noProof/>
          <w:sz w:val="24"/>
          <w:szCs w:val="24"/>
          <w:lang w:val="en-IE"/>
        </w:rPr>
        <w:t xml:space="preserve">option is less intrusive </w:t>
      </w:r>
      <w:r w:rsidR="00A553AC" w:rsidRPr="00532C20">
        <w:rPr>
          <w:rFonts w:ascii="Times New Roman" w:hAnsi="Times New Roman" w:cs="Times New Roman"/>
          <w:noProof/>
          <w:sz w:val="24"/>
          <w:szCs w:val="24"/>
          <w:lang w:val="en-IE"/>
        </w:rPr>
        <w:t>as it would limit the costs on national administration</w:t>
      </w:r>
      <w:r w:rsidR="009A2840" w:rsidRPr="00532C20">
        <w:rPr>
          <w:rFonts w:ascii="Times New Roman" w:hAnsi="Times New Roman" w:cs="Times New Roman"/>
          <w:noProof/>
          <w:sz w:val="24"/>
          <w:szCs w:val="24"/>
          <w:lang w:val="en-IE"/>
        </w:rPr>
        <w:t xml:space="preserve"> while facilitating carrying out interest representation </w:t>
      </w:r>
      <w:r w:rsidR="0046225F" w:rsidRPr="00532C20">
        <w:rPr>
          <w:rFonts w:ascii="Times New Roman" w:hAnsi="Times New Roman" w:cs="Times New Roman"/>
          <w:noProof/>
          <w:sz w:val="24"/>
          <w:szCs w:val="24"/>
          <w:lang w:val="en-IE"/>
        </w:rPr>
        <w:t xml:space="preserve">activities </w:t>
      </w:r>
      <w:r w:rsidR="009A3293" w:rsidRPr="00532C20">
        <w:rPr>
          <w:rFonts w:ascii="Times New Roman" w:hAnsi="Times New Roman" w:cs="Times New Roman"/>
          <w:noProof/>
          <w:sz w:val="24"/>
          <w:szCs w:val="24"/>
          <w:lang w:val="en-IE"/>
        </w:rPr>
        <w:t>on behalf of third countr</w:t>
      </w:r>
      <w:r w:rsidR="000B0FAB" w:rsidRPr="00532C20">
        <w:rPr>
          <w:rFonts w:ascii="Times New Roman" w:hAnsi="Times New Roman" w:cs="Times New Roman"/>
          <w:noProof/>
          <w:sz w:val="24"/>
          <w:szCs w:val="24"/>
          <w:lang w:val="en-IE"/>
        </w:rPr>
        <w:t xml:space="preserve">y entities </w:t>
      </w:r>
      <w:r w:rsidR="00242E6F">
        <w:rPr>
          <w:rFonts w:ascii="Times New Roman" w:hAnsi="Times New Roman" w:cs="Times New Roman"/>
          <w:noProof/>
          <w:sz w:val="24"/>
          <w:szCs w:val="24"/>
          <w:lang w:val="en-IE"/>
        </w:rPr>
        <w:t>a</w:t>
      </w:r>
      <w:r w:rsidR="009A2840" w:rsidRPr="00532C20">
        <w:rPr>
          <w:rFonts w:ascii="Times New Roman" w:hAnsi="Times New Roman" w:cs="Times New Roman"/>
          <w:noProof/>
          <w:sz w:val="24"/>
          <w:szCs w:val="24"/>
          <w:lang w:val="en-IE"/>
        </w:rPr>
        <w:t>cross border</w:t>
      </w:r>
      <w:r w:rsidR="00242E6F">
        <w:rPr>
          <w:rFonts w:ascii="Times New Roman" w:hAnsi="Times New Roman" w:cs="Times New Roman"/>
          <w:noProof/>
          <w:sz w:val="24"/>
          <w:szCs w:val="24"/>
          <w:lang w:val="en-IE"/>
        </w:rPr>
        <w:t>s</w:t>
      </w:r>
      <w:r w:rsidR="0046225F" w:rsidRPr="00532C20">
        <w:rPr>
          <w:rFonts w:ascii="Times New Roman" w:hAnsi="Times New Roman" w:cs="Times New Roman"/>
          <w:noProof/>
          <w:sz w:val="24"/>
          <w:szCs w:val="24"/>
          <w:lang w:val="en-IE"/>
        </w:rPr>
        <w:t xml:space="preserve"> and facilitate cross</w:t>
      </w:r>
      <w:r w:rsidR="00242E6F">
        <w:rPr>
          <w:rFonts w:ascii="Times New Roman" w:hAnsi="Times New Roman" w:cs="Times New Roman"/>
          <w:noProof/>
          <w:sz w:val="24"/>
          <w:szCs w:val="24"/>
          <w:lang w:val="en-IE"/>
        </w:rPr>
        <w:t>-</w:t>
      </w:r>
      <w:r w:rsidR="0046225F" w:rsidRPr="00532C20">
        <w:rPr>
          <w:rFonts w:ascii="Times New Roman" w:hAnsi="Times New Roman" w:cs="Times New Roman"/>
          <w:noProof/>
          <w:sz w:val="24"/>
          <w:szCs w:val="24"/>
          <w:lang w:val="en-IE"/>
        </w:rPr>
        <w:t>border cooperation between national authorities. Finally</w:t>
      </w:r>
      <w:r w:rsidR="00067E13" w:rsidRPr="00532C20">
        <w:rPr>
          <w:rFonts w:ascii="Times New Roman" w:hAnsi="Times New Roman" w:cs="Times New Roman"/>
          <w:noProof/>
          <w:sz w:val="24"/>
          <w:szCs w:val="24"/>
          <w:lang w:val="en-IE"/>
        </w:rPr>
        <w:t>,</w:t>
      </w:r>
      <w:r w:rsidR="0046225F" w:rsidRPr="00532C20">
        <w:rPr>
          <w:rFonts w:ascii="Times New Roman" w:hAnsi="Times New Roman" w:cs="Times New Roman"/>
          <w:noProof/>
          <w:sz w:val="24"/>
          <w:szCs w:val="24"/>
          <w:lang w:val="en-IE"/>
        </w:rPr>
        <w:t xml:space="preserve"> this option is less intrusive in terms of impacts on fundamental rights, in particular with regard to the freedom of association and the freedom of the arts and sciences</w:t>
      </w:r>
      <w:r w:rsidR="000B0FAB" w:rsidRPr="00532C20">
        <w:rPr>
          <w:rFonts w:ascii="Times New Roman" w:hAnsi="Times New Roman" w:cs="Times New Roman"/>
          <w:noProof/>
          <w:sz w:val="24"/>
          <w:szCs w:val="24"/>
          <w:lang w:val="en-IE"/>
        </w:rPr>
        <w:t xml:space="preserve"> and has limited geopolitical implications</w:t>
      </w:r>
      <w:r w:rsidR="0046225F" w:rsidRPr="00532C20">
        <w:rPr>
          <w:rFonts w:ascii="Times New Roman" w:hAnsi="Times New Roman" w:cs="Times New Roman"/>
          <w:noProof/>
          <w:sz w:val="24"/>
          <w:szCs w:val="24"/>
          <w:lang w:val="en-IE"/>
        </w:rPr>
        <w:t>.</w:t>
      </w:r>
      <w:r w:rsidR="0078445D" w:rsidRPr="00532C20">
        <w:rPr>
          <w:rFonts w:ascii="Times New Roman" w:hAnsi="Times New Roman" w:cs="Times New Roman"/>
          <w:noProof/>
          <w:sz w:val="24"/>
          <w:szCs w:val="24"/>
          <w:lang w:val="en-IE"/>
        </w:rPr>
        <w:t xml:space="preserve"> </w:t>
      </w:r>
    </w:p>
    <w:p w14:paraId="41795FBE" w14:textId="475AC076" w:rsidR="00DB6263" w:rsidRPr="00532C20" w:rsidRDefault="00DB6263" w:rsidP="00763436">
      <w:pPr>
        <w:pStyle w:val="11Subsection"/>
        <w:rPr>
          <w:noProof/>
        </w:rPr>
      </w:pPr>
      <w:bookmarkStart w:id="1048" w:name="_Toc152864717"/>
      <w:r w:rsidRPr="00532C20">
        <w:rPr>
          <w:noProof/>
        </w:rPr>
        <w:t>The choice of instrument</w:t>
      </w:r>
      <w:bookmarkEnd w:id="1048"/>
    </w:p>
    <w:p w14:paraId="7882486E" w14:textId="108FD3E2" w:rsidR="006B2258" w:rsidRPr="00532C20" w:rsidRDefault="006B2258" w:rsidP="0048226A">
      <w:pPr>
        <w:spacing w:after="120" w:line="240" w:lineRule="auto"/>
        <w:jc w:val="both"/>
        <w:textAlignment w:val="baseline"/>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With regard to the choice of instrument, under the legal basis of Article 114 TFEU, both a </w:t>
      </w:r>
      <w:r w:rsidRPr="00532C20">
        <w:rPr>
          <w:rFonts w:ascii="Times New Roman" w:eastAsia="Times" w:hAnsi="Times New Roman" w:cs="Times New Roman"/>
          <w:b/>
          <w:noProof/>
          <w:sz w:val="24"/>
          <w:szCs w:val="24"/>
          <w:lang w:val="en-IE"/>
        </w:rPr>
        <w:t>Regulation</w:t>
      </w:r>
      <w:r w:rsidRPr="00532C20">
        <w:rPr>
          <w:rFonts w:ascii="Times New Roman" w:eastAsia="Times" w:hAnsi="Times New Roman" w:cs="Times New Roman"/>
          <w:noProof/>
          <w:sz w:val="24"/>
          <w:szCs w:val="24"/>
          <w:lang w:val="en-IE"/>
        </w:rPr>
        <w:t xml:space="preserve">, or a </w:t>
      </w:r>
      <w:r w:rsidRPr="00532C20">
        <w:rPr>
          <w:rFonts w:ascii="Times New Roman" w:eastAsia="Times" w:hAnsi="Times New Roman" w:cs="Times New Roman"/>
          <w:b/>
          <w:noProof/>
          <w:sz w:val="24"/>
          <w:szCs w:val="24"/>
          <w:lang w:val="en-IE"/>
        </w:rPr>
        <w:t>Directive</w:t>
      </w:r>
      <w:r w:rsidRPr="00532C20">
        <w:rPr>
          <w:rFonts w:ascii="Times New Roman" w:eastAsia="Times" w:hAnsi="Times New Roman" w:cs="Times New Roman"/>
          <w:noProof/>
          <w:sz w:val="24"/>
          <w:szCs w:val="24"/>
          <w:lang w:val="en-IE"/>
        </w:rPr>
        <w:t xml:space="preserve"> providing for full harmonisation, </w:t>
      </w:r>
      <w:r w:rsidR="00CB0797" w:rsidRPr="00532C20">
        <w:rPr>
          <w:rFonts w:ascii="Times New Roman" w:eastAsia="Times" w:hAnsi="Times New Roman" w:cs="Times New Roman"/>
          <w:noProof/>
          <w:sz w:val="24"/>
          <w:szCs w:val="24"/>
          <w:lang w:val="en-IE"/>
        </w:rPr>
        <w:t xml:space="preserve">would </w:t>
      </w:r>
      <w:r w:rsidRPr="00532C20">
        <w:rPr>
          <w:rFonts w:ascii="Times New Roman" w:eastAsia="Times" w:hAnsi="Times New Roman" w:cs="Times New Roman"/>
          <w:noProof/>
          <w:sz w:val="24"/>
          <w:szCs w:val="24"/>
          <w:lang w:val="en-IE"/>
        </w:rPr>
        <w:t xml:space="preserve">support the attainment of the general and specific objectives. </w:t>
      </w:r>
      <w:r w:rsidR="00B14539" w:rsidRPr="00532C20">
        <w:rPr>
          <w:rFonts w:ascii="Times New Roman" w:eastAsia="Times" w:hAnsi="Times New Roman" w:cs="Times New Roman"/>
          <w:noProof/>
          <w:sz w:val="24"/>
          <w:szCs w:val="24"/>
          <w:lang w:val="en-IE"/>
        </w:rPr>
        <w:t xml:space="preserve">In the stakeholder consultation, </w:t>
      </w:r>
      <w:r w:rsidR="00942EEB" w:rsidRPr="00532C20">
        <w:rPr>
          <w:rFonts w:ascii="Times New Roman" w:eastAsia="Times" w:hAnsi="Times New Roman" w:cs="Times New Roman"/>
          <w:noProof/>
          <w:sz w:val="24"/>
          <w:szCs w:val="24"/>
          <w:lang w:val="en-IE"/>
        </w:rPr>
        <w:t xml:space="preserve">4 </w:t>
      </w:r>
      <w:r w:rsidR="00D21176" w:rsidRPr="00532C20">
        <w:rPr>
          <w:rFonts w:ascii="Times New Roman" w:eastAsia="Times" w:hAnsi="Times New Roman" w:cs="Times New Roman"/>
          <w:noProof/>
          <w:sz w:val="24"/>
          <w:szCs w:val="24"/>
          <w:lang w:val="en-IE"/>
        </w:rPr>
        <w:t>CSOs</w:t>
      </w:r>
      <w:r w:rsidR="008B2867" w:rsidRPr="00532C20">
        <w:rPr>
          <w:rFonts w:ascii="Times New Roman" w:eastAsia="Times" w:hAnsi="Times New Roman" w:cs="Times New Roman"/>
          <w:noProof/>
          <w:sz w:val="24"/>
          <w:szCs w:val="24"/>
          <w:lang w:val="en-IE"/>
        </w:rPr>
        <w:t xml:space="preserve"> out of 11</w:t>
      </w:r>
      <w:r w:rsidR="00D21176" w:rsidRPr="00532C20">
        <w:rPr>
          <w:rFonts w:ascii="Times New Roman" w:eastAsia="Times" w:hAnsi="Times New Roman" w:cs="Times New Roman"/>
          <w:noProof/>
          <w:sz w:val="24"/>
          <w:szCs w:val="24"/>
          <w:lang w:val="en-IE"/>
        </w:rPr>
        <w:t xml:space="preserve"> </w:t>
      </w:r>
      <w:r w:rsidR="00C0562F" w:rsidRPr="00532C20">
        <w:rPr>
          <w:rFonts w:ascii="Times New Roman" w:eastAsia="Times" w:hAnsi="Times New Roman" w:cs="Times New Roman"/>
          <w:noProof/>
          <w:sz w:val="24"/>
          <w:szCs w:val="24"/>
          <w:lang w:val="en-IE"/>
        </w:rPr>
        <w:t>and 1 Member State</w:t>
      </w:r>
      <w:r w:rsidR="008B2867" w:rsidRPr="00532C20">
        <w:rPr>
          <w:rFonts w:ascii="Times New Roman" w:eastAsia="Times" w:hAnsi="Times New Roman" w:cs="Times New Roman"/>
          <w:noProof/>
          <w:sz w:val="24"/>
          <w:szCs w:val="24"/>
          <w:lang w:val="en-IE"/>
        </w:rPr>
        <w:t xml:space="preserve"> out of 15</w:t>
      </w:r>
      <w:r w:rsidR="00C0562F" w:rsidRPr="00532C20">
        <w:rPr>
          <w:rFonts w:ascii="Times New Roman" w:eastAsia="Times" w:hAnsi="Times New Roman" w:cs="Times New Roman"/>
          <w:noProof/>
          <w:sz w:val="24"/>
          <w:szCs w:val="24"/>
          <w:lang w:val="en-IE"/>
        </w:rPr>
        <w:t xml:space="preserve"> </w:t>
      </w:r>
      <w:r w:rsidR="00D21176" w:rsidRPr="00532C20">
        <w:rPr>
          <w:rFonts w:ascii="Times New Roman" w:eastAsia="Times" w:hAnsi="Times New Roman" w:cs="Times New Roman"/>
          <w:noProof/>
          <w:sz w:val="24"/>
          <w:szCs w:val="24"/>
          <w:lang w:val="en-IE"/>
        </w:rPr>
        <w:t>have expressed a preference for a Regulation</w:t>
      </w:r>
      <w:r w:rsidR="00C75A5F" w:rsidRPr="00532C20">
        <w:rPr>
          <w:rFonts w:ascii="Times New Roman" w:eastAsia="Times" w:hAnsi="Times New Roman" w:cs="Times New Roman"/>
          <w:noProof/>
          <w:sz w:val="24"/>
          <w:szCs w:val="24"/>
          <w:lang w:val="en-IE"/>
        </w:rPr>
        <w:t>.</w:t>
      </w:r>
      <w:r w:rsidR="008B2867" w:rsidRPr="00532C20">
        <w:rPr>
          <w:rFonts w:ascii="Times New Roman" w:eastAsia="Times" w:hAnsi="Times New Roman" w:cs="Times New Roman"/>
          <w:noProof/>
          <w:sz w:val="24"/>
          <w:szCs w:val="24"/>
          <w:lang w:val="en-IE"/>
        </w:rPr>
        <w:t xml:space="preserve"> 5 Member States do </w:t>
      </w:r>
      <w:r w:rsidR="002C74C5" w:rsidRPr="00532C20">
        <w:rPr>
          <w:rFonts w:ascii="Times New Roman" w:eastAsia="Times" w:hAnsi="Times New Roman" w:cs="Times New Roman"/>
          <w:noProof/>
          <w:sz w:val="24"/>
          <w:szCs w:val="24"/>
          <w:lang w:val="en-IE"/>
        </w:rPr>
        <w:t xml:space="preserve">not </w:t>
      </w:r>
      <w:r w:rsidR="00981D02" w:rsidRPr="00532C20">
        <w:rPr>
          <w:rFonts w:ascii="Times New Roman" w:eastAsia="Times" w:hAnsi="Times New Roman" w:cs="Times New Roman"/>
          <w:noProof/>
          <w:sz w:val="24"/>
          <w:szCs w:val="24"/>
          <w:lang w:val="en-IE"/>
        </w:rPr>
        <w:t>want to harmoni</w:t>
      </w:r>
      <w:r w:rsidR="00DE201C" w:rsidRPr="00532C20">
        <w:rPr>
          <w:rFonts w:ascii="Times New Roman" w:eastAsia="Times" w:hAnsi="Times New Roman" w:cs="Times New Roman"/>
          <w:noProof/>
          <w:sz w:val="24"/>
          <w:szCs w:val="24"/>
          <w:lang w:val="en-IE"/>
        </w:rPr>
        <w:t>s</w:t>
      </w:r>
      <w:r w:rsidR="00981D02" w:rsidRPr="00532C20">
        <w:rPr>
          <w:rFonts w:ascii="Times New Roman" w:eastAsia="Times" w:hAnsi="Times New Roman" w:cs="Times New Roman"/>
          <w:noProof/>
          <w:sz w:val="24"/>
          <w:szCs w:val="24"/>
          <w:lang w:val="en-IE"/>
        </w:rPr>
        <w:t>e transparency requirements for interest representation carried out on behalf of third coun</w:t>
      </w:r>
      <w:r w:rsidR="00415CF2" w:rsidRPr="00532C20">
        <w:rPr>
          <w:rFonts w:ascii="Times New Roman" w:eastAsia="Times" w:hAnsi="Times New Roman" w:cs="Times New Roman"/>
          <w:noProof/>
          <w:sz w:val="24"/>
          <w:szCs w:val="24"/>
          <w:lang w:val="en-IE"/>
        </w:rPr>
        <w:t xml:space="preserve">tries and prefer policy option 1. The other 9 Member States do not position themselves on the choice of instrument under the legal basis of Article 114 TFEU. </w:t>
      </w:r>
    </w:p>
    <w:p w14:paraId="38092667" w14:textId="78C0422A" w:rsidR="002D6654" w:rsidRPr="00532C20" w:rsidRDefault="006B2258" w:rsidP="0048226A">
      <w:pPr>
        <w:spacing w:after="120" w:line="240" w:lineRule="auto"/>
        <w:jc w:val="both"/>
        <w:textAlignment w:val="baseline"/>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Having recourse to a </w:t>
      </w:r>
      <w:r w:rsidRPr="00532C20">
        <w:rPr>
          <w:rFonts w:ascii="Times New Roman" w:eastAsia="Times" w:hAnsi="Times New Roman" w:cs="Times New Roman"/>
          <w:b/>
          <w:noProof/>
          <w:sz w:val="24"/>
          <w:szCs w:val="24"/>
          <w:lang w:val="en-IE"/>
        </w:rPr>
        <w:t>Regulation</w:t>
      </w:r>
      <w:r w:rsidR="008E3C4E" w:rsidRPr="00532C20">
        <w:rPr>
          <w:rStyle w:val="FootnoteReference"/>
          <w:rFonts w:ascii="Times New Roman" w:eastAsia="Times" w:hAnsi="Times New Roman" w:cs="Times New Roman"/>
          <w:bCs/>
          <w:noProof/>
          <w:sz w:val="24"/>
          <w:szCs w:val="24"/>
          <w:lang w:val="en-IE"/>
        </w:rPr>
        <w:footnoteReference w:id="242"/>
      </w:r>
      <w:r w:rsidRPr="00532C20">
        <w:rPr>
          <w:rFonts w:ascii="Times New Roman" w:eastAsia="Times" w:hAnsi="Times New Roman" w:cs="Times New Roman"/>
          <w:noProof/>
          <w:sz w:val="24"/>
          <w:szCs w:val="24"/>
          <w:lang w:val="en-IE"/>
        </w:rPr>
        <w:t xml:space="preserve"> has the advantage of </w:t>
      </w:r>
      <w:r w:rsidR="00E04D8C" w:rsidRPr="00532C20">
        <w:rPr>
          <w:rFonts w:ascii="Times New Roman" w:eastAsia="Times" w:hAnsi="Times New Roman" w:cs="Times New Roman"/>
          <w:noProof/>
          <w:sz w:val="24"/>
          <w:szCs w:val="24"/>
          <w:lang w:val="en-IE"/>
        </w:rPr>
        <w:t xml:space="preserve">being of direct application without having to wait that Member States have transposed the </w:t>
      </w:r>
      <w:r w:rsidR="00D0762F">
        <w:rPr>
          <w:rFonts w:ascii="Times New Roman" w:eastAsia="Times" w:hAnsi="Times New Roman" w:cs="Times New Roman"/>
          <w:noProof/>
          <w:sz w:val="24"/>
          <w:szCs w:val="24"/>
          <w:lang w:val="en-IE"/>
        </w:rPr>
        <w:t>D</w:t>
      </w:r>
      <w:r w:rsidR="00E04D8C" w:rsidRPr="00532C20">
        <w:rPr>
          <w:rFonts w:ascii="Times New Roman" w:eastAsia="Times" w:hAnsi="Times New Roman" w:cs="Times New Roman"/>
          <w:noProof/>
          <w:sz w:val="24"/>
          <w:szCs w:val="24"/>
          <w:lang w:val="en-IE"/>
        </w:rPr>
        <w:t>irective in national law</w:t>
      </w:r>
      <w:r w:rsidR="00A50B6D" w:rsidRPr="00532C20">
        <w:rPr>
          <w:rFonts w:ascii="Times New Roman" w:eastAsia="Times" w:hAnsi="Times New Roman" w:cs="Times New Roman"/>
          <w:noProof/>
          <w:sz w:val="24"/>
          <w:szCs w:val="24"/>
          <w:lang w:val="en-IE"/>
        </w:rPr>
        <w:t xml:space="preserve">, which could be a benefit due to the urgency to take action </w:t>
      </w:r>
      <w:r w:rsidR="00F156AA" w:rsidRPr="00532C20">
        <w:rPr>
          <w:rFonts w:ascii="Times New Roman" w:eastAsia="Times" w:hAnsi="Times New Roman" w:cs="Times New Roman"/>
          <w:noProof/>
          <w:sz w:val="24"/>
          <w:szCs w:val="24"/>
          <w:lang w:val="en-IE"/>
        </w:rPr>
        <w:t>against the problems identified by the initiative</w:t>
      </w:r>
      <w:r w:rsidRPr="00532C20">
        <w:rPr>
          <w:rFonts w:ascii="Times New Roman" w:eastAsia="Times" w:hAnsi="Times New Roman" w:cs="Times New Roman"/>
          <w:noProof/>
          <w:sz w:val="24"/>
          <w:szCs w:val="24"/>
          <w:lang w:val="en-IE"/>
        </w:rPr>
        <w:t xml:space="preserve">. </w:t>
      </w:r>
    </w:p>
    <w:p w14:paraId="6EB4CC01" w14:textId="39C4E548" w:rsidR="00102F76" w:rsidRPr="00532C20" w:rsidRDefault="002121D5" w:rsidP="00C94DAE">
      <w:pPr>
        <w:spacing w:after="120" w:line="240" w:lineRule="auto"/>
        <w:jc w:val="both"/>
        <w:rPr>
          <w:rFonts w:ascii="Times New Roman" w:eastAsia="Times" w:hAnsi="Times New Roman" w:cs="Times New Roman"/>
          <w:noProof/>
          <w:sz w:val="24"/>
          <w:szCs w:val="24"/>
          <w:lang w:val="en-IE"/>
        </w:rPr>
      </w:pPr>
      <w:r w:rsidRPr="00532C20">
        <w:rPr>
          <w:rFonts w:ascii="Times New Roman" w:hAnsi="Times New Roman" w:cs="Times New Roman"/>
          <w:noProof/>
          <w:sz w:val="24"/>
          <w:szCs w:val="24"/>
          <w:lang w:val="en-IE"/>
        </w:rPr>
        <w:t xml:space="preserve">A </w:t>
      </w:r>
      <w:r w:rsidRPr="00532C20">
        <w:rPr>
          <w:rFonts w:ascii="Times New Roman" w:hAnsi="Times New Roman" w:cs="Times New Roman"/>
          <w:b/>
          <w:noProof/>
          <w:sz w:val="24"/>
          <w:szCs w:val="24"/>
          <w:lang w:val="en-IE"/>
        </w:rPr>
        <w:t>Directive</w:t>
      </w:r>
      <w:r w:rsidRPr="00532C20">
        <w:rPr>
          <w:rFonts w:ascii="Times New Roman" w:hAnsi="Times New Roman" w:cs="Times New Roman"/>
          <w:noProof/>
          <w:sz w:val="24"/>
          <w:szCs w:val="24"/>
          <w:lang w:val="en-IE"/>
        </w:rPr>
        <w:t xml:space="preserve"> providing for full harmonisation of the transparency requirements applicable to entities carrying out interest representation on behalf of third countries conducted with the objective of influencing the development, formulation or implementation of policy or legislation, or public decision-making processes in the internal market, is the most suitable option.</w:t>
      </w:r>
      <w:r w:rsidR="00D00B80" w:rsidRPr="00532C20">
        <w:rPr>
          <w:rFonts w:ascii="Times New Roman" w:hAnsi="Times New Roman" w:cs="Times New Roman"/>
          <w:noProof/>
          <w:sz w:val="24"/>
          <w:szCs w:val="24"/>
          <w:lang w:val="en-IE"/>
        </w:rPr>
        <w:t xml:space="preserve"> </w:t>
      </w:r>
      <w:r w:rsidR="00C94DAE" w:rsidRPr="00532C20">
        <w:rPr>
          <w:rFonts w:ascii="Times New Roman" w:hAnsi="Times New Roman" w:cs="Times New Roman"/>
          <w:noProof/>
          <w:sz w:val="24"/>
          <w:szCs w:val="24"/>
          <w:lang w:val="en-IE"/>
        </w:rPr>
        <w:t>It would set legally binding standards to be met in all Member States while leaving some flexibility in particular</w:t>
      </w:r>
      <w:r w:rsidR="00D00B80" w:rsidRPr="00532C20">
        <w:rPr>
          <w:rFonts w:ascii="Times New Roman" w:hAnsi="Times New Roman" w:cs="Times New Roman"/>
          <w:noProof/>
          <w:sz w:val="24"/>
          <w:szCs w:val="24"/>
          <w:lang w:val="en-IE"/>
        </w:rPr>
        <w:t xml:space="preserve"> </w:t>
      </w:r>
      <w:r w:rsidR="00F80624" w:rsidRPr="00532C20">
        <w:rPr>
          <w:rFonts w:ascii="Times New Roman" w:eastAsia="Times" w:hAnsi="Times New Roman" w:cs="Times New Roman"/>
          <w:noProof/>
          <w:sz w:val="24"/>
          <w:szCs w:val="24"/>
          <w:lang w:val="en-IE"/>
        </w:rPr>
        <w:t>regarding the articulation with existing</w:t>
      </w:r>
      <w:r w:rsidR="00C3142B" w:rsidRPr="00532C20">
        <w:rPr>
          <w:rFonts w:ascii="Times New Roman" w:eastAsia="Times" w:hAnsi="Times New Roman" w:cs="Times New Roman"/>
          <w:noProof/>
          <w:sz w:val="24"/>
          <w:szCs w:val="24"/>
          <w:lang w:val="en-IE"/>
        </w:rPr>
        <w:t xml:space="preserve"> transparency </w:t>
      </w:r>
      <w:r w:rsidR="00F80624" w:rsidRPr="00532C20">
        <w:rPr>
          <w:rFonts w:ascii="Times New Roman" w:eastAsia="Times" w:hAnsi="Times New Roman" w:cs="Times New Roman"/>
          <w:noProof/>
          <w:sz w:val="24"/>
          <w:szCs w:val="24"/>
          <w:lang w:val="en-IE"/>
        </w:rPr>
        <w:t>registers.</w:t>
      </w:r>
      <w:r w:rsidR="00C3142B" w:rsidRPr="00532C20">
        <w:rPr>
          <w:rFonts w:ascii="Times New Roman" w:eastAsia="Times" w:hAnsi="Times New Roman" w:cs="Times New Roman"/>
          <w:noProof/>
          <w:sz w:val="24"/>
          <w:szCs w:val="24"/>
          <w:lang w:val="en-IE"/>
        </w:rPr>
        <w:t xml:space="preserve"> </w:t>
      </w:r>
    </w:p>
    <w:p w14:paraId="483BD41B" w14:textId="2478221F" w:rsidR="00B17E86" w:rsidRPr="00532C20" w:rsidRDefault="00B17E86" w:rsidP="00BD6478">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By </w:t>
      </w:r>
      <w:r w:rsidR="00BB46B5" w:rsidRPr="00532C20">
        <w:rPr>
          <w:rFonts w:ascii="Times New Roman" w:hAnsi="Times New Roman" w:cs="Times New Roman"/>
          <w:noProof/>
          <w:sz w:val="24"/>
          <w:szCs w:val="24"/>
          <w:lang w:val="en-IE"/>
        </w:rPr>
        <w:t>providing for</w:t>
      </w:r>
      <w:r w:rsidRPr="00532C20">
        <w:rPr>
          <w:rFonts w:ascii="Times New Roman" w:hAnsi="Times New Roman" w:cs="Times New Roman"/>
          <w:noProof/>
          <w:sz w:val="24"/>
          <w:szCs w:val="24"/>
          <w:lang w:val="en-IE"/>
        </w:rPr>
        <w:t xml:space="preserve"> full harmonisation, the </w:t>
      </w:r>
      <w:r w:rsidR="00BB46B5" w:rsidRPr="00532C20">
        <w:rPr>
          <w:rFonts w:ascii="Times New Roman" w:hAnsi="Times New Roman" w:cs="Times New Roman"/>
          <w:noProof/>
          <w:sz w:val="24"/>
          <w:szCs w:val="24"/>
          <w:lang w:val="en-IE"/>
        </w:rPr>
        <w:t>Directive</w:t>
      </w:r>
      <w:r w:rsidRPr="00532C20">
        <w:rPr>
          <w:rFonts w:ascii="Times New Roman" w:hAnsi="Times New Roman" w:cs="Times New Roman"/>
          <w:noProof/>
          <w:sz w:val="24"/>
          <w:szCs w:val="24"/>
          <w:lang w:val="en-IE"/>
        </w:rPr>
        <w:t xml:space="preserve"> </w:t>
      </w:r>
      <w:r w:rsidR="00BB46B5" w:rsidRPr="00532C20">
        <w:rPr>
          <w:rFonts w:ascii="Times New Roman" w:hAnsi="Times New Roman" w:cs="Times New Roman"/>
          <w:noProof/>
          <w:sz w:val="24"/>
          <w:szCs w:val="24"/>
          <w:lang w:val="en-IE"/>
        </w:rPr>
        <w:t>will</w:t>
      </w:r>
      <w:r w:rsidR="00E02A2E" w:rsidRPr="00532C20">
        <w:rPr>
          <w:rFonts w:ascii="Times New Roman" w:hAnsi="Times New Roman" w:cs="Times New Roman"/>
          <w:noProof/>
          <w:sz w:val="24"/>
          <w:szCs w:val="24"/>
          <w:lang w:val="en-IE"/>
        </w:rPr>
        <w:t xml:space="preserve"> provide a uniform regulatory framework</w:t>
      </w:r>
      <w:r w:rsidR="00040A5E" w:rsidRPr="00532C20">
        <w:rPr>
          <w:rFonts w:ascii="Times New Roman" w:hAnsi="Times New Roman" w:cs="Times New Roman"/>
          <w:noProof/>
          <w:sz w:val="24"/>
          <w:szCs w:val="24"/>
          <w:lang w:val="en-IE"/>
        </w:rPr>
        <w:t>,</w:t>
      </w:r>
      <w:r w:rsidR="00E02A2E" w:rsidRPr="00532C20">
        <w:rPr>
          <w:rFonts w:ascii="Times New Roman" w:hAnsi="Times New Roman" w:cs="Times New Roman"/>
          <w:noProof/>
          <w:sz w:val="24"/>
          <w:szCs w:val="24"/>
          <w:lang w:val="en-IE"/>
        </w:rPr>
        <w:t xml:space="preserve"> </w:t>
      </w:r>
      <w:r w:rsidR="009F70E2" w:rsidRPr="00532C20">
        <w:rPr>
          <w:rFonts w:ascii="Times New Roman" w:hAnsi="Times New Roman" w:cs="Times New Roman"/>
          <w:noProof/>
          <w:sz w:val="24"/>
          <w:szCs w:val="24"/>
          <w:lang w:val="en-IE"/>
        </w:rPr>
        <w:t>remov</w:t>
      </w:r>
      <w:r w:rsidR="00040A5E" w:rsidRPr="00532C20">
        <w:rPr>
          <w:rFonts w:ascii="Times New Roman" w:hAnsi="Times New Roman" w:cs="Times New Roman"/>
          <w:noProof/>
          <w:sz w:val="24"/>
          <w:szCs w:val="24"/>
          <w:lang w:val="en-IE"/>
        </w:rPr>
        <w:t>ing</w:t>
      </w:r>
      <w:r w:rsidR="007F1B5C" w:rsidRPr="00532C20">
        <w:rPr>
          <w:rFonts w:ascii="Times New Roman" w:hAnsi="Times New Roman" w:cs="Times New Roman"/>
          <w:noProof/>
          <w:sz w:val="24"/>
          <w:szCs w:val="24"/>
          <w:lang w:val="en-IE"/>
        </w:rPr>
        <w:t xml:space="preserve"> internal market barriers and increas</w:t>
      </w:r>
      <w:r w:rsidR="00040A5E" w:rsidRPr="00532C20">
        <w:rPr>
          <w:rFonts w:ascii="Times New Roman" w:hAnsi="Times New Roman" w:cs="Times New Roman"/>
          <w:noProof/>
          <w:sz w:val="24"/>
          <w:szCs w:val="24"/>
          <w:lang w:val="en-IE"/>
        </w:rPr>
        <w:t>ing</w:t>
      </w:r>
      <w:r w:rsidR="007F1B5C" w:rsidRPr="00532C20">
        <w:rPr>
          <w:rFonts w:ascii="Times New Roman" w:hAnsi="Times New Roman" w:cs="Times New Roman"/>
          <w:noProof/>
          <w:sz w:val="24"/>
          <w:szCs w:val="24"/>
          <w:lang w:val="en-IE"/>
        </w:rPr>
        <w:t xml:space="preserve"> legal certainty for interest representatives </w:t>
      </w:r>
      <w:r w:rsidR="0079191F" w:rsidRPr="00532C20">
        <w:rPr>
          <w:rFonts w:ascii="Times New Roman" w:hAnsi="Times New Roman" w:cs="Times New Roman"/>
          <w:noProof/>
          <w:sz w:val="24"/>
          <w:szCs w:val="24"/>
          <w:lang w:val="en-IE"/>
        </w:rPr>
        <w:t xml:space="preserve">in the </w:t>
      </w:r>
      <w:r w:rsidR="00E02A2E" w:rsidRPr="00532C20">
        <w:rPr>
          <w:rFonts w:ascii="Times New Roman" w:hAnsi="Times New Roman" w:cs="Times New Roman"/>
          <w:noProof/>
          <w:sz w:val="24"/>
          <w:szCs w:val="24"/>
          <w:lang w:val="en-IE"/>
        </w:rPr>
        <w:t>internal</w:t>
      </w:r>
      <w:r w:rsidR="0079191F" w:rsidRPr="00532C20">
        <w:rPr>
          <w:rFonts w:ascii="Times New Roman" w:hAnsi="Times New Roman" w:cs="Times New Roman"/>
          <w:noProof/>
          <w:sz w:val="24"/>
          <w:szCs w:val="24"/>
          <w:lang w:val="en-IE"/>
        </w:rPr>
        <w:t xml:space="preserve"> market </w:t>
      </w:r>
      <w:r w:rsidR="007F1B5C" w:rsidRPr="00532C20">
        <w:rPr>
          <w:rFonts w:ascii="Times New Roman" w:hAnsi="Times New Roman" w:cs="Times New Roman"/>
          <w:noProof/>
          <w:sz w:val="24"/>
          <w:szCs w:val="24"/>
          <w:lang w:val="en-IE"/>
        </w:rPr>
        <w:t>on the basis of a</w:t>
      </w:r>
      <w:r w:rsidR="009A672E" w:rsidRPr="00532C20">
        <w:rPr>
          <w:rFonts w:ascii="Times New Roman" w:hAnsi="Times New Roman" w:cs="Times New Roman"/>
          <w:noProof/>
          <w:sz w:val="24"/>
          <w:szCs w:val="24"/>
          <w:lang w:val="en-IE"/>
        </w:rPr>
        <w:t xml:space="preserve"> proportionate standard</w:t>
      </w:r>
      <w:r w:rsidRPr="00532C20">
        <w:rPr>
          <w:rFonts w:ascii="Times New Roman" w:hAnsi="Times New Roman" w:cs="Times New Roman"/>
          <w:noProof/>
          <w:sz w:val="24"/>
          <w:szCs w:val="24"/>
          <w:lang w:val="en-IE"/>
        </w:rPr>
        <w:t xml:space="preserve">. Member States would, within the framework of the harmonised rules, be prohibited from diverging from the rules </w:t>
      </w:r>
      <w:r w:rsidR="00100ECB" w:rsidRPr="00532C20">
        <w:rPr>
          <w:rFonts w:ascii="Times New Roman" w:hAnsi="Times New Roman" w:cs="Times New Roman"/>
          <w:noProof/>
          <w:sz w:val="24"/>
          <w:szCs w:val="24"/>
          <w:lang w:val="en-IE"/>
        </w:rPr>
        <w:t>in</w:t>
      </w:r>
      <w:r w:rsidR="004D7679">
        <w:rPr>
          <w:rFonts w:ascii="Times New Roman" w:hAnsi="Times New Roman" w:cs="Times New Roman"/>
          <w:noProof/>
          <w:sz w:val="24"/>
          <w:szCs w:val="24"/>
          <w:lang w:val="en-IE"/>
        </w:rPr>
        <w:t>c</w:t>
      </w:r>
      <w:r w:rsidR="00100ECB" w:rsidRPr="00532C20">
        <w:rPr>
          <w:rFonts w:ascii="Times New Roman" w:hAnsi="Times New Roman" w:cs="Times New Roman"/>
          <w:noProof/>
          <w:sz w:val="24"/>
          <w:szCs w:val="24"/>
          <w:lang w:val="en-IE"/>
        </w:rPr>
        <w:t>luding by</w:t>
      </w:r>
      <w:r w:rsidRPr="00532C20">
        <w:rPr>
          <w:rFonts w:ascii="Times New Roman" w:hAnsi="Times New Roman" w:cs="Times New Roman"/>
          <w:noProof/>
          <w:sz w:val="24"/>
          <w:szCs w:val="24"/>
          <w:lang w:val="en-IE"/>
        </w:rPr>
        <w:t xml:space="preserve"> laying down more extensive transparency requirements</w:t>
      </w:r>
      <w:r w:rsidR="00EA1650" w:rsidRPr="00532C20">
        <w:rPr>
          <w:rFonts w:ascii="Times New Roman" w:hAnsi="Times New Roman" w:cs="Times New Roman"/>
          <w:noProof/>
          <w:sz w:val="24"/>
          <w:szCs w:val="24"/>
          <w:lang w:val="en-IE"/>
        </w:rPr>
        <w:t xml:space="preserve"> (so-called “gold plating”)</w:t>
      </w:r>
      <w:r w:rsidRPr="00532C20">
        <w:rPr>
          <w:rFonts w:ascii="Times New Roman" w:hAnsi="Times New Roman" w:cs="Times New Roman"/>
          <w:noProof/>
          <w:sz w:val="24"/>
          <w:szCs w:val="24"/>
          <w:lang w:val="en-IE"/>
        </w:rPr>
        <w:t>. The Directive would provide for a harmonised comprehensive system of safeguards, including effective judicial review, harmonised sanctions limited to administrative fines, independent supervisory authorities, obligations to prevent stigmatisation, in particular to ensure that no adverse consequences arise from the inclusion of an entity in the register.</w:t>
      </w:r>
    </w:p>
    <w:p w14:paraId="7D91E370" w14:textId="164BD031" w:rsidR="00D353EB" w:rsidRPr="00532C20" w:rsidRDefault="00102F76" w:rsidP="00CD0507">
      <w:pPr>
        <w:spacing w:after="120" w:line="240" w:lineRule="auto"/>
        <w:jc w:val="both"/>
        <w:rPr>
          <w:rFonts w:ascii="Times New Roman" w:hAnsi="Times New Roman" w:cs="Times New Roman"/>
          <w:noProof/>
          <w:sz w:val="24"/>
          <w:szCs w:val="24"/>
        </w:rPr>
      </w:pPr>
      <w:r w:rsidRPr="00532C20">
        <w:rPr>
          <w:rFonts w:ascii="Times New Roman" w:hAnsi="Times New Roman" w:cs="Times New Roman"/>
          <w:noProof/>
          <w:sz w:val="24"/>
          <w:szCs w:val="24"/>
          <w:lang w:val="en-IE"/>
        </w:rPr>
        <w:t xml:space="preserve">The competence of Member States to establish rules, in full respect of EU law, for the aspects not covered by the harmonised rules </w:t>
      </w:r>
      <w:r w:rsidR="0005625C" w:rsidRPr="00532C20">
        <w:rPr>
          <w:rFonts w:ascii="Times New Roman" w:hAnsi="Times New Roman" w:cs="Times New Roman"/>
          <w:noProof/>
          <w:sz w:val="24"/>
          <w:szCs w:val="24"/>
          <w:lang w:val="en-IE"/>
        </w:rPr>
        <w:t>will not be</w:t>
      </w:r>
      <w:r w:rsidRPr="00532C20">
        <w:rPr>
          <w:rFonts w:ascii="Times New Roman" w:hAnsi="Times New Roman" w:cs="Times New Roman"/>
          <w:noProof/>
          <w:sz w:val="24"/>
          <w:szCs w:val="24"/>
          <w:lang w:val="en-IE"/>
        </w:rPr>
        <w:t xml:space="preserve"> affected, for example, to establish rules for their public officials contacting entities carrying out interest representation activities on behalf of third countries or </w:t>
      </w:r>
      <w:r w:rsidR="000647B4">
        <w:rPr>
          <w:rFonts w:ascii="Times New Roman" w:hAnsi="Times New Roman" w:cs="Times New Roman"/>
          <w:noProof/>
          <w:sz w:val="24"/>
          <w:szCs w:val="24"/>
        </w:rPr>
        <w:t>r</w:t>
      </w:r>
      <w:r w:rsidRPr="00532C20">
        <w:rPr>
          <w:rFonts w:ascii="Times New Roman" w:hAnsi="Times New Roman" w:cs="Times New Roman"/>
          <w:noProof/>
          <w:sz w:val="24"/>
          <w:szCs w:val="24"/>
        </w:rPr>
        <w:t>egulating the legality of the availability of interest representation activities carried out on behalf of third countries.</w:t>
      </w:r>
    </w:p>
    <w:p w14:paraId="78A3879B" w14:textId="77777777" w:rsidR="00970C0B" w:rsidRPr="00532C20" w:rsidRDefault="00AF23B5" w:rsidP="003E0531">
      <w:pPr>
        <w:pStyle w:val="11Subsection"/>
        <w:rPr>
          <w:noProof/>
        </w:rPr>
      </w:pPr>
      <w:bookmarkStart w:id="1049" w:name="_Toc152864718"/>
      <w:r w:rsidRPr="00532C20">
        <w:rPr>
          <w:noProof/>
        </w:rPr>
        <w:t>Application of the “one in, one out” approach</w:t>
      </w:r>
      <w:bookmarkEnd w:id="1049"/>
    </w:p>
    <w:p w14:paraId="17D92F05" w14:textId="2580D9DB" w:rsidR="006F0363" w:rsidRPr="00532C20" w:rsidRDefault="006F0363" w:rsidP="009C57B0">
      <w:pPr>
        <w:spacing w:after="120"/>
        <w:rPr>
          <w:rFonts w:ascii="Times New Roman" w:hAnsi="Times New Roman" w:cs="Times New Roman"/>
          <w:noProof/>
          <w:sz w:val="24"/>
          <w:szCs w:val="24"/>
        </w:rPr>
      </w:pPr>
      <w:r w:rsidRPr="00532C20">
        <w:rPr>
          <w:rFonts w:ascii="Times New Roman" w:hAnsi="Times New Roman" w:cs="Times New Roman"/>
          <w:noProof/>
          <w:sz w:val="24"/>
          <w:szCs w:val="24"/>
        </w:rPr>
        <w:t xml:space="preserve">An overview of </w:t>
      </w:r>
      <w:r w:rsidR="00C85557" w:rsidRPr="00532C20">
        <w:rPr>
          <w:rFonts w:ascii="Times New Roman" w:hAnsi="Times New Roman" w:cs="Times New Roman"/>
          <w:noProof/>
          <w:sz w:val="24"/>
          <w:szCs w:val="24"/>
        </w:rPr>
        <w:t xml:space="preserve">estimated </w:t>
      </w:r>
      <w:r w:rsidRPr="00532C20">
        <w:rPr>
          <w:rFonts w:ascii="Times New Roman" w:hAnsi="Times New Roman" w:cs="Times New Roman"/>
          <w:noProof/>
          <w:sz w:val="24"/>
          <w:szCs w:val="24"/>
        </w:rPr>
        <w:t>costs is provided in Annex 3</w:t>
      </w:r>
      <w:r w:rsidR="005C2D0F" w:rsidRPr="00532C20">
        <w:rPr>
          <w:rFonts w:ascii="Times New Roman" w:hAnsi="Times New Roman" w:cs="Times New Roman"/>
          <w:noProof/>
          <w:sz w:val="24"/>
          <w:szCs w:val="24"/>
        </w:rPr>
        <w:t xml:space="preserve"> </w:t>
      </w:r>
      <w:r w:rsidR="006D0B92" w:rsidRPr="00532C20">
        <w:rPr>
          <w:rFonts w:ascii="Times New Roman" w:hAnsi="Times New Roman" w:cs="Times New Roman"/>
          <w:noProof/>
          <w:sz w:val="24"/>
          <w:szCs w:val="24"/>
        </w:rPr>
        <w:t>with</w:t>
      </w:r>
      <w:r w:rsidR="00D678DF" w:rsidRPr="00532C20">
        <w:rPr>
          <w:rFonts w:ascii="Times New Roman" w:hAnsi="Times New Roman" w:cs="Times New Roman"/>
          <w:noProof/>
          <w:sz w:val="24"/>
          <w:szCs w:val="24"/>
        </w:rPr>
        <w:t xml:space="preserve"> methodology </w:t>
      </w:r>
      <w:r w:rsidR="006D0B92" w:rsidRPr="00532C20">
        <w:rPr>
          <w:rFonts w:ascii="Times New Roman" w:hAnsi="Times New Roman" w:cs="Times New Roman"/>
          <w:noProof/>
          <w:sz w:val="24"/>
          <w:szCs w:val="24"/>
        </w:rPr>
        <w:t>in Annex 4.</w:t>
      </w:r>
    </w:p>
    <w:p w14:paraId="78D6F4FA" w14:textId="77777777" w:rsidR="00E67752" w:rsidRPr="00532C20" w:rsidRDefault="00777663" w:rsidP="004B0958">
      <w:pPr>
        <w:pStyle w:val="Text2"/>
        <w:spacing w:after="0"/>
        <w:ind w:left="0"/>
        <w:rPr>
          <w:rFonts w:ascii="Times New Roman" w:hAnsi="Times New Roman" w:cs="Times New Roman"/>
          <w:b/>
          <w:bCs/>
          <w:noProof/>
          <w:sz w:val="22"/>
          <w:szCs w:val="22"/>
          <w:lang w:val="en-IE"/>
        </w:rPr>
      </w:pPr>
      <w:r w:rsidRPr="00532C20">
        <w:rPr>
          <w:rFonts w:ascii="Times New Roman" w:hAnsi="Times New Roman" w:cs="Times New Roman"/>
          <w:b/>
          <w:bCs/>
          <w:noProof/>
          <w:sz w:val="22"/>
          <w:szCs w:val="22"/>
          <w:lang w:val="en-IE"/>
        </w:rPr>
        <w:t xml:space="preserve">Table 7: Costs related to the ‘one in, one out’ </w:t>
      </w:r>
      <w:r w:rsidR="00194117" w:rsidRPr="00532C20">
        <w:rPr>
          <w:rFonts w:ascii="Times New Roman" w:hAnsi="Times New Roman" w:cs="Times New Roman"/>
          <w:b/>
          <w:bCs/>
          <w:noProof/>
          <w:sz w:val="22"/>
          <w:szCs w:val="22"/>
          <w:lang w:val="en-IE"/>
        </w:rPr>
        <w:t>approach</w:t>
      </w:r>
    </w:p>
    <w:tbl>
      <w:tblPr>
        <w:tblStyle w:val="TableGrid"/>
        <w:tblW w:w="0" w:type="auto"/>
        <w:tblLayout w:type="fixed"/>
        <w:tblLook w:val="04A0" w:firstRow="1" w:lastRow="0" w:firstColumn="1" w:lastColumn="0" w:noHBand="0" w:noVBand="1"/>
      </w:tblPr>
      <w:tblGrid>
        <w:gridCol w:w="1696"/>
        <w:gridCol w:w="1134"/>
        <w:gridCol w:w="1418"/>
        <w:gridCol w:w="2384"/>
        <w:gridCol w:w="2384"/>
      </w:tblGrid>
      <w:tr w:rsidR="00E67752" w:rsidRPr="00532C20" w14:paraId="7F7F9EFD" w14:textId="77777777" w:rsidTr="00582553">
        <w:tc>
          <w:tcPr>
            <w:tcW w:w="1696" w:type="dxa"/>
          </w:tcPr>
          <w:p w14:paraId="4DE19ABE" w14:textId="77777777" w:rsidR="00E67752" w:rsidRPr="00532C20" w:rsidRDefault="00E67752" w:rsidP="004B0958">
            <w:pPr>
              <w:pStyle w:val="Text2"/>
              <w:spacing w:after="0"/>
              <w:ind w:left="0"/>
              <w:rPr>
                <w:rFonts w:ascii="Times New Roman" w:hAnsi="Times New Roman" w:cs="Times New Roman"/>
                <w:b/>
                <w:bCs/>
                <w:noProof/>
                <w:sz w:val="22"/>
                <w:szCs w:val="22"/>
                <w:lang w:val="en-IE"/>
              </w:rPr>
            </w:pPr>
          </w:p>
        </w:tc>
        <w:tc>
          <w:tcPr>
            <w:tcW w:w="2552" w:type="dxa"/>
            <w:gridSpan w:val="2"/>
          </w:tcPr>
          <w:p w14:paraId="2952618D" w14:textId="02762B95" w:rsidR="00E67752" w:rsidRPr="00532C20" w:rsidRDefault="00E67752" w:rsidP="004B0958">
            <w:pPr>
              <w:pStyle w:val="Text2"/>
              <w:spacing w:after="0"/>
              <w:ind w:left="0"/>
              <w:rPr>
                <w:rFonts w:ascii="Times New Roman" w:hAnsi="Times New Roman" w:cs="Times New Roman"/>
                <w:b/>
                <w:bCs/>
                <w:noProof/>
                <w:sz w:val="22"/>
                <w:szCs w:val="22"/>
                <w:lang w:val="en-IE"/>
              </w:rPr>
            </w:pPr>
            <w:r w:rsidRPr="00532C20">
              <w:rPr>
                <w:rFonts w:ascii="Times New Roman" w:hAnsi="Times New Roman" w:cs="Times New Roman"/>
                <w:b/>
                <w:bCs/>
                <w:noProof/>
                <w:sz w:val="22"/>
                <w:szCs w:val="22"/>
                <w:lang w:val="en-IE"/>
              </w:rPr>
              <w:t>Citizens</w:t>
            </w:r>
          </w:p>
        </w:tc>
        <w:tc>
          <w:tcPr>
            <w:tcW w:w="4768" w:type="dxa"/>
            <w:gridSpan w:val="2"/>
          </w:tcPr>
          <w:p w14:paraId="28319C8A" w14:textId="77777777" w:rsidR="00E67752" w:rsidRPr="00532C20" w:rsidRDefault="00E67752" w:rsidP="004B0958">
            <w:pPr>
              <w:pStyle w:val="Text2"/>
              <w:spacing w:after="0"/>
              <w:ind w:left="0"/>
              <w:rPr>
                <w:rFonts w:ascii="Times New Roman" w:hAnsi="Times New Roman" w:cs="Times New Roman"/>
                <w:b/>
                <w:bCs/>
                <w:noProof/>
                <w:sz w:val="22"/>
                <w:szCs w:val="22"/>
                <w:lang w:val="en-IE"/>
              </w:rPr>
            </w:pPr>
            <w:r w:rsidRPr="00532C20">
              <w:rPr>
                <w:rFonts w:ascii="Times New Roman" w:hAnsi="Times New Roman" w:cs="Times New Roman"/>
                <w:b/>
                <w:bCs/>
                <w:noProof/>
                <w:sz w:val="22"/>
                <w:szCs w:val="22"/>
                <w:lang w:val="en-IE"/>
              </w:rPr>
              <w:t>Businesses</w:t>
            </w:r>
          </w:p>
        </w:tc>
      </w:tr>
      <w:tr w:rsidR="006E1339" w:rsidRPr="00532C20" w14:paraId="56142F31" w14:textId="77777777" w:rsidTr="00FC1850">
        <w:tc>
          <w:tcPr>
            <w:tcW w:w="1696" w:type="dxa"/>
          </w:tcPr>
          <w:p w14:paraId="3A4013D0" w14:textId="77777777" w:rsidR="006E1339" w:rsidRPr="00532C20" w:rsidRDefault="006E1339" w:rsidP="004B0958">
            <w:pPr>
              <w:pStyle w:val="Text2"/>
              <w:spacing w:after="0"/>
              <w:ind w:left="0"/>
              <w:rPr>
                <w:rFonts w:ascii="Times New Roman" w:hAnsi="Times New Roman" w:cs="Times New Roman"/>
                <w:b/>
                <w:bCs/>
                <w:noProof/>
                <w:sz w:val="22"/>
                <w:szCs w:val="22"/>
                <w:lang w:val="en-IE"/>
              </w:rPr>
            </w:pPr>
          </w:p>
        </w:tc>
        <w:tc>
          <w:tcPr>
            <w:tcW w:w="1134" w:type="dxa"/>
          </w:tcPr>
          <w:p w14:paraId="27D20D2F" w14:textId="77777777" w:rsidR="006E1339" w:rsidRPr="00532C20" w:rsidRDefault="006E1339" w:rsidP="004B0958">
            <w:pPr>
              <w:pStyle w:val="Text2"/>
              <w:spacing w:after="0"/>
              <w:ind w:left="0"/>
              <w:rPr>
                <w:rFonts w:ascii="Times New Roman" w:hAnsi="Times New Roman" w:cs="Times New Roman"/>
                <w:b/>
                <w:bCs/>
                <w:noProof/>
                <w:sz w:val="22"/>
                <w:szCs w:val="22"/>
                <w:lang w:val="en-IE"/>
              </w:rPr>
            </w:pPr>
            <w:r w:rsidRPr="00532C20">
              <w:rPr>
                <w:rFonts w:ascii="Times New Roman" w:hAnsi="Times New Roman" w:cs="Times New Roman"/>
                <w:b/>
                <w:bCs/>
                <w:noProof/>
                <w:sz w:val="22"/>
                <w:szCs w:val="22"/>
                <w:lang w:val="en-IE"/>
              </w:rPr>
              <w:t>One-off</w:t>
            </w:r>
          </w:p>
        </w:tc>
        <w:tc>
          <w:tcPr>
            <w:tcW w:w="1418" w:type="dxa"/>
          </w:tcPr>
          <w:p w14:paraId="4744DCE4" w14:textId="435CB02A" w:rsidR="006E1339" w:rsidRPr="00532C20" w:rsidRDefault="006E1339" w:rsidP="009C57B0">
            <w:pPr>
              <w:pStyle w:val="Text2"/>
              <w:spacing w:after="0"/>
              <w:ind w:left="0"/>
              <w:jc w:val="left"/>
              <w:rPr>
                <w:rFonts w:ascii="Times New Roman" w:hAnsi="Times New Roman" w:cs="Times New Roman"/>
                <w:b/>
                <w:bCs/>
                <w:noProof/>
                <w:sz w:val="22"/>
                <w:szCs w:val="22"/>
                <w:lang w:val="en-IE"/>
              </w:rPr>
            </w:pPr>
            <w:r w:rsidRPr="00532C20">
              <w:rPr>
                <w:rFonts w:ascii="Times New Roman" w:hAnsi="Times New Roman" w:cs="Times New Roman"/>
                <w:noProof/>
                <w:sz w:val="22"/>
                <w:szCs w:val="22"/>
                <w:lang w:val="en-IE"/>
              </w:rPr>
              <w:t>Recurrent</w:t>
            </w:r>
          </w:p>
        </w:tc>
        <w:tc>
          <w:tcPr>
            <w:tcW w:w="2384" w:type="dxa"/>
          </w:tcPr>
          <w:p w14:paraId="6A277F08" w14:textId="55DF0BBB" w:rsidR="006E1339" w:rsidRPr="00532C20" w:rsidRDefault="006E1339" w:rsidP="004B0958">
            <w:pPr>
              <w:pStyle w:val="Text2"/>
              <w:spacing w:after="0"/>
              <w:ind w:left="0"/>
              <w:rPr>
                <w:rFonts w:ascii="Times New Roman" w:hAnsi="Times New Roman" w:cs="Times New Roman"/>
                <w:b/>
                <w:bCs/>
                <w:noProof/>
                <w:sz w:val="22"/>
                <w:szCs w:val="22"/>
                <w:lang w:val="en-IE"/>
              </w:rPr>
            </w:pPr>
            <w:r w:rsidRPr="00532C20">
              <w:rPr>
                <w:rFonts w:ascii="Times New Roman" w:hAnsi="Times New Roman" w:cs="Times New Roman"/>
                <w:b/>
                <w:bCs/>
                <w:noProof/>
                <w:sz w:val="22"/>
                <w:szCs w:val="22"/>
                <w:lang w:val="en-IE"/>
              </w:rPr>
              <w:t>One-off</w:t>
            </w:r>
          </w:p>
        </w:tc>
        <w:tc>
          <w:tcPr>
            <w:tcW w:w="2384" w:type="dxa"/>
          </w:tcPr>
          <w:p w14:paraId="37DAF7DC" w14:textId="68D1E1EB" w:rsidR="006E1339" w:rsidRPr="00532C20" w:rsidRDefault="006E1339" w:rsidP="009C57B0">
            <w:pPr>
              <w:pStyle w:val="Text2"/>
              <w:spacing w:after="0"/>
              <w:ind w:left="0"/>
              <w:jc w:val="left"/>
              <w:rPr>
                <w:rFonts w:ascii="Times New Roman" w:hAnsi="Times New Roman" w:cs="Times New Roman"/>
                <w:b/>
                <w:bCs/>
                <w:noProof/>
                <w:sz w:val="22"/>
                <w:szCs w:val="22"/>
                <w:lang w:val="en-IE"/>
              </w:rPr>
            </w:pPr>
            <w:r w:rsidRPr="00532C20">
              <w:rPr>
                <w:rFonts w:ascii="Times New Roman" w:hAnsi="Times New Roman" w:cs="Times New Roman"/>
                <w:b/>
                <w:bCs/>
                <w:noProof/>
                <w:sz w:val="22"/>
                <w:szCs w:val="22"/>
                <w:lang w:val="en-IE"/>
              </w:rPr>
              <w:t>Recurrent</w:t>
            </w:r>
          </w:p>
        </w:tc>
      </w:tr>
      <w:tr w:rsidR="006E1339" w:rsidRPr="00532C20" w14:paraId="283ECEEB" w14:textId="77777777">
        <w:tc>
          <w:tcPr>
            <w:tcW w:w="1696" w:type="dxa"/>
          </w:tcPr>
          <w:p w14:paraId="58752913" w14:textId="6B91CDF6" w:rsidR="006E1339" w:rsidRPr="00532C20" w:rsidRDefault="006E1339" w:rsidP="009C57B0">
            <w:pPr>
              <w:pStyle w:val="Text2"/>
              <w:spacing w:after="0"/>
              <w:ind w:left="0"/>
              <w:jc w:val="left"/>
              <w:rPr>
                <w:rFonts w:ascii="Times New Roman" w:hAnsi="Times New Roman" w:cs="Times New Roman"/>
                <w:b/>
                <w:bCs/>
                <w:noProof/>
                <w:sz w:val="22"/>
                <w:szCs w:val="22"/>
                <w:lang w:val="en-IE"/>
              </w:rPr>
            </w:pPr>
            <w:r w:rsidRPr="00532C20">
              <w:rPr>
                <w:rFonts w:ascii="Times New Roman" w:hAnsi="Times New Roman" w:cs="Times New Roman"/>
                <w:b/>
                <w:bCs/>
                <w:noProof/>
                <w:sz w:val="22"/>
                <w:szCs w:val="22"/>
                <w:lang w:val="en-IE"/>
              </w:rPr>
              <w:t xml:space="preserve">Direct and indirect adjustment costs </w:t>
            </w:r>
          </w:p>
        </w:tc>
        <w:tc>
          <w:tcPr>
            <w:tcW w:w="1134" w:type="dxa"/>
          </w:tcPr>
          <w:p w14:paraId="1A753D86" w14:textId="67BA620C" w:rsidR="006E1339" w:rsidRPr="00532C20" w:rsidRDefault="006E1339" w:rsidP="009C57B0">
            <w:pPr>
              <w:pStyle w:val="Text2"/>
              <w:spacing w:after="0"/>
              <w:ind w:left="0"/>
              <w:jc w:val="left"/>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n/a</w:t>
            </w:r>
          </w:p>
        </w:tc>
        <w:tc>
          <w:tcPr>
            <w:tcW w:w="1418" w:type="dxa"/>
          </w:tcPr>
          <w:p w14:paraId="3D8A5849" w14:textId="4889CEFD" w:rsidR="006E1339" w:rsidRPr="00532C20" w:rsidRDefault="006E1339" w:rsidP="009C57B0">
            <w:pPr>
              <w:pStyle w:val="Text2"/>
              <w:spacing w:after="0"/>
              <w:ind w:left="0"/>
              <w:jc w:val="left"/>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n/a</w:t>
            </w:r>
          </w:p>
        </w:tc>
        <w:tc>
          <w:tcPr>
            <w:tcW w:w="2384" w:type="dxa"/>
          </w:tcPr>
          <w:p w14:paraId="615927BF" w14:textId="658C8169" w:rsidR="006E1339" w:rsidRPr="00532C20" w:rsidRDefault="000C133A" w:rsidP="009C57B0">
            <w:pPr>
              <w:pStyle w:val="Text2"/>
              <w:spacing w:after="0"/>
              <w:ind w:left="0"/>
              <w:jc w:val="left"/>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EUR 71.2 million to EUR 213.8 million total familiarisation costs</w:t>
            </w:r>
          </w:p>
        </w:tc>
        <w:tc>
          <w:tcPr>
            <w:tcW w:w="2384" w:type="dxa"/>
          </w:tcPr>
          <w:p w14:paraId="7F69C5E0" w14:textId="41C9BE20" w:rsidR="006E1339" w:rsidRPr="00532C20" w:rsidRDefault="00FC1850" w:rsidP="009C57B0">
            <w:pPr>
              <w:pStyle w:val="Text2"/>
              <w:spacing w:after="0"/>
              <w:ind w:left="0"/>
              <w:jc w:val="left"/>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n/a</w:t>
            </w:r>
          </w:p>
        </w:tc>
      </w:tr>
      <w:tr w:rsidR="006E1339" w:rsidRPr="00532C20" w14:paraId="751FAD78" w14:textId="77777777">
        <w:tc>
          <w:tcPr>
            <w:tcW w:w="1696" w:type="dxa"/>
          </w:tcPr>
          <w:p w14:paraId="7EAA14D8" w14:textId="170FEDB2" w:rsidR="006E1339" w:rsidRPr="00532C20" w:rsidRDefault="006E1339" w:rsidP="009C57B0">
            <w:pPr>
              <w:pStyle w:val="Text2"/>
              <w:spacing w:after="0"/>
              <w:ind w:left="0"/>
              <w:jc w:val="left"/>
              <w:rPr>
                <w:rFonts w:ascii="Times New Roman" w:hAnsi="Times New Roman" w:cs="Times New Roman"/>
                <w:b/>
                <w:bCs/>
                <w:noProof/>
                <w:sz w:val="22"/>
                <w:szCs w:val="22"/>
                <w:lang w:val="en-IE"/>
              </w:rPr>
            </w:pPr>
            <w:r w:rsidRPr="00532C20">
              <w:rPr>
                <w:rFonts w:ascii="Times New Roman" w:hAnsi="Times New Roman" w:cs="Times New Roman"/>
                <w:b/>
                <w:bCs/>
                <w:noProof/>
                <w:sz w:val="22"/>
                <w:szCs w:val="22"/>
                <w:lang w:val="en-IE"/>
              </w:rPr>
              <w:t>Administrative costs</w:t>
            </w:r>
            <w:r w:rsidRPr="00532C20">
              <w:rPr>
                <w:rFonts w:ascii="Times New Roman" w:eastAsia="Symbol" w:hAnsi="Times New Roman" w:cs="Times New Roman"/>
                <w:noProof/>
                <w:sz w:val="22"/>
                <w:szCs w:val="22"/>
                <w:lang w:val="en-IE"/>
              </w:rPr>
              <w:t xml:space="preserve"> per year</w:t>
            </w:r>
          </w:p>
        </w:tc>
        <w:tc>
          <w:tcPr>
            <w:tcW w:w="1134" w:type="dxa"/>
          </w:tcPr>
          <w:p w14:paraId="5077BFEA" w14:textId="5C8B8A2F" w:rsidR="006E1339" w:rsidRPr="00532C20" w:rsidRDefault="006E1339" w:rsidP="009C57B0">
            <w:pPr>
              <w:pStyle w:val="Text2"/>
              <w:spacing w:after="0"/>
              <w:ind w:left="0"/>
              <w:jc w:val="left"/>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n/a</w:t>
            </w:r>
          </w:p>
        </w:tc>
        <w:tc>
          <w:tcPr>
            <w:tcW w:w="1418" w:type="dxa"/>
          </w:tcPr>
          <w:p w14:paraId="5DEE952F" w14:textId="591C192C" w:rsidR="006E1339" w:rsidRPr="00532C20" w:rsidRDefault="006E1339" w:rsidP="009C57B0">
            <w:pPr>
              <w:pStyle w:val="Text2"/>
              <w:spacing w:after="0"/>
              <w:ind w:left="0"/>
              <w:jc w:val="left"/>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n/a</w:t>
            </w:r>
          </w:p>
        </w:tc>
        <w:tc>
          <w:tcPr>
            <w:tcW w:w="2384" w:type="dxa"/>
          </w:tcPr>
          <w:p w14:paraId="2126505F" w14:textId="2135E4A3" w:rsidR="006E1339" w:rsidRPr="00532C20" w:rsidRDefault="00FC1850" w:rsidP="009C57B0">
            <w:pPr>
              <w:pStyle w:val="Text2"/>
              <w:spacing w:after="0"/>
              <w:ind w:left="0"/>
              <w:jc w:val="left"/>
              <w:rPr>
                <w:rFonts w:ascii="Times New Roman" w:hAnsi="Times New Roman" w:cs="Times New Roman"/>
                <w:noProof/>
                <w:sz w:val="22"/>
                <w:szCs w:val="22"/>
                <w:lang w:val="en-IE"/>
              </w:rPr>
            </w:pPr>
            <w:r w:rsidRPr="00532C20">
              <w:rPr>
                <w:rFonts w:ascii="Times New Roman" w:hAnsi="Times New Roman" w:cs="Times New Roman"/>
                <w:noProof/>
                <w:sz w:val="22"/>
                <w:szCs w:val="22"/>
                <w:lang w:val="en-IE"/>
              </w:rPr>
              <w:t>n/a</w:t>
            </w:r>
          </w:p>
        </w:tc>
        <w:tc>
          <w:tcPr>
            <w:tcW w:w="2384" w:type="dxa"/>
          </w:tcPr>
          <w:p w14:paraId="24DE0983" w14:textId="15EAA1A7" w:rsidR="006E1339" w:rsidRPr="00532C20" w:rsidRDefault="007870F0" w:rsidP="009C57B0">
            <w:pPr>
              <w:pStyle w:val="Text2"/>
              <w:spacing w:after="0"/>
              <w:ind w:left="0"/>
              <w:jc w:val="left"/>
              <w:rPr>
                <w:rFonts w:ascii="Times New Roman" w:hAnsi="Times New Roman" w:cs="Times New Roman"/>
                <w:noProof/>
                <w:sz w:val="22"/>
                <w:szCs w:val="22"/>
                <w:lang w:val="en-IE"/>
              </w:rPr>
            </w:pPr>
            <w:r w:rsidRPr="00532C20">
              <w:rPr>
                <w:rFonts w:ascii="Times New Roman" w:eastAsia="Symbol" w:hAnsi="Times New Roman" w:cs="Times New Roman"/>
                <w:noProof/>
                <w:sz w:val="22"/>
                <w:szCs w:val="22"/>
                <w:lang w:val="en-IE"/>
              </w:rPr>
              <w:t>EUR 615,000 to EUR 921,000 registration and information disclosure costs (average EUR 768,000)</w:t>
            </w:r>
          </w:p>
        </w:tc>
      </w:tr>
    </w:tbl>
    <w:p w14:paraId="0A3B6062" w14:textId="1B9E613D" w:rsidR="006B087E" w:rsidRPr="00532C20" w:rsidRDefault="44F3C3A2" w:rsidP="00E415E8">
      <w:pPr>
        <w:pStyle w:val="1levelonetitle"/>
        <w:spacing w:after="120"/>
        <w:rPr>
          <w:noProof/>
        </w:rPr>
      </w:pPr>
      <w:bookmarkStart w:id="1050" w:name="_Toc152864719"/>
      <w:r w:rsidRPr="00532C20">
        <w:rPr>
          <w:noProof/>
        </w:rPr>
        <w:t>How will actual impacts be monitored and evaluated?</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1050"/>
    </w:p>
    <w:p w14:paraId="36BB9A3D" w14:textId="30873E1E" w:rsidR="005554BD" w:rsidRPr="00532C20" w:rsidRDefault="001F76C8" w:rsidP="00E415E8">
      <w:pPr>
        <w:spacing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A r</w:t>
      </w:r>
      <w:r w:rsidR="008F78A1" w:rsidRPr="00532C20">
        <w:rPr>
          <w:rFonts w:ascii="Times New Roman" w:eastAsia="Times" w:hAnsi="Times New Roman" w:cs="Times New Roman"/>
          <w:noProof/>
          <w:sz w:val="24"/>
          <w:szCs w:val="24"/>
          <w:lang w:val="en-IE" w:eastAsia="en-IE"/>
        </w:rPr>
        <w:t>eport</w:t>
      </w:r>
      <w:r w:rsidR="00626D3E" w:rsidRPr="00532C20">
        <w:rPr>
          <w:rFonts w:ascii="Times New Roman" w:eastAsia="Times" w:hAnsi="Times New Roman" w:cs="Times New Roman"/>
          <w:noProof/>
          <w:sz w:val="24"/>
          <w:szCs w:val="24"/>
          <w:lang w:val="en-IE" w:eastAsia="en-IE"/>
        </w:rPr>
        <w:t xml:space="preserve"> </w:t>
      </w:r>
      <w:r w:rsidR="008F78A1" w:rsidRPr="00532C20">
        <w:rPr>
          <w:rFonts w:ascii="Times New Roman" w:eastAsia="Times" w:hAnsi="Times New Roman" w:cs="Times New Roman"/>
          <w:noProof/>
          <w:sz w:val="24"/>
          <w:szCs w:val="24"/>
          <w:lang w:val="en-IE" w:eastAsia="en-IE"/>
        </w:rPr>
        <w:t>on the</w:t>
      </w:r>
      <w:r w:rsidR="000C0960" w:rsidRPr="00532C20">
        <w:rPr>
          <w:rFonts w:ascii="Times New Roman" w:eastAsia="Times" w:hAnsi="Times New Roman" w:cs="Times New Roman"/>
          <w:noProof/>
          <w:sz w:val="24"/>
          <w:szCs w:val="24"/>
          <w:lang w:val="en-IE" w:eastAsia="en-IE"/>
        </w:rPr>
        <w:t xml:space="preserve"> implement</w:t>
      </w:r>
      <w:r w:rsidR="000B3B59" w:rsidRPr="00532C20">
        <w:rPr>
          <w:rFonts w:ascii="Times New Roman" w:eastAsia="Times" w:hAnsi="Times New Roman" w:cs="Times New Roman"/>
          <w:noProof/>
          <w:sz w:val="24"/>
          <w:szCs w:val="24"/>
          <w:lang w:val="en-IE" w:eastAsia="en-IE"/>
        </w:rPr>
        <w:t xml:space="preserve">ation </w:t>
      </w:r>
      <w:r w:rsidR="008F78A1" w:rsidRPr="00532C20">
        <w:rPr>
          <w:rFonts w:ascii="Times New Roman" w:eastAsia="Times" w:hAnsi="Times New Roman" w:cs="Times New Roman"/>
          <w:noProof/>
          <w:sz w:val="24"/>
          <w:szCs w:val="24"/>
          <w:lang w:val="en-IE" w:eastAsia="en-IE"/>
        </w:rPr>
        <w:t>of the legislative measures contained in the</w:t>
      </w:r>
      <w:r w:rsidR="003223E9" w:rsidRPr="00532C20">
        <w:rPr>
          <w:rFonts w:ascii="Times New Roman" w:eastAsia="Times" w:hAnsi="Times New Roman" w:cs="Times New Roman"/>
          <w:noProof/>
          <w:sz w:val="24"/>
          <w:szCs w:val="24"/>
          <w:lang w:val="en-IE" w:eastAsia="en-IE"/>
        </w:rPr>
        <w:t xml:space="preserve"> preferred</w:t>
      </w:r>
      <w:r w:rsidR="008F78A1" w:rsidRPr="00532C20" w:rsidDel="003223E9">
        <w:rPr>
          <w:rFonts w:ascii="Times New Roman" w:eastAsia="Times" w:hAnsi="Times New Roman" w:cs="Times New Roman"/>
          <w:noProof/>
          <w:sz w:val="24"/>
          <w:szCs w:val="24"/>
          <w:lang w:val="en-IE" w:eastAsia="en-IE"/>
        </w:rPr>
        <w:t xml:space="preserve"> </w:t>
      </w:r>
      <w:r w:rsidR="008F78A1" w:rsidRPr="00532C20">
        <w:rPr>
          <w:rFonts w:ascii="Times New Roman" w:eastAsia="Times" w:hAnsi="Times New Roman" w:cs="Times New Roman"/>
          <w:noProof/>
          <w:sz w:val="24"/>
          <w:szCs w:val="24"/>
          <w:lang w:val="en-IE" w:eastAsia="en-IE"/>
        </w:rPr>
        <w:t xml:space="preserve">option </w:t>
      </w:r>
      <w:r w:rsidR="00C7516B">
        <w:rPr>
          <w:rFonts w:ascii="Times New Roman" w:eastAsia="Times" w:hAnsi="Times New Roman" w:cs="Times New Roman"/>
          <w:noProof/>
          <w:sz w:val="24"/>
          <w:szCs w:val="24"/>
          <w:lang w:val="en-IE" w:eastAsia="en-IE"/>
        </w:rPr>
        <w:t>would</w:t>
      </w:r>
      <w:r w:rsidR="00C7516B" w:rsidRPr="00532C20">
        <w:rPr>
          <w:rFonts w:ascii="Times New Roman" w:eastAsia="Times" w:hAnsi="Times New Roman" w:cs="Times New Roman"/>
          <w:noProof/>
          <w:sz w:val="24"/>
          <w:szCs w:val="24"/>
          <w:lang w:val="en-IE" w:eastAsia="en-IE"/>
        </w:rPr>
        <w:t xml:space="preserve"> </w:t>
      </w:r>
      <w:r w:rsidR="000B3B59" w:rsidRPr="00532C20">
        <w:rPr>
          <w:rFonts w:ascii="Times New Roman" w:eastAsia="Times" w:hAnsi="Times New Roman" w:cs="Times New Roman"/>
          <w:noProof/>
          <w:sz w:val="24"/>
          <w:szCs w:val="24"/>
          <w:lang w:val="en-IE" w:eastAsia="en-IE"/>
        </w:rPr>
        <w:t xml:space="preserve">take place </w:t>
      </w:r>
      <w:r w:rsidR="00463DD9" w:rsidRPr="00532C20">
        <w:rPr>
          <w:rFonts w:ascii="Times New Roman" w:eastAsia="Times" w:hAnsi="Times New Roman" w:cs="Times New Roman"/>
          <w:noProof/>
          <w:sz w:val="24"/>
          <w:szCs w:val="24"/>
          <w:lang w:val="en-IE" w:eastAsia="en-IE"/>
        </w:rPr>
        <w:t xml:space="preserve">at the latest by </w:t>
      </w:r>
      <w:r w:rsidRPr="00532C20">
        <w:rPr>
          <w:rFonts w:ascii="Times New Roman" w:eastAsia="Times" w:hAnsi="Times New Roman" w:cs="Times New Roman"/>
          <w:noProof/>
          <w:sz w:val="24"/>
          <w:szCs w:val="24"/>
          <w:lang w:val="en-IE" w:eastAsia="en-IE"/>
        </w:rPr>
        <w:t>1</w:t>
      </w:r>
      <w:r w:rsidR="00DA4D54" w:rsidRPr="00532C20">
        <w:rPr>
          <w:rFonts w:ascii="Times New Roman" w:eastAsia="Times" w:hAnsi="Times New Roman" w:cs="Times New Roman"/>
          <w:noProof/>
          <w:sz w:val="24"/>
          <w:szCs w:val="24"/>
          <w:lang w:val="en-IE" w:eastAsia="en-IE"/>
        </w:rPr>
        <w:t>2</w:t>
      </w:r>
      <w:r w:rsidR="00AF6013" w:rsidRPr="00532C20">
        <w:rPr>
          <w:rFonts w:ascii="Times New Roman" w:eastAsia="Times" w:hAnsi="Times New Roman" w:cs="Times New Roman"/>
          <w:noProof/>
          <w:sz w:val="24"/>
          <w:szCs w:val="24"/>
          <w:lang w:val="en-IE" w:eastAsia="en-IE"/>
        </w:rPr>
        <w:t xml:space="preserve"> </w:t>
      </w:r>
      <w:r w:rsidRPr="00532C20">
        <w:rPr>
          <w:rFonts w:ascii="Times New Roman" w:eastAsia="Times" w:hAnsi="Times New Roman" w:cs="Times New Roman"/>
          <w:noProof/>
          <w:sz w:val="24"/>
          <w:szCs w:val="24"/>
          <w:lang w:val="en-IE" w:eastAsia="en-IE"/>
        </w:rPr>
        <w:t>mon</w:t>
      </w:r>
      <w:r w:rsidR="00463DD9" w:rsidRPr="00532C20">
        <w:rPr>
          <w:rFonts w:ascii="Times New Roman" w:eastAsia="Times" w:hAnsi="Times New Roman" w:cs="Times New Roman"/>
          <w:noProof/>
          <w:sz w:val="24"/>
          <w:szCs w:val="24"/>
          <w:lang w:val="en-IE" w:eastAsia="en-IE"/>
        </w:rPr>
        <w:t xml:space="preserve">ths </w:t>
      </w:r>
      <w:r w:rsidR="00AF6013" w:rsidRPr="00532C20">
        <w:rPr>
          <w:rFonts w:ascii="Times New Roman" w:eastAsia="Times" w:hAnsi="Times New Roman" w:cs="Times New Roman"/>
          <w:noProof/>
          <w:sz w:val="24"/>
          <w:szCs w:val="24"/>
          <w:lang w:val="en-IE" w:eastAsia="en-IE"/>
        </w:rPr>
        <w:t>after the deadline</w:t>
      </w:r>
      <w:r w:rsidR="00A211E5" w:rsidRPr="00532C20">
        <w:rPr>
          <w:rFonts w:ascii="Times New Roman" w:eastAsia="Times" w:hAnsi="Times New Roman" w:cs="Times New Roman"/>
          <w:noProof/>
          <w:sz w:val="24"/>
          <w:szCs w:val="24"/>
          <w:lang w:val="en-IE" w:eastAsia="en-IE"/>
        </w:rPr>
        <w:t xml:space="preserve"> </w:t>
      </w:r>
      <w:r w:rsidR="00C7516B">
        <w:rPr>
          <w:rFonts w:ascii="Times New Roman" w:eastAsia="Times" w:hAnsi="Times New Roman" w:cs="Times New Roman"/>
          <w:noProof/>
          <w:sz w:val="24"/>
          <w:szCs w:val="24"/>
          <w:lang w:val="en-IE" w:eastAsia="en-IE"/>
        </w:rPr>
        <w:t>for Member States to transpose the</w:t>
      </w:r>
      <w:r w:rsidR="00A211E5" w:rsidRPr="00532C20">
        <w:rPr>
          <w:rFonts w:ascii="Times New Roman" w:eastAsia="Times" w:hAnsi="Times New Roman" w:cs="Times New Roman"/>
          <w:noProof/>
          <w:sz w:val="24"/>
          <w:szCs w:val="24"/>
          <w:lang w:val="en-IE" w:eastAsia="en-IE"/>
        </w:rPr>
        <w:t xml:space="preserve"> Directive</w:t>
      </w:r>
      <w:r w:rsidR="005C6905" w:rsidRPr="00532C20">
        <w:rPr>
          <w:rFonts w:ascii="Times New Roman" w:eastAsia="Times" w:hAnsi="Times New Roman" w:cs="Times New Roman"/>
          <w:noProof/>
          <w:sz w:val="24"/>
          <w:szCs w:val="24"/>
          <w:lang w:val="en-IE" w:eastAsia="en-IE"/>
        </w:rPr>
        <w:t xml:space="preserve">. </w:t>
      </w:r>
      <w:r w:rsidR="008F78A1" w:rsidRPr="00532C20">
        <w:rPr>
          <w:rFonts w:ascii="Times New Roman" w:eastAsia="Times" w:hAnsi="Times New Roman" w:cs="Times New Roman"/>
          <w:noProof/>
          <w:sz w:val="24"/>
          <w:szCs w:val="24"/>
          <w:lang w:val="en-IE" w:eastAsia="en-IE"/>
        </w:rPr>
        <w:t xml:space="preserve">The Commission </w:t>
      </w:r>
      <w:r w:rsidR="00C7516B">
        <w:rPr>
          <w:rFonts w:ascii="Times New Roman" w:eastAsia="Times" w:hAnsi="Times New Roman" w:cs="Times New Roman"/>
          <w:noProof/>
          <w:sz w:val="24"/>
          <w:szCs w:val="24"/>
          <w:lang w:val="en-IE" w:eastAsia="en-IE"/>
        </w:rPr>
        <w:t>would</w:t>
      </w:r>
      <w:r w:rsidR="00C7516B" w:rsidRPr="00532C20">
        <w:rPr>
          <w:rFonts w:ascii="Times New Roman" w:eastAsia="Times" w:hAnsi="Times New Roman" w:cs="Times New Roman"/>
          <w:noProof/>
          <w:sz w:val="24"/>
          <w:szCs w:val="24"/>
          <w:lang w:val="en-IE" w:eastAsia="en-IE"/>
        </w:rPr>
        <w:t xml:space="preserve"> </w:t>
      </w:r>
      <w:r w:rsidR="008F78A1" w:rsidRPr="00532C20">
        <w:rPr>
          <w:rFonts w:ascii="Times New Roman" w:eastAsia="Times" w:hAnsi="Times New Roman" w:cs="Times New Roman"/>
          <w:noProof/>
          <w:sz w:val="24"/>
          <w:szCs w:val="24"/>
          <w:lang w:val="en-IE" w:eastAsia="en-IE"/>
        </w:rPr>
        <w:t>also carry out an evaluation</w:t>
      </w:r>
      <w:r w:rsidR="008D4567" w:rsidRPr="00532C20">
        <w:rPr>
          <w:rStyle w:val="FootnoteReference"/>
          <w:rFonts w:ascii="Times New Roman" w:eastAsia="Times" w:hAnsi="Times New Roman" w:cs="Times New Roman"/>
          <w:noProof/>
          <w:sz w:val="24"/>
          <w:szCs w:val="24"/>
          <w:lang w:val="en-IE" w:eastAsia="en-IE"/>
        </w:rPr>
        <w:footnoteReference w:id="243"/>
      </w:r>
      <w:r w:rsidR="008D4567" w:rsidRPr="00532C20">
        <w:rPr>
          <w:rFonts w:ascii="Times New Roman" w:eastAsia="Times" w:hAnsi="Times New Roman" w:cs="Times New Roman"/>
          <w:noProof/>
          <w:sz w:val="24"/>
          <w:szCs w:val="24"/>
          <w:lang w:val="en-IE" w:eastAsia="en-IE"/>
        </w:rPr>
        <w:t xml:space="preserve"> </w:t>
      </w:r>
      <w:r w:rsidR="008F78A1" w:rsidRPr="00532C20">
        <w:rPr>
          <w:rFonts w:ascii="Times New Roman" w:eastAsia="Times" w:hAnsi="Times New Roman" w:cs="Times New Roman"/>
          <w:noProof/>
          <w:sz w:val="24"/>
          <w:szCs w:val="24"/>
          <w:lang w:val="en-IE" w:eastAsia="en-IE"/>
        </w:rPr>
        <w:t xml:space="preserve">of those legislative measures </w:t>
      </w:r>
      <w:r w:rsidR="00CC1F23" w:rsidRPr="00532C20">
        <w:rPr>
          <w:rFonts w:ascii="Times New Roman" w:eastAsia="Times" w:hAnsi="Times New Roman" w:cs="Times New Roman"/>
          <w:noProof/>
          <w:sz w:val="24"/>
          <w:szCs w:val="24"/>
          <w:lang w:val="en-IE" w:eastAsia="en-IE"/>
        </w:rPr>
        <w:t xml:space="preserve">at the latest by </w:t>
      </w:r>
      <w:r w:rsidR="00B61562" w:rsidRPr="00532C20">
        <w:rPr>
          <w:rFonts w:ascii="Times New Roman" w:eastAsia="Times" w:hAnsi="Times New Roman" w:cs="Times New Roman"/>
          <w:noProof/>
          <w:sz w:val="24"/>
          <w:szCs w:val="24"/>
          <w:lang w:val="en-IE" w:eastAsia="en-IE"/>
        </w:rPr>
        <w:t>4</w:t>
      </w:r>
      <w:r w:rsidR="00DA4D54" w:rsidRPr="00532C20">
        <w:rPr>
          <w:rFonts w:ascii="Times New Roman" w:eastAsia="Times" w:hAnsi="Times New Roman" w:cs="Times New Roman"/>
          <w:noProof/>
          <w:sz w:val="24"/>
          <w:szCs w:val="24"/>
          <w:lang w:val="en-IE" w:eastAsia="en-IE"/>
        </w:rPr>
        <w:t xml:space="preserve"> </w:t>
      </w:r>
      <w:r w:rsidR="008F78A1" w:rsidRPr="00532C20">
        <w:rPr>
          <w:rFonts w:ascii="Times New Roman" w:eastAsia="Times" w:hAnsi="Times New Roman" w:cs="Times New Roman"/>
          <w:noProof/>
          <w:sz w:val="24"/>
          <w:szCs w:val="24"/>
          <w:lang w:val="en-IE" w:eastAsia="en-IE"/>
        </w:rPr>
        <w:t xml:space="preserve">years after the </w:t>
      </w:r>
      <w:r w:rsidR="00C7516B">
        <w:rPr>
          <w:rFonts w:ascii="Times New Roman" w:eastAsia="Times" w:hAnsi="Times New Roman" w:cs="Times New Roman"/>
          <w:noProof/>
          <w:sz w:val="24"/>
          <w:szCs w:val="24"/>
          <w:lang w:val="en-IE" w:eastAsia="en-IE"/>
        </w:rPr>
        <w:t>transposition</w:t>
      </w:r>
      <w:r w:rsidR="00C7516B" w:rsidRPr="00532C20">
        <w:rPr>
          <w:rFonts w:ascii="Times New Roman" w:eastAsia="Times" w:hAnsi="Times New Roman" w:cs="Times New Roman"/>
          <w:noProof/>
          <w:sz w:val="24"/>
          <w:szCs w:val="24"/>
          <w:lang w:val="en-IE" w:eastAsia="en-IE"/>
        </w:rPr>
        <w:t xml:space="preserve"> </w:t>
      </w:r>
      <w:r w:rsidR="008F78A1" w:rsidRPr="00532C20">
        <w:rPr>
          <w:rFonts w:ascii="Times New Roman" w:eastAsia="Times" w:hAnsi="Times New Roman" w:cs="Times New Roman"/>
          <w:noProof/>
          <w:sz w:val="24"/>
          <w:szCs w:val="24"/>
          <w:lang w:val="en-IE" w:eastAsia="en-IE"/>
        </w:rPr>
        <w:t xml:space="preserve">deadline. </w:t>
      </w:r>
      <w:r w:rsidR="005554BD" w:rsidRPr="00532C20">
        <w:rPr>
          <w:rFonts w:ascii="Times New Roman" w:eastAsia="Times" w:hAnsi="Times New Roman" w:cs="Times New Roman"/>
          <w:noProof/>
          <w:sz w:val="24"/>
          <w:szCs w:val="24"/>
          <w:lang w:val="en-IE" w:eastAsia="en-IE"/>
        </w:rPr>
        <w:t xml:space="preserve">This </w:t>
      </w:r>
      <w:r w:rsidR="00D23C39">
        <w:rPr>
          <w:rFonts w:ascii="Times New Roman" w:eastAsia="Times" w:hAnsi="Times New Roman" w:cs="Times New Roman"/>
          <w:noProof/>
          <w:sz w:val="24"/>
          <w:szCs w:val="24"/>
          <w:lang w:val="en-IE" w:eastAsia="en-IE"/>
        </w:rPr>
        <w:t>evaluation</w:t>
      </w:r>
      <w:r w:rsidR="00D23C39" w:rsidRPr="00532C20">
        <w:rPr>
          <w:rFonts w:ascii="Times New Roman" w:eastAsia="Times" w:hAnsi="Times New Roman" w:cs="Times New Roman"/>
          <w:noProof/>
          <w:sz w:val="24"/>
          <w:szCs w:val="24"/>
          <w:lang w:val="en-IE" w:eastAsia="en-IE"/>
        </w:rPr>
        <w:t xml:space="preserve"> </w:t>
      </w:r>
      <w:r w:rsidR="005554BD" w:rsidRPr="00532C20">
        <w:rPr>
          <w:rFonts w:ascii="Times New Roman" w:eastAsia="Times" w:hAnsi="Times New Roman" w:cs="Times New Roman"/>
          <w:noProof/>
          <w:sz w:val="24"/>
          <w:szCs w:val="24"/>
          <w:lang w:val="en-IE" w:eastAsia="en-IE"/>
        </w:rPr>
        <w:t xml:space="preserve">will </w:t>
      </w:r>
      <w:r w:rsidR="00D23C39">
        <w:rPr>
          <w:rFonts w:ascii="Times New Roman" w:eastAsia="Times" w:hAnsi="Times New Roman" w:cs="Times New Roman"/>
          <w:noProof/>
          <w:sz w:val="24"/>
          <w:szCs w:val="24"/>
          <w:lang w:val="en-IE" w:eastAsia="en-IE"/>
        </w:rPr>
        <w:t xml:space="preserve">also </w:t>
      </w:r>
      <w:r w:rsidR="006E0487" w:rsidRPr="00532C20">
        <w:rPr>
          <w:rFonts w:ascii="Times New Roman" w:eastAsia="Times" w:hAnsi="Times New Roman" w:cs="Times New Roman"/>
          <w:noProof/>
          <w:sz w:val="24"/>
          <w:szCs w:val="24"/>
          <w:lang w:val="en-IE" w:eastAsia="en-IE"/>
        </w:rPr>
        <w:t xml:space="preserve">assess potential changes </w:t>
      </w:r>
      <w:r w:rsidR="00D23C39">
        <w:rPr>
          <w:rFonts w:ascii="Times New Roman" w:eastAsia="Times" w:hAnsi="Times New Roman" w:cs="Times New Roman"/>
          <w:noProof/>
          <w:sz w:val="24"/>
          <w:szCs w:val="24"/>
          <w:lang w:val="en-IE" w:eastAsia="en-IE"/>
        </w:rPr>
        <w:t>to the</w:t>
      </w:r>
      <w:r w:rsidR="00D23C39" w:rsidRPr="00532C20">
        <w:rPr>
          <w:rFonts w:ascii="Times New Roman" w:eastAsia="Times" w:hAnsi="Times New Roman" w:cs="Times New Roman"/>
          <w:noProof/>
          <w:sz w:val="24"/>
          <w:szCs w:val="24"/>
          <w:lang w:val="en-IE" w:eastAsia="en-IE"/>
        </w:rPr>
        <w:t xml:space="preserve"> </w:t>
      </w:r>
      <w:r w:rsidR="006E0487" w:rsidRPr="00532C20">
        <w:rPr>
          <w:rFonts w:ascii="Times New Roman" w:eastAsia="Times" w:hAnsi="Times New Roman" w:cs="Times New Roman"/>
          <w:noProof/>
          <w:sz w:val="24"/>
          <w:szCs w:val="24"/>
          <w:lang w:val="en-IE" w:eastAsia="en-IE"/>
        </w:rPr>
        <w:t xml:space="preserve">scope </w:t>
      </w:r>
      <w:r w:rsidR="00D23C39">
        <w:rPr>
          <w:rFonts w:ascii="Times New Roman" w:eastAsia="Times" w:hAnsi="Times New Roman" w:cs="Times New Roman"/>
          <w:noProof/>
          <w:sz w:val="24"/>
          <w:szCs w:val="24"/>
          <w:lang w:val="en-IE" w:eastAsia="en-IE"/>
        </w:rPr>
        <w:t>of</w:t>
      </w:r>
      <w:r w:rsidR="00D23C39" w:rsidRPr="00532C20">
        <w:rPr>
          <w:rFonts w:ascii="Times New Roman" w:eastAsia="Times" w:hAnsi="Times New Roman" w:cs="Times New Roman"/>
          <w:noProof/>
          <w:sz w:val="24"/>
          <w:szCs w:val="24"/>
          <w:lang w:val="en-IE" w:eastAsia="en-IE"/>
        </w:rPr>
        <w:t xml:space="preserve"> </w:t>
      </w:r>
      <w:r w:rsidR="006E0487" w:rsidRPr="00532C20">
        <w:rPr>
          <w:rFonts w:ascii="Times New Roman" w:eastAsia="Times" w:hAnsi="Times New Roman" w:cs="Times New Roman"/>
          <w:noProof/>
          <w:sz w:val="24"/>
          <w:szCs w:val="24"/>
          <w:lang w:val="en-IE" w:eastAsia="en-IE"/>
        </w:rPr>
        <w:t>the Directive</w:t>
      </w:r>
      <w:r w:rsidR="00D23C39">
        <w:rPr>
          <w:rFonts w:ascii="Times New Roman" w:eastAsia="Times" w:hAnsi="Times New Roman" w:cs="Times New Roman"/>
          <w:noProof/>
          <w:sz w:val="24"/>
          <w:szCs w:val="24"/>
          <w:lang w:val="en-IE" w:eastAsia="en-IE"/>
        </w:rPr>
        <w:t>, as well as the effectiveness of the safeguards provided therein</w:t>
      </w:r>
      <w:r w:rsidR="006E0487" w:rsidRPr="00532C20">
        <w:rPr>
          <w:rFonts w:ascii="Times New Roman" w:eastAsia="Times" w:hAnsi="Times New Roman" w:cs="Times New Roman"/>
          <w:noProof/>
          <w:sz w:val="24"/>
          <w:szCs w:val="24"/>
          <w:lang w:val="en-IE" w:eastAsia="en-IE"/>
        </w:rPr>
        <w:t>.</w:t>
      </w:r>
      <w:r w:rsidR="005554BD" w:rsidRPr="00532C20">
        <w:rPr>
          <w:rFonts w:ascii="Times New Roman" w:eastAsia="Times" w:hAnsi="Times New Roman" w:cs="Times New Roman"/>
          <w:noProof/>
          <w:sz w:val="24"/>
          <w:szCs w:val="24"/>
          <w:lang w:val="en-IE" w:eastAsia="en-IE"/>
        </w:rPr>
        <w:t xml:space="preserve"> </w:t>
      </w:r>
    </w:p>
    <w:p w14:paraId="62741352" w14:textId="11C4B2D7" w:rsidR="008E737E" w:rsidRPr="00532C20" w:rsidRDefault="00E50EBB" w:rsidP="004B0958">
      <w:pPr>
        <w:spacing w:line="240" w:lineRule="auto"/>
        <w:jc w:val="both"/>
        <w:textAlignment w:val="baseline"/>
        <w:rPr>
          <w:rFonts w:ascii="Times New Roman" w:eastAsia="Times" w:hAnsi="Times New Roman" w:cs="Times New Roman"/>
          <w:noProof/>
          <w:sz w:val="24"/>
          <w:szCs w:val="24"/>
          <w:lang w:val="en-IE" w:eastAsia="en-IE"/>
        </w:rPr>
        <w:sectPr w:rsidR="008E737E" w:rsidRPr="00532C20" w:rsidSect="001030E3">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20"/>
          <w:docGrid w:linePitch="360"/>
        </w:sectPr>
      </w:pPr>
      <w:r w:rsidRPr="00532C20">
        <w:rPr>
          <w:rFonts w:ascii="Times New Roman" w:eastAsia="Times" w:hAnsi="Times New Roman" w:cs="Times New Roman"/>
          <w:noProof/>
          <w:sz w:val="24"/>
          <w:szCs w:val="24"/>
          <w:lang w:val="en-IE" w:eastAsia="en-IE"/>
        </w:rPr>
        <w:t xml:space="preserve">Data on the following objectives and indicators will be collected through </w:t>
      </w:r>
      <w:r w:rsidR="00001D1B" w:rsidRPr="00532C20">
        <w:rPr>
          <w:rFonts w:ascii="Times New Roman" w:eastAsia="Times" w:hAnsi="Times New Roman" w:cs="Times New Roman"/>
          <w:noProof/>
          <w:sz w:val="24"/>
          <w:szCs w:val="24"/>
          <w:lang w:val="en-IE" w:eastAsia="en-IE"/>
        </w:rPr>
        <w:t>Eurobarometer</w:t>
      </w:r>
      <w:r w:rsidR="006F7319" w:rsidRPr="00532C20">
        <w:rPr>
          <w:rFonts w:ascii="Times New Roman" w:eastAsia="Times" w:hAnsi="Times New Roman" w:cs="Times New Roman"/>
          <w:noProof/>
          <w:sz w:val="24"/>
          <w:szCs w:val="24"/>
          <w:lang w:val="en-IE" w:eastAsia="en-IE"/>
        </w:rPr>
        <w:t xml:space="preserve"> and other surveys directed to citizens</w:t>
      </w:r>
      <w:r w:rsidR="00271EA1" w:rsidRPr="00532C20">
        <w:rPr>
          <w:rFonts w:ascii="Times New Roman" w:eastAsia="Times" w:hAnsi="Times New Roman" w:cs="Times New Roman"/>
          <w:noProof/>
          <w:sz w:val="24"/>
          <w:szCs w:val="24"/>
          <w:lang w:val="en-IE" w:eastAsia="en-IE"/>
        </w:rPr>
        <w:t xml:space="preserve"> and stake</w:t>
      </w:r>
      <w:r w:rsidR="00073B46" w:rsidRPr="00532C20">
        <w:rPr>
          <w:rFonts w:ascii="Times New Roman" w:eastAsia="Times" w:hAnsi="Times New Roman" w:cs="Times New Roman"/>
          <w:noProof/>
          <w:sz w:val="24"/>
          <w:szCs w:val="24"/>
          <w:lang w:val="en-IE" w:eastAsia="en-IE"/>
        </w:rPr>
        <w:t>holders (</w:t>
      </w:r>
      <w:r w:rsidR="001F66CD" w:rsidRPr="00532C20">
        <w:rPr>
          <w:rFonts w:ascii="Times New Roman" w:eastAsia="Times" w:hAnsi="Times New Roman" w:cs="Times New Roman"/>
          <w:noProof/>
          <w:sz w:val="24"/>
          <w:szCs w:val="24"/>
          <w:lang w:val="en-IE" w:eastAsia="en-IE"/>
        </w:rPr>
        <w:t xml:space="preserve">entities carrying out interest representation activities on behalf of third countries, </w:t>
      </w:r>
      <w:r w:rsidR="00271EA1" w:rsidRPr="00532C20">
        <w:rPr>
          <w:rFonts w:ascii="Times New Roman" w:eastAsia="Times" w:hAnsi="Times New Roman" w:cs="Times New Roman"/>
          <w:noProof/>
          <w:sz w:val="24"/>
          <w:szCs w:val="24"/>
          <w:lang w:val="en-IE" w:eastAsia="en-IE"/>
        </w:rPr>
        <w:t xml:space="preserve">interest parties (journalist, </w:t>
      </w:r>
      <w:r w:rsidR="00073B46" w:rsidRPr="00532C20">
        <w:rPr>
          <w:rFonts w:ascii="Times New Roman" w:eastAsia="Times" w:hAnsi="Times New Roman" w:cs="Times New Roman"/>
          <w:noProof/>
          <w:sz w:val="24"/>
          <w:szCs w:val="24"/>
          <w:lang w:val="en-IE" w:eastAsia="en-IE"/>
        </w:rPr>
        <w:t>researchers</w:t>
      </w:r>
      <w:r w:rsidR="00271EA1" w:rsidRPr="00532C20">
        <w:rPr>
          <w:rFonts w:ascii="Times New Roman" w:eastAsia="Times" w:hAnsi="Times New Roman" w:cs="Times New Roman"/>
          <w:noProof/>
          <w:sz w:val="24"/>
          <w:szCs w:val="24"/>
          <w:lang w:val="en-IE" w:eastAsia="en-IE"/>
        </w:rPr>
        <w:t>), public officials and enforcement authorities</w:t>
      </w:r>
      <w:r w:rsidR="00073B46" w:rsidRPr="00532C20">
        <w:rPr>
          <w:rFonts w:ascii="Times New Roman" w:eastAsia="Times" w:hAnsi="Times New Roman" w:cs="Times New Roman"/>
          <w:noProof/>
          <w:sz w:val="24"/>
          <w:szCs w:val="24"/>
          <w:lang w:val="en-IE" w:eastAsia="en-IE"/>
        </w:rPr>
        <w:t>)</w:t>
      </w:r>
      <w:r w:rsidR="006E4BDC" w:rsidRPr="00532C20">
        <w:rPr>
          <w:rFonts w:ascii="Times New Roman" w:eastAsia="Times" w:hAnsi="Times New Roman" w:cs="Times New Roman"/>
          <w:noProof/>
          <w:sz w:val="24"/>
          <w:szCs w:val="24"/>
          <w:lang w:val="en-IE" w:eastAsia="en-IE"/>
        </w:rPr>
        <w:t>, as well as through cooperation with Member States authorities in charge of the implementation of the measures contained in the</w:t>
      </w:r>
      <w:r w:rsidR="003223E9" w:rsidRPr="00532C20">
        <w:rPr>
          <w:rFonts w:ascii="Times New Roman" w:eastAsia="Times" w:hAnsi="Times New Roman" w:cs="Times New Roman"/>
          <w:noProof/>
          <w:sz w:val="24"/>
          <w:szCs w:val="24"/>
          <w:lang w:val="en-IE" w:eastAsia="en-IE"/>
        </w:rPr>
        <w:t xml:space="preserve"> preferred</w:t>
      </w:r>
      <w:r w:rsidR="006E4BDC" w:rsidRPr="00532C20" w:rsidDel="003223E9">
        <w:rPr>
          <w:rFonts w:ascii="Times New Roman" w:eastAsia="Times" w:hAnsi="Times New Roman" w:cs="Times New Roman"/>
          <w:noProof/>
          <w:sz w:val="24"/>
          <w:szCs w:val="24"/>
          <w:lang w:val="en-IE" w:eastAsia="en-IE"/>
        </w:rPr>
        <w:t xml:space="preserve"> </w:t>
      </w:r>
      <w:r w:rsidR="006E4BDC" w:rsidRPr="00532C20">
        <w:rPr>
          <w:rFonts w:ascii="Times New Roman" w:eastAsia="Times" w:hAnsi="Times New Roman" w:cs="Times New Roman"/>
          <w:noProof/>
          <w:sz w:val="24"/>
          <w:szCs w:val="24"/>
          <w:lang w:val="en-IE" w:eastAsia="en-IE"/>
        </w:rPr>
        <w:t>policy option.</w:t>
      </w:r>
      <w:r w:rsidR="00C03F45" w:rsidRPr="00532C20">
        <w:rPr>
          <w:rFonts w:ascii="Times New Roman" w:eastAsia="Times" w:hAnsi="Times New Roman" w:cs="Times New Roman"/>
          <w:noProof/>
          <w:sz w:val="24"/>
          <w:szCs w:val="24"/>
          <w:lang w:val="en-IE" w:eastAsia="en-IE"/>
        </w:rPr>
        <w:t xml:space="preserve"> Data from external agencies and</w:t>
      </w:r>
      <w:r w:rsidR="00B94A80" w:rsidRPr="00532C20">
        <w:rPr>
          <w:rFonts w:ascii="Times New Roman" w:eastAsia="Times" w:hAnsi="Times New Roman" w:cs="Times New Roman"/>
          <w:noProof/>
          <w:sz w:val="24"/>
          <w:szCs w:val="24"/>
          <w:lang w:val="en-IE" w:eastAsia="en-IE"/>
        </w:rPr>
        <w:t xml:space="preserve"> stakeholders (CSOs, </w:t>
      </w:r>
      <w:r w:rsidR="00405B7A" w:rsidRPr="00532C20">
        <w:rPr>
          <w:rFonts w:ascii="Times New Roman" w:eastAsia="Times" w:hAnsi="Times New Roman" w:cs="Times New Roman"/>
          <w:noProof/>
          <w:sz w:val="24"/>
          <w:szCs w:val="24"/>
          <w:lang w:val="en-IE" w:eastAsia="en-IE"/>
        </w:rPr>
        <w:t xml:space="preserve">researchers, etc.), could also be used. </w:t>
      </w:r>
      <w:r w:rsidR="00C92ED7" w:rsidRPr="00532C20">
        <w:rPr>
          <w:rFonts w:ascii="Times New Roman" w:eastAsia="Times" w:hAnsi="Times New Roman" w:cs="Times New Roman"/>
          <w:noProof/>
          <w:sz w:val="24"/>
          <w:szCs w:val="24"/>
          <w:lang w:val="en-IE" w:eastAsia="en-IE"/>
        </w:rPr>
        <w:t>T</w:t>
      </w:r>
      <w:r w:rsidR="0092723A" w:rsidRPr="00532C20">
        <w:rPr>
          <w:rFonts w:ascii="Times New Roman" w:eastAsia="Times" w:hAnsi="Times New Roman" w:cs="Times New Roman"/>
          <w:noProof/>
          <w:sz w:val="24"/>
          <w:szCs w:val="24"/>
          <w:lang w:val="en-IE" w:eastAsia="en-IE"/>
        </w:rPr>
        <w:t xml:space="preserve">his data collection effort will </w:t>
      </w:r>
      <w:r w:rsidR="00C92ED7" w:rsidRPr="00532C20">
        <w:rPr>
          <w:rFonts w:ascii="Times New Roman" w:eastAsia="Times" w:hAnsi="Times New Roman" w:cs="Times New Roman"/>
          <w:noProof/>
          <w:sz w:val="24"/>
          <w:szCs w:val="24"/>
          <w:lang w:val="en-IE" w:eastAsia="en-IE"/>
        </w:rPr>
        <w:t xml:space="preserve">also be addressed specifically in the work programme for the </w:t>
      </w:r>
      <w:r w:rsidR="00CF5B16" w:rsidRPr="00532C20">
        <w:rPr>
          <w:rFonts w:ascii="Times New Roman" w:eastAsia="Times" w:hAnsi="Times New Roman" w:cs="Times New Roman"/>
          <w:noProof/>
          <w:sz w:val="24"/>
          <w:szCs w:val="24"/>
          <w:lang w:val="en-IE" w:eastAsia="en-IE"/>
        </w:rPr>
        <w:t>European Cooperation Network on Elections (</w:t>
      </w:r>
      <w:r w:rsidR="00C92ED7" w:rsidRPr="00532C20">
        <w:rPr>
          <w:rFonts w:ascii="Times New Roman" w:eastAsia="Times" w:hAnsi="Times New Roman" w:cs="Times New Roman"/>
          <w:noProof/>
          <w:sz w:val="24"/>
          <w:szCs w:val="24"/>
          <w:lang w:val="en-IE" w:eastAsia="en-IE"/>
        </w:rPr>
        <w:t>ECNE</w:t>
      </w:r>
      <w:r w:rsidR="00CF5B16" w:rsidRPr="00532C20">
        <w:rPr>
          <w:rFonts w:ascii="Times New Roman" w:eastAsia="Times" w:hAnsi="Times New Roman" w:cs="Times New Roman"/>
          <w:noProof/>
          <w:sz w:val="24"/>
          <w:szCs w:val="24"/>
          <w:lang w:val="en-IE" w:eastAsia="en-IE"/>
        </w:rPr>
        <w:t>)</w:t>
      </w:r>
      <w:r w:rsidR="005A0BFB" w:rsidRPr="00532C20">
        <w:rPr>
          <w:rStyle w:val="FootnoteReference"/>
          <w:rFonts w:ascii="Times New Roman" w:eastAsia="Times" w:hAnsi="Times New Roman" w:cs="Times New Roman"/>
          <w:noProof/>
          <w:sz w:val="24"/>
          <w:szCs w:val="24"/>
          <w:lang w:val="en-IE" w:eastAsia="en-IE"/>
        </w:rPr>
        <w:footnoteReference w:id="244"/>
      </w:r>
      <w:r w:rsidR="00C92ED7" w:rsidRPr="00532C20">
        <w:rPr>
          <w:rFonts w:ascii="Times New Roman" w:eastAsia="Times" w:hAnsi="Times New Roman" w:cs="Times New Roman"/>
          <w:noProof/>
          <w:sz w:val="24"/>
          <w:szCs w:val="24"/>
          <w:lang w:val="en-IE" w:eastAsia="en-IE"/>
        </w:rPr>
        <w:t>.</w:t>
      </w:r>
    </w:p>
    <w:p w14:paraId="5A079AAE" w14:textId="36A978C5" w:rsidR="009E267A" w:rsidRPr="00532C20" w:rsidRDefault="009E267A" w:rsidP="00073B46">
      <w:pPr>
        <w:pStyle w:val="Text2"/>
        <w:keepNext/>
        <w:spacing w:after="0"/>
        <w:ind w:left="0"/>
        <w:rPr>
          <w:b/>
          <w:bCs/>
          <w:noProof/>
        </w:rPr>
      </w:pPr>
      <w:r w:rsidRPr="00532C20">
        <w:rPr>
          <w:rFonts w:ascii="Times New Roman" w:hAnsi="Times New Roman" w:cs="Times New Roman"/>
          <w:b/>
          <w:bCs/>
          <w:noProof/>
          <w:sz w:val="22"/>
          <w:szCs w:val="22"/>
          <w:lang w:val="en-IE"/>
        </w:rPr>
        <w:t xml:space="preserve">Table 6: </w:t>
      </w:r>
      <w:r w:rsidR="00777663" w:rsidRPr="00532C20">
        <w:rPr>
          <w:rFonts w:ascii="Times New Roman" w:hAnsi="Times New Roman" w:cs="Times New Roman"/>
          <w:b/>
          <w:bCs/>
          <w:noProof/>
          <w:sz w:val="22"/>
          <w:szCs w:val="22"/>
          <w:lang w:val="en-IE"/>
        </w:rPr>
        <w:t>monitoring and evaluation of the impacts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53"/>
        <w:gridCol w:w="3260"/>
        <w:gridCol w:w="3180"/>
      </w:tblGrid>
      <w:tr w:rsidR="005D62C8" w:rsidRPr="00532C20" w14:paraId="08753E7B" w14:textId="77777777" w:rsidTr="009C57B0">
        <w:trPr>
          <w:trHeight w:val="130"/>
          <w:tblHeader/>
        </w:trPr>
        <w:tc>
          <w:tcPr>
            <w:tcW w:w="1555" w:type="dxa"/>
            <w:shd w:val="clear" w:color="auto" w:fill="BFBFBF" w:themeFill="background1" w:themeFillShade="BF"/>
          </w:tcPr>
          <w:p w14:paraId="07E66A6B" w14:textId="77777777" w:rsidR="00976F9B" w:rsidRPr="00532C20" w:rsidRDefault="00976F9B" w:rsidP="004B0958">
            <w:pPr>
              <w:spacing w:after="0" w:line="240" w:lineRule="auto"/>
              <w:jc w:val="center"/>
              <w:rPr>
                <w:rFonts w:ascii="Times New Roman" w:hAnsi="Times New Roman" w:cs="Times New Roman"/>
                <w:b/>
                <w:noProof/>
              </w:rPr>
            </w:pPr>
            <w:r w:rsidRPr="00532C20">
              <w:rPr>
                <w:rFonts w:ascii="Times New Roman" w:hAnsi="Times New Roman" w:cs="Times New Roman"/>
                <w:b/>
                <w:noProof/>
              </w:rPr>
              <w:t>Specific objectives</w:t>
            </w:r>
          </w:p>
        </w:tc>
        <w:tc>
          <w:tcPr>
            <w:tcW w:w="5953" w:type="dxa"/>
            <w:shd w:val="clear" w:color="auto" w:fill="BFBFBF" w:themeFill="background1" w:themeFillShade="BF"/>
          </w:tcPr>
          <w:p w14:paraId="125A5BAC" w14:textId="69EE17C0" w:rsidR="005D62C8" w:rsidRPr="00532C20" w:rsidRDefault="00976F9B" w:rsidP="004B0958">
            <w:pPr>
              <w:spacing w:after="0" w:line="240" w:lineRule="auto"/>
              <w:jc w:val="center"/>
              <w:rPr>
                <w:rFonts w:ascii="Times New Roman" w:hAnsi="Times New Roman" w:cs="Times New Roman"/>
                <w:b/>
                <w:noProof/>
              </w:rPr>
            </w:pPr>
            <w:r w:rsidRPr="00532C20">
              <w:rPr>
                <w:rFonts w:ascii="Times New Roman" w:hAnsi="Times New Roman" w:cs="Times New Roman"/>
                <w:b/>
                <w:noProof/>
              </w:rPr>
              <w:t>Operational Objectives</w:t>
            </w:r>
          </w:p>
        </w:tc>
        <w:tc>
          <w:tcPr>
            <w:tcW w:w="3260" w:type="dxa"/>
            <w:shd w:val="clear" w:color="auto" w:fill="BFBFBF" w:themeFill="background1" w:themeFillShade="BF"/>
          </w:tcPr>
          <w:p w14:paraId="2F7B8E22" w14:textId="77777777" w:rsidR="005D62C8" w:rsidRPr="00532C20" w:rsidRDefault="005D62C8" w:rsidP="004B0958">
            <w:pPr>
              <w:spacing w:after="0" w:line="240" w:lineRule="auto"/>
              <w:jc w:val="center"/>
              <w:rPr>
                <w:rFonts w:ascii="Times New Roman" w:hAnsi="Times New Roman" w:cs="Times New Roman"/>
                <w:b/>
                <w:noProof/>
              </w:rPr>
            </w:pPr>
            <w:r w:rsidRPr="00532C20">
              <w:rPr>
                <w:rFonts w:ascii="Times New Roman" w:hAnsi="Times New Roman" w:cs="Times New Roman"/>
                <w:b/>
                <w:noProof/>
              </w:rPr>
              <w:t>Proposed indicators</w:t>
            </w:r>
          </w:p>
        </w:tc>
        <w:tc>
          <w:tcPr>
            <w:tcW w:w="3180" w:type="dxa"/>
            <w:shd w:val="clear" w:color="auto" w:fill="BFBFBF" w:themeFill="background1" w:themeFillShade="BF"/>
          </w:tcPr>
          <w:p w14:paraId="32086E1E" w14:textId="77777777" w:rsidR="005D62C8" w:rsidRPr="00532C20" w:rsidRDefault="005D62C8" w:rsidP="004B0958">
            <w:pPr>
              <w:spacing w:after="0" w:line="240" w:lineRule="auto"/>
              <w:jc w:val="center"/>
              <w:rPr>
                <w:rFonts w:ascii="Times New Roman" w:hAnsi="Times New Roman" w:cs="Times New Roman"/>
                <w:b/>
                <w:noProof/>
              </w:rPr>
            </w:pPr>
            <w:r w:rsidRPr="00532C20">
              <w:rPr>
                <w:rFonts w:ascii="Times New Roman" w:hAnsi="Times New Roman" w:cs="Times New Roman"/>
                <w:b/>
                <w:noProof/>
              </w:rPr>
              <w:t>Data sources</w:t>
            </w:r>
          </w:p>
        </w:tc>
      </w:tr>
      <w:tr w:rsidR="005D62C8" w:rsidRPr="00532C20" w14:paraId="61A06A05" w14:textId="77777777" w:rsidTr="009C57B0">
        <w:tc>
          <w:tcPr>
            <w:tcW w:w="1555" w:type="dxa"/>
          </w:tcPr>
          <w:p w14:paraId="0B6425FF" w14:textId="25C0F798" w:rsidR="005D62C8" w:rsidRPr="00532C20" w:rsidRDefault="00F46F1B" w:rsidP="004B0958">
            <w:pPr>
              <w:spacing w:after="0" w:line="240" w:lineRule="auto"/>
              <w:jc w:val="both"/>
              <w:rPr>
                <w:rFonts w:ascii="Times New Roman" w:hAnsi="Times New Roman" w:cs="Times New Roman"/>
                <w:noProof/>
              </w:rPr>
            </w:pPr>
            <w:r w:rsidRPr="00532C20">
              <w:rPr>
                <w:rFonts w:ascii="Times New Roman" w:hAnsi="Times New Roman" w:cs="Times New Roman"/>
                <w:b/>
                <w:bCs/>
                <w:noProof/>
                <w:lang w:val="en-US" w:eastAsia="en-IE"/>
              </w:rPr>
              <w:t>SO1:</w:t>
            </w:r>
            <w:r w:rsidRPr="00532C20">
              <w:rPr>
                <w:rFonts w:ascii="Times New Roman" w:hAnsi="Times New Roman" w:cs="Times New Roman"/>
                <w:noProof/>
                <w:lang w:val="en-US" w:eastAsia="en-IE"/>
              </w:rPr>
              <w:t xml:space="preserve"> </w:t>
            </w:r>
            <w:r w:rsidR="00AA0EC5" w:rsidRPr="00532C20">
              <w:rPr>
                <w:rFonts w:ascii="Times New Roman" w:hAnsi="Times New Roman" w:cs="Times New Roman"/>
                <w:noProof/>
                <w:lang w:val="en-US" w:eastAsia="en-IE"/>
              </w:rPr>
              <w:t xml:space="preserve">Facilitate cross-border interest representation </w:t>
            </w:r>
            <w:r w:rsidR="00B12B82" w:rsidRPr="00532C20">
              <w:rPr>
                <w:rFonts w:ascii="Times New Roman" w:hAnsi="Times New Roman" w:cs="Times New Roman"/>
                <w:noProof/>
                <w:lang w:val="en-US" w:eastAsia="en-IE"/>
              </w:rPr>
              <w:t xml:space="preserve">activities </w:t>
            </w:r>
            <w:r w:rsidR="00AA0EC5" w:rsidRPr="00532C20">
              <w:rPr>
                <w:rFonts w:ascii="Times New Roman" w:hAnsi="Times New Roman" w:cs="Times New Roman"/>
                <w:noProof/>
                <w:lang w:val="en-US" w:eastAsia="en-IE"/>
              </w:rPr>
              <w:t>carried out on behalf of third countries when done transparently</w:t>
            </w:r>
            <w:r w:rsidR="00AA0EC5" w:rsidRPr="00532C20">
              <w:rPr>
                <w:rFonts w:ascii="Times New Roman" w:hAnsi="Times New Roman" w:cs="Times New Roman"/>
                <w:noProof/>
              </w:rPr>
              <w:t xml:space="preserve"> </w:t>
            </w:r>
          </w:p>
        </w:tc>
        <w:tc>
          <w:tcPr>
            <w:tcW w:w="5953" w:type="dxa"/>
          </w:tcPr>
          <w:p w14:paraId="795045FF" w14:textId="5E687DA3" w:rsidR="00AA0EC5" w:rsidRPr="00532C20" w:rsidRDefault="00AA0EC5" w:rsidP="00AA0EC5">
            <w:pPr>
              <w:spacing w:after="0" w:line="240" w:lineRule="auto"/>
              <w:jc w:val="both"/>
              <w:rPr>
                <w:rFonts w:ascii="Times New Roman" w:hAnsi="Times New Roman" w:cs="Times New Roman"/>
                <w:noProof/>
              </w:rPr>
            </w:pPr>
            <w:r w:rsidRPr="00532C20">
              <w:rPr>
                <w:rFonts w:ascii="Times New Roman" w:hAnsi="Times New Roman" w:cs="Times New Roman"/>
                <w:noProof/>
              </w:rPr>
              <w:t xml:space="preserve">Establish common transparency standards for intrest representation activites carried out on behalf of third country entities which provide </w:t>
            </w:r>
            <w:r w:rsidRPr="00532C20">
              <w:rPr>
                <w:rFonts w:ascii="Times New Roman" w:hAnsi="Times New Roman" w:cs="Times New Roman"/>
                <w:b/>
                <w:noProof/>
              </w:rPr>
              <w:t>economic actors</w:t>
            </w:r>
            <w:r w:rsidRPr="00532C20">
              <w:rPr>
                <w:rFonts w:ascii="Times New Roman" w:hAnsi="Times New Roman" w:cs="Times New Roman"/>
                <w:noProof/>
              </w:rPr>
              <w:t xml:space="preserve"> with:</w:t>
            </w:r>
          </w:p>
          <w:p w14:paraId="1C12714B" w14:textId="785F4112" w:rsidR="005D62C8" w:rsidRPr="00532C20" w:rsidRDefault="005D62C8">
            <w:pPr>
              <w:numPr>
                <w:ilvl w:val="0"/>
                <w:numId w:val="52"/>
              </w:numPr>
              <w:spacing w:after="0" w:line="240" w:lineRule="auto"/>
              <w:ind w:left="178" w:hanging="178"/>
              <w:rPr>
                <w:rFonts w:ascii="Times New Roman" w:hAnsi="Times New Roman" w:cs="Times New Roman"/>
                <w:noProof/>
              </w:rPr>
            </w:pPr>
            <w:r w:rsidRPr="00532C20">
              <w:rPr>
                <w:rFonts w:ascii="Times New Roman" w:hAnsi="Times New Roman" w:cs="Times New Roman"/>
                <w:noProof/>
              </w:rPr>
              <w:t>Clear common framing for intrest representation activites carried out on behalf of third country entities</w:t>
            </w:r>
            <w:r w:rsidR="00303D1E" w:rsidRPr="00532C20">
              <w:rPr>
                <w:rFonts w:ascii="Times New Roman" w:hAnsi="Times New Roman" w:cs="Times New Roman"/>
                <w:noProof/>
              </w:rPr>
              <w:t>;</w:t>
            </w:r>
          </w:p>
          <w:p w14:paraId="0A9112EE" w14:textId="4E1CCDF8" w:rsidR="005D62C8" w:rsidRPr="00532C20" w:rsidRDefault="005D62C8">
            <w:pPr>
              <w:numPr>
                <w:ilvl w:val="0"/>
                <w:numId w:val="52"/>
              </w:numPr>
              <w:spacing w:after="0" w:line="240" w:lineRule="auto"/>
              <w:ind w:left="178" w:hanging="178"/>
              <w:rPr>
                <w:rFonts w:ascii="Times New Roman" w:hAnsi="Times New Roman" w:cs="Times New Roman"/>
                <w:noProof/>
              </w:rPr>
            </w:pPr>
            <w:r w:rsidRPr="00532C20">
              <w:rPr>
                <w:rFonts w:ascii="Times New Roman" w:hAnsi="Times New Roman" w:cs="Times New Roman"/>
                <w:noProof/>
              </w:rPr>
              <w:t xml:space="preserve">Clear and proportionate specific obligations for </w:t>
            </w:r>
            <w:r w:rsidR="003503D5" w:rsidRPr="00532C20">
              <w:rPr>
                <w:rFonts w:ascii="Times New Roman" w:hAnsi="Times New Roman" w:cs="Times New Roman"/>
                <w:noProof/>
              </w:rPr>
              <w:t>entities carry</w:t>
            </w:r>
            <w:r w:rsidR="005E7E30" w:rsidRPr="00532C20">
              <w:rPr>
                <w:rFonts w:ascii="Times New Roman" w:hAnsi="Times New Roman" w:cs="Times New Roman"/>
                <w:noProof/>
              </w:rPr>
              <w:t>ing</w:t>
            </w:r>
            <w:r w:rsidR="003503D5" w:rsidRPr="00532C20">
              <w:rPr>
                <w:rFonts w:ascii="Times New Roman" w:hAnsi="Times New Roman" w:cs="Times New Roman"/>
                <w:noProof/>
              </w:rPr>
              <w:t xml:space="preserve"> out intrest represenation on behalf of third countr</w:t>
            </w:r>
            <w:r w:rsidR="00467F08" w:rsidRPr="00532C20">
              <w:rPr>
                <w:rFonts w:ascii="Times New Roman" w:hAnsi="Times New Roman" w:cs="Times New Roman"/>
                <w:noProof/>
              </w:rPr>
              <w:t>y</w:t>
            </w:r>
            <w:r w:rsidRPr="00532C20">
              <w:rPr>
                <w:rFonts w:ascii="Times New Roman" w:hAnsi="Times New Roman" w:cs="Times New Roman"/>
                <w:noProof/>
              </w:rPr>
              <w:t xml:space="preserve"> </w:t>
            </w:r>
            <w:r w:rsidR="00467F08" w:rsidRPr="00532C20">
              <w:rPr>
                <w:rFonts w:ascii="Times New Roman" w:hAnsi="Times New Roman" w:cs="Times New Roman"/>
                <w:noProof/>
              </w:rPr>
              <w:t>entites</w:t>
            </w:r>
            <w:r w:rsidRPr="00532C20">
              <w:rPr>
                <w:rFonts w:ascii="Times New Roman" w:hAnsi="Times New Roman" w:cs="Times New Roman"/>
                <w:noProof/>
              </w:rPr>
              <w:t>, on the basis of clearly defined key terms;</w:t>
            </w:r>
          </w:p>
          <w:p w14:paraId="7EDB672F" w14:textId="48B37961" w:rsidR="005D62C8" w:rsidRPr="00532C20" w:rsidRDefault="005D62C8">
            <w:pPr>
              <w:numPr>
                <w:ilvl w:val="0"/>
                <w:numId w:val="52"/>
              </w:numPr>
              <w:spacing w:after="0" w:line="240" w:lineRule="auto"/>
              <w:ind w:left="178" w:hanging="178"/>
              <w:rPr>
                <w:rFonts w:ascii="Times New Roman" w:hAnsi="Times New Roman" w:cs="Times New Roman"/>
                <w:noProof/>
              </w:rPr>
            </w:pPr>
            <w:r w:rsidRPr="00532C20">
              <w:rPr>
                <w:rFonts w:ascii="Times New Roman" w:hAnsi="Times New Roman" w:cs="Times New Roman"/>
                <w:noProof/>
              </w:rPr>
              <w:t>Reduced costs and risk for providing</w:t>
            </w:r>
            <w:r w:rsidR="00AE5E03" w:rsidRPr="00532C20">
              <w:rPr>
                <w:rFonts w:ascii="Times New Roman" w:hAnsi="Times New Roman" w:cs="Times New Roman"/>
                <w:noProof/>
              </w:rPr>
              <w:t xml:space="preserve"> intrest representation activites carried out on behalf of third country entities</w:t>
            </w:r>
            <w:r w:rsidRPr="00532C20">
              <w:rPr>
                <w:rFonts w:ascii="Times New Roman" w:hAnsi="Times New Roman" w:cs="Times New Roman"/>
                <w:noProof/>
              </w:rPr>
              <w:t>;</w:t>
            </w:r>
          </w:p>
          <w:p w14:paraId="42126199" w14:textId="77777777" w:rsidR="005D62C8" w:rsidRPr="00532C20" w:rsidRDefault="005D62C8">
            <w:pPr>
              <w:numPr>
                <w:ilvl w:val="0"/>
                <w:numId w:val="52"/>
              </w:numPr>
              <w:spacing w:after="0" w:line="240" w:lineRule="auto"/>
              <w:ind w:left="178" w:hanging="178"/>
              <w:rPr>
                <w:rFonts w:ascii="Times New Roman" w:hAnsi="Times New Roman" w:cs="Times New Roman"/>
                <w:noProof/>
              </w:rPr>
            </w:pPr>
            <w:r w:rsidRPr="00532C20">
              <w:rPr>
                <w:rFonts w:ascii="Times New Roman" w:hAnsi="Times New Roman" w:cs="Times New Roman"/>
                <w:noProof/>
              </w:rPr>
              <w:t>A level playing field for all relevant economic operators.</w:t>
            </w:r>
          </w:p>
        </w:tc>
        <w:tc>
          <w:tcPr>
            <w:tcW w:w="3260" w:type="dxa"/>
          </w:tcPr>
          <w:p w14:paraId="5636F73C" w14:textId="353CB32A" w:rsidR="005D62C8" w:rsidRPr="00532C20" w:rsidRDefault="005D62C8">
            <w:pPr>
              <w:numPr>
                <w:ilvl w:val="0"/>
                <w:numId w:val="50"/>
              </w:numPr>
              <w:spacing w:after="0" w:line="240" w:lineRule="auto"/>
              <w:ind w:left="203" w:hanging="203"/>
              <w:rPr>
                <w:rFonts w:ascii="Times New Roman" w:hAnsi="Times New Roman" w:cs="Times New Roman"/>
                <w:noProof/>
              </w:rPr>
            </w:pPr>
            <w:r w:rsidRPr="00532C20">
              <w:rPr>
                <w:rFonts w:ascii="Times New Roman" w:hAnsi="Times New Roman" w:cs="Times New Roman"/>
                <w:noProof/>
              </w:rPr>
              <w:t xml:space="preserve">Access to the cross-border </w:t>
            </w:r>
            <w:r w:rsidR="00D674DE" w:rsidRPr="00532C20">
              <w:rPr>
                <w:rFonts w:ascii="Times New Roman" w:hAnsi="Times New Roman" w:cs="Times New Roman"/>
                <w:noProof/>
              </w:rPr>
              <w:t>market for interest representation activities carried out on behalf of third countries</w:t>
            </w:r>
            <w:r w:rsidR="00700C0B" w:rsidRPr="00532C20">
              <w:rPr>
                <w:rFonts w:ascii="Times New Roman" w:hAnsi="Times New Roman" w:cs="Times New Roman"/>
                <w:noProof/>
              </w:rPr>
              <w:t xml:space="preserve"> (</w:t>
            </w:r>
            <w:r w:rsidR="00700C0B" w:rsidRPr="00532C20">
              <w:rPr>
                <w:rFonts w:ascii="Times New Roman" w:hAnsi="Times New Roman" w:cs="Times New Roman"/>
                <w:i/>
                <w:iCs/>
                <w:noProof/>
              </w:rPr>
              <w:t>baseline unknown</w:t>
            </w:r>
            <w:r w:rsidR="00700C0B" w:rsidRPr="00532C20">
              <w:rPr>
                <w:rFonts w:ascii="Times New Roman" w:hAnsi="Times New Roman" w:cs="Times New Roman"/>
                <w:noProof/>
              </w:rPr>
              <w:t>)</w:t>
            </w:r>
            <w:r w:rsidRPr="00532C20">
              <w:rPr>
                <w:rFonts w:ascii="Times New Roman" w:hAnsi="Times New Roman" w:cs="Times New Roman"/>
                <w:noProof/>
              </w:rPr>
              <w:t>.</w:t>
            </w:r>
          </w:p>
          <w:p w14:paraId="3D75F4EA" w14:textId="523C65EE" w:rsidR="005D62C8" w:rsidRPr="00532C20" w:rsidRDefault="005D62C8">
            <w:pPr>
              <w:numPr>
                <w:ilvl w:val="0"/>
                <w:numId w:val="50"/>
              </w:numPr>
              <w:spacing w:after="0" w:line="240" w:lineRule="auto"/>
              <w:ind w:left="203" w:hanging="203"/>
              <w:rPr>
                <w:rFonts w:ascii="Times New Roman" w:hAnsi="Times New Roman" w:cs="Times New Roman"/>
                <w:noProof/>
              </w:rPr>
            </w:pPr>
            <w:r w:rsidRPr="00532C20">
              <w:rPr>
                <w:rFonts w:ascii="Times New Roman" w:hAnsi="Times New Roman" w:cs="Times New Roman"/>
                <w:noProof/>
              </w:rPr>
              <w:t xml:space="preserve">Increase in the completeness of information provided on </w:t>
            </w:r>
            <w:r w:rsidR="00D674DE" w:rsidRPr="00532C20">
              <w:rPr>
                <w:rFonts w:ascii="Times New Roman" w:hAnsi="Times New Roman" w:cs="Times New Roman"/>
                <w:noProof/>
              </w:rPr>
              <w:t xml:space="preserve">interest representation activities carried out on behalf of third countries </w:t>
            </w:r>
            <w:r w:rsidRPr="00532C20">
              <w:rPr>
                <w:rFonts w:ascii="Times New Roman" w:hAnsi="Times New Roman" w:cs="Times New Roman"/>
                <w:noProof/>
              </w:rPr>
              <w:t xml:space="preserve">(e.g. </w:t>
            </w:r>
            <w:r w:rsidR="00D674DE" w:rsidRPr="00532C20">
              <w:rPr>
                <w:rFonts w:ascii="Times New Roman" w:hAnsi="Times New Roman" w:cs="Times New Roman"/>
                <w:noProof/>
              </w:rPr>
              <w:t>name</w:t>
            </w:r>
            <w:r w:rsidR="00555A73" w:rsidRPr="00532C20">
              <w:rPr>
                <w:rFonts w:ascii="Times New Roman" w:hAnsi="Times New Roman" w:cs="Times New Roman"/>
                <w:noProof/>
              </w:rPr>
              <w:t xml:space="preserve"> of entities whose action can be attributed to third country goverments</w:t>
            </w:r>
            <w:r w:rsidRPr="00532C20">
              <w:rPr>
                <w:rFonts w:ascii="Times New Roman" w:hAnsi="Times New Roman" w:cs="Times New Roman"/>
                <w:noProof/>
              </w:rPr>
              <w:t>,</w:t>
            </w:r>
            <w:r w:rsidR="00555A73" w:rsidRPr="00532C20">
              <w:rPr>
                <w:rFonts w:ascii="Times New Roman" w:hAnsi="Times New Roman" w:cs="Times New Roman"/>
                <w:noProof/>
              </w:rPr>
              <w:t xml:space="preserve"> </w:t>
            </w:r>
            <w:r w:rsidR="002D114D" w:rsidRPr="00532C20">
              <w:rPr>
                <w:rFonts w:ascii="Times New Roman" w:hAnsi="Times New Roman" w:cs="Times New Roman"/>
                <w:noProof/>
              </w:rPr>
              <w:t xml:space="preserve">description </w:t>
            </w:r>
            <w:r w:rsidR="00C94BF8" w:rsidRPr="00532C20">
              <w:rPr>
                <w:rFonts w:ascii="Times New Roman" w:hAnsi="Times New Roman" w:cs="Times New Roman"/>
                <w:noProof/>
              </w:rPr>
              <w:t xml:space="preserve">of the interest </w:t>
            </w:r>
            <w:r w:rsidR="002D114D" w:rsidRPr="00532C20">
              <w:rPr>
                <w:rFonts w:ascii="Times New Roman" w:hAnsi="Times New Roman" w:cs="Times New Roman"/>
                <w:noProof/>
              </w:rPr>
              <w:t>representation, information on the remuneration provided</w:t>
            </w:r>
            <w:r w:rsidRPr="00532C20">
              <w:rPr>
                <w:rFonts w:ascii="Times New Roman" w:hAnsi="Times New Roman" w:cs="Times New Roman"/>
                <w:noProof/>
              </w:rPr>
              <w:t xml:space="preserve">); </w:t>
            </w:r>
          </w:p>
        </w:tc>
        <w:tc>
          <w:tcPr>
            <w:tcW w:w="3180" w:type="dxa"/>
          </w:tcPr>
          <w:p w14:paraId="71418E05" w14:textId="6D468705" w:rsidR="005D62C8" w:rsidRPr="00532C20" w:rsidRDefault="005D62C8" w:rsidP="009C57B0">
            <w:pPr>
              <w:spacing w:after="120" w:line="240" w:lineRule="auto"/>
              <w:jc w:val="both"/>
              <w:rPr>
                <w:rFonts w:ascii="Times New Roman" w:hAnsi="Times New Roman" w:cs="Times New Roman"/>
                <w:noProof/>
              </w:rPr>
            </w:pPr>
            <w:r w:rsidRPr="00532C20">
              <w:rPr>
                <w:rFonts w:ascii="Times New Roman" w:hAnsi="Times New Roman" w:cs="Times New Roman"/>
                <w:noProof/>
              </w:rPr>
              <w:t xml:space="preserve">Data </w:t>
            </w:r>
            <w:r w:rsidR="00266DCA" w:rsidRPr="00532C20">
              <w:rPr>
                <w:rFonts w:ascii="Times New Roman" w:hAnsi="Times New Roman" w:cs="Times New Roman"/>
                <w:noProof/>
              </w:rPr>
              <w:t xml:space="preserve">collected </w:t>
            </w:r>
            <w:r w:rsidR="00D445AF" w:rsidRPr="00532C20">
              <w:rPr>
                <w:rFonts w:ascii="Times New Roman" w:hAnsi="Times New Roman" w:cs="Times New Roman"/>
                <w:noProof/>
              </w:rPr>
              <w:t xml:space="preserve">in the national </w:t>
            </w:r>
            <w:r w:rsidR="004C14AD" w:rsidRPr="00532C20">
              <w:rPr>
                <w:rFonts w:ascii="Times New Roman" w:hAnsi="Times New Roman" w:cs="Times New Roman"/>
                <w:noProof/>
              </w:rPr>
              <w:t>registers</w:t>
            </w:r>
            <w:r w:rsidR="00D445AF" w:rsidRPr="00532C20">
              <w:rPr>
                <w:rFonts w:ascii="Times New Roman" w:hAnsi="Times New Roman" w:cs="Times New Roman"/>
                <w:noProof/>
              </w:rPr>
              <w:t xml:space="preserve"> (</w:t>
            </w:r>
            <w:r w:rsidR="00EB23CF" w:rsidRPr="00532C20">
              <w:rPr>
                <w:rFonts w:ascii="Times New Roman" w:hAnsi="Times New Roman" w:cs="Times New Roman"/>
                <w:noProof/>
              </w:rPr>
              <w:t>on</w:t>
            </w:r>
            <w:r w:rsidR="00D445AF" w:rsidRPr="00532C20">
              <w:rPr>
                <w:rFonts w:ascii="Times New Roman" w:hAnsi="Times New Roman" w:cs="Times New Roman"/>
                <w:noProof/>
              </w:rPr>
              <w:t xml:space="preserve"> trends in terms of cross border intrest representation, completeness of the data provided</w:t>
            </w:r>
            <w:r w:rsidR="00EB23CF" w:rsidRPr="00532C20">
              <w:rPr>
                <w:rFonts w:ascii="Times New Roman" w:hAnsi="Times New Roman" w:cs="Times New Roman"/>
                <w:noProof/>
              </w:rPr>
              <w:t>, etc.</w:t>
            </w:r>
            <w:r w:rsidR="00D445AF" w:rsidRPr="00532C20">
              <w:rPr>
                <w:rFonts w:ascii="Times New Roman" w:hAnsi="Times New Roman" w:cs="Times New Roman"/>
                <w:noProof/>
              </w:rPr>
              <w:t>)</w:t>
            </w:r>
            <w:r w:rsidR="0028776F" w:rsidRPr="00532C20">
              <w:rPr>
                <w:rFonts w:ascii="Times New Roman" w:hAnsi="Times New Roman" w:cs="Times New Roman"/>
                <w:noProof/>
              </w:rPr>
              <w:t xml:space="preserve"> (</w:t>
            </w:r>
            <w:r w:rsidR="0028776F" w:rsidRPr="00532C20">
              <w:rPr>
                <w:rFonts w:ascii="Times New Roman" w:hAnsi="Times New Roman" w:cs="Times New Roman"/>
                <w:i/>
                <w:iCs/>
                <w:noProof/>
              </w:rPr>
              <w:t>baseline unknown</w:t>
            </w:r>
            <w:r w:rsidR="0028776F" w:rsidRPr="00532C20">
              <w:rPr>
                <w:rFonts w:ascii="Times New Roman" w:hAnsi="Times New Roman" w:cs="Times New Roman"/>
                <w:noProof/>
              </w:rPr>
              <w:t>)</w:t>
            </w:r>
          </w:p>
          <w:p w14:paraId="3CA45D88" w14:textId="3178B2B0" w:rsidR="005D62C8" w:rsidRPr="00532C20" w:rsidRDefault="005D62C8" w:rsidP="009C57B0">
            <w:pPr>
              <w:spacing w:after="120" w:line="240" w:lineRule="auto"/>
              <w:jc w:val="both"/>
              <w:rPr>
                <w:rFonts w:ascii="Times New Roman" w:hAnsi="Times New Roman" w:cs="Times New Roman"/>
                <w:noProof/>
              </w:rPr>
            </w:pPr>
            <w:r w:rsidRPr="00532C20">
              <w:rPr>
                <w:rFonts w:ascii="Times New Roman" w:hAnsi="Times New Roman" w:cs="Times New Roman"/>
                <w:noProof/>
              </w:rPr>
              <w:t>Stakeholders’ reports</w:t>
            </w:r>
            <w:r w:rsidR="0028776F" w:rsidRPr="00532C20">
              <w:rPr>
                <w:rFonts w:ascii="Times New Roman" w:hAnsi="Times New Roman" w:cs="Times New Roman"/>
                <w:noProof/>
              </w:rPr>
              <w:t xml:space="preserve"> (</w:t>
            </w:r>
            <w:r w:rsidR="0028776F" w:rsidRPr="00532C20">
              <w:rPr>
                <w:rFonts w:ascii="Times New Roman" w:hAnsi="Times New Roman" w:cs="Times New Roman"/>
                <w:i/>
                <w:iCs/>
                <w:noProof/>
              </w:rPr>
              <w:t>the baseline is the respondents’ response to the consultations)</w:t>
            </w:r>
          </w:p>
          <w:p w14:paraId="3C534590" w14:textId="00E5B3B7" w:rsidR="00690EB7" w:rsidRPr="00532C20" w:rsidRDefault="00690EB7" w:rsidP="004B0958">
            <w:pPr>
              <w:spacing w:after="0" w:line="240" w:lineRule="auto"/>
              <w:jc w:val="both"/>
              <w:rPr>
                <w:rFonts w:ascii="Times New Roman" w:hAnsi="Times New Roman" w:cs="Times New Roman"/>
                <w:noProof/>
              </w:rPr>
            </w:pPr>
            <w:r w:rsidRPr="00532C20">
              <w:rPr>
                <w:rFonts w:ascii="Times New Roman" w:hAnsi="Times New Roman" w:cs="Times New Roman"/>
                <w:noProof/>
              </w:rPr>
              <w:t xml:space="preserve">Number of legal dispute relating to the </w:t>
            </w:r>
            <w:r w:rsidR="00B00697" w:rsidRPr="00532C20">
              <w:rPr>
                <w:rFonts w:ascii="Times New Roman" w:hAnsi="Times New Roman" w:cs="Times New Roman"/>
                <w:noProof/>
              </w:rPr>
              <w:t>enforcement of the prefere</w:t>
            </w:r>
            <w:r w:rsidR="001B32D8" w:rsidRPr="00532C20">
              <w:rPr>
                <w:rFonts w:ascii="Times New Roman" w:hAnsi="Times New Roman" w:cs="Times New Roman"/>
                <w:noProof/>
              </w:rPr>
              <w:t>d</w:t>
            </w:r>
            <w:r w:rsidR="00B00697" w:rsidRPr="00532C20">
              <w:rPr>
                <w:rFonts w:ascii="Times New Roman" w:hAnsi="Times New Roman" w:cs="Times New Roman"/>
                <w:noProof/>
              </w:rPr>
              <w:t xml:space="preserve"> policy option</w:t>
            </w:r>
            <w:r w:rsidR="005B2B37" w:rsidRPr="00532C20">
              <w:rPr>
                <w:rStyle w:val="FootnoteReference"/>
                <w:rFonts w:ascii="Times New Roman" w:hAnsi="Times New Roman" w:cs="Times New Roman"/>
                <w:noProof/>
              </w:rPr>
              <w:footnoteReference w:id="245"/>
            </w:r>
            <w:r w:rsidR="00B00697" w:rsidRPr="00532C20">
              <w:rPr>
                <w:rFonts w:ascii="Times New Roman" w:hAnsi="Times New Roman" w:cs="Times New Roman"/>
                <w:noProof/>
              </w:rPr>
              <w:t xml:space="preserve"> (</w:t>
            </w:r>
            <w:r w:rsidR="00B00697" w:rsidRPr="00532C20">
              <w:rPr>
                <w:rFonts w:ascii="Times New Roman" w:hAnsi="Times New Roman" w:cs="Times New Roman"/>
                <w:i/>
                <w:iCs/>
                <w:noProof/>
              </w:rPr>
              <w:t>some of the data of Member States with registers may be used as a baseline</w:t>
            </w:r>
            <w:r w:rsidR="00B00697" w:rsidRPr="00532C20">
              <w:rPr>
                <w:rFonts w:ascii="Times New Roman" w:hAnsi="Times New Roman" w:cs="Times New Roman"/>
                <w:noProof/>
              </w:rPr>
              <w:t>)</w:t>
            </w:r>
          </w:p>
        </w:tc>
      </w:tr>
      <w:tr w:rsidR="00AA0EC5" w:rsidRPr="00532C20" w14:paraId="36E113BA" w14:textId="77777777" w:rsidTr="009C57B0">
        <w:tc>
          <w:tcPr>
            <w:tcW w:w="1555" w:type="dxa"/>
            <w:vMerge w:val="restart"/>
          </w:tcPr>
          <w:p w14:paraId="22408854" w14:textId="4439045F" w:rsidR="00AA0EC5" w:rsidRPr="00532C20" w:rsidRDefault="00F436AA" w:rsidP="00AA0EC5">
            <w:pPr>
              <w:spacing w:after="0" w:line="240" w:lineRule="auto"/>
              <w:rPr>
                <w:rFonts w:ascii="Times New Roman" w:hAnsi="Times New Roman" w:cs="Times New Roman"/>
                <w:noProof/>
              </w:rPr>
            </w:pPr>
            <w:r w:rsidRPr="00532C20">
              <w:rPr>
                <w:rFonts w:ascii="Times New Roman" w:hAnsi="Times New Roman" w:cs="Times New Roman"/>
                <w:b/>
                <w:bCs/>
                <w:noProof/>
                <w:lang w:val="en-IE" w:eastAsia="en-IE"/>
              </w:rPr>
              <w:t xml:space="preserve">SO2: </w:t>
            </w:r>
            <w:r w:rsidR="00AA0EC5" w:rsidRPr="00532C20">
              <w:rPr>
                <w:rFonts w:ascii="Times New Roman" w:hAnsi="Times New Roman" w:cs="Times New Roman"/>
                <w:noProof/>
                <w:lang w:val="en-IE" w:eastAsia="en-IE"/>
              </w:rPr>
              <w:t>Improve knowledge about the magnitude and trends of interest representation carried out on behalf of third countries</w:t>
            </w:r>
          </w:p>
        </w:tc>
        <w:tc>
          <w:tcPr>
            <w:tcW w:w="5953" w:type="dxa"/>
          </w:tcPr>
          <w:p w14:paraId="1EAD04E6" w14:textId="2408664D" w:rsidR="00AA0EC5" w:rsidRPr="00532C20" w:rsidRDefault="00AA0EC5" w:rsidP="00AA0EC5">
            <w:pPr>
              <w:spacing w:after="0" w:line="240" w:lineRule="auto"/>
              <w:rPr>
                <w:rFonts w:ascii="Times New Roman" w:hAnsi="Times New Roman" w:cs="Times New Roman"/>
                <w:noProof/>
              </w:rPr>
            </w:pPr>
            <w:r w:rsidRPr="00532C20">
              <w:rPr>
                <w:rFonts w:ascii="Times New Roman" w:hAnsi="Times New Roman" w:cs="Times New Roman"/>
                <w:noProof/>
              </w:rPr>
              <w:t xml:space="preserve">Ensure that the common standards established at EU level provide </w:t>
            </w:r>
            <w:r w:rsidRPr="00532C20">
              <w:rPr>
                <w:rFonts w:ascii="Times New Roman" w:hAnsi="Times New Roman" w:cs="Times New Roman"/>
                <w:b/>
                <w:noProof/>
              </w:rPr>
              <w:t xml:space="preserve">individuals </w:t>
            </w:r>
            <w:r w:rsidRPr="00532C20">
              <w:rPr>
                <w:rFonts w:ascii="Times New Roman" w:hAnsi="Times New Roman" w:cs="Times New Roman"/>
                <w:noProof/>
              </w:rPr>
              <w:t>with sufficient transparency to enable them to:</w:t>
            </w:r>
          </w:p>
          <w:p w14:paraId="65CC8284" w14:textId="1786851A" w:rsidR="00AA0EC5" w:rsidRPr="00532C20" w:rsidRDefault="00AA0EC5">
            <w:pPr>
              <w:numPr>
                <w:ilvl w:val="0"/>
                <w:numId w:val="52"/>
              </w:numPr>
              <w:spacing w:after="0" w:line="240" w:lineRule="auto"/>
              <w:ind w:left="178" w:hanging="178"/>
              <w:jc w:val="both"/>
              <w:rPr>
                <w:rFonts w:ascii="Times New Roman" w:hAnsi="Times New Roman" w:cs="Times New Roman"/>
                <w:noProof/>
              </w:rPr>
            </w:pPr>
            <w:r w:rsidRPr="00532C20">
              <w:rPr>
                <w:rFonts w:ascii="Times New Roman" w:hAnsi="Times New Roman" w:cs="Times New Roman"/>
                <w:noProof/>
              </w:rPr>
              <w:t>Know the magnitude of intrest representation carried out on behalf of third countries in their Member States and the EU.</w:t>
            </w:r>
          </w:p>
          <w:p w14:paraId="2F2E9C7F" w14:textId="2867D4D3" w:rsidR="00AA0EC5" w:rsidRPr="00532C20" w:rsidRDefault="00AA0EC5">
            <w:pPr>
              <w:numPr>
                <w:ilvl w:val="0"/>
                <w:numId w:val="52"/>
              </w:numPr>
              <w:spacing w:after="0" w:line="240" w:lineRule="auto"/>
              <w:ind w:left="178" w:hanging="178"/>
              <w:jc w:val="both"/>
              <w:rPr>
                <w:rFonts w:ascii="Times New Roman" w:hAnsi="Times New Roman" w:cs="Times New Roman"/>
                <w:noProof/>
              </w:rPr>
            </w:pPr>
            <w:r w:rsidRPr="00532C20">
              <w:rPr>
                <w:rFonts w:ascii="Times New Roman" w:hAnsi="Times New Roman" w:cs="Times New Roman"/>
                <w:noProof/>
              </w:rPr>
              <w:t>Know the identity of the actors and interests represented on behalf of thrid country entities.</w:t>
            </w:r>
          </w:p>
        </w:tc>
        <w:tc>
          <w:tcPr>
            <w:tcW w:w="3260" w:type="dxa"/>
          </w:tcPr>
          <w:p w14:paraId="567D80F7" w14:textId="3B0E5E6E" w:rsidR="00AA0EC5" w:rsidRPr="00532C20" w:rsidRDefault="00AA0EC5">
            <w:pPr>
              <w:numPr>
                <w:ilvl w:val="0"/>
                <w:numId w:val="51"/>
              </w:numPr>
              <w:spacing w:after="0" w:line="240" w:lineRule="auto"/>
              <w:ind w:left="165" w:hanging="165"/>
              <w:jc w:val="both"/>
              <w:rPr>
                <w:rFonts w:ascii="Times New Roman" w:hAnsi="Times New Roman" w:cs="Times New Roman"/>
                <w:noProof/>
              </w:rPr>
            </w:pPr>
            <w:r w:rsidRPr="00532C20">
              <w:rPr>
                <w:rFonts w:ascii="Times New Roman" w:hAnsi="Times New Roman" w:cs="Times New Roman"/>
                <w:noProof/>
              </w:rPr>
              <w:t>Estimates of intrest repesentation carried out on behalf of third countries;</w:t>
            </w:r>
          </w:p>
        </w:tc>
        <w:tc>
          <w:tcPr>
            <w:tcW w:w="3180" w:type="dxa"/>
          </w:tcPr>
          <w:p w14:paraId="71C16B19" w14:textId="51F0A8AC" w:rsidR="00AA0EC5" w:rsidRPr="00532C20" w:rsidRDefault="00AA0EC5" w:rsidP="009C57B0">
            <w:pPr>
              <w:spacing w:after="120" w:line="240" w:lineRule="auto"/>
              <w:jc w:val="both"/>
              <w:rPr>
                <w:rFonts w:ascii="Times New Roman" w:hAnsi="Times New Roman" w:cs="Times New Roman"/>
                <w:noProof/>
              </w:rPr>
            </w:pPr>
            <w:r w:rsidRPr="00532C20">
              <w:rPr>
                <w:rFonts w:ascii="Times New Roman" w:hAnsi="Times New Roman" w:cs="Times New Roman"/>
                <w:noProof/>
              </w:rPr>
              <w:t xml:space="preserve">Data collected in the national registers (aggreagate numbers of entires in the national registers) </w:t>
            </w:r>
            <w:r w:rsidR="00F52A18" w:rsidRPr="00532C20">
              <w:rPr>
                <w:rFonts w:ascii="Times New Roman" w:hAnsi="Times New Roman" w:cs="Times New Roman"/>
                <w:noProof/>
              </w:rPr>
              <w:t>(</w:t>
            </w:r>
            <w:r w:rsidR="00591009" w:rsidRPr="00532C20">
              <w:rPr>
                <w:rFonts w:ascii="Times New Roman" w:hAnsi="Times New Roman" w:cs="Times New Roman"/>
                <w:i/>
                <w:iCs/>
                <w:noProof/>
              </w:rPr>
              <w:t>s</w:t>
            </w:r>
            <w:r w:rsidR="00F52A18" w:rsidRPr="00532C20">
              <w:rPr>
                <w:rFonts w:ascii="Times New Roman" w:hAnsi="Times New Roman" w:cs="Times New Roman"/>
                <w:i/>
                <w:iCs/>
                <w:noProof/>
              </w:rPr>
              <w:t xml:space="preserve">ome of the data </w:t>
            </w:r>
            <w:r w:rsidR="00785729" w:rsidRPr="00532C20">
              <w:rPr>
                <w:rFonts w:ascii="Times New Roman" w:hAnsi="Times New Roman" w:cs="Times New Roman"/>
                <w:i/>
                <w:iCs/>
                <w:noProof/>
              </w:rPr>
              <w:t xml:space="preserve">currently </w:t>
            </w:r>
            <w:r w:rsidR="00F52A18" w:rsidRPr="00532C20">
              <w:rPr>
                <w:rFonts w:ascii="Times New Roman" w:hAnsi="Times New Roman" w:cs="Times New Roman"/>
                <w:i/>
                <w:iCs/>
                <w:noProof/>
              </w:rPr>
              <w:t xml:space="preserve">in national registers may be </w:t>
            </w:r>
            <w:r w:rsidR="00591009" w:rsidRPr="00532C20">
              <w:rPr>
                <w:rFonts w:ascii="Times New Roman" w:hAnsi="Times New Roman" w:cs="Times New Roman"/>
                <w:i/>
                <w:iCs/>
                <w:noProof/>
              </w:rPr>
              <w:t>used as a</w:t>
            </w:r>
            <w:r w:rsidR="00F52A18" w:rsidRPr="00532C20">
              <w:rPr>
                <w:rFonts w:ascii="Times New Roman" w:hAnsi="Times New Roman" w:cs="Times New Roman"/>
                <w:i/>
                <w:iCs/>
                <w:noProof/>
              </w:rPr>
              <w:t xml:space="preserve"> baseline</w:t>
            </w:r>
            <w:r w:rsidR="00591009" w:rsidRPr="00532C20">
              <w:rPr>
                <w:rFonts w:ascii="Times New Roman" w:hAnsi="Times New Roman" w:cs="Times New Roman"/>
                <w:noProof/>
              </w:rPr>
              <w:t>)</w:t>
            </w:r>
          </w:p>
          <w:p w14:paraId="5D12D779" w14:textId="3CBC265A" w:rsidR="00AA0EC5" w:rsidRPr="00532C20" w:rsidRDefault="00AA0EC5" w:rsidP="004B0958">
            <w:pPr>
              <w:spacing w:after="0" w:line="240" w:lineRule="auto"/>
              <w:jc w:val="both"/>
              <w:rPr>
                <w:rFonts w:ascii="Times New Roman" w:hAnsi="Times New Roman" w:cs="Times New Roman"/>
                <w:noProof/>
              </w:rPr>
            </w:pPr>
            <w:r w:rsidRPr="00532C20">
              <w:rPr>
                <w:rFonts w:ascii="Times New Roman" w:hAnsi="Times New Roman" w:cs="Times New Roman"/>
                <w:noProof/>
              </w:rPr>
              <w:t>Surveys</w:t>
            </w:r>
            <w:r w:rsidR="00DE29AA" w:rsidRPr="00532C20">
              <w:rPr>
                <w:rFonts w:ascii="Times New Roman" w:hAnsi="Times New Roman" w:cs="Times New Roman"/>
                <w:noProof/>
              </w:rPr>
              <w:t xml:space="preserve"> of citizens</w:t>
            </w:r>
            <w:r w:rsidRPr="00532C20">
              <w:rPr>
                <w:rFonts w:ascii="Times New Roman" w:hAnsi="Times New Roman" w:cs="Times New Roman"/>
                <w:noProof/>
              </w:rPr>
              <w:t xml:space="preserve"> (</w:t>
            </w:r>
            <w:r w:rsidRPr="00532C20">
              <w:rPr>
                <w:rFonts w:ascii="Times New Roman" w:hAnsi="Times New Roman" w:cs="Times New Roman"/>
                <w:i/>
                <w:iCs/>
                <w:noProof/>
              </w:rPr>
              <w:t>the baseline is the respondents’ response to the OPC</w:t>
            </w:r>
            <w:r w:rsidR="00DE29AA" w:rsidRPr="00532C20">
              <w:rPr>
                <w:rFonts w:ascii="Times New Roman" w:hAnsi="Times New Roman" w:cs="Times New Roman"/>
                <w:i/>
                <w:iCs/>
                <w:noProof/>
              </w:rPr>
              <w:t xml:space="preserve"> and the </w:t>
            </w:r>
            <w:r w:rsidR="00A91BCC" w:rsidRPr="00532C20">
              <w:rPr>
                <w:rFonts w:ascii="Times New Roman" w:hAnsi="Times New Roman" w:cs="Times New Roman"/>
                <w:i/>
                <w:iCs/>
                <w:noProof/>
              </w:rPr>
              <w:t>Eurobarometer</w:t>
            </w:r>
            <w:r w:rsidR="001F66CD" w:rsidRPr="00532C20">
              <w:rPr>
                <w:rFonts w:ascii="Times New Roman" w:hAnsi="Times New Roman" w:cs="Times New Roman"/>
                <w:i/>
                <w:iCs/>
                <w:noProof/>
              </w:rPr>
              <w:t>s</w:t>
            </w:r>
            <w:r w:rsidR="00AE4016" w:rsidRPr="00532C20">
              <w:rPr>
                <w:rStyle w:val="FootnoteReference"/>
                <w:rFonts w:ascii="Times New Roman" w:hAnsi="Times New Roman" w:cs="Times New Roman"/>
                <w:i/>
                <w:iCs/>
                <w:noProof/>
              </w:rPr>
              <w:footnoteReference w:id="246"/>
            </w:r>
            <w:r w:rsidRPr="00532C20">
              <w:rPr>
                <w:rFonts w:ascii="Times New Roman" w:hAnsi="Times New Roman" w:cs="Times New Roman"/>
                <w:noProof/>
              </w:rPr>
              <w:t>).</w:t>
            </w:r>
          </w:p>
        </w:tc>
      </w:tr>
      <w:tr w:rsidR="00AA0EC5" w:rsidRPr="00532C20" w14:paraId="50BE4616" w14:textId="77777777" w:rsidTr="009C57B0">
        <w:tc>
          <w:tcPr>
            <w:tcW w:w="1555" w:type="dxa"/>
            <w:vMerge/>
          </w:tcPr>
          <w:p w14:paraId="73BE8715" w14:textId="2880972B" w:rsidR="00AA0EC5" w:rsidRPr="00532C20" w:rsidRDefault="00AA0EC5" w:rsidP="004B0958">
            <w:pPr>
              <w:spacing w:after="0" w:line="240" w:lineRule="auto"/>
              <w:rPr>
                <w:rFonts w:ascii="Times New Roman" w:hAnsi="Times New Roman" w:cs="Times New Roman"/>
                <w:noProof/>
              </w:rPr>
            </w:pPr>
          </w:p>
        </w:tc>
        <w:tc>
          <w:tcPr>
            <w:tcW w:w="5953" w:type="dxa"/>
          </w:tcPr>
          <w:p w14:paraId="09F76D88" w14:textId="1444ED6E" w:rsidR="00AA0EC5" w:rsidRPr="00532C20" w:rsidRDefault="00AA0EC5" w:rsidP="00AA0EC5">
            <w:pPr>
              <w:spacing w:after="0" w:line="240" w:lineRule="auto"/>
              <w:jc w:val="both"/>
              <w:rPr>
                <w:rFonts w:ascii="Times New Roman" w:hAnsi="Times New Roman" w:cs="Times New Roman"/>
                <w:noProof/>
              </w:rPr>
            </w:pPr>
            <w:r w:rsidRPr="00532C20">
              <w:rPr>
                <w:rFonts w:ascii="Times New Roman" w:hAnsi="Times New Roman" w:cs="Times New Roman"/>
                <w:noProof/>
              </w:rPr>
              <w:t xml:space="preserve">Ensure that the common standards established at EU level provide </w:t>
            </w:r>
            <w:r w:rsidRPr="00532C20">
              <w:rPr>
                <w:rFonts w:ascii="Times New Roman" w:hAnsi="Times New Roman" w:cs="Times New Roman"/>
                <w:b/>
                <w:bCs/>
                <w:noProof/>
              </w:rPr>
              <w:t xml:space="preserve">stakeholders including </w:t>
            </w:r>
            <w:r w:rsidRPr="00532C20">
              <w:rPr>
                <w:rFonts w:ascii="Times New Roman" w:hAnsi="Times New Roman" w:cs="Times New Roman"/>
                <w:b/>
                <w:noProof/>
              </w:rPr>
              <w:t xml:space="preserve">researchers, journalists interested </w:t>
            </w:r>
            <w:r w:rsidRPr="00532C20">
              <w:rPr>
                <w:rFonts w:ascii="Times New Roman" w:hAnsi="Times New Roman" w:cs="Times New Roman"/>
                <w:noProof/>
              </w:rPr>
              <w:t>in the political process of interest representation activites carried out on behalf of third countries with sufficient transparency about</w:t>
            </w:r>
          </w:p>
          <w:p w14:paraId="6F511987" w14:textId="325535A3" w:rsidR="00AA0EC5" w:rsidRPr="00532C20" w:rsidRDefault="00AA0EC5">
            <w:pPr>
              <w:numPr>
                <w:ilvl w:val="0"/>
                <w:numId w:val="52"/>
              </w:numPr>
              <w:spacing w:after="0" w:line="240" w:lineRule="auto"/>
              <w:ind w:left="178" w:hanging="178"/>
              <w:jc w:val="both"/>
              <w:rPr>
                <w:rFonts w:ascii="Times New Roman" w:hAnsi="Times New Roman" w:cs="Times New Roman"/>
                <w:noProof/>
              </w:rPr>
            </w:pPr>
            <w:r w:rsidRPr="00532C20">
              <w:rPr>
                <w:rFonts w:ascii="Times New Roman" w:hAnsi="Times New Roman" w:cs="Times New Roman"/>
                <w:noProof/>
              </w:rPr>
              <w:t xml:space="preserve">The network of actors involved; </w:t>
            </w:r>
          </w:p>
          <w:p w14:paraId="154D3546" w14:textId="2B5FD1DC" w:rsidR="00AA0EC5" w:rsidRPr="00532C20" w:rsidRDefault="00AA0EC5">
            <w:pPr>
              <w:numPr>
                <w:ilvl w:val="0"/>
                <w:numId w:val="52"/>
              </w:numPr>
              <w:spacing w:after="0" w:line="240" w:lineRule="auto"/>
              <w:ind w:left="178" w:hanging="178"/>
              <w:jc w:val="both"/>
              <w:rPr>
                <w:rFonts w:ascii="Times New Roman" w:hAnsi="Times New Roman" w:cs="Times New Roman"/>
                <w:noProof/>
              </w:rPr>
            </w:pPr>
            <w:r w:rsidRPr="00532C20">
              <w:rPr>
                <w:rFonts w:ascii="Times New Roman" w:hAnsi="Times New Roman" w:cs="Times New Roman"/>
                <w:noProof/>
              </w:rPr>
              <w:t>The amounts of money spent on interest representation activites carried out on behalf of third countries per activity and per third country;</w:t>
            </w:r>
          </w:p>
          <w:p w14:paraId="2AC60892" w14:textId="35E50055" w:rsidR="00AA0EC5" w:rsidRPr="00532C20" w:rsidRDefault="00AA0EC5">
            <w:pPr>
              <w:numPr>
                <w:ilvl w:val="0"/>
                <w:numId w:val="52"/>
              </w:numPr>
              <w:spacing w:after="0" w:line="240" w:lineRule="auto"/>
              <w:ind w:left="178" w:hanging="178"/>
              <w:jc w:val="both"/>
              <w:rPr>
                <w:rFonts w:ascii="Times New Roman" w:hAnsi="Times New Roman" w:cs="Times New Roman"/>
                <w:noProof/>
              </w:rPr>
            </w:pPr>
            <w:r w:rsidRPr="00532C20">
              <w:rPr>
                <w:rFonts w:ascii="Times New Roman" w:hAnsi="Times New Roman" w:cs="Times New Roman"/>
                <w:noProof/>
              </w:rPr>
              <w:t>Meaningful details about the interest representation activities being carried out, the decision</w:t>
            </w:r>
            <w:r w:rsidR="00354356">
              <w:rPr>
                <w:rFonts w:ascii="Times New Roman" w:hAnsi="Times New Roman" w:cs="Times New Roman"/>
                <w:noProof/>
              </w:rPr>
              <w:t>-</w:t>
            </w:r>
            <w:r w:rsidRPr="00532C20">
              <w:rPr>
                <w:rFonts w:ascii="Times New Roman" w:hAnsi="Times New Roman" w:cs="Times New Roman"/>
                <w:noProof/>
              </w:rPr>
              <w:t>making processes targeted, and link this to any wider associated campaign.</w:t>
            </w:r>
          </w:p>
        </w:tc>
        <w:tc>
          <w:tcPr>
            <w:tcW w:w="3260" w:type="dxa"/>
          </w:tcPr>
          <w:p w14:paraId="1D824462" w14:textId="4A03EDE8" w:rsidR="00AA0EC5" w:rsidRPr="00532C20" w:rsidRDefault="00AA0EC5">
            <w:pPr>
              <w:numPr>
                <w:ilvl w:val="0"/>
                <w:numId w:val="52"/>
              </w:numPr>
              <w:spacing w:after="0" w:line="240" w:lineRule="auto"/>
              <w:ind w:left="165" w:hanging="165"/>
              <w:jc w:val="both"/>
              <w:rPr>
                <w:rFonts w:ascii="Times New Roman" w:hAnsi="Times New Roman" w:cs="Times New Roman"/>
                <w:noProof/>
              </w:rPr>
            </w:pPr>
            <w:r w:rsidRPr="00532C20">
              <w:rPr>
                <w:rFonts w:ascii="Times New Roman" w:hAnsi="Times New Roman" w:cs="Times New Roman"/>
                <w:noProof/>
              </w:rPr>
              <w:t>Compliance with the transparency standards as reported by interested stakeholders (mainly qualitative).</w:t>
            </w:r>
          </w:p>
        </w:tc>
        <w:tc>
          <w:tcPr>
            <w:tcW w:w="3180" w:type="dxa"/>
          </w:tcPr>
          <w:p w14:paraId="4A70EA53" w14:textId="142E892F" w:rsidR="00D92F92" w:rsidRPr="00532C20" w:rsidRDefault="00AA0EC5" w:rsidP="009C57B0">
            <w:pPr>
              <w:spacing w:after="120" w:line="240" w:lineRule="auto"/>
              <w:jc w:val="both"/>
              <w:rPr>
                <w:rFonts w:ascii="Times New Roman" w:hAnsi="Times New Roman" w:cs="Times New Roman"/>
                <w:noProof/>
              </w:rPr>
            </w:pPr>
            <w:r w:rsidRPr="00532C20">
              <w:rPr>
                <w:rFonts w:ascii="Times New Roman" w:hAnsi="Times New Roman" w:cs="Times New Roman"/>
                <w:noProof/>
              </w:rPr>
              <w:t>Eurobarometers</w:t>
            </w:r>
            <w:r w:rsidR="0091145B" w:rsidRPr="00532C20">
              <w:rPr>
                <w:rFonts w:ascii="Times New Roman" w:hAnsi="Times New Roman" w:cs="Times New Roman"/>
                <w:noProof/>
              </w:rPr>
              <w:t xml:space="preserve"> (</w:t>
            </w:r>
            <w:r w:rsidR="0091145B" w:rsidRPr="00532C20">
              <w:rPr>
                <w:rFonts w:ascii="Times New Roman" w:hAnsi="Times New Roman" w:cs="Times New Roman"/>
                <w:i/>
                <w:iCs/>
                <w:noProof/>
              </w:rPr>
              <w:t>baseline unknown</w:t>
            </w:r>
            <w:r w:rsidR="0091145B" w:rsidRPr="00532C20">
              <w:rPr>
                <w:rFonts w:ascii="Times New Roman" w:hAnsi="Times New Roman" w:cs="Times New Roman"/>
                <w:noProof/>
              </w:rPr>
              <w:t>)</w:t>
            </w:r>
          </w:p>
          <w:p w14:paraId="2A452F25" w14:textId="59E52315" w:rsidR="00AA0EC5" w:rsidRPr="00532C20" w:rsidRDefault="00D92F92" w:rsidP="009C57B0">
            <w:pPr>
              <w:spacing w:after="120" w:line="240" w:lineRule="auto"/>
              <w:jc w:val="both"/>
              <w:rPr>
                <w:rFonts w:ascii="Times New Roman" w:hAnsi="Times New Roman" w:cs="Times New Roman"/>
                <w:noProof/>
              </w:rPr>
            </w:pPr>
            <w:r w:rsidRPr="00532C20">
              <w:rPr>
                <w:rFonts w:ascii="Times New Roman" w:hAnsi="Times New Roman" w:cs="Times New Roman"/>
                <w:noProof/>
              </w:rPr>
              <w:t>Survey and reports of s</w:t>
            </w:r>
            <w:r w:rsidR="00AA0EC5" w:rsidRPr="00532C20">
              <w:rPr>
                <w:rFonts w:ascii="Times New Roman" w:hAnsi="Times New Roman" w:cs="Times New Roman"/>
                <w:noProof/>
              </w:rPr>
              <w:t xml:space="preserve">takeholders’ </w:t>
            </w:r>
            <w:r w:rsidRPr="00532C20">
              <w:rPr>
                <w:rFonts w:ascii="Times New Roman" w:hAnsi="Times New Roman" w:cs="Times New Roman"/>
                <w:noProof/>
              </w:rPr>
              <w:t>(researchers, journalists, etc</w:t>
            </w:r>
            <w:r w:rsidR="0091145B" w:rsidRPr="00532C20">
              <w:rPr>
                <w:rFonts w:ascii="Times New Roman" w:hAnsi="Times New Roman" w:cs="Times New Roman"/>
                <w:noProof/>
              </w:rPr>
              <w:t>). (</w:t>
            </w:r>
            <w:r w:rsidR="0091145B" w:rsidRPr="00532C20">
              <w:rPr>
                <w:rFonts w:ascii="Times New Roman" w:hAnsi="Times New Roman" w:cs="Times New Roman"/>
                <w:i/>
                <w:iCs/>
                <w:noProof/>
              </w:rPr>
              <w:t>baseline unknown</w:t>
            </w:r>
            <w:r w:rsidR="0091145B" w:rsidRPr="00532C20">
              <w:rPr>
                <w:rFonts w:ascii="Times New Roman" w:hAnsi="Times New Roman" w:cs="Times New Roman"/>
                <w:noProof/>
              </w:rPr>
              <w:t>)</w:t>
            </w:r>
          </w:p>
          <w:p w14:paraId="1EB2E9C1" w14:textId="67B4CD35" w:rsidR="00AA0EC5" w:rsidRPr="00532C20" w:rsidRDefault="00AA0EC5" w:rsidP="004B0958">
            <w:pPr>
              <w:spacing w:after="0" w:line="240" w:lineRule="auto"/>
              <w:jc w:val="both"/>
              <w:rPr>
                <w:rFonts w:ascii="Times New Roman" w:hAnsi="Times New Roman" w:cs="Times New Roman"/>
                <w:noProof/>
              </w:rPr>
            </w:pPr>
            <w:r w:rsidRPr="00532C20">
              <w:rPr>
                <w:rFonts w:ascii="Times New Roman" w:hAnsi="Times New Roman" w:cs="Times New Roman"/>
                <w:noProof/>
              </w:rPr>
              <w:t>Comparaison with stak</w:t>
            </w:r>
            <w:r w:rsidR="00B51774" w:rsidRPr="00532C20">
              <w:rPr>
                <w:rFonts w:ascii="Times New Roman" w:hAnsi="Times New Roman" w:cs="Times New Roman"/>
                <w:noProof/>
              </w:rPr>
              <w:t>e</w:t>
            </w:r>
            <w:r w:rsidRPr="00532C20">
              <w:rPr>
                <w:rFonts w:ascii="Times New Roman" w:hAnsi="Times New Roman" w:cs="Times New Roman"/>
                <w:noProof/>
              </w:rPr>
              <w:t>holder data where available.</w:t>
            </w:r>
            <w:r w:rsidR="0091145B" w:rsidRPr="00532C20">
              <w:rPr>
                <w:rFonts w:ascii="Times New Roman" w:hAnsi="Times New Roman" w:cs="Times New Roman"/>
                <w:noProof/>
              </w:rPr>
              <w:t xml:space="preserve"> (</w:t>
            </w:r>
            <w:r w:rsidR="0091145B" w:rsidRPr="00532C20">
              <w:rPr>
                <w:rFonts w:ascii="Times New Roman" w:hAnsi="Times New Roman" w:cs="Times New Roman"/>
                <w:i/>
                <w:iCs/>
                <w:noProof/>
              </w:rPr>
              <w:t>baseline unknown</w:t>
            </w:r>
            <w:r w:rsidR="0091145B" w:rsidRPr="00532C20">
              <w:rPr>
                <w:rFonts w:ascii="Times New Roman" w:hAnsi="Times New Roman" w:cs="Times New Roman"/>
                <w:noProof/>
              </w:rPr>
              <w:t>)</w:t>
            </w:r>
          </w:p>
        </w:tc>
      </w:tr>
      <w:tr w:rsidR="00AA0EC5" w:rsidRPr="00532C20" w14:paraId="15FFBBD9" w14:textId="77777777" w:rsidTr="009C57B0">
        <w:tc>
          <w:tcPr>
            <w:tcW w:w="1555" w:type="dxa"/>
            <w:vMerge/>
          </w:tcPr>
          <w:p w14:paraId="0A667E42" w14:textId="0E2E6126" w:rsidR="00AA0EC5" w:rsidRPr="00532C20" w:rsidRDefault="00AA0EC5" w:rsidP="004B0958">
            <w:pPr>
              <w:spacing w:after="0" w:line="240" w:lineRule="auto"/>
              <w:jc w:val="both"/>
              <w:rPr>
                <w:rFonts w:ascii="Times New Roman" w:hAnsi="Times New Roman" w:cs="Times New Roman"/>
                <w:noProof/>
              </w:rPr>
            </w:pPr>
          </w:p>
        </w:tc>
        <w:tc>
          <w:tcPr>
            <w:tcW w:w="5953" w:type="dxa"/>
          </w:tcPr>
          <w:p w14:paraId="09811361" w14:textId="6EFEB28A" w:rsidR="00AA0EC5" w:rsidRPr="00532C20" w:rsidRDefault="00AA0EC5" w:rsidP="00AA0EC5">
            <w:pPr>
              <w:spacing w:after="0" w:line="240" w:lineRule="auto"/>
              <w:jc w:val="both"/>
              <w:rPr>
                <w:rFonts w:ascii="Times New Roman" w:hAnsi="Times New Roman" w:cs="Times New Roman"/>
                <w:noProof/>
              </w:rPr>
            </w:pPr>
            <w:r w:rsidRPr="00532C20">
              <w:rPr>
                <w:rFonts w:ascii="Times New Roman" w:hAnsi="Times New Roman" w:cs="Times New Roman"/>
                <w:noProof/>
              </w:rPr>
              <w:t xml:space="preserve">Ensure that the common standards established at EU level provide </w:t>
            </w:r>
            <w:r w:rsidRPr="00532C20">
              <w:rPr>
                <w:rFonts w:ascii="Times New Roman" w:hAnsi="Times New Roman" w:cs="Times New Roman"/>
                <w:b/>
                <w:noProof/>
              </w:rPr>
              <w:t>public officials</w:t>
            </w:r>
            <w:r w:rsidRPr="00532C20">
              <w:rPr>
                <w:rFonts w:ascii="Times New Roman" w:hAnsi="Times New Roman" w:cs="Times New Roman"/>
                <w:noProof/>
              </w:rPr>
              <w:t xml:space="preserve"> with sufficient transparency to enable them to determine:</w:t>
            </w:r>
          </w:p>
          <w:p w14:paraId="09F90257" w14:textId="317D748B" w:rsidR="00AA0EC5" w:rsidRPr="00532C20" w:rsidRDefault="00AA0EC5">
            <w:pPr>
              <w:numPr>
                <w:ilvl w:val="0"/>
                <w:numId w:val="52"/>
              </w:numPr>
              <w:spacing w:after="0" w:line="240" w:lineRule="auto"/>
              <w:ind w:left="178" w:hanging="178"/>
              <w:jc w:val="both"/>
              <w:rPr>
                <w:rFonts w:ascii="Times New Roman" w:hAnsi="Times New Roman" w:cs="Times New Roman"/>
                <w:noProof/>
              </w:rPr>
            </w:pPr>
            <w:r w:rsidRPr="00532C20">
              <w:rPr>
                <w:rFonts w:ascii="Times New Roman" w:hAnsi="Times New Roman" w:cs="Times New Roman"/>
                <w:noProof/>
              </w:rPr>
              <w:t>W</w:t>
            </w:r>
            <w:r w:rsidR="0020762F" w:rsidRPr="00532C20">
              <w:rPr>
                <w:rFonts w:ascii="Times New Roman" w:hAnsi="Times New Roman" w:cs="Times New Roman"/>
                <w:noProof/>
              </w:rPr>
              <w:t>h</w:t>
            </w:r>
            <w:r w:rsidRPr="00532C20">
              <w:rPr>
                <w:rFonts w:ascii="Times New Roman" w:hAnsi="Times New Roman" w:cs="Times New Roman"/>
                <w:noProof/>
              </w:rPr>
              <w:t xml:space="preserve">ether they are in contact with an entity carring out intrest representation activity on behalf of a third country entity; </w:t>
            </w:r>
          </w:p>
          <w:p w14:paraId="19066240" w14:textId="2D4A9658" w:rsidR="00AA0EC5" w:rsidRPr="00532C20" w:rsidRDefault="00AA0EC5">
            <w:pPr>
              <w:numPr>
                <w:ilvl w:val="0"/>
                <w:numId w:val="52"/>
              </w:numPr>
              <w:spacing w:after="0" w:line="240" w:lineRule="auto"/>
              <w:ind w:left="178" w:hanging="178"/>
              <w:jc w:val="both"/>
              <w:rPr>
                <w:rFonts w:ascii="Times New Roman" w:hAnsi="Times New Roman" w:cs="Times New Roman"/>
                <w:noProof/>
              </w:rPr>
            </w:pPr>
            <w:r w:rsidRPr="00532C20">
              <w:rPr>
                <w:rFonts w:ascii="Times New Roman" w:hAnsi="Times New Roman" w:cs="Times New Roman"/>
                <w:noProof/>
              </w:rPr>
              <w:t>Meaningful details about the entity whose intrest is being represented, the interest representation activities being carried out and the decision</w:t>
            </w:r>
            <w:r w:rsidR="008852B8">
              <w:rPr>
                <w:rFonts w:ascii="Times New Roman" w:hAnsi="Times New Roman" w:cs="Times New Roman"/>
                <w:noProof/>
              </w:rPr>
              <w:t>-</w:t>
            </w:r>
            <w:r w:rsidRPr="00532C20">
              <w:rPr>
                <w:rFonts w:ascii="Times New Roman" w:hAnsi="Times New Roman" w:cs="Times New Roman"/>
                <w:noProof/>
              </w:rPr>
              <w:t>making processes targeted.</w:t>
            </w:r>
          </w:p>
        </w:tc>
        <w:tc>
          <w:tcPr>
            <w:tcW w:w="3260" w:type="dxa"/>
          </w:tcPr>
          <w:p w14:paraId="24F3F48A" w14:textId="2C96B9B9" w:rsidR="00AA0EC5" w:rsidRPr="00532C20" w:rsidRDefault="00AA0EC5">
            <w:pPr>
              <w:numPr>
                <w:ilvl w:val="0"/>
                <w:numId w:val="52"/>
              </w:numPr>
              <w:spacing w:after="0" w:line="240" w:lineRule="auto"/>
              <w:ind w:left="165" w:hanging="165"/>
              <w:jc w:val="both"/>
              <w:rPr>
                <w:rFonts w:ascii="Times New Roman" w:hAnsi="Times New Roman" w:cs="Times New Roman"/>
                <w:noProof/>
              </w:rPr>
            </w:pPr>
            <w:r w:rsidRPr="00532C20">
              <w:rPr>
                <w:rFonts w:ascii="Times New Roman" w:hAnsi="Times New Roman" w:cs="Times New Roman"/>
                <w:noProof/>
              </w:rPr>
              <w:t>Compliance with the transparency standards as reported by interested stakeholders (mainly qualitative).</w:t>
            </w:r>
          </w:p>
        </w:tc>
        <w:tc>
          <w:tcPr>
            <w:tcW w:w="3180" w:type="dxa"/>
          </w:tcPr>
          <w:p w14:paraId="7A61FF10" w14:textId="07D3CF36" w:rsidR="00AA0EC5" w:rsidRPr="00532C20" w:rsidRDefault="001669D3" w:rsidP="004B0958">
            <w:pPr>
              <w:spacing w:after="0" w:line="240" w:lineRule="auto"/>
              <w:jc w:val="both"/>
              <w:rPr>
                <w:rFonts w:ascii="Times New Roman" w:hAnsi="Times New Roman" w:cs="Times New Roman"/>
                <w:noProof/>
              </w:rPr>
            </w:pPr>
            <w:r w:rsidRPr="00532C20">
              <w:rPr>
                <w:rFonts w:ascii="Times New Roman" w:hAnsi="Times New Roman" w:cs="Times New Roman"/>
                <w:noProof/>
              </w:rPr>
              <w:t>Survey and reports of s</w:t>
            </w:r>
            <w:r w:rsidR="00AA0EC5" w:rsidRPr="00532C20">
              <w:rPr>
                <w:rFonts w:ascii="Times New Roman" w:hAnsi="Times New Roman" w:cs="Times New Roman"/>
                <w:noProof/>
              </w:rPr>
              <w:t>takeholders</w:t>
            </w:r>
            <w:r w:rsidRPr="00532C20">
              <w:rPr>
                <w:rFonts w:ascii="Times New Roman" w:hAnsi="Times New Roman" w:cs="Times New Roman"/>
                <w:noProof/>
              </w:rPr>
              <w:t xml:space="preserve"> (public officials)</w:t>
            </w:r>
          </w:p>
          <w:p w14:paraId="3DF909F4" w14:textId="741EF96C" w:rsidR="00AA0EC5" w:rsidRPr="00532C20" w:rsidRDefault="001A2302" w:rsidP="004B0958">
            <w:pPr>
              <w:spacing w:after="0" w:line="240" w:lineRule="auto"/>
              <w:jc w:val="both"/>
              <w:rPr>
                <w:rFonts w:ascii="Times New Roman" w:hAnsi="Times New Roman" w:cs="Times New Roman"/>
                <w:noProof/>
              </w:rPr>
            </w:pPr>
            <w:r w:rsidRPr="00532C20">
              <w:rPr>
                <w:rFonts w:ascii="Times New Roman" w:hAnsi="Times New Roman" w:cs="Times New Roman"/>
                <w:noProof/>
              </w:rPr>
              <w:t>(</w:t>
            </w:r>
            <w:r w:rsidRPr="00532C20">
              <w:rPr>
                <w:rFonts w:ascii="Times New Roman" w:hAnsi="Times New Roman" w:cs="Times New Roman"/>
                <w:i/>
                <w:iCs/>
                <w:noProof/>
              </w:rPr>
              <w:t>baseline unknown</w:t>
            </w:r>
            <w:r w:rsidRPr="00532C20">
              <w:rPr>
                <w:rFonts w:ascii="Times New Roman" w:hAnsi="Times New Roman" w:cs="Times New Roman"/>
                <w:noProof/>
              </w:rPr>
              <w:t>)</w:t>
            </w:r>
            <w:r w:rsidR="00AA0EC5" w:rsidRPr="00532C20">
              <w:rPr>
                <w:rFonts w:ascii="Times New Roman" w:hAnsi="Times New Roman" w:cs="Times New Roman"/>
                <w:noProof/>
              </w:rPr>
              <w:t xml:space="preserve"> </w:t>
            </w:r>
          </w:p>
        </w:tc>
      </w:tr>
      <w:tr w:rsidR="00AA0EC5" w:rsidRPr="00532C20" w14:paraId="2373DB38" w14:textId="77777777" w:rsidTr="009C57B0">
        <w:tc>
          <w:tcPr>
            <w:tcW w:w="1555" w:type="dxa"/>
            <w:vMerge/>
          </w:tcPr>
          <w:p w14:paraId="0BABE9FF" w14:textId="3130F62A" w:rsidR="00AA0EC5" w:rsidRPr="00532C20" w:rsidRDefault="00AA0EC5" w:rsidP="004B0958">
            <w:pPr>
              <w:spacing w:after="0" w:line="240" w:lineRule="auto"/>
              <w:jc w:val="both"/>
              <w:rPr>
                <w:rFonts w:ascii="Times New Roman" w:hAnsi="Times New Roman" w:cs="Times New Roman"/>
                <w:noProof/>
              </w:rPr>
            </w:pPr>
          </w:p>
        </w:tc>
        <w:tc>
          <w:tcPr>
            <w:tcW w:w="5953" w:type="dxa"/>
          </w:tcPr>
          <w:p w14:paraId="1B4FB5AF" w14:textId="13ED3FC6" w:rsidR="00AA0EC5" w:rsidRPr="00532C20" w:rsidRDefault="00AA0EC5" w:rsidP="00AA0EC5">
            <w:pPr>
              <w:spacing w:after="0" w:line="240" w:lineRule="auto"/>
              <w:jc w:val="both"/>
              <w:rPr>
                <w:rFonts w:ascii="Times New Roman" w:hAnsi="Times New Roman" w:cs="Times New Roman"/>
                <w:noProof/>
              </w:rPr>
            </w:pPr>
            <w:r w:rsidRPr="00532C20">
              <w:rPr>
                <w:rFonts w:ascii="Times New Roman" w:hAnsi="Times New Roman" w:cs="Times New Roman"/>
                <w:noProof/>
              </w:rPr>
              <w:t xml:space="preserve">Ensure that the common standards established at EU level provide supervisory authorities of Member States with sufficient transparency to enable </w:t>
            </w:r>
            <w:r w:rsidRPr="00532C20">
              <w:rPr>
                <w:rFonts w:ascii="Times New Roman" w:hAnsi="Times New Roman" w:cs="Times New Roman"/>
                <w:b/>
                <w:noProof/>
              </w:rPr>
              <w:t>oversight and enforcement</w:t>
            </w:r>
            <w:r w:rsidRPr="00532C20">
              <w:rPr>
                <w:rFonts w:ascii="Times New Roman" w:hAnsi="Times New Roman" w:cs="Times New Roman"/>
                <w:noProof/>
              </w:rPr>
              <w:t xml:space="preserve"> of the transparency measures provided by the preferred option by enabling them to obtain</w:t>
            </w:r>
          </w:p>
          <w:p w14:paraId="78B82CC8" w14:textId="50D876BB" w:rsidR="00AA0EC5" w:rsidRPr="00532C20" w:rsidRDefault="00AA0EC5">
            <w:pPr>
              <w:numPr>
                <w:ilvl w:val="0"/>
                <w:numId w:val="52"/>
              </w:numPr>
              <w:spacing w:after="0" w:line="240" w:lineRule="auto"/>
              <w:ind w:left="178" w:hanging="178"/>
              <w:jc w:val="both"/>
              <w:rPr>
                <w:rFonts w:ascii="Times New Roman" w:hAnsi="Times New Roman" w:cs="Times New Roman"/>
                <w:noProof/>
              </w:rPr>
            </w:pPr>
            <w:r w:rsidRPr="00532C20">
              <w:rPr>
                <w:rFonts w:ascii="Times New Roman" w:hAnsi="Times New Roman" w:cs="Times New Roman"/>
                <w:noProof/>
              </w:rPr>
              <w:t xml:space="preserve">Effective access to records kept by entity carrying out intrest representation on behalf of third countries identified as spending significant amounts on intrest representation in the EU or a Member State (risk-based approach) </w:t>
            </w:r>
          </w:p>
          <w:p w14:paraId="2462AFD5" w14:textId="77777777" w:rsidR="00AA0EC5" w:rsidRPr="00532C20" w:rsidRDefault="00AA0EC5">
            <w:pPr>
              <w:numPr>
                <w:ilvl w:val="0"/>
                <w:numId w:val="52"/>
              </w:numPr>
              <w:spacing w:after="0" w:line="240" w:lineRule="auto"/>
              <w:ind w:left="178" w:hanging="178"/>
              <w:jc w:val="both"/>
              <w:rPr>
                <w:rFonts w:ascii="Times New Roman" w:hAnsi="Times New Roman" w:cs="Times New Roman"/>
                <w:noProof/>
              </w:rPr>
            </w:pPr>
            <w:r w:rsidRPr="00532C20">
              <w:rPr>
                <w:rFonts w:ascii="Times New Roman" w:hAnsi="Times New Roman" w:cs="Times New Roman"/>
                <w:noProof/>
              </w:rPr>
              <w:t>Effective cross-border sharing of information;</w:t>
            </w:r>
          </w:p>
          <w:p w14:paraId="02D152CE" w14:textId="53544AF9" w:rsidR="00AA0EC5" w:rsidRPr="00532C20" w:rsidRDefault="00AA0EC5">
            <w:pPr>
              <w:numPr>
                <w:ilvl w:val="0"/>
                <w:numId w:val="52"/>
              </w:numPr>
              <w:spacing w:after="0" w:line="240" w:lineRule="auto"/>
              <w:ind w:left="178" w:hanging="178"/>
              <w:jc w:val="both"/>
              <w:rPr>
                <w:rFonts w:ascii="Times New Roman" w:hAnsi="Times New Roman" w:cs="Times New Roman"/>
                <w:noProof/>
              </w:rPr>
            </w:pPr>
            <w:r w:rsidRPr="00532C20">
              <w:rPr>
                <w:rFonts w:ascii="Times New Roman" w:hAnsi="Times New Roman" w:cs="Times New Roman"/>
                <w:noProof/>
              </w:rPr>
              <w:t xml:space="preserve">A mapping of the actors involved in interest represtnation activites; </w:t>
            </w:r>
          </w:p>
          <w:p w14:paraId="3362532C" w14:textId="77777777" w:rsidR="00AA0EC5" w:rsidRPr="00532C20" w:rsidRDefault="00AA0EC5">
            <w:pPr>
              <w:numPr>
                <w:ilvl w:val="0"/>
                <w:numId w:val="52"/>
              </w:numPr>
              <w:spacing w:after="0" w:line="240" w:lineRule="auto"/>
              <w:ind w:left="178" w:hanging="178"/>
              <w:jc w:val="both"/>
              <w:rPr>
                <w:rFonts w:ascii="Times New Roman" w:hAnsi="Times New Roman" w:cs="Times New Roman"/>
                <w:noProof/>
              </w:rPr>
            </w:pPr>
            <w:r w:rsidRPr="00532C20">
              <w:rPr>
                <w:rFonts w:ascii="Times New Roman" w:hAnsi="Times New Roman" w:cs="Times New Roman"/>
                <w:noProof/>
              </w:rPr>
              <w:t>The amounts of money spent on interest representation activites carried out on behalf of third countries per activity and per third country;</w:t>
            </w:r>
          </w:p>
          <w:p w14:paraId="0066A570" w14:textId="2176832A" w:rsidR="00AA0EC5" w:rsidRPr="00532C20" w:rsidRDefault="00AA0EC5">
            <w:pPr>
              <w:numPr>
                <w:ilvl w:val="0"/>
                <w:numId w:val="52"/>
              </w:numPr>
              <w:spacing w:after="0" w:line="240" w:lineRule="auto"/>
              <w:ind w:left="178" w:hanging="178"/>
              <w:jc w:val="both"/>
              <w:rPr>
                <w:rFonts w:ascii="Times New Roman" w:hAnsi="Times New Roman" w:cs="Times New Roman"/>
                <w:noProof/>
              </w:rPr>
            </w:pPr>
            <w:r w:rsidRPr="00532C20">
              <w:rPr>
                <w:rFonts w:ascii="Times New Roman" w:hAnsi="Times New Roman" w:cs="Times New Roman"/>
                <w:noProof/>
              </w:rPr>
              <w:t>Meaningful details about the decision</w:t>
            </w:r>
            <w:r w:rsidR="008852B8">
              <w:rPr>
                <w:rFonts w:ascii="Times New Roman" w:hAnsi="Times New Roman" w:cs="Times New Roman"/>
                <w:noProof/>
              </w:rPr>
              <w:t>-</w:t>
            </w:r>
            <w:r w:rsidRPr="00532C20">
              <w:rPr>
                <w:rFonts w:ascii="Times New Roman" w:hAnsi="Times New Roman" w:cs="Times New Roman"/>
                <w:noProof/>
              </w:rPr>
              <w:t>making processes targeted, and link this to any wider associated campaign.</w:t>
            </w:r>
          </w:p>
        </w:tc>
        <w:tc>
          <w:tcPr>
            <w:tcW w:w="3260" w:type="dxa"/>
          </w:tcPr>
          <w:p w14:paraId="0AA4DE66" w14:textId="6329E422" w:rsidR="00AA0EC5" w:rsidRPr="00532C20" w:rsidRDefault="00AA0EC5">
            <w:pPr>
              <w:numPr>
                <w:ilvl w:val="0"/>
                <w:numId w:val="52"/>
              </w:numPr>
              <w:spacing w:after="0" w:line="240" w:lineRule="auto"/>
              <w:ind w:left="165" w:hanging="165"/>
              <w:jc w:val="both"/>
              <w:rPr>
                <w:rFonts w:ascii="Times New Roman" w:hAnsi="Times New Roman" w:cs="Times New Roman"/>
                <w:noProof/>
              </w:rPr>
            </w:pPr>
            <w:r w:rsidRPr="00532C20">
              <w:rPr>
                <w:rFonts w:ascii="Times New Roman" w:hAnsi="Times New Roman" w:cs="Times New Roman"/>
                <w:noProof/>
              </w:rPr>
              <w:t>Compliance with the EU level standards by entities carriyng out interest representation on behalf of thrid country entities.</w:t>
            </w:r>
          </w:p>
          <w:p w14:paraId="71F49B56" w14:textId="35CF7735" w:rsidR="00AA0EC5" w:rsidRPr="00532C20" w:rsidRDefault="00AA0EC5">
            <w:pPr>
              <w:numPr>
                <w:ilvl w:val="0"/>
                <w:numId w:val="52"/>
              </w:numPr>
              <w:spacing w:after="0" w:line="240" w:lineRule="auto"/>
              <w:ind w:left="165" w:hanging="165"/>
              <w:jc w:val="both"/>
              <w:rPr>
                <w:rFonts w:ascii="Times New Roman" w:hAnsi="Times New Roman" w:cs="Times New Roman"/>
                <w:noProof/>
              </w:rPr>
            </w:pPr>
            <w:r w:rsidRPr="00532C20">
              <w:rPr>
                <w:rFonts w:ascii="Times New Roman" w:hAnsi="Times New Roman" w:cs="Times New Roman"/>
                <w:noProof/>
              </w:rPr>
              <w:t>Number of cross-border information requests.</w:t>
            </w:r>
          </w:p>
        </w:tc>
        <w:tc>
          <w:tcPr>
            <w:tcW w:w="3180" w:type="dxa"/>
          </w:tcPr>
          <w:p w14:paraId="4FF8197E" w14:textId="1AF0C8E6" w:rsidR="00AA0EC5" w:rsidRPr="00532C20" w:rsidRDefault="00AA0EC5" w:rsidP="004B0958">
            <w:pPr>
              <w:spacing w:after="0" w:line="240" w:lineRule="auto"/>
              <w:jc w:val="both"/>
              <w:rPr>
                <w:rFonts w:ascii="Times New Roman" w:hAnsi="Times New Roman" w:cs="Times New Roman"/>
                <w:noProof/>
              </w:rPr>
            </w:pPr>
            <w:r w:rsidRPr="00532C20">
              <w:rPr>
                <w:rFonts w:ascii="Times New Roman" w:hAnsi="Times New Roman" w:cs="Times New Roman"/>
                <w:noProof/>
              </w:rPr>
              <w:t>Data shared by Member States</w:t>
            </w:r>
            <w:r w:rsidR="00A8159E" w:rsidRPr="00532C20">
              <w:rPr>
                <w:rFonts w:ascii="Times New Roman" w:hAnsi="Times New Roman" w:cs="Times New Roman"/>
                <w:noProof/>
              </w:rPr>
              <w:t xml:space="preserve"> (</w:t>
            </w:r>
            <w:r w:rsidR="00785729" w:rsidRPr="00532C20">
              <w:rPr>
                <w:rFonts w:ascii="Times New Roman" w:hAnsi="Times New Roman" w:cs="Times New Roman"/>
                <w:i/>
                <w:iCs/>
                <w:noProof/>
              </w:rPr>
              <w:t>some of the data currently in national registers may be used as a baseline</w:t>
            </w:r>
            <w:r w:rsidR="00785729" w:rsidRPr="00532C20">
              <w:rPr>
                <w:rFonts w:ascii="Times New Roman" w:hAnsi="Times New Roman" w:cs="Times New Roman"/>
                <w:noProof/>
              </w:rPr>
              <w:t>)</w:t>
            </w:r>
          </w:p>
          <w:p w14:paraId="4BADC83C" w14:textId="77777777" w:rsidR="00AA0EC5" w:rsidRPr="00532C20" w:rsidRDefault="00AA0EC5" w:rsidP="004B0958">
            <w:pPr>
              <w:spacing w:after="0" w:line="240" w:lineRule="auto"/>
              <w:jc w:val="both"/>
              <w:rPr>
                <w:rFonts w:ascii="Times New Roman" w:hAnsi="Times New Roman" w:cs="Times New Roman"/>
                <w:noProof/>
              </w:rPr>
            </w:pPr>
          </w:p>
          <w:p w14:paraId="7F081575" w14:textId="4791C01A" w:rsidR="00AA0EC5" w:rsidRPr="00532C20" w:rsidRDefault="00AA0EC5" w:rsidP="004B0958">
            <w:pPr>
              <w:spacing w:after="0" w:line="240" w:lineRule="auto"/>
              <w:jc w:val="both"/>
              <w:rPr>
                <w:rFonts w:ascii="Times New Roman" w:hAnsi="Times New Roman" w:cs="Times New Roman"/>
                <w:noProof/>
              </w:rPr>
            </w:pPr>
            <w:r w:rsidRPr="00532C20">
              <w:rPr>
                <w:rFonts w:ascii="Times New Roman" w:hAnsi="Times New Roman" w:cs="Times New Roman"/>
                <w:noProof/>
              </w:rPr>
              <w:t>Comparaison of the data collected in the national registers to identify outliers</w:t>
            </w:r>
            <w:r w:rsidR="00785729" w:rsidRPr="00532C20">
              <w:rPr>
                <w:rFonts w:ascii="Times New Roman" w:hAnsi="Times New Roman" w:cs="Times New Roman"/>
                <w:noProof/>
              </w:rPr>
              <w:t xml:space="preserve"> (</w:t>
            </w:r>
            <w:r w:rsidR="00785729" w:rsidRPr="00532C20">
              <w:rPr>
                <w:rFonts w:ascii="Times New Roman" w:hAnsi="Times New Roman" w:cs="Times New Roman"/>
                <w:i/>
                <w:iCs/>
                <w:noProof/>
              </w:rPr>
              <w:t>some of the data currently in national registers may be used as a baseline</w:t>
            </w:r>
            <w:r w:rsidR="00785729" w:rsidRPr="00532C20">
              <w:rPr>
                <w:rFonts w:ascii="Times New Roman" w:hAnsi="Times New Roman" w:cs="Times New Roman"/>
                <w:noProof/>
              </w:rPr>
              <w:t>)</w:t>
            </w:r>
          </w:p>
          <w:p w14:paraId="65990C46" w14:textId="77777777" w:rsidR="00AA0EC5" w:rsidRPr="00532C20" w:rsidRDefault="00AA0EC5" w:rsidP="004B0958">
            <w:pPr>
              <w:spacing w:after="0" w:line="240" w:lineRule="auto"/>
              <w:jc w:val="both"/>
              <w:rPr>
                <w:rFonts w:ascii="Times New Roman" w:hAnsi="Times New Roman" w:cs="Times New Roman"/>
                <w:noProof/>
              </w:rPr>
            </w:pPr>
          </w:p>
          <w:p w14:paraId="64E7960A" w14:textId="30A1E4EA" w:rsidR="00AA0EC5" w:rsidRPr="00532C20" w:rsidRDefault="00AA0EC5" w:rsidP="004B0958">
            <w:pPr>
              <w:spacing w:after="0" w:line="240" w:lineRule="auto"/>
              <w:jc w:val="both"/>
              <w:rPr>
                <w:rFonts w:ascii="Times New Roman" w:hAnsi="Times New Roman" w:cs="Times New Roman"/>
                <w:noProof/>
              </w:rPr>
            </w:pPr>
            <w:r w:rsidRPr="00532C20">
              <w:rPr>
                <w:rFonts w:ascii="Times New Roman" w:hAnsi="Times New Roman" w:cs="Times New Roman"/>
                <w:noProof/>
              </w:rPr>
              <w:t>Stakeholders’ reports (including report by the advisory groups composed of representatives of national supervisory authorities)</w:t>
            </w:r>
            <w:r w:rsidR="00785729" w:rsidRPr="00532C20">
              <w:rPr>
                <w:rFonts w:ascii="Times New Roman" w:hAnsi="Times New Roman" w:cs="Times New Roman"/>
                <w:noProof/>
              </w:rPr>
              <w:t xml:space="preserve"> (</w:t>
            </w:r>
            <w:r w:rsidR="00785729" w:rsidRPr="00532C20">
              <w:rPr>
                <w:rFonts w:ascii="Times New Roman" w:hAnsi="Times New Roman" w:cs="Times New Roman"/>
                <w:i/>
                <w:iCs/>
                <w:noProof/>
              </w:rPr>
              <w:t>baseline unkown</w:t>
            </w:r>
            <w:r w:rsidR="00785729" w:rsidRPr="00532C20">
              <w:rPr>
                <w:rFonts w:ascii="Times New Roman" w:hAnsi="Times New Roman" w:cs="Times New Roman"/>
                <w:noProof/>
              </w:rPr>
              <w:t>)</w:t>
            </w:r>
          </w:p>
        </w:tc>
      </w:tr>
    </w:tbl>
    <w:p w14:paraId="41CFBB92" w14:textId="61B40682" w:rsidR="00F9628F" w:rsidRPr="00532C20" w:rsidRDefault="00F9628F" w:rsidP="004B0958">
      <w:pPr>
        <w:spacing w:line="240" w:lineRule="auto"/>
        <w:jc w:val="both"/>
        <w:rPr>
          <w:rFonts w:ascii="Times New Roman" w:hAnsi="Times New Roman" w:cs="Times New Roman"/>
          <w:noProof/>
          <w:sz w:val="24"/>
          <w:szCs w:val="24"/>
          <w:lang w:val="en-IE"/>
        </w:rPr>
        <w:sectPr w:rsidR="00F9628F" w:rsidRPr="00532C20" w:rsidSect="008E737E">
          <w:headerReference w:type="even" r:id="rId44"/>
          <w:headerReference w:type="default" r:id="rId45"/>
          <w:footerReference w:type="even" r:id="rId46"/>
          <w:footerReference w:type="default" r:id="rId47"/>
          <w:headerReference w:type="first" r:id="rId48"/>
          <w:footerReference w:type="first" r:id="rId49"/>
          <w:pgSz w:w="16838" w:h="11906" w:orient="landscape"/>
          <w:pgMar w:top="1440" w:right="1440" w:bottom="1440" w:left="1440" w:header="708" w:footer="708" w:gutter="0"/>
          <w:cols w:space="720"/>
          <w:docGrid w:linePitch="360"/>
        </w:sectPr>
      </w:pPr>
    </w:p>
    <w:p w14:paraId="1311805D" w14:textId="72293BFA" w:rsidR="00E03376" w:rsidRPr="00532C20" w:rsidRDefault="00E03376" w:rsidP="007F43F7">
      <w:pPr>
        <w:pStyle w:val="Annex222"/>
        <w:spacing w:after="240"/>
        <w:contextualSpacing w:val="0"/>
        <w:outlineLvl w:val="0"/>
        <w:rPr>
          <w:rFonts w:ascii="Times New Roman" w:hAnsi="Times New Roman" w:cs="Times New Roman"/>
          <w:noProof/>
        </w:rPr>
      </w:pPr>
      <w:bookmarkStart w:id="1051" w:name="_Toc134028737"/>
      <w:bookmarkStart w:id="1052" w:name="_Toc134620381"/>
      <w:bookmarkStart w:id="1053" w:name="_Toc152864720"/>
      <w:bookmarkStart w:id="1054" w:name="_Toc67672063"/>
      <w:bookmarkStart w:id="1055" w:name="_Toc67676575"/>
      <w:bookmarkStart w:id="1056" w:name="_Toc67676789"/>
      <w:bookmarkStart w:id="1057" w:name="_Toc67677623"/>
      <w:bookmarkStart w:id="1058" w:name="_Toc67686572"/>
      <w:bookmarkStart w:id="1059" w:name="_Toc69827982"/>
      <w:bookmarkStart w:id="1060" w:name="_Toc69975248"/>
      <w:bookmarkStart w:id="1061" w:name="_Toc72164962"/>
      <w:bookmarkStart w:id="1062" w:name="_Toc72489541"/>
      <w:bookmarkStart w:id="1063" w:name="_Toc72512730"/>
      <w:bookmarkStart w:id="1064" w:name="_Toc73625322"/>
      <w:bookmarkStart w:id="1065" w:name="_Toc73709580"/>
      <w:bookmarkStart w:id="1066" w:name="_Toc75795155"/>
      <w:bookmarkStart w:id="1067" w:name="_Toc75967753"/>
      <w:bookmarkStart w:id="1068" w:name="_Toc75970780"/>
      <w:bookmarkStart w:id="1069" w:name="_Toc76488570"/>
      <w:bookmarkStart w:id="1070" w:name="_Toc78212240"/>
      <w:bookmarkStart w:id="1071" w:name="_Toc78821987"/>
      <w:bookmarkStart w:id="1072" w:name="_Toc78823781"/>
      <w:bookmarkStart w:id="1073" w:name="_Toc79741989"/>
      <w:bookmarkStart w:id="1074" w:name="_Toc79762120"/>
      <w:bookmarkStart w:id="1075" w:name="_Toc80957576"/>
      <w:bookmarkStart w:id="1076" w:name="_Toc81230398"/>
      <w:bookmarkStart w:id="1077" w:name="_Toc81316099"/>
      <w:bookmarkStart w:id="1078" w:name="_Toc81320856"/>
      <w:bookmarkStart w:id="1079" w:name="_Toc81400189"/>
      <w:bookmarkStart w:id="1080" w:name="_Toc85790545"/>
      <w:bookmarkStart w:id="1081" w:name="_Toc86145121"/>
      <w:bookmarkStart w:id="1082" w:name="_Toc86160855"/>
      <w:bookmarkStart w:id="1083" w:name="_Toc86226293"/>
      <w:bookmarkStart w:id="1084" w:name="_Toc86231969"/>
      <w:bookmarkStart w:id="1085" w:name="_Toc87609625"/>
      <w:bookmarkStart w:id="1086" w:name="_Hlk130744979"/>
      <w:r w:rsidRPr="00532C20">
        <w:rPr>
          <w:rFonts w:ascii="Times New Roman" w:hAnsi="Times New Roman" w:cs="Times New Roman"/>
          <w:noProof/>
        </w:rPr>
        <w:t>Annex 1: Procedural information</w:t>
      </w:r>
      <w:bookmarkEnd w:id="1051"/>
      <w:bookmarkEnd w:id="1052"/>
      <w:bookmarkEnd w:id="1053"/>
      <w:r w:rsidRPr="00532C20">
        <w:rPr>
          <w:rFonts w:ascii="Times New Roman" w:hAnsi="Times New Roman" w:cs="Times New Roman"/>
          <w:noProof/>
        </w:rPr>
        <w:t xml:space="preserve"> </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0DC1C0D0" w14:textId="1C7F3DB0" w:rsidR="00093202" w:rsidRPr="00532C20" w:rsidRDefault="79CE4C4B">
      <w:pPr>
        <w:pStyle w:val="ListParagraph"/>
        <w:numPr>
          <w:ilvl w:val="0"/>
          <w:numId w:val="4"/>
        </w:numPr>
        <w:spacing w:after="200"/>
        <w:contextualSpacing w:val="0"/>
        <w:jc w:val="both"/>
        <w:rPr>
          <w:rFonts w:ascii="Times New Roman" w:hAnsi="Times New Roman" w:cs="Times New Roman"/>
          <w:noProof/>
          <w:color w:val="000000" w:themeColor="text1"/>
          <w:u w:val="single"/>
          <w:lang w:val="en-IE"/>
        </w:rPr>
      </w:pPr>
      <w:r w:rsidRPr="00532C20">
        <w:rPr>
          <w:rFonts w:ascii="Times New Roman" w:hAnsi="Times New Roman" w:cs="Times New Roman"/>
          <w:b/>
          <w:noProof/>
          <w:color w:val="000000" w:themeColor="text1"/>
          <w:u w:val="single"/>
          <w:lang w:val="en-IE"/>
        </w:rPr>
        <w:t>Lead DG, Decide Planning, CWP references</w:t>
      </w:r>
    </w:p>
    <w:p w14:paraId="45C3D6D8" w14:textId="02594D69" w:rsidR="00093202" w:rsidRPr="00532C20" w:rsidRDefault="79CE4C4B" w:rsidP="004B0958">
      <w:pPr>
        <w:spacing w:line="240" w:lineRule="auto"/>
        <w:jc w:val="both"/>
        <w:rPr>
          <w:rFonts w:ascii="Times New Roman" w:eastAsia="Times" w:hAnsi="Times New Roman" w:cs="Times New Roman"/>
          <w:noProof/>
          <w:color w:val="000000" w:themeColor="text1"/>
          <w:sz w:val="24"/>
          <w:szCs w:val="24"/>
          <w:lang w:val="en-IE"/>
        </w:rPr>
      </w:pPr>
      <w:r w:rsidRPr="00532C20">
        <w:rPr>
          <w:rFonts w:ascii="Times New Roman" w:eastAsia="Times" w:hAnsi="Times New Roman" w:cs="Times New Roman"/>
          <w:noProof/>
          <w:color w:val="000000" w:themeColor="text1"/>
          <w:sz w:val="24"/>
          <w:szCs w:val="24"/>
          <w:lang w:val="en-IE"/>
        </w:rPr>
        <w:t xml:space="preserve">The Staff Working Document was prepared by the Directorate-General for Justice and Consumers. </w:t>
      </w:r>
    </w:p>
    <w:p w14:paraId="6F4E5DD7" w14:textId="7EB1F459" w:rsidR="00093202" w:rsidRPr="00532C20" w:rsidRDefault="79CE4C4B" w:rsidP="004B0958">
      <w:pPr>
        <w:spacing w:line="240" w:lineRule="auto"/>
        <w:jc w:val="both"/>
        <w:rPr>
          <w:rFonts w:ascii="Times New Roman" w:eastAsia="Times" w:hAnsi="Times New Roman" w:cs="Times New Roman"/>
          <w:noProof/>
          <w:color w:val="000000" w:themeColor="text1"/>
          <w:sz w:val="24"/>
          <w:szCs w:val="24"/>
          <w:lang w:val="en-IE"/>
        </w:rPr>
      </w:pPr>
      <w:r w:rsidRPr="00532C20">
        <w:rPr>
          <w:rFonts w:ascii="Times New Roman" w:eastAsia="Times" w:hAnsi="Times New Roman" w:cs="Times New Roman"/>
          <w:noProof/>
          <w:color w:val="000000" w:themeColor="text1"/>
          <w:sz w:val="24"/>
          <w:szCs w:val="24"/>
          <w:lang w:val="en-IE"/>
        </w:rPr>
        <w:t>The Decide reference of this initiative is PLAN/2023/</w:t>
      </w:r>
      <w:r w:rsidR="00385D59" w:rsidRPr="00532C20">
        <w:rPr>
          <w:rFonts w:ascii="Times New Roman" w:eastAsia="Times" w:hAnsi="Times New Roman" w:cs="Times New Roman"/>
          <w:noProof/>
          <w:color w:val="000000" w:themeColor="text1"/>
          <w:sz w:val="24"/>
          <w:szCs w:val="24"/>
          <w:lang w:val="en-IE"/>
        </w:rPr>
        <w:t>68</w:t>
      </w:r>
      <w:r w:rsidR="002549F4" w:rsidRPr="00532C20">
        <w:rPr>
          <w:rFonts w:ascii="Times New Roman" w:eastAsia="Times" w:hAnsi="Times New Roman" w:cs="Times New Roman"/>
          <w:noProof/>
          <w:color w:val="000000" w:themeColor="text1"/>
          <w:sz w:val="24"/>
          <w:szCs w:val="24"/>
          <w:lang w:val="en-IE"/>
        </w:rPr>
        <w:t>.</w:t>
      </w:r>
      <w:r w:rsidR="00385D59" w:rsidRPr="00532C20">
        <w:rPr>
          <w:rFonts w:ascii="Times New Roman" w:eastAsia="Times" w:hAnsi="Times New Roman" w:cs="Times New Roman"/>
          <w:noProof/>
          <w:color w:val="000000" w:themeColor="text1"/>
          <w:sz w:val="24"/>
          <w:szCs w:val="24"/>
          <w:lang w:val="en-IE"/>
        </w:rPr>
        <w:t xml:space="preserve"> </w:t>
      </w:r>
    </w:p>
    <w:p w14:paraId="545CBC27" w14:textId="45B82D72" w:rsidR="00093202" w:rsidRPr="00532C20" w:rsidRDefault="79CE4C4B" w:rsidP="004B0958">
      <w:pPr>
        <w:spacing w:line="240" w:lineRule="auto"/>
        <w:jc w:val="both"/>
        <w:rPr>
          <w:rFonts w:ascii="Times New Roman" w:eastAsia="Times" w:hAnsi="Times New Roman" w:cs="Times New Roman"/>
          <w:noProof/>
          <w:color w:val="000000" w:themeColor="text1"/>
          <w:sz w:val="24"/>
          <w:szCs w:val="24"/>
          <w:lang w:val="en-IE"/>
        </w:rPr>
      </w:pPr>
      <w:r w:rsidRPr="00532C20">
        <w:rPr>
          <w:rFonts w:ascii="Times New Roman" w:eastAsia="Times" w:hAnsi="Times New Roman" w:cs="Times New Roman"/>
          <w:noProof/>
          <w:color w:val="000000" w:themeColor="text1"/>
          <w:sz w:val="24"/>
          <w:szCs w:val="24"/>
          <w:lang w:val="en-IE"/>
        </w:rPr>
        <w:t xml:space="preserve">This initiative was announced in the September </w:t>
      </w:r>
      <w:r w:rsidR="70F1439A" w:rsidRPr="00532C20">
        <w:rPr>
          <w:rFonts w:ascii="Times New Roman" w:eastAsia="Times" w:hAnsi="Times New Roman" w:cs="Times New Roman"/>
          <w:noProof/>
          <w:color w:val="000000" w:themeColor="text1"/>
          <w:sz w:val="24"/>
          <w:szCs w:val="24"/>
          <w:lang w:val="en-IE"/>
        </w:rPr>
        <w:t>2022</w:t>
      </w:r>
      <w:r w:rsidRPr="00532C20">
        <w:rPr>
          <w:rFonts w:ascii="Times New Roman" w:eastAsia="Times" w:hAnsi="Times New Roman" w:cs="Times New Roman"/>
          <w:noProof/>
          <w:color w:val="000000" w:themeColor="text1"/>
          <w:sz w:val="24"/>
          <w:szCs w:val="24"/>
          <w:lang w:val="en-IE"/>
        </w:rPr>
        <w:t xml:space="preserve"> State of the Union speech by President of the Commission von der Leyen and follows the Commission Work Programme for 2023.</w:t>
      </w:r>
    </w:p>
    <w:p w14:paraId="0D2A9D1D" w14:textId="094534CE" w:rsidR="00093202" w:rsidRPr="00532C20" w:rsidRDefault="79CE4C4B">
      <w:pPr>
        <w:pStyle w:val="ListBullet1"/>
        <w:numPr>
          <w:ilvl w:val="0"/>
          <w:numId w:val="4"/>
        </w:numPr>
        <w:spacing w:after="200"/>
        <w:rPr>
          <w:rFonts w:ascii="Times New Roman" w:hAnsi="Times New Roman" w:cs="Times New Roman"/>
          <w:noProof/>
          <w:color w:val="000000" w:themeColor="text1"/>
          <w:u w:val="single"/>
          <w:lang w:val="en-IE"/>
        </w:rPr>
      </w:pPr>
      <w:r w:rsidRPr="00532C20">
        <w:rPr>
          <w:rFonts w:ascii="Times New Roman" w:hAnsi="Times New Roman" w:cs="Times New Roman"/>
          <w:b/>
          <w:noProof/>
          <w:color w:val="000000" w:themeColor="text1"/>
          <w:u w:val="single"/>
          <w:lang w:val="en-IE"/>
        </w:rPr>
        <w:t>Organisation and timing</w:t>
      </w:r>
    </w:p>
    <w:p w14:paraId="1646954F" w14:textId="7941D200" w:rsidR="00572E5C" w:rsidRPr="00532C20" w:rsidRDefault="00572E5C" w:rsidP="004B0958">
      <w:pPr>
        <w:pStyle w:val="ListBullet1"/>
        <w:tabs>
          <w:tab w:val="num" w:pos="765"/>
        </w:tabs>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The Impact Assessment was prepared by DG JUST as the lead Directorate General.</w:t>
      </w:r>
    </w:p>
    <w:p w14:paraId="61552C20" w14:textId="2EEEB29A" w:rsidR="00093202" w:rsidRPr="00532C20" w:rsidRDefault="79CE4C4B" w:rsidP="004B0958">
      <w:pPr>
        <w:pStyle w:val="ListBullet1"/>
        <w:tabs>
          <w:tab w:val="num" w:pos="765"/>
        </w:tabs>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 xml:space="preserve">The Inter-Service Steering Group (ISSG) was set up in October 2022 under the coordination of the Secretariat-General and gathered representatives of the Legal Service, DG JRC (Joint Research Center), DG NEAR (Neighbourhood &amp; Enlargement Negotiations), DG HOME (Migration &amp; Home Affairs), DG GROW (Internal Market, Industry, Entrepreneurship &amp; SMEs), DG INTPA (International Partnerships), DG RTD (Research &amp; Innovation), DG </w:t>
      </w:r>
      <w:r w:rsidR="007E4838" w:rsidRPr="00532C20">
        <w:rPr>
          <w:rFonts w:ascii="Times New Roman" w:hAnsi="Times New Roman" w:cs="Times New Roman"/>
          <w:noProof/>
          <w:color w:val="000000" w:themeColor="text1"/>
          <w:szCs w:val="24"/>
          <w:lang w:val="en-IE"/>
        </w:rPr>
        <w:t>CNECT (Communications Network, Content &amp; Technology), DG COMP (Competition), DG EAC (Education, Youth, Sport and Culture)</w:t>
      </w:r>
      <w:r w:rsidRPr="00532C20">
        <w:rPr>
          <w:rFonts w:ascii="Times New Roman" w:hAnsi="Times New Roman" w:cs="Times New Roman"/>
          <w:noProof/>
          <w:color w:val="000000" w:themeColor="text1"/>
          <w:szCs w:val="24"/>
          <w:lang w:val="en-IE"/>
        </w:rPr>
        <w:t xml:space="preserve"> and the European External Action Ser</w:t>
      </w:r>
      <w:r w:rsidR="00AC5F38" w:rsidRPr="00532C20">
        <w:rPr>
          <w:rFonts w:ascii="Times New Roman" w:hAnsi="Times New Roman" w:cs="Times New Roman"/>
          <w:noProof/>
          <w:color w:val="000000" w:themeColor="text1"/>
          <w:szCs w:val="24"/>
          <w:lang w:val="en-IE"/>
        </w:rPr>
        <w:t>vice.</w:t>
      </w:r>
    </w:p>
    <w:p w14:paraId="336C0697" w14:textId="3CE40953" w:rsidR="00093202" w:rsidRPr="00532C20" w:rsidRDefault="79CE4C4B" w:rsidP="004B0958">
      <w:pPr>
        <w:pStyle w:val="ListBullet1"/>
        <w:tabs>
          <w:tab w:val="num" w:pos="765"/>
        </w:tabs>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 xml:space="preserve">The ISSG was consulted on the concept note, the consultation strategy, main legislative and non-legislative options and the interim and final </w:t>
      </w:r>
      <w:r w:rsidR="00ED4A2D">
        <w:rPr>
          <w:rFonts w:ascii="Times New Roman" w:hAnsi="Times New Roman" w:cs="Times New Roman"/>
          <w:noProof/>
          <w:color w:val="000000" w:themeColor="text1"/>
          <w:szCs w:val="24"/>
          <w:lang w:val="en-IE"/>
        </w:rPr>
        <w:t xml:space="preserve">reports of the </w:t>
      </w:r>
      <w:r w:rsidR="00D50EDC">
        <w:rPr>
          <w:rFonts w:ascii="Times New Roman" w:hAnsi="Times New Roman" w:cs="Times New Roman"/>
          <w:noProof/>
          <w:color w:val="000000" w:themeColor="text1"/>
          <w:szCs w:val="24"/>
          <w:lang w:val="en-IE"/>
        </w:rPr>
        <w:t xml:space="preserve">supporting </w:t>
      </w:r>
      <w:r w:rsidRPr="00532C20">
        <w:rPr>
          <w:rFonts w:ascii="Times New Roman" w:hAnsi="Times New Roman" w:cs="Times New Roman"/>
          <w:noProof/>
          <w:color w:val="000000" w:themeColor="text1"/>
          <w:szCs w:val="24"/>
          <w:lang w:val="en-IE"/>
        </w:rPr>
        <w:t xml:space="preserve">study. On a number of other deliverables, such as the questionnaire for the Open Public Consultation, services were consulted separately in writing. </w:t>
      </w:r>
    </w:p>
    <w:p w14:paraId="7E5A6858" w14:textId="77777777" w:rsidR="00263AE0" w:rsidRPr="00532C20" w:rsidRDefault="79CE4C4B" w:rsidP="004B0958">
      <w:pPr>
        <w:pStyle w:val="ListBullet1"/>
        <w:tabs>
          <w:tab w:val="num" w:pos="765"/>
        </w:tabs>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 xml:space="preserve">ISSG meetings, chaired by the Secretariat-General, were held on </w:t>
      </w:r>
      <w:r w:rsidR="0036090B" w:rsidRPr="00532C20">
        <w:rPr>
          <w:rFonts w:ascii="Times New Roman" w:hAnsi="Times New Roman" w:cs="Times New Roman"/>
          <w:noProof/>
          <w:color w:val="000000" w:themeColor="text1"/>
          <w:szCs w:val="24"/>
          <w:lang w:val="en-IE"/>
        </w:rPr>
        <w:t>10 October and</w:t>
      </w:r>
      <w:r w:rsidRPr="00532C20">
        <w:rPr>
          <w:rFonts w:ascii="Times New Roman" w:hAnsi="Times New Roman" w:cs="Times New Roman"/>
          <w:noProof/>
          <w:color w:val="000000" w:themeColor="text1"/>
          <w:szCs w:val="24"/>
          <w:lang w:val="en-IE"/>
        </w:rPr>
        <w:t xml:space="preserve"> </w:t>
      </w:r>
      <w:r w:rsidR="00DA1619" w:rsidRPr="00532C20">
        <w:rPr>
          <w:rFonts w:ascii="Times New Roman" w:hAnsi="Times New Roman" w:cs="Times New Roman"/>
          <w:noProof/>
          <w:color w:val="000000" w:themeColor="text1"/>
          <w:szCs w:val="24"/>
          <w:lang w:val="en-IE"/>
        </w:rPr>
        <w:t xml:space="preserve">30 November 2022, </w:t>
      </w:r>
      <w:r w:rsidR="006B7299" w:rsidRPr="00532C20">
        <w:rPr>
          <w:rFonts w:ascii="Times New Roman" w:hAnsi="Times New Roman" w:cs="Times New Roman"/>
          <w:noProof/>
          <w:color w:val="000000" w:themeColor="text1"/>
          <w:szCs w:val="24"/>
          <w:lang w:val="en-IE"/>
        </w:rPr>
        <w:t>31 March, 26 September</w:t>
      </w:r>
      <w:r w:rsidR="00263AE0" w:rsidRPr="00532C20">
        <w:rPr>
          <w:rFonts w:ascii="Times New Roman" w:hAnsi="Times New Roman" w:cs="Times New Roman"/>
          <w:noProof/>
          <w:color w:val="000000" w:themeColor="text1"/>
          <w:szCs w:val="24"/>
          <w:lang w:val="en-IE"/>
        </w:rPr>
        <w:t xml:space="preserve"> 2023.</w:t>
      </w:r>
      <w:r w:rsidR="006B7299" w:rsidRPr="00532C20">
        <w:rPr>
          <w:rFonts w:ascii="Times New Roman" w:hAnsi="Times New Roman" w:cs="Times New Roman"/>
          <w:noProof/>
          <w:color w:val="000000" w:themeColor="text1"/>
          <w:szCs w:val="24"/>
          <w:lang w:val="en-IE"/>
        </w:rPr>
        <w:t xml:space="preserve"> </w:t>
      </w:r>
    </w:p>
    <w:p w14:paraId="31FAA488" w14:textId="4DE70281" w:rsidR="005275EC" w:rsidRPr="00532C20" w:rsidRDefault="005275EC" w:rsidP="0DBCA8BB">
      <w:pPr>
        <w:pStyle w:val="ListBullet1"/>
        <w:tabs>
          <w:tab w:val="num" w:pos="765"/>
        </w:tabs>
        <w:rPr>
          <w:rFonts w:ascii="Times New Roman" w:hAnsi="Times New Roman" w:cs="Times New Roman"/>
          <w:noProof/>
          <w:color w:val="000000" w:themeColor="text1"/>
          <w:lang w:val="en-IE"/>
        </w:rPr>
      </w:pPr>
      <w:r w:rsidRPr="00532C20">
        <w:rPr>
          <w:rFonts w:ascii="Times New Roman" w:hAnsi="Times New Roman" w:cs="Times New Roman"/>
          <w:noProof/>
          <w:color w:val="000000" w:themeColor="text1"/>
          <w:lang w:val="en-IE"/>
        </w:rPr>
        <w:t>The last meeting of the ISSG, chaired by the Secretariat-General of the European Commission was held on 5 October 2023.</w:t>
      </w:r>
    </w:p>
    <w:p w14:paraId="3D79D1C6" w14:textId="151B3A67" w:rsidR="002D6DC7" w:rsidRPr="00532C20" w:rsidRDefault="002D6DC7" w:rsidP="002D6DC7">
      <w:pPr>
        <w:pStyle w:val="ListBullet1"/>
        <w:numPr>
          <w:ilvl w:val="0"/>
          <w:numId w:val="4"/>
        </w:numPr>
        <w:rPr>
          <w:rFonts w:ascii="Times New Roman" w:hAnsi="Times New Roman" w:cs="Times New Roman"/>
          <w:b/>
          <w:bCs/>
          <w:noProof/>
          <w:color w:val="000000" w:themeColor="text1"/>
          <w:lang w:val="en-IE"/>
        </w:rPr>
      </w:pPr>
      <w:r w:rsidRPr="00532C20">
        <w:rPr>
          <w:rFonts w:ascii="Times New Roman" w:hAnsi="Times New Roman" w:cs="Times New Roman"/>
          <w:b/>
          <w:bCs/>
          <w:noProof/>
          <w:color w:val="000000" w:themeColor="text1"/>
          <w:lang w:val="en-IE"/>
        </w:rPr>
        <w:t xml:space="preserve">Consultation of the RSB </w:t>
      </w:r>
    </w:p>
    <w:p w14:paraId="69E0FD4B" w14:textId="117C43FB" w:rsidR="002D6DC7" w:rsidRPr="00532C20" w:rsidRDefault="002D6DC7" w:rsidP="002D6DC7">
      <w:pPr>
        <w:pStyle w:val="ListBullet1"/>
        <w:rPr>
          <w:rFonts w:ascii="Times New Roman" w:hAnsi="Times New Roman" w:cs="Times New Roman"/>
          <w:noProof/>
          <w:color w:val="000000" w:themeColor="text1"/>
          <w:lang w:val="en-IE"/>
        </w:rPr>
      </w:pPr>
      <w:r w:rsidRPr="00532C20">
        <w:rPr>
          <w:rFonts w:ascii="Times New Roman" w:hAnsi="Times New Roman" w:cs="Times New Roman"/>
          <w:noProof/>
          <w:color w:val="000000" w:themeColor="text1"/>
          <w:lang w:val="en-IE"/>
        </w:rPr>
        <w:t xml:space="preserve">An upstream meeting took place on </w:t>
      </w:r>
      <w:r w:rsidR="005847D9" w:rsidRPr="00532C20">
        <w:rPr>
          <w:rFonts w:ascii="Times New Roman" w:hAnsi="Times New Roman" w:cs="Times New Roman"/>
          <w:noProof/>
          <w:color w:val="000000" w:themeColor="text1"/>
          <w:lang w:val="en-IE"/>
        </w:rPr>
        <w:t>18</w:t>
      </w:r>
      <w:r w:rsidRPr="00532C20">
        <w:rPr>
          <w:rFonts w:ascii="Times New Roman" w:hAnsi="Times New Roman" w:cs="Times New Roman"/>
          <w:noProof/>
          <w:color w:val="000000" w:themeColor="text1"/>
          <w:lang w:val="en-IE"/>
        </w:rPr>
        <w:t xml:space="preserve"> </w:t>
      </w:r>
      <w:r w:rsidR="005847D9" w:rsidRPr="00532C20">
        <w:rPr>
          <w:rFonts w:ascii="Times New Roman" w:hAnsi="Times New Roman" w:cs="Times New Roman"/>
          <w:noProof/>
          <w:color w:val="000000" w:themeColor="text1"/>
          <w:lang w:val="en-IE"/>
        </w:rPr>
        <w:t>September</w:t>
      </w:r>
      <w:r w:rsidRPr="00532C20">
        <w:rPr>
          <w:rFonts w:ascii="Times New Roman" w:hAnsi="Times New Roman" w:cs="Times New Roman"/>
          <w:noProof/>
          <w:color w:val="000000" w:themeColor="text1"/>
          <w:lang w:val="en-IE"/>
        </w:rPr>
        <w:t xml:space="preserve"> </w:t>
      </w:r>
      <w:r w:rsidR="005847D9" w:rsidRPr="00532C20">
        <w:rPr>
          <w:rFonts w:ascii="Times New Roman" w:hAnsi="Times New Roman" w:cs="Times New Roman"/>
          <w:noProof/>
          <w:color w:val="000000" w:themeColor="text1"/>
          <w:lang w:val="en-IE"/>
        </w:rPr>
        <w:t>2023</w:t>
      </w:r>
      <w:r w:rsidRPr="00532C20">
        <w:rPr>
          <w:rFonts w:ascii="Times New Roman" w:hAnsi="Times New Roman" w:cs="Times New Roman"/>
          <w:noProof/>
          <w:color w:val="000000" w:themeColor="text1"/>
          <w:lang w:val="en-IE"/>
        </w:rPr>
        <w:t xml:space="preserve"> and the recommendations of the Regulatory Scrutiny Board were duly taken into account. </w:t>
      </w:r>
    </w:p>
    <w:p w14:paraId="0798876C" w14:textId="03F105B7" w:rsidR="002D6DC7" w:rsidRPr="00532C20" w:rsidRDefault="002D6DC7" w:rsidP="002D6DC7">
      <w:pPr>
        <w:pStyle w:val="ListBullet1"/>
        <w:rPr>
          <w:rFonts w:ascii="Times New Roman" w:hAnsi="Times New Roman" w:cs="Times New Roman"/>
          <w:noProof/>
          <w:color w:val="000000" w:themeColor="text1"/>
          <w:lang w:val="en-IE"/>
        </w:rPr>
      </w:pPr>
      <w:r w:rsidRPr="00532C20">
        <w:rPr>
          <w:rFonts w:ascii="Times New Roman" w:hAnsi="Times New Roman" w:cs="Times New Roman"/>
          <w:noProof/>
          <w:color w:val="000000" w:themeColor="text1"/>
          <w:lang w:val="en-IE"/>
        </w:rPr>
        <w:t xml:space="preserve">The Regulatory Scrutiny Board discussed the draft impact assessment in the hearing that took place on </w:t>
      </w:r>
      <w:r w:rsidR="005847D9" w:rsidRPr="00532C20">
        <w:rPr>
          <w:rFonts w:ascii="Times New Roman" w:hAnsi="Times New Roman" w:cs="Times New Roman"/>
          <w:noProof/>
          <w:color w:val="000000" w:themeColor="text1"/>
          <w:lang w:val="en-IE"/>
        </w:rPr>
        <w:t>15</w:t>
      </w:r>
      <w:r w:rsidRPr="00532C20">
        <w:rPr>
          <w:rFonts w:ascii="Times New Roman" w:hAnsi="Times New Roman" w:cs="Times New Roman"/>
          <w:noProof/>
          <w:color w:val="000000" w:themeColor="text1"/>
          <w:lang w:val="en-IE"/>
        </w:rPr>
        <w:t xml:space="preserve"> </w:t>
      </w:r>
      <w:r w:rsidR="005847D9" w:rsidRPr="00532C20">
        <w:rPr>
          <w:rFonts w:ascii="Times New Roman" w:hAnsi="Times New Roman" w:cs="Times New Roman"/>
          <w:noProof/>
          <w:color w:val="000000" w:themeColor="text1"/>
          <w:lang w:val="en-IE"/>
        </w:rPr>
        <w:t>November</w:t>
      </w:r>
      <w:r w:rsidRPr="00532C20">
        <w:rPr>
          <w:rFonts w:ascii="Times New Roman" w:hAnsi="Times New Roman" w:cs="Times New Roman"/>
          <w:noProof/>
          <w:color w:val="000000" w:themeColor="text1"/>
          <w:lang w:val="en-IE"/>
        </w:rPr>
        <w:t xml:space="preserve"> 202</w:t>
      </w:r>
      <w:r w:rsidR="005847D9" w:rsidRPr="00532C20">
        <w:rPr>
          <w:rFonts w:ascii="Times New Roman" w:hAnsi="Times New Roman" w:cs="Times New Roman"/>
          <w:noProof/>
          <w:color w:val="000000" w:themeColor="text1"/>
          <w:lang w:val="en-IE"/>
        </w:rPr>
        <w:t>3</w:t>
      </w:r>
      <w:r w:rsidRPr="00532C20">
        <w:rPr>
          <w:rFonts w:ascii="Times New Roman" w:hAnsi="Times New Roman" w:cs="Times New Roman"/>
          <w:noProof/>
          <w:color w:val="000000" w:themeColor="text1"/>
          <w:lang w:val="en-IE"/>
        </w:rPr>
        <w:t>.</w:t>
      </w:r>
    </w:p>
    <w:p w14:paraId="487ABAC5" w14:textId="2B011B80" w:rsidR="002D6DC7" w:rsidRPr="00532C20" w:rsidRDefault="002D6DC7" w:rsidP="002D6DC7">
      <w:pPr>
        <w:pStyle w:val="ListBullet1"/>
        <w:rPr>
          <w:rFonts w:ascii="Times New Roman" w:hAnsi="Times New Roman" w:cs="Times New Roman"/>
          <w:noProof/>
          <w:color w:val="000000" w:themeColor="text1"/>
          <w:lang w:val="en-IE"/>
        </w:rPr>
      </w:pPr>
      <w:r w:rsidRPr="00532C20">
        <w:rPr>
          <w:rFonts w:ascii="Times New Roman" w:hAnsi="Times New Roman" w:cs="Times New Roman"/>
          <w:noProof/>
          <w:color w:val="000000" w:themeColor="text1"/>
          <w:lang w:val="en-IE"/>
        </w:rPr>
        <w:t xml:space="preserve">The Board issued a positive opinion </w:t>
      </w:r>
      <w:r w:rsidR="005847D9" w:rsidRPr="00532C20">
        <w:rPr>
          <w:rFonts w:ascii="Times New Roman" w:hAnsi="Times New Roman" w:cs="Times New Roman"/>
          <w:noProof/>
          <w:color w:val="000000" w:themeColor="text1"/>
          <w:lang w:val="en-IE"/>
        </w:rPr>
        <w:t xml:space="preserve">with reservations </w:t>
      </w:r>
      <w:r w:rsidRPr="00532C20">
        <w:rPr>
          <w:rFonts w:ascii="Times New Roman" w:hAnsi="Times New Roman" w:cs="Times New Roman"/>
          <w:noProof/>
          <w:color w:val="000000" w:themeColor="text1"/>
          <w:lang w:val="en-IE"/>
        </w:rPr>
        <w:t xml:space="preserve">on the draft impact assessment. The Board’s recommendations have been </w:t>
      </w:r>
      <w:r w:rsidR="00B02B5B" w:rsidRPr="00532C20">
        <w:rPr>
          <w:rFonts w:ascii="Times New Roman" w:hAnsi="Times New Roman" w:cs="Times New Roman"/>
          <w:noProof/>
          <w:color w:val="000000" w:themeColor="text1"/>
          <w:lang w:val="en-IE"/>
        </w:rPr>
        <w:t>taken</w:t>
      </w:r>
      <w:r w:rsidRPr="00532C20">
        <w:rPr>
          <w:rFonts w:ascii="Times New Roman" w:hAnsi="Times New Roman" w:cs="Times New Roman"/>
          <w:noProof/>
          <w:color w:val="000000" w:themeColor="text1"/>
          <w:lang w:val="en-IE"/>
        </w:rPr>
        <w:t xml:space="preserve"> into account in the Impact Assessment, as the table below displays. </w:t>
      </w:r>
    </w:p>
    <w:tbl>
      <w:tblPr>
        <w:tblStyle w:val="TableGrid"/>
        <w:tblW w:w="0" w:type="auto"/>
        <w:tblLook w:val="04A0" w:firstRow="1" w:lastRow="0" w:firstColumn="1" w:lastColumn="0" w:noHBand="0" w:noVBand="1"/>
      </w:tblPr>
      <w:tblGrid>
        <w:gridCol w:w="4508"/>
        <w:gridCol w:w="4508"/>
      </w:tblGrid>
      <w:tr w:rsidR="004678BB" w:rsidRPr="00532C20" w14:paraId="33C263F8" w14:textId="77777777" w:rsidTr="004678BB">
        <w:tc>
          <w:tcPr>
            <w:tcW w:w="4508" w:type="dxa"/>
          </w:tcPr>
          <w:p w14:paraId="33EC0E54" w14:textId="37D9B89D" w:rsidR="004678BB" w:rsidRPr="00532C20" w:rsidRDefault="006D5196" w:rsidP="002D6DC7">
            <w:pPr>
              <w:pStyle w:val="ListBullet1"/>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Opinion of the Board</w:t>
            </w:r>
          </w:p>
        </w:tc>
        <w:tc>
          <w:tcPr>
            <w:tcW w:w="4508" w:type="dxa"/>
          </w:tcPr>
          <w:p w14:paraId="01EE731A" w14:textId="08B17D38" w:rsidR="004678BB" w:rsidRPr="00532C20" w:rsidRDefault="00BA138E" w:rsidP="002D6DC7">
            <w:pPr>
              <w:pStyle w:val="ListBullet1"/>
              <w:rPr>
                <w:rFonts w:ascii="Times New Roman" w:hAnsi="Times New Roman" w:cs="Times New Roman"/>
                <w:noProof/>
                <w:color w:val="000000" w:themeColor="text1"/>
                <w:lang w:val="en-IE"/>
              </w:rPr>
            </w:pPr>
            <w:r w:rsidRPr="00532C20">
              <w:rPr>
                <w:rFonts w:ascii="Times New Roman" w:hAnsi="Times New Roman" w:cs="Times New Roman"/>
                <w:noProof/>
                <w:color w:val="000000" w:themeColor="text1"/>
                <w:lang w:val="en-IE"/>
              </w:rPr>
              <w:t>Implementation</w:t>
            </w:r>
          </w:p>
        </w:tc>
      </w:tr>
      <w:tr w:rsidR="004678BB" w:rsidRPr="00532C20" w14:paraId="0D4BABED" w14:textId="77777777" w:rsidTr="004678BB">
        <w:tc>
          <w:tcPr>
            <w:tcW w:w="4508" w:type="dxa"/>
          </w:tcPr>
          <w:p w14:paraId="7E6C95E3" w14:textId="52574963" w:rsidR="004678BB" w:rsidRPr="00532C20" w:rsidRDefault="004C4312" w:rsidP="002D6DC7">
            <w:pPr>
              <w:pStyle w:val="ListBullet1"/>
              <w:rPr>
                <w:rFonts w:ascii="Times New Roman" w:hAnsi="Times New Roman" w:cs="Times New Roman"/>
                <w:noProof/>
                <w:color w:val="000000" w:themeColor="text1"/>
                <w:lang w:val="en-IE"/>
              </w:rPr>
            </w:pPr>
            <w:r w:rsidRPr="00532C20">
              <w:rPr>
                <w:rFonts w:ascii="Times New Roman" w:hAnsi="Times New Roman" w:cs="Times New Roman"/>
                <w:noProof/>
                <w:color w:val="000000" w:themeColor="text1"/>
                <w:lang w:val="en-IE"/>
              </w:rPr>
              <w:t xml:space="preserve">The report should provide a coherent and unambiguous narrative for this initiative focusing on legal interest representation services on behalf of third countries in the internal market of EU. The assessment should more precisely identify the gaps this initiative intends to fill and how it articulates with the wider set of initiatives on the defence of democracy. The report should provide a clear scope for the EU action, especially in terms of activities and organisations to be regulated. It should make it clear that the initiative covers legal activities.  </w:t>
            </w:r>
          </w:p>
        </w:tc>
        <w:tc>
          <w:tcPr>
            <w:tcW w:w="4508" w:type="dxa"/>
          </w:tcPr>
          <w:p w14:paraId="26BF206D" w14:textId="5A92A9E3" w:rsidR="004678BB" w:rsidRPr="00532C20" w:rsidRDefault="00B030BF" w:rsidP="002D6DC7">
            <w:pPr>
              <w:pStyle w:val="ListBullet1"/>
              <w:rPr>
                <w:rFonts w:ascii="Times New Roman" w:hAnsi="Times New Roman" w:cs="Times New Roman"/>
                <w:noProof/>
                <w:color w:val="000000" w:themeColor="text1"/>
                <w:lang w:val="en-IE"/>
              </w:rPr>
            </w:pPr>
            <w:r w:rsidRPr="00532C20">
              <w:rPr>
                <w:rFonts w:ascii="Times New Roman" w:hAnsi="Times New Roman" w:cs="Times New Roman"/>
                <w:noProof/>
                <w:color w:val="000000" w:themeColor="text1"/>
                <w:lang w:val="en-IE"/>
              </w:rPr>
              <w:t>T</w:t>
            </w:r>
            <w:r w:rsidR="000A5A68" w:rsidRPr="00532C20">
              <w:rPr>
                <w:rFonts w:ascii="Times New Roman" w:hAnsi="Times New Roman" w:cs="Times New Roman"/>
                <w:noProof/>
                <w:color w:val="000000" w:themeColor="text1"/>
                <w:lang w:val="en-IE"/>
              </w:rPr>
              <w:t>he i</w:t>
            </w:r>
            <w:r w:rsidR="000A5A68" w:rsidRPr="00532C20">
              <w:rPr>
                <w:noProof/>
                <w:color w:val="000000" w:themeColor="text1"/>
                <w:lang w:val="en-IE"/>
              </w:rPr>
              <w:t xml:space="preserve">ntroduction and the </w:t>
            </w:r>
            <w:r w:rsidRPr="00532C20">
              <w:rPr>
                <w:noProof/>
                <w:color w:val="000000" w:themeColor="text1"/>
                <w:lang w:val="en-IE"/>
              </w:rPr>
              <w:t>d</w:t>
            </w:r>
            <w:r w:rsidR="00937A70" w:rsidRPr="00532C20">
              <w:rPr>
                <w:noProof/>
                <w:color w:val="000000" w:themeColor="text1"/>
                <w:lang w:val="en-IE"/>
              </w:rPr>
              <w:t>escription of options section</w:t>
            </w:r>
            <w:r w:rsidR="0020326D" w:rsidRPr="00532C20">
              <w:rPr>
                <w:noProof/>
                <w:color w:val="000000" w:themeColor="text1"/>
                <w:lang w:val="en-IE"/>
              </w:rPr>
              <w:t>s</w:t>
            </w:r>
            <w:r w:rsidR="00937A70" w:rsidRPr="00532C20">
              <w:rPr>
                <w:noProof/>
                <w:color w:val="000000" w:themeColor="text1"/>
                <w:lang w:val="en-IE"/>
              </w:rPr>
              <w:t xml:space="preserve"> have been updated to </w:t>
            </w:r>
            <w:r w:rsidR="000A5A68" w:rsidRPr="00532C20">
              <w:rPr>
                <w:rFonts w:ascii="Times New Roman" w:hAnsi="Times New Roman" w:cs="Times New Roman"/>
                <w:noProof/>
                <w:color w:val="000000" w:themeColor="text1"/>
                <w:lang w:val="en-IE"/>
              </w:rPr>
              <w:t xml:space="preserve">provide a </w:t>
            </w:r>
            <w:r w:rsidRPr="00532C20">
              <w:rPr>
                <w:rFonts w:ascii="Times New Roman" w:hAnsi="Times New Roman" w:cs="Times New Roman"/>
                <w:noProof/>
                <w:color w:val="000000" w:themeColor="text1"/>
                <w:lang w:val="en-IE"/>
              </w:rPr>
              <w:t xml:space="preserve">clearer </w:t>
            </w:r>
            <w:r w:rsidR="000A5A68" w:rsidRPr="00532C20">
              <w:rPr>
                <w:rFonts w:ascii="Times New Roman" w:hAnsi="Times New Roman" w:cs="Times New Roman"/>
                <w:noProof/>
                <w:color w:val="000000" w:themeColor="text1"/>
                <w:lang w:val="en-IE"/>
              </w:rPr>
              <w:t>narrative for this initiative focusing on legal interest representation services on behalf of third countries in the internal market of EU.</w:t>
            </w:r>
            <w:r w:rsidR="00AC3DEA" w:rsidRPr="00532C20">
              <w:rPr>
                <w:rFonts w:ascii="Times New Roman" w:hAnsi="Times New Roman" w:cs="Times New Roman"/>
                <w:noProof/>
                <w:color w:val="000000" w:themeColor="text1"/>
                <w:lang w:val="en-IE"/>
              </w:rPr>
              <w:t xml:space="preserve"> </w:t>
            </w:r>
            <w:r w:rsidR="00A00E29" w:rsidRPr="00532C20">
              <w:rPr>
                <w:rFonts w:ascii="Times New Roman" w:hAnsi="Times New Roman" w:cs="Times New Roman"/>
                <w:noProof/>
                <w:color w:val="000000" w:themeColor="text1"/>
                <w:lang w:val="en-IE"/>
              </w:rPr>
              <w:t xml:space="preserve">The impact assessment </w:t>
            </w:r>
            <w:r w:rsidR="00725DCF" w:rsidRPr="00532C20">
              <w:rPr>
                <w:rFonts w:ascii="Times New Roman" w:hAnsi="Times New Roman" w:cs="Times New Roman"/>
                <w:noProof/>
                <w:color w:val="000000" w:themeColor="text1"/>
                <w:lang w:val="en-IE"/>
              </w:rPr>
              <w:t>clarifies</w:t>
            </w:r>
            <w:r w:rsidR="00A20D41" w:rsidRPr="00532C20">
              <w:rPr>
                <w:rFonts w:ascii="Times New Roman" w:hAnsi="Times New Roman" w:cs="Times New Roman"/>
                <w:noProof/>
                <w:color w:val="000000" w:themeColor="text1"/>
                <w:lang w:val="en-IE"/>
              </w:rPr>
              <w:t xml:space="preserve"> in the baseline</w:t>
            </w:r>
            <w:r w:rsidR="002C7CA4" w:rsidRPr="00532C20">
              <w:rPr>
                <w:rFonts w:ascii="Times New Roman" w:hAnsi="Times New Roman" w:cs="Times New Roman"/>
                <w:noProof/>
                <w:color w:val="000000" w:themeColor="text1"/>
                <w:lang w:val="en-IE"/>
              </w:rPr>
              <w:t xml:space="preserve"> </w:t>
            </w:r>
            <w:r w:rsidR="00AB78D2" w:rsidRPr="00532C20">
              <w:rPr>
                <w:rFonts w:ascii="Times New Roman" w:hAnsi="Times New Roman" w:cs="Times New Roman"/>
                <w:noProof/>
                <w:color w:val="000000" w:themeColor="text1"/>
                <w:lang w:val="en-IE"/>
              </w:rPr>
              <w:t>how the initiative</w:t>
            </w:r>
            <w:r w:rsidR="00687B22" w:rsidRPr="00532C20">
              <w:rPr>
                <w:rFonts w:ascii="Times New Roman" w:hAnsi="Times New Roman" w:cs="Times New Roman"/>
                <w:noProof/>
                <w:color w:val="000000" w:themeColor="text1"/>
                <w:lang w:val="en-IE"/>
              </w:rPr>
              <w:t xml:space="preserve"> </w:t>
            </w:r>
            <w:r w:rsidR="000010CB" w:rsidRPr="00532C20">
              <w:rPr>
                <w:rFonts w:ascii="Times New Roman" w:hAnsi="Times New Roman" w:cs="Times New Roman"/>
                <w:noProof/>
                <w:color w:val="000000" w:themeColor="text1"/>
                <w:lang w:val="en-IE"/>
              </w:rPr>
              <w:t xml:space="preserve">relates to other </w:t>
            </w:r>
            <w:r w:rsidR="00F57B9C" w:rsidRPr="00532C20">
              <w:rPr>
                <w:rFonts w:ascii="Times New Roman" w:hAnsi="Times New Roman" w:cs="Times New Roman"/>
                <w:noProof/>
                <w:color w:val="000000" w:themeColor="text1"/>
                <w:lang w:val="en-IE"/>
              </w:rPr>
              <w:t>legislation and initiatives proposed in the context of</w:t>
            </w:r>
            <w:r w:rsidR="00F3501E" w:rsidRPr="00532C20">
              <w:rPr>
                <w:rFonts w:ascii="Times New Roman" w:hAnsi="Times New Roman" w:cs="Times New Roman"/>
                <w:noProof/>
                <w:color w:val="000000" w:themeColor="text1"/>
                <w:lang w:val="en-IE"/>
              </w:rPr>
              <w:t xml:space="preserve"> the Commission’s ambition to strengthen and defend democracy</w:t>
            </w:r>
            <w:r w:rsidR="00A20D41" w:rsidRPr="00532C20">
              <w:rPr>
                <w:rFonts w:ascii="Times New Roman" w:hAnsi="Times New Roman" w:cs="Times New Roman"/>
                <w:noProof/>
                <w:color w:val="000000" w:themeColor="text1"/>
                <w:lang w:val="en-IE"/>
              </w:rPr>
              <w:t xml:space="preserve">. </w:t>
            </w:r>
            <w:r w:rsidR="004A3B63" w:rsidRPr="00532C20">
              <w:rPr>
                <w:rFonts w:ascii="Times New Roman" w:hAnsi="Times New Roman" w:cs="Times New Roman"/>
                <w:noProof/>
                <w:color w:val="000000" w:themeColor="text1"/>
                <w:lang w:val="en-IE"/>
              </w:rPr>
              <w:t>The added value of the initiative was further highlighted</w:t>
            </w:r>
            <w:r w:rsidR="00832119" w:rsidRPr="00532C20">
              <w:rPr>
                <w:rFonts w:ascii="Times New Roman" w:hAnsi="Times New Roman" w:cs="Times New Roman"/>
                <w:noProof/>
                <w:color w:val="000000" w:themeColor="text1"/>
                <w:lang w:val="en-IE"/>
              </w:rPr>
              <w:t xml:space="preserve">. </w:t>
            </w:r>
            <w:r w:rsidR="002504CA" w:rsidRPr="00532C20">
              <w:rPr>
                <w:rFonts w:ascii="Times New Roman" w:hAnsi="Times New Roman" w:cs="Times New Roman"/>
                <w:noProof/>
                <w:color w:val="000000" w:themeColor="text1"/>
                <w:lang w:val="en-IE"/>
              </w:rPr>
              <w:t xml:space="preserve">The section on the policy options and the scope was </w:t>
            </w:r>
            <w:r w:rsidR="004F06CD" w:rsidRPr="00532C20">
              <w:rPr>
                <w:rFonts w:ascii="Times New Roman" w:hAnsi="Times New Roman" w:cs="Times New Roman"/>
                <w:noProof/>
                <w:color w:val="000000" w:themeColor="text1"/>
                <w:lang w:val="en-IE"/>
              </w:rPr>
              <w:t xml:space="preserve">modified in order to </w:t>
            </w:r>
            <w:r w:rsidR="00025632" w:rsidRPr="00532C20">
              <w:rPr>
                <w:rFonts w:ascii="Times New Roman" w:hAnsi="Times New Roman" w:cs="Times New Roman"/>
                <w:noProof/>
                <w:color w:val="000000" w:themeColor="text1"/>
                <w:lang w:val="en-IE"/>
              </w:rPr>
              <w:t>clarify that the initiative only covers legal activities, i.e. interest representation activities carried out on behalf of third countries</w:t>
            </w:r>
            <w:r w:rsidR="00541A5E" w:rsidRPr="00532C20">
              <w:rPr>
                <w:rFonts w:ascii="Times New Roman" w:hAnsi="Times New Roman" w:cs="Times New Roman"/>
                <w:noProof/>
                <w:color w:val="000000" w:themeColor="text1"/>
                <w:lang w:val="en-IE"/>
              </w:rPr>
              <w:t xml:space="preserve">, </w:t>
            </w:r>
            <w:r w:rsidR="00514782" w:rsidRPr="00532C20">
              <w:rPr>
                <w:rFonts w:ascii="Times New Roman" w:hAnsi="Times New Roman" w:cs="Times New Roman"/>
                <w:noProof/>
                <w:color w:val="000000" w:themeColor="text1"/>
                <w:lang w:val="en-IE"/>
              </w:rPr>
              <w:t xml:space="preserve">and that </w:t>
            </w:r>
            <w:r w:rsidR="00541A5E" w:rsidRPr="00532C20">
              <w:rPr>
                <w:rFonts w:ascii="Times New Roman" w:hAnsi="Times New Roman" w:cs="Times New Roman"/>
                <w:noProof/>
                <w:color w:val="000000" w:themeColor="text1"/>
                <w:lang w:val="en-IE"/>
              </w:rPr>
              <w:t>the</w:t>
            </w:r>
            <w:r w:rsidR="00052C6D" w:rsidRPr="00532C20">
              <w:rPr>
                <w:rFonts w:ascii="Times New Roman" w:hAnsi="Times New Roman" w:cs="Times New Roman"/>
                <w:noProof/>
                <w:color w:val="000000" w:themeColor="text1"/>
                <w:lang w:val="en-IE"/>
              </w:rPr>
              <w:t xml:space="preserve">re </w:t>
            </w:r>
            <w:r w:rsidR="00F3501E" w:rsidRPr="00532C20">
              <w:rPr>
                <w:rFonts w:ascii="Times New Roman" w:hAnsi="Times New Roman" w:cs="Times New Roman"/>
                <w:noProof/>
                <w:color w:val="000000" w:themeColor="text1"/>
                <w:lang w:val="en-IE"/>
              </w:rPr>
              <w:t xml:space="preserve">are </w:t>
            </w:r>
            <w:r w:rsidR="00052C6D" w:rsidRPr="00532C20">
              <w:rPr>
                <w:rFonts w:ascii="Times New Roman" w:hAnsi="Times New Roman" w:cs="Times New Roman"/>
                <w:noProof/>
                <w:color w:val="000000" w:themeColor="text1"/>
                <w:lang w:val="en-IE"/>
              </w:rPr>
              <w:t xml:space="preserve">limited, but clearly defined </w:t>
            </w:r>
            <w:r w:rsidR="00F3501E" w:rsidRPr="00532C20">
              <w:rPr>
                <w:rFonts w:ascii="Times New Roman" w:hAnsi="Times New Roman" w:cs="Times New Roman"/>
                <w:noProof/>
                <w:color w:val="000000" w:themeColor="text1"/>
                <w:lang w:val="en-IE"/>
              </w:rPr>
              <w:t>exceptions</w:t>
            </w:r>
            <w:r w:rsidR="006C3D47" w:rsidRPr="00532C20">
              <w:rPr>
                <w:rFonts w:ascii="Times New Roman" w:hAnsi="Times New Roman" w:cs="Times New Roman"/>
                <w:noProof/>
                <w:color w:val="000000" w:themeColor="text1"/>
                <w:lang w:val="en-IE"/>
              </w:rPr>
              <w:t xml:space="preserve"> with regard to the organisations and </w:t>
            </w:r>
            <w:r w:rsidR="00F21A3A" w:rsidRPr="00532C20">
              <w:rPr>
                <w:rFonts w:ascii="Times New Roman" w:hAnsi="Times New Roman" w:cs="Times New Roman"/>
                <w:noProof/>
                <w:color w:val="000000" w:themeColor="text1"/>
                <w:lang w:val="en-IE"/>
              </w:rPr>
              <w:t>activities that are covered</w:t>
            </w:r>
            <w:r w:rsidR="00514782" w:rsidRPr="00532C20">
              <w:rPr>
                <w:rFonts w:ascii="Times New Roman" w:hAnsi="Times New Roman" w:cs="Times New Roman"/>
                <w:noProof/>
                <w:color w:val="000000" w:themeColor="text1"/>
                <w:lang w:val="en-IE"/>
              </w:rPr>
              <w:t xml:space="preserve">. </w:t>
            </w:r>
            <w:r w:rsidR="00C16C0B" w:rsidRPr="00532C20">
              <w:rPr>
                <w:rFonts w:ascii="Times New Roman" w:hAnsi="Times New Roman" w:cs="Times New Roman"/>
                <w:noProof/>
                <w:color w:val="000000" w:themeColor="text1"/>
                <w:lang w:val="en-IE"/>
              </w:rPr>
              <w:t xml:space="preserve"> </w:t>
            </w:r>
            <w:r w:rsidR="0052224D" w:rsidRPr="00532C20">
              <w:rPr>
                <w:rFonts w:ascii="Times New Roman" w:hAnsi="Times New Roman" w:cs="Times New Roman"/>
                <w:noProof/>
                <w:color w:val="000000" w:themeColor="text1"/>
                <w:lang w:val="en-IE"/>
              </w:rPr>
              <w:t xml:space="preserve"> </w:t>
            </w:r>
          </w:p>
        </w:tc>
      </w:tr>
      <w:tr w:rsidR="004678BB" w:rsidRPr="00532C20" w14:paraId="70BB48AC" w14:textId="77777777" w:rsidTr="004678BB">
        <w:tc>
          <w:tcPr>
            <w:tcW w:w="4508" w:type="dxa"/>
          </w:tcPr>
          <w:p w14:paraId="2B0F4AA9" w14:textId="79A7321A" w:rsidR="004678BB" w:rsidRPr="00532C20" w:rsidRDefault="000A5A90" w:rsidP="002D6DC7">
            <w:pPr>
              <w:pStyle w:val="ListBullet1"/>
              <w:rPr>
                <w:rFonts w:ascii="Times New Roman" w:hAnsi="Times New Roman" w:cs="Times New Roman"/>
                <w:noProof/>
                <w:color w:val="000000" w:themeColor="text1"/>
                <w:lang w:val="en-IE"/>
              </w:rPr>
            </w:pPr>
            <w:r w:rsidRPr="00532C20">
              <w:rPr>
                <w:rFonts w:ascii="Times New Roman" w:hAnsi="Times New Roman" w:cs="Times New Roman"/>
                <w:noProof/>
                <w:color w:val="000000" w:themeColor="text1"/>
                <w:lang w:val="en-IE"/>
              </w:rPr>
              <w:t xml:space="preserve">The analysis should bring out more clearly the key policy choices of the policy options. The report should better explain how the various measures would work in practice. The assessment should better articulate the mitigation measures regarding potential issues of ‘stigmatisation’ of legitimate representation activities. It should elaborate in more detail on measures to avoid potential circumvention of the transparency rules for third country interest representation taking into account that “core funding” of relevant actors is not per se in scope of this initiative.  </w:t>
            </w:r>
          </w:p>
        </w:tc>
        <w:tc>
          <w:tcPr>
            <w:tcW w:w="4508" w:type="dxa"/>
          </w:tcPr>
          <w:p w14:paraId="04B00BA4" w14:textId="73D123B5" w:rsidR="00F5205A" w:rsidRPr="00532C20" w:rsidRDefault="00301A7B" w:rsidP="002D6DC7">
            <w:pPr>
              <w:pStyle w:val="ListBullet1"/>
              <w:rPr>
                <w:rFonts w:ascii="Times New Roman" w:hAnsi="Times New Roman" w:cs="Times New Roman"/>
                <w:noProof/>
                <w:color w:val="000000" w:themeColor="text1"/>
                <w:lang w:val="en-IE"/>
              </w:rPr>
            </w:pPr>
            <w:r w:rsidRPr="00532C20">
              <w:rPr>
                <w:rFonts w:ascii="Times New Roman" w:hAnsi="Times New Roman" w:cs="Times New Roman"/>
                <w:noProof/>
                <w:color w:val="000000" w:themeColor="text1"/>
                <w:lang w:val="en-IE"/>
              </w:rPr>
              <w:t xml:space="preserve">The description of policy option has been </w:t>
            </w:r>
            <w:r w:rsidR="005A79FF" w:rsidRPr="00532C20">
              <w:rPr>
                <w:rFonts w:ascii="Times New Roman" w:hAnsi="Times New Roman" w:cs="Times New Roman"/>
                <w:noProof/>
                <w:color w:val="000000" w:themeColor="text1"/>
                <w:lang w:val="en-IE"/>
              </w:rPr>
              <w:t>update</w:t>
            </w:r>
            <w:r w:rsidR="00C93C72" w:rsidRPr="00532C20">
              <w:rPr>
                <w:rFonts w:ascii="Times New Roman" w:hAnsi="Times New Roman" w:cs="Times New Roman"/>
                <w:noProof/>
                <w:color w:val="000000" w:themeColor="text1"/>
                <w:lang w:val="en-IE"/>
              </w:rPr>
              <w:t>d</w:t>
            </w:r>
            <w:r w:rsidR="005A79FF" w:rsidRPr="00532C20">
              <w:rPr>
                <w:rFonts w:ascii="Times New Roman" w:hAnsi="Times New Roman" w:cs="Times New Roman"/>
                <w:noProof/>
                <w:color w:val="000000" w:themeColor="text1"/>
                <w:lang w:val="en-IE"/>
              </w:rPr>
              <w:t xml:space="preserve"> </w:t>
            </w:r>
            <w:r w:rsidR="00266191" w:rsidRPr="00532C20">
              <w:rPr>
                <w:rFonts w:ascii="Times New Roman" w:hAnsi="Times New Roman" w:cs="Times New Roman"/>
                <w:noProof/>
                <w:color w:val="000000" w:themeColor="text1"/>
                <w:lang w:val="en-IE"/>
              </w:rPr>
              <w:t xml:space="preserve">and drafting has been improved to evidence </w:t>
            </w:r>
            <w:r w:rsidR="00C93C72" w:rsidRPr="00532C20">
              <w:rPr>
                <w:rFonts w:ascii="Times New Roman" w:hAnsi="Times New Roman" w:cs="Times New Roman"/>
                <w:noProof/>
                <w:color w:val="000000" w:themeColor="text1"/>
                <w:lang w:val="en-IE"/>
              </w:rPr>
              <w:t xml:space="preserve">the key </w:t>
            </w:r>
            <w:r w:rsidR="00266191" w:rsidRPr="00532C20">
              <w:rPr>
                <w:rFonts w:ascii="Times New Roman" w:hAnsi="Times New Roman" w:cs="Times New Roman"/>
                <w:noProof/>
                <w:color w:val="000000" w:themeColor="text1"/>
                <w:lang w:val="en-IE"/>
              </w:rPr>
              <w:t>policy choices</w:t>
            </w:r>
            <w:r w:rsidR="00C93C72" w:rsidRPr="00532C20">
              <w:rPr>
                <w:rFonts w:ascii="Times New Roman" w:hAnsi="Times New Roman" w:cs="Times New Roman"/>
                <w:noProof/>
                <w:color w:val="000000" w:themeColor="text1"/>
                <w:lang w:val="en-IE"/>
              </w:rPr>
              <w:t xml:space="preserve"> (targeted intervention or extended intervention)</w:t>
            </w:r>
            <w:r w:rsidR="00266191" w:rsidRPr="00532C20">
              <w:rPr>
                <w:rFonts w:ascii="Times New Roman" w:hAnsi="Times New Roman" w:cs="Times New Roman"/>
                <w:noProof/>
                <w:color w:val="000000" w:themeColor="text1"/>
                <w:lang w:val="en-IE"/>
              </w:rPr>
              <w:t xml:space="preserve">. A </w:t>
            </w:r>
            <w:r w:rsidRPr="00532C20">
              <w:rPr>
                <w:rFonts w:ascii="Times New Roman" w:hAnsi="Times New Roman" w:cs="Times New Roman"/>
                <w:noProof/>
                <w:color w:val="000000" w:themeColor="text1"/>
                <w:lang w:val="en-IE"/>
              </w:rPr>
              <w:t>chapter on discarded policy options has been added</w:t>
            </w:r>
            <w:r w:rsidR="00C93C72" w:rsidRPr="00532C20">
              <w:rPr>
                <w:rFonts w:ascii="Times New Roman" w:hAnsi="Times New Roman" w:cs="Times New Roman"/>
                <w:noProof/>
                <w:color w:val="000000" w:themeColor="text1"/>
                <w:lang w:val="en-IE"/>
              </w:rPr>
              <w:t xml:space="preserve"> to highlight options considered but not pursued further</w:t>
            </w:r>
            <w:r w:rsidRPr="00532C20">
              <w:rPr>
                <w:rFonts w:ascii="Times New Roman" w:hAnsi="Times New Roman" w:cs="Times New Roman"/>
                <w:noProof/>
                <w:color w:val="000000" w:themeColor="text1"/>
                <w:lang w:val="en-IE"/>
              </w:rPr>
              <w:t>.</w:t>
            </w:r>
            <w:r w:rsidR="00AC3DEA" w:rsidRPr="00532C20">
              <w:rPr>
                <w:rFonts w:ascii="Times New Roman" w:hAnsi="Times New Roman" w:cs="Times New Roman"/>
                <w:noProof/>
                <w:color w:val="000000" w:themeColor="text1"/>
                <w:lang w:val="en-IE"/>
              </w:rPr>
              <w:t xml:space="preserve"> </w:t>
            </w:r>
            <w:r w:rsidR="00EA2A2B" w:rsidRPr="00532C20">
              <w:rPr>
                <w:rFonts w:ascii="Times New Roman" w:hAnsi="Times New Roman" w:cs="Times New Roman"/>
                <w:noProof/>
                <w:color w:val="000000" w:themeColor="text1"/>
                <w:lang w:val="en-IE"/>
              </w:rPr>
              <w:t>The</w:t>
            </w:r>
            <w:r w:rsidR="00DF3D28" w:rsidRPr="00532C20">
              <w:rPr>
                <w:rFonts w:ascii="Times New Roman" w:hAnsi="Times New Roman" w:cs="Times New Roman"/>
                <w:noProof/>
                <w:color w:val="000000" w:themeColor="text1"/>
                <w:lang w:val="en-IE"/>
              </w:rPr>
              <w:t xml:space="preserve"> mitigation measures </w:t>
            </w:r>
            <w:r w:rsidR="003F3A31" w:rsidRPr="00532C20">
              <w:rPr>
                <w:rFonts w:ascii="Times New Roman" w:hAnsi="Times New Roman" w:cs="Times New Roman"/>
                <w:noProof/>
                <w:color w:val="000000" w:themeColor="text1"/>
                <w:lang w:val="en-IE"/>
              </w:rPr>
              <w:t>to reduce the risk of stigmatisation were further detailed in</w:t>
            </w:r>
            <w:r w:rsidR="00EA2A2B" w:rsidRPr="00532C20">
              <w:rPr>
                <w:rFonts w:ascii="Times New Roman" w:hAnsi="Times New Roman" w:cs="Times New Roman"/>
                <w:noProof/>
                <w:color w:val="000000" w:themeColor="text1"/>
                <w:lang w:val="en-IE"/>
              </w:rPr>
              <w:t xml:space="preserve"> the chapter on the impacts of the initiative on the freedom of association</w:t>
            </w:r>
            <w:r w:rsidR="006D333B" w:rsidRPr="00532C20">
              <w:rPr>
                <w:rFonts w:ascii="Times New Roman" w:hAnsi="Times New Roman" w:cs="Times New Roman"/>
                <w:noProof/>
                <w:color w:val="000000" w:themeColor="text1"/>
                <w:lang w:val="en-IE"/>
              </w:rPr>
              <w:t xml:space="preserve">. </w:t>
            </w:r>
            <w:r w:rsidR="008D5FBB" w:rsidRPr="00532C20">
              <w:rPr>
                <w:rFonts w:ascii="Times New Roman" w:hAnsi="Times New Roman" w:cs="Times New Roman"/>
                <w:noProof/>
                <w:color w:val="000000" w:themeColor="text1"/>
                <w:lang w:val="en-IE"/>
              </w:rPr>
              <w:t xml:space="preserve">The description of the policy options </w:t>
            </w:r>
            <w:r w:rsidR="00FE1AC8" w:rsidRPr="00532C20">
              <w:rPr>
                <w:rFonts w:ascii="Times New Roman" w:hAnsi="Times New Roman" w:cs="Times New Roman"/>
                <w:noProof/>
                <w:color w:val="000000" w:themeColor="text1"/>
                <w:lang w:val="en-IE"/>
              </w:rPr>
              <w:t xml:space="preserve">(section 5.3) </w:t>
            </w:r>
            <w:r w:rsidR="00636689" w:rsidRPr="00532C20">
              <w:rPr>
                <w:rFonts w:ascii="Times New Roman" w:hAnsi="Times New Roman" w:cs="Times New Roman"/>
                <w:noProof/>
                <w:color w:val="000000" w:themeColor="text1"/>
                <w:lang w:val="en-IE"/>
              </w:rPr>
              <w:t xml:space="preserve">explains better </w:t>
            </w:r>
            <w:r w:rsidR="00AB6808" w:rsidRPr="00532C20">
              <w:rPr>
                <w:rFonts w:ascii="Times New Roman" w:hAnsi="Times New Roman" w:cs="Times New Roman"/>
                <w:noProof/>
                <w:color w:val="000000" w:themeColor="text1"/>
                <w:lang w:val="en-IE"/>
              </w:rPr>
              <w:t>why core funding is</w:t>
            </w:r>
            <w:r w:rsidR="00A57538" w:rsidRPr="00532C20">
              <w:rPr>
                <w:rFonts w:ascii="Times New Roman" w:hAnsi="Times New Roman" w:cs="Times New Roman"/>
                <w:noProof/>
                <w:color w:val="000000" w:themeColor="text1"/>
                <w:lang w:val="en-IE"/>
              </w:rPr>
              <w:t xml:space="preserve"> not per se in the scope </w:t>
            </w:r>
            <w:r w:rsidR="005803B2" w:rsidRPr="00532C20">
              <w:rPr>
                <w:rFonts w:ascii="Times New Roman" w:hAnsi="Times New Roman" w:cs="Times New Roman"/>
                <w:noProof/>
                <w:color w:val="000000" w:themeColor="text1"/>
                <w:lang w:val="en-IE"/>
              </w:rPr>
              <w:t xml:space="preserve">of the initiative and </w:t>
            </w:r>
            <w:r w:rsidR="00914CFA" w:rsidRPr="00532C20">
              <w:rPr>
                <w:rFonts w:ascii="Times New Roman" w:hAnsi="Times New Roman" w:cs="Times New Roman"/>
                <w:noProof/>
                <w:color w:val="000000" w:themeColor="text1"/>
                <w:lang w:val="en-IE"/>
              </w:rPr>
              <w:t>how</w:t>
            </w:r>
            <w:r w:rsidR="00C93301" w:rsidRPr="00532C20">
              <w:rPr>
                <w:rFonts w:ascii="Times New Roman" w:hAnsi="Times New Roman" w:cs="Times New Roman"/>
                <w:noProof/>
                <w:color w:val="000000" w:themeColor="text1"/>
                <w:lang w:val="en-IE"/>
              </w:rPr>
              <w:t xml:space="preserve"> national supervisory authorities </w:t>
            </w:r>
            <w:r w:rsidR="00914CFA" w:rsidRPr="00532C20">
              <w:rPr>
                <w:rFonts w:ascii="Times New Roman" w:hAnsi="Times New Roman" w:cs="Times New Roman"/>
                <w:noProof/>
                <w:color w:val="000000" w:themeColor="text1"/>
                <w:lang w:val="en-IE"/>
              </w:rPr>
              <w:t xml:space="preserve">shall prevent </w:t>
            </w:r>
            <w:r w:rsidR="00E01D2C" w:rsidRPr="00532C20">
              <w:rPr>
                <w:rFonts w:ascii="Times New Roman" w:hAnsi="Times New Roman" w:cs="Times New Roman"/>
                <w:noProof/>
                <w:color w:val="000000" w:themeColor="text1"/>
                <w:lang w:val="en-IE"/>
              </w:rPr>
              <w:t>that contributions to the core funding of entities are used to circumvent</w:t>
            </w:r>
            <w:r w:rsidR="00CC29D7" w:rsidRPr="00532C20">
              <w:rPr>
                <w:rFonts w:ascii="Times New Roman" w:hAnsi="Times New Roman" w:cs="Times New Roman"/>
                <w:noProof/>
                <w:color w:val="000000" w:themeColor="text1"/>
                <w:lang w:val="en-IE"/>
              </w:rPr>
              <w:t xml:space="preserve"> the transparency rules. </w:t>
            </w:r>
            <w:r w:rsidR="00EB36B4" w:rsidRPr="00532C20">
              <w:rPr>
                <w:rFonts w:ascii="Times New Roman" w:hAnsi="Times New Roman" w:cs="Times New Roman"/>
                <w:noProof/>
                <w:color w:val="000000" w:themeColor="text1"/>
                <w:lang w:val="en-IE"/>
              </w:rPr>
              <w:t xml:space="preserve"> </w:t>
            </w:r>
          </w:p>
        </w:tc>
      </w:tr>
      <w:tr w:rsidR="004678BB" w:rsidRPr="00532C20" w14:paraId="318C60D8" w14:textId="77777777" w:rsidTr="004678BB">
        <w:tc>
          <w:tcPr>
            <w:tcW w:w="4508" w:type="dxa"/>
          </w:tcPr>
          <w:p w14:paraId="1D36F006" w14:textId="77777777" w:rsidR="00944026" w:rsidRPr="00532C20" w:rsidRDefault="00944026" w:rsidP="00582553">
            <w:pPr>
              <w:spacing w:after="160" w:line="259" w:lineRule="auto"/>
              <w:jc w:val="both"/>
              <w:rPr>
                <w:rFonts w:ascii="Times New Roman" w:hAnsi="Times New Roman" w:cs="Times New Roman"/>
                <w:noProof/>
              </w:rPr>
            </w:pPr>
            <w:r w:rsidRPr="00532C20">
              <w:rPr>
                <w:rFonts w:ascii="Times New Roman" w:eastAsiaTheme="minorHAnsi" w:hAnsi="Times New Roman" w:cs="Times New Roman"/>
                <w:noProof/>
                <w:sz w:val="24"/>
                <w:szCs w:val="24"/>
                <w:lang w:eastAsia="en-US"/>
              </w:rPr>
              <w:t xml:space="preserve">The impacts of the different policy options should be adequately differentiated, in particular as regards a realistic evaluation of the degree of take up of the various policy measures in case of a recommendation. The report should better explain how the potential sanctions would work and how effective they could be. </w:t>
            </w:r>
          </w:p>
          <w:p w14:paraId="5BDFF43B" w14:textId="77777777" w:rsidR="004678BB" w:rsidRPr="00532C20" w:rsidRDefault="004678BB" w:rsidP="002D6DC7">
            <w:pPr>
              <w:pStyle w:val="ListBullet1"/>
              <w:rPr>
                <w:rFonts w:ascii="Times New Roman" w:hAnsi="Times New Roman" w:cs="Times New Roman"/>
                <w:noProof/>
                <w:color w:val="000000" w:themeColor="text1"/>
                <w:lang w:val="en-IE"/>
              </w:rPr>
            </w:pPr>
          </w:p>
        </w:tc>
        <w:tc>
          <w:tcPr>
            <w:tcW w:w="4508" w:type="dxa"/>
          </w:tcPr>
          <w:p w14:paraId="3F4249DB" w14:textId="6DBEDB8F" w:rsidR="0082161E" w:rsidRPr="00532C20" w:rsidRDefault="0082161E" w:rsidP="002D6DC7">
            <w:pPr>
              <w:pStyle w:val="ListBullet1"/>
              <w:rPr>
                <w:rFonts w:ascii="Times New Roman" w:hAnsi="Times New Roman" w:cs="Times New Roman"/>
                <w:noProof/>
                <w:color w:val="000000" w:themeColor="text1"/>
                <w:lang w:val="en-IE"/>
              </w:rPr>
            </w:pPr>
            <w:r w:rsidRPr="00532C20">
              <w:rPr>
                <w:rFonts w:ascii="Times New Roman" w:hAnsi="Times New Roman" w:cs="Times New Roman"/>
                <w:noProof/>
                <w:color w:val="000000" w:themeColor="text1"/>
                <w:lang w:val="en-IE"/>
              </w:rPr>
              <w:t>The impact assessment was refined by providing two different costs scenarios according to different levels of take-up of the legislative measures by Member States</w:t>
            </w:r>
            <w:r w:rsidR="00CF0251" w:rsidRPr="00532C20">
              <w:rPr>
                <w:rFonts w:ascii="Times New Roman" w:hAnsi="Times New Roman" w:cs="Times New Roman"/>
                <w:noProof/>
                <w:color w:val="000000" w:themeColor="text1"/>
                <w:lang w:val="en-IE"/>
              </w:rPr>
              <w:t xml:space="preserve"> (full take-up and 50% take-up)</w:t>
            </w:r>
            <w:r w:rsidR="009E5154" w:rsidRPr="00532C20">
              <w:rPr>
                <w:rFonts w:ascii="Times New Roman" w:hAnsi="Times New Roman" w:cs="Times New Roman"/>
                <w:noProof/>
                <w:color w:val="000000" w:themeColor="text1"/>
                <w:lang w:val="en-IE"/>
              </w:rPr>
              <w:t xml:space="preserve">, with </w:t>
            </w:r>
            <w:r w:rsidR="00BA56B9" w:rsidRPr="00532C20">
              <w:rPr>
                <w:rFonts w:ascii="Times New Roman" w:hAnsi="Times New Roman" w:cs="Times New Roman"/>
                <w:noProof/>
                <w:color w:val="000000" w:themeColor="text1"/>
                <w:lang w:val="en-IE"/>
              </w:rPr>
              <w:t>a detailed analysis in Annex 4</w:t>
            </w:r>
            <w:r w:rsidR="00CF0251" w:rsidRPr="00532C20">
              <w:rPr>
                <w:rFonts w:ascii="Times New Roman" w:hAnsi="Times New Roman" w:cs="Times New Roman"/>
                <w:noProof/>
                <w:color w:val="000000" w:themeColor="text1"/>
                <w:lang w:val="en-IE"/>
              </w:rPr>
              <w:t>.</w:t>
            </w:r>
          </w:p>
          <w:p w14:paraId="39A95E1D" w14:textId="4DF9E852" w:rsidR="00A06328" w:rsidRPr="00532C20" w:rsidRDefault="00AF5DFF" w:rsidP="00B76AE3">
            <w:pPr>
              <w:pStyle w:val="ListBullet1"/>
              <w:rPr>
                <w:rFonts w:ascii="Times New Roman" w:hAnsi="Times New Roman" w:cs="Times New Roman"/>
                <w:noProof/>
                <w:color w:val="000000" w:themeColor="text1"/>
                <w:lang w:val="en-IE"/>
              </w:rPr>
            </w:pPr>
            <w:r w:rsidRPr="00532C20">
              <w:rPr>
                <w:rFonts w:ascii="Times New Roman" w:hAnsi="Times New Roman" w:cs="Times New Roman"/>
                <w:noProof/>
                <w:color w:val="000000" w:themeColor="text1"/>
                <w:lang w:val="en-IE"/>
              </w:rPr>
              <w:t>In section 5.3.2.1, t</w:t>
            </w:r>
            <w:r w:rsidR="002C4ECD" w:rsidRPr="00532C20">
              <w:rPr>
                <w:rFonts w:ascii="Times New Roman" w:hAnsi="Times New Roman" w:cs="Times New Roman"/>
                <w:noProof/>
                <w:color w:val="000000" w:themeColor="text1"/>
                <w:lang w:val="en-IE"/>
              </w:rPr>
              <w:t>he imp</w:t>
            </w:r>
            <w:r w:rsidR="00C56E54" w:rsidRPr="00532C20">
              <w:rPr>
                <w:rFonts w:ascii="Times New Roman" w:hAnsi="Times New Roman" w:cs="Times New Roman"/>
                <w:noProof/>
                <w:color w:val="000000" w:themeColor="text1"/>
                <w:lang w:val="en-IE"/>
              </w:rPr>
              <w:t>act</w:t>
            </w:r>
            <w:r w:rsidR="00001D02" w:rsidRPr="00532C20">
              <w:rPr>
                <w:rFonts w:ascii="Times New Roman" w:hAnsi="Times New Roman" w:cs="Times New Roman"/>
                <w:noProof/>
                <w:color w:val="000000" w:themeColor="text1"/>
                <w:lang w:val="en-IE"/>
              </w:rPr>
              <w:t xml:space="preserve"> assessment </w:t>
            </w:r>
            <w:r w:rsidR="002F4DB3" w:rsidRPr="00532C20">
              <w:rPr>
                <w:rFonts w:ascii="Times New Roman" w:hAnsi="Times New Roman" w:cs="Times New Roman"/>
                <w:noProof/>
                <w:color w:val="000000" w:themeColor="text1"/>
                <w:lang w:val="en-IE"/>
              </w:rPr>
              <w:t xml:space="preserve">describes in more detail </w:t>
            </w:r>
            <w:r w:rsidR="00445ABA" w:rsidRPr="00532C20">
              <w:rPr>
                <w:rFonts w:ascii="Times New Roman" w:hAnsi="Times New Roman" w:cs="Times New Roman"/>
                <w:noProof/>
                <w:color w:val="000000" w:themeColor="text1"/>
                <w:lang w:val="en-IE"/>
              </w:rPr>
              <w:t xml:space="preserve">how the sanctions regime would work, notably </w:t>
            </w:r>
            <w:r w:rsidR="00847FBF" w:rsidRPr="00532C20">
              <w:rPr>
                <w:rFonts w:ascii="Times New Roman" w:hAnsi="Times New Roman" w:cs="Times New Roman"/>
                <w:noProof/>
                <w:color w:val="000000" w:themeColor="text1"/>
                <w:lang w:val="en-IE"/>
              </w:rPr>
              <w:t xml:space="preserve">which factors </w:t>
            </w:r>
            <w:r w:rsidR="00E5592A" w:rsidRPr="00532C20">
              <w:rPr>
                <w:rFonts w:ascii="Times New Roman" w:hAnsi="Times New Roman" w:cs="Times New Roman"/>
                <w:noProof/>
                <w:color w:val="000000" w:themeColor="text1"/>
                <w:lang w:val="en-IE"/>
              </w:rPr>
              <w:t>would be taken into account in order to determine the exact amount of a potential sanction</w:t>
            </w:r>
            <w:r w:rsidR="00B76AE3" w:rsidRPr="00532C20">
              <w:rPr>
                <w:rFonts w:ascii="Times New Roman" w:hAnsi="Times New Roman" w:cs="Times New Roman"/>
                <w:noProof/>
                <w:color w:val="000000" w:themeColor="text1"/>
                <w:lang w:val="en-IE" w:eastAsia="en-US"/>
              </w:rPr>
              <w:t xml:space="preserve">. </w:t>
            </w:r>
          </w:p>
        </w:tc>
      </w:tr>
      <w:tr w:rsidR="004678BB" w:rsidRPr="00532C20" w14:paraId="3EC55C8A" w14:textId="77777777" w:rsidTr="004678BB">
        <w:tc>
          <w:tcPr>
            <w:tcW w:w="4508" w:type="dxa"/>
          </w:tcPr>
          <w:p w14:paraId="716BFDEE" w14:textId="5E7D3186" w:rsidR="004678BB" w:rsidRPr="00532C20" w:rsidRDefault="00E30AE0" w:rsidP="002D6DC7">
            <w:pPr>
              <w:pStyle w:val="ListBullet1"/>
              <w:rPr>
                <w:rFonts w:ascii="Times New Roman" w:hAnsi="Times New Roman" w:cs="Times New Roman"/>
                <w:noProof/>
                <w:color w:val="000000" w:themeColor="text1"/>
                <w:lang w:val="en-IE"/>
              </w:rPr>
            </w:pPr>
            <w:r w:rsidRPr="00532C20">
              <w:rPr>
                <w:rFonts w:ascii="Times New Roman" w:hAnsi="Times New Roman" w:cs="Times New Roman"/>
                <w:noProof/>
                <w:color w:val="000000" w:themeColor="text1"/>
                <w:lang w:val="en-IE"/>
              </w:rPr>
              <w:t>The report should describe in greater detail the considered governance structure, and how it would work to ensure appropriate implementation and enforcement. It should explain what new elements and structures would be developed and who would be responsible for, e.g., IT tools (including registers), governance structure, supervisory bodies, annual reports, etc. It should further clarify how the national supervisory authorities would operate, and how cooperation among Member States would be structured. Finally, it should better explain the role of the Commission in this governance structure.</w:t>
            </w:r>
          </w:p>
        </w:tc>
        <w:tc>
          <w:tcPr>
            <w:tcW w:w="4508" w:type="dxa"/>
          </w:tcPr>
          <w:p w14:paraId="56F98DE5" w14:textId="1542E39B" w:rsidR="004678BB" w:rsidRPr="00532C20" w:rsidRDefault="00FD2DF7" w:rsidP="002D6DC7">
            <w:pPr>
              <w:pStyle w:val="ListBullet1"/>
              <w:rPr>
                <w:rFonts w:ascii="Times New Roman" w:hAnsi="Times New Roman" w:cs="Times New Roman"/>
                <w:noProof/>
                <w:color w:val="000000" w:themeColor="text1"/>
                <w:lang w:val="en-IE"/>
              </w:rPr>
            </w:pPr>
            <w:r w:rsidRPr="00532C20">
              <w:rPr>
                <w:rFonts w:ascii="Times New Roman" w:hAnsi="Times New Roman" w:cs="Times New Roman"/>
                <w:noProof/>
                <w:color w:val="000000" w:themeColor="text1"/>
                <w:lang w:val="en-IE"/>
              </w:rPr>
              <w:t xml:space="preserve">The impact assessment </w:t>
            </w:r>
            <w:r w:rsidR="00B2195D" w:rsidRPr="00532C20">
              <w:rPr>
                <w:rFonts w:ascii="Times New Roman" w:hAnsi="Times New Roman" w:cs="Times New Roman"/>
                <w:noProof/>
                <w:color w:val="000000" w:themeColor="text1"/>
                <w:lang w:val="en-IE"/>
              </w:rPr>
              <w:t xml:space="preserve">was </w:t>
            </w:r>
            <w:r w:rsidR="00A738A7" w:rsidRPr="00532C20">
              <w:rPr>
                <w:rFonts w:ascii="Times New Roman" w:hAnsi="Times New Roman" w:cs="Times New Roman"/>
                <w:noProof/>
                <w:color w:val="000000" w:themeColor="text1"/>
                <w:lang w:val="en-IE"/>
              </w:rPr>
              <w:t xml:space="preserve">refined </w:t>
            </w:r>
            <w:r w:rsidR="005C1F0B" w:rsidRPr="00532C20">
              <w:rPr>
                <w:rFonts w:ascii="Times New Roman" w:hAnsi="Times New Roman" w:cs="Times New Roman"/>
                <w:noProof/>
                <w:color w:val="000000" w:themeColor="text1"/>
                <w:lang w:val="en-IE"/>
              </w:rPr>
              <w:t>regarding</w:t>
            </w:r>
            <w:r w:rsidR="00A738A7" w:rsidRPr="00532C20">
              <w:rPr>
                <w:rFonts w:ascii="Times New Roman" w:hAnsi="Times New Roman" w:cs="Times New Roman"/>
                <w:noProof/>
                <w:color w:val="000000" w:themeColor="text1"/>
                <w:lang w:val="en-IE"/>
              </w:rPr>
              <w:t xml:space="preserve"> the governance structure foreseen </w:t>
            </w:r>
            <w:r w:rsidR="005C1F0B" w:rsidRPr="00532C20">
              <w:rPr>
                <w:rFonts w:ascii="Times New Roman" w:hAnsi="Times New Roman" w:cs="Times New Roman"/>
                <w:noProof/>
                <w:color w:val="000000" w:themeColor="text1"/>
                <w:lang w:val="en-IE"/>
              </w:rPr>
              <w:t>by</w:t>
            </w:r>
            <w:r w:rsidR="00A738A7" w:rsidRPr="00532C20">
              <w:rPr>
                <w:rFonts w:ascii="Times New Roman" w:hAnsi="Times New Roman" w:cs="Times New Roman"/>
                <w:noProof/>
                <w:color w:val="000000" w:themeColor="text1"/>
                <w:lang w:val="en-IE"/>
              </w:rPr>
              <w:t xml:space="preserve"> the two legislative options. </w:t>
            </w:r>
            <w:r w:rsidR="00511E85" w:rsidRPr="00532C20">
              <w:rPr>
                <w:rFonts w:ascii="Times New Roman" w:hAnsi="Times New Roman" w:cs="Times New Roman"/>
                <w:noProof/>
                <w:color w:val="000000" w:themeColor="text1"/>
                <w:lang w:val="en-IE"/>
              </w:rPr>
              <w:t xml:space="preserve">The obligations for Member States to establish or designate </w:t>
            </w:r>
            <w:r w:rsidR="006E32B6" w:rsidRPr="00532C20">
              <w:rPr>
                <w:rFonts w:ascii="Times New Roman" w:hAnsi="Times New Roman" w:cs="Times New Roman"/>
                <w:noProof/>
                <w:color w:val="000000" w:themeColor="text1"/>
                <w:lang w:val="en-IE"/>
              </w:rPr>
              <w:t xml:space="preserve">one </w:t>
            </w:r>
            <w:r w:rsidR="002C24D5" w:rsidRPr="00532C20">
              <w:rPr>
                <w:rFonts w:ascii="Times New Roman" w:hAnsi="Times New Roman" w:cs="Times New Roman"/>
                <w:noProof/>
                <w:color w:val="000000" w:themeColor="text1"/>
                <w:lang w:val="en-IE"/>
              </w:rPr>
              <w:t xml:space="preserve">or more authorities were further detailed. </w:t>
            </w:r>
            <w:r w:rsidR="00CC4FF0" w:rsidRPr="00532C20">
              <w:rPr>
                <w:rFonts w:ascii="Times New Roman" w:hAnsi="Times New Roman" w:cs="Times New Roman"/>
                <w:noProof/>
                <w:color w:val="000000" w:themeColor="text1"/>
                <w:lang w:val="en-IE"/>
              </w:rPr>
              <w:t>It was add</w:t>
            </w:r>
            <w:r w:rsidR="0014550B" w:rsidRPr="00532C20">
              <w:rPr>
                <w:rFonts w:ascii="Times New Roman" w:hAnsi="Times New Roman" w:cs="Times New Roman"/>
                <w:noProof/>
                <w:color w:val="000000" w:themeColor="text1"/>
                <w:lang w:val="en-IE"/>
              </w:rPr>
              <w:t>e</w:t>
            </w:r>
            <w:r w:rsidR="00CC4FF0" w:rsidRPr="00532C20">
              <w:rPr>
                <w:rFonts w:ascii="Times New Roman" w:hAnsi="Times New Roman" w:cs="Times New Roman"/>
                <w:noProof/>
                <w:color w:val="000000" w:themeColor="text1"/>
                <w:lang w:val="en-IE"/>
              </w:rPr>
              <w:t xml:space="preserve">d that the </w:t>
            </w:r>
            <w:r w:rsidR="0014550B" w:rsidRPr="00532C20">
              <w:rPr>
                <w:rFonts w:ascii="Times New Roman" w:hAnsi="Times New Roman" w:cs="Times New Roman"/>
                <w:noProof/>
                <w:color w:val="000000" w:themeColor="text1"/>
                <w:lang w:val="en-IE"/>
              </w:rPr>
              <w:t xml:space="preserve">Internal Market Information System (‘IMI system’) Regulation would support the administrative cooperation and the exchange of information using existing IT tools. The </w:t>
            </w:r>
            <w:r w:rsidR="00592016" w:rsidRPr="00532C20">
              <w:rPr>
                <w:rFonts w:ascii="Times New Roman" w:hAnsi="Times New Roman" w:cs="Times New Roman"/>
                <w:noProof/>
                <w:color w:val="000000" w:themeColor="text1"/>
                <w:lang w:val="en-IE"/>
              </w:rPr>
              <w:t xml:space="preserve">impact assessment describes in greater detail </w:t>
            </w:r>
            <w:r w:rsidR="00474C4B" w:rsidRPr="00532C20">
              <w:rPr>
                <w:rFonts w:ascii="Times New Roman" w:hAnsi="Times New Roman" w:cs="Times New Roman"/>
                <w:noProof/>
                <w:color w:val="000000" w:themeColor="text1"/>
                <w:lang w:val="en-IE"/>
              </w:rPr>
              <w:t>how the cooperation among Member States would be structured via a governance cooperation mechanism at EU level</w:t>
            </w:r>
            <w:r w:rsidR="00ED7450" w:rsidRPr="00532C20">
              <w:rPr>
                <w:rFonts w:ascii="Times New Roman" w:hAnsi="Times New Roman" w:cs="Times New Roman"/>
                <w:noProof/>
                <w:color w:val="000000" w:themeColor="text1"/>
                <w:lang w:val="en-IE"/>
              </w:rPr>
              <w:t xml:space="preserve">. </w:t>
            </w:r>
            <w:r w:rsidR="00D96189" w:rsidRPr="00532C20">
              <w:rPr>
                <w:rFonts w:ascii="Times New Roman" w:hAnsi="Times New Roman" w:cs="Times New Roman"/>
                <w:noProof/>
                <w:color w:val="000000" w:themeColor="text1"/>
                <w:lang w:val="en-IE"/>
              </w:rPr>
              <w:t xml:space="preserve">The Commission’s role is better explained </w:t>
            </w:r>
            <w:r w:rsidR="00543E8B" w:rsidRPr="00532C20">
              <w:rPr>
                <w:rFonts w:ascii="Times New Roman" w:hAnsi="Times New Roman" w:cs="Times New Roman"/>
                <w:noProof/>
                <w:color w:val="000000" w:themeColor="text1"/>
                <w:lang w:val="en-IE"/>
              </w:rPr>
              <w:t xml:space="preserve">(no </w:t>
            </w:r>
            <w:r w:rsidR="002B2CED" w:rsidRPr="00532C20">
              <w:rPr>
                <w:rFonts w:ascii="Times New Roman" w:hAnsi="Times New Roman" w:cs="Times New Roman"/>
                <w:noProof/>
                <w:color w:val="000000" w:themeColor="text1"/>
                <w:lang w:val="en-IE"/>
              </w:rPr>
              <w:t xml:space="preserve">direct enforcement role, but </w:t>
            </w:r>
            <w:r w:rsidR="008D7067" w:rsidRPr="00532C20">
              <w:rPr>
                <w:rFonts w:ascii="Times New Roman" w:hAnsi="Times New Roman" w:cs="Times New Roman"/>
                <w:noProof/>
                <w:color w:val="000000" w:themeColor="text1"/>
                <w:lang w:val="en-IE"/>
              </w:rPr>
              <w:t>right to request data from Member States).</w:t>
            </w:r>
          </w:p>
        </w:tc>
      </w:tr>
    </w:tbl>
    <w:p w14:paraId="1F1E72B3" w14:textId="77777777" w:rsidR="005847D9" w:rsidRPr="00532C20" w:rsidRDefault="005847D9" w:rsidP="00582553">
      <w:pPr>
        <w:pStyle w:val="ListBullet1"/>
        <w:rPr>
          <w:rFonts w:ascii="Times New Roman" w:hAnsi="Times New Roman" w:cs="Times New Roman"/>
          <w:noProof/>
          <w:color w:val="000000" w:themeColor="text1"/>
          <w:lang w:val="en-IE"/>
        </w:rPr>
      </w:pPr>
    </w:p>
    <w:p w14:paraId="401391F6" w14:textId="52AE8DD7" w:rsidR="00093202" w:rsidRPr="00532C20" w:rsidRDefault="79CE4C4B">
      <w:pPr>
        <w:pStyle w:val="ListBullet1"/>
        <w:numPr>
          <w:ilvl w:val="0"/>
          <w:numId w:val="4"/>
        </w:numPr>
        <w:spacing w:after="200"/>
        <w:rPr>
          <w:rFonts w:ascii="Times New Roman" w:hAnsi="Times New Roman" w:cs="Times New Roman"/>
          <w:noProof/>
          <w:color w:val="000000" w:themeColor="text1"/>
          <w:szCs w:val="24"/>
          <w:u w:val="single"/>
          <w:lang w:val="en-IE"/>
        </w:rPr>
      </w:pPr>
      <w:r w:rsidRPr="00532C20">
        <w:rPr>
          <w:rFonts w:ascii="Times New Roman" w:hAnsi="Times New Roman" w:cs="Times New Roman"/>
          <w:b/>
          <w:noProof/>
          <w:color w:val="000000" w:themeColor="text1"/>
          <w:u w:val="single"/>
          <w:lang w:val="en-IE"/>
        </w:rPr>
        <w:t xml:space="preserve">Evidence, sources and quality </w:t>
      </w:r>
    </w:p>
    <w:p w14:paraId="6F85C5C6" w14:textId="50A152BC" w:rsidR="00093202" w:rsidRPr="00532C20" w:rsidRDefault="79CE4C4B" w:rsidP="004B0958">
      <w:pPr>
        <w:pStyle w:val="ListBullet1"/>
        <w:tabs>
          <w:tab w:val="num" w:pos="765"/>
        </w:tabs>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The eviden</w:t>
      </w:r>
      <w:r w:rsidR="007D106A" w:rsidRPr="00532C20">
        <w:rPr>
          <w:rFonts w:ascii="Times New Roman" w:hAnsi="Times New Roman" w:cs="Times New Roman"/>
          <w:noProof/>
          <w:color w:val="000000" w:themeColor="text1"/>
          <w:szCs w:val="24"/>
          <w:lang w:val="en-IE"/>
        </w:rPr>
        <w:t>ce base is drawn from internal and external r</w:t>
      </w:r>
      <w:r w:rsidRPr="00532C20">
        <w:rPr>
          <w:rFonts w:ascii="Times New Roman" w:hAnsi="Times New Roman" w:cs="Times New Roman"/>
          <w:noProof/>
          <w:color w:val="000000" w:themeColor="text1"/>
          <w:szCs w:val="24"/>
          <w:lang w:val="en-IE"/>
        </w:rPr>
        <w:t xml:space="preserve">esearch, </w:t>
      </w:r>
      <w:r w:rsidR="009064D4" w:rsidRPr="00532C20">
        <w:rPr>
          <w:rFonts w:ascii="Times New Roman" w:hAnsi="Times New Roman" w:cs="Times New Roman"/>
          <w:noProof/>
          <w:color w:val="000000" w:themeColor="text1"/>
          <w:szCs w:val="24"/>
          <w:lang w:val="en-IE"/>
        </w:rPr>
        <w:t xml:space="preserve">literature review, </w:t>
      </w:r>
      <w:r w:rsidRPr="00532C20">
        <w:rPr>
          <w:rFonts w:ascii="Times New Roman" w:hAnsi="Times New Roman" w:cs="Times New Roman"/>
          <w:noProof/>
          <w:color w:val="000000" w:themeColor="text1"/>
          <w:szCs w:val="24"/>
          <w:lang w:val="en-IE"/>
        </w:rPr>
        <w:t xml:space="preserve">extensive consultation activities, bilateral meetings with stakeholders, and was supported by an external study </w:t>
      </w:r>
      <w:r w:rsidR="00862663" w:rsidRPr="00532C20">
        <w:rPr>
          <w:rFonts w:ascii="Times New Roman" w:hAnsi="Times New Roman" w:cs="Times New Roman"/>
          <w:noProof/>
          <w:color w:val="000000" w:themeColor="text1"/>
          <w:szCs w:val="24"/>
          <w:lang w:val="en-IE"/>
        </w:rPr>
        <w:t>available here:</w:t>
      </w:r>
      <w:r w:rsidR="000B0CD7" w:rsidRPr="000B0CD7">
        <w:rPr>
          <w:noProof/>
          <w:lang w:val="en-IE"/>
        </w:rPr>
        <w:t xml:space="preserve"> </w:t>
      </w:r>
      <w:hyperlink r:id="rId50" w:tgtFrame="_blank" w:history="1">
        <w:r w:rsidR="000B0CD7">
          <w:rPr>
            <w:rStyle w:val="normaltextrun"/>
            <w:noProof/>
            <w:color w:val="0563C1"/>
            <w:u w:val="single"/>
            <w:shd w:val="clear" w:color="auto" w:fill="FFFFFF"/>
            <w:lang w:val="en-US"/>
          </w:rPr>
          <w:t>https://commission.europa.eu/document/455c1bda-8c39-48f0-971c-86758f8b7c90_en</w:t>
        </w:r>
      </w:hyperlink>
      <w:r w:rsidR="000B0CD7" w:rsidRPr="000B0CD7">
        <w:rPr>
          <w:rStyle w:val="eop"/>
          <w:noProof/>
          <w:color w:val="000000"/>
          <w:shd w:val="clear" w:color="auto" w:fill="FFFFFF"/>
          <w:lang w:val="en-IE"/>
        </w:rPr>
        <w:t> </w:t>
      </w:r>
      <w:r w:rsidRPr="00532C20">
        <w:rPr>
          <w:rFonts w:ascii="Times New Roman" w:hAnsi="Times New Roman" w:cs="Times New Roman"/>
          <w:noProof/>
          <w:color w:val="000000" w:themeColor="text1"/>
          <w:szCs w:val="24"/>
          <w:lang w:val="en-IE"/>
        </w:rPr>
        <w:t xml:space="preserve">. In particular, evidence was based on the following: </w:t>
      </w:r>
    </w:p>
    <w:p w14:paraId="58574A26" w14:textId="5D8081FE" w:rsidR="00093202" w:rsidRPr="00532C20" w:rsidRDefault="79CE4C4B">
      <w:pPr>
        <w:pStyle w:val="ListBullet1"/>
        <w:numPr>
          <w:ilvl w:val="0"/>
          <w:numId w:val="42"/>
        </w:numPr>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The</w:t>
      </w:r>
      <w:r w:rsidR="007D106A" w:rsidRPr="00532C20">
        <w:rPr>
          <w:rFonts w:ascii="Times New Roman" w:hAnsi="Times New Roman" w:cs="Times New Roman"/>
          <w:noProof/>
          <w:color w:val="000000" w:themeColor="text1"/>
          <w:szCs w:val="24"/>
          <w:lang w:val="en-IE"/>
        </w:rPr>
        <w:t xml:space="preserve"> preparatory studies and open consultation for the European Democracy Action Plan, transparency of political advertising initiative and the 2020 EU Citizenship Report;</w:t>
      </w:r>
    </w:p>
    <w:p w14:paraId="7FDD0D73" w14:textId="3FA13F0C" w:rsidR="001E339C" w:rsidRPr="00532C20" w:rsidRDefault="001E339C">
      <w:pPr>
        <w:pStyle w:val="ListBullet1"/>
        <w:numPr>
          <w:ilvl w:val="0"/>
          <w:numId w:val="42"/>
        </w:numPr>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The implementation of the Commission’s September 2018 electoral package, as described in the Commission’s report on the 2019 elections; </w:t>
      </w:r>
    </w:p>
    <w:p w14:paraId="3D4DCA8E" w14:textId="5B7368C1" w:rsidR="007D106A" w:rsidRPr="00532C20" w:rsidRDefault="007D106A">
      <w:pPr>
        <w:pStyle w:val="ListBullet1"/>
        <w:numPr>
          <w:ilvl w:val="0"/>
          <w:numId w:val="42"/>
        </w:numPr>
        <w:spacing w:after="200"/>
        <w:rPr>
          <w:rFonts w:ascii="Times New Roman" w:hAnsi="Times New Roman" w:cs="Times New Roman"/>
          <w:noProof/>
          <w:color w:val="000000" w:themeColor="text1"/>
          <w:szCs w:val="24"/>
          <w:lang w:val="en-IE"/>
        </w:rPr>
      </w:pPr>
      <w:r w:rsidRPr="00532C20">
        <w:rPr>
          <w:rStyle w:val="normaltextrun"/>
          <w:rFonts w:ascii="Times New Roman" w:hAnsi="Times New Roman" w:cs="Times New Roman"/>
          <w:noProof/>
          <w:color w:val="000000"/>
          <w:szCs w:val="24"/>
          <w:shd w:val="clear" w:color="auto" w:fill="FFFFFF"/>
          <w:lang w:val="en-IE"/>
        </w:rPr>
        <w:t>The Commission toolkit on Tackling R&amp;I foreign interference;</w:t>
      </w:r>
    </w:p>
    <w:p w14:paraId="1D8ED316" w14:textId="77777777" w:rsidR="007D106A" w:rsidRPr="00532C20" w:rsidRDefault="007D106A">
      <w:pPr>
        <w:pStyle w:val="ListBullet1"/>
        <w:numPr>
          <w:ilvl w:val="0"/>
          <w:numId w:val="42"/>
        </w:numPr>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European Parliament resolution of 10 October 2019 on foreign electoral interference and disinformation in national and European democratic processes (2019/2810(RSP)); </w:t>
      </w:r>
    </w:p>
    <w:p w14:paraId="0B44A340" w14:textId="77777777" w:rsidR="007D106A" w:rsidRPr="00532C20" w:rsidRDefault="007D106A">
      <w:pPr>
        <w:pStyle w:val="ListBullet1"/>
        <w:numPr>
          <w:ilvl w:val="0"/>
          <w:numId w:val="42"/>
        </w:numPr>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European Parliament resolution of 9 March 2022 on foreign interference in all democratic processes in the European Union, including disinformation (2020/2268(INI)); </w:t>
      </w:r>
    </w:p>
    <w:p w14:paraId="633780D3" w14:textId="05F0617D" w:rsidR="007D106A" w:rsidRPr="00532C20" w:rsidRDefault="007D106A">
      <w:pPr>
        <w:pStyle w:val="ListBullet1"/>
        <w:numPr>
          <w:ilvl w:val="0"/>
          <w:numId w:val="42"/>
        </w:numPr>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European Parliament resolution of 17 February 2022 with recommendations to the Commission on a statute for European cross-border associations and non-profit organisations (2020/2026(INI)); </w:t>
      </w:r>
    </w:p>
    <w:p w14:paraId="63560FCB" w14:textId="7B5E2260" w:rsidR="007D106A" w:rsidRPr="00532C20" w:rsidRDefault="007D106A">
      <w:pPr>
        <w:pStyle w:val="ListBullet1"/>
        <w:numPr>
          <w:ilvl w:val="0"/>
          <w:numId w:val="42"/>
        </w:numPr>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European Parliament studies, including those prepared for the INGE committee;</w:t>
      </w:r>
    </w:p>
    <w:p w14:paraId="621FB473" w14:textId="3E1FEA3B" w:rsidR="00093202" w:rsidRPr="00532C20" w:rsidRDefault="79CE4C4B">
      <w:pPr>
        <w:pStyle w:val="ListBullet1"/>
        <w:numPr>
          <w:ilvl w:val="0"/>
          <w:numId w:val="42"/>
        </w:numPr>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 xml:space="preserve">International organisations and bodies documents, research and recommendations, such as the </w:t>
      </w:r>
      <w:r w:rsidR="00B656D0" w:rsidRPr="00532C20">
        <w:rPr>
          <w:rFonts w:ascii="Times New Roman" w:hAnsi="Times New Roman" w:cs="Times New Roman"/>
          <w:noProof/>
          <w:color w:val="000000" w:themeColor="text1"/>
          <w:szCs w:val="24"/>
          <w:lang w:val="en-IE"/>
        </w:rPr>
        <w:t xml:space="preserve">OECD, the </w:t>
      </w:r>
      <w:r w:rsidRPr="00532C20">
        <w:rPr>
          <w:rFonts w:ascii="Times New Roman" w:hAnsi="Times New Roman" w:cs="Times New Roman"/>
          <w:noProof/>
          <w:color w:val="000000" w:themeColor="text1"/>
          <w:szCs w:val="24"/>
          <w:lang w:val="en-IE"/>
        </w:rPr>
        <w:t>OSCE, the Council of Europe</w:t>
      </w:r>
      <w:r w:rsidR="00B656D0" w:rsidRPr="00532C20">
        <w:rPr>
          <w:rFonts w:ascii="Times New Roman" w:hAnsi="Times New Roman" w:cs="Times New Roman"/>
          <w:noProof/>
          <w:color w:val="000000" w:themeColor="text1"/>
          <w:szCs w:val="24"/>
          <w:lang w:val="en-IE"/>
        </w:rPr>
        <w:t xml:space="preserve"> or</w:t>
      </w:r>
      <w:r w:rsidRPr="00532C20">
        <w:rPr>
          <w:rFonts w:ascii="Times New Roman" w:hAnsi="Times New Roman" w:cs="Times New Roman"/>
          <w:noProof/>
          <w:color w:val="000000" w:themeColor="text1"/>
          <w:szCs w:val="24"/>
          <w:lang w:val="en-IE"/>
        </w:rPr>
        <w:t xml:space="preserve"> International IDEA;</w:t>
      </w:r>
    </w:p>
    <w:p w14:paraId="2B158F6E" w14:textId="0D4F30AC" w:rsidR="00093202" w:rsidRPr="00532C20" w:rsidRDefault="79CE4C4B">
      <w:pPr>
        <w:pStyle w:val="ListBullet1"/>
        <w:numPr>
          <w:ilvl w:val="0"/>
          <w:numId w:val="42"/>
        </w:numPr>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An Open Publication Consultation;</w:t>
      </w:r>
    </w:p>
    <w:p w14:paraId="719B72E7" w14:textId="06AC3FA7" w:rsidR="007D106A" w:rsidRPr="00532C20" w:rsidRDefault="007D106A">
      <w:pPr>
        <w:pStyle w:val="ListBullet1"/>
        <w:numPr>
          <w:ilvl w:val="0"/>
          <w:numId w:val="42"/>
        </w:numPr>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 xml:space="preserve">A series of Focus Group meetings with relevant stakeholders; </w:t>
      </w:r>
    </w:p>
    <w:p w14:paraId="7ACF1162" w14:textId="092271FB" w:rsidR="00093202" w:rsidRPr="00532C20" w:rsidRDefault="79CE4C4B">
      <w:pPr>
        <w:pStyle w:val="ListBullet1"/>
        <w:numPr>
          <w:ilvl w:val="0"/>
          <w:numId w:val="42"/>
        </w:numPr>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A Flash Eurobarometer on Citizenship and Democracy</w:t>
      </w:r>
      <w:r w:rsidR="00B656D0" w:rsidRPr="00532C20">
        <w:rPr>
          <w:rFonts w:ascii="Times New Roman" w:hAnsi="Times New Roman" w:cs="Times New Roman"/>
          <w:noProof/>
          <w:color w:val="000000" w:themeColor="text1"/>
          <w:szCs w:val="24"/>
          <w:lang w:val="en-IE"/>
        </w:rPr>
        <w:t>;</w:t>
      </w:r>
    </w:p>
    <w:p w14:paraId="43731948" w14:textId="536998E8" w:rsidR="00B656D0" w:rsidRPr="00532C20" w:rsidRDefault="00B656D0">
      <w:pPr>
        <w:pStyle w:val="ListBullet1"/>
        <w:numPr>
          <w:ilvl w:val="0"/>
          <w:numId w:val="42"/>
        </w:numPr>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A Flash Eurobarometer on Democracy;</w:t>
      </w:r>
    </w:p>
    <w:p w14:paraId="1A8F9DAB" w14:textId="2DFDD59C" w:rsidR="00093202" w:rsidRPr="00532C20" w:rsidRDefault="79CE4C4B">
      <w:pPr>
        <w:pStyle w:val="ListBullet1"/>
        <w:numPr>
          <w:ilvl w:val="0"/>
          <w:numId w:val="42"/>
        </w:numPr>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The work of the European Cooperation Network on Elections</w:t>
      </w:r>
    </w:p>
    <w:p w14:paraId="3DCA09C1" w14:textId="692D2008" w:rsidR="00A93664" w:rsidRPr="00532C20" w:rsidRDefault="00A93664">
      <w:pPr>
        <w:pStyle w:val="ListBullet1"/>
        <w:numPr>
          <w:ilvl w:val="0"/>
          <w:numId w:val="42"/>
        </w:numPr>
        <w:spacing w:after="200"/>
        <w:rPr>
          <w:rFonts w:ascii="Times New Roman" w:hAnsi="Times New Roman" w:cs="Times New Roman"/>
          <w:noProof/>
          <w:color w:val="000000" w:themeColor="text1"/>
          <w:szCs w:val="24"/>
          <w:lang w:val="en-IE"/>
        </w:rPr>
      </w:pPr>
      <w:r w:rsidRPr="00532C20">
        <w:rPr>
          <w:rFonts w:ascii="Times New Roman" w:hAnsi="Times New Roman" w:cs="Times New Roman"/>
          <w:noProof/>
          <w:color w:val="000000" w:themeColor="text1"/>
          <w:szCs w:val="24"/>
          <w:lang w:val="en-IE"/>
        </w:rPr>
        <w:t xml:space="preserve">A targeted </w:t>
      </w:r>
      <w:r w:rsidR="009B03B3" w:rsidRPr="00532C20">
        <w:rPr>
          <w:rFonts w:ascii="Times New Roman" w:hAnsi="Times New Roman" w:cs="Times New Roman"/>
          <w:noProof/>
          <w:color w:val="000000" w:themeColor="text1"/>
          <w:szCs w:val="24"/>
          <w:lang w:val="en-IE"/>
        </w:rPr>
        <w:t>consultation with relevant stakeholders</w:t>
      </w:r>
    </w:p>
    <w:p w14:paraId="01E654A7" w14:textId="77777777" w:rsidR="00FD56A8" w:rsidRPr="00532C20" w:rsidRDefault="00FD56A8" w:rsidP="004B0958">
      <w:pPr>
        <w:pStyle w:val="BodyText"/>
        <w:spacing w:after="200"/>
        <w:rPr>
          <w:rFonts w:ascii="Times New Roman" w:hAnsi="Times New Roman" w:cs="Times New Roman"/>
          <w:noProof/>
          <w:szCs w:val="24"/>
          <w:lang w:val="en-IE"/>
        </w:rPr>
      </w:pPr>
    </w:p>
    <w:p w14:paraId="2BA31BC2" w14:textId="2B6CBC71" w:rsidR="00F90D97" w:rsidRPr="00532C20" w:rsidRDefault="00F90D97" w:rsidP="004B0958">
      <w:pPr>
        <w:spacing w:line="240" w:lineRule="auto"/>
        <w:jc w:val="both"/>
        <w:rPr>
          <w:rFonts w:ascii="Times New Roman" w:hAnsi="Times New Roman" w:cs="Times New Roman"/>
          <w:noProof/>
          <w:kern w:val="18"/>
          <w:sz w:val="24"/>
          <w:szCs w:val="24"/>
          <w:lang w:val="en-IE"/>
        </w:rPr>
      </w:pPr>
      <w:r w:rsidRPr="00532C20">
        <w:rPr>
          <w:rFonts w:ascii="Times New Roman" w:hAnsi="Times New Roman" w:cs="Times New Roman"/>
          <w:noProof/>
          <w:sz w:val="24"/>
          <w:szCs w:val="24"/>
          <w:lang w:val="en-IE"/>
        </w:rPr>
        <w:br w:type="page"/>
      </w:r>
    </w:p>
    <w:p w14:paraId="350D5D63" w14:textId="10A49612" w:rsidR="00D7576F" w:rsidRPr="00532C20" w:rsidRDefault="00E03376" w:rsidP="007F43F7">
      <w:pPr>
        <w:pStyle w:val="Annex222"/>
        <w:spacing w:after="240"/>
        <w:contextualSpacing w:val="0"/>
        <w:outlineLvl w:val="0"/>
        <w:rPr>
          <w:rFonts w:ascii="Times New Roman" w:hAnsi="Times New Roman" w:cs="Times New Roman"/>
          <w:noProof/>
        </w:rPr>
      </w:pPr>
      <w:bookmarkStart w:id="1087" w:name="_Toc134028738"/>
      <w:bookmarkStart w:id="1088" w:name="_Toc134620382"/>
      <w:bookmarkStart w:id="1089" w:name="_Toc152864721"/>
      <w:bookmarkStart w:id="1090" w:name="_Toc69975249"/>
      <w:bookmarkStart w:id="1091" w:name="_Toc72164963"/>
      <w:bookmarkStart w:id="1092" w:name="_Toc72489542"/>
      <w:bookmarkStart w:id="1093" w:name="_Toc72512731"/>
      <w:bookmarkStart w:id="1094" w:name="_Toc73625323"/>
      <w:bookmarkStart w:id="1095" w:name="_Toc73709581"/>
      <w:bookmarkStart w:id="1096" w:name="_Toc75795156"/>
      <w:bookmarkStart w:id="1097" w:name="_Toc75967754"/>
      <w:bookmarkStart w:id="1098" w:name="_Toc75970781"/>
      <w:bookmarkStart w:id="1099" w:name="_Toc76488571"/>
      <w:bookmarkStart w:id="1100" w:name="_Toc78212241"/>
      <w:bookmarkStart w:id="1101" w:name="_Toc78821988"/>
      <w:bookmarkStart w:id="1102" w:name="_Toc78823782"/>
      <w:bookmarkStart w:id="1103" w:name="_Toc79741990"/>
      <w:bookmarkStart w:id="1104" w:name="_Toc79762121"/>
      <w:bookmarkStart w:id="1105" w:name="_Toc80957577"/>
      <w:bookmarkStart w:id="1106" w:name="_Toc81230399"/>
      <w:bookmarkStart w:id="1107" w:name="_Toc81316100"/>
      <w:bookmarkStart w:id="1108" w:name="_Toc81320857"/>
      <w:bookmarkStart w:id="1109" w:name="_Toc81400190"/>
      <w:bookmarkStart w:id="1110" w:name="_Toc85790546"/>
      <w:bookmarkStart w:id="1111" w:name="_Toc86145122"/>
      <w:bookmarkStart w:id="1112" w:name="_Toc86160856"/>
      <w:bookmarkStart w:id="1113" w:name="_Toc86226294"/>
      <w:bookmarkStart w:id="1114" w:name="_Toc86231970"/>
      <w:bookmarkStart w:id="1115" w:name="_Toc87609626"/>
      <w:bookmarkStart w:id="1116" w:name="_Toc67672068"/>
      <w:bookmarkStart w:id="1117" w:name="_Toc67676580"/>
      <w:bookmarkStart w:id="1118" w:name="_Toc67676794"/>
      <w:bookmarkStart w:id="1119" w:name="_Toc67677628"/>
      <w:bookmarkStart w:id="1120" w:name="_Toc67686577"/>
      <w:r w:rsidRPr="00532C20">
        <w:rPr>
          <w:rFonts w:ascii="Times New Roman" w:hAnsi="Times New Roman" w:cs="Times New Roman"/>
          <w:noProof/>
        </w:rPr>
        <w:t>Annex 2: Stakeholder consultations</w:t>
      </w:r>
      <w:bookmarkEnd w:id="1087"/>
      <w:bookmarkEnd w:id="1088"/>
      <w:bookmarkEnd w:id="1089"/>
    </w:p>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14:paraId="11449B8A" w14:textId="1FFB5E1B" w:rsidR="5AAF8E9E" w:rsidRPr="00532C20" w:rsidRDefault="5AAF8E9E" w:rsidP="002B0B48">
      <w:pPr>
        <w:pStyle w:val="Mainbodytext"/>
        <w:numPr>
          <w:ilvl w:val="0"/>
          <w:numId w:val="74"/>
        </w:numPr>
        <w:rPr>
          <w:rFonts w:ascii="Times New Roman" w:eastAsia="Times" w:hAnsi="Times New Roman" w:cs="Times New Roman"/>
          <w:b/>
          <w:noProof/>
          <w:u w:val="single"/>
        </w:rPr>
      </w:pPr>
      <w:r w:rsidRPr="00532C20">
        <w:rPr>
          <w:rFonts w:ascii="Times New Roman" w:eastAsia="Times" w:hAnsi="Times New Roman" w:cs="Times New Roman"/>
          <w:b/>
          <w:noProof/>
          <w:sz w:val="24"/>
          <w:szCs w:val="24"/>
          <w:u w:val="single"/>
          <w:lang w:val="en-IE" w:eastAsia="en-US"/>
        </w:rPr>
        <w:t>T</w:t>
      </w:r>
      <w:r w:rsidR="00B03A8F" w:rsidRPr="00532C20">
        <w:rPr>
          <w:rFonts w:ascii="Times New Roman" w:eastAsia="Times" w:hAnsi="Times New Roman" w:cs="Times New Roman"/>
          <w:b/>
          <w:noProof/>
          <w:sz w:val="24"/>
          <w:szCs w:val="24"/>
          <w:u w:val="single"/>
          <w:lang w:val="en-IE" w:eastAsia="en-US"/>
        </w:rPr>
        <w:t xml:space="preserve">he consultation strategy </w:t>
      </w:r>
    </w:p>
    <w:p w14:paraId="100FBCAD" w14:textId="77777777" w:rsidR="00432785" w:rsidRPr="00532C20" w:rsidRDefault="5AAF8E9E" w:rsidP="004B0958">
      <w:pPr>
        <w:spacing w:before="240"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The Commission conducted a </w:t>
      </w:r>
      <w:r w:rsidR="00432785" w:rsidRPr="00532C20">
        <w:rPr>
          <w:rFonts w:ascii="Times New Roman" w:eastAsia="Times" w:hAnsi="Times New Roman" w:cs="Times New Roman"/>
          <w:noProof/>
          <w:sz w:val="24"/>
          <w:szCs w:val="24"/>
          <w:lang w:val="en-IE"/>
        </w:rPr>
        <w:t xml:space="preserve">first wave of </w:t>
      </w:r>
      <w:r w:rsidRPr="00532C20">
        <w:rPr>
          <w:rFonts w:ascii="Times New Roman" w:eastAsia="Times" w:hAnsi="Times New Roman" w:cs="Times New Roman"/>
          <w:noProof/>
          <w:sz w:val="24"/>
          <w:szCs w:val="24"/>
          <w:lang w:val="en-IE"/>
        </w:rPr>
        <w:t xml:space="preserve">wide </w:t>
      </w:r>
      <w:r w:rsidR="00432785" w:rsidRPr="00532C20">
        <w:rPr>
          <w:rFonts w:ascii="Times New Roman" w:eastAsia="Times" w:hAnsi="Times New Roman" w:cs="Times New Roman"/>
          <w:noProof/>
          <w:sz w:val="24"/>
          <w:szCs w:val="24"/>
          <w:lang w:val="en-IE"/>
        </w:rPr>
        <w:t>consultations</w:t>
      </w:r>
      <w:r w:rsidRPr="00532C20">
        <w:rPr>
          <w:rFonts w:ascii="Times New Roman" w:eastAsia="Times" w:hAnsi="Times New Roman" w:cs="Times New Roman"/>
          <w:noProof/>
          <w:sz w:val="24"/>
          <w:szCs w:val="24"/>
          <w:lang w:val="en-IE"/>
        </w:rPr>
        <w:t xml:space="preserve"> of stakeholders on issues relevant to transparency of interest representation</w:t>
      </w:r>
      <w:r w:rsidR="006E5926" w:rsidRPr="00532C20">
        <w:rPr>
          <w:rFonts w:ascii="Times New Roman" w:eastAsia="Times" w:hAnsi="Times New Roman" w:cs="Times New Roman"/>
          <w:noProof/>
          <w:sz w:val="24"/>
          <w:szCs w:val="24"/>
          <w:lang w:val="en-IE"/>
        </w:rPr>
        <w:t xml:space="preserve"> activities carried out</w:t>
      </w:r>
      <w:r w:rsidRPr="00532C20">
        <w:rPr>
          <w:rFonts w:ascii="Times New Roman" w:eastAsia="Times" w:hAnsi="Times New Roman" w:cs="Times New Roman"/>
          <w:noProof/>
          <w:sz w:val="24"/>
          <w:szCs w:val="24"/>
          <w:lang w:val="en-IE"/>
        </w:rPr>
        <w:t xml:space="preserve"> on behalf of third countries, free, fair and resilient elections, and civic engagement, between October 2022 and May 2023.</w:t>
      </w:r>
    </w:p>
    <w:p w14:paraId="46C5ED86" w14:textId="49BC904D" w:rsidR="5AAF8E9E" w:rsidRPr="00532C20" w:rsidRDefault="00432785"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Following on the first wave of consultations, the Commission sent out additional questionnaires on potential policy options to Member States authorities, commercial entities and CSOs on 4 August 2023 with a (extended) deadline for contribution on 25 September 2023. </w:t>
      </w:r>
    </w:p>
    <w:p w14:paraId="3235FBC2" w14:textId="77777777" w:rsidR="00225D4C" w:rsidRPr="00532C20" w:rsidRDefault="0BF858A7" w:rsidP="004B0958">
      <w:pPr>
        <w:spacing w:before="240"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A Public Consultation, accompanied by feedback on the Call for Evidence document was published on 16 February 2023 and ran until 1</w:t>
      </w:r>
      <w:r w:rsidR="4276CBFE" w:rsidRPr="00532C20">
        <w:rPr>
          <w:rFonts w:ascii="Times New Roman" w:eastAsia="Times" w:hAnsi="Times New Roman" w:cs="Times New Roman"/>
          <w:noProof/>
          <w:sz w:val="24"/>
          <w:szCs w:val="24"/>
          <w:lang w:val="en-IE"/>
        </w:rPr>
        <w:t>4</w:t>
      </w:r>
      <w:r w:rsidRPr="00532C20">
        <w:rPr>
          <w:rFonts w:ascii="Times New Roman" w:eastAsia="Times" w:hAnsi="Times New Roman" w:cs="Times New Roman"/>
          <w:noProof/>
          <w:sz w:val="24"/>
          <w:szCs w:val="24"/>
          <w:lang w:val="en-IE"/>
        </w:rPr>
        <w:t xml:space="preserve"> April (8 weeks). </w:t>
      </w:r>
      <w:r w:rsidR="00432785" w:rsidRPr="00532C20">
        <w:rPr>
          <w:rFonts w:ascii="Times New Roman" w:eastAsia="Times" w:hAnsi="Times New Roman" w:cs="Times New Roman"/>
          <w:noProof/>
          <w:sz w:val="24"/>
          <w:szCs w:val="24"/>
          <w:lang w:val="en-IE"/>
        </w:rPr>
        <w:t xml:space="preserve">Feedbacks and contributions from stakeholders helped further developing problem definitions and policy options. </w:t>
      </w:r>
    </w:p>
    <w:p w14:paraId="5C07FF4B" w14:textId="0D35D00D" w:rsidR="00432785" w:rsidRPr="00532C20" w:rsidRDefault="00432785"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The Commission also ran a Flash Eurobarometer on Citizenship and Democracy and a second on Democracy. The</w:t>
      </w:r>
      <w:r w:rsidR="00A90D63" w:rsidRPr="00532C20">
        <w:rPr>
          <w:rFonts w:ascii="Times New Roman" w:eastAsia="Calibri" w:hAnsi="Times New Roman" w:cs="Times New Roman"/>
          <w:noProof/>
          <w:sz w:val="24"/>
          <w:szCs w:val="24"/>
          <w:lang w:val="en-IE"/>
        </w:rPr>
        <w:t xml:space="preserve"> 2</w:t>
      </w:r>
      <w:r w:rsidRPr="00532C20">
        <w:rPr>
          <w:rFonts w:ascii="Times New Roman" w:eastAsia="Calibri" w:hAnsi="Times New Roman" w:cs="Times New Roman"/>
          <w:noProof/>
          <w:sz w:val="24"/>
          <w:szCs w:val="24"/>
          <w:lang w:val="en-IE"/>
        </w:rPr>
        <w:t xml:space="preserve"> Eurobarometers are still unpublished. </w:t>
      </w:r>
    </w:p>
    <w:p w14:paraId="39D9B477" w14:textId="77777777" w:rsidR="5AAF8E9E" w:rsidRPr="00532C20" w:rsidRDefault="00432785" w:rsidP="004B0958">
      <w:pPr>
        <w:spacing w:before="240"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The Commission organised in this period</w:t>
      </w:r>
      <w:r w:rsidR="5AAF8E9E" w:rsidRPr="00532C20">
        <w:rPr>
          <w:rFonts w:ascii="Times New Roman" w:eastAsia="Times" w:hAnsi="Times New Roman" w:cs="Times New Roman"/>
          <w:noProof/>
          <w:sz w:val="24"/>
          <w:szCs w:val="24"/>
          <w:lang w:val="en-IE"/>
        </w:rPr>
        <w:t xml:space="preserve"> a series of focus groups meetings with relevant stakeholders, to gather additional evidence and data on the issues addressed by the package, the potential policy options</w:t>
      </w:r>
      <w:r w:rsidR="00AC51ED" w:rsidRPr="00532C20">
        <w:rPr>
          <w:rFonts w:ascii="Times New Roman" w:eastAsia="Times" w:hAnsi="Times New Roman" w:cs="Times New Roman"/>
          <w:noProof/>
          <w:sz w:val="24"/>
          <w:szCs w:val="24"/>
          <w:lang w:val="en-IE"/>
        </w:rPr>
        <w:t>,</w:t>
      </w:r>
      <w:r w:rsidR="5AAF8E9E" w:rsidRPr="00532C20">
        <w:rPr>
          <w:rFonts w:ascii="Times New Roman" w:eastAsia="Times" w:hAnsi="Times New Roman" w:cs="Times New Roman"/>
          <w:noProof/>
          <w:sz w:val="24"/>
          <w:szCs w:val="24"/>
          <w:lang w:val="en-IE"/>
        </w:rPr>
        <w:t xml:space="preserve"> and their impacts. It also conducted bilateral consultations and met with stakeholders</w:t>
      </w:r>
      <w:r w:rsidR="0094747A" w:rsidRPr="00532C20">
        <w:rPr>
          <w:rFonts w:ascii="Times New Roman" w:eastAsia="Times" w:hAnsi="Times New Roman" w:cs="Times New Roman"/>
          <w:noProof/>
          <w:sz w:val="24"/>
          <w:szCs w:val="24"/>
          <w:lang w:val="en-IE"/>
        </w:rPr>
        <w:t>,</w:t>
      </w:r>
      <w:r w:rsidR="5AAF8E9E" w:rsidRPr="00532C20">
        <w:rPr>
          <w:rFonts w:ascii="Times New Roman" w:eastAsia="Times" w:hAnsi="Times New Roman" w:cs="Times New Roman"/>
          <w:noProof/>
          <w:sz w:val="24"/>
          <w:szCs w:val="24"/>
          <w:lang w:val="en-IE"/>
        </w:rPr>
        <w:t xml:space="preserve"> at their own initiative. The Commission received additional </w:t>
      </w:r>
      <w:r w:rsidRPr="00532C20">
        <w:rPr>
          <w:rFonts w:ascii="Times New Roman" w:eastAsia="Times" w:hAnsi="Times New Roman" w:cs="Times New Roman"/>
          <w:noProof/>
          <w:sz w:val="24"/>
          <w:szCs w:val="24"/>
          <w:lang w:val="en-IE"/>
        </w:rPr>
        <w:t>feedbacks.</w:t>
      </w:r>
      <w:r w:rsidR="5AAF8E9E" w:rsidRPr="00532C20">
        <w:rPr>
          <w:rFonts w:ascii="Times New Roman" w:eastAsia="Times" w:hAnsi="Times New Roman" w:cs="Times New Roman"/>
          <w:noProof/>
          <w:sz w:val="24"/>
          <w:szCs w:val="24"/>
          <w:lang w:val="en-IE"/>
        </w:rPr>
        <w:t xml:space="preserve"> </w:t>
      </w:r>
    </w:p>
    <w:p w14:paraId="6FED195C" w14:textId="77777777" w:rsidR="5AAF8E9E" w:rsidRPr="00532C20" w:rsidRDefault="5AAF8E9E" w:rsidP="004B0958">
      <w:pPr>
        <w:spacing w:before="240"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Finally, the Commission contracted an external study to support its work on this package. As part of this study, the contractor also conducted a series of individual consultations with key stakeholders</w:t>
      </w:r>
      <w:r w:rsidR="00432785" w:rsidRPr="00532C20">
        <w:rPr>
          <w:rFonts w:ascii="Times New Roman" w:eastAsia="Times" w:hAnsi="Times New Roman" w:cs="Times New Roman"/>
          <w:noProof/>
          <w:sz w:val="24"/>
          <w:szCs w:val="24"/>
          <w:lang w:val="en-IE"/>
        </w:rPr>
        <w:t>.</w:t>
      </w:r>
      <w:r w:rsidRPr="00532C20">
        <w:rPr>
          <w:rFonts w:ascii="Times New Roman" w:eastAsia="Times" w:hAnsi="Times New Roman" w:cs="Times New Roman"/>
          <w:noProof/>
          <w:sz w:val="24"/>
          <w:szCs w:val="24"/>
          <w:lang w:val="en-IE"/>
        </w:rPr>
        <w:t xml:space="preserve"> </w:t>
      </w:r>
    </w:p>
    <w:p w14:paraId="75F2E058" w14:textId="77777777" w:rsidR="003079AD" w:rsidRPr="00532C20" w:rsidRDefault="003079AD" w:rsidP="004B0958">
      <w:pPr>
        <w:spacing w:before="240"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Relevant work in the European Parliament (including the Special Committee for foreign interference in all democratic processes in the EU, including disinformation) provided further input to the Commission analytical process. The Council of the European Union’s work (including in the relevant working parties) has also provided valuable input.  </w:t>
      </w:r>
    </w:p>
    <w:p w14:paraId="01958EFA" w14:textId="77777777" w:rsidR="5AAF8E9E" w:rsidRPr="00532C20" w:rsidRDefault="5AAF8E9E"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The original consultation strategy </w:t>
      </w:r>
      <w:r w:rsidR="003079AD" w:rsidRPr="00532C20">
        <w:rPr>
          <w:rFonts w:ascii="Times New Roman" w:eastAsia="Times" w:hAnsi="Times New Roman" w:cs="Times New Roman"/>
          <w:noProof/>
          <w:sz w:val="24"/>
          <w:szCs w:val="24"/>
          <w:lang w:val="en-IE"/>
        </w:rPr>
        <w:t>had</w:t>
      </w:r>
      <w:r w:rsidRPr="00532C20">
        <w:rPr>
          <w:rFonts w:ascii="Times New Roman" w:eastAsia="Times" w:hAnsi="Times New Roman" w:cs="Times New Roman"/>
          <w:noProof/>
          <w:sz w:val="24"/>
          <w:szCs w:val="24"/>
          <w:lang w:val="en-IE"/>
        </w:rPr>
        <w:t xml:space="preserve"> identified the following stakeholders with the aim of gathering their input: </w:t>
      </w:r>
    </w:p>
    <w:p w14:paraId="619ABBCC" w14:textId="77777777" w:rsidR="00456388" w:rsidRPr="00532C20" w:rsidRDefault="00456388" w:rsidP="00442114">
      <w:pPr>
        <w:numPr>
          <w:ilvl w:val="0"/>
          <w:numId w:val="3"/>
        </w:numPr>
        <w:spacing w:before="240" w:after="160" w:line="240" w:lineRule="auto"/>
        <w:ind w:left="714" w:hanging="357"/>
        <w:jc w:val="both"/>
        <w:rPr>
          <w:rFonts w:ascii="Times New Roman" w:eastAsia="Times" w:hAnsi="Times New Roman" w:cs="Times New Roman"/>
          <w:noProof/>
          <w:sz w:val="24"/>
          <w:szCs w:val="24"/>
          <w:lang w:val="en-IE" w:eastAsia="en-GB"/>
        </w:rPr>
      </w:pPr>
      <w:r w:rsidRPr="00532C20">
        <w:rPr>
          <w:rFonts w:ascii="Times New Roman" w:eastAsia="Times" w:hAnsi="Times New Roman" w:cs="Times New Roman"/>
          <w:noProof/>
          <w:sz w:val="24"/>
          <w:szCs w:val="24"/>
          <w:lang w:val="en-IE" w:eastAsia="en-GB"/>
        </w:rPr>
        <w:t>Commercial actors</w:t>
      </w:r>
      <w:r w:rsidRPr="00532C20">
        <w:rPr>
          <w:rFonts w:ascii="Times New Roman" w:eastAsia="Times" w:hAnsi="Times New Roman" w:cs="Times New Roman"/>
          <w:b/>
          <w:noProof/>
          <w:sz w:val="24"/>
          <w:szCs w:val="24"/>
          <w:lang w:val="en-IE" w:eastAsia="en-GB"/>
        </w:rPr>
        <w:t xml:space="preserve">, </w:t>
      </w:r>
      <w:r w:rsidRPr="00532C20">
        <w:rPr>
          <w:rFonts w:ascii="Times New Roman" w:eastAsia="Times" w:hAnsi="Times New Roman" w:cs="Times New Roman"/>
          <w:noProof/>
          <w:sz w:val="24"/>
          <w:szCs w:val="24"/>
          <w:lang w:val="en-IE" w:eastAsia="en-GB"/>
        </w:rPr>
        <w:t>covering entities engaged in interest representation activities, including public relations and lobbying firms;</w:t>
      </w:r>
    </w:p>
    <w:p w14:paraId="08237D0C" w14:textId="77777777" w:rsidR="00456388" w:rsidRPr="00532C20" w:rsidRDefault="00456388" w:rsidP="00442114">
      <w:pPr>
        <w:numPr>
          <w:ilvl w:val="0"/>
          <w:numId w:val="3"/>
        </w:numPr>
        <w:spacing w:before="240" w:after="160" w:line="240" w:lineRule="auto"/>
        <w:ind w:left="714" w:hanging="357"/>
        <w:jc w:val="both"/>
        <w:rPr>
          <w:rFonts w:ascii="Times New Roman" w:eastAsia="Times" w:hAnsi="Times New Roman" w:cs="Times New Roman"/>
          <w:noProof/>
          <w:sz w:val="24"/>
          <w:szCs w:val="24"/>
          <w:lang w:val="en-IE" w:eastAsia="en-GB"/>
        </w:rPr>
      </w:pPr>
      <w:r w:rsidRPr="00532C20">
        <w:rPr>
          <w:rFonts w:ascii="Times New Roman" w:eastAsia="Times" w:hAnsi="Times New Roman" w:cs="Times New Roman"/>
          <w:noProof/>
          <w:sz w:val="24"/>
          <w:szCs w:val="24"/>
          <w:lang w:val="en-IE" w:eastAsia="en-GB"/>
        </w:rPr>
        <w:t xml:space="preserve">Legal professionals involved in interest representation; </w:t>
      </w:r>
    </w:p>
    <w:p w14:paraId="5480DE92" w14:textId="77777777" w:rsidR="00456388" w:rsidRPr="00532C20" w:rsidRDefault="00456388" w:rsidP="00442114">
      <w:pPr>
        <w:numPr>
          <w:ilvl w:val="0"/>
          <w:numId w:val="3"/>
        </w:numPr>
        <w:spacing w:before="240" w:after="160" w:line="240" w:lineRule="auto"/>
        <w:ind w:left="714" w:hanging="357"/>
        <w:jc w:val="both"/>
        <w:rPr>
          <w:rFonts w:ascii="Times New Roman" w:eastAsia="Times" w:hAnsi="Times New Roman" w:cs="Times New Roman"/>
          <w:noProof/>
          <w:sz w:val="24"/>
          <w:szCs w:val="24"/>
          <w:lang w:val="en-IE" w:eastAsia="en-GB"/>
        </w:rPr>
      </w:pPr>
      <w:r w:rsidRPr="00532C20">
        <w:rPr>
          <w:rFonts w:ascii="Times New Roman" w:eastAsia="Times" w:hAnsi="Times New Roman" w:cs="Times New Roman"/>
          <w:noProof/>
          <w:sz w:val="24"/>
          <w:szCs w:val="24"/>
          <w:lang w:val="en-IE" w:eastAsia="en-GB"/>
        </w:rPr>
        <w:t xml:space="preserve">International organisations and standards setting bodies; </w:t>
      </w:r>
    </w:p>
    <w:p w14:paraId="6EE75D21" w14:textId="77777777" w:rsidR="00456388" w:rsidRPr="00532C20" w:rsidRDefault="00456388" w:rsidP="00442114">
      <w:pPr>
        <w:numPr>
          <w:ilvl w:val="0"/>
          <w:numId w:val="3"/>
        </w:numPr>
        <w:spacing w:before="240" w:after="160" w:line="240" w:lineRule="auto"/>
        <w:ind w:left="714" w:hanging="357"/>
        <w:jc w:val="both"/>
        <w:rPr>
          <w:rFonts w:ascii="Times New Roman" w:eastAsia="Times" w:hAnsi="Times New Roman" w:cs="Times New Roman"/>
          <w:noProof/>
          <w:sz w:val="24"/>
          <w:szCs w:val="24"/>
          <w:lang w:val="en-IE" w:eastAsia="en-GB"/>
        </w:rPr>
      </w:pPr>
      <w:r w:rsidRPr="00532C20">
        <w:rPr>
          <w:rFonts w:ascii="Times New Roman" w:eastAsia="Times" w:hAnsi="Times New Roman" w:cs="Times New Roman"/>
          <w:noProof/>
          <w:sz w:val="24"/>
          <w:szCs w:val="24"/>
          <w:lang w:val="en-IE" w:eastAsia="en-GB"/>
        </w:rPr>
        <w:t xml:space="preserve">Research bodies, education entities and Academia; </w:t>
      </w:r>
    </w:p>
    <w:p w14:paraId="3CECAFE0" w14:textId="77777777" w:rsidR="00456388" w:rsidRPr="00532C20" w:rsidRDefault="00456388" w:rsidP="00442114">
      <w:pPr>
        <w:numPr>
          <w:ilvl w:val="0"/>
          <w:numId w:val="3"/>
        </w:numPr>
        <w:spacing w:before="240" w:after="160" w:line="240" w:lineRule="auto"/>
        <w:ind w:left="714" w:hanging="357"/>
        <w:jc w:val="both"/>
        <w:rPr>
          <w:rFonts w:ascii="Times New Roman" w:eastAsia="Times" w:hAnsi="Times New Roman" w:cs="Times New Roman"/>
          <w:noProof/>
          <w:sz w:val="24"/>
          <w:szCs w:val="24"/>
          <w:lang w:val="en-IE" w:eastAsia="en-GB"/>
        </w:rPr>
      </w:pPr>
      <w:r w:rsidRPr="00532C20">
        <w:rPr>
          <w:rFonts w:ascii="Times New Roman" w:eastAsia="Times" w:hAnsi="Times New Roman" w:cs="Times New Roman"/>
          <w:noProof/>
          <w:sz w:val="24"/>
          <w:szCs w:val="24"/>
          <w:lang w:val="en-IE" w:eastAsia="en-GB"/>
        </w:rPr>
        <w:t xml:space="preserve">Non-commercial actors, including </w:t>
      </w:r>
      <w:r w:rsidR="000A6B37" w:rsidRPr="00532C20">
        <w:rPr>
          <w:rFonts w:ascii="Times New Roman" w:eastAsia="Times" w:hAnsi="Times New Roman" w:cs="Times New Roman"/>
          <w:noProof/>
          <w:sz w:val="24"/>
          <w:szCs w:val="24"/>
          <w:lang w:val="en-IE" w:eastAsia="en-GB"/>
        </w:rPr>
        <w:t>CSO</w:t>
      </w:r>
      <w:r w:rsidRPr="00532C20">
        <w:rPr>
          <w:rFonts w:ascii="Times New Roman" w:eastAsia="Times" w:hAnsi="Times New Roman" w:cs="Times New Roman"/>
          <w:noProof/>
          <w:sz w:val="24"/>
          <w:szCs w:val="24"/>
          <w:lang w:val="en-IE" w:eastAsia="en-GB"/>
        </w:rPr>
        <w:t>s, human rights defenders and think-tanks;</w:t>
      </w:r>
    </w:p>
    <w:p w14:paraId="5F240C00" w14:textId="77777777" w:rsidR="00456388" w:rsidRPr="00532C20" w:rsidRDefault="00456388" w:rsidP="00442114">
      <w:pPr>
        <w:numPr>
          <w:ilvl w:val="0"/>
          <w:numId w:val="3"/>
        </w:numPr>
        <w:spacing w:before="240" w:after="160" w:line="240" w:lineRule="auto"/>
        <w:ind w:left="714" w:hanging="357"/>
        <w:jc w:val="both"/>
        <w:rPr>
          <w:rFonts w:ascii="Times New Roman" w:eastAsia="Times" w:hAnsi="Times New Roman" w:cs="Times New Roman"/>
          <w:noProof/>
          <w:sz w:val="24"/>
          <w:szCs w:val="24"/>
          <w:lang w:val="en-IE" w:eastAsia="en-GB"/>
        </w:rPr>
      </w:pPr>
      <w:r w:rsidRPr="00532C20">
        <w:rPr>
          <w:rFonts w:ascii="Times New Roman" w:eastAsia="Times" w:hAnsi="Times New Roman" w:cs="Times New Roman"/>
          <w:noProof/>
          <w:sz w:val="24"/>
          <w:szCs w:val="24"/>
          <w:lang w:val="en-IE" w:eastAsia="en-GB"/>
        </w:rPr>
        <w:t>Political actors – including candidates, parties, foundations, campaign and activist organisations in the Member States, at national and European level. Local and regional political actors should be considered, as well as their representative bodies at a European level. </w:t>
      </w:r>
    </w:p>
    <w:p w14:paraId="04ED3DDC" w14:textId="77777777" w:rsidR="00456388" w:rsidRPr="00532C20" w:rsidRDefault="00456388" w:rsidP="00442114">
      <w:pPr>
        <w:numPr>
          <w:ilvl w:val="0"/>
          <w:numId w:val="3"/>
        </w:numPr>
        <w:spacing w:before="240" w:after="160" w:line="240" w:lineRule="auto"/>
        <w:ind w:left="714" w:hanging="357"/>
        <w:jc w:val="both"/>
        <w:rPr>
          <w:rFonts w:ascii="Times New Roman" w:eastAsia="Times" w:hAnsi="Times New Roman" w:cs="Times New Roman"/>
          <w:noProof/>
          <w:sz w:val="24"/>
          <w:szCs w:val="24"/>
          <w:lang w:val="en-IE" w:eastAsia="en-GB"/>
        </w:rPr>
      </w:pPr>
      <w:r w:rsidRPr="00532C20">
        <w:rPr>
          <w:rFonts w:ascii="Times New Roman" w:eastAsia="Times" w:hAnsi="Times New Roman" w:cs="Times New Roman"/>
          <w:noProof/>
          <w:sz w:val="24"/>
          <w:szCs w:val="24"/>
          <w:lang w:val="en-IE" w:eastAsia="en-GB"/>
        </w:rPr>
        <w:t>Public authorities</w:t>
      </w:r>
      <w:r w:rsidRPr="00532C20">
        <w:rPr>
          <w:rFonts w:ascii="Times New Roman" w:eastAsia="Times" w:hAnsi="Times New Roman" w:cs="Times New Roman"/>
          <w:b/>
          <w:noProof/>
          <w:sz w:val="24"/>
          <w:szCs w:val="24"/>
          <w:lang w:val="en-IE" w:eastAsia="en-GB"/>
        </w:rPr>
        <w:t xml:space="preserve"> </w:t>
      </w:r>
      <w:r w:rsidRPr="00532C20">
        <w:rPr>
          <w:rFonts w:ascii="Times New Roman" w:eastAsia="Times" w:hAnsi="Times New Roman" w:cs="Times New Roman"/>
          <w:noProof/>
          <w:sz w:val="24"/>
          <w:szCs w:val="24"/>
          <w:lang w:val="en-IE" w:eastAsia="en-GB"/>
        </w:rPr>
        <w:t xml:space="preserve">– national authorities with competence to monitor and enforce relevant rules, transparency obligations and electoral commissions, including via the European Cooperation Network on Elections;  </w:t>
      </w:r>
    </w:p>
    <w:p w14:paraId="1C6ADCF1" w14:textId="77777777" w:rsidR="47F6C13C" w:rsidRPr="00532C20" w:rsidRDefault="5AAF8E9E" w:rsidP="00442114">
      <w:pPr>
        <w:numPr>
          <w:ilvl w:val="0"/>
          <w:numId w:val="3"/>
        </w:numPr>
        <w:spacing w:before="240" w:after="160" w:line="240" w:lineRule="auto"/>
        <w:ind w:left="714" w:hanging="357"/>
        <w:contextualSpacing/>
        <w:jc w:val="both"/>
        <w:rPr>
          <w:rFonts w:ascii="Times New Roman" w:eastAsia="Times" w:hAnsi="Times New Roman" w:cs="Times New Roman"/>
          <w:noProof/>
          <w:sz w:val="24"/>
          <w:szCs w:val="24"/>
          <w:lang w:val="en-IE" w:eastAsia="en-GB"/>
        </w:rPr>
      </w:pPr>
      <w:r w:rsidRPr="00532C20">
        <w:rPr>
          <w:rFonts w:ascii="Times New Roman" w:eastAsia="Times" w:hAnsi="Times New Roman" w:cs="Times New Roman"/>
          <w:noProof/>
          <w:sz w:val="24"/>
          <w:szCs w:val="24"/>
          <w:lang w:val="en-IE" w:eastAsia="en-GB"/>
        </w:rPr>
        <w:t>General public, including EU and non-EU citizens</w:t>
      </w:r>
      <w:r w:rsidR="00456388" w:rsidRPr="00532C20">
        <w:rPr>
          <w:rFonts w:ascii="Times New Roman" w:eastAsia="Times" w:hAnsi="Times New Roman" w:cs="Times New Roman"/>
          <w:noProof/>
          <w:sz w:val="24"/>
          <w:szCs w:val="24"/>
          <w:lang w:val="en-IE" w:eastAsia="en-GB"/>
        </w:rPr>
        <w:t xml:space="preserve">, through the </w:t>
      </w:r>
      <w:r w:rsidR="0BDBA2BB" w:rsidRPr="00532C20">
        <w:rPr>
          <w:rFonts w:ascii="Times New Roman" w:eastAsia="Times" w:hAnsi="Times New Roman" w:cs="Times New Roman"/>
          <w:noProof/>
          <w:sz w:val="24"/>
          <w:szCs w:val="24"/>
          <w:lang w:val="en-IE" w:eastAsia="en-GB"/>
        </w:rPr>
        <w:t>Public Consultation</w:t>
      </w:r>
      <w:r w:rsidR="00456388" w:rsidRPr="00532C20">
        <w:rPr>
          <w:rFonts w:ascii="Times New Roman" w:eastAsia="Times" w:hAnsi="Times New Roman" w:cs="Times New Roman"/>
          <w:noProof/>
          <w:sz w:val="24"/>
          <w:szCs w:val="24"/>
          <w:lang w:val="en-IE" w:eastAsia="en-GB"/>
        </w:rPr>
        <w:t xml:space="preserve">. </w:t>
      </w:r>
    </w:p>
    <w:p w14:paraId="4AAACFFC" w14:textId="77777777" w:rsidR="00225D4C" w:rsidRPr="00532C20" w:rsidRDefault="00225D4C" w:rsidP="004B0958">
      <w:pPr>
        <w:spacing w:before="240" w:after="160" w:line="240" w:lineRule="auto"/>
        <w:ind w:left="720"/>
        <w:contextualSpacing/>
        <w:jc w:val="both"/>
        <w:rPr>
          <w:rFonts w:ascii="Times New Roman" w:eastAsia="Times" w:hAnsi="Times New Roman" w:cs="Times New Roman"/>
          <w:noProof/>
          <w:sz w:val="24"/>
          <w:szCs w:val="24"/>
          <w:lang w:val="en-IE" w:eastAsia="en-GB"/>
        </w:rPr>
      </w:pPr>
    </w:p>
    <w:p w14:paraId="15F9C680" w14:textId="77777777" w:rsidR="5AAF8E9E" w:rsidRPr="00532C20" w:rsidRDefault="5AAF8E9E"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The methodology, consultation tools, overview and analysis of the results are further described below. </w:t>
      </w:r>
    </w:p>
    <w:p w14:paraId="2A40C8B6" w14:textId="28AEE6DF" w:rsidR="47F6C13C" w:rsidRPr="00532C20" w:rsidRDefault="5AAF8E9E" w:rsidP="002B0B48">
      <w:pPr>
        <w:pStyle w:val="Style111"/>
        <w:numPr>
          <w:ilvl w:val="0"/>
          <w:numId w:val="74"/>
        </w:numPr>
        <w:rPr>
          <w:rFonts w:ascii="Times New Roman" w:eastAsia="Times" w:hAnsi="Times New Roman" w:cs="Times New Roman"/>
          <w:smallCaps w:val="0"/>
          <w:noProof/>
          <w:u w:val="single"/>
          <w:lang w:eastAsia="en-US"/>
        </w:rPr>
      </w:pPr>
      <w:r w:rsidRPr="00532C20">
        <w:rPr>
          <w:rFonts w:ascii="Times New Roman" w:eastAsia="Times" w:hAnsi="Times New Roman" w:cs="Times New Roman"/>
          <w:smallCaps w:val="0"/>
          <w:noProof/>
          <w:u w:val="single"/>
          <w:lang w:eastAsia="en-US"/>
        </w:rPr>
        <w:t>P</w:t>
      </w:r>
      <w:r w:rsidR="00B03A8F" w:rsidRPr="00532C20">
        <w:rPr>
          <w:rFonts w:ascii="Times New Roman" w:eastAsia="Times" w:hAnsi="Times New Roman" w:cs="Times New Roman"/>
          <w:smallCaps w:val="0"/>
          <w:noProof/>
          <w:u w:val="single"/>
          <w:lang w:eastAsia="en-US"/>
        </w:rPr>
        <w:t xml:space="preserve">ublic consultation </w:t>
      </w:r>
    </w:p>
    <w:p w14:paraId="1260A80A" w14:textId="1FF6D413" w:rsidR="5AAF8E9E" w:rsidRPr="00532C20" w:rsidRDefault="51AE13A4" w:rsidP="004B0958">
      <w:pPr>
        <w:tabs>
          <w:tab w:val="left" w:pos="720"/>
        </w:tabs>
        <w:spacing w:before="240"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The Public Consultation was launched on 16 February and ran until 1</w:t>
      </w:r>
      <w:r w:rsidR="0065276F" w:rsidRPr="00532C20">
        <w:rPr>
          <w:rFonts w:ascii="Times New Roman" w:eastAsia="Times" w:hAnsi="Times New Roman" w:cs="Times New Roman"/>
          <w:noProof/>
          <w:sz w:val="24"/>
          <w:szCs w:val="24"/>
          <w:lang w:val="en-IE"/>
        </w:rPr>
        <w:t>4</w:t>
      </w:r>
      <w:r w:rsidRPr="00532C20">
        <w:rPr>
          <w:rFonts w:ascii="Times New Roman" w:eastAsia="Times" w:hAnsi="Times New Roman" w:cs="Times New Roman"/>
          <w:noProof/>
          <w:sz w:val="24"/>
          <w:szCs w:val="24"/>
          <w:lang w:val="en-IE"/>
        </w:rPr>
        <w:t xml:space="preserve"> April</w:t>
      </w:r>
      <w:r w:rsidR="38B42FF5" w:rsidRPr="00532C20">
        <w:rPr>
          <w:rFonts w:ascii="Times New Roman" w:eastAsia="Times" w:hAnsi="Times New Roman" w:cs="Times New Roman"/>
          <w:noProof/>
          <w:sz w:val="24"/>
          <w:szCs w:val="24"/>
          <w:lang w:val="en-IE"/>
        </w:rPr>
        <w:t xml:space="preserve"> (8 weeks). It was opened to everyone</w:t>
      </w:r>
      <w:r w:rsidRPr="00532C20">
        <w:rPr>
          <w:rFonts w:ascii="Times New Roman" w:eastAsia="Times" w:hAnsi="Times New Roman" w:cs="Times New Roman"/>
          <w:noProof/>
          <w:sz w:val="24"/>
          <w:szCs w:val="24"/>
          <w:lang w:val="en-IE"/>
        </w:rPr>
        <w:t xml:space="preserve">, from EU citizens to private companies. </w:t>
      </w:r>
      <w:r w:rsidR="00432785" w:rsidRPr="00532C20">
        <w:rPr>
          <w:rFonts w:ascii="Times New Roman" w:eastAsia="Times" w:hAnsi="Times New Roman" w:cs="Times New Roman"/>
          <w:noProof/>
          <w:sz w:val="24"/>
          <w:szCs w:val="24"/>
          <w:lang w:val="en-IE"/>
        </w:rPr>
        <w:t>A communication campaign on the Public Consultation was organised by the Commission</w:t>
      </w:r>
      <w:r w:rsidR="7B0EFB19" w:rsidRPr="00532C20">
        <w:rPr>
          <w:rFonts w:ascii="Times New Roman" w:eastAsia="Times" w:hAnsi="Times New Roman" w:cs="Times New Roman"/>
          <w:noProof/>
          <w:sz w:val="24"/>
          <w:szCs w:val="24"/>
          <w:lang w:val="en-IE"/>
        </w:rPr>
        <w:t xml:space="preserve">, </w:t>
      </w:r>
      <w:r w:rsidRPr="00532C20">
        <w:rPr>
          <w:rFonts w:ascii="Times New Roman" w:eastAsia="Times" w:hAnsi="Times New Roman" w:cs="Times New Roman"/>
          <w:noProof/>
          <w:sz w:val="24"/>
          <w:szCs w:val="24"/>
          <w:lang w:val="en-IE"/>
        </w:rPr>
        <w:t>including social media post</w:t>
      </w:r>
      <w:r w:rsidR="275B3898" w:rsidRPr="00532C20">
        <w:rPr>
          <w:rFonts w:ascii="Times New Roman" w:eastAsia="Times" w:hAnsi="Times New Roman" w:cs="Times New Roman"/>
          <w:noProof/>
          <w:sz w:val="24"/>
          <w:szCs w:val="24"/>
          <w:lang w:val="en-IE"/>
        </w:rPr>
        <w:t>s to reach out to specific entities and individuals,</w:t>
      </w:r>
      <w:r w:rsidR="0D255730" w:rsidRPr="00532C20">
        <w:rPr>
          <w:rFonts w:ascii="Times New Roman" w:eastAsia="Times" w:hAnsi="Times New Roman" w:cs="Times New Roman"/>
          <w:noProof/>
          <w:sz w:val="24"/>
          <w:szCs w:val="24"/>
          <w:lang w:val="en-IE"/>
        </w:rPr>
        <w:t xml:space="preserve"> and communication on the Commission’s website</w:t>
      </w:r>
      <w:r w:rsidRPr="00532C20">
        <w:rPr>
          <w:rFonts w:ascii="Times New Roman" w:eastAsia="Times" w:hAnsi="Times New Roman" w:cs="Times New Roman"/>
          <w:noProof/>
          <w:sz w:val="24"/>
          <w:szCs w:val="24"/>
          <w:lang w:val="en-IE"/>
        </w:rPr>
        <w:t xml:space="preserve">. This campaign reached out to </w:t>
      </w:r>
      <w:r w:rsidR="00D7576F" w:rsidRPr="00532C20">
        <w:rPr>
          <w:rFonts w:ascii="Times New Roman" w:eastAsia="Times" w:hAnsi="Times New Roman" w:cs="Times New Roman"/>
          <w:noProof/>
          <w:sz w:val="24"/>
          <w:szCs w:val="24"/>
          <w:lang w:val="en-IE"/>
        </w:rPr>
        <w:t>6,501,095 people.</w:t>
      </w:r>
    </w:p>
    <w:p w14:paraId="211B4AC5" w14:textId="77777777" w:rsidR="00D7576F" w:rsidRPr="00532C20" w:rsidRDefault="3717FB76" w:rsidP="004B0958">
      <w:pPr>
        <w:tabs>
          <w:tab w:val="left" w:pos="720"/>
        </w:tabs>
        <w:spacing w:before="240" w:after="160" w:line="240" w:lineRule="auto"/>
        <w:jc w:val="both"/>
        <w:rPr>
          <w:rFonts w:ascii="Times New Roman" w:eastAsia="MS PGothic" w:hAnsi="Times New Roman" w:cs="Times New Roman"/>
          <w:noProof/>
          <w:sz w:val="24"/>
          <w:szCs w:val="24"/>
          <w:lang w:val="en-IE"/>
        </w:rPr>
      </w:pPr>
      <w:r w:rsidRPr="00532C20">
        <w:rPr>
          <w:rFonts w:ascii="Times New Roman" w:eastAsia="Times" w:hAnsi="Times New Roman" w:cs="Times New Roman"/>
          <w:noProof/>
          <w:sz w:val="24"/>
          <w:szCs w:val="24"/>
          <w:lang w:val="en-IE"/>
        </w:rPr>
        <w:t>In total, 85</w:t>
      </w:r>
      <w:r w:rsidR="0CF45FFA" w:rsidRPr="00532C20">
        <w:rPr>
          <w:rFonts w:ascii="Times New Roman" w:eastAsia="Times" w:hAnsi="Times New Roman" w:cs="Times New Roman"/>
          <w:noProof/>
          <w:sz w:val="24"/>
          <w:szCs w:val="24"/>
          <w:lang w:val="en-IE"/>
        </w:rPr>
        <w:t>2</w:t>
      </w:r>
      <w:r w:rsidRPr="00532C20">
        <w:rPr>
          <w:rFonts w:ascii="Times New Roman" w:eastAsia="Times" w:hAnsi="Times New Roman" w:cs="Times New Roman"/>
          <w:noProof/>
          <w:sz w:val="24"/>
          <w:szCs w:val="24"/>
          <w:lang w:val="en-IE"/>
        </w:rPr>
        <w:t xml:space="preserve"> responses were received in the context of the </w:t>
      </w:r>
      <w:r w:rsidR="35233CF5" w:rsidRPr="00532C20">
        <w:rPr>
          <w:rFonts w:ascii="Times New Roman" w:eastAsia="Times" w:hAnsi="Times New Roman" w:cs="Times New Roman"/>
          <w:noProof/>
          <w:sz w:val="24"/>
          <w:szCs w:val="24"/>
          <w:lang w:val="en-IE"/>
        </w:rPr>
        <w:t>Public Consultation</w:t>
      </w:r>
      <w:r w:rsidR="388BA820" w:rsidRPr="00532C20">
        <w:rPr>
          <w:rFonts w:ascii="Times New Roman" w:eastAsia="Times" w:hAnsi="Times New Roman" w:cs="Times New Roman"/>
          <w:noProof/>
          <w:sz w:val="24"/>
          <w:szCs w:val="24"/>
          <w:lang w:val="en-IE"/>
        </w:rPr>
        <w:t>.</w:t>
      </w:r>
      <w:r w:rsidRPr="00532C20">
        <w:rPr>
          <w:rFonts w:ascii="Times New Roman" w:eastAsia="Times" w:hAnsi="Times New Roman" w:cs="Times New Roman"/>
          <w:noProof/>
          <w:sz w:val="24"/>
          <w:szCs w:val="24"/>
          <w:lang w:val="en-IE"/>
        </w:rPr>
        <w:t xml:space="preserve"> The majority of respondents were from the EU, with only 12 from outside the EU. Their main countries of origin were France, Slovakia, Belgium and Spain. The vast majority of feedback was received from EU citizens </w:t>
      </w:r>
      <w:r w:rsidRPr="00532C20">
        <w:rPr>
          <w:rFonts w:ascii="Times New Roman" w:hAnsi="Times New Roman" w:cs="Times New Roman"/>
          <w:noProof/>
          <w:sz w:val="24"/>
          <w:szCs w:val="24"/>
          <w:lang w:val="en-IE"/>
        </w:rPr>
        <w:t>(92%).</w:t>
      </w:r>
      <w:r w:rsidRPr="00532C20">
        <w:rPr>
          <w:rFonts w:ascii="Times New Roman" w:eastAsia="Times" w:hAnsi="Times New Roman" w:cs="Times New Roman"/>
          <w:noProof/>
          <w:sz w:val="24"/>
          <w:szCs w:val="24"/>
          <w:lang w:val="en-IE"/>
        </w:rPr>
        <w:t xml:space="preserve"> Non-Governmental Organisations amounted for 3.5% of the respondents. However, only 3 company/businesses replied to the consultation. </w:t>
      </w:r>
    </w:p>
    <w:p w14:paraId="2F1037D1" w14:textId="2167F9B8" w:rsidR="00D7576F" w:rsidRPr="00532C20" w:rsidRDefault="00D7576F" w:rsidP="002B0B48">
      <w:pPr>
        <w:pStyle w:val="ListParagraph"/>
        <w:numPr>
          <w:ilvl w:val="1"/>
          <w:numId w:val="74"/>
        </w:numPr>
        <w:rPr>
          <w:rFonts w:cs="Times New Roman"/>
          <w:b/>
          <w:noProof/>
        </w:rPr>
      </w:pPr>
      <w:r w:rsidRPr="00532C20">
        <w:rPr>
          <w:rFonts w:ascii="Times New Roman" w:hAnsi="Times New Roman" w:cs="Times New Roman"/>
          <w:b/>
          <w:bCs/>
          <w:noProof/>
          <w:u w:val="single"/>
          <w:lang w:val="en-IE"/>
        </w:rPr>
        <w:t>Results</w:t>
      </w:r>
    </w:p>
    <w:p w14:paraId="1C3A1502" w14:textId="77777777" w:rsidR="5AAF8E9E" w:rsidRPr="00532C20" w:rsidRDefault="212CCB60" w:rsidP="004B0958">
      <w:pPr>
        <w:tabs>
          <w:tab w:val="left" w:pos="720"/>
        </w:tabs>
        <w:spacing w:before="240"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The </w:t>
      </w:r>
      <w:r w:rsidR="22438338" w:rsidRPr="00532C20">
        <w:rPr>
          <w:rFonts w:ascii="Times New Roman" w:eastAsia="Times" w:hAnsi="Times New Roman" w:cs="Times New Roman"/>
          <w:noProof/>
          <w:sz w:val="24"/>
          <w:szCs w:val="24"/>
          <w:lang w:val="en-IE"/>
        </w:rPr>
        <w:t>public consultation</w:t>
      </w:r>
      <w:r w:rsidRPr="00532C20">
        <w:rPr>
          <w:rFonts w:ascii="Times New Roman" w:eastAsia="Times" w:hAnsi="Times New Roman" w:cs="Times New Roman"/>
          <w:noProof/>
          <w:sz w:val="24"/>
          <w:szCs w:val="24"/>
          <w:lang w:val="en-IE"/>
        </w:rPr>
        <w:t xml:space="preserve"> was divided into 4 main sections, with some answers available only to those ticking dedicated boxes corresponding to specific requirements. </w:t>
      </w:r>
    </w:p>
    <w:p w14:paraId="7B44BD86" w14:textId="77777777" w:rsidR="5AAF8E9E" w:rsidRPr="00532C20" w:rsidRDefault="5AAF8E9E" w:rsidP="00442114">
      <w:pPr>
        <w:numPr>
          <w:ilvl w:val="0"/>
          <w:numId w:val="2"/>
        </w:numPr>
        <w:spacing w:before="240" w:after="160" w:line="240" w:lineRule="auto"/>
        <w:contextualSpacing/>
        <w:jc w:val="both"/>
        <w:rPr>
          <w:rFonts w:ascii="Times New Roman" w:eastAsia="Times" w:hAnsi="Times New Roman" w:cs="Times New Roman"/>
          <w:b/>
          <w:noProof/>
          <w:sz w:val="24"/>
          <w:szCs w:val="24"/>
          <w:lang w:val="en-IE" w:eastAsia="en-GB"/>
        </w:rPr>
      </w:pPr>
      <w:r w:rsidRPr="00532C20">
        <w:rPr>
          <w:rFonts w:ascii="Times New Roman" w:eastAsia="Times" w:hAnsi="Times New Roman" w:cs="Times New Roman"/>
          <w:b/>
          <w:noProof/>
          <w:sz w:val="24"/>
          <w:szCs w:val="24"/>
          <w:lang w:val="en-IE" w:eastAsia="en-GB"/>
        </w:rPr>
        <w:t>On</w:t>
      </w:r>
      <w:r w:rsidR="00AA5B8D" w:rsidRPr="00532C20">
        <w:rPr>
          <w:rFonts w:ascii="Times New Roman" w:eastAsia="Times" w:hAnsi="Times New Roman" w:cs="Times New Roman"/>
          <w:b/>
          <w:noProof/>
          <w:sz w:val="24"/>
          <w:szCs w:val="24"/>
          <w:lang w:val="en-IE" w:eastAsia="en-GB"/>
        </w:rPr>
        <w:t xml:space="preserve"> interest representation and</w:t>
      </w:r>
      <w:r w:rsidRPr="00532C20">
        <w:rPr>
          <w:rFonts w:ascii="Times New Roman" w:eastAsia="Times" w:hAnsi="Times New Roman" w:cs="Times New Roman"/>
          <w:b/>
          <w:noProof/>
          <w:sz w:val="24"/>
          <w:szCs w:val="24"/>
          <w:lang w:val="en-IE" w:eastAsia="en-GB"/>
        </w:rPr>
        <w:t xml:space="preserve"> foreign interference </w:t>
      </w:r>
    </w:p>
    <w:p w14:paraId="1727A8AE" w14:textId="77777777" w:rsidR="00D7576F" w:rsidRPr="00532C20" w:rsidRDefault="00D7576F" w:rsidP="004B0958">
      <w:pPr>
        <w:spacing w:before="240" w:after="16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This specific section of the public consultation examined perceptions on entities </w:t>
      </w:r>
      <w:r w:rsidR="12DA8E94" w:rsidRPr="00532C20">
        <w:rPr>
          <w:rFonts w:ascii="Times New Roman" w:eastAsia="Symbol" w:hAnsi="Times New Roman" w:cs="Times New Roman"/>
          <w:noProof/>
          <w:sz w:val="24"/>
          <w:szCs w:val="24"/>
          <w:lang w:val="en-IE"/>
        </w:rPr>
        <w:t>that</w:t>
      </w:r>
      <w:r w:rsidR="5BD79D12" w:rsidRPr="00532C20">
        <w:rPr>
          <w:rFonts w:ascii="Times New Roman" w:eastAsia="Symbol" w:hAnsi="Times New Roman" w:cs="Times New Roman"/>
          <w:noProof/>
          <w:sz w:val="24"/>
          <w:szCs w:val="24"/>
          <w:lang w:val="en-IE"/>
        </w:rPr>
        <w:t xml:space="preserve"> </w:t>
      </w:r>
      <w:r w:rsidRPr="00532C20">
        <w:rPr>
          <w:rFonts w:ascii="Times New Roman" w:eastAsia="Symbol" w:hAnsi="Times New Roman" w:cs="Times New Roman"/>
          <w:noProof/>
          <w:sz w:val="24"/>
          <w:szCs w:val="24"/>
          <w:lang w:val="en-IE"/>
        </w:rPr>
        <w:t>can significantly influence public decision-making processes and, more specifically, posed the question of which entities are more likely to create a risk of covert interference of third countries in the European democratic space.</w:t>
      </w:r>
    </w:p>
    <w:p w14:paraId="677EDD5F" w14:textId="77777777" w:rsidR="00D7576F" w:rsidRPr="00532C20" w:rsidRDefault="00D7576F">
      <w:pPr>
        <w:numPr>
          <w:ilvl w:val="0"/>
          <w:numId w:val="35"/>
        </w:numPr>
        <w:spacing w:before="240" w:after="160" w:line="240" w:lineRule="auto"/>
        <w:ind w:left="714" w:hanging="357"/>
        <w:jc w:val="both"/>
        <w:rPr>
          <w:rFonts w:ascii="Times New Roman" w:eastAsia="Symbol" w:hAnsi="Times New Roman" w:cs="Times New Roman"/>
          <w:noProof/>
          <w:sz w:val="24"/>
          <w:szCs w:val="24"/>
          <w:lang w:val="en-IE" w:eastAsia="en-GB"/>
        </w:rPr>
      </w:pPr>
      <w:r w:rsidRPr="00532C20">
        <w:rPr>
          <w:rFonts w:ascii="Times New Roman" w:eastAsia="Symbol" w:hAnsi="Times New Roman" w:cs="Times New Roman"/>
          <w:b/>
          <w:noProof/>
          <w:sz w:val="24"/>
          <w:szCs w:val="24"/>
          <w:lang w:val="en-IE" w:eastAsia="en-GB"/>
        </w:rPr>
        <w:t>Lobbying</w:t>
      </w:r>
      <w:r w:rsidRPr="00532C20">
        <w:rPr>
          <w:rFonts w:ascii="Times New Roman" w:eastAsia="Symbol" w:hAnsi="Times New Roman" w:cs="Times New Roman"/>
          <w:noProof/>
          <w:sz w:val="24"/>
          <w:szCs w:val="24"/>
          <w:lang w:val="en-IE" w:eastAsia="en-GB"/>
        </w:rPr>
        <w:t xml:space="preserve"> is perceived as having the highest potential to significantly influence legislation in the EU. A total of 802 respondents (96.4%) labelled lobbying as either very (83.2%) or somewhat (13.2%) influential.</w:t>
      </w:r>
    </w:p>
    <w:p w14:paraId="08FF6E44" w14:textId="77777777" w:rsidR="00D7576F" w:rsidRPr="00532C20" w:rsidRDefault="00D7576F">
      <w:pPr>
        <w:numPr>
          <w:ilvl w:val="0"/>
          <w:numId w:val="35"/>
        </w:numPr>
        <w:spacing w:before="240" w:after="160" w:line="240" w:lineRule="auto"/>
        <w:ind w:left="714" w:hanging="357"/>
        <w:jc w:val="both"/>
        <w:rPr>
          <w:rFonts w:ascii="Times New Roman" w:eastAsia="Symbol" w:hAnsi="Times New Roman" w:cs="Times New Roman"/>
          <w:noProof/>
          <w:sz w:val="24"/>
          <w:szCs w:val="24"/>
          <w:lang w:val="en-IE" w:eastAsia="en-GB"/>
        </w:rPr>
      </w:pPr>
      <w:r w:rsidRPr="00532C20">
        <w:rPr>
          <w:rFonts w:ascii="Times New Roman" w:eastAsia="Symbol" w:hAnsi="Times New Roman" w:cs="Times New Roman"/>
          <w:noProof/>
          <w:sz w:val="24"/>
          <w:szCs w:val="24"/>
          <w:lang w:val="en-IE" w:eastAsia="en-GB"/>
        </w:rPr>
        <w:t>The activities of ‘</w:t>
      </w:r>
      <w:r w:rsidRPr="00532C20">
        <w:rPr>
          <w:rFonts w:ascii="Times New Roman" w:eastAsia="Symbol" w:hAnsi="Times New Roman" w:cs="Times New Roman"/>
          <w:b/>
          <w:noProof/>
          <w:sz w:val="24"/>
          <w:szCs w:val="24"/>
          <w:lang w:val="en-IE" w:eastAsia="en-GB"/>
        </w:rPr>
        <w:t>Public relations, advertising, media campaigns, including social media</w:t>
      </w:r>
      <w:r w:rsidRPr="00532C20">
        <w:rPr>
          <w:rFonts w:ascii="Times New Roman" w:eastAsia="Symbol" w:hAnsi="Times New Roman" w:cs="Times New Roman"/>
          <w:noProof/>
          <w:sz w:val="24"/>
          <w:szCs w:val="24"/>
          <w:lang w:val="en-IE" w:eastAsia="en-GB"/>
        </w:rPr>
        <w:t xml:space="preserve">’, and of political parties are also considered as having the potential to significantly influence legislation or other public decision-making processes. More specifically, public relations activities were considered as very or somewhat influential by a combined 91.2% of respondents, while the same figure for activities of political parties was 91.5%. </w:t>
      </w:r>
    </w:p>
    <w:p w14:paraId="4A35D7A2" w14:textId="77777777" w:rsidR="00D7576F" w:rsidRPr="00532C20" w:rsidRDefault="00D7576F">
      <w:pPr>
        <w:numPr>
          <w:ilvl w:val="0"/>
          <w:numId w:val="35"/>
        </w:numPr>
        <w:spacing w:before="240" w:after="160" w:line="240" w:lineRule="auto"/>
        <w:ind w:left="714" w:hanging="357"/>
        <w:jc w:val="both"/>
        <w:rPr>
          <w:rFonts w:ascii="Times New Roman" w:eastAsia="Symbol" w:hAnsi="Times New Roman" w:cs="Times New Roman"/>
          <w:noProof/>
          <w:sz w:val="24"/>
          <w:szCs w:val="24"/>
          <w:lang w:val="en-IE" w:eastAsia="en-GB"/>
        </w:rPr>
      </w:pPr>
      <w:r w:rsidRPr="00532C20">
        <w:rPr>
          <w:rFonts w:ascii="Times New Roman" w:eastAsia="Symbol" w:hAnsi="Times New Roman" w:cs="Times New Roman"/>
          <w:noProof/>
          <w:sz w:val="24"/>
          <w:szCs w:val="24"/>
          <w:lang w:val="en-IE" w:eastAsia="en-GB"/>
        </w:rPr>
        <w:t xml:space="preserve">Whilst the extent of influence for the remaining activities listed (‘Education and training’, ‘Research’ and the ‘Organisation of conferences’) was not perceived to be as influential, respondents still considered them to be able to influence the legislation making process to some degree. </w:t>
      </w:r>
    </w:p>
    <w:p w14:paraId="0E9E2CC8" w14:textId="77777777" w:rsidR="00D7576F" w:rsidRPr="00532C20" w:rsidRDefault="00D7576F" w:rsidP="004B0958">
      <w:pPr>
        <w:spacing w:before="240" w:after="16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The public consultation then focused on examining the EU perception of risks of interference with the European democratic space and public debate related to the control or remuneration of influential activities by third countries. </w:t>
      </w:r>
    </w:p>
    <w:p w14:paraId="6528C0B5" w14:textId="77777777" w:rsidR="00D7576F" w:rsidRPr="00532C20" w:rsidRDefault="00D7576F">
      <w:pPr>
        <w:numPr>
          <w:ilvl w:val="0"/>
          <w:numId w:val="36"/>
        </w:numPr>
        <w:spacing w:before="240" w:after="160" w:line="240" w:lineRule="auto"/>
        <w:contextualSpacing/>
        <w:jc w:val="both"/>
        <w:rPr>
          <w:rFonts w:ascii="Times New Roman" w:eastAsia="Symbol" w:hAnsi="Times New Roman" w:cs="Times New Roman"/>
          <w:noProof/>
          <w:sz w:val="24"/>
          <w:szCs w:val="24"/>
          <w:lang w:val="en-IE" w:eastAsia="en-GB"/>
        </w:rPr>
      </w:pPr>
      <w:r w:rsidRPr="00532C20">
        <w:rPr>
          <w:rFonts w:ascii="Times New Roman" w:eastAsia="Symbol" w:hAnsi="Times New Roman" w:cs="Times New Roman"/>
          <w:noProof/>
          <w:sz w:val="24"/>
          <w:szCs w:val="24"/>
          <w:lang w:val="en-IE" w:eastAsia="en-GB"/>
        </w:rPr>
        <w:t xml:space="preserve">Lobbying and public relations activities remunerated by or controlled by third countries are perceived by stakeholders to pose the greatest risk to the European democratic space, with 86.6% considering this factor to trigger a high risk. </w:t>
      </w:r>
    </w:p>
    <w:p w14:paraId="6775C79A" w14:textId="77777777" w:rsidR="00D7576F" w:rsidRPr="00532C20" w:rsidRDefault="00D7576F">
      <w:pPr>
        <w:numPr>
          <w:ilvl w:val="0"/>
          <w:numId w:val="36"/>
        </w:numPr>
        <w:spacing w:before="240" w:after="160" w:line="240" w:lineRule="auto"/>
        <w:contextualSpacing/>
        <w:jc w:val="both"/>
        <w:rPr>
          <w:rFonts w:ascii="Times New Roman" w:eastAsia="Symbol" w:hAnsi="Times New Roman" w:cs="Times New Roman"/>
          <w:noProof/>
          <w:sz w:val="24"/>
          <w:szCs w:val="24"/>
          <w:lang w:val="en-IE" w:eastAsia="en-GB"/>
        </w:rPr>
      </w:pPr>
      <w:r w:rsidRPr="00532C20">
        <w:rPr>
          <w:rFonts w:ascii="Times New Roman" w:eastAsia="Symbol" w:hAnsi="Times New Roman" w:cs="Times New Roman"/>
          <w:noProof/>
          <w:sz w:val="24"/>
          <w:szCs w:val="24"/>
          <w:lang w:val="en-IE" w:eastAsia="en-GB"/>
        </w:rPr>
        <w:t xml:space="preserve">A total of 79.8% considered political parties funded by third countries or funded/supported by entities based in third countries to be a factor that can trigger high risk. </w:t>
      </w:r>
    </w:p>
    <w:p w14:paraId="2C7755B5" w14:textId="77777777" w:rsidR="00D7576F" w:rsidRPr="00532C20" w:rsidRDefault="00D7576F">
      <w:pPr>
        <w:numPr>
          <w:ilvl w:val="0"/>
          <w:numId w:val="36"/>
        </w:numPr>
        <w:spacing w:before="240" w:after="160" w:line="240" w:lineRule="auto"/>
        <w:contextualSpacing/>
        <w:jc w:val="both"/>
        <w:rPr>
          <w:rFonts w:ascii="Times New Roman" w:eastAsia="Symbol" w:hAnsi="Times New Roman" w:cs="Times New Roman"/>
          <w:noProof/>
          <w:sz w:val="24"/>
          <w:szCs w:val="24"/>
          <w:lang w:val="en-IE" w:eastAsia="en-GB"/>
        </w:rPr>
      </w:pPr>
      <w:r w:rsidRPr="00532C20">
        <w:rPr>
          <w:rFonts w:ascii="Times New Roman" w:eastAsia="Symbol" w:hAnsi="Times New Roman" w:cs="Times New Roman"/>
          <w:noProof/>
          <w:sz w:val="24"/>
          <w:szCs w:val="24"/>
          <w:lang w:val="en-IE" w:eastAsia="en-GB"/>
        </w:rPr>
        <w:t xml:space="preserve">Cyberattacks on digital election tools and electoral infrastructures are also </w:t>
      </w:r>
      <w:r w:rsidR="1AFF3BBA" w:rsidRPr="00532C20">
        <w:rPr>
          <w:rFonts w:ascii="Times New Roman" w:eastAsia="Symbol" w:hAnsi="Times New Roman" w:cs="Times New Roman"/>
          <w:noProof/>
          <w:sz w:val="24"/>
          <w:szCs w:val="24"/>
          <w:lang w:val="en-IE" w:eastAsia="en-GB"/>
        </w:rPr>
        <w:t xml:space="preserve">perceived </w:t>
      </w:r>
      <w:r w:rsidR="69A3BBEF" w:rsidRPr="00532C20">
        <w:rPr>
          <w:rFonts w:ascii="Times New Roman" w:eastAsia="Symbol" w:hAnsi="Times New Roman" w:cs="Times New Roman"/>
          <w:noProof/>
          <w:sz w:val="24"/>
          <w:szCs w:val="24"/>
          <w:lang w:val="en-IE" w:eastAsia="en-GB"/>
        </w:rPr>
        <w:t>to</w:t>
      </w:r>
      <w:r w:rsidRPr="00532C20">
        <w:rPr>
          <w:rFonts w:ascii="Times New Roman" w:eastAsia="Symbol" w:hAnsi="Times New Roman" w:cs="Times New Roman"/>
          <w:noProof/>
          <w:sz w:val="24"/>
          <w:szCs w:val="24"/>
          <w:lang w:val="en-IE" w:eastAsia="en-GB"/>
        </w:rPr>
        <w:t xml:space="preserve"> be likely to create particular risks, as 74.5% labelled these activities as a factor triggering a high risk and 16.9% a moderate risk. </w:t>
      </w:r>
    </w:p>
    <w:p w14:paraId="791FD6C5" w14:textId="77777777" w:rsidR="00D7576F" w:rsidRPr="00532C20" w:rsidRDefault="00D7576F">
      <w:pPr>
        <w:numPr>
          <w:ilvl w:val="0"/>
          <w:numId w:val="36"/>
        </w:numPr>
        <w:spacing w:before="240" w:after="160" w:line="240" w:lineRule="auto"/>
        <w:contextualSpacing/>
        <w:jc w:val="both"/>
        <w:rPr>
          <w:rFonts w:ascii="Times New Roman" w:eastAsia="Symbol" w:hAnsi="Times New Roman" w:cs="Times New Roman"/>
          <w:noProof/>
          <w:sz w:val="24"/>
          <w:szCs w:val="24"/>
          <w:lang w:val="en-IE" w:eastAsia="en-GB"/>
        </w:rPr>
      </w:pPr>
      <w:r w:rsidRPr="00532C20">
        <w:rPr>
          <w:rFonts w:ascii="Times New Roman" w:eastAsia="Symbol" w:hAnsi="Times New Roman" w:cs="Times New Roman"/>
          <w:noProof/>
          <w:sz w:val="24"/>
          <w:szCs w:val="24"/>
          <w:lang w:val="en-IE" w:eastAsia="en-GB"/>
        </w:rPr>
        <w:t>Finally, the activities of think tanks remunerated by or controlled by third countries were perceived by 66.9% to constitute a high-risk factor and by 25.8% to pose a moderate one.</w:t>
      </w:r>
    </w:p>
    <w:p w14:paraId="557F317C" w14:textId="77777777" w:rsidR="00D7576F" w:rsidRPr="00532C20" w:rsidRDefault="00D7576F" w:rsidP="004B0958">
      <w:pPr>
        <w:spacing w:before="240" w:after="160" w:line="240" w:lineRule="auto"/>
        <w:ind w:left="720"/>
        <w:contextualSpacing/>
        <w:jc w:val="both"/>
        <w:rPr>
          <w:rFonts w:ascii="Times New Roman" w:eastAsia="Symbol" w:hAnsi="Times New Roman" w:cs="Times New Roman"/>
          <w:noProof/>
          <w:sz w:val="24"/>
          <w:szCs w:val="24"/>
          <w:lang w:val="en-IE" w:eastAsia="en-GB"/>
        </w:rPr>
      </w:pPr>
    </w:p>
    <w:p w14:paraId="0B9A4DDF" w14:textId="77777777" w:rsidR="00D7576F" w:rsidRPr="00532C20" w:rsidRDefault="00D7576F" w:rsidP="004B0958">
      <w:pPr>
        <w:spacing w:before="240" w:after="16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Therefore, the public consultation illustrates that, while all noted activities are perceived to carry the potential to influence and a risk of interference, lobbying entities and political parties are both perceived to retain a particularly high level of influence towards legislation and at the same time can trigger the highest risk of third country covert interference.</w:t>
      </w:r>
    </w:p>
    <w:p w14:paraId="39AA2619" w14:textId="77777777" w:rsidR="5AAF8E9E" w:rsidRPr="00532C20" w:rsidRDefault="00AA5B8D" w:rsidP="00442114">
      <w:pPr>
        <w:numPr>
          <w:ilvl w:val="0"/>
          <w:numId w:val="2"/>
        </w:numPr>
        <w:spacing w:before="240" w:after="160" w:line="240" w:lineRule="auto"/>
        <w:contextualSpacing/>
        <w:jc w:val="both"/>
        <w:rPr>
          <w:rFonts w:ascii="Times New Roman" w:eastAsia="Times" w:hAnsi="Times New Roman" w:cs="Times New Roman"/>
          <w:b/>
          <w:noProof/>
          <w:sz w:val="24"/>
          <w:szCs w:val="24"/>
          <w:lang w:val="en-IE" w:eastAsia="en-GB"/>
        </w:rPr>
      </w:pPr>
      <w:r w:rsidRPr="00532C20">
        <w:rPr>
          <w:rFonts w:ascii="Times New Roman" w:eastAsia="Times" w:hAnsi="Times New Roman" w:cs="Times New Roman"/>
          <w:b/>
          <w:noProof/>
          <w:sz w:val="24"/>
          <w:szCs w:val="24"/>
          <w:lang w:val="en-IE" w:eastAsia="en-GB"/>
        </w:rPr>
        <w:t>On transparency and other requirements</w:t>
      </w:r>
    </w:p>
    <w:p w14:paraId="4F846EDD"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Overall, the public consultation responses highlighted just how much </w:t>
      </w:r>
      <w:r w:rsidRPr="00532C20">
        <w:rPr>
          <w:rFonts w:ascii="Times New Roman" w:eastAsia="Calibri" w:hAnsi="Times New Roman" w:cs="Times New Roman"/>
          <w:b/>
          <w:noProof/>
          <w:sz w:val="24"/>
          <w:szCs w:val="24"/>
          <w:lang w:val="en-IE"/>
        </w:rPr>
        <w:t>transparency requirements are valued</w:t>
      </w:r>
      <w:r w:rsidRPr="00532C20">
        <w:rPr>
          <w:rFonts w:ascii="Times New Roman" w:eastAsia="Calibri" w:hAnsi="Times New Roman" w:cs="Times New Roman"/>
          <w:noProof/>
          <w:sz w:val="24"/>
          <w:szCs w:val="24"/>
          <w:lang w:val="en-IE"/>
        </w:rPr>
        <w:t xml:space="preserve"> and perceived to be imperative across the EU-27. </w:t>
      </w:r>
      <w:r w:rsidR="00432785" w:rsidRPr="00532C20">
        <w:rPr>
          <w:rFonts w:ascii="Times New Roman" w:eastAsia="Calibri" w:hAnsi="Times New Roman" w:cs="Times New Roman"/>
          <w:noProof/>
          <w:sz w:val="24"/>
          <w:szCs w:val="24"/>
          <w:lang w:val="en-IE"/>
        </w:rPr>
        <w:t>Almost the entirety of respondents (95.6%) believes</w:t>
      </w:r>
      <w:r w:rsidRPr="00532C20">
        <w:rPr>
          <w:rFonts w:ascii="Times New Roman" w:eastAsia="Calibri" w:hAnsi="Times New Roman" w:cs="Times New Roman"/>
          <w:noProof/>
          <w:sz w:val="24"/>
          <w:szCs w:val="24"/>
          <w:lang w:val="en-IE"/>
        </w:rPr>
        <w:t xml:space="preserve"> that there is a need to provide more transparency in the EU regarding lobbying, public relations activities or any other activity conducted for third countries that significantly impacts the democratic sphere.</w:t>
      </w:r>
    </w:p>
    <w:p w14:paraId="269DEFB3"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In addition, the respondents largely agreed that every single type of information listed in the public consultation should be provided by entities conducting such activities (more than 92.5%). This includes information about the origin and amount of funding, the position of third countries and other entities vis-à-vis financing, and the purpose of financing. This continues to highlight a trend found across the public consultation responses of a need for more information to be made available and for transparency across the EU. </w:t>
      </w:r>
    </w:p>
    <w:p w14:paraId="14017096"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Considering other means to combat the influence risks highlighted in the first section, respondents were asked about the role of civil society and citizens more generally in the context of policy-making. </w:t>
      </w:r>
      <w:r w:rsidRPr="00532C20">
        <w:rPr>
          <w:rFonts w:ascii="Times New Roman" w:eastAsia="Calibri" w:hAnsi="Times New Roman" w:cs="Times New Roman"/>
          <w:b/>
          <w:noProof/>
          <w:sz w:val="24"/>
          <w:szCs w:val="24"/>
          <w:lang w:val="en-IE"/>
        </w:rPr>
        <w:t>Effective and inclusive engagement with both independent civil society and citizens in the context of policy-making processes</w:t>
      </w:r>
      <w:r w:rsidRPr="00532C20">
        <w:rPr>
          <w:rFonts w:ascii="Times New Roman" w:eastAsia="Calibri" w:hAnsi="Times New Roman" w:cs="Times New Roman"/>
          <w:noProof/>
          <w:sz w:val="24"/>
          <w:szCs w:val="24"/>
          <w:lang w:val="en-IE"/>
        </w:rPr>
        <w:t xml:space="preserve"> is perceived to be important or very important by a large majority of respondents.</w:t>
      </w:r>
    </w:p>
    <w:p w14:paraId="1648D3B5"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On this basis, respondents were then asked about </w:t>
      </w:r>
      <w:r w:rsidRPr="00532C20">
        <w:rPr>
          <w:rFonts w:ascii="Times New Roman" w:eastAsia="Calibri" w:hAnsi="Times New Roman" w:cs="Times New Roman"/>
          <w:b/>
          <w:noProof/>
          <w:sz w:val="24"/>
          <w:szCs w:val="24"/>
          <w:lang w:val="en-IE"/>
        </w:rPr>
        <w:t xml:space="preserve">possible measures to improve the </w:t>
      </w:r>
      <w:r w:rsidRPr="00532C20">
        <w:rPr>
          <w:rFonts w:ascii="Times New Roman" w:eastAsia="Calibri" w:hAnsi="Times New Roman" w:cs="Times New Roman"/>
          <w:noProof/>
          <w:sz w:val="24"/>
          <w:szCs w:val="24"/>
          <w:lang w:val="en-IE"/>
        </w:rPr>
        <w:t xml:space="preserve">engagement, inclusiveness and effectiveness of participatory processes for citizens and </w:t>
      </w:r>
      <w:r w:rsidR="000A6B37" w:rsidRPr="00532C20">
        <w:rPr>
          <w:rFonts w:ascii="Times New Roman" w:eastAsia="Calibri" w:hAnsi="Times New Roman" w:cs="Times New Roman"/>
          <w:noProof/>
          <w:sz w:val="24"/>
          <w:szCs w:val="24"/>
          <w:lang w:val="en-IE"/>
        </w:rPr>
        <w:t>CSO</w:t>
      </w:r>
      <w:r w:rsidRPr="00532C20">
        <w:rPr>
          <w:rFonts w:ascii="Times New Roman" w:eastAsia="Calibri" w:hAnsi="Times New Roman" w:cs="Times New Roman"/>
          <w:noProof/>
          <w:sz w:val="24"/>
          <w:szCs w:val="24"/>
          <w:lang w:val="en-IE"/>
        </w:rPr>
        <w:t>s. The measure considered most necessary – selected by 64.2% of respondents – was the implementation of dedicated structures to support civil participation in policy-making processes (such as open online consultation, platforms to provide feedback). Following this, the most popular response options were the dissemination of clear</w:t>
      </w:r>
      <w:r w:rsidR="069A52E2" w:rsidRPr="00532C20">
        <w:rPr>
          <w:rFonts w:ascii="Times New Roman" w:eastAsia="Calibri" w:hAnsi="Times New Roman" w:cs="Times New Roman"/>
          <w:noProof/>
          <w:sz w:val="24"/>
          <w:szCs w:val="24"/>
          <w:lang w:val="en-IE"/>
        </w:rPr>
        <w:t>,</w:t>
      </w:r>
      <w:r w:rsidRPr="00532C20">
        <w:rPr>
          <w:rFonts w:ascii="Times New Roman" w:eastAsia="Calibri" w:hAnsi="Times New Roman" w:cs="Times New Roman"/>
          <w:noProof/>
          <w:sz w:val="24"/>
          <w:szCs w:val="24"/>
          <w:lang w:val="en-IE"/>
        </w:rPr>
        <w:t xml:space="preserve"> adequate and timely information about participation opportunities, modalities and objectives (51.3%) and capacity building for citizens, including at local levels</w:t>
      </w:r>
      <w:r w:rsidR="34891916" w:rsidRPr="00532C20">
        <w:rPr>
          <w:rFonts w:ascii="Times New Roman" w:eastAsia="Calibri" w:hAnsi="Times New Roman" w:cs="Times New Roman"/>
          <w:noProof/>
          <w:sz w:val="24"/>
          <w:szCs w:val="24"/>
          <w:lang w:val="en-IE"/>
        </w:rPr>
        <w:t>,</w:t>
      </w:r>
      <w:r w:rsidRPr="00532C20">
        <w:rPr>
          <w:rFonts w:ascii="Times New Roman" w:eastAsia="Calibri" w:hAnsi="Times New Roman" w:cs="Times New Roman"/>
          <w:noProof/>
          <w:sz w:val="24"/>
          <w:szCs w:val="24"/>
          <w:lang w:val="en-IE"/>
        </w:rPr>
        <w:t xml:space="preserve"> on how to better engage in </w:t>
      </w:r>
      <w:r w:rsidR="5D4EC123" w:rsidRPr="00532C20">
        <w:rPr>
          <w:rFonts w:ascii="Times New Roman" w:eastAsia="Calibri" w:hAnsi="Times New Roman" w:cs="Times New Roman"/>
          <w:noProof/>
          <w:sz w:val="24"/>
          <w:szCs w:val="24"/>
          <w:lang w:val="en-IE"/>
        </w:rPr>
        <w:t xml:space="preserve">the </w:t>
      </w:r>
      <w:r w:rsidR="674F9E6D" w:rsidRPr="00532C20">
        <w:rPr>
          <w:rFonts w:ascii="Times New Roman" w:eastAsia="Calibri" w:hAnsi="Times New Roman" w:cs="Times New Roman"/>
          <w:noProof/>
          <w:sz w:val="24"/>
          <w:szCs w:val="24"/>
          <w:lang w:val="en-IE"/>
        </w:rPr>
        <w:t>policy</w:t>
      </w:r>
      <w:r w:rsidR="459958C7" w:rsidRPr="00532C20">
        <w:rPr>
          <w:rFonts w:ascii="Times New Roman" w:eastAsia="Calibri" w:hAnsi="Times New Roman" w:cs="Times New Roman"/>
          <w:noProof/>
          <w:sz w:val="24"/>
          <w:szCs w:val="24"/>
          <w:lang w:val="en-IE"/>
        </w:rPr>
        <w:t>-</w:t>
      </w:r>
      <w:r w:rsidRPr="00532C20">
        <w:rPr>
          <w:rFonts w:ascii="Times New Roman" w:eastAsia="Calibri" w:hAnsi="Times New Roman" w:cs="Times New Roman"/>
          <w:noProof/>
          <w:sz w:val="24"/>
          <w:szCs w:val="24"/>
          <w:lang w:val="en-IE"/>
        </w:rPr>
        <w:t>making process (41.9%).</w:t>
      </w:r>
    </w:p>
    <w:p w14:paraId="02EE767D"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Finally, the vast majority of respondents agreed or strongly agreed that there is a need </w:t>
      </w:r>
      <w:r w:rsidRPr="00532C20">
        <w:rPr>
          <w:rFonts w:ascii="Times New Roman" w:eastAsia="Calibri" w:hAnsi="Times New Roman" w:cs="Times New Roman"/>
          <w:b/>
          <w:noProof/>
          <w:sz w:val="24"/>
          <w:szCs w:val="24"/>
          <w:lang w:val="en-IE"/>
        </w:rPr>
        <w:t xml:space="preserve">to increase the engagement of </w:t>
      </w:r>
      <w:r w:rsidR="000A6B37" w:rsidRPr="00532C20">
        <w:rPr>
          <w:rFonts w:ascii="Times New Roman" w:eastAsia="Calibri" w:hAnsi="Times New Roman" w:cs="Times New Roman"/>
          <w:b/>
          <w:noProof/>
          <w:sz w:val="24"/>
          <w:szCs w:val="24"/>
          <w:lang w:val="en-IE"/>
        </w:rPr>
        <w:t>CSO</w:t>
      </w:r>
      <w:r w:rsidRPr="00532C20">
        <w:rPr>
          <w:rFonts w:ascii="Times New Roman" w:eastAsia="Calibri" w:hAnsi="Times New Roman" w:cs="Times New Roman"/>
          <w:b/>
          <w:noProof/>
          <w:sz w:val="24"/>
          <w:szCs w:val="24"/>
          <w:lang w:val="en-IE"/>
        </w:rPr>
        <w:t>s and citizens</w:t>
      </w:r>
      <w:r w:rsidRPr="00532C20">
        <w:rPr>
          <w:rFonts w:ascii="Times New Roman" w:eastAsia="Calibri" w:hAnsi="Times New Roman" w:cs="Times New Roman"/>
          <w:noProof/>
          <w:sz w:val="24"/>
          <w:szCs w:val="24"/>
          <w:lang w:val="en-IE"/>
        </w:rPr>
        <w:t xml:space="preserve"> through purposefully organised processes in policy</w:t>
      </w:r>
      <w:r w:rsidR="003C455A" w:rsidRPr="00532C20">
        <w:rPr>
          <w:rFonts w:ascii="Times New Roman" w:eastAsia="Calibri" w:hAnsi="Times New Roman" w:cs="Times New Roman"/>
          <w:noProof/>
          <w:sz w:val="24"/>
          <w:szCs w:val="24"/>
          <w:lang w:val="en-IE"/>
        </w:rPr>
        <w:t>-</w:t>
      </w:r>
      <w:r w:rsidRPr="00532C20">
        <w:rPr>
          <w:rFonts w:ascii="Times New Roman" w:eastAsia="Calibri" w:hAnsi="Times New Roman" w:cs="Times New Roman"/>
          <w:noProof/>
          <w:sz w:val="24"/>
          <w:szCs w:val="24"/>
          <w:lang w:val="en-IE"/>
        </w:rPr>
        <w:t>making at all local, national and European levels (more than 60% strongly agreed and more than 20% agreed in all cases).</w:t>
      </w:r>
    </w:p>
    <w:p w14:paraId="11444193" w14:textId="77777777" w:rsidR="5AAF8E9E" w:rsidRPr="00532C20" w:rsidRDefault="5AAF8E9E" w:rsidP="00442114">
      <w:pPr>
        <w:numPr>
          <w:ilvl w:val="0"/>
          <w:numId w:val="2"/>
        </w:numPr>
        <w:spacing w:before="240" w:after="160" w:line="240" w:lineRule="auto"/>
        <w:contextualSpacing/>
        <w:jc w:val="both"/>
        <w:rPr>
          <w:rFonts w:ascii="Times New Roman" w:eastAsia="Times" w:hAnsi="Times New Roman" w:cs="Times New Roman"/>
          <w:b/>
          <w:noProof/>
          <w:sz w:val="24"/>
          <w:szCs w:val="24"/>
          <w:lang w:val="en-IE" w:eastAsia="en-GB"/>
        </w:rPr>
      </w:pPr>
      <w:r w:rsidRPr="00532C20">
        <w:rPr>
          <w:rFonts w:ascii="Times New Roman" w:eastAsia="Times" w:hAnsi="Times New Roman" w:cs="Times New Roman"/>
          <w:b/>
          <w:noProof/>
          <w:sz w:val="24"/>
          <w:szCs w:val="24"/>
          <w:lang w:val="en-IE" w:eastAsia="en-GB"/>
        </w:rPr>
        <w:t>On cod</w:t>
      </w:r>
      <w:r w:rsidR="00AA5B8D" w:rsidRPr="00532C20">
        <w:rPr>
          <w:rFonts w:ascii="Times New Roman" w:eastAsia="Times" w:hAnsi="Times New Roman" w:cs="Times New Roman"/>
          <w:b/>
          <w:noProof/>
          <w:sz w:val="24"/>
          <w:szCs w:val="24"/>
          <w:lang w:val="en-IE" w:eastAsia="en-GB"/>
        </w:rPr>
        <w:t>es of conducts, self-regulation</w:t>
      </w:r>
      <w:r w:rsidRPr="00532C20">
        <w:rPr>
          <w:rFonts w:ascii="Times New Roman" w:eastAsia="Times" w:hAnsi="Times New Roman" w:cs="Times New Roman"/>
          <w:b/>
          <w:noProof/>
          <w:sz w:val="24"/>
          <w:szCs w:val="24"/>
          <w:lang w:val="en-IE" w:eastAsia="en-GB"/>
        </w:rPr>
        <w:t xml:space="preserve"> and standards </w:t>
      </w:r>
    </w:p>
    <w:p w14:paraId="029465AC"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questionnaire then focused on the topic of codes of conduct, self-regulation and standards, and </w:t>
      </w:r>
      <w:r w:rsidR="00432785" w:rsidRPr="00532C20">
        <w:rPr>
          <w:rFonts w:ascii="Times New Roman" w:eastAsia="Calibri" w:hAnsi="Times New Roman" w:cs="Times New Roman"/>
          <w:noProof/>
          <w:sz w:val="24"/>
          <w:szCs w:val="24"/>
          <w:lang w:val="en-IE"/>
        </w:rPr>
        <w:t>showed</w:t>
      </w:r>
      <w:r w:rsidRPr="00532C20">
        <w:rPr>
          <w:rFonts w:ascii="Times New Roman" w:eastAsia="Calibri" w:hAnsi="Times New Roman" w:cs="Times New Roman"/>
          <w:noProof/>
          <w:sz w:val="24"/>
          <w:szCs w:val="24"/>
          <w:lang w:val="en-IE"/>
        </w:rPr>
        <w:t xml:space="preserve"> that even though the stakeholders agree that the prioritisation of transparency and accountability is crucial, there seems to be a lack of knowledge or availability of best practices on the topic across the EU. </w:t>
      </w:r>
    </w:p>
    <w:p w14:paraId="120D239F" w14:textId="77777777" w:rsidR="5AAF8E9E" w:rsidRPr="00532C20" w:rsidRDefault="5AAF8E9E" w:rsidP="00442114">
      <w:pPr>
        <w:numPr>
          <w:ilvl w:val="0"/>
          <w:numId w:val="2"/>
        </w:numPr>
        <w:spacing w:before="240" w:after="160" w:line="240" w:lineRule="auto"/>
        <w:contextualSpacing/>
        <w:jc w:val="both"/>
        <w:rPr>
          <w:rFonts w:ascii="Times New Roman" w:eastAsia="Times" w:hAnsi="Times New Roman" w:cs="Times New Roman"/>
          <w:b/>
          <w:noProof/>
          <w:sz w:val="24"/>
          <w:szCs w:val="24"/>
          <w:lang w:val="en-IE" w:eastAsia="en-GB"/>
        </w:rPr>
      </w:pPr>
      <w:r w:rsidRPr="00532C20">
        <w:rPr>
          <w:rFonts w:ascii="Times New Roman" w:eastAsia="Times" w:hAnsi="Times New Roman" w:cs="Times New Roman"/>
          <w:b/>
          <w:noProof/>
          <w:sz w:val="24"/>
          <w:szCs w:val="24"/>
          <w:lang w:val="en-IE" w:eastAsia="en-GB"/>
        </w:rPr>
        <w:t xml:space="preserve">On </w:t>
      </w:r>
      <w:r w:rsidR="00524FC2" w:rsidRPr="00532C20">
        <w:rPr>
          <w:rFonts w:ascii="Times New Roman" w:eastAsia="Times" w:hAnsi="Times New Roman" w:cs="Times New Roman"/>
          <w:b/>
          <w:noProof/>
          <w:sz w:val="24"/>
          <w:szCs w:val="24"/>
          <w:lang w:val="en-IE" w:eastAsia="en-GB"/>
        </w:rPr>
        <w:t>free, fair and resilient</w:t>
      </w:r>
      <w:r w:rsidRPr="00532C20">
        <w:rPr>
          <w:rFonts w:ascii="Times New Roman" w:eastAsia="Times" w:hAnsi="Times New Roman" w:cs="Times New Roman"/>
          <w:b/>
          <w:noProof/>
          <w:sz w:val="24"/>
          <w:szCs w:val="24"/>
          <w:lang w:val="en-IE" w:eastAsia="en-GB"/>
        </w:rPr>
        <w:t xml:space="preserve"> elections </w:t>
      </w:r>
    </w:p>
    <w:p w14:paraId="1D1C3DB8"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The final section of the public consultation related to the topic of free</w:t>
      </w:r>
      <w:r w:rsidR="00524FC2" w:rsidRPr="00532C20">
        <w:rPr>
          <w:rFonts w:ascii="Times New Roman" w:eastAsia="Calibri" w:hAnsi="Times New Roman" w:cs="Times New Roman"/>
          <w:noProof/>
          <w:sz w:val="24"/>
          <w:szCs w:val="24"/>
          <w:lang w:val="en-IE"/>
        </w:rPr>
        <w:t>,</w:t>
      </w:r>
      <w:r w:rsidR="00432785" w:rsidRPr="00532C20">
        <w:rPr>
          <w:rFonts w:ascii="Times New Roman" w:eastAsia="Calibri" w:hAnsi="Times New Roman" w:cs="Times New Roman"/>
          <w:noProof/>
          <w:sz w:val="24"/>
          <w:szCs w:val="24"/>
          <w:lang w:val="en-IE"/>
        </w:rPr>
        <w:t xml:space="preserve"> </w:t>
      </w:r>
      <w:r w:rsidRPr="00532C20">
        <w:rPr>
          <w:rFonts w:ascii="Times New Roman" w:eastAsia="Calibri" w:hAnsi="Times New Roman" w:cs="Times New Roman"/>
          <w:noProof/>
          <w:sz w:val="24"/>
          <w:szCs w:val="24"/>
          <w:lang w:val="en-IE"/>
        </w:rPr>
        <w:t>fair</w:t>
      </w:r>
      <w:r w:rsidR="00524FC2" w:rsidRPr="00532C20">
        <w:rPr>
          <w:rFonts w:ascii="Times New Roman" w:eastAsia="Calibri" w:hAnsi="Times New Roman" w:cs="Times New Roman"/>
          <w:noProof/>
          <w:sz w:val="24"/>
          <w:szCs w:val="24"/>
          <w:lang w:val="en-IE"/>
        </w:rPr>
        <w:t xml:space="preserve"> and resilient</w:t>
      </w:r>
      <w:r w:rsidRPr="00532C20">
        <w:rPr>
          <w:rFonts w:ascii="Times New Roman" w:eastAsia="Calibri" w:hAnsi="Times New Roman" w:cs="Times New Roman"/>
          <w:noProof/>
          <w:sz w:val="24"/>
          <w:szCs w:val="24"/>
          <w:lang w:val="en-IE"/>
        </w:rPr>
        <w:t xml:space="preserve"> elections, where questions focused on measures that could be taken to promote resilient electoral processes and protect election-related infrastructure.</w:t>
      </w:r>
    </w:p>
    <w:p w14:paraId="5F7873BD"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When questioned about the importance of certain measures that could be taken by Member States to promote resilient electoral processes and protect the infrastructure that is critical for the organisation of elections, it is notable that respondents perceived each of the measures listed to be important. The most heavily supported measure was the need to focus on cyber security of electoral processes and related infrastructure, such as introducing incident notification rules. </w:t>
      </w:r>
    </w:p>
    <w:p w14:paraId="2AFD06D5" w14:textId="305AC79D" w:rsidR="00D7576F" w:rsidRPr="00532C20" w:rsidRDefault="00D7576F" w:rsidP="004B0958">
      <w:pPr>
        <w:tabs>
          <w:tab w:val="left" w:pos="720"/>
        </w:tabs>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Two additional sections (‘Other’ and ‘Concluding remarks’) were available to respondents to add any further information and/or upload any concise document. In total, </w:t>
      </w:r>
      <w:r w:rsidRPr="00532C20">
        <w:rPr>
          <w:rFonts w:ascii="Times New Roman" w:eastAsia="MS PGothic" w:hAnsi="Times New Roman" w:cs="Times New Roman"/>
          <w:noProof/>
          <w:sz w:val="24"/>
          <w:szCs w:val="24"/>
          <w:lang w:val="en-IE"/>
        </w:rPr>
        <w:t xml:space="preserve">24 </w:t>
      </w:r>
      <w:r w:rsidRPr="00532C20">
        <w:rPr>
          <w:rFonts w:ascii="Times New Roman" w:eastAsia="Calibri" w:hAnsi="Times New Roman" w:cs="Times New Roman"/>
          <w:noProof/>
          <w:sz w:val="24"/>
          <w:szCs w:val="24"/>
          <w:lang w:val="en-IE"/>
        </w:rPr>
        <w:t xml:space="preserve">documents </w:t>
      </w:r>
      <w:r w:rsidR="00826743">
        <w:rPr>
          <w:rFonts w:ascii="Times New Roman" w:eastAsia="Calibri" w:hAnsi="Times New Roman" w:cs="Times New Roman"/>
          <w:noProof/>
          <w:sz w:val="24"/>
          <w:szCs w:val="24"/>
          <w:lang w:val="en-IE"/>
        </w:rPr>
        <w:t xml:space="preserve">were received </w:t>
      </w:r>
      <w:r w:rsidRPr="00532C20">
        <w:rPr>
          <w:rFonts w:ascii="Times New Roman" w:eastAsia="Calibri" w:hAnsi="Times New Roman" w:cs="Times New Roman"/>
          <w:noProof/>
          <w:sz w:val="24"/>
          <w:szCs w:val="24"/>
          <w:lang w:val="en-IE"/>
        </w:rPr>
        <w:t xml:space="preserve">from respondents, mostly from </w:t>
      </w:r>
      <w:r w:rsidR="000A6B37" w:rsidRPr="00532C20">
        <w:rPr>
          <w:rFonts w:ascii="Times New Roman" w:eastAsia="Calibri" w:hAnsi="Times New Roman" w:cs="Times New Roman"/>
          <w:noProof/>
          <w:sz w:val="24"/>
          <w:szCs w:val="24"/>
          <w:lang w:val="en-IE"/>
        </w:rPr>
        <w:t>CSO</w:t>
      </w:r>
      <w:r w:rsidRPr="00532C20">
        <w:rPr>
          <w:rFonts w:ascii="Times New Roman" w:eastAsia="Calibri" w:hAnsi="Times New Roman" w:cs="Times New Roman"/>
          <w:noProof/>
          <w:sz w:val="24"/>
          <w:szCs w:val="24"/>
          <w:lang w:val="en-IE"/>
        </w:rPr>
        <w:t>s and more specifically Non-Governmental Organisations, which were carefully analysed.</w:t>
      </w:r>
    </w:p>
    <w:p w14:paraId="47FBE5CE" w14:textId="51B3851C" w:rsidR="00D7576F" w:rsidRPr="00532C20" w:rsidRDefault="73DBDC04" w:rsidP="002B0B48">
      <w:pPr>
        <w:pStyle w:val="ListParagraph"/>
        <w:numPr>
          <w:ilvl w:val="1"/>
          <w:numId w:val="74"/>
        </w:numPr>
        <w:rPr>
          <w:rFonts w:ascii="Times New Roman" w:eastAsia="Calibri" w:hAnsi="Times New Roman" w:cs="Times New Roman"/>
          <w:b/>
          <w:bCs/>
          <w:noProof/>
          <w:u w:val="single"/>
          <w:lang w:val="en-IE"/>
        </w:rPr>
      </w:pPr>
      <w:r w:rsidRPr="00532C20">
        <w:rPr>
          <w:rFonts w:ascii="Times New Roman" w:eastAsia="Calibri" w:hAnsi="Times New Roman" w:cs="Times New Roman"/>
          <w:b/>
          <w:bCs/>
          <w:noProof/>
          <w:u w:val="single"/>
          <w:lang w:val="en-IE"/>
        </w:rPr>
        <w:t xml:space="preserve">Position of </w:t>
      </w:r>
      <w:r w:rsidRPr="00532C20">
        <w:rPr>
          <w:rFonts w:ascii="Times New Roman" w:eastAsia="Calibri" w:hAnsi="Times New Roman" w:cs="Times New Roman"/>
          <w:b/>
          <w:noProof/>
          <w:u w:val="single"/>
          <w:lang w:val="en-IE"/>
        </w:rPr>
        <w:t xml:space="preserve">stakeholders in the </w:t>
      </w:r>
      <w:r w:rsidR="29D4BD70" w:rsidRPr="00532C20">
        <w:rPr>
          <w:rFonts w:ascii="Times New Roman" w:eastAsia="Calibri" w:hAnsi="Times New Roman" w:cs="Times New Roman"/>
          <w:b/>
          <w:bCs/>
          <w:noProof/>
          <w:u w:val="single"/>
          <w:lang w:val="en-IE"/>
        </w:rPr>
        <w:t>p</w:t>
      </w:r>
      <w:r w:rsidR="193EA5EC" w:rsidRPr="00532C20">
        <w:rPr>
          <w:rFonts w:ascii="Times New Roman" w:eastAsia="Calibri" w:hAnsi="Times New Roman" w:cs="Times New Roman"/>
          <w:b/>
          <w:bCs/>
          <w:noProof/>
          <w:u w:val="single"/>
          <w:lang w:val="en-IE"/>
        </w:rPr>
        <w:t>ublic consultation</w:t>
      </w:r>
    </w:p>
    <w:p w14:paraId="50C2D16A" w14:textId="77777777" w:rsidR="5AAF8E9E" w:rsidRPr="00532C20" w:rsidRDefault="5AAF8E9E" w:rsidP="00442114">
      <w:pPr>
        <w:numPr>
          <w:ilvl w:val="0"/>
          <w:numId w:val="1"/>
        </w:numPr>
        <w:spacing w:before="240" w:after="160" w:line="240" w:lineRule="auto"/>
        <w:contextualSpacing/>
        <w:jc w:val="both"/>
        <w:rPr>
          <w:rFonts w:ascii="Times New Roman" w:eastAsia="Times" w:hAnsi="Times New Roman" w:cs="Times New Roman"/>
          <w:b/>
          <w:noProof/>
          <w:sz w:val="24"/>
          <w:szCs w:val="24"/>
          <w:lang w:val="en-IE" w:eastAsia="en-GB"/>
        </w:rPr>
      </w:pPr>
      <w:r w:rsidRPr="00532C20">
        <w:rPr>
          <w:rFonts w:ascii="Times New Roman" w:eastAsia="Times" w:hAnsi="Times New Roman" w:cs="Times New Roman"/>
          <w:b/>
          <w:noProof/>
          <w:sz w:val="24"/>
          <w:szCs w:val="24"/>
          <w:lang w:val="en-IE" w:eastAsia="en-GB"/>
        </w:rPr>
        <w:t>Position of EU Citizens</w:t>
      </w:r>
    </w:p>
    <w:p w14:paraId="5CE8A766" w14:textId="075276DF" w:rsidR="21AFA4DF" w:rsidRPr="00532C20" w:rsidRDefault="00095054" w:rsidP="004B0958">
      <w:pPr>
        <w:spacing w:before="240" w:after="160" w:line="240" w:lineRule="auto"/>
        <w:jc w:val="both"/>
        <w:rPr>
          <w:rFonts w:ascii="Times New Roman" w:eastAsia="Times" w:hAnsi="Times New Roman" w:cs="Times New Roman"/>
          <w:noProof/>
          <w:sz w:val="24"/>
          <w:szCs w:val="24"/>
          <w:lang w:val="en-IE"/>
        </w:rPr>
      </w:pPr>
      <w:r w:rsidRPr="00532C20">
        <w:rPr>
          <w:rFonts w:ascii="Times New Roman" w:eastAsia="Calibri" w:hAnsi="Times New Roman" w:cs="Times New Roman"/>
          <w:noProof/>
          <w:sz w:val="24"/>
          <w:szCs w:val="24"/>
          <w:lang w:val="en-IE"/>
        </w:rPr>
        <w:t>Overall</w:t>
      </w:r>
      <w:r w:rsidR="0033207E" w:rsidRPr="00532C20">
        <w:rPr>
          <w:rFonts w:ascii="Times New Roman" w:eastAsia="Calibri" w:hAnsi="Times New Roman" w:cs="Times New Roman"/>
          <w:noProof/>
          <w:sz w:val="24"/>
          <w:szCs w:val="24"/>
          <w:lang w:val="en-IE"/>
        </w:rPr>
        <w:t xml:space="preserve">, EU Citizens </w:t>
      </w:r>
      <w:r w:rsidR="00960A84" w:rsidRPr="00532C20">
        <w:rPr>
          <w:rFonts w:ascii="Times New Roman" w:eastAsia="Calibri" w:hAnsi="Times New Roman" w:cs="Times New Roman"/>
          <w:noProof/>
          <w:sz w:val="24"/>
          <w:szCs w:val="24"/>
          <w:lang w:val="en-IE"/>
        </w:rPr>
        <w:t xml:space="preserve">indicated </w:t>
      </w:r>
      <w:r w:rsidR="000802D4" w:rsidRPr="00532C20">
        <w:rPr>
          <w:rFonts w:ascii="Times New Roman" w:eastAsia="Calibri" w:hAnsi="Times New Roman" w:cs="Times New Roman"/>
          <w:noProof/>
          <w:sz w:val="24"/>
          <w:szCs w:val="24"/>
          <w:lang w:val="en-IE"/>
        </w:rPr>
        <w:t xml:space="preserve">that EU action is needed to tackle foreign interference in democratic processes and to </w:t>
      </w:r>
      <w:r w:rsidR="0064203A" w:rsidRPr="00532C20">
        <w:rPr>
          <w:rFonts w:ascii="Times New Roman" w:eastAsia="Calibri" w:hAnsi="Times New Roman" w:cs="Times New Roman"/>
          <w:noProof/>
          <w:sz w:val="24"/>
          <w:szCs w:val="24"/>
          <w:lang w:val="en-IE"/>
        </w:rPr>
        <w:t>increase transparency of</w:t>
      </w:r>
      <w:r w:rsidR="00D67B6B" w:rsidRPr="00532C20">
        <w:rPr>
          <w:rFonts w:ascii="Times New Roman" w:eastAsia="Calibri" w:hAnsi="Times New Roman" w:cs="Times New Roman"/>
          <w:noProof/>
          <w:sz w:val="24"/>
          <w:szCs w:val="24"/>
          <w:lang w:val="en-IE"/>
        </w:rPr>
        <w:t xml:space="preserve"> lobbying, public relations activities and any other activities </w:t>
      </w:r>
      <w:r w:rsidR="00FB7FF9" w:rsidRPr="00532C20">
        <w:rPr>
          <w:rFonts w:ascii="Times New Roman" w:eastAsia="Calibri" w:hAnsi="Times New Roman" w:cs="Times New Roman"/>
          <w:noProof/>
          <w:sz w:val="24"/>
          <w:szCs w:val="24"/>
          <w:lang w:val="en-IE"/>
        </w:rPr>
        <w:t xml:space="preserve">that, when </w:t>
      </w:r>
      <w:r w:rsidR="00C575F1" w:rsidRPr="00532C20">
        <w:rPr>
          <w:rFonts w:ascii="Times New Roman" w:eastAsia="Calibri" w:hAnsi="Times New Roman" w:cs="Times New Roman"/>
          <w:noProof/>
          <w:sz w:val="24"/>
          <w:szCs w:val="24"/>
          <w:lang w:val="en-IE"/>
        </w:rPr>
        <w:t xml:space="preserve">carried out </w:t>
      </w:r>
      <w:r w:rsidR="00FB7FF9" w:rsidRPr="00532C20">
        <w:rPr>
          <w:rFonts w:ascii="Times New Roman" w:eastAsia="Calibri" w:hAnsi="Times New Roman" w:cs="Times New Roman"/>
          <w:noProof/>
          <w:sz w:val="24"/>
          <w:szCs w:val="24"/>
          <w:lang w:val="en-IE"/>
        </w:rPr>
        <w:t xml:space="preserve">on behalf of third countries, could significantly impact the democratic sphere. EU Citizens </w:t>
      </w:r>
      <w:r w:rsidR="21AFA4DF" w:rsidRPr="00532C20">
        <w:rPr>
          <w:rFonts w:ascii="Times New Roman" w:eastAsia="Times" w:hAnsi="Times New Roman" w:cs="Times New Roman"/>
          <w:noProof/>
          <w:sz w:val="24"/>
          <w:szCs w:val="24"/>
          <w:lang w:val="en-IE"/>
        </w:rPr>
        <w:t xml:space="preserve">have expressed support for proposing </w:t>
      </w:r>
      <w:r w:rsidR="003536F6" w:rsidRPr="00532C20">
        <w:rPr>
          <w:rFonts w:ascii="Times New Roman" w:eastAsia="Times" w:hAnsi="Times New Roman" w:cs="Times New Roman"/>
          <w:noProof/>
          <w:sz w:val="24"/>
          <w:szCs w:val="24"/>
          <w:lang w:val="en-IE"/>
        </w:rPr>
        <w:t>transparency on this matter</w:t>
      </w:r>
      <w:r w:rsidR="00D70E0A" w:rsidRPr="00532C20">
        <w:rPr>
          <w:rFonts w:ascii="Times New Roman" w:eastAsia="Times" w:hAnsi="Times New Roman" w:cs="Times New Roman"/>
          <w:noProof/>
          <w:sz w:val="24"/>
          <w:szCs w:val="24"/>
          <w:lang w:val="en-IE"/>
        </w:rPr>
        <w:t xml:space="preserve">, while stricter transparency requirements and ethical obligations for public officials, candidates to </w:t>
      </w:r>
      <w:r w:rsidR="45D651CF" w:rsidRPr="00532C20">
        <w:rPr>
          <w:rFonts w:ascii="Times New Roman" w:eastAsia="Times" w:hAnsi="Times New Roman" w:cs="Times New Roman"/>
          <w:noProof/>
          <w:sz w:val="24"/>
          <w:szCs w:val="24"/>
          <w:lang w:val="en-IE"/>
        </w:rPr>
        <w:t>elections</w:t>
      </w:r>
      <w:r w:rsidR="00D70E0A" w:rsidRPr="00532C20">
        <w:rPr>
          <w:rFonts w:ascii="Times New Roman" w:eastAsia="Times" w:hAnsi="Times New Roman" w:cs="Times New Roman"/>
          <w:noProof/>
          <w:sz w:val="24"/>
          <w:szCs w:val="24"/>
          <w:lang w:val="en-IE"/>
        </w:rPr>
        <w:t xml:space="preserve"> and their staff were also mentioned. </w:t>
      </w:r>
    </w:p>
    <w:p w14:paraId="646AD05D" w14:textId="77777777" w:rsidR="28C851ED" w:rsidRPr="00532C20" w:rsidRDefault="00C407E8"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In addition, the majority of respondents called for more involvement of CSOs and citizens in </w:t>
      </w:r>
      <w:r w:rsidR="77D95AA6" w:rsidRPr="00532C20">
        <w:rPr>
          <w:rFonts w:ascii="Times New Roman" w:eastAsia="Times" w:hAnsi="Times New Roman" w:cs="Times New Roman"/>
          <w:noProof/>
          <w:sz w:val="24"/>
          <w:szCs w:val="24"/>
          <w:lang w:val="en-IE"/>
        </w:rPr>
        <w:t>the</w:t>
      </w:r>
      <w:r w:rsidR="7C682A15" w:rsidRPr="00532C20">
        <w:rPr>
          <w:rFonts w:ascii="Times New Roman" w:eastAsia="Times" w:hAnsi="Times New Roman" w:cs="Times New Roman"/>
          <w:noProof/>
          <w:sz w:val="24"/>
          <w:szCs w:val="24"/>
          <w:lang w:val="en-IE"/>
        </w:rPr>
        <w:t xml:space="preserve"> </w:t>
      </w:r>
      <w:r w:rsidRPr="00532C20">
        <w:rPr>
          <w:rFonts w:ascii="Times New Roman" w:eastAsia="Times" w:hAnsi="Times New Roman" w:cs="Times New Roman"/>
          <w:noProof/>
          <w:sz w:val="24"/>
          <w:szCs w:val="24"/>
          <w:lang w:val="en-IE"/>
        </w:rPr>
        <w:t xml:space="preserve">policy-making process, and for more education about the EU. </w:t>
      </w:r>
      <w:r w:rsidR="21AFA4DF" w:rsidRPr="00532C20">
        <w:rPr>
          <w:rFonts w:ascii="Times New Roman" w:eastAsia="Times" w:hAnsi="Times New Roman" w:cs="Times New Roman"/>
          <w:noProof/>
          <w:sz w:val="24"/>
          <w:szCs w:val="24"/>
          <w:lang w:val="en-IE"/>
        </w:rPr>
        <w:t xml:space="preserve"> </w:t>
      </w:r>
    </w:p>
    <w:p w14:paraId="70C87798" w14:textId="348D35DD" w:rsidR="5AAF8E9E" w:rsidRPr="00532C20" w:rsidRDefault="5AAF8E9E" w:rsidP="00442114">
      <w:pPr>
        <w:numPr>
          <w:ilvl w:val="0"/>
          <w:numId w:val="1"/>
        </w:numPr>
        <w:spacing w:before="240" w:after="160" w:line="240" w:lineRule="auto"/>
        <w:contextualSpacing/>
        <w:jc w:val="both"/>
        <w:rPr>
          <w:rFonts w:ascii="Times New Roman" w:eastAsia="Times" w:hAnsi="Times New Roman" w:cs="Times New Roman"/>
          <w:b/>
          <w:noProof/>
          <w:sz w:val="24"/>
          <w:szCs w:val="24"/>
          <w:lang w:val="en-IE" w:eastAsia="en-GB"/>
        </w:rPr>
      </w:pPr>
      <w:r w:rsidRPr="00532C20">
        <w:rPr>
          <w:rFonts w:ascii="Times New Roman" w:eastAsia="Times" w:hAnsi="Times New Roman" w:cs="Times New Roman"/>
          <w:b/>
          <w:noProof/>
          <w:sz w:val="24"/>
          <w:szCs w:val="24"/>
          <w:lang w:val="en-IE" w:eastAsia="en-GB"/>
        </w:rPr>
        <w:t xml:space="preserve">Position of </w:t>
      </w:r>
      <w:r w:rsidR="009A7EA5" w:rsidRPr="00532C20">
        <w:rPr>
          <w:rFonts w:ascii="Times New Roman" w:eastAsia="Times" w:hAnsi="Times New Roman" w:cs="Times New Roman"/>
          <w:b/>
          <w:noProof/>
          <w:sz w:val="24"/>
          <w:szCs w:val="24"/>
          <w:lang w:val="en-IE" w:eastAsia="en-GB"/>
        </w:rPr>
        <w:t>CS</w:t>
      </w:r>
      <w:r w:rsidRPr="00532C20">
        <w:rPr>
          <w:rFonts w:ascii="Times New Roman" w:eastAsia="Times" w:hAnsi="Times New Roman" w:cs="Times New Roman"/>
          <w:b/>
          <w:noProof/>
          <w:sz w:val="24"/>
          <w:szCs w:val="24"/>
          <w:lang w:val="en-IE" w:eastAsia="en-GB"/>
        </w:rPr>
        <w:t>Os</w:t>
      </w:r>
    </w:p>
    <w:p w14:paraId="55A0ED11" w14:textId="478C5C2E" w:rsidR="00F62598" w:rsidRPr="00532C20" w:rsidRDefault="009A7EA5" w:rsidP="004B0958">
      <w:pPr>
        <w:spacing w:before="240" w:after="16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CS</w:t>
      </w:r>
      <w:r w:rsidR="0768ADDC" w:rsidRPr="00532C20">
        <w:rPr>
          <w:rFonts w:ascii="Times New Roman" w:hAnsi="Times New Roman" w:cs="Times New Roman"/>
          <w:noProof/>
          <w:sz w:val="24"/>
          <w:szCs w:val="24"/>
          <w:lang w:val="en-IE"/>
        </w:rPr>
        <w:t xml:space="preserve">Os </w:t>
      </w:r>
      <w:r w:rsidR="00166DF2" w:rsidRPr="00532C20">
        <w:rPr>
          <w:rFonts w:ascii="Times New Roman" w:hAnsi="Times New Roman" w:cs="Times New Roman"/>
          <w:noProof/>
          <w:sz w:val="24"/>
          <w:szCs w:val="24"/>
          <w:lang w:val="en-IE"/>
        </w:rPr>
        <w:t xml:space="preserve">expressed their support to a package aiming at defending democracy and to EU-wide measures increasing transparency of lobbying and public relations activities. </w:t>
      </w:r>
      <w:r w:rsidR="00432785" w:rsidRPr="00532C20">
        <w:rPr>
          <w:rFonts w:ascii="Times New Roman" w:hAnsi="Times New Roman" w:cs="Times New Roman"/>
          <w:noProof/>
          <w:sz w:val="24"/>
          <w:szCs w:val="24"/>
          <w:lang w:val="en-IE"/>
        </w:rPr>
        <w:t>However</w:t>
      </w:r>
      <w:r w:rsidR="30289883" w:rsidRPr="00532C20">
        <w:rPr>
          <w:rFonts w:ascii="Times New Roman" w:hAnsi="Times New Roman" w:cs="Times New Roman"/>
          <w:noProof/>
          <w:sz w:val="24"/>
          <w:szCs w:val="24"/>
          <w:lang w:val="en-IE"/>
        </w:rPr>
        <w:t>,</w:t>
      </w:r>
      <w:r w:rsidR="00166DF2" w:rsidRPr="00532C20">
        <w:rPr>
          <w:rFonts w:ascii="Times New Roman" w:hAnsi="Times New Roman" w:cs="Times New Roman"/>
          <w:noProof/>
          <w:sz w:val="24"/>
          <w:szCs w:val="24"/>
          <w:lang w:val="en-IE"/>
        </w:rPr>
        <w:t xml:space="preserve"> </w:t>
      </w:r>
      <w:r w:rsidR="000D04CD" w:rsidRPr="00532C20">
        <w:rPr>
          <w:rFonts w:ascii="Times New Roman" w:hAnsi="Times New Roman" w:cs="Times New Roman"/>
          <w:noProof/>
          <w:sz w:val="24"/>
          <w:szCs w:val="24"/>
          <w:lang w:val="en-IE"/>
        </w:rPr>
        <w:t xml:space="preserve">some </w:t>
      </w:r>
      <w:r w:rsidR="00166DF2" w:rsidRPr="00532C20">
        <w:rPr>
          <w:rFonts w:ascii="Times New Roman" w:hAnsi="Times New Roman" w:cs="Times New Roman"/>
          <w:noProof/>
          <w:sz w:val="24"/>
          <w:szCs w:val="24"/>
          <w:lang w:val="en-IE"/>
        </w:rPr>
        <w:t xml:space="preserve">expressed </w:t>
      </w:r>
      <w:r w:rsidR="000D04CD" w:rsidRPr="00532C20">
        <w:rPr>
          <w:rFonts w:ascii="Times New Roman" w:hAnsi="Times New Roman" w:cs="Times New Roman"/>
          <w:noProof/>
          <w:sz w:val="24"/>
          <w:szCs w:val="24"/>
          <w:lang w:val="en-IE"/>
        </w:rPr>
        <w:t xml:space="preserve">strong concerns </w:t>
      </w:r>
      <w:r w:rsidR="00166DF2" w:rsidRPr="00532C20">
        <w:rPr>
          <w:rFonts w:ascii="Times New Roman" w:hAnsi="Times New Roman" w:cs="Times New Roman"/>
          <w:noProof/>
          <w:sz w:val="24"/>
          <w:szCs w:val="24"/>
          <w:lang w:val="en-IE"/>
        </w:rPr>
        <w:t xml:space="preserve">over the </w:t>
      </w:r>
      <w:r w:rsidR="00D50EDC">
        <w:rPr>
          <w:rFonts w:ascii="Times New Roman" w:hAnsi="Times New Roman" w:cs="Times New Roman"/>
          <w:noProof/>
          <w:sz w:val="24"/>
          <w:szCs w:val="24"/>
          <w:lang w:val="en-IE"/>
        </w:rPr>
        <w:t>D</w:t>
      </w:r>
      <w:r w:rsidR="00166DF2" w:rsidRPr="00532C20">
        <w:rPr>
          <w:rFonts w:ascii="Times New Roman" w:hAnsi="Times New Roman" w:cs="Times New Roman"/>
          <w:noProof/>
          <w:sz w:val="24"/>
          <w:szCs w:val="24"/>
          <w:lang w:val="en-IE"/>
        </w:rPr>
        <w:t xml:space="preserve">irective potentially being </w:t>
      </w:r>
      <w:r w:rsidR="007832A9" w:rsidRPr="00532C20">
        <w:rPr>
          <w:rFonts w:ascii="Times New Roman" w:hAnsi="Times New Roman" w:cs="Times New Roman"/>
          <w:noProof/>
          <w:sz w:val="24"/>
          <w:szCs w:val="24"/>
          <w:lang w:val="en-IE"/>
        </w:rPr>
        <w:t xml:space="preserve">seen as </w:t>
      </w:r>
      <w:r w:rsidR="00166DF2" w:rsidRPr="00532C20">
        <w:rPr>
          <w:rFonts w:ascii="Times New Roman" w:hAnsi="Times New Roman" w:cs="Times New Roman"/>
          <w:noProof/>
          <w:sz w:val="24"/>
          <w:szCs w:val="24"/>
          <w:lang w:val="en-IE"/>
        </w:rPr>
        <w:t xml:space="preserve">a </w:t>
      </w:r>
      <w:r w:rsidR="007832A9" w:rsidRPr="00532C20">
        <w:rPr>
          <w:rFonts w:ascii="Times New Roman" w:hAnsi="Times New Roman" w:cs="Times New Roman"/>
          <w:noProof/>
          <w:sz w:val="24"/>
          <w:szCs w:val="24"/>
          <w:lang w:val="en-IE"/>
        </w:rPr>
        <w:t>“</w:t>
      </w:r>
      <w:r w:rsidR="00166DF2" w:rsidRPr="00532C20">
        <w:rPr>
          <w:rFonts w:ascii="Times New Roman" w:hAnsi="Times New Roman" w:cs="Times New Roman"/>
          <w:noProof/>
          <w:sz w:val="24"/>
          <w:szCs w:val="24"/>
          <w:lang w:val="en-IE"/>
        </w:rPr>
        <w:t>Foreign Agent Act</w:t>
      </w:r>
      <w:r w:rsidR="007832A9" w:rsidRPr="00532C20">
        <w:rPr>
          <w:rFonts w:ascii="Times New Roman" w:hAnsi="Times New Roman" w:cs="Times New Roman"/>
          <w:noProof/>
          <w:sz w:val="24"/>
          <w:szCs w:val="24"/>
          <w:lang w:val="en-IE"/>
        </w:rPr>
        <w:t>”, based on international precedents</w:t>
      </w:r>
      <w:r w:rsidR="00166DF2" w:rsidRPr="00532C20">
        <w:rPr>
          <w:rFonts w:ascii="Times New Roman" w:hAnsi="Times New Roman" w:cs="Times New Roman"/>
          <w:noProof/>
          <w:sz w:val="24"/>
          <w:szCs w:val="24"/>
          <w:lang w:val="en-IE"/>
        </w:rPr>
        <w:t xml:space="preserve">. </w:t>
      </w:r>
      <w:r w:rsidR="004259F6" w:rsidRPr="00532C20">
        <w:rPr>
          <w:rFonts w:ascii="Times New Roman" w:hAnsi="Times New Roman" w:cs="Times New Roman"/>
          <w:noProof/>
          <w:sz w:val="24"/>
          <w:szCs w:val="24"/>
          <w:lang w:val="en-IE"/>
        </w:rPr>
        <w:t xml:space="preserve">Many of them </w:t>
      </w:r>
      <w:r w:rsidR="00166DF2" w:rsidRPr="00532C20">
        <w:rPr>
          <w:rFonts w:ascii="Times New Roman" w:hAnsi="Times New Roman" w:cs="Times New Roman"/>
          <w:noProof/>
          <w:sz w:val="24"/>
          <w:szCs w:val="24"/>
          <w:lang w:val="en-IE"/>
        </w:rPr>
        <w:t>stressed the need to fight against all democratic challenges, including those coming from within the EU, and not focus only on foreign risks.</w:t>
      </w:r>
      <w:r w:rsidR="009C516A" w:rsidRPr="00532C20">
        <w:rPr>
          <w:rFonts w:ascii="Times New Roman" w:hAnsi="Times New Roman" w:cs="Times New Roman"/>
          <w:noProof/>
          <w:sz w:val="24"/>
          <w:szCs w:val="24"/>
          <w:lang w:val="en-IE"/>
        </w:rPr>
        <w:t xml:space="preserve"> Most of them </w:t>
      </w:r>
      <w:r w:rsidR="00F62598" w:rsidRPr="00532C20">
        <w:rPr>
          <w:rFonts w:ascii="Times New Roman" w:hAnsi="Times New Roman" w:cs="Times New Roman"/>
          <w:noProof/>
          <w:sz w:val="24"/>
          <w:szCs w:val="24"/>
          <w:lang w:val="en-IE"/>
        </w:rPr>
        <w:t>stressed the need to respect fundamental rights</w:t>
      </w:r>
      <w:r w:rsidR="5CEB4502" w:rsidRPr="00532C20">
        <w:rPr>
          <w:rFonts w:ascii="Times New Roman" w:hAnsi="Times New Roman" w:cs="Times New Roman"/>
          <w:noProof/>
          <w:sz w:val="24"/>
          <w:szCs w:val="24"/>
          <w:lang w:val="en-IE"/>
        </w:rPr>
        <w:t xml:space="preserve"> and</w:t>
      </w:r>
      <w:r w:rsidR="00F62598" w:rsidRPr="00532C20">
        <w:rPr>
          <w:rFonts w:ascii="Times New Roman" w:hAnsi="Times New Roman" w:cs="Times New Roman"/>
          <w:noProof/>
          <w:sz w:val="24"/>
          <w:szCs w:val="24"/>
          <w:lang w:val="en-IE"/>
        </w:rPr>
        <w:t xml:space="preserve"> the principle of proportionality and</w:t>
      </w:r>
      <w:r w:rsidR="45B41202" w:rsidRPr="00532C20">
        <w:rPr>
          <w:rFonts w:ascii="Times New Roman" w:hAnsi="Times New Roman" w:cs="Times New Roman"/>
          <w:noProof/>
          <w:sz w:val="24"/>
          <w:szCs w:val="24"/>
          <w:lang w:val="en-IE"/>
        </w:rPr>
        <w:t xml:space="preserve"> </w:t>
      </w:r>
      <w:r w:rsidR="305EB2FB" w:rsidRPr="00532C20">
        <w:rPr>
          <w:rFonts w:ascii="Times New Roman" w:hAnsi="Times New Roman" w:cs="Times New Roman"/>
          <w:noProof/>
          <w:sz w:val="24"/>
          <w:szCs w:val="24"/>
          <w:lang w:val="en-IE"/>
        </w:rPr>
        <w:t>to</w:t>
      </w:r>
      <w:r w:rsidR="00F62598" w:rsidRPr="00532C20">
        <w:rPr>
          <w:rFonts w:ascii="Times New Roman" w:hAnsi="Times New Roman" w:cs="Times New Roman"/>
          <w:noProof/>
          <w:sz w:val="24"/>
          <w:szCs w:val="24"/>
          <w:lang w:val="en-IE"/>
        </w:rPr>
        <w:t xml:space="preserve"> avoid any potential stigmatisation of </w:t>
      </w:r>
      <w:r w:rsidRPr="00532C20">
        <w:rPr>
          <w:rFonts w:ascii="Times New Roman" w:hAnsi="Times New Roman" w:cs="Times New Roman"/>
          <w:noProof/>
          <w:sz w:val="24"/>
          <w:szCs w:val="24"/>
          <w:lang w:val="en-IE"/>
        </w:rPr>
        <w:t>CS</w:t>
      </w:r>
      <w:r w:rsidR="00F62598" w:rsidRPr="00532C20">
        <w:rPr>
          <w:rFonts w:ascii="Times New Roman" w:hAnsi="Times New Roman" w:cs="Times New Roman"/>
          <w:noProof/>
          <w:sz w:val="24"/>
          <w:szCs w:val="24"/>
          <w:lang w:val="en-IE"/>
        </w:rPr>
        <w:t xml:space="preserve">Os. </w:t>
      </w:r>
    </w:p>
    <w:p w14:paraId="19B37FEB" w14:textId="77777777" w:rsidR="00095054" w:rsidRPr="00532C20" w:rsidRDefault="00F62598" w:rsidP="004B0958">
      <w:pPr>
        <w:spacing w:before="240" w:after="16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Additionally, </w:t>
      </w:r>
      <w:r w:rsidR="009A7EA5" w:rsidRPr="00532C20">
        <w:rPr>
          <w:rFonts w:ascii="Times New Roman" w:hAnsi="Times New Roman" w:cs="Times New Roman"/>
          <w:noProof/>
          <w:sz w:val="24"/>
          <w:szCs w:val="24"/>
          <w:lang w:val="en-IE"/>
        </w:rPr>
        <w:t>CS</w:t>
      </w:r>
      <w:r w:rsidRPr="00532C20">
        <w:rPr>
          <w:rFonts w:ascii="Times New Roman" w:hAnsi="Times New Roman" w:cs="Times New Roman"/>
          <w:noProof/>
          <w:sz w:val="24"/>
          <w:szCs w:val="24"/>
          <w:lang w:val="en-IE"/>
        </w:rPr>
        <w:t xml:space="preserve">Os called for more long-term funding opportunities and reminded </w:t>
      </w:r>
      <w:r w:rsidR="229D25E3" w:rsidRPr="00532C20">
        <w:rPr>
          <w:rFonts w:ascii="Times New Roman" w:hAnsi="Times New Roman" w:cs="Times New Roman"/>
          <w:noProof/>
          <w:sz w:val="24"/>
          <w:szCs w:val="24"/>
          <w:lang w:val="en-IE"/>
        </w:rPr>
        <w:t xml:space="preserve">of </w:t>
      </w:r>
      <w:r w:rsidRPr="00532C20">
        <w:rPr>
          <w:rFonts w:ascii="Times New Roman" w:hAnsi="Times New Roman" w:cs="Times New Roman"/>
          <w:noProof/>
          <w:sz w:val="24"/>
          <w:szCs w:val="24"/>
          <w:lang w:val="en-IE"/>
        </w:rPr>
        <w:t xml:space="preserve">the important role they plan in defending and protection democratic values. </w:t>
      </w:r>
      <w:r w:rsidR="00217C56" w:rsidRPr="00532C20">
        <w:rPr>
          <w:rFonts w:ascii="Times New Roman" w:hAnsi="Times New Roman" w:cs="Times New Roman"/>
          <w:noProof/>
          <w:sz w:val="24"/>
          <w:szCs w:val="24"/>
          <w:lang w:val="en-IE"/>
        </w:rPr>
        <w:t>They asked to be more involved in decision-making processes and called for more regular and inclusive consultations of</w:t>
      </w:r>
      <w:r w:rsidR="00B3092A" w:rsidRPr="00532C20">
        <w:rPr>
          <w:rFonts w:ascii="Times New Roman" w:hAnsi="Times New Roman" w:cs="Times New Roman"/>
          <w:noProof/>
          <w:sz w:val="24"/>
          <w:szCs w:val="24"/>
          <w:lang w:val="en-IE"/>
        </w:rPr>
        <w:t xml:space="preserve"> </w:t>
      </w:r>
      <w:r w:rsidR="000A6B37" w:rsidRPr="00532C20">
        <w:rPr>
          <w:rFonts w:ascii="Times New Roman" w:hAnsi="Times New Roman" w:cs="Times New Roman"/>
          <w:noProof/>
          <w:sz w:val="24"/>
          <w:szCs w:val="24"/>
          <w:lang w:val="en-IE"/>
        </w:rPr>
        <w:t>CSO</w:t>
      </w:r>
      <w:r w:rsidR="00B3092A" w:rsidRPr="00532C20">
        <w:rPr>
          <w:rFonts w:ascii="Times New Roman" w:hAnsi="Times New Roman" w:cs="Times New Roman"/>
          <w:noProof/>
          <w:sz w:val="24"/>
          <w:szCs w:val="24"/>
          <w:lang w:val="en-IE"/>
        </w:rPr>
        <w:t xml:space="preserve">s and citizens. </w:t>
      </w:r>
    </w:p>
    <w:p w14:paraId="163F0C93" w14:textId="438AABA9" w:rsidR="00D7576F" w:rsidRPr="00532C20" w:rsidRDefault="00D7576F" w:rsidP="002B0B48">
      <w:pPr>
        <w:pStyle w:val="ListParagraph"/>
        <w:numPr>
          <w:ilvl w:val="0"/>
          <w:numId w:val="74"/>
        </w:numPr>
        <w:rPr>
          <w:b/>
          <w:noProof/>
          <w:u w:val="single"/>
        </w:rPr>
      </w:pPr>
      <w:r w:rsidRPr="00532C20">
        <w:rPr>
          <w:rFonts w:ascii="Times New Roman" w:eastAsia="MS PGothic" w:hAnsi="Times New Roman" w:cs="Times New Roman"/>
          <w:b/>
          <w:noProof/>
          <w:u w:val="single"/>
          <w:lang w:val="en-IE"/>
        </w:rPr>
        <w:t>F</w:t>
      </w:r>
      <w:r w:rsidR="00B03A8F" w:rsidRPr="00532C20">
        <w:rPr>
          <w:rFonts w:ascii="Times New Roman" w:eastAsia="MS PGothic" w:hAnsi="Times New Roman" w:cs="Times New Roman"/>
          <w:b/>
          <w:noProof/>
          <w:u w:val="single"/>
          <w:lang w:val="en-IE"/>
        </w:rPr>
        <w:t xml:space="preserve">eedback on the call for evidence </w:t>
      </w:r>
      <w:r w:rsidR="00B03A8F" w:rsidRPr="00532C20">
        <w:rPr>
          <w:rFonts w:ascii="Times New Roman" w:eastAsia="MS PGothic" w:hAnsi="Times New Roman" w:cs="Times New Roman"/>
          <w:b/>
          <w:bCs/>
          <w:noProof/>
          <w:u w:val="single"/>
          <w:lang w:val="en-IE"/>
        </w:rPr>
        <w:t>document</w:t>
      </w:r>
    </w:p>
    <w:p w14:paraId="0BD231B5" w14:textId="77777777" w:rsidR="00D7576F" w:rsidRPr="00532C20" w:rsidRDefault="00C36534" w:rsidP="004B0958">
      <w:pPr>
        <w:spacing w:before="240" w:after="160" w:line="240" w:lineRule="auto"/>
        <w:jc w:val="both"/>
        <w:rPr>
          <w:rFonts w:ascii="Times New Roman" w:eastAsia="MS PGothic" w:hAnsi="Times New Roman" w:cs="Times New Roman"/>
          <w:noProof/>
          <w:sz w:val="24"/>
          <w:szCs w:val="24"/>
          <w:lang w:val="en-IE"/>
        </w:rPr>
      </w:pPr>
      <w:r w:rsidRPr="00532C20">
        <w:rPr>
          <w:rFonts w:ascii="Times New Roman" w:eastAsia="MS PGothic" w:hAnsi="Times New Roman" w:cs="Times New Roman"/>
          <w:noProof/>
          <w:sz w:val="24"/>
          <w:szCs w:val="24"/>
          <w:lang w:val="en-IE"/>
        </w:rPr>
        <w:t>Feedback on the Call for Evidence document ran from 16 February to 14 April 2023, on the Have Your Say portal. In total, 1,</w:t>
      </w:r>
      <w:r w:rsidR="00D14194" w:rsidRPr="00532C20">
        <w:rPr>
          <w:rFonts w:ascii="Times New Roman" w:eastAsia="MS PGothic" w:hAnsi="Times New Roman" w:cs="Times New Roman"/>
          <w:noProof/>
          <w:sz w:val="24"/>
          <w:szCs w:val="24"/>
          <w:lang w:val="en-IE"/>
        </w:rPr>
        <w:t>198</w:t>
      </w:r>
      <w:r w:rsidRPr="00532C20">
        <w:rPr>
          <w:rFonts w:ascii="Times New Roman" w:eastAsia="MS PGothic" w:hAnsi="Times New Roman" w:cs="Times New Roman"/>
          <w:noProof/>
          <w:sz w:val="24"/>
          <w:szCs w:val="24"/>
          <w:lang w:val="en-IE"/>
        </w:rPr>
        <w:t xml:space="preserve"> </w:t>
      </w:r>
      <w:r w:rsidR="00743474" w:rsidRPr="00532C20">
        <w:rPr>
          <w:rFonts w:ascii="Times New Roman" w:eastAsia="MS PGothic" w:hAnsi="Times New Roman" w:cs="Times New Roman"/>
          <w:noProof/>
          <w:sz w:val="24"/>
          <w:szCs w:val="24"/>
          <w:lang w:val="en-IE"/>
        </w:rPr>
        <w:t xml:space="preserve">responses </w:t>
      </w:r>
      <w:r w:rsidRPr="00532C20">
        <w:rPr>
          <w:rFonts w:ascii="Times New Roman" w:eastAsia="MS PGothic" w:hAnsi="Times New Roman" w:cs="Times New Roman"/>
          <w:noProof/>
          <w:sz w:val="24"/>
          <w:szCs w:val="24"/>
          <w:lang w:val="en-IE"/>
        </w:rPr>
        <w:t>were provided</w:t>
      </w:r>
      <w:r w:rsidR="00543C64" w:rsidRPr="00532C20">
        <w:rPr>
          <w:rFonts w:ascii="Times New Roman" w:eastAsia="MS PGothic" w:hAnsi="Times New Roman" w:cs="Times New Roman"/>
          <w:noProof/>
          <w:sz w:val="24"/>
          <w:szCs w:val="24"/>
          <w:lang w:val="en-IE"/>
        </w:rPr>
        <w:t xml:space="preserve">, the vast majority being </w:t>
      </w:r>
      <w:r w:rsidR="00FF4888" w:rsidRPr="00532C20">
        <w:rPr>
          <w:rFonts w:ascii="Times New Roman" w:eastAsia="MS PGothic" w:hAnsi="Times New Roman" w:cs="Times New Roman"/>
          <w:noProof/>
          <w:sz w:val="24"/>
          <w:szCs w:val="24"/>
          <w:lang w:val="en-IE"/>
        </w:rPr>
        <w:t xml:space="preserve">EU Citizens (91%), with further inputs by </w:t>
      </w:r>
      <w:r w:rsidR="298A9B54" w:rsidRPr="00532C20">
        <w:rPr>
          <w:rFonts w:ascii="Times New Roman" w:eastAsia="MS PGothic" w:hAnsi="Times New Roman" w:cs="Times New Roman"/>
          <w:noProof/>
          <w:sz w:val="24"/>
          <w:szCs w:val="24"/>
          <w:lang w:val="en-IE"/>
        </w:rPr>
        <w:t>63</w:t>
      </w:r>
      <w:r w:rsidR="004D5FD7" w:rsidRPr="00532C20">
        <w:rPr>
          <w:rFonts w:ascii="Times New Roman" w:eastAsia="MS PGothic" w:hAnsi="Times New Roman" w:cs="Times New Roman"/>
          <w:noProof/>
          <w:sz w:val="24"/>
          <w:szCs w:val="24"/>
          <w:lang w:val="en-IE"/>
        </w:rPr>
        <w:t xml:space="preserve"> </w:t>
      </w:r>
      <w:r w:rsidR="00FF4888" w:rsidRPr="00532C20">
        <w:rPr>
          <w:rFonts w:ascii="Times New Roman" w:eastAsia="MS PGothic" w:hAnsi="Times New Roman" w:cs="Times New Roman"/>
          <w:noProof/>
          <w:sz w:val="24"/>
          <w:szCs w:val="24"/>
          <w:lang w:val="en-IE"/>
        </w:rPr>
        <w:t>non-governmental organisations (5.2%)</w:t>
      </w:r>
      <w:r w:rsidR="00DC09FF" w:rsidRPr="00532C20">
        <w:rPr>
          <w:rFonts w:ascii="Times New Roman" w:eastAsia="MS PGothic" w:hAnsi="Times New Roman" w:cs="Times New Roman"/>
          <w:noProof/>
          <w:sz w:val="24"/>
          <w:szCs w:val="24"/>
          <w:lang w:val="en-IE"/>
        </w:rPr>
        <w:t>. Most of the feedback was submitted by stakeholders based in Slovakia (70.3%)</w:t>
      </w:r>
      <w:r w:rsidR="009D52D7" w:rsidRPr="00532C20">
        <w:rPr>
          <w:rFonts w:ascii="Times New Roman" w:eastAsia="MS PGothic" w:hAnsi="Times New Roman" w:cs="Times New Roman"/>
          <w:noProof/>
          <w:sz w:val="24"/>
          <w:szCs w:val="24"/>
          <w:lang w:val="en-IE"/>
        </w:rPr>
        <w:t xml:space="preserve">, most of whom were responding as EU citizens. </w:t>
      </w:r>
      <w:r w:rsidR="002F4491" w:rsidRPr="00532C20">
        <w:rPr>
          <w:rFonts w:ascii="Times New Roman" w:eastAsia="MS PGothic" w:hAnsi="Times New Roman" w:cs="Times New Roman"/>
          <w:noProof/>
          <w:sz w:val="24"/>
          <w:szCs w:val="24"/>
          <w:lang w:val="en-IE"/>
        </w:rPr>
        <w:t xml:space="preserve">Other notable countries of origin of respondents were DE, FR, BE and AT. </w:t>
      </w:r>
    </w:p>
    <w:p w14:paraId="19C9991D" w14:textId="77777777" w:rsidR="00D03D1F" w:rsidRPr="00532C20" w:rsidRDefault="00D03D1F" w:rsidP="004B0958">
      <w:pPr>
        <w:spacing w:before="240" w:after="160" w:line="240" w:lineRule="auto"/>
        <w:jc w:val="both"/>
        <w:rPr>
          <w:rFonts w:ascii="Times New Roman" w:eastAsia="MS PGothic" w:hAnsi="Times New Roman" w:cs="Times New Roman"/>
          <w:noProof/>
          <w:sz w:val="24"/>
          <w:szCs w:val="24"/>
          <w:lang w:val="en-IE"/>
        </w:rPr>
      </w:pPr>
      <w:r w:rsidRPr="00532C20">
        <w:rPr>
          <w:rFonts w:ascii="Times New Roman" w:eastAsia="MS PGothic" w:hAnsi="Times New Roman" w:cs="Times New Roman"/>
          <w:noProof/>
          <w:sz w:val="24"/>
          <w:szCs w:val="24"/>
          <w:lang w:val="en-IE"/>
        </w:rPr>
        <w:t xml:space="preserve">A significant number of responses with similar (or identical) sentiments were submitted, spanning multiple languages and countries of origin. </w:t>
      </w:r>
      <w:r w:rsidR="00783AFD" w:rsidRPr="00532C20">
        <w:rPr>
          <w:rFonts w:ascii="Times New Roman" w:eastAsia="MS PGothic" w:hAnsi="Times New Roman" w:cs="Times New Roman"/>
          <w:noProof/>
          <w:sz w:val="24"/>
          <w:szCs w:val="24"/>
          <w:lang w:val="en-IE"/>
        </w:rPr>
        <w:t xml:space="preserve">Indeed, </w:t>
      </w:r>
      <w:r w:rsidRPr="00532C20">
        <w:rPr>
          <w:rFonts w:ascii="Times New Roman" w:eastAsia="MS PGothic" w:hAnsi="Times New Roman" w:cs="Times New Roman"/>
          <w:noProof/>
          <w:sz w:val="24"/>
          <w:szCs w:val="24"/>
          <w:lang w:val="en-IE"/>
        </w:rPr>
        <w:t xml:space="preserve">the Have your say website </w:t>
      </w:r>
      <w:r w:rsidR="00783AFD" w:rsidRPr="00532C20">
        <w:rPr>
          <w:rFonts w:ascii="Times New Roman" w:eastAsia="MS PGothic" w:hAnsi="Times New Roman" w:cs="Times New Roman"/>
          <w:noProof/>
          <w:sz w:val="24"/>
          <w:szCs w:val="24"/>
          <w:lang w:val="en-IE"/>
        </w:rPr>
        <w:t xml:space="preserve">identified </w:t>
      </w:r>
      <w:r w:rsidRPr="00532C20">
        <w:rPr>
          <w:rFonts w:ascii="Times New Roman" w:eastAsia="MS PGothic" w:hAnsi="Times New Roman" w:cs="Times New Roman"/>
          <w:noProof/>
          <w:sz w:val="24"/>
          <w:szCs w:val="24"/>
          <w:lang w:val="en-IE"/>
        </w:rPr>
        <w:t>a campaign of similar feedback</w:t>
      </w:r>
      <w:r w:rsidR="00783AFD" w:rsidRPr="00532C20">
        <w:rPr>
          <w:rFonts w:ascii="Times New Roman" w:eastAsia="MS PGothic" w:hAnsi="Times New Roman" w:cs="Times New Roman"/>
          <w:noProof/>
          <w:sz w:val="24"/>
          <w:szCs w:val="24"/>
          <w:lang w:val="en-IE"/>
        </w:rPr>
        <w:t xml:space="preserve">, based on </w:t>
      </w:r>
      <w:r w:rsidRPr="00532C20">
        <w:rPr>
          <w:rFonts w:ascii="Times New Roman" w:eastAsia="MS PGothic" w:hAnsi="Times New Roman" w:cs="Times New Roman"/>
          <w:noProof/>
          <w:sz w:val="24"/>
          <w:szCs w:val="24"/>
          <w:lang w:val="en-IE"/>
        </w:rPr>
        <w:t xml:space="preserve">11 matching submissions submitted by anonymous respondents </w:t>
      </w:r>
      <w:r w:rsidR="00783AFD" w:rsidRPr="00532C20">
        <w:rPr>
          <w:rFonts w:ascii="Times New Roman" w:eastAsia="MS PGothic" w:hAnsi="Times New Roman" w:cs="Times New Roman"/>
          <w:noProof/>
          <w:sz w:val="24"/>
          <w:szCs w:val="24"/>
          <w:lang w:val="en-IE"/>
        </w:rPr>
        <w:t xml:space="preserve">from DE. </w:t>
      </w:r>
    </w:p>
    <w:p w14:paraId="6603B564" w14:textId="77777777" w:rsidR="00D03D1F" w:rsidRPr="00532C20" w:rsidRDefault="00783AFD" w:rsidP="004B0958">
      <w:pPr>
        <w:spacing w:before="240" w:after="160" w:line="240" w:lineRule="auto"/>
        <w:jc w:val="both"/>
        <w:rPr>
          <w:rFonts w:ascii="Times New Roman" w:eastAsia="MS PGothic" w:hAnsi="Times New Roman" w:cs="Times New Roman"/>
          <w:noProof/>
          <w:sz w:val="24"/>
          <w:szCs w:val="24"/>
          <w:lang w:val="en-IE"/>
        </w:rPr>
      </w:pPr>
      <w:r w:rsidRPr="00532C20">
        <w:rPr>
          <w:rFonts w:ascii="Times New Roman" w:eastAsia="MS PGothic" w:hAnsi="Times New Roman" w:cs="Times New Roman"/>
          <w:noProof/>
          <w:sz w:val="24"/>
          <w:szCs w:val="24"/>
          <w:lang w:val="en-IE"/>
        </w:rPr>
        <w:t>In addition, s</w:t>
      </w:r>
      <w:r w:rsidR="00D03D1F" w:rsidRPr="00532C20">
        <w:rPr>
          <w:rFonts w:ascii="Times New Roman" w:eastAsia="MS PGothic" w:hAnsi="Times New Roman" w:cs="Times New Roman"/>
          <w:noProof/>
          <w:sz w:val="24"/>
          <w:szCs w:val="24"/>
          <w:lang w:val="en-IE"/>
        </w:rPr>
        <w:t>ome submissions appeared to be copy-pasted with guide words, potentially used as part of a coordinated campaign. For example, “support the opinion:” (or “Podporujem názor:” in Slovak) was included at the beginning of the submissions.</w:t>
      </w:r>
    </w:p>
    <w:p w14:paraId="6313E66D" w14:textId="77777777" w:rsidR="00B03A8F" w:rsidRPr="00532C20" w:rsidRDefault="5AAF8E9E" w:rsidP="002B0B48">
      <w:pPr>
        <w:pStyle w:val="ListParagraph"/>
        <w:numPr>
          <w:ilvl w:val="0"/>
          <w:numId w:val="74"/>
        </w:numPr>
        <w:contextualSpacing w:val="0"/>
        <w:rPr>
          <w:b/>
          <w:noProof/>
          <w:u w:val="single"/>
        </w:rPr>
      </w:pPr>
      <w:r w:rsidRPr="00532C20">
        <w:rPr>
          <w:rFonts w:ascii="Times New Roman" w:eastAsia="MS PGothic" w:hAnsi="Times New Roman" w:cs="Times New Roman"/>
          <w:b/>
          <w:noProof/>
          <w:u w:val="single"/>
          <w:lang w:val="en-IE"/>
        </w:rPr>
        <w:t>D</w:t>
      </w:r>
      <w:r w:rsidR="00B03A8F" w:rsidRPr="00532C20">
        <w:rPr>
          <w:rFonts w:ascii="Times New Roman" w:eastAsia="MS PGothic" w:hAnsi="Times New Roman" w:cs="Times New Roman"/>
          <w:b/>
          <w:noProof/>
          <w:u w:val="single"/>
          <w:lang w:val="en-IE"/>
        </w:rPr>
        <w:t>edicated stakeholders’ meetings</w:t>
      </w:r>
    </w:p>
    <w:p w14:paraId="33E040C2" w14:textId="77777777" w:rsidR="00B03A8F" w:rsidRPr="00532C20" w:rsidRDefault="00B03A8F" w:rsidP="008404A1">
      <w:pPr>
        <w:pStyle w:val="ListParagraph"/>
        <w:ind w:left="360"/>
        <w:contextualSpacing w:val="0"/>
        <w:rPr>
          <w:b/>
          <w:noProof/>
        </w:rPr>
      </w:pPr>
    </w:p>
    <w:p w14:paraId="779AB17D" w14:textId="4EFCDFCB" w:rsidR="00B2459D" w:rsidRPr="00532C20" w:rsidRDefault="5AAF8E9E" w:rsidP="00B03A8F">
      <w:pPr>
        <w:pStyle w:val="ListParagraph"/>
        <w:numPr>
          <w:ilvl w:val="1"/>
          <w:numId w:val="74"/>
        </w:numPr>
        <w:contextualSpacing w:val="0"/>
        <w:rPr>
          <w:rFonts w:cs="Times New Roman"/>
          <w:b/>
          <w:noProof/>
        </w:rPr>
      </w:pPr>
      <w:r w:rsidRPr="00532C20">
        <w:rPr>
          <w:rFonts w:ascii="Times New Roman" w:eastAsia="MS PGothic" w:hAnsi="Times New Roman" w:cs="Times New Roman"/>
          <w:b/>
          <w:bCs/>
          <w:noProof/>
          <w:u w:val="single"/>
          <w:lang w:val="en-IE"/>
        </w:rPr>
        <w:t>Focus Groups</w:t>
      </w:r>
    </w:p>
    <w:p w14:paraId="0497EFD1" w14:textId="77777777" w:rsidR="00B2459D" w:rsidRPr="00532C20" w:rsidRDefault="2F06DBDA"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Commission organised a series of focus group meetings from November 2022 to </w:t>
      </w:r>
      <w:r w:rsidR="3650E4E8" w:rsidRPr="00532C20">
        <w:rPr>
          <w:rFonts w:ascii="Times New Roman" w:eastAsia="Calibri" w:hAnsi="Times New Roman" w:cs="Times New Roman"/>
          <w:noProof/>
          <w:sz w:val="24"/>
          <w:szCs w:val="24"/>
          <w:lang w:val="en-IE"/>
        </w:rPr>
        <w:t>April</w:t>
      </w:r>
      <w:r w:rsidRPr="00532C20">
        <w:rPr>
          <w:rFonts w:ascii="Times New Roman" w:eastAsia="Calibri" w:hAnsi="Times New Roman" w:cs="Times New Roman"/>
          <w:noProof/>
          <w:sz w:val="24"/>
          <w:szCs w:val="24"/>
          <w:lang w:val="en-IE"/>
        </w:rPr>
        <w:t xml:space="preserve"> 2023, with relevant stakeholders as identified in the consultation strategy. The aim of these focus groups was to gather additional evidence and data on the issues addressed by the package from actors on the ground, to build on their experience. </w:t>
      </w:r>
    </w:p>
    <w:p w14:paraId="53D7CB83" w14:textId="647B4721" w:rsidR="00B2459D" w:rsidRPr="00532C20" w:rsidRDefault="00B2459D"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Focus group</w:t>
      </w:r>
      <w:r w:rsidR="00FB1003" w:rsidRPr="00532C20">
        <w:rPr>
          <w:rFonts w:ascii="Times New Roman" w:eastAsia="Calibri" w:hAnsi="Times New Roman" w:cs="Times New Roman"/>
          <w:noProof/>
          <w:sz w:val="24"/>
          <w:szCs w:val="24"/>
          <w:lang w:val="en-IE"/>
        </w:rPr>
        <w:t>s</w:t>
      </w:r>
      <w:r w:rsidRPr="00532C20">
        <w:rPr>
          <w:rFonts w:ascii="Times New Roman" w:eastAsia="Calibri" w:hAnsi="Times New Roman" w:cs="Times New Roman"/>
          <w:noProof/>
          <w:sz w:val="24"/>
          <w:szCs w:val="24"/>
          <w:lang w:val="en-IE"/>
        </w:rPr>
        <w:t xml:space="preserve"> lasted 1.5 hours</w:t>
      </w:r>
      <w:r w:rsidR="7BFCDF51" w:rsidRPr="00532C20">
        <w:rPr>
          <w:rFonts w:ascii="Times New Roman" w:eastAsia="Calibri" w:hAnsi="Times New Roman" w:cs="Times New Roman"/>
          <w:noProof/>
          <w:sz w:val="24"/>
          <w:szCs w:val="24"/>
          <w:lang w:val="en-IE"/>
        </w:rPr>
        <w:t xml:space="preserve"> and</w:t>
      </w:r>
      <w:r w:rsidR="193BFA16" w:rsidRPr="00532C20">
        <w:rPr>
          <w:rFonts w:ascii="Times New Roman" w:eastAsia="Calibri" w:hAnsi="Times New Roman" w:cs="Times New Roman"/>
          <w:noProof/>
          <w:sz w:val="24"/>
          <w:szCs w:val="24"/>
          <w:lang w:val="en-IE"/>
        </w:rPr>
        <w:t xml:space="preserve"> </w:t>
      </w:r>
      <w:r w:rsidR="1E766F2A" w:rsidRPr="00532C20">
        <w:rPr>
          <w:rFonts w:ascii="Times New Roman" w:eastAsia="Calibri" w:hAnsi="Times New Roman" w:cs="Times New Roman"/>
          <w:noProof/>
          <w:sz w:val="24"/>
          <w:szCs w:val="24"/>
          <w:lang w:val="en-IE"/>
        </w:rPr>
        <w:t>the discussions</w:t>
      </w:r>
      <w:r w:rsidRPr="00532C20">
        <w:rPr>
          <w:rFonts w:ascii="Times New Roman" w:eastAsia="Calibri" w:hAnsi="Times New Roman" w:cs="Times New Roman"/>
          <w:noProof/>
          <w:sz w:val="24"/>
          <w:szCs w:val="24"/>
          <w:lang w:val="en-IE"/>
        </w:rPr>
        <w:t xml:space="preserve"> were organised around </w:t>
      </w:r>
      <w:r w:rsidR="0017043F" w:rsidRPr="00532C20">
        <w:rPr>
          <w:rFonts w:ascii="Times New Roman" w:eastAsia="Calibri" w:hAnsi="Times New Roman" w:cs="Times New Roman"/>
          <w:noProof/>
          <w:sz w:val="24"/>
          <w:szCs w:val="24"/>
          <w:lang w:val="en-IE"/>
        </w:rPr>
        <w:t xml:space="preserve">4 </w:t>
      </w:r>
      <w:r w:rsidRPr="00532C20">
        <w:rPr>
          <w:rFonts w:ascii="Times New Roman" w:eastAsia="Calibri" w:hAnsi="Times New Roman" w:cs="Times New Roman"/>
          <w:noProof/>
          <w:sz w:val="24"/>
          <w:szCs w:val="24"/>
          <w:lang w:val="en-IE"/>
        </w:rPr>
        <w:t>main strands: foreign interference, transparency measures, safeguards and free</w:t>
      </w:r>
      <w:r w:rsidR="00524FC2" w:rsidRPr="00532C20">
        <w:rPr>
          <w:rFonts w:ascii="Times New Roman" w:eastAsia="Calibri" w:hAnsi="Times New Roman" w:cs="Times New Roman"/>
          <w:noProof/>
          <w:sz w:val="24"/>
          <w:szCs w:val="24"/>
          <w:lang w:val="en-IE"/>
        </w:rPr>
        <w:t xml:space="preserve">, </w:t>
      </w:r>
      <w:r w:rsidRPr="00532C20">
        <w:rPr>
          <w:rFonts w:ascii="Times New Roman" w:eastAsia="Calibri" w:hAnsi="Times New Roman" w:cs="Times New Roman"/>
          <w:noProof/>
          <w:sz w:val="24"/>
          <w:szCs w:val="24"/>
          <w:lang w:val="en-IE"/>
        </w:rPr>
        <w:t xml:space="preserve">fair </w:t>
      </w:r>
      <w:r w:rsidR="00524FC2" w:rsidRPr="00532C20">
        <w:rPr>
          <w:rFonts w:ascii="Times New Roman" w:eastAsia="Calibri" w:hAnsi="Times New Roman" w:cs="Times New Roman"/>
          <w:noProof/>
          <w:sz w:val="24"/>
          <w:szCs w:val="24"/>
          <w:lang w:val="en-IE"/>
        </w:rPr>
        <w:t>and resilient</w:t>
      </w:r>
      <w:r w:rsidRPr="00532C20">
        <w:rPr>
          <w:rFonts w:ascii="Times New Roman" w:eastAsia="Calibri" w:hAnsi="Times New Roman" w:cs="Times New Roman"/>
          <w:noProof/>
          <w:sz w:val="24"/>
          <w:szCs w:val="24"/>
          <w:lang w:val="en-IE"/>
        </w:rPr>
        <w:t xml:space="preserve"> elections. A list of guiding questions was sent to all participants ahead of the meetings, containing general questions </w:t>
      </w:r>
      <w:r w:rsidR="7712917B" w:rsidRPr="00532C20">
        <w:rPr>
          <w:rFonts w:ascii="Times New Roman" w:eastAsia="Calibri" w:hAnsi="Times New Roman" w:cs="Times New Roman"/>
          <w:noProof/>
          <w:sz w:val="24"/>
          <w:szCs w:val="24"/>
          <w:lang w:val="en-IE"/>
        </w:rPr>
        <w:t xml:space="preserve">posed </w:t>
      </w:r>
      <w:r w:rsidRPr="00532C20">
        <w:rPr>
          <w:rFonts w:ascii="Times New Roman" w:eastAsia="Calibri" w:hAnsi="Times New Roman" w:cs="Times New Roman"/>
          <w:noProof/>
          <w:sz w:val="24"/>
          <w:szCs w:val="24"/>
          <w:lang w:val="en-IE"/>
        </w:rPr>
        <w:t>to all stakeholders</w:t>
      </w:r>
      <w:r w:rsidR="4CD651A4" w:rsidRPr="00532C20">
        <w:rPr>
          <w:rFonts w:ascii="Times New Roman" w:eastAsia="Calibri" w:hAnsi="Times New Roman" w:cs="Times New Roman"/>
          <w:noProof/>
          <w:sz w:val="24"/>
          <w:szCs w:val="24"/>
          <w:lang w:val="en-IE"/>
        </w:rPr>
        <w:t>,</w:t>
      </w:r>
      <w:r w:rsidRPr="00532C20">
        <w:rPr>
          <w:rFonts w:ascii="Times New Roman" w:eastAsia="Calibri" w:hAnsi="Times New Roman" w:cs="Times New Roman"/>
          <w:noProof/>
          <w:sz w:val="24"/>
          <w:szCs w:val="24"/>
          <w:lang w:val="en-IE"/>
        </w:rPr>
        <w:t xml:space="preserve"> as well as more specific questions targeted </w:t>
      </w:r>
      <w:r w:rsidR="12929746" w:rsidRPr="00532C20">
        <w:rPr>
          <w:rFonts w:ascii="Times New Roman" w:eastAsia="Calibri" w:hAnsi="Times New Roman" w:cs="Times New Roman"/>
          <w:noProof/>
          <w:sz w:val="24"/>
          <w:szCs w:val="24"/>
          <w:lang w:val="en-IE"/>
        </w:rPr>
        <w:t xml:space="preserve">at </w:t>
      </w:r>
      <w:r w:rsidR="090B3651" w:rsidRPr="00532C20">
        <w:rPr>
          <w:rFonts w:ascii="Times New Roman" w:eastAsia="Calibri" w:hAnsi="Times New Roman" w:cs="Times New Roman"/>
          <w:noProof/>
          <w:sz w:val="24"/>
          <w:szCs w:val="24"/>
          <w:lang w:val="en-IE"/>
        </w:rPr>
        <w:t xml:space="preserve">the </w:t>
      </w:r>
      <w:r w:rsidR="001C436B" w:rsidRPr="00532C20">
        <w:rPr>
          <w:rFonts w:ascii="Times New Roman" w:eastAsia="Calibri" w:hAnsi="Times New Roman" w:cs="Times New Roman"/>
          <w:noProof/>
          <w:sz w:val="24"/>
          <w:szCs w:val="24"/>
          <w:lang w:val="en-IE"/>
        </w:rPr>
        <w:t xml:space="preserve">particularities of the </w:t>
      </w:r>
      <w:r w:rsidRPr="00532C20">
        <w:rPr>
          <w:rFonts w:ascii="Times New Roman" w:eastAsia="Calibri" w:hAnsi="Times New Roman" w:cs="Times New Roman"/>
          <w:noProof/>
          <w:sz w:val="24"/>
          <w:szCs w:val="24"/>
          <w:lang w:val="en-IE"/>
        </w:rPr>
        <w:t xml:space="preserve">different groups. </w:t>
      </w:r>
    </w:p>
    <w:p w14:paraId="18A74F56" w14:textId="77777777" w:rsidR="00B2459D" w:rsidRPr="00532C20" w:rsidRDefault="4EF1E4B8"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While organising the focus group</w:t>
      </w:r>
      <w:r w:rsidR="144458E2" w:rsidRPr="00532C20">
        <w:rPr>
          <w:rFonts w:ascii="Times New Roman" w:eastAsia="Calibri" w:hAnsi="Times New Roman" w:cs="Times New Roman"/>
          <w:noProof/>
          <w:sz w:val="24"/>
          <w:szCs w:val="24"/>
          <w:lang w:val="en-IE"/>
        </w:rPr>
        <w:t>s</w:t>
      </w:r>
      <w:r w:rsidRPr="00532C20">
        <w:rPr>
          <w:rFonts w:ascii="Times New Roman" w:eastAsia="Calibri" w:hAnsi="Times New Roman" w:cs="Times New Roman"/>
          <w:noProof/>
          <w:sz w:val="24"/>
          <w:szCs w:val="24"/>
          <w:lang w:val="en-IE"/>
        </w:rPr>
        <w:t>, the Commission ensured represen</w:t>
      </w:r>
      <w:r w:rsidR="144458E2" w:rsidRPr="00532C20">
        <w:rPr>
          <w:rFonts w:ascii="Times New Roman" w:eastAsia="Calibri" w:hAnsi="Times New Roman" w:cs="Times New Roman"/>
          <w:noProof/>
          <w:sz w:val="24"/>
          <w:szCs w:val="24"/>
          <w:lang w:val="en-IE"/>
        </w:rPr>
        <w:t xml:space="preserve">tativeness and inclusiveness in the selection of all </w:t>
      </w:r>
      <w:r w:rsidRPr="00532C20">
        <w:rPr>
          <w:rFonts w:ascii="Times New Roman" w:eastAsia="Calibri" w:hAnsi="Times New Roman" w:cs="Times New Roman"/>
          <w:noProof/>
          <w:sz w:val="24"/>
          <w:szCs w:val="24"/>
          <w:lang w:val="en-IE"/>
        </w:rPr>
        <w:t xml:space="preserve">participants. </w:t>
      </w:r>
    </w:p>
    <w:p w14:paraId="659B5B8D" w14:textId="77777777" w:rsidR="0F7DC3EF" w:rsidRPr="00532C20" w:rsidRDefault="0F7DC3E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Overall, participants to the Focus Groups expressed their support for an initiative covering foreign interference and common transparency rules for interest representation activities.  </w:t>
      </w:r>
    </w:p>
    <w:p w14:paraId="14140ABD" w14:textId="77777777" w:rsidR="5AAF8E9E" w:rsidRPr="00532C20" w:rsidRDefault="00B2459D">
      <w:pPr>
        <w:numPr>
          <w:ilvl w:val="0"/>
          <w:numId w:val="40"/>
        </w:numPr>
        <w:tabs>
          <w:tab w:val="left" w:pos="720"/>
        </w:tabs>
        <w:spacing w:before="240" w:after="160" w:line="240" w:lineRule="auto"/>
        <w:contextualSpacing/>
        <w:jc w:val="both"/>
        <w:rPr>
          <w:rFonts w:ascii="Times New Roman" w:eastAsia="Calibri" w:hAnsi="Times New Roman" w:cs="Times New Roman"/>
          <w:b/>
          <w:noProof/>
          <w:sz w:val="24"/>
          <w:szCs w:val="24"/>
          <w:lang w:val="en-IE"/>
        </w:rPr>
      </w:pPr>
      <w:r w:rsidRPr="00532C20">
        <w:rPr>
          <w:rFonts w:ascii="Times New Roman" w:eastAsia="Calibri" w:hAnsi="Times New Roman" w:cs="Times New Roman"/>
          <w:b/>
          <w:noProof/>
          <w:sz w:val="24"/>
          <w:szCs w:val="24"/>
          <w:lang w:val="en-IE"/>
        </w:rPr>
        <w:t>Focus group with i</w:t>
      </w:r>
      <w:r w:rsidR="5AAF8E9E" w:rsidRPr="00532C20">
        <w:rPr>
          <w:rFonts w:ascii="Times New Roman" w:eastAsia="Calibri" w:hAnsi="Times New Roman" w:cs="Times New Roman"/>
          <w:b/>
          <w:noProof/>
          <w:sz w:val="24"/>
          <w:szCs w:val="24"/>
          <w:lang w:val="en-IE"/>
        </w:rPr>
        <w:t>nternational standard setting bodies</w:t>
      </w:r>
    </w:p>
    <w:p w14:paraId="5FECB852" w14:textId="77777777" w:rsidR="00B2459D" w:rsidRPr="00532C20" w:rsidRDefault="004E37E4" w:rsidP="004B0958">
      <w:pPr>
        <w:spacing w:before="240" w:after="160" w:line="240" w:lineRule="auto"/>
        <w:jc w:val="both"/>
        <w:rPr>
          <w:rFonts w:ascii="Times New Roman" w:eastAsia="Symbol" w:hAnsi="Times New Roman" w:cs="Times New Roman"/>
          <w:noProof/>
          <w:color w:val="000000"/>
          <w:sz w:val="24"/>
          <w:szCs w:val="24"/>
          <w:lang w:val="en-IE"/>
        </w:rPr>
      </w:pPr>
      <w:r w:rsidRPr="00532C20">
        <w:rPr>
          <w:rFonts w:ascii="Times New Roman" w:eastAsia="Calibri" w:hAnsi="Times New Roman" w:cs="Times New Roman"/>
          <w:noProof/>
          <w:sz w:val="24"/>
          <w:szCs w:val="24"/>
          <w:lang w:val="en-IE"/>
        </w:rPr>
        <w:t>This focus group gathered representatives of the Council of Europe, including the Venice Commission, ODIHR</w:t>
      </w:r>
      <w:r w:rsidRPr="00532C20">
        <w:rPr>
          <w:rFonts w:ascii="Times New Roman" w:eastAsia="Symbol" w:hAnsi="Times New Roman" w:cs="Times New Roman"/>
          <w:noProof/>
          <w:color w:val="000000"/>
          <w:sz w:val="24"/>
          <w:szCs w:val="24"/>
          <w:lang w:val="en-IE"/>
        </w:rPr>
        <w:t xml:space="preserve">, International IDEA, the OECD and UNESCO. Colleagues from the EEAS also attended the focus group. </w:t>
      </w:r>
    </w:p>
    <w:p w14:paraId="1767FC75" w14:textId="77777777" w:rsidR="004E37E4" w:rsidRPr="00532C20" w:rsidRDefault="004E37E4" w:rsidP="004B0958">
      <w:pPr>
        <w:spacing w:before="240" w:after="160" w:line="240" w:lineRule="auto"/>
        <w:jc w:val="both"/>
        <w:rPr>
          <w:rFonts w:ascii="Times New Roman" w:eastAsia="Symbol" w:hAnsi="Times New Roman" w:cs="Times New Roman"/>
          <w:noProof/>
          <w:color w:val="000000"/>
          <w:sz w:val="24"/>
          <w:szCs w:val="24"/>
          <w:lang w:val="en-IE"/>
        </w:rPr>
      </w:pPr>
      <w:r w:rsidRPr="00532C20">
        <w:rPr>
          <w:rFonts w:ascii="Times New Roman" w:eastAsia="Symbol" w:hAnsi="Times New Roman" w:cs="Times New Roman"/>
          <w:noProof/>
          <w:color w:val="000000"/>
          <w:sz w:val="24"/>
          <w:szCs w:val="24"/>
          <w:lang w:val="en-IE"/>
        </w:rPr>
        <w:t xml:space="preserve">Participants expressed concerns about </w:t>
      </w:r>
      <w:r w:rsidR="00D61CCD" w:rsidRPr="00532C20">
        <w:rPr>
          <w:rFonts w:ascii="Times New Roman" w:eastAsia="Symbol" w:hAnsi="Times New Roman" w:cs="Times New Roman"/>
          <w:noProof/>
          <w:color w:val="000000"/>
          <w:sz w:val="24"/>
          <w:szCs w:val="24"/>
          <w:lang w:val="en-IE"/>
        </w:rPr>
        <w:t xml:space="preserve">the </w:t>
      </w:r>
      <w:r w:rsidRPr="00532C20">
        <w:rPr>
          <w:rFonts w:ascii="Times New Roman" w:eastAsia="Symbol" w:hAnsi="Times New Roman" w:cs="Times New Roman"/>
          <w:noProof/>
          <w:color w:val="000000"/>
          <w:sz w:val="24"/>
          <w:szCs w:val="24"/>
          <w:lang w:val="en-IE"/>
        </w:rPr>
        <w:t>influence of third countries in democratic processes and stated that some of their organisations were currently working on this issue.</w:t>
      </w:r>
      <w:r w:rsidR="00356B4B" w:rsidRPr="00532C20">
        <w:rPr>
          <w:rFonts w:ascii="Times New Roman" w:eastAsia="Symbol" w:hAnsi="Times New Roman" w:cs="Times New Roman"/>
          <w:noProof/>
          <w:color w:val="000000"/>
          <w:sz w:val="24"/>
          <w:szCs w:val="24"/>
          <w:lang w:val="en-IE"/>
        </w:rPr>
        <w:t xml:space="preserve"> They highlighted that key stakeholders need to be equipped with adequate tools to tackle </w:t>
      </w:r>
      <w:r w:rsidR="00D61CCD" w:rsidRPr="00532C20">
        <w:rPr>
          <w:rFonts w:ascii="Times New Roman" w:eastAsia="Symbol" w:hAnsi="Times New Roman" w:cs="Times New Roman"/>
          <w:noProof/>
          <w:color w:val="000000"/>
          <w:sz w:val="24"/>
          <w:szCs w:val="24"/>
          <w:lang w:val="en-IE"/>
        </w:rPr>
        <w:t>it,</w:t>
      </w:r>
      <w:r w:rsidR="00356B4B" w:rsidRPr="00532C20">
        <w:rPr>
          <w:rFonts w:ascii="Times New Roman" w:eastAsia="Symbol" w:hAnsi="Times New Roman" w:cs="Times New Roman"/>
          <w:noProof/>
          <w:color w:val="000000"/>
          <w:sz w:val="24"/>
          <w:szCs w:val="24"/>
          <w:lang w:val="en-IE"/>
        </w:rPr>
        <w:t xml:space="preserve"> and that additional evidence is need</w:t>
      </w:r>
      <w:r w:rsidR="00D61CCD" w:rsidRPr="00532C20">
        <w:rPr>
          <w:rFonts w:ascii="Times New Roman" w:eastAsia="Symbol" w:hAnsi="Times New Roman" w:cs="Times New Roman"/>
          <w:noProof/>
          <w:color w:val="000000"/>
          <w:sz w:val="24"/>
          <w:szCs w:val="24"/>
          <w:lang w:val="en-IE"/>
        </w:rPr>
        <w:t>ed</w:t>
      </w:r>
      <w:r w:rsidR="00356B4B" w:rsidRPr="00532C20">
        <w:rPr>
          <w:rFonts w:ascii="Times New Roman" w:eastAsia="Symbol" w:hAnsi="Times New Roman" w:cs="Times New Roman"/>
          <w:noProof/>
          <w:color w:val="000000"/>
          <w:sz w:val="24"/>
          <w:szCs w:val="24"/>
          <w:lang w:val="en-IE"/>
        </w:rPr>
        <w:t xml:space="preserve"> to understand the best policy-making solutions, notably to close legislative loopholes. </w:t>
      </w:r>
    </w:p>
    <w:p w14:paraId="0B4CBFBE" w14:textId="77777777" w:rsidR="00356B4B" w:rsidRPr="00532C20" w:rsidRDefault="00356B4B" w:rsidP="004B0958">
      <w:pPr>
        <w:spacing w:before="240" w:after="160" w:line="240" w:lineRule="auto"/>
        <w:jc w:val="both"/>
        <w:rPr>
          <w:rFonts w:ascii="Times New Roman" w:eastAsia="Symbol" w:hAnsi="Times New Roman" w:cs="Times New Roman"/>
          <w:noProof/>
          <w:color w:val="000000"/>
          <w:sz w:val="24"/>
          <w:szCs w:val="24"/>
          <w:lang w:val="en-IE"/>
        </w:rPr>
      </w:pPr>
      <w:r w:rsidRPr="00532C20">
        <w:rPr>
          <w:rFonts w:ascii="Times New Roman" w:eastAsia="Symbol" w:hAnsi="Times New Roman" w:cs="Times New Roman"/>
          <w:noProof/>
          <w:color w:val="000000"/>
          <w:sz w:val="24"/>
          <w:szCs w:val="24"/>
          <w:lang w:val="en-IE"/>
        </w:rPr>
        <w:t xml:space="preserve">Participants agreed that transparency is the best solution to tackle the problem of foreign interference. Some of them additionally highlighted the need to </w:t>
      </w:r>
      <w:r w:rsidR="00F9027C" w:rsidRPr="00532C20">
        <w:rPr>
          <w:rFonts w:ascii="Times New Roman" w:eastAsia="Symbol" w:hAnsi="Times New Roman" w:cs="Times New Roman"/>
          <w:noProof/>
          <w:color w:val="000000"/>
          <w:sz w:val="24"/>
          <w:szCs w:val="24"/>
          <w:lang w:val="en-IE"/>
        </w:rPr>
        <w:t xml:space="preserve">tackle disinformation and to discuss foreign funding of political activities. Finally, they discussed safeguards to be considered (e.g. elections observations, oversight bodies to enforce transparency measures related to candidates or politicians, etc) and potential risk-assessments. </w:t>
      </w:r>
    </w:p>
    <w:p w14:paraId="1A648815" w14:textId="77777777" w:rsidR="007051E0" w:rsidRPr="00532C20" w:rsidRDefault="00B2459D">
      <w:pPr>
        <w:numPr>
          <w:ilvl w:val="0"/>
          <w:numId w:val="40"/>
        </w:numPr>
        <w:tabs>
          <w:tab w:val="left" w:pos="720"/>
        </w:tabs>
        <w:spacing w:before="240" w:after="160" w:line="240" w:lineRule="auto"/>
        <w:contextualSpacing/>
        <w:jc w:val="both"/>
        <w:rPr>
          <w:rFonts w:ascii="Times New Roman" w:eastAsia="Times" w:hAnsi="Times New Roman" w:cs="Times New Roman"/>
          <w:b/>
          <w:noProof/>
          <w:sz w:val="24"/>
          <w:szCs w:val="24"/>
          <w:lang w:val="en-IE" w:eastAsia="en-GB"/>
        </w:rPr>
      </w:pPr>
      <w:r w:rsidRPr="00532C20">
        <w:rPr>
          <w:rFonts w:ascii="Times New Roman" w:eastAsia="Calibri" w:hAnsi="Times New Roman" w:cs="Times New Roman"/>
          <w:b/>
          <w:noProof/>
          <w:sz w:val="24"/>
          <w:szCs w:val="24"/>
          <w:lang w:val="en-IE"/>
        </w:rPr>
        <w:t>Focus group with a</w:t>
      </w:r>
      <w:r w:rsidR="5AAF8E9E" w:rsidRPr="00532C20">
        <w:rPr>
          <w:rFonts w:ascii="Times New Roman" w:eastAsia="Calibri" w:hAnsi="Times New Roman" w:cs="Times New Roman"/>
          <w:b/>
          <w:noProof/>
          <w:sz w:val="24"/>
          <w:szCs w:val="24"/>
          <w:lang w:val="en-IE"/>
        </w:rPr>
        <w:t xml:space="preserve">cademia and research organisations </w:t>
      </w:r>
    </w:p>
    <w:p w14:paraId="1DC55FFA" w14:textId="77777777" w:rsidR="004E37E4" w:rsidRPr="00532C20" w:rsidRDefault="00432785" w:rsidP="004B0958">
      <w:pPr>
        <w:spacing w:before="240" w:after="160" w:line="240" w:lineRule="auto"/>
        <w:jc w:val="both"/>
        <w:rPr>
          <w:rFonts w:ascii="Times New Roman" w:eastAsia="Symbol" w:hAnsi="Times New Roman" w:cs="Times New Roman"/>
          <w:noProof/>
          <w:color w:val="000000"/>
          <w:sz w:val="24"/>
          <w:szCs w:val="24"/>
          <w:lang w:val="en-IE"/>
        </w:rPr>
      </w:pPr>
      <w:r w:rsidRPr="00532C20">
        <w:rPr>
          <w:rFonts w:ascii="Times New Roman" w:eastAsia="Symbol" w:hAnsi="Times New Roman" w:cs="Times New Roman"/>
          <w:noProof/>
          <w:color w:val="000000" w:themeColor="text1"/>
          <w:sz w:val="24"/>
          <w:szCs w:val="24"/>
          <w:lang w:val="en-IE"/>
        </w:rPr>
        <w:t>This focus group</w:t>
      </w:r>
      <w:r w:rsidR="004E37E4" w:rsidRPr="00532C20">
        <w:rPr>
          <w:rFonts w:ascii="Times New Roman" w:eastAsia="Symbol" w:hAnsi="Times New Roman" w:cs="Times New Roman"/>
          <w:noProof/>
          <w:color w:val="000000" w:themeColor="text1"/>
          <w:sz w:val="24"/>
          <w:szCs w:val="24"/>
          <w:lang w:val="en-IE"/>
        </w:rPr>
        <w:t xml:space="preserve"> gathered members of academia and research organisations talking in their personal capacities. </w:t>
      </w:r>
    </w:p>
    <w:p w14:paraId="37FFC533" w14:textId="77777777" w:rsidR="00B2459D" w:rsidRPr="00532C20" w:rsidRDefault="00F24230" w:rsidP="004B0958">
      <w:pPr>
        <w:spacing w:before="240" w:after="160" w:line="240" w:lineRule="auto"/>
        <w:jc w:val="both"/>
        <w:rPr>
          <w:rFonts w:ascii="Times New Roman" w:eastAsia="Symbol" w:hAnsi="Times New Roman" w:cs="Times New Roman"/>
          <w:noProof/>
          <w:color w:val="000000"/>
          <w:sz w:val="24"/>
          <w:szCs w:val="24"/>
          <w:lang w:val="en-IE"/>
        </w:rPr>
      </w:pPr>
      <w:r w:rsidRPr="00532C20">
        <w:rPr>
          <w:rFonts w:ascii="Times New Roman" w:eastAsia="Symbol" w:hAnsi="Times New Roman" w:cs="Times New Roman"/>
          <w:noProof/>
          <w:color w:val="000000"/>
          <w:sz w:val="24"/>
          <w:szCs w:val="24"/>
          <w:lang w:val="en-IE"/>
        </w:rPr>
        <w:t>Most</w:t>
      </w:r>
      <w:r w:rsidR="00B2459D" w:rsidRPr="00532C20">
        <w:rPr>
          <w:rFonts w:ascii="Times New Roman" w:eastAsia="Symbol" w:hAnsi="Times New Roman" w:cs="Times New Roman"/>
          <w:noProof/>
          <w:color w:val="000000"/>
          <w:sz w:val="24"/>
          <w:szCs w:val="24"/>
          <w:lang w:val="en-IE"/>
        </w:rPr>
        <w:t xml:space="preserve"> researchers agreed that there is some urgency when it comes to interference by third countries in </w:t>
      </w:r>
      <w:r w:rsidR="64FF4309" w:rsidRPr="00532C20">
        <w:rPr>
          <w:rFonts w:ascii="Times New Roman" w:eastAsia="Symbol" w:hAnsi="Times New Roman" w:cs="Times New Roman"/>
          <w:noProof/>
          <w:color w:val="000000"/>
          <w:sz w:val="24"/>
          <w:szCs w:val="24"/>
          <w:lang w:val="en-IE"/>
        </w:rPr>
        <w:t>the</w:t>
      </w:r>
      <w:r w:rsidR="5FB83204" w:rsidRPr="00532C20">
        <w:rPr>
          <w:rFonts w:ascii="Times New Roman" w:eastAsia="Symbol" w:hAnsi="Times New Roman" w:cs="Times New Roman"/>
          <w:noProof/>
          <w:color w:val="000000"/>
          <w:sz w:val="24"/>
          <w:szCs w:val="24"/>
          <w:lang w:val="en-IE"/>
        </w:rPr>
        <w:t xml:space="preserve"> </w:t>
      </w:r>
      <w:r w:rsidR="00B2459D" w:rsidRPr="00532C20">
        <w:rPr>
          <w:rFonts w:ascii="Times New Roman" w:eastAsia="Symbol" w:hAnsi="Times New Roman" w:cs="Times New Roman"/>
          <w:noProof/>
          <w:color w:val="000000"/>
          <w:sz w:val="24"/>
          <w:szCs w:val="24"/>
          <w:lang w:val="en-IE"/>
        </w:rPr>
        <w:t xml:space="preserve">research sector, with a few experts disagreeing </w:t>
      </w:r>
      <w:r w:rsidR="2E9D631A" w:rsidRPr="00532C20">
        <w:rPr>
          <w:rFonts w:ascii="Times New Roman" w:eastAsia="Symbol" w:hAnsi="Times New Roman" w:cs="Times New Roman"/>
          <w:noProof/>
          <w:color w:val="000000"/>
          <w:sz w:val="24"/>
          <w:szCs w:val="24"/>
          <w:lang w:val="en-IE"/>
        </w:rPr>
        <w:t xml:space="preserve">based </w:t>
      </w:r>
      <w:r w:rsidR="00B2459D" w:rsidRPr="00532C20">
        <w:rPr>
          <w:rFonts w:ascii="Times New Roman" w:eastAsia="Symbol" w:hAnsi="Times New Roman" w:cs="Times New Roman"/>
          <w:noProof/>
          <w:color w:val="000000"/>
          <w:sz w:val="24"/>
          <w:szCs w:val="24"/>
          <w:lang w:val="en-IE"/>
        </w:rPr>
        <w:t>on lack of evidence. Participants emphasized the role of individual researchers in responding to the issues of interference</w:t>
      </w:r>
      <w:r w:rsidR="004E37E4" w:rsidRPr="00532C20">
        <w:rPr>
          <w:rFonts w:ascii="Times New Roman" w:eastAsia="Symbol" w:hAnsi="Times New Roman" w:cs="Times New Roman"/>
          <w:noProof/>
          <w:color w:val="000000"/>
          <w:sz w:val="24"/>
          <w:szCs w:val="24"/>
          <w:lang w:val="en-IE"/>
        </w:rPr>
        <w:t xml:space="preserve"> </w:t>
      </w:r>
      <w:r w:rsidR="00B2459D" w:rsidRPr="00532C20">
        <w:rPr>
          <w:rFonts w:ascii="Times New Roman" w:eastAsia="Symbol" w:hAnsi="Times New Roman" w:cs="Times New Roman"/>
          <w:noProof/>
          <w:color w:val="000000"/>
          <w:sz w:val="24"/>
          <w:szCs w:val="24"/>
          <w:lang w:val="en-IE"/>
        </w:rPr>
        <w:t xml:space="preserve">and agreed that any measures taken would have to be taken cautiously in order to respect the principles of independent review. </w:t>
      </w:r>
    </w:p>
    <w:p w14:paraId="6A3D0506" w14:textId="77777777" w:rsidR="5AAF8E9E" w:rsidRPr="00532C20" w:rsidRDefault="00B2459D" w:rsidP="004B0958">
      <w:pPr>
        <w:spacing w:before="240" w:after="160" w:line="240" w:lineRule="auto"/>
        <w:jc w:val="both"/>
        <w:rPr>
          <w:rFonts w:ascii="Times New Roman" w:eastAsia="Symbol" w:hAnsi="Times New Roman" w:cs="Times New Roman"/>
          <w:noProof/>
          <w:color w:val="000000"/>
          <w:sz w:val="24"/>
          <w:szCs w:val="24"/>
          <w:lang w:val="en-IE"/>
        </w:rPr>
      </w:pPr>
      <w:r w:rsidRPr="00532C20">
        <w:rPr>
          <w:rFonts w:ascii="Times New Roman" w:eastAsia="Symbol" w:hAnsi="Times New Roman" w:cs="Times New Roman"/>
          <w:noProof/>
          <w:color w:val="000000"/>
          <w:sz w:val="24"/>
          <w:szCs w:val="24"/>
          <w:lang w:val="en-IE"/>
        </w:rPr>
        <w:t xml:space="preserve">Participants underlined the importance of international cooperation in research and indicated that only authoritarian states should be considered to be a threat (and not all third countries). </w:t>
      </w:r>
      <w:r w:rsidR="00356B4B" w:rsidRPr="00532C20">
        <w:rPr>
          <w:rFonts w:ascii="Times New Roman" w:eastAsia="Symbol" w:hAnsi="Times New Roman" w:cs="Times New Roman"/>
          <w:noProof/>
          <w:color w:val="000000"/>
          <w:sz w:val="24"/>
          <w:szCs w:val="24"/>
          <w:lang w:val="en-IE"/>
        </w:rPr>
        <w:t>It was also agreed on by the p</w:t>
      </w:r>
      <w:r w:rsidRPr="00532C20">
        <w:rPr>
          <w:rFonts w:ascii="Times New Roman" w:eastAsia="Symbol" w:hAnsi="Times New Roman" w:cs="Times New Roman"/>
          <w:noProof/>
          <w:color w:val="000000"/>
          <w:sz w:val="24"/>
          <w:szCs w:val="24"/>
          <w:lang w:val="en-IE"/>
        </w:rPr>
        <w:t xml:space="preserve">articipants that transparency could contribute to the awareness and ethics of researchers but not necessarily bring more incidents into light. </w:t>
      </w:r>
    </w:p>
    <w:p w14:paraId="41F6ACAB" w14:textId="77777777" w:rsidR="00B2459D" w:rsidRPr="00532C20" w:rsidRDefault="00B2459D">
      <w:pPr>
        <w:numPr>
          <w:ilvl w:val="0"/>
          <w:numId w:val="40"/>
        </w:numPr>
        <w:tabs>
          <w:tab w:val="left" w:pos="720"/>
        </w:tabs>
        <w:spacing w:before="240" w:after="160" w:line="240" w:lineRule="auto"/>
        <w:contextualSpacing/>
        <w:jc w:val="both"/>
        <w:rPr>
          <w:rFonts w:ascii="Times New Roman" w:eastAsia="Calibri" w:hAnsi="Times New Roman" w:cs="Times New Roman"/>
          <w:b/>
          <w:noProof/>
          <w:sz w:val="24"/>
          <w:szCs w:val="24"/>
          <w:lang w:val="en-IE"/>
        </w:rPr>
      </w:pPr>
      <w:r w:rsidRPr="00532C20">
        <w:rPr>
          <w:rFonts w:ascii="Times New Roman" w:eastAsia="Calibri" w:hAnsi="Times New Roman" w:cs="Times New Roman"/>
          <w:b/>
          <w:noProof/>
          <w:sz w:val="24"/>
          <w:szCs w:val="24"/>
          <w:lang w:val="en-IE"/>
        </w:rPr>
        <w:t>Focus group with legal experts</w:t>
      </w:r>
    </w:p>
    <w:p w14:paraId="2F4AEEC5" w14:textId="6EB92E12" w:rsidR="00D61CCD" w:rsidRPr="00532C20" w:rsidRDefault="00D61CCD"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This focus group gathered legal professionals and experts, such as lawyers, representatives of law associations and of administrative </w:t>
      </w:r>
      <w:r w:rsidR="54A550FD" w:rsidRPr="00532C20">
        <w:rPr>
          <w:rFonts w:ascii="Times New Roman" w:eastAsia="Calibri" w:hAnsi="Times New Roman" w:cs="Times New Roman"/>
          <w:noProof/>
          <w:sz w:val="24"/>
          <w:szCs w:val="24"/>
          <w:lang w:val="en-IE"/>
        </w:rPr>
        <w:t>judges</w:t>
      </w:r>
      <w:r w:rsidR="00DD5541">
        <w:rPr>
          <w:rFonts w:ascii="Times New Roman" w:eastAsia="Calibri" w:hAnsi="Times New Roman" w:cs="Times New Roman"/>
          <w:noProof/>
          <w:sz w:val="24"/>
          <w:szCs w:val="24"/>
          <w:lang w:val="en-IE"/>
        </w:rPr>
        <w:t>’</w:t>
      </w:r>
      <w:r w:rsidRPr="00532C20">
        <w:rPr>
          <w:rFonts w:ascii="Times New Roman" w:eastAsia="Calibri" w:hAnsi="Times New Roman" w:cs="Times New Roman"/>
          <w:noProof/>
          <w:sz w:val="24"/>
          <w:szCs w:val="24"/>
          <w:lang w:val="en-IE"/>
        </w:rPr>
        <w:t xml:space="preserve"> associations. </w:t>
      </w:r>
    </w:p>
    <w:p w14:paraId="68B6BC74" w14:textId="77777777" w:rsidR="00D61CCD" w:rsidRPr="00532C20" w:rsidRDefault="00D61CCD"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majority of participants agreed that the issue of interference by third countries in the democratic sphere of the EU should be tackled urgently, as there is evidence of it having an impact on legal professions. In particular, most of them emphasised the importance of setting up transparency requirements on the funding of </w:t>
      </w:r>
      <w:r w:rsidR="009A7EA5" w:rsidRPr="00532C20">
        <w:rPr>
          <w:rFonts w:ascii="Times New Roman" w:eastAsia="Calibri" w:hAnsi="Times New Roman" w:cs="Times New Roman"/>
          <w:noProof/>
          <w:sz w:val="24"/>
          <w:szCs w:val="24"/>
          <w:lang w:val="en-IE"/>
        </w:rPr>
        <w:t>CS</w:t>
      </w:r>
      <w:r w:rsidRPr="00532C20">
        <w:rPr>
          <w:rFonts w:ascii="Times New Roman" w:eastAsia="Calibri" w:hAnsi="Times New Roman" w:cs="Times New Roman"/>
          <w:noProof/>
          <w:sz w:val="24"/>
          <w:szCs w:val="24"/>
          <w:lang w:val="en-IE"/>
        </w:rPr>
        <w:t xml:space="preserve">Os and foundations aiming at influencing EU policies. </w:t>
      </w:r>
    </w:p>
    <w:p w14:paraId="45689385" w14:textId="77777777" w:rsidR="00D61CCD" w:rsidRPr="00532C20" w:rsidRDefault="7D825AF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Finally, </w:t>
      </w:r>
      <w:r w:rsidR="4FD9CFF9" w:rsidRPr="00532C20">
        <w:rPr>
          <w:rFonts w:ascii="Times New Roman" w:eastAsia="Calibri" w:hAnsi="Times New Roman" w:cs="Times New Roman"/>
          <w:noProof/>
          <w:sz w:val="24"/>
          <w:szCs w:val="24"/>
          <w:lang w:val="en-IE"/>
        </w:rPr>
        <w:t>p</w:t>
      </w:r>
      <w:r w:rsidR="1BE1B8B0" w:rsidRPr="00532C20">
        <w:rPr>
          <w:rFonts w:ascii="Times New Roman" w:eastAsia="Calibri" w:hAnsi="Times New Roman" w:cs="Times New Roman"/>
          <w:noProof/>
          <w:sz w:val="24"/>
          <w:szCs w:val="24"/>
          <w:lang w:val="en-IE"/>
        </w:rPr>
        <w:t>articipants</w:t>
      </w:r>
      <w:r w:rsidR="00D61CCD" w:rsidRPr="00532C20">
        <w:rPr>
          <w:rFonts w:ascii="Times New Roman" w:eastAsia="Calibri" w:hAnsi="Times New Roman" w:cs="Times New Roman"/>
          <w:noProof/>
          <w:sz w:val="24"/>
          <w:szCs w:val="24"/>
          <w:lang w:val="en-IE"/>
        </w:rPr>
        <w:t xml:space="preserve"> finally discussed the </w:t>
      </w:r>
      <w:r w:rsidR="518F2AC5" w:rsidRPr="00532C20">
        <w:rPr>
          <w:rFonts w:ascii="Times New Roman" w:eastAsia="Calibri" w:hAnsi="Times New Roman" w:cs="Times New Roman"/>
          <w:noProof/>
          <w:sz w:val="24"/>
          <w:szCs w:val="24"/>
          <w:lang w:val="en-IE"/>
        </w:rPr>
        <w:t xml:space="preserve">differences </w:t>
      </w:r>
      <w:r w:rsidR="00D61CCD" w:rsidRPr="00532C20">
        <w:rPr>
          <w:rFonts w:ascii="Times New Roman" w:eastAsia="Calibri" w:hAnsi="Times New Roman" w:cs="Times New Roman"/>
          <w:noProof/>
          <w:sz w:val="24"/>
          <w:szCs w:val="24"/>
          <w:lang w:val="en-IE"/>
        </w:rPr>
        <w:t xml:space="preserve">between legal representations of clients and interest representation activities. </w:t>
      </w:r>
      <w:r w:rsidR="00B62137" w:rsidRPr="00532C20">
        <w:rPr>
          <w:rFonts w:ascii="Times New Roman" w:eastAsia="Calibri" w:hAnsi="Times New Roman" w:cs="Times New Roman"/>
          <w:noProof/>
          <w:sz w:val="24"/>
          <w:szCs w:val="24"/>
          <w:lang w:val="en-IE"/>
        </w:rPr>
        <w:t xml:space="preserve">Many of them consider the distinction </w:t>
      </w:r>
      <w:r w:rsidR="00125967" w:rsidRPr="00532C20">
        <w:rPr>
          <w:rFonts w:ascii="Times New Roman" w:eastAsia="Calibri" w:hAnsi="Times New Roman" w:cs="Times New Roman"/>
          <w:noProof/>
          <w:sz w:val="24"/>
          <w:szCs w:val="24"/>
          <w:lang w:val="en-IE"/>
        </w:rPr>
        <w:t>achieved</w:t>
      </w:r>
      <w:r w:rsidR="005E6303" w:rsidRPr="00532C20">
        <w:rPr>
          <w:rFonts w:ascii="Times New Roman" w:eastAsia="Calibri" w:hAnsi="Times New Roman" w:cs="Times New Roman"/>
          <w:noProof/>
          <w:sz w:val="24"/>
          <w:szCs w:val="24"/>
          <w:lang w:val="en-IE"/>
        </w:rPr>
        <w:t xml:space="preserve"> in the Transparency Register </w:t>
      </w:r>
      <w:r w:rsidR="00125967" w:rsidRPr="00532C20">
        <w:rPr>
          <w:rFonts w:ascii="Times New Roman" w:eastAsia="Calibri" w:hAnsi="Times New Roman" w:cs="Times New Roman"/>
          <w:noProof/>
          <w:sz w:val="24"/>
          <w:szCs w:val="24"/>
          <w:lang w:val="en-IE"/>
        </w:rPr>
        <w:t>appropriate.</w:t>
      </w:r>
    </w:p>
    <w:p w14:paraId="57F025F0" w14:textId="77777777" w:rsidR="00C81F48" w:rsidRPr="00532C20" w:rsidRDefault="00B2459D">
      <w:pPr>
        <w:numPr>
          <w:ilvl w:val="0"/>
          <w:numId w:val="40"/>
        </w:numPr>
        <w:tabs>
          <w:tab w:val="left" w:pos="720"/>
        </w:tabs>
        <w:spacing w:before="240" w:after="160" w:line="240" w:lineRule="auto"/>
        <w:contextualSpacing/>
        <w:jc w:val="both"/>
        <w:rPr>
          <w:rFonts w:ascii="Times New Roman" w:eastAsia="Symbol" w:hAnsi="Times New Roman" w:cs="Times New Roman"/>
          <w:noProof/>
          <w:color w:val="000000"/>
          <w:sz w:val="24"/>
          <w:szCs w:val="24"/>
          <w:lang w:val="en-IE" w:eastAsia="en-GB"/>
        </w:rPr>
      </w:pPr>
      <w:r w:rsidRPr="00532C20">
        <w:rPr>
          <w:rFonts w:ascii="Times New Roman" w:eastAsia="Calibri" w:hAnsi="Times New Roman" w:cs="Times New Roman"/>
          <w:b/>
          <w:noProof/>
          <w:sz w:val="24"/>
          <w:szCs w:val="24"/>
          <w:lang w:val="en-IE"/>
        </w:rPr>
        <w:t>Focus group with c</w:t>
      </w:r>
      <w:r w:rsidR="5AAF8E9E" w:rsidRPr="00532C20">
        <w:rPr>
          <w:rFonts w:ascii="Times New Roman" w:eastAsia="Calibri" w:hAnsi="Times New Roman" w:cs="Times New Roman"/>
          <w:b/>
          <w:noProof/>
          <w:sz w:val="24"/>
          <w:szCs w:val="24"/>
          <w:lang w:val="en-IE"/>
        </w:rPr>
        <w:t>ommercial entities involved in interest representat</w:t>
      </w:r>
      <w:r w:rsidRPr="00532C20">
        <w:rPr>
          <w:rFonts w:ascii="Times New Roman" w:eastAsia="Calibri" w:hAnsi="Times New Roman" w:cs="Times New Roman"/>
          <w:b/>
          <w:noProof/>
          <w:sz w:val="24"/>
          <w:szCs w:val="24"/>
          <w:lang w:val="en-IE"/>
        </w:rPr>
        <w:t xml:space="preserve">ion </w:t>
      </w:r>
    </w:p>
    <w:p w14:paraId="32EC531C" w14:textId="77777777" w:rsidR="00D61CCD" w:rsidRPr="00532C20" w:rsidRDefault="00D61CCD"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This focus group gathered professionals working for commercial entities involved in interest representation, notably lobbying firms, consultancy companies and representatives of lobbying associations. </w:t>
      </w:r>
    </w:p>
    <w:p w14:paraId="2F3D3ABB" w14:textId="77777777" w:rsidR="005744FE" w:rsidRPr="00532C20" w:rsidRDefault="005744FE" w:rsidP="004B0958">
      <w:pPr>
        <w:spacing w:before="240" w:after="160" w:line="240" w:lineRule="auto"/>
        <w:jc w:val="both"/>
        <w:rPr>
          <w:rFonts w:ascii="Times New Roman" w:eastAsia="Symbol" w:hAnsi="Times New Roman" w:cs="Times New Roman"/>
          <w:noProof/>
          <w:color w:val="000000"/>
          <w:sz w:val="24"/>
          <w:szCs w:val="24"/>
          <w:lang w:val="en-IE"/>
        </w:rPr>
      </w:pPr>
      <w:r w:rsidRPr="00532C20">
        <w:rPr>
          <w:rFonts w:ascii="Times New Roman" w:eastAsia="Symbol" w:hAnsi="Times New Roman" w:cs="Times New Roman"/>
          <w:noProof/>
          <w:color w:val="000000"/>
          <w:sz w:val="24"/>
          <w:szCs w:val="24"/>
          <w:lang w:val="en-IE"/>
        </w:rPr>
        <w:t xml:space="preserve">Participants all indicated to be registered in the EU Transparency Register, and most of them declared to also incentivise their clients to register, which they all believe is a useful tool. They highlighted the fact that the issue of foreign interference might lie with the entities not registered. </w:t>
      </w:r>
    </w:p>
    <w:p w14:paraId="5B02DE71" w14:textId="51294ED1" w:rsidR="00D61CCD" w:rsidRPr="00532C20" w:rsidRDefault="6A413FFF" w:rsidP="004B0958">
      <w:pPr>
        <w:spacing w:before="240" w:after="160" w:line="240" w:lineRule="auto"/>
        <w:jc w:val="both"/>
        <w:rPr>
          <w:rFonts w:ascii="Times New Roman" w:eastAsia="Symbol" w:hAnsi="Times New Roman" w:cs="Times New Roman"/>
          <w:noProof/>
          <w:color w:val="000000"/>
          <w:sz w:val="24"/>
          <w:szCs w:val="24"/>
          <w:lang w:val="en-IE"/>
        </w:rPr>
      </w:pPr>
      <w:r w:rsidRPr="00532C20">
        <w:rPr>
          <w:rFonts w:ascii="Times New Roman" w:eastAsia="Symbol" w:hAnsi="Times New Roman" w:cs="Times New Roman"/>
          <w:noProof/>
          <w:color w:val="000000"/>
          <w:sz w:val="24"/>
          <w:szCs w:val="24"/>
          <w:lang w:val="en-IE"/>
        </w:rPr>
        <w:t>Moreover, participants confirmed that consultancies conduct due diligence before taking on new clients. Participants also agreed that policy</w:t>
      </w:r>
      <w:r w:rsidR="00980695">
        <w:rPr>
          <w:rFonts w:ascii="Times New Roman" w:eastAsia="Symbol" w:hAnsi="Times New Roman" w:cs="Times New Roman"/>
          <w:noProof/>
          <w:color w:val="000000"/>
          <w:sz w:val="24"/>
          <w:szCs w:val="24"/>
          <w:lang w:val="en-IE"/>
        </w:rPr>
        <w:t>-</w:t>
      </w:r>
      <w:r w:rsidRPr="00532C20">
        <w:rPr>
          <w:rFonts w:ascii="Times New Roman" w:eastAsia="Symbol" w:hAnsi="Times New Roman" w:cs="Times New Roman"/>
          <w:noProof/>
          <w:color w:val="000000"/>
          <w:sz w:val="24"/>
          <w:szCs w:val="24"/>
          <w:lang w:val="en-IE"/>
        </w:rPr>
        <w:t xml:space="preserve">makers should only be allowed to meet with entities registered in the EU TR. </w:t>
      </w:r>
    </w:p>
    <w:p w14:paraId="181C6BF8" w14:textId="77777777" w:rsidR="2789DF72" w:rsidRPr="00532C20" w:rsidRDefault="2789DF72" w:rsidP="004B0958">
      <w:pPr>
        <w:spacing w:before="240" w:after="160" w:line="240" w:lineRule="auto"/>
        <w:jc w:val="both"/>
        <w:rPr>
          <w:rFonts w:ascii="Times New Roman" w:eastAsia="Times" w:hAnsi="Times New Roman" w:cs="Times New Roman"/>
          <w:noProof/>
          <w:color w:val="000000"/>
          <w:sz w:val="24"/>
          <w:szCs w:val="24"/>
          <w:lang w:val="en-IE"/>
        </w:rPr>
      </w:pPr>
      <w:r w:rsidRPr="00532C20">
        <w:rPr>
          <w:rFonts w:ascii="Times New Roman" w:hAnsi="Times New Roman" w:cs="Times New Roman"/>
          <w:noProof/>
          <w:sz w:val="24"/>
          <w:szCs w:val="24"/>
          <w:lang w:val="en-IE"/>
        </w:rPr>
        <w:t xml:space="preserve">Several participants declared to be in favour of a harmonisation of all Transparency Registers with a single EU-wide number for registrants. They emphasised </w:t>
      </w:r>
      <w:r w:rsidR="25114D27" w:rsidRPr="00532C20">
        <w:rPr>
          <w:rFonts w:ascii="Times New Roman" w:eastAsia="Times" w:hAnsi="Times New Roman" w:cs="Times New Roman"/>
          <w:noProof/>
          <w:color w:val="000000"/>
          <w:sz w:val="24"/>
          <w:szCs w:val="24"/>
          <w:lang w:val="en-IE"/>
        </w:rPr>
        <w:t>that the different systems across the EU related to registration and transparency requirements, which are highly distinctive between each market, pose a major challenge to interest representation as an industry.</w:t>
      </w:r>
    </w:p>
    <w:p w14:paraId="1566D78C" w14:textId="77777777" w:rsidR="00C81F48" w:rsidRPr="00532C20" w:rsidRDefault="00C81F48">
      <w:pPr>
        <w:numPr>
          <w:ilvl w:val="0"/>
          <w:numId w:val="40"/>
        </w:numPr>
        <w:tabs>
          <w:tab w:val="left" w:pos="720"/>
        </w:tabs>
        <w:spacing w:before="240" w:after="160" w:line="240" w:lineRule="auto"/>
        <w:contextualSpacing/>
        <w:jc w:val="both"/>
        <w:rPr>
          <w:rFonts w:ascii="Times New Roman" w:eastAsia="Calibri" w:hAnsi="Times New Roman" w:cs="Times New Roman"/>
          <w:b/>
          <w:noProof/>
          <w:sz w:val="24"/>
          <w:szCs w:val="24"/>
          <w:lang w:val="en-IE"/>
        </w:rPr>
      </w:pPr>
      <w:r w:rsidRPr="00532C20">
        <w:rPr>
          <w:rFonts w:ascii="Times New Roman" w:eastAsia="Calibri" w:hAnsi="Times New Roman" w:cs="Times New Roman"/>
          <w:b/>
          <w:noProof/>
          <w:sz w:val="24"/>
          <w:szCs w:val="24"/>
          <w:lang w:val="en-IE"/>
        </w:rPr>
        <w:t xml:space="preserve">Focus group with members of the </w:t>
      </w:r>
      <w:r w:rsidR="5AAF8E9E" w:rsidRPr="00532C20">
        <w:rPr>
          <w:rFonts w:ascii="Times New Roman" w:eastAsia="Calibri" w:hAnsi="Times New Roman" w:cs="Times New Roman"/>
          <w:b/>
          <w:noProof/>
          <w:sz w:val="24"/>
          <w:szCs w:val="24"/>
          <w:lang w:val="en-IE"/>
        </w:rPr>
        <w:t>Eur</w:t>
      </w:r>
      <w:r w:rsidRPr="00532C20">
        <w:rPr>
          <w:rFonts w:ascii="Times New Roman" w:eastAsia="Calibri" w:hAnsi="Times New Roman" w:cs="Times New Roman"/>
          <w:b/>
          <w:noProof/>
          <w:sz w:val="24"/>
          <w:szCs w:val="24"/>
          <w:lang w:val="en-IE"/>
        </w:rPr>
        <w:t xml:space="preserve">opean Lobby Registrars Network </w:t>
      </w:r>
    </w:p>
    <w:p w14:paraId="2567D028" w14:textId="77777777" w:rsidR="005744FE" w:rsidRPr="00532C20" w:rsidRDefault="005744FE"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This focus group gathered EU members of the European Lobby Registrars Network. </w:t>
      </w:r>
    </w:p>
    <w:p w14:paraId="1AA94E26" w14:textId="77777777" w:rsidR="005744FE" w:rsidRPr="00532C20" w:rsidRDefault="005744FE" w:rsidP="004B0958">
      <w:pPr>
        <w:spacing w:before="240" w:after="160" w:line="240" w:lineRule="auto"/>
        <w:jc w:val="both"/>
        <w:rPr>
          <w:rFonts w:ascii="Times New Roman" w:eastAsia="Symbol" w:hAnsi="Times New Roman" w:cs="Times New Roman"/>
          <w:noProof/>
          <w:color w:val="000000"/>
          <w:sz w:val="24"/>
          <w:szCs w:val="24"/>
          <w:lang w:val="en-IE"/>
        </w:rPr>
      </w:pPr>
      <w:r w:rsidRPr="00532C20">
        <w:rPr>
          <w:rFonts w:ascii="Times New Roman" w:eastAsia="Calibri" w:hAnsi="Times New Roman" w:cs="Times New Roman"/>
          <w:noProof/>
          <w:sz w:val="24"/>
          <w:szCs w:val="24"/>
          <w:lang w:val="en-IE"/>
        </w:rPr>
        <w:t>Participants presented the specificities of their national lobby registers, their rules, the actors covered, accompanying codes of conducts</w:t>
      </w:r>
      <w:r w:rsidR="129A8C8A" w:rsidRPr="00532C20">
        <w:rPr>
          <w:rFonts w:ascii="Times New Roman" w:eastAsia="Calibri" w:hAnsi="Times New Roman" w:cs="Times New Roman"/>
          <w:noProof/>
          <w:sz w:val="24"/>
          <w:szCs w:val="24"/>
          <w:lang w:val="en-IE"/>
        </w:rPr>
        <w:t>, as well as</w:t>
      </w:r>
      <w:r w:rsidRPr="00532C20">
        <w:rPr>
          <w:rFonts w:ascii="Times New Roman" w:eastAsia="Calibri" w:hAnsi="Times New Roman" w:cs="Times New Roman"/>
          <w:noProof/>
          <w:sz w:val="24"/>
          <w:szCs w:val="24"/>
          <w:lang w:val="en-IE"/>
        </w:rPr>
        <w:t xml:space="preserve"> oversight and compliance mechanisms. Participants identified foreign interference as an important topic and expressed the need to tackle it. </w:t>
      </w:r>
      <w:r w:rsidR="00432785" w:rsidRPr="00532C20">
        <w:rPr>
          <w:rFonts w:ascii="Times New Roman" w:eastAsia="Calibri" w:hAnsi="Times New Roman" w:cs="Times New Roman"/>
          <w:noProof/>
          <w:sz w:val="24"/>
          <w:szCs w:val="24"/>
          <w:lang w:val="en-IE"/>
        </w:rPr>
        <w:t>Finally, they</w:t>
      </w:r>
      <w:r w:rsidRPr="00532C20">
        <w:rPr>
          <w:rFonts w:ascii="Times New Roman" w:eastAsia="Calibri" w:hAnsi="Times New Roman" w:cs="Times New Roman"/>
          <w:noProof/>
          <w:sz w:val="24"/>
          <w:szCs w:val="24"/>
          <w:lang w:val="en-IE"/>
        </w:rPr>
        <w:t xml:space="preserve"> discussed </w:t>
      </w:r>
      <w:r w:rsidR="27FA6B1A" w:rsidRPr="00532C20">
        <w:rPr>
          <w:rFonts w:ascii="Times New Roman" w:eastAsia="Calibri" w:hAnsi="Times New Roman" w:cs="Times New Roman"/>
          <w:noProof/>
          <w:sz w:val="24"/>
          <w:szCs w:val="24"/>
          <w:lang w:val="en-IE"/>
        </w:rPr>
        <w:t xml:space="preserve">the </w:t>
      </w:r>
      <w:r w:rsidRPr="00532C20">
        <w:rPr>
          <w:rFonts w:ascii="Times New Roman" w:eastAsia="Calibri" w:hAnsi="Times New Roman" w:cs="Times New Roman"/>
          <w:noProof/>
          <w:sz w:val="24"/>
          <w:szCs w:val="24"/>
          <w:lang w:val="en-IE"/>
        </w:rPr>
        <w:t xml:space="preserve">safeguards and legislative loopholes to be addressed. </w:t>
      </w:r>
    </w:p>
    <w:p w14:paraId="6C27C372" w14:textId="28581CCE" w:rsidR="00C81F48" w:rsidRPr="00532C20" w:rsidRDefault="00C81F48">
      <w:pPr>
        <w:numPr>
          <w:ilvl w:val="0"/>
          <w:numId w:val="40"/>
        </w:numPr>
        <w:tabs>
          <w:tab w:val="left" w:pos="720"/>
        </w:tabs>
        <w:spacing w:before="240" w:after="160" w:line="240" w:lineRule="auto"/>
        <w:contextualSpacing/>
        <w:jc w:val="both"/>
        <w:rPr>
          <w:rFonts w:ascii="Times New Roman" w:eastAsia="Calibri" w:hAnsi="Times New Roman" w:cs="Times New Roman"/>
          <w:b/>
          <w:noProof/>
          <w:sz w:val="24"/>
          <w:szCs w:val="24"/>
          <w:lang w:val="en-IE"/>
        </w:rPr>
      </w:pPr>
      <w:r w:rsidRPr="00532C20">
        <w:rPr>
          <w:rFonts w:ascii="Times New Roman" w:eastAsia="Calibri" w:hAnsi="Times New Roman" w:cs="Times New Roman"/>
          <w:b/>
          <w:noProof/>
          <w:sz w:val="24"/>
          <w:szCs w:val="24"/>
          <w:lang w:val="en-IE"/>
        </w:rPr>
        <w:t xml:space="preserve">Focus group with </w:t>
      </w:r>
      <w:r w:rsidR="000A6B37" w:rsidRPr="00532C20">
        <w:rPr>
          <w:rFonts w:ascii="Times New Roman" w:eastAsia="Calibri" w:hAnsi="Times New Roman" w:cs="Times New Roman"/>
          <w:b/>
          <w:noProof/>
          <w:sz w:val="24"/>
          <w:szCs w:val="24"/>
          <w:lang w:val="en-IE"/>
        </w:rPr>
        <w:t>CSO</w:t>
      </w:r>
      <w:r w:rsidRPr="00532C20">
        <w:rPr>
          <w:rFonts w:ascii="Times New Roman" w:eastAsia="Calibri" w:hAnsi="Times New Roman" w:cs="Times New Roman"/>
          <w:b/>
          <w:noProof/>
          <w:sz w:val="24"/>
          <w:szCs w:val="24"/>
          <w:lang w:val="en-IE"/>
        </w:rPr>
        <w:t>s and non-commercial actors involved in the defence of democracy</w:t>
      </w:r>
    </w:p>
    <w:p w14:paraId="4C81DCBB" w14:textId="77777777" w:rsidR="00C81F48" w:rsidRPr="00532C20" w:rsidRDefault="005744FE"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focus group with </w:t>
      </w:r>
      <w:r w:rsidR="19205B31" w:rsidRPr="00532C20">
        <w:rPr>
          <w:rFonts w:ascii="Times New Roman" w:eastAsia="Calibri" w:hAnsi="Times New Roman" w:cs="Times New Roman"/>
          <w:noProof/>
          <w:sz w:val="24"/>
          <w:szCs w:val="24"/>
          <w:lang w:val="en-IE"/>
        </w:rPr>
        <w:t>CSO</w:t>
      </w:r>
      <w:r w:rsidR="31302E33" w:rsidRPr="00532C20">
        <w:rPr>
          <w:rFonts w:ascii="Times New Roman" w:eastAsia="Calibri" w:hAnsi="Times New Roman" w:cs="Times New Roman"/>
          <w:noProof/>
          <w:sz w:val="24"/>
          <w:szCs w:val="24"/>
          <w:lang w:val="en-IE"/>
        </w:rPr>
        <w:t>s</w:t>
      </w:r>
      <w:r w:rsidRPr="00532C20">
        <w:rPr>
          <w:rFonts w:ascii="Times New Roman" w:eastAsia="Calibri" w:hAnsi="Times New Roman" w:cs="Times New Roman"/>
          <w:noProof/>
          <w:sz w:val="24"/>
          <w:szCs w:val="24"/>
          <w:lang w:val="en-IE"/>
        </w:rPr>
        <w:t xml:space="preserve"> and non-commercial actors involved in the defence of democracy was introduced by a member of </w:t>
      </w:r>
      <w:r w:rsidR="5F8FE288" w:rsidRPr="00532C20">
        <w:rPr>
          <w:rFonts w:ascii="Times New Roman" w:eastAsia="Calibri" w:hAnsi="Times New Roman" w:cs="Times New Roman"/>
          <w:noProof/>
          <w:sz w:val="24"/>
          <w:szCs w:val="24"/>
          <w:lang w:val="en-IE"/>
        </w:rPr>
        <w:t xml:space="preserve">the </w:t>
      </w:r>
      <w:r w:rsidRPr="00532C20">
        <w:rPr>
          <w:rFonts w:ascii="Times New Roman" w:eastAsia="Calibri" w:hAnsi="Times New Roman" w:cs="Times New Roman"/>
          <w:noProof/>
          <w:sz w:val="24"/>
          <w:szCs w:val="24"/>
          <w:lang w:val="en-IE"/>
        </w:rPr>
        <w:t xml:space="preserve">cabinet of Commission Reynders, who emphasised </w:t>
      </w:r>
      <w:r w:rsidR="788A4E36" w:rsidRPr="00532C20">
        <w:rPr>
          <w:rFonts w:ascii="Times New Roman" w:eastAsia="Calibri" w:hAnsi="Times New Roman" w:cs="Times New Roman"/>
          <w:noProof/>
          <w:sz w:val="24"/>
          <w:szCs w:val="24"/>
          <w:lang w:val="en-IE"/>
        </w:rPr>
        <w:t xml:space="preserve">the </w:t>
      </w:r>
      <w:r w:rsidRPr="00532C20">
        <w:rPr>
          <w:rFonts w:ascii="Times New Roman" w:eastAsia="Calibri" w:hAnsi="Times New Roman" w:cs="Times New Roman"/>
          <w:noProof/>
          <w:sz w:val="24"/>
          <w:szCs w:val="24"/>
          <w:lang w:val="en-IE"/>
        </w:rPr>
        <w:t xml:space="preserve">key role </w:t>
      </w:r>
      <w:r w:rsidR="7BEE5FC4" w:rsidRPr="00532C20">
        <w:rPr>
          <w:rFonts w:ascii="Times New Roman" w:eastAsia="Calibri" w:hAnsi="Times New Roman" w:cs="Times New Roman"/>
          <w:noProof/>
          <w:sz w:val="24"/>
          <w:szCs w:val="24"/>
          <w:lang w:val="en-IE"/>
        </w:rPr>
        <w:t>of CSOs</w:t>
      </w:r>
      <w:r w:rsidR="19205B31" w:rsidRPr="00532C20">
        <w:rPr>
          <w:rFonts w:ascii="Times New Roman" w:eastAsia="Calibri" w:hAnsi="Times New Roman" w:cs="Times New Roman"/>
          <w:noProof/>
          <w:sz w:val="24"/>
          <w:szCs w:val="24"/>
          <w:lang w:val="en-IE"/>
        </w:rPr>
        <w:t xml:space="preserve"> </w:t>
      </w:r>
      <w:r w:rsidRPr="00532C20">
        <w:rPr>
          <w:rFonts w:ascii="Times New Roman" w:eastAsia="Calibri" w:hAnsi="Times New Roman" w:cs="Times New Roman"/>
          <w:noProof/>
          <w:sz w:val="24"/>
          <w:szCs w:val="24"/>
          <w:lang w:val="en-IE"/>
        </w:rPr>
        <w:t xml:space="preserve">for the well-functioning of our democracies and introduced the package. </w:t>
      </w:r>
    </w:p>
    <w:p w14:paraId="2CFDD690" w14:textId="77777777" w:rsidR="00865525" w:rsidRPr="00532C20" w:rsidRDefault="005744FE"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Some participants expressed their concerns that </w:t>
      </w:r>
      <w:r w:rsidR="11695003" w:rsidRPr="00532C20">
        <w:rPr>
          <w:rFonts w:ascii="Times New Roman" w:eastAsia="Calibri" w:hAnsi="Times New Roman" w:cs="Times New Roman"/>
          <w:noProof/>
          <w:sz w:val="24"/>
          <w:szCs w:val="24"/>
          <w:lang w:val="en-IE"/>
        </w:rPr>
        <w:t>CSO</w:t>
      </w:r>
      <w:r w:rsidR="0690B6A3" w:rsidRPr="00532C20">
        <w:rPr>
          <w:rFonts w:ascii="Times New Roman" w:eastAsia="Calibri" w:hAnsi="Times New Roman" w:cs="Times New Roman"/>
          <w:noProof/>
          <w:sz w:val="24"/>
          <w:szCs w:val="24"/>
          <w:lang w:val="en-IE"/>
        </w:rPr>
        <w:t>s</w:t>
      </w:r>
      <w:r w:rsidRPr="00532C20">
        <w:rPr>
          <w:rFonts w:ascii="Times New Roman" w:eastAsia="Calibri" w:hAnsi="Times New Roman" w:cs="Times New Roman"/>
          <w:noProof/>
          <w:sz w:val="24"/>
          <w:szCs w:val="24"/>
          <w:lang w:val="en-IE"/>
        </w:rPr>
        <w:t xml:space="preserve"> seem to </w:t>
      </w:r>
      <w:r w:rsidR="612E901E" w:rsidRPr="00532C20">
        <w:rPr>
          <w:rFonts w:ascii="Times New Roman" w:eastAsia="Calibri" w:hAnsi="Times New Roman" w:cs="Times New Roman"/>
          <w:noProof/>
          <w:sz w:val="24"/>
          <w:szCs w:val="24"/>
          <w:lang w:val="en-IE"/>
        </w:rPr>
        <w:t xml:space="preserve">be </w:t>
      </w:r>
      <w:r w:rsidRPr="00532C20">
        <w:rPr>
          <w:rFonts w:ascii="Times New Roman" w:eastAsia="Calibri" w:hAnsi="Times New Roman" w:cs="Times New Roman"/>
          <w:noProof/>
          <w:sz w:val="24"/>
          <w:szCs w:val="24"/>
          <w:lang w:val="en-IE"/>
        </w:rPr>
        <w:t xml:space="preserve">considered as a problem, and not a solution to tackle foreign interference and protect the EU democratic sphere. </w:t>
      </w:r>
      <w:r w:rsidR="00865525" w:rsidRPr="00532C20">
        <w:rPr>
          <w:rFonts w:ascii="Times New Roman" w:eastAsia="Calibri" w:hAnsi="Times New Roman" w:cs="Times New Roman"/>
          <w:noProof/>
          <w:sz w:val="24"/>
          <w:szCs w:val="24"/>
          <w:lang w:val="en-IE"/>
        </w:rPr>
        <w:t xml:space="preserve">They condemned the presumption of culpability when it comes to relations between institutions and CSOs. </w:t>
      </w:r>
      <w:r w:rsidRPr="00532C20">
        <w:rPr>
          <w:rFonts w:ascii="Times New Roman" w:eastAsia="Calibri" w:hAnsi="Times New Roman" w:cs="Times New Roman"/>
          <w:noProof/>
          <w:sz w:val="24"/>
          <w:szCs w:val="24"/>
          <w:lang w:val="en-IE"/>
        </w:rPr>
        <w:t>The majority of participants declared never to have been confronted w</w:t>
      </w:r>
      <w:r w:rsidR="00865525" w:rsidRPr="00532C20">
        <w:rPr>
          <w:rFonts w:ascii="Times New Roman" w:eastAsia="Calibri" w:hAnsi="Times New Roman" w:cs="Times New Roman"/>
          <w:noProof/>
          <w:sz w:val="24"/>
          <w:szCs w:val="24"/>
          <w:lang w:val="en-IE"/>
        </w:rPr>
        <w:t xml:space="preserve">ith issues of foreign influence. They asked for more support to </w:t>
      </w:r>
      <w:r w:rsidR="03435CEA" w:rsidRPr="00532C20">
        <w:rPr>
          <w:rFonts w:ascii="Times New Roman" w:eastAsia="Calibri" w:hAnsi="Times New Roman" w:cs="Times New Roman"/>
          <w:noProof/>
          <w:sz w:val="24"/>
          <w:szCs w:val="24"/>
          <w:lang w:val="en-IE"/>
        </w:rPr>
        <w:t>CSO</w:t>
      </w:r>
      <w:r w:rsidR="4605E62C" w:rsidRPr="00532C20">
        <w:rPr>
          <w:rFonts w:ascii="Times New Roman" w:eastAsia="Calibri" w:hAnsi="Times New Roman" w:cs="Times New Roman"/>
          <w:noProof/>
          <w:sz w:val="24"/>
          <w:szCs w:val="24"/>
          <w:lang w:val="en-IE"/>
        </w:rPr>
        <w:t>s</w:t>
      </w:r>
      <w:r w:rsidR="00865525" w:rsidRPr="00532C20">
        <w:rPr>
          <w:rFonts w:ascii="Times New Roman" w:eastAsia="Calibri" w:hAnsi="Times New Roman" w:cs="Times New Roman"/>
          <w:noProof/>
          <w:sz w:val="24"/>
          <w:szCs w:val="24"/>
          <w:lang w:val="en-IE"/>
        </w:rPr>
        <w:t xml:space="preserve">, included more funding from the EU. </w:t>
      </w:r>
    </w:p>
    <w:p w14:paraId="211D29FB" w14:textId="77777777" w:rsidR="00865525" w:rsidRPr="00532C20" w:rsidRDefault="00865525"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Participants added that additional transparency measures could be burdensome and difficult to comply with for most </w:t>
      </w:r>
      <w:r w:rsidR="000A6B37" w:rsidRPr="00532C20">
        <w:rPr>
          <w:rFonts w:ascii="Times New Roman" w:eastAsia="Calibri" w:hAnsi="Times New Roman" w:cs="Times New Roman"/>
          <w:noProof/>
          <w:sz w:val="24"/>
          <w:szCs w:val="24"/>
          <w:lang w:val="en-IE"/>
        </w:rPr>
        <w:t>CSO</w:t>
      </w:r>
      <w:r w:rsidRPr="00532C20">
        <w:rPr>
          <w:rFonts w:ascii="Times New Roman" w:eastAsia="Calibri" w:hAnsi="Times New Roman" w:cs="Times New Roman"/>
          <w:noProof/>
          <w:sz w:val="24"/>
          <w:szCs w:val="24"/>
          <w:lang w:val="en-IE"/>
        </w:rPr>
        <w:t xml:space="preserve">s, agreeing that they already </w:t>
      </w:r>
      <w:r w:rsidR="7563800F" w:rsidRPr="00532C20">
        <w:rPr>
          <w:rFonts w:ascii="Times New Roman" w:eastAsia="Calibri" w:hAnsi="Times New Roman" w:cs="Times New Roman"/>
          <w:noProof/>
          <w:sz w:val="24"/>
          <w:szCs w:val="24"/>
          <w:lang w:val="en-IE"/>
        </w:rPr>
        <w:t>must comp</w:t>
      </w:r>
      <w:r w:rsidR="006B1F40" w:rsidRPr="00532C20">
        <w:rPr>
          <w:rFonts w:ascii="Times New Roman" w:eastAsia="Calibri" w:hAnsi="Times New Roman" w:cs="Times New Roman"/>
          <w:noProof/>
          <w:sz w:val="24"/>
          <w:szCs w:val="24"/>
          <w:lang w:val="en-IE"/>
        </w:rPr>
        <w:t>l</w:t>
      </w:r>
      <w:r w:rsidR="7563800F" w:rsidRPr="00532C20">
        <w:rPr>
          <w:rFonts w:ascii="Times New Roman" w:eastAsia="Calibri" w:hAnsi="Times New Roman" w:cs="Times New Roman"/>
          <w:noProof/>
          <w:sz w:val="24"/>
          <w:szCs w:val="24"/>
          <w:lang w:val="en-IE"/>
        </w:rPr>
        <w:t>y with</w:t>
      </w:r>
      <w:r w:rsidRPr="00532C20">
        <w:rPr>
          <w:rFonts w:ascii="Times New Roman" w:eastAsia="Calibri" w:hAnsi="Times New Roman" w:cs="Times New Roman"/>
          <w:noProof/>
          <w:sz w:val="24"/>
          <w:szCs w:val="24"/>
          <w:lang w:val="en-IE"/>
        </w:rPr>
        <w:t xml:space="preserve"> many reporting and transparency requirements. They stated that public officials should follow integrity standards. </w:t>
      </w:r>
    </w:p>
    <w:p w14:paraId="76E04996" w14:textId="77777777" w:rsidR="00C81F48" w:rsidRPr="00532C20" w:rsidRDefault="00C81F48">
      <w:pPr>
        <w:numPr>
          <w:ilvl w:val="0"/>
          <w:numId w:val="40"/>
        </w:numPr>
        <w:tabs>
          <w:tab w:val="left" w:pos="720"/>
        </w:tabs>
        <w:spacing w:before="240" w:after="160" w:line="240" w:lineRule="auto"/>
        <w:contextualSpacing/>
        <w:jc w:val="both"/>
        <w:rPr>
          <w:rFonts w:ascii="Times New Roman" w:eastAsia="Calibri" w:hAnsi="Times New Roman" w:cs="Times New Roman"/>
          <w:b/>
          <w:noProof/>
          <w:sz w:val="24"/>
          <w:szCs w:val="24"/>
          <w:lang w:val="en-IE"/>
        </w:rPr>
      </w:pPr>
      <w:r w:rsidRPr="00532C20">
        <w:rPr>
          <w:rFonts w:ascii="Times New Roman" w:eastAsia="Calibri" w:hAnsi="Times New Roman" w:cs="Times New Roman"/>
          <w:b/>
          <w:noProof/>
          <w:sz w:val="24"/>
          <w:szCs w:val="24"/>
          <w:lang w:val="en-IE"/>
        </w:rPr>
        <w:t>Focus group with c</w:t>
      </w:r>
      <w:r w:rsidR="5AAF8E9E" w:rsidRPr="00532C20">
        <w:rPr>
          <w:rFonts w:ascii="Times New Roman" w:eastAsia="Calibri" w:hAnsi="Times New Roman" w:cs="Times New Roman"/>
          <w:b/>
          <w:noProof/>
          <w:sz w:val="24"/>
          <w:szCs w:val="24"/>
          <w:lang w:val="en-IE"/>
        </w:rPr>
        <w:t xml:space="preserve">ommercial entities involved in cross-border interest representation services </w:t>
      </w:r>
    </w:p>
    <w:p w14:paraId="157403AB" w14:textId="77777777" w:rsidR="00883FF4" w:rsidRPr="00532C20" w:rsidRDefault="00F242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Following a first meeting with professionals involved in interest representation (see point d. </w:t>
      </w:r>
      <w:r w:rsidR="00432785" w:rsidRPr="00532C20">
        <w:rPr>
          <w:rFonts w:ascii="Times New Roman" w:eastAsia="Calibri" w:hAnsi="Times New Roman" w:cs="Times New Roman"/>
          <w:noProof/>
          <w:sz w:val="24"/>
          <w:szCs w:val="24"/>
          <w:lang w:val="en-IE"/>
        </w:rPr>
        <w:t>above), this second focus group gathered commercial entities involved in</w:t>
      </w:r>
      <w:r w:rsidRPr="00532C20">
        <w:rPr>
          <w:rFonts w:ascii="Times New Roman" w:eastAsia="Calibri" w:hAnsi="Times New Roman" w:cs="Times New Roman"/>
          <w:noProof/>
          <w:sz w:val="24"/>
          <w:szCs w:val="24"/>
          <w:lang w:val="en-IE"/>
        </w:rPr>
        <w:t xml:space="preserve"> interest representation, with the aim to focus on cross-border activities and having to comply with different registration and transparency requirements. </w:t>
      </w:r>
    </w:p>
    <w:p w14:paraId="1EBD7A7C" w14:textId="77777777" w:rsidR="00F24230" w:rsidRPr="00532C20" w:rsidRDefault="2ACE2F6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Participants expressed their support for an initiative covering foreign interference, and stated they would welcome common transparency rules, as this would not only facilitate their registrations but also prevent market and reputational issues for companies and clients.</w:t>
      </w:r>
      <w:r w:rsidR="3D8787C9" w:rsidRPr="00532C20">
        <w:rPr>
          <w:rFonts w:ascii="Times New Roman" w:eastAsia="Calibri" w:hAnsi="Times New Roman" w:cs="Times New Roman"/>
          <w:noProof/>
          <w:sz w:val="24"/>
          <w:szCs w:val="24"/>
          <w:lang w:val="en-IE"/>
        </w:rPr>
        <w:t xml:space="preserve"> They emphasised the challenges </w:t>
      </w:r>
      <w:r w:rsidR="187CAA8D" w:rsidRPr="00532C20">
        <w:rPr>
          <w:rFonts w:ascii="Times New Roman" w:eastAsia="Calibri" w:hAnsi="Times New Roman" w:cs="Times New Roman"/>
          <w:noProof/>
          <w:sz w:val="24"/>
          <w:szCs w:val="24"/>
          <w:lang w:val="en-IE"/>
        </w:rPr>
        <w:t>of</w:t>
      </w:r>
      <w:r w:rsidR="3D8787C9" w:rsidRPr="00532C20">
        <w:rPr>
          <w:rFonts w:ascii="Times New Roman" w:eastAsia="Calibri" w:hAnsi="Times New Roman" w:cs="Times New Roman"/>
          <w:noProof/>
          <w:sz w:val="24"/>
          <w:szCs w:val="24"/>
          <w:lang w:val="en-IE"/>
        </w:rPr>
        <w:t xml:space="preserve"> having to comply with different systems and rules across Member States.</w:t>
      </w:r>
    </w:p>
    <w:p w14:paraId="6610A5D6" w14:textId="77777777" w:rsidR="00C81F48" w:rsidRPr="00532C20" w:rsidRDefault="00C81F48">
      <w:pPr>
        <w:numPr>
          <w:ilvl w:val="0"/>
          <w:numId w:val="40"/>
        </w:numPr>
        <w:tabs>
          <w:tab w:val="left" w:pos="720"/>
        </w:tabs>
        <w:spacing w:before="240" w:after="160" w:line="240" w:lineRule="auto"/>
        <w:contextualSpacing/>
        <w:jc w:val="both"/>
        <w:rPr>
          <w:rFonts w:ascii="Times New Roman" w:eastAsia="Calibri" w:hAnsi="Times New Roman" w:cs="Times New Roman"/>
          <w:b/>
          <w:noProof/>
          <w:sz w:val="24"/>
          <w:szCs w:val="24"/>
          <w:lang w:val="en-IE"/>
        </w:rPr>
      </w:pPr>
      <w:r w:rsidRPr="00532C20">
        <w:rPr>
          <w:rFonts w:ascii="Times New Roman" w:eastAsia="Calibri" w:hAnsi="Times New Roman" w:cs="Times New Roman"/>
          <w:b/>
          <w:noProof/>
          <w:sz w:val="24"/>
          <w:szCs w:val="24"/>
          <w:lang w:val="en-IE"/>
        </w:rPr>
        <w:t>Focus group with g</w:t>
      </w:r>
      <w:r w:rsidR="5AAF8E9E" w:rsidRPr="00532C20">
        <w:rPr>
          <w:rFonts w:ascii="Times New Roman" w:eastAsia="Calibri" w:hAnsi="Times New Roman" w:cs="Times New Roman"/>
          <w:b/>
          <w:noProof/>
          <w:sz w:val="24"/>
          <w:szCs w:val="24"/>
          <w:lang w:val="en-IE"/>
        </w:rPr>
        <w:t xml:space="preserve">rants beneficiaries of CERV programme working on projects related to the 2024 elections to the European Parliament </w:t>
      </w:r>
    </w:p>
    <w:p w14:paraId="27B6E4D3" w14:textId="77777777" w:rsidR="00F24230" w:rsidRPr="00532C20" w:rsidRDefault="00F242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This meeting was a second focus group gathering </w:t>
      </w:r>
      <w:r w:rsidR="000A6B37" w:rsidRPr="00532C20">
        <w:rPr>
          <w:rFonts w:ascii="Times New Roman" w:eastAsia="Calibri" w:hAnsi="Times New Roman" w:cs="Times New Roman"/>
          <w:noProof/>
          <w:sz w:val="24"/>
          <w:szCs w:val="24"/>
          <w:lang w:val="en-IE"/>
        </w:rPr>
        <w:t>CSO</w:t>
      </w:r>
      <w:r w:rsidRPr="00532C20">
        <w:rPr>
          <w:rFonts w:ascii="Times New Roman" w:eastAsia="Calibri" w:hAnsi="Times New Roman" w:cs="Times New Roman"/>
          <w:noProof/>
          <w:sz w:val="24"/>
          <w:szCs w:val="24"/>
          <w:lang w:val="en-IE"/>
        </w:rPr>
        <w:t xml:space="preserve">s, with the aim to focus on those receiving funds under the CERV programme and working on projects related to the upcoming elections to the European Parliament. </w:t>
      </w:r>
    </w:p>
    <w:p w14:paraId="2E754394" w14:textId="77777777" w:rsidR="00F24230" w:rsidRPr="00532C20" w:rsidRDefault="00F242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During this focus group, </w:t>
      </w:r>
      <w:r w:rsidR="00355C1A" w:rsidRPr="00532C20">
        <w:rPr>
          <w:rFonts w:ascii="Times New Roman" w:eastAsia="Calibri" w:hAnsi="Times New Roman" w:cs="Times New Roman"/>
          <w:noProof/>
          <w:sz w:val="24"/>
          <w:szCs w:val="24"/>
          <w:lang w:val="en-IE"/>
        </w:rPr>
        <w:t>p</w:t>
      </w:r>
      <w:r w:rsidRPr="00532C20">
        <w:rPr>
          <w:rFonts w:ascii="Times New Roman" w:eastAsia="Calibri" w:hAnsi="Times New Roman" w:cs="Times New Roman"/>
          <w:noProof/>
          <w:sz w:val="24"/>
          <w:szCs w:val="24"/>
          <w:lang w:val="en-IE"/>
        </w:rPr>
        <w:t xml:space="preserve">articipants </w:t>
      </w:r>
      <w:r w:rsidR="00355C1A" w:rsidRPr="00532C20">
        <w:rPr>
          <w:rFonts w:ascii="Times New Roman" w:eastAsia="Calibri" w:hAnsi="Times New Roman" w:cs="Times New Roman"/>
          <w:noProof/>
          <w:sz w:val="24"/>
          <w:szCs w:val="24"/>
          <w:lang w:val="en-IE"/>
        </w:rPr>
        <w:t xml:space="preserve">largely considered that the main barriers to turnout in elections to the European Parliament were the lack of information about the EU among the general population, and the lack of participative and deliberative democracy between elections. They argued </w:t>
      </w:r>
      <w:r w:rsidR="3180E7CC" w:rsidRPr="00532C20">
        <w:rPr>
          <w:rFonts w:ascii="Times New Roman" w:eastAsia="Calibri" w:hAnsi="Times New Roman" w:cs="Times New Roman"/>
          <w:noProof/>
          <w:sz w:val="24"/>
          <w:szCs w:val="24"/>
          <w:lang w:val="en-IE"/>
        </w:rPr>
        <w:t xml:space="preserve">that </w:t>
      </w:r>
      <w:r w:rsidR="6F6E8A85" w:rsidRPr="00532C20">
        <w:rPr>
          <w:rFonts w:ascii="Times New Roman" w:eastAsia="Calibri" w:hAnsi="Times New Roman" w:cs="Times New Roman"/>
          <w:noProof/>
          <w:sz w:val="24"/>
          <w:szCs w:val="24"/>
          <w:lang w:val="en-IE"/>
        </w:rPr>
        <w:t>actions</w:t>
      </w:r>
      <w:r w:rsidR="00355C1A" w:rsidRPr="00532C20">
        <w:rPr>
          <w:rFonts w:ascii="Times New Roman" w:eastAsia="Calibri" w:hAnsi="Times New Roman" w:cs="Times New Roman"/>
          <w:noProof/>
          <w:sz w:val="24"/>
          <w:szCs w:val="24"/>
          <w:lang w:val="en-IE"/>
        </w:rPr>
        <w:t xml:space="preserve"> at the local level and more engagement and support to CSOs would help increasing turnout, inclusiveness and understanding of elections. They highlighted the importance of increasing trust and transparency of decision-making processes at the EU level.</w:t>
      </w:r>
    </w:p>
    <w:p w14:paraId="63AE3ED5" w14:textId="77777777" w:rsidR="00C81F48" w:rsidRPr="00532C20" w:rsidRDefault="00C81F48">
      <w:pPr>
        <w:numPr>
          <w:ilvl w:val="0"/>
          <w:numId w:val="40"/>
        </w:numPr>
        <w:tabs>
          <w:tab w:val="left" w:pos="720"/>
        </w:tabs>
        <w:spacing w:before="240" w:after="160" w:line="240" w:lineRule="auto"/>
        <w:contextualSpacing/>
        <w:jc w:val="both"/>
        <w:rPr>
          <w:rFonts w:ascii="Times New Roman" w:eastAsia="Calibri" w:hAnsi="Times New Roman" w:cs="Times New Roman"/>
          <w:b/>
          <w:noProof/>
          <w:sz w:val="24"/>
          <w:szCs w:val="24"/>
          <w:lang w:val="en-IE"/>
        </w:rPr>
      </w:pPr>
      <w:r w:rsidRPr="00532C20">
        <w:rPr>
          <w:rFonts w:ascii="Times New Roman" w:eastAsia="Calibri" w:hAnsi="Times New Roman" w:cs="Times New Roman"/>
          <w:b/>
          <w:noProof/>
          <w:sz w:val="24"/>
          <w:szCs w:val="24"/>
          <w:lang w:val="en-IE"/>
        </w:rPr>
        <w:t xml:space="preserve">Focus group with </w:t>
      </w:r>
      <w:r w:rsidR="5AAF8E9E" w:rsidRPr="00532C20">
        <w:rPr>
          <w:rFonts w:ascii="Times New Roman" w:eastAsia="Calibri" w:hAnsi="Times New Roman" w:cs="Times New Roman"/>
          <w:b/>
          <w:noProof/>
          <w:sz w:val="24"/>
          <w:szCs w:val="24"/>
          <w:lang w:val="en-IE"/>
        </w:rPr>
        <w:t>European Political Parties and Foundations</w:t>
      </w:r>
    </w:p>
    <w:p w14:paraId="2EAD68D1" w14:textId="77777777" w:rsidR="00432785" w:rsidRPr="00532C20" w:rsidRDefault="00432785"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A focus group was organised with European Political Parties and European Foundations. Most participants said never to have been directly affected by foreign interference, but agreed it was a pressing issue. Some of them, however, declared that any additional measures on political parties would be burdensome, or even counter-productive, as some of their members are parties based in third countries. The question of providing a level playing field in terms of transparency requirements between entities impacting democracy was raised.</w:t>
      </w:r>
    </w:p>
    <w:p w14:paraId="4D9AE1EE" w14:textId="04923397" w:rsidR="00432785" w:rsidRPr="00532C20" w:rsidRDefault="00432785" w:rsidP="004B0958">
      <w:pPr>
        <w:spacing w:before="240" w:after="160" w:line="240" w:lineRule="auto"/>
        <w:jc w:val="both"/>
        <w:rPr>
          <w:rFonts w:ascii="Times New Roman" w:eastAsia="Symbol" w:hAnsi="Times New Roman" w:cs="Times New Roman"/>
          <w:noProof/>
          <w:color w:val="000000"/>
          <w:sz w:val="24"/>
          <w:szCs w:val="24"/>
          <w:lang w:val="en-IE"/>
        </w:rPr>
      </w:pPr>
      <w:r w:rsidRPr="00532C20">
        <w:rPr>
          <w:rFonts w:ascii="Times New Roman" w:eastAsia="Calibri" w:hAnsi="Times New Roman" w:cs="Times New Roman"/>
          <w:noProof/>
          <w:sz w:val="24"/>
          <w:szCs w:val="24"/>
          <w:lang w:val="en-IE"/>
        </w:rPr>
        <w:t>On the part related to free,</w:t>
      </w:r>
      <w:r w:rsidR="00597EE9" w:rsidRPr="00532C20">
        <w:rPr>
          <w:rFonts w:ascii="Times New Roman" w:eastAsia="Calibri" w:hAnsi="Times New Roman" w:cs="Times New Roman"/>
          <w:noProof/>
          <w:sz w:val="24"/>
          <w:szCs w:val="24"/>
          <w:lang w:val="en-IE"/>
        </w:rPr>
        <w:t xml:space="preserve"> </w:t>
      </w:r>
      <w:r w:rsidRPr="00532C20">
        <w:rPr>
          <w:rFonts w:ascii="Times New Roman" w:eastAsia="Calibri" w:hAnsi="Times New Roman" w:cs="Times New Roman"/>
          <w:noProof/>
          <w:sz w:val="24"/>
          <w:szCs w:val="24"/>
          <w:lang w:val="en-IE"/>
        </w:rPr>
        <w:t xml:space="preserve">fair and resilient elections, participants agreed there is a general lack of knowledge about citizen’s rights, the elections to the European Parliament and the general functioning of the EU. References were made to the proposed new electoral law, as a means to increase turnout and citizen’s representativeness in elections. </w:t>
      </w:r>
    </w:p>
    <w:p w14:paraId="49DA56A7" w14:textId="77777777" w:rsidR="00C81F48" w:rsidRPr="00532C20" w:rsidRDefault="00C81F48">
      <w:pPr>
        <w:numPr>
          <w:ilvl w:val="0"/>
          <w:numId w:val="40"/>
        </w:numPr>
        <w:tabs>
          <w:tab w:val="left" w:pos="720"/>
        </w:tabs>
        <w:spacing w:before="240" w:after="160" w:line="240" w:lineRule="auto"/>
        <w:contextualSpacing/>
        <w:jc w:val="both"/>
        <w:rPr>
          <w:rFonts w:ascii="Times New Roman" w:eastAsia="Calibri" w:hAnsi="Times New Roman" w:cs="Times New Roman"/>
          <w:b/>
          <w:noProof/>
          <w:sz w:val="24"/>
          <w:szCs w:val="24"/>
          <w:lang w:val="en-IE"/>
        </w:rPr>
      </w:pPr>
      <w:r w:rsidRPr="00532C20">
        <w:rPr>
          <w:rFonts w:ascii="Times New Roman" w:eastAsia="Calibri" w:hAnsi="Times New Roman" w:cs="Times New Roman"/>
          <w:b/>
          <w:noProof/>
          <w:sz w:val="24"/>
          <w:szCs w:val="24"/>
          <w:lang w:val="en-IE"/>
        </w:rPr>
        <w:t>Focus group with Local Authorities</w:t>
      </w:r>
    </w:p>
    <w:p w14:paraId="583B33C9" w14:textId="77777777" w:rsidR="003034EA" w:rsidRPr="00532C20" w:rsidRDefault="005A5754"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This focus group gathered representatives of local authorities. </w:t>
      </w:r>
    </w:p>
    <w:p w14:paraId="723E8E2B" w14:textId="77777777" w:rsidR="003034EA" w:rsidRPr="00532C20" w:rsidRDefault="003034EA"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While some participants agreed foreign interference is a growing problem for local democracies, </w:t>
      </w:r>
      <w:r w:rsidR="52C9456D" w:rsidRPr="00532C20">
        <w:rPr>
          <w:rFonts w:ascii="Times New Roman" w:eastAsia="Calibri" w:hAnsi="Times New Roman" w:cs="Times New Roman"/>
          <w:noProof/>
          <w:sz w:val="24"/>
          <w:szCs w:val="24"/>
          <w:lang w:val="en-IE"/>
        </w:rPr>
        <w:t>other</w:t>
      </w:r>
      <w:r w:rsidR="51D1A15A" w:rsidRPr="00532C20">
        <w:rPr>
          <w:rFonts w:ascii="Times New Roman" w:eastAsia="Calibri" w:hAnsi="Times New Roman" w:cs="Times New Roman"/>
          <w:noProof/>
          <w:sz w:val="24"/>
          <w:szCs w:val="24"/>
          <w:lang w:val="en-IE"/>
        </w:rPr>
        <w:t>s</w:t>
      </w:r>
      <w:r w:rsidRPr="00532C20">
        <w:rPr>
          <w:rFonts w:ascii="Times New Roman" w:eastAsia="Calibri" w:hAnsi="Times New Roman" w:cs="Times New Roman"/>
          <w:noProof/>
          <w:sz w:val="24"/>
          <w:szCs w:val="24"/>
          <w:lang w:val="en-IE"/>
        </w:rPr>
        <w:t xml:space="preserve"> said not to have experienced it at the local level. A participant mentioned that a priority for Baltic cities was to ensure resilience of cities and local authorities. Most of participants also expressed concerns on cyberattacks and disinformation. </w:t>
      </w:r>
    </w:p>
    <w:p w14:paraId="64E0F3E4" w14:textId="24822D30" w:rsidR="003034EA" w:rsidRPr="00532C20" w:rsidRDefault="003034EA"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Participants additionally shared best practices and examples of local </w:t>
      </w:r>
      <w:r w:rsidR="3E722261" w:rsidRPr="00532C20">
        <w:rPr>
          <w:rFonts w:ascii="Times New Roman" w:eastAsia="Calibri" w:hAnsi="Times New Roman" w:cs="Times New Roman"/>
          <w:noProof/>
          <w:sz w:val="24"/>
          <w:szCs w:val="24"/>
          <w:lang w:val="en-IE"/>
        </w:rPr>
        <w:t>democra</w:t>
      </w:r>
      <w:r w:rsidR="5482D0B7" w:rsidRPr="00532C20">
        <w:rPr>
          <w:rFonts w:ascii="Times New Roman" w:eastAsia="Calibri" w:hAnsi="Times New Roman" w:cs="Times New Roman"/>
          <w:noProof/>
          <w:sz w:val="24"/>
          <w:szCs w:val="24"/>
          <w:lang w:val="en-IE"/>
        </w:rPr>
        <w:t>tic</w:t>
      </w:r>
      <w:r w:rsidRPr="00532C20">
        <w:rPr>
          <w:rFonts w:ascii="Times New Roman" w:eastAsia="Calibri" w:hAnsi="Times New Roman" w:cs="Times New Roman"/>
          <w:noProof/>
          <w:sz w:val="24"/>
          <w:szCs w:val="24"/>
          <w:lang w:val="en-IE"/>
        </w:rPr>
        <w:t xml:space="preserve"> processes, such as innovative participatory mechanisms and co-governing processes. </w:t>
      </w:r>
    </w:p>
    <w:p w14:paraId="24F95DCD" w14:textId="77777777" w:rsidR="5AAF8E9E" w:rsidRPr="00532C20" w:rsidRDefault="00C81F48">
      <w:pPr>
        <w:numPr>
          <w:ilvl w:val="0"/>
          <w:numId w:val="40"/>
        </w:numPr>
        <w:tabs>
          <w:tab w:val="left" w:pos="720"/>
        </w:tabs>
        <w:spacing w:before="240" w:after="160" w:line="240" w:lineRule="auto"/>
        <w:contextualSpacing/>
        <w:jc w:val="both"/>
        <w:rPr>
          <w:rFonts w:ascii="Times New Roman" w:eastAsia="Calibri" w:hAnsi="Times New Roman" w:cs="Times New Roman"/>
          <w:b/>
          <w:noProof/>
          <w:sz w:val="24"/>
          <w:szCs w:val="24"/>
          <w:lang w:val="en-IE"/>
        </w:rPr>
      </w:pPr>
      <w:r w:rsidRPr="00532C20">
        <w:rPr>
          <w:rFonts w:ascii="Times New Roman" w:eastAsia="Calibri" w:hAnsi="Times New Roman" w:cs="Times New Roman"/>
          <w:b/>
          <w:noProof/>
          <w:sz w:val="24"/>
          <w:szCs w:val="24"/>
          <w:lang w:val="en-IE"/>
        </w:rPr>
        <w:t>Focus group</w:t>
      </w:r>
      <w:r w:rsidR="0C7F4AC8" w:rsidRPr="00532C20">
        <w:rPr>
          <w:rFonts w:ascii="Times New Roman" w:eastAsia="Calibri" w:hAnsi="Times New Roman" w:cs="Times New Roman"/>
          <w:b/>
          <w:noProof/>
          <w:sz w:val="24"/>
          <w:szCs w:val="24"/>
          <w:lang w:val="en-IE"/>
        </w:rPr>
        <w:t>s</w:t>
      </w:r>
      <w:r w:rsidRPr="00532C20">
        <w:rPr>
          <w:rFonts w:ascii="Times New Roman" w:eastAsia="Calibri" w:hAnsi="Times New Roman" w:cs="Times New Roman"/>
          <w:b/>
          <w:noProof/>
          <w:sz w:val="24"/>
          <w:szCs w:val="24"/>
          <w:lang w:val="en-IE"/>
        </w:rPr>
        <w:t xml:space="preserve"> with </w:t>
      </w:r>
      <w:r w:rsidR="5AAF8E9E" w:rsidRPr="00532C20">
        <w:rPr>
          <w:rFonts w:ascii="Times New Roman" w:eastAsia="Calibri" w:hAnsi="Times New Roman" w:cs="Times New Roman"/>
          <w:b/>
          <w:noProof/>
          <w:sz w:val="24"/>
          <w:szCs w:val="24"/>
          <w:lang w:val="en-IE"/>
        </w:rPr>
        <w:t>Member States</w:t>
      </w:r>
    </w:p>
    <w:p w14:paraId="0D905180" w14:textId="77777777" w:rsidR="00F45079" w:rsidRPr="00532C20" w:rsidRDefault="00CA67B2" w:rsidP="004B0958">
      <w:pPr>
        <w:spacing w:before="240" w:after="160" w:line="240" w:lineRule="auto"/>
        <w:jc w:val="both"/>
        <w:rPr>
          <w:rFonts w:ascii="Times New Roman" w:eastAsia="Symbol" w:hAnsi="Times New Roman" w:cs="Times New Roman"/>
          <w:noProof/>
          <w:color w:val="000000"/>
          <w:sz w:val="24"/>
          <w:szCs w:val="24"/>
          <w:lang w:val="en-IE"/>
        </w:rPr>
      </w:pPr>
      <w:r w:rsidRPr="00532C20">
        <w:rPr>
          <w:rFonts w:ascii="Times New Roman" w:eastAsia="Symbol" w:hAnsi="Times New Roman" w:cs="Times New Roman"/>
          <w:noProof/>
          <w:color w:val="000000"/>
          <w:sz w:val="24"/>
          <w:szCs w:val="24"/>
          <w:lang w:val="en-IE"/>
        </w:rPr>
        <w:t>Two Focus groups were organised with Member States</w:t>
      </w:r>
      <w:r w:rsidR="009031A1" w:rsidRPr="00532C20">
        <w:rPr>
          <w:rFonts w:ascii="Times New Roman" w:eastAsia="Symbol" w:hAnsi="Times New Roman" w:cs="Times New Roman"/>
          <w:noProof/>
          <w:color w:val="000000"/>
          <w:sz w:val="24"/>
          <w:szCs w:val="24"/>
          <w:lang w:val="en-IE"/>
        </w:rPr>
        <w:t xml:space="preserve">, which welcomed the upcoming package, agreeing that foreign interference in democratic processes is a growing issue </w:t>
      </w:r>
      <w:r w:rsidR="005553D7" w:rsidRPr="00532C20">
        <w:rPr>
          <w:rFonts w:ascii="Times New Roman" w:eastAsia="Symbol" w:hAnsi="Times New Roman" w:cs="Times New Roman"/>
          <w:noProof/>
          <w:color w:val="000000"/>
          <w:sz w:val="24"/>
          <w:szCs w:val="24"/>
          <w:lang w:val="en-IE"/>
        </w:rPr>
        <w:t>which</w:t>
      </w:r>
      <w:r w:rsidR="006B7EDA" w:rsidRPr="00532C20">
        <w:rPr>
          <w:rFonts w:ascii="Times New Roman" w:eastAsia="Symbol" w:hAnsi="Times New Roman" w:cs="Times New Roman"/>
          <w:noProof/>
          <w:color w:val="000000"/>
          <w:sz w:val="24"/>
          <w:szCs w:val="24"/>
          <w:lang w:val="en-IE"/>
        </w:rPr>
        <w:t xml:space="preserve"> needs to be tackled. </w:t>
      </w:r>
      <w:r w:rsidR="00965308" w:rsidRPr="00532C20">
        <w:rPr>
          <w:rFonts w:ascii="Times New Roman" w:eastAsia="Symbol" w:hAnsi="Times New Roman" w:cs="Times New Roman"/>
          <w:noProof/>
          <w:color w:val="000000"/>
          <w:sz w:val="24"/>
          <w:szCs w:val="24"/>
          <w:lang w:val="en-IE"/>
        </w:rPr>
        <w:t xml:space="preserve">They recalled the need to respect the principles of subsidiarity, proportionality, fundamental rights and to </w:t>
      </w:r>
      <w:r w:rsidR="00B623EC" w:rsidRPr="00532C20">
        <w:rPr>
          <w:rFonts w:ascii="Times New Roman" w:eastAsia="Symbol" w:hAnsi="Times New Roman" w:cs="Times New Roman"/>
          <w:noProof/>
          <w:color w:val="000000"/>
          <w:sz w:val="24"/>
          <w:szCs w:val="24"/>
          <w:lang w:val="en-IE"/>
        </w:rPr>
        <w:t xml:space="preserve">keep a whole-of-society approach. </w:t>
      </w:r>
      <w:r w:rsidR="00F45079" w:rsidRPr="00532C20">
        <w:rPr>
          <w:rFonts w:ascii="Times New Roman" w:eastAsia="Symbol" w:hAnsi="Times New Roman" w:cs="Times New Roman"/>
          <w:noProof/>
          <w:color w:val="000000"/>
          <w:sz w:val="24"/>
          <w:szCs w:val="24"/>
          <w:lang w:val="en-IE"/>
        </w:rPr>
        <w:t xml:space="preserve">All Member States consider transparency as a key measure to tackle foreign interference. </w:t>
      </w:r>
    </w:p>
    <w:p w14:paraId="74934EAC" w14:textId="77777777" w:rsidR="00F45079" w:rsidRPr="00532C20" w:rsidRDefault="00F45079" w:rsidP="004B0958">
      <w:pPr>
        <w:spacing w:before="240" w:after="160" w:line="240" w:lineRule="auto"/>
        <w:jc w:val="both"/>
        <w:rPr>
          <w:rFonts w:ascii="Times New Roman" w:eastAsia="Symbol" w:hAnsi="Times New Roman" w:cs="Times New Roman"/>
          <w:noProof/>
          <w:color w:val="000000"/>
          <w:sz w:val="24"/>
          <w:szCs w:val="24"/>
          <w:lang w:val="en-IE"/>
        </w:rPr>
      </w:pPr>
      <w:r w:rsidRPr="00532C20">
        <w:rPr>
          <w:rFonts w:ascii="Times New Roman" w:eastAsia="Symbol" w:hAnsi="Times New Roman" w:cs="Times New Roman"/>
          <w:noProof/>
          <w:color w:val="000000"/>
          <w:sz w:val="24"/>
          <w:szCs w:val="24"/>
          <w:lang w:val="en-IE"/>
        </w:rPr>
        <w:t>On free</w:t>
      </w:r>
      <w:r w:rsidR="00524FC2" w:rsidRPr="00532C20">
        <w:rPr>
          <w:rFonts w:ascii="Times New Roman" w:eastAsia="Symbol" w:hAnsi="Times New Roman" w:cs="Times New Roman"/>
          <w:noProof/>
          <w:color w:val="000000"/>
          <w:sz w:val="24"/>
          <w:szCs w:val="24"/>
          <w:lang w:val="en-IE"/>
        </w:rPr>
        <w:t xml:space="preserve">, </w:t>
      </w:r>
      <w:r w:rsidRPr="00532C20">
        <w:rPr>
          <w:rFonts w:ascii="Times New Roman" w:eastAsia="Symbol" w:hAnsi="Times New Roman" w:cs="Times New Roman"/>
          <w:noProof/>
          <w:color w:val="000000"/>
          <w:sz w:val="24"/>
          <w:szCs w:val="24"/>
          <w:lang w:val="en-IE"/>
        </w:rPr>
        <w:t>fair</w:t>
      </w:r>
      <w:r w:rsidR="00524FC2" w:rsidRPr="00532C20">
        <w:rPr>
          <w:rFonts w:ascii="Times New Roman" w:eastAsia="Symbol" w:hAnsi="Times New Roman" w:cs="Times New Roman"/>
          <w:noProof/>
          <w:color w:val="000000"/>
          <w:sz w:val="24"/>
          <w:szCs w:val="24"/>
          <w:lang w:val="en-IE"/>
        </w:rPr>
        <w:t xml:space="preserve"> and resilient</w:t>
      </w:r>
      <w:r w:rsidRPr="00532C20">
        <w:rPr>
          <w:rFonts w:ascii="Times New Roman" w:eastAsia="Symbol" w:hAnsi="Times New Roman" w:cs="Times New Roman"/>
          <w:noProof/>
          <w:color w:val="000000"/>
          <w:sz w:val="24"/>
          <w:szCs w:val="24"/>
          <w:lang w:val="en-IE"/>
        </w:rPr>
        <w:t xml:space="preserve"> elections, Member States discussed the fight against disinformation, asked for more inclusiveness in elections and called for </w:t>
      </w:r>
      <w:r w:rsidR="469D2538" w:rsidRPr="00532C20">
        <w:rPr>
          <w:rFonts w:ascii="Times New Roman" w:eastAsia="Symbol" w:hAnsi="Times New Roman" w:cs="Times New Roman"/>
          <w:noProof/>
          <w:color w:val="000000"/>
          <w:sz w:val="24"/>
          <w:szCs w:val="24"/>
          <w:lang w:val="en-IE"/>
        </w:rPr>
        <w:t xml:space="preserve">more </w:t>
      </w:r>
      <w:r w:rsidRPr="00532C20">
        <w:rPr>
          <w:rFonts w:ascii="Times New Roman" w:eastAsia="Symbol" w:hAnsi="Times New Roman" w:cs="Times New Roman"/>
          <w:noProof/>
          <w:color w:val="000000"/>
          <w:sz w:val="24"/>
          <w:szCs w:val="24"/>
          <w:lang w:val="en-IE"/>
        </w:rPr>
        <w:t xml:space="preserve">awareness-raising </w:t>
      </w:r>
      <w:r w:rsidR="00432785" w:rsidRPr="00532C20">
        <w:rPr>
          <w:rFonts w:ascii="Times New Roman" w:eastAsia="Symbol" w:hAnsi="Times New Roman" w:cs="Times New Roman"/>
          <w:noProof/>
          <w:color w:val="000000"/>
          <w:sz w:val="24"/>
          <w:szCs w:val="24"/>
          <w:lang w:val="en-IE"/>
        </w:rPr>
        <w:t xml:space="preserve">among citizens. </w:t>
      </w:r>
    </w:p>
    <w:p w14:paraId="523E1F02" w14:textId="77777777" w:rsidR="00432785" w:rsidRPr="00532C20" w:rsidRDefault="00432785" w:rsidP="004B0958">
      <w:pPr>
        <w:spacing w:before="240" w:after="160" w:line="240" w:lineRule="auto"/>
        <w:jc w:val="both"/>
        <w:rPr>
          <w:rFonts w:ascii="Times New Roman" w:eastAsia="Symbol" w:hAnsi="Times New Roman" w:cs="Times New Roman"/>
          <w:noProof/>
          <w:color w:val="000000"/>
          <w:sz w:val="24"/>
          <w:szCs w:val="24"/>
          <w:lang w:val="en-IE"/>
        </w:rPr>
      </w:pPr>
      <w:r w:rsidRPr="00532C20">
        <w:rPr>
          <w:rFonts w:ascii="Times New Roman" w:eastAsia="Symbol" w:hAnsi="Times New Roman" w:cs="Times New Roman"/>
          <w:noProof/>
          <w:color w:val="000000"/>
          <w:sz w:val="24"/>
          <w:szCs w:val="24"/>
          <w:lang w:val="en-IE"/>
        </w:rPr>
        <w:t>Discussion with Member States also took place in Council Working Groups and in the framework of the European Cooperation Network on Elections.</w:t>
      </w:r>
    </w:p>
    <w:p w14:paraId="343879C0" w14:textId="76013531" w:rsidR="5AAF8E9E" w:rsidRPr="00532C20" w:rsidRDefault="0FB91D09" w:rsidP="002B0B48">
      <w:pPr>
        <w:pStyle w:val="ListParagraph"/>
        <w:numPr>
          <w:ilvl w:val="1"/>
          <w:numId w:val="74"/>
        </w:numPr>
        <w:rPr>
          <w:rFonts w:ascii="Times New Roman" w:hAnsi="Times New Roman" w:cs="Times New Roman"/>
          <w:b/>
          <w:bCs/>
          <w:noProof/>
          <w:u w:val="single"/>
          <w:lang w:val="en-IE"/>
        </w:rPr>
      </w:pPr>
      <w:r w:rsidRPr="00532C20">
        <w:rPr>
          <w:rFonts w:ascii="Times New Roman" w:hAnsi="Times New Roman" w:cs="Times New Roman"/>
          <w:b/>
          <w:bCs/>
          <w:noProof/>
          <w:u w:val="single"/>
          <w:lang w:val="en-IE"/>
        </w:rPr>
        <w:t xml:space="preserve">Meetings with stakeholders </w:t>
      </w:r>
    </w:p>
    <w:p w14:paraId="75A39569" w14:textId="77777777" w:rsidR="5AAF8E9E" w:rsidRPr="00532C20" w:rsidRDefault="00547934" w:rsidP="004B0958">
      <w:pPr>
        <w:spacing w:before="240"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The Commission conducted bilateral meetings with a diverse range of stakeholders, including Member States and </w:t>
      </w:r>
      <w:r w:rsidR="009A7EA5" w:rsidRPr="00532C20">
        <w:rPr>
          <w:rFonts w:ascii="Times New Roman" w:eastAsia="Times" w:hAnsi="Times New Roman" w:cs="Times New Roman"/>
          <w:noProof/>
          <w:sz w:val="24"/>
          <w:szCs w:val="24"/>
          <w:lang w:val="en-IE"/>
        </w:rPr>
        <w:t>CSOs</w:t>
      </w:r>
      <w:r w:rsidRPr="00532C20">
        <w:rPr>
          <w:rFonts w:ascii="Times New Roman" w:eastAsia="Times" w:hAnsi="Times New Roman" w:cs="Times New Roman"/>
          <w:noProof/>
          <w:sz w:val="24"/>
          <w:szCs w:val="24"/>
          <w:lang w:val="en-IE"/>
        </w:rPr>
        <w:t xml:space="preserve">, at their own initiative. </w:t>
      </w:r>
    </w:p>
    <w:p w14:paraId="1FA7D51B" w14:textId="77777777" w:rsidR="5AAF8E9E" w:rsidRPr="00532C20" w:rsidRDefault="00780689" w:rsidP="004B0958">
      <w:pPr>
        <w:spacing w:before="240"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The Commission held regular meetings of the European Cooperation Network on Elections (ECNE) as follows: </w:t>
      </w:r>
      <w:r w:rsidR="5AAF8E9E" w:rsidRPr="00532C20">
        <w:rPr>
          <w:rFonts w:ascii="Times New Roman" w:eastAsia="Times" w:hAnsi="Times New Roman" w:cs="Times New Roman"/>
          <w:noProof/>
          <w:sz w:val="24"/>
          <w:szCs w:val="24"/>
          <w:lang w:val="en-IE"/>
        </w:rPr>
        <w:t>15</w:t>
      </w:r>
      <w:r w:rsidR="5AAF8E9E" w:rsidRPr="00532C20">
        <w:rPr>
          <w:rFonts w:ascii="Times New Roman" w:eastAsia="Times" w:hAnsi="Times New Roman" w:cs="Times New Roman"/>
          <w:noProof/>
          <w:sz w:val="24"/>
          <w:szCs w:val="24"/>
          <w:vertAlign w:val="superscript"/>
          <w:lang w:val="en-IE"/>
        </w:rPr>
        <w:t>th</w:t>
      </w:r>
      <w:r w:rsidR="5AAF8E9E" w:rsidRPr="00532C20">
        <w:rPr>
          <w:rFonts w:ascii="Times New Roman" w:eastAsia="Times" w:hAnsi="Times New Roman" w:cs="Times New Roman"/>
          <w:noProof/>
          <w:sz w:val="24"/>
          <w:szCs w:val="24"/>
          <w:lang w:val="en-IE"/>
        </w:rPr>
        <w:t xml:space="preserve"> ECNE meeting November 2022, 16</w:t>
      </w:r>
      <w:r w:rsidR="5AAF8E9E" w:rsidRPr="00532C20">
        <w:rPr>
          <w:rFonts w:ascii="Times New Roman" w:eastAsia="Times" w:hAnsi="Times New Roman" w:cs="Times New Roman"/>
          <w:noProof/>
          <w:sz w:val="24"/>
          <w:szCs w:val="24"/>
          <w:vertAlign w:val="superscript"/>
          <w:lang w:val="en-IE"/>
        </w:rPr>
        <w:t>th</w:t>
      </w:r>
      <w:r w:rsidR="5AAF8E9E" w:rsidRPr="00532C20">
        <w:rPr>
          <w:rFonts w:ascii="Times New Roman" w:eastAsia="Times" w:hAnsi="Times New Roman" w:cs="Times New Roman"/>
          <w:noProof/>
          <w:sz w:val="24"/>
          <w:szCs w:val="24"/>
          <w:lang w:val="en-IE"/>
        </w:rPr>
        <w:t xml:space="preserve"> ECNE Meeting January 2023 and 17</w:t>
      </w:r>
      <w:r w:rsidR="5AAF8E9E" w:rsidRPr="00532C20">
        <w:rPr>
          <w:rFonts w:ascii="Times New Roman" w:eastAsia="Times" w:hAnsi="Times New Roman" w:cs="Times New Roman"/>
          <w:noProof/>
          <w:sz w:val="24"/>
          <w:szCs w:val="24"/>
          <w:vertAlign w:val="superscript"/>
          <w:lang w:val="en-IE"/>
        </w:rPr>
        <w:t>th</w:t>
      </w:r>
      <w:r w:rsidR="5AAF8E9E" w:rsidRPr="00532C20">
        <w:rPr>
          <w:rFonts w:ascii="Times New Roman" w:eastAsia="Times" w:hAnsi="Times New Roman" w:cs="Times New Roman"/>
          <w:noProof/>
          <w:sz w:val="24"/>
          <w:szCs w:val="24"/>
          <w:lang w:val="en-IE"/>
        </w:rPr>
        <w:t xml:space="preserve"> ECNE meeting 29</w:t>
      </w:r>
      <w:r w:rsidR="5AAF8E9E" w:rsidRPr="00532C20">
        <w:rPr>
          <w:rFonts w:ascii="Times New Roman" w:eastAsia="Times" w:hAnsi="Times New Roman" w:cs="Times New Roman"/>
          <w:noProof/>
          <w:sz w:val="24"/>
          <w:szCs w:val="24"/>
          <w:vertAlign w:val="superscript"/>
          <w:lang w:val="en-IE"/>
        </w:rPr>
        <w:t>th</w:t>
      </w:r>
      <w:r w:rsidRPr="00532C20">
        <w:rPr>
          <w:rFonts w:ascii="Times New Roman" w:eastAsia="Times" w:hAnsi="Times New Roman" w:cs="Times New Roman"/>
          <w:noProof/>
          <w:sz w:val="24"/>
          <w:szCs w:val="24"/>
          <w:lang w:val="en-IE"/>
        </w:rPr>
        <w:t xml:space="preserve"> March 2023. At the last meeting, Member States exchanged their views on the package. </w:t>
      </w:r>
    </w:p>
    <w:p w14:paraId="04A73F4F" w14:textId="77777777" w:rsidR="008F09D4" w:rsidRPr="00532C20" w:rsidRDefault="3E4F7CAD"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On several occasions, </w:t>
      </w:r>
      <w:r w:rsidR="44E4CB47" w:rsidRPr="00532C20">
        <w:rPr>
          <w:rFonts w:ascii="Times New Roman" w:eastAsia="Calibri" w:hAnsi="Times New Roman" w:cs="Times New Roman"/>
          <w:noProof/>
          <w:sz w:val="24"/>
          <w:szCs w:val="24"/>
          <w:lang w:val="en-IE"/>
        </w:rPr>
        <w:t>t</w:t>
      </w:r>
      <w:r w:rsidR="516EEECC" w:rsidRPr="00532C20">
        <w:rPr>
          <w:rFonts w:ascii="Times New Roman" w:eastAsia="Calibri" w:hAnsi="Times New Roman" w:cs="Times New Roman"/>
          <w:noProof/>
          <w:sz w:val="24"/>
          <w:szCs w:val="24"/>
          <w:lang w:val="en-IE"/>
        </w:rPr>
        <w:t>he</w:t>
      </w:r>
      <w:r w:rsidR="008F09D4" w:rsidRPr="00532C20">
        <w:rPr>
          <w:rFonts w:ascii="Times New Roman" w:eastAsia="Calibri" w:hAnsi="Times New Roman" w:cs="Times New Roman"/>
          <w:noProof/>
          <w:sz w:val="24"/>
          <w:szCs w:val="24"/>
          <w:lang w:val="en-IE"/>
        </w:rPr>
        <w:t xml:space="preserve"> Commission also met with Members of </w:t>
      </w:r>
      <w:r w:rsidR="00851F07" w:rsidRPr="00532C20">
        <w:rPr>
          <w:rFonts w:ascii="Times New Roman" w:eastAsia="Calibri" w:hAnsi="Times New Roman" w:cs="Times New Roman"/>
          <w:noProof/>
          <w:sz w:val="24"/>
          <w:szCs w:val="24"/>
          <w:lang w:val="en-IE"/>
        </w:rPr>
        <w:t>the European</w:t>
      </w:r>
      <w:r w:rsidR="008F09D4" w:rsidRPr="00532C20">
        <w:rPr>
          <w:rFonts w:ascii="Times New Roman" w:eastAsia="Calibri" w:hAnsi="Times New Roman" w:cs="Times New Roman"/>
          <w:noProof/>
          <w:sz w:val="24"/>
          <w:szCs w:val="24"/>
          <w:lang w:val="en-IE"/>
        </w:rPr>
        <w:t xml:space="preserve"> Parliament</w:t>
      </w:r>
      <w:r w:rsidR="00547934" w:rsidRPr="00532C20">
        <w:rPr>
          <w:rFonts w:ascii="Times New Roman" w:eastAsia="Calibri" w:hAnsi="Times New Roman" w:cs="Times New Roman"/>
          <w:noProof/>
          <w:sz w:val="24"/>
          <w:szCs w:val="24"/>
          <w:lang w:val="en-IE"/>
        </w:rPr>
        <w:t>, notably</w:t>
      </w:r>
      <w:r w:rsidR="008F09D4" w:rsidRPr="00532C20">
        <w:rPr>
          <w:rFonts w:ascii="Times New Roman" w:eastAsia="Calibri" w:hAnsi="Times New Roman" w:cs="Times New Roman"/>
          <w:noProof/>
          <w:sz w:val="24"/>
          <w:szCs w:val="24"/>
          <w:lang w:val="en-IE"/>
        </w:rPr>
        <w:t xml:space="preserve"> from the INGE committee. </w:t>
      </w:r>
    </w:p>
    <w:p w14:paraId="1F346CA7" w14:textId="1959FF51" w:rsidR="5AAF8E9E" w:rsidRPr="00532C20" w:rsidRDefault="5AAF8E9E" w:rsidP="002B0B48">
      <w:pPr>
        <w:pStyle w:val="ListParagraph"/>
        <w:numPr>
          <w:ilvl w:val="0"/>
          <w:numId w:val="74"/>
        </w:numPr>
        <w:rPr>
          <w:b/>
          <w:noProof/>
          <w:u w:val="single"/>
        </w:rPr>
      </w:pPr>
      <w:r w:rsidRPr="00532C20">
        <w:rPr>
          <w:rFonts w:ascii="Times New Roman" w:hAnsi="Times New Roman" w:cs="Times New Roman"/>
          <w:b/>
          <w:noProof/>
          <w:u w:val="single"/>
          <w:lang w:val="en-IE"/>
        </w:rPr>
        <w:t>A</w:t>
      </w:r>
      <w:r w:rsidR="00B03A8F" w:rsidRPr="00532C20">
        <w:rPr>
          <w:rFonts w:ascii="Times New Roman" w:hAnsi="Times New Roman" w:cs="Times New Roman"/>
          <w:b/>
          <w:noProof/>
          <w:u w:val="single"/>
          <w:lang w:val="en-IE"/>
        </w:rPr>
        <w:t xml:space="preserve">d hoc contributions </w:t>
      </w:r>
    </w:p>
    <w:p w14:paraId="393909ED"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Commission received 25 written contributions via email outside of the official consultation process. Some of these contributions were made following the different focus groups, while others were sent due to having missed the deadline of the Open Public Consultation. </w:t>
      </w:r>
    </w:p>
    <w:p w14:paraId="5C3E98F8" w14:textId="6864B6F8"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Commission received </w:t>
      </w:r>
      <w:r w:rsidR="00A90D63" w:rsidRPr="00532C20">
        <w:rPr>
          <w:rFonts w:ascii="Times New Roman" w:eastAsia="Calibri" w:hAnsi="Times New Roman" w:cs="Times New Roman"/>
          <w:noProof/>
          <w:sz w:val="24"/>
          <w:szCs w:val="24"/>
          <w:lang w:val="en-IE"/>
        </w:rPr>
        <w:t xml:space="preserve">3 </w:t>
      </w:r>
      <w:r w:rsidRPr="00532C20">
        <w:rPr>
          <w:rFonts w:ascii="Times New Roman" w:eastAsia="Calibri" w:hAnsi="Times New Roman" w:cs="Times New Roman"/>
          <w:noProof/>
          <w:sz w:val="24"/>
          <w:szCs w:val="24"/>
          <w:lang w:val="en-IE"/>
        </w:rPr>
        <w:t xml:space="preserve">follow-up emails to the focus groups from CSOs, expressing their concern on the way the discussion on the package was framed and asking to avoid any potential stigmatisation of </w:t>
      </w:r>
      <w:r w:rsidR="009A7EA5" w:rsidRPr="00532C20">
        <w:rPr>
          <w:rFonts w:ascii="Times New Roman" w:eastAsia="Calibri" w:hAnsi="Times New Roman" w:cs="Times New Roman"/>
          <w:noProof/>
          <w:sz w:val="24"/>
          <w:szCs w:val="24"/>
          <w:lang w:val="en-IE"/>
        </w:rPr>
        <w:t>CSOs</w:t>
      </w:r>
      <w:r w:rsidRPr="00532C20">
        <w:rPr>
          <w:rFonts w:ascii="Times New Roman" w:eastAsia="Calibri" w:hAnsi="Times New Roman" w:cs="Times New Roman"/>
          <w:noProof/>
          <w:sz w:val="24"/>
          <w:szCs w:val="24"/>
          <w:lang w:val="en-IE"/>
        </w:rPr>
        <w:t xml:space="preserve">. </w:t>
      </w:r>
    </w:p>
    <w:p w14:paraId="687F540F"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EU Foundation Sallux provided further input on the status and challenges of European political parties and Foundations. </w:t>
      </w:r>
    </w:p>
    <w:p w14:paraId="77C8A7DA"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Fundamental Rights Agency sent a letter to the Commission to stress the need that the Defence of Democracy package should aim </w:t>
      </w:r>
      <w:r w:rsidR="2AD17D5F" w:rsidRPr="00532C20">
        <w:rPr>
          <w:rFonts w:ascii="Times New Roman" w:eastAsia="Calibri" w:hAnsi="Times New Roman" w:cs="Times New Roman"/>
          <w:noProof/>
          <w:sz w:val="24"/>
          <w:szCs w:val="24"/>
          <w:lang w:val="en-IE"/>
        </w:rPr>
        <w:t>to</w:t>
      </w:r>
      <w:r w:rsidR="5D39EEE4" w:rsidRPr="00532C20">
        <w:rPr>
          <w:rFonts w:ascii="Times New Roman" w:eastAsia="Calibri" w:hAnsi="Times New Roman" w:cs="Times New Roman"/>
          <w:noProof/>
          <w:sz w:val="24"/>
          <w:szCs w:val="24"/>
          <w:lang w:val="en-IE"/>
        </w:rPr>
        <w:t xml:space="preserve"> protect</w:t>
      </w:r>
      <w:r w:rsidRPr="00532C20">
        <w:rPr>
          <w:rFonts w:ascii="Times New Roman" w:eastAsia="Calibri" w:hAnsi="Times New Roman" w:cs="Times New Roman"/>
          <w:noProof/>
          <w:sz w:val="24"/>
          <w:szCs w:val="24"/>
          <w:lang w:val="en-IE"/>
        </w:rPr>
        <w:t xml:space="preserve"> the fundamental rights enshrined in the Charter and called for proportionate measures. </w:t>
      </w:r>
    </w:p>
    <w:p w14:paraId="67DC3F51" w14:textId="0854F06D"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European Institute for Gender Equality (EIGE) welcomed the Commission’s call for evidence and provided further data on gender equality in the </w:t>
      </w:r>
      <w:r w:rsidR="00C15818" w:rsidRPr="00532C20">
        <w:rPr>
          <w:rFonts w:ascii="Times New Roman" w:eastAsia="Calibri" w:hAnsi="Times New Roman" w:cs="Times New Roman"/>
          <w:noProof/>
          <w:sz w:val="24"/>
          <w:szCs w:val="24"/>
          <w:lang w:val="en-IE"/>
        </w:rPr>
        <w:t xml:space="preserve">EU </w:t>
      </w:r>
      <w:r w:rsidRPr="00532C20">
        <w:rPr>
          <w:rFonts w:ascii="Times New Roman" w:eastAsia="Calibri" w:hAnsi="Times New Roman" w:cs="Times New Roman"/>
          <w:noProof/>
          <w:sz w:val="24"/>
          <w:szCs w:val="24"/>
          <w:lang w:val="en-IE"/>
        </w:rPr>
        <w:t xml:space="preserve">in relation to the Defence of Democracy package, notably on gender inequality in elections.  </w:t>
      </w:r>
    </w:p>
    <w:p w14:paraId="077600A3"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Public Relations company First PR (based in Poland) sent additional information they gathered on the future of disinformation and the importance to tackle the issue to protect our democracies. </w:t>
      </w:r>
    </w:p>
    <w:p w14:paraId="55032A81"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company The Logically Ltd. shared their written contribution, focusing notably on the impact that online disinformation can have on voter turnout. They called Member States and political parties to step up efforts to promote voter turnout and inclusive participation in elections. </w:t>
      </w:r>
    </w:p>
    <w:p w14:paraId="75828707"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Society of European Affairs </w:t>
      </w:r>
      <w:r w:rsidR="197B19E9" w:rsidRPr="00532C20">
        <w:rPr>
          <w:rFonts w:ascii="Times New Roman" w:eastAsia="Calibri" w:hAnsi="Times New Roman" w:cs="Times New Roman"/>
          <w:noProof/>
          <w:sz w:val="24"/>
          <w:szCs w:val="24"/>
          <w:lang w:val="en-IE"/>
        </w:rPr>
        <w:t>P</w:t>
      </w:r>
      <w:r w:rsidR="76D0B608" w:rsidRPr="00532C20">
        <w:rPr>
          <w:rFonts w:ascii="Times New Roman" w:eastAsia="Calibri" w:hAnsi="Times New Roman" w:cs="Times New Roman"/>
          <w:noProof/>
          <w:sz w:val="24"/>
          <w:szCs w:val="24"/>
          <w:lang w:val="en-IE"/>
        </w:rPr>
        <w:t>rofessionals</w:t>
      </w:r>
      <w:r w:rsidRPr="00532C20">
        <w:rPr>
          <w:rFonts w:ascii="Times New Roman" w:eastAsia="Calibri" w:hAnsi="Times New Roman" w:cs="Times New Roman"/>
          <w:noProof/>
          <w:sz w:val="24"/>
          <w:szCs w:val="24"/>
          <w:lang w:val="en-IE"/>
        </w:rPr>
        <w:t xml:space="preserve">, recalled its commitment to the highest standards of ethical conduct in public affairs. They reminded the Commission of the benefits of lobbying within the EU decision-making process and that it is a legitimate act of political participation, when done transparently and with integrity. SEAP stated that the impact on public affairs professionals of additional transparency requirements regarding activities conducted for third countries would vary according to the measures envisaged but could be burdensome for smaller actors involved in interest representation, including not-for-profit organisations. </w:t>
      </w:r>
    </w:p>
    <w:p w14:paraId="2B831486"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An individual EU citizen sent a note to the Commission asking to take into consideration the outcome of the Conference on the Future of Europe in the drafting of the package. </w:t>
      </w:r>
    </w:p>
    <w:p w14:paraId="5EB7319E"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European University Association welcomed the package but emphasized the need to carefully balance the instruments, to fully empower civil society as democratic actors, and ensure dialogue. They called the Commission to respect academic freedom and protect it. </w:t>
      </w:r>
    </w:p>
    <w:p w14:paraId="34F76B8B" w14:textId="77777777"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Erfurt University of Applied Sciences also welcomed the initiative and the recognition of civil society as </w:t>
      </w:r>
      <w:r w:rsidR="3935566D" w:rsidRPr="00532C20">
        <w:rPr>
          <w:rFonts w:ascii="Times New Roman" w:eastAsia="Calibri" w:hAnsi="Times New Roman" w:cs="Times New Roman"/>
          <w:noProof/>
          <w:sz w:val="24"/>
          <w:szCs w:val="24"/>
          <w:lang w:val="en-IE"/>
        </w:rPr>
        <w:t xml:space="preserve">a </w:t>
      </w:r>
      <w:r w:rsidRPr="00532C20">
        <w:rPr>
          <w:rFonts w:ascii="Times New Roman" w:eastAsia="Calibri" w:hAnsi="Times New Roman" w:cs="Times New Roman"/>
          <w:noProof/>
          <w:sz w:val="24"/>
          <w:szCs w:val="24"/>
          <w:lang w:val="en-IE"/>
        </w:rPr>
        <w:t xml:space="preserve">cornerstone of democracy, but argued there is an urgent need to focus on ensuring long-term funding of </w:t>
      </w:r>
      <w:r w:rsidR="000A6B37" w:rsidRPr="00532C20">
        <w:rPr>
          <w:rFonts w:ascii="Times New Roman" w:eastAsia="Calibri" w:hAnsi="Times New Roman" w:cs="Times New Roman"/>
          <w:noProof/>
          <w:sz w:val="24"/>
          <w:szCs w:val="24"/>
          <w:lang w:val="en-IE"/>
        </w:rPr>
        <w:t>C</w:t>
      </w:r>
      <w:r w:rsidR="00B03CAA" w:rsidRPr="00532C20">
        <w:rPr>
          <w:rFonts w:ascii="Times New Roman" w:eastAsia="Calibri" w:hAnsi="Times New Roman" w:cs="Times New Roman"/>
          <w:noProof/>
          <w:sz w:val="24"/>
          <w:szCs w:val="24"/>
          <w:lang w:val="en-IE"/>
        </w:rPr>
        <w:t>SO</w:t>
      </w:r>
      <w:r w:rsidRPr="00532C20">
        <w:rPr>
          <w:rFonts w:ascii="Times New Roman" w:eastAsia="Calibri" w:hAnsi="Times New Roman" w:cs="Times New Roman"/>
          <w:noProof/>
          <w:sz w:val="24"/>
          <w:szCs w:val="24"/>
          <w:lang w:val="en-IE"/>
        </w:rPr>
        <w:t xml:space="preserve">s. </w:t>
      </w:r>
    </w:p>
    <w:p w14:paraId="12E5719D" w14:textId="77777777" w:rsidR="00D7576F" w:rsidRPr="00532C20" w:rsidRDefault="52C93928"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Finally, the Commission received position papers from several </w:t>
      </w:r>
      <w:r w:rsidR="00B03CAA" w:rsidRPr="00532C20">
        <w:rPr>
          <w:rFonts w:ascii="Times New Roman" w:eastAsia="Calibri" w:hAnsi="Times New Roman" w:cs="Times New Roman"/>
          <w:noProof/>
          <w:sz w:val="24"/>
          <w:szCs w:val="24"/>
          <w:lang w:val="en-IE"/>
        </w:rPr>
        <w:t>CSO</w:t>
      </w:r>
      <w:r w:rsidRPr="00532C20">
        <w:rPr>
          <w:rFonts w:ascii="Times New Roman" w:eastAsia="Calibri" w:hAnsi="Times New Roman" w:cs="Times New Roman"/>
          <w:noProof/>
          <w:sz w:val="24"/>
          <w:szCs w:val="24"/>
          <w:lang w:val="en-IE"/>
        </w:rPr>
        <w:t>s</w:t>
      </w:r>
      <w:r w:rsidR="00D7576F" w:rsidRPr="00532C20">
        <w:rPr>
          <w:rFonts w:ascii="Times New Roman" w:eastAsia="Calibri" w:hAnsi="Times New Roman" w:cs="Times New Roman"/>
          <w:noProof/>
          <w:sz w:val="24"/>
          <w:szCs w:val="24"/>
          <w:vertAlign w:val="superscript"/>
          <w:lang w:val="en-IE"/>
        </w:rPr>
        <w:footnoteReference w:id="247"/>
      </w:r>
      <w:r w:rsidRPr="00532C20">
        <w:rPr>
          <w:rFonts w:ascii="Times New Roman" w:eastAsia="Calibri" w:hAnsi="Times New Roman" w:cs="Times New Roman"/>
          <w:noProof/>
          <w:sz w:val="24"/>
          <w:szCs w:val="24"/>
          <w:lang w:val="en-IE"/>
        </w:rPr>
        <w:t xml:space="preserve">, expressing common concern about the potential impacts of the Directive on civic space, fundamental rights and pointed the risk of misuse by malicious actors. They regretted the lack of an impact assessment accompanying the Defence of Democracy package and recalled the need to respect the principles of proportionality and necessity. These position papers generally welcome the inclusion of a recommendation on civic engagement, called for more structured dialogue and collaboration with Civil Society Organisations and for better long-term funding opportunities. </w:t>
      </w:r>
    </w:p>
    <w:p w14:paraId="07445DC5" w14:textId="15CECBB9" w:rsidR="00D7576F" w:rsidRPr="00532C20" w:rsidRDefault="00D7576F"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Following the focus groups, 10 Member States (</w:t>
      </w:r>
      <w:r w:rsidR="01E7E392" w:rsidRPr="00532C20">
        <w:rPr>
          <w:rFonts w:ascii="Times New Roman" w:eastAsia="Calibri" w:hAnsi="Times New Roman" w:cs="Times New Roman"/>
          <w:noProof/>
          <w:sz w:val="24"/>
          <w:szCs w:val="24"/>
          <w:lang w:val="en-IE"/>
        </w:rPr>
        <w:t>France, Poland, Spain, Finland, Belgium, Li</w:t>
      </w:r>
      <w:r w:rsidR="5C42ACE9" w:rsidRPr="00532C20">
        <w:rPr>
          <w:rFonts w:ascii="Times New Roman" w:eastAsia="Calibri" w:hAnsi="Times New Roman" w:cs="Times New Roman"/>
          <w:noProof/>
          <w:sz w:val="24"/>
          <w:szCs w:val="24"/>
          <w:lang w:val="en-IE"/>
        </w:rPr>
        <w:t xml:space="preserve">thuania, Slovenia, Romania, Germany, and Ireland) </w:t>
      </w:r>
      <w:r w:rsidRPr="00532C20">
        <w:rPr>
          <w:rFonts w:ascii="Times New Roman" w:eastAsia="Calibri" w:hAnsi="Times New Roman" w:cs="Times New Roman"/>
          <w:noProof/>
          <w:sz w:val="24"/>
          <w:szCs w:val="24"/>
          <w:lang w:val="en-IE"/>
        </w:rPr>
        <w:t>also sent their contributions via email. Member States welcomed the initiative and agreed that tackling foreign interference is a growing issue and that transparency is a key priority at national level. They</w:t>
      </w:r>
      <w:r w:rsidR="4499AD3A" w:rsidRPr="00532C20">
        <w:rPr>
          <w:rFonts w:ascii="Times New Roman" w:eastAsia="Calibri" w:hAnsi="Times New Roman" w:cs="Times New Roman"/>
          <w:noProof/>
          <w:sz w:val="24"/>
          <w:szCs w:val="24"/>
          <w:lang w:val="en-IE"/>
        </w:rPr>
        <w:t>,</w:t>
      </w:r>
      <w:r w:rsidRPr="00532C20">
        <w:rPr>
          <w:rFonts w:ascii="Times New Roman" w:eastAsia="Calibri" w:hAnsi="Times New Roman" w:cs="Times New Roman"/>
          <w:noProof/>
          <w:sz w:val="24"/>
          <w:szCs w:val="24"/>
          <w:lang w:val="en-IE"/>
        </w:rPr>
        <w:t xml:space="preserve"> however</w:t>
      </w:r>
      <w:r w:rsidR="5DBCB985" w:rsidRPr="00532C20">
        <w:rPr>
          <w:rFonts w:ascii="Times New Roman" w:eastAsia="Calibri" w:hAnsi="Times New Roman" w:cs="Times New Roman"/>
          <w:noProof/>
          <w:sz w:val="24"/>
          <w:szCs w:val="24"/>
          <w:lang w:val="en-IE"/>
        </w:rPr>
        <w:t>,</w:t>
      </w:r>
      <w:r w:rsidR="3145F461" w:rsidRPr="00532C20">
        <w:rPr>
          <w:rFonts w:ascii="Times New Roman" w:eastAsia="Calibri" w:hAnsi="Times New Roman" w:cs="Times New Roman"/>
          <w:noProof/>
          <w:sz w:val="24"/>
          <w:szCs w:val="24"/>
          <w:lang w:val="en-IE"/>
        </w:rPr>
        <w:t xml:space="preserve"> </w:t>
      </w:r>
      <w:r w:rsidR="507DE285" w:rsidRPr="00532C20">
        <w:rPr>
          <w:rFonts w:ascii="Times New Roman" w:eastAsia="Calibri" w:hAnsi="Times New Roman" w:cs="Times New Roman"/>
          <w:noProof/>
          <w:sz w:val="24"/>
          <w:szCs w:val="24"/>
          <w:lang w:val="en-IE"/>
        </w:rPr>
        <w:t>stressed</w:t>
      </w:r>
      <w:r w:rsidRPr="00532C20">
        <w:rPr>
          <w:rFonts w:ascii="Times New Roman" w:eastAsia="Calibri" w:hAnsi="Times New Roman" w:cs="Times New Roman"/>
          <w:noProof/>
          <w:sz w:val="24"/>
          <w:szCs w:val="24"/>
          <w:lang w:val="en-IE"/>
        </w:rPr>
        <w:t xml:space="preserve"> the importance of respecting fundamental rights, the principles of proportionality, subsidiarity and </w:t>
      </w:r>
      <w:r w:rsidR="6AC01AB3" w:rsidRPr="00532C20">
        <w:rPr>
          <w:rFonts w:ascii="Times New Roman" w:eastAsia="Calibri" w:hAnsi="Times New Roman" w:cs="Times New Roman"/>
          <w:noProof/>
          <w:sz w:val="24"/>
          <w:szCs w:val="24"/>
          <w:lang w:val="en-IE"/>
        </w:rPr>
        <w:t>taking</w:t>
      </w:r>
      <w:r w:rsidRPr="00532C20">
        <w:rPr>
          <w:rFonts w:ascii="Times New Roman" w:eastAsia="Calibri" w:hAnsi="Times New Roman" w:cs="Times New Roman"/>
          <w:noProof/>
          <w:sz w:val="24"/>
          <w:szCs w:val="24"/>
          <w:lang w:val="en-IE"/>
        </w:rPr>
        <w:t xml:space="preserve"> a whole-of-society approach. </w:t>
      </w:r>
    </w:p>
    <w:p w14:paraId="559A495F" w14:textId="68BAD56F" w:rsidR="00557348" w:rsidRPr="00532C20" w:rsidRDefault="00557348"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Ad hoc bi</w:t>
      </w:r>
      <w:r w:rsidR="002F3602" w:rsidRPr="00532C20">
        <w:rPr>
          <w:rFonts w:ascii="Times New Roman" w:eastAsia="Calibri" w:hAnsi="Times New Roman" w:cs="Times New Roman"/>
          <w:noProof/>
          <w:sz w:val="24"/>
          <w:szCs w:val="24"/>
          <w:lang w:val="en-IE"/>
        </w:rPr>
        <w:t>-</w:t>
      </w:r>
      <w:r w:rsidRPr="00532C20">
        <w:rPr>
          <w:rFonts w:ascii="Times New Roman" w:eastAsia="Calibri" w:hAnsi="Times New Roman" w:cs="Times New Roman"/>
          <w:noProof/>
          <w:sz w:val="24"/>
          <w:szCs w:val="24"/>
          <w:lang w:val="en-IE"/>
        </w:rPr>
        <w:t xml:space="preserve">laterals </w:t>
      </w:r>
      <w:r w:rsidR="002F3602" w:rsidRPr="00532C20">
        <w:rPr>
          <w:rFonts w:ascii="Times New Roman" w:eastAsia="Calibri" w:hAnsi="Times New Roman" w:cs="Times New Roman"/>
          <w:noProof/>
          <w:sz w:val="24"/>
          <w:szCs w:val="24"/>
          <w:lang w:val="en-IE"/>
        </w:rPr>
        <w:t xml:space="preserve">between the Commission and </w:t>
      </w:r>
      <w:r w:rsidRPr="00532C20">
        <w:rPr>
          <w:rFonts w:ascii="Times New Roman" w:eastAsia="Calibri" w:hAnsi="Times New Roman" w:cs="Times New Roman"/>
          <w:noProof/>
          <w:sz w:val="24"/>
          <w:szCs w:val="24"/>
          <w:lang w:val="en-IE"/>
        </w:rPr>
        <w:t xml:space="preserve">interested Member States and their authorities also took place. </w:t>
      </w:r>
    </w:p>
    <w:p w14:paraId="64CDF7DA" w14:textId="7ADFF73D" w:rsidR="0083048F" w:rsidRPr="00532C20" w:rsidRDefault="00B551E3" w:rsidP="002B0B48">
      <w:pPr>
        <w:pStyle w:val="ListParagraph"/>
        <w:numPr>
          <w:ilvl w:val="0"/>
          <w:numId w:val="74"/>
        </w:numPr>
        <w:rPr>
          <w:b/>
          <w:noProof/>
          <w:u w:val="single"/>
        </w:rPr>
      </w:pPr>
      <w:r w:rsidRPr="00532C20">
        <w:rPr>
          <w:rFonts w:ascii="Times New Roman" w:hAnsi="Times New Roman" w:cs="Times New Roman"/>
          <w:b/>
          <w:noProof/>
          <w:u w:val="single"/>
          <w:lang w:val="en-IE" w:eastAsia="nl-BE"/>
        </w:rPr>
        <w:t>S</w:t>
      </w:r>
      <w:r w:rsidR="00B03A8F" w:rsidRPr="00532C20">
        <w:rPr>
          <w:rFonts w:ascii="Times New Roman" w:hAnsi="Times New Roman" w:cs="Times New Roman"/>
          <w:b/>
          <w:noProof/>
          <w:u w:val="single"/>
          <w:lang w:val="en-IE" w:eastAsia="nl-BE"/>
        </w:rPr>
        <w:t xml:space="preserve">pecific consultations conducted by contractor </w:t>
      </w:r>
    </w:p>
    <w:p w14:paraId="4CAA4341" w14:textId="77777777" w:rsidR="00721A50" w:rsidRPr="00532C20" w:rsidRDefault="009579D8" w:rsidP="004B0958">
      <w:pPr>
        <w:spacing w:before="240" w:after="160" w:line="240" w:lineRule="auto"/>
        <w:jc w:val="both"/>
        <w:rPr>
          <w:rFonts w:ascii="Times New Roman" w:eastAsia="Times" w:hAnsi="Times New Roman" w:cs="Times New Roman"/>
          <w:noProof/>
          <w:sz w:val="24"/>
          <w:szCs w:val="24"/>
          <w:lang w:val="en-IE" w:eastAsia="nl-BE"/>
        </w:rPr>
      </w:pPr>
      <w:r w:rsidRPr="00532C20">
        <w:rPr>
          <w:rFonts w:ascii="Times New Roman" w:eastAsia="Times" w:hAnsi="Times New Roman" w:cs="Times New Roman"/>
          <w:noProof/>
          <w:sz w:val="24"/>
          <w:szCs w:val="24"/>
          <w:lang w:val="en-IE" w:eastAsia="nl-BE"/>
        </w:rPr>
        <w:t>T</w:t>
      </w:r>
      <w:r w:rsidR="0083048F" w:rsidRPr="00532C20">
        <w:rPr>
          <w:rFonts w:ascii="Times New Roman" w:eastAsia="Times" w:hAnsi="Times New Roman" w:cs="Times New Roman"/>
          <w:noProof/>
          <w:sz w:val="24"/>
          <w:szCs w:val="24"/>
          <w:lang w:val="en-IE" w:eastAsia="nl-BE"/>
        </w:rPr>
        <w:t>he contrac</w:t>
      </w:r>
      <w:r w:rsidR="00721A50" w:rsidRPr="00532C20">
        <w:rPr>
          <w:rFonts w:ascii="Times New Roman" w:eastAsia="Times" w:hAnsi="Times New Roman" w:cs="Times New Roman"/>
          <w:noProof/>
          <w:sz w:val="24"/>
          <w:szCs w:val="24"/>
          <w:lang w:val="en-IE" w:eastAsia="nl-BE"/>
        </w:rPr>
        <w:t xml:space="preserve">tor conducted </w:t>
      </w:r>
      <w:r w:rsidR="39F24438" w:rsidRPr="00532C20">
        <w:rPr>
          <w:rFonts w:ascii="Times New Roman" w:eastAsia="Times" w:hAnsi="Times New Roman" w:cs="Times New Roman"/>
          <w:noProof/>
          <w:sz w:val="24"/>
          <w:szCs w:val="24"/>
          <w:lang w:val="en-IE" w:eastAsia="nl-BE"/>
        </w:rPr>
        <w:t xml:space="preserve">a </w:t>
      </w:r>
      <w:r w:rsidR="00721A50" w:rsidRPr="00532C20">
        <w:rPr>
          <w:rFonts w:ascii="Times New Roman" w:eastAsia="Times" w:hAnsi="Times New Roman" w:cs="Times New Roman"/>
          <w:noProof/>
          <w:sz w:val="24"/>
          <w:szCs w:val="24"/>
          <w:lang w:val="en-IE" w:eastAsia="nl-BE"/>
        </w:rPr>
        <w:t xml:space="preserve">specific and extensive consultation, by the means of interviews, targeted at different stakeholder groups. </w:t>
      </w:r>
      <w:r w:rsidR="00721A50" w:rsidRPr="00532C20">
        <w:rPr>
          <w:rFonts w:ascii="Times New Roman" w:eastAsia="Times" w:hAnsi="Times New Roman" w:cs="Times New Roman"/>
          <w:noProof/>
          <w:sz w:val="24"/>
          <w:szCs w:val="24"/>
          <w:lang w:val="en-IE"/>
        </w:rPr>
        <w:t xml:space="preserve">The interview programme originally aimed to consult 35-40 stakeholders across key groups. </w:t>
      </w:r>
    </w:p>
    <w:p w14:paraId="3AE30562" w14:textId="77777777" w:rsidR="00D7576F" w:rsidRPr="00532C20" w:rsidRDefault="00D7576F" w:rsidP="004B0958">
      <w:pPr>
        <w:spacing w:before="240" w:after="160" w:line="240" w:lineRule="auto"/>
        <w:jc w:val="both"/>
        <w:rPr>
          <w:rFonts w:ascii="Times New Roman" w:eastAsia="Calibri" w:hAnsi="Times New Roman" w:cs="Times New Roman"/>
          <w:noProof/>
          <w:kern w:val="18"/>
          <w:sz w:val="24"/>
          <w:szCs w:val="24"/>
          <w:lang w:val="en-IE"/>
        </w:rPr>
      </w:pPr>
      <w:r w:rsidRPr="00532C20">
        <w:rPr>
          <w:rFonts w:ascii="Times New Roman" w:eastAsia="Calibri" w:hAnsi="Times New Roman" w:cs="Times New Roman"/>
          <w:noProof/>
          <w:kern w:val="18"/>
          <w:sz w:val="24"/>
          <w:szCs w:val="24"/>
          <w:lang w:val="en-IE"/>
        </w:rPr>
        <w:t xml:space="preserve">This table presents a breakdown of the individual stakeholders contacted (16), as well as the 62 interviews performed across key stakeholder groups. </w:t>
      </w:r>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15" w:type="dxa"/>
          <w:bottom w:w="15" w:type="dxa"/>
        </w:tblCellMar>
        <w:tblLook w:val="04A0" w:firstRow="1" w:lastRow="0" w:firstColumn="1" w:lastColumn="0" w:noHBand="0" w:noVBand="1"/>
      </w:tblPr>
      <w:tblGrid>
        <w:gridCol w:w="4777"/>
        <w:gridCol w:w="2405"/>
        <w:gridCol w:w="1834"/>
      </w:tblGrid>
      <w:tr w:rsidR="00D7576F" w:rsidRPr="00532C20" w14:paraId="564B1650" w14:textId="77777777" w:rsidTr="003548C3">
        <w:trPr>
          <w:trHeight w:val="20"/>
        </w:trPr>
        <w:tc>
          <w:tcPr>
            <w:tcW w:w="2513" w:type="pct"/>
            <w:shd w:val="clear" w:color="auto" w:fill="002060"/>
            <w:noWrap/>
            <w:vAlign w:val="bottom"/>
            <w:hideMark/>
          </w:tcPr>
          <w:p w14:paraId="3252423D" w14:textId="77777777" w:rsidR="00D7576F" w:rsidRPr="00532C20" w:rsidRDefault="00D7576F" w:rsidP="004B0958">
            <w:pPr>
              <w:spacing w:line="240" w:lineRule="auto"/>
              <w:jc w:val="both"/>
              <w:rPr>
                <w:rFonts w:ascii="Times New Roman" w:eastAsia="Times" w:hAnsi="Times New Roman" w:cs="Times New Roman"/>
                <w:b/>
                <w:noProof/>
                <w:color w:val="FFFFFF"/>
                <w:sz w:val="24"/>
                <w:szCs w:val="24"/>
                <w:lang w:val="en-IE" w:eastAsia="en-GB"/>
              </w:rPr>
            </w:pPr>
            <w:r w:rsidRPr="00532C20">
              <w:rPr>
                <w:rFonts w:ascii="Times New Roman" w:eastAsia="Times" w:hAnsi="Times New Roman" w:cs="Times New Roman"/>
                <w:b/>
                <w:noProof/>
                <w:color w:val="FFFFFF"/>
                <w:sz w:val="24"/>
                <w:szCs w:val="24"/>
                <w:lang w:val="en-IE" w:eastAsia="en-GB"/>
              </w:rPr>
              <w:t>Stakeholder types</w:t>
            </w:r>
          </w:p>
        </w:tc>
        <w:tc>
          <w:tcPr>
            <w:tcW w:w="1487" w:type="pct"/>
            <w:shd w:val="clear" w:color="auto" w:fill="002060"/>
            <w:noWrap/>
            <w:vAlign w:val="bottom"/>
            <w:hideMark/>
          </w:tcPr>
          <w:p w14:paraId="18C3FC7F" w14:textId="77777777" w:rsidR="00D7576F" w:rsidRPr="00532C20" w:rsidRDefault="00D7576F" w:rsidP="004B0958">
            <w:pPr>
              <w:spacing w:line="240" w:lineRule="auto"/>
              <w:jc w:val="both"/>
              <w:rPr>
                <w:rFonts w:ascii="Times New Roman" w:eastAsia="Times" w:hAnsi="Times New Roman" w:cs="Times New Roman"/>
                <w:b/>
                <w:noProof/>
                <w:color w:val="FFFFFF"/>
                <w:sz w:val="24"/>
                <w:szCs w:val="24"/>
                <w:lang w:val="en-IE" w:eastAsia="en-GB"/>
              </w:rPr>
            </w:pPr>
            <w:r w:rsidRPr="00532C20">
              <w:rPr>
                <w:rFonts w:ascii="Times New Roman" w:eastAsia="Times" w:hAnsi="Times New Roman" w:cs="Times New Roman"/>
                <w:b/>
                <w:noProof/>
                <w:color w:val="FFFFFF"/>
                <w:sz w:val="24"/>
                <w:szCs w:val="24"/>
                <w:lang w:val="en-IE" w:eastAsia="en-GB"/>
              </w:rPr>
              <w:t>Interviews Performed</w:t>
            </w:r>
          </w:p>
        </w:tc>
        <w:tc>
          <w:tcPr>
            <w:tcW w:w="1000" w:type="pct"/>
            <w:shd w:val="clear" w:color="auto" w:fill="002060"/>
            <w:noWrap/>
            <w:vAlign w:val="bottom"/>
            <w:hideMark/>
          </w:tcPr>
          <w:p w14:paraId="31BA61EA" w14:textId="77777777" w:rsidR="00D7576F" w:rsidRPr="00532C20" w:rsidRDefault="00D7576F" w:rsidP="004B0958">
            <w:pPr>
              <w:spacing w:line="240" w:lineRule="auto"/>
              <w:jc w:val="both"/>
              <w:rPr>
                <w:rFonts w:ascii="Times New Roman" w:eastAsia="Times" w:hAnsi="Times New Roman" w:cs="Times New Roman"/>
                <w:b/>
                <w:noProof/>
                <w:color w:val="FFFFFF"/>
                <w:sz w:val="24"/>
                <w:szCs w:val="24"/>
                <w:lang w:val="en-IE" w:eastAsia="en-GB"/>
              </w:rPr>
            </w:pPr>
            <w:r w:rsidRPr="00532C20">
              <w:rPr>
                <w:rFonts w:ascii="Times New Roman" w:eastAsia="Times" w:hAnsi="Times New Roman" w:cs="Times New Roman"/>
                <w:b/>
                <w:noProof/>
                <w:color w:val="FFFFFF"/>
                <w:sz w:val="24"/>
                <w:szCs w:val="24"/>
                <w:lang w:val="en-IE" w:eastAsia="en-GB"/>
              </w:rPr>
              <w:t>Total Contacted</w:t>
            </w:r>
          </w:p>
        </w:tc>
      </w:tr>
      <w:tr w:rsidR="00D7576F" w:rsidRPr="00532C20" w14:paraId="01534984" w14:textId="77777777" w:rsidTr="00210D93">
        <w:trPr>
          <w:trHeight w:val="20"/>
        </w:trPr>
        <w:tc>
          <w:tcPr>
            <w:tcW w:w="2513" w:type="pct"/>
            <w:shd w:val="clear" w:color="auto" w:fill="F2F2F2"/>
            <w:noWrap/>
            <w:vAlign w:val="bottom"/>
            <w:hideMark/>
          </w:tcPr>
          <w:p w14:paraId="19A3DFC5" w14:textId="77777777" w:rsidR="00D7576F" w:rsidRPr="00532C20" w:rsidRDefault="00D7576F" w:rsidP="004B0958">
            <w:pPr>
              <w:spacing w:line="240" w:lineRule="auto"/>
              <w:jc w:val="both"/>
              <w:rPr>
                <w:rFonts w:ascii="Times New Roman" w:eastAsia="Times" w:hAnsi="Times New Roman" w:cs="Times New Roman"/>
                <w:b/>
                <w:noProof/>
                <w:color w:val="000000"/>
                <w:sz w:val="24"/>
                <w:szCs w:val="24"/>
                <w:lang w:val="en-IE" w:eastAsia="en-GB"/>
              </w:rPr>
            </w:pPr>
            <w:r w:rsidRPr="00532C20">
              <w:rPr>
                <w:rFonts w:ascii="Times New Roman" w:eastAsia="Times" w:hAnsi="Times New Roman" w:cs="Times New Roman"/>
                <w:b/>
                <w:noProof/>
                <w:color w:val="000000"/>
                <w:sz w:val="24"/>
                <w:szCs w:val="24"/>
                <w:lang w:val="en-IE" w:eastAsia="en-GB"/>
              </w:rPr>
              <w:t>CSO</w:t>
            </w:r>
            <w:r w:rsidR="00B03CAA" w:rsidRPr="00532C20">
              <w:rPr>
                <w:rFonts w:ascii="Times New Roman" w:eastAsia="Times" w:hAnsi="Times New Roman" w:cs="Times New Roman"/>
                <w:b/>
                <w:noProof/>
                <w:color w:val="000000"/>
                <w:sz w:val="24"/>
                <w:szCs w:val="24"/>
                <w:lang w:val="en-IE" w:eastAsia="en-GB"/>
              </w:rPr>
              <w:t>s</w:t>
            </w:r>
          </w:p>
        </w:tc>
        <w:tc>
          <w:tcPr>
            <w:tcW w:w="1487" w:type="pct"/>
            <w:noWrap/>
            <w:vAlign w:val="bottom"/>
            <w:hideMark/>
          </w:tcPr>
          <w:p w14:paraId="3ECC40D7" w14:textId="77777777" w:rsidR="00D7576F" w:rsidRPr="00532C20" w:rsidRDefault="00D7576F" w:rsidP="004B0958">
            <w:pPr>
              <w:spacing w:line="240" w:lineRule="auto"/>
              <w:jc w:val="both"/>
              <w:rPr>
                <w:rFonts w:ascii="Times New Roman" w:eastAsia="Times" w:hAnsi="Times New Roman" w:cs="Times New Roman"/>
                <w:noProof/>
                <w:color w:val="000000"/>
                <w:sz w:val="24"/>
                <w:szCs w:val="24"/>
                <w:lang w:val="en-IE" w:eastAsia="en-GB"/>
              </w:rPr>
            </w:pPr>
            <w:r w:rsidRPr="00532C20">
              <w:rPr>
                <w:rFonts w:ascii="Times New Roman" w:eastAsia="Times" w:hAnsi="Times New Roman" w:cs="Times New Roman"/>
                <w:noProof/>
                <w:color w:val="000000"/>
                <w:sz w:val="24"/>
                <w:szCs w:val="24"/>
                <w:lang w:val="en-IE" w:eastAsia="en-GB"/>
              </w:rPr>
              <w:t>14</w:t>
            </w:r>
          </w:p>
        </w:tc>
        <w:tc>
          <w:tcPr>
            <w:tcW w:w="1000" w:type="pct"/>
            <w:noWrap/>
            <w:vAlign w:val="bottom"/>
            <w:hideMark/>
          </w:tcPr>
          <w:p w14:paraId="3CE03B64" w14:textId="77777777" w:rsidR="00D7576F" w:rsidRPr="00532C20" w:rsidRDefault="00D7576F" w:rsidP="004B0958">
            <w:pPr>
              <w:spacing w:line="240" w:lineRule="auto"/>
              <w:jc w:val="both"/>
              <w:rPr>
                <w:rFonts w:ascii="Times New Roman" w:eastAsia="Times" w:hAnsi="Times New Roman" w:cs="Times New Roman"/>
                <w:noProof/>
                <w:color w:val="000000"/>
                <w:sz w:val="24"/>
                <w:szCs w:val="24"/>
                <w:lang w:val="en-IE" w:eastAsia="en-GB"/>
              </w:rPr>
            </w:pPr>
            <w:r w:rsidRPr="00532C20">
              <w:rPr>
                <w:rFonts w:ascii="Times New Roman" w:eastAsia="Times" w:hAnsi="Times New Roman" w:cs="Times New Roman"/>
                <w:noProof/>
                <w:color w:val="000000"/>
                <w:sz w:val="24"/>
                <w:szCs w:val="24"/>
                <w:lang w:val="en-IE" w:eastAsia="en-GB"/>
              </w:rPr>
              <w:t>22</w:t>
            </w:r>
          </w:p>
        </w:tc>
      </w:tr>
      <w:tr w:rsidR="00D7576F" w:rsidRPr="00532C20" w14:paraId="7B326B28" w14:textId="77777777" w:rsidTr="00210D93">
        <w:trPr>
          <w:trHeight w:val="20"/>
        </w:trPr>
        <w:tc>
          <w:tcPr>
            <w:tcW w:w="2513" w:type="pct"/>
            <w:shd w:val="clear" w:color="auto" w:fill="F2F2F2"/>
            <w:noWrap/>
            <w:vAlign w:val="bottom"/>
            <w:hideMark/>
          </w:tcPr>
          <w:p w14:paraId="73380CCA" w14:textId="77777777" w:rsidR="00D7576F" w:rsidRPr="00532C20" w:rsidRDefault="00D7576F" w:rsidP="004B0958">
            <w:pPr>
              <w:spacing w:line="240" w:lineRule="auto"/>
              <w:jc w:val="both"/>
              <w:rPr>
                <w:rFonts w:ascii="Times New Roman" w:eastAsia="Times" w:hAnsi="Times New Roman" w:cs="Times New Roman"/>
                <w:b/>
                <w:noProof/>
                <w:color w:val="000000"/>
                <w:sz w:val="24"/>
                <w:szCs w:val="24"/>
                <w:lang w:val="en-IE" w:eastAsia="en-GB"/>
              </w:rPr>
            </w:pPr>
            <w:r w:rsidRPr="00532C20">
              <w:rPr>
                <w:rFonts w:ascii="Times New Roman" w:eastAsia="Times" w:hAnsi="Times New Roman" w:cs="Times New Roman"/>
                <w:b/>
                <w:noProof/>
                <w:color w:val="000000"/>
                <w:sz w:val="24"/>
                <w:szCs w:val="24"/>
                <w:lang w:val="en-IE" w:eastAsia="en-GB"/>
              </w:rPr>
              <w:t>International, EU and national authorities</w:t>
            </w:r>
          </w:p>
        </w:tc>
        <w:tc>
          <w:tcPr>
            <w:tcW w:w="1487" w:type="pct"/>
            <w:noWrap/>
            <w:vAlign w:val="bottom"/>
            <w:hideMark/>
          </w:tcPr>
          <w:p w14:paraId="484F984C" w14:textId="77777777" w:rsidR="00D7576F" w:rsidRPr="00532C20" w:rsidRDefault="00D7576F" w:rsidP="004B0958">
            <w:pPr>
              <w:spacing w:line="240" w:lineRule="auto"/>
              <w:jc w:val="both"/>
              <w:rPr>
                <w:rFonts w:ascii="Times New Roman" w:eastAsia="Times" w:hAnsi="Times New Roman" w:cs="Times New Roman"/>
                <w:noProof/>
                <w:color w:val="000000"/>
                <w:sz w:val="24"/>
                <w:szCs w:val="24"/>
                <w:lang w:val="en-IE" w:eastAsia="en-GB"/>
              </w:rPr>
            </w:pPr>
            <w:r w:rsidRPr="00532C20">
              <w:rPr>
                <w:rFonts w:ascii="Times New Roman" w:eastAsia="Times" w:hAnsi="Times New Roman" w:cs="Times New Roman"/>
                <w:noProof/>
                <w:color w:val="000000"/>
                <w:sz w:val="24"/>
                <w:szCs w:val="24"/>
                <w:lang w:val="en-IE" w:eastAsia="en-GB"/>
              </w:rPr>
              <w:t>16</w:t>
            </w:r>
          </w:p>
        </w:tc>
        <w:tc>
          <w:tcPr>
            <w:tcW w:w="1000" w:type="pct"/>
            <w:noWrap/>
            <w:vAlign w:val="bottom"/>
            <w:hideMark/>
          </w:tcPr>
          <w:p w14:paraId="309264D1" w14:textId="77777777" w:rsidR="00D7576F" w:rsidRPr="00532C20" w:rsidRDefault="00D7576F" w:rsidP="004B0958">
            <w:pPr>
              <w:spacing w:line="240" w:lineRule="auto"/>
              <w:jc w:val="both"/>
              <w:rPr>
                <w:rFonts w:ascii="Times New Roman" w:eastAsia="Times" w:hAnsi="Times New Roman" w:cs="Times New Roman"/>
                <w:noProof/>
                <w:color w:val="000000"/>
                <w:sz w:val="24"/>
                <w:szCs w:val="24"/>
                <w:lang w:val="en-IE" w:eastAsia="en-GB"/>
              </w:rPr>
            </w:pPr>
            <w:r w:rsidRPr="00532C20">
              <w:rPr>
                <w:rFonts w:ascii="Times New Roman" w:eastAsia="Times" w:hAnsi="Times New Roman" w:cs="Times New Roman"/>
                <w:noProof/>
                <w:color w:val="000000"/>
                <w:sz w:val="24"/>
                <w:szCs w:val="24"/>
                <w:lang w:val="en-IE" w:eastAsia="en-GB"/>
              </w:rPr>
              <w:t>40</w:t>
            </w:r>
          </w:p>
        </w:tc>
      </w:tr>
      <w:tr w:rsidR="00D7576F" w:rsidRPr="00532C20" w14:paraId="0FF58922" w14:textId="77777777" w:rsidTr="00210D93">
        <w:trPr>
          <w:trHeight w:val="20"/>
        </w:trPr>
        <w:tc>
          <w:tcPr>
            <w:tcW w:w="2513" w:type="pct"/>
            <w:shd w:val="clear" w:color="auto" w:fill="F2F2F2"/>
            <w:noWrap/>
            <w:vAlign w:val="bottom"/>
            <w:hideMark/>
          </w:tcPr>
          <w:p w14:paraId="5845D770" w14:textId="77777777" w:rsidR="00D7576F" w:rsidRPr="00532C20" w:rsidRDefault="00D7576F" w:rsidP="004B0958">
            <w:pPr>
              <w:spacing w:line="240" w:lineRule="auto"/>
              <w:jc w:val="both"/>
              <w:rPr>
                <w:rFonts w:ascii="Times New Roman" w:eastAsia="Times" w:hAnsi="Times New Roman" w:cs="Times New Roman"/>
                <w:b/>
                <w:noProof/>
                <w:color w:val="000000"/>
                <w:sz w:val="24"/>
                <w:szCs w:val="24"/>
                <w:lang w:val="en-IE" w:eastAsia="en-GB"/>
              </w:rPr>
            </w:pPr>
            <w:r w:rsidRPr="00532C20">
              <w:rPr>
                <w:rFonts w:ascii="Times New Roman" w:eastAsia="Times" w:hAnsi="Times New Roman" w:cs="Times New Roman"/>
                <w:b/>
                <w:noProof/>
                <w:color w:val="000000"/>
                <w:sz w:val="24"/>
                <w:szCs w:val="24"/>
                <w:lang w:val="en-IE" w:eastAsia="en-GB"/>
              </w:rPr>
              <w:t>Law firms</w:t>
            </w:r>
          </w:p>
        </w:tc>
        <w:tc>
          <w:tcPr>
            <w:tcW w:w="1487" w:type="pct"/>
            <w:noWrap/>
            <w:vAlign w:val="bottom"/>
            <w:hideMark/>
          </w:tcPr>
          <w:p w14:paraId="0A66D1E9" w14:textId="77777777" w:rsidR="00D7576F" w:rsidRPr="00532C20" w:rsidRDefault="00D7576F" w:rsidP="004B0958">
            <w:pPr>
              <w:spacing w:line="240" w:lineRule="auto"/>
              <w:jc w:val="both"/>
              <w:rPr>
                <w:rFonts w:ascii="Times New Roman" w:eastAsia="Times" w:hAnsi="Times New Roman" w:cs="Times New Roman"/>
                <w:noProof/>
                <w:color w:val="000000"/>
                <w:sz w:val="24"/>
                <w:szCs w:val="24"/>
                <w:lang w:val="en-IE" w:eastAsia="en-GB"/>
              </w:rPr>
            </w:pPr>
            <w:r w:rsidRPr="00532C20">
              <w:rPr>
                <w:rFonts w:ascii="Times New Roman" w:eastAsia="Times" w:hAnsi="Times New Roman" w:cs="Times New Roman"/>
                <w:noProof/>
                <w:color w:val="000000"/>
                <w:sz w:val="24"/>
                <w:szCs w:val="24"/>
                <w:lang w:val="en-IE" w:eastAsia="en-GB"/>
              </w:rPr>
              <w:t>5</w:t>
            </w:r>
          </w:p>
        </w:tc>
        <w:tc>
          <w:tcPr>
            <w:tcW w:w="1000" w:type="pct"/>
            <w:noWrap/>
            <w:vAlign w:val="bottom"/>
            <w:hideMark/>
          </w:tcPr>
          <w:p w14:paraId="258F928A" w14:textId="77777777" w:rsidR="00D7576F" w:rsidRPr="00532C20" w:rsidRDefault="00D7576F" w:rsidP="004B0958">
            <w:pPr>
              <w:spacing w:line="240" w:lineRule="auto"/>
              <w:jc w:val="both"/>
              <w:rPr>
                <w:rFonts w:ascii="Times New Roman" w:eastAsia="Times" w:hAnsi="Times New Roman" w:cs="Times New Roman"/>
                <w:noProof/>
                <w:color w:val="000000"/>
                <w:sz w:val="24"/>
                <w:szCs w:val="24"/>
                <w:lang w:val="en-IE" w:eastAsia="en-GB"/>
              </w:rPr>
            </w:pPr>
            <w:r w:rsidRPr="00532C20">
              <w:rPr>
                <w:rFonts w:ascii="Times New Roman" w:eastAsia="Times" w:hAnsi="Times New Roman" w:cs="Times New Roman"/>
                <w:noProof/>
                <w:color w:val="000000"/>
                <w:sz w:val="24"/>
                <w:szCs w:val="24"/>
                <w:lang w:val="en-IE" w:eastAsia="en-GB"/>
              </w:rPr>
              <w:t>10</w:t>
            </w:r>
          </w:p>
        </w:tc>
      </w:tr>
      <w:tr w:rsidR="00D7576F" w:rsidRPr="00532C20" w14:paraId="7B086470" w14:textId="77777777" w:rsidTr="00210D93">
        <w:trPr>
          <w:trHeight w:val="20"/>
        </w:trPr>
        <w:tc>
          <w:tcPr>
            <w:tcW w:w="2513" w:type="pct"/>
            <w:shd w:val="clear" w:color="auto" w:fill="F2F2F2"/>
            <w:noWrap/>
            <w:vAlign w:val="bottom"/>
            <w:hideMark/>
          </w:tcPr>
          <w:p w14:paraId="599A9E63" w14:textId="77777777" w:rsidR="00D7576F" w:rsidRPr="00532C20" w:rsidRDefault="00D7576F" w:rsidP="004B0958">
            <w:pPr>
              <w:spacing w:line="240" w:lineRule="auto"/>
              <w:jc w:val="both"/>
              <w:rPr>
                <w:rFonts w:ascii="Times New Roman" w:eastAsia="Times" w:hAnsi="Times New Roman" w:cs="Times New Roman"/>
                <w:b/>
                <w:noProof/>
                <w:color w:val="000000"/>
                <w:sz w:val="24"/>
                <w:szCs w:val="24"/>
                <w:lang w:val="en-IE" w:eastAsia="en-GB"/>
              </w:rPr>
            </w:pPr>
            <w:r w:rsidRPr="00532C20">
              <w:rPr>
                <w:rFonts w:ascii="Times New Roman" w:eastAsia="Times" w:hAnsi="Times New Roman" w:cs="Times New Roman"/>
                <w:b/>
                <w:noProof/>
                <w:color w:val="000000"/>
                <w:sz w:val="24"/>
                <w:szCs w:val="24"/>
                <w:lang w:val="en-IE" w:eastAsia="en-GB"/>
              </w:rPr>
              <w:t>Professional consultancies</w:t>
            </w:r>
          </w:p>
        </w:tc>
        <w:tc>
          <w:tcPr>
            <w:tcW w:w="1487" w:type="pct"/>
            <w:noWrap/>
            <w:vAlign w:val="bottom"/>
            <w:hideMark/>
          </w:tcPr>
          <w:p w14:paraId="1BBB2F48" w14:textId="77777777" w:rsidR="00D7576F" w:rsidRPr="00532C20" w:rsidRDefault="00D7576F" w:rsidP="004B0958">
            <w:pPr>
              <w:spacing w:line="240" w:lineRule="auto"/>
              <w:jc w:val="both"/>
              <w:rPr>
                <w:rFonts w:ascii="Times New Roman" w:eastAsia="Times" w:hAnsi="Times New Roman" w:cs="Times New Roman"/>
                <w:noProof/>
                <w:color w:val="000000"/>
                <w:sz w:val="24"/>
                <w:szCs w:val="24"/>
                <w:lang w:val="en-IE" w:eastAsia="en-GB"/>
              </w:rPr>
            </w:pPr>
            <w:r w:rsidRPr="00532C20">
              <w:rPr>
                <w:rFonts w:ascii="Times New Roman" w:eastAsia="Times" w:hAnsi="Times New Roman" w:cs="Times New Roman"/>
                <w:noProof/>
                <w:color w:val="000000"/>
                <w:sz w:val="24"/>
                <w:szCs w:val="24"/>
                <w:lang w:val="en-IE" w:eastAsia="en-GB"/>
              </w:rPr>
              <w:t>9</w:t>
            </w:r>
          </w:p>
        </w:tc>
        <w:tc>
          <w:tcPr>
            <w:tcW w:w="1000" w:type="pct"/>
            <w:noWrap/>
            <w:vAlign w:val="bottom"/>
            <w:hideMark/>
          </w:tcPr>
          <w:p w14:paraId="7711A589" w14:textId="77777777" w:rsidR="00D7576F" w:rsidRPr="00532C20" w:rsidRDefault="00D7576F" w:rsidP="004B0958">
            <w:pPr>
              <w:spacing w:line="240" w:lineRule="auto"/>
              <w:jc w:val="both"/>
              <w:rPr>
                <w:rFonts w:ascii="Times New Roman" w:eastAsia="Times" w:hAnsi="Times New Roman" w:cs="Times New Roman"/>
                <w:noProof/>
                <w:color w:val="000000"/>
                <w:sz w:val="24"/>
                <w:szCs w:val="24"/>
                <w:lang w:val="en-IE" w:eastAsia="en-GB"/>
              </w:rPr>
            </w:pPr>
            <w:r w:rsidRPr="00532C20">
              <w:rPr>
                <w:rFonts w:ascii="Times New Roman" w:eastAsia="Times" w:hAnsi="Times New Roman" w:cs="Times New Roman"/>
                <w:noProof/>
                <w:color w:val="000000"/>
                <w:sz w:val="24"/>
                <w:szCs w:val="24"/>
                <w:lang w:val="en-IE" w:eastAsia="en-GB"/>
              </w:rPr>
              <w:t>34</w:t>
            </w:r>
          </w:p>
        </w:tc>
      </w:tr>
      <w:tr w:rsidR="00D7576F" w:rsidRPr="00532C20" w14:paraId="47F777F9" w14:textId="77777777" w:rsidTr="00210D93">
        <w:trPr>
          <w:trHeight w:val="20"/>
        </w:trPr>
        <w:tc>
          <w:tcPr>
            <w:tcW w:w="2513" w:type="pct"/>
            <w:shd w:val="clear" w:color="auto" w:fill="F2F2F2"/>
            <w:noWrap/>
            <w:vAlign w:val="bottom"/>
            <w:hideMark/>
          </w:tcPr>
          <w:p w14:paraId="0C021DA5" w14:textId="77777777" w:rsidR="00D7576F" w:rsidRPr="00532C20" w:rsidRDefault="00D7576F" w:rsidP="004B0958">
            <w:pPr>
              <w:spacing w:line="240" w:lineRule="auto"/>
              <w:jc w:val="both"/>
              <w:rPr>
                <w:rFonts w:ascii="Times New Roman" w:eastAsia="Times" w:hAnsi="Times New Roman" w:cs="Times New Roman"/>
                <w:b/>
                <w:noProof/>
                <w:color w:val="000000"/>
                <w:sz w:val="24"/>
                <w:szCs w:val="24"/>
                <w:lang w:val="en-IE" w:eastAsia="en-GB"/>
              </w:rPr>
            </w:pPr>
            <w:r w:rsidRPr="00532C20">
              <w:rPr>
                <w:rFonts w:ascii="Times New Roman" w:eastAsia="Times" w:hAnsi="Times New Roman" w:cs="Times New Roman"/>
                <w:b/>
                <w:noProof/>
                <w:color w:val="000000"/>
                <w:sz w:val="24"/>
                <w:szCs w:val="24"/>
                <w:lang w:val="en-IE" w:eastAsia="en-GB"/>
              </w:rPr>
              <w:t>Think tanks &amp; academic/research institutions</w:t>
            </w:r>
          </w:p>
        </w:tc>
        <w:tc>
          <w:tcPr>
            <w:tcW w:w="1487" w:type="pct"/>
            <w:noWrap/>
            <w:vAlign w:val="bottom"/>
            <w:hideMark/>
          </w:tcPr>
          <w:p w14:paraId="4837E748" w14:textId="77777777" w:rsidR="00D7576F" w:rsidRPr="00532C20" w:rsidRDefault="00D7576F" w:rsidP="004B0958">
            <w:pPr>
              <w:spacing w:line="240" w:lineRule="auto"/>
              <w:jc w:val="both"/>
              <w:rPr>
                <w:rFonts w:ascii="Times New Roman" w:eastAsia="Times" w:hAnsi="Times New Roman" w:cs="Times New Roman"/>
                <w:noProof/>
                <w:color w:val="000000"/>
                <w:sz w:val="24"/>
                <w:szCs w:val="24"/>
                <w:lang w:val="en-IE" w:eastAsia="en-GB"/>
              </w:rPr>
            </w:pPr>
            <w:r w:rsidRPr="00532C20">
              <w:rPr>
                <w:rFonts w:ascii="Times New Roman" w:eastAsia="Times" w:hAnsi="Times New Roman" w:cs="Times New Roman"/>
                <w:noProof/>
                <w:color w:val="000000"/>
                <w:sz w:val="24"/>
                <w:szCs w:val="24"/>
                <w:lang w:val="en-IE" w:eastAsia="en-GB"/>
              </w:rPr>
              <w:t>7</w:t>
            </w:r>
          </w:p>
        </w:tc>
        <w:tc>
          <w:tcPr>
            <w:tcW w:w="1000" w:type="pct"/>
            <w:noWrap/>
            <w:vAlign w:val="bottom"/>
            <w:hideMark/>
          </w:tcPr>
          <w:p w14:paraId="23B092AB" w14:textId="77777777" w:rsidR="00D7576F" w:rsidRPr="00532C20" w:rsidRDefault="00D7576F" w:rsidP="004B0958">
            <w:pPr>
              <w:spacing w:line="240" w:lineRule="auto"/>
              <w:jc w:val="both"/>
              <w:rPr>
                <w:rFonts w:ascii="Times New Roman" w:eastAsia="Times" w:hAnsi="Times New Roman" w:cs="Times New Roman"/>
                <w:noProof/>
                <w:color w:val="000000"/>
                <w:sz w:val="24"/>
                <w:szCs w:val="24"/>
                <w:lang w:val="en-IE" w:eastAsia="en-GB"/>
              </w:rPr>
            </w:pPr>
            <w:r w:rsidRPr="00532C20">
              <w:rPr>
                <w:rFonts w:ascii="Times New Roman" w:eastAsia="Times" w:hAnsi="Times New Roman" w:cs="Times New Roman"/>
                <w:noProof/>
                <w:color w:val="000000"/>
                <w:sz w:val="24"/>
                <w:szCs w:val="24"/>
                <w:lang w:val="en-IE" w:eastAsia="en-GB"/>
              </w:rPr>
              <w:t>25</w:t>
            </w:r>
          </w:p>
        </w:tc>
      </w:tr>
      <w:tr w:rsidR="00D7576F" w:rsidRPr="00532C20" w14:paraId="5CBB495D" w14:textId="77777777" w:rsidTr="00210D93">
        <w:trPr>
          <w:trHeight w:val="20"/>
        </w:trPr>
        <w:tc>
          <w:tcPr>
            <w:tcW w:w="2513" w:type="pct"/>
            <w:shd w:val="clear" w:color="auto" w:fill="F2F2F2"/>
            <w:noWrap/>
            <w:vAlign w:val="bottom"/>
            <w:hideMark/>
          </w:tcPr>
          <w:p w14:paraId="7BC25ABA" w14:textId="77777777" w:rsidR="00D7576F" w:rsidRPr="00532C20" w:rsidRDefault="00D7576F" w:rsidP="004B0958">
            <w:pPr>
              <w:spacing w:line="240" w:lineRule="auto"/>
              <w:jc w:val="both"/>
              <w:rPr>
                <w:rFonts w:ascii="Times New Roman" w:eastAsia="Times" w:hAnsi="Times New Roman" w:cs="Times New Roman"/>
                <w:b/>
                <w:noProof/>
                <w:color w:val="000000"/>
                <w:sz w:val="24"/>
                <w:szCs w:val="24"/>
                <w:lang w:val="en-IE" w:eastAsia="en-GB"/>
              </w:rPr>
            </w:pPr>
            <w:r w:rsidRPr="00532C20">
              <w:rPr>
                <w:rFonts w:ascii="Times New Roman" w:eastAsia="Times" w:hAnsi="Times New Roman" w:cs="Times New Roman"/>
                <w:b/>
                <w:noProof/>
                <w:color w:val="000000"/>
                <w:sz w:val="24"/>
                <w:szCs w:val="24"/>
                <w:lang w:val="en-IE" w:eastAsia="en-GB"/>
              </w:rPr>
              <w:t>Trade &amp; business associations</w:t>
            </w:r>
          </w:p>
        </w:tc>
        <w:tc>
          <w:tcPr>
            <w:tcW w:w="1487" w:type="pct"/>
            <w:noWrap/>
            <w:vAlign w:val="bottom"/>
            <w:hideMark/>
          </w:tcPr>
          <w:p w14:paraId="6A1F9884" w14:textId="77777777" w:rsidR="00D7576F" w:rsidRPr="00532C20" w:rsidRDefault="00D7576F" w:rsidP="004B0958">
            <w:pPr>
              <w:spacing w:line="240" w:lineRule="auto"/>
              <w:jc w:val="both"/>
              <w:rPr>
                <w:rFonts w:ascii="Times New Roman" w:eastAsia="Times" w:hAnsi="Times New Roman" w:cs="Times New Roman"/>
                <w:noProof/>
                <w:color w:val="000000"/>
                <w:sz w:val="24"/>
                <w:szCs w:val="24"/>
                <w:lang w:val="en-IE" w:eastAsia="en-GB"/>
              </w:rPr>
            </w:pPr>
            <w:r w:rsidRPr="00532C20">
              <w:rPr>
                <w:rFonts w:ascii="Times New Roman" w:eastAsia="Times" w:hAnsi="Times New Roman" w:cs="Times New Roman"/>
                <w:noProof/>
                <w:color w:val="000000"/>
                <w:sz w:val="24"/>
                <w:szCs w:val="24"/>
                <w:lang w:val="en-IE" w:eastAsia="en-GB"/>
              </w:rPr>
              <w:t>10</w:t>
            </w:r>
          </w:p>
        </w:tc>
        <w:tc>
          <w:tcPr>
            <w:tcW w:w="1000" w:type="pct"/>
            <w:noWrap/>
            <w:vAlign w:val="bottom"/>
            <w:hideMark/>
          </w:tcPr>
          <w:p w14:paraId="592ADF09" w14:textId="77777777" w:rsidR="00D7576F" w:rsidRPr="00532C20" w:rsidRDefault="00D7576F" w:rsidP="004B0958">
            <w:pPr>
              <w:spacing w:line="240" w:lineRule="auto"/>
              <w:jc w:val="both"/>
              <w:rPr>
                <w:rFonts w:ascii="Times New Roman" w:eastAsia="Times" w:hAnsi="Times New Roman" w:cs="Times New Roman"/>
                <w:noProof/>
                <w:color w:val="000000"/>
                <w:sz w:val="24"/>
                <w:szCs w:val="24"/>
                <w:lang w:val="en-IE" w:eastAsia="en-GB"/>
              </w:rPr>
            </w:pPr>
            <w:r w:rsidRPr="00532C20">
              <w:rPr>
                <w:rFonts w:ascii="Times New Roman" w:eastAsia="Times" w:hAnsi="Times New Roman" w:cs="Times New Roman"/>
                <w:noProof/>
                <w:color w:val="000000"/>
                <w:sz w:val="24"/>
                <w:szCs w:val="24"/>
                <w:lang w:val="en-IE" w:eastAsia="en-GB"/>
              </w:rPr>
              <w:t>14</w:t>
            </w:r>
          </w:p>
        </w:tc>
      </w:tr>
      <w:tr w:rsidR="00D7576F" w:rsidRPr="00532C20" w14:paraId="40E8F577" w14:textId="77777777" w:rsidTr="00210D93">
        <w:trPr>
          <w:trHeight w:val="20"/>
        </w:trPr>
        <w:tc>
          <w:tcPr>
            <w:tcW w:w="2513" w:type="pct"/>
            <w:shd w:val="clear" w:color="auto" w:fill="F2F2F2"/>
            <w:noWrap/>
            <w:vAlign w:val="bottom"/>
            <w:hideMark/>
          </w:tcPr>
          <w:p w14:paraId="17FA609C" w14:textId="77777777" w:rsidR="00D7576F" w:rsidRPr="00532C20" w:rsidRDefault="00D7576F" w:rsidP="004B0958">
            <w:pPr>
              <w:spacing w:line="240" w:lineRule="auto"/>
              <w:jc w:val="both"/>
              <w:rPr>
                <w:rFonts w:ascii="Times New Roman" w:eastAsia="Times" w:hAnsi="Times New Roman" w:cs="Times New Roman"/>
                <w:b/>
                <w:noProof/>
                <w:color w:val="000000"/>
                <w:sz w:val="24"/>
                <w:szCs w:val="24"/>
                <w:lang w:val="en-IE" w:eastAsia="en-GB"/>
              </w:rPr>
            </w:pPr>
            <w:r w:rsidRPr="00532C20">
              <w:rPr>
                <w:rFonts w:ascii="Times New Roman" w:eastAsia="Times" w:hAnsi="Times New Roman" w:cs="Times New Roman"/>
                <w:b/>
                <w:noProof/>
                <w:color w:val="000000"/>
                <w:sz w:val="24"/>
                <w:szCs w:val="24"/>
                <w:lang w:val="en-IE" w:eastAsia="en-GB"/>
              </w:rPr>
              <w:t>Trade unions &amp; professional associations</w:t>
            </w:r>
          </w:p>
        </w:tc>
        <w:tc>
          <w:tcPr>
            <w:tcW w:w="1487" w:type="pct"/>
            <w:noWrap/>
            <w:vAlign w:val="bottom"/>
            <w:hideMark/>
          </w:tcPr>
          <w:p w14:paraId="7B5902C1" w14:textId="77777777" w:rsidR="00D7576F" w:rsidRPr="00532C20" w:rsidRDefault="00D7576F" w:rsidP="004B0958">
            <w:pPr>
              <w:spacing w:line="240" w:lineRule="auto"/>
              <w:jc w:val="both"/>
              <w:rPr>
                <w:rFonts w:ascii="Times New Roman" w:eastAsia="Times" w:hAnsi="Times New Roman" w:cs="Times New Roman"/>
                <w:noProof/>
                <w:color w:val="000000"/>
                <w:sz w:val="24"/>
                <w:szCs w:val="24"/>
                <w:lang w:val="en-IE" w:eastAsia="en-GB"/>
              </w:rPr>
            </w:pPr>
            <w:r w:rsidRPr="00532C20">
              <w:rPr>
                <w:rFonts w:ascii="Times New Roman" w:eastAsia="Times" w:hAnsi="Times New Roman" w:cs="Times New Roman"/>
                <w:noProof/>
                <w:color w:val="000000"/>
                <w:sz w:val="24"/>
                <w:szCs w:val="24"/>
                <w:lang w:val="en-IE" w:eastAsia="en-GB"/>
              </w:rPr>
              <w:t>1</w:t>
            </w:r>
          </w:p>
        </w:tc>
        <w:tc>
          <w:tcPr>
            <w:tcW w:w="1000" w:type="pct"/>
            <w:noWrap/>
            <w:vAlign w:val="bottom"/>
            <w:hideMark/>
          </w:tcPr>
          <w:p w14:paraId="20CBAE43" w14:textId="77777777" w:rsidR="00D7576F" w:rsidRPr="00532C20" w:rsidRDefault="00D7576F" w:rsidP="004B0958">
            <w:pPr>
              <w:spacing w:line="240" w:lineRule="auto"/>
              <w:jc w:val="both"/>
              <w:rPr>
                <w:rFonts w:ascii="Times New Roman" w:eastAsia="Times" w:hAnsi="Times New Roman" w:cs="Times New Roman"/>
                <w:noProof/>
                <w:color w:val="000000"/>
                <w:sz w:val="24"/>
                <w:szCs w:val="24"/>
                <w:lang w:val="en-IE" w:eastAsia="en-GB"/>
              </w:rPr>
            </w:pPr>
            <w:r w:rsidRPr="00532C20">
              <w:rPr>
                <w:rFonts w:ascii="Times New Roman" w:eastAsia="Times" w:hAnsi="Times New Roman" w:cs="Times New Roman"/>
                <w:noProof/>
                <w:color w:val="000000"/>
                <w:sz w:val="24"/>
                <w:szCs w:val="24"/>
                <w:lang w:val="en-IE" w:eastAsia="en-GB"/>
              </w:rPr>
              <w:t>1</w:t>
            </w:r>
          </w:p>
        </w:tc>
      </w:tr>
      <w:tr w:rsidR="00D7576F" w:rsidRPr="00532C20" w14:paraId="650EF571" w14:textId="77777777" w:rsidTr="00210D93">
        <w:trPr>
          <w:trHeight w:val="20"/>
        </w:trPr>
        <w:tc>
          <w:tcPr>
            <w:tcW w:w="2513" w:type="pct"/>
            <w:shd w:val="clear" w:color="auto" w:fill="1F497D"/>
            <w:noWrap/>
            <w:vAlign w:val="bottom"/>
            <w:hideMark/>
          </w:tcPr>
          <w:p w14:paraId="441DA7C1" w14:textId="77777777" w:rsidR="00D7576F" w:rsidRPr="00532C20" w:rsidRDefault="00D7576F" w:rsidP="004B0958">
            <w:pPr>
              <w:spacing w:line="240" w:lineRule="auto"/>
              <w:jc w:val="both"/>
              <w:rPr>
                <w:rFonts w:ascii="Times New Roman" w:eastAsia="Times" w:hAnsi="Times New Roman" w:cs="Times New Roman"/>
                <w:b/>
                <w:noProof/>
                <w:color w:val="FFFFFF"/>
                <w:sz w:val="24"/>
                <w:szCs w:val="24"/>
                <w:lang w:val="en-IE" w:eastAsia="en-GB"/>
              </w:rPr>
            </w:pPr>
            <w:r w:rsidRPr="00532C20">
              <w:rPr>
                <w:rFonts w:ascii="Times New Roman" w:eastAsia="Times" w:hAnsi="Times New Roman" w:cs="Times New Roman"/>
                <w:b/>
                <w:noProof/>
                <w:color w:val="FFFFFF"/>
                <w:sz w:val="24"/>
                <w:szCs w:val="24"/>
                <w:lang w:val="en-IE" w:eastAsia="en-GB"/>
              </w:rPr>
              <w:t>Total</w:t>
            </w:r>
          </w:p>
        </w:tc>
        <w:tc>
          <w:tcPr>
            <w:tcW w:w="1487" w:type="pct"/>
            <w:shd w:val="clear" w:color="auto" w:fill="1F497D"/>
            <w:noWrap/>
            <w:vAlign w:val="bottom"/>
            <w:hideMark/>
          </w:tcPr>
          <w:p w14:paraId="40B96291" w14:textId="77777777" w:rsidR="00D7576F" w:rsidRPr="00532C20" w:rsidRDefault="00D7576F" w:rsidP="004B0958">
            <w:pPr>
              <w:spacing w:line="240" w:lineRule="auto"/>
              <w:jc w:val="both"/>
              <w:rPr>
                <w:rFonts w:ascii="Times New Roman" w:eastAsia="Times" w:hAnsi="Times New Roman" w:cs="Times New Roman"/>
                <w:b/>
                <w:noProof/>
                <w:color w:val="FFFFFF"/>
                <w:sz w:val="24"/>
                <w:szCs w:val="24"/>
                <w:lang w:val="en-IE" w:eastAsia="en-GB"/>
              </w:rPr>
            </w:pPr>
            <w:r w:rsidRPr="00532C20">
              <w:rPr>
                <w:rFonts w:ascii="Times New Roman" w:eastAsia="Times" w:hAnsi="Times New Roman" w:cs="Times New Roman"/>
                <w:b/>
                <w:noProof/>
                <w:color w:val="FFFFFF"/>
                <w:sz w:val="24"/>
                <w:szCs w:val="24"/>
                <w:lang w:val="en-IE" w:eastAsia="en-GB"/>
              </w:rPr>
              <w:t>62</w:t>
            </w:r>
          </w:p>
        </w:tc>
        <w:tc>
          <w:tcPr>
            <w:tcW w:w="1000" w:type="pct"/>
            <w:shd w:val="clear" w:color="auto" w:fill="1F497D"/>
            <w:noWrap/>
            <w:vAlign w:val="bottom"/>
            <w:hideMark/>
          </w:tcPr>
          <w:p w14:paraId="23072B25" w14:textId="77777777" w:rsidR="00D7576F" w:rsidRPr="00532C20" w:rsidRDefault="00D7576F" w:rsidP="004B0958">
            <w:pPr>
              <w:spacing w:line="240" w:lineRule="auto"/>
              <w:jc w:val="both"/>
              <w:rPr>
                <w:rFonts w:ascii="Times New Roman" w:eastAsia="Times" w:hAnsi="Times New Roman" w:cs="Times New Roman"/>
                <w:b/>
                <w:noProof/>
                <w:color w:val="FFFFFF"/>
                <w:sz w:val="24"/>
                <w:szCs w:val="24"/>
                <w:lang w:val="en-IE" w:eastAsia="en-GB"/>
              </w:rPr>
            </w:pPr>
            <w:r w:rsidRPr="00532C20">
              <w:rPr>
                <w:rFonts w:ascii="Times New Roman" w:eastAsia="Times" w:hAnsi="Times New Roman" w:cs="Times New Roman"/>
                <w:b/>
                <w:noProof/>
                <w:color w:val="FFFFFF"/>
                <w:sz w:val="24"/>
                <w:szCs w:val="24"/>
                <w:lang w:val="en-IE" w:eastAsia="en-GB"/>
              </w:rPr>
              <w:t>146</w:t>
            </w:r>
          </w:p>
        </w:tc>
      </w:tr>
    </w:tbl>
    <w:p w14:paraId="09EAE970" w14:textId="77777777" w:rsidR="00721A50" w:rsidRPr="00532C20" w:rsidRDefault="00721A50">
      <w:pPr>
        <w:numPr>
          <w:ilvl w:val="0"/>
          <w:numId w:val="32"/>
        </w:numPr>
        <w:spacing w:after="0" w:line="240" w:lineRule="auto"/>
        <w:jc w:val="both"/>
        <w:rPr>
          <w:rFonts w:ascii="Times New Roman" w:eastAsia="Calibri" w:hAnsi="Times New Roman" w:cs="Times New Roman"/>
          <w:noProof/>
          <w:kern w:val="18"/>
          <w:sz w:val="18"/>
          <w:szCs w:val="18"/>
          <w:lang w:val="en-IE"/>
        </w:rPr>
      </w:pPr>
      <w:r w:rsidRPr="00532C20">
        <w:rPr>
          <w:rFonts w:ascii="Times New Roman" w:eastAsia="Calibri" w:hAnsi="Times New Roman" w:cs="Times New Roman"/>
          <w:noProof/>
          <w:kern w:val="18"/>
          <w:sz w:val="18"/>
          <w:szCs w:val="18"/>
          <w:lang w:val="en-IE"/>
        </w:rPr>
        <w:t>The think tanks / research institutes / CSOs interviewed cover both: i) organisations that conduct advocacy activities and are experts in lobbying transparency / foreign interference; and ii) organisations that are purely included as they conduct advocacy activities.</w:t>
      </w:r>
    </w:p>
    <w:p w14:paraId="140A2B0F" w14:textId="77777777" w:rsidR="00721A50" w:rsidRPr="00532C20" w:rsidRDefault="00721A50">
      <w:pPr>
        <w:numPr>
          <w:ilvl w:val="0"/>
          <w:numId w:val="32"/>
        </w:numPr>
        <w:spacing w:after="160" w:line="240" w:lineRule="auto"/>
        <w:jc w:val="both"/>
        <w:rPr>
          <w:rFonts w:ascii="Times New Roman" w:eastAsia="Calibri" w:hAnsi="Times New Roman" w:cs="Times New Roman"/>
          <w:noProof/>
          <w:kern w:val="18"/>
          <w:sz w:val="18"/>
          <w:szCs w:val="18"/>
          <w:lang w:val="en-IE"/>
        </w:rPr>
      </w:pPr>
      <w:r w:rsidRPr="00532C20">
        <w:rPr>
          <w:rFonts w:ascii="Times New Roman" w:eastAsia="Calibri" w:hAnsi="Times New Roman" w:cs="Times New Roman"/>
          <w:noProof/>
          <w:kern w:val="18"/>
          <w:sz w:val="18"/>
          <w:szCs w:val="18"/>
          <w:lang w:val="en-IE"/>
        </w:rPr>
        <w:t>The stakeholders interviewed from trade / business / professional associations, in many cases, also represented specific public affairs / public relations consultancies.</w:t>
      </w:r>
    </w:p>
    <w:p w14:paraId="78E9326A" w14:textId="6D527A06" w:rsidR="00432785" w:rsidRPr="00532C20" w:rsidRDefault="00432785" w:rsidP="002B0B48">
      <w:pPr>
        <w:pStyle w:val="ListParagraph"/>
        <w:numPr>
          <w:ilvl w:val="0"/>
          <w:numId w:val="74"/>
        </w:numPr>
        <w:rPr>
          <w:rFonts w:eastAsia="Symbol"/>
          <w:b/>
          <w:noProof/>
          <w:kern w:val="18"/>
          <w:u w:val="single"/>
        </w:rPr>
      </w:pPr>
      <w:r w:rsidRPr="00532C20">
        <w:rPr>
          <w:rFonts w:ascii="Times New Roman" w:eastAsia="Symbol" w:hAnsi="Times New Roman" w:cs="Times New Roman"/>
          <w:b/>
          <w:noProof/>
          <w:kern w:val="18"/>
          <w:u w:val="single"/>
          <w:lang w:val="en-IE"/>
        </w:rPr>
        <w:t>F</w:t>
      </w:r>
      <w:r w:rsidR="00F92868" w:rsidRPr="00532C20">
        <w:rPr>
          <w:rFonts w:ascii="Times New Roman" w:eastAsia="Symbol" w:hAnsi="Times New Roman" w:cs="Times New Roman"/>
          <w:b/>
          <w:noProof/>
          <w:kern w:val="18"/>
          <w:u w:val="single"/>
          <w:lang w:val="en-IE"/>
        </w:rPr>
        <w:t xml:space="preserve">lash Eurobarometer on Citizenship and Democracy </w:t>
      </w:r>
      <w:r w:rsidRPr="00532C20">
        <w:rPr>
          <w:rFonts w:ascii="Times New Roman" w:eastAsia="Symbol" w:hAnsi="Times New Roman" w:cs="Times New Roman"/>
          <w:b/>
          <w:noProof/>
          <w:kern w:val="18"/>
          <w:u w:val="single"/>
          <w:lang w:val="en-IE"/>
        </w:rPr>
        <w:t>(Flash EB 528)</w:t>
      </w:r>
    </w:p>
    <w:p w14:paraId="25400C30" w14:textId="77777777" w:rsidR="00432785" w:rsidRPr="00532C20" w:rsidRDefault="00432785" w:rsidP="004B0958">
      <w:pPr>
        <w:spacing w:before="240" w:after="160" w:line="240" w:lineRule="auto"/>
        <w:jc w:val="both"/>
        <w:rPr>
          <w:rFonts w:ascii="Times New Roman" w:eastAsia="Symbol" w:hAnsi="Times New Roman" w:cs="Times New Roman"/>
          <w:noProof/>
          <w:kern w:val="18"/>
          <w:sz w:val="24"/>
          <w:szCs w:val="24"/>
          <w:lang w:val="en-IE"/>
        </w:rPr>
      </w:pPr>
      <w:r w:rsidRPr="00532C20">
        <w:rPr>
          <w:rFonts w:ascii="Times New Roman" w:eastAsia="Symbol" w:hAnsi="Times New Roman" w:cs="Times New Roman"/>
          <w:noProof/>
          <w:kern w:val="18"/>
          <w:sz w:val="24"/>
          <w:szCs w:val="24"/>
          <w:lang w:val="en-IE"/>
        </w:rPr>
        <w:t>Flash Eurobarometer 528 on Citizenship and Democracy, indicates considerable popular support for several initiatives of the Defence of democracy package. In the following, a brief overview is provided with respect to the findings relevant for the contents of the package.</w:t>
      </w:r>
    </w:p>
    <w:p w14:paraId="252054B2" w14:textId="7412525D" w:rsidR="0053020B" w:rsidRPr="00532C20" w:rsidRDefault="002E7059" w:rsidP="002B0B48">
      <w:pPr>
        <w:pStyle w:val="ListParagraph"/>
        <w:numPr>
          <w:ilvl w:val="1"/>
          <w:numId w:val="74"/>
        </w:numPr>
        <w:rPr>
          <w:rFonts w:eastAsia="Symbol" w:cs="Times New Roman"/>
          <w:b/>
          <w:noProof/>
          <w:kern w:val="18"/>
        </w:rPr>
      </w:pPr>
      <w:r w:rsidRPr="00532C20">
        <w:rPr>
          <w:rFonts w:ascii="Times New Roman" w:eastAsia="Symbol" w:hAnsi="Times New Roman" w:cs="Times New Roman"/>
          <w:b/>
          <w:bCs/>
          <w:noProof/>
          <w:kern w:val="18"/>
          <w:u w:val="single"/>
          <w:lang w:val="en-IE"/>
        </w:rPr>
        <w:t>O</w:t>
      </w:r>
      <w:r w:rsidR="0053020B" w:rsidRPr="00532C20">
        <w:rPr>
          <w:rFonts w:ascii="Times New Roman" w:eastAsia="Symbol" w:hAnsi="Times New Roman" w:cs="Times New Roman"/>
          <w:b/>
          <w:bCs/>
          <w:noProof/>
          <w:kern w:val="18"/>
          <w:u w:val="single"/>
          <w:lang w:val="en-IE"/>
        </w:rPr>
        <w:t>n more transparency in interest representation services</w:t>
      </w:r>
    </w:p>
    <w:p w14:paraId="645E0089" w14:textId="5BE35B2B" w:rsidR="00851540" w:rsidRPr="00532C20" w:rsidRDefault="00851540" w:rsidP="004B0958">
      <w:pPr>
        <w:spacing w:before="240" w:after="160" w:line="240" w:lineRule="auto"/>
        <w:jc w:val="both"/>
        <w:rPr>
          <w:rFonts w:ascii="Times New Roman" w:eastAsia="Symbol" w:hAnsi="Times New Roman" w:cs="Times New Roman"/>
          <w:noProof/>
          <w:kern w:val="18"/>
          <w:sz w:val="24"/>
          <w:szCs w:val="24"/>
          <w:lang w:val="en-IE"/>
        </w:rPr>
      </w:pPr>
      <w:r w:rsidRPr="00532C20">
        <w:rPr>
          <w:rFonts w:ascii="Times New Roman" w:eastAsia="Symbol" w:hAnsi="Times New Roman" w:cs="Times New Roman"/>
          <w:noProof/>
          <w:kern w:val="18"/>
          <w:sz w:val="24"/>
          <w:szCs w:val="24"/>
          <w:lang w:val="en-IE"/>
        </w:rPr>
        <w:t xml:space="preserve">About </w:t>
      </w:r>
      <w:r w:rsidR="008D2F2A" w:rsidRPr="00532C20">
        <w:rPr>
          <w:rFonts w:ascii="Times New Roman" w:eastAsia="Symbol" w:hAnsi="Times New Roman" w:cs="Times New Roman"/>
          <w:noProof/>
          <w:kern w:val="18"/>
          <w:sz w:val="24"/>
          <w:szCs w:val="24"/>
          <w:lang w:val="en-IE"/>
        </w:rPr>
        <w:t xml:space="preserve">8 </w:t>
      </w:r>
      <w:r w:rsidRPr="00532C20">
        <w:rPr>
          <w:rFonts w:ascii="Times New Roman" w:eastAsia="Symbol" w:hAnsi="Times New Roman" w:cs="Times New Roman"/>
          <w:noProof/>
          <w:kern w:val="18"/>
          <w:sz w:val="24"/>
          <w:szCs w:val="24"/>
          <w:lang w:val="en-IE"/>
        </w:rPr>
        <w:t>in</w:t>
      </w:r>
      <w:r w:rsidRPr="00532C20" w:rsidDel="008D2F2A">
        <w:rPr>
          <w:rFonts w:ascii="Times New Roman" w:eastAsia="Symbol" w:hAnsi="Times New Roman" w:cs="Times New Roman"/>
          <w:noProof/>
          <w:kern w:val="18"/>
          <w:sz w:val="24"/>
          <w:szCs w:val="24"/>
          <w:lang w:val="en-IE"/>
        </w:rPr>
        <w:t xml:space="preserve"> </w:t>
      </w:r>
      <w:r w:rsidR="008D2F2A" w:rsidRPr="00532C20">
        <w:rPr>
          <w:rFonts w:ascii="Times New Roman" w:eastAsia="Symbol" w:hAnsi="Times New Roman" w:cs="Times New Roman"/>
          <w:noProof/>
          <w:kern w:val="18"/>
          <w:sz w:val="24"/>
          <w:szCs w:val="24"/>
          <w:lang w:val="en-IE"/>
        </w:rPr>
        <w:t>10</w:t>
      </w:r>
      <w:r w:rsidRPr="00532C20">
        <w:rPr>
          <w:rFonts w:ascii="Times New Roman" w:eastAsia="Symbol" w:hAnsi="Times New Roman" w:cs="Times New Roman"/>
          <w:noProof/>
          <w:kern w:val="18"/>
          <w:sz w:val="24"/>
          <w:szCs w:val="24"/>
          <w:lang w:val="en-IE"/>
        </w:rPr>
        <w:t xml:space="preserve"> respondents (81%) agree that foreign interference in our democratic system is a serious problem that should be addressed, and over </w:t>
      </w:r>
      <w:r w:rsidR="008D2F2A" w:rsidRPr="00532C20">
        <w:rPr>
          <w:rFonts w:ascii="Times New Roman" w:eastAsia="Symbol" w:hAnsi="Times New Roman" w:cs="Times New Roman"/>
          <w:noProof/>
          <w:kern w:val="18"/>
          <w:sz w:val="24"/>
          <w:szCs w:val="24"/>
          <w:lang w:val="en-IE"/>
        </w:rPr>
        <w:t xml:space="preserve">7 </w:t>
      </w:r>
      <w:r w:rsidRPr="00532C20">
        <w:rPr>
          <w:rFonts w:ascii="Times New Roman" w:eastAsia="Symbol" w:hAnsi="Times New Roman" w:cs="Times New Roman"/>
          <w:noProof/>
          <w:kern w:val="18"/>
          <w:sz w:val="24"/>
          <w:szCs w:val="24"/>
          <w:lang w:val="en-IE"/>
        </w:rPr>
        <w:t>in</w:t>
      </w:r>
      <w:r w:rsidRPr="00532C20" w:rsidDel="008D2F2A">
        <w:rPr>
          <w:rFonts w:ascii="Times New Roman" w:eastAsia="Symbol" w:hAnsi="Times New Roman" w:cs="Times New Roman"/>
          <w:noProof/>
          <w:kern w:val="18"/>
          <w:sz w:val="24"/>
          <w:szCs w:val="24"/>
          <w:lang w:val="en-IE"/>
        </w:rPr>
        <w:t xml:space="preserve"> </w:t>
      </w:r>
      <w:r w:rsidR="008D2F2A" w:rsidRPr="00532C20">
        <w:rPr>
          <w:rFonts w:ascii="Times New Roman" w:eastAsia="Symbol" w:hAnsi="Times New Roman" w:cs="Times New Roman"/>
          <w:noProof/>
          <w:kern w:val="18"/>
          <w:sz w:val="24"/>
          <w:szCs w:val="24"/>
          <w:lang w:val="en-IE"/>
        </w:rPr>
        <w:t>10</w:t>
      </w:r>
      <w:r w:rsidRPr="00532C20">
        <w:rPr>
          <w:rFonts w:ascii="Times New Roman" w:eastAsia="Symbol" w:hAnsi="Times New Roman" w:cs="Times New Roman"/>
          <w:noProof/>
          <w:kern w:val="18"/>
          <w:sz w:val="24"/>
          <w:szCs w:val="24"/>
          <w:lang w:val="en-IE"/>
        </w:rPr>
        <w:t xml:space="preserve"> (74%) agree that such interference can affect citizens’ voting behaviour. Views are somewhat more divided on the question of whether foreign countries are justified in aiming to influence EU election outcomes to defend their interests: 42% agree that they are justified, while 55% disagree.  </w:t>
      </w:r>
    </w:p>
    <w:p w14:paraId="054779BD" w14:textId="127073DA" w:rsidR="00851540" w:rsidRPr="00532C20" w:rsidRDefault="00851540" w:rsidP="004B0958">
      <w:pPr>
        <w:spacing w:before="240" w:after="160" w:line="240" w:lineRule="auto"/>
        <w:jc w:val="both"/>
        <w:rPr>
          <w:rFonts w:ascii="Times New Roman" w:eastAsia="Symbol" w:hAnsi="Times New Roman" w:cs="Times New Roman"/>
          <w:noProof/>
          <w:kern w:val="18"/>
          <w:sz w:val="24"/>
          <w:szCs w:val="24"/>
          <w:lang w:val="en-IE"/>
        </w:rPr>
      </w:pPr>
      <w:r w:rsidRPr="00532C20">
        <w:rPr>
          <w:rFonts w:ascii="Times New Roman" w:eastAsia="Symbol" w:hAnsi="Times New Roman" w:cs="Times New Roman"/>
          <w:noProof/>
          <w:kern w:val="18"/>
          <w:sz w:val="24"/>
          <w:szCs w:val="24"/>
          <w:lang w:val="en-IE"/>
        </w:rPr>
        <w:t xml:space="preserve">Still, there is strong majority support for tackling such covert interference in our democratic systems. About </w:t>
      </w:r>
      <w:r w:rsidR="00A90D63" w:rsidRPr="00532C20">
        <w:rPr>
          <w:rFonts w:ascii="Times New Roman" w:eastAsia="Symbol" w:hAnsi="Times New Roman" w:cs="Times New Roman"/>
          <w:noProof/>
          <w:kern w:val="18"/>
          <w:sz w:val="24"/>
          <w:szCs w:val="24"/>
          <w:lang w:val="en-IE"/>
        </w:rPr>
        <w:t xml:space="preserve">8 </w:t>
      </w:r>
      <w:r w:rsidRPr="00532C20">
        <w:rPr>
          <w:rFonts w:ascii="Times New Roman" w:eastAsia="Symbol" w:hAnsi="Times New Roman" w:cs="Times New Roman"/>
          <w:noProof/>
          <w:kern w:val="18"/>
          <w:sz w:val="24"/>
          <w:szCs w:val="24"/>
          <w:lang w:val="en-IE"/>
        </w:rPr>
        <w:t>in</w:t>
      </w:r>
      <w:r w:rsidR="00A90D63" w:rsidRPr="00532C20">
        <w:rPr>
          <w:rFonts w:ascii="Times New Roman" w:eastAsia="Symbol" w:hAnsi="Times New Roman" w:cs="Times New Roman"/>
          <w:noProof/>
          <w:kern w:val="18"/>
          <w:sz w:val="24"/>
          <w:szCs w:val="24"/>
          <w:lang w:val="en-IE"/>
        </w:rPr>
        <w:t xml:space="preserve"> 10</w:t>
      </w:r>
      <w:r w:rsidRPr="00532C20">
        <w:rPr>
          <w:rFonts w:ascii="Times New Roman" w:eastAsia="Symbol" w:hAnsi="Times New Roman" w:cs="Times New Roman"/>
          <w:noProof/>
          <w:kern w:val="18"/>
          <w:sz w:val="24"/>
          <w:szCs w:val="24"/>
          <w:lang w:val="en-IE"/>
        </w:rPr>
        <w:t xml:space="preserve"> respondents (81%) agree that entities representing foreign governments should be registered to prevent the problem.</w:t>
      </w:r>
    </w:p>
    <w:p w14:paraId="221605B4" w14:textId="7AC89386" w:rsidR="009A14B3" w:rsidRPr="00532C20" w:rsidRDefault="009A14B3" w:rsidP="004B0958">
      <w:pPr>
        <w:spacing w:before="240" w:after="160" w:line="240" w:lineRule="auto"/>
        <w:jc w:val="both"/>
        <w:rPr>
          <w:rFonts w:ascii="Times New Roman" w:eastAsia="Symbol" w:hAnsi="Times New Roman" w:cs="Times New Roman"/>
          <w:noProof/>
          <w:kern w:val="18"/>
          <w:sz w:val="24"/>
          <w:szCs w:val="24"/>
        </w:rPr>
      </w:pPr>
      <w:r w:rsidRPr="00532C20">
        <w:rPr>
          <w:rFonts w:ascii="Times New Roman" w:eastAsia="Symbol" w:hAnsi="Times New Roman" w:cs="Times New Roman"/>
          <w:noProof/>
          <w:kern w:val="18"/>
          <w:sz w:val="24"/>
          <w:szCs w:val="24"/>
        </w:rPr>
        <w:t xml:space="preserve">The proportion agreeing that foreign interference in our democratic system is a serious problem holds at over </w:t>
      </w:r>
      <w:r w:rsidR="00A90D63" w:rsidRPr="00532C20">
        <w:rPr>
          <w:rFonts w:ascii="Times New Roman" w:eastAsia="Symbol" w:hAnsi="Times New Roman" w:cs="Times New Roman"/>
          <w:noProof/>
          <w:kern w:val="18"/>
          <w:sz w:val="24"/>
          <w:szCs w:val="24"/>
        </w:rPr>
        <w:t xml:space="preserve">8 </w:t>
      </w:r>
      <w:r w:rsidRPr="00532C20">
        <w:rPr>
          <w:rFonts w:ascii="Times New Roman" w:eastAsia="Symbol" w:hAnsi="Times New Roman" w:cs="Times New Roman"/>
          <w:noProof/>
          <w:kern w:val="18"/>
          <w:sz w:val="24"/>
          <w:szCs w:val="24"/>
        </w:rPr>
        <w:t>in</w:t>
      </w:r>
      <w:r w:rsidR="00A90D63" w:rsidRPr="00532C20">
        <w:rPr>
          <w:rFonts w:ascii="Times New Roman" w:eastAsia="Symbol" w:hAnsi="Times New Roman" w:cs="Times New Roman"/>
          <w:noProof/>
          <w:kern w:val="18"/>
          <w:sz w:val="24"/>
          <w:szCs w:val="24"/>
        </w:rPr>
        <w:t xml:space="preserve"> 10</w:t>
      </w:r>
      <w:r w:rsidRPr="00532C20">
        <w:rPr>
          <w:rFonts w:ascii="Times New Roman" w:eastAsia="Symbol" w:hAnsi="Times New Roman" w:cs="Times New Roman"/>
          <w:noProof/>
          <w:kern w:val="18"/>
          <w:sz w:val="24"/>
          <w:szCs w:val="24"/>
        </w:rPr>
        <w:t xml:space="preserve"> in all Member States with the exception of the Scandinavian countries, and Hungary and Romania, where it ranges from 69% (in Finland) to 75% (in Sweden). The proportion agreeing that foreign interference can affect citizens’ voting behaviour similarly holds at a majority level in all countries and, indeed, is notably higher than average in Slovakia (80%), Croatia (82%), Slovenia (83%), Sweden (83%) Cyprus (84%) and Czechia (85%).</w:t>
      </w:r>
    </w:p>
    <w:p w14:paraId="41E58D27" w14:textId="102029D9" w:rsidR="00432785" w:rsidRPr="00532C20" w:rsidRDefault="00432785" w:rsidP="002B0B48">
      <w:pPr>
        <w:pStyle w:val="ListParagraph"/>
        <w:numPr>
          <w:ilvl w:val="0"/>
          <w:numId w:val="74"/>
        </w:numPr>
        <w:rPr>
          <w:rFonts w:eastAsia="Symbol"/>
          <w:b/>
          <w:noProof/>
          <w:kern w:val="18"/>
          <w:u w:val="single"/>
        </w:rPr>
      </w:pPr>
      <w:r w:rsidRPr="00313F32">
        <w:rPr>
          <w:rFonts w:ascii="Times New Roman" w:eastAsia="Symbol" w:hAnsi="Times New Roman" w:cs="Times New Roman"/>
          <w:b/>
          <w:noProof/>
          <w:kern w:val="18"/>
          <w:u w:val="single"/>
          <w:lang w:val="en-IE"/>
        </w:rPr>
        <w:t>F</w:t>
      </w:r>
      <w:r w:rsidR="00911EEF" w:rsidRPr="00313F32">
        <w:rPr>
          <w:rFonts w:ascii="Times New Roman" w:eastAsia="Symbol" w:hAnsi="Times New Roman" w:cs="Times New Roman"/>
          <w:b/>
          <w:noProof/>
          <w:kern w:val="18"/>
          <w:u w:val="single"/>
          <w:lang w:val="en-IE"/>
        </w:rPr>
        <w:t xml:space="preserve">lash Eurobarometer on Democracy, 2023 </w:t>
      </w:r>
      <w:r w:rsidR="00F92868" w:rsidRPr="00313F32">
        <w:rPr>
          <w:rFonts w:ascii="Times New Roman" w:eastAsia="Symbol" w:hAnsi="Times New Roman" w:cs="Times New Roman"/>
          <w:b/>
          <w:noProof/>
          <w:kern w:val="18"/>
          <w:u w:val="single"/>
          <w:lang w:val="en-IE"/>
        </w:rPr>
        <w:t>(Flash EB 522)</w:t>
      </w:r>
    </w:p>
    <w:p w14:paraId="1E64E4F1" w14:textId="77777777" w:rsidR="00432785" w:rsidRPr="00532C20" w:rsidRDefault="00432785" w:rsidP="004B0958">
      <w:pPr>
        <w:spacing w:before="240" w:after="160" w:line="240" w:lineRule="auto"/>
        <w:jc w:val="both"/>
        <w:rPr>
          <w:rFonts w:ascii="Times New Roman" w:eastAsia="Symbol" w:hAnsi="Times New Roman" w:cs="Times New Roman"/>
          <w:noProof/>
          <w:kern w:val="18"/>
          <w:sz w:val="24"/>
          <w:szCs w:val="24"/>
          <w:lang w:val="en-IE"/>
        </w:rPr>
      </w:pPr>
      <w:r w:rsidRPr="00532C20">
        <w:rPr>
          <w:rFonts w:ascii="Times New Roman" w:eastAsia="Symbol" w:hAnsi="Times New Roman" w:cs="Times New Roman"/>
          <w:noProof/>
          <w:kern w:val="18"/>
          <w:sz w:val="24"/>
          <w:szCs w:val="24"/>
          <w:lang w:val="en-IE"/>
        </w:rPr>
        <w:t>Flash Eurobarometer 522 on Democracy, indicates considerable popular support for several initiatives of the Defence of Democracy package. In the following section, a brief overview is provided with respect to the relevant findings for the contents of the package.</w:t>
      </w:r>
    </w:p>
    <w:p w14:paraId="1FAFA7E0" w14:textId="347ABD1F" w:rsidR="42368D84" w:rsidRPr="00532C20" w:rsidRDefault="42368D84" w:rsidP="002B0B48">
      <w:pPr>
        <w:pStyle w:val="ListParagraph"/>
        <w:numPr>
          <w:ilvl w:val="1"/>
          <w:numId w:val="74"/>
        </w:numPr>
        <w:rPr>
          <w:rFonts w:eastAsia="Symbol" w:cs="Times New Roman"/>
          <w:b/>
          <w:noProof/>
          <w:kern w:val="18"/>
        </w:rPr>
      </w:pPr>
      <w:r w:rsidRPr="00532C20">
        <w:rPr>
          <w:rFonts w:ascii="Times New Roman" w:eastAsia="Symbol" w:hAnsi="Times New Roman" w:cs="Times New Roman"/>
          <w:b/>
          <w:bCs/>
          <w:noProof/>
          <w:kern w:val="18"/>
          <w:u w:val="single"/>
          <w:lang w:val="en-IE"/>
        </w:rPr>
        <w:t>Overall findings</w:t>
      </w:r>
    </w:p>
    <w:p w14:paraId="30C80A4D" w14:textId="0863FC78" w:rsidR="00F42F10" w:rsidRPr="00532C20" w:rsidRDefault="00F42F10" w:rsidP="004B0958">
      <w:pPr>
        <w:spacing w:before="240" w:after="160" w:line="240" w:lineRule="auto"/>
        <w:jc w:val="both"/>
        <w:rPr>
          <w:rFonts w:ascii="Times New Roman" w:eastAsia="Symbol" w:hAnsi="Times New Roman" w:cs="Times New Roman"/>
          <w:noProof/>
          <w:kern w:val="18"/>
          <w:sz w:val="24"/>
          <w:szCs w:val="24"/>
          <w:lang w:val="en-IE"/>
        </w:rPr>
      </w:pPr>
      <w:r w:rsidRPr="00532C20">
        <w:rPr>
          <w:rFonts w:ascii="Times New Roman" w:eastAsia="Symbol" w:hAnsi="Times New Roman" w:cs="Times New Roman"/>
          <w:noProof/>
          <w:kern w:val="18"/>
          <w:sz w:val="24"/>
          <w:szCs w:val="24"/>
          <w:lang w:val="en-IE"/>
        </w:rPr>
        <w:t>When asked about their degree of satisfaction with the way democracy works in their country, close to half of respondents reply being ‘very satisfied’ (10%) or ‘somewhat satisfied’ (37%), in contrast to about</w:t>
      </w:r>
      <w:r w:rsidR="00026DB1" w:rsidRPr="00532C20">
        <w:rPr>
          <w:rFonts w:ascii="Times New Roman" w:eastAsia="Symbol" w:hAnsi="Times New Roman" w:cs="Times New Roman"/>
          <w:noProof/>
          <w:kern w:val="18"/>
          <w:sz w:val="24"/>
          <w:szCs w:val="24"/>
          <w:lang w:val="en-IE"/>
        </w:rPr>
        <w:t xml:space="preserve">1 </w:t>
      </w:r>
      <w:r w:rsidRPr="00532C20">
        <w:rPr>
          <w:rFonts w:ascii="Times New Roman" w:eastAsia="Symbol" w:hAnsi="Times New Roman" w:cs="Times New Roman"/>
          <w:noProof/>
          <w:kern w:val="18"/>
          <w:sz w:val="24"/>
          <w:szCs w:val="24"/>
          <w:lang w:val="en-IE"/>
        </w:rPr>
        <w:t xml:space="preserve">in </w:t>
      </w:r>
      <w:r w:rsidR="00713C23" w:rsidRPr="00532C20">
        <w:rPr>
          <w:rFonts w:ascii="Times New Roman" w:eastAsia="Symbol" w:hAnsi="Times New Roman" w:cs="Times New Roman"/>
          <w:noProof/>
          <w:kern w:val="18"/>
          <w:sz w:val="24"/>
          <w:szCs w:val="24"/>
          <w:lang w:val="en-IE"/>
        </w:rPr>
        <w:t xml:space="preserve">2 </w:t>
      </w:r>
      <w:r w:rsidRPr="00532C20">
        <w:rPr>
          <w:rFonts w:ascii="Times New Roman" w:eastAsia="Symbol" w:hAnsi="Times New Roman" w:cs="Times New Roman"/>
          <w:noProof/>
          <w:kern w:val="18"/>
          <w:sz w:val="24"/>
          <w:szCs w:val="24"/>
          <w:lang w:val="en-IE"/>
        </w:rPr>
        <w:t>respondents who reply they are ‘not very satisfied’ (31%) or ‘not at all satisfied’ (20%). A handful of respondents (2%) answer that they ‘don’t know’.</w:t>
      </w:r>
    </w:p>
    <w:p w14:paraId="05400238" w14:textId="77777777" w:rsidR="006A2584" w:rsidRPr="00532C20" w:rsidRDefault="006A2584" w:rsidP="004B0958">
      <w:pPr>
        <w:spacing w:before="240" w:after="160" w:line="240" w:lineRule="auto"/>
        <w:jc w:val="both"/>
        <w:rPr>
          <w:rFonts w:ascii="Times New Roman" w:eastAsia="Symbol" w:hAnsi="Times New Roman" w:cs="Times New Roman"/>
          <w:noProof/>
          <w:kern w:val="18"/>
          <w:sz w:val="24"/>
          <w:szCs w:val="24"/>
        </w:rPr>
      </w:pPr>
      <w:r w:rsidRPr="00532C20">
        <w:rPr>
          <w:rFonts w:ascii="Times New Roman" w:eastAsia="Symbol" w:hAnsi="Times New Roman" w:cs="Times New Roman"/>
          <w:noProof/>
          <w:kern w:val="18"/>
          <w:sz w:val="24"/>
          <w:szCs w:val="24"/>
        </w:rPr>
        <w:t xml:space="preserve">Respondents were asked which institutions or actors they have confidence to defending democracy in their country. The largest share reply that they have confidence in citizens to defend democracy in their country (9% ‘very confident’ and 45% ‘somewhat confident’). More than half of respondents show confidence in EU institutions, including the European Court of Justice (15% ‘very confident’ and 39% ‘somewhat confident’), followed by about half of respondents who trust </w:t>
      </w:r>
      <w:r w:rsidR="00B03CAA" w:rsidRPr="00532C20">
        <w:rPr>
          <w:rFonts w:ascii="Times New Roman" w:eastAsia="Symbol" w:hAnsi="Times New Roman" w:cs="Times New Roman"/>
          <w:noProof/>
          <w:kern w:val="18"/>
          <w:sz w:val="24"/>
          <w:szCs w:val="24"/>
        </w:rPr>
        <w:t>CSO</w:t>
      </w:r>
      <w:r w:rsidRPr="00532C20">
        <w:rPr>
          <w:rFonts w:ascii="Times New Roman" w:eastAsia="Symbol" w:hAnsi="Times New Roman" w:cs="Times New Roman"/>
          <w:noProof/>
          <w:kern w:val="18"/>
          <w:sz w:val="24"/>
          <w:szCs w:val="24"/>
        </w:rPr>
        <w:t>s to defend democracy (9% ‘very confident’ and 44% ‘somewhat confident’).</w:t>
      </w:r>
    </w:p>
    <w:p w14:paraId="03A1D472" w14:textId="277066AA" w:rsidR="020A0224" w:rsidRPr="00532C20" w:rsidRDefault="006A2584" w:rsidP="004B0958">
      <w:pPr>
        <w:spacing w:before="240" w:after="160" w:line="240" w:lineRule="auto"/>
        <w:jc w:val="both"/>
        <w:rPr>
          <w:rFonts w:ascii="Times New Roman" w:eastAsia="Symbol" w:hAnsi="Times New Roman" w:cs="Times New Roman"/>
          <w:noProof/>
          <w:kern w:val="18"/>
          <w:sz w:val="24"/>
          <w:szCs w:val="24"/>
        </w:rPr>
      </w:pPr>
      <w:r w:rsidRPr="00532C20">
        <w:rPr>
          <w:rFonts w:ascii="Times New Roman" w:eastAsia="Symbol" w:hAnsi="Times New Roman" w:cs="Times New Roman"/>
          <w:noProof/>
          <w:kern w:val="18"/>
          <w:sz w:val="24"/>
          <w:szCs w:val="24"/>
        </w:rPr>
        <w:t xml:space="preserve">Smaller shares of respondents have confidence in national courts (49%), electoral authorities (48%), public administration (46%), in their national (and local) government (44%), </w:t>
      </w:r>
      <w:r w:rsidR="00432785" w:rsidRPr="00532C20">
        <w:rPr>
          <w:rFonts w:ascii="Times New Roman" w:eastAsia="Symbol" w:hAnsi="Times New Roman" w:cs="Times New Roman"/>
          <w:noProof/>
          <w:kern w:val="18"/>
          <w:sz w:val="24"/>
          <w:szCs w:val="24"/>
        </w:rPr>
        <w:t>in their national (and local) parliament (42%) or in the media (38%).</w:t>
      </w:r>
      <w:r w:rsidRPr="00532C20">
        <w:rPr>
          <w:rFonts w:ascii="Times New Roman" w:eastAsia="Symbol" w:hAnsi="Times New Roman" w:cs="Times New Roman"/>
          <w:noProof/>
          <w:kern w:val="18"/>
          <w:sz w:val="24"/>
          <w:szCs w:val="24"/>
        </w:rPr>
        <w:t xml:space="preserve"> Finally, about </w:t>
      </w:r>
      <w:r w:rsidR="00A90D63" w:rsidRPr="00532C20">
        <w:rPr>
          <w:rFonts w:ascii="Times New Roman" w:eastAsia="Symbol" w:hAnsi="Times New Roman" w:cs="Times New Roman"/>
          <w:noProof/>
          <w:kern w:val="18"/>
          <w:sz w:val="24"/>
          <w:szCs w:val="24"/>
        </w:rPr>
        <w:t xml:space="preserve">3 </w:t>
      </w:r>
      <w:r w:rsidRPr="00532C20">
        <w:rPr>
          <w:rFonts w:ascii="Times New Roman" w:eastAsia="Symbol" w:hAnsi="Times New Roman" w:cs="Times New Roman"/>
          <w:noProof/>
          <w:kern w:val="18"/>
          <w:sz w:val="24"/>
          <w:szCs w:val="24"/>
        </w:rPr>
        <w:t>in</w:t>
      </w:r>
      <w:r w:rsidR="00A90D63" w:rsidRPr="00532C20">
        <w:rPr>
          <w:rFonts w:ascii="Times New Roman" w:eastAsia="Symbol" w:hAnsi="Times New Roman" w:cs="Times New Roman"/>
          <w:noProof/>
          <w:kern w:val="18"/>
          <w:sz w:val="24"/>
          <w:szCs w:val="24"/>
        </w:rPr>
        <w:t xml:space="preserve"> 10</w:t>
      </w:r>
      <w:r w:rsidRPr="00532C20">
        <w:rPr>
          <w:rFonts w:ascii="Times New Roman" w:eastAsia="Symbol" w:hAnsi="Times New Roman" w:cs="Times New Roman"/>
          <w:noProof/>
          <w:kern w:val="18"/>
          <w:sz w:val="24"/>
          <w:szCs w:val="24"/>
        </w:rPr>
        <w:t xml:space="preserve"> respondents (29%) put confidence in political parties and politicians to defend democracy in their country.</w:t>
      </w:r>
    </w:p>
    <w:p w14:paraId="725FD26F" w14:textId="76FF392F" w:rsidR="42368D84" w:rsidRPr="00532C20" w:rsidRDefault="00432785" w:rsidP="002B0B48">
      <w:pPr>
        <w:pStyle w:val="ListParagraph"/>
        <w:numPr>
          <w:ilvl w:val="1"/>
          <w:numId w:val="74"/>
        </w:numPr>
        <w:rPr>
          <w:rFonts w:eastAsia="Symbol" w:cs="Times New Roman"/>
          <w:b/>
          <w:noProof/>
          <w:kern w:val="18"/>
        </w:rPr>
      </w:pPr>
      <w:r w:rsidRPr="00532C20">
        <w:rPr>
          <w:rFonts w:ascii="Times New Roman" w:eastAsia="Symbol" w:hAnsi="Times New Roman" w:cs="Times New Roman"/>
          <w:b/>
          <w:bCs/>
          <w:noProof/>
          <w:kern w:val="18"/>
          <w:u w:val="single"/>
        </w:rPr>
        <w:t>On</w:t>
      </w:r>
      <w:r w:rsidR="42368D84" w:rsidRPr="00532C20">
        <w:rPr>
          <w:rFonts w:ascii="Times New Roman" w:eastAsia="Symbol" w:hAnsi="Times New Roman" w:cs="Times New Roman"/>
          <w:b/>
          <w:bCs/>
          <w:noProof/>
          <w:kern w:val="18"/>
          <w:u w:val="single"/>
        </w:rPr>
        <w:t xml:space="preserve"> more transparency in interest representation se</w:t>
      </w:r>
      <w:r w:rsidR="6C76DFF4" w:rsidRPr="00532C20">
        <w:rPr>
          <w:rFonts w:ascii="Times New Roman" w:eastAsia="Symbol" w:hAnsi="Times New Roman" w:cs="Times New Roman"/>
          <w:b/>
          <w:bCs/>
          <w:noProof/>
          <w:kern w:val="18"/>
          <w:u w:val="single"/>
        </w:rPr>
        <w:t>rvices</w:t>
      </w:r>
    </w:p>
    <w:p w14:paraId="6118CEEE" w14:textId="32C81516" w:rsidR="00334FF2" w:rsidRPr="00532C20" w:rsidRDefault="00334FF2" w:rsidP="004B0958">
      <w:pPr>
        <w:spacing w:before="240" w:after="160" w:line="240" w:lineRule="auto"/>
        <w:jc w:val="both"/>
        <w:rPr>
          <w:rFonts w:ascii="Times New Roman" w:eastAsia="Symbol" w:hAnsi="Times New Roman" w:cs="Times New Roman"/>
          <w:noProof/>
          <w:kern w:val="18"/>
          <w:sz w:val="24"/>
          <w:szCs w:val="24"/>
        </w:rPr>
      </w:pPr>
      <w:r w:rsidRPr="00532C20">
        <w:rPr>
          <w:rFonts w:ascii="Times New Roman" w:eastAsia="Symbol" w:hAnsi="Times New Roman" w:cs="Times New Roman"/>
          <w:noProof/>
          <w:kern w:val="18"/>
          <w:sz w:val="24"/>
          <w:szCs w:val="24"/>
        </w:rPr>
        <w:t xml:space="preserve">Respondents were presented with a list of </w:t>
      </w:r>
      <w:r w:rsidR="00A90D63" w:rsidRPr="00532C20">
        <w:rPr>
          <w:rFonts w:ascii="Times New Roman" w:eastAsia="Symbol" w:hAnsi="Times New Roman" w:cs="Times New Roman"/>
          <w:noProof/>
          <w:kern w:val="18"/>
          <w:sz w:val="24"/>
          <w:szCs w:val="24"/>
        </w:rPr>
        <w:t xml:space="preserve">10 </w:t>
      </w:r>
      <w:r w:rsidRPr="00532C20">
        <w:rPr>
          <w:rFonts w:ascii="Times New Roman" w:eastAsia="Symbol" w:hAnsi="Times New Roman" w:cs="Times New Roman"/>
          <w:noProof/>
          <w:kern w:val="18"/>
          <w:sz w:val="24"/>
          <w:szCs w:val="24"/>
        </w:rPr>
        <w:t xml:space="preserve">items that may constitute a serious threat to democracy in their country. They were asked to select up to </w:t>
      </w:r>
      <w:r w:rsidR="00A90D63" w:rsidRPr="00532C20">
        <w:rPr>
          <w:rFonts w:ascii="Times New Roman" w:eastAsia="Symbol" w:hAnsi="Times New Roman" w:cs="Times New Roman"/>
          <w:noProof/>
          <w:kern w:val="18"/>
          <w:sz w:val="24"/>
          <w:szCs w:val="24"/>
        </w:rPr>
        <w:t xml:space="preserve">3 </w:t>
      </w:r>
      <w:r w:rsidRPr="00532C20">
        <w:rPr>
          <w:rFonts w:ascii="Times New Roman" w:eastAsia="Symbol" w:hAnsi="Times New Roman" w:cs="Times New Roman"/>
          <w:noProof/>
          <w:kern w:val="18"/>
          <w:sz w:val="24"/>
          <w:szCs w:val="24"/>
        </w:rPr>
        <w:t xml:space="preserve">threats. The threat to democracy listed most frequently by respondents is ‘false and/or misleading information in general circulating online and offline’ (38%); this is followed by ‘growing distrust and scepticism towards democratic institutions’ (32%). </w:t>
      </w:r>
    </w:p>
    <w:p w14:paraId="0FC75BCD" w14:textId="373604C3" w:rsidR="00334FF2" w:rsidRPr="00532C20" w:rsidRDefault="00334FF2" w:rsidP="004B0958">
      <w:pPr>
        <w:spacing w:before="240" w:after="160" w:line="240" w:lineRule="auto"/>
        <w:jc w:val="both"/>
        <w:rPr>
          <w:rFonts w:ascii="Times New Roman" w:eastAsia="Symbol" w:hAnsi="Times New Roman" w:cs="Times New Roman"/>
          <w:noProof/>
          <w:kern w:val="18"/>
          <w:sz w:val="24"/>
          <w:szCs w:val="24"/>
        </w:rPr>
      </w:pPr>
      <w:r w:rsidRPr="00532C20">
        <w:rPr>
          <w:rFonts w:ascii="Times New Roman" w:eastAsia="Symbol" w:hAnsi="Times New Roman" w:cs="Times New Roman"/>
          <w:noProof/>
          <w:kern w:val="18"/>
          <w:sz w:val="24"/>
          <w:szCs w:val="24"/>
        </w:rPr>
        <w:t xml:space="preserve">Another </w:t>
      </w:r>
      <w:r w:rsidR="0017043F" w:rsidRPr="00532C20">
        <w:rPr>
          <w:rFonts w:ascii="Times New Roman" w:eastAsia="Symbol" w:hAnsi="Times New Roman" w:cs="Times New Roman"/>
          <w:noProof/>
          <w:kern w:val="18"/>
          <w:sz w:val="24"/>
          <w:szCs w:val="24"/>
        </w:rPr>
        <w:t>4</w:t>
      </w:r>
      <w:r w:rsidRPr="00532C20">
        <w:rPr>
          <w:rFonts w:ascii="Times New Roman" w:eastAsia="Symbol" w:hAnsi="Times New Roman" w:cs="Times New Roman"/>
          <w:noProof/>
          <w:kern w:val="18"/>
          <w:sz w:val="24"/>
          <w:szCs w:val="24"/>
        </w:rPr>
        <w:t xml:space="preserve"> of the threats are selected by more than</w:t>
      </w:r>
      <w:r w:rsidR="00026DB1" w:rsidRPr="00532C20">
        <w:rPr>
          <w:rFonts w:ascii="Times New Roman" w:eastAsia="Symbol" w:hAnsi="Times New Roman" w:cs="Times New Roman"/>
          <w:noProof/>
          <w:kern w:val="18"/>
          <w:sz w:val="24"/>
          <w:szCs w:val="24"/>
        </w:rPr>
        <w:t xml:space="preserve">1 </w:t>
      </w:r>
      <w:r w:rsidRPr="00532C20">
        <w:rPr>
          <w:rFonts w:ascii="Times New Roman" w:eastAsia="Symbol" w:hAnsi="Times New Roman" w:cs="Times New Roman"/>
          <w:noProof/>
          <w:kern w:val="18"/>
          <w:sz w:val="24"/>
          <w:szCs w:val="24"/>
        </w:rPr>
        <w:t xml:space="preserve">in </w:t>
      </w:r>
      <w:r w:rsidR="00942EEB" w:rsidRPr="00532C20">
        <w:rPr>
          <w:rFonts w:ascii="Times New Roman" w:eastAsia="Symbol" w:hAnsi="Times New Roman" w:cs="Times New Roman"/>
          <w:noProof/>
          <w:kern w:val="18"/>
          <w:sz w:val="24"/>
          <w:szCs w:val="24"/>
        </w:rPr>
        <w:t xml:space="preserve">5 </w:t>
      </w:r>
      <w:r w:rsidRPr="00532C20">
        <w:rPr>
          <w:rFonts w:ascii="Times New Roman" w:eastAsia="Symbol" w:hAnsi="Times New Roman" w:cs="Times New Roman"/>
          <w:noProof/>
          <w:kern w:val="18"/>
          <w:sz w:val="24"/>
          <w:szCs w:val="24"/>
        </w:rPr>
        <w:t xml:space="preserve">respondents: ‘lack of engagement and interest in politics and elections among regular citizens’ (26%), ‘lack of opportunities for citizens to voice their opinions’ (23%), ‘propaganda and false/misleading information from a non-democratic foreign source’ (22%), ‘covert foreign interference in the politics and economy of your country, including through financing of domestic actors’ (21%). </w:t>
      </w:r>
    </w:p>
    <w:p w14:paraId="6E198B0E" w14:textId="77777777" w:rsidR="00334FF2" w:rsidRPr="00532C20" w:rsidRDefault="00334FF2" w:rsidP="004B0958">
      <w:pPr>
        <w:spacing w:before="240" w:after="160" w:line="240" w:lineRule="auto"/>
        <w:jc w:val="both"/>
        <w:rPr>
          <w:rFonts w:ascii="Times New Roman" w:eastAsia="Symbol" w:hAnsi="Times New Roman" w:cs="Times New Roman"/>
          <w:noProof/>
          <w:kern w:val="18"/>
          <w:sz w:val="24"/>
          <w:szCs w:val="24"/>
        </w:rPr>
      </w:pPr>
      <w:r w:rsidRPr="00532C20">
        <w:rPr>
          <w:rFonts w:ascii="Times New Roman" w:eastAsia="Symbol" w:hAnsi="Times New Roman" w:cs="Times New Roman"/>
          <w:noProof/>
          <w:kern w:val="18"/>
          <w:sz w:val="24"/>
          <w:szCs w:val="24"/>
        </w:rPr>
        <w:t>In 22 countries, respondents are most likely to reply that one of the most serious threats to democracy in their country is ‘false and/or misleading information in general circulating online and offline’. The proportion selecting this threat varies between 24% in Bulgaria and 48% in Hungary and Malta.</w:t>
      </w:r>
    </w:p>
    <w:p w14:paraId="64F89224" w14:textId="7F64EAB3" w:rsidR="42368D84" w:rsidRPr="00532C20" w:rsidRDefault="00432785" w:rsidP="002B0B48">
      <w:pPr>
        <w:pStyle w:val="ListParagraph"/>
        <w:numPr>
          <w:ilvl w:val="1"/>
          <w:numId w:val="74"/>
        </w:numPr>
        <w:rPr>
          <w:rFonts w:eastAsia="Symbol" w:cs="Times New Roman"/>
          <w:b/>
          <w:noProof/>
          <w:kern w:val="18"/>
        </w:rPr>
      </w:pPr>
      <w:r w:rsidRPr="00532C20">
        <w:rPr>
          <w:rFonts w:ascii="Times New Roman" w:eastAsia="Symbol" w:hAnsi="Times New Roman" w:cs="Times New Roman"/>
          <w:b/>
          <w:bCs/>
          <w:noProof/>
          <w:kern w:val="18"/>
          <w:u w:val="single"/>
        </w:rPr>
        <w:t>On</w:t>
      </w:r>
      <w:r w:rsidR="5372A2A2" w:rsidRPr="00532C20">
        <w:rPr>
          <w:rFonts w:ascii="Times New Roman" w:eastAsia="Symbol" w:hAnsi="Times New Roman" w:cs="Times New Roman"/>
          <w:b/>
          <w:bCs/>
          <w:noProof/>
          <w:kern w:val="18"/>
          <w:u w:val="single"/>
        </w:rPr>
        <w:t xml:space="preserve"> electoral resilience</w:t>
      </w:r>
    </w:p>
    <w:p w14:paraId="2F0B6B3C" w14:textId="035FB4BA" w:rsidR="00432785" w:rsidRPr="00532C20" w:rsidRDefault="00432785" w:rsidP="004B0958">
      <w:pPr>
        <w:spacing w:before="240" w:after="160" w:line="240" w:lineRule="auto"/>
        <w:jc w:val="both"/>
        <w:rPr>
          <w:rFonts w:ascii="Times New Roman" w:eastAsia="Symbol" w:hAnsi="Times New Roman" w:cs="Times New Roman"/>
          <w:noProof/>
          <w:kern w:val="18"/>
          <w:sz w:val="24"/>
          <w:szCs w:val="24"/>
        </w:rPr>
      </w:pPr>
      <w:r w:rsidRPr="00532C20">
        <w:rPr>
          <w:rFonts w:ascii="Times New Roman" w:eastAsia="Symbol" w:hAnsi="Times New Roman" w:cs="Times New Roman"/>
          <w:noProof/>
          <w:kern w:val="18"/>
          <w:sz w:val="24"/>
          <w:szCs w:val="24"/>
        </w:rPr>
        <w:t xml:space="preserve">Respondents were presented with a list of </w:t>
      </w:r>
      <w:r w:rsidR="0017043F" w:rsidRPr="00532C20">
        <w:rPr>
          <w:rFonts w:ascii="Times New Roman" w:eastAsia="Symbol" w:hAnsi="Times New Roman" w:cs="Times New Roman"/>
          <w:noProof/>
          <w:kern w:val="18"/>
          <w:sz w:val="24"/>
          <w:szCs w:val="24"/>
        </w:rPr>
        <w:t xml:space="preserve">6 </w:t>
      </w:r>
      <w:r w:rsidRPr="00532C20">
        <w:rPr>
          <w:rFonts w:ascii="Times New Roman" w:eastAsia="Symbol" w:hAnsi="Times New Roman" w:cs="Times New Roman"/>
          <w:noProof/>
          <w:kern w:val="18"/>
          <w:sz w:val="24"/>
          <w:szCs w:val="24"/>
        </w:rPr>
        <w:t xml:space="preserve">elements associated with free, fair and resilient elections, and they were asked which elements they consider the most important to define free, fair and resilient elections (they could select up to </w:t>
      </w:r>
      <w:r w:rsidR="00A90D63" w:rsidRPr="00532C20">
        <w:rPr>
          <w:rFonts w:ascii="Times New Roman" w:eastAsia="Symbol" w:hAnsi="Times New Roman" w:cs="Times New Roman"/>
          <w:noProof/>
          <w:kern w:val="18"/>
          <w:sz w:val="24"/>
          <w:szCs w:val="24"/>
        </w:rPr>
        <w:t xml:space="preserve">3 </w:t>
      </w:r>
      <w:r w:rsidRPr="00532C20">
        <w:rPr>
          <w:rFonts w:ascii="Times New Roman" w:eastAsia="Symbol" w:hAnsi="Times New Roman" w:cs="Times New Roman"/>
          <w:noProof/>
          <w:kern w:val="18"/>
          <w:sz w:val="24"/>
          <w:szCs w:val="24"/>
        </w:rPr>
        <w:t>elements).</w:t>
      </w:r>
    </w:p>
    <w:p w14:paraId="641DB5CF" w14:textId="4562B57C" w:rsidR="001C0820" w:rsidRPr="00532C20" w:rsidRDefault="001C0820" w:rsidP="004B0958">
      <w:pPr>
        <w:spacing w:before="240" w:after="160" w:line="240" w:lineRule="auto"/>
        <w:jc w:val="both"/>
        <w:rPr>
          <w:rFonts w:ascii="Times New Roman" w:eastAsia="Symbol" w:hAnsi="Times New Roman" w:cs="Times New Roman"/>
          <w:noProof/>
          <w:kern w:val="18"/>
          <w:sz w:val="24"/>
          <w:szCs w:val="24"/>
        </w:rPr>
      </w:pPr>
      <w:r w:rsidRPr="00532C20">
        <w:rPr>
          <w:rFonts w:ascii="Times New Roman" w:eastAsia="Symbol" w:hAnsi="Times New Roman" w:cs="Times New Roman"/>
          <w:noProof/>
          <w:kern w:val="18"/>
          <w:sz w:val="24"/>
          <w:szCs w:val="24"/>
        </w:rPr>
        <w:t>About</w:t>
      </w:r>
      <w:r w:rsidR="00857409" w:rsidRPr="00532C20">
        <w:rPr>
          <w:rFonts w:ascii="Times New Roman" w:eastAsia="Symbol" w:hAnsi="Times New Roman" w:cs="Times New Roman"/>
          <w:noProof/>
          <w:kern w:val="18"/>
          <w:sz w:val="24"/>
          <w:szCs w:val="24"/>
        </w:rPr>
        <w:t xml:space="preserve"> </w:t>
      </w:r>
      <w:r w:rsidR="00026DB1" w:rsidRPr="00532C20">
        <w:rPr>
          <w:rFonts w:ascii="Times New Roman" w:eastAsia="Symbol" w:hAnsi="Times New Roman" w:cs="Times New Roman"/>
          <w:noProof/>
          <w:kern w:val="18"/>
          <w:sz w:val="24"/>
          <w:szCs w:val="24"/>
        </w:rPr>
        <w:t>1</w:t>
      </w:r>
      <w:r w:rsidRPr="00532C20">
        <w:rPr>
          <w:rFonts w:ascii="Times New Roman" w:eastAsia="Symbol" w:hAnsi="Times New Roman" w:cs="Times New Roman"/>
          <w:noProof/>
          <w:kern w:val="18"/>
          <w:sz w:val="24"/>
          <w:szCs w:val="24"/>
        </w:rPr>
        <w:t xml:space="preserve"> in</w:t>
      </w:r>
      <w:r w:rsidR="00A90D63" w:rsidRPr="00532C20">
        <w:rPr>
          <w:rFonts w:ascii="Times New Roman" w:eastAsia="Symbol" w:hAnsi="Times New Roman" w:cs="Times New Roman"/>
          <w:noProof/>
          <w:kern w:val="18"/>
          <w:sz w:val="24"/>
          <w:szCs w:val="24"/>
        </w:rPr>
        <w:t xml:space="preserve"> 2</w:t>
      </w:r>
      <w:r w:rsidRPr="00532C20">
        <w:rPr>
          <w:rFonts w:ascii="Times New Roman" w:eastAsia="Symbol" w:hAnsi="Times New Roman" w:cs="Times New Roman"/>
          <w:noProof/>
          <w:kern w:val="18"/>
          <w:sz w:val="24"/>
          <w:szCs w:val="24"/>
        </w:rPr>
        <w:t xml:space="preserve"> respondents (51%) select ‘voters having access to accurate information to make an informed choice’ as one of the most important elements of free</w:t>
      </w:r>
      <w:r w:rsidR="00524FC2" w:rsidRPr="00532C20">
        <w:rPr>
          <w:rFonts w:ascii="Times New Roman" w:eastAsia="Symbol" w:hAnsi="Times New Roman" w:cs="Times New Roman"/>
          <w:noProof/>
          <w:kern w:val="18"/>
          <w:sz w:val="24"/>
          <w:szCs w:val="24"/>
        </w:rPr>
        <w:t xml:space="preserve">, </w:t>
      </w:r>
      <w:r w:rsidRPr="00532C20">
        <w:rPr>
          <w:rFonts w:ascii="Times New Roman" w:eastAsia="Symbol" w:hAnsi="Times New Roman" w:cs="Times New Roman"/>
          <w:noProof/>
          <w:kern w:val="18"/>
          <w:sz w:val="24"/>
          <w:szCs w:val="24"/>
        </w:rPr>
        <w:t>fair</w:t>
      </w:r>
      <w:r w:rsidR="00524FC2" w:rsidRPr="00532C20">
        <w:rPr>
          <w:rFonts w:ascii="Times New Roman" w:eastAsia="Symbol" w:hAnsi="Times New Roman" w:cs="Times New Roman"/>
          <w:noProof/>
          <w:kern w:val="18"/>
          <w:sz w:val="24"/>
          <w:szCs w:val="24"/>
        </w:rPr>
        <w:t xml:space="preserve"> and resilient</w:t>
      </w:r>
      <w:r w:rsidRPr="00532C20">
        <w:rPr>
          <w:rFonts w:ascii="Times New Roman" w:eastAsia="Symbol" w:hAnsi="Times New Roman" w:cs="Times New Roman"/>
          <w:noProof/>
          <w:kern w:val="18"/>
          <w:sz w:val="24"/>
          <w:szCs w:val="24"/>
        </w:rPr>
        <w:t xml:space="preserve"> elections, followed by 47% selecting ‘the electoral administration being independent and impartial’. </w:t>
      </w:r>
    </w:p>
    <w:p w14:paraId="1695BD0F" w14:textId="7B172FFB" w:rsidR="006D5A69" w:rsidRPr="00532C20" w:rsidRDefault="006D5A69" w:rsidP="004B0958">
      <w:pPr>
        <w:spacing w:before="240" w:after="160" w:line="240" w:lineRule="auto"/>
        <w:jc w:val="both"/>
        <w:rPr>
          <w:rFonts w:ascii="Times New Roman" w:eastAsia="Symbol" w:hAnsi="Times New Roman" w:cs="Times New Roman"/>
          <w:noProof/>
          <w:kern w:val="18"/>
          <w:sz w:val="24"/>
          <w:szCs w:val="24"/>
        </w:rPr>
      </w:pPr>
      <w:r w:rsidRPr="00532C20">
        <w:rPr>
          <w:rFonts w:ascii="Times New Roman" w:eastAsia="Symbol" w:hAnsi="Times New Roman" w:cs="Times New Roman"/>
          <w:noProof/>
          <w:kern w:val="18"/>
          <w:sz w:val="24"/>
          <w:szCs w:val="24"/>
        </w:rPr>
        <w:t xml:space="preserve">Respondents were also presented with a list of </w:t>
      </w:r>
      <w:r w:rsidR="00A90D63" w:rsidRPr="00532C20">
        <w:rPr>
          <w:rFonts w:ascii="Times New Roman" w:eastAsia="Symbol" w:hAnsi="Times New Roman" w:cs="Times New Roman"/>
          <w:noProof/>
          <w:kern w:val="18"/>
          <w:sz w:val="24"/>
          <w:szCs w:val="24"/>
        </w:rPr>
        <w:t xml:space="preserve">6 </w:t>
      </w:r>
      <w:r w:rsidRPr="00532C20">
        <w:rPr>
          <w:rFonts w:ascii="Times New Roman" w:eastAsia="Symbol" w:hAnsi="Times New Roman" w:cs="Times New Roman"/>
          <w:noProof/>
          <w:kern w:val="18"/>
          <w:sz w:val="24"/>
          <w:szCs w:val="24"/>
        </w:rPr>
        <w:t xml:space="preserve">elements associated with </w:t>
      </w:r>
      <w:r w:rsidR="00524FC2" w:rsidRPr="00532C20">
        <w:rPr>
          <w:rFonts w:ascii="Times New Roman" w:eastAsia="Symbol" w:hAnsi="Times New Roman" w:cs="Times New Roman"/>
          <w:noProof/>
          <w:kern w:val="18"/>
          <w:sz w:val="24"/>
          <w:szCs w:val="24"/>
        </w:rPr>
        <w:t>free, fair and resilient</w:t>
      </w:r>
      <w:r w:rsidRPr="00532C20">
        <w:rPr>
          <w:rFonts w:ascii="Times New Roman" w:eastAsia="Symbol" w:hAnsi="Times New Roman" w:cs="Times New Roman"/>
          <w:noProof/>
          <w:kern w:val="18"/>
          <w:sz w:val="24"/>
          <w:szCs w:val="24"/>
        </w:rPr>
        <w:t xml:space="preserve"> election campaigns, and they were asked which elements they consider the most important to define such campaigns (up to </w:t>
      </w:r>
      <w:r w:rsidR="00A90D63" w:rsidRPr="00532C20">
        <w:rPr>
          <w:rFonts w:ascii="Times New Roman" w:eastAsia="Symbol" w:hAnsi="Times New Roman" w:cs="Times New Roman"/>
          <w:noProof/>
          <w:kern w:val="18"/>
          <w:sz w:val="24"/>
          <w:szCs w:val="24"/>
        </w:rPr>
        <w:t xml:space="preserve">3 </w:t>
      </w:r>
      <w:r w:rsidRPr="00532C20">
        <w:rPr>
          <w:rFonts w:ascii="Times New Roman" w:eastAsia="Symbol" w:hAnsi="Times New Roman" w:cs="Times New Roman"/>
          <w:noProof/>
          <w:kern w:val="18"/>
          <w:sz w:val="24"/>
          <w:szCs w:val="24"/>
        </w:rPr>
        <w:t xml:space="preserve">elements could be selected). </w:t>
      </w:r>
    </w:p>
    <w:p w14:paraId="0982B28F" w14:textId="439735E5" w:rsidR="00610371" w:rsidRPr="00532C20" w:rsidRDefault="006D5A69" w:rsidP="004B0958">
      <w:pPr>
        <w:spacing w:before="240" w:after="160" w:line="240" w:lineRule="auto"/>
        <w:jc w:val="both"/>
        <w:rPr>
          <w:rFonts w:ascii="Times New Roman" w:eastAsia="Symbol" w:hAnsi="Times New Roman" w:cs="Times New Roman"/>
          <w:noProof/>
          <w:kern w:val="18"/>
          <w:sz w:val="24"/>
          <w:szCs w:val="24"/>
        </w:rPr>
      </w:pPr>
      <w:r w:rsidRPr="00532C20">
        <w:rPr>
          <w:rFonts w:ascii="Times New Roman" w:eastAsia="Symbol" w:hAnsi="Times New Roman" w:cs="Times New Roman"/>
          <w:noProof/>
          <w:kern w:val="18"/>
          <w:sz w:val="24"/>
          <w:szCs w:val="24"/>
        </w:rPr>
        <w:t>The largest shares of respondents select ‘debates and campaigns avoiding hate speech, manipulation and lies’ (46%) and ‘candidates and political parties having equal opportunity to access the media’ (41%). Each time about a third of respondents refer to ‘voters know who finances candidates and political parties’ (35%), ‘voters can engage with candidates and political parties in debate’ (33%) and ‘voters know who finances political advertising and sponsored content and can distinguish between sponsored content and non-paid for political information’ (32%) as important elements of free</w:t>
      </w:r>
      <w:r w:rsidR="00524FC2" w:rsidRPr="00532C20">
        <w:rPr>
          <w:rFonts w:ascii="Times New Roman" w:eastAsia="Symbol" w:hAnsi="Times New Roman" w:cs="Times New Roman"/>
          <w:noProof/>
          <w:kern w:val="18"/>
          <w:sz w:val="24"/>
          <w:szCs w:val="24"/>
        </w:rPr>
        <w:t>,</w:t>
      </w:r>
      <w:r w:rsidR="00FE012C" w:rsidRPr="00532C20">
        <w:rPr>
          <w:rFonts w:ascii="Times New Roman" w:eastAsia="Symbol" w:hAnsi="Times New Roman" w:cs="Times New Roman"/>
          <w:noProof/>
          <w:kern w:val="18"/>
          <w:sz w:val="24"/>
          <w:szCs w:val="24"/>
        </w:rPr>
        <w:t xml:space="preserve"> </w:t>
      </w:r>
      <w:r w:rsidRPr="00532C20">
        <w:rPr>
          <w:rFonts w:ascii="Times New Roman" w:eastAsia="Symbol" w:hAnsi="Times New Roman" w:cs="Times New Roman"/>
          <w:noProof/>
          <w:kern w:val="18"/>
          <w:sz w:val="24"/>
          <w:szCs w:val="24"/>
        </w:rPr>
        <w:t xml:space="preserve">fair </w:t>
      </w:r>
      <w:r w:rsidR="00524FC2" w:rsidRPr="00532C20">
        <w:rPr>
          <w:rFonts w:ascii="Times New Roman" w:eastAsia="Symbol" w:hAnsi="Times New Roman" w:cs="Times New Roman"/>
          <w:noProof/>
          <w:kern w:val="18"/>
          <w:sz w:val="24"/>
          <w:szCs w:val="24"/>
        </w:rPr>
        <w:t>and resilient</w:t>
      </w:r>
      <w:r w:rsidRPr="00532C20">
        <w:rPr>
          <w:rFonts w:ascii="Times New Roman" w:eastAsia="Symbol" w:hAnsi="Times New Roman" w:cs="Times New Roman"/>
          <w:noProof/>
          <w:kern w:val="18"/>
          <w:sz w:val="24"/>
          <w:szCs w:val="24"/>
        </w:rPr>
        <w:t xml:space="preserve"> electoral campaigns. </w:t>
      </w:r>
    </w:p>
    <w:p w14:paraId="4862DDF0" w14:textId="44FA0964" w:rsidR="00432785" w:rsidRPr="00532C20" w:rsidRDefault="006148B8" w:rsidP="002B0B48">
      <w:pPr>
        <w:pStyle w:val="ListParagraph"/>
        <w:numPr>
          <w:ilvl w:val="0"/>
          <w:numId w:val="74"/>
        </w:numPr>
        <w:rPr>
          <w:rFonts w:eastAsia="Symbol"/>
          <w:b/>
          <w:noProof/>
          <w:kern w:val="18"/>
        </w:rPr>
      </w:pPr>
      <w:r w:rsidRPr="00532C20">
        <w:rPr>
          <w:rFonts w:ascii="Times New Roman" w:eastAsia="Symbol" w:hAnsi="Times New Roman" w:cs="Times New Roman"/>
          <w:b/>
          <w:bCs/>
          <w:noProof/>
          <w:kern w:val="18"/>
          <w:u w:val="single"/>
          <w:lang w:val="en-IE"/>
        </w:rPr>
        <w:t>Additional meetings with stakeholders</w:t>
      </w:r>
    </w:p>
    <w:p w14:paraId="6E92E77E" w14:textId="5B910245" w:rsidR="00432785" w:rsidRPr="00532C20" w:rsidRDefault="00432785" w:rsidP="004B0958">
      <w:pPr>
        <w:spacing w:before="240" w:after="160" w:line="240" w:lineRule="auto"/>
        <w:contextualSpacing/>
        <w:jc w:val="both"/>
        <w:rPr>
          <w:rFonts w:ascii="Times New Roman" w:eastAsia="Symbol" w:hAnsi="Times New Roman" w:cs="Times New Roman"/>
          <w:noProof/>
          <w:kern w:val="18"/>
          <w:sz w:val="24"/>
          <w:szCs w:val="24"/>
          <w:lang w:val="en-IE"/>
        </w:rPr>
      </w:pPr>
      <w:r w:rsidRPr="00532C20">
        <w:rPr>
          <w:rFonts w:ascii="Times New Roman" w:eastAsia="Symbol" w:hAnsi="Times New Roman" w:cs="Times New Roman"/>
          <w:noProof/>
          <w:kern w:val="18"/>
          <w:sz w:val="24"/>
          <w:szCs w:val="24"/>
          <w:lang w:val="en-IE"/>
        </w:rPr>
        <w:t xml:space="preserve">On 6 July 2023 a meeting took place at political level with Civil Society Organisations representatives to discuss the ‘Defence of Democracy’ Package in the context of the preparation of an impact assessment and broader consultations. </w:t>
      </w:r>
    </w:p>
    <w:p w14:paraId="14C7B30E" w14:textId="77777777" w:rsidR="00432785" w:rsidRPr="00532C20" w:rsidRDefault="00432785" w:rsidP="004B0958">
      <w:pPr>
        <w:spacing w:before="240" w:after="160" w:line="240" w:lineRule="auto"/>
        <w:contextualSpacing/>
        <w:jc w:val="both"/>
        <w:rPr>
          <w:rFonts w:ascii="Times New Roman" w:eastAsia="Symbol" w:hAnsi="Times New Roman" w:cs="Times New Roman"/>
          <w:noProof/>
          <w:kern w:val="18"/>
          <w:sz w:val="24"/>
          <w:szCs w:val="24"/>
          <w:lang w:val="en-IE"/>
        </w:rPr>
      </w:pPr>
    </w:p>
    <w:p w14:paraId="4C2CD150" w14:textId="0454A5E5" w:rsidR="00432785" w:rsidRPr="00532C20" w:rsidRDefault="00432785" w:rsidP="004B0958">
      <w:pPr>
        <w:spacing w:before="240" w:after="160" w:line="240" w:lineRule="auto"/>
        <w:contextualSpacing/>
        <w:jc w:val="both"/>
        <w:rPr>
          <w:rFonts w:ascii="Times New Roman" w:eastAsia="Symbol" w:hAnsi="Times New Roman" w:cs="Times New Roman"/>
          <w:noProof/>
          <w:kern w:val="18"/>
          <w:sz w:val="24"/>
          <w:szCs w:val="24"/>
          <w:lang w:val="en-IE"/>
        </w:rPr>
      </w:pPr>
      <w:r w:rsidRPr="00532C20">
        <w:rPr>
          <w:rFonts w:ascii="Times New Roman" w:eastAsia="Symbol" w:hAnsi="Times New Roman" w:cs="Times New Roman"/>
          <w:noProof/>
          <w:kern w:val="18"/>
          <w:sz w:val="24"/>
          <w:szCs w:val="24"/>
          <w:lang w:val="en-IE"/>
        </w:rPr>
        <w:t>CSOs highlighted the importance of the continued engagement with civil society and the importance on conducting a thorough IAs in preparation of the proposal. They welcomed the inclusion of strong safeguards, further enquired about the scope and the organisations possibly captured by the instrument.</w:t>
      </w:r>
    </w:p>
    <w:p w14:paraId="6E66D0DD" w14:textId="77777777" w:rsidR="00432785" w:rsidRPr="00532C20" w:rsidRDefault="00432785" w:rsidP="004B0958">
      <w:pPr>
        <w:spacing w:before="240" w:after="160" w:line="240" w:lineRule="auto"/>
        <w:contextualSpacing/>
        <w:jc w:val="both"/>
        <w:rPr>
          <w:rFonts w:ascii="Times New Roman" w:eastAsia="Symbol" w:hAnsi="Times New Roman" w:cs="Times New Roman"/>
          <w:noProof/>
          <w:kern w:val="18"/>
          <w:sz w:val="24"/>
          <w:szCs w:val="24"/>
          <w:lang w:val="en-IE"/>
        </w:rPr>
      </w:pPr>
    </w:p>
    <w:p w14:paraId="66F678F6" w14:textId="52128811" w:rsidR="00B551E3" w:rsidRPr="00532C20" w:rsidRDefault="00432785" w:rsidP="004B0958">
      <w:pPr>
        <w:spacing w:before="240" w:after="160" w:line="240" w:lineRule="auto"/>
        <w:contextualSpacing/>
        <w:jc w:val="both"/>
        <w:rPr>
          <w:rFonts w:ascii="Times New Roman" w:eastAsia="Symbol" w:hAnsi="Times New Roman" w:cs="Times New Roman"/>
          <w:noProof/>
          <w:kern w:val="18"/>
          <w:sz w:val="24"/>
          <w:szCs w:val="24"/>
          <w:lang w:val="en-IE"/>
        </w:rPr>
      </w:pPr>
      <w:r w:rsidRPr="00532C20">
        <w:rPr>
          <w:rFonts w:ascii="Times New Roman" w:eastAsia="Symbol" w:hAnsi="Times New Roman" w:cs="Times New Roman"/>
          <w:noProof/>
          <w:kern w:val="18"/>
          <w:sz w:val="24"/>
          <w:szCs w:val="24"/>
          <w:lang w:val="en-IE"/>
        </w:rPr>
        <w:t>CSOs flagged the possible risks and issues: the risk to fail to capture the issue as a whole and fall short foreign funded interest representations happening internally to the EU; the risk that other undemocratic regimes would use EU action as a pretext for acting with wrong intentions; possible misuse of the data captured by the envisaged registries; the issue for organisations advocating in repressive regimes for which globally it was difficult to get support and resources.</w:t>
      </w:r>
    </w:p>
    <w:p w14:paraId="370CE6C5" w14:textId="5E08EF77" w:rsidR="00A469C9" w:rsidRPr="00532C20" w:rsidRDefault="006148B8" w:rsidP="002B0B48">
      <w:pPr>
        <w:pStyle w:val="ListParagraph"/>
        <w:numPr>
          <w:ilvl w:val="0"/>
          <w:numId w:val="74"/>
        </w:numPr>
        <w:rPr>
          <w:rFonts w:eastAsia="Symbol"/>
          <w:b/>
          <w:noProof/>
          <w:kern w:val="18"/>
        </w:rPr>
      </w:pPr>
      <w:r w:rsidRPr="00532C20">
        <w:rPr>
          <w:rFonts w:ascii="Times New Roman" w:eastAsia="Symbol" w:hAnsi="Times New Roman" w:cs="Times New Roman"/>
          <w:b/>
          <w:bCs/>
          <w:noProof/>
          <w:kern w:val="18"/>
          <w:u w:val="single"/>
          <w:lang w:val="en-IE"/>
        </w:rPr>
        <w:t>Additional questionnaires</w:t>
      </w:r>
    </w:p>
    <w:p w14:paraId="04FDDC1A" w14:textId="63838AC8" w:rsidR="00EA02A1" w:rsidRPr="00532C20" w:rsidRDefault="00EA02A1"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Lastly, the Commission sent out additional questionnaires on potential policy options to Member States authorities, commercial entities and CSOs on 4 August 2023 with a deadline for contribution on 25 September 2023. </w:t>
      </w:r>
    </w:p>
    <w:p w14:paraId="19F17E54" w14:textId="610B24FA" w:rsidR="00432785" w:rsidRPr="00532C20" w:rsidRDefault="00C5491C"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T</w:t>
      </w:r>
      <w:r w:rsidR="00432785" w:rsidRPr="00532C20">
        <w:rPr>
          <w:rFonts w:ascii="Times New Roman" w:eastAsia="Calibri" w:hAnsi="Times New Roman" w:cs="Times New Roman"/>
          <w:noProof/>
          <w:sz w:val="24"/>
          <w:szCs w:val="24"/>
          <w:lang w:val="en-IE"/>
        </w:rPr>
        <w:t>he Commission has received 2</w:t>
      </w:r>
      <w:r w:rsidR="00E91DA5" w:rsidRPr="00532C20">
        <w:rPr>
          <w:rFonts w:ascii="Times New Roman" w:eastAsia="Calibri" w:hAnsi="Times New Roman" w:cs="Times New Roman"/>
          <w:noProof/>
          <w:sz w:val="24"/>
          <w:szCs w:val="24"/>
          <w:lang w:val="en-IE"/>
        </w:rPr>
        <w:t>9</w:t>
      </w:r>
      <w:r w:rsidR="00432785" w:rsidRPr="00532C20">
        <w:rPr>
          <w:rFonts w:ascii="Times New Roman" w:eastAsia="Calibri" w:hAnsi="Times New Roman" w:cs="Times New Roman"/>
          <w:noProof/>
          <w:sz w:val="24"/>
          <w:szCs w:val="24"/>
          <w:lang w:val="en-IE"/>
        </w:rPr>
        <w:t xml:space="preserve"> replies: 11 replies from CSOs, 1</w:t>
      </w:r>
      <w:r w:rsidR="00C677EE" w:rsidRPr="00532C20">
        <w:rPr>
          <w:rFonts w:ascii="Times New Roman" w:eastAsia="Calibri" w:hAnsi="Times New Roman" w:cs="Times New Roman"/>
          <w:noProof/>
          <w:sz w:val="24"/>
          <w:szCs w:val="24"/>
          <w:lang w:val="en-IE"/>
        </w:rPr>
        <w:t>5</w:t>
      </w:r>
      <w:r w:rsidR="00432785" w:rsidRPr="00532C20">
        <w:rPr>
          <w:rFonts w:ascii="Times New Roman" w:eastAsia="Calibri" w:hAnsi="Times New Roman" w:cs="Times New Roman"/>
          <w:noProof/>
          <w:sz w:val="24"/>
          <w:szCs w:val="24"/>
          <w:lang w:val="en-IE"/>
        </w:rPr>
        <w:t xml:space="preserve"> replies from Member States, and </w:t>
      </w:r>
      <w:r w:rsidR="00DC5C8D" w:rsidRPr="00532C20">
        <w:rPr>
          <w:rFonts w:ascii="Times New Roman" w:eastAsia="Calibri" w:hAnsi="Times New Roman" w:cs="Times New Roman"/>
          <w:noProof/>
          <w:sz w:val="24"/>
          <w:szCs w:val="24"/>
          <w:lang w:val="en-IE"/>
        </w:rPr>
        <w:t>3</w:t>
      </w:r>
      <w:r w:rsidR="00432785" w:rsidRPr="00532C20">
        <w:rPr>
          <w:rFonts w:ascii="Times New Roman" w:eastAsia="Calibri" w:hAnsi="Times New Roman" w:cs="Times New Roman"/>
          <w:noProof/>
          <w:sz w:val="24"/>
          <w:szCs w:val="24"/>
          <w:lang w:val="en-IE"/>
        </w:rPr>
        <w:t xml:space="preserve"> replies from organisations representing </w:t>
      </w:r>
      <w:r w:rsidR="00561FF3" w:rsidRPr="00532C20">
        <w:rPr>
          <w:rFonts w:ascii="Times New Roman" w:eastAsia="Calibri" w:hAnsi="Times New Roman" w:cs="Times New Roman"/>
          <w:noProof/>
          <w:sz w:val="24"/>
          <w:szCs w:val="24"/>
          <w:lang w:val="en-IE"/>
        </w:rPr>
        <w:t xml:space="preserve">the </w:t>
      </w:r>
      <w:r w:rsidR="00432785" w:rsidRPr="00532C20">
        <w:rPr>
          <w:rFonts w:ascii="Times New Roman" w:eastAsia="Calibri" w:hAnsi="Times New Roman" w:cs="Times New Roman"/>
          <w:noProof/>
          <w:sz w:val="24"/>
          <w:szCs w:val="24"/>
          <w:lang w:val="en-IE"/>
        </w:rPr>
        <w:t xml:space="preserve">interest </w:t>
      </w:r>
      <w:r w:rsidR="00561FF3" w:rsidRPr="00532C20">
        <w:rPr>
          <w:rFonts w:ascii="Times New Roman" w:eastAsia="Calibri" w:hAnsi="Times New Roman" w:cs="Times New Roman"/>
          <w:noProof/>
          <w:sz w:val="24"/>
          <w:szCs w:val="24"/>
          <w:lang w:val="en-IE"/>
        </w:rPr>
        <w:t>representation</w:t>
      </w:r>
      <w:r w:rsidR="00432785" w:rsidRPr="00532C20">
        <w:rPr>
          <w:rFonts w:ascii="Times New Roman" w:eastAsia="Calibri" w:hAnsi="Times New Roman" w:cs="Times New Roman"/>
          <w:noProof/>
          <w:sz w:val="24"/>
          <w:szCs w:val="24"/>
          <w:lang w:val="en-IE"/>
        </w:rPr>
        <w:t xml:space="preserve"> industry.</w:t>
      </w:r>
    </w:p>
    <w:p w14:paraId="60882EC9" w14:textId="519288B1" w:rsidR="00432785" w:rsidRPr="00532C20" w:rsidRDefault="00432785" w:rsidP="002B0B48">
      <w:pPr>
        <w:pStyle w:val="ListParagraph"/>
        <w:numPr>
          <w:ilvl w:val="1"/>
          <w:numId w:val="74"/>
        </w:numPr>
        <w:rPr>
          <w:rFonts w:cs="Times New Roman"/>
          <w:b/>
          <w:noProof/>
        </w:rPr>
      </w:pPr>
      <w:r w:rsidRPr="00532C20">
        <w:rPr>
          <w:rFonts w:ascii="Times New Roman" w:eastAsia="Calibri" w:hAnsi="Times New Roman" w:cs="Times New Roman"/>
          <w:b/>
          <w:bCs/>
          <w:noProof/>
          <w:u w:val="single"/>
          <w:lang w:val="en-IE"/>
        </w:rPr>
        <w:t>Replies from CSOs</w:t>
      </w:r>
    </w:p>
    <w:p w14:paraId="6377BFCA" w14:textId="77777777" w:rsidR="00432785" w:rsidRPr="00532C20" w:rsidRDefault="00432785" w:rsidP="004B0958">
      <w:pPr>
        <w:spacing w:before="240" w:after="160" w:line="240" w:lineRule="auto"/>
        <w:ind w:left="720"/>
        <w:jc w:val="both"/>
        <w:rPr>
          <w:rFonts w:ascii="Times New Roman" w:eastAsia="Calibri" w:hAnsi="Times New Roman" w:cs="Times New Roman"/>
          <w:b/>
          <w:i/>
          <w:noProof/>
          <w:sz w:val="24"/>
          <w:szCs w:val="24"/>
          <w:lang w:val="en-IE"/>
        </w:rPr>
      </w:pPr>
      <w:r w:rsidRPr="00532C20">
        <w:rPr>
          <w:rFonts w:ascii="Times New Roman" w:eastAsia="Calibri" w:hAnsi="Times New Roman" w:cs="Times New Roman"/>
          <w:b/>
          <w:i/>
          <w:noProof/>
          <w:sz w:val="24"/>
          <w:szCs w:val="24"/>
          <w:lang w:val="en-IE"/>
        </w:rPr>
        <w:t>Scope of the transparency measures</w:t>
      </w:r>
    </w:p>
    <w:p w14:paraId="0405A25F" w14:textId="259890EF" w:rsidR="00432785" w:rsidRPr="00532C20" w:rsidRDefault="00CB050B"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Some respondent </w:t>
      </w:r>
      <w:r w:rsidR="00432785" w:rsidRPr="00532C20">
        <w:rPr>
          <w:rFonts w:ascii="Times New Roman" w:eastAsia="Calibri" w:hAnsi="Times New Roman" w:cs="Times New Roman"/>
          <w:noProof/>
          <w:sz w:val="24"/>
          <w:szCs w:val="24"/>
          <w:lang w:val="en-IE"/>
        </w:rPr>
        <w:t xml:space="preserve">CSOs </w:t>
      </w:r>
      <w:r w:rsidRPr="00532C20">
        <w:rPr>
          <w:rFonts w:ascii="Times New Roman" w:eastAsia="Calibri" w:hAnsi="Times New Roman" w:cs="Times New Roman"/>
          <w:noProof/>
          <w:sz w:val="24"/>
          <w:szCs w:val="24"/>
          <w:lang w:val="en-IE"/>
        </w:rPr>
        <w:t xml:space="preserve">took a stance on the issue of the nature of the instrument </w:t>
      </w:r>
      <w:r w:rsidR="003C2AF1" w:rsidRPr="00532C20">
        <w:rPr>
          <w:rFonts w:ascii="Times New Roman" w:eastAsia="Calibri" w:hAnsi="Times New Roman" w:cs="Times New Roman"/>
          <w:noProof/>
          <w:sz w:val="24"/>
          <w:szCs w:val="24"/>
          <w:lang w:val="en-IE"/>
        </w:rPr>
        <w:t>to be considered in the intervention</w:t>
      </w:r>
      <w:r w:rsidR="00876D9A" w:rsidRPr="00532C20">
        <w:rPr>
          <w:rFonts w:ascii="Times New Roman" w:eastAsia="Calibri" w:hAnsi="Times New Roman" w:cs="Times New Roman"/>
          <w:noProof/>
          <w:sz w:val="24"/>
          <w:szCs w:val="24"/>
          <w:lang w:val="en-IE"/>
        </w:rPr>
        <w:t xml:space="preserve"> with </w:t>
      </w:r>
      <w:r w:rsidR="00780F65" w:rsidRPr="00532C20">
        <w:rPr>
          <w:rFonts w:ascii="Times New Roman" w:eastAsia="Calibri" w:hAnsi="Times New Roman" w:cs="Times New Roman"/>
          <w:noProof/>
          <w:sz w:val="24"/>
          <w:szCs w:val="24"/>
          <w:lang w:val="en-IE"/>
        </w:rPr>
        <w:t xml:space="preserve">4 </w:t>
      </w:r>
      <w:r w:rsidR="00582D56" w:rsidRPr="00532C20">
        <w:rPr>
          <w:rFonts w:ascii="Times New Roman" w:eastAsia="Calibri" w:hAnsi="Times New Roman" w:cs="Times New Roman"/>
          <w:noProof/>
          <w:sz w:val="24"/>
          <w:szCs w:val="24"/>
          <w:lang w:val="en-IE"/>
        </w:rPr>
        <w:t xml:space="preserve">out of 11 </w:t>
      </w:r>
      <w:r w:rsidR="00876D9A" w:rsidRPr="00532C20">
        <w:rPr>
          <w:rFonts w:ascii="Times New Roman" w:eastAsia="Calibri" w:hAnsi="Times New Roman" w:cs="Times New Roman"/>
          <w:noProof/>
          <w:sz w:val="24"/>
          <w:szCs w:val="24"/>
          <w:lang w:val="en-IE"/>
        </w:rPr>
        <w:t xml:space="preserve">CSOs considering that the intervention should take the form of a Regulation, </w:t>
      </w:r>
      <w:r w:rsidR="00780F65" w:rsidRPr="00532C20">
        <w:rPr>
          <w:rFonts w:ascii="Times New Roman" w:eastAsia="Calibri" w:hAnsi="Times New Roman" w:cs="Times New Roman"/>
          <w:noProof/>
          <w:sz w:val="24"/>
          <w:szCs w:val="24"/>
          <w:lang w:val="en-IE"/>
        </w:rPr>
        <w:t xml:space="preserve">1 </w:t>
      </w:r>
      <w:r w:rsidR="00876D9A" w:rsidRPr="00532C20">
        <w:rPr>
          <w:rFonts w:ascii="Times New Roman" w:eastAsia="Calibri" w:hAnsi="Times New Roman" w:cs="Times New Roman"/>
          <w:noProof/>
          <w:sz w:val="24"/>
          <w:szCs w:val="24"/>
          <w:lang w:val="en-IE"/>
        </w:rPr>
        <w:t xml:space="preserve">of which expressing that a Directive could be misused by Member State. </w:t>
      </w:r>
      <w:r w:rsidR="00780F65" w:rsidRPr="00532C20">
        <w:rPr>
          <w:rFonts w:ascii="Times New Roman" w:eastAsia="Calibri" w:hAnsi="Times New Roman" w:cs="Times New Roman"/>
          <w:noProof/>
          <w:sz w:val="24"/>
          <w:szCs w:val="24"/>
          <w:lang w:val="en-IE"/>
        </w:rPr>
        <w:t>5</w:t>
      </w:r>
      <w:r w:rsidR="00876D9A" w:rsidRPr="00532C20">
        <w:rPr>
          <w:rFonts w:ascii="Times New Roman" w:eastAsia="Calibri" w:hAnsi="Times New Roman" w:cs="Times New Roman"/>
          <w:noProof/>
          <w:sz w:val="24"/>
          <w:szCs w:val="24"/>
          <w:lang w:val="en-IE"/>
        </w:rPr>
        <w:t xml:space="preserve"> CSOs noted that a Recommendation could encourage Member States to adopt transparency rules, but that it would not be sufficient </w:t>
      </w:r>
      <w:r w:rsidR="004C7A46" w:rsidRPr="00532C20">
        <w:rPr>
          <w:rFonts w:ascii="Times New Roman" w:eastAsia="Calibri" w:hAnsi="Times New Roman" w:cs="Times New Roman"/>
          <w:noProof/>
          <w:sz w:val="24"/>
          <w:szCs w:val="24"/>
          <w:lang w:val="en-IE"/>
        </w:rPr>
        <w:t xml:space="preserve">to </w:t>
      </w:r>
      <w:r w:rsidR="00876D9A" w:rsidRPr="00532C20">
        <w:rPr>
          <w:rFonts w:ascii="Times New Roman" w:eastAsia="Calibri" w:hAnsi="Times New Roman" w:cs="Times New Roman"/>
          <w:noProof/>
          <w:sz w:val="24"/>
          <w:szCs w:val="24"/>
          <w:lang w:val="en-IE"/>
        </w:rPr>
        <w:t>solve the issues at hand.</w:t>
      </w:r>
    </w:p>
    <w:p w14:paraId="15E47A56" w14:textId="3E7077F9" w:rsidR="004C4129" w:rsidRPr="00532C20" w:rsidRDefault="00780F65"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9</w:t>
      </w:r>
      <w:r w:rsidR="004C4129" w:rsidRPr="00532C20">
        <w:rPr>
          <w:rFonts w:ascii="Times New Roman" w:eastAsia="Calibri" w:hAnsi="Times New Roman" w:cs="Times New Roman"/>
          <w:noProof/>
          <w:sz w:val="24"/>
          <w:szCs w:val="24"/>
          <w:lang w:val="en-IE"/>
        </w:rPr>
        <w:t xml:space="preserve"> CSOs expressed </w:t>
      </w:r>
      <w:r w:rsidR="00466DF0" w:rsidRPr="00532C20">
        <w:rPr>
          <w:rFonts w:ascii="Times New Roman" w:eastAsia="Calibri" w:hAnsi="Times New Roman" w:cs="Times New Roman"/>
          <w:noProof/>
          <w:sz w:val="24"/>
          <w:szCs w:val="24"/>
          <w:lang w:val="en-IE"/>
        </w:rPr>
        <w:t>a view</w:t>
      </w:r>
      <w:r w:rsidR="004C4129" w:rsidRPr="00532C20">
        <w:rPr>
          <w:rFonts w:ascii="Times New Roman" w:eastAsia="Calibri" w:hAnsi="Times New Roman" w:cs="Times New Roman"/>
          <w:noProof/>
          <w:sz w:val="24"/>
          <w:szCs w:val="24"/>
          <w:lang w:val="en-IE"/>
        </w:rPr>
        <w:t xml:space="preserve"> that </w:t>
      </w:r>
      <w:r w:rsidR="00E52FF1" w:rsidRPr="00532C20">
        <w:rPr>
          <w:rFonts w:ascii="Times New Roman" w:eastAsia="Calibri" w:hAnsi="Times New Roman" w:cs="Times New Roman"/>
          <w:noProof/>
          <w:sz w:val="24"/>
          <w:szCs w:val="24"/>
          <w:lang w:val="en-IE"/>
        </w:rPr>
        <w:t xml:space="preserve">the legislative intervention should cover all types of interest representation activities and not be limited to </w:t>
      </w:r>
      <w:r w:rsidR="00C2555F" w:rsidRPr="00532C20">
        <w:rPr>
          <w:rFonts w:ascii="Times New Roman" w:eastAsia="Calibri" w:hAnsi="Times New Roman" w:cs="Times New Roman"/>
          <w:noProof/>
          <w:sz w:val="24"/>
          <w:szCs w:val="24"/>
          <w:lang w:val="en-IE"/>
        </w:rPr>
        <w:t xml:space="preserve">those carried out on behalf of third countries. </w:t>
      </w:r>
    </w:p>
    <w:p w14:paraId="762DE09C" w14:textId="4698FC10" w:rsidR="00C2555F" w:rsidRPr="00532C20" w:rsidRDefault="00780F65"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2</w:t>
      </w:r>
      <w:r w:rsidR="00C2555F" w:rsidRPr="00532C20">
        <w:rPr>
          <w:rFonts w:ascii="Times New Roman" w:eastAsia="Calibri" w:hAnsi="Times New Roman" w:cs="Times New Roman"/>
          <w:noProof/>
          <w:sz w:val="24"/>
          <w:szCs w:val="24"/>
          <w:lang w:val="en-IE"/>
        </w:rPr>
        <w:t xml:space="preserve"> CSOs highlighted that focusing on third countries is not sufficient </w:t>
      </w:r>
      <w:r w:rsidR="00CE2D0B" w:rsidRPr="00532C20">
        <w:rPr>
          <w:rFonts w:ascii="Times New Roman" w:eastAsia="Calibri" w:hAnsi="Times New Roman" w:cs="Times New Roman"/>
          <w:noProof/>
          <w:sz w:val="24"/>
          <w:szCs w:val="24"/>
          <w:lang w:val="en-IE"/>
        </w:rPr>
        <w:t xml:space="preserve">and interferences </w:t>
      </w:r>
      <w:r w:rsidR="00C2555F" w:rsidRPr="00532C20">
        <w:rPr>
          <w:rFonts w:ascii="Times New Roman" w:eastAsia="Calibri" w:hAnsi="Times New Roman" w:cs="Times New Roman"/>
          <w:noProof/>
          <w:sz w:val="24"/>
          <w:szCs w:val="24"/>
          <w:lang w:val="en-IE"/>
        </w:rPr>
        <w:t xml:space="preserve">from EU Member States </w:t>
      </w:r>
      <w:r w:rsidR="00CE2D0B" w:rsidRPr="00532C20">
        <w:rPr>
          <w:rFonts w:ascii="Times New Roman" w:eastAsia="Calibri" w:hAnsi="Times New Roman" w:cs="Times New Roman"/>
          <w:noProof/>
          <w:sz w:val="24"/>
          <w:szCs w:val="24"/>
          <w:lang w:val="en-IE"/>
        </w:rPr>
        <w:t xml:space="preserve">into CSOs activities should </w:t>
      </w:r>
      <w:r w:rsidR="001061C9" w:rsidRPr="00532C20">
        <w:rPr>
          <w:rFonts w:ascii="Times New Roman" w:eastAsia="Calibri" w:hAnsi="Times New Roman" w:cs="Times New Roman"/>
          <w:noProof/>
          <w:sz w:val="24"/>
          <w:szCs w:val="24"/>
          <w:lang w:val="en-IE"/>
        </w:rPr>
        <w:t xml:space="preserve">also be covered. </w:t>
      </w:r>
    </w:p>
    <w:p w14:paraId="22172365" w14:textId="1A1935FA" w:rsidR="001061C9" w:rsidRPr="00532C20" w:rsidRDefault="00780F65"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3</w:t>
      </w:r>
      <w:r w:rsidR="00592B2D" w:rsidRPr="00532C20">
        <w:rPr>
          <w:rFonts w:ascii="Times New Roman" w:eastAsia="Calibri" w:hAnsi="Times New Roman" w:cs="Times New Roman"/>
          <w:noProof/>
          <w:sz w:val="24"/>
          <w:szCs w:val="24"/>
          <w:lang w:val="en-IE"/>
        </w:rPr>
        <w:t xml:space="preserve"> CSOs </w:t>
      </w:r>
      <w:r w:rsidR="00596AB4" w:rsidRPr="00532C20">
        <w:rPr>
          <w:rFonts w:ascii="Times New Roman" w:eastAsia="Calibri" w:hAnsi="Times New Roman" w:cs="Times New Roman"/>
          <w:noProof/>
          <w:sz w:val="24"/>
          <w:szCs w:val="24"/>
          <w:lang w:val="en-IE"/>
        </w:rPr>
        <w:t>raised the issue of the risk of circumvention through private entities.</w:t>
      </w:r>
    </w:p>
    <w:p w14:paraId="6B0E36BF" w14:textId="150B822E" w:rsidR="002836A1" w:rsidRPr="00532C20" w:rsidRDefault="00780F65"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3</w:t>
      </w:r>
      <w:r w:rsidR="002836A1" w:rsidRPr="00532C20">
        <w:rPr>
          <w:rFonts w:ascii="Times New Roman" w:eastAsia="Calibri" w:hAnsi="Times New Roman" w:cs="Times New Roman"/>
          <w:noProof/>
          <w:sz w:val="24"/>
          <w:szCs w:val="24"/>
          <w:lang w:val="en-IE"/>
        </w:rPr>
        <w:t xml:space="preserve"> </w:t>
      </w:r>
      <w:r w:rsidR="00DC078B" w:rsidRPr="00532C20">
        <w:rPr>
          <w:rFonts w:ascii="Times New Roman" w:eastAsia="Calibri" w:hAnsi="Times New Roman" w:cs="Times New Roman"/>
          <w:noProof/>
          <w:sz w:val="24"/>
          <w:szCs w:val="24"/>
          <w:lang w:val="en-IE"/>
        </w:rPr>
        <w:t>respondents expressed the need to provide a clear definition of the notion of interest representation.</w:t>
      </w:r>
    </w:p>
    <w:p w14:paraId="6732BEE5" w14:textId="77777777" w:rsidR="00432785" w:rsidRPr="00532C20" w:rsidRDefault="00432785" w:rsidP="004B0958">
      <w:pPr>
        <w:spacing w:before="240" w:after="160" w:line="240" w:lineRule="auto"/>
        <w:ind w:left="720"/>
        <w:jc w:val="both"/>
        <w:rPr>
          <w:rFonts w:ascii="Times New Roman" w:eastAsia="Calibri" w:hAnsi="Times New Roman" w:cs="Times New Roman"/>
          <w:b/>
          <w:i/>
          <w:noProof/>
          <w:sz w:val="24"/>
          <w:szCs w:val="24"/>
          <w:lang w:val="en-IE"/>
        </w:rPr>
      </w:pPr>
      <w:r w:rsidRPr="00532C20">
        <w:rPr>
          <w:rFonts w:ascii="Times New Roman" w:eastAsia="Calibri" w:hAnsi="Times New Roman" w:cs="Times New Roman"/>
          <w:b/>
          <w:i/>
          <w:noProof/>
          <w:sz w:val="24"/>
          <w:szCs w:val="24"/>
          <w:lang w:val="en-IE"/>
        </w:rPr>
        <w:t>Registration and transparency requirements</w:t>
      </w:r>
    </w:p>
    <w:p w14:paraId="20D253B9" w14:textId="1745FDF1" w:rsidR="00A469C9" w:rsidRPr="00532C20" w:rsidRDefault="00A86B27"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The majority of</w:t>
      </w:r>
      <w:r w:rsidR="00667D8B" w:rsidRPr="00532C20">
        <w:rPr>
          <w:rFonts w:ascii="Times New Roman" w:eastAsia="Calibri" w:hAnsi="Times New Roman" w:cs="Times New Roman"/>
          <w:noProof/>
          <w:sz w:val="24"/>
          <w:szCs w:val="24"/>
          <w:lang w:val="en-IE"/>
        </w:rPr>
        <w:t xml:space="preserve"> </w:t>
      </w:r>
      <w:r w:rsidR="00EA02A1" w:rsidRPr="00532C20">
        <w:rPr>
          <w:rFonts w:ascii="Times New Roman" w:eastAsia="Calibri" w:hAnsi="Times New Roman" w:cs="Times New Roman"/>
          <w:noProof/>
          <w:sz w:val="24"/>
          <w:szCs w:val="24"/>
          <w:lang w:val="en-IE"/>
        </w:rPr>
        <w:t>CSOs expressed that all entities should provide information on the Member States of registration, the Member States where the interest representation takes place, clear information on the actors involved, and clear information on the legislation, policy or initiative of interest.</w:t>
      </w:r>
    </w:p>
    <w:p w14:paraId="3FE2B5B3" w14:textId="5C7A9078" w:rsidR="00432785" w:rsidRPr="00532C20" w:rsidRDefault="00780F65"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3</w:t>
      </w:r>
      <w:r w:rsidR="007375DF" w:rsidRPr="00532C20">
        <w:rPr>
          <w:rFonts w:ascii="Times New Roman" w:eastAsia="Calibri" w:hAnsi="Times New Roman" w:cs="Times New Roman"/>
          <w:noProof/>
          <w:sz w:val="24"/>
          <w:szCs w:val="24"/>
          <w:lang w:val="en-IE"/>
        </w:rPr>
        <w:t xml:space="preserve"> respondent</w:t>
      </w:r>
      <w:r w:rsidR="00B703C5" w:rsidRPr="00532C20">
        <w:rPr>
          <w:rFonts w:ascii="Times New Roman" w:eastAsia="Calibri" w:hAnsi="Times New Roman" w:cs="Times New Roman"/>
          <w:noProof/>
          <w:sz w:val="24"/>
          <w:szCs w:val="24"/>
          <w:lang w:val="en-IE"/>
        </w:rPr>
        <w:t xml:space="preserve"> CSOs</w:t>
      </w:r>
      <w:r w:rsidR="00432785" w:rsidRPr="00532C20">
        <w:rPr>
          <w:rFonts w:ascii="Times New Roman" w:eastAsia="Calibri" w:hAnsi="Times New Roman" w:cs="Times New Roman"/>
          <w:noProof/>
          <w:sz w:val="24"/>
          <w:szCs w:val="24"/>
          <w:lang w:val="en-IE"/>
        </w:rPr>
        <w:t xml:space="preserve"> emphasized the need of balancing the right of access to information with the right to privacy data and personal data.</w:t>
      </w:r>
    </w:p>
    <w:p w14:paraId="77617787" w14:textId="6ED51DDE" w:rsidR="00432785" w:rsidRPr="00532C20" w:rsidRDefault="0098221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Most </w:t>
      </w:r>
      <w:r w:rsidR="00432785" w:rsidRPr="00532C20">
        <w:rPr>
          <w:rFonts w:ascii="Times New Roman" w:eastAsia="Calibri" w:hAnsi="Times New Roman" w:cs="Times New Roman"/>
          <w:noProof/>
          <w:sz w:val="24"/>
          <w:szCs w:val="24"/>
          <w:lang w:val="en-IE"/>
        </w:rPr>
        <w:t>CSOs highlighted the need to assess coherence with other measures</w:t>
      </w:r>
      <w:r w:rsidRPr="00532C20">
        <w:rPr>
          <w:rFonts w:ascii="Times New Roman" w:eastAsia="Calibri" w:hAnsi="Times New Roman" w:cs="Times New Roman"/>
          <w:noProof/>
          <w:sz w:val="24"/>
          <w:szCs w:val="24"/>
          <w:lang w:val="en-IE"/>
        </w:rPr>
        <w:t xml:space="preserve">, with </w:t>
      </w:r>
      <w:r w:rsidR="00A90D63" w:rsidRPr="00532C20">
        <w:rPr>
          <w:rFonts w:ascii="Times New Roman" w:eastAsia="Calibri" w:hAnsi="Times New Roman" w:cs="Times New Roman"/>
          <w:noProof/>
          <w:sz w:val="24"/>
          <w:szCs w:val="24"/>
          <w:lang w:val="en-IE"/>
        </w:rPr>
        <w:t xml:space="preserve">3 </w:t>
      </w:r>
      <w:r w:rsidRPr="00532C20">
        <w:rPr>
          <w:rFonts w:ascii="Times New Roman" w:eastAsia="Calibri" w:hAnsi="Times New Roman" w:cs="Times New Roman"/>
          <w:noProof/>
          <w:sz w:val="24"/>
          <w:szCs w:val="24"/>
          <w:lang w:val="en-IE"/>
        </w:rPr>
        <w:t xml:space="preserve">responses </w:t>
      </w:r>
      <w:r w:rsidR="00302F0B" w:rsidRPr="00532C20">
        <w:rPr>
          <w:rFonts w:ascii="Times New Roman" w:eastAsia="Calibri" w:hAnsi="Times New Roman" w:cs="Times New Roman"/>
          <w:noProof/>
          <w:sz w:val="24"/>
          <w:szCs w:val="24"/>
          <w:lang w:val="en-IE"/>
        </w:rPr>
        <w:t xml:space="preserve">emphasising </w:t>
      </w:r>
      <w:r w:rsidR="00432785" w:rsidRPr="00532C20">
        <w:rPr>
          <w:rFonts w:ascii="Times New Roman" w:eastAsia="Calibri" w:hAnsi="Times New Roman" w:cs="Times New Roman"/>
          <w:noProof/>
          <w:sz w:val="24"/>
          <w:szCs w:val="24"/>
          <w:lang w:val="en-IE"/>
        </w:rPr>
        <w:t>the EU Transparency Register</w:t>
      </w:r>
      <w:r w:rsidR="00302F0B" w:rsidRPr="00532C20">
        <w:rPr>
          <w:rFonts w:ascii="Times New Roman" w:eastAsia="Calibri" w:hAnsi="Times New Roman" w:cs="Times New Roman"/>
          <w:noProof/>
          <w:sz w:val="24"/>
          <w:szCs w:val="24"/>
          <w:lang w:val="en-IE"/>
        </w:rPr>
        <w:t xml:space="preserve"> as a reference point</w:t>
      </w:r>
      <w:r w:rsidR="00432785" w:rsidRPr="00532C20">
        <w:rPr>
          <w:rFonts w:ascii="Times New Roman" w:eastAsia="Calibri" w:hAnsi="Times New Roman" w:cs="Times New Roman"/>
          <w:noProof/>
          <w:sz w:val="24"/>
          <w:szCs w:val="24"/>
          <w:lang w:val="en-IE"/>
        </w:rPr>
        <w:t xml:space="preserve">. Some of them expressed that, when it comes to CSOs, registration and disclosure requirements existing at EU and, overall, at national level already provide an adequate framework to increase transparency, </w:t>
      </w:r>
      <w:r w:rsidR="009C47EF" w:rsidRPr="00532C20">
        <w:rPr>
          <w:rFonts w:ascii="Times New Roman" w:eastAsia="Calibri" w:hAnsi="Times New Roman" w:cs="Times New Roman"/>
          <w:noProof/>
          <w:sz w:val="24"/>
          <w:szCs w:val="24"/>
          <w:lang w:val="en-IE"/>
        </w:rPr>
        <w:t xml:space="preserve">with </w:t>
      </w:r>
      <w:r w:rsidR="00942EEB" w:rsidRPr="00532C20">
        <w:rPr>
          <w:rFonts w:ascii="Times New Roman" w:eastAsia="Calibri" w:hAnsi="Times New Roman" w:cs="Times New Roman"/>
          <w:noProof/>
          <w:sz w:val="24"/>
          <w:szCs w:val="24"/>
          <w:lang w:val="en-IE"/>
        </w:rPr>
        <w:t xml:space="preserve">4 </w:t>
      </w:r>
      <w:r w:rsidR="009C47EF" w:rsidRPr="00532C20">
        <w:rPr>
          <w:rFonts w:ascii="Times New Roman" w:eastAsia="Calibri" w:hAnsi="Times New Roman" w:cs="Times New Roman"/>
          <w:noProof/>
          <w:sz w:val="24"/>
          <w:szCs w:val="24"/>
          <w:lang w:val="en-IE"/>
        </w:rPr>
        <w:t>respondents indicating</w:t>
      </w:r>
      <w:r w:rsidR="00432785" w:rsidRPr="00532C20">
        <w:rPr>
          <w:rFonts w:ascii="Times New Roman" w:eastAsia="Calibri" w:hAnsi="Times New Roman" w:cs="Times New Roman"/>
          <w:noProof/>
          <w:sz w:val="24"/>
          <w:szCs w:val="24"/>
          <w:lang w:val="en-IE"/>
        </w:rPr>
        <w:t xml:space="preserve"> that undertaking a comprehensive comparative analysis of existing requirements is necessary.</w:t>
      </w:r>
      <w:r w:rsidR="00026DB1" w:rsidRPr="00532C20">
        <w:rPr>
          <w:rFonts w:ascii="Times New Roman" w:eastAsia="Calibri" w:hAnsi="Times New Roman" w:cs="Times New Roman"/>
          <w:noProof/>
          <w:sz w:val="24"/>
          <w:szCs w:val="24"/>
          <w:lang w:val="en-IE"/>
        </w:rPr>
        <w:t>1</w:t>
      </w:r>
      <w:r w:rsidR="00A505E9" w:rsidRPr="00532C20">
        <w:rPr>
          <w:rFonts w:ascii="Times New Roman" w:eastAsia="Calibri" w:hAnsi="Times New Roman" w:cs="Times New Roman"/>
          <w:noProof/>
          <w:sz w:val="24"/>
          <w:szCs w:val="24"/>
          <w:lang w:val="en-IE"/>
        </w:rPr>
        <w:t xml:space="preserve"> respondent in particular underlined the need for registration requirements not to hinder the freedom of association. </w:t>
      </w:r>
    </w:p>
    <w:p w14:paraId="71337EA2" w14:textId="6B994BCD" w:rsidR="00432785" w:rsidRPr="00532C20" w:rsidRDefault="009311C6"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All but</w:t>
      </w:r>
      <w:r w:rsidRPr="00532C20" w:rsidDel="004F6407">
        <w:rPr>
          <w:rFonts w:ascii="Times New Roman" w:eastAsia="Calibri" w:hAnsi="Times New Roman" w:cs="Times New Roman"/>
          <w:noProof/>
          <w:sz w:val="24"/>
          <w:szCs w:val="24"/>
          <w:lang w:val="en-IE"/>
        </w:rPr>
        <w:t xml:space="preserve"> </w:t>
      </w:r>
      <w:r w:rsidR="004F6407" w:rsidRPr="00532C20">
        <w:rPr>
          <w:rFonts w:ascii="Times New Roman" w:eastAsia="Calibri" w:hAnsi="Times New Roman" w:cs="Times New Roman"/>
          <w:noProof/>
          <w:sz w:val="24"/>
          <w:szCs w:val="24"/>
          <w:lang w:val="en-IE"/>
        </w:rPr>
        <w:t>3</w:t>
      </w:r>
      <w:r w:rsidRPr="00532C20">
        <w:rPr>
          <w:rFonts w:ascii="Times New Roman" w:eastAsia="Calibri" w:hAnsi="Times New Roman" w:cs="Times New Roman"/>
          <w:noProof/>
          <w:sz w:val="24"/>
          <w:szCs w:val="24"/>
          <w:lang w:val="en-IE"/>
        </w:rPr>
        <w:t xml:space="preserve"> respondent</w:t>
      </w:r>
      <w:r w:rsidR="00A61386" w:rsidRPr="00532C20">
        <w:rPr>
          <w:rFonts w:ascii="Times New Roman" w:eastAsia="Calibri" w:hAnsi="Times New Roman" w:cs="Times New Roman"/>
          <w:noProof/>
          <w:sz w:val="24"/>
          <w:szCs w:val="24"/>
          <w:lang w:val="en-IE"/>
        </w:rPr>
        <w:t xml:space="preserve"> </w:t>
      </w:r>
      <w:r w:rsidR="00AC722A" w:rsidRPr="00532C20">
        <w:rPr>
          <w:rFonts w:ascii="Times New Roman" w:eastAsia="Calibri" w:hAnsi="Times New Roman" w:cs="Times New Roman"/>
          <w:noProof/>
          <w:sz w:val="24"/>
          <w:szCs w:val="24"/>
          <w:lang w:val="en-IE"/>
        </w:rPr>
        <w:t>CSOs</w:t>
      </w:r>
      <w:r w:rsidRPr="00532C20">
        <w:rPr>
          <w:rFonts w:ascii="Times New Roman" w:eastAsia="Calibri" w:hAnsi="Times New Roman" w:cs="Times New Roman"/>
          <w:noProof/>
          <w:sz w:val="24"/>
          <w:szCs w:val="24"/>
          <w:lang w:val="en-IE"/>
        </w:rPr>
        <w:t xml:space="preserve"> put an emphasis on the issue</w:t>
      </w:r>
      <w:r w:rsidR="00432785" w:rsidRPr="00532C20">
        <w:rPr>
          <w:rFonts w:ascii="Times New Roman" w:eastAsia="Calibri" w:hAnsi="Times New Roman" w:cs="Times New Roman"/>
          <w:noProof/>
          <w:sz w:val="24"/>
          <w:szCs w:val="24"/>
          <w:lang w:val="en-IE"/>
        </w:rPr>
        <w:t xml:space="preserve"> of </w:t>
      </w:r>
      <w:r w:rsidRPr="00532C20">
        <w:rPr>
          <w:rFonts w:ascii="Times New Roman" w:eastAsia="Calibri" w:hAnsi="Times New Roman" w:cs="Times New Roman"/>
          <w:noProof/>
          <w:sz w:val="24"/>
          <w:szCs w:val="24"/>
          <w:lang w:val="en-IE"/>
        </w:rPr>
        <w:t>avoiding stigmatisation, explaining</w:t>
      </w:r>
      <w:r w:rsidR="00432785" w:rsidRPr="00532C20">
        <w:rPr>
          <w:rFonts w:ascii="Times New Roman" w:eastAsia="Calibri" w:hAnsi="Times New Roman" w:cs="Times New Roman"/>
          <w:noProof/>
          <w:sz w:val="24"/>
          <w:szCs w:val="24"/>
          <w:lang w:val="en-IE"/>
        </w:rPr>
        <w:t xml:space="preserve"> that registration should not lead to stigmatisation but to normalisation of interest representation, as legitimacy of interest representation does not depend on whose interest is being represented, but on the ethical standards that are applied when carrying out interest representation activities. </w:t>
      </w:r>
    </w:p>
    <w:p w14:paraId="5F8E1226" w14:textId="27F7A6C7" w:rsidR="00432785" w:rsidRPr="00532C20" w:rsidRDefault="00CB6F89"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The majority of </w:t>
      </w:r>
      <w:r w:rsidR="00432785" w:rsidRPr="00532C20">
        <w:rPr>
          <w:rFonts w:ascii="Times New Roman" w:eastAsia="Calibri" w:hAnsi="Times New Roman" w:cs="Times New Roman"/>
          <w:noProof/>
          <w:sz w:val="24"/>
          <w:szCs w:val="24"/>
          <w:lang w:val="en-IE"/>
        </w:rPr>
        <w:t>CSO</w:t>
      </w:r>
      <w:r w:rsidR="00382BF5" w:rsidRPr="00532C20">
        <w:rPr>
          <w:rFonts w:ascii="Times New Roman" w:eastAsia="Calibri" w:hAnsi="Times New Roman" w:cs="Times New Roman"/>
          <w:noProof/>
          <w:sz w:val="24"/>
          <w:szCs w:val="24"/>
          <w:lang w:val="en-IE"/>
        </w:rPr>
        <w:t>s</w:t>
      </w:r>
      <w:r w:rsidR="00432785" w:rsidRPr="00532C20">
        <w:rPr>
          <w:rFonts w:ascii="Times New Roman" w:eastAsia="Calibri" w:hAnsi="Times New Roman" w:cs="Times New Roman"/>
          <w:noProof/>
          <w:sz w:val="24"/>
          <w:szCs w:val="24"/>
          <w:lang w:val="en-IE"/>
        </w:rPr>
        <w:t xml:space="preserve"> indicated that a prior authorisation/licence system would risk amounting, in particular if applied to CSOs, to a disproportionate interference on the right to public participation.</w:t>
      </w:r>
      <w:r w:rsidR="00880762" w:rsidRPr="00532C20">
        <w:rPr>
          <w:rFonts w:ascii="Times New Roman" w:eastAsia="Calibri" w:hAnsi="Times New Roman" w:cs="Times New Roman"/>
          <w:noProof/>
          <w:sz w:val="24"/>
          <w:szCs w:val="24"/>
          <w:lang w:val="en-IE"/>
        </w:rPr>
        <w:t xml:space="preserve"> </w:t>
      </w:r>
      <w:r w:rsidR="009E1EFB" w:rsidRPr="00532C20">
        <w:rPr>
          <w:rFonts w:ascii="Times New Roman" w:eastAsia="Calibri" w:hAnsi="Times New Roman" w:cs="Times New Roman"/>
          <w:noProof/>
          <w:sz w:val="24"/>
          <w:szCs w:val="24"/>
          <w:lang w:val="en-IE"/>
        </w:rPr>
        <w:t>–</w:t>
      </w:r>
      <w:r w:rsidR="009E1EFB" w:rsidRPr="00532C20" w:rsidDel="004F6407">
        <w:rPr>
          <w:rFonts w:ascii="Times New Roman" w:eastAsia="Calibri" w:hAnsi="Times New Roman" w:cs="Times New Roman"/>
          <w:noProof/>
          <w:sz w:val="24"/>
          <w:szCs w:val="24"/>
          <w:lang w:val="en-IE"/>
        </w:rPr>
        <w:t xml:space="preserve"> </w:t>
      </w:r>
      <w:r w:rsidR="004F6407" w:rsidRPr="00532C20">
        <w:rPr>
          <w:rFonts w:ascii="Times New Roman" w:eastAsia="Calibri" w:hAnsi="Times New Roman" w:cs="Times New Roman"/>
          <w:noProof/>
          <w:sz w:val="24"/>
          <w:szCs w:val="24"/>
          <w:lang w:val="en-IE"/>
        </w:rPr>
        <w:t>5</w:t>
      </w:r>
      <w:r w:rsidR="009E1EFB" w:rsidRPr="00532C20">
        <w:rPr>
          <w:rFonts w:ascii="Times New Roman" w:eastAsia="Calibri" w:hAnsi="Times New Roman" w:cs="Times New Roman"/>
          <w:noProof/>
          <w:sz w:val="24"/>
          <w:szCs w:val="24"/>
          <w:lang w:val="en-IE"/>
        </w:rPr>
        <w:t xml:space="preserve"> of which indicating that such a system would run afoul of international and EU human rights law</w:t>
      </w:r>
      <w:r w:rsidR="00CC60C9" w:rsidRPr="00532C20">
        <w:rPr>
          <w:rFonts w:ascii="Times New Roman" w:eastAsia="Calibri" w:hAnsi="Times New Roman" w:cs="Times New Roman"/>
          <w:noProof/>
          <w:sz w:val="24"/>
          <w:szCs w:val="24"/>
          <w:lang w:val="en-IE"/>
        </w:rPr>
        <w:t>.</w:t>
      </w:r>
      <w:r w:rsidR="00880762" w:rsidRPr="00532C20">
        <w:rPr>
          <w:rFonts w:ascii="Times New Roman" w:eastAsia="Calibri" w:hAnsi="Times New Roman" w:cs="Times New Roman"/>
          <w:noProof/>
          <w:sz w:val="24"/>
          <w:szCs w:val="24"/>
          <w:lang w:val="en-IE"/>
        </w:rPr>
        <w:t xml:space="preserve"> However, </w:t>
      </w:r>
      <w:r w:rsidR="004F6407" w:rsidRPr="00532C20">
        <w:rPr>
          <w:rFonts w:ascii="Times New Roman" w:eastAsia="Calibri" w:hAnsi="Times New Roman" w:cs="Times New Roman"/>
          <w:noProof/>
          <w:sz w:val="24"/>
          <w:szCs w:val="24"/>
          <w:lang w:val="en-IE"/>
        </w:rPr>
        <w:t xml:space="preserve">1 </w:t>
      </w:r>
      <w:r w:rsidR="00880762" w:rsidRPr="00532C20">
        <w:rPr>
          <w:rFonts w:ascii="Times New Roman" w:eastAsia="Calibri" w:hAnsi="Times New Roman" w:cs="Times New Roman"/>
          <w:noProof/>
          <w:sz w:val="24"/>
          <w:szCs w:val="24"/>
          <w:lang w:val="en-IE"/>
        </w:rPr>
        <w:t>respondent indicated that it would be useful to create such a requirement</w:t>
      </w:r>
      <w:r w:rsidRPr="00532C20">
        <w:rPr>
          <w:rFonts w:ascii="Times New Roman" w:eastAsia="Calibri" w:hAnsi="Times New Roman" w:cs="Times New Roman"/>
          <w:noProof/>
          <w:sz w:val="24"/>
          <w:szCs w:val="24"/>
          <w:lang w:val="en-IE"/>
        </w:rPr>
        <w:t xml:space="preserve">, while </w:t>
      </w:r>
      <w:r w:rsidR="004F6407" w:rsidRPr="00532C20">
        <w:rPr>
          <w:rFonts w:ascii="Times New Roman" w:eastAsia="Calibri" w:hAnsi="Times New Roman" w:cs="Times New Roman"/>
          <w:noProof/>
          <w:sz w:val="24"/>
          <w:szCs w:val="24"/>
          <w:lang w:val="en-IE"/>
        </w:rPr>
        <w:t xml:space="preserve">3 </w:t>
      </w:r>
      <w:r w:rsidRPr="00532C20">
        <w:rPr>
          <w:rFonts w:ascii="Times New Roman" w:eastAsia="Calibri" w:hAnsi="Times New Roman" w:cs="Times New Roman"/>
          <w:noProof/>
          <w:sz w:val="24"/>
          <w:szCs w:val="24"/>
          <w:lang w:val="en-IE"/>
        </w:rPr>
        <w:t>others did not answer or address the questions related to prior authorisation/licensing.</w:t>
      </w:r>
    </w:p>
    <w:p w14:paraId="4D5D898A" w14:textId="52AD231E" w:rsidR="001B12D0" w:rsidRPr="00532C20" w:rsidRDefault="004F6407"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4</w:t>
      </w:r>
      <w:r w:rsidR="00382BF5" w:rsidRPr="00532C20">
        <w:rPr>
          <w:rFonts w:ascii="Times New Roman" w:eastAsia="Calibri" w:hAnsi="Times New Roman" w:cs="Times New Roman"/>
          <w:noProof/>
          <w:sz w:val="24"/>
          <w:szCs w:val="24"/>
          <w:lang w:val="en-IE"/>
        </w:rPr>
        <w:t xml:space="preserve"> CSOs expressed that </w:t>
      </w:r>
      <w:r w:rsidR="00B4321F" w:rsidRPr="00532C20">
        <w:rPr>
          <w:rFonts w:ascii="Times New Roman" w:eastAsia="Calibri" w:hAnsi="Times New Roman" w:cs="Times New Roman"/>
          <w:noProof/>
          <w:sz w:val="24"/>
          <w:szCs w:val="24"/>
          <w:lang w:val="en-IE"/>
        </w:rPr>
        <w:t xml:space="preserve">it would be disproportionate to </w:t>
      </w:r>
      <w:r w:rsidR="00112EC1" w:rsidRPr="00532C20">
        <w:rPr>
          <w:rFonts w:ascii="Times New Roman" w:eastAsia="Calibri" w:hAnsi="Times New Roman" w:cs="Times New Roman"/>
          <w:noProof/>
          <w:sz w:val="24"/>
          <w:szCs w:val="24"/>
          <w:lang w:val="en-IE"/>
        </w:rPr>
        <w:t>create a general requirement to disclose a registration number before meeting EU or Member States officials.</w:t>
      </w:r>
    </w:p>
    <w:p w14:paraId="685B1B09" w14:textId="57291E90" w:rsidR="00432785" w:rsidRPr="00532C20" w:rsidRDefault="00432785"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On the information which should be made publicly available in national registers to ensure accountability, </w:t>
      </w:r>
      <w:r w:rsidR="004F6407" w:rsidRPr="00532C20">
        <w:rPr>
          <w:rFonts w:ascii="Times New Roman" w:eastAsia="Calibri" w:hAnsi="Times New Roman" w:cs="Times New Roman"/>
          <w:noProof/>
          <w:sz w:val="24"/>
          <w:szCs w:val="24"/>
          <w:lang w:val="en-IE"/>
        </w:rPr>
        <w:t xml:space="preserve">1 </w:t>
      </w:r>
      <w:r w:rsidR="00EA7F92" w:rsidRPr="00532C20">
        <w:rPr>
          <w:rFonts w:ascii="Times New Roman" w:eastAsia="Calibri" w:hAnsi="Times New Roman" w:cs="Times New Roman"/>
          <w:noProof/>
          <w:sz w:val="24"/>
          <w:szCs w:val="24"/>
          <w:lang w:val="en-IE"/>
        </w:rPr>
        <w:t>contribution</w:t>
      </w:r>
      <w:r w:rsidRPr="00532C20">
        <w:rPr>
          <w:rFonts w:ascii="Times New Roman" w:eastAsia="Calibri" w:hAnsi="Times New Roman" w:cs="Times New Roman"/>
          <w:noProof/>
          <w:sz w:val="24"/>
          <w:szCs w:val="24"/>
          <w:lang w:val="en-IE"/>
        </w:rPr>
        <w:t xml:space="preserve"> suggested to </w:t>
      </w:r>
      <w:r w:rsidR="00EA7F92" w:rsidRPr="00532C20">
        <w:rPr>
          <w:rFonts w:ascii="Times New Roman" w:eastAsia="Calibri" w:hAnsi="Times New Roman" w:cs="Times New Roman"/>
          <w:noProof/>
          <w:sz w:val="24"/>
          <w:szCs w:val="24"/>
          <w:lang w:val="en-IE"/>
        </w:rPr>
        <w:t>make</w:t>
      </w:r>
      <w:r w:rsidRPr="00532C20">
        <w:rPr>
          <w:rFonts w:ascii="Times New Roman" w:eastAsia="Calibri" w:hAnsi="Times New Roman" w:cs="Times New Roman"/>
          <w:noProof/>
          <w:sz w:val="24"/>
          <w:szCs w:val="24"/>
          <w:lang w:val="en-IE"/>
        </w:rPr>
        <w:t xml:space="preserve"> publicly available an annual budget (income and expenditure) and an annual activity report.</w:t>
      </w:r>
    </w:p>
    <w:p w14:paraId="37734F21" w14:textId="415F766F" w:rsidR="002A7C36" w:rsidRPr="00532C20" w:rsidRDefault="004F6407"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2A7C36" w:rsidRPr="00532C20">
        <w:rPr>
          <w:rFonts w:ascii="Times New Roman" w:eastAsia="Calibri" w:hAnsi="Times New Roman" w:cs="Times New Roman"/>
          <w:noProof/>
          <w:sz w:val="24"/>
          <w:szCs w:val="24"/>
          <w:lang w:val="en-IE"/>
        </w:rPr>
        <w:t xml:space="preserve"> </w:t>
      </w:r>
      <w:r w:rsidR="009B0142" w:rsidRPr="00532C20">
        <w:rPr>
          <w:rFonts w:ascii="Times New Roman" w:eastAsia="Calibri" w:hAnsi="Times New Roman" w:cs="Times New Roman"/>
          <w:noProof/>
          <w:sz w:val="24"/>
          <w:szCs w:val="24"/>
          <w:lang w:val="en-IE"/>
        </w:rPr>
        <w:t>CSO proposed that the registration mechanism be user-</w:t>
      </w:r>
      <w:r w:rsidR="008C7736" w:rsidRPr="00532C20">
        <w:rPr>
          <w:rFonts w:ascii="Times New Roman" w:eastAsia="Calibri" w:hAnsi="Times New Roman" w:cs="Times New Roman"/>
          <w:noProof/>
          <w:sz w:val="24"/>
          <w:szCs w:val="24"/>
          <w:lang w:val="en-IE"/>
        </w:rPr>
        <w:t>friendly</w:t>
      </w:r>
      <w:r w:rsidR="009B0142" w:rsidRPr="00532C20">
        <w:rPr>
          <w:rFonts w:ascii="Times New Roman" w:eastAsia="Calibri" w:hAnsi="Times New Roman" w:cs="Times New Roman"/>
          <w:noProof/>
          <w:sz w:val="24"/>
          <w:szCs w:val="24"/>
          <w:lang w:val="en-IE"/>
        </w:rPr>
        <w:t xml:space="preserve"> and easily accessible to anyone, including people with disabilities. </w:t>
      </w:r>
    </w:p>
    <w:p w14:paraId="0A29234E" w14:textId="77777777" w:rsidR="00432785" w:rsidRPr="00532C20" w:rsidRDefault="00432785" w:rsidP="004B0958">
      <w:pPr>
        <w:spacing w:before="240" w:after="160" w:line="240" w:lineRule="auto"/>
        <w:ind w:left="720"/>
        <w:jc w:val="both"/>
        <w:rPr>
          <w:rFonts w:ascii="Times New Roman" w:eastAsia="Calibri" w:hAnsi="Times New Roman" w:cs="Times New Roman"/>
          <w:b/>
          <w:i/>
          <w:noProof/>
          <w:sz w:val="24"/>
          <w:szCs w:val="24"/>
          <w:lang w:val="en-IE"/>
        </w:rPr>
      </w:pPr>
      <w:r w:rsidRPr="00532C20">
        <w:rPr>
          <w:rFonts w:ascii="Times New Roman" w:eastAsia="Calibri" w:hAnsi="Times New Roman" w:cs="Times New Roman"/>
          <w:b/>
          <w:i/>
          <w:noProof/>
          <w:sz w:val="24"/>
          <w:szCs w:val="24"/>
          <w:lang w:val="en-IE"/>
        </w:rPr>
        <w:t>Derogations and safeguards</w:t>
      </w:r>
    </w:p>
    <w:p w14:paraId="673C248D" w14:textId="6C41BFDF" w:rsidR="00432785" w:rsidRPr="00532C20" w:rsidRDefault="000B79ED"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 xml:space="preserve">Most </w:t>
      </w:r>
      <w:r w:rsidR="00432785" w:rsidRPr="00532C20">
        <w:rPr>
          <w:rFonts w:ascii="Times New Roman" w:eastAsia="Calibri" w:hAnsi="Times New Roman" w:cs="Times New Roman"/>
          <w:noProof/>
          <w:sz w:val="24"/>
          <w:szCs w:val="24"/>
          <w:lang w:val="en-IE"/>
        </w:rPr>
        <w:t xml:space="preserve">CSOs </w:t>
      </w:r>
      <w:r w:rsidR="002B5A55" w:rsidRPr="00532C20">
        <w:rPr>
          <w:rFonts w:ascii="Times New Roman" w:eastAsia="Calibri" w:hAnsi="Times New Roman" w:cs="Times New Roman"/>
          <w:noProof/>
          <w:sz w:val="24"/>
          <w:szCs w:val="24"/>
          <w:lang w:val="en-IE"/>
        </w:rPr>
        <w:t>were of the opinion</w:t>
      </w:r>
      <w:r w:rsidR="00432785" w:rsidRPr="00532C20">
        <w:rPr>
          <w:rFonts w:ascii="Times New Roman" w:eastAsia="Calibri" w:hAnsi="Times New Roman" w:cs="Times New Roman"/>
          <w:noProof/>
          <w:sz w:val="24"/>
          <w:szCs w:val="24"/>
          <w:lang w:val="en-IE"/>
        </w:rPr>
        <w:t xml:space="preserve"> that entities involved in interest representation activities aiming to influence policy-making should not be exempt from requirement to register. CSOs highlighted that the Commission should put in place safeguards including on the language, enforcement and democratic impact. </w:t>
      </w:r>
    </w:p>
    <w:p w14:paraId="42CA38D0" w14:textId="2AA50D10" w:rsidR="005D3A13" w:rsidRPr="00532C20" w:rsidRDefault="004F6407"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4</w:t>
      </w:r>
      <w:r w:rsidR="00CB4847" w:rsidRPr="00532C20">
        <w:rPr>
          <w:rFonts w:ascii="Times New Roman" w:eastAsia="Calibri" w:hAnsi="Times New Roman" w:cs="Times New Roman"/>
          <w:noProof/>
          <w:sz w:val="24"/>
          <w:szCs w:val="24"/>
          <w:lang w:val="en-IE"/>
        </w:rPr>
        <w:t xml:space="preserve"> CSOs highlighted the need to create a minimum threshold for certain types of entities in order to avoid that all CSOs would fall under the obligation to register. </w:t>
      </w:r>
    </w:p>
    <w:p w14:paraId="4516C2EF" w14:textId="763FCC02" w:rsidR="007C4F9A" w:rsidRPr="00532C20" w:rsidRDefault="004F6407"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2</w:t>
      </w:r>
      <w:r w:rsidR="0079597A" w:rsidRPr="00532C20">
        <w:rPr>
          <w:rFonts w:ascii="Times New Roman" w:eastAsia="Calibri" w:hAnsi="Times New Roman" w:cs="Times New Roman"/>
          <w:noProof/>
          <w:sz w:val="24"/>
          <w:szCs w:val="24"/>
          <w:lang w:val="en-IE"/>
        </w:rPr>
        <w:t xml:space="preserve"> respondent CSO</w:t>
      </w:r>
      <w:r w:rsidR="002B7EF9" w:rsidRPr="00532C20">
        <w:rPr>
          <w:rFonts w:ascii="Times New Roman" w:eastAsia="Calibri" w:hAnsi="Times New Roman" w:cs="Times New Roman"/>
          <w:noProof/>
          <w:sz w:val="24"/>
          <w:szCs w:val="24"/>
          <w:lang w:val="en-IE"/>
        </w:rPr>
        <w:t>s</w:t>
      </w:r>
      <w:r w:rsidR="0079597A" w:rsidRPr="00532C20">
        <w:rPr>
          <w:rFonts w:ascii="Times New Roman" w:eastAsia="Calibri" w:hAnsi="Times New Roman" w:cs="Times New Roman"/>
          <w:noProof/>
          <w:sz w:val="24"/>
          <w:szCs w:val="24"/>
          <w:lang w:val="en-IE"/>
        </w:rPr>
        <w:t xml:space="preserve"> expressed that there should be </w:t>
      </w:r>
      <w:r w:rsidR="002B7EF9" w:rsidRPr="00532C20">
        <w:rPr>
          <w:rFonts w:ascii="Times New Roman" w:eastAsia="Calibri" w:hAnsi="Times New Roman" w:cs="Times New Roman"/>
          <w:noProof/>
          <w:sz w:val="24"/>
          <w:szCs w:val="24"/>
          <w:lang w:val="en-IE"/>
        </w:rPr>
        <w:t>no</w:t>
      </w:r>
      <w:r w:rsidR="0079597A" w:rsidRPr="00532C20">
        <w:rPr>
          <w:rFonts w:ascii="Times New Roman" w:eastAsia="Calibri" w:hAnsi="Times New Roman" w:cs="Times New Roman"/>
          <w:noProof/>
          <w:sz w:val="24"/>
          <w:szCs w:val="24"/>
          <w:lang w:val="en-IE"/>
        </w:rPr>
        <w:t xml:space="preserve"> exemption for CSOs from the scope of the initiative, while </w:t>
      </w:r>
      <w:r w:rsidRPr="00532C20">
        <w:rPr>
          <w:rFonts w:ascii="Times New Roman" w:eastAsia="Calibri" w:hAnsi="Times New Roman" w:cs="Times New Roman"/>
          <w:noProof/>
          <w:sz w:val="24"/>
          <w:szCs w:val="24"/>
          <w:lang w:val="en-IE"/>
        </w:rPr>
        <w:t xml:space="preserve">2 </w:t>
      </w:r>
      <w:r w:rsidR="000606B2" w:rsidRPr="00532C20">
        <w:rPr>
          <w:rFonts w:ascii="Times New Roman" w:eastAsia="Calibri" w:hAnsi="Times New Roman" w:cs="Times New Roman"/>
          <w:noProof/>
          <w:sz w:val="24"/>
          <w:szCs w:val="24"/>
          <w:lang w:val="en-IE"/>
        </w:rPr>
        <w:t xml:space="preserve">other </w:t>
      </w:r>
      <w:r w:rsidR="005F2879" w:rsidRPr="00532C20">
        <w:rPr>
          <w:rFonts w:ascii="Times New Roman" w:eastAsia="Calibri" w:hAnsi="Times New Roman" w:cs="Times New Roman"/>
          <w:noProof/>
          <w:sz w:val="24"/>
          <w:szCs w:val="24"/>
          <w:lang w:val="en-IE"/>
        </w:rPr>
        <w:t xml:space="preserve">respondents expressed on the contrary that they should benefit from </w:t>
      </w:r>
      <w:r w:rsidR="00D900FD" w:rsidRPr="00532C20">
        <w:rPr>
          <w:rFonts w:ascii="Times New Roman" w:eastAsia="Calibri" w:hAnsi="Times New Roman" w:cs="Times New Roman"/>
          <w:noProof/>
          <w:sz w:val="24"/>
          <w:szCs w:val="24"/>
          <w:lang w:val="en-IE"/>
        </w:rPr>
        <w:t>an</w:t>
      </w:r>
      <w:r w:rsidR="005F2879" w:rsidRPr="00532C20">
        <w:rPr>
          <w:rFonts w:ascii="Times New Roman" w:eastAsia="Calibri" w:hAnsi="Times New Roman" w:cs="Times New Roman"/>
          <w:noProof/>
          <w:sz w:val="24"/>
          <w:szCs w:val="24"/>
          <w:lang w:val="en-IE"/>
        </w:rPr>
        <w:t xml:space="preserve"> exemption</w:t>
      </w:r>
      <w:r w:rsidR="00144EA7" w:rsidRPr="00532C20">
        <w:rPr>
          <w:rFonts w:ascii="Times New Roman" w:eastAsia="Calibri" w:hAnsi="Times New Roman" w:cs="Times New Roman"/>
          <w:noProof/>
          <w:sz w:val="24"/>
          <w:szCs w:val="24"/>
          <w:lang w:val="en-IE"/>
        </w:rPr>
        <w:t xml:space="preserve"> (the first exemption proposed was to exclude youth organisations, while the other </w:t>
      </w:r>
      <w:r w:rsidR="00640170" w:rsidRPr="00532C20">
        <w:rPr>
          <w:rFonts w:ascii="Times New Roman" w:eastAsia="Calibri" w:hAnsi="Times New Roman" w:cs="Times New Roman"/>
          <w:noProof/>
          <w:sz w:val="24"/>
          <w:szCs w:val="24"/>
          <w:lang w:val="en-IE"/>
        </w:rPr>
        <w:t xml:space="preserve">concerned entities known to </w:t>
      </w:r>
      <w:r w:rsidR="00640170" w:rsidRPr="00532C20">
        <w:rPr>
          <w:rFonts w:ascii="Times New Roman" w:eastAsia="Calibri" w:hAnsi="Times New Roman" w:cs="Times New Roman"/>
          <w:i/>
          <w:noProof/>
          <w:sz w:val="24"/>
          <w:szCs w:val="24"/>
          <w:lang w:val="en-IE"/>
        </w:rPr>
        <w:t>bona fide</w:t>
      </w:r>
      <w:r w:rsidR="00640170" w:rsidRPr="00532C20">
        <w:rPr>
          <w:rFonts w:ascii="Times New Roman" w:eastAsia="Calibri" w:hAnsi="Times New Roman" w:cs="Times New Roman"/>
          <w:noProof/>
          <w:sz w:val="24"/>
          <w:szCs w:val="24"/>
          <w:lang w:val="en-IE"/>
        </w:rPr>
        <w:t xml:space="preserve"> pursue public interest).</w:t>
      </w:r>
    </w:p>
    <w:p w14:paraId="064F5BD5" w14:textId="0CC41270" w:rsidR="00640170" w:rsidRPr="00532C20" w:rsidRDefault="004F6407"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640170" w:rsidRPr="00532C20">
        <w:rPr>
          <w:rFonts w:ascii="Times New Roman" w:eastAsia="Calibri" w:hAnsi="Times New Roman" w:cs="Times New Roman"/>
          <w:noProof/>
          <w:sz w:val="24"/>
          <w:szCs w:val="24"/>
          <w:lang w:val="en-IE"/>
        </w:rPr>
        <w:t xml:space="preserve"> respondent </w:t>
      </w:r>
      <w:r w:rsidR="009A25D6" w:rsidRPr="00532C20">
        <w:rPr>
          <w:rFonts w:ascii="Times New Roman" w:eastAsia="Calibri" w:hAnsi="Times New Roman" w:cs="Times New Roman"/>
          <w:noProof/>
          <w:sz w:val="24"/>
          <w:szCs w:val="24"/>
          <w:lang w:val="en-IE"/>
        </w:rPr>
        <w:t xml:space="preserve">underlined the need to avoid creating a system of double registration: </w:t>
      </w:r>
      <w:r w:rsidR="000F2F4A" w:rsidRPr="00532C20">
        <w:rPr>
          <w:rFonts w:ascii="Times New Roman" w:eastAsia="Calibri" w:hAnsi="Times New Roman" w:cs="Times New Roman"/>
          <w:noProof/>
          <w:sz w:val="24"/>
          <w:szCs w:val="24"/>
          <w:lang w:val="en-IE"/>
        </w:rPr>
        <w:t xml:space="preserve">in </w:t>
      </w:r>
      <w:r w:rsidR="009A25D6" w:rsidRPr="00532C20">
        <w:rPr>
          <w:rFonts w:ascii="Times New Roman" w:eastAsia="Calibri" w:hAnsi="Times New Roman" w:cs="Times New Roman"/>
          <w:noProof/>
          <w:sz w:val="24"/>
          <w:szCs w:val="24"/>
          <w:lang w:val="en-IE"/>
        </w:rPr>
        <w:t xml:space="preserve">one </w:t>
      </w:r>
      <w:r w:rsidR="000F2F4A" w:rsidRPr="00532C20">
        <w:rPr>
          <w:rFonts w:ascii="Times New Roman" w:eastAsia="Calibri" w:hAnsi="Times New Roman" w:cs="Times New Roman"/>
          <w:noProof/>
          <w:sz w:val="24"/>
          <w:szCs w:val="24"/>
          <w:lang w:val="en-IE"/>
        </w:rPr>
        <w:t xml:space="preserve">register </w:t>
      </w:r>
      <w:r w:rsidR="009A25D6" w:rsidRPr="00532C20">
        <w:rPr>
          <w:rFonts w:ascii="Times New Roman" w:eastAsia="Calibri" w:hAnsi="Times New Roman" w:cs="Times New Roman"/>
          <w:noProof/>
          <w:sz w:val="24"/>
          <w:szCs w:val="24"/>
          <w:lang w:val="en-IE"/>
        </w:rPr>
        <w:t xml:space="preserve">for interest representation activities in general and </w:t>
      </w:r>
      <w:r w:rsidR="000F2F4A" w:rsidRPr="00532C20">
        <w:rPr>
          <w:rFonts w:ascii="Times New Roman" w:eastAsia="Calibri" w:hAnsi="Times New Roman" w:cs="Times New Roman"/>
          <w:noProof/>
          <w:sz w:val="24"/>
          <w:szCs w:val="24"/>
          <w:lang w:val="en-IE"/>
        </w:rPr>
        <w:t xml:space="preserve">in another one </w:t>
      </w:r>
      <w:r w:rsidR="009A25D6" w:rsidRPr="00532C20">
        <w:rPr>
          <w:rFonts w:ascii="Times New Roman" w:eastAsia="Calibri" w:hAnsi="Times New Roman" w:cs="Times New Roman"/>
          <w:noProof/>
          <w:sz w:val="24"/>
          <w:szCs w:val="24"/>
          <w:lang w:val="en-IE"/>
        </w:rPr>
        <w:t xml:space="preserve">for </w:t>
      </w:r>
      <w:r w:rsidR="000F2F4A" w:rsidRPr="00532C20">
        <w:rPr>
          <w:rFonts w:ascii="Times New Roman" w:eastAsia="Calibri" w:hAnsi="Times New Roman" w:cs="Times New Roman"/>
          <w:noProof/>
          <w:sz w:val="24"/>
          <w:szCs w:val="24"/>
          <w:lang w:val="en-IE"/>
        </w:rPr>
        <w:t xml:space="preserve">when they are carried out on behalf of third countries. </w:t>
      </w:r>
    </w:p>
    <w:p w14:paraId="68EB5618" w14:textId="0A592BD7" w:rsidR="00DE2AEB" w:rsidRPr="00532C20" w:rsidRDefault="004F6407"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4</w:t>
      </w:r>
      <w:r w:rsidR="008D10CC" w:rsidRPr="00532C20">
        <w:rPr>
          <w:rFonts w:ascii="Times New Roman" w:eastAsia="Calibri" w:hAnsi="Times New Roman" w:cs="Times New Roman"/>
          <w:noProof/>
          <w:sz w:val="24"/>
          <w:szCs w:val="24"/>
          <w:lang w:val="en-IE"/>
        </w:rPr>
        <w:t xml:space="preserve"> respondents</w:t>
      </w:r>
      <w:r w:rsidR="00432785" w:rsidRPr="00532C20">
        <w:rPr>
          <w:rFonts w:ascii="Times New Roman" w:eastAsia="Calibri" w:hAnsi="Times New Roman" w:cs="Times New Roman"/>
          <w:noProof/>
          <w:sz w:val="24"/>
          <w:szCs w:val="24"/>
          <w:lang w:val="en-IE"/>
        </w:rPr>
        <w:t xml:space="preserve"> expressed that </w:t>
      </w:r>
      <w:r w:rsidR="008D10CC" w:rsidRPr="00532C20">
        <w:rPr>
          <w:rFonts w:ascii="Times New Roman" w:eastAsia="Calibri" w:hAnsi="Times New Roman" w:cs="Times New Roman"/>
          <w:noProof/>
          <w:sz w:val="24"/>
          <w:szCs w:val="24"/>
          <w:lang w:val="en-IE"/>
        </w:rPr>
        <w:t>requirements should rely</w:t>
      </w:r>
      <w:r w:rsidR="00432785" w:rsidRPr="00532C20">
        <w:rPr>
          <w:rFonts w:ascii="Times New Roman" w:eastAsia="Calibri" w:hAnsi="Times New Roman" w:cs="Times New Roman"/>
          <w:noProof/>
          <w:sz w:val="24"/>
          <w:szCs w:val="24"/>
          <w:lang w:val="en-IE"/>
        </w:rPr>
        <w:t xml:space="preserve"> on a strict risk-based approach in order to avoid discriminatory practices.</w:t>
      </w:r>
      <w:r w:rsidR="009F6EF6" w:rsidRPr="00532C20">
        <w:rPr>
          <w:rFonts w:ascii="Times New Roman" w:eastAsia="Calibri" w:hAnsi="Times New Roman" w:cs="Times New Roman"/>
          <w:noProof/>
          <w:sz w:val="24"/>
          <w:szCs w:val="24"/>
          <w:lang w:val="en-IE"/>
        </w:rPr>
        <w:t xml:space="preserve"> </w:t>
      </w:r>
    </w:p>
    <w:p w14:paraId="019F8FCD" w14:textId="5ED5CC54" w:rsidR="00F02B31" w:rsidRPr="00532C20" w:rsidRDefault="004F6407"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2</w:t>
      </w:r>
      <w:r w:rsidR="00F02B31" w:rsidRPr="00532C20">
        <w:rPr>
          <w:rFonts w:ascii="Times New Roman" w:eastAsia="Calibri" w:hAnsi="Times New Roman" w:cs="Times New Roman"/>
          <w:noProof/>
          <w:sz w:val="24"/>
          <w:szCs w:val="24"/>
          <w:lang w:val="en-IE"/>
        </w:rPr>
        <w:t xml:space="preserve"> respondent</w:t>
      </w:r>
      <w:r w:rsidR="00DE2AEB" w:rsidRPr="00532C20">
        <w:rPr>
          <w:rFonts w:ascii="Times New Roman" w:eastAsia="Calibri" w:hAnsi="Times New Roman" w:cs="Times New Roman"/>
          <w:noProof/>
          <w:sz w:val="24"/>
          <w:szCs w:val="24"/>
          <w:lang w:val="en-IE"/>
        </w:rPr>
        <w:t>s</w:t>
      </w:r>
      <w:r w:rsidR="00F02B31" w:rsidRPr="00532C20">
        <w:rPr>
          <w:rFonts w:ascii="Times New Roman" w:eastAsia="Calibri" w:hAnsi="Times New Roman" w:cs="Times New Roman"/>
          <w:noProof/>
          <w:sz w:val="24"/>
          <w:szCs w:val="24"/>
          <w:lang w:val="en-IE"/>
        </w:rPr>
        <w:t xml:space="preserve"> expressed that </w:t>
      </w:r>
      <w:r w:rsidR="00B9143D" w:rsidRPr="00532C20">
        <w:rPr>
          <w:rFonts w:ascii="Times New Roman" w:eastAsia="Calibri" w:hAnsi="Times New Roman" w:cs="Times New Roman"/>
          <w:noProof/>
          <w:sz w:val="24"/>
          <w:szCs w:val="24"/>
          <w:lang w:val="en-IE"/>
        </w:rPr>
        <w:t>there should be no white list or black list of third countries,</w:t>
      </w:r>
      <w:r w:rsidR="00026DB1" w:rsidRPr="00532C20">
        <w:rPr>
          <w:rFonts w:ascii="Times New Roman" w:eastAsia="Calibri" w:hAnsi="Times New Roman" w:cs="Times New Roman"/>
          <w:noProof/>
          <w:sz w:val="24"/>
          <w:szCs w:val="24"/>
          <w:lang w:val="en-IE"/>
        </w:rPr>
        <w:t xml:space="preserve">1 </w:t>
      </w:r>
      <w:r w:rsidR="00DE2AEB" w:rsidRPr="00532C20">
        <w:rPr>
          <w:rFonts w:ascii="Times New Roman" w:eastAsia="Calibri" w:hAnsi="Times New Roman" w:cs="Times New Roman"/>
          <w:noProof/>
          <w:sz w:val="24"/>
          <w:szCs w:val="24"/>
          <w:lang w:val="en-IE"/>
        </w:rPr>
        <w:t xml:space="preserve">of which stressing that it should especially not be left to Member States to draw up such lists as </w:t>
      </w:r>
      <w:r w:rsidR="00F951F9" w:rsidRPr="00532C20">
        <w:rPr>
          <w:rFonts w:ascii="Times New Roman" w:eastAsia="Calibri" w:hAnsi="Times New Roman" w:cs="Times New Roman"/>
          <w:noProof/>
          <w:sz w:val="24"/>
          <w:szCs w:val="24"/>
          <w:lang w:val="en-IE"/>
        </w:rPr>
        <w:t>countries would risk being excluded or included based on political or economic ties with that Member State, thereby creating circumvention risks.</w:t>
      </w:r>
      <w:r w:rsidR="00B9143D" w:rsidRPr="00532C20">
        <w:rPr>
          <w:rFonts w:ascii="Times New Roman" w:eastAsia="Calibri" w:hAnsi="Times New Roman" w:cs="Times New Roman"/>
          <w:noProof/>
          <w:sz w:val="24"/>
          <w:szCs w:val="24"/>
          <w:lang w:val="en-IE"/>
        </w:rPr>
        <w:t xml:space="preserve"> </w:t>
      </w:r>
      <w:r w:rsidR="000103F1" w:rsidRPr="00532C20">
        <w:rPr>
          <w:rFonts w:ascii="Times New Roman" w:eastAsia="Calibri" w:hAnsi="Times New Roman" w:cs="Times New Roman"/>
          <w:noProof/>
          <w:sz w:val="24"/>
          <w:szCs w:val="24"/>
          <w:lang w:val="en-IE"/>
        </w:rPr>
        <w:t>However,</w:t>
      </w:r>
      <w:r w:rsidR="000103F1" w:rsidRPr="00532C20" w:rsidDel="00A958DE">
        <w:rPr>
          <w:rFonts w:ascii="Times New Roman" w:eastAsia="Calibri" w:hAnsi="Times New Roman" w:cs="Times New Roman"/>
          <w:noProof/>
          <w:sz w:val="24"/>
          <w:szCs w:val="24"/>
          <w:lang w:val="en-IE"/>
        </w:rPr>
        <w:t xml:space="preserve"> </w:t>
      </w:r>
      <w:r w:rsidR="00A958DE" w:rsidRPr="00532C20">
        <w:rPr>
          <w:rFonts w:ascii="Times New Roman" w:eastAsia="Calibri" w:hAnsi="Times New Roman" w:cs="Times New Roman"/>
          <w:noProof/>
          <w:sz w:val="24"/>
          <w:szCs w:val="24"/>
          <w:lang w:val="en-IE"/>
        </w:rPr>
        <w:t>1</w:t>
      </w:r>
      <w:r w:rsidR="000103F1" w:rsidRPr="00532C20">
        <w:rPr>
          <w:rFonts w:ascii="Times New Roman" w:eastAsia="Calibri" w:hAnsi="Times New Roman" w:cs="Times New Roman"/>
          <w:noProof/>
          <w:sz w:val="24"/>
          <w:szCs w:val="24"/>
          <w:lang w:val="en-IE"/>
        </w:rPr>
        <w:t xml:space="preserve"> respondent expressed that as part of a risk-based approach there should still be </w:t>
      </w:r>
      <w:r w:rsidR="00B2089C" w:rsidRPr="00532C20">
        <w:rPr>
          <w:rFonts w:ascii="Times New Roman" w:eastAsia="Calibri" w:hAnsi="Times New Roman" w:cs="Times New Roman"/>
          <w:noProof/>
          <w:sz w:val="24"/>
          <w:szCs w:val="24"/>
          <w:lang w:val="en-IE"/>
        </w:rPr>
        <w:t xml:space="preserve">a </w:t>
      </w:r>
      <w:r w:rsidR="000103F1" w:rsidRPr="00532C20">
        <w:rPr>
          <w:rFonts w:ascii="Times New Roman" w:eastAsia="Calibri" w:hAnsi="Times New Roman" w:cs="Times New Roman"/>
          <w:noProof/>
          <w:sz w:val="24"/>
          <w:szCs w:val="24"/>
          <w:lang w:val="en-IE"/>
        </w:rPr>
        <w:t xml:space="preserve">distinction </w:t>
      </w:r>
      <w:r w:rsidR="00B2089C" w:rsidRPr="00532C20">
        <w:rPr>
          <w:rFonts w:ascii="Times New Roman" w:eastAsia="Calibri" w:hAnsi="Times New Roman" w:cs="Times New Roman"/>
          <w:noProof/>
          <w:sz w:val="24"/>
          <w:szCs w:val="24"/>
          <w:lang w:val="en-IE"/>
        </w:rPr>
        <w:t>between democ</w:t>
      </w:r>
      <w:r w:rsidR="00E94C57" w:rsidRPr="00532C20">
        <w:rPr>
          <w:rFonts w:ascii="Times New Roman" w:eastAsia="Calibri" w:hAnsi="Times New Roman" w:cs="Times New Roman"/>
          <w:noProof/>
          <w:sz w:val="24"/>
          <w:szCs w:val="24"/>
          <w:lang w:val="en-IE"/>
        </w:rPr>
        <w:t xml:space="preserve">ratic and non-democratic countries. </w:t>
      </w:r>
    </w:p>
    <w:p w14:paraId="54C2EFF9" w14:textId="67938C67" w:rsidR="00432785" w:rsidRPr="00532C20" w:rsidRDefault="00A958DE"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185D4B" w:rsidRPr="00532C20">
        <w:rPr>
          <w:rFonts w:ascii="Times New Roman" w:eastAsia="Calibri" w:hAnsi="Times New Roman" w:cs="Times New Roman"/>
          <w:noProof/>
          <w:sz w:val="24"/>
          <w:szCs w:val="24"/>
          <w:lang w:val="en-IE"/>
        </w:rPr>
        <w:t xml:space="preserve"> respondent</w:t>
      </w:r>
      <w:r w:rsidR="00432785" w:rsidRPr="00532C20">
        <w:rPr>
          <w:rFonts w:ascii="Times New Roman" w:eastAsia="Calibri" w:hAnsi="Times New Roman" w:cs="Times New Roman"/>
          <w:noProof/>
          <w:sz w:val="24"/>
          <w:szCs w:val="24"/>
          <w:lang w:val="en-IE"/>
        </w:rPr>
        <w:t xml:space="preserve"> highlighted </w:t>
      </w:r>
      <w:r w:rsidR="009914D7" w:rsidRPr="00532C20">
        <w:rPr>
          <w:rFonts w:ascii="Times New Roman" w:eastAsia="Calibri" w:hAnsi="Times New Roman" w:cs="Times New Roman"/>
          <w:noProof/>
          <w:sz w:val="24"/>
          <w:szCs w:val="24"/>
          <w:lang w:val="en-IE"/>
        </w:rPr>
        <w:t>that</w:t>
      </w:r>
      <w:r w:rsidR="00432785" w:rsidRPr="00532C20">
        <w:rPr>
          <w:rFonts w:ascii="Times New Roman" w:eastAsia="Calibri" w:hAnsi="Times New Roman" w:cs="Times New Roman"/>
          <w:noProof/>
          <w:sz w:val="24"/>
          <w:szCs w:val="24"/>
          <w:lang w:val="en-IE"/>
        </w:rPr>
        <w:t xml:space="preserve"> principles of transparency and accountability inherent to the right to good administration should be taken into account, </w:t>
      </w:r>
      <w:r w:rsidR="009914D7" w:rsidRPr="00532C20">
        <w:rPr>
          <w:rFonts w:ascii="Times New Roman" w:eastAsia="Calibri" w:hAnsi="Times New Roman" w:cs="Times New Roman"/>
          <w:noProof/>
          <w:sz w:val="24"/>
          <w:szCs w:val="24"/>
          <w:lang w:val="en-IE"/>
        </w:rPr>
        <w:t xml:space="preserve">and </w:t>
      </w:r>
      <w:r w:rsidRPr="00532C20">
        <w:rPr>
          <w:rFonts w:ascii="Times New Roman" w:eastAsia="Calibri" w:hAnsi="Times New Roman" w:cs="Times New Roman"/>
          <w:noProof/>
          <w:sz w:val="24"/>
          <w:szCs w:val="24"/>
          <w:lang w:val="en-IE"/>
        </w:rPr>
        <w:t xml:space="preserve">3 </w:t>
      </w:r>
      <w:r w:rsidR="009914D7" w:rsidRPr="00532C20">
        <w:rPr>
          <w:rFonts w:ascii="Times New Roman" w:eastAsia="Calibri" w:hAnsi="Times New Roman" w:cs="Times New Roman"/>
          <w:noProof/>
          <w:sz w:val="24"/>
          <w:szCs w:val="24"/>
          <w:lang w:val="en-IE"/>
        </w:rPr>
        <w:t>respondent</w:t>
      </w:r>
      <w:r w:rsidR="00FC14C1" w:rsidRPr="00532C20">
        <w:rPr>
          <w:rFonts w:ascii="Times New Roman" w:eastAsia="Calibri" w:hAnsi="Times New Roman" w:cs="Times New Roman"/>
          <w:noProof/>
          <w:sz w:val="24"/>
          <w:szCs w:val="24"/>
          <w:lang w:val="en-IE"/>
        </w:rPr>
        <w:t>s</w:t>
      </w:r>
      <w:r w:rsidR="009914D7" w:rsidRPr="00532C20">
        <w:rPr>
          <w:rFonts w:ascii="Times New Roman" w:eastAsia="Calibri" w:hAnsi="Times New Roman" w:cs="Times New Roman"/>
          <w:noProof/>
          <w:sz w:val="24"/>
          <w:szCs w:val="24"/>
          <w:lang w:val="en-IE"/>
        </w:rPr>
        <w:t xml:space="preserve"> </w:t>
      </w:r>
      <w:r w:rsidR="00FC14C1" w:rsidRPr="00532C20">
        <w:rPr>
          <w:rFonts w:ascii="Times New Roman" w:eastAsia="Calibri" w:hAnsi="Times New Roman" w:cs="Times New Roman"/>
          <w:noProof/>
          <w:sz w:val="24"/>
          <w:szCs w:val="24"/>
          <w:lang w:val="en-IE"/>
        </w:rPr>
        <w:t>specifically</w:t>
      </w:r>
      <w:r w:rsidR="009914D7" w:rsidRPr="00532C20">
        <w:rPr>
          <w:rFonts w:ascii="Times New Roman" w:eastAsia="Calibri" w:hAnsi="Times New Roman" w:cs="Times New Roman"/>
          <w:noProof/>
          <w:sz w:val="24"/>
          <w:szCs w:val="24"/>
          <w:lang w:val="en-IE"/>
        </w:rPr>
        <w:t xml:space="preserve"> referred to </w:t>
      </w:r>
      <w:r w:rsidR="00FC14C1" w:rsidRPr="00532C20">
        <w:rPr>
          <w:rFonts w:ascii="Times New Roman" w:eastAsia="Calibri" w:hAnsi="Times New Roman" w:cs="Times New Roman"/>
          <w:noProof/>
          <w:sz w:val="24"/>
          <w:szCs w:val="24"/>
          <w:lang w:val="en-IE"/>
        </w:rPr>
        <w:t>the need to ensure</w:t>
      </w:r>
      <w:r w:rsidR="00432785" w:rsidRPr="00532C20">
        <w:rPr>
          <w:rFonts w:ascii="Times New Roman" w:eastAsia="Calibri" w:hAnsi="Times New Roman" w:cs="Times New Roman"/>
          <w:noProof/>
          <w:sz w:val="24"/>
          <w:szCs w:val="24"/>
          <w:lang w:val="en-IE"/>
        </w:rPr>
        <w:t xml:space="preserve"> safeguards required by the right to an effective remedy and to a fair trial. </w:t>
      </w:r>
    </w:p>
    <w:p w14:paraId="557CFC05" w14:textId="77777777" w:rsidR="00A469C9" w:rsidRPr="00532C20" w:rsidRDefault="00EA02A1" w:rsidP="004B0958">
      <w:pPr>
        <w:spacing w:before="240" w:after="160" w:line="240" w:lineRule="auto"/>
        <w:ind w:left="720"/>
        <w:jc w:val="both"/>
        <w:rPr>
          <w:rFonts w:ascii="Times New Roman" w:eastAsia="Calibri" w:hAnsi="Times New Roman" w:cs="Times New Roman"/>
          <w:b/>
          <w:i/>
          <w:noProof/>
          <w:sz w:val="24"/>
          <w:szCs w:val="24"/>
          <w:lang w:val="en-IE"/>
        </w:rPr>
      </w:pPr>
      <w:r w:rsidRPr="00532C20">
        <w:rPr>
          <w:rFonts w:ascii="Times New Roman" w:eastAsia="Calibri" w:hAnsi="Times New Roman" w:cs="Times New Roman"/>
          <w:b/>
          <w:i/>
          <w:noProof/>
          <w:sz w:val="24"/>
          <w:szCs w:val="24"/>
          <w:lang w:val="en-IE"/>
        </w:rPr>
        <w:t>Monitoring and sanctions</w:t>
      </w:r>
    </w:p>
    <w:p w14:paraId="36DD407B" w14:textId="44037415" w:rsidR="00EA02A1" w:rsidRPr="00532C20" w:rsidRDefault="00A958DE"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7</w:t>
      </w:r>
      <w:r w:rsidR="00B01B70" w:rsidRPr="00532C20">
        <w:rPr>
          <w:rFonts w:ascii="Times New Roman" w:eastAsia="Calibri" w:hAnsi="Times New Roman" w:cs="Times New Roman"/>
          <w:noProof/>
          <w:sz w:val="24"/>
          <w:szCs w:val="24"/>
          <w:lang w:val="en-IE"/>
        </w:rPr>
        <w:t xml:space="preserve"> </w:t>
      </w:r>
      <w:r w:rsidR="00EA02A1" w:rsidRPr="00532C20">
        <w:rPr>
          <w:rFonts w:ascii="Times New Roman" w:eastAsia="Calibri" w:hAnsi="Times New Roman" w:cs="Times New Roman"/>
          <w:noProof/>
          <w:sz w:val="24"/>
          <w:szCs w:val="24"/>
          <w:lang w:val="en-IE"/>
        </w:rPr>
        <w:t xml:space="preserve">CSOs welcomed the establishment of an independent oversight body to ensure that the transparency register is regularly and properly monitored. </w:t>
      </w:r>
      <w:r w:rsidRPr="00532C20">
        <w:rPr>
          <w:rFonts w:ascii="Times New Roman" w:eastAsia="Calibri" w:hAnsi="Times New Roman" w:cs="Times New Roman"/>
          <w:noProof/>
          <w:sz w:val="24"/>
          <w:szCs w:val="24"/>
          <w:lang w:val="en-IE"/>
        </w:rPr>
        <w:t>1</w:t>
      </w:r>
      <w:r w:rsidR="00EA02A1" w:rsidRPr="00532C20">
        <w:rPr>
          <w:rFonts w:ascii="Times New Roman" w:eastAsia="Calibri" w:hAnsi="Times New Roman" w:cs="Times New Roman"/>
          <w:noProof/>
          <w:sz w:val="24"/>
          <w:szCs w:val="24"/>
          <w:lang w:val="en-IE"/>
        </w:rPr>
        <w:t xml:space="preserve"> of them suggested that there should be cooperation with the Transparency Register Secretariat</w:t>
      </w:r>
      <w:r w:rsidR="00432785" w:rsidRPr="00532C20">
        <w:rPr>
          <w:rFonts w:ascii="Times New Roman" w:eastAsia="Calibri" w:hAnsi="Times New Roman" w:cs="Times New Roman"/>
          <w:noProof/>
          <w:sz w:val="24"/>
          <w:szCs w:val="24"/>
          <w:lang w:val="en-IE"/>
        </w:rPr>
        <w:t xml:space="preserve"> managed by the Commis</w:t>
      </w:r>
      <w:r w:rsidR="00CF30DE" w:rsidRPr="00532C20">
        <w:rPr>
          <w:rFonts w:ascii="Times New Roman" w:eastAsia="Calibri" w:hAnsi="Times New Roman" w:cs="Times New Roman"/>
          <w:noProof/>
          <w:sz w:val="24"/>
          <w:szCs w:val="24"/>
          <w:lang w:val="en-IE"/>
        </w:rPr>
        <w:t>s</w:t>
      </w:r>
      <w:r w:rsidR="00432785" w:rsidRPr="00532C20">
        <w:rPr>
          <w:rFonts w:ascii="Times New Roman" w:eastAsia="Calibri" w:hAnsi="Times New Roman" w:cs="Times New Roman"/>
          <w:noProof/>
          <w:sz w:val="24"/>
          <w:szCs w:val="24"/>
          <w:lang w:val="en-IE"/>
        </w:rPr>
        <w:t>ion.</w:t>
      </w:r>
    </w:p>
    <w:p w14:paraId="60FF8167" w14:textId="5511E270" w:rsidR="00A469C9" w:rsidRPr="00532C20" w:rsidRDefault="00A958DE"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2</w:t>
      </w:r>
      <w:r w:rsidR="00A92234" w:rsidRPr="00532C20">
        <w:rPr>
          <w:rFonts w:ascii="Times New Roman" w:eastAsia="Calibri" w:hAnsi="Times New Roman" w:cs="Times New Roman"/>
          <w:noProof/>
          <w:sz w:val="24"/>
          <w:szCs w:val="24"/>
          <w:lang w:val="en-IE"/>
        </w:rPr>
        <w:t xml:space="preserve"> respondents</w:t>
      </w:r>
      <w:r w:rsidR="00EA02A1" w:rsidRPr="00532C20">
        <w:rPr>
          <w:rFonts w:ascii="Times New Roman" w:eastAsia="Calibri" w:hAnsi="Times New Roman" w:cs="Times New Roman"/>
          <w:noProof/>
          <w:sz w:val="24"/>
          <w:szCs w:val="24"/>
          <w:lang w:val="en-IE"/>
        </w:rPr>
        <w:t xml:space="preserve"> also suggested that the Commission could facilitate an exchange at EU level among existing supervisory authorities, and provide recommendations as to their independence, fairness, and effectiveness.</w:t>
      </w:r>
      <w:r w:rsidR="00A92234" w:rsidRPr="00532C20">
        <w:rPr>
          <w:rFonts w:ascii="Times New Roman" w:eastAsia="Calibri" w:hAnsi="Times New Roman" w:cs="Times New Roman"/>
          <w:noProof/>
          <w:sz w:val="24"/>
          <w:szCs w:val="24"/>
          <w:lang w:val="en-IE"/>
        </w:rPr>
        <w:t xml:space="preserve"> Only</w:t>
      </w:r>
      <w:r w:rsidR="00A92234" w:rsidRPr="00532C20" w:rsidDel="00A958DE">
        <w:rPr>
          <w:rFonts w:ascii="Times New Roman" w:eastAsia="Calibri" w:hAnsi="Times New Roman" w:cs="Times New Roman"/>
          <w:noProof/>
          <w:sz w:val="24"/>
          <w:szCs w:val="24"/>
          <w:lang w:val="en-IE"/>
        </w:rPr>
        <w:t xml:space="preserve"> </w:t>
      </w:r>
      <w:r w:rsidRPr="00532C20">
        <w:rPr>
          <w:rFonts w:ascii="Times New Roman" w:eastAsia="Calibri" w:hAnsi="Times New Roman" w:cs="Times New Roman"/>
          <w:noProof/>
          <w:sz w:val="24"/>
          <w:szCs w:val="24"/>
          <w:lang w:val="en-IE"/>
        </w:rPr>
        <w:t>1</w:t>
      </w:r>
      <w:r w:rsidR="00A92234" w:rsidRPr="00532C20">
        <w:rPr>
          <w:rFonts w:ascii="Times New Roman" w:eastAsia="Calibri" w:hAnsi="Times New Roman" w:cs="Times New Roman"/>
          <w:noProof/>
          <w:sz w:val="24"/>
          <w:szCs w:val="24"/>
          <w:lang w:val="en-IE"/>
        </w:rPr>
        <w:t xml:space="preserve"> respondent expressed that an EU-level governance mechanism would not be useful.</w:t>
      </w:r>
    </w:p>
    <w:p w14:paraId="45143AA3" w14:textId="0E9FB82D" w:rsidR="00EA02A1" w:rsidRPr="00532C20" w:rsidRDefault="00A958DE"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2</w:t>
      </w:r>
      <w:r w:rsidR="00B23B70" w:rsidRPr="00532C20">
        <w:rPr>
          <w:rFonts w:ascii="Times New Roman" w:eastAsia="Calibri" w:hAnsi="Times New Roman" w:cs="Times New Roman"/>
          <w:noProof/>
          <w:sz w:val="24"/>
          <w:szCs w:val="24"/>
          <w:lang w:val="en-IE"/>
        </w:rPr>
        <w:t xml:space="preserve"> respondents</w:t>
      </w:r>
      <w:r w:rsidR="00EA02A1" w:rsidRPr="00532C20">
        <w:rPr>
          <w:rFonts w:ascii="Times New Roman" w:eastAsia="Calibri" w:hAnsi="Times New Roman" w:cs="Times New Roman"/>
          <w:noProof/>
          <w:sz w:val="24"/>
          <w:szCs w:val="24"/>
          <w:lang w:val="en-IE"/>
        </w:rPr>
        <w:t xml:space="preserve"> expressed that proportionate administrative sanctions are the most </w:t>
      </w:r>
      <w:r w:rsidR="004578C9" w:rsidRPr="00532C20">
        <w:rPr>
          <w:rFonts w:ascii="Times New Roman" w:eastAsia="Calibri" w:hAnsi="Times New Roman" w:cs="Times New Roman"/>
          <w:noProof/>
          <w:sz w:val="24"/>
          <w:szCs w:val="24"/>
          <w:lang w:val="en-IE"/>
        </w:rPr>
        <w:t>appropriate</w:t>
      </w:r>
      <w:r w:rsidR="00EA02A1" w:rsidRPr="00532C20">
        <w:rPr>
          <w:rFonts w:ascii="Times New Roman" w:eastAsia="Calibri" w:hAnsi="Times New Roman" w:cs="Times New Roman"/>
          <w:noProof/>
          <w:sz w:val="24"/>
          <w:szCs w:val="24"/>
          <w:lang w:val="en-IE"/>
        </w:rPr>
        <w:t xml:space="preserve"> option to deter misconduct</w:t>
      </w:r>
      <w:r w:rsidR="00B23B70" w:rsidRPr="00532C20">
        <w:rPr>
          <w:rFonts w:ascii="Times New Roman" w:eastAsia="Calibri" w:hAnsi="Times New Roman" w:cs="Times New Roman"/>
          <w:noProof/>
          <w:sz w:val="24"/>
          <w:szCs w:val="24"/>
          <w:lang w:val="en-IE"/>
        </w:rPr>
        <w:t xml:space="preserve"> and</w:t>
      </w:r>
      <w:r w:rsidR="00EA02A1" w:rsidRPr="00532C20">
        <w:rPr>
          <w:rFonts w:ascii="Times New Roman" w:eastAsia="Calibri" w:hAnsi="Times New Roman" w:cs="Times New Roman"/>
          <w:noProof/>
          <w:sz w:val="24"/>
          <w:szCs w:val="24"/>
          <w:lang w:val="en-IE"/>
        </w:rPr>
        <w:t xml:space="preserve"> that a fully harmonised sanction regime should be created at EU level</w:t>
      </w:r>
      <w:r w:rsidR="00252017" w:rsidRPr="00532C20">
        <w:rPr>
          <w:rFonts w:ascii="Times New Roman" w:eastAsia="Calibri" w:hAnsi="Times New Roman" w:cs="Times New Roman"/>
          <w:noProof/>
          <w:sz w:val="24"/>
          <w:szCs w:val="24"/>
          <w:lang w:val="en-IE"/>
        </w:rPr>
        <w:t xml:space="preserve">, </w:t>
      </w:r>
      <w:r w:rsidRPr="00532C20">
        <w:rPr>
          <w:rFonts w:ascii="Times New Roman" w:eastAsia="Calibri" w:hAnsi="Times New Roman" w:cs="Times New Roman"/>
          <w:noProof/>
          <w:sz w:val="24"/>
          <w:szCs w:val="24"/>
          <w:lang w:val="en-IE"/>
        </w:rPr>
        <w:t xml:space="preserve">1 </w:t>
      </w:r>
      <w:r w:rsidR="00252017" w:rsidRPr="00532C20">
        <w:rPr>
          <w:rFonts w:ascii="Times New Roman" w:eastAsia="Calibri" w:hAnsi="Times New Roman" w:cs="Times New Roman"/>
          <w:noProof/>
          <w:sz w:val="24"/>
          <w:szCs w:val="24"/>
          <w:lang w:val="en-IE"/>
        </w:rPr>
        <w:t xml:space="preserve">of which </w:t>
      </w:r>
      <w:r w:rsidR="00A52079" w:rsidRPr="00532C20">
        <w:rPr>
          <w:rFonts w:ascii="Times New Roman" w:eastAsia="Calibri" w:hAnsi="Times New Roman" w:cs="Times New Roman"/>
          <w:noProof/>
          <w:sz w:val="24"/>
          <w:szCs w:val="24"/>
          <w:lang w:val="en-IE"/>
        </w:rPr>
        <w:t xml:space="preserve">highlighting that a full harmonisation of the </w:t>
      </w:r>
      <w:r w:rsidR="00B70D9E" w:rsidRPr="00532C20">
        <w:rPr>
          <w:rFonts w:ascii="Times New Roman" w:eastAsia="Calibri" w:hAnsi="Times New Roman" w:cs="Times New Roman"/>
          <w:noProof/>
          <w:sz w:val="24"/>
          <w:szCs w:val="24"/>
          <w:lang w:val="en-IE"/>
        </w:rPr>
        <w:t>enforcement and sanctions</w:t>
      </w:r>
      <w:r w:rsidR="00A52079" w:rsidRPr="00532C20">
        <w:rPr>
          <w:rFonts w:ascii="Times New Roman" w:eastAsia="Calibri" w:hAnsi="Times New Roman" w:cs="Times New Roman"/>
          <w:noProof/>
          <w:sz w:val="24"/>
          <w:szCs w:val="24"/>
          <w:lang w:val="en-IE"/>
        </w:rPr>
        <w:t xml:space="preserve"> </w:t>
      </w:r>
      <w:r w:rsidR="00B70D9E" w:rsidRPr="00532C20">
        <w:rPr>
          <w:rFonts w:ascii="Times New Roman" w:eastAsia="Calibri" w:hAnsi="Times New Roman" w:cs="Times New Roman"/>
          <w:noProof/>
          <w:sz w:val="24"/>
          <w:szCs w:val="24"/>
          <w:lang w:val="en-IE"/>
        </w:rPr>
        <w:t>is essential to avoid adverse consequences and misuse by Member States</w:t>
      </w:r>
      <w:r w:rsidR="00EA02A1" w:rsidRPr="00532C20">
        <w:rPr>
          <w:rFonts w:ascii="Times New Roman" w:eastAsia="Calibri" w:hAnsi="Times New Roman" w:cs="Times New Roman"/>
          <w:noProof/>
          <w:sz w:val="24"/>
          <w:szCs w:val="24"/>
          <w:lang w:val="en-IE"/>
        </w:rPr>
        <w:t>.</w:t>
      </w:r>
      <w:r w:rsidR="00B23B70" w:rsidRPr="00532C20">
        <w:rPr>
          <w:rFonts w:ascii="Times New Roman" w:eastAsia="Calibri" w:hAnsi="Times New Roman" w:cs="Times New Roman"/>
          <w:noProof/>
          <w:sz w:val="24"/>
          <w:szCs w:val="24"/>
          <w:lang w:val="en-IE"/>
        </w:rPr>
        <w:t xml:space="preserve"> On the contrary, </w:t>
      </w:r>
      <w:r w:rsidRPr="00532C20">
        <w:rPr>
          <w:rFonts w:ascii="Times New Roman" w:eastAsia="Calibri" w:hAnsi="Times New Roman" w:cs="Times New Roman"/>
          <w:noProof/>
          <w:sz w:val="24"/>
          <w:szCs w:val="24"/>
          <w:lang w:val="en-IE"/>
        </w:rPr>
        <w:t xml:space="preserve">1 </w:t>
      </w:r>
      <w:r w:rsidR="00B23B70" w:rsidRPr="00532C20">
        <w:rPr>
          <w:rFonts w:ascii="Times New Roman" w:eastAsia="Calibri" w:hAnsi="Times New Roman" w:cs="Times New Roman"/>
          <w:noProof/>
          <w:sz w:val="24"/>
          <w:szCs w:val="24"/>
          <w:lang w:val="en-IE"/>
        </w:rPr>
        <w:t xml:space="preserve">respondent expressed that </w:t>
      </w:r>
      <w:r w:rsidR="00FB1BE4" w:rsidRPr="00532C20">
        <w:rPr>
          <w:rFonts w:ascii="Times New Roman" w:eastAsia="Calibri" w:hAnsi="Times New Roman" w:cs="Times New Roman"/>
          <w:noProof/>
          <w:sz w:val="24"/>
          <w:szCs w:val="24"/>
          <w:lang w:val="en-IE"/>
        </w:rPr>
        <w:t>the Commission should not propose any</w:t>
      </w:r>
      <w:r w:rsidR="00B23B70" w:rsidRPr="00532C20">
        <w:rPr>
          <w:rFonts w:ascii="Times New Roman" w:eastAsia="Calibri" w:hAnsi="Times New Roman" w:cs="Times New Roman"/>
          <w:noProof/>
          <w:sz w:val="24"/>
          <w:szCs w:val="24"/>
          <w:lang w:val="en-IE"/>
        </w:rPr>
        <w:t xml:space="preserve"> sanctions regime</w:t>
      </w:r>
      <w:r w:rsidR="00FB1BE4" w:rsidRPr="00532C20">
        <w:rPr>
          <w:rFonts w:ascii="Times New Roman" w:eastAsia="Calibri" w:hAnsi="Times New Roman" w:cs="Times New Roman"/>
          <w:noProof/>
          <w:sz w:val="24"/>
          <w:szCs w:val="24"/>
          <w:lang w:val="en-IE"/>
        </w:rPr>
        <w:t xml:space="preserve"> before having conducted a comprehensive comparative </w:t>
      </w:r>
      <w:r w:rsidR="0081582E" w:rsidRPr="00532C20">
        <w:rPr>
          <w:rFonts w:ascii="Times New Roman" w:eastAsia="Calibri" w:hAnsi="Times New Roman" w:cs="Times New Roman"/>
          <w:noProof/>
          <w:sz w:val="24"/>
          <w:szCs w:val="24"/>
          <w:lang w:val="en-IE"/>
        </w:rPr>
        <w:t>analysis of existing sanctions regimes in Member States</w:t>
      </w:r>
      <w:r w:rsidR="00B23B70" w:rsidRPr="00532C20">
        <w:rPr>
          <w:rFonts w:ascii="Times New Roman" w:eastAsia="Calibri" w:hAnsi="Times New Roman" w:cs="Times New Roman"/>
          <w:noProof/>
          <w:sz w:val="24"/>
          <w:szCs w:val="24"/>
          <w:lang w:val="en-IE"/>
        </w:rPr>
        <w:t>.</w:t>
      </w:r>
    </w:p>
    <w:p w14:paraId="0EF0C20C" w14:textId="74AF0873" w:rsidR="00EA02A1" w:rsidRPr="00532C20" w:rsidRDefault="00EA02A1" w:rsidP="002B0B48">
      <w:pPr>
        <w:pStyle w:val="ListParagraph"/>
        <w:numPr>
          <w:ilvl w:val="1"/>
          <w:numId w:val="74"/>
        </w:numPr>
        <w:rPr>
          <w:rFonts w:cs="Times New Roman"/>
          <w:b/>
          <w:noProof/>
        </w:rPr>
      </w:pPr>
      <w:r w:rsidRPr="00532C20">
        <w:rPr>
          <w:rFonts w:ascii="Times New Roman" w:eastAsia="Calibri" w:hAnsi="Times New Roman" w:cs="Times New Roman"/>
          <w:b/>
          <w:bCs/>
          <w:noProof/>
          <w:u w:val="single"/>
          <w:lang w:val="en-IE"/>
        </w:rPr>
        <w:t>Replies from Member States</w:t>
      </w:r>
    </w:p>
    <w:p w14:paraId="4C9EEEA8" w14:textId="08172D0B" w:rsidR="00432785" w:rsidRPr="00532C20" w:rsidRDefault="00A958DE"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5</w:t>
      </w:r>
      <w:r w:rsidR="002212FF" w:rsidRPr="00532C20">
        <w:rPr>
          <w:rFonts w:ascii="Times New Roman" w:eastAsia="Calibri" w:hAnsi="Times New Roman" w:cs="Times New Roman"/>
          <w:noProof/>
          <w:sz w:val="24"/>
          <w:szCs w:val="24"/>
          <w:lang w:val="en-IE"/>
        </w:rPr>
        <w:t xml:space="preserve"> </w:t>
      </w:r>
      <w:r w:rsidR="00582D56" w:rsidRPr="00532C20">
        <w:rPr>
          <w:rFonts w:ascii="Times New Roman" w:eastAsia="Calibri" w:hAnsi="Times New Roman" w:cs="Times New Roman"/>
          <w:noProof/>
          <w:sz w:val="24"/>
          <w:szCs w:val="24"/>
          <w:lang w:val="en-IE"/>
        </w:rPr>
        <w:t xml:space="preserve">out of 15 </w:t>
      </w:r>
      <w:r w:rsidR="00432785" w:rsidRPr="00532C20">
        <w:rPr>
          <w:rFonts w:ascii="Times New Roman" w:eastAsia="Calibri" w:hAnsi="Times New Roman" w:cs="Times New Roman"/>
          <w:noProof/>
          <w:sz w:val="24"/>
          <w:szCs w:val="24"/>
          <w:lang w:val="en-IE"/>
        </w:rPr>
        <w:t xml:space="preserve">Member States </w:t>
      </w:r>
      <w:r w:rsidR="002212FF" w:rsidRPr="00532C20">
        <w:rPr>
          <w:rFonts w:ascii="Times New Roman" w:eastAsia="Calibri" w:hAnsi="Times New Roman" w:cs="Times New Roman"/>
          <w:noProof/>
          <w:sz w:val="24"/>
          <w:szCs w:val="24"/>
          <w:lang w:val="en-IE"/>
        </w:rPr>
        <w:t xml:space="preserve">expressed </w:t>
      </w:r>
      <w:r w:rsidR="00CA080F" w:rsidRPr="00532C20">
        <w:rPr>
          <w:rFonts w:ascii="Times New Roman" w:eastAsia="Calibri" w:hAnsi="Times New Roman" w:cs="Times New Roman"/>
          <w:noProof/>
          <w:sz w:val="24"/>
          <w:szCs w:val="24"/>
          <w:lang w:val="en-IE"/>
        </w:rPr>
        <w:t>the view</w:t>
      </w:r>
      <w:r w:rsidR="002212FF" w:rsidRPr="00532C20">
        <w:rPr>
          <w:rFonts w:ascii="Times New Roman" w:eastAsia="Calibri" w:hAnsi="Times New Roman" w:cs="Times New Roman"/>
          <w:noProof/>
          <w:sz w:val="24"/>
          <w:szCs w:val="24"/>
          <w:lang w:val="en-IE"/>
        </w:rPr>
        <w:t xml:space="preserve"> </w:t>
      </w:r>
      <w:r w:rsidR="00432785" w:rsidRPr="00532C20">
        <w:rPr>
          <w:rFonts w:ascii="Times New Roman" w:eastAsia="Calibri" w:hAnsi="Times New Roman" w:cs="Times New Roman"/>
          <w:noProof/>
          <w:sz w:val="24"/>
          <w:szCs w:val="24"/>
          <w:lang w:val="en-IE"/>
        </w:rPr>
        <w:t>that it is necessary to put in place harmonised measures enhancing the transparency of interest representation activities seeking to influence decision-making processes.</w:t>
      </w:r>
      <w:r w:rsidR="0003336C" w:rsidRPr="00532C20">
        <w:rPr>
          <w:rFonts w:ascii="Times New Roman" w:eastAsia="Calibri" w:hAnsi="Times New Roman" w:cs="Times New Roman"/>
          <w:noProof/>
          <w:sz w:val="24"/>
          <w:szCs w:val="24"/>
          <w:lang w:val="en-IE"/>
        </w:rPr>
        <w:t xml:space="preserve"> </w:t>
      </w: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w:t>
      </w:r>
      <w:r w:rsidR="005960A6" w:rsidRPr="00532C20">
        <w:rPr>
          <w:rFonts w:ascii="Times New Roman" w:eastAsia="Calibri" w:hAnsi="Times New Roman" w:cs="Times New Roman"/>
          <w:noProof/>
          <w:sz w:val="24"/>
          <w:szCs w:val="24"/>
          <w:lang w:val="en-IE"/>
        </w:rPr>
        <w:t xml:space="preserve">however </w:t>
      </w:r>
      <w:r w:rsidR="00432785" w:rsidRPr="00532C20">
        <w:rPr>
          <w:rFonts w:ascii="Times New Roman" w:eastAsia="Calibri" w:hAnsi="Times New Roman" w:cs="Times New Roman"/>
          <w:noProof/>
          <w:sz w:val="24"/>
          <w:szCs w:val="24"/>
          <w:lang w:val="en-IE"/>
        </w:rPr>
        <w:t xml:space="preserve">expressed concern that a regulation that has the effect of a </w:t>
      </w:r>
      <w:r w:rsidR="00BA6CFC" w:rsidRPr="00532C20">
        <w:rPr>
          <w:rFonts w:ascii="Times New Roman" w:eastAsia="Calibri" w:hAnsi="Times New Roman" w:cs="Times New Roman"/>
          <w:noProof/>
          <w:sz w:val="24"/>
          <w:szCs w:val="24"/>
          <w:lang w:val="en-IE"/>
        </w:rPr>
        <w:t>“</w:t>
      </w:r>
      <w:r w:rsidR="00432785" w:rsidRPr="00532C20">
        <w:rPr>
          <w:rFonts w:ascii="Times New Roman" w:eastAsia="Calibri" w:hAnsi="Times New Roman" w:cs="Times New Roman"/>
          <w:noProof/>
          <w:sz w:val="24"/>
          <w:szCs w:val="24"/>
          <w:lang w:val="en-IE"/>
        </w:rPr>
        <w:t>foreign agent law</w:t>
      </w:r>
      <w:r w:rsidR="00BA6CFC" w:rsidRPr="00532C20">
        <w:rPr>
          <w:rFonts w:ascii="Times New Roman" w:eastAsia="Calibri" w:hAnsi="Times New Roman" w:cs="Times New Roman"/>
          <w:noProof/>
          <w:sz w:val="24"/>
          <w:szCs w:val="24"/>
          <w:lang w:val="en-IE"/>
        </w:rPr>
        <w:t>”</w:t>
      </w:r>
      <w:r w:rsidR="00432785" w:rsidRPr="00532C20">
        <w:rPr>
          <w:rFonts w:ascii="Times New Roman" w:eastAsia="Calibri" w:hAnsi="Times New Roman" w:cs="Times New Roman"/>
          <w:noProof/>
          <w:sz w:val="24"/>
          <w:szCs w:val="24"/>
          <w:lang w:val="en-IE"/>
        </w:rPr>
        <w:t xml:space="preserve"> or can be understood as such, could cause negative consequences. </w:t>
      </w:r>
    </w:p>
    <w:p w14:paraId="33F593A5" w14:textId="0B08F4A0" w:rsidR="005960A6" w:rsidRPr="00532C20" w:rsidRDefault="00A958DE"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5</w:t>
      </w:r>
      <w:r w:rsidR="007A4485" w:rsidRPr="00532C20">
        <w:rPr>
          <w:rFonts w:ascii="Times New Roman" w:eastAsia="Calibri" w:hAnsi="Times New Roman" w:cs="Times New Roman"/>
          <w:noProof/>
          <w:sz w:val="24"/>
          <w:szCs w:val="24"/>
          <w:lang w:val="en-IE"/>
        </w:rPr>
        <w:t xml:space="preserve"> Member States </w:t>
      </w:r>
      <w:r w:rsidR="009707B1" w:rsidRPr="00532C20">
        <w:rPr>
          <w:rFonts w:ascii="Times New Roman" w:eastAsia="Calibri" w:hAnsi="Times New Roman" w:cs="Times New Roman"/>
          <w:noProof/>
          <w:sz w:val="24"/>
          <w:szCs w:val="24"/>
          <w:lang w:val="en-IE"/>
        </w:rPr>
        <w:t xml:space="preserve">expressed </w:t>
      </w:r>
      <w:r w:rsidR="00BA6CFC" w:rsidRPr="00532C20">
        <w:rPr>
          <w:rFonts w:ascii="Times New Roman" w:eastAsia="Calibri" w:hAnsi="Times New Roman" w:cs="Times New Roman"/>
          <w:noProof/>
          <w:sz w:val="24"/>
          <w:szCs w:val="24"/>
          <w:lang w:val="en-IE"/>
        </w:rPr>
        <w:t xml:space="preserve">some </w:t>
      </w:r>
      <w:r w:rsidR="009707B1" w:rsidRPr="00532C20">
        <w:rPr>
          <w:rFonts w:ascii="Times New Roman" w:eastAsia="Calibri" w:hAnsi="Times New Roman" w:cs="Times New Roman"/>
          <w:noProof/>
          <w:sz w:val="24"/>
          <w:szCs w:val="24"/>
          <w:lang w:val="en-IE"/>
        </w:rPr>
        <w:t xml:space="preserve">reservations as to whether </w:t>
      </w:r>
      <w:r w:rsidR="008C6FF9" w:rsidRPr="00532C20">
        <w:rPr>
          <w:rFonts w:ascii="Times New Roman" w:eastAsia="Calibri" w:hAnsi="Times New Roman" w:cs="Times New Roman"/>
          <w:noProof/>
          <w:sz w:val="24"/>
          <w:szCs w:val="24"/>
          <w:lang w:val="en-IE"/>
        </w:rPr>
        <w:t xml:space="preserve">harmonisation at EU level would be the best option. </w:t>
      </w:r>
    </w:p>
    <w:p w14:paraId="08368EB5" w14:textId="307C679D" w:rsidR="00432785" w:rsidRPr="00532C20" w:rsidRDefault="00A958DE"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3</w:t>
      </w:r>
      <w:r w:rsidR="00A37CE3" w:rsidRPr="00532C20">
        <w:rPr>
          <w:rFonts w:ascii="Times New Roman" w:eastAsia="Calibri" w:hAnsi="Times New Roman" w:cs="Times New Roman"/>
          <w:noProof/>
          <w:sz w:val="24"/>
          <w:szCs w:val="24"/>
          <w:lang w:val="en-IE"/>
        </w:rPr>
        <w:t xml:space="preserve"> Member States</w:t>
      </w:r>
      <w:r w:rsidR="00432785" w:rsidRPr="00532C20">
        <w:rPr>
          <w:rFonts w:ascii="Times New Roman" w:eastAsia="Calibri" w:hAnsi="Times New Roman" w:cs="Times New Roman"/>
          <w:noProof/>
          <w:sz w:val="24"/>
          <w:szCs w:val="24"/>
          <w:lang w:val="en-IE"/>
        </w:rPr>
        <w:t xml:space="preserve"> suggested to opt for the first proposed policy option – a non-legislative solution promoting common standards. Transparency recommendations resulting in a combination of various non-legislative solutions promoting common standards would allow Member States to evaluate the</w:t>
      </w:r>
      <w:r w:rsidR="00A37CE3" w:rsidRPr="00532C20">
        <w:rPr>
          <w:rFonts w:ascii="Times New Roman" w:eastAsia="Calibri" w:hAnsi="Times New Roman" w:cs="Times New Roman"/>
          <w:noProof/>
          <w:sz w:val="24"/>
          <w:szCs w:val="24"/>
          <w:lang w:val="en-IE"/>
        </w:rPr>
        <w:t>i</w:t>
      </w:r>
      <w:r w:rsidR="00432785" w:rsidRPr="00532C20">
        <w:rPr>
          <w:rFonts w:ascii="Times New Roman" w:eastAsia="Calibri" w:hAnsi="Times New Roman" w:cs="Times New Roman"/>
          <w:noProof/>
          <w:sz w:val="24"/>
          <w:szCs w:val="24"/>
          <w:lang w:val="en-IE"/>
        </w:rPr>
        <w:t>r current sets of measures and to introduce where necessary additional tailored improvements.</w:t>
      </w:r>
    </w:p>
    <w:p w14:paraId="6D0D5291" w14:textId="0F491C2A" w:rsidR="00C024ED" w:rsidRPr="00532C20" w:rsidRDefault="00C024ED" w:rsidP="00C024ED">
      <w:pPr>
        <w:spacing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On a potential obligation to obtain prior authorisation/license at EU level to carry out interest representation activities on behalf of third countries, </w:t>
      </w:r>
      <w:r w:rsidR="002F400A" w:rsidRPr="00532C20">
        <w:rPr>
          <w:rFonts w:ascii="Times New Roman" w:eastAsia="Times New Roman" w:hAnsi="Times New Roman" w:cs="Times New Roman"/>
          <w:noProof/>
          <w:sz w:val="24"/>
          <w:szCs w:val="24"/>
        </w:rPr>
        <w:t xml:space="preserve">1 </w:t>
      </w:r>
      <w:r w:rsidRPr="00532C20">
        <w:rPr>
          <w:rFonts w:ascii="Times New Roman" w:eastAsia="Times New Roman" w:hAnsi="Times New Roman" w:cs="Times New Roman"/>
          <w:noProof/>
          <w:sz w:val="24"/>
          <w:szCs w:val="24"/>
        </w:rPr>
        <w:t>Member State expressed that a prior authori</w:t>
      </w:r>
      <w:r w:rsidR="009D59EC" w:rsidRPr="00532C20">
        <w:rPr>
          <w:rFonts w:ascii="Times New Roman" w:eastAsia="Times New Roman" w:hAnsi="Times New Roman" w:cs="Times New Roman"/>
          <w:noProof/>
          <w:sz w:val="24"/>
          <w:szCs w:val="24"/>
        </w:rPr>
        <w:t>s</w:t>
      </w:r>
      <w:r w:rsidRPr="00532C20">
        <w:rPr>
          <w:rFonts w:ascii="Times New Roman" w:eastAsia="Times New Roman" w:hAnsi="Times New Roman" w:cs="Times New Roman"/>
          <w:noProof/>
          <w:sz w:val="24"/>
          <w:szCs w:val="24"/>
        </w:rPr>
        <w:t>ation scheme does not appear to be the most proportionate solution for achieving the objective pursued, and suggested that a transparency regime based on a reporting regime, coupled with the application of ethical obligations, would appear more appropriate.</w:t>
      </w:r>
    </w:p>
    <w:p w14:paraId="0DA4ACF2" w14:textId="77777777" w:rsidR="00432785" w:rsidRPr="00532C20" w:rsidRDefault="00432785" w:rsidP="004B0958">
      <w:pPr>
        <w:spacing w:before="240" w:after="160" w:line="240" w:lineRule="auto"/>
        <w:ind w:left="720"/>
        <w:jc w:val="both"/>
        <w:rPr>
          <w:rFonts w:ascii="Times New Roman" w:eastAsia="Calibri" w:hAnsi="Times New Roman" w:cs="Times New Roman"/>
          <w:b/>
          <w:i/>
          <w:noProof/>
          <w:sz w:val="24"/>
          <w:szCs w:val="24"/>
          <w:lang w:val="en-IE"/>
        </w:rPr>
      </w:pPr>
      <w:r w:rsidRPr="00532C20">
        <w:rPr>
          <w:rFonts w:ascii="Times New Roman" w:eastAsia="Calibri" w:hAnsi="Times New Roman" w:cs="Times New Roman"/>
          <w:b/>
          <w:i/>
          <w:noProof/>
          <w:sz w:val="24"/>
          <w:szCs w:val="24"/>
          <w:lang w:val="en-IE"/>
        </w:rPr>
        <w:t>Scope of the transparency measures</w:t>
      </w:r>
    </w:p>
    <w:p w14:paraId="018B7438" w14:textId="7381594E" w:rsidR="00432785" w:rsidRPr="00532C20" w:rsidRDefault="002F400A"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w:t>
      </w:r>
      <w:r w:rsidR="009D59EC" w:rsidRPr="00532C20">
        <w:rPr>
          <w:rFonts w:ascii="Times New Roman" w:eastAsia="Calibri" w:hAnsi="Times New Roman" w:cs="Times New Roman"/>
          <w:noProof/>
          <w:sz w:val="24"/>
          <w:szCs w:val="24"/>
          <w:lang w:val="en-IE"/>
        </w:rPr>
        <w:t xml:space="preserve">highlighted </w:t>
      </w:r>
      <w:r w:rsidR="005567F6" w:rsidRPr="00532C20">
        <w:rPr>
          <w:rFonts w:ascii="Times New Roman" w:eastAsia="Calibri" w:hAnsi="Times New Roman" w:cs="Times New Roman"/>
          <w:noProof/>
          <w:sz w:val="24"/>
          <w:szCs w:val="24"/>
          <w:lang w:val="en-IE"/>
        </w:rPr>
        <w:t>that</w:t>
      </w:r>
      <w:r w:rsidR="00432785" w:rsidRPr="00532C20">
        <w:rPr>
          <w:rFonts w:ascii="Times New Roman" w:eastAsia="Calibri" w:hAnsi="Times New Roman" w:cs="Times New Roman"/>
          <w:noProof/>
          <w:sz w:val="24"/>
          <w:szCs w:val="24"/>
          <w:lang w:val="en-IE"/>
        </w:rPr>
        <w:t xml:space="preserve"> complicating the exchange between lobbyists and policy-makers, could discourage interest representations from participating in the political decision-making process. </w:t>
      </w:r>
      <w:r w:rsidR="00A37CE3" w:rsidRPr="00532C20">
        <w:rPr>
          <w:rFonts w:ascii="Times New Roman" w:eastAsia="Calibri" w:hAnsi="Times New Roman" w:cs="Times New Roman"/>
          <w:noProof/>
          <w:sz w:val="24"/>
          <w:szCs w:val="24"/>
          <w:lang w:val="en-IE"/>
        </w:rPr>
        <w:t>It</w:t>
      </w:r>
      <w:r w:rsidR="00432785" w:rsidRPr="00532C20">
        <w:rPr>
          <w:rFonts w:ascii="Times New Roman" w:eastAsia="Calibri" w:hAnsi="Times New Roman" w:cs="Times New Roman"/>
          <w:noProof/>
          <w:sz w:val="24"/>
          <w:szCs w:val="24"/>
          <w:lang w:val="en-IE"/>
        </w:rPr>
        <w:t xml:space="preserve"> added that it could therefore negatively impact the participation of civil society.</w:t>
      </w:r>
    </w:p>
    <w:p w14:paraId="5DF63393" w14:textId="77777777" w:rsidR="00432785" w:rsidRPr="00532C20" w:rsidRDefault="00432785"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Member States broadly agreed that society has a fundamental interest to be informed about interest representation activities carried out on behalf of third countries.</w:t>
      </w:r>
    </w:p>
    <w:p w14:paraId="49258730" w14:textId="711271D6" w:rsidR="00432785" w:rsidRPr="00532C20" w:rsidRDefault="002F400A"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expressed concerns about specifying at EU level whether and which contacts at the national level are permissible, or whether and to what extent contacts of national parliamentarians or government representatives have to be published.</w:t>
      </w:r>
    </w:p>
    <w:p w14:paraId="3FC01A40" w14:textId="5D0132A0" w:rsidR="00432785" w:rsidRPr="00532C20" w:rsidRDefault="002F400A"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expressed concerns about the measures to introduce binding rules for national transparency registers. </w:t>
      </w:r>
      <w:r w:rsidR="002C3ABA" w:rsidRPr="00532C20">
        <w:rPr>
          <w:rFonts w:ascii="Times New Roman" w:eastAsia="Calibri" w:hAnsi="Times New Roman" w:cs="Times New Roman"/>
          <w:noProof/>
          <w:sz w:val="24"/>
          <w:szCs w:val="24"/>
          <w:lang w:val="en-IE"/>
        </w:rPr>
        <w:t>It</w:t>
      </w:r>
      <w:r w:rsidR="00432785" w:rsidRPr="00532C20">
        <w:rPr>
          <w:rFonts w:ascii="Times New Roman" w:eastAsia="Calibri" w:hAnsi="Times New Roman" w:cs="Times New Roman"/>
          <w:noProof/>
          <w:sz w:val="24"/>
          <w:szCs w:val="24"/>
          <w:lang w:val="en-IE"/>
        </w:rPr>
        <w:t xml:space="preserve"> stated that deciding on the degree of transparency for national processes fall</w:t>
      </w:r>
      <w:r w:rsidR="00234C3B" w:rsidRPr="00532C20">
        <w:rPr>
          <w:rFonts w:ascii="Times New Roman" w:eastAsia="Calibri" w:hAnsi="Times New Roman" w:cs="Times New Roman"/>
          <w:noProof/>
          <w:sz w:val="24"/>
          <w:szCs w:val="24"/>
          <w:lang w:val="en-IE"/>
        </w:rPr>
        <w:t>s</w:t>
      </w:r>
      <w:r w:rsidR="00432785" w:rsidRPr="00532C20">
        <w:rPr>
          <w:rFonts w:ascii="Times New Roman" w:eastAsia="Calibri" w:hAnsi="Times New Roman" w:cs="Times New Roman"/>
          <w:noProof/>
          <w:sz w:val="24"/>
          <w:szCs w:val="24"/>
          <w:lang w:val="en-IE"/>
        </w:rPr>
        <w:t xml:space="preserve"> within the competence of the Member States. </w:t>
      </w:r>
    </w:p>
    <w:p w14:paraId="47BBCC9C" w14:textId="26DB2617" w:rsidR="00432785" w:rsidRPr="00532C20" w:rsidRDefault="002F400A"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6</w:t>
      </w:r>
      <w:r w:rsidR="00FC7BC0" w:rsidRPr="00532C20">
        <w:rPr>
          <w:rFonts w:ascii="Times New Roman" w:eastAsia="Calibri" w:hAnsi="Times New Roman" w:cs="Times New Roman"/>
          <w:noProof/>
          <w:sz w:val="24"/>
          <w:szCs w:val="24"/>
          <w:lang w:val="en-IE"/>
        </w:rPr>
        <w:t xml:space="preserve"> </w:t>
      </w:r>
      <w:r w:rsidR="00432785" w:rsidRPr="00532C20">
        <w:rPr>
          <w:rFonts w:ascii="Times New Roman" w:eastAsia="Calibri" w:hAnsi="Times New Roman" w:cs="Times New Roman"/>
          <w:noProof/>
          <w:sz w:val="24"/>
          <w:szCs w:val="24"/>
          <w:lang w:val="en-IE"/>
        </w:rPr>
        <w:t xml:space="preserve">Member States </w:t>
      </w:r>
      <w:r w:rsidR="00FC7BC0" w:rsidRPr="00532C20">
        <w:rPr>
          <w:rFonts w:ascii="Times New Roman" w:eastAsia="Calibri" w:hAnsi="Times New Roman" w:cs="Times New Roman"/>
          <w:noProof/>
          <w:sz w:val="24"/>
          <w:szCs w:val="24"/>
          <w:lang w:val="en-IE"/>
        </w:rPr>
        <w:t>argued</w:t>
      </w:r>
      <w:r w:rsidR="00432785" w:rsidRPr="00532C20">
        <w:rPr>
          <w:rFonts w:ascii="Times New Roman" w:eastAsia="Calibri" w:hAnsi="Times New Roman" w:cs="Times New Roman"/>
          <w:noProof/>
          <w:sz w:val="24"/>
          <w:szCs w:val="24"/>
          <w:lang w:val="en-IE"/>
        </w:rPr>
        <w:t xml:space="preserve"> that it would be desirable to transparently handle all types of interest </w:t>
      </w:r>
      <w:r w:rsidR="00CA207F" w:rsidRPr="00532C20">
        <w:rPr>
          <w:rFonts w:ascii="Times New Roman" w:eastAsia="Calibri" w:hAnsi="Times New Roman" w:cs="Times New Roman"/>
          <w:noProof/>
          <w:sz w:val="24"/>
          <w:szCs w:val="24"/>
          <w:lang w:val="en-IE"/>
        </w:rPr>
        <w:t xml:space="preserve">representation activities </w:t>
      </w:r>
      <w:r w:rsidR="00432785" w:rsidRPr="00532C20">
        <w:rPr>
          <w:rFonts w:ascii="Times New Roman" w:eastAsia="Calibri" w:hAnsi="Times New Roman" w:cs="Times New Roman"/>
          <w:noProof/>
          <w:sz w:val="24"/>
          <w:szCs w:val="24"/>
          <w:lang w:val="en-IE"/>
        </w:rPr>
        <w:t xml:space="preserve">that attempt to influence the formulation or implementation of policies, legislation or public decision-making processes in the EU, </w:t>
      </w:r>
      <w:r w:rsidR="00CA207F" w:rsidRPr="00532C20">
        <w:rPr>
          <w:rFonts w:ascii="Times New Roman" w:eastAsia="Calibri" w:hAnsi="Times New Roman" w:cs="Times New Roman"/>
          <w:noProof/>
          <w:sz w:val="24"/>
          <w:szCs w:val="24"/>
          <w:lang w:val="en-IE"/>
        </w:rPr>
        <w:t>and not to focus only on the cases where such activities are carried out on behalf of</w:t>
      </w:r>
      <w:r w:rsidR="00432785" w:rsidRPr="00532C20">
        <w:rPr>
          <w:rFonts w:ascii="Times New Roman" w:eastAsia="Calibri" w:hAnsi="Times New Roman" w:cs="Times New Roman"/>
          <w:noProof/>
          <w:sz w:val="24"/>
          <w:szCs w:val="24"/>
          <w:lang w:val="en-IE"/>
        </w:rPr>
        <w:t xml:space="preserve"> third countries.</w:t>
      </w:r>
    </w:p>
    <w:p w14:paraId="0AA561D4" w14:textId="01360F8C" w:rsidR="00432785" w:rsidRPr="00532C20" w:rsidRDefault="002F400A"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expressed that in addition to further national initiatives to promote transparency, measures developed on an EU wide basis would play a crucial role in fostering accountability and trust. </w:t>
      </w:r>
    </w:p>
    <w:p w14:paraId="05A6BDBD" w14:textId="67C9B2F0" w:rsidR="00432785" w:rsidRPr="00532C20" w:rsidRDefault="005E7B4D"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expressed that harmonisation of all the measures governing interest representation in the Member States would go far beyond the purpose of the </w:t>
      </w:r>
      <w:r w:rsidR="00F7350C" w:rsidRPr="00532C20">
        <w:rPr>
          <w:rFonts w:ascii="Times New Roman" w:eastAsia="Calibri" w:hAnsi="Times New Roman" w:cs="Times New Roman"/>
          <w:noProof/>
          <w:sz w:val="24"/>
          <w:szCs w:val="24"/>
          <w:lang w:val="en-IE"/>
        </w:rPr>
        <w:t>Commission’s</w:t>
      </w:r>
      <w:r w:rsidR="00432785" w:rsidRPr="00532C20">
        <w:rPr>
          <w:rFonts w:ascii="Times New Roman" w:eastAsia="Calibri" w:hAnsi="Times New Roman" w:cs="Times New Roman"/>
          <w:noProof/>
          <w:sz w:val="24"/>
          <w:szCs w:val="24"/>
          <w:lang w:val="en-IE"/>
        </w:rPr>
        <w:t xml:space="preserve"> initiative and would be difficult to achieve at least in the short term. </w:t>
      </w:r>
      <w:r w:rsidR="00A37CE3" w:rsidRPr="00532C20">
        <w:rPr>
          <w:rFonts w:ascii="Times New Roman" w:eastAsia="Calibri" w:hAnsi="Times New Roman" w:cs="Times New Roman"/>
          <w:noProof/>
          <w:sz w:val="24"/>
          <w:szCs w:val="24"/>
          <w:lang w:val="en-IE"/>
        </w:rPr>
        <w:t>This Member State</w:t>
      </w:r>
      <w:r w:rsidR="00432785" w:rsidRPr="00532C20">
        <w:rPr>
          <w:rFonts w:ascii="Times New Roman" w:eastAsia="Calibri" w:hAnsi="Times New Roman" w:cs="Times New Roman"/>
          <w:noProof/>
          <w:sz w:val="24"/>
          <w:szCs w:val="24"/>
          <w:lang w:val="en-IE"/>
        </w:rPr>
        <w:t xml:space="preserve"> added that the establishment of a general regime covering interest representation activities for the benefit of strictly private actors and activities for the benefit of third countries might not be sufficient to effectively regulate the latter type of activity.</w:t>
      </w:r>
    </w:p>
    <w:p w14:paraId="68C9A638" w14:textId="7F0B755B" w:rsidR="00432785" w:rsidRPr="00532C20" w:rsidRDefault="002F400A"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emphasized that the influence measures which deserve particular attention, and which must therefore be covered as a matter of priority are those involving elected representatives, former elected representatives and certain public officials; with a view to influencing public life.</w:t>
      </w:r>
      <w:r w:rsidR="00BD2610" w:rsidRPr="00532C20">
        <w:rPr>
          <w:rFonts w:ascii="Times New Roman" w:eastAsia="Calibri" w:hAnsi="Times New Roman" w:cs="Times New Roman"/>
          <w:noProof/>
          <w:sz w:val="24"/>
          <w:szCs w:val="24"/>
          <w:lang w:val="en-IE"/>
        </w:rPr>
        <w:t xml:space="preserve"> </w:t>
      </w:r>
      <w:r w:rsidRPr="00532C20">
        <w:rPr>
          <w:rFonts w:ascii="Times New Roman" w:eastAsia="Calibri" w:hAnsi="Times New Roman" w:cs="Times New Roman"/>
          <w:noProof/>
          <w:sz w:val="24"/>
          <w:szCs w:val="24"/>
          <w:lang w:val="en-IE"/>
        </w:rPr>
        <w:t>1</w:t>
      </w:r>
      <w:r w:rsidR="00BD2610" w:rsidRPr="00532C20">
        <w:rPr>
          <w:rFonts w:ascii="Times New Roman" w:eastAsia="Calibri" w:hAnsi="Times New Roman" w:cs="Times New Roman"/>
          <w:noProof/>
          <w:sz w:val="24"/>
          <w:szCs w:val="24"/>
          <w:lang w:val="en-IE"/>
        </w:rPr>
        <w:t xml:space="preserve"> other Member State </w:t>
      </w:r>
      <w:r w:rsidR="00F532AB" w:rsidRPr="00532C20">
        <w:rPr>
          <w:rFonts w:ascii="Times New Roman" w:eastAsia="Calibri" w:hAnsi="Times New Roman" w:cs="Times New Roman"/>
          <w:noProof/>
          <w:sz w:val="24"/>
          <w:szCs w:val="24"/>
          <w:lang w:val="en-IE"/>
        </w:rPr>
        <w:t xml:space="preserve">expressed it was in favour of an obligation for public </w:t>
      </w:r>
      <w:r w:rsidR="00D65539" w:rsidRPr="00532C20">
        <w:rPr>
          <w:rFonts w:ascii="Times New Roman" w:eastAsia="Calibri" w:hAnsi="Times New Roman" w:cs="Times New Roman"/>
          <w:noProof/>
          <w:sz w:val="24"/>
          <w:szCs w:val="24"/>
          <w:lang w:val="en-IE"/>
        </w:rPr>
        <w:t>officials</w:t>
      </w:r>
      <w:r w:rsidR="00F532AB" w:rsidRPr="00532C20">
        <w:rPr>
          <w:rFonts w:ascii="Times New Roman" w:eastAsia="Calibri" w:hAnsi="Times New Roman" w:cs="Times New Roman"/>
          <w:noProof/>
          <w:sz w:val="24"/>
          <w:szCs w:val="24"/>
          <w:lang w:val="en-IE"/>
        </w:rPr>
        <w:t xml:space="preserve"> to also provide information on their meetings with entities carrying out interest representation activities.</w:t>
      </w:r>
    </w:p>
    <w:p w14:paraId="1AFA92C7" w14:textId="68713EE5" w:rsidR="00432785" w:rsidRPr="00532C20" w:rsidRDefault="002F400A"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warned that too extensive regulation has its risks from the point of view of democratic values and the rule of law.</w:t>
      </w:r>
    </w:p>
    <w:p w14:paraId="16A3AF1C" w14:textId="5AA6C18A" w:rsidR="005F55B2" w:rsidRPr="00532C20" w:rsidRDefault="002F400A" w:rsidP="005F55B2">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suggested that new forms of lobbying, such as digital lobbying and lobbying using artificial intelligence should also be covered.</w:t>
      </w:r>
    </w:p>
    <w:p w14:paraId="6850B727" w14:textId="0AC3DA8B" w:rsidR="00432785" w:rsidRPr="00532C20" w:rsidRDefault="00432785" w:rsidP="005F55B2">
      <w:pPr>
        <w:spacing w:before="240" w:after="160" w:line="240" w:lineRule="auto"/>
        <w:ind w:firstLine="720"/>
        <w:jc w:val="both"/>
        <w:rPr>
          <w:rFonts w:ascii="Times New Roman" w:eastAsia="Calibri" w:hAnsi="Times New Roman" w:cs="Times New Roman"/>
          <w:b/>
          <w:noProof/>
          <w:sz w:val="24"/>
          <w:szCs w:val="24"/>
          <w:lang w:val="en-IE"/>
        </w:rPr>
      </w:pPr>
      <w:r w:rsidRPr="00532C20">
        <w:rPr>
          <w:rFonts w:ascii="Times New Roman" w:eastAsia="Calibri" w:hAnsi="Times New Roman" w:cs="Times New Roman"/>
          <w:b/>
          <w:i/>
          <w:noProof/>
          <w:sz w:val="24"/>
          <w:szCs w:val="24"/>
          <w:lang w:val="en-IE"/>
        </w:rPr>
        <w:t>Registration and transparency requirements</w:t>
      </w:r>
    </w:p>
    <w:p w14:paraId="7B8F425C" w14:textId="1435ED9B" w:rsidR="00432785" w:rsidRPr="00532C20" w:rsidRDefault="002F400A"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7</w:t>
      </w:r>
      <w:r w:rsidR="000F5F1F" w:rsidRPr="00532C20">
        <w:rPr>
          <w:rFonts w:ascii="Times New Roman" w:eastAsia="Calibri" w:hAnsi="Times New Roman" w:cs="Times New Roman"/>
          <w:noProof/>
          <w:sz w:val="24"/>
          <w:szCs w:val="24"/>
          <w:lang w:val="en-IE"/>
        </w:rPr>
        <w:t xml:space="preserve"> Member States stated that information on the names and owners of entities should be </w:t>
      </w:r>
      <w:r w:rsidR="00D146AF" w:rsidRPr="00532C20">
        <w:rPr>
          <w:rFonts w:ascii="Times New Roman" w:eastAsia="Calibri" w:hAnsi="Times New Roman" w:cs="Times New Roman"/>
          <w:noProof/>
          <w:sz w:val="24"/>
          <w:szCs w:val="24"/>
          <w:lang w:val="en-IE"/>
        </w:rPr>
        <w:t xml:space="preserve">disclosed, </w:t>
      </w:r>
      <w:r w:rsidRPr="00532C20">
        <w:rPr>
          <w:rFonts w:ascii="Times New Roman" w:eastAsia="Calibri" w:hAnsi="Times New Roman" w:cs="Times New Roman"/>
          <w:noProof/>
          <w:sz w:val="24"/>
          <w:szCs w:val="24"/>
          <w:lang w:val="en-IE"/>
        </w:rPr>
        <w:t xml:space="preserve">6 </w:t>
      </w:r>
      <w:r w:rsidR="00D146AF" w:rsidRPr="00532C20">
        <w:rPr>
          <w:rFonts w:ascii="Times New Roman" w:eastAsia="Calibri" w:hAnsi="Times New Roman" w:cs="Times New Roman"/>
          <w:noProof/>
          <w:sz w:val="24"/>
          <w:szCs w:val="24"/>
          <w:lang w:val="en-IE"/>
        </w:rPr>
        <w:t>of which stating that the name of the countries fro</w:t>
      </w:r>
      <w:r w:rsidR="00344AA1" w:rsidRPr="00532C20">
        <w:rPr>
          <w:rFonts w:ascii="Times New Roman" w:eastAsia="Calibri" w:hAnsi="Times New Roman" w:cs="Times New Roman"/>
          <w:noProof/>
          <w:sz w:val="24"/>
          <w:szCs w:val="24"/>
          <w:lang w:val="en-IE"/>
        </w:rPr>
        <w:t>m</w:t>
      </w:r>
      <w:r w:rsidR="00D146AF" w:rsidRPr="00532C20">
        <w:rPr>
          <w:rFonts w:ascii="Times New Roman" w:eastAsia="Calibri" w:hAnsi="Times New Roman" w:cs="Times New Roman"/>
          <w:noProof/>
          <w:sz w:val="24"/>
          <w:szCs w:val="24"/>
          <w:lang w:val="en-IE"/>
        </w:rPr>
        <w:t xml:space="preserve"> which fundings are received. </w:t>
      </w: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w:t>
      </w:r>
      <w:r w:rsidR="00B439D4" w:rsidRPr="00532C20">
        <w:rPr>
          <w:rFonts w:ascii="Times New Roman" w:eastAsia="Calibri" w:hAnsi="Times New Roman" w:cs="Times New Roman"/>
          <w:noProof/>
          <w:sz w:val="24"/>
          <w:szCs w:val="24"/>
          <w:lang w:val="en-IE"/>
        </w:rPr>
        <w:t>specified</w:t>
      </w:r>
      <w:r w:rsidR="00432785" w:rsidRPr="00532C20">
        <w:rPr>
          <w:rFonts w:ascii="Times New Roman" w:eastAsia="Calibri" w:hAnsi="Times New Roman" w:cs="Times New Roman"/>
          <w:noProof/>
          <w:sz w:val="24"/>
          <w:szCs w:val="24"/>
          <w:lang w:val="en-IE"/>
        </w:rPr>
        <w:t xml:space="preserve"> that publication could cover data relating to the identity of the natural person or, in the case of a legal person, its directors, the nature of influence actions carried out, as well as, where applicable, the amount of expenditure incurred in respect of those actions, specifying the foreign power of foreign political organisation for the benefit of which they are carried out. </w:t>
      </w:r>
    </w:p>
    <w:p w14:paraId="41F1B28A" w14:textId="4E15116D" w:rsidR="00432785" w:rsidRPr="00532C20" w:rsidRDefault="002F400A"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expressed that publication should cover, when talking about natural persons, their nationality, all citizenships they have or have had in the past, business relations with third-country entities, natural and legal persons. When it comes to legal entities, information about the country of registration, its history of changes, implemented projects, partners linked by cooperation ties.</w:t>
      </w:r>
    </w:p>
    <w:p w14:paraId="4AEB6049" w14:textId="325A0297" w:rsidR="00344AA1" w:rsidRPr="00532C20" w:rsidRDefault="002F400A"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5</w:t>
      </w:r>
      <w:r w:rsidR="00643BAC" w:rsidRPr="00532C20">
        <w:rPr>
          <w:rFonts w:ascii="Times New Roman" w:eastAsia="Calibri" w:hAnsi="Times New Roman" w:cs="Times New Roman"/>
          <w:noProof/>
          <w:sz w:val="24"/>
          <w:szCs w:val="24"/>
          <w:lang w:val="en-IE"/>
        </w:rPr>
        <w:t xml:space="preserve"> Member States expressed that </w:t>
      </w:r>
      <w:r w:rsidR="00482775" w:rsidRPr="00532C20">
        <w:rPr>
          <w:rFonts w:ascii="Times New Roman" w:eastAsia="Calibri" w:hAnsi="Times New Roman" w:cs="Times New Roman"/>
          <w:noProof/>
          <w:sz w:val="24"/>
          <w:szCs w:val="24"/>
          <w:lang w:val="en-IE"/>
        </w:rPr>
        <w:t xml:space="preserve">the interlocutors </w:t>
      </w:r>
      <w:r w:rsidR="00C243C5" w:rsidRPr="00532C20">
        <w:rPr>
          <w:rFonts w:ascii="Times New Roman" w:eastAsia="Calibri" w:hAnsi="Times New Roman" w:cs="Times New Roman"/>
          <w:noProof/>
          <w:sz w:val="24"/>
          <w:szCs w:val="24"/>
          <w:lang w:val="en-IE"/>
        </w:rPr>
        <w:t xml:space="preserve">of the meetings with public officials and the numbers of meetings be disclosed. </w:t>
      </w:r>
      <w:r w:rsidRPr="00532C20">
        <w:rPr>
          <w:rFonts w:ascii="Times New Roman" w:eastAsia="Calibri" w:hAnsi="Times New Roman" w:cs="Times New Roman"/>
          <w:noProof/>
          <w:sz w:val="24"/>
          <w:szCs w:val="24"/>
          <w:lang w:val="en-IE"/>
        </w:rPr>
        <w:t>3</w:t>
      </w:r>
      <w:r w:rsidR="00414B92" w:rsidRPr="00532C20">
        <w:rPr>
          <w:rFonts w:ascii="Times New Roman" w:eastAsia="Calibri" w:hAnsi="Times New Roman" w:cs="Times New Roman"/>
          <w:noProof/>
          <w:sz w:val="24"/>
          <w:szCs w:val="24"/>
          <w:lang w:val="en-IE"/>
        </w:rPr>
        <w:t xml:space="preserve"> Member States expressed that the topics of discussions and purpose of the activities be disclosed as well.</w:t>
      </w:r>
      <w:r w:rsidR="00D73C13" w:rsidRPr="00532C20">
        <w:rPr>
          <w:rFonts w:ascii="Times New Roman" w:eastAsia="Calibri" w:hAnsi="Times New Roman" w:cs="Times New Roman"/>
          <w:noProof/>
          <w:sz w:val="24"/>
          <w:szCs w:val="24"/>
          <w:lang w:val="en-IE"/>
        </w:rPr>
        <w:t xml:space="preserve"> </w:t>
      </w:r>
      <w:r w:rsidR="00900430" w:rsidRPr="00532C20">
        <w:rPr>
          <w:rFonts w:ascii="Times New Roman" w:eastAsia="Calibri" w:hAnsi="Times New Roman" w:cs="Times New Roman"/>
          <w:noProof/>
          <w:sz w:val="24"/>
          <w:szCs w:val="24"/>
          <w:lang w:val="en-IE"/>
        </w:rPr>
        <w:t>2</w:t>
      </w:r>
      <w:r w:rsidR="00D73C13" w:rsidRPr="00532C20">
        <w:rPr>
          <w:rFonts w:ascii="Times New Roman" w:eastAsia="Calibri" w:hAnsi="Times New Roman" w:cs="Times New Roman"/>
          <w:noProof/>
          <w:sz w:val="24"/>
          <w:szCs w:val="24"/>
          <w:lang w:val="en-IE"/>
        </w:rPr>
        <w:t xml:space="preserve"> Member States stated that the time and place of the activities should be registered as well. </w:t>
      </w:r>
    </w:p>
    <w:p w14:paraId="705B405B" w14:textId="77777777" w:rsidR="00432785" w:rsidRPr="00532C20" w:rsidRDefault="00432785"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Member States largely agreed on the need to follow the GDPR principles when publishing personal data.</w:t>
      </w:r>
    </w:p>
    <w:p w14:paraId="77C0D64C" w14:textId="322D464A" w:rsidR="00432785" w:rsidRPr="00532C20" w:rsidRDefault="009004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expressed that registration requirements could be analogous to those for lobbyists registration, where such laws exist. In addition, information on connections, affiliated entities, etc, would be required. The information submitted should be crossed checked using specialized tools and databases developed and maintained by Member States.</w:t>
      </w:r>
    </w:p>
    <w:p w14:paraId="35B986B0" w14:textId="4E0B1170" w:rsidR="00815C3D" w:rsidRPr="00532C20" w:rsidRDefault="009004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4</w:t>
      </w:r>
      <w:r w:rsidR="001A322D" w:rsidRPr="00532C20">
        <w:rPr>
          <w:rFonts w:ascii="Times New Roman" w:eastAsia="Calibri" w:hAnsi="Times New Roman" w:cs="Times New Roman"/>
          <w:noProof/>
          <w:sz w:val="24"/>
          <w:szCs w:val="24"/>
          <w:lang w:val="en-IE"/>
        </w:rPr>
        <w:t xml:space="preserve"> Member States expressed that they were in </w:t>
      </w:r>
      <w:r w:rsidR="00057BED" w:rsidRPr="00532C20">
        <w:rPr>
          <w:rFonts w:ascii="Times New Roman" w:eastAsia="Calibri" w:hAnsi="Times New Roman" w:cs="Times New Roman"/>
          <w:noProof/>
          <w:sz w:val="24"/>
          <w:szCs w:val="24"/>
          <w:lang w:val="en-IE"/>
        </w:rPr>
        <w:t>favour</w:t>
      </w:r>
      <w:r w:rsidR="001A322D" w:rsidRPr="00532C20">
        <w:rPr>
          <w:rFonts w:ascii="Times New Roman" w:eastAsia="Calibri" w:hAnsi="Times New Roman" w:cs="Times New Roman"/>
          <w:noProof/>
          <w:sz w:val="24"/>
          <w:szCs w:val="24"/>
          <w:lang w:val="en-IE"/>
        </w:rPr>
        <w:t xml:space="preserve"> of a prior authorisation/licensing system, while </w:t>
      </w:r>
      <w:r w:rsidR="00942EEB" w:rsidRPr="00532C20">
        <w:rPr>
          <w:rFonts w:ascii="Times New Roman" w:eastAsia="Calibri" w:hAnsi="Times New Roman" w:cs="Times New Roman"/>
          <w:noProof/>
          <w:sz w:val="24"/>
          <w:szCs w:val="24"/>
          <w:lang w:val="en-IE"/>
        </w:rPr>
        <w:t xml:space="preserve">6 </w:t>
      </w:r>
      <w:r w:rsidR="00057BED" w:rsidRPr="00532C20">
        <w:rPr>
          <w:rFonts w:ascii="Times New Roman" w:eastAsia="Calibri" w:hAnsi="Times New Roman" w:cs="Times New Roman"/>
          <w:noProof/>
          <w:sz w:val="24"/>
          <w:szCs w:val="24"/>
          <w:lang w:val="en-IE"/>
        </w:rPr>
        <w:t xml:space="preserve">explained that they were against such a system. </w:t>
      </w:r>
    </w:p>
    <w:p w14:paraId="2DD0DE80" w14:textId="7BEC22B0" w:rsidR="00E771E0" w:rsidRPr="00532C20" w:rsidRDefault="009004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E771E0" w:rsidRPr="00532C20">
        <w:rPr>
          <w:rFonts w:ascii="Times New Roman" w:eastAsia="Calibri" w:hAnsi="Times New Roman" w:cs="Times New Roman"/>
          <w:noProof/>
          <w:sz w:val="24"/>
          <w:szCs w:val="24"/>
          <w:lang w:val="en-IE"/>
        </w:rPr>
        <w:t xml:space="preserve"> Member State wrote that it was in favo</w:t>
      </w:r>
      <w:r w:rsidR="00E07E40" w:rsidRPr="00532C20">
        <w:rPr>
          <w:rFonts w:ascii="Times New Roman" w:eastAsia="Calibri" w:hAnsi="Times New Roman" w:cs="Times New Roman"/>
          <w:noProof/>
          <w:sz w:val="24"/>
          <w:szCs w:val="24"/>
          <w:lang w:val="en-IE"/>
        </w:rPr>
        <w:t>u</w:t>
      </w:r>
      <w:r w:rsidR="00E771E0" w:rsidRPr="00532C20">
        <w:rPr>
          <w:rFonts w:ascii="Times New Roman" w:eastAsia="Calibri" w:hAnsi="Times New Roman" w:cs="Times New Roman"/>
          <w:noProof/>
          <w:sz w:val="24"/>
          <w:szCs w:val="24"/>
          <w:lang w:val="en-IE"/>
        </w:rPr>
        <w:t xml:space="preserve">r of an obligation </w:t>
      </w:r>
      <w:r w:rsidR="0005131D" w:rsidRPr="00532C20">
        <w:rPr>
          <w:rFonts w:ascii="Times New Roman" w:eastAsia="Calibri" w:hAnsi="Times New Roman" w:cs="Times New Roman"/>
          <w:noProof/>
          <w:sz w:val="24"/>
          <w:szCs w:val="24"/>
          <w:lang w:val="en-IE"/>
        </w:rPr>
        <w:t xml:space="preserve">for entities carrying out interest representation activities to provide their registration number before meeting </w:t>
      </w:r>
      <w:r w:rsidR="004A3A79" w:rsidRPr="00532C20">
        <w:rPr>
          <w:rFonts w:ascii="Times New Roman" w:eastAsia="Calibri" w:hAnsi="Times New Roman" w:cs="Times New Roman"/>
          <w:noProof/>
          <w:sz w:val="24"/>
          <w:szCs w:val="24"/>
          <w:lang w:val="en-IE"/>
        </w:rPr>
        <w:t>decision-makers.</w:t>
      </w:r>
    </w:p>
    <w:p w14:paraId="74B4847B" w14:textId="1BDC4813" w:rsidR="00432785" w:rsidRPr="00532C20" w:rsidRDefault="00432785" w:rsidP="004B0958">
      <w:pPr>
        <w:spacing w:before="240" w:after="160" w:line="240" w:lineRule="auto"/>
        <w:ind w:left="720"/>
        <w:jc w:val="both"/>
        <w:rPr>
          <w:rFonts w:ascii="Times New Roman" w:eastAsia="Calibri" w:hAnsi="Times New Roman" w:cs="Times New Roman"/>
          <w:b/>
          <w:i/>
          <w:noProof/>
          <w:sz w:val="24"/>
          <w:szCs w:val="24"/>
          <w:lang w:val="en-IE"/>
        </w:rPr>
      </w:pPr>
      <w:r w:rsidRPr="00532C20">
        <w:rPr>
          <w:rFonts w:ascii="Times New Roman" w:eastAsia="Calibri" w:hAnsi="Times New Roman" w:cs="Times New Roman"/>
          <w:b/>
          <w:i/>
          <w:noProof/>
          <w:sz w:val="24"/>
          <w:szCs w:val="24"/>
          <w:lang w:val="en-IE"/>
        </w:rPr>
        <w:t>Derogations and safeguards</w:t>
      </w:r>
    </w:p>
    <w:p w14:paraId="4C4B4CDB" w14:textId="4D048CB9" w:rsidR="00432785" w:rsidRPr="00532C20" w:rsidRDefault="009004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highlighted that its legislation contains exemptions</w:t>
      </w:r>
      <w:r w:rsidR="00432785" w:rsidRPr="00532C20">
        <w:rPr>
          <w:rFonts w:ascii="Times New Roman" w:eastAsia="Calibri" w:hAnsi="Times New Roman" w:cs="Times New Roman"/>
          <w:b/>
          <w:noProof/>
          <w:sz w:val="24"/>
          <w:szCs w:val="24"/>
          <w:lang w:val="en-IE"/>
        </w:rPr>
        <w:t xml:space="preserve"> </w:t>
      </w:r>
      <w:r w:rsidR="00432785" w:rsidRPr="00532C20">
        <w:rPr>
          <w:rFonts w:ascii="Times New Roman" w:eastAsia="Calibri" w:hAnsi="Times New Roman" w:cs="Times New Roman"/>
          <w:noProof/>
          <w:sz w:val="24"/>
          <w:szCs w:val="24"/>
          <w:lang w:val="en-IE"/>
        </w:rPr>
        <w:t>of the obligation to register.</w:t>
      </w:r>
    </w:p>
    <w:p w14:paraId="76890C1E" w14:textId="472A09EB" w:rsidR="00432785" w:rsidRPr="00532C20" w:rsidRDefault="009004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expressed that certain exemptions could be necessary; however, overly generous exemptions could dilute the purpose of the registration requirements.</w:t>
      </w:r>
      <w:r w:rsidR="00A37CE3" w:rsidRPr="00532C20">
        <w:rPr>
          <w:rFonts w:ascii="Times New Roman" w:eastAsia="Calibri" w:hAnsi="Times New Roman" w:cs="Times New Roman"/>
          <w:noProof/>
          <w:sz w:val="24"/>
          <w:szCs w:val="24"/>
          <w:lang w:val="en-IE"/>
        </w:rPr>
        <w:t xml:space="preserve"> That Member State</w:t>
      </w:r>
      <w:r w:rsidR="00432785" w:rsidRPr="00532C20">
        <w:rPr>
          <w:rFonts w:ascii="Times New Roman" w:eastAsia="Calibri" w:hAnsi="Times New Roman" w:cs="Times New Roman"/>
          <w:noProof/>
          <w:sz w:val="24"/>
          <w:szCs w:val="24"/>
          <w:lang w:val="en-IE"/>
        </w:rPr>
        <w:t xml:space="preserve"> emphasized that measures addressing interest representation could have an impact on diplomatic relations with third countries. It would be therefore important to provide for some exceptions also at EU level, as otherwise international exchange would be restricted, and could lead to a chilling effect.</w:t>
      </w:r>
    </w:p>
    <w:p w14:paraId="02A2D051" w14:textId="3E2D01FD" w:rsidR="00432785" w:rsidRPr="00532C20" w:rsidRDefault="009004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considered that the exclusion of civil society organisations and SMEs as a matter of principle does not seem desirable, since these entities could serve as any other conduit for influence activities carried out on behalf of foreign powers.</w:t>
      </w:r>
    </w:p>
    <w:p w14:paraId="3B1E58D1" w14:textId="4D3AF2F8" w:rsidR="00432785" w:rsidRPr="00532C20" w:rsidRDefault="009004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2</w:t>
      </w:r>
      <w:r w:rsidR="00A37CE3" w:rsidRPr="00532C20">
        <w:rPr>
          <w:rFonts w:ascii="Times New Roman" w:eastAsia="Calibri" w:hAnsi="Times New Roman" w:cs="Times New Roman"/>
          <w:noProof/>
          <w:sz w:val="24"/>
          <w:szCs w:val="24"/>
          <w:lang w:val="en-IE"/>
        </w:rPr>
        <w:t xml:space="preserve"> Member States</w:t>
      </w:r>
      <w:r w:rsidR="00432785" w:rsidRPr="00532C20">
        <w:rPr>
          <w:rFonts w:ascii="Times New Roman" w:eastAsia="Calibri" w:hAnsi="Times New Roman" w:cs="Times New Roman"/>
          <w:noProof/>
          <w:sz w:val="24"/>
          <w:szCs w:val="24"/>
          <w:lang w:val="en-IE"/>
        </w:rPr>
        <w:t xml:space="preserve"> highlighted that the legislative proposal must be designed with due regard for fundamental rights. Moreover, the principles of legality, necessity and proportionality must therefore be fully respected.</w:t>
      </w:r>
    </w:p>
    <w:p w14:paraId="164215E9" w14:textId="1DFF242A" w:rsidR="00432785" w:rsidRPr="00532C20" w:rsidRDefault="009004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expressed that there should</w:t>
      </w:r>
      <w:r w:rsidR="00C926C7" w:rsidRPr="00532C20">
        <w:rPr>
          <w:rFonts w:ascii="Times New Roman" w:eastAsia="Calibri" w:hAnsi="Times New Roman" w:cs="Times New Roman"/>
          <w:noProof/>
          <w:sz w:val="24"/>
          <w:szCs w:val="24"/>
          <w:lang w:val="en-IE"/>
        </w:rPr>
        <w:t xml:space="preserve"> not</w:t>
      </w:r>
      <w:r w:rsidR="00432785" w:rsidRPr="00532C20">
        <w:rPr>
          <w:rFonts w:ascii="Times New Roman" w:eastAsia="Calibri" w:hAnsi="Times New Roman" w:cs="Times New Roman"/>
          <w:noProof/>
          <w:sz w:val="24"/>
          <w:szCs w:val="24"/>
          <w:lang w:val="en-IE"/>
        </w:rPr>
        <w:t xml:space="preserve"> be any specific exemptions.</w:t>
      </w:r>
    </w:p>
    <w:p w14:paraId="004F36CF" w14:textId="579D3C89" w:rsidR="00432785" w:rsidRPr="00532C20" w:rsidRDefault="009004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4</w:t>
      </w:r>
      <w:r w:rsidR="00893DB3" w:rsidRPr="00532C20">
        <w:rPr>
          <w:rFonts w:ascii="Times New Roman" w:eastAsia="Calibri" w:hAnsi="Times New Roman" w:cs="Times New Roman"/>
          <w:noProof/>
          <w:sz w:val="24"/>
          <w:szCs w:val="24"/>
          <w:lang w:val="en-IE"/>
        </w:rPr>
        <w:t xml:space="preserve"> </w:t>
      </w:r>
      <w:r w:rsidR="00A37CE3" w:rsidRPr="00532C20">
        <w:rPr>
          <w:rFonts w:ascii="Times New Roman" w:eastAsia="Calibri" w:hAnsi="Times New Roman" w:cs="Times New Roman"/>
          <w:noProof/>
          <w:sz w:val="24"/>
          <w:szCs w:val="24"/>
          <w:lang w:val="en-IE"/>
        </w:rPr>
        <w:t>Member State</w:t>
      </w:r>
      <w:r w:rsidR="00893DB3" w:rsidRPr="00532C20">
        <w:rPr>
          <w:rFonts w:ascii="Times New Roman" w:eastAsia="Calibri" w:hAnsi="Times New Roman" w:cs="Times New Roman"/>
          <w:noProof/>
          <w:sz w:val="24"/>
          <w:szCs w:val="24"/>
          <w:lang w:val="en-IE"/>
        </w:rPr>
        <w:t>s</w:t>
      </w:r>
      <w:r w:rsidR="00432785" w:rsidRPr="00532C20">
        <w:rPr>
          <w:rFonts w:ascii="Times New Roman" w:eastAsia="Calibri" w:hAnsi="Times New Roman" w:cs="Times New Roman"/>
          <w:noProof/>
          <w:sz w:val="24"/>
          <w:szCs w:val="24"/>
          <w:lang w:val="en-IE"/>
        </w:rPr>
        <w:t xml:space="preserve"> stated that SMEs should not benefit from specific derogations. </w:t>
      </w:r>
      <w:r w:rsidRPr="00532C20">
        <w:rPr>
          <w:rFonts w:ascii="Times New Roman" w:eastAsia="Calibri" w:hAnsi="Times New Roman" w:cs="Times New Roman"/>
          <w:noProof/>
          <w:sz w:val="24"/>
          <w:szCs w:val="24"/>
          <w:lang w:val="en-IE"/>
        </w:rPr>
        <w:t>1</w:t>
      </w:r>
      <w:r w:rsidR="00A86C49" w:rsidRPr="00532C20">
        <w:rPr>
          <w:rFonts w:ascii="Times New Roman" w:eastAsia="Calibri" w:hAnsi="Times New Roman" w:cs="Times New Roman"/>
          <w:noProof/>
          <w:sz w:val="24"/>
          <w:szCs w:val="24"/>
          <w:lang w:val="en-IE"/>
        </w:rPr>
        <w:t xml:space="preserve"> of those Member States however distinguished </w:t>
      </w:r>
      <w:r w:rsidR="007D53F4" w:rsidRPr="00532C20">
        <w:rPr>
          <w:rFonts w:ascii="Times New Roman" w:eastAsia="Calibri" w:hAnsi="Times New Roman" w:cs="Times New Roman"/>
          <w:noProof/>
          <w:sz w:val="24"/>
          <w:szCs w:val="24"/>
          <w:lang w:val="en-IE"/>
        </w:rPr>
        <w:t>for</w:t>
      </w:r>
      <w:r w:rsidR="00A86C49" w:rsidRPr="00532C20">
        <w:rPr>
          <w:rFonts w:ascii="Times New Roman" w:eastAsia="Calibri" w:hAnsi="Times New Roman" w:cs="Times New Roman"/>
          <w:noProof/>
          <w:sz w:val="24"/>
          <w:szCs w:val="24"/>
          <w:lang w:val="en-IE"/>
        </w:rPr>
        <w:t xml:space="preserve"> CSOs, stating that for them </w:t>
      </w:r>
      <w:r w:rsidR="00A7717F" w:rsidRPr="00532C20">
        <w:rPr>
          <w:rFonts w:ascii="Times New Roman" w:eastAsia="Calibri" w:hAnsi="Times New Roman" w:cs="Times New Roman"/>
          <w:noProof/>
          <w:sz w:val="24"/>
          <w:szCs w:val="24"/>
          <w:lang w:val="en-IE"/>
        </w:rPr>
        <w:t xml:space="preserve">a </w:t>
      </w:r>
      <w:r w:rsidR="00432785" w:rsidRPr="00532C20">
        <w:rPr>
          <w:rFonts w:ascii="Times New Roman" w:eastAsia="Calibri" w:hAnsi="Times New Roman" w:cs="Times New Roman"/>
          <w:noProof/>
          <w:sz w:val="24"/>
          <w:szCs w:val="24"/>
          <w:lang w:val="en-IE"/>
        </w:rPr>
        <w:t xml:space="preserve">general derogations </w:t>
      </w:r>
      <w:r w:rsidR="00A7717F" w:rsidRPr="00532C20">
        <w:rPr>
          <w:rFonts w:ascii="Times New Roman" w:eastAsia="Calibri" w:hAnsi="Times New Roman" w:cs="Times New Roman"/>
          <w:noProof/>
          <w:sz w:val="24"/>
          <w:szCs w:val="24"/>
          <w:lang w:val="en-IE"/>
        </w:rPr>
        <w:t>c</w:t>
      </w:r>
      <w:r w:rsidR="00432785" w:rsidRPr="00532C20">
        <w:rPr>
          <w:rFonts w:ascii="Times New Roman" w:eastAsia="Calibri" w:hAnsi="Times New Roman" w:cs="Times New Roman"/>
          <w:noProof/>
          <w:sz w:val="24"/>
          <w:szCs w:val="24"/>
          <w:lang w:val="en-IE"/>
        </w:rPr>
        <w:t>ould apply with regard to protection of fundamental rights, exercise of constitutional rights and sensitive personal data protection.</w:t>
      </w:r>
    </w:p>
    <w:p w14:paraId="3356F54A" w14:textId="0DE9312B" w:rsidR="008A5D1E" w:rsidRPr="00532C20" w:rsidRDefault="009004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2</w:t>
      </w:r>
      <w:r w:rsidR="008A5D1E" w:rsidRPr="00532C20">
        <w:rPr>
          <w:rFonts w:ascii="Times New Roman" w:eastAsia="Calibri" w:hAnsi="Times New Roman" w:cs="Times New Roman"/>
          <w:noProof/>
          <w:sz w:val="24"/>
          <w:szCs w:val="24"/>
          <w:lang w:val="en-IE"/>
        </w:rPr>
        <w:t xml:space="preserve"> Member State </w:t>
      </w:r>
      <w:r w:rsidR="00720C75" w:rsidRPr="00532C20">
        <w:rPr>
          <w:rFonts w:ascii="Times New Roman" w:eastAsia="Calibri" w:hAnsi="Times New Roman" w:cs="Times New Roman"/>
          <w:noProof/>
          <w:sz w:val="24"/>
          <w:szCs w:val="24"/>
          <w:lang w:val="en-IE"/>
        </w:rPr>
        <w:t>wrote</w:t>
      </w:r>
      <w:r w:rsidR="008A5D1E" w:rsidRPr="00532C20">
        <w:rPr>
          <w:rFonts w:ascii="Times New Roman" w:eastAsia="Calibri" w:hAnsi="Times New Roman" w:cs="Times New Roman"/>
          <w:noProof/>
          <w:sz w:val="24"/>
          <w:szCs w:val="24"/>
          <w:lang w:val="en-IE"/>
        </w:rPr>
        <w:t xml:space="preserve"> that</w:t>
      </w:r>
      <w:r w:rsidR="00720C75" w:rsidRPr="00532C20">
        <w:rPr>
          <w:rFonts w:ascii="Times New Roman" w:eastAsia="Calibri" w:hAnsi="Times New Roman" w:cs="Times New Roman"/>
          <w:noProof/>
          <w:sz w:val="24"/>
          <w:szCs w:val="24"/>
          <w:lang w:val="en-IE"/>
        </w:rPr>
        <w:t xml:space="preserve"> activities directed at safeguarding or representing the interests of a party or participant in connection with an administrative or judicial procedure</w:t>
      </w:r>
      <w:r w:rsidR="007D53F4" w:rsidRPr="00532C20">
        <w:rPr>
          <w:rFonts w:ascii="Times New Roman" w:eastAsia="Calibri" w:hAnsi="Times New Roman" w:cs="Times New Roman"/>
          <w:noProof/>
          <w:sz w:val="24"/>
          <w:szCs w:val="24"/>
          <w:lang w:val="en-IE"/>
        </w:rPr>
        <w:t xml:space="preserve"> should be exempt</w:t>
      </w:r>
      <w:r w:rsidR="00720C75" w:rsidRPr="00532C20">
        <w:rPr>
          <w:rFonts w:ascii="Times New Roman" w:eastAsia="Calibri" w:hAnsi="Times New Roman" w:cs="Times New Roman"/>
          <w:noProof/>
          <w:sz w:val="24"/>
          <w:szCs w:val="24"/>
          <w:lang w:val="en-IE"/>
        </w:rPr>
        <w:t>.</w:t>
      </w:r>
      <w:r w:rsidR="008A5D1E" w:rsidRPr="00532C20">
        <w:rPr>
          <w:rFonts w:ascii="Times New Roman" w:eastAsia="Calibri" w:hAnsi="Times New Roman" w:cs="Times New Roman"/>
          <w:noProof/>
          <w:sz w:val="24"/>
          <w:szCs w:val="24"/>
          <w:lang w:val="en-IE"/>
        </w:rPr>
        <w:t xml:space="preserve"> </w:t>
      </w:r>
    </w:p>
    <w:p w14:paraId="0F61B7F8" w14:textId="6BC1E685" w:rsidR="00B75579" w:rsidRPr="00532C20" w:rsidRDefault="009004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3</w:t>
      </w:r>
      <w:r w:rsidR="00B75579" w:rsidRPr="00532C20">
        <w:rPr>
          <w:rFonts w:ascii="Times New Roman" w:eastAsia="Calibri" w:hAnsi="Times New Roman" w:cs="Times New Roman"/>
          <w:noProof/>
          <w:sz w:val="24"/>
          <w:szCs w:val="24"/>
          <w:lang w:val="en-IE"/>
        </w:rPr>
        <w:t xml:space="preserve"> Member States </w:t>
      </w:r>
      <w:r w:rsidR="008A5D1E" w:rsidRPr="00532C20">
        <w:rPr>
          <w:rFonts w:ascii="Times New Roman" w:eastAsia="Calibri" w:hAnsi="Times New Roman" w:cs="Times New Roman"/>
          <w:noProof/>
          <w:sz w:val="24"/>
          <w:szCs w:val="24"/>
          <w:lang w:val="en-IE"/>
        </w:rPr>
        <w:t>explained that diplomatic actors and activities should not be covered.</w:t>
      </w:r>
    </w:p>
    <w:p w14:paraId="46E28ED7" w14:textId="341AFBCA" w:rsidR="001423B5" w:rsidRPr="00532C20" w:rsidRDefault="009004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8B5899" w:rsidRPr="00532C20">
        <w:rPr>
          <w:rFonts w:ascii="Times New Roman" w:eastAsia="Calibri" w:hAnsi="Times New Roman" w:cs="Times New Roman"/>
          <w:noProof/>
          <w:sz w:val="24"/>
          <w:szCs w:val="24"/>
          <w:lang w:val="en-IE"/>
        </w:rPr>
        <w:t xml:space="preserve"> Member State </w:t>
      </w:r>
      <w:r w:rsidR="008D4CA4" w:rsidRPr="00532C20">
        <w:rPr>
          <w:rFonts w:ascii="Times New Roman" w:eastAsia="Calibri" w:hAnsi="Times New Roman" w:cs="Times New Roman"/>
          <w:noProof/>
          <w:sz w:val="24"/>
          <w:szCs w:val="24"/>
          <w:lang w:val="en-IE"/>
        </w:rPr>
        <w:t xml:space="preserve">raised the issue that the adoption of a legislative instrument might </w:t>
      </w:r>
      <w:r w:rsidR="001E5469" w:rsidRPr="00532C20">
        <w:rPr>
          <w:rFonts w:ascii="Times New Roman" w:eastAsia="Calibri" w:hAnsi="Times New Roman" w:cs="Times New Roman"/>
          <w:noProof/>
          <w:sz w:val="24"/>
          <w:szCs w:val="24"/>
          <w:lang w:val="en-IE"/>
        </w:rPr>
        <w:t xml:space="preserve">lead to risks of stigmatisation for certain entities. </w:t>
      </w:r>
    </w:p>
    <w:p w14:paraId="4C875865" w14:textId="761A7D71" w:rsidR="00487E77" w:rsidRPr="00532C20" w:rsidRDefault="009004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2</w:t>
      </w:r>
      <w:r w:rsidR="00487E77" w:rsidRPr="00532C20">
        <w:rPr>
          <w:rFonts w:ascii="Times New Roman" w:eastAsia="Calibri" w:hAnsi="Times New Roman" w:cs="Times New Roman"/>
          <w:noProof/>
          <w:sz w:val="24"/>
          <w:szCs w:val="24"/>
          <w:lang w:val="en-IE"/>
        </w:rPr>
        <w:t xml:space="preserve"> Member States proposed a system whereby one part of the register </w:t>
      </w:r>
      <w:r w:rsidR="00933282" w:rsidRPr="00532C20">
        <w:rPr>
          <w:rFonts w:ascii="Times New Roman" w:eastAsia="Calibri" w:hAnsi="Times New Roman" w:cs="Times New Roman"/>
          <w:noProof/>
          <w:sz w:val="24"/>
          <w:szCs w:val="24"/>
          <w:lang w:val="en-IE"/>
        </w:rPr>
        <w:t>can only be accessed by authorities</w:t>
      </w:r>
      <w:r w:rsidR="00816535" w:rsidRPr="00532C20">
        <w:rPr>
          <w:rFonts w:ascii="Times New Roman" w:eastAsia="Calibri" w:hAnsi="Times New Roman" w:cs="Times New Roman"/>
          <w:noProof/>
          <w:sz w:val="24"/>
          <w:szCs w:val="24"/>
          <w:lang w:val="en-IE"/>
        </w:rPr>
        <w:t>.</w:t>
      </w:r>
    </w:p>
    <w:p w14:paraId="79F64849" w14:textId="77777777" w:rsidR="00432785" w:rsidRPr="00532C20" w:rsidRDefault="00432785" w:rsidP="004B0958">
      <w:pPr>
        <w:spacing w:before="240" w:after="160" w:line="240" w:lineRule="auto"/>
        <w:ind w:left="720"/>
        <w:jc w:val="both"/>
        <w:rPr>
          <w:rFonts w:ascii="Times New Roman" w:eastAsia="Calibri" w:hAnsi="Times New Roman" w:cs="Times New Roman"/>
          <w:noProof/>
          <w:sz w:val="24"/>
          <w:szCs w:val="24"/>
          <w:lang w:val="en-IE"/>
        </w:rPr>
      </w:pPr>
      <w:r w:rsidRPr="00532C20">
        <w:rPr>
          <w:rFonts w:ascii="Times New Roman" w:eastAsia="Calibri" w:hAnsi="Times New Roman" w:cs="Times New Roman"/>
          <w:b/>
          <w:i/>
          <w:noProof/>
          <w:sz w:val="24"/>
          <w:szCs w:val="24"/>
          <w:lang w:val="en-IE"/>
        </w:rPr>
        <w:t>Monitoring and sanctions</w:t>
      </w:r>
    </w:p>
    <w:p w14:paraId="78401559" w14:textId="7123F731" w:rsidR="00432785" w:rsidRPr="00532C20" w:rsidRDefault="00900430" w:rsidP="004B0958">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warned that setting up a sanctions regime that restricts activities of actors from third countries in the EU may lead some of these countries to establish reciprocal rules, and this could restrict the work of local civil society organisations in third countries which have so far been supported through European development cooperation and whose active role is very important.</w:t>
      </w:r>
    </w:p>
    <w:p w14:paraId="19790F71" w14:textId="1D8413E1" w:rsidR="00A37CE3" w:rsidRPr="00532C20" w:rsidRDefault="00900430" w:rsidP="004B0958">
      <w:pPr>
        <w:spacing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A37CE3" w:rsidRPr="00532C20">
        <w:rPr>
          <w:rFonts w:ascii="Times New Roman" w:eastAsia="Calibri" w:hAnsi="Times New Roman" w:cs="Times New Roman"/>
          <w:noProof/>
          <w:sz w:val="24"/>
          <w:szCs w:val="24"/>
          <w:lang w:val="en-IE"/>
        </w:rPr>
        <w:t xml:space="preserve"> Member State</w:t>
      </w:r>
      <w:r w:rsidR="00432785" w:rsidRPr="00532C20">
        <w:rPr>
          <w:rFonts w:ascii="Times New Roman" w:eastAsia="Calibri" w:hAnsi="Times New Roman" w:cs="Times New Roman"/>
          <w:noProof/>
          <w:sz w:val="24"/>
          <w:szCs w:val="24"/>
          <w:lang w:val="en-IE"/>
        </w:rPr>
        <w:t xml:space="preserve"> expressed that supervisory authorities entrusted with monitoring would not necessarily have to be “completely independent”, but they may also be located in a ministry, and be removed from an undue influence by decision-makers by other measures.</w:t>
      </w:r>
    </w:p>
    <w:p w14:paraId="4D7FF716" w14:textId="6EFB5223" w:rsidR="00432785" w:rsidRPr="00532C20" w:rsidRDefault="00432785" w:rsidP="004B0958">
      <w:pPr>
        <w:spacing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On the obligation to obtain prior authorisation/license at EU level to carry out lobbying activities on behalf of third countries, </w:t>
      </w:r>
      <w:r w:rsidR="00900430" w:rsidRPr="00532C20">
        <w:rPr>
          <w:rFonts w:ascii="Times New Roman" w:eastAsia="Times New Roman" w:hAnsi="Times New Roman" w:cs="Times New Roman"/>
          <w:noProof/>
          <w:sz w:val="24"/>
          <w:szCs w:val="24"/>
        </w:rPr>
        <w:t xml:space="preserve">1 </w:t>
      </w:r>
      <w:r w:rsidR="00A37CE3" w:rsidRPr="00532C20">
        <w:rPr>
          <w:rFonts w:ascii="Times New Roman" w:eastAsia="Times New Roman" w:hAnsi="Times New Roman" w:cs="Times New Roman"/>
          <w:noProof/>
          <w:sz w:val="24"/>
          <w:szCs w:val="24"/>
        </w:rPr>
        <w:t>Member State</w:t>
      </w:r>
      <w:r w:rsidRPr="00532C20">
        <w:rPr>
          <w:rFonts w:ascii="Times New Roman" w:eastAsia="Times New Roman" w:hAnsi="Times New Roman" w:cs="Times New Roman"/>
          <w:noProof/>
          <w:sz w:val="24"/>
          <w:szCs w:val="24"/>
        </w:rPr>
        <w:t xml:space="preserve"> expressed that a prior authorization scheme does not appear to be the most proportionate solution for achieving the objective pursued, and suggested that a transparency regime based on a reporting regime, coupled with the application of ethical obligations, would appear more appropriate.</w:t>
      </w:r>
    </w:p>
    <w:p w14:paraId="6FA170F7" w14:textId="009D4B3F" w:rsidR="00432785" w:rsidRPr="00532C20" w:rsidRDefault="00900430" w:rsidP="004B0958">
      <w:pPr>
        <w:spacing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1</w:t>
      </w:r>
      <w:r w:rsidR="00A37CE3" w:rsidRPr="00532C20">
        <w:rPr>
          <w:rFonts w:ascii="Times New Roman" w:eastAsia="Times New Roman" w:hAnsi="Times New Roman" w:cs="Times New Roman"/>
          <w:noProof/>
          <w:sz w:val="24"/>
          <w:szCs w:val="24"/>
        </w:rPr>
        <w:t xml:space="preserve"> Member State</w:t>
      </w:r>
      <w:r w:rsidR="00432785" w:rsidRPr="00532C20">
        <w:rPr>
          <w:rFonts w:ascii="Times New Roman" w:eastAsia="Times New Roman" w:hAnsi="Times New Roman" w:cs="Times New Roman"/>
          <w:noProof/>
          <w:sz w:val="24"/>
          <w:szCs w:val="24"/>
        </w:rPr>
        <w:t xml:space="preserve"> emphasized that Member States should have autonomy in designating the competent authority for their national register.</w:t>
      </w:r>
    </w:p>
    <w:p w14:paraId="4B8CC89C" w14:textId="2D5C5E58" w:rsidR="00432785" w:rsidRPr="00532C20" w:rsidRDefault="00900430" w:rsidP="004B0958">
      <w:pPr>
        <w:spacing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2</w:t>
      </w:r>
      <w:r w:rsidR="00A37CE3" w:rsidRPr="00532C20">
        <w:rPr>
          <w:rFonts w:ascii="Times New Roman" w:eastAsia="Times New Roman" w:hAnsi="Times New Roman" w:cs="Times New Roman"/>
          <w:noProof/>
          <w:sz w:val="24"/>
          <w:szCs w:val="24"/>
        </w:rPr>
        <w:t xml:space="preserve"> Member States</w:t>
      </w:r>
      <w:r w:rsidR="00432785" w:rsidRPr="00532C20">
        <w:rPr>
          <w:rFonts w:ascii="Times New Roman" w:eastAsia="Times New Roman" w:hAnsi="Times New Roman" w:cs="Times New Roman"/>
          <w:noProof/>
          <w:sz w:val="24"/>
          <w:szCs w:val="24"/>
        </w:rPr>
        <w:t xml:space="preserve"> highlighted that sanction regimes must leave the Member States a wide margin of discretion.</w:t>
      </w:r>
    </w:p>
    <w:p w14:paraId="381441AC" w14:textId="4D0312F1" w:rsidR="0030149B" w:rsidRPr="00532C20" w:rsidRDefault="00900430" w:rsidP="004B0958">
      <w:pPr>
        <w:spacing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4</w:t>
      </w:r>
      <w:r w:rsidR="0030149B" w:rsidRPr="00532C20">
        <w:rPr>
          <w:rFonts w:ascii="Times New Roman" w:eastAsia="Times New Roman" w:hAnsi="Times New Roman" w:cs="Times New Roman"/>
          <w:noProof/>
          <w:sz w:val="24"/>
          <w:szCs w:val="24"/>
        </w:rPr>
        <w:t xml:space="preserve"> Member States advocate</w:t>
      </w:r>
      <w:r w:rsidR="00A13E8C" w:rsidRPr="00532C20">
        <w:rPr>
          <w:rFonts w:ascii="Times New Roman" w:eastAsia="Times New Roman" w:hAnsi="Times New Roman" w:cs="Times New Roman"/>
          <w:noProof/>
          <w:sz w:val="24"/>
          <w:szCs w:val="24"/>
        </w:rPr>
        <w:t>d</w:t>
      </w:r>
      <w:r w:rsidR="0030149B" w:rsidRPr="00532C20">
        <w:rPr>
          <w:rFonts w:ascii="Times New Roman" w:eastAsia="Times New Roman" w:hAnsi="Times New Roman" w:cs="Times New Roman"/>
          <w:noProof/>
          <w:sz w:val="24"/>
          <w:szCs w:val="24"/>
        </w:rPr>
        <w:t xml:space="preserve"> for a sanctions regime defined at Member State level, </w:t>
      </w:r>
      <w:r w:rsidRPr="00532C20">
        <w:rPr>
          <w:rFonts w:ascii="Times New Roman" w:eastAsia="Times New Roman" w:hAnsi="Times New Roman" w:cs="Times New Roman"/>
          <w:noProof/>
          <w:sz w:val="24"/>
          <w:szCs w:val="24"/>
        </w:rPr>
        <w:t xml:space="preserve">2 </w:t>
      </w:r>
      <w:r w:rsidR="0030149B" w:rsidRPr="00532C20">
        <w:rPr>
          <w:rFonts w:ascii="Times New Roman" w:eastAsia="Times New Roman" w:hAnsi="Times New Roman" w:cs="Times New Roman"/>
          <w:noProof/>
          <w:sz w:val="24"/>
          <w:szCs w:val="24"/>
        </w:rPr>
        <w:t>of which mentioning the possibility to establish guidelines to ensure enforcement consistency.</w:t>
      </w:r>
    </w:p>
    <w:p w14:paraId="45E1252F" w14:textId="6B6D9D8C" w:rsidR="00A13E8C" w:rsidRPr="00532C20" w:rsidRDefault="00900430" w:rsidP="004B0958">
      <w:pPr>
        <w:spacing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7</w:t>
      </w:r>
      <w:r w:rsidR="00A13E8C" w:rsidRPr="00532C20">
        <w:rPr>
          <w:rFonts w:ascii="Times New Roman" w:eastAsia="Times New Roman" w:hAnsi="Times New Roman" w:cs="Times New Roman"/>
          <w:noProof/>
          <w:sz w:val="24"/>
          <w:szCs w:val="24"/>
        </w:rPr>
        <w:t xml:space="preserve"> Member States expressed that </w:t>
      </w:r>
      <w:r w:rsidR="008B40EC" w:rsidRPr="00532C20">
        <w:rPr>
          <w:rFonts w:ascii="Times New Roman" w:eastAsia="Times New Roman" w:hAnsi="Times New Roman" w:cs="Times New Roman"/>
          <w:noProof/>
          <w:sz w:val="24"/>
          <w:szCs w:val="24"/>
        </w:rPr>
        <w:t xml:space="preserve">supervisory authorities should be </w:t>
      </w:r>
      <w:r w:rsidR="008E6BE8" w:rsidRPr="00532C20">
        <w:rPr>
          <w:rFonts w:ascii="Times New Roman" w:eastAsia="Times New Roman" w:hAnsi="Times New Roman" w:cs="Times New Roman"/>
          <w:noProof/>
          <w:sz w:val="24"/>
          <w:szCs w:val="24"/>
        </w:rPr>
        <w:t>permitted</w:t>
      </w:r>
      <w:r w:rsidR="008B40EC" w:rsidRPr="00532C20">
        <w:rPr>
          <w:rFonts w:ascii="Times New Roman" w:eastAsia="Times New Roman" w:hAnsi="Times New Roman" w:cs="Times New Roman"/>
          <w:noProof/>
          <w:sz w:val="24"/>
          <w:szCs w:val="24"/>
        </w:rPr>
        <w:t xml:space="preserve"> to</w:t>
      </w:r>
      <w:r w:rsidR="00A13E8C" w:rsidRPr="00532C20">
        <w:rPr>
          <w:rFonts w:ascii="Times New Roman" w:eastAsia="Times New Roman" w:hAnsi="Times New Roman" w:cs="Times New Roman"/>
          <w:noProof/>
          <w:sz w:val="24"/>
          <w:szCs w:val="24"/>
        </w:rPr>
        <w:t xml:space="preserve"> </w:t>
      </w:r>
      <w:r w:rsidR="008E6BE8" w:rsidRPr="00532C20">
        <w:rPr>
          <w:rFonts w:ascii="Times New Roman" w:eastAsia="Times New Roman" w:hAnsi="Times New Roman" w:cs="Times New Roman"/>
          <w:noProof/>
          <w:sz w:val="24"/>
          <w:szCs w:val="24"/>
        </w:rPr>
        <w:t xml:space="preserve">ask specific information from registered entities, subject to safeguards. </w:t>
      </w:r>
    </w:p>
    <w:p w14:paraId="50CEB07E" w14:textId="699477B7" w:rsidR="00432785" w:rsidRPr="00532C20" w:rsidRDefault="00900430" w:rsidP="004B0958">
      <w:pPr>
        <w:spacing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1</w:t>
      </w:r>
      <w:r w:rsidR="00A37CE3" w:rsidRPr="00532C20">
        <w:rPr>
          <w:rFonts w:ascii="Times New Roman" w:eastAsia="Times New Roman" w:hAnsi="Times New Roman" w:cs="Times New Roman"/>
          <w:noProof/>
          <w:sz w:val="24"/>
          <w:szCs w:val="24"/>
        </w:rPr>
        <w:t xml:space="preserve"> Member State</w:t>
      </w:r>
      <w:r w:rsidR="00432785" w:rsidRPr="00532C20">
        <w:rPr>
          <w:rFonts w:ascii="Times New Roman" w:eastAsia="Times New Roman" w:hAnsi="Times New Roman" w:cs="Times New Roman"/>
          <w:noProof/>
          <w:sz w:val="24"/>
          <w:szCs w:val="24"/>
        </w:rPr>
        <w:t xml:space="preserve"> expressed that the implementation of monitoring should be entrusted to the institutions responsible for the regulation of lobbying activities and compliance with national security interests.</w:t>
      </w:r>
    </w:p>
    <w:p w14:paraId="353BB838" w14:textId="3F14C6BE" w:rsidR="00AF3566" w:rsidRPr="00532C20" w:rsidRDefault="00900430" w:rsidP="004B0958">
      <w:pPr>
        <w:spacing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1</w:t>
      </w:r>
      <w:r w:rsidR="00AF3566" w:rsidRPr="00532C20">
        <w:rPr>
          <w:rFonts w:ascii="Times New Roman" w:eastAsia="Times New Roman" w:hAnsi="Times New Roman" w:cs="Times New Roman"/>
          <w:noProof/>
          <w:sz w:val="24"/>
          <w:szCs w:val="24"/>
        </w:rPr>
        <w:t xml:space="preserve"> Member State suggested that a network of authorities </w:t>
      </w:r>
      <w:r w:rsidR="0042266F" w:rsidRPr="00532C20">
        <w:rPr>
          <w:rFonts w:ascii="Times New Roman" w:eastAsia="Times New Roman" w:hAnsi="Times New Roman" w:cs="Times New Roman"/>
          <w:noProof/>
          <w:sz w:val="24"/>
          <w:szCs w:val="24"/>
        </w:rPr>
        <w:t>could serve as a platform for regular exchanges of information and structured cooperation.</w:t>
      </w:r>
    </w:p>
    <w:p w14:paraId="0D083B62" w14:textId="346C9DDA" w:rsidR="00432785" w:rsidRPr="00532C20" w:rsidRDefault="00900430" w:rsidP="004B0958">
      <w:pPr>
        <w:spacing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3</w:t>
      </w:r>
      <w:r w:rsidR="00A37CE3" w:rsidRPr="00532C20">
        <w:rPr>
          <w:rFonts w:ascii="Times New Roman" w:eastAsia="Times New Roman" w:hAnsi="Times New Roman" w:cs="Times New Roman"/>
          <w:noProof/>
          <w:sz w:val="24"/>
          <w:szCs w:val="24"/>
        </w:rPr>
        <w:t xml:space="preserve"> Member States</w:t>
      </w:r>
      <w:r w:rsidR="00432785" w:rsidRPr="00532C20">
        <w:rPr>
          <w:rFonts w:ascii="Times New Roman" w:eastAsia="Times New Roman" w:hAnsi="Times New Roman" w:cs="Times New Roman"/>
          <w:noProof/>
          <w:sz w:val="24"/>
          <w:szCs w:val="24"/>
        </w:rPr>
        <w:t xml:space="preserve"> expressed that non-penal/administrative sanctions should also be considered, varying in accordance with the gravity of the misconduct.</w:t>
      </w:r>
    </w:p>
    <w:p w14:paraId="3D77A3D3" w14:textId="3FD13DCE" w:rsidR="00432785" w:rsidRPr="00532C20" w:rsidRDefault="00432785" w:rsidP="002B0B48">
      <w:pPr>
        <w:pStyle w:val="ListParagraph"/>
        <w:numPr>
          <w:ilvl w:val="1"/>
          <w:numId w:val="74"/>
        </w:numPr>
        <w:rPr>
          <w:rFonts w:eastAsia="Times New Roman" w:cs="Times New Roman"/>
          <w:b/>
          <w:noProof/>
        </w:rPr>
      </w:pPr>
      <w:r w:rsidRPr="00532C20">
        <w:rPr>
          <w:rFonts w:ascii="Times New Roman" w:eastAsia="Calibri" w:hAnsi="Times New Roman" w:cs="Times New Roman"/>
          <w:b/>
          <w:bCs/>
          <w:noProof/>
          <w:u w:val="single"/>
          <w:lang w:val="en-IE"/>
        </w:rPr>
        <w:t>Replies from organisations representing interest industry</w:t>
      </w:r>
    </w:p>
    <w:p w14:paraId="5FD611AB" w14:textId="77777777" w:rsidR="00F02A38" w:rsidRPr="00532C20" w:rsidRDefault="00F02A38" w:rsidP="00F02A38">
      <w:pPr>
        <w:pStyle w:val="ListParagraph"/>
        <w:ind w:left="360"/>
        <w:rPr>
          <w:rFonts w:ascii="Times New Roman" w:eastAsia="Calibri" w:hAnsi="Times New Roman" w:cs="Times New Roman"/>
          <w:noProof/>
          <w:lang w:val="en-IE"/>
        </w:rPr>
      </w:pPr>
    </w:p>
    <w:p w14:paraId="469F8EFB" w14:textId="77777777" w:rsidR="00432785" w:rsidRPr="00532C20" w:rsidRDefault="00432785" w:rsidP="004B0958">
      <w:pPr>
        <w:spacing w:line="240" w:lineRule="auto"/>
        <w:ind w:left="720"/>
        <w:jc w:val="both"/>
        <w:rPr>
          <w:rFonts w:ascii="Times New Roman" w:eastAsia="Calibri" w:hAnsi="Times New Roman" w:cs="Times New Roman"/>
          <w:b/>
          <w:i/>
          <w:noProof/>
          <w:sz w:val="24"/>
          <w:szCs w:val="24"/>
          <w:lang w:val="en-IE"/>
        </w:rPr>
      </w:pPr>
      <w:r w:rsidRPr="00532C20">
        <w:rPr>
          <w:rFonts w:ascii="Times New Roman" w:eastAsia="Calibri" w:hAnsi="Times New Roman" w:cs="Times New Roman"/>
          <w:b/>
          <w:i/>
          <w:noProof/>
          <w:sz w:val="24"/>
          <w:szCs w:val="24"/>
          <w:lang w:val="en-IE"/>
        </w:rPr>
        <w:t>Scope of the transparency requirements</w:t>
      </w:r>
    </w:p>
    <w:p w14:paraId="0D8A929D" w14:textId="17DB7BE7" w:rsidR="006C3270" w:rsidRPr="00532C20" w:rsidRDefault="00900430" w:rsidP="006C3270">
      <w:pPr>
        <w:spacing w:after="160" w:line="240" w:lineRule="auto"/>
        <w:jc w:val="both"/>
        <w:rPr>
          <w:rFonts w:ascii="Times New Roman" w:eastAsia="Calibri" w:hAnsi="Times New Roman" w:cs="Times New Roman"/>
          <w:b/>
          <w:bCs/>
          <w:noProof/>
          <w:sz w:val="24"/>
          <w:szCs w:val="24"/>
          <w:lang w:val="en-IE"/>
        </w:rPr>
      </w:pPr>
      <w:r w:rsidRPr="00532C20">
        <w:rPr>
          <w:rFonts w:ascii="Times New Roman" w:eastAsia="Calibri" w:hAnsi="Times New Roman" w:cs="Times New Roman"/>
          <w:noProof/>
          <w:sz w:val="24"/>
          <w:szCs w:val="24"/>
          <w:lang w:val="en-IE"/>
        </w:rPr>
        <w:t>1</w:t>
      </w:r>
      <w:r w:rsidR="00113224" w:rsidRPr="00532C20">
        <w:rPr>
          <w:rFonts w:ascii="Times New Roman" w:eastAsia="Calibri" w:hAnsi="Times New Roman" w:cs="Times New Roman"/>
          <w:noProof/>
          <w:sz w:val="24"/>
          <w:szCs w:val="24"/>
          <w:lang w:val="en-IE"/>
        </w:rPr>
        <w:t xml:space="preserve"> </w:t>
      </w:r>
      <w:r w:rsidR="00582D56" w:rsidRPr="00532C20">
        <w:rPr>
          <w:rFonts w:ascii="Times New Roman" w:eastAsia="Calibri" w:hAnsi="Times New Roman" w:cs="Times New Roman"/>
          <w:noProof/>
          <w:sz w:val="24"/>
          <w:szCs w:val="24"/>
          <w:lang w:val="en-IE"/>
        </w:rPr>
        <w:t xml:space="preserve">out of 3 </w:t>
      </w:r>
      <w:r w:rsidR="00113224" w:rsidRPr="00532C20">
        <w:rPr>
          <w:rFonts w:ascii="Times New Roman" w:eastAsia="Calibri" w:hAnsi="Times New Roman" w:cs="Times New Roman"/>
          <w:noProof/>
          <w:sz w:val="24"/>
          <w:szCs w:val="24"/>
          <w:lang w:val="en-IE"/>
        </w:rPr>
        <w:t>industry representative</w:t>
      </w:r>
      <w:r w:rsidR="00582D56" w:rsidRPr="00532C20">
        <w:rPr>
          <w:rFonts w:ascii="Times New Roman" w:eastAsia="Calibri" w:hAnsi="Times New Roman" w:cs="Times New Roman"/>
          <w:noProof/>
          <w:sz w:val="24"/>
          <w:szCs w:val="24"/>
          <w:lang w:val="en-IE"/>
        </w:rPr>
        <w:t>s</w:t>
      </w:r>
      <w:r w:rsidR="006C3270" w:rsidRPr="00532C20">
        <w:rPr>
          <w:rFonts w:ascii="Times New Roman" w:eastAsia="Calibri" w:hAnsi="Times New Roman" w:cs="Times New Roman"/>
          <w:b/>
          <w:bCs/>
          <w:noProof/>
          <w:sz w:val="24"/>
          <w:szCs w:val="24"/>
          <w:lang w:val="en-IE"/>
        </w:rPr>
        <w:t xml:space="preserve"> </w:t>
      </w:r>
      <w:r w:rsidR="00113224" w:rsidRPr="00532C20">
        <w:rPr>
          <w:rFonts w:ascii="Times New Roman" w:eastAsia="Calibri" w:hAnsi="Times New Roman" w:cs="Times New Roman"/>
          <w:noProof/>
          <w:sz w:val="24"/>
          <w:szCs w:val="24"/>
          <w:lang w:val="en-IE"/>
        </w:rPr>
        <w:t>explained</w:t>
      </w:r>
      <w:r w:rsidR="006C3270" w:rsidRPr="00532C20">
        <w:rPr>
          <w:rFonts w:ascii="Times New Roman" w:eastAsia="Calibri" w:hAnsi="Times New Roman" w:cs="Times New Roman"/>
          <w:noProof/>
          <w:sz w:val="24"/>
          <w:szCs w:val="24"/>
          <w:lang w:val="en-IE"/>
        </w:rPr>
        <w:t xml:space="preserve"> that establishing harmonized measures to enhance transparency in interest representation activities conducted on behalf of third countries at EU level is necessary.</w:t>
      </w:r>
      <w:r w:rsidR="006C3270" w:rsidRPr="00532C20">
        <w:rPr>
          <w:rFonts w:ascii="Times New Roman" w:eastAsia="Calibri" w:hAnsi="Times New Roman" w:cs="Times New Roman"/>
          <w:b/>
          <w:bCs/>
          <w:noProof/>
          <w:sz w:val="24"/>
          <w:szCs w:val="24"/>
          <w:lang w:val="en-IE"/>
        </w:rPr>
        <w:t xml:space="preserve"> </w:t>
      </w:r>
      <w:r w:rsidR="00BE2BFA" w:rsidRPr="00532C20">
        <w:rPr>
          <w:rFonts w:ascii="Times New Roman" w:eastAsia="Calibri" w:hAnsi="Times New Roman" w:cs="Times New Roman"/>
          <w:noProof/>
          <w:sz w:val="24"/>
          <w:szCs w:val="24"/>
          <w:lang w:val="en-IE"/>
        </w:rPr>
        <w:t>According to that respondent</w:t>
      </w:r>
      <w:r w:rsidR="006C3270" w:rsidRPr="00532C20">
        <w:rPr>
          <w:rFonts w:ascii="Times New Roman" w:eastAsia="Calibri" w:hAnsi="Times New Roman" w:cs="Times New Roman"/>
          <w:noProof/>
          <w:sz w:val="24"/>
          <w:szCs w:val="24"/>
          <w:lang w:val="en-IE"/>
        </w:rPr>
        <w:t xml:space="preserve"> </w:t>
      </w:r>
      <w:r w:rsidR="005317E5">
        <w:rPr>
          <w:rFonts w:ascii="Times New Roman" w:eastAsia="Calibri" w:hAnsi="Times New Roman" w:cs="Times New Roman"/>
          <w:noProof/>
          <w:sz w:val="24"/>
          <w:szCs w:val="24"/>
          <w:lang w:val="en-IE"/>
        </w:rPr>
        <w:t xml:space="preserve">to </w:t>
      </w:r>
      <w:r w:rsidR="006C3270" w:rsidRPr="00532C20">
        <w:rPr>
          <w:rFonts w:ascii="Times New Roman" w:eastAsia="Calibri" w:hAnsi="Times New Roman" w:cs="Times New Roman"/>
          <w:noProof/>
          <w:sz w:val="24"/>
          <w:szCs w:val="24"/>
          <w:lang w:val="en-IE"/>
        </w:rPr>
        <w:t>define which</w:t>
      </w:r>
      <w:r w:rsidR="006C3270" w:rsidRPr="00532C20">
        <w:rPr>
          <w:rFonts w:ascii="Times New Roman" w:eastAsia="Calibri" w:hAnsi="Times New Roman" w:cs="Times New Roman"/>
          <w:b/>
          <w:bCs/>
          <w:noProof/>
          <w:sz w:val="24"/>
          <w:szCs w:val="24"/>
          <w:lang w:val="en-IE"/>
        </w:rPr>
        <w:t xml:space="preserve"> </w:t>
      </w:r>
      <w:r w:rsidR="006C3270" w:rsidRPr="00532C20">
        <w:rPr>
          <w:rFonts w:ascii="Times New Roman" w:eastAsia="Calibri" w:hAnsi="Times New Roman" w:cs="Times New Roman"/>
          <w:noProof/>
          <w:sz w:val="24"/>
          <w:szCs w:val="24"/>
          <w:lang w:val="en-IE"/>
        </w:rPr>
        <w:t>specific</w:t>
      </w:r>
      <w:r w:rsidR="006C3270" w:rsidRPr="00532C20">
        <w:rPr>
          <w:rFonts w:ascii="Times New Roman" w:eastAsia="Calibri" w:hAnsi="Times New Roman" w:cs="Times New Roman"/>
          <w:b/>
          <w:bCs/>
          <w:noProof/>
          <w:sz w:val="24"/>
          <w:szCs w:val="24"/>
          <w:lang w:val="en-IE"/>
        </w:rPr>
        <w:t xml:space="preserve"> </w:t>
      </w:r>
      <w:r w:rsidR="006C3270" w:rsidRPr="00532C20">
        <w:rPr>
          <w:rFonts w:ascii="Times New Roman" w:eastAsia="Calibri" w:hAnsi="Times New Roman" w:cs="Times New Roman"/>
          <w:noProof/>
          <w:sz w:val="24"/>
          <w:szCs w:val="24"/>
          <w:lang w:val="en-IE"/>
        </w:rPr>
        <w:t>third countries should fall under such measures, it suggests employing a set of criteria: the geopolitical significance of a country, and security and strategic interests.</w:t>
      </w:r>
    </w:p>
    <w:p w14:paraId="723D1004" w14:textId="4A81E481" w:rsidR="00432785" w:rsidRPr="00532C20" w:rsidRDefault="00900430" w:rsidP="004B0958">
      <w:pPr>
        <w:spacing w:line="240" w:lineRule="auto"/>
        <w:jc w:val="both"/>
        <w:rPr>
          <w:rFonts w:ascii="Times New Roman" w:eastAsia="Times New Roman"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0B4D81" w:rsidRPr="00532C20">
        <w:rPr>
          <w:rFonts w:ascii="Times New Roman" w:eastAsia="Calibri" w:hAnsi="Times New Roman" w:cs="Times New Roman"/>
          <w:noProof/>
          <w:sz w:val="24"/>
          <w:szCs w:val="24"/>
          <w:lang w:val="en-IE"/>
        </w:rPr>
        <w:t xml:space="preserve"> respondent</w:t>
      </w:r>
      <w:r w:rsidR="00432785" w:rsidRPr="00532C20">
        <w:rPr>
          <w:rFonts w:ascii="Times New Roman" w:eastAsia="Calibri" w:hAnsi="Times New Roman" w:cs="Times New Roman"/>
          <w:noProof/>
          <w:sz w:val="24"/>
          <w:szCs w:val="24"/>
          <w:lang w:val="en-IE"/>
        </w:rPr>
        <w:t xml:space="preserve"> expressed that, at present, </w:t>
      </w:r>
      <w:r w:rsidR="00432785" w:rsidRPr="00532C20">
        <w:rPr>
          <w:rFonts w:ascii="Times New Roman" w:eastAsia="Times New Roman" w:hAnsi="Times New Roman" w:cs="Times New Roman"/>
          <w:noProof/>
          <w:sz w:val="24"/>
          <w:szCs w:val="24"/>
        </w:rPr>
        <w:t xml:space="preserve">commercial </w:t>
      </w:r>
      <w:r w:rsidR="00432785" w:rsidRPr="00532C20">
        <w:rPr>
          <w:rFonts w:ascii="Times New Roman" w:eastAsia="Times New Roman" w:hAnsi="Times New Roman" w:cs="Times New Roman"/>
          <w:noProof/>
          <w:sz w:val="24"/>
          <w:szCs w:val="24"/>
          <w:lang w:val="en-IE"/>
        </w:rPr>
        <w:t xml:space="preserve">interest representation activities carried out on behalf of third countries and seeking to influence the formulation or implementation of policy or legislation or public decision-making processes in the EU are transparent. </w:t>
      </w:r>
      <w:r w:rsidR="000B4D81" w:rsidRPr="00532C20">
        <w:rPr>
          <w:rFonts w:ascii="Times New Roman" w:eastAsia="Times New Roman" w:hAnsi="Times New Roman" w:cs="Times New Roman"/>
          <w:noProof/>
          <w:sz w:val="24"/>
          <w:szCs w:val="24"/>
          <w:lang w:val="en-IE"/>
        </w:rPr>
        <w:t>Another respondent</w:t>
      </w:r>
      <w:r w:rsidR="00432785" w:rsidRPr="00532C20">
        <w:rPr>
          <w:rFonts w:ascii="Times New Roman" w:eastAsia="Times New Roman" w:hAnsi="Times New Roman" w:cs="Times New Roman"/>
          <w:noProof/>
          <w:sz w:val="24"/>
          <w:szCs w:val="24"/>
          <w:lang w:val="en-IE"/>
        </w:rPr>
        <w:t xml:space="preserve"> expressed a similar opinion, that its member organisations are also complying with applicable regulatory frameworks. </w:t>
      </w:r>
    </w:p>
    <w:p w14:paraId="2B9C6BAE" w14:textId="3E1943C5" w:rsidR="00432785" w:rsidRPr="00532C20" w:rsidRDefault="00900430" w:rsidP="004B0958">
      <w:pPr>
        <w:spacing w:line="240" w:lineRule="auto"/>
        <w:jc w:val="both"/>
        <w:rPr>
          <w:rFonts w:ascii="Times New Roman" w:eastAsia="Times New Roman" w:hAnsi="Times New Roman" w:cs="Times New Roman"/>
          <w:noProof/>
          <w:sz w:val="24"/>
          <w:szCs w:val="24"/>
          <w:lang w:val="en-IE"/>
        </w:rPr>
      </w:pPr>
      <w:r w:rsidRPr="00532C20">
        <w:rPr>
          <w:rFonts w:ascii="Times New Roman" w:eastAsia="Times New Roman" w:hAnsi="Times New Roman" w:cs="Times New Roman"/>
          <w:noProof/>
          <w:sz w:val="24"/>
          <w:szCs w:val="24"/>
          <w:lang w:val="en-IE"/>
        </w:rPr>
        <w:t>2</w:t>
      </w:r>
      <w:r w:rsidR="000B4D81" w:rsidRPr="00532C20">
        <w:rPr>
          <w:rFonts w:ascii="Times New Roman" w:eastAsia="Times New Roman" w:hAnsi="Times New Roman" w:cs="Times New Roman"/>
          <w:noProof/>
          <w:sz w:val="24"/>
          <w:szCs w:val="24"/>
          <w:lang w:val="en-IE"/>
        </w:rPr>
        <w:t xml:space="preserve"> respondent</w:t>
      </w:r>
      <w:r w:rsidR="00426023" w:rsidRPr="00532C20">
        <w:rPr>
          <w:rFonts w:ascii="Times New Roman" w:eastAsia="Times New Roman" w:hAnsi="Times New Roman" w:cs="Times New Roman"/>
          <w:noProof/>
          <w:sz w:val="24"/>
          <w:szCs w:val="24"/>
          <w:lang w:val="en-IE"/>
        </w:rPr>
        <w:t>s</w:t>
      </w:r>
      <w:r w:rsidR="00432785" w:rsidRPr="00532C20">
        <w:rPr>
          <w:rFonts w:ascii="Times New Roman" w:eastAsia="Times New Roman" w:hAnsi="Times New Roman" w:cs="Times New Roman"/>
          <w:noProof/>
          <w:sz w:val="24"/>
          <w:szCs w:val="24"/>
          <w:lang w:val="en-IE"/>
        </w:rPr>
        <w:t xml:space="preserve"> recommended the Commission to take into consideration all forms of interest representation activities and not to harmonise only those performed on behalf of third countries. </w:t>
      </w:r>
    </w:p>
    <w:p w14:paraId="1A7061B1" w14:textId="28690B25" w:rsidR="000963E6" w:rsidRPr="00532C20" w:rsidRDefault="00900430" w:rsidP="000963E6">
      <w:pPr>
        <w:spacing w:after="160" w:line="240" w:lineRule="auto"/>
        <w:jc w:val="both"/>
        <w:rPr>
          <w:rFonts w:ascii="Times New Roman" w:eastAsia="Calibri" w:hAnsi="Times New Roman" w:cs="Times New Roman"/>
          <w:noProof/>
          <w:sz w:val="24"/>
          <w:szCs w:val="24"/>
          <w:lang w:val="en-IE"/>
        </w:rPr>
      </w:pPr>
      <w:r w:rsidRPr="00532C20">
        <w:rPr>
          <w:rFonts w:ascii="Times New Roman" w:eastAsia="Times New Roman" w:hAnsi="Times New Roman" w:cs="Times New Roman"/>
          <w:noProof/>
          <w:sz w:val="24"/>
          <w:szCs w:val="24"/>
          <w:lang w:val="en-IE"/>
        </w:rPr>
        <w:t>1</w:t>
      </w:r>
      <w:r w:rsidR="00BE2BFA" w:rsidRPr="00532C20">
        <w:rPr>
          <w:rFonts w:ascii="Times New Roman" w:eastAsia="Times New Roman" w:hAnsi="Times New Roman" w:cs="Times New Roman"/>
          <w:noProof/>
          <w:sz w:val="24"/>
          <w:szCs w:val="24"/>
          <w:lang w:val="en-IE"/>
        </w:rPr>
        <w:t xml:space="preserve"> industry representative</w:t>
      </w:r>
      <w:r w:rsidR="000963E6" w:rsidRPr="00532C20">
        <w:rPr>
          <w:rFonts w:ascii="Times New Roman" w:eastAsia="Times New Roman" w:hAnsi="Times New Roman" w:cs="Times New Roman"/>
          <w:noProof/>
          <w:sz w:val="24"/>
          <w:szCs w:val="24"/>
          <w:lang w:val="en-IE"/>
        </w:rPr>
        <w:t xml:space="preserve"> highlighted the importance to discern between the public and private sector of the public authorities, the transparency in the exercise of the activity, whether they are elected or named, there must be some limits that allow the necessary confidentiality derived from the protection of privacy.</w:t>
      </w:r>
    </w:p>
    <w:p w14:paraId="2ADBC05D" w14:textId="26B942B6" w:rsidR="00432785" w:rsidRPr="00532C20" w:rsidRDefault="000963E6" w:rsidP="00E31FE1">
      <w:pPr>
        <w:spacing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All</w:t>
      </w:r>
      <w:r w:rsidRPr="00532C20" w:rsidDel="00900430">
        <w:rPr>
          <w:rFonts w:ascii="Times New Roman" w:eastAsia="Calibri" w:hAnsi="Times New Roman" w:cs="Times New Roman"/>
          <w:noProof/>
          <w:sz w:val="24"/>
          <w:szCs w:val="24"/>
          <w:lang w:val="en-IE"/>
        </w:rPr>
        <w:t xml:space="preserve"> </w:t>
      </w:r>
      <w:r w:rsidR="00900430" w:rsidRPr="00532C20">
        <w:rPr>
          <w:rFonts w:ascii="Times New Roman" w:eastAsia="Calibri" w:hAnsi="Times New Roman" w:cs="Times New Roman"/>
          <w:noProof/>
          <w:sz w:val="24"/>
          <w:szCs w:val="24"/>
          <w:lang w:val="en-IE"/>
        </w:rPr>
        <w:t>3</w:t>
      </w:r>
      <w:r w:rsidRPr="00532C20">
        <w:rPr>
          <w:rFonts w:ascii="Times New Roman" w:eastAsia="Calibri" w:hAnsi="Times New Roman" w:cs="Times New Roman"/>
          <w:noProof/>
          <w:sz w:val="24"/>
          <w:szCs w:val="24"/>
          <w:lang w:val="en-IE"/>
        </w:rPr>
        <w:t xml:space="preserve"> industr</w:t>
      </w:r>
      <w:r w:rsidR="000B4D81" w:rsidRPr="00532C20">
        <w:rPr>
          <w:rFonts w:ascii="Times New Roman" w:eastAsia="Calibri" w:hAnsi="Times New Roman" w:cs="Times New Roman"/>
          <w:noProof/>
          <w:sz w:val="24"/>
          <w:szCs w:val="24"/>
          <w:lang w:val="en-IE"/>
        </w:rPr>
        <w:t>y representatives</w:t>
      </w:r>
      <w:r w:rsidR="000B4D81" w:rsidRPr="00532C20">
        <w:rPr>
          <w:rFonts w:ascii="Times New Roman" w:eastAsia="Calibri" w:hAnsi="Times New Roman" w:cs="Times New Roman"/>
          <w:b/>
          <w:bCs/>
          <w:noProof/>
          <w:sz w:val="24"/>
          <w:szCs w:val="24"/>
          <w:lang w:val="en-IE"/>
        </w:rPr>
        <w:t xml:space="preserve"> </w:t>
      </w:r>
      <w:r w:rsidRPr="00532C20">
        <w:rPr>
          <w:rFonts w:ascii="Times New Roman" w:eastAsia="Calibri" w:hAnsi="Times New Roman" w:cs="Times New Roman"/>
          <w:noProof/>
          <w:sz w:val="24"/>
          <w:szCs w:val="24"/>
          <w:lang w:val="en-IE"/>
        </w:rPr>
        <w:t>considered that</w:t>
      </w:r>
      <w:r w:rsidR="000B4D81" w:rsidRPr="00532C20">
        <w:rPr>
          <w:rFonts w:ascii="Times New Roman" w:eastAsia="Calibri" w:hAnsi="Times New Roman" w:cs="Times New Roman"/>
          <w:noProof/>
          <w:sz w:val="24"/>
          <w:szCs w:val="24"/>
          <w:lang w:val="en-IE"/>
        </w:rPr>
        <w:t xml:space="preserve"> </w:t>
      </w:r>
      <w:r w:rsidR="00432785" w:rsidRPr="00532C20">
        <w:rPr>
          <w:rFonts w:ascii="Times New Roman" w:eastAsia="Calibri" w:hAnsi="Times New Roman" w:cs="Times New Roman"/>
          <w:noProof/>
          <w:sz w:val="24"/>
          <w:szCs w:val="24"/>
          <w:lang w:val="en-IE"/>
        </w:rPr>
        <w:t xml:space="preserve">no specific entity should benefit from exemptions for the scope of transparency requirements, in order to avoid risks of circumvention. </w:t>
      </w:r>
    </w:p>
    <w:p w14:paraId="4B6F7492" w14:textId="56AAB367" w:rsidR="00432785" w:rsidRPr="00532C20" w:rsidRDefault="00900430" w:rsidP="004B0958">
      <w:pPr>
        <w:spacing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2</w:t>
      </w:r>
      <w:r w:rsidR="00972D8A" w:rsidRPr="00532C20">
        <w:rPr>
          <w:rFonts w:ascii="Times New Roman" w:eastAsia="Calibri" w:hAnsi="Times New Roman" w:cs="Times New Roman"/>
          <w:noProof/>
          <w:sz w:val="24"/>
          <w:szCs w:val="24"/>
          <w:lang w:val="en-IE"/>
        </w:rPr>
        <w:t xml:space="preserve"> respondents</w:t>
      </w:r>
      <w:r w:rsidR="00432785" w:rsidRPr="00532C20">
        <w:rPr>
          <w:rFonts w:ascii="Times New Roman" w:eastAsia="Calibri" w:hAnsi="Times New Roman" w:cs="Times New Roman"/>
          <w:noProof/>
          <w:sz w:val="24"/>
          <w:szCs w:val="24"/>
          <w:lang w:val="en-IE"/>
        </w:rPr>
        <w:t xml:space="preserve"> expressed that transparency requirements should not lead to stigmatisation such as ‘organisations supported from abroad’ or lead to the creation of ‘special foreign influence register’. </w:t>
      </w:r>
    </w:p>
    <w:p w14:paraId="0DD7D524" w14:textId="46948352" w:rsidR="00432785" w:rsidRPr="00532C20" w:rsidRDefault="00900430" w:rsidP="004B0958">
      <w:pPr>
        <w:spacing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972D8A" w:rsidRPr="00532C20">
        <w:rPr>
          <w:rFonts w:ascii="Times New Roman" w:eastAsia="Calibri" w:hAnsi="Times New Roman" w:cs="Times New Roman"/>
          <w:noProof/>
          <w:sz w:val="24"/>
          <w:szCs w:val="24"/>
          <w:lang w:val="en-IE"/>
        </w:rPr>
        <w:t xml:space="preserve"> respondent</w:t>
      </w:r>
      <w:r w:rsidR="00432785" w:rsidRPr="00532C20">
        <w:rPr>
          <w:rFonts w:ascii="Times New Roman" w:eastAsia="Calibri" w:hAnsi="Times New Roman" w:cs="Times New Roman"/>
          <w:noProof/>
          <w:sz w:val="24"/>
          <w:szCs w:val="24"/>
          <w:lang w:val="en-IE"/>
        </w:rPr>
        <w:t xml:space="preserve"> expressed that it is in favour of a harmonised transparency register at EU level, and cautions against the risks associated with the creation of a parallel registration system for interest representation activities carried out on behalf of third countries. </w:t>
      </w:r>
    </w:p>
    <w:p w14:paraId="04EF4E11" w14:textId="7B1B0089" w:rsidR="00973F9B" w:rsidRPr="00532C20" w:rsidRDefault="00900430" w:rsidP="0048226A">
      <w:pPr>
        <w:spacing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426023" w:rsidRPr="00532C20">
        <w:rPr>
          <w:rFonts w:ascii="Times New Roman" w:eastAsia="Calibri" w:hAnsi="Times New Roman" w:cs="Times New Roman"/>
          <w:noProof/>
          <w:sz w:val="24"/>
          <w:szCs w:val="24"/>
          <w:lang w:val="en-IE"/>
        </w:rPr>
        <w:t xml:space="preserve"> respondent</w:t>
      </w:r>
      <w:r w:rsidR="00973F9B" w:rsidRPr="00532C20">
        <w:rPr>
          <w:rFonts w:ascii="Times New Roman" w:eastAsia="Calibri" w:hAnsi="Times New Roman" w:cs="Times New Roman"/>
          <w:noProof/>
          <w:sz w:val="24"/>
          <w:szCs w:val="24"/>
          <w:lang w:val="en-IE"/>
        </w:rPr>
        <w:t xml:space="preserve"> underlined the challenge of balancing transparency with the need for confidentiality in certain diplomatic matters.</w:t>
      </w:r>
    </w:p>
    <w:p w14:paraId="2C188039" w14:textId="77777777" w:rsidR="00432785" w:rsidRPr="00532C20" w:rsidRDefault="00432785" w:rsidP="004B0958">
      <w:pPr>
        <w:spacing w:before="240" w:after="160" w:line="240" w:lineRule="auto"/>
        <w:ind w:left="720"/>
        <w:jc w:val="both"/>
        <w:rPr>
          <w:rFonts w:ascii="Times New Roman" w:eastAsia="Calibri" w:hAnsi="Times New Roman" w:cs="Times New Roman"/>
          <w:b/>
          <w:i/>
          <w:noProof/>
          <w:sz w:val="24"/>
          <w:szCs w:val="24"/>
          <w:lang w:val="en-IE"/>
        </w:rPr>
      </w:pPr>
      <w:r w:rsidRPr="00532C20">
        <w:rPr>
          <w:rFonts w:ascii="Times New Roman" w:eastAsia="Calibri" w:hAnsi="Times New Roman" w:cs="Times New Roman"/>
          <w:b/>
          <w:i/>
          <w:noProof/>
          <w:sz w:val="24"/>
          <w:szCs w:val="24"/>
          <w:lang w:val="en-IE"/>
        </w:rPr>
        <w:t>Registration and transparency requirements</w:t>
      </w:r>
    </w:p>
    <w:p w14:paraId="42FBE2BF" w14:textId="27E0A46D" w:rsidR="00432785" w:rsidRPr="00532C20" w:rsidRDefault="000F6FED" w:rsidP="004B0958">
      <w:pPr>
        <w:spacing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All</w:t>
      </w:r>
      <w:r w:rsidR="00972D8A" w:rsidRPr="00532C20" w:rsidDel="00900430">
        <w:rPr>
          <w:rFonts w:ascii="Times New Roman" w:eastAsia="Calibri" w:hAnsi="Times New Roman" w:cs="Times New Roman"/>
          <w:noProof/>
          <w:sz w:val="24"/>
          <w:szCs w:val="24"/>
          <w:lang w:val="en-IE"/>
        </w:rPr>
        <w:t xml:space="preserve"> </w:t>
      </w:r>
      <w:r w:rsidR="00900430" w:rsidRPr="00532C20">
        <w:rPr>
          <w:rFonts w:ascii="Times New Roman" w:eastAsia="Calibri" w:hAnsi="Times New Roman" w:cs="Times New Roman"/>
          <w:noProof/>
          <w:sz w:val="24"/>
          <w:szCs w:val="24"/>
          <w:lang w:val="en-IE"/>
        </w:rPr>
        <w:t>3</w:t>
      </w:r>
      <w:r w:rsidR="00972D8A" w:rsidRPr="00532C20">
        <w:rPr>
          <w:rFonts w:ascii="Times New Roman" w:eastAsia="Calibri" w:hAnsi="Times New Roman" w:cs="Times New Roman"/>
          <w:noProof/>
          <w:sz w:val="24"/>
          <w:szCs w:val="24"/>
          <w:lang w:val="en-IE"/>
        </w:rPr>
        <w:t xml:space="preserve"> industry</w:t>
      </w:r>
      <w:r w:rsidR="00933C36" w:rsidRPr="00532C20">
        <w:rPr>
          <w:rFonts w:ascii="Times New Roman" w:eastAsia="Calibri" w:hAnsi="Times New Roman" w:cs="Times New Roman"/>
          <w:noProof/>
          <w:sz w:val="24"/>
          <w:szCs w:val="24"/>
          <w:lang w:val="en-IE"/>
        </w:rPr>
        <w:t xml:space="preserve"> representatives</w:t>
      </w:r>
      <w:r w:rsidR="00432785" w:rsidRPr="00532C20">
        <w:rPr>
          <w:rFonts w:ascii="Times New Roman" w:eastAsia="Calibri" w:hAnsi="Times New Roman" w:cs="Times New Roman"/>
          <w:noProof/>
          <w:sz w:val="24"/>
          <w:szCs w:val="24"/>
          <w:lang w:val="en-IE"/>
        </w:rPr>
        <w:t xml:space="preserve"> favour registration and transparency requirements to be harmonised at EU level but are not in favour of a licensing/prior authorisation mechanism, although </w:t>
      </w:r>
      <w:r w:rsidR="00636E27">
        <w:rPr>
          <w:rFonts w:ascii="Times New Roman" w:eastAsia="Calibri" w:hAnsi="Times New Roman" w:cs="Times New Roman"/>
          <w:noProof/>
          <w:sz w:val="24"/>
          <w:szCs w:val="24"/>
          <w:lang w:val="en-IE"/>
        </w:rPr>
        <w:t>1</w:t>
      </w:r>
      <w:r w:rsidR="004D25D2" w:rsidRPr="00532C20">
        <w:rPr>
          <w:rFonts w:ascii="Times New Roman" w:eastAsia="Calibri" w:hAnsi="Times New Roman" w:cs="Times New Roman"/>
          <w:noProof/>
          <w:sz w:val="24"/>
          <w:szCs w:val="24"/>
          <w:lang w:val="en-IE"/>
        </w:rPr>
        <w:t xml:space="preserve"> </w:t>
      </w:r>
      <w:r w:rsidR="00432785" w:rsidRPr="00532C20">
        <w:rPr>
          <w:rFonts w:ascii="Times New Roman" w:eastAsia="Calibri" w:hAnsi="Times New Roman" w:cs="Times New Roman"/>
          <w:noProof/>
          <w:sz w:val="24"/>
          <w:szCs w:val="24"/>
          <w:lang w:val="en-IE"/>
        </w:rPr>
        <w:t>expressed it would be in favour of a mandatory registration system.</w:t>
      </w:r>
    </w:p>
    <w:p w14:paraId="0DCAEDF9" w14:textId="1E91CB91" w:rsidR="00B677EF" w:rsidRPr="00532C20" w:rsidRDefault="00B677EF" w:rsidP="00B677EF">
      <w:pPr>
        <w:spacing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All 3 industries are in favour of an obligation to provide a registration number before being able to meet public officials.</w:t>
      </w:r>
      <w:r w:rsidR="00636E27">
        <w:rPr>
          <w:rFonts w:ascii="Times New Roman" w:eastAsia="Calibri" w:hAnsi="Times New Roman" w:cs="Times New Roman"/>
          <w:noProof/>
          <w:sz w:val="24"/>
          <w:szCs w:val="24"/>
          <w:lang w:val="en-IE"/>
        </w:rPr>
        <w:t xml:space="preserve"> </w:t>
      </w:r>
      <w:r w:rsidR="00026DB1" w:rsidRPr="00532C20">
        <w:rPr>
          <w:rFonts w:ascii="Times New Roman" w:eastAsia="Calibri" w:hAnsi="Times New Roman" w:cs="Times New Roman"/>
          <w:noProof/>
          <w:sz w:val="24"/>
          <w:szCs w:val="24"/>
          <w:lang w:val="en-IE"/>
        </w:rPr>
        <w:t>1</w:t>
      </w:r>
      <w:r w:rsidR="000F6FED" w:rsidRPr="00532C20">
        <w:rPr>
          <w:rFonts w:ascii="Times New Roman" w:eastAsia="Calibri" w:hAnsi="Times New Roman" w:cs="Times New Roman"/>
          <w:noProof/>
          <w:sz w:val="24"/>
          <w:szCs w:val="24"/>
          <w:lang w:val="en-IE"/>
        </w:rPr>
        <w:t xml:space="preserve"> respondent</w:t>
      </w:r>
      <w:r w:rsidRPr="00532C20">
        <w:rPr>
          <w:rFonts w:ascii="Times New Roman" w:eastAsia="Calibri" w:hAnsi="Times New Roman" w:cs="Times New Roman"/>
          <w:noProof/>
          <w:sz w:val="24"/>
          <w:szCs w:val="24"/>
          <w:lang w:val="en-IE"/>
        </w:rPr>
        <w:t xml:space="preserve"> underlined that it would be essential to implement this requirement in a practical and user-friendly manner.</w:t>
      </w:r>
    </w:p>
    <w:p w14:paraId="4F306D6B" w14:textId="08C420AB" w:rsidR="00432785" w:rsidRPr="00532C20" w:rsidRDefault="007C5CB2" w:rsidP="004B0958">
      <w:pPr>
        <w:spacing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0F6FED" w:rsidRPr="00532C20">
        <w:rPr>
          <w:rFonts w:ascii="Times New Roman" w:eastAsia="Calibri" w:hAnsi="Times New Roman" w:cs="Times New Roman"/>
          <w:noProof/>
          <w:sz w:val="24"/>
          <w:szCs w:val="24"/>
          <w:lang w:val="en-IE"/>
        </w:rPr>
        <w:t xml:space="preserve"> industry representative</w:t>
      </w:r>
      <w:r w:rsidR="00432785" w:rsidRPr="00532C20">
        <w:rPr>
          <w:rFonts w:ascii="Times New Roman" w:eastAsia="Calibri" w:hAnsi="Times New Roman" w:cs="Times New Roman"/>
          <w:noProof/>
          <w:sz w:val="24"/>
          <w:szCs w:val="24"/>
          <w:lang w:val="en-IE"/>
        </w:rPr>
        <w:t xml:space="preserve"> stated that any new harmonised system should base itself on the EU Transparency Register as a model.</w:t>
      </w:r>
    </w:p>
    <w:p w14:paraId="32263224" w14:textId="37A2B360" w:rsidR="00670FB5" w:rsidRPr="00532C20" w:rsidRDefault="007C5CB2" w:rsidP="00670FB5">
      <w:pPr>
        <w:spacing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0F6FED" w:rsidRPr="00532C20">
        <w:rPr>
          <w:rFonts w:ascii="Times New Roman" w:eastAsia="Calibri" w:hAnsi="Times New Roman" w:cs="Times New Roman"/>
          <w:noProof/>
          <w:sz w:val="24"/>
          <w:szCs w:val="24"/>
          <w:lang w:val="en-IE"/>
        </w:rPr>
        <w:t xml:space="preserve"> respondent</w:t>
      </w:r>
      <w:r w:rsidR="00670FB5" w:rsidRPr="00532C20">
        <w:rPr>
          <w:rFonts w:ascii="Times New Roman" w:eastAsia="Calibri" w:hAnsi="Times New Roman" w:cs="Times New Roman"/>
          <w:noProof/>
          <w:sz w:val="24"/>
          <w:szCs w:val="24"/>
          <w:lang w:val="en-IE"/>
        </w:rPr>
        <w:t xml:space="preserve"> considered that potential registration requirements could include mandatory registration.</w:t>
      </w:r>
    </w:p>
    <w:p w14:paraId="0FE28D79" w14:textId="77777777" w:rsidR="00432785" w:rsidRPr="00532C20" w:rsidRDefault="00432785" w:rsidP="004B0958">
      <w:pPr>
        <w:spacing w:before="240" w:after="160" w:line="240" w:lineRule="auto"/>
        <w:ind w:left="720"/>
        <w:jc w:val="both"/>
        <w:rPr>
          <w:rFonts w:ascii="Times New Roman" w:eastAsia="Calibri" w:hAnsi="Times New Roman" w:cs="Times New Roman"/>
          <w:b/>
          <w:i/>
          <w:noProof/>
          <w:sz w:val="24"/>
          <w:szCs w:val="24"/>
          <w:lang w:val="en-IE"/>
        </w:rPr>
      </w:pPr>
      <w:r w:rsidRPr="00532C20">
        <w:rPr>
          <w:rFonts w:ascii="Times New Roman" w:eastAsia="Calibri" w:hAnsi="Times New Roman" w:cs="Times New Roman"/>
          <w:b/>
          <w:i/>
          <w:noProof/>
          <w:sz w:val="24"/>
          <w:szCs w:val="24"/>
          <w:lang w:val="en-IE"/>
        </w:rPr>
        <w:t>Derogations and safeguards</w:t>
      </w:r>
    </w:p>
    <w:p w14:paraId="3E5BB2B5" w14:textId="6105ACB1" w:rsidR="009C4FAC" w:rsidRPr="00532C20" w:rsidRDefault="009C4FAC" w:rsidP="009C4FAC">
      <w:pPr>
        <w:spacing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All 3 industr</w:t>
      </w:r>
      <w:r w:rsidR="000F6FED" w:rsidRPr="00532C20">
        <w:rPr>
          <w:rFonts w:ascii="Times New Roman" w:eastAsia="Calibri" w:hAnsi="Times New Roman" w:cs="Times New Roman"/>
          <w:noProof/>
          <w:sz w:val="24"/>
          <w:szCs w:val="24"/>
          <w:lang w:val="en-IE"/>
        </w:rPr>
        <w:t>y representatives</w:t>
      </w:r>
      <w:r w:rsidRPr="00532C20">
        <w:rPr>
          <w:rFonts w:ascii="Times New Roman" w:eastAsia="Calibri" w:hAnsi="Times New Roman" w:cs="Times New Roman"/>
          <w:noProof/>
          <w:sz w:val="24"/>
          <w:szCs w:val="24"/>
          <w:lang w:val="en-IE"/>
        </w:rPr>
        <w:t xml:space="preserve"> are not in favour of any specific exemptions for certain entities or of any </w:t>
      </w:r>
      <w:r w:rsidRPr="00532C20">
        <w:rPr>
          <w:rFonts w:ascii="Times New Roman" w:eastAsia="Calibri" w:hAnsi="Times New Roman" w:cs="Times New Roman"/>
          <w:i/>
          <w:noProof/>
          <w:sz w:val="24"/>
          <w:szCs w:val="24"/>
          <w:lang w:val="en-IE"/>
        </w:rPr>
        <w:t>de minimis</w:t>
      </w:r>
      <w:r w:rsidRPr="00532C20">
        <w:rPr>
          <w:rFonts w:ascii="Times New Roman" w:eastAsia="Calibri" w:hAnsi="Times New Roman" w:cs="Times New Roman"/>
          <w:noProof/>
          <w:sz w:val="24"/>
          <w:szCs w:val="24"/>
          <w:lang w:val="en-IE"/>
        </w:rPr>
        <w:t xml:space="preserve"> threshold. </w:t>
      </w:r>
    </w:p>
    <w:p w14:paraId="587107C1" w14:textId="525ECEC2" w:rsidR="009C4FAC" w:rsidRPr="00532C20" w:rsidRDefault="007C5CB2" w:rsidP="00313F32">
      <w:pPr>
        <w:spacing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1</w:t>
      </w:r>
      <w:r w:rsidR="000F6FED" w:rsidRPr="00532C20">
        <w:rPr>
          <w:rFonts w:ascii="Times New Roman" w:eastAsia="Calibri" w:hAnsi="Times New Roman" w:cs="Times New Roman"/>
          <w:noProof/>
          <w:sz w:val="24"/>
          <w:szCs w:val="24"/>
          <w:lang w:val="en-IE"/>
        </w:rPr>
        <w:t xml:space="preserve"> respondent</w:t>
      </w:r>
      <w:r w:rsidR="009C4FAC" w:rsidRPr="00532C20">
        <w:rPr>
          <w:rFonts w:ascii="Times New Roman" w:eastAsia="Calibri" w:hAnsi="Times New Roman" w:cs="Times New Roman"/>
          <w:noProof/>
          <w:sz w:val="24"/>
          <w:szCs w:val="24"/>
          <w:lang w:val="en-IE"/>
        </w:rPr>
        <w:t xml:space="preserve"> considered that safeguards should encompass a range of measures, including rigorous monitoring and auditing of interest representation activities to verify compliance with transparency requirements</w:t>
      </w:r>
      <w:r w:rsidR="004B74A3" w:rsidRPr="00532C20">
        <w:rPr>
          <w:rFonts w:ascii="Times New Roman" w:eastAsia="Calibri" w:hAnsi="Times New Roman" w:cs="Times New Roman"/>
          <w:noProof/>
          <w:sz w:val="24"/>
          <w:szCs w:val="24"/>
          <w:lang w:val="en-IE"/>
        </w:rPr>
        <w:t>, and that</w:t>
      </w:r>
      <w:r w:rsidR="009C4FAC" w:rsidRPr="00532C20">
        <w:rPr>
          <w:rFonts w:ascii="Times New Roman" w:eastAsia="Calibri" w:hAnsi="Times New Roman" w:cs="Times New Roman"/>
          <w:noProof/>
          <w:sz w:val="24"/>
          <w:szCs w:val="24"/>
          <w:lang w:val="en-IE"/>
        </w:rPr>
        <w:t xml:space="preserve"> regular compliance reviews should be conducted. </w:t>
      </w:r>
    </w:p>
    <w:p w14:paraId="75F714DB" w14:textId="77777777" w:rsidR="00432785" w:rsidRPr="00532C20" w:rsidRDefault="00432785" w:rsidP="004B0958">
      <w:pPr>
        <w:spacing w:before="240" w:after="160" w:line="240" w:lineRule="auto"/>
        <w:ind w:left="720"/>
        <w:jc w:val="both"/>
        <w:rPr>
          <w:rFonts w:ascii="Times New Roman" w:eastAsia="Calibri" w:hAnsi="Times New Roman" w:cs="Times New Roman"/>
          <w:b/>
          <w:i/>
          <w:noProof/>
          <w:sz w:val="24"/>
          <w:szCs w:val="24"/>
          <w:lang w:val="en-IE"/>
        </w:rPr>
      </w:pPr>
      <w:r w:rsidRPr="00532C20">
        <w:rPr>
          <w:rFonts w:ascii="Times New Roman" w:eastAsia="Calibri" w:hAnsi="Times New Roman" w:cs="Times New Roman"/>
          <w:b/>
          <w:i/>
          <w:noProof/>
          <w:sz w:val="24"/>
          <w:szCs w:val="24"/>
          <w:lang w:val="en-IE"/>
        </w:rPr>
        <w:t>Monitoring and sanctions</w:t>
      </w:r>
    </w:p>
    <w:p w14:paraId="5E3DAB4D" w14:textId="6FB8BDBA" w:rsidR="006173C5" w:rsidRPr="00532C20" w:rsidRDefault="007C5CB2" w:rsidP="006173C5">
      <w:pPr>
        <w:spacing w:after="160" w:line="240" w:lineRule="auto"/>
        <w:jc w:val="both"/>
        <w:rPr>
          <w:rFonts w:ascii="Calibri" w:eastAsia="Calibri" w:hAnsi="Calibri" w:cs="Times New Roman"/>
          <w:i/>
          <w:iCs/>
          <w:noProof/>
          <w:lang w:val="en-IE"/>
        </w:rPr>
      </w:pPr>
      <w:r w:rsidRPr="00532C20">
        <w:rPr>
          <w:rFonts w:ascii="Times New Roman" w:eastAsia="Calibri" w:hAnsi="Times New Roman" w:cs="Times New Roman"/>
          <w:noProof/>
          <w:sz w:val="24"/>
          <w:szCs w:val="24"/>
          <w:lang w:val="en-IE"/>
        </w:rPr>
        <w:t>1</w:t>
      </w:r>
      <w:r w:rsidR="002F3BA3" w:rsidRPr="00532C20">
        <w:rPr>
          <w:rFonts w:ascii="Times New Roman" w:eastAsia="Calibri" w:hAnsi="Times New Roman" w:cs="Times New Roman"/>
          <w:noProof/>
          <w:sz w:val="24"/>
          <w:szCs w:val="24"/>
          <w:lang w:val="en-IE"/>
        </w:rPr>
        <w:t xml:space="preserve"> industry representative</w:t>
      </w:r>
      <w:r w:rsidR="002F3BA3" w:rsidRPr="00532C20">
        <w:rPr>
          <w:rFonts w:ascii="Times New Roman" w:eastAsia="Calibri" w:hAnsi="Times New Roman" w:cs="Times New Roman"/>
          <w:b/>
          <w:bCs/>
          <w:noProof/>
          <w:sz w:val="24"/>
          <w:szCs w:val="24"/>
          <w:lang w:val="en-IE"/>
        </w:rPr>
        <w:t xml:space="preserve"> </w:t>
      </w:r>
      <w:r w:rsidR="006173C5" w:rsidRPr="00532C20">
        <w:rPr>
          <w:rFonts w:ascii="Times New Roman" w:eastAsia="Calibri" w:hAnsi="Times New Roman" w:cs="Times New Roman"/>
          <w:noProof/>
          <w:sz w:val="24"/>
          <w:szCs w:val="24"/>
          <w:lang w:val="en-IE"/>
        </w:rPr>
        <w:t>considered that the Register must be independently considered from a functional and administrative point of view and must depend on an independent body.</w:t>
      </w:r>
    </w:p>
    <w:p w14:paraId="7EE18BCD" w14:textId="1DE0FAA3" w:rsidR="006173C5" w:rsidRPr="00532C20" w:rsidRDefault="006173C5" w:rsidP="006173C5">
      <w:pPr>
        <w:spacing w:before="240"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All 3 industr</w:t>
      </w:r>
      <w:r w:rsidR="004B74A3" w:rsidRPr="00532C20">
        <w:rPr>
          <w:rFonts w:ascii="Times New Roman" w:eastAsia="Calibri" w:hAnsi="Times New Roman" w:cs="Times New Roman"/>
          <w:noProof/>
          <w:sz w:val="24"/>
          <w:szCs w:val="24"/>
          <w:lang w:val="en-IE"/>
        </w:rPr>
        <w:t>y representatives</w:t>
      </w:r>
      <w:r w:rsidRPr="00532C20">
        <w:rPr>
          <w:rFonts w:ascii="Times New Roman" w:eastAsia="Calibri" w:hAnsi="Times New Roman" w:cs="Times New Roman"/>
          <w:noProof/>
          <w:sz w:val="24"/>
          <w:szCs w:val="24"/>
          <w:lang w:val="en-IE"/>
        </w:rPr>
        <w:t xml:space="preserve"> expressed that they are in favour of providing supervisory authorities with powers to request additional information from registered entities about the nature of their activities or the veracity of the information in the register (although</w:t>
      </w:r>
      <w:r w:rsidR="0040020B">
        <w:rPr>
          <w:rFonts w:ascii="Times New Roman" w:eastAsia="Calibri" w:hAnsi="Times New Roman" w:cs="Times New Roman"/>
          <w:noProof/>
          <w:sz w:val="24"/>
          <w:szCs w:val="24"/>
          <w:lang w:val="en-IE"/>
        </w:rPr>
        <w:t xml:space="preserve"> </w:t>
      </w:r>
      <w:r w:rsidR="00026DB1" w:rsidRPr="00532C20">
        <w:rPr>
          <w:rFonts w:ascii="Times New Roman" w:eastAsia="Calibri" w:hAnsi="Times New Roman" w:cs="Times New Roman"/>
          <w:noProof/>
          <w:sz w:val="24"/>
          <w:szCs w:val="24"/>
          <w:lang w:val="en-IE"/>
        </w:rPr>
        <w:t xml:space="preserve">1 </w:t>
      </w:r>
      <w:r w:rsidRPr="00532C20">
        <w:rPr>
          <w:rFonts w:ascii="Times New Roman" w:eastAsia="Calibri" w:hAnsi="Times New Roman" w:cs="Times New Roman"/>
          <w:noProof/>
          <w:sz w:val="24"/>
          <w:szCs w:val="24"/>
          <w:lang w:val="en-IE"/>
        </w:rPr>
        <w:t>was not in favour of allowing information requests about contracts above certain thresholds).</w:t>
      </w:r>
    </w:p>
    <w:p w14:paraId="41DAFEAE" w14:textId="07978E86" w:rsidR="00432785" w:rsidRPr="00532C20" w:rsidRDefault="007C5CB2" w:rsidP="004B0958">
      <w:pPr>
        <w:spacing w:line="240" w:lineRule="auto"/>
        <w:jc w:val="both"/>
        <w:rPr>
          <w:rFonts w:ascii="Times New Roman" w:hAnsi="Times New Roman" w:cs="Times New Roman"/>
          <w:noProof/>
          <w:sz w:val="24"/>
          <w:szCs w:val="24"/>
        </w:rPr>
      </w:pPr>
      <w:r w:rsidRPr="00532C20">
        <w:rPr>
          <w:rFonts w:ascii="Times New Roman" w:hAnsi="Times New Roman" w:cs="Times New Roman"/>
          <w:noProof/>
          <w:sz w:val="24"/>
          <w:szCs w:val="24"/>
          <w:lang w:val="en-IE"/>
        </w:rPr>
        <w:t>1</w:t>
      </w:r>
      <w:r w:rsidR="004B74A3" w:rsidRPr="00532C20">
        <w:rPr>
          <w:rFonts w:ascii="Times New Roman" w:hAnsi="Times New Roman" w:cs="Times New Roman"/>
          <w:noProof/>
          <w:sz w:val="24"/>
          <w:szCs w:val="24"/>
          <w:lang w:val="en-IE"/>
        </w:rPr>
        <w:t xml:space="preserve"> respondent expressed that it</w:t>
      </w:r>
      <w:r w:rsidR="00432785" w:rsidRPr="00532C20">
        <w:rPr>
          <w:rFonts w:ascii="Times New Roman" w:hAnsi="Times New Roman" w:cs="Times New Roman"/>
          <w:noProof/>
          <w:sz w:val="24"/>
          <w:szCs w:val="24"/>
          <w:lang w:val="en-IE"/>
        </w:rPr>
        <w:t xml:space="preserve"> is in favour of administrative sanctions and suggested that sanctions to deter misconduct could include the possibility to be banned from registers and to have their names published. Repetitive misconduct should be taken into account as a criteria in assessing the type and level of sanctions to be applied. </w:t>
      </w:r>
      <w:r w:rsidR="00875E5B" w:rsidRPr="00532C20">
        <w:rPr>
          <w:rFonts w:ascii="Times New Roman" w:hAnsi="Times New Roman" w:cs="Times New Roman"/>
          <w:noProof/>
          <w:sz w:val="24"/>
          <w:szCs w:val="24"/>
          <w:lang w:val="en-IE"/>
        </w:rPr>
        <w:t xml:space="preserve">Another </w:t>
      </w:r>
      <w:r w:rsidR="00681A00" w:rsidRPr="00532C20">
        <w:rPr>
          <w:rFonts w:ascii="Times New Roman" w:hAnsi="Times New Roman" w:cs="Times New Roman"/>
          <w:noProof/>
          <w:sz w:val="24"/>
          <w:szCs w:val="24"/>
          <w:lang w:val="en-IE"/>
        </w:rPr>
        <w:t>respondent</w:t>
      </w:r>
      <w:r w:rsidR="00432785" w:rsidRPr="00532C20">
        <w:rPr>
          <w:rFonts w:ascii="Times New Roman" w:hAnsi="Times New Roman" w:cs="Times New Roman"/>
          <w:noProof/>
          <w:sz w:val="24"/>
          <w:szCs w:val="24"/>
          <w:lang w:val="en-IE"/>
        </w:rPr>
        <w:t xml:space="preserve"> similarly expressed that a registration ban is an appropriate sanction mechanism.</w:t>
      </w:r>
      <w:r w:rsidR="00462B8F" w:rsidRPr="00532C20">
        <w:rPr>
          <w:rFonts w:ascii="Times New Roman" w:hAnsi="Times New Roman" w:cs="Times New Roman"/>
          <w:noProof/>
          <w:sz w:val="24"/>
          <w:szCs w:val="24"/>
          <w:lang w:val="en-IE"/>
        </w:rPr>
        <w:t xml:space="preserve"> </w:t>
      </w:r>
      <w:r w:rsidR="00BC4437" w:rsidRPr="00532C20">
        <w:rPr>
          <w:rFonts w:ascii="Times New Roman" w:hAnsi="Times New Roman" w:cs="Times New Roman"/>
          <w:noProof/>
          <w:sz w:val="24"/>
          <w:szCs w:val="24"/>
        </w:rPr>
        <w:t>1</w:t>
      </w:r>
      <w:r w:rsidR="004B74A3" w:rsidRPr="00532C20">
        <w:rPr>
          <w:rFonts w:ascii="Times New Roman" w:hAnsi="Times New Roman" w:cs="Times New Roman"/>
          <w:noProof/>
          <w:sz w:val="24"/>
          <w:szCs w:val="24"/>
        </w:rPr>
        <w:t xml:space="preserve"> other </w:t>
      </w:r>
      <w:r w:rsidR="00875E5B" w:rsidRPr="00532C20">
        <w:rPr>
          <w:rFonts w:ascii="Times New Roman" w:hAnsi="Times New Roman" w:cs="Times New Roman"/>
          <w:noProof/>
          <w:sz w:val="24"/>
          <w:szCs w:val="24"/>
        </w:rPr>
        <w:t>respondent</w:t>
      </w:r>
      <w:r w:rsidR="00462B8F" w:rsidRPr="00532C20">
        <w:rPr>
          <w:rFonts w:ascii="Times New Roman" w:hAnsi="Times New Roman" w:cs="Times New Roman"/>
          <w:noProof/>
          <w:sz w:val="24"/>
          <w:szCs w:val="24"/>
        </w:rPr>
        <w:t xml:space="preserve"> </w:t>
      </w:r>
      <w:r w:rsidR="00875E5B" w:rsidRPr="00532C20">
        <w:rPr>
          <w:rFonts w:ascii="Times New Roman" w:hAnsi="Times New Roman" w:cs="Times New Roman"/>
          <w:noProof/>
          <w:sz w:val="24"/>
          <w:szCs w:val="24"/>
        </w:rPr>
        <w:t>stated</w:t>
      </w:r>
      <w:r w:rsidR="00462B8F" w:rsidRPr="00532C20">
        <w:rPr>
          <w:rFonts w:ascii="Times New Roman" w:hAnsi="Times New Roman" w:cs="Times New Roman"/>
          <w:noProof/>
          <w:sz w:val="24"/>
          <w:szCs w:val="24"/>
        </w:rPr>
        <w:t xml:space="preserve"> that restricting sanctions to limited administrative measures may be a reasonable approach.</w:t>
      </w:r>
    </w:p>
    <w:p w14:paraId="087257CF" w14:textId="2944AD3E" w:rsidR="00211982" w:rsidRPr="00532C20" w:rsidRDefault="00875E5B" w:rsidP="00211982">
      <w:pPr>
        <w:spacing w:after="160" w:line="240" w:lineRule="auto"/>
        <w:jc w:val="both"/>
        <w:rPr>
          <w:rFonts w:ascii="Times New Roman" w:eastAsia="Calibri" w:hAnsi="Times New Roman" w:cs="Times New Roman"/>
          <w:noProof/>
          <w:sz w:val="24"/>
          <w:szCs w:val="24"/>
          <w:lang w:val="en-IE"/>
        </w:rPr>
      </w:pPr>
      <w:r w:rsidRPr="00532C20">
        <w:rPr>
          <w:rFonts w:ascii="Times New Roman" w:eastAsia="Calibri" w:hAnsi="Times New Roman" w:cs="Times New Roman"/>
          <w:noProof/>
          <w:sz w:val="24"/>
          <w:szCs w:val="24"/>
          <w:lang w:val="en-IE"/>
        </w:rPr>
        <w:t>Another respondent</w:t>
      </w:r>
      <w:r w:rsidR="00211982" w:rsidRPr="00532C20">
        <w:rPr>
          <w:rFonts w:ascii="Times New Roman" w:eastAsia="Calibri" w:hAnsi="Times New Roman" w:cs="Times New Roman"/>
          <w:noProof/>
          <w:sz w:val="24"/>
          <w:szCs w:val="24"/>
          <w:lang w:val="en-IE"/>
        </w:rPr>
        <w:t xml:space="preserve"> underlined that the obligations imposed in the </w:t>
      </w:r>
      <w:r w:rsidRPr="00532C20">
        <w:rPr>
          <w:rFonts w:ascii="Times New Roman" w:eastAsia="Calibri" w:hAnsi="Times New Roman" w:cs="Times New Roman"/>
          <w:noProof/>
          <w:sz w:val="24"/>
          <w:szCs w:val="24"/>
          <w:lang w:val="en-IE"/>
        </w:rPr>
        <w:t>r</w:t>
      </w:r>
      <w:r w:rsidR="00211982" w:rsidRPr="00532C20">
        <w:rPr>
          <w:rFonts w:ascii="Times New Roman" w:eastAsia="Calibri" w:hAnsi="Times New Roman" w:cs="Times New Roman"/>
          <w:noProof/>
          <w:sz w:val="24"/>
          <w:szCs w:val="24"/>
          <w:lang w:val="en-IE"/>
        </w:rPr>
        <w:t>egister cannot be enforced without an adequate framework for defining violations and the corresponding penalties for non-compliance.</w:t>
      </w:r>
    </w:p>
    <w:p w14:paraId="0969238B" w14:textId="1FBF335C" w:rsidR="00432785" w:rsidRPr="00532C20" w:rsidRDefault="007C5CB2" w:rsidP="004B0958">
      <w:pPr>
        <w:spacing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1</w:t>
      </w:r>
      <w:r w:rsidR="00875E5B" w:rsidRPr="00532C20">
        <w:rPr>
          <w:rFonts w:ascii="Times New Roman" w:hAnsi="Times New Roman" w:cs="Times New Roman"/>
          <w:noProof/>
          <w:sz w:val="24"/>
          <w:szCs w:val="24"/>
          <w:lang w:val="en-IE"/>
        </w:rPr>
        <w:t xml:space="preserve"> industry representative</w:t>
      </w:r>
      <w:r w:rsidR="00432785" w:rsidRPr="00532C20">
        <w:rPr>
          <w:rFonts w:ascii="Times New Roman" w:hAnsi="Times New Roman" w:cs="Times New Roman"/>
          <w:noProof/>
          <w:sz w:val="24"/>
          <w:szCs w:val="24"/>
          <w:lang w:val="en-IE"/>
        </w:rPr>
        <w:t xml:space="preserve"> emphasized the need to appropriately enforce currently existing transparency regimes before considering the creation of new or enhanced transparency and registration requirements. </w:t>
      </w:r>
    </w:p>
    <w:p w14:paraId="4B5B1249" w14:textId="089436D9" w:rsidR="00432785" w:rsidRPr="00532C20" w:rsidRDefault="007C5CB2" w:rsidP="004B0958">
      <w:pPr>
        <w:spacing w:line="240" w:lineRule="auto"/>
        <w:jc w:val="both"/>
        <w:rPr>
          <w:noProof/>
          <w:lang w:val="en-IE"/>
        </w:rPr>
      </w:pPr>
      <w:r w:rsidRPr="00532C20">
        <w:rPr>
          <w:rFonts w:ascii="Times New Roman" w:hAnsi="Times New Roman" w:cs="Times New Roman"/>
          <w:noProof/>
          <w:sz w:val="24"/>
          <w:szCs w:val="24"/>
          <w:lang w:val="en-IE"/>
        </w:rPr>
        <w:t>1</w:t>
      </w:r>
      <w:r w:rsidR="00875E5B" w:rsidRPr="00532C20">
        <w:rPr>
          <w:rFonts w:ascii="Times New Roman" w:hAnsi="Times New Roman" w:cs="Times New Roman"/>
          <w:noProof/>
          <w:sz w:val="24"/>
          <w:szCs w:val="24"/>
          <w:lang w:val="en-IE"/>
        </w:rPr>
        <w:t xml:space="preserve"> </w:t>
      </w:r>
      <w:r w:rsidR="00681A00" w:rsidRPr="00532C20">
        <w:rPr>
          <w:rFonts w:ascii="Times New Roman" w:hAnsi="Times New Roman" w:cs="Times New Roman"/>
          <w:noProof/>
          <w:sz w:val="24"/>
          <w:szCs w:val="24"/>
          <w:lang w:val="en-IE"/>
        </w:rPr>
        <w:t>industry representative</w:t>
      </w:r>
      <w:r w:rsidR="00432785" w:rsidRPr="00532C20">
        <w:rPr>
          <w:rFonts w:ascii="Times New Roman" w:hAnsi="Times New Roman" w:cs="Times New Roman"/>
          <w:noProof/>
          <w:sz w:val="24"/>
          <w:szCs w:val="24"/>
          <w:lang w:val="en-IE"/>
        </w:rPr>
        <w:t xml:space="preserve"> highlighted the important of the right to due process and the rights of defendants against accusations of bad behaviour, with the possibility of having access to an independent judicial authority to provide redress. </w:t>
      </w:r>
    </w:p>
    <w:p w14:paraId="73CB38B0" w14:textId="060339A6" w:rsidR="00EA02A1" w:rsidRPr="00532C20" w:rsidRDefault="00EA02A1" w:rsidP="004B0958">
      <w:pPr>
        <w:spacing w:after="0" w:line="240" w:lineRule="auto"/>
        <w:textAlignment w:val="baseline"/>
        <w:rPr>
          <w:rFonts w:ascii="Segoe UI" w:eastAsia="Times New Roman" w:hAnsi="Segoe UI" w:cs="Segoe UI"/>
          <w:noProof/>
          <w:sz w:val="18"/>
          <w:szCs w:val="18"/>
          <w:lang w:val="en-IE" w:eastAsia="en-IE"/>
        </w:rPr>
      </w:pPr>
    </w:p>
    <w:p w14:paraId="58D62C3B" w14:textId="77777777" w:rsidR="001B1593" w:rsidRPr="00532C20" w:rsidRDefault="001B1593">
      <w:pPr>
        <w:rPr>
          <w:rFonts w:ascii="Times New Roman" w:eastAsia="Calibri" w:hAnsi="Times New Roman" w:cs="Times New Roman"/>
          <w:b/>
          <w:noProof/>
          <w:sz w:val="24"/>
          <w:szCs w:val="24"/>
          <w:lang w:val="en-IE" w:eastAsia="en-GB"/>
        </w:rPr>
      </w:pPr>
      <w:bookmarkStart w:id="1121" w:name="_Toc134028739"/>
      <w:bookmarkStart w:id="1122" w:name="_Toc134620383"/>
      <w:bookmarkStart w:id="1123" w:name="_Toc67672069"/>
      <w:bookmarkStart w:id="1124" w:name="_Toc67676581"/>
      <w:bookmarkStart w:id="1125" w:name="_Toc67676795"/>
      <w:bookmarkStart w:id="1126" w:name="_Toc67677629"/>
      <w:bookmarkStart w:id="1127" w:name="_Toc67686578"/>
      <w:bookmarkStart w:id="1128" w:name="_Toc69827987"/>
      <w:bookmarkStart w:id="1129" w:name="_Toc69975250"/>
      <w:bookmarkStart w:id="1130" w:name="_Toc72164964"/>
      <w:bookmarkStart w:id="1131" w:name="_Toc72489543"/>
      <w:bookmarkStart w:id="1132" w:name="_Toc72512732"/>
      <w:bookmarkStart w:id="1133" w:name="_Toc73625326"/>
      <w:bookmarkStart w:id="1134" w:name="_Toc73709584"/>
      <w:bookmarkStart w:id="1135" w:name="_Toc75795159"/>
      <w:bookmarkStart w:id="1136" w:name="_Toc75967757"/>
      <w:bookmarkStart w:id="1137" w:name="_Toc75970784"/>
      <w:bookmarkStart w:id="1138" w:name="_Toc76488574"/>
      <w:bookmarkStart w:id="1139" w:name="_Toc78212244"/>
      <w:bookmarkStart w:id="1140" w:name="_Toc78821991"/>
      <w:bookmarkStart w:id="1141" w:name="_Toc78823785"/>
      <w:bookmarkStart w:id="1142" w:name="_Toc79741991"/>
      <w:bookmarkStart w:id="1143" w:name="_Toc79762122"/>
      <w:bookmarkStart w:id="1144" w:name="_Toc80957578"/>
      <w:bookmarkStart w:id="1145" w:name="_Toc81230400"/>
      <w:bookmarkStart w:id="1146" w:name="_Toc81316101"/>
      <w:bookmarkStart w:id="1147" w:name="_Toc81320858"/>
      <w:bookmarkStart w:id="1148" w:name="_Toc81400191"/>
      <w:bookmarkStart w:id="1149" w:name="_Toc85790547"/>
      <w:bookmarkStart w:id="1150" w:name="_Toc86145123"/>
      <w:bookmarkStart w:id="1151" w:name="_Toc86160857"/>
      <w:bookmarkStart w:id="1152" w:name="_Toc86226295"/>
      <w:bookmarkStart w:id="1153" w:name="_Toc86231971"/>
      <w:bookmarkStart w:id="1154" w:name="_Toc87609627"/>
      <w:bookmarkStart w:id="1155" w:name="_Hlk130744991"/>
      <w:r w:rsidRPr="00532C20">
        <w:rPr>
          <w:rFonts w:ascii="Times New Roman" w:hAnsi="Times New Roman" w:cs="Times New Roman"/>
          <w:noProof/>
          <w:sz w:val="24"/>
          <w:szCs w:val="24"/>
        </w:rPr>
        <w:br w:type="page"/>
      </w:r>
    </w:p>
    <w:p w14:paraId="748E8AC3" w14:textId="34CA4535" w:rsidR="003B30AB" w:rsidRPr="00532C20" w:rsidRDefault="00EA17E4" w:rsidP="007F43F7">
      <w:pPr>
        <w:pStyle w:val="Annex222"/>
        <w:spacing w:after="240"/>
        <w:contextualSpacing w:val="0"/>
        <w:outlineLvl w:val="0"/>
        <w:rPr>
          <w:rFonts w:ascii="Times New Roman" w:hAnsi="Times New Roman" w:cs="Times New Roman"/>
          <w:noProof/>
        </w:rPr>
      </w:pPr>
      <w:bookmarkStart w:id="1156" w:name="_Toc152864722"/>
      <w:r w:rsidRPr="00532C20">
        <w:rPr>
          <w:rFonts w:ascii="Times New Roman" w:hAnsi="Times New Roman" w:cs="Times New Roman"/>
          <w:noProof/>
        </w:rPr>
        <w:t xml:space="preserve">Annex 3: </w:t>
      </w:r>
      <w:r w:rsidR="0005333A" w:rsidRPr="00532C20">
        <w:rPr>
          <w:rFonts w:ascii="Times New Roman" w:hAnsi="Times New Roman" w:cs="Times New Roman"/>
          <w:noProof/>
        </w:rPr>
        <w:t>Who is affected and how?</w:t>
      </w:r>
      <w:bookmarkEnd w:id="1156"/>
    </w:p>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14:paraId="4E07D7C9" w14:textId="0975F006" w:rsidR="00077874" w:rsidRPr="00532C20" w:rsidRDefault="00077874" w:rsidP="004B0958">
      <w:pPr>
        <w:pStyle w:val="Text2"/>
        <w:spacing w:after="200"/>
        <w:ind w:left="0"/>
        <w:rPr>
          <w:rFonts w:ascii="Times New Roman" w:hAnsi="Times New Roman" w:cs="Times New Roman"/>
          <w:noProof/>
          <w:szCs w:val="24"/>
          <w:lang w:val="en-IE" w:eastAsia="en-IE"/>
        </w:rPr>
      </w:pPr>
      <w:r w:rsidRPr="00532C20">
        <w:rPr>
          <w:rFonts w:ascii="Times New Roman" w:hAnsi="Times New Roman" w:cs="Times New Roman"/>
          <w:noProof/>
          <w:szCs w:val="24"/>
          <w:lang w:val="en-IE" w:eastAsia="en-IE"/>
        </w:rPr>
        <w:t>This annex provides in</w:t>
      </w:r>
      <w:r w:rsidR="006A3D28" w:rsidRPr="00532C20">
        <w:rPr>
          <w:rFonts w:ascii="Times New Roman" w:hAnsi="Times New Roman" w:cs="Times New Roman"/>
          <w:noProof/>
          <w:szCs w:val="24"/>
          <w:lang w:val="en-IE" w:eastAsia="en-IE"/>
        </w:rPr>
        <w:t>-</w:t>
      </w:r>
      <w:r w:rsidRPr="00532C20">
        <w:rPr>
          <w:rFonts w:ascii="Times New Roman" w:hAnsi="Times New Roman" w:cs="Times New Roman"/>
          <w:noProof/>
          <w:szCs w:val="24"/>
          <w:lang w:val="en-IE" w:eastAsia="en-IE"/>
        </w:rPr>
        <w:t xml:space="preserve">depth information </w:t>
      </w:r>
      <w:r w:rsidR="006A3D28" w:rsidRPr="00532C20">
        <w:rPr>
          <w:rFonts w:ascii="Times New Roman" w:hAnsi="Times New Roman" w:cs="Times New Roman"/>
          <w:noProof/>
          <w:szCs w:val="24"/>
          <w:lang w:val="en-IE" w:eastAsia="en-IE"/>
        </w:rPr>
        <w:t xml:space="preserve">and </w:t>
      </w:r>
      <w:r w:rsidR="00024D96" w:rsidRPr="00532C20">
        <w:rPr>
          <w:rFonts w:ascii="Times New Roman" w:hAnsi="Times New Roman" w:cs="Times New Roman"/>
          <w:noProof/>
          <w:szCs w:val="24"/>
          <w:lang w:val="en-IE" w:eastAsia="en-IE"/>
        </w:rPr>
        <w:t xml:space="preserve">estimated </w:t>
      </w:r>
      <w:r w:rsidR="00B93EE0" w:rsidRPr="00532C20">
        <w:rPr>
          <w:rFonts w:ascii="Times New Roman" w:hAnsi="Times New Roman" w:cs="Times New Roman"/>
          <w:noProof/>
          <w:szCs w:val="24"/>
          <w:lang w:val="en-IE" w:eastAsia="en-IE"/>
        </w:rPr>
        <w:t xml:space="preserve">cost </w:t>
      </w:r>
      <w:r w:rsidR="006A3D28" w:rsidRPr="00532C20">
        <w:rPr>
          <w:rFonts w:ascii="Times New Roman" w:hAnsi="Times New Roman" w:cs="Times New Roman"/>
          <w:noProof/>
          <w:szCs w:val="24"/>
          <w:lang w:val="en-IE" w:eastAsia="en-IE"/>
        </w:rPr>
        <w:t xml:space="preserve">figures on the </w:t>
      </w:r>
      <w:r w:rsidR="00557E4B" w:rsidRPr="00532C20">
        <w:rPr>
          <w:rFonts w:ascii="Times New Roman" w:hAnsi="Times New Roman" w:cs="Times New Roman"/>
          <w:noProof/>
          <w:szCs w:val="24"/>
          <w:lang w:val="en-IE" w:eastAsia="en-IE"/>
        </w:rPr>
        <w:t xml:space="preserve">stakeholders affected </w:t>
      </w:r>
      <w:r w:rsidR="001379C1" w:rsidRPr="00532C20">
        <w:rPr>
          <w:rFonts w:ascii="Times New Roman" w:hAnsi="Times New Roman" w:cs="Times New Roman"/>
          <w:noProof/>
          <w:szCs w:val="24"/>
          <w:lang w:val="en-IE" w:eastAsia="en-IE"/>
        </w:rPr>
        <w:t>by the initiative.</w:t>
      </w:r>
      <w:r w:rsidR="00D36CF9" w:rsidRPr="00532C20">
        <w:rPr>
          <w:rFonts w:ascii="Times New Roman" w:hAnsi="Times New Roman" w:cs="Times New Roman"/>
          <w:noProof/>
          <w:szCs w:val="24"/>
          <w:lang w:val="en-IE" w:eastAsia="en-IE"/>
        </w:rPr>
        <w:t xml:space="preserve"> </w:t>
      </w:r>
      <w:r w:rsidR="001379C1" w:rsidRPr="00532C20">
        <w:rPr>
          <w:rFonts w:ascii="Times New Roman" w:hAnsi="Times New Roman" w:cs="Times New Roman"/>
          <w:noProof/>
          <w:szCs w:val="24"/>
          <w:lang w:val="en-IE" w:eastAsia="en-IE"/>
        </w:rPr>
        <w:t xml:space="preserve">All figures were gathered </w:t>
      </w:r>
      <w:r w:rsidR="00E66616" w:rsidRPr="00532C20">
        <w:rPr>
          <w:rFonts w:ascii="Times New Roman" w:hAnsi="Times New Roman" w:cs="Times New Roman"/>
          <w:noProof/>
          <w:szCs w:val="24"/>
          <w:lang w:val="en-IE" w:eastAsia="en-IE"/>
        </w:rPr>
        <w:t>through the</w:t>
      </w:r>
      <w:r w:rsidR="007E2A1A">
        <w:rPr>
          <w:rFonts w:ascii="Times New Roman" w:hAnsi="Times New Roman" w:cs="Times New Roman"/>
          <w:noProof/>
          <w:szCs w:val="24"/>
          <w:lang w:val="en-IE" w:eastAsia="en-IE"/>
        </w:rPr>
        <w:t xml:space="preserve"> supporting</w:t>
      </w:r>
      <w:r w:rsidR="00E66616" w:rsidRPr="00532C20">
        <w:rPr>
          <w:rFonts w:ascii="Times New Roman" w:hAnsi="Times New Roman" w:cs="Times New Roman"/>
          <w:noProof/>
          <w:szCs w:val="24"/>
          <w:lang w:val="en-IE" w:eastAsia="en-IE"/>
        </w:rPr>
        <w:t xml:space="preserve"> study</w:t>
      </w:r>
      <w:r w:rsidR="007E5F4C" w:rsidRPr="00532C20">
        <w:rPr>
          <w:rFonts w:ascii="Times New Roman" w:hAnsi="Times New Roman" w:cs="Times New Roman"/>
          <w:noProof/>
          <w:szCs w:val="24"/>
          <w:lang w:val="en-IE" w:eastAsia="en-IE"/>
        </w:rPr>
        <w:t xml:space="preserve">. </w:t>
      </w:r>
    </w:p>
    <w:p w14:paraId="0418866D" w14:textId="04B3158E" w:rsidR="00AA429F" w:rsidRPr="00532C20" w:rsidRDefault="00AA429F" w:rsidP="002B0B48">
      <w:pPr>
        <w:pStyle w:val="ListParagraph"/>
        <w:numPr>
          <w:ilvl w:val="0"/>
          <w:numId w:val="75"/>
        </w:numPr>
        <w:rPr>
          <w:rFonts w:ascii="Times New Roman" w:hAnsi="Times New Roman" w:cs="Times New Roman"/>
          <w:b/>
          <w:bCs/>
          <w:noProof/>
          <w:u w:val="single"/>
          <w:lang w:val="en-IE" w:eastAsia="en-IE"/>
        </w:rPr>
      </w:pPr>
      <w:r w:rsidRPr="00532C20">
        <w:rPr>
          <w:rFonts w:ascii="Times New Roman" w:hAnsi="Times New Roman" w:cs="Times New Roman"/>
          <w:b/>
          <w:bCs/>
          <w:noProof/>
          <w:u w:val="single"/>
          <w:lang w:val="en-IE" w:eastAsia="en-IE"/>
        </w:rPr>
        <w:t>Practical implication</w:t>
      </w:r>
      <w:r w:rsidR="00C028BC" w:rsidRPr="00532C20">
        <w:rPr>
          <w:rFonts w:ascii="Times New Roman" w:hAnsi="Times New Roman" w:cs="Times New Roman"/>
          <w:b/>
          <w:bCs/>
          <w:noProof/>
          <w:u w:val="single"/>
          <w:lang w:val="en-IE" w:eastAsia="en-IE"/>
        </w:rPr>
        <w:t>s</w:t>
      </w:r>
      <w:r w:rsidRPr="00532C20">
        <w:rPr>
          <w:rFonts w:ascii="Times New Roman" w:hAnsi="Times New Roman" w:cs="Times New Roman"/>
          <w:b/>
          <w:bCs/>
          <w:noProof/>
          <w:u w:val="single"/>
          <w:lang w:val="en-IE" w:eastAsia="en-IE"/>
        </w:rPr>
        <w:t xml:space="preserve"> of the ini</w:t>
      </w:r>
      <w:r w:rsidR="00414AAA" w:rsidRPr="00532C20">
        <w:rPr>
          <w:rFonts w:ascii="Times New Roman" w:hAnsi="Times New Roman" w:cs="Times New Roman"/>
          <w:b/>
          <w:bCs/>
          <w:noProof/>
          <w:u w:val="single"/>
          <w:lang w:val="en-IE" w:eastAsia="en-IE"/>
        </w:rPr>
        <w:t xml:space="preserve">tiative </w:t>
      </w:r>
    </w:p>
    <w:p w14:paraId="037367CC" w14:textId="77777777" w:rsidR="00F02A38" w:rsidRPr="00532C20" w:rsidRDefault="00F02A38" w:rsidP="00F02A38">
      <w:pPr>
        <w:pStyle w:val="ListParagraph"/>
        <w:ind w:left="360"/>
        <w:rPr>
          <w:rFonts w:ascii="Times New Roman" w:hAnsi="Times New Roman" w:cs="Times New Roman"/>
          <w:noProof/>
          <w:lang w:val="en-IE" w:eastAsia="en-IE"/>
        </w:rPr>
      </w:pPr>
    </w:p>
    <w:p w14:paraId="694D126B" w14:textId="2462263F" w:rsidR="00786F34" w:rsidRPr="00532C20" w:rsidRDefault="003311B6" w:rsidP="004B0958">
      <w:pPr>
        <w:spacing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The following table presents a description of the categories of </w:t>
      </w:r>
      <w:r w:rsidR="006B1CE9" w:rsidRPr="00532C20">
        <w:rPr>
          <w:rFonts w:ascii="Times New Roman" w:eastAsia="Times" w:hAnsi="Times New Roman" w:cs="Times New Roman"/>
          <w:noProof/>
          <w:sz w:val="24"/>
          <w:szCs w:val="24"/>
          <w:lang w:val="en-IE" w:eastAsia="en-IE"/>
        </w:rPr>
        <w:t>stakeholders</w:t>
      </w:r>
      <w:r w:rsidRPr="00532C20">
        <w:rPr>
          <w:rFonts w:ascii="Times New Roman" w:eastAsia="Times" w:hAnsi="Times New Roman" w:cs="Times New Roman"/>
          <w:noProof/>
          <w:sz w:val="24"/>
          <w:szCs w:val="24"/>
          <w:lang w:val="en-IE" w:eastAsia="en-IE"/>
        </w:rPr>
        <w:t xml:space="preserve"> considered </w:t>
      </w:r>
      <w:r w:rsidR="00CF5DE5" w:rsidRPr="00532C20">
        <w:rPr>
          <w:rFonts w:ascii="Times New Roman" w:eastAsia="Times" w:hAnsi="Times New Roman" w:cs="Times New Roman"/>
          <w:noProof/>
          <w:sz w:val="24"/>
          <w:szCs w:val="24"/>
          <w:lang w:val="en-IE" w:eastAsia="en-IE"/>
        </w:rPr>
        <w:t xml:space="preserve">by the </w:t>
      </w:r>
      <w:r w:rsidR="009A4F42" w:rsidRPr="00532C20">
        <w:rPr>
          <w:rFonts w:ascii="Times New Roman" w:eastAsia="Times" w:hAnsi="Times New Roman" w:cs="Times New Roman"/>
          <w:noProof/>
          <w:sz w:val="24"/>
          <w:szCs w:val="24"/>
          <w:lang w:val="en-IE" w:eastAsia="en-IE"/>
        </w:rPr>
        <w:t>initiative</w:t>
      </w:r>
      <w:r w:rsidR="00CF5DE5" w:rsidRPr="00532C20">
        <w:rPr>
          <w:rFonts w:ascii="Times New Roman" w:eastAsia="Times" w:hAnsi="Times New Roman" w:cs="Times New Roman"/>
          <w:noProof/>
          <w:sz w:val="24"/>
          <w:szCs w:val="24"/>
          <w:lang w:val="en-IE" w:eastAsia="en-IE"/>
        </w:rPr>
        <w:t xml:space="preserve">, with a summary </w:t>
      </w:r>
      <w:r w:rsidR="005102A6" w:rsidRPr="00532C20">
        <w:rPr>
          <w:rFonts w:ascii="Times New Roman" w:eastAsia="Times" w:hAnsi="Times New Roman" w:cs="Times New Roman"/>
          <w:noProof/>
          <w:sz w:val="24"/>
          <w:szCs w:val="24"/>
          <w:lang w:val="en-IE" w:eastAsia="en-IE"/>
        </w:rPr>
        <w:t xml:space="preserve">analysis of how </w:t>
      </w:r>
      <w:r w:rsidR="005C7D67" w:rsidRPr="00532C20">
        <w:rPr>
          <w:rFonts w:ascii="Times New Roman" w:eastAsia="Times" w:hAnsi="Times New Roman" w:cs="Times New Roman"/>
          <w:noProof/>
          <w:sz w:val="24"/>
          <w:szCs w:val="24"/>
          <w:lang w:val="en-IE" w:eastAsia="en-IE"/>
        </w:rPr>
        <w:t>they will be affected by the proposed measures.</w:t>
      </w:r>
    </w:p>
    <w:tbl>
      <w:tblPr>
        <w:tblStyle w:val="TableGrid"/>
        <w:tblW w:w="0" w:type="auto"/>
        <w:tblLook w:val="04A0" w:firstRow="1" w:lastRow="0" w:firstColumn="1" w:lastColumn="0" w:noHBand="0" w:noVBand="1"/>
      </w:tblPr>
      <w:tblGrid>
        <w:gridCol w:w="1510"/>
        <w:gridCol w:w="2454"/>
        <w:gridCol w:w="4644"/>
      </w:tblGrid>
      <w:tr w:rsidR="005C7D67" w:rsidRPr="00532C20" w14:paraId="3C1E1B57" w14:textId="77777777" w:rsidTr="00F10980">
        <w:tc>
          <w:tcPr>
            <w:tcW w:w="1510" w:type="dxa"/>
            <w:shd w:val="clear" w:color="auto" w:fill="BFBFBF" w:themeFill="background1" w:themeFillShade="BF"/>
          </w:tcPr>
          <w:p w14:paraId="47D8D52E" w14:textId="45D356A9" w:rsidR="005C7D67" w:rsidRPr="00532C20" w:rsidRDefault="00AE7316" w:rsidP="004B0958">
            <w:pPr>
              <w:textAlignment w:val="baseline"/>
              <w:rPr>
                <w:rFonts w:ascii="Times New Roman" w:hAnsi="Times New Roman" w:cs="Times New Roman"/>
                <w:b/>
                <w:noProof/>
                <w:sz w:val="24"/>
                <w:szCs w:val="24"/>
                <w:lang w:val="en-IE" w:eastAsia="en-IE"/>
              </w:rPr>
            </w:pPr>
            <w:r w:rsidRPr="00532C20">
              <w:rPr>
                <w:rFonts w:ascii="Times New Roman" w:hAnsi="Times New Roman" w:cs="Times New Roman"/>
                <w:b/>
                <w:bCs/>
                <w:noProof/>
                <w:sz w:val="24"/>
                <w:szCs w:val="24"/>
                <w:lang w:val="en-IE" w:eastAsia="en-IE"/>
              </w:rPr>
              <w:t>Categor</w:t>
            </w:r>
            <w:r w:rsidR="006B1CE9" w:rsidRPr="00532C20">
              <w:rPr>
                <w:rFonts w:ascii="Times New Roman" w:hAnsi="Times New Roman" w:cs="Times New Roman"/>
                <w:b/>
                <w:bCs/>
                <w:noProof/>
                <w:sz w:val="24"/>
                <w:szCs w:val="24"/>
                <w:lang w:val="en-IE" w:eastAsia="en-IE"/>
              </w:rPr>
              <w:t>ies</w:t>
            </w:r>
            <w:r w:rsidRPr="00532C20">
              <w:rPr>
                <w:rFonts w:ascii="Times New Roman" w:hAnsi="Times New Roman" w:cs="Times New Roman"/>
                <w:b/>
                <w:bCs/>
                <w:noProof/>
                <w:sz w:val="24"/>
                <w:szCs w:val="24"/>
                <w:lang w:val="en-IE" w:eastAsia="en-IE"/>
              </w:rPr>
              <w:t xml:space="preserve"> of </w:t>
            </w:r>
            <w:r w:rsidR="006B1CE9" w:rsidRPr="00532C20">
              <w:rPr>
                <w:rFonts w:ascii="Times New Roman" w:hAnsi="Times New Roman" w:cs="Times New Roman"/>
                <w:b/>
                <w:bCs/>
                <w:noProof/>
                <w:sz w:val="24"/>
                <w:szCs w:val="24"/>
                <w:lang w:val="en-IE" w:eastAsia="en-IE"/>
              </w:rPr>
              <w:t>stakeholders</w:t>
            </w:r>
          </w:p>
        </w:tc>
        <w:tc>
          <w:tcPr>
            <w:tcW w:w="2454" w:type="dxa"/>
            <w:shd w:val="clear" w:color="auto" w:fill="BFBFBF" w:themeFill="background1" w:themeFillShade="BF"/>
          </w:tcPr>
          <w:p w14:paraId="647710A3" w14:textId="06D0A818" w:rsidR="005C7D67" w:rsidRPr="00532C20" w:rsidRDefault="00AE7316" w:rsidP="004B0958">
            <w:pPr>
              <w:textAlignment w:val="baseline"/>
              <w:rPr>
                <w:rFonts w:ascii="Times New Roman" w:hAnsi="Times New Roman" w:cs="Times New Roman"/>
                <w:b/>
                <w:noProof/>
                <w:sz w:val="24"/>
                <w:szCs w:val="24"/>
                <w:lang w:val="en-IE" w:eastAsia="en-IE"/>
              </w:rPr>
            </w:pPr>
            <w:r w:rsidRPr="00532C20">
              <w:rPr>
                <w:rFonts w:ascii="Times New Roman" w:hAnsi="Times New Roman" w:cs="Times New Roman"/>
                <w:b/>
                <w:noProof/>
                <w:sz w:val="24"/>
                <w:szCs w:val="24"/>
                <w:lang w:val="en-IE" w:eastAsia="en-IE"/>
              </w:rPr>
              <w:t xml:space="preserve">Description of the </w:t>
            </w:r>
            <w:r w:rsidR="006B1CE9" w:rsidRPr="00532C20">
              <w:rPr>
                <w:rFonts w:ascii="Times New Roman" w:hAnsi="Times New Roman" w:cs="Times New Roman"/>
                <w:b/>
                <w:bCs/>
                <w:noProof/>
                <w:sz w:val="24"/>
                <w:szCs w:val="24"/>
                <w:lang w:val="en-IE" w:eastAsia="en-IE"/>
              </w:rPr>
              <w:t>stakeholders</w:t>
            </w:r>
          </w:p>
        </w:tc>
        <w:tc>
          <w:tcPr>
            <w:tcW w:w="4644" w:type="dxa"/>
            <w:shd w:val="clear" w:color="auto" w:fill="BFBFBF" w:themeFill="background1" w:themeFillShade="BF"/>
          </w:tcPr>
          <w:p w14:paraId="46C62FA1" w14:textId="6213714D" w:rsidR="005C7D67" w:rsidRPr="00532C20" w:rsidRDefault="00AE7316" w:rsidP="004B0958">
            <w:pPr>
              <w:textAlignment w:val="baseline"/>
              <w:rPr>
                <w:rFonts w:ascii="Times New Roman" w:hAnsi="Times New Roman" w:cs="Times New Roman"/>
                <w:b/>
                <w:noProof/>
                <w:sz w:val="24"/>
                <w:szCs w:val="24"/>
                <w:lang w:val="en-IE" w:eastAsia="en-IE"/>
              </w:rPr>
            </w:pPr>
            <w:r w:rsidRPr="00532C20">
              <w:rPr>
                <w:rFonts w:ascii="Times New Roman" w:hAnsi="Times New Roman" w:cs="Times New Roman"/>
                <w:b/>
                <w:noProof/>
                <w:sz w:val="24"/>
                <w:szCs w:val="24"/>
                <w:lang w:val="en-IE" w:eastAsia="en-IE"/>
              </w:rPr>
              <w:t xml:space="preserve">Measures affecting </w:t>
            </w:r>
            <w:r w:rsidR="006B1CE9" w:rsidRPr="00532C20">
              <w:rPr>
                <w:rFonts w:ascii="Times New Roman" w:hAnsi="Times New Roman" w:cs="Times New Roman"/>
                <w:b/>
                <w:bCs/>
                <w:noProof/>
                <w:sz w:val="24"/>
                <w:szCs w:val="24"/>
                <w:lang w:val="en-IE" w:eastAsia="en-IE"/>
              </w:rPr>
              <w:t>the stakeholders</w:t>
            </w:r>
          </w:p>
        </w:tc>
      </w:tr>
      <w:tr w:rsidR="005C7D67" w:rsidRPr="00532C20" w14:paraId="58374E47" w14:textId="77777777" w:rsidTr="00F10980">
        <w:tc>
          <w:tcPr>
            <w:tcW w:w="1510" w:type="dxa"/>
          </w:tcPr>
          <w:p w14:paraId="6A0BA900" w14:textId="36C7568E" w:rsidR="005C7D67" w:rsidRPr="00532C20" w:rsidRDefault="0073583F" w:rsidP="004B0958">
            <w:pPr>
              <w:textAlignment w:val="baseline"/>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Commercial entities</w:t>
            </w:r>
          </w:p>
        </w:tc>
        <w:tc>
          <w:tcPr>
            <w:tcW w:w="2454" w:type="dxa"/>
          </w:tcPr>
          <w:p w14:paraId="5C5F6161" w14:textId="7D3AEA9F" w:rsidR="005C7D67" w:rsidRPr="00532C20" w:rsidRDefault="00B919E4" w:rsidP="00A92B66">
            <w:pPr>
              <w:jc w:val="both"/>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For example,</w:t>
            </w:r>
            <w:r w:rsidR="003E4097" w:rsidRPr="00532C20">
              <w:rPr>
                <w:rFonts w:ascii="Times New Roman" w:hAnsi="Times New Roman" w:cs="Times New Roman"/>
                <w:noProof/>
                <w:sz w:val="24"/>
                <w:szCs w:val="24"/>
                <w:lang w:val="en-IE" w:eastAsia="en-IE"/>
              </w:rPr>
              <w:t xml:space="preserve"> public relations firms and consultancies, public affairs firms and consultancies</w:t>
            </w:r>
            <w:r w:rsidR="007B5CF1" w:rsidRPr="00532C20">
              <w:rPr>
                <w:rFonts w:ascii="Times New Roman" w:hAnsi="Times New Roman" w:cs="Times New Roman"/>
                <w:noProof/>
                <w:sz w:val="24"/>
                <w:szCs w:val="24"/>
                <w:lang w:val="en-IE" w:eastAsia="en-IE"/>
              </w:rPr>
              <w:t xml:space="preserve">, </w:t>
            </w:r>
            <w:r w:rsidR="00663811" w:rsidRPr="00532C20">
              <w:rPr>
                <w:rFonts w:ascii="Times New Roman" w:hAnsi="Times New Roman" w:cs="Times New Roman"/>
                <w:noProof/>
                <w:sz w:val="24"/>
                <w:szCs w:val="24"/>
                <w:lang w:val="en-IE" w:eastAsia="en-IE"/>
              </w:rPr>
              <w:t>legal services</w:t>
            </w:r>
            <w:r w:rsidR="007B5CF1" w:rsidRPr="00532C20">
              <w:rPr>
                <w:rFonts w:ascii="Times New Roman" w:hAnsi="Times New Roman" w:cs="Times New Roman"/>
                <w:noProof/>
                <w:sz w:val="24"/>
                <w:szCs w:val="24"/>
                <w:lang w:val="en-IE" w:eastAsia="en-IE"/>
              </w:rPr>
              <w:t xml:space="preserve"> firms</w:t>
            </w:r>
            <w:r w:rsidR="00117E1D" w:rsidRPr="00532C20">
              <w:rPr>
                <w:rFonts w:ascii="Times New Roman" w:hAnsi="Times New Roman" w:cs="Times New Roman"/>
                <w:noProof/>
                <w:sz w:val="24"/>
                <w:szCs w:val="24"/>
                <w:lang w:val="en-IE" w:eastAsia="en-IE"/>
              </w:rPr>
              <w:t>, private</w:t>
            </w:r>
            <w:r w:rsidR="00663811" w:rsidRPr="00532C20">
              <w:rPr>
                <w:rFonts w:ascii="Times New Roman" w:hAnsi="Times New Roman" w:cs="Times New Roman"/>
                <w:noProof/>
                <w:sz w:val="24"/>
                <w:szCs w:val="24"/>
                <w:lang w:val="en-IE" w:eastAsia="en-IE"/>
              </w:rPr>
              <w:t xml:space="preserve"> companies</w:t>
            </w:r>
            <w:r w:rsidR="00C92CA3" w:rsidRPr="00532C20">
              <w:rPr>
                <w:rFonts w:ascii="Times New Roman" w:hAnsi="Times New Roman" w:cs="Times New Roman"/>
                <w:noProof/>
                <w:sz w:val="24"/>
                <w:szCs w:val="24"/>
                <w:lang w:val="en-IE" w:eastAsia="en-IE"/>
              </w:rPr>
              <w:t xml:space="preserve">, </w:t>
            </w:r>
            <w:r w:rsidR="009D06AE" w:rsidRPr="00532C20">
              <w:rPr>
                <w:rFonts w:ascii="Times New Roman" w:hAnsi="Times New Roman" w:cs="Times New Roman"/>
                <w:noProof/>
                <w:sz w:val="24"/>
                <w:szCs w:val="24"/>
                <w:lang w:val="en-IE" w:eastAsia="en-IE"/>
              </w:rPr>
              <w:t>and</w:t>
            </w:r>
            <w:r w:rsidR="00083C73" w:rsidRPr="00532C20">
              <w:rPr>
                <w:rFonts w:ascii="Times New Roman" w:hAnsi="Times New Roman" w:cs="Times New Roman"/>
                <w:noProof/>
                <w:sz w:val="24"/>
                <w:szCs w:val="24"/>
                <w:lang w:val="en-IE" w:eastAsia="en-IE"/>
              </w:rPr>
              <w:t xml:space="preserve"> any kinds of </w:t>
            </w:r>
            <w:r w:rsidR="00C92CA3" w:rsidRPr="00532C20">
              <w:rPr>
                <w:rFonts w:ascii="Times New Roman" w:hAnsi="Times New Roman" w:cs="Times New Roman"/>
                <w:noProof/>
                <w:sz w:val="24"/>
                <w:szCs w:val="24"/>
                <w:lang w:val="en-IE" w:eastAsia="en-IE"/>
              </w:rPr>
              <w:t>interest representation services providers</w:t>
            </w:r>
            <w:r w:rsidR="00117E1D" w:rsidRPr="00532C20">
              <w:rPr>
                <w:rFonts w:ascii="Times New Roman" w:hAnsi="Times New Roman" w:cs="Times New Roman"/>
                <w:noProof/>
                <w:sz w:val="24"/>
                <w:szCs w:val="24"/>
                <w:lang w:val="en-IE" w:eastAsia="en-IE"/>
              </w:rPr>
              <w:t>, so long as they carry out interest representation services activities on behalf of third countries.</w:t>
            </w:r>
            <w:r w:rsidR="00C92CA3" w:rsidRPr="00532C20">
              <w:rPr>
                <w:rFonts w:ascii="Times New Roman" w:hAnsi="Times New Roman" w:cs="Times New Roman"/>
                <w:noProof/>
                <w:sz w:val="24"/>
                <w:szCs w:val="24"/>
                <w:lang w:val="en-IE" w:eastAsia="en-IE"/>
              </w:rPr>
              <w:t xml:space="preserve"> </w:t>
            </w:r>
          </w:p>
        </w:tc>
        <w:tc>
          <w:tcPr>
            <w:tcW w:w="4644" w:type="dxa"/>
            <w:vMerge w:val="restart"/>
          </w:tcPr>
          <w:p w14:paraId="55403A8D" w14:textId="77777777" w:rsidR="001248B9" w:rsidRPr="00532C20" w:rsidRDefault="001248B9" w:rsidP="00BF79CB">
            <w:pPr>
              <w:jc w:val="both"/>
              <w:textAlignment w:val="baseline"/>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 xml:space="preserve">Due to the Article 114 TFEU legal basis of the intervention, the proposed measures would not differentiate commercial </w:t>
            </w:r>
            <w:r w:rsidR="003B59B4" w:rsidRPr="00532C20">
              <w:rPr>
                <w:rFonts w:ascii="Times New Roman" w:hAnsi="Times New Roman" w:cs="Times New Roman"/>
                <w:noProof/>
                <w:sz w:val="24"/>
                <w:szCs w:val="24"/>
                <w:lang w:val="en-IE" w:eastAsia="en-IE"/>
              </w:rPr>
              <w:t xml:space="preserve">and non-commercial entities in their application. </w:t>
            </w:r>
          </w:p>
          <w:p w14:paraId="01826A74" w14:textId="77777777" w:rsidR="001A551B" w:rsidRPr="00532C20" w:rsidRDefault="001A551B" w:rsidP="00BF79CB">
            <w:pPr>
              <w:jc w:val="both"/>
              <w:textAlignment w:val="baseline"/>
              <w:rPr>
                <w:rFonts w:ascii="Times New Roman" w:hAnsi="Times New Roman" w:cs="Times New Roman"/>
                <w:noProof/>
                <w:sz w:val="24"/>
                <w:szCs w:val="24"/>
                <w:lang w:val="en-IE" w:eastAsia="en-IE"/>
              </w:rPr>
            </w:pPr>
          </w:p>
          <w:p w14:paraId="3ABEC38A" w14:textId="77777777" w:rsidR="009A4F42" w:rsidRPr="00532C20" w:rsidRDefault="009A4F42" w:rsidP="00A92B66">
            <w:pPr>
              <w:jc w:val="both"/>
              <w:rPr>
                <w:rFonts w:ascii="Times New Roman" w:hAnsi="Times New Roman" w:cs="Times New Roman"/>
                <w:noProof/>
                <w:sz w:val="24"/>
                <w:szCs w:val="24"/>
              </w:rPr>
            </w:pPr>
            <w:r w:rsidRPr="00532C20">
              <w:rPr>
                <w:rFonts w:ascii="Times New Roman" w:hAnsi="Times New Roman" w:cs="Times New Roman"/>
                <w:noProof/>
                <w:sz w:val="24"/>
                <w:szCs w:val="24"/>
                <w:u w:val="single"/>
              </w:rPr>
              <w:t>Record-keeping</w:t>
            </w:r>
            <w:r w:rsidRPr="00532C20">
              <w:rPr>
                <w:rFonts w:ascii="Times New Roman" w:hAnsi="Times New Roman" w:cs="Times New Roman"/>
                <w:noProof/>
                <w:sz w:val="24"/>
                <w:szCs w:val="24"/>
              </w:rPr>
              <w:t>: Entities would be required to keep, for a reasonable period, information such as the identity of the entity on whose behalf the activity is carried out, a description of the purpose of the interest representation activity.</w:t>
            </w:r>
          </w:p>
          <w:p w14:paraId="417D414F" w14:textId="77777777" w:rsidR="009A4F42" w:rsidRPr="00532C20" w:rsidRDefault="009A4F42" w:rsidP="00A92B66">
            <w:pPr>
              <w:jc w:val="both"/>
              <w:rPr>
                <w:rFonts w:ascii="Times New Roman" w:hAnsi="Times New Roman" w:cs="Times New Roman"/>
                <w:noProof/>
                <w:sz w:val="24"/>
                <w:szCs w:val="24"/>
              </w:rPr>
            </w:pPr>
          </w:p>
          <w:p w14:paraId="4360627E" w14:textId="77777777" w:rsidR="009A4F42" w:rsidRPr="00532C20" w:rsidRDefault="009A4F42" w:rsidP="00A92B66">
            <w:pPr>
              <w:jc w:val="both"/>
              <w:rPr>
                <w:rFonts w:ascii="Times New Roman" w:hAnsi="Times New Roman" w:cs="Times New Roman"/>
                <w:noProof/>
                <w:sz w:val="24"/>
                <w:szCs w:val="24"/>
              </w:rPr>
            </w:pPr>
            <w:r w:rsidRPr="00532C20">
              <w:rPr>
                <w:rFonts w:ascii="Times New Roman" w:hAnsi="Times New Roman" w:cs="Times New Roman"/>
                <w:noProof/>
                <w:sz w:val="24"/>
                <w:szCs w:val="24"/>
                <w:u w:val="single"/>
              </w:rPr>
              <w:t>Registration</w:t>
            </w:r>
            <w:r w:rsidRPr="00532C20">
              <w:rPr>
                <w:rFonts w:ascii="Times New Roman" w:hAnsi="Times New Roman" w:cs="Times New Roman"/>
                <w:noProof/>
                <w:sz w:val="24"/>
                <w:szCs w:val="24"/>
              </w:rPr>
              <w:t xml:space="preserve">: Entities would be required to register in a national public register and provide information on themselves, the activities conducted, and the entities they conduct the activities on behalf of (e.g. regarding the entity, the activity and the entity on whose behalf the activity is carried out). This information would need to be updated regularly. </w:t>
            </w:r>
          </w:p>
          <w:p w14:paraId="2B091547" w14:textId="77777777" w:rsidR="009A4F42" w:rsidRPr="00532C20" w:rsidRDefault="009A4F42" w:rsidP="00A92B66">
            <w:pPr>
              <w:jc w:val="both"/>
              <w:rPr>
                <w:rFonts w:ascii="Times New Roman" w:hAnsi="Times New Roman" w:cs="Times New Roman"/>
                <w:noProof/>
                <w:sz w:val="24"/>
                <w:szCs w:val="24"/>
              </w:rPr>
            </w:pPr>
          </w:p>
          <w:p w14:paraId="0D7D5170" w14:textId="77777777" w:rsidR="009A4F42" w:rsidRPr="00532C20" w:rsidRDefault="009A4F42" w:rsidP="00BF79CB">
            <w:pPr>
              <w:jc w:val="both"/>
              <w:rPr>
                <w:rFonts w:ascii="Times New Roman" w:hAnsi="Times New Roman" w:cs="Times New Roman"/>
                <w:noProof/>
                <w:sz w:val="24"/>
                <w:szCs w:val="24"/>
              </w:rPr>
            </w:pPr>
            <w:r w:rsidRPr="00532C20">
              <w:rPr>
                <w:rFonts w:ascii="Times New Roman" w:hAnsi="Times New Roman" w:cs="Times New Roman"/>
                <w:noProof/>
                <w:sz w:val="24"/>
                <w:szCs w:val="24"/>
                <w:u w:val="single"/>
              </w:rPr>
              <w:t>Transparency</w:t>
            </w:r>
            <w:r w:rsidRPr="00532C20">
              <w:rPr>
                <w:rFonts w:ascii="Times New Roman" w:hAnsi="Times New Roman" w:cs="Times New Roman"/>
                <w:noProof/>
                <w:sz w:val="24"/>
                <w:szCs w:val="24"/>
              </w:rPr>
              <w:t xml:space="preserve">: </w:t>
            </w:r>
          </w:p>
          <w:p w14:paraId="1BAA00C5" w14:textId="77777777" w:rsidR="009A4F42" w:rsidRPr="00532C20" w:rsidRDefault="009A4F42" w:rsidP="00A92B66">
            <w:pPr>
              <w:pStyle w:val="ListParagraph"/>
              <w:numPr>
                <w:ilvl w:val="0"/>
                <w:numId w:val="34"/>
              </w:numPr>
              <w:ind w:left="459"/>
              <w:jc w:val="both"/>
              <w:rPr>
                <w:rFonts w:ascii="Times New Roman" w:hAnsi="Times New Roman" w:cs="Times New Roman"/>
                <w:noProof/>
              </w:rPr>
            </w:pPr>
            <w:r w:rsidRPr="00532C20">
              <w:rPr>
                <w:rFonts w:ascii="Times New Roman" w:hAnsi="Times New Roman" w:cs="Times New Roman"/>
                <w:noProof/>
              </w:rPr>
              <w:t xml:space="preserve">Entities carrying out interest representation as well as their subcontractors would have to provide their registration number when in direct contact with public officials. </w:t>
            </w:r>
          </w:p>
          <w:p w14:paraId="1001B5B4" w14:textId="77777777" w:rsidR="009A4F42" w:rsidRPr="00532C20" w:rsidRDefault="009A4F42" w:rsidP="00A92B66">
            <w:pPr>
              <w:pStyle w:val="ListParagraph"/>
              <w:numPr>
                <w:ilvl w:val="0"/>
                <w:numId w:val="34"/>
              </w:numPr>
              <w:ind w:left="459"/>
              <w:jc w:val="both"/>
              <w:rPr>
                <w:rFonts w:ascii="Times New Roman" w:hAnsi="Times New Roman" w:cs="Times New Roman"/>
                <w:noProof/>
              </w:rPr>
            </w:pPr>
            <w:r w:rsidRPr="00532C20">
              <w:rPr>
                <w:rFonts w:ascii="Times New Roman" w:hAnsi="Times New Roman" w:cs="Times New Roman"/>
                <w:noProof/>
              </w:rPr>
              <w:t xml:space="preserve">Member State would be required to ensure that publicly available national registers are in place and that they cover the information and reporting requirements included in the intervention. They would need to designate or set up supervisory authorities ensuring proper implementation. They would need to publish an annual report based on the data entered in the register. </w:t>
            </w:r>
          </w:p>
          <w:p w14:paraId="042C5B06" w14:textId="62498A6E" w:rsidR="00D10643" w:rsidRPr="00532C20" w:rsidRDefault="009A4F42" w:rsidP="00A92B66">
            <w:pPr>
              <w:pStyle w:val="ListParagraph"/>
              <w:numPr>
                <w:ilvl w:val="0"/>
                <w:numId w:val="34"/>
              </w:numPr>
              <w:ind w:left="459"/>
              <w:jc w:val="both"/>
              <w:rPr>
                <w:rFonts w:ascii="Times New Roman" w:hAnsi="Times New Roman" w:cs="Times New Roman"/>
                <w:noProof/>
              </w:rPr>
            </w:pPr>
            <w:r w:rsidRPr="00532C20">
              <w:rPr>
                <w:rFonts w:ascii="Times New Roman" w:hAnsi="Times New Roman" w:cs="Times New Roman"/>
                <w:noProof/>
                <w:sz w:val="20"/>
                <w:szCs w:val="20"/>
              </w:rPr>
              <w:t>I</w:t>
            </w:r>
            <w:r w:rsidRPr="00532C20">
              <w:rPr>
                <w:rFonts w:ascii="Times New Roman" w:hAnsi="Times New Roman" w:cs="Times New Roman"/>
                <w:noProof/>
              </w:rPr>
              <w:t xml:space="preserve">nterest representation service providers </w:t>
            </w:r>
            <w:r w:rsidR="00D10643" w:rsidRPr="00532C20">
              <w:rPr>
                <w:rFonts w:ascii="Times New Roman" w:hAnsi="Times New Roman" w:cs="Times New Roman"/>
                <w:noProof/>
              </w:rPr>
              <w:t>would have the possibility</w:t>
            </w:r>
            <w:r w:rsidRPr="00532C20">
              <w:rPr>
                <w:rFonts w:ascii="Times New Roman" w:hAnsi="Times New Roman" w:cs="Times New Roman"/>
                <w:noProof/>
              </w:rPr>
              <w:t xml:space="preserve"> to take</w:t>
            </w:r>
            <w:r w:rsidRPr="00532C20">
              <w:rPr>
                <w:rFonts w:ascii="Times New Roman" w:hAnsi="Times New Roman" w:cs="Times New Roman"/>
                <w:b/>
                <w:bCs/>
                <w:noProof/>
              </w:rPr>
              <w:t xml:space="preserve"> </w:t>
            </w:r>
            <w:r w:rsidRPr="00532C20">
              <w:rPr>
                <w:rFonts w:ascii="Times New Roman" w:hAnsi="Times New Roman" w:cs="Times New Roman"/>
                <w:noProof/>
              </w:rPr>
              <w:t>measures to identify the recipients of the services</w:t>
            </w:r>
            <w:r w:rsidR="00D10643" w:rsidRPr="00532C20">
              <w:rPr>
                <w:rFonts w:ascii="Times New Roman" w:hAnsi="Times New Roman" w:cs="Times New Roman"/>
                <w:noProof/>
                <w:lang w:val="en-IE"/>
              </w:rPr>
              <w:t>.</w:t>
            </w:r>
          </w:p>
          <w:p w14:paraId="5227B428" w14:textId="6947C5F6" w:rsidR="005C7D67" w:rsidRPr="00532C20" w:rsidRDefault="005C7D67" w:rsidP="00BF79CB">
            <w:pPr>
              <w:jc w:val="both"/>
              <w:textAlignment w:val="baseline"/>
              <w:rPr>
                <w:rFonts w:ascii="Times New Roman" w:hAnsi="Times New Roman" w:cs="Times New Roman"/>
                <w:noProof/>
                <w:sz w:val="24"/>
                <w:szCs w:val="24"/>
                <w:lang w:val="en-IE" w:eastAsia="en-IE"/>
              </w:rPr>
            </w:pPr>
          </w:p>
        </w:tc>
      </w:tr>
      <w:tr w:rsidR="005C7D67" w:rsidRPr="00532C20" w14:paraId="323FE273" w14:textId="77777777" w:rsidTr="00F10980">
        <w:tc>
          <w:tcPr>
            <w:tcW w:w="1510" w:type="dxa"/>
          </w:tcPr>
          <w:p w14:paraId="5CC2DB46" w14:textId="7E5286E4" w:rsidR="005C7D67" w:rsidRPr="00532C20" w:rsidRDefault="0073583F" w:rsidP="004B0958">
            <w:pPr>
              <w:textAlignment w:val="baseline"/>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Non-commercial entities</w:t>
            </w:r>
          </w:p>
        </w:tc>
        <w:tc>
          <w:tcPr>
            <w:tcW w:w="2454" w:type="dxa"/>
          </w:tcPr>
          <w:p w14:paraId="3A62F255" w14:textId="5847CF5F" w:rsidR="005C7D67" w:rsidRPr="00532C20" w:rsidRDefault="00B919E4" w:rsidP="00BF79CB">
            <w:pPr>
              <w:jc w:val="both"/>
              <w:textAlignment w:val="baseline"/>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For example,</w:t>
            </w:r>
            <w:r w:rsidR="009D06AE" w:rsidRPr="00532C20">
              <w:rPr>
                <w:rFonts w:ascii="Times New Roman" w:hAnsi="Times New Roman" w:cs="Times New Roman"/>
                <w:noProof/>
                <w:sz w:val="24"/>
                <w:szCs w:val="24"/>
                <w:lang w:val="en-IE" w:eastAsia="en-IE"/>
              </w:rPr>
              <w:t xml:space="preserve"> c</w:t>
            </w:r>
            <w:r w:rsidR="008A6332" w:rsidRPr="00532C20">
              <w:rPr>
                <w:rFonts w:ascii="Times New Roman" w:hAnsi="Times New Roman" w:cs="Times New Roman"/>
                <w:noProof/>
                <w:sz w:val="24"/>
                <w:szCs w:val="24"/>
                <w:lang w:val="en-IE" w:eastAsia="en-IE"/>
              </w:rPr>
              <w:t xml:space="preserve">ivil society organisations, </w:t>
            </w:r>
            <w:r w:rsidR="00F142CB" w:rsidRPr="00532C20">
              <w:rPr>
                <w:rFonts w:ascii="Times New Roman" w:hAnsi="Times New Roman" w:cs="Times New Roman"/>
                <w:noProof/>
                <w:sz w:val="24"/>
                <w:szCs w:val="24"/>
                <w:lang w:val="en-IE" w:eastAsia="en-IE"/>
              </w:rPr>
              <w:t xml:space="preserve">trade and business associations, trade unions and professional associations, think tanks and research institutions, </w:t>
            </w:r>
            <w:r w:rsidR="00AE2521" w:rsidRPr="00532C20">
              <w:rPr>
                <w:rFonts w:ascii="Times New Roman" w:hAnsi="Times New Roman" w:cs="Times New Roman"/>
                <w:noProof/>
                <w:sz w:val="24"/>
                <w:szCs w:val="24"/>
                <w:lang w:val="en-IE" w:eastAsia="en-IE"/>
              </w:rPr>
              <w:t>academic institutions</w:t>
            </w:r>
            <w:r w:rsidR="00117E1D" w:rsidRPr="00532C20">
              <w:rPr>
                <w:rFonts w:ascii="Times New Roman" w:hAnsi="Times New Roman" w:cs="Times New Roman"/>
                <w:noProof/>
                <w:sz w:val="24"/>
                <w:szCs w:val="24"/>
                <w:lang w:val="en-IE" w:eastAsia="en-IE"/>
              </w:rPr>
              <w:t>, advocacy groups, charities, so long as they carry out interest representation activities on behalf of third countries</w:t>
            </w:r>
            <w:r w:rsidR="00117E1D" w:rsidRPr="00532C20">
              <w:rPr>
                <w:rFonts w:ascii="Times New Roman" w:hAnsi="Times New Roman" w:cs="Times New Roman"/>
                <w:noProof/>
                <w:sz w:val="24"/>
                <w:szCs w:val="24"/>
              </w:rPr>
              <w:t>.</w:t>
            </w:r>
          </w:p>
        </w:tc>
        <w:tc>
          <w:tcPr>
            <w:tcW w:w="4644" w:type="dxa"/>
            <w:vMerge/>
          </w:tcPr>
          <w:p w14:paraId="00F781EC" w14:textId="77777777" w:rsidR="005C7D67" w:rsidRPr="00532C20" w:rsidRDefault="005C7D67" w:rsidP="00BF79CB">
            <w:pPr>
              <w:jc w:val="both"/>
              <w:textAlignment w:val="baseline"/>
              <w:rPr>
                <w:rFonts w:ascii="Times New Roman" w:hAnsi="Times New Roman" w:cs="Times New Roman"/>
                <w:noProof/>
                <w:sz w:val="24"/>
                <w:szCs w:val="24"/>
                <w:lang w:val="en-IE" w:eastAsia="en-IE"/>
              </w:rPr>
            </w:pPr>
          </w:p>
        </w:tc>
      </w:tr>
      <w:tr w:rsidR="005C7D67" w:rsidRPr="00532C20" w14:paraId="5FB07C22" w14:textId="77777777" w:rsidTr="00F10980">
        <w:tc>
          <w:tcPr>
            <w:tcW w:w="1510" w:type="dxa"/>
          </w:tcPr>
          <w:p w14:paraId="57DF1398" w14:textId="7ED3F213" w:rsidR="005C7D67" w:rsidRPr="00532C20" w:rsidRDefault="0073583F" w:rsidP="004B0958">
            <w:pPr>
              <w:textAlignment w:val="baseline"/>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Member State</w:t>
            </w:r>
            <w:r w:rsidR="004E1DED" w:rsidRPr="00532C20">
              <w:rPr>
                <w:rFonts w:ascii="Times New Roman" w:hAnsi="Times New Roman" w:cs="Times New Roman"/>
                <w:noProof/>
                <w:sz w:val="24"/>
                <w:szCs w:val="24"/>
                <w:lang w:val="en-IE" w:eastAsia="en-IE"/>
              </w:rPr>
              <w:t xml:space="preserve">s </w:t>
            </w:r>
          </w:p>
        </w:tc>
        <w:tc>
          <w:tcPr>
            <w:tcW w:w="2454" w:type="dxa"/>
          </w:tcPr>
          <w:p w14:paraId="23FF8DF1" w14:textId="42D48F38" w:rsidR="005C7D67" w:rsidRPr="00532C20" w:rsidRDefault="00117E1D" w:rsidP="00BF79CB">
            <w:pPr>
              <w:jc w:val="both"/>
              <w:textAlignment w:val="baseline"/>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Member State authorities in charge of administering</w:t>
            </w:r>
            <w:r w:rsidR="00A724C4" w:rsidRPr="00532C20">
              <w:rPr>
                <w:rFonts w:ascii="Times New Roman" w:hAnsi="Times New Roman" w:cs="Times New Roman"/>
                <w:noProof/>
                <w:sz w:val="24"/>
                <w:szCs w:val="24"/>
                <w:lang w:val="en-IE" w:eastAsia="en-IE"/>
              </w:rPr>
              <w:t>, managing, supervising, enforcing or sanctioning the application of the</w:t>
            </w:r>
            <w:r w:rsidRPr="00532C20">
              <w:rPr>
                <w:rFonts w:ascii="Times New Roman" w:hAnsi="Times New Roman" w:cs="Times New Roman"/>
                <w:noProof/>
                <w:sz w:val="24"/>
                <w:szCs w:val="24"/>
                <w:lang w:val="en-IE" w:eastAsia="en-IE"/>
              </w:rPr>
              <w:t xml:space="preserve"> </w:t>
            </w:r>
            <w:r w:rsidR="002A6435" w:rsidRPr="00532C20">
              <w:rPr>
                <w:rFonts w:ascii="Times New Roman" w:hAnsi="Times New Roman" w:cs="Times New Roman"/>
                <w:noProof/>
                <w:sz w:val="24"/>
                <w:szCs w:val="24"/>
                <w:lang w:val="en-IE" w:eastAsia="en-IE"/>
              </w:rPr>
              <w:t xml:space="preserve">proposed transparency and registration requirements set forth in the </w:t>
            </w:r>
            <w:r w:rsidR="009A4F42" w:rsidRPr="00532C20">
              <w:rPr>
                <w:rFonts w:ascii="Times New Roman" w:hAnsi="Times New Roman" w:cs="Times New Roman"/>
                <w:noProof/>
                <w:sz w:val="24"/>
                <w:szCs w:val="24"/>
                <w:lang w:val="en-IE" w:eastAsia="en-IE"/>
              </w:rPr>
              <w:t>initiative</w:t>
            </w:r>
            <w:r w:rsidR="002A6435" w:rsidRPr="00532C20">
              <w:rPr>
                <w:rFonts w:ascii="Times New Roman" w:hAnsi="Times New Roman" w:cs="Times New Roman"/>
                <w:noProof/>
                <w:sz w:val="24"/>
                <w:szCs w:val="24"/>
                <w:lang w:val="en-IE" w:eastAsia="en-IE"/>
              </w:rPr>
              <w:t xml:space="preserve">. </w:t>
            </w:r>
          </w:p>
        </w:tc>
        <w:tc>
          <w:tcPr>
            <w:tcW w:w="4644" w:type="dxa"/>
          </w:tcPr>
          <w:p w14:paraId="006EA497" w14:textId="1178A395" w:rsidR="00651D6E" w:rsidRPr="00532C20" w:rsidRDefault="00651D6E" w:rsidP="00BF79CB">
            <w:pPr>
              <w:jc w:val="both"/>
              <w:textAlignment w:val="baseline"/>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 xml:space="preserve">Member States would have to establish </w:t>
            </w:r>
            <w:r w:rsidR="00B25695" w:rsidRPr="00532C20">
              <w:rPr>
                <w:rFonts w:ascii="Times New Roman" w:hAnsi="Times New Roman" w:cs="Times New Roman"/>
                <w:noProof/>
                <w:sz w:val="24"/>
                <w:szCs w:val="24"/>
                <w:lang w:val="en-IE" w:eastAsia="en-IE"/>
              </w:rPr>
              <w:t xml:space="preserve">new </w:t>
            </w:r>
            <w:r w:rsidRPr="00532C20">
              <w:rPr>
                <w:rFonts w:ascii="Times New Roman" w:hAnsi="Times New Roman" w:cs="Times New Roman"/>
                <w:noProof/>
                <w:sz w:val="24"/>
                <w:szCs w:val="24"/>
                <w:lang w:val="en-IE" w:eastAsia="en-IE"/>
              </w:rPr>
              <w:t>authoritie</w:t>
            </w:r>
            <w:r w:rsidR="00B25695" w:rsidRPr="00532C20">
              <w:rPr>
                <w:rFonts w:ascii="Times New Roman" w:hAnsi="Times New Roman" w:cs="Times New Roman"/>
                <w:noProof/>
                <w:sz w:val="24"/>
                <w:szCs w:val="24"/>
                <w:lang w:val="en-IE" w:eastAsia="en-IE"/>
              </w:rPr>
              <w:t xml:space="preserve">s or task existing authorities </w:t>
            </w:r>
            <w:r w:rsidR="00EC1683" w:rsidRPr="00532C20">
              <w:rPr>
                <w:rFonts w:ascii="Times New Roman" w:hAnsi="Times New Roman" w:cs="Times New Roman"/>
                <w:noProof/>
                <w:sz w:val="24"/>
                <w:szCs w:val="24"/>
                <w:lang w:val="en-IE" w:eastAsia="en-IE"/>
              </w:rPr>
              <w:t xml:space="preserve">to </w:t>
            </w:r>
            <w:r w:rsidR="009D673E" w:rsidRPr="00532C20">
              <w:rPr>
                <w:rFonts w:ascii="Times New Roman" w:hAnsi="Times New Roman" w:cs="Times New Roman"/>
                <w:noProof/>
                <w:sz w:val="24"/>
                <w:szCs w:val="24"/>
                <w:lang w:val="en-IE" w:eastAsia="en-IE"/>
              </w:rPr>
              <w:t>administer</w:t>
            </w:r>
            <w:r w:rsidR="00EC1683" w:rsidRPr="00532C20">
              <w:rPr>
                <w:rFonts w:ascii="Times New Roman" w:hAnsi="Times New Roman" w:cs="Times New Roman"/>
                <w:noProof/>
                <w:sz w:val="24"/>
                <w:szCs w:val="24"/>
                <w:lang w:val="en-IE" w:eastAsia="en-IE"/>
              </w:rPr>
              <w:t>, manag</w:t>
            </w:r>
            <w:r w:rsidR="009D673E" w:rsidRPr="00532C20">
              <w:rPr>
                <w:rFonts w:ascii="Times New Roman" w:hAnsi="Times New Roman" w:cs="Times New Roman"/>
                <w:noProof/>
                <w:sz w:val="24"/>
                <w:szCs w:val="24"/>
                <w:lang w:val="en-IE" w:eastAsia="en-IE"/>
              </w:rPr>
              <w:t>e</w:t>
            </w:r>
            <w:r w:rsidR="00EC1683" w:rsidRPr="00532C20">
              <w:rPr>
                <w:rFonts w:ascii="Times New Roman" w:hAnsi="Times New Roman" w:cs="Times New Roman"/>
                <w:noProof/>
                <w:sz w:val="24"/>
                <w:szCs w:val="24"/>
                <w:lang w:val="en-IE" w:eastAsia="en-IE"/>
              </w:rPr>
              <w:t>, supervis</w:t>
            </w:r>
            <w:r w:rsidR="009D673E" w:rsidRPr="00532C20">
              <w:rPr>
                <w:rFonts w:ascii="Times New Roman" w:hAnsi="Times New Roman" w:cs="Times New Roman"/>
                <w:noProof/>
                <w:sz w:val="24"/>
                <w:szCs w:val="24"/>
                <w:lang w:val="en-IE" w:eastAsia="en-IE"/>
              </w:rPr>
              <w:t>e</w:t>
            </w:r>
            <w:r w:rsidR="00EC1683" w:rsidRPr="00532C20">
              <w:rPr>
                <w:rFonts w:ascii="Times New Roman" w:hAnsi="Times New Roman" w:cs="Times New Roman"/>
                <w:noProof/>
                <w:sz w:val="24"/>
                <w:szCs w:val="24"/>
                <w:lang w:val="en-IE" w:eastAsia="en-IE"/>
              </w:rPr>
              <w:t>, enforc</w:t>
            </w:r>
            <w:r w:rsidR="009D673E" w:rsidRPr="00532C20">
              <w:rPr>
                <w:rFonts w:ascii="Times New Roman" w:hAnsi="Times New Roman" w:cs="Times New Roman"/>
                <w:noProof/>
                <w:sz w:val="24"/>
                <w:szCs w:val="24"/>
                <w:lang w:val="en-IE" w:eastAsia="en-IE"/>
              </w:rPr>
              <w:t>e</w:t>
            </w:r>
            <w:r w:rsidR="00EC1683" w:rsidRPr="00532C20">
              <w:rPr>
                <w:rFonts w:ascii="Times New Roman" w:hAnsi="Times New Roman" w:cs="Times New Roman"/>
                <w:noProof/>
                <w:sz w:val="24"/>
                <w:szCs w:val="24"/>
                <w:lang w:val="en-IE" w:eastAsia="en-IE"/>
              </w:rPr>
              <w:t xml:space="preserve"> or sanction the application of the proposed transparency and registration requirements set forth in the initiative.</w:t>
            </w:r>
          </w:p>
          <w:p w14:paraId="1EC086C0" w14:textId="77777777" w:rsidR="00651D6E" w:rsidRPr="00532C20" w:rsidRDefault="00651D6E" w:rsidP="00BF79CB">
            <w:pPr>
              <w:jc w:val="both"/>
              <w:textAlignment w:val="baseline"/>
              <w:rPr>
                <w:rFonts w:ascii="Times New Roman" w:hAnsi="Times New Roman" w:cs="Times New Roman"/>
                <w:noProof/>
                <w:sz w:val="24"/>
                <w:szCs w:val="24"/>
                <w:lang w:val="en-IE" w:eastAsia="en-IE"/>
              </w:rPr>
            </w:pPr>
          </w:p>
          <w:p w14:paraId="61508C4F" w14:textId="2DD85499" w:rsidR="005C7D67" w:rsidRPr="00532C20" w:rsidRDefault="00881D2D" w:rsidP="00BF79CB">
            <w:pPr>
              <w:jc w:val="both"/>
              <w:textAlignment w:val="baseline"/>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 xml:space="preserve">Member State authorities </w:t>
            </w:r>
            <w:r w:rsidR="00651D6E" w:rsidRPr="00532C20">
              <w:rPr>
                <w:rFonts w:ascii="Times New Roman" w:hAnsi="Times New Roman" w:cs="Times New Roman"/>
                <w:noProof/>
                <w:sz w:val="24"/>
                <w:szCs w:val="24"/>
                <w:lang w:val="en-IE" w:eastAsia="en-IE"/>
              </w:rPr>
              <w:t>would</w:t>
            </w:r>
            <w:r w:rsidRPr="00532C20">
              <w:rPr>
                <w:rFonts w:ascii="Times New Roman" w:hAnsi="Times New Roman" w:cs="Times New Roman"/>
                <w:noProof/>
                <w:sz w:val="24"/>
                <w:szCs w:val="24"/>
                <w:lang w:val="en-IE" w:eastAsia="en-IE"/>
              </w:rPr>
              <w:t xml:space="preserve"> have to </w:t>
            </w:r>
            <w:r w:rsidR="004E1DED" w:rsidRPr="00532C20">
              <w:rPr>
                <w:rFonts w:ascii="Times New Roman" w:hAnsi="Times New Roman" w:cs="Times New Roman"/>
                <w:noProof/>
                <w:sz w:val="24"/>
                <w:szCs w:val="24"/>
                <w:lang w:val="en-IE" w:eastAsia="en-IE"/>
              </w:rPr>
              <w:t xml:space="preserve">establish new or adapt existing </w:t>
            </w:r>
            <w:r w:rsidR="00B55239" w:rsidRPr="00532C20">
              <w:rPr>
                <w:rFonts w:ascii="Times New Roman" w:hAnsi="Times New Roman" w:cs="Times New Roman"/>
                <w:noProof/>
                <w:sz w:val="24"/>
                <w:szCs w:val="24"/>
                <w:lang w:val="en-IE" w:eastAsia="en-IE"/>
              </w:rPr>
              <w:t xml:space="preserve">registers on the transparency of interest representation activities. </w:t>
            </w:r>
          </w:p>
          <w:p w14:paraId="6D53540D" w14:textId="77777777" w:rsidR="00B55239" w:rsidRPr="00532C20" w:rsidRDefault="00B55239" w:rsidP="00BF79CB">
            <w:pPr>
              <w:jc w:val="both"/>
              <w:textAlignment w:val="baseline"/>
              <w:rPr>
                <w:rFonts w:ascii="Times New Roman" w:hAnsi="Times New Roman" w:cs="Times New Roman"/>
                <w:noProof/>
                <w:sz w:val="24"/>
                <w:szCs w:val="24"/>
                <w:lang w:val="en-IE" w:eastAsia="en-IE"/>
              </w:rPr>
            </w:pPr>
          </w:p>
          <w:p w14:paraId="09E2EA5D" w14:textId="40C67DD1" w:rsidR="00B55239" w:rsidRPr="00532C20" w:rsidRDefault="00B55239" w:rsidP="00BF79CB">
            <w:pPr>
              <w:jc w:val="both"/>
              <w:textAlignment w:val="baseline"/>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 xml:space="preserve">They </w:t>
            </w:r>
            <w:r w:rsidR="00651D6E" w:rsidRPr="00532C20">
              <w:rPr>
                <w:rFonts w:ascii="Times New Roman" w:hAnsi="Times New Roman" w:cs="Times New Roman"/>
                <w:noProof/>
                <w:sz w:val="24"/>
                <w:szCs w:val="24"/>
                <w:lang w:val="en-IE" w:eastAsia="en-IE"/>
              </w:rPr>
              <w:t>would</w:t>
            </w:r>
            <w:r w:rsidRPr="00532C20">
              <w:rPr>
                <w:rFonts w:ascii="Times New Roman" w:hAnsi="Times New Roman" w:cs="Times New Roman"/>
                <w:noProof/>
                <w:sz w:val="24"/>
                <w:szCs w:val="24"/>
                <w:lang w:val="en-IE" w:eastAsia="en-IE"/>
              </w:rPr>
              <w:t xml:space="preserve"> have to administer and monitor the use of these register.</w:t>
            </w:r>
          </w:p>
          <w:p w14:paraId="632E45C5" w14:textId="77777777" w:rsidR="004039ED" w:rsidRPr="00532C20" w:rsidRDefault="004039ED" w:rsidP="00BF79CB">
            <w:pPr>
              <w:jc w:val="both"/>
              <w:textAlignment w:val="baseline"/>
              <w:rPr>
                <w:rFonts w:ascii="Times New Roman" w:hAnsi="Times New Roman" w:cs="Times New Roman"/>
                <w:noProof/>
                <w:sz w:val="24"/>
                <w:szCs w:val="24"/>
                <w:lang w:val="en-IE" w:eastAsia="en-IE"/>
              </w:rPr>
            </w:pPr>
          </w:p>
          <w:p w14:paraId="0913183C" w14:textId="653FE71B" w:rsidR="004039ED" w:rsidRPr="00532C20" w:rsidRDefault="004039ED" w:rsidP="00BF79CB">
            <w:pPr>
              <w:jc w:val="both"/>
              <w:textAlignment w:val="baseline"/>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 xml:space="preserve">They </w:t>
            </w:r>
            <w:r w:rsidR="00651D6E" w:rsidRPr="00532C20">
              <w:rPr>
                <w:rFonts w:ascii="Times New Roman" w:hAnsi="Times New Roman" w:cs="Times New Roman"/>
                <w:noProof/>
                <w:sz w:val="24"/>
                <w:szCs w:val="24"/>
                <w:lang w:val="en-IE" w:eastAsia="en-IE"/>
              </w:rPr>
              <w:t>would</w:t>
            </w:r>
            <w:r w:rsidRPr="00532C20">
              <w:rPr>
                <w:rFonts w:ascii="Times New Roman" w:hAnsi="Times New Roman" w:cs="Times New Roman"/>
                <w:noProof/>
                <w:sz w:val="24"/>
                <w:szCs w:val="24"/>
                <w:lang w:val="en-IE" w:eastAsia="en-IE"/>
              </w:rPr>
              <w:t xml:space="preserve"> have to participate in a governance mechanism at EU level</w:t>
            </w:r>
            <w:r w:rsidR="00E00FA6" w:rsidRPr="00532C20">
              <w:rPr>
                <w:rFonts w:ascii="Times New Roman" w:hAnsi="Times New Roman" w:cs="Times New Roman"/>
                <w:noProof/>
                <w:sz w:val="24"/>
                <w:szCs w:val="24"/>
                <w:lang w:val="en-IE" w:eastAsia="en-IE"/>
              </w:rPr>
              <w:t>,</w:t>
            </w:r>
            <w:r w:rsidRPr="00532C20">
              <w:rPr>
                <w:rFonts w:ascii="Times New Roman" w:hAnsi="Times New Roman" w:cs="Times New Roman"/>
                <w:noProof/>
                <w:sz w:val="24"/>
                <w:szCs w:val="24"/>
                <w:lang w:val="en-IE" w:eastAsia="en-IE"/>
              </w:rPr>
              <w:t xml:space="preserve"> and exchange information with other Member States authorities</w:t>
            </w:r>
            <w:r w:rsidR="00C40475" w:rsidRPr="00532C20">
              <w:rPr>
                <w:rFonts w:ascii="Times New Roman" w:hAnsi="Times New Roman" w:cs="Times New Roman"/>
                <w:noProof/>
                <w:sz w:val="24"/>
                <w:szCs w:val="24"/>
                <w:lang w:val="en-IE" w:eastAsia="en-IE"/>
              </w:rPr>
              <w:t xml:space="preserve"> </w:t>
            </w:r>
            <w:r w:rsidR="00E00FA6" w:rsidRPr="00532C20">
              <w:rPr>
                <w:rFonts w:ascii="Times New Roman" w:hAnsi="Times New Roman" w:cs="Times New Roman"/>
                <w:noProof/>
                <w:sz w:val="24"/>
                <w:szCs w:val="24"/>
                <w:lang w:val="en-IE" w:eastAsia="en-IE"/>
              </w:rPr>
              <w:t>in</w:t>
            </w:r>
            <w:r w:rsidR="00C40475" w:rsidRPr="00532C20">
              <w:rPr>
                <w:rFonts w:ascii="Times New Roman" w:hAnsi="Times New Roman" w:cs="Times New Roman"/>
                <w:noProof/>
                <w:sz w:val="24"/>
                <w:szCs w:val="24"/>
                <w:lang w:val="en-IE" w:eastAsia="en-IE"/>
              </w:rPr>
              <w:t xml:space="preserve"> the </w:t>
            </w:r>
            <w:r w:rsidR="00E00FA6" w:rsidRPr="00532C20">
              <w:rPr>
                <w:rFonts w:ascii="Times New Roman" w:hAnsi="Times New Roman" w:cs="Times New Roman"/>
                <w:noProof/>
                <w:sz w:val="24"/>
                <w:szCs w:val="24"/>
                <w:lang w:val="en-IE" w:eastAsia="en-IE"/>
              </w:rPr>
              <w:t>context of the administrative cooperation needed to supervise</w:t>
            </w:r>
            <w:r w:rsidR="00C40475" w:rsidRPr="00532C20">
              <w:rPr>
                <w:rFonts w:ascii="Times New Roman" w:hAnsi="Times New Roman" w:cs="Times New Roman"/>
                <w:noProof/>
                <w:sz w:val="24"/>
                <w:szCs w:val="24"/>
                <w:lang w:val="en-IE" w:eastAsia="en-IE"/>
              </w:rPr>
              <w:t xml:space="preserve"> and </w:t>
            </w:r>
            <w:r w:rsidR="00E00FA6" w:rsidRPr="00532C20">
              <w:rPr>
                <w:rFonts w:ascii="Times New Roman" w:hAnsi="Times New Roman" w:cs="Times New Roman"/>
                <w:noProof/>
                <w:sz w:val="24"/>
                <w:szCs w:val="24"/>
                <w:lang w:val="en-IE" w:eastAsia="en-IE"/>
              </w:rPr>
              <w:t xml:space="preserve">enforce the requirements </w:t>
            </w:r>
            <w:r w:rsidR="005C49B7" w:rsidRPr="00532C20">
              <w:rPr>
                <w:rFonts w:ascii="Times New Roman" w:hAnsi="Times New Roman" w:cs="Times New Roman"/>
                <w:noProof/>
                <w:sz w:val="24"/>
                <w:szCs w:val="24"/>
                <w:lang w:val="en-IE" w:eastAsia="en-IE"/>
              </w:rPr>
              <w:t xml:space="preserve">set forth in the initiative. </w:t>
            </w:r>
            <w:r w:rsidR="00C40475" w:rsidRPr="00532C20">
              <w:rPr>
                <w:rFonts w:ascii="Times New Roman" w:hAnsi="Times New Roman" w:cs="Times New Roman"/>
                <w:noProof/>
                <w:sz w:val="24"/>
                <w:szCs w:val="24"/>
                <w:lang w:val="en-IE" w:eastAsia="en-IE"/>
              </w:rPr>
              <w:t xml:space="preserve"> </w:t>
            </w:r>
          </w:p>
          <w:p w14:paraId="5EBFD4D9" w14:textId="77777777" w:rsidR="00B55239" w:rsidRPr="00532C20" w:rsidRDefault="00B55239" w:rsidP="00BF79CB">
            <w:pPr>
              <w:jc w:val="both"/>
              <w:textAlignment w:val="baseline"/>
              <w:rPr>
                <w:rFonts w:ascii="Times New Roman" w:hAnsi="Times New Roman" w:cs="Times New Roman"/>
                <w:noProof/>
                <w:sz w:val="24"/>
                <w:szCs w:val="24"/>
                <w:lang w:val="en-IE" w:eastAsia="en-IE"/>
              </w:rPr>
            </w:pPr>
          </w:p>
          <w:p w14:paraId="1DF51EEF" w14:textId="475D5E62" w:rsidR="005C7D67" w:rsidRPr="00532C20" w:rsidRDefault="00B55239" w:rsidP="00BF79CB">
            <w:pPr>
              <w:jc w:val="both"/>
              <w:textAlignment w:val="baseline"/>
              <w:rPr>
                <w:rFonts w:ascii="Times New Roman" w:hAnsi="Times New Roman" w:cs="Times New Roman"/>
                <w:noProof/>
                <w:sz w:val="24"/>
                <w:szCs w:val="24"/>
                <w:lang w:val="en-IE" w:eastAsia="en-IE"/>
              </w:rPr>
            </w:pPr>
            <w:r w:rsidRPr="00532C20">
              <w:rPr>
                <w:rFonts w:ascii="Times New Roman" w:hAnsi="Times New Roman" w:cs="Times New Roman"/>
                <w:noProof/>
                <w:sz w:val="24"/>
                <w:szCs w:val="24"/>
                <w:lang w:val="en-IE" w:eastAsia="en-IE"/>
              </w:rPr>
              <w:t xml:space="preserve">They </w:t>
            </w:r>
            <w:r w:rsidR="00651D6E" w:rsidRPr="00532C20">
              <w:rPr>
                <w:rFonts w:ascii="Times New Roman" w:hAnsi="Times New Roman" w:cs="Times New Roman"/>
                <w:noProof/>
                <w:sz w:val="24"/>
                <w:szCs w:val="24"/>
                <w:lang w:val="en-IE" w:eastAsia="en-IE"/>
              </w:rPr>
              <w:t>would</w:t>
            </w:r>
            <w:r w:rsidRPr="00532C20">
              <w:rPr>
                <w:rFonts w:ascii="Times New Roman" w:hAnsi="Times New Roman" w:cs="Times New Roman"/>
                <w:noProof/>
                <w:sz w:val="24"/>
                <w:szCs w:val="24"/>
                <w:lang w:val="en-IE" w:eastAsia="en-IE"/>
              </w:rPr>
              <w:t xml:space="preserve"> have to enforce and adopt sanctions against entities which would not respect t</w:t>
            </w:r>
            <w:r w:rsidR="006254B0" w:rsidRPr="00532C20">
              <w:rPr>
                <w:rFonts w:ascii="Times New Roman" w:hAnsi="Times New Roman" w:cs="Times New Roman"/>
                <w:noProof/>
                <w:sz w:val="24"/>
                <w:szCs w:val="24"/>
                <w:lang w:val="en-IE" w:eastAsia="en-IE"/>
              </w:rPr>
              <w:t xml:space="preserve">he requirements set forth in the initiative. </w:t>
            </w:r>
          </w:p>
        </w:tc>
      </w:tr>
    </w:tbl>
    <w:p w14:paraId="16EFE3C8" w14:textId="77777777" w:rsidR="00F02A38" w:rsidRPr="00532C20" w:rsidRDefault="00F02A38" w:rsidP="00F02A38">
      <w:pPr>
        <w:rPr>
          <w:noProof/>
        </w:rPr>
      </w:pPr>
    </w:p>
    <w:p w14:paraId="29E3E1D2" w14:textId="1E176F60" w:rsidR="001D4AEC" w:rsidRPr="00532C20" w:rsidRDefault="001D4AEC" w:rsidP="002B0B48">
      <w:pPr>
        <w:pStyle w:val="ListParagraph"/>
        <w:numPr>
          <w:ilvl w:val="0"/>
          <w:numId w:val="75"/>
        </w:numPr>
        <w:rPr>
          <w:rFonts w:ascii="Times New Roman" w:hAnsi="Times New Roman" w:cs="Times New Roman"/>
          <w:b/>
          <w:bCs/>
          <w:noProof/>
          <w:u w:val="single"/>
          <w:lang w:val="en-IE" w:eastAsia="en-IE"/>
        </w:rPr>
      </w:pPr>
      <w:r w:rsidRPr="00532C20">
        <w:rPr>
          <w:rFonts w:ascii="Times New Roman" w:hAnsi="Times New Roman" w:cs="Times New Roman"/>
          <w:b/>
          <w:bCs/>
          <w:noProof/>
          <w:u w:val="single"/>
          <w:lang w:val="en-IE" w:eastAsia="en-IE"/>
        </w:rPr>
        <w:t>Who is affected?</w:t>
      </w:r>
    </w:p>
    <w:p w14:paraId="5D9DAB93" w14:textId="77777777" w:rsidR="00F02A38" w:rsidRPr="00532C20" w:rsidRDefault="00F02A38" w:rsidP="00F02A38">
      <w:pPr>
        <w:pStyle w:val="ListParagraph"/>
        <w:ind w:left="360"/>
        <w:rPr>
          <w:rFonts w:ascii="Times New Roman" w:hAnsi="Times New Roman" w:cs="Times New Roman"/>
          <w:noProof/>
          <w:lang w:val="en-IE" w:eastAsia="en-IE"/>
        </w:rPr>
      </w:pPr>
    </w:p>
    <w:p w14:paraId="55D5C707" w14:textId="48C86F2D" w:rsidR="00683397" w:rsidRPr="00532C20" w:rsidRDefault="00683397" w:rsidP="004B0958">
      <w:pPr>
        <w:spacing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Th</w:t>
      </w:r>
      <w:r w:rsidR="00A65B1E" w:rsidRPr="00532C20">
        <w:rPr>
          <w:rFonts w:ascii="Times New Roman" w:eastAsia="Times" w:hAnsi="Times New Roman" w:cs="Times New Roman"/>
          <w:noProof/>
          <w:sz w:val="24"/>
          <w:szCs w:val="24"/>
          <w:lang w:val="en-IE" w:eastAsia="en-IE"/>
        </w:rPr>
        <w:t>is</w:t>
      </w:r>
      <w:r w:rsidRPr="00532C20">
        <w:rPr>
          <w:rFonts w:ascii="Times New Roman" w:eastAsia="Times" w:hAnsi="Times New Roman" w:cs="Times New Roman"/>
          <w:noProof/>
          <w:sz w:val="24"/>
          <w:szCs w:val="24"/>
          <w:lang w:val="en-IE" w:eastAsia="en-IE"/>
        </w:rPr>
        <w:t xml:space="preserve"> section presents an estimated size of the </w:t>
      </w:r>
      <w:r w:rsidR="002E490B">
        <w:rPr>
          <w:rFonts w:ascii="Times New Roman" w:eastAsia="Times" w:hAnsi="Times New Roman" w:cs="Times New Roman"/>
          <w:noProof/>
          <w:sz w:val="24"/>
          <w:szCs w:val="24"/>
          <w:lang w:val="en-IE" w:eastAsia="en-IE"/>
        </w:rPr>
        <w:t>internal</w:t>
      </w:r>
      <w:r w:rsidR="002E490B" w:rsidRPr="00532C20">
        <w:rPr>
          <w:rFonts w:ascii="Times New Roman" w:eastAsia="Times" w:hAnsi="Times New Roman" w:cs="Times New Roman"/>
          <w:noProof/>
          <w:sz w:val="24"/>
          <w:szCs w:val="24"/>
          <w:lang w:val="en-IE" w:eastAsia="en-IE"/>
        </w:rPr>
        <w:t xml:space="preserve"> </w:t>
      </w:r>
      <w:r w:rsidRPr="00532C20">
        <w:rPr>
          <w:rFonts w:ascii="Times New Roman" w:eastAsia="Times" w:hAnsi="Times New Roman" w:cs="Times New Roman"/>
          <w:noProof/>
          <w:sz w:val="24"/>
          <w:szCs w:val="24"/>
          <w:lang w:val="en-IE" w:eastAsia="en-IE"/>
        </w:rPr>
        <w:t xml:space="preserve">market for interest representation activities carried out on behalf of third countries </w:t>
      </w:r>
      <w:r w:rsidR="004350D8" w:rsidRPr="00532C20">
        <w:rPr>
          <w:rFonts w:ascii="Times New Roman" w:eastAsia="Times" w:hAnsi="Times New Roman" w:cs="Times New Roman"/>
          <w:noProof/>
          <w:sz w:val="24"/>
          <w:szCs w:val="24"/>
          <w:lang w:val="en-IE" w:eastAsia="en-IE"/>
        </w:rPr>
        <w:t>and entities</w:t>
      </w:r>
      <w:r w:rsidRPr="00532C20">
        <w:rPr>
          <w:rFonts w:ascii="Times New Roman" w:eastAsia="Times" w:hAnsi="Times New Roman" w:cs="Times New Roman"/>
          <w:noProof/>
          <w:sz w:val="24"/>
          <w:szCs w:val="24"/>
          <w:lang w:val="en-IE" w:eastAsia="en-IE"/>
        </w:rPr>
        <w:t xml:space="preserve"> affected by the </w:t>
      </w:r>
      <w:r w:rsidR="00A65B1E" w:rsidRPr="00532C20">
        <w:rPr>
          <w:rFonts w:ascii="Times New Roman" w:eastAsia="Times" w:hAnsi="Times New Roman" w:cs="Times New Roman"/>
          <w:noProof/>
          <w:sz w:val="24"/>
          <w:szCs w:val="24"/>
          <w:lang w:val="en-IE" w:eastAsia="en-IE"/>
        </w:rPr>
        <w:t>preferred p</w:t>
      </w:r>
      <w:r w:rsidRPr="00532C20">
        <w:rPr>
          <w:rFonts w:ascii="Times New Roman" w:eastAsia="Times" w:hAnsi="Times New Roman" w:cs="Times New Roman"/>
          <w:noProof/>
          <w:sz w:val="24"/>
          <w:szCs w:val="24"/>
          <w:lang w:val="en-IE" w:eastAsia="en-IE"/>
        </w:rPr>
        <w:t xml:space="preserve">olicy </w:t>
      </w:r>
      <w:r w:rsidR="00A65B1E" w:rsidRPr="00532C20">
        <w:rPr>
          <w:rFonts w:ascii="Times New Roman" w:eastAsia="Times" w:hAnsi="Times New Roman" w:cs="Times New Roman"/>
          <w:noProof/>
          <w:sz w:val="24"/>
          <w:szCs w:val="24"/>
          <w:lang w:val="en-IE" w:eastAsia="en-IE"/>
        </w:rPr>
        <w:t>o</w:t>
      </w:r>
      <w:r w:rsidRPr="00532C20">
        <w:rPr>
          <w:rFonts w:ascii="Times New Roman" w:eastAsia="Times" w:hAnsi="Times New Roman" w:cs="Times New Roman"/>
          <w:noProof/>
          <w:sz w:val="24"/>
          <w:szCs w:val="24"/>
          <w:lang w:val="en-IE" w:eastAsia="en-IE"/>
        </w:rPr>
        <w:t xml:space="preserve">ption. </w:t>
      </w:r>
      <w:bookmarkStart w:id="1157" w:name="_Hlk147836899"/>
      <w:r w:rsidR="00E5236D" w:rsidRPr="00532C20">
        <w:rPr>
          <w:rFonts w:ascii="Times New Roman" w:eastAsia="Times" w:hAnsi="Times New Roman" w:cs="Times New Roman"/>
          <w:noProof/>
          <w:sz w:val="24"/>
          <w:szCs w:val="24"/>
          <w:lang w:val="en-IE" w:eastAsia="en-IE"/>
        </w:rPr>
        <w:t>Information on the methodology used for this estimation is provided in</w:t>
      </w:r>
      <w:bookmarkEnd w:id="1157"/>
      <w:r w:rsidR="00E5236D" w:rsidRPr="00532C20">
        <w:rPr>
          <w:rFonts w:ascii="Times New Roman" w:eastAsia="Times" w:hAnsi="Times New Roman" w:cs="Times New Roman"/>
          <w:noProof/>
          <w:sz w:val="24"/>
          <w:szCs w:val="24"/>
          <w:lang w:val="en-IE" w:eastAsia="en-IE"/>
        </w:rPr>
        <w:t xml:space="preserve"> </w:t>
      </w:r>
      <w:r w:rsidR="00211258" w:rsidRPr="00532C20">
        <w:rPr>
          <w:rFonts w:ascii="Times New Roman" w:eastAsia="Times" w:hAnsi="Times New Roman" w:cs="Times New Roman"/>
          <w:noProof/>
          <w:sz w:val="24"/>
          <w:szCs w:val="24"/>
          <w:lang w:val="en-IE" w:eastAsia="en-IE"/>
        </w:rPr>
        <w:t xml:space="preserve">Annex 4. </w:t>
      </w:r>
    </w:p>
    <w:p w14:paraId="2428A828" w14:textId="4064F71E" w:rsidR="00FD3962" w:rsidRPr="00532C20" w:rsidRDefault="00C3601D" w:rsidP="004B0958">
      <w:pPr>
        <w:spacing w:line="240" w:lineRule="auto"/>
        <w:jc w:val="both"/>
        <w:textAlignment w:val="baseline"/>
        <w:rPr>
          <w:rFonts w:ascii="Times New Roman" w:eastAsia="Times" w:hAnsi="Times New Roman" w:cs="Times New Roman"/>
          <w:b/>
          <w:noProof/>
          <w:color w:val="0C4DA2"/>
          <w:sz w:val="24"/>
          <w:szCs w:val="24"/>
          <w:lang w:val="en-IE" w:eastAsia="en-IE"/>
        </w:rPr>
      </w:pPr>
      <w:r w:rsidRPr="00532C20">
        <w:rPr>
          <w:rFonts w:ascii="Times New Roman" w:eastAsia="Times" w:hAnsi="Times New Roman" w:cs="Times New Roman"/>
          <w:b/>
          <w:noProof/>
          <w:sz w:val="24"/>
          <w:szCs w:val="24"/>
          <w:lang w:val="en-IE" w:eastAsia="en-IE"/>
        </w:rPr>
        <w:t xml:space="preserve">Estimates of the number of </w:t>
      </w:r>
      <w:r w:rsidR="00E30D78" w:rsidRPr="00532C20">
        <w:rPr>
          <w:rFonts w:ascii="Times New Roman" w:eastAsia="Times" w:hAnsi="Times New Roman" w:cs="Times New Roman"/>
          <w:b/>
          <w:noProof/>
          <w:sz w:val="24"/>
          <w:szCs w:val="24"/>
          <w:lang w:val="en-IE"/>
        </w:rPr>
        <w:t xml:space="preserve">entities carrying out </w:t>
      </w:r>
      <w:r w:rsidRPr="00532C20">
        <w:rPr>
          <w:rFonts w:ascii="Times New Roman" w:eastAsia="Times" w:hAnsi="Times New Roman" w:cs="Times New Roman"/>
          <w:b/>
          <w:noProof/>
          <w:sz w:val="24"/>
          <w:szCs w:val="24"/>
          <w:lang w:val="en-IE" w:eastAsia="en-IE"/>
        </w:rPr>
        <w:t xml:space="preserve">interest representation </w:t>
      </w:r>
      <w:r w:rsidR="00E30D78" w:rsidRPr="00532C20">
        <w:rPr>
          <w:rFonts w:ascii="Times New Roman" w:eastAsia="Times" w:hAnsi="Times New Roman" w:cs="Times New Roman"/>
          <w:b/>
          <w:noProof/>
          <w:sz w:val="24"/>
          <w:szCs w:val="24"/>
          <w:lang w:val="en-IE"/>
        </w:rPr>
        <w:t>activities on behalf of</w:t>
      </w:r>
      <w:r w:rsidRPr="00532C20">
        <w:rPr>
          <w:rFonts w:ascii="Times New Roman" w:eastAsia="Times" w:hAnsi="Times New Roman" w:cs="Times New Roman"/>
          <w:b/>
          <w:noProof/>
          <w:sz w:val="24"/>
          <w:szCs w:val="24"/>
          <w:lang w:val="en-IE" w:eastAsia="en-IE"/>
        </w:rPr>
        <w:t xml:space="preserve"> </w:t>
      </w:r>
      <w:r w:rsidR="0086625F" w:rsidRPr="00532C20">
        <w:rPr>
          <w:rFonts w:ascii="Times New Roman" w:eastAsia="Times" w:hAnsi="Times New Roman" w:cs="Times New Roman"/>
          <w:b/>
          <w:noProof/>
          <w:sz w:val="24"/>
          <w:szCs w:val="24"/>
          <w:lang w:val="en-IE" w:eastAsia="en-IE"/>
        </w:rPr>
        <w:t>third countries</w:t>
      </w:r>
      <w:r w:rsidRPr="00532C20">
        <w:rPr>
          <w:rFonts w:ascii="Times New Roman" w:eastAsia="Times" w:hAnsi="Times New Roman" w:cs="Times New Roman"/>
          <w:b/>
          <w:noProof/>
          <w:sz w:val="24"/>
          <w:szCs w:val="24"/>
          <w:lang w:val="en-IE" w:eastAsia="en-IE"/>
        </w:rPr>
        <w:t xml:space="preserve"> by scenario, EU-27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695"/>
        <w:gridCol w:w="1830"/>
        <w:gridCol w:w="2115"/>
        <w:gridCol w:w="1950"/>
      </w:tblGrid>
      <w:tr w:rsidR="00FD3962" w:rsidRPr="00532C20" w14:paraId="73EFF924" w14:textId="77777777" w:rsidTr="00FD3962">
        <w:trPr>
          <w:trHeight w:val="15"/>
        </w:trPr>
        <w:tc>
          <w:tcPr>
            <w:tcW w:w="1410" w:type="dxa"/>
            <w:vMerge w:val="restart"/>
            <w:tcBorders>
              <w:top w:val="single" w:sz="6" w:space="0" w:color="FFFFFF"/>
              <w:left w:val="single" w:sz="6" w:space="0" w:color="FFFFFF"/>
              <w:bottom w:val="single" w:sz="6" w:space="0" w:color="FFFFFF"/>
              <w:right w:val="single" w:sz="6" w:space="0" w:color="FFFFFF"/>
            </w:tcBorders>
            <w:shd w:val="clear" w:color="auto" w:fill="002060"/>
            <w:hideMark/>
          </w:tcPr>
          <w:p w14:paraId="46C7D5E1" w14:textId="77777777" w:rsidR="00FD3962" w:rsidRPr="00532C20" w:rsidRDefault="00FD3962" w:rsidP="004B0958">
            <w:pPr>
              <w:spacing w:after="0" w:line="240" w:lineRule="auto"/>
              <w:jc w:val="both"/>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color w:val="FFFFFF"/>
                <w:sz w:val="24"/>
                <w:szCs w:val="24"/>
                <w:lang w:val="en-IE" w:eastAsia="en-IE"/>
              </w:rPr>
              <w:t>Country</w:t>
            </w:r>
            <w:r w:rsidRPr="00532C20">
              <w:rPr>
                <w:rFonts w:ascii="Times New Roman" w:eastAsia="Times" w:hAnsi="Times New Roman" w:cs="Times New Roman"/>
                <w:noProof/>
                <w:color w:val="FFFFFF"/>
                <w:sz w:val="24"/>
                <w:szCs w:val="24"/>
                <w:lang w:val="en-IE" w:eastAsia="en-IE"/>
              </w:rPr>
              <w:t> </w:t>
            </w:r>
          </w:p>
        </w:tc>
        <w:tc>
          <w:tcPr>
            <w:tcW w:w="1695" w:type="dxa"/>
            <w:vMerge w:val="restart"/>
            <w:tcBorders>
              <w:top w:val="single" w:sz="6" w:space="0" w:color="FFFFFF"/>
              <w:left w:val="single" w:sz="6" w:space="0" w:color="FFFFFF"/>
              <w:bottom w:val="single" w:sz="6" w:space="0" w:color="FFFFFF"/>
              <w:right w:val="single" w:sz="6" w:space="0" w:color="FFFFFF"/>
            </w:tcBorders>
            <w:shd w:val="clear" w:color="auto" w:fill="002060"/>
            <w:hideMark/>
          </w:tcPr>
          <w:p w14:paraId="7B650049" w14:textId="1899909A" w:rsidR="00FD3962" w:rsidRPr="00532C20" w:rsidRDefault="00FD3962" w:rsidP="004B0958">
            <w:pPr>
              <w:spacing w:after="0" w:line="240" w:lineRule="auto"/>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color w:val="FFFFFF"/>
                <w:sz w:val="24"/>
                <w:szCs w:val="24"/>
                <w:lang w:val="en-IE" w:eastAsia="en-IE"/>
              </w:rPr>
              <w:t xml:space="preserve">Total </w:t>
            </w:r>
            <w:r w:rsidR="00E30D78" w:rsidRPr="00532C20">
              <w:rPr>
                <w:rFonts w:ascii="Times New Roman" w:eastAsia="Times" w:hAnsi="Times New Roman" w:cs="Times New Roman"/>
                <w:b/>
                <w:noProof/>
                <w:color w:val="FFFFFF"/>
                <w:sz w:val="24"/>
                <w:szCs w:val="24"/>
                <w:lang w:val="en-IE" w:eastAsia="en-IE"/>
              </w:rPr>
              <w:t>entities carrying out interest representation activities on behalf of third countries</w:t>
            </w:r>
          </w:p>
        </w:tc>
        <w:tc>
          <w:tcPr>
            <w:tcW w:w="5895" w:type="dxa"/>
            <w:gridSpan w:val="3"/>
            <w:tcBorders>
              <w:top w:val="single" w:sz="6" w:space="0" w:color="FFFFFF"/>
              <w:left w:val="single" w:sz="6" w:space="0" w:color="FFFFFF"/>
              <w:bottom w:val="single" w:sz="6" w:space="0" w:color="FFFFFF"/>
              <w:right w:val="single" w:sz="6" w:space="0" w:color="FFFFFF"/>
            </w:tcBorders>
            <w:shd w:val="clear" w:color="auto" w:fill="002060"/>
            <w:hideMark/>
          </w:tcPr>
          <w:p w14:paraId="6CC8F1C5" w14:textId="767EB189" w:rsidR="00FD3962" w:rsidRPr="00532C20" w:rsidRDefault="00E30D78" w:rsidP="004B0958">
            <w:pPr>
              <w:spacing w:after="0" w:line="240" w:lineRule="auto"/>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color w:val="FFFFFF"/>
                <w:sz w:val="24"/>
                <w:szCs w:val="24"/>
                <w:lang w:val="en-IE" w:eastAsia="en-IE"/>
              </w:rPr>
              <w:t>Entities carrying out interest</w:t>
            </w:r>
            <w:r w:rsidR="00FD3962" w:rsidRPr="00532C20">
              <w:rPr>
                <w:rFonts w:ascii="Times New Roman" w:eastAsia="Times" w:hAnsi="Times New Roman" w:cs="Times New Roman"/>
                <w:b/>
                <w:noProof/>
                <w:color w:val="FFFFFF"/>
                <w:sz w:val="24"/>
                <w:szCs w:val="24"/>
                <w:lang w:val="en-IE" w:eastAsia="en-IE"/>
              </w:rPr>
              <w:t xml:space="preserve"> representation </w:t>
            </w:r>
            <w:r w:rsidRPr="00532C20">
              <w:rPr>
                <w:rFonts w:ascii="Times New Roman" w:eastAsia="Times" w:hAnsi="Times New Roman" w:cs="Times New Roman"/>
                <w:b/>
                <w:noProof/>
                <w:color w:val="FFFFFF"/>
                <w:sz w:val="24"/>
                <w:szCs w:val="24"/>
                <w:lang w:val="en-IE" w:eastAsia="en-IE"/>
              </w:rPr>
              <w:t>activities on behalf of</w:t>
            </w:r>
            <w:r w:rsidR="00FD3962" w:rsidRPr="00532C20">
              <w:rPr>
                <w:rFonts w:ascii="Times New Roman" w:eastAsia="Times" w:hAnsi="Times New Roman" w:cs="Times New Roman"/>
                <w:b/>
                <w:noProof/>
                <w:color w:val="FFFFFF"/>
                <w:sz w:val="24"/>
                <w:szCs w:val="24"/>
                <w:lang w:val="en-IE" w:eastAsia="en-IE"/>
              </w:rPr>
              <w:t xml:space="preserve"> </w:t>
            </w:r>
            <w:r w:rsidR="0086625F" w:rsidRPr="00532C20">
              <w:rPr>
                <w:rFonts w:ascii="Times New Roman" w:eastAsia="Times" w:hAnsi="Times New Roman" w:cs="Times New Roman"/>
                <w:b/>
                <w:noProof/>
                <w:color w:val="FFFFFF"/>
                <w:sz w:val="24"/>
                <w:szCs w:val="24"/>
                <w:lang w:val="en-IE" w:eastAsia="en-IE"/>
              </w:rPr>
              <w:t>third countries</w:t>
            </w:r>
            <w:r w:rsidR="00FD3962" w:rsidRPr="00532C20">
              <w:rPr>
                <w:rFonts w:ascii="Times New Roman" w:eastAsia="Times" w:hAnsi="Times New Roman" w:cs="Times New Roman"/>
                <w:b/>
                <w:noProof/>
                <w:color w:val="FFFFFF"/>
                <w:sz w:val="24"/>
                <w:szCs w:val="24"/>
                <w:lang w:val="en-IE" w:eastAsia="en-IE"/>
              </w:rPr>
              <w:t xml:space="preserve"> – estimates by scenario</w:t>
            </w:r>
            <w:r w:rsidR="00FD3962" w:rsidRPr="00532C20">
              <w:rPr>
                <w:rFonts w:ascii="Times New Roman" w:eastAsia="Times" w:hAnsi="Times New Roman" w:cs="Times New Roman"/>
                <w:noProof/>
                <w:color w:val="FFFFFF"/>
                <w:sz w:val="24"/>
                <w:szCs w:val="24"/>
                <w:lang w:val="en-IE" w:eastAsia="en-IE"/>
              </w:rPr>
              <w:t> </w:t>
            </w:r>
          </w:p>
        </w:tc>
      </w:tr>
      <w:tr w:rsidR="00FD3962" w:rsidRPr="00532C20" w14:paraId="2B2C52F0" w14:textId="77777777" w:rsidTr="00FD3962">
        <w:trPr>
          <w:trHeight w:val="15"/>
        </w:trPr>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5835CD8B" w14:textId="77777777" w:rsidR="00FD3962" w:rsidRPr="00532C20" w:rsidRDefault="00FD3962" w:rsidP="004B0958">
            <w:pPr>
              <w:spacing w:after="0" w:line="240" w:lineRule="auto"/>
              <w:jc w:val="both"/>
              <w:rPr>
                <w:rFonts w:ascii="Times New Roman" w:eastAsia="Times" w:hAnsi="Times New Roman" w:cs="Times New Roman"/>
                <w:noProof/>
                <w:color w:val="FFFFFF"/>
                <w:sz w:val="24"/>
                <w:szCs w:val="24"/>
                <w:lang w:val="en-IE" w:eastAsia="en-IE"/>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231B23E4" w14:textId="77777777" w:rsidR="00FD3962" w:rsidRPr="00532C20" w:rsidRDefault="00FD3962" w:rsidP="004B0958">
            <w:pPr>
              <w:spacing w:after="0" w:line="240" w:lineRule="auto"/>
              <w:jc w:val="both"/>
              <w:rPr>
                <w:rFonts w:ascii="Times New Roman" w:eastAsia="Times" w:hAnsi="Times New Roman" w:cs="Times New Roman"/>
                <w:noProof/>
                <w:color w:val="FFFFFF"/>
                <w:sz w:val="24"/>
                <w:szCs w:val="24"/>
                <w:lang w:val="en-IE" w:eastAsia="en-IE"/>
              </w:rPr>
            </w:pPr>
          </w:p>
        </w:tc>
        <w:tc>
          <w:tcPr>
            <w:tcW w:w="1830" w:type="dxa"/>
            <w:tcBorders>
              <w:top w:val="single" w:sz="6" w:space="0" w:color="FFFFFF"/>
              <w:left w:val="single" w:sz="6" w:space="0" w:color="FFFFFF"/>
              <w:bottom w:val="single" w:sz="6" w:space="0" w:color="FFFFFF"/>
              <w:right w:val="single" w:sz="6" w:space="0" w:color="FFFFFF"/>
            </w:tcBorders>
            <w:shd w:val="clear" w:color="auto" w:fill="0C4DA2"/>
            <w:hideMark/>
          </w:tcPr>
          <w:p w14:paraId="633CA5DC" w14:textId="77777777" w:rsidR="00FD3962" w:rsidRPr="00532C20" w:rsidRDefault="00FD3962" w:rsidP="004B0958">
            <w:pPr>
              <w:spacing w:after="0" w:line="240" w:lineRule="auto"/>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color w:val="FFFFFF"/>
                <w:sz w:val="24"/>
                <w:szCs w:val="24"/>
                <w:lang w:val="en-IE" w:eastAsia="en-IE"/>
              </w:rPr>
              <w:t>Low scenario (0.02%)</w:t>
            </w:r>
            <w:r w:rsidRPr="00532C20">
              <w:rPr>
                <w:rFonts w:ascii="Times New Roman" w:eastAsia="Times" w:hAnsi="Times New Roman" w:cs="Times New Roman"/>
                <w:noProof/>
                <w:color w:val="FFFFFF"/>
                <w:sz w:val="24"/>
                <w:szCs w:val="24"/>
                <w:lang w:val="en-IE" w:eastAsia="en-IE"/>
              </w:rPr>
              <w:t> </w:t>
            </w:r>
          </w:p>
        </w:tc>
        <w:tc>
          <w:tcPr>
            <w:tcW w:w="2115" w:type="dxa"/>
            <w:tcBorders>
              <w:top w:val="single" w:sz="6" w:space="0" w:color="FFFFFF"/>
              <w:left w:val="single" w:sz="6" w:space="0" w:color="FFFFFF"/>
              <w:bottom w:val="single" w:sz="6" w:space="0" w:color="FFFFFF"/>
              <w:right w:val="single" w:sz="6" w:space="0" w:color="FFFFFF"/>
            </w:tcBorders>
            <w:shd w:val="clear" w:color="auto" w:fill="0C4DA2"/>
            <w:hideMark/>
          </w:tcPr>
          <w:p w14:paraId="28B3E66E" w14:textId="77777777" w:rsidR="00FD3962" w:rsidRPr="00532C20" w:rsidRDefault="00FD3962" w:rsidP="004B0958">
            <w:pPr>
              <w:spacing w:after="0" w:line="240" w:lineRule="auto"/>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color w:val="FFFFFF"/>
                <w:sz w:val="24"/>
                <w:szCs w:val="24"/>
                <w:lang w:val="en-IE" w:eastAsia="en-IE"/>
              </w:rPr>
              <w:t>Middle scenario (0.025%)</w:t>
            </w:r>
            <w:r w:rsidRPr="00532C20">
              <w:rPr>
                <w:rFonts w:ascii="Times New Roman" w:eastAsia="Times" w:hAnsi="Times New Roman" w:cs="Times New Roman"/>
                <w:noProof/>
                <w:color w:val="FFFFFF"/>
                <w:sz w:val="24"/>
                <w:szCs w:val="24"/>
                <w:lang w:val="en-IE" w:eastAsia="en-IE"/>
              </w:rPr>
              <w:t> </w:t>
            </w:r>
          </w:p>
        </w:tc>
        <w:tc>
          <w:tcPr>
            <w:tcW w:w="1920" w:type="dxa"/>
            <w:tcBorders>
              <w:top w:val="single" w:sz="6" w:space="0" w:color="FFFFFF"/>
              <w:left w:val="single" w:sz="6" w:space="0" w:color="FFFFFF"/>
              <w:bottom w:val="single" w:sz="6" w:space="0" w:color="FFFFFF"/>
              <w:right w:val="single" w:sz="6" w:space="0" w:color="FFFFFF"/>
            </w:tcBorders>
            <w:shd w:val="clear" w:color="auto" w:fill="0C4DA2"/>
            <w:hideMark/>
          </w:tcPr>
          <w:p w14:paraId="189BC6F5" w14:textId="77777777" w:rsidR="00FD3962" w:rsidRPr="00532C20" w:rsidRDefault="00FD3962" w:rsidP="004B0958">
            <w:pPr>
              <w:spacing w:after="0" w:line="240" w:lineRule="auto"/>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color w:val="FFFFFF"/>
                <w:sz w:val="24"/>
                <w:szCs w:val="24"/>
                <w:lang w:val="en-IE" w:eastAsia="en-IE"/>
              </w:rPr>
              <w:t>High scenario (0.03%)</w:t>
            </w:r>
            <w:r w:rsidRPr="00532C20">
              <w:rPr>
                <w:rFonts w:ascii="Times New Roman" w:eastAsia="Times" w:hAnsi="Times New Roman" w:cs="Times New Roman"/>
                <w:noProof/>
                <w:color w:val="FFFFFF"/>
                <w:sz w:val="24"/>
                <w:szCs w:val="24"/>
                <w:lang w:val="en-IE" w:eastAsia="en-IE"/>
              </w:rPr>
              <w:t> </w:t>
            </w:r>
          </w:p>
        </w:tc>
      </w:tr>
      <w:tr w:rsidR="00FD3962" w:rsidRPr="00532C20" w14:paraId="52F310D4"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5E7681ED"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Austria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0363388B"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118,286 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107CDF00"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24  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2183C6D0"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30  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576EDBCC"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35  </w:t>
            </w:r>
          </w:p>
        </w:tc>
      </w:tr>
      <w:tr w:rsidR="00FD3962" w:rsidRPr="00532C20" w14:paraId="195D2715"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51D9682F"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Belgium</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1C7EC4BE"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117,446 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464E758E"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23  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4B009BD5"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29  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71670CA6"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35  </w:t>
            </w:r>
          </w:p>
        </w:tc>
      </w:tr>
      <w:tr w:rsidR="00FD3962" w:rsidRPr="00532C20" w14:paraId="35D927C0"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25B0FDF6"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Bulgaria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120B9C17"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14,187 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626FCA09"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75A6B77F"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17DA897C"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4  </w:t>
            </w:r>
          </w:p>
        </w:tc>
      </w:tr>
      <w:tr w:rsidR="00FD3962" w:rsidRPr="00532C20" w14:paraId="5DFEF064"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66D6B216"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Croatia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557ADED1"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28,294 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65C2D62F"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7E9FB63E"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501F5B50"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8  </w:t>
            </w:r>
          </w:p>
        </w:tc>
      </w:tr>
      <w:tr w:rsidR="00FD3962" w:rsidRPr="00532C20" w14:paraId="48E2214C"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18590E7D"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Cyprus</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2B8D82F0"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6,548 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6EE50D7F"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6443B8F2"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151B06D7"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r>
      <w:tr w:rsidR="00FD3962" w:rsidRPr="00532C20" w14:paraId="0A72E7B6"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26244D7B"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Czechia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59BD3E99"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96,049 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4C176865"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19  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390CCB5A"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24  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3AE1FB4F"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29  </w:t>
            </w:r>
          </w:p>
        </w:tc>
      </w:tr>
      <w:tr w:rsidR="00FD3962" w:rsidRPr="00532C20" w14:paraId="0FCB6DF7"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752FD4B5"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Denmark</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4700084F"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101,445 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674B8F8B"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20  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58CEC753"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25  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0FC19059"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30  </w:t>
            </w:r>
          </w:p>
        </w:tc>
      </w:tr>
      <w:tr w:rsidR="00FD3962" w:rsidRPr="00532C20" w14:paraId="60FFE702"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0A466916"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Estonia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4A3A27FD"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23,781 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341CFB30"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56DD37F4"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7FB86B78"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7  </w:t>
            </w:r>
          </w:p>
        </w:tc>
      </w:tr>
      <w:tr w:rsidR="00FD3962" w:rsidRPr="00532C20" w14:paraId="31940528"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544E20DA"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Finland</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544F1EF7"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109,465 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7A63C66A"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22  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60BFC4CB"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27  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37ED9C5A"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33  </w:t>
            </w:r>
          </w:p>
        </w:tc>
      </w:tr>
      <w:tr w:rsidR="00FD3962" w:rsidRPr="00532C20" w14:paraId="1659DD1C"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1696AEEB"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France</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2DC1299D"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1,298,857 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6666475F"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260  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7CCCF175"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325  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5D580F90"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390  </w:t>
            </w:r>
          </w:p>
        </w:tc>
      </w:tr>
      <w:tr w:rsidR="00FD3962" w:rsidRPr="00532C20" w14:paraId="786C2CB6"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10842DD4"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Germany</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39DEC966"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628,972 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32E12E6A"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126  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03BE629E"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157  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39D9ED2A"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189  </w:t>
            </w:r>
          </w:p>
        </w:tc>
      </w:tr>
      <w:tr w:rsidR="00FD3962" w:rsidRPr="00532C20" w14:paraId="1249F398"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68FC34C1"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Greece</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2E80CD05"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6,794 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1E460ACA"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0018B649"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4F15CC43"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r>
      <w:tr w:rsidR="00FD3962" w:rsidRPr="00532C20" w14:paraId="0A556EEC"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3A12D9BF"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Hungary</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003851D4"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63,907 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0BA7D28A"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13  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4044A52B"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16  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24812AD8"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19  </w:t>
            </w:r>
          </w:p>
        </w:tc>
      </w:tr>
      <w:tr w:rsidR="00FD3962" w:rsidRPr="00532C20" w14:paraId="0C45127D"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0A8D0E08"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Ireland</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60600885"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33,823 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5F33B852"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5E33121B"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684A7A5C"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10  </w:t>
            </w:r>
          </w:p>
        </w:tc>
      </w:tr>
      <w:tr w:rsidR="00FD3962" w:rsidRPr="00532C20" w14:paraId="37412807"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50E2EA93"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Italy</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2C4DE6D7"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369,791 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439D8CFD"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74  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0E36994F"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92  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5FA4258B"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111  </w:t>
            </w:r>
          </w:p>
        </w:tc>
      </w:tr>
      <w:tr w:rsidR="00FD3962" w:rsidRPr="00532C20" w14:paraId="0FBA0990"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59A968E9"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Latvia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532AA0B7"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11,905 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25645FCD"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16BC14B7"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487370C5"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4  </w:t>
            </w:r>
          </w:p>
        </w:tc>
      </w:tr>
      <w:tr w:rsidR="00FD3962" w:rsidRPr="00532C20" w14:paraId="33CB3773"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6F0DA48A"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Lithuania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796E2A0E"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14,813 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125058E5"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2F6EFBC5"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4FBD7F58"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4  </w:t>
            </w:r>
          </w:p>
        </w:tc>
      </w:tr>
      <w:tr w:rsidR="00FD3962" w:rsidRPr="00532C20" w14:paraId="50202E65"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161B0082"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Luxembourg</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24EF4AE1"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8,695 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0B185071"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3ED2A317"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31C7915B"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3  </w:t>
            </w:r>
          </w:p>
        </w:tc>
      </w:tr>
      <w:tr w:rsidR="00FD3962" w:rsidRPr="00532C20" w14:paraId="09A9592E"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7DA0A677"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Malta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171F11E7"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2,928 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1DFE8956"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48E7677B"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7079BF35"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1  </w:t>
            </w:r>
          </w:p>
        </w:tc>
      </w:tr>
      <w:tr w:rsidR="00FD3962" w:rsidRPr="00532C20" w14:paraId="29AC2737"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40CEF62E"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Netherlands</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5EC70C97"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48,454 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153ADA72"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0DDAF5DF"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12  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2417372B"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15  </w:t>
            </w:r>
          </w:p>
        </w:tc>
      </w:tr>
      <w:tr w:rsidR="00FD3962" w:rsidRPr="00532C20" w14:paraId="4BB0131F"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4C694478"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Poland</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7D74811D"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74,177 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798A2759"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44147E3D"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19  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613BBC34"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22  </w:t>
            </w:r>
          </w:p>
        </w:tc>
      </w:tr>
      <w:tr w:rsidR="00FD3962" w:rsidRPr="00532C20" w14:paraId="46F50167"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3CDA6C3F"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Portugal</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22777A84"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68,765 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5CA3D452"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14  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14153ABD"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17  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0D7B1C2F"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21  </w:t>
            </w:r>
          </w:p>
        </w:tc>
      </w:tr>
      <w:tr w:rsidR="00FD3962" w:rsidRPr="00532C20" w14:paraId="6193B8E2"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4043AD73"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Romania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7F61F73B"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61,698 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6C568632"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12  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4E671E6E"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65073BF3"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19  </w:t>
            </w:r>
          </w:p>
        </w:tc>
      </w:tr>
      <w:tr w:rsidR="00FD3962" w:rsidRPr="00532C20" w14:paraId="3734528D"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7B28AD9C"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Slovakia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62992F02"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20,198 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29AD4AF3"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78212357"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2A55C35B"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6  </w:t>
            </w:r>
          </w:p>
        </w:tc>
      </w:tr>
      <w:tr w:rsidR="00FD3962" w:rsidRPr="00532C20" w14:paraId="4E74A6DF"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6D4FB28D"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Slovenia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2581C86E"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26,731 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7EF2EB84"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484212B3"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29D43EA9"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8  </w:t>
            </w:r>
          </w:p>
        </w:tc>
      </w:tr>
      <w:tr w:rsidR="00FD3962" w:rsidRPr="00532C20" w14:paraId="40AB2F5D"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6C328BCE"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Spain</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6A2A5306"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101,562 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74BFEA50"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20  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018CF6CD"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25  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17E4D424"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30  </w:t>
            </w:r>
          </w:p>
        </w:tc>
      </w:tr>
      <w:tr w:rsidR="00FD3962" w:rsidRPr="00532C20" w14:paraId="59ED1F23"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0244D04D"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Sweden</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24F7DD1C"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103,267 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53EA4B6C"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21  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5E5C4D51"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26  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160F0986"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31  </w:t>
            </w:r>
          </w:p>
        </w:tc>
      </w:tr>
      <w:tr w:rsidR="00FD3962" w:rsidRPr="00532C20" w14:paraId="1978B051" w14:textId="77777777" w:rsidTr="00FD3962">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0C4DA2"/>
            <w:hideMark/>
          </w:tcPr>
          <w:p w14:paraId="78D06A29"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EU-27</w:t>
            </w:r>
            <w:r w:rsidRPr="00532C20">
              <w:rPr>
                <w:rFonts w:ascii="Times New Roman" w:eastAsia="Times" w:hAnsi="Times New Roman" w:cs="Times New Roman"/>
                <w:noProof/>
                <w:color w:val="FFFFF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0C4DA2"/>
            <w:hideMark/>
          </w:tcPr>
          <w:p w14:paraId="6E85AF09"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3,560,838</w:t>
            </w:r>
            <w:r w:rsidRPr="00532C20">
              <w:rPr>
                <w:rFonts w:ascii="Times New Roman" w:eastAsia="Times" w:hAnsi="Times New Roman" w:cs="Times New Roman"/>
                <w:noProof/>
                <w:color w:val="FFFFFF"/>
                <w:sz w:val="24"/>
                <w:szCs w:val="24"/>
                <w:lang w:val="en-IE" w:eastAsia="en-IE"/>
              </w:rPr>
              <w:t> </w:t>
            </w:r>
          </w:p>
        </w:tc>
        <w:tc>
          <w:tcPr>
            <w:tcW w:w="1830" w:type="dxa"/>
            <w:tcBorders>
              <w:top w:val="single" w:sz="6" w:space="0" w:color="FFFFFF"/>
              <w:left w:val="single" w:sz="6" w:space="0" w:color="FFFFFF"/>
              <w:bottom w:val="single" w:sz="6" w:space="0" w:color="FFFFFF"/>
              <w:right w:val="single" w:sz="6" w:space="0" w:color="FFFFFF"/>
            </w:tcBorders>
            <w:shd w:val="clear" w:color="auto" w:fill="0C4DA2"/>
            <w:hideMark/>
          </w:tcPr>
          <w:p w14:paraId="1998EE1F"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712 </w:t>
            </w:r>
            <w:r w:rsidRPr="00532C20">
              <w:rPr>
                <w:rFonts w:ascii="Times New Roman" w:eastAsia="Times" w:hAnsi="Times New Roman" w:cs="Times New Roman"/>
                <w:noProof/>
                <w:color w:val="FFFFFF"/>
                <w:sz w:val="24"/>
                <w:szCs w:val="24"/>
                <w:lang w:val="en-IE" w:eastAsia="en-IE"/>
              </w:rPr>
              <w:t> </w:t>
            </w:r>
          </w:p>
        </w:tc>
        <w:tc>
          <w:tcPr>
            <w:tcW w:w="2115" w:type="dxa"/>
            <w:tcBorders>
              <w:top w:val="single" w:sz="6" w:space="0" w:color="FFFFFF"/>
              <w:left w:val="single" w:sz="6" w:space="0" w:color="FFFFFF"/>
              <w:bottom w:val="single" w:sz="6" w:space="0" w:color="FFFFFF"/>
              <w:right w:val="single" w:sz="6" w:space="0" w:color="FFFFFF"/>
            </w:tcBorders>
            <w:shd w:val="clear" w:color="auto" w:fill="0C4DA2"/>
            <w:hideMark/>
          </w:tcPr>
          <w:p w14:paraId="1AF3ECDC"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890 </w:t>
            </w:r>
            <w:r w:rsidRPr="00532C20">
              <w:rPr>
                <w:rFonts w:ascii="Times New Roman" w:eastAsia="Times" w:hAnsi="Times New Roman" w:cs="Times New Roman"/>
                <w:noProof/>
                <w:color w:val="FFFFFF"/>
                <w:sz w:val="24"/>
                <w:szCs w:val="24"/>
                <w:lang w:val="en-IE" w:eastAsia="en-IE"/>
              </w:rPr>
              <w:t> </w:t>
            </w:r>
          </w:p>
        </w:tc>
        <w:tc>
          <w:tcPr>
            <w:tcW w:w="1920" w:type="dxa"/>
            <w:tcBorders>
              <w:top w:val="single" w:sz="6" w:space="0" w:color="FFFFFF"/>
              <w:left w:val="single" w:sz="6" w:space="0" w:color="FFFFFF"/>
              <w:bottom w:val="single" w:sz="6" w:space="0" w:color="FFFFFF"/>
              <w:right w:val="single" w:sz="6" w:space="0" w:color="FFFFFF"/>
            </w:tcBorders>
            <w:shd w:val="clear" w:color="auto" w:fill="0C4DA2"/>
            <w:hideMark/>
          </w:tcPr>
          <w:p w14:paraId="1AD28658" w14:textId="77777777" w:rsidR="00FD3962" w:rsidRPr="00532C20" w:rsidRDefault="00FD3962" w:rsidP="004B0958">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1,068 </w:t>
            </w:r>
            <w:r w:rsidRPr="00532C20">
              <w:rPr>
                <w:rFonts w:ascii="Times New Roman" w:eastAsia="Times" w:hAnsi="Times New Roman" w:cs="Times New Roman"/>
                <w:noProof/>
                <w:color w:val="FFFFFF"/>
                <w:sz w:val="24"/>
                <w:szCs w:val="24"/>
                <w:lang w:val="en-IE" w:eastAsia="en-IE"/>
              </w:rPr>
              <w:t> </w:t>
            </w:r>
          </w:p>
        </w:tc>
      </w:tr>
    </w:tbl>
    <w:p w14:paraId="166CDE5A" w14:textId="77777777" w:rsidR="00F02A38" w:rsidRPr="00532C20" w:rsidRDefault="00F02A38" w:rsidP="00F02A38">
      <w:pPr>
        <w:rPr>
          <w:noProof/>
        </w:rPr>
      </w:pPr>
    </w:p>
    <w:p w14:paraId="631B6BB2" w14:textId="77777777" w:rsidR="001B39F4" w:rsidRPr="00532C20" w:rsidRDefault="003E0EB3" w:rsidP="002B0B48">
      <w:pPr>
        <w:pStyle w:val="ListParagraph"/>
        <w:numPr>
          <w:ilvl w:val="0"/>
          <w:numId w:val="75"/>
        </w:numPr>
        <w:rPr>
          <w:rFonts w:ascii="Times New Roman" w:hAnsi="Times New Roman"/>
          <w:b/>
          <w:bCs/>
          <w:noProof/>
          <w:u w:val="single"/>
        </w:rPr>
      </w:pPr>
      <w:r w:rsidRPr="00532C20">
        <w:rPr>
          <w:rFonts w:ascii="Times New Roman" w:hAnsi="Times New Roman"/>
          <w:b/>
          <w:bCs/>
          <w:noProof/>
          <w:u w:val="single"/>
        </w:rPr>
        <w:t>C</w:t>
      </w:r>
      <w:r w:rsidR="001B39F4" w:rsidRPr="00532C20">
        <w:rPr>
          <w:rFonts w:ascii="Times New Roman" w:hAnsi="Times New Roman"/>
          <w:b/>
          <w:bCs/>
          <w:noProof/>
          <w:u w:val="single"/>
        </w:rPr>
        <w:t>osts and benefits</w:t>
      </w:r>
    </w:p>
    <w:p w14:paraId="0B6FF1A4" w14:textId="77777777" w:rsidR="00535608" w:rsidRPr="00532C20" w:rsidRDefault="00535608" w:rsidP="00535608">
      <w:pPr>
        <w:pStyle w:val="ListParagraph"/>
        <w:ind w:left="360"/>
        <w:rPr>
          <w:rFonts w:ascii="Times New Roman" w:hAnsi="Times New Roman"/>
          <w:b/>
          <w:bCs/>
          <w:noProof/>
          <w:u w:val="single"/>
        </w:rPr>
      </w:pPr>
    </w:p>
    <w:p w14:paraId="58D5CFB2" w14:textId="3D5438FF" w:rsidR="008635C7" w:rsidRPr="00532C20" w:rsidRDefault="008635C7" w:rsidP="002B0B48">
      <w:pPr>
        <w:pStyle w:val="ListParagraph"/>
        <w:numPr>
          <w:ilvl w:val="1"/>
          <w:numId w:val="75"/>
        </w:numPr>
        <w:rPr>
          <w:rFonts w:ascii="Times New Roman Bold" w:eastAsia="Symbol" w:hAnsi="Times New Roman Bold" w:cs="Times New Roman"/>
          <w:smallCaps/>
          <w:noProof/>
          <w:u w:val="single"/>
        </w:rPr>
      </w:pPr>
      <w:r w:rsidRPr="00532C20">
        <w:rPr>
          <w:rFonts w:ascii="Times New Roman" w:hAnsi="Times New Roman"/>
          <w:b/>
          <w:bCs/>
          <w:noProof/>
          <w:u w:val="single"/>
        </w:rPr>
        <w:t>Costs to Member State authorities</w:t>
      </w:r>
    </w:p>
    <w:p w14:paraId="2C5272BF" w14:textId="6E22EDA4" w:rsidR="002F293E" w:rsidRPr="00532C20" w:rsidRDefault="00526B18" w:rsidP="002F293E">
      <w:pPr>
        <w:spacing w:before="120" w:after="120" w:line="240" w:lineRule="auto"/>
        <w:jc w:val="both"/>
        <w:rPr>
          <w:rFonts w:ascii="Times New Roman" w:eastAsia="Times New Roman" w:hAnsi="Times New Roman" w:cs="Times New Roman"/>
          <w:noProof/>
          <w:sz w:val="24"/>
          <w:szCs w:val="24"/>
        </w:rPr>
      </w:pPr>
      <w:r w:rsidRPr="00532C20">
        <w:rPr>
          <w:rFonts w:ascii="Times New Roman" w:hAnsi="Times New Roman"/>
          <w:noProof/>
          <w:sz w:val="24"/>
          <w:szCs w:val="24"/>
        </w:rPr>
        <w:t xml:space="preserve">Costs to Member State authorities over a 10-year time horizon can be summarised as follows. </w:t>
      </w:r>
      <w:r w:rsidR="005249DA" w:rsidRPr="00532C20">
        <w:rPr>
          <w:rFonts w:ascii="Times New Roman" w:hAnsi="Times New Roman"/>
          <w:noProof/>
          <w:sz w:val="24"/>
          <w:szCs w:val="24"/>
        </w:rPr>
        <w:t xml:space="preserve">Information on the methodology used for this estimation is provided in </w:t>
      </w:r>
      <w:r w:rsidRPr="00532C20">
        <w:rPr>
          <w:rFonts w:ascii="Times New Roman" w:hAnsi="Times New Roman"/>
          <w:noProof/>
          <w:sz w:val="24"/>
          <w:szCs w:val="24"/>
        </w:rPr>
        <w:t>Annex 4.</w:t>
      </w:r>
    </w:p>
    <w:p w14:paraId="043F8F70" w14:textId="2314D854" w:rsidR="00932A4C" w:rsidRPr="00532C20" w:rsidRDefault="00932A4C" w:rsidP="00A37D74">
      <w:pPr>
        <w:keepNext/>
        <w:spacing w:before="120" w:after="120" w:line="240" w:lineRule="auto"/>
        <w:jc w:val="both"/>
        <w:rPr>
          <w:rFonts w:ascii="Times New Roman" w:eastAsia="Times New Roman" w:hAnsi="Times New Roman" w:cs="Times New Roman"/>
          <w:b/>
          <w:noProof/>
          <w:sz w:val="24"/>
          <w:szCs w:val="24"/>
        </w:rPr>
      </w:pPr>
      <w:bookmarkStart w:id="1158" w:name="_Toc140752092"/>
      <w:r w:rsidRPr="00532C20">
        <w:rPr>
          <w:rFonts w:ascii="Times New Roman" w:eastAsia="Times New Roman" w:hAnsi="Times New Roman" w:cs="Times New Roman"/>
          <w:b/>
          <w:noProof/>
          <w:sz w:val="24"/>
          <w:szCs w:val="24"/>
        </w:rPr>
        <w:t>Summary of total costs to Member State authorities (over 10-years)</w:t>
      </w:r>
      <w:bookmarkEnd w:id="1158"/>
    </w:p>
    <w:tbl>
      <w:tblPr>
        <w:tblStyle w:val="12uCharChar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1672"/>
        <w:gridCol w:w="1936"/>
        <w:gridCol w:w="1762"/>
      </w:tblGrid>
      <w:tr w:rsidR="00425C21" w:rsidRPr="00532C20" w14:paraId="0A450A51"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3401" w:type="dxa"/>
            <w:shd w:val="clear" w:color="auto" w:fill="002060"/>
            <w:vAlign w:val="center"/>
          </w:tcPr>
          <w:p w14:paraId="189572A1" w14:textId="77777777" w:rsidR="00904F6C" w:rsidRPr="00BF79CB" w:rsidRDefault="00904F6C" w:rsidP="00904F6C">
            <w:pPr>
              <w:rPr>
                <w:rFonts w:ascii="Times New Roman" w:eastAsia="Times" w:hAnsi="Times New Roman" w:cs="Times"/>
                <w:b/>
                <w:bCs/>
                <w:noProof/>
                <w:color w:val="auto"/>
                <w:sz w:val="24"/>
                <w:szCs w:val="24"/>
                <w:lang w:val="en-GB"/>
              </w:rPr>
            </w:pPr>
            <w:r w:rsidRPr="00BF79CB">
              <w:rPr>
                <w:rFonts w:ascii="Times New Roman" w:eastAsia="Times" w:hAnsi="Times New Roman" w:cs="Times"/>
                <w:b/>
                <w:bCs/>
                <w:noProof/>
                <w:sz w:val="24"/>
                <w:szCs w:val="24"/>
                <w:lang w:val="fr-FR"/>
              </w:rPr>
              <w:t>Cost item</w:t>
            </w:r>
          </w:p>
        </w:tc>
        <w:tc>
          <w:tcPr>
            <w:tcW w:w="1672" w:type="dxa"/>
            <w:shd w:val="clear" w:color="auto" w:fill="002060"/>
            <w:vAlign w:val="center"/>
          </w:tcPr>
          <w:p w14:paraId="385B49CE" w14:textId="77777777" w:rsidR="00904F6C" w:rsidRPr="00BF79CB" w:rsidRDefault="00904F6C" w:rsidP="00904F6C">
            <w:pPr>
              <w:jc w:val="center"/>
              <w:rPr>
                <w:rFonts w:ascii="Times New Roman" w:eastAsia="Times" w:hAnsi="Times New Roman" w:cs="Times"/>
                <w:b/>
                <w:bCs/>
                <w:noProof/>
                <w:color w:val="auto"/>
                <w:sz w:val="24"/>
                <w:szCs w:val="24"/>
                <w:lang w:val="en-GB"/>
              </w:rPr>
            </w:pPr>
            <w:r w:rsidRPr="00BF79CB">
              <w:rPr>
                <w:rFonts w:ascii="Times New Roman" w:eastAsia="Times" w:hAnsi="Times New Roman" w:cs="Times"/>
                <w:b/>
                <w:bCs/>
                <w:noProof/>
                <w:sz w:val="24"/>
                <w:szCs w:val="24"/>
                <w:lang w:val="fr-FR"/>
              </w:rPr>
              <w:t>Low scenario (EUR)</w:t>
            </w:r>
          </w:p>
        </w:tc>
        <w:tc>
          <w:tcPr>
            <w:tcW w:w="1936" w:type="dxa"/>
            <w:shd w:val="clear" w:color="auto" w:fill="002060"/>
            <w:vAlign w:val="center"/>
          </w:tcPr>
          <w:p w14:paraId="212B29F9" w14:textId="77777777" w:rsidR="00904F6C" w:rsidRPr="00BF79CB" w:rsidRDefault="00904F6C" w:rsidP="00904F6C">
            <w:pPr>
              <w:jc w:val="center"/>
              <w:rPr>
                <w:rFonts w:ascii="Times New Roman" w:eastAsia="Times" w:hAnsi="Times New Roman" w:cs="Times"/>
                <w:b/>
                <w:bCs/>
                <w:noProof/>
                <w:color w:val="auto"/>
                <w:sz w:val="24"/>
                <w:szCs w:val="24"/>
                <w:lang w:val="en-GB"/>
              </w:rPr>
            </w:pPr>
            <w:r w:rsidRPr="00BF79CB">
              <w:rPr>
                <w:rFonts w:ascii="Times New Roman" w:eastAsia="Times" w:hAnsi="Times New Roman" w:cs="Times"/>
                <w:b/>
                <w:bCs/>
                <w:noProof/>
                <w:sz w:val="24"/>
                <w:szCs w:val="24"/>
                <w:lang w:val="fr-FR"/>
              </w:rPr>
              <w:t>Middle scenario (EUR)</w:t>
            </w:r>
          </w:p>
        </w:tc>
        <w:tc>
          <w:tcPr>
            <w:tcW w:w="1762" w:type="dxa"/>
            <w:shd w:val="clear" w:color="auto" w:fill="002060"/>
            <w:vAlign w:val="center"/>
          </w:tcPr>
          <w:p w14:paraId="0FF5E989" w14:textId="77777777" w:rsidR="00904F6C" w:rsidRPr="00BF79CB" w:rsidRDefault="00904F6C" w:rsidP="00904F6C">
            <w:pPr>
              <w:jc w:val="center"/>
              <w:rPr>
                <w:rFonts w:ascii="Times New Roman" w:eastAsia="Times" w:hAnsi="Times New Roman" w:cs="Times"/>
                <w:b/>
                <w:bCs/>
                <w:noProof/>
                <w:color w:val="auto"/>
                <w:sz w:val="24"/>
                <w:szCs w:val="24"/>
                <w:lang w:val="en-GB"/>
              </w:rPr>
            </w:pPr>
            <w:r w:rsidRPr="00BF79CB">
              <w:rPr>
                <w:rFonts w:ascii="Times New Roman" w:eastAsia="Times" w:hAnsi="Times New Roman" w:cs="Times"/>
                <w:b/>
                <w:bCs/>
                <w:noProof/>
                <w:sz w:val="24"/>
                <w:szCs w:val="24"/>
                <w:lang w:val="fr-FR"/>
              </w:rPr>
              <w:t>High scenario (EUR)</w:t>
            </w:r>
          </w:p>
        </w:tc>
      </w:tr>
      <w:tr w:rsidR="00932A4C" w:rsidRPr="00532C20" w14:paraId="58E9F8D2" w14:textId="77777777" w:rsidTr="00904F6C">
        <w:trPr>
          <w:trHeight w:val="20"/>
        </w:trPr>
        <w:tc>
          <w:tcPr>
            <w:tcW w:w="3401" w:type="dxa"/>
            <w:shd w:val="clear" w:color="auto" w:fill="D9D9D9"/>
            <w:vAlign w:val="center"/>
          </w:tcPr>
          <w:p w14:paraId="526532A7" w14:textId="77777777" w:rsidR="00932A4C" w:rsidRPr="00532C20" w:rsidRDefault="00932A4C" w:rsidP="00904F6C">
            <w:pPr>
              <w:rPr>
                <w:rFonts w:ascii="Times New Roman" w:hAnsi="Times New Roman"/>
                <w:b/>
                <w:noProof/>
                <w:sz w:val="24"/>
                <w:szCs w:val="24"/>
                <w:lang w:val="en-GB"/>
              </w:rPr>
            </w:pPr>
            <w:r w:rsidRPr="00532C20">
              <w:rPr>
                <w:rFonts w:ascii="Times New Roman" w:hAnsi="Times New Roman"/>
                <w:b/>
                <w:noProof/>
                <w:sz w:val="24"/>
                <w:szCs w:val="24"/>
              </w:rPr>
              <w:t>Familiarisation costs</w:t>
            </w:r>
          </w:p>
        </w:tc>
        <w:tc>
          <w:tcPr>
            <w:tcW w:w="1672" w:type="dxa"/>
            <w:shd w:val="clear" w:color="auto" w:fill="auto"/>
            <w:vAlign w:val="center"/>
          </w:tcPr>
          <w:p w14:paraId="0F5501E5" w14:textId="77777777" w:rsidR="00932A4C" w:rsidRPr="00532C20" w:rsidRDefault="00932A4C" w:rsidP="00904F6C">
            <w:pPr>
              <w:jc w:val="right"/>
              <w:rPr>
                <w:rFonts w:ascii="Times New Roman" w:hAnsi="Times New Roman"/>
                <w:noProof/>
                <w:sz w:val="24"/>
                <w:szCs w:val="24"/>
                <w:lang w:val="en-GB"/>
              </w:rPr>
            </w:pPr>
            <w:r w:rsidRPr="00532C20">
              <w:rPr>
                <w:rFonts w:ascii="Times New Roman" w:hAnsi="Times New Roman"/>
                <w:noProof/>
                <w:sz w:val="24"/>
                <w:szCs w:val="24"/>
              </w:rPr>
              <w:t xml:space="preserve">1,533.06 </w:t>
            </w:r>
          </w:p>
        </w:tc>
        <w:tc>
          <w:tcPr>
            <w:tcW w:w="1936" w:type="dxa"/>
            <w:shd w:val="clear" w:color="auto" w:fill="auto"/>
            <w:vAlign w:val="center"/>
          </w:tcPr>
          <w:p w14:paraId="4B365DC5" w14:textId="77777777" w:rsidR="00932A4C" w:rsidRPr="00532C20" w:rsidRDefault="00932A4C" w:rsidP="00904F6C">
            <w:pPr>
              <w:jc w:val="right"/>
              <w:rPr>
                <w:rFonts w:ascii="Times New Roman" w:hAnsi="Times New Roman"/>
                <w:noProof/>
                <w:sz w:val="24"/>
                <w:szCs w:val="24"/>
                <w:lang w:val="en-GB"/>
              </w:rPr>
            </w:pPr>
            <w:r w:rsidRPr="00532C20">
              <w:rPr>
                <w:rFonts w:ascii="Times New Roman" w:hAnsi="Times New Roman"/>
                <w:noProof/>
                <w:sz w:val="24"/>
                <w:szCs w:val="24"/>
              </w:rPr>
              <w:t xml:space="preserve">3,066.11 </w:t>
            </w:r>
          </w:p>
        </w:tc>
        <w:tc>
          <w:tcPr>
            <w:tcW w:w="1762" w:type="dxa"/>
            <w:shd w:val="clear" w:color="auto" w:fill="auto"/>
            <w:vAlign w:val="center"/>
          </w:tcPr>
          <w:p w14:paraId="7FB83584" w14:textId="77777777" w:rsidR="00932A4C" w:rsidRPr="00532C20" w:rsidRDefault="00932A4C" w:rsidP="00904F6C">
            <w:pPr>
              <w:jc w:val="right"/>
              <w:rPr>
                <w:rFonts w:ascii="Times New Roman" w:hAnsi="Times New Roman"/>
                <w:noProof/>
                <w:sz w:val="24"/>
                <w:szCs w:val="24"/>
                <w:lang w:val="en-GB"/>
              </w:rPr>
            </w:pPr>
            <w:r w:rsidRPr="00532C20">
              <w:rPr>
                <w:rFonts w:ascii="Times New Roman" w:hAnsi="Times New Roman"/>
                <w:noProof/>
                <w:sz w:val="24"/>
                <w:szCs w:val="24"/>
              </w:rPr>
              <w:t xml:space="preserve">4,599.17 </w:t>
            </w:r>
          </w:p>
        </w:tc>
      </w:tr>
      <w:tr w:rsidR="00932A4C" w:rsidRPr="00532C20" w14:paraId="7528C711" w14:textId="77777777" w:rsidTr="00904F6C">
        <w:trPr>
          <w:trHeight w:val="20"/>
        </w:trPr>
        <w:tc>
          <w:tcPr>
            <w:tcW w:w="3401" w:type="dxa"/>
            <w:shd w:val="clear" w:color="auto" w:fill="D9D9D9"/>
            <w:vAlign w:val="center"/>
          </w:tcPr>
          <w:p w14:paraId="22FB7179" w14:textId="77777777" w:rsidR="00932A4C" w:rsidRPr="00532C20" w:rsidRDefault="00932A4C" w:rsidP="00904F6C">
            <w:pPr>
              <w:rPr>
                <w:rFonts w:ascii="Times New Roman" w:hAnsi="Times New Roman"/>
                <w:b/>
                <w:noProof/>
                <w:sz w:val="24"/>
                <w:szCs w:val="24"/>
                <w:lang w:val="en-GB"/>
              </w:rPr>
            </w:pPr>
            <w:r w:rsidRPr="00532C20">
              <w:rPr>
                <w:rFonts w:ascii="Times New Roman" w:hAnsi="Times New Roman"/>
                <w:b/>
                <w:noProof/>
                <w:sz w:val="24"/>
                <w:szCs w:val="24"/>
                <w:lang w:val="en-IE"/>
              </w:rPr>
              <w:t>Ensuring an appropriate register is in place</w:t>
            </w:r>
          </w:p>
        </w:tc>
        <w:tc>
          <w:tcPr>
            <w:tcW w:w="5370" w:type="dxa"/>
            <w:gridSpan w:val="3"/>
            <w:shd w:val="clear" w:color="auto" w:fill="auto"/>
            <w:vAlign w:val="center"/>
          </w:tcPr>
          <w:p w14:paraId="233CF8FD" w14:textId="77777777" w:rsidR="00932A4C" w:rsidRPr="00532C20" w:rsidRDefault="00932A4C" w:rsidP="00904F6C">
            <w:pPr>
              <w:rPr>
                <w:rFonts w:ascii="Times New Roman" w:hAnsi="Times New Roman"/>
                <w:noProof/>
                <w:sz w:val="24"/>
                <w:szCs w:val="24"/>
                <w:lang w:val="en-GB"/>
              </w:rPr>
            </w:pPr>
            <w:r w:rsidRPr="00532C20">
              <w:rPr>
                <w:rFonts w:ascii="Times New Roman" w:hAnsi="Times New Roman"/>
                <w:i/>
                <w:noProof/>
                <w:sz w:val="24"/>
                <w:szCs w:val="24"/>
                <w:lang w:val="en-IE"/>
              </w:rPr>
              <w:t>Not possible to ascertain EU-wide costs based on the available data.</w:t>
            </w:r>
          </w:p>
        </w:tc>
      </w:tr>
      <w:tr w:rsidR="00932A4C" w:rsidRPr="00532C20" w14:paraId="1CA6CE21" w14:textId="77777777" w:rsidTr="00904F6C">
        <w:trPr>
          <w:trHeight w:val="20"/>
        </w:trPr>
        <w:tc>
          <w:tcPr>
            <w:tcW w:w="3401" w:type="dxa"/>
            <w:shd w:val="clear" w:color="auto" w:fill="D9D9D9"/>
            <w:vAlign w:val="center"/>
          </w:tcPr>
          <w:p w14:paraId="3869CA1E" w14:textId="77777777" w:rsidR="00932A4C" w:rsidRPr="00532C20" w:rsidRDefault="00932A4C" w:rsidP="00904F6C">
            <w:pPr>
              <w:rPr>
                <w:rFonts w:ascii="Times New Roman" w:hAnsi="Times New Roman"/>
                <w:b/>
                <w:noProof/>
                <w:sz w:val="24"/>
                <w:szCs w:val="24"/>
                <w:lang w:val="en-GB"/>
              </w:rPr>
            </w:pPr>
            <w:r w:rsidRPr="00532C20">
              <w:rPr>
                <w:rFonts w:ascii="Times New Roman" w:hAnsi="Times New Roman"/>
                <w:b/>
                <w:noProof/>
                <w:sz w:val="24"/>
                <w:szCs w:val="24"/>
                <w:lang w:val="en-IE"/>
              </w:rPr>
              <w:t>IT tool maintenance</w:t>
            </w:r>
            <w:r w:rsidRPr="00532C20">
              <w:rPr>
                <w:rFonts w:ascii="Times New Roman" w:hAnsi="Times New Roman"/>
                <w:noProof/>
                <w:sz w:val="24"/>
                <w:szCs w:val="24"/>
                <w:lang w:val="en-IE"/>
              </w:rPr>
              <w:t xml:space="preserve"> (15 Member States </w:t>
            </w:r>
            <w:r w:rsidRPr="00532C20">
              <w:rPr>
                <w:rFonts w:ascii="Times New Roman" w:hAnsi="Times New Roman"/>
                <w:b/>
                <w:noProof/>
                <w:sz w:val="24"/>
                <w:szCs w:val="24"/>
                <w:lang w:val="en-IE"/>
              </w:rPr>
              <w:t>with</w:t>
            </w:r>
            <w:r w:rsidRPr="00532C20">
              <w:rPr>
                <w:rFonts w:ascii="Times New Roman" w:hAnsi="Times New Roman"/>
                <w:noProof/>
                <w:sz w:val="24"/>
                <w:szCs w:val="24"/>
                <w:lang w:val="en-IE"/>
              </w:rPr>
              <w:t xml:space="preserve"> existing IT tools)</w:t>
            </w:r>
          </w:p>
        </w:tc>
        <w:tc>
          <w:tcPr>
            <w:tcW w:w="5370" w:type="dxa"/>
            <w:gridSpan w:val="3"/>
            <w:shd w:val="clear" w:color="auto" w:fill="auto"/>
            <w:vAlign w:val="center"/>
          </w:tcPr>
          <w:p w14:paraId="4D7BACF3" w14:textId="77777777" w:rsidR="00932A4C" w:rsidRPr="00532C20" w:rsidRDefault="00932A4C" w:rsidP="00904F6C">
            <w:pPr>
              <w:rPr>
                <w:rFonts w:ascii="Times New Roman" w:hAnsi="Times New Roman"/>
                <w:i/>
                <w:noProof/>
                <w:sz w:val="24"/>
                <w:szCs w:val="24"/>
                <w:lang w:val="en-GB"/>
              </w:rPr>
            </w:pPr>
            <w:r w:rsidRPr="00532C20">
              <w:rPr>
                <w:rFonts w:ascii="Times New Roman" w:hAnsi="Times New Roman"/>
                <w:i/>
                <w:noProof/>
                <w:sz w:val="24"/>
                <w:szCs w:val="24"/>
                <w:lang w:val="en-IE"/>
              </w:rPr>
              <w:t xml:space="preserve">Costs are considered to be business as usual (BaU) costs. </w:t>
            </w:r>
          </w:p>
        </w:tc>
      </w:tr>
      <w:tr w:rsidR="00932A4C" w:rsidRPr="00532C20" w14:paraId="6DE8B848" w14:textId="77777777" w:rsidTr="00904F6C">
        <w:trPr>
          <w:trHeight w:val="20"/>
        </w:trPr>
        <w:tc>
          <w:tcPr>
            <w:tcW w:w="3401" w:type="dxa"/>
            <w:shd w:val="clear" w:color="auto" w:fill="D9D9D9"/>
            <w:vAlign w:val="center"/>
          </w:tcPr>
          <w:p w14:paraId="463E9863" w14:textId="77777777" w:rsidR="00932A4C" w:rsidRPr="00532C20" w:rsidRDefault="00932A4C" w:rsidP="00904F6C">
            <w:pPr>
              <w:rPr>
                <w:rFonts w:ascii="Times New Roman" w:hAnsi="Times New Roman"/>
                <w:b/>
                <w:noProof/>
                <w:sz w:val="24"/>
                <w:szCs w:val="24"/>
                <w:lang w:val="en-GB"/>
              </w:rPr>
            </w:pPr>
            <w:r w:rsidRPr="00532C20">
              <w:rPr>
                <w:rFonts w:ascii="Times New Roman" w:hAnsi="Times New Roman"/>
                <w:b/>
                <w:noProof/>
                <w:sz w:val="24"/>
                <w:szCs w:val="24"/>
                <w:lang w:val="en-IE"/>
              </w:rPr>
              <w:t xml:space="preserve">IT tool maintenance </w:t>
            </w:r>
            <w:r w:rsidRPr="00532C20">
              <w:rPr>
                <w:rFonts w:ascii="Times New Roman" w:hAnsi="Times New Roman"/>
                <w:noProof/>
                <w:sz w:val="24"/>
                <w:szCs w:val="24"/>
                <w:lang w:val="en-IE"/>
              </w:rPr>
              <w:t xml:space="preserve">(12 Member States </w:t>
            </w:r>
            <w:r w:rsidRPr="00532C20">
              <w:rPr>
                <w:rFonts w:ascii="Times New Roman" w:hAnsi="Times New Roman"/>
                <w:b/>
                <w:noProof/>
                <w:sz w:val="24"/>
                <w:szCs w:val="24"/>
                <w:lang w:val="en-IE"/>
              </w:rPr>
              <w:t>without</w:t>
            </w:r>
            <w:r w:rsidRPr="00532C20">
              <w:rPr>
                <w:rFonts w:ascii="Times New Roman" w:hAnsi="Times New Roman"/>
                <w:noProof/>
                <w:sz w:val="24"/>
                <w:szCs w:val="24"/>
                <w:lang w:val="en-IE"/>
              </w:rPr>
              <w:t xml:space="preserve"> existing IT tools)</w:t>
            </w:r>
          </w:p>
        </w:tc>
        <w:tc>
          <w:tcPr>
            <w:tcW w:w="1672" w:type="dxa"/>
            <w:shd w:val="clear" w:color="auto" w:fill="auto"/>
            <w:vAlign w:val="center"/>
          </w:tcPr>
          <w:p w14:paraId="6A68E3FB" w14:textId="77777777" w:rsidR="00932A4C" w:rsidRPr="00532C20" w:rsidRDefault="00932A4C" w:rsidP="00904F6C">
            <w:pPr>
              <w:jc w:val="right"/>
              <w:rPr>
                <w:rFonts w:ascii="Times New Roman" w:hAnsi="Times New Roman"/>
                <w:noProof/>
                <w:sz w:val="24"/>
                <w:szCs w:val="24"/>
                <w:lang w:val="en-GB"/>
              </w:rPr>
            </w:pPr>
            <w:r w:rsidRPr="00532C20">
              <w:rPr>
                <w:rFonts w:ascii="Times New Roman" w:hAnsi="Times New Roman"/>
                <w:noProof/>
                <w:sz w:val="24"/>
                <w:szCs w:val="24"/>
              </w:rPr>
              <w:t xml:space="preserve">540,000.00 </w:t>
            </w:r>
          </w:p>
        </w:tc>
        <w:tc>
          <w:tcPr>
            <w:tcW w:w="1936" w:type="dxa"/>
            <w:shd w:val="clear" w:color="auto" w:fill="auto"/>
            <w:vAlign w:val="center"/>
          </w:tcPr>
          <w:p w14:paraId="54FF021A" w14:textId="77777777" w:rsidR="00932A4C" w:rsidRPr="00532C20" w:rsidRDefault="00932A4C" w:rsidP="00904F6C">
            <w:pPr>
              <w:jc w:val="right"/>
              <w:rPr>
                <w:rFonts w:ascii="Times New Roman" w:hAnsi="Times New Roman"/>
                <w:noProof/>
                <w:sz w:val="24"/>
                <w:szCs w:val="24"/>
                <w:lang w:val="en-GB"/>
              </w:rPr>
            </w:pPr>
            <w:r w:rsidRPr="00532C20">
              <w:rPr>
                <w:rFonts w:ascii="Times New Roman" w:hAnsi="Times New Roman"/>
                <w:noProof/>
                <w:sz w:val="24"/>
                <w:szCs w:val="24"/>
              </w:rPr>
              <w:t xml:space="preserve">2,160,000.00 </w:t>
            </w:r>
          </w:p>
        </w:tc>
        <w:tc>
          <w:tcPr>
            <w:tcW w:w="1762" w:type="dxa"/>
            <w:shd w:val="clear" w:color="auto" w:fill="auto"/>
            <w:vAlign w:val="center"/>
          </w:tcPr>
          <w:p w14:paraId="56008B31" w14:textId="77777777" w:rsidR="00932A4C" w:rsidRPr="00532C20" w:rsidRDefault="00932A4C" w:rsidP="00904F6C">
            <w:pPr>
              <w:jc w:val="right"/>
              <w:rPr>
                <w:rFonts w:ascii="Times New Roman" w:hAnsi="Times New Roman"/>
                <w:noProof/>
                <w:sz w:val="24"/>
                <w:szCs w:val="24"/>
                <w:lang w:val="en-GB"/>
              </w:rPr>
            </w:pPr>
            <w:r w:rsidRPr="00532C20">
              <w:rPr>
                <w:rFonts w:ascii="Times New Roman" w:hAnsi="Times New Roman"/>
                <w:noProof/>
                <w:sz w:val="24"/>
                <w:szCs w:val="24"/>
              </w:rPr>
              <w:t xml:space="preserve">4,860,000.00 </w:t>
            </w:r>
          </w:p>
        </w:tc>
      </w:tr>
      <w:tr w:rsidR="00932A4C" w:rsidRPr="00532C20" w14:paraId="0BB6954B" w14:textId="77777777" w:rsidTr="00904F6C">
        <w:trPr>
          <w:trHeight w:val="20"/>
        </w:trPr>
        <w:tc>
          <w:tcPr>
            <w:tcW w:w="3401" w:type="dxa"/>
            <w:shd w:val="clear" w:color="auto" w:fill="D9D9D9"/>
            <w:vAlign w:val="center"/>
          </w:tcPr>
          <w:p w14:paraId="13F28810" w14:textId="77777777" w:rsidR="00932A4C" w:rsidRPr="00532C20" w:rsidRDefault="00932A4C" w:rsidP="00904F6C">
            <w:pPr>
              <w:rPr>
                <w:rFonts w:ascii="Times New Roman" w:hAnsi="Times New Roman"/>
                <w:b/>
                <w:noProof/>
                <w:sz w:val="24"/>
                <w:szCs w:val="24"/>
                <w:lang w:val="en-GB"/>
              </w:rPr>
            </w:pPr>
            <w:r w:rsidRPr="00532C20">
              <w:rPr>
                <w:rFonts w:ascii="Times New Roman" w:hAnsi="Times New Roman"/>
                <w:b/>
                <w:noProof/>
                <w:sz w:val="24"/>
                <w:szCs w:val="24"/>
                <w:lang w:val="en-IE"/>
              </w:rPr>
              <w:t>Implementing appropriate management, monitoring and enforcement mechanisms</w:t>
            </w:r>
          </w:p>
        </w:tc>
        <w:tc>
          <w:tcPr>
            <w:tcW w:w="1672" w:type="dxa"/>
            <w:shd w:val="clear" w:color="auto" w:fill="auto"/>
            <w:vAlign w:val="center"/>
          </w:tcPr>
          <w:p w14:paraId="5A5A827C" w14:textId="77777777" w:rsidR="00932A4C" w:rsidRPr="00532C20" w:rsidRDefault="00932A4C" w:rsidP="00904F6C">
            <w:pPr>
              <w:jc w:val="right"/>
              <w:rPr>
                <w:rFonts w:ascii="Times New Roman" w:hAnsi="Times New Roman"/>
                <w:noProof/>
                <w:sz w:val="24"/>
                <w:szCs w:val="24"/>
                <w:lang w:val="en-GB"/>
              </w:rPr>
            </w:pPr>
            <w:r w:rsidRPr="00532C20">
              <w:rPr>
                <w:rFonts w:ascii="Times New Roman" w:hAnsi="Times New Roman"/>
                <w:noProof/>
                <w:sz w:val="24"/>
                <w:szCs w:val="24"/>
              </w:rPr>
              <w:t xml:space="preserve">5,654,945.59 </w:t>
            </w:r>
          </w:p>
        </w:tc>
        <w:tc>
          <w:tcPr>
            <w:tcW w:w="1936" w:type="dxa"/>
            <w:shd w:val="clear" w:color="auto" w:fill="auto"/>
            <w:vAlign w:val="center"/>
          </w:tcPr>
          <w:p w14:paraId="5D4CC37C" w14:textId="77777777" w:rsidR="00932A4C" w:rsidRPr="00532C20" w:rsidRDefault="00932A4C" w:rsidP="00904F6C">
            <w:pPr>
              <w:jc w:val="right"/>
              <w:rPr>
                <w:rFonts w:ascii="Times New Roman" w:hAnsi="Times New Roman"/>
                <w:noProof/>
                <w:sz w:val="24"/>
                <w:szCs w:val="24"/>
                <w:lang w:val="en-GB"/>
              </w:rPr>
            </w:pPr>
            <w:r w:rsidRPr="00532C20">
              <w:rPr>
                <w:rFonts w:ascii="Times New Roman" w:hAnsi="Times New Roman"/>
                <w:noProof/>
                <w:sz w:val="24"/>
                <w:szCs w:val="24"/>
              </w:rPr>
              <w:t xml:space="preserve">7,068,681.99 </w:t>
            </w:r>
          </w:p>
        </w:tc>
        <w:tc>
          <w:tcPr>
            <w:tcW w:w="1762" w:type="dxa"/>
            <w:shd w:val="clear" w:color="auto" w:fill="auto"/>
            <w:vAlign w:val="center"/>
          </w:tcPr>
          <w:p w14:paraId="64F45039" w14:textId="77777777" w:rsidR="00932A4C" w:rsidRPr="00532C20" w:rsidRDefault="00932A4C" w:rsidP="00904F6C">
            <w:pPr>
              <w:jc w:val="right"/>
              <w:rPr>
                <w:rFonts w:ascii="Times New Roman" w:hAnsi="Times New Roman"/>
                <w:noProof/>
                <w:sz w:val="24"/>
                <w:szCs w:val="24"/>
                <w:lang w:val="en-GB"/>
              </w:rPr>
            </w:pPr>
            <w:r w:rsidRPr="00532C20">
              <w:rPr>
                <w:rFonts w:ascii="Times New Roman" w:hAnsi="Times New Roman"/>
                <w:noProof/>
                <w:sz w:val="24"/>
                <w:szCs w:val="24"/>
              </w:rPr>
              <w:t xml:space="preserve">8,482,418.39 </w:t>
            </w:r>
          </w:p>
        </w:tc>
      </w:tr>
      <w:tr w:rsidR="00932A4C" w:rsidRPr="00532C20" w14:paraId="6921B482" w14:textId="77777777" w:rsidTr="00904F6C">
        <w:trPr>
          <w:trHeight w:val="20"/>
        </w:trPr>
        <w:tc>
          <w:tcPr>
            <w:tcW w:w="3401" w:type="dxa"/>
            <w:shd w:val="clear" w:color="auto" w:fill="0C4DA2"/>
            <w:vAlign w:val="center"/>
          </w:tcPr>
          <w:p w14:paraId="768A1803" w14:textId="77777777" w:rsidR="00932A4C" w:rsidRPr="00532C20" w:rsidRDefault="00932A4C" w:rsidP="00904F6C">
            <w:pPr>
              <w:rPr>
                <w:rFonts w:ascii="Times New Roman" w:hAnsi="Times New Roman"/>
                <w:b/>
                <w:noProof/>
                <w:color w:val="FFFFFF"/>
                <w:sz w:val="24"/>
                <w:szCs w:val="24"/>
                <w:lang w:val="en-GB"/>
              </w:rPr>
            </w:pPr>
            <w:r w:rsidRPr="00532C20">
              <w:rPr>
                <w:rFonts w:ascii="Times New Roman" w:hAnsi="Times New Roman"/>
                <w:b/>
                <w:noProof/>
                <w:color w:val="FFFFFF"/>
                <w:sz w:val="24"/>
                <w:szCs w:val="24"/>
                <w:lang w:val="fr-FR"/>
              </w:rPr>
              <w:t>Total:</w:t>
            </w:r>
          </w:p>
        </w:tc>
        <w:tc>
          <w:tcPr>
            <w:tcW w:w="1672" w:type="dxa"/>
            <w:shd w:val="clear" w:color="auto" w:fill="D9D9D9"/>
            <w:vAlign w:val="center"/>
          </w:tcPr>
          <w:p w14:paraId="2AC82D04" w14:textId="77777777" w:rsidR="00932A4C" w:rsidRPr="00532C20" w:rsidRDefault="00932A4C" w:rsidP="00904F6C">
            <w:pPr>
              <w:jc w:val="right"/>
              <w:rPr>
                <w:rFonts w:ascii="Times New Roman" w:hAnsi="Times New Roman"/>
                <w:b/>
                <w:noProof/>
                <w:sz w:val="24"/>
                <w:szCs w:val="24"/>
                <w:lang w:val="en-GB"/>
              </w:rPr>
            </w:pPr>
            <w:r w:rsidRPr="00532C20">
              <w:rPr>
                <w:rFonts w:ascii="Times New Roman" w:hAnsi="Times New Roman"/>
                <w:b/>
                <w:noProof/>
                <w:sz w:val="24"/>
                <w:szCs w:val="24"/>
              </w:rPr>
              <w:t xml:space="preserve">6,196,478.65 </w:t>
            </w:r>
          </w:p>
        </w:tc>
        <w:tc>
          <w:tcPr>
            <w:tcW w:w="1936" w:type="dxa"/>
            <w:shd w:val="clear" w:color="auto" w:fill="D9D9D9"/>
            <w:vAlign w:val="center"/>
          </w:tcPr>
          <w:p w14:paraId="5C73CB18" w14:textId="77777777" w:rsidR="00932A4C" w:rsidRPr="00532C20" w:rsidRDefault="00932A4C" w:rsidP="00904F6C">
            <w:pPr>
              <w:jc w:val="right"/>
              <w:rPr>
                <w:rFonts w:ascii="Times New Roman" w:hAnsi="Times New Roman"/>
                <w:b/>
                <w:noProof/>
                <w:sz w:val="24"/>
                <w:szCs w:val="24"/>
                <w:lang w:val="en-GB"/>
              </w:rPr>
            </w:pPr>
            <w:r w:rsidRPr="00532C20">
              <w:rPr>
                <w:rFonts w:ascii="Times New Roman" w:hAnsi="Times New Roman"/>
                <w:b/>
                <w:noProof/>
                <w:sz w:val="24"/>
                <w:szCs w:val="24"/>
              </w:rPr>
              <w:t xml:space="preserve">9,231,748.10 </w:t>
            </w:r>
          </w:p>
        </w:tc>
        <w:tc>
          <w:tcPr>
            <w:tcW w:w="1762" w:type="dxa"/>
            <w:shd w:val="clear" w:color="auto" w:fill="D9D9D9"/>
            <w:vAlign w:val="center"/>
          </w:tcPr>
          <w:p w14:paraId="61432CFC" w14:textId="77777777" w:rsidR="00932A4C" w:rsidRPr="00532C20" w:rsidRDefault="00932A4C" w:rsidP="00904F6C">
            <w:pPr>
              <w:jc w:val="right"/>
              <w:rPr>
                <w:rFonts w:ascii="Times New Roman" w:hAnsi="Times New Roman"/>
                <w:b/>
                <w:noProof/>
                <w:sz w:val="24"/>
                <w:szCs w:val="24"/>
                <w:lang w:val="en-GB"/>
              </w:rPr>
            </w:pPr>
            <w:r w:rsidRPr="00532C20">
              <w:rPr>
                <w:rFonts w:ascii="Times New Roman" w:hAnsi="Times New Roman"/>
                <w:b/>
                <w:noProof/>
                <w:sz w:val="24"/>
                <w:szCs w:val="24"/>
              </w:rPr>
              <w:t xml:space="preserve">13,347,017.56 </w:t>
            </w:r>
          </w:p>
        </w:tc>
      </w:tr>
    </w:tbl>
    <w:p w14:paraId="21C60E3C" w14:textId="77777777" w:rsidR="00535608" w:rsidRPr="00532C20" w:rsidRDefault="00535608" w:rsidP="00535608">
      <w:pPr>
        <w:rPr>
          <w:noProof/>
        </w:rPr>
      </w:pPr>
    </w:p>
    <w:p w14:paraId="45C680ED" w14:textId="41F7603C" w:rsidR="008635C7" w:rsidRPr="00532C20" w:rsidRDefault="008635C7" w:rsidP="002B0B48">
      <w:pPr>
        <w:pStyle w:val="ListParagraph"/>
        <w:numPr>
          <w:ilvl w:val="1"/>
          <w:numId w:val="75"/>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Costs for entities carrying out interest representation activities on behalf of third countries</w:t>
      </w:r>
    </w:p>
    <w:p w14:paraId="6EF96F8F" w14:textId="63808DB3" w:rsidR="00854877" w:rsidRPr="00532C20" w:rsidRDefault="00854877" w:rsidP="00C8485E">
      <w:pPr>
        <w:keepNext/>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total, under the preferred policy option, the estimated costs to entities</w:t>
      </w:r>
      <w:r w:rsidR="005E57C1" w:rsidRPr="00532C20">
        <w:rPr>
          <w:rFonts w:ascii="Times New Roman" w:eastAsia="Times New Roman" w:hAnsi="Times New Roman" w:cs="Times New Roman"/>
          <w:noProof/>
          <w:sz w:val="24"/>
          <w:szCs w:val="24"/>
        </w:rPr>
        <w:t xml:space="preserve"> carrying out interest representation activities on behalf of third countries</w:t>
      </w:r>
      <w:r w:rsidRPr="00532C20">
        <w:rPr>
          <w:rFonts w:ascii="Times New Roman" w:eastAsia="Times New Roman" w:hAnsi="Times New Roman" w:cs="Times New Roman"/>
          <w:noProof/>
          <w:sz w:val="24"/>
          <w:szCs w:val="24"/>
        </w:rPr>
        <w:t xml:space="preserve"> </w:t>
      </w:r>
      <w:r w:rsidR="005E57C1" w:rsidRPr="00532C20">
        <w:rPr>
          <w:rFonts w:ascii="Times New Roman" w:eastAsia="Times New Roman" w:hAnsi="Times New Roman" w:cs="Times New Roman"/>
          <w:noProof/>
          <w:sz w:val="24"/>
          <w:szCs w:val="24"/>
        </w:rPr>
        <w:t>yearly and</w:t>
      </w:r>
      <w:r w:rsidRPr="00532C20">
        <w:rPr>
          <w:rFonts w:ascii="Times New Roman" w:eastAsia="Times New Roman" w:hAnsi="Times New Roman" w:cs="Times New Roman"/>
          <w:noProof/>
          <w:sz w:val="24"/>
          <w:szCs w:val="24"/>
        </w:rPr>
        <w:t xml:space="preserve"> </w:t>
      </w:r>
      <w:r w:rsidR="005E57C1" w:rsidRPr="00532C20">
        <w:rPr>
          <w:rFonts w:ascii="Times New Roman" w:eastAsia="Times New Roman" w:hAnsi="Times New Roman" w:cs="Times New Roman"/>
          <w:noProof/>
          <w:sz w:val="24"/>
          <w:szCs w:val="24"/>
        </w:rPr>
        <w:t>over a 10-year horizon can be summarised as follows</w:t>
      </w:r>
      <w:r w:rsidR="003E0EB3" w:rsidRPr="00532C20">
        <w:rPr>
          <w:rFonts w:ascii="Times New Roman" w:eastAsia="Times New Roman" w:hAnsi="Times New Roman" w:cs="Times New Roman"/>
          <w:noProof/>
          <w:sz w:val="24"/>
          <w:szCs w:val="24"/>
        </w:rPr>
        <w:t xml:space="preserve">. </w:t>
      </w:r>
      <w:r w:rsidR="003127CE" w:rsidRPr="00532C20">
        <w:rPr>
          <w:rFonts w:ascii="Times New Roman" w:eastAsia="Times New Roman" w:hAnsi="Times New Roman" w:cs="Times New Roman"/>
          <w:noProof/>
          <w:sz w:val="24"/>
          <w:szCs w:val="24"/>
        </w:rPr>
        <w:t>Information on the methodology used for this estimation is provided in</w:t>
      </w:r>
      <w:r w:rsidR="003127CE" w:rsidRPr="00532C20" w:rsidDel="003127CE">
        <w:rPr>
          <w:rFonts w:ascii="Times New Roman" w:eastAsia="Times New Roman" w:hAnsi="Times New Roman" w:cs="Times New Roman"/>
          <w:noProof/>
          <w:sz w:val="24"/>
          <w:szCs w:val="24"/>
        </w:rPr>
        <w:t xml:space="preserve"> </w:t>
      </w:r>
      <w:r w:rsidR="003E0EB3" w:rsidRPr="00532C20">
        <w:rPr>
          <w:rFonts w:ascii="Times New Roman" w:eastAsia="Times New Roman" w:hAnsi="Times New Roman" w:cs="Times New Roman"/>
          <w:noProof/>
          <w:sz w:val="24"/>
          <w:szCs w:val="24"/>
        </w:rPr>
        <w:t>Annex 4.</w:t>
      </w:r>
    </w:p>
    <w:p w14:paraId="15F268DF" w14:textId="5C7608A5" w:rsidR="00C8485E" w:rsidRPr="00532C20" w:rsidRDefault="00C8485E" w:rsidP="00C8485E">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Estimated average costs per entity, per size class</w:t>
      </w:r>
    </w:p>
    <w:tbl>
      <w:tblPr>
        <w:tblStyle w:val="12uCharChar14"/>
        <w:tblW w:w="8784"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830"/>
        <w:gridCol w:w="1560"/>
        <w:gridCol w:w="1134"/>
        <w:gridCol w:w="1134"/>
        <w:gridCol w:w="2126"/>
      </w:tblGrid>
      <w:tr w:rsidR="00C8485E" w:rsidRPr="00532C20" w14:paraId="3DBC89D9" w14:textId="77777777">
        <w:trPr>
          <w:cnfStyle w:val="100000000000" w:firstRow="1" w:lastRow="0" w:firstColumn="0" w:lastColumn="0" w:oddVBand="0" w:evenVBand="0" w:oddHBand="0" w:evenHBand="0" w:firstRowFirstColumn="0" w:firstRowLastColumn="0" w:lastRowFirstColumn="0" w:lastRowLastColumn="0"/>
          <w:trHeight w:val="20"/>
        </w:trPr>
        <w:tc>
          <w:tcPr>
            <w:tcW w:w="2830" w:type="dxa"/>
            <w:shd w:val="clear" w:color="auto" w:fill="002060"/>
            <w:noWrap/>
            <w:vAlign w:val="center"/>
            <w:hideMark/>
          </w:tcPr>
          <w:p w14:paraId="146C2D2F" w14:textId="77777777" w:rsidR="00C8485E" w:rsidRPr="00532C20" w:rsidRDefault="00C8485E" w:rsidP="00BF270A">
            <w:pPr>
              <w:jc w:val="center"/>
              <w:rPr>
                <w:rFonts w:ascii="Times New Roman" w:hAnsi="Times New Roman" w:cs="Times New Roman"/>
                <w:b/>
                <w:noProof/>
                <w:color w:val="auto"/>
                <w:sz w:val="24"/>
                <w:szCs w:val="24"/>
                <w:lang w:val="en-IE" w:eastAsia="en-GB"/>
              </w:rPr>
            </w:pPr>
          </w:p>
        </w:tc>
        <w:tc>
          <w:tcPr>
            <w:tcW w:w="1560" w:type="dxa"/>
            <w:shd w:val="clear" w:color="auto" w:fill="002060"/>
            <w:noWrap/>
            <w:vAlign w:val="center"/>
            <w:hideMark/>
          </w:tcPr>
          <w:p w14:paraId="150E29D6" w14:textId="77777777" w:rsidR="00C8485E" w:rsidRPr="00532C20" w:rsidRDefault="00C8485E" w:rsidP="00BF270A">
            <w:pPr>
              <w:jc w:val="center"/>
              <w:rPr>
                <w:rFonts w:ascii="Times New Roman" w:hAnsi="Times New Roman" w:cs="Times New Roman"/>
                <w:b/>
                <w:noProof/>
                <w:color w:val="auto"/>
                <w:sz w:val="24"/>
                <w:szCs w:val="24"/>
                <w:lang w:val="en-IE" w:eastAsia="en-GB"/>
              </w:rPr>
            </w:pPr>
            <w:r w:rsidRPr="00532C20">
              <w:rPr>
                <w:rFonts w:ascii="Times New Roman" w:hAnsi="Times New Roman" w:cs="Times New Roman"/>
                <w:b/>
                <w:noProof/>
                <w:color w:val="auto"/>
                <w:sz w:val="24"/>
                <w:szCs w:val="24"/>
                <w:lang w:val="en-IE" w:eastAsia="en-GB"/>
              </w:rPr>
              <w:t>Micro / Small (97.3%)</w:t>
            </w:r>
          </w:p>
        </w:tc>
        <w:tc>
          <w:tcPr>
            <w:tcW w:w="1134" w:type="dxa"/>
            <w:shd w:val="clear" w:color="auto" w:fill="002060"/>
            <w:noWrap/>
            <w:vAlign w:val="center"/>
            <w:hideMark/>
          </w:tcPr>
          <w:p w14:paraId="5B67AE56" w14:textId="77777777" w:rsidR="00C8485E" w:rsidRPr="00532C20" w:rsidRDefault="00C8485E" w:rsidP="00BF270A">
            <w:pPr>
              <w:jc w:val="center"/>
              <w:rPr>
                <w:rFonts w:ascii="Times New Roman" w:hAnsi="Times New Roman" w:cs="Times New Roman"/>
                <w:b/>
                <w:noProof/>
                <w:color w:val="auto"/>
                <w:sz w:val="24"/>
                <w:szCs w:val="24"/>
                <w:lang w:val="en-IE" w:eastAsia="en-GB"/>
              </w:rPr>
            </w:pPr>
            <w:r w:rsidRPr="00532C20">
              <w:rPr>
                <w:rFonts w:ascii="Times New Roman" w:hAnsi="Times New Roman" w:cs="Times New Roman"/>
                <w:b/>
                <w:noProof/>
                <w:color w:val="auto"/>
                <w:sz w:val="24"/>
                <w:szCs w:val="24"/>
                <w:lang w:val="en-IE" w:eastAsia="en-GB"/>
              </w:rPr>
              <w:t>Medium (2%)</w:t>
            </w:r>
          </w:p>
        </w:tc>
        <w:tc>
          <w:tcPr>
            <w:tcW w:w="1134" w:type="dxa"/>
            <w:shd w:val="clear" w:color="auto" w:fill="002060"/>
            <w:noWrap/>
            <w:vAlign w:val="center"/>
            <w:hideMark/>
          </w:tcPr>
          <w:p w14:paraId="339810E7" w14:textId="77777777" w:rsidR="00C8485E" w:rsidRPr="00532C20" w:rsidRDefault="00C8485E" w:rsidP="00BF270A">
            <w:pPr>
              <w:jc w:val="center"/>
              <w:rPr>
                <w:rFonts w:ascii="Times New Roman" w:hAnsi="Times New Roman" w:cs="Times New Roman"/>
                <w:b/>
                <w:noProof/>
                <w:color w:val="auto"/>
                <w:sz w:val="24"/>
                <w:szCs w:val="24"/>
                <w:lang w:val="en-IE" w:eastAsia="en-GB"/>
              </w:rPr>
            </w:pPr>
            <w:r w:rsidRPr="00532C20">
              <w:rPr>
                <w:rFonts w:ascii="Times New Roman" w:hAnsi="Times New Roman" w:cs="Times New Roman"/>
                <w:b/>
                <w:noProof/>
                <w:color w:val="auto"/>
                <w:sz w:val="24"/>
                <w:szCs w:val="24"/>
                <w:lang w:val="en-IE" w:eastAsia="en-GB"/>
              </w:rPr>
              <w:t>Large (0.7%)</w:t>
            </w:r>
          </w:p>
        </w:tc>
        <w:tc>
          <w:tcPr>
            <w:tcW w:w="0" w:type="dxa"/>
            <w:shd w:val="clear" w:color="auto" w:fill="002060"/>
            <w:noWrap/>
            <w:vAlign w:val="center"/>
            <w:hideMark/>
          </w:tcPr>
          <w:p w14:paraId="6BCD4AD4" w14:textId="77777777" w:rsidR="00C8485E" w:rsidRPr="00532C20" w:rsidRDefault="00C8485E" w:rsidP="00BF270A">
            <w:pPr>
              <w:rPr>
                <w:rFonts w:ascii="Times New Roman" w:hAnsi="Times New Roman" w:cs="Times New Roman"/>
                <w:b/>
                <w:noProof/>
                <w:color w:val="auto"/>
                <w:sz w:val="24"/>
                <w:szCs w:val="24"/>
                <w:lang w:val="en-IE" w:eastAsia="en-GB"/>
              </w:rPr>
            </w:pPr>
            <w:r w:rsidRPr="00532C20">
              <w:rPr>
                <w:rFonts w:ascii="Times New Roman" w:hAnsi="Times New Roman" w:cs="Times New Roman"/>
                <w:b/>
                <w:noProof/>
                <w:color w:val="auto"/>
                <w:sz w:val="24"/>
                <w:szCs w:val="24"/>
                <w:lang w:val="en-IE" w:eastAsia="en-GB"/>
              </w:rPr>
              <w:t>General average costs across all entities</w:t>
            </w:r>
          </w:p>
        </w:tc>
      </w:tr>
      <w:tr w:rsidR="00C8485E" w:rsidRPr="00532C20" w14:paraId="4BD4E313" w14:textId="77777777" w:rsidTr="00BF270A">
        <w:trPr>
          <w:trHeight w:val="20"/>
        </w:trPr>
        <w:tc>
          <w:tcPr>
            <w:tcW w:w="2830" w:type="dxa"/>
            <w:tcBorders>
              <w:bottom w:val="single" w:sz="4" w:space="0" w:color="002060"/>
            </w:tcBorders>
            <w:shd w:val="clear" w:color="auto" w:fill="D9D9D9"/>
            <w:noWrap/>
            <w:vAlign w:val="center"/>
            <w:hideMark/>
          </w:tcPr>
          <w:p w14:paraId="050113CA" w14:textId="77777777" w:rsidR="00C8485E" w:rsidRPr="00532C20" w:rsidRDefault="00C8485E" w:rsidP="00BF270A">
            <w:pPr>
              <w:rPr>
                <w:rFonts w:ascii="Times New Roman" w:hAnsi="Times New Roman" w:cs="Times New Roman"/>
                <w:b/>
                <w:noProof/>
                <w:sz w:val="24"/>
                <w:szCs w:val="24"/>
                <w:lang w:val="en-IE" w:eastAsia="en-GB"/>
              </w:rPr>
            </w:pPr>
            <w:r w:rsidRPr="00532C20">
              <w:rPr>
                <w:rFonts w:ascii="Times New Roman" w:hAnsi="Times New Roman" w:cs="Times New Roman"/>
                <w:b/>
                <w:noProof/>
                <w:sz w:val="24"/>
                <w:szCs w:val="24"/>
                <w:lang w:val="en-IE" w:eastAsia="en-GB"/>
              </w:rPr>
              <w:t>Average total costs per entity</w:t>
            </w:r>
          </w:p>
        </w:tc>
        <w:tc>
          <w:tcPr>
            <w:tcW w:w="1560" w:type="dxa"/>
            <w:tcBorders>
              <w:bottom w:val="single" w:sz="4" w:space="0" w:color="002060"/>
            </w:tcBorders>
            <w:shd w:val="clear" w:color="auto" w:fill="auto"/>
            <w:noWrap/>
            <w:vAlign w:val="center"/>
          </w:tcPr>
          <w:p w14:paraId="1560EA94" w14:textId="77777777" w:rsidR="00C8485E" w:rsidRPr="00532C20" w:rsidRDefault="00C8485E" w:rsidP="00BF270A">
            <w:pPr>
              <w:jc w:val="right"/>
              <w:rPr>
                <w:rFonts w:ascii="Times New Roman" w:hAnsi="Times New Roman" w:cs="Times New Roman"/>
                <w:noProof/>
                <w:sz w:val="24"/>
                <w:szCs w:val="24"/>
                <w:lang w:val="en-IE" w:eastAsia="en-GB"/>
              </w:rPr>
            </w:pPr>
            <w:r w:rsidRPr="00532C20">
              <w:rPr>
                <w:rFonts w:ascii="Times New Roman" w:hAnsi="Times New Roman" w:cs="Times New Roman"/>
                <w:noProof/>
                <w:sz w:val="24"/>
                <w:szCs w:val="24"/>
                <w:lang w:val="en-IE" w:eastAsia="en-GB"/>
              </w:rPr>
              <w:t>828.49</w:t>
            </w:r>
          </w:p>
        </w:tc>
        <w:tc>
          <w:tcPr>
            <w:tcW w:w="1134" w:type="dxa"/>
            <w:tcBorders>
              <w:bottom w:val="single" w:sz="4" w:space="0" w:color="002060"/>
            </w:tcBorders>
            <w:shd w:val="clear" w:color="auto" w:fill="auto"/>
            <w:noWrap/>
            <w:vAlign w:val="center"/>
          </w:tcPr>
          <w:p w14:paraId="4213DA1A" w14:textId="77777777" w:rsidR="00C8485E" w:rsidRPr="00532C20" w:rsidRDefault="00C8485E" w:rsidP="00BF270A">
            <w:pPr>
              <w:jc w:val="right"/>
              <w:rPr>
                <w:rFonts w:ascii="Times New Roman" w:hAnsi="Times New Roman" w:cs="Times New Roman"/>
                <w:noProof/>
                <w:sz w:val="24"/>
                <w:szCs w:val="24"/>
                <w:lang w:val="en-IE" w:eastAsia="en-GB"/>
              </w:rPr>
            </w:pPr>
            <w:r w:rsidRPr="00532C20">
              <w:rPr>
                <w:rFonts w:ascii="Times New Roman" w:hAnsi="Times New Roman" w:cs="Times New Roman"/>
                <w:noProof/>
                <w:sz w:val="24"/>
                <w:szCs w:val="24"/>
                <w:lang w:val="en-IE" w:eastAsia="en-GB"/>
              </w:rPr>
              <w:t>1,656.97</w:t>
            </w:r>
          </w:p>
        </w:tc>
        <w:tc>
          <w:tcPr>
            <w:tcW w:w="1134" w:type="dxa"/>
            <w:tcBorders>
              <w:bottom w:val="single" w:sz="4" w:space="0" w:color="002060"/>
            </w:tcBorders>
            <w:shd w:val="clear" w:color="auto" w:fill="auto"/>
            <w:noWrap/>
            <w:vAlign w:val="center"/>
          </w:tcPr>
          <w:p w14:paraId="0EA2E2FA" w14:textId="77777777" w:rsidR="00C8485E" w:rsidRPr="00532C20" w:rsidRDefault="00C8485E" w:rsidP="00BF270A">
            <w:pPr>
              <w:jc w:val="right"/>
              <w:rPr>
                <w:rFonts w:ascii="Times New Roman" w:hAnsi="Times New Roman" w:cs="Times New Roman"/>
                <w:noProof/>
                <w:sz w:val="24"/>
                <w:szCs w:val="24"/>
                <w:lang w:val="en-IE" w:eastAsia="en-GB"/>
              </w:rPr>
            </w:pPr>
            <w:r w:rsidRPr="00532C20">
              <w:rPr>
                <w:rFonts w:ascii="Times New Roman" w:hAnsi="Times New Roman" w:cs="Times New Roman"/>
                <w:noProof/>
                <w:sz w:val="24"/>
                <w:szCs w:val="24"/>
                <w:lang w:val="en-IE" w:eastAsia="en-GB"/>
              </w:rPr>
              <w:t>3,313.94</w:t>
            </w:r>
          </w:p>
        </w:tc>
        <w:tc>
          <w:tcPr>
            <w:tcW w:w="2126" w:type="dxa"/>
            <w:tcBorders>
              <w:bottom w:val="single" w:sz="4" w:space="0" w:color="002060"/>
            </w:tcBorders>
            <w:shd w:val="clear" w:color="auto" w:fill="0C4DA2"/>
            <w:noWrap/>
            <w:vAlign w:val="center"/>
          </w:tcPr>
          <w:p w14:paraId="19EA47E5" w14:textId="77777777" w:rsidR="00C8485E" w:rsidRPr="00532C20" w:rsidRDefault="00C8485E" w:rsidP="00BF270A">
            <w:pPr>
              <w:jc w:val="right"/>
              <w:rPr>
                <w:rFonts w:ascii="Times New Roman" w:hAnsi="Times New Roman" w:cs="Times New Roman"/>
                <w:b/>
                <w:noProof/>
                <w:sz w:val="24"/>
                <w:szCs w:val="24"/>
                <w:lang w:val="en-IE" w:eastAsia="en-GB"/>
              </w:rPr>
            </w:pPr>
            <w:r w:rsidRPr="00532C20">
              <w:rPr>
                <w:rFonts w:ascii="Times New Roman" w:hAnsi="Times New Roman" w:cs="Times New Roman"/>
                <w:b/>
                <w:noProof/>
                <w:sz w:val="24"/>
                <w:szCs w:val="24"/>
                <w:lang w:val="en-IE" w:eastAsia="en-GB"/>
              </w:rPr>
              <w:t>862.45</w:t>
            </w:r>
          </w:p>
        </w:tc>
      </w:tr>
    </w:tbl>
    <w:p w14:paraId="6B8F32FA" w14:textId="0154DAE1" w:rsidR="00C8485E" w:rsidRPr="00532C20" w:rsidRDefault="005E57C1" w:rsidP="00C8485E">
      <w:pPr>
        <w:keepNext/>
        <w:spacing w:before="120" w:after="120" w:line="240" w:lineRule="auto"/>
        <w:jc w:val="both"/>
        <w:rPr>
          <w:rFonts w:ascii="Times New Roman" w:eastAsia="Times New Roman" w:hAnsi="Times New Roman" w:cs="Times New Roman"/>
          <w:b/>
          <w:noProof/>
          <w:sz w:val="24"/>
          <w:szCs w:val="24"/>
        </w:rPr>
      </w:pPr>
      <w:bookmarkStart w:id="1159" w:name="_Toc140752085"/>
      <w:r w:rsidRPr="00532C20">
        <w:rPr>
          <w:rFonts w:ascii="Times New Roman" w:eastAsia="Times New Roman" w:hAnsi="Times New Roman" w:cs="Times New Roman"/>
          <w:b/>
          <w:noProof/>
          <w:sz w:val="24"/>
          <w:szCs w:val="24"/>
        </w:rPr>
        <w:t>Estimated</w:t>
      </w:r>
      <w:r w:rsidR="00C8485E" w:rsidRPr="00532C20">
        <w:rPr>
          <w:rFonts w:ascii="Times New Roman" w:eastAsia="Times New Roman" w:hAnsi="Times New Roman" w:cs="Times New Roman"/>
          <w:b/>
          <w:noProof/>
          <w:sz w:val="24"/>
          <w:szCs w:val="24"/>
        </w:rPr>
        <w:t xml:space="preserve"> total costs to interest representation entities within scope (over 10-years)</w:t>
      </w:r>
      <w:bookmarkEnd w:id="1159"/>
    </w:p>
    <w:tbl>
      <w:tblPr>
        <w:tblStyle w:val="12uCharChar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843"/>
        <w:gridCol w:w="2126"/>
        <w:gridCol w:w="1972"/>
      </w:tblGrid>
      <w:tr w:rsidR="006A1818" w:rsidRPr="00532C20" w14:paraId="09E7FFF9"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2830" w:type="dxa"/>
            <w:shd w:val="clear" w:color="auto" w:fill="002060"/>
            <w:vAlign w:val="center"/>
          </w:tcPr>
          <w:p w14:paraId="6E58587A" w14:textId="77777777" w:rsidR="00037439" w:rsidRPr="00BF79CB" w:rsidRDefault="00037439" w:rsidP="00037439">
            <w:pPr>
              <w:rPr>
                <w:rFonts w:ascii="Times New Roman" w:eastAsia="Times" w:hAnsi="Times New Roman" w:cs="Times"/>
                <w:b/>
                <w:bCs/>
                <w:noProof/>
                <w:color w:val="auto"/>
                <w:sz w:val="24"/>
                <w:szCs w:val="24"/>
                <w:lang w:val="en-GB"/>
              </w:rPr>
            </w:pPr>
            <w:r w:rsidRPr="00BF79CB">
              <w:rPr>
                <w:rFonts w:ascii="Times New Roman" w:eastAsia="Times" w:hAnsi="Times New Roman" w:cs="Times"/>
                <w:b/>
                <w:bCs/>
                <w:noProof/>
                <w:sz w:val="24"/>
                <w:szCs w:val="24"/>
                <w:lang w:val="fr-FR"/>
              </w:rPr>
              <w:t>Cost item</w:t>
            </w:r>
          </w:p>
        </w:tc>
        <w:tc>
          <w:tcPr>
            <w:tcW w:w="1843" w:type="dxa"/>
            <w:shd w:val="clear" w:color="auto" w:fill="002060"/>
            <w:vAlign w:val="center"/>
          </w:tcPr>
          <w:p w14:paraId="4E472985" w14:textId="77777777" w:rsidR="00037439" w:rsidRPr="00BF79CB" w:rsidRDefault="00037439" w:rsidP="00037439">
            <w:pPr>
              <w:jc w:val="center"/>
              <w:rPr>
                <w:rFonts w:ascii="Times New Roman" w:eastAsia="Times" w:hAnsi="Times New Roman" w:cs="Times"/>
                <w:b/>
                <w:bCs/>
                <w:noProof/>
                <w:color w:val="auto"/>
                <w:sz w:val="24"/>
                <w:szCs w:val="24"/>
                <w:lang w:val="en-GB"/>
              </w:rPr>
            </w:pPr>
            <w:r w:rsidRPr="00BF79CB">
              <w:rPr>
                <w:rFonts w:ascii="Times New Roman" w:eastAsia="Times" w:hAnsi="Times New Roman" w:cs="Times"/>
                <w:b/>
                <w:bCs/>
                <w:noProof/>
                <w:sz w:val="24"/>
                <w:szCs w:val="24"/>
                <w:lang w:val="fr-FR"/>
              </w:rPr>
              <w:t>Low scenario (EUR)</w:t>
            </w:r>
          </w:p>
        </w:tc>
        <w:tc>
          <w:tcPr>
            <w:tcW w:w="2126" w:type="dxa"/>
            <w:shd w:val="clear" w:color="auto" w:fill="002060"/>
            <w:vAlign w:val="center"/>
          </w:tcPr>
          <w:p w14:paraId="1B10AE0F" w14:textId="77777777" w:rsidR="00037439" w:rsidRPr="00BF79CB" w:rsidRDefault="00037439" w:rsidP="00037439">
            <w:pPr>
              <w:jc w:val="center"/>
              <w:rPr>
                <w:rFonts w:ascii="Times New Roman" w:eastAsia="Times" w:hAnsi="Times New Roman" w:cs="Times"/>
                <w:b/>
                <w:bCs/>
                <w:noProof/>
                <w:color w:val="auto"/>
                <w:sz w:val="24"/>
                <w:szCs w:val="24"/>
                <w:lang w:val="en-GB"/>
              </w:rPr>
            </w:pPr>
            <w:r w:rsidRPr="00BF79CB">
              <w:rPr>
                <w:rFonts w:ascii="Times New Roman" w:eastAsia="Times" w:hAnsi="Times New Roman" w:cs="Times"/>
                <w:b/>
                <w:bCs/>
                <w:noProof/>
                <w:sz w:val="24"/>
                <w:szCs w:val="24"/>
                <w:lang w:val="fr-FR"/>
              </w:rPr>
              <w:t>Middle scenario (EUR)</w:t>
            </w:r>
          </w:p>
        </w:tc>
        <w:tc>
          <w:tcPr>
            <w:tcW w:w="1972" w:type="dxa"/>
            <w:shd w:val="clear" w:color="auto" w:fill="002060"/>
            <w:vAlign w:val="center"/>
          </w:tcPr>
          <w:p w14:paraId="69F227A6" w14:textId="77777777" w:rsidR="00037439" w:rsidRPr="00BF79CB" w:rsidRDefault="00037439" w:rsidP="00037439">
            <w:pPr>
              <w:jc w:val="center"/>
              <w:rPr>
                <w:rFonts w:ascii="Times New Roman" w:eastAsia="Times" w:hAnsi="Times New Roman" w:cs="Times"/>
                <w:b/>
                <w:bCs/>
                <w:noProof/>
                <w:color w:val="auto"/>
                <w:sz w:val="24"/>
                <w:szCs w:val="24"/>
                <w:lang w:val="en-GB"/>
              </w:rPr>
            </w:pPr>
            <w:r w:rsidRPr="00BF79CB">
              <w:rPr>
                <w:rFonts w:ascii="Times New Roman" w:eastAsia="Times" w:hAnsi="Times New Roman" w:cs="Times"/>
                <w:b/>
                <w:bCs/>
                <w:noProof/>
                <w:sz w:val="24"/>
                <w:szCs w:val="24"/>
                <w:lang w:val="fr-FR"/>
              </w:rPr>
              <w:t>High scenario (EUR)</w:t>
            </w:r>
          </w:p>
        </w:tc>
      </w:tr>
      <w:tr w:rsidR="00037439" w:rsidRPr="00532C20" w14:paraId="3879D4C4" w14:textId="77777777" w:rsidTr="00037439">
        <w:trPr>
          <w:trHeight w:val="20"/>
        </w:trPr>
        <w:tc>
          <w:tcPr>
            <w:tcW w:w="2830" w:type="dxa"/>
            <w:shd w:val="clear" w:color="auto" w:fill="D9D9D9"/>
            <w:vAlign w:val="center"/>
          </w:tcPr>
          <w:p w14:paraId="24539FD1" w14:textId="77777777" w:rsidR="00037439" w:rsidRPr="00532C20" w:rsidRDefault="00037439" w:rsidP="00037439">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fr-FR"/>
              </w:rPr>
              <w:t>Basic familiarisation costs</w:t>
            </w:r>
          </w:p>
        </w:tc>
        <w:tc>
          <w:tcPr>
            <w:tcW w:w="1843" w:type="dxa"/>
            <w:shd w:val="clear" w:color="auto" w:fill="auto"/>
            <w:vAlign w:val="center"/>
          </w:tcPr>
          <w:p w14:paraId="3726DCC8" w14:textId="77777777" w:rsidR="00037439" w:rsidRPr="00532C20" w:rsidRDefault="00037439" w:rsidP="00037439">
            <w:pPr>
              <w:jc w:val="right"/>
              <w:rPr>
                <w:rFonts w:ascii="Times New Roman" w:eastAsia="Times" w:hAnsi="Times New Roman" w:cs="Times"/>
                <w:noProof/>
                <w:sz w:val="24"/>
                <w:szCs w:val="24"/>
                <w:lang w:val="en-GB"/>
              </w:rPr>
            </w:pPr>
            <w:r w:rsidRPr="00532C20">
              <w:rPr>
                <w:rFonts w:ascii="Times New Roman" w:eastAsia="Times" w:hAnsi="Times New Roman" w:cstheme="minorBidi"/>
                <w:noProof/>
                <w:color w:val="000000"/>
                <w:sz w:val="24"/>
                <w:szCs w:val="24"/>
                <w:lang w:val="fr-FR"/>
              </w:rPr>
              <w:t xml:space="preserve">71,165,916.06 </w:t>
            </w:r>
          </w:p>
        </w:tc>
        <w:tc>
          <w:tcPr>
            <w:tcW w:w="2126" w:type="dxa"/>
            <w:shd w:val="clear" w:color="auto" w:fill="auto"/>
            <w:vAlign w:val="center"/>
          </w:tcPr>
          <w:p w14:paraId="68F0C5E9" w14:textId="77777777" w:rsidR="00037439" w:rsidRPr="00532C20" w:rsidRDefault="00037439" w:rsidP="00037439">
            <w:pPr>
              <w:jc w:val="right"/>
              <w:rPr>
                <w:rFonts w:ascii="Times New Roman" w:eastAsia="Times" w:hAnsi="Times New Roman" w:cs="Times"/>
                <w:noProof/>
                <w:sz w:val="24"/>
                <w:szCs w:val="24"/>
                <w:lang w:val="en-GB"/>
              </w:rPr>
            </w:pPr>
            <w:r w:rsidRPr="00532C20">
              <w:rPr>
                <w:rFonts w:ascii="Times New Roman" w:eastAsia="Times" w:hAnsi="Times New Roman" w:cstheme="minorBidi"/>
                <w:noProof/>
                <w:color w:val="000000"/>
                <w:sz w:val="24"/>
                <w:szCs w:val="24"/>
                <w:lang w:val="fr-FR"/>
              </w:rPr>
              <w:t xml:space="preserve">142,338,950.84 </w:t>
            </w:r>
          </w:p>
        </w:tc>
        <w:tc>
          <w:tcPr>
            <w:tcW w:w="1972" w:type="dxa"/>
            <w:shd w:val="clear" w:color="auto" w:fill="auto"/>
            <w:vAlign w:val="center"/>
          </w:tcPr>
          <w:p w14:paraId="77E57301" w14:textId="77777777" w:rsidR="00037439" w:rsidRPr="00532C20" w:rsidRDefault="00037439" w:rsidP="00037439">
            <w:pPr>
              <w:jc w:val="right"/>
              <w:rPr>
                <w:rFonts w:ascii="Times New Roman" w:eastAsia="Times" w:hAnsi="Times New Roman" w:cs="Times"/>
                <w:noProof/>
                <w:sz w:val="24"/>
                <w:szCs w:val="24"/>
                <w:lang w:val="en-GB"/>
              </w:rPr>
            </w:pPr>
            <w:r w:rsidRPr="00532C20">
              <w:rPr>
                <w:rFonts w:ascii="Times New Roman" w:eastAsia="Times" w:hAnsi="Times New Roman" w:cstheme="minorBidi"/>
                <w:noProof/>
                <w:color w:val="000000"/>
                <w:sz w:val="24"/>
                <w:szCs w:val="24"/>
                <w:lang w:val="fr-FR"/>
              </w:rPr>
              <w:t xml:space="preserve">213,519,104.36 </w:t>
            </w:r>
          </w:p>
        </w:tc>
      </w:tr>
      <w:tr w:rsidR="00037439" w:rsidRPr="00532C20" w14:paraId="5E08DE36" w14:textId="77777777" w:rsidTr="00037439">
        <w:trPr>
          <w:trHeight w:val="20"/>
        </w:trPr>
        <w:tc>
          <w:tcPr>
            <w:tcW w:w="2830" w:type="dxa"/>
            <w:shd w:val="clear" w:color="auto" w:fill="D9D9D9"/>
            <w:vAlign w:val="center"/>
          </w:tcPr>
          <w:p w14:paraId="34E43028" w14:textId="77777777" w:rsidR="00037439" w:rsidRPr="00532C20" w:rsidRDefault="00037439" w:rsidP="00037439">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fr-FR"/>
              </w:rPr>
              <w:t>Extended familiarisation costs</w:t>
            </w:r>
          </w:p>
        </w:tc>
        <w:tc>
          <w:tcPr>
            <w:tcW w:w="1843" w:type="dxa"/>
            <w:shd w:val="clear" w:color="auto" w:fill="auto"/>
            <w:vAlign w:val="center"/>
          </w:tcPr>
          <w:p w14:paraId="311836EA" w14:textId="77777777" w:rsidR="00037439" w:rsidRPr="00532C20" w:rsidRDefault="00037439" w:rsidP="00037439">
            <w:pPr>
              <w:jc w:val="right"/>
              <w:rPr>
                <w:rFonts w:ascii="Times New Roman" w:eastAsia="Times" w:hAnsi="Times New Roman" w:cs="Times"/>
                <w:noProof/>
                <w:sz w:val="24"/>
                <w:szCs w:val="24"/>
                <w:lang w:val="en-GB"/>
              </w:rPr>
            </w:pPr>
            <w:r w:rsidRPr="00532C20">
              <w:rPr>
                <w:rFonts w:ascii="Times New Roman" w:eastAsia="Times" w:hAnsi="Times New Roman" w:cstheme="minorBidi"/>
                <w:noProof/>
                <w:color w:val="000000"/>
                <w:sz w:val="24"/>
                <w:szCs w:val="24"/>
                <w:lang w:val="fr-FR"/>
              </w:rPr>
              <w:t>56,949.82</w:t>
            </w:r>
          </w:p>
        </w:tc>
        <w:tc>
          <w:tcPr>
            <w:tcW w:w="2126" w:type="dxa"/>
            <w:shd w:val="clear" w:color="auto" w:fill="auto"/>
            <w:vAlign w:val="center"/>
          </w:tcPr>
          <w:p w14:paraId="08FF7452" w14:textId="77777777" w:rsidR="00037439" w:rsidRPr="00532C20" w:rsidRDefault="00037439" w:rsidP="00037439">
            <w:pPr>
              <w:jc w:val="right"/>
              <w:rPr>
                <w:rFonts w:ascii="Times New Roman" w:eastAsia="Times" w:hAnsi="Times New Roman" w:cs="Times"/>
                <w:noProof/>
                <w:sz w:val="24"/>
                <w:szCs w:val="24"/>
                <w:lang w:val="en-GB"/>
              </w:rPr>
            </w:pPr>
            <w:r w:rsidRPr="00532C20">
              <w:rPr>
                <w:rFonts w:ascii="Times New Roman" w:eastAsia="Times" w:hAnsi="Times New Roman" w:cstheme="minorBidi"/>
                <w:noProof/>
                <w:color w:val="000000"/>
                <w:sz w:val="24"/>
                <w:szCs w:val="24"/>
                <w:lang w:val="fr-FR"/>
              </w:rPr>
              <w:t xml:space="preserve">142,374.54 </w:t>
            </w:r>
          </w:p>
        </w:tc>
        <w:tc>
          <w:tcPr>
            <w:tcW w:w="1972" w:type="dxa"/>
            <w:shd w:val="clear" w:color="auto" w:fill="auto"/>
            <w:vAlign w:val="center"/>
          </w:tcPr>
          <w:p w14:paraId="4B1E21F0" w14:textId="77777777" w:rsidR="00037439" w:rsidRPr="00532C20" w:rsidRDefault="00037439" w:rsidP="00037439">
            <w:pPr>
              <w:jc w:val="right"/>
              <w:rPr>
                <w:rFonts w:ascii="Times New Roman" w:eastAsia="Times" w:hAnsi="Times New Roman" w:cs="Times"/>
                <w:noProof/>
                <w:sz w:val="24"/>
                <w:szCs w:val="24"/>
                <w:lang w:val="en-GB"/>
              </w:rPr>
            </w:pPr>
            <w:r w:rsidRPr="00532C20">
              <w:rPr>
                <w:rFonts w:ascii="Times New Roman" w:eastAsia="Times" w:hAnsi="Times New Roman" w:cstheme="minorBidi"/>
                <w:noProof/>
                <w:color w:val="000000"/>
                <w:sz w:val="24"/>
                <w:szCs w:val="24"/>
                <w:lang w:val="fr-FR"/>
              </w:rPr>
              <w:t xml:space="preserve">256,274.18 </w:t>
            </w:r>
          </w:p>
        </w:tc>
      </w:tr>
      <w:tr w:rsidR="00037439" w:rsidRPr="00532C20" w14:paraId="48DA495A" w14:textId="77777777" w:rsidTr="00037439">
        <w:trPr>
          <w:trHeight w:val="20"/>
        </w:trPr>
        <w:tc>
          <w:tcPr>
            <w:tcW w:w="2830" w:type="dxa"/>
            <w:shd w:val="clear" w:color="auto" w:fill="D9D9D9"/>
            <w:vAlign w:val="center"/>
          </w:tcPr>
          <w:p w14:paraId="15419849" w14:textId="77777777" w:rsidR="00037439" w:rsidRPr="00532C20" w:rsidRDefault="00037439" w:rsidP="00037439">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en-IE"/>
              </w:rPr>
              <w:t>Registration and information disclosure costs</w:t>
            </w:r>
          </w:p>
        </w:tc>
        <w:tc>
          <w:tcPr>
            <w:tcW w:w="1843" w:type="dxa"/>
            <w:shd w:val="clear" w:color="auto" w:fill="auto"/>
            <w:vAlign w:val="center"/>
          </w:tcPr>
          <w:p w14:paraId="107BD3C2" w14:textId="77777777" w:rsidR="00037439" w:rsidRPr="00532C20" w:rsidRDefault="00037439" w:rsidP="00037439">
            <w:pPr>
              <w:jc w:val="right"/>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rPr>
              <w:t>6,142,119.10</w:t>
            </w:r>
          </w:p>
        </w:tc>
        <w:tc>
          <w:tcPr>
            <w:tcW w:w="2126" w:type="dxa"/>
            <w:shd w:val="clear" w:color="auto" w:fill="auto"/>
            <w:vAlign w:val="center"/>
          </w:tcPr>
          <w:p w14:paraId="79776588" w14:textId="77777777" w:rsidR="00037439" w:rsidRPr="00532C20" w:rsidRDefault="00037439" w:rsidP="00037439">
            <w:pPr>
              <w:jc w:val="right"/>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rPr>
              <w:t>7,677,648.90</w:t>
            </w:r>
          </w:p>
        </w:tc>
        <w:tc>
          <w:tcPr>
            <w:tcW w:w="1972" w:type="dxa"/>
            <w:shd w:val="clear" w:color="auto" w:fill="auto"/>
            <w:vAlign w:val="center"/>
          </w:tcPr>
          <w:p w14:paraId="747F0B1D" w14:textId="77777777" w:rsidR="00037439" w:rsidRPr="00532C20" w:rsidRDefault="00037439" w:rsidP="00037439">
            <w:pPr>
              <w:jc w:val="right"/>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rPr>
              <w:t>9,213,178.70</w:t>
            </w:r>
          </w:p>
        </w:tc>
      </w:tr>
      <w:tr w:rsidR="00037439" w:rsidRPr="00532C20" w14:paraId="78CDDD66" w14:textId="77777777" w:rsidTr="00037439">
        <w:trPr>
          <w:trHeight w:val="20"/>
        </w:trPr>
        <w:tc>
          <w:tcPr>
            <w:tcW w:w="2830" w:type="dxa"/>
            <w:shd w:val="clear" w:color="auto" w:fill="D9D9D9"/>
            <w:vAlign w:val="center"/>
          </w:tcPr>
          <w:p w14:paraId="793CD83C" w14:textId="5013C118" w:rsidR="00037439" w:rsidRPr="00532C20" w:rsidRDefault="00037439" w:rsidP="00037439">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fr-FR"/>
              </w:rPr>
              <w:t>Record-keeping costs</w:t>
            </w:r>
          </w:p>
        </w:tc>
        <w:tc>
          <w:tcPr>
            <w:tcW w:w="5941" w:type="dxa"/>
            <w:gridSpan w:val="3"/>
            <w:shd w:val="clear" w:color="auto" w:fill="auto"/>
            <w:vAlign w:val="center"/>
          </w:tcPr>
          <w:p w14:paraId="2E406E22" w14:textId="77777777" w:rsidR="00037439" w:rsidRPr="00532C20" w:rsidRDefault="00037439" w:rsidP="00037439">
            <w:pPr>
              <w:rPr>
                <w:rFonts w:ascii="Times New Roman" w:eastAsia="Times" w:hAnsi="Times New Roman" w:cs="Times"/>
                <w:i/>
                <w:noProof/>
                <w:sz w:val="24"/>
                <w:szCs w:val="24"/>
                <w:lang w:val="en-GB"/>
              </w:rPr>
            </w:pPr>
            <w:r w:rsidRPr="00532C20">
              <w:rPr>
                <w:rFonts w:ascii="Times New Roman" w:eastAsia="Times" w:hAnsi="Times New Roman" w:cs="Times"/>
                <w:i/>
                <w:noProof/>
                <w:sz w:val="24"/>
                <w:szCs w:val="24"/>
                <w:lang w:val="en-IE"/>
              </w:rPr>
              <w:t>Business as usual (BaU) – No incremental costs</w:t>
            </w:r>
          </w:p>
        </w:tc>
      </w:tr>
      <w:tr w:rsidR="00037439" w:rsidRPr="00532C20" w14:paraId="6114AF19" w14:textId="77777777" w:rsidTr="00037439">
        <w:trPr>
          <w:trHeight w:val="20"/>
        </w:trPr>
        <w:tc>
          <w:tcPr>
            <w:tcW w:w="2830" w:type="dxa"/>
            <w:shd w:val="clear" w:color="auto" w:fill="D9D9D9"/>
            <w:vAlign w:val="center"/>
          </w:tcPr>
          <w:p w14:paraId="0CB38419" w14:textId="20E38C0A" w:rsidR="00037439" w:rsidRPr="00532C20" w:rsidRDefault="00037439" w:rsidP="00037439">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en-IE"/>
              </w:rPr>
              <w:t>Other costs (incl. admin sanctions, registration fees)</w:t>
            </w:r>
          </w:p>
        </w:tc>
        <w:tc>
          <w:tcPr>
            <w:tcW w:w="5941" w:type="dxa"/>
            <w:gridSpan w:val="3"/>
            <w:shd w:val="clear" w:color="auto" w:fill="auto"/>
            <w:vAlign w:val="center"/>
          </w:tcPr>
          <w:p w14:paraId="5DDF783D" w14:textId="77777777" w:rsidR="00037439" w:rsidRPr="00532C20" w:rsidRDefault="00037439" w:rsidP="00037439">
            <w:pPr>
              <w:rPr>
                <w:rFonts w:ascii="Times New Roman" w:eastAsia="Times" w:hAnsi="Times New Roman" w:cs="Times"/>
                <w:i/>
                <w:noProof/>
                <w:sz w:val="24"/>
                <w:szCs w:val="24"/>
                <w:lang w:val="en-GB"/>
              </w:rPr>
            </w:pPr>
            <w:r w:rsidRPr="00532C20">
              <w:rPr>
                <w:rFonts w:ascii="Times New Roman" w:eastAsia="Times" w:hAnsi="Times New Roman" w:cs="Times"/>
                <w:i/>
                <w:noProof/>
                <w:sz w:val="24"/>
                <w:szCs w:val="24"/>
                <w:lang w:val="en-IE"/>
              </w:rPr>
              <w:t>No total cost estimates possible due to lack of evidence on possible frequency and actual scale of fines.</w:t>
            </w:r>
          </w:p>
        </w:tc>
      </w:tr>
      <w:tr w:rsidR="00037439" w:rsidRPr="00532C20" w14:paraId="0D674089" w14:textId="77777777" w:rsidTr="00037439">
        <w:trPr>
          <w:trHeight w:val="20"/>
        </w:trPr>
        <w:tc>
          <w:tcPr>
            <w:tcW w:w="2830" w:type="dxa"/>
            <w:shd w:val="clear" w:color="auto" w:fill="0C4DA2"/>
            <w:vAlign w:val="center"/>
          </w:tcPr>
          <w:p w14:paraId="718E4458" w14:textId="77777777" w:rsidR="00037439" w:rsidRPr="00532C20" w:rsidRDefault="00037439" w:rsidP="00037439">
            <w:pPr>
              <w:jc w:val="right"/>
              <w:rPr>
                <w:rFonts w:ascii="Times New Roman" w:eastAsia="Times" w:hAnsi="Times New Roman" w:cs="Times"/>
                <w:b/>
                <w:noProof/>
                <w:color w:val="FFFFFF"/>
                <w:sz w:val="24"/>
                <w:szCs w:val="24"/>
                <w:lang w:val="en-GB"/>
              </w:rPr>
            </w:pPr>
            <w:r w:rsidRPr="00532C20">
              <w:rPr>
                <w:rFonts w:ascii="Times New Roman" w:eastAsia="Times" w:hAnsi="Times New Roman" w:cs="Times"/>
                <w:b/>
                <w:noProof/>
                <w:color w:val="FFFFFF"/>
                <w:sz w:val="24"/>
                <w:szCs w:val="24"/>
                <w:lang w:val="fr-FR"/>
              </w:rPr>
              <w:t>Total:</w:t>
            </w:r>
          </w:p>
        </w:tc>
        <w:tc>
          <w:tcPr>
            <w:tcW w:w="1843" w:type="dxa"/>
            <w:shd w:val="clear" w:color="auto" w:fill="D9D9D9"/>
            <w:vAlign w:val="center"/>
          </w:tcPr>
          <w:p w14:paraId="79E0E43E" w14:textId="77777777" w:rsidR="00037439" w:rsidRPr="00532C20" w:rsidRDefault="00037439" w:rsidP="00037439">
            <w:pPr>
              <w:jc w:val="right"/>
              <w:rPr>
                <w:rFonts w:ascii="Times New Roman" w:eastAsia="Times" w:hAnsi="Times New Roman" w:cs="Times"/>
                <w:b/>
                <w:noProof/>
                <w:sz w:val="24"/>
                <w:szCs w:val="24"/>
                <w:lang w:val="en-GB"/>
              </w:rPr>
            </w:pPr>
            <w:r w:rsidRPr="00532C20">
              <w:rPr>
                <w:rFonts w:ascii="Times New Roman" w:eastAsia="Times" w:hAnsi="Times New Roman" w:cstheme="minorBidi"/>
                <w:b/>
                <w:noProof/>
                <w:color w:val="000000"/>
                <w:sz w:val="24"/>
                <w:szCs w:val="24"/>
                <w:lang w:val="fr-FR"/>
              </w:rPr>
              <w:t>77,364,984.98</w:t>
            </w:r>
          </w:p>
        </w:tc>
        <w:tc>
          <w:tcPr>
            <w:tcW w:w="2126" w:type="dxa"/>
            <w:shd w:val="clear" w:color="auto" w:fill="D9D9D9"/>
            <w:vAlign w:val="center"/>
          </w:tcPr>
          <w:p w14:paraId="43A11D87" w14:textId="77777777" w:rsidR="00037439" w:rsidRPr="00532C20" w:rsidRDefault="00037439" w:rsidP="00037439">
            <w:pPr>
              <w:jc w:val="right"/>
              <w:rPr>
                <w:rFonts w:ascii="Times New Roman" w:eastAsia="Times" w:hAnsi="Times New Roman" w:cs="Times"/>
                <w:b/>
                <w:noProof/>
                <w:sz w:val="24"/>
                <w:szCs w:val="24"/>
                <w:lang w:val="en-GB"/>
              </w:rPr>
            </w:pPr>
            <w:r w:rsidRPr="00532C20">
              <w:rPr>
                <w:rFonts w:ascii="Times New Roman" w:eastAsia="Times" w:hAnsi="Times New Roman" w:cstheme="minorBidi"/>
                <w:b/>
                <w:noProof/>
                <w:color w:val="000000"/>
                <w:sz w:val="24"/>
                <w:szCs w:val="24"/>
                <w:lang w:val="fr-FR"/>
              </w:rPr>
              <w:t>150,158,974.28</w:t>
            </w:r>
          </w:p>
        </w:tc>
        <w:tc>
          <w:tcPr>
            <w:tcW w:w="1972" w:type="dxa"/>
            <w:shd w:val="clear" w:color="auto" w:fill="D9D9D9"/>
            <w:vAlign w:val="center"/>
          </w:tcPr>
          <w:p w14:paraId="16F69964" w14:textId="77777777" w:rsidR="00037439" w:rsidRPr="00532C20" w:rsidRDefault="00037439" w:rsidP="00037439">
            <w:pPr>
              <w:jc w:val="right"/>
              <w:rPr>
                <w:rFonts w:ascii="Times New Roman" w:eastAsia="Times" w:hAnsi="Times New Roman" w:cs="Times"/>
                <w:b/>
                <w:noProof/>
                <w:sz w:val="24"/>
                <w:szCs w:val="24"/>
                <w:lang w:val="en-GB"/>
              </w:rPr>
            </w:pPr>
            <w:r w:rsidRPr="00532C20">
              <w:rPr>
                <w:rFonts w:ascii="Times New Roman" w:eastAsia="Times" w:hAnsi="Times New Roman" w:cstheme="minorBidi"/>
                <w:b/>
                <w:noProof/>
                <w:color w:val="000000"/>
                <w:sz w:val="24"/>
                <w:szCs w:val="24"/>
                <w:lang w:val="fr-FR"/>
              </w:rPr>
              <w:t>222,988,557.24</w:t>
            </w:r>
          </w:p>
        </w:tc>
      </w:tr>
    </w:tbl>
    <w:p w14:paraId="5230E5F2" w14:textId="77777777" w:rsidR="00ED56FD" w:rsidRPr="00532C20" w:rsidRDefault="00ED56FD" w:rsidP="00ED56FD">
      <w:pPr>
        <w:rPr>
          <w:noProof/>
        </w:rPr>
      </w:pPr>
    </w:p>
    <w:p w14:paraId="5EB29E34" w14:textId="45CA157C" w:rsidR="0020718B" w:rsidRPr="00532C20" w:rsidRDefault="28521F7F" w:rsidP="002B0B48">
      <w:pPr>
        <w:pStyle w:val="ListParagraph"/>
        <w:numPr>
          <w:ilvl w:val="0"/>
          <w:numId w:val="75"/>
        </w:numPr>
        <w:rPr>
          <w:b/>
          <w:bCs/>
          <w:noProof/>
          <w:u w:val="single"/>
        </w:rPr>
      </w:pPr>
      <w:r w:rsidRPr="00532C20">
        <w:rPr>
          <w:b/>
          <w:bCs/>
          <w:noProof/>
          <w:u w:val="single"/>
        </w:rPr>
        <w:t xml:space="preserve">Summary of costs and </w:t>
      </w:r>
      <w:r w:rsidRPr="00532C20">
        <w:rPr>
          <w:b/>
          <w:noProof/>
          <w:u w:val="single"/>
        </w:rPr>
        <w:t>benefi</w:t>
      </w:r>
      <w:r w:rsidR="00F86494" w:rsidRPr="00532C20">
        <w:rPr>
          <w:b/>
          <w:noProof/>
          <w:u w:val="single"/>
        </w:rPr>
        <w:t>ts</w:t>
      </w:r>
    </w:p>
    <w:p w14:paraId="4C97FDF6" w14:textId="77777777" w:rsidR="00ED56FD" w:rsidRPr="00532C20" w:rsidRDefault="00ED56FD" w:rsidP="00ED56FD">
      <w:pPr>
        <w:pStyle w:val="ListParagraph"/>
        <w:ind w:left="360"/>
        <w:rPr>
          <w:noProof/>
        </w:rPr>
      </w:pPr>
    </w:p>
    <w:tbl>
      <w:tblPr>
        <w:tblStyle w:val="CV121"/>
        <w:tblW w:w="10200"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10"/>
        <w:gridCol w:w="4041"/>
        <w:gridCol w:w="3649"/>
      </w:tblGrid>
      <w:tr w:rsidR="00EA7ED1" w:rsidRPr="00532C20" w14:paraId="11CA485B" w14:textId="77777777" w:rsidTr="273A7DD4">
        <w:tc>
          <w:tcPr>
            <w:tcW w:w="10200" w:type="dxa"/>
            <w:gridSpan w:val="3"/>
            <w:tcBorders>
              <w:top w:val="double" w:sz="4" w:space="0" w:color="auto"/>
              <w:left w:val="double" w:sz="4" w:space="0" w:color="auto"/>
              <w:bottom w:val="single" w:sz="4" w:space="0" w:color="auto"/>
              <w:right w:val="double" w:sz="4" w:space="0" w:color="auto"/>
            </w:tcBorders>
            <w:shd w:val="clear" w:color="auto" w:fill="C6D9F1" w:themeFill="text2" w:themeFillTint="33"/>
            <w:hideMark/>
          </w:tcPr>
          <w:p w14:paraId="3602502B" w14:textId="77777777" w:rsidR="0020718B" w:rsidRPr="00532C20" w:rsidRDefault="0020718B" w:rsidP="004B0958">
            <w:pPr>
              <w:rPr>
                <w:rFonts w:ascii="Times New Roman" w:eastAsia="Symbol" w:hAnsi="Times New Roman" w:cs="Times New Roman"/>
                <w:b/>
                <w:noProof/>
                <w:sz w:val="22"/>
                <w:szCs w:val="22"/>
                <w:lang w:val="en-IE"/>
              </w:rPr>
            </w:pPr>
            <w:r w:rsidRPr="00532C20">
              <w:rPr>
                <w:rFonts w:ascii="Times New Roman" w:eastAsia="Symbol" w:hAnsi="Times New Roman" w:cs="Times New Roman"/>
                <w:b/>
                <w:noProof/>
                <w:sz w:val="22"/>
                <w:szCs w:val="22"/>
                <w:lang w:val="en-IE"/>
              </w:rPr>
              <w:t>I. Overview of Benefits (total for all provisions) – Preferred Option</w:t>
            </w:r>
          </w:p>
        </w:tc>
      </w:tr>
      <w:tr w:rsidR="00094264" w:rsidRPr="00532C20" w14:paraId="30DEECF1" w14:textId="77777777" w:rsidTr="273A7DD4">
        <w:tc>
          <w:tcPr>
            <w:tcW w:w="2510" w:type="dxa"/>
            <w:tcBorders>
              <w:top w:val="single" w:sz="4" w:space="0" w:color="auto"/>
              <w:left w:val="double" w:sz="4" w:space="0" w:color="auto"/>
              <w:bottom w:val="single" w:sz="4" w:space="0" w:color="auto"/>
              <w:right w:val="single" w:sz="4" w:space="0" w:color="auto"/>
            </w:tcBorders>
            <w:shd w:val="clear" w:color="auto" w:fill="C6D9F1" w:themeFill="text2" w:themeFillTint="33"/>
            <w:hideMark/>
          </w:tcPr>
          <w:p w14:paraId="18469085" w14:textId="77777777" w:rsidR="0020718B" w:rsidRPr="00532C20" w:rsidRDefault="0020718B" w:rsidP="004B0958">
            <w:pPr>
              <w:rPr>
                <w:rFonts w:ascii="Times New Roman" w:eastAsia="Symbol" w:hAnsi="Times New Roman" w:cs="Times New Roman"/>
                <w:b/>
                <w:noProof/>
                <w:sz w:val="22"/>
                <w:szCs w:val="22"/>
                <w:lang w:val="en-IE"/>
              </w:rPr>
            </w:pPr>
            <w:r w:rsidRPr="00532C20">
              <w:rPr>
                <w:rFonts w:ascii="Times New Roman" w:eastAsia="Symbol" w:hAnsi="Times New Roman" w:cs="Times New Roman"/>
                <w:b/>
                <w:noProof/>
                <w:sz w:val="22"/>
                <w:szCs w:val="22"/>
                <w:lang w:val="en-IE"/>
              </w:rPr>
              <w:t>Description</w:t>
            </w:r>
          </w:p>
        </w:tc>
        <w:tc>
          <w:tcPr>
            <w:tcW w:w="40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6230067" w14:textId="77777777" w:rsidR="0020718B" w:rsidRPr="00532C20" w:rsidRDefault="0020718B" w:rsidP="004B0958">
            <w:pPr>
              <w:rPr>
                <w:rFonts w:ascii="Times New Roman" w:eastAsia="Symbol" w:hAnsi="Times New Roman" w:cs="Times New Roman"/>
                <w:b/>
                <w:noProof/>
                <w:sz w:val="22"/>
                <w:szCs w:val="22"/>
                <w:lang w:val="en-IE"/>
              </w:rPr>
            </w:pPr>
            <w:r w:rsidRPr="00532C20">
              <w:rPr>
                <w:rFonts w:ascii="Times New Roman" w:eastAsia="Symbol" w:hAnsi="Times New Roman" w:cs="Times New Roman"/>
                <w:b/>
                <w:noProof/>
                <w:sz w:val="22"/>
                <w:szCs w:val="22"/>
                <w:lang w:val="en-IE"/>
              </w:rPr>
              <w:t>Amount</w:t>
            </w:r>
          </w:p>
        </w:tc>
        <w:tc>
          <w:tcPr>
            <w:tcW w:w="3649" w:type="dxa"/>
            <w:tcBorders>
              <w:top w:val="single" w:sz="4" w:space="0" w:color="auto"/>
              <w:left w:val="single" w:sz="4" w:space="0" w:color="auto"/>
              <w:bottom w:val="single" w:sz="4" w:space="0" w:color="auto"/>
              <w:right w:val="double" w:sz="4" w:space="0" w:color="auto"/>
            </w:tcBorders>
            <w:shd w:val="clear" w:color="auto" w:fill="C6D9F1" w:themeFill="text2" w:themeFillTint="33"/>
            <w:tcMar>
              <w:top w:w="57" w:type="dxa"/>
              <w:left w:w="57" w:type="dxa"/>
              <w:bottom w:w="57" w:type="dxa"/>
              <w:right w:w="57" w:type="dxa"/>
            </w:tcMar>
            <w:hideMark/>
          </w:tcPr>
          <w:p w14:paraId="67D35133" w14:textId="77777777" w:rsidR="0020718B" w:rsidRPr="00532C20" w:rsidRDefault="0020718B" w:rsidP="004B0958">
            <w:pPr>
              <w:rPr>
                <w:rFonts w:ascii="Times New Roman" w:eastAsia="Symbol" w:hAnsi="Times New Roman" w:cs="Times New Roman"/>
                <w:b/>
                <w:noProof/>
                <w:sz w:val="22"/>
                <w:szCs w:val="22"/>
                <w:lang w:val="en-IE"/>
              </w:rPr>
            </w:pPr>
            <w:r w:rsidRPr="00532C20">
              <w:rPr>
                <w:rFonts w:ascii="Times New Roman" w:eastAsia="Symbol" w:hAnsi="Times New Roman" w:cs="Times New Roman"/>
                <w:b/>
                <w:noProof/>
                <w:sz w:val="22"/>
                <w:szCs w:val="22"/>
                <w:lang w:val="en-IE"/>
              </w:rPr>
              <w:t>Comments</w:t>
            </w:r>
          </w:p>
        </w:tc>
      </w:tr>
      <w:tr w:rsidR="00EA7ED1" w:rsidRPr="00532C20" w14:paraId="45886F62" w14:textId="77777777" w:rsidTr="273A7DD4">
        <w:tc>
          <w:tcPr>
            <w:tcW w:w="10200" w:type="dxa"/>
            <w:gridSpan w:val="3"/>
            <w:tcBorders>
              <w:top w:val="double" w:sz="4" w:space="0" w:color="auto"/>
              <w:left w:val="double" w:sz="4" w:space="0" w:color="auto"/>
              <w:bottom w:val="single" w:sz="4" w:space="0" w:color="auto"/>
              <w:right w:val="double" w:sz="4" w:space="0" w:color="auto"/>
            </w:tcBorders>
            <w:shd w:val="clear" w:color="auto" w:fill="F2F2F2" w:themeFill="background1" w:themeFillShade="F2"/>
            <w:hideMark/>
          </w:tcPr>
          <w:p w14:paraId="7334A41A" w14:textId="77777777" w:rsidR="0020718B" w:rsidRPr="00532C20" w:rsidRDefault="0020718B" w:rsidP="004B0958">
            <w:pPr>
              <w:rPr>
                <w:rFonts w:ascii="Times New Roman" w:eastAsia="Symbol" w:hAnsi="Times New Roman" w:cs="Times New Roman"/>
                <w:b/>
                <w:noProof/>
                <w:sz w:val="22"/>
                <w:szCs w:val="22"/>
                <w:lang w:val="en-IE"/>
              </w:rPr>
            </w:pPr>
            <w:r w:rsidRPr="00532C20">
              <w:rPr>
                <w:rFonts w:ascii="Times New Roman" w:eastAsia="Symbol" w:hAnsi="Times New Roman" w:cs="Times New Roman"/>
                <w:b/>
                <w:noProof/>
                <w:sz w:val="22"/>
                <w:szCs w:val="22"/>
                <w:lang w:val="en-IE"/>
              </w:rPr>
              <w:t>Direct benefits</w:t>
            </w:r>
          </w:p>
        </w:tc>
      </w:tr>
      <w:tr w:rsidR="00437A77" w:rsidRPr="00532C20" w14:paraId="2F8FC375" w14:textId="77777777" w:rsidTr="0020718B">
        <w:tc>
          <w:tcPr>
            <w:tcW w:w="2510" w:type="dxa"/>
            <w:tcBorders>
              <w:top w:val="double" w:sz="4" w:space="0" w:color="auto"/>
              <w:left w:val="double" w:sz="4" w:space="0" w:color="auto"/>
              <w:bottom w:val="single" w:sz="4" w:space="0" w:color="auto"/>
              <w:right w:val="single" w:sz="4" w:space="0" w:color="auto"/>
            </w:tcBorders>
          </w:tcPr>
          <w:p w14:paraId="1E25D8D9"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Benefits for Member State authorities.</w:t>
            </w:r>
          </w:p>
          <w:p w14:paraId="2CFCB2EF" w14:textId="77777777" w:rsidR="0020718B" w:rsidRPr="00532C20" w:rsidRDefault="0020718B" w:rsidP="004B0958">
            <w:pPr>
              <w:rPr>
                <w:rFonts w:ascii="Times New Roman" w:hAnsi="Times New Roman" w:cs="Times New Roman"/>
                <w:noProof/>
                <w:sz w:val="22"/>
                <w:szCs w:val="22"/>
                <w:lang w:val="en-IE"/>
              </w:rPr>
            </w:pPr>
          </w:p>
        </w:tc>
        <w:tc>
          <w:tcPr>
            <w:tcW w:w="404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756933D7"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Economic benefits:</w:t>
            </w:r>
          </w:p>
          <w:p w14:paraId="5FF6C813" w14:textId="162E1D0E" w:rsidR="0020718B" w:rsidRPr="00532C20" w:rsidRDefault="0020718B">
            <w:pPr>
              <w:numPr>
                <w:ilvl w:val="0"/>
                <w:numId w:val="37"/>
              </w:num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 xml:space="preserve">Increased knowledge and understanding of the market </w:t>
            </w:r>
            <w:r w:rsidR="009E3BBA" w:rsidRPr="00532C20">
              <w:rPr>
                <w:rFonts w:ascii="Times New Roman" w:eastAsia="Symbol" w:hAnsi="Times New Roman" w:cs="Times New Roman"/>
                <w:noProof/>
                <w:sz w:val="22"/>
                <w:szCs w:val="22"/>
                <w:lang w:val="en-IE"/>
              </w:rPr>
              <w:t>for interest representation activities carried out on behalf of third countries</w:t>
            </w:r>
            <w:r w:rsidRPr="00532C20">
              <w:rPr>
                <w:rFonts w:ascii="Times New Roman" w:eastAsia="Symbol" w:hAnsi="Times New Roman" w:cs="Times New Roman"/>
                <w:noProof/>
                <w:sz w:val="22"/>
                <w:szCs w:val="22"/>
                <w:lang w:val="en-IE"/>
              </w:rPr>
              <w:t xml:space="preserve"> due to increased transparency</w:t>
            </w:r>
            <w:r w:rsidR="0014352C" w:rsidRPr="00532C20">
              <w:rPr>
                <w:rFonts w:ascii="Times New Roman" w:eastAsia="Symbol" w:hAnsi="Times New Roman" w:cs="Times New Roman"/>
                <w:noProof/>
                <w:sz w:val="22"/>
                <w:szCs w:val="22"/>
                <w:lang w:val="en-IE"/>
              </w:rPr>
              <w:t>.</w:t>
            </w:r>
          </w:p>
          <w:p w14:paraId="06ED7A1D" w14:textId="77777777" w:rsidR="0020718B" w:rsidRPr="00532C20" w:rsidRDefault="0020718B" w:rsidP="004B0958">
            <w:pPr>
              <w:rPr>
                <w:rFonts w:ascii="Times New Roman" w:eastAsia="Symbol" w:hAnsi="Times New Roman" w:cs="Times New Roman"/>
                <w:noProof/>
                <w:sz w:val="22"/>
                <w:szCs w:val="22"/>
                <w:lang w:val="en-IE"/>
              </w:rPr>
            </w:pPr>
          </w:p>
          <w:p w14:paraId="21F5193E" w14:textId="49E625E0"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 xml:space="preserve">Social benefits: </w:t>
            </w:r>
          </w:p>
          <w:p w14:paraId="304786BB" w14:textId="77777777" w:rsidR="00514FFD" w:rsidRPr="00532C20" w:rsidRDefault="00514FFD" w:rsidP="00514FFD">
            <w:pPr>
              <w:numPr>
                <w:ilvl w:val="0"/>
                <w:numId w:val="37"/>
              </w:num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Increased knowledge of the magnitude, trends and actors of interest representation activities carried out on behalf of third countries.</w:t>
            </w:r>
          </w:p>
          <w:p w14:paraId="1EE2B909" w14:textId="3684B92A" w:rsidR="0020718B" w:rsidRPr="00532C20" w:rsidRDefault="0020718B">
            <w:pPr>
              <w:numPr>
                <w:ilvl w:val="0"/>
                <w:numId w:val="38"/>
              </w:numPr>
              <w:rPr>
                <w:rFonts w:ascii="Times New Roman" w:hAnsi="Times New Roman" w:cs="Times New Roman"/>
                <w:noProof/>
                <w:sz w:val="22"/>
                <w:szCs w:val="22"/>
                <w:lang w:val="en-IE"/>
              </w:rPr>
            </w:pPr>
            <w:r w:rsidRPr="00532C20">
              <w:rPr>
                <w:rFonts w:ascii="Times New Roman" w:eastAsia="Symbol" w:hAnsi="Times New Roman" w:cs="Times New Roman"/>
                <w:noProof/>
                <w:sz w:val="22"/>
                <w:szCs w:val="22"/>
                <w:lang w:val="en-IE"/>
              </w:rPr>
              <w:t>The establishment of a governance structure at EU level facilitate</w:t>
            </w:r>
            <w:r w:rsidR="00BF66ED" w:rsidRPr="00532C20">
              <w:rPr>
                <w:rFonts w:ascii="Times New Roman" w:eastAsia="Symbol" w:hAnsi="Times New Roman" w:cs="Times New Roman"/>
                <w:noProof/>
                <w:sz w:val="22"/>
                <w:szCs w:val="22"/>
                <w:lang w:val="en-IE"/>
              </w:rPr>
              <w:t>s</w:t>
            </w:r>
            <w:r w:rsidRPr="00532C20">
              <w:rPr>
                <w:rFonts w:ascii="Times New Roman" w:eastAsia="Symbol" w:hAnsi="Times New Roman" w:cs="Times New Roman"/>
                <w:noProof/>
                <w:sz w:val="22"/>
                <w:szCs w:val="22"/>
                <w:lang w:val="en-IE"/>
              </w:rPr>
              <w:t xml:space="preserve"> cooperation between Member States and improve coordination in addressing certain problems related to interest representation.  </w:t>
            </w:r>
          </w:p>
        </w:tc>
        <w:tc>
          <w:tcPr>
            <w:tcW w:w="3649"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7AE147E3"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 xml:space="preserve">Benefits are provided in a qualitative way, not in a quantitative way. </w:t>
            </w:r>
          </w:p>
        </w:tc>
      </w:tr>
      <w:tr w:rsidR="00437A77" w:rsidRPr="00532C20" w14:paraId="6BF6BE7A" w14:textId="77777777" w:rsidTr="0020718B">
        <w:tc>
          <w:tcPr>
            <w:tcW w:w="2510" w:type="dxa"/>
            <w:tcBorders>
              <w:top w:val="single" w:sz="4" w:space="0" w:color="auto"/>
              <w:left w:val="double" w:sz="4" w:space="0" w:color="auto"/>
              <w:bottom w:val="double" w:sz="4" w:space="0" w:color="auto"/>
              <w:right w:val="single" w:sz="4" w:space="0" w:color="auto"/>
            </w:tcBorders>
          </w:tcPr>
          <w:p w14:paraId="394A19E0"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 xml:space="preserve">Benefits for private entities. </w:t>
            </w:r>
          </w:p>
          <w:p w14:paraId="6ACF6CF5" w14:textId="77777777" w:rsidR="0020718B" w:rsidRPr="00532C20" w:rsidRDefault="0020718B" w:rsidP="004B0958">
            <w:pPr>
              <w:rPr>
                <w:rFonts w:ascii="Times New Roman" w:hAnsi="Times New Roman" w:cs="Times New Roman"/>
                <w:noProof/>
                <w:sz w:val="22"/>
                <w:szCs w:val="22"/>
                <w:lang w:val="en-IE"/>
              </w:rPr>
            </w:pPr>
          </w:p>
        </w:tc>
        <w:tc>
          <w:tcPr>
            <w:tcW w:w="4041"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3293D0E4"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Economic benefits:</w:t>
            </w:r>
          </w:p>
          <w:p w14:paraId="6BC1853B" w14:textId="6832A1D1" w:rsidR="0020718B" w:rsidRPr="00532C20" w:rsidRDefault="0020718B">
            <w:pPr>
              <w:numPr>
                <w:ilvl w:val="0"/>
                <w:numId w:val="30"/>
              </w:num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 xml:space="preserve">Create a level playing field and enhance legal certainty for interest representation activities </w:t>
            </w:r>
            <w:r w:rsidR="009E3BBA" w:rsidRPr="00532C20">
              <w:rPr>
                <w:rFonts w:ascii="Times New Roman" w:eastAsia="Symbol" w:hAnsi="Times New Roman" w:cs="Times New Roman"/>
                <w:noProof/>
                <w:sz w:val="22"/>
                <w:szCs w:val="22"/>
                <w:lang w:val="en-IE"/>
              </w:rPr>
              <w:t>carried out on behalf of</w:t>
            </w:r>
            <w:r w:rsidRPr="00532C20">
              <w:rPr>
                <w:rFonts w:ascii="Times New Roman" w:eastAsia="Symbol" w:hAnsi="Times New Roman" w:cs="Times New Roman"/>
                <w:noProof/>
                <w:sz w:val="22"/>
                <w:szCs w:val="22"/>
                <w:lang w:val="en-IE"/>
              </w:rPr>
              <w:t xml:space="preserve"> third countries;</w:t>
            </w:r>
          </w:p>
          <w:p w14:paraId="7A21106E" w14:textId="072C8B67" w:rsidR="0020718B" w:rsidRPr="00532C20" w:rsidRDefault="0020718B">
            <w:pPr>
              <w:numPr>
                <w:ilvl w:val="0"/>
                <w:numId w:val="30"/>
              </w:num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Facilitate service provision across multiple Member States as only</w:t>
            </w:r>
            <w:r w:rsidR="009A6CF8" w:rsidRPr="00532C20">
              <w:rPr>
                <w:rFonts w:ascii="Times New Roman" w:eastAsia="Symbol" w:hAnsi="Times New Roman" w:cs="Times New Roman"/>
                <w:noProof/>
                <w:sz w:val="22"/>
                <w:szCs w:val="22"/>
                <w:lang w:val="en-IE"/>
              </w:rPr>
              <w:t xml:space="preserve"> </w:t>
            </w:r>
            <w:r w:rsidR="00026DB1" w:rsidRPr="00532C20">
              <w:rPr>
                <w:rFonts w:ascii="Times New Roman" w:eastAsia="Symbol" w:hAnsi="Times New Roman" w:cs="Times New Roman"/>
                <w:noProof/>
                <w:sz w:val="22"/>
                <w:szCs w:val="22"/>
                <w:lang w:val="en-IE"/>
              </w:rPr>
              <w:t>1</w:t>
            </w:r>
            <w:r w:rsidR="009A6CF8" w:rsidRPr="00532C20">
              <w:rPr>
                <w:rFonts w:ascii="Times New Roman" w:eastAsia="Symbol" w:hAnsi="Times New Roman" w:cs="Times New Roman"/>
                <w:noProof/>
                <w:sz w:val="22"/>
                <w:szCs w:val="22"/>
                <w:lang w:val="en-IE"/>
              </w:rPr>
              <w:t xml:space="preserve"> </w:t>
            </w:r>
            <w:r w:rsidRPr="00532C20">
              <w:rPr>
                <w:rFonts w:ascii="Times New Roman" w:eastAsia="Symbol" w:hAnsi="Times New Roman" w:cs="Times New Roman"/>
                <w:noProof/>
                <w:sz w:val="22"/>
                <w:szCs w:val="22"/>
                <w:lang w:val="en-IE"/>
              </w:rPr>
              <w:t>registration would be necessary;</w:t>
            </w:r>
          </w:p>
          <w:p w14:paraId="12A33140" w14:textId="4F815D9F" w:rsidR="0020718B" w:rsidRPr="00532C20" w:rsidRDefault="0020718B">
            <w:pPr>
              <w:numPr>
                <w:ilvl w:val="0"/>
                <w:numId w:val="30"/>
              </w:numPr>
              <w:rPr>
                <w:rFonts w:ascii="Times New Roman" w:hAnsi="Times New Roman" w:cs="Times New Roman"/>
                <w:noProof/>
                <w:sz w:val="22"/>
                <w:szCs w:val="22"/>
                <w:lang w:val="en-IE"/>
              </w:rPr>
            </w:pPr>
            <w:r w:rsidRPr="00532C20">
              <w:rPr>
                <w:rFonts w:ascii="Times New Roman" w:eastAsia="Symbol" w:hAnsi="Times New Roman" w:cs="Times New Roman"/>
                <w:noProof/>
                <w:sz w:val="22"/>
                <w:szCs w:val="22"/>
                <w:lang w:val="en-IE"/>
              </w:rPr>
              <w:t>Help normalising, legitimising and destigmatising interest representation via an enhanced level of transparency and trust in the sector.</w:t>
            </w:r>
          </w:p>
        </w:tc>
        <w:tc>
          <w:tcPr>
            <w:tcW w:w="3649"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3B721613" w14:textId="07FCEAC7" w:rsidR="009875BD" w:rsidRPr="00532C20" w:rsidRDefault="00A16217" w:rsidP="00D171F3">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Benefits are provided in a qualitative way, not in a quantitative way</w:t>
            </w:r>
            <w:r w:rsidR="00BA242D" w:rsidRPr="00532C20">
              <w:rPr>
                <w:rFonts w:ascii="Times New Roman" w:eastAsia="Symbol" w:hAnsi="Times New Roman" w:cs="Times New Roman"/>
                <w:noProof/>
                <w:sz w:val="22"/>
                <w:szCs w:val="22"/>
                <w:lang w:val="en-IE"/>
              </w:rPr>
              <w:t>.</w:t>
            </w:r>
          </w:p>
          <w:p w14:paraId="19A50D2A" w14:textId="315E6100" w:rsidR="0020718B" w:rsidRPr="00532C20" w:rsidRDefault="0020718B" w:rsidP="00A16217">
            <w:pPr>
              <w:rPr>
                <w:rFonts w:ascii="Times New Roman" w:eastAsia="Symbol" w:hAnsi="Times New Roman" w:cs="Times New Roman"/>
                <w:noProof/>
                <w:sz w:val="22"/>
                <w:szCs w:val="22"/>
                <w:lang w:val="en-IE"/>
              </w:rPr>
            </w:pPr>
          </w:p>
        </w:tc>
      </w:tr>
      <w:tr w:rsidR="00437A77" w:rsidRPr="00532C20" w14:paraId="397797B6" w14:textId="77777777" w:rsidTr="0020718B">
        <w:tc>
          <w:tcPr>
            <w:tcW w:w="2510" w:type="dxa"/>
            <w:tcBorders>
              <w:top w:val="single" w:sz="4" w:space="0" w:color="auto"/>
              <w:left w:val="double" w:sz="4" w:space="0" w:color="auto"/>
              <w:bottom w:val="double" w:sz="4" w:space="0" w:color="auto"/>
              <w:right w:val="single" w:sz="4" w:space="0" w:color="auto"/>
            </w:tcBorders>
            <w:hideMark/>
          </w:tcPr>
          <w:p w14:paraId="73F62D54"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Benefits for society at large.</w:t>
            </w:r>
          </w:p>
        </w:tc>
        <w:tc>
          <w:tcPr>
            <w:tcW w:w="4041"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4635D5A5"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Social benefits:</w:t>
            </w:r>
          </w:p>
          <w:p w14:paraId="3F19CF8A" w14:textId="1A2EC085" w:rsidR="001E00A0" w:rsidRPr="00532C20" w:rsidRDefault="00A217D7">
            <w:pPr>
              <w:numPr>
                <w:ilvl w:val="0"/>
                <w:numId w:val="38"/>
              </w:num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enable citizens and public officials to easily recognise influence campaigns by third countries thereby contributing to the integrity of, and public trust in, EU and Member State decision</w:t>
            </w:r>
            <w:r w:rsidR="003828E4">
              <w:rPr>
                <w:rFonts w:ascii="Times New Roman" w:eastAsia="Symbol" w:hAnsi="Times New Roman" w:cs="Times New Roman"/>
                <w:noProof/>
                <w:sz w:val="22"/>
                <w:szCs w:val="22"/>
                <w:lang w:val="en-IE"/>
              </w:rPr>
              <w:t>-</w:t>
            </w:r>
            <w:r w:rsidRPr="00532C20">
              <w:rPr>
                <w:rFonts w:ascii="Times New Roman" w:eastAsia="Symbol" w:hAnsi="Times New Roman" w:cs="Times New Roman"/>
                <w:noProof/>
                <w:sz w:val="22"/>
                <w:szCs w:val="22"/>
                <w:lang w:val="en-IE"/>
              </w:rPr>
              <w:t>making processes</w:t>
            </w:r>
          </w:p>
          <w:p w14:paraId="4CCFCC13" w14:textId="6BA2F524" w:rsidR="001E00A0" w:rsidRPr="00532C20" w:rsidRDefault="001E00A0">
            <w:pPr>
              <w:numPr>
                <w:ilvl w:val="0"/>
                <w:numId w:val="38"/>
              </w:num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 xml:space="preserve">support scrutiny from interested actors (including CSOs, political actors, researchers, elections observes or journalist) to monitor interest representation activities carried out on behalf of third countries. </w:t>
            </w:r>
          </w:p>
          <w:p w14:paraId="52BB8A43" w14:textId="43C0C191" w:rsidR="0020718B" w:rsidRPr="00532C20" w:rsidRDefault="001E00A0">
            <w:pPr>
              <w:numPr>
                <w:ilvl w:val="0"/>
                <w:numId w:val="38"/>
              </w:num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The strengthening of the quality of information available would help enrich the political debate</w:t>
            </w:r>
          </w:p>
        </w:tc>
        <w:tc>
          <w:tcPr>
            <w:tcW w:w="3649"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7FB40D85"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Benefits are provided in a qualitative way, not in a quantitative way.</w:t>
            </w:r>
          </w:p>
        </w:tc>
      </w:tr>
      <w:tr w:rsidR="00EA7ED1" w:rsidRPr="00532C20" w14:paraId="7CA5FE5E" w14:textId="77777777" w:rsidTr="273A7DD4">
        <w:tc>
          <w:tcPr>
            <w:tcW w:w="10200" w:type="dxa"/>
            <w:gridSpan w:val="3"/>
            <w:tcBorders>
              <w:top w:val="single" w:sz="4" w:space="0" w:color="auto"/>
              <w:left w:val="double" w:sz="4" w:space="0" w:color="auto"/>
              <w:bottom w:val="single" w:sz="4" w:space="0" w:color="auto"/>
              <w:right w:val="double" w:sz="4" w:space="0" w:color="auto"/>
            </w:tcBorders>
            <w:shd w:val="clear" w:color="auto" w:fill="F2F2F2" w:themeFill="background1" w:themeFillShade="F2"/>
            <w:hideMark/>
          </w:tcPr>
          <w:p w14:paraId="3C03E647" w14:textId="77777777" w:rsidR="0020718B" w:rsidRPr="00532C20" w:rsidRDefault="0020718B" w:rsidP="004B0958">
            <w:pPr>
              <w:rPr>
                <w:rFonts w:ascii="Times New Roman" w:eastAsia="Symbol" w:hAnsi="Times New Roman" w:cs="Times New Roman"/>
                <w:b/>
                <w:noProof/>
                <w:sz w:val="22"/>
                <w:szCs w:val="22"/>
                <w:lang w:val="en-IE"/>
              </w:rPr>
            </w:pPr>
            <w:r w:rsidRPr="00532C20">
              <w:rPr>
                <w:rFonts w:ascii="Times New Roman" w:eastAsia="Symbol" w:hAnsi="Times New Roman" w:cs="Times New Roman"/>
                <w:b/>
                <w:noProof/>
                <w:sz w:val="22"/>
                <w:szCs w:val="22"/>
                <w:lang w:val="en-IE"/>
              </w:rPr>
              <w:t>Indirect benefits</w:t>
            </w:r>
          </w:p>
        </w:tc>
      </w:tr>
      <w:tr w:rsidR="00437A77" w:rsidRPr="00532C20" w14:paraId="00E37D8A" w14:textId="77777777" w:rsidTr="0020718B">
        <w:tc>
          <w:tcPr>
            <w:tcW w:w="2510" w:type="dxa"/>
            <w:tcBorders>
              <w:top w:val="double" w:sz="4" w:space="0" w:color="auto"/>
              <w:left w:val="double" w:sz="4" w:space="0" w:color="auto"/>
              <w:bottom w:val="single" w:sz="4" w:space="0" w:color="auto"/>
              <w:right w:val="single" w:sz="4" w:space="0" w:color="auto"/>
            </w:tcBorders>
            <w:hideMark/>
          </w:tcPr>
          <w:p w14:paraId="071C4E6B"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n/a</w:t>
            </w:r>
          </w:p>
        </w:tc>
        <w:tc>
          <w:tcPr>
            <w:tcW w:w="404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3F9127F"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n/a</w:t>
            </w:r>
          </w:p>
        </w:tc>
        <w:tc>
          <w:tcPr>
            <w:tcW w:w="3649"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654771BE"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n/a</w:t>
            </w:r>
          </w:p>
        </w:tc>
      </w:tr>
      <w:tr w:rsidR="003F3A31" w:rsidRPr="00532C20" w14:paraId="51EFC719" w14:textId="77777777" w:rsidTr="273A7DD4">
        <w:tc>
          <w:tcPr>
            <w:tcW w:w="10200" w:type="dxa"/>
            <w:gridSpan w:val="3"/>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14:paraId="3253BFBF" w14:textId="77777777" w:rsidR="0020718B" w:rsidRPr="00532C20" w:rsidRDefault="0020718B" w:rsidP="004B0958">
            <w:pPr>
              <w:rPr>
                <w:rFonts w:ascii="Times New Roman" w:eastAsia="Symbol" w:hAnsi="Times New Roman" w:cs="Times New Roman"/>
                <w:b/>
                <w:noProof/>
                <w:sz w:val="22"/>
                <w:szCs w:val="22"/>
                <w:lang w:val="en-IE"/>
              </w:rPr>
            </w:pPr>
            <w:r w:rsidRPr="00532C20">
              <w:rPr>
                <w:rFonts w:ascii="Times New Roman" w:eastAsia="Symbol" w:hAnsi="Times New Roman" w:cs="Times New Roman"/>
                <w:b/>
                <w:noProof/>
                <w:sz w:val="22"/>
                <w:szCs w:val="22"/>
                <w:lang w:val="en-IE"/>
              </w:rPr>
              <w:t>Administrative cost savings related to the ‘one in, one out’ approach*</w:t>
            </w:r>
          </w:p>
        </w:tc>
      </w:tr>
      <w:tr w:rsidR="003F3A31" w:rsidRPr="00532C20" w14:paraId="23D14BE4" w14:textId="77777777" w:rsidTr="273A7DD4">
        <w:tc>
          <w:tcPr>
            <w:tcW w:w="10200" w:type="dxa"/>
            <w:gridSpan w:val="3"/>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AD2CB63" w14:textId="77777777" w:rsidR="00044762" w:rsidRPr="00532C20" w:rsidRDefault="00044762" w:rsidP="004B0958">
            <w:pPr>
              <w:rPr>
                <w:rFonts w:ascii="Times New Roman" w:eastAsia="Symbol" w:hAnsi="Times New Roman" w:cs="Times New Roman"/>
                <w:b/>
                <w:noProof/>
                <w:lang w:val="en-IE"/>
              </w:rPr>
            </w:pPr>
          </w:p>
        </w:tc>
      </w:tr>
      <w:tr w:rsidR="00437A77" w:rsidRPr="00532C20" w14:paraId="50F9D3EA" w14:textId="77777777" w:rsidTr="0020718B">
        <w:tc>
          <w:tcPr>
            <w:tcW w:w="2510" w:type="dxa"/>
            <w:tcBorders>
              <w:top w:val="double" w:sz="4" w:space="0" w:color="auto"/>
              <w:left w:val="double" w:sz="4" w:space="0" w:color="auto"/>
              <w:bottom w:val="single" w:sz="4" w:space="0" w:color="auto"/>
              <w:right w:val="single" w:sz="4" w:space="0" w:color="auto"/>
            </w:tcBorders>
            <w:hideMark/>
          </w:tcPr>
          <w:p w14:paraId="76B5DEB6"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 xml:space="preserve">Recurrent (direct/indirect) </w:t>
            </w:r>
          </w:p>
        </w:tc>
        <w:tc>
          <w:tcPr>
            <w:tcW w:w="404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A2DDF5C"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n/a</w:t>
            </w:r>
          </w:p>
        </w:tc>
        <w:tc>
          <w:tcPr>
            <w:tcW w:w="3649"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0CDE8DFD" w14:textId="3745B10F" w:rsidR="0020718B" w:rsidRPr="00532C20" w:rsidRDefault="00B57E61"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n/a</w:t>
            </w:r>
          </w:p>
        </w:tc>
      </w:tr>
      <w:tr w:rsidR="00437A77" w:rsidRPr="00532C20" w14:paraId="2CB26759" w14:textId="77777777" w:rsidTr="0020718B">
        <w:tc>
          <w:tcPr>
            <w:tcW w:w="2510" w:type="dxa"/>
            <w:tcBorders>
              <w:top w:val="single" w:sz="4" w:space="0" w:color="auto"/>
              <w:left w:val="double" w:sz="4" w:space="0" w:color="auto"/>
              <w:bottom w:val="single" w:sz="4" w:space="0" w:color="auto"/>
              <w:right w:val="single" w:sz="4" w:space="0" w:color="auto"/>
            </w:tcBorders>
            <w:hideMark/>
          </w:tcPr>
          <w:p w14:paraId="1B4389E8"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One-off</w:t>
            </w:r>
          </w:p>
        </w:tc>
        <w:tc>
          <w:tcPr>
            <w:tcW w:w="40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90E5137"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n/a</w:t>
            </w:r>
          </w:p>
        </w:tc>
        <w:tc>
          <w:tcPr>
            <w:tcW w:w="3649"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054E6CD9" w14:textId="77777777" w:rsidR="0020718B" w:rsidRPr="00532C20" w:rsidRDefault="0020718B" w:rsidP="004B0958">
            <w:pPr>
              <w:rPr>
                <w:rFonts w:ascii="Times New Roman" w:eastAsia="Symbol" w:hAnsi="Times New Roman" w:cs="Times New Roman"/>
                <w:noProof/>
                <w:sz w:val="22"/>
                <w:szCs w:val="22"/>
                <w:lang w:val="en-IE"/>
              </w:rPr>
            </w:pPr>
            <w:r w:rsidRPr="00532C20">
              <w:rPr>
                <w:rFonts w:ascii="Times New Roman" w:eastAsia="Symbol" w:hAnsi="Times New Roman" w:cs="Times New Roman"/>
                <w:noProof/>
                <w:sz w:val="22"/>
                <w:szCs w:val="22"/>
                <w:lang w:val="en-IE"/>
              </w:rPr>
              <w:t>n/a</w:t>
            </w:r>
          </w:p>
        </w:tc>
      </w:tr>
    </w:tbl>
    <w:p w14:paraId="533382BE" w14:textId="77777777" w:rsidR="0020718B" w:rsidRPr="00532C20" w:rsidRDefault="0020718B" w:rsidP="004B0958">
      <w:pPr>
        <w:spacing w:line="240" w:lineRule="auto"/>
        <w:rPr>
          <w:rFonts w:ascii="Times New Roman" w:eastAsia="Symbol" w:hAnsi="Times New Roman" w:cs="Times New Roman"/>
          <w:noProof/>
          <w:sz w:val="24"/>
          <w:szCs w:val="24"/>
          <w:lang w:val="en-IE"/>
        </w:rPr>
      </w:pPr>
    </w:p>
    <w:tbl>
      <w:tblPr>
        <w:tblStyle w:val="CV1111"/>
        <w:tblW w:w="10134"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73"/>
        <w:gridCol w:w="1575"/>
        <w:gridCol w:w="1109"/>
        <w:gridCol w:w="1414"/>
        <w:gridCol w:w="1387"/>
        <w:gridCol w:w="1194"/>
        <w:gridCol w:w="1301"/>
        <w:gridCol w:w="1181"/>
      </w:tblGrid>
      <w:tr w:rsidR="009875BD" w:rsidRPr="00532C20" w14:paraId="77120610" w14:textId="77777777" w:rsidTr="00775C97">
        <w:tc>
          <w:tcPr>
            <w:tcW w:w="10134" w:type="dxa"/>
            <w:gridSpan w:val="8"/>
            <w:tcBorders>
              <w:top w:val="double" w:sz="4" w:space="0" w:color="auto"/>
              <w:left w:val="double" w:sz="4" w:space="0" w:color="auto"/>
              <w:bottom w:val="single" w:sz="4" w:space="0" w:color="auto"/>
              <w:right w:val="double" w:sz="4" w:space="0" w:color="auto"/>
            </w:tcBorders>
            <w:shd w:val="clear" w:color="auto" w:fill="C6D9F1"/>
            <w:tcMar>
              <w:top w:w="57" w:type="dxa"/>
              <w:left w:w="57" w:type="dxa"/>
              <w:bottom w:w="57" w:type="dxa"/>
              <w:right w:w="57" w:type="dxa"/>
            </w:tcMar>
            <w:hideMark/>
          </w:tcPr>
          <w:p w14:paraId="7A2BA2D0"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II. Overview of costs – Preferred option</w:t>
            </w:r>
          </w:p>
        </w:tc>
      </w:tr>
      <w:tr w:rsidR="00EA7ED1" w:rsidRPr="00532C20" w14:paraId="300B2E66" w14:textId="77777777" w:rsidTr="00775C97">
        <w:tc>
          <w:tcPr>
            <w:tcW w:w="2548" w:type="dxa"/>
            <w:gridSpan w:val="2"/>
            <w:vMerge w:val="restart"/>
            <w:tcBorders>
              <w:top w:val="double" w:sz="4" w:space="0" w:color="auto"/>
              <w:left w:val="double" w:sz="4" w:space="0" w:color="auto"/>
              <w:bottom w:val="double" w:sz="4" w:space="0" w:color="auto"/>
              <w:right w:val="double" w:sz="4" w:space="0" w:color="auto"/>
              <w:tl2br w:val="double" w:sz="4" w:space="0" w:color="auto"/>
            </w:tcBorders>
            <w:tcMar>
              <w:top w:w="57" w:type="dxa"/>
              <w:left w:w="57" w:type="dxa"/>
              <w:bottom w:w="57" w:type="dxa"/>
              <w:right w:w="57" w:type="dxa"/>
            </w:tcMar>
          </w:tcPr>
          <w:p w14:paraId="097F8170" w14:textId="77777777" w:rsidR="0020718B" w:rsidRPr="00532C20" w:rsidRDefault="0020718B" w:rsidP="004B0958">
            <w:pPr>
              <w:rPr>
                <w:rFonts w:ascii="Times New Roman" w:eastAsia="Symbol" w:hAnsi="Times New Roman" w:cs="Times New Roman"/>
                <w:b/>
                <w:noProof/>
                <w:sz w:val="24"/>
                <w:szCs w:val="24"/>
                <w:lang w:val="en-IE"/>
              </w:rPr>
            </w:pPr>
          </w:p>
        </w:tc>
        <w:tc>
          <w:tcPr>
            <w:tcW w:w="2523" w:type="dxa"/>
            <w:gridSpan w:val="2"/>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hideMark/>
          </w:tcPr>
          <w:p w14:paraId="7B954F45"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Citizens/Consumers</w:t>
            </w:r>
          </w:p>
        </w:tc>
        <w:tc>
          <w:tcPr>
            <w:tcW w:w="258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A0F0301"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Businesses</w:t>
            </w:r>
          </w:p>
        </w:tc>
        <w:tc>
          <w:tcPr>
            <w:tcW w:w="2482" w:type="dxa"/>
            <w:gridSpan w:val="2"/>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1CF2F76F"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Administrations</w:t>
            </w:r>
          </w:p>
        </w:tc>
      </w:tr>
      <w:tr w:rsidR="00EA7ED1" w:rsidRPr="00532C20" w14:paraId="43617FE6" w14:textId="77777777" w:rsidTr="00775C97">
        <w:tc>
          <w:tcPr>
            <w:tcW w:w="2548" w:type="dxa"/>
            <w:gridSpan w:val="2"/>
            <w:vMerge/>
            <w:tcBorders>
              <w:top w:val="double" w:sz="4" w:space="0" w:color="auto"/>
              <w:left w:val="double" w:sz="4" w:space="0" w:color="auto"/>
              <w:bottom w:val="double" w:sz="4" w:space="0" w:color="auto"/>
              <w:right w:val="double" w:sz="4" w:space="0" w:color="auto"/>
            </w:tcBorders>
            <w:vAlign w:val="center"/>
            <w:hideMark/>
          </w:tcPr>
          <w:p w14:paraId="37FFC710" w14:textId="77777777" w:rsidR="0020718B" w:rsidRPr="00532C20" w:rsidRDefault="0020718B" w:rsidP="004B0958">
            <w:pPr>
              <w:rPr>
                <w:rFonts w:ascii="Times New Roman" w:eastAsia="Symbol" w:hAnsi="Times New Roman" w:cs="Times New Roman"/>
                <w:b/>
                <w:noProof/>
                <w:sz w:val="24"/>
                <w:szCs w:val="24"/>
                <w:lang w:val="en-IE"/>
              </w:rPr>
            </w:pPr>
          </w:p>
        </w:tc>
        <w:tc>
          <w:tcPr>
            <w:tcW w:w="1109"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hideMark/>
          </w:tcPr>
          <w:p w14:paraId="6A8479A4"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One-off</w:t>
            </w:r>
          </w:p>
        </w:tc>
        <w:tc>
          <w:tcPr>
            <w:tcW w:w="1414"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773B77B2"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Recurrent</w:t>
            </w:r>
          </w:p>
        </w:tc>
        <w:tc>
          <w:tcPr>
            <w:tcW w:w="1387"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3F6BCFD1"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One-off</w:t>
            </w:r>
          </w:p>
        </w:tc>
        <w:tc>
          <w:tcPr>
            <w:tcW w:w="1194"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26104AFC"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Recurrent</w:t>
            </w:r>
          </w:p>
        </w:tc>
        <w:tc>
          <w:tcPr>
            <w:tcW w:w="1301"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5A197904"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One-off</w:t>
            </w:r>
          </w:p>
        </w:tc>
        <w:tc>
          <w:tcPr>
            <w:tcW w:w="1181"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1E4475A2"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Recurrent</w:t>
            </w:r>
          </w:p>
        </w:tc>
      </w:tr>
      <w:tr w:rsidR="00EA7ED1" w:rsidRPr="00532C20" w14:paraId="3A3742D9" w14:textId="77777777" w:rsidTr="00775C97">
        <w:trPr>
          <w:trHeight w:val="307"/>
        </w:trPr>
        <w:tc>
          <w:tcPr>
            <w:tcW w:w="973" w:type="dxa"/>
            <w:vMerge w:val="restart"/>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vAlign w:val="center"/>
            <w:hideMark/>
          </w:tcPr>
          <w:p w14:paraId="0E746F4D" w14:textId="312159C6" w:rsidR="0020718B" w:rsidRPr="00532C20" w:rsidRDefault="0082123F"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Preferred policy </w:t>
            </w:r>
            <w:r w:rsidR="0020718B" w:rsidRPr="00532C20">
              <w:rPr>
                <w:rFonts w:ascii="Times New Roman" w:eastAsia="Symbol" w:hAnsi="Times New Roman" w:cs="Times New Roman"/>
                <w:noProof/>
                <w:sz w:val="24"/>
                <w:szCs w:val="24"/>
                <w:lang w:val="en-IE"/>
              </w:rPr>
              <w:t xml:space="preserve">option </w:t>
            </w:r>
          </w:p>
        </w:tc>
        <w:tc>
          <w:tcPr>
            <w:tcW w:w="1575"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vAlign w:val="center"/>
            <w:hideMark/>
          </w:tcPr>
          <w:p w14:paraId="23DEA129"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Direct adjustment costs</w:t>
            </w:r>
          </w:p>
        </w:tc>
        <w:tc>
          <w:tcPr>
            <w:tcW w:w="1109" w:type="dxa"/>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vAlign w:val="center"/>
            <w:hideMark/>
          </w:tcPr>
          <w:p w14:paraId="2ED9609C"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41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45C1BC8"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38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A2C310" w14:textId="0E9C7234"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EUR 71.2 million to EUR 213.</w:t>
            </w:r>
            <w:r w:rsidR="004827B8">
              <w:rPr>
                <w:rFonts w:ascii="Times New Roman" w:eastAsia="Symbol" w:hAnsi="Times New Roman" w:cs="Times New Roman"/>
                <w:noProof/>
                <w:sz w:val="24"/>
                <w:szCs w:val="24"/>
                <w:lang w:val="en-IE"/>
              </w:rPr>
              <w:t>8</w:t>
            </w:r>
            <w:r w:rsidRPr="00532C20">
              <w:rPr>
                <w:rFonts w:ascii="Times New Roman" w:eastAsia="Symbol" w:hAnsi="Times New Roman" w:cs="Times New Roman"/>
                <w:noProof/>
                <w:sz w:val="24"/>
                <w:szCs w:val="24"/>
                <w:lang w:val="en-IE"/>
              </w:rPr>
              <w:t xml:space="preserve"> basic familiarisation costs</w:t>
            </w:r>
          </w:p>
          <w:p w14:paraId="4B221CDF" w14:textId="77777777" w:rsidR="0020718B" w:rsidRPr="00532C20" w:rsidRDefault="0020718B" w:rsidP="004B0958">
            <w:pPr>
              <w:rPr>
                <w:rFonts w:ascii="Times New Roman" w:eastAsia="Symbol" w:hAnsi="Times New Roman" w:cs="Times New Roman"/>
                <w:noProof/>
                <w:sz w:val="24"/>
                <w:szCs w:val="24"/>
                <w:lang w:val="en-IE"/>
              </w:rPr>
            </w:pPr>
          </w:p>
          <w:p w14:paraId="76BA6B9A"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EUR 57,000 to EUR 256,000 extended familiarisation costs</w:t>
            </w:r>
          </w:p>
        </w:tc>
        <w:tc>
          <w:tcPr>
            <w:tcW w:w="11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8BEF5EB"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3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0ED25B2"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EUR 1,500 – 4,600 familiarisation costs for national authorities</w:t>
            </w:r>
          </w:p>
        </w:tc>
        <w:tc>
          <w:tcPr>
            <w:tcW w:w="1181"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vAlign w:val="center"/>
            <w:hideMark/>
          </w:tcPr>
          <w:p w14:paraId="7E3A9020" w14:textId="1A23739E"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EUR 6</w:t>
            </w:r>
            <w:r w:rsidR="00C5701B" w:rsidRPr="00532C20">
              <w:rPr>
                <w:rFonts w:ascii="Times New Roman" w:eastAsia="Symbol" w:hAnsi="Times New Roman" w:cs="Times New Roman"/>
                <w:noProof/>
                <w:sz w:val="24"/>
                <w:szCs w:val="24"/>
                <w:lang w:val="en-IE"/>
              </w:rPr>
              <w:t>0</w:t>
            </w:r>
            <w:r w:rsidRPr="00532C20">
              <w:rPr>
                <w:rFonts w:ascii="Times New Roman" w:eastAsia="Symbol" w:hAnsi="Times New Roman" w:cs="Times New Roman"/>
                <w:noProof/>
                <w:sz w:val="24"/>
                <w:szCs w:val="24"/>
                <w:lang w:val="en-IE"/>
              </w:rPr>
              <w:t>,000 to EUR 5</w:t>
            </w:r>
            <w:r w:rsidR="00C5701B" w:rsidRPr="00532C20">
              <w:rPr>
                <w:rFonts w:ascii="Times New Roman" w:eastAsia="Symbol" w:hAnsi="Times New Roman" w:cs="Times New Roman"/>
                <w:noProof/>
                <w:sz w:val="24"/>
                <w:szCs w:val="24"/>
                <w:lang w:val="en-IE"/>
              </w:rPr>
              <w:t>40</w:t>
            </w:r>
            <w:r w:rsidRPr="00532C20">
              <w:rPr>
                <w:rFonts w:ascii="Times New Roman" w:eastAsia="Symbol" w:hAnsi="Times New Roman" w:cs="Times New Roman"/>
                <w:noProof/>
                <w:sz w:val="24"/>
                <w:szCs w:val="24"/>
                <w:lang w:val="en-IE"/>
              </w:rPr>
              <w:t>,000 maintenance costs (1</w:t>
            </w:r>
            <w:r w:rsidR="0015693E" w:rsidRPr="00532C20">
              <w:rPr>
                <w:rFonts w:ascii="Times New Roman" w:eastAsia="Symbol" w:hAnsi="Times New Roman" w:cs="Times New Roman"/>
                <w:noProof/>
                <w:sz w:val="24"/>
                <w:szCs w:val="24"/>
                <w:lang w:val="en-IE"/>
              </w:rPr>
              <w:t>2</w:t>
            </w:r>
            <w:r w:rsidRPr="00532C20">
              <w:rPr>
                <w:rFonts w:ascii="Times New Roman" w:eastAsia="Symbol" w:hAnsi="Times New Roman" w:cs="Times New Roman"/>
                <w:noProof/>
                <w:sz w:val="24"/>
                <w:szCs w:val="24"/>
                <w:lang w:val="en-IE"/>
              </w:rPr>
              <w:t xml:space="preserve"> MS authorities without existing IT tools) </w:t>
            </w:r>
          </w:p>
          <w:p w14:paraId="6AE9D1C0" w14:textId="77777777" w:rsidR="00410789" w:rsidRPr="00532C20" w:rsidRDefault="00410789" w:rsidP="004B0958">
            <w:pPr>
              <w:rPr>
                <w:rFonts w:ascii="Times New Roman" w:eastAsia="Symbol" w:hAnsi="Times New Roman" w:cs="Times New Roman"/>
                <w:noProof/>
                <w:sz w:val="24"/>
                <w:szCs w:val="24"/>
                <w:lang w:val="en-IE"/>
              </w:rPr>
            </w:pPr>
          </w:p>
          <w:p w14:paraId="24CBD1AB" w14:textId="1EC5B4D2" w:rsidR="00410789" w:rsidRPr="00532C20" w:rsidRDefault="00410789"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Business-as-usual costs (15 MS with </w:t>
            </w:r>
            <w:r w:rsidR="008305E3" w:rsidRPr="00532C20">
              <w:rPr>
                <w:rFonts w:ascii="Times New Roman" w:eastAsia="Symbol" w:hAnsi="Times New Roman" w:cs="Times New Roman"/>
                <w:noProof/>
                <w:sz w:val="24"/>
                <w:szCs w:val="24"/>
                <w:lang w:val="en-IE"/>
              </w:rPr>
              <w:t>existing IT tools)</w:t>
            </w:r>
            <w:r w:rsidRPr="00532C20">
              <w:rPr>
                <w:rFonts w:ascii="Times New Roman" w:eastAsia="Symbol" w:hAnsi="Times New Roman" w:cs="Times New Roman"/>
                <w:noProof/>
                <w:sz w:val="24"/>
                <w:szCs w:val="24"/>
                <w:lang w:val="en-IE"/>
              </w:rPr>
              <w:t xml:space="preserve"> </w:t>
            </w:r>
          </w:p>
        </w:tc>
      </w:tr>
      <w:tr w:rsidR="00EA7ED1" w:rsidRPr="00532C20" w14:paraId="5C447B5D" w14:textId="77777777" w:rsidTr="00775C97">
        <w:trPr>
          <w:trHeight w:val="307"/>
        </w:trPr>
        <w:tc>
          <w:tcPr>
            <w:tcW w:w="973" w:type="dxa"/>
            <w:vMerge/>
            <w:tcBorders>
              <w:top w:val="single" w:sz="4" w:space="0" w:color="auto"/>
              <w:left w:val="double" w:sz="4" w:space="0" w:color="auto"/>
              <w:bottom w:val="double" w:sz="4" w:space="0" w:color="auto"/>
              <w:right w:val="single" w:sz="4" w:space="0" w:color="auto"/>
            </w:tcBorders>
            <w:vAlign w:val="center"/>
            <w:hideMark/>
          </w:tcPr>
          <w:p w14:paraId="750C46DF" w14:textId="77777777" w:rsidR="0020718B" w:rsidRPr="00532C20" w:rsidRDefault="0020718B" w:rsidP="004B0958">
            <w:pPr>
              <w:rPr>
                <w:rFonts w:ascii="Times New Roman" w:eastAsia="Symbol" w:hAnsi="Times New Roman" w:cs="Times New Roman"/>
                <w:noProof/>
                <w:sz w:val="24"/>
                <w:szCs w:val="24"/>
                <w:lang w:val="en-IE"/>
              </w:rPr>
            </w:pPr>
          </w:p>
        </w:tc>
        <w:tc>
          <w:tcPr>
            <w:tcW w:w="1575"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vAlign w:val="center"/>
            <w:hideMark/>
          </w:tcPr>
          <w:p w14:paraId="7307DED5"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Direct administrative costs</w:t>
            </w:r>
          </w:p>
        </w:tc>
        <w:tc>
          <w:tcPr>
            <w:tcW w:w="1109" w:type="dxa"/>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vAlign w:val="center"/>
            <w:hideMark/>
          </w:tcPr>
          <w:p w14:paraId="0FFC7B1B"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41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40B79AC"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38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747A489"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1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27FE893" w14:textId="275B02B5"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EUR </w:t>
            </w:r>
            <w:r w:rsidR="002924E4" w:rsidRPr="00532C20">
              <w:rPr>
                <w:rFonts w:ascii="Times New Roman" w:eastAsia="Symbol" w:hAnsi="Times New Roman" w:cs="Times New Roman"/>
                <w:noProof/>
                <w:sz w:val="24"/>
                <w:szCs w:val="24"/>
                <w:lang w:val="en-IE"/>
              </w:rPr>
              <w:t>615</w:t>
            </w:r>
            <w:r w:rsidR="00BC1B87" w:rsidRPr="00532C20">
              <w:rPr>
                <w:rFonts w:ascii="Times New Roman" w:eastAsia="Symbol" w:hAnsi="Times New Roman" w:cs="Times New Roman"/>
                <w:noProof/>
                <w:sz w:val="24"/>
                <w:szCs w:val="24"/>
                <w:lang w:val="en-IE"/>
              </w:rPr>
              <w:t xml:space="preserve">,000 to EUR </w:t>
            </w:r>
            <w:r w:rsidR="002924E4" w:rsidRPr="00532C20">
              <w:rPr>
                <w:rFonts w:ascii="Times New Roman" w:eastAsia="Symbol" w:hAnsi="Times New Roman" w:cs="Times New Roman"/>
                <w:noProof/>
                <w:sz w:val="24"/>
                <w:szCs w:val="24"/>
                <w:lang w:val="en-IE"/>
              </w:rPr>
              <w:t>921,000</w:t>
            </w:r>
            <w:r w:rsidRPr="00532C20">
              <w:rPr>
                <w:rFonts w:ascii="Times New Roman" w:eastAsia="Symbol" w:hAnsi="Times New Roman" w:cs="Times New Roman"/>
                <w:noProof/>
                <w:sz w:val="24"/>
                <w:szCs w:val="24"/>
                <w:lang w:val="en-IE"/>
              </w:rPr>
              <w:t xml:space="preserve"> registration and information disclosure costs</w:t>
            </w:r>
            <w:r w:rsidR="009C6E01" w:rsidRPr="00532C20">
              <w:rPr>
                <w:rFonts w:ascii="Times New Roman" w:eastAsia="Symbol" w:hAnsi="Times New Roman" w:cs="Times New Roman"/>
                <w:noProof/>
                <w:sz w:val="24"/>
                <w:szCs w:val="24"/>
                <w:lang w:val="en-IE"/>
              </w:rPr>
              <w:t xml:space="preserve"> per year </w:t>
            </w:r>
          </w:p>
        </w:tc>
        <w:tc>
          <w:tcPr>
            <w:tcW w:w="13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00A09DA"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181"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vAlign w:val="center"/>
            <w:hideMark/>
          </w:tcPr>
          <w:p w14:paraId="1C289763"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r>
      <w:tr w:rsidR="00EA7ED1" w:rsidRPr="00532C20" w14:paraId="54F7212B" w14:textId="77777777" w:rsidTr="00775C97">
        <w:trPr>
          <w:trHeight w:val="307"/>
        </w:trPr>
        <w:tc>
          <w:tcPr>
            <w:tcW w:w="973" w:type="dxa"/>
            <w:vMerge/>
            <w:tcBorders>
              <w:top w:val="single" w:sz="4" w:space="0" w:color="auto"/>
              <w:left w:val="double" w:sz="4" w:space="0" w:color="auto"/>
              <w:bottom w:val="double" w:sz="4" w:space="0" w:color="auto"/>
              <w:right w:val="single" w:sz="4" w:space="0" w:color="auto"/>
            </w:tcBorders>
            <w:vAlign w:val="center"/>
            <w:hideMark/>
          </w:tcPr>
          <w:p w14:paraId="4A3D75D0" w14:textId="77777777" w:rsidR="0020718B" w:rsidRPr="00532C20" w:rsidRDefault="0020718B" w:rsidP="004B0958">
            <w:pPr>
              <w:rPr>
                <w:rFonts w:ascii="Times New Roman" w:eastAsia="Symbol" w:hAnsi="Times New Roman" w:cs="Times New Roman"/>
                <w:noProof/>
                <w:sz w:val="24"/>
                <w:szCs w:val="24"/>
                <w:lang w:val="en-IE"/>
              </w:rPr>
            </w:pPr>
          </w:p>
        </w:tc>
        <w:tc>
          <w:tcPr>
            <w:tcW w:w="1575"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vAlign w:val="center"/>
            <w:hideMark/>
          </w:tcPr>
          <w:p w14:paraId="32DD989C"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Direct regulatory fees and charges</w:t>
            </w:r>
          </w:p>
        </w:tc>
        <w:tc>
          <w:tcPr>
            <w:tcW w:w="1109" w:type="dxa"/>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vAlign w:val="center"/>
            <w:hideMark/>
          </w:tcPr>
          <w:p w14:paraId="7A346FA9"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41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8ACA22D"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38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1D674E3"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1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B4EE874"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3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5D3888A0"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181"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vAlign w:val="center"/>
            <w:hideMark/>
          </w:tcPr>
          <w:p w14:paraId="5CDE3DD6"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r>
      <w:tr w:rsidR="00EA7ED1" w:rsidRPr="00532C20" w14:paraId="6661095F" w14:textId="77777777" w:rsidTr="00775C97">
        <w:trPr>
          <w:trHeight w:val="307"/>
        </w:trPr>
        <w:tc>
          <w:tcPr>
            <w:tcW w:w="973" w:type="dxa"/>
            <w:vMerge/>
            <w:tcBorders>
              <w:top w:val="single" w:sz="4" w:space="0" w:color="auto"/>
              <w:left w:val="double" w:sz="4" w:space="0" w:color="auto"/>
              <w:bottom w:val="double" w:sz="4" w:space="0" w:color="auto"/>
              <w:right w:val="single" w:sz="4" w:space="0" w:color="auto"/>
            </w:tcBorders>
            <w:vAlign w:val="center"/>
            <w:hideMark/>
          </w:tcPr>
          <w:p w14:paraId="27C05413" w14:textId="77777777" w:rsidR="0020718B" w:rsidRPr="00532C20" w:rsidRDefault="0020718B" w:rsidP="004B0958">
            <w:pPr>
              <w:rPr>
                <w:rFonts w:ascii="Times New Roman" w:eastAsia="Symbol" w:hAnsi="Times New Roman" w:cs="Times New Roman"/>
                <w:noProof/>
                <w:sz w:val="24"/>
                <w:szCs w:val="24"/>
                <w:lang w:val="en-IE"/>
              </w:rPr>
            </w:pPr>
          </w:p>
        </w:tc>
        <w:tc>
          <w:tcPr>
            <w:tcW w:w="1575"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vAlign w:val="center"/>
            <w:hideMark/>
          </w:tcPr>
          <w:p w14:paraId="1866347F"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Direct enforcement costs</w:t>
            </w:r>
          </w:p>
        </w:tc>
        <w:tc>
          <w:tcPr>
            <w:tcW w:w="1109" w:type="dxa"/>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vAlign w:val="center"/>
            <w:hideMark/>
          </w:tcPr>
          <w:p w14:paraId="23F8AC94"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41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6016556"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38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E99573A"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1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BB434BE"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3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B5853B5"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181"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vAlign w:val="center"/>
            <w:hideMark/>
          </w:tcPr>
          <w:p w14:paraId="06903C2C"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EUR 565,000 to EUR 848,000</w:t>
            </w:r>
          </w:p>
        </w:tc>
      </w:tr>
      <w:tr w:rsidR="00EA7ED1" w:rsidRPr="00532C20" w14:paraId="5C9CAFEA" w14:textId="77777777" w:rsidTr="00775C97">
        <w:tc>
          <w:tcPr>
            <w:tcW w:w="973" w:type="dxa"/>
            <w:vMerge/>
            <w:tcBorders>
              <w:top w:val="single" w:sz="4" w:space="0" w:color="auto"/>
              <w:left w:val="double" w:sz="4" w:space="0" w:color="auto"/>
              <w:bottom w:val="double" w:sz="4" w:space="0" w:color="auto"/>
              <w:right w:val="single" w:sz="4" w:space="0" w:color="auto"/>
            </w:tcBorders>
            <w:vAlign w:val="center"/>
            <w:hideMark/>
          </w:tcPr>
          <w:p w14:paraId="33B173DA" w14:textId="77777777" w:rsidR="0020718B" w:rsidRPr="00532C20" w:rsidRDefault="0020718B" w:rsidP="004B0958">
            <w:pPr>
              <w:rPr>
                <w:rFonts w:ascii="Times New Roman" w:eastAsia="Symbol" w:hAnsi="Times New Roman" w:cs="Times New Roman"/>
                <w:noProof/>
                <w:sz w:val="24"/>
                <w:szCs w:val="24"/>
                <w:lang w:val="en-IE"/>
              </w:rPr>
            </w:pPr>
          </w:p>
        </w:tc>
        <w:tc>
          <w:tcPr>
            <w:tcW w:w="1575"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39B65314"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Indirect costs</w:t>
            </w:r>
          </w:p>
        </w:tc>
        <w:tc>
          <w:tcPr>
            <w:tcW w:w="1109"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hideMark/>
          </w:tcPr>
          <w:p w14:paraId="229DFAC9"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414"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21AAC6AA"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387"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2F9432D6"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194"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636F15BB"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301"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37A1868B"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181"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4AB353A5"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r>
      <w:tr w:rsidR="009875BD" w:rsidRPr="00532C20" w14:paraId="101EE1C3" w14:textId="77777777" w:rsidTr="00775C97">
        <w:tc>
          <w:tcPr>
            <w:tcW w:w="10134" w:type="dxa"/>
            <w:gridSpan w:val="8"/>
            <w:tcBorders>
              <w:top w:val="single" w:sz="4" w:space="0" w:color="auto"/>
              <w:left w:val="double" w:sz="4" w:space="0" w:color="auto"/>
              <w:bottom w:val="single" w:sz="4" w:space="0" w:color="auto"/>
              <w:right w:val="double" w:sz="4" w:space="0" w:color="auto"/>
            </w:tcBorders>
            <w:shd w:val="clear" w:color="auto" w:fill="C6D9F1"/>
            <w:tcMar>
              <w:top w:w="57" w:type="dxa"/>
              <w:left w:w="57" w:type="dxa"/>
              <w:bottom w:w="57" w:type="dxa"/>
              <w:right w:w="57" w:type="dxa"/>
            </w:tcMar>
            <w:hideMark/>
          </w:tcPr>
          <w:p w14:paraId="02158F16"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Costs related to the ‘one in, one out’ approach</w:t>
            </w:r>
          </w:p>
        </w:tc>
      </w:tr>
      <w:tr w:rsidR="00994B03" w:rsidRPr="00532C20" w14:paraId="578A002A" w14:textId="77777777" w:rsidTr="00775C97">
        <w:trPr>
          <w:trHeight w:val="637"/>
        </w:trPr>
        <w:tc>
          <w:tcPr>
            <w:tcW w:w="973" w:type="dxa"/>
            <w:vMerge w:val="restart"/>
            <w:tcBorders>
              <w:top w:val="double" w:sz="4" w:space="0" w:color="auto"/>
              <w:left w:val="double" w:sz="4" w:space="0" w:color="auto"/>
              <w:bottom w:val="double" w:sz="4" w:space="0" w:color="auto"/>
              <w:right w:val="single" w:sz="4" w:space="0" w:color="auto"/>
            </w:tcBorders>
            <w:tcMar>
              <w:top w:w="57" w:type="dxa"/>
              <w:left w:w="57" w:type="dxa"/>
              <w:bottom w:w="57" w:type="dxa"/>
              <w:right w:w="57" w:type="dxa"/>
            </w:tcMar>
            <w:vAlign w:val="center"/>
            <w:hideMark/>
          </w:tcPr>
          <w:p w14:paraId="0BC7B41C"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 xml:space="preserve">Total  </w:t>
            </w:r>
          </w:p>
        </w:tc>
        <w:tc>
          <w:tcPr>
            <w:tcW w:w="1575"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vAlign w:val="center"/>
            <w:hideMark/>
          </w:tcPr>
          <w:p w14:paraId="07555E7B"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Direct and indirect adjustment costs </w:t>
            </w:r>
          </w:p>
        </w:tc>
        <w:tc>
          <w:tcPr>
            <w:tcW w:w="1109"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hideMark/>
          </w:tcPr>
          <w:p w14:paraId="71165305"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414"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07BEBD1"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387"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D12744A"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EUR 71.2 million to EUR 213.8 million total familiarisation costs</w:t>
            </w:r>
          </w:p>
        </w:tc>
        <w:tc>
          <w:tcPr>
            <w:tcW w:w="1194"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803F9AD"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301" w:type="dxa"/>
            <w:tcBorders>
              <w:top w:val="double" w:sz="4" w:space="0" w:color="auto"/>
              <w:left w:val="single" w:sz="4" w:space="0" w:color="auto"/>
              <w:bottom w:val="double" w:sz="4" w:space="0" w:color="auto"/>
              <w:right w:val="single" w:sz="4" w:space="0" w:color="auto"/>
              <w:tl2br w:val="double" w:sz="4" w:space="0" w:color="auto"/>
            </w:tcBorders>
            <w:tcMar>
              <w:top w:w="57" w:type="dxa"/>
              <w:left w:w="57" w:type="dxa"/>
              <w:bottom w:w="57" w:type="dxa"/>
              <w:right w:w="57" w:type="dxa"/>
            </w:tcMar>
          </w:tcPr>
          <w:p w14:paraId="0B8E2912" w14:textId="77777777" w:rsidR="0020718B" w:rsidRPr="00532C20" w:rsidRDefault="0020718B" w:rsidP="004B0958">
            <w:pPr>
              <w:rPr>
                <w:rFonts w:ascii="Times New Roman" w:eastAsia="Symbol" w:hAnsi="Times New Roman" w:cs="Times New Roman"/>
                <w:noProof/>
                <w:sz w:val="24"/>
                <w:szCs w:val="24"/>
                <w:lang w:val="en-IE"/>
              </w:rPr>
            </w:pPr>
          </w:p>
        </w:tc>
        <w:tc>
          <w:tcPr>
            <w:tcW w:w="1181" w:type="dxa"/>
            <w:tcBorders>
              <w:top w:val="double" w:sz="4" w:space="0" w:color="auto"/>
              <w:left w:val="single" w:sz="4" w:space="0" w:color="auto"/>
              <w:bottom w:val="double" w:sz="4" w:space="0" w:color="auto"/>
              <w:right w:val="double" w:sz="4" w:space="0" w:color="auto"/>
              <w:tl2br w:val="double" w:sz="4" w:space="0" w:color="auto"/>
            </w:tcBorders>
            <w:tcMar>
              <w:top w:w="57" w:type="dxa"/>
              <w:left w:w="57" w:type="dxa"/>
              <w:bottom w:w="57" w:type="dxa"/>
              <w:right w:w="57" w:type="dxa"/>
            </w:tcMar>
          </w:tcPr>
          <w:p w14:paraId="67CA50C8" w14:textId="77777777" w:rsidR="0020718B" w:rsidRPr="00532C20" w:rsidRDefault="0020718B" w:rsidP="004B0958">
            <w:pPr>
              <w:rPr>
                <w:rFonts w:ascii="Times New Roman" w:eastAsia="Symbol" w:hAnsi="Times New Roman" w:cs="Times New Roman"/>
                <w:noProof/>
                <w:sz w:val="24"/>
                <w:szCs w:val="24"/>
                <w:lang w:val="en-IE"/>
              </w:rPr>
            </w:pPr>
          </w:p>
        </w:tc>
      </w:tr>
      <w:tr w:rsidR="00994B03" w:rsidRPr="00532C20" w14:paraId="1D3E8FFA" w14:textId="77777777" w:rsidTr="00775C97">
        <w:tc>
          <w:tcPr>
            <w:tcW w:w="973" w:type="dxa"/>
            <w:vMerge/>
            <w:tcBorders>
              <w:top w:val="double" w:sz="4" w:space="0" w:color="auto"/>
              <w:left w:val="double" w:sz="4" w:space="0" w:color="auto"/>
              <w:bottom w:val="double" w:sz="4" w:space="0" w:color="auto"/>
              <w:right w:val="single" w:sz="4" w:space="0" w:color="auto"/>
            </w:tcBorders>
            <w:vAlign w:val="center"/>
            <w:hideMark/>
          </w:tcPr>
          <w:p w14:paraId="64354098" w14:textId="77777777" w:rsidR="0020718B" w:rsidRPr="00532C20" w:rsidRDefault="0020718B" w:rsidP="004B0958">
            <w:pPr>
              <w:rPr>
                <w:rFonts w:ascii="Times New Roman" w:eastAsia="Symbol" w:hAnsi="Times New Roman" w:cs="Times New Roman"/>
                <w:b/>
                <w:noProof/>
                <w:sz w:val="24"/>
                <w:szCs w:val="24"/>
                <w:lang w:val="en-IE"/>
              </w:rPr>
            </w:pPr>
          </w:p>
        </w:tc>
        <w:tc>
          <w:tcPr>
            <w:tcW w:w="1575"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69FBF24A"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Administrative costs (for offsetting)</w:t>
            </w:r>
          </w:p>
        </w:tc>
        <w:tc>
          <w:tcPr>
            <w:tcW w:w="1109"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hideMark/>
          </w:tcPr>
          <w:p w14:paraId="018AF061"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414"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4A347781"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387"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59D96788"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n/a</w:t>
            </w:r>
          </w:p>
        </w:tc>
        <w:tc>
          <w:tcPr>
            <w:tcW w:w="1194"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04659F48" w14:textId="0B0CEBC6" w:rsidR="0020718B" w:rsidRPr="00532C20" w:rsidRDefault="00BC1B87"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EUR </w:t>
            </w:r>
            <w:r w:rsidR="002924E4" w:rsidRPr="00532C20">
              <w:rPr>
                <w:rFonts w:ascii="Times New Roman" w:eastAsia="Symbol" w:hAnsi="Times New Roman" w:cs="Times New Roman"/>
                <w:noProof/>
                <w:sz w:val="24"/>
                <w:szCs w:val="24"/>
                <w:lang w:val="en-IE"/>
              </w:rPr>
              <w:t>615</w:t>
            </w:r>
            <w:r w:rsidRPr="00532C20">
              <w:rPr>
                <w:rFonts w:ascii="Times New Roman" w:eastAsia="Symbol" w:hAnsi="Times New Roman" w:cs="Times New Roman"/>
                <w:noProof/>
                <w:sz w:val="24"/>
                <w:szCs w:val="24"/>
                <w:lang w:val="en-IE"/>
              </w:rPr>
              <w:t xml:space="preserve">,000 to EUR </w:t>
            </w:r>
            <w:r w:rsidR="002924E4" w:rsidRPr="00532C20">
              <w:rPr>
                <w:rFonts w:ascii="Times New Roman" w:eastAsia="Symbol" w:hAnsi="Times New Roman" w:cs="Times New Roman"/>
                <w:noProof/>
                <w:sz w:val="24"/>
                <w:szCs w:val="24"/>
                <w:lang w:val="en-IE"/>
              </w:rPr>
              <w:t>921,000</w:t>
            </w:r>
            <w:r w:rsidRPr="00532C20">
              <w:rPr>
                <w:rFonts w:ascii="Times New Roman" w:eastAsia="Symbol" w:hAnsi="Times New Roman" w:cs="Times New Roman"/>
                <w:noProof/>
                <w:sz w:val="24"/>
                <w:szCs w:val="24"/>
                <w:lang w:val="en-IE"/>
              </w:rPr>
              <w:t xml:space="preserve"> registration and information disclosure costs </w:t>
            </w:r>
            <w:r w:rsidR="0020718B" w:rsidRPr="00532C20">
              <w:rPr>
                <w:rFonts w:ascii="Times New Roman" w:eastAsia="Symbol" w:hAnsi="Times New Roman" w:cs="Times New Roman"/>
                <w:noProof/>
                <w:sz w:val="24"/>
                <w:szCs w:val="24"/>
                <w:lang w:val="en-IE"/>
              </w:rPr>
              <w:t xml:space="preserve">(average EUR </w:t>
            </w:r>
            <w:r w:rsidR="002924E4" w:rsidRPr="00532C20">
              <w:rPr>
                <w:rFonts w:ascii="Times New Roman" w:eastAsia="Symbol" w:hAnsi="Times New Roman" w:cs="Times New Roman"/>
                <w:noProof/>
                <w:sz w:val="24"/>
                <w:szCs w:val="24"/>
                <w:lang w:val="en-IE"/>
              </w:rPr>
              <w:t>768,000</w:t>
            </w:r>
            <w:r w:rsidR="0020718B" w:rsidRPr="00532C20">
              <w:rPr>
                <w:rFonts w:ascii="Times New Roman" w:eastAsia="Symbol" w:hAnsi="Times New Roman" w:cs="Times New Roman"/>
                <w:noProof/>
                <w:sz w:val="24"/>
                <w:szCs w:val="24"/>
                <w:lang w:val="en-IE"/>
              </w:rPr>
              <w:t>)</w:t>
            </w:r>
          </w:p>
        </w:tc>
        <w:tc>
          <w:tcPr>
            <w:tcW w:w="1301" w:type="dxa"/>
            <w:tcBorders>
              <w:top w:val="single" w:sz="4" w:space="0" w:color="auto"/>
              <w:left w:val="single" w:sz="4" w:space="0" w:color="auto"/>
              <w:bottom w:val="double" w:sz="4" w:space="0" w:color="auto"/>
              <w:right w:val="single" w:sz="4" w:space="0" w:color="auto"/>
              <w:tl2br w:val="double" w:sz="4" w:space="0" w:color="auto"/>
            </w:tcBorders>
            <w:tcMar>
              <w:top w:w="57" w:type="dxa"/>
              <w:left w:w="57" w:type="dxa"/>
              <w:bottom w:w="57" w:type="dxa"/>
              <w:right w:w="57" w:type="dxa"/>
            </w:tcMar>
          </w:tcPr>
          <w:p w14:paraId="499C3C96" w14:textId="77777777" w:rsidR="0020718B" w:rsidRPr="00532C20" w:rsidRDefault="0020718B" w:rsidP="004B0958">
            <w:pPr>
              <w:rPr>
                <w:rFonts w:ascii="Times New Roman" w:eastAsia="Symbol" w:hAnsi="Times New Roman" w:cs="Times New Roman"/>
                <w:noProof/>
                <w:sz w:val="24"/>
                <w:szCs w:val="24"/>
                <w:lang w:val="en-IE"/>
              </w:rPr>
            </w:pPr>
          </w:p>
        </w:tc>
        <w:tc>
          <w:tcPr>
            <w:tcW w:w="1181" w:type="dxa"/>
            <w:tcBorders>
              <w:top w:val="single" w:sz="4" w:space="0" w:color="auto"/>
              <w:left w:val="single" w:sz="4" w:space="0" w:color="auto"/>
              <w:bottom w:val="double" w:sz="4" w:space="0" w:color="auto"/>
              <w:right w:val="double" w:sz="4" w:space="0" w:color="auto"/>
              <w:tl2br w:val="double" w:sz="4" w:space="0" w:color="auto"/>
            </w:tcBorders>
            <w:tcMar>
              <w:top w:w="57" w:type="dxa"/>
              <w:left w:w="57" w:type="dxa"/>
              <w:bottom w:w="57" w:type="dxa"/>
              <w:right w:w="57" w:type="dxa"/>
            </w:tcMar>
          </w:tcPr>
          <w:p w14:paraId="09CD1F83" w14:textId="77777777" w:rsidR="0020718B" w:rsidRPr="00532C20" w:rsidRDefault="0020718B" w:rsidP="004B0958">
            <w:pPr>
              <w:rPr>
                <w:rFonts w:ascii="Times New Roman" w:eastAsia="Symbol" w:hAnsi="Times New Roman" w:cs="Times New Roman"/>
                <w:noProof/>
                <w:sz w:val="24"/>
                <w:szCs w:val="24"/>
                <w:lang w:val="en-IE"/>
              </w:rPr>
            </w:pPr>
          </w:p>
        </w:tc>
      </w:tr>
    </w:tbl>
    <w:p w14:paraId="0012AC37" w14:textId="77777777" w:rsidR="0085729E" w:rsidRPr="00532C20" w:rsidRDefault="0085729E" w:rsidP="004B0958">
      <w:pPr>
        <w:pStyle w:val="ListParagraph"/>
        <w:spacing w:after="200"/>
        <w:ind w:left="643"/>
        <w:contextualSpacing w:val="0"/>
        <w:jc w:val="both"/>
        <w:textAlignment w:val="baseline"/>
        <w:rPr>
          <w:rFonts w:ascii="Times New Roman" w:hAnsi="Times New Roman" w:cs="Times New Roman"/>
          <w:b/>
          <w:bCs/>
          <w:noProof/>
          <w:u w:val="single"/>
          <w:lang w:val="en-IE" w:eastAsia="en-IE"/>
        </w:rPr>
      </w:pPr>
    </w:p>
    <w:tbl>
      <w:tblPr>
        <w:tblStyle w:val="CV1111"/>
        <w:tblW w:w="10083"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3"/>
        <w:gridCol w:w="4112"/>
        <w:gridCol w:w="3418"/>
      </w:tblGrid>
      <w:tr w:rsidR="00BA242D" w:rsidRPr="00532C20" w14:paraId="0D04A609" w14:textId="77777777" w:rsidTr="00775C97">
        <w:tc>
          <w:tcPr>
            <w:tcW w:w="10083" w:type="dxa"/>
            <w:gridSpan w:val="3"/>
            <w:tcBorders>
              <w:top w:val="double" w:sz="4" w:space="0" w:color="auto"/>
              <w:left w:val="double" w:sz="4" w:space="0" w:color="auto"/>
              <w:bottom w:val="single" w:sz="4" w:space="0" w:color="auto"/>
              <w:right w:val="double" w:sz="4" w:space="0" w:color="auto"/>
            </w:tcBorders>
            <w:shd w:val="clear" w:color="auto" w:fill="C6D9F1"/>
            <w:hideMark/>
          </w:tcPr>
          <w:p w14:paraId="4638D308" w14:textId="677DCB68"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 xml:space="preserve">III. Overview of relevant Sustainable Development Goals – </w:t>
            </w:r>
            <w:r w:rsidR="0082123F" w:rsidRPr="00532C20">
              <w:rPr>
                <w:rFonts w:ascii="Times New Roman" w:eastAsia="Symbol" w:hAnsi="Times New Roman" w:cs="Times New Roman"/>
                <w:b/>
                <w:noProof/>
                <w:sz w:val="24"/>
                <w:szCs w:val="24"/>
                <w:lang w:val="en-IE"/>
              </w:rPr>
              <w:t xml:space="preserve">Preferred </w:t>
            </w:r>
            <w:r w:rsidRPr="00532C20">
              <w:rPr>
                <w:rFonts w:ascii="Times New Roman" w:eastAsia="Symbol" w:hAnsi="Times New Roman" w:cs="Times New Roman"/>
                <w:b/>
                <w:noProof/>
                <w:sz w:val="24"/>
                <w:szCs w:val="24"/>
                <w:lang w:val="en-IE"/>
              </w:rPr>
              <w:t>option</w:t>
            </w:r>
          </w:p>
        </w:tc>
      </w:tr>
      <w:tr w:rsidR="00EA7ED1" w:rsidRPr="00532C20" w14:paraId="27E2F21B" w14:textId="77777777" w:rsidTr="00775C97">
        <w:tc>
          <w:tcPr>
            <w:tcW w:w="2553" w:type="dxa"/>
            <w:tcBorders>
              <w:top w:val="single" w:sz="4" w:space="0" w:color="auto"/>
              <w:left w:val="double" w:sz="4" w:space="0" w:color="auto"/>
              <w:bottom w:val="single" w:sz="4" w:space="0" w:color="auto"/>
              <w:right w:val="single" w:sz="4" w:space="0" w:color="auto"/>
            </w:tcBorders>
            <w:shd w:val="clear" w:color="auto" w:fill="C6D9F1"/>
            <w:hideMark/>
          </w:tcPr>
          <w:p w14:paraId="06626FBB"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Relevant SDG</w:t>
            </w:r>
          </w:p>
        </w:tc>
        <w:tc>
          <w:tcPr>
            <w:tcW w:w="4112" w:type="dxa"/>
            <w:tcBorders>
              <w:top w:val="single" w:sz="4" w:space="0" w:color="auto"/>
              <w:left w:val="single" w:sz="4" w:space="0" w:color="auto"/>
              <w:bottom w:val="single" w:sz="4" w:space="0" w:color="auto"/>
              <w:right w:val="single" w:sz="4" w:space="0" w:color="auto"/>
            </w:tcBorders>
            <w:shd w:val="clear" w:color="auto" w:fill="C6D9F1"/>
            <w:hideMark/>
          </w:tcPr>
          <w:p w14:paraId="0964FEDA"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Expected progress towards the Goal</w:t>
            </w:r>
          </w:p>
        </w:tc>
        <w:tc>
          <w:tcPr>
            <w:tcW w:w="3418" w:type="dxa"/>
            <w:tcBorders>
              <w:top w:val="single" w:sz="4" w:space="0" w:color="auto"/>
              <w:left w:val="single" w:sz="4" w:space="0" w:color="auto"/>
              <w:bottom w:val="single" w:sz="4" w:space="0" w:color="auto"/>
              <w:right w:val="double" w:sz="4" w:space="0" w:color="auto"/>
            </w:tcBorders>
            <w:shd w:val="clear" w:color="auto" w:fill="C6D9F1"/>
            <w:tcMar>
              <w:top w:w="57" w:type="dxa"/>
              <w:left w:w="57" w:type="dxa"/>
              <w:bottom w:w="57" w:type="dxa"/>
              <w:right w:w="57" w:type="dxa"/>
            </w:tcMar>
            <w:hideMark/>
          </w:tcPr>
          <w:p w14:paraId="0291A13A" w14:textId="77777777" w:rsidR="0020718B" w:rsidRPr="00532C20" w:rsidRDefault="0020718B" w:rsidP="004B0958">
            <w:pPr>
              <w:rPr>
                <w:rFonts w:ascii="Times New Roman" w:eastAsia="Symbol" w:hAnsi="Times New Roman" w:cs="Times New Roman"/>
                <w:b/>
                <w:noProof/>
                <w:sz w:val="24"/>
                <w:szCs w:val="24"/>
                <w:lang w:val="en-IE"/>
              </w:rPr>
            </w:pPr>
            <w:r w:rsidRPr="00532C20">
              <w:rPr>
                <w:rFonts w:ascii="Times New Roman" w:eastAsia="Symbol" w:hAnsi="Times New Roman" w:cs="Times New Roman"/>
                <w:b/>
                <w:noProof/>
                <w:sz w:val="24"/>
                <w:szCs w:val="24"/>
                <w:lang w:val="en-IE"/>
              </w:rPr>
              <w:t>Comments</w:t>
            </w:r>
          </w:p>
        </w:tc>
      </w:tr>
      <w:tr w:rsidR="00437A77" w:rsidRPr="00532C20" w14:paraId="7451662C" w14:textId="77777777" w:rsidTr="00775C97">
        <w:tc>
          <w:tcPr>
            <w:tcW w:w="2553" w:type="dxa"/>
            <w:tcBorders>
              <w:top w:val="double" w:sz="4" w:space="0" w:color="auto"/>
              <w:left w:val="double" w:sz="4" w:space="0" w:color="auto"/>
              <w:bottom w:val="single" w:sz="4" w:space="0" w:color="auto"/>
              <w:right w:val="single" w:sz="4" w:space="0" w:color="auto"/>
            </w:tcBorders>
            <w:hideMark/>
          </w:tcPr>
          <w:p w14:paraId="486ECCF4"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SDG no. 16 – Promote peaceful and inclusive societies for sustainable development, access to justice for all and build effective, accountable and inclusive institutions at all levels</w:t>
            </w:r>
          </w:p>
        </w:tc>
        <w:tc>
          <w:tcPr>
            <w:tcW w:w="4112"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DB980A2" w14:textId="52021850"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The initiative aims to enhance the integrity of, and public trust in, EU and Member State democratic institutions, including through increased transparency in interest representation activities </w:t>
            </w:r>
            <w:r w:rsidR="002D25F8" w:rsidRPr="00532C20">
              <w:rPr>
                <w:rFonts w:ascii="Times New Roman" w:eastAsia="Symbol" w:hAnsi="Times New Roman" w:cs="Times New Roman"/>
                <w:noProof/>
                <w:sz w:val="24"/>
                <w:szCs w:val="24"/>
                <w:lang w:val="en-IE"/>
              </w:rPr>
              <w:t xml:space="preserve">carried out on behalf of third countries </w:t>
            </w:r>
            <w:r w:rsidRPr="00532C20">
              <w:rPr>
                <w:rFonts w:ascii="Times New Roman" w:eastAsia="Symbol" w:hAnsi="Times New Roman" w:cs="Times New Roman"/>
                <w:noProof/>
                <w:sz w:val="24"/>
                <w:szCs w:val="24"/>
                <w:lang w:val="en-IE"/>
              </w:rPr>
              <w:t xml:space="preserve">and through measures promoting inclusiveness, accessibility, transparency and security of electoral </w:t>
            </w:r>
            <w:r w:rsidR="000D3071" w:rsidRPr="00532C20">
              <w:rPr>
                <w:rFonts w:ascii="Times New Roman" w:eastAsia="Symbol" w:hAnsi="Times New Roman" w:cs="Times New Roman"/>
                <w:noProof/>
                <w:sz w:val="24"/>
                <w:szCs w:val="24"/>
                <w:lang w:val="en-IE"/>
              </w:rPr>
              <w:t xml:space="preserve">and decision-making </w:t>
            </w:r>
            <w:r w:rsidRPr="00532C20">
              <w:rPr>
                <w:rFonts w:ascii="Times New Roman" w:eastAsia="Symbol" w:hAnsi="Times New Roman" w:cs="Times New Roman"/>
                <w:noProof/>
                <w:sz w:val="24"/>
                <w:szCs w:val="24"/>
                <w:lang w:val="en-IE"/>
              </w:rPr>
              <w:t>processes.</w:t>
            </w:r>
          </w:p>
        </w:tc>
        <w:tc>
          <w:tcPr>
            <w:tcW w:w="3418"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3088B872" w14:textId="77777777" w:rsidR="0020718B" w:rsidRPr="00532C20" w:rsidRDefault="0020718B" w:rsidP="004B0958">
            <w:p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In particular, this initiative will contribute to the following SDG 16 sub-goals:</w:t>
            </w:r>
          </w:p>
          <w:p w14:paraId="0818AEFB" w14:textId="77777777" w:rsidR="0020718B" w:rsidRPr="00532C20" w:rsidRDefault="0020718B">
            <w:pPr>
              <w:numPr>
                <w:ilvl w:val="0"/>
                <w:numId w:val="39"/>
              </w:numPr>
              <w:rPr>
                <w:rFonts w:ascii="Times New Roman" w:hAnsi="Times New Roman" w:cs="Times New Roman"/>
                <w:noProof/>
                <w:sz w:val="24"/>
                <w:szCs w:val="24"/>
                <w:lang w:val="en-IE"/>
              </w:rPr>
            </w:pPr>
            <w:r w:rsidRPr="00532C20">
              <w:rPr>
                <w:rFonts w:ascii="Times New Roman" w:eastAsia="Symbol" w:hAnsi="Times New Roman" w:cs="Times New Roman"/>
                <w:noProof/>
                <w:sz w:val="24"/>
                <w:szCs w:val="24"/>
                <w:lang w:val="en-IE"/>
              </w:rPr>
              <w:t>16.6: Develop effective, accountable and transparent institutions;</w:t>
            </w:r>
          </w:p>
          <w:p w14:paraId="35FD8430" w14:textId="77777777" w:rsidR="0020718B" w:rsidRPr="00532C20" w:rsidRDefault="0020718B">
            <w:pPr>
              <w:numPr>
                <w:ilvl w:val="0"/>
                <w:numId w:val="39"/>
              </w:num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16.7: Ensure responsive, inclusive and representative decision-making; and</w:t>
            </w:r>
          </w:p>
          <w:p w14:paraId="59C4F755" w14:textId="77777777" w:rsidR="0020718B" w:rsidRPr="00532C20" w:rsidRDefault="0020718B">
            <w:pPr>
              <w:numPr>
                <w:ilvl w:val="0"/>
                <w:numId w:val="39"/>
              </w:numPr>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16.10: Ensure public access to information and protect fundamental freedoms.</w:t>
            </w:r>
          </w:p>
        </w:tc>
      </w:tr>
    </w:tbl>
    <w:p w14:paraId="1ED857DD" w14:textId="77777777" w:rsidR="0085729E" w:rsidRPr="00532C20" w:rsidRDefault="0085729E" w:rsidP="004B0958">
      <w:pPr>
        <w:spacing w:line="240" w:lineRule="auto"/>
        <w:jc w:val="both"/>
        <w:rPr>
          <w:rFonts w:ascii="Times New Roman" w:hAnsi="Times New Roman" w:cs="Times New Roman"/>
          <w:noProof/>
          <w:sz w:val="24"/>
          <w:szCs w:val="24"/>
          <w:lang w:val="en-IE"/>
        </w:rPr>
      </w:pPr>
    </w:p>
    <w:p w14:paraId="627960AE" w14:textId="21B57DD3" w:rsidR="0005333A" w:rsidRPr="00532C20" w:rsidRDefault="0005333A" w:rsidP="004B0958">
      <w:pPr>
        <w:spacing w:line="240" w:lineRule="auto"/>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br w:type="page"/>
      </w:r>
    </w:p>
    <w:p w14:paraId="4FDB64E5" w14:textId="14BD865D" w:rsidR="00C821EF" w:rsidRPr="00532C20" w:rsidRDefault="0005333A" w:rsidP="007F43F7">
      <w:pPr>
        <w:pStyle w:val="Annex222"/>
        <w:spacing w:after="240"/>
        <w:contextualSpacing w:val="0"/>
        <w:outlineLvl w:val="0"/>
        <w:rPr>
          <w:rFonts w:ascii="Times New Roman" w:hAnsi="Times New Roman" w:cs="Times New Roman"/>
          <w:noProof/>
        </w:rPr>
      </w:pPr>
      <w:bookmarkStart w:id="1160" w:name="_Toc152864723"/>
      <w:r w:rsidRPr="00532C20">
        <w:rPr>
          <w:rFonts w:ascii="Times New Roman" w:hAnsi="Times New Roman" w:cs="Times New Roman"/>
          <w:noProof/>
        </w:rPr>
        <w:t xml:space="preserve">Annex </w:t>
      </w:r>
      <w:r w:rsidR="00C821EF" w:rsidRPr="00532C20">
        <w:rPr>
          <w:rFonts w:ascii="Times New Roman" w:hAnsi="Times New Roman" w:cs="Times New Roman"/>
          <w:noProof/>
        </w:rPr>
        <w:t>4</w:t>
      </w:r>
      <w:r w:rsidRPr="00532C20">
        <w:rPr>
          <w:rFonts w:ascii="Times New Roman" w:hAnsi="Times New Roman" w:cs="Times New Roman"/>
          <w:noProof/>
        </w:rPr>
        <w:t>:</w:t>
      </w:r>
      <w:r w:rsidR="00C821EF" w:rsidRPr="00532C20">
        <w:rPr>
          <w:rFonts w:ascii="Times New Roman" w:hAnsi="Times New Roman" w:cs="Times New Roman"/>
          <w:noProof/>
        </w:rPr>
        <w:t xml:space="preserve"> Analytical methods</w:t>
      </w:r>
      <w:bookmarkEnd w:id="1160"/>
    </w:p>
    <w:p w14:paraId="2FBB6B97" w14:textId="77777777" w:rsidR="00F14B63" w:rsidRPr="00532C20" w:rsidRDefault="00F14B63" w:rsidP="002B0B48">
      <w:pPr>
        <w:pStyle w:val="ListParagraph"/>
        <w:numPr>
          <w:ilvl w:val="0"/>
          <w:numId w:val="76"/>
        </w:numPr>
        <w:rPr>
          <w:rFonts w:ascii="Times New Roman" w:eastAsia="Symbol" w:hAnsi="Times New Roman" w:cs="Times New Roman"/>
          <w:b/>
          <w:bCs/>
          <w:noProof/>
          <w:u w:val="single"/>
        </w:rPr>
      </w:pPr>
      <w:r w:rsidRPr="00532C20">
        <w:rPr>
          <w:rFonts w:ascii="Times New Roman" w:eastAsia="Symbol" w:hAnsi="Times New Roman" w:cs="Times New Roman"/>
          <w:b/>
          <w:bCs/>
          <w:noProof/>
          <w:u w:val="single"/>
        </w:rPr>
        <w:t>Analytical framework</w:t>
      </w:r>
    </w:p>
    <w:p w14:paraId="07320C7D" w14:textId="77777777" w:rsidR="00ED56FD" w:rsidRPr="00532C20" w:rsidRDefault="00ED56FD" w:rsidP="00ED56FD">
      <w:pPr>
        <w:pStyle w:val="ListParagraph"/>
        <w:ind w:left="360"/>
        <w:rPr>
          <w:rFonts w:ascii="Times New Roman" w:eastAsia="Symbol" w:hAnsi="Times New Roman" w:cs="Times New Roman"/>
          <w:noProof/>
        </w:rPr>
      </w:pPr>
    </w:p>
    <w:p w14:paraId="5B3FC4B7" w14:textId="13A0A931" w:rsidR="00964D14" w:rsidRPr="00532C20" w:rsidRDefault="00964D14" w:rsidP="004B0958">
      <w:pPr>
        <w:spacing w:after="160" w:line="240" w:lineRule="auto"/>
        <w:jc w:val="both"/>
        <w:rPr>
          <w:rFonts w:ascii="Times New Roman" w:eastAsia="Symbol" w:hAnsi="Times New Roman" w:cs="Times New Roman"/>
          <w:noProof/>
          <w:sz w:val="24"/>
          <w:szCs w:val="24"/>
        </w:rPr>
      </w:pPr>
      <w:r w:rsidRPr="00532C20">
        <w:rPr>
          <w:rFonts w:ascii="Times New Roman" w:eastAsia="Symbol" w:hAnsi="Times New Roman" w:cs="Times New Roman"/>
          <w:noProof/>
          <w:sz w:val="24"/>
          <w:szCs w:val="24"/>
        </w:rPr>
        <w:t xml:space="preserve">The impact assessment is prepared on the basis of a supporting study, a Public Consultation, a Call for Evidence, </w:t>
      </w:r>
      <w:r w:rsidR="00A90D63" w:rsidRPr="00532C20">
        <w:rPr>
          <w:rFonts w:ascii="Times New Roman" w:eastAsia="Symbol" w:hAnsi="Times New Roman" w:cs="Times New Roman"/>
          <w:noProof/>
          <w:sz w:val="24"/>
          <w:szCs w:val="24"/>
        </w:rPr>
        <w:t xml:space="preserve">2 </w:t>
      </w:r>
      <w:r w:rsidRPr="00532C20">
        <w:rPr>
          <w:rFonts w:ascii="Times New Roman" w:eastAsia="Symbol" w:hAnsi="Times New Roman" w:cs="Times New Roman"/>
          <w:noProof/>
          <w:sz w:val="24"/>
          <w:szCs w:val="24"/>
        </w:rPr>
        <w:t>Flash Eurobarometers, a series of stakeholders focus group meetings, targeted questionnaires circulated to</w:t>
      </w:r>
      <w:r w:rsidR="004E736D" w:rsidRPr="00532C20">
        <w:rPr>
          <w:rFonts w:ascii="Times New Roman" w:eastAsia="Symbol" w:hAnsi="Times New Roman" w:cs="Times New Roman"/>
          <w:noProof/>
          <w:sz w:val="24"/>
          <w:szCs w:val="24"/>
        </w:rPr>
        <w:t xml:space="preserve"> </w:t>
      </w:r>
      <w:r w:rsidR="00BC6744" w:rsidRPr="00532C20">
        <w:rPr>
          <w:rFonts w:ascii="Times New Roman" w:eastAsia="Symbol" w:hAnsi="Times New Roman" w:cs="Times New Roman"/>
          <w:noProof/>
          <w:sz w:val="24"/>
          <w:szCs w:val="24"/>
        </w:rPr>
        <w:t>civil society organisations, Member States and sector of the industry concerned</w:t>
      </w:r>
      <w:r w:rsidRPr="00532C20">
        <w:rPr>
          <w:rFonts w:ascii="Times New Roman" w:eastAsia="Symbol" w:hAnsi="Times New Roman" w:cs="Times New Roman"/>
          <w:noProof/>
          <w:sz w:val="24"/>
          <w:szCs w:val="24"/>
        </w:rPr>
        <w:t xml:space="preserve">, intensive direct stakeholder consultations as well as relevant literature and recent EU publications (reports, studies and policy documents). It includes a full analysis of the baseline, </w:t>
      </w:r>
      <w:r w:rsidR="006C45CD" w:rsidRPr="00532C20">
        <w:rPr>
          <w:rFonts w:ascii="Times New Roman" w:eastAsia="Symbol" w:hAnsi="Times New Roman" w:cs="Times New Roman"/>
          <w:noProof/>
          <w:sz w:val="24"/>
          <w:szCs w:val="24"/>
        </w:rPr>
        <w:t>include</w:t>
      </w:r>
      <w:r w:rsidRPr="00532C20">
        <w:rPr>
          <w:rFonts w:ascii="Times New Roman" w:eastAsia="Symbol" w:hAnsi="Times New Roman" w:cs="Times New Roman"/>
          <w:noProof/>
          <w:sz w:val="24"/>
          <w:szCs w:val="24"/>
        </w:rPr>
        <w:t xml:space="preserve">: </w:t>
      </w:r>
    </w:p>
    <w:p w14:paraId="386A93A5" w14:textId="77777777" w:rsidR="00964D14" w:rsidRPr="00532C20" w:rsidRDefault="00964D14">
      <w:pPr>
        <w:numPr>
          <w:ilvl w:val="0"/>
          <w:numId w:val="55"/>
        </w:numPr>
        <w:spacing w:after="160" w:line="240" w:lineRule="auto"/>
        <w:jc w:val="both"/>
        <w:rPr>
          <w:rFonts w:ascii="Times New Roman" w:eastAsia="Symbol" w:hAnsi="Times New Roman" w:cs="Times New Roman"/>
          <w:noProof/>
          <w:sz w:val="24"/>
          <w:szCs w:val="24"/>
        </w:rPr>
      </w:pPr>
      <w:r w:rsidRPr="00532C20">
        <w:rPr>
          <w:rFonts w:ascii="Times New Roman" w:eastAsia="Symbol" w:hAnsi="Times New Roman" w:cs="Times New Roman"/>
          <w:noProof/>
          <w:sz w:val="24"/>
          <w:szCs w:val="24"/>
        </w:rPr>
        <w:t xml:space="preserve">The relevant legal frameworks and anticipated evolutions, at both EU and national level, including a qualitative description of gaps, overlaps, commonalities and conflicts. </w:t>
      </w:r>
    </w:p>
    <w:p w14:paraId="6BAF01BF" w14:textId="77777777" w:rsidR="00964D14" w:rsidRPr="00532C20" w:rsidRDefault="00964D14">
      <w:pPr>
        <w:numPr>
          <w:ilvl w:val="0"/>
          <w:numId w:val="55"/>
        </w:numPr>
        <w:spacing w:after="160" w:line="240" w:lineRule="auto"/>
        <w:jc w:val="both"/>
        <w:rPr>
          <w:rFonts w:ascii="Times New Roman" w:eastAsia="Symbol" w:hAnsi="Times New Roman" w:cs="Times New Roman"/>
          <w:noProof/>
          <w:sz w:val="24"/>
          <w:szCs w:val="24"/>
        </w:rPr>
      </w:pPr>
      <w:r w:rsidRPr="00532C20">
        <w:rPr>
          <w:rFonts w:ascii="Times New Roman" w:eastAsia="Symbol" w:hAnsi="Times New Roman" w:cs="Times New Roman"/>
          <w:noProof/>
          <w:sz w:val="24"/>
          <w:szCs w:val="24"/>
        </w:rPr>
        <w:t xml:space="preserve">A summary of the scope and context for the impact assessment is provided in the annexes, including a market analysis drawn from the supporting study and case studies to illustrate the various processes involved and to highlight where difficulties lie. </w:t>
      </w:r>
    </w:p>
    <w:p w14:paraId="33E2F04D" w14:textId="77777777" w:rsidR="00964D14" w:rsidRPr="00532C20" w:rsidRDefault="00964D14" w:rsidP="004B0958">
      <w:pPr>
        <w:spacing w:after="16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rPr>
        <w:t xml:space="preserve">The objectives, options and assessment of their various impacts were prepared on this basis. Quantitative data on the specific market for interest representation activities carried out on behalf of third countries was investigated although the inherent nature of such activities rendered that effort challenging. </w:t>
      </w:r>
    </w:p>
    <w:p w14:paraId="242993D0" w14:textId="77777777" w:rsidR="00964D14" w:rsidRPr="00532C20" w:rsidRDefault="00964D14" w:rsidP="002B0B48">
      <w:pPr>
        <w:pStyle w:val="ListParagraph"/>
        <w:numPr>
          <w:ilvl w:val="0"/>
          <w:numId w:val="76"/>
        </w:numPr>
        <w:rPr>
          <w:rFonts w:ascii="Times New Roman" w:eastAsia="Symbol" w:hAnsi="Times New Roman" w:cs="Times New Roman"/>
          <w:b/>
          <w:bCs/>
          <w:noProof/>
          <w:u w:val="single"/>
        </w:rPr>
      </w:pPr>
      <w:r w:rsidRPr="00532C20">
        <w:rPr>
          <w:rFonts w:ascii="Times New Roman" w:eastAsia="Symbol" w:hAnsi="Times New Roman" w:cs="Times New Roman"/>
          <w:b/>
          <w:bCs/>
          <w:noProof/>
          <w:u w:val="single"/>
        </w:rPr>
        <w:t>Main definitions and actors concerned</w:t>
      </w:r>
    </w:p>
    <w:p w14:paraId="3F36BB23" w14:textId="77777777" w:rsidR="00ED56FD" w:rsidRPr="00532C20" w:rsidRDefault="00ED56FD" w:rsidP="00ED56FD">
      <w:pPr>
        <w:pStyle w:val="ListParagraph"/>
        <w:ind w:left="360"/>
        <w:rPr>
          <w:rFonts w:ascii="Times New Roman" w:eastAsia="Symbol" w:hAnsi="Times New Roman" w:cs="Times New Roman"/>
          <w:noProof/>
        </w:rPr>
      </w:pPr>
    </w:p>
    <w:p w14:paraId="44CA2B30" w14:textId="02E04A49" w:rsidR="00964D14" w:rsidRPr="00532C20" w:rsidRDefault="00964D14" w:rsidP="004B0958">
      <w:pPr>
        <w:spacing w:after="160" w:line="240" w:lineRule="auto"/>
        <w:jc w:val="both"/>
        <w:rPr>
          <w:rFonts w:ascii="Times New Roman" w:eastAsia="Calibri" w:hAnsi="Times New Roman" w:cs="Times New Roman"/>
          <w:i/>
          <w:noProof/>
          <w:sz w:val="24"/>
          <w:szCs w:val="24"/>
          <w:lang w:val="en-IE"/>
        </w:rPr>
      </w:pPr>
      <w:r w:rsidRPr="00532C20">
        <w:rPr>
          <w:rFonts w:ascii="Times New Roman" w:eastAsia="Calibri" w:hAnsi="Times New Roman" w:cs="Times New Roman"/>
          <w:noProof/>
          <w:sz w:val="24"/>
          <w:szCs w:val="24"/>
        </w:rPr>
        <w:t xml:space="preserve">For the purposes of the overall impact assessment, the following definition was used for the term “interest representation”: </w:t>
      </w:r>
      <w:r w:rsidR="00B7277C" w:rsidRPr="00532C20">
        <w:rPr>
          <w:rFonts w:ascii="Times New Roman" w:eastAsia="Calibri" w:hAnsi="Times New Roman" w:cs="Times New Roman"/>
          <w:noProof/>
          <w:sz w:val="24"/>
          <w:szCs w:val="24"/>
        </w:rPr>
        <w:t>“</w:t>
      </w:r>
      <w:r w:rsidRPr="00532C20">
        <w:rPr>
          <w:rFonts w:ascii="Times New Roman" w:eastAsia="Calibri" w:hAnsi="Times New Roman" w:cs="Times New Roman"/>
          <w:i/>
          <w:iCs/>
          <w:noProof/>
          <w:sz w:val="24"/>
          <w:szCs w:val="24"/>
          <w:lang w:val="en-IE"/>
        </w:rPr>
        <w:t>Interest representation means an activity conducted with the objective of influencing the development, formulation or implementation of policy or legislation, or public decision-making processes in the Union.”</w:t>
      </w:r>
      <w:r w:rsidRPr="00532C20">
        <w:rPr>
          <w:rFonts w:ascii="Times New Roman" w:eastAsia="Calibri" w:hAnsi="Times New Roman" w:cs="Times New Roman"/>
          <w:noProof/>
          <w:sz w:val="24"/>
          <w:szCs w:val="24"/>
          <w:lang w:val="en-IE"/>
        </w:rPr>
        <w:t>. The term “third country” refers to countries outside of the European Economic Area (EEA). The term “foreign influence” was defined as follows:</w:t>
      </w:r>
      <w:r w:rsidR="00DC4AFB" w:rsidRPr="00532C20">
        <w:rPr>
          <w:rFonts w:ascii="Times New Roman" w:eastAsia="Calibri" w:hAnsi="Times New Roman" w:cs="Times New Roman"/>
          <w:noProof/>
          <w:sz w:val="24"/>
          <w:szCs w:val="24"/>
          <w:lang w:val="en-IE"/>
        </w:rPr>
        <w:t xml:space="preserve"> </w:t>
      </w:r>
      <w:r w:rsidRPr="00532C20">
        <w:rPr>
          <w:rFonts w:ascii="Times New Roman" w:eastAsia="Calibri" w:hAnsi="Times New Roman" w:cs="Times New Roman"/>
          <w:i/>
          <w:noProof/>
          <w:sz w:val="24"/>
          <w:szCs w:val="24"/>
          <w:lang w:val="en-IE"/>
        </w:rPr>
        <w:t>“</w:t>
      </w:r>
      <w:r w:rsidRPr="00532C20">
        <w:rPr>
          <w:rFonts w:ascii="Times New Roman" w:eastAsia="Calibri" w:hAnsi="Times New Roman" w:cs="Times New Roman"/>
          <w:i/>
          <w:iCs/>
          <w:noProof/>
          <w:sz w:val="24"/>
          <w:szCs w:val="24"/>
          <w:lang w:val="en-IE"/>
        </w:rPr>
        <w:t>Intervention by third country governments to influence the democratic sphere including legislation and policies, also by shaping public opinion in a way which benefits their interests</w:t>
      </w:r>
      <w:r w:rsidRPr="00532C20">
        <w:rPr>
          <w:rFonts w:ascii="Times New Roman" w:eastAsia="Calibri" w:hAnsi="Times New Roman" w:cs="Times New Roman"/>
          <w:i/>
          <w:noProof/>
          <w:sz w:val="24"/>
          <w:szCs w:val="24"/>
          <w:lang w:val="en-IE"/>
        </w:rPr>
        <w:t xml:space="preserve">”. </w:t>
      </w:r>
      <w:r w:rsidR="00342653" w:rsidRPr="00532C20">
        <w:rPr>
          <w:rFonts w:ascii="Times New Roman" w:eastAsia="Calibri" w:hAnsi="Times New Roman" w:cs="Times New Roman"/>
          <w:noProof/>
          <w:sz w:val="24"/>
          <w:szCs w:val="24"/>
          <w:lang w:val="en-IE"/>
        </w:rPr>
        <w:t>O</w:t>
      </w:r>
      <w:r w:rsidRPr="00532C20">
        <w:rPr>
          <w:rFonts w:ascii="Times New Roman" w:eastAsia="Calibri" w:hAnsi="Times New Roman" w:cs="Times New Roman"/>
          <w:noProof/>
          <w:sz w:val="24"/>
          <w:szCs w:val="24"/>
          <w:lang w:val="en-IE"/>
        </w:rPr>
        <w:t xml:space="preserve">n the other hand, </w:t>
      </w:r>
      <w:r w:rsidRPr="00532C20">
        <w:rPr>
          <w:rFonts w:ascii="Times New Roman" w:eastAsia="Calibri" w:hAnsi="Times New Roman" w:cs="Times New Roman"/>
          <w:i/>
          <w:noProof/>
          <w:sz w:val="24"/>
          <w:szCs w:val="24"/>
          <w:lang w:val="en-IE"/>
        </w:rPr>
        <w:t>“</w:t>
      </w:r>
      <w:r w:rsidR="00B7277C" w:rsidRPr="00532C20">
        <w:rPr>
          <w:rFonts w:ascii="Times New Roman" w:hAnsi="Times New Roman" w:cs="Times New Roman"/>
          <w:i/>
          <w:iCs/>
          <w:noProof/>
          <w:sz w:val="24"/>
          <w:szCs w:val="24"/>
          <w:lang w:val="en-IE"/>
        </w:rPr>
        <w:t>Foreign interference is used to differentiate between influencing activities that are integral to diplomatic relations and activities that are carried out by, or on behalf of, a foreign state-level actor, which are coercive, covert, deceptive, or corrupting and are contrary to the sovereignty, values, and interests of the Union</w:t>
      </w:r>
      <w:r w:rsidR="00B7277C" w:rsidRPr="00532C20">
        <w:rPr>
          <w:rFonts w:ascii="Times New Roman" w:hAnsi="Times New Roman" w:cs="Times New Roman"/>
          <w:i/>
          <w:noProof/>
          <w:sz w:val="24"/>
          <w:szCs w:val="24"/>
          <w:lang w:val="en-IE"/>
        </w:rPr>
        <w:t>.</w:t>
      </w:r>
      <w:r w:rsidRPr="00532C20">
        <w:rPr>
          <w:rFonts w:ascii="Times New Roman" w:eastAsia="Calibri" w:hAnsi="Times New Roman" w:cs="Times New Roman"/>
          <w:i/>
          <w:noProof/>
          <w:sz w:val="24"/>
          <w:szCs w:val="24"/>
          <w:lang w:val="en-IE"/>
        </w:rPr>
        <w:t>”</w:t>
      </w:r>
    </w:p>
    <w:p w14:paraId="1AE79EAA" w14:textId="77777777" w:rsidR="00964D14" w:rsidRPr="00532C20" w:rsidRDefault="00964D14" w:rsidP="004B0958">
      <w:pPr>
        <w:spacing w:after="160" w:line="240" w:lineRule="auto"/>
        <w:jc w:val="both"/>
        <w:rPr>
          <w:rFonts w:ascii="Times New Roman" w:eastAsia="Calibri" w:hAnsi="Times New Roman" w:cs="Times New Roman"/>
          <w:noProof/>
          <w:sz w:val="24"/>
          <w:szCs w:val="24"/>
        </w:rPr>
      </w:pPr>
      <w:r w:rsidRPr="00532C20">
        <w:rPr>
          <w:rFonts w:ascii="Times New Roman" w:eastAsia="Calibri" w:hAnsi="Times New Roman" w:cs="Times New Roman"/>
          <w:noProof/>
          <w:sz w:val="24"/>
          <w:szCs w:val="24"/>
        </w:rPr>
        <w:t xml:space="preserve">This approach to these definitions reflects a broad understanding of the issue of interest representation activities carried out on behalf of third countries. This approach was adopted in order to ensure that the issues at hand be tackled in the most comprehensive way possible. As such, the establishment of these definitions drew on definitions of existing or related notions at both EU and Member State levels, mapped through extensive consultations as well as a dedicated supporting study. These definitions ensure an objective and proportionate approach to the issues and actors and activities concerned by the intervention. </w:t>
      </w:r>
    </w:p>
    <w:p w14:paraId="42BEAB83" w14:textId="0C7CB193" w:rsidR="00964D14" w:rsidRPr="00532C20" w:rsidRDefault="00964D14" w:rsidP="004B0958">
      <w:pPr>
        <w:spacing w:after="160" w:line="240" w:lineRule="auto"/>
        <w:jc w:val="both"/>
        <w:rPr>
          <w:rFonts w:ascii="Times New Roman" w:eastAsia="Times" w:hAnsi="Times New Roman" w:cs="Times New Roman"/>
          <w:noProof/>
          <w:sz w:val="24"/>
          <w:szCs w:val="24"/>
          <w:lang w:val="en-IE"/>
        </w:rPr>
      </w:pPr>
      <w:r w:rsidRPr="00532C20">
        <w:rPr>
          <w:rFonts w:ascii="Times New Roman" w:eastAsia="Calibri" w:hAnsi="Times New Roman" w:cs="Times New Roman"/>
          <w:noProof/>
          <w:sz w:val="24"/>
          <w:szCs w:val="24"/>
        </w:rPr>
        <w:t xml:space="preserve">The activities covered by the intervention are any interest representation activities conducted with the objective of influencing the development, formulation or implementation of policy or legislation, or public decision-making processes </w:t>
      </w:r>
      <w:r w:rsidR="007A7486" w:rsidRPr="00532C20">
        <w:rPr>
          <w:rFonts w:ascii="Times New Roman" w:eastAsia="Calibri" w:hAnsi="Times New Roman" w:cs="Times New Roman"/>
          <w:noProof/>
          <w:sz w:val="24"/>
          <w:szCs w:val="24"/>
        </w:rPr>
        <w:t>on behalf of a third country</w:t>
      </w:r>
      <w:r w:rsidRPr="00532C20">
        <w:rPr>
          <w:rFonts w:ascii="Times New Roman" w:eastAsia="Calibri" w:hAnsi="Times New Roman" w:cs="Times New Roman"/>
          <w:noProof/>
          <w:sz w:val="24"/>
          <w:szCs w:val="24"/>
        </w:rPr>
        <w:t xml:space="preserve"> in the EU, regardless of the entity which performs them. In line with the Article 114 TFEU legal basis, such activities would be covered by the intervention only when they are normally provided for remuneration. The analyses, mappings and consultations found that the main actors concerned by this intervention will be </w:t>
      </w:r>
      <w:r w:rsidRPr="00532C20">
        <w:rPr>
          <w:rFonts w:ascii="Times New Roman" w:eastAsia="Times" w:hAnsi="Times New Roman" w:cs="Times New Roman"/>
          <w:noProof/>
          <w:sz w:val="24"/>
          <w:szCs w:val="24"/>
          <w:lang w:val="en-IE"/>
        </w:rPr>
        <w:t xml:space="preserve">both commercial entities (e.g. consulting firms, law firms, individual businesses) and non-commercial entities (e.g. think tanks, education, research and academic institutions, business, trade or professional associations, or CSOs). </w:t>
      </w:r>
    </w:p>
    <w:p w14:paraId="089BC245" w14:textId="4C5DF813" w:rsidR="00281EB5" w:rsidRPr="00532C20" w:rsidRDefault="00281EB5" w:rsidP="00281EB5">
      <w:pPr>
        <w:spacing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The section below presents key stakeholder groups that fall under current regulatory obligations, as well as an estimated size of the </w:t>
      </w:r>
      <w:r w:rsidR="002E490B">
        <w:rPr>
          <w:rFonts w:ascii="Times New Roman" w:eastAsia="Times" w:hAnsi="Times New Roman" w:cs="Times New Roman"/>
          <w:noProof/>
          <w:sz w:val="24"/>
          <w:szCs w:val="24"/>
          <w:lang w:val="en-IE" w:eastAsia="en-IE"/>
        </w:rPr>
        <w:t>internal</w:t>
      </w:r>
      <w:r w:rsidR="002E490B" w:rsidRPr="00532C20">
        <w:rPr>
          <w:rFonts w:ascii="Times New Roman" w:eastAsia="Times" w:hAnsi="Times New Roman" w:cs="Times New Roman"/>
          <w:noProof/>
          <w:sz w:val="24"/>
          <w:szCs w:val="24"/>
          <w:lang w:val="en-IE" w:eastAsia="en-IE"/>
        </w:rPr>
        <w:t xml:space="preserve"> </w:t>
      </w:r>
      <w:r w:rsidRPr="00532C20">
        <w:rPr>
          <w:rFonts w:ascii="Times New Roman" w:eastAsia="Times" w:hAnsi="Times New Roman" w:cs="Times New Roman"/>
          <w:noProof/>
          <w:sz w:val="24"/>
          <w:szCs w:val="24"/>
          <w:lang w:val="en-IE" w:eastAsia="en-IE"/>
        </w:rPr>
        <w:t xml:space="preserve">market for interest representation activities, an estimation of the market for interest representation activities carried out on behalf of third countries specifically, and key stakeholder groups that will be affected by the Policy Options. </w:t>
      </w:r>
    </w:p>
    <w:p w14:paraId="73D3839E" w14:textId="77777777" w:rsidR="009F2422" w:rsidRPr="00532C20" w:rsidRDefault="009F2422" w:rsidP="002B0B48">
      <w:pPr>
        <w:pStyle w:val="ListParagraph"/>
        <w:numPr>
          <w:ilvl w:val="1"/>
          <w:numId w:val="76"/>
        </w:numPr>
        <w:rPr>
          <w:rFonts w:ascii="Times New Roman" w:hAnsi="Times New Roman" w:cs="Times New Roman"/>
          <w:noProof/>
          <w:lang w:val="en-IE" w:eastAsia="en-IE"/>
        </w:rPr>
      </w:pPr>
      <w:r w:rsidRPr="00532C20">
        <w:rPr>
          <w:rFonts w:ascii="Times New Roman" w:hAnsi="Times New Roman" w:cs="Times New Roman"/>
          <w:b/>
          <w:bCs/>
          <w:noProof/>
          <w:u w:val="single"/>
          <w:lang w:val="en-IE" w:eastAsia="en-IE"/>
        </w:rPr>
        <w:t>Key stakeholder groups that fall under the main existing regulatory obligations</w:t>
      </w:r>
    </w:p>
    <w:p w14:paraId="20B9C84A" w14:textId="77777777" w:rsidR="00EF6169" w:rsidRPr="00532C20" w:rsidRDefault="00EF6169" w:rsidP="00EF6169">
      <w:pPr>
        <w:pStyle w:val="ListParagraph"/>
        <w:ind w:left="792"/>
        <w:rPr>
          <w:rFonts w:ascii="Times New Roman" w:hAnsi="Times New Roman" w:cs="Times New Roman"/>
          <w:noProof/>
          <w:lang w:val="en-IE" w:eastAsia="en-IE"/>
        </w:rPr>
      </w:pPr>
    </w:p>
    <w:p w14:paraId="146D353E" w14:textId="77777777" w:rsidR="009F2422" w:rsidRPr="00532C20" w:rsidRDefault="009F2422" w:rsidP="009F2422">
      <w:pPr>
        <w:spacing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Where possible, stakeholders are distinguished between for-profit organisations and non-profit organisations. Indeed, evidence shows that 1) commercial entities, mainly consulting companies and law firms providing remunerated public / regulatory affairs / relations or communication services, and 2) non-profit organisations (CSOs), e.g. NGOs, think tanks, stand-alone research centres and those tied to higher education establishments, have been used to carryout interest representation activities on behalf of third countries.  </w:t>
      </w:r>
    </w:p>
    <w:p w14:paraId="3CA05448" w14:textId="77777777" w:rsidR="009F2422" w:rsidRPr="00532C20" w:rsidRDefault="009F2422" w:rsidP="009F2422">
      <w:pPr>
        <w:spacing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The review of type of registrants to the EU Transparency register and to and a selection of national registers has allowed us to complement the identification of key stakeholders.  </w:t>
      </w:r>
    </w:p>
    <w:p w14:paraId="6DCE0FF1" w14:textId="77777777" w:rsidR="009F2422" w:rsidRPr="00532C20" w:rsidRDefault="009F2422">
      <w:pPr>
        <w:pStyle w:val="ListParagraph"/>
        <w:numPr>
          <w:ilvl w:val="0"/>
          <w:numId w:val="31"/>
        </w:numPr>
        <w:spacing w:after="200"/>
        <w:contextualSpacing w:val="0"/>
        <w:jc w:val="both"/>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The (self) categorisation of registrants in the EU Transparency Register (5 February 2023 data) presented below shows that 28% are non-governmental organisations, platforms and networks and similar (3,506), 25% are companies &amp; groups (3,083) and 21% are trade and business associations (2,655). Interestingly, 2 entities, respectively from Norway and the Channel Islands, are categorised as “Entities, offices or networks established by third countries”. </w:t>
      </w:r>
    </w:p>
    <w:p w14:paraId="15467CD3" w14:textId="77777777" w:rsidR="009F2422" w:rsidRPr="00532C20" w:rsidRDefault="009F2422">
      <w:pPr>
        <w:pStyle w:val="ListParagraph"/>
        <w:numPr>
          <w:ilvl w:val="0"/>
          <w:numId w:val="31"/>
        </w:numPr>
        <w:spacing w:after="200"/>
        <w:contextualSpacing w:val="0"/>
        <w:jc w:val="both"/>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Based on publicly available data outlined below, across the 10 Member States for which data is available, a total of 12,199 organisations and individuals are registered in national lobbying or transparency registers to conduct lobbying activities, with Germany, France and Ireland comprising a significant proportion (88%) of the total registrants across these 9 countries</w:t>
      </w:r>
      <w:r w:rsidRPr="00532C20">
        <w:rPr>
          <w:rStyle w:val="FootnoteReference"/>
          <w:rFonts w:ascii="Times New Roman" w:hAnsi="Times New Roman" w:cs="Times New Roman"/>
          <w:noProof/>
          <w:lang w:val="en-IE" w:eastAsia="en-IE"/>
        </w:rPr>
        <w:footnoteReference w:id="248"/>
      </w:r>
      <w:r w:rsidRPr="00532C20">
        <w:rPr>
          <w:rFonts w:ascii="Times New Roman" w:hAnsi="Times New Roman" w:cs="Times New Roman"/>
          <w:noProof/>
          <w:lang w:val="en-IE" w:eastAsia="en-IE"/>
        </w:rPr>
        <w:t>. It is noted that this geographical concentration mirrors the stringency of regulatory requirements, which are high in those countries. With regard to the types of entities represented, and based on an incomplete dataset across 4 of the 9 Member States, the table shows that business associations (4,692 registrants) followed by advocacy organisations / charities (873 registrants) and research firms / consultancies (465 registrants) represent the highest number of entries in national lobbyists / transparency registers in the EU. </w:t>
      </w:r>
    </w:p>
    <w:p w14:paraId="4C2F7043" w14:textId="77777777" w:rsidR="009F2422" w:rsidRPr="00532C20" w:rsidRDefault="009F2422" w:rsidP="009F2422">
      <w:pPr>
        <w:keepNext/>
        <w:widowControl w:val="0"/>
        <w:spacing w:line="240" w:lineRule="auto"/>
        <w:jc w:val="both"/>
        <w:textAlignment w:val="baseline"/>
        <w:rPr>
          <w:rFonts w:ascii="Times New Roman" w:eastAsia="Times" w:hAnsi="Times New Roman" w:cs="Times New Roman"/>
          <w:b/>
          <w:noProof/>
          <w:sz w:val="24"/>
          <w:szCs w:val="24"/>
          <w:lang w:val="en-IE" w:eastAsia="en-IE"/>
        </w:rPr>
      </w:pPr>
      <w:r w:rsidRPr="00532C20">
        <w:rPr>
          <w:rFonts w:ascii="Times New Roman" w:eastAsia="Times" w:hAnsi="Times New Roman" w:cs="Times New Roman"/>
          <w:b/>
          <w:noProof/>
          <w:sz w:val="24"/>
          <w:szCs w:val="24"/>
          <w:lang w:val="en-IE" w:eastAsia="en-IE"/>
        </w:rPr>
        <w:t>Categorisation of registrants in the EU Transparency Register (5 February 2023 data) </w:t>
      </w:r>
    </w:p>
    <w:tbl>
      <w:tblPr>
        <w:tblW w:w="86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06"/>
        <w:gridCol w:w="1528"/>
      </w:tblGrid>
      <w:tr w:rsidR="009F2422" w:rsidRPr="00532C20" w14:paraId="13FAAB51"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002060"/>
            <w:hideMark/>
          </w:tcPr>
          <w:p w14:paraId="52F28A5D" w14:textId="77777777" w:rsidR="009F2422" w:rsidRPr="00532C20" w:rsidRDefault="009F2422">
            <w:pPr>
              <w:keepNext/>
              <w:widowControl w:val="0"/>
              <w:spacing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Category of registration</w:t>
            </w:r>
            <w:r w:rsidRPr="00532C20">
              <w:rPr>
                <w:rFonts w:ascii="Times New Roman" w:eastAsia="Times" w:hAnsi="Times New Roman" w:cs="Times New Roman"/>
                <w:noProof/>
                <w:sz w:val="24"/>
                <w:szCs w:val="24"/>
                <w:lang w:val="en-IE" w:eastAsia="en-IE"/>
              </w:rPr>
              <w:t> </w:t>
            </w:r>
          </w:p>
        </w:tc>
        <w:tc>
          <w:tcPr>
            <w:tcW w:w="1528" w:type="dxa"/>
            <w:tcBorders>
              <w:top w:val="single" w:sz="6" w:space="0" w:color="auto"/>
              <w:left w:val="single" w:sz="6" w:space="0" w:color="auto"/>
              <w:bottom w:val="single" w:sz="6" w:space="0" w:color="auto"/>
              <w:right w:val="single" w:sz="6" w:space="0" w:color="auto"/>
            </w:tcBorders>
            <w:shd w:val="clear" w:color="auto" w:fill="002060"/>
            <w:hideMark/>
          </w:tcPr>
          <w:p w14:paraId="3DB2EB53" w14:textId="4E94D74D" w:rsidR="009F2422" w:rsidRPr="00BF79CB" w:rsidRDefault="002924E4">
            <w:pPr>
              <w:keepNext/>
              <w:widowControl w:val="0"/>
              <w:spacing w:line="240" w:lineRule="auto"/>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Total</w:t>
            </w:r>
          </w:p>
        </w:tc>
      </w:tr>
      <w:tr w:rsidR="009F2422" w:rsidRPr="00532C20" w14:paraId="25B0AED9"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F2F2F2"/>
            <w:hideMark/>
          </w:tcPr>
          <w:p w14:paraId="128B05F0" w14:textId="77777777" w:rsidR="009F2422" w:rsidRPr="00532C20" w:rsidRDefault="009F2422">
            <w:pPr>
              <w:keepNext/>
              <w:widowControl w:val="0"/>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Non-governmental organisations, platforms and networks and similar</w:t>
            </w:r>
            <w:r w:rsidRPr="00532C20">
              <w:rPr>
                <w:rFonts w:ascii="Times New Roman" w:eastAsia="Times" w:hAnsi="Times New Roman" w:cs="Times New Roman"/>
                <w:noProof/>
                <w:sz w:val="24"/>
                <w:szCs w:val="24"/>
                <w:lang w:val="en-IE" w:eastAsia="en-IE"/>
              </w:rPr>
              <w:t> </w:t>
            </w:r>
          </w:p>
        </w:tc>
        <w:tc>
          <w:tcPr>
            <w:tcW w:w="1528" w:type="dxa"/>
            <w:tcBorders>
              <w:top w:val="single" w:sz="6" w:space="0" w:color="auto"/>
              <w:left w:val="single" w:sz="6" w:space="0" w:color="auto"/>
              <w:bottom w:val="single" w:sz="6" w:space="0" w:color="auto"/>
              <w:right w:val="single" w:sz="6" w:space="0" w:color="auto"/>
            </w:tcBorders>
            <w:shd w:val="clear" w:color="auto" w:fill="auto"/>
            <w:hideMark/>
          </w:tcPr>
          <w:p w14:paraId="7A6F94E9" w14:textId="77777777" w:rsidR="009F2422" w:rsidRPr="00532C20" w:rsidRDefault="009F2422">
            <w:pPr>
              <w:keepNext/>
              <w:widowControl w:val="0"/>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3,506 </w:t>
            </w:r>
          </w:p>
        </w:tc>
      </w:tr>
      <w:tr w:rsidR="009F2422" w:rsidRPr="00532C20" w14:paraId="525B97BA"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F2F2F2"/>
            <w:hideMark/>
          </w:tcPr>
          <w:p w14:paraId="06308C95" w14:textId="77777777" w:rsidR="009F2422" w:rsidRPr="00532C20" w:rsidRDefault="009F2422">
            <w:pPr>
              <w:keepNext/>
              <w:widowControl w:val="0"/>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Companies &amp; groups</w:t>
            </w:r>
            <w:r w:rsidRPr="00532C20">
              <w:rPr>
                <w:rFonts w:ascii="Times New Roman" w:eastAsia="Times" w:hAnsi="Times New Roman" w:cs="Times New Roman"/>
                <w:noProof/>
                <w:sz w:val="24"/>
                <w:szCs w:val="24"/>
                <w:lang w:val="en-IE" w:eastAsia="en-IE"/>
              </w:rPr>
              <w:t> </w:t>
            </w:r>
          </w:p>
        </w:tc>
        <w:tc>
          <w:tcPr>
            <w:tcW w:w="1528" w:type="dxa"/>
            <w:tcBorders>
              <w:top w:val="single" w:sz="6" w:space="0" w:color="auto"/>
              <w:left w:val="single" w:sz="6" w:space="0" w:color="auto"/>
              <w:bottom w:val="single" w:sz="6" w:space="0" w:color="auto"/>
              <w:right w:val="single" w:sz="6" w:space="0" w:color="auto"/>
            </w:tcBorders>
            <w:shd w:val="clear" w:color="auto" w:fill="auto"/>
            <w:hideMark/>
          </w:tcPr>
          <w:p w14:paraId="0F8DEA20" w14:textId="77777777" w:rsidR="009F2422" w:rsidRPr="00532C20" w:rsidRDefault="009F2422">
            <w:pPr>
              <w:keepNext/>
              <w:widowControl w:val="0"/>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3,083 </w:t>
            </w:r>
          </w:p>
        </w:tc>
      </w:tr>
      <w:tr w:rsidR="009F2422" w:rsidRPr="00532C20" w14:paraId="7347AE57"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F2F2F2"/>
            <w:hideMark/>
          </w:tcPr>
          <w:p w14:paraId="1ED8AD1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Trade and business associations</w:t>
            </w:r>
            <w:r w:rsidRPr="00532C20">
              <w:rPr>
                <w:rFonts w:ascii="Times New Roman" w:eastAsia="Times" w:hAnsi="Times New Roman" w:cs="Times New Roman"/>
                <w:noProof/>
                <w:sz w:val="24"/>
                <w:szCs w:val="24"/>
                <w:lang w:val="en-IE" w:eastAsia="en-IE"/>
              </w:rPr>
              <w:t> </w:t>
            </w:r>
          </w:p>
        </w:tc>
        <w:tc>
          <w:tcPr>
            <w:tcW w:w="1528" w:type="dxa"/>
            <w:tcBorders>
              <w:top w:val="single" w:sz="6" w:space="0" w:color="auto"/>
              <w:left w:val="single" w:sz="6" w:space="0" w:color="auto"/>
              <w:bottom w:val="single" w:sz="6" w:space="0" w:color="auto"/>
              <w:right w:val="single" w:sz="6" w:space="0" w:color="auto"/>
            </w:tcBorders>
            <w:shd w:val="clear" w:color="auto" w:fill="auto"/>
            <w:hideMark/>
          </w:tcPr>
          <w:p w14:paraId="7974074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2,655 </w:t>
            </w:r>
          </w:p>
        </w:tc>
      </w:tr>
      <w:tr w:rsidR="009F2422" w:rsidRPr="00532C20" w14:paraId="69342615"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F2F2F2"/>
            <w:hideMark/>
          </w:tcPr>
          <w:p w14:paraId="1FF83C8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Trade unions and professional associations</w:t>
            </w:r>
            <w:r w:rsidRPr="00532C20">
              <w:rPr>
                <w:rFonts w:ascii="Times New Roman" w:eastAsia="Times" w:hAnsi="Times New Roman" w:cs="Times New Roman"/>
                <w:noProof/>
                <w:sz w:val="24"/>
                <w:szCs w:val="24"/>
                <w:lang w:val="en-IE" w:eastAsia="en-IE"/>
              </w:rPr>
              <w:t> </w:t>
            </w:r>
          </w:p>
        </w:tc>
        <w:tc>
          <w:tcPr>
            <w:tcW w:w="1528" w:type="dxa"/>
            <w:tcBorders>
              <w:top w:val="single" w:sz="6" w:space="0" w:color="auto"/>
              <w:left w:val="single" w:sz="6" w:space="0" w:color="auto"/>
              <w:bottom w:val="single" w:sz="6" w:space="0" w:color="auto"/>
              <w:right w:val="single" w:sz="6" w:space="0" w:color="auto"/>
            </w:tcBorders>
            <w:shd w:val="clear" w:color="auto" w:fill="auto"/>
            <w:hideMark/>
          </w:tcPr>
          <w:p w14:paraId="11363FA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982 </w:t>
            </w:r>
          </w:p>
        </w:tc>
      </w:tr>
      <w:tr w:rsidR="009F2422" w:rsidRPr="00532C20" w14:paraId="47CA6320"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F2F2F2"/>
            <w:hideMark/>
          </w:tcPr>
          <w:p w14:paraId="10A5D39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Think tanks and research institutions</w:t>
            </w:r>
            <w:r w:rsidRPr="00532C20">
              <w:rPr>
                <w:rFonts w:ascii="Times New Roman" w:eastAsia="Times" w:hAnsi="Times New Roman" w:cs="Times New Roman"/>
                <w:noProof/>
                <w:sz w:val="24"/>
                <w:szCs w:val="24"/>
                <w:lang w:val="en-IE" w:eastAsia="en-IE"/>
              </w:rPr>
              <w:t> </w:t>
            </w:r>
          </w:p>
        </w:tc>
        <w:tc>
          <w:tcPr>
            <w:tcW w:w="1528" w:type="dxa"/>
            <w:tcBorders>
              <w:top w:val="single" w:sz="6" w:space="0" w:color="auto"/>
              <w:left w:val="single" w:sz="6" w:space="0" w:color="auto"/>
              <w:bottom w:val="single" w:sz="6" w:space="0" w:color="auto"/>
              <w:right w:val="single" w:sz="6" w:space="0" w:color="auto"/>
            </w:tcBorders>
            <w:shd w:val="clear" w:color="auto" w:fill="auto"/>
            <w:hideMark/>
          </w:tcPr>
          <w:p w14:paraId="44B3FBA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568 </w:t>
            </w:r>
          </w:p>
        </w:tc>
      </w:tr>
      <w:tr w:rsidR="009F2422" w:rsidRPr="00532C20" w14:paraId="5A10BB6D"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F2F2F2"/>
            <w:hideMark/>
          </w:tcPr>
          <w:p w14:paraId="3A49AF9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Professional consultancies</w:t>
            </w:r>
            <w:r w:rsidRPr="00532C20">
              <w:rPr>
                <w:rFonts w:ascii="Times New Roman" w:eastAsia="Times" w:hAnsi="Times New Roman" w:cs="Times New Roman"/>
                <w:noProof/>
                <w:sz w:val="24"/>
                <w:szCs w:val="24"/>
                <w:lang w:val="en-IE" w:eastAsia="en-IE"/>
              </w:rPr>
              <w:t> </w:t>
            </w:r>
          </w:p>
        </w:tc>
        <w:tc>
          <w:tcPr>
            <w:tcW w:w="1528" w:type="dxa"/>
            <w:tcBorders>
              <w:top w:val="single" w:sz="6" w:space="0" w:color="auto"/>
              <w:left w:val="single" w:sz="6" w:space="0" w:color="auto"/>
              <w:bottom w:val="single" w:sz="6" w:space="0" w:color="auto"/>
              <w:right w:val="single" w:sz="6" w:space="0" w:color="auto"/>
            </w:tcBorders>
            <w:shd w:val="clear" w:color="auto" w:fill="auto"/>
            <w:hideMark/>
          </w:tcPr>
          <w:p w14:paraId="37E151E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549 </w:t>
            </w:r>
          </w:p>
        </w:tc>
      </w:tr>
      <w:tr w:rsidR="009F2422" w:rsidRPr="00532C20" w14:paraId="1027D851"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F2F2F2"/>
            <w:hideMark/>
          </w:tcPr>
          <w:p w14:paraId="4EF325A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Other organisations, public or mixed entities</w:t>
            </w:r>
            <w:r w:rsidRPr="00532C20">
              <w:rPr>
                <w:rFonts w:ascii="Times New Roman" w:eastAsia="Times" w:hAnsi="Times New Roman" w:cs="Times New Roman"/>
                <w:noProof/>
                <w:sz w:val="24"/>
                <w:szCs w:val="24"/>
                <w:lang w:val="en-IE" w:eastAsia="en-IE"/>
              </w:rPr>
              <w:t> </w:t>
            </w:r>
          </w:p>
        </w:tc>
        <w:tc>
          <w:tcPr>
            <w:tcW w:w="1528" w:type="dxa"/>
            <w:tcBorders>
              <w:top w:val="single" w:sz="6" w:space="0" w:color="auto"/>
              <w:left w:val="single" w:sz="6" w:space="0" w:color="auto"/>
              <w:bottom w:val="single" w:sz="6" w:space="0" w:color="auto"/>
              <w:right w:val="single" w:sz="6" w:space="0" w:color="auto"/>
            </w:tcBorders>
            <w:shd w:val="clear" w:color="auto" w:fill="auto"/>
            <w:hideMark/>
          </w:tcPr>
          <w:p w14:paraId="60F773F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455 </w:t>
            </w:r>
          </w:p>
        </w:tc>
      </w:tr>
      <w:tr w:rsidR="009F2422" w:rsidRPr="00532C20" w14:paraId="454279B6"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F2F2F2"/>
            <w:hideMark/>
          </w:tcPr>
          <w:p w14:paraId="63A2674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Academic institutions</w:t>
            </w:r>
            <w:r w:rsidRPr="00532C20">
              <w:rPr>
                <w:rFonts w:ascii="Times New Roman" w:eastAsia="Times" w:hAnsi="Times New Roman" w:cs="Times New Roman"/>
                <w:noProof/>
                <w:sz w:val="24"/>
                <w:szCs w:val="24"/>
                <w:lang w:val="en-IE" w:eastAsia="en-IE"/>
              </w:rPr>
              <w:t> </w:t>
            </w:r>
          </w:p>
        </w:tc>
        <w:tc>
          <w:tcPr>
            <w:tcW w:w="1528" w:type="dxa"/>
            <w:tcBorders>
              <w:top w:val="single" w:sz="6" w:space="0" w:color="auto"/>
              <w:left w:val="single" w:sz="6" w:space="0" w:color="auto"/>
              <w:bottom w:val="single" w:sz="6" w:space="0" w:color="auto"/>
              <w:right w:val="single" w:sz="6" w:space="0" w:color="auto"/>
            </w:tcBorders>
            <w:shd w:val="clear" w:color="auto" w:fill="auto"/>
            <w:hideMark/>
          </w:tcPr>
          <w:p w14:paraId="685FFB8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309 </w:t>
            </w:r>
          </w:p>
        </w:tc>
      </w:tr>
      <w:tr w:rsidR="009F2422" w:rsidRPr="00532C20" w14:paraId="7E659573"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F2F2F2"/>
            <w:hideMark/>
          </w:tcPr>
          <w:p w14:paraId="2244100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Associations and networks of public authorities</w:t>
            </w:r>
            <w:r w:rsidRPr="00532C20">
              <w:rPr>
                <w:rFonts w:ascii="Times New Roman" w:eastAsia="Times" w:hAnsi="Times New Roman" w:cs="Times New Roman"/>
                <w:noProof/>
                <w:sz w:val="24"/>
                <w:szCs w:val="24"/>
                <w:lang w:val="en-IE" w:eastAsia="en-IE"/>
              </w:rPr>
              <w:t> </w:t>
            </w:r>
          </w:p>
        </w:tc>
        <w:tc>
          <w:tcPr>
            <w:tcW w:w="1528" w:type="dxa"/>
            <w:tcBorders>
              <w:top w:val="single" w:sz="6" w:space="0" w:color="auto"/>
              <w:left w:val="single" w:sz="6" w:space="0" w:color="auto"/>
              <w:bottom w:val="single" w:sz="6" w:space="0" w:color="auto"/>
              <w:right w:val="single" w:sz="6" w:space="0" w:color="auto"/>
            </w:tcBorders>
            <w:shd w:val="clear" w:color="auto" w:fill="auto"/>
            <w:hideMark/>
          </w:tcPr>
          <w:p w14:paraId="2827153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154 </w:t>
            </w:r>
          </w:p>
        </w:tc>
      </w:tr>
      <w:tr w:rsidR="009F2422" w:rsidRPr="00532C20" w14:paraId="5EF5C7BC"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F2F2F2"/>
            <w:hideMark/>
          </w:tcPr>
          <w:p w14:paraId="1A235F0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Self-employed individuals</w:t>
            </w:r>
            <w:r w:rsidRPr="00532C20">
              <w:rPr>
                <w:rFonts w:ascii="Times New Roman" w:eastAsia="Times" w:hAnsi="Times New Roman" w:cs="Times New Roman"/>
                <w:noProof/>
                <w:sz w:val="24"/>
                <w:szCs w:val="24"/>
                <w:lang w:val="en-IE" w:eastAsia="en-IE"/>
              </w:rPr>
              <w:t> </w:t>
            </w:r>
          </w:p>
        </w:tc>
        <w:tc>
          <w:tcPr>
            <w:tcW w:w="1528" w:type="dxa"/>
            <w:tcBorders>
              <w:top w:val="single" w:sz="6" w:space="0" w:color="auto"/>
              <w:left w:val="single" w:sz="6" w:space="0" w:color="auto"/>
              <w:bottom w:val="single" w:sz="6" w:space="0" w:color="auto"/>
              <w:right w:val="single" w:sz="6" w:space="0" w:color="auto"/>
            </w:tcBorders>
            <w:shd w:val="clear" w:color="auto" w:fill="auto"/>
            <w:hideMark/>
          </w:tcPr>
          <w:p w14:paraId="5A00778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144 </w:t>
            </w:r>
          </w:p>
        </w:tc>
      </w:tr>
      <w:tr w:rsidR="009F2422" w:rsidRPr="00532C20" w14:paraId="26061A97"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F2F2F2"/>
            <w:hideMark/>
          </w:tcPr>
          <w:p w14:paraId="15FC6DC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Law firms</w:t>
            </w:r>
            <w:r w:rsidRPr="00532C20">
              <w:rPr>
                <w:rFonts w:ascii="Times New Roman" w:eastAsia="Times" w:hAnsi="Times New Roman" w:cs="Times New Roman"/>
                <w:noProof/>
                <w:sz w:val="24"/>
                <w:szCs w:val="24"/>
                <w:lang w:val="en-IE" w:eastAsia="en-IE"/>
              </w:rPr>
              <w:t> </w:t>
            </w:r>
          </w:p>
        </w:tc>
        <w:tc>
          <w:tcPr>
            <w:tcW w:w="1528" w:type="dxa"/>
            <w:tcBorders>
              <w:top w:val="single" w:sz="6" w:space="0" w:color="auto"/>
              <w:left w:val="single" w:sz="6" w:space="0" w:color="auto"/>
              <w:bottom w:val="single" w:sz="6" w:space="0" w:color="auto"/>
              <w:right w:val="single" w:sz="6" w:space="0" w:color="auto"/>
            </w:tcBorders>
            <w:shd w:val="clear" w:color="auto" w:fill="auto"/>
            <w:hideMark/>
          </w:tcPr>
          <w:p w14:paraId="100B8BF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85 </w:t>
            </w:r>
          </w:p>
        </w:tc>
      </w:tr>
      <w:tr w:rsidR="009F2422" w:rsidRPr="00532C20" w14:paraId="14EA9CAC"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F2F2F2"/>
            <w:hideMark/>
          </w:tcPr>
          <w:p w14:paraId="5336D6B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Organisations representing churches and religious communities</w:t>
            </w:r>
            <w:r w:rsidRPr="00532C20">
              <w:rPr>
                <w:rFonts w:ascii="Times New Roman" w:eastAsia="Times" w:hAnsi="Times New Roman" w:cs="Times New Roman"/>
                <w:noProof/>
                <w:sz w:val="24"/>
                <w:szCs w:val="24"/>
                <w:lang w:val="en-IE" w:eastAsia="en-IE"/>
              </w:rPr>
              <w:t> </w:t>
            </w:r>
          </w:p>
        </w:tc>
        <w:tc>
          <w:tcPr>
            <w:tcW w:w="1528" w:type="dxa"/>
            <w:tcBorders>
              <w:top w:val="single" w:sz="6" w:space="0" w:color="auto"/>
              <w:left w:val="single" w:sz="6" w:space="0" w:color="auto"/>
              <w:bottom w:val="single" w:sz="6" w:space="0" w:color="auto"/>
              <w:right w:val="single" w:sz="6" w:space="0" w:color="auto"/>
            </w:tcBorders>
            <w:shd w:val="clear" w:color="auto" w:fill="auto"/>
            <w:hideMark/>
          </w:tcPr>
          <w:p w14:paraId="79D9003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48 </w:t>
            </w:r>
          </w:p>
        </w:tc>
      </w:tr>
      <w:tr w:rsidR="009F2422" w:rsidRPr="00532C20" w14:paraId="72F93A34"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F2F2F2"/>
            <w:hideMark/>
          </w:tcPr>
          <w:p w14:paraId="07891FA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Entities, offices or networks established by third countries</w:t>
            </w:r>
            <w:r w:rsidRPr="00532C20">
              <w:rPr>
                <w:rFonts w:ascii="Times New Roman" w:eastAsia="Times" w:hAnsi="Times New Roman" w:cs="Times New Roman"/>
                <w:noProof/>
                <w:sz w:val="24"/>
                <w:szCs w:val="24"/>
                <w:lang w:val="en-IE" w:eastAsia="en-IE"/>
              </w:rPr>
              <w:t> </w:t>
            </w:r>
          </w:p>
        </w:tc>
        <w:tc>
          <w:tcPr>
            <w:tcW w:w="1528" w:type="dxa"/>
            <w:tcBorders>
              <w:top w:val="single" w:sz="6" w:space="0" w:color="auto"/>
              <w:left w:val="single" w:sz="6" w:space="0" w:color="auto"/>
              <w:bottom w:val="single" w:sz="6" w:space="0" w:color="auto"/>
              <w:right w:val="single" w:sz="6" w:space="0" w:color="auto"/>
            </w:tcBorders>
            <w:shd w:val="clear" w:color="auto" w:fill="auto"/>
            <w:hideMark/>
          </w:tcPr>
          <w:p w14:paraId="3290AAE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r>
      <w:tr w:rsidR="009F2422" w:rsidRPr="00532C20" w14:paraId="10DACD9C" w14:textId="77777777">
        <w:trPr>
          <w:trHeight w:val="15"/>
        </w:trPr>
        <w:tc>
          <w:tcPr>
            <w:tcW w:w="7106" w:type="dxa"/>
            <w:tcBorders>
              <w:top w:val="single" w:sz="6" w:space="0" w:color="auto"/>
              <w:left w:val="single" w:sz="6" w:space="0" w:color="auto"/>
              <w:bottom w:val="single" w:sz="6" w:space="0" w:color="auto"/>
              <w:right w:val="single" w:sz="6" w:space="0" w:color="auto"/>
            </w:tcBorders>
            <w:shd w:val="clear" w:color="auto" w:fill="0C4DA2"/>
            <w:hideMark/>
          </w:tcPr>
          <w:p w14:paraId="5E3AD85F" w14:textId="77777777" w:rsidR="009F2422" w:rsidRPr="00BF79CB" w:rsidRDefault="009F2422">
            <w:pPr>
              <w:spacing w:after="0" w:line="240" w:lineRule="auto"/>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color w:val="FFFFFF"/>
                <w:sz w:val="24"/>
                <w:szCs w:val="24"/>
                <w:lang w:val="en-IE" w:eastAsia="en-IE"/>
              </w:rPr>
              <w:t>Total  </w:t>
            </w:r>
          </w:p>
        </w:tc>
        <w:tc>
          <w:tcPr>
            <w:tcW w:w="1528" w:type="dxa"/>
            <w:tcBorders>
              <w:top w:val="single" w:sz="6" w:space="0" w:color="auto"/>
              <w:left w:val="single" w:sz="6" w:space="0" w:color="auto"/>
              <w:bottom w:val="single" w:sz="6" w:space="0" w:color="auto"/>
              <w:right w:val="single" w:sz="6" w:space="0" w:color="auto"/>
            </w:tcBorders>
            <w:shd w:val="clear" w:color="auto" w:fill="0C4DA2"/>
            <w:hideMark/>
          </w:tcPr>
          <w:p w14:paraId="128B9B8B" w14:textId="77777777" w:rsidR="009F2422" w:rsidRPr="00BF79CB" w:rsidRDefault="009F2422">
            <w:pPr>
              <w:spacing w:after="0" w:line="240" w:lineRule="auto"/>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color w:val="FFFFFF"/>
                <w:sz w:val="24"/>
                <w:szCs w:val="24"/>
                <w:lang w:val="en-IE" w:eastAsia="en-IE"/>
              </w:rPr>
              <w:t>12,540 </w:t>
            </w:r>
          </w:p>
        </w:tc>
      </w:tr>
    </w:tbl>
    <w:p w14:paraId="350E904C" w14:textId="77777777" w:rsidR="009F2422" w:rsidRPr="00532C20" w:rsidRDefault="009F2422" w:rsidP="009F2422">
      <w:pPr>
        <w:spacing w:line="240" w:lineRule="auto"/>
        <w:jc w:val="both"/>
        <w:textAlignment w:val="baseline"/>
        <w:rPr>
          <w:rFonts w:ascii="Times New Roman" w:eastAsia="Times" w:hAnsi="Times New Roman" w:cs="Times New Roman"/>
          <w:noProof/>
          <w:sz w:val="24"/>
          <w:szCs w:val="24"/>
          <w:lang w:val="en-IE" w:eastAsia="en-IE"/>
        </w:rPr>
      </w:pPr>
    </w:p>
    <w:p w14:paraId="0AC2770C" w14:textId="77777777" w:rsidR="009F2422" w:rsidRPr="00532C20" w:rsidRDefault="009F2422" w:rsidP="009F2422">
      <w:pPr>
        <w:keepNext/>
        <w:widowControl w:val="0"/>
        <w:spacing w:line="240" w:lineRule="auto"/>
        <w:jc w:val="both"/>
        <w:textAlignment w:val="baseline"/>
        <w:rPr>
          <w:rFonts w:ascii="Times New Roman" w:eastAsia="Times" w:hAnsi="Times New Roman" w:cs="Times New Roman"/>
          <w:b/>
          <w:noProof/>
          <w:color w:val="0C4DA2"/>
          <w:sz w:val="24"/>
          <w:szCs w:val="24"/>
          <w:lang w:val="en-IE" w:eastAsia="en-IE"/>
        </w:rPr>
      </w:pPr>
      <w:r w:rsidRPr="00532C20">
        <w:rPr>
          <w:rFonts w:ascii="Times New Roman" w:eastAsia="Times" w:hAnsi="Times New Roman" w:cs="Times New Roman"/>
          <w:b/>
          <w:noProof/>
          <w:sz w:val="24"/>
          <w:szCs w:val="24"/>
          <w:lang w:val="en-IE" w:eastAsia="en-IE"/>
        </w:rPr>
        <w:t>National transparency registers: Available data on number of entities registered, by entity type </w:t>
      </w:r>
    </w:p>
    <w:tbl>
      <w:tblPr>
        <w:tblW w:w="85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1"/>
        <w:gridCol w:w="419"/>
        <w:gridCol w:w="546"/>
        <w:gridCol w:w="686"/>
        <w:gridCol w:w="435"/>
        <w:gridCol w:w="522"/>
        <w:gridCol w:w="622"/>
        <w:gridCol w:w="748"/>
        <w:gridCol w:w="466"/>
        <w:gridCol w:w="802"/>
        <w:gridCol w:w="435"/>
        <w:gridCol w:w="699"/>
        <w:gridCol w:w="691"/>
        <w:gridCol w:w="825"/>
      </w:tblGrid>
      <w:tr w:rsidR="009F2422" w:rsidRPr="00532C20" w14:paraId="66AB3BA7" w14:textId="77777777">
        <w:trPr>
          <w:cantSplit/>
          <w:trHeight w:val="2389"/>
        </w:trPr>
        <w:tc>
          <w:tcPr>
            <w:tcW w:w="692" w:type="dxa"/>
            <w:tcBorders>
              <w:top w:val="single" w:sz="6" w:space="0" w:color="FFFFFF"/>
              <w:left w:val="single" w:sz="6" w:space="0" w:color="FFFFFF"/>
              <w:bottom w:val="single" w:sz="6" w:space="0" w:color="FFFFFF"/>
              <w:right w:val="single" w:sz="6" w:space="0" w:color="FFFFFF"/>
            </w:tcBorders>
            <w:shd w:val="clear" w:color="auto" w:fill="002060"/>
            <w:textDirection w:val="tbRl"/>
            <w:vAlign w:val="center"/>
            <w:hideMark/>
          </w:tcPr>
          <w:p w14:paraId="615DCD1E" w14:textId="77777777" w:rsidR="009F2422" w:rsidRPr="00BF79CB" w:rsidRDefault="009F2422">
            <w:pPr>
              <w:spacing w:after="0" w:line="240" w:lineRule="auto"/>
              <w:ind w:left="113" w:right="113"/>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MS </w:t>
            </w:r>
          </w:p>
        </w:tc>
        <w:tc>
          <w:tcPr>
            <w:tcW w:w="419" w:type="dxa"/>
            <w:tcBorders>
              <w:top w:val="single" w:sz="6" w:space="0" w:color="FFFFFF"/>
              <w:left w:val="single" w:sz="6" w:space="0" w:color="FFFFFF"/>
              <w:bottom w:val="single" w:sz="6" w:space="0" w:color="FFFFFF"/>
              <w:right w:val="single" w:sz="6" w:space="0" w:color="FFFFFF"/>
            </w:tcBorders>
            <w:shd w:val="clear" w:color="auto" w:fill="002060"/>
            <w:textDirection w:val="tbRl"/>
            <w:vAlign w:val="center"/>
            <w:hideMark/>
          </w:tcPr>
          <w:p w14:paraId="6692D5DB" w14:textId="77777777" w:rsidR="009F2422" w:rsidRPr="00BF79CB" w:rsidRDefault="009F2422">
            <w:pPr>
              <w:spacing w:after="0" w:line="240" w:lineRule="auto"/>
              <w:ind w:left="113" w:right="113"/>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Media firms</w:t>
            </w:r>
          </w:p>
        </w:tc>
        <w:tc>
          <w:tcPr>
            <w:tcW w:w="546" w:type="dxa"/>
            <w:tcBorders>
              <w:top w:val="single" w:sz="6" w:space="0" w:color="FFFFFF"/>
              <w:left w:val="single" w:sz="6" w:space="0" w:color="FFFFFF"/>
              <w:bottom w:val="single" w:sz="6" w:space="0" w:color="FFFFFF"/>
              <w:right w:val="single" w:sz="6" w:space="0" w:color="FFFFFF"/>
            </w:tcBorders>
            <w:shd w:val="clear" w:color="auto" w:fill="002060"/>
            <w:textDirection w:val="tbRl"/>
            <w:vAlign w:val="center"/>
            <w:hideMark/>
          </w:tcPr>
          <w:p w14:paraId="2A232A39" w14:textId="77777777" w:rsidR="009F2422" w:rsidRPr="00BF79CB" w:rsidRDefault="009F2422">
            <w:pPr>
              <w:spacing w:after="0" w:line="240" w:lineRule="auto"/>
              <w:ind w:left="113" w:right="113"/>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Production of culture companies </w:t>
            </w:r>
          </w:p>
        </w:tc>
        <w:tc>
          <w:tcPr>
            <w:tcW w:w="686" w:type="dxa"/>
            <w:tcBorders>
              <w:top w:val="single" w:sz="6" w:space="0" w:color="FFFFFF"/>
              <w:left w:val="single" w:sz="6" w:space="0" w:color="FFFFFF"/>
              <w:bottom w:val="single" w:sz="6" w:space="0" w:color="FFFFFF"/>
              <w:right w:val="single" w:sz="6" w:space="0" w:color="FFFFFF"/>
            </w:tcBorders>
            <w:shd w:val="clear" w:color="auto" w:fill="002060"/>
            <w:textDirection w:val="tbRl"/>
            <w:vAlign w:val="center"/>
            <w:hideMark/>
          </w:tcPr>
          <w:p w14:paraId="22178342" w14:textId="77777777" w:rsidR="009F2422" w:rsidRPr="00BF79CB" w:rsidRDefault="009F2422">
            <w:pPr>
              <w:spacing w:after="0" w:line="240" w:lineRule="auto"/>
              <w:ind w:left="113" w:right="113"/>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Financial institutions / Services </w:t>
            </w:r>
          </w:p>
        </w:tc>
        <w:tc>
          <w:tcPr>
            <w:tcW w:w="435" w:type="dxa"/>
            <w:tcBorders>
              <w:top w:val="single" w:sz="6" w:space="0" w:color="FFFFFF"/>
              <w:left w:val="single" w:sz="6" w:space="0" w:color="FFFFFF"/>
              <w:bottom w:val="single" w:sz="6" w:space="0" w:color="FFFFFF"/>
              <w:right w:val="single" w:sz="6" w:space="0" w:color="FFFFFF"/>
            </w:tcBorders>
            <w:shd w:val="clear" w:color="auto" w:fill="002060"/>
            <w:textDirection w:val="tbRl"/>
            <w:vAlign w:val="center"/>
            <w:hideMark/>
          </w:tcPr>
          <w:p w14:paraId="7B133771" w14:textId="77777777" w:rsidR="009F2422" w:rsidRPr="00BF79CB" w:rsidRDefault="009F2422">
            <w:pPr>
              <w:spacing w:after="0" w:line="240" w:lineRule="auto"/>
              <w:ind w:left="113" w:right="113"/>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Legal services </w:t>
            </w:r>
          </w:p>
        </w:tc>
        <w:tc>
          <w:tcPr>
            <w:tcW w:w="522" w:type="dxa"/>
            <w:tcBorders>
              <w:top w:val="single" w:sz="6" w:space="0" w:color="FFFFFF"/>
              <w:left w:val="single" w:sz="6" w:space="0" w:color="FFFFFF"/>
              <w:bottom w:val="single" w:sz="6" w:space="0" w:color="FFFFFF"/>
              <w:right w:val="single" w:sz="6" w:space="0" w:color="FFFFFF"/>
            </w:tcBorders>
            <w:shd w:val="clear" w:color="auto" w:fill="002060"/>
            <w:textDirection w:val="tbRl"/>
            <w:vAlign w:val="center"/>
            <w:hideMark/>
          </w:tcPr>
          <w:p w14:paraId="2B42DA4C" w14:textId="77777777" w:rsidR="009F2422" w:rsidRPr="00BF79CB" w:rsidRDefault="009F2422">
            <w:pPr>
              <w:spacing w:after="0" w:line="240" w:lineRule="auto"/>
              <w:ind w:left="113" w:right="113"/>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Public relations </w:t>
            </w:r>
          </w:p>
        </w:tc>
        <w:tc>
          <w:tcPr>
            <w:tcW w:w="622" w:type="dxa"/>
            <w:tcBorders>
              <w:top w:val="single" w:sz="6" w:space="0" w:color="FFFFFF"/>
              <w:left w:val="single" w:sz="6" w:space="0" w:color="FFFFFF"/>
              <w:bottom w:val="single" w:sz="6" w:space="0" w:color="FFFFFF"/>
              <w:right w:val="single" w:sz="6" w:space="0" w:color="FFFFFF"/>
            </w:tcBorders>
            <w:shd w:val="clear" w:color="auto" w:fill="002060"/>
            <w:textDirection w:val="tbRl"/>
            <w:vAlign w:val="center"/>
            <w:hideMark/>
          </w:tcPr>
          <w:p w14:paraId="3EBD4CFB" w14:textId="77777777" w:rsidR="009F2422" w:rsidRPr="00BF79CB" w:rsidRDefault="009F2422">
            <w:pPr>
              <w:spacing w:after="0" w:line="240" w:lineRule="auto"/>
              <w:ind w:left="113" w:right="113"/>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Advocacy / Charity </w:t>
            </w:r>
          </w:p>
        </w:tc>
        <w:tc>
          <w:tcPr>
            <w:tcW w:w="748" w:type="dxa"/>
            <w:tcBorders>
              <w:top w:val="single" w:sz="6" w:space="0" w:color="FFFFFF"/>
              <w:left w:val="single" w:sz="6" w:space="0" w:color="FFFFFF"/>
              <w:bottom w:val="single" w:sz="6" w:space="0" w:color="FFFFFF"/>
              <w:right w:val="single" w:sz="6" w:space="0" w:color="FFFFFF"/>
            </w:tcBorders>
            <w:shd w:val="clear" w:color="auto" w:fill="002060"/>
            <w:textDirection w:val="tbRl"/>
            <w:vAlign w:val="center"/>
            <w:hideMark/>
          </w:tcPr>
          <w:p w14:paraId="7F3F1BF0" w14:textId="77777777" w:rsidR="009F2422" w:rsidRPr="00BF79CB" w:rsidRDefault="009F2422">
            <w:pPr>
              <w:spacing w:after="0" w:line="240" w:lineRule="auto"/>
              <w:ind w:left="113" w:right="113"/>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Research, education and academia </w:t>
            </w:r>
          </w:p>
        </w:tc>
        <w:tc>
          <w:tcPr>
            <w:tcW w:w="466" w:type="dxa"/>
            <w:tcBorders>
              <w:top w:val="single" w:sz="6" w:space="0" w:color="FFFFFF"/>
              <w:left w:val="single" w:sz="6" w:space="0" w:color="FFFFFF"/>
              <w:bottom w:val="single" w:sz="6" w:space="0" w:color="FFFFFF"/>
              <w:right w:val="single" w:sz="6" w:space="0" w:color="FFFFFF"/>
            </w:tcBorders>
            <w:shd w:val="clear" w:color="auto" w:fill="002060"/>
            <w:textDirection w:val="tbRl"/>
            <w:vAlign w:val="center"/>
            <w:hideMark/>
          </w:tcPr>
          <w:p w14:paraId="331FAF76" w14:textId="77777777" w:rsidR="009F2422" w:rsidRPr="00BF79CB" w:rsidRDefault="009F2422">
            <w:pPr>
              <w:spacing w:after="0" w:line="240" w:lineRule="auto"/>
              <w:ind w:left="113" w:right="113"/>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Religious orgs </w:t>
            </w:r>
          </w:p>
        </w:tc>
        <w:tc>
          <w:tcPr>
            <w:tcW w:w="802" w:type="dxa"/>
            <w:tcBorders>
              <w:top w:val="single" w:sz="6" w:space="0" w:color="FFFFFF"/>
              <w:left w:val="single" w:sz="6" w:space="0" w:color="FFFFFF"/>
              <w:bottom w:val="single" w:sz="6" w:space="0" w:color="FFFFFF"/>
              <w:right w:val="single" w:sz="6" w:space="0" w:color="FFFFFF"/>
            </w:tcBorders>
            <w:shd w:val="clear" w:color="auto" w:fill="002060"/>
            <w:textDirection w:val="tbRl"/>
            <w:vAlign w:val="center"/>
            <w:hideMark/>
          </w:tcPr>
          <w:p w14:paraId="619B23A6" w14:textId="77777777" w:rsidR="009F2422" w:rsidRPr="00BF79CB" w:rsidRDefault="009F2422">
            <w:pPr>
              <w:spacing w:after="0" w:line="240" w:lineRule="auto"/>
              <w:ind w:left="113" w:right="113"/>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Business associations </w:t>
            </w:r>
          </w:p>
        </w:tc>
        <w:tc>
          <w:tcPr>
            <w:tcW w:w="434" w:type="dxa"/>
            <w:tcBorders>
              <w:top w:val="single" w:sz="6" w:space="0" w:color="FFFFFF"/>
              <w:left w:val="single" w:sz="6" w:space="0" w:color="FFFFFF"/>
              <w:bottom w:val="single" w:sz="6" w:space="0" w:color="FFFFFF"/>
              <w:right w:val="single" w:sz="6" w:space="0" w:color="FFFFFF"/>
            </w:tcBorders>
            <w:shd w:val="clear" w:color="auto" w:fill="002060"/>
            <w:textDirection w:val="tbRl"/>
            <w:vAlign w:val="center"/>
            <w:hideMark/>
          </w:tcPr>
          <w:p w14:paraId="17B372B8" w14:textId="77777777" w:rsidR="009F2422" w:rsidRPr="00BF79CB" w:rsidRDefault="009F2422">
            <w:pPr>
              <w:spacing w:after="0" w:line="240" w:lineRule="auto"/>
              <w:ind w:left="113" w:right="113"/>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Representative body </w:t>
            </w:r>
          </w:p>
        </w:tc>
        <w:tc>
          <w:tcPr>
            <w:tcW w:w="699" w:type="dxa"/>
            <w:tcBorders>
              <w:top w:val="single" w:sz="6" w:space="0" w:color="FFFFFF"/>
              <w:left w:val="single" w:sz="6" w:space="0" w:color="FFFFFF"/>
              <w:bottom w:val="single" w:sz="6" w:space="0" w:color="FFFFFF"/>
              <w:right w:val="single" w:sz="6" w:space="0" w:color="FFFFFF"/>
            </w:tcBorders>
            <w:shd w:val="clear" w:color="auto" w:fill="002060"/>
            <w:textDirection w:val="tbRl"/>
            <w:vAlign w:val="center"/>
            <w:hideMark/>
          </w:tcPr>
          <w:p w14:paraId="5A44C765" w14:textId="77777777" w:rsidR="009F2422" w:rsidRPr="00BF79CB" w:rsidRDefault="009F2422">
            <w:pPr>
              <w:spacing w:after="0" w:line="240" w:lineRule="auto"/>
              <w:ind w:left="113" w:right="113"/>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Research firms and consultants </w:t>
            </w:r>
          </w:p>
        </w:tc>
        <w:tc>
          <w:tcPr>
            <w:tcW w:w="691" w:type="dxa"/>
            <w:tcBorders>
              <w:top w:val="single" w:sz="6" w:space="0" w:color="FFFFFF"/>
              <w:left w:val="single" w:sz="6" w:space="0" w:color="FFFFFF"/>
              <w:bottom w:val="single" w:sz="6" w:space="0" w:color="FFFFFF"/>
              <w:right w:val="single" w:sz="6" w:space="0" w:color="FFFFFF"/>
            </w:tcBorders>
            <w:shd w:val="clear" w:color="auto" w:fill="002060"/>
            <w:textDirection w:val="tbRl"/>
            <w:vAlign w:val="center"/>
            <w:hideMark/>
          </w:tcPr>
          <w:p w14:paraId="1BA263A2" w14:textId="77777777" w:rsidR="009F2422" w:rsidRPr="00BF79CB" w:rsidRDefault="009F2422">
            <w:pPr>
              <w:spacing w:after="0" w:line="240" w:lineRule="auto"/>
              <w:ind w:left="113" w:right="113"/>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Other / n/a </w:t>
            </w:r>
          </w:p>
        </w:tc>
        <w:tc>
          <w:tcPr>
            <w:tcW w:w="825" w:type="dxa"/>
            <w:tcBorders>
              <w:top w:val="single" w:sz="6" w:space="0" w:color="FFFFFF"/>
              <w:left w:val="single" w:sz="6" w:space="0" w:color="FFFFFF"/>
              <w:bottom w:val="single" w:sz="6" w:space="0" w:color="FFFFFF"/>
              <w:right w:val="single" w:sz="6" w:space="0" w:color="FFFFFF"/>
            </w:tcBorders>
            <w:shd w:val="clear" w:color="auto" w:fill="002060"/>
            <w:textDirection w:val="tbRl"/>
            <w:vAlign w:val="center"/>
            <w:hideMark/>
          </w:tcPr>
          <w:p w14:paraId="3FD4ED95" w14:textId="77777777" w:rsidR="009F2422" w:rsidRPr="00BF79CB" w:rsidRDefault="009F2422">
            <w:pPr>
              <w:spacing w:after="0" w:line="240" w:lineRule="auto"/>
              <w:ind w:left="113" w:right="113"/>
              <w:jc w:val="both"/>
              <w:textAlignment w:val="baseline"/>
              <w:rPr>
                <w:rFonts w:ascii="Times New Roman" w:eastAsia="Times" w:hAnsi="Times New Roman" w:cs="Times New Roman"/>
                <w:b/>
                <w:bCs/>
                <w:noProof/>
                <w:sz w:val="24"/>
                <w:szCs w:val="24"/>
                <w:lang w:val="en-IE" w:eastAsia="en-IE"/>
              </w:rPr>
            </w:pPr>
            <w:r w:rsidRPr="00BF79CB">
              <w:rPr>
                <w:rFonts w:ascii="Times New Roman" w:eastAsia="Times" w:hAnsi="Times New Roman" w:cs="Times New Roman"/>
                <w:b/>
                <w:bCs/>
                <w:noProof/>
                <w:sz w:val="24"/>
                <w:szCs w:val="24"/>
                <w:lang w:val="en-IE" w:eastAsia="en-IE"/>
              </w:rPr>
              <w:t>Total </w:t>
            </w:r>
          </w:p>
        </w:tc>
      </w:tr>
      <w:tr w:rsidR="009F2422" w:rsidRPr="00532C20" w14:paraId="4006F3D5" w14:textId="77777777">
        <w:trPr>
          <w:trHeight w:val="27"/>
        </w:trPr>
        <w:tc>
          <w:tcPr>
            <w:tcW w:w="692" w:type="dxa"/>
            <w:tcBorders>
              <w:top w:val="single" w:sz="6" w:space="0" w:color="FFFFFF"/>
              <w:left w:val="single" w:sz="6" w:space="0" w:color="FFFFFF"/>
              <w:bottom w:val="single" w:sz="6" w:space="0" w:color="FFFFFF"/>
              <w:right w:val="single" w:sz="6" w:space="0" w:color="FFFFFF"/>
            </w:tcBorders>
            <w:shd w:val="clear" w:color="auto" w:fill="D9D9D9"/>
            <w:vAlign w:val="center"/>
          </w:tcPr>
          <w:p w14:paraId="521C5D4B" w14:textId="77777777" w:rsidR="009F2422" w:rsidRPr="00532C20" w:rsidRDefault="009F2422">
            <w:pPr>
              <w:spacing w:after="0" w:line="240" w:lineRule="auto"/>
              <w:jc w:val="both"/>
              <w:textAlignment w:val="baseline"/>
              <w:rPr>
                <w:rFonts w:ascii="Times New Roman" w:eastAsia="Times" w:hAnsi="Times New Roman" w:cs="Times New Roman"/>
                <w:b/>
                <w:noProof/>
                <w:sz w:val="24"/>
                <w:szCs w:val="24"/>
                <w:lang w:val="en-IE" w:eastAsia="en-IE"/>
              </w:rPr>
            </w:pPr>
            <w:r w:rsidRPr="00532C20">
              <w:rPr>
                <w:rFonts w:ascii="Times New Roman" w:eastAsia="Times" w:hAnsi="Times New Roman" w:cs="Times New Roman"/>
                <w:b/>
                <w:noProof/>
                <w:sz w:val="24"/>
                <w:szCs w:val="24"/>
                <w:lang w:val="en-IE" w:eastAsia="en-IE"/>
              </w:rPr>
              <w:t>AT</w:t>
            </w:r>
          </w:p>
        </w:tc>
        <w:tc>
          <w:tcPr>
            <w:tcW w:w="419" w:type="dxa"/>
            <w:tcBorders>
              <w:top w:val="single" w:sz="6" w:space="0" w:color="FFFFFF"/>
              <w:left w:val="single" w:sz="6" w:space="0" w:color="FFFFFF"/>
              <w:bottom w:val="single" w:sz="6" w:space="0" w:color="FFFFFF"/>
              <w:right w:val="single" w:sz="6" w:space="0" w:color="FFFFFF"/>
            </w:tcBorders>
            <w:shd w:val="clear" w:color="auto" w:fill="D9D9D9"/>
            <w:vAlign w:val="center"/>
          </w:tcPr>
          <w:p w14:paraId="2533E81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p>
        </w:tc>
        <w:tc>
          <w:tcPr>
            <w:tcW w:w="546" w:type="dxa"/>
            <w:tcBorders>
              <w:top w:val="single" w:sz="6" w:space="0" w:color="FFFFFF"/>
              <w:left w:val="single" w:sz="6" w:space="0" w:color="FFFFFF"/>
              <w:bottom w:val="single" w:sz="6" w:space="0" w:color="FFFFFF"/>
              <w:right w:val="single" w:sz="6" w:space="0" w:color="FFFFFF"/>
            </w:tcBorders>
            <w:shd w:val="clear" w:color="auto" w:fill="D9D9D9"/>
            <w:vAlign w:val="center"/>
          </w:tcPr>
          <w:p w14:paraId="535C0FD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p>
        </w:tc>
        <w:tc>
          <w:tcPr>
            <w:tcW w:w="686" w:type="dxa"/>
            <w:tcBorders>
              <w:top w:val="single" w:sz="6" w:space="0" w:color="FFFFFF"/>
              <w:left w:val="single" w:sz="6" w:space="0" w:color="FFFFFF"/>
              <w:bottom w:val="single" w:sz="6" w:space="0" w:color="FFFFFF"/>
              <w:right w:val="single" w:sz="6" w:space="0" w:color="FFFFFF"/>
            </w:tcBorders>
            <w:shd w:val="clear" w:color="auto" w:fill="D9D9D9"/>
            <w:vAlign w:val="center"/>
          </w:tcPr>
          <w:p w14:paraId="0DD7FE7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p>
        </w:tc>
        <w:tc>
          <w:tcPr>
            <w:tcW w:w="435" w:type="dxa"/>
            <w:tcBorders>
              <w:top w:val="single" w:sz="6" w:space="0" w:color="FFFFFF"/>
              <w:left w:val="single" w:sz="6" w:space="0" w:color="FFFFFF"/>
              <w:bottom w:val="single" w:sz="6" w:space="0" w:color="FFFFFF"/>
              <w:right w:val="single" w:sz="6" w:space="0" w:color="FFFFFF"/>
            </w:tcBorders>
            <w:shd w:val="clear" w:color="auto" w:fill="D9D9D9"/>
            <w:vAlign w:val="center"/>
          </w:tcPr>
          <w:p w14:paraId="324951B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p>
        </w:tc>
        <w:tc>
          <w:tcPr>
            <w:tcW w:w="522" w:type="dxa"/>
            <w:tcBorders>
              <w:top w:val="single" w:sz="6" w:space="0" w:color="FFFFFF"/>
              <w:left w:val="single" w:sz="6" w:space="0" w:color="FFFFFF"/>
              <w:bottom w:val="single" w:sz="6" w:space="0" w:color="FFFFFF"/>
              <w:right w:val="single" w:sz="6" w:space="0" w:color="FFFFFF"/>
            </w:tcBorders>
            <w:shd w:val="clear" w:color="auto" w:fill="D9D9D9"/>
            <w:vAlign w:val="center"/>
          </w:tcPr>
          <w:p w14:paraId="41D11F2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p>
        </w:tc>
        <w:tc>
          <w:tcPr>
            <w:tcW w:w="622" w:type="dxa"/>
            <w:tcBorders>
              <w:top w:val="single" w:sz="6" w:space="0" w:color="FFFFFF"/>
              <w:left w:val="single" w:sz="6" w:space="0" w:color="FFFFFF"/>
              <w:bottom w:val="single" w:sz="6" w:space="0" w:color="FFFFFF"/>
              <w:right w:val="single" w:sz="6" w:space="0" w:color="FFFFFF"/>
            </w:tcBorders>
            <w:shd w:val="clear" w:color="auto" w:fill="D9D9D9"/>
            <w:vAlign w:val="center"/>
          </w:tcPr>
          <w:p w14:paraId="0EA4885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p>
        </w:tc>
        <w:tc>
          <w:tcPr>
            <w:tcW w:w="748" w:type="dxa"/>
            <w:tcBorders>
              <w:top w:val="single" w:sz="6" w:space="0" w:color="FFFFFF"/>
              <w:left w:val="single" w:sz="6" w:space="0" w:color="FFFFFF"/>
              <w:bottom w:val="single" w:sz="6" w:space="0" w:color="FFFFFF"/>
              <w:right w:val="single" w:sz="6" w:space="0" w:color="FFFFFF"/>
            </w:tcBorders>
            <w:shd w:val="clear" w:color="auto" w:fill="D9D9D9"/>
            <w:vAlign w:val="center"/>
          </w:tcPr>
          <w:p w14:paraId="59101AE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p>
        </w:tc>
        <w:tc>
          <w:tcPr>
            <w:tcW w:w="466" w:type="dxa"/>
            <w:tcBorders>
              <w:top w:val="single" w:sz="6" w:space="0" w:color="FFFFFF"/>
              <w:left w:val="single" w:sz="6" w:space="0" w:color="FFFFFF"/>
              <w:bottom w:val="single" w:sz="6" w:space="0" w:color="FFFFFF"/>
              <w:right w:val="single" w:sz="6" w:space="0" w:color="FFFFFF"/>
            </w:tcBorders>
            <w:shd w:val="clear" w:color="auto" w:fill="D9D9D9"/>
            <w:vAlign w:val="center"/>
          </w:tcPr>
          <w:p w14:paraId="59E59FF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p>
        </w:tc>
        <w:tc>
          <w:tcPr>
            <w:tcW w:w="802" w:type="dxa"/>
            <w:tcBorders>
              <w:top w:val="single" w:sz="6" w:space="0" w:color="FFFFFF"/>
              <w:left w:val="single" w:sz="6" w:space="0" w:color="FFFFFF"/>
              <w:bottom w:val="single" w:sz="6" w:space="0" w:color="FFFFFF"/>
              <w:right w:val="single" w:sz="6" w:space="0" w:color="FFFFFF"/>
            </w:tcBorders>
            <w:shd w:val="clear" w:color="auto" w:fill="D9D9D9"/>
            <w:vAlign w:val="center"/>
          </w:tcPr>
          <w:p w14:paraId="59374EA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p>
        </w:tc>
        <w:tc>
          <w:tcPr>
            <w:tcW w:w="434" w:type="dxa"/>
            <w:tcBorders>
              <w:top w:val="single" w:sz="6" w:space="0" w:color="FFFFFF"/>
              <w:left w:val="single" w:sz="6" w:space="0" w:color="FFFFFF"/>
              <w:bottom w:val="single" w:sz="6" w:space="0" w:color="FFFFFF"/>
              <w:right w:val="single" w:sz="6" w:space="0" w:color="FFFFFF"/>
            </w:tcBorders>
            <w:shd w:val="clear" w:color="auto" w:fill="D9D9D9"/>
            <w:vAlign w:val="center"/>
          </w:tcPr>
          <w:p w14:paraId="39D0464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p>
        </w:tc>
        <w:tc>
          <w:tcPr>
            <w:tcW w:w="699" w:type="dxa"/>
            <w:tcBorders>
              <w:top w:val="single" w:sz="6" w:space="0" w:color="FFFFFF"/>
              <w:left w:val="single" w:sz="6" w:space="0" w:color="FFFFFF"/>
              <w:bottom w:val="single" w:sz="6" w:space="0" w:color="FFFFFF"/>
              <w:right w:val="single" w:sz="6" w:space="0" w:color="FFFFFF"/>
            </w:tcBorders>
            <w:shd w:val="clear" w:color="auto" w:fill="D9D9D9"/>
            <w:vAlign w:val="center"/>
          </w:tcPr>
          <w:p w14:paraId="0625498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p>
        </w:tc>
        <w:tc>
          <w:tcPr>
            <w:tcW w:w="691" w:type="dxa"/>
            <w:tcBorders>
              <w:top w:val="single" w:sz="6" w:space="0" w:color="FFFFFF"/>
              <w:left w:val="single" w:sz="6" w:space="0" w:color="FFFFFF"/>
              <w:bottom w:val="single" w:sz="6" w:space="0" w:color="FFFFFF"/>
              <w:right w:val="single" w:sz="6" w:space="0" w:color="FFFFFF"/>
            </w:tcBorders>
            <w:shd w:val="clear" w:color="auto" w:fill="D9D9D9"/>
            <w:vAlign w:val="center"/>
          </w:tcPr>
          <w:p w14:paraId="5F82357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385</w:t>
            </w:r>
          </w:p>
        </w:tc>
        <w:tc>
          <w:tcPr>
            <w:tcW w:w="825" w:type="dxa"/>
            <w:tcBorders>
              <w:top w:val="single" w:sz="6" w:space="0" w:color="FFFFFF"/>
              <w:left w:val="single" w:sz="6" w:space="0" w:color="FFFFFF"/>
              <w:bottom w:val="single" w:sz="6" w:space="0" w:color="FFFFFF"/>
              <w:right w:val="single" w:sz="6" w:space="0" w:color="FFFFFF"/>
            </w:tcBorders>
            <w:shd w:val="clear" w:color="auto" w:fill="D9D9D9"/>
            <w:vAlign w:val="center"/>
          </w:tcPr>
          <w:p w14:paraId="214A7212" w14:textId="77777777" w:rsidR="009F2422" w:rsidRPr="00532C20" w:rsidRDefault="009F2422">
            <w:pPr>
              <w:spacing w:after="0" w:line="240" w:lineRule="auto"/>
              <w:jc w:val="both"/>
              <w:textAlignment w:val="baseline"/>
              <w:rPr>
                <w:rFonts w:ascii="Times New Roman" w:eastAsia="Times" w:hAnsi="Times New Roman" w:cs="Times New Roman"/>
                <w:b/>
                <w:noProof/>
                <w:sz w:val="24"/>
                <w:szCs w:val="24"/>
                <w:lang w:val="en-IE" w:eastAsia="en-IE"/>
              </w:rPr>
            </w:pPr>
            <w:r w:rsidRPr="00532C20">
              <w:rPr>
                <w:rFonts w:ascii="Times New Roman" w:eastAsia="Times" w:hAnsi="Times New Roman" w:cs="Times New Roman"/>
                <w:b/>
                <w:noProof/>
                <w:sz w:val="24"/>
                <w:szCs w:val="24"/>
                <w:lang w:val="en-IE" w:eastAsia="en-IE"/>
              </w:rPr>
              <w:t>385</w:t>
            </w:r>
          </w:p>
        </w:tc>
      </w:tr>
      <w:tr w:rsidR="009F2422" w:rsidRPr="00532C20" w14:paraId="4593AEB4" w14:textId="77777777">
        <w:trPr>
          <w:trHeight w:val="27"/>
        </w:trPr>
        <w:tc>
          <w:tcPr>
            <w:tcW w:w="69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65C4FD4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BE</w:t>
            </w:r>
            <w:r w:rsidRPr="00532C20">
              <w:rPr>
                <w:rFonts w:ascii="Times New Roman" w:eastAsia="Times" w:hAnsi="Times New Roman" w:cs="Times New Roman"/>
                <w:noProof/>
                <w:sz w:val="24"/>
                <w:szCs w:val="24"/>
                <w:lang w:val="en-IE" w:eastAsia="en-IE"/>
              </w:rPr>
              <w:t> </w:t>
            </w:r>
          </w:p>
        </w:tc>
        <w:tc>
          <w:tcPr>
            <w:tcW w:w="41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51368BC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54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49C2C9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8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6667E05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3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A1665F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5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853627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1F55AF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748"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CB00A4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6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88811E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80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722B06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34"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78D6BDE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9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613F45B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91"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53635E2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175 </w:t>
            </w:r>
          </w:p>
        </w:tc>
        <w:tc>
          <w:tcPr>
            <w:tcW w:w="82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62070C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175</w:t>
            </w:r>
            <w:r w:rsidRPr="00532C20">
              <w:rPr>
                <w:rFonts w:ascii="Times New Roman" w:eastAsia="Times" w:hAnsi="Times New Roman" w:cs="Times New Roman"/>
                <w:noProof/>
                <w:sz w:val="24"/>
                <w:szCs w:val="24"/>
                <w:lang w:val="en-IE" w:eastAsia="en-IE"/>
              </w:rPr>
              <w:t> </w:t>
            </w:r>
          </w:p>
        </w:tc>
      </w:tr>
      <w:tr w:rsidR="009F2422" w:rsidRPr="00532C20" w14:paraId="3A1FF076" w14:textId="77777777">
        <w:trPr>
          <w:trHeight w:val="27"/>
        </w:trPr>
        <w:tc>
          <w:tcPr>
            <w:tcW w:w="69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DA2078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DE</w:t>
            </w:r>
            <w:r w:rsidRPr="00532C20">
              <w:rPr>
                <w:rFonts w:ascii="Times New Roman" w:eastAsia="Times" w:hAnsi="Times New Roman" w:cs="Times New Roman"/>
                <w:noProof/>
                <w:sz w:val="24"/>
                <w:szCs w:val="24"/>
                <w:lang w:val="en-IE" w:eastAsia="en-IE"/>
              </w:rPr>
              <w:t> </w:t>
            </w:r>
          </w:p>
        </w:tc>
        <w:tc>
          <w:tcPr>
            <w:tcW w:w="41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5C06D11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54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C8FD7B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8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5534D1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3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67C13B6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41 </w:t>
            </w:r>
          </w:p>
        </w:tc>
        <w:tc>
          <w:tcPr>
            <w:tcW w:w="5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7B0FD1C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8EF9B7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32</w:t>
            </w:r>
            <w:r w:rsidRPr="00532C20">
              <w:rPr>
                <w:rFonts w:ascii="Times New Roman" w:eastAsia="Times" w:hAnsi="Times New Roman" w:cs="Times New Roman"/>
                <w:noProof/>
                <w:sz w:val="24"/>
                <w:szCs w:val="24"/>
                <w:vertAlign w:val="superscript"/>
                <w:lang w:val="en-IE" w:eastAsia="en-IE"/>
              </w:rPr>
              <w:t>(1)</w:t>
            </w:r>
            <w:r w:rsidRPr="00532C20">
              <w:rPr>
                <w:rFonts w:ascii="Times New Roman" w:eastAsia="Times" w:hAnsi="Times New Roman" w:cs="Times New Roman"/>
                <w:noProof/>
                <w:sz w:val="24"/>
                <w:szCs w:val="24"/>
                <w:lang w:val="en-IE" w:eastAsia="en-IE"/>
              </w:rPr>
              <w:t> </w:t>
            </w:r>
          </w:p>
        </w:tc>
        <w:tc>
          <w:tcPr>
            <w:tcW w:w="748"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B2B9B2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104 </w:t>
            </w:r>
          </w:p>
        </w:tc>
        <w:tc>
          <w:tcPr>
            <w:tcW w:w="46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2EC74E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10 </w:t>
            </w:r>
          </w:p>
        </w:tc>
        <w:tc>
          <w:tcPr>
            <w:tcW w:w="80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644E535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3,027 </w:t>
            </w:r>
          </w:p>
        </w:tc>
        <w:tc>
          <w:tcPr>
            <w:tcW w:w="434"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BDFB64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9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0617A5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295 </w:t>
            </w:r>
          </w:p>
        </w:tc>
        <w:tc>
          <w:tcPr>
            <w:tcW w:w="691"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769E672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2,167 </w:t>
            </w:r>
          </w:p>
        </w:tc>
        <w:tc>
          <w:tcPr>
            <w:tcW w:w="82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5E8AC1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5,676</w:t>
            </w:r>
            <w:r w:rsidRPr="00532C20">
              <w:rPr>
                <w:rFonts w:ascii="Times New Roman" w:eastAsia="Times" w:hAnsi="Times New Roman" w:cs="Times New Roman"/>
                <w:noProof/>
                <w:sz w:val="24"/>
                <w:szCs w:val="24"/>
                <w:lang w:val="en-IE" w:eastAsia="en-IE"/>
              </w:rPr>
              <w:t> </w:t>
            </w:r>
          </w:p>
        </w:tc>
      </w:tr>
      <w:tr w:rsidR="009F2422" w:rsidRPr="00532C20" w14:paraId="6E4F2922" w14:textId="77777777">
        <w:trPr>
          <w:trHeight w:val="27"/>
        </w:trPr>
        <w:tc>
          <w:tcPr>
            <w:tcW w:w="69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7658B87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FR</w:t>
            </w:r>
            <w:r w:rsidRPr="00532C20">
              <w:rPr>
                <w:rFonts w:ascii="Times New Roman" w:eastAsia="Times" w:hAnsi="Times New Roman" w:cs="Times New Roman"/>
                <w:noProof/>
                <w:sz w:val="24"/>
                <w:szCs w:val="24"/>
                <w:lang w:val="en-IE" w:eastAsia="en-IE"/>
              </w:rPr>
              <w:t> </w:t>
            </w:r>
          </w:p>
        </w:tc>
        <w:tc>
          <w:tcPr>
            <w:tcW w:w="41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4AA29D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54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F12F66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8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5832E6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3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497D14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26 </w:t>
            </w:r>
          </w:p>
        </w:tc>
        <w:tc>
          <w:tcPr>
            <w:tcW w:w="5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F43680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17FBB8D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525</w:t>
            </w:r>
            <w:r w:rsidRPr="00532C20">
              <w:rPr>
                <w:rFonts w:ascii="Times New Roman" w:eastAsia="Times" w:hAnsi="Times New Roman" w:cs="Times New Roman"/>
                <w:noProof/>
                <w:sz w:val="24"/>
                <w:szCs w:val="24"/>
                <w:vertAlign w:val="superscript"/>
                <w:lang w:val="en-IE" w:eastAsia="en-IE"/>
              </w:rPr>
              <w:t>(2)</w:t>
            </w:r>
            <w:r w:rsidRPr="00532C20">
              <w:rPr>
                <w:rFonts w:ascii="Times New Roman" w:eastAsia="Times" w:hAnsi="Times New Roman" w:cs="Times New Roman"/>
                <w:noProof/>
                <w:sz w:val="24"/>
                <w:szCs w:val="24"/>
                <w:lang w:val="en-IE" w:eastAsia="en-IE"/>
              </w:rPr>
              <w:t> </w:t>
            </w:r>
          </w:p>
        </w:tc>
        <w:tc>
          <w:tcPr>
            <w:tcW w:w="748"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EEE6B6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7 </w:t>
            </w:r>
          </w:p>
        </w:tc>
        <w:tc>
          <w:tcPr>
            <w:tcW w:w="46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B9AB50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80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91F448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1,341</w:t>
            </w:r>
            <w:r w:rsidRPr="00532C20">
              <w:rPr>
                <w:rFonts w:ascii="Times New Roman" w:eastAsia="Times" w:hAnsi="Times New Roman" w:cs="Times New Roman"/>
                <w:noProof/>
                <w:sz w:val="24"/>
                <w:szCs w:val="24"/>
                <w:vertAlign w:val="superscript"/>
                <w:lang w:val="en-IE" w:eastAsia="en-IE"/>
              </w:rPr>
              <w:t>(3)</w:t>
            </w:r>
            <w:r w:rsidRPr="00532C20">
              <w:rPr>
                <w:rFonts w:ascii="Times New Roman" w:eastAsia="Times" w:hAnsi="Times New Roman" w:cs="Times New Roman"/>
                <w:noProof/>
                <w:sz w:val="24"/>
                <w:szCs w:val="24"/>
                <w:lang w:val="en-IE" w:eastAsia="en-IE"/>
              </w:rPr>
              <w:t> </w:t>
            </w:r>
          </w:p>
        </w:tc>
        <w:tc>
          <w:tcPr>
            <w:tcW w:w="434"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F95B6D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9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D94BD0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155 </w:t>
            </w:r>
          </w:p>
        </w:tc>
        <w:tc>
          <w:tcPr>
            <w:tcW w:w="691"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E24D51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550 </w:t>
            </w:r>
          </w:p>
        </w:tc>
        <w:tc>
          <w:tcPr>
            <w:tcW w:w="82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60EBC0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2,604</w:t>
            </w:r>
            <w:r w:rsidRPr="00532C20">
              <w:rPr>
                <w:rFonts w:ascii="Times New Roman" w:eastAsia="Times" w:hAnsi="Times New Roman" w:cs="Times New Roman"/>
                <w:noProof/>
                <w:sz w:val="24"/>
                <w:szCs w:val="24"/>
                <w:lang w:val="en-IE" w:eastAsia="en-IE"/>
              </w:rPr>
              <w:t> </w:t>
            </w:r>
          </w:p>
        </w:tc>
      </w:tr>
      <w:tr w:rsidR="009F2422" w:rsidRPr="00532C20" w14:paraId="6D3E829E" w14:textId="77777777">
        <w:trPr>
          <w:trHeight w:val="27"/>
        </w:trPr>
        <w:tc>
          <w:tcPr>
            <w:tcW w:w="69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6DE9F51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IE</w:t>
            </w:r>
            <w:r w:rsidRPr="00532C20">
              <w:rPr>
                <w:rFonts w:ascii="Times New Roman" w:eastAsia="Times" w:hAnsi="Times New Roman" w:cs="Times New Roman"/>
                <w:noProof/>
                <w:sz w:val="24"/>
                <w:szCs w:val="24"/>
                <w:lang w:val="en-IE" w:eastAsia="en-IE"/>
              </w:rPr>
              <w:t> </w:t>
            </w:r>
          </w:p>
        </w:tc>
        <w:tc>
          <w:tcPr>
            <w:tcW w:w="41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36C310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24 </w:t>
            </w:r>
          </w:p>
        </w:tc>
        <w:tc>
          <w:tcPr>
            <w:tcW w:w="54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8A1798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21 </w:t>
            </w:r>
          </w:p>
        </w:tc>
        <w:tc>
          <w:tcPr>
            <w:tcW w:w="68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55C06C1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158 </w:t>
            </w:r>
          </w:p>
        </w:tc>
        <w:tc>
          <w:tcPr>
            <w:tcW w:w="43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52006B3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34 </w:t>
            </w:r>
          </w:p>
        </w:tc>
        <w:tc>
          <w:tcPr>
            <w:tcW w:w="5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751E6FF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107 </w:t>
            </w:r>
          </w:p>
        </w:tc>
        <w:tc>
          <w:tcPr>
            <w:tcW w:w="6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BBAB6D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303 </w:t>
            </w:r>
          </w:p>
        </w:tc>
        <w:tc>
          <w:tcPr>
            <w:tcW w:w="748"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5053B0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73 </w:t>
            </w:r>
          </w:p>
        </w:tc>
        <w:tc>
          <w:tcPr>
            <w:tcW w:w="46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4B6957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15 </w:t>
            </w:r>
          </w:p>
        </w:tc>
        <w:tc>
          <w:tcPr>
            <w:tcW w:w="80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B9013B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278</w:t>
            </w:r>
            <w:r w:rsidRPr="00532C20">
              <w:rPr>
                <w:rFonts w:ascii="Times New Roman" w:eastAsia="Times" w:hAnsi="Times New Roman" w:cs="Times New Roman"/>
                <w:noProof/>
                <w:sz w:val="24"/>
                <w:szCs w:val="24"/>
                <w:vertAlign w:val="superscript"/>
                <w:lang w:val="en-IE" w:eastAsia="en-IE"/>
              </w:rPr>
              <w:t>(4)</w:t>
            </w:r>
            <w:r w:rsidRPr="00532C20">
              <w:rPr>
                <w:rFonts w:ascii="Times New Roman" w:eastAsia="Times" w:hAnsi="Times New Roman" w:cs="Times New Roman"/>
                <w:noProof/>
                <w:sz w:val="24"/>
                <w:szCs w:val="24"/>
                <w:lang w:val="en-IE" w:eastAsia="en-IE"/>
              </w:rPr>
              <w:t> </w:t>
            </w:r>
          </w:p>
        </w:tc>
        <w:tc>
          <w:tcPr>
            <w:tcW w:w="434"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150995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228 </w:t>
            </w:r>
          </w:p>
        </w:tc>
        <w:tc>
          <w:tcPr>
            <w:tcW w:w="69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7C1753E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91"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5F9BE3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1,213 </w:t>
            </w:r>
          </w:p>
        </w:tc>
        <w:tc>
          <w:tcPr>
            <w:tcW w:w="82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79026DE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2,454</w:t>
            </w:r>
            <w:r w:rsidRPr="00532C20">
              <w:rPr>
                <w:rFonts w:ascii="Times New Roman" w:eastAsia="Times" w:hAnsi="Times New Roman" w:cs="Times New Roman"/>
                <w:noProof/>
                <w:sz w:val="24"/>
                <w:szCs w:val="24"/>
                <w:lang w:val="en-IE" w:eastAsia="en-IE"/>
              </w:rPr>
              <w:t> </w:t>
            </w:r>
          </w:p>
        </w:tc>
      </w:tr>
      <w:tr w:rsidR="009F2422" w:rsidRPr="00532C20" w14:paraId="70F9B174" w14:textId="77777777">
        <w:trPr>
          <w:trHeight w:val="27"/>
        </w:trPr>
        <w:tc>
          <w:tcPr>
            <w:tcW w:w="69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1225C9A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IT</w:t>
            </w:r>
            <w:r w:rsidRPr="00532C20">
              <w:rPr>
                <w:rFonts w:ascii="Times New Roman" w:eastAsia="Times" w:hAnsi="Times New Roman" w:cs="Times New Roman"/>
                <w:noProof/>
                <w:sz w:val="24"/>
                <w:szCs w:val="24"/>
                <w:lang w:val="en-IE" w:eastAsia="en-IE"/>
              </w:rPr>
              <w:t> </w:t>
            </w:r>
          </w:p>
        </w:tc>
        <w:tc>
          <w:tcPr>
            <w:tcW w:w="41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EB5046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54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1177826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8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0D22A6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3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9B1260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5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6C0CC35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0AFCB6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13</w:t>
            </w:r>
            <w:r w:rsidRPr="00532C20">
              <w:rPr>
                <w:rFonts w:ascii="Times New Roman" w:eastAsia="Times" w:hAnsi="Times New Roman" w:cs="Times New Roman"/>
                <w:noProof/>
                <w:sz w:val="24"/>
                <w:szCs w:val="24"/>
                <w:vertAlign w:val="superscript"/>
                <w:lang w:val="en-IE" w:eastAsia="en-IE"/>
              </w:rPr>
              <w:t>(5)</w:t>
            </w:r>
            <w:r w:rsidRPr="00532C20">
              <w:rPr>
                <w:rFonts w:ascii="Times New Roman" w:eastAsia="Times" w:hAnsi="Times New Roman" w:cs="Times New Roman"/>
                <w:noProof/>
                <w:sz w:val="24"/>
                <w:szCs w:val="24"/>
                <w:lang w:val="en-IE" w:eastAsia="en-IE"/>
              </w:rPr>
              <w:t> </w:t>
            </w:r>
          </w:p>
        </w:tc>
        <w:tc>
          <w:tcPr>
            <w:tcW w:w="748"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31B421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6 </w:t>
            </w:r>
          </w:p>
        </w:tc>
        <w:tc>
          <w:tcPr>
            <w:tcW w:w="46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7C3B9C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1 </w:t>
            </w:r>
          </w:p>
        </w:tc>
        <w:tc>
          <w:tcPr>
            <w:tcW w:w="80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6ABC164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46</w:t>
            </w:r>
            <w:r w:rsidRPr="00532C20">
              <w:rPr>
                <w:rFonts w:ascii="Times New Roman" w:eastAsia="Times" w:hAnsi="Times New Roman" w:cs="Times New Roman"/>
                <w:noProof/>
                <w:sz w:val="24"/>
                <w:szCs w:val="24"/>
                <w:vertAlign w:val="superscript"/>
                <w:lang w:val="en-IE" w:eastAsia="en-IE"/>
              </w:rPr>
              <w:t>(6)</w:t>
            </w:r>
            <w:r w:rsidRPr="00532C20">
              <w:rPr>
                <w:rFonts w:ascii="Times New Roman" w:eastAsia="Times" w:hAnsi="Times New Roman" w:cs="Times New Roman"/>
                <w:noProof/>
                <w:sz w:val="24"/>
                <w:szCs w:val="24"/>
                <w:lang w:val="en-IE" w:eastAsia="en-IE"/>
              </w:rPr>
              <w:t> </w:t>
            </w:r>
          </w:p>
        </w:tc>
        <w:tc>
          <w:tcPr>
            <w:tcW w:w="434"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CAFD16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9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1002137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15 </w:t>
            </w:r>
          </w:p>
        </w:tc>
        <w:tc>
          <w:tcPr>
            <w:tcW w:w="691"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AB0D5E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3 </w:t>
            </w:r>
          </w:p>
        </w:tc>
        <w:tc>
          <w:tcPr>
            <w:tcW w:w="82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D09EDE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84</w:t>
            </w:r>
            <w:r w:rsidRPr="00532C20">
              <w:rPr>
                <w:rFonts w:ascii="Times New Roman" w:eastAsia="Times" w:hAnsi="Times New Roman" w:cs="Times New Roman"/>
                <w:noProof/>
                <w:sz w:val="24"/>
                <w:szCs w:val="24"/>
                <w:lang w:val="en-IE" w:eastAsia="en-IE"/>
              </w:rPr>
              <w:t> </w:t>
            </w:r>
          </w:p>
        </w:tc>
      </w:tr>
      <w:tr w:rsidR="009F2422" w:rsidRPr="00532C20" w14:paraId="1978B4B3" w14:textId="77777777">
        <w:trPr>
          <w:trHeight w:val="27"/>
        </w:trPr>
        <w:tc>
          <w:tcPr>
            <w:tcW w:w="69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619A1D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LT</w:t>
            </w:r>
            <w:r w:rsidRPr="00532C20">
              <w:rPr>
                <w:rFonts w:ascii="Times New Roman" w:eastAsia="Times" w:hAnsi="Times New Roman" w:cs="Times New Roman"/>
                <w:noProof/>
                <w:sz w:val="24"/>
                <w:szCs w:val="24"/>
                <w:lang w:val="en-IE" w:eastAsia="en-IE"/>
              </w:rPr>
              <w:t> </w:t>
            </w:r>
          </w:p>
        </w:tc>
        <w:tc>
          <w:tcPr>
            <w:tcW w:w="41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10632BF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54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79B9C8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8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7D06DB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3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520DBF5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5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7471B5A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953CEF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748"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F36E1C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6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678023D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80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9EB26A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34"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D3695B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9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21A0DB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91"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C8CA12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303 </w:t>
            </w:r>
          </w:p>
        </w:tc>
        <w:tc>
          <w:tcPr>
            <w:tcW w:w="82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7A0E810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303</w:t>
            </w:r>
            <w:r w:rsidRPr="00532C20">
              <w:rPr>
                <w:rFonts w:ascii="Times New Roman" w:eastAsia="Times" w:hAnsi="Times New Roman" w:cs="Times New Roman"/>
                <w:noProof/>
                <w:sz w:val="24"/>
                <w:szCs w:val="24"/>
                <w:lang w:val="en-IE" w:eastAsia="en-IE"/>
              </w:rPr>
              <w:t> </w:t>
            </w:r>
          </w:p>
        </w:tc>
      </w:tr>
      <w:tr w:rsidR="009F2422" w:rsidRPr="00532C20" w14:paraId="03E5F810" w14:textId="77777777">
        <w:trPr>
          <w:trHeight w:val="27"/>
        </w:trPr>
        <w:tc>
          <w:tcPr>
            <w:tcW w:w="69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6B8F1B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LU</w:t>
            </w:r>
            <w:r w:rsidRPr="00532C20">
              <w:rPr>
                <w:rFonts w:ascii="Times New Roman" w:eastAsia="Times" w:hAnsi="Times New Roman" w:cs="Times New Roman"/>
                <w:noProof/>
                <w:sz w:val="24"/>
                <w:szCs w:val="24"/>
                <w:lang w:val="en-IE" w:eastAsia="en-IE"/>
              </w:rPr>
              <w:t> </w:t>
            </w:r>
          </w:p>
        </w:tc>
        <w:tc>
          <w:tcPr>
            <w:tcW w:w="41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01D1C1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54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7CC9EA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8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FEFAB9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3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68966C7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5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6DCAE17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1B37CDA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748"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6DA11A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6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6E5240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80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FA3853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34"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F399D8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9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05D90D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91"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1089B26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183 </w:t>
            </w:r>
          </w:p>
        </w:tc>
        <w:tc>
          <w:tcPr>
            <w:tcW w:w="82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D8D619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183</w:t>
            </w:r>
            <w:r w:rsidRPr="00532C20">
              <w:rPr>
                <w:rFonts w:ascii="Times New Roman" w:eastAsia="Times" w:hAnsi="Times New Roman" w:cs="Times New Roman"/>
                <w:noProof/>
                <w:sz w:val="24"/>
                <w:szCs w:val="24"/>
                <w:lang w:val="en-IE" w:eastAsia="en-IE"/>
              </w:rPr>
              <w:t> </w:t>
            </w:r>
          </w:p>
        </w:tc>
      </w:tr>
      <w:tr w:rsidR="009F2422" w:rsidRPr="00532C20" w14:paraId="4EEFBABD" w14:textId="77777777">
        <w:trPr>
          <w:trHeight w:val="27"/>
        </w:trPr>
        <w:tc>
          <w:tcPr>
            <w:tcW w:w="69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86A2A3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RO</w:t>
            </w:r>
            <w:r w:rsidRPr="00532C20">
              <w:rPr>
                <w:rFonts w:ascii="Times New Roman" w:eastAsia="Times" w:hAnsi="Times New Roman" w:cs="Times New Roman"/>
                <w:noProof/>
                <w:sz w:val="24"/>
                <w:szCs w:val="24"/>
                <w:lang w:val="en-IE" w:eastAsia="en-IE"/>
              </w:rPr>
              <w:t> </w:t>
            </w:r>
          </w:p>
        </w:tc>
        <w:tc>
          <w:tcPr>
            <w:tcW w:w="41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BE381B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54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1F4004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8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78BA8EF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3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80C3D6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5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789D5D6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81449D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748"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D60F99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6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1C54232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80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62D6187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34"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A76548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9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895356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91"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F2D938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253 </w:t>
            </w:r>
          </w:p>
        </w:tc>
        <w:tc>
          <w:tcPr>
            <w:tcW w:w="82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281218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253</w:t>
            </w:r>
            <w:r w:rsidRPr="00532C20">
              <w:rPr>
                <w:rFonts w:ascii="Times New Roman" w:eastAsia="Times" w:hAnsi="Times New Roman" w:cs="Times New Roman"/>
                <w:noProof/>
                <w:sz w:val="24"/>
                <w:szCs w:val="24"/>
                <w:lang w:val="en-IE" w:eastAsia="en-IE"/>
              </w:rPr>
              <w:t> </w:t>
            </w:r>
          </w:p>
        </w:tc>
      </w:tr>
      <w:tr w:rsidR="009F2422" w:rsidRPr="00532C20" w14:paraId="05E26045" w14:textId="77777777">
        <w:trPr>
          <w:trHeight w:val="27"/>
        </w:trPr>
        <w:tc>
          <w:tcPr>
            <w:tcW w:w="69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5DDBD32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SI</w:t>
            </w:r>
            <w:r w:rsidRPr="00532C20">
              <w:rPr>
                <w:rFonts w:ascii="Times New Roman" w:eastAsia="Times" w:hAnsi="Times New Roman" w:cs="Times New Roman"/>
                <w:noProof/>
                <w:sz w:val="24"/>
                <w:szCs w:val="24"/>
                <w:lang w:val="en-IE" w:eastAsia="en-IE"/>
              </w:rPr>
              <w:t> </w:t>
            </w:r>
          </w:p>
        </w:tc>
        <w:tc>
          <w:tcPr>
            <w:tcW w:w="41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5541627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54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486BC93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8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6A126C1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3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5FC8870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5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2AF173A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2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BEFCD6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748"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9A6BCB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66"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5CA1532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802"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3FECC6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434"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50F3E30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99"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3759876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w:t>
            </w:r>
          </w:p>
        </w:tc>
        <w:tc>
          <w:tcPr>
            <w:tcW w:w="691"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0ACE1B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82 </w:t>
            </w:r>
          </w:p>
        </w:tc>
        <w:tc>
          <w:tcPr>
            <w:tcW w:w="825" w:type="dxa"/>
            <w:tcBorders>
              <w:top w:val="single" w:sz="6" w:space="0" w:color="FFFFFF"/>
              <w:left w:val="single" w:sz="6" w:space="0" w:color="FFFFFF"/>
              <w:bottom w:val="single" w:sz="6" w:space="0" w:color="FFFFFF"/>
              <w:right w:val="single" w:sz="6" w:space="0" w:color="FFFFFF"/>
            </w:tcBorders>
            <w:shd w:val="clear" w:color="auto" w:fill="D9D9D9"/>
            <w:vAlign w:val="center"/>
            <w:hideMark/>
          </w:tcPr>
          <w:p w14:paraId="035C457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82</w:t>
            </w:r>
            <w:r w:rsidRPr="00532C20">
              <w:rPr>
                <w:rFonts w:ascii="Times New Roman" w:eastAsia="Times" w:hAnsi="Times New Roman" w:cs="Times New Roman"/>
                <w:noProof/>
                <w:sz w:val="24"/>
                <w:szCs w:val="24"/>
                <w:lang w:val="en-IE" w:eastAsia="en-IE"/>
              </w:rPr>
              <w:t> </w:t>
            </w:r>
          </w:p>
        </w:tc>
      </w:tr>
      <w:tr w:rsidR="009F2422" w:rsidRPr="00532C20" w14:paraId="533C9ADD" w14:textId="77777777">
        <w:trPr>
          <w:trHeight w:val="27"/>
        </w:trPr>
        <w:tc>
          <w:tcPr>
            <w:tcW w:w="692" w:type="dxa"/>
            <w:tcBorders>
              <w:top w:val="single" w:sz="6" w:space="0" w:color="FFFFFF"/>
              <w:left w:val="single" w:sz="6" w:space="0" w:color="FFFFFF"/>
              <w:bottom w:val="single" w:sz="6" w:space="0" w:color="FFFFFF"/>
              <w:right w:val="single" w:sz="6" w:space="0" w:color="FFFFFF"/>
            </w:tcBorders>
            <w:shd w:val="clear" w:color="auto" w:fill="808080"/>
            <w:vAlign w:val="center"/>
            <w:hideMark/>
          </w:tcPr>
          <w:p w14:paraId="5893FB3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Total</w:t>
            </w:r>
            <w:r w:rsidRPr="00532C20">
              <w:rPr>
                <w:rFonts w:ascii="Times New Roman" w:eastAsia="Times" w:hAnsi="Times New Roman" w:cs="Times New Roman"/>
                <w:noProof/>
                <w:color w:val="FFFFFF"/>
                <w:sz w:val="24"/>
                <w:szCs w:val="24"/>
                <w:lang w:val="en-IE" w:eastAsia="en-IE"/>
              </w:rPr>
              <w:t> </w:t>
            </w:r>
          </w:p>
        </w:tc>
        <w:tc>
          <w:tcPr>
            <w:tcW w:w="419" w:type="dxa"/>
            <w:tcBorders>
              <w:top w:val="single" w:sz="6" w:space="0" w:color="FFFFFF"/>
              <w:left w:val="single" w:sz="6" w:space="0" w:color="FFFFFF"/>
              <w:bottom w:val="single" w:sz="6" w:space="0" w:color="FFFFFF"/>
              <w:right w:val="single" w:sz="6" w:space="0" w:color="FFFFFF"/>
            </w:tcBorders>
            <w:shd w:val="clear" w:color="auto" w:fill="808080"/>
            <w:vAlign w:val="center"/>
            <w:hideMark/>
          </w:tcPr>
          <w:p w14:paraId="40190D6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24</w:t>
            </w:r>
            <w:r w:rsidRPr="00532C20">
              <w:rPr>
                <w:rFonts w:ascii="Times New Roman" w:eastAsia="Times" w:hAnsi="Times New Roman" w:cs="Times New Roman"/>
                <w:noProof/>
                <w:color w:val="FFFFFF"/>
                <w:sz w:val="24"/>
                <w:szCs w:val="24"/>
                <w:lang w:val="en-IE" w:eastAsia="en-IE"/>
              </w:rPr>
              <w:t> </w:t>
            </w:r>
          </w:p>
        </w:tc>
        <w:tc>
          <w:tcPr>
            <w:tcW w:w="546" w:type="dxa"/>
            <w:tcBorders>
              <w:top w:val="single" w:sz="6" w:space="0" w:color="FFFFFF"/>
              <w:left w:val="single" w:sz="6" w:space="0" w:color="FFFFFF"/>
              <w:bottom w:val="single" w:sz="6" w:space="0" w:color="FFFFFF"/>
              <w:right w:val="single" w:sz="6" w:space="0" w:color="FFFFFF"/>
            </w:tcBorders>
            <w:shd w:val="clear" w:color="auto" w:fill="808080"/>
            <w:vAlign w:val="center"/>
            <w:hideMark/>
          </w:tcPr>
          <w:p w14:paraId="1C23F51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21</w:t>
            </w:r>
            <w:r w:rsidRPr="00532C20">
              <w:rPr>
                <w:rFonts w:ascii="Times New Roman" w:eastAsia="Times" w:hAnsi="Times New Roman" w:cs="Times New Roman"/>
                <w:noProof/>
                <w:color w:val="FFFFFF"/>
                <w:sz w:val="24"/>
                <w:szCs w:val="24"/>
                <w:lang w:val="en-IE" w:eastAsia="en-IE"/>
              </w:rPr>
              <w:t> </w:t>
            </w:r>
          </w:p>
        </w:tc>
        <w:tc>
          <w:tcPr>
            <w:tcW w:w="686" w:type="dxa"/>
            <w:tcBorders>
              <w:top w:val="single" w:sz="6" w:space="0" w:color="FFFFFF"/>
              <w:left w:val="single" w:sz="6" w:space="0" w:color="FFFFFF"/>
              <w:bottom w:val="single" w:sz="6" w:space="0" w:color="FFFFFF"/>
              <w:right w:val="single" w:sz="6" w:space="0" w:color="FFFFFF"/>
            </w:tcBorders>
            <w:shd w:val="clear" w:color="auto" w:fill="808080"/>
            <w:vAlign w:val="center"/>
            <w:hideMark/>
          </w:tcPr>
          <w:p w14:paraId="2A7D866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158</w:t>
            </w:r>
            <w:r w:rsidRPr="00532C20">
              <w:rPr>
                <w:rFonts w:ascii="Times New Roman" w:eastAsia="Times" w:hAnsi="Times New Roman" w:cs="Times New Roman"/>
                <w:noProof/>
                <w:color w:val="FFFFFF"/>
                <w:sz w:val="24"/>
                <w:szCs w:val="24"/>
                <w:lang w:val="en-IE" w:eastAsia="en-IE"/>
              </w:rPr>
              <w:t> </w:t>
            </w:r>
          </w:p>
        </w:tc>
        <w:tc>
          <w:tcPr>
            <w:tcW w:w="435" w:type="dxa"/>
            <w:tcBorders>
              <w:top w:val="single" w:sz="6" w:space="0" w:color="FFFFFF"/>
              <w:left w:val="single" w:sz="6" w:space="0" w:color="FFFFFF"/>
              <w:bottom w:val="single" w:sz="6" w:space="0" w:color="FFFFFF"/>
              <w:right w:val="single" w:sz="6" w:space="0" w:color="FFFFFF"/>
            </w:tcBorders>
            <w:shd w:val="clear" w:color="auto" w:fill="808080"/>
            <w:vAlign w:val="center"/>
            <w:hideMark/>
          </w:tcPr>
          <w:p w14:paraId="2C9A3FF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101</w:t>
            </w:r>
            <w:r w:rsidRPr="00532C20">
              <w:rPr>
                <w:rFonts w:ascii="Times New Roman" w:eastAsia="Times" w:hAnsi="Times New Roman" w:cs="Times New Roman"/>
                <w:noProof/>
                <w:color w:val="FFFFFF"/>
                <w:sz w:val="24"/>
                <w:szCs w:val="24"/>
                <w:lang w:val="en-IE" w:eastAsia="en-IE"/>
              </w:rPr>
              <w:t> </w:t>
            </w:r>
          </w:p>
        </w:tc>
        <w:tc>
          <w:tcPr>
            <w:tcW w:w="522" w:type="dxa"/>
            <w:tcBorders>
              <w:top w:val="single" w:sz="6" w:space="0" w:color="FFFFFF"/>
              <w:left w:val="single" w:sz="6" w:space="0" w:color="FFFFFF"/>
              <w:bottom w:val="single" w:sz="6" w:space="0" w:color="FFFFFF"/>
              <w:right w:val="single" w:sz="6" w:space="0" w:color="FFFFFF"/>
            </w:tcBorders>
            <w:shd w:val="clear" w:color="auto" w:fill="808080"/>
            <w:vAlign w:val="center"/>
            <w:hideMark/>
          </w:tcPr>
          <w:p w14:paraId="3493B33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107</w:t>
            </w:r>
            <w:r w:rsidRPr="00532C20">
              <w:rPr>
                <w:rFonts w:ascii="Times New Roman" w:eastAsia="Times" w:hAnsi="Times New Roman" w:cs="Times New Roman"/>
                <w:noProof/>
                <w:color w:val="FFFFFF"/>
                <w:sz w:val="24"/>
                <w:szCs w:val="24"/>
                <w:lang w:val="en-IE" w:eastAsia="en-IE"/>
              </w:rPr>
              <w:t> </w:t>
            </w:r>
          </w:p>
        </w:tc>
        <w:tc>
          <w:tcPr>
            <w:tcW w:w="622" w:type="dxa"/>
            <w:tcBorders>
              <w:top w:val="single" w:sz="6" w:space="0" w:color="FFFFFF"/>
              <w:left w:val="single" w:sz="6" w:space="0" w:color="FFFFFF"/>
              <w:bottom w:val="single" w:sz="6" w:space="0" w:color="FFFFFF"/>
              <w:right w:val="single" w:sz="6" w:space="0" w:color="FFFFFF"/>
            </w:tcBorders>
            <w:shd w:val="clear" w:color="auto" w:fill="808080"/>
            <w:vAlign w:val="center"/>
            <w:hideMark/>
          </w:tcPr>
          <w:p w14:paraId="214EA3A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873</w:t>
            </w:r>
            <w:r w:rsidRPr="00532C20">
              <w:rPr>
                <w:rFonts w:ascii="Times New Roman" w:eastAsia="Times" w:hAnsi="Times New Roman" w:cs="Times New Roman"/>
                <w:noProof/>
                <w:color w:val="FFFFFF"/>
                <w:sz w:val="24"/>
                <w:szCs w:val="24"/>
                <w:lang w:val="en-IE" w:eastAsia="en-IE"/>
              </w:rPr>
              <w:t> </w:t>
            </w:r>
          </w:p>
        </w:tc>
        <w:tc>
          <w:tcPr>
            <w:tcW w:w="748" w:type="dxa"/>
            <w:tcBorders>
              <w:top w:val="single" w:sz="6" w:space="0" w:color="FFFFFF"/>
              <w:left w:val="single" w:sz="6" w:space="0" w:color="FFFFFF"/>
              <w:bottom w:val="single" w:sz="6" w:space="0" w:color="FFFFFF"/>
              <w:right w:val="single" w:sz="6" w:space="0" w:color="FFFFFF"/>
            </w:tcBorders>
            <w:shd w:val="clear" w:color="auto" w:fill="808080"/>
            <w:vAlign w:val="center"/>
            <w:hideMark/>
          </w:tcPr>
          <w:p w14:paraId="60E8849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190</w:t>
            </w:r>
            <w:r w:rsidRPr="00532C20">
              <w:rPr>
                <w:rFonts w:ascii="Times New Roman" w:eastAsia="Times" w:hAnsi="Times New Roman" w:cs="Times New Roman"/>
                <w:noProof/>
                <w:color w:val="FFFFFF"/>
                <w:sz w:val="24"/>
                <w:szCs w:val="24"/>
                <w:lang w:val="en-IE" w:eastAsia="en-IE"/>
              </w:rPr>
              <w:t> </w:t>
            </w:r>
          </w:p>
        </w:tc>
        <w:tc>
          <w:tcPr>
            <w:tcW w:w="466" w:type="dxa"/>
            <w:tcBorders>
              <w:top w:val="single" w:sz="6" w:space="0" w:color="FFFFFF"/>
              <w:left w:val="single" w:sz="6" w:space="0" w:color="FFFFFF"/>
              <w:bottom w:val="single" w:sz="6" w:space="0" w:color="FFFFFF"/>
              <w:right w:val="single" w:sz="6" w:space="0" w:color="FFFFFF"/>
            </w:tcBorders>
            <w:shd w:val="clear" w:color="auto" w:fill="808080"/>
            <w:vAlign w:val="center"/>
            <w:hideMark/>
          </w:tcPr>
          <w:p w14:paraId="5332C58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26</w:t>
            </w:r>
            <w:r w:rsidRPr="00532C20">
              <w:rPr>
                <w:rFonts w:ascii="Times New Roman" w:eastAsia="Times" w:hAnsi="Times New Roman" w:cs="Times New Roman"/>
                <w:noProof/>
                <w:color w:val="FFFFFF"/>
                <w:sz w:val="24"/>
                <w:szCs w:val="24"/>
                <w:lang w:val="en-IE" w:eastAsia="en-IE"/>
              </w:rPr>
              <w:t> </w:t>
            </w:r>
          </w:p>
        </w:tc>
        <w:tc>
          <w:tcPr>
            <w:tcW w:w="802" w:type="dxa"/>
            <w:tcBorders>
              <w:top w:val="single" w:sz="6" w:space="0" w:color="FFFFFF"/>
              <w:left w:val="single" w:sz="6" w:space="0" w:color="FFFFFF"/>
              <w:bottom w:val="single" w:sz="6" w:space="0" w:color="FFFFFF"/>
              <w:right w:val="single" w:sz="6" w:space="0" w:color="FFFFFF"/>
            </w:tcBorders>
            <w:shd w:val="clear" w:color="auto" w:fill="808080"/>
            <w:vAlign w:val="center"/>
            <w:hideMark/>
          </w:tcPr>
          <w:p w14:paraId="5DCFD85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4,692</w:t>
            </w:r>
            <w:r w:rsidRPr="00532C20">
              <w:rPr>
                <w:rFonts w:ascii="Times New Roman" w:eastAsia="Times" w:hAnsi="Times New Roman" w:cs="Times New Roman"/>
                <w:noProof/>
                <w:color w:val="FFFFFF"/>
                <w:sz w:val="24"/>
                <w:szCs w:val="24"/>
                <w:lang w:val="en-IE" w:eastAsia="en-IE"/>
              </w:rPr>
              <w:t> </w:t>
            </w:r>
          </w:p>
        </w:tc>
        <w:tc>
          <w:tcPr>
            <w:tcW w:w="434" w:type="dxa"/>
            <w:tcBorders>
              <w:top w:val="single" w:sz="6" w:space="0" w:color="FFFFFF"/>
              <w:left w:val="single" w:sz="6" w:space="0" w:color="FFFFFF"/>
              <w:bottom w:val="single" w:sz="6" w:space="0" w:color="FFFFFF"/>
              <w:right w:val="single" w:sz="6" w:space="0" w:color="FFFFFF"/>
            </w:tcBorders>
            <w:shd w:val="clear" w:color="auto" w:fill="808080"/>
            <w:vAlign w:val="center"/>
            <w:hideMark/>
          </w:tcPr>
          <w:p w14:paraId="09ABE38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228</w:t>
            </w:r>
            <w:r w:rsidRPr="00532C20">
              <w:rPr>
                <w:rFonts w:ascii="Times New Roman" w:eastAsia="Times" w:hAnsi="Times New Roman" w:cs="Times New Roman"/>
                <w:noProof/>
                <w:color w:val="FFFFFF"/>
                <w:sz w:val="24"/>
                <w:szCs w:val="24"/>
                <w:lang w:val="en-IE" w:eastAsia="en-IE"/>
              </w:rPr>
              <w:t> </w:t>
            </w:r>
          </w:p>
        </w:tc>
        <w:tc>
          <w:tcPr>
            <w:tcW w:w="699" w:type="dxa"/>
            <w:tcBorders>
              <w:top w:val="single" w:sz="6" w:space="0" w:color="FFFFFF"/>
              <w:left w:val="single" w:sz="6" w:space="0" w:color="FFFFFF"/>
              <w:bottom w:val="single" w:sz="6" w:space="0" w:color="FFFFFF"/>
              <w:right w:val="single" w:sz="6" w:space="0" w:color="FFFFFF"/>
            </w:tcBorders>
            <w:shd w:val="clear" w:color="auto" w:fill="808080"/>
            <w:vAlign w:val="center"/>
            <w:hideMark/>
          </w:tcPr>
          <w:p w14:paraId="22440B3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465</w:t>
            </w:r>
            <w:r w:rsidRPr="00532C20">
              <w:rPr>
                <w:rFonts w:ascii="Times New Roman" w:eastAsia="Times" w:hAnsi="Times New Roman" w:cs="Times New Roman"/>
                <w:noProof/>
                <w:color w:val="FFFFFF"/>
                <w:sz w:val="24"/>
                <w:szCs w:val="24"/>
                <w:lang w:val="en-IE" w:eastAsia="en-IE"/>
              </w:rPr>
              <w:t> </w:t>
            </w:r>
          </w:p>
        </w:tc>
        <w:tc>
          <w:tcPr>
            <w:tcW w:w="691" w:type="dxa"/>
            <w:tcBorders>
              <w:top w:val="single" w:sz="6" w:space="0" w:color="FFFFFF"/>
              <w:left w:val="single" w:sz="6" w:space="0" w:color="FFFFFF"/>
              <w:bottom w:val="single" w:sz="6" w:space="0" w:color="FFFFFF"/>
              <w:right w:val="single" w:sz="6" w:space="0" w:color="FFFFFF"/>
            </w:tcBorders>
            <w:shd w:val="clear" w:color="auto" w:fill="808080"/>
            <w:vAlign w:val="center"/>
            <w:hideMark/>
          </w:tcPr>
          <w:p w14:paraId="276FACD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5,314</w:t>
            </w:r>
            <w:r w:rsidRPr="00532C20">
              <w:rPr>
                <w:rFonts w:ascii="Times New Roman" w:eastAsia="Times" w:hAnsi="Times New Roman" w:cs="Times New Roman"/>
                <w:noProof/>
                <w:color w:val="FFFFFF"/>
                <w:sz w:val="24"/>
                <w:szCs w:val="24"/>
                <w:lang w:val="en-IE" w:eastAsia="en-IE"/>
              </w:rPr>
              <w:t> </w:t>
            </w:r>
          </w:p>
        </w:tc>
        <w:tc>
          <w:tcPr>
            <w:tcW w:w="825" w:type="dxa"/>
            <w:tcBorders>
              <w:top w:val="single" w:sz="6" w:space="0" w:color="FFFFFF"/>
              <w:left w:val="single" w:sz="6" w:space="0" w:color="FFFFFF"/>
              <w:bottom w:val="single" w:sz="6" w:space="0" w:color="FFFFFF"/>
              <w:right w:val="single" w:sz="6" w:space="0" w:color="FFFFFF"/>
            </w:tcBorders>
            <w:shd w:val="clear" w:color="auto" w:fill="808080"/>
            <w:vAlign w:val="center"/>
            <w:hideMark/>
          </w:tcPr>
          <w:p w14:paraId="0246050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12,199</w:t>
            </w:r>
            <w:r w:rsidRPr="00532C20">
              <w:rPr>
                <w:rFonts w:ascii="Times New Roman" w:eastAsia="Times" w:hAnsi="Times New Roman" w:cs="Times New Roman"/>
                <w:noProof/>
                <w:color w:val="FFFFFF"/>
                <w:sz w:val="24"/>
                <w:szCs w:val="24"/>
                <w:lang w:val="en-IE" w:eastAsia="en-IE"/>
              </w:rPr>
              <w:t> </w:t>
            </w:r>
          </w:p>
        </w:tc>
      </w:tr>
    </w:tbl>
    <w:p w14:paraId="570DF3A4" w14:textId="77777777" w:rsidR="009F2422" w:rsidRPr="00532C20" w:rsidRDefault="009F2422" w:rsidP="009F2422">
      <w:pPr>
        <w:spacing w:after="0" w:line="240" w:lineRule="auto"/>
        <w:ind w:left="284" w:hanging="284"/>
        <w:jc w:val="both"/>
        <w:textAlignment w:val="baseline"/>
        <w:rPr>
          <w:rFonts w:ascii="Times New Roman" w:eastAsia="Times" w:hAnsi="Times New Roman" w:cs="Times New Roman"/>
          <w:noProof/>
          <w:sz w:val="20"/>
          <w:szCs w:val="20"/>
          <w:lang w:val="en-IE" w:eastAsia="en-IE"/>
        </w:rPr>
      </w:pPr>
      <w:r w:rsidRPr="00532C20">
        <w:rPr>
          <w:rFonts w:ascii="Times New Roman" w:eastAsia="Times" w:hAnsi="Times New Roman" w:cs="Times New Roman"/>
          <w:noProof/>
          <w:sz w:val="20"/>
          <w:szCs w:val="20"/>
          <w:vertAlign w:val="superscript"/>
          <w:lang w:val="en-IE" w:eastAsia="en-IE"/>
        </w:rPr>
        <w:t>(1)</w:t>
      </w:r>
      <w:r w:rsidRPr="00532C20">
        <w:rPr>
          <w:rFonts w:ascii="Times New Roman" w:eastAsia="Times" w:hAnsi="Times New Roman" w:cs="Times New Roman"/>
          <w:noProof/>
          <w:sz w:val="20"/>
          <w:szCs w:val="20"/>
          <w:lang w:val="en-IE" w:eastAsia="en-IE"/>
        </w:rPr>
        <w:t xml:space="preserve"> </w:t>
      </w:r>
      <w:r w:rsidRPr="00532C20">
        <w:rPr>
          <w:rFonts w:ascii="Times New Roman" w:eastAsia="Times" w:hAnsi="Times New Roman" w:cs="Times New Roman"/>
          <w:noProof/>
          <w:sz w:val="20"/>
          <w:szCs w:val="20"/>
          <w:lang w:val="en-IE" w:eastAsia="en-IE"/>
        </w:rPr>
        <w:tab/>
        <w:t>Includes organisation under public law (e.g. corporations, institutions and foundations under public law). </w:t>
      </w:r>
    </w:p>
    <w:p w14:paraId="4D48C5E0" w14:textId="77777777" w:rsidR="009F2422" w:rsidRPr="00532C20" w:rsidRDefault="009F2422" w:rsidP="009F2422">
      <w:pPr>
        <w:spacing w:after="0" w:line="240" w:lineRule="auto"/>
        <w:ind w:left="284" w:hanging="284"/>
        <w:jc w:val="both"/>
        <w:textAlignment w:val="baseline"/>
        <w:rPr>
          <w:rFonts w:ascii="Times New Roman" w:eastAsia="Times" w:hAnsi="Times New Roman" w:cs="Times New Roman"/>
          <w:noProof/>
          <w:sz w:val="20"/>
          <w:szCs w:val="20"/>
          <w:lang w:val="en-IE" w:eastAsia="en-IE"/>
        </w:rPr>
      </w:pPr>
      <w:r w:rsidRPr="00532C20">
        <w:rPr>
          <w:rFonts w:ascii="Times New Roman" w:eastAsia="Times" w:hAnsi="Times New Roman" w:cs="Times New Roman"/>
          <w:noProof/>
          <w:sz w:val="20"/>
          <w:szCs w:val="20"/>
          <w:vertAlign w:val="superscript"/>
          <w:lang w:val="en-IE" w:eastAsia="en-IE"/>
        </w:rPr>
        <w:t>(2)</w:t>
      </w:r>
      <w:r w:rsidRPr="00532C20">
        <w:rPr>
          <w:rFonts w:ascii="Times New Roman" w:eastAsia="Times" w:hAnsi="Times New Roman" w:cs="Times New Roman"/>
          <w:noProof/>
          <w:sz w:val="20"/>
          <w:szCs w:val="20"/>
          <w:lang w:val="en-IE" w:eastAsia="en-IE"/>
        </w:rPr>
        <w:t xml:space="preserve"> </w:t>
      </w:r>
      <w:r w:rsidRPr="00532C20">
        <w:rPr>
          <w:rFonts w:ascii="Times New Roman" w:eastAsia="Times" w:hAnsi="Times New Roman" w:cs="Times New Roman"/>
          <w:noProof/>
          <w:sz w:val="20"/>
          <w:szCs w:val="20"/>
          <w:lang w:val="en-IE" w:eastAsia="en-IE"/>
        </w:rPr>
        <w:tab/>
        <w:t>Encompasses associations and foundations – associations could be representing any kind of interest. </w:t>
      </w:r>
    </w:p>
    <w:p w14:paraId="7BDC0068" w14:textId="77777777" w:rsidR="009F2422" w:rsidRPr="00532C20" w:rsidRDefault="009F2422" w:rsidP="009F2422">
      <w:pPr>
        <w:spacing w:after="0" w:line="240" w:lineRule="auto"/>
        <w:ind w:left="284" w:hanging="284"/>
        <w:jc w:val="both"/>
        <w:textAlignment w:val="baseline"/>
        <w:rPr>
          <w:rFonts w:ascii="Times New Roman" w:eastAsia="Times" w:hAnsi="Times New Roman" w:cs="Times New Roman"/>
          <w:noProof/>
          <w:sz w:val="20"/>
          <w:szCs w:val="20"/>
          <w:lang w:val="en-IE" w:eastAsia="en-IE"/>
        </w:rPr>
      </w:pPr>
      <w:r w:rsidRPr="00532C20">
        <w:rPr>
          <w:rFonts w:ascii="Times New Roman" w:eastAsia="Times" w:hAnsi="Times New Roman" w:cs="Times New Roman"/>
          <w:noProof/>
          <w:sz w:val="20"/>
          <w:szCs w:val="20"/>
          <w:vertAlign w:val="superscript"/>
          <w:lang w:val="en-IE" w:eastAsia="en-IE"/>
        </w:rPr>
        <w:t>(3)</w:t>
      </w:r>
      <w:r w:rsidRPr="00532C20">
        <w:rPr>
          <w:rFonts w:ascii="Times New Roman" w:eastAsia="Times" w:hAnsi="Times New Roman" w:cs="Times New Roman"/>
          <w:noProof/>
          <w:sz w:val="20"/>
          <w:szCs w:val="20"/>
          <w:lang w:val="en-IE" w:eastAsia="en-IE"/>
        </w:rPr>
        <w:t xml:space="preserve"> </w:t>
      </w:r>
      <w:r w:rsidRPr="00532C20">
        <w:rPr>
          <w:rFonts w:ascii="Times New Roman" w:eastAsia="Times" w:hAnsi="Times New Roman" w:cs="Times New Roman"/>
          <w:noProof/>
          <w:sz w:val="20"/>
          <w:szCs w:val="20"/>
          <w:lang w:val="en-IE" w:eastAsia="en-IE"/>
        </w:rPr>
        <w:tab/>
        <w:t>Encompasses companies and professional organisations. </w:t>
      </w:r>
    </w:p>
    <w:p w14:paraId="42089469" w14:textId="77777777" w:rsidR="009F2422" w:rsidRPr="00532C20" w:rsidRDefault="009F2422" w:rsidP="009F2422">
      <w:pPr>
        <w:spacing w:after="0" w:line="240" w:lineRule="auto"/>
        <w:ind w:left="284" w:hanging="284"/>
        <w:jc w:val="both"/>
        <w:textAlignment w:val="baseline"/>
        <w:rPr>
          <w:rFonts w:ascii="Times New Roman" w:eastAsia="Times" w:hAnsi="Times New Roman" w:cs="Times New Roman"/>
          <w:noProof/>
          <w:sz w:val="20"/>
          <w:szCs w:val="20"/>
          <w:lang w:val="en-IE" w:eastAsia="en-IE"/>
        </w:rPr>
      </w:pPr>
      <w:r w:rsidRPr="00532C20">
        <w:rPr>
          <w:rFonts w:ascii="Times New Roman" w:eastAsia="Times" w:hAnsi="Times New Roman" w:cs="Times New Roman"/>
          <w:noProof/>
          <w:sz w:val="20"/>
          <w:szCs w:val="20"/>
          <w:vertAlign w:val="superscript"/>
          <w:lang w:val="en-IE" w:eastAsia="en-IE"/>
        </w:rPr>
        <w:t>(4)</w:t>
      </w:r>
      <w:r w:rsidRPr="00532C20">
        <w:rPr>
          <w:rFonts w:ascii="Times New Roman" w:eastAsia="Times" w:hAnsi="Times New Roman" w:cs="Times New Roman"/>
          <w:noProof/>
          <w:sz w:val="20"/>
          <w:szCs w:val="20"/>
          <w:lang w:val="en-IE" w:eastAsia="en-IE"/>
        </w:rPr>
        <w:t xml:space="preserve"> </w:t>
      </w:r>
      <w:r w:rsidRPr="00532C20">
        <w:rPr>
          <w:rFonts w:ascii="Times New Roman" w:eastAsia="Times" w:hAnsi="Times New Roman" w:cs="Times New Roman"/>
          <w:noProof/>
          <w:sz w:val="20"/>
          <w:szCs w:val="20"/>
          <w:lang w:val="en-IE" w:eastAsia="en-IE"/>
        </w:rPr>
        <w:tab/>
        <w:t>Includes Agribusiness, Aerospace, Construction, Defence, Retail Telecommunications, Transport. </w:t>
      </w:r>
    </w:p>
    <w:p w14:paraId="5E325915" w14:textId="77777777" w:rsidR="009F2422" w:rsidRPr="00532C20" w:rsidRDefault="009F2422" w:rsidP="009F2422">
      <w:pPr>
        <w:spacing w:after="0" w:line="240" w:lineRule="auto"/>
        <w:ind w:left="284" w:hanging="284"/>
        <w:jc w:val="both"/>
        <w:textAlignment w:val="baseline"/>
        <w:rPr>
          <w:rFonts w:ascii="Times New Roman" w:eastAsia="Times" w:hAnsi="Times New Roman" w:cs="Times New Roman"/>
          <w:noProof/>
          <w:sz w:val="20"/>
          <w:szCs w:val="20"/>
          <w:lang w:val="en-IE" w:eastAsia="en-IE"/>
        </w:rPr>
      </w:pPr>
      <w:r w:rsidRPr="00532C20">
        <w:rPr>
          <w:rFonts w:ascii="Times New Roman" w:eastAsia="Times" w:hAnsi="Times New Roman" w:cs="Times New Roman"/>
          <w:noProof/>
          <w:sz w:val="20"/>
          <w:szCs w:val="20"/>
          <w:vertAlign w:val="superscript"/>
          <w:lang w:val="en-IE" w:eastAsia="en-IE"/>
        </w:rPr>
        <w:t>(5)</w:t>
      </w:r>
      <w:r w:rsidRPr="00532C20">
        <w:rPr>
          <w:rFonts w:ascii="Times New Roman" w:eastAsia="Times" w:hAnsi="Times New Roman" w:cs="Times New Roman"/>
          <w:noProof/>
          <w:sz w:val="20"/>
          <w:szCs w:val="20"/>
          <w:lang w:val="en-IE" w:eastAsia="en-IE"/>
        </w:rPr>
        <w:t xml:space="preserve"> </w:t>
      </w:r>
      <w:r w:rsidRPr="00532C20">
        <w:rPr>
          <w:rFonts w:ascii="Times New Roman" w:eastAsia="Times" w:hAnsi="Times New Roman" w:cs="Times New Roman"/>
          <w:noProof/>
          <w:sz w:val="20"/>
          <w:szCs w:val="20"/>
          <w:lang w:val="en-IE" w:eastAsia="en-IE"/>
        </w:rPr>
        <w:tab/>
        <w:t>Includes NGOs. </w:t>
      </w:r>
    </w:p>
    <w:p w14:paraId="4C906BC5" w14:textId="77777777" w:rsidR="009F2422" w:rsidRPr="00532C20" w:rsidRDefault="009F2422" w:rsidP="009F2422">
      <w:pPr>
        <w:spacing w:after="0" w:line="240" w:lineRule="auto"/>
        <w:ind w:left="284" w:hanging="284"/>
        <w:jc w:val="both"/>
        <w:textAlignment w:val="baseline"/>
        <w:rPr>
          <w:rFonts w:ascii="Times New Roman" w:eastAsia="Times" w:hAnsi="Times New Roman" w:cs="Times New Roman"/>
          <w:noProof/>
          <w:sz w:val="20"/>
          <w:szCs w:val="20"/>
          <w:lang w:val="en-IE" w:eastAsia="en-IE"/>
        </w:rPr>
      </w:pPr>
      <w:r w:rsidRPr="00532C20">
        <w:rPr>
          <w:rFonts w:ascii="Times New Roman" w:eastAsia="Times" w:hAnsi="Times New Roman" w:cs="Times New Roman"/>
          <w:noProof/>
          <w:sz w:val="20"/>
          <w:szCs w:val="20"/>
          <w:vertAlign w:val="superscript"/>
          <w:lang w:val="en-IE" w:eastAsia="en-IE"/>
        </w:rPr>
        <w:t>(6)</w:t>
      </w:r>
      <w:r w:rsidRPr="00532C20">
        <w:rPr>
          <w:rFonts w:ascii="Times New Roman" w:eastAsia="Times" w:hAnsi="Times New Roman" w:cs="Times New Roman"/>
          <w:noProof/>
          <w:sz w:val="20"/>
          <w:szCs w:val="20"/>
          <w:lang w:val="en-IE" w:eastAsia="en-IE"/>
        </w:rPr>
        <w:t xml:space="preserve"> </w:t>
      </w:r>
      <w:r w:rsidRPr="00532C20">
        <w:rPr>
          <w:rFonts w:ascii="Times New Roman" w:eastAsia="Times" w:hAnsi="Times New Roman" w:cs="Times New Roman"/>
          <w:noProof/>
          <w:sz w:val="20"/>
          <w:szCs w:val="20"/>
          <w:lang w:val="en-IE" w:eastAsia="en-IE"/>
        </w:rPr>
        <w:tab/>
        <w:t>Includes Companies and groups, Trade and trade association, Trade unions and professional associations. </w:t>
      </w:r>
    </w:p>
    <w:p w14:paraId="4D314843" w14:textId="77777777" w:rsidR="00055B60" w:rsidRPr="00532C20" w:rsidRDefault="00055B60" w:rsidP="009F2422">
      <w:pPr>
        <w:spacing w:after="0" w:line="240" w:lineRule="auto"/>
        <w:ind w:left="284" w:hanging="284"/>
        <w:jc w:val="both"/>
        <w:textAlignment w:val="baseline"/>
        <w:rPr>
          <w:rFonts w:ascii="Times New Roman" w:eastAsia="Times" w:hAnsi="Times New Roman" w:cs="Times New Roman"/>
          <w:noProof/>
          <w:sz w:val="20"/>
          <w:szCs w:val="20"/>
          <w:lang w:val="en-IE" w:eastAsia="en-IE"/>
        </w:rPr>
      </w:pPr>
    </w:p>
    <w:p w14:paraId="5B83490B" w14:textId="4C02CBDD" w:rsidR="009F2422" w:rsidRPr="00532C20" w:rsidRDefault="009F2422" w:rsidP="002B0B48">
      <w:pPr>
        <w:pStyle w:val="ListParagraph"/>
        <w:numPr>
          <w:ilvl w:val="1"/>
          <w:numId w:val="76"/>
        </w:numPr>
        <w:rPr>
          <w:b/>
          <w:bCs/>
          <w:noProof/>
          <w:u w:val="single"/>
        </w:rPr>
      </w:pPr>
      <w:r w:rsidRPr="00532C20">
        <w:rPr>
          <w:rFonts w:ascii="Times New Roman" w:hAnsi="Times New Roman" w:cs="Times New Roman"/>
          <w:b/>
          <w:bCs/>
          <w:noProof/>
          <w:u w:val="single"/>
          <w:lang w:val="en-IE" w:eastAsia="en-IE"/>
        </w:rPr>
        <w:t xml:space="preserve">The </w:t>
      </w:r>
      <w:r w:rsidR="002E490B">
        <w:rPr>
          <w:rFonts w:ascii="Times New Roman" w:hAnsi="Times New Roman" w:cs="Times New Roman"/>
          <w:b/>
          <w:bCs/>
          <w:noProof/>
          <w:u w:val="single"/>
          <w:lang w:val="en-IE" w:eastAsia="en-IE"/>
        </w:rPr>
        <w:t>internal</w:t>
      </w:r>
      <w:r w:rsidR="002E490B" w:rsidRPr="00532C20">
        <w:rPr>
          <w:rFonts w:ascii="Times New Roman" w:hAnsi="Times New Roman" w:cs="Times New Roman"/>
          <w:b/>
          <w:bCs/>
          <w:noProof/>
          <w:u w:val="single"/>
          <w:lang w:val="en-IE" w:eastAsia="en-IE"/>
        </w:rPr>
        <w:t xml:space="preserve"> </w:t>
      </w:r>
      <w:r w:rsidRPr="00532C20">
        <w:rPr>
          <w:rFonts w:ascii="Times New Roman" w:hAnsi="Times New Roman" w:cs="Times New Roman"/>
          <w:b/>
          <w:bCs/>
          <w:noProof/>
          <w:u w:val="single"/>
          <w:lang w:val="en-IE" w:eastAsia="en-IE"/>
        </w:rPr>
        <w:t>market for the provision of interest representation activities</w:t>
      </w:r>
    </w:p>
    <w:p w14:paraId="3AC4F1BC" w14:textId="77777777" w:rsidR="00EF6169" w:rsidRPr="00532C20" w:rsidRDefault="00EF6169" w:rsidP="00EF6169">
      <w:pPr>
        <w:pStyle w:val="ListParagraph"/>
        <w:ind w:left="360"/>
        <w:rPr>
          <w:noProof/>
        </w:rPr>
      </w:pPr>
    </w:p>
    <w:p w14:paraId="56961B16" w14:textId="2253CAC2" w:rsidR="009F2422" w:rsidRPr="00532C20" w:rsidRDefault="009F2422" w:rsidP="009F2422">
      <w:pPr>
        <w:spacing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Based on available data, the sub-sections below provide a selection of affected entities in EU27: 1) enterprises that deliver public relations and communication activities, 2) think tanks and 3) CSOs. Data notably shows that most of those entities are found in France, Belgium, Germany, Italy and Sweden, i.e. suggesting that those countries would most likely be most affected by the preferred</w:t>
      </w:r>
      <w:r w:rsidRPr="00532C20" w:rsidDel="00116236">
        <w:rPr>
          <w:rFonts w:ascii="Times New Roman" w:eastAsia="Times" w:hAnsi="Times New Roman" w:cs="Times New Roman"/>
          <w:noProof/>
          <w:sz w:val="24"/>
          <w:szCs w:val="24"/>
          <w:lang w:val="en-IE" w:eastAsia="en-IE"/>
        </w:rPr>
        <w:t xml:space="preserve"> </w:t>
      </w:r>
      <w:r w:rsidRPr="00532C20">
        <w:rPr>
          <w:rFonts w:ascii="Times New Roman" w:eastAsia="Times" w:hAnsi="Times New Roman" w:cs="Times New Roman"/>
          <w:noProof/>
          <w:sz w:val="24"/>
          <w:szCs w:val="24"/>
          <w:lang w:val="en-IE" w:eastAsia="en-IE"/>
        </w:rPr>
        <w:t>policy option.  </w:t>
      </w:r>
    </w:p>
    <w:tbl>
      <w:tblPr>
        <w:tblStyle w:val="Deloitte11"/>
        <w:tblW w:w="8617" w:type="dxa"/>
        <w:tblLook w:val="04A0" w:firstRow="1" w:lastRow="0" w:firstColumn="1" w:lastColumn="0" w:noHBand="0" w:noVBand="1"/>
      </w:tblPr>
      <w:tblGrid>
        <w:gridCol w:w="8617"/>
      </w:tblGrid>
      <w:tr w:rsidR="009F2422" w:rsidRPr="00532C20" w14:paraId="4C8B306C" w14:textId="77777777">
        <w:trPr>
          <w:trHeight w:val="300"/>
        </w:trPr>
        <w:tc>
          <w:tcPr>
            <w:tcW w:w="8617" w:type="dxa"/>
            <w:hideMark/>
          </w:tcPr>
          <w:p w14:paraId="579A1101" w14:textId="77777777" w:rsidR="009F2422" w:rsidRPr="00532C20" w:rsidRDefault="009F2422">
            <w:pPr>
              <w:jc w:val="both"/>
              <w:textAlignment w:val="baseline"/>
              <w:rPr>
                <w:rFonts w:ascii="Times New Roman" w:eastAsia="Times" w:hAnsi="Times New Roman" w:cs="Times New Roman"/>
                <w:noProof/>
                <w:lang w:val="en-IE" w:eastAsia="en-IE"/>
              </w:rPr>
            </w:pPr>
            <w:r w:rsidRPr="00532C20">
              <w:rPr>
                <w:rFonts w:ascii="Times New Roman" w:eastAsia="Times" w:hAnsi="Times New Roman" w:cs="Times New Roman"/>
                <w:noProof/>
                <w:lang w:val="en-IE" w:eastAsia="en-IE"/>
              </w:rPr>
              <w:t>Data and method limitations </w:t>
            </w:r>
          </w:p>
        </w:tc>
      </w:tr>
      <w:tr w:rsidR="009F2422" w:rsidRPr="00532C20" w14:paraId="05EF1AFF" w14:textId="77777777">
        <w:trPr>
          <w:trHeight w:val="300"/>
        </w:trPr>
        <w:tc>
          <w:tcPr>
            <w:tcW w:w="8617" w:type="dxa"/>
            <w:hideMark/>
          </w:tcPr>
          <w:p w14:paraId="12CD9001" w14:textId="77777777" w:rsidR="009F2422" w:rsidRPr="00532C20" w:rsidRDefault="009F2422">
            <w:pPr>
              <w:spacing w:after="120"/>
              <w:jc w:val="both"/>
              <w:textAlignment w:val="baseline"/>
              <w:rPr>
                <w:rFonts w:ascii="Times New Roman" w:eastAsia="Times" w:hAnsi="Times New Roman" w:cs="Times New Roman"/>
                <w:noProof/>
                <w:lang w:val="en-IE" w:eastAsia="en-IE"/>
              </w:rPr>
            </w:pPr>
            <w:r w:rsidRPr="00532C20">
              <w:rPr>
                <w:rFonts w:ascii="Times New Roman" w:eastAsia="Times" w:hAnsi="Times New Roman" w:cs="Times New Roman"/>
                <w:noProof/>
                <w:lang w:val="en-IE" w:eastAsia="en-IE"/>
              </w:rPr>
              <w:t>The first caveat is that within each category of stakeholders that delivers interest representation and/or political services or activities, the sub-category that does so for governments and state-linked entities / individuals specifically is unknown. Moreover: </w:t>
            </w:r>
          </w:p>
          <w:p w14:paraId="731A37FF" w14:textId="77777777" w:rsidR="009F2422" w:rsidRPr="00532C20" w:rsidRDefault="009F2422">
            <w:pPr>
              <w:pStyle w:val="ListParagraph"/>
              <w:numPr>
                <w:ilvl w:val="0"/>
                <w:numId w:val="14"/>
              </w:numPr>
              <w:spacing w:after="200"/>
              <w:contextualSpacing w:val="0"/>
              <w:jc w:val="both"/>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NACE code M70.21 of the Eurostat’s Structural Business Statistics (SBS) provides data on the number of enterprises conducting ‘Public relations and communication activities’. However, enterprises that deliver public relations and communication activities also provide such services for corporate clients (not only to the public sector and individuals) for business purposes, that are unrelated to influencing the democratic sphere. It has not been possible to distinguish them by size class either, to assess the proportion of SMEs in the market. </w:t>
            </w:r>
          </w:p>
          <w:p w14:paraId="4FE33656" w14:textId="77777777" w:rsidR="009F2422" w:rsidRPr="00532C20" w:rsidRDefault="009F2422">
            <w:pPr>
              <w:pStyle w:val="ListParagraph"/>
              <w:numPr>
                <w:ilvl w:val="0"/>
                <w:numId w:val="14"/>
              </w:numPr>
              <w:spacing w:after="200"/>
              <w:contextualSpacing w:val="0"/>
              <w:jc w:val="both"/>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Data on the number of think tanks per Member State have been extracted from the 2020 Global Go To Think Tank Report. The dataset does not allow distinguishing the proportion of think tanks listed that are 1) corporate (i.e. for-profit affiliated with a corporation or operating on a for-profit basis), 2) those that are government-affiliated, 3) those that are university-affiliated, and those that are 4) political party-affiliated. </w:t>
            </w:r>
          </w:p>
          <w:p w14:paraId="5AA84F17" w14:textId="0396366B" w:rsidR="009F2422" w:rsidRPr="00532C20" w:rsidRDefault="009F2422">
            <w:pPr>
              <w:pStyle w:val="ListParagraph"/>
              <w:numPr>
                <w:ilvl w:val="0"/>
                <w:numId w:val="14"/>
              </w:numPr>
              <w:contextualSpacing w:val="0"/>
              <w:jc w:val="both"/>
              <w:textAlignment w:val="baseline"/>
              <w:rPr>
                <w:rFonts w:ascii="Times New Roman" w:hAnsi="Times New Roman" w:cs="Times New Roman"/>
                <w:noProof/>
                <w:lang w:val="en-IE" w:eastAsia="en-IE"/>
              </w:rPr>
            </w:pPr>
            <w:r w:rsidRPr="00532C20">
              <w:rPr>
                <w:rFonts w:ascii="Times New Roman" w:hAnsi="Times New Roman" w:cs="Times New Roman"/>
                <w:noProof/>
                <w:lang w:val="en-IE" w:eastAsia="en-IE"/>
              </w:rPr>
              <w:t xml:space="preserve">Data on the size of the CSO sector in </w:t>
            </w:r>
            <w:r w:rsidR="006F5DDE">
              <w:rPr>
                <w:rFonts w:ascii="Times New Roman" w:hAnsi="Times New Roman" w:cs="Times New Roman"/>
                <w:noProof/>
                <w:lang w:val="en-IE" w:eastAsia="en-IE"/>
              </w:rPr>
              <w:t>the internal market</w:t>
            </w:r>
            <w:r w:rsidR="006F5DDE" w:rsidRPr="00532C20">
              <w:rPr>
                <w:rFonts w:ascii="Times New Roman" w:hAnsi="Times New Roman" w:cs="Times New Roman"/>
                <w:noProof/>
                <w:lang w:val="en-IE" w:eastAsia="en-IE"/>
              </w:rPr>
              <w:t xml:space="preserve"> </w:t>
            </w:r>
            <w:r w:rsidRPr="00532C20">
              <w:rPr>
                <w:rFonts w:ascii="Times New Roman" w:hAnsi="Times New Roman" w:cs="Times New Roman"/>
                <w:noProof/>
                <w:lang w:val="en-IE" w:eastAsia="en-IE"/>
              </w:rPr>
              <w:t>presented here is based on a compilation of data provided in factsheets developed within the context of a study to support the Citizens, Equality, Rights and Values (CERV) programme on the environment for CSOs in each country. Given important data variations, e.g. source years, types of entities covered, definition of civil society, the data is to be considered as indicative. In particular, it is not clear in many cases if think tanks and educational institutions are included. </w:t>
            </w:r>
          </w:p>
        </w:tc>
      </w:tr>
    </w:tbl>
    <w:p w14:paraId="40EB62DB" w14:textId="77777777" w:rsidR="009F2422" w:rsidRPr="00532C20" w:rsidRDefault="009F2422" w:rsidP="009F2422">
      <w:pPr>
        <w:spacing w:before="24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By combining the data on: i) public relations and communications enterprises; ii) non-profit organisations; and iii) think tanks, the following table presents a proxy for the total number of possible interest representation service providers per Member State. However, this should be viewed with the abovementioned caveats and limitations in mind. </w:t>
      </w:r>
    </w:p>
    <w:p w14:paraId="213C4A92" w14:textId="77777777" w:rsidR="009F2422" w:rsidRPr="00532C20" w:rsidRDefault="009F2422" w:rsidP="009F2422">
      <w:pPr>
        <w:spacing w:line="240" w:lineRule="auto"/>
        <w:jc w:val="both"/>
        <w:textAlignment w:val="baseline"/>
        <w:rPr>
          <w:rFonts w:ascii="Times New Roman" w:eastAsia="Times" w:hAnsi="Times New Roman" w:cs="Times New Roman"/>
          <w:b/>
          <w:noProof/>
          <w:sz w:val="24"/>
          <w:szCs w:val="24"/>
          <w:lang w:val="en-IE" w:eastAsia="en-IE"/>
        </w:rPr>
      </w:pPr>
      <w:r w:rsidRPr="00532C20">
        <w:rPr>
          <w:rFonts w:ascii="Times New Roman" w:eastAsia="Times" w:hAnsi="Times New Roman" w:cs="Times New Roman"/>
          <w:b/>
          <w:noProof/>
          <w:sz w:val="24"/>
          <w:szCs w:val="24"/>
          <w:lang w:val="en-IE" w:eastAsia="en-IE"/>
        </w:rPr>
        <w:t>Estimates of the number of interest representation service providers, EU-27 </w:t>
      </w:r>
    </w:p>
    <w:tbl>
      <w:tblPr>
        <w:tblW w:w="86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9"/>
        <w:gridCol w:w="2318"/>
        <w:gridCol w:w="2006"/>
        <w:gridCol w:w="1716"/>
        <w:gridCol w:w="1185"/>
      </w:tblGrid>
      <w:tr w:rsidR="009F2422" w:rsidRPr="00532C20" w14:paraId="53F7C3A0"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002060"/>
            <w:hideMark/>
          </w:tcPr>
          <w:p w14:paraId="210582CE" w14:textId="77777777" w:rsidR="009F2422" w:rsidRPr="00532C20" w:rsidRDefault="009F2422">
            <w:pPr>
              <w:spacing w:after="0" w:line="240" w:lineRule="auto"/>
              <w:jc w:val="both"/>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sz w:val="24"/>
                <w:szCs w:val="24"/>
                <w:lang w:val="en-IE" w:eastAsia="en-IE"/>
              </w:rPr>
              <w:t>Country</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002060"/>
            <w:hideMark/>
          </w:tcPr>
          <w:p w14:paraId="6B77E26A" w14:textId="77777777" w:rsidR="009F2422" w:rsidRPr="00532C20" w:rsidRDefault="009F2422">
            <w:pPr>
              <w:spacing w:after="0" w:line="240" w:lineRule="auto"/>
              <w:jc w:val="both"/>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sz w:val="24"/>
                <w:szCs w:val="24"/>
                <w:lang w:val="en-IE" w:eastAsia="en-IE"/>
              </w:rPr>
              <w:t>PR and communications (M70.21) – 2020</w:t>
            </w:r>
            <w:r w:rsidRPr="00532C20">
              <w:rPr>
                <w:rFonts w:ascii="Times New Roman" w:eastAsia="Times" w:hAnsi="Times New Roman" w:cs="Times New Roman"/>
                <w:b/>
                <w:noProof/>
                <w:sz w:val="24"/>
                <w:szCs w:val="24"/>
                <w:vertAlign w:val="superscript"/>
                <w:lang w:val="en-IE" w:eastAsia="en-IE"/>
              </w:rPr>
              <w:t>(4)</w:t>
            </w:r>
            <w:r w:rsidRPr="00532C20">
              <w:rPr>
                <w:rFonts w:ascii="Times New Roman" w:eastAsia="Times" w:hAnsi="Times New Roman" w:cs="Times New Roman"/>
                <w:noProof/>
                <w:sz w:val="24"/>
                <w:szCs w:val="24"/>
                <w:lang w:val="en-IE" w:eastAsia="en-IE"/>
              </w:rPr>
              <w:t> </w:t>
            </w:r>
          </w:p>
        </w:tc>
        <w:tc>
          <w:tcPr>
            <w:tcW w:w="2013" w:type="dxa"/>
            <w:tcBorders>
              <w:top w:val="single" w:sz="6" w:space="0" w:color="FFFFFF"/>
              <w:left w:val="single" w:sz="6" w:space="0" w:color="FFFFFF"/>
              <w:bottom w:val="single" w:sz="6" w:space="0" w:color="FFFFFF"/>
              <w:right w:val="single" w:sz="6" w:space="0" w:color="FFFFFF"/>
            </w:tcBorders>
            <w:shd w:val="clear" w:color="auto" w:fill="002060"/>
            <w:hideMark/>
          </w:tcPr>
          <w:p w14:paraId="7135E495" w14:textId="77777777" w:rsidR="009F2422" w:rsidRPr="00532C20" w:rsidRDefault="009F2422">
            <w:pPr>
              <w:spacing w:after="0" w:line="240" w:lineRule="auto"/>
              <w:jc w:val="both"/>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sz w:val="24"/>
                <w:szCs w:val="24"/>
                <w:lang w:val="en-IE" w:eastAsia="en-IE"/>
              </w:rPr>
              <w:t>CSOs – mixed source years</w:t>
            </w:r>
            <w:r w:rsidRPr="00532C20">
              <w:rPr>
                <w:rFonts w:ascii="Times New Roman" w:eastAsia="Times" w:hAnsi="Times New Roman" w:cs="Times New Roman"/>
                <w:b/>
                <w:noProof/>
                <w:sz w:val="24"/>
                <w:szCs w:val="24"/>
                <w:vertAlign w:val="superscript"/>
                <w:lang w:val="en-IE" w:eastAsia="en-IE"/>
              </w:rPr>
              <w:t>(5)</w:t>
            </w:r>
            <w:r w:rsidRPr="00532C20">
              <w:rPr>
                <w:rFonts w:ascii="Times New Roman" w:eastAsia="Times" w:hAnsi="Times New Roman" w:cs="Times New Roman"/>
                <w:noProof/>
                <w:sz w:val="24"/>
                <w:szCs w:val="24"/>
                <w:lang w:val="en-IE" w:eastAsia="en-IE"/>
              </w:rPr>
              <w:t> </w:t>
            </w:r>
          </w:p>
        </w:tc>
        <w:tc>
          <w:tcPr>
            <w:tcW w:w="1724" w:type="dxa"/>
            <w:tcBorders>
              <w:top w:val="single" w:sz="6" w:space="0" w:color="FFFFFF"/>
              <w:left w:val="single" w:sz="6" w:space="0" w:color="FFFFFF"/>
              <w:bottom w:val="single" w:sz="6" w:space="0" w:color="FFFFFF"/>
              <w:right w:val="single" w:sz="6" w:space="0" w:color="FFFFFF"/>
            </w:tcBorders>
            <w:shd w:val="clear" w:color="auto" w:fill="002060"/>
            <w:hideMark/>
          </w:tcPr>
          <w:p w14:paraId="3B8F0D82" w14:textId="77777777" w:rsidR="009F2422" w:rsidRPr="00532C20" w:rsidRDefault="009F2422">
            <w:pPr>
              <w:spacing w:after="0" w:line="240" w:lineRule="auto"/>
              <w:jc w:val="both"/>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sz w:val="24"/>
                <w:szCs w:val="24"/>
                <w:lang w:val="en-IE" w:eastAsia="en-IE"/>
              </w:rPr>
              <w:t>Think Tanks – 2020</w:t>
            </w:r>
            <w:r w:rsidRPr="00532C20">
              <w:rPr>
                <w:rFonts w:ascii="Times New Roman" w:eastAsia="Times" w:hAnsi="Times New Roman" w:cs="Times New Roman"/>
                <w:noProof/>
                <w:sz w:val="24"/>
                <w:szCs w:val="24"/>
                <w:lang w:val="en-IE" w:eastAsia="en-IE"/>
              </w:rPr>
              <w:t> </w:t>
            </w:r>
          </w:p>
        </w:tc>
        <w:tc>
          <w:tcPr>
            <w:tcW w:w="1186" w:type="dxa"/>
            <w:tcBorders>
              <w:top w:val="single" w:sz="6" w:space="0" w:color="FFFFFF"/>
              <w:left w:val="single" w:sz="6" w:space="0" w:color="FFFFFF"/>
              <w:bottom w:val="single" w:sz="6" w:space="0" w:color="FFFFFF"/>
              <w:right w:val="single" w:sz="6" w:space="0" w:color="FFFFFF"/>
            </w:tcBorders>
            <w:shd w:val="clear" w:color="auto" w:fill="002060"/>
            <w:hideMark/>
          </w:tcPr>
          <w:p w14:paraId="7A0604EC" w14:textId="77777777" w:rsidR="009F2422" w:rsidRPr="00532C20" w:rsidRDefault="009F2422">
            <w:pPr>
              <w:spacing w:after="0" w:line="240" w:lineRule="auto"/>
              <w:jc w:val="both"/>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sz w:val="24"/>
                <w:szCs w:val="24"/>
                <w:lang w:val="en-IE" w:eastAsia="en-IE"/>
              </w:rPr>
              <w:t>Total</w:t>
            </w:r>
            <w:r w:rsidRPr="00532C20">
              <w:rPr>
                <w:rFonts w:ascii="Times New Roman" w:eastAsia="Times" w:hAnsi="Times New Roman" w:cs="Times New Roman"/>
                <w:noProof/>
                <w:sz w:val="24"/>
                <w:szCs w:val="24"/>
                <w:lang w:val="en-IE" w:eastAsia="en-IE"/>
              </w:rPr>
              <w:t> </w:t>
            </w:r>
          </w:p>
        </w:tc>
      </w:tr>
      <w:tr w:rsidR="009F2422" w:rsidRPr="00532C20" w14:paraId="36CE2B2F"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6318AE8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Austria</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44ED913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1,200 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68E7FE8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117,000 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271D942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86 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34C9A51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118,286</w:t>
            </w:r>
            <w:r w:rsidRPr="00532C20">
              <w:rPr>
                <w:rFonts w:ascii="Times New Roman" w:eastAsia="Times" w:hAnsi="Times New Roman" w:cs="Times New Roman"/>
                <w:noProof/>
                <w:sz w:val="24"/>
                <w:szCs w:val="24"/>
                <w:lang w:val="en-IE" w:eastAsia="en-IE"/>
              </w:rPr>
              <w:t> </w:t>
            </w:r>
          </w:p>
        </w:tc>
      </w:tr>
      <w:tr w:rsidR="009F2422" w:rsidRPr="00532C20" w14:paraId="4F5B6D05"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1E5B71C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Belgium</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3528D8F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7,431 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7B18C80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109,930 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00BFCE1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85 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59528F9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117,446</w:t>
            </w:r>
            <w:r w:rsidRPr="00532C20">
              <w:rPr>
                <w:rFonts w:ascii="Times New Roman" w:eastAsia="Times" w:hAnsi="Times New Roman" w:cs="Times New Roman"/>
                <w:noProof/>
                <w:sz w:val="24"/>
                <w:szCs w:val="24"/>
                <w:lang w:val="en-IE" w:eastAsia="en-IE"/>
              </w:rPr>
              <w:t> </w:t>
            </w:r>
          </w:p>
        </w:tc>
      </w:tr>
      <w:tr w:rsidR="009F2422" w:rsidRPr="00532C20" w14:paraId="1AF88814"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017243F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Bulgaria</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17A62AD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404 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5CC5E78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13,736 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2F4FE33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47 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26CCD44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14,187</w:t>
            </w:r>
            <w:r w:rsidRPr="00532C20">
              <w:rPr>
                <w:rFonts w:ascii="Times New Roman" w:eastAsia="Times" w:hAnsi="Times New Roman" w:cs="Times New Roman"/>
                <w:noProof/>
                <w:sz w:val="24"/>
                <w:szCs w:val="24"/>
                <w:lang w:val="en-IE" w:eastAsia="en-IE"/>
              </w:rPr>
              <w:t> </w:t>
            </w:r>
          </w:p>
        </w:tc>
      </w:tr>
      <w:tr w:rsidR="009F2422" w:rsidRPr="00532C20" w14:paraId="018DDE5A"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4B892A6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Croatia</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682C81A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171 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0E77453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28,103 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10A6ABB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20 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651569E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28,294</w:t>
            </w:r>
            <w:r w:rsidRPr="00532C20">
              <w:rPr>
                <w:rFonts w:ascii="Times New Roman" w:eastAsia="Times" w:hAnsi="Times New Roman" w:cs="Times New Roman"/>
                <w:noProof/>
                <w:sz w:val="24"/>
                <w:szCs w:val="24"/>
                <w:lang w:val="en-IE" w:eastAsia="en-IE"/>
              </w:rPr>
              <w:t> </w:t>
            </w:r>
          </w:p>
        </w:tc>
      </w:tr>
      <w:tr w:rsidR="009F2422" w:rsidRPr="00532C20" w14:paraId="097DE70A"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3A97E51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Cyprus</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703C2DE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40 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4FBA8D2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6,500 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42C4EF1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1815703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6,548</w:t>
            </w:r>
            <w:r w:rsidRPr="00532C20">
              <w:rPr>
                <w:rFonts w:ascii="Times New Roman" w:eastAsia="Times" w:hAnsi="Times New Roman" w:cs="Times New Roman"/>
                <w:noProof/>
                <w:sz w:val="24"/>
                <w:szCs w:val="24"/>
                <w:lang w:val="en-IE" w:eastAsia="en-IE"/>
              </w:rPr>
              <w:t> </w:t>
            </w:r>
          </w:p>
        </w:tc>
      </w:tr>
      <w:tr w:rsidR="009F2422" w:rsidRPr="00532C20" w14:paraId="68803C40"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3E1518F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Czechia</w:t>
            </w:r>
            <w:r w:rsidRPr="00532C20">
              <w:rPr>
                <w:rFonts w:ascii="Times New Roman" w:eastAsia="Times" w:hAnsi="Times New Roman" w:cs="Times New Roman"/>
                <w:b/>
                <w:noProof/>
                <w:sz w:val="24"/>
                <w:szCs w:val="24"/>
                <w:vertAlign w:val="superscript"/>
                <w:lang w:val="en-IE" w:eastAsia="en-IE"/>
              </w:rPr>
              <w:t>(1)</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4A6A92C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3,444 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758D526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92,566 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499F142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39 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76D51B2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96,049</w:t>
            </w:r>
            <w:r w:rsidRPr="00532C20">
              <w:rPr>
                <w:rFonts w:ascii="Times New Roman" w:eastAsia="Times" w:hAnsi="Times New Roman" w:cs="Times New Roman"/>
                <w:noProof/>
                <w:sz w:val="24"/>
                <w:szCs w:val="24"/>
                <w:lang w:val="en-IE" w:eastAsia="en-IE"/>
              </w:rPr>
              <w:t> </w:t>
            </w:r>
          </w:p>
        </w:tc>
      </w:tr>
      <w:tr w:rsidR="009F2422" w:rsidRPr="00532C20" w14:paraId="237E893E"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1A94585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Denmark</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480EBDF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1,393 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789A0F2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100,000 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49436ED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52 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3B00A9C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101,445</w:t>
            </w:r>
            <w:r w:rsidRPr="00532C20">
              <w:rPr>
                <w:rFonts w:ascii="Times New Roman" w:eastAsia="Times" w:hAnsi="Times New Roman" w:cs="Times New Roman"/>
                <w:noProof/>
                <w:sz w:val="24"/>
                <w:szCs w:val="24"/>
                <w:lang w:val="en-IE" w:eastAsia="en-IE"/>
              </w:rPr>
              <w:t> </w:t>
            </w:r>
          </w:p>
        </w:tc>
      </w:tr>
      <w:tr w:rsidR="009F2422" w:rsidRPr="00532C20" w14:paraId="42A78C29"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4863E7B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Estonia</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3BBD294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159 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62E6564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23,598 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39898DF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24 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6D17BC8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23,781</w:t>
            </w:r>
            <w:r w:rsidRPr="00532C20">
              <w:rPr>
                <w:rFonts w:ascii="Times New Roman" w:eastAsia="Times" w:hAnsi="Times New Roman" w:cs="Times New Roman"/>
                <w:noProof/>
                <w:sz w:val="24"/>
                <w:szCs w:val="24"/>
                <w:lang w:val="en-IE" w:eastAsia="en-IE"/>
              </w:rPr>
              <w:t> </w:t>
            </w:r>
          </w:p>
        </w:tc>
      </w:tr>
      <w:tr w:rsidR="009F2422" w:rsidRPr="00532C20" w14:paraId="774727CF"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30B8DEE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Finland</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3F4D28B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830 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0E20405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108,594 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0651ECA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41 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0FEFA2D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109,465</w:t>
            </w:r>
            <w:r w:rsidRPr="00532C20">
              <w:rPr>
                <w:rFonts w:ascii="Times New Roman" w:eastAsia="Times" w:hAnsi="Times New Roman" w:cs="Times New Roman"/>
                <w:noProof/>
                <w:sz w:val="24"/>
                <w:szCs w:val="24"/>
                <w:lang w:val="en-IE" w:eastAsia="en-IE"/>
              </w:rPr>
              <w:t> </w:t>
            </w:r>
          </w:p>
        </w:tc>
      </w:tr>
      <w:tr w:rsidR="009F2422" w:rsidRPr="00532C20" w14:paraId="0DDF95DD"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7FCF2D4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France</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4A07F69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28,582 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2E8C194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1,270,000 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4FB2C6D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275 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1883A86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1,298,857</w:t>
            </w:r>
            <w:r w:rsidRPr="00532C20">
              <w:rPr>
                <w:rFonts w:ascii="Times New Roman" w:eastAsia="Times" w:hAnsi="Times New Roman" w:cs="Times New Roman"/>
                <w:noProof/>
                <w:sz w:val="24"/>
                <w:szCs w:val="24"/>
                <w:lang w:val="en-IE" w:eastAsia="en-IE"/>
              </w:rPr>
              <w:t> </w:t>
            </w:r>
          </w:p>
        </w:tc>
      </w:tr>
      <w:tr w:rsidR="009F2422" w:rsidRPr="00532C20" w14:paraId="1497BF70"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5585061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Germany</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6B47932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2,546 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33E4D6C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626,160 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6D1025C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266 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1F86E1F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628,972</w:t>
            </w:r>
            <w:r w:rsidRPr="00532C20">
              <w:rPr>
                <w:rFonts w:ascii="Times New Roman" w:eastAsia="Times" w:hAnsi="Times New Roman" w:cs="Times New Roman"/>
                <w:noProof/>
                <w:sz w:val="24"/>
                <w:szCs w:val="24"/>
                <w:lang w:val="en-IE" w:eastAsia="en-IE"/>
              </w:rPr>
              <w:t> </w:t>
            </w:r>
          </w:p>
        </w:tc>
      </w:tr>
      <w:tr w:rsidR="009F2422" w:rsidRPr="00532C20" w14:paraId="0DF30CA6"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1C97E51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Greece</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0A3C35B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520 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42E5743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6,217 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77A8277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57 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08FDDC2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6,794</w:t>
            </w:r>
            <w:r w:rsidRPr="00532C20">
              <w:rPr>
                <w:rFonts w:ascii="Times New Roman" w:eastAsia="Times" w:hAnsi="Times New Roman" w:cs="Times New Roman"/>
                <w:noProof/>
                <w:sz w:val="24"/>
                <w:szCs w:val="24"/>
                <w:lang w:val="en-IE" w:eastAsia="en-IE"/>
              </w:rPr>
              <w:t> </w:t>
            </w:r>
          </w:p>
        </w:tc>
      </w:tr>
      <w:tr w:rsidR="009F2422" w:rsidRPr="00532C20" w14:paraId="6EC8EACB"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4038FF4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Hungary</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65A6A28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2,819 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44B7184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61,034 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3F2B047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54 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7057AE5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63,907</w:t>
            </w:r>
            <w:r w:rsidRPr="00532C20">
              <w:rPr>
                <w:rFonts w:ascii="Times New Roman" w:eastAsia="Times" w:hAnsi="Times New Roman" w:cs="Times New Roman"/>
                <w:noProof/>
                <w:sz w:val="24"/>
                <w:szCs w:val="24"/>
                <w:lang w:val="en-IE" w:eastAsia="en-IE"/>
              </w:rPr>
              <w:t> </w:t>
            </w:r>
          </w:p>
        </w:tc>
      </w:tr>
      <w:tr w:rsidR="009F2422" w:rsidRPr="00532C20" w14:paraId="41C46E5B"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2CE452D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Ireland</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4E4A43D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469 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12196B1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33,331 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742F39D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23 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52CA9BB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33,823</w:t>
            </w:r>
            <w:r w:rsidRPr="00532C20">
              <w:rPr>
                <w:rFonts w:ascii="Times New Roman" w:eastAsia="Times" w:hAnsi="Times New Roman" w:cs="Times New Roman"/>
                <w:noProof/>
                <w:sz w:val="24"/>
                <w:szCs w:val="24"/>
                <w:lang w:val="en-IE" w:eastAsia="en-IE"/>
              </w:rPr>
              <w:t> </w:t>
            </w:r>
          </w:p>
        </w:tc>
      </w:tr>
      <w:tr w:rsidR="009F2422" w:rsidRPr="00532C20" w14:paraId="3ACECCE2"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27CA7FB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Italy</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1E923D1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7,004 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6B3F4CC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362,634 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7670BCC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153 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5E0682A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369,791</w:t>
            </w:r>
            <w:r w:rsidRPr="00532C20">
              <w:rPr>
                <w:rFonts w:ascii="Times New Roman" w:eastAsia="Times" w:hAnsi="Times New Roman" w:cs="Times New Roman"/>
                <w:noProof/>
                <w:sz w:val="24"/>
                <w:szCs w:val="24"/>
                <w:lang w:val="en-IE" w:eastAsia="en-IE"/>
              </w:rPr>
              <w:t> </w:t>
            </w:r>
          </w:p>
        </w:tc>
      </w:tr>
      <w:tr w:rsidR="009F2422" w:rsidRPr="00532C20" w14:paraId="75269EEC"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2A96C4E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Latvia</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750BD03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365 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613FBE1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11,526 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656BAE8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14 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6F14344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11,905</w:t>
            </w:r>
            <w:r w:rsidRPr="00532C20">
              <w:rPr>
                <w:rFonts w:ascii="Times New Roman" w:eastAsia="Times" w:hAnsi="Times New Roman" w:cs="Times New Roman"/>
                <w:noProof/>
                <w:sz w:val="24"/>
                <w:szCs w:val="24"/>
                <w:lang w:val="en-IE" w:eastAsia="en-IE"/>
              </w:rPr>
              <w:t> </w:t>
            </w:r>
          </w:p>
        </w:tc>
      </w:tr>
      <w:tr w:rsidR="009F2422" w:rsidRPr="00532C20" w14:paraId="346549B0"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65ABABC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Lithuania</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05EB099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789 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24DB436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14,000 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0AB517E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24 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6062410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14,813</w:t>
            </w:r>
            <w:r w:rsidRPr="00532C20">
              <w:rPr>
                <w:rFonts w:ascii="Times New Roman" w:eastAsia="Times" w:hAnsi="Times New Roman" w:cs="Times New Roman"/>
                <w:noProof/>
                <w:sz w:val="24"/>
                <w:szCs w:val="24"/>
                <w:lang w:val="en-IE" w:eastAsia="en-IE"/>
              </w:rPr>
              <w:t> </w:t>
            </w:r>
          </w:p>
        </w:tc>
      </w:tr>
      <w:tr w:rsidR="009F2422" w:rsidRPr="00532C20" w14:paraId="69FC85E2"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2CC8BBD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Luxembourg</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2BDB8F0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184 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210A206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8,500 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1C89359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11 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56D950C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8,695</w:t>
            </w:r>
            <w:r w:rsidRPr="00532C20">
              <w:rPr>
                <w:rFonts w:ascii="Times New Roman" w:eastAsia="Times" w:hAnsi="Times New Roman" w:cs="Times New Roman"/>
                <w:noProof/>
                <w:sz w:val="24"/>
                <w:szCs w:val="24"/>
                <w:lang w:val="en-IE" w:eastAsia="en-IE"/>
              </w:rPr>
              <w:t> </w:t>
            </w:r>
          </w:p>
        </w:tc>
      </w:tr>
      <w:tr w:rsidR="009F2422" w:rsidRPr="00532C20" w14:paraId="1D5797BE"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17A913A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Malta</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4C63E4B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36 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2F4AA57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2,887 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5DBA7D4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5665E03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2,928</w:t>
            </w:r>
            <w:r w:rsidRPr="00532C20">
              <w:rPr>
                <w:rFonts w:ascii="Times New Roman" w:eastAsia="Times" w:hAnsi="Times New Roman" w:cs="Times New Roman"/>
                <w:noProof/>
                <w:sz w:val="24"/>
                <w:szCs w:val="24"/>
                <w:lang w:val="en-IE" w:eastAsia="en-IE"/>
              </w:rPr>
              <w:t> </w:t>
            </w:r>
          </w:p>
        </w:tc>
      </w:tr>
      <w:tr w:rsidR="009F2422" w:rsidRPr="00532C20" w14:paraId="5FE6F155"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44650DD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Netherlands</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73D1E02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4,369 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5592191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44,000 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60D9027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85 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0041304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48,454</w:t>
            </w:r>
            <w:r w:rsidRPr="00532C20">
              <w:rPr>
                <w:rFonts w:ascii="Times New Roman" w:eastAsia="Times" w:hAnsi="Times New Roman" w:cs="Times New Roman"/>
                <w:noProof/>
                <w:sz w:val="24"/>
                <w:szCs w:val="24"/>
                <w:lang w:val="en-IE" w:eastAsia="en-IE"/>
              </w:rPr>
              <w:t> </w:t>
            </w:r>
          </w:p>
        </w:tc>
      </w:tr>
      <w:tr w:rsidR="009F2422" w:rsidRPr="00532C20" w14:paraId="471ADB22"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39C5314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Poland</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5D00727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4,105 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753535B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70,000 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155ACDE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72 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5799ECB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74,177</w:t>
            </w:r>
            <w:r w:rsidRPr="00532C20">
              <w:rPr>
                <w:rFonts w:ascii="Times New Roman" w:eastAsia="Times" w:hAnsi="Times New Roman" w:cs="Times New Roman"/>
                <w:noProof/>
                <w:sz w:val="24"/>
                <w:szCs w:val="24"/>
                <w:lang w:val="en-IE" w:eastAsia="en-IE"/>
              </w:rPr>
              <w:t> </w:t>
            </w:r>
          </w:p>
        </w:tc>
      </w:tr>
      <w:tr w:rsidR="009F2422" w:rsidRPr="00532C20" w14:paraId="2F26F1E1"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6C55791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Portugal</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2613947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682 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58327D4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68,000 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23FDF36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83 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606F76A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68,765</w:t>
            </w:r>
            <w:r w:rsidRPr="00532C20">
              <w:rPr>
                <w:rFonts w:ascii="Times New Roman" w:eastAsia="Times" w:hAnsi="Times New Roman" w:cs="Times New Roman"/>
                <w:noProof/>
                <w:sz w:val="24"/>
                <w:szCs w:val="24"/>
                <w:lang w:val="en-IE" w:eastAsia="en-IE"/>
              </w:rPr>
              <w:t> </w:t>
            </w:r>
          </w:p>
        </w:tc>
      </w:tr>
      <w:tr w:rsidR="009F2422" w:rsidRPr="00532C20" w14:paraId="0AF0C703"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041A141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Romania</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7781778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983 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3CD3EA6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60,657 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28D3982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58 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5881E9B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61,698</w:t>
            </w:r>
            <w:r w:rsidRPr="00532C20">
              <w:rPr>
                <w:rFonts w:ascii="Times New Roman" w:eastAsia="Times" w:hAnsi="Times New Roman" w:cs="Times New Roman"/>
                <w:noProof/>
                <w:sz w:val="24"/>
                <w:szCs w:val="24"/>
                <w:lang w:val="en-IE" w:eastAsia="en-IE"/>
              </w:rPr>
              <w:t> </w:t>
            </w:r>
          </w:p>
        </w:tc>
      </w:tr>
      <w:tr w:rsidR="009F2422" w:rsidRPr="00532C20" w14:paraId="6FB6681E"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520F7F4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Slovakia</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3792A1A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65 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0F5176B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20,100 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4344108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33 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253B519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20,198</w:t>
            </w:r>
            <w:r w:rsidRPr="00532C20">
              <w:rPr>
                <w:rFonts w:ascii="Times New Roman" w:eastAsia="Times" w:hAnsi="Times New Roman" w:cs="Times New Roman"/>
                <w:noProof/>
                <w:sz w:val="24"/>
                <w:szCs w:val="24"/>
                <w:lang w:val="en-IE" w:eastAsia="en-IE"/>
              </w:rPr>
              <w:t> </w:t>
            </w:r>
          </w:p>
        </w:tc>
      </w:tr>
      <w:tr w:rsidR="009F2422" w:rsidRPr="00532C20" w14:paraId="2CB1EDA8"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43C54BA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Slovenia</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02F4DA3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258 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0664CD9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26,466 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64310B7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4892396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26,731</w:t>
            </w:r>
            <w:r w:rsidRPr="00532C20">
              <w:rPr>
                <w:rFonts w:ascii="Times New Roman" w:eastAsia="Times" w:hAnsi="Times New Roman" w:cs="Times New Roman"/>
                <w:noProof/>
                <w:sz w:val="24"/>
                <w:szCs w:val="24"/>
                <w:lang w:val="en-IE" w:eastAsia="en-IE"/>
              </w:rPr>
              <w:t> </w:t>
            </w:r>
          </w:p>
        </w:tc>
      </w:tr>
      <w:tr w:rsidR="009F2422" w:rsidRPr="00532C20" w14:paraId="23F5AA2F"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40F6FE7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Spain</w:t>
            </w:r>
            <w:r w:rsidRPr="00532C20">
              <w:rPr>
                <w:rFonts w:ascii="Times New Roman" w:eastAsia="Times" w:hAnsi="Times New Roman" w:cs="Times New Roman"/>
                <w:b/>
                <w:noProof/>
                <w:sz w:val="24"/>
                <w:szCs w:val="24"/>
                <w:vertAlign w:val="superscript"/>
                <w:lang w:val="en-IE" w:eastAsia="en-IE"/>
              </w:rPr>
              <w:t>(2)</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5E8C795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1,467 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4E18BAB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100,000 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25C0588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95 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5F10D62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101,562</w:t>
            </w:r>
            <w:r w:rsidRPr="00532C20">
              <w:rPr>
                <w:rFonts w:ascii="Times New Roman" w:eastAsia="Times" w:hAnsi="Times New Roman" w:cs="Times New Roman"/>
                <w:noProof/>
                <w:sz w:val="24"/>
                <w:szCs w:val="24"/>
                <w:lang w:val="en-IE" w:eastAsia="en-IE"/>
              </w:rPr>
              <w:t> </w:t>
            </w:r>
          </w:p>
        </w:tc>
      </w:tr>
      <w:tr w:rsidR="009F2422" w:rsidRPr="00532C20" w14:paraId="019CE015"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F2F2F2"/>
            <w:hideMark/>
          </w:tcPr>
          <w:p w14:paraId="228E902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Sweden</w:t>
            </w:r>
            <w:r w:rsidRPr="00532C20">
              <w:rPr>
                <w:rFonts w:ascii="Times New Roman" w:eastAsia="Times" w:hAnsi="Times New Roman" w:cs="Times New Roman"/>
                <w:noProo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F2F2F2"/>
            <w:hideMark/>
          </w:tcPr>
          <w:p w14:paraId="523C57F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4,145 </w:t>
            </w:r>
          </w:p>
        </w:tc>
        <w:tc>
          <w:tcPr>
            <w:tcW w:w="2013" w:type="dxa"/>
            <w:tcBorders>
              <w:top w:val="single" w:sz="6" w:space="0" w:color="FFFFFF"/>
              <w:left w:val="single" w:sz="6" w:space="0" w:color="FFFFFF"/>
              <w:bottom w:val="single" w:sz="6" w:space="0" w:color="FFFFFF"/>
              <w:right w:val="single" w:sz="6" w:space="0" w:color="FFFFFF"/>
            </w:tcBorders>
            <w:shd w:val="clear" w:color="auto" w:fill="F2F2F2"/>
            <w:hideMark/>
          </w:tcPr>
          <w:p w14:paraId="70089DD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99,021 </w:t>
            </w:r>
          </w:p>
        </w:tc>
        <w:tc>
          <w:tcPr>
            <w:tcW w:w="1724" w:type="dxa"/>
            <w:tcBorders>
              <w:top w:val="single" w:sz="6" w:space="0" w:color="FFFFFF"/>
              <w:left w:val="single" w:sz="6" w:space="0" w:color="FFFFFF"/>
              <w:bottom w:val="single" w:sz="6" w:space="0" w:color="FFFFFF"/>
              <w:right w:val="single" w:sz="6" w:space="0" w:color="FFFFFF"/>
            </w:tcBorders>
            <w:shd w:val="clear" w:color="auto" w:fill="F2F2F2"/>
            <w:hideMark/>
          </w:tcPr>
          <w:p w14:paraId="159C108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101 </w:t>
            </w:r>
          </w:p>
        </w:tc>
        <w:tc>
          <w:tcPr>
            <w:tcW w:w="1186" w:type="dxa"/>
            <w:tcBorders>
              <w:top w:val="single" w:sz="6" w:space="0" w:color="FFFFFF"/>
              <w:left w:val="single" w:sz="6" w:space="0" w:color="FFFFFF"/>
              <w:bottom w:val="single" w:sz="6" w:space="0" w:color="FFFFFF"/>
              <w:right w:val="single" w:sz="6" w:space="0" w:color="FFFFFF"/>
            </w:tcBorders>
            <w:shd w:val="clear" w:color="auto" w:fill="F2F2F2"/>
            <w:hideMark/>
          </w:tcPr>
          <w:p w14:paraId="1F32F99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103,267</w:t>
            </w:r>
            <w:r w:rsidRPr="00532C20">
              <w:rPr>
                <w:rFonts w:ascii="Times New Roman" w:eastAsia="Times" w:hAnsi="Times New Roman" w:cs="Times New Roman"/>
                <w:noProof/>
                <w:sz w:val="24"/>
                <w:szCs w:val="24"/>
                <w:lang w:val="en-IE" w:eastAsia="en-IE"/>
              </w:rPr>
              <w:t> </w:t>
            </w:r>
          </w:p>
        </w:tc>
      </w:tr>
      <w:tr w:rsidR="009F2422" w:rsidRPr="00532C20" w14:paraId="2B480C08" w14:textId="77777777">
        <w:trPr>
          <w:trHeight w:val="15"/>
        </w:trPr>
        <w:tc>
          <w:tcPr>
            <w:tcW w:w="1389" w:type="dxa"/>
            <w:tcBorders>
              <w:top w:val="single" w:sz="6" w:space="0" w:color="FFFFFF"/>
              <w:left w:val="single" w:sz="6" w:space="0" w:color="FFFFFF"/>
              <w:bottom w:val="single" w:sz="6" w:space="0" w:color="FFFFFF"/>
              <w:right w:val="single" w:sz="6" w:space="0" w:color="FFFFFF"/>
            </w:tcBorders>
            <w:shd w:val="clear" w:color="auto" w:fill="0C4DA2"/>
            <w:hideMark/>
          </w:tcPr>
          <w:p w14:paraId="7A4D462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EU-27</w:t>
            </w:r>
            <w:r w:rsidRPr="00532C20">
              <w:rPr>
                <w:rFonts w:ascii="Times New Roman" w:eastAsia="Times" w:hAnsi="Times New Roman" w:cs="Times New Roman"/>
                <w:b/>
                <w:noProof/>
                <w:color w:val="FFFFFF"/>
                <w:sz w:val="24"/>
                <w:szCs w:val="24"/>
                <w:vertAlign w:val="superscript"/>
                <w:lang w:val="en-IE" w:eastAsia="en-IE"/>
              </w:rPr>
              <w:t>(3)</w:t>
            </w:r>
            <w:r w:rsidRPr="00532C20">
              <w:rPr>
                <w:rFonts w:ascii="Times New Roman" w:eastAsia="Times" w:hAnsi="Times New Roman" w:cs="Times New Roman"/>
                <w:noProof/>
                <w:color w:val="FFFFFF"/>
                <w:sz w:val="24"/>
                <w:szCs w:val="24"/>
                <w:lang w:val="en-IE" w:eastAsia="en-IE"/>
              </w:rPr>
              <w:t> </w:t>
            </w:r>
          </w:p>
        </w:tc>
        <w:tc>
          <w:tcPr>
            <w:tcW w:w="2322" w:type="dxa"/>
            <w:tcBorders>
              <w:top w:val="single" w:sz="6" w:space="0" w:color="FFFFFF"/>
              <w:left w:val="single" w:sz="6" w:space="0" w:color="FFFFFF"/>
              <w:bottom w:val="single" w:sz="6" w:space="0" w:color="FFFFFF"/>
              <w:right w:val="single" w:sz="6" w:space="0" w:color="FFFFFF"/>
            </w:tcBorders>
            <w:shd w:val="clear" w:color="auto" w:fill="0C4DA2"/>
            <w:hideMark/>
          </w:tcPr>
          <w:p w14:paraId="0188BBF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74,460</w:t>
            </w:r>
            <w:r w:rsidRPr="00532C20">
              <w:rPr>
                <w:rFonts w:ascii="Times New Roman" w:eastAsia="Times" w:hAnsi="Times New Roman" w:cs="Times New Roman"/>
                <w:noProof/>
                <w:color w:val="FFFFFF"/>
                <w:sz w:val="24"/>
                <w:szCs w:val="24"/>
                <w:lang w:val="en-IE" w:eastAsia="en-IE"/>
              </w:rPr>
              <w:t> </w:t>
            </w:r>
          </w:p>
        </w:tc>
        <w:tc>
          <w:tcPr>
            <w:tcW w:w="2013" w:type="dxa"/>
            <w:tcBorders>
              <w:top w:val="single" w:sz="6" w:space="0" w:color="FFFFFF"/>
              <w:left w:val="single" w:sz="6" w:space="0" w:color="FFFFFF"/>
              <w:bottom w:val="single" w:sz="6" w:space="0" w:color="FFFFFF"/>
              <w:right w:val="single" w:sz="6" w:space="0" w:color="FFFFFF"/>
            </w:tcBorders>
            <w:shd w:val="clear" w:color="auto" w:fill="0C4DA2"/>
            <w:hideMark/>
          </w:tcPr>
          <w:p w14:paraId="75A0569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3,484,560</w:t>
            </w:r>
            <w:r w:rsidRPr="00532C20">
              <w:rPr>
                <w:rFonts w:ascii="Times New Roman" w:eastAsia="Times" w:hAnsi="Times New Roman" w:cs="Times New Roman"/>
                <w:noProof/>
                <w:color w:val="FFFFFF"/>
                <w:sz w:val="24"/>
                <w:szCs w:val="24"/>
                <w:lang w:val="en-IE" w:eastAsia="en-IE"/>
              </w:rPr>
              <w:t> </w:t>
            </w:r>
          </w:p>
        </w:tc>
        <w:tc>
          <w:tcPr>
            <w:tcW w:w="1724" w:type="dxa"/>
            <w:tcBorders>
              <w:top w:val="single" w:sz="6" w:space="0" w:color="FFFFFF"/>
              <w:left w:val="single" w:sz="6" w:space="0" w:color="FFFFFF"/>
              <w:bottom w:val="single" w:sz="6" w:space="0" w:color="FFFFFF"/>
              <w:right w:val="single" w:sz="6" w:space="0" w:color="FFFFFF"/>
            </w:tcBorders>
            <w:shd w:val="clear" w:color="auto" w:fill="0C4DA2"/>
            <w:hideMark/>
          </w:tcPr>
          <w:p w14:paraId="2326A07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1,818</w:t>
            </w:r>
            <w:r w:rsidRPr="00532C20">
              <w:rPr>
                <w:rFonts w:ascii="Times New Roman" w:eastAsia="Times" w:hAnsi="Times New Roman" w:cs="Times New Roman"/>
                <w:noProof/>
                <w:color w:val="FFFFFF"/>
                <w:sz w:val="24"/>
                <w:szCs w:val="24"/>
                <w:lang w:val="en-IE" w:eastAsia="en-IE"/>
              </w:rPr>
              <w:t> </w:t>
            </w:r>
          </w:p>
        </w:tc>
        <w:tc>
          <w:tcPr>
            <w:tcW w:w="1186" w:type="dxa"/>
            <w:tcBorders>
              <w:top w:val="single" w:sz="6" w:space="0" w:color="FFFFFF"/>
              <w:left w:val="single" w:sz="6" w:space="0" w:color="FFFFFF"/>
              <w:bottom w:val="single" w:sz="6" w:space="0" w:color="FFFFFF"/>
              <w:right w:val="single" w:sz="6" w:space="0" w:color="FFFFFF"/>
            </w:tcBorders>
            <w:shd w:val="clear" w:color="auto" w:fill="0C4DA2"/>
            <w:hideMark/>
          </w:tcPr>
          <w:p w14:paraId="1BE7EBA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3,560,838</w:t>
            </w:r>
            <w:r w:rsidRPr="00532C20">
              <w:rPr>
                <w:rFonts w:ascii="Times New Roman" w:eastAsia="Times" w:hAnsi="Times New Roman" w:cs="Times New Roman"/>
                <w:noProof/>
                <w:color w:val="FFFFFF"/>
                <w:sz w:val="24"/>
                <w:szCs w:val="24"/>
                <w:lang w:val="en-IE" w:eastAsia="en-IE"/>
              </w:rPr>
              <w:t> </w:t>
            </w:r>
          </w:p>
        </w:tc>
      </w:tr>
    </w:tbl>
    <w:p w14:paraId="060268C0" w14:textId="77777777" w:rsidR="009F2422" w:rsidRPr="00532C20" w:rsidRDefault="009F2422" w:rsidP="009F2422">
      <w:pPr>
        <w:spacing w:after="0" w:line="240" w:lineRule="auto"/>
        <w:ind w:left="284" w:hanging="284"/>
        <w:jc w:val="both"/>
        <w:textAlignment w:val="baseline"/>
        <w:rPr>
          <w:rFonts w:ascii="Times New Roman" w:eastAsia="Times" w:hAnsi="Times New Roman" w:cs="Times New Roman"/>
          <w:noProof/>
          <w:sz w:val="20"/>
          <w:szCs w:val="20"/>
          <w:lang w:val="en-IE" w:eastAsia="en-IE"/>
        </w:rPr>
      </w:pPr>
      <w:r w:rsidRPr="00532C20">
        <w:rPr>
          <w:rFonts w:ascii="Times New Roman" w:eastAsia="Times" w:hAnsi="Times New Roman" w:cs="Times New Roman"/>
          <w:noProof/>
          <w:sz w:val="20"/>
          <w:szCs w:val="20"/>
          <w:vertAlign w:val="superscript"/>
          <w:lang w:val="en-IE" w:eastAsia="en-IE"/>
        </w:rPr>
        <w:t>(1)</w:t>
      </w:r>
      <w:r w:rsidRPr="00532C20">
        <w:rPr>
          <w:rFonts w:ascii="Times New Roman" w:eastAsia="Times" w:hAnsi="Times New Roman" w:cs="Times New Roman"/>
          <w:noProof/>
          <w:sz w:val="20"/>
          <w:szCs w:val="20"/>
          <w:lang w:val="en-IE" w:eastAsia="en-IE"/>
        </w:rPr>
        <w:t xml:space="preserve"> </w:t>
      </w:r>
      <w:r w:rsidRPr="00532C20">
        <w:rPr>
          <w:rFonts w:ascii="Times New Roman" w:eastAsia="Times" w:hAnsi="Times New Roman" w:cs="Times New Roman"/>
          <w:noProof/>
          <w:sz w:val="20"/>
          <w:szCs w:val="20"/>
          <w:lang w:val="en-IE" w:eastAsia="en-IE"/>
        </w:rPr>
        <w:tab/>
        <w:t>Data on number of CZ enterprises missing from M70.21. Estimated by calculating M70.21 as an average proportion of the total NACE category [M] (the lowest level at which CZ data was available) across the Member States and applying that proportion to the CZ data for [M]. </w:t>
      </w:r>
    </w:p>
    <w:p w14:paraId="2579390F" w14:textId="77777777" w:rsidR="009F2422" w:rsidRPr="00532C20" w:rsidRDefault="009F2422" w:rsidP="009F2422">
      <w:pPr>
        <w:spacing w:after="0" w:line="240" w:lineRule="auto"/>
        <w:ind w:left="284" w:hanging="284"/>
        <w:jc w:val="both"/>
        <w:textAlignment w:val="baseline"/>
        <w:rPr>
          <w:rFonts w:ascii="Times New Roman" w:eastAsia="Times" w:hAnsi="Times New Roman" w:cs="Times New Roman"/>
          <w:noProof/>
          <w:sz w:val="20"/>
          <w:szCs w:val="20"/>
          <w:lang w:val="en-IE" w:eastAsia="en-IE"/>
        </w:rPr>
      </w:pPr>
      <w:r w:rsidRPr="00532C20">
        <w:rPr>
          <w:rFonts w:ascii="Times New Roman" w:eastAsia="Times" w:hAnsi="Times New Roman" w:cs="Times New Roman"/>
          <w:noProof/>
          <w:sz w:val="20"/>
          <w:szCs w:val="20"/>
          <w:vertAlign w:val="superscript"/>
          <w:lang w:val="en-IE" w:eastAsia="en-IE"/>
        </w:rPr>
        <w:t>(2)</w:t>
      </w:r>
      <w:r w:rsidRPr="00532C20">
        <w:rPr>
          <w:rFonts w:ascii="Times New Roman" w:eastAsia="Times" w:hAnsi="Times New Roman" w:cs="Times New Roman"/>
          <w:noProof/>
          <w:sz w:val="20"/>
          <w:szCs w:val="20"/>
          <w:lang w:val="en-IE" w:eastAsia="en-IE"/>
        </w:rPr>
        <w:t xml:space="preserve"> </w:t>
      </w:r>
      <w:r w:rsidRPr="00532C20">
        <w:rPr>
          <w:rFonts w:ascii="Times New Roman" w:eastAsia="Times" w:hAnsi="Times New Roman" w:cs="Times New Roman"/>
          <w:noProof/>
          <w:sz w:val="20"/>
          <w:szCs w:val="20"/>
          <w:lang w:val="en-IE" w:eastAsia="en-IE"/>
        </w:rPr>
        <w:tab/>
        <w:t>Rough estimate based on unofficial sources has been used for the number of Spanish CSOs. </w:t>
      </w:r>
    </w:p>
    <w:p w14:paraId="368ECDD7" w14:textId="77777777" w:rsidR="009F2422" w:rsidRPr="00532C20" w:rsidRDefault="009F2422" w:rsidP="009F2422">
      <w:pPr>
        <w:spacing w:after="0" w:line="240" w:lineRule="auto"/>
        <w:ind w:left="284" w:hanging="284"/>
        <w:jc w:val="both"/>
        <w:textAlignment w:val="baseline"/>
        <w:rPr>
          <w:rFonts w:ascii="Times New Roman" w:eastAsia="Times" w:hAnsi="Times New Roman" w:cs="Times New Roman"/>
          <w:noProof/>
          <w:sz w:val="20"/>
          <w:szCs w:val="20"/>
          <w:lang w:val="en-IE" w:eastAsia="en-IE"/>
        </w:rPr>
      </w:pPr>
      <w:r w:rsidRPr="00532C20">
        <w:rPr>
          <w:rFonts w:ascii="Times New Roman" w:eastAsia="Times" w:hAnsi="Times New Roman" w:cs="Times New Roman"/>
          <w:noProof/>
          <w:sz w:val="20"/>
          <w:szCs w:val="20"/>
          <w:vertAlign w:val="superscript"/>
          <w:lang w:val="en-IE" w:eastAsia="en-IE"/>
        </w:rPr>
        <w:t>(3)</w:t>
      </w:r>
      <w:r w:rsidRPr="00532C20">
        <w:rPr>
          <w:rFonts w:ascii="Times New Roman" w:eastAsia="Times" w:hAnsi="Times New Roman" w:cs="Times New Roman"/>
          <w:noProof/>
          <w:sz w:val="20"/>
          <w:szCs w:val="20"/>
          <w:lang w:val="en-IE" w:eastAsia="en-IE"/>
        </w:rPr>
        <w:t xml:space="preserve"> </w:t>
      </w:r>
      <w:r w:rsidRPr="00532C20">
        <w:rPr>
          <w:rFonts w:ascii="Times New Roman" w:eastAsia="Times" w:hAnsi="Times New Roman" w:cs="Times New Roman"/>
          <w:noProof/>
          <w:sz w:val="20"/>
          <w:szCs w:val="20"/>
          <w:lang w:val="en-IE" w:eastAsia="en-IE"/>
        </w:rPr>
        <w:tab/>
        <w:t>EU-27 total for M70.21 is different to the total on Eurostat. Following the inclusion of the CZ estimate, the EU-27 now presents the sum of the Member State-specific data. </w:t>
      </w:r>
    </w:p>
    <w:p w14:paraId="1F7B7F55" w14:textId="77777777" w:rsidR="009F2422" w:rsidRPr="00532C20" w:rsidRDefault="009F2422" w:rsidP="009F2422">
      <w:pPr>
        <w:spacing w:after="0" w:line="240" w:lineRule="auto"/>
        <w:ind w:left="284" w:hanging="284"/>
        <w:jc w:val="both"/>
        <w:textAlignment w:val="baseline"/>
        <w:rPr>
          <w:rFonts w:ascii="Times New Roman" w:eastAsia="Times" w:hAnsi="Times New Roman" w:cs="Times New Roman"/>
          <w:noProof/>
          <w:sz w:val="20"/>
          <w:szCs w:val="20"/>
          <w:lang w:val="en-IE" w:eastAsia="en-IE"/>
        </w:rPr>
      </w:pPr>
      <w:r w:rsidRPr="00532C20">
        <w:rPr>
          <w:rFonts w:ascii="Times New Roman" w:eastAsia="Times" w:hAnsi="Times New Roman" w:cs="Times New Roman"/>
          <w:noProof/>
          <w:sz w:val="20"/>
          <w:szCs w:val="20"/>
          <w:vertAlign w:val="superscript"/>
          <w:lang w:val="en-IE" w:eastAsia="en-IE"/>
        </w:rPr>
        <w:t>(4)</w:t>
      </w:r>
      <w:r w:rsidRPr="00532C20">
        <w:rPr>
          <w:rFonts w:ascii="Times New Roman" w:eastAsia="Times" w:hAnsi="Times New Roman" w:cs="Times New Roman"/>
          <w:noProof/>
          <w:sz w:val="20"/>
          <w:szCs w:val="20"/>
          <w:lang w:val="en-IE" w:eastAsia="en-IE"/>
        </w:rPr>
        <w:t xml:space="preserve"> </w:t>
      </w:r>
      <w:r w:rsidRPr="00532C20">
        <w:rPr>
          <w:rFonts w:ascii="Times New Roman" w:eastAsia="Times" w:hAnsi="Times New Roman" w:cs="Times New Roman"/>
          <w:noProof/>
          <w:sz w:val="20"/>
          <w:szCs w:val="20"/>
          <w:lang w:val="en-IE" w:eastAsia="en-IE"/>
        </w:rPr>
        <w:tab/>
        <w:t>Eurostat data: Annual detailed enterprise statistics for services (NACE Rev. 2 H-N and S95). </w:t>
      </w:r>
    </w:p>
    <w:p w14:paraId="5FD0ABA1" w14:textId="77777777" w:rsidR="009F2422" w:rsidRPr="00532C20" w:rsidRDefault="009F2422" w:rsidP="009F2422">
      <w:pPr>
        <w:spacing w:after="0" w:line="240" w:lineRule="auto"/>
        <w:ind w:left="284" w:hanging="284"/>
        <w:jc w:val="both"/>
        <w:textAlignment w:val="baseline"/>
        <w:rPr>
          <w:rFonts w:ascii="Times New Roman" w:eastAsia="Times" w:hAnsi="Times New Roman" w:cs="Times New Roman"/>
          <w:noProof/>
          <w:sz w:val="20"/>
          <w:szCs w:val="20"/>
          <w:lang w:val="en-IE" w:eastAsia="en-IE"/>
        </w:rPr>
      </w:pPr>
      <w:r w:rsidRPr="00532C20">
        <w:rPr>
          <w:rFonts w:ascii="Times New Roman" w:eastAsia="Times" w:hAnsi="Times New Roman" w:cs="Times New Roman"/>
          <w:noProof/>
          <w:sz w:val="20"/>
          <w:szCs w:val="20"/>
          <w:vertAlign w:val="superscript"/>
          <w:lang w:val="en-IE" w:eastAsia="en-IE"/>
        </w:rPr>
        <w:t xml:space="preserve">(5) </w:t>
      </w:r>
      <w:r w:rsidRPr="00532C20">
        <w:rPr>
          <w:rFonts w:ascii="Times New Roman" w:eastAsia="Times" w:hAnsi="Times New Roman" w:cs="Times New Roman"/>
          <w:noProof/>
          <w:sz w:val="20"/>
          <w:szCs w:val="20"/>
          <w:vertAlign w:val="superscript"/>
          <w:lang w:val="en-IE" w:eastAsia="en-IE"/>
        </w:rPr>
        <w:tab/>
      </w:r>
      <w:r w:rsidRPr="00532C20">
        <w:rPr>
          <w:rFonts w:ascii="Times New Roman" w:eastAsia="Times" w:hAnsi="Times New Roman" w:cs="Times New Roman"/>
          <w:noProof/>
          <w:sz w:val="20"/>
          <w:szCs w:val="20"/>
          <w:lang w:val="en-IE" w:eastAsia="en-IE"/>
        </w:rPr>
        <w:t>Source year of the data on CSOs varies across the Member States: 2023 (1MS – FI); 2022 (1 MS – RO); 2021 (13 MS – BG, HR, CY, CZ, DK, EE, HU, IE, LV, LT, LU, PL, SI); 2020 (3 MS – NL, PT, SK); 2019 (4 MS – DE, IT, MT, SE); 2018 (2 MS – FR, EL); 2017 (1 MS – BE); 2010 (1 MS – AT); ES). </w:t>
      </w:r>
    </w:p>
    <w:p w14:paraId="635531D4" w14:textId="34B2545B" w:rsidR="009F2422" w:rsidRPr="00532C20" w:rsidRDefault="009F2422" w:rsidP="009F2422">
      <w:pPr>
        <w:spacing w:before="120" w:line="240" w:lineRule="auto"/>
        <w:jc w:val="both"/>
        <w:rPr>
          <w:rFonts w:ascii="Times New Roman" w:eastAsia="Times" w:hAnsi="Times New Roman" w:cs="Times New Roman"/>
          <w:noProof/>
          <w:color w:val="000000"/>
          <w:sz w:val="24"/>
          <w:szCs w:val="24"/>
          <w:shd w:val="clear" w:color="auto" w:fill="FFFFFF"/>
          <w:lang w:val="en-IE"/>
        </w:rPr>
      </w:pPr>
      <w:r w:rsidRPr="00532C20">
        <w:rPr>
          <w:rFonts w:ascii="Times New Roman" w:eastAsia="Times" w:hAnsi="Times New Roman" w:cs="Times New Roman"/>
          <w:noProof/>
          <w:sz w:val="24"/>
          <w:szCs w:val="24"/>
          <w:lang w:val="en-IE"/>
        </w:rPr>
        <w:t>The geographical distribution is presented in the table above. France accounted for 40% of all EU27 enterprises that delivered public relations and communication, and Belgium and Italy for 10% each. Similarly, France accounted for 28% of EU27 annual turnover of said-enterprises, Belgium for 16% and Germany for 14% (</w:t>
      </w:r>
      <w:r w:rsidRPr="00532C20">
        <w:rPr>
          <w:rFonts w:ascii="Times New Roman" w:eastAsia="Times" w:hAnsi="Times New Roman" w:cs="Times New Roman"/>
          <w:noProof/>
          <w:color w:val="000000"/>
          <w:sz w:val="24"/>
          <w:szCs w:val="24"/>
          <w:shd w:val="clear" w:color="auto" w:fill="FFFFFF"/>
          <w:lang w:val="en-IE"/>
        </w:rPr>
        <w:t>Based on the 2020 Global Go To Think Tank Index Report, edited by the University of Pennsylvania</w:t>
      </w:r>
      <w:r w:rsidRPr="00532C20">
        <w:rPr>
          <w:rFonts w:ascii="Times New Roman" w:eastAsia="Times" w:hAnsi="Times New Roman" w:cs="Times New Roman"/>
          <w:noProof/>
          <w:color w:val="000000"/>
          <w:sz w:val="24"/>
          <w:szCs w:val="24"/>
          <w:shd w:val="clear" w:color="auto" w:fill="FFFFFF"/>
          <w:vertAlign w:val="superscript"/>
          <w:lang w:val="en-IE"/>
        </w:rPr>
        <w:footnoteReference w:id="249"/>
      </w:r>
      <w:r w:rsidRPr="00532C20">
        <w:rPr>
          <w:rFonts w:ascii="Times New Roman" w:eastAsia="Times" w:hAnsi="Times New Roman" w:cs="Times New Roman"/>
          <w:noProof/>
          <w:color w:val="000000"/>
          <w:sz w:val="24"/>
          <w:szCs w:val="24"/>
          <w:shd w:val="clear" w:color="auto" w:fill="FFFFFF"/>
          <w:lang w:val="en-IE"/>
        </w:rPr>
        <w:t>, 1,818 think tanks are listed in EU27, noting that, amongst the categories of Think Tank Affiliations</w:t>
      </w:r>
      <w:r w:rsidRPr="00532C20">
        <w:rPr>
          <w:rFonts w:ascii="Times New Roman" w:eastAsia="Times" w:hAnsi="Times New Roman" w:cs="Times New Roman"/>
          <w:noProof/>
          <w:color w:val="000000"/>
          <w:sz w:val="24"/>
          <w:szCs w:val="24"/>
          <w:shd w:val="clear" w:color="auto" w:fill="FFFFFF"/>
          <w:vertAlign w:val="superscript"/>
          <w:lang w:val="en-IE"/>
        </w:rPr>
        <w:footnoteReference w:id="250"/>
      </w:r>
      <w:r w:rsidRPr="00532C20">
        <w:rPr>
          <w:rFonts w:ascii="Times New Roman" w:eastAsia="Times" w:hAnsi="Times New Roman" w:cs="Times New Roman"/>
          <w:noProof/>
          <w:color w:val="000000"/>
          <w:sz w:val="24"/>
          <w:szCs w:val="24"/>
          <w:shd w:val="clear" w:color="auto" w:fill="FFFFFF"/>
          <w:lang w:val="en-IE"/>
        </w:rPr>
        <w:t>, some are corporate (ie. for-profit affiliated with a corporation or operating on a for-profit basis), others are government-affiliated or university-affiliated or political party-affiliated. France ranks sixth in their top 20 world ranking of countries with the largest number of think tanks, with 275 think tanks. It is followed by Germany with 266 think tanks. Italy ranks 11</w:t>
      </w:r>
      <w:r w:rsidRPr="00532C20">
        <w:rPr>
          <w:rFonts w:ascii="Times New Roman" w:eastAsia="Times" w:hAnsi="Times New Roman" w:cs="Times New Roman"/>
          <w:noProof/>
          <w:color w:val="000000"/>
          <w:sz w:val="24"/>
          <w:szCs w:val="24"/>
          <w:shd w:val="clear" w:color="auto" w:fill="FFFFFF"/>
          <w:vertAlign w:val="superscript"/>
          <w:lang w:val="en-IE"/>
        </w:rPr>
        <w:t>th</w:t>
      </w:r>
      <w:r w:rsidRPr="00532C20">
        <w:rPr>
          <w:rFonts w:ascii="Times New Roman" w:eastAsia="Times" w:hAnsi="Times New Roman" w:cs="Times New Roman"/>
          <w:noProof/>
          <w:color w:val="000000"/>
          <w:sz w:val="24"/>
          <w:szCs w:val="24"/>
          <w:shd w:val="clear" w:color="auto" w:fill="FFFFFF"/>
          <w:lang w:val="en-IE"/>
        </w:rPr>
        <w:t xml:space="preserve"> with 153; Sweden is 16</w:t>
      </w:r>
      <w:r w:rsidRPr="00532C20">
        <w:rPr>
          <w:rFonts w:ascii="Times New Roman" w:eastAsia="Times" w:hAnsi="Times New Roman" w:cs="Times New Roman"/>
          <w:noProof/>
          <w:color w:val="000000"/>
          <w:sz w:val="24"/>
          <w:szCs w:val="24"/>
          <w:shd w:val="clear" w:color="auto" w:fill="FFFFFF"/>
          <w:vertAlign w:val="superscript"/>
          <w:lang w:val="en-IE"/>
        </w:rPr>
        <w:t>th</w:t>
      </w:r>
      <w:r w:rsidRPr="00532C20">
        <w:rPr>
          <w:rFonts w:ascii="Times New Roman" w:eastAsia="Times" w:hAnsi="Times New Roman" w:cs="Times New Roman"/>
          <w:noProof/>
          <w:color w:val="000000"/>
          <w:sz w:val="24"/>
          <w:szCs w:val="24"/>
          <w:shd w:val="clear" w:color="auto" w:fill="FFFFFF"/>
          <w:lang w:val="en-IE"/>
        </w:rPr>
        <w:t xml:space="preserve"> with 101 and Spain follows ranking 17</w:t>
      </w:r>
      <w:r w:rsidRPr="00532C20">
        <w:rPr>
          <w:rFonts w:ascii="Times New Roman" w:eastAsia="Times" w:hAnsi="Times New Roman" w:cs="Times New Roman"/>
          <w:noProof/>
          <w:color w:val="000000"/>
          <w:sz w:val="24"/>
          <w:szCs w:val="24"/>
          <w:shd w:val="clear" w:color="auto" w:fill="FFFFFF"/>
          <w:vertAlign w:val="superscript"/>
          <w:lang w:val="en-IE"/>
        </w:rPr>
        <w:t>th</w:t>
      </w:r>
      <w:r w:rsidRPr="00532C20">
        <w:rPr>
          <w:rFonts w:ascii="Times New Roman" w:eastAsia="Times" w:hAnsi="Times New Roman" w:cs="Times New Roman"/>
          <w:noProof/>
          <w:color w:val="000000"/>
          <w:sz w:val="24"/>
          <w:szCs w:val="24"/>
          <w:shd w:val="clear" w:color="auto" w:fill="FFFFFF"/>
          <w:lang w:val="en-IE"/>
        </w:rPr>
        <w:t xml:space="preserve"> with 95 think tanks. The full EU27 breakdown is presented below. France and Germany representing each 15% of EU27 think tanks listed in 2020 Global Go To Think Tank Index Report. </w:t>
      </w:r>
    </w:p>
    <w:p w14:paraId="566572E6" w14:textId="480A4607" w:rsidR="009F2422" w:rsidRPr="00532C20" w:rsidRDefault="009F2422" w:rsidP="002B0B48">
      <w:pPr>
        <w:pStyle w:val="ListParagraph"/>
        <w:numPr>
          <w:ilvl w:val="1"/>
          <w:numId w:val="76"/>
        </w:numPr>
        <w:rPr>
          <w:rFonts w:ascii="Times New Roman" w:hAnsi="Times New Roman" w:cs="Times New Roman"/>
          <w:b/>
          <w:bCs/>
          <w:noProof/>
          <w:u w:val="single"/>
          <w:lang w:val="en-IE" w:eastAsia="en-IE"/>
        </w:rPr>
      </w:pPr>
      <w:r w:rsidRPr="00532C20">
        <w:rPr>
          <w:rFonts w:ascii="Times New Roman" w:hAnsi="Times New Roman" w:cs="Times New Roman"/>
          <w:b/>
          <w:bCs/>
          <w:noProof/>
          <w:u w:val="single"/>
          <w:lang w:val="en-IE" w:eastAsia="en-IE"/>
        </w:rPr>
        <w:t xml:space="preserve">The </w:t>
      </w:r>
      <w:r w:rsidR="00DE4EA0">
        <w:rPr>
          <w:rFonts w:ascii="Times New Roman" w:hAnsi="Times New Roman" w:cs="Times New Roman"/>
          <w:b/>
          <w:bCs/>
          <w:noProof/>
          <w:u w:val="single"/>
          <w:lang w:val="en-IE" w:eastAsia="en-IE"/>
        </w:rPr>
        <w:t>internal</w:t>
      </w:r>
      <w:r w:rsidR="00DE4EA0" w:rsidRPr="00532C20">
        <w:rPr>
          <w:rFonts w:ascii="Times New Roman" w:hAnsi="Times New Roman" w:cs="Times New Roman"/>
          <w:b/>
          <w:bCs/>
          <w:noProof/>
          <w:u w:val="single"/>
          <w:lang w:val="en-IE" w:eastAsia="en-IE"/>
        </w:rPr>
        <w:t xml:space="preserve"> </w:t>
      </w:r>
      <w:r w:rsidRPr="00532C20">
        <w:rPr>
          <w:rFonts w:ascii="Times New Roman" w:hAnsi="Times New Roman" w:cs="Times New Roman"/>
          <w:b/>
          <w:bCs/>
          <w:noProof/>
          <w:u w:val="single"/>
          <w:lang w:val="en-IE" w:eastAsia="en-IE"/>
        </w:rPr>
        <w:t>market for interest representation activities carried out on behalf of third countries</w:t>
      </w:r>
    </w:p>
    <w:p w14:paraId="5FCDA9B4" w14:textId="77777777" w:rsidR="00EF6169" w:rsidRPr="00532C20" w:rsidRDefault="00EF6169" w:rsidP="00EF6169">
      <w:pPr>
        <w:pStyle w:val="ListParagraph"/>
        <w:ind w:left="792"/>
        <w:rPr>
          <w:rFonts w:ascii="Times New Roman" w:hAnsi="Times New Roman" w:cs="Times New Roman"/>
          <w:noProof/>
          <w:lang w:val="en-IE" w:eastAsia="en-IE"/>
        </w:rPr>
      </w:pPr>
    </w:p>
    <w:p w14:paraId="0CF5B614" w14:textId="0681CA52" w:rsidR="009F2422" w:rsidRPr="00532C20" w:rsidRDefault="009F2422" w:rsidP="009F2422">
      <w:pPr>
        <w:spacing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Due to the lack of reliable data on interest representation activities carried out on behalf of third countries (see section 2.1.2) the method to estimate the </w:t>
      </w:r>
      <w:r w:rsidR="00DE4EA0">
        <w:rPr>
          <w:rFonts w:ascii="Times New Roman" w:eastAsia="Times" w:hAnsi="Times New Roman" w:cs="Times New Roman"/>
          <w:noProof/>
          <w:sz w:val="24"/>
          <w:szCs w:val="24"/>
          <w:lang w:val="en-IE" w:eastAsia="en-IE"/>
        </w:rPr>
        <w:t>internal</w:t>
      </w:r>
      <w:r w:rsidR="00DE4EA0" w:rsidRPr="00532C20">
        <w:rPr>
          <w:rFonts w:ascii="Times New Roman" w:eastAsia="Times" w:hAnsi="Times New Roman" w:cs="Times New Roman"/>
          <w:noProof/>
          <w:sz w:val="24"/>
          <w:szCs w:val="24"/>
          <w:lang w:val="en-IE" w:eastAsia="en-IE"/>
        </w:rPr>
        <w:t xml:space="preserve"> </w:t>
      </w:r>
      <w:r w:rsidRPr="00532C20">
        <w:rPr>
          <w:rFonts w:ascii="Times New Roman" w:eastAsia="Times" w:hAnsi="Times New Roman" w:cs="Times New Roman"/>
          <w:noProof/>
          <w:sz w:val="24"/>
          <w:szCs w:val="24"/>
          <w:lang w:val="en-IE" w:eastAsia="en-IE"/>
        </w:rPr>
        <w:t xml:space="preserve">market for interest representation activities carried out on behalf of third countries draws on the Australian Foreign Influence Transparency Scheme (FITS) and the US Foreign Agents Registration Act (FARA). As explained in details in the </w:t>
      </w:r>
      <w:r w:rsidR="00411960">
        <w:rPr>
          <w:rFonts w:ascii="Times New Roman" w:eastAsia="Times" w:hAnsi="Times New Roman" w:cs="Times New Roman"/>
          <w:noProof/>
          <w:sz w:val="24"/>
          <w:szCs w:val="24"/>
          <w:lang w:val="en-IE" w:eastAsia="en-IE"/>
        </w:rPr>
        <w:t>supporting</w:t>
      </w:r>
      <w:r w:rsidR="00A74C8A" w:rsidRPr="00532C20">
        <w:rPr>
          <w:rFonts w:ascii="Times New Roman" w:eastAsia="Times" w:hAnsi="Times New Roman" w:cs="Times New Roman"/>
          <w:noProof/>
          <w:sz w:val="24"/>
          <w:szCs w:val="24"/>
          <w:lang w:val="en-IE" w:eastAsia="en-IE"/>
        </w:rPr>
        <w:t xml:space="preserve"> </w:t>
      </w:r>
      <w:r w:rsidRPr="00532C20">
        <w:rPr>
          <w:rFonts w:ascii="Times New Roman" w:eastAsia="Times" w:hAnsi="Times New Roman" w:cs="Times New Roman"/>
          <w:noProof/>
          <w:sz w:val="24"/>
          <w:szCs w:val="24"/>
          <w:lang w:val="en-IE" w:eastAsia="en-IE"/>
        </w:rPr>
        <w:t>study, the proportion of the interest representation markets for foreign principals/agents in Australia and the US was used to estimate the proportion of the total interest EU representation market that provide services to third countries. It was found that 0.02% of possible interest representation service providers are directed / remunerated by foreign countries in Australia, while this figure is 0.03% in the US. Both proportions, as well as the average of the proportions for the 2 countries (i.e. 0.025%), were applied to estimate the EU interest representation market.  </w:t>
      </w:r>
    </w:p>
    <w:p w14:paraId="4956CC8C" w14:textId="77777777" w:rsidR="009F2422" w:rsidRPr="00532C20" w:rsidRDefault="009F2422" w:rsidP="009F2422">
      <w:pPr>
        <w:spacing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The below table presents estimates for the number of </w:t>
      </w:r>
      <w:r w:rsidRPr="00532C20">
        <w:rPr>
          <w:rFonts w:ascii="Times New Roman" w:eastAsia="Times" w:hAnsi="Times New Roman" w:cs="Times New Roman"/>
          <w:noProof/>
          <w:sz w:val="24"/>
          <w:szCs w:val="24"/>
          <w:lang w:val="en-IE"/>
        </w:rPr>
        <w:t xml:space="preserve">entities carrying out </w:t>
      </w:r>
      <w:r w:rsidRPr="00532C20">
        <w:rPr>
          <w:rFonts w:ascii="Times New Roman" w:eastAsia="Times" w:hAnsi="Times New Roman" w:cs="Times New Roman"/>
          <w:noProof/>
          <w:sz w:val="24"/>
          <w:szCs w:val="24"/>
          <w:lang w:val="en-IE" w:eastAsia="en-IE"/>
        </w:rPr>
        <w:t xml:space="preserve">interest representation </w:t>
      </w:r>
      <w:r w:rsidRPr="00532C20">
        <w:rPr>
          <w:rFonts w:ascii="Times New Roman" w:eastAsia="Times" w:hAnsi="Times New Roman" w:cs="Times New Roman"/>
          <w:noProof/>
          <w:sz w:val="24"/>
          <w:szCs w:val="24"/>
          <w:lang w:val="en-IE"/>
        </w:rPr>
        <w:t>activities on behalf of</w:t>
      </w:r>
      <w:r w:rsidRPr="00532C20">
        <w:rPr>
          <w:rFonts w:ascii="Times New Roman" w:eastAsia="Times" w:hAnsi="Times New Roman" w:cs="Times New Roman"/>
          <w:noProof/>
          <w:sz w:val="24"/>
          <w:szCs w:val="24"/>
          <w:lang w:val="en-IE" w:eastAsia="en-IE"/>
        </w:rPr>
        <w:t xml:space="preserve"> third countries in each Member State.  </w:t>
      </w:r>
    </w:p>
    <w:p w14:paraId="21F1E1F1" w14:textId="77777777" w:rsidR="009F2422" w:rsidRPr="00532C20" w:rsidRDefault="009F2422" w:rsidP="009F2422">
      <w:pPr>
        <w:spacing w:line="240" w:lineRule="auto"/>
        <w:jc w:val="both"/>
        <w:textAlignment w:val="baseline"/>
        <w:rPr>
          <w:rFonts w:ascii="Times New Roman" w:eastAsia="Times" w:hAnsi="Times New Roman" w:cs="Times New Roman"/>
          <w:b/>
          <w:noProof/>
          <w:color w:val="0C4DA2"/>
          <w:sz w:val="24"/>
          <w:szCs w:val="24"/>
          <w:lang w:val="en-IE" w:eastAsia="en-IE"/>
        </w:rPr>
      </w:pPr>
      <w:r w:rsidRPr="00532C20">
        <w:rPr>
          <w:rFonts w:ascii="Times New Roman" w:eastAsia="Times" w:hAnsi="Times New Roman" w:cs="Times New Roman"/>
          <w:b/>
          <w:noProof/>
          <w:sz w:val="24"/>
          <w:szCs w:val="24"/>
          <w:lang w:val="en-IE" w:eastAsia="en-IE"/>
        </w:rPr>
        <w:t xml:space="preserve">Estimates of the number of </w:t>
      </w:r>
      <w:r w:rsidRPr="00532C20">
        <w:rPr>
          <w:rFonts w:ascii="Times New Roman" w:eastAsia="Times" w:hAnsi="Times New Roman" w:cs="Times New Roman"/>
          <w:b/>
          <w:noProof/>
          <w:sz w:val="24"/>
          <w:szCs w:val="24"/>
          <w:lang w:val="en-IE"/>
        </w:rPr>
        <w:t xml:space="preserve">entities carrying out </w:t>
      </w:r>
      <w:r w:rsidRPr="00532C20">
        <w:rPr>
          <w:rFonts w:ascii="Times New Roman" w:eastAsia="Times" w:hAnsi="Times New Roman" w:cs="Times New Roman"/>
          <w:b/>
          <w:noProof/>
          <w:sz w:val="24"/>
          <w:szCs w:val="24"/>
          <w:lang w:val="en-IE" w:eastAsia="en-IE"/>
        </w:rPr>
        <w:t xml:space="preserve">interest representation </w:t>
      </w:r>
      <w:r w:rsidRPr="00532C20">
        <w:rPr>
          <w:rFonts w:ascii="Times New Roman" w:eastAsia="Times" w:hAnsi="Times New Roman" w:cs="Times New Roman"/>
          <w:b/>
          <w:noProof/>
          <w:sz w:val="24"/>
          <w:szCs w:val="24"/>
          <w:lang w:val="en-IE"/>
        </w:rPr>
        <w:t>activities on behalf of</w:t>
      </w:r>
      <w:r w:rsidRPr="00532C20">
        <w:rPr>
          <w:rFonts w:ascii="Times New Roman" w:eastAsia="Times" w:hAnsi="Times New Roman" w:cs="Times New Roman"/>
          <w:b/>
          <w:noProof/>
          <w:sz w:val="24"/>
          <w:szCs w:val="24"/>
          <w:lang w:val="en-IE" w:eastAsia="en-IE"/>
        </w:rPr>
        <w:t xml:space="preserve"> third countries by scenario, EU-27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695"/>
        <w:gridCol w:w="1830"/>
        <w:gridCol w:w="2115"/>
        <w:gridCol w:w="1950"/>
      </w:tblGrid>
      <w:tr w:rsidR="009F2422" w:rsidRPr="00532C20" w14:paraId="4CCC1A24" w14:textId="77777777">
        <w:trPr>
          <w:trHeight w:val="15"/>
        </w:trPr>
        <w:tc>
          <w:tcPr>
            <w:tcW w:w="1410" w:type="dxa"/>
            <w:vMerge w:val="restart"/>
            <w:tcBorders>
              <w:top w:val="single" w:sz="6" w:space="0" w:color="FFFFFF"/>
              <w:left w:val="single" w:sz="6" w:space="0" w:color="FFFFFF"/>
              <w:bottom w:val="single" w:sz="6" w:space="0" w:color="FFFFFF"/>
              <w:right w:val="single" w:sz="6" w:space="0" w:color="FFFFFF"/>
            </w:tcBorders>
            <w:shd w:val="clear" w:color="auto" w:fill="002060"/>
            <w:hideMark/>
          </w:tcPr>
          <w:p w14:paraId="57758E2D" w14:textId="77777777" w:rsidR="009F2422" w:rsidRPr="00532C20" w:rsidRDefault="009F2422">
            <w:pPr>
              <w:spacing w:after="0" w:line="240" w:lineRule="auto"/>
              <w:jc w:val="both"/>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color w:val="FFFFFF"/>
                <w:sz w:val="24"/>
                <w:szCs w:val="24"/>
                <w:lang w:val="en-IE" w:eastAsia="en-IE"/>
              </w:rPr>
              <w:t>Country</w:t>
            </w:r>
            <w:r w:rsidRPr="00532C20">
              <w:rPr>
                <w:rFonts w:ascii="Times New Roman" w:eastAsia="Times" w:hAnsi="Times New Roman" w:cs="Times New Roman"/>
                <w:noProof/>
                <w:color w:val="FFFFFF"/>
                <w:sz w:val="24"/>
                <w:szCs w:val="24"/>
                <w:lang w:val="en-IE" w:eastAsia="en-IE"/>
              </w:rPr>
              <w:t> </w:t>
            </w:r>
          </w:p>
        </w:tc>
        <w:tc>
          <w:tcPr>
            <w:tcW w:w="1695" w:type="dxa"/>
            <w:vMerge w:val="restart"/>
            <w:tcBorders>
              <w:top w:val="single" w:sz="6" w:space="0" w:color="FFFFFF"/>
              <w:left w:val="single" w:sz="6" w:space="0" w:color="FFFFFF"/>
              <w:bottom w:val="single" w:sz="6" w:space="0" w:color="FFFFFF"/>
              <w:right w:val="single" w:sz="6" w:space="0" w:color="FFFFFF"/>
            </w:tcBorders>
            <w:shd w:val="clear" w:color="auto" w:fill="002060"/>
            <w:hideMark/>
          </w:tcPr>
          <w:p w14:paraId="53DC33F5" w14:textId="77777777" w:rsidR="009F2422" w:rsidRPr="00532C20" w:rsidRDefault="009F2422">
            <w:pPr>
              <w:spacing w:after="0" w:line="240" w:lineRule="auto"/>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color w:val="FFFFFF"/>
                <w:sz w:val="24"/>
                <w:szCs w:val="24"/>
                <w:lang w:val="en-IE" w:eastAsia="en-IE"/>
              </w:rPr>
              <w:t>Total entities carrying out interest representation activities on behalf of third countries</w:t>
            </w:r>
          </w:p>
        </w:tc>
        <w:tc>
          <w:tcPr>
            <w:tcW w:w="5895" w:type="dxa"/>
            <w:gridSpan w:val="3"/>
            <w:tcBorders>
              <w:top w:val="single" w:sz="6" w:space="0" w:color="FFFFFF"/>
              <w:left w:val="single" w:sz="6" w:space="0" w:color="FFFFFF"/>
              <w:bottom w:val="single" w:sz="6" w:space="0" w:color="FFFFFF"/>
              <w:right w:val="single" w:sz="6" w:space="0" w:color="FFFFFF"/>
            </w:tcBorders>
            <w:shd w:val="clear" w:color="auto" w:fill="002060"/>
            <w:hideMark/>
          </w:tcPr>
          <w:p w14:paraId="41C20F27" w14:textId="77777777" w:rsidR="009F2422" w:rsidRPr="00532C20" w:rsidRDefault="009F2422">
            <w:pPr>
              <w:spacing w:after="0" w:line="240" w:lineRule="auto"/>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color w:val="FFFFFF"/>
                <w:sz w:val="24"/>
                <w:szCs w:val="24"/>
                <w:lang w:val="en-IE" w:eastAsia="en-IE"/>
              </w:rPr>
              <w:t>Entities carrying out interest representation activities on behalf of third countries – estimates by scenario</w:t>
            </w:r>
            <w:r w:rsidRPr="00532C20">
              <w:rPr>
                <w:rFonts w:ascii="Times New Roman" w:eastAsia="Times" w:hAnsi="Times New Roman" w:cs="Times New Roman"/>
                <w:noProof/>
                <w:color w:val="FFFFFF"/>
                <w:sz w:val="24"/>
                <w:szCs w:val="24"/>
                <w:lang w:val="en-IE" w:eastAsia="en-IE"/>
              </w:rPr>
              <w:t> </w:t>
            </w:r>
          </w:p>
        </w:tc>
      </w:tr>
      <w:tr w:rsidR="009F2422" w:rsidRPr="00532C20" w14:paraId="251D6F0C" w14:textId="77777777">
        <w:trPr>
          <w:trHeight w:val="15"/>
        </w:trPr>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4D13C226" w14:textId="77777777" w:rsidR="009F2422" w:rsidRPr="00532C20" w:rsidRDefault="009F2422">
            <w:pPr>
              <w:spacing w:after="0" w:line="240" w:lineRule="auto"/>
              <w:jc w:val="both"/>
              <w:rPr>
                <w:rFonts w:ascii="Times New Roman" w:eastAsia="Times" w:hAnsi="Times New Roman" w:cs="Times New Roman"/>
                <w:noProof/>
                <w:color w:val="FFFFFF"/>
                <w:sz w:val="24"/>
                <w:szCs w:val="24"/>
                <w:lang w:val="en-IE" w:eastAsia="en-IE"/>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0A0C1B4D" w14:textId="77777777" w:rsidR="009F2422" w:rsidRPr="00532C20" w:rsidRDefault="009F2422">
            <w:pPr>
              <w:spacing w:after="0" w:line="240" w:lineRule="auto"/>
              <w:jc w:val="both"/>
              <w:rPr>
                <w:rFonts w:ascii="Times New Roman" w:eastAsia="Times" w:hAnsi="Times New Roman" w:cs="Times New Roman"/>
                <w:noProof/>
                <w:color w:val="FFFFFF"/>
                <w:sz w:val="24"/>
                <w:szCs w:val="24"/>
                <w:lang w:val="en-IE" w:eastAsia="en-IE"/>
              </w:rPr>
            </w:pPr>
          </w:p>
        </w:tc>
        <w:tc>
          <w:tcPr>
            <w:tcW w:w="1830" w:type="dxa"/>
            <w:tcBorders>
              <w:top w:val="single" w:sz="6" w:space="0" w:color="FFFFFF"/>
              <w:left w:val="single" w:sz="6" w:space="0" w:color="FFFFFF"/>
              <w:bottom w:val="single" w:sz="6" w:space="0" w:color="FFFFFF"/>
              <w:right w:val="single" w:sz="6" w:space="0" w:color="FFFFFF"/>
            </w:tcBorders>
            <w:shd w:val="clear" w:color="auto" w:fill="0C4DA2"/>
            <w:hideMark/>
          </w:tcPr>
          <w:p w14:paraId="0D80173E" w14:textId="77777777" w:rsidR="009F2422" w:rsidRPr="00532C20" w:rsidRDefault="009F2422">
            <w:pPr>
              <w:spacing w:after="0" w:line="240" w:lineRule="auto"/>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color w:val="FFFFFF"/>
                <w:sz w:val="24"/>
                <w:szCs w:val="24"/>
                <w:lang w:val="en-IE" w:eastAsia="en-IE"/>
              </w:rPr>
              <w:t>Low scenario (0.02%)</w:t>
            </w:r>
            <w:r w:rsidRPr="00532C20">
              <w:rPr>
                <w:rFonts w:ascii="Times New Roman" w:eastAsia="Times" w:hAnsi="Times New Roman" w:cs="Times New Roman"/>
                <w:noProof/>
                <w:color w:val="FFFFFF"/>
                <w:sz w:val="24"/>
                <w:szCs w:val="24"/>
                <w:lang w:val="en-IE" w:eastAsia="en-IE"/>
              </w:rPr>
              <w:t> </w:t>
            </w:r>
          </w:p>
        </w:tc>
        <w:tc>
          <w:tcPr>
            <w:tcW w:w="2115" w:type="dxa"/>
            <w:tcBorders>
              <w:top w:val="single" w:sz="6" w:space="0" w:color="FFFFFF"/>
              <w:left w:val="single" w:sz="6" w:space="0" w:color="FFFFFF"/>
              <w:bottom w:val="single" w:sz="6" w:space="0" w:color="FFFFFF"/>
              <w:right w:val="single" w:sz="6" w:space="0" w:color="FFFFFF"/>
            </w:tcBorders>
            <w:shd w:val="clear" w:color="auto" w:fill="0C4DA2"/>
            <w:hideMark/>
          </w:tcPr>
          <w:p w14:paraId="060856D5" w14:textId="77777777" w:rsidR="009F2422" w:rsidRPr="00532C20" w:rsidRDefault="009F2422">
            <w:pPr>
              <w:spacing w:after="0" w:line="240" w:lineRule="auto"/>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color w:val="FFFFFF"/>
                <w:sz w:val="24"/>
                <w:szCs w:val="24"/>
                <w:lang w:val="en-IE" w:eastAsia="en-IE"/>
              </w:rPr>
              <w:t>Middle scenario (0.025%)</w:t>
            </w:r>
            <w:r w:rsidRPr="00532C20">
              <w:rPr>
                <w:rFonts w:ascii="Times New Roman" w:eastAsia="Times" w:hAnsi="Times New Roman" w:cs="Times New Roman"/>
                <w:noProof/>
                <w:color w:val="FFFFFF"/>
                <w:sz w:val="24"/>
                <w:szCs w:val="24"/>
                <w:lang w:val="en-IE" w:eastAsia="en-IE"/>
              </w:rPr>
              <w:t> </w:t>
            </w:r>
          </w:p>
        </w:tc>
        <w:tc>
          <w:tcPr>
            <w:tcW w:w="1920" w:type="dxa"/>
            <w:tcBorders>
              <w:top w:val="single" w:sz="6" w:space="0" w:color="FFFFFF"/>
              <w:left w:val="single" w:sz="6" w:space="0" w:color="FFFFFF"/>
              <w:bottom w:val="single" w:sz="6" w:space="0" w:color="FFFFFF"/>
              <w:right w:val="single" w:sz="6" w:space="0" w:color="FFFFFF"/>
            </w:tcBorders>
            <w:shd w:val="clear" w:color="auto" w:fill="0C4DA2"/>
            <w:hideMark/>
          </w:tcPr>
          <w:p w14:paraId="08F7CA6D" w14:textId="77777777" w:rsidR="009F2422" w:rsidRPr="00532C20" w:rsidRDefault="009F2422">
            <w:pPr>
              <w:spacing w:after="0" w:line="240" w:lineRule="auto"/>
              <w:textAlignment w:val="baseline"/>
              <w:rPr>
                <w:rFonts w:ascii="Times New Roman" w:eastAsia="Times" w:hAnsi="Times New Roman" w:cs="Times New Roman"/>
                <w:noProof/>
                <w:color w:val="FFFFFF"/>
                <w:sz w:val="24"/>
                <w:szCs w:val="24"/>
                <w:lang w:val="en-IE" w:eastAsia="en-IE"/>
              </w:rPr>
            </w:pPr>
            <w:r w:rsidRPr="00532C20">
              <w:rPr>
                <w:rFonts w:ascii="Times New Roman" w:eastAsia="Times" w:hAnsi="Times New Roman" w:cs="Times New Roman"/>
                <w:b/>
                <w:noProof/>
                <w:color w:val="FFFFFF"/>
                <w:sz w:val="24"/>
                <w:szCs w:val="24"/>
                <w:lang w:val="en-IE" w:eastAsia="en-IE"/>
              </w:rPr>
              <w:t>High scenario (0.03%)</w:t>
            </w:r>
            <w:r w:rsidRPr="00532C20">
              <w:rPr>
                <w:rFonts w:ascii="Times New Roman" w:eastAsia="Times" w:hAnsi="Times New Roman" w:cs="Times New Roman"/>
                <w:noProof/>
                <w:color w:val="FFFFFF"/>
                <w:sz w:val="24"/>
                <w:szCs w:val="24"/>
                <w:lang w:val="en-IE" w:eastAsia="en-IE"/>
              </w:rPr>
              <w:t> </w:t>
            </w:r>
          </w:p>
        </w:tc>
      </w:tr>
      <w:tr w:rsidR="009F2422" w:rsidRPr="00532C20" w14:paraId="797555B1"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7539E2B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Austria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48BB91F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118,286 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5EDCC5D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24  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569FB48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30  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47DCB76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35  </w:t>
            </w:r>
          </w:p>
        </w:tc>
      </w:tr>
      <w:tr w:rsidR="009F2422" w:rsidRPr="00532C20" w14:paraId="30EF95DD"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25654EA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Belgium</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3A863C8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117,446 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4ACD9A5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23  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4CA66FB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29  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2817B7B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35  </w:t>
            </w:r>
          </w:p>
        </w:tc>
      </w:tr>
      <w:tr w:rsidR="009F2422" w:rsidRPr="00532C20" w14:paraId="30327FDF"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7255037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Bulgaria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4272F7A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14,187 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4F945CA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09B40E8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5B9CFA1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4  </w:t>
            </w:r>
          </w:p>
        </w:tc>
      </w:tr>
      <w:tr w:rsidR="009F2422" w:rsidRPr="00532C20" w14:paraId="0B0D94C4"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1C60671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Croatia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3960292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28,294 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3917E62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64E470D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2AC963F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8  </w:t>
            </w:r>
          </w:p>
        </w:tc>
      </w:tr>
      <w:tr w:rsidR="009F2422" w:rsidRPr="00532C20" w14:paraId="2B8DB6B0"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2310CAF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Cyprus</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5648370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6,548 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2B750A8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44227D5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7A30573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r>
      <w:tr w:rsidR="009F2422" w:rsidRPr="00532C20" w14:paraId="5CCA7D4C"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76A6474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Czechia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6409DB6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96,049 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6933635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19  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73763D9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24  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1A26C7C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29  </w:t>
            </w:r>
          </w:p>
        </w:tc>
      </w:tr>
      <w:tr w:rsidR="009F2422" w:rsidRPr="00532C20" w14:paraId="5F4E4F6B"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5F35B74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Denmark</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2AC61E5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101,445 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0D87359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20  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171ED17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25  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1456C19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30  </w:t>
            </w:r>
          </w:p>
        </w:tc>
      </w:tr>
      <w:tr w:rsidR="009F2422" w:rsidRPr="00532C20" w14:paraId="0FE1F35C"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5A499C3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Estonia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54FB4D8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23,781 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47DA734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228499C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540CF36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7  </w:t>
            </w:r>
          </w:p>
        </w:tc>
      </w:tr>
      <w:tr w:rsidR="009F2422" w:rsidRPr="00532C20" w14:paraId="7143CF09"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6A41D47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Finland</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7A8063A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109,465 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2A7B944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22  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61F4FC0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27  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0E7673C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33  </w:t>
            </w:r>
          </w:p>
        </w:tc>
      </w:tr>
      <w:tr w:rsidR="009F2422" w:rsidRPr="00532C20" w14:paraId="32C0E816"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516A8C3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France</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7F93300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1,298,857 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4CA5EF3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260  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14D6918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325  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0698E61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390  </w:t>
            </w:r>
          </w:p>
        </w:tc>
      </w:tr>
      <w:tr w:rsidR="009F2422" w:rsidRPr="00532C20" w14:paraId="7FC9A37B"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2D94700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Germany</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3299B24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628,972 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4D5A08F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126  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1215DEA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157  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6C0B124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189  </w:t>
            </w:r>
          </w:p>
        </w:tc>
      </w:tr>
      <w:tr w:rsidR="009F2422" w:rsidRPr="00532C20" w14:paraId="55085C93"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7591969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Greece</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6D4B619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6,794 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7FEBE15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1731318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55450CC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r>
      <w:tr w:rsidR="009F2422" w:rsidRPr="00532C20" w14:paraId="2A3B61A4"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3CD4604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Hungary</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3A7E345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63,907 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16AB08C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13  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3A7CC15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16  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5F11000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19  </w:t>
            </w:r>
          </w:p>
        </w:tc>
      </w:tr>
      <w:tr w:rsidR="009F2422" w:rsidRPr="00532C20" w14:paraId="5403E5E6"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431D9A8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Ireland</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61BE37F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33,823 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5975A91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11E3BCB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68CB22D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10  </w:t>
            </w:r>
          </w:p>
        </w:tc>
      </w:tr>
      <w:tr w:rsidR="009F2422" w:rsidRPr="00532C20" w14:paraId="44AD5E8E"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34977BF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Italy</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327AF97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369,791 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32C1EC9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74  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549DBE2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92  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42940C6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111  </w:t>
            </w:r>
          </w:p>
        </w:tc>
      </w:tr>
      <w:tr w:rsidR="009F2422" w:rsidRPr="00532C20" w14:paraId="15B309AB"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4A1146D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Latvia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13D6F34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11,905 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3840CB5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28C5471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3345BEB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4  </w:t>
            </w:r>
          </w:p>
        </w:tc>
      </w:tr>
      <w:tr w:rsidR="009F2422" w:rsidRPr="00532C20" w14:paraId="18ADE292"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108690A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Lithuania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156844F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14,813 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5C2A799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6487891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3EA3457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4  </w:t>
            </w:r>
          </w:p>
        </w:tc>
      </w:tr>
      <w:tr w:rsidR="009F2422" w:rsidRPr="00532C20" w14:paraId="01A2EABA"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61D9AED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Luxembourg</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77144F1B"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8,695 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612BAE1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63C2051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254921D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3  </w:t>
            </w:r>
          </w:p>
        </w:tc>
      </w:tr>
      <w:tr w:rsidR="009F2422" w:rsidRPr="00532C20" w14:paraId="2533B285"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6213A3F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Malta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2685C54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2,928 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74EECB0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07EEA96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69E5853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1  </w:t>
            </w:r>
          </w:p>
        </w:tc>
      </w:tr>
      <w:tr w:rsidR="009F2422" w:rsidRPr="00532C20" w14:paraId="71B7792B"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4B546C9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Netherlands</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00D783C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48,454 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66E71A5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4AEB8761"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12  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48B5638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15  </w:t>
            </w:r>
          </w:p>
        </w:tc>
      </w:tr>
      <w:tr w:rsidR="009F2422" w:rsidRPr="00532C20" w14:paraId="34282E6E"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26B06BF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Poland</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592BD56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74,177 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01A69A0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6F6EB3B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19  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04F1326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22  </w:t>
            </w:r>
          </w:p>
        </w:tc>
      </w:tr>
      <w:tr w:rsidR="009F2422" w:rsidRPr="00532C20" w14:paraId="4B1ACB78"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0489F99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Portugal</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3C39089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68,765 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730AA66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14  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7A9E7D5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17  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2D3AFD7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21  </w:t>
            </w:r>
          </w:p>
        </w:tc>
      </w:tr>
      <w:tr w:rsidR="009F2422" w:rsidRPr="00532C20" w14:paraId="47EF6BF6"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5DFCA37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Romania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4018FE0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61,698 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19D52F0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12  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227AD28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15  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5CEB3F7C"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19  </w:t>
            </w:r>
          </w:p>
        </w:tc>
      </w:tr>
      <w:tr w:rsidR="009F2422" w:rsidRPr="00532C20" w14:paraId="63DEAD2A"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470D962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Slovakia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6F45610D"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20,198 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53A9339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4  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1D2D426F"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6C5A6B9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6  </w:t>
            </w:r>
          </w:p>
        </w:tc>
      </w:tr>
      <w:tr w:rsidR="009F2422" w:rsidRPr="00532C20" w14:paraId="6796D999"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70A6035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Slovenia</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2BDB0DB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26,731 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0DA977D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5  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3967A848"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7  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58AFB3F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8  </w:t>
            </w:r>
          </w:p>
        </w:tc>
      </w:tr>
      <w:tr w:rsidR="009F2422" w:rsidRPr="00532C20" w14:paraId="416A942C"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2126B380"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Spain</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64C10512"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101,562 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5BEC7FF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20  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1AF7282A"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25  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16CC948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30  </w:t>
            </w:r>
          </w:p>
        </w:tc>
      </w:tr>
      <w:tr w:rsidR="009F2422" w:rsidRPr="00532C20" w14:paraId="438F88AE"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F2F2F2"/>
            <w:hideMark/>
          </w:tcPr>
          <w:p w14:paraId="30C33E5E"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sz w:val="24"/>
                <w:szCs w:val="24"/>
                <w:lang w:val="en-IE" w:eastAsia="en-IE"/>
              </w:rPr>
              <w:t>Sweden</w:t>
            </w:r>
            <w:r w:rsidRPr="00532C20">
              <w:rPr>
                <w:rFonts w:ascii="Times New Roman" w:eastAsia="Times" w:hAnsi="Times New Roman" w:cs="Times New Roman"/>
                <w:noProo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F2F2F2"/>
            <w:hideMark/>
          </w:tcPr>
          <w:p w14:paraId="4D3C629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103,267 </w:t>
            </w:r>
          </w:p>
        </w:tc>
        <w:tc>
          <w:tcPr>
            <w:tcW w:w="1830" w:type="dxa"/>
            <w:tcBorders>
              <w:top w:val="single" w:sz="6" w:space="0" w:color="FFFFFF"/>
              <w:left w:val="single" w:sz="6" w:space="0" w:color="FFFFFF"/>
              <w:bottom w:val="single" w:sz="6" w:space="0" w:color="FFFFFF"/>
              <w:right w:val="single" w:sz="6" w:space="0" w:color="FFFFFF"/>
            </w:tcBorders>
            <w:shd w:val="clear" w:color="auto" w:fill="F2F2F2"/>
            <w:hideMark/>
          </w:tcPr>
          <w:p w14:paraId="209EBE14"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21  </w:t>
            </w:r>
          </w:p>
        </w:tc>
        <w:tc>
          <w:tcPr>
            <w:tcW w:w="2115" w:type="dxa"/>
            <w:tcBorders>
              <w:top w:val="single" w:sz="6" w:space="0" w:color="FFFFFF"/>
              <w:left w:val="single" w:sz="6" w:space="0" w:color="FFFFFF"/>
              <w:bottom w:val="single" w:sz="6" w:space="0" w:color="FFFFFF"/>
              <w:right w:val="single" w:sz="6" w:space="0" w:color="FFFFFF"/>
            </w:tcBorders>
            <w:shd w:val="clear" w:color="auto" w:fill="F2F2F2"/>
            <w:hideMark/>
          </w:tcPr>
          <w:p w14:paraId="04EED7D7"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26  </w:t>
            </w:r>
          </w:p>
        </w:tc>
        <w:tc>
          <w:tcPr>
            <w:tcW w:w="1920" w:type="dxa"/>
            <w:tcBorders>
              <w:top w:val="single" w:sz="6" w:space="0" w:color="FFFFFF"/>
              <w:left w:val="single" w:sz="6" w:space="0" w:color="FFFFFF"/>
              <w:bottom w:val="single" w:sz="6" w:space="0" w:color="FFFFFF"/>
              <w:right w:val="single" w:sz="6" w:space="0" w:color="FFFFFF"/>
            </w:tcBorders>
            <w:shd w:val="clear" w:color="auto" w:fill="F2F2F2"/>
            <w:hideMark/>
          </w:tcPr>
          <w:p w14:paraId="59DB0D06"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31  </w:t>
            </w:r>
          </w:p>
        </w:tc>
      </w:tr>
      <w:tr w:rsidR="009F2422" w:rsidRPr="00532C20" w14:paraId="35522A2A" w14:textId="77777777">
        <w:trPr>
          <w:trHeight w:val="15"/>
        </w:trPr>
        <w:tc>
          <w:tcPr>
            <w:tcW w:w="1410" w:type="dxa"/>
            <w:tcBorders>
              <w:top w:val="single" w:sz="6" w:space="0" w:color="FFFFFF"/>
              <w:left w:val="single" w:sz="6" w:space="0" w:color="FFFFFF"/>
              <w:bottom w:val="single" w:sz="6" w:space="0" w:color="FFFFFF"/>
              <w:right w:val="single" w:sz="6" w:space="0" w:color="FFFFFF"/>
            </w:tcBorders>
            <w:shd w:val="clear" w:color="auto" w:fill="0C4DA2"/>
            <w:hideMark/>
          </w:tcPr>
          <w:p w14:paraId="747B4B7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EU-27</w:t>
            </w:r>
            <w:r w:rsidRPr="00532C20">
              <w:rPr>
                <w:rFonts w:ascii="Times New Roman" w:eastAsia="Times" w:hAnsi="Times New Roman" w:cs="Times New Roman"/>
                <w:noProof/>
                <w:color w:val="FFFFFF"/>
                <w:sz w:val="24"/>
                <w:szCs w:val="24"/>
                <w:lang w:val="en-IE" w:eastAsia="en-IE"/>
              </w:rPr>
              <w:t> </w:t>
            </w:r>
          </w:p>
        </w:tc>
        <w:tc>
          <w:tcPr>
            <w:tcW w:w="1695" w:type="dxa"/>
            <w:tcBorders>
              <w:top w:val="single" w:sz="6" w:space="0" w:color="FFFFFF"/>
              <w:left w:val="single" w:sz="6" w:space="0" w:color="FFFFFF"/>
              <w:bottom w:val="single" w:sz="6" w:space="0" w:color="FFFFFF"/>
              <w:right w:val="single" w:sz="6" w:space="0" w:color="FFFFFF"/>
            </w:tcBorders>
            <w:shd w:val="clear" w:color="auto" w:fill="0C4DA2"/>
            <w:hideMark/>
          </w:tcPr>
          <w:p w14:paraId="390AB5F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3,560,838</w:t>
            </w:r>
            <w:r w:rsidRPr="00532C20">
              <w:rPr>
                <w:rFonts w:ascii="Times New Roman" w:eastAsia="Times" w:hAnsi="Times New Roman" w:cs="Times New Roman"/>
                <w:noProof/>
                <w:color w:val="FFFFFF"/>
                <w:sz w:val="24"/>
                <w:szCs w:val="24"/>
                <w:lang w:val="en-IE" w:eastAsia="en-IE"/>
              </w:rPr>
              <w:t> </w:t>
            </w:r>
          </w:p>
        </w:tc>
        <w:tc>
          <w:tcPr>
            <w:tcW w:w="1830" w:type="dxa"/>
            <w:tcBorders>
              <w:top w:val="single" w:sz="6" w:space="0" w:color="FFFFFF"/>
              <w:left w:val="single" w:sz="6" w:space="0" w:color="FFFFFF"/>
              <w:bottom w:val="single" w:sz="6" w:space="0" w:color="FFFFFF"/>
              <w:right w:val="single" w:sz="6" w:space="0" w:color="FFFFFF"/>
            </w:tcBorders>
            <w:shd w:val="clear" w:color="auto" w:fill="0C4DA2"/>
            <w:hideMark/>
          </w:tcPr>
          <w:p w14:paraId="6AF2FB39"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712 </w:t>
            </w:r>
            <w:r w:rsidRPr="00532C20">
              <w:rPr>
                <w:rFonts w:ascii="Times New Roman" w:eastAsia="Times" w:hAnsi="Times New Roman" w:cs="Times New Roman"/>
                <w:noProof/>
                <w:color w:val="FFFFFF"/>
                <w:sz w:val="24"/>
                <w:szCs w:val="24"/>
                <w:lang w:val="en-IE" w:eastAsia="en-IE"/>
              </w:rPr>
              <w:t> </w:t>
            </w:r>
          </w:p>
        </w:tc>
        <w:tc>
          <w:tcPr>
            <w:tcW w:w="2115" w:type="dxa"/>
            <w:tcBorders>
              <w:top w:val="single" w:sz="6" w:space="0" w:color="FFFFFF"/>
              <w:left w:val="single" w:sz="6" w:space="0" w:color="FFFFFF"/>
              <w:bottom w:val="single" w:sz="6" w:space="0" w:color="FFFFFF"/>
              <w:right w:val="single" w:sz="6" w:space="0" w:color="FFFFFF"/>
            </w:tcBorders>
            <w:shd w:val="clear" w:color="auto" w:fill="0C4DA2"/>
            <w:hideMark/>
          </w:tcPr>
          <w:p w14:paraId="069CB2A5"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890 </w:t>
            </w:r>
            <w:r w:rsidRPr="00532C20">
              <w:rPr>
                <w:rFonts w:ascii="Times New Roman" w:eastAsia="Times" w:hAnsi="Times New Roman" w:cs="Times New Roman"/>
                <w:noProof/>
                <w:color w:val="FFFFFF"/>
                <w:sz w:val="24"/>
                <w:szCs w:val="24"/>
                <w:lang w:val="en-IE" w:eastAsia="en-IE"/>
              </w:rPr>
              <w:t> </w:t>
            </w:r>
          </w:p>
        </w:tc>
        <w:tc>
          <w:tcPr>
            <w:tcW w:w="1920" w:type="dxa"/>
            <w:tcBorders>
              <w:top w:val="single" w:sz="6" w:space="0" w:color="FFFFFF"/>
              <w:left w:val="single" w:sz="6" w:space="0" w:color="FFFFFF"/>
              <w:bottom w:val="single" w:sz="6" w:space="0" w:color="FFFFFF"/>
              <w:right w:val="single" w:sz="6" w:space="0" w:color="FFFFFF"/>
            </w:tcBorders>
            <w:shd w:val="clear" w:color="auto" w:fill="0C4DA2"/>
            <w:hideMark/>
          </w:tcPr>
          <w:p w14:paraId="447E1E03" w14:textId="77777777" w:rsidR="009F2422" w:rsidRPr="00532C20" w:rsidRDefault="009F2422">
            <w:pPr>
              <w:spacing w:after="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b/>
                <w:noProof/>
                <w:color w:val="FFFFFF"/>
                <w:sz w:val="24"/>
                <w:szCs w:val="24"/>
                <w:lang w:val="en-IE" w:eastAsia="en-IE"/>
              </w:rPr>
              <w:t>1,068 </w:t>
            </w:r>
            <w:r w:rsidRPr="00532C20">
              <w:rPr>
                <w:rFonts w:ascii="Times New Roman" w:eastAsia="Times" w:hAnsi="Times New Roman" w:cs="Times New Roman"/>
                <w:noProof/>
                <w:color w:val="FFFFFF"/>
                <w:sz w:val="24"/>
                <w:szCs w:val="24"/>
                <w:lang w:val="en-IE" w:eastAsia="en-IE"/>
              </w:rPr>
              <w:t> </w:t>
            </w:r>
          </w:p>
        </w:tc>
      </w:tr>
    </w:tbl>
    <w:p w14:paraId="2C285544" w14:textId="5FC5DCDE" w:rsidR="009F2422" w:rsidRPr="00532C20" w:rsidRDefault="009F2422" w:rsidP="009F2422">
      <w:pPr>
        <w:spacing w:before="20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In light of the prominent caveats and limitations, the estimates place the size of the </w:t>
      </w:r>
      <w:r w:rsidR="00DE4EA0">
        <w:rPr>
          <w:rFonts w:ascii="Times New Roman" w:eastAsia="Times" w:hAnsi="Times New Roman" w:cs="Times New Roman"/>
          <w:noProof/>
          <w:sz w:val="24"/>
          <w:szCs w:val="24"/>
          <w:lang w:val="en-IE" w:eastAsia="en-IE"/>
        </w:rPr>
        <w:t>internal</w:t>
      </w:r>
      <w:r w:rsidR="00DE4EA0" w:rsidRPr="00532C20">
        <w:rPr>
          <w:rFonts w:ascii="Times New Roman" w:eastAsia="Times" w:hAnsi="Times New Roman" w:cs="Times New Roman"/>
          <w:noProof/>
          <w:sz w:val="24"/>
          <w:szCs w:val="24"/>
          <w:lang w:val="en-IE" w:eastAsia="en-IE"/>
        </w:rPr>
        <w:t xml:space="preserve"> </w:t>
      </w:r>
      <w:r w:rsidRPr="00532C20">
        <w:rPr>
          <w:rFonts w:ascii="Times New Roman" w:eastAsia="Times" w:hAnsi="Times New Roman" w:cs="Times New Roman"/>
          <w:noProof/>
          <w:sz w:val="24"/>
          <w:szCs w:val="24"/>
          <w:lang w:val="en-IE" w:eastAsia="en-IE"/>
        </w:rPr>
        <w:t xml:space="preserve">market for interest representation activities carried out on behalf of third countries (and thus the population of enterprises that would be subject to requirements under the proposed policy options) at between 712-1,068 enterprises. By Member State, France (260-390), Germany (126-189) and Italy (74-111) have the most </w:t>
      </w:r>
      <w:r w:rsidRPr="00532C20">
        <w:rPr>
          <w:rFonts w:ascii="Times New Roman" w:eastAsia="Times" w:hAnsi="Times New Roman" w:cs="Times New Roman"/>
          <w:noProof/>
          <w:sz w:val="24"/>
          <w:szCs w:val="24"/>
          <w:lang w:val="en-IE"/>
        </w:rPr>
        <w:t>entities carrying out interest representation activities on behalf of third countries</w:t>
      </w:r>
      <w:r w:rsidRPr="00532C20">
        <w:rPr>
          <w:rFonts w:ascii="Times New Roman" w:eastAsia="Times" w:hAnsi="Times New Roman" w:cs="Times New Roman"/>
          <w:noProof/>
          <w:sz w:val="24"/>
          <w:szCs w:val="24"/>
          <w:lang w:val="en-IE" w:eastAsia="en-IE"/>
        </w:rPr>
        <w:t xml:space="preserve"> and contribute approximately 65% of all such entities across the EU-27. </w:t>
      </w:r>
    </w:p>
    <w:p w14:paraId="1AB7A9DA" w14:textId="44B70AB6" w:rsidR="00471EC4" w:rsidRPr="00532C20" w:rsidRDefault="00327A3B" w:rsidP="00582553">
      <w:pPr>
        <w:pStyle w:val="ListParagraph"/>
        <w:numPr>
          <w:ilvl w:val="1"/>
          <w:numId w:val="76"/>
        </w:numPr>
        <w:rPr>
          <w:rFonts w:ascii="Times New Roman" w:hAnsi="Times New Roman" w:cs="Times New Roman"/>
          <w:b/>
          <w:bCs/>
          <w:noProof/>
          <w:u w:val="single"/>
          <w:lang w:val="en-IE" w:eastAsia="en-IE"/>
        </w:rPr>
      </w:pPr>
      <w:r w:rsidRPr="00532C20">
        <w:rPr>
          <w:rFonts w:ascii="Times New Roman" w:hAnsi="Times New Roman" w:cs="Times New Roman"/>
          <w:b/>
          <w:bCs/>
          <w:noProof/>
          <w:u w:val="single"/>
          <w:lang w:val="en-IE" w:eastAsia="en-IE"/>
        </w:rPr>
        <w:t>I</w:t>
      </w:r>
      <w:r w:rsidR="00471EC4" w:rsidRPr="00532C20">
        <w:rPr>
          <w:rFonts w:ascii="Times New Roman" w:hAnsi="Times New Roman" w:cs="Times New Roman"/>
          <w:b/>
          <w:bCs/>
          <w:noProof/>
          <w:u w:val="single"/>
          <w:lang w:val="en-IE" w:eastAsia="en-IE"/>
        </w:rPr>
        <w:t>nterest representation activities carried out on behalf of third countries</w:t>
      </w:r>
      <w:r w:rsidRPr="00532C20">
        <w:rPr>
          <w:rFonts w:ascii="Times New Roman" w:hAnsi="Times New Roman" w:cs="Times New Roman"/>
          <w:b/>
          <w:bCs/>
          <w:noProof/>
          <w:u w:val="single"/>
          <w:lang w:val="en-IE" w:eastAsia="en-IE"/>
        </w:rPr>
        <w:t xml:space="preserve"> across borders in the U</w:t>
      </w:r>
      <w:r w:rsidR="006203D7">
        <w:rPr>
          <w:rFonts w:ascii="Times New Roman" w:hAnsi="Times New Roman" w:cs="Times New Roman"/>
          <w:b/>
          <w:bCs/>
          <w:noProof/>
          <w:u w:val="single"/>
          <w:lang w:val="en-IE" w:eastAsia="en-IE"/>
        </w:rPr>
        <w:t>nion</w:t>
      </w:r>
    </w:p>
    <w:p w14:paraId="004C0780" w14:textId="3D22CEB2" w:rsidR="00155C87" w:rsidRPr="00532C20" w:rsidRDefault="00327A3B" w:rsidP="009F2422">
      <w:pPr>
        <w:spacing w:before="20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O</w:t>
      </w:r>
      <w:r w:rsidR="00173630" w:rsidRPr="00532C20">
        <w:rPr>
          <w:rFonts w:ascii="Times New Roman" w:eastAsia="Times" w:hAnsi="Times New Roman" w:cs="Times New Roman"/>
          <w:noProof/>
          <w:sz w:val="24"/>
          <w:szCs w:val="24"/>
          <w:lang w:val="en-IE" w:eastAsia="en-IE"/>
        </w:rPr>
        <w:t xml:space="preserve">ut of the number of entities identified </w:t>
      </w:r>
      <w:r w:rsidRPr="00532C20">
        <w:rPr>
          <w:rFonts w:ascii="Times New Roman" w:eastAsia="Times" w:hAnsi="Times New Roman" w:cs="Times New Roman"/>
          <w:noProof/>
          <w:sz w:val="24"/>
          <w:szCs w:val="24"/>
          <w:lang w:val="en-IE" w:eastAsia="en-IE"/>
        </w:rPr>
        <w:t>in the previous section</w:t>
      </w:r>
      <w:r w:rsidR="00173630" w:rsidRPr="00532C20">
        <w:rPr>
          <w:rFonts w:ascii="Times New Roman" w:eastAsia="Times" w:hAnsi="Times New Roman" w:cs="Times New Roman"/>
          <w:noProof/>
          <w:sz w:val="24"/>
          <w:szCs w:val="24"/>
          <w:lang w:val="en-IE" w:eastAsia="en-IE"/>
        </w:rPr>
        <w:t xml:space="preserve">, </w:t>
      </w:r>
      <w:r w:rsidR="004E2292" w:rsidRPr="00532C20">
        <w:rPr>
          <w:rFonts w:ascii="Times New Roman" w:eastAsia="Times" w:hAnsi="Times New Roman" w:cs="Times New Roman"/>
          <w:noProof/>
          <w:sz w:val="24"/>
          <w:szCs w:val="24"/>
          <w:lang w:val="en-IE" w:eastAsia="en-IE"/>
        </w:rPr>
        <w:t xml:space="preserve">a further estimate of the population of entities carrying out interest representation </w:t>
      </w:r>
      <w:r w:rsidR="00155C87" w:rsidRPr="00532C20">
        <w:rPr>
          <w:rFonts w:ascii="Times New Roman" w:eastAsia="Times" w:hAnsi="Times New Roman" w:cs="Times New Roman"/>
          <w:noProof/>
          <w:sz w:val="24"/>
          <w:szCs w:val="24"/>
          <w:lang w:val="en-IE" w:eastAsia="en-IE"/>
        </w:rPr>
        <w:t xml:space="preserve">activities </w:t>
      </w:r>
      <w:r w:rsidR="004E2292" w:rsidRPr="00532C20">
        <w:rPr>
          <w:rFonts w:ascii="Times New Roman" w:eastAsia="Times" w:hAnsi="Times New Roman" w:cs="Times New Roman"/>
          <w:noProof/>
          <w:sz w:val="24"/>
          <w:szCs w:val="24"/>
          <w:lang w:val="en-IE" w:eastAsia="en-IE"/>
        </w:rPr>
        <w:t xml:space="preserve">on behalf of third countries </w:t>
      </w:r>
      <w:r w:rsidR="00155C87" w:rsidRPr="00532C20">
        <w:rPr>
          <w:rFonts w:ascii="Times New Roman" w:eastAsia="Times" w:hAnsi="Times New Roman" w:cs="Times New Roman"/>
          <w:noProof/>
          <w:sz w:val="24"/>
          <w:szCs w:val="24"/>
          <w:lang w:val="en-IE" w:eastAsia="en-IE"/>
        </w:rPr>
        <w:t xml:space="preserve">across border in the </w:t>
      </w:r>
      <w:r w:rsidR="006203D7">
        <w:rPr>
          <w:rFonts w:ascii="Times New Roman" w:eastAsia="Times" w:hAnsi="Times New Roman" w:cs="Times New Roman"/>
          <w:noProof/>
          <w:sz w:val="24"/>
          <w:szCs w:val="24"/>
          <w:lang w:val="en-IE" w:eastAsia="en-IE"/>
        </w:rPr>
        <w:t>Union</w:t>
      </w:r>
      <w:r w:rsidR="00155C87" w:rsidRPr="00532C20">
        <w:rPr>
          <w:rFonts w:ascii="Times New Roman" w:eastAsia="Times" w:hAnsi="Times New Roman" w:cs="Times New Roman"/>
          <w:noProof/>
          <w:sz w:val="24"/>
          <w:szCs w:val="24"/>
          <w:lang w:val="en-IE" w:eastAsia="en-IE"/>
        </w:rPr>
        <w:t xml:space="preserve"> </w:t>
      </w:r>
      <w:r w:rsidR="004E2292" w:rsidRPr="00532C20">
        <w:rPr>
          <w:rFonts w:ascii="Times New Roman" w:eastAsia="Times" w:hAnsi="Times New Roman" w:cs="Times New Roman"/>
          <w:noProof/>
          <w:sz w:val="24"/>
          <w:szCs w:val="24"/>
          <w:lang w:val="en-IE" w:eastAsia="en-IE"/>
        </w:rPr>
        <w:t xml:space="preserve">is detailed below. </w:t>
      </w:r>
    </w:p>
    <w:p w14:paraId="0052AC2D" w14:textId="6EF32129" w:rsidR="00D30C2D" w:rsidRPr="00532C20" w:rsidRDefault="004E2292" w:rsidP="009F2422">
      <w:pPr>
        <w:spacing w:before="20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In this context, operating cross-border is understood to mean an entity is either: i) operating in its EU Member State of establishment and at the EU-level; or ii) operating in its EU Member State of establishment and in at least one other EU Member State.</w:t>
      </w:r>
    </w:p>
    <w:p w14:paraId="53DBC65A" w14:textId="29E6F1FD" w:rsidR="004E2292" w:rsidRPr="00532C20" w:rsidRDefault="004E2292" w:rsidP="009F2422">
      <w:pPr>
        <w:spacing w:before="20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 xml:space="preserve">The identification of this sub-population </w:t>
      </w:r>
      <w:r w:rsidR="00155C87" w:rsidRPr="00532C20">
        <w:rPr>
          <w:rFonts w:ascii="Times New Roman" w:eastAsia="Times" w:hAnsi="Times New Roman" w:cs="Times New Roman"/>
          <w:noProof/>
          <w:sz w:val="24"/>
          <w:szCs w:val="24"/>
          <w:lang w:val="en-IE" w:eastAsia="en-IE"/>
        </w:rPr>
        <w:t xml:space="preserve">of entities </w:t>
      </w:r>
      <w:r w:rsidR="00F63914" w:rsidRPr="00532C20">
        <w:rPr>
          <w:rFonts w:ascii="Times New Roman" w:eastAsia="Times" w:hAnsi="Times New Roman" w:cs="Times New Roman"/>
          <w:noProof/>
          <w:sz w:val="24"/>
          <w:szCs w:val="24"/>
          <w:lang w:val="en-IE" w:eastAsia="en-IE"/>
        </w:rPr>
        <w:t xml:space="preserve">implies several methodological caveats. </w:t>
      </w:r>
    </w:p>
    <w:p w14:paraId="102AF360" w14:textId="693F50E2" w:rsidR="00C53274" w:rsidRPr="00532C20" w:rsidRDefault="00C53274" w:rsidP="00C53274">
      <w:pPr>
        <w:spacing w:before="20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First, there is limited publicly available data on the extent to which this population of entities operates cross-border. Many Member States do not have registers or lists of entities conducting these types of activities. Furthermore, exploratory comparisons were conducted for a selection of national transparency registers. These led to the identification of only a very small number of entities that are registered in more than one of the Member States mentioned; entities that were almost exclusively individual companies.</w:t>
      </w:r>
    </w:p>
    <w:p w14:paraId="5AC75C86" w14:textId="77777777" w:rsidR="00C53274" w:rsidRPr="00532C20" w:rsidRDefault="00C53274" w:rsidP="00C53274">
      <w:pPr>
        <w:spacing w:before="20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Feedback from commercial stakeholders conducting interest representation activities also suggested that cross-border activity was limited by the nature of the national-level interest representation markets, which are characterised by national decision-making and cultural specificities (e.g. language, political systems, contacts). In this context, the qualitative evidence further indicates that businesses tend to operate cross-border either by acquiring local interest representation entities or by working alongside independent local firms.</w:t>
      </w:r>
    </w:p>
    <w:p w14:paraId="2D3578CB" w14:textId="42D27765" w:rsidR="00C53274" w:rsidRPr="00532C20" w:rsidRDefault="00C53274" w:rsidP="00C53274">
      <w:pPr>
        <w:spacing w:before="20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Second, the estimates already calculated for the total number of entities carrying out interest representation in general, as well as the total number of entities carrying out interest representation on behalf of third countries are based on a set of assumptions that limit the level of certainty on the accuracy and precision of the estimates. Additional assumptions, which bring their own caveats, would further decrease that level of certainty.</w:t>
      </w:r>
    </w:p>
    <w:p w14:paraId="7767BDBD" w14:textId="04EFA732" w:rsidR="00C53274" w:rsidRPr="00532C20" w:rsidRDefault="00C53274" w:rsidP="00C53274">
      <w:pPr>
        <w:spacing w:before="20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With these challenges clearly established, it is possible to generate a rough estimate of the population of entities carrying out interest representation on behalf of third countries and operating cross-border using assumptions based on data from the EU Transparency Register (EU TR). Specifically, this estimate assumes that all EU-based entities from relevant entity categories registered in the EU TR with a ‘Head office country’ that is not Belgium are operating at both the EU-level and in the Member State in which they are established. Conversely, this assumes that entities established in Belgium and registered in the EU TR mostly operate at the EU level.</w:t>
      </w:r>
    </w:p>
    <w:p w14:paraId="61E6EC20" w14:textId="77777777" w:rsidR="00C53274" w:rsidRPr="00532C20" w:rsidRDefault="00C53274" w:rsidP="00C53274">
      <w:pPr>
        <w:spacing w:before="20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This aims to generate a rough estimate of the proportion of entities registered in the EU TR that conduct interest representation activities at the EU level and at the national level. This proportion can then be applied to the previously generated estimates on the population of entities carrying out interest representation on behalf of third countries to determine the number of entities operating at the EU-level and in at least one Member State.</w:t>
      </w:r>
    </w:p>
    <w:p w14:paraId="72FD7A30" w14:textId="77777777" w:rsidR="00C53274" w:rsidRPr="00532C20" w:rsidRDefault="00C53274" w:rsidP="00C53274">
      <w:pPr>
        <w:spacing w:before="20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A total of 7,460 entities within the categories included in this analysis are registered in the EU TR. The proportion of these entities that have their head office in Belgium is 26.8%, ranging from 7.4% for academic institutions to 38.8% for self-employed individuals. The figure 73.2% was therefore applied for each Member State across the three scenarios developed to estimate the total number of entities carrying out interest representation activities on behalf of third countries. As illustrated in the detailed table below, an estimated 521-782 of the 712-1,068 entities operate cross-border.</w:t>
      </w:r>
    </w:p>
    <w:p w14:paraId="0145793B" w14:textId="77777777" w:rsidR="00C53274" w:rsidRPr="00532C20" w:rsidRDefault="00C53274" w:rsidP="00C53274">
      <w:pPr>
        <w:spacing w:before="20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However, a range of further caveats need to be highlighted. Given the data deficiencies discussed above, it is not possible to calculate the number of entities that do not operate at the EU-level, but operate cross-border. Beyond the assumptions based on ‘head office country’, these estimates also assume that all entities are active at both the EU-level and in their Member State of establishment, while it also assumes that the proportion of entities operating at both the EU and national level holds true for their activities with third countries (rather than in general). There is limited evidence to support these activity-based assumptions.</w:t>
      </w:r>
    </w:p>
    <w:p w14:paraId="368FA570" w14:textId="61486E39" w:rsidR="00D30C2D" w:rsidRPr="00532C20" w:rsidRDefault="00C53274" w:rsidP="00C53274">
      <w:pPr>
        <w:spacing w:before="200" w:line="240" w:lineRule="auto"/>
        <w:jc w:val="both"/>
        <w:textAlignment w:val="baseline"/>
        <w:rPr>
          <w:rFonts w:ascii="Times New Roman" w:eastAsia="Times" w:hAnsi="Times New Roman" w:cs="Times New Roman"/>
          <w:noProof/>
          <w:sz w:val="24"/>
          <w:szCs w:val="24"/>
          <w:lang w:val="en-IE" w:eastAsia="en-IE"/>
        </w:rPr>
      </w:pPr>
      <w:r w:rsidRPr="00532C20">
        <w:rPr>
          <w:rFonts w:ascii="Times New Roman" w:eastAsia="Times" w:hAnsi="Times New Roman" w:cs="Times New Roman"/>
          <w:noProof/>
          <w:sz w:val="24"/>
          <w:szCs w:val="24"/>
          <w:lang w:val="en-IE" w:eastAsia="en-IE"/>
        </w:rPr>
        <w:t>In addition, the entities excluded (i.e. those established in Belgium) may operate at the EU-level, but also at the national-level in Belgium. Given the time available to conduct the analysis and the number of entities, it has not been possible to ascertain to what extent these excluded entities are operating solely at the EU-level.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52"/>
        <w:gridCol w:w="2724"/>
        <w:gridCol w:w="2392"/>
      </w:tblGrid>
      <w:tr w:rsidR="007A4FB8" w:rsidRPr="00532C20" w14:paraId="2BEC4C19" w14:textId="77777777">
        <w:trPr>
          <w:trHeight w:val="20"/>
        </w:trPr>
        <w:tc>
          <w:tcPr>
            <w:tcW w:w="5000" w:type="pct"/>
            <w:gridSpan w:val="4"/>
            <w:shd w:val="clear" w:color="000000" w:fill="002060"/>
            <w:vAlign w:val="center"/>
            <w:hideMark/>
          </w:tcPr>
          <w:p w14:paraId="0926ADF5" w14:textId="66D99DDE" w:rsidR="007A4FB8" w:rsidRPr="00532C20" w:rsidRDefault="007A4FB8" w:rsidP="007A4FB8">
            <w:pPr>
              <w:spacing w:after="0" w:line="240" w:lineRule="auto"/>
              <w:jc w:val="center"/>
              <w:rPr>
                <w:rFonts w:ascii="Times New Roman" w:eastAsia="Times New Roman" w:hAnsi="Times New Roman" w:cs="Times New Roman"/>
                <w:b/>
                <w:bCs/>
                <w:noProof/>
                <w:color w:val="FFFFFF"/>
                <w:sz w:val="24"/>
                <w:szCs w:val="24"/>
              </w:rPr>
            </w:pPr>
            <w:r w:rsidRPr="00532C20">
              <w:rPr>
                <w:rFonts w:ascii="Times New Roman" w:eastAsia="Times New Roman" w:hAnsi="Times New Roman" w:cs="Times New Roman"/>
                <w:b/>
                <w:bCs/>
                <w:noProof/>
                <w:color w:val="FFFFFF"/>
                <w:sz w:val="24"/>
                <w:szCs w:val="24"/>
              </w:rPr>
              <w:t>Total</w:t>
            </w:r>
            <w:r w:rsidR="00014B3B" w:rsidRPr="00532C20">
              <w:rPr>
                <w:rFonts w:ascii="Times New Roman" w:eastAsia="Times New Roman" w:hAnsi="Times New Roman" w:cs="Times New Roman"/>
                <w:b/>
                <w:bCs/>
                <w:noProof/>
                <w:color w:val="FFFFFF"/>
                <w:sz w:val="24"/>
                <w:szCs w:val="24"/>
              </w:rPr>
              <w:t xml:space="preserve"> </w:t>
            </w:r>
            <w:r w:rsidRPr="00532C20">
              <w:rPr>
                <w:rFonts w:ascii="Times New Roman" w:eastAsia="Times New Roman" w:hAnsi="Times New Roman" w:cs="Times New Roman"/>
                <w:b/>
                <w:bCs/>
                <w:noProof/>
                <w:color w:val="FFFFFF"/>
                <w:sz w:val="24"/>
                <w:szCs w:val="24"/>
              </w:rPr>
              <w:t xml:space="preserve">– </w:t>
            </w:r>
            <w:r w:rsidR="00014B3B" w:rsidRPr="00532C20">
              <w:rPr>
                <w:rFonts w:ascii="Times New Roman" w:eastAsia="Times New Roman" w:hAnsi="Times New Roman" w:cs="Times New Roman"/>
                <w:b/>
                <w:bCs/>
                <w:noProof/>
                <w:color w:val="FFFFFF"/>
                <w:sz w:val="24"/>
                <w:szCs w:val="24"/>
              </w:rPr>
              <w:t>Estimate of e</w:t>
            </w:r>
            <w:r w:rsidRPr="00532C20">
              <w:rPr>
                <w:rFonts w:ascii="Times New Roman" w:eastAsia="Times New Roman" w:hAnsi="Times New Roman" w:cs="Times New Roman"/>
                <w:b/>
                <w:bCs/>
                <w:noProof/>
                <w:color w:val="FFFFFF"/>
                <w:sz w:val="24"/>
                <w:szCs w:val="24"/>
              </w:rPr>
              <w:t>ntities carrying out interest representation activities on behalf of third countries</w:t>
            </w:r>
            <w:r w:rsidR="00014B3B" w:rsidRPr="00532C20">
              <w:rPr>
                <w:rFonts w:ascii="Times New Roman" w:eastAsia="Times New Roman" w:hAnsi="Times New Roman" w:cs="Times New Roman"/>
                <w:b/>
                <w:bCs/>
                <w:noProof/>
                <w:color w:val="FFFFFF"/>
                <w:sz w:val="24"/>
                <w:szCs w:val="24"/>
              </w:rPr>
              <w:t xml:space="preserve"> across border in the EU</w:t>
            </w:r>
          </w:p>
        </w:tc>
      </w:tr>
      <w:tr w:rsidR="007A4FB8" w:rsidRPr="00532C20" w14:paraId="272ED01E" w14:textId="77777777">
        <w:trPr>
          <w:trHeight w:val="20"/>
        </w:trPr>
        <w:tc>
          <w:tcPr>
            <w:tcW w:w="1491" w:type="pct"/>
            <w:shd w:val="clear" w:color="000000" w:fill="44546A"/>
            <w:noWrap/>
            <w:vAlign w:val="center"/>
            <w:hideMark/>
          </w:tcPr>
          <w:p w14:paraId="2330287C" w14:textId="77777777" w:rsidR="007A4FB8" w:rsidRPr="00532C20" w:rsidRDefault="007A4FB8" w:rsidP="007A4FB8">
            <w:pPr>
              <w:spacing w:after="0" w:line="240" w:lineRule="auto"/>
              <w:jc w:val="center"/>
              <w:rPr>
                <w:rFonts w:ascii="Times New Roman" w:eastAsia="Times New Roman" w:hAnsi="Times New Roman" w:cs="Times New Roman"/>
                <w:noProof/>
                <w:color w:val="FFFFFF"/>
                <w:sz w:val="24"/>
                <w:szCs w:val="24"/>
              </w:rPr>
            </w:pPr>
            <w:r w:rsidRPr="00532C20">
              <w:rPr>
                <w:rFonts w:ascii="Times New Roman" w:eastAsia="Times New Roman" w:hAnsi="Times New Roman" w:cs="Times New Roman"/>
                <w:noProof/>
                <w:color w:val="FFFFFF"/>
                <w:sz w:val="24"/>
                <w:szCs w:val="24"/>
              </w:rPr>
              <w:t>Country</w:t>
            </w:r>
          </w:p>
        </w:tc>
        <w:tc>
          <w:tcPr>
            <w:tcW w:w="1100" w:type="pct"/>
            <w:shd w:val="clear" w:color="000000" w:fill="44546A"/>
            <w:noWrap/>
            <w:vAlign w:val="center"/>
            <w:hideMark/>
          </w:tcPr>
          <w:p w14:paraId="098DE8E1" w14:textId="77777777" w:rsidR="007A4FB8" w:rsidRPr="00532C20" w:rsidRDefault="007A4FB8" w:rsidP="007A4FB8">
            <w:pPr>
              <w:spacing w:after="0" w:line="240" w:lineRule="auto"/>
              <w:jc w:val="center"/>
              <w:rPr>
                <w:rFonts w:ascii="Times New Roman" w:eastAsia="Times New Roman" w:hAnsi="Times New Roman" w:cs="Times New Roman"/>
                <w:noProof/>
                <w:color w:val="FFFFFF"/>
                <w:sz w:val="24"/>
                <w:szCs w:val="24"/>
              </w:rPr>
            </w:pPr>
            <w:r w:rsidRPr="00532C20">
              <w:rPr>
                <w:rFonts w:ascii="Times New Roman" w:eastAsia="Times New Roman" w:hAnsi="Times New Roman" w:cs="Times New Roman"/>
                <w:noProof/>
                <w:color w:val="FFFFFF"/>
                <w:sz w:val="24"/>
                <w:szCs w:val="24"/>
              </w:rPr>
              <w:t>Low scenario (0.02%)</w:t>
            </w:r>
          </w:p>
        </w:tc>
        <w:tc>
          <w:tcPr>
            <w:tcW w:w="1301" w:type="pct"/>
            <w:shd w:val="clear" w:color="000000" w:fill="44546A"/>
            <w:noWrap/>
            <w:vAlign w:val="center"/>
            <w:hideMark/>
          </w:tcPr>
          <w:p w14:paraId="242BAC53" w14:textId="77777777" w:rsidR="007A4FB8" w:rsidRPr="00532C20" w:rsidRDefault="007A4FB8" w:rsidP="007A4FB8">
            <w:pPr>
              <w:spacing w:after="0" w:line="240" w:lineRule="auto"/>
              <w:jc w:val="center"/>
              <w:rPr>
                <w:rFonts w:ascii="Times New Roman" w:eastAsia="Times New Roman" w:hAnsi="Times New Roman" w:cs="Times New Roman"/>
                <w:noProof/>
                <w:color w:val="FFFFFF"/>
                <w:sz w:val="24"/>
                <w:szCs w:val="24"/>
              </w:rPr>
            </w:pPr>
            <w:r w:rsidRPr="00532C20">
              <w:rPr>
                <w:rFonts w:ascii="Times New Roman" w:eastAsia="Times New Roman" w:hAnsi="Times New Roman" w:cs="Times New Roman"/>
                <w:noProof/>
                <w:color w:val="FFFFFF"/>
                <w:sz w:val="24"/>
                <w:szCs w:val="24"/>
              </w:rPr>
              <w:t>Middle scenario (0.025%)</w:t>
            </w:r>
          </w:p>
        </w:tc>
        <w:tc>
          <w:tcPr>
            <w:tcW w:w="1107" w:type="pct"/>
            <w:shd w:val="clear" w:color="000000" w:fill="44546A"/>
            <w:noWrap/>
            <w:vAlign w:val="center"/>
            <w:hideMark/>
          </w:tcPr>
          <w:p w14:paraId="3A7EA28D" w14:textId="77777777" w:rsidR="007A4FB8" w:rsidRPr="00532C20" w:rsidRDefault="007A4FB8" w:rsidP="007A4FB8">
            <w:pPr>
              <w:spacing w:after="0" w:line="240" w:lineRule="auto"/>
              <w:jc w:val="center"/>
              <w:rPr>
                <w:rFonts w:ascii="Times New Roman" w:eastAsia="Times New Roman" w:hAnsi="Times New Roman" w:cs="Times New Roman"/>
                <w:noProof/>
                <w:color w:val="FFFFFF"/>
                <w:sz w:val="24"/>
                <w:szCs w:val="24"/>
              </w:rPr>
            </w:pPr>
            <w:r w:rsidRPr="00532C20">
              <w:rPr>
                <w:rFonts w:ascii="Times New Roman" w:eastAsia="Times New Roman" w:hAnsi="Times New Roman" w:cs="Times New Roman"/>
                <w:noProof/>
                <w:color w:val="FFFFFF"/>
                <w:sz w:val="24"/>
                <w:szCs w:val="24"/>
              </w:rPr>
              <w:t>High scenario (0.03%)</w:t>
            </w:r>
          </w:p>
        </w:tc>
      </w:tr>
      <w:tr w:rsidR="007A4FB8" w:rsidRPr="00532C20" w14:paraId="3EB1B4FE" w14:textId="77777777">
        <w:trPr>
          <w:trHeight w:val="20"/>
        </w:trPr>
        <w:tc>
          <w:tcPr>
            <w:tcW w:w="1491" w:type="pct"/>
            <w:shd w:val="clear" w:color="000000" w:fill="F2F2F2"/>
            <w:noWrap/>
            <w:vAlign w:val="center"/>
            <w:hideMark/>
          </w:tcPr>
          <w:p w14:paraId="49F2E105"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Austria</w:t>
            </w:r>
          </w:p>
        </w:tc>
        <w:tc>
          <w:tcPr>
            <w:tcW w:w="1100" w:type="pct"/>
            <w:shd w:val="clear" w:color="auto" w:fill="auto"/>
            <w:noWrap/>
            <w:vAlign w:val="center"/>
            <w:hideMark/>
          </w:tcPr>
          <w:p w14:paraId="05AF59A8"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17</w:t>
            </w:r>
          </w:p>
        </w:tc>
        <w:tc>
          <w:tcPr>
            <w:tcW w:w="1301" w:type="pct"/>
            <w:shd w:val="clear" w:color="auto" w:fill="auto"/>
            <w:noWrap/>
            <w:vAlign w:val="center"/>
            <w:hideMark/>
          </w:tcPr>
          <w:p w14:paraId="330F3788"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22 </w:t>
            </w:r>
          </w:p>
        </w:tc>
        <w:tc>
          <w:tcPr>
            <w:tcW w:w="1107" w:type="pct"/>
            <w:shd w:val="clear" w:color="auto" w:fill="auto"/>
            <w:noWrap/>
            <w:vAlign w:val="center"/>
            <w:hideMark/>
          </w:tcPr>
          <w:p w14:paraId="69D22A68"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26 </w:t>
            </w:r>
          </w:p>
        </w:tc>
      </w:tr>
      <w:tr w:rsidR="007A4FB8" w:rsidRPr="00532C20" w14:paraId="3959EBFF" w14:textId="77777777">
        <w:trPr>
          <w:trHeight w:val="20"/>
        </w:trPr>
        <w:tc>
          <w:tcPr>
            <w:tcW w:w="1491" w:type="pct"/>
            <w:shd w:val="clear" w:color="000000" w:fill="F2F2F2"/>
            <w:noWrap/>
            <w:vAlign w:val="center"/>
            <w:hideMark/>
          </w:tcPr>
          <w:p w14:paraId="42794C9D"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Belgium</w:t>
            </w:r>
          </w:p>
        </w:tc>
        <w:tc>
          <w:tcPr>
            <w:tcW w:w="1100" w:type="pct"/>
            <w:shd w:val="clear" w:color="auto" w:fill="auto"/>
            <w:noWrap/>
            <w:vAlign w:val="center"/>
            <w:hideMark/>
          </w:tcPr>
          <w:p w14:paraId="427D02CB"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17 </w:t>
            </w:r>
          </w:p>
        </w:tc>
        <w:tc>
          <w:tcPr>
            <w:tcW w:w="1301" w:type="pct"/>
            <w:shd w:val="clear" w:color="auto" w:fill="auto"/>
            <w:noWrap/>
            <w:vAlign w:val="center"/>
            <w:hideMark/>
          </w:tcPr>
          <w:p w14:paraId="50E104D4"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21 </w:t>
            </w:r>
          </w:p>
        </w:tc>
        <w:tc>
          <w:tcPr>
            <w:tcW w:w="1107" w:type="pct"/>
            <w:shd w:val="clear" w:color="auto" w:fill="auto"/>
            <w:noWrap/>
            <w:vAlign w:val="center"/>
            <w:hideMark/>
          </w:tcPr>
          <w:p w14:paraId="6383261C"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26 </w:t>
            </w:r>
          </w:p>
        </w:tc>
      </w:tr>
      <w:tr w:rsidR="007A4FB8" w:rsidRPr="00532C20" w14:paraId="428DB754" w14:textId="77777777">
        <w:trPr>
          <w:trHeight w:val="20"/>
        </w:trPr>
        <w:tc>
          <w:tcPr>
            <w:tcW w:w="1491" w:type="pct"/>
            <w:shd w:val="clear" w:color="000000" w:fill="F2F2F2"/>
            <w:noWrap/>
            <w:vAlign w:val="center"/>
            <w:hideMark/>
          </w:tcPr>
          <w:p w14:paraId="49BF57B9"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Bulgaria</w:t>
            </w:r>
          </w:p>
        </w:tc>
        <w:tc>
          <w:tcPr>
            <w:tcW w:w="1100" w:type="pct"/>
            <w:shd w:val="clear" w:color="auto" w:fill="auto"/>
            <w:noWrap/>
            <w:vAlign w:val="center"/>
            <w:hideMark/>
          </w:tcPr>
          <w:p w14:paraId="4C9535FD"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 </w:t>
            </w:r>
          </w:p>
        </w:tc>
        <w:tc>
          <w:tcPr>
            <w:tcW w:w="1301" w:type="pct"/>
            <w:shd w:val="clear" w:color="auto" w:fill="auto"/>
            <w:noWrap/>
            <w:vAlign w:val="center"/>
            <w:hideMark/>
          </w:tcPr>
          <w:p w14:paraId="13450653"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3 </w:t>
            </w:r>
          </w:p>
        </w:tc>
        <w:tc>
          <w:tcPr>
            <w:tcW w:w="1107" w:type="pct"/>
            <w:shd w:val="clear" w:color="auto" w:fill="auto"/>
            <w:noWrap/>
            <w:vAlign w:val="center"/>
            <w:hideMark/>
          </w:tcPr>
          <w:p w14:paraId="5A1068B4"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3 </w:t>
            </w:r>
          </w:p>
        </w:tc>
      </w:tr>
      <w:tr w:rsidR="007A4FB8" w:rsidRPr="00532C20" w14:paraId="035A008C" w14:textId="77777777">
        <w:trPr>
          <w:trHeight w:val="20"/>
        </w:trPr>
        <w:tc>
          <w:tcPr>
            <w:tcW w:w="1491" w:type="pct"/>
            <w:shd w:val="clear" w:color="000000" w:fill="F2F2F2"/>
            <w:noWrap/>
            <w:vAlign w:val="center"/>
            <w:hideMark/>
          </w:tcPr>
          <w:p w14:paraId="51BEE79C"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Croatia</w:t>
            </w:r>
          </w:p>
        </w:tc>
        <w:tc>
          <w:tcPr>
            <w:tcW w:w="1100" w:type="pct"/>
            <w:shd w:val="clear" w:color="auto" w:fill="auto"/>
            <w:noWrap/>
            <w:vAlign w:val="center"/>
            <w:hideMark/>
          </w:tcPr>
          <w:p w14:paraId="23C81A33"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4 </w:t>
            </w:r>
          </w:p>
        </w:tc>
        <w:tc>
          <w:tcPr>
            <w:tcW w:w="1301" w:type="pct"/>
            <w:shd w:val="clear" w:color="auto" w:fill="auto"/>
            <w:noWrap/>
            <w:vAlign w:val="center"/>
            <w:hideMark/>
          </w:tcPr>
          <w:p w14:paraId="4EA1D7CA"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5 </w:t>
            </w:r>
          </w:p>
        </w:tc>
        <w:tc>
          <w:tcPr>
            <w:tcW w:w="1107" w:type="pct"/>
            <w:shd w:val="clear" w:color="auto" w:fill="auto"/>
            <w:noWrap/>
            <w:vAlign w:val="center"/>
            <w:hideMark/>
          </w:tcPr>
          <w:p w14:paraId="31E0423E"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6 </w:t>
            </w:r>
          </w:p>
        </w:tc>
      </w:tr>
      <w:tr w:rsidR="007A4FB8" w:rsidRPr="00532C20" w14:paraId="57505856" w14:textId="77777777">
        <w:trPr>
          <w:trHeight w:val="20"/>
        </w:trPr>
        <w:tc>
          <w:tcPr>
            <w:tcW w:w="1491" w:type="pct"/>
            <w:shd w:val="clear" w:color="000000" w:fill="F2F2F2"/>
            <w:noWrap/>
            <w:vAlign w:val="center"/>
            <w:hideMark/>
          </w:tcPr>
          <w:p w14:paraId="2ED39AEE"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Cyprus</w:t>
            </w:r>
          </w:p>
        </w:tc>
        <w:tc>
          <w:tcPr>
            <w:tcW w:w="1100" w:type="pct"/>
            <w:shd w:val="clear" w:color="auto" w:fill="auto"/>
            <w:noWrap/>
            <w:vAlign w:val="center"/>
            <w:hideMark/>
          </w:tcPr>
          <w:p w14:paraId="06EB6C6A"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 </w:t>
            </w:r>
          </w:p>
        </w:tc>
        <w:tc>
          <w:tcPr>
            <w:tcW w:w="1301" w:type="pct"/>
            <w:shd w:val="clear" w:color="auto" w:fill="auto"/>
            <w:noWrap/>
            <w:vAlign w:val="center"/>
            <w:hideMark/>
          </w:tcPr>
          <w:p w14:paraId="10AACAB8"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 </w:t>
            </w:r>
          </w:p>
        </w:tc>
        <w:tc>
          <w:tcPr>
            <w:tcW w:w="1107" w:type="pct"/>
            <w:shd w:val="clear" w:color="auto" w:fill="auto"/>
            <w:noWrap/>
            <w:vAlign w:val="center"/>
            <w:hideMark/>
          </w:tcPr>
          <w:p w14:paraId="032FAEC4"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 </w:t>
            </w:r>
          </w:p>
        </w:tc>
      </w:tr>
      <w:tr w:rsidR="007A4FB8" w:rsidRPr="00532C20" w14:paraId="4C53D3C9" w14:textId="77777777">
        <w:trPr>
          <w:trHeight w:val="20"/>
        </w:trPr>
        <w:tc>
          <w:tcPr>
            <w:tcW w:w="1491" w:type="pct"/>
            <w:shd w:val="clear" w:color="000000" w:fill="F2F2F2"/>
            <w:noWrap/>
            <w:vAlign w:val="center"/>
            <w:hideMark/>
          </w:tcPr>
          <w:p w14:paraId="4059D1DB"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Czechia</w:t>
            </w:r>
          </w:p>
        </w:tc>
        <w:tc>
          <w:tcPr>
            <w:tcW w:w="1100" w:type="pct"/>
            <w:shd w:val="clear" w:color="auto" w:fill="auto"/>
            <w:noWrap/>
            <w:vAlign w:val="center"/>
            <w:hideMark/>
          </w:tcPr>
          <w:p w14:paraId="50D49DA4"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14 </w:t>
            </w:r>
          </w:p>
        </w:tc>
        <w:tc>
          <w:tcPr>
            <w:tcW w:w="1301" w:type="pct"/>
            <w:shd w:val="clear" w:color="auto" w:fill="auto"/>
            <w:noWrap/>
            <w:vAlign w:val="center"/>
            <w:hideMark/>
          </w:tcPr>
          <w:p w14:paraId="07B089AD"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18 </w:t>
            </w:r>
          </w:p>
        </w:tc>
        <w:tc>
          <w:tcPr>
            <w:tcW w:w="1107" w:type="pct"/>
            <w:shd w:val="clear" w:color="auto" w:fill="auto"/>
            <w:noWrap/>
            <w:vAlign w:val="center"/>
            <w:hideMark/>
          </w:tcPr>
          <w:p w14:paraId="1A9E774F"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21 </w:t>
            </w:r>
          </w:p>
        </w:tc>
      </w:tr>
      <w:tr w:rsidR="007A4FB8" w:rsidRPr="00532C20" w14:paraId="2331826C" w14:textId="77777777">
        <w:trPr>
          <w:trHeight w:val="20"/>
        </w:trPr>
        <w:tc>
          <w:tcPr>
            <w:tcW w:w="1491" w:type="pct"/>
            <w:shd w:val="clear" w:color="000000" w:fill="F2F2F2"/>
            <w:noWrap/>
            <w:vAlign w:val="center"/>
            <w:hideMark/>
          </w:tcPr>
          <w:p w14:paraId="46F0A7CD"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Denmark</w:t>
            </w:r>
          </w:p>
        </w:tc>
        <w:tc>
          <w:tcPr>
            <w:tcW w:w="1100" w:type="pct"/>
            <w:shd w:val="clear" w:color="auto" w:fill="auto"/>
            <w:noWrap/>
            <w:vAlign w:val="center"/>
            <w:hideMark/>
          </w:tcPr>
          <w:p w14:paraId="19623EE3"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15 </w:t>
            </w:r>
          </w:p>
        </w:tc>
        <w:tc>
          <w:tcPr>
            <w:tcW w:w="1301" w:type="pct"/>
            <w:shd w:val="clear" w:color="auto" w:fill="auto"/>
            <w:noWrap/>
            <w:vAlign w:val="center"/>
            <w:hideMark/>
          </w:tcPr>
          <w:p w14:paraId="69135504"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19 </w:t>
            </w:r>
          </w:p>
        </w:tc>
        <w:tc>
          <w:tcPr>
            <w:tcW w:w="1107" w:type="pct"/>
            <w:shd w:val="clear" w:color="auto" w:fill="auto"/>
            <w:noWrap/>
            <w:vAlign w:val="center"/>
            <w:hideMark/>
          </w:tcPr>
          <w:p w14:paraId="25B17064"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22 </w:t>
            </w:r>
          </w:p>
        </w:tc>
      </w:tr>
      <w:tr w:rsidR="007A4FB8" w:rsidRPr="00532C20" w14:paraId="49036D3B" w14:textId="77777777">
        <w:trPr>
          <w:trHeight w:val="20"/>
        </w:trPr>
        <w:tc>
          <w:tcPr>
            <w:tcW w:w="1491" w:type="pct"/>
            <w:shd w:val="clear" w:color="000000" w:fill="F2F2F2"/>
            <w:noWrap/>
            <w:vAlign w:val="center"/>
            <w:hideMark/>
          </w:tcPr>
          <w:p w14:paraId="3D6537C2"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Estonia</w:t>
            </w:r>
          </w:p>
        </w:tc>
        <w:tc>
          <w:tcPr>
            <w:tcW w:w="1100" w:type="pct"/>
            <w:shd w:val="clear" w:color="auto" w:fill="auto"/>
            <w:noWrap/>
            <w:vAlign w:val="center"/>
            <w:hideMark/>
          </w:tcPr>
          <w:p w14:paraId="6F18F51A"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3 </w:t>
            </w:r>
          </w:p>
        </w:tc>
        <w:tc>
          <w:tcPr>
            <w:tcW w:w="1301" w:type="pct"/>
            <w:shd w:val="clear" w:color="auto" w:fill="auto"/>
            <w:noWrap/>
            <w:vAlign w:val="center"/>
            <w:hideMark/>
          </w:tcPr>
          <w:p w14:paraId="2B7FC84E"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4 </w:t>
            </w:r>
          </w:p>
        </w:tc>
        <w:tc>
          <w:tcPr>
            <w:tcW w:w="1107" w:type="pct"/>
            <w:shd w:val="clear" w:color="auto" w:fill="auto"/>
            <w:noWrap/>
            <w:vAlign w:val="center"/>
            <w:hideMark/>
          </w:tcPr>
          <w:p w14:paraId="60341480"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5 </w:t>
            </w:r>
          </w:p>
        </w:tc>
      </w:tr>
      <w:tr w:rsidR="007A4FB8" w:rsidRPr="00532C20" w14:paraId="02F841A1" w14:textId="77777777">
        <w:trPr>
          <w:trHeight w:val="20"/>
        </w:trPr>
        <w:tc>
          <w:tcPr>
            <w:tcW w:w="1491" w:type="pct"/>
            <w:shd w:val="clear" w:color="000000" w:fill="F2F2F2"/>
            <w:noWrap/>
            <w:vAlign w:val="center"/>
            <w:hideMark/>
          </w:tcPr>
          <w:p w14:paraId="23825E81"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Finland</w:t>
            </w:r>
          </w:p>
        </w:tc>
        <w:tc>
          <w:tcPr>
            <w:tcW w:w="1100" w:type="pct"/>
            <w:shd w:val="clear" w:color="auto" w:fill="auto"/>
            <w:noWrap/>
            <w:vAlign w:val="center"/>
            <w:hideMark/>
          </w:tcPr>
          <w:p w14:paraId="5B704E2F"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16 </w:t>
            </w:r>
          </w:p>
        </w:tc>
        <w:tc>
          <w:tcPr>
            <w:tcW w:w="1301" w:type="pct"/>
            <w:shd w:val="clear" w:color="auto" w:fill="auto"/>
            <w:noWrap/>
            <w:vAlign w:val="center"/>
            <w:hideMark/>
          </w:tcPr>
          <w:p w14:paraId="7E743A4F"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20 </w:t>
            </w:r>
          </w:p>
        </w:tc>
        <w:tc>
          <w:tcPr>
            <w:tcW w:w="1107" w:type="pct"/>
            <w:shd w:val="clear" w:color="auto" w:fill="auto"/>
            <w:noWrap/>
            <w:vAlign w:val="center"/>
            <w:hideMark/>
          </w:tcPr>
          <w:p w14:paraId="4BEDF5B7"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24 </w:t>
            </w:r>
          </w:p>
        </w:tc>
      </w:tr>
      <w:tr w:rsidR="007A4FB8" w:rsidRPr="00532C20" w14:paraId="6F9E863A" w14:textId="77777777">
        <w:trPr>
          <w:trHeight w:val="20"/>
        </w:trPr>
        <w:tc>
          <w:tcPr>
            <w:tcW w:w="1491" w:type="pct"/>
            <w:shd w:val="clear" w:color="000000" w:fill="F2F2F2"/>
            <w:noWrap/>
            <w:vAlign w:val="center"/>
            <w:hideMark/>
          </w:tcPr>
          <w:p w14:paraId="08FA704B"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France</w:t>
            </w:r>
          </w:p>
        </w:tc>
        <w:tc>
          <w:tcPr>
            <w:tcW w:w="1100" w:type="pct"/>
            <w:shd w:val="clear" w:color="auto" w:fill="auto"/>
            <w:noWrap/>
            <w:vAlign w:val="center"/>
            <w:hideMark/>
          </w:tcPr>
          <w:p w14:paraId="0AB2A692"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190 </w:t>
            </w:r>
          </w:p>
        </w:tc>
        <w:tc>
          <w:tcPr>
            <w:tcW w:w="1301" w:type="pct"/>
            <w:shd w:val="clear" w:color="auto" w:fill="auto"/>
            <w:noWrap/>
            <w:vAlign w:val="center"/>
            <w:hideMark/>
          </w:tcPr>
          <w:p w14:paraId="02ACF7CA"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238 </w:t>
            </w:r>
          </w:p>
        </w:tc>
        <w:tc>
          <w:tcPr>
            <w:tcW w:w="1107" w:type="pct"/>
            <w:shd w:val="clear" w:color="auto" w:fill="auto"/>
            <w:noWrap/>
            <w:vAlign w:val="center"/>
            <w:hideMark/>
          </w:tcPr>
          <w:p w14:paraId="40AAB2EA"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285 </w:t>
            </w:r>
          </w:p>
        </w:tc>
      </w:tr>
      <w:tr w:rsidR="007A4FB8" w:rsidRPr="00532C20" w14:paraId="7505F4B3" w14:textId="77777777">
        <w:trPr>
          <w:trHeight w:val="20"/>
        </w:trPr>
        <w:tc>
          <w:tcPr>
            <w:tcW w:w="1491" w:type="pct"/>
            <w:shd w:val="clear" w:color="000000" w:fill="F2F2F2"/>
            <w:noWrap/>
            <w:vAlign w:val="center"/>
            <w:hideMark/>
          </w:tcPr>
          <w:p w14:paraId="2F904EB7"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Germany</w:t>
            </w:r>
          </w:p>
        </w:tc>
        <w:tc>
          <w:tcPr>
            <w:tcW w:w="1100" w:type="pct"/>
            <w:shd w:val="clear" w:color="auto" w:fill="auto"/>
            <w:noWrap/>
            <w:vAlign w:val="center"/>
            <w:hideMark/>
          </w:tcPr>
          <w:p w14:paraId="4E288ED5"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92 </w:t>
            </w:r>
          </w:p>
        </w:tc>
        <w:tc>
          <w:tcPr>
            <w:tcW w:w="1301" w:type="pct"/>
            <w:shd w:val="clear" w:color="auto" w:fill="auto"/>
            <w:noWrap/>
            <w:vAlign w:val="center"/>
            <w:hideMark/>
          </w:tcPr>
          <w:p w14:paraId="04FC5EBE"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115 </w:t>
            </w:r>
          </w:p>
        </w:tc>
        <w:tc>
          <w:tcPr>
            <w:tcW w:w="1107" w:type="pct"/>
            <w:shd w:val="clear" w:color="auto" w:fill="auto"/>
            <w:noWrap/>
            <w:vAlign w:val="center"/>
            <w:hideMark/>
          </w:tcPr>
          <w:p w14:paraId="60CB5EF0"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138 </w:t>
            </w:r>
          </w:p>
        </w:tc>
      </w:tr>
      <w:tr w:rsidR="007A4FB8" w:rsidRPr="00532C20" w14:paraId="03AECCCE" w14:textId="77777777">
        <w:trPr>
          <w:trHeight w:val="20"/>
        </w:trPr>
        <w:tc>
          <w:tcPr>
            <w:tcW w:w="1491" w:type="pct"/>
            <w:shd w:val="clear" w:color="000000" w:fill="F2F2F2"/>
            <w:noWrap/>
            <w:vAlign w:val="center"/>
            <w:hideMark/>
          </w:tcPr>
          <w:p w14:paraId="00897D3A"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Greece</w:t>
            </w:r>
          </w:p>
        </w:tc>
        <w:tc>
          <w:tcPr>
            <w:tcW w:w="1100" w:type="pct"/>
            <w:shd w:val="clear" w:color="auto" w:fill="auto"/>
            <w:noWrap/>
            <w:vAlign w:val="center"/>
            <w:hideMark/>
          </w:tcPr>
          <w:p w14:paraId="3595D9D6"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 </w:t>
            </w:r>
          </w:p>
        </w:tc>
        <w:tc>
          <w:tcPr>
            <w:tcW w:w="1301" w:type="pct"/>
            <w:shd w:val="clear" w:color="auto" w:fill="auto"/>
            <w:noWrap/>
            <w:vAlign w:val="center"/>
            <w:hideMark/>
          </w:tcPr>
          <w:p w14:paraId="50D2B052"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 </w:t>
            </w:r>
          </w:p>
        </w:tc>
        <w:tc>
          <w:tcPr>
            <w:tcW w:w="1107" w:type="pct"/>
            <w:shd w:val="clear" w:color="auto" w:fill="auto"/>
            <w:noWrap/>
            <w:vAlign w:val="center"/>
            <w:hideMark/>
          </w:tcPr>
          <w:p w14:paraId="3DC32D54"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 </w:t>
            </w:r>
          </w:p>
        </w:tc>
      </w:tr>
      <w:tr w:rsidR="007A4FB8" w:rsidRPr="00532C20" w14:paraId="1B4537F3" w14:textId="77777777">
        <w:trPr>
          <w:trHeight w:val="20"/>
        </w:trPr>
        <w:tc>
          <w:tcPr>
            <w:tcW w:w="1491" w:type="pct"/>
            <w:shd w:val="clear" w:color="000000" w:fill="F2F2F2"/>
            <w:noWrap/>
            <w:vAlign w:val="center"/>
            <w:hideMark/>
          </w:tcPr>
          <w:p w14:paraId="63F3B3C8"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Hungary</w:t>
            </w:r>
          </w:p>
        </w:tc>
        <w:tc>
          <w:tcPr>
            <w:tcW w:w="1100" w:type="pct"/>
            <w:shd w:val="clear" w:color="auto" w:fill="auto"/>
            <w:noWrap/>
            <w:vAlign w:val="center"/>
            <w:hideMark/>
          </w:tcPr>
          <w:p w14:paraId="1744DB4C"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9 </w:t>
            </w:r>
          </w:p>
        </w:tc>
        <w:tc>
          <w:tcPr>
            <w:tcW w:w="1301" w:type="pct"/>
            <w:shd w:val="clear" w:color="auto" w:fill="auto"/>
            <w:noWrap/>
            <w:vAlign w:val="center"/>
            <w:hideMark/>
          </w:tcPr>
          <w:p w14:paraId="479DABB4"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12 </w:t>
            </w:r>
          </w:p>
        </w:tc>
        <w:tc>
          <w:tcPr>
            <w:tcW w:w="1107" w:type="pct"/>
            <w:shd w:val="clear" w:color="auto" w:fill="auto"/>
            <w:noWrap/>
            <w:vAlign w:val="center"/>
            <w:hideMark/>
          </w:tcPr>
          <w:p w14:paraId="06D101F8"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14 </w:t>
            </w:r>
          </w:p>
        </w:tc>
      </w:tr>
      <w:tr w:rsidR="007A4FB8" w:rsidRPr="00532C20" w14:paraId="6EB74071" w14:textId="77777777">
        <w:trPr>
          <w:trHeight w:val="20"/>
        </w:trPr>
        <w:tc>
          <w:tcPr>
            <w:tcW w:w="1491" w:type="pct"/>
            <w:shd w:val="clear" w:color="000000" w:fill="F2F2F2"/>
            <w:noWrap/>
            <w:vAlign w:val="center"/>
            <w:hideMark/>
          </w:tcPr>
          <w:p w14:paraId="4980293D"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Ireland</w:t>
            </w:r>
          </w:p>
        </w:tc>
        <w:tc>
          <w:tcPr>
            <w:tcW w:w="1100" w:type="pct"/>
            <w:shd w:val="clear" w:color="auto" w:fill="auto"/>
            <w:noWrap/>
            <w:vAlign w:val="center"/>
            <w:hideMark/>
          </w:tcPr>
          <w:p w14:paraId="54BAD955"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5 </w:t>
            </w:r>
          </w:p>
        </w:tc>
        <w:tc>
          <w:tcPr>
            <w:tcW w:w="1301" w:type="pct"/>
            <w:shd w:val="clear" w:color="auto" w:fill="auto"/>
            <w:noWrap/>
            <w:vAlign w:val="center"/>
            <w:hideMark/>
          </w:tcPr>
          <w:p w14:paraId="1F30795B"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6 </w:t>
            </w:r>
          </w:p>
        </w:tc>
        <w:tc>
          <w:tcPr>
            <w:tcW w:w="1107" w:type="pct"/>
            <w:shd w:val="clear" w:color="auto" w:fill="auto"/>
            <w:noWrap/>
            <w:vAlign w:val="center"/>
            <w:hideMark/>
          </w:tcPr>
          <w:p w14:paraId="21AC6BFB"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7 </w:t>
            </w:r>
          </w:p>
        </w:tc>
      </w:tr>
      <w:tr w:rsidR="007A4FB8" w:rsidRPr="00532C20" w14:paraId="11E45BEA" w14:textId="77777777">
        <w:trPr>
          <w:trHeight w:val="20"/>
        </w:trPr>
        <w:tc>
          <w:tcPr>
            <w:tcW w:w="1491" w:type="pct"/>
            <w:shd w:val="clear" w:color="000000" w:fill="F2F2F2"/>
            <w:noWrap/>
            <w:vAlign w:val="center"/>
            <w:hideMark/>
          </w:tcPr>
          <w:p w14:paraId="07301B1A"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Italy</w:t>
            </w:r>
          </w:p>
        </w:tc>
        <w:tc>
          <w:tcPr>
            <w:tcW w:w="1100" w:type="pct"/>
            <w:shd w:val="clear" w:color="auto" w:fill="auto"/>
            <w:noWrap/>
            <w:vAlign w:val="center"/>
            <w:hideMark/>
          </w:tcPr>
          <w:p w14:paraId="5B8C6539"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54 </w:t>
            </w:r>
          </w:p>
        </w:tc>
        <w:tc>
          <w:tcPr>
            <w:tcW w:w="1301" w:type="pct"/>
            <w:shd w:val="clear" w:color="auto" w:fill="auto"/>
            <w:noWrap/>
            <w:vAlign w:val="center"/>
            <w:hideMark/>
          </w:tcPr>
          <w:p w14:paraId="34141F10"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68 </w:t>
            </w:r>
          </w:p>
        </w:tc>
        <w:tc>
          <w:tcPr>
            <w:tcW w:w="1107" w:type="pct"/>
            <w:shd w:val="clear" w:color="auto" w:fill="auto"/>
            <w:noWrap/>
            <w:vAlign w:val="center"/>
            <w:hideMark/>
          </w:tcPr>
          <w:p w14:paraId="02F87D1C"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81 </w:t>
            </w:r>
          </w:p>
        </w:tc>
      </w:tr>
      <w:tr w:rsidR="007A4FB8" w:rsidRPr="00532C20" w14:paraId="374059A3" w14:textId="77777777">
        <w:trPr>
          <w:trHeight w:val="20"/>
        </w:trPr>
        <w:tc>
          <w:tcPr>
            <w:tcW w:w="1491" w:type="pct"/>
            <w:shd w:val="clear" w:color="000000" w:fill="F2F2F2"/>
            <w:noWrap/>
            <w:vAlign w:val="center"/>
            <w:hideMark/>
          </w:tcPr>
          <w:p w14:paraId="00A6D118"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Latvia</w:t>
            </w:r>
          </w:p>
        </w:tc>
        <w:tc>
          <w:tcPr>
            <w:tcW w:w="1100" w:type="pct"/>
            <w:shd w:val="clear" w:color="auto" w:fill="auto"/>
            <w:noWrap/>
            <w:vAlign w:val="center"/>
            <w:hideMark/>
          </w:tcPr>
          <w:p w14:paraId="1AB028DD"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 </w:t>
            </w:r>
          </w:p>
        </w:tc>
        <w:tc>
          <w:tcPr>
            <w:tcW w:w="1301" w:type="pct"/>
            <w:shd w:val="clear" w:color="auto" w:fill="auto"/>
            <w:noWrap/>
            <w:vAlign w:val="center"/>
            <w:hideMark/>
          </w:tcPr>
          <w:p w14:paraId="731C6107"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 </w:t>
            </w:r>
          </w:p>
        </w:tc>
        <w:tc>
          <w:tcPr>
            <w:tcW w:w="1107" w:type="pct"/>
            <w:shd w:val="clear" w:color="auto" w:fill="auto"/>
            <w:noWrap/>
            <w:vAlign w:val="center"/>
            <w:hideMark/>
          </w:tcPr>
          <w:p w14:paraId="22C33E78"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3 </w:t>
            </w:r>
          </w:p>
        </w:tc>
      </w:tr>
      <w:tr w:rsidR="007A4FB8" w:rsidRPr="00532C20" w14:paraId="51F1D916" w14:textId="77777777">
        <w:trPr>
          <w:trHeight w:val="20"/>
        </w:trPr>
        <w:tc>
          <w:tcPr>
            <w:tcW w:w="1491" w:type="pct"/>
            <w:shd w:val="clear" w:color="000000" w:fill="F2F2F2"/>
            <w:noWrap/>
            <w:vAlign w:val="center"/>
            <w:hideMark/>
          </w:tcPr>
          <w:p w14:paraId="3ABB861A"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Lithuania</w:t>
            </w:r>
          </w:p>
        </w:tc>
        <w:tc>
          <w:tcPr>
            <w:tcW w:w="1100" w:type="pct"/>
            <w:shd w:val="clear" w:color="auto" w:fill="auto"/>
            <w:noWrap/>
            <w:vAlign w:val="center"/>
            <w:hideMark/>
          </w:tcPr>
          <w:p w14:paraId="47145CA6"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 </w:t>
            </w:r>
          </w:p>
        </w:tc>
        <w:tc>
          <w:tcPr>
            <w:tcW w:w="1301" w:type="pct"/>
            <w:shd w:val="clear" w:color="auto" w:fill="auto"/>
            <w:noWrap/>
            <w:vAlign w:val="center"/>
            <w:hideMark/>
          </w:tcPr>
          <w:p w14:paraId="733337E6"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3 </w:t>
            </w:r>
          </w:p>
        </w:tc>
        <w:tc>
          <w:tcPr>
            <w:tcW w:w="1107" w:type="pct"/>
            <w:shd w:val="clear" w:color="auto" w:fill="auto"/>
            <w:noWrap/>
            <w:vAlign w:val="center"/>
            <w:hideMark/>
          </w:tcPr>
          <w:p w14:paraId="0EF46C77"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3 </w:t>
            </w:r>
          </w:p>
        </w:tc>
      </w:tr>
      <w:tr w:rsidR="007A4FB8" w:rsidRPr="00532C20" w14:paraId="5B511332" w14:textId="77777777">
        <w:trPr>
          <w:trHeight w:val="20"/>
        </w:trPr>
        <w:tc>
          <w:tcPr>
            <w:tcW w:w="1491" w:type="pct"/>
            <w:shd w:val="clear" w:color="000000" w:fill="F2F2F2"/>
            <w:noWrap/>
            <w:vAlign w:val="center"/>
            <w:hideMark/>
          </w:tcPr>
          <w:p w14:paraId="46220240"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Luxembourg</w:t>
            </w:r>
          </w:p>
        </w:tc>
        <w:tc>
          <w:tcPr>
            <w:tcW w:w="1100" w:type="pct"/>
            <w:shd w:val="clear" w:color="auto" w:fill="auto"/>
            <w:noWrap/>
            <w:vAlign w:val="center"/>
            <w:hideMark/>
          </w:tcPr>
          <w:p w14:paraId="21BD2240"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 </w:t>
            </w:r>
          </w:p>
        </w:tc>
        <w:tc>
          <w:tcPr>
            <w:tcW w:w="1301" w:type="pct"/>
            <w:shd w:val="clear" w:color="auto" w:fill="auto"/>
            <w:noWrap/>
            <w:vAlign w:val="center"/>
            <w:hideMark/>
          </w:tcPr>
          <w:p w14:paraId="6FD7B249"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 </w:t>
            </w:r>
          </w:p>
        </w:tc>
        <w:tc>
          <w:tcPr>
            <w:tcW w:w="1107" w:type="pct"/>
            <w:shd w:val="clear" w:color="auto" w:fill="auto"/>
            <w:noWrap/>
            <w:vAlign w:val="center"/>
            <w:hideMark/>
          </w:tcPr>
          <w:p w14:paraId="40DF8DD6"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 </w:t>
            </w:r>
          </w:p>
        </w:tc>
      </w:tr>
      <w:tr w:rsidR="007A4FB8" w:rsidRPr="00532C20" w14:paraId="13F19CA8" w14:textId="77777777">
        <w:trPr>
          <w:trHeight w:val="20"/>
        </w:trPr>
        <w:tc>
          <w:tcPr>
            <w:tcW w:w="1491" w:type="pct"/>
            <w:shd w:val="clear" w:color="000000" w:fill="F2F2F2"/>
            <w:noWrap/>
            <w:vAlign w:val="center"/>
            <w:hideMark/>
          </w:tcPr>
          <w:p w14:paraId="505A57CE"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Malta</w:t>
            </w:r>
          </w:p>
        </w:tc>
        <w:tc>
          <w:tcPr>
            <w:tcW w:w="1100" w:type="pct"/>
            <w:shd w:val="clear" w:color="auto" w:fill="auto"/>
            <w:noWrap/>
            <w:vAlign w:val="center"/>
            <w:hideMark/>
          </w:tcPr>
          <w:p w14:paraId="34E7503B"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0 </w:t>
            </w:r>
          </w:p>
        </w:tc>
        <w:tc>
          <w:tcPr>
            <w:tcW w:w="1301" w:type="pct"/>
            <w:shd w:val="clear" w:color="auto" w:fill="auto"/>
            <w:noWrap/>
            <w:vAlign w:val="center"/>
            <w:hideMark/>
          </w:tcPr>
          <w:p w14:paraId="28FDAB78"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 </w:t>
            </w:r>
          </w:p>
        </w:tc>
        <w:tc>
          <w:tcPr>
            <w:tcW w:w="1107" w:type="pct"/>
            <w:shd w:val="clear" w:color="auto" w:fill="auto"/>
            <w:noWrap/>
            <w:vAlign w:val="center"/>
            <w:hideMark/>
          </w:tcPr>
          <w:p w14:paraId="26A7F1BD"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 </w:t>
            </w:r>
          </w:p>
        </w:tc>
      </w:tr>
      <w:tr w:rsidR="007A4FB8" w:rsidRPr="00532C20" w14:paraId="0B942887" w14:textId="77777777">
        <w:trPr>
          <w:trHeight w:val="20"/>
        </w:trPr>
        <w:tc>
          <w:tcPr>
            <w:tcW w:w="1491" w:type="pct"/>
            <w:shd w:val="clear" w:color="000000" w:fill="F2F2F2"/>
            <w:noWrap/>
            <w:vAlign w:val="center"/>
            <w:hideMark/>
          </w:tcPr>
          <w:p w14:paraId="371386F7"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Netherlands</w:t>
            </w:r>
          </w:p>
        </w:tc>
        <w:tc>
          <w:tcPr>
            <w:tcW w:w="1100" w:type="pct"/>
            <w:shd w:val="clear" w:color="auto" w:fill="auto"/>
            <w:noWrap/>
            <w:vAlign w:val="center"/>
            <w:hideMark/>
          </w:tcPr>
          <w:p w14:paraId="032D7279"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7 </w:t>
            </w:r>
          </w:p>
        </w:tc>
        <w:tc>
          <w:tcPr>
            <w:tcW w:w="1301" w:type="pct"/>
            <w:shd w:val="clear" w:color="auto" w:fill="auto"/>
            <w:noWrap/>
            <w:vAlign w:val="center"/>
            <w:hideMark/>
          </w:tcPr>
          <w:p w14:paraId="018D3D0A"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9 </w:t>
            </w:r>
          </w:p>
        </w:tc>
        <w:tc>
          <w:tcPr>
            <w:tcW w:w="1107" w:type="pct"/>
            <w:shd w:val="clear" w:color="auto" w:fill="auto"/>
            <w:noWrap/>
            <w:vAlign w:val="center"/>
            <w:hideMark/>
          </w:tcPr>
          <w:p w14:paraId="226B5B24"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11 </w:t>
            </w:r>
          </w:p>
        </w:tc>
      </w:tr>
      <w:tr w:rsidR="007A4FB8" w:rsidRPr="00532C20" w14:paraId="5833C67D" w14:textId="77777777">
        <w:trPr>
          <w:trHeight w:val="20"/>
        </w:trPr>
        <w:tc>
          <w:tcPr>
            <w:tcW w:w="1491" w:type="pct"/>
            <w:shd w:val="clear" w:color="000000" w:fill="F2F2F2"/>
            <w:noWrap/>
            <w:vAlign w:val="center"/>
            <w:hideMark/>
          </w:tcPr>
          <w:p w14:paraId="4DE36912"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Poland</w:t>
            </w:r>
          </w:p>
        </w:tc>
        <w:tc>
          <w:tcPr>
            <w:tcW w:w="1100" w:type="pct"/>
            <w:shd w:val="clear" w:color="auto" w:fill="auto"/>
            <w:noWrap/>
            <w:vAlign w:val="center"/>
            <w:hideMark/>
          </w:tcPr>
          <w:p w14:paraId="2842A534"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11 </w:t>
            </w:r>
          </w:p>
        </w:tc>
        <w:tc>
          <w:tcPr>
            <w:tcW w:w="1301" w:type="pct"/>
            <w:shd w:val="clear" w:color="auto" w:fill="auto"/>
            <w:noWrap/>
            <w:vAlign w:val="center"/>
            <w:hideMark/>
          </w:tcPr>
          <w:p w14:paraId="1FC88CF7"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14 </w:t>
            </w:r>
          </w:p>
        </w:tc>
        <w:tc>
          <w:tcPr>
            <w:tcW w:w="1107" w:type="pct"/>
            <w:shd w:val="clear" w:color="auto" w:fill="auto"/>
            <w:noWrap/>
            <w:vAlign w:val="center"/>
            <w:hideMark/>
          </w:tcPr>
          <w:p w14:paraId="6BD4A7BC"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16 </w:t>
            </w:r>
          </w:p>
        </w:tc>
      </w:tr>
      <w:tr w:rsidR="007A4FB8" w:rsidRPr="00532C20" w14:paraId="5DEF22BE" w14:textId="77777777">
        <w:trPr>
          <w:trHeight w:val="20"/>
        </w:trPr>
        <w:tc>
          <w:tcPr>
            <w:tcW w:w="1491" w:type="pct"/>
            <w:shd w:val="clear" w:color="000000" w:fill="F2F2F2"/>
            <w:noWrap/>
            <w:vAlign w:val="center"/>
            <w:hideMark/>
          </w:tcPr>
          <w:p w14:paraId="55529887"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Portugal</w:t>
            </w:r>
          </w:p>
        </w:tc>
        <w:tc>
          <w:tcPr>
            <w:tcW w:w="1100" w:type="pct"/>
            <w:shd w:val="clear" w:color="auto" w:fill="auto"/>
            <w:noWrap/>
            <w:vAlign w:val="center"/>
            <w:hideMark/>
          </w:tcPr>
          <w:p w14:paraId="5CB25B31"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10 </w:t>
            </w:r>
          </w:p>
        </w:tc>
        <w:tc>
          <w:tcPr>
            <w:tcW w:w="1301" w:type="pct"/>
            <w:shd w:val="clear" w:color="auto" w:fill="auto"/>
            <w:noWrap/>
            <w:vAlign w:val="center"/>
            <w:hideMark/>
          </w:tcPr>
          <w:p w14:paraId="41615313"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13 </w:t>
            </w:r>
          </w:p>
        </w:tc>
        <w:tc>
          <w:tcPr>
            <w:tcW w:w="1107" w:type="pct"/>
            <w:shd w:val="clear" w:color="auto" w:fill="auto"/>
            <w:noWrap/>
            <w:vAlign w:val="center"/>
            <w:hideMark/>
          </w:tcPr>
          <w:p w14:paraId="4DBCC56F"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15 </w:t>
            </w:r>
          </w:p>
        </w:tc>
      </w:tr>
      <w:tr w:rsidR="007A4FB8" w:rsidRPr="00532C20" w14:paraId="70ED4204" w14:textId="77777777">
        <w:trPr>
          <w:trHeight w:val="20"/>
        </w:trPr>
        <w:tc>
          <w:tcPr>
            <w:tcW w:w="1491" w:type="pct"/>
            <w:shd w:val="clear" w:color="000000" w:fill="F2F2F2"/>
            <w:noWrap/>
            <w:vAlign w:val="center"/>
            <w:hideMark/>
          </w:tcPr>
          <w:p w14:paraId="3A14B0AF"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Romania</w:t>
            </w:r>
          </w:p>
        </w:tc>
        <w:tc>
          <w:tcPr>
            <w:tcW w:w="1100" w:type="pct"/>
            <w:shd w:val="clear" w:color="auto" w:fill="auto"/>
            <w:noWrap/>
            <w:vAlign w:val="center"/>
            <w:hideMark/>
          </w:tcPr>
          <w:p w14:paraId="46CB055C"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9 </w:t>
            </w:r>
          </w:p>
        </w:tc>
        <w:tc>
          <w:tcPr>
            <w:tcW w:w="1301" w:type="pct"/>
            <w:shd w:val="clear" w:color="auto" w:fill="auto"/>
            <w:noWrap/>
            <w:vAlign w:val="center"/>
            <w:hideMark/>
          </w:tcPr>
          <w:p w14:paraId="759987D0"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11 </w:t>
            </w:r>
          </w:p>
        </w:tc>
        <w:tc>
          <w:tcPr>
            <w:tcW w:w="1107" w:type="pct"/>
            <w:shd w:val="clear" w:color="auto" w:fill="auto"/>
            <w:noWrap/>
            <w:vAlign w:val="center"/>
            <w:hideMark/>
          </w:tcPr>
          <w:p w14:paraId="1DFC3E43"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14 </w:t>
            </w:r>
          </w:p>
        </w:tc>
      </w:tr>
      <w:tr w:rsidR="007A4FB8" w:rsidRPr="00532C20" w14:paraId="0CE1AB26" w14:textId="77777777">
        <w:trPr>
          <w:trHeight w:val="20"/>
        </w:trPr>
        <w:tc>
          <w:tcPr>
            <w:tcW w:w="1491" w:type="pct"/>
            <w:shd w:val="clear" w:color="000000" w:fill="F2F2F2"/>
            <w:noWrap/>
            <w:vAlign w:val="center"/>
            <w:hideMark/>
          </w:tcPr>
          <w:p w14:paraId="590A7DB3"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Slovakia</w:t>
            </w:r>
          </w:p>
        </w:tc>
        <w:tc>
          <w:tcPr>
            <w:tcW w:w="1100" w:type="pct"/>
            <w:shd w:val="clear" w:color="auto" w:fill="auto"/>
            <w:noWrap/>
            <w:vAlign w:val="center"/>
            <w:hideMark/>
          </w:tcPr>
          <w:p w14:paraId="02852BC0"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3 </w:t>
            </w:r>
          </w:p>
        </w:tc>
        <w:tc>
          <w:tcPr>
            <w:tcW w:w="1301" w:type="pct"/>
            <w:shd w:val="clear" w:color="auto" w:fill="auto"/>
            <w:noWrap/>
            <w:vAlign w:val="center"/>
            <w:hideMark/>
          </w:tcPr>
          <w:p w14:paraId="49EC118F"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4 </w:t>
            </w:r>
          </w:p>
        </w:tc>
        <w:tc>
          <w:tcPr>
            <w:tcW w:w="1107" w:type="pct"/>
            <w:shd w:val="clear" w:color="auto" w:fill="auto"/>
            <w:noWrap/>
            <w:vAlign w:val="center"/>
            <w:hideMark/>
          </w:tcPr>
          <w:p w14:paraId="006A6642"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4 </w:t>
            </w:r>
          </w:p>
        </w:tc>
      </w:tr>
      <w:tr w:rsidR="007A4FB8" w:rsidRPr="00532C20" w14:paraId="585C7A5B" w14:textId="77777777">
        <w:trPr>
          <w:trHeight w:val="20"/>
        </w:trPr>
        <w:tc>
          <w:tcPr>
            <w:tcW w:w="1491" w:type="pct"/>
            <w:shd w:val="clear" w:color="000000" w:fill="F2F2F2"/>
            <w:noWrap/>
            <w:vAlign w:val="center"/>
            <w:hideMark/>
          </w:tcPr>
          <w:p w14:paraId="486F9AFC"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Slovenia</w:t>
            </w:r>
          </w:p>
        </w:tc>
        <w:tc>
          <w:tcPr>
            <w:tcW w:w="1100" w:type="pct"/>
            <w:shd w:val="clear" w:color="auto" w:fill="auto"/>
            <w:noWrap/>
            <w:vAlign w:val="center"/>
            <w:hideMark/>
          </w:tcPr>
          <w:p w14:paraId="7C999424"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4 </w:t>
            </w:r>
          </w:p>
        </w:tc>
        <w:tc>
          <w:tcPr>
            <w:tcW w:w="1301" w:type="pct"/>
            <w:shd w:val="clear" w:color="auto" w:fill="auto"/>
            <w:noWrap/>
            <w:vAlign w:val="center"/>
            <w:hideMark/>
          </w:tcPr>
          <w:p w14:paraId="2AD52277"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5 </w:t>
            </w:r>
          </w:p>
        </w:tc>
        <w:tc>
          <w:tcPr>
            <w:tcW w:w="1107" w:type="pct"/>
            <w:shd w:val="clear" w:color="auto" w:fill="auto"/>
            <w:noWrap/>
            <w:vAlign w:val="center"/>
            <w:hideMark/>
          </w:tcPr>
          <w:p w14:paraId="4D97EC99"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6 </w:t>
            </w:r>
          </w:p>
        </w:tc>
      </w:tr>
      <w:tr w:rsidR="007A4FB8" w:rsidRPr="00532C20" w14:paraId="22975050" w14:textId="77777777">
        <w:trPr>
          <w:trHeight w:val="20"/>
        </w:trPr>
        <w:tc>
          <w:tcPr>
            <w:tcW w:w="1491" w:type="pct"/>
            <w:shd w:val="clear" w:color="000000" w:fill="F2F2F2"/>
            <w:noWrap/>
            <w:vAlign w:val="center"/>
            <w:hideMark/>
          </w:tcPr>
          <w:p w14:paraId="6ECEC78D"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Spain</w:t>
            </w:r>
          </w:p>
        </w:tc>
        <w:tc>
          <w:tcPr>
            <w:tcW w:w="1100" w:type="pct"/>
            <w:shd w:val="clear" w:color="auto" w:fill="auto"/>
            <w:noWrap/>
            <w:vAlign w:val="center"/>
            <w:hideMark/>
          </w:tcPr>
          <w:p w14:paraId="0DCA6BE7"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15 </w:t>
            </w:r>
          </w:p>
        </w:tc>
        <w:tc>
          <w:tcPr>
            <w:tcW w:w="1301" w:type="pct"/>
            <w:shd w:val="clear" w:color="auto" w:fill="auto"/>
            <w:noWrap/>
            <w:vAlign w:val="center"/>
            <w:hideMark/>
          </w:tcPr>
          <w:p w14:paraId="299A442D"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19 </w:t>
            </w:r>
          </w:p>
        </w:tc>
        <w:tc>
          <w:tcPr>
            <w:tcW w:w="1107" w:type="pct"/>
            <w:shd w:val="clear" w:color="auto" w:fill="auto"/>
            <w:noWrap/>
            <w:vAlign w:val="center"/>
            <w:hideMark/>
          </w:tcPr>
          <w:p w14:paraId="1E364239"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22 </w:t>
            </w:r>
          </w:p>
        </w:tc>
      </w:tr>
      <w:tr w:rsidR="007A4FB8" w:rsidRPr="00532C20" w14:paraId="202FA464" w14:textId="77777777">
        <w:trPr>
          <w:trHeight w:val="20"/>
        </w:trPr>
        <w:tc>
          <w:tcPr>
            <w:tcW w:w="1491" w:type="pct"/>
            <w:shd w:val="clear" w:color="000000" w:fill="F2F2F2"/>
            <w:noWrap/>
            <w:vAlign w:val="center"/>
            <w:hideMark/>
          </w:tcPr>
          <w:p w14:paraId="21F0CB1B" w14:textId="77777777" w:rsidR="007A4FB8" w:rsidRPr="00532C20" w:rsidRDefault="007A4FB8" w:rsidP="007A4FB8">
            <w:pPr>
              <w:spacing w:after="0" w:line="240" w:lineRule="auto"/>
              <w:rPr>
                <w:rFonts w:ascii="Times New Roman" w:eastAsia="Times New Roman" w:hAnsi="Times New Roman" w:cs="Times New Roman"/>
                <w:b/>
                <w:bCs/>
                <w:noProof/>
                <w:sz w:val="24"/>
                <w:szCs w:val="24"/>
              </w:rPr>
            </w:pPr>
            <w:r w:rsidRPr="00532C20">
              <w:rPr>
                <w:rFonts w:ascii="Times New Roman" w:eastAsia="Times New Roman" w:hAnsi="Times New Roman" w:cs="Times New Roman"/>
                <w:b/>
                <w:bCs/>
                <w:noProof/>
                <w:sz w:val="24"/>
                <w:szCs w:val="24"/>
              </w:rPr>
              <w:t>Sweden</w:t>
            </w:r>
          </w:p>
        </w:tc>
        <w:tc>
          <w:tcPr>
            <w:tcW w:w="1100" w:type="pct"/>
            <w:shd w:val="clear" w:color="auto" w:fill="auto"/>
            <w:noWrap/>
            <w:vAlign w:val="center"/>
            <w:hideMark/>
          </w:tcPr>
          <w:p w14:paraId="2DAC8D92"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15 </w:t>
            </w:r>
          </w:p>
        </w:tc>
        <w:tc>
          <w:tcPr>
            <w:tcW w:w="1301" w:type="pct"/>
            <w:shd w:val="clear" w:color="auto" w:fill="auto"/>
            <w:noWrap/>
            <w:vAlign w:val="center"/>
            <w:hideMark/>
          </w:tcPr>
          <w:p w14:paraId="4FBFEDCF"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19 </w:t>
            </w:r>
          </w:p>
        </w:tc>
        <w:tc>
          <w:tcPr>
            <w:tcW w:w="1107" w:type="pct"/>
            <w:shd w:val="clear" w:color="auto" w:fill="auto"/>
            <w:noWrap/>
            <w:vAlign w:val="center"/>
            <w:hideMark/>
          </w:tcPr>
          <w:p w14:paraId="1112FAE4"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23 </w:t>
            </w:r>
          </w:p>
        </w:tc>
      </w:tr>
      <w:tr w:rsidR="007A4FB8" w:rsidRPr="00532C20" w14:paraId="5A7BE717" w14:textId="77777777">
        <w:trPr>
          <w:trHeight w:val="20"/>
        </w:trPr>
        <w:tc>
          <w:tcPr>
            <w:tcW w:w="1491" w:type="pct"/>
            <w:shd w:val="clear" w:color="000000" w:fill="3A3838"/>
            <w:noWrap/>
            <w:vAlign w:val="center"/>
            <w:hideMark/>
          </w:tcPr>
          <w:p w14:paraId="5EC26692" w14:textId="77777777" w:rsidR="007A4FB8" w:rsidRPr="00532C20" w:rsidRDefault="007A4FB8" w:rsidP="007A4FB8">
            <w:pPr>
              <w:spacing w:after="0" w:line="240" w:lineRule="auto"/>
              <w:rPr>
                <w:rFonts w:ascii="Times New Roman" w:eastAsia="Times New Roman" w:hAnsi="Times New Roman" w:cs="Times New Roman"/>
                <w:b/>
                <w:bCs/>
                <w:noProof/>
                <w:color w:val="FFFFFF"/>
                <w:sz w:val="24"/>
                <w:szCs w:val="24"/>
              </w:rPr>
            </w:pPr>
            <w:r w:rsidRPr="00532C20">
              <w:rPr>
                <w:rFonts w:ascii="Times New Roman" w:eastAsia="Times New Roman" w:hAnsi="Times New Roman" w:cs="Times New Roman"/>
                <w:b/>
                <w:bCs/>
                <w:noProof/>
                <w:color w:val="FFFFFF"/>
                <w:sz w:val="24"/>
                <w:szCs w:val="24"/>
              </w:rPr>
              <w:t>EU-27</w:t>
            </w:r>
          </w:p>
        </w:tc>
        <w:tc>
          <w:tcPr>
            <w:tcW w:w="1100" w:type="pct"/>
            <w:shd w:val="clear" w:color="000000" w:fill="F2F2F2"/>
            <w:noWrap/>
            <w:vAlign w:val="center"/>
            <w:hideMark/>
          </w:tcPr>
          <w:p w14:paraId="62E5CB80"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521</w:t>
            </w:r>
          </w:p>
        </w:tc>
        <w:tc>
          <w:tcPr>
            <w:tcW w:w="1301" w:type="pct"/>
            <w:shd w:val="clear" w:color="000000" w:fill="F2F2F2"/>
            <w:noWrap/>
            <w:vAlign w:val="center"/>
            <w:hideMark/>
          </w:tcPr>
          <w:p w14:paraId="24BCCCE3"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652 </w:t>
            </w:r>
          </w:p>
        </w:tc>
        <w:tc>
          <w:tcPr>
            <w:tcW w:w="1107" w:type="pct"/>
            <w:shd w:val="clear" w:color="000000" w:fill="F2F2F2"/>
            <w:noWrap/>
            <w:vAlign w:val="center"/>
            <w:hideMark/>
          </w:tcPr>
          <w:p w14:paraId="7A0CDCB4" w14:textId="77777777" w:rsidR="007A4FB8" w:rsidRPr="00532C20" w:rsidRDefault="007A4FB8" w:rsidP="007A4FB8">
            <w:pPr>
              <w:spacing w:after="0" w:line="240" w:lineRule="auto"/>
              <w:jc w:val="right"/>
              <w:rPr>
                <w:rFonts w:ascii="Times New Roman" w:eastAsia="Times New Roman" w:hAnsi="Times New Roman" w:cs="Times New Roman"/>
                <w:noProof/>
                <w:color w:val="000000"/>
                <w:sz w:val="24"/>
                <w:szCs w:val="24"/>
              </w:rPr>
            </w:pPr>
            <w:r w:rsidRPr="00532C20">
              <w:rPr>
                <w:rFonts w:ascii="Times New Roman" w:eastAsia="Times New Roman" w:hAnsi="Times New Roman" w:cs="Times New Roman"/>
                <w:noProof/>
                <w:color w:val="000000"/>
                <w:sz w:val="24"/>
                <w:szCs w:val="24"/>
              </w:rPr>
              <w:t xml:space="preserve">782 </w:t>
            </w:r>
          </w:p>
        </w:tc>
      </w:tr>
    </w:tbl>
    <w:p w14:paraId="6D854BD3" w14:textId="77777777" w:rsidR="00014B3B" w:rsidRPr="00532C20" w:rsidRDefault="00014B3B" w:rsidP="00313F32">
      <w:pPr>
        <w:spacing w:after="0" w:line="240" w:lineRule="auto"/>
        <w:jc w:val="both"/>
        <w:textAlignment w:val="baseline"/>
        <w:rPr>
          <w:rFonts w:ascii="Times New Roman" w:eastAsia="Times" w:hAnsi="Times New Roman" w:cs="Times New Roman"/>
          <w:noProof/>
          <w:sz w:val="24"/>
          <w:szCs w:val="24"/>
          <w:lang w:val="en-IE" w:eastAsia="en-IE"/>
        </w:rPr>
      </w:pPr>
    </w:p>
    <w:p w14:paraId="27C68C92" w14:textId="77777777" w:rsidR="00964D14" w:rsidRPr="00532C20" w:rsidRDefault="00964D14" w:rsidP="0020326D">
      <w:pPr>
        <w:pStyle w:val="ListParagraph"/>
        <w:numPr>
          <w:ilvl w:val="0"/>
          <w:numId w:val="76"/>
        </w:numPr>
        <w:rPr>
          <w:rFonts w:ascii="Times New Roman" w:eastAsia="Calibri" w:hAnsi="Times New Roman" w:cs="Times New Roman"/>
          <w:b/>
          <w:bCs/>
          <w:noProof/>
          <w:u w:val="single"/>
        </w:rPr>
      </w:pPr>
      <w:r w:rsidRPr="00532C20">
        <w:rPr>
          <w:rFonts w:ascii="Times New Roman" w:eastAsia="Calibri" w:hAnsi="Times New Roman" w:cs="Times New Roman"/>
          <w:b/>
          <w:bCs/>
          <w:noProof/>
          <w:u w:val="single"/>
        </w:rPr>
        <w:t>Assessment of fragmentation</w:t>
      </w:r>
    </w:p>
    <w:p w14:paraId="01A9F603" w14:textId="77777777" w:rsidR="00F527CC" w:rsidRPr="00532C20" w:rsidRDefault="00F527CC" w:rsidP="00F527CC">
      <w:pPr>
        <w:pStyle w:val="ListParagraph"/>
        <w:ind w:left="360"/>
        <w:rPr>
          <w:rFonts w:ascii="Times New Roman" w:eastAsia="Calibri" w:hAnsi="Times New Roman" w:cs="Times New Roman"/>
          <w:noProof/>
        </w:rPr>
      </w:pPr>
    </w:p>
    <w:p w14:paraId="5DF67D78" w14:textId="43AFA57F" w:rsidR="00964D14" w:rsidRPr="00532C20" w:rsidRDefault="00964D14" w:rsidP="004B0958">
      <w:pPr>
        <w:spacing w:line="240" w:lineRule="auto"/>
        <w:jc w:val="both"/>
        <w:rPr>
          <w:rFonts w:ascii="Times New Roman" w:eastAsia="Calibri" w:hAnsi="Times New Roman" w:cs="Times New Roman"/>
          <w:noProof/>
          <w:sz w:val="24"/>
          <w:szCs w:val="24"/>
        </w:rPr>
      </w:pPr>
      <w:r w:rsidRPr="00532C20">
        <w:rPr>
          <w:rFonts w:ascii="Times New Roman" w:eastAsia="Calibri" w:hAnsi="Times New Roman" w:cs="Times New Roman"/>
          <w:noProof/>
          <w:sz w:val="24"/>
          <w:szCs w:val="24"/>
        </w:rPr>
        <w:t xml:space="preserve">On the basis of extensive consultation with Member States as well as research conducted for the supporting study, including the preparation of a mapping of relevant rules and policies, the national frameworks applicable to interest representation activities were described and an analysis of the fragmentation in the internal market of rules applicable to the various categories of commercial and non-commercial actors identified was prepared and is explained in details in Annex </w:t>
      </w:r>
      <w:r w:rsidR="00D133A3" w:rsidRPr="00532C20">
        <w:rPr>
          <w:rFonts w:ascii="Times New Roman" w:eastAsia="Calibri" w:hAnsi="Times New Roman" w:cs="Times New Roman"/>
          <w:noProof/>
          <w:sz w:val="24"/>
          <w:szCs w:val="24"/>
        </w:rPr>
        <w:t>6</w:t>
      </w:r>
      <w:r w:rsidRPr="00532C20">
        <w:rPr>
          <w:rFonts w:ascii="Times New Roman" w:eastAsia="Calibri" w:hAnsi="Times New Roman" w:cs="Times New Roman"/>
          <w:noProof/>
          <w:sz w:val="24"/>
          <w:szCs w:val="24"/>
        </w:rPr>
        <w:t>.</w:t>
      </w:r>
    </w:p>
    <w:p w14:paraId="0C1F013E" w14:textId="3029C558" w:rsidR="00964D14" w:rsidRPr="00532C20" w:rsidRDefault="00964D14" w:rsidP="0020326D">
      <w:pPr>
        <w:pStyle w:val="ListParagraph"/>
        <w:numPr>
          <w:ilvl w:val="0"/>
          <w:numId w:val="76"/>
        </w:numPr>
        <w:rPr>
          <w:b/>
          <w:noProof/>
          <w:u w:val="single"/>
        </w:rPr>
      </w:pPr>
      <w:r w:rsidRPr="00532C20">
        <w:rPr>
          <w:rFonts w:ascii="Times New Roman" w:eastAsia="Calibri" w:hAnsi="Times New Roman" w:cs="Times New Roman"/>
          <w:b/>
          <w:bCs/>
          <w:noProof/>
          <w:u w:val="single"/>
        </w:rPr>
        <w:t>Estima</w:t>
      </w:r>
      <w:r w:rsidR="00BB2606" w:rsidRPr="00532C20">
        <w:rPr>
          <w:rFonts w:ascii="Times New Roman" w:eastAsia="Calibri" w:hAnsi="Times New Roman" w:cs="Times New Roman"/>
          <w:b/>
          <w:noProof/>
          <w:u w:val="single"/>
        </w:rPr>
        <w:t>tion</w:t>
      </w:r>
      <w:r w:rsidRPr="00532C20">
        <w:rPr>
          <w:rFonts w:ascii="Times New Roman" w:eastAsia="Calibri" w:hAnsi="Times New Roman" w:cs="Times New Roman"/>
          <w:b/>
          <w:noProof/>
          <w:u w:val="single"/>
        </w:rPr>
        <w:t xml:space="preserve"> for costs for entities and Member States authorities</w:t>
      </w:r>
    </w:p>
    <w:p w14:paraId="2B399B38" w14:textId="77777777" w:rsidR="00F527CC" w:rsidRPr="00532C20" w:rsidRDefault="00F527CC" w:rsidP="00F527CC">
      <w:pPr>
        <w:pStyle w:val="ListParagraph"/>
        <w:ind w:left="360"/>
        <w:rPr>
          <w:rFonts w:ascii="Times New Roman" w:eastAsia="Calibri" w:hAnsi="Times New Roman" w:cs="Times New Roman"/>
          <w:noProof/>
        </w:rPr>
      </w:pPr>
    </w:p>
    <w:p w14:paraId="4473A737" w14:textId="45904601" w:rsidR="00663A13" w:rsidRPr="00532C20" w:rsidRDefault="00663A13" w:rsidP="005833C4">
      <w:pPr>
        <w:jc w:val="both"/>
        <w:rPr>
          <w:rFonts w:ascii="Times New Roman" w:eastAsia="Calibri" w:hAnsi="Times New Roman" w:cs="Times New Roman"/>
          <w:noProof/>
          <w:sz w:val="24"/>
          <w:szCs w:val="24"/>
        </w:rPr>
      </w:pPr>
      <w:r w:rsidRPr="00532C20">
        <w:rPr>
          <w:rFonts w:ascii="Times New Roman" w:eastAsia="Calibri" w:hAnsi="Times New Roman" w:cs="Times New Roman"/>
          <w:noProof/>
          <w:sz w:val="24"/>
          <w:szCs w:val="24"/>
        </w:rPr>
        <w:t xml:space="preserve">This section provides detailed information on the cost analysis for the calculation of the impacts of the policy options. All the figures provided in this annex come from the </w:t>
      </w:r>
      <w:r w:rsidR="007D5599">
        <w:rPr>
          <w:rFonts w:ascii="Times New Roman" w:eastAsia="Calibri" w:hAnsi="Times New Roman" w:cs="Times New Roman"/>
          <w:noProof/>
          <w:sz w:val="24"/>
          <w:szCs w:val="24"/>
        </w:rPr>
        <w:t xml:space="preserve">supporting </w:t>
      </w:r>
      <w:r w:rsidRPr="00532C20">
        <w:rPr>
          <w:rFonts w:ascii="Times New Roman" w:eastAsia="Calibri" w:hAnsi="Times New Roman" w:cs="Times New Roman"/>
          <w:noProof/>
          <w:sz w:val="24"/>
          <w:szCs w:val="24"/>
        </w:rPr>
        <w:t xml:space="preserve">study. </w:t>
      </w:r>
    </w:p>
    <w:p w14:paraId="1C267549" w14:textId="43098132" w:rsidR="00A046DD" w:rsidRPr="00532C20" w:rsidRDefault="00A046DD" w:rsidP="0020326D">
      <w:pPr>
        <w:pStyle w:val="ListParagraph"/>
        <w:numPr>
          <w:ilvl w:val="1"/>
          <w:numId w:val="76"/>
        </w:numPr>
        <w:rPr>
          <w:rFonts w:ascii="Times New Roman" w:eastAsia="Calibri" w:hAnsi="Times New Roman" w:cs="Times New Roman"/>
          <w:noProof/>
        </w:rPr>
      </w:pPr>
      <w:r w:rsidRPr="00532C20">
        <w:rPr>
          <w:rFonts w:ascii="Times New Roman" w:eastAsia="Calibri" w:hAnsi="Times New Roman" w:cs="Times New Roman"/>
          <w:b/>
          <w:bCs/>
          <w:noProof/>
          <w:u w:val="single"/>
        </w:rPr>
        <w:t>Costs to Member State authorities</w:t>
      </w:r>
    </w:p>
    <w:p w14:paraId="27194B17" w14:textId="77777777" w:rsidR="00F527CC" w:rsidRPr="00532C20" w:rsidRDefault="00F527CC" w:rsidP="00F527CC">
      <w:pPr>
        <w:pStyle w:val="ListParagraph"/>
        <w:ind w:left="792"/>
        <w:rPr>
          <w:rFonts w:ascii="Times New Roman" w:eastAsia="Calibri" w:hAnsi="Times New Roman" w:cs="Times New Roman"/>
          <w:noProof/>
        </w:rPr>
      </w:pPr>
    </w:p>
    <w:p w14:paraId="0A6E3901" w14:textId="77777777" w:rsidR="00A046DD" w:rsidRPr="00532C20" w:rsidRDefault="00A046DD" w:rsidP="00A046DD">
      <w:pPr>
        <w:spacing w:after="120" w:line="240" w:lineRule="auto"/>
        <w:jc w:val="both"/>
        <w:rPr>
          <w:rFonts w:ascii="Times New Roman" w:eastAsia="Times New Roman" w:hAnsi="Times New Roman" w:cs="Times New Roman"/>
          <w:noProof/>
          <w:kern w:val="18"/>
          <w:sz w:val="24"/>
          <w:szCs w:val="24"/>
        </w:rPr>
      </w:pPr>
      <w:r w:rsidRPr="00532C20">
        <w:rPr>
          <w:rFonts w:ascii="Times New Roman" w:eastAsia="Times New Roman" w:hAnsi="Times New Roman" w:cs="Times New Roman"/>
          <w:noProof/>
          <w:kern w:val="18"/>
          <w:sz w:val="24"/>
          <w:szCs w:val="24"/>
        </w:rPr>
        <w:t>In line with the assessment of the practical implications of the proposed policy options presented in chapter 6, Member State authorities will be required to bear a range of costs.</w:t>
      </w:r>
    </w:p>
    <w:p w14:paraId="418D99C7"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All Member States will be required to </w:t>
      </w:r>
      <w:r w:rsidRPr="00532C20">
        <w:rPr>
          <w:rFonts w:ascii="Times New Roman" w:eastAsia="Times New Roman" w:hAnsi="Times New Roman" w:cs="Times New Roman"/>
          <w:b/>
          <w:noProof/>
          <w:sz w:val="24"/>
          <w:szCs w:val="24"/>
        </w:rPr>
        <w:t>familiarise</w:t>
      </w:r>
      <w:r w:rsidRPr="00532C20">
        <w:rPr>
          <w:rFonts w:ascii="Times New Roman" w:eastAsia="Times New Roman" w:hAnsi="Times New Roman" w:cs="Times New Roman"/>
          <w:noProof/>
          <w:sz w:val="24"/>
          <w:szCs w:val="24"/>
        </w:rPr>
        <w:t xml:space="preserve"> themselves with the legislative provisions.</w:t>
      </w:r>
    </w:p>
    <w:p w14:paraId="70514CE5"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Under policy option 1, the nature and scale of the costs will depend significantly on the decisions taken by Member State authorities in response to the recommendations provided by the Commission.</w:t>
      </w:r>
    </w:p>
    <w:p w14:paraId="79FFD2B7" w14:textId="55E5FB1E"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For policy options </w:t>
      </w:r>
      <w:r w:rsidR="00D47716" w:rsidRPr="00532C20">
        <w:rPr>
          <w:rFonts w:ascii="Times New Roman" w:eastAsia="Times New Roman" w:hAnsi="Times New Roman" w:cs="Times New Roman"/>
          <w:noProof/>
          <w:sz w:val="24"/>
          <w:szCs w:val="24"/>
        </w:rPr>
        <w:t>2.1</w:t>
      </w:r>
      <w:r w:rsidRPr="00532C20">
        <w:rPr>
          <w:rFonts w:ascii="Times New Roman" w:eastAsia="Times New Roman" w:hAnsi="Times New Roman" w:cs="Times New Roman"/>
          <w:noProof/>
          <w:sz w:val="24"/>
          <w:szCs w:val="24"/>
        </w:rPr>
        <w:t xml:space="preserve"> and </w:t>
      </w:r>
      <w:r w:rsidR="00D47716" w:rsidRPr="00532C20">
        <w:rPr>
          <w:rFonts w:ascii="Times New Roman" w:eastAsia="Times New Roman" w:hAnsi="Times New Roman" w:cs="Times New Roman"/>
          <w:noProof/>
          <w:sz w:val="24"/>
          <w:szCs w:val="24"/>
        </w:rPr>
        <w:t>2.2</w:t>
      </w:r>
      <w:r w:rsidRPr="00532C20">
        <w:rPr>
          <w:rFonts w:ascii="Times New Roman" w:eastAsia="Times New Roman" w:hAnsi="Times New Roman" w:cs="Times New Roman"/>
          <w:noProof/>
          <w:sz w:val="24"/>
          <w:szCs w:val="24"/>
        </w:rPr>
        <w:t xml:space="preserve">, Member State authorities will need to ensure the </w:t>
      </w:r>
      <w:r w:rsidRPr="00532C20">
        <w:rPr>
          <w:rFonts w:ascii="Times New Roman" w:eastAsia="Times New Roman" w:hAnsi="Times New Roman" w:cs="Times New Roman"/>
          <w:b/>
          <w:noProof/>
          <w:sz w:val="24"/>
          <w:szCs w:val="24"/>
        </w:rPr>
        <w:t>implementation of a transparency regime and register that is in line with the proposed interventions</w:t>
      </w:r>
      <w:r w:rsidRPr="00532C20">
        <w:rPr>
          <w:rFonts w:ascii="Times New Roman" w:eastAsia="Times New Roman" w:hAnsi="Times New Roman" w:cs="Times New Roman"/>
          <w:noProof/>
          <w:sz w:val="24"/>
          <w:szCs w:val="24"/>
        </w:rPr>
        <w:t xml:space="preserve">. In this regard, policy option </w:t>
      </w:r>
      <w:r w:rsidR="00D47716" w:rsidRPr="00532C20">
        <w:rPr>
          <w:rFonts w:ascii="Times New Roman" w:eastAsia="Times New Roman" w:hAnsi="Times New Roman" w:cs="Times New Roman"/>
          <w:noProof/>
          <w:sz w:val="24"/>
          <w:szCs w:val="24"/>
        </w:rPr>
        <w:t>2.2</w:t>
      </w:r>
      <w:r w:rsidRPr="00532C20">
        <w:rPr>
          <w:rFonts w:ascii="Times New Roman" w:eastAsia="Times New Roman" w:hAnsi="Times New Roman" w:cs="Times New Roman"/>
          <w:noProof/>
          <w:sz w:val="24"/>
          <w:szCs w:val="24"/>
        </w:rPr>
        <w:t xml:space="preserve"> goes beyond option </w:t>
      </w:r>
      <w:r w:rsidR="00D47716" w:rsidRPr="00532C20">
        <w:rPr>
          <w:rFonts w:ascii="Times New Roman" w:eastAsia="Times New Roman" w:hAnsi="Times New Roman" w:cs="Times New Roman"/>
          <w:noProof/>
          <w:sz w:val="24"/>
          <w:szCs w:val="24"/>
        </w:rPr>
        <w:t>2.</w:t>
      </w:r>
      <w:r w:rsidR="0070317A" w:rsidRPr="00532C20">
        <w:rPr>
          <w:rFonts w:ascii="Times New Roman" w:eastAsia="Times New Roman" w:hAnsi="Times New Roman" w:cs="Times New Roman"/>
          <w:noProof/>
          <w:sz w:val="24"/>
          <w:szCs w:val="24"/>
        </w:rPr>
        <w:t>1</w:t>
      </w:r>
      <w:r w:rsidRPr="00532C20">
        <w:rPr>
          <w:rFonts w:ascii="Times New Roman" w:eastAsia="Times New Roman" w:hAnsi="Times New Roman" w:cs="Times New Roman"/>
          <w:noProof/>
          <w:sz w:val="24"/>
          <w:szCs w:val="24"/>
        </w:rPr>
        <w:t xml:space="preserve"> by requiring Member State authorities to establish a system to conduct prior authorisation checks on entities carrying out interest representation activities and grant licences to operate on that basis.</w:t>
      </w:r>
    </w:p>
    <w:p w14:paraId="6643BB7A" w14:textId="2205B45B"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Across all 3 options, as for entities conducting interest representation activities, the nature of the practical implications and related costs for a specific Member State authority will also depend on: i) whether a transparency register for interest representation already exists, as well as the characteristics of the existing register; and ii) whether monitoring and enforcement activities are already implemented.</w:t>
      </w:r>
    </w:p>
    <w:p w14:paraId="4F7C210B"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In this context, Member States with an existing register and/or monitoring and enforcement regime will be required to amend the existing systems, while Member States without a register / regime will need to create and develop new systems. Costs in this category will include both one-off costs associated with the initial development / amendment of a transparency register / regime, as well as recurrent costs related to the maintenance and management (including monitoring, enforcement, reporting and participation in an EU-level advisory group) of the regime. </w:t>
      </w:r>
    </w:p>
    <w:p w14:paraId="680C8826" w14:textId="325B64C9"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Beyond these core costs, Member State authorities will also be called on to </w:t>
      </w:r>
      <w:r w:rsidRPr="00532C20">
        <w:rPr>
          <w:rFonts w:ascii="Times New Roman" w:eastAsia="Times New Roman" w:hAnsi="Times New Roman" w:cs="Times New Roman"/>
          <w:b/>
          <w:noProof/>
          <w:sz w:val="24"/>
          <w:szCs w:val="24"/>
        </w:rPr>
        <w:t>support the establishment of an interconnection between national registers or appropriate information sharing mechanisms</w:t>
      </w:r>
      <w:r w:rsidRPr="00532C20">
        <w:rPr>
          <w:rFonts w:ascii="Times New Roman" w:eastAsia="Times New Roman" w:hAnsi="Times New Roman" w:cs="Times New Roman"/>
          <w:noProof/>
          <w:sz w:val="24"/>
          <w:szCs w:val="24"/>
        </w:rPr>
        <w:t>. However, while it is assumed that costs in this category will mostly be borne by the European Commission, Member State authorities interviewed for th</w:t>
      </w:r>
      <w:r w:rsidR="00995DA0">
        <w:rPr>
          <w:rFonts w:ascii="Times New Roman" w:eastAsia="Times New Roman" w:hAnsi="Times New Roman" w:cs="Times New Roman"/>
          <w:noProof/>
          <w:sz w:val="24"/>
          <w:szCs w:val="24"/>
        </w:rPr>
        <w:t>e</w:t>
      </w:r>
      <w:r w:rsidRPr="00532C20">
        <w:rPr>
          <w:rFonts w:ascii="Times New Roman" w:eastAsia="Times New Roman" w:hAnsi="Times New Roman" w:cs="Times New Roman"/>
          <w:noProof/>
          <w:sz w:val="24"/>
          <w:szCs w:val="24"/>
        </w:rPr>
        <w:t xml:space="preserve"> </w:t>
      </w:r>
      <w:r w:rsidR="00170B16">
        <w:rPr>
          <w:rFonts w:ascii="Times New Roman" w:eastAsia="Times New Roman" w:hAnsi="Times New Roman" w:cs="Times New Roman"/>
          <w:noProof/>
          <w:sz w:val="24"/>
          <w:szCs w:val="24"/>
        </w:rPr>
        <w:t xml:space="preserve">supporting </w:t>
      </w:r>
      <w:r w:rsidRPr="00532C20">
        <w:rPr>
          <w:rFonts w:ascii="Times New Roman" w:eastAsia="Times New Roman" w:hAnsi="Times New Roman" w:cs="Times New Roman"/>
          <w:noProof/>
          <w:sz w:val="24"/>
          <w:szCs w:val="24"/>
        </w:rPr>
        <w:t>study were also not able to provide feedback on: i) the nature of the changes stemming from this activity; or ii) the scale of associated costs. As such, it has not been possible to quantify the costs for Member State authorities related to this cost item.</w:t>
      </w:r>
    </w:p>
    <w:p w14:paraId="43CFFBE3"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The following sections present the available evidence, calculations, assumptions and limitations / caveats for the main costs borne by Member State authorities, by policy option.</w:t>
      </w:r>
    </w:p>
    <w:p w14:paraId="7E582A65" w14:textId="29D1406B" w:rsidR="00A046DD" w:rsidRPr="00532C20" w:rsidRDefault="00A046DD" w:rsidP="0020326D">
      <w:pPr>
        <w:pStyle w:val="ListParagraph"/>
        <w:numPr>
          <w:ilvl w:val="2"/>
          <w:numId w:val="76"/>
        </w:numPr>
        <w:rPr>
          <w:rFonts w:eastAsia="Times New Roman" w:cs="Times New Roman"/>
          <w:b/>
          <w:noProof/>
          <w:u w:val="single"/>
        </w:rPr>
      </w:pPr>
      <w:r w:rsidRPr="00532C20">
        <w:rPr>
          <w:rFonts w:ascii="Times New Roman" w:eastAsia="Times New Roman" w:hAnsi="Times New Roman" w:cs="Times New Roman"/>
          <w:b/>
          <w:bCs/>
          <w:noProof/>
          <w:u w:val="single"/>
        </w:rPr>
        <w:t>Policy option 1: Non-legislative measures</w:t>
      </w:r>
    </w:p>
    <w:p w14:paraId="4E753A8B" w14:textId="77777777" w:rsidR="009E29B1" w:rsidRPr="00532C20" w:rsidRDefault="009E29B1" w:rsidP="00582553">
      <w:pPr>
        <w:pStyle w:val="ListParagraph"/>
        <w:ind w:left="1224"/>
        <w:rPr>
          <w:rFonts w:eastAsia="Times New Roman" w:cs="Times New Roman"/>
          <w:b/>
          <w:noProof/>
          <w:u w:val="single"/>
        </w:rPr>
      </w:pPr>
    </w:p>
    <w:p w14:paraId="29001D1A" w14:textId="23E959AA" w:rsidR="009E29B1" w:rsidRPr="00532C20" w:rsidRDefault="009E29B1" w:rsidP="00582553">
      <w:pPr>
        <w:pStyle w:val="ListParagraph"/>
        <w:numPr>
          <w:ilvl w:val="3"/>
          <w:numId w:val="76"/>
        </w:numPr>
        <w:rPr>
          <w:rFonts w:eastAsia="Times New Roman" w:cs="Times New Roman"/>
          <w:b/>
          <w:noProof/>
          <w:u w:val="single"/>
        </w:rPr>
      </w:pPr>
      <w:r w:rsidRPr="00532C20">
        <w:rPr>
          <w:rFonts w:ascii="Times New Roman" w:eastAsia="Times New Roman" w:hAnsi="Times New Roman" w:cs="Times New Roman"/>
          <w:b/>
          <w:bCs/>
          <w:noProof/>
          <w:u w:val="single"/>
        </w:rPr>
        <w:t xml:space="preserve">Scenario </w:t>
      </w:r>
      <w:r w:rsidR="006A4822" w:rsidRPr="00532C20">
        <w:rPr>
          <w:rFonts w:ascii="Times New Roman" w:eastAsia="Times New Roman" w:hAnsi="Times New Roman" w:cs="Times New Roman"/>
          <w:b/>
          <w:bCs/>
          <w:noProof/>
          <w:u w:val="single"/>
        </w:rPr>
        <w:t>1: Full take-up of the non-legislative measures</w:t>
      </w:r>
    </w:p>
    <w:p w14:paraId="175F5C21" w14:textId="72DF9586"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The costs for Member State authorities stemming from policy option 1 would depend significantly on the extent to which each authority implements the recommended measures, as well as the consistency and coherence between those measures. However, if implemented to the extent where the provisions across the Member States would be similar enough to contribute to the stated aims, the costs would be largely similar to those borne by Member State authorities under policy option </w:t>
      </w:r>
      <w:r w:rsidR="00D47716" w:rsidRPr="00532C20">
        <w:rPr>
          <w:rFonts w:ascii="Times New Roman" w:eastAsia="Times New Roman" w:hAnsi="Times New Roman" w:cs="Times New Roman"/>
          <w:noProof/>
          <w:sz w:val="24"/>
          <w:szCs w:val="24"/>
        </w:rPr>
        <w:t>2.1</w:t>
      </w:r>
      <w:r w:rsidRPr="00532C20">
        <w:rPr>
          <w:rFonts w:ascii="Times New Roman" w:eastAsia="Times New Roman" w:hAnsi="Times New Roman" w:cs="Times New Roman"/>
          <w:noProof/>
          <w:sz w:val="24"/>
          <w:szCs w:val="24"/>
        </w:rPr>
        <w:t>.</w:t>
      </w:r>
    </w:p>
    <w:p w14:paraId="405E2625" w14:textId="7B604FB0"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Should a given Member State decide to act – in line with the currently regulatory environment across the </w:t>
      </w:r>
      <w:r w:rsidR="00623D9D">
        <w:rPr>
          <w:rFonts w:ascii="Times New Roman" w:eastAsia="Times New Roman" w:hAnsi="Times New Roman" w:cs="Times New Roman"/>
          <w:noProof/>
          <w:sz w:val="24"/>
          <w:szCs w:val="24"/>
        </w:rPr>
        <w:t>Union</w:t>
      </w:r>
      <w:r w:rsidR="00623D9D" w:rsidRPr="00532C20">
        <w:rPr>
          <w:rFonts w:ascii="Times New Roman" w:eastAsia="Times New Roman" w:hAnsi="Times New Roman" w:cs="Times New Roman"/>
          <w:noProof/>
          <w:sz w:val="24"/>
          <w:szCs w:val="24"/>
        </w:rPr>
        <w:t xml:space="preserve"> </w:t>
      </w:r>
      <w:r w:rsidRPr="00532C20">
        <w:rPr>
          <w:rFonts w:ascii="Times New Roman" w:eastAsia="Times New Roman" w:hAnsi="Times New Roman" w:cs="Times New Roman"/>
          <w:noProof/>
          <w:sz w:val="24"/>
          <w:szCs w:val="24"/>
        </w:rPr>
        <w:t xml:space="preserve">– they could implement this recommendation by either: i) </w:t>
      </w:r>
      <w:r w:rsidRPr="00532C20">
        <w:rPr>
          <w:rFonts w:ascii="Times New Roman" w:eastAsia="Times New Roman" w:hAnsi="Times New Roman" w:cs="Times New Roman"/>
          <w:b/>
          <w:noProof/>
          <w:sz w:val="24"/>
          <w:szCs w:val="24"/>
        </w:rPr>
        <w:t>establishing a new transparency regime and register</w:t>
      </w:r>
      <w:r w:rsidRPr="00532C20">
        <w:rPr>
          <w:rFonts w:ascii="Times New Roman" w:eastAsia="Times New Roman" w:hAnsi="Times New Roman" w:cs="Times New Roman"/>
          <w:noProof/>
          <w:sz w:val="24"/>
          <w:szCs w:val="24"/>
        </w:rPr>
        <w:t xml:space="preserve"> for entities carrying out interest representation activities on behalf of third countries; or ii) </w:t>
      </w:r>
      <w:r w:rsidRPr="00532C20">
        <w:rPr>
          <w:rFonts w:ascii="Times New Roman" w:eastAsia="Times New Roman" w:hAnsi="Times New Roman" w:cs="Times New Roman"/>
          <w:b/>
          <w:noProof/>
          <w:sz w:val="24"/>
          <w:szCs w:val="24"/>
        </w:rPr>
        <w:t>amending an existing general transparency regime</w:t>
      </w:r>
      <w:r w:rsidRPr="00532C20">
        <w:rPr>
          <w:rFonts w:ascii="Times New Roman" w:eastAsia="Times New Roman" w:hAnsi="Times New Roman" w:cs="Times New Roman"/>
          <w:noProof/>
          <w:sz w:val="24"/>
          <w:szCs w:val="24"/>
        </w:rPr>
        <w:t xml:space="preserve"> for interest representation or lobbying to explicitly capture any additional elements covered by the recommendations. </w:t>
      </w:r>
    </w:p>
    <w:p w14:paraId="76EA3035"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Beyond ensuring the existence of a transparency regime / register for interest representation, Member State authorities would need to make decisions on the alignment with any recommendations on the composition of such a regime, including issues related to the scope of the transparency regime / register (e.g. the definition and coverage of interest representation activities), the types of requirements implemented (e.g. information disclosure and reporting regimes, the types of information to be covered, record-keeping obligations etc.), and the governance, supervision mechanisms and sanctions.</w:t>
      </w:r>
    </w:p>
    <w:p w14:paraId="11484822"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The following table indicates the different national-level responses required within this context based on existing provisions:</w:t>
      </w:r>
    </w:p>
    <w:p w14:paraId="1D0402F7" w14:textId="7C3DECF8"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1</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Summary of existing transparency provisions for interest representation across the Member States and actions required to implement policy option 1</w:t>
      </w:r>
      <w:r w:rsidR="006A4822" w:rsidRPr="00532C20">
        <w:rPr>
          <w:rFonts w:ascii="Times New Roman" w:eastAsia="Times New Roman" w:hAnsi="Times New Roman" w:cs="Times New Roman"/>
          <w:b/>
          <w:noProof/>
          <w:sz w:val="24"/>
          <w:szCs w:val="24"/>
        </w:rPr>
        <w:t xml:space="preserve"> under </w:t>
      </w:r>
      <w:r w:rsidR="00100B4E" w:rsidRPr="00532C20">
        <w:rPr>
          <w:rFonts w:ascii="Times New Roman" w:eastAsia="Times New Roman" w:hAnsi="Times New Roman" w:cs="Times New Roman"/>
          <w:b/>
          <w:noProof/>
          <w:sz w:val="24"/>
          <w:szCs w:val="24"/>
        </w:rPr>
        <w:t>Scenario 1 (Full take-up of the non-legislative measures)</w:t>
      </w:r>
    </w:p>
    <w:tbl>
      <w:tblPr>
        <w:tblStyle w:val="Deloitte17"/>
        <w:tblW w:w="5000" w:type="pct"/>
        <w:tblLook w:val="04A0" w:firstRow="1" w:lastRow="0" w:firstColumn="1" w:lastColumn="0" w:noHBand="0" w:noVBand="1"/>
      </w:tblPr>
      <w:tblGrid>
        <w:gridCol w:w="2688"/>
        <w:gridCol w:w="2835"/>
        <w:gridCol w:w="3493"/>
      </w:tblGrid>
      <w:tr w:rsidR="00A046DD" w:rsidRPr="00532C20" w14:paraId="67129B50" w14:textId="77777777">
        <w:trPr>
          <w:tblHeader/>
        </w:trPr>
        <w:tc>
          <w:tcPr>
            <w:tcW w:w="1491" w:type="pct"/>
            <w:shd w:val="clear" w:color="auto" w:fill="002060"/>
          </w:tcPr>
          <w:p w14:paraId="3DF28390" w14:textId="77777777" w:rsidR="00A046DD" w:rsidRPr="005833C4" w:rsidRDefault="00A046DD" w:rsidP="00A046DD">
            <w:pPr>
              <w:rPr>
                <w:rFonts w:ascii="Times New Roman" w:eastAsia="Times" w:hAnsi="Times New Roman" w:cs="Times New Roman"/>
                <w:b/>
                <w:bCs/>
                <w:noProof/>
              </w:rPr>
            </w:pPr>
            <w:r w:rsidRPr="005833C4">
              <w:rPr>
                <w:rFonts w:ascii="Times New Roman" w:eastAsia="Times" w:hAnsi="Times New Roman" w:cs="Times New Roman"/>
                <w:b/>
                <w:bCs/>
                <w:noProof/>
              </w:rPr>
              <w:t>Existing provisions</w:t>
            </w:r>
          </w:p>
        </w:tc>
        <w:tc>
          <w:tcPr>
            <w:tcW w:w="1572" w:type="pct"/>
            <w:shd w:val="clear" w:color="auto" w:fill="002060"/>
          </w:tcPr>
          <w:p w14:paraId="1BAE103E" w14:textId="77777777" w:rsidR="00A046DD" w:rsidRPr="005833C4" w:rsidRDefault="00A046DD" w:rsidP="00A046DD">
            <w:pPr>
              <w:rPr>
                <w:rFonts w:ascii="Times New Roman" w:eastAsia="Times" w:hAnsi="Times New Roman" w:cs="Times New Roman"/>
                <w:b/>
                <w:bCs/>
                <w:noProof/>
              </w:rPr>
            </w:pPr>
            <w:r w:rsidRPr="005833C4">
              <w:rPr>
                <w:rFonts w:ascii="Times New Roman" w:eastAsia="Times" w:hAnsi="Times New Roman" w:cs="Times New Roman"/>
                <w:b/>
                <w:bCs/>
                <w:noProof/>
              </w:rPr>
              <w:t>Countries</w:t>
            </w:r>
          </w:p>
        </w:tc>
        <w:tc>
          <w:tcPr>
            <w:tcW w:w="1937" w:type="pct"/>
            <w:shd w:val="clear" w:color="auto" w:fill="002060"/>
          </w:tcPr>
          <w:p w14:paraId="7FB1E7B2" w14:textId="77777777" w:rsidR="00A046DD" w:rsidRPr="005833C4" w:rsidRDefault="00A046DD" w:rsidP="00A046DD">
            <w:pPr>
              <w:rPr>
                <w:rFonts w:ascii="Times New Roman" w:eastAsia="Times" w:hAnsi="Times New Roman" w:cs="Times New Roman"/>
                <w:b/>
                <w:bCs/>
                <w:noProof/>
              </w:rPr>
            </w:pPr>
            <w:r w:rsidRPr="005833C4">
              <w:rPr>
                <w:rFonts w:ascii="Times New Roman" w:eastAsia="Times" w:hAnsi="Times New Roman" w:cs="Times New Roman"/>
                <w:b/>
                <w:bCs/>
                <w:noProof/>
              </w:rPr>
              <w:t xml:space="preserve">Actions to implement </w:t>
            </w:r>
            <w:r w:rsidRPr="005833C4">
              <w:rPr>
                <w:rFonts w:ascii="Times New Roman" w:hAnsi="Times New Roman" w:cs="Times New Roman"/>
                <w:b/>
                <w:bCs/>
                <w:noProof/>
              </w:rPr>
              <w:t>policy option 1</w:t>
            </w:r>
          </w:p>
        </w:tc>
      </w:tr>
      <w:tr w:rsidR="00A046DD" w:rsidRPr="00532C20" w14:paraId="1101528B" w14:textId="77777777">
        <w:tc>
          <w:tcPr>
            <w:tcW w:w="1491" w:type="pct"/>
            <w:shd w:val="clear" w:color="auto" w:fill="D9D9D9"/>
          </w:tcPr>
          <w:p w14:paraId="4FDD2B72" w14:textId="77777777" w:rsidR="00A046DD" w:rsidRPr="00532C20" w:rsidRDefault="00A046DD" w:rsidP="00A046DD">
            <w:pPr>
              <w:rPr>
                <w:rFonts w:ascii="Times New Roman" w:eastAsia="Times" w:hAnsi="Times New Roman" w:cs="Times New Roman"/>
                <w:b/>
                <w:noProof/>
              </w:rPr>
            </w:pPr>
            <w:r w:rsidRPr="00532C20">
              <w:rPr>
                <w:rFonts w:ascii="Times New Roman" w:eastAsia="Times" w:hAnsi="Times New Roman" w:cs="Times New Roman"/>
                <w:b/>
                <w:noProof/>
              </w:rPr>
              <w:t>No existing law or register</w:t>
            </w:r>
          </w:p>
        </w:tc>
        <w:tc>
          <w:tcPr>
            <w:tcW w:w="1572" w:type="pct"/>
            <w:shd w:val="clear" w:color="auto" w:fill="auto"/>
          </w:tcPr>
          <w:p w14:paraId="72D89704" w14:textId="77777777" w:rsidR="00A046DD" w:rsidRPr="00532C20" w:rsidRDefault="00A046DD" w:rsidP="00A046DD">
            <w:pPr>
              <w:rPr>
                <w:rFonts w:ascii="Times New Roman" w:eastAsia="Times" w:hAnsi="Times New Roman" w:cs="Times New Roman"/>
                <w:noProof/>
                <w:lang w:val="es-ES"/>
              </w:rPr>
            </w:pPr>
            <w:r w:rsidRPr="00532C20">
              <w:rPr>
                <w:rFonts w:ascii="Times New Roman" w:eastAsia="Times" w:hAnsi="Times New Roman" w:cs="Times New Roman"/>
                <w:noProof/>
                <w:lang w:val="es-ES"/>
              </w:rPr>
              <w:t>9 (BG, CZ, DK, EE, HR, LV, PT, SK, SE)</w:t>
            </w:r>
          </w:p>
        </w:tc>
        <w:tc>
          <w:tcPr>
            <w:tcW w:w="1937" w:type="pct"/>
            <w:shd w:val="clear" w:color="auto" w:fill="auto"/>
          </w:tcPr>
          <w:p w14:paraId="7A267627" w14:textId="77777777" w:rsidR="00A046DD" w:rsidRPr="00532C20" w:rsidRDefault="00A046DD" w:rsidP="005833C4">
            <w:pPr>
              <w:rPr>
                <w:rFonts w:ascii="Times New Roman" w:eastAsia="Times" w:hAnsi="Times New Roman" w:cs="Times New Roman"/>
                <w:noProof/>
              </w:rPr>
            </w:pPr>
            <w:r w:rsidRPr="00532C20">
              <w:rPr>
                <w:rFonts w:ascii="Times New Roman" w:eastAsia="Times" w:hAnsi="Times New Roman" w:cs="Times New Roman"/>
                <w:noProof/>
              </w:rPr>
              <w:t>Establish new legal regime</w:t>
            </w:r>
          </w:p>
          <w:p w14:paraId="308FA031" w14:textId="77777777" w:rsidR="00A046DD" w:rsidRPr="00532C20" w:rsidRDefault="00A046DD" w:rsidP="005833C4">
            <w:pPr>
              <w:rPr>
                <w:rFonts w:ascii="Times New Roman" w:eastAsia="Times" w:hAnsi="Times New Roman" w:cs="Times New Roman"/>
                <w:noProof/>
              </w:rPr>
            </w:pPr>
            <w:r w:rsidRPr="00532C20">
              <w:rPr>
                <w:rFonts w:ascii="Times New Roman" w:eastAsia="Times" w:hAnsi="Times New Roman" w:cs="Times New Roman"/>
                <w:noProof/>
              </w:rPr>
              <w:t>Establish new register</w:t>
            </w:r>
          </w:p>
        </w:tc>
      </w:tr>
      <w:tr w:rsidR="00A046DD" w:rsidRPr="00532C20" w14:paraId="0815667A" w14:textId="77777777">
        <w:tc>
          <w:tcPr>
            <w:tcW w:w="1491" w:type="pct"/>
            <w:shd w:val="clear" w:color="auto" w:fill="D9D9D9"/>
          </w:tcPr>
          <w:p w14:paraId="7AC850B2" w14:textId="77777777" w:rsidR="00A046DD" w:rsidRPr="00532C20" w:rsidRDefault="00A046DD" w:rsidP="00A046DD">
            <w:pPr>
              <w:rPr>
                <w:rFonts w:ascii="Times New Roman" w:eastAsia="Times" w:hAnsi="Times New Roman" w:cs="Times New Roman"/>
                <w:b/>
                <w:noProof/>
              </w:rPr>
            </w:pPr>
            <w:r w:rsidRPr="00532C20">
              <w:rPr>
                <w:rFonts w:ascii="Times New Roman" w:eastAsia="Times" w:hAnsi="Times New Roman" w:cs="Times New Roman"/>
                <w:b/>
                <w:noProof/>
              </w:rPr>
              <w:t>No existing law, but a register</w:t>
            </w:r>
          </w:p>
        </w:tc>
        <w:tc>
          <w:tcPr>
            <w:tcW w:w="1572" w:type="pct"/>
            <w:shd w:val="clear" w:color="auto" w:fill="auto"/>
          </w:tcPr>
          <w:p w14:paraId="71CCB153" w14:textId="77777777" w:rsidR="00A046DD" w:rsidRPr="00532C20" w:rsidRDefault="00A046DD" w:rsidP="00A046DD">
            <w:pPr>
              <w:rPr>
                <w:rFonts w:ascii="Times New Roman" w:eastAsia="Times" w:hAnsi="Times New Roman" w:cs="Times New Roman"/>
                <w:noProof/>
              </w:rPr>
            </w:pPr>
            <w:r w:rsidRPr="00532C20">
              <w:rPr>
                <w:rFonts w:ascii="Times New Roman" w:eastAsia="Times" w:hAnsi="Times New Roman" w:cs="Times New Roman"/>
                <w:noProof/>
              </w:rPr>
              <w:t>2 (IT, NL)</w:t>
            </w:r>
          </w:p>
        </w:tc>
        <w:tc>
          <w:tcPr>
            <w:tcW w:w="1937" w:type="pct"/>
            <w:shd w:val="clear" w:color="auto" w:fill="auto"/>
          </w:tcPr>
          <w:p w14:paraId="54BBB64F" w14:textId="77777777" w:rsidR="00A046DD" w:rsidRPr="00532C20" w:rsidRDefault="00A046DD" w:rsidP="005833C4">
            <w:pPr>
              <w:rPr>
                <w:rFonts w:ascii="Times New Roman" w:eastAsia="Times" w:hAnsi="Times New Roman" w:cs="Times New Roman"/>
                <w:noProof/>
              </w:rPr>
            </w:pPr>
            <w:r w:rsidRPr="00532C20">
              <w:rPr>
                <w:rFonts w:ascii="Times New Roman" w:eastAsia="Times" w:hAnsi="Times New Roman" w:cs="Times New Roman"/>
                <w:noProof/>
              </w:rPr>
              <w:t>Establish new legal regime</w:t>
            </w:r>
          </w:p>
          <w:p w14:paraId="404DE9F6" w14:textId="77777777" w:rsidR="00A046DD" w:rsidRPr="00532C20" w:rsidRDefault="00A046DD" w:rsidP="005833C4">
            <w:pPr>
              <w:rPr>
                <w:rFonts w:ascii="Times New Roman" w:eastAsia="Times" w:hAnsi="Times New Roman" w:cs="Times New Roman"/>
                <w:noProof/>
              </w:rPr>
            </w:pPr>
            <w:r w:rsidRPr="00532C20">
              <w:rPr>
                <w:rFonts w:ascii="Times New Roman" w:eastAsia="Times" w:hAnsi="Times New Roman" w:cs="Times New Roman"/>
                <w:noProof/>
              </w:rPr>
              <w:t>Adapt existing register</w:t>
            </w:r>
          </w:p>
        </w:tc>
      </w:tr>
      <w:tr w:rsidR="00A046DD" w:rsidRPr="00532C20" w14:paraId="68990C40" w14:textId="77777777">
        <w:tc>
          <w:tcPr>
            <w:tcW w:w="1491" w:type="pct"/>
            <w:shd w:val="clear" w:color="auto" w:fill="D9D9D9"/>
          </w:tcPr>
          <w:p w14:paraId="3808FD35" w14:textId="77777777" w:rsidR="00A046DD" w:rsidRPr="00532C20" w:rsidRDefault="00A046DD" w:rsidP="00A046DD">
            <w:pPr>
              <w:rPr>
                <w:rFonts w:ascii="Times New Roman" w:eastAsia="Times" w:hAnsi="Times New Roman" w:cs="Times New Roman"/>
                <w:b/>
                <w:noProof/>
              </w:rPr>
            </w:pPr>
            <w:r w:rsidRPr="00532C20">
              <w:rPr>
                <w:rFonts w:ascii="Times New Roman" w:eastAsia="Times" w:hAnsi="Times New Roman" w:cs="Times New Roman"/>
                <w:b/>
                <w:noProof/>
              </w:rPr>
              <w:t>Existing law, but no register</w:t>
            </w:r>
          </w:p>
        </w:tc>
        <w:tc>
          <w:tcPr>
            <w:tcW w:w="1572" w:type="pct"/>
            <w:shd w:val="clear" w:color="auto" w:fill="auto"/>
          </w:tcPr>
          <w:p w14:paraId="4BE6BE82" w14:textId="77777777" w:rsidR="00A046DD" w:rsidRPr="00532C20" w:rsidRDefault="00A046DD" w:rsidP="00A046DD">
            <w:pPr>
              <w:rPr>
                <w:rFonts w:ascii="Times New Roman" w:eastAsia="Times" w:hAnsi="Times New Roman" w:cs="Times New Roman"/>
                <w:noProof/>
              </w:rPr>
            </w:pPr>
            <w:r w:rsidRPr="00532C20">
              <w:rPr>
                <w:rFonts w:ascii="Times New Roman" w:eastAsia="Times" w:hAnsi="Times New Roman" w:cs="Times New Roman"/>
                <w:noProof/>
              </w:rPr>
              <w:t>3 (BE</w:t>
            </w:r>
            <w:bookmarkStart w:id="1161" w:name="_Ref147758136"/>
            <w:r w:rsidRPr="00532C20">
              <w:rPr>
                <w:rFonts w:ascii="Times New Roman" w:eastAsia="Times" w:hAnsi="Times New Roman" w:cs="Times New Roman"/>
                <w:noProof/>
                <w:vertAlign w:val="superscript"/>
              </w:rPr>
              <w:footnoteReference w:id="251"/>
            </w:r>
            <w:bookmarkEnd w:id="1161"/>
            <w:r w:rsidRPr="00532C20">
              <w:rPr>
                <w:rFonts w:ascii="Times New Roman" w:eastAsia="Times" w:hAnsi="Times New Roman" w:cs="Times New Roman"/>
                <w:noProof/>
              </w:rPr>
              <w:t xml:space="preserve">, HU, </w:t>
            </w:r>
            <w:bookmarkStart w:id="1162" w:name="_Ref147759917"/>
            <w:r w:rsidRPr="00532C20">
              <w:rPr>
                <w:rFonts w:ascii="Times New Roman" w:eastAsia="Times" w:hAnsi="Times New Roman" w:cs="Times New Roman"/>
                <w:noProof/>
              </w:rPr>
              <w:t>M</w:t>
            </w:r>
            <w:bookmarkEnd w:id="1162"/>
            <w:r w:rsidRPr="00532C20">
              <w:rPr>
                <w:rFonts w:ascii="Times New Roman" w:eastAsia="Times" w:hAnsi="Times New Roman" w:cs="Times New Roman"/>
                <w:noProof/>
              </w:rPr>
              <w:t>T)</w:t>
            </w:r>
          </w:p>
        </w:tc>
        <w:tc>
          <w:tcPr>
            <w:tcW w:w="1937" w:type="pct"/>
            <w:shd w:val="clear" w:color="auto" w:fill="auto"/>
          </w:tcPr>
          <w:p w14:paraId="6E275C69" w14:textId="77777777" w:rsidR="00A046DD" w:rsidRPr="00532C20" w:rsidRDefault="00A046DD" w:rsidP="005833C4">
            <w:pPr>
              <w:rPr>
                <w:rFonts w:ascii="Times New Roman" w:eastAsia="Times" w:hAnsi="Times New Roman" w:cs="Times New Roman"/>
                <w:noProof/>
              </w:rPr>
            </w:pPr>
            <w:r w:rsidRPr="00532C20">
              <w:rPr>
                <w:rFonts w:ascii="Times New Roman" w:eastAsia="Times" w:hAnsi="Times New Roman" w:cs="Times New Roman"/>
                <w:noProof/>
              </w:rPr>
              <w:t>Adapt existing legal regime</w:t>
            </w:r>
          </w:p>
          <w:p w14:paraId="77112A84" w14:textId="77777777" w:rsidR="00A046DD" w:rsidRPr="00532C20" w:rsidRDefault="00A046DD" w:rsidP="005833C4">
            <w:pPr>
              <w:rPr>
                <w:rFonts w:ascii="Times New Roman" w:eastAsia="Times" w:hAnsi="Times New Roman" w:cs="Times New Roman"/>
                <w:noProof/>
              </w:rPr>
            </w:pPr>
            <w:r w:rsidRPr="00532C20">
              <w:rPr>
                <w:rFonts w:ascii="Times New Roman" w:eastAsia="Times" w:hAnsi="Times New Roman" w:cs="Times New Roman"/>
                <w:noProof/>
              </w:rPr>
              <w:t>Establish new register</w:t>
            </w:r>
          </w:p>
        </w:tc>
      </w:tr>
      <w:tr w:rsidR="00A046DD" w:rsidRPr="00532C20" w14:paraId="177FE4CA" w14:textId="77777777">
        <w:tc>
          <w:tcPr>
            <w:tcW w:w="1491" w:type="pct"/>
            <w:shd w:val="clear" w:color="auto" w:fill="D9D9D9"/>
          </w:tcPr>
          <w:p w14:paraId="5277EEA8" w14:textId="77777777" w:rsidR="00A046DD" w:rsidRPr="00532C20" w:rsidRDefault="00A046DD" w:rsidP="00A046DD">
            <w:pPr>
              <w:rPr>
                <w:rFonts w:ascii="Times New Roman" w:eastAsia="Times" w:hAnsi="Times New Roman" w:cs="Times New Roman"/>
                <w:b/>
                <w:noProof/>
              </w:rPr>
            </w:pPr>
            <w:r w:rsidRPr="00532C20">
              <w:rPr>
                <w:rFonts w:ascii="Times New Roman" w:eastAsia="Times" w:hAnsi="Times New Roman" w:cs="Times New Roman"/>
                <w:b/>
                <w:noProof/>
              </w:rPr>
              <w:t>Existing law and register</w:t>
            </w:r>
          </w:p>
        </w:tc>
        <w:tc>
          <w:tcPr>
            <w:tcW w:w="1572" w:type="pct"/>
            <w:shd w:val="clear" w:color="auto" w:fill="auto"/>
          </w:tcPr>
          <w:p w14:paraId="5E0B8316" w14:textId="77777777" w:rsidR="00A046DD" w:rsidRPr="00532C20" w:rsidRDefault="00A046DD" w:rsidP="00A046DD">
            <w:pPr>
              <w:rPr>
                <w:rFonts w:ascii="Times New Roman" w:eastAsia="Times" w:hAnsi="Times New Roman" w:cs="Times New Roman"/>
                <w:noProof/>
                <w:lang w:val="es-ES"/>
              </w:rPr>
            </w:pPr>
            <w:r w:rsidRPr="00532C20">
              <w:rPr>
                <w:rFonts w:ascii="Times New Roman" w:eastAsia="Times" w:hAnsi="Times New Roman" w:cs="Times New Roman"/>
                <w:noProof/>
                <w:lang w:val="es-ES"/>
              </w:rPr>
              <w:t>13 (AT, CY, DE, EL, ES, FI, FR, IE, LT, LU, PL, RO, SI)</w:t>
            </w:r>
          </w:p>
        </w:tc>
        <w:tc>
          <w:tcPr>
            <w:tcW w:w="1937" w:type="pct"/>
            <w:shd w:val="clear" w:color="auto" w:fill="auto"/>
          </w:tcPr>
          <w:p w14:paraId="7AB0DDF2" w14:textId="77777777" w:rsidR="00A046DD" w:rsidRPr="00532C20" w:rsidRDefault="00A046DD" w:rsidP="005833C4">
            <w:pPr>
              <w:rPr>
                <w:rFonts w:ascii="Times New Roman" w:eastAsia="Times" w:hAnsi="Times New Roman" w:cs="Times New Roman"/>
                <w:noProof/>
              </w:rPr>
            </w:pPr>
            <w:r w:rsidRPr="00532C20">
              <w:rPr>
                <w:rFonts w:ascii="Times New Roman" w:eastAsia="Times" w:hAnsi="Times New Roman" w:cs="Times New Roman"/>
                <w:noProof/>
              </w:rPr>
              <w:t>Adapt existing legal regime</w:t>
            </w:r>
          </w:p>
          <w:p w14:paraId="6E3F8FE3" w14:textId="77777777" w:rsidR="00A046DD" w:rsidRPr="00532C20" w:rsidRDefault="00A046DD" w:rsidP="005833C4">
            <w:pPr>
              <w:rPr>
                <w:rFonts w:ascii="Times New Roman" w:eastAsia="Times" w:hAnsi="Times New Roman" w:cs="Times New Roman"/>
                <w:noProof/>
              </w:rPr>
            </w:pPr>
            <w:r w:rsidRPr="00532C20">
              <w:rPr>
                <w:rFonts w:ascii="Times New Roman" w:eastAsia="Times" w:hAnsi="Times New Roman" w:cs="Times New Roman"/>
                <w:noProof/>
              </w:rPr>
              <w:t>Adapt existing register</w:t>
            </w:r>
          </w:p>
        </w:tc>
      </w:tr>
    </w:tbl>
    <w:p w14:paraId="2078CD76"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addition, a total of 11 Member States spanning all 4 categories are in the process of developing or amending their transparency regimes for interest representation or lobbying (BE, BG, CZ, ES, IE, IT, LV, MT, NL, PL, SK). Any updates in this regard would impact the changes required to implement policy option1 in those Member States.</w:t>
      </w:r>
    </w:p>
    <w:p w14:paraId="556EE48F"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While the costs are detailed more comprehensively in relation to policy option 2 (see below), the maximum costs for Member State authorities over a 10-year time horizon under policy option 1 are summarised in the following table. Key points to note in this regard are:</w:t>
      </w:r>
    </w:p>
    <w:p w14:paraId="1A4320BC" w14:textId="77777777" w:rsidR="00A046DD" w:rsidRPr="00532C20" w:rsidRDefault="00A046DD" w:rsidP="002B0B48">
      <w:pPr>
        <w:numPr>
          <w:ilvl w:val="0"/>
          <w:numId w:val="72"/>
        </w:numPr>
        <w:spacing w:before="120" w:after="120" w:line="240" w:lineRule="auto"/>
        <w:jc w:val="both"/>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sz w:val="24"/>
          <w:szCs w:val="24"/>
          <w:lang w:eastAsia="en-GB"/>
        </w:rPr>
        <w:t>The low/middle/high scenarios i</w:t>
      </w:r>
      <w:r w:rsidRPr="00532C20">
        <w:rPr>
          <w:rFonts w:ascii="Times New Roman" w:eastAsia="Times New Roman" w:hAnsi="Times New Roman" w:cs="Times New Roman"/>
          <w:noProof/>
          <w:color w:val="000000"/>
          <w:sz w:val="24"/>
          <w:szCs w:val="24"/>
          <w:lang w:eastAsia="en-GB"/>
        </w:rPr>
        <w:t xml:space="preserve">n this context refer to the scenarios elaborated within the baseline on the estimated population of entities impacted by the policy options – i.e. entities carrying out interest representation activities on behalf of third countries. </w:t>
      </w:r>
    </w:p>
    <w:p w14:paraId="1C4B9D86" w14:textId="77777777" w:rsidR="00A046DD" w:rsidRPr="00532C20" w:rsidRDefault="00A046DD" w:rsidP="002B0B48">
      <w:pPr>
        <w:numPr>
          <w:ilvl w:val="0"/>
          <w:numId w:val="72"/>
        </w:numPr>
        <w:spacing w:before="120" w:after="120" w:line="240" w:lineRule="auto"/>
        <w:jc w:val="both"/>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sz w:val="24"/>
          <w:szCs w:val="24"/>
          <w:lang w:eastAsia="en-GB"/>
        </w:rPr>
        <w:t>The familiarisation c</w:t>
      </w:r>
      <w:r w:rsidRPr="00532C20">
        <w:rPr>
          <w:rFonts w:ascii="Times New Roman" w:eastAsia="Times New Roman" w:hAnsi="Times New Roman" w:cs="Times New Roman"/>
          <w:noProof/>
          <w:color w:val="000000"/>
          <w:sz w:val="24"/>
          <w:szCs w:val="24"/>
          <w:lang w:eastAsia="en-GB"/>
        </w:rPr>
        <w:t>osts are based on the type and scale of human resource required (seniority of staff and time). It is assumed in this context that the activity is conducted by professionals at ISCO 2 level and requires 2-6 hours of their time.</w:t>
      </w:r>
    </w:p>
    <w:p w14:paraId="1BE6CD43" w14:textId="77777777" w:rsidR="00A046DD" w:rsidRPr="00532C20" w:rsidRDefault="00A046DD" w:rsidP="002B0B48">
      <w:pPr>
        <w:numPr>
          <w:ilvl w:val="0"/>
          <w:numId w:val="72"/>
        </w:numPr>
        <w:spacing w:before="120" w:after="120" w:line="240" w:lineRule="auto"/>
        <w:jc w:val="both"/>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sz w:val="24"/>
          <w:szCs w:val="24"/>
          <w:lang w:eastAsia="en-GB"/>
        </w:rPr>
        <w:t>While some evidence was provi</w:t>
      </w:r>
      <w:r w:rsidRPr="00532C20">
        <w:rPr>
          <w:rFonts w:ascii="Times New Roman" w:eastAsia="Times New Roman" w:hAnsi="Times New Roman" w:cs="Times New Roman"/>
          <w:noProof/>
          <w:color w:val="000000"/>
          <w:sz w:val="24"/>
          <w:szCs w:val="24"/>
          <w:lang w:eastAsia="en-GB"/>
        </w:rPr>
        <w:t>ded by stakeholders on the costs related to ensuring an appropriate register is in place (i.e. costs of developing a new register or amending an existing register), it was not possible to develop EU-wide cost estimates. This is because the examples provided are too disparate and too few to establish a solid basis on which to approximate costs.</w:t>
      </w:r>
    </w:p>
    <w:p w14:paraId="005D43EF" w14:textId="77777777" w:rsidR="00A046DD" w:rsidRPr="00532C20" w:rsidRDefault="00A046DD" w:rsidP="002B0B48">
      <w:pPr>
        <w:numPr>
          <w:ilvl w:val="0"/>
          <w:numId w:val="72"/>
        </w:numPr>
        <w:spacing w:before="120" w:after="120" w:line="240" w:lineRule="auto"/>
        <w:jc w:val="both"/>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sz w:val="24"/>
          <w:szCs w:val="24"/>
          <w:lang w:eastAsia="en-GB"/>
        </w:rPr>
        <w:t>Th</w:t>
      </w:r>
      <w:r w:rsidRPr="00532C20">
        <w:rPr>
          <w:rFonts w:ascii="Times New Roman" w:eastAsia="Times New Roman" w:hAnsi="Times New Roman" w:cs="Times New Roman"/>
          <w:noProof/>
          <w:color w:val="000000"/>
          <w:sz w:val="24"/>
          <w:szCs w:val="24"/>
          <w:lang w:eastAsia="en-GB"/>
        </w:rPr>
        <w:t>e Member States with an existing register/IT tool already incur certain maintenance costs. Due to the limited number of entities estimated to be within scope, it was assumed that a notable increase in maintenance costs would not be experienced by these countries. As such, these costs are considered to be business-as-usual (BaU) costs.</w:t>
      </w:r>
    </w:p>
    <w:p w14:paraId="1503CAF8" w14:textId="77777777" w:rsidR="00A046DD" w:rsidRPr="00532C20" w:rsidRDefault="00A046DD" w:rsidP="002B0B48">
      <w:pPr>
        <w:numPr>
          <w:ilvl w:val="0"/>
          <w:numId w:val="72"/>
        </w:numPr>
        <w:spacing w:before="120" w:after="120" w:line="240" w:lineRule="auto"/>
        <w:jc w:val="both"/>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sz w:val="24"/>
          <w:szCs w:val="24"/>
          <w:lang w:eastAsia="en-GB"/>
        </w:rPr>
        <w:t>For Memb</w:t>
      </w:r>
      <w:r w:rsidRPr="00532C20">
        <w:rPr>
          <w:rFonts w:ascii="Times New Roman" w:eastAsia="Times New Roman" w:hAnsi="Times New Roman" w:cs="Times New Roman"/>
          <w:noProof/>
          <w:color w:val="000000"/>
          <w:sz w:val="24"/>
          <w:szCs w:val="24"/>
          <w:lang w:eastAsia="en-GB"/>
        </w:rPr>
        <w:t>er States without an existing register / IT tool, data on the annual maintenance costs in various Member States with registers (e.g. LT, IT, AT) were used to estimate the maintenance costs for those Member States without registers – 3 cost scenarios were developed (EUR 5,000 – low; EUR 20,000 – middle; EUR 45,000 – high). However, as for the costs on register development, these cost estimates face a range of challenges related to the representativeness and comparability of the available data.</w:t>
      </w:r>
    </w:p>
    <w:p w14:paraId="4D8E46D7" w14:textId="77777777" w:rsidR="00A046DD" w:rsidRPr="00532C20" w:rsidRDefault="00A046DD" w:rsidP="002B0B48">
      <w:pPr>
        <w:numPr>
          <w:ilvl w:val="0"/>
          <w:numId w:val="72"/>
        </w:numPr>
        <w:spacing w:before="120" w:after="120" w:line="240" w:lineRule="auto"/>
        <w:jc w:val="both"/>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sz w:val="24"/>
          <w:szCs w:val="24"/>
          <w:lang w:eastAsia="en-GB"/>
        </w:rPr>
        <w:t>As for the</w:t>
      </w:r>
      <w:r w:rsidRPr="00532C20">
        <w:rPr>
          <w:rFonts w:ascii="Times New Roman" w:eastAsia="Times New Roman" w:hAnsi="Times New Roman" w:cs="Times New Roman"/>
          <w:noProof/>
          <w:color w:val="000000"/>
          <w:sz w:val="24"/>
          <w:szCs w:val="24"/>
          <w:lang w:eastAsia="en-GB"/>
        </w:rPr>
        <w:t xml:space="preserve"> familiarisation costs, the costs associated with managing, monitoring and enforcement have been calculated as a product of the type and scale of human resource required to conduct these activities. 3 scenarios were developed using data provided by representatives of Member State authorities on the incremental increase in FTEs anticipated as a result of the introduction of the policy measures described. More specifically, low (2 FTEs), middle (2.5 FTEs) and high (3 FTEs) scenarios were used. Evidence on the seniority of staff involved in these activities and the division of labour between staff was then used to calculate Member State specific costs, which were extrapolated to the EU level. It was assumed in this context that each FTE was split between an ISCO 2 professional (0.3 FTEs) and an ISCO 4 level clerk (0.7 FTEs).</w:t>
      </w:r>
    </w:p>
    <w:p w14:paraId="66407788" w14:textId="3BDA210F"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2</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Policy option 1 – Summary of maximum total costs to Member State authorities (over 10-years)</w:t>
      </w:r>
      <w:r w:rsidR="0074051A" w:rsidRPr="00532C20">
        <w:rPr>
          <w:rFonts w:ascii="Times New Roman" w:eastAsia="Times New Roman" w:hAnsi="Times New Roman" w:cs="Times New Roman"/>
          <w:b/>
          <w:noProof/>
          <w:sz w:val="24"/>
          <w:szCs w:val="24"/>
        </w:rPr>
        <w:t xml:space="preserve"> under Scenario 1 (Full take-up of the non-legislative measures)</w:t>
      </w:r>
    </w:p>
    <w:tbl>
      <w:tblPr>
        <w:tblStyle w:val="12uCharChar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1672"/>
        <w:gridCol w:w="1936"/>
        <w:gridCol w:w="1762"/>
      </w:tblGrid>
      <w:tr w:rsidR="00A046DD" w:rsidRPr="00532C20" w14:paraId="10557FA4"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3401" w:type="dxa"/>
            <w:shd w:val="clear" w:color="auto" w:fill="002060"/>
            <w:vAlign w:val="center"/>
          </w:tcPr>
          <w:p w14:paraId="52368F1F" w14:textId="77777777" w:rsidR="00A046DD" w:rsidRPr="005833C4" w:rsidRDefault="00A046DD" w:rsidP="00A046DD">
            <w:pPr>
              <w:rPr>
                <w:rFonts w:ascii="Times New Roman" w:eastAsia="Times" w:hAnsi="Times New Roman" w:cs="Times"/>
                <w:b/>
                <w:bCs/>
                <w:noProof/>
                <w:color w:val="auto"/>
                <w:sz w:val="24"/>
                <w:szCs w:val="24"/>
                <w:lang w:val="en-GB"/>
              </w:rPr>
            </w:pPr>
            <w:r w:rsidRPr="005833C4">
              <w:rPr>
                <w:rFonts w:ascii="Times New Roman" w:eastAsia="Times" w:hAnsi="Times New Roman" w:cs="Times"/>
                <w:b/>
                <w:bCs/>
                <w:noProof/>
                <w:sz w:val="24"/>
                <w:szCs w:val="24"/>
                <w:lang w:val="fr-FR"/>
              </w:rPr>
              <w:t>Cost item</w:t>
            </w:r>
          </w:p>
        </w:tc>
        <w:tc>
          <w:tcPr>
            <w:tcW w:w="1672" w:type="dxa"/>
            <w:shd w:val="clear" w:color="auto" w:fill="002060"/>
            <w:vAlign w:val="center"/>
          </w:tcPr>
          <w:p w14:paraId="121D75A0" w14:textId="623A5FFD" w:rsidR="00A046DD" w:rsidRPr="005833C4" w:rsidRDefault="00A046DD" w:rsidP="00A046DD">
            <w:pPr>
              <w:jc w:val="center"/>
              <w:rPr>
                <w:rFonts w:ascii="Times New Roman" w:eastAsia="Times" w:hAnsi="Times New Roman" w:cs="Times"/>
                <w:b/>
                <w:bCs/>
                <w:noProof/>
                <w:color w:val="auto"/>
                <w:sz w:val="24"/>
                <w:szCs w:val="24"/>
                <w:lang w:val="en-GB"/>
              </w:rPr>
            </w:pPr>
            <w:r w:rsidRPr="005833C4">
              <w:rPr>
                <w:rFonts w:ascii="Times New Roman" w:eastAsia="Times" w:hAnsi="Times New Roman" w:cs="Times"/>
                <w:b/>
                <w:bCs/>
                <w:noProof/>
                <w:sz w:val="24"/>
                <w:szCs w:val="24"/>
                <w:lang w:val="en-IE"/>
              </w:rPr>
              <w:t>Low scenario (EUR)</w:t>
            </w:r>
          </w:p>
        </w:tc>
        <w:tc>
          <w:tcPr>
            <w:tcW w:w="1936" w:type="dxa"/>
            <w:shd w:val="clear" w:color="auto" w:fill="002060"/>
            <w:vAlign w:val="center"/>
          </w:tcPr>
          <w:p w14:paraId="0F363B0B" w14:textId="7481646C" w:rsidR="00A046DD" w:rsidRPr="005833C4" w:rsidRDefault="00A046DD" w:rsidP="00A046DD">
            <w:pPr>
              <w:jc w:val="center"/>
              <w:rPr>
                <w:rFonts w:ascii="Times New Roman" w:eastAsia="Times" w:hAnsi="Times New Roman" w:cs="Times"/>
                <w:b/>
                <w:bCs/>
                <w:noProof/>
                <w:color w:val="auto"/>
                <w:sz w:val="24"/>
                <w:szCs w:val="24"/>
                <w:lang w:val="en-GB"/>
              </w:rPr>
            </w:pPr>
            <w:r w:rsidRPr="005833C4">
              <w:rPr>
                <w:rFonts w:ascii="Times New Roman" w:eastAsia="Times" w:hAnsi="Times New Roman" w:cs="Times"/>
                <w:b/>
                <w:bCs/>
                <w:noProof/>
                <w:sz w:val="24"/>
                <w:szCs w:val="24"/>
                <w:lang w:val="en-IE"/>
              </w:rPr>
              <w:t>Middle scenario (EUR)</w:t>
            </w:r>
          </w:p>
        </w:tc>
        <w:tc>
          <w:tcPr>
            <w:tcW w:w="1762" w:type="dxa"/>
            <w:shd w:val="clear" w:color="auto" w:fill="002060"/>
            <w:vAlign w:val="center"/>
          </w:tcPr>
          <w:p w14:paraId="2E83C627" w14:textId="22F66937" w:rsidR="00A046DD" w:rsidRPr="005833C4" w:rsidRDefault="00A046DD" w:rsidP="00A046DD">
            <w:pPr>
              <w:jc w:val="center"/>
              <w:rPr>
                <w:rFonts w:ascii="Times New Roman" w:eastAsia="Times" w:hAnsi="Times New Roman" w:cs="Times"/>
                <w:b/>
                <w:bCs/>
                <w:noProof/>
                <w:color w:val="auto"/>
                <w:sz w:val="24"/>
                <w:szCs w:val="24"/>
                <w:lang w:val="en-GB"/>
              </w:rPr>
            </w:pPr>
            <w:r w:rsidRPr="005833C4">
              <w:rPr>
                <w:rFonts w:ascii="Times New Roman" w:eastAsia="Times" w:hAnsi="Times New Roman" w:cs="Times"/>
                <w:b/>
                <w:bCs/>
                <w:noProof/>
                <w:sz w:val="24"/>
                <w:szCs w:val="24"/>
                <w:lang w:val="en-IE"/>
              </w:rPr>
              <w:t>High scenario (EUR)</w:t>
            </w:r>
          </w:p>
        </w:tc>
      </w:tr>
      <w:tr w:rsidR="00A046DD" w:rsidRPr="00532C20" w14:paraId="74EDA759" w14:textId="77777777">
        <w:trPr>
          <w:trHeight w:val="20"/>
        </w:trPr>
        <w:tc>
          <w:tcPr>
            <w:tcW w:w="3401" w:type="dxa"/>
            <w:shd w:val="clear" w:color="auto" w:fill="D9D9D9"/>
            <w:vAlign w:val="center"/>
          </w:tcPr>
          <w:p w14:paraId="3B0E7645"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fr-FR"/>
              </w:rPr>
              <w:t>Familiarisation costs</w:t>
            </w:r>
          </w:p>
        </w:tc>
        <w:tc>
          <w:tcPr>
            <w:tcW w:w="1672" w:type="dxa"/>
            <w:shd w:val="clear" w:color="auto" w:fill="auto"/>
            <w:vAlign w:val="center"/>
          </w:tcPr>
          <w:p w14:paraId="34DBF7AE"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1,533.06</w:t>
            </w:r>
          </w:p>
        </w:tc>
        <w:tc>
          <w:tcPr>
            <w:tcW w:w="1936" w:type="dxa"/>
            <w:shd w:val="clear" w:color="auto" w:fill="auto"/>
            <w:vAlign w:val="center"/>
          </w:tcPr>
          <w:p w14:paraId="75B9940B"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3,066.11</w:t>
            </w:r>
          </w:p>
        </w:tc>
        <w:tc>
          <w:tcPr>
            <w:tcW w:w="1762" w:type="dxa"/>
            <w:shd w:val="clear" w:color="auto" w:fill="auto"/>
            <w:vAlign w:val="center"/>
          </w:tcPr>
          <w:p w14:paraId="6B714EEC"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4,599.17</w:t>
            </w:r>
          </w:p>
        </w:tc>
      </w:tr>
      <w:tr w:rsidR="00A046DD" w:rsidRPr="00532C20" w14:paraId="2669E6FC" w14:textId="77777777">
        <w:trPr>
          <w:trHeight w:val="20"/>
        </w:trPr>
        <w:tc>
          <w:tcPr>
            <w:tcW w:w="3401" w:type="dxa"/>
            <w:shd w:val="clear" w:color="auto" w:fill="D9D9D9"/>
            <w:vAlign w:val="center"/>
          </w:tcPr>
          <w:p w14:paraId="5C39E5A9"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en-IE"/>
              </w:rPr>
              <w:t>Ensuring an appropriate register is in place</w:t>
            </w:r>
          </w:p>
        </w:tc>
        <w:tc>
          <w:tcPr>
            <w:tcW w:w="5370" w:type="dxa"/>
            <w:gridSpan w:val="3"/>
            <w:shd w:val="clear" w:color="auto" w:fill="auto"/>
            <w:vAlign w:val="center"/>
          </w:tcPr>
          <w:p w14:paraId="342C66A0" w14:textId="77777777" w:rsidR="00A046DD" w:rsidRPr="00532C20" w:rsidRDefault="00A046DD" w:rsidP="00A046DD">
            <w:pPr>
              <w:rPr>
                <w:rFonts w:ascii="Times New Roman" w:eastAsia="Times" w:hAnsi="Times New Roman" w:cs="Times"/>
                <w:noProof/>
                <w:sz w:val="24"/>
                <w:szCs w:val="24"/>
                <w:lang w:val="en-GB"/>
              </w:rPr>
            </w:pPr>
            <w:r w:rsidRPr="00532C20">
              <w:rPr>
                <w:rFonts w:ascii="Times New Roman" w:eastAsia="Times" w:hAnsi="Times New Roman" w:cs="Times"/>
                <w:i/>
                <w:noProof/>
                <w:sz w:val="24"/>
                <w:szCs w:val="24"/>
                <w:lang w:val="en-IE"/>
              </w:rPr>
              <w:t>Not possible to ascertain EU-wide costs based on the available data.</w:t>
            </w:r>
          </w:p>
        </w:tc>
      </w:tr>
      <w:tr w:rsidR="00A046DD" w:rsidRPr="00532C20" w14:paraId="7E559B02" w14:textId="77777777">
        <w:trPr>
          <w:trHeight w:val="20"/>
        </w:trPr>
        <w:tc>
          <w:tcPr>
            <w:tcW w:w="3401" w:type="dxa"/>
            <w:shd w:val="clear" w:color="auto" w:fill="D9D9D9"/>
            <w:vAlign w:val="center"/>
          </w:tcPr>
          <w:p w14:paraId="47CF29BD"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en-IE"/>
              </w:rPr>
              <w:t>IT tool maintenance</w:t>
            </w:r>
            <w:r w:rsidRPr="00532C20">
              <w:rPr>
                <w:rFonts w:ascii="Times New Roman" w:eastAsia="Times" w:hAnsi="Times New Roman" w:cs="Times"/>
                <w:noProof/>
                <w:sz w:val="24"/>
                <w:szCs w:val="24"/>
                <w:lang w:val="en-IE"/>
              </w:rPr>
              <w:t xml:space="preserve"> (15 Member States </w:t>
            </w:r>
            <w:r w:rsidRPr="00532C20">
              <w:rPr>
                <w:rFonts w:ascii="Times New Roman" w:eastAsia="Times" w:hAnsi="Times New Roman" w:cs="Times"/>
                <w:b/>
                <w:noProof/>
                <w:sz w:val="24"/>
                <w:szCs w:val="24"/>
                <w:lang w:val="en-IE"/>
              </w:rPr>
              <w:t>with</w:t>
            </w:r>
            <w:r w:rsidRPr="00532C20">
              <w:rPr>
                <w:rFonts w:ascii="Times New Roman" w:eastAsia="Times" w:hAnsi="Times New Roman" w:cs="Times"/>
                <w:noProof/>
                <w:sz w:val="24"/>
                <w:szCs w:val="24"/>
                <w:lang w:val="en-IE"/>
              </w:rPr>
              <w:t xml:space="preserve"> existing IT tools)</w:t>
            </w:r>
          </w:p>
        </w:tc>
        <w:tc>
          <w:tcPr>
            <w:tcW w:w="5370" w:type="dxa"/>
            <w:gridSpan w:val="3"/>
            <w:shd w:val="clear" w:color="auto" w:fill="auto"/>
            <w:vAlign w:val="center"/>
          </w:tcPr>
          <w:p w14:paraId="7181097B" w14:textId="77777777" w:rsidR="00A046DD" w:rsidRPr="00532C20" w:rsidRDefault="00A046DD" w:rsidP="00A046DD">
            <w:pPr>
              <w:rPr>
                <w:rFonts w:ascii="Times New Roman" w:eastAsia="Times" w:hAnsi="Times New Roman" w:cs="Times"/>
                <w:i/>
                <w:noProof/>
                <w:sz w:val="24"/>
                <w:szCs w:val="24"/>
                <w:lang w:val="en-GB"/>
              </w:rPr>
            </w:pPr>
            <w:r w:rsidRPr="00532C20">
              <w:rPr>
                <w:rFonts w:ascii="Times New Roman" w:eastAsia="Times" w:hAnsi="Times New Roman" w:cs="Times"/>
                <w:i/>
                <w:noProof/>
                <w:sz w:val="24"/>
                <w:szCs w:val="24"/>
                <w:lang w:val="en-IE"/>
              </w:rPr>
              <w:t xml:space="preserve">Costs are considered to be business as usual (BaU) costs. </w:t>
            </w:r>
          </w:p>
        </w:tc>
      </w:tr>
      <w:tr w:rsidR="00A046DD" w:rsidRPr="00532C20" w14:paraId="4F6C5488" w14:textId="77777777">
        <w:trPr>
          <w:trHeight w:val="20"/>
        </w:trPr>
        <w:tc>
          <w:tcPr>
            <w:tcW w:w="3401" w:type="dxa"/>
            <w:shd w:val="clear" w:color="auto" w:fill="D9D9D9"/>
            <w:vAlign w:val="center"/>
          </w:tcPr>
          <w:p w14:paraId="35288826"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en-IE"/>
              </w:rPr>
              <w:t xml:space="preserve">IT tool maintenance </w:t>
            </w:r>
            <w:r w:rsidRPr="00532C20">
              <w:rPr>
                <w:rFonts w:ascii="Times New Roman" w:eastAsia="Times" w:hAnsi="Times New Roman" w:cs="Times"/>
                <w:noProof/>
                <w:sz w:val="24"/>
                <w:szCs w:val="24"/>
                <w:lang w:val="en-IE"/>
              </w:rPr>
              <w:t xml:space="preserve">(12 Member States </w:t>
            </w:r>
            <w:r w:rsidRPr="00532C20">
              <w:rPr>
                <w:rFonts w:ascii="Times New Roman" w:eastAsia="Times" w:hAnsi="Times New Roman" w:cs="Times"/>
                <w:b/>
                <w:noProof/>
                <w:sz w:val="24"/>
                <w:szCs w:val="24"/>
                <w:lang w:val="en-IE"/>
              </w:rPr>
              <w:t>without</w:t>
            </w:r>
            <w:r w:rsidRPr="00532C20">
              <w:rPr>
                <w:rFonts w:ascii="Times New Roman" w:eastAsia="Times" w:hAnsi="Times New Roman" w:cs="Times"/>
                <w:noProof/>
                <w:sz w:val="24"/>
                <w:szCs w:val="24"/>
                <w:lang w:val="en-IE"/>
              </w:rPr>
              <w:t xml:space="preserve"> existing IT tools)</w:t>
            </w:r>
          </w:p>
        </w:tc>
        <w:tc>
          <w:tcPr>
            <w:tcW w:w="1672" w:type="dxa"/>
            <w:shd w:val="clear" w:color="auto" w:fill="auto"/>
            <w:vAlign w:val="center"/>
          </w:tcPr>
          <w:p w14:paraId="6EFBED59"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540,000.00</w:t>
            </w:r>
          </w:p>
        </w:tc>
        <w:tc>
          <w:tcPr>
            <w:tcW w:w="1936" w:type="dxa"/>
            <w:shd w:val="clear" w:color="auto" w:fill="auto"/>
            <w:vAlign w:val="center"/>
          </w:tcPr>
          <w:p w14:paraId="51CD5D7A"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 xml:space="preserve">2,160,000.00 </w:t>
            </w:r>
          </w:p>
        </w:tc>
        <w:tc>
          <w:tcPr>
            <w:tcW w:w="1762" w:type="dxa"/>
            <w:shd w:val="clear" w:color="auto" w:fill="auto"/>
            <w:vAlign w:val="center"/>
          </w:tcPr>
          <w:p w14:paraId="4E87EBC2"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 xml:space="preserve">4,860,000.00 </w:t>
            </w:r>
          </w:p>
        </w:tc>
      </w:tr>
      <w:tr w:rsidR="00A046DD" w:rsidRPr="00532C20" w14:paraId="771D50A2" w14:textId="77777777">
        <w:trPr>
          <w:trHeight w:val="20"/>
        </w:trPr>
        <w:tc>
          <w:tcPr>
            <w:tcW w:w="3401" w:type="dxa"/>
            <w:shd w:val="clear" w:color="auto" w:fill="D9D9D9"/>
            <w:vAlign w:val="center"/>
          </w:tcPr>
          <w:p w14:paraId="09F3C432"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en-IE"/>
              </w:rPr>
              <w:t>Implementing appropriate management, monitoring and enforcement mechanisms</w:t>
            </w:r>
          </w:p>
        </w:tc>
        <w:tc>
          <w:tcPr>
            <w:tcW w:w="1672" w:type="dxa"/>
            <w:shd w:val="clear" w:color="auto" w:fill="auto"/>
            <w:vAlign w:val="center"/>
          </w:tcPr>
          <w:p w14:paraId="67BA5D05"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5,654,945.59</w:t>
            </w:r>
          </w:p>
        </w:tc>
        <w:tc>
          <w:tcPr>
            <w:tcW w:w="1936" w:type="dxa"/>
            <w:shd w:val="clear" w:color="auto" w:fill="auto"/>
            <w:vAlign w:val="center"/>
          </w:tcPr>
          <w:p w14:paraId="738F851F"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 xml:space="preserve">7,068,681.99 </w:t>
            </w:r>
          </w:p>
        </w:tc>
        <w:tc>
          <w:tcPr>
            <w:tcW w:w="1762" w:type="dxa"/>
            <w:shd w:val="clear" w:color="auto" w:fill="auto"/>
            <w:vAlign w:val="center"/>
          </w:tcPr>
          <w:p w14:paraId="63F2DD36"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 xml:space="preserve">8,482,418.39 </w:t>
            </w:r>
          </w:p>
        </w:tc>
      </w:tr>
      <w:tr w:rsidR="00A046DD" w:rsidRPr="00532C20" w14:paraId="47B4FC1C" w14:textId="77777777">
        <w:trPr>
          <w:trHeight w:val="20"/>
        </w:trPr>
        <w:tc>
          <w:tcPr>
            <w:tcW w:w="3401" w:type="dxa"/>
            <w:shd w:val="clear" w:color="auto" w:fill="0C4DA2"/>
            <w:vAlign w:val="center"/>
          </w:tcPr>
          <w:p w14:paraId="3AAB45E5" w14:textId="77777777" w:rsidR="00A046DD" w:rsidRPr="00532C20" w:rsidRDefault="00A046DD" w:rsidP="00A046DD">
            <w:pPr>
              <w:rPr>
                <w:rFonts w:ascii="Times New Roman" w:eastAsia="Times" w:hAnsi="Times New Roman" w:cs="Times"/>
                <w:b/>
                <w:noProof/>
                <w:sz w:val="24"/>
                <w:szCs w:val="24"/>
                <w:lang w:val="en-GB"/>
              </w:rPr>
            </w:pPr>
            <w:r w:rsidRPr="00313F32">
              <w:rPr>
                <w:rFonts w:ascii="Times New Roman" w:eastAsia="Times" w:hAnsi="Times New Roman" w:cs="Times"/>
                <w:b/>
                <w:noProof/>
                <w:color w:val="FFFFFF" w:themeColor="background1"/>
                <w:sz w:val="24"/>
                <w:szCs w:val="24"/>
                <w:lang w:val="fr-FR"/>
              </w:rPr>
              <w:t>Total:</w:t>
            </w:r>
          </w:p>
        </w:tc>
        <w:tc>
          <w:tcPr>
            <w:tcW w:w="1672" w:type="dxa"/>
            <w:shd w:val="clear" w:color="auto" w:fill="D9D9D9"/>
            <w:vAlign w:val="center"/>
          </w:tcPr>
          <w:p w14:paraId="57A54386" w14:textId="77777777" w:rsidR="00A046DD" w:rsidRPr="00532C20" w:rsidRDefault="00A046DD" w:rsidP="00A046DD">
            <w:pPr>
              <w:jc w:val="right"/>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fr-FR"/>
              </w:rPr>
              <w:t>6,196,478.65</w:t>
            </w:r>
          </w:p>
        </w:tc>
        <w:tc>
          <w:tcPr>
            <w:tcW w:w="1936" w:type="dxa"/>
            <w:shd w:val="clear" w:color="auto" w:fill="D9D9D9"/>
            <w:vAlign w:val="center"/>
          </w:tcPr>
          <w:p w14:paraId="7A1C43A4" w14:textId="77777777" w:rsidR="00A046DD" w:rsidRPr="00532C20" w:rsidRDefault="00A046DD" w:rsidP="00A046DD">
            <w:pPr>
              <w:jc w:val="right"/>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fr-FR"/>
              </w:rPr>
              <w:t xml:space="preserve">9,231,748.10 </w:t>
            </w:r>
          </w:p>
        </w:tc>
        <w:tc>
          <w:tcPr>
            <w:tcW w:w="1762" w:type="dxa"/>
            <w:shd w:val="clear" w:color="auto" w:fill="D9D9D9"/>
            <w:vAlign w:val="center"/>
          </w:tcPr>
          <w:p w14:paraId="295BF439" w14:textId="77777777" w:rsidR="00A046DD" w:rsidRPr="00532C20" w:rsidRDefault="00A046DD" w:rsidP="00A046DD">
            <w:pPr>
              <w:jc w:val="right"/>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fr-FR"/>
              </w:rPr>
              <w:t xml:space="preserve">13,347,017.56 </w:t>
            </w:r>
          </w:p>
        </w:tc>
      </w:tr>
    </w:tbl>
    <w:p w14:paraId="3E65F23B" w14:textId="77777777" w:rsidR="00100B4E" w:rsidRPr="00532C20" w:rsidRDefault="00100B4E" w:rsidP="00BD6478">
      <w:pPr>
        <w:pStyle w:val="Style222"/>
        <w:ind w:left="432" w:hanging="432"/>
        <w:contextualSpacing w:val="0"/>
        <w:rPr>
          <w:rFonts w:ascii="Times New Roman" w:hAnsi="Times New Roman" w:cs="Times New Roman"/>
          <w:noProof/>
        </w:rPr>
      </w:pPr>
    </w:p>
    <w:p w14:paraId="42494369" w14:textId="0136990A" w:rsidR="00100B4E" w:rsidRPr="00532C20" w:rsidRDefault="00100B4E" w:rsidP="00582553">
      <w:pPr>
        <w:pStyle w:val="ListParagraph"/>
        <w:numPr>
          <w:ilvl w:val="3"/>
          <w:numId w:val="76"/>
        </w:numPr>
        <w:rPr>
          <w:rFonts w:eastAsia="Times New Roman" w:cs="Times New Roman"/>
          <w:b/>
          <w:noProof/>
          <w:u w:val="single"/>
        </w:rPr>
      </w:pPr>
      <w:r w:rsidRPr="00532C20">
        <w:rPr>
          <w:rFonts w:ascii="Times New Roman" w:eastAsia="Times New Roman" w:hAnsi="Times New Roman" w:cs="Times New Roman"/>
          <w:b/>
          <w:bCs/>
          <w:noProof/>
          <w:u w:val="single"/>
        </w:rPr>
        <w:t xml:space="preserve">Scenario 2: </w:t>
      </w:r>
      <w:r w:rsidR="00446E31" w:rsidRPr="00532C20">
        <w:rPr>
          <w:rFonts w:ascii="Times New Roman" w:eastAsia="Times New Roman" w:hAnsi="Times New Roman" w:cs="Times New Roman"/>
          <w:b/>
          <w:bCs/>
          <w:noProof/>
          <w:u w:val="single"/>
        </w:rPr>
        <w:t>50%</w:t>
      </w:r>
      <w:r w:rsidRPr="00532C20">
        <w:rPr>
          <w:rFonts w:ascii="Times New Roman" w:eastAsia="Times New Roman" w:hAnsi="Times New Roman" w:cs="Times New Roman"/>
          <w:b/>
          <w:bCs/>
          <w:noProof/>
          <w:u w:val="single"/>
        </w:rPr>
        <w:t xml:space="preserve"> take-up of the non-legislative measures</w:t>
      </w:r>
    </w:p>
    <w:p w14:paraId="35F078D0" w14:textId="77777777" w:rsidR="00446E31" w:rsidRPr="00532C20" w:rsidRDefault="00446E31" w:rsidP="00446E31">
      <w:pPr>
        <w:spacing w:after="160" w:line="240" w:lineRule="auto"/>
        <w:jc w:val="both"/>
        <w:rPr>
          <w:rFonts w:ascii="Times New Roman" w:eastAsia="Times New Roman" w:hAnsi="Times New Roman" w:cs="Times New Roman"/>
          <w:noProof/>
          <w:szCs w:val="20"/>
        </w:rPr>
      </w:pPr>
    </w:p>
    <w:p w14:paraId="36424ABD" w14:textId="53F7BCFF" w:rsidR="00446E31" w:rsidRPr="00532C20" w:rsidRDefault="00446E31" w:rsidP="00446E31">
      <w:pPr>
        <w:spacing w:after="160" w:line="240" w:lineRule="auto"/>
        <w:jc w:val="both"/>
        <w:rPr>
          <w:rFonts w:ascii="Times New Roman" w:eastAsia="Times New Roman" w:hAnsi="Times New Roman" w:cs="Times New Roman"/>
          <w:noProof/>
          <w:sz w:val="24"/>
        </w:rPr>
      </w:pPr>
      <w:r w:rsidRPr="00532C20">
        <w:rPr>
          <w:rFonts w:ascii="Times New Roman" w:eastAsia="Times New Roman" w:hAnsi="Times New Roman" w:cs="Times New Roman"/>
          <w:noProof/>
          <w:sz w:val="24"/>
        </w:rPr>
        <w:t>To further accommodate the lack of certainty on the nature and scale of the PO1 costs, this section assesses an additional scenario reflecting medium uptake of the soft-law measures contained within the option. Given the range of parameters that could differ in national level implementations (e.g. whether or not a register is developed/adapted in a given country, whether registration is mandatory, what exact registration and information disclosure obligations will be implemented, which Member States have developed a register etc.), it is complex to establish such a medium uptake scenario.</w:t>
      </w:r>
    </w:p>
    <w:p w14:paraId="283A03B6" w14:textId="77777777" w:rsidR="00446E31" w:rsidRPr="00532C20" w:rsidRDefault="00446E31" w:rsidP="00446E31">
      <w:pPr>
        <w:spacing w:after="160" w:line="240" w:lineRule="auto"/>
        <w:jc w:val="both"/>
        <w:rPr>
          <w:rFonts w:ascii="Times New Roman" w:eastAsia="Times New Roman" w:hAnsi="Times New Roman" w:cs="Times New Roman"/>
          <w:noProof/>
          <w:sz w:val="24"/>
        </w:rPr>
      </w:pPr>
      <w:r w:rsidRPr="00532C20">
        <w:rPr>
          <w:rFonts w:ascii="Times New Roman" w:eastAsia="Times New Roman" w:hAnsi="Times New Roman" w:cs="Times New Roman"/>
          <w:noProof/>
          <w:sz w:val="24"/>
        </w:rPr>
        <w:t>As such, a simple assumption is proposed, considering that 50% of Member States implement the measures fully (i.e. such that they are similar enough to contribute to the stated aims of the intervention). However, this assumption limits the level of certainty on the accuracy and precision of the estimates.</w:t>
      </w:r>
    </w:p>
    <w:p w14:paraId="23E062D0" w14:textId="3147AAA7" w:rsidR="00446E31" w:rsidRPr="00532C20" w:rsidRDefault="00446E31" w:rsidP="00446E31">
      <w:pPr>
        <w:spacing w:after="16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Under this assumption, the costs for Member State authorities over the 10-year time horizon are summarised in the below table. While it is considered more likely that Member States with existing registers would take steps to implement PO1, as less effort would be required, there is no concrete evidence for this. On this basis, these estimates further assume that approximately half of the Member States with an existing register (8 of 15) and half of the Member States without an existing register (6 of 12) will implement the measures under PO1. The amended familiarisation costs and costs associated with implementing management, monitoring and enforcement mechanisms are a product of the above figures (i.e. under the full implementation scenario) multiplied by the proportion of Member States covered (14 of 27, 51.9%).</w:t>
      </w:r>
    </w:p>
    <w:p w14:paraId="624DBB7D" w14:textId="0E3F692B" w:rsidR="0066086A" w:rsidRPr="00532C20" w:rsidRDefault="00641B23" w:rsidP="0066086A">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3</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w:t>
      </w:r>
      <w:r w:rsidR="0066086A" w:rsidRPr="00532C20">
        <w:rPr>
          <w:rFonts w:ascii="Times New Roman" w:eastAsia="Times New Roman" w:hAnsi="Times New Roman" w:cs="Times New Roman"/>
          <w:b/>
          <w:noProof/>
          <w:sz w:val="24"/>
          <w:szCs w:val="24"/>
        </w:rPr>
        <w:t>Policy option 1 – Summary of maximum total costs to Member State authorities (over 10-years) under Scenario 2 (50% take-up of the non-legislative measures)</w:t>
      </w:r>
    </w:p>
    <w:tbl>
      <w:tblPr>
        <w:tblStyle w:val="12uCharChar121"/>
        <w:tblW w:w="0" w:type="auto"/>
        <w:tblLook w:val="04A0" w:firstRow="1" w:lastRow="0" w:firstColumn="1" w:lastColumn="0" w:noHBand="0" w:noVBand="1"/>
      </w:tblPr>
      <w:tblGrid>
        <w:gridCol w:w="3401"/>
        <w:gridCol w:w="1672"/>
        <w:gridCol w:w="1936"/>
        <w:gridCol w:w="1762"/>
      </w:tblGrid>
      <w:tr w:rsidR="00446E31" w:rsidRPr="00532C20" w14:paraId="0CA5F9F8" w14:textId="77777777">
        <w:trPr>
          <w:trHeight w:val="20"/>
          <w:tblHeader/>
        </w:trPr>
        <w:tc>
          <w:tcPr>
            <w:tcW w:w="3401" w:type="dxa"/>
            <w:shd w:val="clear" w:color="auto" w:fill="002060"/>
            <w:vAlign w:val="center"/>
          </w:tcPr>
          <w:p w14:paraId="723B7C8F" w14:textId="77777777" w:rsidR="00446E31" w:rsidRPr="005833C4" w:rsidRDefault="00446E31" w:rsidP="00446E31">
            <w:pPr>
              <w:rPr>
                <w:rFonts w:ascii="Times New Roman" w:eastAsia="Times New Roman" w:hAnsi="Times New Roman" w:cs="Times New Roman"/>
                <w:b/>
                <w:bCs/>
                <w:noProof/>
                <w:sz w:val="24"/>
                <w:szCs w:val="24"/>
              </w:rPr>
            </w:pPr>
            <w:r w:rsidRPr="005833C4">
              <w:rPr>
                <w:rFonts w:ascii="Times New Roman" w:eastAsia="Times New Roman" w:hAnsi="Times New Roman" w:cs="Times New Roman"/>
                <w:b/>
                <w:bCs/>
                <w:noProof/>
                <w:sz w:val="24"/>
                <w:szCs w:val="24"/>
              </w:rPr>
              <w:t>Cost item</w:t>
            </w:r>
          </w:p>
        </w:tc>
        <w:tc>
          <w:tcPr>
            <w:tcW w:w="1672" w:type="dxa"/>
            <w:shd w:val="clear" w:color="auto" w:fill="002060"/>
            <w:vAlign w:val="center"/>
          </w:tcPr>
          <w:p w14:paraId="6F266039" w14:textId="77777777" w:rsidR="00446E31" w:rsidRPr="005833C4" w:rsidRDefault="00446E31" w:rsidP="00446E31">
            <w:pPr>
              <w:jc w:val="center"/>
              <w:rPr>
                <w:rFonts w:ascii="Times New Roman" w:eastAsia="Times New Roman" w:hAnsi="Times New Roman" w:cs="Times New Roman"/>
                <w:b/>
                <w:bCs/>
                <w:noProof/>
                <w:sz w:val="24"/>
                <w:szCs w:val="24"/>
              </w:rPr>
            </w:pPr>
            <w:r w:rsidRPr="005833C4">
              <w:rPr>
                <w:rFonts w:ascii="Times New Roman" w:eastAsia="Times New Roman" w:hAnsi="Times New Roman" w:cs="Times New Roman"/>
                <w:b/>
                <w:bCs/>
                <w:noProof/>
                <w:sz w:val="24"/>
                <w:szCs w:val="24"/>
              </w:rPr>
              <w:t>Low scenario – # of entities (EUR)</w:t>
            </w:r>
          </w:p>
        </w:tc>
        <w:tc>
          <w:tcPr>
            <w:tcW w:w="1936" w:type="dxa"/>
            <w:shd w:val="clear" w:color="auto" w:fill="002060"/>
            <w:vAlign w:val="center"/>
          </w:tcPr>
          <w:p w14:paraId="2E4668AA" w14:textId="77777777" w:rsidR="00446E31" w:rsidRPr="005833C4" w:rsidRDefault="00446E31" w:rsidP="00446E31">
            <w:pPr>
              <w:jc w:val="center"/>
              <w:rPr>
                <w:rFonts w:ascii="Times New Roman" w:eastAsia="Times New Roman" w:hAnsi="Times New Roman" w:cs="Times New Roman"/>
                <w:b/>
                <w:bCs/>
                <w:noProof/>
                <w:sz w:val="24"/>
                <w:szCs w:val="24"/>
              </w:rPr>
            </w:pPr>
            <w:r w:rsidRPr="005833C4">
              <w:rPr>
                <w:rFonts w:ascii="Times New Roman" w:eastAsia="Times New Roman" w:hAnsi="Times New Roman" w:cs="Times New Roman"/>
                <w:b/>
                <w:bCs/>
                <w:noProof/>
                <w:sz w:val="24"/>
                <w:szCs w:val="24"/>
              </w:rPr>
              <w:t>Middle scenario – # of entities (EUR)</w:t>
            </w:r>
          </w:p>
        </w:tc>
        <w:tc>
          <w:tcPr>
            <w:tcW w:w="1762" w:type="dxa"/>
            <w:shd w:val="clear" w:color="auto" w:fill="002060"/>
            <w:vAlign w:val="center"/>
          </w:tcPr>
          <w:p w14:paraId="5E2A0245" w14:textId="77777777" w:rsidR="00446E31" w:rsidRPr="005833C4" w:rsidRDefault="00446E31" w:rsidP="00446E31">
            <w:pPr>
              <w:jc w:val="center"/>
              <w:rPr>
                <w:rFonts w:ascii="Times New Roman" w:eastAsia="Times New Roman" w:hAnsi="Times New Roman" w:cs="Times New Roman"/>
                <w:b/>
                <w:bCs/>
                <w:noProof/>
                <w:sz w:val="24"/>
                <w:szCs w:val="24"/>
              </w:rPr>
            </w:pPr>
            <w:r w:rsidRPr="005833C4">
              <w:rPr>
                <w:rFonts w:ascii="Times New Roman" w:eastAsia="Times New Roman" w:hAnsi="Times New Roman" w:cs="Times New Roman"/>
                <w:b/>
                <w:bCs/>
                <w:noProof/>
                <w:sz w:val="24"/>
                <w:szCs w:val="24"/>
              </w:rPr>
              <w:t>High scenario – # of entities (EUR)</w:t>
            </w:r>
          </w:p>
        </w:tc>
      </w:tr>
      <w:tr w:rsidR="00446E31" w:rsidRPr="00532C20" w14:paraId="72F8CE80" w14:textId="77777777" w:rsidTr="00446E31">
        <w:trPr>
          <w:trHeight w:val="20"/>
        </w:trPr>
        <w:tc>
          <w:tcPr>
            <w:tcW w:w="3401" w:type="dxa"/>
            <w:shd w:val="clear" w:color="auto" w:fill="D9D9D9"/>
            <w:vAlign w:val="center"/>
          </w:tcPr>
          <w:p w14:paraId="56735DF5" w14:textId="77777777" w:rsidR="00446E31" w:rsidRPr="00532C20" w:rsidRDefault="00446E31" w:rsidP="002918A4">
            <w:pP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Familiarisation costs</w:t>
            </w:r>
          </w:p>
        </w:tc>
        <w:tc>
          <w:tcPr>
            <w:tcW w:w="1672" w:type="dxa"/>
            <w:shd w:val="clear" w:color="auto" w:fill="auto"/>
            <w:vAlign w:val="center"/>
          </w:tcPr>
          <w:p w14:paraId="22E8690E" w14:textId="77777777" w:rsidR="00446E31" w:rsidRPr="00532C20" w:rsidRDefault="00446E31" w:rsidP="00446E31">
            <w:pPr>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794.92</w:t>
            </w:r>
          </w:p>
        </w:tc>
        <w:tc>
          <w:tcPr>
            <w:tcW w:w="1936" w:type="dxa"/>
            <w:shd w:val="clear" w:color="auto" w:fill="auto"/>
            <w:vAlign w:val="center"/>
          </w:tcPr>
          <w:p w14:paraId="49130AE3" w14:textId="77777777" w:rsidR="00446E31" w:rsidRPr="00532C20" w:rsidRDefault="00446E31" w:rsidP="00446E31">
            <w:pPr>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1,589.83</w:t>
            </w:r>
          </w:p>
        </w:tc>
        <w:tc>
          <w:tcPr>
            <w:tcW w:w="1762" w:type="dxa"/>
            <w:shd w:val="clear" w:color="auto" w:fill="auto"/>
            <w:vAlign w:val="center"/>
          </w:tcPr>
          <w:p w14:paraId="7A958745" w14:textId="77777777" w:rsidR="00446E31" w:rsidRPr="00532C20" w:rsidRDefault="00446E31" w:rsidP="00446E31">
            <w:pPr>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2,384.75</w:t>
            </w:r>
          </w:p>
        </w:tc>
      </w:tr>
      <w:tr w:rsidR="00446E31" w:rsidRPr="00532C20" w14:paraId="32761796" w14:textId="77777777" w:rsidTr="00446E31">
        <w:trPr>
          <w:trHeight w:val="20"/>
        </w:trPr>
        <w:tc>
          <w:tcPr>
            <w:tcW w:w="3401" w:type="dxa"/>
            <w:shd w:val="clear" w:color="auto" w:fill="D9D9D9"/>
            <w:vAlign w:val="center"/>
          </w:tcPr>
          <w:p w14:paraId="44B65806" w14:textId="77777777" w:rsidR="00446E31" w:rsidRPr="00532C20" w:rsidRDefault="00446E31" w:rsidP="002918A4">
            <w:pP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Ensuring an appropriate register is in place</w:t>
            </w:r>
          </w:p>
        </w:tc>
        <w:tc>
          <w:tcPr>
            <w:tcW w:w="5370" w:type="dxa"/>
            <w:gridSpan w:val="3"/>
            <w:shd w:val="clear" w:color="auto" w:fill="auto"/>
            <w:vAlign w:val="center"/>
          </w:tcPr>
          <w:p w14:paraId="225BAFDB" w14:textId="77777777" w:rsidR="00446E31" w:rsidRPr="00532C20" w:rsidRDefault="00446E31" w:rsidP="00446E31">
            <w:pPr>
              <w:rPr>
                <w:rFonts w:ascii="Times New Roman" w:eastAsia="Times New Roman" w:hAnsi="Times New Roman" w:cs="Times New Roman"/>
                <w:noProof/>
                <w:sz w:val="24"/>
                <w:szCs w:val="24"/>
              </w:rPr>
            </w:pPr>
            <w:r w:rsidRPr="00532C20">
              <w:rPr>
                <w:rFonts w:ascii="Times New Roman" w:eastAsia="Times New Roman" w:hAnsi="Times New Roman" w:cs="Times New Roman"/>
                <w:i/>
                <w:noProof/>
                <w:sz w:val="24"/>
                <w:szCs w:val="24"/>
              </w:rPr>
              <w:t>Not possible to ascertain EU-wide costs based on the available data.</w:t>
            </w:r>
          </w:p>
        </w:tc>
      </w:tr>
      <w:tr w:rsidR="00446E31" w:rsidRPr="00532C20" w14:paraId="3CE3DAA2" w14:textId="77777777" w:rsidTr="00446E31">
        <w:trPr>
          <w:trHeight w:val="20"/>
        </w:trPr>
        <w:tc>
          <w:tcPr>
            <w:tcW w:w="3401" w:type="dxa"/>
            <w:shd w:val="clear" w:color="auto" w:fill="D9D9D9"/>
            <w:vAlign w:val="center"/>
          </w:tcPr>
          <w:p w14:paraId="7773A3B7" w14:textId="77777777" w:rsidR="00446E31" w:rsidRPr="00532C20" w:rsidRDefault="00446E31" w:rsidP="002918A4">
            <w:pP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IT tool maintenance</w:t>
            </w:r>
            <w:r w:rsidRPr="00532C20">
              <w:rPr>
                <w:rFonts w:ascii="Times New Roman" w:eastAsia="Times New Roman" w:hAnsi="Times New Roman" w:cs="Times New Roman"/>
                <w:noProof/>
                <w:sz w:val="24"/>
                <w:szCs w:val="24"/>
              </w:rPr>
              <w:t xml:space="preserve"> (15 Member States </w:t>
            </w:r>
            <w:r w:rsidRPr="00532C20">
              <w:rPr>
                <w:rFonts w:ascii="Times New Roman" w:eastAsia="Times New Roman" w:hAnsi="Times New Roman" w:cs="Times New Roman"/>
                <w:b/>
                <w:noProof/>
                <w:sz w:val="24"/>
                <w:szCs w:val="24"/>
              </w:rPr>
              <w:t>with</w:t>
            </w:r>
            <w:r w:rsidRPr="00532C20">
              <w:rPr>
                <w:rFonts w:ascii="Times New Roman" w:eastAsia="Times New Roman" w:hAnsi="Times New Roman" w:cs="Times New Roman"/>
                <w:noProof/>
                <w:sz w:val="24"/>
                <w:szCs w:val="24"/>
              </w:rPr>
              <w:t xml:space="preserve"> existing IT tools)</w:t>
            </w:r>
          </w:p>
        </w:tc>
        <w:tc>
          <w:tcPr>
            <w:tcW w:w="5370" w:type="dxa"/>
            <w:gridSpan w:val="3"/>
            <w:shd w:val="clear" w:color="auto" w:fill="auto"/>
            <w:vAlign w:val="center"/>
          </w:tcPr>
          <w:p w14:paraId="2A5C9599" w14:textId="77777777" w:rsidR="00446E31" w:rsidRPr="00532C20" w:rsidRDefault="00446E31" w:rsidP="00446E31">
            <w:pPr>
              <w:rPr>
                <w:rFonts w:ascii="Times New Roman" w:eastAsia="Times New Roman" w:hAnsi="Times New Roman" w:cs="Times New Roman"/>
                <w:i/>
                <w:noProof/>
                <w:sz w:val="24"/>
                <w:szCs w:val="24"/>
              </w:rPr>
            </w:pPr>
            <w:r w:rsidRPr="00532C20">
              <w:rPr>
                <w:rFonts w:ascii="Times New Roman" w:eastAsia="Times New Roman" w:hAnsi="Times New Roman" w:cs="Times New Roman"/>
                <w:i/>
                <w:noProof/>
                <w:sz w:val="24"/>
                <w:szCs w:val="24"/>
              </w:rPr>
              <w:t xml:space="preserve">Costs are considered to be business as usual (BaU) costs. </w:t>
            </w:r>
          </w:p>
        </w:tc>
      </w:tr>
      <w:tr w:rsidR="00446E31" w:rsidRPr="00532C20" w14:paraId="44DC26D5" w14:textId="77777777" w:rsidTr="00446E31">
        <w:trPr>
          <w:trHeight w:val="20"/>
        </w:trPr>
        <w:tc>
          <w:tcPr>
            <w:tcW w:w="3401" w:type="dxa"/>
            <w:shd w:val="clear" w:color="auto" w:fill="D9D9D9"/>
            <w:vAlign w:val="center"/>
          </w:tcPr>
          <w:p w14:paraId="0C4760B5" w14:textId="77777777" w:rsidR="00446E31" w:rsidRPr="00532C20" w:rsidRDefault="00446E31" w:rsidP="002918A4">
            <w:pP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IT tool maintenance </w:t>
            </w:r>
            <w:r w:rsidRPr="00532C20">
              <w:rPr>
                <w:rFonts w:ascii="Times New Roman" w:eastAsia="Times New Roman" w:hAnsi="Times New Roman" w:cs="Times New Roman"/>
                <w:noProof/>
                <w:sz w:val="24"/>
                <w:szCs w:val="24"/>
              </w:rPr>
              <w:t xml:space="preserve">(12 Member States </w:t>
            </w:r>
            <w:r w:rsidRPr="00532C20">
              <w:rPr>
                <w:rFonts w:ascii="Times New Roman" w:eastAsia="Times New Roman" w:hAnsi="Times New Roman" w:cs="Times New Roman"/>
                <w:b/>
                <w:noProof/>
                <w:sz w:val="24"/>
                <w:szCs w:val="24"/>
              </w:rPr>
              <w:t>without</w:t>
            </w:r>
            <w:r w:rsidRPr="00532C20">
              <w:rPr>
                <w:rFonts w:ascii="Times New Roman" w:eastAsia="Times New Roman" w:hAnsi="Times New Roman" w:cs="Times New Roman"/>
                <w:noProof/>
                <w:sz w:val="24"/>
                <w:szCs w:val="24"/>
              </w:rPr>
              <w:t xml:space="preserve"> existing IT tools)</w:t>
            </w:r>
          </w:p>
        </w:tc>
        <w:tc>
          <w:tcPr>
            <w:tcW w:w="1672" w:type="dxa"/>
            <w:shd w:val="clear" w:color="auto" w:fill="auto"/>
            <w:vAlign w:val="center"/>
          </w:tcPr>
          <w:p w14:paraId="2955A9CA" w14:textId="77777777" w:rsidR="00446E31" w:rsidRPr="00532C20" w:rsidRDefault="00446E31" w:rsidP="00446E31">
            <w:pPr>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270,000.00</w:t>
            </w:r>
          </w:p>
        </w:tc>
        <w:tc>
          <w:tcPr>
            <w:tcW w:w="1936" w:type="dxa"/>
            <w:shd w:val="clear" w:color="auto" w:fill="auto"/>
            <w:vAlign w:val="center"/>
          </w:tcPr>
          <w:p w14:paraId="565F8066" w14:textId="77777777" w:rsidR="00446E31" w:rsidRPr="00532C20" w:rsidRDefault="00446E31" w:rsidP="00446E31">
            <w:pPr>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1,080,000.00</w:t>
            </w:r>
          </w:p>
        </w:tc>
        <w:tc>
          <w:tcPr>
            <w:tcW w:w="1762" w:type="dxa"/>
            <w:shd w:val="clear" w:color="auto" w:fill="auto"/>
            <w:vAlign w:val="center"/>
          </w:tcPr>
          <w:p w14:paraId="28CDB6FA" w14:textId="77777777" w:rsidR="00446E31" w:rsidRPr="00532C20" w:rsidRDefault="00446E31" w:rsidP="00446E31">
            <w:pPr>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2,430,000.00</w:t>
            </w:r>
          </w:p>
        </w:tc>
      </w:tr>
      <w:tr w:rsidR="00446E31" w:rsidRPr="00532C20" w14:paraId="6429BDA3" w14:textId="77777777" w:rsidTr="00446E31">
        <w:trPr>
          <w:trHeight w:val="20"/>
        </w:trPr>
        <w:tc>
          <w:tcPr>
            <w:tcW w:w="3401" w:type="dxa"/>
            <w:shd w:val="clear" w:color="auto" w:fill="D9D9D9"/>
            <w:vAlign w:val="center"/>
          </w:tcPr>
          <w:p w14:paraId="241E5E60" w14:textId="77777777" w:rsidR="00446E31" w:rsidRPr="00532C20" w:rsidRDefault="00446E31" w:rsidP="002918A4">
            <w:pP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Implementing appropriate management, monitoring and enforcement mechanisms</w:t>
            </w:r>
          </w:p>
        </w:tc>
        <w:tc>
          <w:tcPr>
            <w:tcW w:w="1672" w:type="dxa"/>
            <w:shd w:val="clear" w:color="auto" w:fill="auto"/>
            <w:vAlign w:val="center"/>
          </w:tcPr>
          <w:p w14:paraId="3C17487D" w14:textId="77777777" w:rsidR="00446E31" w:rsidRPr="00532C20" w:rsidRDefault="00446E31" w:rsidP="00446E31">
            <w:pPr>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2,932,194.01</w:t>
            </w:r>
          </w:p>
        </w:tc>
        <w:tc>
          <w:tcPr>
            <w:tcW w:w="1936" w:type="dxa"/>
            <w:shd w:val="clear" w:color="auto" w:fill="auto"/>
            <w:vAlign w:val="center"/>
          </w:tcPr>
          <w:p w14:paraId="6444C56A" w14:textId="77777777" w:rsidR="00446E31" w:rsidRPr="00532C20" w:rsidRDefault="00446E31" w:rsidP="00446E31">
            <w:pPr>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3,665,242.51</w:t>
            </w:r>
          </w:p>
        </w:tc>
        <w:tc>
          <w:tcPr>
            <w:tcW w:w="1762" w:type="dxa"/>
            <w:shd w:val="clear" w:color="auto" w:fill="auto"/>
            <w:vAlign w:val="center"/>
          </w:tcPr>
          <w:p w14:paraId="3D5663D3" w14:textId="77777777" w:rsidR="00446E31" w:rsidRPr="00532C20" w:rsidRDefault="00446E31" w:rsidP="00446E31">
            <w:pPr>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4,398,291.02</w:t>
            </w:r>
          </w:p>
        </w:tc>
      </w:tr>
      <w:tr w:rsidR="00446E31" w:rsidRPr="00532C20" w14:paraId="1FA71447" w14:textId="77777777" w:rsidTr="00446E31">
        <w:trPr>
          <w:trHeight w:val="20"/>
        </w:trPr>
        <w:tc>
          <w:tcPr>
            <w:tcW w:w="3401" w:type="dxa"/>
            <w:shd w:val="clear" w:color="auto" w:fill="0C4DA2"/>
            <w:vAlign w:val="center"/>
          </w:tcPr>
          <w:p w14:paraId="629D13F3" w14:textId="77777777" w:rsidR="00446E31" w:rsidRPr="00532C20" w:rsidRDefault="00446E31" w:rsidP="00446E31">
            <w:pPr>
              <w:rPr>
                <w:rFonts w:ascii="Times New Roman" w:eastAsia="Times New Roman" w:hAnsi="Times New Roman" w:cs="Times New Roman"/>
                <w:b/>
                <w:noProof/>
                <w:color w:val="FFFFFF"/>
                <w:sz w:val="24"/>
                <w:szCs w:val="24"/>
              </w:rPr>
            </w:pPr>
            <w:r w:rsidRPr="00532C20">
              <w:rPr>
                <w:rFonts w:ascii="Times New Roman" w:eastAsia="Times New Roman" w:hAnsi="Times New Roman" w:cs="Times New Roman"/>
                <w:b/>
                <w:noProof/>
                <w:color w:val="FFFFFF"/>
                <w:sz w:val="24"/>
                <w:szCs w:val="24"/>
              </w:rPr>
              <w:t>Total:</w:t>
            </w:r>
          </w:p>
        </w:tc>
        <w:tc>
          <w:tcPr>
            <w:tcW w:w="1672" w:type="dxa"/>
            <w:shd w:val="clear" w:color="auto" w:fill="D9D9D9"/>
            <w:vAlign w:val="center"/>
          </w:tcPr>
          <w:p w14:paraId="3F13432B" w14:textId="77777777" w:rsidR="00446E31" w:rsidRPr="00532C20" w:rsidRDefault="00446E31" w:rsidP="00446E31">
            <w:pPr>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3,202,988.93</w:t>
            </w:r>
          </w:p>
        </w:tc>
        <w:tc>
          <w:tcPr>
            <w:tcW w:w="1936" w:type="dxa"/>
            <w:shd w:val="clear" w:color="auto" w:fill="D9D9D9"/>
            <w:vAlign w:val="center"/>
          </w:tcPr>
          <w:p w14:paraId="6104A60E" w14:textId="77777777" w:rsidR="00446E31" w:rsidRPr="00532C20" w:rsidRDefault="00446E31" w:rsidP="00446E31">
            <w:pPr>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4,746,832.35</w:t>
            </w:r>
          </w:p>
        </w:tc>
        <w:tc>
          <w:tcPr>
            <w:tcW w:w="1762" w:type="dxa"/>
            <w:shd w:val="clear" w:color="auto" w:fill="D9D9D9"/>
            <w:vAlign w:val="center"/>
          </w:tcPr>
          <w:p w14:paraId="0A635456" w14:textId="77777777" w:rsidR="00446E31" w:rsidRPr="00532C20" w:rsidRDefault="00446E31" w:rsidP="00446E31">
            <w:pPr>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6,830,675.77</w:t>
            </w:r>
          </w:p>
        </w:tc>
      </w:tr>
    </w:tbl>
    <w:p w14:paraId="3A4B5F0A" w14:textId="77777777" w:rsidR="00100B4E" w:rsidRPr="00532C20" w:rsidRDefault="00100B4E" w:rsidP="00582553">
      <w:pPr>
        <w:pStyle w:val="Style222"/>
        <w:numPr>
          <w:ilvl w:val="1"/>
          <w:numId w:val="0"/>
        </w:numPr>
        <w:ind w:left="432" w:hanging="432"/>
        <w:contextualSpacing w:val="0"/>
        <w:rPr>
          <w:rFonts w:ascii="Times New Roman" w:hAnsi="Times New Roman" w:cs="Times New Roman"/>
          <w:noProof/>
        </w:rPr>
      </w:pPr>
    </w:p>
    <w:p w14:paraId="6512F4F2" w14:textId="274DA4DD" w:rsidR="00A046DD" w:rsidRPr="00532C20" w:rsidRDefault="00A046DD" w:rsidP="0020326D">
      <w:pPr>
        <w:pStyle w:val="ListParagraph"/>
        <w:numPr>
          <w:ilvl w:val="2"/>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 xml:space="preserve">Policy option </w:t>
      </w:r>
      <w:r w:rsidR="00D47716" w:rsidRPr="00532C20">
        <w:rPr>
          <w:rFonts w:ascii="Times New Roman" w:eastAsia="Times New Roman" w:hAnsi="Times New Roman" w:cs="Times New Roman"/>
          <w:b/>
          <w:bCs/>
          <w:noProof/>
          <w:u w:val="single"/>
        </w:rPr>
        <w:t>2.1</w:t>
      </w:r>
      <w:r w:rsidRPr="00532C20">
        <w:rPr>
          <w:rFonts w:ascii="Times New Roman" w:eastAsia="Times New Roman" w:hAnsi="Times New Roman" w:cs="Times New Roman"/>
          <w:b/>
          <w:bCs/>
          <w:noProof/>
          <w:u w:val="single"/>
        </w:rPr>
        <w:t>: Targeted legislative intervention</w:t>
      </w:r>
    </w:p>
    <w:p w14:paraId="234BC4AD" w14:textId="68BA7292"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In line with the above categorisation of costs, the below table summarises the nature of the different costs to Member State authorities that are relevant within policy option </w:t>
      </w:r>
      <w:r w:rsidR="00D47716" w:rsidRPr="00532C20">
        <w:rPr>
          <w:rFonts w:ascii="Times New Roman" w:eastAsia="Times New Roman" w:hAnsi="Times New Roman" w:cs="Times New Roman"/>
          <w:noProof/>
          <w:sz w:val="24"/>
          <w:szCs w:val="24"/>
        </w:rPr>
        <w:t>2.1</w:t>
      </w:r>
      <w:r w:rsidRPr="00532C20">
        <w:rPr>
          <w:rFonts w:ascii="Times New Roman" w:eastAsia="Times New Roman" w:hAnsi="Times New Roman" w:cs="Times New Roman"/>
          <w:noProof/>
          <w:sz w:val="24"/>
          <w:szCs w:val="24"/>
        </w:rPr>
        <w:t>.</w:t>
      </w:r>
    </w:p>
    <w:p w14:paraId="2CC4F5BE" w14:textId="41F1AC65"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4</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Policy option </w:t>
      </w:r>
      <w:r w:rsidR="00D47716" w:rsidRPr="00532C20">
        <w:rPr>
          <w:rFonts w:ascii="Times New Roman" w:eastAsia="Times New Roman" w:hAnsi="Times New Roman" w:cs="Times New Roman"/>
          <w:b/>
          <w:noProof/>
          <w:sz w:val="24"/>
          <w:szCs w:val="24"/>
        </w:rPr>
        <w:t>2.1</w:t>
      </w:r>
      <w:r w:rsidRPr="00532C20">
        <w:rPr>
          <w:rFonts w:ascii="Times New Roman" w:eastAsia="Times New Roman" w:hAnsi="Times New Roman" w:cs="Times New Roman"/>
          <w:b/>
          <w:noProof/>
          <w:sz w:val="24"/>
          <w:szCs w:val="24"/>
        </w:rPr>
        <w:t xml:space="preserve"> – Summary of costs to Member State authorities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4"/>
        <w:gridCol w:w="1311"/>
        <w:gridCol w:w="1603"/>
        <w:gridCol w:w="1165"/>
        <w:gridCol w:w="2173"/>
      </w:tblGrid>
      <w:tr w:rsidR="00A046DD" w:rsidRPr="00532C20" w14:paraId="3561CD05" w14:textId="77777777">
        <w:trPr>
          <w:trHeight w:val="20"/>
          <w:tblHeader/>
        </w:trPr>
        <w:tc>
          <w:tcPr>
            <w:tcW w:w="1533" w:type="pct"/>
            <w:shd w:val="clear" w:color="auto" w:fill="002060"/>
            <w:noWrap/>
            <w:vAlign w:val="center"/>
            <w:hideMark/>
          </w:tcPr>
          <w:p w14:paraId="1B144C26"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Cost items – Member State authorities</w:t>
            </w:r>
          </w:p>
        </w:tc>
        <w:tc>
          <w:tcPr>
            <w:tcW w:w="727" w:type="pct"/>
            <w:shd w:val="clear" w:color="auto" w:fill="002060"/>
            <w:noWrap/>
            <w:vAlign w:val="center"/>
            <w:hideMark/>
          </w:tcPr>
          <w:p w14:paraId="74BA0446"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One-off vs. recurrent</w:t>
            </w:r>
          </w:p>
        </w:tc>
        <w:tc>
          <w:tcPr>
            <w:tcW w:w="889" w:type="pct"/>
            <w:shd w:val="clear" w:color="auto" w:fill="002060"/>
            <w:noWrap/>
            <w:vAlign w:val="center"/>
            <w:hideMark/>
          </w:tcPr>
          <w:p w14:paraId="1F42F3A8"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Type</w:t>
            </w:r>
          </w:p>
        </w:tc>
        <w:tc>
          <w:tcPr>
            <w:tcW w:w="646" w:type="pct"/>
            <w:shd w:val="clear" w:color="auto" w:fill="002060"/>
            <w:noWrap/>
            <w:vAlign w:val="center"/>
            <w:hideMark/>
          </w:tcPr>
          <w:p w14:paraId="668A422E"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Frequency</w:t>
            </w:r>
          </w:p>
        </w:tc>
        <w:tc>
          <w:tcPr>
            <w:tcW w:w="1205" w:type="pct"/>
            <w:shd w:val="clear" w:color="auto" w:fill="002060"/>
            <w:noWrap/>
            <w:vAlign w:val="center"/>
            <w:hideMark/>
          </w:tcPr>
          <w:p w14:paraId="6119C9DB"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Number of Member States</w:t>
            </w:r>
          </w:p>
        </w:tc>
      </w:tr>
      <w:tr w:rsidR="00A046DD" w:rsidRPr="00532C20" w14:paraId="6AC72865" w14:textId="77777777">
        <w:trPr>
          <w:trHeight w:val="20"/>
        </w:trPr>
        <w:tc>
          <w:tcPr>
            <w:tcW w:w="1533" w:type="pct"/>
            <w:shd w:val="clear" w:color="auto" w:fill="D9D9D9"/>
            <w:noWrap/>
            <w:vAlign w:val="center"/>
          </w:tcPr>
          <w:p w14:paraId="04031954"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Familiarisation costs</w:t>
            </w:r>
          </w:p>
          <w:p w14:paraId="05EF5D32" w14:textId="77777777" w:rsidR="00A046DD" w:rsidRPr="00532C20" w:rsidRDefault="00A046DD" w:rsidP="00A046DD">
            <w:pPr>
              <w:spacing w:after="0" w:line="240" w:lineRule="auto"/>
              <w:jc w:val="both"/>
              <w:rPr>
                <w:rFonts w:ascii="Times New Roman" w:eastAsia="Times New Roman" w:hAnsi="Times New Roman" w:cs="Times New Roman"/>
                <w:i/>
                <w:noProof/>
                <w:sz w:val="24"/>
                <w:szCs w:val="24"/>
              </w:rPr>
            </w:pPr>
            <w:r w:rsidRPr="00532C20">
              <w:rPr>
                <w:rFonts w:ascii="Times New Roman" w:eastAsia="Times New Roman" w:hAnsi="Times New Roman" w:cs="Times New Roman"/>
                <w:i/>
                <w:noProof/>
                <w:sz w:val="24"/>
                <w:szCs w:val="24"/>
              </w:rPr>
              <w:t>Adjustment cost</w:t>
            </w:r>
          </w:p>
        </w:tc>
        <w:tc>
          <w:tcPr>
            <w:tcW w:w="727" w:type="pct"/>
            <w:shd w:val="clear" w:color="auto" w:fill="auto"/>
            <w:noWrap/>
            <w:vAlign w:val="center"/>
          </w:tcPr>
          <w:p w14:paraId="4AD70B0C"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89" w:type="pct"/>
            <w:shd w:val="clear" w:color="auto" w:fill="auto"/>
            <w:noWrap/>
            <w:vAlign w:val="center"/>
          </w:tcPr>
          <w:p w14:paraId="36CFBAEE"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Implementation</w:t>
            </w:r>
          </w:p>
        </w:tc>
        <w:tc>
          <w:tcPr>
            <w:tcW w:w="646" w:type="pct"/>
            <w:shd w:val="clear" w:color="auto" w:fill="auto"/>
            <w:noWrap/>
            <w:vAlign w:val="center"/>
          </w:tcPr>
          <w:p w14:paraId="5A4301B2"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205" w:type="pct"/>
            <w:shd w:val="clear" w:color="auto" w:fill="auto"/>
            <w:noWrap/>
            <w:vAlign w:val="center"/>
          </w:tcPr>
          <w:p w14:paraId="57A4DD35"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EU-27</w:t>
            </w:r>
          </w:p>
        </w:tc>
      </w:tr>
      <w:tr w:rsidR="00A046DD" w:rsidRPr="00532C20" w14:paraId="341763D0" w14:textId="77777777">
        <w:trPr>
          <w:trHeight w:val="20"/>
        </w:trPr>
        <w:tc>
          <w:tcPr>
            <w:tcW w:w="1533" w:type="pct"/>
            <w:shd w:val="clear" w:color="auto" w:fill="D9D9D9"/>
            <w:noWrap/>
            <w:vAlign w:val="center"/>
            <w:hideMark/>
          </w:tcPr>
          <w:p w14:paraId="7565AB57"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Establish new register / regime</w:t>
            </w:r>
          </w:p>
          <w:p w14:paraId="586B2429" w14:textId="77777777" w:rsidR="00A046DD" w:rsidRPr="00532C20" w:rsidRDefault="00A046DD" w:rsidP="00A046DD">
            <w:pPr>
              <w:spacing w:after="0" w:line="240" w:lineRule="auto"/>
              <w:jc w:val="both"/>
              <w:rPr>
                <w:rFonts w:ascii="Times New Roman" w:eastAsia="Times New Roman" w:hAnsi="Times New Roman" w:cs="Times New Roman"/>
                <w:b/>
                <w:i/>
                <w:noProof/>
                <w:sz w:val="24"/>
                <w:szCs w:val="24"/>
              </w:rPr>
            </w:pPr>
            <w:r w:rsidRPr="00532C20">
              <w:rPr>
                <w:rFonts w:ascii="Times New Roman" w:eastAsia="Times New Roman" w:hAnsi="Times New Roman" w:cs="Times New Roman"/>
                <w:i/>
                <w:noProof/>
                <w:sz w:val="24"/>
                <w:szCs w:val="24"/>
              </w:rPr>
              <w:t>Adjustment cost</w:t>
            </w:r>
          </w:p>
        </w:tc>
        <w:tc>
          <w:tcPr>
            <w:tcW w:w="727" w:type="pct"/>
            <w:shd w:val="clear" w:color="auto" w:fill="auto"/>
            <w:noWrap/>
            <w:vAlign w:val="center"/>
            <w:hideMark/>
          </w:tcPr>
          <w:p w14:paraId="215726F7"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89" w:type="pct"/>
            <w:shd w:val="clear" w:color="auto" w:fill="auto"/>
            <w:noWrap/>
            <w:vAlign w:val="center"/>
            <w:hideMark/>
          </w:tcPr>
          <w:p w14:paraId="277EA50D"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Equipment</w:t>
            </w:r>
          </w:p>
        </w:tc>
        <w:tc>
          <w:tcPr>
            <w:tcW w:w="646" w:type="pct"/>
            <w:shd w:val="clear" w:color="auto" w:fill="auto"/>
            <w:noWrap/>
            <w:vAlign w:val="center"/>
            <w:hideMark/>
          </w:tcPr>
          <w:p w14:paraId="408EBCF6"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205" w:type="pct"/>
            <w:shd w:val="clear" w:color="auto" w:fill="auto"/>
            <w:noWrap/>
            <w:vAlign w:val="center"/>
            <w:hideMark/>
          </w:tcPr>
          <w:p w14:paraId="3EF41005"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12 MS</w:t>
            </w:r>
            <w:r w:rsidRPr="00532C20">
              <w:rPr>
                <w:rFonts w:ascii="Times New Roman" w:eastAsia="Times New Roman" w:hAnsi="Times New Roman" w:cs="Times New Roman"/>
                <w:noProof/>
                <w:sz w:val="24"/>
                <w:szCs w:val="24"/>
              </w:rPr>
              <w:t xml:space="preserve"> (BE</w:t>
            </w:r>
            <w:r w:rsidRPr="00532C20">
              <w:rPr>
                <w:rFonts w:ascii="Times New Roman" w:eastAsia="Times New Roman" w:hAnsi="Times New Roman" w:cs="Times New Roman"/>
                <w:noProof/>
                <w:sz w:val="24"/>
                <w:szCs w:val="24"/>
                <w:vertAlign w:val="superscript"/>
              </w:rPr>
              <w:footnoteReference w:id="252"/>
            </w:r>
            <w:r w:rsidRPr="00532C20">
              <w:rPr>
                <w:rFonts w:ascii="Times New Roman" w:eastAsia="Times New Roman" w:hAnsi="Times New Roman" w:cs="Times New Roman"/>
                <w:noProof/>
                <w:sz w:val="24"/>
                <w:szCs w:val="24"/>
              </w:rPr>
              <w:t>, BG, HR, CZ, DK, EE, HU, LV, MT, PT, SK, SE)</w:t>
            </w:r>
          </w:p>
        </w:tc>
      </w:tr>
      <w:tr w:rsidR="00A046DD" w:rsidRPr="00313F32" w14:paraId="6D4CDA43" w14:textId="77777777">
        <w:trPr>
          <w:trHeight w:val="20"/>
        </w:trPr>
        <w:tc>
          <w:tcPr>
            <w:tcW w:w="1533" w:type="pct"/>
            <w:shd w:val="clear" w:color="auto" w:fill="D9D9D9"/>
            <w:noWrap/>
            <w:vAlign w:val="center"/>
            <w:hideMark/>
          </w:tcPr>
          <w:p w14:paraId="005CEDCB"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Amend existing register / regime</w:t>
            </w:r>
          </w:p>
          <w:p w14:paraId="081B4650" w14:textId="77777777" w:rsidR="00A046DD" w:rsidRPr="00532C20" w:rsidRDefault="00A046DD" w:rsidP="00A046DD">
            <w:pPr>
              <w:spacing w:after="0" w:line="240" w:lineRule="auto"/>
              <w:jc w:val="both"/>
              <w:rPr>
                <w:rFonts w:ascii="Times New Roman" w:eastAsia="Times New Roman" w:hAnsi="Times New Roman" w:cs="Times New Roman"/>
                <w:b/>
                <w:i/>
                <w:noProof/>
                <w:sz w:val="24"/>
                <w:szCs w:val="24"/>
              </w:rPr>
            </w:pPr>
            <w:r w:rsidRPr="00532C20">
              <w:rPr>
                <w:rFonts w:ascii="Times New Roman" w:eastAsia="Times New Roman" w:hAnsi="Times New Roman" w:cs="Times New Roman"/>
                <w:i/>
                <w:noProof/>
                <w:sz w:val="24"/>
                <w:szCs w:val="24"/>
              </w:rPr>
              <w:t>Adjustment cost</w:t>
            </w:r>
          </w:p>
        </w:tc>
        <w:tc>
          <w:tcPr>
            <w:tcW w:w="727" w:type="pct"/>
            <w:shd w:val="clear" w:color="auto" w:fill="auto"/>
            <w:noWrap/>
            <w:vAlign w:val="center"/>
            <w:hideMark/>
          </w:tcPr>
          <w:p w14:paraId="19651C12"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89" w:type="pct"/>
            <w:shd w:val="clear" w:color="auto" w:fill="auto"/>
            <w:noWrap/>
            <w:vAlign w:val="center"/>
            <w:hideMark/>
          </w:tcPr>
          <w:p w14:paraId="56F29873"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Equipment</w:t>
            </w:r>
          </w:p>
        </w:tc>
        <w:tc>
          <w:tcPr>
            <w:tcW w:w="646" w:type="pct"/>
            <w:shd w:val="clear" w:color="auto" w:fill="auto"/>
            <w:noWrap/>
            <w:vAlign w:val="center"/>
            <w:hideMark/>
          </w:tcPr>
          <w:p w14:paraId="33CF4E08"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205" w:type="pct"/>
            <w:shd w:val="clear" w:color="auto" w:fill="auto"/>
            <w:noWrap/>
            <w:vAlign w:val="center"/>
            <w:hideMark/>
          </w:tcPr>
          <w:p w14:paraId="32F14766"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lang w:val="es-ES"/>
              </w:rPr>
            </w:pPr>
            <w:r w:rsidRPr="00532C20">
              <w:rPr>
                <w:rFonts w:ascii="Times New Roman" w:eastAsia="Times New Roman" w:hAnsi="Times New Roman" w:cs="Times New Roman"/>
                <w:b/>
                <w:noProof/>
                <w:sz w:val="24"/>
                <w:szCs w:val="24"/>
                <w:lang w:val="es-ES"/>
              </w:rPr>
              <w:t>15 MS</w:t>
            </w:r>
            <w:r w:rsidRPr="00532C20">
              <w:rPr>
                <w:rFonts w:ascii="Times New Roman" w:eastAsia="Times New Roman" w:hAnsi="Times New Roman" w:cs="Times New Roman"/>
                <w:noProof/>
                <w:sz w:val="24"/>
                <w:szCs w:val="24"/>
                <w:lang w:val="es-ES"/>
              </w:rPr>
              <w:t xml:space="preserve"> (AT, CY, FI, FR, DE, EL, IE, IT, LT, LU, NL, PL, RO, SI, ES)</w:t>
            </w:r>
          </w:p>
        </w:tc>
      </w:tr>
      <w:tr w:rsidR="00A046DD" w:rsidRPr="00532C20" w14:paraId="5F90DAA2" w14:textId="77777777">
        <w:trPr>
          <w:trHeight w:val="20"/>
        </w:trPr>
        <w:tc>
          <w:tcPr>
            <w:tcW w:w="1533" w:type="pct"/>
            <w:shd w:val="clear" w:color="auto" w:fill="D9D9D9"/>
            <w:noWrap/>
            <w:vAlign w:val="center"/>
            <w:hideMark/>
          </w:tcPr>
          <w:p w14:paraId="385E1DBF"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IT maintenance</w:t>
            </w:r>
          </w:p>
          <w:p w14:paraId="0DA80753" w14:textId="77777777" w:rsidR="00A046DD" w:rsidRPr="00532C20" w:rsidRDefault="00A046DD" w:rsidP="00A046DD">
            <w:pPr>
              <w:spacing w:after="0" w:line="240" w:lineRule="auto"/>
              <w:jc w:val="both"/>
              <w:rPr>
                <w:rFonts w:ascii="Times New Roman" w:eastAsia="Times New Roman" w:hAnsi="Times New Roman" w:cs="Times New Roman"/>
                <w:b/>
                <w:i/>
                <w:noProof/>
                <w:sz w:val="24"/>
                <w:szCs w:val="24"/>
              </w:rPr>
            </w:pPr>
            <w:r w:rsidRPr="00532C20">
              <w:rPr>
                <w:rFonts w:ascii="Times New Roman" w:eastAsia="Times New Roman" w:hAnsi="Times New Roman" w:cs="Times New Roman"/>
                <w:i/>
                <w:noProof/>
                <w:sz w:val="24"/>
                <w:szCs w:val="24"/>
              </w:rPr>
              <w:t>Adjustment cost</w:t>
            </w:r>
          </w:p>
        </w:tc>
        <w:tc>
          <w:tcPr>
            <w:tcW w:w="727" w:type="pct"/>
            <w:shd w:val="clear" w:color="auto" w:fill="auto"/>
            <w:noWrap/>
            <w:vAlign w:val="center"/>
            <w:hideMark/>
          </w:tcPr>
          <w:p w14:paraId="022DB3F4"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Recurrent</w:t>
            </w:r>
          </w:p>
        </w:tc>
        <w:tc>
          <w:tcPr>
            <w:tcW w:w="889" w:type="pct"/>
            <w:shd w:val="clear" w:color="auto" w:fill="auto"/>
            <w:noWrap/>
            <w:vAlign w:val="center"/>
            <w:hideMark/>
          </w:tcPr>
          <w:p w14:paraId="2E5D3EFB"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Implementation</w:t>
            </w:r>
          </w:p>
        </w:tc>
        <w:tc>
          <w:tcPr>
            <w:tcW w:w="646" w:type="pct"/>
            <w:shd w:val="clear" w:color="auto" w:fill="auto"/>
            <w:noWrap/>
            <w:vAlign w:val="center"/>
            <w:hideMark/>
          </w:tcPr>
          <w:p w14:paraId="4A45E486"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Years 2-10, annual</w:t>
            </w:r>
          </w:p>
        </w:tc>
        <w:tc>
          <w:tcPr>
            <w:tcW w:w="1205" w:type="pct"/>
            <w:shd w:val="clear" w:color="auto" w:fill="auto"/>
            <w:noWrap/>
            <w:vAlign w:val="center"/>
            <w:hideMark/>
          </w:tcPr>
          <w:p w14:paraId="765CC224"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EU-27</w:t>
            </w:r>
          </w:p>
        </w:tc>
      </w:tr>
      <w:tr w:rsidR="00A046DD" w:rsidRPr="00532C20" w14:paraId="3B8F6904" w14:textId="77777777">
        <w:trPr>
          <w:trHeight w:val="20"/>
        </w:trPr>
        <w:tc>
          <w:tcPr>
            <w:tcW w:w="1533" w:type="pct"/>
            <w:shd w:val="clear" w:color="auto" w:fill="D9D9D9"/>
            <w:noWrap/>
            <w:vAlign w:val="center"/>
          </w:tcPr>
          <w:p w14:paraId="532066EC"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Amend and operate management, monitoring &amp; enforcement systems</w:t>
            </w:r>
          </w:p>
          <w:p w14:paraId="1D193F0F"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i/>
                <w:noProof/>
                <w:sz w:val="24"/>
                <w:szCs w:val="24"/>
              </w:rPr>
              <w:t>Enforcement cost</w:t>
            </w:r>
          </w:p>
        </w:tc>
        <w:tc>
          <w:tcPr>
            <w:tcW w:w="727" w:type="pct"/>
            <w:shd w:val="clear" w:color="auto" w:fill="auto"/>
            <w:noWrap/>
            <w:vAlign w:val="center"/>
          </w:tcPr>
          <w:p w14:paraId="6C94D553"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Recurrent</w:t>
            </w:r>
          </w:p>
        </w:tc>
        <w:tc>
          <w:tcPr>
            <w:tcW w:w="889" w:type="pct"/>
            <w:shd w:val="clear" w:color="auto" w:fill="auto"/>
            <w:noWrap/>
            <w:vAlign w:val="center"/>
          </w:tcPr>
          <w:p w14:paraId="24C8B7CE"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Direct labour costs + overheads</w:t>
            </w:r>
          </w:p>
        </w:tc>
        <w:tc>
          <w:tcPr>
            <w:tcW w:w="646" w:type="pct"/>
            <w:shd w:val="clear" w:color="auto" w:fill="auto"/>
            <w:noWrap/>
            <w:vAlign w:val="center"/>
          </w:tcPr>
          <w:p w14:paraId="43402DFB"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Years 1-10, annual</w:t>
            </w:r>
          </w:p>
        </w:tc>
        <w:tc>
          <w:tcPr>
            <w:tcW w:w="1205" w:type="pct"/>
            <w:shd w:val="clear" w:color="auto" w:fill="auto"/>
            <w:noWrap/>
            <w:vAlign w:val="center"/>
          </w:tcPr>
          <w:p w14:paraId="1030CF5A"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EU-27</w:t>
            </w:r>
          </w:p>
        </w:tc>
      </w:tr>
    </w:tbl>
    <w:p w14:paraId="1A2DD71E" w14:textId="77777777" w:rsidR="0050347F" w:rsidRPr="00532C20" w:rsidRDefault="0050347F" w:rsidP="0050347F">
      <w:pPr>
        <w:rPr>
          <w:noProof/>
        </w:rPr>
      </w:pPr>
    </w:p>
    <w:p w14:paraId="23D066E5" w14:textId="55C29597" w:rsidR="00055B60" w:rsidRPr="00532C20" w:rsidRDefault="00055B60" w:rsidP="0020326D">
      <w:pPr>
        <w:pStyle w:val="ListParagraph"/>
        <w:numPr>
          <w:ilvl w:val="3"/>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Familiarisation costs</w:t>
      </w:r>
    </w:p>
    <w:p w14:paraId="68E929E4"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Familiarisation costs will be borne by all Member State authorities, as they will need to understand the implications of the legislative text and plan for the implementation of the provisions. The following assumptions are made in this context:</w:t>
      </w:r>
    </w:p>
    <w:p w14:paraId="53F8FB46" w14:textId="77777777" w:rsidR="00A046DD" w:rsidRPr="00532C20" w:rsidRDefault="00A046DD" w:rsidP="002B0B48">
      <w:pPr>
        <w:numPr>
          <w:ilvl w:val="0"/>
          <w:numId w:val="58"/>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 xml:space="preserve">This cost is borne by all Member State authorities equally, regardless of the presence of an existing register / transparency regime. </w:t>
      </w:r>
    </w:p>
    <w:p w14:paraId="11CC9868" w14:textId="77777777" w:rsidR="00A046DD" w:rsidRPr="00532C20" w:rsidRDefault="00A046DD" w:rsidP="002B0B48">
      <w:pPr>
        <w:numPr>
          <w:ilvl w:val="0"/>
          <w:numId w:val="58"/>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As for interest representation service providers, this activity is conducted by professionals at ISCO 2 level.</w:t>
      </w:r>
    </w:p>
    <w:p w14:paraId="70FF7770" w14:textId="77777777" w:rsidR="00A046DD" w:rsidRPr="00532C20" w:rsidRDefault="00A046DD" w:rsidP="002B0B48">
      <w:pPr>
        <w:numPr>
          <w:ilvl w:val="0"/>
          <w:numId w:val="58"/>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The time required is on par with the extended familiarisation costs borne by interest representation service providers within scope, due to the need to develop implementation and compliance strategies. As such, 3 scenarios are presented for the time commitments for these activities (low, 2 hours; middle, 4 hours; high, 6 hours).</w:t>
      </w:r>
    </w:p>
    <w:p w14:paraId="13960398"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The below table presents the Member State-specific and total costs for the 3 scenarios. As can be seen, the </w:t>
      </w:r>
      <w:r w:rsidRPr="00532C20">
        <w:rPr>
          <w:rFonts w:ascii="Times New Roman" w:eastAsia="Times New Roman" w:hAnsi="Times New Roman" w:cs="Times New Roman"/>
          <w:b/>
          <w:noProof/>
          <w:sz w:val="24"/>
          <w:szCs w:val="24"/>
        </w:rPr>
        <w:t>estimated familiarisation costs to Member State authorities</w:t>
      </w:r>
      <w:r w:rsidRPr="00532C20">
        <w:rPr>
          <w:rFonts w:ascii="Times New Roman" w:eastAsia="Times New Roman" w:hAnsi="Times New Roman" w:cs="Times New Roman"/>
          <w:noProof/>
          <w:sz w:val="24"/>
          <w:szCs w:val="24"/>
        </w:rPr>
        <w:t xml:space="preserve"> would range from </w:t>
      </w:r>
      <w:r w:rsidRPr="00532C20">
        <w:rPr>
          <w:rFonts w:ascii="Times New Roman" w:eastAsia="Times New Roman" w:hAnsi="Times New Roman" w:cs="Times New Roman"/>
          <w:b/>
          <w:noProof/>
          <w:sz w:val="24"/>
          <w:szCs w:val="24"/>
        </w:rPr>
        <w:t>EUR 1,500 to EUR 4,600</w:t>
      </w:r>
      <w:r w:rsidRPr="00532C20">
        <w:rPr>
          <w:rFonts w:ascii="Times New Roman" w:eastAsia="Times New Roman" w:hAnsi="Times New Roman" w:cs="Times New Roman"/>
          <w:noProof/>
          <w:sz w:val="24"/>
          <w:szCs w:val="24"/>
        </w:rPr>
        <w:t>.</w:t>
      </w:r>
    </w:p>
    <w:p w14:paraId="7D149417" w14:textId="40AA4600"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bookmarkStart w:id="1163" w:name="_Toc140752087"/>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5</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Estimated familiarisation costs: Member State authorities</w:t>
      </w:r>
      <w:bookmarkEnd w:id="1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593"/>
        <w:gridCol w:w="1887"/>
        <w:gridCol w:w="2198"/>
        <w:gridCol w:w="2010"/>
      </w:tblGrid>
      <w:tr w:rsidR="00A046DD" w:rsidRPr="00532C20" w14:paraId="10C28C35" w14:textId="77777777">
        <w:trPr>
          <w:trHeight w:val="20"/>
          <w:tblHeader/>
        </w:trPr>
        <w:tc>
          <w:tcPr>
            <w:tcW w:w="941" w:type="pct"/>
            <w:vMerge w:val="restart"/>
            <w:shd w:val="clear" w:color="auto" w:fill="002060"/>
            <w:noWrap/>
            <w:vAlign w:val="center"/>
          </w:tcPr>
          <w:p w14:paraId="19822733" w14:textId="77777777" w:rsidR="00A046DD" w:rsidRPr="005833C4" w:rsidRDefault="00A046DD" w:rsidP="00A046DD">
            <w:pPr>
              <w:spacing w:after="0" w:line="240" w:lineRule="auto"/>
              <w:jc w:val="both"/>
              <w:rPr>
                <w:rFonts w:ascii="Times New Roman" w:eastAsia="Times New Roman" w:hAnsi="Times New Roman" w:cs="Times New Roman"/>
                <w:b/>
                <w:bCs/>
                <w:noProof/>
                <w:sz w:val="24"/>
                <w:szCs w:val="24"/>
              </w:rPr>
            </w:pPr>
            <w:r w:rsidRPr="005833C4">
              <w:rPr>
                <w:rFonts w:ascii="Times New Roman" w:eastAsia="Times New Roman" w:hAnsi="Times New Roman" w:cs="Times New Roman"/>
                <w:b/>
                <w:bCs/>
                <w:noProof/>
                <w:sz w:val="24"/>
                <w:szCs w:val="24"/>
              </w:rPr>
              <w:t>Country</w:t>
            </w:r>
          </w:p>
        </w:tc>
        <w:tc>
          <w:tcPr>
            <w:tcW w:w="786" w:type="pct"/>
            <w:vMerge w:val="restart"/>
            <w:shd w:val="clear" w:color="auto" w:fill="002060"/>
            <w:noWrap/>
            <w:vAlign w:val="center"/>
          </w:tcPr>
          <w:p w14:paraId="31269849" w14:textId="77777777" w:rsidR="00A046DD" w:rsidRPr="005833C4" w:rsidRDefault="00A046DD" w:rsidP="00A046DD">
            <w:pPr>
              <w:spacing w:after="0" w:line="240" w:lineRule="auto"/>
              <w:jc w:val="center"/>
              <w:rPr>
                <w:rFonts w:ascii="Times New Roman" w:eastAsia="Times New Roman" w:hAnsi="Times New Roman" w:cs="Times New Roman"/>
                <w:b/>
                <w:bCs/>
                <w:noProof/>
                <w:sz w:val="24"/>
                <w:szCs w:val="24"/>
              </w:rPr>
            </w:pPr>
            <w:r w:rsidRPr="005833C4">
              <w:rPr>
                <w:rFonts w:ascii="Times New Roman" w:eastAsia="Times New Roman" w:hAnsi="Times New Roman" w:cs="Times New Roman"/>
                <w:b/>
                <w:bCs/>
                <w:noProof/>
                <w:sz w:val="24"/>
                <w:szCs w:val="24"/>
              </w:rPr>
              <w:t>ISCO 2 income:</w:t>
            </w:r>
          </w:p>
          <w:p w14:paraId="30ACEA4F" w14:textId="77777777" w:rsidR="00A046DD" w:rsidRPr="005833C4" w:rsidRDefault="00A046DD" w:rsidP="00A046DD">
            <w:pPr>
              <w:spacing w:after="0" w:line="240" w:lineRule="auto"/>
              <w:jc w:val="center"/>
              <w:rPr>
                <w:rFonts w:ascii="Times New Roman" w:eastAsia="Times New Roman" w:hAnsi="Times New Roman" w:cs="Times New Roman"/>
                <w:b/>
                <w:bCs/>
                <w:noProof/>
                <w:sz w:val="24"/>
                <w:szCs w:val="24"/>
              </w:rPr>
            </w:pPr>
            <w:r w:rsidRPr="005833C4">
              <w:rPr>
                <w:rFonts w:ascii="Times New Roman" w:eastAsia="Times New Roman" w:hAnsi="Times New Roman" w:cs="Times New Roman"/>
                <w:b/>
                <w:bCs/>
                <w:noProof/>
                <w:sz w:val="24"/>
                <w:szCs w:val="24"/>
              </w:rPr>
              <w:t>EUR per hour</w:t>
            </w:r>
            <w:r w:rsidRPr="005833C4">
              <w:rPr>
                <w:rFonts w:ascii="Times New Roman" w:eastAsia="Times New Roman" w:hAnsi="Times New Roman" w:cs="Times New Roman"/>
                <w:b/>
                <w:bCs/>
                <w:noProof/>
                <w:sz w:val="24"/>
                <w:szCs w:val="24"/>
                <w:vertAlign w:val="superscript"/>
              </w:rPr>
              <w:t>(1)</w:t>
            </w:r>
          </w:p>
        </w:tc>
        <w:tc>
          <w:tcPr>
            <w:tcW w:w="3273" w:type="pct"/>
            <w:gridSpan w:val="3"/>
            <w:shd w:val="clear" w:color="auto" w:fill="002060"/>
            <w:noWrap/>
            <w:vAlign w:val="center"/>
          </w:tcPr>
          <w:p w14:paraId="74A59E9B" w14:textId="77777777" w:rsidR="00A046DD" w:rsidRPr="005833C4" w:rsidRDefault="00A046DD" w:rsidP="00A046DD">
            <w:pPr>
              <w:spacing w:after="0" w:line="240" w:lineRule="auto"/>
              <w:jc w:val="center"/>
              <w:rPr>
                <w:rFonts w:ascii="Times New Roman" w:eastAsia="Times New Roman" w:hAnsi="Times New Roman" w:cs="Times New Roman"/>
                <w:b/>
                <w:bCs/>
                <w:noProof/>
                <w:sz w:val="24"/>
                <w:szCs w:val="24"/>
              </w:rPr>
            </w:pPr>
            <w:r w:rsidRPr="005833C4">
              <w:rPr>
                <w:rFonts w:ascii="Times New Roman" w:eastAsia="Times New Roman" w:hAnsi="Times New Roman" w:cs="Times New Roman"/>
                <w:b/>
                <w:bCs/>
                <w:noProof/>
                <w:sz w:val="24"/>
                <w:szCs w:val="24"/>
              </w:rPr>
              <w:t xml:space="preserve">Cost scenarios in EUR </w:t>
            </w:r>
            <w:r w:rsidRPr="005833C4">
              <w:rPr>
                <w:rFonts w:ascii="Times New Roman" w:eastAsia="Times New Roman" w:hAnsi="Times New Roman" w:cs="Times New Roman"/>
                <w:b/>
                <w:bCs/>
                <w:i/>
                <w:noProof/>
                <w:sz w:val="24"/>
                <w:szCs w:val="24"/>
              </w:rPr>
              <w:t>(time spent * ISCO 2 income)</w:t>
            </w:r>
          </w:p>
        </w:tc>
      </w:tr>
      <w:tr w:rsidR="00A046DD" w:rsidRPr="00532C20" w14:paraId="6E56BB2E" w14:textId="77777777">
        <w:trPr>
          <w:trHeight w:val="20"/>
          <w:tblHeader/>
        </w:trPr>
        <w:tc>
          <w:tcPr>
            <w:tcW w:w="941" w:type="pct"/>
            <w:vMerge/>
            <w:shd w:val="clear" w:color="auto" w:fill="002060"/>
            <w:noWrap/>
            <w:vAlign w:val="center"/>
            <w:hideMark/>
          </w:tcPr>
          <w:p w14:paraId="12899650" w14:textId="77777777" w:rsidR="00A046DD" w:rsidRPr="005833C4" w:rsidRDefault="00A046DD" w:rsidP="00A046DD">
            <w:pPr>
              <w:spacing w:after="0" w:line="240" w:lineRule="auto"/>
              <w:jc w:val="both"/>
              <w:rPr>
                <w:rFonts w:ascii="Times New Roman" w:eastAsia="Times New Roman" w:hAnsi="Times New Roman" w:cs="Times New Roman"/>
                <w:b/>
                <w:bCs/>
                <w:noProof/>
                <w:sz w:val="24"/>
                <w:szCs w:val="24"/>
              </w:rPr>
            </w:pPr>
          </w:p>
        </w:tc>
        <w:tc>
          <w:tcPr>
            <w:tcW w:w="786" w:type="pct"/>
            <w:vMerge/>
            <w:shd w:val="clear" w:color="auto" w:fill="002060"/>
            <w:noWrap/>
            <w:vAlign w:val="center"/>
            <w:hideMark/>
          </w:tcPr>
          <w:p w14:paraId="4358325C" w14:textId="77777777" w:rsidR="00A046DD" w:rsidRPr="005833C4" w:rsidRDefault="00A046DD" w:rsidP="00A046DD">
            <w:pPr>
              <w:spacing w:after="0" w:line="240" w:lineRule="auto"/>
              <w:jc w:val="center"/>
              <w:rPr>
                <w:rFonts w:ascii="Times New Roman" w:eastAsia="Times New Roman" w:hAnsi="Times New Roman" w:cs="Times New Roman"/>
                <w:b/>
                <w:bCs/>
                <w:noProof/>
                <w:sz w:val="24"/>
                <w:szCs w:val="24"/>
              </w:rPr>
            </w:pPr>
          </w:p>
        </w:tc>
        <w:tc>
          <w:tcPr>
            <w:tcW w:w="1091" w:type="pct"/>
            <w:shd w:val="clear" w:color="auto" w:fill="0C4DA2"/>
            <w:noWrap/>
            <w:vAlign w:val="center"/>
            <w:hideMark/>
          </w:tcPr>
          <w:p w14:paraId="2990CF36"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sz w:val="24"/>
                <w:szCs w:val="24"/>
              </w:rPr>
            </w:pPr>
            <w:r w:rsidRPr="00313F32">
              <w:rPr>
                <w:rFonts w:ascii="Times New Roman" w:eastAsia="Times New Roman" w:hAnsi="Times New Roman" w:cs="Times New Roman"/>
                <w:b/>
                <w:noProof/>
                <w:color w:val="FFFFFF" w:themeColor="background1"/>
                <w:sz w:val="24"/>
                <w:szCs w:val="24"/>
              </w:rPr>
              <w:t>Low scenario (2 hr)</w:t>
            </w:r>
          </w:p>
        </w:tc>
        <w:tc>
          <w:tcPr>
            <w:tcW w:w="1091" w:type="pct"/>
            <w:shd w:val="clear" w:color="auto" w:fill="0C4DA2"/>
            <w:noWrap/>
            <w:vAlign w:val="center"/>
            <w:hideMark/>
          </w:tcPr>
          <w:p w14:paraId="336A11A6"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sz w:val="24"/>
                <w:szCs w:val="24"/>
              </w:rPr>
            </w:pPr>
            <w:r w:rsidRPr="00313F32">
              <w:rPr>
                <w:rFonts w:ascii="Times New Roman" w:eastAsia="Times New Roman" w:hAnsi="Times New Roman" w:cs="Times New Roman"/>
                <w:b/>
                <w:noProof/>
                <w:color w:val="FFFFFF" w:themeColor="background1"/>
                <w:sz w:val="24"/>
                <w:szCs w:val="24"/>
              </w:rPr>
              <w:t>Middle scenario (4 hrs)</w:t>
            </w:r>
          </w:p>
        </w:tc>
        <w:tc>
          <w:tcPr>
            <w:tcW w:w="1091" w:type="pct"/>
            <w:shd w:val="clear" w:color="auto" w:fill="0C4DA2"/>
            <w:noWrap/>
            <w:vAlign w:val="center"/>
            <w:hideMark/>
          </w:tcPr>
          <w:p w14:paraId="0733EEA4"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sz w:val="24"/>
                <w:szCs w:val="24"/>
              </w:rPr>
            </w:pPr>
            <w:r w:rsidRPr="00313F32">
              <w:rPr>
                <w:rFonts w:ascii="Times New Roman" w:eastAsia="Times New Roman" w:hAnsi="Times New Roman" w:cs="Times New Roman"/>
                <w:b/>
                <w:noProof/>
                <w:color w:val="FFFFFF" w:themeColor="background1"/>
                <w:sz w:val="24"/>
                <w:szCs w:val="24"/>
              </w:rPr>
              <w:t>High scenario (6 hrs)</w:t>
            </w:r>
          </w:p>
        </w:tc>
      </w:tr>
      <w:tr w:rsidR="00A046DD" w:rsidRPr="00532C20" w14:paraId="4DC6F21F" w14:textId="77777777">
        <w:trPr>
          <w:trHeight w:val="20"/>
        </w:trPr>
        <w:tc>
          <w:tcPr>
            <w:tcW w:w="941" w:type="pct"/>
            <w:shd w:val="clear" w:color="auto" w:fill="D9D9D9"/>
            <w:noWrap/>
            <w:vAlign w:val="center"/>
            <w:hideMark/>
          </w:tcPr>
          <w:p w14:paraId="1057B6FF"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Austria</w:t>
            </w:r>
          </w:p>
        </w:tc>
        <w:tc>
          <w:tcPr>
            <w:tcW w:w="786" w:type="pct"/>
            <w:shd w:val="clear" w:color="auto" w:fill="D9D9D9"/>
            <w:noWrap/>
            <w:vAlign w:val="center"/>
            <w:hideMark/>
          </w:tcPr>
          <w:p w14:paraId="1013FBA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42.18 </w:t>
            </w:r>
          </w:p>
        </w:tc>
        <w:tc>
          <w:tcPr>
            <w:tcW w:w="1091" w:type="pct"/>
            <w:shd w:val="clear" w:color="auto" w:fill="auto"/>
            <w:noWrap/>
            <w:vAlign w:val="center"/>
            <w:hideMark/>
          </w:tcPr>
          <w:p w14:paraId="69AAE7A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84.35 </w:t>
            </w:r>
          </w:p>
        </w:tc>
        <w:tc>
          <w:tcPr>
            <w:tcW w:w="1091" w:type="pct"/>
            <w:shd w:val="clear" w:color="auto" w:fill="auto"/>
            <w:noWrap/>
            <w:vAlign w:val="center"/>
            <w:hideMark/>
          </w:tcPr>
          <w:p w14:paraId="5C86AAC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168.71 </w:t>
            </w:r>
          </w:p>
        </w:tc>
        <w:tc>
          <w:tcPr>
            <w:tcW w:w="1091" w:type="pct"/>
            <w:shd w:val="clear" w:color="auto" w:fill="auto"/>
            <w:noWrap/>
            <w:vAlign w:val="center"/>
            <w:hideMark/>
          </w:tcPr>
          <w:p w14:paraId="35530A8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253.06 </w:t>
            </w:r>
          </w:p>
        </w:tc>
      </w:tr>
      <w:tr w:rsidR="00A046DD" w:rsidRPr="00532C20" w14:paraId="197A6EB7" w14:textId="77777777">
        <w:trPr>
          <w:trHeight w:val="20"/>
        </w:trPr>
        <w:tc>
          <w:tcPr>
            <w:tcW w:w="941" w:type="pct"/>
            <w:shd w:val="clear" w:color="auto" w:fill="D9D9D9"/>
            <w:noWrap/>
            <w:vAlign w:val="center"/>
            <w:hideMark/>
          </w:tcPr>
          <w:p w14:paraId="64436162"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Belgium</w:t>
            </w:r>
          </w:p>
        </w:tc>
        <w:tc>
          <w:tcPr>
            <w:tcW w:w="786" w:type="pct"/>
            <w:shd w:val="clear" w:color="auto" w:fill="D9D9D9"/>
            <w:noWrap/>
            <w:vAlign w:val="center"/>
            <w:hideMark/>
          </w:tcPr>
          <w:p w14:paraId="07FBC97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50.42 </w:t>
            </w:r>
          </w:p>
        </w:tc>
        <w:tc>
          <w:tcPr>
            <w:tcW w:w="1091" w:type="pct"/>
            <w:shd w:val="clear" w:color="auto" w:fill="auto"/>
            <w:noWrap/>
            <w:vAlign w:val="center"/>
            <w:hideMark/>
          </w:tcPr>
          <w:p w14:paraId="616BA98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100.85 </w:t>
            </w:r>
          </w:p>
        </w:tc>
        <w:tc>
          <w:tcPr>
            <w:tcW w:w="1091" w:type="pct"/>
            <w:shd w:val="clear" w:color="auto" w:fill="auto"/>
            <w:noWrap/>
            <w:vAlign w:val="center"/>
            <w:hideMark/>
          </w:tcPr>
          <w:p w14:paraId="7A54543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201.70 </w:t>
            </w:r>
          </w:p>
        </w:tc>
        <w:tc>
          <w:tcPr>
            <w:tcW w:w="1091" w:type="pct"/>
            <w:shd w:val="clear" w:color="auto" w:fill="auto"/>
            <w:noWrap/>
            <w:vAlign w:val="center"/>
            <w:hideMark/>
          </w:tcPr>
          <w:p w14:paraId="102FEBE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302.55 </w:t>
            </w:r>
          </w:p>
        </w:tc>
      </w:tr>
      <w:tr w:rsidR="00A046DD" w:rsidRPr="00532C20" w14:paraId="5A62DA6E" w14:textId="77777777">
        <w:trPr>
          <w:trHeight w:val="20"/>
        </w:trPr>
        <w:tc>
          <w:tcPr>
            <w:tcW w:w="941" w:type="pct"/>
            <w:shd w:val="clear" w:color="auto" w:fill="D9D9D9"/>
            <w:noWrap/>
            <w:vAlign w:val="center"/>
            <w:hideMark/>
          </w:tcPr>
          <w:p w14:paraId="08F61BE1"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Bulgaria</w:t>
            </w:r>
          </w:p>
        </w:tc>
        <w:tc>
          <w:tcPr>
            <w:tcW w:w="786" w:type="pct"/>
            <w:shd w:val="clear" w:color="auto" w:fill="D9D9D9"/>
            <w:noWrap/>
            <w:vAlign w:val="center"/>
            <w:hideMark/>
          </w:tcPr>
          <w:p w14:paraId="64983F7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7.25 </w:t>
            </w:r>
          </w:p>
        </w:tc>
        <w:tc>
          <w:tcPr>
            <w:tcW w:w="1091" w:type="pct"/>
            <w:shd w:val="clear" w:color="auto" w:fill="auto"/>
            <w:noWrap/>
            <w:vAlign w:val="center"/>
            <w:hideMark/>
          </w:tcPr>
          <w:p w14:paraId="3FC7589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14.50 </w:t>
            </w:r>
          </w:p>
        </w:tc>
        <w:tc>
          <w:tcPr>
            <w:tcW w:w="1091" w:type="pct"/>
            <w:shd w:val="clear" w:color="auto" w:fill="auto"/>
            <w:noWrap/>
            <w:vAlign w:val="center"/>
            <w:hideMark/>
          </w:tcPr>
          <w:p w14:paraId="5D9ED16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29.00 </w:t>
            </w:r>
          </w:p>
        </w:tc>
        <w:tc>
          <w:tcPr>
            <w:tcW w:w="1091" w:type="pct"/>
            <w:shd w:val="clear" w:color="auto" w:fill="auto"/>
            <w:noWrap/>
            <w:vAlign w:val="center"/>
            <w:hideMark/>
          </w:tcPr>
          <w:p w14:paraId="30D444D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43.50 </w:t>
            </w:r>
          </w:p>
        </w:tc>
      </w:tr>
      <w:tr w:rsidR="00A046DD" w:rsidRPr="00532C20" w14:paraId="3807B6D3" w14:textId="77777777">
        <w:trPr>
          <w:trHeight w:val="20"/>
        </w:trPr>
        <w:tc>
          <w:tcPr>
            <w:tcW w:w="941" w:type="pct"/>
            <w:shd w:val="clear" w:color="auto" w:fill="D9D9D9"/>
            <w:noWrap/>
            <w:vAlign w:val="center"/>
            <w:hideMark/>
          </w:tcPr>
          <w:p w14:paraId="1D628960"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Croatia</w:t>
            </w:r>
          </w:p>
        </w:tc>
        <w:tc>
          <w:tcPr>
            <w:tcW w:w="786" w:type="pct"/>
            <w:shd w:val="clear" w:color="auto" w:fill="D9D9D9"/>
            <w:noWrap/>
            <w:vAlign w:val="center"/>
            <w:hideMark/>
          </w:tcPr>
          <w:p w14:paraId="683CF26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13.62 </w:t>
            </w:r>
          </w:p>
        </w:tc>
        <w:tc>
          <w:tcPr>
            <w:tcW w:w="1091" w:type="pct"/>
            <w:shd w:val="clear" w:color="auto" w:fill="auto"/>
            <w:noWrap/>
            <w:vAlign w:val="center"/>
            <w:hideMark/>
          </w:tcPr>
          <w:p w14:paraId="052D358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27.24 </w:t>
            </w:r>
          </w:p>
        </w:tc>
        <w:tc>
          <w:tcPr>
            <w:tcW w:w="1091" w:type="pct"/>
            <w:shd w:val="clear" w:color="auto" w:fill="auto"/>
            <w:noWrap/>
            <w:vAlign w:val="center"/>
            <w:hideMark/>
          </w:tcPr>
          <w:p w14:paraId="326B9ED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54.49 </w:t>
            </w:r>
          </w:p>
        </w:tc>
        <w:tc>
          <w:tcPr>
            <w:tcW w:w="1091" w:type="pct"/>
            <w:shd w:val="clear" w:color="auto" w:fill="auto"/>
            <w:noWrap/>
            <w:vAlign w:val="center"/>
            <w:hideMark/>
          </w:tcPr>
          <w:p w14:paraId="65BA52C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81.73 </w:t>
            </w:r>
          </w:p>
        </w:tc>
      </w:tr>
      <w:tr w:rsidR="00A046DD" w:rsidRPr="00532C20" w14:paraId="1F06C6A5" w14:textId="77777777">
        <w:trPr>
          <w:trHeight w:val="20"/>
        </w:trPr>
        <w:tc>
          <w:tcPr>
            <w:tcW w:w="941" w:type="pct"/>
            <w:shd w:val="clear" w:color="auto" w:fill="D9D9D9"/>
            <w:noWrap/>
            <w:vAlign w:val="center"/>
            <w:hideMark/>
          </w:tcPr>
          <w:p w14:paraId="1AFD9E83"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Cyprus</w:t>
            </w:r>
          </w:p>
        </w:tc>
        <w:tc>
          <w:tcPr>
            <w:tcW w:w="786" w:type="pct"/>
            <w:shd w:val="clear" w:color="auto" w:fill="D9D9D9"/>
            <w:noWrap/>
            <w:vAlign w:val="center"/>
            <w:hideMark/>
          </w:tcPr>
          <w:p w14:paraId="0EB6C39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25.76 </w:t>
            </w:r>
          </w:p>
        </w:tc>
        <w:tc>
          <w:tcPr>
            <w:tcW w:w="1091" w:type="pct"/>
            <w:shd w:val="clear" w:color="auto" w:fill="auto"/>
            <w:noWrap/>
            <w:vAlign w:val="center"/>
            <w:hideMark/>
          </w:tcPr>
          <w:p w14:paraId="147AFE1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51.52 </w:t>
            </w:r>
          </w:p>
        </w:tc>
        <w:tc>
          <w:tcPr>
            <w:tcW w:w="1091" w:type="pct"/>
            <w:shd w:val="clear" w:color="auto" w:fill="auto"/>
            <w:noWrap/>
            <w:vAlign w:val="center"/>
            <w:hideMark/>
          </w:tcPr>
          <w:p w14:paraId="4D7321C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103.03 </w:t>
            </w:r>
          </w:p>
        </w:tc>
        <w:tc>
          <w:tcPr>
            <w:tcW w:w="1091" w:type="pct"/>
            <w:shd w:val="clear" w:color="auto" w:fill="auto"/>
            <w:noWrap/>
            <w:vAlign w:val="center"/>
            <w:hideMark/>
          </w:tcPr>
          <w:p w14:paraId="54E2E20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154.55 </w:t>
            </w:r>
          </w:p>
        </w:tc>
      </w:tr>
      <w:tr w:rsidR="00A046DD" w:rsidRPr="00532C20" w14:paraId="071CCA83" w14:textId="77777777">
        <w:trPr>
          <w:trHeight w:val="20"/>
        </w:trPr>
        <w:tc>
          <w:tcPr>
            <w:tcW w:w="941" w:type="pct"/>
            <w:shd w:val="clear" w:color="auto" w:fill="D9D9D9"/>
            <w:noWrap/>
            <w:vAlign w:val="center"/>
            <w:hideMark/>
          </w:tcPr>
          <w:p w14:paraId="61FF6B13"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Czechia</w:t>
            </w:r>
          </w:p>
        </w:tc>
        <w:tc>
          <w:tcPr>
            <w:tcW w:w="786" w:type="pct"/>
            <w:shd w:val="clear" w:color="auto" w:fill="D9D9D9"/>
            <w:noWrap/>
            <w:vAlign w:val="center"/>
            <w:hideMark/>
          </w:tcPr>
          <w:p w14:paraId="1EBBAE8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17.07 </w:t>
            </w:r>
          </w:p>
        </w:tc>
        <w:tc>
          <w:tcPr>
            <w:tcW w:w="1091" w:type="pct"/>
            <w:shd w:val="clear" w:color="auto" w:fill="auto"/>
            <w:noWrap/>
            <w:vAlign w:val="center"/>
            <w:hideMark/>
          </w:tcPr>
          <w:p w14:paraId="2122C60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34.13 </w:t>
            </w:r>
          </w:p>
        </w:tc>
        <w:tc>
          <w:tcPr>
            <w:tcW w:w="1091" w:type="pct"/>
            <w:shd w:val="clear" w:color="auto" w:fill="auto"/>
            <w:noWrap/>
            <w:vAlign w:val="center"/>
            <w:hideMark/>
          </w:tcPr>
          <w:p w14:paraId="4E14171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68.26 </w:t>
            </w:r>
          </w:p>
        </w:tc>
        <w:tc>
          <w:tcPr>
            <w:tcW w:w="1091" w:type="pct"/>
            <w:shd w:val="clear" w:color="auto" w:fill="auto"/>
            <w:noWrap/>
            <w:vAlign w:val="center"/>
            <w:hideMark/>
          </w:tcPr>
          <w:p w14:paraId="73C5D22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102.39 </w:t>
            </w:r>
          </w:p>
        </w:tc>
      </w:tr>
      <w:tr w:rsidR="00A046DD" w:rsidRPr="00532C20" w14:paraId="79BDD16F" w14:textId="77777777">
        <w:trPr>
          <w:trHeight w:val="20"/>
        </w:trPr>
        <w:tc>
          <w:tcPr>
            <w:tcW w:w="941" w:type="pct"/>
            <w:shd w:val="clear" w:color="auto" w:fill="D9D9D9"/>
            <w:noWrap/>
            <w:vAlign w:val="center"/>
            <w:hideMark/>
          </w:tcPr>
          <w:p w14:paraId="7691C60C"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Denmark</w:t>
            </w:r>
          </w:p>
        </w:tc>
        <w:tc>
          <w:tcPr>
            <w:tcW w:w="786" w:type="pct"/>
            <w:shd w:val="clear" w:color="auto" w:fill="D9D9D9"/>
            <w:noWrap/>
            <w:vAlign w:val="center"/>
            <w:hideMark/>
          </w:tcPr>
          <w:p w14:paraId="5167BEF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50.23 </w:t>
            </w:r>
          </w:p>
        </w:tc>
        <w:tc>
          <w:tcPr>
            <w:tcW w:w="1091" w:type="pct"/>
            <w:shd w:val="clear" w:color="auto" w:fill="auto"/>
            <w:noWrap/>
            <w:vAlign w:val="center"/>
            <w:hideMark/>
          </w:tcPr>
          <w:p w14:paraId="1416908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100.47 </w:t>
            </w:r>
          </w:p>
        </w:tc>
        <w:tc>
          <w:tcPr>
            <w:tcW w:w="1091" w:type="pct"/>
            <w:shd w:val="clear" w:color="auto" w:fill="auto"/>
            <w:noWrap/>
            <w:vAlign w:val="center"/>
            <w:hideMark/>
          </w:tcPr>
          <w:p w14:paraId="40B27F3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200.93 </w:t>
            </w:r>
          </w:p>
        </w:tc>
        <w:tc>
          <w:tcPr>
            <w:tcW w:w="1091" w:type="pct"/>
            <w:shd w:val="clear" w:color="auto" w:fill="auto"/>
            <w:noWrap/>
            <w:vAlign w:val="center"/>
            <w:hideMark/>
          </w:tcPr>
          <w:p w14:paraId="1AC7B02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301.40 </w:t>
            </w:r>
          </w:p>
        </w:tc>
      </w:tr>
      <w:tr w:rsidR="00A046DD" w:rsidRPr="00532C20" w14:paraId="7A7F7F6B" w14:textId="77777777">
        <w:trPr>
          <w:trHeight w:val="20"/>
        </w:trPr>
        <w:tc>
          <w:tcPr>
            <w:tcW w:w="941" w:type="pct"/>
            <w:shd w:val="clear" w:color="auto" w:fill="D9D9D9"/>
            <w:noWrap/>
            <w:vAlign w:val="center"/>
            <w:hideMark/>
          </w:tcPr>
          <w:p w14:paraId="0218868A"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Estonia</w:t>
            </w:r>
          </w:p>
        </w:tc>
        <w:tc>
          <w:tcPr>
            <w:tcW w:w="786" w:type="pct"/>
            <w:shd w:val="clear" w:color="auto" w:fill="D9D9D9"/>
            <w:noWrap/>
            <w:vAlign w:val="center"/>
            <w:hideMark/>
          </w:tcPr>
          <w:p w14:paraId="01EE0F5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16.91 </w:t>
            </w:r>
          </w:p>
        </w:tc>
        <w:tc>
          <w:tcPr>
            <w:tcW w:w="1091" w:type="pct"/>
            <w:shd w:val="clear" w:color="auto" w:fill="auto"/>
            <w:noWrap/>
            <w:vAlign w:val="center"/>
            <w:hideMark/>
          </w:tcPr>
          <w:p w14:paraId="24CE25D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33.82 </w:t>
            </w:r>
          </w:p>
        </w:tc>
        <w:tc>
          <w:tcPr>
            <w:tcW w:w="1091" w:type="pct"/>
            <w:shd w:val="clear" w:color="auto" w:fill="auto"/>
            <w:noWrap/>
            <w:vAlign w:val="center"/>
            <w:hideMark/>
          </w:tcPr>
          <w:p w14:paraId="138F69C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67.64 </w:t>
            </w:r>
          </w:p>
        </w:tc>
        <w:tc>
          <w:tcPr>
            <w:tcW w:w="1091" w:type="pct"/>
            <w:shd w:val="clear" w:color="auto" w:fill="auto"/>
            <w:noWrap/>
            <w:vAlign w:val="center"/>
            <w:hideMark/>
          </w:tcPr>
          <w:p w14:paraId="7FDA732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101.45 </w:t>
            </w:r>
          </w:p>
        </w:tc>
      </w:tr>
      <w:tr w:rsidR="00A046DD" w:rsidRPr="00532C20" w14:paraId="025B0E51" w14:textId="77777777">
        <w:trPr>
          <w:trHeight w:val="20"/>
        </w:trPr>
        <w:tc>
          <w:tcPr>
            <w:tcW w:w="941" w:type="pct"/>
            <w:shd w:val="clear" w:color="auto" w:fill="D9D9D9"/>
            <w:noWrap/>
            <w:vAlign w:val="center"/>
            <w:hideMark/>
          </w:tcPr>
          <w:p w14:paraId="08482230"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Finland</w:t>
            </w:r>
          </w:p>
        </w:tc>
        <w:tc>
          <w:tcPr>
            <w:tcW w:w="786" w:type="pct"/>
            <w:shd w:val="clear" w:color="auto" w:fill="D9D9D9"/>
            <w:noWrap/>
            <w:vAlign w:val="center"/>
            <w:hideMark/>
          </w:tcPr>
          <w:p w14:paraId="525437B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41.02 </w:t>
            </w:r>
          </w:p>
        </w:tc>
        <w:tc>
          <w:tcPr>
            <w:tcW w:w="1091" w:type="pct"/>
            <w:shd w:val="clear" w:color="auto" w:fill="auto"/>
            <w:noWrap/>
            <w:vAlign w:val="center"/>
            <w:hideMark/>
          </w:tcPr>
          <w:p w14:paraId="03EA751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82.04 </w:t>
            </w:r>
          </w:p>
        </w:tc>
        <w:tc>
          <w:tcPr>
            <w:tcW w:w="1091" w:type="pct"/>
            <w:shd w:val="clear" w:color="auto" w:fill="auto"/>
            <w:noWrap/>
            <w:vAlign w:val="center"/>
            <w:hideMark/>
          </w:tcPr>
          <w:p w14:paraId="549AFF1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164.08 </w:t>
            </w:r>
          </w:p>
        </w:tc>
        <w:tc>
          <w:tcPr>
            <w:tcW w:w="1091" w:type="pct"/>
            <w:shd w:val="clear" w:color="auto" w:fill="auto"/>
            <w:noWrap/>
            <w:vAlign w:val="center"/>
            <w:hideMark/>
          </w:tcPr>
          <w:p w14:paraId="593932B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246.12 </w:t>
            </w:r>
          </w:p>
        </w:tc>
      </w:tr>
      <w:tr w:rsidR="00A046DD" w:rsidRPr="00532C20" w14:paraId="7B1C0478" w14:textId="77777777">
        <w:trPr>
          <w:trHeight w:val="20"/>
        </w:trPr>
        <w:tc>
          <w:tcPr>
            <w:tcW w:w="941" w:type="pct"/>
            <w:shd w:val="clear" w:color="auto" w:fill="D9D9D9"/>
            <w:noWrap/>
            <w:vAlign w:val="center"/>
            <w:hideMark/>
          </w:tcPr>
          <w:p w14:paraId="7A40F49E"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France</w:t>
            </w:r>
          </w:p>
        </w:tc>
        <w:tc>
          <w:tcPr>
            <w:tcW w:w="786" w:type="pct"/>
            <w:shd w:val="clear" w:color="auto" w:fill="D9D9D9"/>
            <w:noWrap/>
            <w:vAlign w:val="center"/>
            <w:hideMark/>
          </w:tcPr>
          <w:p w14:paraId="28F53E4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44.06 </w:t>
            </w:r>
          </w:p>
        </w:tc>
        <w:tc>
          <w:tcPr>
            <w:tcW w:w="1091" w:type="pct"/>
            <w:shd w:val="clear" w:color="auto" w:fill="auto"/>
            <w:noWrap/>
            <w:vAlign w:val="center"/>
            <w:hideMark/>
          </w:tcPr>
          <w:p w14:paraId="6362CAF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88.11 </w:t>
            </w:r>
          </w:p>
        </w:tc>
        <w:tc>
          <w:tcPr>
            <w:tcW w:w="1091" w:type="pct"/>
            <w:shd w:val="clear" w:color="auto" w:fill="auto"/>
            <w:noWrap/>
            <w:vAlign w:val="center"/>
            <w:hideMark/>
          </w:tcPr>
          <w:p w14:paraId="6012114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176.23 </w:t>
            </w:r>
          </w:p>
        </w:tc>
        <w:tc>
          <w:tcPr>
            <w:tcW w:w="1091" w:type="pct"/>
            <w:shd w:val="clear" w:color="auto" w:fill="auto"/>
            <w:noWrap/>
            <w:vAlign w:val="center"/>
            <w:hideMark/>
          </w:tcPr>
          <w:p w14:paraId="302E4BB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264.34 </w:t>
            </w:r>
          </w:p>
        </w:tc>
      </w:tr>
      <w:tr w:rsidR="00A046DD" w:rsidRPr="00532C20" w14:paraId="17EA9AF1" w14:textId="77777777">
        <w:trPr>
          <w:trHeight w:val="20"/>
        </w:trPr>
        <w:tc>
          <w:tcPr>
            <w:tcW w:w="941" w:type="pct"/>
            <w:shd w:val="clear" w:color="auto" w:fill="D9D9D9"/>
            <w:noWrap/>
            <w:vAlign w:val="center"/>
            <w:hideMark/>
          </w:tcPr>
          <w:p w14:paraId="7CE470FE"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Germany</w:t>
            </w:r>
          </w:p>
        </w:tc>
        <w:tc>
          <w:tcPr>
            <w:tcW w:w="786" w:type="pct"/>
            <w:shd w:val="clear" w:color="auto" w:fill="D9D9D9"/>
            <w:noWrap/>
            <w:vAlign w:val="center"/>
            <w:hideMark/>
          </w:tcPr>
          <w:p w14:paraId="62CFB4C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46.81 </w:t>
            </w:r>
          </w:p>
        </w:tc>
        <w:tc>
          <w:tcPr>
            <w:tcW w:w="1091" w:type="pct"/>
            <w:shd w:val="clear" w:color="auto" w:fill="auto"/>
            <w:noWrap/>
            <w:vAlign w:val="center"/>
            <w:hideMark/>
          </w:tcPr>
          <w:p w14:paraId="55576E3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93.61 </w:t>
            </w:r>
          </w:p>
        </w:tc>
        <w:tc>
          <w:tcPr>
            <w:tcW w:w="1091" w:type="pct"/>
            <w:shd w:val="clear" w:color="auto" w:fill="auto"/>
            <w:noWrap/>
            <w:vAlign w:val="center"/>
            <w:hideMark/>
          </w:tcPr>
          <w:p w14:paraId="162D179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187.23 </w:t>
            </w:r>
          </w:p>
        </w:tc>
        <w:tc>
          <w:tcPr>
            <w:tcW w:w="1091" w:type="pct"/>
            <w:shd w:val="clear" w:color="auto" w:fill="auto"/>
            <w:noWrap/>
            <w:vAlign w:val="center"/>
            <w:hideMark/>
          </w:tcPr>
          <w:p w14:paraId="5AEED83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280.84 </w:t>
            </w:r>
          </w:p>
        </w:tc>
      </w:tr>
      <w:tr w:rsidR="00A046DD" w:rsidRPr="00532C20" w14:paraId="568E9A77" w14:textId="77777777">
        <w:trPr>
          <w:trHeight w:val="20"/>
        </w:trPr>
        <w:tc>
          <w:tcPr>
            <w:tcW w:w="941" w:type="pct"/>
            <w:shd w:val="clear" w:color="auto" w:fill="D9D9D9"/>
            <w:noWrap/>
            <w:vAlign w:val="center"/>
            <w:hideMark/>
          </w:tcPr>
          <w:p w14:paraId="1E46CFEB"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Greece</w:t>
            </w:r>
          </w:p>
        </w:tc>
        <w:tc>
          <w:tcPr>
            <w:tcW w:w="786" w:type="pct"/>
            <w:shd w:val="clear" w:color="auto" w:fill="D9D9D9"/>
            <w:noWrap/>
            <w:vAlign w:val="center"/>
            <w:hideMark/>
          </w:tcPr>
          <w:p w14:paraId="1DA31EF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21.74 </w:t>
            </w:r>
          </w:p>
        </w:tc>
        <w:tc>
          <w:tcPr>
            <w:tcW w:w="1091" w:type="pct"/>
            <w:shd w:val="clear" w:color="auto" w:fill="auto"/>
            <w:noWrap/>
            <w:vAlign w:val="center"/>
            <w:hideMark/>
          </w:tcPr>
          <w:p w14:paraId="15E7FD9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43.49 </w:t>
            </w:r>
          </w:p>
        </w:tc>
        <w:tc>
          <w:tcPr>
            <w:tcW w:w="1091" w:type="pct"/>
            <w:shd w:val="clear" w:color="auto" w:fill="auto"/>
            <w:noWrap/>
            <w:vAlign w:val="center"/>
            <w:hideMark/>
          </w:tcPr>
          <w:p w14:paraId="7FF7659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86.98 </w:t>
            </w:r>
          </w:p>
        </w:tc>
        <w:tc>
          <w:tcPr>
            <w:tcW w:w="1091" w:type="pct"/>
            <w:shd w:val="clear" w:color="auto" w:fill="auto"/>
            <w:noWrap/>
            <w:vAlign w:val="center"/>
            <w:hideMark/>
          </w:tcPr>
          <w:p w14:paraId="51020BE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130.46 </w:t>
            </w:r>
          </w:p>
        </w:tc>
      </w:tr>
      <w:tr w:rsidR="00A046DD" w:rsidRPr="00532C20" w14:paraId="78CE7B15" w14:textId="77777777">
        <w:trPr>
          <w:trHeight w:val="20"/>
        </w:trPr>
        <w:tc>
          <w:tcPr>
            <w:tcW w:w="941" w:type="pct"/>
            <w:shd w:val="clear" w:color="auto" w:fill="D9D9D9"/>
            <w:noWrap/>
            <w:vAlign w:val="center"/>
            <w:hideMark/>
          </w:tcPr>
          <w:p w14:paraId="37C8BE5E"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Hungary</w:t>
            </w:r>
          </w:p>
        </w:tc>
        <w:tc>
          <w:tcPr>
            <w:tcW w:w="786" w:type="pct"/>
            <w:shd w:val="clear" w:color="auto" w:fill="D9D9D9"/>
            <w:noWrap/>
            <w:vAlign w:val="center"/>
            <w:hideMark/>
          </w:tcPr>
          <w:p w14:paraId="2B3BEEA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12.16 </w:t>
            </w:r>
          </w:p>
        </w:tc>
        <w:tc>
          <w:tcPr>
            <w:tcW w:w="1091" w:type="pct"/>
            <w:shd w:val="clear" w:color="auto" w:fill="auto"/>
            <w:noWrap/>
            <w:vAlign w:val="center"/>
            <w:hideMark/>
          </w:tcPr>
          <w:p w14:paraId="353F094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24.31 </w:t>
            </w:r>
          </w:p>
        </w:tc>
        <w:tc>
          <w:tcPr>
            <w:tcW w:w="1091" w:type="pct"/>
            <w:shd w:val="clear" w:color="auto" w:fill="auto"/>
            <w:noWrap/>
            <w:vAlign w:val="center"/>
            <w:hideMark/>
          </w:tcPr>
          <w:p w14:paraId="4E52F03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48.63 </w:t>
            </w:r>
          </w:p>
        </w:tc>
        <w:tc>
          <w:tcPr>
            <w:tcW w:w="1091" w:type="pct"/>
            <w:shd w:val="clear" w:color="auto" w:fill="auto"/>
            <w:noWrap/>
            <w:vAlign w:val="center"/>
            <w:hideMark/>
          </w:tcPr>
          <w:p w14:paraId="5ED6FDA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72.94 </w:t>
            </w:r>
          </w:p>
        </w:tc>
      </w:tr>
      <w:tr w:rsidR="00A046DD" w:rsidRPr="00532C20" w14:paraId="6A4A4400" w14:textId="77777777">
        <w:trPr>
          <w:trHeight w:val="20"/>
        </w:trPr>
        <w:tc>
          <w:tcPr>
            <w:tcW w:w="941" w:type="pct"/>
            <w:shd w:val="clear" w:color="auto" w:fill="D9D9D9"/>
            <w:noWrap/>
            <w:vAlign w:val="center"/>
            <w:hideMark/>
          </w:tcPr>
          <w:p w14:paraId="2454DF66"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Ireland</w:t>
            </w:r>
          </w:p>
        </w:tc>
        <w:tc>
          <w:tcPr>
            <w:tcW w:w="786" w:type="pct"/>
            <w:shd w:val="clear" w:color="auto" w:fill="D9D9D9"/>
            <w:noWrap/>
            <w:vAlign w:val="center"/>
            <w:hideMark/>
          </w:tcPr>
          <w:p w14:paraId="670B0ED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48.08 </w:t>
            </w:r>
          </w:p>
        </w:tc>
        <w:tc>
          <w:tcPr>
            <w:tcW w:w="1091" w:type="pct"/>
            <w:shd w:val="clear" w:color="auto" w:fill="auto"/>
            <w:noWrap/>
            <w:vAlign w:val="center"/>
            <w:hideMark/>
          </w:tcPr>
          <w:p w14:paraId="2E443BB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96.16 </w:t>
            </w:r>
          </w:p>
        </w:tc>
        <w:tc>
          <w:tcPr>
            <w:tcW w:w="1091" w:type="pct"/>
            <w:shd w:val="clear" w:color="auto" w:fill="auto"/>
            <w:noWrap/>
            <w:vAlign w:val="center"/>
            <w:hideMark/>
          </w:tcPr>
          <w:p w14:paraId="0AB2F85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192.32 </w:t>
            </w:r>
          </w:p>
        </w:tc>
        <w:tc>
          <w:tcPr>
            <w:tcW w:w="1091" w:type="pct"/>
            <w:shd w:val="clear" w:color="auto" w:fill="auto"/>
            <w:noWrap/>
            <w:vAlign w:val="center"/>
            <w:hideMark/>
          </w:tcPr>
          <w:p w14:paraId="0EEE62A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288.48 </w:t>
            </w:r>
          </w:p>
        </w:tc>
      </w:tr>
      <w:tr w:rsidR="00A046DD" w:rsidRPr="00532C20" w14:paraId="3E5F1EDF" w14:textId="77777777">
        <w:trPr>
          <w:trHeight w:val="20"/>
        </w:trPr>
        <w:tc>
          <w:tcPr>
            <w:tcW w:w="941" w:type="pct"/>
            <w:shd w:val="clear" w:color="auto" w:fill="D9D9D9"/>
            <w:noWrap/>
            <w:vAlign w:val="center"/>
            <w:hideMark/>
          </w:tcPr>
          <w:p w14:paraId="3E1FB6D3"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Italy</w:t>
            </w:r>
          </w:p>
        </w:tc>
        <w:tc>
          <w:tcPr>
            <w:tcW w:w="786" w:type="pct"/>
            <w:shd w:val="clear" w:color="auto" w:fill="D9D9D9"/>
            <w:noWrap/>
            <w:vAlign w:val="center"/>
            <w:hideMark/>
          </w:tcPr>
          <w:p w14:paraId="61B59C0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42.39 </w:t>
            </w:r>
          </w:p>
        </w:tc>
        <w:tc>
          <w:tcPr>
            <w:tcW w:w="1091" w:type="pct"/>
            <w:shd w:val="clear" w:color="auto" w:fill="auto"/>
            <w:noWrap/>
            <w:vAlign w:val="center"/>
            <w:hideMark/>
          </w:tcPr>
          <w:p w14:paraId="0F2FE7E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84.78 </w:t>
            </w:r>
          </w:p>
        </w:tc>
        <w:tc>
          <w:tcPr>
            <w:tcW w:w="1091" w:type="pct"/>
            <w:shd w:val="clear" w:color="auto" w:fill="auto"/>
            <w:noWrap/>
            <w:vAlign w:val="center"/>
            <w:hideMark/>
          </w:tcPr>
          <w:p w14:paraId="3BDF57B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169.55 </w:t>
            </w:r>
          </w:p>
        </w:tc>
        <w:tc>
          <w:tcPr>
            <w:tcW w:w="1091" w:type="pct"/>
            <w:shd w:val="clear" w:color="auto" w:fill="auto"/>
            <w:noWrap/>
            <w:vAlign w:val="center"/>
            <w:hideMark/>
          </w:tcPr>
          <w:p w14:paraId="0234CB1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254.33 </w:t>
            </w:r>
          </w:p>
        </w:tc>
      </w:tr>
      <w:tr w:rsidR="00A046DD" w:rsidRPr="00532C20" w14:paraId="70C80924" w14:textId="77777777">
        <w:trPr>
          <w:trHeight w:val="20"/>
        </w:trPr>
        <w:tc>
          <w:tcPr>
            <w:tcW w:w="941" w:type="pct"/>
            <w:shd w:val="clear" w:color="auto" w:fill="D9D9D9"/>
            <w:noWrap/>
            <w:vAlign w:val="center"/>
            <w:hideMark/>
          </w:tcPr>
          <w:p w14:paraId="623026BB"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Latvia</w:t>
            </w:r>
          </w:p>
        </w:tc>
        <w:tc>
          <w:tcPr>
            <w:tcW w:w="786" w:type="pct"/>
            <w:shd w:val="clear" w:color="auto" w:fill="D9D9D9"/>
            <w:noWrap/>
            <w:vAlign w:val="center"/>
            <w:hideMark/>
          </w:tcPr>
          <w:p w14:paraId="6C4ABCF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13.60 </w:t>
            </w:r>
          </w:p>
        </w:tc>
        <w:tc>
          <w:tcPr>
            <w:tcW w:w="1091" w:type="pct"/>
            <w:shd w:val="clear" w:color="auto" w:fill="auto"/>
            <w:noWrap/>
            <w:vAlign w:val="center"/>
            <w:hideMark/>
          </w:tcPr>
          <w:p w14:paraId="0A40DC5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27.21 </w:t>
            </w:r>
          </w:p>
        </w:tc>
        <w:tc>
          <w:tcPr>
            <w:tcW w:w="1091" w:type="pct"/>
            <w:shd w:val="clear" w:color="auto" w:fill="auto"/>
            <w:noWrap/>
            <w:vAlign w:val="center"/>
            <w:hideMark/>
          </w:tcPr>
          <w:p w14:paraId="7552233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54.42 </w:t>
            </w:r>
          </w:p>
        </w:tc>
        <w:tc>
          <w:tcPr>
            <w:tcW w:w="1091" w:type="pct"/>
            <w:shd w:val="clear" w:color="auto" w:fill="auto"/>
            <w:noWrap/>
            <w:vAlign w:val="center"/>
            <w:hideMark/>
          </w:tcPr>
          <w:p w14:paraId="6B1DC97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81.63 </w:t>
            </w:r>
          </w:p>
        </w:tc>
      </w:tr>
      <w:tr w:rsidR="00A046DD" w:rsidRPr="00532C20" w14:paraId="5EE3175E" w14:textId="77777777">
        <w:trPr>
          <w:trHeight w:val="20"/>
        </w:trPr>
        <w:tc>
          <w:tcPr>
            <w:tcW w:w="941" w:type="pct"/>
            <w:shd w:val="clear" w:color="auto" w:fill="D9D9D9"/>
            <w:noWrap/>
            <w:vAlign w:val="center"/>
            <w:hideMark/>
          </w:tcPr>
          <w:p w14:paraId="45139B98"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Lithuania</w:t>
            </w:r>
          </w:p>
        </w:tc>
        <w:tc>
          <w:tcPr>
            <w:tcW w:w="786" w:type="pct"/>
            <w:shd w:val="clear" w:color="auto" w:fill="D9D9D9"/>
            <w:noWrap/>
            <w:vAlign w:val="center"/>
            <w:hideMark/>
          </w:tcPr>
          <w:p w14:paraId="1C44F74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11.81 </w:t>
            </w:r>
          </w:p>
        </w:tc>
        <w:tc>
          <w:tcPr>
            <w:tcW w:w="1091" w:type="pct"/>
            <w:shd w:val="clear" w:color="auto" w:fill="auto"/>
            <w:noWrap/>
            <w:vAlign w:val="center"/>
            <w:hideMark/>
          </w:tcPr>
          <w:p w14:paraId="1CCE34B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23.62 </w:t>
            </w:r>
          </w:p>
        </w:tc>
        <w:tc>
          <w:tcPr>
            <w:tcW w:w="1091" w:type="pct"/>
            <w:shd w:val="clear" w:color="auto" w:fill="auto"/>
            <w:noWrap/>
            <w:vAlign w:val="center"/>
            <w:hideMark/>
          </w:tcPr>
          <w:p w14:paraId="2DC8D12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47.25 </w:t>
            </w:r>
          </w:p>
        </w:tc>
        <w:tc>
          <w:tcPr>
            <w:tcW w:w="1091" w:type="pct"/>
            <w:shd w:val="clear" w:color="auto" w:fill="auto"/>
            <w:noWrap/>
            <w:vAlign w:val="center"/>
            <w:hideMark/>
          </w:tcPr>
          <w:p w14:paraId="0C0CB75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70.87 </w:t>
            </w:r>
          </w:p>
        </w:tc>
      </w:tr>
      <w:tr w:rsidR="00A046DD" w:rsidRPr="00532C20" w14:paraId="59F15E94" w14:textId="77777777">
        <w:trPr>
          <w:trHeight w:val="20"/>
        </w:trPr>
        <w:tc>
          <w:tcPr>
            <w:tcW w:w="941" w:type="pct"/>
            <w:shd w:val="clear" w:color="auto" w:fill="D9D9D9"/>
            <w:noWrap/>
            <w:vAlign w:val="center"/>
            <w:hideMark/>
          </w:tcPr>
          <w:p w14:paraId="49044DE9"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Luxembourg</w:t>
            </w:r>
          </w:p>
        </w:tc>
        <w:tc>
          <w:tcPr>
            <w:tcW w:w="786" w:type="pct"/>
            <w:shd w:val="clear" w:color="auto" w:fill="D9D9D9"/>
            <w:noWrap/>
            <w:vAlign w:val="center"/>
            <w:hideMark/>
          </w:tcPr>
          <w:p w14:paraId="452DB88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46.01 </w:t>
            </w:r>
          </w:p>
        </w:tc>
        <w:tc>
          <w:tcPr>
            <w:tcW w:w="1091" w:type="pct"/>
            <w:shd w:val="clear" w:color="auto" w:fill="auto"/>
            <w:noWrap/>
            <w:vAlign w:val="center"/>
            <w:hideMark/>
          </w:tcPr>
          <w:p w14:paraId="060D584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92.02 </w:t>
            </w:r>
          </w:p>
        </w:tc>
        <w:tc>
          <w:tcPr>
            <w:tcW w:w="1091" w:type="pct"/>
            <w:shd w:val="clear" w:color="auto" w:fill="auto"/>
            <w:noWrap/>
            <w:vAlign w:val="center"/>
            <w:hideMark/>
          </w:tcPr>
          <w:p w14:paraId="48FF927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184.04 </w:t>
            </w:r>
          </w:p>
        </w:tc>
        <w:tc>
          <w:tcPr>
            <w:tcW w:w="1091" w:type="pct"/>
            <w:shd w:val="clear" w:color="auto" w:fill="auto"/>
            <w:noWrap/>
            <w:vAlign w:val="center"/>
            <w:hideMark/>
          </w:tcPr>
          <w:p w14:paraId="0FA221A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276.07 </w:t>
            </w:r>
          </w:p>
        </w:tc>
      </w:tr>
      <w:tr w:rsidR="00A046DD" w:rsidRPr="00532C20" w14:paraId="31A5C44B" w14:textId="77777777">
        <w:trPr>
          <w:trHeight w:val="20"/>
        </w:trPr>
        <w:tc>
          <w:tcPr>
            <w:tcW w:w="941" w:type="pct"/>
            <w:shd w:val="clear" w:color="auto" w:fill="D9D9D9"/>
            <w:noWrap/>
            <w:vAlign w:val="center"/>
            <w:hideMark/>
          </w:tcPr>
          <w:p w14:paraId="1BC630FB"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Malta</w:t>
            </w:r>
          </w:p>
        </w:tc>
        <w:tc>
          <w:tcPr>
            <w:tcW w:w="786" w:type="pct"/>
            <w:shd w:val="clear" w:color="auto" w:fill="D9D9D9"/>
            <w:noWrap/>
            <w:vAlign w:val="center"/>
            <w:hideMark/>
          </w:tcPr>
          <w:p w14:paraId="1D51BF2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20.30 </w:t>
            </w:r>
          </w:p>
        </w:tc>
        <w:tc>
          <w:tcPr>
            <w:tcW w:w="1091" w:type="pct"/>
            <w:shd w:val="clear" w:color="auto" w:fill="auto"/>
            <w:noWrap/>
            <w:vAlign w:val="center"/>
            <w:hideMark/>
          </w:tcPr>
          <w:p w14:paraId="641F67A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40.60 </w:t>
            </w:r>
          </w:p>
        </w:tc>
        <w:tc>
          <w:tcPr>
            <w:tcW w:w="1091" w:type="pct"/>
            <w:shd w:val="clear" w:color="auto" w:fill="auto"/>
            <w:noWrap/>
            <w:vAlign w:val="center"/>
            <w:hideMark/>
          </w:tcPr>
          <w:p w14:paraId="23D850C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81.20 </w:t>
            </w:r>
          </w:p>
        </w:tc>
        <w:tc>
          <w:tcPr>
            <w:tcW w:w="1091" w:type="pct"/>
            <w:shd w:val="clear" w:color="auto" w:fill="auto"/>
            <w:noWrap/>
            <w:vAlign w:val="center"/>
            <w:hideMark/>
          </w:tcPr>
          <w:p w14:paraId="3C9EC2D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121.81 </w:t>
            </w:r>
          </w:p>
        </w:tc>
      </w:tr>
      <w:tr w:rsidR="00A046DD" w:rsidRPr="00532C20" w14:paraId="2060C708" w14:textId="77777777">
        <w:trPr>
          <w:trHeight w:val="20"/>
        </w:trPr>
        <w:tc>
          <w:tcPr>
            <w:tcW w:w="941" w:type="pct"/>
            <w:shd w:val="clear" w:color="auto" w:fill="D9D9D9"/>
            <w:noWrap/>
            <w:vAlign w:val="center"/>
            <w:hideMark/>
          </w:tcPr>
          <w:p w14:paraId="3F683355"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Netherlands</w:t>
            </w:r>
          </w:p>
        </w:tc>
        <w:tc>
          <w:tcPr>
            <w:tcW w:w="786" w:type="pct"/>
            <w:shd w:val="clear" w:color="auto" w:fill="D9D9D9"/>
            <w:noWrap/>
            <w:vAlign w:val="center"/>
            <w:hideMark/>
          </w:tcPr>
          <w:p w14:paraId="1B8625A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41.76 </w:t>
            </w:r>
          </w:p>
        </w:tc>
        <w:tc>
          <w:tcPr>
            <w:tcW w:w="1091" w:type="pct"/>
            <w:shd w:val="clear" w:color="auto" w:fill="auto"/>
            <w:noWrap/>
            <w:vAlign w:val="center"/>
            <w:hideMark/>
          </w:tcPr>
          <w:p w14:paraId="045F9FD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83.53 </w:t>
            </w:r>
          </w:p>
        </w:tc>
        <w:tc>
          <w:tcPr>
            <w:tcW w:w="1091" w:type="pct"/>
            <w:shd w:val="clear" w:color="auto" w:fill="auto"/>
            <w:noWrap/>
            <w:vAlign w:val="center"/>
            <w:hideMark/>
          </w:tcPr>
          <w:p w14:paraId="638292C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167.06 </w:t>
            </w:r>
          </w:p>
        </w:tc>
        <w:tc>
          <w:tcPr>
            <w:tcW w:w="1091" w:type="pct"/>
            <w:shd w:val="clear" w:color="auto" w:fill="auto"/>
            <w:noWrap/>
            <w:vAlign w:val="center"/>
            <w:hideMark/>
          </w:tcPr>
          <w:p w14:paraId="2344C5B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250.59 </w:t>
            </w:r>
          </w:p>
        </w:tc>
      </w:tr>
      <w:tr w:rsidR="00A046DD" w:rsidRPr="00532C20" w14:paraId="5D5DFDF4" w14:textId="77777777">
        <w:trPr>
          <w:trHeight w:val="20"/>
        </w:trPr>
        <w:tc>
          <w:tcPr>
            <w:tcW w:w="941" w:type="pct"/>
            <w:shd w:val="clear" w:color="auto" w:fill="D9D9D9"/>
            <w:noWrap/>
            <w:vAlign w:val="center"/>
            <w:hideMark/>
          </w:tcPr>
          <w:p w14:paraId="3BC04C6F"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Poland</w:t>
            </w:r>
          </w:p>
        </w:tc>
        <w:tc>
          <w:tcPr>
            <w:tcW w:w="786" w:type="pct"/>
            <w:shd w:val="clear" w:color="auto" w:fill="D9D9D9"/>
            <w:noWrap/>
            <w:vAlign w:val="center"/>
            <w:hideMark/>
          </w:tcPr>
          <w:p w14:paraId="5B40FF9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13.19 </w:t>
            </w:r>
          </w:p>
        </w:tc>
        <w:tc>
          <w:tcPr>
            <w:tcW w:w="1091" w:type="pct"/>
            <w:shd w:val="clear" w:color="auto" w:fill="auto"/>
            <w:noWrap/>
            <w:vAlign w:val="center"/>
            <w:hideMark/>
          </w:tcPr>
          <w:p w14:paraId="6799FF5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26.38 </w:t>
            </w:r>
          </w:p>
        </w:tc>
        <w:tc>
          <w:tcPr>
            <w:tcW w:w="1091" w:type="pct"/>
            <w:shd w:val="clear" w:color="auto" w:fill="auto"/>
            <w:noWrap/>
            <w:vAlign w:val="center"/>
            <w:hideMark/>
          </w:tcPr>
          <w:p w14:paraId="19E5DBB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52.76 </w:t>
            </w:r>
          </w:p>
        </w:tc>
        <w:tc>
          <w:tcPr>
            <w:tcW w:w="1091" w:type="pct"/>
            <w:shd w:val="clear" w:color="auto" w:fill="auto"/>
            <w:noWrap/>
            <w:vAlign w:val="center"/>
            <w:hideMark/>
          </w:tcPr>
          <w:p w14:paraId="222AC1E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79.14 </w:t>
            </w:r>
          </w:p>
        </w:tc>
      </w:tr>
      <w:tr w:rsidR="00A046DD" w:rsidRPr="00532C20" w14:paraId="3CB85840" w14:textId="77777777">
        <w:trPr>
          <w:trHeight w:val="20"/>
        </w:trPr>
        <w:tc>
          <w:tcPr>
            <w:tcW w:w="941" w:type="pct"/>
            <w:shd w:val="clear" w:color="auto" w:fill="D9D9D9"/>
            <w:noWrap/>
            <w:vAlign w:val="center"/>
            <w:hideMark/>
          </w:tcPr>
          <w:p w14:paraId="79E47292"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Portugal</w:t>
            </w:r>
          </w:p>
        </w:tc>
        <w:tc>
          <w:tcPr>
            <w:tcW w:w="786" w:type="pct"/>
            <w:shd w:val="clear" w:color="auto" w:fill="D9D9D9"/>
            <w:noWrap/>
            <w:vAlign w:val="center"/>
            <w:hideMark/>
          </w:tcPr>
          <w:p w14:paraId="4C0C51A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20.77 </w:t>
            </w:r>
          </w:p>
        </w:tc>
        <w:tc>
          <w:tcPr>
            <w:tcW w:w="1091" w:type="pct"/>
            <w:shd w:val="clear" w:color="auto" w:fill="auto"/>
            <w:noWrap/>
            <w:vAlign w:val="center"/>
            <w:hideMark/>
          </w:tcPr>
          <w:p w14:paraId="0FA6902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41.53 </w:t>
            </w:r>
          </w:p>
        </w:tc>
        <w:tc>
          <w:tcPr>
            <w:tcW w:w="1091" w:type="pct"/>
            <w:shd w:val="clear" w:color="auto" w:fill="auto"/>
            <w:noWrap/>
            <w:vAlign w:val="center"/>
            <w:hideMark/>
          </w:tcPr>
          <w:p w14:paraId="03F4D90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83.06 </w:t>
            </w:r>
          </w:p>
        </w:tc>
        <w:tc>
          <w:tcPr>
            <w:tcW w:w="1091" w:type="pct"/>
            <w:shd w:val="clear" w:color="auto" w:fill="auto"/>
            <w:noWrap/>
            <w:vAlign w:val="center"/>
            <w:hideMark/>
          </w:tcPr>
          <w:p w14:paraId="63367F2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124.59 </w:t>
            </w:r>
          </w:p>
        </w:tc>
      </w:tr>
      <w:tr w:rsidR="00A046DD" w:rsidRPr="00532C20" w14:paraId="0705B446" w14:textId="77777777">
        <w:trPr>
          <w:trHeight w:val="20"/>
        </w:trPr>
        <w:tc>
          <w:tcPr>
            <w:tcW w:w="941" w:type="pct"/>
            <w:shd w:val="clear" w:color="auto" w:fill="D9D9D9"/>
            <w:noWrap/>
            <w:vAlign w:val="center"/>
            <w:hideMark/>
          </w:tcPr>
          <w:p w14:paraId="071E76BB"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Romania</w:t>
            </w:r>
          </w:p>
        </w:tc>
        <w:tc>
          <w:tcPr>
            <w:tcW w:w="786" w:type="pct"/>
            <w:shd w:val="clear" w:color="auto" w:fill="D9D9D9"/>
            <w:noWrap/>
            <w:vAlign w:val="center"/>
            <w:hideMark/>
          </w:tcPr>
          <w:p w14:paraId="36BD917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12.92 </w:t>
            </w:r>
          </w:p>
        </w:tc>
        <w:tc>
          <w:tcPr>
            <w:tcW w:w="1091" w:type="pct"/>
            <w:shd w:val="clear" w:color="auto" w:fill="auto"/>
            <w:noWrap/>
            <w:vAlign w:val="center"/>
            <w:hideMark/>
          </w:tcPr>
          <w:p w14:paraId="2183530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25.84 </w:t>
            </w:r>
          </w:p>
        </w:tc>
        <w:tc>
          <w:tcPr>
            <w:tcW w:w="1091" w:type="pct"/>
            <w:shd w:val="clear" w:color="auto" w:fill="auto"/>
            <w:noWrap/>
            <w:vAlign w:val="center"/>
            <w:hideMark/>
          </w:tcPr>
          <w:p w14:paraId="461545F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51.68 </w:t>
            </w:r>
          </w:p>
        </w:tc>
        <w:tc>
          <w:tcPr>
            <w:tcW w:w="1091" w:type="pct"/>
            <w:shd w:val="clear" w:color="auto" w:fill="auto"/>
            <w:noWrap/>
            <w:vAlign w:val="center"/>
            <w:hideMark/>
          </w:tcPr>
          <w:p w14:paraId="392978A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77.52 </w:t>
            </w:r>
          </w:p>
        </w:tc>
      </w:tr>
      <w:tr w:rsidR="00A046DD" w:rsidRPr="00532C20" w14:paraId="0BB3E1B1" w14:textId="77777777">
        <w:trPr>
          <w:trHeight w:val="20"/>
        </w:trPr>
        <w:tc>
          <w:tcPr>
            <w:tcW w:w="941" w:type="pct"/>
            <w:shd w:val="clear" w:color="auto" w:fill="D9D9D9"/>
            <w:noWrap/>
            <w:vAlign w:val="center"/>
            <w:hideMark/>
          </w:tcPr>
          <w:p w14:paraId="00E1979B"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Slovakia</w:t>
            </w:r>
          </w:p>
        </w:tc>
        <w:tc>
          <w:tcPr>
            <w:tcW w:w="786" w:type="pct"/>
            <w:shd w:val="clear" w:color="auto" w:fill="D9D9D9"/>
            <w:noWrap/>
            <w:vAlign w:val="center"/>
            <w:hideMark/>
          </w:tcPr>
          <w:p w14:paraId="6981D54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14.27 </w:t>
            </w:r>
          </w:p>
        </w:tc>
        <w:tc>
          <w:tcPr>
            <w:tcW w:w="1091" w:type="pct"/>
            <w:shd w:val="clear" w:color="auto" w:fill="auto"/>
            <w:noWrap/>
            <w:vAlign w:val="center"/>
            <w:hideMark/>
          </w:tcPr>
          <w:p w14:paraId="34E0A31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28.55 </w:t>
            </w:r>
          </w:p>
        </w:tc>
        <w:tc>
          <w:tcPr>
            <w:tcW w:w="1091" w:type="pct"/>
            <w:shd w:val="clear" w:color="auto" w:fill="auto"/>
            <w:noWrap/>
            <w:vAlign w:val="center"/>
            <w:hideMark/>
          </w:tcPr>
          <w:p w14:paraId="28DDB6E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57.09 </w:t>
            </w:r>
          </w:p>
        </w:tc>
        <w:tc>
          <w:tcPr>
            <w:tcW w:w="1091" w:type="pct"/>
            <w:shd w:val="clear" w:color="auto" w:fill="auto"/>
            <w:noWrap/>
            <w:vAlign w:val="center"/>
            <w:hideMark/>
          </w:tcPr>
          <w:p w14:paraId="5CBE4D9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85.64 </w:t>
            </w:r>
          </w:p>
        </w:tc>
      </w:tr>
      <w:tr w:rsidR="00A046DD" w:rsidRPr="00532C20" w14:paraId="5CD1D75F" w14:textId="77777777">
        <w:trPr>
          <w:trHeight w:val="20"/>
        </w:trPr>
        <w:tc>
          <w:tcPr>
            <w:tcW w:w="941" w:type="pct"/>
            <w:shd w:val="clear" w:color="auto" w:fill="D9D9D9"/>
            <w:noWrap/>
            <w:vAlign w:val="center"/>
            <w:hideMark/>
          </w:tcPr>
          <w:p w14:paraId="0EE6077D"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Slovenia</w:t>
            </w:r>
          </w:p>
        </w:tc>
        <w:tc>
          <w:tcPr>
            <w:tcW w:w="786" w:type="pct"/>
            <w:shd w:val="clear" w:color="auto" w:fill="D9D9D9"/>
            <w:noWrap/>
            <w:vAlign w:val="center"/>
            <w:hideMark/>
          </w:tcPr>
          <w:p w14:paraId="29BA052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19.51 </w:t>
            </w:r>
          </w:p>
        </w:tc>
        <w:tc>
          <w:tcPr>
            <w:tcW w:w="1091" w:type="pct"/>
            <w:shd w:val="clear" w:color="auto" w:fill="auto"/>
            <w:noWrap/>
            <w:vAlign w:val="center"/>
            <w:hideMark/>
          </w:tcPr>
          <w:p w14:paraId="606377B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39.02 </w:t>
            </w:r>
          </w:p>
        </w:tc>
        <w:tc>
          <w:tcPr>
            <w:tcW w:w="1091" w:type="pct"/>
            <w:shd w:val="clear" w:color="auto" w:fill="auto"/>
            <w:noWrap/>
            <w:vAlign w:val="center"/>
            <w:hideMark/>
          </w:tcPr>
          <w:p w14:paraId="62F562B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78.04 </w:t>
            </w:r>
          </w:p>
        </w:tc>
        <w:tc>
          <w:tcPr>
            <w:tcW w:w="1091" w:type="pct"/>
            <w:shd w:val="clear" w:color="auto" w:fill="auto"/>
            <w:noWrap/>
            <w:vAlign w:val="center"/>
            <w:hideMark/>
          </w:tcPr>
          <w:p w14:paraId="7AD8737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117.05 </w:t>
            </w:r>
          </w:p>
        </w:tc>
      </w:tr>
      <w:tr w:rsidR="00A046DD" w:rsidRPr="00532C20" w14:paraId="6661ABC5" w14:textId="77777777">
        <w:trPr>
          <w:trHeight w:val="20"/>
        </w:trPr>
        <w:tc>
          <w:tcPr>
            <w:tcW w:w="941" w:type="pct"/>
            <w:shd w:val="clear" w:color="auto" w:fill="D9D9D9"/>
            <w:noWrap/>
            <w:vAlign w:val="center"/>
            <w:hideMark/>
          </w:tcPr>
          <w:p w14:paraId="79403432"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Spain</w:t>
            </w:r>
          </w:p>
        </w:tc>
        <w:tc>
          <w:tcPr>
            <w:tcW w:w="786" w:type="pct"/>
            <w:shd w:val="clear" w:color="auto" w:fill="D9D9D9"/>
            <w:noWrap/>
            <w:vAlign w:val="center"/>
            <w:hideMark/>
          </w:tcPr>
          <w:p w14:paraId="2F1F567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29.59 </w:t>
            </w:r>
          </w:p>
        </w:tc>
        <w:tc>
          <w:tcPr>
            <w:tcW w:w="1091" w:type="pct"/>
            <w:shd w:val="clear" w:color="auto" w:fill="auto"/>
            <w:noWrap/>
            <w:vAlign w:val="center"/>
            <w:hideMark/>
          </w:tcPr>
          <w:p w14:paraId="6044766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59.17 </w:t>
            </w:r>
          </w:p>
        </w:tc>
        <w:tc>
          <w:tcPr>
            <w:tcW w:w="1091" w:type="pct"/>
            <w:shd w:val="clear" w:color="auto" w:fill="auto"/>
            <w:noWrap/>
            <w:vAlign w:val="center"/>
            <w:hideMark/>
          </w:tcPr>
          <w:p w14:paraId="3D7E6A1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118.35 </w:t>
            </w:r>
          </w:p>
        </w:tc>
        <w:tc>
          <w:tcPr>
            <w:tcW w:w="1091" w:type="pct"/>
            <w:shd w:val="clear" w:color="auto" w:fill="auto"/>
            <w:noWrap/>
            <w:vAlign w:val="center"/>
            <w:hideMark/>
          </w:tcPr>
          <w:p w14:paraId="35B7C73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177.52 </w:t>
            </w:r>
          </w:p>
        </w:tc>
      </w:tr>
      <w:tr w:rsidR="00A046DD" w:rsidRPr="00532C20" w14:paraId="3BCD957D" w14:textId="77777777">
        <w:trPr>
          <w:trHeight w:val="20"/>
        </w:trPr>
        <w:tc>
          <w:tcPr>
            <w:tcW w:w="941" w:type="pct"/>
            <w:shd w:val="clear" w:color="auto" w:fill="D9D9D9"/>
            <w:noWrap/>
            <w:vAlign w:val="center"/>
            <w:hideMark/>
          </w:tcPr>
          <w:p w14:paraId="4C077FE7"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Sweden</w:t>
            </w:r>
          </w:p>
        </w:tc>
        <w:tc>
          <w:tcPr>
            <w:tcW w:w="786" w:type="pct"/>
            <w:shd w:val="clear" w:color="auto" w:fill="D9D9D9"/>
            <w:noWrap/>
            <w:vAlign w:val="center"/>
            <w:hideMark/>
          </w:tcPr>
          <w:p w14:paraId="56C2AAD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43.10 </w:t>
            </w:r>
          </w:p>
        </w:tc>
        <w:tc>
          <w:tcPr>
            <w:tcW w:w="1091" w:type="pct"/>
            <w:shd w:val="clear" w:color="auto" w:fill="auto"/>
            <w:noWrap/>
            <w:vAlign w:val="center"/>
            <w:hideMark/>
          </w:tcPr>
          <w:p w14:paraId="0521DA5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86.20 </w:t>
            </w:r>
          </w:p>
        </w:tc>
        <w:tc>
          <w:tcPr>
            <w:tcW w:w="1091" w:type="pct"/>
            <w:shd w:val="clear" w:color="auto" w:fill="auto"/>
            <w:noWrap/>
            <w:vAlign w:val="center"/>
            <w:hideMark/>
          </w:tcPr>
          <w:p w14:paraId="7EC237A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172.40 </w:t>
            </w:r>
          </w:p>
        </w:tc>
        <w:tc>
          <w:tcPr>
            <w:tcW w:w="1091" w:type="pct"/>
            <w:shd w:val="clear" w:color="auto" w:fill="auto"/>
            <w:noWrap/>
            <w:vAlign w:val="center"/>
            <w:hideMark/>
          </w:tcPr>
          <w:p w14:paraId="7BDF2CF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258.61 </w:t>
            </w:r>
          </w:p>
        </w:tc>
      </w:tr>
      <w:tr w:rsidR="00A046DD" w:rsidRPr="00532C20" w14:paraId="6D7CE9E3" w14:textId="77777777">
        <w:trPr>
          <w:trHeight w:val="20"/>
        </w:trPr>
        <w:tc>
          <w:tcPr>
            <w:tcW w:w="1727" w:type="pct"/>
            <w:gridSpan w:val="2"/>
            <w:shd w:val="clear" w:color="auto" w:fill="0C4DA2"/>
            <w:noWrap/>
            <w:vAlign w:val="bottom"/>
            <w:hideMark/>
          </w:tcPr>
          <w:p w14:paraId="58ECC36F" w14:textId="77777777" w:rsidR="00A046DD" w:rsidRPr="00313F32" w:rsidRDefault="00A046DD" w:rsidP="00A046DD">
            <w:pPr>
              <w:spacing w:after="0" w:line="240" w:lineRule="auto"/>
              <w:jc w:val="right"/>
              <w:rPr>
                <w:rFonts w:ascii="Times New Roman" w:eastAsia="Times New Roman" w:hAnsi="Times New Roman" w:cs="Times New Roman"/>
                <w:b/>
                <w:noProof/>
                <w:color w:val="FFFFFF" w:themeColor="background1"/>
                <w:sz w:val="24"/>
                <w:szCs w:val="24"/>
              </w:rPr>
            </w:pPr>
            <w:r w:rsidRPr="00313F32">
              <w:rPr>
                <w:rFonts w:ascii="Times New Roman" w:eastAsia="Times New Roman" w:hAnsi="Times New Roman" w:cs="Times New Roman"/>
                <w:b/>
                <w:noProof/>
                <w:color w:val="FFFFFF" w:themeColor="background1"/>
                <w:sz w:val="24"/>
                <w:szCs w:val="24"/>
              </w:rPr>
              <w:t>Total:</w:t>
            </w:r>
          </w:p>
        </w:tc>
        <w:tc>
          <w:tcPr>
            <w:tcW w:w="1091" w:type="pct"/>
            <w:shd w:val="clear" w:color="auto" w:fill="D9D9D9"/>
            <w:noWrap/>
            <w:vAlign w:val="center"/>
            <w:hideMark/>
          </w:tcPr>
          <w:p w14:paraId="0E12702A"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1,533.06 </w:t>
            </w:r>
          </w:p>
        </w:tc>
        <w:tc>
          <w:tcPr>
            <w:tcW w:w="1091" w:type="pct"/>
            <w:shd w:val="clear" w:color="auto" w:fill="D9D9D9"/>
            <w:noWrap/>
            <w:vAlign w:val="center"/>
            <w:hideMark/>
          </w:tcPr>
          <w:p w14:paraId="7465B1E1"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3,066.11 </w:t>
            </w:r>
          </w:p>
        </w:tc>
        <w:tc>
          <w:tcPr>
            <w:tcW w:w="1091" w:type="pct"/>
            <w:shd w:val="clear" w:color="auto" w:fill="D9D9D9"/>
            <w:noWrap/>
            <w:vAlign w:val="center"/>
            <w:hideMark/>
          </w:tcPr>
          <w:p w14:paraId="7C65EE89"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4,599.17 </w:t>
            </w:r>
          </w:p>
        </w:tc>
      </w:tr>
    </w:tbl>
    <w:p w14:paraId="6C25ADDC" w14:textId="77777777" w:rsidR="00A046DD" w:rsidRPr="005833C4" w:rsidRDefault="00A046DD" w:rsidP="00A046DD">
      <w:pPr>
        <w:spacing w:before="120" w:after="120" w:line="240" w:lineRule="auto"/>
        <w:jc w:val="both"/>
        <w:rPr>
          <w:rFonts w:ascii="Times New Roman" w:eastAsia="Times New Roman" w:hAnsi="Times New Roman" w:cs="Times New Roman"/>
          <w:noProof/>
          <w:sz w:val="20"/>
          <w:szCs w:val="20"/>
        </w:rPr>
      </w:pPr>
      <w:r w:rsidRPr="005833C4">
        <w:rPr>
          <w:rFonts w:ascii="Times New Roman" w:eastAsia="Times New Roman" w:hAnsi="Times New Roman" w:cs="Times New Roman"/>
          <w:noProof/>
          <w:sz w:val="20"/>
          <w:szCs w:val="20"/>
          <w:vertAlign w:val="superscript"/>
        </w:rPr>
        <w:t xml:space="preserve">(1) </w:t>
      </w:r>
      <w:r w:rsidRPr="005833C4">
        <w:rPr>
          <w:rFonts w:ascii="Times New Roman" w:eastAsia="Times New Roman" w:hAnsi="Times New Roman" w:cs="Times New Roman"/>
          <w:noProof/>
          <w:sz w:val="20"/>
          <w:szCs w:val="20"/>
        </w:rPr>
        <w:t>EU wage tariffs: Hourly earnings 2018 plus non-wage labour costs (NWLC) and 25% overheads (OH), per Member State and ISCO (International Standard Classification of Occupations) category, last updated January 2021. ISCO 2 covers professionals, including legal, social and cultural professionals.</w:t>
      </w:r>
    </w:p>
    <w:p w14:paraId="7C8BCF9F" w14:textId="1741D528" w:rsidR="00A046DD" w:rsidRPr="00532C20" w:rsidRDefault="00A046DD" w:rsidP="0020326D">
      <w:pPr>
        <w:pStyle w:val="ListParagraph"/>
        <w:numPr>
          <w:ilvl w:val="3"/>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Ensuring an appropriate transparency regime and register exists</w:t>
      </w:r>
    </w:p>
    <w:p w14:paraId="1AA90CF6"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This cost type can be broken down into 3 main components: i) ensuring an appropriate register/IT tool is in place; ii) maintaining the IT tool; and iii) ensuring an appropriate management, monitoring and enforcement regime is in place. Data on the nature and scale of these costs was collected through interviews with authorities from 7 Member State with an existing register (AT, BE, DE, FR, IE, LT, RO) and 2 Member States (CZ, LV) without an existing register, as well as a review of documentation related to existing transparency laws and registers (e.g. Austrian Court of Audit report on the national register for lobbying and interest representation</w:t>
      </w:r>
      <w:bookmarkStart w:id="1164" w:name="_Ref147758528"/>
      <w:r w:rsidRPr="00532C20">
        <w:rPr>
          <w:rFonts w:ascii="Times New Roman" w:eastAsia="Times New Roman" w:hAnsi="Times New Roman" w:cs="Times New Roman"/>
          <w:noProof/>
          <w:sz w:val="24"/>
          <w:szCs w:val="24"/>
          <w:vertAlign w:val="superscript"/>
        </w:rPr>
        <w:footnoteReference w:id="253"/>
      </w:r>
      <w:bookmarkEnd w:id="1164"/>
      <w:r w:rsidRPr="00532C20">
        <w:rPr>
          <w:rFonts w:ascii="Times New Roman" w:eastAsia="Times New Roman" w:hAnsi="Times New Roman" w:cs="Times New Roman"/>
          <w:noProof/>
          <w:sz w:val="24"/>
          <w:szCs w:val="24"/>
        </w:rPr>
        <w:t>).</w:t>
      </w:r>
    </w:p>
    <w:p w14:paraId="6262F921"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general, Member State authorities were unable to provide concrete data, considering the costs of conducting the activities necessary to comply with the proposed legislative intervention, but, in some cases, also the costs related to the development and management of existing registers. Certain authorities could not provide information on decisions related to IT funding, as this information was not available to them (e.g. on the original costs of developing a register) or these costs were not within their remit. Furthermore, authorities stated that it was difficult to estimate future costs without knowing the full details of the proposed intervention. In this context, it is important to highlight that, in many cases, feedback was provided before the final scope of the policy options were finalised.</w:t>
      </w:r>
    </w:p>
    <w:p w14:paraId="09FC56EF"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With these caveats established, however, some data was provided across the interviewed authorities. This evidence on the nature and scale of different cost components is now presented.</w:t>
      </w:r>
    </w:p>
    <w:p w14:paraId="309FD08A" w14:textId="77777777" w:rsidR="00A046DD" w:rsidRPr="00532C20" w:rsidRDefault="00A046DD" w:rsidP="002B0B48">
      <w:pPr>
        <w:numPr>
          <w:ilvl w:val="0"/>
          <w:numId w:val="59"/>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Ensuring an appropriate register is in place</w:t>
      </w:r>
      <w:r w:rsidRPr="00532C20">
        <w:rPr>
          <w:rFonts w:ascii="Times New Roman" w:eastAsia="Times New Roman" w:hAnsi="Times New Roman" w:cs="Times New Roman"/>
          <w:noProof/>
          <w:sz w:val="24"/>
          <w:szCs w:val="24"/>
          <w:lang w:eastAsia="en-GB"/>
        </w:rPr>
        <w:t>: This will require one-off costs to be borne by Member State authorities in year 1 relating to either: i) establishing a new register (for up to 12 countries); or ii) amending an existing register (for a minimum of 15 countries). While 11 Member States currently have new or updated transparency laws for interest representation or lobbying in development, it is assumed for the purposes of this analysis that these interventions are not implemented prior to the adoption of the proposed EU legislative initiative. As further explained in the below table, it is only possible to provide examples that are indicative of the magnitude of the compliance costs.</w:t>
      </w:r>
    </w:p>
    <w:p w14:paraId="7E0FFD12" w14:textId="5C21B4E4"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bookmarkStart w:id="1165" w:name="_Toc140752088"/>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6</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Costs associated with ensuring an appropriate register is implemented</w:t>
      </w:r>
      <w:bookmarkEnd w:id="1165"/>
    </w:p>
    <w:tbl>
      <w:tblPr>
        <w:tblStyle w:val="12uCharChar17"/>
        <w:tblW w:w="0" w:type="auto"/>
        <w:shd w:val="clear" w:color="auto" w:fill="D9D9D9"/>
        <w:tblLook w:val="04A0" w:firstRow="1" w:lastRow="0" w:firstColumn="1" w:lastColumn="0" w:noHBand="0" w:noVBand="1"/>
      </w:tblPr>
      <w:tblGrid>
        <w:gridCol w:w="9016"/>
      </w:tblGrid>
      <w:tr w:rsidR="00A046DD" w:rsidRPr="00532C20" w14:paraId="63FF7F50" w14:textId="77777777">
        <w:trPr>
          <w:cnfStyle w:val="100000000000" w:firstRow="1" w:lastRow="0" w:firstColumn="0" w:lastColumn="0" w:oddVBand="0" w:evenVBand="0" w:oddHBand="0" w:evenHBand="0" w:firstRowFirstColumn="0" w:firstRowLastColumn="0" w:lastRowFirstColumn="0" w:lastRowLastColumn="0"/>
        </w:trPr>
        <w:tc>
          <w:tcPr>
            <w:tcW w:w="9016" w:type="dxa"/>
            <w:shd w:val="clear" w:color="auto" w:fill="D9D9D9"/>
          </w:tcPr>
          <w:p w14:paraId="466C8B8F" w14:textId="77777777" w:rsidR="00A046DD" w:rsidRPr="00532C20" w:rsidRDefault="00A046DD" w:rsidP="00A046DD">
            <w:pPr>
              <w:spacing w:before="120" w:after="120"/>
              <w:rPr>
                <w:rFonts w:ascii="Times New Roman" w:hAnsi="Times New Roman"/>
                <w:b/>
                <w:noProof/>
                <w:color w:val="auto"/>
                <w:sz w:val="24"/>
                <w:szCs w:val="24"/>
                <w:lang w:val="en-GB"/>
              </w:rPr>
            </w:pPr>
            <w:r w:rsidRPr="00532C20">
              <w:rPr>
                <w:rFonts w:ascii="Times New Roman" w:hAnsi="Times New Roman"/>
                <w:b/>
                <w:noProof/>
                <w:color w:val="auto"/>
                <w:sz w:val="24"/>
                <w:szCs w:val="36"/>
                <w:lang w:val="en-IE"/>
              </w:rPr>
              <w:t>Evidence on the scale of the cost: Ensuring an appropriate register is in place</w:t>
            </w:r>
          </w:p>
          <w:p w14:paraId="4D32B5B4" w14:textId="77777777" w:rsidR="00A046DD" w:rsidRPr="00532C20" w:rsidRDefault="00A046DD" w:rsidP="005833C4">
            <w:pPr>
              <w:spacing w:before="120" w:after="120"/>
              <w:jc w:val="both"/>
              <w:rPr>
                <w:rFonts w:ascii="Times New Roman" w:hAnsi="Times New Roman"/>
                <w:noProof/>
                <w:color w:val="auto"/>
                <w:sz w:val="24"/>
                <w:szCs w:val="24"/>
                <w:lang w:val="en-GB"/>
              </w:rPr>
            </w:pPr>
            <w:r w:rsidRPr="00532C20">
              <w:rPr>
                <w:rFonts w:ascii="Times New Roman" w:hAnsi="Times New Roman"/>
                <w:noProof/>
                <w:color w:val="auto"/>
                <w:sz w:val="24"/>
                <w:szCs w:val="36"/>
                <w:lang w:val="en-IE"/>
              </w:rPr>
              <w:t>Data on the initial transparency register development costs were provided in Austria, Lithuania and Germany. The Lithuanian register cost around EUR 130,000 to develop, while the costs for the development and maintenance of the German register were reported to be EUR 2-3 million. The Austrian register reportedly cost at least EUR 87,716.16 and less than EUR 100,000; however, the exact costs are not completely clear. Furthermore, the Austrian Court of Audit determined that a planned amendment to the functionality of the Austrian register would cost at least EUR 3,487.53.</w:t>
            </w:r>
          </w:p>
          <w:p w14:paraId="2D71A28B" w14:textId="77777777" w:rsidR="00A046DD" w:rsidRPr="00532C20" w:rsidRDefault="00A046DD" w:rsidP="005833C4">
            <w:pPr>
              <w:spacing w:before="120" w:after="120"/>
              <w:jc w:val="both"/>
              <w:rPr>
                <w:rFonts w:ascii="Times New Roman" w:hAnsi="Times New Roman"/>
                <w:noProof/>
                <w:color w:val="auto"/>
                <w:sz w:val="24"/>
                <w:szCs w:val="24"/>
                <w:lang w:val="en-GB"/>
              </w:rPr>
            </w:pPr>
            <w:r w:rsidRPr="00532C20">
              <w:rPr>
                <w:rFonts w:ascii="Times New Roman" w:hAnsi="Times New Roman"/>
                <w:noProof/>
                <w:color w:val="auto"/>
                <w:sz w:val="24"/>
                <w:szCs w:val="36"/>
                <w:lang w:val="en-IE"/>
              </w:rPr>
              <w:t xml:space="preserve">While these data provide useful indications of the possible scale of the costs, they are also too few and too disparate to establish a basis on which the approximate costs of developing or amending a transparency register for interest representation or lobbying can be calculated for: i) those Member States where data is not available; and ii) extrapolation to the entire EU. </w:t>
            </w:r>
          </w:p>
          <w:p w14:paraId="7B757467" w14:textId="77777777" w:rsidR="00A046DD" w:rsidRPr="00532C20" w:rsidRDefault="00A046DD" w:rsidP="005833C4">
            <w:pPr>
              <w:spacing w:before="120" w:after="120"/>
              <w:jc w:val="both"/>
              <w:rPr>
                <w:rFonts w:ascii="Times New Roman" w:hAnsi="Times New Roman"/>
                <w:noProof/>
                <w:sz w:val="24"/>
                <w:szCs w:val="24"/>
                <w:lang w:val="en-GB"/>
              </w:rPr>
            </w:pPr>
            <w:r w:rsidRPr="00532C20">
              <w:rPr>
                <w:rFonts w:ascii="Times New Roman" w:hAnsi="Times New Roman"/>
                <w:noProof/>
                <w:color w:val="auto"/>
                <w:sz w:val="24"/>
                <w:szCs w:val="36"/>
                <w:lang w:val="en-IE"/>
              </w:rPr>
              <w:t>More specifically, significant efforts have been made to adjust the known costs of both developing a new register and amending an existing register, for instance by adjusting the figures to account for the whole population or the register user population (i.e. interest representation service providers). However, this approach is limited as there is significant variance in the cost examples, both in general and in proportion to other relevant factors (e.g. user population), while the register development costs appear to be heavily dependent on the nature of the system implemented and limited technical details on the systems in place are available.</w:t>
            </w:r>
          </w:p>
        </w:tc>
      </w:tr>
    </w:tbl>
    <w:p w14:paraId="5BC40F7B" w14:textId="77777777" w:rsidR="00A046DD" w:rsidRPr="00532C20" w:rsidRDefault="00A046DD" w:rsidP="002B0B48">
      <w:pPr>
        <w:numPr>
          <w:ilvl w:val="0"/>
          <w:numId w:val="59"/>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Maintenance of the IT tool</w:t>
      </w:r>
      <w:r w:rsidRPr="00532C20">
        <w:rPr>
          <w:rFonts w:ascii="Times New Roman" w:eastAsia="Times New Roman" w:hAnsi="Times New Roman" w:cs="Times New Roman"/>
          <w:noProof/>
          <w:sz w:val="24"/>
          <w:szCs w:val="24"/>
          <w:lang w:eastAsia="en-GB"/>
        </w:rPr>
        <w:t>: Once established, Member States will be required to ensure the proper functioning of the IT tool. This will bring annual maintenance costs. It is assumed that costs related to the maintenance of the IT tool in year 1 are covered by the above equipment costs. As such, the maintenance costs will be calculated as recurrent across years 2-10 within the 10-year time horizon. The below table presents the evidence on the estimated scale of the IT maintenance costs.</w:t>
      </w:r>
    </w:p>
    <w:p w14:paraId="0B92BF59" w14:textId="2FB38768"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bookmarkStart w:id="1166" w:name="_Toc140752089"/>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7</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Costs associated with maintenance of the IT tool</w:t>
      </w:r>
      <w:bookmarkEnd w:id="1166"/>
    </w:p>
    <w:tbl>
      <w:tblPr>
        <w:tblStyle w:val="12uCharChar17"/>
        <w:tblW w:w="0" w:type="auto"/>
        <w:shd w:val="clear" w:color="auto" w:fill="D9D9D9"/>
        <w:tblLook w:val="04A0" w:firstRow="1" w:lastRow="0" w:firstColumn="1" w:lastColumn="0" w:noHBand="0" w:noVBand="1"/>
      </w:tblPr>
      <w:tblGrid>
        <w:gridCol w:w="9016"/>
      </w:tblGrid>
      <w:tr w:rsidR="00A046DD" w:rsidRPr="00532C20" w14:paraId="3F448036" w14:textId="77777777">
        <w:trPr>
          <w:cnfStyle w:val="100000000000" w:firstRow="1" w:lastRow="0" w:firstColumn="0" w:lastColumn="0" w:oddVBand="0" w:evenVBand="0" w:oddHBand="0" w:evenHBand="0" w:firstRowFirstColumn="0" w:firstRowLastColumn="0" w:lastRowFirstColumn="0" w:lastRowLastColumn="0"/>
        </w:trPr>
        <w:tc>
          <w:tcPr>
            <w:tcW w:w="9016" w:type="dxa"/>
            <w:shd w:val="clear" w:color="auto" w:fill="D9D9D9"/>
          </w:tcPr>
          <w:p w14:paraId="17C36EC2" w14:textId="77777777" w:rsidR="00A046DD" w:rsidRPr="00532C20" w:rsidRDefault="00A046DD" w:rsidP="00A046DD">
            <w:pPr>
              <w:spacing w:before="120" w:after="120"/>
              <w:rPr>
                <w:rFonts w:ascii="Times New Roman" w:hAnsi="Times New Roman"/>
                <w:b/>
                <w:noProof/>
                <w:color w:val="auto"/>
                <w:sz w:val="24"/>
                <w:szCs w:val="24"/>
                <w:lang w:val="en-GB"/>
              </w:rPr>
            </w:pPr>
            <w:r w:rsidRPr="00532C20">
              <w:rPr>
                <w:rFonts w:ascii="Times New Roman" w:hAnsi="Times New Roman"/>
                <w:b/>
                <w:noProof/>
                <w:color w:val="auto"/>
                <w:sz w:val="24"/>
                <w:szCs w:val="36"/>
                <w:lang w:val="en-IE"/>
              </w:rPr>
              <w:t>Evidence on the scale of the cost: Maintenance of the IT tool</w:t>
            </w:r>
          </w:p>
          <w:p w14:paraId="3F7CCF82" w14:textId="77777777" w:rsidR="00A046DD" w:rsidRPr="00532C20" w:rsidRDefault="00A046DD" w:rsidP="005833C4">
            <w:pPr>
              <w:spacing w:before="120" w:after="120"/>
              <w:jc w:val="both"/>
              <w:rPr>
                <w:rFonts w:ascii="Times New Roman" w:hAnsi="Times New Roman"/>
                <w:noProof/>
                <w:color w:val="auto"/>
                <w:sz w:val="24"/>
                <w:szCs w:val="24"/>
                <w:lang w:val="en-GB"/>
              </w:rPr>
            </w:pPr>
            <w:r w:rsidRPr="00532C20">
              <w:rPr>
                <w:rFonts w:ascii="Times New Roman" w:hAnsi="Times New Roman"/>
                <w:noProof/>
                <w:color w:val="auto"/>
                <w:sz w:val="24"/>
                <w:szCs w:val="36"/>
                <w:lang w:val="en-IE"/>
              </w:rPr>
              <w:t>Data on the annual maintenance costs for existing registers were provided in Lithuania (EUR 20-30,000 per year), Ireland (EUR 20-25,000 per year) and Austria (EUR 5,000 per year), while maintenance was included in the total cost of the German register provided above. On this basis, it is assumed that the Member States with existing registers will not experience a notable increase in maintenance costs due to the limited number of interest representation service providers within scope of the intervention. As such, annual IT maintenance costs will be considered as business as usual (BaU) costs for the 15 Member States with existing registers. The incremental costs in this category will therefore be borne solely by those 12 Member States that do not currently have registers.</w:t>
            </w:r>
          </w:p>
          <w:p w14:paraId="32318F8F" w14:textId="77777777" w:rsidR="00A046DD" w:rsidRPr="00532C20" w:rsidRDefault="00A046DD" w:rsidP="005833C4">
            <w:pPr>
              <w:spacing w:before="120" w:after="120"/>
              <w:jc w:val="both"/>
              <w:rPr>
                <w:rFonts w:ascii="Times New Roman" w:hAnsi="Times New Roman"/>
                <w:noProof/>
                <w:color w:val="auto"/>
                <w:sz w:val="24"/>
                <w:szCs w:val="24"/>
                <w:lang w:val="en-GB"/>
              </w:rPr>
            </w:pPr>
            <w:r w:rsidRPr="00532C20">
              <w:rPr>
                <w:rFonts w:ascii="Times New Roman" w:hAnsi="Times New Roman"/>
                <w:noProof/>
                <w:color w:val="auto"/>
                <w:sz w:val="24"/>
                <w:szCs w:val="36"/>
                <w:lang w:val="en-IE"/>
              </w:rPr>
              <w:t>However, as for the cost data related to ensuring an appropriate register is implemented, there are a range of challenges related to the extrapolation of the data on IT maintenance costs to these Member States. In particular, the scale of the costs has no notable link to the scale of the register and appears to rely on the nature of the maintenance required and the scope of the systems in place. For instance, the Lithuanian and Austrian registers have a similar number of registrants – 385 in AT versus 303 in LT – but the maintenance costs in Lithuania are reportedly up to 6x more per year than in Austria.</w:t>
            </w:r>
          </w:p>
          <w:p w14:paraId="325D38EB" w14:textId="77777777" w:rsidR="00A046DD" w:rsidRPr="00532C20" w:rsidRDefault="00A046DD" w:rsidP="005833C4">
            <w:pPr>
              <w:spacing w:before="120" w:after="120"/>
              <w:jc w:val="both"/>
              <w:rPr>
                <w:rFonts w:ascii="Times New Roman" w:hAnsi="Times New Roman"/>
                <w:noProof/>
                <w:color w:val="auto"/>
                <w:sz w:val="24"/>
                <w:szCs w:val="24"/>
                <w:lang w:val="en-GB"/>
              </w:rPr>
            </w:pPr>
            <w:r w:rsidRPr="00532C20">
              <w:rPr>
                <w:rFonts w:ascii="Times New Roman" w:hAnsi="Times New Roman"/>
                <w:noProof/>
                <w:color w:val="auto"/>
                <w:sz w:val="24"/>
                <w:szCs w:val="36"/>
                <w:lang w:val="en-IE"/>
              </w:rPr>
              <w:t>Taking rough low (EUR 5,000), middle (EUR 20,000) and high (EUR 45,000) cost scenarios, based on the data provided and the insight that more costly and complex registers exist (e.g. in Germany), it is estimated that the total incremental costs across the 12 Member State authorities without existing IT tools will be between EUR 60,000 and EUR 540,000.</w:t>
            </w:r>
          </w:p>
          <w:p w14:paraId="3D5D4C4A" w14:textId="77777777" w:rsidR="00A046DD" w:rsidRPr="00532C20" w:rsidRDefault="00A046DD" w:rsidP="005833C4">
            <w:pPr>
              <w:spacing w:before="120" w:after="120"/>
              <w:jc w:val="both"/>
              <w:rPr>
                <w:rFonts w:ascii="Times New Roman" w:hAnsi="Times New Roman"/>
                <w:noProof/>
                <w:sz w:val="24"/>
                <w:szCs w:val="24"/>
                <w:lang w:val="en-GB"/>
              </w:rPr>
            </w:pPr>
            <w:r w:rsidRPr="00532C20">
              <w:rPr>
                <w:rFonts w:ascii="Times New Roman" w:hAnsi="Times New Roman"/>
                <w:noProof/>
                <w:color w:val="auto"/>
                <w:sz w:val="24"/>
                <w:szCs w:val="36"/>
                <w:lang w:val="en-IE"/>
              </w:rPr>
              <w:t>Across years 2-10 of the 10-year time horizon, this would equate to approximately EUR 540,000 to EUR 4.86 million.</w:t>
            </w:r>
          </w:p>
        </w:tc>
      </w:tr>
    </w:tbl>
    <w:p w14:paraId="41F75C7A" w14:textId="77777777" w:rsidR="00A046DD" w:rsidRPr="00532C20" w:rsidRDefault="00A046DD" w:rsidP="002B0B48">
      <w:pPr>
        <w:numPr>
          <w:ilvl w:val="0"/>
          <w:numId w:val="59"/>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Ensuring an appropriate management, monitoring and enforcement regime is in place</w:t>
      </w:r>
      <w:r w:rsidRPr="00532C20">
        <w:rPr>
          <w:rFonts w:ascii="Times New Roman" w:eastAsia="Times New Roman" w:hAnsi="Times New Roman" w:cs="Times New Roman"/>
          <w:noProof/>
          <w:sz w:val="24"/>
          <w:szCs w:val="24"/>
          <w:lang w:eastAsia="en-GB"/>
        </w:rPr>
        <w:t>: This will require Member State authorities to bear costs in year 1 related to either: i) establishing and operating a new management, monitoring and enforcement regime; or ii) amending and operating an existing regime. These costs will then be recurrent across years 2-10. The below table presents the evidence gathered on the estimated scale of the management, monitoring and enforcement costs.</w:t>
      </w:r>
    </w:p>
    <w:p w14:paraId="49A38B63" w14:textId="7996ED78"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bookmarkStart w:id="1167" w:name="_Toc140752090"/>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8</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Costs associated with ensuring an appropriate management, monitoring and enforcement regime is implemented</w:t>
      </w:r>
      <w:bookmarkEnd w:id="1167"/>
    </w:p>
    <w:tbl>
      <w:tblPr>
        <w:tblStyle w:val="12uCharChar17"/>
        <w:tblW w:w="0" w:type="auto"/>
        <w:shd w:val="clear" w:color="auto" w:fill="D9D9D9"/>
        <w:tblLook w:val="04A0" w:firstRow="1" w:lastRow="0" w:firstColumn="1" w:lastColumn="0" w:noHBand="0" w:noVBand="1"/>
      </w:tblPr>
      <w:tblGrid>
        <w:gridCol w:w="9016"/>
      </w:tblGrid>
      <w:tr w:rsidR="00A046DD" w:rsidRPr="00532C20" w14:paraId="6C2468F9" w14:textId="77777777">
        <w:trPr>
          <w:cnfStyle w:val="100000000000" w:firstRow="1" w:lastRow="0" w:firstColumn="0" w:lastColumn="0" w:oddVBand="0" w:evenVBand="0" w:oddHBand="0" w:evenHBand="0" w:firstRowFirstColumn="0" w:firstRowLastColumn="0" w:lastRowFirstColumn="0" w:lastRowLastColumn="0"/>
        </w:trPr>
        <w:tc>
          <w:tcPr>
            <w:tcW w:w="9016" w:type="dxa"/>
            <w:shd w:val="clear" w:color="auto" w:fill="D9D9D9"/>
          </w:tcPr>
          <w:p w14:paraId="2227315B" w14:textId="77777777" w:rsidR="00A046DD" w:rsidRPr="00532C20" w:rsidRDefault="00A046DD" w:rsidP="005833C4">
            <w:pPr>
              <w:spacing w:before="120" w:after="120"/>
              <w:jc w:val="both"/>
              <w:rPr>
                <w:rFonts w:ascii="Times New Roman" w:hAnsi="Times New Roman"/>
                <w:b/>
                <w:noProof/>
                <w:color w:val="auto"/>
                <w:sz w:val="24"/>
                <w:szCs w:val="24"/>
                <w:lang w:val="en-GB"/>
              </w:rPr>
            </w:pPr>
            <w:r w:rsidRPr="00532C20">
              <w:rPr>
                <w:rFonts w:ascii="Times New Roman" w:hAnsi="Times New Roman"/>
                <w:b/>
                <w:noProof/>
                <w:color w:val="auto"/>
                <w:sz w:val="24"/>
                <w:szCs w:val="24"/>
                <w:lang w:val="en-IE"/>
              </w:rPr>
              <w:t>Evidence on the scale of the cost: Ensuring an appropriate management, monitoring and enforcement regime is implemented</w:t>
            </w:r>
          </w:p>
          <w:p w14:paraId="549D221C" w14:textId="77777777" w:rsidR="00A046DD" w:rsidRPr="00532C20" w:rsidRDefault="00A046DD" w:rsidP="005833C4">
            <w:pPr>
              <w:spacing w:before="120" w:after="120"/>
              <w:jc w:val="both"/>
              <w:rPr>
                <w:rFonts w:ascii="Times New Roman" w:hAnsi="Times New Roman"/>
                <w:noProof/>
                <w:color w:val="auto"/>
                <w:sz w:val="24"/>
                <w:szCs w:val="24"/>
                <w:lang w:val="en-GB"/>
              </w:rPr>
            </w:pPr>
            <w:r w:rsidRPr="00532C20">
              <w:rPr>
                <w:rFonts w:ascii="Times New Roman" w:hAnsi="Times New Roman"/>
                <w:noProof/>
                <w:color w:val="auto"/>
                <w:sz w:val="24"/>
                <w:szCs w:val="24"/>
                <w:lang w:val="en-IE"/>
              </w:rPr>
              <w:t>Data on the existing costs for management, monitoring and enforcement were provided by Member State authorities in 6 countries, as follows: Austria (around 1 FTE across 2 teams), Germany (around 8 FTEs), Ireland (around 4 FTEs), Lithuania (around 1.5 FTEs) and Romania (around 2 FTEs). In Austria, additional detail is provided by the Court of Audit report, which notes that 0.3 FTEs are provided by the judicial / prosecutorial service and 0.7 FTEs are provided by the general administration. Furthermore, in Germany, it was noted that the suggested changes to be implemented through the proposed legislative intervention would require an addition 2-3 FTEs.</w:t>
            </w:r>
          </w:p>
          <w:p w14:paraId="2B3272E6" w14:textId="77777777" w:rsidR="00A046DD" w:rsidRPr="00532C20" w:rsidRDefault="00A046DD" w:rsidP="005833C4">
            <w:pPr>
              <w:spacing w:before="120" w:after="120"/>
              <w:jc w:val="both"/>
              <w:rPr>
                <w:rFonts w:ascii="Times New Roman" w:hAnsi="Times New Roman"/>
                <w:noProof/>
                <w:color w:val="auto"/>
                <w:sz w:val="24"/>
                <w:szCs w:val="24"/>
                <w:lang w:val="en-GB"/>
              </w:rPr>
            </w:pPr>
            <w:r w:rsidRPr="00532C20">
              <w:rPr>
                <w:rFonts w:ascii="Times New Roman" w:hAnsi="Times New Roman"/>
                <w:noProof/>
                <w:color w:val="auto"/>
                <w:sz w:val="24"/>
                <w:szCs w:val="24"/>
                <w:lang w:val="en-IE"/>
              </w:rPr>
              <w:t xml:space="preserve">Using these data, it is possible to provide rough estimates of the human resource required for management, monitoring and enforcement across the Member States, as well as the costs associated with that resource. </w:t>
            </w:r>
            <w:r w:rsidRPr="00532C20">
              <w:rPr>
                <w:rFonts w:ascii="Times New Roman" w:hAnsi="Times New Roman"/>
                <w:noProof/>
                <w:color w:val="auto"/>
                <w:sz w:val="24"/>
                <w:szCs w:val="24"/>
              </w:rPr>
              <w:t>In this context, the following process was conducted:</w:t>
            </w:r>
          </w:p>
          <w:p w14:paraId="496EBC84" w14:textId="77777777" w:rsidR="00A046DD" w:rsidRPr="00532C20" w:rsidRDefault="00A046DD" w:rsidP="005833C4">
            <w:pPr>
              <w:numPr>
                <w:ilvl w:val="0"/>
                <w:numId w:val="59"/>
              </w:numPr>
              <w:spacing w:before="120" w:after="120"/>
              <w:jc w:val="both"/>
              <w:rPr>
                <w:rFonts w:ascii="Times New Roman" w:eastAsia="Times" w:hAnsi="Times New Roman" w:cs="Times"/>
                <w:noProof/>
                <w:color w:val="auto"/>
                <w:sz w:val="24"/>
                <w:szCs w:val="24"/>
                <w:lang w:val="en-GB" w:eastAsia="en-GB"/>
              </w:rPr>
            </w:pPr>
            <w:r w:rsidRPr="00532C20">
              <w:rPr>
                <w:rFonts w:ascii="Times New Roman" w:hAnsi="Times New Roman"/>
                <w:noProof/>
                <w:color w:val="auto"/>
                <w:sz w:val="24"/>
                <w:szCs w:val="24"/>
                <w:lang w:val="en-IE" w:eastAsia="en-GB"/>
              </w:rPr>
              <w:t>Three scenarios have been developed utilising the data from Germany on the increase in FTEs required as a result of the potential legislative intervention. These include a low (2 FTEs), middle (2.5 FTEs) and high (3 FTEs) scenario. These scenarios have been used to calculate the proportional increase in human resources in the Member States where data is available.</w:t>
            </w:r>
          </w:p>
          <w:p w14:paraId="3843016D" w14:textId="77777777" w:rsidR="00A046DD" w:rsidRPr="00532C20" w:rsidRDefault="00A046DD" w:rsidP="005833C4">
            <w:pPr>
              <w:numPr>
                <w:ilvl w:val="0"/>
                <w:numId w:val="59"/>
              </w:numPr>
              <w:spacing w:before="120" w:after="120"/>
              <w:jc w:val="both"/>
              <w:rPr>
                <w:rFonts w:ascii="Times New Roman" w:eastAsia="Times" w:hAnsi="Times New Roman" w:cs="Times"/>
                <w:noProof/>
                <w:color w:val="auto"/>
                <w:sz w:val="24"/>
                <w:szCs w:val="24"/>
                <w:lang w:val="en-GB" w:eastAsia="en-GB"/>
              </w:rPr>
            </w:pPr>
            <w:r w:rsidRPr="00532C20">
              <w:rPr>
                <w:rFonts w:ascii="Times New Roman" w:hAnsi="Times New Roman"/>
                <w:noProof/>
                <w:color w:val="auto"/>
                <w:sz w:val="24"/>
                <w:szCs w:val="24"/>
                <w:lang w:val="en-IE" w:eastAsia="en-GB"/>
              </w:rPr>
              <w:t>Building on the data from Austria, responsibility for management, monitoring and enforcement will be split between 0.3 FTEs of an ISCO 2 level professional and 0.7 FTEs of an ISCO 4 level clerk. This time split has been applied to the proportional human resource increases calculated for each scenario in each Member State. The EU wage tariffs, which combine direct labour costs and overheads, for ISCO 2 and ISCO 4 workers in each Member State were then applied to the proportions to obtain estimated costs for each scenario.</w:t>
            </w:r>
          </w:p>
          <w:p w14:paraId="7D9A7488" w14:textId="77777777" w:rsidR="00A046DD" w:rsidRPr="00532C20" w:rsidRDefault="00A046DD" w:rsidP="005833C4">
            <w:pPr>
              <w:numPr>
                <w:ilvl w:val="0"/>
                <w:numId w:val="59"/>
              </w:numPr>
              <w:spacing w:before="120" w:after="120"/>
              <w:jc w:val="both"/>
              <w:rPr>
                <w:rFonts w:ascii="Times New Roman" w:eastAsia="Times" w:hAnsi="Times New Roman" w:cs="Times"/>
                <w:noProof/>
                <w:color w:val="auto"/>
                <w:sz w:val="24"/>
                <w:szCs w:val="24"/>
                <w:lang w:val="en-GB" w:eastAsia="en-GB"/>
              </w:rPr>
            </w:pPr>
            <w:r w:rsidRPr="00532C20">
              <w:rPr>
                <w:rFonts w:ascii="Times New Roman" w:hAnsi="Times New Roman"/>
                <w:noProof/>
                <w:color w:val="auto"/>
                <w:sz w:val="24"/>
                <w:szCs w:val="24"/>
                <w:lang w:val="en-IE" w:eastAsia="en-GB"/>
              </w:rPr>
              <w:t>For the Member States where no data was available, costs were calculated based on the median cost per organisation for each scenario in the 6 Member States with data and the annual ISCO 2 and ICSO 4 labour costs.</w:t>
            </w:r>
          </w:p>
          <w:p w14:paraId="29757F9E" w14:textId="77777777" w:rsidR="00A046DD" w:rsidRPr="00532C20" w:rsidRDefault="00A046DD" w:rsidP="005833C4">
            <w:pPr>
              <w:numPr>
                <w:ilvl w:val="0"/>
                <w:numId w:val="59"/>
              </w:numPr>
              <w:spacing w:before="120" w:after="120"/>
              <w:jc w:val="both"/>
              <w:rPr>
                <w:rFonts w:ascii="Times New Roman" w:eastAsia="Times" w:hAnsi="Times New Roman" w:cs="Times"/>
                <w:noProof/>
                <w:color w:val="auto"/>
                <w:sz w:val="24"/>
                <w:szCs w:val="24"/>
                <w:lang w:val="en-GB" w:eastAsia="en-GB"/>
              </w:rPr>
            </w:pPr>
            <w:r w:rsidRPr="00532C20">
              <w:rPr>
                <w:rFonts w:ascii="Times New Roman" w:hAnsi="Times New Roman"/>
                <w:noProof/>
                <w:color w:val="auto"/>
                <w:sz w:val="24"/>
                <w:szCs w:val="24"/>
                <w:lang w:val="en-IE" w:eastAsia="en-GB"/>
              </w:rPr>
              <w:t>This requires assumptions related to the scale of the additional resource required, as well as the nature and responsibilities of the workers involved in management, monitoring and enforcement activities. In addition, the annual wages for ISCO 2 and ISCO 4 workers in each Member State were calculated using averages of 251 working days per year and 8 working hours per day.</w:t>
            </w:r>
          </w:p>
          <w:p w14:paraId="1BAD8DC4" w14:textId="77777777" w:rsidR="00A046DD" w:rsidRPr="00532C20" w:rsidRDefault="00A046DD" w:rsidP="005833C4">
            <w:pPr>
              <w:spacing w:before="120" w:after="120"/>
              <w:jc w:val="both"/>
              <w:rPr>
                <w:rFonts w:ascii="Times New Roman" w:hAnsi="Times New Roman"/>
                <w:noProof/>
                <w:sz w:val="24"/>
                <w:szCs w:val="24"/>
                <w:lang w:val="en-GB"/>
              </w:rPr>
            </w:pPr>
            <w:r w:rsidRPr="00532C20">
              <w:rPr>
                <w:rFonts w:ascii="Times New Roman" w:hAnsi="Times New Roman"/>
                <w:noProof/>
                <w:color w:val="auto"/>
                <w:sz w:val="24"/>
                <w:szCs w:val="24"/>
                <w:lang w:val="en-IE"/>
              </w:rPr>
              <w:t xml:space="preserve">On this basis, it is estimated that the incremental costs associated with the implementation of appropriate register management, monitoring and enforcement systems will cost Member State authorities between approximately EUR 565,000 and EUR 848,000 per year. As such, across the 10-year time horizon, the total costs to Member State authorities are estimated to be in the region of EUR 5.65-8.48 million. </w:t>
            </w:r>
            <w:r w:rsidRPr="00532C20">
              <w:rPr>
                <w:rFonts w:ascii="Times New Roman" w:hAnsi="Times New Roman"/>
                <w:noProof/>
                <w:color w:val="auto"/>
                <w:sz w:val="24"/>
                <w:szCs w:val="24"/>
              </w:rPr>
              <w:t>The estimates are presented in the below table.</w:t>
            </w:r>
          </w:p>
        </w:tc>
      </w:tr>
    </w:tbl>
    <w:p w14:paraId="4BDC1151" w14:textId="0FF205BE"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bookmarkStart w:id="1168" w:name="_Toc140752091"/>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9</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Estimated annual incremental costs of register management, monitoring and enforcement</w:t>
      </w:r>
      <w:bookmarkEnd w:id="11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3"/>
        <w:gridCol w:w="2521"/>
        <w:gridCol w:w="2521"/>
        <w:gridCol w:w="2521"/>
      </w:tblGrid>
      <w:tr w:rsidR="00A046DD" w:rsidRPr="00532C20" w14:paraId="35942000" w14:textId="77777777" w:rsidTr="00313F32">
        <w:trPr>
          <w:trHeight w:val="20"/>
          <w:tblHeader/>
        </w:trPr>
        <w:tc>
          <w:tcPr>
            <w:tcW w:w="805" w:type="pct"/>
            <w:shd w:val="clear" w:color="auto" w:fill="002060"/>
            <w:noWrap/>
            <w:vAlign w:val="center"/>
            <w:hideMark/>
          </w:tcPr>
          <w:p w14:paraId="549129D0" w14:textId="77777777" w:rsidR="00A046DD" w:rsidRPr="00532C20" w:rsidRDefault="00A046DD" w:rsidP="00313F32">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Country</w:t>
            </w:r>
          </w:p>
        </w:tc>
        <w:tc>
          <w:tcPr>
            <w:tcW w:w="1398" w:type="pct"/>
            <w:shd w:val="clear" w:color="auto" w:fill="002060"/>
            <w:noWrap/>
            <w:vAlign w:val="bottom"/>
            <w:hideMark/>
          </w:tcPr>
          <w:p w14:paraId="5FFE0526"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Low scenario (EUR per year)</w:t>
            </w:r>
          </w:p>
        </w:tc>
        <w:tc>
          <w:tcPr>
            <w:tcW w:w="1398" w:type="pct"/>
            <w:shd w:val="clear" w:color="auto" w:fill="002060"/>
            <w:noWrap/>
            <w:vAlign w:val="bottom"/>
            <w:hideMark/>
          </w:tcPr>
          <w:p w14:paraId="2F1874EC"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Middle scenario (EUR per year)</w:t>
            </w:r>
          </w:p>
        </w:tc>
        <w:tc>
          <w:tcPr>
            <w:tcW w:w="1398" w:type="pct"/>
            <w:shd w:val="clear" w:color="auto" w:fill="002060"/>
            <w:noWrap/>
            <w:vAlign w:val="bottom"/>
            <w:hideMark/>
          </w:tcPr>
          <w:p w14:paraId="584A4DB6"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High scenario (EUR per year)</w:t>
            </w:r>
          </w:p>
        </w:tc>
      </w:tr>
      <w:tr w:rsidR="00A046DD" w:rsidRPr="00532C20" w14:paraId="7ADD8D06" w14:textId="77777777">
        <w:trPr>
          <w:trHeight w:val="20"/>
        </w:trPr>
        <w:tc>
          <w:tcPr>
            <w:tcW w:w="805" w:type="pct"/>
            <w:shd w:val="clear" w:color="auto" w:fill="D9D9D9"/>
            <w:noWrap/>
            <w:vAlign w:val="bottom"/>
            <w:hideMark/>
          </w:tcPr>
          <w:p w14:paraId="0E9C7486"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Austria</w:t>
            </w:r>
          </w:p>
        </w:tc>
        <w:tc>
          <w:tcPr>
            <w:tcW w:w="1398" w:type="pct"/>
            <w:shd w:val="clear" w:color="auto" w:fill="auto"/>
            <w:noWrap/>
            <w:vAlign w:val="bottom"/>
            <w:hideMark/>
          </w:tcPr>
          <w:p w14:paraId="232EE7F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16,200.60 </w:t>
            </w:r>
          </w:p>
        </w:tc>
        <w:tc>
          <w:tcPr>
            <w:tcW w:w="1398" w:type="pct"/>
            <w:shd w:val="clear" w:color="auto" w:fill="auto"/>
            <w:noWrap/>
            <w:vAlign w:val="bottom"/>
            <w:hideMark/>
          </w:tcPr>
          <w:p w14:paraId="5985937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20,250.75 </w:t>
            </w:r>
          </w:p>
        </w:tc>
        <w:tc>
          <w:tcPr>
            <w:tcW w:w="1398" w:type="pct"/>
            <w:shd w:val="clear" w:color="auto" w:fill="auto"/>
            <w:noWrap/>
            <w:vAlign w:val="bottom"/>
            <w:hideMark/>
          </w:tcPr>
          <w:p w14:paraId="7476566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24,300.90 </w:t>
            </w:r>
          </w:p>
        </w:tc>
      </w:tr>
      <w:tr w:rsidR="00A046DD" w:rsidRPr="00532C20" w14:paraId="46B1151B" w14:textId="77777777">
        <w:trPr>
          <w:trHeight w:val="20"/>
        </w:trPr>
        <w:tc>
          <w:tcPr>
            <w:tcW w:w="805" w:type="pct"/>
            <w:shd w:val="clear" w:color="auto" w:fill="D9D9D9"/>
            <w:hideMark/>
          </w:tcPr>
          <w:p w14:paraId="207816B1"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Belgium</w:t>
            </w:r>
          </w:p>
        </w:tc>
        <w:tc>
          <w:tcPr>
            <w:tcW w:w="1398" w:type="pct"/>
            <w:shd w:val="clear" w:color="auto" w:fill="auto"/>
            <w:noWrap/>
            <w:vAlign w:val="bottom"/>
            <w:hideMark/>
          </w:tcPr>
          <w:p w14:paraId="3A0B535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20,913.85 </w:t>
            </w:r>
          </w:p>
        </w:tc>
        <w:tc>
          <w:tcPr>
            <w:tcW w:w="1398" w:type="pct"/>
            <w:shd w:val="clear" w:color="auto" w:fill="auto"/>
            <w:noWrap/>
            <w:vAlign w:val="bottom"/>
            <w:hideMark/>
          </w:tcPr>
          <w:p w14:paraId="5F896F5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26,142.32 </w:t>
            </w:r>
          </w:p>
        </w:tc>
        <w:tc>
          <w:tcPr>
            <w:tcW w:w="1398" w:type="pct"/>
            <w:shd w:val="clear" w:color="auto" w:fill="auto"/>
            <w:noWrap/>
            <w:vAlign w:val="bottom"/>
            <w:hideMark/>
          </w:tcPr>
          <w:p w14:paraId="36827AE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31,370.78 </w:t>
            </w:r>
          </w:p>
        </w:tc>
      </w:tr>
      <w:tr w:rsidR="00A046DD" w:rsidRPr="00532C20" w14:paraId="68E2162D" w14:textId="77777777">
        <w:trPr>
          <w:trHeight w:val="20"/>
        </w:trPr>
        <w:tc>
          <w:tcPr>
            <w:tcW w:w="805" w:type="pct"/>
            <w:shd w:val="clear" w:color="auto" w:fill="D9D9D9"/>
            <w:hideMark/>
          </w:tcPr>
          <w:p w14:paraId="128380F5"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Bulgaria</w:t>
            </w:r>
          </w:p>
        </w:tc>
        <w:tc>
          <w:tcPr>
            <w:tcW w:w="1398" w:type="pct"/>
            <w:shd w:val="clear" w:color="auto" w:fill="auto"/>
            <w:noWrap/>
            <w:vAlign w:val="bottom"/>
            <w:hideMark/>
          </w:tcPr>
          <w:p w14:paraId="59F6E9C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2,526.31 </w:t>
            </w:r>
          </w:p>
        </w:tc>
        <w:tc>
          <w:tcPr>
            <w:tcW w:w="1398" w:type="pct"/>
            <w:shd w:val="clear" w:color="auto" w:fill="auto"/>
            <w:noWrap/>
            <w:vAlign w:val="bottom"/>
            <w:hideMark/>
          </w:tcPr>
          <w:p w14:paraId="7074638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3,157.89 </w:t>
            </w:r>
          </w:p>
        </w:tc>
        <w:tc>
          <w:tcPr>
            <w:tcW w:w="1398" w:type="pct"/>
            <w:shd w:val="clear" w:color="auto" w:fill="auto"/>
            <w:noWrap/>
            <w:vAlign w:val="bottom"/>
            <w:hideMark/>
          </w:tcPr>
          <w:p w14:paraId="3C1ABD6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3,789.46 </w:t>
            </w:r>
          </w:p>
        </w:tc>
      </w:tr>
      <w:tr w:rsidR="00A046DD" w:rsidRPr="00532C20" w14:paraId="66AAEF99" w14:textId="77777777">
        <w:trPr>
          <w:trHeight w:val="20"/>
        </w:trPr>
        <w:tc>
          <w:tcPr>
            <w:tcW w:w="805" w:type="pct"/>
            <w:shd w:val="clear" w:color="auto" w:fill="D9D9D9"/>
            <w:hideMark/>
          </w:tcPr>
          <w:p w14:paraId="4479A7CB"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Croatia</w:t>
            </w:r>
          </w:p>
        </w:tc>
        <w:tc>
          <w:tcPr>
            <w:tcW w:w="1398" w:type="pct"/>
            <w:shd w:val="clear" w:color="auto" w:fill="auto"/>
            <w:noWrap/>
            <w:vAlign w:val="bottom"/>
            <w:hideMark/>
          </w:tcPr>
          <w:p w14:paraId="0A2702B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5,038.37 </w:t>
            </w:r>
          </w:p>
        </w:tc>
        <w:tc>
          <w:tcPr>
            <w:tcW w:w="1398" w:type="pct"/>
            <w:shd w:val="clear" w:color="auto" w:fill="auto"/>
            <w:noWrap/>
            <w:vAlign w:val="bottom"/>
            <w:hideMark/>
          </w:tcPr>
          <w:p w14:paraId="15A01CD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6,297.96 </w:t>
            </w:r>
          </w:p>
        </w:tc>
        <w:tc>
          <w:tcPr>
            <w:tcW w:w="1398" w:type="pct"/>
            <w:shd w:val="clear" w:color="auto" w:fill="auto"/>
            <w:noWrap/>
            <w:vAlign w:val="bottom"/>
            <w:hideMark/>
          </w:tcPr>
          <w:p w14:paraId="3A804A3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7,557.56 </w:t>
            </w:r>
          </w:p>
        </w:tc>
      </w:tr>
      <w:tr w:rsidR="00A046DD" w:rsidRPr="00532C20" w14:paraId="017DDDD7" w14:textId="77777777">
        <w:trPr>
          <w:trHeight w:val="20"/>
        </w:trPr>
        <w:tc>
          <w:tcPr>
            <w:tcW w:w="805" w:type="pct"/>
            <w:shd w:val="clear" w:color="auto" w:fill="D9D9D9"/>
            <w:hideMark/>
          </w:tcPr>
          <w:p w14:paraId="46B6AA75"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Cyprus</w:t>
            </w:r>
          </w:p>
        </w:tc>
        <w:tc>
          <w:tcPr>
            <w:tcW w:w="1398" w:type="pct"/>
            <w:shd w:val="clear" w:color="auto" w:fill="auto"/>
            <w:noWrap/>
            <w:vAlign w:val="bottom"/>
            <w:hideMark/>
          </w:tcPr>
          <w:p w14:paraId="68B6173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1,166.02 </w:t>
            </w:r>
          </w:p>
        </w:tc>
        <w:tc>
          <w:tcPr>
            <w:tcW w:w="1398" w:type="pct"/>
            <w:shd w:val="clear" w:color="auto" w:fill="auto"/>
            <w:noWrap/>
            <w:vAlign w:val="bottom"/>
            <w:hideMark/>
          </w:tcPr>
          <w:p w14:paraId="2CA60C4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1,457.52 </w:t>
            </w:r>
          </w:p>
        </w:tc>
        <w:tc>
          <w:tcPr>
            <w:tcW w:w="1398" w:type="pct"/>
            <w:shd w:val="clear" w:color="auto" w:fill="auto"/>
            <w:noWrap/>
            <w:vAlign w:val="bottom"/>
            <w:hideMark/>
          </w:tcPr>
          <w:p w14:paraId="7931AB1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1,749.02 </w:t>
            </w:r>
          </w:p>
        </w:tc>
      </w:tr>
      <w:tr w:rsidR="00A046DD" w:rsidRPr="00532C20" w14:paraId="090EE9CB" w14:textId="77777777">
        <w:trPr>
          <w:trHeight w:val="20"/>
        </w:trPr>
        <w:tc>
          <w:tcPr>
            <w:tcW w:w="805" w:type="pct"/>
            <w:shd w:val="clear" w:color="auto" w:fill="D9D9D9"/>
            <w:hideMark/>
          </w:tcPr>
          <w:p w14:paraId="54B4290B"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Czechia</w:t>
            </w:r>
          </w:p>
        </w:tc>
        <w:tc>
          <w:tcPr>
            <w:tcW w:w="1398" w:type="pct"/>
            <w:shd w:val="clear" w:color="auto" w:fill="auto"/>
            <w:noWrap/>
            <w:vAlign w:val="bottom"/>
            <w:hideMark/>
          </w:tcPr>
          <w:p w14:paraId="1E975DB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17,103.64 </w:t>
            </w:r>
          </w:p>
        </w:tc>
        <w:tc>
          <w:tcPr>
            <w:tcW w:w="1398" w:type="pct"/>
            <w:shd w:val="clear" w:color="auto" w:fill="auto"/>
            <w:noWrap/>
            <w:vAlign w:val="bottom"/>
            <w:hideMark/>
          </w:tcPr>
          <w:p w14:paraId="2FF32F2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21,379.56 </w:t>
            </w:r>
          </w:p>
        </w:tc>
        <w:tc>
          <w:tcPr>
            <w:tcW w:w="1398" w:type="pct"/>
            <w:shd w:val="clear" w:color="auto" w:fill="auto"/>
            <w:noWrap/>
            <w:vAlign w:val="bottom"/>
            <w:hideMark/>
          </w:tcPr>
          <w:p w14:paraId="1F65378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25,655.47 </w:t>
            </w:r>
          </w:p>
        </w:tc>
      </w:tr>
      <w:tr w:rsidR="00A046DD" w:rsidRPr="00532C20" w14:paraId="32A0D174" w14:textId="77777777">
        <w:trPr>
          <w:trHeight w:val="20"/>
        </w:trPr>
        <w:tc>
          <w:tcPr>
            <w:tcW w:w="805" w:type="pct"/>
            <w:shd w:val="clear" w:color="auto" w:fill="D9D9D9"/>
            <w:hideMark/>
          </w:tcPr>
          <w:p w14:paraId="1C2BBE61"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Denmark</w:t>
            </w:r>
          </w:p>
        </w:tc>
        <w:tc>
          <w:tcPr>
            <w:tcW w:w="1398" w:type="pct"/>
            <w:shd w:val="clear" w:color="auto" w:fill="auto"/>
            <w:noWrap/>
            <w:vAlign w:val="bottom"/>
            <w:hideMark/>
          </w:tcPr>
          <w:p w14:paraId="55335A7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18,064.52 </w:t>
            </w:r>
          </w:p>
        </w:tc>
        <w:tc>
          <w:tcPr>
            <w:tcW w:w="1398" w:type="pct"/>
            <w:shd w:val="clear" w:color="auto" w:fill="auto"/>
            <w:noWrap/>
            <w:vAlign w:val="bottom"/>
            <w:hideMark/>
          </w:tcPr>
          <w:p w14:paraId="2E226F2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22,580.65 </w:t>
            </w:r>
          </w:p>
        </w:tc>
        <w:tc>
          <w:tcPr>
            <w:tcW w:w="1398" w:type="pct"/>
            <w:shd w:val="clear" w:color="auto" w:fill="auto"/>
            <w:noWrap/>
            <w:vAlign w:val="bottom"/>
            <w:hideMark/>
          </w:tcPr>
          <w:p w14:paraId="7A0F28E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27,096.78 </w:t>
            </w:r>
          </w:p>
        </w:tc>
      </w:tr>
      <w:tr w:rsidR="00A046DD" w:rsidRPr="00532C20" w14:paraId="4FDA86F2" w14:textId="77777777">
        <w:trPr>
          <w:trHeight w:val="20"/>
        </w:trPr>
        <w:tc>
          <w:tcPr>
            <w:tcW w:w="805" w:type="pct"/>
            <w:shd w:val="clear" w:color="auto" w:fill="D9D9D9"/>
            <w:hideMark/>
          </w:tcPr>
          <w:p w14:paraId="5E901725"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Estonia</w:t>
            </w:r>
          </w:p>
        </w:tc>
        <w:tc>
          <w:tcPr>
            <w:tcW w:w="1398" w:type="pct"/>
            <w:shd w:val="clear" w:color="auto" w:fill="auto"/>
            <w:noWrap/>
            <w:vAlign w:val="bottom"/>
            <w:hideMark/>
          </w:tcPr>
          <w:p w14:paraId="58D4D5A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4,234.73 </w:t>
            </w:r>
          </w:p>
        </w:tc>
        <w:tc>
          <w:tcPr>
            <w:tcW w:w="1398" w:type="pct"/>
            <w:shd w:val="clear" w:color="auto" w:fill="auto"/>
            <w:noWrap/>
            <w:vAlign w:val="bottom"/>
            <w:hideMark/>
          </w:tcPr>
          <w:p w14:paraId="781496F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5,293.41 </w:t>
            </w:r>
          </w:p>
        </w:tc>
        <w:tc>
          <w:tcPr>
            <w:tcW w:w="1398" w:type="pct"/>
            <w:shd w:val="clear" w:color="auto" w:fill="auto"/>
            <w:noWrap/>
            <w:vAlign w:val="bottom"/>
            <w:hideMark/>
          </w:tcPr>
          <w:p w14:paraId="48F0903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6,352.10 </w:t>
            </w:r>
          </w:p>
        </w:tc>
      </w:tr>
      <w:tr w:rsidR="00A046DD" w:rsidRPr="00532C20" w14:paraId="0F54CBE7" w14:textId="77777777">
        <w:trPr>
          <w:trHeight w:val="20"/>
        </w:trPr>
        <w:tc>
          <w:tcPr>
            <w:tcW w:w="805" w:type="pct"/>
            <w:shd w:val="clear" w:color="auto" w:fill="D9D9D9"/>
            <w:hideMark/>
          </w:tcPr>
          <w:p w14:paraId="0D77C563"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Finland</w:t>
            </w:r>
          </w:p>
        </w:tc>
        <w:tc>
          <w:tcPr>
            <w:tcW w:w="1398" w:type="pct"/>
            <w:shd w:val="clear" w:color="auto" w:fill="auto"/>
            <w:noWrap/>
            <w:vAlign w:val="bottom"/>
            <w:hideMark/>
          </w:tcPr>
          <w:p w14:paraId="46DC27C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19,492.66 </w:t>
            </w:r>
          </w:p>
        </w:tc>
        <w:tc>
          <w:tcPr>
            <w:tcW w:w="1398" w:type="pct"/>
            <w:shd w:val="clear" w:color="auto" w:fill="auto"/>
            <w:noWrap/>
            <w:vAlign w:val="bottom"/>
            <w:hideMark/>
          </w:tcPr>
          <w:p w14:paraId="06EEDBB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24,365.82 </w:t>
            </w:r>
          </w:p>
        </w:tc>
        <w:tc>
          <w:tcPr>
            <w:tcW w:w="1398" w:type="pct"/>
            <w:shd w:val="clear" w:color="auto" w:fill="auto"/>
            <w:noWrap/>
            <w:vAlign w:val="bottom"/>
            <w:hideMark/>
          </w:tcPr>
          <w:p w14:paraId="146F5D2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29,238.99 </w:t>
            </w:r>
          </w:p>
        </w:tc>
      </w:tr>
      <w:tr w:rsidR="00A046DD" w:rsidRPr="00532C20" w14:paraId="05A78582" w14:textId="77777777">
        <w:trPr>
          <w:trHeight w:val="20"/>
        </w:trPr>
        <w:tc>
          <w:tcPr>
            <w:tcW w:w="805" w:type="pct"/>
            <w:shd w:val="clear" w:color="auto" w:fill="D9D9D9"/>
            <w:hideMark/>
          </w:tcPr>
          <w:p w14:paraId="431F1BA2"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France</w:t>
            </w:r>
          </w:p>
        </w:tc>
        <w:tc>
          <w:tcPr>
            <w:tcW w:w="1398" w:type="pct"/>
            <w:shd w:val="clear" w:color="auto" w:fill="auto"/>
            <w:noWrap/>
            <w:vAlign w:val="bottom"/>
            <w:hideMark/>
          </w:tcPr>
          <w:p w14:paraId="1B73F0F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79,325.91 </w:t>
            </w:r>
          </w:p>
        </w:tc>
        <w:tc>
          <w:tcPr>
            <w:tcW w:w="1398" w:type="pct"/>
            <w:shd w:val="clear" w:color="auto" w:fill="auto"/>
            <w:noWrap/>
            <w:vAlign w:val="bottom"/>
            <w:hideMark/>
          </w:tcPr>
          <w:p w14:paraId="49F008C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99,157.39 </w:t>
            </w:r>
          </w:p>
        </w:tc>
        <w:tc>
          <w:tcPr>
            <w:tcW w:w="1398" w:type="pct"/>
            <w:shd w:val="clear" w:color="auto" w:fill="auto"/>
            <w:noWrap/>
            <w:vAlign w:val="bottom"/>
            <w:hideMark/>
          </w:tcPr>
          <w:p w14:paraId="188D73F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118,988.87 </w:t>
            </w:r>
          </w:p>
        </w:tc>
      </w:tr>
      <w:tr w:rsidR="00A046DD" w:rsidRPr="00532C20" w14:paraId="65E61D4D" w14:textId="77777777">
        <w:trPr>
          <w:trHeight w:val="20"/>
        </w:trPr>
        <w:tc>
          <w:tcPr>
            <w:tcW w:w="805" w:type="pct"/>
            <w:shd w:val="clear" w:color="auto" w:fill="D9D9D9"/>
            <w:hideMark/>
          </w:tcPr>
          <w:p w14:paraId="06B9827A"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Germany</w:t>
            </w:r>
          </w:p>
        </w:tc>
        <w:tc>
          <w:tcPr>
            <w:tcW w:w="1398" w:type="pct"/>
            <w:shd w:val="clear" w:color="auto" w:fill="auto"/>
            <w:noWrap/>
            <w:vAlign w:val="bottom"/>
            <w:hideMark/>
          </w:tcPr>
          <w:p w14:paraId="15CF494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137,859.90 </w:t>
            </w:r>
          </w:p>
        </w:tc>
        <w:tc>
          <w:tcPr>
            <w:tcW w:w="1398" w:type="pct"/>
            <w:shd w:val="clear" w:color="auto" w:fill="auto"/>
            <w:noWrap/>
            <w:vAlign w:val="bottom"/>
            <w:hideMark/>
          </w:tcPr>
          <w:p w14:paraId="4C3B032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172,324.87 </w:t>
            </w:r>
          </w:p>
        </w:tc>
        <w:tc>
          <w:tcPr>
            <w:tcW w:w="1398" w:type="pct"/>
            <w:shd w:val="clear" w:color="auto" w:fill="auto"/>
            <w:noWrap/>
            <w:vAlign w:val="bottom"/>
            <w:hideMark/>
          </w:tcPr>
          <w:p w14:paraId="0EF4F19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206,789.85 </w:t>
            </w:r>
          </w:p>
        </w:tc>
      </w:tr>
      <w:tr w:rsidR="00A046DD" w:rsidRPr="00532C20" w14:paraId="21051D29" w14:textId="77777777">
        <w:trPr>
          <w:trHeight w:val="20"/>
        </w:trPr>
        <w:tc>
          <w:tcPr>
            <w:tcW w:w="805" w:type="pct"/>
            <w:shd w:val="clear" w:color="auto" w:fill="D9D9D9"/>
            <w:hideMark/>
          </w:tcPr>
          <w:p w14:paraId="47FF0A2F"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Greece</w:t>
            </w:r>
          </w:p>
        </w:tc>
        <w:tc>
          <w:tcPr>
            <w:tcW w:w="1398" w:type="pct"/>
            <w:shd w:val="clear" w:color="auto" w:fill="auto"/>
            <w:noWrap/>
            <w:vAlign w:val="bottom"/>
            <w:hideMark/>
          </w:tcPr>
          <w:p w14:paraId="1E36868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1,209.82 </w:t>
            </w:r>
          </w:p>
        </w:tc>
        <w:tc>
          <w:tcPr>
            <w:tcW w:w="1398" w:type="pct"/>
            <w:shd w:val="clear" w:color="auto" w:fill="auto"/>
            <w:noWrap/>
            <w:vAlign w:val="bottom"/>
            <w:hideMark/>
          </w:tcPr>
          <w:p w14:paraId="2CD4315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1,512.28 </w:t>
            </w:r>
          </w:p>
        </w:tc>
        <w:tc>
          <w:tcPr>
            <w:tcW w:w="1398" w:type="pct"/>
            <w:shd w:val="clear" w:color="auto" w:fill="auto"/>
            <w:noWrap/>
            <w:vAlign w:val="bottom"/>
            <w:hideMark/>
          </w:tcPr>
          <w:p w14:paraId="63752B2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1,814.73 </w:t>
            </w:r>
          </w:p>
        </w:tc>
      </w:tr>
      <w:tr w:rsidR="00A046DD" w:rsidRPr="00532C20" w14:paraId="33B4909A" w14:textId="77777777">
        <w:trPr>
          <w:trHeight w:val="20"/>
        </w:trPr>
        <w:tc>
          <w:tcPr>
            <w:tcW w:w="805" w:type="pct"/>
            <w:shd w:val="clear" w:color="auto" w:fill="D9D9D9"/>
            <w:hideMark/>
          </w:tcPr>
          <w:p w14:paraId="5C3C64E4"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Hungary</w:t>
            </w:r>
          </w:p>
        </w:tc>
        <w:tc>
          <w:tcPr>
            <w:tcW w:w="1398" w:type="pct"/>
            <w:shd w:val="clear" w:color="auto" w:fill="auto"/>
            <w:noWrap/>
            <w:vAlign w:val="bottom"/>
            <w:hideMark/>
          </w:tcPr>
          <w:p w14:paraId="13F7651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11,380.05 </w:t>
            </w:r>
          </w:p>
        </w:tc>
        <w:tc>
          <w:tcPr>
            <w:tcW w:w="1398" w:type="pct"/>
            <w:shd w:val="clear" w:color="auto" w:fill="auto"/>
            <w:noWrap/>
            <w:vAlign w:val="bottom"/>
            <w:hideMark/>
          </w:tcPr>
          <w:p w14:paraId="14EE945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14,225.06 </w:t>
            </w:r>
          </w:p>
        </w:tc>
        <w:tc>
          <w:tcPr>
            <w:tcW w:w="1398" w:type="pct"/>
            <w:shd w:val="clear" w:color="auto" w:fill="auto"/>
            <w:noWrap/>
            <w:vAlign w:val="bottom"/>
            <w:hideMark/>
          </w:tcPr>
          <w:p w14:paraId="1FBD13F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17,070.08 </w:t>
            </w:r>
          </w:p>
        </w:tc>
      </w:tr>
      <w:tr w:rsidR="00A046DD" w:rsidRPr="00532C20" w14:paraId="0419D269" w14:textId="77777777">
        <w:trPr>
          <w:trHeight w:val="20"/>
        </w:trPr>
        <w:tc>
          <w:tcPr>
            <w:tcW w:w="805" w:type="pct"/>
            <w:shd w:val="clear" w:color="auto" w:fill="D9D9D9"/>
            <w:hideMark/>
          </w:tcPr>
          <w:p w14:paraId="311C268F"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Ireland</w:t>
            </w:r>
          </w:p>
        </w:tc>
        <w:tc>
          <w:tcPr>
            <w:tcW w:w="1398" w:type="pct"/>
            <w:shd w:val="clear" w:color="auto" w:fill="auto"/>
            <w:noWrap/>
            <w:vAlign w:val="bottom"/>
            <w:hideMark/>
          </w:tcPr>
          <w:p w14:paraId="200001C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66,989.70 </w:t>
            </w:r>
          </w:p>
        </w:tc>
        <w:tc>
          <w:tcPr>
            <w:tcW w:w="1398" w:type="pct"/>
            <w:shd w:val="clear" w:color="auto" w:fill="auto"/>
            <w:noWrap/>
            <w:vAlign w:val="bottom"/>
            <w:hideMark/>
          </w:tcPr>
          <w:p w14:paraId="3B513A9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83,737.13 </w:t>
            </w:r>
          </w:p>
        </w:tc>
        <w:tc>
          <w:tcPr>
            <w:tcW w:w="1398" w:type="pct"/>
            <w:shd w:val="clear" w:color="auto" w:fill="auto"/>
            <w:noWrap/>
            <w:vAlign w:val="bottom"/>
            <w:hideMark/>
          </w:tcPr>
          <w:p w14:paraId="364159A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100,484.56 </w:t>
            </w:r>
          </w:p>
        </w:tc>
      </w:tr>
      <w:tr w:rsidR="00A046DD" w:rsidRPr="00532C20" w14:paraId="2F17A656" w14:textId="77777777">
        <w:trPr>
          <w:trHeight w:val="20"/>
        </w:trPr>
        <w:tc>
          <w:tcPr>
            <w:tcW w:w="805" w:type="pct"/>
            <w:shd w:val="clear" w:color="auto" w:fill="D9D9D9"/>
            <w:hideMark/>
          </w:tcPr>
          <w:p w14:paraId="6DA9BF16"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Italy</w:t>
            </w:r>
          </w:p>
        </w:tc>
        <w:tc>
          <w:tcPr>
            <w:tcW w:w="1398" w:type="pct"/>
            <w:shd w:val="clear" w:color="auto" w:fill="auto"/>
            <w:noWrap/>
            <w:vAlign w:val="bottom"/>
            <w:hideMark/>
          </w:tcPr>
          <w:p w14:paraId="2414B0F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65,849.45 </w:t>
            </w:r>
          </w:p>
        </w:tc>
        <w:tc>
          <w:tcPr>
            <w:tcW w:w="1398" w:type="pct"/>
            <w:shd w:val="clear" w:color="auto" w:fill="auto"/>
            <w:noWrap/>
            <w:vAlign w:val="bottom"/>
            <w:hideMark/>
          </w:tcPr>
          <w:p w14:paraId="48D6DFC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82,311.81 </w:t>
            </w:r>
          </w:p>
        </w:tc>
        <w:tc>
          <w:tcPr>
            <w:tcW w:w="1398" w:type="pct"/>
            <w:shd w:val="clear" w:color="auto" w:fill="auto"/>
            <w:noWrap/>
            <w:vAlign w:val="bottom"/>
            <w:hideMark/>
          </w:tcPr>
          <w:p w14:paraId="7654D26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98,774.17 </w:t>
            </w:r>
          </w:p>
        </w:tc>
      </w:tr>
      <w:tr w:rsidR="00A046DD" w:rsidRPr="00532C20" w14:paraId="23A73250" w14:textId="77777777">
        <w:trPr>
          <w:trHeight w:val="20"/>
        </w:trPr>
        <w:tc>
          <w:tcPr>
            <w:tcW w:w="805" w:type="pct"/>
            <w:shd w:val="clear" w:color="auto" w:fill="D9D9D9"/>
            <w:hideMark/>
          </w:tcPr>
          <w:p w14:paraId="3954F5A7"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Latvia</w:t>
            </w:r>
          </w:p>
        </w:tc>
        <w:tc>
          <w:tcPr>
            <w:tcW w:w="1398" w:type="pct"/>
            <w:shd w:val="clear" w:color="auto" w:fill="auto"/>
            <w:noWrap/>
            <w:vAlign w:val="bottom"/>
            <w:hideMark/>
          </w:tcPr>
          <w:p w14:paraId="0B60DB4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2,119.95 </w:t>
            </w:r>
          </w:p>
        </w:tc>
        <w:tc>
          <w:tcPr>
            <w:tcW w:w="1398" w:type="pct"/>
            <w:shd w:val="clear" w:color="auto" w:fill="auto"/>
            <w:noWrap/>
            <w:vAlign w:val="bottom"/>
            <w:hideMark/>
          </w:tcPr>
          <w:p w14:paraId="1DC974A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2,649.93 </w:t>
            </w:r>
          </w:p>
        </w:tc>
        <w:tc>
          <w:tcPr>
            <w:tcW w:w="1398" w:type="pct"/>
            <w:shd w:val="clear" w:color="auto" w:fill="auto"/>
            <w:noWrap/>
            <w:vAlign w:val="bottom"/>
            <w:hideMark/>
          </w:tcPr>
          <w:p w14:paraId="548C410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3,179.92 </w:t>
            </w:r>
          </w:p>
        </w:tc>
      </w:tr>
      <w:tr w:rsidR="00A046DD" w:rsidRPr="00532C20" w14:paraId="1251C5F7" w14:textId="77777777">
        <w:trPr>
          <w:trHeight w:val="20"/>
        </w:trPr>
        <w:tc>
          <w:tcPr>
            <w:tcW w:w="805" w:type="pct"/>
            <w:shd w:val="clear" w:color="auto" w:fill="D9D9D9"/>
            <w:hideMark/>
          </w:tcPr>
          <w:p w14:paraId="6041E434"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Lithuania</w:t>
            </w:r>
          </w:p>
        </w:tc>
        <w:tc>
          <w:tcPr>
            <w:tcW w:w="1398" w:type="pct"/>
            <w:shd w:val="clear" w:color="auto" w:fill="auto"/>
            <w:noWrap/>
            <w:vAlign w:val="bottom"/>
            <w:hideMark/>
          </w:tcPr>
          <w:p w14:paraId="5ADC811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6,669.85 </w:t>
            </w:r>
          </w:p>
        </w:tc>
        <w:tc>
          <w:tcPr>
            <w:tcW w:w="1398" w:type="pct"/>
            <w:shd w:val="clear" w:color="auto" w:fill="auto"/>
            <w:noWrap/>
            <w:vAlign w:val="bottom"/>
            <w:hideMark/>
          </w:tcPr>
          <w:p w14:paraId="5852611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8,337.31 </w:t>
            </w:r>
          </w:p>
        </w:tc>
        <w:tc>
          <w:tcPr>
            <w:tcW w:w="1398" w:type="pct"/>
            <w:shd w:val="clear" w:color="auto" w:fill="auto"/>
            <w:noWrap/>
            <w:vAlign w:val="bottom"/>
            <w:hideMark/>
          </w:tcPr>
          <w:p w14:paraId="6B64BA7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10,004.77 </w:t>
            </w:r>
          </w:p>
        </w:tc>
      </w:tr>
      <w:tr w:rsidR="00A046DD" w:rsidRPr="00532C20" w14:paraId="5F380363" w14:textId="77777777">
        <w:trPr>
          <w:trHeight w:val="20"/>
        </w:trPr>
        <w:tc>
          <w:tcPr>
            <w:tcW w:w="805" w:type="pct"/>
            <w:shd w:val="clear" w:color="auto" w:fill="D9D9D9"/>
            <w:hideMark/>
          </w:tcPr>
          <w:p w14:paraId="662455B1"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Luxembourg</w:t>
            </w:r>
          </w:p>
        </w:tc>
        <w:tc>
          <w:tcPr>
            <w:tcW w:w="1398" w:type="pct"/>
            <w:shd w:val="clear" w:color="auto" w:fill="auto"/>
            <w:noWrap/>
            <w:vAlign w:val="bottom"/>
            <w:hideMark/>
          </w:tcPr>
          <w:p w14:paraId="1AF853A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1,548.34 </w:t>
            </w:r>
          </w:p>
        </w:tc>
        <w:tc>
          <w:tcPr>
            <w:tcW w:w="1398" w:type="pct"/>
            <w:shd w:val="clear" w:color="auto" w:fill="auto"/>
            <w:noWrap/>
            <w:vAlign w:val="bottom"/>
            <w:hideMark/>
          </w:tcPr>
          <w:p w14:paraId="43ADD3C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1,935.42 </w:t>
            </w:r>
          </w:p>
        </w:tc>
        <w:tc>
          <w:tcPr>
            <w:tcW w:w="1398" w:type="pct"/>
            <w:shd w:val="clear" w:color="auto" w:fill="auto"/>
            <w:noWrap/>
            <w:vAlign w:val="bottom"/>
            <w:hideMark/>
          </w:tcPr>
          <w:p w14:paraId="7EA3712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2,322.50 </w:t>
            </w:r>
          </w:p>
        </w:tc>
      </w:tr>
      <w:tr w:rsidR="00A046DD" w:rsidRPr="00532C20" w14:paraId="685B23CB" w14:textId="77777777">
        <w:trPr>
          <w:trHeight w:val="20"/>
        </w:trPr>
        <w:tc>
          <w:tcPr>
            <w:tcW w:w="805" w:type="pct"/>
            <w:shd w:val="clear" w:color="auto" w:fill="D9D9D9"/>
            <w:hideMark/>
          </w:tcPr>
          <w:p w14:paraId="02E6C54F"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Malta</w:t>
            </w:r>
          </w:p>
        </w:tc>
        <w:tc>
          <w:tcPr>
            <w:tcW w:w="1398" w:type="pct"/>
            <w:shd w:val="clear" w:color="auto" w:fill="auto"/>
            <w:noWrap/>
            <w:vAlign w:val="bottom"/>
            <w:hideMark/>
          </w:tcPr>
          <w:p w14:paraId="6A2C211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521.40 </w:t>
            </w:r>
          </w:p>
        </w:tc>
        <w:tc>
          <w:tcPr>
            <w:tcW w:w="1398" w:type="pct"/>
            <w:shd w:val="clear" w:color="auto" w:fill="auto"/>
            <w:noWrap/>
            <w:vAlign w:val="bottom"/>
            <w:hideMark/>
          </w:tcPr>
          <w:p w14:paraId="39FE74C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651.74 </w:t>
            </w:r>
          </w:p>
        </w:tc>
        <w:tc>
          <w:tcPr>
            <w:tcW w:w="1398" w:type="pct"/>
            <w:shd w:val="clear" w:color="auto" w:fill="auto"/>
            <w:noWrap/>
            <w:vAlign w:val="bottom"/>
            <w:hideMark/>
          </w:tcPr>
          <w:p w14:paraId="71D3E09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782.09 </w:t>
            </w:r>
          </w:p>
        </w:tc>
      </w:tr>
      <w:tr w:rsidR="00A046DD" w:rsidRPr="00532C20" w14:paraId="7C29DBE8" w14:textId="77777777">
        <w:trPr>
          <w:trHeight w:val="20"/>
        </w:trPr>
        <w:tc>
          <w:tcPr>
            <w:tcW w:w="805" w:type="pct"/>
            <w:shd w:val="clear" w:color="auto" w:fill="D9D9D9"/>
            <w:hideMark/>
          </w:tcPr>
          <w:p w14:paraId="0B790C2C"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Netherlands</w:t>
            </w:r>
          </w:p>
        </w:tc>
        <w:tc>
          <w:tcPr>
            <w:tcW w:w="1398" w:type="pct"/>
            <w:shd w:val="clear" w:color="auto" w:fill="auto"/>
            <w:noWrap/>
            <w:vAlign w:val="bottom"/>
            <w:hideMark/>
          </w:tcPr>
          <w:p w14:paraId="3DD4BD4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8,628.30 </w:t>
            </w:r>
          </w:p>
        </w:tc>
        <w:tc>
          <w:tcPr>
            <w:tcW w:w="1398" w:type="pct"/>
            <w:shd w:val="clear" w:color="auto" w:fill="auto"/>
            <w:noWrap/>
            <w:vAlign w:val="bottom"/>
            <w:hideMark/>
          </w:tcPr>
          <w:p w14:paraId="256DA5E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10,785.38 </w:t>
            </w:r>
          </w:p>
        </w:tc>
        <w:tc>
          <w:tcPr>
            <w:tcW w:w="1398" w:type="pct"/>
            <w:shd w:val="clear" w:color="auto" w:fill="auto"/>
            <w:noWrap/>
            <w:vAlign w:val="bottom"/>
            <w:hideMark/>
          </w:tcPr>
          <w:p w14:paraId="7A8284B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12,942.46 </w:t>
            </w:r>
          </w:p>
        </w:tc>
      </w:tr>
      <w:tr w:rsidR="00A046DD" w:rsidRPr="00532C20" w14:paraId="69E66E43" w14:textId="77777777">
        <w:trPr>
          <w:trHeight w:val="20"/>
        </w:trPr>
        <w:tc>
          <w:tcPr>
            <w:tcW w:w="805" w:type="pct"/>
            <w:shd w:val="clear" w:color="auto" w:fill="D9D9D9"/>
            <w:hideMark/>
          </w:tcPr>
          <w:p w14:paraId="6CE6507C"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Poland</w:t>
            </w:r>
          </w:p>
        </w:tc>
        <w:tc>
          <w:tcPr>
            <w:tcW w:w="1398" w:type="pct"/>
            <w:shd w:val="clear" w:color="auto" w:fill="auto"/>
            <w:noWrap/>
            <w:vAlign w:val="bottom"/>
            <w:hideMark/>
          </w:tcPr>
          <w:p w14:paraId="5AAA92F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13,208.85 </w:t>
            </w:r>
          </w:p>
        </w:tc>
        <w:tc>
          <w:tcPr>
            <w:tcW w:w="1398" w:type="pct"/>
            <w:shd w:val="clear" w:color="auto" w:fill="auto"/>
            <w:noWrap/>
            <w:vAlign w:val="bottom"/>
            <w:hideMark/>
          </w:tcPr>
          <w:p w14:paraId="5CD4F98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16,511.06 </w:t>
            </w:r>
          </w:p>
        </w:tc>
        <w:tc>
          <w:tcPr>
            <w:tcW w:w="1398" w:type="pct"/>
            <w:shd w:val="clear" w:color="auto" w:fill="auto"/>
            <w:noWrap/>
            <w:vAlign w:val="bottom"/>
            <w:hideMark/>
          </w:tcPr>
          <w:p w14:paraId="71767EA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19,813.28 </w:t>
            </w:r>
          </w:p>
        </w:tc>
      </w:tr>
      <w:tr w:rsidR="00A046DD" w:rsidRPr="00532C20" w14:paraId="3B302F72" w14:textId="77777777">
        <w:trPr>
          <w:trHeight w:val="20"/>
        </w:trPr>
        <w:tc>
          <w:tcPr>
            <w:tcW w:w="805" w:type="pct"/>
            <w:shd w:val="clear" w:color="auto" w:fill="D9D9D9"/>
            <w:hideMark/>
          </w:tcPr>
          <w:p w14:paraId="48210231"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Portugal</w:t>
            </w:r>
          </w:p>
        </w:tc>
        <w:tc>
          <w:tcPr>
            <w:tcW w:w="1398" w:type="pct"/>
            <w:shd w:val="clear" w:color="auto" w:fill="auto"/>
            <w:noWrap/>
            <w:vAlign w:val="bottom"/>
            <w:hideMark/>
          </w:tcPr>
          <w:p w14:paraId="355DE35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12,245.13 </w:t>
            </w:r>
          </w:p>
        </w:tc>
        <w:tc>
          <w:tcPr>
            <w:tcW w:w="1398" w:type="pct"/>
            <w:shd w:val="clear" w:color="auto" w:fill="auto"/>
            <w:noWrap/>
            <w:vAlign w:val="bottom"/>
            <w:hideMark/>
          </w:tcPr>
          <w:p w14:paraId="6DE6B29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15,306.41 </w:t>
            </w:r>
          </w:p>
        </w:tc>
        <w:tc>
          <w:tcPr>
            <w:tcW w:w="1398" w:type="pct"/>
            <w:shd w:val="clear" w:color="auto" w:fill="auto"/>
            <w:noWrap/>
            <w:vAlign w:val="bottom"/>
            <w:hideMark/>
          </w:tcPr>
          <w:p w14:paraId="465EBAC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18,367.69 </w:t>
            </w:r>
          </w:p>
        </w:tc>
      </w:tr>
      <w:tr w:rsidR="00A046DD" w:rsidRPr="00532C20" w14:paraId="057738E6" w14:textId="77777777">
        <w:trPr>
          <w:trHeight w:val="20"/>
        </w:trPr>
        <w:tc>
          <w:tcPr>
            <w:tcW w:w="805" w:type="pct"/>
            <w:shd w:val="clear" w:color="auto" w:fill="D9D9D9"/>
            <w:hideMark/>
          </w:tcPr>
          <w:p w14:paraId="4299095F"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Romania</w:t>
            </w:r>
          </w:p>
        </w:tc>
        <w:tc>
          <w:tcPr>
            <w:tcW w:w="1398" w:type="pct"/>
            <w:shd w:val="clear" w:color="auto" w:fill="auto"/>
            <w:noWrap/>
            <w:vAlign w:val="bottom"/>
            <w:hideMark/>
          </w:tcPr>
          <w:p w14:paraId="04095D0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8,366.15 </w:t>
            </w:r>
          </w:p>
        </w:tc>
        <w:tc>
          <w:tcPr>
            <w:tcW w:w="1398" w:type="pct"/>
            <w:shd w:val="clear" w:color="auto" w:fill="auto"/>
            <w:noWrap/>
            <w:vAlign w:val="bottom"/>
            <w:hideMark/>
          </w:tcPr>
          <w:p w14:paraId="76419A8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10,457.68 </w:t>
            </w:r>
          </w:p>
        </w:tc>
        <w:tc>
          <w:tcPr>
            <w:tcW w:w="1398" w:type="pct"/>
            <w:shd w:val="clear" w:color="auto" w:fill="auto"/>
            <w:noWrap/>
            <w:vAlign w:val="bottom"/>
            <w:hideMark/>
          </w:tcPr>
          <w:p w14:paraId="4DD1D22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12,549.22 </w:t>
            </w:r>
          </w:p>
        </w:tc>
      </w:tr>
      <w:tr w:rsidR="00A046DD" w:rsidRPr="00532C20" w14:paraId="65AD2A8F" w14:textId="77777777">
        <w:trPr>
          <w:trHeight w:val="20"/>
        </w:trPr>
        <w:tc>
          <w:tcPr>
            <w:tcW w:w="805" w:type="pct"/>
            <w:shd w:val="clear" w:color="auto" w:fill="D9D9D9"/>
            <w:hideMark/>
          </w:tcPr>
          <w:p w14:paraId="49CE7B2A"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Slovakia</w:t>
            </w:r>
          </w:p>
        </w:tc>
        <w:tc>
          <w:tcPr>
            <w:tcW w:w="1398" w:type="pct"/>
            <w:shd w:val="clear" w:color="auto" w:fill="auto"/>
            <w:noWrap/>
            <w:vAlign w:val="bottom"/>
            <w:hideMark/>
          </w:tcPr>
          <w:p w14:paraId="1157C92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3,596.70 </w:t>
            </w:r>
          </w:p>
        </w:tc>
        <w:tc>
          <w:tcPr>
            <w:tcW w:w="1398" w:type="pct"/>
            <w:shd w:val="clear" w:color="auto" w:fill="auto"/>
            <w:noWrap/>
            <w:vAlign w:val="bottom"/>
            <w:hideMark/>
          </w:tcPr>
          <w:p w14:paraId="6FCCE7A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4,495.87 </w:t>
            </w:r>
          </w:p>
        </w:tc>
        <w:tc>
          <w:tcPr>
            <w:tcW w:w="1398" w:type="pct"/>
            <w:shd w:val="clear" w:color="auto" w:fill="auto"/>
            <w:noWrap/>
            <w:vAlign w:val="bottom"/>
            <w:hideMark/>
          </w:tcPr>
          <w:p w14:paraId="22DF257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5,395.05 </w:t>
            </w:r>
          </w:p>
        </w:tc>
      </w:tr>
      <w:tr w:rsidR="00A046DD" w:rsidRPr="00532C20" w14:paraId="18587493" w14:textId="77777777">
        <w:trPr>
          <w:trHeight w:val="20"/>
        </w:trPr>
        <w:tc>
          <w:tcPr>
            <w:tcW w:w="805" w:type="pct"/>
            <w:shd w:val="clear" w:color="auto" w:fill="D9D9D9"/>
            <w:hideMark/>
          </w:tcPr>
          <w:p w14:paraId="3F46921B"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Slovenia</w:t>
            </w:r>
          </w:p>
        </w:tc>
        <w:tc>
          <w:tcPr>
            <w:tcW w:w="1398" w:type="pct"/>
            <w:shd w:val="clear" w:color="auto" w:fill="auto"/>
            <w:noWrap/>
            <w:vAlign w:val="bottom"/>
            <w:hideMark/>
          </w:tcPr>
          <w:p w14:paraId="115FEDB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4,760.04 </w:t>
            </w:r>
          </w:p>
        </w:tc>
        <w:tc>
          <w:tcPr>
            <w:tcW w:w="1398" w:type="pct"/>
            <w:shd w:val="clear" w:color="auto" w:fill="auto"/>
            <w:noWrap/>
            <w:vAlign w:val="bottom"/>
            <w:hideMark/>
          </w:tcPr>
          <w:p w14:paraId="282EC85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5,950.06 </w:t>
            </w:r>
          </w:p>
        </w:tc>
        <w:tc>
          <w:tcPr>
            <w:tcW w:w="1398" w:type="pct"/>
            <w:shd w:val="clear" w:color="auto" w:fill="auto"/>
            <w:noWrap/>
            <w:vAlign w:val="bottom"/>
            <w:hideMark/>
          </w:tcPr>
          <w:p w14:paraId="25C8830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7,140.07 </w:t>
            </w:r>
          </w:p>
        </w:tc>
      </w:tr>
      <w:tr w:rsidR="00A046DD" w:rsidRPr="00532C20" w14:paraId="3EDB3514" w14:textId="77777777">
        <w:trPr>
          <w:trHeight w:val="20"/>
        </w:trPr>
        <w:tc>
          <w:tcPr>
            <w:tcW w:w="805" w:type="pct"/>
            <w:shd w:val="clear" w:color="auto" w:fill="D9D9D9"/>
            <w:hideMark/>
          </w:tcPr>
          <w:p w14:paraId="147CDFA1"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Spain</w:t>
            </w:r>
          </w:p>
        </w:tc>
        <w:tc>
          <w:tcPr>
            <w:tcW w:w="1398" w:type="pct"/>
            <w:shd w:val="clear" w:color="auto" w:fill="auto"/>
            <w:noWrap/>
            <w:vAlign w:val="bottom"/>
            <w:hideMark/>
          </w:tcPr>
          <w:p w14:paraId="159BEE1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18,085.36 </w:t>
            </w:r>
          </w:p>
        </w:tc>
        <w:tc>
          <w:tcPr>
            <w:tcW w:w="1398" w:type="pct"/>
            <w:shd w:val="clear" w:color="auto" w:fill="auto"/>
            <w:noWrap/>
            <w:vAlign w:val="bottom"/>
            <w:hideMark/>
          </w:tcPr>
          <w:p w14:paraId="1A0ACB7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22,606.69 </w:t>
            </w:r>
          </w:p>
        </w:tc>
        <w:tc>
          <w:tcPr>
            <w:tcW w:w="1398" w:type="pct"/>
            <w:shd w:val="clear" w:color="auto" w:fill="auto"/>
            <w:noWrap/>
            <w:vAlign w:val="bottom"/>
            <w:hideMark/>
          </w:tcPr>
          <w:p w14:paraId="2B2B800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27,128.03 </w:t>
            </w:r>
          </w:p>
        </w:tc>
      </w:tr>
      <w:tr w:rsidR="00A046DD" w:rsidRPr="00532C20" w14:paraId="7DB42755" w14:textId="77777777">
        <w:trPr>
          <w:trHeight w:val="20"/>
        </w:trPr>
        <w:tc>
          <w:tcPr>
            <w:tcW w:w="805" w:type="pct"/>
            <w:shd w:val="clear" w:color="auto" w:fill="D9D9D9"/>
            <w:hideMark/>
          </w:tcPr>
          <w:p w14:paraId="7A90245E"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Sweden</w:t>
            </w:r>
          </w:p>
        </w:tc>
        <w:tc>
          <w:tcPr>
            <w:tcW w:w="1398" w:type="pct"/>
            <w:shd w:val="clear" w:color="auto" w:fill="auto"/>
            <w:noWrap/>
            <w:vAlign w:val="bottom"/>
            <w:hideMark/>
          </w:tcPr>
          <w:p w14:paraId="06D01DC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18,388.97 </w:t>
            </w:r>
          </w:p>
        </w:tc>
        <w:tc>
          <w:tcPr>
            <w:tcW w:w="1398" w:type="pct"/>
            <w:shd w:val="clear" w:color="auto" w:fill="auto"/>
            <w:noWrap/>
            <w:vAlign w:val="bottom"/>
            <w:hideMark/>
          </w:tcPr>
          <w:p w14:paraId="7912A62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22,986.21 </w:t>
            </w:r>
          </w:p>
        </w:tc>
        <w:tc>
          <w:tcPr>
            <w:tcW w:w="1398" w:type="pct"/>
            <w:shd w:val="clear" w:color="auto" w:fill="auto"/>
            <w:noWrap/>
            <w:vAlign w:val="bottom"/>
            <w:hideMark/>
          </w:tcPr>
          <w:p w14:paraId="5B7DA1C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27,583.45 </w:t>
            </w:r>
          </w:p>
        </w:tc>
      </w:tr>
      <w:tr w:rsidR="00A046DD" w:rsidRPr="00532C20" w14:paraId="5F795C21" w14:textId="77777777">
        <w:trPr>
          <w:trHeight w:val="20"/>
        </w:trPr>
        <w:tc>
          <w:tcPr>
            <w:tcW w:w="805" w:type="pct"/>
            <w:shd w:val="clear" w:color="auto" w:fill="0C4DA2"/>
            <w:noWrap/>
            <w:vAlign w:val="bottom"/>
            <w:hideMark/>
          </w:tcPr>
          <w:p w14:paraId="0355D222"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Total:</w:t>
            </w:r>
          </w:p>
        </w:tc>
        <w:tc>
          <w:tcPr>
            <w:tcW w:w="1398" w:type="pct"/>
            <w:shd w:val="clear" w:color="auto" w:fill="D9D9D9"/>
            <w:noWrap/>
            <w:vAlign w:val="bottom"/>
            <w:hideMark/>
          </w:tcPr>
          <w:p w14:paraId="0E6B0559"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565,494.56 </w:t>
            </w:r>
          </w:p>
        </w:tc>
        <w:tc>
          <w:tcPr>
            <w:tcW w:w="1398" w:type="pct"/>
            <w:shd w:val="clear" w:color="auto" w:fill="D9D9D9"/>
            <w:noWrap/>
            <w:vAlign w:val="bottom"/>
            <w:hideMark/>
          </w:tcPr>
          <w:p w14:paraId="3AB8D424"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706,868.20 </w:t>
            </w:r>
          </w:p>
        </w:tc>
        <w:tc>
          <w:tcPr>
            <w:tcW w:w="1398" w:type="pct"/>
            <w:shd w:val="clear" w:color="auto" w:fill="D9D9D9"/>
            <w:noWrap/>
            <w:vAlign w:val="bottom"/>
            <w:hideMark/>
          </w:tcPr>
          <w:p w14:paraId="5FAF3461"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848,241.84 </w:t>
            </w:r>
          </w:p>
        </w:tc>
      </w:tr>
      <w:tr w:rsidR="00A046DD" w:rsidRPr="00532C20" w14:paraId="2CACE33B" w14:textId="77777777">
        <w:trPr>
          <w:trHeight w:val="20"/>
        </w:trPr>
        <w:tc>
          <w:tcPr>
            <w:tcW w:w="805" w:type="pct"/>
            <w:shd w:val="clear" w:color="auto" w:fill="0C4DA2"/>
            <w:noWrap/>
            <w:vAlign w:val="bottom"/>
          </w:tcPr>
          <w:p w14:paraId="4DD05799"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Over 10 years</w:t>
            </w:r>
          </w:p>
        </w:tc>
        <w:tc>
          <w:tcPr>
            <w:tcW w:w="1398" w:type="pct"/>
            <w:shd w:val="clear" w:color="auto" w:fill="D9D9D9"/>
            <w:noWrap/>
            <w:vAlign w:val="center"/>
          </w:tcPr>
          <w:p w14:paraId="4CBD5ADA"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5,654,945.59 </w:t>
            </w:r>
          </w:p>
        </w:tc>
        <w:tc>
          <w:tcPr>
            <w:tcW w:w="1398" w:type="pct"/>
            <w:shd w:val="clear" w:color="auto" w:fill="D9D9D9"/>
            <w:noWrap/>
            <w:vAlign w:val="center"/>
          </w:tcPr>
          <w:p w14:paraId="175347F9"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7,068,681.99 </w:t>
            </w:r>
          </w:p>
        </w:tc>
        <w:tc>
          <w:tcPr>
            <w:tcW w:w="1398" w:type="pct"/>
            <w:shd w:val="clear" w:color="auto" w:fill="D9D9D9"/>
            <w:noWrap/>
            <w:vAlign w:val="center"/>
          </w:tcPr>
          <w:p w14:paraId="70FCC8B6"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8,482,418.39 </w:t>
            </w:r>
          </w:p>
        </w:tc>
      </w:tr>
    </w:tbl>
    <w:p w14:paraId="0E7CE636" w14:textId="77777777" w:rsidR="008F610F" w:rsidRPr="00532C20" w:rsidRDefault="008F610F" w:rsidP="008F610F">
      <w:pPr>
        <w:rPr>
          <w:noProof/>
        </w:rPr>
      </w:pPr>
    </w:p>
    <w:p w14:paraId="2D984940" w14:textId="267CF64B" w:rsidR="00DD3D42" w:rsidRPr="00532C20" w:rsidRDefault="00DD3D42" w:rsidP="0020326D">
      <w:pPr>
        <w:pStyle w:val="ListParagraph"/>
        <w:numPr>
          <w:ilvl w:val="3"/>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Summary of costs: Member State authorities</w:t>
      </w:r>
    </w:p>
    <w:p w14:paraId="3E09DD4F" w14:textId="02E221C6"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In total, under policy option </w:t>
      </w:r>
      <w:r w:rsidR="00D47716" w:rsidRPr="00532C20">
        <w:rPr>
          <w:rFonts w:ascii="Times New Roman" w:eastAsia="Times New Roman" w:hAnsi="Times New Roman" w:cs="Times New Roman"/>
          <w:noProof/>
          <w:sz w:val="24"/>
          <w:szCs w:val="24"/>
        </w:rPr>
        <w:t>2.1</w:t>
      </w:r>
      <w:r w:rsidRPr="00532C20">
        <w:rPr>
          <w:rFonts w:ascii="Times New Roman" w:eastAsia="Times New Roman" w:hAnsi="Times New Roman" w:cs="Times New Roman"/>
          <w:noProof/>
          <w:sz w:val="24"/>
          <w:szCs w:val="24"/>
        </w:rPr>
        <w:t>, the estimated costs to Member State authorities over a 10-year time horizon can be summarised as follows:</w:t>
      </w:r>
    </w:p>
    <w:p w14:paraId="1B7BFF3C" w14:textId="3FD9B1B1"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10</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Policy option </w:t>
      </w:r>
      <w:r w:rsidR="00D47716" w:rsidRPr="00532C20">
        <w:rPr>
          <w:rFonts w:ascii="Times New Roman" w:eastAsia="Times New Roman" w:hAnsi="Times New Roman" w:cs="Times New Roman"/>
          <w:b/>
          <w:noProof/>
          <w:sz w:val="24"/>
          <w:szCs w:val="24"/>
        </w:rPr>
        <w:t>2.1</w:t>
      </w:r>
      <w:r w:rsidRPr="00532C20">
        <w:rPr>
          <w:rFonts w:ascii="Times New Roman" w:eastAsia="Times New Roman" w:hAnsi="Times New Roman" w:cs="Times New Roman"/>
          <w:b/>
          <w:noProof/>
          <w:sz w:val="24"/>
          <w:szCs w:val="24"/>
        </w:rPr>
        <w:t xml:space="preserve"> – Summary of total costs to Member State authorities (over 10-years)</w:t>
      </w:r>
    </w:p>
    <w:tbl>
      <w:tblPr>
        <w:tblStyle w:val="12uCharChar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1672"/>
        <w:gridCol w:w="1936"/>
        <w:gridCol w:w="1762"/>
      </w:tblGrid>
      <w:tr w:rsidR="00A046DD" w:rsidRPr="00532C20" w14:paraId="6CD1988A"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3401" w:type="dxa"/>
            <w:shd w:val="clear" w:color="auto" w:fill="002060"/>
            <w:vAlign w:val="center"/>
          </w:tcPr>
          <w:p w14:paraId="7EFB6AF9" w14:textId="77777777" w:rsidR="00A046DD" w:rsidRPr="005833C4" w:rsidRDefault="00A046DD" w:rsidP="00A046DD">
            <w:pPr>
              <w:rPr>
                <w:rFonts w:ascii="Times New Roman" w:eastAsia="Times" w:hAnsi="Times New Roman" w:cs="Times"/>
                <w:b/>
                <w:bCs/>
                <w:noProof/>
                <w:color w:val="auto"/>
                <w:sz w:val="24"/>
                <w:szCs w:val="24"/>
                <w:lang w:val="en-GB"/>
              </w:rPr>
            </w:pPr>
            <w:r w:rsidRPr="005833C4">
              <w:rPr>
                <w:rFonts w:ascii="Times New Roman" w:eastAsia="Times" w:hAnsi="Times New Roman" w:cs="Times"/>
                <w:b/>
                <w:bCs/>
                <w:noProof/>
                <w:sz w:val="24"/>
                <w:szCs w:val="24"/>
                <w:lang w:val="fr-FR"/>
              </w:rPr>
              <w:t>Cost item</w:t>
            </w:r>
          </w:p>
        </w:tc>
        <w:tc>
          <w:tcPr>
            <w:tcW w:w="1672" w:type="dxa"/>
            <w:shd w:val="clear" w:color="auto" w:fill="002060"/>
            <w:vAlign w:val="center"/>
          </w:tcPr>
          <w:p w14:paraId="0E43CBEB" w14:textId="77777777" w:rsidR="00A046DD" w:rsidRPr="005833C4" w:rsidRDefault="00A046DD" w:rsidP="00A046DD">
            <w:pPr>
              <w:jc w:val="center"/>
              <w:rPr>
                <w:rFonts w:ascii="Times New Roman" w:eastAsia="Times" w:hAnsi="Times New Roman" w:cs="Times"/>
                <w:b/>
                <w:bCs/>
                <w:noProof/>
                <w:color w:val="auto"/>
                <w:sz w:val="24"/>
                <w:szCs w:val="24"/>
                <w:lang w:val="en-GB"/>
              </w:rPr>
            </w:pPr>
            <w:r w:rsidRPr="005833C4">
              <w:rPr>
                <w:rFonts w:ascii="Times New Roman" w:eastAsia="Times" w:hAnsi="Times New Roman" w:cs="Times"/>
                <w:b/>
                <w:bCs/>
                <w:noProof/>
                <w:sz w:val="24"/>
                <w:szCs w:val="24"/>
                <w:lang w:val="fr-FR"/>
              </w:rPr>
              <w:t>Low scenario (EUR)</w:t>
            </w:r>
          </w:p>
        </w:tc>
        <w:tc>
          <w:tcPr>
            <w:tcW w:w="1936" w:type="dxa"/>
            <w:shd w:val="clear" w:color="auto" w:fill="002060"/>
            <w:vAlign w:val="center"/>
          </w:tcPr>
          <w:p w14:paraId="59F2BAC8" w14:textId="77777777" w:rsidR="00A046DD" w:rsidRPr="005833C4" w:rsidRDefault="00A046DD" w:rsidP="00A046DD">
            <w:pPr>
              <w:jc w:val="center"/>
              <w:rPr>
                <w:rFonts w:ascii="Times New Roman" w:eastAsia="Times" w:hAnsi="Times New Roman" w:cs="Times"/>
                <w:b/>
                <w:bCs/>
                <w:noProof/>
                <w:color w:val="auto"/>
                <w:sz w:val="24"/>
                <w:szCs w:val="24"/>
                <w:lang w:val="en-GB"/>
              </w:rPr>
            </w:pPr>
            <w:r w:rsidRPr="005833C4">
              <w:rPr>
                <w:rFonts w:ascii="Times New Roman" w:eastAsia="Times" w:hAnsi="Times New Roman" w:cs="Times"/>
                <w:b/>
                <w:bCs/>
                <w:noProof/>
                <w:sz w:val="24"/>
                <w:szCs w:val="24"/>
                <w:lang w:val="fr-FR"/>
              </w:rPr>
              <w:t>Middle scenario (EUR)</w:t>
            </w:r>
          </w:p>
        </w:tc>
        <w:tc>
          <w:tcPr>
            <w:tcW w:w="1762" w:type="dxa"/>
            <w:shd w:val="clear" w:color="auto" w:fill="002060"/>
            <w:vAlign w:val="center"/>
          </w:tcPr>
          <w:p w14:paraId="4FF45E47" w14:textId="77777777" w:rsidR="00A046DD" w:rsidRPr="005833C4" w:rsidRDefault="00A046DD" w:rsidP="00A046DD">
            <w:pPr>
              <w:jc w:val="center"/>
              <w:rPr>
                <w:rFonts w:ascii="Times New Roman" w:eastAsia="Times" w:hAnsi="Times New Roman" w:cs="Times"/>
                <w:b/>
                <w:bCs/>
                <w:noProof/>
                <w:color w:val="auto"/>
                <w:sz w:val="24"/>
                <w:szCs w:val="24"/>
                <w:lang w:val="en-GB"/>
              </w:rPr>
            </w:pPr>
            <w:r w:rsidRPr="005833C4">
              <w:rPr>
                <w:rFonts w:ascii="Times New Roman" w:eastAsia="Times" w:hAnsi="Times New Roman" w:cs="Times"/>
                <w:b/>
                <w:bCs/>
                <w:noProof/>
                <w:sz w:val="24"/>
                <w:szCs w:val="24"/>
                <w:lang w:val="fr-FR"/>
              </w:rPr>
              <w:t>High scenario (EUR)</w:t>
            </w:r>
          </w:p>
        </w:tc>
      </w:tr>
      <w:tr w:rsidR="00A046DD" w:rsidRPr="00532C20" w14:paraId="15315C3D" w14:textId="77777777">
        <w:trPr>
          <w:trHeight w:val="20"/>
        </w:trPr>
        <w:tc>
          <w:tcPr>
            <w:tcW w:w="3401" w:type="dxa"/>
            <w:shd w:val="clear" w:color="auto" w:fill="D9D9D9"/>
            <w:vAlign w:val="center"/>
          </w:tcPr>
          <w:p w14:paraId="3FD5E2AA" w14:textId="77777777" w:rsidR="00A046DD" w:rsidRPr="00532C20" w:rsidRDefault="00A046DD" w:rsidP="00A046DD">
            <w:pPr>
              <w:rPr>
                <w:rFonts w:ascii="Times New Roman" w:hAnsi="Times New Roman"/>
                <w:b/>
                <w:noProof/>
                <w:sz w:val="24"/>
                <w:szCs w:val="24"/>
                <w:lang w:val="en-GB"/>
              </w:rPr>
            </w:pPr>
            <w:r w:rsidRPr="00532C20">
              <w:rPr>
                <w:rFonts w:ascii="Times New Roman" w:hAnsi="Times New Roman"/>
                <w:b/>
                <w:noProof/>
                <w:sz w:val="24"/>
                <w:szCs w:val="24"/>
              </w:rPr>
              <w:t>Familiarisation costs</w:t>
            </w:r>
          </w:p>
        </w:tc>
        <w:tc>
          <w:tcPr>
            <w:tcW w:w="1672" w:type="dxa"/>
            <w:shd w:val="clear" w:color="auto" w:fill="auto"/>
            <w:vAlign w:val="center"/>
          </w:tcPr>
          <w:p w14:paraId="0B656968"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sz w:val="24"/>
                <w:szCs w:val="24"/>
              </w:rPr>
              <w:t xml:space="preserve">1,533.06 </w:t>
            </w:r>
          </w:p>
        </w:tc>
        <w:tc>
          <w:tcPr>
            <w:tcW w:w="1936" w:type="dxa"/>
            <w:shd w:val="clear" w:color="auto" w:fill="auto"/>
            <w:vAlign w:val="center"/>
          </w:tcPr>
          <w:p w14:paraId="4C895F7F"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sz w:val="24"/>
                <w:szCs w:val="24"/>
              </w:rPr>
              <w:t xml:space="preserve">3,066.11 </w:t>
            </w:r>
          </w:p>
        </w:tc>
        <w:tc>
          <w:tcPr>
            <w:tcW w:w="1762" w:type="dxa"/>
            <w:shd w:val="clear" w:color="auto" w:fill="auto"/>
            <w:vAlign w:val="center"/>
          </w:tcPr>
          <w:p w14:paraId="4D216520"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sz w:val="24"/>
                <w:szCs w:val="24"/>
              </w:rPr>
              <w:t xml:space="preserve">4,599.17 </w:t>
            </w:r>
          </w:p>
        </w:tc>
      </w:tr>
      <w:tr w:rsidR="00A046DD" w:rsidRPr="00532C20" w14:paraId="21BA038A" w14:textId="77777777">
        <w:trPr>
          <w:trHeight w:val="20"/>
        </w:trPr>
        <w:tc>
          <w:tcPr>
            <w:tcW w:w="3401" w:type="dxa"/>
            <w:shd w:val="clear" w:color="auto" w:fill="D9D9D9"/>
            <w:vAlign w:val="center"/>
          </w:tcPr>
          <w:p w14:paraId="21AC3AF2" w14:textId="77777777" w:rsidR="00A046DD" w:rsidRPr="00532C20" w:rsidRDefault="00A046DD" w:rsidP="00A046DD">
            <w:pPr>
              <w:rPr>
                <w:rFonts w:ascii="Times New Roman" w:hAnsi="Times New Roman"/>
                <w:b/>
                <w:noProof/>
                <w:sz w:val="24"/>
                <w:szCs w:val="24"/>
                <w:lang w:val="en-GB"/>
              </w:rPr>
            </w:pPr>
            <w:r w:rsidRPr="00532C20">
              <w:rPr>
                <w:rFonts w:ascii="Times New Roman" w:hAnsi="Times New Roman"/>
                <w:b/>
                <w:noProof/>
                <w:sz w:val="24"/>
                <w:szCs w:val="24"/>
                <w:lang w:val="en-IE"/>
              </w:rPr>
              <w:t>Ensuring an appropriate register is in place</w:t>
            </w:r>
          </w:p>
        </w:tc>
        <w:tc>
          <w:tcPr>
            <w:tcW w:w="5370" w:type="dxa"/>
            <w:gridSpan w:val="3"/>
            <w:shd w:val="clear" w:color="auto" w:fill="auto"/>
            <w:vAlign w:val="center"/>
          </w:tcPr>
          <w:p w14:paraId="675E24E3" w14:textId="77777777" w:rsidR="00A046DD" w:rsidRPr="00532C20" w:rsidRDefault="00A046DD" w:rsidP="00A046DD">
            <w:pPr>
              <w:rPr>
                <w:rFonts w:ascii="Times New Roman" w:hAnsi="Times New Roman"/>
                <w:noProof/>
                <w:sz w:val="24"/>
                <w:szCs w:val="24"/>
                <w:lang w:val="en-GB"/>
              </w:rPr>
            </w:pPr>
            <w:r w:rsidRPr="00532C20">
              <w:rPr>
                <w:rFonts w:ascii="Times New Roman" w:hAnsi="Times New Roman"/>
                <w:i/>
                <w:noProof/>
                <w:sz w:val="24"/>
                <w:szCs w:val="24"/>
                <w:lang w:val="en-IE"/>
              </w:rPr>
              <w:t>Not possible to ascertain EU-wide costs based on the available data.</w:t>
            </w:r>
          </w:p>
        </w:tc>
      </w:tr>
      <w:tr w:rsidR="00A046DD" w:rsidRPr="00532C20" w14:paraId="18F5F5D6" w14:textId="77777777">
        <w:trPr>
          <w:trHeight w:val="20"/>
        </w:trPr>
        <w:tc>
          <w:tcPr>
            <w:tcW w:w="3401" w:type="dxa"/>
            <w:shd w:val="clear" w:color="auto" w:fill="D9D9D9"/>
            <w:vAlign w:val="center"/>
          </w:tcPr>
          <w:p w14:paraId="78268E42" w14:textId="77777777" w:rsidR="00A046DD" w:rsidRPr="00532C20" w:rsidRDefault="00A046DD" w:rsidP="00A046DD">
            <w:pPr>
              <w:rPr>
                <w:rFonts w:ascii="Times New Roman" w:hAnsi="Times New Roman"/>
                <w:b/>
                <w:noProof/>
                <w:sz w:val="24"/>
                <w:szCs w:val="24"/>
                <w:lang w:val="en-GB"/>
              </w:rPr>
            </w:pPr>
            <w:r w:rsidRPr="00532C20">
              <w:rPr>
                <w:rFonts w:ascii="Times New Roman" w:hAnsi="Times New Roman"/>
                <w:b/>
                <w:noProof/>
                <w:sz w:val="24"/>
                <w:szCs w:val="24"/>
                <w:lang w:val="en-IE"/>
              </w:rPr>
              <w:t>IT tool maintenance</w:t>
            </w:r>
            <w:r w:rsidRPr="00532C20">
              <w:rPr>
                <w:rFonts w:ascii="Times New Roman" w:hAnsi="Times New Roman"/>
                <w:noProof/>
                <w:sz w:val="24"/>
                <w:szCs w:val="24"/>
                <w:lang w:val="en-IE"/>
              </w:rPr>
              <w:t xml:space="preserve"> (15 Member States </w:t>
            </w:r>
            <w:r w:rsidRPr="00532C20">
              <w:rPr>
                <w:rFonts w:ascii="Times New Roman" w:hAnsi="Times New Roman"/>
                <w:b/>
                <w:noProof/>
                <w:sz w:val="24"/>
                <w:szCs w:val="24"/>
                <w:lang w:val="en-IE"/>
              </w:rPr>
              <w:t>with</w:t>
            </w:r>
            <w:r w:rsidRPr="00532C20">
              <w:rPr>
                <w:rFonts w:ascii="Times New Roman" w:hAnsi="Times New Roman"/>
                <w:noProof/>
                <w:sz w:val="24"/>
                <w:szCs w:val="24"/>
                <w:lang w:val="en-IE"/>
              </w:rPr>
              <w:t xml:space="preserve"> existing IT tools)</w:t>
            </w:r>
          </w:p>
        </w:tc>
        <w:tc>
          <w:tcPr>
            <w:tcW w:w="5370" w:type="dxa"/>
            <w:gridSpan w:val="3"/>
            <w:shd w:val="clear" w:color="auto" w:fill="auto"/>
            <w:vAlign w:val="center"/>
          </w:tcPr>
          <w:p w14:paraId="7A2C84F7" w14:textId="77777777" w:rsidR="00A046DD" w:rsidRPr="00532C20" w:rsidRDefault="00A046DD" w:rsidP="00A046DD">
            <w:pPr>
              <w:rPr>
                <w:rFonts w:ascii="Times New Roman" w:hAnsi="Times New Roman"/>
                <w:i/>
                <w:noProof/>
                <w:sz w:val="24"/>
                <w:szCs w:val="24"/>
                <w:lang w:val="en-GB"/>
              </w:rPr>
            </w:pPr>
            <w:r w:rsidRPr="00532C20">
              <w:rPr>
                <w:rFonts w:ascii="Times New Roman" w:hAnsi="Times New Roman"/>
                <w:i/>
                <w:noProof/>
                <w:sz w:val="24"/>
                <w:szCs w:val="24"/>
                <w:lang w:val="en-IE"/>
              </w:rPr>
              <w:t xml:space="preserve">Costs are considered to be business as usual (BaU) costs. </w:t>
            </w:r>
          </w:p>
        </w:tc>
      </w:tr>
      <w:tr w:rsidR="00A046DD" w:rsidRPr="00532C20" w14:paraId="6A098741" w14:textId="77777777">
        <w:trPr>
          <w:trHeight w:val="20"/>
        </w:trPr>
        <w:tc>
          <w:tcPr>
            <w:tcW w:w="3401" w:type="dxa"/>
            <w:shd w:val="clear" w:color="auto" w:fill="D9D9D9"/>
            <w:vAlign w:val="center"/>
          </w:tcPr>
          <w:p w14:paraId="2EE4E132" w14:textId="77777777" w:rsidR="00A046DD" w:rsidRPr="00532C20" w:rsidRDefault="00A046DD" w:rsidP="00A046DD">
            <w:pPr>
              <w:rPr>
                <w:rFonts w:ascii="Times New Roman" w:hAnsi="Times New Roman"/>
                <w:b/>
                <w:noProof/>
                <w:sz w:val="24"/>
                <w:szCs w:val="24"/>
                <w:lang w:val="en-GB"/>
              </w:rPr>
            </w:pPr>
            <w:r w:rsidRPr="00532C20">
              <w:rPr>
                <w:rFonts w:ascii="Times New Roman" w:hAnsi="Times New Roman"/>
                <w:b/>
                <w:noProof/>
                <w:sz w:val="24"/>
                <w:szCs w:val="24"/>
                <w:lang w:val="en-IE"/>
              </w:rPr>
              <w:t xml:space="preserve">IT tool maintenance </w:t>
            </w:r>
            <w:r w:rsidRPr="00532C20">
              <w:rPr>
                <w:rFonts w:ascii="Times New Roman" w:hAnsi="Times New Roman"/>
                <w:noProof/>
                <w:sz w:val="24"/>
                <w:szCs w:val="24"/>
                <w:lang w:val="en-IE"/>
              </w:rPr>
              <w:t xml:space="preserve">(12 Member States </w:t>
            </w:r>
            <w:r w:rsidRPr="00532C20">
              <w:rPr>
                <w:rFonts w:ascii="Times New Roman" w:hAnsi="Times New Roman"/>
                <w:b/>
                <w:noProof/>
                <w:sz w:val="24"/>
                <w:szCs w:val="24"/>
                <w:lang w:val="en-IE"/>
              </w:rPr>
              <w:t>without</w:t>
            </w:r>
            <w:r w:rsidRPr="00532C20">
              <w:rPr>
                <w:rFonts w:ascii="Times New Roman" w:hAnsi="Times New Roman"/>
                <w:noProof/>
                <w:sz w:val="24"/>
                <w:szCs w:val="24"/>
                <w:lang w:val="en-IE"/>
              </w:rPr>
              <w:t xml:space="preserve"> existing IT tools)</w:t>
            </w:r>
          </w:p>
        </w:tc>
        <w:tc>
          <w:tcPr>
            <w:tcW w:w="1672" w:type="dxa"/>
            <w:shd w:val="clear" w:color="auto" w:fill="auto"/>
            <w:vAlign w:val="center"/>
          </w:tcPr>
          <w:p w14:paraId="1D9FF576"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sz w:val="24"/>
                <w:szCs w:val="24"/>
              </w:rPr>
              <w:t xml:space="preserve">540,000.00 </w:t>
            </w:r>
          </w:p>
        </w:tc>
        <w:tc>
          <w:tcPr>
            <w:tcW w:w="1936" w:type="dxa"/>
            <w:shd w:val="clear" w:color="auto" w:fill="auto"/>
            <w:vAlign w:val="center"/>
          </w:tcPr>
          <w:p w14:paraId="1C986F7C"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sz w:val="24"/>
                <w:szCs w:val="24"/>
              </w:rPr>
              <w:t xml:space="preserve">2,160,000.00 </w:t>
            </w:r>
          </w:p>
        </w:tc>
        <w:tc>
          <w:tcPr>
            <w:tcW w:w="1762" w:type="dxa"/>
            <w:shd w:val="clear" w:color="auto" w:fill="auto"/>
            <w:vAlign w:val="center"/>
          </w:tcPr>
          <w:p w14:paraId="1EF9A3B1"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sz w:val="24"/>
                <w:szCs w:val="24"/>
              </w:rPr>
              <w:t xml:space="preserve">4,860,000.00 </w:t>
            </w:r>
          </w:p>
        </w:tc>
      </w:tr>
      <w:tr w:rsidR="00A046DD" w:rsidRPr="00532C20" w14:paraId="7D03E93D" w14:textId="77777777">
        <w:trPr>
          <w:trHeight w:val="20"/>
        </w:trPr>
        <w:tc>
          <w:tcPr>
            <w:tcW w:w="3401" w:type="dxa"/>
            <w:shd w:val="clear" w:color="auto" w:fill="D9D9D9"/>
            <w:vAlign w:val="center"/>
          </w:tcPr>
          <w:p w14:paraId="0A96AD2C" w14:textId="77777777" w:rsidR="00A046DD" w:rsidRPr="00532C20" w:rsidRDefault="00A046DD" w:rsidP="00A046DD">
            <w:pPr>
              <w:rPr>
                <w:rFonts w:ascii="Times New Roman" w:hAnsi="Times New Roman"/>
                <w:b/>
                <w:noProof/>
                <w:sz w:val="24"/>
                <w:szCs w:val="24"/>
                <w:lang w:val="en-GB"/>
              </w:rPr>
            </w:pPr>
            <w:r w:rsidRPr="00532C20">
              <w:rPr>
                <w:rFonts w:ascii="Times New Roman" w:hAnsi="Times New Roman"/>
                <w:b/>
                <w:noProof/>
                <w:sz w:val="24"/>
                <w:szCs w:val="24"/>
                <w:lang w:val="en-IE"/>
              </w:rPr>
              <w:t>Implementing appropriate management, monitoring and enforcement mechanisms</w:t>
            </w:r>
          </w:p>
        </w:tc>
        <w:tc>
          <w:tcPr>
            <w:tcW w:w="1672" w:type="dxa"/>
            <w:shd w:val="clear" w:color="auto" w:fill="auto"/>
            <w:vAlign w:val="center"/>
          </w:tcPr>
          <w:p w14:paraId="517E1B51"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sz w:val="24"/>
                <w:szCs w:val="24"/>
              </w:rPr>
              <w:t xml:space="preserve">5,654,945.59 </w:t>
            </w:r>
          </w:p>
        </w:tc>
        <w:tc>
          <w:tcPr>
            <w:tcW w:w="1936" w:type="dxa"/>
            <w:shd w:val="clear" w:color="auto" w:fill="auto"/>
            <w:vAlign w:val="center"/>
          </w:tcPr>
          <w:p w14:paraId="6DEAE450"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sz w:val="24"/>
                <w:szCs w:val="24"/>
              </w:rPr>
              <w:t xml:space="preserve">7,068,681.99 </w:t>
            </w:r>
          </w:p>
        </w:tc>
        <w:tc>
          <w:tcPr>
            <w:tcW w:w="1762" w:type="dxa"/>
            <w:shd w:val="clear" w:color="auto" w:fill="auto"/>
            <w:vAlign w:val="center"/>
          </w:tcPr>
          <w:p w14:paraId="6745D4DC"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sz w:val="24"/>
                <w:szCs w:val="24"/>
              </w:rPr>
              <w:t xml:space="preserve">8,482,418.39 </w:t>
            </w:r>
          </w:p>
        </w:tc>
      </w:tr>
      <w:tr w:rsidR="00A046DD" w:rsidRPr="00532C20" w14:paraId="46E2A2B0" w14:textId="77777777">
        <w:trPr>
          <w:trHeight w:val="20"/>
        </w:trPr>
        <w:tc>
          <w:tcPr>
            <w:tcW w:w="3401" w:type="dxa"/>
            <w:shd w:val="clear" w:color="auto" w:fill="0C4DA2"/>
            <w:vAlign w:val="center"/>
          </w:tcPr>
          <w:p w14:paraId="1A17C9E4" w14:textId="77777777" w:rsidR="00A046DD" w:rsidRPr="00532C20" w:rsidRDefault="00A046DD" w:rsidP="00A046DD">
            <w:pPr>
              <w:rPr>
                <w:rFonts w:ascii="Times New Roman" w:hAnsi="Times New Roman"/>
                <w:b/>
                <w:noProof/>
                <w:color w:val="FFFFFF"/>
                <w:sz w:val="24"/>
                <w:szCs w:val="24"/>
                <w:lang w:val="en-GB"/>
              </w:rPr>
            </w:pPr>
            <w:r w:rsidRPr="00532C20">
              <w:rPr>
                <w:rFonts w:ascii="Times New Roman" w:hAnsi="Times New Roman"/>
                <w:b/>
                <w:noProof/>
                <w:color w:val="FFFFFF"/>
                <w:sz w:val="24"/>
                <w:szCs w:val="24"/>
                <w:lang w:val="fr-FR"/>
              </w:rPr>
              <w:t>Total:</w:t>
            </w:r>
          </w:p>
        </w:tc>
        <w:tc>
          <w:tcPr>
            <w:tcW w:w="1672" w:type="dxa"/>
            <w:shd w:val="clear" w:color="auto" w:fill="D9D9D9"/>
            <w:vAlign w:val="center"/>
          </w:tcPr>
          <w:p w14:paraId="1DA8E5B4" w14:textId="77777777" w:rsidR="00A046DD" w:rsidRPr="00532C20" w:rsidRDefault="00A046DD" w:rsidP="00A046DD">
            <w:pPr>
              <w:jc w:val="right"/>
              <w:rPr>
                <w:rFonts w:ascii="Times New Roman" w:hAnsi="Times New Roman"/>
                <w:b/>
                <w:noProof/>
                <w:sz w:val="24"/>
                <w:szCs w:val="24"/>
                <w:lang w:val="en-GB"/>
              </w:rPr>
            </w:pPr>
            <w:r w:rsidRPr="00532C20">
              <w:rPr>
                <w:rFonts w:ascii="Times New Roman" w:hAnsi="Times New Roman"/>
                <w:b/>
                <w:noProof/>
                <w:sz w:val="24"/>
                <w:szCs w:val="24"/>
              </w:rPr>
              <w:t xml:space="preserve">6,196,478.65 </w:t>
            </w:r>
          </w:p>
        </w:tc>
        <w:tc>
          <w:tcPr>
            <w:tcW w:w="1936" w:type="dxa"/>
            <w:shd w:val="clear" w:color="auto" w:fill="D9D9D9"/>
            <w:vAlign w:val="center"/>
          </w:tcPr>
          <w:p w14:paraId="7380F4DE" w14:textId="77777777" w:rsidR="00A046DD" w:rsidRPr="00532C20" w:rsidRDefault="00A046DD" w:rsidP="00A046DD">
            <w:pPr>
              <w:jc w:val="right"/>
              <w:rPr>
                <w:rFonts w:ascii="Times New Roman" w:hAnsi="Times New Roman"/>
                <w:b/>
                <w:noProof/>
                <w:sz w:val="24"/>
                <w:szCs w:val="24"/>
                <w:lang w:val="en-GB"/>
              </w:rPr>
            </w:pPr>
            <w:r w:rsidRPr="00532C20">
              <w:rPr>
                <w:rFonts w:ascii="Times New Roman" w:hAnsi="Times New Roman"/>
                <w:b/>
                <w:noProof/>
                <w:sz w:val="24"/>
                <w:szCs w:val="24"/>
              </w:rPr>
              <w:t xml:space="preserve">9,231,748.10 </w:t>
            </w:r>
          </w:p>
        </w:tc>
        <w:tc>
          <w:tcPr>
            <w:tcW w:w="1762" w:type="dxa"/>
            <w:shd w:val="clear" w:color="auto" w:fill="D9D9D9"/>
            <w:vAlign w:val="center"/>
          </w:tcPr>
          <w:p w14:paraId="353ED79E" w14:textId="77777777" w:rsidR="00A046DD" w:rsidRPr="00532C20" w:rsidRDefault="00A046DD" w:rsidP="00A046DD">
            <w:pPr>
              <w:jc w:val="right"/>
              <w:rPr>
                <w:rFonts w:ascii="Times New Roman" w:hAnsi="Times New Roman"/>
                <w:b/>
                <w:noProof/>
                <w:sz w:val="24"/>
                <w:szCs w:val="24"/>
                <w:lang w:val="en-GB"/>
              </w:rPr>
            </w:pPr>
            <w:r w:rsidRPr="00532C20">
              <w:rPr>
                <w:rFonts w:ascii="Times New Roman" w:hAnsi="Times New Roman"/>
                <w:b/>
                <w:noProof/>
                <w:sz w:val="24"/>
                <w:szCs w:val="24"/>
              </w:rPr>
              <w:t xml:space="preserve">13,347,017.56 </w:t>
            </w:r>
          </w:p>
        </w:tc>
      </w:tr>
    </w:tbl>
    <w:p w14:paraId="7F880F0D"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p>
    <w:p w14:paraId="1822BBD8" w14:textId="47B8F4E7" w:rsidR="004B20B4" w:rsidRPr="00532C20" w:rsidRDefault="004B20B4" w:rsidP="0020326D">
      <w:pPr>
        <w:pStyle w:val="ListParagraph"/>
        <w:numPr>
          <w:ilvl w:val="2"/>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 xml:space="preserve">Policy option </w:t>
      </w:r>
      <w:r w:rsidR="00D47716" w:rsidRPr="00532C20">
        <w:rPr>
          <w:rFonts w:ascii="Times New Roman" w:eastAsia="Times New Roman" w:hAnsi="Times New Roman" w:cs="Times New Roman"/>
          <w:b/>
          <w:bCs/>
          <w:noProof/>
          <w:u w:val="single"/>
        </w:rPr>
        <w:t>2.2</w:t>
      </w:r>
      <w:r w:rsidRPr="00532C20">
        <w:rPr>
          <w:rFonts w:ascii="Times New Roman" w:eastAsia="Times New Roman" w:hAnsi="Times New Roman" w:cs="Times New Roman"/>
          <w:b/>
          <w:bCs/>
          <w:noProof/>
          <w:u w:val="single"/>
        </w:rPr>
        <w:t>: Extended legislative intervention</w:t>
      </w:r>
    </w:p>
    <w:p w14:paraId="6F6AF015" w14:textId="1D982CD8"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Many of the costs to be borne by Member State authorities under policy option 2 would also be relevant under policy option </w:t>
      </w:r>
      <w:r w:rsidR="00D47716" w:rsidRPr="00532C20">
        <w:rPr>
          <w:rFonts w:ascii="Times New Roman" w:eastAsia="Times New Roman" w:hAnsi="Times New Roman" w:cs="Times New Roman"/>
          <w:noProof/>
          <w:sz w:val="24"/>
          <w:szCs w:val="24"/>
        </w:rPr>
        <w:t>2.2</w:t>
      </w:r>
      <w:r w:rsidRPr="00532C20">
        <w:rPr>
          <w:rFonts w:ascii="Times New Roman" w:eastAsia="Times New Roman" w:hAnsi="Times New Roman" w:cs="Times New Roman"/>
          <w:noProof/>
          <w:sz w:val="24"/>
          <w:szCs w:val="24"/>
        </w:rPr>
        <w:t>. Concretely, this includes:</w:t>
      </w:r>
    </w:p>
    <w:p w14:paraId="74893995" w14:textId="6D30B614" w:rsidR="00A046DD" w:rsidRPr="00532C20" w:rsidRDefault="00A046DD" w:rsidP="002B0B48">
      <w:pPr>
        <w:numPr>
          <w:ilvl w:val="0"/>
          <w:numId w:val="63"/>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Familiarisation costs</w:t>
      </w:r>
      <w:r w:rsidRPr="00532C20">
        <w:rPr>
          <w:rFonts w:ascii="Times New Roman" w:eastAsia="Times New Roman" w:hAnsi="Times New Roman" w:cs="Times New Roman"/>
          <w:noProof/>
          <w:sz w:val="24"/>
          <w:szCs w:val="24"/>
          <w:lang w:eastAsia="en-GB"/>
        </w:rPr>
        <w:t xml:space="preserve">: While the provisions of the interventions proposed under options </w:t>
      </w:r>
      <w:r w:rsidR="00D47716" w:rsidRPr="00532C20">
        <w:rPr>
          <w:rFonts w:ascii="Times New Roman" w:eastAsia="Times New Roman" w:hAnsi="Times New Roman" w:cs="Times New Roman"/>
          <w:noProof/>
          <w:sz w:val="24"/>
          <w:szCs w:val="24"/>
          <w:lang w:eastAsia="en-GB"/>
        </w:rPr>
        <w:t>2.</w:t>
      </w:r>
      <w:r w:rsidR="0070317A" w:rsidRPr="00532C20">
        <w:rPr>
          <w:rFonts w:ascii="Times New Roman" w:eastAsia="Times New Roman" w:hAnsi="Times New Roman" w:cs="Times New Roman"/>
          <w:noProof/>
          <w:sz w:val="24"/>
          <w:szCs w:val="24"/>
          <w:lang w:eastAsia="en-GB"/>
        </w:rPr>
        <w:t>1</w:t>
      </w:r>
      <w:r w:rsidRPr="00532C20">
        <w:rPr>
          <w:rFonts w:ascii="Times New Roman" w:eastAsia="Times New Roman" w:hAnsi="Times New Roman" w:cs="Times New Roman"/>
          <w:noProof/>
          <w:sz w:val="24"/>
          <w:szCs w:val="24"/>
          <w:lang w:eastAsia="en-GB"/>
        </w:rPr>
        <w:t xml:space="preserve"> and </w:t>
      </w:r>
      <w:r w:rsidR="00D47716" w:rsidRPr="00532C20">
        <w:rPr>
          <w:rFonts w:ascii="Times New Roman" w:eastAsia="Times New Roman" w:hAnsi="Times New Roman" w:cs="Times New Roman"/>
          <w:noProof/>
          <w:sz w:val="24"/>
          <w:szCs w:val="24"/>
          <w:lang w:eastAsia="en-GB"/>
        </w:rPr>
        <w:t>2.2</w:t>
      </w:r>
      <w:r w:rsidRPr="00532C20">
        <w:rPr>
          <w:rFonts w:ascii="Times New Roman" w:eastAsia="Times New Roman" w:hAnsi="Times New Roman" w:cs="Times New Roman"/>
          <w:noProof/>
          <w:sz w:val="24"/>
          <w:szCs w:val="24"/>
          <w:lang w:eastAsia="en-GB"/>
        </w:rPr>
        <w:t xml:space="preserve"> will be different, it is assumed that the time required for Member State authorities to familiarise themselves with the provisions and develop an implementation strategy would be the same.</w:t>
      </w:r>
    </w:p>
    <w:p w14:paraId="4F72EEF5" w14:textId="4BCCD1AF" w:rsidR="00A046DD" w:rsidRPr="00532C20" w:rsidRDefault="00A046DD" w:rsidP="002B0B48">
      <w:pPr>
        <w:numPr>
          <w:ilvl w:val="0"/>
          <w:numId w:val="63"/>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Implementing, managing, monitoring and enforcing an appropriate transparency regime / register</w:t>
      </w:r>
      <w:r w:rsidRPr="00532C20">
        <w:rPr>
          <w:rFonts w:ascii="Times New Roman" w:eastAsia="Times New Roman" w:hAnsi="Times New Roman" w:cs="Times New Roman"/>
          <w:noProof/>
          <w:sz w:val="24"/>
          <w:szCs w:val="24"/>
          <w:lang w:eastAsia="en-GB"/>
        </w:rPr>
        <w:t xml:space="preserve">: As for policy option </w:t>
      </w:r>
      <w:r w:rsidR="00D47716" w:rsidRPr="00532C20">
        <w:rPr>
          <w:rFonts w:ascii="Times New Roman" w:eastAsia="Times New Roman" w:hAnsi="Times New Roman" w:cs="Times New Roman"/>
          <w:noProof/>
          <w:sz w:val="24"/>
          <w:szCs w:val="24"/>
          <w:lang w:eastAsia="en-GB"/>
        </w:rPr>
        <w:t>2.1</w:t>
      </w:r>
      <w:r w:rsidRPr="00532C20">
        <w:rPr>
          <w:rFonts w:ascii="Times New Roman" w:eastAsia="Times New Roman" w:hAnsi="Times New Roman" w:cs="Times New Roman"/>
          <w:noProof/>
          <w:sz w:val="24"/>
          <w:szCs w:val="24"/>
          <w:lang w:eastAsia="en-GB"/>
        </w:rPr>
        <w:t xml:space="preserve">, policy option </w:t>
      </w:r>
      <w:r w:rsidR="00D47716" w:rsidRPr="00532C20">
        <w:rPr>
          <w:rFonts w:ascii="Times New Roman" w:eastAsia="Times New Roman" w:hAnsi="Times New Roman" w:cs="Times New Roman"/>
          <w:noProof/>
          <w:sz w:val="24"/>
          <w:szCs w:val="24"/>
          <w:lang w:eastAsia="en-GB"/>
        </w:rPr>
        <w:t>2.2</w:t>
      </w:r>
      <w:r w:rsidRPr="00532C20">
        <w:rPr>
          <w:rFonts w:ascii="Times New Roman" w:eastAsia="Times New Roman" w:hAnsi="Times New Roman" w:cs="Times New Roman"/>
          <w:noProof/>
          <w:sz w:val="24"/>
          <w:szCs w:val="24"/>
          <w:lang w:eastAsia="en-GB"/>
        </w:rPr>
        <w:t xml:space="preserve"> would require Member States to ensure that an appropriate transparency regime / register for interest representation on behalf of third countries is in place. The activities required to monitor and enforce that regime would also be largely similar. </w:t>
      </w:r>
    </w:p>
    <w:p w14:paraId="07460127" w14:textId="0B950C08"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However, option </w:t>
      </w:r>
      <w:r w:rsidR="00D47716" w:rsidRPr="00532C20">
        <w:rPr>
          <w:rFonts w:ascii="Times New Roman" w:eastAsia="Times New Roman" w:hAnsi="Times New Roman" w:cs="Times New Roman"/>
          <w:noProof/>
          <w:sz w:val="24"/>
          <w:szCs w:val="24"/>
        </w:rPr>
        <w:t>2.2</w:t>
      </w:r>
      <w:r w:rsidRPr="00532C20">
        <w:rPr>
          <w:rFonts w:ascii="Times New Roman" w:eastAsia="Times New Roman" w:hAnsi="Times New Roman" w:cs="Times New Roman"/>
          <w:noProof/>
          <w:sz w:val="24"/>
          <w:szCs w:val="24"/>
        </w:rPr>
        <w:t xml:space="preserve"> would also require Member States to </w:t>
      </w:r>
      <w:r w:rsidRPr="00532C20">
        <w:rPr>
          <w:rFonts w:ascii="Times New Roman" w:eastAsia="Times New Roman" w:hAnsi="Times New Roman" w:cs="Times New Roman"/>
          <w:b/>
          <w:noProof/>
          <w:sz w:val="24"/>
          <w:szCs w:val="24"/>
        </w:rPr>
        <w:t>establish a system for managing and granting applications for EU-wide licences</w:t>
      </w:r>
      <w:r w:rsidRPr="00532C20">
        <w:rPr>
          <w:rFonts w:ascii="Times New Roman" w:eastAsia="Times New Roman" w:hAnsi="Times New Roman" w:cs="Times New Roman"/>
          <w:noProof/>
          <w:sz w:val="24"/>
          <w:szCs w:val="24"/>
        </w:rPr>
        <w:t xml:space="preserve"> to conduct interest representation activities on behalf of third countries. This system would bring additional recurrent costs for Member State authorities.</w:t>
      </w:r>
    </w:p>
    <w:p w14:paraId="23A6E7F9" w14:textId="6FFB4B98"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The below table summarises the nature of the different costs to Member State authorities under policy option </w:t>
      </w:r>
      <w:r w:rsidR="00D47716" w:rsidRPr="00532C20">
        <w:rPr>
          <w:rFonts w:ascii="Times New Roman" w:eastAsia="Times New Roman" w:hAnsi="Times New Roman" w:cs="Times New Roman"/>
          <w:noProof/>
          <w:sz w:val="24"/>
          <w:szCs w:val="24"/>
        </w:rPr>
        <w:t>2.2</w:t>
      </w:r>
      <w:r w:rsidRPr="00532C20">
        <w:rPr>
          <w:rFonts w:ascii="Times New Roman" w:eastAsia="Times New Roman" w:hAnsi="Times New Roman" w:cs="Times New Roman"/>
          <w:noProof/>
          <w:sz w:val="24"/>
          <w:szCs w:val="24"/>
        </w:rPr>
        <w:t xml:space="preserve">. </w:t>
      </w:r>
    </w:p>
    <w:p w14:paraId="551DF4C7" w14:textId="5B2594C9"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11</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Policy option </w:t>
      </w:r>
      <w:r w:rsidR="00D47716" w:rsidRPr="00532C20">
        <w:rPr>
          <w:rFonts w:ascii="Times New Roman" w:eastAsia="Times New Roman" w:hAnsi="Times New Roman" w:cs="Times New Roman"/>
          <w:b/>
          <w:noProof/>
          <w:sz w:val="24"/>
          <w:szCs w:val="24"/>
        </w:rPr>
        <w:t>2.2</w:t>
      </w:r>
      <w:r w:rsidRPr="00532C20">
        <w:rPr>
          <w:rFonts w:ascii="Times New Roman" w:eastAsia="Times New Roman" w:hAnsi="Times New Roman" w:cs="Times New Roman"/>
          <w:b/>
          <w:noProof/>
          <w:sz w:val="24"/>
          <w:szCs w:val="24"/>
        </w:rPr>
        <w:t xml:space="preserve"> – Summary of costs to Member State authorities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4"/>
        <w:gridCol w:w="1311"/>
        <w:gridCol w:w="1603"/>
        <w:gridCol w:w="1165"/>
        <w:gridCol w:w="2173"/>
      </w:tblGrid>
      <w:tr w:rsidR="00A046DD" w:rsidRPr="00532C20" w14:paraId="67AB69E9" w14:textId="77777777">
        <w:trPr>
          <w:trHeight w:val="20"/>
          <w:tblHeader/>
        </w:trPr>
        <w:tc>
          <w:tcPr>
            <w:tcW w:w="1533" w:type="pct"/>
            <w:shd w:val="clear" w:color="auto" w:fill="002060"/>
            <w:noWrap/>
            <w:vAlign w:val="center"/>
            <w:hideMark/>
          </w:tcPr>
          <w:p w14:paraId="79444E68"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Cost items – Member State authorities</w:t>
            </w:r>
          </w:p>
        </w:tc>
        <w:tc>
          <w:tcPr>
            <w:tcW w:w="727" w:type="pct"/>
            <w:shd w:val="clear" w:color="auto" w:fill="002060"/>
            <w:noWrap/>
            <w:vAlign w:val="center"/>
            <w:hideMark/>
          </w:tcPr>
          <w:p w14:paraId="4C80DCFF"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One-off vs. recurrent</w:t>
            </w:r>
          </w:p>
        </w:tc>
        <w:tc>
          <w:tcPr>
            <w:tcW w:w="889" w:type="pct"/>
            <w:shd w:val="clear" w:color="auto" w:fill="002060"/>
            <w:noWrap/>
            <w:vAlign w:val="center"/>
            <w:hideMark/>
          </w:tcPr>
          <w:p w14:paraId="06AB0E2A"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Type</w:t>
            </w:r>
          </w:p>
        </w:tc>
        <w:tc>
          <w:tcPr>
            <w:tcW w:w="646" w:type="pct"/>
            <w:shd w:val="clear" w:color="auto" w:fill="002060"/>
            <w:noWrap/>
            <w:vAlign w:val="center"/>
            <w:hideMark/>
          </w:tcPr>
          <w:p w14:paraId="6B4B0778"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Frequency</w:t>
            </w:r>
          </w:p>
        </w:tc>
        <w:tc>
          <w:tcPr>
            <w:tcW w:w="1205" w:type="pct"/>
            <w:shd w:val="clear" w:color="auto" w:fill="002060"/>
            <w:noWrap/>
            <w:vAlign w:val="center"/>
            <w:hideMark/>
          </w:tcPr>
          <w:p w14:paraId="386A78DC"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Number of Member States</w:t>
            </w:r>
          </w:p>
        </w:tc>
      </w:tr>
      <w:tr w:rsidR="00A046DD" w:rsidRPr="00532C20" w14:paraId="7342613F" w14:textId="77777777">
        <w:trPr>
          <w:trHeight w:val="20"/>
        </w:trPr>
        <w:tc>
          <w:tcPr>
            <w:tcW w:w="1533" w:type="pct"/>
            <w:shd w:val="clear" w:color="auto" w:fill="D9D9D9"/>
            <w:noWrap/>
            <w:vAlign w:val="center"/>
          </w:tcPr>
          <w:p w14:paraId="360AEF41"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Familiarisation costs</w:t>
            </w:r>
          </w:p>
          <w:p w14:paraId="5C8961C2" w14:textId="77777777" w:rsidR="00A046DD" w:rsidRPr="00532C20" w:rsidRDefault="00A046DD" w:rsidP="00A046DD">
            <w:pPr>
              <w:spacing w:after="0" w:line="240" w:lineRule="auto"/>
              <w:jc w:val="both"/>
              <w:rPr>
                <w:rFonts w:ascii="Times New Roman" w:eastAsia="Times New Roman" w:hAnsi="Times New Roman" w:cs="Times New Roman"/>
                <w:i/>
                <w:noProof/>
                <w:sz w:val="24"/>
                <w:szCs w:val="24"/>
              </w:rPr>
            </w:pPr>
            <w:r w:rsidRPr="00532C20">
              <w:rPr>
                <w:rFonts w:ascii="Times New Roman" w:eastAsia="Times New Roman" w:hAnsi="Times New Roman" w:cs="Times New Roman"/>
                <w:i/>
                <w:noProof/>
                <w:sz w:val="24"/>
                <w:szCs w:val="24"/>
              </w:rPr>
              <w:t>Adjustment cost</w:t>
            </w:r>
          </w:p>
        </w:tc>
        <w:tc>
          <w:tcPr>
            <w:tcW w:w="727" w:type="pct"/>
            <w:shd w:val="clear" w:color="auto" w:fill="auto"/>
            <w:noWrap/>
            <w:vAlign w:val="center"/>
          </w:tcPr>
          <w:p w14:paraId="1D7844D1"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89" w:type="pct"/>
            <w:shd w:val="clear" w:color="auto" w:fill="auto"/>
            <w:noWrap/>
            <w:vAlign w:val="center"/>
          </w:tcPr>
          <w:p w14:paraId="29F4CAA3"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Implementation</w:t>
            </w:r>
          </w:p>
        </w:tc>
        <w:tc>
          <w:tcPr>
            <w:tcW w:w="646" w:type="pct"/>
            <w:shd w:val="clear" w:color="auto" w:fill="auto"/>
            <w:noWrap/>
            <w:vAlign w:val="center"/>
          </w:tcPr>
          <w:p w14:paraId="2F0E9859"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205" w:type="pct"/>
            <w:shd w:val="clear" w:color="auto" w:fill="auto"/>
            <w:noWrap/>
            <w:vAlign w:val="center"/>
          </w:tcPr>
          <w:p w14:paraId="5DF74C99"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EU-27</w:t>
            </w:r>
          </w:p>
        </w:tc>
      </w:tr>
      <w:tr w:rsidR="00A046DD" w:rsidRPr="00532C20" w14:paraId="14B05568" w14:textId="77777777">
        <w:trPr>
          <w:trHeight w:val="20"/>
        </w:trPr>
        <w:tc>
          <w:tcPr>
            <w:tcW w:w="1533" w:type="pct"/>
            <w:shd w:val="clear" w:color="auto" w:fill="D9D9D9"/>
            <w:noWrap/>
            <w:vAlign w:val="center"/>
            <w:hideMark/>
          </w:tcPr>
          <w:p w14:paraId="54999BA8"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Establish new register / regime</w:t>
            </w:r>
          </w:p>
          <w:p w14:paraId="23F559EB" w14:textId="77777777" w:rsidR="00A046DD" w:rsidRPr="00532C20" w:rsidRDefault="00A046DD" w:rsidP="00A046DD">
            <w:pPr>
              <w:spacing w:after="0" w:line="240" w:lineRule="auto"/>
              <w:jc w:val="both"/>
              <w:rPr>
                <w:rFonts w:ascii="Times New Roman" w:eastAsia="Times New Roman" w:hAnsi="Times New Roman" w:cs="Times New Roman"/>
                <w:b/>
                <w:i/>
                <w:noProof/>
                <w:sz w:val="24"/>
                <w:szCs w:val="24"/>
              </w:rPr>
            </w:pPr>
            <w:r w:rsidRPr="00532C20">
              <w:rPr>
                <w:rFonts w:ascii="Times New Roman" w:eastAsia="Times New Roman" w:hAnsi="Times New Roman" w:cs="Times New Roman"/>
                <w:i/>
                <w:noProof/>
                <w:sz w:val="24"/>
                <w:szCs w:val="24"/>
              </w:rPr>
              <w:t>Adjustment cost</w:t>
            </w:r>
          </w:p>
        </w:tc>
        <w:tc>
          <w:tcPr>
            <w:tcW w:w="727" w:type="pct"/>
            <w:shd w:val="clear" w:color="auto" w:fill="auto"/>
            <w:noWrap/>
            <w:vAlign w:val="center"/>
            <w:hideMark/>
          </w:tcPr>
          <w:p w14:paraId="168756B4"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89" w:type="pct"/>
            <w:shd w:val="clear" w:color="auto" w:fill="auto"/>
            <w:noWrap/>
            <w:vAlign w:val="center"/>
            <w:hideMark/>
          </w:tcPr>
          <w:p w14:paraId="6115F20F"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Equipment</w:t>
            </w:r>
          </w:p>
        </w:tc>
        <w:tc>
          <w:tcPr>
            <w:tcW w:w="646" w:type="pct"/>
            <w:shd w:val="clear" w:color="auto" w:fill="auto"/>
            <w:noWrap/>
            <w:vAlign w:val="center"/>
            <w:hideMark/>
          </w:tcPr>
          <w:p w14:paraId="21F40BE8"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205" w:type="pct"/>
            <w:shd w:val="clear" w:color="auto" w:fill="auto"/>
            <w:noWrap/>
            <w:vAlign w:val="center"/>
            <w:hideMark/>
          </w:tcPr>
          <w:p w14:paraId="2A7990AF"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12 MS</w:t>
            </w:r>
            <w:r w:rsidRPr="00532C20">
              <w:rPr>
                <w:rFonts w:ascii="Times New Roman" w:eastAsia="Times New Roman" w:hAnsi="Times New Roman" w:cs="Times New Roman"/>
                <w:noProof/>
                <w:sz w:val="24"/>
                <w:szCs w:val="24"/>
              </w:rPr>
              <w:t xml:space="preserve"> (BE</w:t>
            </w:r>
            <w:r w:rsidRPr="00532C20">
              <w:rPr>
                <w:rFonts w:ascii="Times New Roman" w:eastAsia="Times New Roman" w:hAnsi="Times New Roman" w:cs="Times New Roman"/>
                <w:noProof/>
                <w:sz w:val="24"/>
                <w:szCs w:val="24"/>
                <w:vertAlign w:val="superscript"/>
              </w:rPr>
              <w:footnoteReference w:id="254"/>
            </w:r>
            <w:r w:rsidRPr="00532C20">
              <w:rPr>
                <w:rFonts w:ascii="Times New Roman" w:eastAsia="Times New Roman" w:hAnsi="Times New Roman" w:cs="Times New Roman"/>
                <w:noProof/>
                <w:sz w:val="24"/>
                <w:szCs w:val="24"/>
              </w:rPr>
              <w:t>, BG, HR, CZ, DK, EE, HU, LV, MT, PT, SK, SE)</w:t>
            </w:r>
          </w:p>
        </w:tc>
      </w:tr>
      <w:tr w:rsidR="00A046DD" w:rsidRPr="00313F32" w14:paraId="58EF0AAF" w14:textId="77777777">
        <w:trPr>
          <w:trHeight w:val="20"/>
        </w:trPr>
        <w:tc>
          <w:tcPr>
            <w:tcW w:w="1533" w:type="pct"/>
            <w:shd w:val="clear" w:color="auto" w:fill="D9D9D9"/>
            <w:noWrap/>
            <w:vAlign w:val="center"/>
            <w:hideMark/>
          </w:tcPr>
          <w:p w14:paraId="4BC9235D"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Amend existing register / regime</w:t>
            </w:r>
          </w:p>
          <w:p w14:paraId="7E5E838B" w14:textId="77777777" w:rsidR="00A046DD" w:rsidRPr="00532C20" w:rsidRDefault="00A046DD" w:rsidP="00A046DD">
            <w:pPr>
              <w:spacing w:after="0" w:line="240" w:lineRule="auto"/>
              <w:jc w:val="both"/>
              <w:rPr>
                <w:rFonts w:ascii="Times New Roman" w:eastAsia="Times New Roman" w:hAnsi="Times New Roman" w:cs="Times New Roman"/>
                <w:b/>
                <w:i/>
                <w:noProof/>
                <w:sz w:val="24"/>
                <w:szCs w:val="24"/>
              </w:rPr>
            </w:pPr>
            <w:r w:rsidRPr="00532C20">
              <w:rPr>
                <w:rFonts w:ascii="Times New Roman" w:eastAsia="Times New Roman" w:hAnsi="Times New Roman" w:cs="Times New Roman"/>
                <w:i/>
                <w:noProof/>
                <w:sz w:val="24"/>
                <w:szCs w:val="24"/>
              </w:rPr>
              <w:t>Adjustment cost</w:t>
            </w:r>
          </w:p>
        </w:tc>
        <w:tc>
          <w:tcPr>
            <w:tcW w:w="727" w:type="pct"/>
            <w:shd w:val="clear" w:color="auto" w:fill="auto"/>
            <w:noWrap/>
            <w:vAlign w:val="center"/>
            <w:hideMark/>
          </w:tcPr>
          <w:p w14:paraId="0AE966C2"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89" w:type="pct"/>
            <w:shd w:val="clear" w:color="auto" w:fill="auto"/>
            <w:noWrap/>
            <w:vAlign w:val="center"/>
            <w:hideMark/>
          </w:tcPr>
          <w:p w14:paraId="3717CC4F"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Equipment</w:t>
            </w:r>
          </w:p>
        </w:tc>
        <w:tc>
          <w:tcPr>
            <w:tcW w:w="646" w:type="pct"/>
            <w:shd w:val="clear" w:color="auto" w:fill="auto"/>
            <w:noWrap/>
            <w:vAlign w:val="center"/>
            <w:hideMark/>
          </w:tcPr>
          <w:p w14:paraId="2705D681"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205" w:type="pct"/>
            <w:shd w:val="clear" w:color="auto" w:fill="auto"/>
            <w:noWrap/>
            <w:vAlign w:val="center"/>
            <w:hideMark/>
          </w:tcPr>
          <w:p w14:paraId="2602EA9B"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lang w:val="es-ES"/>
              </w:rPr>
            </w:pPr>
            <w:r w:rsidRPr="00532C20">
              <w:rPr>
                <w:rFonts w:ascii="Times New Roman" w:eastAsia="Times New Roman" w:hAnsi="Times New Roman" w:cs="Times New Roman"/>
                <w:b/>
                <w:noProof/>
                <w:sz w:val="24"/>
                <w:szCs w:val="24"/>
                <w:lang w:val="es-ES"/>
              </w:rPr>
              <w:t>15 MS</w:t>
            </w:r>
            <w:r w:rsidRPr="00532C20">
              <w:rPr>
                <w:rFonts w:ascii="Times New Roman" w:eastAsia="Times New Roman" w:hAnsi="Times New Roman" w:cs="Times New Roman"/>
                <w:noProof/>
                <w:sz w:val="24"/>
                <w:szCs w:val="24"/>
                <w:lang w:val="es-ES"/>
              </w:rPr>
              <w:t xml:space="preserve"> (AT, CY, FI, FR, DE, EL, IE, IT, LT, LU, NL, PL, RO, SI, ES)</w:t>
            </w:r>
          </w:p>
        </w:tc>
      </w:tr>
      <w:tr w:rsidR="00A046DD" w:rsidRPr="00532C20" w14:paraId="16913313" w14:textId="77777777">
        <w:trPr>
          <w:trHeight w:val="20"/>
        </w:trPr>
        <w:tc>
          <w:tcPr>
            <w:tcW w:w="1533" w:type="pct"/>
            <w:shd w:val="clear" w:color="auto" w:fill="D9D9D9"/>
            <w:noWrap/>
            <w:vAlign w:val="center"/>
            <w:hideMark/>
          </w:tcPr>
          <w:p w14:paraId="6579B543"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IT maintenance</w:t>
            </w:r>
          </w:p>
          <w:p w14:paraId="092BB571" w14:textId="77777777" w:rsidR="00A046DD" w:rsidRPr="00532C20" w:rsidRDefault="00A046DD" w:rsidP="00A046DD">
            <w:pPr>
              <w:spacing w:after="0" w:line="240" w:lineRule="auto"/>
              <w:jc w:val="both"/>
              <w:rPr>
                <w:rFonts w:ascii="Times New Roman" w:eastAsia="Times New Roman" w:hAnsi="Times New Roman" w:cs="Times New Roman"/>
                <w:b/>
                <w:i/>
                <w:noProof/>
                <w:sz w:val="24"/>
                <w:szCs w:val="24"/>
              </w:rPr>
            </w:pPr>
            <w:r w:rsidRPr="00532C20">
              <w:rPr>
                <w:rFonts w:ascii="Times New Roman" w:eastAsia="Times New Roman" w:hAnsi="Times New Roman" w:cs="Times New Roman"/>
                <w:i/>
                <w:noProof/>
                <w:sz w:val="24"/>
                <w:szCs w:val="24"/>
              </w:rPr>
              <w:t>Adjustment cost</w:t>
            </w:r>
          </w:p>
        </w:tc>
        <w:tc>
          <w:tcPr>
            <w:tcW w:w="727" w:type="pct"/>
            <w:shd w:val="clear" w:color="auto" w:fill="auto"/>
            <w:noWrap/>
            <w:vAlign w:val="center"/>
            <w:hideMark/>
          </w:tcPr>
          <w:p w14:paraId="6CDC6B51"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Recurrent</w:t>
            </w:r>
          </w:p>
        </w:tc>
        <w:tc>
          <w:tcPr>
            <w:tcW w:w="889" w:type="pct"/>
            <w:shd w:val="clear" w:color="auto" w:fill="auto"/>
            <w:noWrap/>
            <w:vAlign w:val="center"/>
            <w:hideMark/>
          </w:tcPr>
          <w:p w14:paraId="5F0DF643"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Implementation</w:t>
            </w:r>
          </w:p>
        </w:tc>
        <w:tc>
          <w:tcPr>
            <w:tcW w:w="646" w:type="pct"/>
            <w:shd w:val="clear" w:color="auto" w:fill="auto"/>
            <w:noWrap/>
            <w:vAlign w:val="center"/>
            <w:hideMark/>
          </w:tcPr>
          <w:p w14:paraId="35AD61A6"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Years 2-10, annual</w:t>
            </w:r>
          </w:p>
        </w:tc>
        <w:tc>
          <w:tcPr>
            <w:tcW w:w="1205" w:type="pct"/>
            <w:shd w:val="clear" w:color="auto" w:fill="auto"/>
            <w:noWrap/>
            <w:vAlign w:val="center"/>
            <w:hideMark/>
          </w:tcPr>
          <w:p w14:paraId="5787FA11"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EU-27</w:t>
            </w:r>
          </w:p>
        </w:tc>
      </w:tr>
      <w:tr w:rsidR="00A046DD" w:rsidRPr="00532C20" w14:paraId="50186CCF" w14:textId="77777777">
        <w:trPr>
          <w:trHeight w:val="20"/>
        </w:trPr>
        <w:tc>
          <w:tcPr>
            <w:tcW w:w="1533" w:type="pct"/>
            <w:shd w:val="clear" w:color="auto" w:fill="D9D9D9"/>
            <w:noWrap/>
            <w:vAlign w:val="center"/>
          </w:tcPr>
          <w:p w14:paraId="5B610BA9"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Amend and operate management, monitoring &amp; enforcement systems</w:t>
            </w:r>
          </w:p>
          <w:p w14:paraId="35092F3B"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i/>
                <w:noProof/>
                <w:sz w:val="24"/>
                <w:szCs w:val="24"/>
              </w:rPr>
              <w:t>Enforcement cost</w:t>
            </w:r>
          </w:p>
        </w:tc>
        <w:tc>
          <w:tcPr>
            <w:tcW w:w="727" w:type="pct"/>
            <w:shd w:val="clear" w:color="auto" w:fill="auto"/>
            <w:noWrap/>
            <w:vAlign w:val="center"/>
          </w:tcPr>
          <w:p w14:paraId="3C65C64C"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Recurrent</w:t>
            </w:r>
          </w:p>
        </w:tc>
        <w:tc>
          <w:tcPr>
            <w:tcW w:w="889" w:type="pct"/>
            <w:shd w:val="clear" w:color="auto" w:fill="auto"/>
            <w:noWrap/>
            <w:vAlign w:val="center"/>
          </w:tcPr>
          <w:p w14:paraId="27751F9D"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Direct labour costs + overheads</w:t>
            </w:r>
          </w:p>
        </w:tc>
        <w:tc>
          <w:tcPr>
            <w:tcW w:w="646" w:type="pct"/>
            <w:shd w:val="clear" w:color="auto" w:fill="auto"/>
            <w:noWrap/>
            <w:vAlign w:val="center"/>
          </w:tcPr>
          <w:p w14:paraId="534A80E2"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Years 1-10, annual</w:t>
            </w:r>
          </w:p>
        </w:tc>
        <w:tc>
          <w:tcPr>
            <w:tcW w:w="1205" w:type="pct"/>
            <w:shd w:val="clear" w:color="auto" w:fill="auto"/>
            <w:noWrap/>
            <w:vAlign w:val="center"/>
          </w:tcPr>
          <w:p w14:paraId="6C3F3671"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EU-27</w:t>
            </w:r>
          </w:p>
        </w:tc>
      </w:tr>
      <w:tr w:rsidR="00A046DD" w:rsidRPr="00532C20" w14:paraId="0CFD278D" w14:textId="77777777">
        <w:trPr>
          <w:trHeight w:val="20"/>
        </w:trPr>
        <w:tc>
          <w:tcPr>
            <w:tcW w:w="1533" w:type="pct"/>
            <w:shd w:val="clear" w:color="auto" w:fill="D9D9D9"/>
            <w:noWrap/>
            <w:vAlign w:val="center"/>
          </w:tcPr>
          <w:p w14:paraId="5413206F"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Establish system for processing licence applications</w:t>
            </w:r>
          </w:p>
          <w:p w14:paraId="7CD016FD" w14:textId="77777777" w:rsidR="00A046DD" w:rsidRPr="00532C20" w:rsidRDefault="00A046DD" w:rsidP="00A046DD">
            <w:pPr>
              <w:spacing w:after="0" w:line="240" w:lineRule="auto"/>
              <w:jc w:val="both"/>
              <w:rPr>
                <w:rFonts w:ascii="Times New Roman" w:eastAsia="Times New Roman" w:hAnsi="Times New Roman" w:cs="Times New Roman"/>
                <w:i/>
                <w:noProof/>
                <w:sz w:val="24"/>
                <w:szCs w:val="24"/>
              </w:rPr>
            </w:pPr>
            <w:r w:rsidRPr="00532C20">
              <w:rPr>
                <w:rFonts w:ascii="Times New Roman" w:eastAsia="Times New Roman" w:hAnsi="Times New Roman" w:cs="Times New Roman"/>
                <w:i/>
                <w:noProof/>
                <w:sz w:val="24"/>
                <w:szCs w:val="24"/>
              </w:rPr>
              <w:t>Adjustment cost</w:t>
            </w:r>
          </w:p>
        </w:tc>
        <w:tc>
          <w:tcPr>
            <w:tcW w:w="727" w:type="pct"/>
            <w:shd w:val="clear" w:color="auto" w:fill="auto"/>
            <w:noWrap/>
            <w:vAlign w:val="center"/>
          </w:tcPr>
          <w:p w14:paraId="560EF1DA"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89" w:type="pct"/>
            <w:shd w:val="clear" w:color="auto" w:fill="auto"/>
            <w:noWrap/>
            <w:vAlign w:val="center"/>
          </w:tcPr>
          <w:p w14:paraId="16612179"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Implementation</w:t>
            </w:r>
          </w:p>
        </w:tc>
        <w:tc>
          <w:tcPr>
            <w:tcW w:w="646" w:type="pct"/>
            <w:shd w:val="clear" w:color="auto" w:fill="auto"/>
            <w:noWrap/>
            <w:vAlign w:val="center"/>
          </w:tcPr>
          <w:p w14:paraId="274DDA4D"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205" w:type="pct"/>
            <w:shd w:val="clear" w:color="auto" w:fill="auto"/>
            <w:noWrap/>
            <w:vAlign w:val="center"/>
          </w:tcPr>
          <w:p w14:paraId="70BC906A"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EU-27</w:t>
            </w:r>
          </w:p>
        </w:tc>
      </w:tr>
      <w:tr w:rsidR="00A046DD" w:rsidRPr="00532C20" w14:paraId="54655B40" w14:textId="77777777">
        <w:trPr>
          <w:trHeight w:val="20"/>
        </w:trPr>
        <w:tc>
          <w:tcPr>
            <w:tcW w:w="1533" w:type="pct"/>
            <w:shd w:val="clear" w:color="auto" w:fill="D9D9D9"/>
            <w:noWrap/>
            <w:vAlign w:val="center"/>
          </w:tcPr>
          <w:p w14:paraId="66E2F535"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Operate the system for processing licence applications</w:t>
            </w:r>
          </w:p>
          <w:p w14:paraId="2BE5D9CE" w14:textId="77777777" w:rsidR="00A046DD" w:rsidRPr="00532C20" w:rsidRDefault="00A046DD" w:rsidP="00A046DD">
            <w:pPr>
              <w:spacing w:after="0" w:line="240" w:lineRule="auto"/>
              <w:jc w:val="both"/>
              <w:rPr>
                <w:rFonts w:ascii="Times New Roman" w:eastAsia="Times New Roman" w:hAnsi="Times New Roman" w:cs="Times New Roman"/>
                <w:i/>
                <w:noProof/>
                <w:sz w:val="24"/>
                <w:szCs w:val="24"/>
              </w:rPr>
            </w:pPr>
            <w:r w:rsidRPr="00532C20">
              <w:rPr>
                <w:rFonts w:ascii="Times New Roman" w:eastAsia="Times New Roman" w:hAnsi="Times New Roman" w:cs="Times New Roman"/>
                <w:i/>
                <w:noProof/>
                <w:sz w:val="24"/>
                <w:szCs w:val="24"/>
              </w:rPr>
              <w:t>Enforcement cost</w:t>
            </w:r>
          </w:p>
        </w:tc>
        <w:tc>
          <w:tcPr>
            <w:tcW w:w="727" w:type="pct"/>
            <w:shd w:val="clear" w:color="auto" w:fill="auto"/>
            <w:noWrap/>
            <w:vAlign w:val="center"/>
          </w:tcPr>
          <w:p w14:paraId="2BE18EBA"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Recurrent</w:t>
            </w:r>
          </w:p>
        </w:tc>
        <w:tc>
          <w:tcPr>
            <w:tcW w:w="889" w:type="pct"/>
            <w:shd w:val="clear" w:color="auto" w:fill="auto"/>
            <w:noWrap/>
            <w:vAlign w:val="center"/>
          </w:tcPr>
          <w:p w14:paraId="072D35B6"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Direct labour costs + overheads</w:t>
            </w:r>
          </w:p>
        </w:tc>
        <w:tc>
          <w:tcPr>
            <w:tcW w:w="646" w:type="pct"/>
            <w:shd w:val="clear" w:color="auto" w:fill="auto"/>
            <w:noWrap/>
            <w:vAlign w:val="center"/>
          </w:tcPr>
          <w:p w14:paraId="6C724D2C"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Years 1-10, annual</w:t>
            </w:r>
          </w:p>
        </w:tc>
        <w:tc>
          <w:tcPr>
            <w:tcW w:w="1205" w:type="pct"/>
            <w:shd w:val="clear" w:color="auto" w:fill="auto"/>
            <w:noWrap/>
            <w:vAlign w:val="center"/>
          </w:tcPr>
          <w:p w14:paraId="78078AD1"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EU-27</w:t>
            </w:r>
          </w:p>
        </w:tc>
      </w:tr>
    </w:tbl>
    <w:p w14:paraId="58B00C59" w14:textId="77777777" w:rsidR="00595B0E" w:rsidRPr="00532C20" w:rsidRDefault="00595B0E" w:rsidP="00595B0E">
      <w:pPr>
        <w:rPr>
          <w:rFonts w:ascii="Times New Roman" w:eastAsia="Times New Roman" w:hAnsi="Times New Roman" w:cs="Times New Roman"/>
          <w:noProof/>
          <w:sz w:val="24"/>
          <w:szCs w:val="24"/>
        </w:rPr>
      </w:pPr>
    </w:p>
    <w:p w14:paraId="4B96231E" w14:textId="3B57C144" w:rsidR="00C8698E" w:rsidRPr="00532C20" w:rsidRDefault="00C8698E" w:rsidP="0020326D">
      <w:pPr>
        <w:pStyle w:val="ListParagraph"/>
        <w:numPr>
          <w:ilvl w:val="3"/>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Establish and operate a system for processing prior authorisation / licensing applications</w:t>
      </w:r>
    </w:p>
    <w:p w14:paraId="4689A3F4"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Novel costs will be borne by all Member States related to establishing and operating a system for processing and granting licences to carry out interest representation on behalf of third countries. More specifically, Member States will be required to:</w:t>
      </w:r>
    </w:p>
    <w:p w14:paraId="2963AED2" w14:textId="159582C8"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Establish a system for processing licence applications</w:t>
      </w:r>
      <w:r w:rsidRPr="00532C20">
        <w:rPr>
          <w:rFonts w:ascii="Times New Roman" w:eastAsia="Times New Roman" w:hAnsi="Times New Roman" w:cs="Times New Roman"/>
          <w:noProof/>
          <w:sz w:val="24"/>
          <w:szCs w:val="24"/>
        </w:rPr>
        <w:t>, which could include activities such as stipulating the information to be provided within applications and the process by which applications will be submitted, developing tools to support the application process, and determining the criteria on which applications should or should not be granted, as well the responsibilities for such activities. The costs related to establishing the system would be borne in year 1 following the adoption of policy option </w:t>
      </w:r>
      <w:r w:rsidR="00DD2BD9">
        <w:rPr>
          <w:rFonts w:ascii="Times New Roman" w:eastAsia="Times New Roman" w:hAnsi="Times New Roman" w:cs="Times New Roman"/>
          <w:noProof/>
          <w:sz w:val="24"/>
          <w:szCs w:val="24"/>
        </w:rPr>
        <w:t>2.2</w:t>
      </w:r>
      <w:r w:rsidRPr="00532C20">
        <w:rPr>
          <w:rFonts w:ascii="Times New Roman" w:eastAsia="Times New Roman" w:hAnsi="Times New Roman" w:cs="Times New Roman"/>
          <w:noProof/>
          <w:sz w:val="24"/>
          <w:szCs w:val="24"/>
        </w:rPr>
        <w:t>.</w:t>
      </w:r>
    </w:p>
    <w:p w14:paraId="70366655"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Given the novel nature of these costs, no feedback was provided directly by relevant stakeholders on their scale. However, many of them could be considered as covered by the other cost items. More specifically, the information to be provided, the criteria against which applications should be judged and the allocation of responsibilities could be incorporated into the familiarisation costs with limited impact on the scale of those costs.</w:t>
      </w:r>
    </w:p>
    <w:p w14:paraId="7200C5FC"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Operate the system for processing licence applications</w:t>
      </w:r>
      <w:r w:rsidRPr="00532C20">
        <w:rPr>
          <w:rFonts w:ascii="Times New Roman" w:eastAsia="Times New Roman" w:hAnsi="Times New Roman" w:cs="Times New Roman"/>
          <w:noProof/>
          <w:sz w:val="24"/>
          <w:szCs w:val="24"/>
        </w:rPr>
        <w:t>. This cost would take the form of the human resources required to review, request further information (if necessary) and make decisions on individual applications. This cost is recurrent in all years. However, the scale of this cost will depend significantly on the scale of applications per year and will therefore differ by Member State.</w:t>
      </w:r>
    </w:p>
    <w:p w14:paraId="22B83F2C"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As above, no feedback was provided directly by relevant stakeholders on the scale of these costs. While it is therefore difficult to assess the scale of the costs with certainty, it is possible to develop rough estimates of: i) the number of applications per year using data on the estimated number of entities within scope and data on new registrants per year as a proportion of total active registrants from FITS and FARA; and ii) logical data estimates on the amount of time taken and the type of human resource required to process an application. Noting the caveats associated with this approach, as described throughout, these 2 estimates can then be used to develop an estimate for the total annual costs of operating the system for processing applications in each Member State.</w:t>
      </w:r>
    </w:p>
    <w:p w14:paraId="115C40BF"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Given previous points related to the potential for entities to stop conducting such activities on behalf of third countries, or the risk that certain entities do not apply, the number of entities applying in the first year may not reach 100%. However, for the purposes of this scenario, it is assumed that all entities within scope register in year 1 and that, over subsequent years, a certain number of new entities apply each year. In FARA, the average number of new registrants in a given year over the past 5 years of operation for which data is available (2016-2020) reached 25.8% of the total number of active registrants. This figure rises to 49.1% under FITS, where only 3 full years of data (following year 1, from 2019-2022) were available.</w:t>
      </w:r>
    </w:p>
    <w:p w14:paraId="1B2C96FC"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The below table presents the number of first year applicants and the number of average new applicants per year according to these estimates and assumptions. The low end of the range for new applicants was calculated using the FARA figure of 25.8%, while the upper end of the range was calculated using the FITS figure of 49.1%.</w:t>
      </w:r>
    </w:p>
    <w:p w14:paraId="18A912D9" w14:textId="7FCF4E54"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It is important to note that there are few additional challenges relating to these estimates. As highlighted previously, there are significant differences between the transparency registers implemented, as well as the markets for interest representation, between the EU, its Member States, FITS and FARA. This could impact the accuracy of these figures. Moreover, FITS and FARA do not take a prior authorisation / licencing approach, which could further impact the proportion of entities within scope that apply for a licence under policy option </w:t>
      </w:r>
      <w:r w:rsidR="00D47716" w:rsidRPr="00532C20">
        <w:rPr>
          <w:rFonts w:ascii="Times New Roman" w:eastAsia="Times New Roman" w:hAnsi="Times New Roman" w:cs="Times New Roman"/>
          <w:noProof/>
          <w:sz w:val="24"/>
          <w:szCs w:val="24"/>
        </w:rPr>
        <w:t>2.2</w:t>
      </w:r>
      <w:r w:rsidRPr="00532C20">
        <w:rPr>
          <w:rFonts w:ascii="Times New Roman" w:eastAsia="Times New Roman" w:hAnsi="Times New Roman" w:cs="Times New Roman"/>
          <w:noProof/>
          <w:sz w:val="24"/>
          <w:szCs w:val="24"/>
        </w:rPr>
        <w:t>. These data should be read in this context.</w:t>
      </w:r>
    </w:p>
    <w:p w14:paraId="2944C562" w14:textId="1E841E97"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12</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Policy option </w:t>
      </w:r>
      <w:r w:rsidR="00D47716" w:rsidRPr="00532C20">
        <w:rPr>
          <w:rFonts w:ascii="Times New Roman" w:eastAsia="Times New Roman" w:hAnsi="Times New Roman" w:cs="Times New Roman"/>
          <w:b/>
          <w:noProof/>
          <w:sz w:val="24"/>
          <w:szCs w:val="24"/>
        </w:rPr>
        <w:t>2.2</w:t>
      </w:r>
      <w:r w:rsidRPr="00532C20">
        <w:rPr>
          <w:rFonts w:ascii="Times New Roman" w:eastAsia="Times New Roman" w:hAnsi="Times New Roman" w:cs="Times New Roman"/>
          <w:b/>
          <w:noProof/>
          <w:sz w:val="24"/>
          <w:szCs w:val="24"/>
        </w:rPr>
        <w:t xml:space="preserve"> – Estimated applications per year</w:t>
      </w:r>
    </w:p>
    <w:tbl>
      <w:tblPr>
        <w:tblStyle w:val="Credential41"/>
        <w:tblW w:w="0" w:type="auto"/>
        <w:tblLook w:val="04A0" w:firstRow="1" w:lastRow="0" w:firstColumn="1" w:lastColumn="0" w:noHBand="0" w:noVBand="1"/>
      </w:tblPr>
      <w:tblGrid>
        <w:gridCol w:w="1982"/>
        <w:gridCol w:w="2977"/>
        <w:gridCol w:w="425"/>
        <w:gridCol w:w="3387"/>
      </w:tblGrid>
      <w:tr w:rsidR="00A046DD" w:rsidRPr="00532C20" w14:paraId="64C7385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2" w:type="dxa"/>
          </w:tcPr>
          <w:p w14:paraId="4E54FD11" w14:textId="77777777" w:rsidR="00A046DD" w:rsidRPr="00532C20" w:rsidRDefault="00A046DD" w:rsidP="00A046DD">
            <w:pPr>
              <w:rPr>
                <w:rFonts w:ascii="Times New Roman" w:hAnsi="Times New Roman"/>
                <w:noProof/>
                <w:color w:val="auto"/>
                <w:sz w:val="24"/>
                <w:szCs w:val="24"/>
              </w:rPr>
            </w:pPr>
          </w:p>
        </w:tc>
        <w:tc>
          <w:tcPr>
            <w:tcW w:w="3402" w:type="dxa"/>
            <w:gridSpan w:val="2"/>
          </w:tcPr>
          <w:p w14:paraId="2D7D656B" w14:textId="77777777" w:rsidR="00A046DD" w:rsidRPr="00532C20" w:rsidRDefault="00A046DD" w:rsidP="00A04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4"/>
                <w:szCs w:val="24"/>
              </w:rPr>
            </w:pPr>
            <w:r w:rsidRPr="00532C20">
              <w:rPr>
                <w:rFonts w:ascii="Times New Roman" w:hAnsi="Times New Roman"/>
                <w:noProof/>
                <w:color w:val="auto"/>
                <w:sz w:val="24"/>
                <w:szCs w:val="24"/>
              </w:rPr>
              <w:t>First year applicants</w:t>
            </w:r>
          </w:p>
        </w:tc>
        <w:tc>
          <w:tcPr>
            <w:tcW w:w="3387" w:type="dxa"/>
          </w:tcPr>
          <w:p w14:paraId="3EA89775" w14:textId="77777777" w:rsidR="00A046DD" w:rsidRPr="00532C20" w:rsidRDefault="00A046DD" w:rsidP="00A04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4"/>
                <w:szCs w:val="24"/>
              </w:rPr>
            </w:pPr>
            <w:r w:rsidRPr="00532C20">
              <w:rPr>
                <w:rFonts w:ascii="Times New Roman" w:hAnsi="Times New Roman"/>
                <w:noProof/>
                <w:color w:val="auto"/>
                <w:sz w:val="24"/>
                <w:szCs w:val="24"/>
              </w:rPr>
              <w:t>Average new applicants per year</w:t>
            </w:r>
          </w:p>
        </w:tc>
      </w:tr>
      <w:tr w:rsidR="00A046DD" w:rsidRPr="00532C20" w14:paraId="6B936DD1" w14:textId="77777777">
        <w:tc>
          <w:tcPr>
            <w:cnfStyle w:val="001000000000" w:firstRow="0" w:lastRow="0" w:firstColumn="1" w:lastColumn="0" w:oddVBand="0" w:evenVBand="0" w:oddHBand="0" w:evenHBand="0" w:firstRowFirstColumn="0" w:firstRowLastColumn="0" w:lastRowFirstColumn="0" w:lastRowLastColumn="0"/>
            <w:tcW w:w="1982" w:type="dxa"/>
            <w:shd w:val="clear" w:color="auto" w:fill="D9D9D9"/>
          </w:tcPr>
          <w:p w14:paraId="49C8934E" w14:textId="77777777" w:rsidR="00A046DD" w:rsidRPr="00532C20" w:rsidRDefault="00A046DD" w:rsidP="00A046DD">
            <w:pPr>
              <w:rPr>
                <w:rFonts w:ascii="Times New Roman" w:hAnsi="Times New Roman"/>
                <w:noProof/>
                <w:color w:val="auto"/>
                <w:sz w:val="24"/>
                <w:szCs w:val="24"/>
              </w:rPr>
            </w:pPr>
            <w:r w:rsidRPr="00532C20">
              <w:rPr>
                <w:rFonts w:ascii="Times New Roman" w:hAnsi="Times New Roman"/>
                <w:noProof/>
                <w:color w:val="auto"/>
                <w:sz w:val="24"/>
                <w:szCs w:val="24"/>
              </w:rPr>
              <w:t>Low scenario</w:t>
            </w:r>
          </w:p>
        </w:tc>
        <w:tc>
          <w:tcPr>
            <w:tcW w:w="2977" w:type="dxa"/>
          </w:tcPr>
          <w:p w14:paraId="2EC7F84B" w14:textId="77777777" w:rsidR="00A046DD" w:rsidRPr="00532C20" w:rsidRDefault="00A046DD" w:rsidP="00A046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532C20">
              <w:rPr>
                <w:rFonts w:ascii="Times New Roman" w:hAnsi="Times New Roman"/>
                <w:noProof/>
                <w:sz w:val="24"/>
                <w:szCs w:val="24"/>
              </w:rPr>
              <w:t>712</w:t>
            </w:r>
          </w:p>
        </w:tc>
        <w:tc>
          <w:tcPr>
            <w:tcW w:w="3812" w:type="dxa"/>
            <w:gridSpan w:val="2"/>
          </w:tcPr>
          <w:p w14:paraId="488D30BC" w14:textId="77777777" w:rsidR="00A046DD" w:rsidRPr="00532C20" w:rsidRDefault="00A046DD" w:rsidP="00A046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532C20">
              <w:rPr>
                <w:rFonts w:ascii="Times New Roman" w:hAnsi="Times New Roman"/>
                <w:noProof/>
                <w:sz w:val="24"/>
                <w:szCs w:val="24"/>
              </w:rPr>
              <w:t>184-350</w:t>
            </w:r>
          </w:p>
        </w:tc>
      </w:tr>
      <w:tr w:rsidR="00A046DD" w:rsidRPr="00532C20" w14:paraId="74A8DE3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shd w:val="clear" w:color="auto" w:fill="D9D9D9"/>
          </w:tcPr>
          <w:p w14:paraId="11E8DCBF" w14:textId="77777777" w:rsidR="00A046DD" w:rsidRPr="00532C20" w:rsidRDefault="00A046DD" w:rsidP="00A046DD">
            <w:pPr>
              <w:rPr>
                <w:rFonts w:ascii="Times New Roman" w:hAnsi="Times New Roman"/>
                <w:noProof/>
                <w:color w:val="auto"/>
                <w:sz w:val="24"/>
                <w:szCs w:val="24"/>
              </w:rPr>
            </w:pPr>
            <w:r w:rsidRPr="00532C20">
              <w:rPr>
                <w:rFonts w:ascii="Times New Roman" w:hAnsi="Times New Roman"/>
                <w:noProof/>
                <w:color w:val="auto"/>
                <w:sz w:val="24"/>
                <w:szCs w:val="24"/>
              </w:rPr>
              <w:t>Middle scenario</w:t>
            </w:r>
          </w:p>
        </w:tc>
        <w:tc>
          <w:tcPr>
            <w:tcW w:w="2977" w:type="dxa"/>
          </w:tcPr>
          <w:p w14:paraId="2D693B91" w14:textId="77777777" w:rsidR="00A046DD" w:rsidRPr="00532C20" w:rsidRDefault="00A046DD" w:rsidP="00A046D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4"/>
                <w:szCs w:val="24"/>
              </w:rPr>
            </w:pPr>
            <w:r w:rsidRPr="00532C20">
              <w:rPr>
                <w:rFonts w:ascii="Times New Roman" w:hAnsi="Times New Roman"/>
                <w:noProof/>
                <w:sz w:val="24"/>
                <w:szCs w:val="24"/>
              </w:rPr>
              <w:t>890</w:t>
            </w:r>
          </w:p>
        </w:tc>
        <w:tc>
          <w:tcPr>
            <w:tcW w:w="3812" w:type="dxa"/>
            <w:gridSpan w:val="2"/>
          </w:tcPr>
          <w:p w14:paraId="391EFBA6" w14:textId="77777777" w:rsidR="00A046DD" w:rsidRPr="00532C20" w:rsidRDefault="00A046DD" w:rsidP="00A046D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4"/>
                <w:szCs w:val="24"/>
              </w:rPr>
            </w:pPr>
            <w:r w:rsidRPr="00532C20">
              <w:rPr>
                <w:rFonts w:ascii="Times New Roman" w:hAnsi="Times New Roman"/>
                <w:noProof/>
                <w:sz w:val="24"/>
                <w:szCs w:val="24"/>
              </w:rPr>
              <w:t>229-437</w:t>
            </w:r>
          </w:p>
        </w:tc>
      </w:tr>
      <w:tr w:rsidR="00A046DD" w:rsidRPr="00532C20" w14:paraId="3B6DB508" w14:textId="77777777">
        <w:tc>
          <w:tcPr>
            <w:cnfStyle w:val="001000000000" w:firstRow="0" w:lastRow="0" w:firstColumn="1" w:lastColumn="0" w:oddVBand="0" w:evenVBand="0" w:oddHBand="0" w:evenHBand="0" w:firstRowFirstColumn="0" w:firstRowLastColumn="0" w:lastRowFirstColumn="0" w:lastRowLastColumn="0"/>
            <w:tcW w:w="1982" w:type="dxa"/>
            <w:shd w:val="clear" w:color="auto" w:fill="D9D9D9"/>
          </w:tcPr>
          <w:p w14:paraId="0D615500" w14:textId="77777777" w:rsidR="00A046DD" w:rsidRPr="00532C20" w:rsidRDefault="00A046DD" w:rsidP="00A046DD">
            <w:pPr>
              <w:rPr>
                <w:rFonts w:ascii="Times New Roman" w:hAnsi="Times New Roman"/>
                <w:noProof/>
                <w:color w:val="auto"/>
                <w:sz w:val="24"/>
                <w:szCs w:val="24"/>
              </w:rPr>
            </w:pPr>
            <w:r w:rsidRPr="00532C20">
              <w:rPr>
                <w:rFonts w:ascii="Times New Roman" w:hAnsi="Times New Roman"/>
                <w:noProof/>
                <w:color w:val="auto"/>
                <w:sz w:val="24"/>
                <w:szCs w:val="24"/>
              </w:rPr>
              <w:t>High scenario</w:t>
            </w:r>
          </w:p>
        </w:tc>
        <w:tc>
          <w:tcPr>
            <w:tcW w:w="2977" w:type="dxa"/>
          </w:tcPr>
          <w:p w14:paraId="6A0687E3" w14:textId="77777777" w:rsidR="00A046DD" w:rsidRPr="00532C20" w:rsidRDefault="00A046DD" w:rsidP="00A046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532C20">
              <w:rPr>
                <w:rFonts w:ascii="Times New Roman" w:hAnsi="Times New Roman"/>
                <w:noProof/>
                <w:sz w:val="24"/>
                <w:szCs w:val="24"/>
              </w:rPr>
              <w:t>1,068</w:t>
            </w:r>
          </w:p>
        </w:tc>
        <w:tc>
          <w:tcPr>
            <w:tcW w:w="3812" w:type="dxa"/>
            <w:gridSpan w:val="2"/>
          </w:tcPr>
          <w:p w14:paraId="1797F3B9" w14:textId="77777777" w:rsidR="00A046DD" w:rsidRPr="00532C20" w:rsidRDefault="00A046DD" w:rsidP="00A046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532C20">
              <w:rPr>
                <w:rFonts w:ascii="Times New Roman" w:hAnsi="Times New Roman"/>
                <w:noProof/>
                <w:sz w:val="24"/>
                <w:szCs w:val="24"/>
              </w:rPr>
              <w:t>275-524</w:t>
            </w:r>
          </w:p>
        </w:tc>
      </w:tr>
    </w:tbl>
    <w:p w14:paraId="7AC6CFEA"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To determine the costs stemming from each application, it is necessary to understand: i) the types of staff that would be involved in processing and granting applications; and ii) the time that would be required to process each application. Building on the evidence provided in relation to the other cost items on these elements, it is assumed that most of the processing activity is conducted by ISCO 2 category professionals (2-6 hours per application), with limited sign-off by ISCO 1 category managers or officials (0.5 hours per application in all scenarios). This would cover an initial review of the inputs provided by the application to check that all required inputs have been provided, cross-checking with existing data, requesting any additional information that is required and ultimately granting the application.</w:t>
      </w:r>
    </w:p>
    <w:p w14:paraId="3823464F"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To illustrate a selection of different scenarios, the below data tables consider the different possibilities in terms the number of entities within scope (across 3 scenarios), the lower and upper bounds of the estimated new applicants per year, and 3 scenarios for the time taken by the ISCO 2 category worker to process each application (2, 4 and 6 hours). </w:t>
      </w:r>
    </w:p>
    <w:p w14:paraId="3C4D19BE"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The table below presents the estimated year 1 costs per Member State and in total across 3 scenarios: the low scenario combines the low estimate for the number of entities within scope with the low estimate for time required to complete processing, the middle scenario combines the middle estimates for these data, and the high scenario combines the high estimates for these data.</w:t>
      </w:r>
    </w:p>
    <w:p w14:paraId="74E16E14" w14:textId="4A136E3A"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13</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Policy option </w:t>
      </w:r>
      <w:r w:rsidR="00D47716" w:rsidRPr="00532C20">
        <w:rPr>
          <w:rFonts w:ascii="Times New Roman" w:eastAsia="Times New Roman" w:hAnsi="Times New Roman" w:cs="Times New Roman"/>
          <w:b/>
          <w:noProof/>
          <w:sz w:val="24"/>
          <w:szCs w:val="24"/>
        </w:rPr>
        <w:t>2.2</w:t>
      </w:r>
      <w:r w:rsidRPr="00532C20">
        <w:rPr>
          <w:rFonts w:ascii="Times New Roman" w:eastAsia="Times New Roman" w:hAnsi="Times New Roman" w:cs="Times New Roman"/>
          <w:b/>
          <w:noProof/>
          <w:sz w:val="24"/>
          <w:szCs w:val="24"/>
        </w:rPr>
        <w:t xml:space="preserve"> – Estimated costs of processing licence applications (Years 1)</w:t>
      </w: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286"/>
        <w:gridCol w:w="1186"/>
        <w:gridCol w:w="1286"/>
        <w:gridCol w:w="1186"/>
        <w:gridCol w:w="1286"/>
        <w:gridCol w:w="1186"/>
      </w:tblGrid>
      <w:tr w:rsidR="00A046DD" w:rsidRPr="00532C20" w14:paraId="4BF96A0A" w14:textId="77777777">
        <w:trPr>
          <w:trHeight w:val="240"/>
          <w:tblHeader/>
        </w:trPr>
        <w:tc>
          <w:tcPr>
            <w:tcW w:w="863" w:type="pct"/>
            <w:shd w:val="clear" w:color="000000" w:fill="002060"/>
            <w:noWrap/>
            <w:vAlign w:val="center"/>
            <w:hideMark/>
          </w:tcPr>
          <w:p w14:paraId="0748F03A" w14:textId="77777777" w:rsidR="00A046DD" w:rsidRPr="00532C20" w:rsidRDefault="00A046DD" w:rsidP="00A046DD">
            <w:pPr>
              <w:keepNext/>
              <w:spacing w:before="120" w:after="120" w:line="240" w:lineRule="auto"/>
              <w:jc w:val="both"/>
              <w:rPr>
                <w:rFonts w:ascii="Times New Roman" w:eastAsia="Times New Roman" w:hAnsi="Times New Roman" w:cs="Times New Roman"/>
                <w:b/>
                <w:bCs/>
                <w:noProof/>
                <w:color w:val="FFFFFF"/>
                <w:sz w:val="24"/>
                <w:szCs w:val="24"/>
              </w:rPr>
            </w:pPr>
            <w:r w:rsidRPr="00532C20">
              <w:rPr>
                <w:rFonts w:ascii="Times New Roman" w:eastAsia="Times New Roman" w:hAnsi="Times New Roman" w:cs="Times New Roman"/>
                <w:b/>
                <w:bCs/>
                <w:noProof/>
                <w:color w:val="FFFFFF"/>
                <w:sz w:val="24"/>
                <w:szCs w:val="24"/>
                <w:lang w:eastAsia="en-GB"/>
              </w:rPr>
              <w:t>Year 1 costs</w:t>
            </w:r>
          </w:p>
        </w:tc>
        <w:tc>
          <w:tcPr>
            <w:tcW w:w="1379" w:type="pct"/>
            <w:gridSpan w:val="2"/>
            <w:shd w:val="clear" w:color="000000" w:fill="002060"/>
            <w:noWrap/>
            <w:vAlign w:val="center"/>
            <w:hideMark/>
          </w:tcPr>
          <w:p w14:paraId="14349765" w14:textId="77777777" w:rsidR="00A046DD" w:rsidRPr="00532C20" w:rsidRDefault="00A046DD" w:rsidP="00A046DD">
            <w:pPr>
              <w:spacing w:after="0" w:line="240" w:lineRule="auto"/>
              <w:jc w:val="center"/>
              <w:rPr>
                <w:rFonts w:ascii="Times New Roman" w:eastAsia="Times New Roman" w:hAnsi="Times New Roman" w:cs="Times New Roman"/>
                <w:b/>
                <w:bCs/>
                <w:noProof/>
                <w:color w:val="FFFFFF"/>
                <w:sz w:val="24"/>
                <w:szCs w:val="24"/>
                <w:lang w:eastAsia="en-GB"/>
              </w:rPr>
            </w:pPr>
            <w:r w:rsidRPr="00532C20">
              <w:rPr>
                <w:rFonts w:ascii="Times New Roman" w:eastAsia="Times New Roman" w:hAnsi="Times New Roman" w:cs="Times New Roman"/>
                <w:b/>
                <w:bCs/>
                <w:noProof/>
                <w:color w:val="FFFFFF"/>
                <w:sz w:val="24"/>
                <w:szCs w:val="24"/>
                <w:lang w:eastAsia="en-GB"/>
              </w:rPr>
              <w:t>Low scenario (number of entities)</w:t>
            </w:r>
          </w:p>
        </w:tc>
        <w:tc>
          <w:tcPr>
            <w:tcW w:w="1379" w:type="pct"/>
            <w:gridSpan w:val="2"/>
            <w:shd w:val="clear" w:color="000000" w:fill="002060"/>
            <w:noWrap/>
            <w:vAlign w:val="center"/>
            <w:hideMark/>
          </w:tcPr>
          <w:p w14:paraId="40A0CB9E" w14:textId="77777777" w:rsidR="00A046DD" w:rsidRPr="00532C20" w:rsidRDefault="00A046DD" w:rsidP="00A046DD">
            <w:pPr>
              <w:spacing w:after="0" w:line="240" w:lineRule="auto"/>
              <w:jc w:val="center"/>
              <w:rPr>
                <w:rFonts w:ascii="Times New Roman" w:eastAsia="Times New Roman" w:hAnsi="Times New Roman" w:cs="Times New Roman"/>
                <w:b/>
                <w:bCs/>
                <w:noProof/>
                <w:color w:val="FFFFFF"/>
                <w:sz w:val="24"/>
                <w:szCs w:val="24"/>
                <w:lang w:eastAsia="en-GB"/>
              </w:rPr>
            </w:pPr>
            <w:r w:rsidRPr="00532C20">
              <w:rPr>
                <w:rFonts w:ascii="Times New Roman" w:eastAsia="Times New Roman" w:hAnsi="Times New Roman" w:cs="Times New Roman"/>
                <w:b/>
                <w:bCs/>
                <w:noProof/>
                <w:color w:val="FFFFFF"/>
                <w:sz w:val="24"/>
                <w:szCs w:val="24"/>
                <w:lang w:eastAsia="en-GB"/>
              </w:rPr>
              <w:t>Middle scenario (number of entities)</w:t>
            </w:r>
          </w:p>
        </w:tc>
        <w:tc>
          <w:tcPr>
            <w:tcW w:w="1379" w:type="pct"/>
            <w:gridSpan w:val="2"/>
            <w:shd w:val="clear" w:color="000000" w:fill="002060"/>
            <w:noWrap/>
            <w:vAlign w:val="center"/>
            <w:hideMark/>
          </w:tcPr>
          <w:p w14:paraId="73B042A3" w14:textId="77777777" w:rsidR="00A046DD" w:rsidRPr="00532C20" w:rsidRDefault="00A046DD" w:rsidP="00A046DD">
            <w:pPr>
              <w:spacing w:after="0" w:line="240" w:lineRule="auto"/>
              <w:jc w:val="center"/>
              <w:rPr>
                <w:rFonts w:ascii="Times New Roman" w:eastAsia="Times New Roman" w:hAnsi="Times New Roman" w:cs="Times New Roman"/>
                <w:b/>
                <w:bCs/>
                <w:noProof/>
                <w:color w:val="FFFFFF"/>
                <w:sz w:val="24"/>
                <w:szCs w:val="24"/>
                <w:lang w:eastAsia="en-GB"/>
              </w:rPr>
            </w:pPr>
            <w:r w:rsidRPr="00532C20">
              <w:rPr>
                <w:rFonts w:ascii="Times New Roman" w:eastAsia="Times New Roman" w:hAnsi="Times New Roman" w:cs="Times New Roman"/>
                <w:b/>
                <w:bCs/>
                <w:noProof/>
                <w:color w:val="FFFFFF"/>
                <w:sz w:val="24"/>
                <w:szCs w:val="24"/>
                <w:lang w:eastAsia="en-GB"/>
              </w:rPr>
              <w:t>High scenario (number of entities)</w:t>
            </w:r>
          </w:p>
        </w:tc>
      </w:tr>
      <w:tr w:rsidR="00A046DD" w:rsidRPr="00532C20" w14:paraId="7FCDB2DA" w14:textId="77777777">
        <w:trPr>
          <w:trHeight w:val="240"/>
          <w:tblHeader/>
        </w:trPr>
        <w:tc>
          <w:tcPr>
            <w:tcW w:w="863" w:type="pct"/>
            <w:shd w:val="clear" w:color="000000" w:fill="44546A"/>
            <w:noWrap/>
            <w:vAlign w:val="center"/>
            <w:hideMark/>
          </w:tcPr>
          <w:p w14:paraId="3A65E12B" w14:textId="77777777" w:rsidR="00A046DD" w:rsidRPr="00532C20" w:rsidRDefault="00A046DD" w:rsidP="00A046DD">
            <w:pPr>
              <w:spacing w:after="0" w:line="240" w:lineRule="auto"/>
              <w:rPr>
                <w:rFonts w:ascii="Times New Roman" w:eastAsia="Times New Roman" w:hAnsi="Times New Roman" w:cs="Times New Roman"/>
                <w:b/>
                <w:bCs/>
                <w:noProof/>
                <w:color w:val="FFFFFF"/>
                <w:sz w:val="24"/>
                <w:szCs w:val="24"/>
                <w:lang w:eastAsia="en-GB"/>
              </w:rPr>
            </w:pPr>
            <w:r w:rsidRPr="00532C20">
              <w:rPr>
                <w:rFonts w:ascii="Times New Roman" w:eastAsia="Times New Roman" w:hAnsi="Times New Roman" w:cs="Times New Roman"/>
                <w:b/>
                <w:bCs/>
                <w:noProof/>
                <w:color w:val="FFFFFF"/>
                <w:sz w:val="24"/>
                <w:szCs w:val="24"/>
                <w:lang w:eastAsia="en-GB"/>
              </w:rPr>
              <w:t>Country</w:t>
            </w:r>
          </w:p>
        </w:tc>
        <w:tc>
          <w:tcPr>
            <w:tcW w:w="718" w:type="pct"/>
            <w:shd w:val="clear" w:color="000000" w:fill="44546A"/>
            <w:noWrap/>
            <w:vAlign w:val="center"/>
            <w:hideMark/>
          </w:tcPr>
          <w:p w14:paraId="717BF8CC" w14:textId="77777777" w:rsidR="00A046DD" w:rsidRPr="00532C20" w:rsidRDefault="00A046DD" w:rsidP="00A046DD">
            <w:pPr>
              <w:spacing w:after="0" w:line="240" w:lineRule="auto"/>
              <w:jc w:val="center"/>
              <w:rPr>
                <w:rFonts w:ascii="Times New Roman" w:eastAsia="Times New Roman" w:hAnsi="Times New Roman" w:cs="Times New Roman"/>
                <w:b/>
                <w:bCs/>
                <w:noProof/>
                <w:color w:val="FFFFFF"/>
                <w:sz w:val="24"/>
                <w:szCs w:val="24"/>
                <w:lang w:eastAsia="en-GB"/>
              </w:rPr>
            </w:pPr>
            <w:r w:rsidRPr="00532C20">
              <w:rPr>
                <w:rFonts w:ascii="Times New Roman" w:eastAsia="Times New Roman" w:hAnsi="Times New Roman" w:cs="Times New Roman"/>
                <w:b/>
                <w:bCs/>
                <w:noProof/>
                <w:color w:val="FFFFFF"/>
                <w:sz w:val="24"/>
                <w:szCs w:val="24"/>
                <w:lang w:eastAsia="en-GB"/>
              </w:rPr>
              <w:t>0.5 hours - ISCO 1</w:t>
            </w:r>
          </w:p>
        </w:tc>
        <w:tc>
          <w:tcPr>
            <w:tcW w:w="661" w:type="pct"/>
            <w:shd w:val="clear" w:color="000000" w:fill="44546A"/>
            <w:noWrap/>
            <w:vAlign w:val="center"/>
            <w:hideMark/>
          </w:tcPr>
          <w:p w14:paraId="3C04A392" w14:textId="77777777" w:rsidR="00A046DD" w:rsidRPr="00532C20" w:rsidRDefault="00A046DD" w:rsidP="00A046DD">
            <w:pPr>
              <w:spacing w:after="0" w:line="240" w:lineRule="auto"/>
              <w:jc w:val="center"/>
              <w:rPr>
                <w:rFonts w:ascii="Times New Roman" w:eastAsia="Times New Roman" w:hAnsi="Times New Roman" w:cs="Times New Roman"/>
                <w:b/>
                <w:bCs/>
                <w:noProof/>
                <w:color w:val="FFFFFF"/>
                <w:sz w:val="24"/>
                <w:szCs w:val="24"/>
                <w:lang w:eastAsia="en-GB"/>
              </w:rPr>
            </w:pPr>
            <w:r w:rsidRPr="00532C20">
              <w:rPr>
                <w:rFonts w:ascii="Times New Roman" w:eastAsia="Times New Roman" w:hAnsi="Times New Roman" w:cs="Times New Roman"/>
                <w:b/>
                <w:bCs/>
                <w:noProof/>
                <w:color w:val="FFFFFF"/>
                <w:sz w:val="24"/>
                <w:szCs w:val="24"/>
                <w:lang w:eastAsia="en-GB"/>
              </w:rPr>
              <w:t>2 hours - ISCO 2</w:t>
            </w:r>
          </w:p>
        </w:tc>
        <w:tc>
          <w:tcPr>
            <w:tcW w:w="718" w:type="pct"/>
            <w:shd w:val="clear" w:color="000000" w:fill="44546A"/>
            <w:noWrap/>
            <w:vAlign w:val="center"/>
            <w:hideMark/>
          </w:tcPr>
          <w:p w14:paraId="1903DC74" w14:textId="77777777" w:rsidR="00A046DD" w:rsidRPr="00532C20" w:rsidRDefault="00A046DD" w:rsidP="00A046DD">
            <w:pPr>
              <w:spacing w:after="0" w:line="240" w:lineRule="auto"/>
              <w:jc w:val="center"/>
              <w:rPr>
                <w:rFonts w:ascii="Times New Roman" w:eastAsia="Times New Roman" w:hAnsi="Times New Roman" w:cs="Times New Roman"/>
                <w:b/>
                <w:bCs/>
                <w:noProof/>
                <w:color w:val="FFFFFF"/>
                <w:sz w:val="24"/>
                <w:szCs w:val="24"/>
                <w:lang w:eastAsia="en-GB"/>
              </w:rPr>
            </w:pPr>
            <w:r w:rsidRPr="00532C20">
              <w:rPr>
                <w:rFonts w:ascii="Times New Roman" w:eastAsia="Times New Roman" w:hAnsi="Times New Roman" w:cs="Times New Roman"/>
                <w:b/>
                <w:bCs/>
                <w:noProof/>
                <w:color w:val="FFFFFF"/>
                <w:sz w:val="24"/>
                <w:szCs w:val="24"/>
                <w:lang w:eastAsia="en-GB"/>
              </w:rPr>
              <w:t>0.5 hours - ISCO 1</w:t>
            </w:r>
          </w:p>
        </w:tc>
        <w:tc>
          <w:tcPr>
            <w:tcW w:w="661" w:type="pct"/>
            <w:shd w:val="clear" w:color="000000" w:fill="44546A"/>
            <w:noWrap/>
            <w:vAlign w:val="center"/>
            <w:hideMark/>
          </w:tcPr>
          <w:p w14:paraId="442CFB66" w14:textId="77777777" w:rsidR="00A046DD" w:rsidRPr="00532C20" w:rsidRDefault="00A046DD" w:rsidP="00A046DD">
            <w:pPr>
              <w:spacing w:after="0" w:line="240" w:lineRule="auto"/>
              <w:jc w:val="center"/>
              <w:rPr>
                <w:rFonts w:ascii="Times New Roman" w:eastAsia="Times New Roman" w:hAnsi="Times New Roman" w:cs="Times New Roman"/>
                <w:b/>
                <w:bCs/>
                <w:noProof/>
                <w:color w:val="FFFFFF"/>
                <w:sz w:val="24"/>
                <w:szCs w:val="24"/>
                <w:lang w:eastAsia="en-GB"/>
              </w:rPr>
            </w:pPr>
            <w:r w:rsidRPr="00532C20">
              <w:rPr>
                <w:rFonts w:ascii="Times New Roman" w:eastAsia="Times New Roman" w:hAnsi="Times New Roman" w:cs="Times New Roman"/>
                <w:b/>
                <w:bCs/>
                <w:noProof/>
                <w:color w:val="FFFFFF"/>
                <w:sz w:val="24"/>
                <w:szCs w:val="24"/>
                <w:lang w:eastAsia="en-GB"/>
              </w:rPr>
              <w:t>4 hours - ISCO 2</w:t>
            </w:r>
          </w:p>
        </w:tc>
        <w:tc>
          <w:tcPr>
            <w:tcW w:w="718" w:type="pct"/>
            <w:shd w:val="clear" w:color="000000" w:fill="44546A"/>
            <w:noWrap/>
            <w:vAlign w:val="center"/>
            <w:hideMark/>
          </w:tcPr>
          <w:p w14:paraId="0CB546CF" w14:textId="77777777" w:rsidR="00A046DD" w:rsidRPr="00532C20" w:rsidRDefault="00A046DD" w:rsidP="00A046DD">
            <w:pPr>
              <w:spacing w:after="0" w:line="240" w:lineRule="auto"/>
              <w:jc w:val="center"/>
              <w:rPr>
                <w:rFonts w:ascii="Times New Roman" w:eastAsia="Times New Roman" w:hAnsi="Times New Roman" w:cs="Times New Roman"/>
                <w:b/>
                <w:bCs/>
                <w:noProof/>
                <w:color w:val="FFFFFF"/>
                <w:sz w:val="24"/>
                <w:szCs w:val="24"/>
                <w:lang w:eastAsia="en-GB"/>
              </w:rPr>
            </w:pPr>
            <w:r w:rsidRPr="00532C20">
              <w:rPr>
                <w:rFonts w:ascii="Times New Roman" w:eastAsia="Times New Roman" w:hAnsi="Times New Roman" w:cs="Times New Roman"/>
                <w:b/>
                <w:bCs/>
                <w:noProof/>
                <w:color w:val="FFFFFF"/>
                <w:sz w:val="24"/>
                <w:szCs w:val="24"/>
                <w:lang w:eastAsia="en-GB"/>
              </w:rPr>
              <w:t>0.5 hours - ISCO 1</w:t>
            </w:r>
          </w:p>
        </w:tc>
        <w:tc>
          <w:tcPr>
            <w:tcW w:w="661" w:type="pct"/>
            <w:shd w:val="clear" w:color="000000" w:fill="44546A"/>
            <w:noWrap/>
            <w:vAlign w:val="center"/>
            <w:hideMark/>
          </w:tcPr>
          <w:p w14:paraId="216A2301" w14:textId="77777777" w:rsidR="00A046DD" w:rsidRPr="00532C20" w:rsidRDefault="00A046DD" w:rsidP="00A046DD">
            <w:pPr>
              <w:spacing w:after="0" w:line="240" w:lineRule="auto"/>
              <w:jc w:val="center"/>
              <w:rPr>
                <w:rFonts w:ascii="Times New Roman" w:eastAsia="Times New Roman" w:hAnsi="Times New Roman" w:cs="Times New Roman"/>
                <w:b/>
                <w:bCs/>
                <w:noProof/>
                <w:color w:val="FFFFFF"/>
                <w:sz w:val="24"/>
                <w:szCs w:val="24"/>
                <w:lang w:eastAsia="en-GB"/>
              </w:rPr>
            </w:pPr>
            <w:r w:rsidRPr="00532C20">
              <w:rPr>
                <w:rFonts w:ascii="Times New Roman" w:eastAsia="Times New Roman" w:hAnsi="Times New Roman" w:cs="Times New Roman"/>
                <w:b/>
                <w:bCs/>
                <w:noProof/>
                <w:color w:val="FFFFFF"/>
                <w:sz w:val="24"/>
                <w:szCs w:val="24"/>
                <w:lang w:eastAsia="en-GB"/>
              </w:rPr>
              <w:t>6 hours - ISCO 2</w:t>
            </w:r>
          </w:p>
        </w:tc>
      </w:tr>
      <w:tr w:rsidR="00A046DD" w:rsidRPr="00532C20" w14:paraId="5906CBDA" w14:textId="77777777">
        <w:trPr>
          <w:trHeight w:val="240"/>
        </w:trPr>
        <w:tc>
          <w:tcPr>
            <w:tcW w:w="863" w:type="pct"/>
            <w:shd w:val="clear" w:color="auto" w:fill="D9D9D9"/>
            <w:noWrap/>
            <w:vAlign w:val="center"/>
            <w:hideMark/>
          </w:tcPr>
          <w:p w14:paraId="11535F11"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Austria</w:t>
            </w:r>
          </w:p>
        </w:tc>
        <w:tc>
          <w:tcPr>
            <w:tcW w:w="718" w:type="pct"/>
            <w:shd w:val="clear" w:color="auto" w:fill="auto"/>
            <w:noWrap/>
            <w:vAlign w:val="center"/>
            <w:hideMark/>
          </w:tcPr>
          <w:p w14:paraId="4672CB0B"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735.87 </w:t>
            </w:r>
          </w:p>
        </w:tc>
        <w:tc>
          <w:tcPr>
            <w:tcW w:w="661" w:type="pct"/>
            <w:shd w:val="clear" w:color="auto" w:fill="auto"/>
            <w:noWrap/>
            <w:vAlign w:val="center"/>
            <w:hideMark/>
          </w:tcPr>
          <w:p w14:paraId="3CE443DB"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1,995.57 </w:t>
            </w:r>
          </w:p>
        </w:tc>
        <w:tc>
          <w:tcPr>
            <w:tcW w:w="718" w:type="pct"/>
            <w:shd w:val="clear" w:color="auto" w:fill="auto"/>
            <w:noWrap/>
            <w:vAlign w:val="center"/>
            <w:hideMark/>
          </w:tcPr>
          <w:p w14:paraId="1C0C00C0"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919.83 </w:t>
            </w:r>
          </w:p>
        </w:tc>
        <w:tc>
          <w:tcPr>
            <w:tcW w:w="661" w:type="pct"/>
            <w:shd w:val="clear" w:color="auto" w:fill="auto"/>
            <w:noWrap/>
            <w:vAlign w:val="center"/>
            <w:hideMark/>
          </w:tcPr>
          <w:p w14:paraId="13859793"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4,988.93 </w:t>
            </w:r>
          </w:p>
        </w:tc>
        <w:tc>
          <w:tcPr>
            <w:tcW w:w="718" w:type="pct"/>
            <w:shd w:val="clear" w:color="auto" w:fill="auto"/>
            <w:noWrap/>
            <w:vAlign w:val="center"/>
            <w:hideMark/>
          </w:tcPr>
          <w:p w14:paraId="0714A35E"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1,103.80 </w:t>
            </w:r>
          </w:p>
        </w:tc>
        <w:tc>
          <w:tcPr>
            <w:tcW w:w="661" w:type="pct"/>
            <w:shd w:val="clear" w:color="auto" w:fill="auto"/>
            <w:noWrap/>
            <w:vAlign w:val="center"/>
            <w:hideMark/>
          </w:tcPr>
          <w:p w14:paraId="3DCC1322"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8,980.08 </w:t>
            </w:r>
          </w:p>
        </w:tc>
      </w:tr>
      <w:tr w:rsidR="00A046DD" w:rsidRPr="00532C20" w14:paraId="02108F49" w14:textId="77777777">
        <w:trPr>
          <w:trHeight w:val="240"/>
        </w:trPr>
        <w:tc>
          <w:tcPr>
            <w:tcW w:w="863" w:type="pct"/>
            <w:shd w:val="clear" w:color="auto" w:fill="D9D9D9"/>
            <w:noWrap/>
            <w:vAlign w:val="center"/>
            <w:hideMark/>
          </w:tcPr>
          <w:p w14:paraId="74C7557D"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Belgium</w:t>
            </w:r>
          </w:p>
        </w:tc>
        <w:tc>
          <w:tcPr>
            <w:tcW w:w="718" w:type="pct"/>
            <w:shd w:val="clear" w:color="auto" w:fill="auto"/>
            <w:noWrap/>
            <w:vAlign w:val="center"/>
            <w:hideMark/>
          </w:tcPr>
          <w:p w14:paraId="1E27A0D0"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759.75 </w:t>
            </w:r>
          </w:p>
        </w:tc>
        <w:tc>
          <w:tcPr>
            <w:tcW w:w="661" w:type="pct"/>
            <w:shd w:val="clear" w:color="auto" w:fill="auto"/>
            <w:noWrap/>
            <w:vAlign w:val="center"/>
            <w:hideMark/>
          </w:tcPr>
          <w:p w14:paraId="7150FD89"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2,368.88 </w:t>
            </w:r>
          </w:p>
        </w:tc>
        <w:tc>
          <w:tcPr>
            <w:tcW w:w="718" w:type="pct"/>
            <w:shd w:val="clear" w:color="auto" w:fill="auto"/>
            <w:noWrap/>
            <w:vAlign w:val="center"/>
            <w:hideMark/>
          </w:tcPr>
          <w:p w14:paraId="4B1B76E4"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949.69 </w:t>
            </w:r>
          </w:p>
        </w:tc>
        <w:tc>
          <w:tcPr>
            <w:tcW w:w="661" w:type="pct"/>
            <w:shd w:val="clear" w:color="auto" w:fill="auto"/>
            <w:noWrap/>
            <w:vAlign w:val="center"/>
            <w:hideMark/>
          </w:tcPr>
          <w:p w14:paraId="77ACE80F"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5,922.20 </w:t>
            </w:r>
          </w:p>
        </w:tc>
        <w:tc>
          <w:tcPr>
            <w:tcW w:w="718" w:type="pct"/>
            <w:shd w:val="clear" w:color="auto" w:fill="auto"/>
            <w:noWrap/>
            <w:vAlign w:val="center"/>
            <w:hideMark/>
          </w:tcPr>
          <w:p w14:paraId="3F4F827B"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1,139.63 </w:t>
            </w:r>
          </w:p>
        </w:tc>
        <w:tc>
          <w:tcPr>
            <w:tcW w:w="661" w:type="pct"/>
            <w:shd w:val="clear" w:color="auto" w:fill="auto"/>
            <w:noWrap/>
            <w:vAlign w:val="center"/>
            <w:hideMark/>
          </w:tcPr>
          <w:p w14:paraId="684D8C69"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10,659.95 </w:t>
            </w:r>
          </w:p>
        </w:tc>
      </w:tr>
      <w:tr w:rsidR="00A046DD" w:rsidRPr="00532C20" w14:paraId="317ECDA8" w14:textId="77777777">
        <w:trPr>
          <w:trHeight w:val="240"/>
        </w:trPr>
        <w:tc>
          <w:tcPr>
            <w:tcW w:w="863" w:type="pct"/>
            <w:shd w:val="clear" w:color="auto" w:fill="D9D9D9"/>
            <w:noWrap/>
            <w:vAlign w:val="center"/>
            <w:hideMark/>
          </w:tcPr>
          <w:p w14:paraId="50558FA7"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Bulgaria</w:t>
            </w:r>
          </w:p>
        </w:tc>
        <w:tc>
          <w:tcPr>
            <w:tcW w:w="718" w:type="pct"/>
            <w:shd w:val="clear" w:color="auto" w:fill="auto"/>
            <w:noWrap/>
            <w:vAlign w:val="center"/>
            <w:hideMark/>
          </w:tcPr>
          <w:p w14:paraId="7D74D2FB"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16.02 </w:t>
            </w:r>
          </w:p>
        </w:tc>
        <w:tc>
          <w:tcPr>
            <w:tcW w:w="661" w:type="pct"/>
            <w:shd w:val="clear" w:color="auto" w:fill="auto"/>
            <w:noWrap/>
            <w:vAlign w:val="center"/>
            <w:hideMark/>
          </w:tcPr>
          <w:p w14:paraId="05CEEBD0"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41.14 </w:t>
            </w:r>
          </w:p>
        </w:tc>
        <w:tc>
          <w:tcPr>
            <w:tcW w:w="718" w:type="pct"/>
            <w:shd w:val="clear" w:color="auto" w:fill="auto"/>
            <w:noWrap/>
            <w:vAlign w:val="center"/>
            <w:hideMark/>
          </w:tcPr>
          <w:p w14:paraId="6E392B27"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20.02 </w:t>
            </w:r>
          </w:p>
        </w:tc>
        <w:tc>
          <w:tcPr>
            <w:tcW w:w="661" w:type="pct"/>
            <w:shd w:val="clear" w:color="auto" w:fill="auto"/>
            <w:noWrap/>
            <w:vAlign w:val="center"/>
            <w:hideMark/>
          </w:tcPr>
          <w:p w14:paraId="223977E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102.85 </w:t>
            </w:r>
          </w:p>
        </w:tc>
        <w:tc>
          <w:tcPr>
            <w:tcW w:w="718" w:type="pct"/>
            <w:shd w:val="clear" w:color="auto" w:fill="auto"/>
            <w:noWrap/>
            <w:vAlign w:val="center"/>
            <w:hideMark/>
          </w:tcPr>
          <w:p w14:paraId="11B9686E"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24.03 </w:t>
            </w:r>
          </w:p>
        </w:tc>
        <w:tc>
          <w:tcPr>
            <w:tcW w:w="661" w:type="pct"/>
            <w:shd w:val="clear" w:color="auto" w:fill="auto"/>
            <w:noWrap/>
            <w:vAlign w:val="center"/>
            <w:hideMark/>
          </w:tcPr>
          <w:p w14:paraId="10E80E71"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185.13 </w:t>
            </w:r>
          </w:p>
        </w:tc>
      </w:tr>
      <w:tr w:rsidR="00A046DD" w:rsidRPr="00532C20" w14:paraId="50B2DC77" w14:textId="77777777">
        <w:trPr>
          <w:trHeight w:val="240"/>
        </w:trPr>
        <w:tc>
          <w:tcPr>
            <w:tcW w:w="863" w:type="pct"/>
            <w:shd w:val="clear" w:color="auto" w:fill="D9D9D9"/>
            <w:noWrap/>
            <w:vAlign w:val="center"/>
            <w:hideMark/>
          </w:tcPr>
          <w:p w14:paraId="68A4803E"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Croatia</w:t>
            </w:r>
          </w:p>
        </w:tc>
        <w:tc>
          <w:tcPr>
            <w:tcW w:w="718" w:type="pct"/>
            <w:shd w:val="clear" w:color="auto" w:fill="auto"/>
            <w:noWrap/>
            <w:vAlign w:val="center"/>
            <w:hideMark/>
          </w:tcPr>
          <w:p w14:paraId="09D8BF0A"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51.86 </w:t>
            </w:r>
          </w:p>
        </w:tc>
        <w:tc>
          <w:tcPr>
            <w:tcW w:w="661" w:type="pct"/>
            <w:shd w:val="clear" w:color="auto" w:fill="auto"/>
            <w:noWrap/>
            <w:vAlign w:val="center"/>
            <w:hideMark/>
          </w:tcPr>
          <w:p w14:paraId="5B25A76A"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154.16 </w:t>
            </w:r>
          </w:p>
        </w:tc>
        <w:tc>
          <w:tcPr>
            <w:tcW w:w="718" w:type="pct"/>
            <w:shd w:val="clear" w:color="auto" w:fill="auto"/>
            <w:noWrap/>
            <w:vAlign w:val="center"/>
            <w:hideMark/>
          </w:tcPr>
          <w:p w14:paraId="4E9483F8"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64.83 </w:t>
            </w:r>
          </w:p>
        </w:tc>
        <w:tc>
          <w:tcPr>
            <w:tcW w:w="661" w:type="pct"/>
            <w:shd w:val="clear" w:color="auto" w:fill="auto"/>
            <w:noWrap/>
            <w:vAlign w:val="center"/>
            <w:hideMark/>
          </w:tcPr>
          <w:p w14:paraId="3297A19A"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385.41 </w:t>
            </w:r>
          </w:p>
        </w:tc>
        <w:tc>
          <w:tcPr>
            <w:tcW w:w="718" w:type="pct"/>
            <w:shd w:val="clear" w:color="auto" w:fill="auto"/>
            <w:noWrap/>
            <w:vAlign w:val="center"/>
            <w:hideMark/>
          </w:tcPr>
          <w:p w14:paraId="7E1F68FC"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77.79 </w:t>
            </w:r>
          </w:p>
        </w:tc>
        <w:tc>
          <w:tcPr>
            <w:tcW w:w="661" w:type="pct"/>
            <w:shd w:val="clear" w:color="auto" w:fill="auto"/>
            <w:noWrap/>
            <w:vAlign w:val="center"/>
            <w:hideMark/>
          </w:tcPr>
          <w:p w14:paraId="160B75CC"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693.74 </w:t>
            </w:r>
          </w:p>
        </w:tc>
      </w:tr>
      <w:tr w:rsidR="00A046DD" w:rsidRPr="00532C20" w14:paraId="4C905860" w14:textId="77777777">
        <w:trPr>
          <w:trHeight w:val="240"/>
        </w:trPr>
        <w:tc>
          <w:tcPr>
            <w:tcW w:w="863" w:type="pct"/>
            <w:shd w:val="clear" w:color="auto" w:fill="D9D9D9"/>
            <w:noWrap/>
            <w:vAlign w:val="center"/>
            <w:hideMark/>
          </w:tcPr>
          <w:p w14:paraId="78C09466"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Cyprus</w:t>
            </w:r>
          </w:p>
        </w:tc>
        <w:tc>
          <w:tcPr>
            <w:tcW w:w="718" w:type="pct"/>
            <w:shd w:val="clear" w:color="auto" w:fill="auto"/>
            <w:noWrap/>
            <w:vAlign w:val="center"/>
            <w:hideMark/>
          </w:tcPr>
          <w:p w14:paraId="0F09FEB9"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31.46 </w:t>
            </w:r>
          </w:p>
        </w:tc>
        <w:tc>
          <w:tcPr>
            <w:tcW w:w="661" w:type="pct"/>
            <w:shd w:val="clear" w:color="auto" w:fill="auto"/>
            <w:noWrap/>
            <w:vAlign w:val="center"/>
            <w:hideMark/>
          </w:tcPr>
          <w:p w14:paraId="0D7DC7D1"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67.47 </w:t>
            </w:r>
          </w:p>
        </w:tc>
        <w:tc>
          <w:tcPr>
            <w:tcW w:w="718" w:type="pct"/>
            <w:shd w:val="clear" w:color="auto" w:fill="auto"/>
            <w:noWrap/>
            <w:vAlign w:val="center"/>
            <w:hideMark/>
          </w:tcPr>
          <w:p w14:paraId="2D6750C7"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39.32 </w:t>
            </w:r>
          </w:p>
        </w:tc>
        <w:tc>
          <w:tcPr>
            <w:tcW w:w="661" w:type="pct"/>
            <w:shd w:val="clear" w:color="auto" w:fill="auto"/>
            <w:noWrap/>
            <w:vAlign w:val="center"/>
            <w:hideMark/>
          </w:tcPr>
          <w:p w14:paraId="6F92B071"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168.67 </w:t>
            </w:r>
          </w:p>
        </w:tc>
        <w:tc>
          <w:tcPr>
            <w:tcW w:w="718" w:type="pct"/>
            <w:shd w:val="clear" w:color="auto" w:fill="auto"/>
            <w:noWrap/>
            <w:vAlign w:val="center"/>
            <w:hideMark/>
          </w:tcPr>
          <w:p w14:paraId="6987CA32"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47.19 </w:t>
            </w:r>
          </w:p>
        </w:tc>
        <w:tc>
          <w:tcPr>
            <w:tcW w:w="661" w:type="pct"/>
            <w:shd w:val="clear" w:color="auto" w:fill="auto"/>
            <w:noWrap/>
            <w:vAlign w:val="center"/>
            <w:hideMark/>
          </w:tcPr>
          <w:p w14:paraId="1964D6C7"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303.60 </w:t>
            </w:r>
          </w:p>
        </w:tc>
      </w:tr>
      <w:tr w:rsidR="00A046DD" w:rsidRPr="00532C20" w14:paraId="643B75B8" w14:textId="77777777">
        <w:trPr>
          <w:trHeight w:val="240"/>
        </w:trPr>
        <w:tc>
          <w:tcPr>
            <w:tcW w:w="863" w:type="pct"/>
            <w:shd w:val="clear" w:color="auto" w:fill="D9D9D9"/>
            <w:noWrap/>
            <w:vAlign w:val="center"/>
            <w:hideMark/>
          </w:tcPr>
          <w:p w14:paraId="589B2AAC"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Czechia</w:t>
            </w:r>
          </w:p>
        </w:tc>
        <w:tc>
          <w:tcPr>
            <w:tcW w:w="718" w:type="pct"/>
            <w:shd w:val="clear" w:color="auto" w:fill="auto"/>
            <w:noWrap/>
            <w:vAlign w:val="center"/>
            <w:hideMark/>
          </w:tcPr>
          <w:p w14:paraId="53C0F37B"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247.02 </w:t>
            </w:r>
          </w:p>
        </w:tc>
        <w:tc>
          <w:tcPr>
            <w:tcW w:w="661" w:type="pct"/>
            <w:shd w:val="clear" w:color="auto" w:fill="auto"/>
            <w:noWrap/>
            <w:vAlign w:val="center"/>
            <w:hideMark/>
          </w:tcPr>
          <w:p w14:paraId="2C499E3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655.66 </w:t>
            </w:r>
          </w:p>
        </w:tc>
        <w:tc>
          <w:tcPr>
            <w:tcW w:w="718" w:type="pct"/>
            <w:shd w:val="clear" w:color="auto" w:fill="auto"/>
            <w:noWrap/>
            <w:vAlign w:val="center"/>
            <w:hideMark/>
          </w:tcPr>
          <w:p w14:paraId="1F474002"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308.78 </w:t>
            </w:r>
          </w:p>
        </w:tc>
        <w:tc>
          <w:tcPr>
            <w:tcW w:w="661" w:type="pct"/>
            <w:shd w:val="clear" w:color="auto" w:fill="auto"/>
            <w:noWrap/>
            <w:vAlign w:val="center"/>
            <w:hideMark/>
          </w:tcPr>
          <w:p w14:paraId="0B6F3DA9"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1,639.14 </w:t>
            </w:r>
          </w:p>
        </w:tc>
        <w:tc>
          <w:tcPr>
            <w:tcW w:w="718" w:type="pct"/>
            <w:shd w:val="clear" w:color="auto" w:fill="auto"/>
            <w:noWrap/>
            <w:vAlign w:val="center"/>
            <w:hideMark/>
          </w:tcPr>
          <w:p w14:paraId="459D20F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370.53 </w:t>
            </w:r>
          </w:p>
        </w:tc>
        <w:tc>
          <w:tcPr>
            <w:tcW w:w="661" w:type="pct"/>
            <w:shd w:val="clear" w:color="auto" w:fill="auto"/>
            <w:noWrap/>
            <w:vAlign w:val="center"/>
            <w:hideMark/>
          </w:tcPr>
          <w:p w14:paraId="3806496C"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2,950.45 </w:t>
            </w:r>
          </w:p>
        </w:tc>
      </w:tr>
      <w:tr w:rsidR="00A046DD" w:rsidRPr="00532C20" w14:paraId="7B0A6A13" w14:textId="77777777">
        <w:trPr>
          <w:trHeight w:val="240"/>
        </w:trPr>
        <w:tc>
          <w:tcPr>
            <w:tcW w:w="863" w:type="pct"/>
            <w:shd w:val="clear" w:color="auto" w:fill="D9D9D9"/>
            <w:noWrap/>
            <w:vAlign w:val="center"/>
            <w:hideMark/>
          </w:tcPr>
          <w:p w14:paraId="58200A9B"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Denmark</w:t>
            </w:r>
          </w:p>
        </w:tc>
        <w:tc>
          <w:tcPr>
            <w:tcW w:w="718" w:type="pct"/>
            <w:shd w:val="clear" w:color="auto" w:fill="auto"/>
            <w:noWrap/>
            <w:vAlign w:val="center"/>
            <w:hideMark/>
          </w:tcPr>
          <w:p w14:paraId="6043B253"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751.82 </w:t>
            </w:r>
          </w:p>
        </w:tc>
        <w:tc>
          <w:tcPr>
            <w:tcW w:w="661" w:type="pct"/>
            <w:shd w:val="clear" w:color="auto" w:fill="auto"/>
            <w:noWrap/>
            <w:vAlign w:val="center"/>
            <w:hideMark/>
          </w:tcPr>
          <w:p w14:paraId="201D0813"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2,038.36 </w:t>
            </w:r>
          </w:p>
        </w:tc>
        <w:tc>
          <w:tcPr>
            <w:tcW w:w="718" w:type="pct"/>
            <w:shd w:val="clear" w:color="auto" w:fill="auto"/>
            <w:noWrap/>
            <w:vAlign w:val="center"/>
            <w:hideMark/>
          </w:tcPr>
          <w:p w14:paraId="14CB864A"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939.78 </w:t>
            </w:r>
          </w:p>
        </w:tc>
        <w:tc>
          <w:tcPr>
            <w:tcW w:w="661" w:type="pct"/>
            <w:shd w:val="clear" w:color="auto" w:fill="auto"/>
            <w:noWrap/>
            <w:vAlign w:val="center"/>
            <w:hideMark/>
          </w:tcPr>
          <w:p w14:paraId="5EEB8000"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5,095.90 </w:t>
            </w:r>
          </w:p>
        </w:tc>
        <w:tc>
          <w:tcPr>
            <w:tcW w:w="718" w:type="pct"/>
            <w:shd w:val="clear" w:color="auto" w:fill="auto"/>
            <w:noWrap/>
            <w:vAlign w:val="center"/>
            <w:hideMark/>
          </w:tcPr>
          <w:p w14:paraId="0B9A65E8"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1,127.73 </w:t>
            </w:r>
          </w:p>
        </w:tc>
        <w:tc>
          <w:tcPr>
            <w:tcW w:w="661" w:type="pct"/>
            <w:shd w:val="clear" w:color="auto" w:fill="auto"/>
            <w:noWrap/>
            <w:vAlign w:val="center"/>
            <w:hideMark/>
          </w:tcPr>
          <w:p w14:paraId="3D4429F5"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9,172.61 </w:t>
            </w:r>
          </w:p>
        </w:tc>
      </w:tr>
      <w:tr w:rsidR="00A046DD" w:rsidRPr="00532C20" w14:paraId="4D410A2A" w14:textId="77777777">
        <w:trPr>
          <w:trHeight w:val="240"/>
        </w:trPr>
        <w:tc>
          <w:tcPr>
            <w:tcW w:w="863" w:type="pct"/>
            <w:shd w:val="clear" w:color="auto" w:fill="D9D9D9"/>
            <w:noWrap/>
            <w:vAlign w:val="center"/>
            <w:hideMark/>
          </w:tcPr>
          <w:p w14:paraId="59946572"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Estonia</w:t>
            </w:r>
          </w:p>
        </w:tc>
        <w:tc>
          <w:tcPr>
            <w:tcW w:w="718" w:type="pct"/>
            <w:shd w:val="clear" w:color="auto" w:fill="auto"/>
            <w:noWrap/>
            <w:vAlign w:val="center"/>
            <w:hideMark/>
          </w:tcPr>
          <w:p w14:paraId="2D049AB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49.85 </w:t>
            </w:r>
          </w:p>
        </w:tc>
        <w:tc>
          <w:tcPr>
            <w:tcW w:w="661" w:type="pct"/>
            <w:shd w:val="clear" w:color="auto" w:fill="auto"/>
            <w:noWrap/>
            <w:vAlign w:val="center"/>
            <w:hideMark/>
          </w:tcPr>
          <w:p w14:paraId="24AFF8DB"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160.84 </w:t>
            </w:r>
          </w:p>
        </w:tc>
        <w:tc>
          <w:tcPr>
            <w:tcW w:w="718" w:type="pct"/>
            <w:shd w:val="clear" w:color="auto" w:fill="auto"/>
            <w:noWrap/>
            <w:vAlign w:val="center"/>
            <w:hideMark/>
          </w:tcPr>
          <w:p w14:paraId="0DEAC101"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62.31 </w:t>
            </w:r>
          </w:p>
        </w:tc>
        <w:tc>
          <w:tcPr>
            <w:tcW w:w="661" w:type="pct"/>
            <w:shd w:val="clear" w:color="auto" w:fill="auto"/>
            <w:noWrap/>
            <w:vAlign w:val="center"/>
            <w:hideMark/>
          </w:tcPr>
          <w:p w14:paraId="01FAF5DE"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402.11 </w:t>
            </w:r>
          </w:p>
        </w:tc>
        <w:tc>
          <w:tcPr>
            <w:tcW w:w="718" w:type="pct"/>
            <w:shd w:val="clear" w:color="auto" w:fill="auto"/>
            <w:noWrap/>
            <w:vAlign w:val="center"/>
            <w:hideMark/>
          </w:tcPr>
          <w:p w14:paraId="13B7097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74.78 </w:t>
            </w:r>
          </w:p>
        </w:tc>
        <w:tc>
          <w:tcPr>
            <w:tcW w:w="661" w:type="pct"/>
            <w:shd w:val="clear" w:color="auto" w:fill="auto"/>
            <w:noWrap/>
            <w:vAlign w:val="center"/>
            <w:hideMark/>
          </w:tcPr>
          <w:p w14:paraId="6FF2B61B"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723.79 </w:t>
            </w:r>
          </w:p>
        </w:tc>
      </w:tr>
      <w:tr w:rsidR="00A046DD" w:rsidRPr="00532C20" w14:paraId="220A6974" w14:textId="77777777">
        <w:trPr>
          <w:trHeight w:val="240"/>
        </w:trPr>
        <w:tc>
          <w:tcPr>
            <w:tcW w:w="863" w:type="pct"/>
            <w:shd w:val="clear" w:color="auto" w:fill="D9D9D9"/>
            <w:noWrap/>
            <w:vAlign w:val="center"/>
            <w:hideMark/>
          </w:tcPr>
          <w:p w14:paraId="532FDDE0"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Finland</w:t>
            </w:r>
          </w:p>
        </w:tc>
        <w:tc>
          <w:tcPr>
            <w:tcW w:w="718" w:type="pct"/>
            <w:shd w:val="clear" w:color="auto" w:fill="auto"/>
            <w:noWrap/>
            <w:vAlign w:val="center"/>
            <w:hideMark/>
          </w:tcPr>
          <w:p w14:paraId="6E5FB470"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754.47 </w:t>
            </w:r>
          </w:p>
        </w:tc>
        <w:tc>
          <w:tcPr>
            <w:tcW w:w="661" w:type="pct"/>
            <w:shd w:val="clear" w:color="auto" w:fill="auto"/>
            <w:noWrap/>
            <w:vAlign w:val="center"/>
            <w:hideMark/>
          </w:tcPr>
          <w:p w14:paraId="689A1343"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1,796.08 </w:t>
            </w:r>
          </w:p>
        </w:tc>
        <w:tc>
          <w:tcPr>
            <w:tcW w:w="718" w:type="pct"/>
            <w:shd w:val="clear" w:color="auto" w:fill="auto"/>
            <w:noWrap/>
            <w:vAlign w:val="center"/>
            <w:hideMark/>
          </w:tcPr>
          <w:p w14:paraId="79E1E4CD"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943.09 </w:t>
            </w:r>
          </w:p>
        </w:tc>
        <w:tc>
          <w:tcPr>
            <w:tcW w:w="661" w:type="pct"/>
            <w:shd w:val="clear" w:color="auto" w:fill="auto"/>
            <w:noWrap/>
            <w:vAlign w:val="center"/>
            <w:hideMark/>
          </w:tcPr>
          <w:p w14:paraId="6A138927"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4,490.21 </w:t>
            </w:r>
          </w:p>
        </w:tc>
        <w:tc>
          <w:tcPr>
            <w:tcW w:w="718" w:type="pct"/>
            <w:shd w:val="clear" w:color="auto" w:fill="auto"/>
            <w:noWrap/>
            <w:vAlign w:val="center"/>
            <w:hideMark/>
          </w:tcPr>
          <w:p w14:paraId="0A81809A"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1,131.71 </w:t>
            </w:r>
          </w:p>
        </w:tc>
        <w:tc>
          <w:tcPr>
            <w:tcW w:w="661" w:type="pct"/>
            <w:shd w:val="clear" w:color="auto" w:fill="auto"/>
            <w:noWrap/>
            <w:vAlign w:val="center"/>
            <w:hideMark/>
          </w:tcPr>
          <w:p w14:paraId="252F48D9"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8,082.37 </w:t>
            </w:r>
          </w:p>
        </w:tc>
      </w:tr>
      <w:tr w:rsidR="00A046DD" w:rsidRPr="00532C20" w14:paraId="40908171" w14:textId="77777777">
        <w:trPr>
          <w:trHeight w:val="240"/>
        </w:trPr>
        <w:tc>
          <w:tcPr>
            <w:tcW w:w="863" w:type="pct"/>
            <w:shd w:val="clear" w:color="auto" w:fill="D9D9D9"/>
            <w:noWrap/>
            <w:vAlign w:val="center"/>
            <w:hideMark/>
          </w:tcPr>
          <w:p w14:paraId="047C3899"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France</w:t>
            </w:r>
          </w:p>
        </w:tc>
        <w:tc>
          <w:tcPr>
            <w:tcW w:w="718" w:type="pct"/>
            <w:shd w:val="clear" w:color="auto" w:fill="auto"/>
            <w:noWrap/>
            <w:vAlign w:val="center"/>
            <w:hideMark/>
          </w:tcPr>
          <w:p w14:paraId="2C93F490"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7,624.25 </w:t>
            </w:r>
          </w:p>
        </w:tc>
        <w:tc>
          <w:tcPr>
            <w:tcW w:w="661" w:type="pct"/>
            <w:shd w:val="clear" w:color="auto" w:fill="auto"/>
            <w:noWrap/>
            <w:vAlign w:val="center"/>
            <w:hideMark/>
          </w:tcPr>
          <w:p w14:paraId="431A0DE1"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22,889.69 </w:t>
            </w:r>
          </w:p>
        </w:tc>
        <w:tc>
          <w:tcPr>
            <w:tcW w:w="718" w:type="pct"/>
            <w:shd w:val="clear" w:color="auto" w:fill="auto"/>
            <w:noWrap/>
            <w:vAlign w:val="center"/>
            <w:hideMark/>
          </w:tcPr>
          <w:p w14:paraId="59935B3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9,530.31 </w:t>
            </w:r>
          </w:p>
        </w:tc>
        <w:tc>
          <w:tcPr>
            <w:tcW w:w="661" w:type="pct"/>
            <w:shd w:val="clear" w:color="auto" w:fill="auto"/>
            <w:noWrap/>
            <w:vAlign w:val="center"/>
            <w:hideMark/>
          </w:tcPr>
          <w:p w14:paraId="051F04BB"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57,224.23 </w:t>
            </w:r>
          </w:p>
        </w:tc>
        <w:tc>
          <w:tcPr>
            <w:tcW w:w="718" w:type="pct"/>
            <w:shd w:val="clear" w:color="auto" w:fill="auto"/>
            <w:noWrap/>
            <w:vAlign w:val="center"/>
            <w:hideMark/>
          </w:tcPr>
          <w:p w14:paraId="120532CF"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11,436.38 </w:t>
            </w:r>
          </w:p>
        </w:tc>
        <w:tc>
          <w:tcPr>
            <w:tcW w:w="661" w:type="pct"/>
            <w:shd w:val="clear" w:color="auto" w:fill="auto"/>
            <w:noWrap/>
            <w:vAlign w:val="center"/>
            <w:hideMark/>
          </w:tcPr>
          <w:p w14:paraId="6C7ADD81"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103,003.62 </w:t>
            </w:r>
          </w:p>
        </w:tc>
      </w:tr>
      <w:tr w:rsidR="00A046DD" w:rsidRPr="00532C20" w14:paraId="0B90350E" w14:textId="77777777">
        <w:trPr>
          <w:trHeight w:val="240"/>
        </w:trPr>
        <w:tc>
          <w:tcPr>
            <w:tcW w:w="863" w:type="pct"/>
            <w:shd w:val="clear" w:color="auto" w:fill="D9D9D9"/>
            <w:noWrap/>
            <w:vAlign w:val="center"/>
            <w:hideMark/>
          </w:tcPr>
          <w:p w14:paraId="02C2B554"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Germany</w:t>
            </w:r>
          </w:p>
        </w:tc>
        <w:tc>
          <w:tcPr>
            <w:tcW w:w="718" w:type="pct"/>
            <w:shd w:val="clear" w:color="auto" w:fill="auto"/>
            <w:noWrap/>
            <w:vAlign w:val="center"/>
            <w:hideMark/>
          </w:tcPr>
          <w:p w14:paraId="02B312DD"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4,716.28 </w:t>
            </w:r>
          </w:p>
        </w:tc>
        <w:tc>
          <w:tcPr>
            <w:tcW w:w="661" w:type="pct"/>
            <w:shd w:val="clear" w:color="auto" w:fill="auto"/>
            <w:noWrap/>
            <w:vAlign w:val="center"/>
            <w:hideMark/>
          </w:tcPr>
          <w:p w14:paraId="2AE7565F"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11,776.07 </w:t>
            </w:r>
          </w:p>
        </w:tc>
        <w:tc>
          <w:tcPr>
            <w:tcW w:w="718" w:type="pct"/>
            <w:shd w:val="clear" w:color="auto" w:fill="auto"/>
            <w:noWrap/>
            <w:vAlign w:val="center"/>
            <w:hideMark/>
          </w:tcPr>
          <w:p w14:paraId="07E939D3"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5,895.35 </w:t>
            </w:r>
          </w:p>
        </w:tc>
        <w:tc>
          <w:tcPr>
            <w:tcW w:w="661" w:type="pct"/>
            <w:shd w:val="clear" w:color="auto" w:fill="auto"/>
            <w:noWrap/>
            <w:vAlign w:val="center"/>
            <w:hideMark/>
          </w:tcPr>
          <w:p w14:paraId="195C1225"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29,440.17 </w:t>
            </w:r>
          </w:p>
        </w:tc>
        <w:tc>
          <w:tcPr>
            <w:tcW w:w="718" w:type="pct"/>
            <w:shd w:val="clear" w:color="auto" w:fill="auto"/>
            <w:noWrap/>
            <w:vAlign w:val="center"/>
            <w:hideMark/>
          </w:tcPr>
          <w:p w14:paraId="7C30DBA5"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7,074.42 </w:t>
            </w:r>
          </w:p>
        </w:tc>
        <w:tc>
          <w:tcPr>
            <w:tcW w:w="661" w:type="pct"/>
            <w:shd w:val="clear" w:color="auto" w:fill="auto"/>
            <w:noWrap/>
            <w:vAlign w:val="center"/>
            <w:hideMark/>
          </w:tcPr>
          <w:p w14:paraId="796750B5"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52,992.30 </w:t>
            </w:r>
          </w:p>
        </w:tc>
      </w:tr>
      <w:tr w:rsidR="00A046DD" w:rsidRPr="00532C20" w14:paraId="77195CAE" w14:textId="77777777">
        <w:trPr>
          <w:trHeight w:val="240"/>
        </w:trPr>
        <w:tc>
          <w:tcPr>
            <w:tcW w:w="863" w:type="pct"/>
            <w:shd w:val="clear" w:color="auto" w:fill="D9D9D9"/>
            <w:noWrap/>
            <w:vAlign w:val="center"/>
            <w:hideMark/>
          </w:tcPr>
          <w:p w14:paraId="365012F5"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Greece</w:t>
            </w:r>
          </w:p>
        </w:tc>
        <w:tc>
          <w:tcPr>
            <w:tcW w:w="718" w:type="pct"/>
            <w:shd w:val="clear" w:color="auto" w:fill="auto"/>
            <w:noWrap/>
            <w:vAlign w:val="center"/>
            <w:hideMark/>
          </w:tcPr>
          <w:p w14:paraId="38F415AC"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21.55 </w:t>
            </w:r>
          </w:p>
        </w:tc>
        <w:tc>
          <w:tcPr>
            <w:tcW w:w="661" w:type="pct"/>
            <w:shd w:val="clear" w:color="auto" w:fill="auto"/>
            <w:noWrap/>
            <w:vAlign w:val="center"/>
            <w:hideMark/>
          </w:tcPr>
          <w:p w14:paraId="06F04B11"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59.09 </w:t>
            </w:r>
          </w:p>
        </w:tc>
        <w:tc>
          <w:tcPr>
            <w:tcW w:w="718" w:type="pct"/>
            <w:shd w:val="clear" w:color="auto" w:fill="auto"/>
            <w:noWrap/>
            <w:vAlign w:val="center"/>
            <w:hideMark/>
          </w:tcPr>
          <w:p w14:paraId="4B7C8E03"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26.93 </w:t>
            </w:r>
          </w:p>
        </w:tc>
        <w:tc>
          <w:tcPr>
            <w:tcW w:w="661" w:type="pct"/>
            <w:shd w:val="clear" w:color="auto" w:fill="auto"/>
            <w:noWrap/>
            <w:vAlign w:val="center"/>
            <w:hideMark/>
          </w:tcPr>
          <w:p w14:paraId="0460E3D5"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147.73 </w:t>
            </w:r>
          </w:p>
        </w:tc>
        <w:tc>
          <w:tcPr>
            <w:tcW w:w="718" w:type="pct"/>
            <w:shd w:val="clear" w:color="auto" w:fill="auto"/>
            <w:noWrap/>
            <w:vAlign w:val="center"/>
            <w:hideMark/>
          </w:tcPr>
          <w:p w14:paraId="14111495"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32.32 </w:t>
            </w:r>
          </w:p>
        </w:tc>
        <w:tc>
          <w:tcPr>
            <w:tcW w:w="661" w:type="pct"/>
            <w:shd w:val="clear" w:color="auto" w:fill="auto"/>
            <w:noWrap/>
            <w:vAlign w:val="center"/>
            <w:hideMark/>
          </w:tcPr>
          <w:p w14:paraId="6E4F666D"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265.91 </w:t>
            </w:r>
          </w:p>
        </w:tc>
      </w:tr>
      <w:tr w:rsidR="00A046DD" w:rsidRPr="00532C20" w14:paraId="3717F9DD" w14:textId="77777777">
        <w:trPr>
          <w:trHeight w:val="240"/>
        </w:trPr>
        <w:tc>
          <w:tcPr>
            <w:tcW w:w="863" w:type="pct"/>
            <w:shd w:val="clear" w:color="auto" w:fill="D9D9D9"/>
            <w:noWrap/>
            <w:vAlign w:val="center"/>
            <w:hideMark/>
          </w:tcPr>
          <w:p w14:paraId="23056D6F"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Hungary</w:t>
            </w:r>
          </w:p>
        </w:tc>
        <w:tc>
          <w:tcPr>
            <w:tcW w:w="718" w:type="pct"/>
            <w:shd w:val="clear" w:color="auto" w:fill="auto"/>
            <w:noWrap/>
            <w:vAlign w:val="center"/>
            <w:hideMark/>
          </w:tcPr>
          <w:p w14:paraId="2243F64C"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109.87 </w:t>
            </w:r>
          </w:p>
        </w:tc>
        <w:tc>
          <w:tcPr>
            <w:tcW w:w="661" w:type="pct"/>
            <w:shd w:val="clear" w:color="auto" w:fill="auto"/>
            <w:noWrap/>
            <w:vAlign w:val="center"/>
            <w:hideMark/>
          </w:tcPr>
          <w:p w14:paraId="244C7337"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310.77 </w:t>
            </w:r>
          </w:p>
        </w:tc>
        <w:tc>
          <w:tcPr>
            <w:tcW w:w="718" w:type="pct"/>
            <w:shd w:val="clear" w:color="auto" w:fill="auto"/>
            <w:noWrap/>
            <w:vAlign w:val="center"/>
            <w:hideMark/>
          </w:tcPr>
          <w:p w14:paraId="23ECC1E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137.33 </w:t>
            </w:r>
          </w:p>
        </w:tc>
        <w:tc>
          <w:tcPr>
            <w:tcW w:w="661" w:type="pct"/>
            <w:shd w:val="clear" w:color="auto" w:fill="auto"/>
            <w:noWrap/>
            <w:vAlign w:val="center"/>
            <w:hideMark/>
          </w:tcPr>
          <w:p w14:paraId="4CD761E1"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776.92 </w:t>
            </w:r>
          </w:p>
        </w:tc>
        <w:tc>
          <w:tcPr>
            <w:tcW w:w="718" w:type="pct"/>
            <w:shd w:val="clear" w:color="auto" w:fill="auto"/>
            <w:noWrap/>
            <w:vAlign w:val="center"/>
            <w:hideMark/>
          </w:tcPr>
          <w:p w14:paraId="7DD2DFF5"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164.80 </w:t>
            </w:r>
          </w:p>
        </w:tc>
        <w:tc>
          <w:tcPr>
            <w:tcW w:w="661" w:type="pct"/>
            <w:shd w:val="clear" w:color="auto" w:fill="auto"/>
            <w:noWrap/>
            <w:vAlign w:val="center"/>
            <w:hideMark/>
          </w:tcPr>
          <w:p w14:paraId="1DE6B770"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1,398.46 </w:t>
            </w:r>
          </w:p>
        </w:tc>
      </w:tr>
      <w:tr w:rsidR="00A046DD" w:rsidRPr="00532C20" w14:paraId="3D52F690" w14:textId="77777777">
        <w:trPr>
          <w:trHeight w:val="240"/>
        </w:trPr>
        <w:tc>
          <w:tcPr>
            <w:tcW w:w="863" w:type="pct"/>
            <w:shd w:val="clear" w:color="auto" w:fill="D9D9D9"/>
            <w:noWrap/>
            <w:vAlign w:val="center"/>
            <w:hideMark/>
          </w:tcPr>
          <w:p w14:paraId="2DD95346"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Ireland</w:t>
            </w:r>
          </w:p>
        </w:tc>
        <w:tc>
          <w:tcPr>
            <w:tcW w:w="718" w:type="pct"/>
            <w:shd w:val="clear" w:color="auto" w:fill="auto"/>
            <w:noWrap/>
            <w:vAlign w:val="center"/>
            <w:hideMark/>
          </w:tcPr>
          <w:p w14:paraId="055C82EB"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169.51 </w:t>
            </w:r>
          </w:p>
        </w:tc>
        <w:tc>
          <w:tcPr>
            <w:tcW w:w="661" w:type="pct"/>
            <w:shd w:val="clear" w:color="auto" w:fill="auto"/>
            <w:noWrap/>
            <w:vAlign w:val="center"/>
            <w:hideMark/>
          </w:tcPr>
          <w:p w14:paraId="491726B8"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650.47 </w:t>
            </w:r>
          </w:p>
        </w:tc>
        <w:tc>
          <w:tcPr>
            <w:tcW w:w="718" w:type="pct"/>
            <w:shd w:val="clear" w:color="auto" w:fill="auto"/>
            <w:noWrap/>
            <w:vAlign w:val="center"/>
            <w:hideMark/>
          </w:tcPr>
          <w:p w14:paraId="1835474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211.89 </w:t>
            </w:r>
          </w:p>
        </w:tc>
        <w:tc>
          <w:tcPr>
            <w:tcW w:w="661" w:type="pct"/>
            <w:shd w:val="clear" w:color="auto" w:fill="auto"/>
            <w:noWrap/>
            <w:vAlign w:val="center"/>
            <w:hideMark/>
          </w:tcPr>
          <w:p w14:paraId="4EFC0785"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1,626.18 </w:t>
            </w:r>
          </w:p>
        </w:tc>
        <w:tc>
          <w:tcPr>
            <w:tcW w:w="718" w:type="pct"/>
            <w:shd w:val="clear" w:color="auto" w:fill="auto"/>
            <w:noWrap/>
            <w:vAlign w:val="center"/>
            <w:hideMark/>
          </w:tcPr>
          <w:p w14:paraId="35B950E9"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254.27 </w:t>
            </w:r>
          </w:p>
        </w:tc>
        <w:tc>
          <w:tcPr>
            <w:tcW w:w="661" w:type="pct"/>
            <w:shd w:val="clear" w:color="auto" w:fill="auto"/>
            <w:noWrap/>
            <w:vAlign w:val="center"/>
            <w:hideMark/>
          </w:tcPr>
          <w:p w14:paraId="2161BB1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2,927.13 </w:t>
            </w:r>
          </w:p>
        </w:tc>
      </w:tr>
      <w:tr w:rsidR="00A046DD" w:rsidRPr="00532C20" w14:paraId="2F50F00F" w14:textId="77777777">
        <w:trPr>
          <w:trHeight w:val="240"/>
        </w:trPr>
        <w:tc>
          <w:tcPr>
            <w:tcW w:w="863" w:type="pct"/>
            <w:shd w:val="clear" w:color="auto" w:fill="D9D9D9"/>
            <w:noWrap/>
            <w:vAlign w:val="center"/>
            <w:hideMark/>
          </w:tcPr>
          <w:p w14:paraId="32C9B54D"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Italy</w:t>
            </w:r>
          </w:p>
        </w:tc>
        <w:tc>
          <w:tcPr>
            <w:tcW w:w="718" w:type="pct"/>
            <w:shd w:val="clear" w:color="auto" w:fill="auto"/>
            <w:noWrap/>
            <w:vAlign w:val="center"/>
            <w:hideMark/>
          </w:tcPr>
          <w:p w14:paraId="7F3D0D48"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2,749.55 </w:t>
            </w:r>
          </w:p>
        </w:tc>
        <w:tc>
          <w:tcPr>
            <w:tcW w:w="661" w:type="pct"/>
            <w:shd w:val="clear" w:color="auto" w:fill="auto"/>
            <w:noWrap/>
            <w:vAlign w:val="center"/>
            <w:hideMark/>
          </w:tcPr>
          <w:p w14:paraId="643379D7"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6,269.92 </w:t>
            </w:r>
          </w:p>
        </w:tc>
        <w:tc>
          <w:tcPr>
            <w:tcW w:w="718" w:type="pct"/>
            <w:shd w:val="clear" w:color="auto" w:fill="auto"/>
            <w:noWrap/>
            <w:vAlign w:val="center"/>
            <w:hideMark/>
          </w:tcPr>
          <w:p w14:paraId="25D62285"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3,436.93 </w:t>
            </w:r>
          </w:p>
        </w:tc>
        <w:tc>
          <w:tcPr>
            <w:tcW w:w="661" w:type="pct"/>
            <w:shd w:val="clear" w:color="auto" w:fill="auto"/>
            <w:noWrap/>
            <w:vAlign w:val="center"/>
            <w:hideMark/>
          </w:tcPr>
          <w:p w14:paraId="22F713FF"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15,674.80 </w:t>
            </w:r>
          </w:p>
        </w:tc>
        <w:tc>
          <w:tcPr>
            <w:tcW w:w="718" w:type="pct"/>
            <w:shd w:val="clear" w:color="auto" w:fill="auto"/>
            <w:noWrap/>
            <w:vAlign w:val="center"/>
            <w:hideMark/>
          </w:tcPr>
          <w:p w14:paraId="7BC6E2A4"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4,124.32 </w:t>
            </w:r>
          </w:p>
        </w:tc>
        <w:tc>
          <w:tcPr>
            <w:tcW w:w="661" w:type="pct"/>
            <w:shd w:val="clear" w:color="auto" w:fill="auto"/>
            <w:noWrap/>
            <w:vAlign w:val="center"/>
            <w:hideMark/>
          </w:tcPr>
          <w:p w14:paraId="17F1B8F3"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28,214.64 </w:t>
            </w:r>
          </w:p>
        </w:tc>
      </w:tr>
      <w:tr w:rsidR="00A046DD" w:rsidRPr="00532C20" w14:paraId="12D4F22C" w14:textId="77777777">
        <w:trPr>
          <w:trHeight w:val="240"/>
        </w:trPr>
        <w:tc>
          <w:tcPr>
            <w:tcW w:w="863" w:type="pct"/>
            <w:shd w:val="clear" w:color="auto" w:fill="D9D9D9"/>
            <w:noWrap/>
            <w:vAlign w:val="center"/>
            <w:hideMark/>
          </w:tcPr>
          <w:p w14:paraId="4F16489D"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Latvia</w:t>
            </w:r>
          </w:p>
        </w:tc>
        <w:tc>
          <w:tcPr>
            <w:tcW w:w="718" w:type="pct"/>
            <w:shd w:val="clear" w:color="auto" w:fill="auto"/>
            <w:noWrap/>
            <w:vAlign w:val="center"/>
            <w:hideMark/>
          </w:tcPr>
          <w:p w14:paraId="24EC8EB8"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21.13 </w:t>
            </w:r>
          </w:p>
        </w:tc>
        <w:tc>
          <w:tcPr>
            <w:tcW w:w="661" w:type="pct"/>
            <w:shd w:val="clear" w:color="auto" w:fill="auto"/>
            <w:noWrap/>
            <w:vAlign w:val="center"/>
            <w:hideMark/>
          </w:tcPr>
          <w:p w14:paraId="222C00F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64.78 </w:t>
            </w:r>
          </w:p>
        </w:tc>
        <w:tc>
          <w:tcPr>
            <w:tcW w:w="718" w:type="pct"/>
            <w:shd w:val="clear" w:color="auto" w:fill="auto"/>
            <w:noWrap/>
            <w:vAlign w:val="center"/>
            <w:hideMark/>
          </w:tcPr>
          <w:p w14:paraId="0D2DA839"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26.41 </w:t>
            </w:r>
          </w:p>
        </w:tc>
        <w:tc>
          <w:tcPr>
            <w:tcW w:w="661" w:type="pct"/>
            <w:shd w:val="clear" w:color="auto" w:fill="auto"/>
            <w:noWrap/>
            <w:vAlign w:val="center"/>
            <w:hideMark/>
          </w:tcPr>
          <w:p w14:paraId="2B9B57CB"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161.96 </w:t>
            </w:r>
          </w:p>
        </w:tc>
        <w:tc>
          <w:tcPr>
            <w:tcW w:w="718" w:type="pct"/>
            <w:shd w:val="clear" w:color="auto" w:fill="auto"/>
            <w:noWrap/>
            <w:vAlign w:val="center"/>
            <w:hideMark/>
          </w:tcPr>
          <w:p w14:paraId="0183CC5C"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31.70 </w:t>
            </w:r>
          </w:p>
        </w:tc>
        <w:tc>
          <w:tcPr>
            <w:tcW w:w="661" w:type="pct"/>
            <w:shd w:val="clear" w:color="auto" w:fill="auto"/>
            <w:noWrap/>
            <w:vAlign w:val="center"/>
            <w:hideMark/>
          </w:tcPr>
          <w:p w14:paraId="38438F15"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291.53 </w:t>
            </w:r>
          </w:p>
        </w:tc>
      </w:tr>
      <w:tr w:rsidR="00A046DD" w:rsidRPr="00532C20" w14:paraId="412F4403" w14:textId="77777777">
        <w:trPr>
          <w:trHeight w:val="240"/>
        </w:trPr>
        <w:tc>
          <w:tcPr>
            <w:tcW w:w="863" w:type="pct"/>
            <w:shd w:val="clear" w:color="auto" w:fill="D9D9D9"/>
            <w:noWrap/>
            <w:vAlign w:val="center"/>
            <w:hideMark/>
          </w:tcPr>
          <w:p w14:paraId="0E5B4340"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Lithuania</w:t>
            </w:r>
          </w:p>
        </w:tc>
        <w:tc>
          <w:tcPr>
            <w:tcW w:w="718" w:type="pct"/>
            <w:shd w:val="clear" w:color="auto" w:fill="auto"/>
            <w:noWrap/>
            <w:vAlign w:val="center"/>
            <w:hideMark/>
          </w:tcPr>
          <w:p w14:paraId="5E2FA9BE"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23.69 </w:t>
            </w:r>
          </w:p>
        </w:tc>
        <w:tc>
          <w:tcPr>
            <w:tcW w:w="661" w:type="pct"/>
            <w:shd w:val="clear" w:color="auto" w:fill="auto"/>
            <w:noWrap/>
            <w:vAlign w:val="center"/>
            <w:hideMark/>
          </w:tcPr>
          <w:p w14:paraId="658FC067"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69.99 </w:t>
            </w:r>
          </w:p>
        </w:tc>
        <w:tc>
          <w:tcPr>
            <w:tcW w:w="718" w:type="pct"/>
            <w:shd w:val="clear" w:color="auto" w:fill="auto"/>
            <w:noWrap/>
            <w:vAlign w:val="center"/>
            <w:hideMark/>
          </w:tcPr>
          <w:p w14:paraId="56D51C3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29.62 </w:t>
            </w:r>
          </w:p>
        </w:tc>
        <w:tc>
          <w:tcPr>
            <w:tcW w:w="661" w:type="pct"/>
            <w:shd w:val="clear" w:color="auto" w:fill="auto"/>
            <w:noWrap/>
            <w:vAlign w:val="center"/>
            <w:hideMark/>
          </w:tcPr>
          <w:p w14:paraId="48A839EE"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174.96 </w:t>
            </w:r>
          </w:p>
        </w:tc>
        <w:tc>
          <w:tcPr>
            <w:tcW w:w="718" w:type="pct"/>
            <w:shd w:val="clear" w:color="auto" w:fill="auto"/>
            <w:noWrap/>
            <w:vAlign w:val="center"/>
            <w:hideMark/>
          </w:tcPr>
          <w:p w14:paraId="78C33207"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35.54 </w:t>
            </w:r>
          </w:p>
        </w:tc>
        <w:tc>
          <w:tcPr>
            <w:tcW w:w="661" w:type="pct"/>
            <w:shd w:val="clear" w:color="auto" w:fill="auto"/>
            <w:noWrap/>
            <w:vAlign w:val="center"/>
            <w:hideMark/>
          </w:tcPr>
          <w:p w14:paraId="73633D30"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314.93 </w:t>
            </w:r>
          </w:p>
        </w:tc>
      </w:tr>
      <w:tr w:rsidR="00A046DD" w:rsidRPr="00532C20" w14:paraId="4DC9BB8B" w14:textId="77777777">
        <w:trPr>
          <w:trHeight w:val="240"/>
        </w:trPr>
        <w:tc>
          <w:tcPr>
            <w:tcW w:w="863" w:type="pct"/>
            <w:shd w:val="clear" w:color="auto" w:fill="D9D9D9"/>
            <w:noWrap/>
            <w:vAlign w:val="center"/>
            <w:hideMark/>
          </w:tcPr>
          <w:p w14:paraId="4D50FE61"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Luxembourg</w:t>
            </w:r>
          </w:p>
        </w:tc>
        <w:tc>
          <w:tcPr>
            <w:tcW w:w="718" w:type="pct"/>
            <w:shd w:val="clear" w:color="auto" w:fill="auto"/>
            <w:noWrap/>
            <w:vAlign w:val="center"/>
            <w:hideMark/>
          </w:tcPr>
          <w:p w14:paraId="373BC088"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60.46 </w:t>
            </w:r>
          </w:p>
        </w:tc>
        <w:tc>
          <w:tcPr>
            <w:tcW w:w="661" w:type="pct"/>
            <w:shd w:val="clear" w:color="auto" w:fill="auto"/>
            <w:noWrap/>
            <w:vAlign w:val="center"/>
            <w:hideMark/>
          </w:tcPr>
          <w:p w14:paraId="0A55ED7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160.03 </w:t>
            </w:r>
          </w:p>
        </w:tc>
        <w:tc>
          <w:tcPr>
            <w:tcW w:w="718" w:type="pct"/>
            <w:shd w:val="clear" w:color="auto" w:fill="auto"/>
            <w:noWrap/>
            <w:vAlign w:val="center"/>
            <w:hideMark/>
          </w:tcPr>
          <w:p w14:paraId="1D83895B"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75.58 </w:t>
            </w:r>
          </w:p>
        </w:tc>
        <w:tc>
          <w:tcPr>
            <w:tcW w:w="661" w:type="pct"/>
            <w:shd w:val="clear" w:color="auto" w:fill="auto"/>
            <w:noWrap/>
            <w:vAlign w:val="center"/>
            <w:hideMark/>
          </w:tcPr>
          <w:p w14:paraId="5A393875"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400.07 </w:t>
            </w:r>
          </w:p>
        </w:tc>
        <w:tc>
          <w:tcPr>
            <w:tcW w:w="718" w:type="pct"/>
            <w:shd w:val="clear" w:color="auto" w:fill="auto"/>
            <w:noWrap/>
            <w:vAlign w:val="center"/>
            <w:hideMark/>
          </w:tcPr>
          <w:p w14:paraId="6037B685"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90.69 </w:t>
            </w:r>
          </w:p>
        </w:tc>
        <w:tc>
          <w:tcPr>
            <w:tcW w:w="661" w:type="pct"/>
            <w:shd w:val="clear" w:color="auto" w:fill="auto"/>
            <w:noWrap/>
            <w:vAlign w:val="center"/>
            <w:hideMark/>
          </w:tcPr>
          <w:p w14:paraId="5461FA3C"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720.12 </w:t>
            </w:r>
          </w:p>
        </w:tc>
      </w:tr>
      <w:tr w:rsidR="00A046DD" w:rsidRPr="00532C20" w14:paraId="0052AD45" w14:textId="77777777">
        <w:trPr>
          <w:trHeight w:val="240"/>
        </w:trPr>
        <w:tc>
          <w:tcPr>
            <w:tcW w:w="863" w:type="pct"/>
            <w:shd w:val="clear" w:color="auto" w:fill="D9D9D9"/>
            <w:noWrap/>
            <w:vAlign w:val="center"/>
            <w:hideMark/>
          </w:tcPr>
          <w:p w14:paraId="4F2CA4FA"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Malta</w:t>
            </w:r>
          </w:p>
        </w:tc>
        <w:tc>
          <w:tcPr>
            <w:tcW w:w="718" w:type="pct"/>
            <w:shd w:val="clear" w:color="auto" w:fill="auto"/>
            <w:noWrap/>
            <w:vAlign w:val="center"/>
            <w:hideMark/>
          </w:tcPr>
          <w:p w14:paraId="7EC1F0B8"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7.94 </w:t>
            </w:r>
          </w:p>
        </w:tc>
        <w:tc>
          <w:tcPr>
            <w:tcW w:w="661" w:type="pct"/>
            <w:shd w:val="clear" w:color="auto" w:fill="auto"/>
            <w:noWrap/>
            <w:vAlign w:val="center"/>
            <w:hideMark/>
          </w:tcPr>
          <w:p w14:paraId="713CC43E"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23.78 </w:t>
            </w:r>
          </w:p>
        </w:tc>
        <w:tc>
          <w:tcPr>
            <w:tcW w:w="718" w:type="pct"/>
            <w:shd w:val="clear" w:color="auto" w:fill="auto"/>
            <w:noWrap/>
            <w:vAlign w:val="center"/>
            <w:hideMark/>
          </w:tcPr>
          <w:p w14:paraId="43417309"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9.92 </w:t>
            </w:r>
          </w:p>
        </w:tc>
        <w:tc>
          <w:tcPr>
            <w:tcW w:w="661" w:type="pct"/>
            <w:shd w:val="clear" w:color="auto" w:fill="auto"/>
            <w:noWrap/>
            <w:vAlign w:val="center"/>
            <w:hideMark/>
          </w:tcPr>
          <w:p w14:paraId="40E70B7E"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59.44 </w:t>
            </w:r>
          </w:p>
        </w:tc>
        <w:tc>
          <w:tcPr>
            <w:tcW w:w="718" w:type="pct"/>
            <w:shd w:val="clear" w:color="auto" w:fill="auto"/>
            <w:noWrap/>
            <w:vAlign w:val="center"/>
            <w:hideMark/>
          </w:tcPr>
          <w:p w14:paraId="7AB0B7D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11.91 </w:t>
            </w:r>
          </w:p>
        </w:tc>
        <w:tc>
          <w:tcPr>
            <w:tcW w:w="661" w:type="pct"/>
            <w:shd w:val="clear" w:color="auto" w:fill="auto"/>
            <w:noWrap/>
            <w:vAlign w:val="center"/>
            <w:hideMark/>
          </w:tcPr>
          <w:p w14:paraId="68898F7D"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106.99 </w:t>
            </w:r>
          </w:p>
        </w:tc>
      </w:tr>
      <w:tr w:rsidR="00A046DD" w:rsidRPr="00532C20" w14:paraId="0222B5E5" w14:textId="77777777">
        <w:trPr>
          <w:trHeight w:val="240"/>
        </w:trPr>
        <w:tc>
          <w:tcPr>
            <w:tcW w:w="863" w:type="pct"/>
            <w:shd w:val="clear" w:color="auto" w:fill="D9D9D9"/>
            <w:noWrap/>
            <w:vAlign w:val="center"/>
            <w:hideMark/>
          </w:tcPr>
          <w:p w14:paraId="7ECDD108"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Netherlands</w:t>
            </w:r>
          </w:p>
        </w:tc>
        <w:tc>
          <w:tcPr>
            <w:tcW w:w="718" w:type="pct"/>
            <w:shd w:val="clear" w:color="auto" w:fill="auto"/>
            <w:noWrap/>
            <w:vAlign w:val="center"/>
            <w:hideMark/>
          </w:tcPr>
          <w:p w14:paraId="38D91D1D"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271.96 </w:t>
            </w:r>
          </w:p>
        </w:tc>
        <w:tc>
          <w:tcPr>
            <w:tcW w:w="661" w:type="pct"/>
            <w:shd w:val="clear" w:color="auto" w:fill="auto"/>
            <w:noWrap/>
            <w:vAlign w:val="center"/>
            <w:hideMark/>
          </w:tcPr>
          <w:p w14:paraId="7C3EB779"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809.47 </w:t>
            </w:r>
          </w:p>
        </w:tc>
        <w:tc>
          <w:tcPr>
            <w:tcW w:w="718" w:type="pct"/>
            <w:shd w:val="clear" w:color="auto" w:fill="auto"/>
            <w:noWrap/>
            <w:vAlign w:val="center"/>
            <w:hideMark/>
          </w:tcPr>
          <w:p w14:paraId="0D11AA4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339.95 </w:t>
            </w:r>
          </w:p>
        </w:tc>
        <w:tc>
          <w:tcPr>
            <w:tcW w:w="661" w:type="pct"/>
            <w:shd w:val="clear" w:color="auto" w:fill="auto"/>
            <w:noWrap/>
            <w:vAlign w:val="center"/>
            <w:hideMark/>
          </w:tcPr>
          <w:p w14:paraId="79BE0915"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2,023.67 </w:t>
            </w:r>
          </w:p>
        </w:tc>
        <w:tc>
          <w:tcPr>
            <w:tcW w:w="718" w:type="pct"/>
            <w:shd w:val="clear" w:color="auto" w:fill="auto"/>
            <w:noWrap/>
            <w:vAlign w:val="center"/>
            <w:hideMark/>
          </w:tcPr>
          <w:p w14:paraId="0A6F59AD"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407.94 </w:t>
            </w:r>
          </w:p>
        </w:tc>
        <w:tc>
          <w:tcPr>
            <w:tcW w:w="661" w:type="pct"/>
            <w:shd w:val="clear" w:color="auto" w:fill="auto"/>
            <w:noWrap/>
            <w:vAlign w:val="center"/>
            <w:hideMark/>
          </w:tcPr>
          <w:p w14:paraId="6CCFFCD0"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3,642.60 </w:t>
            </w:r>
          </w:p>
        </w:tc>
      </w:tr>
      <w:tr w:rsidR="00A046DD" w:rsidRPr="00532C20" w14:paraId="48C49686" w14:textId="77777777">
        <w:trPr>
          <w:trHeight w:val="240"/>
        </w:trPr>
        <w:tc>
          <w:tcPr>
            <w:tcW w:w="863" w:type="pct"/>
            <w:shd w:val="clear" w:color="auto" w:fill="D9D9D9"/>
            <w:noWrap/>
            <w:vAlign w:val="center"/>
            <w:hideMark/>
          </w:tcPr>
          <w:p w14:paraId="08A8CF43"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Poland</w:t>
            </w:r>
          </w:p>
        </w:tc>
        <w:tc>
          <w:tcPr>
            <w:tcW w:w="718" w:type="pct"/>
            <w:shd w:val="clear" w:color="auto" w:fill="auto"/>
            <w:noWrap/>
            <w:vAlign w:val="center"/>
            <w:hideMark/>
          </w:tcPr>
          <w:p w14:paraId="4F23F23E"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131.47 </w:t>
            </w:r>
          </w:p>
        </w:tc>
        <w:tc>
          <w:tcPr>
            <w:tcW w:w="661" w:type="pct"/>
            <w:shd w:val="clear" w:color="auto" w:fill="auto"/>
            <w:noWrap/>
            <w:vAlign w:val="center"/>
            <w:hideMark/>
          </w:tcPr>
          <w:p w14:paraId="31110823"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391.34 </w:t>
            </w:r>
          </w:p>
        </w:tc>
        <w:tc>
          <w:tcPr>
            <w:tcW w:w="718" w:type="pct"/>
            <w:shd w:val="clear" w:color="auto" w:fill="auto"/>
            <w:noWrap/>
            <w:vAlign w:val="center"/>
            <w:hideMark/>
          </w:tcPr>
          <w:p w14:paraId="7571E62D"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164.34 </w:t>
            </w:r>
          </w:p>
        </w:tc>
        <w:tc>
          <w:tcPr>
            <w:tcW w:w="661" w:type="pct"/>
            <w:shd w:val="clear" w:color="auto" w:fill="auto"/>
            <w:noWrap/>
            <w:vAlign w:val="center"/>
            <w:hideMark/>
          </w:tcPr>
          <w:p w14:paraId="2D9846C8"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978.35 </w:t>
            </w:r>
          </w:p>
        </w:tc>
        <w:tc>
          <w:tcPr>
            <w:tcW w:w="718" w:type="pct"/>
            <w:shd w:val="clear" w:color="auto" w:fill="auto"/>
            <w:noWrap/>
            <w:vAlign w:val="center"/>
            <w:hideMark/>
          </w:tcPr>
          <w:p w14:paraId="45E03901"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197.20 </w:t>
            </w:r>
          </w:p>
        </w:tc>
        <w:tc>
          <w:tcPr>
            <w:tcW w:w="661" w:type="pct"/>
            <w:shd w:val="clear" w:color="auto" w:fill="auto"/>
            <w:noWrap/>
            <w:vAlign w:val="center"/>
            <w:hideMark/>
          </w:tcPr>
          <w:p w14:paraId="45F7A6BE"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1,761.02 </w:t>
            </w:r>
          </w:p>
        </w:tc>
      </w:tr>
      <w:tr w:rsidR="00A046DD" w:rsidRPr="00532C20" w14:paraId="272F8750" w14:textId="77777777">
        <w:trPr>
          <w:trHeight w:val="240"/>
        </w:trPr>
        <w:tc>
          <w:tcPr>
            <w:tcW w:w="863" w:type="pct"/>
            <w:shd w:val="clear" w:color="auto" w:fill="D9D9D9"/>
            <w:noWrap/>
            <w:vAlign w:val="center"/>
            <w:hideMark/>
          </w:tcPr>
          <w:p w14:paraId="38CF61CE"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Portugal</w:t>
            </w:r>
          </w:p>
        </w:tc>
        <w:tc>
          <w:tcPr>
            <w:tcW w:w="718" w:type="pct"/>
            <w:shd w:val="clear" w:color="auto" w:fill="auto"/>
            <w:noWrap/>
            <w:vAlign w:val="center"/>
            <w:hideMark/>
          </w:tcPr>
          <w:p w14:paraId="06E7EE7C"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207.07 </w:t>
            </w:r>
          </w:p>
        </w:tc>
        <w:tc>
          <w:tcPr>
            <w:tcW w:w="661" w:type="pct"/>
            <w:shd w:val="clear" w:color="auto" w:fill="auto"/>
            <w:noWrap/>
            <w:vAlign w:val="center"/>
            <w:hideMark/>
          </w:tcPr>
          <w:p w14:paraId="0AB4CBF0"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571.17 </w:t>
            </w:r>
          </w:p>
        </w:tc>
        <w:tc>
          <w:tcPr>
            <w:tcW w:w="718" w:type="pct"/>
            <w:shd w:val="clear" w:color="auto" w:fill="auto"/>
            <w:noWrap/>
            <w:vAlign w:val="center"/>
            <w:hideMark/>
          </w:tcPr>
          <w:p w14:paraId="55007534"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258.84 </w:t>
            </w:r>
          </w:p>
        </w:tc>
        <w:tc>
          <w:tcPr>
            <w:tcW w:w="661" w:type="pct"/>
            <w:shd w:val="clear" w:color="auto" w:fill="auto"/>
            <w:noWrap/>
            <w:vAlign w:val="center"/>
            <w:hideMark/>
          </w:tcPr>
          <w:p w14:paraId="0D9D1C84"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1,427.93 </w:t>
            </w:r>
          </w:p>
        </w:tc>
        <w:tc>
          <w:tcPr>
            <w:tcW w:w="718" w:type="pct"/>
            <w:shd w:val="clear" w:color="auto" w:fill="auto"/>
            <w:noWrap/>
            <w:vAlign w:val="center"/>
            <w:hideMark/>
          </w:tcPr>
          <w:p w14:paraId="5F5BB883"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310.61 </w:t>
            </w:r>
          </w:p>
        </w:tc>
        <w:tc>
          <w:tcPr>
            <w:tcW w:w="661" w:type="pct"/>
            <w:shd w:val="clear" w:color="auto" w:fill="auto"/>
            <w:noWrap/>
            <w:vAlign w:val="center"/>
            <w:hideMark/>
          </w:tcPr>
          <w:p w14:paraId="5CC25B25"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2,570.28 </w:t>
            </w:r>
          </w:p>
        </w:tc>
      </w:tr>
      <w:tr w:rsidR="00A046DD" w:rsidRPr="00532C20" w14:paraId="6E33A680" w14:textId="77777777">
        <w:trPr>
          <w:trHeight w:val="240"/>
        </w:trPr>
        <w:tc>
          <w:tcPr>
            <w:tcW w:w="863" w:type="pct"/>
            <w:shd w:val="clear" w:color="auto" w:fill="D9D9D9"/>
            <w:noWrap/>
            <w:vAlign w:val="center"/>
            <w:hideMark/>
          </w:tcPr>
          <w:p w14:paraId="6566DEFA"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Romania</w:t>
            </w:r>
          </w:p>
        </w:tc>
        <w:tc>
          <w:tcPr>
            <w:tcW w:w="718" w:type="pct"/>
            <w:shd w:val="clear" w:color="auto" w:fill="auto"/>
            <w:noWrap/>
            <w:vAlign w:val="center"/>
            <w:hideMark/>
          </w:tcPr>
          <w:p w14:paraId="368511A2"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97.68 </w:t>
            </w:r>
          </w:p>
        </w:tc>
        <w:tc>
          <w:tcPr>
            <w:tcW w:w="661" w:type="pct"/>
            <w:shd w:val="clear" w:color="auto" w:fill="auto"/>
            <w:noWrap/>
            <w:vAlign w:val="center"/>
            <w:hideMark/>
          </w:tcPr>
          <w:p w14:paraId="2A025483"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318.86 </w:t>
            </w:r>
          </w:p>
        </w:tc>
        <w:tc>
          <w:tcPr>
            <w:tcW w:w="718" w:type="pct"/>
            <w:shd w:val="clear" w:color="auto" w:fill="auto"/>
            <w:noWrap/>
            <w:vAlign w:val="center"/>
            <w:hideMark/>
          </w:tcPr>
          <w:p w14:paraId="3670E534"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122.09 </w:t>
            </w:r>
          </w:p>
        </w:tc>
        <w:tc>
          <w:tcPr>
            <w:tcW w:w="661" w:type="pct"/>
            <w:shd w:val="clear" w:color="auto" w:fill="auto"/>
            <w:noWrap/>
            <w:vAlign w:val="center"/>
            <w:hideMark/>
          </w:tcPr>
          <w:p w14:paraId="2415DDE6"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797.16 </w:t>
            </w:r>
          </w:p>
        </w:tc>
        <w:tc>
          <w:tcPr>
            <w:tcW w:w="718" w:type="pct"/>
            <w:shd w:val="clear" w:color="auto" w:fill="auto"/>
            <w:noWrap/>
            <w:vAlign w:val="center"/>
            <w:hideMark/>
          </w:tcPr>
          <w:p w14:paraId="75EE8A82"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146.51 </w:t>
            </w:r>
          </w:p>
        </w:tc>
        <w:tc>
          <w:tcPr>
            <w:tcW w:w="661" w:type="pct"/>
            <w:shd w:val="clear" w:color="auto" w:fill="auto"/>
            <w:noWrap/>
            <w:vAlign w:val="center"/>
            <w:hideMark/>
          </w:tcPr>
          <w:p w14:paraId="5B4481C7"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1,434.88 </w:t>
            </w:r>
          </w:p>
        </w:tc>
      </w:tr>
      <w:tr w:rsidR="00A046DD" w:rsidRPr="00532C20" w14:paraId="4AB06411" w14:textId="77777777">
        <w:trPr>
          <w:trHeight w:val="240"/>
        </w:trPr>
        <w:tc>
          <w:tcPr>
            <w:tcW w:w="863" w:type="pct"/>
            <w:shd w:val="clear" w:color="auto" w:fill="D9D9D9"/>
            <w:noWrap/>
            <w:vAlign w:val="center"/>
            <w:hideMark/>
          </w:tcPr>
          <w:p w14:paraId="4E877C54"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Slovakia</w:t>
            </w:r>
          </w:p>
        </w:tc>
        <w:tc>
          <w:tcPr>
            <w:tcW w:w="718" w:type="pct"/>
            <w:shd w:val="clear" w:color="auto" w:fill="auto"/>
            <w:noWrap/>
            <w:vAlign w:val="center"/>
            <w:hideMark/>
          </w:tcPr>
          <w:p w14:paraId="3EB977DC"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44.43 </w:t>
            </w:r>
          </w:p>
        </w:tc>
        <w:tc>
          <w:tcPr>
            <w:tcW w:w="661" w:type="pct"/>
            <w:shd w:val="clear" w:color="auto" w:fill="auto"/>
            <w:noWrap/>
            <w:vAlign w:val="center"/>
            <w:hideMark/>
          </w:tcPr>
          <w:p w14:paraId="6C38087D"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115.32 </w:t>
            </w:r>
          </w:p>
        </w:tc>
        <w:tc>
          <w:tcPr>
            <w:tcW w:w="718" w:type="pct"/>
            <w:shd w:val="clear" w:color="auto" w:fill="auto"/>
            <w:noWrap/>
            <w:vAlign w:val="center"/>
            <w:hideMark/>
          </w:tcPr>
          <w:p w14:paraId="3CAA8DE2"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55.54 </w:t>
            </w:r>
          </w:p>
        </w:tc>
        <w:tc>
          <w:tcPr>
            <w:tcW w:w="661" w:type="pct"/>
            <w:shd w:val="clear" w:color="auto" w:fill="auto"/>
            <w:noWrap/>
            <w:vAlign w:val="center"/>
            <w:hideMark/>
          </w:tcPr>
          <w:p w14:paraId="7611F549"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288.30 </w:t>
            </w:r>
          </w:p>
        </w:tc>
        <w:tc>
          <w:tcPr>
            <w:tcW w:w="718" w:type="pct"/>
            <w:shd w:val="clear" w:color="auto" w:fill="auto"/>
            <w:noWrap/>
            <w:vAlign w:val="center"/>
            <w:hideMark/>
          </w:tcPr>
          <w:p w14:paraId="29FBD7B9"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66.65 </w:t>
            </w:r>
          </w:p>
        </w:tc>
        <w:tc>
          <w:tcPr>
            <w:tcW w:w="661" w:type="pct"/>
            <w:shd w:val="clear" w:color="auto" w:fill="auto"/>
            <w:noWrap/>
            <w:vAlign w:val="center"/>
            <w:hideMark/>
          </w:tcPr>
          <w:p w14:paraId="3D8FA4C1"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518.93 </w:t>
            </w:r>
          </w:p>
        </w:tc>
      </w:tr>
      <w:tr w:rsidR="00A046DD" w:rsidRPr="00532C20" w14:paraId="5DAA6595" w14:textId="77777777">
        <w:trPr>
          <w:trHeight w:val="240"/>
        </w:trPr>
        <w:tc>
          <w:tcPr>
            <w:tcW w:w="863" w:type="pct"/>
            <w:shd w:val="clear" w:color="auto" w:fill="D9D9D9"/>
            <w:noWrap/>
            <w:vAlign w:val="center"/>
            <w:hideMark/>
          </w:tcPr>
          <w:p w14:paraId="6BFBC5DA"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Slovenia</w:t>
            </w:r>
          </w:p>
        </w:tc>
        <w:tc>
          <w:tcPr>
            <w:tcW w:w="718" w:type="pct"/>
            <w:shd w:val="clear" w:color="auto" w:fill="auto"/>
            <w:noWrap/>
            <w:vAlign w:val="center"/>
            <w:hideMark/>
          </w:tcPr>
          <w:p w14:paraId="34E228B1"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81.19 </w:t>
            </w:r>
          </w:p>
        </w:tc>
        <w:tc>
          <w:tcPr>
            <w:tcW w:w="661" w:type="pct"/>
            <w:shd w:val="clear" w:color="auto" w:fill="auto"/>
            <w:noWrap/>
            <w:vAlign w:val="center"/>
            <w:hideMark/>
          </w:tcPr>
          <w:p w14:paraId="633FE8BD"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208.60 </w:t>
            </w:r>
          </w:p>
        </w:tc>
        <w:tc>
          <w:tcPr>
            <w:tcW w:w="718" w:type="pct"/>
            <w:shd w:val="clear" w:color="auto" w:fill="auto"/>
            <w:noWrap/>
            <w:vAlign w:val="center"/>
            <w:hideMark/>
          </w:tcPr>
          <w:p w14:paraId="25D07DB8"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101.48 </w:t>
            </w:r>
          </w:p>
        </w:tc>
        <w:tc>
          <w:tcPr>
            <w:tcW w:w="661" w:type="pct"/>
            <w:shd w:val="clear" w:color="auto" w:fill="auto"/>
            <w:noWrap/>
            <w:vAlign w:val="center"/>
            <w:hideMark/>
          </w:tcPr>
          <w:p w14:paraId="4A73B444"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521.49 </w:t>
            </w:r>
          </w:p>
        </w:tc>
        <w:tc>
          <w:tcPr>
            <w:tcW w:w="718" w:type="pct"/>
            <w:shd w:val="clear" w:color="auto" w:fill="auto"/>
            <w:noWrap/>
            <w:vAlign w:val="center"/>
            <w:hideMark/>
          </w:tcPr>
          <w:p w14:paraId="53D765ED"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121.78 </w:t>
            </w:r>
          </w:p>
        </w:tc>
        <w:tc>
          <w:tcPr>
            <w:tcW w:w="661" w:type="pct"/>
            <w:shd w:val="clear" w:color="auto" w:fill="auto"/>
            <w:noWrap/>
            <w:vAlign w:val="center"/>
            <w:hideMark/>
          </w:tcPr>
          <w:p w14:paraId="096E0B0B"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938.69 </w:t>
            </w:r>
          </w:p>
        </w:tc>
      </w:tr>
      <w:tr w:rsidR="00A046DD" w:rsidRPr="00532C20" w14:paraId="21649725" w14:textId="77777777">
        <w:trPr>
          <w:trHeight w:val="240"/>
        </w:trPr>
        <w:tc>
          <w:tcPr>
            <w:tcW w:w="863" w:type="pct"/>
            <w:shd w:val="clear" w:color="auto" w:fill="D9D9D9"/>
            <w:noWrap/>
            <w:vAlign w:val="center"/>
            <w:hideMark/>
          </w:tcPr>
          <w:p w14:paraId="6D07F4FF"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Spain</w:t>
            </w:r>
          </w:p>
        </w:tc>
        <w:tc>
          <w:tcPr>
            <w:tcW w:w="718" w:type="pct"/>
            <w:shd w:val="clear" w:color="auto" w:fill="auto"/>
            <w:noWrap/>
            <w:vAlign w:val="center"/>
            <w:hideMark/>
          </w:tcPr>
          <w:p w14:paraId="654EBBBE"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416.35 </w:t>
            </w:r>
          </w:p>
        </w:tc>
        <w:tc>
          <w:tcPr>
            <w:tcW w:w="661" w:type="pct"/>
            <w:shd w:val="clear" w:color="auto" w:fill="auto"/>
            <w:noWrap/>
            <w:vAlign w:val="center"/>
            <w:hideMark/>
          </w:tcPr>
          <w:p w14:paraId="18855173"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1,201.95 </w:t>
            </w:r>
          </w:p>
        </w:tc>
        <w:tc>
          <w:tcPr>
            <w:tcW w:w="718" w:type="pct"/>
            <w:shd w:val="clear" w:color="auto" w:fill="auto"/>
            <w:noWrap/>
            <w:vAlign w:val="center"/>
            <w:hideMark/>
          </w:tcPr>
          <w:p w14:paraId="4D92720F"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520.44 </w:t>
            </w:r>
          </w:p>
        </w:tc>
        <w:tc>
          <w:tcPr>
            <w:tcW w:w="661" w:type="pct"/>
            <w:shd w:val="clear" w:color="auto" w:fill="auto"/>
            <w:noWrap/>
            <w:vAlign w:val="center"/>
            <w:hideMark/>
          </w:tcPr>
          <w:p w14:paraId="062E75A8"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3,004.88 </w:t>
            </w:r>
          </w:p>
        </w:tc>
        <w:tc>
          <w:tcPr>
            <w:tcW w:w="718" w:type="pct"/>
            <w:shd w:val="clear" w:color="auto" w:fill="auto"/>
            <w:noWrap/>
            <w:vAlign w:val="center"/>
            <w:hideMark/>
          </w:tcPr>
          <w:p w14:paraId="3F645718"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624.52 </w:t>
            </w:r>
          </w:p>
        </w:tc>
        <w:tc>
          <w:tcPr>
            <w:tcW w:w="661" w:type="pct"/>
            <w:shd w:val="clear" w:color="auto" w:fill="auto"/>
            <w:noWrap/>
            <w:vAlign w:val="center"/>
            <w:hideMark/>
          </w:tcPr>
          <w:p w14:paraId="076DFBE1"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5,408.79 </w:t>
            </w:r>
          </w:p>
        </w:tc>
      </w:tr>
      <w:tr w:rsidR="00A046DD" w:rsidRPr="00532C20" w14:paraId="2FAC5B4E" w14:textId="77777777">
        <w:trPr>
          <w:trHeight w:val="240"/>
        </w:trPr>
        <w:tc>
          <w:tcPr>
            <w:tcW w:w="863" w:type="pct"/>
            <w:shd w:val="clear" w:color="auto" w:fill="D9D9D9"/>
            <w:noWrap/>
            <w:vAlign w:val="center"/>
            <w:hideMark/>
          </w:tcPr>
          <w:p w14:paraId="2B0726F5" w14:textId="77777777" w:rsidR="00A046DD" w:rsidRPr="00532C20" w:rsidRDefault="00A046DD" w:rsidP="00A046DD">
            <w:pPr>
              <w:spacing w:after="0" w:line="240" w:lineRule="auto"/>
              <w:rPr>
                <w:rFonts w:ascii="Times New Roman" w:eastAsia="Times New Roman" w:hAnsi="Times New Roman" w:cs="Times New Roman"/>
                <w:b/>
                <w:bCs/>
                <w:noProof/>
                <w:sz w:val="24"/>
                <w:szCs w:val="24"/>
                <w:lang w:eastAsia="en-GB"/>
              </w:rPr>
            </w:pPr>
            <w:r w:rsidRPr="00532C20">
              <w:rPr>
                <w:rFonts w:ascii="Times New Roman" w:eastAsia="Times New Roman" w:hAnsi="Times New Roman" w:cs="Times New Roman"/>
                <w:b/>
                <w:bCs/>
                <w:noProof/>
                <w:sz w:val="24"/>
                <w:szCs w:val="24"/>
                <w:lang w:eastAsia="en-GB"/>
              </w:rPr>
              <w:t>Sweden</w:t>
            </w:r>
          </w:p>
        </w:tc>
        <w:tc>
          <w:tcPr>
            <w:tcW w:w="718" w:type="pct"/>
            <w:shd w:val="clear" w:color="auto" w:fill="auto"/>
            <w:noWrap/>
            <w:vAlign w:val="center"/>
            <w:hideMark/>
          </w:tcPr>
          <w:p w14:paraId="4C6E478A"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654.04 </w:t>
            </w:r>
          </w:p>
        </w:tc>
        <w:tc>
          <w:tcPr>
            <w:tcW w:w="661" w:type="pct"/>
            <w:shd w:val="clear" w:color="auto" w:fill="auto"/>
            <w:noWrap/>
            <w:vAlign w:val="center"/>
            <w:hideMark/>
          </w:tcPr>
          <w:p w14:paraId="3DBB5E5D"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1,780.36 </w:t>
            </w:r>
          </w:p>
        </w:tc>
        <w:tc>
          <w:tcPr>
            <w:tcW w:w="718" w:type="pct"/>
            <w:shd w:val="clear" w:color="auto" w:fill="auto"/>
            <w:noWrap/>
            <w:vAlign w:val="center"/>
            <w:hideMark/>
          </w:tcPr>
          <w:p w14:paraId="581FD878"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817.55 </w:t>
            </w:r>
          </w:p>
        </w:tc>
        <w:tc>
          <w:tcPr>
            <w:tcW w:w="661" w:type="pct"/>
            <w:shd w:val="clear" w:color="auto" w:fill="auto"/>
            <w:noWrap/>
            <w:vAlign w:val="center"/>
            <w:hideMark/>
          </w:tcPr>
          <w:p w14:paraId="58C066C2"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4,450.90 </w:t>
            </w:r>
          </w:p>
        </w:tc>
        <w:tc>
          <w:tcPr>
            <w:tcW w:w="718" w:type="pct"/>
            <w:shd w:val="clear" w:color="auto" w:fill="auto"/>
            <w:noWrap/>
            <w:vAlign w:val="center"/>
            <w:hideMark/>
          </w:tcPr>
          <w:p w14:paraId="68330148"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981.06 </w:t>
            </w:r>
          </w:p>
        </w:tc>
        <w:tc>
          <w:tcPr>
            <w:tcW w:w="661" w:type="pct"/>
            <w:shd w:val="clear" w:color="auto" w:fill="auto"/>
            <w:noWrap/>
            <w:vAlign w:val="center"/>
            <w:hideMark/>
          </w:tcPr>
          <w:p w14:paraId="07C51B13" w14:textId="77777777" w:rsidR="00A046DD" w:rsidRPr="00532C20" w:rsidRDefault="00A046DD" w:rsidP="00A046DD">
            <w:pPr>
              <w:spacing w:after="0" w:line="240" w:lineRule="auto"/>
              <w:jc w:val="right"/>
              <w:rPr>
                <w:rFonts w:ascii="Times New Roman" w:eastAsia="Times New Roman" w:hAnsi="Times New Roman" w:cs="Times New Roman"/>
                <w:noProof/>
                <w:color w:val="000000"/>
                <w:sz w:val="24"/>
                <w:szCs w:val="24"/>
                <w:lang w:eastAsia="en-GB"/>
              </w:rPr>
            </w:pPr>
            <w:r w:rsidRPr="00532C20">
              <w:rPr>
                <w:rFonts w:ascii="Times New Roman" w:eastAsia="Times New Roman" w:hAnsi="Times New Roman" w:cs="Times New Roman"/>
                <w:noProof/>
                <w:color w:val="000000"/>
                <w:sz w:val="24"/>
                <w:szCs w:val="24"/>
                <w:lang w:eastAsia="en-GB"/>
              </w:rPr>
              <w:t xml:space="preserve">8,011.62 </w:t>
            </w:r>
          </w:p>
        </w:tc>
      </w:tr>
      <w:tr w:rsidR="00A046DD" w:rsidRPr="00532C20" w14:paraId="34C874EA" w14:textId="77777777">
        <w:trPr>
          <w:trHeight w:val="240"/>
        </w:trPr>
        <w:tc>
          <w:tcPr>
            <w:tcW w:w="863" w:type="pct"/>
            <w:shd w:val="clear" w:color="000000" w:fill="44546A"/>
            <w:noWrap/>
            <w:vAlign w:val="center"/>
            <w:hideMark/>
          </w:tcPr>
          <w:p w14:paraId="02378A0B" w14:textId="77777777" w:rsidR="00A046DD" w:rsidRPr="00532C20" w:rsidRDefault="00A046DD" w:rsidP="00A046DD">
            <w:pPr>
              <w:spacing w:after="0" w:line="240" w:lineRule="auto"/>
              <w:rPr>
                <w:rFonts w:ascii="Times New Roman" w:eastAsia="Times New Roman" w:hAnsi="Times New Roman" w:cs="Times New Roman"/>
                <w:b/>
                <w:bCs/>
                <w:noProof/>
                <w:color w:val="FFFFFF"/>
                <w:sz w:val="24"/>
                <w:szCs w:val="24"/>
                <w:lang w:eastAsia="en-GB"/>
              </w:rPr>
            </w:pPr>
            <w:r w:rsidRPr="00532C20">
              <w:rPr>
                <w:rFonts w:ascii="Times New Roman" w:eastAsia="Times New Roman" w:hAnsi="Times New Roman" w:cs="Times New Roman"/>
                <w:b/>
                <w:bCs/>
                <w:noProof/>
                <w:color w:val="FFFFFF"/>
                <w:sz w:val="24"/>
                <w:szCs w:val="24"/>
                <w:lang w:eastAsia="en-GB"/>
              </w:rPr>
              <w:t>EU-27 Total (per ISCO)</w:t>
            </w:r>
          </w:p>
        </w:tc>
        <w:tc>
          <w:tcPr>
            <w:tcW w:w="718" w:type="pct"/>
            <w:shd w:val="clear" w:color="auto" w:fill="D9D9D9"/>
            <w:noWrap/>
            <w:vAlign w:val="center"/>
            <w:hideMark/>
          </w:tcPr>
          <w:p w14:paraId="27B77F25" w14:textId="77777777" w:rsidR="00A046DD" w:rsidRPr="00532C20" w:rsidRDefault="00A046DD" w:rsidP="00A046DD">
            <w:pPr>
              <w:spacing w:after="0" w:line="240" w:lineRule="auto"/>
              <w:jc w:val="right"/>
              <w:rPr>
                <w:rFonts w:ascii="Times New Roman" w:eastAsia="Times New Roman" w:hAnsi="Times New Roman" w:cs="Times New Roman"/>
                <w:b/>
                <w:bCs/>
                <w:noProof/>
                <w:color w:val="000000"/>
                <w:sz w:val="24"/>
                <w:szCs w:val="24"/>
                <w:lang w:eastAsia="en-GB"/>
              </w:rPr>
            </w:pPr>
            <w:r w:rsidRPr="00532C20">
              <w:rPr>
                <w:rFonts w:ascii="Times New Roman" w:eastAsia="Times New Roman" w:hAnsi="Times New Roman" w:cs="Times New Roman"/>
                <w:b/>
                <w:bCs/>
                <w:noProof/>
                <w:color w:val="000000"/>
                <w:sz w:val="24"/>
                <w:szCs w:val="24"/>
                <w:lang w:eastAsia="en-GB"/>
              </w:rPr>
              <w:t xml:space="preserve">20,806.54 </w:t>
            </w:r>
          </w:p>
        </w:tc>
        <w:tc>
          <w:tcPr>
            <w:tcW w:w="661" w:type="pct"/>
            <w:shd w:val="clear" w:color="auto" w:fill="D9D9D9"/>
            <w:noWrap/>
            <w:vAlign w:val="center"/>
            <w:hideMark/>
          </w:tcPr>
          <w:p w14:paraId="45957C4B" w14:textId="77777777" w:rsidR="00A046DD" w:rsidRPr="00532C20" w:rsidRDefault="00A046DD" w:rsidP="00A046DD">
            <w:pPr>
              <w:spacing w:after="0" w:line="240" w:lineRule="auto"/>
              <w:jc w:val="right"/>
              <w:rPr>
                <w:rFonts w:ascii="Times New Roman" w:eastAsia="Times New Roman" w:hAnsi="Times New Roman" w:cs="Times New Roman"/>
                <w:b/>
                <w:bCs/>
                <w:noProof/>
                <w:color w:val="000000"/>
                <w:sz w:val="24"/>
                <w:szCs w:val="24"/>
                <w:lang w:eastAsia="en-GB"/>
              </w:rPr>
            </w:pPr>
            <w:r w:rsidRPr="00532C20">
              <w:rPr>
                <w:rFonts w:ascii="Times New Roman" w:eastAsia="Times New Roman" w:hAnsi="Times New Roman" w:cs="Times New Roman"/>
                <w:b/>
                <w:bCs/>
                <w:noProof/>
                <w:color w:val="000000"/>
                <w:sz w:val="24"/>
                <w:szCs w:val="24"/>
                <w:lang w:eastAsia="en-GB"/>
              </w:rPr>
              <w:t xml:space="preserve">56,949.82 </w:t>
            </w:r>
          </w:p>
        </w:tc>
        <w:tc>
          <w:tcPr>
            <w:tcW w:w="718" w:type="pct"/>
            <w:shd w:val="clear" w:color="auto" w:fill="D9D9D9"/>
            <w:noWrap/>
            <w:vAlign w:val="center"/>
            <w:hideMark/>
          </w:tcPr>
          <w:p w14:paraId="12CE2F87" w14:textId="77777777" w:rsidR="00A046DD" w:rsidRPr="00532C20" w:rsidRDefault="00A046DD" w:rsidP="00A046DD">
            <w:pPr>
              <w:spacing w:after="0" w:line="240" w:lineRule="auto"/>
              <w:jc w:val="right"/>
              <w:rPr>
                <w:rFonts w:ascii="Times New Roman" w:eastAsia="Times New Roman" w:hAnsi="Times New Roman" w:cs="Times New Roman"/>
                <w:b/>
                <w:bCs/>
                <w:noProof/>
                <w:color w:val="000000"/>
                <w:sz w:val="24"/>
                <w:szCs w:val="24"/>
                <w:lang w:eastAsia="en-GB"/>
              </w:rPr>
            </w:pPr>
            <w:r w:rsidRPr="00532C20">
              <w:rPr>
                <w:rFonts w:ascii="Times New Roman" w:eastAsia="Times New Roman" w:hAnsi="Times New Roman" w:cs="Times New Roman"/>
                <w:b/>
                <w:bCs/>
                <w:noProof/>
                <w:color w:val="000000"/>
                <w:sz w:val="24"/>
                <w:szCs w:val="24"/>
                <w:lang w:eastAsia="en-GB"/>
              </w:rPr>
              <w:t xml:space="preserve">26,008.18 </w:t>
            </w:r>
          </w:p>
        </w:tc>
        <w:tc>
          <w:tcPr>
            <w:tcW w:w="661" w:type="pct"/>
            <w:shd w:val="clear" w:color="auto" w:fill="D9D9D9"/>
            <w:noWrap/>
            <w:vAlign w:val="center"/>
            <w:hideMark/>
          </w:tcPr>
          <w:p w14:paraId="0B01FF33" w14:textId="77777777" w:rsidR="00A046DD" w:rsidRPr="00532C20" w:rsidRDefault="00A046DD" w:rsidP="00A046DD">
            <w:pPr>
              <w:spacing w:after="0" w:line="240" w:lineRule="auto"/>
              <w:jc w:val="right"/>
              <w:rPr>
                <w:rFonts w:ascii="Times New Roman" w:eastAsia="Times New Roman" w:hAnsi="Times New Roman" w:cs="Times New Roman"/>
                <w:b/>
                <w:bCs/>
                <w:noProof/>
                <w:color w:val="000000"/>
                <w:sz w:val="24"/>
                <w:szCs w:val="24"/>
                <w:lang w:eastAsia="en-GB"/>
              </w:rPr>
            </w:pPr>
            <w:r w:rsidRPr="00532C20">
              <w:rPr>
                <w:rFonts w:ascii="Times New Roman" w:eastAsia="Times New Roman" w:hAnsi="Times New Roman" w:cs="Times New Roman"/>
                <w:b/>
                <w:bCs/>
                <w:noProof/>
                <w:color w:val="000000"/>
                <w:sz w:val="24"/>
                <w:szCs w:val="24"/>
                <w:lang w:eastAsia="en-GB"/>
              </w:rPr>
              <w:t xml:space="preserve">142,374.54 </w:t>
            </w:r>
          </w:p>
        </w:tc>
        <w:tc>
          <w:tcPr>
            <w:tcW w:w="718" w:type="pct"/>
            <w:shd w:val="clear" w:color="auto" w:fill="D9D9D9"/>
            <w:noWrap/>
            <w:vAlign w:val="center"/>
            <w:hideMark/>
          </w:tcPr>
          <w:p w14:paraId="66A800FF" w14:textId="77777777" w:rsidR="00A046DD" w:rsidRPr="00532C20" w:rsidRDefault="00A046DD" w:rsidP="00A046DD">
            <w:pPr>
              <w:spacing w:after="0" w:line="240" w:lineRule="auto"/>
              <w:jc w:val="right"/>
              <w:rPr>
                <w:rFonts w:ascii="Times New Roman" w:eastAsia="Times New Roman" w:hAnsi="Times New Roman" w:cs="Times New Roman"/>
                <w:b/>
                <w:bCs/>
                <w:noProof/>
                <w:color w:val="000000"/>
                <w:sz w:val="24"/>
                <w:szCs w:val="24"/>
                <w:lang w:eastAsia="en-GB"/>
              </w:rPr>
            </w:pPr>
            <w:r w:rsidRPr="00532C20">
              <w:rPr>
                <w:rFonts w:ascii="Times New Roman" w:eastAsia="Times New Roman" w:hAnsi="Times New Roman" w:cs="Times New Roman"/>
                <w:b/>
                <w:bCs/>
                <w:noProof/>
                <w:color w:val="000000"/>
                <w:sz w:val="24"/>
                <w:szCs w:val="24"/>
                <w:lang w:eastAsia="en-GB"/>
              </w:rPr>
              <w:t xml:space="preserve">31,209.81 </w:t>
            </w:r>
          </w:p>
        </w:tc>
        <w:tc>
          <w:tcPr>
            <w:tcW w:w="661" w:type="pct"/>
            <w:shd w:val="clear" w:color="auto" w:fill="D9D9D9"/>
            <w:noWrap/>
            <w:vAlign w:val="center"/>
            <w:hideMark/>
          </w:tcPr>
          <w:p w14:paraId="563B1CB0" w14:textId="77777777" w:rsidR="00A046DD" w:rsidRPr="00532C20" w:rsidRDefault="00A046DD" w:rsidP="00A046DD">
            <w:pPr>
              <w:spacing w:after="0" w:line="240" w:lineRule="auto"/>
              <w:jc w:val="right"/>
              <w:rPr>
                <w:rFonts w:ascii="Times New Roman" w:eastAsia="Times New Roman" w:hAnsi="Times New Roman" w:cs="Times New Roman"/>
                <w:b/>
                <w:bCs/>
                <w:noProof/>
                <w:color w:val="000000"/>
                <w:sz w:val="24"/>
                <w:szCs w:val="24"/>
                <w:lang w:eastAsia="en-GB"/>
              </w:rPr>
            </w:pPr>
            <w:r w:rsidRPr="00532C20">
              <w:rPr>
                <w:rFonts w:ascii="Times New Roman" w:eastAsia="Times New Roman" w:hAnsi="Times New Roman" w:cs="Times New Roman"/>
                <w:b/>
                <w:bCs/>
                <w:noProof/>
                <w:color w:val="000000"/>
                <w:sz w:val="24"/>
                <w:szCs w:val="24"/>
                <w:lang w:eastAsia="en-GB"/>
              </w:rPr>
              <w:t xml:space="preserve">256,274.18 </w:t>
            </w:r>
          </w:p>
        </w:tc>
      </w:tr>
      <w:tr w:rsidR="00A046DD" w:rsidRPr="00532C20" w14:paraId="3A931D56" w14:textId="77777777">
        <w:trPr>
          <w:trHeight w:val="240"/>
        </w:trPr>
        <w:tc>
          <w:tcPr>
            <w:tcW w:w="863" w:type="pct"/>
            <w:shd w:val="clear" w:color="000000" w:fill="44546A"/>
            <w:noWrap/>
            <w:vAlign w:val="center"/>
            <w:hideMark/>
          </w:tcPr>
          <w:p w14:paraId="0939FAD8" w14:textId="77777777" w:rsidR="00A046DD" w:rsidRPr="00532C20" w:rsidRDefault="00A046DD" w:rsidP="00A046DD">
            <w:pPr>
              <w:spacing w:after="0" w:line="240" w:lineRule="auto"/>
              <w:rPr>
                <w:rFonts w:ascii="Times New Roman" w:eastAsia="Times New Roman" w:hAnsi="Times New Roman" w:cs="Times New Roman"/>
                <w:b/>
                <w:bCs/>
                <w:noProof/>
                <w:color w:val="FFFFFF"/>
                <w:sz w:val="24"/>
                <w:szCs w:val="24"/>
                <w:lang w:eastAsia="en-GB"/>
              </w:rPr>
            </w:pPr>
            <w:r w:rsidRPr="00532C20">
              <w:rPr>
                <w:rFonts w:ascii="Times New Roman" w:eastAsia="Times New Roman" w:hAnsi="Times New Roman" w:cs="Times New Roman"/>
                <w:b/>
                <w:bCs/>
                <w:noProof/>
                <w:color w:val="FFFFFF"/>
                <w:sz w:val="24"/>
                <w:szCs w:val="24"/>
                <w:lang w:eastAsia="en-GB"/>
              </w:rPr>
              <w:t>Total</w:t>
            </w:r>
          </w:p>
        </w:tc>
        <w:tc>
          <w:tcPr>
            <w:tcW w:w="1379" w:type="pct"/>
            <w:gridSpan w:val="2"/>
            <w:shd w:val="clear" w:color="auto" w:fill="D9D9D9"/>
            <w:noWrap/>
            <w:vAlign w:val="center"/>
            <w:hideMark/>
          </w:tcPr>
          <w:p w14:paraId="1058EF0A" w14:textId="77777777" w:rsidR="00A046DD" w:rsidRPr="00532C20" w:rsidRDefault="00A046DD" w:rsidP="00A046DD">
            <w:pPr>
              <w:spacing w:after="0" w:line="240" w:lineRule="auto"/>
              <w:jc w:val="right"/>
              <w:rPr>
                <w:rFonts w:ascii="Times New Roman" w:eastAsia="Times New Roman" w:hAnsi="Times New Roman" w:cs="Times New Roman"/>
                <w:b/>
                <w:bCs/>
                <w:noProof/>
                <w:color w:val="000000"/>
                <w:sz w:val="24"/>
                <w:szCs w:val="24"/>
                <w:lang w:eastAsia="en-GB"/>
              </w:rPr>
            </w:pPr>
            <w:r w:rsidRPr="00532C20">
              <w:rPr>
                <w:rFonts w:ascii="Times New Roman" w:eastAsia="Times New Roman" w:hAnsi="Times New Roman" w:cs="Times New Roman"/>
                <w:b/>
                <w:bCs/>
                <w:noProof/>
                <w:color w:val="000000"/>
                <w:sz w:val="24"/>
                <w:szCs w:val="24"/>
                <w:lang w:eastAsia="en-GB"/>
              </w:rPr>
              <w:t xml:space="preserve">77,756.36 </w:t>
            </w:r>
          </w:p>
        </w:tc>
        <w:tc>
          <w:tcPr>
            <w:tcW w:w="1379" w:type="pct"/>
            <w:gridSpan w:val="2"/>
            <w:shd w:val="clear" w:color="auto" w:fill="D9D9D9"/>
            <w:noWrap/>
            <w:vAlign w:val="center"/>
            <w:hideMark/>
          </w:tcPr>
          <w:p w14:paraId="3ED6F972" w14:textId="77777777" w:rsidR="00A046DD" w:rsidRPr="00532C20" w:rsidRDefault="00A046DD" w:rsidP="00A046DD">
            <w:pPr>
              <w:spacing w:after="0" w:line="240" w:lineRule="auto"/>
              <w:jc w:val="right"/>
              <w:rPr>
                <w:rFonts w:ascii="Times New Roman" w:eastAsia="Times New Roman" w:hAnsi="Times New Roman" w:cs="Times New Roman"/>
                <w:b/>
                <w:bCs/>
                <w:noProof/>
                <w:color w:val="000000"/>
                <w:sz w:val="24"/>
                <w:szCs w:val="24"/>
                <w:lang w:eastAsia="en-GB"/>
              </w:rPr>
            </w:pPr>
            <w:r w:rsidRPr="00532C20">
              <w:rPr>
                <w:rFonts w:ascii="Times New Roman" w:eastAsia="Times New Roman" w:hAnsi="Times New Roman" w:cs="Times New Roman"/>
                <w:b/>
                <w:bCs/>
                <w:noProof/>
                <w:color w:val="000000"/>
                <w:sz w:val="24"/>
                <w:szCs w:val="24"/>
                <w:lang w:eastAsia="en-GB"/>
              </w:rPr>
              <w:t xml:space="preserve">168,382.72 </w:t>
            </w:r>
          </w:p>
        </w:tc>
        <w:tc>
          <w:tcPr>
            <w:tcW w:w="1379" w:type="pct"/>
            <w:gridSpan w:val="2"/>
            <w:shd w:val="clear" w:color="auto" w:fill="D9D9D9"/>
            <w:noWrap/>
            <w:vAlign w:val="center"/>
            <w:hideMark/>
          </w:tcPr>
          <w:p w14:paraId="582C67B3" w14:textId="77777777" w:rsidR="00A046DD" w:rsidRPr="00532C20" w:rsidRDefault="00A046DD" w:rsidP="00A046DD">
            <w:pPr>
              <w:spacing w:after="0" w:line="240" w:lineRule="auto"/>
              <w:jc w:val="right"/>
              <w:rPr>
                <w:rFonts w:ascii="Times New Roman" w:eastAsia="Times New Roman" w:hAnsi="Times New Roman" w:cs="Times New Roman"/>
                <w:b/>
                <w:bCs/>
                <w:noProof/>
                <w:color w:val="000000"/>
                <w:sz w:val="24"/>
                <w:szCs w:val="24"/>
                <w:lang w:eastAsia="en-GB"/>
              </w:rPr>
            </w:pPr>
            <w:r w:rsidRPr="00532C20">
              <w:rPr>
                <w:rFonts w:ascii="Times New Roman" w:eastAsia="Times New Roman" w:hAnsi="Times New Roman" w:cs="Times New Roman"/>
                <w:b/>
                <w:bCs/>
                <w:noProof/>
                <w:color w:val="000000"/>
                <w:sz w:val="24"/>
                <w:szCs w:val="24"/>
                <w:lang w:eastAsia="en-GB"/>
              </w:rPr>
              <w:t xml:space="preserve">287,483.99 </w:t>
            </w:r>
          </w:p>
        </w:tc>
      </w:tr>
    </w:tbl>
    <w:p w14:paraId="38D947E1"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The 2 tables below present the lower and upper bounds, respectively, of the estimated costs of processing licence applications per Member State and in total across years 2-10 and across 3 scenarios. The first table presents the lower bound (based on the FARA proportion of new registrants), while the second presents the upper bound (based on the FITS proportion of new registrants). The scenarios are formulated as above, combining the low/middle/high scenarios for the number of entities with the low/middle/high scenarios for the time required.</w:t>
      </w:r>
    </w:p>
    <w:p w14:paraId="02A76233" w14:textId="7A319C76"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14</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Policy option </w:t>
      </w:r>
      <w:r w:rsidR="00D47716" w:rsidRPr="00532C20">
        <w:rPr>
          <w:rFonts w:ascii="Times New Roman" w:eastAsia="Times New Roman" w:hAnsi="Times New Roman" w:cs="Times New Roman"/>
          <w:b/>
          <w:noProof/>
          <w:sz w:val="24"/>
          <w:szCs w:val="24"/>
        </w:rPr>
        <w:t>2.2</w:t>
      </w:r>
      <w:r w:rsidRPr="00532C20">
        <w:rPr>
          <w:rFonts w:ascii="Times New Roman" w:eastAsia="Times New Roman" w:hAnsi="Times New Roman" w:cs="Times New Roman"/>
          <w:b/>
          <w:noProof/>
          <w:sz w:val="24"/>
          <w:szCs w:val="24"/>
        </w:rPr>
        <w:t xml:space="preserve"> – Estimated costs of processing licence applications (Years 2-10, lower bound)</w:t>
      </w:r>
    </w:p>
    <w:tbl>
      <w:tblPr>
        <w:tblW w:w="5000" w:type="pct"/>
        <w:tblLook w:val="04A0" w:firstRow="1" w:lastRow="0" w:firstColumn="1" w:lastColumn="0" w:noHBand="0" w:noVBand="1"/>
      </w:tblPr>
      <w:tblGrid>
        <w:gridCol w:w="1693"/>
        <w:gridCol w:w="1270"/>
        <w:gridCol w:w="1171"/>
        <w:gridCol w:w="1270"/>
        <w:gridCol w:w="1171"/>
        <w:gridCol w:w="1270"/>
        <w:gridCol w:w="1171"/>
      </w:tblGrid>
      <w:tr w:rsidR="00A046DD" w:rsidRPr="00532C20" w14:paraId="2F47F070" w14:textId="77777777">
        <w:trPr>
          <w:trHeight w:val="240"/>
          <w:tblHeader/>
        </w:trPr>
        <w:tc>
          <w:tcPr>
            <w:tcW w:w="943"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A6F01BC"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Years 2-10 - Lower bound</w:t>
            </w:r>
          </w:p>
        </w:tc>
        <w:tc>
          <w:tcPr>
            <w:tcW w:w="1352" w:type="pct"/>
            <w:gridSpan w:val="2"/>
            <w:tcBorders>
              <w:top w:val="single" w:sz="4" w:space="0" w:color="auto"/>
              <w:left w:val="nil"/>
              <w:bottom w:val="single" w:sz="4" w:space="0" w:color="auto"/>
              <w:right w:val="single" w:sz="4" w:space="0" w:color="auto"/>
            </w:tcBorders>
            <w:shd w:val="clear" w:color="000000" w:fill="002060"/>
            <w:noWrap/>
            <w:vAlign w:val="center"/>
            <w:hideMark/>
          </w:tcPr>
          <w:p w14:paraId="3FA286E1"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Low scenario (number of entities)</w:t>
            </w:r>
          </w:p>
        </w:tc>
        <w:tc>
          <w:tcPr>
            <w:tcW w:w="1352" w:type="pct"/>
            <w:gridSpan w:val="2"/>
            <w:tcBorders>
              <w:top w:val="single" w:sz="4" w:space="0" w:color="auto"/>
              <w:left w:val="nil"/>
              <w:bottom w:val="single" w:sz="4" w:space="0" w:color="auto"/>
              <w:right w:val="single" w:sz="4" w:space="0" w:color="auto"/>
            </w:tcBorders>
            <w:shd w:val="clear" w:color="000000" w:fill="002060"/>
            <w:noWrap/>
            <w:vAlign w:val="center"/>
            <w:hideMark/>
          </w:tcPr>
          <w:p w14:paraId="591D40B3"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Middle scenario (number of entities)</w:t>
            </w:r>
          </w:p>
        </w:tc>
        <w:tc>
          <w:tcPr>
            <w:tcW w:w="1352" w:type="pct"/>
            <w:gridSpan w:val="2"/>
            <w:tcBorders>
              <w:top w:val="single" w:sz="4" w:space="0" w:color="auto"/>
              <w:left w:val="nil"/>
              <w:bottom w:val="single" w:sz="4" w:space="0" w:color="auto"/>
              <w:right w:val="single" w:sz="4" w:space="0" w:color="auto"/>
            </w:tcBorders>
            <w:shd w:val="clear" w:color="000000" w:fill="002060"/>
            <w:noWrap/>
            <w:vAlign w:val="center"/>
            <w:hideMark/>
          </w:tcPr>
          <w:p w14:paraId="5248007F"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High scenario (number of entities)</w:t>
            </w:r>
          </w:p>
        </w:tc>
      </w:tr>
      <w:tr w:rsidR="00A046DD" w:rsidRPr="00532C20" w14:paraId="15AA9773" w14:textId="77777777">
        <w:trPr>
          <w:trHeight w:val="240"/>
          <w:tblHeader/>
        </w:trPr>
        <w:tc>
          <w:tcPr>
            <w:tcW w:w="943" w:type="pct"/>
            <w:tcBorders>
              <w:top w:val="nil"/>
              <w:left w:val="single" w:sz="4" w:space="0" w:color="auto"/>
              <w:bottom w:val="single" w:sz="4" w:space="0" w:color="auto"/>
              <w:right w:val="single" w:sz="4" w:space="0" w:color="auto"/>
            </w:tcBorders>
            <w:shd w:val="clear" w:color="000000" w:fill="44546A"/>
            <w:noWrap/>
            <w:vAlign w:val="center"/>
            <w:hideMark/>
          </w:tcPr>
          <w:p w14:paraId="75DFCC88"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Country</w:t>
            </w:r>
          </w:p>
        </w:tc>
        <w:tc>
          <w:tcPr>
            <w:tcW w:w="704" w:type="pct"/>
            <w:tcBorders>
              <w:top w:val="nil"/>
              <w:left w:val="nil"/>
              <w:bottom w:val="single" w:sz="4" w:space="0" w:color="auto"/>
              <w:right w:val="single" w:sz="4" w:space="0" w:color="auto"/>
            </w:tcBorders>
            <w:shd w:val="clear" w:color="000000" w:fill="44546A"/>
            <w:noWrap/>
            <w:vAlign w:val="center"/>
            <w:hideMark/>
          </w:tcPr>
          <w:p w14:paraId="25B66110"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0.5 hours - ISCO 1</w:t>
            </w:r>
          </w:p>
        </w:tc>
        <w:tc>
          <w:tcPr>
            <w:tcW w:w="648" w:type="pct"/>
            <w:tcBorders>
              <w:top w:val="nil"/>
              <w:left w:val="nil"/>
              <w:bottom w:val="single" w:sz="4" w:space="0" w:color="auto"/>
              <w:right w:val="single" w:sz="4" w:space="0" w:color="auto"/>
            </w:tcBorders>
            <w:shd w:val="clear" w:color="000000" w:fill="44546A"/>
            <w:noWrap/>
            <w:vAlign w:val="center"/>
            <w:hideMark/>
          </w:tcPr>
          <w:p w14:paraId="60B66CC4"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2 hours - ISCO 2</w:t>
            </w:r>
          </w:p>
        </w:tc>
        <w:tc>
          <w:tcPr>
            <w:tcW w:w="704" w:type="pct"/>
            <w:tcBorders>
              <w:top w:val="nil"/>
              <w:left w:val="nil"/>
              <w:bottom w:val="single" w:sz="4" w:space="0" w:color="auto"/>
              <w:right w:val="single" w:sz="4" w:space="0" w:color="auto"/>
            </w:tcBorders>
            <w:shd w:val="clear" w:color="000000" w:fill="44546A"/>
            <w:noWrap/>
            <w:vAlign w:val="center"/>
            <w:hideMark/>
          </w:tcPr>
          <w:p w14:paraId="51777FC2"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0.5 hours - ISCO 1</w:t>
            </w:r>
          </w:p>
        </w:tc>
        <w:tc>
          <w:tcPr>
            <w:tcW w:w="648" w:type="pct"/>
            <w:tcBorders>
              <w:top w:val="nil"/>
              <w:left w:val="nil"/>
              <w:bottom w:val="single" w:sz="4" w:space="0" w:color="auto"/>
              <w:right w:val="single" w:sz="4" w:space="0" w:color="auto"/>
            </w:tcBorders>
            <w:shd w:val="clear" w:color="000000" w:fill="44546A"/>
            <w:noWrap/>
            <w:vAlign w:val="center"/>
            <w:hideMark/>
          </w:tcPr>
          <w:p w14:paraId="706D062C"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4 hours - ISCO 2</w:t>
            </w:r>
          </w:p>
        </w:tc>
        <w:tc>
          <w:tcPr>
            <w:tcW w:w="704" w:type="pct"/>
            <w:tcBorders>
              <w:top w:val="nil"/>
              <w:left w:val="nil"/>
              <w:bottom w:val="single" w:sz="4" w:space="0" w:color="auto"/>
              <w:right w:val="single" w:sz="4" w:space="0" w:color="auto"/>
            </w:tcBorders>
            <w:shd w:val="clear" w:color="000000" w:fill="44546A"/>
            <w:noWrap/>
            <w:vAlign w:val="center"/>
            <w:hideMark/>
          </w:tcPr>
          <w:p w14:paraId="2192B7E1"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0.5 hours - ISCO 1</w:t>
            </w:r>
          </w:p>
        </w:tc>
        <w:tc>
          <w:tcPr>
            <w:tcW w:w="648" w:type="pct"/>
            <w:tcBorders>
              <w:top w:val="nil"/>
              <w:left w:val="nil"/>
              <w:bottom w:val="single" w:sz="4" w:space="0" w:color="auto"/>
              <w:right w:val="single" w:sz="4" w:space="0" w:color="auto"/>
            </w:tcBorders>
            <w:shd w:val="clear" w:color="000000" w:fill="44546A"/>
            <w:noWrap/>
            <w:vAlign w:val="center"/>
            <w:hideMark/>
          </w:tcPr>
          <w:p w14:paraId="14A4E9D0"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6 hours - ISCO 2</w:t>
            </w:r>
          </w:p>
        </w:tc>
      </w:tr>
      <w:tr w:rsidR="00A046DD" w:rsidRPr="00532C20" w14:paraId="25AAEAC1"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4C80C3CF"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Austria</w:t>
            </w:r>
          </w:p>
        </w:tc>
        <w:tc>
          <w:tcPr>
            <w:tcW w:w="704" w:type="pct"/>
            <w:tcBorders>
              <w:top w:val="nil"/>
              <w:left w:val="nil"/>
              <w:bottom w:val="single" w:sz="4" w:space="0" w:color="auto"/>
              <w:right w:val="single" w:sz="4" w:space="0" w:color="auto"/>
            </w:tcBorders>
            <w:shd w:val="clear" w:color="auto" w:fill="auto"/>
            <w:noWrap/>
            <w:vAlign w:val="center"/>
            <w:hideMark/>
          </w:tcPr>
          <w:p w14:paraId="02E4BC6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189.85</w:t>
            </w:r>
          </w:p>
        </w:tc>
        <w:tc>
          <w:tcPr>
            <w:tcW w:w="648" w:type="pct"/>
            <w:tcBorders>
              <w:top w:val="nil"/>
              <w:left w:val="nil"/>
              <w:bottom w:val="single" w:sz="4" w:space="0" w:color="auto"/>
              <w:right w:val="single" w:sz="4" w:space="0" w:color="auto"/>
            </w:tcBorders>
            <w:shd w:val="clear" w:color="auto" w:fill="auto"/>
            <w:noWrap/>
            <w:vAlign w:val="center"/>
            <w:hideMark/>
          </w:tcPr>
          <w:p w14:paraId="1C1CC45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514.86</w:t>
            </w:r>
          </w:p>
        </w:tc>
        <w:tc>
          <w:tcPr>
            <w:tcW w:w="704" w:type="pct"/>
            <w:tcBorders>
              <w:top w:val="nil"/>
              <w:left w:val="nil"/>
              <w:bottom w:val="single" w:sz="4" w:space="0" w:color="auto"/>
              <w:right w:val="single" w:sz="4" w:space="0" w:color="auto"/>
            </w:tcBorders>
            <w:shd w:val="clear" w:color="auto" w:fill="auto"/>
            <w:noWrap/>
            <w:vAlign w:val="center"/>
            <w:hideMark/>
          </w:tcPr>
          <w:p w14:paraId="16A4057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237.32</w:t>
            </w:r>
          </w:p>
        </w:tc>
        <w:tc>
          <w:tcPr>
            <w:tcW w:w="648" w:type="pct"/>
            <w:tcBorders>
              <w:top w:val="nil"/>
              <w:left w:val="nil"/>
              <w:bottom w:val="single" w:sz="4" w:space="0" w:color="auto"/>
              <w:right w:val="single" w:sz="4" w:space="0" w:color="auto"/>
            </w:tcBorders>
            <w:shd w:val="clear" w:color="auto" w:fill="auto"/>
            <w:noWrap/>
            <w:vAlign w:val="center"/>
            <w:hideMark/>
          </w:tcPr>
          <w:p w14:paraId="2D71520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1,287.14</w:t>
            </w:r>
          </w:p>
        </w:tc>
        <w:tc>
          <w:tcPr>
            <w:tcW w:w="704" w:type="pct"/>
            <w:tcBorders>
              <w:top w:val="nil"/>
              <w:left w:val="nil"/>
              <w:bottom w:val="single" w:sz="4" w:space="0" w:color="auto"/>
              <w:right w:val="single" w:sz="4" w:space="0" w:color="auto"/>
            </w:tcBorders>
            <w:shd w:val="clear" w:color="auto" w:fill="auto"/>
            <w:noWrap/>
            <w:vAlign w:val="center"/>
            <w:hideMark/>
          </w:tcPr>
          <w:p w14:paraId="6F64ED8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284.78</w:t>
            </w:r>
          </w:p>
        </w:tc>
        <w:tc>
          <w:tcPr>
            <w:tcW w:w="648" w:type="pct"/>
            <w:tcBorders>
              <w:top w:val="nil"/>
              <w:left w:val="nil"/>
              <w:bottom w:val="single" w:sz="4" w:space="0" w:color="auto"/>
              <w:right w:val="single" w:sz="4" w:space="0" w:color="auto"/>
            </w:tcBorders>
            <w:shd w:val="clear" w:color="auto" w:fill="auto"/>
            <w:noWrap/>
            <w:vAlign w:val="center"/>
            <w:hideMark/>
          </w:tcPr>
          <w:p w14:paraId="0DF907B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2,316.86</w:t>
            </w:r>
          </w:p>
        </w:tc>
      </w:tr>
      <w:tr w:rsidR="00A046DD" w:rsidRPr="00532C20" w14:paraId="41C194A6"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28FCA2B7"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Belgium</w:t>
            </w:r>
          </w:p>
        </w:tc>
        <w:tc>
          <w:tcPr>
            <w:tcW w:w="704" w:type="pct"/>
            <w:tcBorders>
              <w:top w:val="nil"/>
              <w:left w:val="nil"/>
              <w:bottom w:val="single" w:sz="4" w:space="0" w:color="auto"/>
              <w:right w:val="single" w:sz="4" w:space="0" w:color="auto"/>
            </w:tcBorders>
            <w:shd w:val="clear" w:color="auto" w:fill="auto"/>
            <w:noWrap/>
            <w:vAlign w:val="center"/>
            <w:hideMark/>
          </w:tcPr>
          <w:p w14:paraId="7EFB0D9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196.02</w:t>
            </w:r>
          </w:p>
        </w:tc>
        <w:tc>
          <w:tcPr>
            <w:tcW w:w="648" w:type="pct"/>
            <w:tcBorders>
              <w:top w:val="nil"/>
              <w:left w:val="nil"/>
              <w:bottom w:val="single" w:sz="4" w:space="0" w:color="auto"/>
              <w:right w:val="single" w:sz="4" w:space="0" w:color="auto"/>
            </w:tcBorders>
            <w:shd w:val="clear" w:color="auto" w:fill="auto"/>
            <w:noWrap/>
            <w:vAlign w:val="center"/>
            <w:hideMark/>
          </w:tcPr>
          <w:p w14:paraId="00451BC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611.17</w:t>
            </w:r>
          </w:p>
        </w:tc>
        <w:tc>
          <w:tcPr>
            <w:tcW w:w="704" w:type="pct"/>
            <w:tcBorders>
              <w:top w:val="nil"/>
              <w:left w:val="nil"/>
              <w:bottom w:val="single" w:sz="4" w:space="0" w:color="auto"/>
              <w:right w:val="single" w:sz="4" w:space="0" w:color="auto"/>
            </w:tcBorders>
            <w:shd w:val="clear" w:color="auto" w:fill="auto"/>
            <w:noWrap/>
            <w:vAlign w:val="center"/>
            <w:hideMark/>
          </w:tcPr>
          <w:p w14:paraId="76480E9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245.02</w:t>
            </w:r>
          </w:p>
        </w:tc>
        <w:tc>
          <w:tcPr>
            <w:tcW w:w="648" w:type="pct"/>
            <w:tcBorders>
              <w:top w:val="nil"/>
              <w:left w:val="nil"/>
              <w:bottom w:val="single" w:sz="4" w:space="0" w:color="auto"/>
              <w:right w:val="single" w:sz="4" w:space="0" w:color="auto"/>
            </w:tcBorders>
            <w:shd w:val="clear" w:color="auto" w:fill="auto"/>
            <w:noWrap/>
            <w:vAlign w:val="center"/>
            <w:hideMark/>
          </w:tcPr>
          <w:p w14:paraId="45649A8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1,527.93</w:t>
            </w:r>
          </w:p>
        </w:tc>
        <w:tc>
          <w:tcPr>
            <w:tcW w:w="704" w:type="pct"/>
            <w:tcBorders>
              <w:top w:val="nil"/>
              <w:left w:val="nil"/>
              <w:bottom w:val="single" w:sz="4" w:space="0" w:color="auto"/>
              <w:right w:val="single" w:sz="4" w:space="0" w:color="auto"/>
            </w:tcBorders>
            <w:shd w:val="clear" w:color="auto" w:fill="auto"/>
            <w:noWrap/>
            <w:vAlign w:val="center"/>
            <w:hideMark/>
          </w:tcPr>
          <w:p w14:paraId="3F886BC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294.02</w:t>
            </w:r>
          </w:p>
        </w:tc>
        <w:tc>
          <w:tcPr>
            <w:tcW w:w="648" w:type="pct"/>
            <w:tcBorders>
              <w:top w:val="nil"/>
              <w:left w:val="nil"/>
              <w:bottom w:val="single" w:sz="4" w:space="0" w:color="auto"/>
              <w:right w:val="single" w:sz="4" w:space="0" w:color="auto"/>
            </w:tcBorders>
            <w:shd w:val="clear" w:color="auto" w:fill="auto"/>
            <w:noWrap/>
            <w:vAlign w:val="center"/>
            <w:hideMark/>
          </w:tcPr>
          <w:p w14:paraId="6F9BA97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2,750.27</w:t>
            </w:r>
          </w:p>
        </w:tc>
      </w:tr>
      <w:tr w:rsidR="00A046DD" w:rsidRPr="00532C20" w14:paraId="736D9DBD"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3A706A5D"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Bulgaria</w:t>
            </w:r>
          </w:p>
        </w:tc>
        <w:tc>
          <w:tcPr>
            <w:tcW w:w="704" w:type="pct"/>
            <w:tcBorders>
              <w:top w:val="nil"/>
              <w:left w:val="nil"/>
              <w:bottom w:val="single" w:sz="4" w:space="0" w:color="auto"/>
              <w:right w:val="single" w:sz="4" w:space="0" w:color="auto"/>
            </w:tcBorders>
            <w:shd w:val="clear" w:color="auto" w:fill="auto"/>
            <w:noWrap/>
            <w:vAlign w:val="center"/>
            <w:hideMark/>
          </w:tcPr>
          <w:p w14:paraId="05AD454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4.13</w:t>
            </w:r>
          </w:p>
        </w:tc>
        <w:tc>
          <w:tcPr>
            <w:tcW w:w="648" w:type="pct"/>
            <w:tcBorders>
              <w:top w:val="nil"/>
              <w:left w:val="nil"/>
              <w:bottom w:val="single" w:sz="4" w:space="0" w:color="auto"/>
              <w:right w:val="single" w:sz="4" w:space="0" w:color="auto"/>
            </w:tcBorders>
            <w:shd w:val="clear" w:color="auto" w:fill="auto"/>
            <w:noWrap/>
            <w:vAlign w:val="center"/>
            <w:hideMark/>
          </w:tcPr>
          <w:p w14:paraId="6346B5C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10.61</w:t>
            </w:r>
          </w:p>
        </w:tc>
        <w:tc>
          <w:tcPr>
            <w:tcW w:w="704" w:type="pct"/>
            <w:tcBorders>
              <w:top w:val="nil"/>
              <w:left w:val="nil"/>
              <w:bottom w:val="single" w:sz="4" w:space="0" w:color="auto"/>
              <w:right w:val="single" w:sz="4" w:space="0" w:color="auto"/>
            </w:tcBorders>
            <w:shd w:val="clear" w:color="auto" w:fill="auto"/>
            <w:noWrap/>
            <w:vAlign w:val="center"/>
            <w:hideMark/>
          </w:tcPr>
          <w:p w14:paraId="2AB8E4C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5.17</w:t>
            </w:r>
          </w:p>
        </w:tc>
        <w:tc>
          <w:tcPr>
            <w:tcW w:w="648" w:type="pct"/>
            <w:tcBorders>
              <w:top w:val="nil"/>
              <w:left w:val="nil"/>
              <w:bottom w:val="single" w:sz="4" w:space="0" w:color="auto"/>
              <w:right w:val="single" w:sz="4" w:space="0" w:color="auto"/>
            </w:tcBorders>
            <w:shd w:val="clear" w:color="auto" w:fill="auto"/>
            <w:noWrap/>
            <w:vAlign w:val="center"/>
            <w:hideMark/>
          </w:tcPr>
          <w:p w14:paraId="122E147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26.53</w:t>
            </w:r>
          </w:p>
        </w:tc>
        <w:tc>
          <w:tcPr>
            <w:tcW w:w="704" w:type="pct"/>
            <w:tcBorders>
              <w:top w:val="nil"/>
              <w:left w:val="nil"/>
              <w:bottom w:val="single" w:sz="4" w:space="0" w:color="auto"/>
              <w:right w:val="single" w:sz="4" w:space="0" w:color="auto"/>
            </w:tcBorders>
            <w:shd w:val="clear" w:color="auto" w:fill="auto"/>
            <w:noWrap/>
            <w:vAlign w:val="center"/>
            <w:hideMark/>
          </w:tcPr>
          <w:p w14:paraId="0CD4E9F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6.20</w:t>
            </w:r>
          </w:p>
        </w:tc>
        <w:tc>
          <w:tcPr>
            <w:tcW w:w="648" w:type="pct"/>
            <w:tcBorders>
              <w:top w:val="nil"/>
              <w:left w:val="nil"/>
              <w:bottom w:val="single" w:sz="4" w:space="0" w:color="auto"/>
              <w:right w:val="single" w:sz="4" w:space="0" w:color="auto"/>
            </w:tcBorders>
            <w:shd w:val="clear" w:color="auto" w:fill="auto"/>
            <w:noWrap/>
            <w:vAlign w:val="center"/>
            <w:hideMark/>
          </w:tcPr>
          <w:p w14:paraId="5F20411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47.76</w:t>
            </w:r>
          </w:p>
        </w:tc>
      </w:tr>
      <w:tr w:rsidR="00A046DD" w:rsidRPr="00532C20" w14:paraId="08F76E9D"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4F495711"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Croatia</w:t>
            </w:r>
          </w:p>
        </w:tc>
        <w:tc>
          <w:tcPr>
            <w:tcW w:w="704" w:type="pct"/>
            <w:tcBorders>
              <w:top w:val="nil"/>
              <w:left w:val="nil"/>
              <w:bottom w:val="single" w:sz="4" w:space="0" w:color="auto"/>
              <w:right w:val="single" w:sz="4" w:space="0" w:color="auto"/>
            </w:tcBorders>
            <w:shd w:val="clear" w:color="auto" w:fill="auto"/>
            <w:noWrap/>
            <w:vAlign w:val="center"/>
            <w:hideMark/>
          </w:tcPr>
          <w:p w14:paraId="4B9E074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13.38</w:t>
            </w:r>
          </w:p>
        </w:tc>
        <w:tc>
          <w:tcPr>
            <w:tcW w:w="648" w:type="pct"/>
            <w:tcBorders>
              <w:top w:val="nil"/>
              <w:left w:val="nil"/>
              <w:bottom w:val="single" w:sz="4" w:space="0" w:color="auto"/>
              <w:right w:val="single" w:sz="4" w:space="0" w:color="auto"/>
            </w:tcBorders>
            <w:shd w:val="clear" w:color="auto" w:fill="auto"/>
            <w:noWrap/>
            <w:vAlign w:val="center"/>
            <w:hideMark/>
          </w:tcPr>
          <w:p w14:paraId="088B3D4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39.77</w:t>
            </w:r>
          </w:p>
        </w:tc>
        <w:tc>
          <w:tcPr>
            <w:tcW w:w="704" w:type="pct"/>
            <w:tcBorders>
              <w:top w:val="nil"/>
              <w:left w:val="nil"/>
              <w:bottom w:val="single" w:sz="4" w:space="0" w:color="auto"/>
              <w:right w:val="single" w:sz="4" w:space="0" w:color="auto"/>
            </w:tcBorders>
            <w:shd w:val="clear" w:color="auto" w:fill="auto"/>
            <w:noWrap/>
            <w:vAlign w:val="center"/>
            <w:hideMark/>
          </w:tcPr>
          <w:p w14:paraId="60BA0BD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16.73</w:t>
            </w:r>
          </w:p>
        </w:tc>
        <w:tc>
          <w:tcPr>
            <w:tcW w:w="648" w:type="pct"/>
            <w:tcBorders>
              <w:top w:val="nil"/>
              <w:left w:val="nil"/>
              <w:bottom w:val="single" w:sz="4" w:space="0" w:color="auto"/>
              <w:right w:val="single" w:sz="4" w:space="0" w:color="auto"/>
            </w:tcBorders>
            <w:shd w:val="clear" w:color="auto" w:fill="auto"/>
            <w:noWrap/>
            <w:vAlign w:val="center"/>
            <w:hideMark/>
          </w:tcPr>
          <w:p w14:paraId="5C64B1B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99.44</w:t>
            </w:r>
          </w:p>
        </w:tc>
        <w:tc>
          <w:tcPr>
            <w:tcW w:w="704" w:type="pct"/>
            <w:tcBorders>
              <w:top w:val="nil"/>
              <w:left w:val="nil"/>
              <w:bottom w:val="single" w:sz="4" w:space="0" w:color="auto"/>
              <w:right w:val="single" w:sz="4" w:space="0" w:color="auto"/>
            </w:tcBorders>
            <w:shd w:val="clear" w:color="auto" w:fill="auto"/>
            <w:noWrap/>
            <w:vAlign w:val="center"/>
            <w:hideMark/>
          </w:tcPr>
          <w:p w14:paraId="1E0269F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20.07</w:t>
            </w:r>
          </w:p>
        </w:tc>
        <w:tc>
          <w:tcPr>
            <w:tcW w:w="648" w:type="pct"/>
            <w:tcBorders>
              <w:top w:val="nil"/>
              <w:left w:val="nil"/>
              <w:bottom w:val="single" w:sz="4" w:space="0" w:color="auto"/>
              <w:right w:val="single" w:sz="4" w:space="0" w:color="auto"/>
            </w:tcBorders>
            <w:shd w:val="clear" w:color="auto" w:fill="auto"/>
            <w:noWrap/>
            <w:vAlign w:val="center"/>
            <w:hideMark/>
          </w:tcPr>
          <w:p w14:paraId="5DA7C9D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178.98</w:t>
            </w:r>
          </w:p>
        </w:tc>
      </w:tr>
      <w:tr w:rsidR="00A046DD" w:rsidRPr="00532C20" w14:paraId="2D80A215"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175B3C47"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Cyprus</w:t>
            </w:r>
          </w:p>
        </w:tc>
        <w:tc>
          <w:tcPr>
            <w:tcW w:w="704" w:type="pct"/>
            <w:tcBorders>
              <w:top w:val="nil"/>
              <w:left w:val="nil"/>
              <w:bottom w:val="single" w:sz="4" w:space="0" w:color="auto"/>
              <w:right w:val="single" w:sz="4" w:space="0" w:color="auto"/>
            </w:tcBorders>
            <w:shd w:val="clear" w:color="auto" w:fill="auto"/>
            <w:noWrap/>
            <w:vAlign w:val="center"/>
            <w:hideMark/>
          </w:tcPr>
          <w:p w14:paraId="22242EF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8.12</w:t>
            </w:r>
          </w:p>
        </w:tc>
        <w:tc>
          <w:tcPr>
            <w:tcW w:w="648" w:type="pct"/>
            <w:tcBorders>
              <w:top w:val="nil"/>
              <w:left w:val="nil"/>
              <w:bottom w:val="single" w:sz="4" w:space="0" w:color="auto"/>
              <w:right w:val="single" w:sz="4" w:space="0" w:color="auto"/>
            </w:tcBorders>
            <w:shd w:val="clear" w:color="auto" w:fill="auto"/>
            <w:noWrap/>
            <w:vAlign w:val="center"/>
            <w:hideMark/>
          </w:tcPr>
          <w:p w14:paraId="612A4B9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17.41</w:t>
            </w:r>
          </w:p>
        </w:tc>
        <w:tc>
          <w:tcPr>
            <w:tcW w:w="704" w:type="pct"/>
            <w:tcBorders>
              <w:top w:val="nil"/>
              <w:left w:val="nil"/>
              <w:bottom w:val="single" w:sz="4" w:space="0" w:color="auto"/>
              <w:right w:val="single" w:sz="4" w:space="0" w:color="auto"/>
            </w:tcBorders>
            <w:shd w:val="clear" w:color="auto" w:fill="auto"/>
            <w:noWrap/>
            <w:vAlign w:val="center"/>
            <w:hideMark/>
          </w:tcPr>
          <w:p w14:paraId="2EA1B5F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10.15</w:t>
            </w:r>
          </w:p>
        </w:tc>
        <w:tc>
          <w:tcPr>
            <w:tcW w:w="648" w:type="pct"/>
            <w:tcBorders>
              <w:top w:val="nil"/>
              <w:left w:val="nil"/>
              <w:bottom w:val="single" w:sz="4" w:space="0" w:color="auto"/>
              <w:right w:val="single" w:sz="4" w:space="0" w:color="auto"/>
            </w:tcBorders>
            <w:shd w:val="clear" w:color="auto" w:fill="auto"/>
            <w:noWrap/>
            <w:vAlign w:val="center"/>
            <w:hideMark/>
          </w:tcPr>
          <w:p w14:paraId="0CCFB39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43.52</w:t>
            </w:r>
          </w:p>
        </w:tc>
        <w:tc>
          <w:tcPr>
            <w:tcW w:w="704" w:type="pct"/>
            <w:tcBorders>
              <w:top w:val="nil"/>
              <w:left w:val="nil"/>
              <w:bottom w:val="single" w:sz="4" w:space="0" w:color="auto"/>
              <w:right w:val="single" w:sz="4" w:space="0" w:color="auto"/>
            </w:tcBorders>
            <w:shd w:val="clear" w:color="auto" w:fill="auto"/>
            <w:noWrap/>
            <w:vAlign w:val="center"/>
            <w:hideMark/>
          </w:tcPr>
          <w:p w14:paraId="17291A9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12.17</w:t>
            </w:r>
          </w:p>
        </w:tc>
        <w:tc>
          <w:tcPr>
            <w:tcW w:w="648" w:type="pct"/>
            <w:tcBorders>
              <w:top w:val="nil"/>
              <w:left w:val="nil"/>
              <w:bottom w:val="single" w:sz="4" w:space="0" w:color="auto"/>
              <w:right w:val="single" w:sz="4" w:space="0" w:color="auto"/>
            </w:tcBorders>
            <w:shd w:val="clear" w:color="auto" w:fill="auto"/>
            <w:noWrap/>
            <w:vAlign w:val="center"/>
            <w:hideMark/>
          </w:tcPr>
          <w:p w14:paraId="1EEE0D4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78.33</w:t>
            </w:r>
          </w:p>
        </w:tc>
      </w:tr>
      <w:tr w:rsidR="00A046DD" w:rsidRPr="00532C20" w14:paraId="51C35A98"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3AD6BD12"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Czechia</w:t>
            </w:r>
          </w:p>
        </w:tc>
        <w:tc>
          <w:tcPr>
            <w:tcW w:w="704" w:type="pct"/>
            <w:tcBorders>
              <w:top w:val="nil"/>
              <w:left w:val="nil"/>
              <w:bottom w:val="single" w:sz="4" w:space="0" w:color="auto"/>
              <w:right w:val="single" w:sz="4" w:space="0" w:color="auto"/>
            </w:tcBorders>
            <w:shd w:val="clear" w:color="auto" w:fill="auto"/>
            <w:noWrap/>
            <w:vAlign w:val="center"/>
            <w:hideMark/>
          </w:tcPr>
          <w:p w14:paraId="5B20334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63.73</w:t>
            </w:r>
          </w:p>
        </w:tc>
        <w:tc>
          <w:tcPr>
            <w:tcW w:w="648" w:type="pct"/>
            <w:tcBorders>
              <w:top w:val="nil"/>
              <w:left w:val="nil"/>
              <w:bottom w:val="single" w:sz="4" w:space="0" w:color="auto"/>
              <w:right w:val="single" w:sz="4" w:space="0" w:color="auto"/>
            </w:tcBorders>
            <w:shd w:val="clear" w:color="auto" w:fill="auto"/>
            <w:noWrap/>
            <w:vAlign w:val="center"/>
            <w:hideMark/>
          </w:tcPr>
          <w:p w14:paraId="7D5C1F8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169.16</w:t>
            </w:r>
          </w:p>
        </w:tc>
        <w:tc>
          <w:tcPr>
            <w:tcW w:w="704" w:type="pct"/>
            <w:tcBorders>
              <w:top w:val="nil"/>
              <w:left w:val="nil"/>
              <w:bottom w:val="single" w:sz="4" w:space="0" w:color="auto"/>
              <w:right w:val="single" w:sz="4" w:space="0" w:color="auto"/>
            </w:tcBorders>
            <w:shd w:val="clear" w:color="auto" w:fill="auto"/>
            <w:noWrap/>
            <w:vAlign w:val="center"/>
            <w:hideMark/>
          </w:tcPr>
          <w:p w14:paraId="52327E1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79.66</w:t>
            </w:r>
          </w:p>
        </w:tc>
        <w:tc>
          <w:tcPr>
            <w:tcW w:w="648" w:type="pct"/>
            <w:tcBorders>
              <w:top w:val="nil"/>
              <w:left w:val="nil"/>
              <w:bottom w:val="single" w:sz="4" w:space="0" w:color="auto"/>
              <w:right w:val="single" w:sz="4" w:space="0" w:color="auto"/>
            </w:tcBorders>
            <w:shd w:val="clear" w:color="auto" w:fill="auto"/>
            <w:noWrap/>
            <w:vAlign w:val="center"/>
            <w:hideMark/>
          </w:tcPr>
          <w:p w14:paraId="761C48E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422.90</w:t>
            </w:r>
          </w:p>
        </w:tc>
        <w:tc>
          <w:tcPr>
            <w:tcW w:w="704" w:type="pct"/>
            <w:tcBorders>
              <w:top w:val="nil"/>
              <w:left w:val="nil"/>
              <w:bottom w:val="single" w:sz="4" w:space="0" w:color="auto"/>
              <w:right w:val="single" w:sz="4" w:space="0" w:color="auto"/>
            </w:tcBorders>
            <w:shd w:val="clear" w:color="auto" w:fill="auto"/>
            <w:noWrap/>
            <w:vAlign w:val="center"/>
            <w:hideMark/>
          </w:tcPr>
          <w:p w14:paraId="36253B6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95.60</w:t>
            </w:r>
          </w:p>
        </w:tc>
        <w:tc>
          <w:tcPr>
            <w:tcW w:w="648" w:type="pct"/>
            <w:tcBorders>
              <w:top w:val="nil"/>
              <w:left w:val="nil"/>
              <w:bottom w:val="single" w:sz="4" w:space="0" w:color="auto"/>
              <w:right w:val="single" w:sz="4" w:space="0" w:color="auto"/>
            </w:tcBorders>
            <w:shd w:val="clear" w:color="auto" w:fill="auto"/>
            <w:noWrap/>
            <w:vAlign w:val="center"/>
            <w:hideMark/>
          </w:tcPr>
          <w:p w14:paraId="4D65B45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761.22</w:t>
            </w:r>
          </w:p>
        </w:tc>
      </w:tr>
      <w:tr w:rsidR="00A046DD" w:rsidRPr="00532C20" w14:paraId="48546C2F"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4E776AE2"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Denmark</w:t>
            </w:r>
          </w:p>
        </w:tc>
        <w:tc>
          <w:tcPr>
            <w:tcW w:w="704" w:type="pct"/>
            <w:tcBorders>
              <w:top w:val="nil"/>
              <w:left w:val="nil"/>
              <w:bottom w:val="single" w:sz="4" w:space="0" w:color="auto"/>
              <w:right w:val="single" w:sz="4" w:space="0" w:color="auto"/>
            </w:tcBorders>
            <w:shd w:val="clear" w:color="auto" w:fill="auto"/>
            <w:noWrap/>
            <w:vAlign w:val="center"/>
            <w:hideMark/>
          </w:tcPr>
          <w:p w14:paraId="564C4EF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193.97</w:t>
            </w:r>
          </w:p>
        </w:tc>
        <w:tc>
          <w:tcPr>
            <w:tcW w:w="648" w:type="pct"/>
            <w:tcBorders>
              <w:top w:val="nil"/>
              <w:left w:val="nil"/>
              <w:bottom w:val="single" w:sz="4" w:space="0" w:color="auto"/>
              <w:right w:val="single" w:sz="4" w:space="0" w:color="auto"/>
            </w:tcBorders>
            <w:shd w:val="clear" w:color="auto" w:fill="auto"/>
            <w:noWrap/>
            <w:vAlign w:val="center"/>
            <w:hideMark/>
          </w:tcPr>
          <w:p w14:paraId="487F5FE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525.90</w:t>
            </w:r>
          </w:p>
        </w:tc>
        <w:tc>
          <w:tcPr>
            <w:tcW w:w="704" w:type="pct"/>
            <w:tcBorders>
              <w:top w:val="nil"/>
              <w:left w:val="nil"/>
              <w:bottom w:val="single" w:sz="4" w:space="0" w:color="auto"/>
              <w:right w:val="single" w:sz="4" w:space="0" w:color="auto"/>
            </w:tcBorders>
            <w:shd w:val="clear" w:color="auto" w:fill="auto"/>
            <w:noWrap/>
            <w:vAlign w:val="center"/>
            <w:hideMark/>
          </w:tcPr>
          <w:p w14:paraId="598E335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242.46</w:t>
            </w:r>
          </w:p>
        </w:tc>
        <w:tc>
          <w:tcPr>
            <w:tcW w:w="648" w:type="pct"/>
            <w:tcBorders>
              <w:top w:val="nil"/>
              <w:left w:val="nil"/>
              <w:bottom w:val="single" w:sz="4" w:space="0" w:color="auto"/>
              <w:right w:val="single" w:sz="4" w:space="0" w:color="auto"/>
            </w:tcBorders>
            <w:shd w:val="clear" w:color="auto" w:fill="auto"/>
            <w:noWrap/>
            <w:vAlign w:val="center"/>
            <w:hideMark/>
          </w:tcPr>
          <w:p w14:paraId="3F55AE4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1,314.74</w:t>
            </w:r>
          </w:p>
        </w:tc>
        <w:tc>
          <w:tcPr>
            <w:tcW w:w="704" w:type="pct"/>
            <w:tcBorders>
              <w:top w:val="nil"/>
              <w:left w:val="nil"/>
              <w:bottom w:val="single" w:sz="4" w:space="0" w:color="auto"/>
              <w:right w:val="single" w:sz="4" w:space="0" w:color="auto"/>
            </w:tcBorders>
            <w:shd w:val="clear" w:color="auto" w:fill="auto"/>
            <w:noWrap/>
            <w:vAlign w:val="center"/>
            <w:hideMark/>
          </w:tcPr>
          <w:p w14:paraId="550BFA2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290.96</w:t>
            </w:r>
          </w:p>
        </w:tc>
        <w:tc>
          <w:tcPr>
            <w:tcW w:w="648" w:type="pct"/>
            <w:tcBorders>
              <w:top w:val="nil"/>
              <w:left w:val="nil"/>
              <w:bottom w:val="single" w:sz="4" w:space="0" w:color="auto"/>
              <w:right w:val="single" w:sz="4" w:space="0" w:color="auto"/>
            </w:tcBorders>
            <w:shd w:val="clear" w:color="auto" w:fill="auto"/>
            <w:noWrap/>
            <w:vAlign w:val="center"/>
            <w:hideMark/>
          </w:tcPr>
          <w:p w14:paraId="478805D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2,366.53</w:t>
            </w:r>
          </w:p>
        </w:tc>
      </w:tr>
      <w:tr w:rsidR="00A046DD" w:rsidRPr="00532C20" w14:paraId="67E0E90F"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69C71C91"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Estonia</w:t>
            </w:r>
          </w:p>
        </w:tc>
        <w:tc>
          <w:tcPr>
            <w:tcW w:w="704" w:type="pct"/>
            <w:tcBorders>
              <w:top w:val="nil"/>
              <w:left w:val="nil"/>
              <w:bottom w:val="single" w:sz="4" w:space="0" w:color="auto"/>
              <w:right w:val="single" w:sz="4" w:space="0" w:color="auto"/>
            </w:tcBorders>
            <w:shd w:val="clear" w:color="auto" w:fill="auto"/>
            <w:noWrap/>
            <w:vAlign w:val="center"/>
            <w:hideMark/>
          </w:tcPr>
          <w:p w14:paraId="169FCA2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12.86</w:t>
            </w:r>
          </w:p>
        </w:tc>
        <w:tc>
          <w:tcPr>
            <w:tcW w:w="648" w:type="pct"/>
            <w:tcBorders>
              <w:top w:val="nil"/>
              <w:left w:val="nil"/>
              <w:bottom w:val="single" w:sz="4" w:space="0" w:color="auto"/>
              <w:right w:val="single" w:sz="4" w:space="0" w:color="auto"/>
            </w:tcBorders>
            <w:shd w:val="clear" w:color="auto" w:fill="auto"/>
            <w:noWrap/>
            <w:vAlign w:val="center"/>
            <w:hideMark/>
          </w:tcPr>
          <w:p w14:paraId="0B1C28F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41.50</w:t>
            </w:r>
          </w:p>
        </w:tc>
        <w:tc>
          <w:tcPr>
            <w:tcW w:w="704" w:type="pct"/>
            <w:tcBorders>
              <w:top w:val="nil"/>
              <w:left w:val="nil"/>
              <w:bottom w:val="single" w:sz="4" w:space="0" w:color="auto"/>
              <w:right w:val="single" w:sz="4" w:space="0" w:color="auto"/>
            </w:tcBorders>
            <w:shd w:val="clear" w:color="auto" w:fill="auto"/>
            <w:noWrap/>
            <w:vAlign w:val="center"/>
            <w:hideMark/>
          </w:tcPr>
          <w:p w14:paraId="525B846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16.08</w:t>
            </w:r>
          </w:p>
        </w:tc>
        <w:tc>
          <w:tcPr>
            <w:tcW w:w="648" w:type="pct"/>
            <w:tcBorders>
              <w:top w:val="nil"/>
              <w:left w:val="nil"/>
              <w:bottom w:val="single" w:sz="4" w:space="0" w:color="auto"/>
              <w:right w:val="single" w:sz="4" w:space="0" w:color="auto"/>
            </w:tcBorders>
            <w:shd w:val="clear" w:color="auto" w:fill="auto"/>
            <w:noWrap/>
            <w:vAlign w:val="center"/>
            <w:hideMark/>
          </w:tcPr>
          <w:p w14:paraId="1BF3885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103.74</w:t>
            </w:r>
          </w:p>
        </w:tc>
        <w:tc>
          <w:tcPr>
            <w:tcW w:w="704" w:type="pct"/>
            <w:tcBorders>
              <w:top w:val="nil"/>
              <w:left w:val="nil"/>
              <w:bottom w:val="single" w:sz="4" w:space="0" w:color="auto"/>
              <w:right w:val="single" w:sz="4" w:space="0" w:color="auto"/>
            </w:tcBorders>
            <w:shd w:val="clear" w:color="auto" w:fill="auto"/>
            <w:noWrap/>
            <w:vAlign w:val="center"/>
            <w:hideMark/>
          </w:tcPr>
          <w:p w14:paraId="68C21D1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19.29</w:t>
            </w:r>
          </w:p>
        </w:tc>
        <w:tc>
          <w:tcPr>
            <w:tcW w:w="648" w:type="pct"/>
            <w:tcBorders>
              <w:top w:val="nil"/>
              <w:left w:val="nil"/>
              <w:bottom w:val="single" w:sz="4" w:space="0" w:color="auto"/>
              <w:right w:val="single" w:sz="4" w:space="0" w:color="auto"/>
            </w:tcBorders>
            <w:shd w:val="clear" w:color="auto" w:fill="auto"/>
            <w:noWrap/>
            <w:vAlign w:val="center"/>
            <w:hideMark/>
          </w:tcPr>
          <w:p w14:paraId="79E1D62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186.74</w:t>
            </w:r>
          </w:p>
        </w:tc>
      </w:tr>
      <w:tr w:rsidR="00A046DD" w:rsidRPr="00532C20" w14:paraId="589E5574"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3A59D777"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Finland</w:t>
            </w:r>
          </w:p>
        </w:tc>
        <w:tc>
          <w:tcPr>
            <w:tcW w:w="704" w:type="pct"/>
            <w:tcBorders>
              <w:top w:val="nil"/>
              <w:left w:val="nil"/>
              <w:bottom w:val="single" w:sz="4" w:space="0" w:color="auto"/>
              <w:right w:val="single" w:sz="4" w:space="0" w:color="auto"/>
            </w:tcBorders>
            <w:shd w:val="clear" w:color="auto" w:fill="auto"/>
            <w:noWrap/>
            <w:vAlign w:val="center"/>
            <w:hideMark/>
          </w:tcPr>
          <w:p w14:paraId="23ABC31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194.65</w:t>
            </w:r>
          </w:p>
        </w:tc>
        <w:tc>
          <w:tcPr>
            <w:tcW w:w="648" w:type="pct"/>
            <w:tcBorders>
              <w:top w:val="nil"/>
              <w:left w:val="nil"/>
              <w:bottom w:val="single" w:sz="4" w:space="0" w:color="auto"/>
              <w:right w:val="single" w:sz="4" w:space="0" w:color="auto"/>
            </w:tcBorders>
            <w:shd w:val="clear" w:color="auto" w:fill="auto"/>
            <w:noWrap/>
            <w:vAlign w:val="center"/>
            <w:hideMark/>
          </w:tcPr>
          <w:p w14:paraId="0F68923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463.39</w:t>
            </w:r>
          </w:p>
        </w:tc>
        <w:tc>
          <w:tcPr>
            <w:tcW w:w="704" w:type="pct"/>
            <w:tcBorders>
              <w:top w:val="nil"/>
              <w:left w:val="nil"/>
              <w:bottom w:val="single" w:sz="4" w:space="0" w:color="auto"/>
              <w:right w:val="single" w:sz="4" w:space="0" w:color="auto"/>
            </w:tcBorders>
            <w:shd w:val="clear" w:color="auto" w:fill="auto"/>
            <w:noWrap/>
            <w:vAlign w:val="center"/>
            <w:hideMark/>
          </w:tcPr>
          <w:p w14:paraId="39BF072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243.32</w:t>
            </w:r>
          </w:p>
        </w:tc>
        <w:tc>
          <w:tcPr>
            <w:tcW w:w="648" w:type="pct"/>
            <w:tcBorders>
              <w:top w:val="nil"/>
              <w:left w:val="nil"/>
              <w:bottom w:val="single" w:sz="4" w:space="0" w:color="auto"/>
              <w:right w:val="single" w:sz="4" w:space="0" w:color="auto"/>
            </w:tcBorders>
            <w:shd w:val="clear" w:color="auto" w:fill="auto"/>
            <w:noWrap/>
            <w:vAlign w:val="center"/>
            <w:hideMark/>
          </w:tcPr>
          <w:p w14:paraId="70831B1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1158.47</w:t>
            </w:r>
          </w:p>
        </w:tc>
        <w:tc>
          <w:tcPr>
            <w:tcW w:w="704" w:type="pct"/>
            <w:tcBorders>
              <w:top w:val="nil"/>
              <w:left w:val="nil"/>
              <w:bottom w:val="single" w:sz="4" w:space="0" w:color="auto"/>
              <w:right w:val="single" w:sz="4" w:space="0" w:color="auto"/>
            </w:tcBorders>
            <w:shd w:val="clear" w:color="auto" w:fill="auto"/>
            <w:noWrap/>
            <w:vAlign w:val="center"/>
            <w:hideMark/>
          </w:tcPr>
          <w:p w14:paraId="70B3481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291.98</w:t>
            </w:r>
          </w:p>
        </w:tc>
        <w:tc>
          <w:tcPr>
            <w:tcW w:w="648" w:type="pct"/>
            <w:tcBorders>
              <w:top w:val="nil"/>
              <w:left w:val="nil"/>
              <w:bottom w:val="single" w:sz="4" w:space="0" w:color="auto"/>
              <w:right w:val="single" w:sz="4" w:space="0" w:color="auto"/>
            </w:tcBorders>
            <w:shd w:val="clear" w:color="auto" w:fill="auto"/>
            <w:noWrap/>
            <w:vAlign w:val="center"/>
            <w:hideMark/>
          </w:tcPr>
          <w:p w14:paraId="28E0F18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2,085.25</w:t>
            </w:r>
          </w:p>
        </w:tc>
      </w:tr>
      <w:tr w:rsidR="00A046DD" w:rsidRPr="00532C20" w14:paraId="15D3A9C7"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4D4130AF"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France</w:t>
            </w:r>
          </w:p>
        </w:tc>
        <w:tc>
          <w:tcPr>
            <w:tcW w:w="704" w:type="pct"/>
            <w:tcBorders>
              <w:top w:val="nil"/>
              <w:left w:val="nil"/>
              <w:bottom w:val="single" w:sz="4" w:space="0" w:color="auto"/>
              <w:right w:val="single" w:sz="4" w:space="0" w:color="auto"/>
            </w:tcBorders>
            <w:shd w:val="clear" w:color="auto" w:fill="auto"/>
            <w:noWrap/>
            <w:vAlign w:val="center"/>
            <w:hideMark/>
          </w:tcPr>
          <w:p w14:paraId="58F598D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1,967.06</w:t>
            </w:r>
          </w:p>
        </w:tc>
        <w:tc>
          <w:tcPr>
            <w:tcW w:w="648" w:type="pct"/>
            <w:tcBorders>
              <w:top w:val="nil"/>
              <w:left w:val="nil"/>
              <w:bottom w:val="single" w:sz="4" w:space="0" w:color="auto"/>
              <w:right w:val="single" w:sz="4" w:space="0" w:color="auto"/>
            </w:tcBorders>
            <w:shd w:val="clear" w:color="auto" w:fill="auto"/>
            <w:noWrap/>
            <w:vAlign w:val="center"/>
            <w:hideMark/>
          </w:tcPr>
          <w:p w14:paraId="60F5663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5,905.54</w:t>
            </w:r>
          </w:p>
        </w:tc>
        <w:tc>
          <w:tcPr>
            <w:tcW w:w="704" w:type="pct"/>
            <w:tcBorders>
              <w:top w:val="nil"/>
              <w:left w:val="nil"/>
              <w:bottom w:val="single" w:sz="4" w:space="0" w:color="auto"/>
              <w:right w:val="single" w:sz="4" w:space="0" w:color="auto"/>
            </w:tcBorders>
            <w:shd w:val="clear" w:color="auto" w:fill="auto"/>
            <w:noWrap/>
            <w:vAlign w:val="center"/>
            <w:hideMark/>
          </w:tcPr>
          <w:p w14:paraId="415E49D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2,458.82</w:t>
            </w:r>
          </w:p>
        </w:tc>
        <w:tc>
          <w:tcPr>
            <w:tcW w:w="648" w:type="pct"/>
            <w:tcBorders>
              <w:top w:val="nil"/>
              <w:left w:val="nil"/>
              <w:bottom w:val="single" w:sz="4" w:space="0" w:color="auto"/>
              <w:right w:val="single" w:sz="4" w:space="0" w:color="auto"/>
            </w:tcBorders>
            <w:shd w:val="clear" w:color="auto" w:fill="auto"/>
            <w:noWrap/>
            <w:vAlign w:val="center"/>
            <w:hideMark/>
          </w:tcPr>
          <w:p w14:paraId="594336A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14,763.85</w:t>
            </w:r>
          </w:p>
        </w:tc>
        <w:tc>
          <w:tcPr>
            <w:tcW w:w="704" w:type="pct"/>
            <w:tcBorders>
              <w:top w:val="nil"/>
              <w:left w:val="nil"/>
              <w:bottom w:val="single" w:sz="4" w:space="0" w:color="auto"/>
              <w:right w:val="single" w:sz="4" w:space="0" w:color="auto"/>
            </w:tcBorders>
            <w:shd w:val="clear" w:color="auto" w:fill="auto"/>
            <w:noWrap/>
            <w:vAlign w:val="center"/>
            <w:hideMark/>
          </w:tcPr>
          <w:p w14:paraId="0294D9C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2,950.59</w:t>
            </w:r>
          </w:p>
        </w:tc>
        <w:tc>
          <w:tcPr>
            <w:tcW w:w="648" w:type="pct"/>
            <w:tcBorders>
              <w:top w:val="nil"/>
              <w:left w:val="nil"/>
              <w:bottom w:val="single" w:sz="4" w:space="0" w:color="auto"/>
              <w:right w:val="single" w:sz="4" w:space="0" w:color="auto"/>
            </w:tcBorders>
            <w:shd w:val="clear" w:color="auto" w:fill="auto"/>
            <w:noWrap/>
            <w:vAlign w:val="center"/>
            <w:hideMark/>
          </w:tcPr>
          <w:p w14:paraId="2373356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26,574.93</w:t>
            </w:r>
          </w:p>
        </w:tc>
      </w:tr>
      <w:tr w:rsidR="00A046DD" w:rsidRPr="00532C20" w14:paraId="358C8A15"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7424F21C"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Germany</w:t>
            </w:r>
          </w:p>
        </w:tc>
        <w:tc>
          <w:tcPr>
            <w:tcW w:w="704" w:type="pct"/>
            <w:tcBorders>
              <w:top w:val="nil"/>
              <w:left w:val="nil"/>
              <w:bottom w:val="single" w:sz="4" w:space="0" w:color="auto"/>
              <w:right w:val="single" w:sz="4" w:space="0" w:color="auto"/>
            </w:tcBorders>
            <w:shd w:val="clear" w:color="auto" w:fill="auto"/>
            <w:noWrap/>
            <w:vAlign w:val="center"/>
            <w:hideMark/>
          </w:tcPr>
          <w:p w14:paraId="48690C9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1,216.80</w:t>
            </w:r>
          </w:p>
        </w:tc>
        <w:tc>
          <w:tcPr>
            <w:tcW w:w="648" w:type="pct"/>
            <w:tcBorders>
              <w:top w:val="nil"/>
              <w:left w:val="nil"/>
              <w:bottom w:val="single" w:sz="4" w:space="0" w:color="auto"/>
              <w:right w:val="single" w:sz="4" w:space="0" w:color="auto"/>
            </w:tcBorders>
            <w:shd w:val="clear" w:color="auto" w:fill="auto"/>
            <w:noWrap/>
            <w:vAlign w:val="center"/>
            <w:hideMark/>
          </w:tcPr>
          <w:p w14:paraId="0113DBD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3,038.23</w:t>
            </w:r>
          </w:p>
        </w:tc>
        <w:tc>
          <w:tcPr>
            <w:tcW w:w="704" w:type="pct"/>
            <w:tcBorders>
              <w:top w:val="nil"/>
              <w:left w:val="nil"/>
              <w:bottom w:val="single" w:sz="4" w:space="0" w:color="auto"/>
              <w:right w:val="single" w:sz="4" w:space="0" w:color="auto"/>
            </w:tcBorders>
            <w:shd w:val="clear" w:color="auto" w:fill="auto"/>
            <w:noWrap/>
            <w:vAlign w:val="center"/>
            <w:hideMark/>
          </w:tcPr>
          <w:p w14:paraId="71E56D5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1,521.00</w:t>
            </w:r>
          </w:p>
        </w:tc>
        <w:tc>
          <w:tcPr>
            <w:tcW w:w="648" w:type="pct"/>
            <w:tcBorders>
              <w:top w:val="nil"/>
              <w:left w:val="nil"/>
              <w:bottom w:val="single" w:sz="4" w:space="0" w:color="auto"/>
              <w:right w:val="single" w:sz="4" w:space="0" w:color="auto"/>
            </w:tcBorders>
            <w:shd w:val="clear" w:color="auto" w:fill="auto"/>
            <w:noWrap/>
            <w:vAlign w:val="center"/>
            <w:hideMark/>
          </w:tcPr>
          <w:p w14:paraId="099FAEB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7,595.56</w:t>
            </w:r>
          </w:p>
        </w:tc>
        <w:tc>
          <w:tcPr>
            <w:tcW w:w="704" w:type="pct"/>
            <w:tcBorders>
              <w:top w:val="nil"/>
              <w:left w:val="nil"/>
              <w:bottom w:val="single" w:sz="4" w:space="0" w:color="auto"/>
              <w:right w:val="single" w:sz="4" w:space="0" w:color="auto"/>
            </w:tcBorders>
            <w:shd w:val="clear" w:color="auto" w:fill="auto"/>
            <w:noWrap/>
            <w:vAlign w:val="center"/>
            <w:hideMark/>
          </w:tcPr>
          <w:p w14:paraId="4DFDA1D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1,825.20</w:t>
            </w:r>
          </w:p>
        </w:tc>
        <w:tc>
          <w:tcPr>
            <w:tcW w:w="648" w:type="pct"/>
            <w:tcBorders>
              <w:top w:val="nil"/>
              <w:left w:val="nil"/>
              <w:bottom w:val="single" w:sz="4" w:space="0" w:color="auto"/>
              <w:right w:val="single" w:sz="4" w:space="0" w:color="auto"/>
            </w:tcBorders>
            <w:shd w:val="clear" w:color="auto" w:fill="auto"/>
            <w:noWrap/>
            <w:vAlign w:val="center"/>
            <w:hideMark/>
          </w:tcPr>
          <w:p w14:paraId="1636209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13,672.01</w:t>
            </w:r>
          </w:p>
        </w:tc>
      </w:tr>
      <w:tr w:rsidR="00A046DD" w:rsidRPr="00532C20" w14:paraId="1C3AA279"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6B9A29EF"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Greece</w:t>
            </w:r>
          </w:p>
        </w:tc>
        <w:tc>
          <w:tcPr>
            <w:tcW w:w="704" w:type="pct"/>
            <w:tcBorders>
              <w:top w:val="nil"/>
              <w:left w:val="nil"/>
              <w:bottom w:val="single" w:sz="4" w:space="0" w:color="auto"/>
              <w:right w:val="single" w:sz="4" w:space="0" w:color="auto"/>
            </w:tcBorders>
            <w:shd w:val="clear" w:color="auto" w:fill="auto"/>
            <w:noWrap/>
            <w:vAlign w:val="center"/>
            <w:hideMark/>
          </w:tcPr>
          <w:p w14:paraId="14479BA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5.56</w:t>
            </w:r>
          </w:p>
        </w:tc>
        <w:tc>
          <w:tcPr>
            <w:tcW w:w="648" w:type="pct"/>
            <w:tcBorders>
              <w:top w:val="nil"/>
              <w:left w:val="nil"/>
              <w:bottom w:val="single" w:sz="4" w:space="0" w:color="auto"/>
              <w:right w:val="single" w:sz="4" w:space="0" w:color="auto"/>
            </w:tcBorders>
            <w:shd w:val="clear" w:color="auto" w:fill="auto"/>
            <w:noWrap/>
            <w:vAlign w:val="center"/>
            <w:hideMark/>
          </w:tcPr>
          <w:p w14:paraId="1A2B29D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15.25</w:t>
            </w:r>
          </w:p>
        </w:tc>
        <w:tc>
          <w:tcPr>
            <w:tcW w:w="704" w:type="pct"/>
            <w:tcBorders>
              <w:top w:val="nil"/>
              <w:left w:val="nil"/>
              <w:bottom w:val="single" w:sz="4" w:space="0" w:color="auto"/>
              <w:right w:val="single" w:sz="4" w:space="0" w:color="auto"/>
            </w:tcBorders>
            <w:shd w:val="clear" w:color="auto" w:fill="auto"/>
            <w:noWrap/>
            <w:vAlign w:val="center"/>
            <w:hideMark/>
          </w:tcPr>
          <w:p w14:paraId="04EFE9B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6.95</w:t>
            </w:r>
          </w:p>
        </w:tc>
        <w:tc>
          <w:tcPr>
            <w:tcW w:w="648" w:type="pct"/>
            <w:tcBorders>
              <w:top w:val="nil"/>
              <w:left w:val="nil"/>
              <w:bottom w:val="single" w:sz="4" w:space="0" w:color="auto"/>
              <w:right w:val="single" w:sz="4" w:space="0" w:color="auto"/>
            </w:tcBorders>
            <w:shd w:val="clear" w:color="auto" w:fill="auto"/>
            <w:noWrap/>
            <w:vAlign w:val="center"/>
            <w:hideMark/>
          </w:tcPr>
          <w:p w14:paraId="02E6644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38.11</w:t>
            </w:r>
          </w:p>
        </w:tc>
        <w:tc>
          <w:tcPr>
            <w:tcW w:w="704" w:type="pct"/>
            <w:tcBorders>
              <w:top w:val="nil"/>
              <w:left w:val="nil"/>
              <w:bottom w:val="single" w:sz="4" w:space="0" w:color="auto"/>
              <w:right w:val="single" w:sz="4" w:space="0" w:color="auto"/>
            </w:tcBorders>
            <w:shd w:val="clear" w:color="auto" w:fill="auto"/>
            <w:noWrap/>
            <w:vAlign w:val="center"/>
            <w:hideMark/>
          </w:tcPr>
          <w:p w14:paraId="5BA0E9B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8.34</w:t>
            </w:r>
          </w:p>
        </w:tc>
        <w:tc>
          <w:tcPr>
            <w:tcW w:w="648" w:type="pct"/>
            <w:tcBorders>
              <w:top w:val="nil"/>
              <w:left w:val="nil"/>
              <w:bottom w:val="single" w:sz="4" w:space="0" w:color="auto"/>
              <w:right w:val="single" w:sz="4" w:space="0" w:color="auto"/>
            </w:tcBorders>
            <w:shd w:val="clear" w:color="auto" w:fill="auto"/>
            <w:noWrap/>
            <w:vAlign w:val="center"/>
            <w:hideMark/>
          </w:tcPr>
          <w:p w14:paraId="473375C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68.60</w:t>
            </w:r>
          </w:p>
        </w:tc>
      </w:tr>
      <w:tr w:rsidR="00A046DD" w:rsidRPr="00532C20" w14:paraId="1BCD8E36"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1077B881"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Hungary</w:t>
            </w:r>
          </w:p>
        </w:tc>
        <w:tc>
          <w:tcPr>
            <w:tcW w:w="704" w:type="pct"/>
            <w:tcBorders>
              <w:top w:val="nil"/>
              <w:left w:val="nil"/>
              <w:bottom w:val="single" w:sz="4" w:space="0" w:color="auto"/>
              <w:right w:val="single" w:sz="4" w:space="0" w:color="auto"/>
            </w:tcBorders>
            <w:shd w:val="clear" w:color="auto" w:fill="auto"/>
            <w:noWrap/>
            <w:vAlign w:val="center"/>
            <w:hideMark/>
          </w:tcPr>
          <w:p w14:paraId="5BEDD75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28.35</w:t>
            </w:r>
          </w:p>
        </w:tc>
        <w:tc>
          <w:tcPr>
            <w:tcW w:w="648" w:type="pct"/>
            <w:tcBorders>
              <w:top w:val="nil"/>
              <w:left w:val="nil"/>
              <w:bottom w:val="single" w:sz="4" w:space="0" w:color="auto"/>
              <w:right w:val="single" w:sz="4" w:space="0" w:color="auto"/>
            </w:tcBorders>
            <w:shd w:val="clear" w:color="auto" w:fill="auto"/>
            <w:noWrap/>
            <w:vAlign w:val="center"/>
            <w:hideMark/>
          </w:tcPr>
          <w:p w14:paraId="4E6B4AC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80.18</w:t>
            </w:r>
          </w:p>
        </w:tc>
        <w:tc>
          <w:tcPr>
            <w:tcW w:w="704" w:type="pct"/>
            <w:tcBorders>
              <w:top w:val="nil"/>
              <w:left w:val="nil"/>
              <w:bottom w:val="single" w:sz="4" w:space="0" w:color="auto"/>
              <w:right w:val="single" w:sz="4" w:space="0" w:color="auto"/>
            </w:tcBorders>
            <w:shd w:val="clear" w:color="auto" w:fill="auto"/>
            <w:noWrap/>
            <w:vAlign w:val="center"/>
            <w:hideMark/>
          </w:tcPr>
          <w:p w14:paraId="0521494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35.43</w:t>
            </w:r>
          </w:p>
        </w:tc>
        <w:tc>
          <w:tcPr>
            <w:tcW w:w="648" w:type="pct"/>
            <w:tcBorders>
              <w:top w:val="nil"/>
              <w:left w:val="nil"/>
              <w:bottom w:val="single" w:sz="4" w:space="0" w:color="auto"/>
              <w:right w:val="single" w:sz="4" w:space="0" w:color="auto"/>
            </w:tcBorders>
            <w:shd w:val="clear" w:color="auto" w:fill="auto"/>
            <w:noWrap/>
            <w:vAlign w:val="center"/>
            <w:hideMark/>
          </w:tcPr>
          <w:p w14:paraId="6905FCF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200.45</w:t>
            </w:r>
          </w:p>
        </w:tc>
        <w:tc>
          <w:tcPr>
            <w:tcW w:w="704" w:type="pct"/>
            <w:tcBorders>
              <w:top w:val="nil"/>
              <w:left w:val="nil"/>
              <w:bottom w:val="single" w:sz="4" w:space="0" w:color="auto"/>
              <w:right w:val="single" w:sz="4" w:space="0" w:color="auto"/>
            </w:tcBorders>
            <w:shd w:val="clear" w:color="auto" w:fill="auto"/>
            <w:noWrap/>
            <w:vAlign w:val="center"/>
            <w:hideMark/>
          </w:tcPr>
          <w:p w14:paraId="25C6827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42.52</w:t>
            </w:r>
          </w:p>
        </w:tc>
        <w:tc>
          <w:tcPr>
            <w:tcW w:w="648" w:type="pct"/>
            <w:tcBorders>
              <w:top w:val="nil"/>
              <w:left w:val="nil"/>
              <w:bottom w:val="single" w:sz="4" w:space="0" w:color="auto"/>
              <w:right w:val="single" w:sz="4" w:space="0" w:color="auto"/>
            </w:tcBorders>
            <w:shd w:val="clear" w:color="auto" w:fill="auto"/>
            <w:noWrap/>
            <w:vAlign w:val="center"/>
            <w:hideMark/>
          </w:tcPr>
          <w:p w14:paraId="4B872CC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360.80</w:t>
            </w:r>
          </w:p>
        </w:tc>
      </w:tr>
      <w:tr w:rsidR="00A046DD" w:rsidRPr="00532C20" w14:paraId="14819BC3"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37D55EC5"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Ireland</w:t>
            </w:r>
          </w:p>
        </w:tc>
        <w:tc>
          <w:tcPr>
            <w:tcW w:w="704" w:type="pct"/>
            <w:tcBorders>
              <w:top w:val="nil"/>
              <w:left w:val="nil"/>
              <w:bottom w:val="single" w:sz="4" w:space="0" w:color="auto"/>
              <w:right w:val="single" w:sz="4" w:space="0" w:color="auto"/>
            </w:tcBorders>
            <w:shd w:val="clear" w:color="auto" w:fill="auto"/>
            <w:noWrap/>
            <w:vAlign w:val="center"/>
            <w:hideMark/>
          </w:tcPr>
          <w:p w14:paraId="0FA18B6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43.73</w:t>
            </w:r>
          </w:p>
        </w:tc>
        <w:tc>
          <w:tcPr>
            <w:tcW w:w="648" w:type="pct"/>
            <w:tcBorders>
              <w:top w:val="nil"/>
              <w:left w:val="nil"/>
              <w:bottom w:val="single" w:sz="4" w:space="0" w:color="auto"/>
              <w:right w:val="single" w:sz="4" w:space="0" w:color="auto"/>
            </w:tcBorders>
            <w:shd w:val="clear" w:color="auto" w:fill="auto"/>
            <w:noWrap/>
            <w:vAlign w:val="center"/>
            <w:hideMark/>
          </w:tcPr>
          <w:p w14:paraId="436DAE1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167.82</w:t>
            </w:r>
          </w:p>
        </w:tc>
        <w:tc>
          <w:tcPr>
            <w:tcW w:w="704" w:type="pct"/>
            <w:tcBorders>
              <w:top w:val="nil"/>
              <w:left w:val="nil"/>
              <w:bottom w:val="single" w:sz="4" w:space="0" w:color="auto"/>
              <w:right w:val="single" w:sz="4" w:space="0" w:color="auto"/>
            </w:tcBorders>
            <w:shd w:val="clear" w:color="auto" w:fill="auto"/>
            <w:noWrap/>
            <w:vAlign w:val="center"/>
            <w:hideMark/>
          </w:tcPr>
          <w:p w14:paraId="61BD2AC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54.67</w:t>
            </w:r>
          </w:p>
        </w:tc>
        <w:tc>
          <w:tcPr>
            <w:tcW w:w="648" w:type="pct"/>
            <w:tcBorders>
              <w:top w:val="nil"/>
              <w:left w:val="nil"/>
              <w:bottom w:val="single" w:sz="4" w:space="0" w:color="auto"/>
              <w:right w:val="single" w:sz="4" w:space="0" w:color="auto"/>
            </w:tcBorders>
            <w:shd w:val="clear" w:color="auto" w:fill="auto"/>
            <w:noWrap/>
            <w:vAlign w:val="center"/>
            <w:hideMark/>
          </w:tcPr>
          <w:p w14:paraId="311F26D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419.56</w:t>
            </w:r>
          </w:p>
        </w:tc>
        <w:tc>
          <w:tcPr>
            <w:tcW w:w="704" w:type="pct"/>
            <w:tcBorders>
              <w:top w:val="nil"/>
              <w:left w:val="nil"/>
              <w:bottom w:val="single" w:sz="4" w:space="0" w:color="auto"/>
              <w:right w:val="single" w:sz="4" w:space="0" w:color="auto"/>
            </w:tcBorders>
            <w:shd w:val="clear" w:color="auto" w:fill="auto"/>
            <w:noWrap/>
            <w:vAlign w:val="center"/>
            <w:hideMark/>
          </w:tcPr>
          <w:p w14:paraId="13225E2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65.60</w:t>
            </w:r>
          </w:p>
        </w:tc>
        <w:tc>
          <w:tcPr>
            <w:tcW w:w="648" w:type="pct"/>
            <w:tcBorders>
              <w:top w:val="nil"/>
              <w:left w:val="nil"/>
              <w:bottom w:val="single" w:sz="4" w:space="0" w:color="auto"/>
              <w:right w:val="single" w:sz="4" w:space="0" w:color="auto"/>
            </w:tcBorders>
            <w:shd w:val="clear" w:color="auto" w:fill="auto"/>
            <w:noWrap/>
            <w:vAlign w:val="center"/>
            <w:hideMark/>
          </w:tcPr>
          <w:p w14:paraId="2881BEC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755.20</w:t>
            </w:r>
          </w:p>
        </w:tc>
      </w:tr>
      <w:tr w:rsidR="00A046DD" w:rsidRPr="00532C20" w14:paraId="30905997"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4B4140C9"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Italy</w:t>
            </w:r>
          </w:p>
        </w:tc>
        <w:tc>
          <w:tcPr>
            <w:tcW w:w="704" w:type="pct"/>
            <w:tcBorders>
              <w:top w:val="nil"/>
              <w:left w:val="nil"/>
              <w:bottom w:val="single" w:sz="4" w:space="0" w:color="auto"/>
              <w:right w:val="single" w:sz="4" w:space="0" w:color="auto"/>
            </w:tcBorders>
            <w:shd w:val="clear" w:color="auto" w:fill="auto"/>
            <w:noWrap/>
            <w:vAlign w:val="center"/>
            <w:hideMark/>
          </w:tcPr>
          <w:p w14:paraId="215F3AA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709.38</w:t>
            </w:r>
          </w:p>
        </w:tc>
        <w:tc>
          <w:tcPr>
            <w:tcW w:w="648" w:type="pct"/>
            <w:tcBorders>
              <w:top w:val="nil"/>
              <w:left w:val="nil"/>
              <w:bottom w:val="single" w:sz="4" w:space="0" w:color="auto"/>
              <w:right w:val="single" w:sz="4" w:space="0" w:color="auto"/>
            </w:tcBorders>
            <w:shd w:val="clear" w:color="auto" w:fill="auto"/>
            <w:noWrap/>
            <w:vAlign w:val="center"/>
            <w:hideMark/>
          </w:tcPr>
          <w:p w14:paraId="5D5A1E7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1,617.64</w:t>
            </w:r>
          </w:p>
        </w:tc>
        <w:tc>
          <w:tcPr>
            <w:tcW w:w="704" w:type="pct"/>
            <w:tcBorders>
              <w:top w:val="nil"/>
              <w:left w:val="nil"/>
              <w:bottom w:val="single" w:sz="4" w:space="0" w:color="auto"/>
              <w:right w:val="single" w:sz="4" w:space="0" w:color="auto"/>
            </w:tcBorders>
            <w:shd w:val="clear" w:color="auto" w:fill="auto"/>
            <w:noWrap/>
            <w:vAlign w:val="center"/>
            <w:hideMark/>
          </w:tcPr>
          <w:p w14:paraId="65508AF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886.73</w:t>
            </w:r>
          </w:p>
        </w:tc>
        <w:tc>
          <w:tcPr>
            <w:tcW w:w="648" w:type="pct"/>
            <w:tcBorders>
              <w:top w:val="nil"/>
              <w:left w:val="nil"/>
              <w:bottom w:val="single" w:sz="4" w:space="0" w:color="auto"/>
              <w:right w:val="single" w:sz="4" w:space="0" w:color="auto"/>
            </w:tcBorders>
            <w:shd w:val="clear" w:color="auto" w:fill="auto"/>
            <w:noWrap/>
            <w:vAlign w:val="center"/>
            <w:hideMark/>
          </w:tcPr>
          <w:p w14:paraId="5DF0BCC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4,044.10</w:t>
            </w:r>
          </w:p>
        </w:tc>
        <w:tc>
          <w:tcPr>
            <w:tcW w:w="704" w:type="pct"/>
            <w:tcBorders>
              <w:top w:val="nil"/>
              <w:left w:val="nil"/>
              <w:bottom w:val="single" w:sz="4" w:space="0" w:color="auto"/>
              <w:right w:val="single" w:sz="4" w:space="0" w:color="auto"/>
            </w:tcBorders>
            <w:shd w:val="clear" w:color="auto" w:fill="auto"/>
            <w:noWrap/>
            <w:vAlign w:val="center"/>
            <w:hideMark/>
          </w:tcPr>
          <w:p w14:paraId="77866F2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1,064.07</w:t>
            </w:r>
          </w:p>
        </w:tc>
        <w:tc>
          <w:tcPr>
            <w:tcW w:w="648" w:type="pct"/>
            <w:tcBorders>
              <w:top w:val="nil"/>
              <w:left w:val="nil"/>
              <w:bottom w:val="single" w:sz="4" w:space="0" w:color="auto"/>
              <w:right w:val="single" w:sz="4" w:space="0" w:color="auto"/>
            </w:tcBorders>
            <w:shd w:val="clear" w:color="auto" w:fill="auto"/>
            <w:noWrap/>
            <w:vAlign w:val="center"/>
            <w:hideMark/>
          </w:tcPr>
          <w:p w14:paraId="7B636E6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7,279.38</w:t>
            </w:r>
          </w:p>
        </w:tc>
      </w:tr>
      <w:tr w:rsidR="00A046DD" w:rsidRPr="00532C20" w14:paraId="33DEFFD1"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2CC9B16D"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Latvia</w:t>
            </w:r>
          </w:p>
        </w:tc>
        <w:tc>
          <w:tcPr>
            <w:tcW w:w="704" w:type="pct"/>
            <w:tcBorders>
              <w:top w:val="nil"/>
              <w:left w:val="nil"/>
              <w:bottom w:val="single" w:sz="4" w:space="0" w:color="auto"/>
              <w:right w:val="single" w:sz="4" w:space="0" w:color="auto"/>
            </w:tcBorders>
            <w:shd w:val="clear" w:color="auto" w:fill="auto"/>
            <w:noWrap/>
            <w:vAlign w:val="center"/>
            <w:hideMark/>
          </w:tcPr>
          <w:p w14:paraId="50A8659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5.45</w:t>
            </w:r>
          </w:p>
        </w:tc>
        <w:tc>
          <w:tcPr>
            <w:tcW w:w="648" w:type="pct"/>
            <w:tcBorders>
              <w:top w:val="nil"/>
              <w:left w:val="nil"/>
              <w:bottom w:val="single" w:sz="4" w:space="0" w:color="auto"/>
              <w:right w:val="single" w:sz="4" w:space="0" w:color="auto"/>
            </w:tcBorders>
            <w:shd w:val="clear" w:color="auto" w:fill="auto"/>
            <w:noWrap/>
            <w:vAlign w:val="center"/>
            <w:hideMark/>
          </w:tcPr>
          <w:p w14:paraId="674DEDC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16.71</w:t>
            </w:r>
          </w:p>
        </w:tc>
        <w:tc>
          <w:tcPr>
            <w:tcW w:w="704" w:type="pct"/>
            <w:tcBorders>
              <w:top w:val="nil"/>
              <w:left w:val="nil"/>
              <w:bottom w:val="single" w:sz="4" w:space="0" w:color="auto"/>
              <w:right w:val="single" w:sz="4" w:space="0" w:color="auto"/>
            </w:tcBorders>
            <w:shd w:val="clear" w:color="auto" w:fill="auto"/>
            <w:noWrap/>
            <w:vAlign w:val="center"/>
            <w:hideMark/>
          </w:tcPr>
          <w:p w14:paraId="33A8C82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6.81</w:t>
            </w:r>
          </w:p>
        </w:tc>
        <w:tc>
          <w:tcPr>
            <w:tcW w:w="648" w:type="pct"/>
            <w:tcBorders>
              <w:top w:val="nil"/>
              <w:left w:val="nil"/>
              <w:bottom w:val="single" w:sz="4" w:space="0" w:color="auto"/>
              <w:right w:val="single" w:sz="4" w:space="0" w:color="auto"/>
            </w:tcBorders>
            <w:shd w:val="clear" w:color="auto" w:fill="auto"/>
            <w:noWrap/>
            <w:vAlign w:val="center"/>
            <w:hideMark/>
          </w:tcPr>
          <w:p w14:paraId="6D139BF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41.79</w:t>
            </w:r>
          </w:p>
        </w:tc>
        <w:tc>
          <w:tcPr>
            <w:tcW w:w="704" w:type="pct"/>
            <w:tcBorders>
              <w:top w:val="nil"/>
              <w:left w:val="nil"/>
              <w:bottom w:val="single" w:sz="4" w:space="0" w:color="auto"/>
              <w:right w:val="single" w:sz="4" w:space="0" w:color="auto"/>
            </w:tcBorders>
            <w:shd w:val="clear" w:color="auto" w:fill="auto"/>
            <w:noWrap/>
            <w:vAlign w:val="center"/>
            <w:hideMark/>
          </w:tcPr>
          <w:p w14:paraId="24525E9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8.18</w:t>
            </w:r>
          </w:p>
        </w:tc>
        <w:tc>
          <w:tcPr>
            <w:tcW w:w="648" w:type="pct"/>
            <w:tcBorders>
              <w:top w:val="nil"/>
              <w:left w:val="nil"/>
              <w:bottom w:val="single" w:sz="4" w:space="0" w:color="auto"/>
              <w:right w:val="single" w:sz="4" w:space="0" w:color="auto"/>
            </w:tcBorders>
            <w:shd w:val="clear" w:color="auto" w:fill="auto"/>
            <w:noWrap/>
            <w:vAlign w:val="center"/>
            <w:hideMark/>
          </w:tcPr>
          <w:p w14:paraId="0703B26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75.21</w:t>
            </w:r>
          </w:p>
        </w:tc>
      </w:tr>
      <w:tr w:rsidR="00A046DD" w:rsidRPr="00532C20" w14:paraId="6013FBC9"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0D08C0D5"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Lithuania</w:t>
            </w:r>
          </w:p>
        </w:tc>
        <w:tc>
          <w:tcPr>
            <w:tcW w:w="704" w:type="pct"/>
            <w:tcBorders>
              <w:top w:val="nil"/>
              <w:left w:val="nil"/>
              <w:bottom w:val="single" w:sz="4" w:space="0" w:color="auto"/>
              <w:right w:val="single" w:sz="4" w:space="0" w:color="auto"/>
            </w:tcBorders>
            <w:shd w:val="clear" w:color="auto" w:fill="auto"/>
            <w:noWrap/>
            <w:vAlign w:val="center"/>
            <w:hideMark/>
          </w:tcPr>
          <w:p w14:paraId="23DA5EE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6.11</w:t>
            </w:r>
          </w:p>
        </w:tc>
        <w:tc>
          <w:tcPr>
            <w:tcW w:w="648" w:type="pct"/>
            <w:tcBorders>
              <w:top w:val="nil"/>
              <w:left w:val="nil"/>
              <w:bottom w:val="single" w:sz="4" w:space="0" w:color="auto"/>
              <w:right w:val="single" w:sz="4" w:space="0" w:color="auto"/>
            </w:tcBorders>
            <w:shd w:val="clear" w:color="auto" w:fill="auto"/>
            <w:noWrap/>
            <w:vAlign w:val="center"/>
            <w:hideMark/>
          </w:tcPr>
          <w:p w14:paraId="0B78A91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18.06</w:t>
            </w:r>
          </w:p>
        </w:tc>
        <w:tc>
          <w:tcPr>
            <w:tcW w:w="704" w:type="pct"/>
            <w:tcBorders>
              <w:top w:val="nil"/>
              <w:left w:val="nil"/>
              <w:bottom w:val="single" w:sz="4" w:space="0" w:color="auto"/>
              <w:right w:val="single" w:sz="4" w:space="0" w:color="auto"/>
            </w:tcBorders>
            <w:shd w:val="clear" w:color="auto" w:fill="auto"/>
            <w:noWrap/>
            <w:vAlign w:val="center"/>
            <w:hideMark/>
          </w:tcPr>
          <w:p w14:paraId="2EFC1FB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7.64</w:t>
            </w:r>
          </w:p>
        </w:tc>
        <w:tc>
          <w:tcPr>
            <w:tcW w:w="648" w:type="pct"/>
            <w:tcBorders>
              <w:top w:val="nil"/>
              <w:left w:val="nil"/>
              <w:bottom w:val="single" w:sz="4" w:space="0" w:color="auto"/>
              <w:right w:val="single" w:sz="4" w:space="0" w:color="auto"/>
            </w:tcBorders>
            <w:shd w:val="clear" w:color="auto" w:fill="auto"/>
            <w:noWrap/>
            <w:vAlign w:val="center"/>
            <w:hideMark/>
          </w:tcPr>
          <w:p w14:paraId="19597E1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45.14</w:t>
            </w:r>
          </w:p>
        </w:tc>
        <w:tc>
          <w:tcPr>
            <w:tcW w:w="704" w:type="pct"/>
            <w:tcBorders>
              <w:top w:val="nil"/>
              <w:left w:val="nil"/>
              <w:bottom w:val="single" w:sz="4" w:space="0" w:color="auto"/>
              <w:right w:val="single" w:sz="4" w:space="0" w:color="auto"/>
            </w:tcBorders>
            <w:shd w:val="clear" w:color="auto" w:fill="auto"/>
            <w:noWrap/>
            <w:vAlign w:val="center"/>
            <w:hideMark/>
          </w:tcPr>
          <w:p w14:paraId="1946B3D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9.17</w:t>
            </w:r>
          </w:p>
        </w:tc>
        <w:tc>
          <w:tcPr>
            <w:tcW w:w="648" w:type="pct"/>
            <w:tcBorders>
              <w:top w:val="nil"/>
              <w:left w:val="nil"/>
              <w:bottom w:val="single" w:sz="4" w:space="0" w:color="auto"/>
              <w:right w:val="single" w:sz="4" w:space="0" w:color="auto"/>
            </w:tcBorders>
            <w:shd w:val="clear" w:color="auto" w:fill="auto"/>
            <w:noWrap/>
            <w:vAlign w:val="center"/>
            <w:hideMark/>
          </w:tcPr>
          <w:p w14:paraId="486EDCA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81.25</w:t>
            </w:r>
          </w:p>
        </w:tc>
      </w:tr>
      <w:tr w:rsidR="00A046DD" w:rsidRPr="00532C20" w14:paraId="79D11D04"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79AF374A"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Luxembourg</w:t>
            </w:r>
          </w:p>
        </w:tc>
        <w:tc>
          <w:tcPr>
            <w:tcW w:w="704" w:type="pct"/>
            <w:tcBorders>
              <w:top w:val="nil"/>
              <w:left w:val="nil"/>
              <w:bottom w:val="single" w:sz="4" w:space="0" w:color="auto"/>
              <w:right w:val="single" w:sz="4" w:space="0" w:color="auto"/>
            </w:tcBorders>
            <w:shd w:val="clear" w:color="auto" w:fill="auto"/>
            <w:noWrap/>
            <w:vAlign w:val="center"/>
            <w:hideMark/>
          </w:tcPr>
          <w:p w14:paraId="51E919F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15.60</w:t>
            </w:r>
          </w:p>
        </w:tc>
        <w:tc>
          <w:tcPr>
            <w:tcW w:w="648" w:type="pct"/>
            <w:tcBorders>
              <w:top w:val="nil"/>
              <w:left w:val="nil"/>
              <w:bottom w:val="single" w:sz="4" w:space="0" w:color="auto"/>
              <w:right w:val="single" w:sz="4" w:space="0" w:color="auto"/>
            </w:tcBorders>
            <w:shd w:val="clear" w:color="auto" w:fill="auto"/>
            <w:noWrap/>
            <w:vAlign w:val="center"/>
            <w:hideMark/>
          </w:tcPr>
          <w:p w14:paraId="76957A1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41.29</w:t>
            </w:r>
          </w:p>
        </w:tc>
        <w:tc>
          <w:tcPr>
            <w:tcW w:w="704" w:type="pct"/>
            <w:tcBorders>
              <w:top w:val="nil"/>
              <w:left w:val="nil"/>
              <w:bottom w:val="single" w:sz="4" w:space="0" w:color="auto"/>
              <w:right w:val="single" w:sz="4" w:space="0" w:color="auto"/>
            </w:tcBorders>
            <w:shd w:val="clear" w:color="auto" w:fill="auto"/>
            <w:noWrap/>
            <w:vAlign w:val="center"/>
            <w:hideMark/>
          </w:tcPr>
          <w:p w14:paraId="5F796CA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19.50</w:t>
            </w:r>
          </w:p>
        </w:tc>
        <w:tc>
          <w:tcPr>
            <w:tcW w:w="648" w:type="pct"/>
            <w:tcBorders>
              <w:top w:val="nil"/>
              <w:left w:val="nil"/>
              <w:bottom w:val="single" w:sz="4" w:space="0" w:color="auto"/>
              <w:right w:val="single" w:sz="4" w:space="0" w:color="auto"/>
            </w:tcBorders>
            <w:shd w:val="clear" w:color="auto" w:fill="auto"/>
            <w:noWrap/>
            <w:vAlign w:val="center"/>
            <w:hideMark/>
          </w:tcPr>
          <w:p w14:paraId="504AAB7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103.22</w:t>
            </w:r>
          </w:p>
        </w:tc>
        <w:tc>
          <w:tcPr>
            <w:tcW w:w="704" w:type="pct"/>
            <w:tcBorders>
              <w:top w:val="nil"/>
              <w:left w:val="nil"/>
              <w:bottom w:val="single" w:sz="4" w:space="0" w:color="auto"/>
              <w:right w:val="single" w:sz="4" w:space="0" w:color="auto"/>
            </w:tcBorders>
            <w:shd w:val="clear" w:color="auto" w:fill="auto"/>
            <w:noWrap/>
            <w:vAlign w:val="center"/>
            <w:hideMark/>
          </w:tcPr>
          <w:p w14:paraId="5BA1022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23.40</w:t>
            </w:r>
          </w:p>
        </w:tc>
        <w:tc>
          <w:tcPr>
            <w:tcW w:w="648" w:type="pct"/>
            <w:tcBorders>
              <w:top w:val="nil"/>
              <w:left w:val="nil"/>
              <w:bottom w:val="single" w:sz="4" w:space="0" w:color="auto"/>
              <w:right w:val="single" w:sz="4" w:space="0" w:color="auto"/>
            </w:tcBorders>
            <w:shd w:val="clear" w:color="auto" w:fill="auto"/>
            <w:noWrap/>
            <w:vAlign w:val="center"/>
            <w:hideMark/>
          </w:tcPr>
          <w:p w14:paraId="4ADC205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185.79</w:t>
            </w:r>
          </w:p>
        </w:tc>
      </w:tr>
      <w:tr w:rsidR="00A046DD" w:rsidRPr="00532C20" w14:paraId="38AA99D9"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66530EDF"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Malta</w:t>
            </w:r>
          </w:p>
        </w:tc>
        <w:tc>
          <w:tcPr>
            <w:tcW w:w="704" w:type="pct"/>
            <w:tcBorders>
              <w:top w:val="nil"/>
              <w:left w:val="nil"/>
              <w:bottom w:val="single" w:sz="4" w:space="0" w:color="auto"/>
              <w:right w:val="single" w:sz="4" w:space="0" w:color="auto"/>
            </w:tcBorders>
            <w:shd w:val="clear" w:color="auto" w:fill="auto"/>
            <w:noWrap/>
            <w:vAlign w:val="center"/>
            <w:hideMark/>
          </w:tcPr>
          <w:p w14:paraId="1B6E7AE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2.05</w:t>
            </w:r>
          </w:p>
        </w:tc>
        <w:tc>
          <w:tcPr>
            <w:tcW w:w="648" w:type="pct"/>
            <w:tcBorders>
              <w:top w:val="nil"/>
              <w:left w:val="nil"/>
              <w:bottom w:val="single" w:sz="4" w:space="0" w:color="auto"/>
              <w:right w:val="single" w:sz="4" w:space="0" w:color="auto"/>
            </w:tcBorders>
            <w:shd w:val="clear" w:color="auto" w:fill="auto"/>
            <w:noWrap/>
            <w:vAlign w:val="center"/>
            <w:hideMark/>
          </w:tcPr>
          <w:p w14:paraId="786E778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6.13</w:t>
            </w:r>
          </w:p>
        </w:tc>
        <w:tc>
          <w:tcPr>
            <w:tcW w:w="704" w:type="pct"/>
            <w:tcBorders>
              <w:top w:val="nil"/>
              <w:left w:val="nil"/>
              <w:bottom w:val="single" w:sz="4" w:space="0" w:color="auto"/>
              <w:right w:val="single" w:sz="4" w:space="0" w:color="auto"/>
            </w:tcBorders>
            <w:shd w:val="clear" w:color="auto" w:fill="auto"/>
            <w:noWrap/>
            <w:vAlign w:val="center"/>
            <w:hideMark/>
          </w:tcPr>
          <w:p w14:paraId="40EBDD3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2.56</w:t>
            </w:r>
          </w:p>
        </w:tc>
        <w:tc>
          <w:tcPr>
            <w:tcW w:w="648" w:type="pct"/>
            <w:tcBorders>
              <w:top w:val="nil"/>
              <w:left w:val="nil"/>
              <w:bottom w:val="single" w:sz="4" w:space="0" w:color="auto"/>
              <w:right w:val="single" w:sz="4" w:space="0" w:color="auto"/>
            </w:tcBorders>
            <w:shd w:val="clear" w:color="auto" w:fill="auto"/>
            <w:noWrap/>
            <w:vAlign w:val="center"/>
            <w:hideMark/>
          </w:tcPr>
          <w:p w14:paraId="339368B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15.34</w:t>
            </w:r>
          </w:p>
        </w:tc>
        <w:tc>
          <w:tcPr>
            <w:tcW w:w="704" w:type="pct"/>
            <w:tcBorders>
              <w:top w:val="nil"/>
              <w:left w:val="nil"/>
              <w:bottom w:val="single" w:sz="4" w:space="0" w:color="auto"/>
              <w:right w:val="single" w:sz="4" w:space="0" w:color="auto"/>
            </w:tcBorders>
            <w:shd w:val="clear" w:color="auto" w:fill="auto"/>
            <w:noWrap/>
            <w:vAlign w:val="center"/>
            <w:hideMark/>
          </w:tcPr>
          <w:p w14:paraId="3925227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3.07</w:t>
            </w:r>
          </w:p>
        </w:tc>
        <w:tc>
          <w:tcPr>
            <w:tcW w:w="648" w:type="pct"/>
            <w:tcBorders>
              <w:top w:val="nil"/>
              <w:left w:val="nil"/>
              <w:bottom w:val="single" w:sz="4" w:space="0" w:color="auto"/>
              <w:right w:val="single" w:sz="4" w:space="0" w:color="auto"/>
            </w:tcBorders>
            <w:shd w:val="clear" w:color="auto" w:fill="auto"/>
            <w:noWrap/>
            <w:vAlign w:val="center"/>
            <w:hideMark/>
          </w:tcPr>
          <w:p w14:paraId="60A86EA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27.60</w:t>
            </w:r>
          </w:p>
        </w:tc>
      </w:tr>
      <w:tr w:rsidR="00A046DD" w:rsidRPr="00532C20" w14:paraId="3758F103"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03DCD9C0"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Netherlands</w:t>
            </w:r>
          </w:p>
        </w:tc>
        <w:tc>
          <w:tcPr>
            <w:tcW w:w="704" w:type="pct"/>
            <w:tcBorders>
              <w:top w:val="nil"/>
              <w:left w:val="nil"/>
              <w:bottom w:val="single" w:sz="4" w:space="0" w:color="auto"/>
              <w:right w:val="single" w:sz="4" w:space="0" w:color="auto"/>
            </w:tcBorders>
            <w:shd w:val="clear" w:color="auto" w:fill="auto"/>
            <w:noWrap/>
            <w:vAlign w:val="center"/>
            <w:hideMark/>
          </w:tcPr>
          <w:p w14:paraId="4A9A4BE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70.17</w:t>
            </w:r>
          </w:p>
        </w:tc>
        <w:tc>
          <w:tcPr>
            <w:tcW w:w="648" w:type="pct"/>
            <w:tcBorders>
              <w:top w:val="nil"/>
              <w:left w:val="nil"/>
              <w:bottom w:val="single" w:sz="4" w:space="0" w:color="auto"/>
              <w:right w:val="single" w:sz="4" w:space="0" w:color="auto"/>
            </w:tcBorders>
            <w:shd w:val="clear" w:color="auto" w:fill="auto"/>
            <w:noWrap/>
            <w:vAlign w:val="center"/>
            <w:hideMark/>
          </w:tcPr>
          <w:p w14:paraId="1C5EBCC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208.84</w:t>
            </w:r>
          </w:p>
        </w:tc>
        <w:tc>
          <w:tcPr>
            <w:tcW w:w="704" w:type="pct"/>
            <w:tcBorders>
              <w:top w:val="nil"/>
              <w:left w:val="nil"/>
              <w:bottom w:val="single" w:sz="4" w:space="0" w:color="auto"/>
              <w:right w:val="single" w:sz="4" w:space="0" w:color="auto"/>
            </w:tcBorders>
            <w:shd w:val="clear" w:color="auto" w:fill="auto"/>
            <w:noWrap/>
            <w:vAlign w:val="center"/>
            <w:hideMark/>
          </w:tcPr>
          <w:p w14:paraId="797BF7C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87.71</w:t>
            </w:r>
          </w:p>
        </w:tc>
        <w:tc>
          <w:tcPr>
            <w:tcW w:w="648" w:type="pct"/>
            <w:tcBorders>
              <w:top w:val="nil"/>
              <w:left w:val="nil"/>
              <w:bottom w:val="single" w:sz="4" w:space="0" w:color="auto"/>
              <w:right w:val="single" w:sz="4" w:space="0" w:color="auto"/>
            </w:tcBorders>
            <w:shd w:val="clear" w:color="auto" w:fill="auto"/>
            <w:noWrap/>
            <w:vAlign w:val="center"/>
            <w:hideMark/>
          </w:tcPr>
          <w:p w14:paraId="23DE5C7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522.11</w:t>
            </w:r>
          </w:p>
        </w:tc>
        <w:tc>
          <w:tcPr>
            <w:tcW w:w="704" w:type="pct"/>
            <w:tcBorders>
              <w:top w:val="nil"/>
              <w:left w:val="nil"/>
              <w:bottom w:val="single" w:sz="4" w:space="0" w:color="auto"/>
              <w:right w:val="single" w:sz="4" w:space="0" w:color="auto"/>
            </w:tcBorders>
            <w:shd w:val="clear" w:color="auto" w:fill="auto"/>
            <w:noWrap/>
            <w:vAlign w:val="center"/>
            <w:hideMark/>
          </w:tcPr>
          <w:p w14:paraId="248D6DB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105.25</w:t>
            </w:r>
          </w:p>
        </w:tc>
        <w:tc>
          <w:tcPr>
            <w:tcW w:w="648" w:type="pct"/>
            <w:tcBorders>
              <w:top w:val="nil"/>
              <w:left w:val="nil"/>
              <w:bottom w:val="single" w:sz="4" w:space="0" w:color="auto"/>
              <w:right w:val="single" w:sz="4" w:space="0" w:color="auto"/>
            </w:tcBorders>
            <w:shd w:val="clear" w:color="auto" w:fill="auto"/>
            <w:noWrap/>
            <w:vAlign w:val="center"/>
            <w:hideMark/>
          </w:tcPr>
          <w:p w14:paraId="60B5BE7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939.79</w:t>
            </w:r>
          </w:p>
        </w:tc>
      </w:tr>
      <w:tr w:rsidR="00A046DD" w:rsidRPr="00532C20" w14:paraId="592BF302"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6A22DDBF"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Poland</w:t>
            </w:r>
          </w:p>
        </w:tc>
        <w:tc>
          <w:tcPr>
            <w:tcW w:w="704" w:type="pct"/>
            <w:tcBorders>
              <w:top w:val="nil"/>
              <w:left w:val="nil"/>
              <w:bottom w:val="single" w:sz="4" w:space="0" w:color="auto"/>
              <w:right w:val="single" w:sz="4" w:space="0" w:color="auto"/>
            </w:tcBorders>
            <w:shd w:val="clear" w:color="auto" w:fill="auto"/>
            <w:noWrap/>
            <w:vAlign w:val="center"/>
            <w:hideMark/>
          </w:tcPr>
          <w:p w14:paraId="56A1EA8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33.92</w:t>
            </w:r>
          </w:p>
        </w:tc>
        <w:tc>
          <w:tcPr>
            <w:tcW w:w="648" w:type="pct"/>
            <w:tcBorders>
              <w:top w:val="nil"/>
              <w:left w:val="nil"/>
              <w:bottom w:val="single" w:sz="4" w:space="0" w:color="auto"/>
              <w:right w:val="single" w:sz="4" w:space="0" w:color="auto"/>
            </w:tcBorders>
            <w:shd w:val="clear" w:color="auto" w:fill="auto"/>
            <w:noWrap/>
            <w:vAlign w:val="center"/>
            <w:hideMark/>
          </w:tcPr>
          <w:p w14:paraId="1CAF772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100.97</w:t>
            </w:r>
          </w:p>
        </w:tc>
        <w:tc>
          <w:tcPr>
            <w:tcW w:w="704" w:type="pct"/>
            <w:tcBorders>
              <w:top w:val="nil"/>
              <w:left w:val="nil"/>
              <w:bottom w:val="single" w:sz="4" w:space="0" w:color="auto"/>
              <w:right w:val="single" w:sz="4" w:space="0" w:color="auto"/>
            </w:tcBorders>
            <w:shd w:val="clear" w:color="auto" w:fill="auto"/>
            <w:noWrap/>
            <w:vAlign w:val="center"/>
            <w:hideMark/>
          </w:tcPr>
          <w:p w14:paraId="127B679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42.40</w:t>
            </w:r>
          </w:p>
        </w:tc>
        <w:tc>
          <w:tcPr>
            <w:tcW w:w="648" w:type="pct"/>
            <w:tcBorders>
              <w:top w:val="nil"/>
              <w:left w:val="nil"/>
              <w:bottom w:val="single" w:sz="4" w:space="0" w:color="auto"/>
              <w:right w:val="single" w:sz="4" w:space="0" w:color="auto"/>
            </w:tcBorders>
            <w:shd w:val="clear" w:color="auto" w:fill="auto"/>
            <w:noWrap/>
            <w:vAlign w:val="center"/>
            <w:hideMark/>
          </w:tcPr>
          <w:p w14:paraId="2341E3D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252.41</w:t>
            </w:r>
          </w:p>
        </w:tc>
        <w:tc>
          <w:tcPr>
            <w:tcW w:w="704" w:type="pct"/>
            <w:tcBorders>
              <w:top w:val="nil"/>
              <w:left w:val="nil"/>
              <w:bottom w:val="single" w:sz="4" w:space="0" w:color="auto"/>
              <w:right w:val="single" w:sz="4" w:space="0" w:color="auto"/>
            </w:tcBorders>
            <w:shd w:val="clear" w:color="auto" w:fill="auto"/>
            <w:noWrap/>
            <w:vAlign w:val="center"/>
            <w:hideMark/>
          </w:tcPr>
          <w:p w14:paraId="31CDD29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50.88</w:t>
            </w:r>
          </w:p>
        </w:tc>
        <w:tc>
          <w:tcPr>
            <w:tcW w:w="648" w:type="pct"/>
            <w:tcBorders>
              <w:top w:val="nil"/>
              <w:left w:val="nil"/>
              <w:bottom w:val="single" w:sz="4" w:space="0" w:color="auto"/>
              <w:right w:val="single" w:sz="4" w:space="0" w:color="auto"/>
            </w:tcBorders>
            <w:shd w:val="clear" w:color="auto" w:fill="auto"/>
            <w:noWrap/>
            <w:vAlign w:val="center"/>
            <w:hideMark/>
          </w:tcPr>
          <w:p w14:paraId="4013F85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454.34</w:t>
            </w:r>
          </w:p>
        </w:tc>
      </w:tr>
      <w:tr w:rsidR="00A046DD" w:rsidRPr="00532C20" w14:paraId="6DD2EB25"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06166ACC"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Portugal</w:t>
            </w:r>
          </w:p>
        </w:tc>
        <w:tc>
          <w:tcPr>
            <w:tcW w:w="704" w:type="pct"/>
            <w:tcBorders>
              <w:top w:val="nil"/>
              <w:left w:val="nil"/>
              <w:bottom w:val="single" w:sz="4" w:space="0" w:color="auto"/>
              <w:right w:val="single" w:sz="4" w:space="0" w:color="auto"/>
            </w:tcBorders>
            <w:shd w:val="clear" w:color="auto" w:fill="auto"/>
            <w:noWrap/>
            <w:vAlign w:val="center"/>
            <w:hideMark/>
          </w:tcPr>
          <w:p w14:paraId="250BCA2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53.42</w:t>
            </w:r>
          </w:p>
        </w:tc>
        <w:tc>
          <w:tcPr>
            <w:tcW w:w="648" w:type="pct"/>
            <w:tcBorders>
              <w:top w:val="nil"/>
              <w:left w:val="nil"/>
              <w:bottom w:val="single" w:sz="4" w:space="0" w:color="auto"/>
              <w:right w:val="single" w:sz="4" w:space="0" w:color="auto"/>
            </w:tcBorders>
            <w:shd w:val="clear" w:color="auto" w:fill="auto"/>
            <w:noWrap/>
            <w:vAlign w:val="center"/>
            <w:hideMark/>
          </w:tcPr>
          <w:p w14:paraId="505652C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147.36</w:t>
            </w:r>
          </w:p>
        </w:tc>
        <w:tc>
          <w:tcPr>
            <w:tcW w:w="704" w:type="pct"/>
            <w:tcBorders>
              <w:top w:val="nil"/>
              <w:left w:val="nil"/>
              <w:bottom w:val="single" w:sz="4" w:space="0" w:color="auto"/>
              <w:right w:val="single" w:sz="4" w:space="0" w:color="auto"/>
            </w:tcBorders>
            <w:shd w:val="clear" w:color="auto" w:fill="auto"/>
            <w:noWrap/>
            <w:vAlign w:val="center"/>
            <w:hideMark/>
          </w:tcPr>
          <w:p w14:paraId="1AB20FE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66.78</w:t>
            </w:r>
          </w:p>
        </w:tc>
        <w:tc>
          <w:tcPr>
            <w:tcW w:w="648" w:type="pct"/>
            <w:tcBorders>
              <w:top w:val="nil"/>
              <w:left w:val="nil"/>
              <w:bottom w:val="single" w:sz="4" w:space="0" w:color="auto"/>
              <w:right w:val="single" w:sz="4" w:space="0" w:color="auto"/>
            </w:tcBorders>
            <w:shd w:val="clear" w:color="auto" w:fill="auto"/>
            <w:noWrap/>
            <w:vAlign w:val="center"/>
            <w:hideMark/>
          </w:tcPr>
          <w:p w14:paraId="3C19F86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368.41</w:t>
            </w:r>
          </w:p>
        </w:tc>
        <w:tc>
          <w:tcPr>
            <w:tcW w:w="704" w:type="pct"/>
            <w:tcBorders>
              <w:top w:val="nil"/>
              <w:left w:val="nil"/>
              <w:bottom w:val="single" w:sz="4" w:space="0" w:color="auto"/>
              <w:right w:val="single" w:sz="4" w:space="0" w:color="auto"/>
            </w:tcBorders>
            <w:shd w:val="clear" w:color="auto" w:fill="auto"/>
            <w:noWrap/>
            <w:vAlign w:val="center"/>
            <w:hideMark/>
          </w:tcPr>
          <w:p w14:paraId="4B5C34B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80.14</w:t>
            </w:r>
          </w:p>
        </w:tc>
        <w:tc>
          <w:tcPr>
            <w:tcW w:w="648" w:type="pct"/>
            <w:tcBorders>
              <w:top w:val="nil"/>
              <w:left w:val="nil"/>
              <w:bottom w:val="single" w:sz="4" w:space="0" w:color="auto"/>
              <w:right w:val="single" w:sz="4" w:space="0" w:color="auto"/>
            </w:tcBorders>
            <w:shd w:val="clear" w:color="auto" w:fill="auto"/>
            <w:noWrap/>
            <w:vAlign w:val="center"/>
            <w:hideMark/>
          </w:tcPr>
          <w:p w14:paraId="2B5EC5B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663.13</w:t>
            </w:r>
          </w:p>
        </w:tc>
      </w:tr>
      <w:tr w:rsidR="00A046DD" w:rsidRPr="00532C20" w14:paraId="13122B4A"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4F93CE18"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Romania</w:t>
            </w:r>
          </w:p>
        </w:tc>
        <w:tc>
          <w:tcPr>
            <w:tcW w:w="704" w:type="pct"/>
            <w:tcBorders>
              <w:top w:val="nil"/>
              <w:left w:val="nil"/>
              <w:bottom w:val="single" w:sz="4" w:space="0" w:color="auto"/>
              <w:right w:val="single" w:sz="4" w:space="0" w:color="auto"/>
            </w:tcBorders>
            <w:shd w:val="clear" w:color="auto" w:fill="auto"/>
            <w:noWrap/>
            <w:vAlign w:val="center"/>
            <w:hideMark/>
          </w:tcPr>
          <w:p w14:paraId="74565F0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25.20</w:t>
            </w:r>
          </w:p>
        </w:tc>
        <w:tc>
          <w:tcPr>
            <w:tcW w:w="648" w:type="pct"/>
            <w:tcBorders>
              <w:top w:val="nil"/>
              <w:left w:val="nil"/>
              <w:bottom w:val="single" w:sz="4" w:space="0" w:color="auto"/>
              <w:right w:val="single" w:sz="4" w:space="0" w:color="auto"/>
            </w:tcBorders>
            <w:shd w:val="clear" w:color="auto" w:fill="auto"/>
            <w:noWrap/>
            <w:vAlign w:val="center"/>
            <w:hideMark/>
          </w:tcPr>
          <w:p w14:paraId="3088C0D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82.27</w:t>
            </w:r>
          </w:p>
        </w:tc>
        <w:tc>
          <w:tcPr>
            <w:tcW w:w="704" w:type="pct"/>
            <w:tcBorders>
              <w:top w:val="nil"/>
              <w:left w:val="nil"/>
              <w:bottom w:val="single" w:sz="4" w:space="0" w:color="auto"/>
              <w:right w:val="single" w:sz="4" w:space="0" w:color="auto"/>
            </w:tcBorders>
            <w:shd w:val="clear" w:color="auto" w:fill="auto"/>
            <w:noWrap/>
            <w:vAlign w:val="center"/>
            <w:hideMark/>
          </w:tcPr>
          <w:p w14:paraId="095A2F8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31.50</w:t>
            </w:r>
          </w:p>
        </w:tc>
        <w:tc>
          <w:tcPr>
            <w:tcW w:w="648" w:type="pct"/>
            <w:tcBorders>
              <w:top w:val="nil"/>
              <w:left w:val="nil"/>
              <w:bottom w:val="single" w:sz="4" w:space="0" w:color="auto"/>
              <w:right w:val="single" w:sz="4" w:space="0" w:color="auto"/>
            </w:tcBorders>
            <w:shd w:val="clear" w:color="auto" w:fill="auto"/>
            <w:noWrap/>
            <w:vAlign w:val="center"/>
            <w:hideMark/>
          </w:tcPr>
          <w:p w14:paraId="63DD1AF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205.67</w:t>
            </w:r>
          </w:p>
        </w:tc>
        <w:tc>
          <w:tcPr>
            <w:tcW w:w="704" w:type="pct"/>
            <w:tcBorders>
              <w:top w:val="nil"/>
              <w:left w:val="nil"/>
              <w:bottom w:val="single" w:sz="4" w:space="0" w:color="auto"/>
              <w:right w:val="single" w:sz="4" w:space="0" w:color="auto"/>
            </w:tcBorders>
            <w:shd w:val="clear" w:color="auto" w:fill="auto"/>
            <w:noWrap/>
            <w:vAlign w:val="center"/>
            <w:hideMark/>
          </w:tcPr>
          <w:p w14:paraId="34604AE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37.80</w:t>
            </w:r>
          </w:p>
        </w:tc>
        <w:tc>
          <w:tcPr>
            <w:tcW w:w="648" w:type="pct"/>
            <w:tcBorders>
              <w:top w:val="nil"/>
              <w:left w:val="nil"/>
              <w:bottom w:val="single" w:sz="4" w:space="0" w:color="auto"/>
              <w:right w:val="single" w:sz="4" w:space="0" w:color="auto"/>
            </w:tcBorders>
            <w:shd w:val="clear" w:color="auto" w:fill="auto"/>
            <w:noWrap/>
            <w:vAlign w:val="center"/>
            <w:hideMark/>
          </w:tcPr>
          <w:p w14:paraId="6D272DB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370.20</w:t>
            </w:r>
          </w:p>
        </w:tc>
      </w:tr>
      <w:tr w:rsidR="00A046DD" w:rsidRPr="00532C20" w14:paraId="339C79A2"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3B136CF5"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Slovakia</w:t>
            </w:r>
          </w:p>
        </w:tc>
        <w:tc>
          <w:tcPr>
            <w:tcW w:w="704" w:type="pct"/>
            <w:tcBorders>
              <w:top w:val="nil"/>
              <w:left w:val="nil"/>
              <w:bottom w:val="single" w:sz="4" w:space="0" w:color="auto"/>
              <w:right w:val="single" w:sz="4" w:space="0" w:color="auto"/>
            </w:tcBorders>
            <w:shd w:val="clear" w:color="auto" w:fill="auto"/>
            <w:noWrap/>
            <w:vAlign w:val="center"/>
            <w:hideMark/>
          </w:tcPr>
          <w:p w14:paraId="7347B9E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11.46</w:t>
            </w:r>
          </w:p>
        </w:tc>
        <w:tc>
          <w:tcPr>
            <w:tcW w:w="648" w:type="pct"/>
            <w:tcBorders>
              <w:top w:val="nil"/>
              <w:left w:val="nil"/>
              <w:bottom w:val="single" w:sz="4" w:space="0" w:color="auto"/>
              <w:right w:val="single" w:sz="4" w:space="0" w:color="auto"/>
            </w:tcBorders>
            <w:shd w:val="clear" w:color="auto" w:fill="auto"/>
            <w:noWrap/>
            <w:vAlign w:val="center"/>
            <w:hideMark/>
          </w:tcPr>
          <w:p w14:paraId="21B30CD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29.75</w:t>
            </w:r>
          </w:p>
        </w:tc>
        <w:tc>
          <w:tcPr>
            <w:tcW w:w="704" w:type="pct"/>
            <w:tcBorders>
              <w:top w:val="nil"/>
              <w:left w:val="nil"/>
              <w:bottom w:val="single" w:sz="4" w:space="0" w:color="auto"/>
              <w:right w:val="single" w:sz="4" w:space="0" w:color="auto"/>
            </w:tcBorders>
            <w:shd w:val="clear" w:color="auto" w:fill="auto"/>
            <w:noWrap/>
            <w:vAlign w:val="center"/>
            <w:hideMark/>
          </w:tcPr>
          <w:p w14:paraId="6D01343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14.33</w:t>
            </w:r>
          </w:p>
        </w:tc>
        <w:tc>
          <w:tcPr>
            <w:tcW w:w="648" w:type="pct"/>
            <w:tcBorders>
              <w:top w:val="nil"/>
              <w:left w:val="nil"/>
              <w:bottom w:val="single" w:sz="4" w:space="0" w:color="auto"/>
              <w:right w:val="single" w:sz="4" w:space="0" w:color="auto"/>
            </w:tcBorders>
            <w:shd w:val="clear" w:color="auto" w:fill="auto"/>
            <w:noWrap/>
            <w:vAlign w:val="center"/>
            <w:hideMark/>
          </w:tcPr>
          <w:p w14:paraId="623C986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74.38</w:t>
            </w:r>
          </w:p>
        </w:tc>
        <w:tc>
          <w:tcPr>
            <w:tcW w:w="704" w:type="pct"/>
            <w:tcBorders>
              <w:top w:val="nil"/>
              <w:left w:val="nil"/>
              <w:bottom w:val="single" w:sz="4" w:space="0" w:color="auto"/>
              <w:right w:val="single" w:sz="4" w:space="0" w:color="auto"/>
            </w:tcBorders>
            <w:shd w:val="clear" w:color="auto" w:fill="auto"/>
            <w:noWrap/>
            <w:vAlign w:val="center"/>
            <w:hideMark/>
          </w:tcPr>
          <w:p w14:paraId="49AF049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17.20</w:t>
            </w:r>
          </w:p>
        </w:tc>
        <w:tc>
          <w:tcPr>
            <w:tcW w:w="648" w:type="pct"/>
            <w:tcBorders>
              <w:top w:val="nil"/>
              <w:left w:val="nil"/>
              <w:bottom w:val="single" w:sz="4" w:space="0" w:color="auto"/>
              <w:right w:val="single" w:sz="4" w:space="0" w:color="auto"/>
            </w:tcBorders>
            <w:shd w:val="clear" w:color="auto" w:fill="auto"/>
            <w:noWrap/>
            <w:vAlign w:val="center"/>
            <w:hideMark/>
          </w:tcPr>
          <w:p w14:paraId="5A4F69D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133.89</w:t>
            </w:r>
          </w:p>
        </w:tc>
      </w:tr>
      <w:tr w:rsidR="00A046DD" w:rsidRPr="00532C20" w14:paraId="500ABAF7"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14F3007D"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Slovenia</w:t>
            </w:r>
          </w:p>
        </w:tc>
        <w:tc>
          <w:tcPr>
            <w:tcW w:w="704" w:type="pct"/>
            <w:tcBorders>
              <w:top w:val="nil"/>
              <w:left w:val="nil"/>
              <w:bottom w:val="single" w:sz="4" w:space="0" w:color="auto"/>
              <w:right w:val="single" w:sz="4" w:space="0" w:color="auto"/>
            </w:tcBorders>
            <w:shd w:val="clear" w:color="auto" w:fill="auto"/>
            <w:noWrap/>
            <w:vAlign w:val="center"/>
            <w:hideMark/>
          </w:tcPr>
          <w:p w14:paraId="49667D9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20.95</w:t>
            </w:r>
          </w:p>
        </w:tc>
        <w:tc>
          <w:tcPr>
            <w:tcW w:w="648" w:type="pct"/>
            <w:tcBorders>
              <w:top w:val="nil"/>
              <w:left w:val="nil"/>
              <w:bottom w:val="single" w:sz="4" w:space="0" w:color="auto"/>
              <w:right w:val="single" w:sz="4" w:space="0" w:color="auto"/>
            </w:tcBorders>
            <w:shd w:val="clear" w:color="auto" w:fill="auto"/>
            <w:noWrap/>
            <w:vAlign w:val="center"/>
            <w:hideMark/>
          </w:tcPr>
          <w:p w14:paraId="7BEC32C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53.82</w:t>
            </w:r>
          </w:p>
        </w:tc>
        <w:tc>
          <w:tcPr>
            <w:tcW w:w="704" w:type="pct"/>
            <w:tcBorders>
              <w:top w:val="nil"/>
              <w:left w:val="nil"/>
              <w:bottom w:val="single" w:sz="4" w:space="0" w:color="auto"/>
              <w:right w:val="single" w:sz="4" w:space="0" w:color="auto"/>
            </w:tcBorders>
            <w:shd w:val="clear" w:color="auto" w:fill="auto"/>
            <w:noWrap/>
            <w:vAlign w:val="center"/>
            <w:hideMark/>
          </w:tcPr>
          <w:p w14:paraId="2F6546A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26.18</w:t>
            </w:r>
          </w:p>
        </w:tc>
        <w:tc>
          <w:tcPr>
            <w:tcW w:w="648" w:type="pct"/>
            <w:tcBorders>
              <w:top w:val="nil"/>
              <w:left w:val="nil"/>
              <w:bottom w:val="single" w:sz="4" w:space="0" w:color="auto"/>
              <w:right w:val="single" w:sz="4" w:space="0" w:color="auto"/>
            </w:tcBorders>
            <w:shd w:val="clear" w:color="auto" w:fill="auto"/>
            <w:noWrap/>
            <w:vAlign w:val="center"/>
            <w:hideMark/>
          </w:tcPr>
          <w:p w14:paraId="5B5525D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134.55</w:t>
            </w:r>
          </w:p>
        </w:tc>
        <w:tc>
          <w:tcPr>
            <w:tcW w:w="704" w:type="pct"/>
            <w:tcBorders>
              <w:top w:val="nil"/>
              <w:left w:val="nil"/>
              <w:bottom w:val="single" w:sz="4" w:space="0" w:color="auto"/>
              <w:right w:val="single" w:sz="4" w:space="0" w:color="auto"/>
            </w:tcBorders>
            <w:shd w:val="clear" w:color="auto" w:fill="auto"/>
            <w:noWrap/>
            <w:vAlign w:val="center"/>
            <w:hideMark/>
          </w:tcPr>
          <w:p w14:paraId="6C99EF3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31.42</w:t>
            </w:r>
          </w:p>
        </w:tc>
        <w:tc>
          <w:tcPr>
            <w:tcW w:w="648" w:type="pct"/>
            <w:tcBorders>
              <w:top w:val="nil"/>
              <w:left w:val="nil"/>
              <w:bottom w:val="single" w:sz="4" w:space="0" w:color="auto"/>
              <w:right w:val="single" w:sz="4" w:space="0" w:color="auto"/>
            </w:tcBorders>
            <w:shd w:val="clear" w:color="auto" w:fill="auto"/>
            <w:noWrap/>
            <w:vAlign w:val="center"/>
            <w:hideMark/>
          </w:tcPr>
          <w:p w14:paraId="687AF4B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242.18</w:t>
            </w:r>
          </w:p>
        </w:tc>
      </w:tr>
      <w:tr w:rsidR="00A046DD" w:rsidRPr="00532C20" w14:paraId="39C801C5"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46B36F32"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Spain</w:t>
            </w:r>
          </w:p>
        </w:tc>
        <w:tc>
          <w:tcPr>
            <w:tcW w:w="704" w:type="pct"/>
            <w:tcBorders>
              <w:top w:val="nil"/>
              <w:left w:val="nil"/>
              <w:bottom w:val="single" w:sz="4" w:space="0" w:color="auto"/>
              <w:right w:val="single" w:sz="4" w:space="0" w:color="auto"/>
            </w:tcBorders>
            <w:shd w:val="clear" w:color="auto" w:fill="auto"/>
            <w:noWrap/>
            <w:vAlign w:val="center"/>
            <w:hideMark/>
          </w:tcPr>
          <w:p w14:paraId="6CBDA65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107.42</w:t>
            </w:r>
          </w:p>
        </w:tc>
        <w:tc>
          <w:tcPr>
            <w:tcW w:w="648" w:type="pct"/>
            <w:tcBorders>
              <w:top w:val="nil"/>
              <w:left w:val="nil"/>
              <w:bottom w:val="single" w:sz="4" w:space="0" w:color="auto"/>
              <w:right w:val="single" w:sz="4" w:space="0" w:color="auto"/>
            </w:tcBorders>
            <w:shd w:val="clear" w:color="auto" w:fill="auto"/>
            <w:noWrap/>
            <w:vAlign w:val="center"/>
            <w:hideMark/>
          </w:tcPr>
          <w:p w14:paraId="42A3DF0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310.10</w:t>
            </w:r>
          </w:p>
        </w:tc>
        <w:tc>
          <w:tcPr>
            <w:tcW w:w="704" w:type="pct"/>
            <w:tcBorders>
              <w:top w:val="nil"/>
              <w:left w:val="nil"/>
              <w:bottom w:val="single" w:sz="4" w:space="0" w:color="auto"/>
              <w:right w:val="single" w:sz="4" w:space="0" w:color="auto"/>
            </w:tcBorders>
            <w:shd w:val="clear" w:color="auto" w:fill="auto"/>
            <w:noWrap/>
            <w:vAlign w:val="center"/>
            <w:hideMark/>
          </w:tcPr>
          <w:p w14:paraId="23B0E87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134.27</w:t>
            </w:r>
          </w:p>
        </w:tc>
        <w:tc>
          <w:tcPr>
            <w:tcW w:w="648" w:type="pct"/>
            <w:tcBorders>
              <w:top w:val="nil"/>
              <w:left w:val="nil"/>
              <w:bottom w:val="single" w:sz="4" w:space="0" w:color="auto"/>
              <w:right w:val="single" w:sz="4" w:space="0" w:color="auto"/>
            </w:tcBorders>
            <w:shd w:val="clear" w:color="auto" w:fill="auto"/>
            <w:noWrap/>
            <w:vAlign w:val="center"/>
            <w:hideMark/>
          </w:tcPr>
          <w:p w14:paraId="54D1EE0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775.26</w:t>
            </w:r>
          </w:p>
        </w:tc>
        <w:tc>
          <w:tcPr>
            <w:tcW w:w="704" w:type="pct"/>
            <w:tcBorders>
              <w:top w:val="nil"/>
              <w:left w:val="nil"/>
              <w:bottom w:val="single" w:sz="4" w:space="0" w:color="auto"/>
              <w:right w:val="single" w:sz="4" w:space="0" w:color="auto"/>
            </w:tcBorders>
            <w:shd w:val="clear" w:color="auto" w:fill="auto"/>
            <w:noWrap/>
            <w:vAlign w:val="center"/>
            <w:hideMark/>
          </w:tcPr>
          <w:p w14:paraId="14A628A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161.13</w:t>
            </w:r>
          </w:p>
        </w:tc>
        <w:tc>
          <w:tcPr>
            <w:tcW w:w="648" w:type="pct"/>
            <w:tcBorders>
              <w:top w:val="nil"/>
              <w:left w:val="nil"/>
              <w:bottom w:val="single" w:sz="4" w:space="0" w:color="auto"/>
              <w:right w:val="single" w:sz="4" w:space="0" w:color="auto"/>
            </w:tcBorders>
            <w:shd w:val="clear" w:color="auto" w:fill="auto"/>
            <w:noWrap/>
            <w:vAlign w:val="center"/>
            <w:hideMark/>
          </w:tcPr>
          <w:p w14:paraId="4571CCB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1,395.47</w:t>
            </w:r>
          </w:p>
        </w:tc>
      </w:tr>
      <w:tr w:rsidR="00A046DD" w:rsidRPr="00532C20" w14:paraId="201CFBC7" w14:textId="77777777">
        <w:trPr>
          <w:trHeight w:val="240"/>
        </w:trPr>
        <w:tc>
          <w:tcPr>
            <w:tcW w:w="943" w:type="pct"/>
            <w:tcBorders>
              <w:top w:val="nil"/>
              <w:left w:val="single" w:sz="4" w:space="0" w:color="auto"/>
              <w:bottom w:val="single" w:sz="4" w:space="0" w:color="auto"/>
              <w:right w:val="single" w:sz="4" w:space="0" w:color="auto"/>
            </w:tcBorders>
            <w:shd w:val="clear" w:color="auto" w:fill="D9D9D9"/>
            <w:noWrap/>
            <w:vAlign w:val="center"/>
            <w:hideMark/>
          </w:tcPr>
          <w:p w14:paraId="48F8A241"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Sweden</w:t>
            </w:r>
          </w:p>
        </w:tc>
        <w:tc>
          <w:tcPr>
            <w:tcW w:w="704" w:type="pct"/>
            <w:tcBorders>
              <w:top w:val="nil"/>
              <w:left w:val="nil"/>
              <w:bottom w:val="single" w:sz="4" w:space="0" w:color="auto"/>
              <w:right w:val="single" w:sz="4" w:space="0" w:color="auto"/>
            </w:tcBorders>
            <w:shd w:val="clear" w:color="auto" w:fill="auto"/>
            <w:noWrap/>
            <w:vAlign w:val="center"/>
            <w:hideMark/>
          </w:tcPr>
          <w:p w14:paraId="0575809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168.74</w:t>
            </w:r>
          </w:p>
        </w:tc>
        <w:tc>
          <w:tcPr>
            <w:tcW w:w="648" w:type="pct"/>
            <w:tcBorders>
              <w:top w:val="nil"/>
              <w:left w:val="nil"/>
              <w:bottom w:val="single" w:sz="4" w:space="0" w:color="auto"/>
              <w:right w:val="single" w:sz="4" w:space="0" w:color="auto"/>
            </w:tcBorders>
            <w:shd w:val="clear" w:color="auto" w:fill="auto"/>
            <w:noWrap/>
            <w:vAlign w:val="center"/>
            <w:hideMark/>
          </w:tcPr>
          <w:p w14:paraId="07D2E6B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459.33</w:t>
            </w:r>
          </w:p>
        </w:tc>
        <w:tc>
          <w:tcPr>
            <w:tcW w:w="704" w:type="pct"/>
            <w:tcBorders>
              <w:top w:val="nil"/>
              <w:left w:val="nil"/>
              <w:bottom w:val="single" w:sz="4" w:space="0" w:color="auto"/>
              <w:right w:val="single" w:sz="4" w:space="0" w:color="auto"/>
            </w:tcBorders>
            <w:shd w:val="clear" w:color="auto" w:fill="auto"/>
            <w:noWrap/>
            <w:vAlign w:val="center"/>
            <w:hideMark/>
          </w:tcPr>
          <w:p w14:paraId="40E8D2D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210.93</w:t>
            </w:r>
          </w:p>
        </w:tc>
        <w:tc>
          <w:tcPr>
            <w:tcW w:w="648" w:type="pct"/>
            <w:tcBorders>
              <w:top w:val="nil"/>
              <w:left w:val="nil"/>
              <w:bottom w:val="single" w:sz="4" w:space="0" w:color="auto"/>
              <w:right w:val="single" w:sz="4" w:space="0" w:color="auto"/>
            </w:tcBorders>
            <w:shd w:val="clear" w:color="auto" w:fill="auto"/>
            <w:noWrap/>
            <w:vAlign w:val="center"/>
            <w:hideMark/>
          </w:tcPr>
          <w:p w14:paraId="3EEE5BD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1,148.33</w:t>
            </w:r>
          </w:p>
        </w:tc>
        <w:tc>
          <w:tcPr>
            <w:tcW w:w="704" w:type="pct"/>
            <w:tcBorders>
              <w:top w:val="nil"/>
              <w:left w:val="nil"/>
              <w:bottom w:val="single" w:sz="4" w:space="0" w:color="auto"/>
              <w:right w:val="single" w:sz="4" w:space="0" w:color="auto"/>
            </w:tcBorders>
            <w:shd w:val="clear" w:color="auto" w:fill="auto"/>
            <w:noWrap/>
            <w:vAlign w:val="center"/>
            <w:hideMark/>
          </w:tcPr>
          <w:p w14:paraId="59458AF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253.11</w:t>
            </w:r>
          </w:p>
        </w:tc>
        <w:tc>
          <w:tcPr>
            <w:tcW w:w="648" w:type="pct"/>
            <w:tcBorders>
              <w:top w:val="nil"/>
              <w:left w:val="nil"/>
              <w:bottom w:val="single" w:sz="4" w:space="0" w:color="auto"/>
              <w:right w:val="single" w:sz="4" w:space="0" w:color="auto"/>
            </w:tcBorders>
            <w:shd w:val="clear" w:color="auto" w:fill="auto"/>
            <w:noWrap/>
            <w:vAlign w:val="center"/>
            <w:hideMark/>
          </w:tcPr>
          <w:p w14:paraId="5BEFF87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2,067.00</w:t>
            </w:r>
          </w:p>
        </w:tc>
      </w:tr>
      <w:tr w:rsidR="00A046DD" w:rsidRPr="00532C20" w14:paraId="09CE75CD" w14:textId="77777777">
        <w:trPr>
          <w:trHeight w:val="240"/>
        </w:trPr>
        <w:tc>
          <w:tcPr>
            <w:tcW w:w="943" w:type="pct"/>
            <w:tcBorders>
              <w:top w:val="nil"/>
              <w:left w:val="single" w:sz="4" w:space="0" w:color="auto"/>
              <w:bottom w:val="single" w:sz="4" w:space="0" w:color="auto"/>
              <w:right w:val="single" w:sz="4" w:space="0" w:color="auto"/>
            </w:tcBorders>
            <w:shd w:val="clear" w:color="000000" w:fill="44546A"/>
            <w:noWrap/>
            <w:vAlign w:val="center"/>
            <w:hideMark/>
          </w:tcPr>
          <w:p w14:paraId="12F3BA64"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EU-27 Total (per ISCO)</w:t>
            </w:r>
          </w:p>
        </w:tc>
        <w:tc>
          <w:tcPr>
            <w:tcW w:w="704" w:type="pct"/>
            <w:tcBorders>
              <w:top w:val="nil"/>
              <w:left w:val="nil"/>
              <w:bottom w:val="single" w:sz="4" w:space="0" w:color="auto"/>
              <w:right w:val="single" w:sz="4" w:space="0" w:color="auto"/>
            </w:tcBorders>
            <w:shd w:val="clear" w:color="auto" w:fill="D9D9D9"/>
            <w:noWrap/>
            <w:vAlign w:val="center"/>
            <w:hideMark/>
          </w:tcPr>
          <w:p w14:paraId="2B42518A"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5,368.09</w:t>
            </w:r>
          </w:p>
        </w:tc>
        <w:tc>
          <w:tcPr>
            <w:tcW w:w="648" w:type="pct"/>
            <w:tcBorders>
              <w:top w:val="nil"/>
              <w:left w:val="nil"/>
              <w:bottom w:val="single" w:sz="4" w:space="0" w:color="auto"/>
              <w:right w:val="single" w:sz="4" w:space="0" w:color="auto"/>
            </w:tcBorders>
            <w:shd w:val="clear" w:color="auto" w:fill="D9D9D9"/>
            <w:noWrap/>
            <w:vAlign w:val="center"/>
            <w:hideMark/>
          </w:tcPr>
          <w:p w14:paraId="2A3EF25A"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14,693.05</w:t>
            </w:r>
          </w:p>
        </w:tc>
        <w:tc>
          <w:tcPr>
            <w:tcW w:w="704" w:type="pct"/>
            <w:tcBorders>
              <w:top w:val="nil"/>
              <w:left w:val="nil"/>
              <w:bottom w:val="single" w:sz="4" w:space="0" w:color="auto"/>
              <w:right w:val="single" w:sz="4" w:space="0" w:color="auto"/>
            </w:tcBorders>
            <w:shd w:val="clear" w:color="auto" w:fill="D9D9D9"/>
            <w:noWrap/>
            <w:vAlign w:val="center"/>
            <w:hideMark/>
          </w:tcPr>
          <w:p w14:paraId="4BE42AA8"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6,710.11</w:t>
            </w:r>
          </w:p>
        </w:tc>
        <w:tc>
          <w:tcPr>
            <w:tcW w:w="648" w:type="pct"/>
            <w:tcBorders>
              <w:top w:val="nil"/>
              <w:left w:val="nil"/>
              <w:bottom w:val="single" w:sz="4" w:space="0" w:color="auto"/>
              <w:right w:val="single" w:sz="4" w:space="0" w:color="auto"/>
            </w:tcBorders>
            <w:shd w:val="clear" w:color="auto" w:fill="D9D9D9"/>
            <w:noWrap/>
            <w:vAlign w:val="center"/>
            <w:hideMark/>
          </w:tcPr>
          <w:p w14:paraId="0B453F35"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36,732.63</w:t>
            </w:r>
          </w:p>
        </w:tc>
        <w:tc>
          <w:tcPr>
            <w:tcW w:w="704" w:type="pct"/>
            <w:tcBorders>
              <w:top w:val="nil"/>
              <w:left w:val="nil"/>
              <w:bottom w:val="single" w:sz="4" w:space="0" w:color="auto"/>
              <w:right w:val="single" w:sz="4" w:space="0" w:color="auto"/>
            </w:tcBorders>
            <w:shd w:val="clear" w:color="auto" w:fill="D9D9D9"/>
            <w:noWrap/>
            <w:vAlign w:val="center"/>
            <w:hideMark/>
          </w:tcPr>
          <w:p w14:paraId="7A96955D"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8,052.13</w:t>
            </w:r>
          </w:p>
        </w:tc>
        <w:tc>
          <w:tcPr>
            <w:tcW w:w="648" w:type="pct"/>
            <w:tcBorders>
              <w:top w:val="nil"/>
              <w:left w:val="nil"/>
              <w:bottom w:val="single" w:sz="4" w:space="0" w:color="auto"/>
              <w:right w:val="single" w:sz="4" w:space="0" w:color="auto"/>
            </w:tcBorders>
            <w:shd w:val="clear" w:color="auto" w:fill="D9D9D9"/>
            <w:noWrap/>
            <w:vAlign w:val="center"/>
            <w:hideMark/>
          </w:tcPr>
          <w:p w14:paraId="7DED0B11"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66,118.74</w:t>
            </w:r>
          </w:p>
        </w:tc>
      </w:tr>
      <w:tr w:rsidR="00A046DD" w:rsidRPr="00532C20" w14:paraId="1071CC1F" w14:textId="77777777">
        <w:trPr>
          <w:trHeight w:val="240"/>
        </w:trPr>
        <w:tc>
          <w:tcPr>
            <w:tcW w:w="943" w:type="pct"/>
            <w:tcBorders>
              <w:top w:val="nil"/>
              <w:left w:val="single" w:sz="4" w:space="0" w:color="auto"/>
              <w:bottom w:val="single" w:sz="4" w:space="0" w:color="auto"/>
              <w:right w:val="single" w:sz="4" w:space="0" w:color="auto"/>
            </w:tcBorders>
            <w:shd w:val="clear" w:color="000000" w:fill="44546A"/>
            <w:noWrap/>
            <w:vAlign w:val="center"/>
            <w:hideMark/>
          </w:tcPr>
          <w:p w14:paraId="5089FF3B"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Total (per year)</w:t>
            </w:r>
          </w:p>
        </w:tc>
        <w:tc>
          <w:tcPr>
            <w:tcW w:w="1352"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59115864"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20,061.14</w:t>
            </w:r>
          </w:p>
        </w:tc>
        <w:tc>
          <w:tcPr>
            <w:tcW w:w="1352"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0978EBFE"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43,442.74</w:t>
            </w:r>
          </w:p>
        </w:tc>
        <w:tc>
          <w:tcPr>
            <w:tcW w:w="1352"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7F0225D1"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74,170.87</w:t>
            </w:r>
          </w:p>
        </w:tc>
      </w:tr>
      <w:tr w:rsidR="00A046DD" w:rsidRPr="00532C20" w14:paraId="7684DE7A" w14:textId="77777777">
        <w:trPr>
          <w:trHeight w:val="240"/>
        </w:trPr>
        <w:tc>
          <w:tcPr>
            <w:tcW w:w="943" w:type="pct"/>
            <w:tcBorders>
              <w:top w:val="nil"/>
              <w:left w:val="single" w:sz="4" w:space="0" w:color="auto"/>
              <w:bottom w:val="single" w:sz="4" w:space="0" w:color="auto"/>
              <w:right w:val="single" w:sz="4" w:space="0" w:color="auto"/>
            </w:tcBorders>
            <w:shd w:val="clear" w:color="000000" w:fill="44546A"/>
            <w:noWrap/>
            <w:vAlign w:val="center"/>
            <w:hideMark/>
          </w:tcPr>
          <w:p w14:paraId="78B08B36"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Total (Years 2-10)</w:t>
            </w:r>
          </w:p>
        </w:tc>
        <w:tc>
          <w:tcPr>
            <w:tcW w:w="1352"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27D9A189"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200,611.41</w:t>
            </w:r>
          </w:p>
        </w:tc>
        <w:tc>
          <w:tcPr>
            <w:tcW w:w="1352"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6316D59E"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434,427.42</w:t>
            </w:r>
          </w:p>
        </w:tc>
        <w:tc>
          <w:tcPr>
            <w:tcW w:w="1352"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7E0DE7DC"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741,708.70</w:t>
            </w:r>
          </w:p>
        </w:tc>
      </w:tr>
    </w:tbl>
    <w:p w14:paraId="6257DC63"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p>
    <w:p w14:paraId="5FAEBBB9" w14:textId="4B2D5792"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15</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Policy option </w:t>
      </w:r>
      <w:r w:rsidR="00D47716" w:rsidRPr="00532C20">
        <w:rPr>
          <w:rFonts w:ascii="Times New Roman" w:eastAsia="Times New Roman" w:hAnsi="Times New Roman" w:cs="Times New Roman"/>
          <w:b/>
          <w:noProof/>
          <w:sz w:val="24"/>
          <w:szCs w:val="24"/>
        </w:rPr>
        <w:t>2.2</w:t>
      </w:r>
      <w:r w:rsidRPr="00532C20">
        <w:rPr>
          <w:rFonts w:ascii="Times New Roman" w:eastAsia="Times New Roman" w:hAnsi="Times New Roman" w:cs="Times New Roman"/>
          <w:b/>
          <w:noProof/>
          <w:sz w:val="24"/>
          <w:szCs w:val="24"/>
        </w:rPr>
        <w:t xml:space="preserve"> – Estimated costs of processing licence applications (Years 2-10, upper bound)</w:t>
      </w:r>
    </w:p>
    <w:tbl>
      <w:tblPr>
        <w:tblW w:w="5000" w:type="pct"/>
        <w:tblLook w:val="04A0" w:firstRow="1" w:lastRow="0" w:firstColumn="1" w:lastColumn="0" w:noHBand="0" w:noVBand="1"/>
      </w:tblPr>
      <w:tblGrid>
        <w:gridCol w:w="1687"/>
        <w:gridCol w:w="1271"/>
        <w:gridCol w:w="1172"/>
        <w:gridCol w:w="1271"/>
        <w:gridCol w:w="1172"/>
        <w:gridCol w:w="1271"/>
        <w:gridCol w:w="1172"/>
      </w:tblGrid>
      <w:tr w:rsidR="00A046DD" w:rsidRPr="00532C20" w14:paraId="5A9CD0DC" w14:textId="77777777">
        <w:trPr>
          <w:trHeight w:val="240"/>
          <w:tblHeader/>
        </w:trPr>
        <w:tc>
          <w:tcPr>
            <w:tcW w:w="941"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D64886A"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Years 2-10 - Upper bound</w:t>
            </w:r>
          </w:p>
        </w:tc>
        <w:tc>
          <w:tcPr>
            <w:tcW w:w="1353" w:type="pct"/>
            <w:gridSpan w:val="2"/>
            <w:tcBorders>
              <w:top w:val="single" w:sz="4" w:space="0" w:color="auto"/>
              <w:left w:val="nil"/>
              <w:bottom w:val="single" w:sz="4" w:space="0" w:color="auto"/>
              <w:right w:val="single" w:sz="4" w:space="0" w:color="auto"/>
            </w:tcBorders>
            <w:shd w:val="clear" w:color="000000" w:fill="002060"/>
            <w:noWrap/>
            <w:vAlign w:val="center"/>
            <w:hideMark/>
          </w:tcPr>
          <w:p w14:paraId="24D22D0A"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Low scenario (number of entities)</w:t>
            </w:r>
          </w:p>
        </w:tc>
        <w:tc>
          <w:tcPr>
            <w:tcW w:w="1353" w:type="pct"/>
            <w:gridSpan w:val="2"/>
            <w:tcBorders>
              <w:top w:val="single" w:sz="4" w:space="0" w:color="auto"/>
              <w:left w:val="nil"/>
              <w:bottom w:val="single" w:sz="4" w:space="0" w:color="auto"/>
              <w:right w:val="single" w:sz="4" w:space="0" w:color="auto"/>
            </w:tcBorders>
            <w:shd w:val="clear" w:color="000000" w:fill="002060"/>
            <w:noWrap/>
            <w:vAlign w:val="center"/>
            <w:hideMark/>
          </w:tcPr>
          <w:p w14:paraId="2E16AD01"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Middle scenario (number of entities)</w:t>
            </w:r>
          </w:p>
        </w:tc>
        <w:tc>
          <w:tcPr>
            <w:tcW w:w="1353" w:type="pct"/>
            <w:gridSpan w:val="2"/>
            <w:tcBorders>
              <w:top w:val="single" w:sz="4" w:space="0" w:color="auto"/>
              <w:left w:val="nil"/>
              <w:bottom w:val="single" w:sz="4" w:space="0" w:color="auto"/>
              <w:right w:val="single" w:sz="4" w:space="0" w:color="auto"/>
            </w:tcBorders>
            <w:shd w:val="clear" w:color="000000" w:fill="002060"/>
            <w:noWrap/>
            <w:vAlign w:val="center"/>
            <w:hideMark/>
          </w:tcPr>
          <w:p w14:paraId="36F7C712"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High scenario (number of entities)</w:t>
            </w:r>
          </w:p>
        </w:tc>
      </w:tr>
      <w:tr w:rsidR="00A046DD" w:rsidRPr="00532C20" w14:paraId="188EF805" w14:textId="77777777">
        <w:trPr>
          <w:trHeight w:val="240"/>
          <w:tblHeader/>
        </w:trPr>
        <w:tc>
          <w:tcPr>
            <w:tcW w:w="941" w:type="pct"/>
            <w:tcBorders>
              <w:top w:val="nil"/>
              <w:left w:val="single" w:sz="4" w:space="0" w:color="auto"/>
              <w:bottom w:val="single" w:sz="4" w:space="0" w:color="auto"/>
              <w:right w:val="single" w:sz="4" w:space="0" w:color="auto"/>
            </w:tcBorders>
            <w:shd w:val="clear" w:color="000000" w:fill="44546A"/>
            <w:noWrap/>
            <w:vAlign w:val="center"/>
            <w:hideMark/>
          </w:tcPr>
          <w:p w14:paraId="4D056129"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Country</w:t>
            </w:r>
          </w:p>
        </w:tc>
        <w:tc>
          <w:tcPr>
            <w:tcW w:w="705" w:type="pct"/>
            <w:tcBorders>
              <w:top w:val="nil"/>
              <w:left w:val="nil"/>
              <w:bottom w:val="single" w:sz="4" w:space="0" w:color="auto"/>
              <w:right w:val="single" w:sz="4" w:space="0" w:color="auto"/>
            </w:tcBorders>
            <w:shd w:val="clear" w:color="000000" w:fill="44546A"/>
            <w:noWrap/>
            <w:vAlign w:val="center"/>
            <w:hideMark/>
          </w:tcPr>
          <w:p w14:paraId="626D488B"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0.5 hours - ISCO 1</w:t>
            </w:r>
          </w:p>
        </w:tc>
        <w:tc>
          <w:tcPr>
            <w:tcW w:w="648" w:type="pct"/>
            <w:tcBorders>
              <w:top w:val="nil"/>
              <w:left w:val="nil"/>
              <w:bottom w:val="single" w:sz="4" w:space="0" w:color="auto"/>
              <w:right w:val="single" w:sz="4" w:space="0" w:color="auto"/>
            </w:tcBorders>
            <w:shd w:val="clear" w:color="000000" w:fill="44546A"/>
            <w:noWrap/>
            <w:vAlign w:val="center"/>
            <w:hideMark/>
          </w:tcPr>
          <w:p w14:paraId="1584F6DB"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2 hours - ISCO 2</w:t>
            </w:r>
          </w:p>
        </w:tc>
        <w:tc>
          <w:tcPr>
            <w:tcW w:w="705" w:type="pct"/>
            <w:tcBorders>
              <w:top w:val="nil"/>
              <w:left w:val="nil"/>
              <w:bottom w:val="single" w:sz="4" w:space="0" w:color="auto"/>
              <w:right w:val="single" w:sz="4" w:space="0" w:color="auto"/>
            </w:tcBorders>
            <w:shd w:val="clear" w:color="000000" w:fill="44546A"/>
            <w:noWrap/>
            <w:vAlign w:val="center"/>
            <w:hideMark/>
          </w:tcPr>
          <w:p w14:paraId="28FEFACA"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0.5 hours - ISCO 1</w:t>
            </w:r>
          </w:p>
        </w:tc>
        <w:tc>
          <w:tcPr>
            <w:tcW w:w="648" w:type="pct"/>
            <w:tcBorders>
              <w:top w:val="nil"/>
              <w:left w:val="nil"/>
              <w:bottom w:val="single" w:sz="4" w:space="0" w:color="auto"/>
              <w:right w:val="single" w:sz="4" w:space="0" w:color="auto"/>
            </w:tcBorders>
            <w:shd w:val="clear" w:color="000000" w:fill="44546A"/>
            <w:noWrap/>
            <w:vAlign w:val="center"/>
            <w:hideMark/>
          </w:tcPr>
          <w:p w14:paraId="58E7D8F2"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4 hours - ISCO 2</w:t>
            </w:r>
          </w:p>
        </w:tc>
        <w:tc>
          <w:tcPr>
            <w:tcW w:w="705" w:type="pct"/>
            <w:tcBorders>
              <w:top w:val="nil"/>
              <w:left w:val="nil"/>
              <w:bottom w:val="single" w:sz="4" w:space="0" w:color="auto"/>
              <w:right w:val="single" w:sz="4" w:space="0" w:color="auto"/>
            </w:tcBorders>
            <w:shd w:val="clear" w:color="000000" w:fill="44546A"/>
            <w:noWrap/>
            <w:vAlign w:val="center"/>
            <w:hideMark/>
          </w:tcPr>
          <w:p w14:paraId="517A9348"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0.5 hours - ISCO 1</w:t>
            </w:r>
          </w:p>
        </w:tc>
        <w:tc>
          <w:tcPr>
            <w:tcW w:w="648" w:type="pct"/>
            <w:tcBorders>
              <w:top w:val="nil"/>
              <w:left w:val="nil"/>
              <w:bottom w:val="single" w:sz="4" w:space="0" w:color="auto"/>
              <w:right w:val="single" w:sz="4" w:space="0" w:color="auto"/>
            </w:tcBorders>
            <w:shd w:val="clear" w:color="000000" w:fill="44546A"/>
            <w:noWrap/>
            <w:vAlign w:val="center"/>
            <w:hideMark/>
          </w:tcPr>
          <w:p w14:paraId="6671030D"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6 hours - ISCO 2</w:t>
            </w:r>
          </w:p>
        </w:tc>
      </w:tr>
      <w:tr w:rsidR="00A046DD" w:rsidRPr="00532C20" w14:paraId="6653BA8E"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3FCD99AE"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Austria</w:t>
            </w:r>
          </w:p>
        </w:tc>
        <w:tc>
          <w:tcPr>
            <w:tcW w:w="705" w:type="pct"/>
            <w:tcBorders>
              <w:top w:val="nil"/>
              <w:left w:val="nil"/>
              <w:bottom w:val="single" w:sz="4" w:space="0" w:color="auto"/>
              <w:right w:val="single" w:sz="4" w:space="0" w:color="auto"/>
            </w:tcBorders>
            <w:shd w:val="clear" w:color="auto" w:fill="auto"/>
            <w:noWrap/>
            <w:vAlign w:val="center"/>
            <w:hideMark/>
          </w:tcPr>
          <w:p w14:paraId="4D8D751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361.31</w:t>
            </w:r>
          </w:p>
        </w:tc>
        <w:tc>
          <w:tcPr>
            <w:tcW w:w="648" w:type="pct"/>
            <w:tcBorders>
              <w:top w:val="nil"/>
              <w:left w:val="nil"/>
              <w:bottom w:val="single" w:sz="4" w:space="0" w:color="auto"/>
              <w:right w:val="single" w:sz="4" w:space="0" w:color="auto"/>
            </w:tcBorders>
            <w:shd w:val="clear" w:color="auto" w:fill="auto"/>
            <w:noWrap/>
            <w:vAlign w:val="center"/>
            <w:hideMark/>
          </w:tcPr>
          <w:p w14:paraId="46D1B4C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979.83</w:t>
            </w:r>
          </w:p>
        </w:tc>
        <w:tc>
          <w:tcPr>
            <w:tcW w:w="705" w:type="pct"/>
            <w:tcBorders>
              <w:top w:val="nil"/>
              <w:left w:val="nil"/>
              <w:bottom w:val="single" w:sz="4" w:space="0" w:color="auto"/>
              <w:right w:val="single" w:sz="4" w:space="0" w:color="auto"/>
            </w:tcBorders>
            <w:shd w:val="clear" w:color="auto" w:fill="auto"/>
            <w:noWrap/>
            <w:vAlign w:val="center"/>
            <w:hideMark/>
          </w:tcPr>
          <w:p w14:paraId="7610B2F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451.64</w:t>
            </w:r>
          </w:p>
        </w:tc>
        <w:tc>
          <w:tcPr>
            <w:tcW w:w="648" w:type="pct"/>
            <w:tcBorders>
              <w:top w:val="nil"/>
              <w:left w:val="nil"/>
              <w:bottom w:val="single" w:sz="4" w:space="0" w:color="auto"/>
              <w:right w:val="single" w:sz="4" w:space="0" w:color="auto"/>
            </w:tcBorders>
            <w:shd w:val="clear" w:color="auto" w:fill="auto"/>
            <w:noWrap/>
            <w:vAlign w:val="center"/>
            <w:hideMark/>
          </w:tcPr>
          <w:p w14:paraId="79AFBAC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2,449.57</w:t>
            </w:r>
          </w:p>
        </w:tc>
        <w:tc>
          <w:tcPr>
            <w:tcW w:w="705" w:type="pct"/>
            <w:tcBorders>
              <w:top w:val="nil"/>
              <w:left w:val="nil"/>
              <w:bottom w:val="single" w:sz="4" w:space="0" w:color="auto"/>
              <w:right w:val="single" w:sz="4" w:space="0" w:color="auto"/>
            </w:tcBorders>
            <w:shd w:val="clear" w:color="auto" w:fill="auto"/>
            <w:noWrap/>
            <w:vAlign w:val="center"/>
            <w:hideMark/>
          </w:tcPr>
          <w:p w14:paraId="659D2B8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541.97</w:t>
            </w:r>
          </w:p>
        </w:tc>
        <w:tc>
          <w:tcPr>
            <w:tcW w:w="648" w:type="pct"/>
            <w:tcBorders>
              <w:top w:val="nil"/>
              <w:left w:val="nil"/>
              <w:bottom w:val="single" w:sz="4" w:space="0" w:color="auto"/>
              <w:right w:val="single" w:sz="4" w:space="0" w:color="auto"/>
            </w:tcBorders>
            <w:shd w:val="clear" w:color="auto" w:fill="auto"/>
            <w:noWrap/>
            <w:vAlign w:val="center"/>
            <w:hideMark/>
          </w:tcPr>
          <w:p w14:paraId="599C902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4,409.22</w:t>
            </w:r>
          </w:p>
        </w:tc>
      </w:tr>
      <w:tr w:rsidR="00A046DD" w:rsidRPr="00532C20" w14:paraId="2F0D56FA"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3528B9DF"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Belgium</w:t>
            </w:r>
          </w:p>
        </w:tc>
        <w:tc>
          <w:tcPr>
            <w:tcW w:w="705" w:type="pct"/>
            <w:tcBorders>
              <w:top w:val="nil"/>
              <w:left w:val="nil"/>
              <w:bottom w:val="single" w:sz="4" w:space="0" w:color="auto"/>
              <w:right w:val="single" w:sz="4" w:space="0" w:color="auto"/>
            </w:tcBorders>
            <w:shd w:val="clear" w:color="auto" w:fill="auto"/>
            <w:noWrap/>
            <w:vAlign w:val="center"/>
            <w:hideMark/>
          </w:tcPr>
          <w:p w14:paraId="766F632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373.04</w:t>
            </w:r>
          </w:p>
        </w:tc>
        <w:tc>
          <w:tcPr>
            <w:tcW w:w="648" w:type="pct"/>
            <w:tcBorders>
              <w:top w:val="nil"/>
              <w:left w:val="nil"/>
              <w:bottom w:val="single" w:sz="4" w:space="0" w:color="auto"/>
              <w:right w:val="single" w:sz="4" w:space="0" w:color="auto"/>
            </w:tcBorders>
            <w:shd w:val="clear" w:color="auto" w:fill="auto"/>
            <w:noWrap/>
            <w:vAlign w:val="center"/>
            <w:hideMark/>
          </w:tcPr>
          <w:p w14:paraId="2A3B790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1,163.12</w:t>
            </w:r>
          </w:p>
        </w:tc>
        <w:tc>
          <w:tcPr>
            <w:tcW w:w="705" w:type="pct"/>
            <w:tcBorders>
              <w:top w:val="nil"/>
              <w:left w:val="nil"/>
              <w:bottom w:val="single" w:sz="4" w:space="0" w:color="auto"/>
              <w:right w:val="single" w:sz="4" w:space="0" w:color="auto"/>
            </w:tcBorders>
            <w:shd w:val="clear" w:color="auto" w:fill="auto"/>
            <w:noWrap/>
            <w:vAlign w:val="center"/>
            <w:hideMark/>
          </w:tcPr>
          <w:p w14:paraId="469FD63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466.30</w:t>
            </w:r>
          </w:p>
        </w:tc>
        <w:tc>
          <w:tcPr>
            <w:tcW w:w="648" w:type="pct"/>
            <w:tcBorders>
              <w:top w:val="nil"/>
              <w:left w:val="nil"/>
              <w:bottom w:val="single" w:sz="4" w:space="0" w:color="auto"/>
              <w:right w:val="single" w:sz="4" w:space="0" w:color="auto"/>
            </w:tcBorders>
            <w:shd w:val="clear" w:color="auto" w:fill="auto"/>
            <w:noWrap/>
            <w:vAlign w:val="center"/>
            <w:hideMark/>
          </w:tcPr>
          <w:p w14:paraId="7CEADF4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2,907.80</w:t>
            </w:r>
          </w:p>
        </w:tc>
        <w:tc>
          <w:tcPr>
            <w:tcW w:w="705" w:type="pct"/>
            <w:tcBorders>
              <w:top w:val="nil"/>
              <w:left w:val="nil"/>
              <w:bottom w:val="single" w:sz="4" w:space="0" w:color="auto"/>
              <w:right w:val="single" w:sz="4" w:space="0" w:color="auto"/>
            </w:tcBorders>
            <w:shd w:val="clear" w:color="auto" w:fill="auto"/>
            <w:noWrap/>
            <w:vAlign w:val="center"/>
            <w:hideMark/>
          </w:tcPr>
          <w:p w14:paraId="598500C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559.56</w:t>
            </w:r>
          </w:p>
        </w:tc>
        <w:tc>
          <w:tcPr>
            <w:tcW w:w="648" w:type="pct"/>
            <w:tcBorders>
              <w:top w:val="nil"/>
              <w:left w:val="nil"/>
              <w:bottom w:val="single" w:sz="4" w:space="0" w:color="auto"/>
              <w:right w:val="single" w:sz="4" w:space="0" w:color="auto"/>
            </w:tcBorders>
            <w:shd w:val="clear" w:color="auto" w:fill="auto"/>
            <w:noWrap/>
            <w:vAlign w:val="center"/>
            <w:hideMark/>
          </w:tcPr>
          <w:p w14:paraId="5E7AFB7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5,234.04</w:t>
            </w:r>
          </w:p>
        </w:tc>
      </w:tr>
      <w:tr w:rsidR="00A046DD" w:rsidRPr="00532C20" w14:paraId="73649226"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2DCE7363"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Bulgaria</w:t>
            </w:r>
          </w:p>
        </w:tc>
        <w:tc>
          <w:tcPr>
            <w:tcW w:w="705" w:type="pct"/>
            <w:tcBorders>
              <w:top w:val="nil"/>
              <w:left w:val="nil"/>
              <w:bottom w:val="single" w:sz="4" w:space="0" w:color="auto"/>
              <w:right w:val="single" w:sz="4" w:space="0" w:color="auto"/>
            </w:tcBorders>
            <w:shd w:val="clear" w:color="auto" w:fill="auto"/>
            <w:noWrap/>
            <w:vAlign w:val="center"/>
            <w:hideMark/>
          </w:tcPr>
          <w:p w14:paraId="642D6A2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7.87</w:t>
            </w:r>
          </w:p>
        </w:tc>
        <w:tc>
          <w:tcPr>
            <w:tcW w:w="648" w:type="pct"/>
            <w:tcBorders>
              <w:top w:val="nil"/>
              <w:left w:val="nil"/>
              <w:bottom w:val="single" w:sz="4" w:space="0" w:color="auto"/>
              <w:right w:val="single" w:sz="4" w:space="0" w:color="auto"/>
            </w:tcBorders>
            <w:shd w:val="clear" w:color="auto" w:fill="auto"/>
            <w:noWrap/>
            <w:vAlign w:val="center"/>
            <w:hideMark/>
          </w:tcPr>
          <w:p w14:paraId="3D4DC45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20.20</w:t>
            </w:r>
          </w:p>
        </w:tc>
        <w:tc>
          <w:tcPr>
            <w:tcW w:w="705" w:type="pct"/>
            <w:tcBorders>
              <w:top w:val="nil"/>
              <w:left w:val="nil"/>
              <w:bottom w:val="single" w:sz="4" w:space="0" w:color="auto"/>
              <w:right w:val="single" w:sz="4" w:space="0" w:color="auto"/>
            </w:tcBorders>
            <w:shd w:val="clear" w:color="auto" w:fill="auto"/>
            <w:noWrap/>
            <w:vAlign w:val="center"/>
            <w:hideMark/>
          </w:tcPr>
          <w:p w14:paraId="6B73031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9.83</w:t>
            </w:r>
          </w:p>
        </w:tc>
        <w:tc>
          <w:tcPr>
            <w:tcW w:w="648" w:type="pct"/>
            <w:tcBorders>
              <w:top w:val="nil"/>
              <w:left w:val="nil"/>
              <w:bottom w:val="single" w:sz="4" w:space="0" w:color="auto"/>
              <w:right w:val="single" w:sz="4" w:space="0" w:color="auto"/>
            </w:tcBorders>
            <w:shd w:val="clear" w:color="auto" w:fill="auto"/>
            <w:noWrap/>
            <w:vAlign w:val="center"/>
            <w:hideMark/>
          </w:tcPr>
          <w:p w14:paraId="364A8B5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50.50</w:t>
            </w:r>
          </w:p>
        </w:tc>
        <w:tc>
          <w:tcPr>
            <w:tcW w:w="705" w:type="pct"/>
            <w:tcBorders>
              <w:top w:val="nil"/>
              <w:left w:val="nil"/>
              <w:bottom w:val="single" w:sz="4" w:space="0" w:color="auto"/>
              <w:right w:val="single" w:sz="4" w:space="0" w:color="auto"/>
            </w:tcBorders>
            <w:shd w:val="clear" w:color="auto" w:fill="auto"/>
            <w:noWrap/>
            <w:vAlign w:val="center"/>
            <w:hideMark/>
          </w:tcPr>
          <w:p w14:paraId="64D1019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11.80</w:t>
            </w:r>
          </w:p>
        </w:tc>
        <w:tc>
          <w:tcPr>
            <w:tcW w:w="648" w:type="pct"/>
            <w:tcBorders>
              <w:top w:val="nil"/>
              <w:left w:val="nil"/>
              <w:bottom w:val="single" w:sz="4" w:space="0" w:color="auto"/>
              <w:right w:val="single" w:sz="4" w:space="0" w:color="auto"/>
            </w:tcBorders>
            <w:shd w:val="clear" w:color="auto" w:fill="auto"/>
            <w:noWrap/>
            <w:vAlign w:val="center"/>
            <w:hideMark/>
          </w:tcPr>
          <w:p w14:paraId="4136EE6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90.90</w:t>
            </w:r>
          </w:p>
        </w:tc>
      </w:tr>
      <w:tr w:rsidR="00A046DD" w:rsidRPr="00532C20" w14:paraId="0404B108"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7447A680"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Croatia</w:t>
            </w:r>
          </w:p>
        </w:tc>
        <w:tc>
          <w:tcPr>
            <w:tcW w:w="705" w:type="pct"/>
            <w:tcBorders>
              <w:top w:val="nil"/>
              <w:left w:val="nil"/>
              <w:bottom w:val="single" w:sz="4" w:space="0" w:color="auto"/>
              <w:right w:val="single" w:sz="4" w:space="0" w:color="auto"/>
            </w:tcBorders>
            <w:shd w:val="clear" w:color="auto" w:fill="auto"/>
            <w:noWrap/>
            <w:vAlign w:val="center"/>
            <w:hideMark/>
          </w:tcPr>
          <w:p w14:paraId="7BCB6F8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25.46</w:t>
            </w:r>
          </w:p>
        </w:tc>
        <w:tc>
          <w:tcPr>
            <w:tcW w:w="648" w:type="pct"/>
            <w:tcBorders>
              <w:top w:val="nil"/>
              <w:left w:val="nil"/>
              <w:bottom w:val="single" w:sz="4" w:space="0" w:color="auto"/>
              <w:right w:val="single" w:sz="4" w:space="0" w:color="auto"/>
            </w:tcBorders>
            <w:shd w:val="clear" w:color="auto" w:fill="auto"/>
            <w:noWrap/>
            <w:vAlign w:val="center"/>
            <w:hideMark/>
          </w:tcPr>
          <w:p w14:paraId="4681EDE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75.69</w:t>
            </w:r>
          </w:p>
        </w:tc>
        <w:tc>
          <w:tcPr>
            <w:tcW w:w="705" w:type="pct"/>
            <w:tcBorders>
              <w:top w:val="nil"/>
              <w:left w:val="nil"/>
              <w:bottom w:val="single" w:sz="4" w:space="0" w:color="auto"/>
              <w:right w:val="single" w:sz="4" w:space="0" w:color="auto"/>
            </w:tcBorders>
            <w:shd w:val="clear" w:color="auto" w:fill="auto"/>
            <w:noWrap/>
            <w:vAlign w:val="center"/>
            <w:hideMark/>
          </w:tcPr>
          <w:p w14:paraId="01906D6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31.83</w:t>
            </w:r>
          </w:p>
        </w:tc>
        <w:tc>
          <w:tcPr>
            <w:tcW w:w="648" w:type="pct"/>
            <w:tcBorders>
              <w:top w:val="nil"/>
              <w:left w:val="nil"/>
              <w:bottom w:val="single" w:sz="4" w:space="0" w:color="auto"/>
              <w:right w:val="single" w:sz="4" w:space="0" w:color="auto"/>
            </w:tcBorders>
            <w:shd w:val="clear" w:color="auto" w:fill="auto"/>
            <w:noWrap/>
            <w:vAlign w:val="center"/>
            <w:hideMark/>
          </w:tcPr>
          <w:p w14:paraId="1CC1713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189.24</w:t>
            </w:r>
          </w:p>
        </w:tc>
        <w:tc>
          <w:tcPr>
            <w:tcW w:w="705" w:type="pct"/>
            <w:tcBorders>
              <w:top w:val="nil"/>
              <w:left w:val="nil"/>
              <w:bottom w:val="single" w:sz="4" w:space="0" w:color="auto"/>
              <w:right w:val="single" w:sz="4" w:space="0" w:color="auto"/>
            </w:tcBorders>
            <w:shd w:val="clear" w:color="auto" w:fill="auto"/>
            <w:noWrap/>
            <w:vAlign w:val="center"/>
            <w:hideMark/>
          </w:tcPr>
          <w:p w14:paraId="442032C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38.20</w:t>
            </w:r>
          </w:p>
        </w:tc>
        <w:tc>
          <w:tcPr>
            <w:tcW w:w="648" w:type="pct"/>
            <w:tcBorders>
              <w:top w:val="nil"/>
              <w:left w:val="nil"/>
              <w:bottom w:val="single" w:sz="4" w:space="0" w:color="auto"/>
              <w:right w:val="single" w:sz="4" w:space="0" w:color="auto"/>
            </w:tcBorders>
            <w:shd w:val="clear" w:color="auto" w:fill="auto"/>
            <w:noWrap/>
            <w:vAlign w:val="center"/>
            <w:hideMark/>
          </w:tcPr>
          <w:p w14:paraId="2249CB3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340.63</w:t>
            </w:r>
          </w:p>
        </w:tc>
      </w:tr>
      <w:tr w:rsidR="00A046DD" w:rsidRPr="00532C20" w14:paraId="591E6135"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4308230C"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Cyprus</w:t>
            </w:r>
          </w:p>
        </w:tc>
        <w:tc>
          <w:tcPr>
            <w:tcW w:w="705" w:type="pct"/>
            <w:tcBorders>
              <w:top w:val="nil"/>
              <w:left w:val="nil"/>
              <w:bottom w:val="single" w:sz="4" w:space="0" w:color="auto"/>
              <w:right w:val="single" w:sz="4" w:space="0" w:color="auto"/>
            </w:tcBorders>
            <w:shd w:val="clear" w:color="auto" w:fill="auto"/>
            <w:noWrap/>
            <w:vAlign w:val="center"/>
            <w:hideMark/>
          </w:tcPr>
          <w:p w14:paraId="2A35647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15.45</w:t>
            </w:r>
          </w:p>
        </w:tc>
        <w:tc>
          <w:tcPr>
            <w:tcW w:w="648" w:type="pct"/>
            <w:tcBorders>
              <w:top w:val="nil"/>
              <w:left w:val="nil"/>
              <w:bottom w:val="single" w:sz="4" w:space="0" w:color="auto"/>
              <w:right w:val="single" w:sz="4" w:space="0" w:color="auto"/>
            </w:tcBorders>
            <w:shd w:val="clear" w:color="auto" w:fill="auto"/>
            <w:noWrap/>
            <w:vAlign w:val="center"/>
            <w:hideMark/>
          </w:tcPr>
          <w:p w14:paraId="5D5C12A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33.13</w:t>
            </w:r>
          </w:p>
        </w:tc>
        <w:tc>
          <w:tcPr>
            <w:tcW w:w="705" w:type="pct"/>
            <w:tcBorders>
              <w:top w:val="nil"/>
              <w:left w:val="nil"/>
              <w:bottom w:val="single" w:sz="4" w:space="0" w:color="auto"/>
              <w:right w:val="single" w:sz="4" w:space="0" w:color="auto"/>
            </w:tcBorders>
            <w:shd w:val="clear" w:color="auto" w:fill="auto"/>
            <w:noWrap/>
            <w:vAlign w:val="center"/>
            <w:hideMark/>
          </w:tcPr>
          <w:p w14:paraId="3044805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19.31</w:t>
            </w:r>
          </w:p>
        </w:tc>
        <w:tc>
          <w:tcPr>
            <w:tcW w:w="648" w:type="pct"/>
            <w:tcBorders>
              <w:top w:val="nil"/>
              <w:left w:val="nil"/>
              <w:bottom w:val="single" w:sz="4" w:space="0" w:color="auto"/>
              <w:right w:val="single" w:sz="4" w:space="0" w:color="auto"/>
            </w:tcBorders>
            <w:shd w:val="clear" w:color="auto" w:fill="auto"/>
            <w:noWrap/>
            <w:vAlign w:val="center"/>
            <w:hideMark/>
          </w:tcPr>
          <w:p w14:paraId="4EFB494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82.82</w:t>
            </w:r>
          </w:p>
        </w:tc>
        <w:tc>
          <w:tcPr>
            <w:tcW w:w="705" w:type="pct"/>
            <w:tcBorders>
              <w:top w:val="nil"/>
              <w:left w:val="nil"/>
              <w:bottom w:val="single" w:sz="4" w:space="0" w:color="auto"/>
              <w:right w:val="single" w:sz="4" w:space="0" w:color="auto"/>
            </w:tcBorders>
            <w:shd w:val="clear" w:color="auto" w:fill="auto"/>
            <w:noWrap/>
            <w:vAlign w:val="center"/>
            <w:hideMark/>
          </w:tcPr>
          <w:p w14:paraId="1936852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23.17</w:t>
            </w:r>
          </w:p>
        </w:tc>
        <w:tc>
          <w:tcPr>
            <w:tcW w:w="648" w:type="pct"/>
            <w:tcBorders>
              <w:top w:val="nil"/>
              <w:left w:val="nil"/>
              <w:bottom w:val="single" w:sz="4" w:space="0" w:color="auto"/>
              <w:right w:val="single" w:sz="4" w:space="0" w:color="auto"/>
            </w:tcBorders>
            <w:shd w:val="clear" w:color="auto" w:fill="auto"/>
            <w:noWrap/>
            <w:vAlign w:val="center"/>
            <w:hideMark/>
          </w:tcPr>
          <w:p w14:paraId="5B9E0B2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149.07</w:t>
            </w:r>
          </w:p>
        </w:tc>
      </w:tr>
      <w:tr w:rsidR="00A046DD" w:rsidRPr="00532C20" w14:paraId="3B3231E3"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7D841521"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Czechia</w:t>
            </w:r>
          </w:p>
        </w:tc>
        <w:tc>
          <w:tcPr>
            <w:tcW w:w="705" w:type="pct"/>
            <w:tcBorders>
              <w:top w:val="nil"/>
              <w:left w:val="nil"/>
              <w:bottom w:val="single" w:sz="4" w:space="0" w:color="auto"/>
              <w:right w:val="single" w:sz="4" w:space="0" w:color="auto"/>
            </w:tcBorders>
            <w:shd w:val="clear" w:color="auto" w:fill="auto"/>
            <w:noWrap/>
            <w:vAlign w:val="center"/>
            <w:hideMark/>
          </w:tcPr>
          <w:p w14:paraId="4F2B7BE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121.29</w:t>
            </w:r>
          </w:p>
        </w:tc>
        <w:tc>
          <w:tcPr>
            <w:tcW w:w="648" w:type="pct"/>
            <w:tcBorders>
              <w:top w:val="nil"/>
              <w:left w:val="nil"/>
              <w:bottom w:val="single" w:sz="4" w:space="0" w:color="auto"/>
              <w:right w:val="single" w:sz="4" w:space="0" w:color="auto"/>
            </w:tcBorders>
            <w:shd w:val="clear" w:color="auto" w:fill="auto"/>
            <w:noWrap/>
            <w:vAlign w:val="center"/>
            <w:hideMark/>
          </w:tcPr>
          <w:p w14:paraId="523C98B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321.93</w:t>
            </w:r>
          </w:p>
        </w:tc>
        <w:tc>
          <w:tcPr>
            <w:tcW w:w="705" w:type="pct"/>
            <w:tcBorders>
              <w:top w:val="nil"/>
              <w:left w:val="nil"/>
              <w:bottom w:val="single" w:sz="4" w:space="0" w:color="auto"/>
              <w:right w:val="single" w:sz="4" w:space="0" w:color="auto"/>
            </w:tcBorders>
            <w:shd w:val="clear" w:color="auto" w:fill="auto"/>
            <w:noWrap/>
            <w:vAlign w:val="center"/>
            <w:hideMark/>
          </w:tcPr>
          <w:p w14:paraId="79BAA75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151.61</w:t>
            </w:r>
          </w:p>
        </w:tc>
        <w:tc>
          <w:tcPr>
            <w:tcW w:w="648" w:type="pct"/>
            <w:tcBorders>
              <w:top w:val="nil"/>
              <w:left w:val="nil"/>
              <w:bottom w:val="single" w:sz="4" w:space="0" w:color="auto"/>
              <w:right w:val="single" w:sz="4" w:space="0" w:color="auto"/>
            </w:tcBorders>
            <w:shd w:val="clear" w:color="auto" w:fill="auto"/>
            <w:noWrap/>
            <w:vAlign w:val="center"/>
            <w:hideMark/>
          </w:tcPr>
          <w:p w14:paraId="08B2F48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804.82</w:t>
            </w:r>
          </w:p>
        </w:tc>
        <w:tc>
          <w:tcPr>
            <w:tcW w:w="705" w:type="pct"/>
            <w:tcBorders>
              <w:top w:val="nil"/>
              <w:left w:val="nil"/>
              <w:bottom w:val="single" w:sz="4" w:space="0" w:color="auto"/>
              <w:right w:val="single" w:sz="4" w:space="0" w:color="auto"/>
            </w:tcBorders>
            <w:shd w:val="clear" w:color="auto" w:fill="auto"/>
            <w:noWrap/>
            <w:vAlign w:val="center"/>
            <w:hideMark/>
          </w:tcPr>
          <w:p w14:paraId="545A8D0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181.93</w:t>
            </w:r>
          </w:p>
        </w:tc>
        <w:tc>
          <w:tcPr>
            <w:tcW w:w="648" w:type="pct"/>
            <w:tcBorders>
              <w:top w:val="nil"/>
              <w:left w:val="nil"/>
              <w:bottom w:val="single" w:sz="4" w:space="0" w:color="auto"/>
              <w:right w:val="single" w:sz="4" w:space="0" w:color="auto"/>
            </w:tcBorders>
            <w:shd w:val="clear" w:color="auto" w:fill="auto"/>
            <w:noWrap/>
            <w:vAlign w:val="center"/>
            <w:hideMark/>
          </w:tcPr>
          <w:p w14:paraId="30E0CD5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1,448.67</w:t>
            </w:r>
          </w:p>
        </w:tc>
      </w:tr>
      <w:tr w:rsidR="00A046DD" w:rsidRPr="00532C20" w14:paraId="66C80EBB"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0FB09C8C"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Denmark</w:t>
            </w:r>
          </w:p>
        </w:tc>
        <w:tc>
          <w:tcPr>
            <w:tcW w:w="705" w:type="pct"/>
            <w:tcBorders>
              <w:top w:val="nil"/>
              <w:left w:val="nil"/>
              <w:bottom w:val="single" w:sz="4" w:space="0" w:color="auto"/>
              <w:right w:val="single" w:sz="4" w:space="0" w:color="auto"/>
            </w:tcBorders>
            <w:shd w:val="clear" w:color="auto" w:fill="auto"/>
            <w:noWrap/>
            <w:vAlign w:val="center"/>
            <w:hideMark/>
          </w:tcPr>
          <w:p w14:paraId="05725A7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369.14</w:t>
            </w:r>
          </w:p>
        </w:tc>
        <w:tc>
          <w:tcPr>
            <w:tcW w:w="648" w:type="pct"/>
            <w:tcBorders>
              <w:top w:val="nil"/>
              <w:left w:val="nil"/>
              <w:bottom w:val="single" w:sz="4" w:space="0" w:color="auto"/>
              <w:right w:val="single" w:sz="4" w:space="0" w:color="auto"/>
            </w:tcBorders>
            <w:shd w:val="clear" w:color="auto" w:fill="auto"/>
            <w:noWrap/>
            <w:vAlign w:val="center"/>
            <w:hideMark/>
          </w:tcPr>
          <w:p w14:paraId="0F0626A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1,000.83</w:t>
            </w:r>
          </w:p>
        </w:tc>
        <w:tc>
          <w:tcPr>
            <w:tcW w:w="705" w:type="pct"/>
            <w:tcBorders>
              <w:top w:val="nil"/>
              <w:left w:val="nil"/>
              <w:bottom w:val="single" w:sz="4" w:space="0" w:color="auto"/>
              <w:right w:val="single" w:sz="4" w:space="0" w:color="auto"/>
            </w:tcBorders>
            <w:shd w:val="clear" w:color="auto" w:fill="auto"/>
            <w:noWrap/>
            <w:vAlign w:val="center"/>
            <w:hideMark/>
          </w:tcPr>
          <w:p w14:paraId="7A05CC2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461.43</w:t>
            </w:r>
          </w:p>
        </w:tc>
        <w:tc>
          <w:tcPr>
            <w:tcW w:w="648" w:type="pct"/>
            <w:tcBorders>
              <w:top w:val="nil"/>
              <w:left w:val="nil"/>
              <w:bottom w:val="single" w:sz="4" w:space="0" w:color="auto"/>
              <w:right w:val="single" w:sz="4" w:space="0" w:color="auto"/>
            </w:tcBorders>
            <w:shd w:val="clear" w:color="auto" w:fill="auto"/>
            <w:noWrap/>
            <w:vAlign w:val="center"/>
            <w:hideMark/>
          </w:tcPr>
          <w:p w14:paraId="4B76CFA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2,502.09</w:t>
            </w:r>
          </w:p>
        </w:tc>
        <w:tc>
          <w:tcPr>
            <w:tcW w:w="705" w:type="pct"/>
            <w:tcBorders>
              <w:top w:val="nil"/>
              <w:left w:val="nil"/>
              <w:bottom w:val="single" w:sz="4" w:space="0" w:color="auto"/>
              <w:right w:val="single" w:sz="4" w:space="0" w:color="auto"/>
            </w:tcBorders>
            <w:shd w:val="clear" w:color="auto" w:fill="auto"/>
            <w:noWrap/>
            <w:vAlign w:val="center"/>
            <w:hideMark/>
          </w:tcPr>
          <w:p w14:paraId="280A57C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553.72</w:t>
            </w:r>
          </w:p>
        </w:tc>
        <w:tc>
          <w:tcPr>
            <w:tcW w:w="648" w:type="pct"/>
            <w:tcBorders>
              <w:top w:val="nil"/>
              <w:left w:val="nil"/>
              <w:bottom w:val="single" w:sz="4" w:space="0" w:color="auto"/>
              <w:right w:val="single" w:sz="4" w:space="0" w:color="auto"/>
            </w:tcBorders>
            <w:shd w:val="clear" w:color="auto" w:fill="auto"/>
            <w:noWrap/>
            <w:vAlign w:val="center"/>
            <w:hideMark/>
          </w:tcPr>
          <w:p w14:paraId="2FD7042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4,503.75</w:t>
            </w:r>
          </w:p>
        </w:tc>
      </w:tr>
      <w:tr w:rsidR="00A046DD" w:rsidRPr="00532C20" w14:paraId="252973BD"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23EA1AB7"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Estonia</w:t>
            </w:r>
          </w:p>
        </w:tc>
        <w:tc>
          <w:tcPr>
            <w:tcW w:w="705" w:type="pct"/>
            <w:tcBorders>
              <w:top w:val="nil"/>
              <w:left w:val="nil"/>
              <w:bottom w:val="single" w:sz="4" w:space="0" w:color="auto"/>
              <w:right w:val="single" w:sz="4" w:space="0" w:color="auto"/>
            </w:tcBorders>
            <w:shd w:val="clear" w:color="auto" w:fill="auto"/>
            <w:noWrap/>
            <w:vAlign w:val="center"/>
            <w:hideMark/>
          </w:tcPr>
          <w:p w14:paraId="670F9ED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24.48</w:t>
            </w:r>
          </w:p>
        </w:tc>
        <w:tc>
          <w:tcPr>
            <w:tcW w:w="648" w:type="pct"/>
            <w:tcBorders>
              <w:top w:val="nil"/>
              <w:left w:val="nil"/>
              <w:bottom w:val="single" w:sz="4" w:space="0" w:color="auto"/>
              <w:right w:val="single" w:sz="4" w:space="0" w:color="auto"/>
            </w:tcBorders>
            <w:shd w:val="clear" w:color="auto" w:fill="auto"/>
            <w:noWrap/>
            <w:vAlign w:val="center"/>
            <w:hideMark/>
          </w:tcPr>
          <w:p w14:paraId="5D4D9F6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78.97</w:t>
            </w:r>
          </w:p>
        </w:tc>
        <w:tc>
          <w:tcPr>
            <w:tcW w:w="705" w:type="pct"/>
            <w:tcBorders>
              <w:top w:val="nil"/>
              <w:left w:val="nil"/>
              <w:bottom w:val="single" w:sz="4" w:space="0" w:color="auto"/>
              <w:right w:val="single" w:sz="4" w:space="0" w:color="auto"/>
            </w:tcBorders>
            <w:shd w:val="clear" w:color="auto" w:fill="auto"/>
            <w:noWrap/>
            <w:vAlign w:val="center"/>
            <w:hideMark/>
          </w:tcPr>
          <w:p w14:paraId="05EA2C6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30.60</w:t>
            </w:r>
          </w:p>
        </w:tc>
        <w:tc>
          <w:tcPr>
            <w:tcW w:w="648" w:type="pct"/>
            <w:tcBorders>
              <w:top w:val="nil"/>
              <w:left w:val="nil"/>
              <w:bottom w:val="single" w:sz="4" w:space="0" w:color="auto"/>
              <w:right w:val="single" w:sz="4" w:space="0" w:color="auto"/>
            </w:tcBorders>
            <w:shd w:val="clear" w:color="auto" w:fill="auto"/>
            <w:noWrap/>
            <w:vAlign w:val="center"/>
            <w:hideMark/>
          </w:tcPr>
          <w:p w14:paraId="03B7604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197.43</w:t>
            </w:r>
          </w:p>
        </w:tc>
        <w:tc>
          <w:tcPr>
            <w:tcW w:w="705" w:type="pct"/>
            <w:tcBorders>
              <w:top w:val="nil"/>
              <w:left w:val="nil"/>
              <w:bottom w:val="single" w:sz="4" w:space="0" w:color="auto"/>
              <w:right w:val="single" w:sz="4" w:space="0" w:color="auto"/>
            </w:tcBorders>
            <w:shd w:val="clear" w:color="auto" w:fill="auto"/>
            <w:noWrap/>
            <w:vAlign w:val="center"/>
            <w:hideMark/>
          </w:tcPr>
          <w:p w14:paraId="2CF4BE3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36.72</w:t>
            </w:r>
          </w:p>
        </w:tc>
        <w:tc>
          <w:tcPr>
            <w:tcW w:w="648" w:type="pct"/>
            <w:tcBorders>
              <w:top w:val="nil"/>
              <w:left w:val="nil"/>
              <w:bottom w:val="single" w:sz="4" w:space="0" w:color="auto"/>
              <w:right w:val="single" w:sz="4" w:space="0" w:color="auto"/>
            </w:tcBorders>
            <w:shd w:val="clear" w:color="auto" w:fill="auto"/>
            <w:noWrap/>
            <w:vAlign w:val="center"/>
            <w:hideMark/>
          </w:tcPr>
          <w:p w14:paraId="4430F4B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355.38</w:t>
            </w:r>
          </w:p>
        </w:tc>
      </w:tr>
      <w:tr w:rsidR="00A046DD" w:rsidRPr="00532C20" w14:paraId="40839B36"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4249F047"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Finland</w:t>
            </w:r>
          </w:p>
        </w:tc>
        <w:tc>
          <w:tcPr>
            <w:tcW w:w="705" w:type="pct"/>
            <w:tcBorders>
              <w:top w:val="nil"/>
              <w:left w:val="nil"/>
              <w:bottom w:val="single" w:sz="4" w:space="0" w:color="auto"/>
              <w:right w:val="single" w:sz="4" w:space="0" w:color="auto"/>
            </w:tcBorders>
            <w:shd w:val="clear" w:color="auto" w:fill="auto"/>
            <w:noWrap/>
            <w:vAlign w:val="center"/>
            <w:hideMark/>
          </w:tcPr>
          <w:p w14:paraId="2993ACB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370.45</w:t>
            </w:r>
          </w:p>
        </w:tc>
        <w:tc>
          <w:tcPr>
            <w:tcW w:w="648" w:type="pct"/>
            <w:tcBorders>
              <w:top w:val="nil"/>
              <w:left w:val="nil"/>
              <w:bottom w:val="single" w:sz="4" w:space="0" w:color="auto"/>
              <w:right w:val="single" w:sz="4" w:space="0" w:color="auto"/>
            </w:tcBorders>
            <w:shd w:val="clear" w:color="auto" w:fill="auto"/>
            <w:noWrap/>
            <w:vAlign w:val="center"/>
            <w:hideMark/>
          </w:tcPr>
          <w:p w14:paraId="2156731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881.88</w:t>
            </w:r>
          </w:p>
        </w:tc>
        <w:tc>
          <w:tcPr>
            <w:tcW w:w="705" w:type="pct"/>
            <w:tcBorders>
              <w:top w:val="nil"/>
              <w:left w:val="nil"/>
              <w:bottom w:val="single" w:sz="4" w:space="0" w:color="auto"/>
              <w:right w:val="single" w:sz="4" w:space="0" w:color="auto"/>
            </w:tcBorders>
            <w:shd w:val="clear" w:color="auto" w:fill="auto"/>
            <w:noWrap/>
            <w:vAlign w:val="center"/>
            <w:hideMark/>
          </w:tcPr>
          <w:p w14:paraId="0C89846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463.06</w:t>
            </w:r>
          </w:p>
        </w:tc>
        <w:tc>
          <w:tcPr>
            <w:tcW w:w="648" w:type="pct"/>
            <w:tcBorders>
              <w:top w:val="nil"/>
              <w:left w:val="nil"/>
              <w:bottom w:val="single" w:sz="4" w:space="0" w:color="auto"/>
              <w:right w:val="single" w:sz="4" w:space="0" w:color="auto"/>
            </w:tcBorders>
            <w:shd w:val="clear" w:color="auto" w:fill="auto"/>
            <w:noWrap/>
            <w:vAlign w:val="center"/>
            <w:hideMark/>
          </w:tcPr>
          <w:p w14:paraId="12A86D5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2,204.69</w:t>
            </w:r>
          </w:p>
        </w:tc>
        <w:tc>
          <w:tcPr>
            <w:tcW w:w="705" w:type="pct"/>
            <w:tcBorders>
              <w:top w:val="nil"/>
              <w:left w:val="nil"/>
              <w:bottom w:val="single" w:sz="4" w:space="0" w:color="auto"/>
              <w:right w:val="single" w:sz="4" w:space="0" w:color="auto"/>
            </w:tcBorders>
            <w:shd w:val="clear" w:color="auto" w:fill="auto"/>
            <w:noWrap/>
            <w:vAlign w:val="center"/>
            <w:hideMark/>
          </w:tcPr>
          <w:p w14:paraId="6277258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555.67</w:t>
            </w:r>
          </w:p>
        </w:tc>
        <w:tc>
          <w:tcPr>
            <w:tcW w:w="648" w:type="pct"/>
            <w:tcBorders>
              <w:top w:val="nil"/>
              <w:left w:val="nil"/>
              <w:bottom w:val="single" w:sz="4" w:space="0" w:color="auto"/>
              <w:right w:val="single" w:sz="4" w:space="0" w:color="auto"/>
            </w:tcBorders>
            <w:shd w:val="clear" w:color="auto" w:fill="auto"/>
            <w:noWrap/>
            <w:vAlign w:val="center"/>
            <w:hideMark/>
          </w:tcPr>
          <w:p w14:paraId="0FE7891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3,968.45</w:t>
            </w:r>
          </w:p>
        </w:tc>
      </w:tr>
      <w:tr w:rsidR="00A046DD" w:rsidRPr="00532C20" w14:paraId="6BCA3C78"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13E64E9F"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France</w:t>
            </w:r>
          </w:p>
        </w:tc>
        <w:tc>
          <w:tcPr>
            <w:tcW w:w="705" w:type="pct"/>
            <w:tcBorders>
              <w:top w:val="nil"/>
              <w:left w:val="nil"/>
              <w:bottom w:val="single" w:sz="4" w:space="0" w:color="auto"/>
              <w:right w:val="single" w:sz="4" w:space="0" w:color="auto"/>
            </w:tcBorders>
            <w:shd w:val="clear" w:color="auto" w:fill="auto"/>
            <w:noWrap/>
            <w:vAlign w:val="center"/>
            <w:hideMark/>
          </w:tcPr>
          <w:p w14:paraId="0562E1B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3,743.51</w:t>
            </w:r>
          </w:p>
        </w:tc>
        <w:tc>
          <w:tcPr>
            <w:tcW w:w="648" w:type="pct"/>
            <w:tcBorders>
              <w:top w:val="nil"/>
              <w:left w:val="nil"/>
              <w:bottom w:val="single" w:sz="4" w:space="0" w:color="auto"/>
              <w:right w:val="single" w:sz="4" w:space="0" w:color="auto"/>
            </w:tcBorders>
            <w:shd w:val="clear" w:color="auto" w:fill="auto"/>
            <w:noWrap/>
            <w:vAlign w:val="center"/>
            <w:hideMark/>
          </w:tcPr>
          <w:p w14:paraId="3D7AB71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11,238.84</w:t>
            </w:r>
          </w:p>
        </w:tc>
        <w:tc>
          <w:tcPr>
            <w:tcW w:w="705" w:type="pct"/>
            <w:tcBorders>
              <w:top w:val="nil"/>
              <w:left w:val="nil"/>
              <w:bottom w:val="single" w:sz="4" w:space="0" w:color="auto"/>
              <w:right w:val="single" w:sz="4" w:space="0" w:color="auto"/>
            </w:tcBorders>
            <w:shd w:val="clear" w:color="auto" w:fill="auto"/>
            <w:noWrap/>
            <w:vAlign w:val="center"/>
            <w:hideMark/>
          </w:tcPr>
          <w:p w14:paraId="27CE1C3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4,679.38</w:t>
            </w:r>
          </w:p>
        </w:tc>
        <w:tc>
          <w:tcPr>
            <w:tcW w:w="648" w:type="pct"/>
            <w:tcBorders>
              <w:top w:val="nil"/>
              <w:left w:val="nil"/>
              <w:bottom w:val="single" w:sz="4" w:space="0" w:color="auto"/>
              <w:right w:val="single" w:sz="4" w:space="0" w:color="auto"/>
            </w:tcBorders>
            <w:shd w:val="clear" w:color="auto" w:fill="auto"/>
            <w:noWrap/>
            <w:vAlign w:val="center"/>
            <w:hideMark/>
          </w:tcPr>
          <w:p w14:paraId="291D01F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28,097.10</w:t>
            </w:r>
          </w:p>
        </w:tc>
        <w:tc>
          <w:tcPr>
            <w:tcW w:w="705" w:type="pct"/>
            <w:tcBorders>
              <w:top w:val="nil"/>
              <w:left w:val="nil"/>
              <w:bottom w:val="single" w:sz="4" w:space="0" w:color="auto"/>
              <w:right w:val="single" w:sz="4" w:space="0" w:color="auto"/>
            </w:tcBorders>
            <w:shd w:val="clear" w:color="auto" w:fill="auto"/>
            <w:noWrap/>
            <w:vAlign w:val="center"/>
            <w:hideMark/>
          </w:tcPr>
          <w:p w14:paraId="58E0F2A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5,615.26</w:t>
            </w:r>
          </w:p>
        </w:tc>
        <w:tc>
          <w:tcPr>
            <w:tcW w:w="648" w:type="pct"/>
            <w:tcBorders>
              <w:top w:val="nil"/>
              <w:left w:val="nil"/>
              <w:bottom w:val="single" w:sz="4" w:space="0" w:color="auto"/>
              <w:right w:val="single" w:sz="4" w:space="0" w:color="auto"/>
            </w:tcBorders>
            <w:shd w:val="clear" w:color="auto" w:fill="auto"/>
            <w:noWrap/>
            <w:vAlign w:val="center"/>
            <w:hideMark/>
          </w:tcPr>
          <w:p w14:paraId="48C940D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50,574.78</w:t>
            </w:r>
          </w:p>
        </w:tc>
      </w:tr>
      <w:tr w:rsidR="00A046DD" w:rsidRPr="00532C20" w14:paraId="430B7107"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487EADCC"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Germany</w:t>
            </w:r>
          </w:p>
        </w:tc>
        <w:tc>
          <w:tcPr>
            <w:tcW w:w="705" w:type="pct"/>
            <w:tcBorders>
              <w:top w:val="nil"/>
              <w:left w:val="nil"/>
              <w:bottom w:val="single" w:sz="4" w:space="0" w:color="auto"/>
              <w:right w:val="single" w:sz="4" w:space="0" w:color="auto"/>
            </w:tcBorders>
            <w:shd w:val="clear" w:color="auto" w:fill="auto"/>
            <w:noWrap/>
            <w:vAlign w:val="center"/>
            <w:hideMark/>
          </w:tcPr>
          <w:p w14:paraId="3EDE3BA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2,315.69</w:t>
            </w:r>
          </w:p>
        </w:tc>
        <w:tc>
          <w:tcPr>
            <w:tcW w:w="648" w:type="pct"/>
            <w:tcBorders>
              <w:top w:val="nil"/>
              <w:left w:val="nil"/>
              <w:bottom w:val="single" w:sz="4" w:space="0" w:color="auto"/>
              <w:right w:val="single" w:sz="4" w:space="0" w:color="auto"/>
            </w:tcBorders>
            <w:shd w:val="clear" w:color="auto" w:fill="auto"/>
            <w:noWrap/>
            <w:vAlign w:val="center"/>
            <w:hideMark/>
          </w:tcPr>
          <w:p w14:paraId="6EA37FF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5,782.05</w:t>
            </w:r>
          </w:p>
        </w:tc>
        <w:tc>
          <w:tcPr>
            <w:tcW w:w="705" w:type="pct"/>
            <w:tcBorders>
              <w:top w:val="nil"/>
              <w:left w:val="nil"/>
              <w:bottom w:val="single" w:sz="4" w:space="0" w:color="auto"/>
              <w:right w:val="single" w:sz="4" w:space="0" w:color="auto"/>
            </w:tcBorders>
            <w:shd w:val="clear" w:color="auto" w:fill="auto"/>
            <w:noWrap/>
            <w:vAlign w:val="center"/>
            <w:hideMark/>
          </w:tcPr>
          <w:p w14:paraId="1171CC3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2,894.62</w:t>
            </w:r>
          </w:p>
        </w:tc>
        <w:tc>
          <w:tcPr>
            <w:tcW w:w="648" w:type="pct"/>
            <w:tcBorders>
              <w:top w:val="nil"/>
              <w:left w:val="nil"/>
              <w:bottom w:val="single" w:sz="4" w:space="0" w:color="auto"/>
              <w:right w:val="single" w:sz="4" w:space="0" w:color="auto"/>
            </w:tcBorders>
            <w:shd w:val="clear" w:color="auto" w:fill="auto"/>
            <w:noWrap/>
            <w:vAlign w:val="center"/>
            <w:hideMark/>
          </w:tcPr>
          <w:p w14:paraId="55B4934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14,455.12</w:t>
            </w:r>
          </w:p>
        </w:tc>
        <w:tc>
          <w:tcPr>
            <w:tcW w:w="705" w:type="pct"/>
            <w:tcBorders>
              <w:top w:val="nil"/>
              <w:left w:val="nil"/>
              <w:bottom w:val="single" w:sz="4" w:space="0" w:color="auto"/>
              <w:right w:val="single" w:sz="4" w:space="0" w:color="auto"/>
            </w:tcBorders>
            <w:shd w:val="clear" w:color="auto" w:fill="auto"/>
            <w:noWrap/>
            <w:vAlign w:val="center"/>
            <w:hideMark/>
          </w:tcPr>
          <w:p w14:paraId="0B82EC3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3,473.54</w:t>
            </w:r>
          </w:p>
        </w:tc>
        <w:tc>
          <w:tcPr>
            <w:tcW w:w="648" w:type="pct"/>
            <w:tcBorders>
              <w:top w:val="nil"/>
              <w:left w:val="nil"/>
              <w:bottom w:val="single" w:sz="4" w:space="0" w:color="auto"/>
              <w:right w:val="single" w:sz="4" w:space="0" w:color="auto"/>
            </w:tcBorders>
            <w:shd w:val="clear" w:color="auto" w:fill="auto"/>
            <w:noWrap/>
            <w:vAlign w:val="center"/>
            <w:hideMark/>
          </w:tcPr>
          <w:p w14:paraId="38AC3F7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26,019.22</w:t>
            </w:r>
          </w:p>
        </w:tc>
      </w:tr>
      <w:tr w:rsidR="00A046DD" w:rsidRPr="00532C20" w14:paraId="59CAF4E7"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28FBE73F"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Greece</w:t>
            </w:r>
          </w:p>
        </w:tc>
        <w:tc>
          <w:tcPr>
            <w:tcW w:w="705" w:type="pct"/>
            <w:tcBorders>
              <w:top w:val="nil"/>
              <w:left w:val="nil"/>
              <w:bottom w:val="single" w:sz="4" w:space="0" w:color="auto"/>
              <w:right w:val="single" w:sz="4" w:space="0" w:color="auto"/>
            </w:tcBorders>
            <w:shd w:val="clear" w:color="auto" w:fill="auto"/>
            <w:noWrap/>
            <w:vAlign w:val="center"/>
            <w:hideMark/>
          </w:tcPr>
          <w:p w14:paraId="62E31D3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10.58</w:t>
            </w:r>
          </w:p>
        </w:tc>
        <w:tc>
          <w:tcPr>
            <w:tcW w:w="648" w:type="pct"/>
            <w:tcBorders>
              <w:top w:val="nil"/>
              <w:left w:val="nil"/>
              <w:bottom w:val="single" w:sz="4" w:space="0" w:color="auto"/>
              <w:right w:val="single" w:sz="4" w:space="0" w:color="auto"/>
            </w:tcBorders>
            <w:shd w:val="clear" w:color="auto" w:fill="auto"/>
            <w:noWrap/>
            <w:vAlign w:val="center"/>
            <w:hideMark/>
          </w:tcPr>
          <w:p w14:paraId="3DE4FC8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29.01</w:t>
            </w:r>
          </w:p>
        </w:tc>
        <w:tc>
          <w:tcPr>
            <w:tcW w:w="705" w:type="pct"/>
            <w:tcBorders>
              <w:top w:val="nil"/>
              <w:left w:val="nil"/>
              <w:bottom w:val="single" w:sz="4" w:space="0" w:color="auto"/>
              <w:right w:val="single" w:sz="4" w:space="0" w:color="auto"/>
            </w:tcBorders>
            <w:shd w:val="clear" w:color="auto" w:fill="auto"/>
            <w:noWrap/>
            <w:vAlign w:val="center"/>
            <w:hideMark/>
          </w:tcPr>
          <w:p w14:paraId="14B8CBA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13.22</w:t>
            </w:r>
          </w:p>
        </w:tc>
        <w:tc>
          <w:tcPr>
            <w:tcW w:w="648" w:type="pct"/>
            <w:tcBorders>
              <w:top w:val="nil"/>
              <w:left w:val="nil"/>
              <w:bottom w:val="single" w:sz="4" w:space="0" w:color="auto"/>
              <w:right w:val="single" w:sz="4" w:space="0" w:color="auto"/>
            </w:tcBorders>
            <w:shd w:val="clear" w:color="auto" w:fill="auto"/>
            <w:noWrap/>
            <w:vAlign w:val="center"/>
            <w:hideMark/>
          </w:tcPr>
          <w:p w14:paraId="106A25E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72.53</w:t>
            </w:r>
          </w:p>
        </w:tc>
        <w:tc>
          <w:tcPr>
            <w:tcW w:w="705" w:type="pct"/>
            <w:tcBorders>
              <w:top w:val="nil"/>
              <w:left w:val="nil"/>
              <w:bottom w:val="single" w:sz="4" w:space="0" w:color="auto"/>
              <w:right w:val="single" w:sz="4" w:space="0" w:color="auto"/>
            </w:tcBorders>
            <w:shd w:val="clear" w:color="auto" w:fill="auto"/>
            <w:noWrap/>
            <w:vAlign w:val="center"/>
            <w:hideMark/>
          </w:tcPr>
          <w:p w14:paraId="533DE7E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15.87</w:t>
            </w:r>
          </w:p>
        </w:tc>
        <w:tc>
          <w:tcPr>
            <w:tcW w:w="648" w:type="pct"/>
            <w:tcBorders>
              <w:top w:val="nil"/>
              <w:left w:val="nil"/>
              <w:bottom w:val="single" w:sz="4" w:space="0" w:color="auto"/>
              <w:right w:val="single" w:sz="4" w:space="0" w:color="auto"/>
            </w:tcBorders>
            <w:shd w:val="clear" w:color="auto" w:fill="auto"/>
            <w:noWrap/>
            <w:vAlign w:val="center"/>
            <w:hideMark/>
          </w:tcPr>
          <w:p w14:paraId="08F5D3C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130.56</w:t>
            </w:r>
          </w:p>
        </w:tc>
      </w:tr>
      <w:tr w:rsidR="00A046DD" w:rsidRPr="00532C20" w14:paraId="18B5C252"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5A2219CF"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Hungary</w:t>
            </w:r>
          </w:p>
        </w:tc>
        <w:tc>
          <w:tcPr>
            <w:tcW w:w="705" w:type="pct"/>
            <w:tcBorders>
              <w:top w:val="nil"/>
              <w:left w:val="nil"/>
              <w:bottom w:val="single" w:sz="4" w:space="0" w:color="auto"/>
              <w:right w:val="single" w:sz="4" w:space="0" w:color="auto"/>
            </w:tcBorders>
            <w:shd w:val="clear" w:color="auto" w:fill="auto"/>
            <w:noWrap/>
            <w:vAlign w:val="center"/>
            <w:hideMark/>
          </w:tcPr>
          <w:p w14:paraId="6944F68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53.94</w:t>
            </w:r>
          </w:p>
        </w:tc>
        <w:tc>
          <w:tcPr>
            <w:tcW w:w="648" w:type="pct"/>
            <w:tcBorders>
              <w:top w:val="nil"/>
              <w:left w:val="nil"/>
              <w:bottom w:val="single" w:sz="4" w:space="0" w:color="auto"/>
              <w:right w:val="single" w:sz="4" w:space="0" w:color="auto"/>
            </w:tcBorders>
            <w:shd w:val="clear" w:color="auto" w:fill="auto"/>
            <w:noWrap/>
            <w:vAlign w:val="center"/>
            <w:hideMark/>
          </w:tcPr>
          <w:p w14:paraId="15B1D10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152.59</w:t>
            </w:r>
          </w:p>
        </w:tc>
        <w:tc>
          <w:tcPr>
            <w:tcW w:w="705" w:type="pct"/>
            <w:tcBorders>
              <w:top w:val="nil"/>
              <w:left w:val="nil"/>
              <w:bottom w:val="single" w:sz="4" w:space="0" w:color="auto"/>
              <w:right w:val="single" w:sz="4" w:space="0" w:color="auto"/>
            </w:tcBorders>
            <w:shd w:val="clear" w:color="auto" w:fill="auto"/>
            <w:noWrap/>
            <w:vAlign w:val="center"/>
            <w:hideMark/>
          </w:tcPr>
          <w:p w14:paraId="61AD311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67.43</w:t>
            </w:r>
          </w:p>
        </w:tc>
        <w:tc>
          <w:tcPr>
            <w:tcW w:w="648" w:type="pct"/>
            <w:tcBorders>
              <w:top w:val="nil"/>
              <w:left w:val="nil"/>
              <w:bottom w:val="single" w:sz="4" w:space="0" w:color="auto"/>
              <w:right w:val="single" w:sz="4" w:space="0" w:color="auto"/>
            </w:tcBorders>
            <w:shd w:val="clear" w:color="auto" w:fill="auto"/>
            <w:noWrap/>
            <w:vAlign w:val="center"/>
            <w:hideMark/>
          </w:tcPr>
          <w:p w14:paraId="4C42267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381.47</w:t>
            </w:r>
          </w:p>
        </w:tc>
        <w:tc>
          <w:tcPr>
            <w:tcW w:w="705" w:type="pct"/>
            <w:tcBorders>
              <w:top w:val="nil"/>
              <w:left w:val="nil"/>
              <w:bottom w:val="single" w:sz="4" w:space="0" w:color="auto"/>
              <w:right w:val="single" w:sz="4" w:space="0" w:color="auto"/>
            </w:tcBorders>
            <w:shd w:val="clear" w:color="auto" w:fill="auto"/>
            <w:noWrap/>
            <w:vAlign w:val="center"/>
            <w:hideMark/>
          </w:tcPr>
          <w:p w14:paraId="20CB540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80.92</w:t>
            </w:r>
          </w:p>
        </w:tc>
        <w:tc>
          <w:tcPr>
            <w:tcW w:w="648" w:type="pct"/>
            <w:tcBorders>
              <w:top w:val="nil"/>
              <w:left w:val="nil"/>
              <w:bottom w:val="single" w:sz="4" w:space="0" w:color="auto"/>
              <w:right w:val="single" w:sz="4" w:space="0" w:color="auto"/>
            </w:tcBorders>
            <w:shd w:val="clear" w:color="auto" w:fill="auto"/>
            <w:noWrap/>
            <w:vAlign w:val="center"/>
            <w:hideMark/>
          </w:tcPr>
          <w:p w14:paraId="3363DA2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686.65</w:t>
            </w:r>
          </w:p>
        </w:tc>
      </w:tr>
      <w:tr w:rsidR="00A046DD" w:rsidRPr="00532C20" w14:paraId="6C115A16"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0FEC92B1"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Ireland</w:t>
            </w:r>
          </w:p>
        </w:tc>
        <w:tc>
          <w:tcPr>
            <w:tcW w:w="705" w:type="pct"/>
            <w:tcBorders>
              <w:top w:val="nil"/>
              <w:left w:val="nil"/>
              <w:bottom w:val="single" w:sz="4" w:space="0" w:color="auto"/>
              <w:right w:val="single" w:sz="4" w:space="0" w:color="auto"/>
            </w:tcBorders>
            <w:shd w:val="clear" w:color="auto" w:fill="auto"/>
            <w:noWrap/>
            <w:vAlign w:val="center"/>
            <w:hideMark/>
          </w:tcPr>
          <w:p w14:paraId="01C44E0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83.23</w:t>
            </w:r>
          </w:p>
        </w:tc>
        <w:tc>
          <w:tcPr>
            <w:tcW w:w="648" w:type="pct"/>
            <w:tcBorders>
              <w:top w:val="nil"/>
              <w:left w:val="nil"/>
              <w:bottom w:val="single" w:sz="4" w:space="0" w:color="auto"/>
              <w:right w:val="single" w:sz="4" w:space="0" w:color="auto"/>
            </w:tcBorders>
            <w:shd w:val="clear" w:color="auto" w:fill="auto"/>
            <w:noWrap/>
            <w:vAlign w:val="center"/>
            <w:hideMark/>
          </w:tcPr>
          <w:p w14:paraId="62F2C93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319.38</w:t>
            </w:r>
          </w:p>
        </w:tc>
        <w:tc>
          <w:tcPr>
            <w:tcW w:w="705" w:type="pct"/>
            <w:tcBorders>
              <w:top w:val="nil"/>
              <w:left w:val="nil"/>
              <w:bottom w:val="single" w:sz="4" w:space="0" w:color="auto"/>
              <w:right w:val="single" w:sz="4" w:space="0" w:color="auto"/>
            </w:tcBorders>
            <w:shd w:val="clear" w:color="auto" w:fill="auto"/>
            <w:noWrap/>
            <w:vAlign w:val="center"/>
            <w:hideMark/>
          </w:tcPr>
          <w:p w14:paraId="171F5A2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104.04</w:t>
            </w:r>
          </w:p>
        </w:tc>
        <w:tc>
          <w:tcPr>
            <w:tcW w:w="648" w:type="pct"/>
            <w:tcBorders>
              <w:top w:val="nil"/>
              <w:left w:val="nil"/>
              <w:bottom w:val="single" w:sz="4" w:space="0" w:color="auto"/>
              <w:right w:val="single" w:sz="4" w:space="0" w:color="auto"/>
            </w:tcBorders>
            <w:shd w:val="clear" w:color="auto" w:fill="auto"/>
            <w:noWrap/>
            <w:vAlign w:val="center"/>
            <w:hideMark/>
          </w:tcPr>
          <w:p w14:paraId="28D2094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798.46</w:t>
            </w:r>
          </w:p>
        </w:tc>
        <w:tc>
          <w:tcPr>
            <w:tcW w:w="705" w:type="pct"/>
            <w:tcBorders>
              <w:top w:val="nil"/>
              <w:left w:val="nil"/>
              <w:bottom w:val="single" w:sz="4" w:space="0" w:color="auto"/>
              <w:right w:val="single" w:sz="4" w:space="0" w:color="auto"/>
            </w:tcBorders>
            <w:shd w:val="clear" w:color="auto" w:fill="auto"/>
            <w:noWrap/>
            <w:vAlign w:val="center"/>
            <w:hideMark/>
          </w:tcPr>
          <w:p w14:paraId="1CBA6F0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124.85</w:t>
            </w:r>
          </w:p>
        </w:tc>
        <w:tc>
          <w:tcPr>
            <w:tcW w:w="648" w:type="pct"/>
            <w:tcBorders>
              <w:top w:val="nil"/>
              <w:left w:val="nil"/>
              <w:bottom w:val="single" w:sz="4" w:space="0" w:color="auto"/>
              <w:right w:val="single" w:sz="4" w:space="0" w:color="auto"/>
            </w:tcBorders>
            <w:shd w:val="clear" w:color="auto" w:fill="auto"/>
            <w:noWrap/>
            <w:vAlign w:val="center"/>
            <w:hideMark/>
          </w:tcPr>
          <w:p w14:paraId="3741A2D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1,437.22</w:t>
            </w:r>
          </w:p>
        </w:tc>
      </w:tr>
      <w:tr w:rsidR="00A046DD" w:rsidRPr="00532C20" w14:paraId="3553C5BE"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70B9F679"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Italy</w:t>
            </w:r>
          </w:p>
        </w:tc>
        <w:tc>
          <w:tcPr>
            <w:tcW w:w="705" w:type="pct"/>
            <w:tcBorders>
              <w:top w:val="nil"/>
              <w:left w:val="nil"/>
              <w:bottom w:val="single" w:sz="4" w:space="0" w:color="auto"/>
              <w:right w:val="single" w:sz="4" w:space="0" w:color="auto"/>
            </w:tcBorders>
            <w:shd w:val="clear" w:color="auto" w:fill="auto"/>
            <w:noWrap/>
            <w:vAlign w:val="center"/>
            <w:hideMark/>
          </w:tcPr>
          <w:p w14:paraId="2931832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1,350.03</w:t>
            </w:r>
          </w:p>
        </w:tc>
        <w:tc>
          <w:tcPr>
            <w:tcW w:w="648" w:type="pct"/>
            <w:tcBorders>
              <w:top w:val="nil"/>
              <w:left w:val="nil"/>
              <w:bottom w:val="single" w:sz="4" w:space="0" w:color="auto"/>
              <w:right w:val="single" w:sz="4" w:space="0" w:color="auto"/>
            </w:tcBorders>
            <w:shd w:val="clear" w:color="auto" w:fill="auto"/>
            <w:noWrap/>
            <w:vAlign w:val="center"/>
            <w:hideMark/>
          </w:tcPr>
          <w:p w14:paraId="6B81717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3,078.53</w:t>
            </w:r>
          </w:p>
        </w:tc>
        <w:tc>
          <w:tcPr>
            <w:tcW w:w="705" w:type="pct"/>
            <w:tcBorders>
              <w:top w:val="nil"/>
              <w:left w:val="nil"/>
              <w:bottom w:val="single" w:sz="4" w:space="0" w:color="auto"/>
              <w:right w:val="single" w:sz="4" w:space="0" w:color="auto"/>
            </w:tcBorders>
            <w:shd w:val="clear" w:color="auto" w:fill="auto"/>
            <w:noWrap/>
            <w:vAlign w:val="center"/>
            <w:hideMark/>
          </w:tcPr>
          <w:p w14:paraId="5FEADD9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1,687.53</w:t>
            </w:r>
          </w:p>
        </w:tc>
        <w:tc>
          <w:tcPr>
            <w:tcW w:w="648" w:type="pct"/>
            <w:tcBorders>
              <w:top w:val="nil"/>
              <w:left w:val="nil"/>
              <w:bottom w:val="single" w:sz="4" w:space="0" w:color="auto"/>
              <w:right w:val="single" w:sz="4" w:space="0" w:color="auto"/>
            </w:tcBorders>
            <w:shd w:val="clear" w:color="auto" w:fill="auto"/>
            <w:noWrap/>
            <w:vAlign w:val="center"/>
            <w:hideMark/>
          </w:tcPr>
          <w:p w14:paraId="5042B68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7,696.33</w:t>
            </w:r>
          </w:p>
        </w:tc>
        <w:tc>
          <w:tcPr>
            <w:tcW w:w="705" w:type="pct"/>
            <w:tcBorders>
              <w:top w:val="nil"/>
              <w:left w:val="nil"/>
              <w:bottom w:val="single" w:sz="4" w:space="0" w:color="auto"/>
              <w:right w:val="single" w:sz="4" w:space="0" w:color="auto"/>
            </w:tcBorders>
            <w:shd w:val="clear" w:color="auto" w:fill="auto"/>
            <w:noWrap/>
            <w:vAlign w:val="center"/>
            <w:hideMark/>
          </w:tcPr>
          <w:p w14:paraId="2A6225E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2,025.04</w:t>
            </w:r>
          </w:p>
        </w:tc>
        <w:tc>
          <w:tcPr>
            <w:tcW w:w="648" w:type="pct"/>
            <w:tcBorders>
              <w:top w:val="nil"/>
              <w:left w:val="nil"/>
              <w:bottom w:val="single" w:sz="4" w:space="0" w:color="auto"/>
              <w:right w:val="single" w:sz="4" w:space="0" w:color="auto"/>
            </w:tcBorders>
            <w:shd w:val="clear" w:color="auto" w:fill="auto"/>
            <w:noWrap/>
            <w:vAlign w:val="center"/>
            <w:hideMark/>
          </w:tcPr>
          <w:p w14:paraId="1253D65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13,853.39</w:t>
            </w:r>
          </w:p>
        </w:tc>
      </w:tr>
      <w:tr w:rsidR="00A046DD" w:rsidRPr="00532C20" w14:paraId="4BBCA057"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69D5CB95"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Latvia</w:t>
            </w:r>
          </w:p>
        </w:tc>
        <w:tc>
          <w:tcPr>
            <w:tcW w:w="705" w:type="pct"/>
            <w:tcBorders>
              <w:top w:val="nil"/>
              <w:left w:val="nil"/>
              <w:bottom w:val="single" w:sz="4" w:space="0" w:color="auto"/>
              <w:right w:val="single" w:sz="4" w:space="0" w:color="auto"/>
            </w:tcBorders>
            <w:shd w:val="clear" w:color="auto" w:fill="auto"/>
            <w:noWrap/>
            <w:vAlign w:val="center"/>
            <w:hideMark/>
          </w:tcPr>
          <w:p w14:paraId="49F010D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10.38</w:t>
            </w:r>
          </w:p>
        </w:tc>
        <w:tc>
          <w:tcPr>
            <w:tcW w:w="648" w:type="pct"/>
            <w:tcBorders>
              <w:top w:val="nil"/>
              <w:left w:val="nil"/>
              <w:bottom w:val="single" w:sz="4" w:space="0" w:color="auto"/>
              <w:right w:val="single" w:sz="4" w:space="0" w:color="auto"/>
            </w:tcBorders>
            <w:shd w:val="clear" w:color="auto" w:fill="auto"/>
            <w:noWrap/>
            <w:vAlign w:val="center"/>
            <w:hideMark/>
          </w:tcPr>
          <w:p w14:paraId="19C399D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31.81</w:t>
            </w:r>
          </w:p>
        </w:tc>
        <w:tc>
          <w:tcPr>
            <w:tcW w:w="705" w:type="pct"/>
            <w:tcBorders>
              <w:top w:val="nil"/>
              <w:left w:val="nil"/>
              <w:bottom w:val="single" w:sz="4" w:space="0" w:color="auto"/>
              <w:right w:val="single" w:sz="4" w:space="0" w:color="auto"/>
            </w:tcBorders>
            <w:shd w:val="clear" w:color="auto" w:fill="auto"/>
            <w:noWrap/>
            <w:vAlign w:val="center"/>
            <w:hideMark/>
          </w:tcPr>
          <w:p w14:paraId="7FF0D53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12.97</w:t>
            </w:r>
          </w:p>
        </w:tc>
        <w:tc>
          <w:tcPr>
            <w:tcW w:w="648" w:type="pct"/>
            <w:tcBorders>
              <w:top w:val="nil"/>
              <w:left w:val="nil"/>
              <w:bottom w:val="single" w:sz="4" w:space="0" w:color="auto"/>
              <w:right w:val="single" w:sz="4" w:space="0" w:color="auto"/>
            </w:tcBorders>
            <w:shd w:val="clear" w:color="auto" w:fill="auto"/>
            <w:noWrap/>
            <w:vAlign w:val="center"/>
            <w:hideMark/>
          </w:tcPr>
          <w:p w14:paraId="5530AD9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79.52</w:t>
            </w:r>
          </w:p>
        </w:tc>
        <w:tc>
          <w:tcPr>
            <w:tcW w:w="705" w:type="pct"/>
            <w:tcBorders>
              <w:top w:val="nil"/>
              <w:left w:val="nil"/>
              <w:bottom w:val="single" w:sz="4" w:space="0" w:color="auto"/>
              <w:right w:val="single" w:sz="4" w:space="0" w:color="auto"/>
            </w:tcBorders>
            <w:shd w:val="clear" w:color="auto" w:fill="auto"/>
            <w:noWrap/>
            <w:vAlign w:val="center"/>
            <w:hideMark/>
          </w:tcPr>
          <w:p w14:paraId="477F86F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15.56</w:t>
            </w:r>
          </w:p>
        </w:tc>
        <w:tc>
          <w:tcPr>
            <w:tcW w:w="648" w:type="pct"/>
            <w:tcBorders>
              <w:top w:val="nil"/>
              <w:left w:val="nil"/>
              <w:bottom w:val="single" w:sz="4" w:space="0" w:color="auto"/>
              <w:right w:val="single" w:sz="4" w:space="0" w:color="auto"/>
            </w:tcBorders>
            <w:shd w:val="clear" w:color="auto" w:fill="auto"/>
            <w:noWrap/>
            <w:vAlign w:val="center"/>
            <w:hideMark/>
          </w:tcPr>
          <w:p w14:paraId="026A86A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143.14</w:t>
            </w:r>
          </w:p>
        </w:tc>
      </w:tr>
      <w:tr w:rsidR="00A046DD" w:rsidRPr="00532C20" w14:paraId="1F969160"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1E600420"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Lithuania</w:t>
            </w:r>
          </w:p>
        </w:tc>
        <w:tc>
          <w:tcPr>
            <w:tcW w:w="705" w:type="pct"/>
            <w:tcBorders>
              <w:top w:val="nil"/>
              <w:left w:val="nil"/>
              <w:bottom w:val="single" w:sz="4" w:space="0" w:color="auto"/>
              <w:right w:val="single" w:sz="4" w:space="0" w:color="auto"/>
            </w:tcBorders>
            <w:shd w:val="clear" w:color="auto" w:fill="auto"/>
            <w:noWrap/>
            <w:vAlign w:val="center"/>
            <w:hideMark/>
          </w:tcPr>
          <w:p w14:paraId="648AF3E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11.63</w:t>
            </w:r>
          </w:p>
        </w:tc>
        <w:tc>
          <w:tcPr>
            <w:tcW w:w="648" w:type="pct"/>
            <w:tcBorders>
              <w:top w:val="nil"/>
              <w:left w:val="nil"/>
              <w:bottom w:val="single" w:sz="4" w:space="0" w:color="auto"/>
              <w:right w:val="single" w:sz="4" w:space="0" w:color="auto"/>
            </w:tcBorders>
            <w:shd w:val="clear" w:color="auto" w:fill="auto"/>
            <w:noWrap/>
            <w:vAlign w:val="center"/>
            <w:hideMark/>
          </w:tcPr>
          <w:p w14:paraId="41BC9CB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34.36</w:t>
            </w:r>
          </w:p>
        </w:tc>
        <w:tc>
          <w:tcPr>
            <w:tcW w:w="705" w:type="pct"/>
            <w:tcBorders>
              <w:top w:val="nil"/>
              <w:left w:val="nil"/>
              <w:bottom w:val="single" w:sz="4" w:space="0" w:color="auto"/>
              <w:right w:val="single" w:sz="4" w:space="0" w:color="auto"/>
            </w:tcBorders>
            <w:shd w:val="clear" w:color="auto" w:fill="auto"/>
            <w:noWrap/>
            <w:vAlign w:val="center"/>
            <w:hideMark/>
          </w:tcPr>
          <w:p w14:paraId="7BD42B1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14.54</w:t>
            </w:r>
          </w:p>
        </w:tc>
        <w:tc>
          <w:tcPr>
            <w:tcW w:w="648" w:type="pct"/>
            <w:tcBorders>
              <w:top w:val="nil"/>
              <w:left w:val="nil"/>
              <w:bottom w:val="single" w:sz="4" w:space="0" w:color="auto"/>
              <w:right w:val="single" w:sz="4" w:space="0" w:color="auto"/>
            </w:tcBorders>
            <w:shd w:val="clear" w:color="auto" w:fill="auto"/>
            <w:noWrap/>
            <w:vAlign w:val="center"/>
            <w:hideMark/>
          </w:tcPr>
          <w:p w14:paraId="1585BD5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85.91</w:t>
            </w:r>
          </w:p>
        </w:tc>
        <w:tc>
          <w:tcPr>
            <w:tcW w:w="705" w:type="pct"/>
            <w:tcBorders>
              <w:top w:val="nil"/>
              <w:left w:val="nil"/>
              <w:bottom w:val="single" w:sz="4" w:space="0" w:color="auto"/>
              <w:right w:val="single" w:sz="4" w:space="0" w:color="auto"/>
            </w:tcBorders>
            <w:shd w:val="clear" w:color="auto" w:fill="auto"/>
            <w:noWrap/>
            <w:vAlign w:val="center"/>
            <w:hideMark/>
          </w:tcPr>
          <w:p w14:paraId="46BD7E0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17.45</w:t>
            </w:r>
          </w:p>
        </w:tc>
        <w:tc>
          <w:tcPr>
            <w:tcW w:w="648" w:type="pct"/>
            <w:tcBorders>
              <w:top w:val="nil"/>
              <w:left w:val="nil"/>
              <w:bottom w:val="single" w:sz="4" w:space="0" w:color="auto"/>
              <w:right w:val="single" w:sz="4" w:space="0" w:color="auto"/>
            </w:tcBorders>
            <w:shd w:val="clear" w:color="auto" w:fill="auto"/>
            <w:noWrap/>
            <w:vAlign w:val="center"/>
            <w:hideMark/>
          </w:tcPr>
          <w:p w14:paraId="6E99DBE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154.63</w:t>
            </w:r>
          </w:p>
        </w:tc>
      </w:tr>
      <w:tr w:rsidR="00A046DD" w:rsidRPr="00532C20" w14:paraId="12EF076B"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6E53E2F8"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Luxembourg</w:t>
            </w:r>
          </w:p>
        </w:tc>
        <w:tc>
          <w:tcPr>
            <w:tcW w:w="705" w:type="pct"/>
            <w:tcBorders>
              <w:top w:val="nil"/>
              <w:left w:val="nil"/>
              <w:bottom w:val="single" w:sz="4" w:space="0" w:color="auto"/>
              <w:right w:val="single" w:sz="4" w:space="0" w:color="auto"/>
            </w:tcBorders>
            <w:shd w:val="clear" w:color="auto" w:fill="auto"/>
            <w:noWrap/>
            <w:vAlign w:val="center"/>
            <w:hideMark/>
          </w:tcPr>
          <w:p w14:paraId="23372EC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29.69</w:t>
            </w:r>
          </w:p>
        </w:tc>
        <w:tc>
          <w:tcPr>
            <w:tcW w:w="648" w:type="pct"/>
            <w:tcBorders>
              <w:top w:val="nil"/>
              <w:left w:val="nil"/>
              <w:bottom w:val="single" w:sz="4" w:space="0" w:color="auto"/>
              <w:right w:val="single" w:sz="4" w:space="0" w:color="auto"/>
            </w:tcBorders>
            <w:shd w:val="clear" w:color="auto" w:fill="auto"/>
            <w:noWrap/>
            <w:vAlign w:val="center"/>
            <w:hideMark/>
          </w:tcPr>
          <w:p w14:paraId="170AEE6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78.57</w:t>
            </w:r>
          </w:p>
        </w:tc>
        <w:tc>
          <w:tcPr>
            <w:tcW w:w="705" w:type="pct"/>
            <w:tcBorders>
              <w:top w:val="nil"/>
              <w:left w:val="nil"/>
              <w:bottom w:val="single" w:sz="4" w:space="0" w:color="auto"/>
              <w:right w:val="single" w:sz="4" w:space="0" w:color="auto"/>
            </w:tcBorders>
            <w:shd w:val="clear" w:color="auto" w:fill="auto"/>
            <w:noWrap/>
            <w:vAlign w:val="center"/>
            <w:hideMark/>
          </w:tcPr>
          <w:p w14:paraId="196891E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37.11</w:t>
            </w:r>
          </w:p>
        </w:tc>
        <w:tc>
          <w:tcPr>
            <w:tcW w:w="648" w:type="pct"/>
            <w:tcBorders>
              <w:top w:val="nil"/>
              <w:left w:val="nil"/>
              <w:bottom w:val="single" w:sz="4" w:space="0" w:color="auto"/>
              <w:right w:val="single" w:sz="4" w:space="0" w:color="auto"/>
            </w:tcBorders>
            <w:shd w:val="clear" w:color="auto" w:fill="auto"/>
            <w:noWrap/>
            <w:vAlign w:val="center"/>
            <w:hideMark/>
          </w:tcPr>
          <w:p w14:paraId="5BB306E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196.43</w:t>
            </w:r>
          </w:p>
        </w:tc>
        <w:tc>
          <w:tcPr>
            <w:tcW w:w="705" w:type="pct"/>
            <w:tcBorders>
              <w:top w:val="nil"/>
              <w:left w:val="nil"/>
              <w:bottom w:val="single" w:sz="4" w:space="0" w:color="auto"/>
              <w:right w:val="single" w:sz="4" w:space="0" w:color="auto"/>
            </w:tcBorders>
            <w:shd w:val="clear" w:color="auto" w:fill="auto"/>
            <w:noWrap/>
            <w:vAlign w:val="center"/>
            <w:hideMark/>
          </w:tcPr>
          <w:p w14:paraId="7E1C31D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44.53</w:t>
            </w:r>
          </w:p>
        </w:tc>
        <w:tc>
          <w:tcPr>
            <w:tcW w:w="648" w:type="pct"/>
            <w:tcBorders>
              <w:top w:val="nil"/>
              <w:left w:val="nil"/>
              <w:bottom w:val="single" w:sz="4" w:space="0" w:color="auto"/>
              <w:right w:val="single" w:sz="4" w:space="0" w:color="auto"/>
            </w:tcBorders>
            <w:shd w:val="clear" w:color="auto" w:fill="auto"/>
            <w:noWrap/>
            <w:vAlign w:val="center"/>
            <w:hideMark/>
          </w:tcPr>
          <w:p w14:paraId="1AB0FD3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353.58</w:t>
            </w:r>
          </w:p>
        </w:tc>
      </w:tr>
      <w:tr w:rsidR="00A046DD" w:rsidRPr="00532C20" w14:paraId="5E62B99C"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76FC3E94"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Malta</w:t>
            </w:r>
          </w:p>
        </w:tc>
        <w:tc>
          <w:tcPr>
            <w:tcW w:w="705" w:type="pct"/>
            <w:tcBorders>
              <w:top w:val="nil"/>
              <w:left w:val="nil"/>
              <w:bottom w:val="single" w:sz="4" w:space="0" w:color="auto"/>
              <w:right w:val="single" w:sz="4" w:space="0" w:color="auto"/>
            </w:tcBorders>
            <w:shd w:val="clear" w:color="auto" w:fill="auto"/>
            <w:noWrap/>
            <w:vAlign w:val="center"/>
            <w:hideMark/>
          </w:tcPr>
          <w:p w14:paraId="45F9A22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3.90</w:t>
            </w:r>
          </w:p>
        </w:tc>
        <w:tc>
          <w:tcPr>
            <w:tcW w:w="648" w:type="pct"/>
            <w:tcBorders>
              <w:top w:val="nil"/>
              <w:left w:val="nil"/>
              <w:bottom w:val="single" w:sz="4" w:space="0" w:color="auto"/>
              <w:right w:val="single" w:sz="4" w:space="0" w:color="auto"/>
            </w:tcBorders>
            <w:shd w:val="clear" w:color="auto" w:fill="auto"/>
            <w:noWrap/>
            <w:vAlign w:val="center"/>
            <w:hideMark/>
          </w:tcPr>
          <w:p w14:paraId="14CDE19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11.67</w:t>
            </w:r>
          </w:p>
        </w:tc>
        <w:tc>
          <w:tcPr>
            <w:tcW w:w="705" w:type="pct"/>
            <w:tcBorders>
              <w:top w:val="nil"/>
              <w:left w:val="nil"/>
              <w:bottom w:val="single" w:sz="4" w:space="0" w:color="auto"/>
              <w:right w:val="single" w:sz="4" w:space="0" w:color="auto"/>
            </w:tcBorders>
            <w:shd w:val="clear" w:color="auto" w:fill="auto"/>
            <w:noWrap/>
            <w:vAlign w:val="center"/>
            <w:hideMark/>
          </w:tcPr>
          <w:p w14:paraId="3955607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4.87</w:t>
            </w:r>
          </w:p>
        </w:tc>
        <w:tc>
          <w:tcPr>
            <w:tcW w:w="648" w:type="pct"/>
            <w:tcBorders>
              <w:top w:val="nil"/>
              <w:left w:val="nil"/>
              <w:bottom w:val="single" w:sz="4" w:space="0" w:color="auto"/>
              <w:right w:val="single" w:sz="4" w:space="0" w:color="auto"/>
            </w:tcBorders>
            <w:shd w:val="clear" w:color="auto" w:fill="auto"/>
            <w:noWrap/>
            <w:vAlign w:val="center"/>
            <w:hideMark/>
          </w:tcPr>
          <w:p w14:paraId="1B63591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29.19</w:t>
            </w:r>
          </w:p>
        </w:tc>
        <w:tc>
          <w:tcPr>
            <w:tcW w:w="705" w:type="pct"/>
            <w:tcBorders>
              <w:top w:val="nil"/>
              <w:left w:val="nil"/>
              <w:bottom w:val="single" w:sz="4" w:space="0" w:color="auto"/>
              <w:right w:val="single" w:sz="4" w:space="0" w:color="auto"/>
            </w:tcBorders>
            <w:shd w:val="clear" w:color="auto" w:fill="auto"/>
            <w:noWrap/>
            <w:vAlign w:val="center"/>
            <w:hideMark/>
          </w:tcPr>
          <w:p w14:paraId="4D5D1A8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5.85</w:t>
            </w:r>
          </w:p>
        </w:tc>
        <w:tc>
          <w:tcPr>
            <w:tcW w:w="648" w:type="pct"/>
            <w:tcBorders>
              <w:top w:val="nil"/>
              <w:left w:val="nil"/>
              <w:bottom w:val="single" w:sz="4" w:space="0" w:color="auto"/>
              <w:right w:val="single" w:sz="4" w:space="0" w:color="auto"/>
            </w:tcBorders>
            <w:shd w:val="clear" w:color="auto" w:fill="auto"/>
            <w:noWrap/>
            <w:vAlign w:val="center"/>
            <w:hideMark/>
          </w:tcPr>
          <w:p w14:paraId="07D0553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52.53</w:t>
            </w:r>
          </w:p>
        </w:tc>
      </w:tr>
      <w:tr w:rsidR="00A046DD" w:rsidRPr="00532C20" w14:paraId="2E938033"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0C777535"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Netherlands</w:t>
            </w:r>
          </w:p>
        </w:tc>
        <w:tc>
          <w:tcPr>
            <w:tcW w:w="705" w:type="pct"/>
            <w:tcBorders>
              <w:top w:val="nil"/>
              <w:left w:val="nil"/>
              <w:bottom w:val="single" w:sz="4" w:space="0" w:color="auto"/>
              <w:right w:val="single" w:sz="4" w:space="0" w:color="auto"/>
            </w:tcBorders>
            <w:shd w:val="clear" w:color="auto" w:fill="auto"/>
            <w:noWrap/>
            <w:vAlign w:val="center"/>
            <w:hideMark/>
          </w:tcPr>
          <w:p w14:paraId="5DD83C6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133.53</w:t>
            </w:r>
          </w:p>
        </w:tc>
        <w:tc>
          <w:tcPr>
            <w:tcW w:w="648" w:type="pct"/>
            <w:tcBorders>
              <w:top w:val="nil"/>
              <w:left w:val="nil"/>
              <w:bottom w:val="single" w:sz="4" w:space="0" w:color="auto"/>
              <w:right w:val="single" w:sz="4" w:space="0" w:color="auto"/>
            </w:tcBorders>
            <w:shd w:val="clear" w:color="auto" w:fill="auto"/>
            <w:noWrap/>
            <w:vAlign w:val="center"/>
            <w:hideMark/>
          </w:tcPr>
          <w:p w14:paraId="4B93416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397.45</w:t>
            </w:r>
          </w:p>
        </w:tc>
        <w:tc>
          <w:tcPr>
            <w:tcW w:w="705" w:type="pct"/>
            <w:tcBorders>
              <w:top w:val="nil"/>
              <w:left w:val="nil"/>
              <w:bottom w:val="single" w:sz="4" w:space="0" w:color="auto"/>
              <w:right w:val="single" w:sz="4" w:space="0" w:color="auto"/>
            </w:tcBorders>
            <w:shd w:val="clear" w:color="auto" w:fill="auto"/>
            <w:noWrap/>
            <w:vAlign w:val="center"/>
            <w:hideMark/>
          </w:tcPr>
          <w:p w14:paraId="6B41909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166.92</w:t>
            </w:r>
          </w:p>
        </w:tc>
        <w:tc>
          <w:tcPr>
            <w:tcW w:w="648" w:type="pct"/>
            <w:tcBorders>
              <w:top w:val="nil"/>
              <w:left w:val="nil"/>
              <w:bottom w:val="single" w:sz="4" w:space="0" w:color="auto"/>
              <w:right w:val="single" w:sz="4" w:space="0" w:color="auto"/>
            </w:tcBorders>
            <w:shd w:val="clear" w:color="auto" w:fill="auto"/>
            <w:noWrap/>
            <w:vAlign w:val="center"/>
            <w:hideMark/>
          </w:tcPr>
          <w:p w14:paraId="4D53FDB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993.62</w:t>
            </w:r>
          </w:p>
        </w:tc>
        <w:tc>
          <w:tcPr>
            <w:tcW w:w="705" w:type="pct"/>
            <w:tcBorders>
              <w:top w:val="nil"/>
              <w:left w:val="nil"/>
              <w:bottom w:val="single" w:sz="4" w:space="0" w:color="auto"/>
              <w:right w:val="single" w:sz="4" w:space="0" w:color="auto"/>
            </w:tcBorders>
            <w:shd w:val="clear" w:color="auto" w:fill="auto"/>
            <w:noWrap/>
            <w:vAlign w:val="center"/>
            <w:hideMark/>
          </w:tcPr>
          <w:p w14:paraId="2A38424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200.30</w:t>
            </w:r>
          </w:p>
        </w:tc>
        <w:tc>
          <w:tcPr>
            <w:tcW w:w="648" w:type="pct"/>
            <w:tcBorders>
              <w:top w:val="nil"/>
              <w:left w:val="nil"/>
              <w:bottom w:val="single" w:sz="4" w:space="0" w:color="auto"/>
              <w:right w:val="single" w:sz="4" w:space="0" w:color="auto"/>
            </w:tcBorders>
            <w:shd w:val="clear" w:color="auto" w:fill="auto"/>
            <w:noWrap/>
            <w:vAlign w:val="center"/>
            <w:hideMark/>
          </w:tcPr>
          <w:p w14:paraId="4B5247A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1,788.52</w:t>
            </w:r>
          </w:p>
        </w:tc>
      </w:tr>
      <w:tr w:rsidR="00A046DD" w:rsidRPr="00532C20" w14:paraId="59A9480A"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6BA9F6A5"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Poland</w:t>
            </w:r>
          </w:p>
        </w:tc>
        <w:tc>
          <w:tcPr>
            <w:tcW w:w="705" w:type="pct"/>
            <w:tcBorders>
              <w:top w:val="nil"/>
              <w:left w:val="nil"/>
              <w:bottom w:val="single" w:sz="4" w:space="0" w:color="auto"/>
              <w:right w:val="single" w:sz="4" w:space="0" w:color="auto"/>
            </w:tcBorders>
            <w:shd w:val="clear" w:color="auto" w:fill="auto"/>
            <w:noWrap/>
            <w:vAlign w:val="center"/>
            <w:hideMark/>
          </w:tcPr>
          <w:p w14:paraId="72681B2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64.55</w:t>
            </w:r>
          </w:p>
        </w:tc>
        <w:tc>
          <w:tcPr>
            <w:tcW w:w="648" w:type="pct"/>
            <w:tcBorders>
              <w:top w:val="nil"/>
              <w:left w:val="nil"/>
              <w:bottom w:val="single" w:sz="4" w:space="0" w:color="auto"/>
              <w:right w:val="single" w:sz="4" w:space="0" w:color="auto"/>
            </w:tcBorders>
            <w:shd w:val="clear" w:color="auto" w:fill="auto"/>
            <w:noWrap/>
            <w:vAlign w:val="center"/>
            <w:hideMark/>
          </w:tcPr>
          <w:p w14:paraId="1EE6100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192.15</w:t>
            </w:r>
          </w:p>
        </w:tc>
        <w:tc>
          <w:tcPr>
            <w:tcW w:w="705" w:type="pct"/>
            <w:tcBorders>
              <w:top w:val="nil"/>
              <w:left w:val="nil"/>
              <w:bottom w:val="single" w:sz="4" w:space="0" w:color="auto"/>
              <w:right w:val="single" w:sz="4" w:space="0" w:color="auto"/>
            </w:tcBorders>
            <w:shd w:val="clear" w:color="auto" w:fill="auto"/>
            <w:noWrap/>
            <w:vAlign w:val="center"/>
            <w:hideMark/>
          </w:tcPr>
          <w:p w14:paraId="7B013E7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80.69</w:t>
            </w:r>
          </w:p>
        </w:tc>
        <w:tc>
          <w:tcPr>
            <w:tcW w:w="648" w:type="pct"/>
            <w:tcBorders>
              <w:top w:val="nil"/>
              <w:left w:val="nil"/>
              <w:bottom w:val="single" w:sz="4" w:space="0" w:color="auto"/>
              <w:right w:val="single" w:sz="4" w:space="0" w:color="auto"/>
            </w:tcBorders>
            <w:shd w:val="clear" w:color="auto" w:fill="auto"/>
            <w:noWrap/>
            <w:vAlign w:val="center"/>
            <w:hideMark/>
          </w:tcPr>
          <w:p w14:paraId="79C76E3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480.37</w:t>
            </w:r>
          </w:p>
        </w:tc>
        <w:tc>
          <w:tcPr>
            <w:tcW w:w="705" w:type="pct"/>
            <w:tcBorders>
              <w:top w:val="nil"/>
              <w:left w:val="nil"/>
              <w:bottom w:val="single" w:sz="4" w:space="0" w:color="auto"/>
              <w:right w:val="single" w:sz="4" w:space="0" w:color="auto"/>
            </w:tcBorders>
            <w:shd w:val="clear" w:color="auto" w:fill="auto"/>
            <w:noWrap/>
            <w:vAlign w:val="center"/>
            <w:hideMark/>
          </w:tcPr>
          <w:p w14:paraId="72DB48E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96.83</w:t>
            </w:r>
          </w:p>
        </w:tc>
        <w:tc>
          <w:tcPr>
            <w:tcW w:w="648" w:type="pct"/>
            <w:tcBorders>
              <w:top w:val="nil"/>
              <w:left w:val="nil"/>
              <w:bottom w:val="single" w:sz="4" w:space="0" w:color="auto"/>
              <w:right w:val="single" w:sz="4" w:space="0" w:color="auto"/>
            </w:tcBorders>
            <w:shd w:val="clear" w:color="auto" w:fill="auto"/>
            <w:noWrap/>
            <w:vAlign w:val="center"/>
            <w:hideMark/>
          </w:tcPr>
          <w:p w14:paraId="6188D6E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864.66</w:t>
            </w:r>
          </w:p>
        </w:tc>
      </w:tr>
      <w:tr w:rsidR="00A046DD" w:rsidRPr="00532C20" w14:paraId="0140C267"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4E3D8598"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Portugal</w:t>
            </w:r>
          </w:p>
        </w:tc>
        <w:tc>
          <w:tcPr>
            <w:tcW w:w="705" w:type="pct"/>
            <w:tcBorders>
              <w:top w:val="nil"/>
              <w:left w:val="nil"/>
              <w:bottom w:val="single" w:sz="4" w:space="0" w:color="auto"/>
              <w:right w:val="single" w:sz="4" w:space="0" w:color="auto"/>
            </w:tcBorders>
            <w:shd w:val="clear" w:color="auto" w:fill="auto"/>
            <w:noWrap/>
            <w:vAlign w:val="center"/>
            <w:hideMark/>
          </w:tcPr>
          <w:p w14:paraId="293AE98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101.67</w:t>
            </w:r>
          </w:p>
        </w:tc>
        <w:tc>
          <w:tcPr>
            <w:tcW w:w="648" w:type="pct"/>
            <w:tcBorders>
              <w:top w:val="nil"/>
              <w:left w:val="nil"/>
              <w:bottom w:val="single" w:sz="4" w:space="0" w:color="auto"/>
              <w:right w:val="single" w:sz="4" w:space="0" w:color="auto"/>
            </w:tcBorders>
            <w:shd w:val="clear" w:color="auto" w:fill="auto"/>
            <w:noWrap/>
            <w:vAlign w:val="center"/>
            <w:hideMark/>
          </w:tcPr>
          <w:p w14:paraId="541D49D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280.45</w:t>
            </w:r>
          </w:p>
        </w:tc>
        <w:tc>
          <w:tcPr>
            <w:tcW w:w="705" w:type="pct"/>
            <w:tcBorders>
              <w:top w:val="nil"/>
              <w:left w:val="nil"/>
              <w:bottom w:val="single" w:sz="4" w:space="0" w:color="auto"/>
              <w:right w:val="single" w:sz="4" w:space="0" w:color="auto"/>
            </w:tcBorders>
            <w:shd w:val="clear" w:color="auto" w:fill="auto"/>
            <w:noWrap/>
            <w:vAlign w:val="center"/>
            <w:hideMark/>
          </w:tcPr>
          <w:p w14:paraId="02A7861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127.09</w:t>
            </w:r>
          </w:p>
        </w:tc>
        <w:tc>
          <w:tcPr>
            <w:tcW w:w="648" w:type="pct"/>
            <w:tcBorders>
              <w:top w:val="nil"/>
              <w:left w:val="nil"/>
              <w:bottom w:val="single" w:sz="4" w:space="0" w:color="auto"/>
              <w:right w:val="single" w:sz="4" w:space="0" w:color="auto"/>
            </w:tcBorders>
            <w:shd w:val="clear" w:color="auto" w:fill="auto"/>
            <w:noWrap/>
            <w:vAlign w:val="center"/>
            <w:hideMark/>
          </w:tcPr>
          <w:p w14:paraId="6FD0F6C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701.11</w:t>
            </w:r>
          </w:p>
        </w:tc>
        <w:tc>
          <w:tcPr>
            <w:tcW w:w="705" w:type="pct"/>
            <w:tcBorders>
              <w:top w:val="nil"/>
              <w:left w:val="nil"/>
              <w:bottom w:val="single" w:sz="4" w:space="0" w:color="auto"/>
              <w:right w:val="single" w:sz="4" w:space="0" w:color="auto"/>
            </w:tcBorders>
            <w:shd w:val="clear" w:color="auto" w:fill="auto"/>
            <w:noWrap/>
            <w:vAlign w:val="center"/>
            <w:hideMark/>
          </w:tcPr>
          <w:p w14:paraId="3E980DE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152.51</w:t>
            </w:r>
          </w:p>
        </w:tc>
        <w:tc>
          <w:tcPr>
            <w:tcW w:w="648" w:type="pct"/>
            <w:tcBorders>
              <w:top w:val="nil"/>
              <w:left w:val="nil"/>
              <w:bottom w:val="single" w:sz="4" w:space="0" w:color="auto"/>
              <w:right w:val="single" w:sz="4" w:space="0" w:color="auto"/>
            </w:tcBorders>
            <w:shd w:val="clear" w:color="auto" w:fill="auto"/>
            <w:noWrap/>
            <w:vAlign w:val="center"/>
            <w:hideMark/>
          </w:tcPr>
          <w:p w14:paraId="6A595C8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1,262.01</w:t>
            </w:r>
          </w:p>
        </w:tc>
      </w:tr>
      <w:tr w:rsidR="00A046DD" w:rsidRPr="00532C20" w14:paraId="3EBAFF3E"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2C6EA4D6"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Romania</w:t>
            </w:r>
          </w:p>
        </w:tc>
        <w:tc>
          <w:tcPr>
            <w:tcW w:w="705" w:type="pct"/>
            <w:tcBorders>
              <w:top w:val="nil"/>
              <w:left w:val="nil"/>
              <w:bottom w:val="single" w:sz="4" w:space="0" w:color="auto"/>
              <w:right w:val="single" w:sz="4" w:space="0" w:color="auto"/>
            </w:tcBorders>
            <w:shd w:val="clear" w:color="auto" w:fill="auto"/>
            <w:noWrap/>
            <w:vAlign w:val="center"/>
            <w:hideMark/>
          </w:tcPr>
          <w:p w14:paraId="2BB6812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47.96</w:t>
            </w:r>
          </w:p>
        </w:tc>
        <w:tc>
          <w:tcPr>
            <w:tcW w:w="648" w:type="pct"/>
            <w:tcBorders>
              <w:top w:val="nil"/>
              <w:left w:val="nil"/>
              <w:bottom w:val="single" w:sz="4" w:space="0" w:color="auto"/>
              <w:right w:val="single" w:sz="4" w:space="0" w:color="auto"/>
            </w:tcBorders>
            <w:shd w:val="clear" w:color="auto" w:fill="auto"/>
            <w:noWrap/>
            <w:vAlign w:val="center"/>
            <w:hideMark/>
          </w:tcPr>
          <w:p w14:paraId="1385B19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156.56</w:t>
            </w:r>
          </w:p>
        </w:tc>
        <w:tc>
          <w:tcPr>
            <w:tcW w:w="705" w:type="pct"/>
            <w:tcBorders>
              <w:top w:val="nil"/>
              <w:left w:val="nil"/>
              <w:bottom w:val="single" w:sz="4" w:space="0" w:color="auto"/>
              <w:right w:val="single" w:sz="4" w:space="0" w:color="auto"/>
            </w:tcBorders>
            <w:shd w:val="clear" w:color="auto" w:fill="auto"/>
            <w:noWrap/>
            <w:vAlign w:val="center"/>
            <w:hideMark/>
          </w:tcPr>
          <w:p w14:paraId="0AFAA5B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59.95</w:t>
            </w:r>
          </w:p>
        </w:tc>
        <w:tc>
          <w:tcPr>
            <w:tcW w:w="648" w:type="pct"/>
            <w:tcBorders>
              <w:top w:val="nil"/>
              <w:left w:val="nil"/>
              <w:bottom w:val="single" w:sz="4" w:space="0" w:color="auto"/>
              <w:right w:val="single" w:sz="4" w:space="0" w:color="auto"/>
            </w:tcBorders>
            <w:shd w:val="clear" w:color="auto" w:fill="auto"/>
            <w:noWrap/>
            <w:vAlign w:val="center"/>
            <w:hideMark/>
          </w:tcPr>
          <w:p w14:paraId="4CB433F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391.40</w:t>
            </w:r>
          </w:p>
        </w:tc>
        <w:tc>
          <w:tcPr>
            <w:tcW w:w="705" w:type="pct"/>
            <w:tcBorders>
              <w:top w:val="nil"/>
              <w:left w:val="nil"/>
              <w:bottom w:val="single" w:sz="4" w:space="0" w:color="auto"/>
              <w:right w:val="single" w:sz="4" w:space="0" w:color="auto"/>
            </w:tcBorders>
            <w:shd w:val="clear" w:color="auto" w:fill="auto"/>
            <w:noWrap/>
            <w:vAlign w:val="center"/>
            <w:hideMark/>
          </w:tcPr>
          <w:p w14:paraId="383B2C3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71.94</w:t>
            </w:r>
          </w:p>
        </w:tc>
        <w:tc>
          <w:tcPr>
            <w:tcW w:w="648" w:type="pct"/>
            <w:tcBorders>
              <w:top w:val="nil"/>
              <w:left w:val="nil"/>
              <w:bottom w:val="single" w:sz="4" w:space="0" w:color="auto"/>
              <w:right w:val="single" w:sz="4" w:space="0" w:color="auto"/>
            </w:tcBorders>
            <w:shd w:val="clear" w:color="auto" w:fill="auto"/>
            <w:noWrap/>
            <w:vAlign w:val="center"/>
            <w:hideMark/>
          </w:tcPr>
          <w:p w14:paraId="511C1E1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704.53</w:t>
            </w:r>
          </w:p>
        </w:tc>
      </w:tr>
      <w:tr w:rsidR="00A046DD" w:rsidRPr="00532C20" w14:paraId="1EBF1F59"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26DED1C8"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Slovakia</w:t>
            </w:r>
          </w:p>
        </w:tc>
        <w:tc>
          <w:tcPr>
            <w:tcW w:w="705" w:type="pct"/>
            <w:tcBorders>
              <w:top w:val="nil"/>
              <w:left w:val="nil"/>
              <w:bottom w:val="single" w:sz="4" w:space="0" w:color="auto"/>
              <w:right w:val="single" w:sz="4" w:space="0" w:color="auto"/>
            </w:tcBorders>
            <w:shd w:val="clear" w:color="auto" w:fill="auto"/>
            <w:noWrap/>
            <w:vAlign w:val="center"/>
            <w:hideMark/>
          </w:tcPr>
          <w:p w14:paraId="4D229A7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21.82</w:t>
            </w:r>
          </w:p>
        </w:tc>
        <w:tc>
          <w:tcPr>
            <w:tcW w:w="648" w:type="pct"/>
            <w:tcBorders>
              <w:top w:val="nil"/>
              <w:left w:val="nil"/>
              <w:bottom w:val="single" w:sz="4" w:space="0" w:color="auto"/>
              <w:right w:val="single" w:sz="4" w:space="0" w:color="auto"/>
            </w:tcBorders>
            <w:shd w:val="clear" w:color="auto" w:fill="auto"/>
            <w:noWrap/>
            <w:vAlign w:val="center"/>
            <w:hideMark/>
          </w:tcPr>
          <w:p w14:paraId="438D3CB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56.62</w:t>
            </w:r>
          </w:p>
        </w:tc>
        <w:tc>
          <w:tcPr>
            <w:tcW w:w="705" w:type="pct"/>
            <w:tcBorders>
              <w:top w:val="nil"/>
              <w:left w:val="nil"/>
              <w:bottom w:val="single" w:sz="4" w:space="0" w:color="auto"/>
              <w:right w:val="single" w:sz="4" w:space="0" w:color="auto"/>
            </w:tcBorders>
            <w:shd w:val="clear" w:color="auto" w:fill="auto"/>
            <w:noWrap/>
            <w:vAlign w:val="center"/>
            <w:hideMark/>
          </w:tcPr>
          <w:p w14:paraId="1C5E549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27.27</w:t>
            </w:r>
          </w:p>
        </w:tc>
        <w:tc>
          <w:tcPr>
            <w:tcW w:w="648" w:type="pct"/>
            <w:tcBorders>
              <w:top w:val="nil"/>
              <w:left w:val="nil"/>
              <w:bottom w:val="single" w:sz="4" w:space="0" w:color="auto"/>
              <w:right w:val="single" w:sz="4" w:space="0" w:color="auto"/>
            </w:tcBorders>
            <w:shd w:val="clear" w:color="auto" w:fill="auto"/>
            <w:noWrap/>
            <w:vAlign w:val="center"/>
            <w:hideMark/>
          </w:tcPr>
          <w:p w14:paraId="69E06CE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141.55</w:t>
            </w:r>
          </w:p>
        </w:tc>
        <w:tc>
          <w:tcPr>
            <w:tcW w:w="705" w:type="pct"/>
            <w:tcBorders>
              <w:top w:val="nil"/>
              <w:left w:val="nil"/>
              <w:bottom w:val="single" w:sz="4" w:space="0" w:color="auto"/>
              <w:right w:val="single" w:sz="4" w:space="0" w:color="auto"/>
            </w:tcBorders>
            <w:shd w:val="clear" w:color="auto" w:fill="auto"/>
            <w:noWrap/>
            <w:vAlign w:val="center"/>
            <w:hideMark/>
          </w:tcPr>
          <w:p w14:paraId="61BF261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32.72</w:t>
            </w:r>
          </w:p>
        </w:tc>
        <w:tc>
          <w:tcPr>
            <w:tcW w:w="648" w:type="pct"/>
            <w:tcBorders>
              <w:top w:val="nil"/>
              <w:left w:val="nil"/>
              <w:bottom w:val="single" w:sz="4" w:space="0" w:color="auto"/>
              <w:right w:val="single" w:sz="4" w:space="0" w:color="auto"/>
            </w:tcBorders>
            <w:shd w:val="clear" w:color="auto" w:fill="auto"/>
            <w:noWrap/>
            <w:vAlign w:val="center"/>
            <w:hideMark/>
          </w:tcPr>
          <w:p w14:paraId="7D2565C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254.80</w:t>
            </w:r>
          </w:p>
        </w:tc>
      </w:tr>
      <w:tr w:rsidR="00A046DD" w:rsidRPr="00532C20" w14:paraId="58D067B3"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252263E3"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Slovenia</w:t>
            </w:r>
          </w:p>
        </w:tc>
        <w:tc>
          <w:tcPr>
            <w:tcW w:w="705" w:type="pct"/>
            <w:tcBorders>
              <w:top w:val="nil"/>
              <w:left w:val="nil"/>
              <w:bottom w:val="single" w:sz="4" w:space="0" w:color="auto"/>
              <w:right w:val="single" w:sz="4" w:space="0" w:color="auto"/>
            </w:tcBorders>
            <w:shd w:val="clear" w:color="auto" w:fill="auto"/>
            <w:noWrap/>
            <w:vAlign w:val="center"/>
            <w:hideMark/>
          </w:tcPr>
          <w:p w14:paraId="335ECB0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39.86</w:t>
            </w:r>
          </w:p>
        </w:tc>
        <w:tc>
          <w:tcPr>
            <w:tcW w:w="648" w:type="pct"/>
            <w:tcBorders>
              <w:top w:val="nil"/>
              <w:left w:val="nil"/>
              <w:bottom w:val="single" w:sz="4" w:space="0" w:color="auto"/>
              <w:right w:val="single" w:sz="4" w:space="0" w:color="auto"/>
            </w:tcBorders>
            <w:shd w:val="clear" w:color="auto" w:fill="auto"/>
            <w:noWrap/>
            <w:vAlign w:val="center"/>
            <w:hideMark/>
          </w:tcPr>
          <w:p w14:paraId="56A014B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102.42</w:t>
            </w:r>
          </w:p>
        </w:tc>
        <w:tc>
          <w:tcPr>
            <w:tcW w:w="705" w:type="pct"/>
            <w:tcBorders>
              <w:top w:val="nil"/>
              <w:left w:val="nil"/>
              <w:bottom w:val="single" w:sz="4" w:space="0" w:color="auto"/>
              <w:right w:val="single" w:sz="4" w:space="0" w:color="auto"/>
            </w:tcBorders>
            <w:shd w:val="clear" w:color="auto" w:fill="auto"/>
            <w:noWrap/>
            <w:vAlign w:val="center"/>
            <w:hideMark/>
          </w:tcPr>
          <w:p w14:paraId="5647F21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49.83</w:t>
            </w:r>
          </w:p>
        </w:tc>
        <w:tc>
          <w:tcPr>
            <w:tcW w:w="648" w:type="pct"/>
            <w:tcBorders>
              <w:top w:val="nil"/>
              <w:left w:val="nil"/>
              <w:bottom w:val="single" w:sz="4" w:space="0" w:color="auto"/>
              <w:right w:val="single" w:sz="4" w:space="0" w:color="auto"/>
            </w:tcBorders>
            <w:shd w:val="clear" w:color="auto" w:fill="auto"/>
            <w:noWrap/>
            <w:vAlign w:val="center"/>
            <w:hideMark/>
          </w:tcPr>
          <w:p w14:paraId="211F6A5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256.05</w:t>
            </w:r>
          </w:p>
        </w:tc>
        <w:tc>
          <w:tcPr>
            <w:tcW w:w="705" w:type="pct"/>
            <w:tcBorders>
              <w:top w:val="nil"/>
              <w:left w:val="nil"/>
              <w:bottom w:val="single" w:sz="4" w:space="0" w:color="auto"/>
              <w:right w:val="single" w:sz="4" w:space="0" w:color="auto"/>
            </w:tcBorders>
            <w:shd w:val="clear" w:color="auto" w:fill="auto"/>
            <w:noWrap/>
            <w:vAlign w:val="center"/>
            <w:hideMark/>
          </w:tcPr>
          <w:p w14:paraId="4D3F93D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59.79</w:t>
            </w:r>
          </w:p>
        </w:tc>
        <w:tc>
          <w:tcPr>
            <w:tcW w:w="648" w:type="pct"/>
            <w:tcBorders>
              <w:top w:val="nil"/>
              <w:left w:val="nil"/>
              <w:bottom w:val="single" w:sz="4" w:space="0" w:color="auto"/>
              <w:right w:val="single" w:sz="4" w:space="0" w:color="auto"/>
            </w:tcBorders>
            <w:shd w:val="clear" w:color="auto" w:fill="auto"/>
            <w:noWrap/>
            <w:vAlign w:val="center"/>
            <w:hideMark/>
          </w:tcPr>
          <w:p w14:paraId="1B16E80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460.90</w:t>
            </w:r>
          </w:p>
        </w:tc>
      </w:tr>
      <w:tr w:rsidR="00A046DD" w:rsidRPr="00532C20" w14:paraId="3BC75379"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4E273457"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Spain</w:t>
            </w:r>
          </w:p>
        </w:tc>
        <w:tc>
          <w:tcPr>
            <w:tcW w:w="705" w:type="pct"/>
            <w:tcBorders>
              <w:top w:val="nil"/>
              <w:left w:val="nil"/>
              <w:bottom w:val="single" w:sz="4" w:space="0" w:color="auto"/>
              <w:right w:val="single" w:sz="4" w:space="0" w:color="auto"/>
            </w:tcBorders>
            <w:shd w:val="clear" w:color="auto" w:fill="auto"/>
            <w:noWrap/>
            <w:vAlign w:val="center"/>
            <w:hideMark/>
          </w:tcPr>
          <w:p w14:paraId="510FC02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204.43</w:t>
            </w:r>
          </w:p>
        </w:tc>
        <w:tc>
          <w:tcPr>
            <w:tcW w:w="648" w:type="pct"/>
            <w:tcBorders>
              <w:top w:val="nil"/>
              <w:left w:val="nil"/>
              <w:bottom w:val="single" w:sz="4" w:space="0" w:color="auto"/>
              <w:right w:val="single" w:sz="4" w:space="0" w:color="auto"/>
            </w:tcBorders>
            <w:shd w:val="clear" w:color="auto" w:fill="auto"/>
            <w:noWrap/>
            <w:vAlign w:val="center"/>
            <w:hideMark/>
          </w:tcPr>
          <w:p w14:paraId="644C5EA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590.16</w:t>
            </w:r>
          </w:p>
        </w:tc>
        <w:tc>
          <w:tcPr>
            <w:tcW w:w="705" w:type="pct"/>
            <w:tcBorders>
              <w:top w:val="nil"/>
              <w:left w:val="nil"/>
              <w:bottom w:val="single" w:sz="4" w:space="0" w:color="auto"/>
              <w:right w:val="single" w:sz="4" w:space="0" w:color="auto"/>
            </w:tcBorders>
            <w:shd w:val="clear" w:color="auto" w:fill="auto"/>
            <w:noWrap/>
            <w:vAlign w:val="center"/>
            <w:hideMark/>
          </w:tcPr>
          <w:p w14:paraId="60D72FF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255.53</w:t>
            </w:r>
          </w:p>
        </w:tc>
        <w:tc>
          <w:tcPr>
            <w:tcW w:w="648" w:type="pct"/>
            <w:tcBorders>
              <w:top w:val="nil"/>
              <w:left w:val="nil"/>
              <w:bottom w:val="single" w:sz="4" w:space="0" w:color="auto"/>
              <w:right w:val="single" w:sz="4" w:space="0" w:color="auto"/>
            </w:tcBorders>
            <w:shd w:val="clear" w:color="auto" w:fill="auto"/>
            <w:noWrap/>
            <w:vAlign w:val="center"/>
            <w:hideMark/>
          </w:tcPr>
          <w:p w14:paraId="3A58CD2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1,475.40</w:t>
            </w:r>
          </w:p>
        </w:tc>
        <w:tc>
          <w:tcPr>
            <w:tcW w:w="705" w:type="pct"/>
            <w:tcBorders>
              <w:top w:val="nil"/>
              <w:left w:val="nil"/>
              <w:bottom w:val="single" w:sz="4" w:space="0" w:color="auto"/>
              <w:right w:val="single" w:sz="4" w:space="0" w:color="auto"/>
            </w:tcBorders>
            <w:shd w:val="clear" w:color="auto" w:fill="auto"/>
            <w:noWrap/>
            <w:vAlign w:val="center"/>
            <w:hideMark/>
          </w:tcPr>
          <w:p w14:paraId="7BC365F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306.64</w:t>
            </w:r>
          </w:p>
        </w:tc>
        <w:tc>
          <w:tcPr>
            <w:tcW w:w="648" w:type="pct"/>
            <w:tcBorders>
              <w:top w:val="nil"/>
              <w:left w:val="nil"/>
              <w:bottom w:val="single" w:sz="4" w:space="0" w:color="auto"/>
              <w:right w:val="single" w:sz="4" w:space="0" w:color="auto"/>
            </w:tcBorders>
            <w:shd w:val="clear" w:color="auto" w:fill="auto"/>
            <w:noWrap/>
            <w:vAlign w:val="center"/>
            <w:hideMark/>
          </w:tcPr>
          <w:p w14:paraId="122BF79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2,655.72</w:t>
            </w:r>
          </w:p>
        </w:tc>
      </w:tr>
      <w:tr w:rsidR="00A046DD" w:rsidRPr="00532C20" w14:paraId="73EA5A4A" w14:textId="77777777">
        <w:trPr>
          <w:trHeight w:val="240"/>
        </w:trPr>
        <w:tc>
          <w:tcPr>
            <w:tcW w:w="941" w:type="pct"/>
            <w:tcBorders>
              <w:top w:val="nil"/>
              <w:left w:val="single" w:sz="4" w:space="0" w:color="auto"/>
              <w:bottom w:val="single" w:sz="4" w:space="0" w:color="auto"/>
              <w:right w:val="single" w:sz="4" w:space="0" w:color="auto"/>
            </w:tcBorders>
            <w:shd w:val="clear" w:color="auto" w:fill="D9D9D9"/>
            <w:noWrap/>
            <w:vAlign w:val="center"/>
            <w:hideMark/>
          </w:tcPr>
          <w:p w14:paraId="68DA1216"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Sweden</w:t>
            </w:r>
          </w:p>
        </w:tc>
        <w:tc>
          <w:tcPr>
            <w:tcW w:w="705" w:type="pct"/>
            <w:tcBorders>
              <w:top w:val="nil"/>
              <w:left w:val="nil"/>
              <w:bottom w:val="single" w:sz="4" w:space="0" w:color="auto"/>
              <w:right w:val="single" w:sz="4" w:space="0" w:color="auto"/>
            </w:tcBorders>
            <w:shd w:val="clear" w:color="auto" w:fill="auto"/>
            <w:noWrap/>
            <w:vAlign w:val="center"/>
            <w:hideMark/>
          </w:tcPr>
          <w:p w14:paraId="10F4BAA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321.13</w:t>
            </w:r>
          </w:p>
        </w:tc>
        <w:tc>
          <w:tcPr>
            <w:tcW w:w="648" w:type="pct"/>
            <w:tcBorders>
              <w:top w:val="nil"/>
              <w:left w:val="nil"/>
              <w:bottom w:val="single" w:sz="4" w:space="0" w:color="auto"/>
              <w:right w:val="single" w:sz="4" w:space="0" w:color="auto"/>
            </w:tcBorders>
            <w:shd w:val="clear" w:color="auto" w:fill="auto"/>
            <w:noWrap/>
            <w:vAlign w:val="center"/>
            <w:hideMark/>
          </w:tcPr>
          <w:p w14:paraId="17A83D6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874.16</w:t>
            </w:r>
          </w:p>
        </w:tc>
        <w:tc>
          <w:tcPr>
            <w:tcW w:w="705" w:type="pct"/>
            <w:tcBorders>
              <w:top w:val="nil"/>
              <w:left w:val="nil"/>
              <w:bottom w:val="single" w:sz="4" w:space="0" w:color="auto"/>
              <w:right w:val="single" w:sz="4" w:space="0" w:color="auto"/>
            </w:tcBorders>
            <w:shd w:val="clear" w:color="auto" w:fill="auto"/>
            <w:noWrap/>
            <w:vAlign w:val="center"/>
            <w:hideMark/>
          </w:tcPr>
          <w:p w14:paraId="2C496C5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401.42</w:t>
            </w:r>
          </w:p>
        </w:tc>
        <w:tc>
          <w:tcPr>
            <w:tcW w:w="648" w:type="pct"/>
            <w:tcBorders>
              <w:top w:val="nil"/>
              <w:left w:val="nil"/>
              <w:bottom w:val="single" w:sz="4" w:space="0" w:color="auto"/>
              <w:right w:val="single" w:sz="4" w:space="0" w:color="auto"/>
            </w:tcBorders>
            <w:shd w:val="clear" w:color="auto" w:fill="auto"/>
            <w:noWrap/>
            <w:vAlign w:val="center"/>
            <w:hideMark/>
          </w:tcPr>
          <w:p w14:paraId="17CF2FF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2,185.39</w:t>
            </w:r>
          </w:p>
        </w:tc>
        <w:tc>
          <w:tcPr>
            <w:tcW w:w="705" w:type="pct"/>
            <w:tcBorders>
              <w:top w:val="nil"/>
              <w:left w:val="nil"/>
              <w:bottom w:val="single" w:sz="4" w:space="0" w:color="auto"/>
              <w:right w:val="single" w:sz="4" w:space="0" w:color="auto"/>
            </w:tcBorders>
            <w:shd w:val="clear" w:color="auto" w:fill="auto"/>
            <w:noWrap/>
            <w:vAlign w:val="center"/>
            <w:hideMark/>
          </w:tcPr>
          <w:p w14:paraId="026FB3B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481.70</w:t>
            </w:r>
          </w:p>
        </w:tc>
        <w:tc>
          <w:tcPr>
            <w:tcW w:w="648" w:type="pct"/>
            <w:tcBorders>
              <w:top w:val="nil"/>
              <w:left w:val="nil"/>
              <w:bottom w:val="single" w:sz="4" w:space="0" w:color="auto"/>
              <w:right w:val="single" w:sz="4" w:space="0" w:color="auto"/>
            </w:tcBorders>
            <w:shd w:val="clear" w:color="auto" w:fill="auto"/>
            <w:noWrap/>
            <w:vAlign w:val="center"/>
            <w:hideMark/>
          </w:tcPr>
          <w:p w14:paraId="124ECBB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3,933.71</w:t>
            </w:r>
          </w:p>
        </w:tc>
      </w:tr>
      <w:tr w:rsidR="00A046DD" w:rsidRPr="00532C20" w14:paraId="327C7AF8" w14:textId="77777777">
        <w:trPr>
          <w:trHeight w:val="240"/>
        </w:trPr>
        <w:tc>
          <w:tcPr>
            <w:tcW w:w="941" w:type="pct"/>
            <w:tcBorders>
              <w:top w:val="nil"/>
              <w:left w:val="single" w:sz="4" w:space="0" w:color="auto"/>
              <w:bottom w:val="single" w:sz="4" w:space="0" w:color="auto"/>
              <w:right w:val="single" w:sz="4" w:space="0" w:color="auto"/>
            </w:tcBorders>
            <w:shd w:val="clear" w:color="000000" w:fill="44546A"/>
            <w:noWrap/>
            <w:vAlign w:val="center"/>
            <w:hideMark/>
          </w:tcPr>
          <w:p w14:paraId="0096B0D0"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EU-27 Total (per ISCO)</w:t>
            </w:r>
          </w:p>
        </w:tc>
        <w:tc>
          <w:tcPr>
            <w:tcW w:w="705" w:type="pct"/>
            <w:tcBorders>
              <w:top w:val="nil"/>
              <w:left w:val="nil"/>
              <w:bottom w:val="single" w:sz="4" w:space="0" w:color="auto"/>
              <w:right w:val="single" w:sz="4" w:space="0" w:color="auto"/>
            </w:tcBorders>
            <w:shd w:val="clear" w:color="auto" w:fill="D9D9D9"/>
            <w:noWrap/>
            <w:vAlign w:val="center"/>
            <w:hideMark/>
          </w:tcPr>
          <w:p w14:paraId="3009CCA4"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10,216.01</w:t>
            </w:r>
          </w:p>
        </w:tc>
        <w:tc>
          <w:tcPr>
            <w:tcW w:w="648" w:type="pct"/>
            <w:tcBorders>
              <w:top w:val="nil"/>
              <w:left w:val="nil"/>
              <w:bottom w:val="single" w:sz="4" w:space="0" w:color="auto"/>
              <w:right w:val="single" w:sz="4" w:space="0" w:color="auto"/>
            </w:tcBorders>
            <w:shd w:val="clear" w:color="auto" w:fill="D9D9D9"/>
            <w:noWrap/>
            <w:vAlign w:val="center"/>
            <w:hideMark/>
          </w:tcPr>
          <w:p w14:paraId="02FC8873"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27,962.36</w:t>
            </w:r>
          </w:p>
        </w:tc>
        <w:tc>
          <w:tcPr>
            <w:tcW w:w="705" w:type="pct"/>
            <w:tcBorders>
              <w:top w:val="nil"/>
              <w:left w:val="nil"/>
              <w:bottom w:val="single" w:sz="4" w:space="0" w:color="auto"/>
              <w:right w:val="single" w:sz="4" w:space="0" w:color="auto"/>
            </w:tcBorders>
            <w:shd w:val="clear" w:color="auto" w:fill="D9D9D9"/>
            <w:noWrap/>
            <w:vAlign w:val="center"/>
            <w:hideMark/>
          </w:tcPr>
          <w:p w14:paraId="2D0B4CBA"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12,770.01</w:t>
            </w:r>
          </w:p>
        </w:tc>
        <w:tc>
          <w:tcPr>
            <w:tcW w:w="648" w:type="pct"/>
            <w:tcBorders>
              <w:top w:val="nil"/>
              <w:left w:val="nil"/>
              <w:bottom w:val="single" w:sz="4" w:space="0" w:color="auto"/>
              <w:right w:val="single" w:sz="4" w:space="0" w:color="auto"/>
            </w:tcBorders>
            <w:shd w:val="clear" w:color="auto" w:fill="D9D9D9"/>
            <w:noWrap/>
            <w:vAlign w:val="center"/>
            <w:hideMark/>
          </w:tcPr>
          <w:p w14:paraId="258B4C76"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69,905.90</w:t>
            </w:r>
          </w:p>
        </w:tc>
        <w:tc>
          <w:tcPr>
            <w:tcW w:w="705" w:type="pct"/>
            <w:tcBorders>
              <w:top w:val="nil"/>
              <w:left w:val="nil"/>
              <w:bottom w:val="single" w:sz="4" w:space="0" w:color="auto"/>
              <w:right w:val="single" w:sz="4" w:space="0" w:color="auto"/>
            </w:tcBorders>
            <w:shd w:val="clear" w:color="auto" w:fill="D9D9D9"/>
            <w:noWrap/>
            <w:vAlign w:val="center"/>
            <w:hideMark/>
          </w:tcPr>
          <w:p w14:paraId="6C010545"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15,324.02</w:t>
            </w:r>
          </w:p>
        </w:tc>
        <w:tc>
          <w:tcPr>
            <w:tcW w:w="648" w:type="pct"/>
            <w:tcBorders>
              <w:top w:val="nil"/>
              <w:left w:val="nil"/>
              <w:bottom w:val="single" w:sz="4" w:space="0" w:color="auto"/>
              <w:right w:val="single" w:sz="4" w:space="0" w:color="auto"/>
            </w:tcBorders>
            <w:shd w:val="clear" w:color="auto" w:fill="D9D9D9"/>
            <w:noWrap/>
            <w:vAlign w:val="center"/>
            <w:hideMark/>
          </w:tcPr>
          <w:p w14:paraId="7E342BAD"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125,830.62</w:t>
            </w:r>
          </w:p>
        </w:tc>
      </w:tr>
      <w:tr w:rsidR="00A046DD" w:rsidRPr="00532C20" w14:paraId="77761D64" w14:textId="77777777">
        <w:trPr>
          <w:trHeight w:val="240"/>
        </w:trPr>
        <w:tc>
          <w:tcPr>
            <w:tcW w:w="941" w:type="pct"/>
            <w:tcBorders>
              <w:top w:val="nil"/>
              <w:left w:val="single" w:sz="4" w:space="0" w:color="auto"/>
              <w:bottom w:val="single" w:sz="4" w:space="0" w:color="auto"/>
              <w:right w:val="single" w:sz="4" w:space="0" w:color="auto"/>
            </w:tcBorders>
            <w:shd w:val="clear" w:color="000000" w:fill="44546A"/>
            <w:noWrap/>
            <w:vAlign w:val="center"/>
            <w:hideMark/>
          </w:tcPr>
          <w:p w14:paraId="6C863DF4"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Total (per year)</w:t>
            </w:r>
          </w:p>
        </w:tc>
        <w:tc>
          <w:tcPr>
            <w:tcW w:w="1353"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7503ACE1"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38,178.37</w:t>
            </w:r>
          </w:p>
        </w:tc>
        <w:tc>
          <w:tcPr>
            <w:tcW w:w="1353"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290C1BAA"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82,675.92</w:t>
            </w:r>
          </w:p>
        </w:tc>
        <w:tc>
          <w:tcPr>
            <w:tcW w:w="1353"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508E2033"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141,154.64</w:t>
            </w:r>
          </w:p>
        </w:tc>
      </w:tr>
      <w:tr w:rsidR="00A046DD" w:rsidRPr="00532C20" w14:paraId="0C020473" w14:textId="77777777">
        <w:trPr>
          <w:trHeight w:val="240"/>
        </w:trPr>
        <w:tc>
          <w:tcPr>
            <w:tcW w:w="941" w:type="pct"/>
            <w:tcBorders>
              <w:top w:val="nil"/>
              <w:left w:val="single" w:sz="4" w:space="0" w:color="auto"/>
              <w:bottom w:val="single" w:sz="4" w:space="0" w:color="auto"/>
              <w:right w:val="single" w:sz="4" w:space="0" w:color="auto"/>
            </w:tcBorders>
            <w:shd w:val="clear" w:color="000000" w:fill="44546A"/>
            <w:noWrap/>
            <w:vAlign w:val="center"/>
            <w:hideMark/>
          </w:tcPr>
          <w:p w14:paraId="09526F81"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Total (Years 2-10)</w:t>
            </w:r>
          </w:p>
        </w:tc>
        <w:tc>
          <w:tcPr>
            <w:tcW w:w="1353"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3A8C6A2D"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381,783.72</w:t>
            </w:r>
          </w:p>
        </w:tc>
        <w:tc>
          <w:tcPr>
            <w:tcW w:w="1353"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37D210AC"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826,759.16</w:t>
            </w:r>
          </w:p>
        </w:tc>
        <w:tc>
          <w:tcPr>
            <w:tcW w:w="1353"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10D66589"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1,411,546.40</w:t>
            </w:r>
          </w:p>
        </w:tc>
      </w:tr>
    </w:tbl>
    <w:p w14:paraId="447174C9"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 this basis, the total costs associated with processing and granting licence applications for entities carrying out interest representation activities on behalf of third countries range from EUR 278 thousand to EUR 1.7 million across the 10-year time horizon. These are summarised in the below table.</w:t>
      </w:r>
    </w:p>
    <w:p w14:paraId="4F9A2806" w14:textId="42CB6409"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16</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Policy option </w:t>
      </w:r>
      <w:r w:rsidR="00D47716" w:rsidRPr="00532C20">
        <w:rPr>
          <w:rFonts w:ascii="Times New Roman" w:eastAsia="Times New Roman" w:hAnsi="Times New Roman" w:cs="Times New Roman"/>
          <w:b/>
          <w:noProof/>
          <w:sz w:val="24"/>
          <w:szCs w:val="24"/>
        </w:rPr>
        <w:t>2.2</w:t>
      </w:r>
      <w:r w:rsidRPr="00532C20">
        <w:rPr>
          <w:rFonts w:ascii="Times New Roman" w:eastAsia="Times New Roman" w:hAnsi="Times New Roman" w:cs="Times New Roman"/>
          <w:b/>
          <w:noProof/>
          <w:sz w:val="24"/>
          <w:szCs w:val="24"/>
        </w:rPr>
        <w:t xml:space="preserve"> – Total estimated costs of processing licence applications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4"/>
        <w:gridCol w:w="2180"/>
        <w:gridCol w:w="2182"/>
        <w:gridCol w:w="2180"/>
      </w:tblGrid>
      <w:tr w:rsidR="00A046DD" w:rsidRPr="00532C20" w14:paraId="59472DBC" w14:textId="77777777">
        <w:trPr>
          <w:trHeight w:val="240"/>
        </w:trPr>
        <w:tc>
          <w:tcPr>
            <w:tcW w:w="1372" w:type="pct"/>
            <w:shd w:val="clear" w:color="auto" w:fill="002060"/>
            <w:noWrap/>
            <w:vAlign w:val="center"/>
            <w:hideMark/>
          </w:tcPr>
          <w:p w14:paraId="67FE4252" w14:textId="77777777" w:rsidR="00A046DD" w:rsidRPr="00532C20" w:rsidRDefault="00A046DD" w:rsidP="00A046DD">
            <w:pPr>
              <w:spacing w:after="0" w:line="240" w:lineRule="auto"/>
              <w:rPr>
                <w:rFonts w:ascii="Times New Roman" w:eastAsia="Times New Roman" w:hAnsi="Times New Roman" w:cs="Times New Roman"/>
                <w:noProof/>
                <w:sz w:val="24"/>
                <w:szCs w:val="24"/>
                <w:lang w:eastAsia="en-GB"/>
              </w:rPr>
            </w:pPr>
          </w:p>
        </w:tc>
        <w:tc>
          <w:tcPr>
            <w:tcW w:w="1209" w:type="pct"/>
            <w:shd w:val="clear" w:color="auto" w:fill="002060"/>
            <w:noWrap/>
            <w:vAlign w:val="center"/>
            <w:hideMark/>
          </w:tcPr>
          <w:p w14:paraId="20434352"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Low scenario</w:t>
            </w:r>
            <w:r w:rsidRPr="00532C20">
              <w:rPr>
                <w:rFonts w:ascii="Times New Roman" w:eastAsia="Times New Roman" w:hAnsi="Times New Roman" w:cs="Times New Roman"/>
                <w:b/>
                <w:noProof/>
                <w:sz w:val="24"/>
                <w:szCs w:val="24"/>
                <w:lang w:eastAsia="en-GB"/>
              </w:rPr>
              <w:br/>
              <w:t>(entities &amp; time)</w:t>
            </w:r>
          </w:p>
        </w:tc>
        <w:tc>
          <w:tcPr>
            <w:tcW w:w="1210" w:type="pct"/>
            <w:shd w:val="clear" w:color="auto" w:fill="002060"/>
            <w:noWrap/>
            <w:vAlign w:val="center"/>
            <w:hideMark/>
          </w:tcPr>
          <w:p w14:paraId="4F7A5A1C"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Middle scenario</w:t>
            </w:r>
            <w:r w:rsidRPr="00532C20">
              <w:rPr>
                <w:rFonts w:ascii="Times New Roman" w:eastAsia="Times New Roman" w:hAnsi="Times New Roman" w:cs="Times New Roman"/>
                <w:b/>
                <w:noProof/>
                <w:sz w:val="24"/>
                <w:szCs w:val="24"/>
                <w:lang w:eastAsia="en-GB"/>
              </w:rPr>
              <w:br/>
              <w:t>(entities &amp; time)</w:t>
            </w:r>
          </w:p>
        </w:tc>
        <w:tc>
          <w:tcPr>
            <w:tcW w:w="1210" w:type="pct"/>
            <w:shd w:val="clear" w:color="auto" w:fill="002060"/>
            <w:noWrap/>
            <w:vAlign w:val="center"/>
            <w:hideMark/>
          </w:tcPr>
          <w:p w14:paraId="23DFBC4A"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High scenario</w:t>
            </w:r>
            <w:r w:rsidRPr="00532C20">
              <w:rPr>
                <w:rFonts w:ascii="Times New Roman" w:eastAsia="Times New Roman" w:hAnsi="Times New Roman" w:cs="Times New Roman"/>
                <w:b/>
                <w:noProof/>
                <w:sz w:val="24"/>
                <w:szCs w:val="24"/>
                <w:lang w:eastAsia="en-GB"/>
              </w:rPr>
              <w:br/>
              <w:t>(entities &amp; time)</w:t>
            </w:r>
          </w:p>
        </w:tc>
      </w:tr>
      <w:tr w:rsidR="00A046DD" w:rsidRPr="00532C20" w14:paraId="03C0C2FD" w14:textId="77777777">
        <w:trPr>
          <w:trHeight w:val="240"/>
        </w:trPr>
        <w:tc>
          <w:tcPr>
            <w:tcW w:w="1372" w:type="pct"/>
            <w:shd w:val="clear" w:color="auto" w:fill="D9D9D9"/>
            <w:noWrap/>
            <w:vAlign w:val="center"/>
            <w:hideMark/>
          </w:tcPr>
          <w:p w14:paraId="1AB270BF"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Lower bound (years 1-10)</w:t>
            </w:r>
          </w:p>
        </w:tc>
        <w:tc>
          <w:tcPr>
            <w:tcW w:w="1209" w:type="pct"/>
            <w:shd w:val="clear" w:color="auto" w:fill="auto"/>
            <w:noWrap/>
            <w:vAlign w:val="center"/>
            <w:hideMark/>
          </w:tcPr>
          <w:p w14:paraId="4A9C14FF"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278,367.77</w:t>
            </w:r>
          </w:p>
        </w:tc>
        <w:tc>
          <w:tcPr>
            <w:tcW w:w="1210" w:type="pct"/>
            <w:shd w:val="clear" w:color="auto" w:fill="auto"/>
            <w:noWrap/>
            <w:vAlign w:val="center"/>
            <w:hideMark/>
          </w:tcPr>
          <w:p w14:paraId="60DE4AA9"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602,810.14</w:t>
            </w:r>
          </w:p>
        </w:tc>
        <w:tc>
          <w:tcPr>
            <w:tcW w:w="1210" w:type="pct"/>
            <w:shd w:val="clear" w:color="auto" w:fill="auto"/>
            <w:noWrap/>
            <w:vAlign w:val="center"/>
            <w:hideMark/>
          </w:tcPr>
          <w:p w14:paraId="4AE30EEF"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1,029,192.69</w:t>
            </w:r>
          </w:p>
        </w:tc>
      </w:tr>
      <w:tr w:rsidR="00A046DD" w:rsidRPr="00532C20" w14:paraId="46395B7D" w14:textId="77777777">
        <w:trPr>
          <w:trHeight w:val="240"/>
        </w:trPr>
        <w:tc>
          <w:tcPr>
            <w:tcW w:w="1372" w:type="pct"/>
            <w:shd w:val="clear" w:color="auto" w:fill="D9D9D9"/>
            <w:noWrap/>
            <w:vAlign w:val="center"/>
            <w:hideMark/>
          </w:tcPr>
          <w:p w14:paraId="1505276C" w14:textId="77777777" w:rsidR="00A046DD" w:rsidRPr="00532C20" w:rsidRDefault="00A046DD" w:rsidP="00A046DD">
            <w:pPr>
              <w:spacing w:after="0" w:line="240" w:lineRule="auto"/>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Upper bound (years 1-10)</w:t>
            </w:r>
          </w:p>
        </w:tc>
        <w:tc>
          <w:tcPr>
            <w:tcW w:w="1209" w:type="pct"/>
            <w:shd w:val="clear" w:color="auto" w:fill="auto"/>
            <w:noWrap/>
            <w:vAlign w:val="center"/>
            <w:hideMark/>
          </w:tcPr>
          <w:p w14:paraId="01C626F7"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459,540.08</w:t>
            </w:r>
          </w:p>
        </w:tc>
        <w:tc>
          <w:tcPr>
            <w:tcW w:w="1210" w:type="pct"/>
            <w:shd w:val="clear" w:color="auto" w:fill="auto"/>
            <w:noWrap/>
            <w:vAlign w:val="center"/>
            <w:hideMark/>
          </w:tcPr>
          <w:p w14:paraId="29D18535"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995,141.88</w:t>
            </w:r>
          </w:p>
        </w:tc>
        <w:tc>
          <w:tcPr>
            <w:tcW w:w="1210" w:type="pct"/>
            <w:shd w:val="clear" w:color="auto" w:fill="auto"/>
            <w:noWrap/>
            <w:vAlign w:val="center"/>
            <w:hideMark/>
          </w:tcPr>
          <w:p w14:paraId="65F013ED"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lang w:eastAsia="en-GB"/>
              </w:rPr>
            </w:pPr>
            <w:r w:rsidRPr="00532C20">
              <w:rPr>
                <w:rFonts w:ascii="Times New Roman" w:eastAsia="Times New Roman" w:hAnsi="Times New Roman" w:cs="Times New Roman"/>
                <w:b/>
                <w:noProof/>
                <w:sz w:val="24"/>
                <w:szCs w:val="24"/>
                <w:lang w:eastAsia="en-GB"/>
              </w:rPr>
              <w:t>1,699,030.39</w:t>
            </w:r>
          </w:p>
        </w:tc>
      </w:tr>
    </w:tbl>
    <w:p w14:paraId="1F0D346E" w14:textId="77777777" w:rsidR="00990228" w:rsidRPr="00532C20" w:rsidRDefault="00990228" w:rsidP="00990228">
      <w:pPr>
        <w:rPr>
          <w:noProof/>
        </w:rPr>
      </w:pPr>
    </w:p>
    <w:p w14:paraId="2177B5EF" w14:textId="1C744137" w:rsidR="00A046DD" w:rsidRPr="00532C20" w:rsidRDefault="00A046DD" w:rsidP="0020326D">
      <w:pPr>
        <w:pStyle w:val="ListParagraph"/>
        <w:numPr>
          <w:ilvl w:val="3"/>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Summary of costs: Member State authorities</w:t>
      </w:r>
    </w:p>
    <w:p w14:paraId="088B5E68" w14:textId="0D2CBE2C"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In total, under policy option </w:t>
      </w:r>
      <w:r w:rsidR="00D47716" w:rsidRPr="00532C20">
        <w:rPr>
          <w:rFonts w:ascii="Times New Roman" w:eastAsia="Times New Roman" w:hAnsi="Times New Roman" w:cs="Times New Roman"/>
          <w:noProof/>
          <w:sz w:val="24"/>
          <w:szCs w:val="24"/>
        </w:rPr>
        <w:t>2.2</w:t>
      </w:r>
      <w:r w:rsidRPr="00532C20">
        <w:rPr>
          <w:rFonts w:ascii="Times New Roman" w:eastAsia="Times New Roman" w:hAnsi="Times New Roman" w:cs="Times New Roman"/>
          <w:noProof/>
          <w:sz w:val="24"/>
          <w:szCs w:val="24"/>
        </w:rPr>
        <w:t>, the estimated costs to Member State authorities over a 10-year time horizon can be summarised as follows:</w:t>
      </w:r>
    </w:p>
    <w:p w14:paraId="65B16151" w14:textId="72CBC9B5"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17</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Policy option </w:t>
      </w:r>
      <w:r w:rsidR="00D47716" w:rsidRPr="00532C20">
        <w:rPr>
          <w:rFonts w:ascii="Times New Roman" w:eastAsia="Times New Roman" w:hAnsi="Times New Roman" w:cs="Times New Roman"/>
          <w:b/>
          <w:noProof/>
          <w:sz w:val="24"/>
          <w:szCs w:val="24"/>
        </w:rPr>
        <w:t>2.2</w:t>
      </w:r>
      <w:r w:rsidRPr="00532C20">
        <w:rPr>
          <w:rFonts w:ascii="Times New Roman" w:eastAsia="Times New Roman" w:hAnsi="Times New Roman" w:cs="Times New Roman"/>
          <w:b/>
          <w:noProof/>
          <w:sz w:val="24"/>
          <w:szCs w:val="24"/>
        </w:rPr>
        <w:t xml:space="preserve"> – Summary of total costs to Member State authorities (over 10-years)</w:t>
      </w:r>
    </w:p>
    <w:tbl>
      <w:tblPr>
        <w:tblStyle w:val="12uCharChar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1672"/>
        <w:gridCol w:w="1936"/>
        <w:gridCol w:w="1762"/>
      </w:tblGrid>
      <w:tr w:rsidR="00A046DD" w:rsidRPr="00532C20" w14:paraId="16E3D083"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3401" w:type="dxa"/>
            <w:shd w:val="clear" w:color="auto" w:fill="002060"/>
            <w:vAlign w:val="center"/>
          </w:tcPr>
          <w:p w14:paraId="60EF60B4" w14:textId="77777777" w:rsidR="00A046DD" w:rsidRPr="00313F32" w:rsidRDefault="00A046DD" w:rsidP="00A046DD">
            <w:pPr>
              <w:rPr>
                <w:rFonts w:ascii="Times New Roman" w:eastAsia="Times" w:hAnsi="Times New Roman" w:cs="Times"/>
                <w:b/>
                <w:noProof/>
                <w:color w:val="auto"/>
                <w:sz w:val="24"/>
                <w:szCs w:val="24"/>
                <w:lang w:val="en-GB"/>
              </w:rPr>
            </w:pPr>
            <w:bookmarkStart w:id="1169" w:name="_Hlk147415352"/>
            <w:r w:rsidRPr="00313F32">
              <w:rPr>
                <w:rFonts w:ascii="Times New Roman" w:eastAsia="Times" w:hAnsi="Times New Roman" w:cs="Times"/>
                <w:b/>
                <w:noProof/>
                <w:sz w:val="24"/>
                <w:szCs w:val="24"/>
                <w:lang w:val="fr-FR"/>
              </w:rPr>
              <w:t>Cost item</w:t>
            </w:r>
          </w:p>
        </w:tc>
        <w:tc>
          <w:tcPr>
            <w:tcW w:w="1672" w:type="dxa"/>
            <w:shd w:val="clear" w:color="auto" w:fill="002060"/>
            <w:vAlign w:val="center"/>
          </w:tcPr>
          <w:p w14:paraId="5A5DB208" w14:textId="77777777" w:rsidR="00A046DD" w:rsidRPr="00313F32" w:rsidRDefault="00A046DD" w:rsidP="00A046DD">
            <w:pPr>
              <w:jc w:val="center"/>
              <w:rPr>
                <w:rFonts w:ascii="Times New Roman" w:eastAsia="Times" w:hAnsi="Times New Roman" w:cs="Times"/>
                <w:b/>
                <w:noProof/>
                <w:color w:val="auto"/>
                <w:sz w:val="24"/>
                <w:szCs w:val="24"/>
                <w:lang w:val="en-GB"/>
              </w:rPr>
            </w:pPr>
            <w:r w:rsidRPr="00313F32">
              <w:rPr>
                <w:rFonts w:ascii="Times New Roman" w:eastAsia="Times" w:hAnsi="Times New Roman" w:cs="Times"/>
                <w:b/>
                <w:noProof/>
                <w:sz w:val="24"/>
                <w:szCs w:val="24"/>
                <w:lang w:val="fr-FR"/>
              </w:rPr>
              <w:t>Low scenario (EUR)</w:t>
            </w:r>
          </w:p>
        </w:tc>
        <w:tc>
          <w:tcPr>
            <w:tcW w:w="1936" w:type="dxa"/>
            <w:shd w:val="clear" w:color="auto" w:fill="002060"/>
            <w:vAlign w:val="center"/>
          </w:tcPr>
          <w:p w14:paraId="5783B22C" w14:textId="77777777" w:rsidR="00A046DD" w:rsidRPr="00313F32" w:rsidRDefault="00A046DD" w:rsidP="00A046DD">
            <w:pPr>
              <w:jc w:val="center"/>
              <w:rPr>
                <w:rFonts w:ascii="Times New Roman" w:eastAsia="Times" w:hAnsi="Times New Roman" w:cs="Times"/>
                <w:b/>
                <w:noProof/>
                <w:color w:val="auto"/>
                <w:sz w:val="24"/>
                <w:szCs w:val="24"/>
                <w:lang w:val="en-GB"/>
              </w:rPr>
            </w:pPr>
            <w:r w:rsidRPr="00313F32">
              <w:rPr>
                <w:rFonts w:ascii="Times New Roman" w:eastAsia="Times" w:hAnsi="Times New Roman" w:cs="Times"/>
                <w:b/>
                <w:noProof/>
                <w:sz w:val="24"/>
                <w:szCs w:val="24"/>
                <w:lang w:val="fr-FR"/>
              </w:rPr>
              <w:t>Middle scenario (EUR)</w:t>
            </w:r>
          </w:p>
        </w:tc>
        <w:tc>
          <w:tcPr>
            <w:tcW w:w="1762" w:type="dxa"/>
            <w:shd w:val="clear" w:color="auto" w:fill="002060"/>
            <w:vAlign w:val="center"/>
          </w:tcPr>
          <w:p w14:paraId="725736F2" w14:textId="77777777" w:rsidR="00A046DD" w:rsidRPr="00313F32" w:rsidRDefault="00A046DD" w:rsidP="00A046DD">
            <w:pPr>
              <w:jc w:val="center"/>
              <w:rPr>
                <w:rFonts w:ascii="Times New Roman" w:eastAsia="Times" w:hAnsi="Times New Roman" w:cs="Times"/>
                <w:b/>
                <w:noProof/>
                <w:color w:val="auto"/>
                <w:sz w:val="24"/>
                <w:szCs w:val="24"/>
                <w:lang w:val="en-GB"/>
              </w:rPr>
            </w:pPr>
            <w:r w:rsidRPr="00313F32">
              <w:rPr>
                <w:rFonts w:ascii="Times New Roman" w:eastAsia="Times" w:hAnsi="Times New Roman" w:cs="Times"/>
                <w:b/>
                <w:noProof/>
                <w:sz w:val="24"/>
                <w:szCs w:val="24"/>
                <w:lang w:val="fr-FR"/>
              </w:rPr>
              <w:t>High scenario (EUR)</w:t>
            </w:r>
          </w:p>
        </w:tc>
      </w:tr>
      <w:tr w:rsidR="00A046DD" w:rsidRPr="00532C20" w14:paraId="40E6E7C4" w14:textId="77777777">
        <w:trPr>
          <w:trHeight w:val="20"/>
        </w:trPr>
        <w:tc>
          <w:tcPr>
            <w:tcW w:w="3401" w:type="dxa"/>
            <w:shd w:val="clear" w:color="auto" w:fill="D9D9D9"/>
            <w:vAlign w:val="center"/>
          </w:tcPr>
          <w:p w14:paraId="3CC2E8F6"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fr-FR"/>
              </w:rPr>
              <w:t>Familiarisation costs</w:t>
            </w:r>
          </w:p>
        </w:tc>
        <w:tc>
          <w:tcPr>
            <w:tcW w:w="1672" w:type="dxa"/>
            <w:shd w:val="clear" w:color="auto" w:fill="auto"/>
            <w:vAlign w:val="center"/>
          </w:tcPr>
          <w:p w14:paraId="1C700820"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1,533.06</w:t>
            </w:r>
          </w:p>
        </w:tc>
        <w:tc>
          <w:tcPr>
            <w:tcW w:w="1936" w:type="dxa"/>
            <w:shd w:val="clear" w:color="auto" w:fill="auto"/>
            <w:vAlign w:val="center"/>
          </w:tcPr>
          <w:p w14:paraId="10F4768A"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3,066.11</w:t>
            </w:r>
          </w:p>
        </w:tc>
        <w:tc>
          <w:tcPr>
            <w:tcW w:w="1762" w:type="dxa"/>
            <w:shd w:val="clear" w:color="auto" w:fill="auto"/>
            <w:vAlign w:val="center"/>
          </w:tcPr>
          <w:p w14:paraId="0D74477B"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4,599.17</w:t>
            </w:r>
          </w:p>
        </w:tc>
      </w:tr>
      <w:tr w:rsidR="00A046DD" w:rsidRPr="00532C20" w14:paraId="7B4C56E0" w14:textId="77777777">
        <w:trPr>
          <w:trHeight w:val="20"/>
        </w:trPr>
        <w:tc>
          <w:tcPr>
            <w:tcW w:w="3401" w:type="dxa"/>
            <w:shd w:val="clear" w:color="auto" w:fill="D9D9D9"/>
            <w:vAlign w:val="center"/>
          </w:tcPr>
          <w:p w14:paraId="755618E0"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en-IE"/>
              </w:rPr>
              <w:t>Ensuring an appropriate register is in place</w:t>
            </w:r>
          </w:p>
        </w:tc>
        <w:tc>
          <w:tcPr>
            <w:tcW w:w="5370" w:type="dxa"/>
            <w:gridSpan w:val="3"/>
            <w:shd w:val="clear" w:color="auto" w:fill="auto"/>
            <w:vAlign w:val="center"/>
          </w:tcPr>
          <w:p w14:paraId="03053EF1" w14:textId="77777777" w:rsidR="00A046DD" w:rsidRPr="00532C20" w:rsidRDefault="00A046DD" w:rsidP="00A046DD">
            <w:pPr>
              <w:rPr>
                <w:rFonts w:ascii="Times New Roman" w:eastAsia="Times" w:hAnsi="Times New Roman" w:cs="Times"/>
                <w:noProof/>
                <w:sz w:val="24"/>
                <w:szCs w:val="24"/>
                <w:lang w:val="en-GB"/>
              </w:rPr>
            </w:pPr>
            <w:r w:rsidRPr="00532C20">
              <w:rPr>
                <w:rFonts w:ascii="Times New Roman" w:eastAsia="Times" w:hAnsi="Times New Roman" w:cs="Times"/>
                <w:i/>
                <w:noProof/>
                <w:sz w:val="24"/>
                <w:szCs w:val="24"/>
                <w:lang w:val="en-IE"/>
              </w:rPr>
              <w:t>Not possible to ascertain EU-wide costs based on the available data.</w:t>
            </w:r>
          </w:p>
        </w:tc>
      </w:tr>
      <w:tr w:rsidR="00A046DD" w:rsidRPr="00532C20" w14:paraId="6E4A1E7F" w14:textId="77777777">
        <w:trPr>
          <w:trHeight w:val="20"/>
        </w:trPr>
        <w:tc>
          <w:tcPr>
            <w:tcW w:w="3401" w:type="dxa"/>
            <w:shd w:val="clear" w:color="auto" w:fill="D9D9D9"/>
            <w:vAlign w:val="center"/>
          </w:tcPr>
          <w:p w14:paraId="3AADB97A"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en-IE"/>
              </w:rPr>
              <w:t>IT tool maintenance</w:t>
            </w:r>
            <w:r w:rsidRPr="00532C20">
              <w:rPr>
                <w:rFonts w:ascii="Times New Roman" w:eastAsia="Times" w:hAnsi="Times New Roman" w:cs="Times"/>
                <w:noProof/>
                <w:sz w:val="24"/>
                <w:szCs w:val="24"/>
                <w:lang w:val="en-IE"/>
              </w:rPr>
              <w:t xml:space="preserve"> (15 Member States </w:t>
            </w:r>
            <w:r w:rsidRPr="00532C20">
              <w:rPr>
                <w:rFonts w:ascii="Times New Roman" w:eastAsia="Times" w:hAnsi="Times New Roman" w:cs="Times"/>
                <w:b/>
                <w:noProof/>
                <w:sz w:val="24"/>
                <w:szCs w:val="24"/>
                <w:lang w:val="en-IE"/>
              </w:rPr>
              <w:t>with</w:t>
            </w:r>
            <w:r w:rsidRPr="00532C20">
              <w:rPr>
                <w:rFonts w:ascii="Times New Roman" w:eastAsia="Times" w:hAnsi="Times New Roman" w:cs="Times"/>
                <w:noProof/>
                <w:sz w:val="24"/>
                <w:szCs w:val="24"/>
                <w:lang w:val="en-IE"/>
              </w:rPr>
              <w:t xml:space="preserve"> existing IT tools)</w:t>
            </w:r>
          </w:p>
        </w:tc>
        <w:tc>
          <w:tcPr>
            <w:tcW w:w="5370" w:type="dxa"/>
            <w:gridSpan w:val="3"/>
            <w:shd w:val="clear" w:color="auto" w:fill="auto"/>
            <w:vAlign w:val="center"/>
          </w:tcPr>
          <w:p w14:paraId="35B14FAB" w14:textId="77777777" w:rsidR="00A046DD" w:rsidRPr="00532C20" w:rsidRDefault="00A046DD" w:rsidP="00A046DD">
            <w:pPr>
              <w:rPr>
                <w:rFonts w:ascii="Times New Roman" w:eastAsia="Times" w:hAnsi="Times New Roman" w:cs="Times"/>
                <w:i/>
                <w:noProof/>
                <w:sz w:val="24"/>
                <w:szCs w:val="24"/>
                <w:lang w:val="en-GB"/>
              </w:rPr>
            </w:pPr>
            <w:r w:rsidRPr="00532C20">
              <w:rPr>
                <w:rFonts w:ascii="Times New Roman" w:eastAsia="Times" w:hAnsi="Times New Roman" w:cs="Times"/>
                <w:i/>
                <w:noProof/>
                <w:sz w:val="24"/>
                <w:szCs w:val="24"/>
                <w:lang w:val="en-IE"/>
              </w:rPr>
              <w:t xml:space="preserve">Costs are considered to be business as usual (BaU) costs. </w:t>
            </w:r>
          </w:p>
        </w:tc>
      </w:tr>
      <w:tr w:rsidR="00A046DD" w:rsidRPr="00532C20" w14:paraId="64741C01" w14:textId="77777777">
        <w:trPr>
          <w:trHeight w:val="20"/>
        </w:trPr>
        <w:tc>
          <w:tcPr>
            <w:tcW w:w="3401" w:type="dxa"/>
            <w:shd w:val="clear" w:color="auto" w:fill="D9D9D9"/>
            <w:vAlign w:val="center"/>
          </w:tcPr>
          <w:p w14:paraId="2C80E400"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en-IE"/>
              </w:rPr>
              <w:t xml:space="preserve">IT tool maintenance </w:t>
            </w:r>
            <w:r w:rsidRPr="00532C20">
              <w:rPr>
                <w:rFonts w:ascii="Times New Roman" w:eastAsia="Times" w:hAnsi="Times New Roman" w:cs="Times"/>
                <w:noProof/>
                <w:sz w:val="24"/>
                <w:szCs w:val="24"/>
                <w:lang w:val="en-IE"/>
              </w:rPr>
              <w:t xml:space="preserve">(12 Member States </w:t>
            </w:r>
            <w:r w:rsidRPr="00532C20">
              <w:rPr>
                <w:rFonts w:ascii="Times New Roman" w:eastAsia="Times" w:hAnsi="Times New Roman" w:cs="Times"/>
                <w:b/>
                <w:noProof/>
                <w:sz w:val="24"/>
                <w:szCs w:val="24"/>
                <w:lang w:val="en-IE"/>
              </w:rPr>
              <w:t>without</w:t>
            </w:r>
            <w:r w:rsidRPr="00532C20">
              <w:rPr>
                <w:rFonts w:ascii="Times New Roman" w:eastAsia="Times" w:hAnsi="Times New Roman" w:cs="Times"/>
                <w:noProof/>
                <w:sz w:val="24"/>
                <w:szCs w:val="24"/>
                <w:lang w:val="en-IE"/>
              </w:rPr>
              <w:t xml:space="preserve"> existing IT tools)</w:t>
            </w:r>
          </w:p>
        </w:tc>
        <w:tc>
          <w:tcPr>
            <w:tcW w:w="1672" w:type="dxa"/>
            <w:shd w:val="clear" w:color="auto" w:fill="auto"/>
            <w:vAlign w:val="center"/>
          </w:tcPr>
          <w:p w14:paraId="67B7A332"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540,000.00</w:t>
            </w:r>
          </w:p>
        </w:tc>
        <w:tc>
          <w:tcPr>
            <w:tcW w:w="1936" w:type="dxa"/>
            <w:shd w:val="clear" w:color="auto" w:fill="auto"/>
            <w:vAlign w:val="center"/>
          </w:tcPr>
          <w:p w14:paraId="0AFCB525"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2,160,000.00</w:t>
            </w:r>
          </w:p>
        </w:tc>
        <w:tc>
          <w:tcPr>
            <w:tcW w:w="1762" w:type="dxa"/>
            <w:shd w:val="clear" w:color="auto" w:fill="auto"/>
            <w:vAlign w:val="center"/>
          </w:tcPr>
          <w:p w14:paraId="1BBE0936"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4,860,000.00</w:t>
            </w:r>
          </w:p>
        </w:tc>
      </w:tr>
      <w:tr w:rsidR="00A046DD" w:rsidRPr="00532C20" w14:paraId="1874095A" w14:textId="77777777">
        <w:trPr>
          <w:trHeight w:val="20"/>
        </w:trPr>
        <w:tc>
          <w:tcPr>
            <w:tcW w:w="3401" w:type="dxa"/>
            <w:shd w:val="clear" w:color="auto" w:fill="D9D9D9"/>
            <w:vAlign w:val="center"/>
          </w:tcPr>
          <w:p w14:paraId="556345D4"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en-IE"/>
              </w:rPr>
              <w:t>Implementing appropriate management, monitoring and enforcement mechanisms</w:t>
            </w:r>
          </w:p>
        </w:tc>
        <w:tc>
          <w:tcPr>
            <w:tcW w:w="1672" w:type="dxa"/>
            <w:shd w:val="clear" w:color="auto" w:fill="auto"/>
            <w:vAlign w:val="center"/>
          </w:tcPr>
          <w:p w14:paraId="5C7AAC55"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5,654,945.59</w:t>
            </w:r>
          </w:p>
        </w:tc>
        <w:tc>
          <w:tcPr>
            <w:tcW w:w="1936" w:type="dxa"/>
            <w:shd w:val="clear" w:color="auto" w:fill="auto"/>
            <w:vAlign w:val="center"/>
          </w:tcPr>
          <w:p w14:paraId="69321C4E"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7,068,681.99</w:t>
            </w:r>
          </w:p>
        </w:tc>
        <w:tc>
          <w:tcPr>
            <w:tcW w:w="1762" w:type="dxa"/>
            <w:shd w:val="clear" w:color="auto" w:fill="auto"/>
            <w:vAlign w:val="center"/>
          </w:tcPr>
          <w:p w14:paraId="4274DDF6"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8,482,418.39</w:t>
            </w:r>
          </w:p>
        </w:tc>
      </w:tr>
      <w:tr w:rsidR="00A046DD" w:rsidRPr="00532C20" w14:paraId="4AAEB466" w14:textId="77777777">
        <w:trPr>
          <w:trHeight w:val="20"/>
        </w:trPr>
        <w:tc>
          <w:tcPr>
            <w:tcW w:w="3401" w:type="dxa"/>
            <w:shd w:val="clear" w:color="auto" w:fill="D9D9D9"/>
            <w:vAlign w:val="center"/>
          </w:tcPr>
          <w:p w14:paraId="36977326"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en-IE"/>
              </w:rPr>
              <w:t>Operating the system for processing licence applications</w:t>
            </w:r>
          </w:p>
        </w:tc>
        <w:tc>
          <w:tcPr>
            <w:tcW w:w="1672" w:type="dxa"/>
            <w:shd w:val="clear" w:color="auto" w:fill="auto"/>
            <w:vAlign w:val="center"/>
          </w:tcPr>
          <w:p w14:paraId="6B294E25"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278,367.77</w:t>
            </w:r>
          </w:p>
        </w:tc>
        <w:tc>
          <w:tcPr>
            <w:tcW w:w="1936" w:type="dxa"/>
            <w:shd w:val="clear" w:color="auto" w:fill="auto"/>
            <w:vAlign w:val="center"/>
          </w:tcPr>
          <w:p w14:paraId="2AA7DD60"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798,976.01</w:t>
            </w:r>
            <w:r w:rsidRPr="00532C20">
              <w:rPr>
                <w:rFonts w:ascii="Times New Roman" w:eastAsia="Times" w:hAnsi="Times New Roman" w:cs="Times"/>
                <w:noProof/>
                <w:sz w:val="24"/>
                <w:szCs w:val="24"/>
                <w:vertAlign w:val="superscript"/>
                <w:lang w:val="fr-FR"/>
              </w:rPr>
              <w:t>(1)</w:t>
            </w:r>
          </w:p>
        </w:tc>
        <w:tc>
          <w:tcPr>
            <w:tcW w:w="1762" w:type="dxa"/>
            <w:shd w:val="clear" w:color="auto" w:fill="auto"/>
            <w:vAlign w:val="center"/>
          </w:tcPr>
          <w:p w14:paraId="04E47023"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1,699,030.39</w:t>
            </w:r>
          </w:p>
        </w:tc>
      </w:tr>
      <w:tr w:rsidR="00A046DD" w:rsidRPr="00532C20" w14:paraId="27839AA3" w14:textId="77777777">
        <w:trPr>
          <w:trHeight w:val="20"/>
        </w:trPr>
        <w:tc>
          <w:tcPr>
            <w:tcW w:w="0" w:type="dxa"/>
            <w:shd w:val="clear" w:color="auto" w:fill="0C4DA2"/>
            <w:vAlign w:val="center"/>
          </w:tcPr>
          <w:p w14:paraId="2B4B840C" w14:textId="77777777" w:rsidR="00A046DD" w:rsidRPr="00532C20" w:rsidRDefault="00A046DD" w:rsidP="00A046DD">
            <w:pPr>
              <w:rPr>
                <w:rFonts w:ascii="Times New Roman" w:eastAsia="Times" w:hAnsi="Times New Roman" w:cs="Times"/>
                <w:b/>
                <w:noProof/>
                <w:color w:val="FFFFFF"/>
                <w:sz w:val="24"/>
                <w:szCs w:val="24"/>
                <w:lang w:val="en-GB"/>
              </w:rPr>
            </w:pPr>
            <w:r w:rsidRPr="00532C20">
              <w:rPr>
                <w:rFonts w:ascii="Times New Roman" w:eastAsia="Times" w:hAnsi="Times New Roman" w:cs="Times"/>
                <w:b/>
                <w:noProof/>
                <w:color w:val="FFFFFF"/>
                <w:sz w:val="24"/>
                <w:szCs w:val="24"/>
                <w:lang w:val="fr-FR"/>
              </w:rPr>
              <w:t>Total:</w:t>
            </w:r>
          </w:p>
        </w:tc>
        <w:tc>
          <w:tcPr>
            <w:tcW w:w="0" w:type="dxa"/>
            <w:shd w:val="clear" w:color="auto" w:fill="D9D9D9"/>
          </w:tcPr>
          <w:p w14:paraId="0B1595C8" w14:textId="77777777" w:rsidR="00A046DD" w:rsidRPr="00532C20" w:rsidRDefault="00A046DD" w:rsidP="00A046DD">
            <w:pPr>
              <w:jc w:val="right"/>
              <w:rPr>
                <w:rFonts w:ascii="Times New Roman" w:eastAsia="Times" w:hAnsi="Times New Roman" w:cs="Times"/>
                <w:b/>
                <w:noProof/>
                <w:sz w:val="24"/>
                <w:szCs w:val="24"/>
                <w:lang w:val="en-GB"/>
              </w:rPr>
            </w:pPr>
            <w:r w:rsidRPr="00532C20">
              <w:rPr>
                <w:rFonts w:ascii="Times New Roman" w:hAnsi="Times New Roman"/>
                <w:b/>
                <w:noProof/>
                <w:sz w:val="24"/>
                <w:szCs w:val="24"/>
              </w:rPr>
              <w:t>6,474,846.42</w:t>
            </w:r>
          </w:p>
        </w:tc>
        <w:tc>
          <w:tcPr>
            <w:tcW w:w="0" w:type="dxa"/>
            <w:shd w:val="clear" w:color="auto" w:fill="D9D9D9"/>
          </w:tcPr>
          <w:p w14:paraId="561FCFD4" w14:textId="77777777" w:rsidR="00A046DD" w:rsidRPr="00532C20" w:rsidRDefault="00A046DD" w:rsidP="00A046DD">
            <w:pPr>
              <w:jc w:val="right"/>
              <w:rPr>
                <w:rFonts w:ascii="Times New Roman" w:eastAsia="Times" w:hAnsi="Times New Roman" w:cs="Times"/>
                <w:b/>
                <w:noProof/>
                <w:sz w:val="24"/>
                <w:szCs w:val="24"/>
                <w:lang w:val="en-GB"/>
              </w:rPr>
            </w:pPr>
            <w:r w:rsidRPr="00532C20">
              <w:rPr>
                <w:rFonts w:ascii="Times New Roman" w:hAnsi="Times New Roman"/>
                <w:b/>
                <w:noProof/>
                <w:sz w:val="24"/>
                <w:szCs w:val="24"/>
              </w:rPr>
              <w:t>10,030,724.11</w:t>
            </w:r>
          </w:p>
        </w:tc>
        <w:tc>
          <w:tcPr>
            <w:tcW w:w="0" w:type="dxa"/>
            <w:shd w:val="clear" w:color="auto" w:fill="D9D9D9"/>
          </w:tcPr>
          <w:p w14:paraId="1D74DE5F" w14:textId="77777777" w:rsidR="00A046DD" w:rsidRPr="00532C20" w:rsidRDefault="00A046DD" w:rsidP="00A046DD">
            <w:pPr>
              <w:jc w:val="right"/>
              <w:rPr>
                <w:rFonts w:ascii="Times New Roman" w:eastAsia="Times" w:hAnsi="Times New Roman" w:cs="Times"/>
                <w:b/>
                <w:noProof/>
                <w:sz w:val="24"/>
                <w:szCs w:val="24"/>
                <w:lang w:val="en-GB"/>
              </w:rPr>
            </w:pPr>
            <w:r w:rsidRPr="00532C20">
              <w:rPr>
                <w:rFonts w:ascii="Times New Roman" w:hAnsi="Times New Roman"/>
                <w:b/>
                <w:noProof/>
                <w:sz w:val="24"/>
                <w:szCs w:val="24"/>
              </w:rPr>
              <w:t>15,046,047.95</w:t>
            </w:r>
          </w:p>
        </w:tc>
      </w:tr>
    </w:tbl>
    <w:bookmarkEnd w:id="1169"/>
    <w:p w14:paraId="7ED0148F" w14:textId="77777777" w:rsidR="00A046DD" w:rsidRPr="005833C4" w:rsidRDefault="00A046DD" w:rsidP="00A046DD">
      <w:pPr>
        <w:spacing w:before="120" w:after="120" w:line="240" w:lineRule="auto"/>
        <w:jc w:val="both"/>
        <w:rPr>
          <w:rFonts w:ascii="Times New Roman" w:eastAsia="Times New Roman" w:hAnsi="Times New Roman" w:cs="Times New Roman"/>
          <w:noProof/>
          <w:sz w:val="20"/>
          <w:szCs w:val="20"/>
        </w:rPr>
      </w:pPr>
      <w:r w:rsidRPr="005833C4">
        <w:rPr>
          <w:rFonts w:ascii="Times New Roman" w:eastAsia="Times New Roman" w:hAnsi="Times New Roman" w:cs="Times New Roman"/>
          <w:noProof/>
          <w:sz w:val="20"/>
          <w:szCs w:val="20"/>
          <w:vertAlign w:val="superscript"/>
        </w:rPr>
        <w:t>(1)</w:t>
      </w:r>
      <w:r w:rsidRPr="005833C4">
        <w:rPr>
          <w:rFonts w:ascii="Times New Roman" w:eastAsia="Times New Roman" w:hAnsi="Times New Roman" w:cs="Times New Roman"/>
          <w:noProof/>
          <w:sz w:val="20"/>
          <w:szCs w:val="20"/>
        </w:rPr>
        <w:t xml:space="preserve"> Given the use of 2 bounds in the calculation of the estimated costs of processing licence applications, the middle scenario presented here is an average of the lower and upper bounds in the middle scenario.</w:t>
      </w:r>
    </w:p>
    <w:p w14:paraId="30EF3E30" w14:textId="77777777" w:rsidR="00A046DD" w:rsidRPr="00532C20" w:rsidRDefault="00A046DD" w:rsidP="0020326D">
      <w:pPr>
        <w:pStyle w:val="ListParagraph"/>
        <w:numPr>
          <w:ilvl w:val="1"/>
          <w:numId w:val="76"/>
        </w:numPr>
        <w:rPr>
          <w:rFonts w:eastAsia="Symbol" w:cs="Times New Roman"/>
          <w:b/>
          <w:noProof/>
        </w:rPr>
      </w:pPr>
      <w:r w:rsidRPr="00532C20">
        <w:rPr>
          <w:rFonts w:ascii="Times New Roman" w:eastAsia="Times New Roman" w:hAnsi="Times New Roman" w:cs="Times New Roman"/>
          <w:b/>
          <w:bCs/>
          <w:noProof/>
          <w:u w:val="single"/>
        </w:rPr>
        <w:t>Costs for entities carrying out interest representation activities on behalf of third countries</w:t>
      </w:r>
    </w:p>
    <w:p w14:paraId="653195FF"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line with the detailed assessment of the practical implications of the proposed policy options presented, the following main cost types are relevant to entities conducting interest representation activities across the 3 policy options.</w:t>
      </w:r>
    </w:p>
    <w:p w14:paraId="3A543A51" w14:textId="77777777" w:rsidR="00A046DD" w:rsidRPr="00532C20" w:rsidRDefault="00A046DD" w:rsidP="002B0B48">
      <w:pPr>
        <w:numPr>
          <w:ilvl w:val="0"/>
          <w:numId w:val="60"/>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Familiarisation costs</w:t>
      </w:r>
      <w:r w:rsidRPr="00532C20">
        <w:rPr>
          <w:rFonts w:ascii="Times New Roman" w:eastAsia="Times New Roman" w:hAnsi="Times New Roman" w:cs="Times New Roman"/>
          <w:noProof/>
          <w:sz w:val="24"/>
          <w:szCs w:val="24"/>
          <w:lang w:eastAsia="en-GB"/>
        </w:rPr>
        <w:t>: It is assumed that all entities in the impacted sectors will need to spend time familiarising themselves with the new requirements, even if only to determine that they are out of scope. As such, the familiarisation costs will apply to all commercial and non-commercial entities carrying out interest representation activities, not just those operating on behalf of third countries. It is assumed that such costs will occur once per entity.</w:t>
      </w:r>
    </w:p>
    <w:p w14:paraId="4C4E17BB" w14:textId="3BCEEB97" w:rsidR="00A046DD" w:rsidRPr="00532C20" w:rsidRDefault="00A046DD" w:rsidP="00A046DD">
      <w:pPr>
        <w:spacing w:before="120" w:after="120" w:line="240" w:lineRule="auto"/>
        <w:ind w:left="720"/>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 xml:space="preserve">For policy options </w:t>
      </w:r>
      <w:r w:rsidR="00D47716" w:rsidRPr="00532C20">
        <w:rPr>
          <w:rFonts w:ascii="Times New Roman" w:eastAsia="Times New Roman" w:hAnsi="Times New Roman" w:cs="Times New Roman"/>
          <w:noProof/>
          <w:sz w:val="24"/>
          <w:szCs w:val="24"/>
          <w:lang w:eastAsia="en-GB"/>
        </w:rPr>
        <w:t>2.1</w:t>
      </w:r>
      <w:r w:rsidRPr="00532C20">
        <w:rPr>
          <w:rFonts w:ascii="Times New Roman" w:eastAsia="Times New Roman" w:hAnsi="Times New Roman" w:cs="Times New Roman"/>
          <w:noProof/>
          <w:sz w:val="24"/>
          <w:szCs w:val="24"/>
          <w:lang w:eastAsia="en-GB"/>
        </w:rPr>
        <w:t xml:space="preserve"> and </w:t>
      </w:r>
      <w:r w:rsidR="00D47716" w:rsidRPr="00532C20">
        <w:rPr>
          <w:rFonts w:ascii="Times New Roman" w:eastAsia="Times New Roman" w:hAnsi="Times New Roman" w:cs="Times New Roman"/>
          <w:noProof/>
          <w:sz w:val="24"/>
          <w:szCs w:val="24"/>
          <w:lang w:eastAsia="en-GB"/>
        </w:rPr>
        <w:t>2.2</w:t>
      </w:r>
      <w:r w:rsidRPr="00532C20">
        <w:rPr>
          <w:rFonts w:ascii="Times New Roman" w:eastAsia="Times New Roman" w:hAnsi="Times New Roman" w:cs="Times New Roman"/>
          <w:noProof/>
          <w:sz w:val="24"/>
          <w:szCs w:val="24"/>
          <w:lang w:eastAsia="en-GB"/>
        </w:rPr>
        <w:t>, these costs will result directly from the proposed EU intervention and will be the same for both options. For policy option 1, no costs will stem directly from the recommendations proposed. However, costs will be incurred indirectly by such entities, due to the need to familiarise themselves with measures implemented independently by Member State authorities as a result of the recommendations under option 1.</w:t>
      </w:r>
    </w:p>
    <w:p w14:paraId="6AF146C2" w14:textId="050016BA" w:rsidR="00A046DD" w:rsidRPr="00532C20" w:rsidRDefault="00A046DD" w:rsidP="002B0B48">
      <w:pPr>
        <w:numPr>
          <w:ilvl w:val="0"/>
          <w:numId w:val="60"/>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Registration and information update costs</w:t>
      </w:r>
      <w:r w:rsidRPr="00532C20">
        <w:rPr>
          <w:rFonts w:ascii="Times New Roman" w:eastAsia="Times New Roman" w:hAnsi="Times New Roman" w:cs="Times New Roman"/>
          <w:noProof/>
          <w:sz w:val="24"/>
          <w:szCs w:val="24"/>
          <w:lang w:eastAsia="en-GB"/>
        </w:rPr>
        <w:t>: Depending on whether a transparency register for interest representation or lobbying already exists in a Member State, entities that are within scope will need to either: i) update information on their existing registration; or ii) register for the first time. While it is assumed that all relevant entities are already registered in Member States with existing registers, this is likely not the case in practice. Across the national-level stakeholders interviewed for th</w:t>
      </w:r>
      <w:r w:rsidR="000D0A0D">
        <w:rPr>
          <w:rFonts w:ascii="Times New Roman" w:eastAsia="Times New Roman" w:hAnsi="Times New Roman" w:cs="Times New Roman"/>
          <w:noProof/>
          <w:sz w:val="24"/>
          <w:szCs w:val="24"/>
          <w:lang w:eastAsia="en-GB"/>
        </w:rPr>
        <w:t>e</w:t>
      </w:r>
      <w:r w:rsidRPr="00532C20">
        <w:rPr>
          <w:rFonts w:ascii="Times New Roman" w:eastAsia="Times New Roman" w:hAnsi="Times New Roman" w:cs="Times New Roman"/>
          <w:noProof/>
          <w:sz w:val="24"/>
          <w:szCs w:val="24"/>
          <w:lang w:eastAsia="en-GB"/>
        </w:rPr>
        <w:t xml:space="preserve"> </w:t>
      </w:r>
      <w:r w:rsidR="00FD18B9">
        <w:rPr>
          <w:rFonts w:ascii="Times New Roman" w:eastAsia="Times New Roman" w:hAnsi="Times New Roman" w:cs="Times New Roman"/>
          <w:noProof/>
          <w:sz w:val="24"/>
          <w:szCs w:val="24"/>
          <w:lang w:eastAsia="en-GB"/>
        </w:rPr>
        <w:t xml:space="preserve">supporting </w:t>
      </w:r>
      <w:r w:rsidRPr="00532C20">
        <w:rPr>
          <w:rFonts w:ascii="Times New Roman" w:eastAsia="Times New Roman" w:hAnsi="Times New Roman" w:cs="Times New Roman"/>
          <w:noProof/>
          <w:sz w:val="24"/>
          <w:szCs w:val="24"/>
          <w:lang w:eastAsia="en-GB"/>
        </w:rPr>
        <w:t>study (including public authorities, service providers and representative associations), there was limited insight into compliance rates, while insufficient monitoring and enforcement activities, as well as the voluntary nature and limited scope of some regimes mean that existing registers almost certainly do not capture all relevant entities.</w:t>
      </w:r>
    </w:p>
    <w:p w14:paraId="45347AE9" w14:textId="3C2526CD" w:rsidR="00A046DD" w:rsidRPr="00532C20" w:rsidRDefault="00A046DD" w:rsidP="00A046DD">
      <w:pPr>
        <w:spacing w:before="120" w:after="120" w:line="240" w:lineRule="auto"/>
        <w:ind w:left="720"/>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Beyond these initial costs, borne in year 1, there will be a need for entities within scope to regularly ensure the information is correct and submit any additional information on material changes to the circumstances of the interest representation activities they carry out on behalf of third countries. According to feedback from service providers, different approaches are taken across industry and across different registers regarding the frequency of such checks and updates. For instance, within the context of the EU Transparency Register, commercial entities interviewed for th</w:t>
      </w:r>
      <w:r w:rsidR="000D0A0D">
        <w:rPr>
          <w:rFonts w:ascii="Times New Roman" w:eastAsia="Times New Roman" w:hAnsi="Times New Roman" w:cs="Times New Roman"/>
          <w:noProof/>
          <w:sz w:val="24"/>
          <w:szCs w:val="24"/>
          <w:lang w:eastAsia="en-GB"/>
        </w:rPr>
        <w:t>e</w:t>
      </w:r>
      <w:r w:rsidRPr="00532C20">
        <w:rPr>
          <w:rFonts w:ascii="Times New Roman" w:eastAsia="Times New Roman" w:hAnsi="Times New Roman" w:cs="Times New Roman"/>
          <w:noProof/>
          <w:sz w:val="24"/>
          <w:szCs w:val="24"/>
          <w:lang w:eastAsia="en-GB"/>
        </w:rPr>
        <w:t xml:space="preserve"> </w:t>
      </w:r>
      <w:r w:rsidR="00FD18B9">
        <w:rPr>
          <w:rFonts w:ascii="Times New Roman" w:eastAsia="Times New Roman" w:hAnsi="Times New Roman" w:cs="Times New Roman"/>
          <w:noProof/>
          <w:sz w:val="24"/>
          <w:szCs w:val="24"/>
          <w:lang w:eastAsia="en-GB"/>
        </w:rPr>
        <w:t xml:space="preserve">supporting </w:t>
      </w:r>
      <w:r w:rsidRPr="00532C20">
        <w:rPr>
          <w:rFonts w:ascii="Times New Roman" w:eastAsia="Times New Roman" w:hAnsi="Times New Roman" w:cs="Times New Roman"/>
          <w:noProof/>
          <w:sz w:val="24"/>
          <w:szCs w:val="24"/>
          <w:lang w:eastAsia="en-GB"/>
        </w:rPr>
        <w:t>study have reported conducting updates once a year or quarterly, in both cases supplemented by ad hoc updates whenever they begin representing new interests. These costs will be borne on an annual basis across years 2-10.</w:t>
      </w:r>
    </w:p>
    <w:p w14:paraId="095C0EFF" w14:textId="77777777" w:rsidR="00A046DD" w:rsidRPr="00532C20" w:rsidRDefault="00A046DD" w:rsidP="00A046DD">
      <w:pPr>
        <w:spacing w:before="120" w:after="120" w:line="240" w:lineRule="auto"/>
        <w:ind w:left="720"/>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As discussed further below, there may be some synergies in this context that could reduce the costs associated with regular information provision, through the submission of the same information across multiple registers and/or through business as usual (BaU) costs linked to existing information provision obligations.</w:t>
      </w:r>
    </w:p>
    <w:p w14:paraId="2BB7F1A7" w14:textId="48787AB5" w:rsidR="00A046DD" w:rsidRPr="00532C20" w:rsidRDefault="00A046DD" w:rsidP="00A046DD">
      <w:pPr>
        <w:spacing w:before="120" w:after="120" w:line="240" w:lineRule="auto"/>
        <w:ind w:left="720"/>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The nature and scale of these costs in this regard are largely similar across policy options </w:t>
      </w:r>
      <w:r w:rsidR="00D47716" w:rsidRPr="00532C20">
        <w:rPr>
          <w:rFonts w:ascii="Times New Roman" w:eastAsia="Times New Roman" w:hAnsi="Times New Roman" w:cs="Times New Roman"/>
          <w:noProof/>
          <w:sz w:val="24"/>
          <w:szCs w:val="24"/>
          <w:lang w:eastAsia="en-GB"/>
        </w:rPr>
        <w:t>2.1</w:t>
      </w:r>
      <w:r w:rsidRPr="00532C20">
        <w:rPr>
          <w:rFonts w:ascii="Times New Roman" w:eastAsia="Times New Roman" w:hAnsi="Times New Roman" w:cs="Times New Roman"/>
          <w:noProof/>
          <w:sz w:val="24"/>
          <w:szCs w:val="24"/>
          <w:lang w:eastAsia="en-GB"/>
        </w:rPr>
        <w:t xml:space="preserve"> and </w:t>
      </w:r>
      <w:r w:rsidR="00D47716" w:rsidRPr="00532C20">
        <w:rPr>
          <w:rFonts w:ascii="Times New Roman" w:eastAsia="Times New Roman" w:hAnsi="Times New Roman" w:cs="Times New Roman"/>
          <w:noProof/>
          <w:sz w:val="24"/>
          <w:szCs w:val="24"/>
          <w:lang w:eastAsia="en-GB"/>
        </w:rPr>
        <w:t>2.2</w:t>
      </w:r>
      <w:r w:rsidRPr="00532C20">
        <w:rPr>
          <w:rFonts w:ascii="Times New Roman" w:eastAsia="Times New Roman" w:hAnsi="Times New Roman" w:cs="Times New Roman"/>
          <w:noProof/>
          <w:sz w:val="24"/>
          <w:szCs w:val="24"/>
          <w:lang w:eastAsia="en-GB"/>
        </w:rPr>
        <w:t>; the key difference being the requirement to self-declare compliance with the record-keeping obligations (see below) on an annual basis. For policy option 1, entities within scope will face no direct costs; however, entities will likely face indirect costs stemming from the implementation of measures by Member State authorities adopted in accordance with the Commission’s recommendations. The scale of these costs and the potential synergies due to improved harmonisation of rules will depend on the nature and scale of the adoption of provisions recommended by the Commission.</w:t>
      </w:r>
    </w:p>
    <w:p w14:paraId="4ABE632B" w14:textId="468B5844" w:rsidR="00A046DD" w:rsidRPr="00532C20" w:rsidRDefault="00A046DD" w:rsidP="002B0B48">
      <w:pPr>
        <w:numPr>
          <w:ilvl w:val="0"/>
          <w:numId w:val="60"/>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Record-keeping costs</w:t>
      </w:r>
      <w:r w:rsidRPr="00532C20">
        <w:rPr>
          <w:rFonts w:ascii="Times New Roman" w:eastAsia="Times New Roman" w:hAnsi="Times New Roman" w:cs="Times New Roman"/>
          <w:noProof/>
          <w:sz w:val="24"/>
          <w:szCs w:val="24"/>
          <w:lang w:eastAsia="en-GB"/>
        </w:rPr>
        <w:t xml:space="preserve">: Entities within scope will be required to keep, for a reasonable period, information on the identity of the third country entity whose interests they are representing, a description of the purpose of the interest representation activity, contracts and key exchanges with the third country entity. As above, the provisions and related costs under policy options </w:t>
      </w:r>
      <w:r w:rsidR="00D47716" w:rsidRPr="00532C20">
        <w:rPr>
          <w:rFonts w:ascii="Times New Roman" w:eastAsia="Times New Roman" w:hAnsi="Times New Roman" w:cs="Times New Roman"/>
          <w:noProof/>
          <w:sz w:val="24"/>
          <w:szCs w:val="24"/>
          <w:lang w:eastAsia="en-GB"/>
        </w:rPr>
        <w:t>2.1</w:t>
      </w:r>
      <w:r w:rsidRPr="00532C20">
        <w:rPr>
          <w:rFonts w:ascii="Times New Roman" w:eastAsia="Times New Roman" w:hAnsi="Times New Roman" w:cs="Times New Roman"/>
          <w:noProof/>
          <w:sz w:val="24"/>
          <w:szCs w:val="24"/>
          <w:lang w:eastAsia="en-GB"/>
        </w:rPr>
        <w:t xml:space="preserve"> and </w:t>
      </w:r>
      <w:r w:rsidR="00D47716" w:rsidRPr="00532C20">
        <w:rPr>
          <w:rFonts w:ascii="Times New Roman" w:eastAsia="Times New Roman" w:hAnsi="Times New Roman" w:cs="Times New Roman"/>
          <w:noProof/>
          <w:sz w:val="24"/>
          <w:szCs w:val="24"/>
          <w:lang w:eastAsia="en-GB"/>
        </w:rPr>
        <w:t>2.2</w:t>
      </w:r>
      <w:r w:rsidRPr="00532C20">
        <w:rPr>
          <w:rFonts w:ascii="Times New Roman" w:eastAsia="Times New Roman" w:hAnsi="Times New Roman" w:cs="Times New Roman"/>
          <w:noProof/>
          <w:sz w:val="24"/>
          <w:szCs w:val="24"/>
          <w:lang w:eastAsia="en-GB"/>
        </w:rPr>
        <w:t xml:space="preserve"> are largely similar, while the costs under option 1 depend heavily on the nature and scale of the measures implemented by Member State authorities.</w:t>
      </w:r>
    </w:p>
    <w:p w14:paraId="04EF37C0" w14:textId="013CB2FD"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In addition to the above cost types, which are relevant across all policy options, the following 2 cost types are only relevant in the case of policy option </w:t>
      </w:r>
      <w:r w:rsidR="00D47716" w:rsidRPr="00532C20">
        <w:rPr>
          <w:rFonts w:ascii="Times New Roman" w:eastAsia="Times New Roman" w:hAnsi="Times New Roman" w:cs="Times New Roman"/>
          <w:noProof/>
          <w:sz w:val="24"/>
          <w:szCs w:val="24"/>
        </w:rPr>
        <w:t>2.2</w:t>
      </w:r>
      <w:r w:rsidRPr="00532C20">
        <w:rPr>
          <w:rFonts w:ascii="Times New Roman" w:eastAsia="Times New Roman" w:hAnsi="Times New Roman" w:cs="Times New Roman"/>
          <w:noProof/>
          <w:sz w:val="24"/>
          <w:szCs w:val="24"/>
        </w:rPr>
        <w:t>:</w:t>
      </w:r>
    </w:p>
    <w:p w14:paraId="683A6D08" w14:textId="719FACF1" w:rsidR="00A046DD" w:rsidRPr="00532C20" w:rsidRDefault="00A046DD" w:rsidP="002B0B48">
      <w:pPr>
        <w:numPr>
          <w:ilvl w:val="0"/>
          <w:numId w:val="61"/>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Prior authorisation / licencing costs</w:t>
      </w:r>
      <w:r w:rsidRPr="00532C20">
        <w:rPr>
          <w:rFonts w:ascii="Times New Roman" w:eastAsia="Times New Roman" w:hAnsi="Times New Roman" w:cs="Times New Roman"/>
          <w:noProof/>
          <w:sz w:val="24"/>
          <w:szCs w:val="24"/>
          <w:lang w:eastAsia="en-GB"/>
        </w:rPr>
        <w:t>: The information requirements necessary to obtain a licence, and thus the direct costs of the licencing application, would be the same as those noted above. However, as noted by industry stakeholders interviewed for th</w:t>
      </w:r>
      <w:r w:rsidR="000D0A0D">
        <w:rPr>
          <w:rFonts w:ascii="Times New Roman" w:eastAsia="Times New Roman" w:hAnsi="Times New Roman" w:cs="Times New Roman"/>
          <w:noProof/>
          <w:sz w:val="24"/>
          <w:szCs w:val="24"/>
          <w:lang w:eastAsia="en-GB"/>
        </w:rPr>
        <w:t>e</w:t>
      </w:r>
      <w:r w:rsidRPr="00532C20">
        <w:rPr>
          <w:rFonts w:ascii="Times New Roman" w:eastAsia="Times New Roman" w:hAnsi="Times New Roman" w:cs="Times New Roman"/>
          <w:noProof/>
          <w:sz w:val="24"/>
          <w:szCs w:val="24"/>
          <w:lang w:eastAsia="en-GB"/>
        </w:rPr>
        <w:t xml:space="preserve"> </w:t>
      </w:r>
      <w:r w:rsidR="00601CC1">
        <w:rPr>
          <w:rFonts w:ascii="Times New Roman" w:eastAsia="Times New Roman" w:hAnsi="Times New Roman" w:cs="Times New Roman"/>
          <w:noProof/>
          <w:sz w:val="24"/>
          <w:szCs w:val="24"/>
          <w:lang w:eastAsia="en-GB"/>
        </w:rPr>
        <w:t xml:space="preserve">supporting </w:t>
      </w:r>
      <w:r w:rsidRPr="00532C20">
        <w:rPr>
          <w:rFonts w:ascii="Times New Roman" w:eastAsia="Times New Roman" w:hAnsi="Times New Roman" w:cs="Times New Roman"/>
          <w:noProof/>
          <w:sz w:val="24"/>
          <w:szCs w:val="24"/>
          <w:lang w:eastAsia="en-GB"/>
        </w:rPr>
        <w:t>study, the licencing system could have indirect costs for entities with scope stemming from the additional time taken to process a licence application.</w:t>
      </w:r>
    </w:p>
    <w:p w14:paraId="2475B329" w14:textId="38DE08A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Beyond these core costs, entities carrying out interest representation activities on behalf of third countries may be subject to additional costs across all options stemming from: i) administrative sanctions; ii) registration fees; and iii) potential loss of business from decisions taken by such entities not to work with third countries due to the possible reputational impact. In addition, under policy options </w:t>
      </w:r>
      <w:r w:rsidR="00D47716" w:rsidRPr="00532C20">
        <w:rPr>
          <w:rFonts w:ascii="Times New Roman" w:eastAsia="Times New Roman" w:hAnsi="Times New Roman" w:cs="Times New Roman"/>
          <w:noProof/>
          <w:sz w:val="24"/>
          <w:szCs w:val="24"/>
        </w:rPr>
        <w:t>2.1</w:t>
      </w:r>
      <w:r w:rsidRPr="00532C20">
        <w:rPr>
          <w:rFonts w:ascii="Times New Roman" w:eastAsia="Times New Roman" w:hAnsi="Times New Roman" w:cs="Times New Roman"/>
          <w:noProof/>
          <w:sz w:val="24"/>
          <w:szCs w:val="24"/>
        </w:rPr>
        <w:t xml:space="preserve"> and </w:t>
      </w:r>
      <w:r w:rsidR="00D47716" w:rsidRPr="00532C20">
        <w:rPr>
          <w:rFonts w:ascii="Times New Roman" w:eastAsia="Times New Roman" w:hAnsi="Times New Roman" w:cs="Times New Roman"/>
          <w:noProof/>
          <w:sz w:val="24"/>
          <w:szCs w:val="24"/>
        </w:rPr>
        <w:t>2.2</w:t>
      </w:r>
      <w:r w:rsidRPr="00532C20">
        <w:rPr>
          <w:rFonts w:ascii="Times New Roman" w:eastAsia="Times New Roman" w:hAnsi="Times New Roman" w:cs="Times New Roman"/>
          <w:noProof/>
          <w:sz w:val="24"/>
          <w:szCs w:val="24"/>
        </w:rPr>
        <w:t xml:space="preserve">, entities subject to the risk-based approach will face further information disclosure costs when they either receive particularly high amounts from a third country or third country entity or carry out interest representation on behalf of a third country that has spent a significant amount in a Member State or the </w:t>
      </w:r>
      <w:r w:rsidR="00E01AB8">
        <w:rPr>
          <w:rFonts w:ascii="Times New Roman" w:eastAsia="Times New Roman" w:hAnsi="Times New Roman" w:cs="Times New Roman"/>
          <w:noProof/>
          <w:sz w:val="24"/>
          <w:szCs w:val="24"/>
        </w:rPr>
        <w:t>Union</w:t>
      </w:r>
      <w:r w:rsidR="00E01AB8" w:rsidRPr="00532C20">
        <w:rPr>
          <w:rFonts w:ascii="Times New Roman" w:eastAsia="Times New Roman" w:hAnsi="Times New Roman" w:cs="Times New Roman"/>
          <w:noProof/>
          <w:sz w:val="24"/>
          <w:szCs w:val="24"/>
        </w:rPr>
        <w:t xml:space="preserve"> </w:t>
      </w:r>
      <w:r w:rsidRPr="00532C20">
        <w:rPr>
          <w:rFonts w:ascii="Times New Roman" w:eastAsia="Times New Roman" w:hAnsi="Times New Roman" w:cs="Times New Roman"/>
          <w:noProof/>
          <w:sz w:val="24"/>
          <w:szCs w:val="24"/>
        </w:rPr>
        <w:t>as a whole. However, it was not possible to quantify these costs.</w:t>
      </w:r>
    </w:p>
    <w:p w14:paraId="5266EAE9"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For each policy option and cost type, the following sections present the available evidence, calculations, assumptions, and limitations / caveats.</w:t>
      </w:r>
    </w:p>
    <w:p w14:paraId="127FA579" w14:textId="16BD88A9" w:rsidR="00E44C7A" w:rsidRPr="00532C20" w:rsidRDefault="00A046DD" w:rsidP="0020326D">
      <w:pPr>
        <w:pStyle w:val="ListParagraph"/>
        <w:numPr>
          <w:ilvl w:val="2"/>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Policy option 1: Non-legislative measures</w:t>
      </w:r>
      <w:r w:rsidR="0096199D" w:rsidRPr="00532C20">
        <w:rPr>
          <w:rFonts w:ascii="Times New Roman" w:eastAsia="Times New Roman" w:hAnsi="Times New Roman" w:cs="Times New Roman"/>
          <w:b/>
          <w:bCs/>
          <w:noProof/>
          <w:u w:val="single"/>
        </w:rPr>
        <w:t xml:space="preserve"> </w:t>
      </w:r>
    </w:p>
    <w:p w14:paraId="54BFC4A0"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The cost implications of policy option 1 will not stem directly from the Commission recommendations, but will result from any measures implemented by Member State authorities as a result of the recommendations. However, the nature and scale of the costs will depend significantly on the extent to which the Member States implement the measures recommended, the extent to which the measures implemented are consistent and coherent across the EU, as well as the Member States in which the entities operate. </w:t>
      </w:r>
    </w:p>
    <w:p w14:paraId="5BE70FAE" w14:textId="11A281E5"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In this context, as under policy option </w:t>
      </w:r>
      <w:r w:rsidR="00D47716" w:rsidRPr="00532C20">
        <w:rPr>
          <w:rFonts w:ascii="Times New Roman" w:eastAsia="Times New Roman" w:hAnsi="Times New Roman" w:cs="Times New Roman"/>
          <w:noProof/>
          <w:sz w:val="24"/>
          <w:szCs w:val="24"/>
        </w:rPr>
        <w:t>2.1</w:t>
      </w:r>
      <w:r w:rsidRPr="00532C20">
        <w:rPr>
          <w:rFonts w:ascii="Times New Roman" w:eastAsia="Times New Roman" w:hAnsi="Times New Roman" w:cs="Times New Roman"/>
          <w:noProof/>
          <w:sz w:val="24"/>
          <w:szCs w:val="24"/>
        </w:rPr>
        <w:t>, the main costs these stakeholders would potentially be required to conduct will include:</w:t>
      </w:r>
    </w:p>
    <w:p w14:paraId="4A517315" w14:textId="77777777" w:rsidR="00A046DD" w:rsidRPr="00532C20" w:rsidRDefault="00A046DD" w:rsidP="002B0B48">
      <w:pPr>
        <w:numPr>
          <w:ilvl w:val="0"/>
          <w:numId w:val="71"/>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bCs/>
          <w:noProof/>
          <w:sz w:val="24"/>
          <w:szCs w:val="24"/>
          <w:lang w:eastAsia="en-GB"/>
        </w:rPr>
        <w:t>Familiarisation activities</w:t>
      </w:r>
      <w:r w:rsidRPr="00532C20">
        <w:rPr>
          <w:rFonts w:ascii="Times New Roman" w:eastAsia="Times New Roman" w:hAnsi="Times New Roman" w:cs="Times New Roman"/>
          <w:noProof/>
          <w:sz w:val="24"/>
          <w:szCs w:val="24"/>
          <w:lang w:eastAsia="en-GB"/>
        </w:rPr>
        <w:t>. As for Member State authorities, all entities conducting interest representation activities would need to familiarise themselves with the measures implemented in the Member State(s) in which they operate. This would apply at a basic level to all entities conducting interest representation (i.e. to determine whether they are within scope) and to a greater extent for those entities within scope of the measures (i.e. to determine compliance strategies).</w:t>
      </w:r>
    </w:p>
    <w:p w14:paraId="31B8C38C" w14:textId="225DEF0B" w:rsidR="00A046DD" w:rsidRPr="00532C20" w:rsidRDefault="00A046DD" w:rsidP="002B0B48">
      <w:pPr>
        <w:numPr>
          <w:ilvl w:val="0"/>
          <w:numId w:val="71"/>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bCs/>
          <w:noProof/>
          <w:sz w:val="24"/>
          <w:szCs w:val="24"/>
          <w:lang w:eastAsia="en-GB"/>
        </w:rPr>
        <w:t>Ensuring compliance with the provisions</w:t>
      </w:r>
      <w:r w:rsidRPr="00532C20">
        <w:rPr>
          <w:rFonts w:ascii="Times New Roman" w:eastAsia="Times New Roman" w:hAnsi="Times New Roman" w:cs="Times New Roman"/>
          <w:noProof/>
          <w:sz w:val="24"/>
          <w:szCs w:val="24"/>
          <w:lang w:eastAsia="en-GB"/>
        </w:rPr>
        <w:t xml:space="preserve"> stipulated in the national-level measures, including registration and information update requirements and record-keeping obligations. As detailed further under policy option </w:t>
      </w:r>
      <w:r w:rsidR="00D47716" w:rsidRPr="00532C20">
        <w:rPr>
          <w:rFonts w:ascii="Times New Roman" w:eastAsia="Times New Roman" w:hAnsi="Times New Roman" w:cs="Times New Roman"/>
          <w:noProof/>
          <w:sz w:val="24"/>
          <w:szCs w:val="24"/>
          <w:lang w:eastAsia="en-GB"/>
        </w:rPr>
        <w:t>2.1</w:t>
      </w:r>
      <w:r w:rsidRPr="00532C20">
        <w:rPr>
          <w:rFonts w:ascii="Times New Roman" w:eastAsia="Times New Roman" w:hAnsi="Times New Roman" w:cs="Times New Roman"/>
          <w:noProof/>
          <w:sz w:val="24"/>
          <w:szCs w:val="24"/>
          <w:lang w:eastAsia="en-GB"/>
        </w:rPr>
        <w:t>, in Member States where transparency registers are developed or amended to cover third country interest representation activities, entities carrying out such activities would likely be required to: i) provide relevant information on these activities; and ii) ensure that information is updated and remains accurate. Furthermore, where record-keeping obligations are introduced, entities within scope would be required to ensure their processes and systems are sufficient to ensure the retention of relevant information.</w:t>
      </w:r>
    </w:p>
    <w:p w14:paraId="1832A050"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Beyond the costs linked to the practical implications of the measures, as described above, additional costs could stem from registration fees and fines for non-compliance.</w:t>
      </w:r>
    </w:p>
    <w:p w14:paraId="17E5FF36" w14:textId="26CB83B5" w:rsidR="00880AC2" w:rsidRPr="00532C20" w:rsidRDefault="00880AC2" w:rsidP="00880AC2">
      <w:pPr>
        <w:numPr>
          <w:ilvl w:val="3"/>
          <w:numId w:val="76"/>
        </w:numPr>
        <w:spacing w:after="0" w:line="240" w:lineRule="auto"/>
        <w:contextualSpacing/>
        <w:rPr>
          <w:rFonts w:ascii="Times" w:eastAsia="Times New Roman" w:hAnsi="Times" w:cs="Times New Roman"/>
          <w:b/>
          <w:noProof/>
          <w:sz w:val="24"/>
          <w:szCs w:val="24"/>
          <w:u w:val="single"/>
          <w:lang w:eastAsia="en-GB"/>
        </w:rPr>
      </w:pPr>
      <w:r w:rsidRPr="00532C20">
        <w:rPr>
          <w:rFonts w:ascii="Times New Roman" w:eastAsia="Times New Roman" w:hAnsi="Times New Roman" w:cs="Times New Roman"/>
          <w:b/>
          <w:bCs/>
          <w:noProof/>
          <w:sz w:val="24"/>
          <w:szCs w:val="24"/>
          <w:u w:val="single"/>
          <w:lang w:eastAsia="en-GB"/>
        </w:rPr>
        <w:t>Scenario 1: Full take-up of the non-legislative measures</w:t>
      </w:r>
    </w:p>
    <w:p w14:paraId="238CB3F2" w14:textId="77777777" w:rsidR="00880AC2" w:rsidRPr="00532C20" w:rsidRDefault="00880AC2" w:rsidP="00582553">
      <w:pPr>
        <w:spacing w:before="120" w:after="120"/>
        <w:jc w:val="both"/>
        <w:rPr>
          <w:rFonts w:ascii="Times New Roman" w:eastAsia="Times New Roman" w:hAnsi="Times New Roman" w:cs="Times New Roman"/>
          <w:noProof/>
        </w:rPr>
      </w:pPr>
      <w:r w:rsidRPr="00532C20">
        <w:rPr>
          <w:rFonts w:ascii="Times New Roman" w:eastAsia="Times New Roman" w:hAnsi="Times New Roman" w:cs="Times New Roman"/>
          <w:noProof/>
          <w:sz w:val="24"/>
          <w:szCs w:val="24"/>
        </w:rPr>
        <w:t xml:space="preserve">As for the Member State authorities, it is difficult to concretely assess the scale of the costs of policy option 1 to entities carrying out interest representation. However, if implemented to the extent where the provisions across the Member States are similar enough to contribute to the stated aims of the intervention, the costs and benefits would be largely similar to those documented under policy option 2.1. </w:t>
      </w:r>
    </w:p>
    <w:p w14:paraId="5E1EA409" w14:textId="16AB918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The following table presents a summary of the maximum costs to interest representation entities over a 10-year time horizon</w:t>
      </w:r>
      <w:r w:rsidR="00176680" w:rsidRPr="00532C20">
        <w:rPr>
          <w:rFonts w:ascii="Times New Roman" w:eastAsia="Times New Roman" w:hAnsi="Times New Roman" w:cs="Times New Roman"/>
          <w:noProof/>
          <w:sz w:val="24"/>
          <w:szCs w:val="24"/>
        </w:rPr>
        <w:t xml:space="preserve"> under scenario 1</w:t>
      </w:r>
      <w:r w:rsidRPr="00532C20">
        <w:rPr>
          <w:rFonts w:ascii="Times New Roman" w:eastAsia="Times New Roman" w:hAnsi="Times New Roman" w:cs="Times New Roman"/>
          <w:noProof/>
          <w:sz w:val="24"/>
          <w:szCs w:val="24"/>
        </w:rPr>
        <w:t>.</w:t>
      </w:r>
    </w:p>
    <w:p w14:paraId="5887CF46" w14:textId="25BC3790"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18</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Policy option 1 – Summary of maximum costs to interest representation entities (over 10 years)</w:t>
      </w:r>
      <w:r w:rsidR="005D6DE0" w:rsidRPr="00532C20">
        <w:rPr>
          <w:rFonts w:ascii="Times New Roman" w:eastAsia="Times New Roman" w:hAnsi="Times New Roman" w:cs="Times New Roman"/>
          <w:b/>
          <w:noProof/>
          <w:sz w:val="24"/>
          <w:szCs w:val="24"/>
        </w:rPr>
        <w:t xml:space="preserve"> under Scenario 1 (Full take-up of the non-legislative measures)</w:t>
      </w:r>
    </w:p>
    <w:tbl>
      <w:tblPr>
        <w:tblStyle w:val="12uCharChar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843"/>
        <w:gridCol w:w="2126"/>
        <w:gridCol w:w="1972"/>
      </w:tblGrid>
      <w:tr w:rsidR="00A046DD" w:rsidRPr="00532C20" w14:paraId="2A672AA9"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2830" w:type="dxa"/>
            <w:shd w:val="clear" w:color="auto" w:fill="002060"/>
            <w:vAlign w:val="center"/>
          </w:tcPr>
          <w:p w14:paraId="6D27A0BF" w14:textId="77777777" w:rsidR="00A046DD" w:rsidRPr="00313F32" w:rsidRDefault="00A046DD" w:rsidP="00A046DD">
            <w:pPr>
              <w:rPr>
                <w:rFonts w:ascii="Times New Roman" w:hAnsi="Times New Roman"/>
                <w:b/>
                <w:noProof/>
                <w:sz w:val="24"/>
                <w:szCs w:val="36"/>
                <w:lang w:val="en-GB"/>
              </w:rPr>
            </w:pPr>
            <w:r w:rsidRPr="00313F32">
              <w:rPr>
                <w:rFonts w:ascii="Times New Roman" w:hAnsi="Times New Roman"/>
                <w:b/>
                <w:noProof/>
                <w:sz w:val="24"/>
                <w:szCs w:val="36"/>
              </w:rPr>
              <w:t>Cost item</w:t>
            </w:r>
          </w:p>
        </w:tc>
        <w:tc>
          <w:tcPr>
            <w:tcW w:w="1843" w:type="dxa"/>
            <w:shd w:val="clear" w:color="auto" w:fill="002060"/>
            <w:vAlign w:val="center"/>
          </w:tcPr>
          <w:p w14:paraId="244EA3F1" w14:textId="77777777" w:rsidR="00A046DD" w:rsidRPr="00313F32" w:rsidRDefault="00A046DD" w:rsidP="00A046DD">
            <w:pPr>
              <w:jc w:val="center"/>
              <w:rPr>
                <w:rFonts w:ascii="Times New Roman" w:hAnsi="Times New Roman"/>
                <w:b/>
                <w:noProof/>
                <w:sz w:val="24"/>
                <w:szCs w:val="36"/>
                <w:lang w:val="en-GB"/>
              </w:rPr>
            </w:pPr>
            <w:r w:rsidRPr="00313F32">
              <w:rPr>
                <w:rFonts w:ascii="Times New Roman" w:hAnsi="Times New Roman"/>
                <w:b/>
                <w:noProof/>
                <w:sz w:val="24"/>
                <w:szCs w:val="36"/>
              </w:rPr>
              <w:t>Low scenario (EUR)</w:t>
            </w:r>
          </w:p>
        </w:tc>
        <w:tc>
          <w:tcPr>
            <w:tcW w:w="2126" w:type="dxa"/>
            <w:shd w:val="clear" w:color="auto" w:fill="002060"/>
            <w:vAlign w:val="center"/>
          </w:tcPr>
          <w:p w14:paraId="77F42565" w14:textId="77777777" w:rsidR="00A046DD" w:rsidRPr="00313F32" w:rsidRDefault="00A046DD" w:rsidP="00A046DD">
            <w:pPr>
              <w:jc w:val="center"/>
              <w:rPr>
                <w:rFonts w:ascii="Times New Roman" w:hAnsi="Times New Roman"/>
                <w:b/>
                <w:noProof/>
                <w:sz w:val="24"/>
                <w:szCs w:val="36"/>
                <w:lang w:val="en-GB"/>
              </w:rPr>
            </w:pPr>
            <w:r w:rsidRPr="00313F32">
              <w:rPr>
                <w:rFonts w:ascii="Times New Roman" w:hAnsi="Times New Roman"/>
                <w:b/>
                <w:noProof/>
                <w:sz w:val="24"/>
                <w:szCs w:val="36"/>
              </w:rPr>
              <w:t>Middle scenario (EUR)</w:t>
            </w:r>
          </w:p>
        </w:tc>
        <w:tc>
          <w:tcPr>
            <w:tcW w:w="1972" w:type="dxa"/>
            <w:shd w:val="clear" w:color="auto" w:fill="002060"/>
            <w:vAlign w:val="center"/>
          </w:tcPr>
          <w:p w14:paraId="6C4B9384" w14:textId="77777777" w:rsidR="00A046DD" w:rsidRPr="00313F32" w:rsidRDefault="00A046DD" w:rsidP="00A046DD">
            <w:pPr>
              <w:jc w:val="center"/>
              <w:rPr>
                <w:rFonts w:ascii="Times New Roman" w:hAnsi="Times New Roman"/>
                <w:b/>
                <w:noProof/>
                <w:sz w:val="24"/>
                <w:szCs w:val="36"/>
                <w:lang w:val="en-GB"/>
              </w:rPr>
            </w:pPr>
            <w:r w:rsidRPr="00313F32">
              <w:rPr>
                <w:rFonts w:ascii="Times New Roman" w:hAnsi="Times New Roman"/>
                <w:b/>
                <w:noProof/>
                <w:sz w:val="24"/>
                <w:szCs w:val="36"/>
              </w:rPr>
              <w:t>High scenario (EUR)</w:t>
            </w:r>
          </w:p>
        </w:tc>
      </w:tr>
      <w:tr w:rsidR="00A046DD" w:rsidRPr="00532C20" w14:paraId="296005E4" w14:textId="77777777">
        <w:trPr>
          <w:trHeight w:val="20"/>
        </w:trPr>
        <w:tc>
          <w:tcPr>
            <w:tcW w:w="2830" w:type="dxa"/>
            <w:shd w:val="clear" w:color="auto" w:fill="D9D9D9"/>
            <w:vAlign w:val="center"/>
          </w:tcPr>
          <w:p w14:paraId="52DC6B09" w14:textId="77777777" w:rsidR="00A046DD" w:rsidRPr="00532C20" w:rsidRDefault="00A046DD" w:rsidP="00A046DD">
            <w:pPr>
              <w:rPr>
                <w:rFonts w:ascii="Times New Roman" w:hAnsi="Times New Roman"/>
                <w:b/>
                <w:noProof/>
                <w:sz w:val="24"/>
                <w:szCs w:val="36"/>
                <w:lang w:val="en-GB"/>
              </w:rPr>
            </w:pPr>
            <w:r w:rsidRPr="00532C20">
              <w:rPr>
                <w:rFonts w:ascii="Times New Roman" w:hAnsi="Times New Roman"/>
                <w:b/>
                <w:noProof/>
                <w:sz w:val="24"/>
                <w:szCs w:val="36"/>
                <w:lang w:val="en-GB"/>
              </w:rPr>
              <w:t>Basic familiarisation costs</w:t>
            </w:r>
          </w:p>
        </w:tc>
        <w:tc>
          <w:tcPr>
            <w:tcW w:w="1843" w:type="dxa"/>
            <w:shd w:val="clear" w:color="auto" w:fill="auto"/>
            <w:vAlign w:val="center"/>
          </w:tcPr>
          <w:p w14:paraId="6D0329B5" w14:textId="77777777" w:rsidR="00A046DD" w:rsidRPr="00532C20" w:rsidRDefault="00A046DD" w:rsidP="00A046DD">
            <w:pPr>
              <w:jc w:val="right"/>
              <w:rPr>
                <w:rFonts w:ascii="Times New Roman" w:hAnsi="Times New Roman"/>
                <w:noProof/>
                <w:sz w:val="24"/>
                <w:szCs w:val="36"/>
                <w:lang w:val="en-GB"/>
              </w:rPr>
            </w:pPr>
            <w:r w:rsidRPr="00532C20">
              <w:rPr>
                <w:rFonts w:ascii="Times New Roman" w:hAnsi="Times New Roman"/>
                <w:noProof/>
                <w:sz w:val="24"/>
                <w:szCs w:val="36"/>
                <w:lang w:val="en-GB"/>
              </w:rPr>
              <w:t xml:space="preserve">71,165,916.06 </w:t>
            </w:r>
          </w:p>
        </w:tc>
        <w:tc>
          <w:tcPr>
            <w:tcW w:w="2126" w:type="dxa"/>
            <w:shd w:val="clear" w:color="auto" w:fill="auto"/>
            <w:vAlign w:val="center"/>
          </w:tcPr>
          <w:p w14:paraId="2D64051C" w14:textId="77777777" w:rsidR="00A046DD" w:rsidRPr="00532C20" w:rsidRDefault="00A046DD" w:rsidP="00A046DD">
            <w:pPr>
              <w:jc w:val="right"/>
              <w:rPr>
                <w:rFonts w:ascii="Times New Roman" w:hAnsi="Times New Roman"/>
                <w:noProof/>
                <w:sz w:val="24"/>
                <w:szCs w:val="36"/>
                <w:lang w:val="en-GB"/>
              </w:rPr>
            </w:pPr>
            <w:r w:rsidRPr="00532C20">
              <w:rPr>
                <w:rFonts w:ascii="Times New Roman" w:hAnsi="Times New Roman"/>
                <w:noProof/>
                <w:sz w:val="24"/>
                <w:szCs w:val="36"/>
                <w:lang w:val="en-GB"/>
              </w:rPr>
              <w:t xml:space="preserve">142,338,950.84 </w:t>
            </w:r>
          </w:p>
        </w:tc>
        <w:tc>
          <w:tcPr>
            <w:tcW w:w="1972" w:type="dxa"/>
            <w:shd w:val="clear" w:color="auto" w:fill="auto"/>
            <w:vAlign w:val="center"/>
          </w:tcPr>
          <w:p w14:paraId="7124BC7D" w14:textId="77777777" w:rsidR="00A046DD" w:rsidRPr="00532C20" w:rsidRDefault="00A046DD" w:rsidP="00A046DD">
            <w:pPr>
              <w:jc w:val="right"/>
              <w:rPr>
                <w:rFonts w:ascii="Times New Roman" w:hAnsi="Times New Roman"/>
                <w:noProof/>
                <w:sz w:val="24"/>
                <w:szCs w:val="36"/>
                <w:lang w:val="en-GB"/>
              </w:rPr>
            </w:pPr>
            <w:r w:rsidRPr="00532C20">
              <w:rPr>
                <w:rFonts w:ascii="Times New Roman" w:hAnsi="Times New Roman"/>
                <w:noProof/>
                <w:sz w:val="24"/>
                <w:szCs w:val="36"/>
                <w:lang w:val="en-GB"/>
              </w:rPr>
              <w:t xml:space="preserve">213,519,104.36 </w:t>
            </w:r>
          </w:p>
        </w:tc>
      </w:tr>
      <w:tr w:rsidR="00A046DD" w:rsidRPr="00532C20" w14:paraId="39604A82" w14:textId="77777777">
        <w:trPr>
          <w:trHeight w:val="20"/>
        </w:trPr>
        <w:tc>
          <w:tcPr>
            <w:tcW w:w="2830" w:type="dxa"/>
            <w:shd w:val="clear" w:color="auto" w:fill="D9D9D9"/>
            <w:vAlign w:val="center"/>
          </w:tcPr>
          <w:p w14:paraId="63CEC6AE" w14:textId="77777777" w:rsidR="00A046DD" w:rsidRPr="00532C20" w:rsidRDefault="00A046DD" w:rsidP="00A046DD">
            <w:pPr>
              <w:rPr>
                <w:rFonts w:ascii="Times New Roman" w:hAnsi="Times New Roman"/>
                <w:b/>
                <w:noProof/>
                <w:sz w:val="24"/>
                <w:szCs w:val="36"/>
                <w:lang w:val="en-GB"/>
              </w:rPr>
            </w:pPr>
            <w:r w:rsidRPr="00532C20">
              <w:rPr>
                <w:rFonts w:ascii="Times New Roman" w:hAnsi="Times New Roman"/>
                <w:b/>
                <w:noProof/>
                <w:sz w:val="24"/>
                <w:szCs w:val="36"/>
                <w:lang w:val="en-GB"/>
              </w:rPr>
              <w:t>Extended familiarisation costs</w:t>
            </w:r>
          </w:p>
        </w:tc>
        <w:tc>
          <w:tcPr>
            <w:tcW w:w="1843" w:type="dxa"/>
            <w:shd w:val="clear" w:color="auto" w:fill="auto"/>
            <w:vAlign w:val="center"/>
          </w:tcPr>
          <w:p w14:paraId="0EA8ECA9" w14:textId="77777777" w:rsidR="00A046DD" w:rsidRPr="00532C20" w:rsidRDefault="00A046DD" w:rsidP="00A046DD">
            <w:pPr>
              <w:jc w:val="right"/>
              <w:rPr>
                <w:rFonts w:ascii="Times New Roman" w:hAnsi="Times New Roman"/>
                <w:noProof/>
                <w:sz w:val="24"/>
                <w:szCs w:val="36"/>
                <w:lang w:val="en-GB"/>
              </w:rPr>
            </w:pPr>
            <w:r w:rsidRPr="00532C20">
              <w:rPr>
                <w:rFonts w:ascii="Times New Roman" w:hAnsi="Times New Roman"/>
                <w:noProof/>
                <w:sz w:val="24"/>
                <w:szCs w:val="36"/>
                <w:lang w:val="en-GB"/>
              </w:rPr>
              <w:t>56,949.82</w:t>
            </w:r>
          </w:p>
        </w:tc>
        <w:tc>
          <w:tcPr>
            <w:tcW w:w="2126" w:type="dxa"/>
            <w:shd w:val="clear" w:color="auto" w:fill="auto"/>
            <w:vAlign w:val="center"/>
          </w:tcPr>
          <w:p w14:paraId="018BD502" w14:textId="77777777" w:rsidR="00A046DD" w:rsidRPr="00532C20" w:rsidRDefault="00A046DD" w:rsidP="00A046DD">
            <w:pPr>
              <w:jc w:val="right"/>
              <w:rPr>
                <w:rFonts w:ascii="Times New Roman" w:hAnsi="Times New Roman"/>
                <w:noProof/>
                <w:sz w:val="24"/>
                <w:szCs w:val="36"/>
                <w:lang w:val="en-GB"/>
              </w:rPr>
            </w:pPr>
            <w:r w:rsidRPr="00532C20">
              <w:rPr>
                <w:rFonts w:ascii="Times New Roman" w:hAnsi="Times New Roman"/>
                <w:noProof/>
                <w:sz w:val="24"/>
                <w:szCs w:val="36"/>
                <w:lang w:val="en-GB"/>
              </w:rPr>
              <w:t xml:space="preserve">142,374.54 </w:t>
            </w:r>
          </w:p>
        </w:tc>
        <w:tc>
          <w:tcPr>
            <w:tcW w:w="1972" w:type="dxa"/>
            <w:shd w:val="clear" w:color="auto" w:fill="auto"/>
            <w:vAlign w:val="center"/>
          </w:tcPr>
          <w:p w14:paraId="6C775762" w14:textId="77777777" w:rsidR="00A046DD" w:rsidRPr="00532C20" w:rsidRDefault="00A046DD" w:rsidP="00A046DD">
            <w:pPr>
              <w:jc w:val="right"/>
              <w:rPr>
                <w:rFonts w:ascii="Times New Roman" w:hAnsi="Times New Roman"/>
                <w:noProof/>
                <w:sz w:val="24"/>
                <w:szCs w:val="36"/>
                <w:lang w:val="en-GB"/>
              </w:rPr>
            </w:pPr>
            <w:r w:rsidRPr="00532C20">
              <w:rPr>
                <w:rFonts w:ascii="Times New Roman" w:hAnsi="Times New Roman"/>
                <w:noProof/>
                <w:sz w:val="24"/>
                <w:szCs w:val="36"/>
                <w:lang w:val="en-GB"/>
              </w:rPr>
              <w:t xml:space="preserve">256,274.18 </w:t>
            </w:r>
          </w:p>
        </w:tc>
      </w:tr>
      <w:tr w:rsidR="00A046DD" w:rsidRPr="00532C20" w14:paraId="3A3DD849" w14:textId="77777777">
        <w:trPr>
          <w:trHeight w:val="20"/>
        </w:trPr>
        <w:tc>
          <w:tcPr>
            <w:tcW w:w="2830" w:type="dxa"/>
            <w:shd w:val="clear" w:color="auto" w:fill="D9D9D9"/>
            <w:vAlign w:val="center"/>
          </w:tcPr>
          <w:p w14:paraId="3E171EA4" w14:textId="77777777" w:rsidR="00A046DD" w:rsidRPr="00532C20" w:rsidRDefault="00A046DD" w:rsidP="00A046DD">
            <w:pPr>
              <w:rPr>
                <w:rFonts w:ascii="Times New Roman" w:hAnsi="Times New Roman"/>
                <w:b/>
                <w:noProof/>
                <w:sz w:val="24"/>
                <w:szCs w:val="36"/>
                <w:lang w:val="en-GB"/>
              </w:rPr>
            </w:pPr>
            <w:r w:rsidRPr="00532C20">
              <w:rPr>
                <w:rFonts w:ascii="Times New Roman" w:hAnsi="Times New Roman"/>
                <w:b/>
                <w:noProof/>
                <w:sz w:val="24"/>
                <w:szCs w:val="36"/>
                <w:lang w:val="en-GB"/>
              </w:rPr>
              <w:t>Registration and information disclosure costs</w:t>
            </w:r>
          </w:p>
        </w:tc>
        <w:tc>
          <w:tcPr>
            <w:tcW w:w="1843" w:type="dxa"/>
            <w:shd w:val="clear" w:color="auto" w:fill="auto"/>
            <w:vAlign w:val="center"/>
          </w:tcPr>
          <w:p w14:paraId="17FF4303" w14:textId="77777777" w:rsidR="00A046DD" w:rsidRPr="00532C20" w:rsidRDefault="00A046DD" w:rsidP="00A046DD">
            <w:pPr>
              <w:jc w:val="right"/>
              <w:rPr>
                <w:rFonts w:ascii="Times New Roman" w:hAnsi="Times New Roman"/>
                <w:noProof/>
                <w:sz w:val="24"/>
                <w:szCs w:val="36"/>
                <w:lang w:val="en-GB"/>
              </w:rPr>
            </w:pPr>
            <w:r w:rsidRPr="00532C20">
              <w:rPr>
                <w:rFonts w:ascii="Times New Roman" w:hAnsi="Times New Roman"/>
                <w:noProof/>
                <w:sz w:val="24"/>
                <w:szCs w:val="36"/>
                <w:lang w:val="en-GB"/>
              </w:rPr>
              <w:t>6,142,119.10</w:t>
            </w:r>
          </w:p>
        </w:tc>
        <w:tc>
          <w:tcPr>
            <w:tcW w:w="2126" w:type="dxa"/>
            <w:shd w:val="clear" w:color="auto" w:fill="auto"/>
            <w:vAlign w:val="center"/>
          </w:tcPr>
          <w:p w14:paraId="36BA7DDE" w14:textId="77777777" w:rsidR="00A046DD" w:rsidRPr="00532C20" w:rsidRDefault="00A046DD" w:rsidP="00A046DD">
            <w:pPr>
              <w:jc w:val="right"/>
              <w:rPr>
                <w:rFonts w:ascii="Times New Roman" w:hAnsi="Times New Roman"/>
                <w:noProof/>
                <w:sz w:val="24"/>
                <w:szCs w:val="36"/>
                <w:lang w:val="en-GB"/>
              </w:rPr>
            </w:pPr>
            <w:r w:rsidRPr="00532C20">
              <w:rPr>
                <w:rFonts w:ascii="Times New Roman" w:hAnsi="Times New Roman"/>
                <w:noProof/>
                <w:sz w:val="24"/>
                <w:szCs w:val="36"/>
                <w:lang w:val="en-GB"/>
              </w:rPr>
              <w:t>7,677,648.90</w:t>
            </w:r>
          </w:p>
        </w:tc>
        <w:tc>
          <w:tcPr>
            <w:tcW w:w="1972" w:type="dxa"/>
            <w:shd w:val="clear" w:color="auto" w:fill="auto"/>
            <w:vAlign w:val="center"/>
          </w:tcPr>
          <w:p w14:paraId="2B7B74D5" w14:textId="77777777" w:rsidR="00A046DD" w:rsidRPr="00532C20" w:rsidRDefault="00A046DD" w:rsidP="00A046DD">
            <w:pPr>
              <w:jc w:val="right"/>
              <w:rPr>
                <w:rFonts w:ascii="Times New Roman" w:hAnsi="Times New Roman"/>
                <w:noProof/>
                <w:sz w:val="24"/>
                <w:szCs w:val="36"/>
                <w:lang w:val="en-GB"/>
              </w:rPr>
            </w:pPr>
            <w:r w:rsidRPr="00532C20">
              <w:rPr>
                <w:rFonts w:ascii="Times New Roman" w:hAnsi="Times New Roman"/>
                <w:noProof/>
                <w:sz w:val="24"/>
                <w:szCs w:val="36"/>
                <w:lang w:val="en-GB"/>
              </w:rPr>
              <w:t>9,213,178.70</w:t>
            </w:r>
          </w:p>
        </w:tc>
      </w:tr>
      <w:tr w:rsidR="00A046DD" w:rsidRPr="00532C20" w14:paraId="475FBBF2" w14:textId="77777777">
        <w:trPr>
          <w:trHeight w:val="20"/>
        </w:trPr>
        <w:tc>
          <w:tcPr>
            <w:tcW w:w="2830" w:type="dxa"/>
            <w:shd w:val="clear" w:color="auto" w:fill="D9D9D9"/>
            <w:vAlign w:val="center"/>
          </w:tcPr>
          <w:p w14:paraId="719F383E" w14:textId="77777777" w:rsidR="00A046DD" w:rsidRPr="00532C20" w:rsidRDefault="00A046DD" w:rsidP="00A046DD">
            <w:pPr>
              <w:rPr>
                <w:rFonts w:ascii="Times New Roman" w:hAnsi="Times New Roman"/>
                <w:b/>
                <w:noProof/>
                <w:sz w:val="24"/>
                <w:szCs w:val="36"/>
                <w:lang w:val="en-GB"/>
              </w:rPr>
            </w:pPr>
            <w:r w:rsidRPr="00532C20">
              <w:rPr>
                <w:rFonts w:ascii="Times New Roman" w:hAnsi="Times New Roman"/>
                <w:b/>
                <w:noProof/>
                <w:sz w:val="24"/>
                <w:szCs w:val="36"/>
                <w:lang w:val="en-GB"/>
              </w:rPr>
              <w:t>Record-keeping costs</w:t>
            </w:r>
          </w:p>
        </w:tc>
        <w:tc>
          <w:tcPr>
            <w:tcW w:w="5941" w:type="dxa"/>
            <w:gridSpan w:val="3"/>
            <w:shd w:val="clear" w:color="auto" w:fill="auto"/>
            <w:vAlign w:val="center"/>
          </w:tcPr>
          <w:p w14:paraId="043D868F" w14:textId="77777777" w:rsidR="00A046DD" w:rsidRPr="00532C20" w:rsidRDefault="00A046DD" w:rsidP="00A046DD">
            <w:pPr>
              <w:rPr>
                <w:rFonts w:ascii="Times New Roman" w:hAnsi="Times New Roman"/>
                <w:i/>
                <w:noProof/>
                <w:sz w:val="24"/>
                <w:szCs w:val="36"/>
                <w:lang w:val="en-GB"/>
              </w:rPr>
            </w:pPr>
            <w:r w:rsidRPr="00532C20">
              <w:rPr>
                <w:rFonts w:ascii="Times New Roman" w:hAnsi="Times New Roman"/>
                <w:i/>
                <w:noProof/>
                <w:sz w:val="24"/>
                <w:szCs w:val="36"/>
                <w:lang w:val="en-GB"/>
              </w:rPr>
              <w:t>Business as usual (BaU) – No incremental costs</w:t>
            </w:r>
          </w:p>
        </w:tc>
      </w:tr>
      <w:tr w:rsidR="00A046DD" w:rsidRPr="00532C20" w14:paraId="4E6EFC02" w14:textId="77777777">
        <w:trPr>
          <w:trHeight w:val="20"/>
        </w:trPr>
        <w:tc>
          <w:tcPr>
            <w:tcW w:w="2830" w:type="dxa"/>
            <w:shd w:val="clear" w:color="auto" w:fill="D9D9D9"/>
            <w:vAlign w:val="center"/>
          </w:tcPr>
          <w:p w14:paraId="3EB9FBE5" w14:textId="77777777" w:rsidR="00A046DD" w:rsidRPr="00532C20" w:rsidRDefault="00A046DD" w:rsidP="00A046DD">
            <w:pPr>
              <w:rPr>
                <w:rFonts w:ascii="Times New Roman" w:hAnsi="Times New Roman"/>
                <w:b/>
                <w:noProof/>
                <w:sz w:val="24"/>
                <w:szCs w:val="36"/>
                <w:lang w:val="en-GB"/>
              </w:rPr>
            </w:pPr>
            <w:r w:rsidRPr="00532C20">
              <w:rPr>
                <w:rFonts w:ascii="Times New Roman" w:hAnsi="Times New Roman"/>
                <w:b/>
                <w:noProof/>
                <w:sz w:val="24"/>
                <w:szCs w:val="36"/>
                <w:lang w:val="en-GB"/>
              </w:rPr>
              <w:t>Other costs (incl. admin sanctions, registration fees)</w:t>
            </w:r>
          </w:p>
        </w:tc>
        <w:tc>
          <w:tcPr>
            <w:tcW w:w="5941" w:type="dxa"/>
            <w:gridSpan w:val="3"/>
            <w:shd w:val="clear" w:color="auto" w:fill="auto"/>
            <w:vAlign w:val="center"/>
          </w:tcPr>
          <w:p w14:paraId="000156E3" w14:textId="77777777" w:rsidR="00A046DD" w:rsidRPr="00532C20" w:rsidRDefault="00A046DD" w:rsidP="00A046DD">
            <w:pPr>
              <w:rPr>
                <w:rFonts w:ascii="Times New Roman" w:hAnsi="Times New Roman"/>
                <w:i/>
                <w:noProof/>
                <w:sz w:val="24"/>
                <w:szCs w:val="36"/>
                <w:lang w:val="en-GB"/>
              </w:rPr>
            </w:pPr>
            <w:r w:rsidRPr="00532C20">
              <w:rPr>
                <w:rFonts w:ascii="Times New Roman" w:hAnsi="Times New Roman"/>
                <w:i/>
                <w:noProof/>
                <w:sz w:val="24"/>
                <w:szCs w:val="36"/>
                <w:lang w:val="en-GB"/>
              </w:rPr>
              <w:t>No total cost estimates possible due to lack of evidence on possible frequency and actual scale of fines.</w:t>
            </w:r>
          </w:p>
        </w:tc>
      </w:tr>
      <w:tr w:rsidR="00A046DD" w:rsidRPr="00532C20" w14:paraId="1C0781CC" w14:textId="77777777">
        <w:trPr>
          <w:trHeight w:val="20"/>
        </w:trPr>
        <w:tc>
          <w:tcPr>
            <w:tcW w:w="2830" w:type="dxa"/>
            <w:shd w:val="clear" w:color="auto" w:fill="0C4DA2"/>
            <w:vAlign w:val="center"/>
          </w:tcPr>
          <w:p w14:paraId="12C6C5C0" w14:textId="77777777" w:rsidR="00A046DD" w:rsidRPr="00313F32" w:rsidRDefault="00A046DD" w:rsidP="00A046DD">
            <w:pPr>
              <w:jc w:val="right"/>
              <w:rPr>
                <w:rFonts w:ascii="Times New Roman" w:hAnsi="Times New Roman"/>
                <w:b/>
                <w:noProof/>
                <w:color w:val="FFFFFF" w:themeColor="background1"/>
                <w:sz w:val="24"/>
                <w:szCs w:val="36"/>
                <w:lang w:val="en-GB"/>
              </w:rPr>
            </w:pPr>
            <w:r w:rsidRPr="00313F32">
              <w:rPr>
                <w:rFonts w:ascii="Times New Roman" w:hAnsi="Times New Roman"/>
                <w:b/>
                <w:noProof/>
                <w:color w:val="FFFFFF" w:themeColor="background1"/>
                <w:sz w:val="24"/>
                <w:szCs w:val="36"/>
              </w:rPr>
              <w:t>Total:</w:t>
            </w:r>
          </w:p>
        </w:tc>
        <w:tc>
          <w:tcPr>
            <w:tcW w:w="1843" w:type="dxa"/>
            <w:shd w:val="clear" w:color="auto" w:fill="D9D9D9"/>
            <w:vAlign w:val="center"/>
          </w:tcPr>
          <w:p w14:paraId="6E9D2319" w14:textId="77777777" w:rsidR="00A046DD" w:rsidRPr="00532C20" w:rsidRDefault="00A046DD" w:rsidP="00A046DD">
            <w:pPr>
              <w:jc w:val="right"/>
              <w:rPr>
                <w:rFonts w:ascii="Times New Roman" w:hAnsi="Times New Roman"/>
                <w:b/>
                <w:noProof/>
                <w:sz w:val="24"/>
                <w:szCs w:val="36"/>
                <w:lang w:val="en-GB"/>
              </w:rPr>
            </w:pPr>
            <w:r w:rsidRPr="00532C20">
              <w:rPr>
                <w:rFonts w:ascii="Times New Roman" w:hAnsi="Times New Roman"/>
                <w:b/>
                <w:noProof/>
                <w:sz w:val="24"/>
                <w:szCs w:val="36"/>
                <w:lang w:val="en-GB"/>
              </w:rPr>
              <w:t>77,364,984.98</w:t>
            </w:r>
          </w:p>
        </w:tc>
        <w:tc>
          <w:tcPr>
            <w:tcW w:w="2126" w:type="dxa"/>
            <w:shd w:val="clear" w:color="auto" w:fill="D9D9D9"/>
            <w:vAlign w:val="center"/>
          </w:tcPr>
          <w:p w14:paraId="1D5879CF" w14:textId="77777777" w:rsidR="00A046DD" w:rsidRPr="00532C20" w:rsidRDefault="00A046DD" w:rsidP="00A046DD">
            <w:pPr>
              <w:jc w:val="right"/>
              <w:rPr>
                <w:rFonts w:ascii="Times New Roman" w:hAnsi="Times New Roman"/>
                <w:b/>
                <w:noProof/>
                <w:sz w:val="24"/>
                <w:szCs w:val="36"/>
                <w:lang w:val="en-GB"/>
              </w:rPr>
            </w:pPr>
            <w:r w:rsidRPr="00532C20">
              <w:rPr>
                <w:rFonts w:ascii="Times New Roman" w:hAnsi="Times New Roman"/>
                <w:b/>
                <w:noProof/>
                <w:sz w:val="24"/>
                <w:szCs w:val="36"/>
                <w:lang w:val="en-GB"/>
              </w:rPr>
              <w:t>150,158,974.28</w:t>
            </w:r>
          </w:p>
        </w:tc>
        <w:tc>
          <w:tcPr>
            <w:tcW w:w="1972" w:type="dxa"/>
            <w:shd w:val="clear" w:color="auto" w:fill="D9D9D9"/>
            <w:vAlign w:val="center"/>
          </w:tcPr>
          <w:p w14:paraId="6645BA43" w14:textId="77777777" w:rsidR="00A046DD" w:rsidRPr="00532C20" w:rsidRDefault="00A046DD" w:rsidP="00A046DD">
            <w:pPr>
              <w:jc w:val="right"/>
              <w:rPr>
                <w:rFonts w:ascii="Times New Roman" w:hAnsi="Times New Roman"/>
                <w:b/>
                <w:noProof/>
                <w:sz w:val="24"/>
                <w:szCs w:val="36"/>
                <w:lang w:val="en-GB"/>
              </w:rPr>
            </w:pPr>
            <w:r w:rsidRPr="00532C20">
              <w:rPr>
                <w:rFonts w:ascii="Times New Roman" w:hAnsi="Times New Roman"/>
                <w:b/>
                <w:noProof/>
                <w:sz w:val="24"/>
                <w:szCs w:val="36"/>
                <w:lang w:val="en-GB"/>
              </w:rPr>
              <w:t>222,988,557.24</w:t>
            </w:r>
          </w:p>
        </w:tc>
      </w:tr>
    </w:tbl>
    <w:p w14:paraId="4C0A4672" w14:textId="77777777" w:rsidR="00235007" w:rsidRPr="00532C20" w:rsidRDefault="00235007" w:rsidP="00235007">
      <w:pPr>
        <w:rPr>
          <w:noProof/>
          <w:lang w:val="en-IE" w:eastAsia="en-GB"/>
        </w:rPr>
      </w:pPr>
    </w:p>
    <w:p w14:paraId="3E2E59A2" w14:textId="77777777" w:rsidR="005D6DE0" w:rsidRPr="00532C20" w:rsidRDefault="005D6DE0" w:rsidP="00582553">
      <w:pPr>
        <w:pStyle w:val="ListParagraph"/>
        <w:numPr>
          <w:ilvl w:val="3"/>
          <w:numId w:val="76"/>
        </w:numPr>
        <w:rPr>
          <w:rFonts w:eastAsia="Times New Roman" w:cs="Times New Roman"/>
          <w:b/>
          <w:noProof/>
          <w:u w:val="single"/>
        </w:rPr>
      </w:pPr>
      <w:r w:rsidRPr="00532C20">
        <w:rPr>
          <w:rFonts w:ascii="Times New Roman" w:eastAsia="Times New Roman" w:hAnsi="Times New Roman" w:cs="Times New Roman"/>
          <w:b/>
          <w:bCs/>
          <w:noProof/>
          <w:u w:val="single"/>
        </w:rPr>
        <w:t>Scenario 2: 50% take-up of the non-legislative measures</w:t>
      </w:r>
    </w:p>
    <w:p w14:paraId="7B9938FB" w14:textId="209E0C23" w:rsidR="00E97348" w:rsidRPr="00532C20" w:rsidRDefault="00E97348" w:rsidP="00BD6478">
      <w:pPr>
        <w:pStyle w:val="BodyText"/>
        <w:rPr>
          <w:noProof/>
        </w:rPr>
      </w:pPr>
      <w:r w:rsidRPr="00532C20">
        <w:rPr>
          <w:noProof/>
        </w:rPr>
        <w:t xml:space="preserve">Under the assumptions detailed above in section </w:t>
      </w:r>
      <w:r w:rsidR="00BE1005" w:rsidRPr="00532C20">
        <w:rPr>
          <w:noProof/>
        </w:rPr>
        <w:t>4.1.1</w:t>
      </w:r>
      <w:r w:rsidR="00AE4EB5" w:rsidRPr="00532C20">
        <w:rPr>
          <w:noProof/>
        </w:rPr>
        <w:t>.1 and 4.1.1.2.</w:t>
      </w:r>
      <w:r w:rsidRPr="00532C20">
        <w:rPr>
          <w:noProof/>
        </w:rPr>
        <w:t>, the direct costs for entities conducting interest representation over the 10-year time horizon are summarised in the below table. However, should these firms operate cross-border where one country has implemented the measures and one country has not, they will face additional costs due to these inconsistencies.</w:t>
      </w:r>
    </w:p>
    <w:p w14:paraId="3CA22B2C" w14:textId="49C18A36" w:rsidR="00AE4EB5" w:rsidRPr="00532C20" w:rsidRDefault="00AE4EB5" w:rsidP="00AE4EB5">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19</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Policy option 1 – Summary of maximum costs to interest representation entities (over 10 years)</w:t>
      </w:r>
      <w:r w:rsidR="00484890" w:rsidRPr="00532C20">
        <w:rPr>
          <w:rFonts w:ascii="Times New Roman" w:eastAsia="Times New Roman" w:hAnsi="Times New Roman" w:cs="Times New Roman"/>
          <w:b/>
          <w:noProof/>
          <w:sz w:val="24"/>
          <w:szCs w:val="24"/>
        </w:rPr>
        <w:t xml:space="preserve"> under Scenario 2 (50% take-up of the non-legislative measures)</w:t>
      </w:r>
    </w:p>
    <w:tbl>
      <w:tblPr>
        <w:tblStyle w:val="TableGrid"/>
        <w:tblW w:w="0" w:type="auto"/>
        <w:tblLook w:val="04A0" w:firstRow="1" w:lastRow="0" w:firstColumn="1" w:lastColumn="0" w:noHBand="0" w:noVBand="1"/>
      </w:tblPr>
      <w:tblGrid>
        <w:gridCol w:w="2830"/>
        <w:gridCol w:w="1843"/>
        <w:gridCol w:w="2126"/>
        <w:gridCol w:w="1972"/>
      </w:tblGrid>
      <w:tr w:rsidR="00E97348" w:rsidRPr="00532C20" w14:paraId="1B4CEB2E" w14:textId="77777777">
        <w:trPr>
          <w:trHeight w:val="20"/>
          <w:tblHeader/>
        </w:trPr>
        <w:tc>
          <w:tcPr>
            <w:tcW w:w="2830" w:type="dxa"/>
            <w:shd w:val="clear" w:color="auto" w:fill="002060"/>
            <w:vAlign w:val="center"/>
          </w:tcPr>
          <w:p w14:paraId="402BF8FC" w14:textId="77777777" w:rsidR="00E97348" w:rsidRPr="00313F32" w:rsidRDefault="00E97348">
            <w:pPr>
              <w:pStyle w:val="BodyText1"/>
              <w:spacing w:before="0" w:after="0"/>
              <w:rPr>
                <w:rFonts w:ascii="Times New Roman" w:hAnsi="Times New Roman" w:cs="Times New Roman"/>
                <w:b/>
                <w:noProof/>
                <w:sz w:val="24"/>
                <w:szCs w:val="24"/>
              </w:rPr>
            </w:pPr>
            <w:r w:rsidRPr="00313F32">
              <w:rPr>
                <w:rFonts w:ascii="Times New Roman" w:hAnsi="Times New Roman" w:cs="Times New Roman"/>
                <w:b/>
                <w:noProof/>
                <w:sz w:val="24"/>
                <w:szCs w:val="24"/>
              </w:rPr>
              <w:t>Cost item</w:t>
            </w:r>
          </w:p>
        </w:tc>
        <w:tc>
          <w:tcPr>
            <w:tcW w:w="1843" w:type="dxa"/>
            <w:shd w:val="clear" w:color="auto" w:fill="002060"/>
            <w:vAlign w:val="center"/>
          </w:tcPr>
          <w:p w14:paraId="71FBA280" w14:textId="77777777" w:rsidR="00E97348" w:rsidRPr="00313F32" w:rsidRDefault="00E97348">
            <w:pPr>
              <w:pStyle w:val="BodyText1"/>
              <w:spacing w:before="0" w:after="0"/>
              <w:jc w:val="center"/>
              <w:rPr>
                <w:rFonts w:ascii="Times New Roman" w:hAnsi="Times New Roman" w:cs="Times New Roman"/>
                <w:b/>
                <w:noProof/>
                <w:sz w:val="24"/>
                <w:szCs w:val="24"/>
              </w:rPr>
            </w:pPr>
            <w:r w:rsidRPr="00313F32">
              <w:rPr>
                <w:rFonts w:ascii="Times New Roman" w:hAnsi="Times New Roman" w:cs="Times New Roman"/>
                <w:b/>
                <w:noProof/>
                <w:sz w:val="24"/>
                <w:szCs w:val="24"/>
              </w:rPr>
              <w:t>Low scenario (EUR)</w:t>
            </w:r>
          </w:p>
        </w:tc>
        <w:tc>
          <w:tcPr>
            <w:tcW w:w="2126" w:type="dxa"/>
            <w:shd w:val="clear" w:color="auto" w:fill="002060"/>
            <w:vAlign w:val="center"/>
          </w:tcPr>
          <w:p w14:paraId="5D96093A" w14:textId="77777777" w:rsidR="00E97348" w:rsidRPr="00313F32" w:rsidRDefault="00E97348">
            <w:pPr>
              <w:pStyle w:val="BodyText1"/>
              <w:spacing w:before="0" w:after="0"/>
              <w:jc w:val="center"/>
              <w:rPr>
                <w:rFonts w:ascii="Times New Roman" w:hAnsi="Times New Roman" w:cs="Times New Roman"/>
                <w:b/>
                <w:noProof/>
                <w:sz w:val="24"/>
                <w:szCs w:val="24"/>
              </w:rPr>
            </w:pPr>
            <w:r w:rsidRPr="00313F32">
              <w:rPr>
                <w:rFonts w:ascii="Times New Roman" w:hAnsi="Times New Roman" w:cs="Times New Roman"/>
                <w:b/>
                <w:noProof/>
                <w:sz w:val="24"/>
                <w:szCs w:val="24"/>
              </w:rPr>
              <w:t>Middle scenario (EUR)</w:t>
            </w:r>
          </w:p>
        </w:tc>
        <w:tc>
          <w:tcPr>
            <w:tcW w:w="1972" w:type="dxa"/>
            <w:shd w:val="clear" w:color="auto" w:fill="002060"/>
            <w:vAlign w:val="center"/>
          </w:tcPr>
          <w:p w14:paraId="5FECD24E" w14:textId="77777777" w:rsidR="00E97348" w:rsidRPr="00313F32" w:rsidRDefault="00E97348">
            <w:pPr>
              <w:pStyle w:val="BodyText1"/>
              <w:spacing w:before="0" w:after="0"/>
              <w:jc w:val="center"/>
              <w:rPr>
                <w:rFonts w:ascii="Times New Roman" w:hAnsi="Times New Roman" w:cs="Times New Roman"/>
                <w:b/>
                <w:noProof/>
                <w:sz w:val="24"/>
                <w:szCs w:val="24"/>
              </w:rPr>
            </w:pPr>
            <w:r w:rsidRPr="00313F32">
              <w:rPr>
                <w:rFonts w:ascii="Times New Roman" w:hAnsi="Times New Roman" w:cs="Times New Roman"/>
                <w:b/>
                <w:noProof/>
                <w:sz w:val="24"/>
                <w:szCs w:val="24"/>
              </w:rPr>
              <w:t>High scenario (EUR)</w:t>
            </w:r>
          </w:p>
        </w:tc>
      </w:tr>
      <w:tr w:rsidR="00E97348" w:rsidRPr="00532C20" w14:paraId="05888AD1" w14:textId="77777777">
        <w:trPr>
          <w:trHeight w:val="20"/>
        </w:trPr>
        <w:tc>
          <w:tcPr>
            <w:tcW w:w="2830" w:type="dxa"/>
            <w:shd w:val="clear" w:color="auto" w:fill="D9D9D9" w:themeFill="background1" w:themeFillShade="D9"/>
            <w:vAlign w:val="center"/>
          </w:tcPr>
          <w:p w14:paraId="70E70C50" w14:textId="77777777" w:rsidR="00E97348" w:rsidRPr="00532C20" w:rsidRDefault="00E97348" w:rsidP="00313F32">
            <w:pPr>
              <w:pStyle w:val="BodyText1"/>
              <w:spacing w:before="0" w:after="0"/>
              <w:jc w:val="left"/>
              <w:rPr>
                <w:rFonts w:ascii="Times New Roman" w:hAnsi="Times New Roman" w:cs="Times New Roman"/>
                <w:b/>
                <w:bCs/>
                <w:noProof/>
                <w:sz w:val="24"/>
                <w:szCs w:val="24"/>
              </w:rPr>
            </w:pPr>
            <w:r w:rsidRPr="00532C20">
              <w:rPr>
                <w:rFonts w:ascii="Times New Roman" w:hAnsi="Times New Roman" w:cs="Times New Roman"/>
                <w:b/>
                <w:bCs/>
                <w:noProof/>
                <w:sz w:val="24"/>
                <w:szCs w:val="24"/>
              </w:rPr>
              <w:t>Basic familiarisation costs</w:t>
            </w:r>
          </w:p>
        </w:tc>
        <w:tc>
          <w:tcPr>
            <w:tcW w:w="1843" w:type="dxa"/>
            <w:shd w:val="clear" w:color="auto" w:fill="auto"/>
            <w:vAlign w:val="center"/>
          </w:tcPr>
          <w:p w14:paraId="6AD059A3" w14:textId="77777777" w:rsidR="00E97348" w:rsidRPr="00532C20" w:rsidRDefault="00E97348">
            <w:pPr>
              <w:pStyle w:val="BodyText1"/>
              <w:spacing w:before="0" w:after="0"/>
              <w:jc w:val="right"/>
              <w:rPr>
                <w:rFonts w:ascii="Times New Roman" w:hAnsi="Times New Roman" w:cs="Times New Roman"/>
                <w:noProof/>
                <w:sz w:val="24"/>
                <w:szCs w:val="24"/>
              </w:rPr>
            </w:pPr>
            <w:r w:rsidRPr="00532C20">
              <w:rPr>
                <w:rFonts w:ascii="Times New Roman" w:hAnsi="Times New Roman" w:cs="Times New Roman"/>
                <w:noProof/>
                <w:sz w:val="24"/>
                <w:szCs w:val="24"/>
              </w:rPr>
              <w:t>35,582,958.03</w:t>
            </w:r>
          </w:p>
        </w:tc>
        <w:tc>
          <w:tcPr>
            <w:tcW w:w="2126" w:type="dxa"/>
            <w:shd w:val="clear" w:color="auto" w:fill="auto"/>
            <w:vAlign w:val="center"/>
          </w:tcPr>
          <w:p w14:paraId="560BB6BA" w14:textId="77777777" w:rsidR="00E97348" w:rsidRPr="00532C20" w:rsidRDefault="00E97348">
            <w:pPr>
              <w:pStyle w:val="BodyText1"/>
              <w:spacing w:before="0" w:after="0"/>
              <w:jc w:val="right"/>
              <w:rPr>
                <w:rFonts w:ascii="Times New Roman" w:hAnsi="Times New Roman" w:cs="Times New Roman"/>
                <w:noProof/>
                <w:sz w:val="24"/>
                <w:szCs w:val="24"/>
              </w:rPr>
            </w:pPr>
            <w:r w:rsidRPr="00532C20">
              <w:rPr>
                <w:rFonts w:ascii="Times New Roman" w:hAnsi="Times New Roman" w:cs="Times New Roman"/>
                <w:noProof/>
                <w:sz w:val="24"/>
                <w:szCs w:val="24"/>
              </w:rPr>
              <w:t>71,169,475.42</w:t>
            </w:r>
          </w:p>
        </w:tc>
        <w:tc>
          <w:tcPr>
            <w:tcW w:w="1972" w:type="dxa"/>
            <w:shd w:val="clear" w:color="auto" w:fill="auto"/>
            <w:vAlign w:val="center"/>
          </w:tcPr>
          <w:p w14:paraId="1A6DE8CC" w14:textId="77777777" w:rsidR="00E97348" w:rsidRPr="00532C20" w:rsidRDefault="00E97348">
            <w:pPr>
              <w:pStyle w:val="BodyText1"/>
              <w:spacing w:before="0" w:after="0"/>
              <w:jc w:val="right"/>
              <w:rPr>
                <w:rFonts w:ascii="Times New Roman" w:hAnsi="Times New Roman" w:cs="Times New Roman"/>
                <w:noProof/>
                <w:sz w:val="24"/>
                <w:szCs w:val="24"/>
              </w:rPr>
            </w:pPr>
            <w:r w:rsidRPr="00532C20">
              <w:rPr>
                <w:rFonts w:ascii="Times New Roman" w:hAnsi="Times New Roman" w:cs="Times New Roman"/>
                <w:noProof/>
                <w:sz w:val="24"/>
                <w:szCs w:val="24"/>
              </w:rPr>
              <w:t>106,759,552.18</w:t>
            </w:r>
          </w:p>
        </w:tc>
      </w:tr>
      <w:tr w:rsidR="00E97348" w:rsidRPr="00532C20" w14:paraId="1FED8556" w14:textId="77777777">
        <w:trPr>
          <w:trHeight w:val="20"/>
        </w:trPr>
        <w:tc>
          <w:tcPr>
            <w:tcW w:w="2830" w:type="dxa"/>
            <w:shd w:val="clear" w:color="auto" w:fill="D9D9D9" w:themeFill="background1" w:themeFillShade="D9"/>
            <w:vAlign w:val="center"/>
          </w:tcPr>
          <w:p w14:paraId="624229F3" w14:textId="77777777" w:rsidR="00E97348" w:rsidRPr="00532C20" w:rsidRDefault="00E97348" w:rsidP="00313F32">
            <w:pPr>
              <w:pStyle w:val="BodyText1"/>
              <w:spacing w:before="0" w:after="0"/>
              <w:jc w:val="left"/>
              <w:rPr>
                <w:rFonts w:ascii="Times New Roman" w:hAnsi="Times New Roman" w:cs="Times New Roman"/>
                <w:b/>
                <w:bCs/>
                <w:noProof/>
                <w:sz w:val="24"/>
                <w:szCs w:val="24"/>
              </w:rPr>
            </w:pPr>
            <w:r w:rsidRPr="00532C20">
              <w:rPr>
                <w:rFonts w:ascii="Times New Roman" w:hAnsi="Times New Roman" w:cs="Times New Roman"/>
                <w:b/>
                <w:bCs/>
                <w:noProof/>
                <w:sz w:val="24"/>
                <w:szCs w:val="24"/>
              </w:rPr>
              <w:t>Extended familiarisation costs</w:t>
            </w:r>
          </w:p>
        </w:tc>
        <w:tc>
          <w:tcPr>
            <w:tcW w:w="1843" w:type="dxa"/>
            <w:shd w:val="clear" w:color="auto" w:fill="auto"/>
            <w:vAlign w:val="center"/>
          </w:tcPr>
          <w:p w14:paraId="1F5027B2" w14:textId="77777777" w:rsidR="00E97348" w:rsidRPr="00532C20" w:rsidRDefault="00E97348">
            <w:pPr>
              <w:pStyle w:val="BodyText1"/>
              <w:spacing w:before="0" w:after="0"/>
              <w:jc w:val="right"/>
              <w:rPr>
                <w:rFonts w:ascii="Times New Roman" w:hAnsi="Times New Roman" w:cs="Times New Roman"/>
                <w:noProof/>
                <w:sz w:val="24"/>
                <w:szCs w:val="24"/>
              </w:rPr>
            </w:pPr>
            <w:r w:rsidRPr="00532C20">
              <w:rPr>
                <w:rFonts w:ascii="Times New Roman" w:hAnsi="Times New Roman" w:cs="Times New Roman"/>
                <w:noProof/>
                <w:sz w:val="24"/>
                <w:szCs w:val="24"/>
              </w:rPr>
              <w:t>28,474.91</w:t>
            </w:r>
          </w:p>
        </w:tc>
        <w:tc>
          <w:tcPr>
            <w:tcW w:w="2126" w:type="dxa"/>
            <w:shd w:val="clear" w:color="auto" w:fill="auto"/>
            <w:vAlign w:val="center"/>
          </w:tcPr>
          <w:p w14:paraId="610F9807" w14:textId="77777777" w:rsidR="00E97348" w:rsidRPr="00532C20" w:rsidRDefault="00E97348">
            <w:pPr>
              <w:pStyle w:val="BodyText1"/>
              <w:spacing w:before="0" w:after="0"/>
              <w:jc w:val="right"/>
              <w:rPr>
                <w:rFonts w:ascii="Times New Roman" w:hAnsi="Times New Roman" w:cs="Times New Roman"/>
                <w:noProof/>
                <w:sz w:val="24"/>
                <w:szCs w:val="24"/>
              </w:rPr>
            </w:pPr>
            <w:r w:rsidRPr="00532C20">
              <w:rPr>
                <w:rFonts w:ascii="Times New Roman" w:hAnsi="Times New Roman" w:cs="Times New Roman"/>
                <w:noProof/>
                <w:sz w:val="24"/>
                <w:szCs w:val="24"/>
              </w:rPr>
              <w:t>71,187.27</w:t>
            </w:r>
          </w:p>
        </w:tc>
        <w:tc>
          <w:tcPr>
            <w:tcW w:w="1972" w:type="dxa"/>
            <w:shd w:val="clear" w:color="auto" w:fill="auto"/>
            <w:vAlign w:val="center"/>
          </w:tcPr>
          <w:p w14:paraId="2E481F82" w14:textId="77777777" w:rsidR="00E97348" w:rsidRPr="00532C20" w:rsidRDefault="00E97348">
            <w:pPr>
              <w:pStyle w:val="BodyText1"/>
              <w:spacing w:before="0" w:after="0"/>
              <w:jc w:val="right"/>
              <w:rPr>
                <w:rFonts w:ascii="Times New Roman" w:hAnsi="Times New Roman" w:cs="Times New Roman"/>
                <w:noProof/>
                <w:sz w:val="24"/>
                <w:szCs w:val="24"/>
              </w:rPr>
            </w:pPr>
            <w:r w:rsidRPr="00532C20">
              <w:rPr>
                <w:rFonts w:ascii="Times New Roman" w:hAnsi="Times New Roman" w:cs="Times New Roman"/>
                <w:noProof/>
                <w:sz w:val="24"/>
                <w:szCs w:val="24"/>
              </w:rPr>
              <w:t>128,137.09</w:t>
            </w:r>
          </w:p>
        </w:tc>
      </w:tr>
      <w:tr w:rsidR="00E97348" w:rsidRPr="00532C20" w14:paraId="4EF54C2C" w14:textId="77777777">
        <w:trPr>
          <w:trHeight w:val="20"/>
        </w:trPr>
        <w:tc>
          <w:tcPr>
            <w:tcW w:w="2830" w:type="dxa"/>
            <w:shd w:val="clear" w:color="auto" w:fill="D9D9D9" w:themeFill="background1" w:themeFillShade="D9"/>
            <w:vAlign w:val="center"/>
          </w:tcPr>
          <w:p w14:paraId="7620F62D" w14:textId="77777777" w:rsidR="00E97348" w:rsidRPr="00532C20" w:rsidRDefault="00E97348" w:rsidP="00313F32">
            <w:pPr>
              <w:pStyle w:val="BodyText1"/>
              <w:spacing w:before="0" w:after="0"/>
              <w:jc w:val="left"/>
              <w:rPr>
                <w:rFonts w:ascii="Times New Roman" w:hAnsi="Times New Roman" w:cs="Times New Roman"/>
                <w:b/>
                <w:bCs/>
                <w:noProof/>
                <w:sz w:val="24"/>
                <w:szCs w:val="24"/>
              </w:rPr>
            </w:pPr>
            <w:r w:rsidRPr="00532C20">
              <w:rPr>
                <w:rFonts w:ascii="Times New Roman" w:hAnsi="Times New Roman" w:cs="Times New Roman"/>
                <w:b/>
                <w:bCs/>
                <w:noProof/>
                <w:sz w:val="24"/>
                <w:szCs w:val="24"/>
              </w:rPr>
              <w:t>Registration and information disclosure costs</w:t>
            </w:r>
          </w:p>
        </w:tc>
        <w:tc>
          <w:tcPr>
            <w:tcW w:w="1843" w:type="dxa"/>
            <w:shd w:val="clear" w:color="auto" w:fill="auto"/>
            <w:vAlign w:val="center"/>
          </w:tcPr>
          <w:p w14:paraId="6991168E" w14:textId="77777777" w:rsidR="00E97348" w:rsidRPr="00532C20" w:rsidRDefault="00E97348">
            <w:pPr>
              <w:pStyle w:val="BodyText1"/>
              <w:spacing w:before="0" w:after="0"/>
              <w:jc w:val="right"/>
              <w:rPr>
                <w:rFonts w:ascii="Times New Roman" w:hAnsi="Times New Roman" w:cs="Times New Roman"/>
                <w:bCs/>
                <w:noProof/>
                <w:sz w:val="24"/>
                <w:szCs w:val="24"/>
              </w:rPr>
            </w:pPr>
            <w:r w:rsidRPr="00532C20">
              <w:rPr>
                <w:rFonts w:ascii="Times New Roman" w:hAnsi="Times New Roman" w:cs="Times New Roman"/>
                <w:bCs/>
                <w:noProof/>
                <w:sz w:val="24"/>
                <w:szCs w:val="24"/>
              </w:rPr>
              <w:t>3,071,059.55</w:t>
            </w:r>
          </w:p>
        </w:tc>
        <w:tc>
          <w:tcPr>
            <w:tcW w:w="2126" w:type="dxa"/>
            <w:shd w:val="clear" w:color="auto" w:fill="auto"/>
            <w:vAlign w:val="center"/>
          </w:tcPr>
          <w:p w14:paraId="7E1B2950" w14:textId="77777777" w:rsidR="00E97348" w:rsidRPr="00532C20" w:rsidRDefault="00E97348">
            <w:pPr>
              <w:pStyle w:val="BodyText1"/>
              <w:spacing w:before="0" w:after="0"/>
              <w:jc w:val="right"/>
              <w:rPr>
                <w:rFonts w:ascii="Times New Roman" w:hAnsi="Times New Roman" w:cs="Times New Roman"/>
                <w:bCs/>
                <w:noProof/>
                <w:sz w:val="24"/>
                <w:szCs w:val="24"/>
              </w:rPr>
            </w:pPr>
            <w:r w:rsidRPr="00532C20">
              <w:rPr>
                <w:rFonts w:ascii="Times New Roman" w:hAnsi="Times New Roman" w:cs="Times New Roman"/>
                <w:bCs/>
                <w:noProof/>
                <w:sz w:val="24"/>
                <w:szCs w:val="24"/>
              </w:rPr>
              <w:t>3,838,824.45</w:t>
            </w:r>
          </w:p>
        </w:tc>
        <w:tc>
          <w:tcPr>
            <w:tcW w:w="1972" w:type="dxa"/>
            <w:shd w:val="clear" w:color="auto" w:fill="auto"/>
            <w:vAlign w:val="center"/>
          </w:tcPr>
          <w:p w14:paraId="730CD932" w14:textId="77777777" w:rsidR="00E97348" w:rsidRPr="00532C20" w:rsidRDefault="00E97348">
            <w:pPr>
              <w:pStyle w:val="BodyText1"/>
              <w:spacing w:before="0" w:after="0"/>
              <w:jc w:val="right"/>
              <w:rPr>
                <w:rFonts w:ascii="Times New Roman" w:hAnsi="Times New Roman" w:cs="Times New Roman"/>
                <w:bCs/>
                <w:noProof/>
                <w:sz w:val="24"/>
                <w:szCs w:val="24"/>
              </w:rPr>
            </w:pPr>
            <w:r w:rsidRPr="00532C20">
              <w:rPr>
                <w:rFonts w:ascii="Times New Roman" w:hAnsi="Times New Roman" w:cs="Times New Roman"/>
                <w:bCs/>
                <w:noProof/>
                <w:sz w:val="24"/>
                <w:szCs w:val="24"/>
              </w:rPr>
              <w:t>4,606,589.35</w:t>
            </w:r>
          </w:p>
        </w:tc>
      </w:tr>
      <w:tr w:rsidR="00E97348" w:rsidRPr="00532C20" w14:paraId="5A3BA2DC" w14:textId="77777777">
        <w:trPr>
          <w:trHeight w:val="20"/>
        </w:trPr>
        <w:tc>
          <w:tcPr>
            <w:tcW w:w="2830" w:type="dxa"/>
            <w:shd w:val="clear" w:color="auto" w:fill="D9D9D9" w:themeFill="background1" w:themeFillShade="D9"/>
            <w:vAlign w:val="center"/>
          </w:tcPr>
          <w:p w14:paraId="33781B50" w14:textId="77777777" w:rsidR="00E97348" w:rsidRPr="00532C20" w:rsidRDefault="00E97348" w:rsidP="00313F32">
            <w:pPr>
              <w:pStyle w:val="BodyText1"/>
              <w:spacing w:before="0" w:after="0"/>
              <w:jc w:val="left"/>
              <w:rPr>
                <w:rFonts w:ascii="Times New Roman" w:hAnsi="Times New Roman" w:cs="Times New Roman"/>
                <w:b/>
                <w:bCs/>
                <w:noProof/>
                <w:sz w:val="24"/>
                <w:szCs w:val="24"/>
              </w:rPr>
            </w:pPr>
            <w:r w:rsidRPr="00532C20">
              <w:rPr>
                <w:rFonts w:ascii="Times New Roman" w:hAnsi="Times New Roman" w:cs="Times New Roman"/>
                <w:b/>
                <w:bCs/>
                <w:noProof/>
                <w:sz w:val="24"/>
                <w:szCs w:val="24"/>
              </w:rPr>
              <w:t>Record-keeping costs</w:t>
            </w:r>
          </w:p>
        </w:tc>
        <w:tc>
          <w:tcPr>
            <w:tcW w:w="5941" w:type="dxa"/>
            <w:gridSpan w:val="3"/>
            <w:shd w:val="clear" w:color="auto" w:fill="auto"/>
            <w:vAlign w:val="center"/>
          </w:tcPr>
          <w:p w14:paraId="21BC920C" w14:textId="77777777" w:rsidR="00E97348" w:rsidRPr="00532C20" w:rsidRDefault="00E97348">
            <w:pPr>
              <w:pStyle w:val="BodyText1"/>
              <w:spacing w:before="0" w:after="0"/>
              <w:rPr>
                <w:rFonts w:ascii="Times New Roman" w:hAnsi="Times New Roman" w:cs="Times New Roman"/>
                <w:i/>
                <w:iCs/>
                <w:noProof/>
                <w:sz w:val="24"/>
                <w:szCs w:val="24"/>
              </w:rPr>
            </w:pPr>
            <w:r w:rsidRPr="00532C20">
              <w:rPr>
                <w:rFonts w:ascii="Times New Roman" w:hAnsi="Times New Roman" w:cs="Times New Roman"/>
                <w:i/>
                <w:iCs/>
                <w:noProof/>
                <w:sz w:val="24"/>
                <w:szCs w:val="24"/>
              </w:rPr>
              <w:t>Business as usual (BaU) – No incremental costs</w:t>
            </w:r>
          </w:p>
        </w:tc>
      </w:tr>
      <w:tr w:rsidR="00E97348" w:rsidRPr="00532C20" w14:paraId="0DF8C082" w14:textId="77777777">
        <w:trPr>
          <w:trHeight w:val="20"/>
        </w:trPr>
        <w:tc>
          <w:tcPr>
            <w:tcW w:w="2830" w:type="dxa"/>
            <w:shd w:val="clear" w:color="auto" w:fill="D9D9D9" w:themeFill="background1" w:themeFillShade="D9"/>
            <w:vAlign w:val="center"/>
          </w:tcPr>
          <w:p w14:paraId="3CE3BD38" w14:textId="77777777" w:rsidR="00E97348" w:rsidRPr="00532C20" w:rsidRDefault="00E97348" w:rsidP="00313F32">
            <w:pPr>
              <w:pStyle w:val="BodyText1"/>
              <w:spacing w:before="0" w:after="0"/>
              <w:jc w:val="left"/>
              <w:rPr>
                <w:rFonts w:ascii="Times New Roman" w:hAnsi="Times New Roman" w:cs="Times New Roman"/>
                <w:b/>
                <w:bCs/>
                <w:noProof/>
                <w:sz w:val="24"/>
                <w:szCs w:val="24"/>
              </w:rPr>
            </w:pPr>
            <w:r w:rsidRPr="00532C20">
              <w:rPr>
                <w:rFonts w:ascii="Times New Roman" w:hAnsi="Times New Roman" w:cs="Times New Roman"/>
                <w:b/>
                <w:bCs/>
                <w:noProof/>
                <w:sz w:val="24"/>
                <w:szCs w:val="24"/>
              </w:rPr>
              <w:t>Other costs (incl. admin sanctions, registration fees)</w:t>
            </w:r>
          </w:p>
        </w:tc>
        <w:tc>
          <w:tcPr>
            <w:tcW w:w="5941" w:type="dxa"/>
            <w:gridSpan w:val="3"/>
            <w:shd w:val="clear" w:color="auto" w:fill="auto"/>
            <w:vAlign w:val="center"/>
          </w:tcPr>
          <w:p w14:paraId="07DEEB62" w14:textId="77777777" w:rsidR="00E97348" w:rsidRPr="00532C20" w:rsidRDefault="00E97348">
            <w:pPr>
              <w:pStyle w:val="BodyText1"/>
              <w:spacing w:before="0" w:after="0"/>
              <w:rPr>
                <w:rFonts w:ascii="Times New Roman" w:hAnsi="Times New Roman" w:cs="Times New Roman"/>
                <w:i/>
                <w:iCs/>
                <w:noProof/>
                <w:sz w:val="24"/>
                <w:szCs w:val="24"/>
              </w:rPr>
            </w:pPr>
            <w:r w:rsidRPr="00532C20">
              <w:rPr>
                <w:rFonts w:ascii="Times New Roman" w:hAnsi="Times New Roman" w:cs="Times New Roman"/>
                <w:i/>
                <w:iCs/>
                <w:noProof/>
                <w:sz w:val="24"/>
                <w:szCs w:val="24"/>
              </w:rPr>
              <w:t>No total cost estimates possible due to lack of evidence on possible frequency and actual scale of fines.</w:t>
            </w:r>
          </w:p>
        </w:tc>
      </w:tr>
      <w:tr w:rsidR="00E97348" w:rsidRPr="00532C20" w14:paraId="0862D47D" w14:textId="77777777">
        <w:trPr>
          <w:trHeight w:val="20"/>
        </w:trPr>
        <w:tc>
          <w:tcPr>
            <w:tcW w:w="2830" w:type="dxa"/>
            <w:shd w:val="clear" w:color="auto" w:fill="0C4DA2"/>
            <w:vAlign w:val="center"/>
          </w:tcPr>
          <w:p w14:paraId="1AFDEDA8" w14:textId="77777777" w:rsidR="00E97348" w:rsidRPr="00532C20" w:rsidRDefault="00E97348">
            <w:pPr>
              <w:pStyle w:val="BodyText1"/>
              <w:spacing w:before="0" w:after="0"/>
              <w:jc w:val="right"/>
              <w:rPr>
                <w:rFonts w:ascii="Times New Roman" w:hAnsi="Times New Roman" w:cs="Times New Roman"/>
                <w:b/>
                <w:bCs/>
                <w:noProof/>
                <w:color w:val="FFFFFF" w:themeColor="background1"/>
                <w:sz w:val="24"/>
                <w:szCs w:val="24"/>
              </w:rPr>
            </w:pPr>
            <w:r w:rsidRPr="00532C20">
              <w:rPr>
                <w:rFonts w:ascii="Times New Roman" w:hAnsi="Times New Roman" w:cs="Times New Roman"/>
                <w:b/>
                <w:bCs/>
                <w:noProof/>
                <w:color w:val="FFFFFF" w:themeColor="background1"/>
                <w:sz w:val="24"/>
                <w:szCs w:val="24"/>
              </w:rPr>
              <w:t>Total:</w:t>
            </w:r>
          </w:p>
        </w:tc>
        <w:tc>
          <w:tcPr>
            <w:tcW w:w="1843" w:type="dxa"/>
            <w:shd w:val="clear" w:color="auto" w:fill="D9D9D9" w:themeFill="background1" w:themeFillShade="D9"/>
            <w:vAlign w:val="center"/>
          </w:tcPr>
          <w:p w14:paraId="1A9302E0" w14:textId="77777777" w:rsidR="00E97348" w:rsidRPr="00532C20" w:rsidRDefault="00E97348">
            <w:pPr>
              <w:pStyle w:val="BodyText1"/>
              <w:spacing w:before="0" w:after="0"/>
              <w:jc w:val="right"/>
              <w:rPr>
                <w:rFonts w:ascii="Times New Roman" w:hAnsi="Times New Roman" w:cs="Times New Roman"/>
                <w:b/>
                <w:bCs/>
                <w:noProof/>
                <w:sz w:val="24"/>
                <w:szCs w:val="24"/>
              </w:rPr>
            </w:pPr>
            <w:r w:rsidRPr="00532C20">
              <w:rPr>
                <w:rFonts w:ascii="Times New Roman" w:hAnsi="Times New Roman" w:cs="Times New Roman"/>
                <w:b/>
                <w:bCs/>
                <w:noProof/>
                <w:sz w:val="24"/>
                <w:szCs w:val="24"/>
              </w:rPr>
              <w:t>38,682,492.49</w:t>
            </w:r>
          </w:p>
        </w:tc>
        <w:tc>
          <w:tcPr>
            <w:tcW w:w="2126" w:type="dxa"/>
            <w:shd w:val="clear" w:color="auto" w:fill="D9D9D9" w:themeFill="background1" w:themeFillShade="D9"/>
            <w:vAlign w:val="center"/>
          </w:tcPr>
          <w:p w14:paraId="14E211BC" w14:textId="77777777" w:rsidR="00E97348" w:rsidRPr="00532C20" w:rsidRDefault="00E97348">
            <w:pPr>
              <w:pStyle w:val="BodyText1"/>
              <w:spacing w:before="0" w:after="0"/>
              <w:jc w:val="right"/>
              <w:rPr>
                <w:rFonts w:ascii="Times New Roman" w:hAnsi="Times New Roman" w:cs="Times New Roman"/>
                <w:b/>
                <w:bCs/>
                <w:noProof/>
                <w:sz w:val="24"/>
                <w:szCs w:val="24"/>
              </w:rPr>
            </w:pPr>
            <w:r w:rsidRPr="00532C20">
              <w:rPr>
                <w:rFonts w:ascii="Times New Roman" w:hAnsi="Times New Roman" w:cs="Times New Roman"/>
                <w:b/>
                <w:bCs/>
                <w:noProof/>
                <w:sz w:val="24"/>
                <w:szCs w:val="24"/>
              </w:rPr>
              <w:t>75,079,487.14</w:t>
            </w:r>
          </w:p>
        </w:tc>
        <w:tc>
          <w:tcPr>
            <w:tcW w:w="1972" w:type="dxa"/>
            <w:shd w:val="clear" w:color="auto" w:fill="D9D9D9" w:themeFill="background1" w:themeFillShade="D9"/>
            <w:vAlign w:val="center"/>
          </w:tcPr>
          <w:p w14:paraId="3FCF2247" w14:textId="77777777" w:rsidR="00E97348" w:rsidRPr="00532C20" w:rsidRDefault="00E97348">
            <w:pPr>
              <w:pStyle w:val="BodyText1"/>
              <w:spacing w:before="0" w:after="0"/>
              <w:jc w:val="right"/>
              <w:rPr>
                <w:rFonts w:ascii="Times New Roman" w:hAnsi="Times New Roman" w:cs="Times New Roman"/>
                <w:b/>
                <w:bCs/>
                <w:noProof/>
                <w:sz w:val="24"/>
                <w:szCs w:val="24"/>
              </w:rPr>
            </w:pPr>
            <w:r w:rsidRPr="00532C20">
              <w:rPr>
                <w:rFonts w:ascii="Times New Roman" w:hAnsi="Times New Roman" w:cs="Times New Roman"/>
                <w:b/>
                <w:bCs/>
                <w:noProof/>
                <w:sz w:val="24"/>
                <w:szCs w:val="24"/>
              </w:rPr>
              <w:t>111,494,278.62</w:t>
            </w:r>
          </w:p>
        </w:tc>
      </w:tr>
    </w:tbl>
    <w:p w14:paraId="6F9B98E1" w14:textId="77777777" w:rsidR="00880AC2" w:rsidRPr="00532C20" w:rsidRDefault="00880AC2" w:rsidP="00235007">
      <w:pPr>
        <w:rPr>
          <w:noProof/>
          <w:lang w:val="en-IE" w:eastAsia="en-GB"/>
        </w:rPr>
      </w:pPr>
    </w:p>
    <w:p w14:paraId="4E20FAE1" w14:textId="7086A088" w:rsidR="0096199D" w:rsidRPr="00532C20" w:rsidRDefault="00A046DD" w:rsidP="00563021">
      <w:pPr>
        <w:pStyle w:val="ListParagraph"/>
        <w:numPr>
          <w:ilvl w:val="2"/>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 xml:space="preserve">Policy option </w:t>
      </w:r>
      <w:r w:rsidR="00D47716" w:rsidRPr="00532C20">
        <w:rPr>
          <w:rFonts w:ascii="Times New Roman" w:eastAsia="Times New Roman" w:hAnsi="Times New Roman" w:cs="Times New Roman"/>
          <w:b/>
          <w:bCs/>
          <w:noProof/>
          <w:u w:val="single"/>
        </w:rPr>
        <w:t>2.1</w:t>
      </w:r>
      <w:r w:rsidRPr="00532C20">
        <w:rPr>
          <w:rFonts w:ascii="Times New Roman" w:eastAsia="Times New Roman" w:hAnsi="Times New Roman" w:cs="Times New Roman"/>
          <w:b/>
          <w:bCs/>
          <w:noProof/>
          <w:u w:val="single"/>
        </w:rPr>
        <w:t>: Targeted legislative intervention</w:t>
      </w:r>
      <w:r w:rsidR="0096199D" w:rsidRPr="00532C20">
        <w:rPr>
          <w:rFonts w:ascii="Times New Roman" w:eastAsia="Times New Roman" w:hAnsi="Times New Roman" w:cs="Times New Roman"/>
          <w:b/>
          <w:bCs/>
          <w:noProof/>
          <w:u w:val="single"/>
        </w:rPr>
        <w:t xml:space="preserve"> </w:t>
      </w:r>
    </w:p>
    <w:p w14:paraId="45C509ED" w14:textId="77C97BD6"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In line with the categorisation of costs, the below table summarises the nature of the different costs to entities carrying out interest representation activities on behalf of third countries that are relevant within policy option </w:t>
      </w:r>
      <w:r w:rsidR="00D47716" w:rsidRPr="00532C20">
        <w:rPr>
          <w:rFonts w:ascii="Times New Roman" w:eastAsia="Times New Roman" w:hAnsi="Times New Roman" w:cs="Times New Roman"/>
          <w:noProof/>
          <w:sz w:val="24"/>
          <w:szCs w:val="24"/>
        </w:rPr>
        <w:t>2.1</w:t>
      </w:r>
      <w:r w:rsidRPr="00532C20">
        <w:rPr>
          <w:rFonts w:ascii="Times New Roman" w:eastAsia="Times New Roman" w:hAnsi="Times New Roman" w:cs="Times New Roman"/>
          <w:noProof/>
          <w:sz w:val="24"/>
          <w:szCs w:val="24"/>
        </w:rPr>
        <w:t>.</w:t>
      </w:r>
    </w:p>
    <w:p w14:paraId="331AB273" w14:textId="6E601B85"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bookmarkStart w:id="1170" w:name="_Toc140752078"/>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20</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Policy option </w:t>
      </w:r>
      <w:r w:rsidR="00D47716" w:rsidRPr="00532C20">
        <w:rPr>
          <w:rFonts w:ascii="Times New Roman" w:eastAsia="Times New Roman" w:hAnsi="Times New Roman" w:cs="Times New Roman"/>
          <w:b/>
          <w:noProof/>
          <w:sz w:val="24"/>
          <w:szCs w:val="24"/>
        </w:rPr>
        <w:t>2.1</w:t>
      </w:r>
      <w:r w:rsidRPr="00532C20">
        <w:rPr>
          <w:rFonts w:ascii="Times New Roman" w:eastAsia="Times New Roman" w:hAnsi="Times New Roman" w:cs="Times New Roman"/>
          <w:b/>
          <w:noProof/>
          <w:sz w:val="24"/>
          <w:szCs w:val="24"/>
        </w:rPr>
        <w:t xml:space="preserve"> – Summary of costs to interest representation </w:t>
      </w:r>
      <w:bookmarkEnd w:id="1170"/>
      <w:r w:rsidRPr="00532C20">
        <w:rPr>
          <w:rFonts w:ascii="Times New Roman" w:eastAsia="Times New Roman" w:hAnsi="Times New Roman" w:cs="Times New Roman"/>
          <w:b/>
          <w:noProof/>
          <w:sz w:val="24"/>
          <w:szCs w:val="24"/>
        </w:rPr>
        <w:t>entities within 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33"/>
        <w:gridCol w:w="1560"/>
        <w:gridCol w:w="1134"/>
        <w:gridCol w:w="2642"/>
      </w:tblGrid>
      <w:tr w:rsidR="00A046DD" w:rsidRPr="00532C20" w14:paraId="3A4751A8" w14:textId="77777777">
        <w:trPr>
          <w:trHeight w:val="20"/>
          <w:tblHeader/>
        </w:trPr>
        <w:tc>
          <w:tcPr>
            <w:tcW w:w="1412" w:type="pct"/>
            <w:shd w:val="clear" w:color="auto" w:fill="002060"/>
            <w:noWrap/>
            <w:vAlign w:val="center"/>
          </w:tcPr>
          <w:p w14:paraId="223CA817"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Cost items – Interest representation service providers</w:t>
            </w:r>
          </w:p>
        </w:tc>
        <w:tc>
          <w:tcPr>
            <w:tcW w:w="628" w:type="pct"/>
            <w:shd w:val="clear" w:color="auto" w:fill="002060"/>
            <w:noWrap/>
            <w:vAlign w:val="center"/>
          </w:tcPr>
          <w:p w14:paraId="0C094AAF" w14:textId="77777777" w:rsidR="00A046DD" w:rsidRPr="00532C20" w:rsidRDefault="00A046DD" w:rsidP="00A046DD">
            <w:pPr>
              <w:spacing w:after="0" w:line="240" w:lineRule="auto"/>
              <w:jc w:val="center"/>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One-off vs. recurrent</w:t>
            </w:r>
          </w:p>
        </w:tc>
        <w:tc>
          <w:tcPr>
            <w:tcW w:w="865" w:type="pct"/>
            <w:shd w:val="clear" w:color="auto" w:fill="002060"/>
            <w:noWrap/>
            <w:vAlign w:val="center"/>
          </w:tcPr>
          <w:p w14:paraId="5B82C442" w14:textId="77777777" w:rsidR="00A046DD" w:rsidRPr="00532C20" w:rsidRDefault="00A046DD" w:rsidP="00A046DD">
            <w:pPr>
              <w:spacing w:after="0" w:line="240" w:lineRule="auto"/>
              <w:jc w:val="center"/>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Type</w:t>
            </w:r>
          </w:p>
        </w:tc>
        <w:tc>
          <w:tcPr>
            <w:tcW w:w="629" w:type="pct"/>
            <w:shd w:val="clear" w:color="auto" w:fill="002060"/>
            <w:noWrap/>
            <w:vAlign w:val="center"/>
          </w:tcPr>
          <w:p w14:paraId="42B00A05" w14:textId="77777777" w:rsidR="00A046DD" w:rsidRPr="00532C20" w:rsidRDefault="00A046DD" w:rsidP="00A046DD">
            <w:pPr>
              <w:spacing w:after="0" w:line="240" w:lineRule="auto"/>
              <w:jc w:val="center"/>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Frequency</w:t>
            </w:r>
          </w:p>
        </w:tc>
        <w:tc>
          <w:tcPr>
            <w:tcW w:w="1465" w:type="pct"/>
            <w:shd w:val="clear" w:color="auto" w:fill="002060"/>
            <w:noWrap/>
            <w:vAlign w:val="center"/>
          </w:tcPr>
          <w:p w14:paraId="767D26D3" w14:textId="77777777" w:rsidR="00A046DD" w:rsidRPr="00532C20" w:rsidRDefault="00A046DD" w:rsidP="00A046DD">
            <w:pPr>
              <w:spacing w:after="0" w:line="240" w:lineRule="auto"/>
              <w:jc w:val="center"/>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Service providers covered</w:t>
            </w:r>
          </w:p>
        </w:tc>
      </w:tr>
      <w:tr w:rsidR="00A046DD" w:rsidRPr="00532C20" w14:paraId="5EDF8B74" w14:textId="77777777">
        <w:trPr>
          <w:trHeight w:val="20"/>
        </w:trPr>
        <w:tc>
          <w:tcPr>
            <w:tcW w:w="1412" w:type="pct"/>
            <w:shd w:val="clear" w:color="auto" w:fill="D9D9D9"/>
            <w:noWrap/>
            <w:vAlign w:val="center"/>
            <w:hideMark/>
          </w:tcPr>
          <w:p w14:paraId="5D146E2D"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Basic familiarisation costs</w:t>
            </w:r>
          </w:p>
        </w:tc>
        <w:tc>
          <w:tcPr>
            <w:tcW w:w="628" w:type="pct"/>
            <w:shd w:val="clear" w:color="auto" w:fill="auto"/>
            <w:noWrap/>
            <w:vAlign w:val="center"/>
            <w:hideMark/>
          </w:tcPr>
          <w:p w14:paraId="73D38D82"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65" w:type="pct"/>
            <w:shd w:val="clear" w:color="auto" w:fill="auto"/>
            <w:noWrap/>
            <w:vAlign w:val="center"/>
            <w:hideMark/>
          </w:tcPr>
          <w:p w14:paraId="15E8BA47"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Implementation</w:t>
            </w:r>
          </w:p>
        </w:tc>
        <w:tc>
          <w:tcPr>
            <w:tcW w:w="629" w:type="pct"/>
            <w:shd w:val="clear" w:color="auto" w:fill="auto"/>
            <w:noWrap/>
            <w:vAlign w:val="center"/>
            <w:hideMark/>
          </w:tcPr>
          <w:p w14:paraId="1C3EE79F"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465" w:type="pct"/>
            <w:shd w:val="clear" w:color="auto" w:fill="auto"/>
            <w:noWrap/>
            <w:vAlign w:val="center"/>
            <w:hideMark/>
          </w:tcPr>
          <w:p w14:paraId="34489096"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Out of scope entities</w:t>
            </w:r>
          </w:p>
        </w:tc>
      </w:tr>
      <w:tr w:rsidR="00A046DD" w:rsidRPr="00532C20" w14:paraId="226EF145" w14:textId="77777777">
        <w:trPr>
          <w:trHeight w:val="20"/>
        </w:trPr>
        <w:tc>
          <w:tcPr>
            <w:tcW w:w="1412" w:type="pct"/>
            <w:shd w:val="clear" w:color="auto" w:fill="D9D9D9"/>
            <w:noWrap/>
            <w:vAlign w:val="center"/>
            <w:hideMark/>
          </w:tcPr>
          <w:p w14:paraId="40F5CD7D"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Extended familiarisation costs</w:t>
            </w:r>
          </w:p>
        </w:tc>
        <w:tc>
          <w:tcPr>
            <w:tcW w:w="628" w:type="pct"/>
            <w:shd w:val="clear" w:color="auto" w:fill="auto"/>
            <w:noWrap/>
            <w:vAlign w:val="center"/>
            <w:hideMark/>
          </w:tcPr>
          <w:p w14:paraId="30D900EA"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65" w:type="pct"/>
            <w:shd w:val="clear" w:color="auto" w:fill="auto"/>
            <w:noWrap/>
            <w:vAlign w:val="center"/>
            <w:hideMark/>
          </w:tcPr>
          <w:p w14:paraId="1004D5F2"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Implementation</w:t>
            </w:r>
          </w:p>
        </w:tc>
        <w:tc>
          <w:tcPr>
            <w:tcW w:w="629" w:type="pct"/>
            <w:shd w:val="clear" w:color="auto" w:fill="auto"/>
            <w:noWrap/>
            <w:vAlign w:val="center"/>
            <w:hideMark/>
          </w:tcPr>
          <w:p w14:paraId="24905C96"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465" w:type="pct"/>
            <w:shd w:val="clear" w:color="auto" w:fill="auto"/>
            <w:noWrap/>
            <w:vAlign w:val="center"/>
            <w:hideMark/>
          </w:tcPr>
          <w:p w14:paraId="513CBEC2"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scope entities</w:t>
            </w:r>
          </w:p>
        </w:tc>
      </w:tr>
      <w:tr w:rsidR="00A046DD" w:rsidRPr="00532C20" w14:paraId="70759820" w14:textId="77777777">
        <w:trPr>
          <w:trHeight w:val="20"/>
        </w:trPr>
        <w:tc>
          <w:tcPr>
            <w:tcW w:w="1412" w:type="pct"/>
            <w:shd w:val="clear" w:color="auto" w:fill="D9D9D9"/>
            <w:noWrap/>
            <w:vAlign w:val="center"/>
            <w:hideMark/>
          </w:tcPr>
          <w:p w14:paraId="152AA0E9"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Initial registration costs &amp; new registrations per year</w:t>
            </w:r>
          </w:p>
        </w:tc>
        <w:tc>
          <w:tcPr>
            <w:tcW w:w="628" w:type="pct"/>
            <w:shd w:val="clear" w:color="auto" w:fill="auto"/>
            <w:noWrap/>
            <w:vAlign w:val="center"/>
            <w:hideMark/>
          </w:tcPr>
          <w:p w14:paraId="1F6BD101"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65" w:type="pct"/>
            <w:shd w:val="clear" w:color="auto" w:fill="auto"/>
            <w:noWrap/>
            <w:vAlign w:val="center"/>
            <w:hideMark/>
          </w:tcPr>
          <w:p w14:paraId="063DDC59"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Administrative</w:t>
            </w:r>
          </w:p>
        </w:tc>
        <w:tc>
          <w:tcPr>
            <w:tcW w:w="629" w:type="pct"/>
            <w:shd w:val="clear" w:color="auto" w:fill="auto"/>
            <w:noWrap/>
            <w:vAlign w:val="center"/>
            <w:hideMark/>
          </w:tcPr>
          <w:p w14:paraId="0E3AF2AA"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p w14:paraId="067C1D4E"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Years 2-10</w:t>
            </w:r>
          </w:p>
        </w:tc>
        <w:tc>
          <w:tcPr>
            <w:tcW w:w="1465" w:type="pct"/>
            <w:shd w:val="clear" w:color="auto" w:fill="auto"/>
            <w:noWrap/>
            <w:vAlign w:val="center"/>
            <w:hideMark/>
          </w:tcPr>
          <w:p w14:paraId="627CFFFE"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In scope entities in MS </w:t>
            </w:r>
            <w:r w:rsidRPr="00532C20">
              <w:rPr>
                <w:rFonts w:ascii="Times New Roman" w:eastAsia="Times New Roman" w:hAnsi="Times New Roman" w:cs="Times New Roman"/>
                <w:noProof/>
                <w:sz w:val="24"/>
                <w:szCs w:val="24"/>
                <w:u w:val="single"/>
              </w:rPr>
              <w:t>without</w:t>
            </w:r>
            <w:r w:rsidRPr="00532C20">
              <w:rPr>
                <w:rFonts w:ascii="Times New Roman" w:eastAsia="Times New Roman" w:hAnsi="Times New Roman" w:cs="Times New Roman"/>
                <w:noProof/>
                <w:sz w:val="24"/>
                <w:szCs w:val="24"/>
              </w:rPr>
              <w:t xml:space="preserve"> register</w:t>
            </w:r>
          </w:p>
        </w:tc>
      </w:tr>
      <w:tr w:rsidR="00A046DD" w:rsidRPr="00532C20" w14:paraId="49946E06" w14:textId="77777777">
        <w:trPr>
          <w:trHeight w:val="20"/>
        </w:trPr>
        <w:tc>
          <w:tcPr>
            <w:tcW w:w="1412" w:type="pct"/>
            <w:shd w:val="clear" w:color="auto" w:fill="D9D9D9"/>
            <w:noWrap/>
            <w:vAlign w:val="center"/>
            <w:hideMark/>
          </w:tcPr>
          <w:p w14:paraId="6A59F032"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Initial information update costs</w:t>
            </w:r>
          </w:p>
        </w:tc>
        <w:tc>
          <w:tcPr>
            <w:tcW w:w="628" w:type="pct"/>
            <w:shd w:val="clear" w:color="auto" w:fill="auto"/>
            <w:noWrap/>
            <w:vAlign w:val="center"/>
            <w:hideMark/>
          </w:tcPr>
          <w:p w14:paraId="17608FA6"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65" w:type="pct"/>
            <w:shd w:val="clear" w:color="auto" w:fill="auto"/>
            <w:noWrap/>
            <w:vAlign w:val="center"/>
            <w:hideMark/>
          </w:tcPr>
          <w:p w14:paraId="6E7392D7"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Administrative</w:t>
            </w:r>
          </w:p>
        </w:tc>
        <w:tc>
          <w:tcPr>
            <w:tcW w:w="629" w:type="pct"/>
            <w:shd w:val="clear" w:color="auto" w:fill="auto"/>
            <w:noWrap/>
            <w:vAlign w:val="center"/>
            <w:hideMark/>
          </w:tcPr>
          <w:p w14:paraId="62D54381"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465" w:type="pct"/>
            <w:shd w:val="clear" w:color="auto" w:fill="auto"/>
            <w:noWrap/>
            <w:vAlign w:val="center"/>
            <w:hideMark/>
          </w:tcPr>
          <w:p w14:paraId="2A8BA061"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In scope entities in MS </w:t>
            </w:r>
            <w:r w:rsidRPr="00532C20">
              <w:rPr>
                <w:rFonts w:ascii="Times New Roman" w:eastAsia="Times New Roman" w:hAnsi="Times New Roman" w:cs="Times New Roman"/>
                <w:noProof/>
                <w:sz w:val="24"/>
                <w:szCs w:val="24"/>
                <w:u w:val="single"/>
              </w:rPr>
              <w:t>with</w:t>
            </w:r>
            <w:r w:rsidRPr="00532C20">
              <w:rPr>
                <w:rFonts w:ascii="Times New Roman" w:eastAsia="Times New Roman" w:hAnsi="Times New Roman" w:cs="Times New Roman"/>
                <w:noProof/>
                <w:sz w:val="24"/>
                <w:szCs w:val="24"/>
              </w:rPr>
              <w:t xml:space="preserve"> register</w:t>
            </w:r>
          </w:p>
        </w:tc>
      </w:tr>
      <w:tr w:rsidR="00A046DD" w:rsidRPr="00532C20" w14:paraId="757129DE" w14:textId="77777777">
        <w:trPr>
          <w:trHeight w:val="20"/>
        </w:trPr>
        <w:tc>
          <w:tcPr>
            <w:tcW w:w="1412" w:type="pct"/>
            <w:shd w:val="clear" w:color="auto" w:fill="D9D9D9"/>
            <w:noWrap/>
            <w:vAlign w:val="center"/>
            <w:hideMark/>
          </w:tcPr>
          <w:p w14:paraId="5E4DAC47"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Regular information provision</w:t>
            </w:r>
          </w:p>
        </w:tc>
        <w:tc>
          <w:tcPr>
            <w:tcW w:w="628" w:type="pct"/>
            <w:shd w:val="clear" w:color="auto" w:fill="auto"/>
            <w:noWrap/>
            <w:vAlign w:val="center"/>
            <w:hideMark/>
          </w:tcPr>
          <w:p w14:paraId="64D7004C"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Recurrent</w:t>
            </w:r>
          </w:p>
        </w:tc>
        <w:tc>
          <w:tcPr>
            <w:tcW w:w="865" w:type="pct"/>
            <w:shd w:val="clear" w:color="auto" w:fill="auto"/>
            <w:noWrap/>
            <w:vAlign w:val="center"/>
            <w:hideMark/>
          </w:tcPr>
          <w:p w14:paraId="27336204"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Administrative</w:t>
            </w:r>
          </w:p>
        </w:tc>
        <w:tc>
          <w:tcPr>
            <w:tcW w:w="629" w:type="pct"/>
            <w:shd w:val="clear" w:color="auto" w:fill="auto"/>
            <w:noWrap/>
            <w:vAlign w:val="center"/>
            <w:hideMark/>
          </w:tcPr>
          <w:p w14:paraId="7943F756"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Years 2-10</w:t>
            </w:r>
          </w:p>
        </w:tc>
        <w:tc>
          <w:tcPr>
            <w:tcW w:w="1465" w:type="pct"/>
            <w:shd w:val="clear" w:color="auto" w:fill="auto"/>
            <w:noWrap/>
            <w:vAlign w:val="center"/>
            <w:hideMark/>
          </w:tcPr>
          <w:p w14:paraId="3F748DD0"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scope entities</w:t>
            </w:r>
          </w:p>
        </w:tc>
      </w:tr>
      <w:tr w:rsidR="00A046DD" w:rsidRPr="00532C20" w14:paraId="69E325FB" w14:textId="77777777">
        <w:trPr>
          <w:trHeight w:val="20"/>
        </w:trPr>
        <w:tc>
          <w:tcPr>
            <w:tcW w:w="1412" w:type="pct"/>
            <w:shd w:val="clear" w:color="auto" w:fill="D9D9D9"/>
            <w:noWrap/>
            <w:vAlign w:val="center"/>
            <w:hideMark/>
          </w:tcPr>
          <w:p w14:paraId="11602A87"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Establishing record-keeping processes</w:t>
            </w:r>
          </w:p>
        </w:tc>
        <w:tc>
          <w:tcPr>
            <w:tcW w:w="628" w:type="pct"/>
            <w:shd w:val="clear" w:color="auto" w:fill="auto"/>
            <w:noWrap/>
            <w:vAlign w:val="center"/>
            <w:hideMark/>
          </w:tcPr>
          <w:p w14:paraId="314C40B4"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65" w:type="pct"/>
            <w:shd w:val="clear" w:color="auto" w:fill="auto"/>
            <w:noWrap/>
            <w:vAlign w:val="center"/>
            <w:hideMark/>
          </w:tcPr>
          <w:p w14:paraId="555B140E"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Implementation</w:t>
            </w:r>
          </w:p>
        </w:tc>
        <w:tc>
          <w:tcPr>
            <w:tcW w:w="629" w:type="pct"/>
            <w:shd w:val="clear" w:color="auto" w:fill="auto"/>
            <w:noWrap/>
            <w:vAlign w:val="center"/>
            <w:hideMark/>
          </w:tcPr>
          <w:p w14:paraId="221D2EAF"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465" w:type="pct"/>
            <w:shd w:val="clear" w:color="auto" w:fill="auto"/>
            <w:noWrap/>
            <w:vAlign w:val="center"/>
            <w:hideMark/>
          </w:tcPr>
          <w:p w14:paraId="5494C1FF"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scope entities</w:t>
            </w:r>
          </w:p>
        </w:tc>
      </w:tr>
      <w:tr w:rsidR="00A046DD" w:rsidRPr="00532C20" w14:paraId="5C3C89B6" w14:textId="77777777">
        <w:trPr>
          <w:trHeight w:val="20"/>
        </w:trPr>
        <w:tc>
          <w:tcPr>
            <w:tcW w:w="1412" w:type="pct"/>
            <w:shd w:val="clear" w:color="auto" w:fill="D9D9D9"/>
            <w:noWrap/>
            <w:vAlign w:val="center"/>
            <w:hideMark/>
          </w:tcPr>
          <w:p w14:paraId="4A34FFED"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Implementing record-keeping processes</w:t>
            </w:r>
          </w:p>
        </w:tc>
        <w:tc>
          <w:tcPr>
            <w:tcW w:w="628" w:type="pct"/>
            <w:shd w:val="clear" w:color="auto" w:fill="auto"/>
            <w:noWrap/>
            <w:vAlign w:val="center"/>
            <w:hideMark/>
          </w:tcPr>
          <w:p w14:paraId="6E4AF698"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Recurrent</w:t>
            </w:r>
          </w:p>
        </w:tc>
        <w:tc>
          <w:tcPr>
            <w:tcW w:w="865" w:type="pct"/>
            <w:shd w:val="clear" w:color="auto" w:fill="auto"/>
            <w:noWrap/>
            <w:vAlign w:val="center"/>
            <w:hideMark/>
          </w:tcPr>
          <w:p w14:paraId="4CE31AB5"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Implementation</w:t>
            </w:r>
          </w:p>
        </w:tc>
        <w:tc>
          <w:tcPr>
            <w:tcW w:w="629" w:type="pct"/>
            <w:shd w:val="clear" w:color="auto" w:fill="auto"/>
            <w:noWrap/>
            <w:vAlign w:val="center"/>
            <w:hideMark/>
          </w:tcPr>
          <w:p w14:paraId="3F846466"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Years 1-10</w:t>
            </w:r>
          </w:p>
        </w:tc>
        <w:tc>
          <w:tcPr>
            <w:tcW w:w="1465" w:type="pct"/>
            <w:shd w:val="clear" w:color="auto" w:fill="auto"/>
            <w:noWrap/>
            <w:vAlign w:val="center"/>
            <w:hideMark/>
          </w:tcPr>
          <w:p w14:paraId="550C844E"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scope entities</w:t>
            </w:r>
          </w:p>
        </w:tc>
      </w:tr>
    </w:tbl>
    <w:p w14:paraId="5B2DA3AD" w14:textId="77777777" w:rsidR="0094382D" w:rsidRPr="00532C20" w:rsidRDefault="0094382D" w:rsidP="0094382D">
      <w:pPr>
        <w:rPr>
          <w:noProof/>
        </w:rPr>
      </w:pPr>
    </w:p>
    <w:p w14:paraId="197C021B" w14:textId="270DE597" w:rsidR="00A046DD" w:rsidRPr="00532C20" w:rsidRDefault="00A046DD" w:rsidP="00563021">
      <w:pPr>
        <w:pStyle w:val="ListParagraph"/>
        <w:numPr>
          <w:ilvl w:val="3"/>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Familiarisation costs</w:t>
      </w:r>
    </w:p>
    <w:p w14:paraId="45698A5E"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Basic familiarisation costs will be borne by all entities conducting interest representation activities in the EU, as it is assumed that each entity conducting activities covered by the intervention will need to assess whether its operations are in scope. In addition, it is assumed that entities conducting interest representation activities that are within scope will need to conduct extended familiarisation activities, as follows:</w:t>
      </w:r>
    </w:p>
    <w:p w14:paraId="7CEE19B4" w14:textId="27B53213" w:rsidR="00A046DD" w:rsidRPr="00532C20" w:rsidRDefault="00A046DD" w:rsidP="002B0B48">
      <w:pPr>
        <w:numPr>
          <w:ilvl w:val="0"/>
          <w:numId w:val="62"/>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Basic familiarisation costs</w:t>
      </w:r>
      <w:r w:rsidRPr="00532C20">
        <w:rPr>
          <w:rFonts w:ascii="Times New Roman" w:eastAsia="Times New Roman" w:hAnsi="Times New Roman" w:cs="Times New Roman"/>
          <w:noProof/>
          <w:sz w:val="24"/>
          <w:szCs w:val="24"/>
          <w:lang w:eastAsia="en-GB"/>
        </w:rPr>
        <w:t xml:space="preserve">: This will require a large number of entities to spend a small amount of time reviewing the legislative text and any related guidance. It is assumed that all entities conducting interest representation activities, minus those entities within scope, will conduct only this basic familiarisation. 3 scenarios have been developed based on the assumed time spent by a legal professional. As detailed in </w:t>
      </w:r>
      <w:r w:rsidRPr="00532C20">
        <w:rPr>
          <w:rFonts w:ascii="Times New Roman" w:eastAsia="Times New Roman" w:hAnsi="Times New Roman" w:cs="Times New Roman"/>
          <w:noProof/>
          <w:sz w:val="24"/>
          <w:szCs w:val="24"/>
          <w:lang w:eastAsia="en-GB"/>
        </w:rPr>
        <w:fldChar w:fldCharType="begin"/>
      </w:r>
      <w:r w:rsidRPr="00532C20">
        <w:rPr>
          <w:rFonts w:ascii="Times New Roman" w:eastAsia="Times New Roman" w:hAnsi="Times New Roman" w:cs="Times New Roman"/>
          <w:noProof/>
          <w:sz w:val="24"/>
          <w:szCs w:val="24"/>
          <w:lang w:eastAsia="en-GB"/>
        </w:rPr>
        <w:instrText xml:space="preserve"> REF _Ref146901805 \h  \* MERGEFORMAT </w:instrText>
      </w:r>
      <w:r w:rsidRPr="00532C20">
        <w:rPr>
          <w:rFonts w:ascii="Times New Roman" w:eastAsia="Times New Roman" w:hAnsi="Times New Roman" w:cs="Times New Roman"/>
          <w:noProof/>
          <w:sz w:val="24"/>
          <w:szCs w:val="24"/>
          <w:lang w:eastAsia="en-GB"/>
        </w:rPr>
      </w:r>
      <w:r w:rsidRPr="00532C20">
        <w:rPr>
          <w:rFonts w:ascii="Times New Roman" w:eastAsia="Times New Roman" w:hAnsi="Times New Roman" w:cs="Times New Roman"/>
          <w:noProof/>
          <w:sz w:val="24"/>
          <w:szCs w:val="24"/>
          <w:lang w:eastAsia="en-GB"/>
        </w:rPr>
        <w:fldChar w:fldCharType="separate"/>
      </w:r>
      <w:r w:rsidR="00DD4A72" w:rsidRPr="00DD4A72">
        <w:rPr>
          <w:rFonts w:ascii="Times New Roman" w:eastAsia="Times New Roman" w:hAnsi="Times New Roman" w:cs="Times New Roman"/>
          <w:noProof/>
          <w:sz w:val="24"/>
          <w:szCs w:val="24"/>
          <w:lang w:eastAsia="en-GB"/>
        </w:rPr>
        <w:t xml:space="preserve">Table </w:t>
      </w:r>
      <w:r w:rsidR="00DD4A72">
        <w:rPr>
          <w:rFonts w:ascii="Times New Roman" w:eastAsia="Times New Roman" w:hAnsi="Times New Roman" w:cs="Times New Roman"/>
          <w:b/>
          <w:noProof/>
          <w:sz w:val="24"/>
          <w:szCs w:val="24"/>
        </w:rPr>
        <w:t>22</w:t>
      </w:r>
      <w:r w:rsidRPr="00532C20">
        <w:rPr>
          <w:rFonts w:ascii="Times New Roman" w:eastAsia="Times New Roman" w:hAnsi="Times New Roman" w:cs="Times New Roman"/>
          <w:noProof/>
          <w:sz w:val="24"/>
          <w:szCs w:val="24"/>
          <w:lang w:eastAsia="en-GB"/>
        </w:rPr>
        <w:fldChar w:fldCharType="end"/>
      </w:r>
      <w:r w:rsidRPr="00532C20">
        <w:rPr>
          <w:rFonts w:ascii="Times New Roman" w:eastAsia="Times New Roman" w:hAnsi="Times New Roman" w:cs="Times New Roman"/>
          <w:noProof/>
          <w:sz w:val="24"/>
          <w:szCs w:val="24"/>
          <w:lang w:eastAsia="en-GB"/>
        </w:rPr>
        <w:t>, the scenarios assume that the time spent on basic familiarisation costs is 30 minutes (low scenario), 1 hour (middle scenario) or 1.5 hours (high scenario). In these scenarios, the total costs across all entities would range from approximately EUR 71.2 – 213.</w:t>
      </w:r>
      <w:r w:rsidR="002D1B32">
        <w:rPr>
          <w:rFonts w:ascii="Times New Roman" w:eastAsia="Times New Roman" w:hAnsi="Times New Roman" w:cs="Times New Roman"/>
          <w:noProof/>
          <w:sz w:val="24"/>
          <w:szCs w:val="24"/>
          <w:lang w:eastAsia="en-GB"/>
        </w:rPr>
        <w:t>8</w:t>
      </w:r>
      <w:r w:rsidRPr="00532C20">
        <w:rPr>
          <w:rFonts w:ascii="Times New Roman" w:eastAsia="Times New Roman" w:hAnsi="Times New Roman" w:cs="Times New Roman"/>
          <w:noProof/>
          <w:sz w:val="24"/>
          <w:szCs w:val="24"/>
          <w:lang w:eastAsia="en-GB"/>
        </w:rPr>
        <w:t xml:space="preserve"> million at around EUR 20–60 per organisation.</w:t>
      </w:r>
    </w:p>
    <w:p w14:paraId="555CFB43" w14:textId="32503CBA" w:rsidR="00A046DD" w:rsidRPr="00532C20" w:rsidRDefault="00A046DD" w:rsidP="002B0B48">
      <w:pPr>
        <w:numPr>
          <w:ilvl w:val="0"/>
          <w:numId w:val="62"/>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Extended familiarisation costs</w:t>
      </w:r>
      <w:r w:rsidRPr="00532C20">
        <w:rPr>
          <w:rFonts w:ascii="Times New Roman" w:eastAsia="Times New Roman" w:hAnsi="Times New Roman" w:cs="Times New Roman"/>
          <w:noProof/>
          <w:sz w:val="24"/>
          <w:szCs w:val="24"/>
          <w:lang w:eastAsia="en-GB"/>
        </w:rPr>
        <w:t xml:space="preserve">: This will require a much smaller number of entities (i.e. those within scope of the proposed legislative intervention) to spend more time reviewing the legislative text and any related guidance, but also to assess the practical implications, develop compliance strategies and allocate responsibility for compliance-related tasks. </w:t>
      </w:r>
      <w:r w:rsidRPr="00532C20">
        <w:rPr>
          <w:rFonts w:ascii="Times New Roman" w:eastAsia="Times New Roman" w:hAnsi="Times New Roman" w:cs="Times New Roman"/>
          <w:noProof/>
          <w:sz w:val="24"/>
          <w:szCs w:val="24"/>
          <w:lang w:eastAsia="en-GB"/>
        </w:rPr>
        <w:fldChar w:fldCharType="begin"/>
      </w:r>
      <w:r w:rsidRPr="00532C20">
        <w:rPr>
          <w:rFonts w:ascii="Times New Roman" w:eastAsia="Times New Roman" w:hAnsi="Times New Roman" w:cs="Times New Roman"/>
          <w:noProof/>
          <w:sz w:val="24"/>
          <w:szCs w:val="24"/>
          <w:lang w:eastAsia="en-GB"/>
        </w:rPr>
        <w:instrText xml:space="preserve"> REF _Ref146901821 \h  \* MERGEFORMAT </w:instrText>
      </w:r>
      <w:r w:rsidRPr="00532C20">
        <w:rPr>
          <w:rFonts w:ascii="Times New Roman" w:eastAsia="Times New Roman" w:hAnsi="Times New Roman" w:cs="Times New Roman"/>
          <w:noProof/>
          <w:sz w:val="24"/>
          <w:szCs w:val="24"/>
          <w:lang w:eastAsia="en-GB"/>
        </w:rPr>
      </w:r>
      <w:r w:rsidRPr="00532C20">
        <w:rPr>
          <w:rFonts w:ascii="Times New Roman" w:eastAsia="Times New Roman" w:hAnsi="Times New Roman" w:cs="Times New Roman"/>
          <w:noProof/>
          <w:sz w:val="24"/>
          <w:szCs w:val="24"/>
          <w:lang w:eastAsia="en-GB"/>
        </w:rPr>
        <w:fldChar w:fldCharType="separate"/>
      </w:r>
      <w:r w:rsidR="00DD4A72" w:rsidRPr="00DD4A72">
        <w:rPr>
          <w:rFonts w:ascii="Times New Roman" w:eastAsia="Times New Roman" w:hAnsi="Times New Roman" w:cs="Times New Roman"/>
          <w:noProof/>
          <w:sz w:val="24"/>
          <w:szCs w:val="24"/>
          <w:lang w:eastAsia="en-GB"/>
        </w:rPr>
        <w:t xml:space="preserve">Table </w:t>
      </w:r>
      <w:r w:rsidR="00DD4A72">
        <w:rPr>
          <w:rFonts w:ascii="Times New Roman" w:eastAsia="Times New Roman" w:hAnsi="Times New Roman" w:cs="Times New Roman"/>
          <w:b/>
          <w:noProof/>
          <w:sz w:val="24"/>
          <w:szCs w:val="24"/>
        </w:rPr>
        <w:t>23</w:t>
      </w:r>
      <w:r w:rsidRPr="00532C20">
        <w:rPr>
          <w:rFonts w:ascii="Times New Roman" w:eastAsia="Times New Roman" w:hAnsi="Times New Roman" w:cs="Times New Roman"/>
          <w:noProof/>
          <w:sz w:val="24"/>
          <w:szCs w:val="24"/>
          <w:lang w:eastAsia="en-GB"/>
        </w:rPr>
        <w:fldChar w:fldCharType="end"/>
      </w:r>
      <w:r w:rsidRPr="00532C20">
        <w:rPr>
          <w:rFonts w:ascii="Times New Roman" w:eastAsia="Times New Roman" w:hAnsi="Times New Roman" w:cs="Times New Roman"/>
          <w:noProof/>
          <w:sz w:val="24"/>
          <w:szCs w:val="24"/>
          <w:lang w:eastAsia="en-GB"/>
        </w:rPr>
        <w:t xml:space="preserve"> presents 3 scenarios for these costs: 2 hours (low scenario), 4 hours (middle scenario) and 6 hours (high scenario). The associated costs would range from approximately EUR 57–256 thousand at around EUR 80–240 per organisation.</w:t>
      </w:r>
    </w:p>
    <w:p w14:paraId="6B201054"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On this basis, the total familiarisation costs across the 3 scenarios are summarised below. An </w:t>
      </w:r>
      <w:r w:rsidRPr="00532C20">
        <w:rPr>
          <w:rFonts w:ascii="Times New Roman" w:eastAsia="Times New Roman" w:hAnsi="Times New Roman" w:cs="Times New Roman"/>
          <w:b/>
          <w:noProof/>
          <w:sz w:val="24"/>
          <w:szCs w:val="24"/>
        </w:rPr>
        <w:t>approximate total of EUR 71.2 million to EUR 213.8 million</w:t>
      </w:r>
      <w:r w:rsidRPr="00532C20">
        <w:rPr>
          <w:rFonts w:ascii="Times New Roman" w:eastAsia="Times New Roman" w:hAnsi="Times New Roman" w:cs="Times New Roman"/>
          <w:noProof/>
          <w:sz w:val="24"/>
          <w:szCs w:val="24"/>
        </w:rPr>
        <w:t xml:space="preserve"> worth of resource will be spent on familiarisation for this proposed intervention. It is assumed that the familiarisation costs are the same across all policy options.</w:t>
      </w:r>
    </w:p>
    <w:p w14:paraId="481F624C" w14:textId="730E29F3"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bookmarkStart w:id="1171" w:name="_Toc140752079"/>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21</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Summary of familiarisation cost estimates</w:t>
      </w:r>
      <w:bookmarkEnd w:id="1171"/>
    </w:p>
    <w:tbl>
      <w:tblPr>
        <w:tblStyle w:val="12uCharChar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2234"/>
        <w:gridCol w:w="2109"/>
      </w:tblGrid>
      <w:tr w:rsidR="00A046DD" w:rsidRPr="00532C20" w14:paraId="67EB7585" w14:textId="77777777">
        <w:trPr>
          <w:cnfStyle w:val="100000000000" w:firstRow="1" w:lastRow="0" w:firstColumn="0" w:lastColumn="0" w:oddVBand="0" w:evenVBand="0" w:oddHBand="0" w:evenHBand="0" w:firstRowFirstColumn="0" w:firstRowLastColumn="0" w:lastRowFirstColumn="0" w:lastRowLastColumn="0"/>
          <w:tblHeader/>
        </w:trPr>
        <w:tc>
          <w:tcPr>
            <w:tcW w:w="2689" w:type="dxa"/>
            <w:shd w:val="clear" w:color="auto" w:fill="002060"/>
          </w:tcPr>
          <w:p w14:paraId="770ADA25" w14:textId="77777777" w:rsidR="00A046DD" w:rsidRPr="00532C20" w:rsidRDefault="00A046DD" w:rsidP="00313F32">
            <w:pPr>
              <w:jc w:val="center"/>
              <w:rPr>
                <w:rFonts w:ascii="Times New Roman" w:eastAsia="Times" w:hAnsi="Times New Roman" w:cs="Times"/>
                <w:b/>
                <w:noProof/>
                <w:color w:val="auto"/>
                <w:sz w:val="24"/>
                <w:szCs w:val="36"/>
                <w:lang w:val="en-GB"/>
              </w:rPr>
            </w:pPr>
            <w:r w:rsidRPr="00532C20">
              <w:rPr>
                <w:rFonts w:ascii="Times New Roman" w:eastAsia="Times" w:hAnsi="Times New Roman" w:cs="Times"/>
                <w:b/>
                <w:noProof/>
                <w:sz w:val="24"/>
                <w:szCs w:val="36"/>
                <w:lang w:val="fr-FR"/>
              </w:rPr>
              <w:t>Cost type</w:t>
            </w:r>
          </w:p>
        </w:tc>
        <w:tc>
          <w:tcPr>
            <w:tcW w:w="1984" w:type="dxa"/>
            <w:shd w:val="clear" w:color="auto" w:fill="002060"/>
          </w:tcPr>
          <w:p w14:paraId="765FA3CA" w14:textId="77777777" w:rsidR="00A046DD" w:rsidRPr="00313F32" w:rsidRDefault="00A046DD" w:rsidP="00313F32">
            <w:pPr>
              <w:jc w:val="center"/>
              <w:rPr>
                <w:rFonts w:ascii="Times New Roman" w:eastAsia="Times" w:hAnsi="Times New Roman" w:cs="Times"/>
                <w:b/>
                <w:noProof/>
                <w:color w:val="auto"/>
                <w:sz w:val="24"/>
                <w:szCs w:val="36"/>
                <w:lang w:val="en-GB"/>
              </w:rPr>
            </w:pPr>
            <w:r w:rsidRPr="00313F32">
              <w:rPr>
                <w:rFonts w:ascii="Times New Roman" w:eastAsia="Times" w:hAnsi="Times New Roman" w:cs="Times"/>
                <w:b/>
                <w:noProof/>
                <w:sz w:val="24"/>
                <w:szCs w:val="36"/>
                <w:lang w:val="fr-FR"/>
              </w:rPr>
              <w:t>Low scenario (in EUR)</w:t>
            </w:r>
          </w:p>
        </w:tc>
        <w:tc>
          <w:tcPr>
            <w:tcW w:w="2234" w:type="dxa"/>
            <w:shd w:val="clear" w:color="auto" w:fill="002060"/>
          </w:tcPr>
          <w:p w14:paraId="4E1B8161" w14:textId="77777777" w:rsidR="00A046DD" w:rsidRPr="00313F32" w:rsidRDefault="00A046DD" w:rsidP="00313F32">
            <w:pPr>
              <w:jc w:val="center"/>
              <w:rPr>
                <w:rFonts w:ascii="Times New Roman" w:eastAsia="Times" w:hAnsi="Times New Roman" w:cs="Times"/>
                <w:b/>
                <w:noProof/>
                <w:color w:val="auto"/>
                <w:sz w:val="24"/>
                <w:szCs w:val="36"/>
                <w:lang w:val="en-GB"/>
              </w:rPr>
            </w:pPr>
            <w:r w:rsidRPr="00313F32">
              <w:rPr>
                <w:rFonts w:ascii="Times New Roman" w:eastAsia="Times" w:hAnsi="Times New Roman" w:cs="Times"/>
                <w:b/>
                <w:noProof/>
                <w:sz w:val="24"/>
                <w:szCs w:val="36"/>
                <w:lang w:val="fr-FR"/>
              </w:rPr>
              <w:t>Middle scenario (in EUR)</w:t>
            </w:r>
          </w:p>
        </w:tc>
        <w:tc>
          <w:tcPr>
            <w:tcW w:w="2109" w:type="dxa"/>
            <w:shd w:val="clear" w:color="auto" w:fill="002060"/>
          </w:tcPr>
          <w:p w14:paraId="103F4FF7" w14:textId="77777777" w:rsidR="00A046DD" w:rsidRPr="00313F32" w:rsidRDefault="00A046DD" w:rsidP="00313F32">
            <w:pPr>
              <w:jc w:val="center"/>
              <w:rPr>
                <w:rFonts w:ascii="Times New Roman" w:eastAsia="Times" w:hAnsi="Times New Roman" w:cs="Times"/>
                <w:b/>
                <w:noProof/>
                <w:color w:val="auto"/>
                <w:sz w:val="24"/>
                <w:szCs w:val="36"/>
                <w:lang w:val="en-GB"/>
              </w:rPr>
            </w:pPr>
            <w:r w:rsidRPr="00313F32">
              <w:rPr>
                <w:rFonts w:ascii="Times New Roman" w:eastAsia="Times" w:hAnsi="Times New Roman" w:cs="Times"/>
                <w:b/>
                <w:noProof/>
                <w:sz w:val="24"/>
                <w:szCs w:val="36"/>
                <w:lang w:val="fr-FR"/>
              </w:rPr>
              <w:t>High scenario (in EUR)</w:t>
            </w:r>
          </w:p>
        </w:tc>
      </w:tr>
      <w:tr w:rsidR="00A046DD" w:rsidRPr="00532C20" w14:paraId="4DA3AAF1" w14:textId="77777777">
        <w:trPr>
          <w:trHeight w:val="479"/>
        </w:trPr>
        <w:tc>
          <w:tcPr>
            <w:tcW w:w="2689" w:type="dxa"/>
            <w:shd w:val="clear" w:color="auto" w:fill="D9D9D9"/>
          </w:tcPr>
          <w:p w14:paraId="4F085166" w14:textId="77777777" w:rsidR="00A046DD" w:rsidRPr="00532C20" w:rsidRDefault="00A046DD" w:rsidP="00A046DD">
            <w:pPr>
              <w:rPr>
                <w:rFonts w:ascii="Times New Roman" w:eastAsia="Times" w:hAnsi="Times New Roman" w:cs="Times"/>
                <w:b/>
                <w:noProof/>
                <w:sz w:val="24"/>
                <w:szCs w:val="36"/>
                <w:lang w:val="en-GB"/>
              </w:rPr>
            </w:pPr>
            <w:r w:rsidRPr="00532C20">
              <w:rPr>
                <w:rFonts w:ascii="Times New Roman" w:eastAsia="Times" w:hAnsi="Times New Roman" w:cs="Times"/>
                <w:b/>
                <w:noProof/>
                <w:sz w:val="24"/>
                <w:szCs w:val="36"/>
                <w:lang w:val="fr-FR"/>
              </w:rPr>
              <w:t>Basic familiarisation costs</w:t>
            </w:r>
          </w:p>
        </w:tc>
        <w:tc>
          <w:tcPr>
            <w:tcW w:w="1984" w:type="dxa"/>
            <w:shd w:val="clear" w:color="auto" w:fill="auto"/>
          </w:tcPr>
          <w:p w14:paraId="0D2786FB" w14:textId="77777777" w:rsidR="00A046DD" w:rsidRPr="00532C20" w:rsidRDefault="00A046DD" w:rsidP="00A046DD">
            <w:pPr>
              <w:jc w:val="right"/>
              <w:rPr>
                <w:rFonts w:ascii="Times New Roman" w:eastAsia="Times" w:hAnsi="Times New Roman" w:cs="Times"/>
                <w:noProof/>
                <w:sz w:val="24"/>
                <w:szCs w:val="36"/>
                <w:lang w:val="en-GB"/>
              </w:rPr>
            </w:pPr>
            <w:r w:rsidRPr="00532C20">
              <w:rPr>
                <w:rFonts w:ascii="Times New Roman" w:eastAsia="Times" w:hAnsi="Times New Roman" w:cs="Times"/>
                <w:noProof/>
                <w:sz w:val="24"/>
                <w:szCs w:val="36"/>
                <w:lang w:val="fr-FR"/>
              </w:rPr>
              <w:t>71,165,916.06</w:t>
            </w:r>
          </w:p>
        </w:tc>
        <w:tc>
          <w:tcPr>
            <w:tcW w:w="2234" w:type="dxa"/>
            <w:shd w:val="clear" w:color="auto" w:fill="auto"/>
          </w:tcPr>
          <w:p w14:paraId="40720541" w14:textId="77777777" w:rsidR="00A046DD" w:rsidRPr="00532C20" w:rsidRDefault="00A046DD" w:rsidP="00A046DD">
            <w:pPr>
              <w:jc w:val="right"/>
              <w:rPr>
                <w:rFonts w:ascii="Times New Roman" w:eastAsia="Times" w:hAnsi="Times New Roman" w:cs="Times"/>
                <w:noProof/>
                <w:sz w:val="24"/>
                <w:szCs w:val="36"/>
                <w:lang w:val="en-GB"/>
              </w:rPr>
            </w:pPr>
            <w:r w:rsidRPr="00532C20">
              <w:rPr>
                <w:rFonts w:ascii="Times New Roman" w:eastAsia="Times" w:hAnsi="Times New Roman" w:cs="Times"/>
                <w:noProof/>
                <w:sz w:val="24"/>
                <w:szCs w:val="36"/>
                <w:lang w:val="fr-FR"/>
              </w:rPr>
              <w:t>142,338,950.84</w:t>
            </w:r>
          </w:p>
        </w:tc>
        <w:tc>
          <w:tcPr>
            <w:tcW w:w="2109" w:type="dxa"/>
            <w:shd w:val="clear" w:color="auto" w:fill="auto"/>
          </w:tcPr>
          <w:p w14:paraId="71405FAF" w14:textId="77777777" w:rsidR="00A046DD" w:rsidRPr="00532C20" w:rsidRDefault="00A046DD" w:rsidP="00A046DD">
            <w:pPr>
              <w:jc w:val="right"/>
              <w:rPr>
                <w:rFonts w:ascii="Times New Roman" w:eastAsia="Times" w:hAnsi="Times New Roman" w:cs="Times"/>
                <w:noProof/>
                <w:sz w:val="24"/>
                <w:szCs w:val="36"/>
                <w:lang w:val="en-GB"/>
              </w:rPr>
            </w:pPr>
            <w:r w:rsidRPr="00532C20">
              <w:rPr>
                <w:rFonts w:ascii="Times New Roman" w:eastAsia="Times" w:hAnsi="Times New Roman" w:cs="Times"/>
                <w:noProof/>
                <w:sz w:val="24"/>
                <w:szCs w:val="36"/>
                <w:lang w:val="fr-FR"/>
              </w:rPr>
              <w:t>213,519,104.36</w:t>
            </w:r>
          </w:p>
        </w:tc>
      </w:tr>
      <w:tr w:rsidR="00A046DD" w:rsidRPr="00532C20" w14:paraId="0A6480E0" w14:textId="77777777">
        <w:tc>
          <w:tcPr>
            <w:tcW w:w="2689" w:type="dxa"/>
            <w:shd w:val="clear" w:color="auto" w:fill="D9D9D9"/>
          </w:tcPr>
          <w:p w14:paraId="1AE1CED2" w14:textId="77777777" w:rsidR="00A046DD" w:rsidRPr="00532C20" w:rsidRDefault="00A046DD" w:rsidP="00A046DD">
            <w:pPr>
              <w:rPr>
                <w:rFonts w:ascii="Times New Roman" w:eastAsia="Times" w:hAnsi="Times New Roman" w:cs="Times"/>
                <w:b/>
                <w:noProof/>
                <w:sz w:val="24"/>
                <w:szCs w:val="36"/>
                <w:lang w:val="en-GB"/>
              </w:rPr>
            </w:pPr>
            <w:r w:rsidRPr="00532C20">
              <w:rPr>
                <w:rFonts w:ascii="Times New Roman" w:eastAsia="Times" w:hAnsi="Times New Roman" w:cs="Times"/>
                <w:b/>
                <w:noProof/>
                <w:sz w:val="24"/>
                <w:szCs w:val="36"/>
                <w:lang w:val="fr-FR"/>
              </w:rPr>
              <w:t>Extended familiarisation costs</w:t>
            </w:r>
          </w:p>
        </w:tc>
        <w:tc>
          <w:tcPr>
            <w:tcW w:w="1984" w:type="dxa"/>
            <w:shd w:val="clear" w:color="auto" w:fill="auto"/>
          </w:tcPr>
          <w:p w14:paraId="63C81E03" w14:textId="77777777" w:rsidR="00A046DD" w:rsidRPr="00532C20" w:rsidRDefault="00A046DD" w:rsidP="00A046DD">
            <w:pPr>
              <w:jc w:val="right"/>
              <w:rPr>
                <w:rFonts w:ascii="Times New Roman" w:eastAsia="Times" w:hAnsi="Times New Roman" w:cs="Times"/>
                <w:noProof/>
                <w:sz w:val="24"/>
                <w:szCs w:val="36"/>
                <w:lang w:val="en-GB"/>
              </w:rPr>
            </w:pPr>
            <w:r w:rsidRPr="00532C20">
              <w:rPr>
                <w:rFonts w:ascii="Times New Roman" w:eastAsia="Times" w:hAnsi="Times New Roman" w:cs="Times"/>
                <w:noProof/>
                <w:sz w:val="24"/>
                <w:szCs w:val="36"/>
                <w:lang w:val="fr-FR"/>
              </w:rPr>
              <w:t>56,949.82</w:t>
            </w:r>
          </w:p>
        </w:tc>
        <w:tc>
          <w:tcPr>
            <w:tcW w:w="2234" w:type="dxa"/>
            <w:shd w:val="clear" w:color="auto" w:fill="auto"/>
          </w:tcPr>
          <w:p w14:paraId="0F343D1F" w14:textId="77777777" w:rsidR="00A046DD" w:rsidRPr="00532C20" w:rsidRDefault="00A046DD" w:rsidP="00A046DD">
            <w:pPr>
              <w:jc w:val="right"/>
              <w:rPr>
                <w:rFonts w:ascii="Times New Roman" w:eastAsia="Times" w:hAnsi="Times New Roman" w:cs="Times"/>
                <w:noProof/>
                <w:sz w:val="24"/>
                <w:szCs w:val="36"/>
                <w:lang w:val="en-GB"/>
              </w:rPr>
            </w:pPr>
            <w:r w:rsidRPr="00532C20">
              <w:rPr>
                <w:rFonts w:ascii="Times New Roman" w:eastAsia="Times" w:hAnsi="Times New Roman" w:cs="Times"/>
                <w:noProof/>
                <w:sz w:val="24"/>
                <w:szCs w:val="36"/>
                <w:lang w:val="fr-FR"/>
              </w:rPr>
              <w:t>142,374.54</w:t>
            </w:r>
          </w:p>
        </w:tc>
        <w:tc>
          <w:tcPr>
            <w:tcW w:w="2109" w:type="dxa"/>
            <w:shd w:val="clear" w:color="auto" w:fill="auto"/>
          </w:tcPr>
          <w:p w14:paraId="6219948B" w14:textId="77777777" w:rsidR="00A046DD" w:rsidRPr="00532C20" w:rsidRDefault="00A046DD" w:rsidP="00A046DD">
            <w:pPr>
              <w:jc w:val="right"/>
              <w:rPr>
                <w:rFonts w:ascii="Times New Roman" w:eastAsia="Times" w:hAnsi="Times New Roman" w:cs="Times"/>
                <w:noProof/>
                <w:sz w:val="24"/>
                <w:szCs w:val="36"/>
                <w:lang w:val="en-GB"/>
              </w:rPr>
            </w:pPr>
            <w:r w:rsidRPr="00532C20">
              <w:rPr>
                <w:rFonts w:ascii="Times New Roman" w:eastAsia="Times" w:hAnsi="Times New Roman" w:cs="Times"/>
                <w:noProof/>
                <w:sz w:val="24"/>
                <w:szCs w:val="36"/>
                <w:lang w:val="fr-FR"/>
              </w:rPr>
              <w:t>256,274.18</w:t>
            </w:r>
          </w:p>
        </w:tc>
      </w:tr>
      <w:tr w:rsidR="00A046DD" w:rsidRPr="00532C20" w14:paraId="2A43AA79" w14:textId="77777777">
        <w:tc>
          <w:tcPr>
            <w:tcW w:w="2689" w:type="dxa"/>
            <w:shd w:val="clear" w:color="auto" w:fill="0C4DA2"/>
          </w:tcPr>
          <w:p w14:paraId="4CB0C5D3" w14:textId="77777777" w:rsidR="00A046DD" w:rsidRPr="00532C20" w:rsidRDefault="00A046DD" w:rsidP="00A046DD">
            <w:pPr>
              <w:rPr>
                <w:rFonts w:ascii="Times New Roman" w:eastAsia="Times" w:hAnsi="Times New Roman" w:cs="Times"/>
                <w:b/>
                <w:noProof/>
                <w:color w:val="FFFFFF"/>
                <w:sz w:val="24"/>
                <w:szCs w:val="36"/>
                <w:lang w:val="en-GB"/>
              </w:rPr>
            </w:pPr>
            <w:r w:rsidRPr="00532C20">
              <w:rPr>
                <w:rFonts w:ascii="Times New Roman" w:eastAsia="Times" w:hAnsi="Times New Roman" w:cs="Times"/>
                <w:b/>
                <w:noProof/>
                <w:color w:val="FFFFFF"/>
                <w:sz w:val="24"/>
                <w:szCs w:val="36"/>
                <w:lang w:val="fr-FR"/>
              </w:rPr>
              <w:t>Total familiarisation costs</w:t>
            </w:r>
          </w:p>
        </w:tc>
        <w:tc>
          <w:tcPr>
            <w:tcW w:w="1984" w:type="dxa"/>
            <w:shd w:val="clear" w:color="auto" w:fill="0C4DA2"/>
          </w:tcPr>
          <w:p w14:paraId="34A20F30" w14:textId="77777777" w:rsidR="00A046DD" w:rsidRPr="00532C20" w:rsidRDefault="00A046DD" w:rsidP="00A046DD">
            <w:pPr>
              <w:jc w:val="right"/>
              <w:rPr>
                <w:rFonts w:ascii="Times New Roman" w:eastAsia="Times" w:hAnsi="Times New Roman" w:cs="Times"/>
                <w:b/>
                <w:noProof/>
                <w:color w:val="FFFFFF"/>
                <w:sz w:val="24"/>
                <w:szCs w:val="36"/>
                <w:lang w:val="en-GB"/>
              </w:rPr>
            </w:pPr>
            <w:r w:rsidRPr="00532C20">
              <w:rPr>
                <w:rFonts w:ascii="Times New Roman" w:eastAsia="Times" w:hAnsi="Times New Roman" w:cs="Times"/>
                <w:b/>
                <w:noProof/>
                <w:color w:val="FFFFFF"/>
                <w:sz w:val="24"/>
                <w:szCs w:val="36"/>
                <w:lang w:val="fr-FR"/>
              </w:rPr>
              <w:t>71,222,865.88</w:t>
            </w:r>
          </w:p>
        </w:tc>
        <w:tc>
          <w:tcPr>
            <w:tcW w:w="2234" w:type="dxa"/>
            <w:shd w:val="clear" w:color="auto" w:fill="0C4DA2"/>
          </w:tcPr>
          <w:p w14:paraId="482D6E9E" w14:textId="77777777" w:rsidR="00A046DD" w:rsidRPr="00532C20" w:rsidRDefault="00A046DD" w:rsidP="00A046DD">
            <w:pPr>
              <w:jc w:val="right"/>
              <w:rPr>
                <w:rFonts w:ascii="Times New Roman" w:eastAsia="Times" w:hAnsi="Times New Roman" w:cs="Times"/>
                <w:b/>
                <w:noProof/>
                <w:color w:val="FFFFFF"/>
                <w:sz w:val="24"/>
                <w:szCs w:val="36"/>
                <w:lang w:val="en-GB"/>
              </w:rPr>
            </w:pPr>
            <w:r w:rsidRPr="00532C20">
              <w:rPr>
                <w:rFonts w:ascii="Times New Roman" w:eastAsia="Times" w:hAnsi="Times New Roman" w:cs="Times"/>
                <w:b/>
                <w:noProof/>
                <w:color w:val="FFFFFF"/>
                <w:sz w:val="24"/>
                <w:szCs w:val="36"/>
                <w:lang w:val="fr-FR"/>
              </w:rPr>
              <w:t>142,481,325.39</w:t>
            </w:r>
          </w:p>
        </w:tc>
        <w:tc>
          <w:tcPr>
            <w:tcW w:w="2109" w:type="dxa"/>
            <w:shd w:val="clear" w:color="auto" w:fill="0C4DA2"/>
          </w:tcPr>
          <w:p w14:paraId="11F9767F" w14:textId="77777777" w:rsidR="00A046DD" w:rsidRPr="00532C20" w:rsidRDefault="00A046DD" w:rsidP="00A046DD">
            <w:pPr>
              <w:jc w:val="right"/>
              <w:rPr>
                <w:rFonts w:ascii="Times New Roman" w:eastAsia="Times" w:hAnsi="Times New Roman" w:cs="Times"/>
                <w:b/>
                <w:noProof/>
                <w:color w:val="FFFFFF"/>
                <w:sz w:val="24"/>
                <w:szCs w:val="36"/>
                <w:lang w:val="en-GB"/>
              </w:rPr>
            </w:pPr>
            <w:r w:rsidRPr="00532C20">
              <w:rPr>
                <w:rFonts w:ascii="Times New Roman" w:eastAsia="Times" w:hAnsi="Times New Roman" w:cs="Times"/>
                <w:b/>
                <w:noProof/>
                <w:color w:val="FFFFFF"/>
                <w:sz w:val="24"/>
                <w:szCs w:val="36"/>
                <w:lang w:val="fr-FR"/>
              </w:rPr>
              <w:t>213,775,378.54</w:t>
            </w:r>
          </w:p>
        </w:tc>
      </w:tr>
    </w:tbl>
    <w:p w14:paraId="00EFB09D"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sectPr w:rsidR="00A046DD" w:rsidRPr="00532C20" w:rsidSect="00195B53">
          <w:headerReference w:type="even" r:id="rId51"/>
          <w:headerReference w:type="default" r:id="rId52"/>
          <w:footerReference w:type="even" r:id="rId53"/>
          <w:footerReference w:type="default" r:id="rId54"/>
          <w:headerReference w:type="first" r:id="rId55"/>
          <w:footerReference w:type="first" r:id="rId56"/>
          <w:pgSz w:w="11906" w:h="16838" w:code="9"/>
          <w:pgMar w:top="1440" w:right="1440" w:bottom="1440" w:left="1440" w:header="709" w:footer="709" w:gutter="0"/>
          <w:cols w:space="708"/>
          <w:docGrid w:linePitch="360"/>
        </w:sectPr>
      </w:pPr>
    </w:p>
    <w:p w14:paraId="0657238C" w14:textId="23D127CC"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bookmarkStart w:id="1172" w:name="_Ref146901805"/>
      <w:bookmarkStart w:id="1173" w:name="_Ref131324314"/>
      <w:bookmarkStart w:id="1174" w:name="_Toc140752080"/>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22</w:t>
      </w:r>
      <w:r w:rsidRPr="00532C20">
        <w:rPr>
          <w:rFonts w:ascii="Times New Roman" w:eastAsia="Times New Roman" w:hAnsi="Times New Roman" w:cs="Times New Roman"/>
          <w:b/>
          <w:noProof/>
          <w:sz w:val="24"/>
          <w:szCs w:val="24"/>
        </w:rPr>
        <w:fldChar w:fldCharType="end"/>
      </w:r>
      <w:bookmarkEnd w:id="1172"/>
      <w:r w:rsidRPr="00532C20">
        <w:rPr>
          <w:rFonts w:ascii="Times New Roman" w:eastAsia="Times New Roman" w:hAnsi="Times New Roman" w:cs="Times New Roman"/>
          <w:b/>
          <w:noProof/>
          <w:sz w:val="24"/>
          <w:szCs w:val="24"/>
        </w:rPr>
        <w:t>: Estimated basic familiarisation costs: Interest representation entities out of scope of the proposed intervention</w:t>
      </w:r>
      <w:bookmarkEnd w:id="1173"/>
      <w:bookmarkEnd w:id="1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1647"/>
        <w:gridCol w:w="1454"/>
        <w:gridCol w:w="1686"/>
        <w:gridCol w:w="1532"/>
        <w:gridCol w:w="2298"/>
        <w:gridCol w:w="2452"/>
        <w:gridCol w:w="2519"/>
      </w:tblGrid>
      <w:tr w:rsidR="00A046DD" w:rsidRPr="00532C20" w14:paraId="3274BF6B" w14:textId="77777777">
        <w:trPr>
          <w:trHeight w:val="20"/>
        </w:trPr>
        <w:tc>
          <w:tcPr>
            <w:tcW w:w="495" w:type="pct"/>
            <w:vMerge w:val="restart"/>
            <w:shd w:val="clear" w:color="auto" w:fill="002060"/>
            <w:noWrap/>
          </w:tcPr>
          <w:p w14:paraId="57FB614A"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Country</w:t>
            </w:r>
          </w:p>
        </w:tc>
        <w:tc>
          <w:tcPr>
            <w:tcW w:w="546" w:type="pct"/>
            <w:vMerge w:val="restart"/>
            <w:shd w:val="clear" w:color="auto" w:fill="002060"/>
            <w:noWrap/>
          </w:tcPr>
          <w:p w14:paraId="61D03865" w14:textId="77777777" w:rsidR="00A046DD" w:rsidRPr="00313F32" w:rsidRDefault="00A046DD" w:rsidP="00A046DD">
            <w:pPr>
              <w:spacing w:after="0" w:line="240" w:lineRule="auto"/>
              <w:jc w:val="center"/>
              <w:rPr>
                <w:rFonts w:ascii="Times New Roman" w:eastAsia="Times New Roman" w:hAnsi="Times New Roman" w:cs="Times New Roman"/>
                <w:b/>
                <w:noProof/>
              </w:rPr>
            </w:pPr>
            <w:r w:rsidRPr="00313F32">
              <w:rPr>
                <w:rFonts w:ascii="Times New Roman" w:eastAsia="Times New Roman" w:hAnsi="Times New Roman" w:cs="Times New Roman"/>
                <w:b/>
                <w:noProof/>
              </w:rPr>
              <w:t>ISCO 2 income:</w:t>
            </w:r>
          </w:p>
          <w:p w14:paraId="0C10537C" w14:textId="77777777" w:rsidR="00A046DD" w:rsidRPr="00313F32" w:rsidRDefault="00A046DD" w:rsidP="00A046DD">
            <w:pPr>
              <w:spacing w:after="0" w:line="240" w:lineRule="auto"/>
              <w:jc w:val="center"/>
              <w:rPr>
                <w:rFonts w:ascii="Times New Roman" w:eastAsia="Times New Roman" w:hAnsi="Times New Roman" w:cs="Times New Roman"/>
                <w:b/>
                <w:noProof/>
              </w:rPr>
            </w:pPr>
            <w:r w:rsidRPr="00313F32">
              <w:rPr>
                <w:rFonts w:ascii="Times New Roman" w:eastAsia="Times New Roman" w:hAnsi="Times New Roman" w:cs="Times New Roman"/>
                <w:b/>
                <w:noProof/>
              </w:rPr>
              <w:t>EUR per hour</w:t>
            </w:r>
            <w:r w:rsidRPr="00313F32">
              <w:rPr>
                <w:rFonts w:ascii="Times New Roman" w:eastAsia="Times New Roman" w:hAnsi="Times New Roman" w:cs="Times New Roman"/>
                <w:b/>
                <w:noProof/>
                <w:vertAlign w:val="superscript"/>
              </w:rPr>
              <w:t>(1)</w:t>
            </w:r>
          </w:p>
        </w:tc>
        <w:tc>
          <w:tcPr>
            <w:tcW w:w="1549" w:type="pct"/>
            <w:gridSpan w:val="3"/>
            <w:shd w:val="clear" w:color="auto" w:fill="002060"/>
            <w:noWrap/>
          </w:tcPr>
          <w:p w14:paraId="695F78E3" w14:textId="77777777" w:rsidR="00A046DD" w:rsidRPr="00313F32" w:rsidRDefault="00A046DD" w:rsidP="00A046DD">
            <w:pPr>
              <w:spacing w:after="0" w:line="240" w:lineRule="auto"/>
              <w:jc w:val="center"/>
              <w:rPr>
                <w:rFonts w:ascii="Times New Roman" w:eastAsia="Times New Roman" w:hAnsi="Times New Roman" w:cs="Times New Roman"/>
                <w:b/>
                <w:noProof/>
              </w:rPr>
            </w:pPr>
            <w:r w:rsidRPr="00313F32">
              <w:rPr>
                <w:rFonts w:ascii="Times New Roman" w:eastAsia="Times New Roman" w:hAnsi="Times New Roman" w:cs="Times New Roman"/>
                <w:b/>
                <w:noProof/>
              </w:rPr>
              <w:t>Number of entities (</w:t>
            </w:r>
            <w:r w:rsidRPr="00313F32">
              <w:rPr>
                <w:rFonts w:ascii="Times New Roman" w:eastAsia="Times New Roman" w:hAnsi="Times New Roman" w:cs="Times New Roman"/>
                <w:b/>
                <w:i/>
                <w:noProof/>
              </w:rPr>
              <w:t>total interest representatives – non-EU/EEA interest representatives</w:t>
            </w:r>
            <w:r w:rsidRPr="00313F32">
              <w:rPr>
                <w:rFonts w:ascii="Times New Roman" w:eastAsia="Times New Roman" w:hAnsi="Times New Roman" w:cs="Times New Roman"/>
                <w:b/>
                <w:noProof/>
              </w:rPr>
              <w:t>)</w:t>
            </w:r>
          </w:p>
        </w:tc>
        <w:tc>
          <w:tcPr>
            <w:tcW w:w="2410" w:type="pct"/>
            <w:gridSpan w:val="3"/>
            <w:shd w:val="clear" w:color="auto" w:fill="002060"/>
            <w:noWrap/>
          </w:tcPr>
          <w:p w14:paraId="0EAD8930" w14:textId="77777777" w:rsidR="00A046DD" w:rsidRPr="00313F32" w:rsidRDefault="00A046DD" w:rsidP="00A046DD">
            <w:pPr>
              <w:spacing w:after="0" w:line="240" w:lineRule="auto"/>
              <w:jc w:val="center"/>
              <w:rPr>
                <w:rFonts w:ascii="Times New Roman" w:eastAsia="Times New Roman" w:hAnsi="Times New Roman" w:cs="Times New Roman"/>
                <w:b/>
                <w:noProof/>
              </w:rPr>
            </w:pPr>
            <w:r w:rsidRPr="00313F32">
              <w:rPr>
                <w:rFonts w:ascii="Times New Roman" w:eastAsia="Times New Roman" w:hAnsi="Times New Roman" w:cs="Times New Roman"/>
                <w:b/>
                <w:noProof/>
              </w:rPr>
              <w:t>Cost scenarios in EUR (</w:t>
            </w:r>
            <w:r w:rsidRPr="00313F32">
              <w:rPr>
                <w:rFonts w:ascii="Times New Roman" w:eastAsia="Times New Roman" w:hAnsi="Times New Roman" w:cs="Times New Roman"/>
                <w:b/>
                <w:i/>
                <w:noProof/>
              </w:rPr>
              <w:t>number of entities * time spent * ISCO 2 income</w:t>
            </w:r>
            <w:r w:rsidRPr="00313F32">
              <w:rPr>
                <w:rFonts w:ascii="Times New Roman" w:eastAsia="Times New Roman" w:hAnsi="Times New Roman" w:cs="Times New Roman"/>
                <w:b/>
                <w:noProof/>
              </w:rPr>
              <w:t>)</w:t>
            </w:r>
          </w:p>
        </w:tc>
      </w:tr>
      <w:tr w:rsidR="00A046DD" w:rsidRPr="00532C20" w14:paraId="1FF07861" w14:textId="77777777">
        <w:trPr>
          <w:trHeight w:val="20"/>
        </w:trPr>
        <w:tc>
          <w:tcPr>
            <w:tcW w:w="495" w:type="pct"/>
            <w:vMerge/>
            <w:shd w:val="clear" w:color="000000" w:fill="DCE6F1"/>
            <w:noWrap/>
          </w:tcPr>
          <w:p w14:paraId="43E04290" w14:textId="77777777" w:rsidR="00A046DD" w:rsidRPr="00532C20" w:rsidRDefault="00A046DD" w:rsidP="00A046DD">
            <w:pPr>
              <w:spacing w:after="0" w:line="240" w:lineRule="auto"/>
              <w:jc w:val="both"/>
              <w:rPr>
                <w:rFonts w:ascii="Times New Roman" w:eastAsia="Times New Roman" w:hAnsi="Times New Roman" w:cs="Times New Roman"/>
                <w:b/>
                <w:noProof/>
              </w:rPr>
            </w:pPr>
          </w:p>
        </w:tc>
        <w:tc>
          <w:tcPr>
            <w:tcW w:w="546" w:type="pct"/>
            <w:vMerge/>
            <w:shd w:val="clear" w:color="auto" w:fill="auto"/>
            <w:noWrap/>
          </w:tcPr>
          <w:p w14:paraId="0D666E39" w14:textId="77777777" w:rsidR="00A046DD" w:rsidRPr="00532C20" w:rsidRDefault="00A046DD" w:rsidP="00A046DD">
            <w:pPr>
              <w:spacing w:after="0" w:line="240" w:lineRule="auto"/>
              <w:jc w:val="center"/>
              <w:rPr>
                <w:rFonts w:ascii="Times New Roman" w:eastAsia="Times New Roman" w:hAnsi="Times New Roman" w:cs="Times New Roman"/>
                <w:noProof/>
              </w:rPr>
            </w:pPr>
          </w:p>
        </w:tc>
        <w:tc>
          <w:tcPr>
            <w:tcW w:w="482" w:type="pct"/>
            <w:shd w:val="clear" w:color="auto" w:fill="0C4DA2"/>
            <w:noWrap/>
          </w:tcPr>
          <w:p w14:paraId="2D9F475E"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Low scenario</w:t>
            </w:r>
          </w:p>
        </w:tc>
        <w:tc>
          <w:tcPr>
            <w:tcW w:w="559" w:type="pct"/>
            <w:shd w:val="clear" w:color="auto" w:fill="0C4DA2"/>
            <w:noWrap/>
          </w:tcPr>
          <w:p w14:paraId="52819FA3"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Middle scenario</w:t>
            </w:r>
          </w:p>
        </w:tc>
        <w:tc>
          <w:tcPr>
            <w:tcW w:w="508" w:type="pct"/>
            <w:shd w:val="clear" w:color="auto" w:fill="0C4DA2"/>
            <w:noWrap/>
          </w:tcPr>
          <w:p w14:paraId="51D61CC9"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High scenario</w:t>
            </w:r>
          </w:p>
        </w:tc>
        <w:tc>
          <w:tcPr>
            <w:tcW w:w="762" w:type="pct"/>
            <w:shd w:val="clear" w:color="auto" w:fill="0C4DA2"/>
            <w:noWrap/>
          </w:tcPr>
          <w:p w14:paraId="1E1B2C6E"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Low scenario (30 mins)</w:t>
            </w:r>
          </w:p>
        </w:tc>
        <w:tc>
          <w:tcPr>
            <w:tcW w:w="813" w:type="pct"/>
            <w:shd w:val="clear" w:color="auto" w:fill="0C4DA2"/>
            <w:noWrap/>
          </w:tcPr>
          <w:p w14:paraId="13843089"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Middle scenario (1 hour)</w:t>
            </w:r>
          </w:p>
        </w:tc>
        <w:tc>
          <w:tcPr>
            <w:tcW w:w="835" w:type="pct"/>
            <w:shd w:val="clear" w:color="auto" w:fill="0C4DA2"/>
            <w:noWrap/>
          </w:tcPr>
          <w:p w14:paraId="5146B090"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High scenario (1.5 hours)</w:t>
            </w:r>
          </w:p>
        </w:tc>
      </w:tr>
      <w:tr w:rsidR="00A046DD" w:rsidRPr="00532C20" w14:paraId="5CD2041C" w14:textId="77777777">
        <w:trPr>
          <w:trHeight w:val="20"/>
        </w:trPr>
        <w:tc>
          <w:tcPr>
            <w:tcW w:w="495" w:type="pct"/>
            <w:shd w:val="clear" w:color="auto" w:fill="D9D9D9"/>
            <w:noWrap/>
            <w:hideMark/>
          </w:tcPr>
          <w:p w14:paraId="6746E293"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Austria</w:t>
            </w:r>
          </w:p>
        </w:tc>
        <w:tc>
          <w:tcPr>
            <w:tcW w:w="546" w:type="pct"/>
            <w:shd w:val="clear" w:color="auto" w:fill="D9D9D9"/>
            <w:noWrap/>
            <w:hideMark/>
          </w:tcPr>
          <w:p w14:paraId="256F0A3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42.18</w:t>
            </w:r>
          </w:p>
        </w:tc>
        <w:tc>
          <w:tcPr>
            <w:tcW w:w="482" w:type="pct"/>
            <w:shd w:val="clear" w:color="auto" w:fill="auto"/>
            <w:noWrap/>
            <w:hideMark/>
          </w:tcPr>
          <w:p w14:paraId="2FE8315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118,251 </w:t>
            </w:r>
          </w:p>
        </w:tc>
        <w:tc>
          <w:tcPr>
            <w:tcW w:w="559" w:type="pct"/>
            <w:shd w:val="clear" w:color="auto" w:fill="auto"/>
            <w:noWrap/>
            <w:hideMark/>
          </w:tcPr>
          <w:p w14:paraId="79B950A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118,256 </w:t>
            </w:r>
          </w:p>
        </w:tc>
        <w:tc>
          <w:tcPr>
            <w:tcW w:w="508" w:type="pct"/>
            <w:shd w:val="clear" w:color="auto" w:fill="auto"/>
            <w:noWrap/>
            <w:hideMark/>
          </w:tcPr>
          <w:p w14:paraId="55593C5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118,262 </w:t>
            </w:r>
          </w:p>
        </w:tc>
        <w:tc>
          <w:tcPr>
            <w:tcW w:w="762" w:type="pct"/>
            <w:shd w:val="clear" w:color="auto" w:fill="auto"/>
            <w:noWrap/>
            <w:hideMark/>
          </w:tcPr>
          <w:p w14:paraId="5B6DA01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2,493,718.33 </w:t>
            </w:r>
          </w:p>
        </w:tc>
        <w:tc>
          <w:tcPr>
            <w:tcW w:w="813" w:type="pct"/>
            <w:shd w:val="clear" w:color="auto" w:fill="auto"/>
            <w:noWrap/>
            <w:hideMark/>
          </w:tcPr>
          <w:p w14:paraId="17A45AB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4,987,686.10 </w:t>
            </w:r>
          </w:p>
        </w:tc>
        <w:tc>
          <w:tcPr>
            <w:tcW w:w="835" w:type="pct"/>
            <w:shd w:val="clear" w:color="auto" w:fill="auto"/>
            <w:noWrap/>
            <w:hideMark/>
          </w:tcPr>
          <w:p w14:paraId="1738103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7,481,903.32 </w:t>
            </w:r>
          </w:p>
        </w:tc>
      </w:tr>
      <w:tr w:rsidR="00A046DD" w:rsidRPr="00532C20" w14:paraId="182D5DC1" w14:textId="77777777">
        <w:trPr>
          <w:trHeight w:val="20"/>
        </w:trPr>
        <w:tc>
          <w:tcPr>
            <w:tcW w:w="495" w:type="pct"/>
            <w:shd w:val="clear" w:color="auto" w:fill="D9D9D9"/>
            <w:noWrap/>
            <w:hideMark/>
          </w:tcPr>
          <w:p w14:paraId="7FF49DFB"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Belgium</w:t>
            </w:r>
          </w:p>
        </w:tc>
        <w:tc>
          <w:tcPr>
            <w:tcW w:w="546" w:type="pct"/>
            <w:shd w:val="clear" w:color="auto" w:fill="D9D9D9"/>
            <w:noWrap/>
            <w:hideMark/>
          </w:tcPr>
          <w:p w14:paraId="665D910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50.42</w:t>
            </w:r>
          </w:p>
        </w:tc>
        <w:tc>
          <w:tcPr>
            <w:tcW w:w="482" w:type="pct"/>
            <w:shd w:val="clear" w:color="auto" w:fill="auto"/>
            <w:noWrap/>
            <w:hideMark/>
          </w:tcPr>
          <w:p w14:paraId="2E91BAA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117,411 </w:t>
            </w:r>
          </w:p>
        </w:tc>
        <w:tc>
          <w:tcPr>
            <w:tcW w:w="559" w:type="pct"/>
            <w:shd w:val="clear" w:color="auto" w:fill="auto"/>
            <w:noWrap/>
            <w:hideMark/>
          </w:tcPr>
          <w:p w14:paraId="27B2248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117,417 </w:t>
            </w:r>
          </w:p>
        </w:tc>
        <w:tc>
          <w:tcPr>
            <w:tcW w:w="508" w:type="pct"/>
            <w:shd w:val="clear" w:color="auto" w:fill="auto"/>
            <w:noWrap/>
            <w:hideMark/>
          </w:tcPr>
          <w:p w14:paraId="782F5D8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117,423 </w:t>
            </w:r>
          </w:p>
        </w:tc>
        <w:tc>
          <w:tcPr>
            <w:tcW w:w="762" w:type="pct"/>
            <w:shd w:val="clear" w:color="auto" w:fill="auto"/>
            <w:noWrap/>
            <w:hideMark/>
          </w:tcPr>
          <w:p w14:paraId="4C23D6C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2,960,209.35 </w:t>
            </w:r>
          </w:p>
        </w:tc>
        <w:tc>
          <w:tcPr>
            <w:tcW w:w="813" w:type="pct"/>
            <w:shd w:val="clear" w:color="auto" w:fill="auto"/>
            <w:noWrap/>
            <w:hideMark/>
          </w:tcPr>
          <w:p w14:paraId="15F2E51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5,920,714.81 </w:t>
            </w:r>
          </w:p>
        </w:tc>
        <w:tc>
          <w:tcPr>
            <w:tcW w:w="835" w:type="pct"/>
            <w:shd w:val="clear" w:color="auto" w:fill="auto"/>
            <w:noWrap/>
            <w:hideMark/>
          </w:tcPr>
          <w:p w14:paraId="224A51B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8,881,516.38 </w:t>
            </w:r>
          </w:p>
        </w:tc>
      </w:tr>
      <w:tr w:rsidR="00A046DD" w:rsidRPr="00532C20" w14:paraId="2658945F" w14:textId="77777777">
        <w:trPr>
          <w:trHeight w:val="20"/>
        </w:trPr>
        <w:tc>
          <w:tcPr>
            <w:tcW w:w="495" w:type="pct"/>
            <w:shd w:val="clear" w:color="auto" w:fill="D9D9D9"/>
            <w:noWrap/>
            <w:hideMark/>
          </w:tcPr>
          <w:p w14:paraId="1F727627"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Bulgaria</w:t>
            </w:r>
          </w:p>
        </w:tc>
        <w:tc>
          <w:tcPr>
            <w:tcW w:w="546" w:type="pct"/>
            <w:shd w:val="clear" w:color="auto" w:fill="D9D9D9"/>
            <w:noWrap/>
            <w:hideMark/>
          </w:tcPr>
          <w:p w14:paraId="052B832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7.25</w:t>
            </w:r>
          </w:p>
        </w:tc>
        <w:tc>
          <w:tcPr>
            <w:tcW w:w="482" w:type="pct"/>
            <w:shd w:val="clear" w:color="auto" w:fill="auto"/>
            <w:noWrap/>
            <w:hideMark/>
          </w:tcPr>
          <w:p w14:paraId="715204A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14,183 </w:t>
            </w:r>
          </w:p>
        </w:tc>
        <w:tc>
          <w:tcPr>
            <w:tcW w:w="559" w:type="pct"/>
            <w:shd w:val="clear" w:color="auto" w:fill="auto"/>
            <w:noWrap/>
            <w:hideMark/>
          </w:tcPr>
          <w:p w14:paraId="7288F33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14,183 </w:t>
            </w:r>
          </w:p>
        </w:tc>
        <w:tc>
          <w:tcPr>
            <w:tcW w:w="508" w:type="pct"/>
            <w:shd w:val="clear" w:color="auto" w:fill="auto"/>
            <w:noWrap/>
            <w:hideMark/>
          </w:tcPr>
          <w:p w14:paraId="0AE8B8D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14,184 </w:t>
            </w:r>
          </w:p>
        </w:tc>
        <w:tc>
          <w:tcPr>
            <w:tcW w:w="762" w:type="pct"/>
            <w:shd w:val="clear" w:color="auto" w:fill="auto"/>
            <w:noWrap/>
            <w:hideMark/>
          </w:tcPr>
          <w:p w14:paraId="1D07DAD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51,408.22 </w:t>
            </w:r>
          </w:p>
        </w:tc>
        <w:tc>
          <w:tcPr>
            <w:tcW w:w="813" w:type="pct"/>
            <w:shd w:val="clear" w:color="auto" w:fill="auto"/>
            <w:noWrap/>
            <w:hideMark/>
          </w:tcPr>
          <w:p w14:paraId="516214B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102,821.57 </w:t>
            </w:r>
          </w:p>
        </w:tc>
        <w:tc>
          <w:tcPr>
            <w:tcW w:w="835" w:type="pct"/>
            <w:shd w:val="clear" w:color="auto" w:fill="auto"/>
            <w:noWrap/>
            <w:hideMark/>
          </w:tcPr>
          <w:p w14:paraId="3AC157F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154,240.07 </w:t>
            </w:r>
          </w:p>
        </w:tc>
      </w:tr>
      <w:tr w:rsidR="00A046DD" w:rsidRPr="00532C20" w14:paraId="04373859" w14:textId="77777777">
        <w:trPr>
          <w:trHeight w:val="20"/>
        </w:trPr>
        <w:tc>
          <w:tcPr>
            <w:tcW w:w="495" w:type="pct"/>
            <w:shd w:val="clear" w:color="auto" w:fill="D9D9D9"/>
            <w:noWrap/>
            <w:hideMark/>
          </w:tcPr>
          <w:p w14:paraId="2F40BABB"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Croatia</w:t>
            </w:r>
          </w:p>
        </w:tc>
        <w:tc>
          <w:tcPr>
            <w:tcW w:w="546" w:type="pct"/>
            <w:shd w:val="clear" w:color="auto" w:fill="D9D9D9"/>
            <w:noWrap/>
            <w:hideMark/>
          </w:tcPr>
          <w:p w14:paraId="614876F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13.62</w:t>
            </w:r>
          </w:p>
        </w:tc>
        <w:tc>
          <w:tcPr>
            <w:tcW w:w="482" w:type="pct"/>
            <w:shd w:val="clear" w:color="auto" w:fill="auto"/>
            <w:noWrap/>
            <w:hideMark/>
          </w:tcPr>
          <w:p w14:paraId="3407E1A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28,286 </w:t>
            </w:r>
          </w:p>
        </w:tc>
        <w:tc>
          <w:tcPr>
            <w:tcW w:w="559" w:type="pct"/>
            <w:shd w:val="clear" w:color="auto" w:fill="auto"/>
            <w:noWrap/>
            <w:hideMark/>
          </w:tcPr>
          <w:p w14:paraId="2D6999C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28,287 </w:t>
            </w:r>
          </w:p>
        </w:tc>
        <w:tc>
          <w:tcPr>
            <w:tcW w:w="508" w:type="pct"/>
            <w:shd w:val="clear" w:color="auto" w:fill="auto"/>
            <w:noWrap/>
            <w:hideMark/>
          </w:tcPr>
          <w:p w14:paraId="473DC27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28,288 </w:t>
            </w:r>
          </w:p>
        </w:tc>
        <w:tc>
          <w:tcPr>
            <w:tcW w:w="762" w:type="pct"/>
            <w:shd w:val="clear" w:color="auto" w:fill="auto"/>
            <w:noWrap/>
            <w:hideMark/>
          </w:tcPr>
          <w:p w14:paraId="2759E7C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192,647.04 </w:t>
            </w:r>
          </w:p>
        </w:tc>
        <w:tc>
          <w:tcPr>
            <w:tcW w:w="813" w:type="pct"/>
            <w:shd w:val="clear" w:color="auto" w:fill="auto"/>
            <w:noWrap/>
            <w:hideMark/>
          </w:tcPr>
          <w:p w14:paraId="3F1EB9D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385,313.36 </w:t>
            </w:r>
          </w:p>
        </w:tc>
        <w:tc>
          <w:tcPr>
            <w:tcW w:w="835" w:type="pct"/>
            <w:shd w:val="clear" w:color="auto" w:fill="auto"/>
            <w:noWrap/>
            <w:hideMark/>
          </w:tcPr>
          <w:p w14:paraId="18CCCF3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577,998.94 </w:t>
            </w:r>
          </w:p>
        </w:tc>
      </w:tr>
      <w:tr w:rsidR="00A046DD" w:rsidRPr="00532C20" w14:paraId="17534816" w14:textId="77777777">
        <w:trPr>
          <w:trHeight w:val="20"/>
        </w:trPr>
        <w:tc>
          <w:tcPr>
            <w:tcW w:w="495" w:type="pct"/>
            <w:shd w:val="clear" w:color="auto" w:fill="D9D9D9"/>
            <w:noWrap/>
            <w:hideMark/>
          </w:tcPr>
          <w:p w14:paraId="557951FF"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Cyprus</w:t>
            </w:r>
          </w:p>
        </w:tc>
        <w:tc>
          <w:tcPr>
            <w:tcW w:w="546" w:type="pct"/>
            <w:shd w:val="clear" w:color="auto" w:fill="D9D9D9"/>
            <w:noWrap/>
            <w:hideMark/>
          </w:tcPr>
          <w:p w14:paraId="2A4B8F2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25.76</w:t>
            </w:r>
          </w:p>
        </w:tc>
        <w:tc>
          <w:tcPr>
            <w:tcW w:w="482" w:type="pct"/>
            <w:shd w:val="clear" w:color="auto" w:fill="auto"/>
            <w:noWrap/>
            <w:hideMark/>
          </w:tcPr>
          <w:p w14:paraId="2FBFE47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6,546 </w:t>
            </w:r>
          </w:p>
        </w:tc>
        <w:tc>
          <w:tcPr>
            <w:tcW w:w="559" w:type="pct"/>
            <w:shd w:val="clear" w:color="auto" w:fill="auto"/>
            <w:noWrap/>
            <w:hideMark/>
          </w:tcPr>
          <w:p w14:paraId="6FACC1D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6,546 </w:t>
            </w:r>
          </w:p>
        </w:tc>
        <w:tc>
          <w:tcPr>
            <w:tcW w:w="508" w:type="pct"/>
            <w:shd w:val="clear" w:color="auto" w:fill="auto"/>
            <w:noWrap/>
            <w:hideMark/>
          </w:tcPr>
          <w:p w14:paraId="5195EED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6,547 </w:t>
            </w:r>
          </w:p>
        </w:tc>
        <w:tc>
          <w:tcPr>
            <w:tcW w:w="762" w:type="pct"/>
            <w:shd w:val="clear" w:color="auto" w:fill="auto"/>
            <w:noWrap/>
            <w:hideMark/>
          </w:tcPr>
          <w:p w14:paraId="7FF8606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84,308.01 </w:t>
            </w:r>
          </w:p>
        </w:tc>
        <w:tc>
          <w:tcPr>
            <w:tcW w:w="813" w:type="pct"/>
            <w:shd w:val="clear" w:color="auto" w:fill="auto"/>
            <w:noWrap/>
            <w:hideMark/>
          </w:tcPr>
          <w:p w14:paraId="769664D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168,624.46 </w:t>
            </w:r>
          </w:p>
        </w:tc>
        <w:tc>
          <w:tcPr>
            <w:tcW w:w="835" w:type="pct"/>
            <w:shd w:val="clear" w:color="auto" w:fill="auto"/>
            <w:noWrap/>
            <w:hideMark/>
          </w:tcPr>
          <w:p w14:paraId="02A88DC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252,949.34 </w:t>
            </w:r>
          </w:p>
        </w:tc>
      </w:tr>
      <w:tr w:rsidR="00A046DD" w:rsidRPr="00532C20" w14:paraId="124C8129" w14:textId="77777777">
        <w:trPr>
          <w:trHeight w:val="20"/>
        </w:trPr>
        <w:tc>
          <w:tcPr>
            <w:tcW w:w="495" w:type="pct"/>
            <w:shd w:val="clear" w:color="auto" w:fill="D9D9D9"/>
            <w:noWrap/>
            <w:hideMark/>
          </w:tcPr>
          <w:p w14:paraId="71012A17"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Czechia</w:t>
            </w:r>
          </w:p>
        </w:tc>
        <w:tc>
          <w:tcPr>
            <w:tcW w:w="546" w:type="pct"/>
            <w:shd w:val="clear" w:color="auto" w:fill="D9D9D9"/>
            <w:noWrap/>
            <w:hideMark/>
          </w:tcPr>
          <w:p w14:paraId="54B8AAB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17.07</w:t>
            </w:r>
          </w:p>
        </w:tc>
        <w:tc>
          <w:tcPr>
            <w:tcW w:w="482" w:type="pct"/>
            <w:shd w:val="clear" w:color="auto" w:fill="auto"/>
            <w:noWrap/>
            <w:hideMark/>
          </w:tcPr>
          <w:p w14:paraId="4B7B149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96,020 </w:t>
            </w:r>
          </w:p>
        </w:tc>
        <w:tc>
          <w:tcPr>
            <w:tcW w:w="559" w:type="pct"/>
            <w:shd w:val="clear" w:color="auto" w:fill="auto"/>
            <w:noWrap/>
            <w:hideMark/>
          </w:tcPr>
          <w:p w14:paraId="4BD0B47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96,025 </w:t>
            </w:r>
          </w:p>
        </w:tc>
        <w:tc>
          <w:tcPr>
            <w:tcW w:w="508" w:type="pct"/>
            <w:shd w:val="clear" w:color="auto" w:fill="auto"/>
            <w:noWrap/>
            <w:hideMark/>
          </w:tcPr>
          <w:p w14:paraId="20A86FD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96,030 </w:t>
            </w:r>
          </w:p>
        </w:tc>
        <w:tc>
          <w:tcPr>
            <w:tcW w:w="762" w:type="pct"/>
            <w:shd w:val="clear" w:color="auto" w:fill="auto"/>
            <w:noWrap/>
            <w:hideMark/>
          </w:tcPr>
          <w:p w14:paraId="78D70B1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819,324.08 </w:t>
            </w:r>
          </w:p>
        </w:tc>
        <w:tc>
          <w:tcPr>
            <w:tcW w:w="813" w:type="pct"/>
            <w:shd w:val="clear" w:color="auto" w:fill="auto"/>
            <w:noWrap/>
            <w:hideMark/>
          </w:tcPr>
          <w:p w14:paraId="6CD1E4A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1,638,730.13 </w:t>
            </w:r>
          </w:p>
        </w:tc>
        <w:tc>
          <w:tcPr>
            <w:tcW w:w="835" w:type="pct"/>
            <w:shd w:val="clear" w:color="auto" w:fill="auto"/>
            <w:noWrap/>
            <w:hideMark/>
          </w:tcPr>
          <w:p w14:paraId="4B3D860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2,458,218.12 </w:t>
            </w:r>
          </w:p>
        </w:tc>
      </w:tr>
      <w:tr w:rsidR="00A046DD" w:rsidRPr="00532C20" w14:paraId="19F9F6D4" w14:textId="77777777">
        <w:trPr>
          <w:trHeight w:val="20"/>
        </w:trPr>
        <w:tc>
          <w:tcPr>
            <w:tcW w:w="495" w:type="pct"/>
            <w:shd w:val="clear" w:color="auto" w:fill="D9D9D9"/>
            <w:noWrap/>
            <w:hideMark/>
          </w:tcPr>
          <w:p w14:paraId="1C03AC9B"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Denmark</w:t>
            </w:r>
          </w:p>
        </w:tc>
        <w:tc>
          <w:tcPr>
            <w:tcW w:w="546" w:type="pct"/>
            <w:shd w:val="clear" w:color="auto" w:fill="D9D9D9"/>
            <w:noWrap/>
            <w:hideMark/>
          </w:tcPr>
          <w:p w14:paraId="54017E5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50.23</w:t>
            </w:r>
          </w:p>
        </w:tc>
        <w:tc>
          <w:tcPr>
            <w:tcW w:w="482" w:type="pct"/>
            <w:shd w:val="clear" w:color="auto" w:fill="auto"/>
            <w:noWrap/>
            <w:hideMark/>
          </w:tcPr>
          <w:p w14:paraId="5857B24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101,415 </w:t>
            </w:r>
          </w:p>
        </w:tc>
        <w:tc>
          <w:tcPr>
            <w:tcW w:w="559" w:type="pct"/>
            <w:shd w:val="clear" w:color="auto" w:fill="auto"/>
            <w:noWrap/>
            <w:hideMark/>
          </w:tcPr>
          <w:p w14:paraId="375E56B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101,420 </w:t>
            </w:r>
          </w:p>
        </w:tc>
        <w:tc>
          <w:tcPr>
            <w:tcW w:w="508" w:type="pct"/>
            <w:shd w:val="clear" w:color="auto" w:fill="auto"/>
            <w:noWrap/>
            <w:hideMark/>
          </w:tcPr>
          <w:p w14:paraId="39322C1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101,425 </w:t>
            </w:r>
          </w:p>
        </w:tc>
        <w:tc>
          <w:tcPr>
            <w:tcW w:w="762" w:type="pct"/>
            <w:shd w:val="clear" w:color="auto" w:fill="auto"/>
            <w:noWrap/>
            <w:hideMark/>
          </w:tcPr>
          <w:p w14:paraId="54D20DE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2,547,184.04 </w:t>
            </w:r>
          </w:p>
        </w:tc>
        <w:tc>
          <w:tcPr>
            <w:tcW w:w="813" w:type="pct"/>
            <w:shd w:val="clear" w:color="auto" w:fill="auto"/>
            <w:noWrap/>
            <w:hideMark/>
          </w:tcPr>
          <w:p w14:paraId="196C1C7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5,094,622.88 </w:t>
            </w:r>
          </w:p>
        </w:tc>
        <w:tc>
          <w:tcPr>
            <w:tcW w:w="835" w:type="pct"/>
            <w:shd w:val="clear" w:color="auto" w:fill="auto"/>
            <w:noWrap/>
            <w:hideMark/>
          </w:tcPr>
          <w:p w14:paraId="638C573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7,642,316.51 </w:t>
            </w:r>
          </w:p>
        </w:tc>
      </w:tr>
      <w:tr w:rsidR="00A046DD" w:rsidRPr="00532C20" w14:paraId="55075069" w14:textId="77777777">
        <w:trPr>
          <w:trHeight w:val="20"/>
        </w:trPr>
        <w:tc>
          <w:tcPr>
            <w:tcW w:w="495" w:type="pct"/>
            <w:shd w:val="clear" w:color="auto" w:fill="D9D9D9"/>
            <w:noWrap/>
            <w:hideMark/>
          </w:tcPr>
          <w:p w14:paraId="257ED871"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Estonia</w:t>
            </w:r>
          </w:p>
        </w:tc>
        <w:tc>
          <w:tcPr>
            <w:tcW w:w="546" w:type="pct"/>
            <w:shd w:val="clear" w:color="auto" w:fill="D9D9D9"/>
            <w:noWrap/>
            <w:hideMark/>
          </w:tcPr>
          <w:p w14:paraId="0E422E1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16.91</w:t>
            </w:r>
          </w:p>
        </w:tc>
        <w:tc>
          <w:tcPr>
            <w:tcW w:w="482" w:type="pct"/>
            <w:shd w:val="clear" w:color="auto" w:fill="auto"/>
            <w:noWrap/>
            <w:hideMark/>
          </w:tcPr>
          <w:p w14:paraId="1BEEBCF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23,774 </w:t>
            </w:r>
          </w:p>
        </w:tc>
        <w:tc>
          <w:tcPr>
            <w:tcW w:w="559" w:type="pct"/>
            <w:shd w:val="clear" w:color="auto" w:fill="auto"/>
            <w:noWrap/>
            <w:hideMark/>
          </w:tcPr>
          <w:p w14:paraId="30D4015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23,775 </w:t>
            </w:r>
          </w:p>
        </w:tc>
        <w:tc>
          <w:tcPr>
            <w:tcW w:w="508" w:type="pct"/>
            <w:shd w:val="clear" w:color="auto" w:fill="auto"/>
            <w:noWrap/>
            <w:hideMark/>
          </w:tcPr>
          <w:p w14:paraId="5043FD2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23,776 </w:t>
            </w:r>
          </w:p>
        </w:tc>
        <w:tc>
          <w:tcPr>
            <w:tcW w:w="762" w:type="pct"/>
            <w:shd w:val="clear" w:color="auto" w:fill="auto"/>
            <w:noWrap/>
            <w:hideMark/>
          </w:tcPr>
          <w:p w14:paraId="5B53DB3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200,993.58 </w:t>
            </w:r>
          </w:p>
        </w:tc>
        <w:tc>
          <w:tcPr>
            <w:tcW w:w="813" w:type="pct"/>
            <w:shd w:val="clear" w:color="auto" w:fill="auto"/>
            <w:noWrap/>
            <w:hideMark/>
          </w:tcPr>
          <w:p w14:paraId="3B0DDE9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402,007.26 </w:t>
            </w:r>
          </w:p>
        </w:tc>
        <w:tc>
          <w:tcPr>
            <w:tcW w:w="835" w:type="pct"/>
            <w:shd w:val="clear" w:color="auto" w:fill="auto"/>
            <w:noWrap/>
            <w:hideMark/>
          </w:tcPr>
          <w:p w14:paraId="1E2037B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603,041.05 </w:t>
            </w:r>
          </w:p>
        </w:tc>
      </w:tr>
      <w:tr w:rsidR="00A046DD" w:rsidRPr="00532C20" w14:paraId="3F5AB9C0" w14:textId="77777777">
        <w:trPr>
          <w:trHeight w:val="20"/>
        </w:trPr>
        <w:tc>
          <w:tcPr>
            <w:tcW w:w="495" w:type="pct"/>
            <w:shd w:val="clear" w:color="auto" w:fill="D9D9D9"/>
            <w:noWrap/>
            <w:hideMark/>
          </w:tcPr>
          <w:p w14:paraId="14A4A490"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Finland</w:t>
            </w:r>
          </w:p>
        </w:tc>
        <w:tc>
          <w:tcPr>
            <w:tcW w:w="546" w:type="pct"/>
            <w:shd w:val="clear" w:color="auto" w:fill="D9D9D9"/>
            <w:noWrap/>
            <w:hideMark/>
          </w:tcPr>
          <w:p w14:paraId="0B49E8A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41.02</w:t>
            </w:r>
          </w:p>
        </w:tc>
        <w:tc>
          <w:tcPr>
            <w:tcW w:w="482" w:type="pct"/>
            <w:shd w:val="clear" w:color="auto" w:fill="auto"/>
            <w:noWrap/>
            <w:hideMark/>
          </w:tcPr>
          <w:p w14:paraId="2D700FD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109,432 </w:t>
            </w:r>
          </w:p>
        </w:tc>
        <w:tc>
          <w:tcPr>
            <w:tcW w:w="559" w:type="pct"/>
            <w:shd w:val="clear" w:color="auto" w:fill="auto"/>
            <w:noWrap/>
            <w:hideMark/>
          </w:tcPr>
          <w:p w14:paraId="3F1B65A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109,438 </w:t>
            </w:r>
          </w:p>
        </w:tc>
        <w:tc>
          <w:tcPr>
            <w:tcW w:w="508" w:type="pct"/>
            <w:shd w:val="clear" w:color="auto" w:fill="auto"/>
            <w:noWrap/>
            <w:hideMark/>
          </w:tcPr>
          <w:p w14:paraId="1918396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109,443 </w:t>
            </w:r>
          </w:p>
        </w:tc>
        <w:tc>
          <w:tcPr>
            <w:tcW w:w="762" w:type="pct"/>
            <w:shd w:val="clear" w:color="auto" w:fill="auto"/>
            <w:noWrap/>
            <w:hideMark/>
          </w:tcPr>
          <w:p w14:paraId="515FB81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2,244,430.12 </w:t>
            </w:r>
          </w:p>
        </w:tc>
        <w:tc>
          <w:tcPr>
            <w:tcW w:w="813" w:type="pct"/>
            <w:shd w:val="clear" w:color="auto" w:fill="auto"/>
            <w:noWrap/>
            <w:hideMark/>
          </w:tcPr>
          <w:p w14:paraId="6025BAE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4,489,084.76 </w:t>
            </w:r>
          </w:p>
        </w:tc>
        <w:tc>
          <w:tcPr>
            <w:tcW w:w="835" w:type="pct"/>
            <w:shd w:val="clear" w:color="auto" w:fill="auto"/>
            <w:noWrap/>
            <w:hideMark/>
          </w:tcPr>
          <w:p w14:paraId="2280B98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6,733,963.90 </w:t>
            </w:r>
          </w:p>
        </w:tc>
      </w:tr>
      <w:tr w:rsidR="00A046DD" w:rsidRPr="00532C20" w14:paraId="422830D2" w14:textId="77777777">
        <w:trPr>
          <w:trHeight w:val="20"/>
        </w:trPr>
        <w:tc>
          <w:tcPr>
            <w:tcW w:w="495" w:type="pct"/>
            <w:shd w:val="clear" w:color="auto" w:fill="D9D9D9"/>
            <w:noWrap/>
            <w:hideMark/>
          </w:tcPr>
          <w:p w14:paraId="1694D3B1"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France</w:t>
            </w:r>
          </w:p>
        </w:tc>
        <w:tc>
          <w:tcPr>
            <w:tcW w:w="546" w:type="pct"/>
            <w:shd w:val="clear" w:color="auto" w:fill="D9D9D9"/>
            <w:noWrap/>
            <w:hideMark/>
          </w:tcPr>
          <w:p w14:paraId="6689F81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44.06</w:t>
            </w:r>
          </w:p>
        </w:tc>
        <w:tc>
          <w:tcPr>
            <w:tcW w:w="482" w:type="pct"/>
            <w:shd w:val="clear" w:color="auto" w:fill="auto"/>
            <w:noWrap/>
            <w:hideMark/>
          </w:tcPr>
          <w:p w14:paraId="55FEFBB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1,298,467 </w:t>
            </w:r>
          </w:p>
        </w:tc>
        <w:tc>
          <w:tcPr>
            <w:tcW w:w="559" w:type="pct"/>
            <w:shd w:val="clear" w:color="auto" w:fill="auto"/>
            <w:noWrap/>
            <w:hideMark/>
          </w:tcPr>
          <w:p w14:paraId="320C981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1,298,532 </w:t>
            </w:r>
          </w:p>
        </w:tc>
        <w:tc>
          <w:tcPr>
            <w:tcW w:w="508" w:type="pct"/>
            <w:shd w:val="clear" w:color="auto" w:fill="auto"/>
            <w:noWrap/>
            <w:hideMark/>
          </w:tcPr>
          <w:p w14:paraId="2834868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1,298,597 </w:t>
            </w:r>
          </w:p>
        </w:tc>
        <w:tc>
          <w:tcPr>
            <w:tcW w:w="762" w:type="pct"/>
            <w:shd w:val="clear" w:color="auto" w:fill="auto"/>
            <w:noWrap/>
            <w:hideMark/>
          </w:tcPr>
          <w:p w14:paraId="021A85E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28,603,532.66 </w:t>
            </w:r>
          </w:p>
        </w:tc>
        <w:tc>
          <w:tcPr>
            <w:tcW w:w="813" w:type="pct"/>
            <w:shd w:val="clear" w:color="auto" w:fill="auto"/>
            <w:noWrap/>
            <w:hideMark/>
          </w:tcPr>
          <w:p w14:paraId="4E90792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57,209,926.52 </w:t>
            </w:r>
          </w:p>
        </w:tc>
        <w:tc>
          <w:tcPr>
            <w:tcW w:w="835" w:type="pct"/>
            <w:shd w:val="clear" w:color="auto" w:fill="auto"/>
            <w:noWrap/>
            <w:hideMark/>
          </w:tcPr>
          <w:p w14:paraId="17841BB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85,819,181.60 </w:t>
            </w:r>
          </w:p>
        </w:tc>
      </w:tr>
      <w:tr w:rsidR="00A046DD" w:rsidRPr="00532C20" w14:paraId="22DFD319" w14:textId="77777777">
        <w:trPr>
          <w:trHeight w:val="20"/>
        </w:trPr>
        <w:tc>
          <w:tcPr>
            <w:tcW w:w="495" w:type="pct"/>
            <w:shd w:val="clear" w:color="auto" w:fill="D9D9D9"/>
            <w:noWrap/>
            <w:hideMark/>
          </w:tcPr>
          <w:p w14:paraId="1AE5AD00"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Germany</w:t>
            </w:r>
          </w:p>
        </w:tc>
        <w:tc>
          <w:tcPr>
            <w:tcW w:w="546" w:type="pct"/>
            <w:shd w:val="clear" w:color="auto" w:fill="D9D9D9"/>
            <w:noWrap/>
            <w:hideMark/>
          </w:tcPr>
          <w:p w14:paraId="782AA22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46.81</w:t>
            </w:r>
          </w:p>
        </w:tc>
        <w:tc>
          <w:tcPr>
            <w:tcW w:w="482" w:type="pct"/>
            <w:shd w:val="clear" w:color="auto" w:fill="auto"/>
            <w:noWrap/>
            <w:hideMark/>
          </w:tcPr>
          <w:p w14:paraId="169AB09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628,783 </w:t>
            </w:r>
          </w:p>
        </w:tc>
        <w:tc>
          <w:tcPr>
            <w:tcW w:w="559" w:type="pct"/>
            <w:shd w:val="clear" w:color="auto" w:fill="auto"/>
            <w:noWrap/>
            <w:hideMark/>
          </w:tcPr>
          <w:p w14:paraId="4776752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628,815 </w:t>
            </w:r>
          </w:p>
        </w:tc>
        <w:tc>
          <w:tcPr>
            <w:tcW w:w="508" w:type="pct"/>
            <w:shd w:val="clear" w:color="auto" w:fill="auto"/>
            <w:noWrap/>
            <w:hideMark/>
          </w:tcPr>
          <w:p w14:paraId="2678B47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628,846 </w:t>
            </w:r>
          </w:p>
        </w:tc>
        <w:tc>
          <w:tcPr>
            <w:tcW w:w="762" w:type="pct"/>
            <w:shd w:val="clear" w:color="auto" w:fill="auto"/>
            <w:noWrap/>
            <w:hideMark/>
          </w:tcPr>
          <w:p w14:paraId="7FAF9FD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14,715,668.41 </w:t>
            </w:r>
          </w:p>
        </w:tc>
        <w:tc>
          <w:tcPr>
            <w:tcW w:w="813" w:type="pct"/>
            <w:shd w:val="clear" w:color="auto" w:fill="auto"/>
            <w:noWrap/>
            <w:hideMark/>
          </w:tcPr>
          <w:p w14:paraId="0F93721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29,432,808.83 </w:t>
            </w:r>
          </w:p>
        </w:tc>
        <w:tc>
          <w:tcPr>
            <w:tcW w:w="835" w:type="pct"/>
            <w:shd w:val="clear" w:color="auto" w:fill="auto"/>
            <w:noWrap/>
            <w:hideMark/>
          </w:tcPr>
          <w:p w14:paraId="268DA42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44,151,421.25 </w:t>
            </w:r>
          </w:p>
        </w:tc>
      </w:tr>
      <w:tr w:rsidR="00A046DD" w:rsidRPr="00532C20" w14:paraId="37CF45D4" w14:textId="77777777">
        <w:trPr>
          <w:trHeight w:val="20"/>
        </w:trPr>
        <w:tc>
          <w:tcPr>
            <w:tcW w:w="495" w:type="pct"/>
            <w:shd w:val="clear" w:color="auto" w:fill="D9D9D9"/>
            <w:noWrap/>
            <w:hideMark/>
          </w:tcPr>
          <w:p w14:paraId="7FB238E0"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Greece</w:t>
            </w:r>
          </w:p>
        </w:tc>
        <w:tc>
          <w:tcPr>
            <w:tcW w:w="546" w:type="pct"/>
            <w:shd w:val="clear" w:color="auto" w:fill="D9D9D9"/>
            <w:noWrap/>
            <w:hideMark/>
          </w:tcPr>
          <w:p w14:paraId="733CDE8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21.74</w:t>
            </w:r>
          </w:p>
        </w:tc>
        <w:tc>
          <w:tcPr>
            <w:tcW w:w="482" w:type="pct"/>
            <w:shd w:val="clear" w:color="auto" w:fill="auto"/>
            <w:noWrap/>
            <w:hideMark/>
          </w:tcPr>
          <w:p w14:paraId="0133177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6,792 </w:t>
            </w:r>
          </w:p>
        </w:tc>
        <w:tc>
          <w:tcPr>
            <w:tcW w:w="559" w:type="pct"/>
            <w:shd w:val="clear" w:color="auto" w:fill="auto"/>
            <w:noWrap/>
            <w:hideMark/>
          </w:tcPr>
          <w:p w14:paraId="2017683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6,792 </w:t>
            </w:r>
          </w:p>
        </w:tc>
        <w:tc>
          <w:tcPr>
            <w:tcW w:w="508" w:type="pct"/>
            <w:shd w:val="clear" w:color="auto" w:fill="auto"/>
            <w:noWrap/>
            <w:hideMark/>
          </w:tcPr>
          <w:p w14:paraId="3D063D8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6,793 </w:t>
            </w:r>
          </w:p>
        </w:tc>
        <w:tc>
          <w:tcPr>
            <w:tcW w:w="762" w:type="pct"/>
            <w:shd w:val="clear" w:color="auto" w:fill="auto"/>
            <w:noWrap/>
            <w:hideMark/>
          </w:tcPr>
          <w:p w14:paraId="337456A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73,841.50 </w:t>
            </w:r>
          </w:p>
        </w:tc>
        <w:tc>
          <w:tcPr>
            <w:tcW w:w="813" w:type="pct"/>
            <w:shd w:val="clear" w:color="auto" w:fill="auto"/>
            <w:noWrap/>
            <w:hideMark/>
          </w:tcPr>
          <w:p w14:paraId="112E042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147,690.38 </w:t>
            </w:r>
          </w:p>
        </w:tc>
        <w:tc>
          <w:tcPr>
            <w:tcW w:w="835" w:type="pct"/>
            <w:shd w:val="clear" w:color="auto" w:fill="auto"/>
            <w:noWrap/>
            <w:hideMark/>
          </w:tcPr>
          <w:p w14:paraId="2D62868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221,546.65 </w:t>
            </w:r>
          </w:p>
        </w:tc>
      </w:tr>
      <w:tr w:rsidR="00A046DD" w:rsidRPr="00532C20" w14:paraId="474F1A16" w14:textId="77777777">
        <w:trPr>
          <w:trHeight w:val="20"/>
        </w:trPr>
        <w:tc>
          <w:tcPr>
            <w:tcW w:w="495" w:type="pct"/>
            <w:shd w:val="clear" w:color="auto" w:fill="D9D9D9"/>
            <w:noWrap/>
            <w:hideMark/>
          </w:tcPr>
          <w:p w14:paraId="25B6A19F"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Hungary</w:t>
            </w:r>
          </w:p>
        </w:tc>
        <w:tc>
          <w:tcPr>
            <w:tcW w:w="546" w:type="pct"/>
            <w:shd w:val="clear" w:color="auto" w:fill="D9D9D9"/>
            <w:noWrap/>
            <w:hideMark/>
          </w:tcPr>
          <w:p w14:paraId="6A630EC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12.16</w:t>
            </w:r>
          </w:p>
        </w:tc>
        <w:tc>
          <w:tcPr>
            <w:tcW w:w="482" w:type="pct"/>
            <w:shd w:val="clear" w:color="auto" w:fill="auto"/>
            <w:noWrap/>
            <w:hideMark/>
          </w:tcPr>
          <w:p w14:paraId="753BB79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63,888 </w:t>
            </w:r>
          </w:p>
        </w:tc>
        <w:tc>
          <w:tcPr>
            <w:tcW w:w="559" w:type="pct"/>
            <w:shd w:val="clear" w:color="auto" w:fill="auto"/>
            <w:noWrap/>
            <w:hideMark/>
          </w:tcPr>
          <w:p w14:paraId="0EFF3C5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63,891 </w:t>
            </w:r>
          </w:p>
        </w:tc>
        <w:tc>
          <w:tcPr>
            <w:tcW w:w="508" w:type="pct"/>
            <w:shd w:val="clear" w:color="auto" w:fill="auto"/>
            <w:noWrap/>
            <w:hideMark/>
          </w:tcPr>
          <w:p w14:paraId="70BB258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63,894 </w:t>
            </w:r>
          </w:p>
        </w:tc>
        <w:tc>
          <w:tcPr>
            <w:tcW w:w="762" w:type="pct"/>
            <w:shd w:val="clear" w:color="auto" w:fill="auto"/>
            <w:noWrap/>
            <w:hideMark/>
          </w:tcPr>
          <w:p w14:paraId="569BAE4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388,345.59 </w:t>
            </w:r>
          </w:p>
        </w:tc>
        <w:tc>
          <w:tcPr>
            <w:tcW w:w="813" w:type="pct"/>
            <w:shd w:val="clear" w:color="auto" w:fill="auto"/>
            <w:noWrap/>
            <w:hideMark/>
          </w:tcPr>
          <w:p w14:paraId="2D795B3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776,730.02 </w:t>
            </w:r>
          </w:p>
        </w:tc>
        <w:tc>
          <w:tcPr>
            <w:tcW w:w="835" w:type="pct"/>
            <w:shd w:val="clear" w:color="auto" w:fill="auto"/>
            <w:noWrap/>
            <w:hideMark/>
          </w:tcPr>
          <w:p w14:paraId="23AD382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1,165,153.30 </w:t>
            </w:r>
          </w:p>
        </w:tc>
      </w:tr>
      <w:tr w:rsidR="00A046DD" w:rsidRPr="00532C20" w14:paraId="648C9D21" w14:textId="77777777">
        <w:trPr>
          <w:trHeight w:val="20"/>
        </w:trPr>
        <w:tc>
          <w:tcPr>
            <w:tcW w:w="495" w:type="pct"/>
            <w:shd w:val="clear" w:color="auto" w:fill="D9D9D9"/>
            <w:noWrap/>
            <w:hideMark/>
          </w:tcPr>
          <w:p w14:paraId="40A89E80"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Ireland</w:t>
            </w:r>
          </w:p>
        </w:tc>
        <w:tc>
          <w:tcPr>
            <w:tcW w:w="546" w:type="pct"/>
            <w:shd w:val="clear" w:color="auto" w:fill="D9D9D9"/>
            <w:noWrap/>
            <w:hideMark/>
          </w:tcPr>
          <w:p w14:paraId="1FD56C8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48.08</w:t>
            </w:r>
          </w:p>
        </w:tc>
        <w:tc>
          <w:tcPr>
            <w:tcW w:w="482" w:type="pct"/>
            <w:shd w:val="clear" w:color="auto" w:fill="auto"/>
            <w:noWrap/>
            <w:hideMark/>
          </w:tcPr>
          <w:p w14:paraId="59B1D46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33,813 </w:t>
            </w:r>
          </w:p>
        </w:tc>
        <w:tc>
          <w:tcPr>
            <w:tcW w:w="559" w:type="pct"/>
            <w:shd w:val="clear" w:color="auto" w:fill="auto"/>
            <w:noWrap/>
            <w:hideMark/>
          </w:tcPr>
          <w:p w14:paraId="162D7CC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33,815 </w:t>
            </w:r>
          </w:p>
        </w:tc>
        <w:tc>
          <w:tcPr>
            <w:tcW w:w="508" w:type="pct"/>
            <w:shd w:val="clear" w:color="auto" w:fill="auto"/>
            <w:noWrap/>
            <w:hideMark/>
          </w:tcPr>
          <w:p w14:paraId="6A19D66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33,816 </w:t>
            </w:r>
          </w:p>
        </w:tc>
        <w:tc>
          <w:tcPr>
            <w:tcW w:w="762" w:type="pct"/>
            <w:shd w:val="clear" w:color="auto" w:fill="auto"/>
            <w:noWrap/>
            <w:hideMark/>
          </w:tcPr>
          <w:p w14:paraId="7C4433D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812,847.40 </w:t>
            </w:r>
          </w:p>
        </w:tc>
        <w:tc>
          <w:tcPr>
            <w:tcW w:w="813" w:type="pct"/>
            <w:shd w:val="clear" w:color="auto" w:fill="auto"/>
            <w:noWrap/>
            <w:hideMark/>
          </w:tcPr>
          <w:p w14:paraId="5F86B9C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1,625,776.11 </w:t>
            </w:r>
          </w:p>
        </w:tc>
        <w:tc>
          <w:tcPr>
            <w:tcW w:w="835" w:type="pct"/>
            <w:shd w:val="clear" w:color="auto" w:fill="auto"/>
            <w:noWrap/>
            <w:hideMark/>
          </w:tcPr>
          <w:p w14:paraId="4E927B2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2,438,786.13 </w:t>
            </w:r>
          </w:p>
        </w:tc>
      </w:tr>
      <w:tr w:rsidR="00A046DD" w:rsidRPr="00532C20" w14:paraId="21F288BF" w14:textId="77777777">
        <w:trPr>
          <w:trHeight w:val="20"/>
        </w:trPr>
        <w:tc>
          <w:tcPr>
            <w:tcW w:w="495" w:type="pct"/>
            <w:shd w:val="clear" w:color="auto" w:fill="D9D9D9"/>
            <w:noWrap/>
            <w:hideMark/>
          </w:tcPr>
          <w:p w14:paraId="0174D9C7"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Italy</w:t>
            </w:r>
          </w:p>
        </w:tc>
        <w:tc>
          <w:tcPr>
            <w:tcW w:w="546" w:type="pct"/>
            <w:shd w:val="clear" w:color="auto" w:fill="D9D9D9"/>
            <w:noWrap/>
            <w:hideMark/>
          </w:tcPr>
          <w:p w14:paraId="7AD3522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42.39</w:t>
            </w:r>
          </w:p>
        </w:tc>
        <w:tc>
          <w:tcPr>
            <w:tcW w:w="482" w:type="pct"/>
            <w:shd w:val="clear" w:color="auto" w:fill="auto"/>
            <w:noWrap/>
            <w:hideMark/>
          </w:tcPr>
          <w:p w14:paraId="1803781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369,680 </w:t>
            </w:r>
          </w:p>
        </w:tc>
        <w:tc>
          <w:tcPr>
            <w:tcW w:w="559" w:type="pct"/>
            <w:shd w:val="clear" w:color="auto" w:fill="auto"/>
            <w:noWrap/>
            <w:hideMark/>
          </w:tcPr>
          <w:p w14:paraId="5823BCB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369,699 </w:t>
            </w:r>
          </w:p>
        </w:tc>
        <w:tc>
          <w:tcPr>
            <w:tcW w:w="508" w:type="pct"/>
            <w:shd w:val="clear" w:color="auto" w:fill="auto"/>
            <w:noWrap/>
            <w:hideMark/>
          </w:tcPr>
          <w:p w14:paraId="6E0C6E1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369,717 </w:t>
            </w:r>
          </w:p>
        </w:tc>
        <w:tc>
          <w:tcPr>
            <w:tcW w:w="762" w:type="pct"/>
            <w:shd w:val="clear" w:color="auto" w:fill="auto"/>
            <w:noWrap/>
            <w:hideMark/>
          </w:tcPr>
          <w:p w14:paraId="6DE80A2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7,835,048.81 </w:t>
            </w:r>
          </w:p>
        </w:tc>
        <w:tc>
          <w:tcPr>
            <w:tcW w:w="813" w:type="pct"/>
            <w:shd w:val="clear" w:color="auto" w:fill="auto"/>
            <w:noWrap/>
            <w:hideMark/>
          </w:tcPr>
          <w:p w14:paraId="79DA2AA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15,670,881.37 </w:t>
            </w:r>
          </w:p>
        </w:tc>
        <w:tc>
          <w:tcPr>
            <w:tcW w:w="835" w:type="pct"/>
            <w:shd w:val="clear" w:color="auto" w:fill="auto"/>
            <w:noWrap/>
            <w:hideMark/>
          </w:tcPr>
          <w:p w14:paraId="41A2E9D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23,507,497.66 </w:t>
            </w:r>
          </w:p>
        </w:tc>
      </w:tr>
      <w:tr w:rsidR="00A046DD" w:rsidRPr="00532C20" w14:paraId="68CE6C16" w14:textId="77777777">
        <w:trPr>
          <w:trHeight w:val="20"/>
        </w:trPr>
        <w:tc>
          <w:tcPr>
            <w:tcW w:w="495" w:type="pct"/>
            <w:shd w:val="clear" w:color="auto" w:fill="D9D9D9"/>
            <w:noWrap/>
            <w:hideMark/>
          </w:tcPr>
          <w:p w14:paraId="7074C979"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Latvia</w:t>
            </w:r>
          </w:p>
        </w:tc>
        <w:tc>
          <w:tcPr>
            <w:tcW w:w="546" w:type="pct"/>
            <w:shd w:val="clear" w:color="auto" w:fill="D9D9D9"/>
            <w:noWrap/>
            <w:hideMark/>
          </w:tcPr>
          <w:p w14:paraId="4B6208B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13.60</w:t>
            </w:r>
          </w:p>
        </w:tc>
        <w:tc>
          <w:tcPr>
            <w:tcW w:w="482" w:type="pct"/>
            <w:shd w:val="clear" w:color="auto" w:fill="auto"/>
            <w:noWrap/>
            <w:hideMark/>
          </w:tcPr>
          <w:p w14:paraId="0AF6162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11,901 </w:t>
            </w:r>
          </w:p>
        </w:tc>
        <w:tc>
          <w:tcPr>
            <w:tcW w:w="559" w:type="pct"/>
            <w:shd w:val="clear" w:color="auto" w:fill="auto"/>
            <w:noWrap/>
            <w:hideMark/>
          </w:tcPr>
          <w:p w14:paraId="1DBC815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11,902 </w:t>
            </w:r>
          </w:p>
        </w:tc>
        <w:tc>
          <w:tcPr>
            <w:tcW w:w="508" w:type="pct"/>
            <w:shd w:val="clear" w:color="auto" w:fill="auto"/>
            <w:noWrap/>
            <w:hideMark/>
          </w:tcPr>
          <w:p w14:paraId="63BA3EF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11,903 </w:t>
            </w:r>
          </w:p>
        </w:tc>
        <w:tc>
          <w:tcPr>
            <w:tcW w:w="762" w:type="pct"/>
            <w:shd w:val="clear" w:color="auto" w:fill="auto"/>
            <w:noWrap/>
            <w:hideMark/>
          </w:tcPr>
          <w:p w14:paraId="7B0E868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80,955.62 </w:t>
            </w:r>
          </w:p>
        </w:tc>
        <w:tc>
          <w:tcPr>
            <w:tcW w:w="813" w:type="pct"/>
            <w:shd w:val="clear" w:color="auto" w:fill="auto"/>
            <w:noWrap/>
            <w:hideMark/>
          </w:tcPr>
          <w:p w14:paraId="774D0D5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161,919.34 </w:t>
            </w:r>
          </w:p>
        </w:tc>
        <w:tc>
          <w:tcPr>
            <w:tcW w:w="835" w:type="pct"/>
            <w:shd w:val="clear" w:color="auto" w:fill="auto"/>
            <w:noWrap/>
            <w:hideMark/>
          </w:tcPr>
          <w:p w14:paraId="6204AF8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242,891.15 </w:t>
            </w:r>
          </w:p>
        </w:tc>
      </w:tr>
      <w:tr w:rsidR="00A046DD" w:rsidRPr="00532C20" w14:paraId="280C646A" w14:textId="77777777">
        <w:trPr>
          <w:trHeight w:val="20"/>
        </w:trPr>
        <w:tc>
          <w:tcPr>
            <w:tcW w:w="495" w:type="pct"/>
            <w:shd w:val="clear" w:color="auto" w:fill="D9D9D9"/>
            <w:noWrap/>
            <w:hideMark/>
          </w:tcPr>
          <w:p w14:paraId="521581FA"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Lithuania</w:t>
            </w:r>
          </w:p>
        </w:tc>
        <w:tc>
          <w:tcPr>
            <w:tcW w:w="546" w:type="pct"/>
            <w:shd w:val="clear" w:color="auto" w:fill="D9D9D9"/>
            <w:noWrap/>
            <w:hideMark/>
          </w:tcPr>
          <w:p w14:paraId="1E28229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11.81</w:t>
            </w:r>
          </w:p>
        </w:tc>
        <w:tc>
          <w:tcPr>
            <w:tcW w:w="482" w:type="pct"/>
            <w:shd w:val="clear" w:color="auto" w:fill="auto"/>
            <w:noWrap/>
            <w:hideMark/>
          </w:tcPr>
          <w:p w14:paraId="04C3113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14,809 </w:t>
            </w:r>
          </w:p>
        </w:tc>
        <w:tc>
          <w:tcPr>
            <w:tcW w:w="559" w:type="pct"/>
            <w:shd w:val="clear" w:color="auto" w:fill="auto"/>
            <w:noWrap/>
            <w:hideMark/>
          </w:tcPr>
          <w:p w14:paraId="4A77F3B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14,809 </w:t>
            </w:r>
          </w:p>
        </w:tc>
        <w:tc>
          <w:tcPr>
            <w:tcW w:w="508" w:type="pct"/>
            <w:shd w:val="clear" w:color="auto" w:fill="auto"/>
            <w:noWrap/>
            <w:hideMark/>
          </w:tcPr>
          <w:p w14:paraId="76CEC9E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14,810 </w:t>
            </w:r>
          </w:p>
        </w:tc>
        <w:tc>
          <w:tcPr>
            <w:tcW w:w="762" w:type="pct"/>
            <w:shd w:val="clear" w:color="auto" w:fill="auto"/>
            <w:noWrap/>
            <w:hideMark/>
          </w:tcPr>
          <w:p w14:paraId="7624120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87,455.19 </w:t>
            </w:r>
          </w:p>
        </w:tc>
        <w:tc>
          <w:tcPr>
            <w:tcW w:w="813" w:type="pct"/>
            <w:shd w:val="clear" w:color="auto" w:fill="auto"/>
            <w:noWrap/>
            <w:hideMark/>
          </w:tcPr>
          <w:p w14:paraId="60D5A86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174,919.13 </w:t>
            </w:r>
          </w:p>
        </w:tc>
        <w:tc>
          <w:tcPr>
            <w:tcW w:w="835" w:type="pct"/>
            <w:shd w:val="clear" w:color="auto" w:fill="auto"/>
            <w:noWrap/>
            <w:hideMark/>
          </w:tcPr>
          <w:p w14:paraId="7FA996D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262,391.82 </w:t>
            </w:r>
          </w:p>
        </w:tc>
      </w:tr>
      <w:tr w:rsidR="00A046DD" w:rsidRPr="00532C20" w14:paraId="7DAA8987" w14:textId="77777777">
        <w:trPr>
          <w:trHeight w:val="20"/>
        </w:trPr>
        <w:tc>
          <w:tcPr>
            <w:tcW w:w="495" w:type="pct"/>
            <w:shd w:val="clear" w:color="auto" w:fill="D9D9D9"/>
            <w:noWrap/>
            <w:hideMark/>
          </w:tcPr>
          <w:p w14:paraId="7E74F3DF"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Luxembourg</w:t>
            </w:r>
          </w:p>
        </w:tc>
        <w:tc>
          <w:tcPr>
            <w:tcW w:w="546" w:type="pct"/>
            <w:shd w:val="clear" w:color="auto" w:fill="D9D9D9"/>
            <w:noWrap/>
            <w:hideMark/>
          </w:tcPr>
          <w:p w14:paraId="67BCA92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46.01</w:t>
            </w:r>
          </w:p>
        </w:tc>
        <w:tc>
          <w:tcPr>
            <w:tcW w:w="482" w:type="pct"/>
            <w:shd w:val="clear" w:color="auto" w:fill="auto"/>
            <w:noWrap/>
            <w:hideMark/>
          </w:tcPr>
          <w:p w14:paraId="4BB1E97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8,692 </w:t>
            </w:r>
          </w:p>
        </w:tc>
        <w:tc>
          <w:tcPr>
            <w:tcW w:w="559" w:type="pct"/>
            <w:shd w:val="clear" w:color="auto" w:fill="auto"/>
            <w:noWrap/>
            <w:hideMark/>
          </w:tcPr>
          <w:p w14:paraId="0355C80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8,693 </w:t>
            </w:r>
          </w:p>
        </w:tc>
        <w:tc>
          <w:tcPr>
            <w:tcW w:w="508" w:type="pct"/>
            <w:shd w:val="clear" w:color="auto" w:fill="auto"/>
            <w:noWrap/>
            <w:hideMark/>
          </w:tcPr>
          <w:p w14:paraId="0CE799E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8,693 </w:t>
            </w:r>
          </w:p>
        </w:tc>
        <w:tc>
          <w:tcPr>
            <w:tcW w:w="762" w:type="pct"/>
            <w:shd w:val="clear" w:color="auto" w:fill="auto"/>
            <w:noWrap/>
            <w:hideMark/>
          </w:tcPr>
          <w:p w14:paraId="2C08C35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199,973.84 </w:t>
            </w:r>
          </w:p>
        </w:tc>
        <w:tc>
          <w:tcPr>
            <w:tcW w:w="813" w:type="pct"/>
            <w:shd w:val="clear" w:color="auto" w:fill="auto"/>
            <w:noWrap/>
            <w:hideMark/>
          </w:tcPr>
          <w:p w14:paraId="673B64F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399,967.68 </w:t>
            </w:r>
          </w:p>
        </w:tc>
        <w:tc>
          <w:tcPr>
            <w:tcW w:w="835" w:type="pct"/>
            <w:shd w:val="clear" w:color="auto" w:fill="auto"/>
            <w:noWrap/>
            <w:hideMark/>
          </w:tcPr>
          <w:p w14:paraId="6C9DD2B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599,981.52 </w:t>
            </w:r>
          </w:p>
        </w:tc>
      </w:tr>
      <w:tr w:rsidR="00A046DD" w:rsidRPr="00532C20" w14:paraId="2FB7A4A7" w14:textId="77777777">
        <w:trPr>
          <w:trHeight w:val="20"/>
        </w:trPr>
        <w:tc>
          <w:tcPr>
            <w:tcW w:w="495" w:type="pct"/>
            <w:shd w:val="clear" w:color="auto" w:fill="D9D9D9"/>
            <w:noWrap/>
            <w:hideMark/>
          </w:tcPr>
          <w:p w14:paraId="126AFD67"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Malta</w:t>
            </w:r>
          </w:p>
        </w:tc>
        <w:tc>
          <w:tcPr>
            <w:tcW w:w="546" w:type="pct"/>
            <w:shd w:val="clear" w:color="auto" w:fill="D9D9D9"/>
            <w:noWrap/>
            <w:hideMark/>
          </w:tcPr>
          <w:p w14:paraId="2D88078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20.30</w:t>
            </w:r>
          </w:p>
        </w:tc>
        <w:tc>
          <w:tcPr>
            <w:tcW w:w="482" w:type="pct"/>
            <w:shd w:val="clear" w:color="auto" w:fill="auto"/>
            <w:noWrap/>
            <w:hideMark/>
          </w:tcPr>
          <w:p w14:paraId="5696695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2,927 </w:t>
            </w:r>
          </w:p>
        </w:tc>
        <w:tc>
          <w:tcPr>
            <w:tcW w:w="559" w:type="pct"/>
            <w:shd w:val="clear" w:color="auto" w:fill="auto"/>
            <w:noWrap/>
            <w:hideMark/>
          </w:tcPr>
          <w:p w14:paraId="6354F70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2,927 </w:t>
            </w:r>
          </w:p>
        </w:tc>
        <w:tc>
          <w:tcPr>
            <w:tcW w:w="508" w:type="pct"/>
            <w:shd w:val="clear" w:color="auto" w:fill="auto"/>
            <w:noWrap/>
            <w:hideMark/>
          </w:tcPr>
          <w:p w14:paraId="4D95335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2,927 </w:t>
            </w:r>
          </w:p>
        </w:tc>
        <w:tc>
          <w:tcPr>
            <w:tcW w:w="762" w:type="pct"/>
            <w:shd w:val="clear" w:color="auto" w:fill="auto"/>
            <w:noWrap/>
            <w:hideMark/>
          </w:tcPr>
          <w:p w14:paraId="6FDE5C4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29,711.53 </w:t>
            </w:r>
          </w:p>
        </w:tc>
        <w:tc>
          <w:tcPr>
            <w:tcW w:w="813" w:type="pct"/>
            <w:shd w:val="clear" w:color="auto" w:fill="auto"/>
            <w:noWrap/>
            <w:hideMark/>
          </w:tcPr>
          <w:p w14:paraId="4085FB6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59,426.03 </w:t>
            </w:r>
          </w:p>
        </w:tc>
        <w:tc>
          <w:tcPr>
            <w:tcW w:w="835" w:type="pct"/>
            <w:shd w:val="clear" w:color="auto" w:fill="auto"/>
            <w:noWrap/>
            <w:hideMark/>
          </w:tcPr>
          <w:p w14:paraId="6F0BB8A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89,143.51 </w:t>
            </w:r>
          </w:p>
        </w:tc>
      </w:tr>
      <w:tr w:rsidR="00A046DD" w:rsidRPr="00532C20" w14:paraId="1A566A90" w14:textId="77777777">
        <w:trPr>
          <w:trHeight w:val="20"/>
        </w:trPr>
        <w:tc>
          <w:tcPr>
            <w:tcW w:w="495" w:type="pct"/>
            <w:shd w:val="clear" w:color="auto" w:fill="D9D9D9"/>
            <w:noWrap/>
            <w:hideMark/>
          </w:tcPr>
          <w:p w14:paraId="33346752"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Netherlands</w:t>
            </w:r>
          </w:p>
        </w:tc>
        <w:tc>
          <w:tcPr>
            <w:tcW w:w="546" w:type="pct"/>
            <w:shd w:val="clear" w:color="auto" w:fill="D9D9D9"/>
            <w:noWrap/>
            <w:hideMark/>
          </w:tcPr>
          <w:p w14:paraId="7C6C87A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41.76</w:t>
            </w:r>
          </w:p>
        </w:tc>
        <w:tc>
          <w:tcPr>
            <w:tcW w:w="482" w:type="pct"/>
            <w:shd w:val="clear" w:color="auto" w:fill="auto"/>
            <w:noWrap/>
            <w:hideMark/>
          </w:tcPr>
          <w:p w14:paraId="6A9D342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48,439 </w:t>
            </w:r>
          </w:p>
        </w:tc>
        <w:tc>
          <w:tcPr>
            <w:tcW w:w="559" w:type="pct"/>
            <w:shd w:val="clear" w:color="auto" w:fill="auto"/>
            <w:noWrap/>
            <w:hideMark/>
          </w:tcPr>
          <w:p w14:paraId="2BE7EE8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48,442 </w:t>
            </w:r>
          </w:p>
        </w:tc>
        <w:tc>
          <w:tcPr>
            <w:tcW w:w="508" w:type="pct"/>
            <w:shd w:val="clear" w:color="auto" w:fill="auto"/>
            <w:noWrap/>
            <w:hideMark/>
          </w:tcPr>
          <w:p w14:paraId="7BB689C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48,444 </w:t>
            </w:r>
          </w:p>
        </w:tc>
        <w:tc>
          <w:tcPr>
            <w:tcW w:w="762" w:type="pct"/>
            <w:shd w:val="clear" w:color="auto" w:fill="auto"/>
            <w:noWrap/>
            <w:hideMark/>
          </w:tcPr>
          <w:p w14:paraId="24CFB3B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1,011,529.98 </w:t>
            </w:r>
          </w:p>
        </w:tc>
        <w:tc>
          <w:tcPr>
            <w:tcW w:w="813" w:type="pct"/>
            <w:shd w:val="clear" w:color="auto" w:fill="auto"/>
            <w:noWrap/>
            <w:hideMark/>
          </w:tcPr>
          <w:p w14:paraId="4F2E3E0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2,023,161.14 </w:t>
            </w:r>
          </w:p>
        </w:tc>
        <w:tc>
          <w:tcPr>
            <w:tcW w:w="835" w:type="pct"/>
            <w:shd w:val="clear" w:color="auto" w:fill="auto"/>
            <w:noWrap/>
            <w:hideMark/>
          </w:tcPr>
          <w:p w14:paraId="3C0EAED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3,034,893.49 </w:t>
            </w:r>
          </w:p>
        </w:tc>
      </w:tr>
      <w:tr w:rsidR="00A046DD" w:rsidRPr="00532C20" w14:paraId="373A5784" w14:textId="77777777">
        <w:trPr>
          <w:trHeight w:val="20"/>
        </w:trPr>
        <w:tc>
          <w:tcPr>
            <w:tcW w:w="495" w:type="pct"/>
            <w:shd w:val="clear" w:color="auto" w:fill="D9D9D9"/>
            <w:noWrap/>
            <w:hideMark/>
          </w:tcPr>
          <w:p w14:paraId="0042E4D7"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Poland</w:t>
            </w:r>
          </w:p>
        </w:tc>
        <w:tc>
          <w:tcPr>
            <w:tcW w:w="546" w:type="pct"/>
            <w:shd w:val="clear" w:color="auto" w:fill="D9D9D9"/>
            <w:noWrap/>
            <w:hideMark/>
          </w:tcPr>
          <w:p w14:paraId="2151CD5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13.19</w:t>
            </w:r>
          </w:p>
        </w:tc>
        <w:tc>
          <w:tcPr>
            <w:tcW w:w="482" w:type="pct"/>
            <w:shd w:val="clear" w:color="auto" w:fill="auto"/>
            <w:noWrap/>
            <w:hideMark/>
          </w:tcPr>
          <w:p w14:paraId="5A40710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74,155 </w:t>
            </w:r>
          </w:p>
        </w:tc>
        <w:tc>
          <w:tcPr>
            <w:tcW w:w="559" w:type="pct"/>
            <w:shd w:val="clear" w:color="auto" w:fill="auto"/>
            <w:noWrap/>
            <w:hideMark/>
          </w:tcPr>
          <w:p w14:paraId="753C242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74,158 </w:t>
            </w:r>
          </w:p>
        </w:tc>
        <w:tc>
          <w:tcPr>
            <w:tcW w:w="508" w:type="pct"/>
            <w:shd w:val="clear" w:color="auto" w:fill="auto"/>
            <w:noWrap/>
            <w:hideMark/>
          </w:tcPr>
          <w:p w14:paraId="1F42EDF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74,162 </w:t>
            </w:r>
          </w:p>
        </w:tc>
        <w:tc>
          <w:tcPr>
            <w:tcW w:w="762" w:type="pct"/>
            <w:shd w:val="clear" w:color="auto" w:fill="auto"/>
            <w:noWrap/>
            <w:hideMark/>
          </w:tcPr>
          <w:p w14:paraId="65B0E13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489,026.02 </w:t>
            </w:r>
          </w:p>
        </w:tc>
        <w:tc>
          <w:tcPr>
            <w:tcW w:w="813" w:type="pct"/>
            <w:shd w:val="clear" w:color="auto" w:fill="auto"/>
            <w:noWrap/>
            <w:hideMark/>
          </w:tcPr>
          <w:p w14:paraId="4DBDFBA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978,100.96 </w:t>
            </w:r>
          </w:p>
        </w:tc>
        <w:tc>
          <w:tcPr>
            <w:tcW w:w="835" w:type="pct"/>
            <w:shd w:val="clear" w:color="auto" w:fill="auto"/>
            <w:noWrap/>
            <w:hideMark/>
          </w:tcPr>
          <w:p w14:paraId="0C6C711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1,467,224.81 </w:t>
            </w:r>
          </w:p>
        </w:tc>
      </w:tr>
      <w:tr w:rsidR="00A046DD" w:rsidRPr="00532C20" w14:paraId="0D510B6F" w14:textId="77777777">
        <w:trPr>
          <w:trHeight w:val="20"/>
        </w:trPr>
        <w:tc>
          <w:tcPr>
            <w:tcW w:w="495" w:type="pct"/>
            <w:shd w:val="clear" w:color="auto" w:fill="D9D9D9"/>
            <w:noWrap/>
            <w:hideMark/>
          </w:tcPr>
          <w:p w14:paraId="543C4196"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Portugal</w:t>
            </w:r>
          </w:p>
        </w:tc>
        <w:tc>
          <w:tcPr>
            <w:tcW w:w="546" w:type="pct"/>
            <w:shd w:val="clear" w:color="auto" w:fill="D9D9D9"/>
            <w:noWrap/>
            <w:hideMark/>
          </w:tcPr>
          <w:p w14:paraId="26AD012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20.77</w:t>
            </w:r>
          </w:p>
        </w:tc>
        <w:tc>
          <w:tcPr>
            <w:tcW w:w="482" w:type="pct"/>
            <w:shd w:val="clear" w:color="auto" w:fill="auto"/>
            <w:noWrap/>
            <w:hideMark/>
          </w:tcPr>
          <w:p w14:paraId="5611A04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68,744 </w:t>
            </w:r>
          </w:p>
        </w:tc>
        <w:tc>
          <w:tcPr>
            <w:tcW w:w="559" w:type="pct"/>
            <w:shd w:val="clear" w:color="auto" w:fill="auto"/>
            <w:noWrap/>
            <w:hideMark/>
          </w:tcPr>
          <w:p w14:paraId="7D3E108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68,748 </w:t>
            </w:r>
          </w:p>
        </w:tc>
        <w:tc>
          <w:tcPr>
            <w:tcW w:w="508" w:type="pct"/>
            <w:shd w:val="clear" w:color="auto" w:fill="auto"/>
            <w:noWrap/>
            <w:hideMark/>
          </w:tcPr>
          <w:p w14:paraId="510D750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68,751 </w:t>
            </w:r>
          </w:p>
        </w:tc>
        <w:tc>
          <w:tcPr>
            <w:tcW w:w="762" w:type="pct"/>
            <w:shd w:val="clear" w:color="auto" w:fill="auto"/>
            <w:noWrap/>
            <w:hideMark/>
          </w:tcPr>
          <w:p w14:paraId="0C500B0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713,751.15 </w:t>
            </w:r>
          </w:p>
        </w:tc>
        <w:tc>
          <w:tcPr>
            <w:tcW w:w="813" w:type="pct"/>
            <w:shd w:val="clear" w:color="auto" w:fill="auto"/>
            <w:noWrap/>
            <w:hideMark/>
          </w:tcPr>
          <w:p w14:paraId="75C3D1D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1,427,573.69 </w:t>
            </w:r>
          </w:p>
        </w:tc>
        <w:tc>
          <w:tcPr>
            <w:tcW w:w="835" w:type="pct"/>
            <w:shd w:val="clear" w:color="auto" w:fill="auto"/>
            <w:noWrap/>
            <w:hideMark/>
          </w:tcPr>
          <w:p w14:paraId="7455740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2,141,467.64 </w:t>
            </w:r>
          </w:p>
        </w:tc>
      </w:tr>
      <w:tr w:rsidR="00A046DD" w:rsidRPr="00532C20" w14:paraId="68F2AB21" w14:textId="77777777">
        <w:trPr>
          <w:trHeight w:val="20"/>
        </w:trPr>
        <w:tc>
          <w:tcPr>
            <w:tcW w:w="495" w:type="pct"/>
            <w:shd w:val="clear" w:color="auto" w:fill="D9D9D9"/>
            <w:noWrap/>
            <w:hideMark/>
          </w:tcPr>
          <w:p w14:paraId="79306189"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Romania</w:t>
            </w:r>
          </w:p>
        </w:tc>
        <w:tc>
          <w:tcPr>
            <w:tcW w:w="546" w:type="pct"/>
            <w:shd w:val="clear" w:color="auto" w:fill="D9D9D9"/>
            <w:noWrap/>
            <w:hideMark/>
          </w:tcPr>
          <w:p w14:paraId="501AB82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12.92</w:t>
            </w:r>
          </w:p>
        </w:tc>
        <w:tc>
          <w:tcPr>
            <w:tcW w:w="482" w:type="pct"/>
            <w:shd w:val="clear" w:color="auto" w:fill="auto"/>
            <w:noWrap/>
            <w:hideMark/>
          </w:tcPr>
          <w:p w14:paraId="2C17CC3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61,679 </w:t>
            </w:r>
          </w:p>
        </w:tc>
        <w:tc>
          <w:tcPr>
            <w:tcW w:w="559" w:type="pct"/>
            <w:shd w:val="clear" w:color="auto" w:fill="auto"/>
            <w:noWrap/>
            <w:hideMark/>
          </w:tcPr>
          <w:p w14:paraId="28034E1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61,683 </w:t>
            </w:r>
          </w:p>
        </w:tc>
        <w:tc>
          <w:tcPr>
            <w:tcW w:w="508" w:type="pct"/>
            <w:shd w:val="clear" w:color="auto" w:fill="auto"/>
            <w:noWrap/>
            <w:hideMark/>
          </w:tcPr>
          <w:p w14:paraId="21D709C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61,686 </w:t>
            </w:r>
          </w:p>
        </w:tc>
        <w:tc>
          <w:tcPr>
            <w:tcW w:w="762" w:type="pct"/>
            <w:shd w:val="clear" w:color="auto" w:fill="auto"/>
            <w:noWrap/>
            <w:hideMark/>
          </w:tcPr>
          <w:p w14:paraId="519F70E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398,458.73 </w:t>
            </w:r>
          </w:p>
        </w:tc>
        <w:tc>
          <w:tcPr>
            <w:tcW w:w="813" w:type="pct"/>
            <w:shd w:val="clear" w:color="auto" w:fill="auto"/>
            <w:noWrap/>
            <w:hideMark/>
          </w:tcPr>
          <w:p w14:paraId="6CBA7A8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796,957.31 </w:t>
            </w:r>
          </w:p>
        </w:tc>
        <w:tc>
          <w:tcPr>
            <w:tcW w:w="835" w:type="pct"/>
            <w:shd w:val="clear" w:color="auto" w:fill="auto"/>
            <w:noWrap/>
            <w:hideMark/>
          </w:tcPr>
          <w:p w14:paraId="48FB3A2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1,195,495.75 </w:t>
            </w:r>
          </w:p>
        </w:tc>
      </w:tr>
      <w:tr w:rsidR="00A046DD" w:rsidRPr="00532C20" w14:paraId="6F920BD0" w14:textId="77777777">
        <w:trPr>
          <w:trHeight w:val="20"/>
        </w:trPr>
        <w:tc>
          <w:tcPr>
            <w:tcW w:w="495" w:type="pct"/>
            <w:shd w:val="clear" w:color="auto" w:fill="D9D9D9"/>
            <w:noWrap/>
            <w:hideMark/>
          </w:tcPr>
          <w:p w14:paraId="409BFD56"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Slovakia</w:t>
            </w:r>
          </w:p>
        </w:tc>
        <w:tc>
          <w:tcPr>
            <w:tcW w:w="546" w:type="pct"/>
            <w:shd w:val="clear" w:color="auto" w:fill="D9D9D9"/>
            <w:noWrap/>
            <w:hideMark/>
          </w:tcPr>
          <w:p w14:paraId="3B5298B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14.27</w:t>
            </w:r>
          </w:p>
        </w:tc>
        <w:tc>
          <w:tcPr>
            <w:tcW w:w="482" w:type="pct"/>
            <w:shd w:val="clear" w:color="auto" w:fill="auto"/>
            <w:noWrap/>
            <w:hideMark/>
          </w:tcPr>
          <w:p w14:paraId="6ABA9C5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20,192 </w:t>
            </w:r>
          </w:p>
        </w:tc>
        <w:tc>
          <w:tcPr>
            <w:tcW w:w="559" w:type="pct"/>
            <w:shd w:val="clear" w:color="auto" w:fill="auto"/>
            <w:noWrap/>
            <w:hideMark/>
          </w:tcPr>
          <w:p w14:paraId="140BD3D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20,193 </w:t>
            </w:r>
          </w:p>
        </w:tc>
        <w:tc>
          <w:tcPr>
            <w:tcW w:w="508" w:type="pct"/>
            <w:shd w:val="clear" w:color="auto" w:fill="auto"/>
            <w:noWrap/>
            <w:hideMark/>
          </w:tcPr>
          <w:p w14:paraId="24CA1DE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20,194 </w:t>
            </w:r>
          </w:p>
        </w:tc>
        <w:tc>
          <w:tcPr>
            <w:tcW w:w="762" w:type="pct"/>
            <w:shd w:val="clear" w:color="auto" w:fill="auto"/>
            <w:noWrap/>
            <w:hideMark/>
          </w:tcPr>
          <w:p w14:paraId="78EA992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144,105.17 </w:t>
            </w:r>
          </w:p>
        </w:tc>
        <w:tc>
          <w:tcPr>
            <w:tcW w:w="813" w:type="pct"/>
            <w:shd w:val="clear" w:color="auto" w:fill="auto"/>
            <w:noWrap/>
            <w:hideMark/>
          </w:tcPr>
          <w:p w14:paraId="5B029D1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288,224.75 </w:t>
            </w:r>
          </w:p>
        </w:tc>
        <w:tc>
          <w:tcPr>
            <w:tcW w:w="835" w:type="pct"/>
            <w:shd w:val="clear" w:color="auto" w:fill="auto"/>
            <w:noWrap/>
            <w:hideMark/>
          </w:tcPr>
          <w:p w14:paraId="0E51B4C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432,358.75 </w:t>
            </w:r>
          </w:p>
        </w:tc>
      </w:tr>
      <w:tr w:rsidR="00A046DD" w:rsidRPr="00532C20" w14:paraId="67113180" w14:textId="77777777">
        <w:trPr>
          <w:trHeight w:val="20"/>
        </w:trPr>
        <w:tc>
          <w:tcPr>
            <w:tcW w:w="495" w:type="pct"/>
            <w:shd w:val="clear" w:color="auto" w:fill="D9D9D9"/>
            <w:noWrap/>
            <w:hideMark/>
          </w:tcPr>
          <w:p w14:paraId="50DC279E"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Slovenia</w:t>
            </w:r>
          </w:p>
        </w:tc>
        <w:tc>
          <w:tcPr>
            <w:tcW w:w="546" w:type="pct"/>
            <w:shd w:val="clear" w:color="auto" w:fill="D9D9D9"/>
            <w:noWrap/>
            <w:hideMark/>
          </w:tcPr>
          <w:p w14:paraId="28E8B86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19.51</w:t>
            </w:r>
          </w:p>
        </w:tc>
        <w:tc>
          <w:tcPr>
            <w:tcW w:w="482" w:type="pct"/>
            <w:shd w:val="clear" w:color="auto" w:fill="auto"/>
            <w:noWrap/>
            <w:hideMark/>
          </w:tcPr>
          <w:p w14:paraId="02F6553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26,723 </w:t>
            </w:r>
          </w:p>
        </w:tc>
        <w:tc>
          <w:tcPr>
            <w:tcW w:w="559" w:type="pct"/>
            <w:shd w:val="clear" w:color="auto" w:fill="auto"/>
            <w:noWrap/>
            <w:hideMark/>
          </w:tcPr>
          <w:p w14:paraId="3F3072C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26,724 </w:t>
            </w:r>
          </w:p>
        </w:tc>
        <w:tc>
          <w:tcPr>
            <w:tcW w:w="508" w:type="pct"/>
            <w:shd w:val="clear" w:color="auto" w:fill="auto"/>
            <w:noWrap/>
            <w:hideMark/>
          </w:tcPr>
          <w:p w14:paraId="40B10F6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26,726 </w:t>
            </w:r>
          </w:p>
        </w:tc>
        <w:tc>
          <w:tcPr>
            <w:tcW w:w="762" w:type="pct"/>
            <w:shd w:val="clear" w:color="auto" w:fill="auto"/>
            <w:noWrap/>
            <w:hideMark/>
          </w:tcPr>
          <w:p w14:paraId="63A970C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260,668.36 </w:t>
            </w:r>
          </w:p>
        </w:tc>
        <w:tc>
          <w:tcPr>
            <w:tcW w:w="813" w:type="pct"/>
            <w:shd w:val="clear" w:color="auto" w:fill="auto"/>
            <w:noWrap/>
            <w:hideMark/>
          </w:tcPr>
          <w:p w14:paraId="7657AA1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521,362.80 </w:t>
            </w:r>
          </w:p>
        </w:tc>
        <w:tc>
          <w:tcPr>
            <w:tcW w:w="835" w:type="pct"/>
            <w:shd w:val="clear" w:color="auto" w:fill="auto"/>
            <w:noWrap/>
            <w:hideMark/>
          </w:tcPr>
          <w:p w14:paraId="1C25894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782,083.31 </w:t>
            </w:r>
          </w:p>
        </w:tc>
      </w:tr>
      <w:tr w:rsidR="00A046DD" w:rsidRPr="00532C20" w14:paraId="1E436963" w14:textId="77777777">
        <w:trPr>
          <w:trHeight w:val="20"/>
        </w:trPr>
        <w:tc>
          <w:tcPr>
            <w:tcW w:w="495" w:type="pct"/>
            <w:shd w:val="clear" w:color="auto" w:fill="D9D9D9"/>
            <w:noWrap/>
            <w:hideMark/>
          </w:tcPr>
          <w:p w14:paraId="19A4F63C"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Spain</w:t>
            </w:r>
          </w:p>
        </w:tc>
        <w:tc>
          <w:tcPr>
            <w:tcW w:w="546" w:type="pct"/>
            <w:shd w:val="clear" w:color="auto" w:fill="D9D9D9"/>
            <w:noWrap/>
            <w:hideMark/>
          </w:tcPr>
          <w:p w14:paraId="6887238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29.59</w:t>
            </w:r>
          </w:p>
        </w:tc>
        <w:tc>
          <w:tcPr>
            <w:tcW w:w="482" w:type="pct"/>
            <w:shd w:val="clear" w:color="auto" w:fill="auto"/>
            <w:noWrap/>
            <w:hideMark/>
          </w:tcPr>
          <w:p w14:paraId="2369DF3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101,532 </w:t>
            </w:r>
          </w:p>
        </w:tc>
        <w:tc>
          <w:tcPr>
            <w:tcW w:w="559" w:type="pct"/>
            <w:shd w:val="clear" w:color="auto" w:fill="auto"/>
            <w:noWrap/>
            <w:hideMark/>
          </w:tcPr>
          <w:p w14:paraId="2FA3E75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101,537 </w:t>
            </w:r>
          </w:p>
        </w:tc>
        <w:tc>
          <w:tcPr>
            <w:tcW w:w="508" w:type="pct"/>
            <w:shd w:val="clear" w:color="auto" w:fill="auto"/>
            <w:noWrap/>
            <w:hideMark/>
          </w:tcPr>
          <w:p w14:paraId="3DEDCEB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101,542 </w:t>
            </w:r>
          </w:p>
        </w:tc>
        <w:tc>
          <w:tcPr>
            <w:tcW w:w="762" w:type="pct"/>
            <w:shd w:val="clear" w:color="auto" w:fill="auto"/>
            <w:noWrap/>
            <w:hideMark/>
          </w:tcPr>
          <w:p w14:paraId="6720167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1,501,991.15 </w:t>
            </w:r>
          </w:p>
        </w:tc>
        <w:tc>
          <w:tcPr>
            <w:tcW w:w="813" w:type="pct"/>
            <w:shd w:val="clear" w:color="auto" w:fill="auto"/>
            <w:noWrap/>
            <w:hideMark/>
          </w:tcPr>
          <w:p w14:paraId="550B118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3,004,132.55 </w:t>
            </w:r>
          </w:p>
        </w:tc>
        <w:tc>
          <w:tcPr>
            <w:tcW w:w="835" w:type="pct"/>
            <w:shd w:val="clear" w:color="auto" w:fill="auto"/>
            <w:noWrap/>
            <w:hideMark/>
          </w:tcPr>
          <w:p w14:paraId="24AD0FC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4,506,424.19 </w:t>
            </w:r>
          </w:p>
        </w:tc>
      </w:tr>
      <w:tr w:rsidR="00A046DD" w:rsidRPr="00532C20" w14:paraId="29998651" w14:textId="77777777">
        <w:trPr>
          <w:trHeight w:val="20"/>
        </w:trPr>
        <w:tc>
          <w:tcPr>
            <w:tcW w:w="495" w:type="pct"/>
            <w:shd w:val="clear" w:color="auto" w:fill="D9D9D9"/>
            <w:noWrap/>
            <w:hideMark/>
          </w:tcPr>
          <w:p w14:paraId="1B2ECCDD"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Sweden</w:t>
            </w:r>
          </w:p>
        </w:tc>
        <w:tc>
          <w:tcPr>
            <w:tcW w:w="546" w:type="pct"/>
            <w:shd w:val="clear" w:color="auto" w:fill="D9D9D9"/>
            <w:noWrap/>
            <w:hideMark/>
          </w:tcPr>
          <w:p w14:paraId="6D76023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43.10</w:t>
            </w:r>
          </w:p>
        </w:tc>
        <w:tc>
          <w:tcPr>
            <w:tcW w:w="482" w:type="pct"/>
            <w:shd w:val="clear" w:color="auto" w:fill="auto"/>
            <w:noWrap/>
            <w:hideMark/>
          </w:tcPr>
          <w:p w14:paraId="633FE03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103,236 </w:t>
            </w:r>
          </w:p>
        </w:tc>
        <w:tc>
          <w:tcPr>
            <w:tcW w:w="559" w:type="pct"/>
            <w:shd w:val="clear" w:color="auto" w:fill="auto"/>
            <w:noWrap/>
            <w:hideMark/>
          </w:tcPr>
          <w:p w14:paraId="24891E3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103,241</w:t>
            </w:r>
          </w:p>
        </w:tc>
        <w:tc>
          <w:tcPr>
            <w:tcW w:w="508" w:type="pct"/>
            <w:shd w:val="clear" w:color="auto" w:fill="auto"/>
            <w:noWrap/>
            <w:hideMark/>
          </w:tcPr>
          <w:p w14:paraId="3B589FA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103,246 </w:t>
            </w:r>
          </w:p>
        </w:tc>
        <w:tc>
          <w:tcPr>
            <w:tcW w:w="762" w:type="pct"/>
            <w:shd w:val="clear" w:color="auto" w:fill="auto"/>
            <w:noWrap/>
            <w:hideMark/>
          </w:tcPr>
          <w:p w14:paraId="51F0F58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2,224,782.18 </w:t>
            </w:r>
          </w:p>
        </w:tc>
        <w:tc>
          <w:tcPr>
            <w:tcW w:w="813" w:type="pct"/>
            <w:shd w:val="clear" w:color="auto" w:fill="auto"/>
            <w:noWrap/>
            <w:hideMark/>
          </w:tcPr>
          <w:p w14:paraId="2407F03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4,449,786.90 </w:t>
            </w:r>
          </w:p>
        </w:tc>
        <w:tc>
          <w:tcPr>
            <w:tcW w:w="835" w:type="pct"/>
            <w:shd w:val="clear" w:color="auto" w:fill="auto"/>
            <w:noWrap/>
            <w:hideMark/>
          </w:tcPr>
          <w:p w14:paraId="5F9671D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6,675,014.17 </w:t>
            </w:r>
          </w:p>
        </w:tc>
      </w:tr>
      <w:tr w:rsidR="00A046DD" w:rsidRPr="00532C20" w14:paraId="49EB0E98" w14:textId="77777777">
        <w:trPr>
          <w:trHeight w:val="20"/>
        </w:trPr>
        <w:tc>
          <w:tcPr>
            <w:tcW w:w="1041" w:type="pct"/>
            <w:gridSpan w:val="2"/>
            <w:shd w:val="clear" w:color="auto" w:fill="0C4DA2"/>
            <w:noWrap/>
            <w:hideMark/>
          </w:tcPr>
          <w:p w14:paraId="01C2A307" w14:textId="77777777" w:rsidR="00A046DD" w:rsidRPr="00532C20" w:rsidRDefault="00A046DD" w:rsidP="00A046DD">
            <w:pPr>
              <w:spacing w:after="0" w:line="240" w:lineRule="auto"/>
              <w:jc w:val="right"/>
              <w:rPr>
                <w:rFonts w:ascii="Times New Roman" w:eastAsia="Times New Roman" w:hAnsi="Times New Roman" w:cs="Times New Roman"/>
                <w:b/>
                <w:noProof/>
              </w:rPr>
            </w:pPr>
            <w:r w:rsidRPr="00313F32">
              <w:rPr>
                <w:rFonts w:ascii="Times New Roman" w:eastAsia="Times New Roman" w:hAnsi="Times New Roman" w:cs="Times New Roman"/>
                <w:b/>
                <w:noProof/>
                <w:color w:val="FFFFFF" w:themeColor="background1"/>
              </w:rPr>
              <w:t>Total</w:t>
            </w:r>
          </w:p>
        </w:tc>
        <w:tc>
          <w:tcPr>
            <w:tcW w:w="482" w:type="pct"/>
            <w:shd w:val="clear" w:color="auto" w:fill="D9D9D9"/>
            <w:noWrap/>
            <w:hideMark/>
          </w:tcPr>
          <w:p w14:paraId="22F4EF9A" w14:textId="77777777" w:rsidR="00A046DD" w:rsidRPr="00532C20" w:rsidRDefault="00A046DD" w:rsidP="00A046DD">
            <w:pPr>
              <w:spacing w:after="0" w:line="240" w:lineRule="auto"/>
              <w:jc w:val="right"/>
              <w:rPr>
                <w:rFonts w:ascii="Times New Roman" w:eastAsia="Times New Roman" w:hAnsi="Times New Roman" w:cs="Times New Roman"/>
                <w:b/>
                <w:noProof/>
              </w:rPr>
            </w:pPr>
            <w:r w:rsidRPr="00532C20">
              <w:rPr>
                <w:rFonts w:ascii="Times New Roman" w:eastAsia="Times New Roman" w:hAnsi="Times New Roman" w:cs="Times New Roman"/>
                <w:b/>
                <w:noProof/>
              </w:rPr>
              <w:t xml:space="preserve">3,559,770 </w:t>
            </w:r>
          </w:p>
        </w:tc>
        <w:tc>
          <w:tcPr>
            <w:tcW w:w="559" w:type="pct"/>
            <w:shd w:val="clear" w:color="auto" w:fill="D9D9D9"/>
            <w:noWrap/>
            <w:hideMark/>
          </w:tcPr>
          <w:p w14:paraId="2998B94C" w14:textId="77777777" w:rsidR="00A046DD" w:rsidRPr="00532C20" w:rsidRDefault="00A046DD" w:rsidP="00A046DD">
            <w:pPr>
              <w:spacing w:after="0" w:line="240" w:lineRule="auto"/>
              <w:jc w:val="right"/>
              <w:rPr>
                <w:rFonts w:ascii="Times New Roman" w:eastAsia="Times New Roman" w:hAnsi="Times New Roman" w:cs="Times New Roman"/>
                <w:b/>
                <w:noProof/>
              </w:rPr>
            </w:pPr>
            <w:r w:rsidRPr="00532C20">
              <w:rPr>
                <w:rFonts w:ascii="Times New Roman" w:eastAsia="Times New Roman" w:hAnsi="Times New Roman" w:cs="Times New Roman"/>
                <w:b/>
                <w:noProof/>
              </w:rPr>
              <w:t xml:space="preserve">3,559,948 </w:t>
            </w:r>
          </w:p>
        </w:tc>
        <w:tc>
          <w:tcPr>
            <w:tcW w:w="508" w:type="pct"/>
            <w:shd w:val="clear" w:color="auto" w:fill="D9D9D9"/>
            <w:noWrap/>
            <w:hideMark/>
          </w:tcPr>
          <w:p w14:paraId="630954A0" w14:textId="77777777" w:rsidR="00A046DD" w:rsidRPr="00532C20" w:rsidRDefault="00A046DD" w:rsidP="00A046DD">
            <w:pPr>
              <w:spacing w:after="0" w:line="240" w:lineRule="auto"/>
              <w:jc w:val="right"/>
              <w:rPr>
                <w:rFonts w:ascii="Times New Roman" w:eastAsia="Times New Roman" w:hAnsi="Times New Roman" w:cs="Times New Roman"/>
                <w:b/>
                <w:noProof/>
              </w:rPr>
            </w:pPr>
            <w:r w:rsidRPr="00532C20">
              <w:rPr>
                <w:rFonts w:ascii="Times New Roman" w:eastAsia="Times New Roman" w:hAnsi="Times New Roman" w:cs="Times New Roman"/>
                <w:b/>
                <w:noProof/>
              </w:rPr>
              <w:t xml:space="preserve">3,560,126 </w:t>
            </w:r>
          </w:p>
        </w:tc>
        <w:tc>
          <w:tcPr>
            <w:tcW w:w="762" w:type="pct"/>
            <w:shd w:val="clear" w:color="auto" w:fill="D9D9D9"/>
            <w:noWrap/>
            <w:hideMark/>
          </w:tcPr>
          <w:p w14:paraId="78006AEB" w14:textId="77777777" w:rsidR="00A046DD" w:rsidRPr="00532C20" w:rsidRDefault="00A046DD" w:rsidP="00A046DD">
            <w:pPr>
              <w:spacing w:after="0" w:line="240" w:lineRule="auto"/>
              <w:jc w:val="right"/>
              <w:rPr>
                <w:rFonts w:ascii="Times New Roman" w:eastAsia="Times New Roman" w:hAnsi="Times New Roman" w:cs="Times New Roman"/>
                <w:b/>
                <w:noProof/>
              </w:rPr>
            </w:pPr>
            <w:r w:rsidRPr="00532C20">
              <w:rPr>
                <w:rFonts w:ascii="Times New Roman" w:eastAsia="Times New Roman" w:hAnsi="Times New Roman" w:cs="Times New Roman"/>
                <w:b/>
                <w:noProof/>
              </w:rPr>
              <w:t xml:space="preserve"> 71,165,916.06 </w:t>
            </w:r>
          </w:p>
        </w:tc>
        <w:tc>
          <w:tcPr>
            <w:tcW w:w="813" w:type="pct"/>
            <w:shd w:val="clear" w:color="auto" w:fill="D9D9D9"/>
            <w:noWrap/>
            <w:hideMark/>
          </w:tcPr>
          <w:p w14:paraId="4312AFAF" w14:textId="77777777" w:rsidR="00A046DD" w:rsidRPr="00532C20" w:rsidRDefault="00A046DD" w:rsidP="00A046DD">
            <w:pPr>
              <w:spacing w:after="0" w:line="240" w:lineRule="auto"/>
              <w:jc w:val="right"/>
              <w:rPr>
                <w:rFonts w:ascii="Times New Roman" w:eastAsia="Times New Roman" w:hAnsi="Times New Roman" w:cs="Times New Roman"/>
                <w:b/>
                <w:noProof/>
              </w:rPr>
            </w:pPr>
            <w:r w:rsidRPr="00532C20">
              <w:rPr>
                <w:rFonts w:ascii="Times New Roman" w:eastAsia="Times New Roman" w:hAnsi="Times New Roman" w:cs="Times New Roman"/>
                <w:b/>
                <w:noProof/>
              </w:rPr>
              <w:t xml:space="preserve"> 142,338,950.84 </w:t>
            </w:r>
          </w:p>
        </w:tc>
        <w:tc>
          <w:tcPr>
            <w:tcW w:w="835" w:type="pct"/>
            <w:shd w:val="clear" w:color="auto" w:fill="D9D9D9"/>
            <w:noWrap/>
            <w:hideMark/>
          </w:tcPr>
          <w:p w14:paraId="3EEA9F38" w14:textId="77777777" w:rsidR="00A046DD" w:rsidRPr="00532C20" w:rsidRDefault="00A046DD" w:rsidP="00A046DD">
            <w:pPr>
              <w:spacing w:after="0" w:line="240" w:lineRule="auto"/>
              <w:jc w:val="right"/>
              <w:rPr>
                <w:rFonts w:ascii="Times New Roman" w:eastAsia="Times New Roman" w:hAnsi="Times New Roman" w:cs="Times New Roman"/>
                <w:b/>
                <w:noProof/>
              </w:rPr>
            </w:pPr>
            <w:r w:rsidRPr="00532C20">
              <w:rPr>
                <w:rFonts w:ascii="Times New Roman" w:eastAsia="Times New Roman" w:hAnsi="Times New Roman" w:cs="Times New Roman"/>
                <w:b/>
                <w:noProof/>
              </w:rPr>
              <w:t xml:space="preserve"> 213,519,104.36 </w:t>
            </w:r>
          </w:p>
        </w:tc>
      </w:tr>
    </w:tbl>
    <w:p w14:paraId="599BC298"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833C4">
        <w:rPr>
          <w:rFonts w:ascii="Times New Roman" w:eastAsia="Times New Roman" w:hAnsi="Times New Roman" w:cs="Times New Roman"/>
          <w:noProof/>
          <w:sz w:val="20"/>
          <w:szCs w:val="20"/>
          <w:vertAlign w:val="superscript"/>
        </w:rPr>
        <w:t xml:space="preserve">(1) </w:t>
      </w:r>
      <w:r w:rsidRPr="005833C4">
        <w:rPr>
          <w:rFonts w:ascii="Times New Roman" w:eastAsia="Times New Roman" w:hAnsi="Times New Roman" w:cs="Times New Roman"/>
          <w:noProof/>
          <w:sz w:val="20"/>
          <w:szCs w:val="20"/>
        </w:rPr>
        <w:t>EU wage tariffs: Hourly earnings 2018 plus non-wage labour costs (NWLC) and 25% overheads (OH), per Member State and ISCO (International Standard Classification of Occupations) category, last updated January 2021. ISCO 2 covers professionals, including legal, social and cultural professionals.</w:t>
      </w:r>
      <w:r w:rsidRPr="00532C20">
        <w:rPr>
          <w:rFonts w:ascii="Times New Roman" w:eastAsia="Times New Roman" w:hAnsi="Times New Roman" w:cs="Times New Roman"/>
          <w:noProof/>
          <w:sz w:val="24"/>
          <w:szCs w:val="24"/>
        </w:rPr>
        <w:br w:type="page"/>
      </w:r>
    </w:p>
    <w:p w14:paraId="47853834"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sectPr w:rsidR="00A046DD" w:rsidRPr="00532C20" w:rsidSect="00601023">
          <w:headerReference w:type="even" r:id="rId57"/>
          <w:headerReference w:type="default" r:id="rId58"/>
          <w:footerReference w:type="even" r:id="rId59"/>
          <w:footerReference w:type="default" r:id="rId60"/>
          <w:headerReference w:type="first" r:id="rId61"/>
          <w:footerReference w:type="first" r:id="rId62"/>
          <w:pgSz w:w="16838" w:h="11906" w:orient="landscape" w:code="9"/>
          <w:pgMar w:top="873" w:right="873" w:bottom="873" w:left="873" w:header="567" w:footer="454" w:gutter="0"/>
          <w:cols w:space="708"/>
          <w:docGrid w:linePitch="360"/>
        </w:sectPr>
      </w:pPr>
    </w:p>
    <w:p w14:paraId="5CCA0DD0" w14:textId="66858081"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bookmarkStart w:id="1175" w:name="_Ref146901821"/>
      <w:bookmarkStart w:id="1176" w:name="_Ref131324342"/>
      <w:bookmarkStart w:id="1177" w:name="_Toc140752081"/>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23</w:t>
      </w:r>
      <w:r w:rsidRPr="00532C20">
        <w:rPr>
          <w:rFonts w:ascii="Times New Roman" w:eastAsia="Times New Roman" w:hAnsi="Times New Roman" w:cs="Times New Roman"/>
          <w:b/>
          <w:noProof/>
          <w:sz w:val="24"/>
          <w:szCs w:val="24"/>
        </w:rPr>
        <w:fldChar w:fldCharType="end"/>
      </w:r>
      <w:bookmarkEnd w:id="1175"/>
      <w:r w:rsidRPr="00532C20">
        <w:rPr>
          <w:rFonts w:ascii="Times New Roman" w:eastAsia="Times New Roman" w:hAnsi="Times New Roman" w:cs="Times New Roman"/>
          <w:b/>
          <w:noProof/>
          <w:sz w:val="24"/>
          <w:szCs w:val="24"/>
        </w:rPr>
        <w:t>: Estimated extended familiarisation costs: Interest representation entities within scope of the proposed intervention</w:t>
      </w:r>
      <w:bookmarkEnd w:id="1176"/>
      <w:bookmarkEnd w:id="11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650"/>
        <w:gridCol w:w="1451"/>
        <w:gridCol w:w="1686"/>
        <w:gridCol w:w="1535"/>
        <w:gridCol w:w="2148"/>
        <w:gridCol w:w="2911"/>
        <w:gridCol w:w="2208"/>
      </w:tblGrid>
      <w:tr w:rsidR="00A046DD" w:rsidRPr="00532C20" w14:paraId="4889A998" w14:textId="77777777">
        <w:trPr>
          <w:trHeight w:val="20"/>
        </w:trPr>
        <w:tc>
          <w:tcPr>
            <w:tcW w:w="495" w:type="pct"/>
            <w:vMerge w:val="restart"/>
            <w:shd w:val="clear" w:color="auto" w:fill="002060"/>
            <w:noWrap/>
          </w:tcPr>
          <w:p w14:paraId="4E80C61E"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Country</w:t>
            </w:r>
          </w:p>
        </w:tc>
        <w:tc>
          <w:tcPr>
            <w:tcW w:w="547" w:type="pct"/>
            <w:vMerge w:val="restart"/>
            <w:shd w:val="clear" w:color="auto" w:fill="002060"/>
            <w:noWrap/>
          </w:tcPr>
          <w:p w14:paraId="3D3D59C5"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ISCO 2 income:</w:t>
            </w:r>
          </w:p>
          <w:p w14:paraId="75A9B17B"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EUR per hour</w:t>
            </w:r>
            <w:r w:rsidRPr="00313F32">
              <w:rPr>
                <w:rFonts w:ascii="Times New Roman" w:eastAsia="Times New Roman" w:hAnsi="Times New Roman" w:cs="Times New Roman"/>
                <w:b/>
                <w:noProof/>
                <w:color w:val="FFFFFF" w:themeColor="background1"/>
                <w:vertAlign w:val="superscript"/>
              </w:rPr>
              <w:t>(1)</w:t>
            </w:r>
          </w:p>
        </w:tc>
        <w:tc>
          <w:tcPr>
            <w:tcW w:w="1549" w:type="pct"/>
            <w:gridSpan w:val="3"/>
            <w:shd w:val="clear" w:color="auto" w:fill="002060"/>
            <w:noWrap/>
          </w:tcPr>
          <w:p w14:paraId="0A0AB080"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Number of entities (</w:t>
            </w:r>
            <w:r w:rsidRPr="00313F32">
              <w:rPr>
                <w:rFonts w:ascii="Times New Roman" w:eastAsia="Times New Roman" w:hAnsi="Times New Roman" w:cs="Times New Roman"/>
                <w:b/>
                <w:i/>
                <w:noProof/>
                <w:color w:val="FFFFFF" w:themeColor="background1"/>
              </w:rPr>
              <w:t>total interest representatives – non-EU/EEA interest representatives</w:t>
            </w:r>
            <w:r w:rsidRPr="00313F32">
              <w:rPr>
                <w:rFonts w:ascii="Times New Roman" w:eastAsia="Times New Roman" w:hAnsi="Times New Roman" w:cs="Times New Roman"/>
                <w:b/>
                <w:noProof/>
                <w:color w:val="FFFFFF" w:themeColor="background1"/>
              </w:rPr>
              <w:t>)</w:t>
            </w:r>
          </w:p>
        </w:tc>
        <w:tc>
          <w:tcPr>
            <w:tcW w:w="2409" w:type="pct"/>
            <w:gridSpan w:val="3"/>
            <w:shd w:val="clear" w:color="auto" w:fill="002060"/>
            <w:noWrap/>
          </w:tcPr>
          <w:p w14:paraId="5721D8DE"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Cost scenarios in EUR (</w:t>
            </w:r>
            <w:r w:rsidRPr="00313F32">
              <w:rPr>
                <w:rFonts w:ascii="Times New Roman" w:eastAsia="Times New Roman" w:hAnsi="Times New Roman" w:cs="Times New Roman"/>
                <w:b/>
                <w:i/>
                <w:noProof/>
                <w:color w:val="FFFFFF" w:themeColor="background1"/>
              </w:rPr>
              <w:t>number of entities * time spent * ISCO 2 income</w:t>
            </w:r>
            <w:r w:rsidRPr="00313F32">
              <w:rPr>
                <w:rFonts w:ascii="Times New Roman" w:eastAsia="Times New Roman" w:hAnsi="Times New Roman" w:cs="Times New Roman"/>
                <w:b/>
                <w:noProof/>
                <w:color w:val="FFFFFF" w:themeColor="background1"/>
              </w:rPr>
              <w:t>)</w:t>
            </w:r>
          </w:p>
        </w:tc>
      </w:tr>
      <w:tr w:rsidR="00A046DD" w:rsidRPr="00532C20" w14:paraId="7BBDCF36" w14:textId="77777777">
        <w:trPr>
          <w:trHeight w:val="20"/>
        </w:trPr>
        <w:tc>
          <w:tcPr>
            <w:tcW w:w="495" w:type="pct"/>
            <w:vMerge/>
            <w:shd w:val="clear" w:color="000000" w:fill="DCE6F1"/>
            <w:noWrap/>
          </w:tcPr>
          <w:p w14:paraId="643C0A1A"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p>
        </w:tc>
        <w:tc>
          <w:tcPr>
            <w:tcW w:w="547" w:type="pct"/>
            <w:vMerge/>
            <w:shd w:val="clear" w:color="auto" w:fill="auto"/>
            <w:noWrap/>
          </w:tcPr>
          <w:p w14:paraId="6E5C7823"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p>
        </w:tc>
        <w:tc>
          <w:tcPr>
            <w:tcW w:w="481" w:type="pct"/>
            <w:shd w:val="clear" w:color="auto" w:fill="0C4DA2"/>
            <w:noWrap/>
          </w:tcPr>
          <w:p w14:paraId="6C79B7BF"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Low scenario</w:t>
            </w:r>
          </w:p>
        </w:tc>
        <w:tc>
          <w:tcPr>
            <w:tcW w:w="559" w:type="pct"/>
            <w:shd w:val="clear" w:color="auto" w:fill="0C4DA2"/>
            <w:noWrap/>
          </w:tcPr>
          <w:p w14:paraId="148AFCEC"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Middle scenario</w:t>
            </w:r>
          </w:p>
        </w:tc>
        <w:tc>
          <w:tcPr>
            <w:tcW w:w="509" w:type="pct"/>
            <w:shd w:val="clear" w:color="auto" w:fill="0C4DA2"/>
            <w:noWrap/>
          </w:tcPr>
          <w:p w14:paraId="331597D1"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High scenario</w:t>
            </w:r>
          </w:p>
        </w:tc>
        <w:tc>
          <w:tcPr>
            <w:tcW w:w="712" w:type="pct"/>
            <w:shd w:val="clear" w:color="auto" w:fill="0C4DA2"/>
            <w:noWrap/>
          </w:tcPr>
          <w:p w14:paraId="5E6DFB99"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Low scenario (2 hrs)</w:t>
            </w:r>
          </w:p>
        </w:tc>
        <w:tc>
          <w:tcPr>
            <w:tcW w:w="965" w:type="pct"/>
            <w:shd w:val="clear" w:color="auto" w:fill="0C4DA2"/>
            <w:noWrap/>
          </w:tcPr>
          <w:p w14:paraId="3C5A1225"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Middle scenario (4 hrs)</w:t>
            </w:r>
          </w:p>
        </w:tc>
        <w:tc>
          <w:tcPr>
            <w:tcW w:w="732" w:type="pct"/>
            <w:shd w:val="clear" w:color="auto" w:fill="0C4DA2"/>
            <w:noWrap/>
          </w:tcPr>
          <w:p w14:paraId="6676EF0E"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High scenario (6 hrs)</w:t>
            </w:r>
          </w:p>
        </w:tc>
      </w:tr>
      <w:tr w:rsidR="00A046DD" w:rsidRPr="00532C20" w14:paraId="73D21631" w14:textId="77777777">
        <w:trPr>
          <w:trHeight w:val="20"/>
        </w:trPr>
        <w:tc>
          <w:tcPr>
            <w:tcW w:w="495" w:type="pct"/>
            <w:shd w:val="clear" w:color="auto" w:fill="D9D9D9"/>
            <w:noWrap/>
            <w:hideMark/>
          </w:tcPr>
          <w:p w14:paraId="3BC356BC"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Austria</w:t>
            </w:r>
          </w:p>
        </w:tc>
        <w:tc>
          <w:tcPr>
            <w:tcW w:w="547" w:type="pct"/>
            <w:shd w:val="clear" w:color="auto" w:fill="D9D9D9"/>
            <w:noWrap/>
            <w:hideMark/>
          </w:tcPr>
          <w:p w14:paraId="4FE3378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42.18</w:t>
            </w:r>
          </w:p>
        </w:tc>
        <w:tc>
          <w:tcPr>
            <w:tcW w:w="481" w:type="pct"/>
            <w:shd w:val="clear" w:color="auto" w:fill="auto"/>
            <w:noWrap/>
            <w:hideMark/>
          </w:tcPr>
          <w:p w14:paraId="5AD6DA1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24 </w:t>
            </w:r>
          </w:p>
        </w:tc>
        <w:tc>
          <w:tcPr>
            <w:tcW w:w="559" w:type="pct"/>
            <w:shd w:val="clear" w:color="auto" w:fill="auto"/>
            <w:noWrap/>
            <w:hideMark/>
          </w:tcPr>
          <w:p w14:paraId="7F7A65B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30 </w:t>
            </w:r>
          </w:p>
        </w:tc>
        <w:tc>
          <w:tcPr>
            <w:tcW w:w="509" w:type="pct"/>
            <w:shd w:val="clear" w:color="auto" w:fill="auto"/>
            <w:noWrap/>
            <w:hideMark/>
          </w:tcPr>
          <w:p w14:paraId="159D463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35 </w:t>
            </w:r>
          </w:p>
        </w:tc>
        <w:tc>
          <w:tcPr>
            <w:tcW w:w="712" w:type="pct"/>
            <w:shd w:val="clear" w:color="auto" w:fill="auto"/>
            <w:noWrap/>
            <w:hideMark/>
          </w:tcPr>
          <w:p w14:paraId="4D9BAE4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1,995.57 </w:t>
            </w:r>
          </w:p>
        </w:tc>
        <w:tc>
          <w:tcPr>
            <w:tcW w:w="965" w:type="pct"/>
            <w:shd w:val="clear" w:color="auto" w:fill="auto"/>
            <w:noWrap/>
            <w:hideMark/>
          </w:tcPr>
          <w:p w14:paraId="6879D51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4,988.93 </w:t>
            </w:r>
          </w:p>
        </w:tc>
        <w:tc>
          <w:tcPr>
            <w:tcW w:w="732" w:type="pct"/>
            <w:shd w:val="clear" w:color="auto" w:fill="auto"/>
            <w:noWrap/>
            <w:hideMark/>
          </w:tcPr>
          <w:p w14:paraId="24F205B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8,980.08 </w:t>
            </w:r>
          </w:p>
        </w:tc>
      </w:tr>
      <w:tr w:rsidR="00A046DD" w:rsidRPr="00532C20" w14:paraId="7B8D9F51" w14:textId="77777777">
        <w:trPr>
          <w:trHeight w:val="20"/>
        </w:trPr>
        <w:tc>
          <w:tcPr>
            <w:tcW w:w="495" w:type="pct"/>
            <w:shd w:val="clear" w:color="auto" w:fill="D9D9D9"/>
            <w:noWrap/>
            <w:hideMark/>
          </w:tcPr>
          <w:p w14:paraId="5DAA5866"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Belgium</w:t>
            </w:r>
          </w:p>
        </w:tc>
        <w:tc>
          <w:tcPr>
            <w:tcW w:w="547" w:type="pct"/>
            <w:shd w:val="clear" w:color="auto" w:fill="D9D9D9"/>
            <w:noWrap/>
            <w:hideMark/>
          </w:tcPr>
          <w:p w14:paraId="6B0E31F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50.42</w:t>
            </w:r>
          </w:p>
        </w:tc>
        <w:tc>
          <w:tcPr>
            <w:tcW w:w="481" w:type="pct"/>
            <w:shd w:val="clear" w:color="auto" w:fill="auto"/>
            <w:noWrap/>
            <w:hideMark/>
          </w:tcPr>
          <w:p w14:paraId="1A9FED0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23 </w:t>
            </w:r>
          </w:p>
        </w:tc>
        <w:tc>
          <w:tcPr>
            <w:tcW w:w="559" w:type="pct"/>
            <w:shd w:val="clear" w:color="auto" w:fill="auto"/>
            <w:noWrap/>
            <w:hideMark/>
          </w:tcPr>
          <w:p w14:paraId="0455222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29 </w:t>
            </w:r>
          </w:p>
        </w:tc>
        <w:tc>
          <w:tcPr>
            <w:tcW w:w="509" w:type="pct"/>
            <w:shd w:val="clear" w:color="auto" w:fill="auto"/>
            <w:noWrap/>
            <w:hideMark/>
          </w:tcPr>
          <w:p w14:paraId="510BE84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35 </w:t>
            </w:r>
          </w:p>
        </w:tc>
        <w:tc>
          <w:tcPr>
            <w:tcW w:w="712" w:type="pct"/>
            <w:shd w:val="clear" w:color="auto" w:fill="auto"/>
            <w:noWrap/>
            <w:hideMark/>
          </w:tcPr>
          <w:p w14:paraId="50DA581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2,368.88 </w:t>
            </w:r>
          </w:p>
        </w:tc>
        <w:tc>
          <w:tcPr>
            <w:tcW w:w="965" w:type="pct"/>
            <w:shd w:val="clear" w:color="auto" w:fill="auto"/>
            <w:noWrap/>
            <w:hideMark/>
          </w:tcPr>
          <w:p w14:paraId="6372269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5,922.20 </w:t>
            </w:r>
          </w:p>
        </w:tc>
        <w:tc>
          <w:tcPr>
            <w:tcW w:w="732" w:type="pct"/>
            <w:shd w:val="clear" w:color="auto" w:fill="auto"/>
            <w:noWrap/>
            <w:hideMark/>
          </w:tcPr>
          <w:p w14:paraId="2D3F96E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10,659.95 </w:t>
            </w:r>
          </w:p>
        </w:tc>
      </w:tr>
      <w:tr w:rsidR="00A046DD" w:rsidRPr="00532C20" w14:paraId="6061F574" w14:textId="77777777">
        <w:trPr>
          <w:trHeight w:val="20"/>
        </w:trPr>
        <w:tc>
          <w:tcPr>
            <w:tcW w:w="495" w:type="pct"/>
            <w:shd w:val="clear" w:color="auto" w:fill="D9D9D9"/>
            <w:noWrap/>
            <w:hideMark/>
          </w:tcPr>
          <w:p w14:paraId="0325E07D"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Bulgaria</w:t>
            </w:r>
          </w:p>
        </w:tc>
        <w:tc>
          <w:tcPr>
            <w:tcW w:w="547" w:type="pct"/>
            <w:shd w:val="clear" w:color="auto" w:fill="D9D9D9"/>
            <w:noWrap/>
            <w:hideMark/>
          </w:tcPr>
          <w:p w14:paraId="5F21CAD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7.25</w:t>
            </w:r>
          </w:p>
        </w:tc>
        <w:tc>
          <w:tcPr>
            <w:tcW w:w="481" w:type="pct"/>
            <w:shd w:val="clear" w:color="auto" w:fill="auto"/>
            <w:noWrap/>
            <w:hideMark/>
          </w:tcPr>
          <w:p w14:paraId="2E6F732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 </w:t>
            </w:r>
          </w:p>
        </w:tc>
        <w:tc>
          <w:tcPr>
            <w:tcW w:w="559" w:type="pct"/>
            <w:shd w:val="clear" w:color="auto" w:fill="auto"/>
            <w:noWrap/>
            <w:hideMark/>
          </w:tcPr>
          <w:p w14:paraId="04A0550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 </w:t>
            </w:r>
          </w:p>
        </w:tc>
        <w:tc>
          <w:tcPr>
            <w:tcW w:w="509" w:type="pct"/>
            <w:shd w:val="clear" w:color="auto" w:fill="auto"/>
            <w:noWrap/>
            <w:hideMark/>
          </w:tcPr>
          <w:p w14:paraId="15EA2B6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 </w:t>
            </w:r>
          </w:p>
        </w:tc>
        <w:tc>
          <w:tcPr>
            <w:tcW w:w="712" w:type="pct"/>
            <w:shd w:val="clear" w:color="auto" w:fill="auto"/>
            <w:noWrap/>
            <w:hideMark/>
          </w:tcPr>
          <w:p w14:paraId="538F198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41.14 </w:t>
            </w:r>
          </w:p>
        </w:tc>
        <w:tc>
          <w:tcPr>
            <w:tcW w:w="965" w:type="pct"/>
            <w:shd w:val="clear" w:color="auto" w:fill="auto"/>
            <w:noWrap/>
            <w:hideMark/>
          </w:tcPr>
          <w:p w14:paraId="33D3427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102.85 </w:t>
            </w:r>
          </w:p>
        </w:tc>
        <w:tc>
          <w:tcPr>
            <w:tcW w:w="732" w:type="pct"/>
            <w:shd w:val="clear" w:color="auto" w:fill="auto"/>
            <w:noWrap/>
            <w:hideMark/>
          </w:tcPr>
          <w:p w14:paraId="4AA96A5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185.13 </w:t>
            </w:r>
          </w:p>
        </w:tc>
      </w:tr>
      <w:tr w:rsidR="00A046DD" w:rsidRPr="00532C20" w14:paraId="1D83B715" w14:textId="77777777">
        <w:trPr>
          <w:trHeight w:val="20"/>
        </w:trPr>
        <w:tc>
          <w:tcPr>
            <w:tcW w:w="495" w:type="pct"/>
            <w:shd w:val="clear" w:color="auto" w:fill="D9D9D9"/>
            <w:noWrap/>
            <w:hideMark/>
          </w:tcPr>
          <w:p w14:paraId="29125F86"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Croatia</w:t>
            </w:r>
          </w:p>
        </w:tc>
        <w:tc>
          <w:tcPr>
            <w:tcW w:w="547" w:type="pct"/>
            <w:shd w:val="clear" w:color="auto" w:fill="D9D9D9"/>
            <w:noWrap/>
            <w:hideMark/>
          </w:tcPr>
          <w:p w14:paraId="40E75F3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13.62</w:t>
            </w:r>
          </w:p>
        </w:tc>
        <w:tc>
          <w:tcPr>
            <w:tcW w:w="481" w:type="pct"/>
            <w:shd w:val="clear" w:color="auto" w:fill="auto"/>
            <w:noWrap/>
            <w:hideMark/>
          </w:tcPr>
          <w:p w14:paraId="073D6C8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6 </w:t>
            </w:r>
          </w:p>
        </w:tc>
        <w:tc>
          <w:tcPr>
            <w:tcW w:w="559" w:type="pct"/>
            <w:shd w:val="clear" w:color="auto" w:fill="auto"/>
            <w:noWrap/>
            <w:hideMark/>
          </w:tcPr>
          <w:p w14:paraId="5A79F1F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 </w:t>
            </w:r>
          </w:p>
        </w:tc>
        <w:tc>
          <w:tcPr>
            <w:tcW w:w="509" w:type="pct"/>
            <w:shd w:val="clear" w:color="auto" w:fill="auto"/>
            <w:noWrap/>
            <w:hideMark/>
          </w:tcPr>
          <w:p w14:paraId="1344E9B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 </w:t>
            </w:r>
          </w:p>
        </w:tc>
        <w:tc>
          <w:tcPr>
            <w:tcW w:w="712" w:type="pct"/>
            <w:shd w:val="clear" w:color="auto" w:fill="auto"/>
            <w:noWrap/>
            <w:hideMark/>
          </w:tcPr>
          <w:p w14:paraId="55C7393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154.16 </w:t>
            </w:r>
          </w:p>
        </w:tc>
        <w:tc>
          <w:tcPr>
            <w:tcW w:w="965" w:type="pct"/>
            <w:shd w:val="clear" w:color="auto" w:fill="auto"/>
            <w:noWrap/>
            <w:hideMark/>
          </w:tcPr>
          <w:p w14:paraId="56EBF3F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385.41 </w:t>
            </w:r>
          </w:p>
        </w:tc>
        <w:tc>
          <w:tcPr>
            <w:tcW w:w="732" w:type="pct"/>
            <w:shd w:val="clear" w:color="auto" w:fill="auto"/>
            <w:noWrap/>
            <w:hideMark/>
          </w:tcPr>
          <w:p w14:paraId="34FB088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693.74 </w:t>
            </w:r>
          </w:p>
        </w:tc>
      </w:tr>
      <w:tr w:rsidR="00A046DD" w:rsidRPr="00532C20" w14:paraId="21638BBD" w14:textId="77777777">
        <w:trPr>
          <w:trHeight w:val="20"/>
        </w:trPr>
        <w:tc>
          <w:tcPr>
            <w:tcW w:w="495" w:type="pct"/>
            <w:shd w:val="clear" w:color="auto" w:fill="D9D9D9"/>
            <w:noWrap/>
            <w:hideMark/>
          </w:tcPr>
          <w:p w14:paraId="61135A66"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Cyprus</w:t>
            </w:r>
          </w:p>
        </w:tc>
        <w:tc>
          <w:tcPr>
            <w:tcW w:w="547" w:type="pct"/>
            <w:shd w:val="clear" w:color="auto" w:fill="D9D9D9"/>
            <w:noWrap/>
            <w:hideMark/>
          </w:tcPr>
          <w:p w14:paraId="3E7FD69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25.76</w:t>
            </w:r>
          </w:p>
        </w:tc>
        <w:tc>
          <w:tcPr>
            <w:tcW w:w="481" w:type="pct"/>
            <w:shd w:val="clear" w:color="auto" w:fill="auto"/>
            <w:noWrap/>
            <w:hideMark/>
          </w:tcPr>
          <w:p w14:paraId="495943E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 </w:t>
            </w:r>
          </w:p>
        </w:tc>
        <w:tc>
          <w:tcPr>
            <w:tcW w:w="559" w:type="pct"/>
            <w:shd w:val="clear" w:color="auto" w:fill="auto"/>
            <w:noWrap/>
            <w:hideMark/>
          </w:tcPr>
          <w:p w14:paraId="008E492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 </w:t>
            </w:r>
          </w:p>
        </w:tc>
        <w:tc>
          <w:tcPr>
            <w:tcW w:w="509" w:type="pct"/>
            <w:shd w:val="clear" w:color="auto" w:fill="auto"/>
            <w:noWrap/>
            <w:hideMark/>
          </w:tcPr>
          <w:p w14:paraId="6D9980B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 </w:t>
            </w:r>
          </w:p>
        </w:tc>
        <w:tc>
          <w:tcPr>
            <w:tcW w:w="712" w:type="pct"/>
            <w:shd w:val="clear" w:color="auto" w:fill="auto"/>
            <w:noWrap/>
            <w:hideMark/>
          </w:tcPr>
          <w:p w14:paraId="34EC9A2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67.47 </w:t>
            </w:r>
          </w:p>
        </w:tc>
        <w:tc>
          <w:tcPr>
            <w:tcW w:w="965" w:type="pct"/>
            <w:shd w:val="clear" w:color="auto" w:fill="auto"/>
            <w:noWrap/>
            <w:hideMark/>
          </w:tcPr>
          <w:p w14:paraId="73E2476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168.67 </w:t>
            </w:r>
          </w:p>
        </w:tc>
        <w:tc>
          <w:tcPr>
            <w:tcW w:w="732" w:type="pct"/>
            <w:shd w:val="clear" w:color="auto" w:fill="auto"/>
            <w:noWrap/>
            <w:hideMark/>
          </w:tcPr>
          <w:p w14:paraId="4AD9D23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303.60 </w:t>
            </w:r>
          </w:p>
        </w:tc>
      </w:tr>
      <w:tr w:rsidR="00A046DD" w:rsidRPr="00532C20" w14:paraId="418B09A1" w14:textId="77777777">
        <w:trPr>
          <w:trHeight w:val="20"/>
        </w:trPr>
        <w:tc>
          <w:tcPr>
            <w:tcW w:w="495" w:type="pct"/>
            <w:shd w:val="clear" w:color="auto" w:fill="D9D9D9"/>
            <w:noWrap/>
            <w:hideMark/>
          </w:tcPr>
          <w:p w14:paraId="02F484C4"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Czechia</w:t>
            </w:r>
          </w:p>
        </w:tc>
        <w:tc>
          <w:tcPr>
            <w:tcW w:w="547" w:type="pct"/>
            <w:shd w:val="clear" w:color="auto" w:fill="D9D9D9"/>
            <w:noWrap/>
            <w:hideMark/>
          </w:tcPr>
          <w:p w14:paraId="7996020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17.07</w:t>
            </w:r>
          </w:p>
        </w:tc>
        <w:tc>
          <w:tcPr>
            <w:tcW w:w="481" w:type="pct"/>
            <w:shd w:val="clear" w:color="auto" w:fill="auto"/>
            <w:noWrap/>
            <w:hideMark/>
          </w:tcPr>
          <w:p w14:paraId="0AD8DAE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19 </w:t>
            </w:r>
          </w:p>
        </w:tc>
        <w:tc>
          <w:tcPr>
            <w:tcW w:w="559" w:type="pct"/>
            <w:shd w:val="clear" w:color="auto" w:fill="auto"/>
            <w:noWrap/>
            <w:hideMark/>
          </w:tcPr>
          <w:p w14:paraId="3C52B35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24 </w:t>
            </w:r>
          </w:p>
        </w:tc>
        <w:tc>
          <w:tcPr>
            <w:tcW w:w="509" w:type="pct"/>
            <w:shd w:val="clear" w:color="auto" w:fill="auto"/>
            <w:noWrap/>
            <w:hideMark/>
          </w:tcPr>
          <w:p w14:paraId="4BB7389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29 </w:t>
            </w:r>
          </w:p>
        </w:tc>
        <w:tc>
          <w:tcPr>
            <w:tcW w:w="712" w:type="pct"/>
            <w:shd w:val="clear" w:color="auto" w:fill="auto"/>
            <w:noWrap/>
            <w:hideMark/>
          </w:tcPr>
          <w:p w14:paraId="4F03023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655.66 </w:t>
            </w:r>
          </w:p>
        </w:tc>
        <w:tc>
          <w:tcPr>
            <w:tcW w:w="965" w:type="pct"/>
            <w:shd w:val="clear" w:color="auto" w:fill="auto"/>
            <w:noWrap/>
            <w:hideMark/>
          </w:tcPr>
          <w:p w14:paraId="4178365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1,639.14 </w:t>
            </w:r>
          </w:p>
        </w:tc>
        <w:tc>
          <w:tcPr>
            <w:tcW w:w="732" w:type="pct"/>
            <w:shd w:val="clear" w:color="auto" w:fill="auto"/>
            <w:noWrap/>
            <w:hideMark/>
          </w:tcPr>
          <w:p w14:paraId="3BC9A35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2,950.45 </w:t>
            </w:r>
          </w:p>
        </w:tc>
      </w:tr>
      <w:tr w:rsidR="00A046DD" w:rsidRPr="00532C20" w14:paraId="3BCE0F93" w14:textId="77777777">
        <w:trPr>
          <w:trHeight w:val="20"/>
        </w:trPr>
        <w:tc>
          <w:tcPr>
            <w:tcW w:w="495" w:type="pct"/>
            <w:shd w:val="clear" w:color="auto" w:fill="D9D9D9"/>
            <w:noWrap/>
            <w:hideMark/>
          </w:tcPr>
          <w:p w14:paraId="0DFD4FF7"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Denmark</w:t>
            </w:r>
          </w:p>
        </w:tc>
        <w:tc>
          <w:tcPr>
            <w:tcW w:w="547" w:type="pct"/>
            <w:shd w:val="clear" w:color="auto" w:fill="D9D9D9"/>
            <w:noWrap/>
            <w:hideMark/>
          </w:tcPr>
          <w:p w14:paraId="49F16E7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50.23</w:t>
            </w:r>
          </w:p>
        </w:tc>
        <w:tc>
          <w:tcPr>
            <w:tcW w:w="481" w:type="pct"/>
            <w:shd w:val="clear" w:color="auto" w:fill="auto"/>
            <w:noWrap/>
            <w:hideMark/>
          </w:tcPr>
          <w:p w14:paraId="4E281D8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20 </w:t>
            </w:r>
          </w:p>
        </w:tc>
        <w:tc>
          <w:tcPr>
            <w:tcW w:w="559" w:type="pct"/>
            <w:shd w:val="clear" w:color="auto" w:fill="auto"/>
            <w:noWrap/>
            <w:hideMark/>
          </w:tcPr>
          <w:p w14:paraId="7402A54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25 </w:t>
            </w:r>
          </w:p>
        </w:tc>
        <w:tc>
          <w:tcPr>
            <w:tcW w:w="509" w:type="pct"/>
            <w:shd w:val="clear" w:color="auto" w:fill="auto"/>
            <w:noWrap/>
            <w:hideMark/>
          </w:tcPr>
          <w:p w14:paraId="248A923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30 </w:t>
            </w:r>
          </w:p>
        </w:tc>
        <w:tc>
          <w:tcPr>
            <w:tcW w:w="712" w:type="pct"/>
            <w:shd w:val="clear" w:color="auto" w:fill="auto"/>
            <w:noWrap/>
            <w:hideMark/>
          </w:tcPr>
          <w:p w14:paraId="73174B1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2,038.36 </w:t>
            </w:r>
          </w:p>
        </w:tc>
        <w:tc>
          <w:tcPr>
            <w:tcW w:w="965" w:type="pct"/>
            <w:shd w:val="clear" w:color="auto" w:fill="auto"/>
            <w:noWrap/>
            <w:hideMark/>
          </w:tcPr>
          <w:p w14:paraId="5FA7F99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5,095.90 </w:t>
            </w:r>
          </w:p>
        </w:tc>
        <w:tc>
          <w:tcPr>
            <w:tcW w:w="732" w:type="pct"/>
            <w:shd w:val="clear" w:color="auto" w:fill="auto"/>
            <w:noWrap/>
            <w:hideMark/>
          </w:tcPr>
          <w:p w14:paraId="4A1FAA1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9,172.61 </w:t>
            </w:r>
          </w:p>
        </w:tc>
      </w:tr>
      <w:tr w:rsidR="00A046DD" w:rsidRPr="00532C20" w14:paraId="2AC7278E" w14:textId="77777777">
        <w:trPr>
          <w:trHeight w:val="20"/>
        </w:trPr>
        <w:tc>
          <w:tcPr>
            <w:tcW w:w="495" w:type="pct"/>
            <w:shd w:val="clear" w:color="auto" w:fill="D9D9D9"/>
            <w:noWrap/>
            <w:hideMark/>
          </w:tcPr>
          <w:p w14:paraId="6B384999"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Estonia</w:t>
            </w:r>
          </w:p>
        </w:tc>
        <w:tc>
          <w:tcPr>
            <w:tcW w:w="547" w:type="pct"/>
            <w:shd w:val="clear" w:color="auto" w:fill="D9D9D9"/>
            <w:noWrap/>
            <w:hideMark/>
          </w:tcPr>
          <w:p w14:paraId="696C728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16.91</w:t>
            </w:r>
          </w:p>
        </w:tc>
        <w:tc>
          <w:tcPr>
            <w:tcW w:w="481" w:type="pct"/>
            <w:shd w:val="clear" w:color="auto" w:fill="auto"/>
            <w:noWrap/>
            <w:hideMark/>
          </w:tcPr>
          <w:p w14:paraId="0073BB1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 </w:t>
            </w:r>
          </w:p>
        </w:tc>
        <w:tc>
          <w:tcPr>
            <w:tcW w:w="559" w:type="pct"/>
            <w:shd w:val="clear" w:color="auto" w:fill="auto"/>
            <w:noWrap/>
            <w:hideMark/>
          </w:tcPr>
          <w:p w14:paraId="72DCD40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6 </w:t>
            </w:r>
          </w:p>
        </w:tc>
        <w:tc>
          <w:tcPr>
            <w:tcW w:w="509" w:type="pct"/>
            <w:shd w:val="clear" w:color="auto" w:fill="auto"/>
            <w:noWrap/>
            <w:hideMark/>
          </w:tcPr>
          <w:p w14:paraId="1CBE90E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 </w:t>
            </w:r>
          </w:p>
        </w:tc>
        <w:tc>
          <w:tcPr>
            <w:tcW w:w="712" w:type="pct"/>
            <w:shd w:val="clear" w:color="auto" w:fill="auto"/>
            <w:noWrap/>
            <w:hideMark/>
          </w:tcPr>
          <w:p w14:paraId="55CA694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160.84 </w:t>
            </w:r>
          </w:p>
        </w:tc>
        <w:tc>
          <w:tcPr>
            <w:tcW w:w="965" w:type="pct"/>
            <w:shd w:val="clear" w:color="auto" w:fill="auto"/>
            <w:noWrap/>
            <w:hideMark/>
          </w:tcPr>
          <w:p w14:paraId="5136985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402.11 </w:t>
            </w:r>
          </w:p>
        </w:tc>
        <w:tc>
          <w:tcPr>
            <w:tcW w:w="732" w:type="pct"/>
            <w:shd w:val="clear" w:color="auto" w:fill="auto"/>
            <w:noWrap/>
            <w:hideMark/>
          </w:tcPr>
          <w:p w14:paraId="367E6A7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723.79 </w:t>
            </w:r>
          </w:p>
        </w:tc>
      </w:tr>
      <w:tr w:rsidR="00A046DD" w:rsidRPr="00532C20" w14:paraId="77C269F5" w14:textId="77777777">
        <w:trPr>
          <w:trHeight w:val="20"/>
        </w:trPr>
        <w:tc>
          <w:tcPr>
            <w:tcW w:w="495" w:type="pct"/>
            <w:shd w:val="clear" w:color="auto" w:fill="D9D9D9"/>
            <w:noWrap/>
            <w:hideMark/>
          </w:tcPr>
          <w:p w14:paraId="354541A3"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Finland</w:t>
            </w:r>
          </w:p>
        </w:tc>
        <w:tc>
          <w:tcPr>
            <w:tcW w:w="547" w:type="pct"/>
            <w:shd w:val="clear" w:color="auto" w:fill="D9D9D9"/>
            <w:noWrap/>
            <w:hideMark/>
          </w:tcPr>
          <w:p w14:paraId="3CF3D5E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41.02</w:t>
            </w:r>
          </w:p>
        </w:tc>
        <w:tc>
          <w:tcPr>
            <w:tcW w:w="481" w:type="pct"/>
            <w:shd w:val="clear" w:color="auto" w:fill="auto"/>
            <w:noWrap/>
            <w:hideMark/>
          </w:tcPr>
          <w:p w14:paraId="7161773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22 </w:t>
            </w:r>
          </w:p>
        </w:tc>
        <w:tc>
          <w:tcPr>
            <w:tcW w:w="559" w:type="pct"/>
            <w:shd w:val="clear" w:color="auto" w:fill="auto"/>
            <w:noWrap/>
            <w:hideMark/>
          </w:tcPr>
          <w:p w14:paraId="4326C48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27 </w:t>
            </w:r>
          </w:p>
        </w:tc>
        <w:tc>
          <w:tcPr>
            <w:tcW w:w="509" w:type="pct"/>
            <w:shd w:val="clear" w:color="auto" w:fill="auto"/>
            <w:noWrap/>
            <w:hideMark/>
          </w:tcPr>
          <w:p w14:paraId="414E698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33 </w:t>
            </w:r>
          </w:p>
        </w:tc>
        <w:tc>
          <w:tcPr>
            <w:tcW w:w="712" w:type="pct"/>
            <w:shd w:val="clear" w:color="auto" w:fill="auto"/>
            <w:noWrap/>
            <w:hideMark/>
          </w:tcPr>
          <w:p w14:paraId="78341F6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1,796.08 </w:t>
            </w:r>
          </w:p>
        </w:tc>
        <w:tc>
          <w:tcPr>
            <w:tcW w:w="965" w:type="pct"/>
            <w:shd w:val="clear" w:color="auto" w:fill="auto"/>
            <w:noWrap/>
            <w:hideMark/>
          </w:tcPr>
          <w:p w14:paraId="02A4F8A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4,490.21 </w:t>
            </w:r>
          </w:p>
        </w:tc>
        <w:tc>
          <w:tcPr>
            <w:tcW w:w="732" w:type="pct"/>
            <w:shd w:val="clear" w:color="auto" w:fill="auto"/>
            <w:noWrap/>
            <w:hideMark/>
          </w:tcPr>
          <w:p w14:paraId="0DE3D08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8,082.37 </w:t>
            </w:r>
          </w:p>
        </w:tc>
      </w:tr>
      <w:tr w:rsidR="00A046DD" w:rsidRPr="00532C20" w14:paraId="72B7A2CF" w14:textId="77777777">
        <w:trPr>
          <w:trHeight w:val="20"/>
        </w:trPr>
        <w:tc>
          <w:tcPr>
            <w:tcW w:w="495" w:type="pct"/>
            <w:shd w:val="clear" w:color="auto" w:fill="D9D9D9"/>
            <w:noWrap/>
            <w:hideMark/>
          </w:tcPr>
          <w:p w14:paraId="7867DA54"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France</w:t>
            </w:r>
          </w:p>
        </w:tc>
        <w:tc>
          <w:tcPr>
            <w:tcW w:w="547" w:type="pct"/>
            <w:shd w:val="clear" w:color="auto" w:fill="D9D9D9"/>
            <w:noWrap/>
            <w:hideMark/>
          </w:tcPr>
          <w:p w14:paraId="432FD24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44.06</w:t>
            </w:r>
          </w:p>
        </w:tc>
        <w:tc>
          <w:tcPr>
            <w:tcW w:w="481" w:type="pct"/>
            <w:shd w:val="clear" w:color="auto" w:fill="auto"/>
            <w:noWrap/>
            <w:hideMark/>
          </w:tcPr>
          <w:p w14:paraId="1CA3FC0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260 </w:t>
            </w:r>
          </w:p>
        </w:tc>
        <w:tc>
          <w:tcPr>
            <w:tcW w:w="559" w:type="pct"/>
            <w:shd w:val="clear" w:color="auto" w:fill="auto"/>
            <w:noWrap/>
            <w:hideMark/>
          </w:tcPr>
          <w:p w14:paraId="5A08CF3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325 </w:t>
            </w:r>
          </w:p>
        </w:tc>
        <w:tc>
          <w:tcPr>
            <w:tcW w:w="509" w:type="pct"/>
            <w:shd w:val="clear" w:color="auto" w:fill="auto"/>
            <w:noWrap/>
            <w:hideMark/>
          </w:tcPr>
          <w:p w14:paraId="1F026B0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390 </w:t>
            </w:r>
          </w:p>
        </w:tc>
        <w:tc>
          <w:tcPr>
            <w:tcW w:w="712" w:type="pct"/>
            <w:shd w:val="clear" w:color="auto" w:fill="auto"/>
            <w:noWrap/>
            <w:hideMark/>
          </w:tcPr>
          <w:p w14:paraId="3AD1345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22,889.69 </w:t>
            </w:r>
          </w:p>
        </w:tc>
        <w:tc>
          <w:tcPr>
            <w:tcW w:w="965" w:type="pct"/>
            <w:shd w:val="clear" w:color="auto" w:fill="auto"/>
            <w:noWrap/>
            <w:hideMark/>
          </w:tcPr>
          <w:p w14:paraId="06D232B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57,224.23 </w:t>
            </w:r>
          </w:p>
        </w:tc>
        <w:tc>
          <w:tcPr>
            <w:tcW w:w="732" w:type="pct"/>
            <w:shd w:val="clear" w:color="auto" w:fill="auto"/>
            <w:noWrap/>
            <w:hideMark/>
          </w:tcPr>
          <w:p w14:paraId="48F178E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103,003.62 </w:t>
            </w:r>
          </w:p>
        </w:tc>
      </w:tr>
      <w:tr w:rsidR="00A046DD" w:rsidRPr="00532C20" w14:paraId="03F3C254" w14:textId="77777777">
        <w:trPr>
          <w:trHeight w:val="20"/>
        </w:trPr>
        <w:tc>
          <w:tcPr>
            <w:tcW w:w="495" w:type="pct"/>
            <w:shd w:val="clear" w:color="auto" w:fill="D9D9D9"/>
            <w:noWrap/>
            <w:hideMark/>
          </w:tcPr>
          <w:p w14:paraId="09EDD331"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Germany</w:t>
            </w:r>
          </w:p>
        </w:tc>
        <w:tc>
          <w:tcPr>
            <w:tcW w:w="547" w:type="pct"/>
            <w:shd w:val="clear" w:color="auto" w:fill="D9D9D9"/>
            <w:noWrap/>
            <w:hideMark/>
          </w:tcPr>
          <w:p w14:paraId="03CBB92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46.81</w:t>
            </w:r>
          </w:p>
        </w:tc>
        <w:tc>
          <w:tcPr>
            <w:tcW w:w="481" w:type="pct"/>
            <w:shd w:val="clear" w:color="auto" w:fill="auto"/>
            <w:noWrap/>
            <w:hideMark/>
          </w:tcPr>
          <w:p w14:paraId="398B939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126 </w:t>
            </w:r>
          </w:p>
        </w:tc>
        <w:tc>
          <w:tcPr>
            <w:tcW w:w="559" w:type="pct"/>
            <w:shd w:val="clear" w:color="auto" w:fill="auto"/>
            <w:noWrap/>
            <w:hideMark/>
          </w:tcPr>
          <w:p w14:paraId="3AA8FF9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157 </w:t>
            </w:r>
          </w:p>
        </w:tc>
        <w:tc>
          <w:tcPr>
            <w:tcW w:w="509" w:type="pct"/>
            <w:shd w:val="clear" w:color="auto" w:fill="auto"/>
            <w:noWrap/>
            <w:hideMark/>
          </w:tcPr>
          <w:p w14:paraId="006101A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189 </w:t>
            </w:r>
          </w:p>
        </w:tc>
        <w:tc>
          <w:tcPr>
            <w:tcW w:w="712" w:type="pct"/>
            <w:shd w:val="clear" w:color="auto" w:fill="auto"/>
            <w:noWrap/>
            <w:hideMark/>
          </w:tcPr>
          <w:p w14:paraId="2488D19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11,776.07 </w:t>
            </w:r>
          </w:p>
        </w:tc>
        <w:tc>
          <w:tcPr>
            <w:tcW w:w="965" w:type="pct"/>
            <w:shd w:val="clear" w:color="auto" w:fill="auto"/>
            <w:noWrap/>
            <w:hideMark/>
          </w:tcPr>
          <w:p w14:paraId="2FDE302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29,440.17 </w:t>
            </w:r>
          </w:p>
        </w:tc>
        <w:tc>
          <w:tcPr>
            <w:tcW w:w="732" w:type="pct"/>
            <w:shd w:val="clear" w:color="auto" w:fill="auto"/>
            <w:noWrap/>
            <w:hideMark/>
          </w:tcPr>
          <w:p w14:paraId="79E93DC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52,992.30 </w:t>
            </w:r>
          </w:p>
        </w:tc>
      </w:tr>
      <w:tr w:rsidR="00A046DD" w:rsidRPr="00532C20" w14:paraId="4E2E1AF3" w14:textId="77777777">
        <w:trPr>
          <w:trHeight w:val="20"/>
        </w:trPr>
        <w:tc>
          <w:tcPr>
            <w:tcW w:w="495" w:type="pct"/>
            <w:shd w:val="clear" w:color="auto" w:fill="D9D9D9"/>
            <w:noWrap/>
            <w:hideMark/>
          </w:tcPr>
          <w:p w14:paraId="3972CB7C"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Greece</w:t>
            </w:r>
          </w:p>
        </w:tc>
        <w:tc>
          <w:tcPr>
            <w:tcW w:w="547" w:type="pct"/>
            <w:shd w:val="clear" w:color="auto" w:fill="D9D9D9"/>
            <w:noWrap/>
            <w:hideMark/>
          </w:tcPr>
          <w:p w14:paraId="03F52C0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21.74</w:t>
            </w:r>
          </w:p>
        </w:tc>
        <w:tc>
          <w:tcPr>
            <w:tcW w:w="481" w:type="pct"/>
            <w:shd w:val="clear" w:color="auto" w:fill="auto"/>
            <w:noWrap/>
            <w:hideMark/>
          </w:tcPr>
          <w:p w14:paraId="6FA6525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 </w:t>
            </w:r>
          </w:p>
        </w:tc>
        <w:tc>
          <w:tcPr>
            <w:tcW w:w="559" w:type="pct"/>
            <w:shd w:val="clear" w:color="auto" w:fill="auto"/>
            <w:noWrap/>
            <w:hideMark/>
          </w:tcPr>
          <w:p w14:paraId="5AB2D3D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 </w:t>
            </w:r>
          </w:p>
        </w:tc>
        <w:tc>
          <w:tcPr>
            <w:tcW w:w="509" w:type="pct"/>
            <w:shd w:val="clear" w:color="auto" w:fill="auto"/>
            <w:noWrap/>
            <w:hideMark/>
          </w:tcPr>
          <w:p w14:paraId="1975A3F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 </w:t>
            </w:r>
          </w:p>
        </w:tc>
        <w:tc>
          <w:tcPr>
            <w:tcW w:w="712" w:type="pct"/>
            <w:shd w:val="clear" w:color="auto" w:fill="auto"/>
            <w:noWrap/>
            <w:hideMark/>
          </w:tcPr>
          <w:p w14:paraId="512011C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59.09 </w:t>
            </w:r>
          </w:p>
        </w:tc>
        <w:tc>
          <w:tcPr>
            <w:tcW w:w="965" w:type="pct"/>
            <w:shd w:val="clear" w:color="auto" w:fill="auto"/>
            <w:noWrap/>
            <w:hideMark/>
          </w:tcPr>
          <w:p w14:paraId="56579B7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147.73 </w:t>
            </w:r>
          </w:p>
        </w:tc>
        <w:tc>
          <w:tcPr>
            <w:tcW w:w="732" w:type="pct"/>
            <w:shd w:val="clear" w:color="auto" w:fill="auto"/>
            <w:noWrap/>
            <w:hideMark/>
          </w:tcPr>
          <w:p w14:paraId="79F52F8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265.91 </w:t>
            </w:r>
          </w:p>
        </w:tc>
      </w:tr>
      <w:tr w:rsidR="00A046DD" w:rsidRPr="00532C20" w14:paraId="19AEFA0F" w14:textId="77777777">
        <w:trPr>
          <w:trHeight w:val="20"/>
        </w:trPr>
        <w:tc>
          <w:tcPr>
            <w:tcW w:w="495" w:type="pct"/>
            <w:shd w:val="clear" w:color="auto" w:fill="D9D9D9"/>
            <w:noWrap/>
            <w:hideMark/>
          </w:tcPr>
          <w:p w14:paraId="59CCB750"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Hungary</w:t>
            </w:r>
          </w:p>
        </w:tc>
        <w:tc>
          <w:tcPr>
            <w:tcW w:w="547" w:type="pct"/>
            <w:shd w:val="clear" w:color="auto" w:fill="D9D9D9"/>
            <w:noWrap/>
            <w:hideMark/>
          </w:tcPr>
          <w:p w14:paraId="1DA16C8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12.16</w:t>
            </w:r>
          </w:p>
        </w:tc>
        <w:tc>
          <w:tcPr>
            <w:tcW w:w="481" w:type="pct"/>
            <w:shd w:val="clear" w:color="auto" w:fill="auto"/>
            <w:noWrap/>
            <w:hideMark/>
          </w:tcPr>
          <w:p w14:paraId="54CC4EA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13 </w:t>
            </w:r>
          </w:p>
        </w:tc>
        <w:tc>
          <w:tcPr>
            <w:tcW w:w="559" w:type="pct"/>
            <w:shd w:val="clear" w:color="auto" w:fill="auto"/>
            <w:noWrap/>
            <w:hideMark/>
          </w:tcPr>
          <w:p w14:paraId="3CF33D6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16 </w:t>
            </w:r>
          </w:p>
        </w:tc>
        <w:tc>
          <w:tcPr>
            <w:tcW w:w="509" w:type="pct"/>
            <w:shd w:val="clear" w:color="auto" w:fill="auto"/>
            <w:noWrap/>
            <w:hideMark/>
          </w:tcPr>
          <w:p w14:paraId="5A88851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19 </w:t>
            </w:r>
          </w:p>
        </w:tc>
        <w:tc>
          <w:tcPr>
            <w:tcW w:w="712" w:type="pct"/>
            <w:shd w:val="clear" w:color="auto" w:fill="auto"/>
            <w:noWrap/>
            <w:hideMark/>
          </w:tcPr>
          <w:p w14:paraId="4266C54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310.77 </w:t>
            </w:r>
          </w:p>
        </w:tc>
        <w:tc>
          <w:tcPr>
            <w:tcW w:w="965" w:type="pct"/>
            <w:shd w:val="clear" w:color="auto" w:fill="auto"/>
            <w:noWrap/>
            <w:hideMark/>
          </w:tcPr>
          <w:p w14:paraId="7BAB33A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776.92 </w:t>
            </w:r>
          </w:p>
        </w:tc>
        <w:tc>
          <w:tcPr>
            <w:tcW w:w="732" w:type="pct"/>
            <w:shd w:val="clear" w:color="auto" w:fill="auto"/>
            <w:noWrap/>
            <w:hideMark/>
          </w:tcPr>
          <w:p w14:paraId="71E92EA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1,398.46 </w:t>
            </w:r>
          </w:p>
        </w:tc>
      </w:tr>
      <w:tr w:rsidR="00A046DD" w:rsidRPr="00532C20" w14:paraId="683B7792" w14:textId="77777777">
        <w:trPr>
          <w:trHeight w:val="20"/>
        </w:trPr>
        <w:tc>
          <w:tcPr>
            <w:tcW w:w="495" w:type="pct"/>
            <w:shd w:val="clear" w:color="auto" w:fill="D9D9D9"/>
            <w:noWrap/>
            <w:hideMark/>
          </w:tcPr>
          <w:p w14:paraId="68BBD901"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Ireland</w:t>
            </w:r>
          </w:p>
        </w:tc>
        <w:tc>
          <w:tcPr>
            <w:tcW w:w="547" w:type="pct"/>
            <w:shd w:val="clear" w:color="auto" w:fill="D9D9D9"/>
            <w:noWrap/>
            <w:hideMark/>
          </w:tcPr>
          <w:p w14:paraId="0980E71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48.08</w:t>
            </w:r>
          </w:p>
        </w:tc>
        <w:tc>
          <w:tcPr>
            <w:tcW w:w="481" w:type="pct"/>
            <w:shd w:val="clear" w:color="auto" w:fill="auto"/>
            <w:noWrap/>
            <w:hideMark/>
          </w:tcPr>
          <w:p w14:paraId="312EFEA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 </w:t>
            </w:r>
          </w:p>
        </w:tc>
        <w:tc>
          <w:tcPr>
            <w:tcW w:w="559" w:type="pct"/>
            <w:shd w:val="clear" w:color="auto" w:fill="auto"/>
            <w:noWrap/>
            <w:hideMark/>
          </w:tcPr>
          <w:p w14:paraId="72EC329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 </w:t>
            </w:r>
          </w:p>
        </w:tc>
        <w:tc>
          <w:tcPr>
            <w:tcW w:w="509" w:type="pct"/>
            <w:shd w:val="clear" w:color="auto" w:fill="auto"/>
            <w:noWrap/>
            <w:hideMark/>
          </w:tcPr>
          <w:p w14:paraId="6A5CE61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10 </w:t>
            </w:r>
          </w:p>
        </w:tc>
        <w:tc>
          <w:tcPr>
            <w:tcW w:w="712" w:type="pct"/>
            <w:shd w:val="clear" w:color="auto" w:fill="auto"/>
            <w:noWrap/>
            <w:hideMark/>
          </w:tcPr>
          <w:p w14:paraId="08F35B6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650.47 </w:t>
            </w:r>
          </w:p>
        </w:tc>
        <w:tc>
          <w:tcPr>
            <w:tcW w:w="965" w:type="pct"/>
            <w:shd w:val="clear" w:color="auto" w:fill="auto"/>
            <w:noWrap/>
            <w:hideMark/>
          </w:tcPr>
          <w:p w14:paraId="7B06DCA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1,626.18 </w:t>
            </w:r>
          </w:p>
        </w:tc>
        <w:tc>
          <w:tcPr>
            <w:tcW w:w="732" w:type="pct"/>
            <w:shd w:val="clear" w:color="auto" w:fill="auto"/>
            <w:noWrap/>
            <w:hideMark/>
          </w:tcPr>
          <w:p w14:paraId="514BE92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2,927.13 </w:t>
            </w:r>
          </w:p>
        </w:tc>
      </w:tr>
      <w:tr w:rsidR="00A046DD" w:rsidRPr="00532C20" w14:paraId="13CD78BF" w14:textId="77777777">
        <w:trPr>
          <w:trHeight w:val="20"/>
        </w:trPr>
        <w:tc>
          <w:tcPr>
            <w:tcW w:w="495" w:type="pct"/>
            <w:shd w:val="clear" w:color="auto" w:fill="D9D9D9"/>
            <w:noWrap/>
            <w:hideMark/>
          </w:tcPr>
          <w:p w14:paraId="4C66FB0C"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Italy</w:t>
            </w:r>
          </w:p>
        </w:tc>
        <w:tc>
          <w:tcPr>
            <w:tcW w:w="547" w:type="pct"/>
            <w:shd w:val="clear" w:color="auto" w:fill="D9D9D9"/>
            <w:noWrap/>
            <w:hideMark/>
          </w:tcPr>
          <w:p w14:paraId="25B9E17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42.39</w:t>
            </w:r>
          </w:p>
        </w:tc>
        <w:tc>
          <w:tcPr>
            <w:tcW w:w="481" w:type="pct"/>
            <w:shd w:val="clear" w:color="auto" w:fill="auto"/>
            <w:noWrap/>
            <w:hideMark/>
          </w:tcPr>
          <w:p w14:paraId="670C41F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74 </w:t>
            </w:r>
          </w:p>
        </w:tc>
        <w:tc>
          <w:tcPr>
            <w:tcW w:w="559" w:type="pct"/>
            <w:shd w:val="clear" w:color="auto" w:fill="auto"/>
            <w:noWrap/>
            <w:hideMark/>
          </w:tcPr>
          <w:p w14:paraId="5C4C6EF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92 </w:t>
            </w:r>
          </w:p>
        </w:tc>
        <w:tc>
          <w:tcPr>
            <w:tcW w:w="509" w:type="pct"/>
            <w:shd w:val="clear" w:color="auto" w:fill="auto"/>
            <w:noWrap/>
            <w:hideMark/>
          </w:tcPr>
          <w:p w14:paraId="7B4A9ED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111 </w:t>
            </w:r>
          </w:p>
        </w:tc>
        <w:tc>
          <w:tcPr>
            <w:tcW w:w="712" w:type="pct"/>
            <w:shd w:val="clear" w:color="auto" w:fill="auto"/>
            <w:noWrap/>
            <w:hideMark/>
          </w:tcPr>
          <w:p w14:paraId="78BCDAD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6,269.92 </w:t>
            </w:r>
          </w:p>
        </w:tc>
        <w:tc>
          <w:tcPr>
            <w:tcW w:w="965" w:type="pct"/>
            <w:shd w:val="clear" w:color="auto" w:fill="auto"/>
            <w:noWrap/>
            <w:hideMark/>
          </w:tcPr>
          <w:p w14:paraId="0024A5F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15,674.80 </w:t>
            </w:r>
          </w:p>
        </w:tc>
        <w:tc>
          <w:tcPr>
            <w:tcW w:w="732" w:type="pct"/>
            <w:shd w:val="clear" w:color="auto" w:fill="auto"/>
            <w:noWrap/>
            <w:hideMark/>
          </w:tcPr>
          <w:p w14:paraId="18FF438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28,214.64 </w:t>
            </w:r>
          </w:p>
        </w:tc>
      </w:tr>
      <w:tr w:rsidR="00A046DD" w:rsidRPr="00532C20" w14:paraId="5D6B7EF6" w14:textId="77777777">
        <w:trPr>
          <w:trHeight w:val="20"/>
        </w:trPr>
        <w:tc>
          <w:tcPr>
            <w:tcW w:w="495" w:type="pct"/>
            <w:shd w:val="clear" w:color="auto" w:fill="D9D9D9"/>
            <w:noWrap/>
            <w:hideMark/>
          </w:tcPr>
          <w:p w14:paraId="4C9DE0CE"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Latvia</w:t>
            </w:r>
          </w:p>
        </w:tc>
        <w:tc>
          <w:tcPr>
            <w:tcW w:w="547" w:type="pct"/>
            <w:shd w:val="clear" w:color="auto" w:fill="D9D9D9"/>
            <w:noWrap/>
            <w:hideMark/>
          </w:tcPr>
          <w:p w14:paraId="5FC60B5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13.60</w:t>
            </w:r>
          </w:p>
        </w:tc>
        <w:tc>
          <w:tcPr>
            <w:tcW w:w="481" w:type="pct"/>
            <w:shd w:val="clear" w:color="auto" w:fill="auto"/>
            <w:noWrap/>
            <w:hideMark/>
          </w:tcPr>
          <w:p w14:paraId="4BAD159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 </w:t>
            </w:r>
          </w:p>
        </w:tc>
        <w:tc>
          <w:tcPr>
            <w:tcW w:w="559" w:type="pct"/>
            <w:shd w:val="clear" w:color="auto" w:fill="auto"/>
            <w:noWrap/>
            <w:hideMark/>
          </w:tcPr>
          <w:p w14:paraId="4A2222A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 </w:t>
            </w:r>
          </w:p>
        </w:tc>
        <w:tc>
          <w:tcPr>
            <w:tcW w:w="509" w:type="pct"/>
            <w:shd w:val="clear" w:color="auto" w:fill="auto"/>
            <w:noWrap/>
            <w:hideMark/>
          </w:tcPr>
          <w:p w14:paraId="1A98A15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 </w:t>
            </w:r>
          </w:p>
        </w:tc>
        <w:tc>
          <w:tcPr>
            <w:tcW w:w="712" w:type="pct"/>
            <w:shd w:val="clear" w:color="auto" w:fill="auto"/>
            <w:noWrap/>
            <w:hideMark/>
          </w:tcPr>
          <w:p w14:paraId="6C712D7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64.78 </w:t>
            </w:r>
          </w:p>
        </w:tc>
        <w:tc>
          <w:tcPr>
            <w:tcW w:w="965" w:type="pct"/>
            <w:shd w:val="clear" w:color="auto" w:fill="auto"/>
            <w:noWrap/>
            <w:hideMark/>
          </w:tcPr>
          <w:p w14:paraId="4CE9F8E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161.96 </w:t>
            </w:r>
          </w:p>
        </w:tc>
        <w:tc>
          <w:tcPr>
            <w:tcW w:w="732" w:type="pct"/>
            <w:shd w:val="clear" w:color="auto" w:fill="auto"/>
            <w:noWrap/>
            <w:hideMark/>
          </w:tcPr>
          <w:p w14:paraId="46FFC66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291.53 </w:t>
            </w:r>
          </w:p>
        </w:tc>
      </w:tr>
      <w:tr w:rsidR="00A046DD" w:rsidRPr="00532C20" w14:paraId="7A726353" w14:textId="77777777">
        <w:trPr>
          <w:trHeight w:val="20"/>
        </w:trPr>
        <w:tc>
          <w:tcPr>
            <w:tcW w:w="495" w:type="pct"/>
            <w:shd w:val="clear" w:color="auto" w:fill="D9D9D9"/>
            <w:noWrap/>
            <w:hideMark/>
          </w:tcPr>
          <w:p w14:paraId="7FF294E1"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Lithuania</w:t>
            </w:r>
          </w:p>
        </w:tc>
        <w:tc>
          <w:tcPr>
            <w:tcW w:w="547" w:type="pct"/>
            <w:shd w:val="clear" w:color="auto" w:fill="D9D9D9"/>
            <w:noWrap/>
            <w:hideMark/>
          </w:tcPr>
          <w:p w14:paraId="1846831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11.81</w:t>
            </w:r>
          </w:p>
        </w:tc>
        <w:tc>
          <w:tcPr>
            <w:tcW w:w="481" w:type="pct"/>
            <w:shd w:val="clear" w:color="auto" w:fill="auto"/>
            <w:noWrap/>
            <w:hideMark/>
          </w:tcPr>
          <w:p w14:paraId="641EB216"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 </w:t>
            </w:r>
          </w:p>
        </w:tc>
        <w:tc>
          <w:tcPr>
            <w:tcW w:w="559" w:type="pct"/>
            <w:shd w:val="clear" w:color="auto" w:fill="auto"/>
            <w:noWrap/>
            <w:hideMark/>
          </w:tcPr>
          <w:p w14:paraId="08A2D57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 </w:t>
            </w:r>
          </w:p>
        </w:tc>
        <w:tc>
          <w:tcPr>
            <w:tcW w:w="509" w:type="pct"/>
            <w:shd w:val="clear" w:color="auto" w:fill="auto"/>
            <w:noWrap/>
            <w:hideMark/>
          </w:tcPr>
          <w:p w14:paraId="69E3865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 </w:t>
            </w:r>
          </w:p>
        </w:tc>
        <w:tc>
          <w:tcPr>
            <w:tcW w:w="712" w:type="pct"/>
            <w:shd w:val="clear" w:color="auto" w:fill="auto"/>
            <w:noWrap/>
            <w:hideMark/>
          </w:tcPr>
          <w:p w14:paraId="58A601E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69.99 </w:t>
            </w:r>
          </w:p>
        </w:tc>
        <w:tc>
          <w:tcPr>
            <w:tcW w:w="965" w:type="pct"/>
            <w:shd w:val="clear" w:color="auto" w:fill="auto"/>
            <w:noWrap/>
            <w:hideMark/>
          </w:tcPr>
          <w:p w14:paraId="73A431F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174.96 </w:t>
            </w:r>
          </w:p>
        </w:tc>
        <w:tc>
          <w:tcPr>
            <w:tcW w:w="732" w:type="pct"/>
            <w:shd w:val="clear" w:color="auto" w:fill="auto"/>
            <w:noWrap/>
            <w:hideMark/>
          </w:tcPr>
          <w:p w14:paraId="7D1DC74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314.93 </w:t>
            </w:r>
          </w:p>
        </w:tc>
      </w:tr>
      <w:tr w:rsidR="00A046DD" w:rsidRPr="00532C20" w14:paraId="4C5D375B" w14:textId="77777777">
        <w:trPr>
          <w:trHeight w:val="20"/>
        </w:trPr>
        <w:tc>
          <w:tcPr>
            <w:tcW w:w="495" w:type="pct"/>
            <w:shd w:val="clear" w:color="auto" w:fill="D9D9D9"/>
            <w:noWrap/>
            <w:hideMark/>
          </w:tcPr>
          <w:p w14:paraId="11596F73"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Luxembourg</w:t>
            </w:r>
          </w:p>
        </w:tc>
        <w:tc>
          <w:tcPr>
            <w:tcW w:w="547" w:type="pct"/>
            <w:shd w:val="clear" w:color="auto" w:fill="D9D9D9"/>
            <w:noWrap/>
            <w:hideMark/>
          </w:tcPr>
          <w:p w14:paraId="2F1551D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46.01</w:t>
            </w:r>
          </w:p>
        </w:tc>
        <w:tc>
          <w:tcPr>
            <w:tcW w:w="481" w:type="pct"/>
            <w:shd w:val="clear" w:color="auto" w:fill="auto"/>
            <w:noWrap/>
            <w:hideMark/>
          </w:tcPr>
          <w:p w14:paraId="5FF16E6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 </w:t>
            </w:r>
          </w:p>
        </w:tc>
        <w:tc>
          <w:tcPr>
            <w:tcW w:w="559" w:type="pct"/>
            <w:shd w:val="clear" w:color="auto" w:fill="auto"/>
            <w:noWrap/>
            <w:hideMark/>
          </w:tcPr>
          <w:p w14:paraId="4C24982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 </w:t>
            </w:r>
          </w:p>
        </w:tc>
        <w:tc>
          <w:tcPr>
            <w:tcW w:w="509" w:type="pct"/>
            <w:shd w:val="clear" w:color="auto" w:fill="auto"/>
            <w:noWrap/>
            <w:hideMark/>
          </w:tcPr>
          <w:p w14:paraId="32EE790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 </w:t>
            </w:r>
          </w:p>
        </w:tc>
        <w:tc>
          <w:tcPr>
            <w:tcW w:w="712" w:type="pct"/>
            <w:shd w:val="clear" w:color="auto" w:fill="auto"/>
            <w:noWrap/>
            <w:hideMark/>
          </w:tcPr>
          <w:p w14:paraId="01A6898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160.03 </w:t>
            </w:r>
          </w:p>
        </w:tc>
        <w:tc>
          <w:tcPr>
            <w:tcW w:w="965" w:type="pct"/>
            <w:shd w:val="clear" w:color="auto" w:fill="auto"/>
            <w:noWrap/>
            <w:hideMark/>
          </w:tcPr>
          <w:p w14:paraId="6CF663B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400.07 </w:t>
            </w:r>
          </w:p>
        </w:tc>
        <w:tc>
          <w:tcPr>
            <w:tcW w:w="732" w:type="pct"/>
            <w:shd w:val="clear" w:color="auto" w:fill="auto"/>
            <w:noWrap/>
            <w:hideMark/>
          </w:tcPr>
          <w:p w14:paraId="435C70B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720.12 </w:t>
            </w:r>
          </w:p>
        </w:tc>
      </w:tr>
      <w:tr w:rsidR="00A046DD" w:rsidRPr="00532C20" w14:paraId="4FF2D699" w14:textId="77777777">
        <w:trPr>
          <w:trHeight w:val="20"/>
        </w:trPr>
        <w:tc>
          <w:tcPr>
            <w:tcW w:w="495" w:type="pct"/>
            <w:shd w:val="clear" w:color="auto" w:fill="D9D9D9"/>
            <w:noWrap/>
            <w:hideMark/>
          </w:tcPr>
          <w:p w14:paraId="2F218935"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Malta</w:t>
            </w:r>
          </w:p>
        </w:tc>
        <w:tc>
          <w:tcPr>
            <w:tcW w:w="547" w:type="pct"/>
            <w:shd w:val="clear" w:color="auto" w:fill="D9D9D9"/>
            <w:noWrap/>
            <w:hideMark/>
          </w:tcPr>
          <w:p w14:paraId="3499865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20.30</w:t>
            </w:r>
          </w:p>
        </w:tc>
        <w:tc>
          <w:tcPr>
            <w:tcW w:w="481" w:type="pct"/>
            <w:shd w:val="clear" w:color="auto" w:fill="auto"/>
            <w:noWrap/>
            <w:hideMark/>
          </w:tcPr>
          <w:p w14:paraId="00C40B3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 </w:t>
            </w:r>
          </w:p>
        </w:tc>
        <w:tc>
          <w:tcPr>
            <w:tcW w:w="559" w:type="pct"/>
            <w:shd w:val="clear" w:color="auto" w:fill="auto"/>
            <w:noWrap/>
            <w:hideMark/>
          </w:tcPr>
          <w:p w14:paraId="7BEEA1E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 </w:t>
            </w:r>
          </w:p>
        </w:tc>
        <w:tc>
          <w:tcPr>
            <w:tcW w:w="509" w:type="pct"/>
            <w:shd w:val="clear" w:color="auto" w:fill="auto"/>
            <w:noWrap/>
            <w:hideMark/>
          </w:tcPr>
          <w:p w14:paraId="0CC711B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 </w:t>
            </w:r>
          </w:p>
        </w:tc>
        <w:tc>
          <w:tcPr>
            <w:tcW w:w="712" w:type="pct"/>
            <w:shd w:val="clear" w:color="auto" w:fill="auto"/>
            <w:noWrap/>
            <w:hideMark/>
          </w:tcPr>
          <w:p w14:paraId="4BFF47D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23.78 </w:t>
            </w:r>
          </w:p>
        </w:tc>
        <w:tc>
          <w:tcPr>
            <w:tcW w:w="965" w:type="pct"/>
            <w:shd w:val="clear" w:color="auto" w:fill="auto"/>
            <w:noWrap/>
            <w:hideMark/>
          </w:tcPr>
          <w:p w14:paraId="1B74AD7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59.44 </w:t>
            </w:r>
          </w:p>
        </w:tc>
        <w:tc>
          <w:tcPr>
            <w:tcW w:w="732" w:type="pct"/>
            <w:shd w:val="clear" w:color="auto" w:fill="auto"/>
            <w:noWrap/>
            <w:hideMark/>
          </w:tcPr>
          <w:p w14:paraId="662FB9A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106.99 </w:t>
            </w:r>
          </w:p>
        </w:tc>
      </w:tr>
      <w:tr w:rsidR="00A046DD" w:rsidRPr="00532C20" w14:paraId="34299D31" w14:textId="77777777">
        <w:trPr>
          <w:trHeight w:val="20"/>
        </w:trPr>
        <w:tc>
          <w:tcPr>
            <w:tcW w:w="495" w:type="pct"/>
            <w:shd w:val="clear" w:color="auto" w:fill="D9D9D9"/>
            <w:noWrap/>
            <w:hideMark/>
          </w:tcPr>
          <w:p w14:paraId="321F80A0"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Netherlands</w:t>
            </w:r>
          </w:p>
        </w:tc>
        <w:tc>
          <w:tcPr>
            <w:tcW w:w="547" w:type="pct"/>
            <w:shd w:val="clear" w:color="auto" w:fill="D9D9D9"/>
            <w:noWrap/>
            <w:hideMark/>
          </w:tcPr>
          <w:p w14:paraId="7D965A2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41.76</w:t>
            </w:r>
          </w:p>
        </w:tc>
        <w:tc>
          <w:tcPr>
            <w:tcW w:w="481" w:type="pct"/>
            <w:shd w:val="clear" w:color="auto" w:fill="auto"/>
            <w:noWrap/>
            <w:hideMark/>
          </w:tcPr>
          <w:p w14:paraId="0C0E91A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10 </w:t>
            </w:r>
          </w:p>
        </w:tc>
        <w:tc>
          <w:tcPr>
            <w:tcW w:w="559" w:type="pct"/>
            <w:shd w:val="clear" w:color="auto" w:fill="auto"/>
            <w:noWrap/>
            <w:hideMark/>
          </w:tcPr>
          <w:p w14:paraId="25F729CF"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12 </w:t>
            </w:r>
          </w:p>
        </w:tc>
        <w:tc>
          <w:tcPr>
            <w:tcW w:w="509" w:type="pct"/>
            <w:shd w:val="clear" w:color="auto" w:fill="auto"/>
            <w:noWrap/>
            <w:hideMark/>
          </w:tcPr>
          <w:p w14:paraId="160BB82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15 </w:t>
            </w:r>
          </w:p>
        </w:tc>
        <w:tc>
          <w:tcPr>
            <w:tcW w:w="712" w:type="pct"/>
            <w:shd w:val="clear" w:color="auto" w:fill="auto"/>
            <w:noWrap/>
            <w:hideMark/>
          </w:tcPr>
          <w:p w14:paraId="5AA379DE"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809.47 </w:t>
            </w:r>
          </w:p>
        </w:tc>
        <w:tc>
          <w:tcPr>
            <w:tcW w:w="965" w:type="pct"/>
            <w:shd w:val="clear" w:color="auto" w:fill="auto"/>
            <w:noWrap/>
            <w:hideMark/>
          </w:tcPr>
          <w:p w14:paraId="4C87161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2,023.67 </w:t>
            </w:r>
          </w:p>
        </w:tc>
        <w:tc>
          <w:tcPr>
            <w:tcW w:w="732" w:type="pct"/>
            <w:shd w:val="clear" w:color="auto" w:fill="auto"/>
            <w:noWrap/>
            <w:hideMark/>
          </w:tcPr>
          <w:p w14:paraId="75680F8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3,642.60 </w:t>
            </w:r>
          </w:p>
        </w:tc>
      </w:tr>
      <w:tr w:rsidR="00A046DD" w:rsidRPr="00532C20" w14:paraId="34BC49CD" w14:textId="77777777">
        <w:trPr>
          <w:trHeight w:val="20"/>
        </w:trPr>
        <w:tc>
          <w:tcPr>
            <w:tcW w:w="495" w:type="pct"/>
            <w:shd w:val="clear" w:color="auto" w:fill="D9D9D9"/>
            <w:noWrap/>
            <w:hideMark/>
          </w:tcPr>
          <w:p w14:paraId="3B803C24"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Poland</w:t>
            </w:r>
          </w:p>
        </w:tc>
        <w:tc>
          <w:tcPr>
            <w:tcW w:w="547" w:type="pct"/>
            <w:shd w:val="clear" w:color="auto" w:fill="D9D9D9"/>
            <w:noWrap/>
            <w:hideMark/>
          </w:tcPr>
          <w:p w14:paraId="418FF4A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13.19</w:t>
            </w:r>
          </w:p>
        </w:tc>
        <w:tc>
          <w:tcPr>
            <w:tcW w:w="481" w:type="pct"/>
            <w:shd w:val="clear" w:color="auto" w:fill="auto"/>
            <w:noWrap/>
            <w:hideMark/>
          </w:tcPr>
          <w:p w14:paraId="4AA9F17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15 </w:t>
            </w:r>
          </w:p>
        </w:tc>
        <w:tc>
          <w:tcPr>
            <w:tcW w:w="559" w:type="pct"/>
            <w:shd w:val="clear" w:color="auto" w:fill="auto"/>
            <w:noWrap/>
            <w:hideMark/>
          </w:tcPr>
          <w:p w14:paraId="74A0C4D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19 </w:t>
            </w:r>
          </w:p>
        </w:tc>
        <w:tc>
          <w:tcPr>
            <w:tcW w:w="509" w:type="pct"/>
            <w:shd w:val="clear" w:color="auto" w:fill="auto"/>
            <w:noWrap/>
            <w:hideMark/>
          </w:tcPr>
          <w:p w14:paraId="56ACFDF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22 </w:t>
            </w:r>
          </w:p>
        </w:tc>
        <w:tc>
          <w:tcPr>
            <w:tcW w:w="712" w:type="pct"/>
            <w:shd w:val="clear" w:color="auto" w:fill="auto"/>
            <w:noWrap/>
            <w:hideMark/>
          </w:tcPr>
          <w:p w14:paraId="4597E90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391.34 </w:t>
            </w:r>
          </w:p>
        </w:tc>
        <w:tc>
          <w:tcPr>
            <w:tcW w:w="965" w:type="pct"/>
            <w:shd w:val="clear" w:color="auto" w:fill="auto"/>
            <w:noWrap/>
            <w:hideMark/>
          </w:tcPr>
          <w:p w14:paraId="6FD3E53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978.35 </w:t>
            </w:r>
          </w:p>
        </w:tc>
        <w:tc>
          <w:tcPr>
            <w:tcW w:w="732" w:type="pct"/>
            <w:shd w:val="clear" w:color="auto" w:fill="auto"/>
            <w:noWrap/>
            <w:hideMark/>
          </w:tcPr>
          <w:p w14:paraId="2F0D853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1,761.02 </w:t>
            </w:r>
          </w:p>
        </w:tc>
      </w:tr>
      <w:tr w:rsidR="00A046DD" w:rsidRPr="00532C20" w14:paraId="3958ADF8" w14:textId="77777777">
        <w:trPr>
          <w:trHeight w:val="20"/>
        </w:trPr>
        <w:tc>
          <w:tcPr>
            <w:tcW w:w="495" w:type="pct"/>
            <w:shd w:val="clear" w:color="auto" w:fill="D9D9D9"/>
            <w:noWrap/>
            <w:hideMark/>
          </w:tcPr>
          <w:p w14:paraId="36680781"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Portugal</w:t>
            </w:r>
          </w:p>
        </w:tc>
        <w:tc>
          <w:tcPr>
            <w:tcW w:w="547" w:type="pct"/>
            <w:shd w:val="clear" w:color="auto" w:fill="D9D9D9"/>
            <w:noWrap/>
            <w:hideMark/>
          </w:tcPr>
          <w:p w14:paraId="4FF4A50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20.77</w:t>
            </w:r>
          </w:p>
        </w:tc>
        <w:tc>
          <w:tcPr>
            <w:tcW w:w="481" w:type="pct"/>
            <w:shd w:val="clear" w:color="auto" w:fill="auto"/>
            <w:noWrap/>
            <w:hideMark/>
          </w:tcPr>
          <w:p w14:paraId="776BA3C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14 </w:t>
            </w:r>
          </w:p>
        </w:tc>
        <w:tc>
          <w:tcPr>
            <w:tcW w:w="559" w:type="pct"/>
            <w:shd w:val="clear" w:color="auto" w:fill="auto"/>
            <w:noWrap/>
            <w:hideMark/>
          </w:tcPr>
          <w:p w14:paraId="7776156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17 </w:t>
            </w:r>
          </w:p>
        </w:tc>
        <w:tc>
          <w:tcPr>
            <w:tcW w:w="509" w:type="pct"/>
            <w:shd w:val="clear" w:color="auto" w:fill="auto"/>
            <w:noWrap/>
            <w:hideMark/>
          </w:tcPr>
          <w:p w14:paraId="081F043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21 </w:t>
            </w:r>
          </w:p>
        </w:tc>
        <w:tc>
          <w:tcPr>
            <w:tcW w:w="712" w:type="pct"/>
            <w:shd w:val="clear" w:color="auto" w:fill="auto"/>
            <w:noWrap/>
            <w:hideMark/>
          </w:tcPr>
          <w:p w14:paraId="28F204C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571.17 </w:t>
            </w:r>
          </w:p>
        </w:tc>
        <w:tc>
          <w:tcPr>
            <w:tcW w:w="965" w:type="pct"/>
            <w:shd w:val="clear" w:color="auto" w:fill="auto"/>
            <w:noWrap/>
            <w:hideMark/>
          </w:tcPr>
          <w:p w14:paraId="67AD383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1,427.93 </w:t>
            </w:r>
          </w:p>
        </w:tc>
        <w:tc>
          <w:tcPr>
            <w:tcW w:w="732" w:type="pct"/>
            <w:shd w:val="clear" w:color="auto" w:fill="auto"/>
            <w:noWrap/>
            <w:hideMark/>
          </w:tcPr>
          <w:p w14:paraId="7B52FA4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2,570.28 </w:t>
            </w:r>
          </w:p>
        </w:tc>
      </w:tr>
      <w:tr w:rsidR="00A046DD" w:rsidRPr="00532C20" w14:paraId="28120FD3" w14:textId="77777777">
        <w:trPr>
          <w:trHeight w:val="20"/>
        </w:trPr>
        <w:tc>
          <w:tcPr>
            <w:tcW w:w="495" w:type="pct"/>
            <w:shd w:val="clear" w:color="auto" w:fill="D9D9D9"/>
            <w:noWrap/>
            <w:hideMark/>
          </w:tcPr>
          <w:p w14:paraId="1A16C8DB"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Romania</w:t>
            </w:r>
          </w:p>
        </w:tc>
        <w:tc>
          <w:tcPr>
            <w:tcW w:w="547" w:type="pct"/>
            <w:shd w:val="clear" w:color="auto" w:fill="D9D9D9"/>
            <w:noWrap/>
            <w:hideMark/>
          </w:tcPr>
          <w:p w14:paraId="77243127"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12.92</w:t>
            </w:r>
          </w:p>
        </w:tc>
        <w:tc>
          <w:tcPr>
            <w:tcW w:w="481" w:type="pct"/>
            <w:shd w:val="clear" w:color="auto" w:fill="auto"/>
            <w:noWrap/>
            <w:hideMark/>
          </w:tcPr>
          <w:p w14:paraId="427E9CD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12 </w:t>
            </w:r>
          </w:p>
        </w:tc>
        <w:tc>
          <w:tcPr>
            <w:tcW w:w="559" w:type="pct"/>
            <w:shd w:val="clear" w:color="auto" w:fill="auto"/>
            <w:noWrap/>
            <w:hideMark/>
          </w:tcPr>
          <w:p w14:paraId="0E534E0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15 </w:t>
            </w:r>
          </w:p>
        </w:tc>
        <w:tc>
          <w:tcPr>
            <w:tcW w:w="509" w:type="pct"/>
            <w:shd w:val="clear" w:color="auto" w:fill="auto"/>
            <w:noWrap/>
            <w:hideMark/>
          </w:tcPr>
          <w:p w14:paraId="2CE43FC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19 </w:t>
            </w:r>
          </w:p>
        </w:tc>
        <w:tc>
          <w:tcPr>
            <w:tcW w:w="712" w:type="pct"/>
            <w:shd w:val="clear" w:color="auto" w:fill="auto"/>
            <w:noWrap/>
            <w:hideMark/>
          </w:tcPr>
          <w:p w14:paraId="4B70613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318.86 </w:t>
            </w:r>
          </w:p>
        </w:tc>
        <w:tc>
          <w:tcPr>
            <w:tcW w:w="965" w:type="pct"/>
            <w:shd w:val="clear" w:color="auto" w:fill="auto"/>
            <w:noWrap/>
            <w:hideMark/>
          </w:tcPr>
          <w:p w14:paraId="314EF26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797.16 </w:t>
            </w:r>
          </w:p>
        </w:tc>
        <w:tc>
          <w:tcPr>
            <w:tcW w:w="732" w:type="pct"/>
            <w:shd w:val="clear" w:color="auto" w:fill="auto"/>
            <w:noWrap/>
            <w:hideMark/>
          </w:tcPr>
          <w:p w14:paraId="3CB5DDF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1,434.88 </w:t>
            </w:r>
          </w:p>
        </w:tc>
      </w:tr>
      <w:tr w:rsidR="00A046DD" w:rsidRPr="00532C20" w14:paraId="10F44DEC" w14:textId="77777777">
        <w:trPr>
          <w:trHeight w:val="20"/>
        </w:trPr>
        <w:tc>
          <w:tcPr>
            <w:tcW w:w="495" w:type="pct"/>
            <w:shd w:val="clear" w:color="auto" w:fill="D9D9D9"/>
            <w:noWrap/>
            <w:hideMark/>
          </w:tcPr>
          <w:p w14:paraId="57F5CE1E"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Slovakia</w:t>
            </w:r>
          </w:p>
        </w:tc>
        <w:tc>
          <w:tcPr>
            <w:tcW w:w="547" w:type="pct"/>
            <w:shd w:val="clear" w:color="auto" w:fill="D9D9D9"/>
            <w:noWrap/>
            <w:hideMark/>
          </w:tcPr>
          <w:p w14:paraId="0BF1452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14.27</w:t>
            </w:r>
          </w:p>
        </w:tc>
        <w:tc>
          <w:tcPr>
            <w:tcW w:w="481" w:type="pct"/>
            <w:shd w:val="clear" w:color="auto" w:fill="auto"/>
            <w:noWrap/>
            <w:hideMark/>
          </w:tcPr>
          <w:p w14:paraId="41F653AA"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 </w:t>
            </w:r>
          </w:p>
        </w:tc>
        <w:tc>
          <w:tcPr>
            <w:tcW w:w="559" w:type="pct"/>
            <w:shd w:val="clear" w:color="auto" w:fill="auto"/>
            <w:noWrap/>
            <w:hideMark/>
          </w:tcPr>
          <w:p w14:paraId="21F4759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 </w:t>
            </w:r>
          </w:p>
        </w:tc>
        <w:tc>
          <w:tcPr>
            <w:tcW w:w="509" w:type="pct"/>
            <w:shd w:val="clear" w:color="auto" w:fill="auto"/>
            <w:noWrap/>
            <w:hideMark/>
          </w:tcPr>
          <w:p w14:paraId="3A4F79E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6 </w:t>
            </w:r>
          </w:p>
        </w:tc>
        <w:tc>
          <w:tcPr>
            <w:tcW w:w="712" w:type="pct"/>
            <w:shd w:val="clear" w:color="auto" w:fill="auto"/>
            <w:noWrap/>
            <w:hideMark/>
          </w:tcPr>
          <w:p w14:paraId="16050D5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115.32 </w:t>
            </w:r>
          </w:p>
        </w:tc>
        <w:tc>
          <w:tcPr>
            <w:tcW w:w="965" w:type="pct"/>
            <w:shd w:val="clear" w:color="auto" w:fill="auto"/>
            <w:noWrap/>
            <w:hideMark/>
          </w:tcPr>
          <w:p w14:paraId="5ADD2B0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288.30 </w:t>
            </w:r>
          </w:p>
        </w:tc>
        <w:tc>
          <w:tcPr>
            <w:tcW w:w="732" w:type="pct"/>
            <w:shd w:val="clear" w:color="auto" w:fill="auto"/>
            <w:noWrap/>
            <w:hideMark/>
          </w:tcPr>
          <w:p w14:paraId="71C796E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518.93 </w:t>
            </w:r>
          </w:p>
        </w:tc>
      </w:tr>
      <w:tr w:rsidR="00A046DD" w:rsidRPr="00532C20" w14:paraId="4F9E213A" w14:textId="77777777">
        <w:trPr>
          <w:trHeight w:val="20"/>
        </w:trPr>
        <w:tc>
          <w:tcPr>
            <w:tcW w:w="495" w:type="pct"/>
            <w:shd w:val="clear" w:color="auto" w:fill="D9D9D9"/>
            <w:noWrap/>
            <w:hideMark/>
          </w:tcPr>
          <w:p w14:paraId="075E06EB"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Slovenia</w:t>
            </w:r>
          </w:p>
        </w:tc>
        <w:tc>
          <w:tcPr>
            <w:tcW w:w="547" w:type="pct"/>
            <w:shd w:val="clear" w:color="auto" w:fill="D9D9D9"/>
            <w:noWrap/>
            <w:hideMark/>
          </w:tcPr>
          <w:p w14:paraId="3D3C10F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19.51</w:t>
            </w:r>
          </w:p>
        </w:tc>
        <w:tc>
          <w:tcPr>
            <w:tcW w:w="481" w:type="pct"/>
            <w:shd w:val="clear" w:color="auto" w:fill="auto"/>
            <w:noWrap/>
            <w:hideMark/>
          </w:tcPr>
          <w:p w14:paraId="44643C15"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 </w:t>
            </w:r>
          </w:p>
        </w:tc>
        <w:tc>
          <w:tcPr>
            <w:tcW w:w="559" w:type="pct"/>
            <w:shd w:val="clear" w:color="auto" w:fill="auto"/>
            <w:noWrap/>
            <w:hideMark/>
          </w:tcPr>
          <w:p w14:paraId="5461D5B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7 </w:t>
            </w:r>
          </w:p>
        </w:tc>
        <w:tc>
          <w:tcPr>
            <w:tcW w:w="509" w:type="pct"/>
            <w:shd w:val="clear" w:color="auto" w:fill="auto"/>
            <w:noWrap/>
            <w:hideMark/>
          </w:tcPr>
          <w:p w14:paraId="48515A8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 </w:t>
            </w:r>
          </w:p>
        </w:tc>
        <w:tc>
          <w:tcPr>
            <w:tcW w:w="712" w:type="pct"/>
            <w:shd w:val="clear" w:color="auto" w:fill="auto"/>
            <w:noWrap/>
            <w:hideMark/>
          </w:tcPr>
          <w:p w14:paraId="740B911C"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208.60 </w:t>
            </w:r>
          </w:p>
        </w:tc>
        <w:tc>
          <w:tcPr>
            <w:tcW w:w="965" w:type="pct"/>
            <w:shd w:val="clear" w:color="auto" w:fill="auto"/>
            <w:noWrap/>
            <w:hideMark/>
          </w:tcPr>
          <w:p w14:paraId="7ACAE0B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521.49 </w:t>
            </w:r>
          </w:p>
        </w:tc>
        <w:tc>
          <w:tcPr>
            <w:tcW w:w="732" w:type="pct"/>
            <w:shd w:val="clear" w:color="auto" w:fill="auto"/>
            <w:noWrap/>
            <w:hideMark/>
          </w:tcPr>
          <w:p w14:paraId="541BF54B"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938.69 </w:t>
            </w:r>
          </w:p>
        </w:tc>
      </w:tr>
      <w:tr w:rsidR="00A046DD" w:rsidRPr="00532C20" w14:paraId="481C9343" w14:textId="77777777">
        <w:trPr>
          <w:trHeight w:val="20"/>
        </w:trPr>
        <w:tc>
          <w:tcPr>
            <w:tcW w:w="495" w:type="pct"/>
            <w:shd w:val="clear" w:color="auto" w:fill="D9D9D9"/>
            <w:noWrap/>
            <w:hideMark/>
          </w:tcPr>
          <w:p w14:paraId="006D85E4"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Spain</w:t>
            </w:r>
          </w:p>
        </w:tc>
        <w:tc>
          <w:tcPr>
            <w:tcW w:w="547" w:type="pct"/>
            <w:shd w:val="clear" w:color="auto" w:fill="D9D9D9"/>
            <w:noWrap/>
            <w:hideMark/>
          </w:tcPr>
          <w:p w14:paraId="04B62AD0"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29.59</w:t>
            </w:r>
          </w:p>
        </w:tc>
        <w:tc>
          <w:tcPr>
            <w:tcW w:w="481" w:type="pct"/>
            <w:shd w:val="clear" w:color="auto" w:fill="auto"/>
            <w:noWrap/>
            <w:hideMark/>
          </w:tcPr>
          <w:p w14:paraId="5B951CC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20 </w:t>
            </w:r>
          </w:p>
        </w:tc>
        <w:tc>
          <w:tcPr>
            <w:tcW w:w="559" w:type="pct"/>
            <w:shd w:val="clear" w:color="auto" w:fill="auto"/>
            <w:noWrap/>
            <w:hideMark/>
          </w:tcPr>
          <w:p w14:paraId="027D812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25 </w:t>
            </w:r>
          </w:p>
        </w:tc>
        <w:tc>
          <w:tcPr>
            <w:tcW w:w="509" w:type="pct"/>
            <w:shd w:val="clear" w:color="auto" w:fill="auto"/>
            <w:noWrap/>
            <w:hideMark/>
          </w:tcPr>
          <w:p w14:paraId="23D15A24"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30 </w:t>
            </w:r>
          </w:p>
        </w:tc>
        <w:tc>
          <w:tcPr>
            <w:tcW w:w="712" w:type="pct"/>
            <w:shd w:val="clear" w:color="auto" w:fill="auto"/>
            <w:noWrap/>
            <w:hideMark/>
          </w:tcPr>
          <w:p w14:paraId="317BD2C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1,201.95 </w:t>
            </w:r>
          </w:p>
        </w:tc>
        <w:tc>
          <w:tcPr>
            <w:tcW w:w="965" w:type="pct"/>
            <w:shd w:val="clear" w:color="auto" w:fill="auto"/>
            <w:noWrap/>
            <w:hideMark/>
          </w:tcPr>
          <w:p w14:paraId="7652C408"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3,004.88 </w:t>
            </w:r>
          </w:p>
        </w:tc>
        <w:tc>
          <w:tcPr>
            <w:tcW w:w="732" w:type="pct"/>
            <w:shd w:val="clear" w:color="auto" w:fill="auto"/>
            <w:noWrap/>
            <w:hideMark/>
          </w:tcPr>
          <w:p w14:paraId="603764A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5,408.79 </w:t>
            </w:r>
          </w:p>
        </w:tc>
      </w:tr>
      <w:tr w:rsidR="00A046DD" w:rsidRPr="00532C20" w14:paraId="60F54911" w14:textId="77777777">
        <w:trPr>
          <w:trHeight w:val="20"/>
        </w:trPr>
        <w:tc>
          <w:tcPr>
            <w:tcW w:w="495" w:type="pct"/>
            <w:shd w:val="clear" w:color="auto" w:fill="D9D9D9"/>
            <w:noWrap/>
            <w:hideMark/>
          </w:tcPr>
          <w:p w14:paraId="0B4A4736" w14:textId="77777777" w:rsidR="00A046DD" w:rsidRPr="00532C20" w:rsidRDefault="00A046DD" w:rsidP="00A046DD">
            <w:pPr>
              <w:spacing w:after="0" w:line="240" w:lineRule="auto"/>
              <w:jc w:val="both"/>
              <w:rPr>
                <w:rFonts w:ascii="Times New Roman" w:eastAsia="Times New Roman" w:hAnsi="Times New Roman" w:cs="Times New Roman"/>
                <w:b/>
                <w:noProof/>
              </w:rPr>
            </w:pPr>
            <w:r w:rsidRPr="00532C20">
              <w:rPr>
                <w:rFonts w:ascii="Times New Roman" w:eastAsia="Times New Roman" w:hAnsi="Times New Roman" w:cs="Times New Roman"/>
                <w:b/>
                <w:noProof/>
              </w:rPr>
              <w:t>Sweden</w:t>
            </w:r>
          </w:p>
        </w:tc>
        <w:tc>
          <w:tcPr>
            <w:tcW w:w="547" w:type="pct"/>
            <w:shd w:val="clear" w:color="auto" w:fill="D9D9D9"/>
            <w:noWrap/>
            <w:hideMark/>
          </w:tcPr>
          <w:p w14:paraId="3B9A9C3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43.10</w:t>
            </w:r>
          </w:p>
        </w:tc>
        <w:tc>
          <w:tcPr>
            <w:tcW w:w="481" w:type="pct"/>
            <w:shd w:val="clear" w:color="auto" w:fill="auto"/>
            <w:noWrap/>
            <w:hideMark/>
          </w:tcPr>
          <w:p w14:paraId="35689DC9"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21 </w:t>
            </w:r>
          </w:p>
        </w:tc>
        <w:tc>
          <w:tcPr>
            <w:tcW w:w="559" w:type="pct"/>
            <w:shd w:val="clear" w:color="auto" w:fill="auto"/>
            <w:noWrap/>
            <w:hideMark/>
          </w:tcPr>
          <w:p w14:paraId="097A08C1"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26 </w:t>
            </w:r>
          </w:p>
        </w:tc>
        <w:tc>
          <w:tcPr>
            <w:tcW w:w="509" w:type="pct"/>
            <w:shd w:val="clear" w:color="auto" w:fill="auto"/>
            <w:noWrap/>
            <w:hideMark/>
          </w:tcPr>
          <w:p w14:paraId="29AE9AB3"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31 </w:t>
            </w:r>
          </w:p>
        </w:tc>
        <w:tc>
          <w:tcPr>
            <w:tcW w:w="712" w:type="pct"/>
            <w:shd w:val="clear" w:color="auto" w:fill="auto"/>
            <w:noWrap/>
            <w:hideMark/>
          </w:tcPr>
          <w:p w14:paraId="2A717C8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1,780.36 </w:t>
            </w:r>
          </w:p>
        </w:tc>
        <w:tc>
          <w:tcPr>
            <w:tcW w:w="965" w:type="pct"/>
            <w:shd w:val="clear" w:color="auto" w:fill="auto"/>
            <w:noWrap/>
            <w:hideMark/>
          </w:tcPr>
          <w:p w14:paraId="5EC3F78D"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4,450.90 </w:t>
            </w:r>
          </w:p>
        </w:tc>
        <w:tc>
          <w:tcPr>
            <w:tcW w:w="732" w:type="pct"/>
            <w:shd w:val="clear" w:color="auto" w:fill="auto"/>
            <w:noWrap/>
            <w:hideMark/>
          </w:tcPr>
          <w:p w14:paraId="1EFCBD42" w14:textId="77777777" w:rsidR="00A046DD" w:rsidRPr="00532C20" w:rsidRDefault="00A046DD" w:rsidP="00A046DD">
            <w:pPr>
              <w:spacing w:after="0" w:line="240" w:lineRule="auto"/>
              <w:jc w:val="right"/>
              <w:rPr>
                <w:rFonts w:ascii="Times New Roman" w:eastAsia="Times New Roman" w:hAnsi="Times New Roman" w:cs="Times New Roman"/>
                <w:noProof/>
              </w:rPr>
            </w:pPr>
            <w:r w:rsidRPr="00532C20">
              <w:rPr>
                <w:rFonts w:ascii="Times New Roman" w:eastAsia="Times New Roman" w:hAnsi="Times New Roman" w:cs="Times New Roman"/>
                <w:noProof/>
              </w:rPr>
              <w:t xml:space="preserve"> 8,011.62 </w:t>
            </w:r>
          </w:p>
        </w:tc>
      </w:tr>
      <w:tr w:rsidR="00A046DD" w:rsidRPr="00532C20" w14:paraId="435A3F7F" w14:textId="77777777">
        <w:trPr>
          <w:trHeight w:val="20"/>
        </w:trPr>
        <w:tc>
          <w:tcPr>
            <w:tcW w:w="1042" w:type="pct"/>
            <w:gridSpan w:val="2"/>
            <w:shd w:val="clear" w:color="auto" w:fill="0C4DA2"/>
            <w:noWrap/>
            <w:hideMark/>
          </w:tcPr>
          <w:p w14:paraId="3D0104F1" w14:textId="77777777" w:rsidR="00A046DD" w:rsidRPr="00313F32" w:rsidRDefault="00A046DD" w:rsidP="00A046DD">
            <w:pPr>
              <w:spacing w:after="0" w:line="240" w:lineRule="auto"/>
              <w:jc w:val="right"/>
              <w:rPr>
                <w:rFonts w:ascii="Times New Roman" w:eastAsia="Times New Roman" w:hAnsi="Times New Roman" w:cs="Times New Roman"/>
                <w:b/>
                <w:noProof/>
                <w:color w:val="FFFFFF" w:themeColor="background1"/>
              </w:rPr>
            </w:pPr>
            <w:r w:rsidRPr="00313F32">
              <w:rPr>
                <w:rFonts w:ascii="Times New Roman" w:eastAsia="Times New Roman" w:hAnsi="Times New Roman" w:cs="Times New Roman"/>
                <w:b/>
                <w:noProof/>
                <w:color w:val="FFFFFF" w:themeColor="background1"/>
              </w:rPr>
              <w:t>Total</w:t>
            </w:r>
          </w:p>
        </w:tc>
        <w:tc>
          <w:tcPr>
            <w:tcW w:w="481" w:type="pct"/>
            <w:shd w:val="clear" w:color="auto" w:fill="D9D9D9"/>
            <w:noWrap/>
            <w:hideMark/>
          </w:tcPr>
          <w:p w14:paraId="6B275D60" w14:textId="77777777" w:rsidR="00A046DD" w:rsidRPr="00532C20" w:rsidRDefault="00A046DD" w:rsidP="00A046DD">
            <w:pPr>
              <w:spacing w:after="0" w:line="240" w:lineRule="auto"/>
              <w:jc w:val="right"/>
              <w:rPr>
                <w:rFonts w:ascii="Times New Roman" w:eastAsia="Times New Roman" w:hAnsi="Times New Roman" w:cs="Times New Roman"/>
                <w:b/>
                <w:noProof/>
              </w:rPr>
            </w:pPr>
            <w:r w:rsidRPr="00532C20">
              <w:rPr>
                <w:rFonts w:ascii="Times New Roman" w:eastAsia="Times New Roman" w:hAnsi="Times New Roman" w:cs="Times New Roman"/>
                <w:b/>
                <w:noProof/>
              </w:rPr>
              <w:t xml:space="preserve"> 712 </w:t>
            </w:r>
          </w:p>
        </w:tc>
        <w:tc>
          <w:tcPr>
            <w:tcW w:w="559" w:type="pct"/>
            <w:shd w:val="clear" w:color="auto" w:fill="D9D9D9"/>
            <w:noWrap/>
            <w:hideMark/>
          </w:tcPr>
          <w:p w14:paraId="6036252F" w14:textId="77777777" w:rsidR="00A046DD" w:rsidRPr="00532C20" w:rsidRDefault="00A046DD" w:rsidP="00A046DD">
            <w:pPr>
              <w:spacing w:after="0" w:line="240" w:lineRule="auto"/>
              <w:jc w:val="right"/>
              <w:rPr>
                <w:rFonts w:ascii="Times New Roman" w:eastAsia="Times New Roman" w:hAnsi="Times New Roman" w:cs="Times New Roman"/>
                <w:b/>
                <w:noProof/>
              </w:rPr>
            </w:pPr>
            <w:r w:rsidRPr="00532C20">
              <w:rPr>
                <w:rFonts w:ascii="Times New Roman" w:eastAsia="Times New Roman" w:hAnsi="Times New Roman" w:cs="Times New Roman"/>
                <w:b/>
                <w:noProof/>
              </w:rPr>
              <w:t xml:space="preserve"> 890 </w:t>
            </w:r>
          </w:p>
        </w:tc>
        <w:tc>
          <w:tcPr>
            <w:tcW w:w="509" w:type="pct"/>
            <w:shd w:val="clear" w:color="auto" w:fill="D9D9D9"/>
            <w:noWrap/>
            <w:hideMark/>
          </w:tcPr>
          <w:p w14:paraId="183D58EA" w14:textId="77777777" w:rsidR="00A046DD" w:rsidRPr="00532C20" w:rsidRDefault="00A046DD" w:rsidP="00A046DD">
            <w:pPr>
              <w:spacing w:after="0" w:line="240" w:lineRule="auto"/>
              <w:jc w:val="right"/>
              <w:rPr>
                <w:rFonts w:ascii="Times New Roman" w:eastAsia="Times New Roman" w:hAnsi="Times New Roman" w:cs="Times New Roman"/>
                <w:b/>
                <w:noProof/>
              </w:rPr>
            </w:pPr>
            <w:r w:rsidRPr="00532C20">
              <w:rPr>
                <w:rFonts w:ascii="Times New Roman" w:eastAsia="Times New Roman" w:hAnsi="Times New Roman" w:cs="Times New Roman"/>
                <w:b/>
                <w:noProof/>
              </w:rPr>
              <w:t xml:space="preserve"> 1,068</w:t>
            </w:r>
          </w:p>
        </w:tc>
        <w:tc>
          <w:tcPr>
            <w:tcW w:w="712" w:type="pct"/>
            <w:shd w:val="clear" w:color="auto" w:fill="D9D9D9"/>
            <w:noWrap/>
            <w:hideMark/>
          </w:tcPr>
          <w:p w14:paraId="0488BE83" w14:textId="77777777" w:rsidR="00A046DD" w:rsidRPr="00532C20" w:rsidRDefault="00A046DD" w:rsidP="00A046DD">
            <w:pPr>
              <w:spacing w:after="0" w:line="240" w:lineRule="auto"/>
              <w:jc w:val="right"/>
              <w:rPr>
                <w:rFonts w:ascii="Times New Roman" w:eastAsia="Times New Roman" w:hAnsi="Times New Roman" w:cs="Times New Roman"/>
                <w:b/>
                <w:noProof/>
              </w:rPr>
            </w:pPr>
            <w:r w:rsidRPr="00532C20">
              <w:rPr>
                <w:rFonts w:ascii="Times New Roman" w:eastAsia="Times New Roman" w:hAnsi="Times New Roman" w:cs="Times New Roman"/>
                <w:b/>
                <w:noProof/>
              </w:rPr>
              <w:t xml:space="preserve"> 56,949.82 </w:t>
            </w:r>
          </w:p>
        </w:tc>
        <w:tc>
          <w:tcPr>
            <w:tcW w:w="965" w:type="pct"/>
            <w:shd w:val="clear" w:color="auto" w:fill="D9D9D9"/>
            <w:noWrap/>
          </w:tcPr>
          <w:p w14:paraId="0D014F3B" w14:textId="77777777" w:rsidR="00A046DD" w:rsidRPr="00532C20" w:rsidRDefault="00A046DD" w:rsidP="00A046DD">
            <w:pPr>
              <w:spacing w:after="0" w:line="240" w:lineRule="auto"/>
              <w:jc w:val="right"/>
              <w:rPr>
                <w:rFonts w:ascii="Times New Roman" w:eastAsia="Times New Roman" w:hAnsi="Times New Roman" w:cs="Times New Roman"/>
                <w:b/>
                <w:noProof/>
              </w:rPr>
            </w:pPr>
            <w:r w:rsidRPr="00532C20">
              <w:rPr>
                <w:rFonts w:ascii="Times New Roman" w:eastAsia="Times New Roman" w:hAnsi="Times New Roman" w:cs="Times New Roman"/>
                <w:b/>
                <w:noProof/>
              </w:rPr>
              <w:t xml:space="preserve"> 142,374.54 </w:t>
            </w:r>
          </w:p>
        </w:tc>
        <w:tc>
          <w:tcPr>
            <w:tcW w:w="732" w:type="pct"/>
            <w:shd w:val="clear" w:color="auto" w:fill="D9D9D9"/>
            <w:noWrap/>
          </w:tcPr>
          <w:p w14:paraId="06494149" w14:textId="77777777" w:rsidR="00A046DD" w:rsidRPr="00532C20" w:rsidRDefault="00A046DD" w:rsidP="00A046DD">
            <w:pPr>
              <w:spacing w:after="0" w:line="240" w:lineRule="auto"/>
              <w:jc w:val="right"/>
              <w:rPr>
                <w:rFonts w:ascii="Times New Roman" w:eastAsia="Times New Roman" w:hAnsi="Times New Roman" w:cs="Times New Roman"/>
                <w:b/>
                <w:noProof/>
              </w:rPr>
            </w:pPr>
            <w:r w:rsidRPr="00532C20">
              <w:rPr>
                <w:rFonts w:ascii="Times New Roman" w:eastAsia="Times New Roman" w:hAnsi="Times New Roman" w:cs="Times New Roman"/>
                <w:b/>
                <w:noProof/>
              </w:rPr>
              <w:t xml:space="preserve"> 256,274.18</w:t>
            </w:r>
          </w:p>
        </w:tc>
      </w:tr>
    </w:tbl>
    <w:p w14:paraId="7842CAE4" w14:textId="77777777" w:rsidR="00A046DD" w:rsidRPr="005833C4" w:rsidRDefault="00A046DD" w:rsidP="00A046DD">
      <w:pPr>
        <w:spacing w:before="120" w:after="120" w:line="240" w:lineRule="auto"/>
        <w:jc w:val="both"/>
        <w:rPr>
          <w:rFonts w:ascii="Times New Roman" w:eastAsia="Times New Roman" w:hAnsi="Times New Roman" w:cs="Times New Roman"/>
          <w:noProof/>
          <w:sz w:val="20"/>
          <w:szCs w:val="20"/>
        </w:rPr>
      </w:pPr>
      <w:r w:rsidRPr="005833C4">
        <w:rPr>
          <w:rFonts w:ascii="Times New Roman" w:eastAsia="Times New Roman" w:hAnsi="Times New Roman" w:cs="Times New Roman"/>
          <w:noProof/>
          <w:sz w:val="20"/>
          <w:szCs w:val="20"/>
          <w:vertAlign w:val="superscript"/>
        </w:rPr>
        <w:t xml:space="preserve">(1) </w:t>
      </w:r>
      <w:r w:rsidRPr="005833C4">
        <w:rPr>
          <w:rFonts w:ascii="Times New Roman" w:eastAsia="Times New Roman" w:hAnsi="Times New Roman" w:cs="Times New Roman"/>
          <w:noProof/>
          <w:sz w:val="20"/>
          <w:szCs w:val="20"/>
        </w:rPr>
        <w:t>EU wage tariffs: Hourly earnings 2018 plus non-wage labour costs (NWLC) and 25% overheads (OH), per Member State and ISCO (International Standard Classification of Occupations) category, last updated January 2021. ISCO 2 covers professionals, including legal, social and cultural professionals.</w:t>
      </w:r>
    </w:p>
    <w:p w14:paraId="356E9247"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sectPr w:rsidR="00A046DD" w:rsidRPr="00532C20" w:rsidSect="00601023">
          <w:headerReference w:type="even" r:id="rId63"/>
          <w:headerReference w:type="default" r:id="rId64"/>
          <w:footerReference w:type="even" r:id="rId65"/>
          <w:footerReference w:type="default" r:id="rId66"/>
          <w:headerReference w:type="first" r:id="rId67"/>
          <w:footerReference w:type="first" r:id="rId68"/>
          <w:pgSz w:w="16838" w:h="11906" w:orient="landscape" w:code="9"/>
          <w:pgMar w:top="873" w:right="873" w:bottom="873" w:left="873" w:header="567" w:footer="454" w:gutter="0"/>
          <w:cols w:space="708"/>
          <w:docGrid w:linePitch="360"/>
        </w:sectPr>
      </w:pPr>
    </w:p>
    <w:p w14:paraId="6A8A766E" w14:textId="31D6C616" w:rsidR="00182B2F" w:rsidRPr="00532C20" w:rsidRDefault="00182B2F" w:rsidP="00563021">
      <w:pPr>
        <w:pStyle w:val="ListParagraph"/>
        <w:numPr>
          <w:ilvl w:val="3"/>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 xml:space="preserve">Registration and information update costs </w:t>
      </w:r>
    </w:p>
    <w:p w14:paraId="6FFC045F"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The second cost type examined is the need for entities within scope to conduct initial activities to either: i) register; or ii) update or add information to an existing registrant profile. In both cases, this cost type will be one-off and occur in year 1 of the proposed intervention. The nature of the practical changes required for each entity conducting interest representation activities within scope would depend on:</w:t>
      </w:r>
    </w:p>
    <w:p w14:paraId="324094D8" w14:textId="77777777" w:rsidR="00A046DD" w:rsidRPr="00532C20" w:rsidRDefault="00A046DD" w:rsidP="002B0B48">
      <w:pPr>
        <w:numPr>
          <w:ilvl w:val="0"/>
          <w:numId w:val="64"/>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Whether a transparency register for interest representation or lobbying already exists in an entity’s Member State(s) of operation; and</w:t>
      </w:r>
    </w:p>
    <w:p w14:paraId="729ADE55" w14:textId="77777777" w:rsidR="00A046DD" w:rsidRPr="00532C20" w:rsidRDefault="00A046DD" w:rsidP="002B0B48">
      <w:pPr>
        <w:numPr>
          <w:ilvl w:val="0"/>
          <w:numId w:val="64"/>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In Member States with existing transparency registers, whether such entities are already registered.</w:t>
      </w:r>
    </w:p>
    <w:p w14:paraId="3A50681A"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Considering the first point, the below table summarises the situation as regards existing Member State legal regimes / registers, and the type of action entities carrying out interest representation activities will need to take in each country.</w:t>
      </w:r>
    </w:p>
    <w:p w14:paraId="39B685C9" w14:textId="21D731A3"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bookmarkStart w:id="1178" w:name="_Toc140752082"/>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24</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Overview of Member State legal frameworks and resulting compliance activities under the proposed policy options</w:t>
      </w:r>
      <w:bookmarkEnd w:id="1178"/>
    </w:p>
    <w:tbl>
      <w:tblPr>
        <w:tblStyle w:val="12uCharChar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974"/>
        <w:gridCol w:w="881"/>
        <w:gridCol w:w="1895"/>
        <w:gridCol w:w="1894"/>
        <w:gridCol w:w="1577"/>
      </w:tblGrid>
      <w:tr w:rsidR="00A046DD" w:rsidRPr="00532C20" w14:paraId="0FD64CEB" w14:textId="77777777">
        <w:trPr>
          <w:cnfStyle w:val="100000000000" w:firstRow="1" w:lastRow="0" w:firstColumn="0" w:lastColumn="0" w:oddVBand="0" w:evenVBand="0" w:oddHBand="0" w:evenHBand="0" w:firstRowFirstColumn="0" w:firstRowLastColumn="0" w:lastRowFirstColumn="0" w:lastRowLastColumn="0"/>
          <w:trHeight w:val="20"/>
        </w:trPr>
        <w:tc>
          <w:tcPr>
            <w:tcW w:w="805" w:type="pct"/>
            <w:vMerge w:val="restart"/>
            <w:shd w:val="clear" w:color="auto" w:fill="002060"/>
            <w:noWrap/>
            <w:vAlign w:val="center"/>
            <w:hideMark/>
          </w:tcPr>
          <w:p w14:paraId="2A374FC8" w14:textId="77777777" w:rsidR="00A046DD" w:rsidRPr="00532C20" w:rsidRDefault="00A046DD" w:rsidP="00A046DD">
            <w:pPr>
              <w:jc w:val="center"/>
              <w:rPr>
                <w:rFonts w:ascii="Times New Roman" w:eastAsia="Times" w:hAnsi="Times New Roman" w:cs="Times"/>
                <w:b/>
                <w:noProof/>
                <w:color w:val="auto"/>
                <w:sz w:val="24"/>
                <w:szCs w:val="24"/>
                <w:lang w:val="en-GB"/>
              </w:rPr>
            </w:pPr>
            <w:r w:rsidRPr="00532C20">
              <w:rPr>
                <w:rFonts w:ascii="Times New Roman" w:eastAsia="Times" w:hAnsi="Times New Roman" w:cstheme="minorBidi"/>
                <w:b/>
                <w:noProof/>
                <w:sz w:val="24"/>
                <w:szCs w:val="24"/>
                <w:lang w:val="fr-FR"/>
              </w:rPr>
              <w:t>Country</w:t>
            </w:r>
          </w:p>
        </w:tc>
        <w:tc>
          <w:tcPr>
            <w:tcW w:w="2178" w:type="pct"/>
            <w:gridSpan w:val="3"/>
            <w:shd w:val="clear" w:color="auto" w:fill="002060"/>
            <w:noWrap/>
            <w:vAlign w:val="center"/>
            <w:hideMark/>
          </w:tcPr>
          <w:p w14:paraId="26FC6461" w14:textId="77777777" w:rsidR="00A046DD" w:rsidRPr="00532C20" w:rsidRDefault="00A046DD" w:rsidP="00A046DD">
            <w:pPr>
              <w:jc w:val="center"/>
              <w:rPr>
                <w:rFonts w:ascii="Times New Roman" w:eastAsia="Times" w:hAnsi="Times New Roman" w:cs="Times"/>
                <w:b/>
                <w:noProof/>
                <w:color w:val="auto"/>
                <w:sz w:val="24"/>
                <w:szCs w:val="24"/>
                <w:lang w:val="en-GB"/>
              </w:rPr>
            </w:pPr>
            <w:r w:rsidRPr="00532C20">
              <w:rPr>
                <w:rFonts w:ascii="Times New Roman" w:eastAsia="Times" w:hAnsi="Times New Roman" w:cstheme="minorBidi"/>
                <w:b/>
                <w:noProof/>
                <w:sz w:val="24"/>
                <w:szCs w:val="24"/>
                <w:lang w:val="fr-FR"/>
              </w:rPr>
              <w:t>Current legal framework</w:t>
            </w:r>
          </w:p>
        </w:tc>
        <w:tc>
          <w:tcPr>
            <w:tcW w:w="2016" w:type="pct"/>
            <w:gridSpan w:val="2"/>
            <w:shd w:val="clear" w:color="auto" w:fill="002060"/>
            <w:vAlign w:val="center"/>
          </w:tcPr>
          <w:p w14:paraId="3BA3A3F9" w14:textId="77777777" w:rsidR="00A046DD" w:rsidRPr="00532C20" w:rsidRDefault="00A046DD" w:rsidP="00A046DD">
            <w:pPr>
              <w:jc w:val="center"/>
              <w:rPr>
                <w:rFonts w:ascii="Times New Roman" w:eastAsia="Times" w:hAnsi="Times New Roman" w:cs="Times"/>
                <w:b/>
                <w:noProof/>
                <w:color w:val="auto"/>
                <w:sz w:val="24"/>
                <w:szCs w:val="24"/>
                <w:lang w:val="en-GB"/>
              </w:rPr>
            </w:pPr>
            <w:r w:rsidRPr="00532C20">
              <w:rPr>
                <w:rFonts w:ascii="Times New Roman" w:eastAsia="Times" w:hAnsi="Times New Roman" w:cstheme="minorBidi"/>
                <w:b/>
                <w:noProof/>
                <w:sz w:val="24"/>
                <w:szCs w:val="24"/>
                <w:lang w:val="en-IE"/>
              </w:rPr>
              <w:t>Immediate activities required by entities within scope</w:t>
            </w:r>
          </w:p>
        </w:tc>
      </w:tr>
      <w:tr w:rsidR="00A046DD" w:rsidRPr="00532C20" w14:paraId="5FE4E1A1" w14:textId="77777777">
        <w:trPr>
          <w:trHeight w:val="20"/>
        </w:trPr>
        <w:tc>
          <w:tcPr>
            <w:tcW w:w="805" w:type="pct"/>
            <w:vMerge/>
            <w:hideMark/>
          </w:tcPr>
          <w:p w14:paraId="2B519576" w14:textId="77777777" w:rsidR="00A046DD" w:rsidRPr="00532C20" w:rsidRDefault="00A046DD" w:rsidP="00A046DD">
            <w:pPr>
              <w:rPr>
                <w:rFonts w:ascii="Times New Roman" w:eastAsia="Times" w:hAnsi="Times New Roman" w:cs="Times"/>
                <w:noProof/>
                <w:sz w:val="24"/>
                <w:szCs w:val="24"/>
                <w:lang w:val="en-GB"/>
              </w:rPr>
            </w:pPr>
          </w:p>
        </w:tc>
        <w:tc>
          <w:tcPr>
            <w:tcW w:w="565" w:type="pct"/>
            <w:shd w:val="clear" w:color="auto" w:fill="0C4DA2"/>
            <w:noWrap/>
            <w:vAlign w:val="center"/>
            <w:hideMark/>
          </w:tcPr>
          <w:p w14:paraId="73DF8B48" w14:textId="77777777" w:rsidR="00A046DD" w:rsidRPr="00313F32" w:rsidRDefault="00A046DD" w:rsidP="00A046DD">
            <w:pPr>
              <w:jc w:val="center"/>
              <w:rPr>
                <w:rFonts w:ascii="Times New Roman" w:eastAsia="Times" w:hAnsi="Times New Roman" w:cs="Times"/>
                <w:b/>
                <w:noProof/>
                <w:color w:val="FFFFFF"/>
                <w:sz w:val="24"/>
                <w:szCs w:val="24"/>
                <w:lang w:val="en-GB"/>
              </w:rPr>
            </w:pPr>
            <w:r w:rsidRPr="00313F32">
              <w:rPr>
                <w:rFonts w:ascii="Times New Roman" w:eastAsia="Times" w:hAnsi="Times New Roman"/>
                <w:b/>
                <w:noProof/>
                <w:color w:val="FFFFFF"/>
                <w:sz w:val="24"/>
                <w:szCs w:val="24"/>
                <w:lang w:val="fr-FR"/>
              </w:rPr>
              <w:t>Existing law</w:t>
            </w:r>
            <w:r w:rsidRPr="00313F32">
              <w:rPr>
                <w:rFonts w:ascii="Times New Roman" w:eastAsia="Times" w:hAnsi="Times New Roman"/>
                <w:b/>
                <w:noProof/>
                <w:color w:val="FFFFFF"/>
                <w:sz w:val="24"/>
                <w:szCs w:val="24"/>
                <w:vertAlign w:val="superscript"/>
                <w:lang w:val="fr-FR"/>
              </w:rPr>
              <w:t>(1)</w:t>
            </w:r>
          </w:p>
        </w:tc>
        <w:tc>
          <w:tcPr>
            <w:tcW w:w="512" w:type="pct"/>
            <w:shd w:val="clear" w:color="auto" w:fill="0C4DA2"/>
            <w:noWrap/>
            <w:vAlign w:val="center"/>
            <w:hideMark/>
          </w:tcPr>
          <w:p w14:paraId="61EF4AEE" w14:textId="77777777" w:rsidR="00A046DD" w:rsidRPr="00313F32" w:rsidRDefault="00A046DD" w:rsidP="00A046DD">
            <w:pPr>
              <w:jc w:val="center"/>
              <w:rPr>
                <w:rFonts w:ascii="Times New Roman" w:eastAsia="Times" w:hAnsi="Times New Roman" w:cs="Times"/>
                <w:b/>
                <w:noProof/>
                <w:color w:val="FFFFFF"/>
                <w:sz w:val="24"/>
                <w:szCs w:val="24"/>
                <w:lang w:val="en-GB"/>
              </w:rPr>
            </w:pPr>
            <w:r w:rsidRPr="00313F32">
              <w:rPr>
                <w:rFonts w:ascii="Times New Roman" w:eastAsia="Times" w:hAnsi="Times New Roman"/>
                <w:b/>
                <w:noProof/>
                <w:color w:val="FFFFFF"/>
                <w:sz w:val="24"/>
                <w:szCs w:val="24"/>
                <w:lang w:val="fr-FR"/>
              </w:rPr>
              <w:t>Existing register</w:t>
            </w:r>
          </w:p>
        </w:tc>
        <w:tc>
          <w:tcPr>
            <w:tcW w:w="1101" w:type="pct"/>
            <w:shd w:val="clear" w:color="auto" w:fill="0C4DA2"/>
            <w:vAlign w:val="center"/>
          </w:tcPr>
          <w:p w14:paraId="341A7D61" w14:textId="77777777" w:rsidR="00A046DD" w:rsidRPr="00313F32" w:rsidRDefault="00A046DD" w:rsidP="00A046DD">
            <w:pPr>
              <w:jc w:val="center"/>
              <w:rPr>
                <w:rFonts w:ascii="Times New Roman" w:eastAsia="Times" w:hAnsi="Times New Roman" w:cs="Times"/>
                <w:b/>
                <w:noProof/>
                <w:color w:val="FFFFFF"/>
                <w:sz w:val="24"/>
                <w:szCs w:val="24"/>
                <w:lang w:val="en-GB"/>
              </w:rPr>
            </w:pPr>
            <w:r w:rsidRPr="00313F32">
              <w:rPr>
                <w:rFonts w:ascii="Times New Roman" w:eastAsia="Times" w:hAnsi="Times New Roman"/>
                <w:b/>
                <w:noProof/>
                <w:color w:val="FFFFFF"/>
                <w:sz w:val="24"/>
                <w:szCs w:val="24"/>
                <w:lang w:val="fr-FR"/>
              </w:rPr>
              <w:t>Existing monitoring &amp; enforcement regime</w:t>
            </w:r>
          </w:p>
        </w:tc>
        <w:tc>
          <w:tcPr>
            <w:tcW w:w="1100" w:type="pct"/>
            <w:shd w:val="clear" w:color="auto" w:fill="0C4DA2"/>
            <w:noWrap/>
            <w:vAlign w:val="center"/>
          </w:tcPr>
          <w:p w14:paraId="7748C1CF" w14:textId="77777777" w:rsidR="00A046DD" w:rsidRPr="00313F32" w:rsidRDefault="00A046DD" w:rsidP="00A046DD">
            <w:pPr>
              <w:jc w:val="center"/>
              <w:rPr>
                <w:rFonts w:ascii="Times New Roman" w:eastAsia="Times" w:hAnsi="Times New Roman" w:cs="Times"/>
                <w:b/>
                <w:noProof/>
                <w:color w:val="FFFFFF"/>
                <w:sz w:val="24"/>
                <w:szCs w:val="24"/>
                <w:lang w:val="en-GB"/>
              </w:rPr>
            </w:pPr>
            <w:r w:rsidRPr="00313F32">
              <w:rPr>
                <w:rFonts w:ascii="Times New Roman" w:eastAsia="Times" w:hAnsi="Times New Roman"/>
                <w:b/>
                <w:noProof/>
                <w:color w:val="FFFFFF"/>
                <w:sz w:val="24"/>
                <w:szCs w:val="24"/>
                <w:lang w:val="fr-FR"/>
              </w:rPr>
              <w:t>Initial Registration</w:t>
            </w:r>
          </w:p>
        </w:tc>
        <w:tc>
          <w:tcPr>
            <w:tcW w:w="916" w:type="pct"/>
            <w:shd w:val="clear" w:color="auto" w:fill="0C4DA2"/>
            <w:noWrap/>
            <w:vAlign w:val="center"/>
          </w:tcPr>
          <w:p w14:paraId="3D401EA8" w14:textId="77777777" w:rsidR="00A046DD" w:rsidRPr="00313F32" w:rsidRDefault="00A046DD" w:rsidP="00A046DD">
            <w:pPr>
              <w:jc w:val="center"/>
              <w:rPr>
                <w:rFonts w:ascii="Times New Roman" w:eastAsia="Times" w:hAnsi="Times New Roman" w:cs="Times"/>
                <w:b/>
                <w:noProof/>
                <w:color w:val="FFFFFF"/>
                <w:sz w:val="24"/>
                <w:szCs w:val="24"/>
                <w:lang w:val="en-GB"/>
              </w:rPr>
            </w:pPr>
            <w:r w:rsidRPr="00313F32">
              <w:rPr>
                <w:rFonts w:ascii="Times New Roman" w:eastAsia="Times" w:hAnsi="Times New Roman"/>
                <w:b/>
                <w:noProof/>
                <w:color w:val="FFFFFF"/>
                <w:sz w:val="24"/>
                <w:szCs w:val="24"/>
                <w:lang w:val="fr-FR"/>
              </w:rPr>
              <w:t>Information update</w:t>
            </w:r>
          </w:p>
        </w:tc>
      </w:tr>
      <w:tr w:rsidR="00A046DD" w:rsidRPr="00532C20" w14:paraId="08211A50" w14:textId="77777777">
        <w:trPr>
          <w:trHeight w:val="20"/>
        </w:trPr>
        <w:tc>
          <w:tcPr>
            <w:tcW w:w="805" w:type="pct"/>
            <w:shd w:val="clear" w:color="auto" w:fill="D9D9D9"/>
            <w:noWrap/>
            <w:vAlign w:val="center"/>
            <w:hideMark/>
          </w:tcPr>
          <w:p w14:paraId="6AB0CC15"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Austria</w:t>
            </w:r>
          </w:p>
        </w:tc>
        <w:tc>
          <w:tcPr>
            <w:tcW w:w="565" w:type="pct"/>
            <w:shd w:val="clear" w:color="auto" w:fill="auto"/>
            <w:noWrap/>
            <w:vAlign w:val="center"/>
            <w:hideMark/>
          </w:tcPr>
          <w:p w14:paraId="1B921F5E"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4FCA158A"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16A93869"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0" w:type="pct"/>
            <w:shd w:val="clear" w:color="auto" w:fill="auto"/>
            <w:noWrap/>
            <w:vAlign w:val="center"/>
          </w:tcPr>
          <w:p w14:paraId="74E5CF7C" w14:textId="77777777" w:rsidR="00A046DD" w:rsidRPr="00532C20" w:rsidRDefault="00A046DD" w:rsidP="00A046DD">
            <w:pPr>
              <w:jc w:val="center"/>
              <w:rPr>
                <w:rFonts w:ascii="Times New Roman" w:eastAsia="Times" w:hAnsi="Times New Roman" w:cs="Times"/>
                <w:noProof/>
                <w:sz w:val="24"/>
                <w:szCs w:val="24"/>
                <w:lang w:val="en-GB"/>
              </w:rPr>
            </w:pPr>
          </w:p>
        </w:tc>
        <w:tc>
          <w:tcPr>
            <w:tcW w:w="916" w:type="pct"/>
            <w:shd w:val="clear" w:color="auto" w:fill="auto"/>
            <w:noWrap/>
            <w:vAlign w:val="center"/>
          </w:tcPr>
          <w:p w14:paraId="2F55C2DB"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r>
      <w:tr w:rsidR="00A046DD" w:rsidRPr="00532C20" w14:paraId="69C39785" w14:textId="77777777">
        <w:trPr>
          <w:trHeight w:val="20"/>
        </w:trPr>
        <w:tc>
          <w:tcPr>
            <w:tcW w:w="805" w:type="pct"/>
            <w:shd w:val="clear" w:color="auto" w:fill="D9D9D9"/>
            <w:noWrap/>
            <w:vAlign w:val="center"/>
            <w:hideMark/>
          </w:tcPr>
          <w:p w14:paraId="78FB1EDD"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Belgium</w:t>
            </w:r>
          </w:p>
        </w:tc>
        <w:tc>
          <w:tcPr>
            <w:tcW w:w="565" w:type="pct"/>
            <w:shd w:val="clear" w:color="auto" w:fill="auto"/>
            <w:noWrap/>
            <w:vAlign w:val="center"/>
            <w:hideMark/>
          </w:tcPr>
          <w:p w14:paraId="54DC0024"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16FE48A9"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imes"/>
                <w:noProof/>
                <w:sz w:val="24"/>
                <w:szCs w:val="24"/>
                <w:vertAlign w:val="superscript"/>
                <w:lang w:val="fr-FR"/>
              </w:rPr>
              <w:t>(2)</w:t>
            </w:r>
          </w:p>
        </w:tc>
        <w:tc>
          <w:tcPr>
            <w:tcW w:w="1101" w:type="pct"/>
            <w:shd w:val="clear" w:color="auto" w:fill="auto"/>
            <w:vAlign w:val="center"/>
          </w:tcPr>
          <w:p w14:paraId="34363E3B"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1FFE382D" w14:textId="77777777" w:rsidR="00A046DD" w:rsidRPr="00532C20" w:rsidRDefault="00A046DD" w:rsidP="00A046DD">
            <w:pPr>
              <w:jc w:val="center"/>
              <w:rPr>
                <w:rFonts w:ascii="Times New Roman" w:eastAsia="Times" w:hAnsi="Times New Roman" w:cs="Times"/>
                <w:noProof/>
                <w:sz w:val="24"/>
                <w:szCs w:val="24"/>
                <w:lang w:val="en-GB"/>
              </w:rPr>
            </w:pPr>
          </w:p>
        </w:tc>
        <w:tc>
          <w:tcPr>
            <w:tcW w:w="916" w:type="pct"/>
            <w:shd w:val="clear" w:color="auto" w:fill="auto"/>
            <w:noWrap/>
            <w:vAlign w:val="center"/>
          </w:tcPr>
          <w:p w14:paraId="76BDC88C"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r>
      <w:tr w:rsidR="00A046DD" w:rsidRPr="00532C20" w14:paraId="554187EB" w14:textId="77777777">
        <w:trPr>
          <w:trHeight w:val="20"/>
        </w:trPr>
        <w:tc>
          <w:tcPr>
            <w:tcW w:w="805" w:type="pct"/>
            <w:shd w:val="clear" w:color="auto" w:fill="D9D9D9"/>
            <w:noWrap/>
            <w:vAlign w:val="center"/>
            <w:hideMark/>
          </w:tcPr>
          <w:p w14:paraId="0F98C27B"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Bulgaria</w:t>
            </w:r>
          </w:p>
        </w:tc>
        <w:tc>
          <w:tcPr>
            <w:tcW w:w="565" w:type="pct"/>
            <w:shd w:val="clear" w:color="auto" w:fill="auto"/>
            <w:noWrap/>
            <w:vAlign w:val="center"/>
            <w:hideMark/>
          </w:tcPr>
          <w:p w14:paraId="72699124" w14:textId="77777777" w:rsidR="00A046DD" w:rsidRPr="00532C20" w:rsidRDefault="00A046DD" w:rsidP="00A046DD">
            <w:pPr>
              <w:jc w:val="center"/>
              <w:rPr>
                <w:rFonts w:ascii="Times New Roman" w:eastAsia="Times" w:hAnsi="Times New Roman" w:cs="Times"/>
                <w:noProof/>
                <w:sz w:val="24"/>
                <w:szCs w:val="24"/>
                <w:lang w:val="en-GB"/>
              </w:rPr>
            </w:pPr>
          </w:p>
        </w:tc>
        <w:tc>
          <w:tcPr>
            <w:tcW w:w="512" w:type="pct"/>
            <w:shd w:val="clear" w:color="auto" w:fill="auto"/>
            <w:noWrap/>
            <w:vAlign w:val="center"/>
            <w:hideMark/>
          </w:tcPr>
          <w:p w14:paraId="56F21594" w14:textId="77777777" w:rsidR="00A046DD" w:rsidRPr="00532C20" w:rsidRDefault="00A046DD" w:rsidP="00A046DD">
            <w:pPr>
              <w:jc w:val="center"/>
              <w:rPr>
                <w:rFonts w:ascii="Times New Roman" w:eastAsia="Times" w:hAnsi="Times New Roman" w:cs="Times"/>
                <w:noProof/>
                <w:sz w:val="24"/>
                <w:szCs w:val="24"/>
                <w:lang w:val="en-GB"/>
              </w:rPr>
            </w:pPr>
          </w:p>
        </w:tc>
        <w:tc>
          <w:tcPr>
            <w:tcW w:w="1101" w:type="pct"/>
            <w:shd w:val="clear" w:color="auto" w:fill="auto"/>
            <w:vAlign w:val="center"/>
          </w:tcPr>
          <w:p w14:paraId="2032A037"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51392277"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916" w:type="pct"/>
            <w:shd w:val="clear" w:color="auto" w:fill="auto"/>
            <w:noWrap/>
            <w:vAlign w:val="center"/>
          </w:tcPr>
          <w:p w14:paraId="17EC09D2" w14:textId="77777777" w:rsidR="00A046DD" w:rsidRPr="00532C20" w:rsidRDefault="00A046DD" w:rsidP="00A046DD">
            <w:pPr>
              <w:jc w:val="center"/>
              <w:rPr>
                <w:rFonts w:ascii="Times New Roman" w:eastAsia="Times" w:hAnsi="Times New Roman" w:cs="Times"/>
                <w:noProof/>
                <w:sz w:val="24"/>
                <w:szCs w:val="24"/>
                <w:lang w:val="en-GB"/>
              </w:rPr>
            </w:pPr>
          </w:p>
        </w:tc>
      </w:tr>
      <w:tr w:rsidR="00A046DD" w:rsidRPr="00532C20" w14:paraId="6A06A2B8" w14:textId="77777777">
        <w:trPr>
          <w:trHeight w:val="20"/>
        </w:trPr>
        <w:tc>
          <w:tcPr>
            <w:tcW w:w="805" w:type="pct"/>
            <w:shd w:val="clear" w:color="auto" w:fill="D9D9D9"/>
            <w:noWrap/>
            <w:vAlign w:val="center"/>
            <w:hideMark/>
          </w:tcPr>
          <w:p w14:paraId="4E0818EA"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Croatia</w:t>
            </w:r>
          </w:p>
        </w:tc>
        <w:tc>
          <w:tcPr>
            <w:tcW w:w="565" w:type="pct"/>
            <w:shd w:val="clear" w:color="auto" w:fill="auto"/>
            <w:noWrap/>
            <w:vAlign w:val="center"/>
            <w:hideMark/>
          </w:tcPr>
          <w:p w14:paraId="27B09AFB" w14:textId="77777777" w:rsidR="00A046DD" w:rsidRPr="00532C20" w:rsidRDefault="00A046DD" w:rsidP="00A046DD">
            <w:pPr>
              <w:jc w:val="center"/>
              <w:rPr>
                <w:rFonts w:ascii="Times New Roman" w:eastAsia="Times" w:hAnsi="Times New Roman" w:cs="Times"/>
                <w:noProof/>
                <w:sz w:val="24"/>
                <w:szCs w:val="24"/>
                <w:lang w:val="en-GB"/>
              </w:rPr>
            </w:pPr>
          </w:p>
        </w:tc>
        <w:tc>
          <w:tcPr>
            <w:tcW w:w="512" w:type="pct"/>
            <w:shd w:val="clear" w:color="auto" w:fill="auto"/>
            <w:noWrap/>
            <w:vAlign w:val="center"/>
            <w:hideMark/>
          </w:tcPr>
          <w:p w14:paraId="3D365E15" w14:textId="77777777" w:rsidR="00A046DD" w:rsidRPr="00532C20" w:rsidRDefault="00A046DD" w:rsidP="00A046DD">
            <w:pPr>
              <w:jc w:val="center"/>
              <w:rPr>
                <w:rFonts w:ascii="Times New Roman" w:eastAsia="Times" w:hAnsi="Times New Roman" w:cs="Times"/>
                <w:noProof/>
                <w:sz w:val="24"/>
                <w:szCs w:val="24"/>
                <w:lang w:val="en-GB"/>
              </w:rPr>
            </w:pPr>
          </w:p>
        </w:tc>
        <w:tc>
          <w:tcPr>
            <w:tcW w:w="1101" w:type="pct"/>
            <w:shd w:val="clear" w:color="auto" w:fill="auto"/>
            <w:vAlign w:val="center"/>
          </w:tcPr>
          <w:p w14:paraId="69C42FBB"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26680C8D"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916" w:type="pct"/>
            <w:shd w:val="clear" w:color="auto" w:fill="auto"/>
            <w:noWrap/>
            <w:vAlign w:val="center"/>
          </w:tcPr>
          <w:p w14:paraId="00B63B1E" w14:textId="77777777" w:rsidR="00A046DD" w:rsidRPr="00532C20" w:rsidRDefault="00A046DD" w:rsidP="00A046DD">
            <w:pPr>
              <w:jc w:val="center"/>
              <w:rPr>
                <w:rFonts w:ascii="Times New Roman" w:eastAsia="Times" w:hAnsi="Times New Roman" w:cs="Times"/>
                <w:noProof/>
                <w:sz w:val="24"/>
                <w:szCs w:val="24"/>
                <w:lang w:val="en-GB"/>
              </w:rPr>
            </w:pPr>
          </w:p>
        </w:tc>
      </w:tr>
      <w:tr w:rsidR="00A046DD" w:rsidRPr="00532C20" w14:paraId="72F12C04" w14:textId="77777777">
        <w:trPr>
          <w:trHeight w:val="20"/>
        </w:trPr>
        <w:tc>
          <w:tcPr>
            <w:tcW w:w="805" w:type="pct"/>
            <w:shd w:val="clear" w:color="auto" w:fill="D9D9D9"/>
            <w:noWrap/>
            <w:vAlign w:val="center"/>
            <w:hideMark/>
          </w:tcPr>
          <w:p w14:paraId="1B9D6F39"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Cyprus</w:t>
            </w:r>
          </w:p>
        </w:tc>
        <w:tc>
          <w:tcPr>
            <w:tcW w:w="565" w:type="pct"/>
            <w:shd w:val="clear" w:color="auto" w:fill="auto"/>
            <w:noWrap/>
            <w:vAlign w:val="center"/>
            <w:hideMark/>
          </w:tcPr>
          <w:p w14:paraId="01C09EC0"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5596D256"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16101BFE"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0" w:type="pct"/>
            <w:shd w:val="clear" w:color="auto" w:fill="auto"/>
            <w:noWrap/>
            <w:vAlign w:val="center"/>
          </w:tcPr>
          <w:p w14:paraId="030E953A"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916" w:type="pct"/>
            <w:shd w:val="clear" w:color="auto" w:fill="auto"/>
            <w:noWrap/>
            <w:vAlign w:val="center"/>
          </w:tcPr>
          <w:p w14:paraId="617F7D27" w14:textId="77777777" w:rsidR="00A046DD" w:rsidRPr="00532C20" w:rsidRDefault="00A046DD" w:rsidP="00A046DD">
            <w:pPr>
              <w:jc w:val="center"/>
              <w:rPr>
                <w:rFonts w:ascii="Times New Roman" w:eastAsia="Times" w:hAnsi="Times New Roman" w:cs="Times"/>
                <w:noProof/>
                <w:sz w:val="24"/>
                <w:szCs w:val="24"/>
                <w:lang w:val="en-GB"/>
              </w:rPr>
            </w:pPr>
          </w:p>
        </w:tc>
      </w:tr>
      <w:tr w:rsidR="00A046DD" w:rsidRPr="00532C20" w14:paraId="191C316D" w14:textId="77777777">
        <w:trPr>
          <w:trHeight w:val="20"/>
        </w:trPr>
        <w:tc>
          <w:tcPr>
            <w:tcW w:w="805" w:type="pct"/>
            <w:shd w:val="clear" w:color="auto" w:fill="D9D9D9"/>
            <w:noWrap/>
            <w:vAlign w:val="center"/>
            <w:hideMark/>
          </w:tcPr>
          <w:p w14:paraId="2932870C"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Czechia</w:t>
            </w:r>
          </w:p>
        </w:tc>
        <w:tc>
          <w:tcPr>
            <w:tcW w:w="565" w:type="pct"/>
            <w:shd w:val="clear" w:color="auto" w:fill="auto"/>
            <w:noWrap/>
            <w:vAlign w:val="center"/>
            <w:hideMark/>
          </w:tcPr>
          <w:p w14:paraId="127398ED" w14:textId="77777777" w:rsidR="00A046DD" w:rsidRPr="00532C20" w:rsidRDefault="00A046DD" w:rsidP="00A046DD">
            <w:pPr>
              <w:jc w:val="center"/>
              <w:rPr>
                <w:rFonts w:ascii="Times New Roman" w:eastAsia="Times" w:hAnsi="Times New Roman" w:cs="Times"/>
                <w:noProof/>
                <w:sz w:val="24"/>
                <w:szCs w:val="24"/>
                <w:lang w:val="en-GB"/>
              </w:rPr>
            </w:pPr>
          </w:p>
        </w:tc>
        <w:tc>
          <w:tcPr>
            <w:tcW w:w="512" w:type="pct"/>
            <w:shd w:val="clear" w:color="auto" w:fill="auto"/>
            <w:noWrap/>
            <w:vAlign w:val="center"/>
            <w:hideMark/>
          </w:tcPr>
          <w:p w14:paraId="77BE6D19" w14:textId="77777777" w:rsidR="00A046DD" w:rsidRPr="00532C20" w:rsidRDefault="00A046DD" w:rsidP="00A046DD">
            <w:pPr>
              <w:jc w:val="center"/>
              <w:rPr>
                <w:rFonts w:ascii="Times New Roman" w:eastAsia="Times" w:hAnsi="Times New Roman" w:cs="Times"/>
                <w:noProof/>
                <w:sz w:val="24"/>
                <w:szCs w:val="24"/>
                <w:lang w:val="en-GB"/>
              </w:rPr>
            </w:pPr>
          </w:p>
        </w:tc>
        <w:tc>
          <w:tcPr>
            <w:tcW w:w="1101" w:type="pct"/>
            <w:shd w:val="clear" w:color="auto" w:fill="auto"/>
            <w:vAlign w:val="center"/>
          </w:tcPr>
          <w:p w14:paraId="5F6C5057"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595307F9"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916" w:type="pct"/>
            <w:shd w:val="clear" w:color="auto" w:fill="auto"/>
            <w:noWrap/>
            <w:vAlign w:val="center"/>
          </w:tcPr>
          <w:p w14:paraId="6165CAA6" w14:textId="77777777" w:rsidR="00A046DD" w:rsidRPr="00532C20" w:rsidRDefault="00A046DD" w:rsidP="00A046DD">
            <w:pPr>
              <w:jc w:val="center"/>
              <w:rPr>
                <w:rFonts w:ascii="Times New Roman" w:eastAsia="Times" w:hAnsi="Times New Roman" w:cs="Times"/>
                <w:noProof/>
                <w:sz w:val="24"/>
                <w:szCs w:val="24"/>
                <w:lang w:val="en-GB"/>
              </w:rPr>
            </w:pPr>
          </w:p>
        </w:tc>
      </w:tr>
      <w:tr w:rsidR="00A046DD" w:rsidRPr="00532C20" w14:paraId="5AD1BD9A" w14:textId="77777777">
        <w:trPr>
          <w:trHeight w:val="20"/>
        </w:trPr>
        <w:tc>
          <w:tcPr>
            <w:tcW w:w="805" w:type="pct"/>
            <w:shd w:val="clear" w:color="auto" w:fill="D9D9D9"/>
            <w:noWrap/>
            <w:vAlign w:val="center"/>
            <w:hideMark/>
          </w:tcPr>
          <w:p w14:paraId="69A0E462"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Denmark</w:t>
            </w:r>
          </w:p>
        </w:tc>
        <w:tc>
          <w:tcPr>
            <w:tcW w:w="565" w:type="pct"/>
            <w:shd w:val="clear" w:color="auto" w:fill="auto"/>
            <w:noWrap/>
            <w:vAlign w:val="center"/>
            <w:hideMark/>
          </w:tcPr>
          <w:p w14:paraId="5C666FDF" w14:textId="77777777" w:rsidR="00A046DD" w:rsidRPr="00532C20" w:rsidRDefault="00A046DD" w:rsidP="00A046DD">
            <w:pPr>
              <w:jc w:val="center"/>
              <w:rPr>
                <w:rFonts w:ascii="Times New Roman" w:eastAsia="Times" w:hAnsi="Times New Roman" w:cs="Times"/>
                <w:noProof/>
                <w:sz w:val="24"/>
                <w:szCs w:val="24"/>
                <w:lang w:val="en-GB"/>
              </w:rPr>
            </w:pPr>
          </w:p>
        </w:tc>
        <w:tc>
          <w:tcPr>
            <w:tcW w:w="512" w:type="pct"/>
            <w:shd w:val="clear" w:color="auto" w:fill="auto"/>
            <w:noWrap/>
            <w:vAlign w:val="center"/>
            <w:hideMark/>
          </w:tcPr>
          <w:p w14:paraId="60DEA9E8" w14:textId="77777777" w:rsidR="00A046DD" w:rsidRPr="00532C20" w:rsidRDefault="00A046DD" w:rsidP="00A046DD">
            <w:pPr>
              <w:jc w:val="center"/>
              <w:rPr>
                <w:rFonts w:ascii="Times New Roman" w:eastAsia="Times" w:hAnsi="Times New Roman" w:cs="Times"/>
                <w:noProof/>
                <w:sz w:val="24"/>
                <w:szCs w:val="24"/>
                <w:lang w:val="en-GB"/>
              </w:rPr>
            </w:pPr>
          </w:p>
        </w:tc>
        <w:tc>
          <w:tcPr>
            <w:tcW w:w="1101" w:type="pct"/>
            <w:shd w:val="clear" w:color="auto" w:fill="auto"/>
            <w:vAlign w:val="center"/>
          </w:tcPr>
          <w:p w14:paraId="592918B3"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18A568B1"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916" w:type="pct"/>
            <w:shd w:val="clear" w:color="auto" w:fill="auto"/>
            <w:noWrap/>
            <w:vAlign w:val="center"/>
          </w:tcPr>
          <w:p w14:paraId="1CAE03BA" w14:textId="77777777" w:rsidR="00A046DD" w:rsidRPr="00532C20" w:rsidRDefault="00A046DD" w:rsidP="00A046DD">
            <w:pPr>
              <w:jc w:val="center"/>
              <w:rPr>
                <w:rFonts w:ascii="Times New Roman" w:eastAsia="Times" w:hAnsi="Times New Roman" w:cs="Times"/>
                <w:noProof/>
                <w:sz w:val="24"/>
                <w:szCs w:val="24"/>
                <w:lang w:val="en-GB"/>
              </w:rPr>
            </w:pPr>
          </w:p>
        </w:tc>
      </w:tr>
      <w:tr w:rsidR="00A046DD" w:rsidRPr="00532C20" w14:paraId="6B2ADB69" w14:textId="77777777">
        <w:trPr>
          <w:trHeight w:val="20"/>
        </w:trPr>
        <w:tc>
          <w:tcPr>
            <w:tcW w:w="805" w:type="pct"/>
            <w:shd w:val="clear" w:color="auto" w:fill="D9D9D9"/>
            <w:noWrap/>
            <w:vAlign w:val="center"/>
            <w:hideMark/>
          </w:tcPr>
          <w:p w14:paraId="3B639E47"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Estonia</w:t>
            </w:r>
          </w:p>
        </w:tc>
        <w:tc>
          <w:tcPr>
            <w:tcW w:w="565" w:type="pct"/>
            <w:shd w:val="clear" w:color="auto" w:fill="auto"/>
            <w:noWrap/>
            <w:vAlign w:val="center"/>
            <w:hideMark/>
          </w:tcPr>
          <w:p w14:paraId="77BBE1C1" w14:textId="77777777" w:rsidR="00A046DD" w:rsidRPr="00532C20" w:rsidRDefault="00A046DD" w:rsidP="00A046DD">
            <w:pPr>
              <w:jc w:val="center"/>
              <w:rPr>
                <w:rFonts w:ascii="Times New Roman" w:eastAsia="Times" w:hAnsi="Times New Roman" w:cs="Times"/>
                <w:noProof/>
                <w:sz w:val="24"/>
                <w:szCs w:val="24"/>
                <w:lang w:val="en-GB"/>
              </w:rPr>
            </w:pPr>
          </w:p>
        </w:tc>
        <w:tc>
          <w:tcPr>
            <w:tcW w:w="512" w:type="pct"/>
            <w:shd w:val="clear" w:color="auto" w:fill="auto"/>
            <w:noWrap/>
            <w:vAlign w:val="center"/>
            <w:hideMark/>
          </w:tcPr>
          <w:p w14:paraId="7DD0B2C1" w14:textId="77777777" w:rsidR="00A046DD" w:rsidRPr="00532C20" w:rsidRDefault="00A046DD" w:rsidP="00A046DD">
            <w:pPr>
              <w:jc w:val="center"/>
              <w:rPr>
                <w:rFonts w:ascii="Times New Roman" w:eastAsia="Times" w:hAnsi="Times New Roman" w:cs="Times"/>
                <w:noProof/>
                <w:sz w:val="24"/>
                <w:szCs w:val="24"/>
                <w:lang w:val="en-GB"/>
              </w:rPr>
            </w:pPr>
          </w:p>
        </w:tc>
        <w:tc>
          <w:tcPr>
            <w:tcW w:w="1101" w:type="pct"/>
            <w:shd w:val="clear" w:color="auto" w:fill="auto"/>
            <w:vAlign w:val="center"/>
          </w:tcPr>
          <w:p w14:paraId="4A6689E1"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5AC448A4"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916" w:type="pct"/>
            <w:shd w:val="clear" w:color="auto" w:fill="auto"/>
            <w:noWrap/>
            <w:vAlign w:val="center"/>
          </w:tcPr>
          <w:p w14:paraId="3723957E" w14:textId="77777777" w:rsidR="00A046DD" w:rsidRPr="00532C20" w:rsidRDefault="00A046DD" w:rsidP="00A046DD">
            <w:pPr>
              <w:jc w:val="center"/>
              <w:rPr>
                <w:rFonts w:ascii="Times New Roman" w:eastAsia="Times" w:hAnsi="Times New Roman" w:cs="Times"/>
                <w:noProof/>
                <w:sz w:val="24"/>
                <w:szCs w:val="24"/>
                <w:lang w:val="en-GB"/>
              </w:rPr>
            </w:pPr>
          </w:p>
        </w:tc>
      </w:tr>
      <w:tr w:rsidR="00A046DD" w:rsidRPr="00532C20" w14:paraId="31DA7054" w14:textId="77777777">
        <w:trPr>
          <w:trHeight w:val="20"/>
        </w:trPr>
        <w:tc>
          <w:tcPr>
            <w:tcW w:w="805" w:type="pct"/>
            <w:shd w:val="clear" w:color="auto" w:fill="D9D9D9"/>
            <w:noWrap/>
            <w:vAlign w:val="center"/>
            <w:hideMark/>
          </w:tcPr>
          <w:p w14:paraId="663046C6"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Finland</w:t>
            </w:r>
          </w:p>
        </w:tc>
        <w:tc>
          <w:tcPr>
            <w:tcW w:w="565" w:type="pct"/>
            <w:shd w:val="clear" w:color="auto" w:fill="auto"/>
            <w:noWrap/>
            <w:vAlign w:val="center"/>
            <w:hideMark/>
          </w:tcPr>
          <w:p w14:paraId="65180F0A"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6705EF29"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69B4F3C0"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5DF7F041" w14:textId="77777777" w:rsidR="00A046DD" w:rsidRPr="00532C20" w:rsidRDefault="00A046DD" w:rsidP="00A046DD">
            <w:pPr>
              <w:jc w:val="center"/>
              <w:rPr>
                <w:rFonts w:ascii="Times New Roman" w:eastAsia="Times" w:hAnsi="Times New Roman" w:cs="Times"/>
                <w:noProof/>
                <w:sz w:val="24"/>
                <w:szCs w:val="24"/>
                <w:lang w:val="en-GB"/>
              </w:rPr>
            </w:pPr>
          </w:p>
        </w:tc>
        <w:tc>
          <w:tcPr>
            <w:tcW w:w="916" w:type="pct"/>
            <w:shd w:val="clear" w:color="auto" w:fill="auto"/>
            <w:noWrap/>
            <w:vAlign w:val="center"/>
          </w:tcPr>
          <w:p w14:paraId="0BC8CFD9"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r>
      <w:tr w:rsidR="00A046DD" w:rsidRPr="00532C20" w14:paraId="281F7184" w14:textId="77777777">
        <w:trPr>
          <w:trHeight w:val="20"/>
        </w:trPr>
        <w:tc>
          <w:tcPr>
            <w:tcW w:w="805" w:type="pct"/>
            <w:shd w:val="clear" w:color="auto" w:fill="D9D9D9"/>
            <w:noWrap/>
            <w:vAlign w:val="center"/>
            <w:hideMark/>
          </w:tcPr>
          <w:p w14:paraId="24141EB5"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France</w:t>
            </w:r>
          </w:p>
        </w:tc>
        <w:tc>
          <w:tcPr>
            <w:tcW w:w="565" w:type="pct"/>
            <w:shd w:val="clear" w:color="auto" w:fill="auto"/>
            <w:noWrap/>
            <w:vAlign w:val="center"/>
            <w:hideMark/>
          </w:tcPr>
          <w:p w14:paraId="32EAD794"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765D09BA"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6A4B10EA"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0" w:type="pct"/>
            <w:shd w:val="clear" w:color="auto" w:fill="auto"/>
            <w:noWrap/>
            <w:vAlign w:val="center"/>
          </w:tcPr>
          <w:p w14:paraId="5CD4D405" w14:textId="77777777" w:rsidR="00A046DD" w:rsidRPr="00532C20" w:rsidRDefault="00A046DD" w:rsidP="00A046DD">
            <w:pPr>
              <w:jc w:val="center"/>
              <w:rPr>
                <w:rFonts w:ascii="Times New Roman" w:eastAsia="Times" w:hAnsi="Times New Roman" w:cs="Times"/>
                <w:noProof/>
                <w:sz w:val="24"/>
                <w:szCs w:val="24"/>
                <w:lang w:val="en-GB"/>
              </w:rPr>
            </w:pPr>
          </w:p>
        </w:tc>
        <w:tc>
          <w:tcPr>
            <w:tcW w:w="916" w:type="pct"/>
            <w:shd w:val="clear" w:color="auto" w:fill="auto"/>
            <w:noWrap/>
            <w:vAlign w:val="center"/>
          </w:tcPr>
          <w:p w14:paraId="6BD6BD0C"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r>
      <w:tr w:rsidR="00A046DD" w:rsidRPr="00532C20" w14:paraId="57928886" w14:textId="77777777">
        <w:trPr>
          <w:trHeight w:val="20"/>
        </w:trPr>
        <w:tc>
          <w:tcPr>
            <w:tcW w:w="805" w:type="pct"/>
            <w:shd w:val="clear" w:color="auto" w:fill="D9D9D9"/>
            <w:noWrap/>
            <w:vAlign w:val="center"/>
            <w:hideMark/>
          </w:tcPr>
          <w:p w14:paraId="5952AE0B"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Germany</w:t>
            </w:r>
          </w:p>
        </w:tc>
        <w:tc>
          <w:tcPr>
            <w:tcW w:w="565" w:type="pct"/>
            <w:shd w:val="clear" w:color="auto" w:fill="auto"/>
            <w:noWrap/>
            <w:vAlign w:val="center"/>
            <w:hideMark/>
          </w:tcPr>
          <w:p w14:paraId="53EBB4B6"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1480865B"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21AF1B8A"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0" w:type="pct"/>
            <w:shd w:val="clear" w:color="auto" w:fill="auto"/>
            <w:noWrap/>
            <w:vAlign w:val="center"/>
          </w:tcPr>
          <w:p w14:paraId="55C045BD" w14:textId="77777777" w:rsidR="00A046DD" w:rsidRPr="00532C20" w:rsidRDefault="00A046DD" w:rsidP="00A046DD">
            <w:pPr>
              <w:jc w:val="center"/>
              <w:rPr>
                <w:rFonts w:ascii="Times New Roman" w:eastAsia="Times" w:hAnsi="Times New Roman" w:cs="Times"/>
                <w:noProof/>
                <w:sz w:val="24"/>
                <w:szCs w:val="24"/>
                <w:lang w:val="en-GB"/>
              </w:rPr>
            </w:pPr>
          </w:p>
        </w:tc>
        <w:tc>
          <w:tcPr>
            <w:tcW w:w="916" w:type="pct"/>
            <w:shd w:val="clear" w:color="auto" w:fill="auto"/>
            <w:noWrap/>
            <w:vAlign w:val="center"/>
          </w:tcPr>
          <w:p w14:paraId="4C403DE0"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r>
      <w:tr w:rsidR="00A046DD" w:rsidRPr="00532C20" w14:paraId="71A5EEE9" w14:textId="77777777">
        <w:trPr>
          <w:trHeight w:val="20"/>
        </w:trPr>
        <w:tc>
          <w:tcPr>
            <w:tcW w:w="805" w:type="pct"/>
            <w:shd w:val="clear" w:color="auto" w:fill="D9D9D9"/>
            <w:noWrap/>
            <w:vAlign w:val="center"/>
            <w:hideMark/>
          </w:tcPr>
          <w:p w14:paraId="2B8C67D4"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Greece</w:t>
            </w:r>
          </w:p>
        </w:tc>
        <w:tc>
          <w:tcPr>
            <w:tcW w:w="565" w:type="pct"/>
            <w:shd w:val="clear" w:color="auto" w:fill="auto"/>
            <w:noWrap/>
            <w:vAlign w:val="center"/>
            <w:hideMark/>
          </w:tcPr>
          <w:p w14:paraId="4478001D"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4AA9390B"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58FE3309"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0" w:type="pct"/>
            <w:shd w:val="clear" w:color="auto" w:fill="auto"/>
            <w:noWrap/>
            <w:vAlign w:val="center"/>
          </w:tcPr>
          <w:p w14:paraId="2AF8CA85" w14:textId="77777777" w:rsidR="00A046DD" w:rsidRPr="00532C20" w:rsidRDefault="00A046DD" w:rsidP="00A046DD">
            <w:pPr>
              <w:jc w:val="center"/>
              <w:rPr>
                <w:rFonts w:ascii="Times New Roman" w:eastAsia="Times" w:hAnsi="Times New Roman" w:cs="Times"/>
                <w:noProof/>
                <w:sz w:val="24"/>
                <w:szCs w:val="24"/>
                <w:lang w:val="en-GB"/>
              </w:rPr>
            </w:pPr>
          </w:p>
        </w:tc>
        <w:tc>
          <w:tcPr>
            <w:tcW w:w="916" w:type="pct"/>
            <w:shd w:val="clear" w:color="auto" w:fill="auto"/>
            <w:noWrap/>
            <w:vAlign w:val="center"/>
          </w:tcPr>
          <w:p w14:paraId="257E1986"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r>
      <w:tr w:rsidR="00A046DD" w:rsidRPr="00532C20" w14:paraId="1DB4035F" w14:textId="77777777">
        <w:trPr>
          <w:trHeight w:val="20"/>
        </w:trPr>
        <w:tc>
          <w:tcPr>
            <w:tcW w:w="805" w:type="pct"/>
            <w:shd w:val="clear" w:color="auto" w:fill="D9D9D9"/>
            <w:noWrap/>
            <w:vAlign w:val="center"/>
            <w:hideMark/>
          </w:tcPr>
          <w:p w14:paraId="05CB5A8F"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Hungary</w:t>
            </w:r>
          </w:p>
        </w:tc>
        <w:tc>
          <w:tcPr>
            <w:tcW w:w="565" w:type="pct"/>
            <w:shd w:val="clear" w:color="auto" w:fill="auto"/>
            <w:noWrap/>
            <w:vAlign w:val="center"/>
            <w:hideMark/>
          </w:tcPr>
          <w:p w14:paraId="655DC171"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58D2ED4E" w14:textId="77777777" w:rsidR="00A046DD" w:rsidRPr="00532C20" w:rsidRDefault="00A046DD" w:rsidP="00A046DD">
            <w:pPr>
              <w:jc w:val="center"/>
              <w:rPr>
                <w:rFonts w:ascii="Times New Roman" w:eastAsia="Times" w:hAnsi="Times New Roman" w:cs="Times"/>
                <w:noProof/>
                <w:sz w:val="24"/>
                <w:szCs w:val="24"/>
                <w:lang w:val="en-GB"/>
              </w:rPr>
            </w:pPr>
          </w:p>
        </w:tc>
        <w:tc>
          <w:tcPr>
            <w:tcW w:w="1101" w:type="pct"/>
            <w:shd w:val="clear" w:color="auto" w:fill="auto"/>
            <w:vAlign w:val="center"/>
          </w:tcPr>
          <w:p w14:paraId="2EE6C0B3"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657B5410"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916" w:type="pct"/>
            <w:shd w:val="clear" w:color="auto" w:fill="auto"/>
            <w:noWrap/>
            <w:vAlign w:val="center"/>
          </w:tcPr>
          <w:p w14:paraId="4754DD21" w14:textId="77777777" w:rsidR="00A046DD" w:rsidRPr="00532C20" w:rsidRDefault="00A046DD" w:rsidP="00A046DD">
            <w:pPr>
              <w:jc w:val="center"/>
              <w:rPr>
                <w:rFonts w:ascii="Times New Roman" w:eastAsia="Times" w:hAnsi="Times New Roman" w:cs="Times"/>
                <w:noProof/>
                <w:sz w:val="24"/>
                <w:szCs w:val="24"/>
                <w:lang w:val="en-GB"/>
              </w:rPr>
            </w:pPr>
          </w:p>
        </w:tc>
      </w:tr>
      <w:tr w:rsidR="00A046DD" w:rsidRPr="00532C20" w14:paraId="6C2B3BEA" w14:textId="77777777">
        <w:trPr>
          <w:trHeight w:val="20"/>
        </w:trPr>
        <w:tc>
          <w:tcPr>
            <w:tcW w:w="805" w:type="pct"/>
            <w:shd w:val="clear" w:color="auto" w:fill="D9D9D9"/>
            <w:noWrap/>
            <w:vAlign w:val="center"/>
            <w:hideMark/>
          </w:tcPr>
          <w:p w14:paraId="1DF218D3"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Ireland</w:t>
            </w:r>
          </w:p>
        </w:tc>
        <w:tc>
          <w:tcPr>
            <w:tcW w:w="565" w:type="pct"/>
            <w:shd w:val="clear" w:color="auto" w:fill="auto"/>
            <w:noWrap/>
            <w:vAlign w:val="center"/>
            <w:hideMark/>
          </w:tcPr>
          <w:p w14:paraId="6BAF0ACD"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353E447F"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30D696E0"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0" w:type="pct"/>
            <w:shd w:val="clear" w:color="auto" w:fill="auto"/>
            <w:noWrap/>
            <w:vAlign w:val="center"/>
          </w:tcPr>
          <w:p w14:paraId="3366E7F1" w14:textId="77777777" w:rsidR="00A046DD" w:rsidRPr="00532C20" w:rsidRDefault="00A046DD" w:rsidP="00A046DD">
            <w:pPr>
              <w:jc w:val="center"/>
              <w:rPr>
                <w:rFonts w:ascii="Times New Roman" w:eastAsia="Times" w:hAnsi="Times New Roman" w:cs="Times"/>
                <w:noProof/>
                <w:sz w:val="24"/>
                <w:szCs w:val="24"/>
                <w:lang w:val="en-GB"/>
              </w:rPr>
            </w:pPr>
          </w:p>
        </w:tc>
        <w:tc>
          <w:tcPr>
            <w:tcW w:w="916" w:type="pct"/>
            <w:shd w:val="clear" w:color="auto" w:fill="auto"/>
            <w:noWrap/>
            <w:vAlign w:val="center"/>
          </w:tcPr>
          <w:p w14:paraId="0DDCD6DB"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r>
      <w:tr w:rsidR="00A046DD" w:rsidRPr="00532C20" w14:paraId="7CDA2BC2" w14:textId="77777777">
        <w:trPr>
          <w:trHeight w:val="20"/>
        </w:trPr>
        <w:tc>
          <w:tcPr>
            <w:tcW w:w="805" w:type="pct"/>
            <w:shd w:val="clear" w:color="auto" w:fill="D9D9D9"/>
            <w:noWrap/>
            <w:vAlign w:val="center"/>
            <w:hideMark/>
          </w:tcPr>
          <w:p w14:paraId="51A66E3A"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Italy</w:t>
            </w:r>
          </w:p>
        </w:tc>
        <w:tc>
          <w:tcPr>
            <w:tcW w:w="565" w:type="pct"/>
            <w:shd w:val="clear" w:color="auto" w:fill="auto"/>
            <w:noWrap/>
            <w:vAlign w:val="center"/>
            <w:hideMark/>
          </w:tcPr>
          <w:p w14:paraId="78DF8866" w14:textId="77777777" w:rsidR="00A046DD" w:rsidRPr="00532C20" w:rsidRDefault="00A046DD" w:rsidP="00A046DD">
            <w:pPr>
              <w:jc w:val="center"/>
              <w:rPr>
                <w:rFonts w:ascii="Times New Roman" w:eastAsia="Times" w:hAnsi="Times New Roman" w:cs="Times"/>
                <w:noProof/>
                <w:sz w:val="24"/>
                <w:szCs w:val="24"/>
                <w:lang w:val="en-GB"/>
              </w:rPr>
            </w:pPr>
          </w:p>
        </w:tc>
        <w:tc>
          <w:tcPr>
            <w:tcW w:w="512" w:type="pct"/>
            <w:shd w:val="clear" w:color="auto" w:fill="auto"/>
            <w:noWrap/>
            <w:vAlign w:val="center"/>
            <w:hideMark/>
          </w:tcPr>
          <w:p w14:paraId="3280AF63"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0DD52609"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4520DC2B" w14:textId="77777777" w:rsidR="00A046DD" w:rsidRPr="00532C20" w:rsidRDefault="00A046DD" w:rsidP="00A046DD">
            <w:pPr>
              <w:jc w:val="center"/>
              <w:rPr>
                <w:rFonts w:ascii="Times New Roman" w:eastAsia="Times" w:hAnsi="Times New Roman" w:cs="Times"/>
                <w:noProof/>
                <w:sz w:val="24"/>
                <w:szCs w:val="24"/>
                <w:lang w:val="en-GB"/>
              </w:rPr>
            </w:pPr>
          </w:p>
        </w:tc>
        <w:tc>
          <w:tcPr>
            <w:tcW w:w="916" w:type="pct"/>
            <w:shd w:val="clear" w:color="auto" w:fill="auto"/>
            <w:noWrap/>
            <w:vAlign w:val="center"/>
          </w:tcPr>
          <w:p w14:paraId="18AB409B"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r>
      <w:tr w:rsidR="00A046DD" w:rsidRPr="00532C20" w14:paraId="5F35FBE0" w14:textId="77777777">
        <w:trPr>
          <w:trHeight w:val="20"/>
        </w:trPr>
        <w:tc>
          <w:tcPr>
            <w:tcW w:w="805" w:type="pct"/>
            <w:shd w:val="clear" w:color="auto" w:fill="D9D9D9"/>
            <w:noWrap/>
            <w:vAlign w:val="center"/>
            <w:hideMark/>
          </w:tcPr>
          <w:p w14:paraId="58CDAD2F"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Latvia</w:t>
            </w:r>
          </w:p>
        </w:tc>
        <w:tc>
          <w:tcPr>
            <w:tcW w:w="565" w:type="pct"/>
            <w:shd w:val="clear" w:color="auto" w:fill="auto"/>
            <w:noWrap/>
            <w:vAlign w:val="center"/>
            <w:hideMark/>
          </w:tcPr>
          <w:p w14:paraId="6579B9B7" w14:textId="77777777" w:rsidR="00A046DD" w:rsidRPr="00532C20" w:rsidRDefault="00A046DD" w:rsidP="00A046DD">
            <w:pPr>
              <w:jc w:val="center"/>
              <w:rPr>
                <w:rFonts w:ascii="Times New Roman" w:eastAsia="Times" w:hAnsi="Times New Roman" w:cs="Times"/>
                <w:noProof/>
                <w:sz w:val="24"/>
                <w:szCs w:val="24"/>
                <w:lang w:val="en-GB"/>
              </w:rPr>
            </w:pPr>
          </w:p>
        </w:tc>
        <w:tc>
          <w:tcPr>
            <w:tcW w:w="512" w:type="pct"/>
            <w:shd w:val="clear" w:color="auto" w:fill="auto"/>
            <w:noWrap/>
            <w:vAlign w:val="center"/>
            <w:hideMark/>
          </w:tcPr>
          <w:p w14:paraId="09D692ED" w14:textId="77777777" w:rsidR="00A046DD" w:rsidRPr="00532C20" w:rsidRDefault="00A046DD" w:rsidP="00A046DD">
            <w:pPr>
              <w:jc w:val="center"/>
              <w:rPr>
                <w:rFonts w:ascii="Times New Roman" w:eastAsia="Times" w:hAnsi="Times New Roman" w:cs="Times"/>
                <w:noProof/>
                <w:sz w:val="24"/>
                <w:szCs w:val="24"/>
                <w:lang w:val="en-GB"/>
              </w:rPr>
            </w:pPr>
          </w:p>
        </w:tc>
        <w:tc>
          <w:tcPr>
            <w:tcW w:w="1101" w:type="pct"/>
            <w:shd w:val="clear" w:color="auto" w:fill="auto"/>
            <w:vAlign w:val="center"/>
          </w:tcPr>
          <w:p w14:paraId="07CF41BA"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351935D1"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916" w:type="pct"/>
            <w:shd w:val="clear" w:color="auto" w:fill="auto"/>
            <w:noWrap/>
            <w:vAlign w:val="center"/>
          </w:tcPr>
          <w:p w14:paraId="23326413" w14:textId="77777777" w:rsidR="00A046DD" w:rsidRPr="00532C20" w:rsidRDefault="00A046DD" w:rsidP="00A046DD">
            <w:pPr>
              <w:jc w:val="center"/>
              <w:rPr>
                <w:rFonts w:ascii="Times New Roman" w:eastAsia="Times" w:hAnsi="Times New Roman" w:cs="Times"/>
                <w:noProof/>
                <w:sz w:val="24"/>
                <w:szCs w:val="24"/>
                <w:lang w:val="en-GB"/>
              </w:rPr>
            </w:pPr>
          </w:p>
        </w:tc>
      </w:tr>
      <w:tr w:rsidR="00A046DD" w:rsidRPr="00532C20" w14:paraId="7B1F3EEC" w14:textId="77777777">
        <w:trPr>
          <w:trHeight w:val="20"/>
        </w:trPr>
        <w:tc>
          <w:tcPr>
            <w:tcW w:w="805" w:type="pct"/>
            <w:shd w:val="clear" w:color="auto" w:fill="D9D9D9"/>
            <w:noWrap/>
            <w:vAlign w:val="center"/>
            <w:hideMark/>
          </w:tcPr>
          <w:p w14:paraId="350CAB73"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Lithuania</w:t>
            </w:r>
          </w:p>
        </w:tc>
        <w:tc>
          <w:tcPr>
            <w:tcW w:w="565" w:type="pct"/>
            <w:shd w:val="clear" w:color="auto" w:fill="auto"/>
            <w:noWrap/>
            <w:vAlign w:val="center"/>
            <w:hideMark/>
          </w:tcPr>
          <w:p w14:paraId="421A23E8"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7FE05FE8"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5DCC454F"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0" w:type="pct"/>
            <w:shd w:val="clear" w:color="auto" w:fill="auto"/>
            <w:noWrap/>
            <w:vAlign w:val="center"/>
          </w:tcPr>
          <w:p w14:paraId="008BD5A0" w14:textId="77777777" w:rsidR="00A046DD" w:rsidRPr="00532C20" w:rsidRDefault="00A046DD" w:rsidP="00A046DD">
            <w:pPr>
              <w:jc w:val="center"/>
              <w:rPr>
                <w:rFonts w:ascii="Times New Roman" w:eastAsia="Times" w:hAnsi="Times New Roman" w:cs="Times"/>
                <w:noProof/>
                <w:sz w:val="24"/>
                <w:szCs w:val="24"/>
                <w:lang w:val="en-GB"/>
              </w:rPr>
            </w:pPr>
          </w:p>
        </w:tc>
        <w:tc>
          <w:tcPr>
            <w:tcW w:w="916" w:type="pct"/>
            <w:shd w:val="clear" w:color="auto" w:fill="auto"/>
            <w:noWrap/>
            <w:vAlign w:val="center"/>
          </w:tcPr>
          <w:p w14:paraId="0F8EFA26"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r>
      <w:tr w:rsidR="00A046DD" w:rsidRPr="00532C20" w14:paraId="234C4127" w14:textId="77777777">
        <w:trPr>
          <w:trHeight w:val="20"/>
        </w:trPr>
        <w:tc>
          <w:tcPr>
            <w:tcW w:w="805" w:type="pct"/>
            <w:shd w:val="clear" w:color="auto" w:fill="D9D9D9"/>
            <w:noWrap/>
            <w:vAlign w:val="center"/>
            <w:hideMark/>
          </w:tcPr>
          <w:p w14:paraId="78BDD523"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Luxembourg</w:t>
            </w:r>
          </w:p>
        </w:tc>
        <w:tc>
          <w:tcPr>
            <w:tcW w:w="565" w:type="pct"/>
            <w:shd w:val="clear" w:color="auto" w:fill="auto"/>
            <w:noWrap/>
            <w:vAlign w:val="center"/>
            <w:hideMark/>
          </w:tcPr>
          <w:p w14:paraId="25A68971"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00F372EB"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168C640F"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0" w:type="pct"/>
            <w:shd w:val="clear" w:color="auto" w:fill="auto"/>
            <w:noWrap/>
            <w:vAlign w:val="center"/>
          </w:tcPr>
          <w:p w14:paraId="22E76041" w14:textId="77777777" w:rsidR="00A046DD" w:rsidRPr="00532C20" w:rsidRDefault="00A046DD" w:rsidP="00A046DD">
            <w:pPr>
              <w:jc w:val="center"/>
              <w:rPr>
                <w:rFonts w:ascii="Times New Roman" w:eastAsia="Times" w:hAnsi="Times New Roman" w:cs="Times"/>
                <w:noProof/>
                <w:sz w:val="24"/>
                <w:szCs w:val="24"/>
                <w:lang w:val="en-GB"/>
              </w:rPr>
            </w:pPr>
          </w:p>
        </w:tc>
        <w:tc>
          <w:tcPr>
            <w:tcW w:w="916" w:type="pct"/>
            <w:shd w:val="clear" w:color="auto" w:fill="auto"/>
            <w:noWrap/>
            <w:vAlign w:val="center"/>
          </w:tcPr>
          <w:p w14:paraId="21646390"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r>
      <w:tr w:rsidR="00A046DD" w:rsidRPr="00532C20" w14:paraId="739646A0" w14:textId="77777777">
        <w:trPr>
          <w:trHeight w:val="20"/>
        </w:trPr>
        <w:tc>
          <w:tcPr>
            <w:tcW w:w="805" w:type="pct"/>
            <w:shd w:val="clear" w:color="auto" w:fill="D9D9D9"/>
            <w:noWrap/>
            <w:vAlign w:val="center"/>
            <w:hideMark/>
          </w:tcPr>
          <w:p w14:paraId="3F6C28FB"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Malta</w:t>
            </w:r>
          </w:p>
        </w:tc>
        <w:tc>
          <w:tcPr>
            <w:tcW w:w="565" w:type="pct"/>
            <w:shd w:val="clear" w:color="auto" w:fill="auto"/>
            <w:noWrap/>
            <w:vAlign w:val="center"/>
            <w:hideMark/>
          </w:tcPr>
          <w:p w14:paraId="336D0308"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781A23F8" w14:textId="77777777" w:rsidR="00A046DD" w:rsidRPr="00532C20" w:rsidRDefault="00A046DD" w:rsidP="00A046DD">
            <w:pPr>
              <w:jc w:val="center"/>
              <w:rPr>
                <w:rFonts w:ascii="Times New Roman" w:eastAsia="Times" w:hAnsi="Times New Roman" w:cs="Times"/>
                <w:noProof/>
                <w:sz w:val="24"/>
                <w:szCs w:val="24"/>
                <w:lang w:val="en-GB"/>
              </w:rPr>
            </w:pPr>
          </w:p>
        </w:tc>
        <w:tc>
          <w:tcPr>
            <w:tcW w:w="1101" w:type="pct"/>
            <w:shd w:val="clear" w:color="auto" w:fill="auto"/>
            <w:vAlign w:val="center"/>
          </w:tcPr>
          <w:p w14:paraId="1DE2C7AC"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2012DE96"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916" w:type="pct"/>
            <w:shd w:val="clear" w:color="auto" w:fill="auto"/>
            <w:noWrap/>
            <w:vAlign w:val="center"/>
          </w:tcPr>
          <w:p w14:paraId="0EF1F6D0" w14:textId="77777777" w:rsidR="00A046DD" w:rsidRPr="00532C20" w:rsidRDefault="00A046DD" w:rsidP="00A046DD">
            <w:pPr>
              <w:jc w:val="center"/>
              <w:rPr>
                <w:rFonts w:ascii="Times New Roman" w:eastAsia="Times" w:hAnsi="Times New Roman" w:cs="Times"/>
                <w:noProof/>
                <w:sz w:val="24"/>
                <w:szCs w:val="24"/>
                <w:lang w:val="en-GB"/>
              </w:rPr>
            </w:pPr>
          </w:p>
        </w:tc>
      </w:tr>
      <w:tr w:rsidR="00A046DD" w:rsidRPr="00532C20" w14:paraId="69BC4145" w14:textId="77777777">
        <w:trPr>
          <w:trHeight w:val="20"/>
        </w:trPr>
        <w:tc>
          <w:tcPr>
            <w:tcW w:w="805" w:type="pct"/>
            <w:shd w:val="clear" w:color="auto" w:fill="D9D9D9"/>
            <w:noWrap/>
            <w:vAlign w:val="center"/>
            <w:hideMark/>
          </w:tcPr>
          <w:p w14:paraId="672069C0"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Netherlands</w:t>
            </w:r>
          </w:p>
        </w:tc>
        <w:tc>
          <w:tcPr>
            <w:tcW w:w="565" w:type="pct"/>
            <w:shd w:val="clear" w:color="auto" w:fill="auto"/>
            <w:noWrap/>
            <w:vAlign w:val="center"/>
            <w:hideMark/>
          </w:tcPr>
          <w:p w14:paraId="6185CDE1" w14:textId="77777777" w:rsidR="00A046DD" w:rsidRPr="00532C20" w:rsidRDefault="00A046DD" w:rsidP="00A046DD">
            <w:pPr>
              <w:jc w:val="center"/>
              <w:rPr>
                <w:rFonts w:ascii="Times New Roman" w:eastAsia="Times" w:hAnsi="Times New Roman" w:cs="Times"/>
                <w:noProof/>
                <w:sz w:val="24"/>
                <w:szCs w:val="24"/>
                <w:lang w:val="en-GB"/>
              </w:rPr>
            </w:pPr>
          </w:p>
        </w:tc>
        <w:tc>
          <w:tcPr>
            <w:tcW w:w="512" w:type="pct"/>
            <w:shd w:val="clear" w:color="auto" w:fill="auto"/>
            <w:noWrap/>
            <w:vAlign w:val="center"/>
            <w:hideMark/>
          </w:tcPr>
          <w:p w14:paraId="6538167D"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33C3ACE0"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0" w:type="pct"/>
            <w:shd w:val="clear" w:color="auto" w:fill="auto"/>
            <w:noWrap/>
            <w:vAlign w:val="center"/>
          </w:tcPr>
          <w:p w14:paraId="74CBE3B1" w14:textId="77777777" w:rsidR="00A046DD" w:rsidRPr="00532C20" w:rsidRDefault="00A046DD" w:rsidP="00A046DD">
            <w:pPr>
              <w:jc w:val="center"/>
              <w:rPr>
                <w:rFonts w:ascii="Times New Roman" w:eastAsia="Times" w:hAnsi="Times New Roman" w:cs="Times"/>
                <w:noProof/>
                <w:sz w:val="24"/>
                <w:szCs w:val="24"/>
                <w:lang w:val="en-GB"/>
              </w:rPr>
            </w:pPr>
          </w:p>
        </w:tc>
        <w:tc>
          <w:tcPr>
            <w:tcW w:w="916" w:type="pct"/>
            <w:shd w:val="clear" w:color="auto" w:fill="auto"/>
            <w:noWrap/>
            <w:vAlign w:val="center"/>
          </w:tcPr>
          <w:p w14:paraId="4CEAE0BB"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r>
      <w:tr w:rsidR="00A046DD" w:rsidRPr="00532C20" w14:paraId="1AE9DC7B" w14:textId="77777777">
        <w:trPr>
          <w:trHeight w:val="20"/>
        </w:trPr>
        <w:tc>
          <w:tcPr>
            <w:tcW w:w="805" w:type="pct"/>
            <w:shd w:val="clear" w:color="auto" w:fill="D9D9D9"/>
            <w:noWrap/>
            <w:vAlign w:val="center"/>
            <w:hideMark/>
          </w:tcPr>
          <w:p w14:paraId="7620DE03"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Poland</w:t>
            </w:r>
          </w:p>
        </w:tc>
        <w:tc>
          <w:tcPr>
            <w:tcW w:w="565" w:type="pct"/>
            <w:shd w:val="clear" w:color="auto" w:fill="auto"/>
            <w:noWrap/>
            <w:vAlign w:val="center"/>
            <w:hideMark/>
          </w:tcPr>
          <w:p w14:paraId="65F21325"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12D56E9A"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2100BC99"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0" w:type="pct"/>
            <w:shd w:val="clear" w:color="auto" w:fill="auto"/>
            <w:noWrap/>
            <w:vAlign w:val="center"/>
          </w:tcPr>
          <w:p w14:paraId="34500B54"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916" w:type="pct"/>
            <w:shd w:val="clear" w:color="auto" w:fill="auto"/>
            <w:noWrap/>
            <w:vAlign w:val="center"/>
          </w:tcPr>
          <w:p w14:paraId="7DCF75DF" w14:textId="77777777" w:rsidR="00A046DD" w:rsidRPr="00532C20" w:rsidRDefault="00A046DD" w:rsidP="00A046DD">
            <w:pPr>
              <w:jc w:val="center"/>
              <w:rPr>
                <w:rFonts w:ascii="Times New Roman" w:eastAsia="Times" w:hAnsi="Times New Roman" w:cs="Times"/>
                <w:noProof/>
                <w:sz w:val="24"/>
                <w:szCs w:val="24"/>
                <w:lang w:val="en-GB"/>
              </w:rPr>
            </w:pPr>
          </w:p>
        </w:tc>
      </w:tr>
      <w:tr w:rsidR="00A046DD" w:rsidRPr="00532C20" w14:paraId="11BE6D39" w14:textId="77777777">
        <w:trPr>
          <w:trHeight w:val="20"/>
        </w:trPr>
        <w:tc>
          <w:tcPr>
            <w:tcW w:w="805" w:type="pct"/>
            <w:shd w:val="clear" w:color="auto" w:fill="D9D9D9"/>
            <w:noWrap/>
            <w:vAlign w:val="center"/>
            <w:hideMark/>
          </w:tcPr>
          <w:p w14:paraId="18BC26E3"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Portugal</w:t>
            </w:r>
          </w:p>
        </w:tc>
        <w:tc>
          <w:tcPr>
            <w:tcW w:w="565" w:type="pct"/>
            <w:shd w:val="clear" w:color="auto" w:fill="auto"/>
            <w:noWrap/>
            <w:vAlign w:val="center"/>
            <w:hideMark/>
          </w:tcPr>
          <w:p w14:paraId="052CA1E5" w14:textId="77777777" w:rsidR="00A046DD" w:rsidRPr="00532C20" w:rsidRDefault="00A046DD" w:rsidP="00A046DD">
            <w:pPr>
              <w:jc w:val="center"/>
              <w:rPr>
                <w:rFonts w:ascii="Times New Roman" w:eastAsia="Times" w:hAnsi="Times New Roman" w:cs="Times"/>
                <w:noProof/>
                <w:sz w:val="24"/>
                <w:szCs w:val="24"/>
                <w:lang w:val="en-GB"/>
              </w:rPr>
            </w:pPr>
          </w:p>
        </w:tc>
        <w:tc>
          <w:tcPr>
            <w:tcW w:w="512" w:type="pct"/>
            <w:shd w:val="clear" w:color="auto" w:fill="auto"/>
            <w:noWrap/>
            <w:vAlign w:val="center"/>
            <w:hideMark/>
          </w:tcPr>
          <w:p w14:paraId="1C4B6FFD" w14:textId="77777777" w:rsidR="00A046DD" w:rsidRPr="00532C20" w:rsidRDefault="00A046DD" w:rsidP="00A046DD">
            <w:pPr>
              <w:jc w:val="center"/>
              <w:rPr>
                <w:rFonts w:ascii="Times New Roman" w:eastAsia="Times" w:hAnsi="Times New Roman" w:cs="Times"/>
                <w:noProof/>
                <w:sz w:val="24"/>
                <w:szCs w:val="24"/>
                <w:lang w:val="en-GB"/>
              </w:rPr>
            </w:pPr>
          </w:p>
        </w:tc>
        <w:tc>
          <w:tcPr>
            <w:tcW w:w="1101" w:type="pct"/>
            <w:shd w:val="clear" w:color="auto" w:fill="auto"/>
            <w:vAlign w:val="center"/>
          </w:tcPr>
          <w:p w14:paraId="1513ED51"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3883FCF1"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916" w:type="pct"/>
            <w:shd w:val="clear" w:color="auto" w:fill="auto"/>
            <w:noWrap/>
            <w:vAlign w:val="center"/>
          </w:tcPr>
          <w:p w14:paraId="3A8B6C16" w14:textId="77777777" w:rsidR="00A046DD" w:rsidRPr="00532C20" w:rsidRDefault="00A046DD" w:rsidP="00A046DD">
            <w:pPr>
              <w:jc w:val="center"/>
              <w:rPr>
                <w:rFonts w:ascii="Times New Roman" w:eastAsia="Times" w:hAnsi="Times New Roman" w:cs="Times"/>
                <w:noProof/>
                <w:sz w:val="24"/>
                <w:szCs w:val="24"/>
                <w:lang w:val="en-GB"/>
              </w:rPr>
            </w:pPr>
          </w:p>
        </w:tc>
      </w:tr>
      <w:tr w:rsidR="00A046DD" w:rsidRPr="00532C20" w14:paraId="15D40515" w14:textId="77777777">
        <w:trPr>
          <w:trHeight w:val="20"/>
        </w:trPr>
        <w:tc>
          <w:tcPr>
            <w:tcW w:w="805" w:type="pct"/>
            <w:shd w:val="clear" w:color="auto" w:fill="D9D9D9"/>
            <w:noWrap/>
            <w:vAlign w:val="center"/>
            <w:hideMark/>
          </w:tcPr>
          <w:p w14:paraId="5170E664"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Romania</w:t>
            </w:r>
          </w:p>
        </w:tc>
        <w:tc>
          <w:tcPr>
            <w:tcW w:w="565" w:type="pct"/>
            <w:shd w:val="clear" w:color="auto" w:fill="auto"/>
            <w:noWrap/>
            <w:vAlign w:val="center"/>
            <w:hideMark/>
          </w:tcPr>
          <w:p w14:paraId="73437D7D"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7F322B94"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42BEC0AE"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2AF2AD0D" w14:textId="77777777" w:rsidR="00A046DD" w:rsidRPr="00532C20" w:rsidRDefault="00A046DD" w:rsidP="00A046DD">
            <w:pPr>
              <w:jc w:val="center"/>
              <w:rPr>
                <w:rFonts w:ascii="Times New Roman" w:eastAsia="Times" w:hAnsi="Times New Roman" w:cs="Times"/>
                <w:noProof/>
                <w:sz w:val="24"/>
                <w:szCs w:val="24"/>
                <w:lang w:val="en-GB"/>
              </w:rPr>
            </w:pPr>
          </w:p>
        </w:tc>
        <w:tc>
          <w:tcPr>
            <w:tcW w:w="916" w:type="pct"/>
            <w:shd w:val="clear" w:color="auto" w:fill="auto"/>
            <w:noWrap/>
            <w:vAlign w:val="center"/>
          </w:tcPr>
          <w:p w14:paraId="3AE59D65"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r>
      <w:tr w:rsidR="00A046DD" w:rsidRPr="00532C20" w14:paraId="502FBA46" w14:textId="77777777">
        <w:trPr>
          <w:trHeight w:val="20"/>
        </w:trPr>
        <w:tc>
          <w:tcPr>
            <w:tcW w:w="805" w:type="pct"/>
            <w:shd w:val="clear" w:color="auto" w:fill="D9D9D9"/>
            <w:noWrap/>
            <w:vAlign w:val="center"/>
            <w:hideMark/>
          </w:tcPr>
          <w:p w14:paraId="01D3C4DC"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Slovakia</w:t>
            </w:r>
          </w:p>
        </w:tc>
        <w:tc>
          <w:tcPr>
            <w:tcW w:w="565" w:type="pct"/>
            <w:shd w:val="clear" w:color="auto" w:fill="auto"/>
            <w:noWrap/>
            <w:vAlign w:val="center"/>
            <w:hideMark/>
          </w:tcPr>
          <w:p w14:paraId="3433D150" w14:textId="77777777" w:rsidR="00A046DD" w:rsidRPr="00532C20" w:rsidRDefault="00A046DD" w:rsidP="00A046DD">
            <w:pPr>
              <w:jc w:val="center"/>
              <w:rPr>
                <w:rFonts w:ascii="Times New Roman" w:eastAsia="Times" w:hAnsi="Times New Roman" w:cs="Times"/>
                <w:noProof/>
                <w:sz w:val="24"/>
                <w:szCs w:val="24"/>
                <w:lang w:val="en-GB"/>
              </w:rPr>
            </w:pPr>
          </w:p>
        </w:tc>
        <w:tc>
          <w:tcPr>
            <w:tcW w:w="512" w:type="pct"/>
            <w:shd w:val="clear" w:color="auto" w:fill="auto"/>
            <w:noWrap/>
            <w:vAlign w:val="center"/>
            <w:hideMark/>
          </w:tcPr>
          <w:p w14:paraId="42F1B60B" w14:textId="77777777" w:rsidR="00A046DD" w:rsidRPr="00532C20" w:rsidRDefault="00A046DD" w:rsidP="00A046DD">
            <w:pPr>
              <w:jc w:val="center"/>
              <w:rPr>
                <w:rFonts w:ascii="Times New Roman" w:eastAsia="Times" w:hAnsi="Times New Roman" w:cs="Times"/>
                <w:noProof/>
                <w:sz w:val="24"/>
                <w:szCs w:val="24"/>
                <w:lang w:val="en-GB"/>
              </w:rPr>
            </w:pPr>
          </w:p>
        </w:tc>
        <w:tc>
          <w:tcPr>
            <w:tcW w:w="1101" w:type="pct"/>
            <w:shd w:val="clear" w:color="auto" w:fill="auto"/>
            <w:vAlign w:val="center"/>
          </w:tcPr>
          <w:p w14:paraId="4DE19584"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6231DAC4"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916" w:type="pct"/>
            <w:shd w:val="clear" w:color="auto" w:fill="auto"/>
            <w:noWrap/>
            <w:vAlign w:val="center"/>
          </w:tcPr>
          <w:p w14:paraId="2DA28E09" w14:textId="77777777" w:rsidR="00A046DD" w:rsidRPr="00532C20" w:rsidRDefault="00A046DD" w:rsidP="00A046DD">
            <w:pPr>
              <w:jc w:val="center"/>
              <w:rPr>
                <w:rFonts w:ascii="Times New Roman" w:eastAsia="Times" w:hAnsi="Times New Roman" w:cs="Times"/>
                <w:noProof/>
                <w:sz w:val="24"/>
                <w:szCs w:val="24"/>
                <w:lang w:val="en-GB"/>
              </w:rPr>
            </w:pPr>
          </w:p>
        </w:tc>
      </w:tr>
      <w:tr w:rsidR="00A046DD" w:rsidRPr="00532C20" w14:paraId="28CBA8EF" w14:textId="77777777">
        <w:trPr>
          <w:trHeight w:val="20"/>
        </w:trPr>
        <w:tc>
          <w:tcPr>
            <w:tcW w:w="805" w:type="pct"/>
            <w:shd w:val="clear" w:color="auto" w:fill="D9D9D9"/>
            <w:noWrap/>
            <w:vAlign w:val="center"/>
            <w:hideMark/>
          </w:tcPr>
          <w:p w14:paraId="5209E273"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Slovenia</w:t>
            </w:r>
          </w:p>
        </w:tc>
        <w:tc>
          <w:tcPr>
            <w:tcW w:w="565" w:type="pct"/>
            <w:shd w:val="clear" w:color="auto" w:fill="auto"/>
            <w:noWrap/>
            <w:vAlign w:val="center"/>
            <w:hideMark/>
          </w:tcPr>
          <w:p w14:paraId="60413981"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41480100"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025B2F80"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0" w:type="pct"/>
            <w:shd w:val="clear" w:color="auto" w:fill="auto"/>
            <w:noWrap/>
            <w:vAlign w:val="center"/>
          </w:tcPr>
          <w:p w14:paraId="7F39F473" w14:textId="77777777" w:rsidR="00A046DD" w:rsidRPr="00532C20" w:rsidRDefault="00A046DD" w:rsidP="00A046DD">
            <w:pPr>
              <w:jc w:val="center"/>
              <w:rPr>
                <w:rFonts w:ascii="Times New Roman" w:eastAsia="Times" w:hAnsi="Times New Roman" w:cs="Times"/>
                <w:noProof/>
                <w:sz w:val="24"/>
                <w:szCs w:val="24"/>
                <w:lang w:val="en-GB"/>
              </w:rPr>
            </w:pPr>
          </w:p>
        </w:tc>
        <w:tc>
          <w:tcPr>
            <w:tcW w:w="916" w:type="pct"/>
            <w:shd w:val="clear" w:color="auto" w:fill="auto"/>
            <w:noWrap/>
            <w:vAlign w:val="center"/>
          </w:tcPr>
          <w:p w14:paraId="6D63CD66"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r>
      <w:tr w:rsidR="00A046DD" w:rsidRPr="00532C20" w14:paraId="2A483B3F" w14:textId="77777777">
        <w:trPr>
          <w:trHeight w:val="20"/>
        </w:trPr>
        <w:tc>
          <w:tcPr>
            <w:tcW w:w="805" w:type="pct"/>
            <w:shd w:val="clear" w:color="auto" w:fill="D9D9D9"/>
            <w:noWrap/>
            <w:vAlign w:val="center"/>
            <w:hideMark/>
          </w:tcPr>
          <w:p w14:paraId="281C9B70"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Spain</w:t>
            </w:r>
          </w:p>
        </w:tc>
        <w:tc>
          <w:tcPr>
            <w:tcW w:w="565" w:type="pct"/>
            <w:shd w:val="clear" w:color="auto" w:fill="auto"/>
            <w:noWrap/>
            <w:vAlign w:val="center"/>
            <w:hideMark/>
          </w:tcPr>
          <w:p w14:paraId="6C83DD85"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512" w:type="pct"/>
            <w:shd w:val="clear" w:color="auto" w:fill="auto"/>
            <w:noWrap/>
            <w:vAlign w:val="center"/>
            <w:hideMark/>
          </w:tcPr>
          <w:p w14:paraId="19D61C3F"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1" w:type="pct"/>
            <w:shd w:val="clear" w:color="auto" w:fill="auto"/>
            <w:vAlign w:val="center"/>
          </w:tcPr>
          <w:p w14:paraId="46066A23"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1100" w:type="pct"/>
            <w:shd w:val="clear" w:color="auto" w:fill="auto"/>
            <w:noWrap/>
            <w:vAlign w:val="center"/>
          </w:tcPr>
          <w:p w14:paraId="7F22A4F7" w14:textId="77777777" w:rsidR="00A046DD" w:rsidRPr="00532C20" w:rsidRDefault="00A046DD" w:rsidP="00A046DD">
            <w:pPr>
              <w:jc w:val="center"/>
              <w:rPr>
                <w:rFonts w:ascii="Times New Roman" w:eastAsia="Times" w:hAnsi="Times New Roman" w:cs="Times"/>
                <w:noProof/>
                <w:sz w:val="24"/>
                <w:szCs w:val="24"/>
                <w:lang w:val="en-GB"/>
              </w:rPr>
            </w:pPr>
          </w:p>
        </w:tc>
        <w:tc>
          <w:tcPr>
            <w:tcW w:w="916" w:type="pct"/>
            <w:shd w:val="clear" w:color="auto" w:fill="auto"/>
            <w:noWrap/>
            <w:vAlign w:val="center"/>
          </w:tcPr>
          <w:p w14:paraId="6F1F9947"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r>
      <w:tr w:rsidR="00A046DD" w:rsidRPr="00532C20" w14:paraId="38DE8F2C" w14:textId="77777777">
        <w:trPr>
          <w:trHeight w:val="20"/>
        </w:trPr>
        <w:tc>
          <w:tcPr>
            <w:tcW w:w="805" w:type="pct"/>
            <w:shd w:val="clear" w:color="auto" w:fill="D9D9D9"/>
            <w:noWrap/>
            <w:vAlign w:val="center"/>
            <w:hideMark/>
          </w:tcPr>
          <w:p w14:paraId="30159C81"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heme="minorBidi"/>
                <w:b/>
                <w:noProof/>
                <w:sz w:val="24"/>
                <w:szCs w:val="24"/>
                <w:lang w:val="fr-FR"/>
              </w:rPr>
              <w:t>Sweden</w:t>
            </w:r>
          </w:p>
        </w:tc>
        <w:tc>
          <w:tcPr>
            <w:tcW w:w="565" w:type="pct"/>
            <w:shd w:val="clear" w:color="auto" w:fill="auto"/>
            <w:noWrap/>
            <w:vAlign w:val="center"/>
            <w:hideMark/>
          </w:tcPr>
          <w:p w14:paraId="4821D8AE" w14:textId="77777777" w:rsidR="00A046DD" w:rsidRPr="00532C20" w:rsidRDefault="00A046DD" w:rsidP="00A046DD">
            <w:pPr>
              <w:jc w:val="center"/>
              <w:rPr>
                <w:rFonts w:ascii="Times New Roman" w:eastAsia="Times" w:hAnsi="Times New Roman" w:cs="Times"/>
                <w:noProof/>
                <w:sz w:val="24"/>
                <w:szCs w:val="24"/>
                <w:lang w:val="en-GB"/>
              </w:rPr>
            </w:pPr>
          </w:p>
        </w:tc>
        <w:tc>
          <w:tcPr>
            <w:tcW w:w="512" w:type="pct"/>
            <w:shd w:val="clear" w:color="auto" w:fill="auto"/>
            <w:noWrap/>
            <w:vAlign w:val="center"/>
            <w:hideMark/>
          </w:tcPr>
          <w:p w14:paraId="5582608E" w14:textId="77777777" w:rsidR="00A046DD" w:rsidRPr="00532C20" w:rsidRDefault="00A046DD" w:rsidP="00A046DD">
            <w:pPr>
              <w:jc w:val="center"/>
              <w:rPr>
                <w:rFonts w:ascii="Times New Roman" w:eastAsia="Times" w:hAnsi="Times New Roman" w:cs="Times"/>
                <w:noProof/>
                <w:sz w:val="24"/>
                <w:szCs w:val="24"/>
                <w:lang w:val="en-GB"/>
              </w:rPr>
            </w:pPr>
          </w:p>
        </w:tc>
        <w:tc>
          <w:tcPr>
            <w:tcW w:w="1101" w:type="pct"/>
            <w:shd w:val="clear" w:color="auto" w:fill="auto"/>
            <w:vAlign w:val="center"/>
          </w:tcPr>
          <w:p w14:paraId="05BEFD28" w14:textId="77777777" w:rsidR="00A046DD" w:rsidRPr="00532C20" w:rsidRDefault="00A046DD" w:rsidP="00A046DD">
            <w:pPr>
              <w:jc w:val="center"/>
              <w:rPr>
                <w:rFonts w:ascii="Times New Roman" w:eastAsia="Times" w:hAnsi="Times New Roman" w:cs="Times"/>
                <w:noProof/>
                <w:sz w:val="24"/>
                <w:szCs w:val="24"/>
                <w:lang w:val="en-GB"/>
              </w:rPr>
            </w:pPr>
          </w:p>
        </w:tc>
        <w:tc>
          <w:tcPr>
            <w:tcW w:w="1100" w:type="pct"/>
            <w:shd w:val="clear" w:color="auto" w:fill="auto"/>
            <w:noWrap/>
            <w:vAlign w:val="center"/>
          </w:tcPr>
          <w:p w14:paraId="0B02ABA5" w14:textId="77777777" w:rsidR="00A046DD" w:rsidRPr="00532C20" w:rsidRDefault="00A046DD" w:rsidP="00A046DD">
            <w:pPr>
              <w:jc w:val="center"/>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lang w:val="fr-FR"/>
              </w:rPr>
              <w:t>X</w:t>
            </w:r>
          </w:p>
        </w:tc>
        <w:tc>
          <w:tcPr>
            <w:tcW w:w="916" w:type="pct"/>
            <w:shd w:val="clear" w:color="auto" w:fill="auto"/>
            <w:noWrap/>
            <w:vAlign w:val="center"/>
          </w:tcPr>
          <w:p w14:paraId="007F90B1" w14:textId="77777777" w:rsidR="00A046DD" w:rsidRPr="00532C20" w:rsidRDefault="00A046DD" w:rsidP="00A046DD">
            <w:pPr>
              <w:jc w:val="center"/>
              <w:rPr>
                <w:rFonts w:ascii="Times New Roman" w:eastAsia="Times" w:hAnsi="Times New Roman" w:cs="Times"/>
                <w:noProof/>
                <w:sz w:val="24"/>
                <w:szCs w:val="24"/>
                <w:lang w:val="en-GB"/>
              </w:rPr>
            </w:pPr>
          </w:p>
        </w:tc>
      </w:tr>
      <w:tr w:rsidR="00A046DD" w:rsidRPr="00532C20" w14:paraId="5808D328" w14:textId="77777777">
        <w:trPr>
          <w:trHeight w:val="20"/>
        </w:trPr>
        <w:tc>
          <w:tcPr>
            <w:tcW w:w="805" w:type="pct"/>
            <w:shd w:val="clear" w:color="auto" w:fill="0C4DA2"/>
            <w:noWrap/>
            <w:vAlign w:val="center"/>
          </w:tcPr>
          <w:p w14:paraId="4D275FA7" w14:textId="77777777" w:rsidR="00A046DD" w:rsidRPr="00532C20" w:rsidRDefault="00A046DD" w:rsidP="00A046DD">
            <w:pPr>
              <w:rPr>
                <w:rFonts w:ascii="Times New Roman" w:eastAsia="Times" w:hAnsi="Times New Roman" w:cs="Times"/>
                <w:b/>
                <w:noProof/>
                <w:color w:val="FFFFFF"/>
                <w:sz w:val="24"/>
                <w:szCs w:val="24"/>
                <w:lang w:val="en-GB"/>
              </w:rPr>
            </w:pPr>
            <w:r w:rsidRPr="00532C20">
              <w:rPr>
                <w:rFonts w:ascii="Times New Roman" w:eastAsia="Times" w:hAnsi="Times New Roman" w:cstheme="minorBidi"/>
                <w:b/>
                <w:noProof/>
                <w:color w:val="FFFFFF"/>
                <w:sz w:val="24"/>
                <w:szCs w:val="24"/>
                <w:lang w:val="fr-FR"/>
              </w:rPr>
              <w:t>Total</w:t>
            </w:r>
          </w:p>
        </w:tc>
        <w:tc>
          <w:tcPr>
            <w:tcW w:w="565" w:type="pct"/>
            <w:shd w:val="clear" w:color="auto" w:fill="0C4DA2"/>
            <w:noWrap/>
            <w:vAlign w:val="center"/>
          </w:tcPr>
          <w:p w14:paraId="7A8D78B5" w14:textId="77777777" w:rsidR="00A046DD" w:rsidRPr="00532C20" w:rsidRDefault="00A046DD" w:rsidP="00A046DD">
            <w:pPr>
              <w:jc w:val="center"/>
              <w:rPr>
                <w:rFonts w:ascii="Times New Roman" w:eastAsia="Times" w:hAnsi="Times New Roman" w:cs="Times"/>
                <w:noProof/>
                <w:color w:val="FFFFFF"/>
                <w:sz w:val="24"/>
                <w:szCs w:val="24"/>
                <w:lang w:val="en-GB"/>
              </w:rPr>
            </w:pPr>
            <w:r w:rsidRPr="00532C20">
              <w:rPr>
                <w:rFonts w:ascii="Times New Roman" w:eastAsia="Times" w:hAnsi="Times New Roman" w:cstheme="minorBidi"/>
                <w:noProof/>
                <w:color w:val="FFFFFF"/>
                <w:sz w:val="24"/>
                <w:szCs w:val="24"/>
                <w:lang w:val="fr-FR"/>
              </w:rPr>
              <w:t>16 MS</w:t>
            </w:r>
          </w:p>
        </w:tc>
        <w:tc>
          <w:tcPr>
            <w:tcW w:w="512" w:type="pct"/>
            <w:shd w:val="clear" w:color="auto" w:fill="0C4DA2"/>
            <w:noWrap/>
            <w:vAlign w:val="center"/>
          </w:tcPr>
          <w:p w14:paraId="205CBF4D" w14:textId="77777777" w:rsidR="00A046DD" w:rsidRPr="00532C20" w:rsidRDefault="00A046DD" w:rsidP="00A046DD">
            <w:pPr>
              <w:jc w:val="center"/>
              <w:rPr>
                <w:rFonts w:ascii="Times New Roman" w:eastAsia="Times" w:hAnsi="Times New Roman" w:cs="Times"/>
                <w:noProof/>
                <w:color w:val="FFFFFF"/>
                <w:sz w:val="24"/>
                <w:szCs w:val="24"/>
                <w:lang w:val="en-GB"/>
              </w:rPr>
            </w:pPr>
            <w:r w:rsidRPr="00532C20">
              <w:rPr>
                <w:rFonts w:ascii="Times New Roman" w:eastAsia="Times" w:hAnsi="Times New Roman" w:cstheme="minorBidi"/>
                <w:noProof/>
                <w:color w:val="FFFFFF"/>
                <w:sz w:val="24"/>
                <w:szCs w:val="24"/>
                <w:lang w:val="fr-FR"/>
              </w:rPr>
              <w:t>15 MS</w:t>
            </w:r>
          </w:p>
        </w:tc>
        <w:tc>
          <w:tcPr>
            <w:tcW w:w="1101" w:type="pct"/>
            <w:shd w:val="clear" w:color="auto" w:fill="0C4DA2"/>
            <w:vAlign w:val="center"/>
          </w:tcPr>
          <w:p w14:paraId="2123B714" w14:textId="77777777" w:rsidR="00A046DD" w:rsidRPr="00532C20" w:rsidRDefault="00A046DD" w:rsidP="00A046DD">
            <w:pPr>
              <w:jc w:val="center"/>
              <w:rPr>
                <w:rFonts w:ascii="Times New Roman" w:eastAsia="Times" w:hAnsi="Times New Roman" w:cs="Times"/>
                <w:noProof/>
                <w:color w:val="FFFFFF"/>
                <w:sz w:val="24"/>
                <w:szCs w:val="24"/>
                <w:lang w:val="en-GB"/>
              </w:rPr>
            </w:pPr>
            <w:r w:rsidRPr="00532C20">
              <w:rPr>
                <w:rFonts w:ascii="Times New Roman" w:eastAsia="Times" w:hAnsi="Times New Roman" w:cstheme="minorBidi"/>
                <w:noProof/>
                <w:color w:val="FFFFFF"/>
                <w:sz w:val="24"/>
                <w:szCs w:val="24"/>
                <w:lang w:val="fr-FR"/>
              </w:rPr>
              <w:t>12 MS</w:t>
            </w:r>
          </w:p>
        </w:tc>
        <w:tc>
          <w:tcPr>
            <w:tcW w:w="1100" w:type="pct"/>
            <w:shd w:val="clear" w:color="auto" w:fill="0C4DA2"/>
            <w:noWrap/>
            <w:vAlign w:val="center"/>
          </w:tcPr>
          <w:p w14:paraId="72334664" w14:textId="77777777" w:rsidR="00A046DD" w:rsidRPr="00532C20" w:rsidRDefault="00A046DD" w:rsidP="00A046DD">
            <w:pPr>
              <w:jc w:val="center"/>
              <w:rPr>
                <w:rFonts w:ascii="Times New Roman" w:eastAsia="Times" w:hAnsi="Times New Roman" w:cs="Times"/>
                <w:noProof/>
                <w:color w:val="FFFFFF"/>
                <w:sz w:val="24"/>
                <w:szCs w:val="24"/>
                <w:lang w:val="en-GB"/>
              </w:rPr>
            </w:pPr>
            <w:r w:rsidRPr="00532C20">
              <w:rPr>
                <w:rFonts w:ascii="Times New Roman" w:eastAsia="Times" w:hAnsi="Times New Roman" w:cstheme="minorBidi"/>
                <w:noProof/>
                <w:color w:val="FFFFFF"/>
                <w:sz w:val="24"/>
                <w:szCs w:val="24"/>
                <w:lang w:val="fr-FR"/>
              </w:rPr>
              <w:t>12 MS</w:t>
            </w:r>
          </w:p>
        </w:tc>
        <w:tc>
          <w:tcPr>
            <w:tcW w:w="916" w:type="pct"/>
            <w:shd w:val="clear" w:color="auto" w:fill="0C4DA2"/>
            <w:noWrap/>
            <w:vAlign w:val="center"/>
          </w:tcPr>
          <w:p w14:paraId="34205926" w14:textId="77777777" w:rsidR="00A046DD" w:rsidRPr="00532C20" w:rsidRDefault="00A046DD" w:rsidP="00A046DD">
            <w:pPr>
              <w:jc w:val="center"/>
              <w:rPr>
                <w:rFonts w:ascii="Times New Roman" w:eastAsia="Times" w:hAnsi="Times New Roman" w:cs="Times"/>
                <w:noProof/>
                <w:color w:val="FFFFFF"/>
                <w:sz w:val="24"/>
                <w:szCs w:val="24"/>
                <w:lang w:val="en-GB"/>
              </w:rPr>
            </w:pPr>
            <w:r w:rsidRPr="00532C20">
              <w:rPr>
                <w:rFonts w:ascii="Times New Roman" w:eastAsia="Times" w:hAnsi="Times New Roman" w:cstheme="minorBidi"/>
                <w:noProof/>
                <w:color w:val="FFFFFF"/>
                <w:sz w:val="24"/>
                <w:szCs w:val="24"/>
                <w:lang w:val="fr-FR"/>
              </w:rPr>
              <w:t>15 MS</w:t>
            </w:r>
          </w:p>
        </w:tc>
      </w:tr>
    </w:tbl>
    <w:p w14:paraId="659982E4" w14:textId="7B3F44A8" w:rsidR="00A046DD" w:rsidRPr="005833C4" w:rsidRDefault="00A046DD" w:rsidP="00A046DD">
      <w:pPr>
        <w:spacing w:before="120" w:after="120" w:line="240" w:lineRule="auto"/>
        <w:jc w:val="both"/>
        <w:rPr>
          <w:rFonts w:ascii="Times New Roman" w:eastAsia="Times New Roman" w:hAnsi="Times New Roman" w:cs="Times New Roman"/>
          <w:noProof/>
          <w:sz w:val="20"/>
          <w:szCs w:val="20"/>
        </w:rPr>
      </w:pPr>
      <w:r w:rsidRPr="005833C4">
        <w:rPr>
          <w:rFonts w:ascii="Times New Roman" w:eastAsia="Times New Roman" w:hAnsi="Times New Roman" w:cs="Times New Roman"/>
          <w:noProof/>
          <w:sz w:val="20"/>
          <w:szCs w:val="20"/>
          <w:vertAlign w:val="superscript"/>
        </w:rPr>
        <w:t xml:space="preserve">(1) </w:t>
      </w:r>
      <w:r w:rsidRPr="005833C4">
        <w:rPr>
          <w:rFonts w:ascii="Times New Roman" w:eastAsia="Times New Roman" w:hAnsi="Times New Roman" w:cs="Times New Roman"/>
          <w:noProof/>
          <w:sz w:val="20"/>
          <w:szCs w:val="20"/>
        </w:rPr>
        <w:t>In addition to the existing laws, the legal and policy mapping conducted for th</w:t>
      </w:r>
      <w:r w:rsidR="000D0A0D" w:rsidRPr="005833C4">
        <w:rPr>
          <w:rFonts w:ascii="Times New Roman" w:eastAsia="Times New Roman" w:hAnsi="Times New Roman" w:cs="Times New Roman"/>
          <w:noProof/>
          <w:sz w:val="20"/>
          <w:szCs w:val="20"/>
        </w:rPr>
        <w:t>e</w:t>
      </w:r>
      <w:r w:rsidRPr="005833C4">
        <w:rPr>
          <w:rFonts w:ascii="Times New Roman" w:eastAsia="Times New Roman" w:hAnsi="Times New Roman" w:cs="Times New Roman"/>
          <w:noProof/>
          <w:sz w:val="20"/>
          <w:szCs w:val="20"/>
        </w:rPr>
        <w:t xml:space="preserve"> </w:t>
      </w:r>
      <w:r w:rsidR="00286C16">
        <w:rPr>
          <w:rFonts w:ascii="Times New Roman" w:eastAsia="Times New Roman" w:hAnsi="Times New Roman" w:cs="Times New Roman"/>
          <w:noProof/>
          <w:sz w:val="20"/>
          <w:szCs w:val="20"/>
        </w:rPr>
        <w:t xml:space="preserve">supporting </w:t>
      </w:r>
      <w:r w:rsidRPr="005833C4">
        <w:rPr>
          <w:rFonts w:ascii="Times New Roman" w:eastAsia="Times New Roman" w:hAnsi="Times New Roman" w:cs="Times New Roman"/>
          <w:noProof/>
          <w:sz w:val="20"/>
          <w:szCs w:val="20"/>
        </w:rPr>
        <w:t>study identified that relevant laws are in development in 11 Member States (BE, BG, CZ, IE, IT, LV, MT, NL, PL, SK, ES).</w:t>
      </w:r>
    </w:p>
    <w:p w14:paraId="4D3F4B1B" w14:textId="77777777" w:rsidR="00A046DD" w:rsidRPr="005833C4" w:rsidRDefault="00A046DD" w:rsidP="00A046DD">
      <w:pPr>
        <w:spacing w:before="120" w:after="120" w:line="240" w:lineRule="auto"/>
        <w:jc w:val="both"/>
        <w:rPr>
          <w:rFonts w:ascii="Times New Roman" w:eastAsia="Times New Roman" w:hAnsi="Times New Roman" w:cs="Times New Roman"/>
          <w:noProof/>
          <w:sz w:val="20"/>
          <w:szCs w:val="20"/>
        </w:rPr>
      </w:pPr>
      <w:r w:rsidRPr="005833C4">
        <w:rPr>
          <w:rFonts w:ascii="Times New Roman" w:eastAsia="Times New Roman" w:hAnsi="Times New Roman" w:cs="Times New Roman"/>
          <w:noProof/>
          <w:sz w:val="20"/>
          <w:szCs w:val="20"/>
          <w:vertAlign w:val="superscript"/>
        </w:rPr>
        <w:t>(2)</w:t>
      </w:r>
      <w:r w:rsidRPr="005833C4">
        <w:rPr>
          <w:rFonts w:ascii="Times New Roman" w:eastAsia="Times New Roman" w:hAnsi="Times New Roman" w:cs="Times New Roman"/>
          <w:noProof/>
          <w:sz w:val="20"/>
          <w:szCs w:val="20"/>
        </w:rPr>
        <w:t xml:space="preserve"> While a register exists in BE, there is currently no IT tool; instead, the register is published as a PDF document. As such, it is assumed that the BE authorities would need to develop a new IT tool.</w:t>
      </w:r>
    </w:p>
    <w:p w14:paraId="10312254"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p>
    <w:p w14:paraId="47FEA9FC" w14:textId="5A55465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The differentiation of impacts based on the second point (i.e. the number of entities carrying out interest representation activities within scope that are already registered) is more challenging to assess. As highlighted above, interview feedback from national-level stakeholders interviewed for th</w:t>
      </w:r>
      <w:r w:rsidR="000D0A0D">
        <w:rPr>
          <w:rFonts w:ascii="Times New Roman" w:eastAsia="Times New Roman" w:hAnsi="Times New Roman" w:cs="Times New Roman"/>
          <w:noProof/>
          <w:sz w:val="24"/>
          <w:szCs w:val="24"/>
        </w:rPr>
        <w:t>e</w:t>
      </w:r>
      <w:r w:rsidRPr="00532C20">
        <w:rPr>
          <w:rFonts w:ascii="Times New Roman" w:eastAsia="Times New Roman" w:hAnsi="Times New Roman" w:cs="Times New Roman"/>
          <w:noProof/>
          <w:sz w:val="24"/>
          <w:szCs w:val="24"/>
        </w:rPr>
        <w:t xml:space="preserve"> </w:t>
      </w:r>
      <w:r w:rsidR="00286C16">
        <w:rPr>
          <w:rFonts w:ascii="Times New Roman" w:eastAsia="Times New Roman" w:hAnsi="Times New Roman" w:cs="Times New Roman"/>
          <w:noProof/>
          <w:sz w:val="24"/>
          <w:szCs w:val="24"/>
        </w:rPr>
        <w:t xml:space="preserve">supporting </w:t>
      </w:r>
      <w:r w:rsidRPr="00532C20">
        <w:rPr>
          <w:rFonts w:ascii="Times New Roman" w:eastAsia="Times New Roman" w:hAnsi="Times New Roman" w:cs="Times New Roman"/>
          <w:noProof/>
          <w:sz w:val="24"/>
          <w:szCs w:val="24"/>
        </w:rPr>
        <w:t>study (including public authorities, interest representation providers and representative associations) demonstrated limited insight into registration compliance rates across the EU, while the voluntary nature of registration in some Member States (e.g. BE, IT, RO), the differences in scope across Member States (e.g. no coverage of existing interest representation on behalf of third countries; coverage of lobbying versus interest representation more broadly) and the wide variance in number of registrants across Member States (e.g. 82 in SI and 84 in IT compared with 5,676 in DE and 2,454 in IE), mean that it is not possible to estimate with any certainty the proportion of entities conducting interest representation activities that are already registered. For those entities that are operating on behalf of third countries, it is even more difficult.</w:t>
      </w:r>
    </w:p>
    <w:p w14:paraId="0FCC0E9A"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As such, while this may not be the case in practice, it is assumed that all entities within scope operating in a Member State with an existing register are already registered in that country.</w:t>
      </w:r>
    </w:p>
    <w:p w14:paraId="2258EC8F"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The characteristics of these 3 core costs are now described, before the data collected on the scale of the costs is presented:</w:t>
      </w:r>
    </w:p>
    <w:p w14:paraId="4877EFC8" w14:textId="77777777" w:rsidR="00A046DD" w:rsidRPr="00532C20" w:rsidRDefault="00A046DD" w:rsidP="002B0B48">
      <w:pPr>
        <w:numPr>
          <w:ilvl w:val="0"/>
          <w:numId w:val="65"/>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Initial registration costs</w:t>
      </w:r>
      <w:r w:rsidRPr="00532C20">
        <w:rPr>
          <w:rFonts w:ascii="Times New Roman" w:eastAsia="Times New Roman" w:hAnsi="Times New Roman" w:cs="Times New Roman"/>
          <w:noProof/>
          <w:sz w:val="24"/>
          <w:szCs w:val="24"/>
          <w:lang w:eastAsia="en-GB"/>
        </w:rPr>
        <w:t>: In Member States that currently do not have existing registers (i.e. 12 Member States), entities conducting interest representation activities on behalf of third countries will be required to register.</w:t>
      </w:r>
    </w:p>
    <w:p w14:paraId="3C36B096" w14:textId="77777777" w:rsidR="00A046DD" w:rsidRPr="00532C20" w:rsidRDefault="00A046DD" w:rsidP="002B0B48">
      <w:pPr>
        <w:numPr>
          <w:ilvl w:val="0"/>
          <w:numId w:val="65"/>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Initial information update costs</w:t>
      </w:r>
      <w:r w:rsidRPr="00532C20">
        <w:rPr>
          <w:rFonts w:ascii="Times New Roman" w:eastAsia="Times New Roman" w:hAnsi="Times New Roman" w:cs="Times New Roman"/>
          <w:noProof/>
          <w:sz w:val="24"/>
          <w:szCs w:val="24"/>
          <w:lang w:eastAsia="en-GB"/>
        </w:rPr>
        <w:t>: In Member States that currently maintain existing registers, entities carrying out interest representation activities on behalf of third countries will be required to update existing information to explicitly disclose the third country interests they represent.</w:t>
      </w:r>
    </w:p>
    <w:p w14:paraId="192137AC" w14:textId="38FEAFEE" w:rsidR="00A046DD" w:rsidRPr="00532C20" w:rsidRDefault="00A046DD" w:rsidP="002B0B48">
      <w:pPr>
        <w:numPr>
          <w:ilvl w:val="0"/>
          <w:numId w:val="65"/>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Ongoing information disclosure costs</w:t>
      </w:r>
      <w:r w:rsidRPr="00532C20">
        <w:rPr>
          <w:rFonts w:ascii="Times New Roman" w:eastAsia="Times New Roman" w:hAnsi="Times New Roman" w:cs="Times New Roman"/>
          <w:noProof/>
          <w:sz w:val="24"/>
          <w:szCs w:val="24"/>
          <w:lang w:eastAsia="en-GB"/>
        </w:rPr>
        <w:t xml:space="preserve">: All entities conducting interest representation activities on behalf of third countries will be required to ensure the information submitted to registers across the </w:t>
      </w:r>
      <w:r w:rsidR="00E01AB8">
        <w:rPr>
          <w:rFonts w:ascii="Times New Roman" w:eastAsia="Times New Roman" w:hAnsi="Times New Roman" w:cs="Times New Roman"/>
          <w:noProof/>
          <w:sz w:val="24"/>
          <w:szCs w:val="24"/>
          <w:lang w:eastAsia="en-GB"/>
        </w:rPr>
        <w:t>Union</w:t>
      </w:r>
      <w:r w:rsidR="00E01AB8" w:rsidRPr="00532C20">
        <w:rPr>
          <w:rFonts w:ascii="Times New Roman" w:eastAsia="Times New Roman" w:hAnsi="Times New Roman" w:cs="Times New Roman"/>
          <w:noProof/>
          <w:sz w:val="24"/>
          <w:szCs w:val="24"/>
          <w:lang w:eastAsia="en-GB"/>
        </w:rPr>
        <w:t xml:space="preserve"> </w:t>
      </w:r>
      <w:r w:rsidRPr="00532C20">
        <w:rPr>
          <w:rFonts w:ascii="Times New Roman" w:eastAsia="Times New Roman" w:hAnsi="Times New Roman" w:cs="Times New Roman"/>
          <w:noProof/>
          <w:sz w:val="24"/>
          <w:szCs w:val="24"/>
          <w:lang w:eastAsia="en-GB"/>
        </w:rPr>
        <w:t>is regularly updated and remains accurate.</w:t>
      </w:r>
    </w:p>
    <w:p w14:paraId="2A617869"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The costs related to both initial registration and updating of information will be administrative, one-off costs, borne in year 1. The ongoing information disclosure costs will be administrative in nature, but will be recurrent, borne annually in years 2-10. The costs will take the form of human resources spent collecting and submitting the required information (i.e. time of direct labour costs and related overheads). As for the familiarisation costs, the EU wage tariffs, based on ISCO employee categories, have been used to calculate the different costs associated with registration and information disclosure.</w:t>
      </w:r>
    </w:p>
    <w:p w14:paraId="78550D16"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The following table presents the available evidence on the estimated scale of these costs.</w:t>
      </w:r>
    </w:p>
    <w:p w14:paraId="71E406FD" w14:textId="019C6907"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bookmarkStart w:id="1179" w:name="_Toc140752083"/>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25</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Costs associated with registration and updating information at the </w:t>
      </w:r>
      <w:r w:rsidR="005E0CCC">
        <w:rPr>
          <w:rFonts w:ascii="Times New Roman" w:eastAsia="Times New Roman" w:hAnsi="Times New Roman" w:cs="Times New Roman"/>
          <w:b/>
          <w:noProof/>
          <w:sz w:val="24"/>
          <w:szCs w:val="24"/>
        </w:rPr>
        <w:t>Union</w:t>
      </w:r>
      <w:r w:rsidR="005E0CCC" w:rsidRPr="00532C20">
        <w:rPr>
          <w:rFonts w:ascii="Times New Roman" w:eastAsia="Times New Roman" w:hAnsi="Times New Roman" w:cs="Times New Roman"/>
          <w:b/>
          <w:noProof/>
          <w:sz w:val="24"/>
          <w:szCs w:val="24"/>
        </w:rPr>
        <w:t xml:space="preserve"> </w:t>
      </w:r>
      <w:r w:rsidRPr="00532C20">
        <w:rPr>
          <w:rFonts w:ascii="Times New Roman" w:eastAsia="Times New Roman" w:hAnsi="Times New Roman" w:cs="Times New Roman"/>
          <w:b/>
          <w:noProof/>
          <w:sz w:val="24"/>
          <w:szCs w:val="24"/>
        </w:rPr>
        <w:t>and national levels</w:t>
      </w:r>
      <w:bookmarkEnd w:id="1179"/>
    </w:p>
    <w:tbl>
      <w:tblPr>
        <w:tblStyle w:val="12uCharChar18"/>
        <w:tblW w:w="0" w:type="auto"/>
        <w:shd w:val="clear" w:color="auto" w:fill="D9D9D9"/>
        <w:tblLook w:val="04A0" w:firstRow="1" w:lastRow="0" w:firstColumn="1" w:lastColumn="0" w:noHBand="0" w:noVBand="1"/>
      </w:tblPr>
      <w:tblGrid>
        <w:gridCol w:w="8608"/>
      </w:tblGrid>
      <w:tr w:rsidR="00A046DD" w:rsidRPr="00532C20" w14:paraId="37CD25AA" w14:textId="77777777">
        <w:trPr>
          <w:cnfStyle w:val="100000000000" w:firstRow="1" w:lastRow="0" w:firstColumn="0" w:lastColumn="0" w:oddVBand="0" w:evenVBand="0" w:oddHBand="0" w:evenHBand="0" w:firstRowFirstColumn="0" w:firstRowLastColumn="0" w:lastRowFirstColumn="0" w:lastRowLastColumn="0"/>
        </w:trPr>
        <w:tc>
          <w:tcPr>
            <w:tcW w:w="9016" w:type="dxa"/>
            <w:shd w:val="clear" w:color="auto" w:fill="D9D9D9"/>
          </w:tcPr>
          <w:p w14:paraId="53ED1DCE" w14:textId="77777777" w:rsidR="00A046DD" w:rsidRPr="00532C20" w:rsidRDefault="00A046DD" w:rsidP="005833C4">
            <w:pPr>
              <w:spacing w:before="120" w:after="120"/>
              <w:jc w:val="both"/>
              <w:rPr>
                <w:rFonts w:ascii="Times New Roman" w:hAnsi="Times New Roman"/>
                <w:noProof/>
                <w:color w:val="auto"/>
                <w:sz w:val="24"/>
                <w:szCs w:val="24"/>
                <w:lang w:val="en-GB"/>
              </w:rPr>
            </w:pPr>
            <w:r w:rsidRPr="00532C20">
              <w:rPr>
                <w:rFonts w:ascii="Times New Roman" w:hAnsi="Times New Roman"/>
                <w:b/>
                <w:noProof/>
                <w:color w:val="auto"/>
                <w:sz w:val="24"/>
                <w:szCs w:val="24"/>
                <w:lang w:val="en-IE"/>
              </w:rPr>
              <w:t>Evidence on the scale of the cost: Initial registration and information update costs</w:t>
            </w:r>
          </w:p>
          <w:p w14:paraId="4A9D5874" w14:textId="4608DDF7" w:rsidR="00A046DD" w:rsidRPr="00532C20" w:rsidRDefault="00A046DD" w:rsidP="005833C4">
            <w:pPr>
              <w:spacing w:before="120" w:after="120"/>
              <w:jc w:val="both"/>
              <w:rPr>
                <w:rFonts w:ascii="Times New Roman" w:hAnsi="Times New Roman"/>
                <w:noProof/>
                <w:color w:val="auto"/>
                <w:sz w:val="24"/>
                <w:szCs w:val="24"/>
                <w:lang w:val="en-GB"/>
              </w:rPr>
            </w:pPr>
            <w:r w:rsidRPr="00532C20">
              <w:rPr>
                <w:rFonts w:ascii="Times New Roman" w:hAnsi="Times New Roman"/>
                <w:noProof/>
                <w:color w:val="auto"/>
                <w:sz w:val="24"/>
                <w:szCs w:val="24"/>
                <w:lang w:val="en-IE"/>
              </w:rPr>
              <w:t>According to commercial and non-commercial entities conducting interest representation activities interviewed for th</w:t>
            </w:r>
            <w:r w:rsidR="000D0A0D">
              <w:rPr>
                <w:rFonts w:ascii="Times New Roman" w:hAnsi="Times New Roman"/>
                <w:noProof/>
                <w:color w:val="auto"/>
                <w:sz w:val="24"/>
                <w:szCs w:val="24"/>
                <w:lang w:val="en-IE"/>
              </w:rPr>
              <w:t>e</w:t>
            </w:r>
            <w:r w:rsidRPr="00532C20">
              <w:rPr>
                <w:rFonts w:ascii="Times New Roman" w:hAnsi="Times New Roman"/>
                <w:noProof/>
                <w:color w:val="auto"/>
                <w:sz w:val="24"/>
                <w:szCs w:val="24"/>
                <w:lang w:val="en-IE"/>
              </w:rPr>
              <w:t xml:space="preserve"> </w:t>
            </w:r>
            <w:r w:rsidR="00286C16">
              <w:rPr>
                <w:rFonts w:ascii="Times New Roman" w:hAnsi="Times New Roman"/>
                <w:noProof/>
                <w:color w:val="auto"/>
                <w:sz w:val="24"/>
                <w:szCs w:val="24"/>
                <w:lang w:val="en-IE"/>
              </w:rPr>
              <w:t xml:space="preserve">supporting </w:t>
            </w:r>
            <w:r w:rsidRPr="00532C20">
              <w:rPr>
                <w:rFonts w:ascii="Times New Roman" w:hAnsi="Times New Roman"/>
                <w:noProof/>
                <w:color w:val="auto"/>
                <w:sz w:val="24"/>
                <w:szCs w:val="24"/>
                <w:lang w:val="en-IE"/>
              </w:rPr>
              <w:t>study, as well as their representative associations, registration and information update activities require the following tasks: i) the collection of relevant information through liaison between different professionals (e.g. legal and compliance teams, delivery teams, board members); ii) the submission of that information to the register/authorities through a dedicated form/portal; and iii) any additional internal processes, such as staff training on record-keeping and retrieval.</w:t>
            </w:r>
          </w:p>
          <w:p w14:paraId="11573435" w14:textId="28FDD8FE" w:rsidR="00A046DD" w:rsidRPr="00532C20" w:rsidRDefault="00A046DD" w:rsidP="005833C4">
            <w:pPr>
              <w:spacing w:before="120" w:after="120"/>
              <w:jc w:val="both"/>
              <w:rPr>
                <w:rFonts w:ascii="Times New Roman" w:hAnsi="Times New Roman"/>
                <w:noProof/>
                <w:color w:val="auto"/>
                <w:sz w:val="24"/>
                <w:szCs w:val="24"/>
                <w:lang w:val="en-GB"/>
              </w:rPr>
            </w:pPr>
            <w:r w:rsidRPr="00532C20">
              <w:rPr>
                <w:rFonts w:ascii="Times New Roman" w:hAnsi="Times New Roman"/>
                <w:noProof/>
                <w:color w:val="auto"/>
                <w:sz w:val="24"/>
                <w:szCs w:val="24"/>
                <w:lang w:val="en-IE"/>
              </w:rPr>
              <w:t xml:space="preserve">In line with the detailed explanation of policy option </w:t>
            </w:r>
            <w:r w:rsidR="00D47716" w:rsidRPr="00532C20">
              <w:rPr>
                <w:rFonts w:ascii="Times New Roman" w:eastAsia="Times" w:hAnsi="Times New Roman" w:cs="Times"/>
                <w:noProof/>
                <w:color w:val="auto"/>
                <w:sz w:val="24"/>
                <w:szCs w:val="24"/>
                <w:lang w:val="en-IE"/>
              </w:rPr>
              <w:t>2.1</w:t>
            </w:r>
            <w:r w:rsidRPr="00532C20">
              <w:rPr>
                <w:rFonts w:ascii="Times New Roman" w:hAnsi="Times New Roman"/>
                <w:noProof/>
                <w:color w:val="auto"/>
                <w:sz w:val="24"/>
                <w:szCs w:val="24"/>
                <w:lang w:val="en-IE"/>
              </w:rPr>
              <w:t xml:space="preserve">, entities within scope would be required to provide the following types of information at </w:t>
            </w:r>
            <w:r w:rsidRPr="00532C20">
              <w:rPr>
                <w:rFonts w:ascii="Times New Roman" w:hAnsi="Times New Roman"/>
                <w:b/>
                <w:noProof/>
                <w:color w:val="auto"/>
                <w:sz w:val="24"/>
                <w:szCs w:val="24"/>
                <w:lang w:val="en-IE"/>
              </w:rPr>
              <w:t>initial registration</w:t>
            </w:r>
            <w:r w:rsidRPr="00532C20">
              <w:rPr>
                <w:rFonts w:ascii="Times New Roman" w:hAnsi="Times New Roman"/>
                <w:noProof/>
                <w:color w:val="auto"/>
                <w:sz w:val="24"/>
                <w:szCs w:val="24"/>
                <w:lang w:val="en-IE"/>
              </w:rPr>
              <w:t>:</w:t>
            </w:r>
          </w:p>
          <w:p w14:paraId="597A9577" w14:textId="77777777" w:rsidR="00A046DD" w:rsidRPr="00532C20" w:rsidRDefault="00A046DD" w:rsidP="005833C4">
            <w:pPr>
              <w:numPr>
                <w:ilvl w:val="0"/>
                <w:numId w:val="66"/>
              </w:numPr>
              <w:spacing w:before="120" w:after="120"/>
              <w:jc w:val="both"/>
              <w:rPr>
                <w:rFonts w:ascii="Times New Roman" w:eastAsia="Times" w:hAnsi="Times New Roman" w:cs="Times"/>
                <w:noProof/>
                <w:color w:val="auto"/>
                <w:sz w:val="24"/>
                <w:szCs w:val="24"/>
                <w:lang w:val="en-GB" w:eastAsia="en-GB"/>
              </w:rPr>
            </w:pPr>
            <w:r w:rsidRPr="00532C20">
              <w:rPr>
                <w:rFonts w:ascii="Times New Roman" w:eastAsia="Times" w:hAnsi="Times New Roman"/>
                <w:noProof/>
                <w:color w:val="auto"/>
                <w:sz w:val="24"/>
                <w:szCs w:val="24"/>
                <w:lang w:val="en-IE" w:eastAsia="en-GB"/>
              </w:rPr>
              <w:t>Information on the entity conducting interest representation activities, including their name, contact details, category of organisation, address of place of establishment.</w:t>
            </w:r>
          </w:p>
          <w:p w14:paraId="4EC4E99F" w14:textId="77777777" w:rsidR="00A046DD" w:rsidRPr="00532C20" w:rsidRDefault="00A046DD" w:rsidP="005833C4">
            <w:pPr>
              <w:numPr>
                <w:ilvl w:val="0"/>
                <w:numId w:val="66"/>
              </w:numPr>
              <w:spacing w:before="120" w:after="120"/>
              <w:jc w:val="both"/>
              <w:rPr>
                <w:rFonts w:ascii="Times New Roman" w:eastAsia="Times" w:hAnsi="Times New Roman" w:cs="Times"/>
                <w:noProof/>
                <w:color w:val="auto"/>
                <w:sz w:val="24"/>
                <w:szCs w:val="24"/>
                <w:lang w:val="en-GB" w:eastAsia="en-GB"/>
              </w:rPr>
            </w:pPr>
            <w:r w:rsidRPr="00532C20">
              <w:rPr>
                <w:rFonts w:ascii="Times New Roman" w:eastAsia="Times" w:hAnsi="Times New Roman"/>
                <w:noProof/>
                <w:color w:val="auto"/>
                <w:sz w:val="24"/>
                <w:szCs w:val="24"/>
                <w:lang w:val="en-IE" w:eastAsia="en-GB"/>
              </w:rPr>
              <w:t>Information on the activities conducted, including the type of activity, the Member State in which it will be conducted, the policy being targeted and the remuneration received.</w:t>
            </w:r>
          </w:p>
          <w:p w14:paraId="7343481C" w14:textId="77777777" w:rsidR="00A046DD" w:rsidRPr="00532C20" w:rsidRDefault="00A046DD" w:rsidP="005833C4">
            <w:pPr>
              <w:numPr>
                <w:ilvl w:val="0"/>
                <w:numId w:val="66"/>
              </w:numPr>
              <w:spacing w:before="120" w:after="120"/>
              <w:jc w:val="both"/>
              <w:rPr>
                <w:rFonts w:ascii="Times New Roman" w:eastAsia="Times" w:hAnsi="Times New Roman" w:cs="Times"/>
                <w:noProof/>
                <w:color w:val="auto"/>
                <w:sz w:val="24"/>
                <w:szCs w:val="24"/>
                <w:lang w:val="en-GB" w:eastAsia="en-GB"/>
              </w:rPr>
            </w:pPr>
            <w:r w:rsidRPr="00532C20">
              <w:rPr>
                <w:rFonts w:ascii="Times New Roman" w:eastAsia="Times" w:hAnsi="Times New Roman"/>
                <w:noProof/>
                <w:color w:val="auto"/>
                <w:sz w:val="24"/>
                <w:szCs w:val="24"/>
                <w:lang w:val="en-IE" w:eastAsia="en-GB"/>
              </w:rPr>
              <w:t>Information on the third country entity on whose behalf the interest representation is being conducted, including their name, contact details and the third country.</w:t>
            </w:r>
          </w:p>
          <w:p w14:paraId="773241B8" w14:textId="77777777" w:rsidR="00A046DD" w:rsidRPr="00532C20" w:rsidRDefault="00A046DD" w:rsidP="005833C4">
            <w:pPr>
              <w:spacing w:before="120" w:after="120"/>
              <w:jc w:val="both"/>
              <w:rPr>
                <w:rFonts w:ascii="Times New Roman" w:hAnsi="Times New Roman"/>
                <w:noProof/>
                <w:color w:val="auto"/>
                <w:sz w:val="24"/>
                <w:szCs w:val="24"/>
                <w:lang w:val="en-GB"/>
              </w:rPr>
            </w:pPr>
            <w:r w:rsidRPr="00532C20">
              <w:rPr>
                <w:rFonts w:ascii="Times New Roman" w:hAnsi="Times New Roman"/>
                <w:noProof/>
                <w:color w:val="auto"/>
                <w:sz w:val="24"/>
                <w:szCs w:val="24"/>
                <w:lang w:val="en-IE"/>
              </w:rPr>
              <w:t xml:space="preserve">The </w:t>
            </w:r>
            <w:r w:rsidRPr="00532C20">
              <w:rPr>
                <w:rFonts w:ascii="Times New Roman" w:hAnsi="Times New Roman"/>
                <w:b/>
                <w:noProof/>
                <w:color w:val="auto"/>
                <w:sz w:val="24"/>
                <w:szCs w:val="24"/>
                <w:lang w:val="en-IE"/>
              </w:rPr>
              <w:t>information update</w:t>
            </w:r>
            <w:r w:rsidRPr="00532C20">
              <w:rPr>
                <w:rFonts w:ascii="Times New Roman" w:hAnsi="Times New Roman"/>
                <w:noProof/>
                <w:color w:val="auto"/>
                <w:sz w:val="24"/>
                <w:szCs w:val="24"/>
                <w:lang w:val="en-IE"/>
              </w:rPr>
              <w:t xml:space="preserve"> will only require submission of new information explicitly on third country interests represented.</w:t>
            </w:r>
          </w:p>
          <w:p w14:paraId="5E10313E" w14:textId="77777777" w:rsidR="00A046DD" w:rsidRPr="00532C20" w:rsidRDefault="00A046DD" w:rsidP="005833C4">
            <w:pPr>
              <w:spacing w:before="120" w:after="120"/>
              <w:jc w:val="both"/>
              <w:rPr>
                <w:rFonts w:ascii="Times New Roman" w:hAnsi="Times New Roman"/>
                <w:noProof/>
                <w:color w:val="auto"/>
                <w:sz w:val="24"/>
                <w:szCs w:val="24"/>
                <w:lang w:val="en-GB"/>
              </w:rPr>
            </w:pPr>
            <w:r w:rsidRPr="00532C20">
              <w:rPr>
                <w:rFonts w:ascii="Times New Roman" w:hAnsi="Times New Roman"/>
                <w:noProof/>
                <w:color w:val="auto"/>
                <w:sz w:val="24"/>
                <w:szCs w:val="24"/>
                <w:lang w:val="en-IE"/>
              </w:rPr>
              <w:t>Most experiences discussed with interviewees in this regard referred to the EU Transparency Register; however, experiences of registration and information update procedures in Germany, Luxembourg, the Netherlands and Slovenia were also shared.</w:t>
            </w:r>
          </w:p>
          <w:p w14:paraId="2E3E0C0A" w14:textId="77777777" w:rsidR="00A046DD" w:rsidRPr="00532C20" w:rsidRDefault="00A046DD" w:rsidP="005833C4">
            <w:pPr>
              <w:spacing w:before="120" w:after="120"/>
              <w:jc w:val="both"/>
              <w:rPr>
                <w:rFonts w:ascii="Times New Roman" w:hAnsi="Times New Roman"/>
                <w:noProof/>
                <w:color w:val="auto"/>
                <w:sz w:val="24"/>
                <w:szCs w:val="24"/>
                <w:lang w:val="en-GB"/>
              </w:rPr>
            </w:pPr>
            <w:r w:rsidRPr="00532C20">
              <w:rPr>
                <w:rFonts w:ascii="Times New Roman" w:hAnsi="Times New Roman"/>
                <w:noProof/>
                <w:color w:val="auto"/>
                <w:sz w:val="24"/>
                <w:szCs w:val="24"/>
                <w:lang w:val="en-IE"/>
              </w:rPr>
              <w:t xml:space="preserve">In general, there was a consensus across these stakeholders that the </w:t>
            </w:r>
            <w:r w:rsidRPr="00532C20">
              <w:rPr>
                <w:rFonts w:ascii="Times New Roman" w:hAnsi="Times New Roman"/>
                <w:b/>
                <w:noProof/>
                <w:color w:val="auto"/>
                <w:sz w:val="24"/>
                <w:szCs w:val="24"/>
                <w:lang w:val="en-IE"/>
              </w:rPr>
              <w:t>processes of registration and information disclosure place a minimal burden on these entities</w:t>
            </w:r>
            <w:r w:rsidRPr="00532C20">
              <w:rPr>
                <w:rFonts w:ascii="Times New Roman" w:hAnsi="Times New Roman"/>
                <w:noProof/>
                <w:color w:val="auto"/>
                <w:sz w:val="24"/>
                <w:szCs w:val="24"/>
                <w:lang w:val="en-IE"/>
              </w:rPr>
              <w:t>. However, the following complexities and considerations were highlighted by stakeholders:</w:t>
            </w:r>
          </w:p>
          <w:p w14:paraId="1D60A06B" w14:textId="77777777" w:rsidR="00A046DD" w:rsidRPr="00532C20" w:rsidRDefault="00A046DD" w:rsidP="005833C4">
            <w:pPr>
              <w:numPr>
                <w:ilvl w:val="0"/>
                <w:numId w:val="67"/>
              </w:numPr>
              <w:spacing w:before="120" w:after="120"/>
              <w:jc w:val="both"/>
              <w:rPr>
                <w:rFonts w:ascii="Times New Roman" w:eastAsia="Times" w:hAnsi="Times New Roman" w:cs="Times"/>
                <w:noProof/>
                <w:color w:val="auto"/>
                <w:sz w:val="24"/>
                <w:szCs w:val="24"/>
                <w:lang w:val="en-GB" w:eastAsia="en-GB"/>
              </w:rPr>
            </w:pPr>
            <w:r w:rsidRPr="00532C20">
              <w:rPr>
                <w:rFonts w:ascii="Times New Roman" w:eastAsia="Times" w:hAnsi="Times New Roman"/>
                <w:noProof/>
                <w:color w:val="auto"/>
                <w:sz w:val="24"/>
                <w:szCs w:val="24"/>
                <w:lang w:val="en-IE" w:eastAsia="en-GB"/>
              </w:rPr>
              <w:t>It is often difficult to determine the extent to which certain activities are within scope and thus what data (including financial data) needs to be provided. For instance, many commercial firms conduct legislative monitoring activities within the context of broader engagements with clients.</w:t>
            </w:r>
          </w:p>
          <w:p w14:paraId="1EF6F8F9" w14:textId="77777777" w:rsidR="00A046DD" w:rsidRPr="00532C20" w:rsidRDefault="00A046DD" w:rsidP="005833C4">
            <w:pPr>
              <w:numPr>
                <w:ilvl w:val="0"/>
                <w:numId w:val="67"/>
              </w:numPr>
              <w:spacing w:before="120" w:after="120"/>
              <w:jc w:val="both"/>
              <w:rPr>
                <w:rFonts w:ascii="Times New Roman" w:eastAsia="Times" w:hAnsi="Times New Roman" w:cs="Times"/>
                <w:noProof/>
                <w:color w:val="auto"/>
                <w:sz w:val="24"/>
                <w:szCs w:val="24"/>
                <w:lang w:val="en-GB" w:eastAsia="en-GB"/>
              </w:rPr>
            </w:pPr>
            <w:r w:rsidRPr="00532C20">
              <w:rPr>
                <w:rFonts w:ascii="Times New Roman" w:eastAsia="Times" w:hAnsi="Times New Roman"/>
                <w:noProof/>
                <w:color w:val="auto"/>
                <w:sz w:val="24"/>
                <w:szCs w:val="24"/>
                <w:lang w:val="en-IE" w:eastAsia="en-GB"/>
              </w:rPr>
              <w:t>Mixed feedback was provided on the differentiation of impacts between larger and smaller organisations. While larger consultancy firms noted that the registration exercise is more burdensome for them, given the complexity of collecting data on more clients, many stakeholders stated that the impact would be proportionally higher on SMEs, who may not have the systems in place to easily access the required information. Others noted that some firms rely on software systems to track key information or outsource certain activities related to these transparency obligations, while one commercial firm noted that the administrative costs related to registration are built into their fees.</w:t>
            </w:r>
          </w:p>
          <w:p w14:paraId="03BA229B" w14:textId="77777777" w:rsidR="00A046DD" w:rsidRPr="00532C20" w:rsidRDefault="00A046DD" w:rsidP="005833C4">
            <w:pPr>
              <w:numPr>
                <w:ilvl w:val="0"/>
                <w:numId w:val="67"/>
              </w:numPr>
              <w:spacing w:before="120" w:after="120"/>
              <w:jc w:val="both"/>
              <w:rPr>
                <w:rFonts w:ascii="Times New Roman" w:eastAsia="Times" w:hAnsi="Times New Roman" w:cs="Times"/>
                <w:noProof/>
                <w:color w:val="auto"/>
                <w:sz w:val="24"/>
                <w:szCs w:val="24"/>
                <w:lang w:val="en-GB" w:eastAsia="en-GB"/>
              </w:rPr>
            </w:pPr>
            <w:r w:rsidRPr="00532C20">
              <w:rPr>
                <w:rFonts w:ascii="Times New Roman" w:eastAsia="Times" w:hAnsi="Times New Roman"/>
                <w:noProof/>
                <w:color w:val="auto"/>
                <w:sz w:val="24"/>
                <w:szCs w:val="24"/>
                <w:lang w:val="en-IE" w:eastAsia="en-GB"/>
              </w:rPr>
              <w:t>Within the EU Transparency Register, there is also a need for commercial firms to ensure their clients are registered. This is reported as being burdensome for those firms and should be considered within the reading of the below figures.</w:t>
            </w:r>
          </w:p>
          <w:p w14:paraId="16CE45FD" w14:textId="77777777" w:rsidR="00A046DD" w:rsidRPr="00532C20" w:rsidRDefault="00A046DD" w:rsidP="005833C4">
            <w:pPr>
              <w:spacing w:before="120" w:after="120"/>
              <w:jc w:val="both"/>
              <w:rPr>
                <w:rFonts w:ascii="Times New Roman" w:hAnsi="Times New Roman"/>
                <w:noProof/>
                <w:color w:val="auto"/>
                <w:sz w:val="24"/>
                <w:szCs w:val="24"/>
                <w:lang w:val="en-GB"/>
              </w:rPr>
            </w:pPr>
            <w:r w:rsidRPr="00532C20">
              <w:rPr>
                <w:rFonts w:ascii="Times New Roman" w:hAnsi="Times New Roman"/>
                <w:noProof/>
                <w:color w:val="auto"/>
                <w:sz w:val="24"/>
                <w:szCs w:val="24"/>
                <w:lang w:val="en-IE"/>
              </w:rPr>
              <w:t>Considering the time required to register and update the relevant information, estimates from entities conducting interest representation activities focused on the following elements:</w:t>
            </w:r>
          </w:p>
          <w:p w14:paraId="025FBECD" w14:textId="77777777" w:rsidR="00A046DD" w:rsidRPr="00532C20" w:rsidRDefault="00A046DD" w:rsidP="005833C4">
            <w:pPr>
              <w:numPr>
                <w:ilvl w:val="0"/>
                <w:numId w:val="68"/>
              </w:numPr>
              <w:spacing w:before="120" w:after="120"/>
              <w:jc w:val="both"/>
              <w:rPr>
                <w:rFonts w:ascii="Times New Roman" w:eastAsia="Times" w:hAnsi="Times New Roman" w:cs="Times"/>
                <w:noProof/>
                <w:color w:val="auto"/>
                <w:sz w:val="24"/>
                <w:szCs w:val="24"/>
                <w:lang w:val="en-GB" w:eastAsia="en-GB"/>
              </w:rPr>
            </w:pPr>
            <w:r w:rsidRPr="00532C20">
              <w:rPr>
                <w:rFonts w:ascii="Times New Roman" w:eastAsia="Times" w:hAnsi="Times New Roman"/>
                <w:b/>
                <w:noProof/>
                <w:color w:val="auto"/>
                <w:sz w:val="24"/>
                <w:szCs w:val="24"/>
                <w:lang w:val="en-IE" w:eastAsia="en-GB"/>
              </w:rPr>
              <w:t>Registration / information provision only</w:t>
            </w:r>
            <w:r w:rsidRPr="00532C20">
              <w:rPr>
                <w:rFonts w:ascii="Times New Roman" w:eastAsia="Times" w:hAnsi="Times New Roman"/>
                <w:noProof/>
                <w:color w:val="auto"/>
                <w:sz w:val="24"/>
                <w:szCs w:val="24"/>
                <w:lang w:val="en-IE" w:eastAsia="en-GB"/>
              </w:rPr>
              <w:t>: Estimates ranged from 5 minutes to register in Belgium to up to 1 hour to register in the EU Transparency Register.</w:t>
            </w:r>
          </w:p>
          <w:p w14:paraId="2E276151" w14:textId="77777777" w:rsidR="00A046DD" w:rsidRPr="00532C20" w:rsidRDefault="00A046DD" w:rsidP="005833C4">
            <w:pPr>
              <w:numPr>
                <w:ilvl w:val="0"/>
                <w:numId w:val="68"/>
              </w:numPr>
              <w:spacing w:before="120" w:after="120"/>
              <w:jc w:val="both"/>
              <w:rPr>
                <w:rFonts w:ascii="Times New Roman" w:eastAsia="Times" w:hAnsi="Times New Roman" w:cs="Times"/>
                <w:noProof/>
                <w:sz w:val="24"/>
                <w:szCs w:val="24"/>
                <w:lang w:val="en-GB" w:eastAsia="en-GB"/>
              </w:rPr>
            </w:pPr>
            <w:r w:rsidRPr="00532C20">
              <w:rPr>
                <w:rFonts w:ascii="Times New Roman" w:eastAsia="Times" w:hAnsi="Times New Roman"/>
                <w:b/>
                <w:noProof/>
                <w:color w:val="auto"/>
                <w:sz w:val="24"/>
                <w:szCs w:val="24"/>
                <w:lang w:val="en-IE" w:eastAsia="en-GB"/>
              </w:rPr>
              <w:t>Overall annual cost of compliance</w:t>
            </w:r>
            <w:r w:rsidRPr="00532C20">
              <w:rPr>
                <w:rFonts w:ascii="Times New Roman" w:eastAsia="Times" w:hAnsi="Times New Roman"/>
                <w:noProof/>
                <w:color w:val="auto"/>
                <w:sz w:val="24"/>
                <w:szCs w:val="24"/>
                <w:lang w:val="en-IE" w:eastAsia="en-GB"/>
              </w:rPr>
              <w:t>: Quantitative estimates provided include 1-2 weeks a year and approximately 10 days per year split equally between a partner and an administrative staff member (in Belgium, this equates to around EUR 3,500 per year), up to as much as EUR 40,000 per year to ensure compliance with EU, national and regional registers over the course of a year (e.g. for entities operating in Germany). However, qualitatively, other stakeholders noted the light administrative burden associated with existing transparency registers. Furthermore, given these estimates reflect information disclosure related to all lobbying or interest representation activities conducted by an organisation, or efforts across multiple registers, the costs for information disclosure related to interest representation carried out on behalf of third countries will likely be reduced. However, it is not possible to assess the scale of this reduction.</w:t>
            </w:r>
          </w:p>
        </w:tc>
      </w:tr>
    </w:tbl>
    <w:p w14:paraId="542AAEF1"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this context, 3 scenarios have been developed to assess the possible costs associated with these information obligations. The low scenario assumes 2.5 days per year split equally between one ISCO 1 (senior managers) and one ISCO 4 (clerks) category employee. Using the same division of labour, the middle and high scenarios assume 5 days and 10 days per year, respectively.</w:t>
      </w:r>
    </w:p>
    <w:p w14:paraId="048638A2"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The following assumptions are also relevant in this context:</w:t>
      </w:r>
    </w:p>
    <w:p w14:paraId="2C37539A" w14:textId="77777777" w:rsidR="00A046DD" w:rsidRPr="00532C20" w:rsidRDefault="00A046DD" w:rsidP="002B0B48">
      <w:pPr>
        <w:numPr>
          <w:ilvl w:val="0"/>
          <w:numId w:val="69"/>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Given the data available and their limited scale, the costs associated with the initial act of registration is considered to be part of the overall annual cost of compliance, which is assumed to be the same in year 1 as in the other years. As such, the calculations use the annual cost of compliance as a proxy for the 3 different types of costs noted above.</w:t>
      </w:r>
    </w:p>
    <w:p w14:paraId="618F0FFD" w14:textId="77777777" w:rsidR="00A046DD" w:rsidRPr="00532C20" w:rsidRDefault="00A046DD" w:rsidP="002B0B48">
      <w:pPr>
        <w:numPr>
          <w:ilvl w:val="0"/>
          <w:numId w:val="69"/>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noProof/>
          <w:sz w:val="24"/>
          <w:szCs w:val="24"/>
          <w:lang w:eastAsia="en-GB"/>
        </w:rPr>
        <w:t>While some organisations will experience synergies due to cross-border or multi-national interest representation service provision, which will lead to cost-savings, there is limited indication of the scale of multi-national or cross-border interest representation (in general or for third countries). Moreover, the scale of these synergies will differ based on the nature of an organisation’s engagements with such third countries. For instance, a commercial firm working with the same client in multiple Member States will experience direct synergies with regard to both the types of information to be provided and the specific information; however, a commercial organisation working in multiple Member States but with different clients will only benefit from synergies related to the types of information to be provided.</w:t>
      </w:r>
    </w:p>
    <w:p w14:paraId="48653CF8"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With these caveats and assumptions established, the costs were calculated by multiplying the number of working days by the relevant ISCO category wage for each country and the estimated number of entities within scope (as per the above estimates). It is important to note that, alongside the number of working days, the estimates for the number of entities within scope also change across the 3 scenarios presented. This is primarily due to the way in which the estimates for the number of entities conducting interest representation per Member State were calculated (i.e. across 3 scenarios). More specifically, the low / middle / high scenarios for the number of entities are used in conjunction with the low / middle / high estimates for the number of working days.</w:t>
      </w:r>
    </w:p>
    <w:p w14:paraId="6EE0CAAF"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 this basis, the annual registration and information disclosure activities to be conducted by entities carrying out interest representation activities on behalf of third countries will cost between approximately EUR 590,000 and EUR 3.5 million at approximately EUR 828 – 3,314 per organisation. Across the 10-year time horizon, this will reach a total cost of approximately EUR 5.9 and EUR 35.4 million. The detailed breakdown of the annual cost estimates per Member State is presented in the below table.</w:t>
      </w:r>
    </w:p>
    <w:p w14:paraId="40CC9E8D" w14:textId="302B6CF5"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26</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Estimated registration and information disclosure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1112"/>
        <w:gridCol w:w="1114"/>
        <w:gridCol w:w="1252"/>
        <w:gridCol w:w="1112"/>
        <w:gridCol w:w="1326"/>
        <w:gridCol w:w="1305"/>
      </w:tblGrid>
      <w:tr w:rsidR="00A046DD" w:rsidRPr="00532C20" w14:paraId="7C37FBC5" w14:textId="77777777">
        <w:trPr>
          <w:trHeight w:val="20"/>
          <w:tblHeader/>
        </w:trPr>
        <w:tc>
          <w:tcPr>
            <w:tcW w:w="805" w:type="pct"/>
            <w:vMerge w:val="restart"/>
            <w:shd w:val="clear" w:color="auto" w:fill="002060"/>
            <w:noWrap/>
            <w:vAlign w:val="center"/>
            <w:hideMark/>
          </w:tcPr>
          <w:p w14:paraId="04EB4E2F"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Country</w:t>
            </w:r>
          </w:p>
        </w:tc>
        <w:tc>
          <w:tcPr>
            <w:tcW w:w="1293" w:type="pct"/>
            <w:gridSpan w:val="2"/>
            <w:shd w:val="clear" w:color="auto" w:fill="002060"/>
            <w:noWrap/>
            <w:vAlign w:val="center"/>
            <w:hideMark/>
          </w:tcPr>
          <w:p w14:paraId="52231513"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Low scenario (2.5 days)</w:t>
            </w:r>
          </w:p>
        </w:tc>
        <w:tc>
          <w:tcPr>
            <w:tcW w:w="1373" w:type="pct"/>
            <w:gridSpan w:val="2"/>
            <w:shd w:val="clear" w:color="auto" w:fill="002060"/>
            <w:noWrap/>
            <w:vAlign w:val="center"/>
            <w:hideMark/>
          </w:tcPr>
          <w:p w14:paraId="26EC55FE"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Middle scenario (5 days)</w:t>
            </w:r>
          </w:p>
        </w:tc>
        <w:tc>
          <w:tcPr>
            <w:tcW w:w="1528" w:type="pct"/>
            <w:gridSpan w:val="2"/>
            <w:shd w:val="clear" w:color="auto" w:fill="002060"/>
            <w:noWrap/>
            <w:vAlign w:val="center"/>
            <w:hideMark/>
          </w:tcPr>
          <w:p w14:paraId="53ABADD1" w14:textId="77777777" w:rsidR="00A046DD" w:rsidRPr="00532C20" w:rsidRDefault="00A046DD" w:rsidP="00A046DD">
            <w:pPr>
              <w:spacing w:after="0" w:line="240" w:lineRule="auto"/>
              <w:jc w:val="center"/>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High scenario (10 days)</w:t>
            </w:r>
          </w:p>
        </w:tc>
      </w:tr>
      <w:tr w:rsidR="00A046DD" w:rsidRPr="00532C20" w14:paraId="592A0E38" w14:textId="77777777">
        <w:trPr>
          <w:trHeight w:val="20"/>
          <w:tblHeader/>
        </w:trPr>
        <w:tc>
          <w:tcPr>
            <w:tcW w:w="805" w:type="pct"/>
            <w:vMerge/>
            <w:shd w:val="clear" w:color="auto" w:fill="002060"/>
            <w:noWrap/>
            <w:vAlign w:val="center"/>
            <w:hideMark/>
          </w:tcPr>
          <w:p w14:paraId="0AC2B466" w14:textId="77777777" w:rsidR="00A046DD" w:rsidRPr="00532C20" w:rsidRDefault="00A046DD" w:rsidP="00A046DD">
            <w:pPr>
              <w:spacing w:after="0" w:line="240" w:lineRule="auto"/>
              <w:jc w:val="center"/>
              <w:rPr>
                <w:rFonts w:ascii="Times New Roman" w:eastAsia="Times New Roman" w:hAnsi="Times New Roman" w:cs="Times New Roman"/>
                <w:noProof/>
                <w:sz w:val="24"/>
                <w:szCs w:val="24"/>
              </w:rPr>
            </w:pPr>
          </w:p>
        </w:tc>
        <w:tc>
          <w:tcPr>
            <w:tcW w:w="646" w:type="pct"/>
            <w:shd w:val="clear" w:color="auto" w:fill="0C4DA2"/>
            <w:noWrap/>
            <w:vAlign w:val="center"/>
            <w:hideMark/>
          </w:tcPr>
          <w:p w14:paraId="6A8F5C08"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sz w:val="24"/>
                <w:szCs w:val="24"/>
              </w:rPr>
            </w:pPr>
            <w:r w:rsidRPr="00313F32">
              <w:rPr>
                <w:rFonts w:ascii="Times New Roman" w:eastAsia="Times New Roman" w:hAnsi="Times New Roman" w:cs="Times New Roman"/>
                <w:b/>
                <w:noProof/>
                <w:color w:val="FFFFFF" w:themeColor="background1"/>
                <w:sz w:val="24"/>
                <w:szCs w:val="24"/>
              </w:rPr>
              <w:t>ISCO 1</w:t>
            </w:r>
          </w:p>
          <w:p w14:paraId="18CA9AD7" w14:textId="77777777" w:rsidR="00A046DD" w:rsidRPr="00313F32" w:rsidRDefault="00A046DD" w:rsidP="00A046DD">
            <w:pPr>
              <w:spacing w:after="0" w:line="240" w:lineRule="auto"/>
              <w:jc w:val="center"/>
              <w:rPr>
                <w:rFonts w:ascii="Times New Roman" w:eastAsia="Times New Roman" w:hAnsi="Times New Roman" w:cs="Times New Roman"/>
                <w:noProof/>
                <w:color w:val="FFFFFF" w:themeColor="background1"/>
                <w:sz w:val="24"/>
                <w:szCs w:val="24"/>
              </w:rPr>
            </w:pPr>
            <w:r w:rsidRPr="00313F32">
              <w:rPr>
                <w:rFonts w:ascii="Times New Roman" w:eastAsia="Times New Roman" w:hAnsi="Times New Roman" w:cs="Times New Roman"/>
                <w:noProof/>
                <w:color w:val="FFFFFF" w:themeColor="background1"/>
                <w:sz w:val="24"/>
                <w:szCs w:val="24"/>
              </w:rPr>
              <w:t>1.25 days</w:t>
            </w:r>
          </w:p>
        </w:tc>
        <w:tc>
          <w:tcPr>
            <w:tcW w:w="647" w:type="pct"/>
            <w:shd w:val="clear" w:color="auto" w:fill="0C4DA2"/>
            <w:noWrap/>
            <w:vAlign w:val="center"/>
            <w:hideMark/>
          </w:tcPr>
          <w:p w14:paraId="2FA2EE37"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sz w:val="24"/>
                <w:szCs w:val="24"/>
              </w:rPr>
            </w:pPr>
            <w:r w:rsidRPr="00313F32">
              <w:rPr>
                <w:rFonts w:ascii="Times New Roman" w:eastAsia="Times New Roman" w:hAnsi="Times New Roman" w:cs="Times New Roman"/>
                <w:b/>
                <w:noProof/>
                <w:color w:val="FFFFFF" w:themeColor="background1"/>
                <w:sz w:val="24"/>
                <w:szCs w:val="24"/>
              </w:rPr>
              <w:t>ISCO 4</w:t>
            </w:r>
          </w:p>
          <w:p w14:paraId="18999218" w14:textId="77777777" w:rsidR="00A046DD" w:rsidRPr="00313F32" w:rsidRDefault="00A046DD" w:rsidP="00A046DD">
            <w:pPr>
              <w:spacing w:after="0" w:line="240" w:lineRule="auto"/>
              <w:jc w:val="center"/>
              <w:rPr>
                <w:rFonts w:ascii="Times New Roman" w:eastAsia="Times New Roman" w:hAnsi="Times New Roman" w:cs="Times New Roman"/>
                <w:noProof/>
                <w:color w:val="FFFFFF" w:themeColor="background1"/>
                <w:sz w:val="24"/>
                <w:szCs w:val="24"/>
              </w:rPr>
            </w:pPr>
            <w:r w:rsidRPr="00313F32">
              <w:rPr>
                <w:rFonts w:ascii="Times New Roman" w:eastAsia="Times New Roman" w:hAnsi="Times New Roman" w:cs="Times New Roman"/>
                <w:noProof/>
                <w:color w:val="FFFFFF" w:themeColor="background1"/>
                <w:sz w:val="24"/>
                <w:szCs w:val="24"/>
              </w:rPr>
              <w:t>1.25 days</w:t>
            </w:r>
          </w:p>
        </w:tc>
        <w:tc>
          <w:tcPr>
            <w:tcW w:w="727" w:type="pct"/>
            <w:shd w:val="clear" w:color="auto" w:fill="0C4DA2"/>
            <w:noWrap/>
            <w:vAlign w:val="center"/>
            <w:hideMark/>
          </w:tcPr>
          <w:p w14:paraId="56865B97"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sz w:val="24"/>
                <w:szCs w:val="24"/>
              </w:rPr>
            </w:pPr>
            <w:r w:rsidRPr="00313F32">
              <w:rPr>
                <w:rFonts w:ascii="Times New Roman" w:eastAsia="Times New Roman" w:hAnsi="Times New Roman" w:cs="Times New Roman"/>
                <w:b/>
                <w:noProof/>
                <w:color w:val="FFFFFF" w:themeColor="background1"/>
                <w:sz w:val="24"/>
                <w:szCs w:val="24"/>
              </w:rPr>
              <w:t>ISCO 1</w:t>
            </w:r>
          </w:p>
          <w:p w14:paraId="7B748485" w14:textId="77777777" w:rsidR="00A046DD" w:rsidRPr="00313F32" w:rsidRDefault="00A046DD" w:rsidP="00A046DD">
            <w:pPr>
              <w:spacing w:after="0" w:line="240" w:lineRule="auto"/>
              <w:jc w:val="center"/>
              <w:rPr>
                <w:rFonts w:ascii="Times New Roman" w:eastAsia="Times New Roman" w:hAnsi="Times New Roman" w:cs="Times New Roman"/>
                <w:noProof/>
                <w:color w:val="FFFFFF" w:themeColor="background1"/>
                <w:sz w:val="24"/>
                <w:szCs w:val="24"/>
              </w:rPr>
            </w:pPr>
            <w:r w:rsidRPr="00313F32">
              <w:rPr>
                <w:rFonts w:ascii="Times New Roman" w:eastAsia="Times New Roman" w:hAnsi="Times New Roman" w:cs="Times New Roman"/>
                <w:noProof/>
                <w:color w:val="FFFFFF" w:themeColor="background1"/>
                <w:sz w:val="24"/>
                <w:szCs w:val="24"/>
              </w:rPr>
              <w:t>2.5 days</w:t>
            </w:r>
          </w:p>
        </w:tc>
        <w:tc>
          <w:tcPr>
            <w:tcW w:w="646" w:type="pct"/>
            <w:shd w:val="clear" w:color="auto" w:fill="0C4DA2"/>
            <w:noWrap/>
            <w:vAlign w:val="center"/>
            <w:hideMark/>
          </w:tcPr>
          <w:p w14:paraId="400CEC42"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sz w:val="24"/>
                <w:szCs w:val="24"/>
              </w:rPr>
            </w:pPr>
            <w:r w:rsidRPr="00313F32">
              <w:rPr>
                <w:rFonts w:ascii="Times New Roman" w:eastAsia="Times New Roman" w:hAnsi="Times New Roman" w:cs="Times New Roman"/>
                <w:b/>
                <w:noProof/>
                <w:color w:val="FFFFFF" w:themeColor="background1"/>
                <w:sz w:val="24"/>
                <w:szCs w:val="24"/>
              </w:rPr>
              <w:t>ISCO 4</w:t>
            </w:r>
          </w:p>
          <w:p w14:paraId="4AD08940" w14:textId="77777777" w:rsidR="00A046DD" w:rsidRPr="00313F32" w:rsidRDefault="00A046DD" w:rsidP="00A046DD">
            <w:pPr>
              <w:spacing w:after="0" w:line="240" w:lineRule="auto"/>
              <w:jc w:val="center"/>
              <w:rPr>
                <w:rFonts w:ascii="Times New Roman" w:eastAsia="Times New Roman" w:hAnsi="Times New Roman" w:cs="Times New Roman"/>
                <w:noProof/>
                <w:color w:val="FFFFFF" w:themeColor="background1"/>
                <w:sz w:val="24"/>
                <w:szCs w:val="24"/>
              </w:rPr>
            </w:pPr>
            <w:r w:rsidRPr="00313F32">
              <w:rPr>
                <w:rFonts w:ascii="Times New Roman" w:eastAsia="Times New Roman" w:hAnsi="Times New Roman" w:cs="Times New Roman"/>
                <w:noProof/>
                <w:color w:val="FFFFFF" w:themeColor="background1"/>
                <w:sz w:val="24"/>
                <w:szCs w:val="24"/>
              </w:rPr>
              <w:t>2.5 days</w:t>
            </w:r>
          </w:p>
        </w:tc>
        <w:tc>
          <w:tcPr>
            <w:tcW w:w="770" w:type="pct"/>
            <w:shd w:val="clear" w:color="auto" w:fill="0C4DA2"/>
            <w:noWrap/>
            <w:vAlign w:val="center"/>
            <w:hideMark/>
          </w:tcPr>
          <w:p w14:paraId="3D2E3DF5"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sz w:val="24"/>
                <w:szCs w:val="24"/>
              </w:rPr>
            </w:pPr>
            <w:r w:rsidRPr="00313F32">
              <w:rPr>
                <w:rFonts w:ascii="Times New Roman" w:eastAsia="Times New Roman" w:hAnsi="Times New Roman" w:cs="Times New Roman"/>
                <w:b/>
                <w:noProof/>
                <w:color w:val="FFFFFF" w:themeColor="background1"/>
                <w:sz w:val="24"/>
                <w:szCs w:val="24"/>
              </w:rPr>
              <w:t>ISCO 1</w:t>
            </w:r>
          </w:p>
          <w:p w14:paraId="320BB473" w14:textId="77777777" w:rsidR="00A046DD" w:rsidRPr="00313F32" w:rsidRDefault="00A046DD" w:rsidP="00A046DD">
            <w:pPr>
              <w:spacing w:after="0" w:line="240" w:lineRule="auto"/>
              <w:jc w:val="center"/>
              <w:rPr>
                <w:rFonts w:ascii="Times New Roman" w:eastAsia="Times New Roman" w:hAnsi="Times New Roman" w:cs="Times New Roman"/>
                <w:noProof/>
                <w:color w:val="FFFFFF" w:themeColor="background1"/>
                <w:sz w:val="24"/>
                <w:szCs w:val="24"/>
              </w:rPr>
            </w:pPr>
            <w:r w:rsidRPr="00313F32">
              <w:rPr>
                <w:rFonts w:ascii="Times New Roman" w:eastAsia="Times New Roman" w:hAnsi="Times New Roman" w:cs="Times New Roman"/>
                <w:noProof/>
                <w:color w:val="FFFFFF" w:themeColor="background1"/>
                <w:sz w:val="24"/>
                <w:szCs w:val="24"/>
              </w:rPr>
              <w:t>5 days</w:t>
            </w:r>
          </w:p>
        </w:tc>
        <w:tc>
          <w:tcPr>
            <w:tcW w:w="758" w:type="pct"/>
            <w:shd w:val="clear" w:color="auto" w:fill="0C4DA2"/>
            <w:noWrap/>
            <w:vAlign w:val="center"/>
            <w:hideMark/>
          </w:tcPr>
          <w:p w14:paraId="06166E75" w14:textId="77777777" w:rsidR="00A046DD" w:rsidRPr="00313F32" w:rsidRDefault="00A046DD" w:rsidP="00A046DD">
            <w:pPr>
              <w:spacing w:after="0" w:line="240" w:lineRule="auto"/>
              <w:jc w:val="center"/>
              <w:rPr>
                <w:rFonts w:ascii="Times New Roman" w:eastAsia="Times New Roman" w:hAnsi="Times New Roman" w:cs="Times New Roman"/>
                <w:b/>
                <w:noProof/>
                <w:color w:val="FFFFFF" w:themeColor="background1"/>
                <w:sz w:val="24"/>
                <w:szCs w:val="24"/>
              </w:rPr>
            </w:pPr>
            <w:r w:rsidRPr="00313F32">
              <w:rPr>
                <w:rFonts w:ascii="Times New Roman" w:eastAsia="Times New Roman" w:hAnsi="Times New Roman" w:cs="Times New Roman"/>
                <w:b/>
                <w:noProof/>
                <w:color w:val="FFFFFF" w:themeColor="background1"/>
                <w:sz w:val="24"/>
                <w:szCs w:val="24"/>
              </w:rPr>
              <w:t>ISCO 4</w:t>
            </w:r>
          </w:p>
          <w:p w14:paraId="25982757" w14:textId="77777777" w:rsidR="00A046DD" w:rsidRPr="00313F32" w:rsidRDefault="00A046DD" w:rsidP="00A046DD">
            <w:pPr>
              <w:spacing w:after="0" w:line="240" w:lineRule="auto"/>
              <w:jc w:val="center"/>
              <w:rPr>
                <w:rFonts w:ascii="Times New Roman" w:eastAsia="Times New Roman" w:hAnsi="Times New Roman" w:cs="Times New Roman"/>
                <w:noProof/>
                <w:color w:val="FFFFFF" w:themeColor="background1"/>
                <w:sz w:val="24"/>
                <w:szCs w:val="24"/>
              </w:rPr>
            </w:pPr>
            <w:r w:rsidRPr="00313F32">
              <w:rPr>
                <w:rFonts w:ascii="Times New Roman" w:eastAsia="Times New Roman" w:hAnsi="Times New Roman" w:cs="Times New Roman"/>
                <w:noProof/>
                <w:color w:val="FFFFFF" w:themeColor="background1"/>
                <w:sz w:val="24"/>
                <w:szCs w:val="24"/>
              </w:rPr>
              <w:t>5 days</w:t>
            </w:r>
          </w:p>
        </w:tc>
      </w:tr>
      <w:tr w:rsidR="00A046DD" w:rsidRPr="00532C20" w14:paraId="767FC2C3" w14:textId="77777777">
        <w:trPr>
          <w:trHeight w:val="20"/>
        </w:trPr>
        <w:tc>
          <w:tcPr>
            <w:tcW w:w="805" w:type="pct"/>
            <w:shd w:val="clear" w:color="auto" w:fill="D9D9D9"/>
            <w:noWrap/>
            <w:vAlign w:val="center"/>
            <w:hideMark/>
          </w:tcPr>
          <w:p w14:paraId="3D705D79"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Austria</w:t>
            </w:r>
          </w:p>
        </w:tc>
        <w:tc>
          <w:tcPr>
            <w:tcW w:w="646" w:type="pct"/>
            <w:shd w:val="clear" w:color="auto" w:fill="auto"/>
            <w:noWrap/>
            <w:vAlign w:val="bottom"/>
          </w:tcPr>
          <w:p w14:paraId="1ABED0B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14,717.35 </w:t>
            </w:r>
          </w:p>
        </w:tc>
        <w:tc>
          <w:tcPr>
            <w:tcW w:w="647" w:type="pct"/>
            <w:shd w:val="clear" w:color="auto" w:fill="auto"/>
            <w:noWrap/>
            <w:vAlign w:val="bottom"/>
          </w:tcPr>
          <w:p w14:paraId="2559A33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6,630.45 </w:t>
            </w:r>
          </w:p>
        </w:tc>
        <w:tc>
          <w:tcPr>
            <w:tcW w:w="727" w:type="pct"/>
            <w:shd w:val="clear" w:color="auto" w:fill="auto"/>
            <w:noWrap/>
            <w:vAlign w:val="bottom"/>
          </w:tcPr>
          <w:p w14:paraId="7AD771A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36,793.38 </w:t>
            </w:r>
          </w:p>
        </w:tc>
        <w:tc>
          <w:tcPr>
            <w:tcW w:w="646" w:type="pct"/>
            <w:shd w:val="clear" w:color="auto" w:fill="auto"/>
            <w:noWrap/>
            <w:vAlign w:val="bottom"/>
          </w:tcPr>
          <w:p w14:paraId="363043D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16,576.13 </w:t>
            </w:r>
          </w:p>
        </w:tc>
        <w:tc>
          <w:tcPr>
            <w:tcW w:w="770" w:type="pct"/>
            <w:shd w:val="clear" w:color="auto" w:fill="auto"/>
            <w:noWrap/>
            <w:vAlign w:val="bottom"/>
          </w:tcPr>
          <w:p w14:paraId="74A6D0F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88,304.12 </w:t>
            </w:r>
          </w:p>
        </w:tc>
        <w:tc>
          <w:tcPr>
            <w:tcW w:w="758" w:type="pct"/>
            <w:shd w:val="clear" w:color="auto" w:fill="auto"/>
            <w:noWrap/>
            <w:vAlign w:val="bottom"/>
          </w:tcPr>
          <w:p w14:paraId="3EAC63D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39,782.72 </w:t>
            </w:r>
          </w:p>
        </w:tc>
      </w:tr>
      <w:tr w:rsidR="00A046DD" w:rsidRPr="00532C20" w14:paraId="07B93F8C" w14:textId="77777777">
        <w:trPr>
          <w:trHeight w:val="20"/>
        </w:trPr>
        <w:tc>
          <w:tcPr>
            <w:tcW w:w="805" w:type="pct"/>
            <w:shd w:val="clear" w:color="auto" w:fill="D9D9D9"/>
            <w:noWrap/>
            <w:vAlign w:val="center"/>
            <w:hideMark/>
          </w:tcPr>
          <w:p w14:paraId="1E5FBCDC"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Belgium</w:t>
            </w:r>
          </w:p>
        </w:tc>
        <w:tc>
          <w:tcPr>
            <w:tcW w:w="646" w:type="pct"/>
            <w:shd w:val="clear" w:color="auto" w:fill="auto"/>
            <w:noWrap/>
            <w:vAlign w:val="bottom"/>
          </w:tcPr>
          <w:p w14:paraId="59DD0DE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15,195.06 </w:t>
            </w:r>
          </w:p>
        </w:tc>
        <w:tc>
          <w:tcPr>
            <w:tcW w:w="647" w:type="pct"/>
            <w:shd w:val="clear" w:color="auto" w:fill="auto"/>
            <w:noWrap/>
            <w:vAlign w:val="bottom"/>
          </w:tcPr>
          <w:p w14:paraId="106A2EE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6,478.72 </w:t>
            </w:r>
          </w:p>
        </w:tc>
        <w:tc>
          <w:tcPr>
            <w:tcW w:w="727" w:type="pct"/>
            <w:shd w:val="clear" w:color="auto" w:fill="auto"/>
            <w:noWrap/>
            <w:vAlign w:val="bottom"/>
          </w:tcPr>
          <w:p w14:paraId="5497312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37,987.64 </w:t>
            </w:r>
          </w:p>
        </w:tc>
        <w:tc>
          <w:tcPr>
            <w:tcW w:w="646" w:type="pct"/>
            <w:shd w:val="clear" w:color="auto" w:fill="auto"/>
            <w:noWrap/>
            <w:vAlign w:val="bottom"/>
          </w:tcPr>
          <w:p w14:paraId="4745BD6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16,196.80 </w:t>
            </w:r>
          </w:p>
        </w:tc>
        <w:tc>
          <w:tcPr>
            <w:tcW w:w="770" w:type="pct"/>
            <w:shd w:val="clear" w:color="auto" w:fill="auto"/>
            <w:noWrap/>
            <w:vAlign w:val="bottom"/>
          </w:tcPr>
          <w:p w14:paraId="5980B5A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91,170.34 </w:t>
            </w:r>
          </w:p>
        </w:tc>
        <w:tc>
          <w:tcPr>
            <w:tcW w:w="758" w:type="pct"/>
            <w:shd w:val="clear" w:color="auto" w:fill="auto"/>
            <w:noWrap/>
            <w:vAlign w:val="bottom"/>
          </w:tcPr>
          <w:p w14:paraId="39C64E5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38,872.32 </w:t>
            </w:r>
          </w:p>
        </w:tc>
      </w:tr>
      <w:tr w:rsidR="00A046DD" w:rsidRPr="00532C20" w14:paraId="655D0DEC" w14:textId="77777777">
        <w:trPr>
          <w:trHeight w:val="20"/>
        </w:trPr>
        <w:tc>
          <w:tcPr>
            <w:tcW w:w="805" w:type="pct"/>
            <w:shd w:val="clear" w:color="auto" w:fill="D9D9D9"/>
            <w:noWrap/>
            <w:vAlign w:val="center"/>
            <w:hideMark/>
          </w:tcPr>
          <w:p w14:paraId="68C797B4"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Bulgaria</w:t>
            </w:r>
          </w:p>
        </w:tc>
        <w:tc>
          <w:tcPr>
            <w:tcW w:w="646" w:type="pct"/>
            <w:shd w:val="clear" w:color="auto" w:fill="auto"/>
            <w:noWrap/>
            <w:vAlign w:val="bottom"/>
          </w:tcPr>
          <w:p w14:paraId="4C13B6E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320.39 </w:t>
            </w:r>
          </w:p>
        </w:tc>
        <w:tc>
          <w:tcPr>
            <w:tcW w:w="647" w:type="pct"/>
            <w:shd w:val="clear" w:color="auto" w:fill="auto"/>
            <w:noWrap/>
            <w:vAlign w:val="bottom"/>
          </w:tcPr>
          <w:p w14:paraId="2B5D501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118.08 </w:t>
            </w:r>
          </w:p>
        </w:tc>
        <w:tc>
          <w:tcPr>
            <w:tcW w:w="727" w:type="pct"/>
            <w:shd w:val="clear" w:color="auto" w:fill="auto"/>
            <w:noWrap/>
            <w:vAlign w:val="bottom"/>
          </w:tcPr>
          <w:p w14:paraId="35D6E38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800.98 </w:t>
            </w:r>
          </w:p>
        </w:tc>
        <w:tc>
          <w:tcPr>
            <w:tcW w:w="646" w:type="pct"/>
            <w:shd w:val="clear" w:color="auto" w:fill="auto"/>
            <w:noWrap/>
            <w:vAlign w:val="bottom"/>
          </w:tcPr>
          <w:p w14:paraId="0FE3124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295.21 </w:t>
            </w:r>
          </w:p>
        </w:tc>
        <w:tc>
          <w:tcPr>
            <w:tcW w:w="770" w:type="pct"/>
            <w:shd w:val="clear" w:color="auto" w:fill="auto"/>
            <w:noWrap/>
            <w:vAlign w:val="bottom"/>
          </w:tcPr>
          <w:p w14:paraId="1540E0A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1,922.36 </w:t>
            </w:r>
          </w:p>
        </w:tc>
        <w:tc>
          <w:tcPr>
            <w:tcW w:w="758" w:type="pct"/>
            <w:shd w:val="clear" w:color="auto" w:fill="auto"/>
            <w:noWrap/>
            <w:vAlign w:val="bottom"/>
          </w:tcPr>
          <w:p w14:paraId="74F7E6C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708.50 </w:t>
            </w:r>
          </w:p>
        </w:tc>
      </w:tr>
      <w:tr w:rsidR="00A046DD" w:rsidRPr="00532C20" w14:paraId="561F7428" w14:textId="77777777">
        <w:trPr>
          <w:trHeight w:val="20"/>
        </w:trPr>
        <w:tc>
          <w:tcPr>
            <w:tcW w:w="805" w:type="pct"/>
            <w:shd w:val="clear" w:color="auto" w:fill="D9D9D9"/>
            <w:noWrap/>
            <w:vAlign w:val="center"/>
            <w:hideMark/>
          </w:tcPr>
          <w:p w14:paraId="3DEC0867"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Croatia</w:t>
            </w:r>
          </w:p>
        </w:tc>
        <w:tc>
          <w:tcPr>
            <w:tcW w:w="646" w:type="pct"/>
            <w:shd w:val="clear" w:color="auto" w:fill="auto"/>
            <w:noWrap/>
            <w:vAlign w:val="bottom"/>
          </w:tcPr>
          <w:p w14:paraId="230B1FF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1,037.22 </w:t>
            </w:r>
          </w:p>
        </w:tc>
        <w:tc>
          <w:tcPr>
            <w:tcW w:w="647" w:type="pct"/>
            <w:shd w:val="clear" w:color="auto" w:fill="auto"/>
            <w:noWrap/>
            <w:vAlign w:val="bottom"/>
          </w:tcPr>
          <w:p w14:paraId="7CD5808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504.41 </w:t>
            </w:r>
          </w:p>
        </w:tc>
        <w:tc>
          <w:tcPr>
            <w:tcW w:w="727" w:type="pct"/>
            <w:shd w:val="clear" w:color="auto" w:fill="auto"/>
            <w:noWrap/>
            <w:vAlign w:val="bottom"/>
          </w:tcPr>
          <w:p w14:paraId="25B066F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2,593.06 </w:t>
            </w:r>
          </w:p>
        </w:tc>
        <w:tc>
          <w:tcPr>
            <w:tcW w:w="646" w:type="pct"/>
            <w:shd w:val="clear" w:color="auto" w:fill="auto"/>
            <w:noWrap/>
            <w:vAlign w:val="bottom"/>
          </w:tcPr>
          <w:p w14:paraId="7B6A633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1,261.04 </w:t>
            </w:r>
          </w:p>
        </w:tc>
        <w:tc>
          <w:tcPr>
            <w:tcW w:w="770" w:type="pct"/>
            <w:shd w:val="clear" w:color="auto" w:fill="auto"/>
            <w:noWrap/>
            <w:vAlign w:val="bottom"/>
          </w:tcPr>
          <w:p w14:paraId="3B6C7D1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6,223.34 </w:t>
            </w:r>
          </w:p>
        </w:tc>
        <w:tc>
          <w:tcPr>
            <w:tcW w:w="758" w:type="pct"/>
            <w:shd w:val="clear" w:color="auto" w:fill="auto"/>
            <w:noWrap/>
            <w:vAlign w:val="bottom"/>
          </w:tcPr>
          <w:p w14:paraId="4C077BA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3,026.49 </w:t>
            </w:r>
          </w:p>
        </w:tc>
      </w:tr>
      <w:tr w:rsidR="00A046DD" w:rsidRPr="00532C20" w14:paraId="1EB810FA" w14:textId="77777777">
        <w:trPr>
          <w:trHeight w:val="20"/>
        </w:trPr>
        <w:tc>
          <w:tcPr>
            <w:tcW w:w="805" w:type="pct"/>
            <w:shd w:val="clear" w:color="auto" w:fill="D9D9D9"/>
            <w:noWrap/>
            <w:vAlign w:val="center"/>
            <w:hideMark/>
          </w:tcPr>
          <w:p w14:paraId="0FB80F1B"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Cyprus</w:t>
            </w:r>
          </w:p>
        </w:tc>
        <w:tc>
          <w:tcPr>
            <w:tcW w:w="646" w:type="pct"/>
            <w:shd w:val="clear" w:color="auto" w:fill="auto"/>
            <w:noWrap/>
            <w:vAlign w:val="bottom"/>
          </w:tcPr>
          <w:p w14:paraId="232839D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629.17 </w:t>
            </w:r>
          </w:p>
        </w:tc>
        <w:tc>
          <w:tcPr>
            <w:tcW w:w="647" w:type="pct"/>
            <w:shd w:val="clear" w:color="auto" w:fill="auto"/>
            <w:noWrap/>
            <w:vAlign w:val="bottom"/>
          </w:tcPr>
          <w:p w14:paraId="59403F2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165.89 </w:t>
            </w:r>
          </w:p>
        </w:tc>
        <w:tc>
          <w:tcPr>
            <w:tcW w:w="727" w:type="pct"/>
            <w:shd w:val="clear" w:color="auto" w:fill="auto"/>
            <w:noWrap/>
            <w:vAlign w:val="bottom"/>
          </w:tcPr>
          <w:p w14:paraId="10C2B42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1,572.93 </w:t>
            </w:r>
          </w:p>
        </w:tc>
        <w:tc>
          <w:tcPr>
            <w:tcW w:w="646" w:type="pct"/>
            <w:shd w:val="clear" w:color="auto" w:fill="auto"/>
            <w:noWrap/>
            <w:vAlign w:val="bottom"/>
          </w:tcPr>
          <w:p w14:paraId="1885E38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414.71 </w:t>
            </w:r>
          </w:p>
        </w:tc>
        <w:tc>
          <w:tcPr>
            <w:tcW w:w="770" w:type="pct"/>
            <w:shd w:val="clear" w:color="auto" w:fill="auto"/>
            <w:noWrap/>
            <w:vAlign w:val="bottom"/>
          </w:tcPr>
          <w:p w14:paraId="6375B39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3,775.03 </w:t>
            </w:r>
          </w:p>
        </w:tc>
        <w:tc>
          <w:tcPr>
            <w:tcW w:w="758" w:type="pct"/>
            <w:shd w:val="clear" w:color="auto" w:fill="auto"/>
            <w:noWrap/>
            <w:vAlign w:val="bottom"/>
          </w:tcPr>
          <w:p w14:paraId="3576842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995.31 </w:t>
            </w:r>
          </w:p>
        </w:tc>
      </w:tr>
      <w:tr w:rsidR="00A046DD" w:rsidRPr="00532C20" w14:paraId="2C087A19" w14:textId="77777777">
        <w:trPr>
          <w:trHeight w:val="20"/>
        </w:trPr>
        <w:tc>
          <w:tcPr>
            <w:tcW w:w="805" w:type="pct"/>
            <w:shd w:val="clear" w:color="auto" w:fill="D9D9D9"/>
            <w:noWrap/>
            <w:vAlign w:val="center"/>
            <w:hideMark/>
          </w:tcPr>
          <w:p w14:paraId="16700DA1"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Czechia</w:t>
            </w:r>
          </w:p>
        </w:tc>
        <w:tc>
          <w:tcPr>
            <w:tcW w:w="646" w:type="pct"/>
            <w:shd w:val="clear" w:color="auto" w:fill="auto"/>
            <w:noWrap/>
            <w:vAlign w:val="bottom"/>
          </w:tcPr>
          <w:p w14:paraId="63C7A5E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4,940.41 </w:t>
            </w:r>
          </w:p>
        </w:tc>
        <w:tc>
          <w:tcPr>
            <w:tcW w:w="647" w:type="pct"/>
            <w:shd w:val="clear" w:color="auto" w:fill="auto"/>
            <w:noWrap/>
            <w:vAlign w:val="bottom"/>
          </w:tcPr>
          <w:p w14:paraId="7D34E65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2,030.04 </w:t>
            </w:r>
          </w:p>
        </w:tc>
        <w:tc>
          <w:tcPr>
            <w:tcW w:w="727" w:type="pct"/>
            <w:shd w:val="clear" w:color="auto" w:fill="auto"/>
            <w:noWrap/>
            <w:vAlign w:val="bottom"/>
          </w:tcPr>
          <w:p w14:paraId="7175536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12,351.03 </w:t>
            </w:r>
          </w:p>
        </w:tc>
        <w:tc>
          <w:tcPr>
            <w:tcW w:w="646" w:type="pct"/>
            <w:shd w:val="clear" w:color="auto" w:fill="auto"/>
            <w:noWrap/>
            <w:vAlign w:val="bottom"/>
          </w:tcPr>
          <w:p w14:paraId="3D0D481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5,075.09 </w:t>
            </w:r>
          </w:p>
        </w:tc>
        <w:tc>
          <w:tcPr>
            <w:tcW w:w="770" w:type="pct"/>
            <w:shd w:val="clear" w:color="auto" w:fill="auto"/>
            <w:noWrap/>
            <w:vAlign w:val="bottom"/>
          </w:tcPr>
          <w:p w14:paraId="4193AB0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29,642.48 </w:t>
            </w:r>
          </w:p>
        </w:tc>
        <w:tc>
          <w:tcPr>
            <w:tcW w:w="758" w:type="pct"/>
            <w:shd w:val="clear" w:color="auto" w:fill="auto"/>
            <w:noWrap/>
            <w:vAlign w:val="bottom"/>
          </w:tcPr>
          <w:p w14:paraId="5915952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12,180.22 </w:t>
            </w:r>
          </w:p>
        </w:tc>
      </w:tr>
      <w:tr w:rsidR="00A046DD" w:rsidRPr="00532C20" w14:paraId="0BEEC9B7" w14:textId="77777777">
        <w:trPr>
          <w:trHeight w:val="20"/>
        </w:trPr>
        <w:tc>
          <w:tcPr>
            <w:tcW w:w="805" w:type="pct"/>
            <w:shd w:val="clear" w:color="auto" w:fill="D9D9D9"/>
            <w:noWrap/>
            <w:vAlign w:val="center"/>
            <w:hideMark/>
          </w:tcPr>
          <w:p w14:paraId="5C40E500"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Denmark</w:t>
            </w:r>
          </w:p>
        </w:tc>
        <w:tc>
          <w:tcPr>
            <w:tcW w:w="646" w:type="pct"/>
            <w:shd w:val="clear" w:color="auto" w:fill="auto"/>
            <w:noWrap/>
            <w:vAlign w:val="bottom"/>
          </w:tcPr>
          <w:p w14:paraId="409E1BA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15,036.44 </w:t>
            </w:r>
          </w:p>
        </w:tc>
        <w:tc>
          <w:tcPr>
            <w:tcW w:w="647" w:type="pct"/>
            <w:shd w:val="clear" w:color="auto" w:fill="auto"/>
            <w:noWrap/>
            <w:vAlign w:val="bottom"/>
          </w:tcPr>
          <w:p w14:paraId="0C968ED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7,983.77 </w:t>
            </w:r>
          </w:p>
        </w:tc>
        <w:tc>
          <w:tcPr>
            <w:tcW w:w="727" w:type="pct"/>
            <w:shd w:val="clear" w:color="auto" w:fill="auto"/>
            <w:noWrap/>
            <w:vAlign w:val="bottom"/>
          </w:tcPr>
          <w:p w14:paraId="06F1723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37,591.11 </w:t>
            </w:r>
          </w:p>
        </w:tc>
        <w:tc>
          <w:tcPr>
            <w:tcW w:w="646" w:type="pct"/>
            <w:shd w:val="clear" w:color="auto" w:fill="auto"/>
            <w:noWrap/>
            <w:vAlign w:val="bottom"/>
          </w:tcPr>
          <w:p w14:paraId="77B6973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19,959.42 </w:t>
            </w:r>
          </w:p>
        </w:tc>
        <w:tc>
          <w:tcPr>
            <w:tcW w:w="770" w:type="pct"/>
            <w:shd w:val="clear" w:color="auto" w:fill="auto"/>
            <w:noWrap/>
            <w:vAlign w:val="bottom"/>
          </w:tcPr>
          <w:p w14:paraId="32D41BE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90,218.66 </w:t>
            </w:r>
          </w:p>
        </w:tc>
        <w:tc>
          <w:tcPr>
            <w:tcW w:w="758" w:type="pct"/>
            <w:shd w:val="clear" w:color="auto" w:fill="auto"/>
            <w:noWrap/>
            <w:vAlign w:val="bottom"/>
          </w:tcPr>
          <w:p w14:paraId="0E3E6D2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47,902.61 </w:t>
            </w:r>
          </w:p>
        </w:tc>
      </w:tr>
      <w:tr w:rsidR="00A046DD" w:rsidRPr="00532C20" w14:paraId="441E2D37" w14:textId="77777777">
        <w:trPr>
          <w:trHeight w:val="20"/>
        </w:trPr>
        <w:tc>
          <w:tcPr>
            <w:tcW w:w="805" w:type="pct"/>
            <w:shd w:val="clear" w:color="auto" w:fill="D9D9D9"/>
            <w:noWrap/>
            <w:vAlign w:val="center"/>
            <w:hideMark/>
          </w:tcPr>
          <w:p w14:paraId="62BD22B5"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Estonia</w:t>
            </w:r>
          </w:p>
        </w:tc>
        <w:tc>
          <w:tcPr>
            <w:tcW w:w="646" w:type="pct"/>
            <w:shd w:val="clear" w:color="auto" w:fill="auto"/>
            <w:noWrap/>
            <w:vAlign w:val="bottom"/>
          </w:tcPr>
          <w:p w14:paraId="0CE9608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997.03 </w:t>
            </w:r>
          </w:p>
        </w:tc>
        <w:tc>
          <w:tcPr>
            <w:tcW w:w="647" w:type="pct"/>
            <w:shd w:val="clear" w:color="auto" w:fill="auto"/>
            <w:noWrap/>
            <w:vAlign w:val="bottom"/>
          </w:tcPr>
          <w:p w14:paraId="702A098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525.43 </w:t>
            </w:r>
          </w:p>
        </w:tc>
        <w:tc>
          <w:tcPr>
            <w:tcW w:w="727" w:type="pct"/>
            <w:shd w:val="clear" w:color="auto" w:fill="auto"/>
            <w:noWrap/>
            <w:vAlign w:val="bottom"/>
          </w:tcPr>
          <w:p w14:paraId="17BBF64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2,492.59 </w:t>
            </w:r>
          </w:p>
        </w:tc>
        <w:tc>
          <w:tcPr>
            <w:tcW w:w="646" w:type="pct"/>
            <w:shd w:val="clear" w:color="auto" w:fill="auto"/>
            <w:noWrap/>
            <w:vAlign w:val="bottom"/>
          </w:tcPr>
          <w:p w14:paraId="20E4D0C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1,313.58 </w:t>
            </w:r>
          </w:p>
        </w:tc>
        <w:tc>
          <w:tcPr>
            <w:tcW w:w="770" w:type="pct"/>
            <w:shd w:val="clear" w:color="auto" w:fill="auto"/>
            <w:noWrap/>
            <w:vAlign w:val="bottom"/>
          </w:tcPr>
          <w:p w14:paraId="052B006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5,982.21 </w:t>
            </w:r>
          </w:p>
        </w:tc>
        <w:tc>
          <w:tcPr>
            <w:tcW w:w="758" w:type="pct"/>
            <w:shd w:val="clear" w:color="auto" w:fill="auto"/>
            <w:noWrap/>
            <w:vAlign w:val="bottom"/>
          </w:tcPr>
          <w:p w14:paraId="5DBA035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3,152.59 </w:t>
            </w:r>
          </w:p>
        </w:tc>
      </w:tr>
      <w:tr w:rsidR="00A046DD" w:rsidRPr="00532C20" w14:paraId="20419A15" w14:textId="77777777">
        <w:trPr>
          <w:trHeight w:val="20"/>
        </w:trPr>
        <w:tc>
          <w:tcPr>
            <w:tcW w:w="805" w:type="pct"/>
            <w:shd w:val="clear" w:color="auto" w:fill="D9D9D9"/>
            <w:noWrap/>
            <w:vAlign w:val="center"/>
            <w:hideMark/>
          </w:tcPr>
          <w:p w14:paraId="54B97B4F"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Finland</w:t>
            </w:r>
          </w:p>
        </w:tc>
        <w:tc>
          <w:tcPr>
            <w:tcW w:w="646" w:type="pct"/>
            <w:shd w:val="clear" w:color="auto" w:fill="auto"/>
            <w:noWrap/>
            <w:vAlign w:val="bottom"/>
          </w:tcPr>
          <w:p w14:paraId="6ABC67D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15,089.45 </w:t>
            </w:r>
          </w:p>
        </w:tc>
        <w:tc>
          <w:tcPr>
            <w:tcW w:w="647" w:type="pct"/>
            <w:shd w:val="clear" w:color="auto" w:fill="auto"/>
            <w:noWrap/>
            <w:vAlign w:val="bottom"/>
          </w:tcPr>
          <w:p w14:paraId="58E9147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5,753.13 </w:t>
            </w:r>
          </w:p>
        </w:tc>
        <w:tc>
          <w:tcPr>
            <w:tcW w:w="727" w:type="pct"/>
            <w:shd w:val="clear" w:color="auto" w:fill="auto"/>
            <w:noWrap/>
            <w:vAlign w:val="bottom"/>
          </w:tcPr>
          <w:p w14:paraId="00C25C1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37,723.62 </w:t>
            </w:r>
          </w:p>
        </w:tc>
        <w:tc>
          <w:tcPr>
            <w:tcW w:w="646" w:type="pct"/>
            <w:shd w:val="clear" w:color="auto" w:fill="auto"/>
            <w:noWrap/>
            <w:vAlign w:val="bottom"/>
          </w:tcPr>
          <w:p w14:paraId="3B53AFC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14,382.83 </w:t>
            </w:r>
          </w:p>
        </w:tc>
        <w:tc>
          <w:tcPr>
            <w:tcW w:w="770" w:type="pct"/>
            <w:shd w:val="clear" w:color="auto" w:fill="auto"/>
            <w:noWrap/>
            <w:vAlign w:val="bottom"/>
          </w:tcPr>
          <w:p w14:paraId="148C365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90,536.68 </w:t>
            </w:r>
          </w:p>
        </w:tc>
        <w:tc>
          <w:tcPr>
            <w:tcW w:w="758" w:type="pct"/>
            <w:shd w:val="clear" w:color="auto" w:fill="auto"/>
            <w:noWrap/>
            <w:vAlign w:val="bottom"/>
          </w:tcPr>
          <w:p w14:paraId="620CCDD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34,518.79 </w:t>
            </w:r>
          </w:p>
        </w:tc>
      </w:tr>
      <w:tr w:rsidR="00A046DD" w:rsidRPr="00532C20" w14:paraId="67305884" w14:textId="77777777">
        <w:trPr>
          <w:trHeight w:val="20"/>
        </w:trPr>
        <w:tc>
          <w:tcPr>
            <w:tcW w:w="805" w:type="pct"/>
            <w:shd w:val="clear" w:color="auto" w:fill="D9D9D9"/>
            <w:noWrap/>
            <w:vAlign w:val="center"/>
            <w:hideMark/>
          </w:tcPr>
          <w:p w14:paraId="0FC0DD77"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France</w:t>
            </w:r>
          </w:p>
        </w:tc>
        <w:tc>
          <w:tcPr>
            <w:tcW w:w="646" w:type="pct"/>
            <w:shd w:val="clear" w:color="auto" w:fill="auto"/>
            <w:noWrap/>
            <w:vAlign w:val="bottom"/>
          </w:tcPr>
          <w:p w14:paraId="74FCDCC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152,485.04 </w:t>
            </w:r>
          </w:p>
        </w:tc>
        <w:tc>
          <w:tcPr>
            <w:tcW w:w="647" w:type="pct"/>
            <w:shd w:val="clear" w:color="auto" w:fill="auto"/>
            <w:noWrap/>
            <w:vAlign w:val="bottom"/>
          </w:tcPr>
          <w:p w14:paraId="23AF4B4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68,233.55 </w:t>
            </w:r>
          </w:p>
        </w:tc>
        <w:tc>
          <w:tcPr>
            <w:tcW w:w="727" w:type="pct"/>
            <w:shd w:val="clear" w:color="auto" w:fill="auto"/>
            <w:noWrap/>
            <w:vAlign w:val="bottom"/>
          </w:tcPr>
          <w:p w14:paraId="16E80CF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381,212.59 </w:t>
            </w:r>
          </w:p>
        </w:tc>
        <w:tc>
          <w:tcPr>
            <w:tcW w:w="646" w:type="pct"/>
            <w:shd w:val="clear" w:color="auto" w:fill="auto"/>
            <w:noWrap/>
            <w:vAlign w:val="bottom"/>
          </w:tcPr>
          <w:p w14:paraId="5F45D9E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170,583.86 </w:t>
            </w:r>
          </w:p>
        </w:tc>
        <w:tc>
          <w:tcPr>
            <w:tcW w:w="770" w:type="pct"/>
            <w:shd w:val="clear" w:color="auto" w:fill="auto"/>
            <w:noWrap/>
            <w:vAlign w:val="bottom"/>
          </w:tcPr>
          <w:p w14:paraId="15C4ACD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914,910.23 </w:t>
            </w:r>
          </w:p>
        </w:tc>
        <w:tc>
          <w:tcPr>
            <w:tcW w:w="758" w:type="pct"/>
            <w:shd w:val="clear" w:color="auto" w:fill="auto"/>
            <w:noWrap/>
            <w:vAlign w:val="bottom"/>
          </w:tcPr>
          <w:p w14:paraId="3528542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409,401.27 </w:t>
            </w:r>
          </w:p>
        </w:tc>
      </w:tr>
      <w:tr w:rsidR="00A046DD" w:rsidRPr="00532C20" w14:paraId="0D93F94E" w14:textId="77777777">
        <w:trPr>
          <w:trHeight w:val="20"/>
        </w:trPr>
        <w:tc>
          <w:tcPr>
            <w:tcW w:w="805" w:type="pct"/>
            <w:shd w:val="clear" w:color="auto" w:fill="D9D9D9"/>
            <w:noWrap/>
            <w:vAlign w:val="center"/>
            <w:hideMark/>
          </w:tcPr>
          <w:p w14:paraId="44C0BAB0"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Germany</w:t>
            </w:r>
          </w:p>
        </w:tc>
        <w:tc>
          <w:tcPr>
            <w:tcW w:w="646" w:type="pct"/>
            <w:shd w:val="clear" w:color="auto" w:fill="auto"/>
            <w:noWrap/>
            <w:vAlign w:val="bottom"/>
          </w:tcPr>
          <w:p w14:paraId="30C6B9A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94,325.61 </w:t>
            </w:r>
          </w:p>
        </w:tc>
        <w:tc>
          <w:tcPr>
            <w:tcW w:w="647" w:type="pct"/>
            <w:shd w:val="clear" w:color="auto" w:fill="auto"/>
            <w:noWrap/>
            <w:vAlign w:val="bottom"/>
          </w:tcPr>
          <w:p w14:paraId="52CCC24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36,454.54 </w:t>
            </w:r>
          </w:p>
        </w:tc>
        <w:tc>
          <w:tcPr>
            <w:tcW w:w="727" w:type="pct"/>
            <w:shd w:val="clear" w:color="auto" w:fill="auto"/>
            <w:noWrap/>
            <w:vAlign w:val="bottom"/>
          </w:tcPr>
          <w:p w14:paraId="14455D9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235,814.04 </w:t>
            </w:r>
          </w:p>
        </w:tc>
        <w:tc>
          <w:tcPr>
            <w:tcW w:w="646" w:type="pct"/>
            <w:shd w:val="clear" w:color="auto" w:fill="auto"/>
            <w:noWrap/>
            <w:vAlign w:val="bottom"/>
          </w:tcPr>
          <w:p w14:paraId="4423DD6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91,136.35 </w:t>
            </w:r>
          </w:p>
        </w:tc>
        <w:tc>
          <w:tcPr>
            <w:tcW w:w="770" w:type="pct"/>
            <w:shd w:val="clear" w:color="auto" w:fill="auto"/>
            <w:noWrap/>
            <w:vAlign w:val="bottom"/>
          </w:tcPr>
          <w:p w14:paraId="2EF225D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565,953.69 </w:t>
            </w:r>
          </w:p>
        </w:tc>
        <w:tc>
          <w:tcPr>
            <w:tcW w:w="758" w:type="pct"/>
            <w:shd w:val="clear" w:color="auto" w:fill="auto"/>
            <w:noWrap/>
            <w:vAlign w:val="bottom"/>
          </w:tcPr>
          <w:p w14:paraId="1AA380E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218,727.23 </w:t>
            </w:r>
          </w:p>
        </w:tc>
      </w:tr>
      <w:tr w:rsidR="00A046DD" w:rsidRPr="00532C20" w14:paraId="10009377" w14:textId="77777777">
        <w:trPr>
          <w:trHeight w:val="20"/>
        </w:trPr>
        <w:tc>
          <w:tcPr>
            <w:tcW w:w="805" w:type="pct"/>
            <w:shd w:val="clear" w:color="auto" w:fill="D9D9D9"/>
            <w:noWrap/>
            <w:vAlign w:val="center"/>
            <w:hideMark/>
          </w:tcPr>
          <w:p w14:paraId="00CFD658"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Greece</w:t>
            </w:r>
          </w:p>
        </w:tc>
        <w:tc>
          <w:tcPr>
            <w:tcW w:w="646" w:type="pct"/>
            <w:shd w:val="clear" w:color="auto" w:fill="auto"/>
            <w:noWrap/>
            <w:vAlign w:val="bottom"/>
          </w:tcPr>
          <w:p w14:paraId="405E998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430.92 </w:t>
            </w:r>
          </w:p>
        </w:tc>
        <w:tc>
          <w:tcPr>
            <w:tcW w:w="647" w:type="pct"/>
            <w:shd w:val="clear" w:color="auto" w:fill="auto"/>
            <w:noWrap/>
            <w:vAlign w:val="bottom"/>
          </w:tcPr>
          <w:p w14:paraId="0833B1C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193.23 </w:t>
            </w:r>
          </w:p>
        </w:tc>
        <w:tc>
          <w:tcPr>
            <w:tcW w:w="727" w:type="pct"/>
            <w:shd w:val="clear" w:color="auto" w:fill="auto"/>
            <w:noWrap/>
            <w:vAlign w:val="bottom"/>
          </w:tcPr>
          <w:p w14:paraId="4238AC7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1,077.30 </w:t>
            </w:r>
          </w:p>
        </w:tc>
        <w:tc>
          <w:tcPr>
            <w:tcW w:w="646" w:type="pct"/>
            <w:shd w:val="clear" w:color="auto" w:fill="auto"/>
            <w:noWrap/>
            <w:vAlign w:val="bottom"/>
          </w:tcPr>
          <w:p w14:paraId="133C098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483.06 </w:t>
            </w:r>
          </w:p>
        </w:tc>
        <w:tc>
          <w:tcPr>
            <w:tcW w:w="770" w:type="pct"/>
            <w:shd w:val="clear" w:color="auto" w:fill="auto"/>
            <w:noWrap/>
            <w:vAlign w:val="bottom"/>
          </w:tcPr>
          <w:p w14:paraId="014716E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2,585.51 </w:t>
            </w:r>
          </w:p>
        </w:tc>
        <w:tc>
          <w:tcPr>
            <w:tcW w:w="758" w:type="pct"/>
            <w:shd w:val="clear" w:color="auto" w:fill="auto"/>
            <w:noWrap/>
            <w:vAlign w:val="bottom"/>
          </w:tcPr>
          <w:p w14:paraId="1F475E7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1,159.36 </w:t>
            </w:r>
          </w:p>
        </w:tc>
      </w:tr>
      <w:tr w:rsidR="00A046DD" w:rsidRPr="00532C20" w14:paraId="286533DE" w14:textId="77777777">
        <w:trPr>
          <w:trHeight w:val="20"/>
        </w:trPr>
        <w:tc>
          <w:tcPr>
            <w:tcW w:w="805" w:type="pct"/>
            <w:shd w:val="clear" w:color="auto" w:fill="D9D9D9"/>
            <w:noWrap/>
            <w:vAlign w:val="center"/>
            <w:hideMark/>
          </w:tcPr>
          <w:p w14:paraId="01260819"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Hungary</w:t>
            </w:r>
          </w:p>
        </w:tc>
        <w:tc>
          <w:tcPr>
            <w:tcW w:w="646" w:type="pct"/>
            <w:shd w:val="clear" w:color="auto" w:fill="auto"/>
            <w:noWrap/>
            <w:vAlign w:val="bottom"/>
          </w:tcPr>
          <w:p w14:paraId="2B116A5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2,197.30 </w:t>
            </w:r>
          </w:p>
        </w:tc>
        <w:tc>
          <w:tcPr>
            <w:tcW w:w="647" w:type="pct"/>
            <w:shd w:val="clear" w:color="auto" w:fill="auto"/>
            <w:noWrap/>
            <w:vAlign w:val="bottom"/>
          </w:tcPr>
          <w:p w14:paraId="5629066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1,011.99 </w:t>
            </w:r>
          </w:p>
        </w:tc>
        <w:tc>
          <w:tcPr>
            <w:tcW w:w="727" w:type="pct"/>
            <w:shd w:val="clear" w:color="auto" w:fill="auto"/>
            <w:noWrap/>
            <w:vAlign w:val="bottom"/>
          </w:tcPr>
          <w:p w14:paraId="7EE757A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5,493.25 </w:t>
            </w:r>
          </w:p>
        </w:tc>
        <w:tc>
          <w:tcPr>
            <w:tcW w:w="646" w:type="pct"/>
            <w:shd w:val="clear" w:color="auto" w:fill="auto"/>
            <w:noWrap/>
            <w:vAlign w:val="bottom"/>
          </w:tcPr>
          <w:p w14:paraId="0C19E73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2,529.98 </w:t>
            </w:r>
          </w:p>
        </w:tc>
        <w:tc>
          <w:tcPr>
            <w:tcW w:w="770" w:type="pct"/>
            <w:shd w:val="clear" w:color="auto" w:fill="auto"/>
            <w:noWrap/>
            <w:vAlign w:val="bottom"/>
          </w:tcPr>
          <w:p w14:paraId="58C85BD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13,183.81 </w:t>
            </w:r>
          </w:p>
        </w:tc>
        <w:tc>
          <w:tcPr>
            <w:tcW w:w="758" w:type="pct"/>
            <w:shd w:val="clear" w:color="auto" w:fill="auto"/>
            <w:noWrap/>
            <w:vAlign w:val="bottom"/>
          </w:tcPr>
          <w:p w14:paraId="1977EA5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6,071.96 </w:t>
            </w:r>
          </w:p>
        </w:tc>
      </w:tr>
      <w:tr w:rsidR="00A046DD" w:rsidRPr="00532C20" w14:paraId="5652D46A" w14:textId="77777777">
        <w:trPr>
          <w:trHeight w:val="20"/>
        </w:trPr>
        <w:tc>
          <w:tcPr>
            <w:tcW w:w="805" w:type="pct"/>
            <w:shd w:val="clear" w:color="auto" w:fill="D9D9D9"/>
            <w:noWrap/>
            <w:vAlign w:val="center"/>
            <w:hideMark/>
          </w:tcPr>
          <w:p w14:paraId="4D838A96"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Ireland</w:t>
            </w:r>
          </w:p>
        </w:tc>
        <w:tc>
          <w:tcPr>
            <w:tcW w:w="646" w:type="pct"/>
            <w:shd w:val="clear" w:color="auto" w:fill="auto"/>
            <w:noWrap/>
            <w:vAlign w:val="bottom"/>
          </w:tcPr>
          <w:p w14:paraId="4A688C8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3,390.30 </w:t>
            </w:r>
          </w:p>
        </w:tc>
        <w:tc>
          <w:tcPr>
            <w:tcW w:w="647" w:type="pct"/>
            <w:shd w:val="clear" w:color="auto" w:fill="auto"/>
            <w:noWrap/>
            <w:vAlign w:val="bottom"/>
          </w:tcPr>
          <w:p w14:paraId="27E3464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1,830.08 </w:t>
            </w:r>
          </w:p>
        </w:tc>
        <w:tc>
          <w:tcPr>
            <w:tcW w:w="727" w:type="pct"/>
            <w:shd w:val="clear" w:color="auto" w:fill="auto"/>
            <w:noWrap/>
            <w:vAlign w:val="bottom"/>
          </w:tcPr>
          <w:p w14:paraId="550BA63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8,475.74 </w:t>
            </w:r>
          </w:p>
        </w:tc>
        <w:tc>
          <w:tcPr>
            <w:tcW w:w="646" w:type="pct"/>
            <w:shd w:val="clear" w:color="auto" w:fill="auto"/>
            <w:noWrap/>
            <w:vAlign w:val="bottom"/>
          </w:tcPr>
          <w:p w14:paraId="3AF5AF4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4,575.20 </w:t>
            </w:r>
          </w:p>
        </w:tc>
        <w:tc>
          <w:tcPr>
            <w:tcW w:w="770" w:type="pct"/>
            <w:shd w:val="clear" w:color="auto" w:fill="auto"/>
            <w:noWrap/>
            <w:vAlign w:val="bottom"/>
          </w:tcPr>
          <w:p w14:paraId="7E52225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20,341.78 </w:t>
            </w:r>
          </w:p>
        </w:tc>
        <w:tc>
          <w:tcPr>
            <w:tcW w:w="758" w:type="pct"/>
            <w:shd w:val="clear" w:color="auto" w:fill="auto"/>
            <w:noWrap/>
            <w:vAlign w:val="bottom"/>
          </w:tcPr>
          <w:p w14:paraId="2FFB4A0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10,980.48 </w:t>
            </w:r>
          </w:p>
        </w:tc>
      </w:tr>
      <w:tr w:rsidR="00A046DD" w:rsidRPr="00532C20" w14:paraId="70E29041" w14:textId="77777777">
        <w:trPr>
          <w:trHeight w:val="20"/>
        </w:trPr>
        <w:tc>
          <w:tcPr>
            <w:tcW w:w="805" w:type="pct"/>
            <w:shd w:val="clear" w:color="auto" w:fill="D9D9D9"/>
            <w:noWrap/>
            <w:vAlign w:val="center"/>
            <w:hideMark/>
          </w:tcPr>
          <w:p w14:paraId="42ABCE5C"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Italy</w:t>
            </w:r>
          </w:p>
        </w:tc>
        <w:tc>
          <w:tcPr>
            <w:tcW w:w="646" w:type="pct"/>
            <w:shd w:val="clear" w:color="auto" w:fill="auto"/>
            <w:noWrap/>
            <w:vAlign w:val="bottom"/>
          </w:tcPr>
          <w:p w14:paraId="54186FD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54,990.92 </w:t>
            </w:r>
          </w:p>
        </w:tc>
        <w:tc>
          <w:tcPr>
            <w:tcW w:w="647" w:type="pct"/>
            <w:shd w:val="clear" w:color="auto" w:fill="auto"/>
            <w:noWrap/>
            <w:vAlign w:val="bottom"/>
          </w:tcPr>
          <w:p w14:paraId="4886A14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17,792.32 </w:t>
            </w:r>
          </w:p>
        </w:tc>
        <w:tc>
          <w:tcPr>
            <w:tcW w:w="727" w:type="pct"/>
            <w:shd w:val="clear" w:color="auto" w:fill="auto"/>
            <w:noWrap/>
            <w:vAlign w:val="bottom"/>
          </w:tcPr>
          <w:p w14:paraId="6FE71B4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137,477.29 </w:t>
            </w:r>
          </w:p>
        </w:tc>
        <w:tc>
          <w:tcPr>
            <w:tcW w:w="646" w:type="pct"/>
            <w:shd w:val="clear" w:color="auto" w:fill="auto"/>
            <w:noWrap/>
            <w:vAlign w:val="bottom"/>
          </w:tcPr>
          <w:p w14:paraId="100D785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44,480.80 </w:t>
            </w:r>
          </w:p>
        </w:tc>
        <w:tc>
          <w:tcPr>
            <w:tcW w:w="770" w:type="pct"/>
            <w:shd w:val="clear" w:color="auto" w:fill="auto"/>
            <w:noWrap/>
            <w:vAlign w:val="bottom"/>
          </w:tcPr>
          <w:p w14:paraId="6FCF430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329,945.50 </w:t>
            </w:r>
          </w:p>
        </w:tc>
        <w:tc>
          <w:tcPr>
            <w:tcW w:w="758" w:type="pct"/>
            <w:shd w:val="clear" w:color="auto" w:fill="auto"/>
            <w:noWrap/>
            <w:vAlign w:val="bottom"/>
          </w:tcPr>
          <w:p w14:paraId="7D4C3D8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106,753.91 </w:t>
            </w:r>
          </w:p>
        </w:tc>
      </w:tr>
      <w:tr w:rsidR="00A046DD" w:rsidRPr="00532C20" w14:paraId="66687393" w14:textId="77777777">
        <w:trPr>
          <w:trHeight w:val="20"/>
        </w:trPr>
        <w:tc>
          <w:tcPr>
            <w:tcW w:w="805" w:type="pct"/>
            <w:shd w:val="clear" w:color="auto" w:fill="D9D9D9"/>
            <w:noWrap/>
            <w:vAlign w:val="center"/>
            <w:hideMark/>
          </w:tcPr>
          <w:p w14:paraId="3EC510D0"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Latvia</w:t>
            </w:r>
          </w:p>
        </w:tc>
        <w:tc>
          <w:tcPr>
            <w:tcW w:w="646" w:type="pct"/>
            <w:shd w:val="clear" w:color="auto" w:fill="auto"/>
            <w:noWrap/>
            <w:vAlign w:val="bottom"/>
          </w:tcPr>
          <w:p w14:paraId="2922D78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422.62 </w:t>
            </w:r>
          </w:p>
        </w:tc>
        <w:tc>
          <w:tcPr>
            <w:tcW w:w="647" w:type="pct"/>
            <w:shd w:val="clear" w:color="auto" w:fill="auto"/>
            <w:noWrap/>
            <w:vAlign w:val="bottom"/>
          </w:tcPr>
          <w:p w14:paraId="38B21E7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205.78 </w:t>
            </w:r>
          </w:p>
        </w:tc>
        <w:tc>
          <w:tcPr>
            <w:tcW w:w="727" w:type="pct"/>
            <w:shd w:val="clear" w:color="auto" w:fill="auto"/>
            <w:noWrap/>
            <w:vAlign w:val="bottom"/>
          </w:tcPr>
          <w:p w14:paraId="2447BAA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1,056.55 </w:t>
            </w:r>
          </w:p>
        </w:tc>
        <w:tc>
          <w:tcPr>
            <w:tcW w:w="646" w:type="pct"/>
            <w:shd w:val="clear" w:color="auto" w:fill="auto"/>
            <w:noWrap/>
            <w:vAlign w:val="bottom"/>
          </w:tcPr>
          <w:p w14:paraId="6ED1A44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514.46 </w:t>
            </w:r>
          </w:p>
        </w:tc>
        <w:tc>
          <w:tcPr>
            <w:tcW w:w="770" w:type="pct"/>
            <w:shd w:val="clear" w:color="auto" w:fill="auto"/>
            <w:noWrap/>
            <w:vAlign w:val="bottom"/>
          </w:tcPr>
          <w:p w14:paraId="7B98871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2,535.72 </w:t>
            </w:r>
          </w:p>
        </w:tc>
        <w:tc>
          <w:tcPr>
            <w:tcW w:w="758" w:type="pct"/>
            <w:shd w:val="clear" w:color="auto" w:fill="auto"/>
            <w:noWrap/>
            <w:vAlign w:val="bottom"/>
          </w:tcPr>
          <w:p w14:paraId="25847AD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1,234.71 </w:t>
            </w:r>
          </w:p>
        </w:tc>
      </w:tr>
      <w:tr w:rsidR="00A046DD" w:rsidRPr="00532C20" w14:paraId="03A92830" w14:textId="77777777">
        <w:trPr>
          <w:trHeight w:val="20"/>
        </w:trPr>
        <w:tc>
          <w:tcPr>
            <w:tcW w:w="805" w:type="pct"/>
            <w:shd w:val="clear" w:color="auto" w:fill="D9D9D9"/>
            <w:noWrap/>
            <w:vAlign w:val="center"/>
            <w:hideMark/>
          </w:tcPr>
          <w:p w14:paraId="5026AB76"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Lithuania</w:t>
            </w:r>
          </w:p>
        </w:tc>
        <w:tc>
          <w:tcPr>
            <w:tcW w:w="646" w:type="pct"/>
            <w:shd w:val="clear" w:color="auto" w:fill="auto"/>
            <w:noWrap/>
            <w:vAlign w:val="bottom"/>
          </w:tcPr>
          <w:p w14:paraId="768CBEA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473.89 </w:t>
            </w:r>
          </w:p>
        </w:tc>
        <w:tc>
          <w:tcPr>
            <w:tcW w:w="647" w:type="pct"/>
            <w:shd w:val="clear" w:color="auto" w:fill="auto"/>
            <w:noWrap/>
            <w:vAlign w:val="bottom"/>
          </w:tcPr>
          <w:p w14:paraId="107A34D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224.91 </w:t>
            </w:r>
          </w:p>
        </w:tc>
        <w:tc>
          <w:tcPr>
            <w:tcW w:w="727" w:type="pct"/>
            <w:shd w:val="clear" w:color="auto" w:fill="auto"/>
            <w:noWrap/>
            <w:vAlign w:val="bottom"/>
          </w:tcPr>
          <w:p w14:paraId="3B4A6D8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1,184.73 </w:t>
            </w:r>
          </w:p>
        </w:tc>
        <w:tc>
          <w:tcPr>
            <w:tcW w:w="646" w:type="pct"/>
            <w:shd w:val="clear" w:color="auto" w:fill="auto"/>
            <w:noWrap/>
            <w:vAlign w:val="bottom"/>
          </w:tcPr>
          <w:p w14:paraId="3158C82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562.29 </w:t>
            </w:r>
          </w:p>
        </w:tc>
        <w:tc>
          <w:tcPr>
            <w:tcW w:w="770" w:type="pct"/>
            <w:shd w:val="clear" w:color="auto" w:fill="auto"/>
            <w:noWrap/>
            <w:vAlign w:val="bottom"/>
          </w:tcPr>
          <w:p w14:paraId="36047B6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2,843.34 </w:t>
            </w:r>
          </w:p>
        </w:tc>
        <w:tc>
          <w:tcPr>
            <w:tcW w:w="758" w:type="pct"/>
            <w:shd w:val="clear" w:color="auto" w:fill="auto"/>
            <w:noWrap/>
            <w:vAlign w:val="bottom"/>
          </w:tcPr>
          <w:p w14:paraId="64FE1CF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1,349.49 </w:t>
            </w:r>
          </w:p>
        </w:tc>
      </w:tr>
      <w:tr w:rsidR="00A046DD" w:rsidRPr="00532C20" w14:paraId="66C81EA0" w14:textId="77777777">
        <w:trPr>
          <w:trHeight w:val="20"/>
        </w:trPr>
        <w:tc>
          <w:tcPr>
            <w:tcW w:w="805" w:type="pct"/>
            <w:shd w:val="clear" w:color="auto" w:fill="D9D9D9"/>
            <w:noWrap/>
            <w:vAlign w:val="center"/>
            <w:hideMark/>
          </w:tcPr>
          <w:p w14:paraId="0B777CBA"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Luxembourg</w:t>
            </w:r>
          </w:p>
        </w:tc>
        <w:tc>
          <w:tcPr>
            <w:tcW w:w="646" w:type="pct"/>
            <w:shd w:val="clear" w:color="auto" w:fill="auto"/>
            <w:noWrap/>
            <w:vAlign w:val="bottom"/>
          </w:tcPr>
          <w:p w14:paraId="01F8A36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1,209.24 </w:t>
            </w:r>
          </w:p>
        </w:tc>
        <w:tc>
          <w:tcPr>
            <w:tcW w:w="647" w:type="pct"/>
            <w:shd w:val="clear" w:color="auto" w:fill="auto"/>
            <w:noWrap/>
            <w:vAlign w:val="bottom"/>
          </w:tcPr>
          <w:p w14:paraId="3AA1198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514.62 </w:t>
            </w:r>
          </w:p>
        </w:tc>
        <w:tc>
          <w:tcPr>
            <w:tcW w:w="727" w:type="pct"/>
            <w:shd w:val="clear" w:color="auto" w:fill="auto"/>
            <w:noWrap/>
            <w:vAlign w:val="bottom"/>
          </w:tcPr>
          <w:p w14:paraId="515D46F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3,023.10 </w:t>
            </w:r>
          </w:p>
        </w:tc>
        <w:tc>
          <w:tcPr>
            <w:tcW w:w="646" w:type="pct"/>
            <w:shd w:val="clear" w:color="auto" w:fill="auto"/>
            <w:noWrap/>
            <w:vAlign w:val="bottom"/>
          </w:tcPr>
          <w:p w14:paraId="0277F99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1,286.54 </w:t>
            </w:r>
          </w:p>
        </w:tc>
        <w:tc>
          <w:tcPr>
            <w:tcW w:w="770" w:type="pct"/>
            <w:shd w:val="clear" w:color="auto" w:fill="auto"/>
            <w:noWrap/>
            <w:vAlign w:val="bottom"/>
          </w:tcPr>
          <w:p w14:paraId="4FAF3F31"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7,255.44 </w:t>
            </w:r>
          </w:p>
        </w:tc>
        <w:tc>
          <w:tcPr>
            <w:tcW w:w="758" w:type="pct"/>
            <w:shd w:val="clear" w:color="auto" w:fill="auto"/>
            <w:noWrap/>
            <w:vAlign w:val="bottom"/>
          </w:tcPr>
          <w:p w14:paraId="1118282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3,087.70 </w:t>
            </w:r>
          </w:p>
        </w:tc>
      </w:tr>
      <w:tr w:rsidR="00A046DD" w:rsidRPr="00532C20" w14:paraId="57D1084B" w14:textId="77777777">
        <w:trPr>
          <w:trHeight w:val="20"/>
        </w:trPr>
        <w:tc>
          <w:tcPr>
            <w:tcW w:w="805" w:type="pct"/>
            <w:shd w:val="clear" w:color="auto" w:fill="D9D9D9"/>
            <w:noWrap/>
            <w:vAlign w:val="center"/>
            <w:hideMark/>
          </w:tcPr>
          <w:p w14:paraId="264BD983"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Malta</w:t>
            </w:r>
          </w:p>
        </w:tc>
        <w:tc>
          <w:tcPr>
            <w:tcW w:w="646" w:type="pct"/>
            <w:shd w:val="clear" w:color="auto" w:fill="auto"/>
            <w:noWrap/>
            <w:vAlign w:val="bottom"/>
          </w:tcPr>
          <w:p w14:paraId="46E433F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158.79 </w:t>
            </w:r>
          </w:p>
        </w:tc>
        <w:tc>
          <w:tcPr>
            <w:tcW w:w="647" w:type="pct"/>
            <w:shd w:val="clear" w:color="auto" w:fill="auto"/>
            <w:noWrap/>
            <w:vAlign w:val="bottom"/>
          </w:tcPr>
          <w:p w14:paraId="3BAA0EC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79.83 </w:t>
            </w:r>
          </w:p>
        </w:tc>
        <w:tc>
          <w:tcPr>
            <w:tcW w:w="727" w:type="pct"/>
            <w:shd w:val="clear" w:color="auto" w:fill="auto"/>
            <w:noWrap/>
            <w:vAlign w:val="bottom"/>
          </w:tcPr>
          <w:p w14:paraId="0605BAC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396.99 </w:t>
            </w:r>
          </w:p>
        </w:tc>
        <w:tc>
          <w:tcPr>
            <w:tcW w:w="646" w:type="pct"/>
            <w:shd w:val="clear" w:color="auto" w:fill="auto"/>
            <w:noWrap/>
            <w:vAlign w:val="bottom"/>
          </w:tcPr>
          <w:p w14:paraId="24DBB0B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199.57 </w:t>
            </w:r>
          </w:p>
        </w:tc>
        <w:tc>
          <w:tcPr>
            <w:tcW w:w="770" w:type="pct"/>
            <w:shd w:val="clear" w:color="auto" w:fill="auto"/>
            <w:noWrap/>
            <w:vAlign w:val="bottom"/>
          </w:tcPr>
          <w:p w14:paraId="1B168A4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952.77 </w:t>
            </w:r>
          </w:p>
        </w:tc>
        <w:tc>
          <w:tcPr>
            <w:tcW w:w="758" w:type="pct"/>
            <w:shd w:val="clear" w:color="auto" w:fill="auto"/>
            <w:noWrap/>
            <w:vAlign w:val="bottom"/>
          </w:tcPr>
          <w:p w14:paraId="4AC3E26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478.96 </w:t>
            </w:r>
          </w:p>
        </w:tc>
      </w:tr>
      <w:tr w:rsidR="00A046DD" w:rsidRPr="00532C20" w14:paraId="4BE2225E" w14:textId="77777777">
        <w:trPr>
          <w:trHeight w:val="20"/>
        </w:trPr>
        <w:tc>
          <w:tcPr>
            <w:tcW w:w="805" w:type="pct"/>
            <w:shd w:val="clear" w:color="auto" w:fill="D9D9D9"/>
            <w:noWrap/>
            <w:vAlign w:val="center"/>
            <w:hideMark/>
          </w:tcPr>
          <w:p w14:paraId="093809A7"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Netherlands</w:t>
            </w:r>
          </w:p>
        </w:tc>
        <w:tc>
          <w:tcPr>
            <w:tcW w:w="646" w:type="pct"/>
            <w:shd w:val="clear" w:color="auto" w:fill="auto"/>
            <w:noWrap/>
            <w:vAlign w:val="bottom"/>
          </w:tcPr>
          <w:p w14:paraId="45D70E6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5,439.20 </w:t>
            </w:r>
          </w:p>
        </w:tc>
        <w:tc>
          <w:tcPr>
            <w:tcW w:w="647" w:type="pct"/>
            <w:shd w:val="clear" w:color="auto" w:fill="auto"/>
            <w:noWrap/>
            <w:vAlign w:val="bottom"/>
          </w:tcPr>
          <w:p w14:paraId="665165B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2,623.80 </w:t>
            </w:r>
          </w:p>
        </w:tc>
        <w:tc>
          <w:tcPr>
            <w:tcW w:w="727" w:type="pct"/>
            <w:shd w:val="clear" w:color="auto" w:fill="auto"/>
            <w:noWrap/>
            <w:vAlign w:val="bottom"/>
          </w:tcPr>
          <w:p w14:paraId="5BB8939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13,598.00 </w:t>
            </w:r>
          </w:p>
        </w:tc>
        <w:tc>
          <w:tcPr>
            <w:tcW w:w="646" w:type="pct"/>
            <w:shd w:val="clear" w:color="auto" w:fill="auto"/>
            <w:noWrap/>
            <w:vAlign w:val="bottom"/>
          </w:tcPr>
          <w:p w14:paraId="530408B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6,559.50 </w:t>
            </w:r>
          </w:p>
        </w:tc>
        <w:tc>
          <w:tcPr>
            <w:tcW w:w="770" w:type="pct"/>
            <w:shd w:val="clear" w:color="auto" w:fill="auto"/>
            <w:noWrap/>
            <w:vAlign w:val="bottom"/>
          </w:tcPr>
          <w:p w14:paraId="5CCE1E2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32,635.19 </w:t>
            </w:r>
          </w:p>
        </w:tc>
        <w:tc>
          <w:tcPr>
            <w:tcW w:w="758" w:type="pct"/>
            <w:shd w:val="clear" w:color="auto" w:fill="auto"/>
            <w:noWrap/>
            <w:vAlign w:val="bottom"/>
          </w:tcPr>
          <w:p w14:paraId="6A68A72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15,742.80 </w:t>
            </w:r>
          </w:p>
        </w:tc>
      </w:tr>
      <w:tr w:rsidR="00A046DD" w:rsidRPr="00532C20" w14:paraId="0CC65A51" w14:textId="77777777">
        <w:trPr>
          <w:trHeight w:val="20"/>
        </w:trPr>
        <w:tc>
          <w:tcPr>
            <w:tcW w:w="805" w:type="pct"/>
            <w:shd w:val="clear" w:color="auto" w:fill="D9D9D9"/>
            <w:noWrap/>
            <w:vAlign w:val="center"/>
            <w:hideMark/>
          </w:tcPr>
          <w:p w14:paraId="3D4D52C1"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Poland</w:t>
            </w:r>
          </w:p>
        </w:tc>
        <w:tc>
          <w:tcPr>
            <w:tcW w:w="646" w:type="pct"/>
            <w:shd w:val="clear" w:color="auto" w:fill="auto"/>
            <w:noWrap/>
            <w:vAlign w:val="bottom"/>
          </w:tcPr>
          <w:p w14:paraId="5A6C917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2,629.37 </w:t>
            </w:r>
          </w:p>
        </w:tc>
        <w:tc>
          <w:tcPr>
            <w:tcW w:w="647" w:type="pct"/>
            <w:shd w:val="clear" w:color="auto" w:fill="auto"/>
            <w:noWrap/>
            <w:vAlign w:val="bottom"/>
          </w:tcPr>
          <w:p w14:paraId="1214D2B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1,090.84 </w:t>
            </w:r>
          </w:p>
        </w:tc>
        <w:tc>
          <w:tcPr>
            <w:tcW w:w="727" w:type="pct"/>
            <w:shd w:val="clear" w:color="auto" w:fill="auto"/>
            <w:noWrap/>
            <w:vAlign w:val="bottom"/>
          </w:tcPr>
          <w:p w14:paraId="43E4FD4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6,573.44 </w:t>
            </w:r>
          </w:p>
        </w:tc>
        <w:tc>
          <w:tcPr>
            <w:tcW w:w="646" w:type="pct"/>
            <w:shd w:val="clear" w:color="auto" w:fill="auto"/>
            <w:noWrap/>
            <w:vAlign w:val="bottom"/>
          </w:tcPr>
          <w:p w14:paraId="42D4EF6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2,727.10 </w:t>
            </w:r>
          </w:p>
        </w:tc>
        <w:tc>
          <w:tcPr>
            <w:tcW w:w="770" w:type="pct"/>
            <w:shd w:val="clear" w:color="auto" w:fill="auto"/>
            <w:noWrap/>
            <w:vAlign w:val="bottom"/>
          </w:tcPr>
          <w:p w14:paraId="7DF1D44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15,776.25 </w:t>
            </w:r>
          </w:p>
        </w:tc>
        <w:tc>
          <w:tcPr>
            <w:tcW w:w="758" w:type="pct"/>
            <w:shd w:val="clear" w:color="auto" w:fill="auto"/>
            <w:noWrap/>
            <w:vAlign w:val="bottom"/>
          </w:tcPr>
          <w:p w14:paraId="4169A40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6,545.03 </w:t>
            </w:r>
          </w:p>
        </w:tc>
      </w:tr>
      <w:tr w:rsidR="00A046DD" w:rsidRPr="00532C20" w14:paraId="2054B2E3" w14:textId="77777777">
        <w:trPr>
          <w:trHeight w:val="20"/>
        </w:trPr>
        <w:tc>
          <w:tcPr>
            <w:tcW w:w="805" w:type="pct"/>
            <w:shd w:val="clear" w:color="auto" w:fill="D9D9D9"/>
            <w:noWrap/>
            <w:vAlign w:val="center"/>
            <w:hideMark/>
          </w:tcPr>
          <w:p w14:paraId="30838AA0"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Portugal</w:t>
            </w:r>
          </w:p>
        </w:tc>
        <w:tc>
          <w:tcPr>
            <w:tcW w:w="646" w:type="pct"/>
            <w:shd w:val="clear" w:color="auto" w:fill="auto"/>
            <w:noWrap/>
            <w:vAlign w:val="bottom"/>
          </w:tcPr>
          <w:p w14:paraId="4169F49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4,141.43 </w:t>
            </w:r>
          </w:p>
        </w:tc>
        <w:tc>
          <w:tcPr>
            <w:tcW w:w="647" w:type="pct"/>
            <w:shd w:val="clear" w:color="auto" w:fill="auto"/>
            <w:noWrap/>
            <w:vAlign w:val="bottom"/>
          </w:tcPr>
          <w:p w14:paraId="18DA18B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1,402.05 </w:t>
            </w:r>
          </w:p>
        </w:tc>
        <w:tc>
          <w:tcPr>
            <w:tcW w:w="727" w:type="pct"/>
            <w:shd w:val="clear" w:color="auto" w:fill="auto"/>
            <w:noWrap/>
            <w:vAlign w:val="bottom"/>
          </w:tcPr>
          <w:p w14:paraId="01F394C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10,353.58 </w:t>
            </w:r>
          </w:p>
        </w:tc>
        <w:tc>
          <w:tcPr>
            <w:tcW w:w="646" w:type="pct"/>
            <w:shd w:val="clear" w:color="auto" w:fill="auto"/>
            <w:noWrap/>
            <w:vAlign w:val="bottom"/>
          </w:tcPr>
          <w:p w14:paraId="789F5DC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3,505.12 </w:t>
            </w:r>
          </w:p>
        </w:tc>
        <w:tc>
          <w:tcPr>
            <w:tcW w:w="770" w:type="pct"/>
            <w:shd w:val="clear" w:color="auto" w:fill="auto"/>
            <w:noWrap/>
            <w:vAlign w:val="bottom"/>
          </w:tcPr>
          <w:p w14:paraId="14DD59B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24,848.58 </w:t>
            </w:r>
          </w:p>
        </w:tc>
        <w:tc>
          <w:tcPr>
            <w:tcW w:w="758" w:type="pct"/>
            <w:shd w:val="clear" w:color="auto" w:fill="auto"/>
            <w:noWrap/>
            <w:vAlign w:val="bottom"/>
          </w:tcPr>
          <w:p w14:paraId="0AC7715D"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8,412.28 </w:t>
            </w:r>
          </w:p>
        </w:tc>
      </w:tr>
      <w:tr w:rsidR="00A046DD" w:rsidRPr="00532C20" w14:paraId="141A6663" w14:textId="77777777">
        <w:trPr>
          <w:trHeight w:val="20"/>
        </w:trPr>
        <w:tc>
          <w:tcPr>
            <w:tcW w:w="805" w:type="pct"/>
            <w:shd w:val="clear" w:color="auto" w:fill="D9D9D9"/>
            <w:noWrap/>
            <w:vAlign w:val="center"/>
            <w:hideMark/>
          </w:tcPr>
          <w:p w14:paraId="6C5F677C"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Romania</w:t>
            </w:r>
          </w:p>
        </w:tc>
        <w:tc>
          <w:tcPr>
            <w:tcW w:w="646" w:type="pct"/>
            <w:shd w:val="clear" w:color="auto" w:fill="auto"/>
            <w:noWrap/>
            <w:vAlign w:val="bottom"/>
          </w:tcPr>
          <w:p w14:paraId="2311E2A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1,953.51 </w:t>
            </w:r>
          </w:p>
        </w:tc>
        <w:tc>
          <w:tcPr>
            <w:tcW w:w="647" w:type="pct"/>
            <w:shd w:val="clear" w:color="auto" w:fill="auto"/>
            <w:noWrap/>
            <w:vAlign w:val="bottom"/>
          </w:tcPr>
          <w:p w14:paraId="0030FC0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785.63 </w:t>
            </w:r>
          </w:p>
        </w:tc>
        <w:tc>
          <w:tcPr>
            <w:tcW w:w="727" w:type="pct"/>
            <w:shd w:val="clear" w:color="auto" w:fill="auto"/>
            <w:noWrap/>
            <w:vAlign w:val="bottom"/>
          </w:tcPr>
          <w:p w14:paraId="72409C4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4,883.78 </w:t>
            </w:r>
          </w:p>
        </w:tc>
        <w:tc>
          <w:tcPr>
            <w:tcW w:w="646" w:type="pct"/>
            <w:shd w:val="clear" w:color="auto" w:fill="auto"/>
            <w:noWrap/>
            <w:vAlign w:val="bottom"/>
          </w:tcPr>
          <w:p w14:paraId="33B97CC3"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1,964.08 </w:t>
            </w:r>
          </w:p>
        </w:tc>
        <w:tc>
          <w:tcPr>
            <w:tcW w:w="770" w:type="pct"/>
            <w:shd w:val="clear" w:color="auto" w:fill="auto"/>
            <w:noWrap/>
            <w:vAlign w:val="bottom"/>
          </w:tcPr>
          <w:p w14:paraId="6DF402A7"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11,721.08 </w:t>
            </w:r>
          </w:p>
        </w:tc>
        <w:tc>
          <w:tcPr>
            <w:tcW w:w="758" w:type="pct"/>
            <w:shd w:val="clear" w:color="auto" w:fill="auto"/>
            <w:noWrap/>
            <w:vAlign w:val="bottom"/>
          </w:tcPr>
          <w:p w14:paraId="4516BB4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4,713.79 </w:t>
            </w:r>
          </w:p>
        </w:tc>
      </w:tr>
      <w:tr w:rsidR="00A046DD" w:rsidRPr="00532C20" w14:paraId="032F01E9" w14:textId="77777777">
        <w:trPr>
          <w:trHeight w:val="20"/>
        </w:trPr>
        <w:tc>
          <w:tcPr>
            <w:tcW w:w="805" w:type="pct"/>
            <w:shd w:val="clear" w:color="auto" w:fill="D9D9D9"/>
            <w:noWrap/>
            <w:vAlign w:val="center"/>
            <w:hideMark/>
          </w:tcPr>
          <w:p w14:paraId="53D6992A"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Slovakia</w:t>
            </w:r>
          </w:p>
        </w:tc>
        <w:tc>
          <w:tcPr>
            <w:tcW w:w="646" w:type="pct"/>
            <w:shd w:val="clear" w:color="auto" w:fill="auto"/>
            <w:noWrap/>
            <w:vAlign w:val="bottom"/>
          </w:tcPr>
          <w:p w14:paraId="6ABEB8B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888.66 </w:t>
            </w:r>
          </w:p>
        </w:tc>
        <w:tc>
          <w:tcPr>
            <w:tcW w:w="647" w:type="pct"/>
            <w:shd w:val="clear" w:color="auto" w:fill="auto"/>
            <w:noWrap/>
            <w:vAlign w:val="bottom"/>
          </w:tcPr>
          <w:p w14:paraId="31C26515"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392.66 </w:t>
            </w:r>
          </w:p>
        </w:tc>
        <w:tc>
          <w:tcPr>
            <w:tcW w:w="727" w:type="pct"/>
            <w:shd w:val="clear" w:color="auto" w:fill="auto"/>
            <w:noWrap/>
            <w:vAlign w:val="bottom"/>
          </w:tcPr>
          <w:p w14:paraId="09ACAD7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2,221.64 </w:t>
            </w:r>
          </w:p>
        </w:tc>
        <w:tc>
          <w:tcPr>
            <w:tcW w:w="646" w:type="pct"/>
            <w:shd w:val="clear" w:color="auto" w:fill="auto"/>
            <w:noWrap/>
            <w:vAlign w:val="bottom"/>
          </w:tcPr>
          <w:p w14:paraId="4087C27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981.66 </w:t>
            </w:r>
          </w:p>
        </w:tc>
        <w:tc>
          <w:tcPr>
            <w:tcW w:w="770" w:type="pct"/>
            <w:shd w:val="clear" w:color="auto" w:fill="auto"/>
            <w:noWrap/>
            <w:vAlign w:val="bottom"/>
          </w:tcPr>
          <w:p w14:paraId="333B277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5,331.94 </w:t>
            </w:r>
          </w:p>
        </w:tc>
        <w:tc>
          <w:tcPr>
            <w:tcW w:w="758" w:type="pct"/>
            <w:shd w:val="clear" w:color="auto" w:fill="auto"/>
            <w:noWrap/>
            <w:vAlign w:val="bottom"/>
          </w:tcPr>
          <w:p w14:paraId="7F65E5D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2,355.97 </w:t>
            </w:r>
          </w:p>
        </w:tc>
      </w:tr>
      <w:tr w:rsidR="00A046DD" w:rsidRPr="00532C20" w14:paraId="5A137CBB" w14:textId="77777777">
        <w:trPr>
          <w:trHeight w:val="20"/>
        </w:trPr>
        <w:tc>
          <w:tcPr>
            <w:tcW w:w="805" w:type="pct"/>
            <w:shd w:val="clear" w:color="auto" w:fill="D9D9D9"/>
            <w:noWrap/>
            <w:vAlign w:val="center"/>
            <w:hideMark/>
          </w:tcPr>
          <w:p w14:paraId="3D68FFEB"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Slovenia</w:t>
            </w:r>
          </w:p>
        </w:tc>
        <w:tc>
          <w:tcPr>
            <w:tcW w:w="646" w:type="pct"/>
            <w:shd w:val="clear" w:color="auto" w:fill="auto"/>
            <w:noWrap/>
            <w:vAlign w:val="bottom"/>
          </w:tcPr>
          <w:p w14:paraId="002E9DA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1,623.75 </w:t>
            </w:r>
          </w:p>
        </w:tc>
        <w:tc>
          <w:tcPr>
            <w:tcW w:w="647" w:type="pct"/>
            <w:shd w:val="clear" w:color="auto" w:fill="auto"/>
            <w:noWrap/>
            <w:vAlign w:val="bottom"/>
          </w:tcPr>
          <w:p w14:paraId="17632B39"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685.78 </w:t>
            </w:r>
          </w:p>
        </w:tc>
        <w:tc>
          <w:tcPr>
            <w:tcW w:w="727" w:type="pct"/>
            <w:shd w:val="clear" w:color="auto" w:fill="auto"/>
            <w:noWrap/>
            <w:vAlign w:val="bottom"/>
          </w:tcPr>
          <w:p w14:paraId="527DE07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4,059.37 </w:t>
            </w:r>
          </w:p>
        </w:tc>
        <w:tc>
          <w:tcPr>
            <w:tcW w:w="646" w:type="pct"/>
            <w:shd w:val="clear" w:color="auto" w:fill="auto"/>
            <w:noWrap/>
            <w:vAlign w:val="bottom"/>
          </w:tcPr>
          <w:p w14:paraId="4219AE6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1,714.44 </w:t>
            </w:r>
          </w:p>
        </w:tc>
        <w:tc>
          <w:tcPr>
            <w:tcW w:w="770" w:type="pct"/>
            <w:shd w:val="clear" w:color="auto" w:fill="auto"/>
            <w:noWrap/>
            <w:vAlign w:val="bottom"/>
          </w:tcPr>
          <w:p w14:paraId="6E454C2F"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9,742.49 </w:t>
            </w:r>
          </w:p>
        </w:tc>
        <w:tc>
          <w:tcPr>
            <w:tcW w:w="758" w:type="pct"/>
            <w:shd w:val="clear" w:color="auto" w:fill="auto"/>
            <w:noWrap/>
            <w:vAlign w:val="bottom"/>
          </w:tcPr>
          <w:p w14:paraId="738896F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4,114.66 </w:t>
            </w:r>
          </w:p>
        </w:tc>
      </w:tr>
      <w:tr w:rsidR="00A046DD" w:rsidRPr="00532C20" w14:paraId="1055FD93" w14:textId="77777777">
        <w:trPr>
          <w:trHeight w:val="20"/>
        </w:trPr>
        <w:tc>
          <w:tcPr>
            <w:tcW w:w="805" w:type="pct"/>
            <w:shd w:val="clear" w:color="auto" w:fill="D9D9D9"/>
            <w:noWrap/>
            <w:vAlign w:val="center"/>
            <w:hideMark/>
          </w:tcPr>
          <w:p w14:paraId="38A50267"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Spain</w:t>
            </w:r>
          </w:p>
        </w:tc>
        <w:tc>
          <w:tcPr>
            <w:tcW w:w="646" w:type="pct"/>
            <w:shd w:val="clear" w:color="auto" w:fill="auto"/>
            <w:noWrap/>
            <w:vAlign w:val="bottom"/>
          </w:tcPr>
          <w:p w14:paraId="2D59F58C"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8,326.99 </w:t>
            </w:r>
          </w:p>
        </w:tc>
        <w:tc>
          <w:tcPr>
            <w:tcW w:w="647" w:type="pct"/>
            <w:shd w:val="clear" w:color="auto" w:fill="auto"/>
            <w:noWrap/>
            <w:vAlign w:val="bottom"/>
          </w:tcPr>
          <w:p w14:paraId="6F2DC450"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3,713.02 </w:t>
            </w:r>
          </w:p>
        </w:tc>
        <w:tc>
          <w:tcPr>
            <w:tcW w:w="727" w:type="pct"/>
            <w:shd w:val="clear" w:color="auto" w:fill="auto"/>
            <w:noWrap/>
            <w:vAlign w:val="bottom"/>
          </w:tcPr>
          <w:p w14:paraId="49D123B4"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20,817.48 </w:t>
            </w:r>
          </w:p>
        </w:tc>
        <w:tc>
          <w:tcPr>
            <w:tcW w:w="646" w:type="pct"/>
            <w:shd w:val="clear" w:color="auto" w:fill="auto"/>
            <w:noWrap/>
            <w:vAlign w:val="bottom"/>
          </w:tcPr>
          <w:p w14:paraId="775386EE"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9,282.55 </w:t>
            </w:r>
          </w:p>
        </w:tc>
        <w:tc>
          <w:tcPr>
            <w:tcW w:w="770" w:type="pct"/>
            <w:shd w:val="clear" w:color="auto" w:fill="auto"/>
            <w:noWrap/>
            <w:vAlign w:val="bottom"/>
          </w:tcPr>
          <w:p w14:paraId="5A6C50C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49,961.95 </w:t>
            </w:r>
          </w:p>
        </w:tc>
        <w:tc>
          <w:tcPr>
            <w:tcW w:w="758" w:type="pct"/>
            <w:shd w:val="clear" w:color="auto" w:fill="auto"/>
            <w:noWrap/>
            <w:vAlign w:val="bottom"/>
          </w:tcPr>
          <w:p w14:paraId="0864712A"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22,278.12 </w:t>
            </w:r>
          </w:p>
        </w:tc>
      </w:tr>
      <w:tr w:rsidR="00A046DD" w:rsidRPr="00532C20" w14:paraId="30737E04" w14:textId="77777777">
        <w:trPr>
          <w:trHeight w:val="20"/>
        </w:trPr>
        <w:tc>
          <w:tcPr>
            <w:tcW w:w="805" w:type="pct"/>
            <w:shd w:val="clear" w:color="auto" w:fill="D9D9D9"/>
            <w:noWrap/>
            <w:vAlign w:val="center"/>
            <w:hideMark/>
          </w:tcPr>
          <w:p w14:paraId="4DEDB569" w14:textId="77777777" w:rsidR="00A046DD" w:rsidRPr="00532C20" w:rsidRDefault="00A046DD" w:rsidP="00A046DD">
            <w:pPr>
              <w:spacing w:after="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Sweden</w:t>
            </w:r>
          </w:p>
        </w:tc>
        <w:tc>
          <w:tcPr>
            <w:tcW w:w="646" w:type="pct"/>
            <w:shd w:val="clear" w:color="auto" w:fill="auto"/>
            <w:noWrap/>
            <w:vAlign w:val="bottom"/>
          </w:tcPr>
          <w:p w14:paraId="33556226"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13,080.74 </w:t>
            </w:r>
          </w:p>
        </w:tc>
        <w:tc>
          <w:tcPr>
            <w:tcW w:w="647" w:type="pct"/>
            <w:shd w:val="clear" w:color="auto" w:fill="auto"/>
            <w:noWrap/>
            <w:vAlign w:val="bottom"/>
          </w:tcPr>
          <w:p w14:paraId="6DA31FF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6,465.68 </w:t>
            </w:r>
          </w:p>
        </w:tc>
        <w:tc>
          <w:tcPr>
            <w:tcW w:w="727" w:type="pct"/>
            <w:shd w:val="clear" w:color="auto" w:fill="auto"/>
            <w:noWrap/>
            <w:vAlign w:val="bottom"/>
          </w:tcPr>
          <w:p w14:paraId="260D867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32,701.86 </w:t>
            </w:r>
          </w:p>
        </w:tc>
        <w:tc>
          <w:tcPr>
            <w:tcW w:w="646" w:type="pct"/>
            <w:shd w:val="clear" w:color="auto" w:fill="auto"/>
            <w:noWrap/>
            <w:vAlign w:val="bottom"/>
          </w:tcPr>
          <w:p w14:paraId="6FEB7CE2"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16,164.20 </w:t>
            </w:r>
          </w:p>
        </w:tc>
        <w:tc>
          <w:tcPr>
            <w:tcW w:w="770" w:type="pct"/>
            <w:shd w:val="clear" w:color="auto" w:fill="auto"/>
            <w:noWrap/>
            <w:vAlign w:val="bottom"/>
          </w:tcPr>
          <w:p w14:paraId="3822D028"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78,484.45 </w:t>
            </w:r>
          </w:p>
        </w:tc>
        <w:tc>
          <w:tcPr>
            <w:tcW w:w="758" w:type="pct"/>
            <w:shd w:val="clear" w:color="auto" w:fill="auto"/>
            <w:noWrap/>
            <w:vAlign w:val="bottom"/>
          </w:tcPr>
          <w:p w14:paraId="2A98514B" w14:textId="77777777" w:rsidR="00A046DD" w:rsidRPr="00532C20" w:rsidRDefault="00A046DD" w:rsidP="00A046DD">
            <w:pPr>
              <w:spacing w:after="0" w:line="240" w:lineRule="auto"/>
              <w:jc w:val="right"/>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38,794.07 </w:t>
            </w:r>
          </w:p>
        </w:tc>
      </w:tr>
      <w:tr w:rsidR="00A046DD" w:rsidRPr="00532C20" w14:paraId="3E64C7A4" w14:textId="77777777">
        <w:trPr>
          <w:trHeight w:val="20"/>
        </w:trPr>
        <w:tc>
          <w:tcPr>
            <w:tcW w:w="805" w:type="pct"/>
            <w:shd w:val="clear" w:color="auto" w:fill="0C4DA2"/>
            <w:noWrap/>
            <w:vAlign w:val="center"/>
            <w:hideMark/>
          </w:tcPr>
          <w:p w14:paraId="59B63C23" w14:textId="77777777" w:rsidR="00A046DD" w:rsidRPr="00313F32" w:rsidRDefault="00A046DD" w:rsidP="00A046DD">
            <w:pPr>
              <w:spacing w:after="0" w:line="240" w:lineRule="auto"/>
              <w:jc w:val="both"/>
              <w:rPr>
                <w:rFonts w:ascii="Times New Roman" w:eastAsia="Times New Roman" w:hAnsi="Times New Roman" w:cs="Times New Roman"/>
                <w:b/>
                <w:noProof/>
                <w:color w:val="FFFFFF" w:themeColor="background1"/>
                <w:sz w:val="24"/>
                <w:szCs w:val="24"/>
              </w:rPr>
            </w:pPr>
            <w:r w:rsidRPr="00313F32">
              <w:rPr>
                <w:rFonts w:ascii="Times New Roman" w:eastAsia="Times New Roman" w:hAnsi="Times New Roman" w:cs="Times New Roman"/>
                <w:b/>
                <w:noProof/>
                <w:color w:val="FFFFFF" w:themeColor="background1"/>
                <w:sz w:val="24"/>
                <w:szCs w:val="24"/>
              </w:rPr>
              <w:t>Total per category:</w:t>
            </w:r>
          </w:p>
        </w:tc>
        <w:tc>
          <w:tcPr>
            <w:tcW w:w="646" w:type="pct"/>
            <w:shd w:val="clear" w:color="auto" w:fill="D9D9D9"/>
            <w:noWrap/>
            <w:vAlign w:val="center"/>
          </w:tcPr>
          <w:p w14:paraId="3F2DFF01"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416,130.82</w:t>
            </w:r>
          </w:p>
        </w:tc>
        <w:tc>
          <w:tcPr>
            <w:tcW w:w="647" w:type="pct"/>
            <w:shd w:val="clear" w:color="auto" w:fill="D9D9D9"/>
            <w:noWrap/>
            <w:vAlign w:val="center"/>
          </w:tcPr>
          <w:p w14:paraId="629C9F9B"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173,890.23</w:t>
            </w:r>
          </w:p>
        </w:tc>
        <w:tc>
          <w:tcPr>
            <w:tcW w:w="727" w:type="pct"/>
            <w:shd w:val="clear" w:color="auto" w:fill="D9D9D9"/>
            <w:noWrap/>
            <w:vAlign w:val="center"/>
          </w:tcPr>
          <w:p w14:paraId="2DA3D9C6"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1,040,327.06</w:t>
            </w:r>
          </w:p>
        </w:tc>
        <w:tc>
          <w:tcPr>
            <w:tcW w:w="646" w:type="pct"/>
            <w:shd w:val="clear" w:color="auto" w:fill="D9D9D9"/>
            <w:noWrap/>
            <w:vAlign w:val="center"/>
          </w:tcPr>
          <w:p w14:paraId="01E639F4"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434,725.57</w:t>
            </w:r>
          </w:p>
        </w:tc>
        <w:tc>
          <w:tcPr>
            <w:tcW w:w="770" w:type="pct"/>
            <w:shd w:val="clear" w:color="auto" w:fill="D9D9D9"/>
            <w:noWrap/>
            <w:vAlign w:val="center"/>
          </w:tcPr>
          <w:p w14:paraId="784A01E1"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2,496,784.94</w:t>
            </w:r>
          </w:p>
        </w:tc>
        <w:tc>
          <w:tcPr>
            <w:tcW w:w="758" w:type="pct"/>
            <w:shd w:val="clear" w:color="auto" w:fill="D9D9D9"/>
            <w:noWrap/>
            <w:vAlign w:val="center"/>
          </w:tcPr>
          <w:p w14:paraId="4A371671"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1,043,341.36</w:t>
            </w:r>
          </w:p>
        </w:tc>
      </w:tr>
      <w:tr w:rsidR="00A046DD" w:rsidRPr="00532C20" w14:paraId="09AE2327" w14:textId="77777777">
        <w:trPr>
          <w:trHeight w:val="20"/>
        </w:trPr>
        <w:tc>
          <w:tcPr>
            <w:tcW w:w="805" w:type="pct"/>
            <w:shd w:val="clear" w:color="auto" w:fill="0C4DA2"/>
            <w:noWrap/>
            <w:vAlign w:val="center"/>
            <w:hideMark/>
          </w:tcPr>
          <w:p w14:paraId="3B4BA935" w14:textId="77777777" w:rsidR="00A046DD" w:rsidRPr="00313F32" w:rsidRDefault="00A046DD" w:rsidP="00A046DD">
            <w:pPr>
              <w:spacing w:after="0" w:line="240" w:lineRule="auto"/>
              <w:jc w:val="both"/>
              <w:rPr>
                <w:rFonts w:ascii="Times New Roman" w:eastAsia="Times New Roman" w:hAnsi="Times New Roman" w:cs="Times New Roman"/>
                <w:b/>
                <w:noProof/>
                <w:color w:val="FFFFFF" w:themeColor="background1"/>
                <w:sz w:val="24"/>
                <w:szCs w:val="24"/>
              </w:rPr>
            </w:pPr>
            <w:r w:rsidRPr="00313F32">
              <w:rPr>
                <w:rFonts w:ascii="Times New Roman" w:eastAsia="Times New Roman" w:hAnsi="Times New Roman" w:cs="Times New Roman"/>
                <w:b/>
                <w:noProof/>
                <w:color w:val="FFFFFF" w:themeColor="background1"/>
                <w:sz w:val="24"/>
                <w:szCs w:val="24"/>
              </w:rPr>
              <w:t>Total cost:</w:t>
            </w:r>
          </w:p>
        </w:tc>
        <w:tc>
          <w:tcPr>
            <w:tcW w:w="1293" w:type="pct"/>
            <w:gridSpan w:val="2"/>
            <w:shd w:val="clear" w:color="auto" w:fill="D9D9D9"/>
            <w:noWrap/>
            <w:vAlign w:val="center"/>
          </w:tcPr>
          <w:p w14:paraId="60A72CCB"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590,021.05</w:t>
            </w:r>
          </w:p>
        </w:tc>
        <w:tc>
          <w:tcPr>
            <w:tcW w:w="1373" w:type="pct"/>
            <w:gridSpan w:val="2"/>
            <w:shd w:val="clear" w:color="auto" w:fill="D9D9D9"/>
            <w:noWrap/>
            <w:vAlign w:val="center"/>
          </w:tcPr>
          <w:p w14:paraId="086E6016"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1,475,052.63</w:t>
            </w:r>
          </w:p>
        </w:tc>
        <w:tc>
          <w:tcPr>
            <w:tcW w:w="1528" w:type="pct"/>
            <w:gridSpan w:val="2"/>
            <w:shd w:val="clear" w:color="auto" w:fill="D9D9D9"/>
            <w:noWrap/>
            <w:vAlign w:val="center"/>
          </w:tcPr>
          <w:p w14:paraId="0D68D488" w14:textId="77777777" w:rsidR="00A046DD" w:rsidRPr="00532C20" w:rsidRDefault="00A046DD" w:rsidP="00A046DD">
            <w:pPr>
              <w:spacing w:after="0" w:line="240" w:lineRule="auto"/>
              <w:jc w:val="right"/>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3,540,126.31</w:t>
            </w:r>
          </w:p>
        </w:tc>
      </w:tr>
    </w:tbl>
    <w:p w14:paraId="7887360D" w14:textId="7E01FBDA"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Moreover, in line with the above considerations, it is assumed that the size of the entity impacts the scale of the effort required to conduct the required annual information disclosure tasks. The data on full-time equivalents (FTE) working on interest representation activities from the EU Transparency Register illustrates that, while the number of reported FTEs reaches a maximum of 85.5 FTEs and a total of 17,882 FTEs, the mean (2 FTEs), median (1 FTE) and mode (0.25 FTEs) are all significantly lower. On this basis, tailored definitions for micro / small (&lt;10 FTEs), medium (10-19 FTEs) and large (&gt;=20 FTEs) entities </w:t>
      </w:r>
      <w:r w:rsidR="00E447F1">
        <w:rPr>
          <w:rFonts w:ascii="Times New Roman" w:eastAsia="Times New Roman" w:hAnsi="Times New Roman" w:cs="Times New Roman"/>
          <w:noProof/>
          <w:sz w:val="24"/>
          <w:szCs w:val="24"/>
        </w:rPr>
        <w:t xml:space="preserve">were assumed </w:t>
      </w:r>
      <w:r w:rsidRPr="00532C20">
        <w:rPr>
          <w:rFonts w:ascii="Times New Roman" w:eastAsia="Times New Roman" w:hAnsi="Times New Roman" w:cs="Times New Roman"/>
          <w:noProof/>
          <w:sz w:val="24"/>
          <w:szCs w:val="24"/>
        </w:rPr>
        <w:t xml:space="preserve">in this context. The data are presented in the below table. </w:t>
      </w:r>
    </w:p>
    <w:p w14:paraId="76319B56" w14:textId="2B4B00A6"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27</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Estimated number of entities per size class (EU Transparency Register)</w:t>
      </w:r>
    </w:p>
    <w:tbl>
      <w:tblPr>
        <w:tblStyle w:val="12uCharChar1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2720"/>
        <w:gridCol w:w="2720"/>
      </w:tblGrid>
      <w:tr w:rsidR="00A046DD" w:rsidRPr="00532C20" w14:paraId="6A6EF5C5" w14:textId="77777777">
        <w:trPr>
          <w:cnfStyle w:val="100000000000" w:firstRow="1" w:lastRow="0" w:firstColumn="0" w:lastColumn="0" w:oddVBand="0" w:evenVBand="0" w:oddHBand="0" w:evenHBand="0" w:firstRowFirstColumn="0" w:firstRowLastColumn="0" w:lastRowFirstColumn="0" w:lastRowLastColumn="0"/>
          <w:trHeight w:val="20"/>
        </w:trPr>
        <w:tc>
          <w:tcPr>
            <w:tcW w:w="1840" w:type="pct"/>
            <w:shd w:val="clear" w:color="auto" w:fill="002060"/>
          </w:tcPr>
          <w:p w14:paraId="682133F1" w14:textId="77777777" w:rsidR="00A046DD" w:rsidRPr="00532C20" w:rsidRDefault="00A046DD" w:rsidP="00A046DD">
            <w:pPr>
              <w:rPr>
                <w:rFonts w:ascii="Times New Roman" w:eastAsia="Times" w:hAnsi="Times New Roman" w:cs="Times"/>
                <w:b/>
                <w:noProof/>
                <w:color w:val="auto"/>
                <w:sz w:val="24"/>
                <w:szCs w:val="24"/>
                <w:lang w:val="en-GB"/>
              </w:rPr>
            </w:pPr>
            <w:r w:rsidRPr="00532C20">
              <w:rPr>
                <w:rFonts w:ascii="Times New Roman" w:eastAsia="Times" w:hAnsi="Times New Roman" w:cs="Times"/>
                <w:b/>
                <w:noProof/>
                <w:sz w:val="24"/>
                <w:szCs w:val="24"/>
                <w:lang w:val="fr-FR"/>
              </w:rPr>
              <w:t>Size classification &amp; rationale</w:t>
            </w:r>
          </w:p>
        </w:tc>
        <w:tc>
          <w:tcPr>
            <w:tcW w:w="1580" w:type="pct"/>
            <w:shd w:val="clear" w:color="auto" w:fill="002060"/>
            <w:vAlign w:val="center"/>
          </w:tcPr>
          <w:p w14:paraId="5CD28E93" w14:textId="77777777" w:rsidR="00A046DD" w:rsidRPr="00532C20" w:rsidRDefault="00A046DD" w:rsidP="00A046DD">
            <w:pPr>
              <w:jc w:val="center"/>
              <w:rPr>
                <w:rFonts w:ascii="Times New Roman" w:eastAsia="Times" w:hAnsi="Times New Roman" w:cs="Times"/>
                <w:b/>
                <w:noProof/>
                <w:color w:val="auto"/>
                <w:sz w:val="24"/>
                <w:szCs w:val="24"/>
                <w:lang w:val="en-GB"/>
              </w:rPr>
            </w:pPr>
            <w:r w:rsidRPr="00532C20">
              <w:rPr>
                <w:rFonts w:ascii="Times New Roman" w:eastAsia="Times" w:hAnsi="Times New Roman" w:cs="Times"/>
                <w:b/>
                <w:noProof/>
                <w:sz w:val="24"/>
                <w:szCs w:val="24"/>
                <w:lang w:val="fr-FR"/>
              </w:rPr>
              <w:t>Number of entities</w:t>
            </w:r>
          </w:p>
        </w:tc>
        <w:tc>
          <w:tcPr>
            <w:tcW w:w="1580" w:type="pct"/>
            <w:shd w:val="clear" w:color="auto" w:fill="002060"/>
            <w:vAlign w:val="center"/>
          </w:tcPr>
          <w:p w14:paraId="14B47812" w14:textId="77777777" w:rsidR="00A046DD" w:rsidRPr="00532C20" w:rsidRDefault="00A046DD" w:rsidP="00A046DD">
            <w:pPr>
              <w:jc w:val="center"/>
              <w:rPr>
                <w:rFonts w:ascii="Times New Roman" w:eastAsia="Times" w:hAnsi="Times New Roman" w:cs="Times"/>
                <w:b/>
                <w:noProof/>
                <w:color w:val="auto"/>
                <w:sz w:val="24"/>
                <w:szCs w:val="24"/>
                <w:lang w:val="en-GB"/>
              </w:rPr>
            </w:pPr>
            <w:r w:rsidRPr="00532C20">
              <w:rPr>
                <w:rFonts w:ascii="Times New Roman" w:eastAsia="Times" w:hAnsi="Times New Roman" w:cs="Times"/>
                <w:b/>
                <w:noProof/>
                <w:sz w:val="24"/>
                <w:szCs w:val="24"/>
                <w:lang w:val="fr-FR"/>
              </w:rPr>
              <w:t>Percentage of entities</w:t>
            </w:r>
          </w:p>
        </w:tc>
      </w:tr>
      <w:tr w:rsidR="00A046DD" w:rsidRPr="00532C20" w14:paraId="7688C15F" w14:textId="77777777">
        <w:trPr>
          <w:trHeight w:val="20"/>
        </w:trPr>
        <w:tc>
          <w:tcPr>
            <w:tcW w:w="1840" w:type="pct"/>
            <w:shd w:val="clear" w:color="auto" w:fill="D9D9D9"/>
          </w:tcPr>
          <w:p w14:paraId="3DD77F5A"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fr-FR"/>
              </w:rPr>
              <w:t>Micro / Small (&lt;10 FTEs)</w:t>
            </w:r>
          </w:p>
        </w:tc>
        <w:tc>
          <w:tcPr>
            <w:tcW w:w="1580" w:type="pct"/>
            <w:shd w:val="clear" w:color="auto" w:fill="FFFFFF"/>
          </w:tcPr>
          <w:p w14:paraId="0F3D720B"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8,562</w:t>
            </w:r>
          </w:p>
        </w:tc>
        <w:tc>
          <w:tcPr>
            <w:tcW w:w="1580" w:type="pct"/>
            <w:shd w:val="clear" w:color="auto" w:fill="FFFFFF"/>
          </w:tcPr>
          <w:p w14:paraId="434CDB60"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97.3%</w:t>
            </w:r>
          </w:p>
        </w:tc>
      </w:tr>
      <w:tr w:rsidR="00A046DD" w:rsidRPr="00532C20" w14:paraId="57A8070C" w14:textId="77777777">
        <w:trPr>
          <w:trHeight w:val="20"/>
        </w:trPr>
        <w:tc>
          <w:tcPr>
            <w:tcW w:w="1840" w:type="pct"/>
            <w:shd w:val="clear" w:color="auto" w:fill="D9D9D9"/>
          </w:tcPr>
          <w:p w14:paraId="776F4EFF"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fr-FR"/>
              </w:rPr>
              <w:t>Medium (10-19 FTEs)</w:t>
            </w:r>
          </w:p>
        </w:tc>
        <w:tc>
          <w:tcPr>
            <w:tcW w:w="1580" w:type="pct"/>
            <w:shd w:val="clear" w:color="auto" w:fill="FFFFFF"/>
          </w:tcPr>
          <w:p w14:paraId="043685A6"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175</w:t>
            </w:r>
          </w:p>
        </w:tc>
        <w:tc>
          <w:tcPr>
            <w:tcW w:w="1580" w:type="pct"/>
            <w:shd w:val="clear" w:color="auto" w:fill="FFFFFF"/>
          </w:tcPr>
          <w:p w14:paraId="3AB1F245"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2.0%</w:t>
            </w:r>
          </w:p>
        </w:tc>
      </w:tr>
      <w:tr w:rsidR="00A046DD" w:rsidRPr="00532C20" w14:paraId="07E6AD53" w14:textId="77777777">
        <w:trPr>
          <w:trHeight w:val="20"/>
        </w:trPr>
        <w:tc>
          <w:tcPr>
            <w:tcW w:w="1840" w:type="pct"/>
            <w:shd w:val="clear" w:color="auto" w:fill="D9D9D9"/>
          </w:tcPr>
          <w:p w14:paraId="64234A39"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fr-FR"/>
              </w:rPr>
              <w:t>Large (&gt;=20 FTEs)</w:t>
            </w:r>
          </w:p>
        </w:tc>
        <w:tc>
          <w:tcPr>
            <w:tcW w:w="1580" w:type="pct"/>
            <w:shd w:val="clear" w:color="auto" w:fill="FFFFFF"/>
          </w:tcPr>
          <w:p w14:paraId="38E35801"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59</w:t>
            </w:r>
          </w:p>
        </w:tc>
        <w:tc>
          <w:tcPr>
            <w:tcW w:w="1580" w:type="pct"/>
            <w:shd w:val="clear" w:color="auto" w:fill="FFFFFF"/>
          </w:tcPr>
          <w:p w14:paraId="04B3FC67"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imes"/>
                <w:noProof/>
                <w:sz w:val="24"/>
                <w:szCs w:val="24"/>
                <w:lang w:val="fr-FR"/>
              </w:rPr>
              <w:t>0.7%</w:t>
            </w:r>
          </w:p>
        </w:tc>
      </w:tr>
      <w:tr w:rsidR="00A046DD" w:rsidRPr="00532C20" w14:paraId="1FF58FE9" w14:textId="77777777">
        <w:trPr>
          <w:trHeight w:val="20"/>
        </w:trPr>
        <w:tc>
          <w:tcPr>
            <w:tcW w:w="1840" w:type="pct"/>
            <w:shd w:val="clear" w:color="auto" w:fill="0C4DA2"/>
          </w:tcPr>
          <w:p w14:paraId="3793FB94" w14:textId="77777777" w:rsidR="00A046DD" w:rsidRPr="00532C20" w:rsidRDefault="00A046DD" w:rsidP="00A046DD">
            <w:pPr>
              <w:rPr>
                <w:rFonts w:ascii="Times New Roman" w:eastAsia="Times" w:hAnsi="Times New Roman" w:cs="Times"/>
                <w:b/>
                <w:noProof/>
                <w:color w:val="FFFFFF"/>
                <w:sz w:val="24"/>
                <w:szCs w:val="24"/>
                <w:lang w:val="en-GB"/>
              </w:rPr>
            </w:pPr>
            <w:r w:rsidRPr="00532C20">
              <w:rPr>
                <w:rFonts w:ascii="Times New Roman" w:eastAsia="Times" w:hAnsi="Times New Roman" w:cs="Times"/>
                <w:b/>
                <w:noProof/>
                <w:color w:val="FFFFFF"/>
                <w:sz w:val="24"/>
                <w:szCs w:val="24"/>
                <w:lang w:val="fr-FR"/>
              </w:rPr>
              <w:t>Total</w:t>
            </w:r>
          </w:p>
        </w:tc>
        <w:tc>
          <w:tcPr>
            <w:tcW w:w="1580" w:type="pct"/>
            <w:shd w:val="clear" w:color="auto" w:fill="0C4DA2"/>
          </w:tcPr>
          <w:p w14:paraId="43273FF9" w14:textId="77777777" w:rsidR="00A046DD" w:rsidRPr="00532C20" w:rsidRDefault="00A046DD" w:rsidP="00A046DD">
            <w:pPr>
              <w:jc w:val="right"/>
              <w:rPr>
                <w:rFonts w:ascii="Times New Roman" w:eastAsia="Times" w:hAnsi="Times New Roman" w:cs="Times"/>
                <w:b/>
                <w:noProof/>
                <w:color w:val="FFFFFF"/>
                <w:sz w:val="24"/>
                <w:szCs w:val="24"/>
                <w:lang w:val="en-GB"/>
              </w:rPr>
            </w:pPr>
            <w:r w:rsidRPr="00532C20">
              <w:rPr>
                <w:rFonts w:ascii="Times New Roman" w:eastAsia="Times" w:hAnsi="Times New Roman" w:cs="Times"/>
                <w:b/>
                <w:noProof/>
                <w:color w:val="FFFFFF"/>
                <w:sz w:val="24"/>
                <w:szCs w:val="24"/>
                <w:lang w:val="fr-FR"/>
              </w:rPr>
              <w:t>8,796</w:t>
            </w:r>
          </w:p>
        </w:tc>
        <w:tc>
          <w:tcPr>
            <w:tcW w:w="1580" w:type="pct"/>
            <w:shd w:val="clear" w:color="auto" w:fill="0C4DA2"/>
          </w:tcPr>
          <w:p w14:paraId="53CDF9D0" w14:textId="77777777" w:rsidR="00A046DD" w:rsidRPr="00532C20" w:rsidRDefault="00A046DD" w:rsidP="00A046DD">
            <w:pPr>
              <w:jc w:val="right"/>
              <w:rPr>
                <w:rFonts w:ascii="Times New Roman" w:eastAsia="Times" w:hAnsi="Times New Roman" w:cs="Times"/>
                <w:b/>
                <w:noProof/>
                <w:color w:val="FFFFFF"/>
                <w:sz w:val="24"/>
                <w:szCs w:val="24"/>
                <w:lang w:val="en-GB"/>
              </w:rPr>
            </w:pPr>
            <w:r w:rsidRPr="00532C20">
              <w:rPr>
                <w:rFonts w:ascii="Times New Roman" w:eastAsia="Times" w:hAnsi="Times New Roman" w:cs="Times"/>
                <w:b/>
                <w:noProof/>
                <w:color w:val="FFFFFF"/>
                <w:sz w:val="24"/>
                <w:szCs w:val="24"/>
                <w:lang w:val="fr-FR"/>
              </w:rPr>
              <w:t>100%</w:t>
            </w:r>
          </w:p>
        </w:tc>
      </w:tr>
    </w:tbl>
    <w:p w14:paraId="2A9E8DFA" w14:textId="2D27D468"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To achieve more nuanced estimates of the costs based on firm size, the rationale</w:t>
      </w:r>
      <w:r w:rsidR="00E447F1">
        <w:rPr>
          <w:rFonts w:ascii="Times New Roman" w:eastAsia="Times New Roman" w:hAnsi="Times New Roman" w:cs="Times New Roman"/>
          <w:noProof/>
          <w:sz w:val="24"/>
          <w:szCs w:val="24"/>
        </w:rPr>
        <w:t xml:space="preserve"> was used</w:t>
      </w:r>
      <w:r w:rsidRPr="00532C20">
        <w:rPr>
          <w:rFonts w:ascii="Times New Roman" w:eastAsia="Times New Roman" w:hAnsi="Times New Roman" w:cs="Times New Roman"/>
          <w:noProof/>
          <w:sz w:val="24"/>
          <w:szCs w:val="24"/>
        </w:rPr>
        <w:t xml:space="preserve"> that the larger the firm, the more complex and costly the reporting process to assume that: micro / small entities require 2.5 days to comply with the foreseen information disclosure and reporting requirements; medium-sized entities require 5 days; and large entities require 10 days. These estimates are in line with the 3 scenarios for the number of working days calculated above.</w:t>
      </w:r>
    </w:p>
    <w:p w14:paraId="1FB9695E"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Under these assumptions, the costs were calculated by applying the above entity-size percentages to the 3 scenarios for the estimated number of entities carrying out interest representation activities on behalf of third countries. These proportions were then multiplied by the average cost per organisation across the EU-27 per scenario (i.e. low, middle, high). For instance, as shown in the first of the below tables, approximately 693 of the 712 estimated entities conducting interest representation on behalf of third countries across the EU-27 are micro / small entities, while 14 are medium-sized and 5 are large. The same breakdown of entities by size class has been done for the middle and high scenarios for the number of entities within scope.</w:t>
      </w:r>
    </w:p>
    <w:p w14:paraId="270C01CF" w14:textId="14EE1F82"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28</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Estimated number of entities per size class, per scenario</w:t>
      </w:r>
    </w:p>
    <w:tbl>
      <w:tblPr>
        <w:tblStyle w:val="12uCharChar113"/>
        <w:tblpPr w:leftFromText="181" w:rightFromText="181" w:vertAnchor="text" w:tblpY="1"/>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021"/>
        <w:gridCol w:w="1734"/>
        <w:gridCol w:w="1780"/>
        <w:gridCol w:w="1613"/>
        <w:gridCol w:w="1460"/>
      </w:tblGrid>
      <w:tr w:rsidR="00A046DD" w:rsidRPr="00532C20" w14:paraId="3BBF7D6A" w14:textId="77777777">
        <w:trPr>
          <w:cnfStyle w:val="100000000000" w:firstRow="1" w:lastRow="0" w:firstColumn="0" w:lastColumn="0" w:oddVBand="0" w:evenVBand="0" w:oddHBand="0" w:evenHBand="0" w:firstRowFirstColumn="0" w:firstRowLastColumn="0" w:lastRowFirstColumn="0" w:lastRowLastColumn="0"/>
          <w:trHeight w:val="20"/>
        </w:trPr>
        <w:tc>
          <w:tcPr>
            <w:tcW w:w="0" w:type="pct"/>
            <w:shd w:val="clear" w:color="auto" w:fill="002060"/>
            <w:vAlign w:val="center"/>
            <w:hideMark/>
          </w:tcPr>
          <w:p w14:paraId="12AE20B1" w14:textId="77777777" w:rsidR="00A046DD" w:rsidRPr="00532C20" w:rsidRDefault="00A046DD" w:rsidP="00A046DD">
            <w:pPr>
              <w:jc w:val="center"/>
              <w:rPr>
                <w:rFonts w:ascii="Times New Roman" w:hAnsi="Times New Roman"/>
                <w:b/>
                <w:noProof/>
                <w:sz w:val="24"/>
                <w:szCs w:val="24"/>
                <w:lang w:val="en-GB"/>
              </w:rPr>
            </w:pPr>
            <w:r w:rsidRPr="00532C20">
              <w:rPr>
                <w:rFonts w:ascii="Times New Roman" w:hAnsi="Times New Roman"/>
                <w:b/>
                <w:noProof/>
                <w:sz w:val="24"/>
                <w:szCs w:val="24"/>
              </w:rPr>
              <w:t>Number of entities (scenarios)</w:t>
            </w:r>
          </w:p>
        </w:tc>
        <w:tc>
          <w:tcPr>
            <w:tcW w:w="0" w:type="pct"/>
            <w:shd w:val="clear" w:color="auto" w:fill="002060"/>
            <w:vAlign w:val="center"/>
            <w:hideMark/>
          </w:tcPr>
          <w:p w14:paraId="3D28EC82" w14:textId="77777777" w:rsidR="00A046DD" w:rsidRPr="00532C20" w:rsidRDefault="00A046DD" w:rsidP="00A046DD">
            <w:pPr>
              <w:jc w:val="center"/>
              <w:rPr>
                <w:rFonts w:ascii="Times New Roman" w:hAnsi="Times New Roman"/>
                <w:b/>
                <w:noProof/>
                <w:sz w:val="24"/>
                <w:szCs w:val="24"/>
                <w:lang w:val="en-IE"/>
              </w:rPr>
            </w:pPr>
            <w:r w:rsidRPr="00532C20">
              <w:rPr>
                <w:rFonts w:ascii="Times New Roman" w:hAnsi="Times New Roman"/>
                <w:b/>
                <w:noProof/>
                <w:sz w:val="24"/>
                <w:szCs w:val="24"/>
                <w:lang w:val="en-IE"/>
              </w:rPr>
              <w:t>Micro / Small (97.3%)</w:t>
            </w:r>
          </w:p>
        </w:tc>
        <w:tc>
          <w:tcPr>
            <w:tcW w:w="0" w:type="pct"/>
            <w:shd w:val="clear" w:color="auto" w:fill="002060"/>
            <w:vAlign w:val="center"/>
            <w:hideMark/>
          </w:tcPr>
          <w:p w14:paraId="660618A2" w14:textId="77777777" w:rsidR="00A046DD" w:rsidRPr="00532C20" w:rsidRDefault="00A046DD" w:rsidP="00A046DD">
            <w:pPr>
              <w:jc w:val="center"/>
              <w:rPr>
                <w:rFonts w:ascii="Times New Roman" w:hAnsi="Times New Roman"/>
                <w:b/>
                <w:noProof/>
                <w:sz w:val="24"/>
                <w:szCs w:val="24"/>
                <w:lang w:val="en-IE"/>
              </w:rPr>
            </w:pPr>
            <w:r w:rsidRPr="00532C20">
              <w:rPr>
                <w:rFonts w:ascii="Times New Roman" w:hAnsi="Times New Roman"/>
                <w:b/>
                <w:noProof/>
                <w:sz w:val="24"/>
                <w:szCs w:val="24"/>
                <w:lang w:val="en-IE"/>
              </w:rPr>
              <w:t>Medium (2%)</w:t>
            </w:r>
          </w:p>
        </w:tc>
        <w:tc>
          <w:tcPr>
            <w:tcW w:w="0" w:type="pct"/>
            <w:shd w:val="clear" w:color="auto" w:fill="002060"/>
            <w:vAlign w:val="center"/>
            <w:hideMark/>
          </w:tcPr>
          <w:p w14:paraId="12EBDDCA" w14:textId="77777777" w:rsidR="00A046DD" w:rsidRPr="00532C20" w:rsidRDefault="00A046DD" w:rsidP="00A046DD">
            <w:pPr>
              <w:jc w:val="center"/>
              <w:rPr>
                <w:rFonts w:ascii="Times New Roman" w:hAnsi="Times New Roman"/>
                <w:b/>
                <w:noProof/>
                <w:sz w:val="24"/>
                <w:szCs w:val="24"/>
                <w:lang w:val="en-IE"/>
              </w:rPr>
            </w:pPr>
            <w:r w:rsidRPr="00532C20">
              <w:rPr>
                <w:rFonts w:ascii="Times New Roman" w:hAnsi="Times New Roman"/>
                <w:b/>
                <w:noProof/>
                <w:sz w:val="24"/>
                <w:szCs w:val="24"/>
                <w:lang w:val="en-IE"/>
              </w:rPr>
              <w:t>Large (0.7%)</w:t>
            </w:r>
          </w:p>
        </w:tc>
        <w:tc>
          <w:tcPr>
            <w:tcW w:w="0" w:type="pct"/>
            <w:shd w:val="clear" w:color="auto" w:fill="002060"/>
            <w:vAlign w:val="center"/>
            <w:hideMark/>
          </w:tcPr>
          <w:p w14:paraId="7DA8472D" w14:textId="77777777" w:rsidR="00A046DD" w:rsidRPr="00532C20" w:rsidRDefault="00A046DD" w:rsidP="00A046DD">
            <w:pPr>
              <w:jc w:val="center"/>
              <w:rPr>
                <w:rFonts w:ascii="Times New Roman" w:hAnsi="Times New Roman"/>
                <w:b/>
                <w:noProof/>
                <w:sz w:val="24"/>
                <w:szCs w:val="24"/>
                <w:lang w:val="en-IE"/>
              </w:rPr>
            </w:pPr>
            <w:r w:rsidRPr="00532C20">
              <w:rPr>
                <w:rFonts w:ascii="Times New Roman" w:hAnsi="Times New Roman"/>
                <w:b/>
                <w:noProof/>
                <w:sz w:val="24"/>
                <w:szCs w:val="24"/>
                <w:lang w:val="en-IE"/>
              </w:rPr>
              <w:t>Total</w:t>
            </w:r>
          </w:p>
        </w:tc>
      </w:tr>
      <w:tr w:rsidR="00A046DD" w:rsidRPr="00532C20" w14:paraId="58D570B7" w14:textId="77777777">
        <w:trPr>
          <w:trHeight w:val="20"/>
        </w:trPr>
        <w:tc>
          <w:tcPr>
            <w:tcW w:w="0" w:type="pct"/>
            <w:shd w:val="clear" w:color="auto" w:fill="D9D9D9"/>
            <w:vAlign w:val="center"/>
            <w:hideMark/>
          </w:tcPr>
          <w:p w14:paraId="3C3B0CEC" w14:textId="77777777" w:rsidR="00A046DD" w:rsidRPr="00532C20" w:rsidRDefault="00A046DD" w:rsidP="00A046DD">
            <w:pPr>
              <w:rPr>
                <w:rFonts w:ascii="Times New Roman" w:hAnsi="Times New Roman"/>
                <w:b/>
                <w:noProof/>
                <w:color w:val="000000"/>
                <w:sz w:val="24"/>
                <w:szCs w:val="24"/>
                <w:lang w:val="en-IE"/>
              </w:rPr>
            </w:pPr>
            <w:r w:rsidRPr="00532C20">
              <w:rPr>
                <w:rFonts w:ascii="Times New Roman" w:hAnsi="Times New Roman"/>
                <w:b/>
                <w:noProof/>
                <w:color w:val="000000"/>
                <w:sz w:val="24"/>
                <w:szCs w:val="24"/>
                <w:lang w:val="en-IE"/>
              </w:rPr>
              <w:t>Low scenario (# of entities)</w:t>
            </w:r>
          </w:p>
        </w:tc>
        <w:tc>
          <w:tcPr>
            <w:tcW w:w="0" w:type="pct"/>
            <w:shd w:val="clear" w:color="auto" w:fill="FFFFFF"/>
            <w:vAlign w:val="center"/>
          </w:tcPr>
          <w:p w14:paraId="406B832A" w14:textId="77777777" w:rsidR="00A046DD" w:rsidRPr="00532C20" w:rsidRDefault="00A046DD" w:rsidP="00A046DD">
            <w:pPr>
              <w:jc w:val="right"/>
              <w:rPr>
                <w:rFonts w:ascii="Times New Roman" w:hAnsi="Times New Roman"/>
                <w:noProof/>
                <w:color w:val="000000"/>
                <w:sz w:val="24"/>
                <w:szCs w:val="24"/>
                <w:lang w:val="en-IE"/>
              </w:rPr>
            </w:pPr>
            <w:r w:rsidRPr="00532C20">
              <w:rPr>
                <w:rFonts w:ascii="Times New Roman" w:hAnsi="Times New Roman"/>
                <w:noProof/>
                <w:color w:val="000000"/>
                <w:sz w:val="24"/>
                <w:szCs w:val="24"/>
                <w:lang w:val="en-IE"/>
              </w:rPr>
              <w:t>693</w:t>
            </w:r>
          </w:p>
        </w:tc>
        <w:tc>
          <w:tcPr>
            <w:tcW w:w="0" w:type="pct"/>
            <w:shd w:val="clear" w:color="auto" w:fill="FFFFFF"/>
            <w:vAlign w:val="center"/>
          </w:tcPr>
          <w:p w14:paraId="7793BC65" w14:textId="77777777" w:rsidR="00A046DD" w:rsidRPr="00532C20" w:rsidRDefault="00A046DD" w:rsidP="00A046DD">
            <w:pPr>
              <w:jc w:val="right"/>
              <w:rPr>
                <w:rFonts w:ascii="Times New Roman" w:hAnsi="Times New Roman"/>
                <w:noProof/>
                <w:color w:val="000000"/>
                <w:sz w:val="24"/>
                <w:szCs w:val="24"/>
                <w:lang w:val="en-IE"/>
              </w:rPr>
            </w:pPr>
            <w:r w:rsidRPr="00532C20">
              <w:rPr>
                <w:rFonts w:ascii="Times New Roman" w:hAnsi="Times New Roman"/>
                <w:noProof/>
                <w:color w:val="000000"/>
                <w:sz w:val="24"/>
                <w:szCs w:val="24"/>
                <w:lang w:val="en-IE"/>
              </w:rPr>
              <w:t>14</w:t>
            </w:r>
          </w:p>
        </w:tc>
        <w:tc>
          <w:tcPr>
            <w:tcW w:w="0" w:type="pct"/>
            <w:shd w:val="clear" w:color="auto" w:fill="FFFFFF"/>
            <w:vAlign w:val="center"/>
          </w:tcPr>
          <w:p w14:paraId="79AF5C3C" w14:textId="77777777" w:rsidR="00A046DD" w:rsidRPr="00532C20" w:rsidRDefault="00A046DD" w:rsidP="00A046DD">
            <w:pPr>
              <w:jc w:val="right"/>
              <w:rPr>
                <w:rFonts w:ascii="Times New Roman" w:hAnsi="Times New Roman"/>
                <w:noProof/>
                <w:color w:val="000000"/>
                <w:sz w:val="24"/>
                <w:szCs w:val="24"/>
                <w:lang w:val="en-IE"/>
              </w:rPr>
            </w:pPr>
            <w:r w:rsidRPr="00532C20">
              <w:rPr>
                <w:rFonts w:ascii="Times New Roman" w:hAnsi="Times New Roman"/>
                <w:noProof/>
                <w:color w:val="000000"/>
                <w:sz w:val="24"/>
                <w:szCs w:val="24"/>
                <w:lang w:val="en-IE"/>
              </w:rPr>
              <w:t>5</w:t>
            </w:r>
          </w:p>
        </w:tc>
        <w:tc>
          <w:tcPr>
            <w:tcW w:w="0" w:type="pct"/>
            <w:shd w:val="clear" w:color="auto" w:fill="0C4DA2"/>
            <w:vAlign w:val="center"/>
          </w:tcPr>
          <w:p w14:paraId="57725937" w14:textId="77777777" w:rsidR="00A046DD" w:rsidRPr="00532C20" w:rsidRDefault="00A046DD" w:rsidP="00A046DD">
            <w:pPr>
              <w:jc w:val="right"/>
              <w:rPr>
                <w:rFonts w:ascii="Times New Roman" w:hAnsi="Times New Roman"/>
                <w:b/>
                <w:noProof/>
                <w:color w:val="FFFFFF"/>
                <w:sz w:val="24"/>
                <w:szCs w:val="24"/>
                <w:lang w:val="en-IE"/>
              </w:rPr>
            </w:pPr>
            <w:r w:rsidRPr="00532C20">
              <w:rPr>
                <w:rFonts w:ascii="Times New Roman" w:hAnsi="Times New Roman"/>
                <w:b/>
                <w:noProof/>
                <w:color w:val="FFFFFF"/>
                <w:sz w:val="24"/>
                <w:szCs w:val="24"/>
                <w:lang w:val="en-IE"/>
              </w:rPr>
              <w:t>712</w:t>
            </w:r>
          </w:p>
        </w:tc>
      </w:tr>
      <w:tr w:rsidR="00A046DD" w:rsidRPr="00532C20" w14:paraId="226650CA" w14:textId="77777777">
        <w:trPr>
          <w:trHeight w:val="20"/>
        </w:trPr>
        <w:tc>
          <w:tcPr>
            <w:tcW w:w="0" w:type="pct"/>
            <w:shd w:val="clear" w:color="auto" w:fill="D9D9D9"/>
            <w:vAlign w:val="center"/>
            <w:hideMark/>
          </w:tcPr>
          <w:p w14:paraId="0F51FF3D" w14:textId="77777777" w:rsidR="00A046DD" w:rsidRPr="00532C20" w:rsidRDefault="00A046DD" w:rsidP="00A046DD">
            <w:pPr>
              <w:rPr>
                <w:rFonts w:ascii="Times New Roman" w:hAnsi="Times New Roman"/>
                <w:b/>
                <w:noProof/>
                <w:color w:val="000000"/>
                <w:sz w:val="24"/>
                <w:szCs w:val="24"/>
                <w:lang w:val="en-IE"/>
              </w:rPr>
            </w:pPr>
            <w:r w:rsidRPr="00532C20">
              <w:rPr>
                <w:rFonts w:ascii="Times New Roman" w:hAnsi="Times New Roman"/>
                <w:b/>
                <w:noProof/>
                <w:color w:val="000000"/>
                <w:sz w:val="24"/>
                <w:szCs w:val="24"/>
                <w:lang w:val="en-IE"/>
              </w:rPr>
              <w:t>Middle scenario (# of entities)</w:t>
            </w:r>
          </w:p>
        </w:tc>
        <w:tc>
          <w:tcPr>
            <w:tcW w:w="0" w:type="pct"/>
            <w:shd w:val="clear" w:color="auto" w:fill="FFFFFF"/>
            <w:vAlign w:val="center"/>
          </w:tcPr>
          <w:p w14:paraId="57B98A12" w14:textId="77777777" w:rsidR="00A046DD" w:rsidRPr="00532C20" w:rsidRDefault="00A046DD" w:rsidP="00A046DD">
            <w:pPr>
              <w:jc w:val="right"/>
              <w:rPr>
                <w:rFonts w:ascii="Times New Roman" w:hAnsi="Times New Roman"/>
                <w:noProof/>
                <w:color w:val="000000"/>
                <w:sz w:val="24"/>
                <w:szCs w:val="24"/>
                <w:lang w:val="en-IE"/>
              </w:rPr>
            </w:pPr>
            <w:r w:rsidRPr="00532C20">
              <w:rPr>
                <w:rFonts w:ascii="Times New Roman" w:hAnsi="Times New Roman"/>
                <w:noProof/>
                <w:color w:val="000000"/>
                <w:sz w:val="24"/>
                <w:szCs w:val="24"/>
                <w:lang w:val="en-IE"/>
              </w:rPr>
              <w:t>866</w:t>
            </w:r>
          </w:p>
        </w:tc>
        <w:tc>
          <w:tcPr>
            <w:tcW w:w="0" w:type="pct"/>
            <w:shd w:val="clear" w:color="auto" w:fill="FFFFFF"/>
            <w:vAlign w:val="center"/>
          </w:tcPr>
          <w:p w14:paraId="03F2B640" w14:textId="77777777" w:rsidR="00A046DD" w:rsidRPr="00532C20" w:rsidRDefault="00A046DD" w:rsidP="00A046DD">
            <w:pPr>
              <w:jc w:val="right"/>
              <w:rPr>
                <w:rFonts w:ascii="Times New Roman" w:hAnsi="Times New Roman"/>
                <w:noProof/>
                <w:color w:val="000000"/>
                <w:sz w:val="24"/>
                <w:szCs w:val="24"/>
                <w:lang w:val="en-IE"/>
              </w:rPr>
            </w:pPr>
            <w:r w:rsidRPr="00532C20">
              <w:rPr>
                <w:rFonts w:ascii="Times New Roman" w:hAnsi="Times New Roman"/>
                <w:noProof/>
                <w:color w:val="000000"/>
                <w:sz w:val="24"/>
                <w:szCs w:val="24"/>
                <w:lang w:val="en-IE"/>
              </w:rPr>
              <w:t>18</w:t>
            </w:r>
          </w:p>
        </w:tc>
        <w:tc>
          <w:tcPr>
            <w:tcW w:w="0" w:type="pct"/>
            <w:shd w:val="clear" w:color="auto" w:fill="FFFFFF"/>
            <w:vAlign w:val="center"/>
          </w:tcPr>
          <w:p w14:paraId="11466356" w14:textId="77777777" w:rsidR="00A046DD" w:rsidRPr="00532C20" w:rsidRDefault="00A046DD" w:rsidP="00A046DD">
            <w:pPr>
              <w:jc w:val="right"/>
              <w:rPr>
                <w:rFonts w:ascii="Times New Roman" w:hAnsi="Times New Roman"/>
                <w:noProof/>
                <w:color w:val="000000"/>
                <w:sz w:val="24"/>
                <w:szCs w:val="24"/>
                <w:lang w:val="en-IE"/>
              </w:rPr>
            </w:pPr>
            <w:r w:rsidRPr="00532C20">
              <w:rPr>
                <w:rFonts w:ascii="Times New Roman" w:hAnsi="Times New Roman"/>
                <w:noProof/>
                <w:color w:val="000000"/>
                <w:sz w:val="24"/>
                <w:szCs w:val="24"/>
                <w:lang w:val="en-IE"/>
              </w:rPr>
              <w:t>6</w:t>
            </w:r>
          </w:p>
        </w:tc>
        <w:tc>
          <w:tcPr>
            <w:tcW w:w="0" w:type="pct"/>
            <w:shd w:val="clear" w:color="auto" w:fill="0C4DA2"/>
            <w:vAlign w:val="center"/>
          </w:tcPr>
          <w:p w14:paraId="545D828D" w14:textId="77777777" w:rsidR="00A046DD" w:rsidRPr="00532C20" w:rsidRDefault="00A046DD" w:rsidP="00A046DD">
            <w:pPr>
              <w:jc w:val="right"/>
              <w:rPr>
                <w:rFonts w:ascii="Times New Roman" w:hAnsi="Times New Roman"/>
                <w:b/>
                <w:noProof/>
                <w:color w:val="FFFFFF"/>
                <w:sz w:val="24"/>
                <w:szCs w:val="24"/>
                <w:lang w:val="en-IE"/>
              </w:rPr>
            </w:pPr>
            <w:r w:rsidRPr="00532C20">
              <w:rPr>
                <w:rFonts w:ascii="Times New Roman" w:hAnsi="Times New Roman"/>
                <w:b/>
                <w:noProof/>
                <w:color w:val="FFFFFF"/>
                <w:sz w:val="24"/>
                <w:szCs w:val="24"/>
                <w:lang w:val="en-IE"/>
              </w:rPr>
              <w:t>890</w:t>
            </w:r>
          </w:p>
        </w:tc>
      </w:tr>
      <w:tr w:rsidR="00A046DD" w:rsidRPr="00532C20" w14:paraId="4838EFF5" w14:textId="77777777">
        <w:trPr>
          <w:trHeight w:val="20"/>
        </w:trPr>
        <w:tc>
          <w:tcPr>
            <w:tcW w:w="0" w:type="pct"/>
            <w:shd w:val="clear" w:color="auto" w:fill="D9D9D9"/>
            <w:vAlign w:val="center"/>
            <w:hideMark/>
          </w:tcPr>
          <w:p w14:paraId="4A3608A2" w14:textId="77777777" w:rsidR="00A046DD" w:rsidRPr="00532C20" w:rsidRDefault="00A046DD" w:rsidP="00A046DD">
            <w:pPr>
              <w:rPr>
                <w:rFonts w:ascii="Times New Roman" w:hAnsi="Times New Roman"/>
                <w:b/>
                <w:noProof/>
                <w:color w:val="000000"/>
                <w:sz w:val="24"/>
                <w:szCs w:val="24"/>
                <w:lang w:val="en-IE"/>
              </w:rPr>
            </w:pPr>
            <w:r w:rsidRPr="00532C20">
              <w:rPr>
                <w:rFonts w:ascii="Times New Roman" w:hAnsi="Times New Roman"/>
                <w:b/>
                <w:noProof/>
                <w:color w:val="000000"/>
                <w:sz w:val="24"/>
                <w:szCs w:val="24"/>
                <w:lang w:val="en-IE"/>
              </w:rPr>
              <w:t>High scenario (# of entities)</w:t>
            </w:r>
          </w:p>
        </w:tc>
        <w:tc>
          <w:tcPr>
            <w:tcW w:w="0" w:type="pct"/>
            <w:shd w:val="clear" w:color="auto" w:fill="FFFFFF"/>
            <w:vAlign w:val="center"/>
          </w:tcPr>
          <w:p w14:paraId="15F611FC" w14:textId="77777777" w:rsidR="00A046DD" w:rsidRPr="00532C20" w:rsidRDefault="00A046DD" w:rsidP="00A046DD">
            <w:pPr>
              <w:jc w:val="right"/>
              <w:rPr>
                <w:rFonts w:ascii="Times New Roman" w:hAnsi="Times New Roman"/>
                <w:noProof/>
                <w:color w:val="000000"/>
                <w:sz w:val="24"/>
                <w:szCs w:val="24"/>
                <w:lang w:val="en-IE"/>
              </w:rPr>
            </w:pPr>
            <w:r w:rsidRPr="00532C20">
              <w:rPr>
                <w:rFonts w:ascii="Times New Roman" w:hAnsi="Times New Roman"/>
                <w:noProof/>
                <w:color w:val="000000"/>
                <w:sz w:val="24"/>
                <w:szCs w:val="24"/>
                <w:lang w:val="en-IE"/>
              </w:rPr>
              <w:t>1,039</w:t>
            </w:r>
          </w:p>
        </w:tc>
        <w:tc>
          <w:tcPr>
            <w:tcW w:w="0" w:type="pct"/>
            <w:shd w:val="clear" w:color="auto" w:fill="FFFFFF"/>
            <w:vAlign w:val="center"/>
          </w:tcPr>
          <w:p w14:paraId="1C1CAFF0" w14:textId="77777777" w:rsidR="00A046DD" w:rsidRPr="00532C20" w:rsidRDefault="00A046DD" w:rsidP="00A046DD">
            <w:pPr>
              <w:jc w:val="right"/>
              <w:rPr>
                <w:rFonts w:ascii="Times New Roman" w:hAnsi="Times New Roman"/>
                <w:noProof/>
                <w:color w:val="000000"/>
                <w:sz w:val="24"/>
                <w:szCs w:val="24"/>
                <w:lang w:val="en-IE"/>
              </w:rPr>
            </w:pPr>
            <w:r w:rsidRPr="00532C20">
              <w:rPr>
                <w:rFonts w:ascii="Times New Roman" w:hAnsi="Times New Roman"/>
                <w:noProof/>
                <w:color w:val="000000"/>
                <w:sz w:val="24"/>
                <w:szCs w:val="24"/>
                <w:lang w:val="en-IE"/>
              </w:rPr>
              <w:t>21</w:t>
            </w:r>
          </w:p>
        </w:tc>
        <w:tc>
          <w:tcPr>
            <w:tcW w:w="0" w:type="pct"/>
            <w:shd w:val="clear" w:color="auto" w:fill="FFFFFF"/>
            <w:vAlign w:val="center"/>
          </w:tcPr>
          <w:p w14:paraId="1396574B" w14:textId="77777777" w:rsidR="00A046DD" w:rsidRPr="00532C20" w:rsidRDefault="00A046DD" w:rsidP="00A046DD">
            <w:pPr>
              <w:jc w:val="right"/>
              <w:rPr>
                <w:rFonts w:ascii="Times New Roman" w:hAnsi="Times New Roman"/>
                <w:noProof/>
                <w:color w:val="000000"/>
                <w:sz w:val="24"/>
                <w:szCs w:val="24"/>
                <w:lang w:val="en-IE"/>
              </w:rPr>
            </w:pPr>
            <w:r w:rsidRPr="00532C20">
              <w:rPr>
                <w:rFonts w:ascii="Times New Roman" w:hAnsi="Times New Roman"/>
                <w:noProof/>
                <w:color w:val="000000"/>
                <w:sz w:val="24"/>
                <w:szCs w:val="24"/>
                <w:lang w:val="en-IE"/>
              </w:rPr>
              <w:t>7</w:t>
            </w:r>
          </w:p>
        </w:tc>
        <w:tc>
          <w:tcPr>
            <w:tcW w:w="0" w:type="pct"/>
            <w:shd w:val="clear" w:color="auto" w:fill="0C4DA2"/>
            <w:vAlign w:val="center"/>
          </w:tcPr>
          <w:p w14:paraId="099F8834" w14:textId="77777777" w:rsidR="00A046DD" w:rsidRPr="00532C20" w:rsidRDefault="00A046DD" w:rsidP="00A046DD">
            <w:pPr>
              <w:jc w:val="right"/>
              <w:rPr>
                <w:rFonts w:ascii="Times New Roman" w:hAnsi="Times New Roman"/>
                <w:b/>
                <w:noProof/>
                <w:color w:val="FFFFFF"/>
                <w:sz w:val="24"/>
                <w:szCs w:val="24"/>
                <w:lang w:val="en-IE"/>
              </w:rPr>
            </w:pPr>
            <w:r w:rsidRPr="00532C20">
              <w:rPr>
                <w:rFonts w:ascii="Times New Roman" w:hAnsi="Times New Roman"/>
                <w:b/>
                <w:noProof/>
                <w:color w:val="FFFFFF"/>
                <w:sz w:val="24"/>
                <w:szCs w:val="24"/>
                <w:lang w:val="en-IE"/>
              </w:rPr>
              <w:t>1,068</w:t>
            </w:r>
          </w:p>
        </w:tc>
      </w:tr>
    </w:tbl>
    <w:p w14:paraId="4B5A6544"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 this basis, the following table illustrates the calculated costs per entity size class. These calculations suggest that, in practice across the 3 scenarios, the estimated total costs will sit somewhere between EUR 614,000 and EUR 921,000 at an average cost per entity of EUR 862.45. Across the 10-year time horizon, total costs will reach approximately EUR 6.1 mn to EUR 9.2 mn.</w:t>
      </w:r>
    </w:p>
    <w:p w14:paraId="65EBC4AE" w14:textId="48B0BD6D"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29</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Estimated costs per entity size class, per scenario</w:t>
      </w:r>
      <w:r w:rsidR="00672647" w:rsidRPr="00532C20">
        <w:rPr>
          <w:rFonts w:ascii="Times New Roman" w:eastAsia="Times New Roman" w:hAnsi="Times New Roman" w:cs="Times New Roman"/>
          <w:b/>
          <w:noProof/>
          <w:sz w:val="24"/>
          <w:szCs w:val="24"/>
        </w:rPr>
        <w:t xml:space="preserve"> per year </w:t>
      </w:r>
    </w:p>
    <w:tbl>
      <w:tblPr>
        <w:tblStyle w:val="12uCharChar14"/>
        <w:tblW w:w="886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830"/>
        <w:gridCol w:w="1560"/>
        <w:gridCol w:w="1176"/>
        <w:gridCol w:w="1176"/>
        <w:gridCol w:w="2126"/>
      </w:tblGrid>
      <w:tr w:rsidR="00A046DD" w:rsidRPr="00532C20" w14:paraId="0353DBAB" w14:textId="77777777" w:rsidTr="003D32FC">
        <w:trPr>
          <w:cnfStyle w:val="100000000000" w:firstRow="1" w:lastRow="0" w:firstColumn="0" w:lastColumn="0" w:oddVBand="0" w:evenVBand="0" w:oddHBand="0" w:evenHBand="0" w:firstRowFirstColumn="0" w:firstRowLastColumn="0" w:lastRowFirstColumn="0" w:lastRowLastColumn="0"/>
          <w:trHeight w:val="20"/>
        </w:trPr>
        <w:tc>
          <w:tcPr>
            <w:tcW w:w="2830" w:type="dxa"/>
            <w:shd w:val="clear" w:color="auto" w:fill="002060"/>
            <w:noWrap/>
            <w:vAlign w:val="center"/>
            <w:hideMark/>
          </w:tcPr>
          <w:p w14:paraId="20E54564" w14:textId="77777777" w:rsidR="00A046DD" w:rsidRPr="00532C20" w:rsidRDefault="00A046DD" w:rsidP="00A046DD">
            <w:pPr>
              <w:jc w:val="center"/>
              <w:rPr>
                <w:rFonts w:ascii="Times New Roman" w:hAnsi="Times New Roman" w:cs="Times New Roman"/>
                <w:b/>
                <w:noProof/>
                <w:color w:val="auto"/>
                <w:sz w:val="24"/>
                <w:szCs w:val="24"/>
                <w:lang w:val="en-IE" w:eastAsia="en-GB"/>
              </w:rPr>
            </w:pPr>
            <w:r w:rsidRPr="00532C20">
              <w:rPr>
                <w:rFonts w:ascii="Times New Roman" w:hAnsi="Times New Roman"/>
                <w:b/>
                <w:noProof/>
                <w:sz w:val="24"/>
                <w:szCs w:val="24"/>
              </w:rPr>
              <w:t>Number of entities (scenarios)</w:t>
            </w:r>
          </w:p>
        </w:tc>
        <w:tc>
          <w:tcPr>
            <w:tcW w:w="1560" w:type="dxa"/>
            <w:shd w:val="clear" w:color="auto" w:fill="002060"/>
            <w:noWrap/>
            <w:vAlign w:val="center"/>
            <w:hideMark/>
          </w:tcPr>
          <w:p w14:paraId="16A3E2AD" w14:textId="77777777" w:rsidR="00A046DD" w:rsidRPr="00532C20" w:rsidRDefault="00A046DD" w:rsidP="00A046DD">
            <w:pPr>
              <w:jc w:val="center"/>
              <w:rPr>
                <w:rFonts w:ascii="Times New Roman" w:hAnsi="Times New Roman" w:cs="Times New Roman"/>
                <w:b/>
                <w:noProof/>
                <w:color w:val="auto"/>
                <w:sz w:val="24"/>
                <w:szCs w:val="24"/>
                <w:lang w:val="en-IE" w:eastAsia="en-GB"/>
              </w:rPr>
            </w:pPr>
            <w:r w:rsidRPr="00532C20">
              <w:rPr>
                <w:rFonts w:ascii="Times New Roman" w:hAnsi="Times New Roman" w:cs="Times New Roman"/>
                <w:b/>
                <w:noProof/>
                <w:color w:val="auto"/>
                <w:sz w:val="24"/>
                <w:szCs w:val="24"/>
                <w:lang w:val="en-IE" w:eastAsia="en-GB"/>
              </w:rPr>
              <w:t>Micro / Small (97.3%)</w:t>
            </w:r>
          </w:p>
        </w:tc>
        <w:tc>
          <w:tcPr>
            <w:tcW w:w="1176" w:type="dxa"/>
            <w:shd w:val="clear" w:color="auto" w:fill="002060"/>
            <w:noWrap/>
            <w:vAlign w:val="center"/>
            <w:hideMark/>
          </w:tcPr>
          <w:p w14:paraId="283BB60E" w14:textId="77777777" w:rsidR="00A046DD" w:rsidRPr="00532C20" w:rsidRDefault="00A046DD" w:rsidP="00A046DD">
            <w:pPr>
              <w:jc w:val="center"/>
              <w:rPr>
                <w:rFonts w:ascii="Times New Roman" w:hAnsi="Times New Roman" w:cs="Times New Roman"/>
                <w:b/>
                <w:noProof/>
                <w:color w:val="auto"/>
                <w:sz w:val="24"/>
                <w:szCs w:val="24"/>
                <w:lang w:val="en-IE" w:eastAsia="en-GB"/>
              </w:rPr>
            </w:pPr>
            <w:r w:rsidRPr="00532C20">
              <w:rPr>
                <w:rFonts w:ascii="Times New Roman" w:hAnsi="Times New Roman" w:cs="Times New Roman"/>
                <w:b/>
                <w:noProof/>
                <w:color w:val="auto"/>
                <w:sz w:val="24"/>
                <w:szCs w:val="24"/>
                <w:lang w:val="en-IE" w:eastAsia="en-GB"/>
              </w:rPr>
              <w:t>Medium (2%)</w:t>
            </w:r>
          </w:p>
        </w:tc>
        <w:tc>
          <w:tcPr>
            <w:tcW w:w="1176" w:type="dxa"/>
            <w:shd w:val="clear" w:color="auto" w:fill="002060"/>
            <w:noWrap/>
            <w:vAlign w:val="center"/>
            <w:hideMark/>
          </w:tcPr>
          <w:p w14:paraId="15C3FB33" w14:textId="77777777" w:rsidR="00A046DD" w:rsidRPr="00532C20" w:rsidRDefault="00A046DD" w:rsidP="00A046DD">
            <w:pPr>
              <w:jc w:val="center"/>
              <w:rPr>
                <w:rFonts w:ascii="Times New Roman" w:hAnsi="Times New Roman" w:cs="Times New Roman"/>
                <w:b/>
                <w:noProof/>
                <w:color w:val="auto"/>
                <w:sz w:val="24"/>
                <w:szCs w:val="24"/>
                <w:lang w:val="en-IE" w:eastAsia="en-GB"/>
              </w:rPr>
            </w:pPr>
            <w:r w:rsidRPr="00532C20">
              <w:rPr>
                <w:rFonts w:ascii="Times New Roman" w:hAnsi="Times New Roman" w:cs="Times New Roman"/>
                <w:b/>
                <w:noProof/>
                <w:color w:val="auto"/>
                <w:sz w:val="24"/>
                <w:szCs w:val="24"/>
                <w:lang w:val="en-IE" w:eastAsia="en-GB"/>
              </w:rPr>
              <w:t>Large (0.7%)</w:t>
            </w:r>
          </w:p>
        </w:tc>
        <w:tc>
          <w:tcPr>
            <w:tcW w:w="2126" w:type="dxa"/>
            <w:shd w:val="clear" w:color="auto" w:fill="002060"/>
            <w:noWrap/>
            <w:vAlign w:val="center"/>
            <w:hideMark/>
          </w:tcPr>
          <w:p w14:paraId="1A888B47" w14:textId="77777777" w:rsidR="00A046DD" w:rsidRPr="00532C20" w:rsidRDefault="00A046DD">
            <w:pPr>
              <w:rPr>
                <w:rFonts w:ascii="Times New Roman" w:hAnsi="Times New Roman" w:cs="Times New Roman"/>
                <w:b/>
                <w:noProof/>
                <w:color w:val="auto"/>
                <w:sz w:val="24"/>
                <w:szCs w:val="24"/>
                <w:lang w:val="en-IE" w:eastAsia="en-GB"/>
              </w:rPr>
            </w:pPr>
            <w:r w:rsidRPr="00532C20">
              <w:rPr>
                <w:rFonts w:ascii="Times New Roman" w:hAnsi="Times New Roman" w:cs="Times New Roman"/>
                <w:b/>
                <w:noProof/>
                <w:color w:val="auto"/>
                <w:sz w:val="24"/>
                <w:szCs w:val="24"/>
                <w:lang w:val="en-IE" w:eastAsia="en-GB"/>
              </w:rPr>
              <w:t>Total</w:t>
            </w:r>
          </w:p>
        </w:tc>
      </w:tr>
      <w:tr w:rsidR="00664447" w:rsidRPr="00532C20" w14:paraId="7D4E3E5A" w14:textId="77777777" w:rsidTr="003D32FC">
        <w:trPr>
          <w:trHeight w:val="20"/>
        </w:trPr>
        <w:tc>
          <w:tcPr>
            <w:tcW w:w="2830" w:type="dxa"/>
            <w:shd w:val="clear" w:color="auto" w:fill="D9D9D9"/>
            <w:noWrap/>
            <w:vAlign w:val="center"/>
            <w:hideMark/>
          </w:tcPr>
          <w:p w14:paraId="431EDD6D" w14:textId="77777777" w:rsidR="00A046DD" w:rsidRPr="00532C20" w:rsidRDefault="00A046DD" w:rsidP="00A046DD">
            <w:pPr>
              <w:rPr>
                <w:rFonts w:ascii="Times New Roman" w:hAnsi="Times New Roman" w:cs="Times New Roman"/>
                <w:b/>
                <w:noProof/>
                <w:sz w:val="24"/>
                <w:szCs w:val="24"/>
                <w:lang w:val="en-IE" w:eastAsia="en-GB"/>
              </w:rPr>
            </w:pPr>
            <w:r w:rsidRPr="00532C20">
              <w:rPr>
                <w:rFonts w:ascii="Times New Roman" w:hAnsi="Times New Roman"/>
                <w:b/>
                <w:noProof/>
                <w:color w:val="000000"/>
                <w:sz w:val="24"/>
                <w:szCs w:val="24"/>
              </w:rPr>
              <w:t>Low scenario (# of entities)</w:t>
            </w:r>
          </w:p>
        </w:tc>
        <w:tc>
          <w:tcPr>
            <w:tcW w:w="1560" w:type="dxa"/>
            <w:shd w:val="clear" w:color="auto" w:fill="auto"/>
            <w:noWrap/>
            <w:vAlign w:val="center"/>
          </w:tcPr>
          <w:p w14:paraId="1221822F" w14:textId="77777777" w:rsidR="00A046DD" w:rsidRPr="00532C20" w:rsidRDefault="00A046DD" w:rsidP="00A046DD">
            <w:pPr>
              <w:jc w:val="right"/>
              <w:rPr>
                <w:rFonts w:ascii="Times New Roman" w:hAnsi="Times New Roman" w:cs="Times New Roman"/>
                <w:noProof/>
                <w:sz w:val="24"/>
                <w:szCs w:val="24"/>
                <w:lang w:val="en-IE" w:eastAsia="en-GB"/>
              </w:rPr>
            </w:pPr>
            <w:r w:rsidRPr="00532C20">
              <w:rPr>
                <w:rFonts w:ascii="Times New Roman" w:hAnsi="Times New Roman"/>
                <w:noProof/>
                <w:color w:val="000000"/>
                <w:sz w:val="24"/>
                <w:szCs w:val="24"/>
              </w:rPr>
              <w:t>574,090.48</w:t>
            </w:r>
          </w:p>
        </w:tc>
        <w:tc>
          <w:tcPr>
            <w:tcW w:w="1176" w:type="dxa"/>
            <w:shd w:val="clear" w:color="auto" w:fill="auto"/>
            <w:noWrap/>
            <w:vAlign w:val="center"/>
          </w:tcPr>
          <w:p w14:paraId="2A8BF88D" w14:textId="77777777" w:rsidR="00A046DD" w:rsidRPr="00532C20" w:rsidRDefault="00A046DD" w:rsidP="00A046DD">
            <w:pPr>
              <w:jc w:val="right"/>
              <w:rPr>
                <w:rFonts w:ascii="Times New Roman" w:hAnsi="Times New Roman" w:cs="Times New Roman"/>
                <w:noProof/>
                <w:sz w:val="24"/>
                <w:szCs w:val="24"/>
                <w:lang w:val="en-IE" w:eastAsia="en-GB"/>
              </w:rPr>
            </w:pPr>
            <w:r w:rsidRPr="00532C20">
              <w:rPr>
                <w:rFonts w:ascii="Times New Roman" w:hAnsi="Times New Roman"/>
                <w:noProof/>
                <w:color w:val="000000"/>
                <w:sz w:val="24"/>
                <w:szCs w:val="24"/>
              </w:rPr>
              <w:t>23,600.84</w:t>
            </w:r>
          </w:p>
        </w:tc>
        <w:tc>
          <w:tcPr>
            <w:tcW w:w="1176" w:type="dxa"/>
            <w:shd w:val="clear" w:color="auto" w:fill="auto"/>
            <w:noWrap/>
            <w:vAlign w:val="center"/>
          </w:tcPr>
          <w:p w14:paraId="56CB0AE5" w14:textId="77777777" w:rsidR="00A046DD" w:rsidRPr="00532C20" w:rsidRDefault="00A046DD" w:rsidP="00A046DD">
            <w:pPr>
              <w:jc w:val="right"/>
              <w:rPr>
                <w:rFonts w:ascii="Times New Roman" w:hAnsi="Times New Roman" w:cs="Times New Roman"/>
                <w:noProof/>
                <w:sz w:val="24"/>
                <w:szCs w:val="24"/>
                <w:lang w:val="en-IE" w:eastAsia="en-GB"/>
              </w:rPr>
            </w:pPr>
            <w:r w:rsidRPr="00532C20">
              <w:rPr>
                <w:rFonts w:ascii="Times New Roman" w:hAnsi="Times New Roman"/>
                <w:noProof/>
                <w:color w:val="000000"/>
                <w:sz w:val="24"/>
                <w:szCs w:val="24"/>
              </w:rPr>
              <w:t>16,520.59</w:t>
            </w:r>
          </w:p>
        </w:tc>
        <w:tc>
          <w:tcPr>
            <w:tcW w:w="2126" w:type="dxa"/>
            <w:shd w:val="clear" w:color="auto" w:fill="0C4DA2"/>
            <w:noWrap/>
            <w:vAlign w:val="center"/>
          </w:tcPr>
          <w:p w14:paraId="466DCC95" w14:textId="77777777" w:rsidR="00A046DD" w:rsidRPr="00532C20" w:rsidRDefault="00A046DD" w:rsidP="00A046DD">
            <w:pPr>
              <w:jc w:val="right"/>
              <w:rPr>
                <w:rFonts w:ascii="Times New Roman" w:hAnsi="Times New Roman" w:cs="Times New Roman"/>
                <w:b/>
                <w:noProof/>
                <w:sz w:val="24"/>
                <w:szCs w:val="24"/>
                <w:lang w:val="en-IE" w:eastAsia="en-GB"/>
              </w:rPr>
            </w:pPr>
            <w:r w:rsidRPr="00532C20">
              <w:rPr>
                <w:rFonts w:ascii="Times New Roman" w:hAnsi="Times New Roman"/>
                <w:b/>
                <w:noProof/>
                <w:color w:val="FFFFFF"/>
                <w:sz w:val="24"/>
                <w:szCs w:val="24"/>
              </w:rPr>
              <w:t>614,211.91</w:t>
            </w:r>
          </w:p>
        </w:tc>
      </w:tr>
      <w:tr w:rsidR="00664447" w:rsidRPr="00532C20" w14:paraId="137A40E5" w14:textId="77777777" w:rsidTr="003D32FC">
        <w:trPr>
          <w:trHeight w:val="20"/>
        </w:trPr>
        <w:tc>
          <w:tcPr>
            <w:tcW w:w="2830" w:type="dxa"/>
            <w:tcBorders>
              <w:bottom w:val="single" w:sz="4" w:space="0" w:color="002060"/>
            </w:tcBorders>
            <w:shd w:val="clear" w:color="auto" w:fill="D9D9D9"/>
            <w:noWrap/>
            <w:vAlign w:val="center"/>
          </w:tcPr>
          <w:p w14:paraId="3DBAF4D0" w14:textId="77777777" w:rsidR="00A046DD" w:rsidRPr="00532C20" w:rsidRDefault="00A046DD" w:rsidP="00A046DD">
            <w:pPr>
              <w:rPr>
                <w:rFonts w:ascii="Times New Roman" w:hAnsi="Times New Roman" w:cs="Times New Roman"/>
                <w:b/>
                <w:noProof/>
                <w:sz w:val="24"/>
                <w:szCs w:val="24"/>
                <w:lang w:val="en-IE" w:eastAsia="en-GB"/>
              </w:rPr>
            </w:pPr>
            <w:r w:rsidRPr="00532C20">
              <w:rPr>
                <w:rFonts w:ascii="Times New Roman" w:hAnsi="Times New Roman"/>
                <w:b/>
                <w:noProof/>
                <w:color w:val="000000"/>
                <w:sz w:val="24"/>
                <w:szCs w:val="24"/>
              </w:rPr>
              <w:t>Middle scenario (# of entities)</w:t>
            </w:r>
          </w:p>
        </w:tc>
        <w:tc>
          <w:tcPr>
            <w:tcW w:w="1560" w:type="dxa"/>
            <w:tcBorders>
              <w:bottom w:val="single" w:sz="4" w:space="0" w:color="002060"/>
            </w:tcBorders>
            <w:shd w:val="clear" w:color="auto" w:fill="auto"/>
            <w:noWrap/>
            <w:vAlign w:val="center"/>
          </w:tcPr>
          <w:p w14:paraId="484E9B9D" w14:textId="77777777" w:rsidR="00A046DD" w:rsidRPr="00532C20" w:rsidRDefault="00A046DD" w:rsidP="00A046DD">
            <w:pPr>
              <w:jc w:val="right"/>
              <w:rPr>
                <w:rFonts w:ascii="Times New Roman" w:hAnsi="Times New Roman" w:cs="Times New Roman"/>
                <w:noProof/>
                <w:sz w:val="24"/>
                <w:szCs w:val="24"/>
                <w:lang w:val="en-IE" w:eastAsia="en-GB"/>
              </w:rPr>
            </w:pPr>
            <w:r w:rsidRPr="00532C20">
              <w:rPr>
                <w:rFonts w:ascii="Times New Roman" w:hAnsi="Times New Roman"/>
                <w:noProof/>
                <w:color w:val="000000"/>
                <w:sz w:val="24"/>
                <w:szCs w:val="24"/>
              </w:rPr>
              <w:t>717,613.10</w:t>
            </w:r>
          </w:p>
        </w:tc>
        <w:tc>
          <w:tcPr>
            <w:tcW w:w="1176" w:type="dxa"/>
            <w:tcBorders>
              <w:bottom w:val="single" w:sz="4" w:space="0" w:color="002060"/>
            </w:tcBorders>
            <w:shd w:val="clear" w:color="auto" w:fill="auto"/>
            <w:noWrap/>
            <w:vAlign w:val="center"/>
          </w:tcPr>
          <w:p w14:paraId="0AB4BDE4" w14:textId="77777777" w:rsidR="00A046DD" w:rsidRPr="00532C20" w:rsidRDefault="00A046DD" w:rsidP="00A046DD">
            <w:pPr>
              <w:jc w:val="right"/>
              <w:rPr>
                <w:rFonts w:ascii="Times New Roman" w:hAnsi="Times New Roman" w:cs="Times New Roman"/>
                <w:noProof/>
                <w:sz w:val="24"/>
                <w:szCs w:val="24"/>
                <w:lang w:val="en-IE" w:eastAsia="en-GB"/>
              </w:rPr>
            </w:pPr>
            <w:r w:rsidRPr="00532C20">
              <w:rPr>
                <w:rFonts w:ascii="Times New Roman" w:hAnsi="Times New Roman"/>
                <w:noProof/>
                <w:color w:val="000000"/>
                <w:sz w:val="24"/>
                <w:szCs w:val="24"/>
              </w:rPr>
              <w:t>29,501.05</w:t>
            </w:r>
          </w:p>
        </w:tc>
        <w:tc>
          <w:tcPr>
            <w:tcW w:w="1176" w:type="dxa"/>
            <w:tcBorders>
              <w:bottom w:val="single" w:sz="4" w:space="0" w:color="002060"/>
            </w:tcBorders>
            <w:shd w:val="clear" w:color="auto" w:fill="auto"/>
            <w:noWrap/>
            <w:vAlign w:val="center"/>
          </w:tcPr>
          <w:p w14:paraId="52E57DDD" w14:textId="77777777" w:rsidR="00A046DD" w:rsidRPr="00532C20" w:rsidRDefault="00A046DD" w:rsidP="00A046DD">
            <w:pPr>
              <w:jc w:val="right"/>
              <w:rPr>
                <w:rFonts w:ascii="Times New Roman" w:hAnsi="Times New Roman" w:cs="Times New Roman"/>
                <w:noProof/>
                <w:sz w:val="24"/>
                <w:szCs w:val="24"/>
                <w:lang w:val="en-IE" w:eastAsia="en-GB"/>
              </w:rPr>
            </w:pPr>
            <w:r w:rsidRPr="00532C20">
              <w:rPr>
                <w:rFonts w:ascii="Times New Roman" w:hAnsi="Times New Roman"/>
                <w:noProof/>
                <w:color w:val="000000"/>
                <w:sz w:val="24"/>
                <w:szCs w:val="24"/>
              </w:rPr>
              <w:t>20,650.74</w:t>
            </w:r>
          </w:p>
        </w:tc>
        <w:tc>
          <w:tcPr>
            <w:tcW w:w="2126" w:type="dxa"/>
            <w:tcBorders>
              <w:bottom w:val="single" w:sz="4" w:space="0" w:color="002060"/>
            </w:tcBorders>
            <w:shd w:val="clear" w:color="auto" w:fill="0C4DA2"/>
            <w:noWrap/>
            <w:vAlign w:val="center"/>
          </w:tcPr>
          <w:p w14:paraId="491A5D4D" w14:textId="77777777" w:rsidR="00A046DD" w:rsidRPr="00532C20" w:rsidRDefault="00A046DD" w:rsidP="00A046DD">
            <w:pPr>
              <w:jc w:val="right"/>
              <w:rPr>
                <w:rFonts w:ascii="Times New Roman" w:hAnsi="Times New Roman" w:cs="Times New Roman"/>
                <w:b/>
                <w:noProof/>
                <w:sz w:val="24"/>
                <w:szCs w:val="24"/>
                <w:lang w:val="en-IE" w:eastAsia="en-GB"/>
              </w:rPr>
            </w:pPr>
            <w:r w:rsidRPr="00532C20">
              <w:rPr>
                <w:rFonts w:ascii="Times New Roman" w:hAnsi="Times New Roman"/>
                <w:b/>
                <w:noProof/>
                <w:color w:val="FFFFFF"/>
                <w:sz w:val="24"/>
                <w:szCs w:val="24"/>
              </w:rPr>
              <w:t>767,764.89</w:t>
            </w:r>
          </w:p>
        </w:tc>
      </w:tr>
      <w:tr w:rsidR="00664447" w:rsidRPr="00532C20" w14:paraId="38F391F4" w14:textId="77777777" w:rsidTr="003D32FC">
        <w:trPr>
          <w:trHeight w:val="20"/>
        </w:trPr>
        <w:tc>
          <w:tcPr>
            <w:tcW w:w="2830" w:type="dxa"/>
            <w:tcBorders>
              <w:bottom w:val="single" w:sz="4" w:space="0" w:color="002060"/>
            </w:tcBorders>
            <w:shd w:val="clear" w:color="auto" w:fill="D9D9D9"/>
            <w:noWrap/>
            <w:vAlign w:val="center"/>
          </w:tcPr>
          <w:p w14:paraId="54185693" w14:textId="77777777" w:rsidR="00A046DD" w:rsidRPr="00532C20" w:rsidRDefault="00A046DD" w:rsidP="00A046DD">
            <w:pPr>
              <w:rPr>
                <w:rFonts w:ascii="Times New Roman" w:hAnsi="Times New Roman" w:cs="Times New Roman"/>
                <w:b/>
                <w:noProof/>
                <w:sz w:val="24"/>
                <w:szCs w:val="24"/>
                <w:lang w:val="en-IE" w:eastAsia="en-GB"/>
              </w:rPr>
            </w:pPr>
            <w:r w:rsidRPr="00532C20">
              <w:rPr>
                <w:rFonts w:ascii="Times New Roman" w:hAnsi="Times New Roman"/>
                <w:b/>
                <w:noProof/>
                <w:color w:val="000000"/>
                <w:sz w:val="24"/>
                <w:szCs w:val="24"/>
              </w:rPr>
              <w:t>High scenario (# of entities)</w:t>
            </w:r>
          </w:p>
        </w:tc>
        <w:tc>
          <w:tcPr>
            <w:tcW w:w="1560" w:type="dxa"/>
            <w:tcBorders>
              <w:bottom w:val="single" w:sz="4" w:space="0" w:color="002060"/>
            </w:tcBorders>
            <w:shd w:val="clear" w:color="auto" w:fill="auto"/>
            <w:noWrap/>
            <w:vAlign w:val="center"/>
          </w:tcPr>
          <w:p w14:paraId="44BE26E2" w14:textId="77777777" w:rsidR="00A046DD" w:rsidRPr="00532C20" w:rsidRDefault="00A046DD" w:rsidP="00A046DD">
            <w:pPr>
              <w:jc w:val="right"/>
              <w:rPr>
                <w:rFonts w:ascii="Times New Roman" w:hAnsi="Times New Roman" w:cs="Times New Roman"/>
                <w:noProof/>
                <w:sz w:val="24"/>
                <w:szCs w:val="24"/>
                <w:lang w:val="en-IE" w:eastAsia="en-GB"/>
              </w:rPr>
            </w:pPr>
            <w:r w:rsidRPr="00532C20">
              <w:rPr>
                <w:rFonts w:ascii="Times New Roman" w:hAnsi="Times New Roman"/>
                <w:noProof/>
                <w:color w:val="000000"/>
                <w:sz w:val="24"/>
                <w:szCs w:val="24"/>
              </w:rPr>
              <w:t>861,135.72</w:t>
            </w:r>
          </w:p>
        </w:tc>
        <w:tc>
          <w:tcPr>
            <w:tcW w:w="1176" w:type="dxa"/>
            <w:tcBorders>
              <w:bottom w:val="single" w:sz="4" w:space="0" w:color="002060"/>
            </w:tcBorders>
            <w:shd w:val="clear" w:color="auto" w:fill="auto"/>
            <w:noWrap/>
            <w:vAlign w:val="center"/>
          </w:tcPr>
          <w:p w14:paraId="4DE69201" w14:textId="77777777" w:rsidR="00A046DD" w:rsidRPr="00532C20" w:rsidRDefault="00A046DD" w:rsidP="00A046DD">
            <w:pPr>
              <w:jc w:val="right"/>
              <w:rPr>
                <w:rFonts w:ascii="Times New Roman" w:hAnsi="Times New Roman" w:cs="Times New Roman"/>
                <w:noProof/>
                <w:sz w:val="24"/>
                <w:szCs w:val="24"/>
                <w:lang w:val="en-IE" w:eastAsia="en-GB"/>
              </w:rPr>
            </w:pPr>
            <w:r w:rsidRPr="00532C20">
              <w:rPr>
                <w:rFonts w:ascii="Times New Roman" w:hAnsi="Times New Roman"/>
                <w:noProof/>
                <w:color w:val="000000"/>
                <w:sz w:val="24"/>
                <w:szCs w:val="24"/>
              </w:rPr>
              <w:t>35,401.26</w:t>
            </w:r>
          </w:p>
        </w:tc>
        <w:tc>
          <w:tcPr>
            <w:tcW w:w="1176" w:type="dxa"/>
            <w:tcBorders>
              <w:bottom w:val="single" w:sz="4" w:space="0" w:color="002060"/>
            </w:tcBorders>
            <w:shd w:val="clear" w:color="auto" w:fill="auto"/>
            <w:noWrap/>
            <w:vAlign w:val="center"/>
          </w:tcPr>
          <w:p w14:paraId="217C0B67" w14:textId="77777777" w:rsidR="00A046DD" w:rsidRPr="00532C20" w:rsidRDefault="00A046DD" w:rsidP="00A046DD">
            <w:pPr>
              <w:jc w:val="right"/>
              <w:rPr>
                <w:rFonts w:ascii="Times New Roman" w:hAnsi="Times New Roman" w:cs="Times New Roman"/>
                <w:noProof/>
                <w:sz w:val="24"/>
                <w:szCs w:val="24"/>
                <w:lang w:val="en-IE" w:eastAsia="en-GB"/>
              </w:rPr>
            </w:pPr>
            <w:r w:rsidRPr="00532C20">
              <w:rPr>
                <w:rFonts w:ascii="Times New Roman" w:hAnsi="Times New Roman"/>
                <w:noProof/>
                <w:color w:val="000000"/>
                <w:sz w:val="24"/>
                <w:szCs w:val="24"/>
              </w:rPr>
              <w:t>24,780.88</w:t>
            </w:r>
          </w:p>
        </w:tc>
        <w:tc>
          <w:tcPr>
            <w:tcW w:w="2126" w:type="dxa"/>
            <w:tcBorders>
              <w:bottom w:val="single" w:sz="4" w:space="0" w:color="002060"/>
            </w:tcBorders>
            <w:shd w:val="clear" w:color="auto" w:fill="0C4DA2"/>
            <w:noWrap/>
            <w:vAlign w:val="center"/>
          </w:tcPr>
          <w:p w14:paraId="2ECE3C7F" w14:textId="77777777" w:rsidR="00A046DD" w:rsidRPr="00532C20" w:rsidRDefault="00A046DD" w:rsidP="00A046DD">
            <w:pPr>
              <w:jc w:val="right"/>
              <w:rPr>
                <w:rFonts w:ascii="Times New Roman" w:hAnsi="Times New Roman" w:cs="Times New Roman"/>
                <w:b/>
                <w:noProof/>
                <w:sz w:val="24"/>
                <w:szCs w:val="24"/>
                <w:lang w:val="en-IE" w:eastAsia="en-GB"/>
              </w:rPr>
            </w:pPr>
            <w:r w:rsidRPr="00532C20">
              <w:rPr>
                <w:rFonts w:ascii="Times New Roman" w:hAnsi="Times New Roman"/>
                <w:b/>
                <w:noProof/>
                <w:color w:val="FFFFFF"/>
                <w:sz w:val="24"/>
                <w:szCs w:val="24"/>
              </w:rPr>
              <w:t>921,317.87</w:t>
            </w:r>
          </w:p>
        </w:tc>
      </w:tr>
    </w:tbl>
    <w:p w14:paraId="0941050F"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Conversely, the table below provides a summary of the estimated average costs per entity per information update scenario (i.e. 2.5 / 5 / 10 days). For the purpose of calculating the average costs across the body of entities, it has been assumed that micro / small entities experience the lower average costs (i.e. EUR 828.49), medium-sized firms experience the middle average costs (i.e. EUR 1,656.97) and large firms experience the higher average costs (i.e. EUR 3,313.94).</w:t>
      </w:r>
    </w:p>
    <w:p w14:paraId="1E6BC5BA" w14:textId="5DE1C2B5"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30</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Estimated average costs per entity, per size class</w:t>
      </w:r>
    </w:p>
    <w:tbl>
      <w:tblPr>
        <w:tblStyle w:val="12uCharChar14"/>
        <w:tblW w:w="8784"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830"/>
        <w:gridCol w:w="1560"/>
        <w:gridCol w:w="1134"/>
        <w:gridCol w:w="1134"/>
        <w:gridCol w:w="2126"/>
      </w:tblGrid>
      <w:tr w:rsidR="00A046DD" w:rsidRPr="00532C20" w14:paraId="639CBE18" w14:textId="77777777">
        <w:trPr>
          <w:cnfStyle w:val="100000000000" w:firstRow="1" w:lastRow="0" w:firstColumn="0" w:lastColumn="0" w:oddVBand="0" w:evenVBand="0" w:oddHBand="0" w:evenHBand="0" w:firstRowFirstColumn="0" w:firstRowLastColumn="0" w:lastRowFirstColumn="0" w:lastRowLastColumn="0"/>
          <w:trHeight w:val="20"/>
        </w:trPr>
        <w:tc>
          <w:tcPr>
            <w:tcW w:w="2830" w:type="dxa"/>
            <w:shd w:val="clear" w:color="auto" w:fill="002060"/>
            <w:noWrap/>
            <w:vAlign w:val="center"/>
            <w:hideMark/>
          </w:tcPr>
          <w:p w14:paraId="278D29AB" w14:textId="77777777" w:rsidR="00A046DD" w:rsidRPr="00532C20" w:rsidRDefault="00A046DD" w:rsidP="00A046DD">
            <w:pPr>
              <w:jc w:val="center"/>
              <w:rPr>
                <w:rFonts w:ascii="Times New Roman" w:hAnsi="Times New Roman" w:cs="Times New Roman"/>
                <w:b/>
                <w:noProof/>
                <w:color w:val="auto"/>
                <w:sz w:val="24"/>
                <w:szCs w:val="24"/>
                <w:lang w:val="en-IE" w:eastAsia="en-GB"/>
              </w:rPr>
            </w:pPr>
          </w:p>
        </w:tc>
        <w:tc>
          <w:tcPr>
            <w:tcW w:w="1560" w:type="dxa"/>
            <w:shd w:val="clear" w:color="auto" w:fill="002060"/>
            <w:noWrap/>
            <w:vAlign w:val="center"/>
            <w:hideMark/>
          </w:tcPr>
          <w:p w14:paraId="6D844854" w14:textId="77777777" w:rsidR="00A046DD" w:rsidRPr="00532C20" w:rsidRDefault="00A046DD" w:rsidP="00A046DD">
            <w:pPr>
              <w:jc w:val="center"/>
              <w:rPr>
                <w:rFonts w:ascii="Times New Roman" w:hAnsi="Times New Roman" w:cs="Times New Roman"/>
                <w:b/>
                <w:noProof/>
                <w:color w:val="auto"/>
                <w:sz w:val="24"/>
                <w:szCs w:val="24"/>
                <w:lang w:val="en-IE" w:eastAsia="en-GB"/>
              </w:rPr>
            </w:pPr>
            <w:r w:rsidRPr="00532C20">
              <w:rPr>
                <w:rFonts w:ascii="Times New Roman" w:hAnsi="Times New Roman" w:cs="Times New Roman"/>
                <w:b/>
                <w:noProof/>
                <w:color w:val="auto"/>
                <w:sz w:val="24"/>
                <w:szCs w:val="24"/>
                <w:lang w:val="en-IE" w:eastAsia="en-GB"/>
              </w:rPr>
              <w:t>Micro / Small (97.3%)</w:t>
            </w:r>
          </w:p>
        </w:tc>
        <w:tc>
          <w:tcPr>
            <w:tcW w:w="1134" w:type="dxa"/>
            <w:shd w:val="clear" w:color="auto" w:fill="002060"/>
            <w:noWrap/>
            <w:vAlign w:val="center"/>
            <w:hideMark/>
          </w:tcPr>
          <w:p w14:paraId="06D7BC19" w14:textId="77777777" w:rsidR="00A046DD" w:rsidRPr="00532C20" w:rsidRDefault="00A046DD" w:rsidP="00A046DD">
            <w:pPr>
              <w:jc w:val="center"/>
              <w:rPr>
                <w:rFonts w:ascii="Times New Roman" w:hAnsi="Times New Roman" w:cs="Times New Roman"/>
                <w:b/>
                <w:noProof/>
                <w:color w:val="auto"/>
                <w:sz w:val="24"/>
                <w:szCs w:val="24"/>
                <w:lang w:val="en-IE" w:eastAsia="en-GB"/>
              </w:rPr>
            </w:pPr>
            <w:r w:rsidRPr="00532C20">
              <w:rPr>
                <w:rFonts w:ascii="Times New Roman" w:hAnsi="Times New Roman" w:cs="Times New Roman"/>
                <w:b/>
                <w:noProof/>
                <w:color w:val="auto"/>
                <w:sz w:val="24"/>
                <w:szCs w:val="24"/>
                <w:lang w:val="en-IE" w:eastAsia="en-GB"/>
              </w:rPr>
              <w:t>Medium (2%)</w:t>
            </w:r>
          </w:p>
        </w:tc>
        <w:tc>
          <w:tcPr>
            <w:tcW w:w="1134" w:type="dxa"/>
            <w:shd w:val="clear" w:color="auto" w:fill="002060"/>
            <w:noWrap/>
            <w:vAlign w:val="center"/>
            <w:hideMark/>
          </w:tcPr>
          <w:p w14:paraId="1D57CF0B" w14:textId="77777777" w:rsidR="00A046DD" w:rsidRPr="00532C20" w:rsidRDefault="00A046DD" w:rsidP="00A046DD">
            <w:pPr>
              <w:jc w:val="center"/>
              <w:rPr>
                <w:rFonts w:ascii="Times New Roman" w:hAnsi="Times New Roman" w:cs="Times New Roman"/>
                <w:b/>
                <w:noProof/>
                <w:color w:val="auto"/>
                <w:sz w:val="24"/>
                <w:szCs w:val="24"/>
                <w:lang w:val="en-IE" w:eastAsia="en-GB"/>
              </w:rPr>
            </w:pPr>
            <w:r w:rsidRPr="00532C20">
              <w:rPr>
                <w:rFonts w:ascii="Times New Roman" w:hAnsi="Times New Roman" w:cs="Times New Roman"/>
                <w:b/>
                <w:noProof/>
                <w:color w:val="auto"/>
                <w:sz w:val="24"/>
                <w:szCs w:val="24"/>
                <w:lang w:val="en-IE" w:eastAsia="en-GB"/>
              </w:rPr>
              <w:t>Large (0.7%)</w:t>
            </w:r>
          </w:p>
        </w:tc>
        <w:tc>
          <w:tcPr>
            <w:tcW w:w="0" w:type="dxa"/>
            <w:shd w:val="clear" w:color="auto" w:fill="002060"/>
            <w:noWrap/>
            <w:vAlign w:val="center"/>
            <w:hideMark/>
          </w:tcPr>
          <w:p w14:paraId="4CAEA92B" w14:textId="77777777" w:rsidR="00A046DD" w:rsidRPr="00532C20" w:rsidRDefault="00A046DD" w:rsidP="00A046DD">
            <w:pPr>
              <w:rPr>
                <w:rFonts w:ascii="Times New Roman" w:hAnsi="Times New Roman" w:cs="Times New Roman"/>
                <w:b/>
                <w:noProof/>
                <w:color w:val="auto"/>
                <w:sz w:val="24"/>
                <w:szCs w:val="24"/>
                <w:lang w:val="en-IE" w:eastAsia="en-GB"/>
              </w:rPr>
            </w:pPr>
            <w:r w:rsidRPr="00532C20">
              <w:rPr>
                <w:rFonts w:ascii="Times New Roman" w:hAnsi="Times New Roman" w:cs="Times New Roman"/>
                <w:b/>
                <w:noProof/>
                <w:color w:val="auto"/>
                <w:sz w:val="24"/>
                <w:szCs w:val="24"/>
                <w:lang w:val="en-IE" w:eastAsia="en-GB"/>
              </w:rPr>
              <w:t>General average costs across all entities</w:t>
            </w:r>
          </w:p>
        </w:tc>
      </w:tr>
      <w:tr w:rsidR="00A046DD" w:rsidRPr="00532C20" w14:paraId="6B8EBFE1" w14:textId="77777777">
        <w:trPr>
          <w:trHeight w:val="20"/>
        </w:trPr>
        <w:tc>
          <w:tcPr>
            <w:tcW w:w="2830" w:type="dxa"/>
            <w:tcBorders>
              <w:bottom w:val="single" w:sz="4" w:space="0" w:color="002060"/>
            </w:tcBorders>
            <w:shd w:val="clear" w:color="auto" w:fill="D9D9D9"/>
            <w:noWrap/>
            <w:vAlign w:val="center"/>
            <w:hideMark/>
          </w:tcPr>
          <w:p w14:paraId="0F359901" w14:textId="77777777" w:rsidR="00A046DD" w:rsidRPr="00532C20" w:rsidRDefault="00A046DD" w:rsidP="00A046DD">
            <w:pPr>
              <w:rPr>
                <w:rFonts w:ascii="Times New Roman" w:hAnsi="Times New Roman" w:cs="Times New Roman"/>
                <w:b/>
                <w:noProof/>
                <w:sz w:val="24"/>
                <w:szCs w:val="24"/>
                <w:lang w:val="en-IE" w:eastAsia="en-GB"/>
              </w:rPr>
            </w:pPr>
            <w:r w:rsidRPr="00532C20">
              <w:rPr>
                <w:rFonts w:ascii="Times New Roman" w:hAnsi="Times New Roman" w:cs="Times New Roman"/>
                <w:b/>
                <w:noProof/>
                <w:sz w:val="24"/>
                <w:szCs w:val="24"/>
                <w:lang w:val="en-IE" w:eastAsia="en-GB"/>
              </w:rPr>
              <w:t>Average total costs per entity</w:t>
            </w:r>
          </w:p>
        </w:tc>
        <w:tc>
          <w:tcPr>
            <w:tcW w:w="1560" w:type="dxa"/>
            <w:tcBorders>
              <w:bottom w:val="single" w:sz="4" w:space="0" w:color="002060"/>
            </w:tcBorders>
            <w:shd w:val="clear" w:color="auto" w:fill="auto"/>
            <w:noWrap/>
            <w:vAlign w:val="center"/>
          </w:tcPr>
          <w:p w14:paraId="163B7FA0" w14:textId="77777777" w:rsidR="00A046DD" w:rsidRPr="00532C20" w:rsidRDefault="00A046DD" w:rsidP="00A046DD">
            <w:pPr>
              <w:jc w:val="right"/>
              <w:rPr>
                <w:rFonts w:ascii="Times New Roman" w:hAnsi="Times New Roman" w:cs="Times New Roman"/>
                <w:noProof/>
                <w:sz w:val="24"/>
                <w:szCs w:val="24"/>
                <w:lang w:val="en-IE" w:eastAsia="en-GB"/>
              </w:rPr>
            </w:pPr>
            <w:r w:rsidRPr="00532C20">
              <w:rPr>
                <w:rFonts w:ascii="Times New Roman" w:hAnsi="Times New Roman" w:cs="Times New Roman"/>
                <w:noProof/>
                <w:sz w:val="24"/>
                <w:szCs w:val="24"/>
                <w:lang w:val="en-IE" w:eastAsia="en-GB"/>
              </w:rPr>
              <w:t>828.49</w:t>
            </w:r>
          </w:p>
        </w:tc>
        <w:tc>
          <w:tcPr>
            <w:tcW w:w="1134" w:type="dxa"/>
            <w:tcBorders>
              <w:bottom w:val="single" w:sz="4" w:space="0" w:color="002060"/>
            </w:tcBorders>
            <w:shd w:val="clear" w:color="auto" w:fill="auto"/>
            <w:noWrap/>
            <w:vAlign w:val="center"/>
          </w:tcPr>
          <w:p w14:paraId="039BE2D0" w14:textId="77777777" w:rsidR="00A046DD" w:rsidRPr="00532C20" w:rsidRDefault="00A046DD" w:rsidP="00A046DD">
            <w:pPr>
              <w:jc w:val="right"/>
              <w:rPr>
                <w:rFonts w:ascii="Times New Roman" w:hAnsi="Times New Roman" w:cs="Times New Roman"/>
                <w:noProof/>
                <w:sz w:val="24"/>
                <w:szCs w:val="24"/>
                <w:lang w:val="en-IE" w:eastAsia="en-GB"/>
              </w:rPr>
            </w:pPr>
            <w:r w:rsidRPr="00532C20">
              <w:rPr>
                <w:rFonts w:ascii="Times New Roman" w:hAnsi="Times New Roman" w:cs="Times New Roman"/>
                <w:noProof/>
                <w:sz w:val="24"/>
                <w:szCs w:val="24"/>
                <w:lang w:val="en-IE" w:eastAsia="en-GB"/>
              </w:rPr>
              <w:t>1,656.97</w:t>
            </w:r>
          </w:p>
        </w:tc>
        <w:tc>
          <w:tcPr>
            <w:tcW w:w="1134" w:type="dxa"/>
            <w:tcBorders>
              <w:bottom w:val="single" w:sz="4" w:space="0" w:color="002060"/>
            </w:tcBorders>
            <w:shd w:val="clear" w:color="auto" w:fill="auto"/>
            <w:noWrap/>
            <w:vAlign w:val="center"/>
          </w:tcPr>
          <w:p w14:paraId="0E58F632" w14:textId="77777777" w:rsidR="00A046DD" w:rsidRPr="00532C20" w:rsidRDefault="00A046DD" w:rsidP="00A046DD">
            <w:pPr>
              <w:jc w:val="right"/>
              <w:rPr>
                <w:rFonts w:ascii="Times New Roman" w:hAnsi="Times New Roman" w:cs="Times New Roman"/>
                <w:noProof/>
                <w:sz w:val="24"/>
                <w:szCs w:val="24"/>
                <w:lang w:val="en-IE" w:eastAsia="en-GB"/>
              </w:rPr>
            </w:pPr>
            <w:r w:rsidRPr="00532C20">
              <w:rPr>
                <w:rFonts w:ascii="Times New Roman" w:hAnsi="Times New Roman" w:cs="Times New Roman"/>
                <w:noProof/>
                <w:sz w:val="24"/>
                <w:szCs w:val="24"/>
                <w:lang w:val="en-IE" w:eastAsia="en-GB"/>
              </w:rPr>
              <w:t>3,313.94</w:t>
            </w:r>
          </w:p>
        </w:tc>
        <w:tc>
          <w:tcPr>
            <w:tcW w:w="2126" w:type="dxa"/>
            <w:tcBorders>
              <w:bottom w:val="single" w:sz="4" w:space="0" w:color="002060"/>
            </w:tcBorders>
            <w:shd w:val="clear" w:color="auto" w:fill="0C4DA2"/>
            <w:noWrap/>
            <w:vAlign w:val="center"/>
          </w:tcPr>
          <w:p w14:paraId="05E98B39" w14:textId="77777777" w:rsidR="00A046DD" w:rsidRPr="00532C20" w:rsidRDefault="00A046DD" w:rsidP="00A046DD">
            <w:pPr>
              <w:jc w:val="right"/>
              <w:rPr>
                <w:rFonts w:ascii="Times New Roman" w:hAnsi="Times New Roman" w:cs="Times New Roman"/>
                <w:b/>
                <w:noProof/>
                <w:sz w:val="24"/>
                <w:szCs w:val="24"/>
                <w:lang w:val="en-IE" w:eastAsia="en-GB"/>
              </w:rPr>
            </w:pPr>
            <w:r w:rsidRPr="00532C20">
              <w:rPr>
                <w:rFonts w:ascii="Times New Roman" w:hAnsi="Times New Roman" w:cs="Times New Roman"/>
                <w:b/>
                <w:noProof/>
                <w:sz w:val="24"/>
                <w:szCs w:val="24"/>
                <w:lang w:val="en-IE" w:eastAsia="en-GB"/>
              </w:rPr>
              <w:t>862.45</w:t>
            </w:r>
          </w:p>
        </w:tc>
      </w:tr>
    </w:tbl>
    <w:p w14:paraId="64FB422C" w14:textId="77777777" w:rsidR="00F8605E" w:rsidRPr="00532C20" w:rsidRDefault="00F8605E" w:rsidP="00F8605E">
      <w:pPr>
        <w:rPr>
          <w:noProof/>
        </w:rPr>
      </w:pPr>
    </w:p>
    <w:p w14:paraId="3B93F65E" w14:textId="216619DF" w:rsidR="00182B2F" w:rsidRPr="00532C20" w:rsidRDefault="00182B2F" w:rsidP="00563021">
      <w:pPr>
        <w:pStyle w:val="ListParagraph"/>
        <w:numPr>
          <w:ilvl w:val="3"/>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 xml:space="preserve">Record-keeping costs </w:t>
      </w:r>
    </w:p>
    <w:p w14:paraId="3D8AADFE"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The third cost type examined is the need for entities within scope to ensure appropriate </w:t>
      </w:r>
      <w:r w:rsidRPr="00532C20">
        <w:rPr>
          <w:rFonts w:ascii="Times New Roman" w:eastAsia="Times New Roman" w:hAnsi="Times New Roman" w:cs="Times New Roman"/>
          <w:b/>
          <w:noProof/>
          <w:sz w:val="24"/>
          <w:szCs w:val="24"/>
        </w:rPr>
        <w:t>record-keeping</w:t>
      </w:r>
      <w:r w:rsidRPr="00532C20">
        <w:rPr>
          <w:rFonts w:ascii="Times New Roman" w:eastAsia="Times New Roman" w:hAnsi="Times New Roman" w:cs="Times New Roman"/>
          <w:noProof/>
          <w:sz w:val="24"/>
          <w:szCs w:val="24"/>
        </w:rPr>
        <w:t>. This would include retaining, for a reasonable period: i) information on the identity of the third country entity on whose behalf the interest representation activities are being carried out; ii) a description of the purpose of the interest representation activity; and iii) contracts and key exchanges with the third country entity to the extent that they are essential to understand the nature and purpose of the interest representation carried out or information or material constituting key components of the interest representation activity.</w:t>
      </w:r>
    </w:p>
    <w:p w14:paraId="0C41AC90"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Beyond supporting the entities in their registration and information disclosure requirements (see above), the purpose of this record-keeping is to ensure sufficient transparency is possible in response to possible supervision or enforcement requests.</w:t>
      </w:r>
    </w:p>
    <w:p w14:paraId="4E85C822"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this context, entities within scope will need to: i) establish the processes and systems to identify and securely retain key information (one-off in year 1); and ii) implement those processes and systems to ensure the continued identification and retention of that information over the remainder of the time horizon (recurrent in years 2-10).</w:t>
      </w:r>
    </w:p>
    <w:p w14:paraId="7D5BA68D"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However, given the existing importance of this information to the provision of services by entities within scope, it is assumed that the costs of formalising such record-keeping obligations in this context could be characterised as </w:t>
      </w:r>
      <w:r w:rsidRPr="00532C20">
        <w:rPr>
          <w:rFonts w:ascii="Times New Roman" w:eastAsia="Times New Roman" w:hAnsi="Times New Roman" w:cs="Times New Roman"/>
          <w:b/>
          <w:noProof/>
          <w:sz w:val="24"/>
          <w:szCs w:val="24"/>
        </w:rPr>
        <w:t>business as usual (BaU) costs</w:t>
      </w:r>
      <w:r w:rsidRPr="00532C20">
        <w:rPr>
          <w:rFonts w:ascii="Times New Roman" w:eastAsia="Times New Roman" w:hAnsi="Times New Roman" w:cs="Times New Roman"/>
          <w:noProof/>
          <w:sz w:val="24"/>
          <w:szCs w:val="24"/>
        </w:rPr>
        <w:t>, thereby adding no incremental costs to the intervention.</w:t>
      </w:r>
    </w:p>
    <w:p w14:paraId="172C6A82" w14:textId="074DC993" w:rsidR="00182B2F" w:rsidRPr="00532C20" w:rsidRDefault="00182B2F" w:rsidP="00563021">
      <w:pPr>
        <w:pStyle w:val="ListParagraph"/>
        <w:numPr>
          <w:ilvl w:val="3"/>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 xml:space="preserve">Other costs (e.g. administrative sanctions, risk-based approach, etc.) </w:t>
      </w:r>
    </w:p>
    <w:p w14:paraId="76880A61"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Beyond these core costs, there are a range of additional costs that could be incurred by entities within scope depending on the implementation specifics. These include i) administrative sanctions; ii) registration fees; iii) costs related to the risk-based approach. Each additional cost item is briefly discussed here.</w:t>
      </w:r>
    </w:p>
    <w:p w14:paraId="5C0317E2" w14:textId="48EF7668"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The </w:t>
      </w:r>
      <w:r w:rsidRPr="00532C20">
        <w:rPr>
          <w:rFonts w:ascii="Times New Roman" w:eastAsia="Times New Roman" w:hAnsi="Times New Roman" w:cs="Times New Roman"/>
          <w:b/>
          <w:noProof/>
          <w:sz w:val="24"/>
          <w:szCs w:val="24"/>
        </w:rPr>
        <w:t>proposed administrative sanctions</w:t>
      </w:r>
      <w:r w:rsidRPr="00532C20">
        <w:rPr>
          <w:rFonts w:ascii="Times New Roman" w:eastAsia="Times New Roman" w:hAnsi="Times New Roman" w:cs="Times New Roman"/>
          <w:noProof/>
          <w:sz w:val="24"/>
          <w:szCs w:val="24"/>
        </w:rPr>
        <w:t xml:space="preserve"> regime within policy option </w:t>
      </w:r>
      <w:r w:rsidR="00D47716" w:rsidRPr="00532C20">
        <w:rPr>
          <w:rFonts w:ascii="Times New Roman" w:eastAsia="Times New Roman" w:hAnsi="Times New Roman" w:cs="Times New Roman"/>
          <w:noProof/>
          <w:sz w:val="24"/>
          <w:szCs w:val="24"/>
        </w:rPr>
        <w:t>2.1</w:t>
      </w:r>
      <w:r w:rsidRPr="00532C20">
        <w:rPr>
          <w:rFonts w:ascii="Times New Roman" w:eastAsia="Times New Roman" w:hAnsi="Times New Roman" w:cs="Times New Roman"/>
          <w:noProof/>
          <w:sz w:val="24"/>
          <w:szCs w:val="24"/>
        </w:rPr>
        <w:t xml:space="preserve"> would allow the imposition of fines on non-compliant interest representation service providers. However, it was not possible to estimate the scale or frequency of potential fines due to a lack of available data on breaches of existing interest representation transparency registers and related sanctions at the national level, twinned with challenges regarding the adequacy of monitoring and enforcement resources and activities across the Member States.</w:t>
      </w:r>
    </w:p>
    <w:p w14:paraId="7DB821A0" w14:textId="259E4CCC"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In addition, while not explicitly included (or excluded) in policy option </w:t>
      </w:r>
      <w:r w:rsidR="00D47716" w:rsidRPr="00532C20">
        <w:rPr>
          <w:rFonts w:ascii="Times New Roman" w:eastAsia="Times New Roman" w:hAnsi="Times New Roman" w:cs="Times New Roman"/>
          <w:noProof/>
          <w:sz w:val="24"/>
          <w:szCs w:val="24"/>
        </w:rPr>
        <w:t>2.1</w:t>
      </w:r>
      <w:r w:rsidRPr="00532C20">
        <w:rPr>
          <w:rFonts w:ascii="Times New Roman" w:eastAsia="Times New Roman" w:hAnsi="Times New Roman" w:cs="Times New Roman"/>
          <w:noProof/>
          <w:sz w:val="24"/>
          <w:szCs w:val="24"/>
        </w:rPr>
        <w:t xml:space="preserve">, Member States may impose </w:t>
      </w:r>
      <w:r w:rsidRPr="00532C20">
        <w:rPr>
          <w:rFonts w:ascii="Times New Roman" w:eastAsia="Times New Roman" w:hAnsi="Times New Roman" w:cs="Times New Roman"/>
          <w:b/>
          <w:noProof/>
          <w:sz w:val="24"/>
          <w:szCs w:val="24"/>
        </w:rPr>
        <w:t>registration fees</w:t>
      </w:r>
      <w:r w:rsidRPr="00532C20">
        <w:rPr>
          <w:rFonts w:ascii="Times New Roman" w:eastAsia="Times New Roman" w:hAnsi="Times New Roman" w:cs="Times New Roman"/>
          <w:noProof/>
          <w:sz w:val="24"/>
          <w:szCs w:val="24"/>
        </w:rPr>
        <w:t xml:space="preserve"> on entities within scope. This is a practice that already occurs in some Member States (e.g. in Slovenia). However, it has not been possible to ascertain the number of Member States that would implement such a registration fee, nor the size of such fees. As such, it has not been possible to quantitatively assess this cost item.</w:t>
      </w:r>
    </w:p>
    <w:p w14:paraId="1BEEDFE1" w14:textId="4A2CC43C"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The final cost item to note in relation to policy option </w:t>
      </w:r>
      <w:r w:rsidR="00D47716" w:rsidRPr="00532C20">
        <w:rPr>
          <w:rFonts w:ascii="Times New Roman" w:eastAsia="Times New Roman" w:hAnsi="Times New Roman" w:cs="Times New Roman"/>
          <w:noProof/>
          <w:sz w:val="24"/>
          <w:szCs w:val="24"/>
        </w:rPr>
        <w:t>2.1</w:t>
      </w:r>
      <w:r w:rsidRPr="00532C20">
        <w:rPr>
          <w:rFonts w:ascii="Times New Roman" w:eastAsia="Times New Roman" w:hAnsi="Times New Roman" w:cs="Times New Roman"/>
          <w:noProof/>
          <w:sz w:val="24"/>
          <w:szCs w:val="24"/>
        </w:rPr>
        <w:t xml:space="preserve"> relates to the </w:t>
      </w:r>
      <w:r w:rsidRPr="00532C20">
        <w:rPr>
          <w:rFonts w:ascii="Times New Roman" w:eastAsia="Times New Roman" w:hAnsi="Times New Roman" w:cs="Times New Roman"/>
          <w:b/>
          <w:noProof/>
          <w:sz w:val="24"/>
          <w:szCs w:val="24"/>
        </w:rPr>
        <w:t>risk-based approach</w:t>
      </w:r>
      <w:r w:rsidRPr="00532C20">
        <w:rPr>
          <w:rFonts w:ascii="Times New Roman" w:eastAsia="Times New Roman" w:hAnsi="Times New Roman" w:cs="Times New Roman"/>
          <w:noProof/>
          <w:sz w:val="24"/>
          <w:szCs w:val="24"/>
        </w:rPr>
        <w:t xml:space="preserve"> proposed. Under this option, entities will be required to provide, at the request of national independent supervisory authorities, the records kept on certain interest representation activities (as detailed above). This may be necessary under 2 scenarios: i) when the entity has received a particularly high amount from a particular third country; or ii) when the entity is carrying out interest representation activities on behalf of a third country that has spent a significant amount on interest representation across the </w:t>
      </w:r>
      <w:r w:rsidR="00E01AB8">
        <w:rPr>
          <w:rFonts w:ascii="Times New Roman" w:eastAsia="Times New Roman" w:hAnsi="Times New Roman" w:cs="Times New Roman"/>
          <w:noProof/>
          <w:sz w:val="24"/>
          <w:szCs w:val="24"/>
        </w:rPr>
        <w:t>Union</w:t>
      </w:r>
      <w:r w:rsidR="00E01AB8" w:rsidRPr="00532C20">
        <w:rPr>
          <w:rFonts w:ascii="Times New Roman" w:eastAsia="Times New Roman" w:hAnsi="Times New Roman" w:cs="Times New Roman"/>
          <w:noProof/>
          <w:sz w:val="24"/>
          <w:szCs w:val="24"/>
        </w:rPr>
        <w:t xml:space="preserve"> </w:t>
      </w:r>
      <w:r w:rsidRPr="00532C20">
        <w:rPr>
          <w:rFonts w:ascii="Times New Roman" w:eastAsia="Times New Roman" w:hAnsi="Times New Roman" w:cs="Times New Roman"/>
          <w:noProof/>
          <w:sz w:val="24"/>
          <w:szCs w:val="24"/>
        </w:rPr>
        <w:t>as a whole. However, it has not been possible to assess the extent to which entities within scope would be subject to such requests for records, primarily due to limited quantitative data available on the scale of interest representation conducted on behalf of third countries across the EU. As such, it has not been possible to quantify this cost item.</w:t>
      </w:r>
    </w:p>
    <w:p w14:paraId="12E64278" w14:textId="060854EC" w:rsidR="001F1FF8" w:rsidRPr="00532C20" w:rsidRDefault="001F1FF8" w:rsidP="00563021">
      <w:pPr>
        <w:pStyle w:val="ListParagraph"/>
        <w:numPr>
          <w:ilvl w:val="3"/>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 xml:space="preserve">Summary of costs under policy option </w:t>
      </w:r>
      <w:r w:rsidR="00D47716" w:rsidRPr="00532C20">
        <w:rPr>
          <w:rFonts w:ascii="Times New Roman" w:eastAsia="Times New Roman" w:hAnsi="Times New Roman" w:cs="Times New Roman"/>
          <w:b/>
          <w:bCs/>
          <w:noProof/>
          <w:u w:val="single"/>
        </w:rPr>
        <w:t>2.1</w:t>
      </w:r>
      <w:r w:rsidRPr="00532C20">
        <w:rPr>
          <w:rFonts w:ascii="Times New Roman" w:eastAsia="Times New Roman" w:hAnsi="Times New Roman" w:cs="Times New Roman"/>
          <w:b/>
          <w:bCs/>
          <w:noProof/>
          <w:u w:val="single"/>
        </w:rPr>
        <w:t xml:space="preserve">: Entities within scope </w:t>
      </w:r>
    </w:p>
    <w:p w14:paraId="08A809CB"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In total, the </w:t>
      </w:r>
      <w:r w:rsidRPr="00532C20">
        <w:rPr>
          <w:rFonts w:ascii="Times New Roman" w:eastAsia="Times New Roman" w:hAnsi="Times New Roman" w:cs="Times New Roman"/>
          <w:b/>
          <w:noProof/>
          <w:sz w:val="24"/>
          <w:szCs w:val="24"/>
        </w:rPr>
        <w:t xml:space="preserve">estimated incremental costs of policy option 2 to entities conducting interest representation activities on behalf of third countries </w:t>
      </w:r>
      <w:r w:rsidRPr="00532C20">
        <w:rPr>
          <w:rFonts w:ascii="Times New Roman" w:eastAsia="Times New Roman" w:hAnsi="Times New Roman" w:cs="Times New Roman"/>
          <w:noProof/>
          <w:sz w:val="24"/>
          <w:szCs w:val="24"/>
        </w:rPr>
        <w:t>over a 10-year time horizon can be summarised as follows:</w:t>
      </w:r>
    </w:p>
    <w:p w14:paraId="318C748F" w14:textId="7714EC2A"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31</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Policy option </w:t>
      </w:r>
      <w:r w:rsidR="00D47716" w:rsidRPr="00532C20">
        <w:rPr>
          <w:rFonts w:ascii="Times New Roman" w:eastAsia="Times New Roman" w:hAnsi="Times New Roman" w:cs="Times New Roman"/>
          <w:b/>
          <w:noProof/>
          <w:sz w:val="24"/>
          <w:szCs w:val="24"/>
        </w:rPr>
        <w:t>2.1</w:t>
      </w:r>
      <w:r w:rsidRPr="00532C20">
        <w:rPr>
          <w:rFonts w:ascii="Times New Roman" w:eastAsia="Times New Roman" w:hAnsi="Times New Roman" w:cs="Times New Roman"/>
          <w:b/>
          <w:noProof/>
          <w:sz w:val="24"/>
          <w:szCs w:val="24"/>
        </w:rPr>
        <w:t xml:space="preserve"> – Summary of total costs to interest representation entities within scope (over 10-years)</w:t>
      </w:r>
    </w:p>
    <w:tbl>
      <w:tblPr>
        <w:tblStyle w:val="12uCharChar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1823"/>
        <w:gridCol w:w="2093"/>
        <w:gridCol w:w="1951"/>
      </w:tblGrid>
      <w:tr w:rsidR="00A046DD" w:rsidRPr="00532C20" w14:paraId="0307FD46"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2830" w:type="dxa"/>
            <w:shd w:val="clear" w:color="auto" w:fill="002060"/>
            <w:vAlign w:val="center"/>
          </w:tcPr>
          <w:p w14:paraId="7460542F" w14:textId="77777777" w:rsidR="00A046DD" w:rsidRPr="00313F32" w:rsidRDefault="00A046DD" w:rsidP="00A046DD">
            <w:pPr>
              <w:rPr>
                <w:rFonts w:ascii="Times New Roman" w:eastAsia="Times" w:hAnsi="Times New Roman" w:cs="Times"/>
                <w:b/>
                <w:noProof/>
                <w:color w:val="auto"/>
                <w:sz w:val="24"/>
                <w:szCs w:val="24"/>
                <w:lang w:val="en-GB"/>
              </w:rPr>
            </w:pPr>
            <w:r w:rsidRPr="00313F32">
              <w:rPr>
                <w:rFonts w:ascii="Times New Roman" w:eastAsia="Times" w:hAnsi="Times New Roman" w:cs="Times"/>
                <w:b/>
                <w:noProof/>
                <w:sz w:val="24"/>
                <w:szCs w:val="24"/>
                <w:lang w:val="fr-FR"/>
              </w:rPr>
              <w:t>Cost item</w:t>
            </w:r>
          </w:p>
        </w:tc>
        <w:tc>
          <w:tcPr>
            <w:tcW w:w="1843" w:type="dxa"/>
            <w:shd w:val="clear" w:color="auto" w:fill="002060"/>
            <w:vAlign w:val="center"/>
          </w:tcPr>
          <w:p w14:paraId="2E8A7ECB" w14:textId="77777777" w:rsidR="00A046DD" w:rsidRPr="00313F32" w:rsidRDefault="00A046DD" w:rsidP="00A046DD">
            <w:pPr>
              <w:jc w:val="center"/>
              <w:rPr>
                <w:rFonts w:ascii="Times New Roman" w:eastAsia="Times" w:hAnsi="Times New Roman" w:cs="Times"/>
                <w:b/>
                <w:noProof/>
                <w:color w:val="auto"/>
                <w:sz w:val="24"/>
                <w:szCs w:val="24"/>
                <w:lang w:val="en-GB"/>
              </w:rPr>
            </w:pPr>
            <w:r w:rsidRPr="00313F32">
              <w:rPr>
                <w:rFonts w:ascii="Times New Roman" w:eastAsia="Times" w:hAnsi="Times New Roman" w:cs="Times"/>
                <w:b/>
                <w:noProof/>
                <w:sz w:val="24"/>
                <w:szCs w:val="24"/>
                <w:lang w:val="fr-FR"/>
              </w:rPr>
              <w:t>Low scenario (EUR)</w:t>
            </w:r>
          </w:p>
        </w:tc>
        <w:tc>
          <w:tcPr>
            <w:tcW w:w="2126" w:type="dxa"/>
            <w:shd w:val="clear" w:color="auto" w:fill="002060"/>
            <w:vAlign w:val="center"/>
          </w:tcPr>
          <w:p w14:paraId="122F04FF" w14:textId="77777777" w:rsidR="00A046DD" w:rsidRPr="00313F32" w:rsidRDefault="00A046DD" w:rsidP="00A046DD">
            <w:pPr>
              <w:jc w:val="center"/>
              <w:rPr>
                <w:rFonts w:ascii="Times New Roman" w:eastAsia="Times" w:hAnsi="Times New Roman" w:cs="Times"/>
                <w:b/>
                <w:noProof/>
                <w:color w:val="auto"/>
                <w:sz w:val="24"/>
                <w:szCs w:val="24"/>
                <w:lang w:val="en-GB"/>
              </w:rPr>
            </w:pPr>
            <w:r w:rsidRPr="00313F32">
              <w:rPr>
                <w:rFonts w:ascii="Times New Roman" w:eastAsia="Times" w:hAnsi="Times New Roman" w:cs="Times"/>
                <w:b/>
                <w:noProof/>
                <w:sz w:val="24"/>
                <w:szCs w:val="24"/>
                <w:lang w:val="fr-FR"/>
              </w:rPr>
              <w:t>Middle scenario (EUR)</w:t>
            </w:r>
          </w:p>
        </w:tc>
        <w:tc>
          <w:tcPr>
            <w:tcW w:w="1972" w:type="dxa"/>
            <w:shd w:val="clear" w:color="auto" w:fill="002060"/>
            <w:vAlign w:val="center"/>
          </w:tcPr>
          <w:p w14:paraId="30DF568C" w14:textId="77777777" w:rsidR="00A046DD" w:rsidRPr="00313F32" w:rsidRDefault="00A046DD" w:rsidP="00A046DD">
            <w:pPr>
              <w:jc w:val="center"/>
              <w:rPr>
                <w:rFonts w:ascii="Times New Roman" w:eastAsia="Times" w:hAnsi="Times New Roman" w:cs="Times"/>
                <w:b/>
                <w:noProof/>
                <w:color w:val="auto"/>
                <w:sz w:val="24"/>
                <w:szCs w:val="24"/>
                <w:lang w:val="en-GB"/>
              </w:rPr>
            </w:pPr>
            <w:r w:rsidRPr="00313F32">
              <w:rPr>
                <w:rFonts w:ascii="Times New Roman" w:eastAsia="Times" w:hAnsi="Times New Roman" w:cs="Times"/>
                <w:b/>
                <w:noProof/>
                <w:sz w:val="24"/>
                <w:szCs w:val="24"/>
                <w:lang w:val="fr-FR"/>
              </w:rPr>
              <w:t>High scenario (EUR)</w:t>
            </w:r>
          </w:p>
        </w:tc>
      </w:tr>
      <w:tr w:rsidR="00A046DD" w:rsidRPr="00532C20" w14:paraId="1E6FD5C9" w14:textId="77777777">
        <w:trPr>
          <w:trHeight w:val="20"/>
        </w:trPr>
        <w:tc>
          <w:tcPr>
            <w:tcW w:w="2830" w:type="dxa"/>
            <w:shd w:val="clear" w:color="auto" w:fill="D9D9D9"/>
            <w:vAlign w:val="center"/>
          </w:tcPr>
          <w:p w14:paraId="648C13AF"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fr-FR"/>
              </w:rPr>
              <w:t>Basic familiarisation costs</w:t>
            </w:r>
          </w:p>
        </w:tc>
        <w:tc>
          <w:tcPr>
            <w:tcW w:w="1843" w:type="dxa"/>
            <w:shd w:val="clear" w:color="auto" w:fill="auto"/>
            <w:vAlign w:val="center"/>
          </w:tcPr>
          <w:p w14:paraId="6CDC15B0"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heme="minorBidi"/>
                <w:noProof/>
                <w:color w:val="000000"/>
                <w:sz w:val="24"/>
                <w:szCs w:val="24"/>
                <w:lang w:val="fr-FR"/>
              </w:rPr>
              <w:t xml:space="preserve">71,165,916.06 </w:t>
            </w:r>
          </w:p>
        </w:tc>
        <w:tc>
          <w:tcPr>
            <w:tcW w:w="2126" w:type="dxa"/>
            <w:shd w:val="clear" w:color="auto" w:fill="auto"/>
            <w:vAlign w:val="center"/>
          </w:tcPr>
          <w:p w14:paraId="5238EE1B"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heme="minorBidi"/>
                <w:noProof/>
                <w:color w:val="000000"/>
                <w:sz w:val="24"/>
                <w:szCs w:val="24"/>
                <w:lang w:val="fr-FR"/>
              </w:rPr>
              <w:t xml:space="preserve">142,338,950.84 </w:t>
            </w:r>
          </w:p>
        </w:tc>
        <w:tc>
          <w:tcPr>
            <w:tcW w:w="1972" w:type="dxa"/>
            <w:shd w:val="clear" w:color="auto" w:fill="auto"/>
            <w:vAlign w:val="center"/>
          </w:tcPr>
          <w:p w14:paraId="6D1374AC"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heme="minorBidi"/>
                <w:noProof/>
                <w:color w:val="000000"/>
                <w:sz w:val="24"/>
                <w:szCs w:val="24"/>
                <w:lang w:val="fr-FR"/>
              </w:rPr>
              <w:t xml:space="preserve">213,519,104.36 </w:t>
            </w:r>
          </w:p>
        </w:tc>
      </w:tr>
      <w:tr w:rsidR="00A046DD" w:rsidRPr="00532C20" w14:paraId="077E8F0D" w14:textId="77777777">
        <w:trPr>
          <w:trHeight w:val="20"/>
        </w:trPr>
        <w:tc>
          <w:tcPr>
            <w:tcW w:w="2830" w:type="dxa"/>
            <w:shd w:val="clear" w:color="auto" w:fill="D9D9D9"/>
            <w:vAlign w:val="center"/>
          </w:tcPr>
          <w:p w14:paraId="436937B1"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fr-FR"/>
              </w:rPr>
              <w:t>Extended familiarisation costs</w:t>
            </w:r>
          </w:p>
        </w:tc>
        <w:tc>
          <w:tcPr>
            <w:tcW w:w="1843" w:type="dxa"/>
            <w:shd w:val="clear" w:color="auto" w:fill="auto"/>
            <w:vAlign w:val="center"/>
          </w:tcPr>
          <w:p w14:paraId="368A5991"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heme="minorBidi"/>
                <w:noProof/>
                <w:color w:val="000000"/>
                <w:sz w:val="24"/>
                <w:szCs w:val="24"/>
                <w:lang w:val="fr-FR"/>
              </w:rPr>
              <w:t>56,949.82</w:t>
            </w:r>
          </w:p>
        </w:tc>
        <w:tc>
          <w:tcPr>
            <w:tcW w:w="2126" w:type="dxa"/>
            <w:shd w:val="clear" w:color="auto" w:fill="auto"/>
            <w:vAlign w:val="center"/>
          </w:tcPr>
          <w:p w14:paraId="749AE877"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heme="minorBidi"/>
                <w:noProof/>
                <w:color w:val="000000"/>
                <w:sz w:val="24"/>
                <w:szCs w:val="24"/>
                <w:lang w:val="fr-FR"/>
              </w:rPr>
              <w:t xml:space="preserve">142,374.54 </w:t>
            </w:r>
          </w:p>
        </w:tc>
        <w:tc>
          <w:tcPr>
            <w:tcW w:w="1972" w:type="dxa"/>
            <w:shd w:val="clear" w:color="auto" w:fill="auto"/>
            <w:vAlign w:val="center"/>
          </w:tcPr>
          <w:p w14:paraId="75D5006F"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heme="minorBidi"/>
                <w:noProof/>
                <w:color w:val="000000"/>
                <w:sz w:val="24"/>
                <w:szCs w:val="24"/>
                <w:lang w:val="fr-FR"/>
              </w:rPr>
              <w:t xml:space="preserve">256,274.18 </w:t>
            </w:r>
          </w:p>
        </w:tc>
      </w:tr>
      <w:tr w:rsidR="00A046DD" w:rsidRPr="00532C20" w14:paraId="0A7A73AF" w14:textId="77777777">
        <w:trPr>
          <w:trHeight w:val="20"/>
        </w:trPr>
        <w:tc>
          <w:tcPr>
            <w:tcW w:w="2830" w:type="dxa"/>
            <w:shd w:val="clear" w:color="auto" w:fill="D9D9D9"/>
            <w:vAlign w:val="center"/>
          </w:tcPr>
          <w:p w14:paraId="1D42886B"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en-IE"/>
              </w:rPr>
              <w:t>Registration and information disclosure costs</w:t>
            </w:r>
          </w:p>
        </w:tc>
        <w:tc>
          <w:tcPr>
            <w:tcW w:w="1843" w:type="dxa"/>
            <w:shd w:val="clear" w:color="auto" w:fill="auto"/>
            <w:vAlign w:val="center"/>
          </w:tcPr>
          <w:p w14:paraId="1C78282C"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rPr>
              <w:t>6,142,119.10</w:t>
            </w:r>
          </w:p>
        </w:tc>
        <w:tc>
          <w:tcPr>
            <w:tcW w:w="2126" w:type="dxa"/>
            <w:shd w:val="clear" w:color="auto" w:fill="auto"/>
            <w:vAlign w:val="center"/>
          </w:tcPr>
          <w:p w14:paraId="48A9D568"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rPr>
              <w:t>7,677,648.90</w:t>
            </w:r>
          </w:p>
        </w:tc>
        <w:tc>
          <w:tcPr>
            <w:tcW w:w="1972" w:type="dxa"/>
            <w:shd w:val="clear" w:color="auto" w:fill="auto"/>
            <w:vAlign w:val="center"/>
          </w:tcPr>
          <w:p w14:paraId="366CE42D" w14:textId="77777777" w:rsidR="00A046DD" w:rsidRPr="00532C20" w:rsidRDefault="00A046DD" w:rsidP="00A046DD">
            <w:pPr>
              <w:jc w:val="right"/>
              <w:rPr>
                <w:rFonts w:ascii="Times New Roman" w:eastAsia="Times" w:hAnsi="Times New Roman" w:cs="Times"/>
                <w:noProof/>
                <w:sz w:val="24"/>
                <w:szCs w:val="24"/>
                <w:lang w:val="en-GB"/>
              </w:rPr>
            </w:pPr>
            <w:r w:rsidRPr="00532C20">
              <w:rPr>
                <w:rFonts w:ascii="Times New Roman" w:eastAsia="Times" w:hAnsi="Times New Roman" w:cstheme="minorBidi"/>
                <w:noProof/>
                <w:sz w:val="24"/>
                <w:szCs w:val="24"/>
              </w:rPr>
              <w:t>9,213,178.70</w:t>
            </w:r>
          </w:p>
        </w:tc>
      </w:tr>
      <w:tr w:rsidR="00A046DD" w:rsidRPr="00532C20" w14:paraId="64762CD0" w14:textId="77777777">
        <w:trPr>
          <w:trHeight w:val="20"/>
        </w:trPr>
        <w:tc>
          <w:tcPr>
            <w:tcW w:w="2830" w:type="dxa"/>
            <w:shd w:val="clear" w:color="auto" w:fill="D9D9D9"/>
            <w:vAlign w:val="center"/>
          </w:tcPr>
          <w:p w14:paraId="16B4B22E"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fr-FR"/>
              </w:rPr>
              <w:t>Record-keeping costs</w:t>
            </w:r>
          </w:p>
        </w:tc>
        <w:tc>
          <w:tcPr>
            <w:tcW w:w="5941" w:type="dxa"/>
            <w:gridSpan w:val="3"/>
            <w:shd w:val="clear" w:color="auto" w:fill="auto"/>
            <w:vAlign w:val="center"/>
          </w:tcPr>
          <w:p w14:paraId="2D244BA1" w14:textId="77777777" w:rsidR="00A046DD" w:rsidRPr="00532C20" w:rsidRDefault="00A046DD" w:rsidP="00A046DD">
            <w:pPr>
              <w:rPr>
                <w:rFonts w:ascii="Times New Roman" w:eastAsia="Times" w:hAnsi="Times New Roman" w:cs="Times"/>
                <w:i/>
                <w:noProof/>
                <w:sz w:val="24"/>
                <w:szCs w:val="24"/>
                <w:lang w:val="en-GB"/>
              </w:rPr>
            </w:pPr>
            <w:r w:rsidRPr="00532C20">
              <w:rPr>
                <w:rFonts w:ascii="Times New Roman" w:eastAsia="Times" w:hAnsi="Times New Roman" w:cs="Times"/>
                <w:i/>
                <w:noProof/>
                <w:sz w:val="24"/>
                <w:szCs w:val="24"/>
                <w:lang w:val="en-IE"/>
              </w:rPr>
              <w:t>Business as usual (BaU) – No incremental costs</w:t>
            </w:r>
          </w:p>
        </w:tc>
      </w:tr>
      <w:tr w:rsidR="00A046DD" w:rsidRPr="00532C20" w14:paraId="32B9A861" w14:textId="77777777">
        <w:trPr>
          <w:trHeight w:val="20"/>
        </w:trPr>
        <w:tc>
          <w:tcPr>
            <w:tcW w:w="2830" w:type="dxa"/>
            <w:shd w:val="clear" w:color="auto" w:fill="D9D9D9"/>
            <w:vAlign w:val="center"/>
          </w:tcPr>
          <w:p w14:paraId="24A212C9" w14:textId="77777777" w:rsidR="00A046DD" w:rsidRPr="00532C20" w:rsidRDefault="00A046DD" w:rsidP="00A046DD">
            <w:pPr>
              <w:rPr>
                <w:rFonts w:ascii="Times New Roman" w:eastAsia="Times" w:hAnsi="Times New Roman" w:cs="Times"/>
                <w:b/>
                <w:noProof/>
                <w:sz w:val="24"/>
                <w:szCs w:val="24"/>
                <w:lang w:val="en-GB"/>
              </w:rPr>
            </w:pPr>
            <w:r w:rsidRPr="00532C20">
              <w:rPr>
                <w:rFonts w:ascii="Times New Roman" w:eastAsia="Times" w:hAnsi="Times New Roman" w:cs="Times"/>
                <w:b/>
                <w:noProof/>
                <w:sz w:val="24"/>
                <w:szCs w:val="24"/>
                <w:lang w:val="en-IE"/>
              </w:rPr>
              <w:t>Other costs (incl. admin sanctions, registration fees)</w:t>
            </w:r>
          </w:p>
        </w:tc>
        <w:tc>
          <w:tcPr>
            <w:tcW w:w="5941" w:type="dxa"/>
            <w:gridSpan w:val="3"/>
            <w:shd w:val="clear" w:color="auto" w:fill="auto"/>
            <w:vAlign w:val="center"/>
          </w:tcPr>
          <w:p w14:paraId="78B78015" w14:textId="77777777" w:rsidR="00A046DD" w:rsidRPr="00532C20" w:rsidRDefault="00A046DD" w:rsidP="00A046DD">
            <w:pPr>
              <w:rPr>
                <w:rFonts w:ascii="Times New Roman" w:eastAsia="Times" w:hAnsi="Times New Roman" w:cs="Times"/>
                <w:i/>
                <w:noProof/>
                <w:sz w:val="24"/>
                <w:szCs w:val="24"/>
                <w:lang w:val="en-GB"/>
              </w:rPr>
            </w:pPr>
            <w:r w:rsidRPr="00532C20">
              <w:rPr>
                <w:rFonts w:ascii="Times New Roman" w:eastAsia="Times" w:hAnsi="Times New Roman" w:cs="Times"/>
                <w:i/>
                <w:noProof/>
                <w:sz w:val="24"/>
                <w:szCs w:val="24"/>
                <w:lang w:val="en-IE"/>
              </w:rPr>
              <w:t>No total cost estimates possible due to lack of evidence on possible frequency and actual scale of fines.</w:t>
            </w:r>
          </w:p>
        </w:tc>
      </w:tr>
      <w:tr w:rsidR="00A046DD" w:rsidRPr="00532C20" w14:paraId="18FEA163" w14:textId="77777777">
        <w:trPr>
          <w:trHeight w:val="20"/>
        </w:trPr>
        <w:tc>
          <w:tcPr>
            <w:tcW w:w="2830" w:type="dxa"/>
            <w:shd w:val="clear" w:color="auto" w:fill="0C4DA2"/>
            <w:vAlign w:val="center"/>
          </w:tcPr>
          <w:p w14:paraId="177D69BB" w14:textId="77777777" w:rsidR="00A046DD" w:rsidRPr="00532C20" w:rsidRDefault="00A046DD" w:rsidP="00A046DD">
            <w:pPr>
              <w:jc w:val="right"/>
              <w:rPr>
                <w:rFonts w:ascii="Times New Roman" w:eastAsia="Times" w:hAnsi="Times New Roman" w:cs="Times"/>
                <w:b/>
                <w:noProof/>
                <w:color w:val="FFFFFF"/>
                <w:sz w:val="24"/>
                <w:szCs w:val="24"/>
                <w:lang w:val="en-GB"/>
              </w:rPr>
            </w:pPr>
            <w:r w:rsidRPr="00532C20">
              <w:rPr>
                <w:rFonts w:ascii="Times New Roman" w:eastAsia="Times" w:hAnsi="Times New Roman" w:cs="Times"/>
                <w:b/>
                <w:noProof/>
                <w:color w:val="FFFFFF"/>
                <w:sz w:val="24"/>
                <w:szCs w:val="24"/>
                <w:lang w:val="fr-FR"/>
              </w:rPr>
              <w:t>Total:</w:t>
            </w:r>
          </w:p>
        </w:tc>
        <w:tc>
          <w:tcPr>
            <w:tcW w:w="1843" w:type="dxa"/>
            <w:shd w:val="clear" w:color="auto" w:fill="D9D9D9"/>
            <w:vAlign w:val="center"/>
          </w:tcPr>
          <w:p w14:paraId="414DF244" w14:textId="77777777" w:rsidR="00A046DD" w:rsidRPr="00532C20" w:rsidRDefault="00A046DD" w:rsidP="00A046DD">
            <w:pPr>
              <w:jc w:val="right"/>
              <w:rPr>
                <w:rFonts w:ascii="Times New Roman" w:eastAsia="Times" w:hAnsi="Times New Roman" w:cs="Times"/>
                <w:b/>
                <w:noProof/>
                <w:sz w:val="24"/>
                <w:szCs w:val="24"/>
                <w:lang w:val="en-GB"/>
              </w:rPr>
            </w:pPr>
            <w:r w:rsidRPr="00532C20">
              <w:rPr>
                <w:rFonts w:ascii="Times New Roman" w:eastAsia="Times" w:hAnsi="Times New Roman" w:cstheme="minorBidi"/>
                <w:b/>
                <w:noProof/>
                <w:color w:val="000000"/>
                <w:sz w:val="24"/>
                <w:szCs w:val="24"/>
                <w:lang w:val="fr-FR"/>
              </w:rPr>
              <w:t>77,364,984.98</w:t>
            </w:r>
          </w:p>
        </w:tc>
        <w:tc>
          <w:tcPr>
            <w:tcW w:w="2126" w:type="dxa"/>
            <w:shd w:val="clear" w:color="auto" w:fill="D9D9D9"/>
            <w:vAlign w:val="center"/>
          </w:tcPr>
          <w:p w14:paraId="6653F18B" w14:textId="77777777" w:rsidR="00A046DD" w:rsidRPr="00532C20" w:rsidRDefault="00A046DD" w:rsidP="00A046DD">
            <w:pPr>
              <w:jc w:val="right"/>
              <w:rPr>
                <w:rFonts w:ascii="Times New Roman" w:eastAsia="Times" w:hAnsi="Times New Roman" w:cs="Times"/>
                <w:b/>
                <w:noProof/>
                <w:sz w:val="24"/>
                <w:szCs w:val="24"/>
                <w:lang w:val="en-GB"/>
              </w:rPr>
            </w:pPr>
            <w:r w:rsidRPr="00532C20">
              <w:rPr>
                <w:rFonts w:ascii="Times New Roman" w:eastAsia="Times" w:hAnsi="Times New Roman" w:cstheme="minorBidi"/>
                <w:b/>
                <w:noProof/>
                <w:color w:val="000000"/>
                <w:sz w:val="24"/>
                <w:szCs w:val="24"/>
                <w:lang w:val="fr-FR"/>
              </w:rPr>
              <w:t>150,158,974.28</w:t>
            </w:r>
          </w:p>
        </w:tc>
        <w:tc>
          <w:tcPr>
            <w:tcW w:w="1972" w:type="dxa"/>
            <w:shd w:val="clear" w:color="auto" w:fill="D9D9D9"/>
            <w:vAlign w:val="center"/>
          </w:tcPr>
          <w:p w14:paraId="3D664F57" w14:textId="77777777" w:rsidR="00A046DD" w:rsidRPr="00532C20" w:rsidRDefault="00A046DD" w:rsidP="00A046DD">
            <w:pPr>
              <w:jc w:val="right"/>
              <w:rPr>
                <w:rFonts w:ascii="Times New Roman" w:eastAsia="Times" w:hAnsi="Times New Roman" w:cs="Times"/>
                <w:b/>
                <w:noProof/>
                <w:sz w:val="24"/>
                <w:szCs w:val="24"/>
                <w:lang w:val="en-GB"/>
              </w:rPr>
            </w:pPr>
            <w:r w:rsidRPr="00532C20">
              <w:rPr>
                <w:rFonts w:ascii="Times New Roman" w:eastAsia="Times" w:hAnsi="Times New Roman" w:cstheme="minorBidi"/>
                <w:b/>
                <w:noProof/>
                <w:color w:val="000000"/>
                <w:sz w:val="24"/>
                <w:szCs w:val="24"/>
                <w:lang w:val="fr-FR"/>
              </w:rPr>
              <w:t>222,988,557.24</w:t>
            </w:r>
          </w:p>
        </w:tc>
      </w:tr>
    </w:tbl>
    <w:p w14:paraId="7B821233"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p>
    <w:p w14:paraId="41E127FE" w14:textId="7697B53B" w:rsidR="001F1FF8" w:rsidRPr="00532C20" w:rsidRDefault="001F1FF8" w:rsidP="00563021">
      <w:pPr>
        <w:pStyle w:val="ListParagraph"/>
        <w:numPr>
          <w:ilvl w:val="2"/>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 xml:space="preserve">Policy option </w:t>
      </w:r>
      <w:r w:rsidR="00D47716" w:rsidRPr="00532C20">
        <w:rPr>
          <w:rFonts w:ascii="Times New Roman" w:eastAsia="Times New Roman" w:hAnsi="Times New Roman" w:cs="Times New Roman"/>
          <w:b/>
          <w:bCs/>
          <w:noProof/>
          <w:u w:val="single"/>
        </w:rPr>
        <w:t>2.2</w:t>
      </w:r>
      <w:r w:rsidRPr="00532C20">
        <w:rPr>
          <w:rFonts w:eastAsia="Symbol" w:cs="Times New Roman"/>
          <w:b/>
          <w:noProof/>
          <w:u w:val="single"/>
        </w:rPr>
        <w:t xml:space="preserve">: Extended legislative intervention </w:t>
      </w:r>
    </w:p>
    <w:p w14:paraId="722AF981" w14:textId="56B42E72"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The description of the policy options and the categorisation of costs highlights that many of the costs borne under policy option </w:t>
      </w:r>
      <w:r w:rsidR="00D47716" w:rsidRPr="00532C20">
        <w:rPr>
          <w:rFonts w:ascii="Times New Roman" w:eastAsia="Times New Roman" w:hAnsi="Times New Roman" w:cs="Times New Roman"/>
          <w:noProof/>
          <w:sz w:val="24"/>
          <w:szCs w:val="24"/>
        </w:rPr>
        <w:t>2.1</w:t>
      </w:r>
      <w:r w:rsidRPr="00532C20">
        <w:rPr>
          <w:rFonts w:ascii="Times New Roman" w:eastAsia="Times New Roman" w:hAnsi="Times New Roman" w:cs="Times New Roman"/>
          <w:noProof/>
          <w:sz w:val="24"/>
          <w:szCs w:val="24"/>
        </w:rPr>
        <w:t xml:space="preserve"> by interest representation entities within scope will also be relevant under policy option </w:t>
      </w:r>
      <w:r w:rsidR="00D47716" w:rsidRPr="00532C20">
        <w:rPr>
          <w:rFonts w:ascii="Times New Roman" w:eastAsia="Times New Roman" w:hAnsi="Times New Roman" w:cs="Times New Roman"/>
          <w:noProof/>
          <w:sz w:val="24"/>
          <w:szCs w:val="24"/>
        </w:rPr>
        <w:t>2.2</w:t>
      </w:r>
      <w:r w:rsidRPr="00532C20">
        <w:rPr>
          <w:rFonts w:ascii="Times New Roman" w:eastAsia="Times New Roman" w:hAnsi="Times New Roman" w:cs="Times New Roman"/>
          <w:noProof/>
          <w:sz w:val="24"/>
          <w:szCs w:val="24"/>
        </w:rPr>
        <w:t>. Concretely, this includes:</w:t>
      </w:r>
    </w:p>
    <w:p w14:paraId="75B2B382" w14:textId="2C8F5895" w:rsidR="00A046DD" w:rsidRPr="00532C20" w:rsidRDefault="00A046DD" w:rsidP="002B0B48">
      <w:pPr>
        <w:numPr>
          <w:ilvl w:val="0"/>
          <w:numId w:val="70"/>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Basic and extended familiarisation costs</w:t>
      </w:r>
      <w:r w:rsidRPr="00532C20">
        <w:rPr>
          <w:rFonts w:ascii="Times New Roman" w:eastAsia="Times New Roman" w:hAnsi="Times New Roman" w:cs="Times New Roman"/>
          <w:noProof/>
          <w:sz w:val="24"/>
          <w:szCs w:val="24"/>
          <w:lang w:eastAsia="en-GB"/>
        </w:rPr>
        <w:t xml:space="preserve">: While the provisions of the interventions under option </w:t>
      </w:r>
      <w:r w:rsidR="00D47716" w:rsidRPr="00532C20">
        <w:rPr>
          <w:rFonts w:ascii="Times New Roman" w:eastAsia="Times New Roman" w:hAnsi="Times New Roman" w:cs="Times New Roman"/>
          <w:noProof/>
          <w:sz w:val="24"/>
          <w:szCs w:val="24"/>
          <w:lang w:eastAsia="en-GB"/>
        </w:rPr>
        <w:t>2.1</w:t>
      </w:r>
      <w:r w:rsidRPr="00532C20">
        <w:rPr>
          <w:rFonts w:ascii="Times New Roman" w:eastAsia="Times New Roman" w:hAnsi="Times New Roman" w:cs="Times New Roman"/>
          <w:noProof/>
          <w:sz w:val="24"/>
          <w:szCs w:val="24"/>
          <w:lang w:eastAsia="en-GB"/>
        </w:rPr>
        <w:t xml:space="preserve"> and </w:t>
      </w:r>
      <w:r w:rsidR="00D47716" w:rsidRPr="00532C20">
        <w:rPr>
          <w:rFonts w:ascii="Times New Roman" w:eastAsia="Times New Roman" w:hAnsi="Times New Roman" w:cs="Times New Roman"/>
          <w:noProof/>
          <w:sz w:val="24"/>
          <w:szCs w:val="24"/>
          <w:lang w:eastAsia="en-GB"/>
        </w:rPr>
        <w:t>2.2</w:t>
      </w:r>
      <w:r w:rsidRPr="00532C20">
        <w:rPr>
          <w:rFonts w:ascii="Times New Roman" w:eastAsia="Times New Roman" w:hAnsi="Times New Roman" w:cs="Times New Roman"/>
          <w:noProof/>
          <w:sz w:val="24"/>
          <w:szCs w:val="24"/>
          <w:lang w:eastAsia="en-GB"/>
        </w:rPr>
        <w:t xml:space="preserve"> will be different, it is assumed that the time taken for familiarisation, as well as the population of entities impacted is the same for both options. Thus, the cost of both the basic and extended familiarisation activities will be the same under policy option </w:t>
      </w:r>
      <w:r w:rsidR="00D47716" w:rsidRPr="00532C20">
        <w:rPr>
          <w:rFonts w:ascii="Times New Roman" w:eastAsia="Times New Roman" w:hAnsi="Times New Roman" w:cs="Times New Roman"/>
          <w:noProof/>
          <w:sz w:val="24"/>
          <w:szCs w:val="24"/>
          <w:lang w:eastAsia="en-GB"/>
        </w:rPr>
        <w:t>2.2</w:t>
      </w:r>
      <w:r w:rsidRPr="00532C20">
        <w:rPr>
          <w:rFonts w:ascii="Times New Roman" w:eastAsia="Times New Roman" w:hAnsi="Times New Roman" w:cs="Times New Roman"/>
          <w:noProof/>
          <w:sz w:val="24"/>
          <w:szCs w:val="24"/>
          <w:lang w:eastAsia="en-GB"/>
        </w:rPr>
        <w:t xml:space="preserve"> and under policy option </w:t>
      </w:r>
      <w:r w:rsidR="00D47716" w:rsidRPr="00532C20">
        <w:rPr>
          <w:rFonts w:ascii="Times New Roman" w:eastAsia="Times New Roman" w:hAnsi="Times New Roman" w:cs="Times New Roman"/>
          <w:noProof/>
          <w:sz w:val="24"/>
          <w:szCs w:val="24"/>
          <w:lang w:eastAsia="en-GB"/>
        </w:rPr>
        <w:t>2.1</w:t>
      </w:r>
      <w:r w:rsidRPr="00532C20">
        <w:rPr>
          <w:rFonts w:ascii="Times New Roman" w:eastAsia="Times New Roman" w:hAnsi="Times New Roman" w:cs="Times New Roman"/>
          <w:noProof/>
          <w:sz w:val="24"/>
          <w:szCs w:val="24"/>
          <w:lang w:eastAsia="en-GB"/>
        </w:rPr>
        <w:t>.</w:t>
      </w:r>
    </w:p>
    <w:p w14:paraId="639D86EC" w14:textId="23FB3D02" w:rsidR="00A046DD" w:rsidRPr="00532C20" w:rsidRDefault="00A046DD" w:rsidP="002B0B48">
      <w:pPr>
        <w:numPr>
          <w:ilvl w:val="0"/>
          <w:numId w:val="70"/>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Registration and information update costs</w:t>
      </w:r>
      <w:r w:rsidRPr="00532C20">
        <w:rPr>
          <w:rFonts w:ascii="Times New Roman" w:eastAsia="Times New Roman" w:hAnsi="Times New Roman" w:cs="Times New Roman"/>
          <w:noProof/>
          <w:sz w:val="24"/>
          <w:szCs w:val="24"/>
          <w:lang w:eastAsia="en-GB"/>
        </w:rPr>
        <w:t xml:space="preserve">: The registration and information disclosure obligations under policy option </w:t>
      </w:r>
      <w:r w:rsidR="00D47716" w:rsidRPr="00532C20">
        <w:rPr>
          <w:rFonts w:ascii="Times New Roman" w:eastAsia="Times New Roman" w:hAnsi="Times New Roman" w:cs="Times New Roman"/>
          <w:noProof/>
          <w:sz w:val="24"/>
          <w:szCs w:val="24"/>
          <w:lang w:eastAsia="en-GB"/>
        </w:rPr>
        <w:t>2.2</w:t>
      </w:r>
      <w:r w:rsidRPr="00532C20">
        <w:rPr>
          <w:rFonts w:ascii="Times New Roman" w:eastAsia="Times New Roman" w:hAnsi="Times New Roman" w:cs="Times New Roman"/>
          <w:noProof/>
          <w:sz w:val="24"/>
          <w:szCs w:val="24"/>
          <w:lang w:eastAsia="en-GB"/>
        </w:rPr>
        <w:t xml:space="preserve"> remain the same as under option </w:t>
      </w:r>
      <w:r w:rsidR="00D47716" w:rsidRPr="00532C20">
        <w:rPr>
          <w:rFonts w:ascii="Times New Roman" w:eastAsia="Times New Roman" w:hAnsi="Times New Roman" w:cs="Times New Roman"/>
          <w:noProof/>
          <w:sz w:val="24"/>
          <w:szCs w:val="24"/>
          <w:lang w:eastAsia="en-GB"/>
        </w:rPr>
        <w:t>2.1</w:t>
      </w:r>
      <w:r w:rsidRPr="00532C20">
        <w:rPr>
          <w:rFonts w:ascii="Times New Roman" w:eastAsia="Times New Roman" w:hAnsi="Times New Roman" w:cs="Times New Roman"/>
          <w:noProof/>
          <w:sz w:val="24"/>
          <w:szCs w:val="24"/>
          <w:lang w:eastAsia="en-GB"/>
        </w:rPr>
        <w:t>. Therefore, the costs will also be the same.</w:t>
      </w:r>
    </w:p>
    <w:p w14:paraId="2D4DFFF3" w14:textId="1786499C" w:rsidR="00A046DD" w:rsidRPr="00532C20" w:rsidRDefault="00A046DD" w:rsidP="002B0B48">
      <w:pPr>
        <w:numPr>
          <w:ilvl w:val="0"/>
          <w:numId w:val="70"/>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Record-keeping costs</w:t>
      </w:r>
      <w:r w:rsidRPr="00532C20">
        <w:rPr>
          <w:rFonts w:ascii="Times New Roman" w:eastAsia="Times New Roman" w:hAnsi="Times New Roman" w:cs="Times New Roman"/>
          <w:noProof/>
          <w:sz w:val="24"/>
          <w:szCs w:val="24"/>
          <w:lang w:eastAsia="en-GB"/>
        </w:rPr>
        <w:t xml:space="preserve">: While there are some subtle differences between the record-keeping requirements under policy options </w:t>
      </w:r>
      <w:r w:rsidR="00D47716" w:rsidRPr="00532C20">
        <w:rPr>
          <w:rFonts w:ascii="Times New Roman" w:eastAsia="Times New Roman" w:hAnsi="Times New Roman" w:cs="Times New Roman"/>
          <w:noProof/>
          <w:sz w:val="24"/>
          <w:szCs w:val="24"/>
          <w:lang w:eastAsia="en-GB"/>
        </w:rPr>
        <w:t>2.1</w:t>
      </w:r>
      <w:r w:rsidRPr="00532C20">
        <w:rPr>
          <w:rFonts w:ascii="Times New Roman" w:eastAsia="Times New Roman" w:hAnsi="Times New Roman" w:cs="Times New Roman"/>
          <w:noProof/>
          <w:sz w:val="24"/>
          <w:szCs w:val="24"/>
          <w:lang w:eastAsia="en-GB"/>
        </w:rPr>
        <w:t xml:space="preserve"> and </w:t>
      </w:r>
      <w:r w:rsidR="00D47716" w:rsidRPr="00532C20">
        <w:rPr>
          <w:rFonts w:ascii="Times New Roman" w:eastAsia="Times New Roman" w:hAnsi="Times New Roman" w:cs="Times New Roman"/>
          <w:noProof/>
          <w:sz w:val="24"/>
          <w:szCs w:val="24"/>
          <w:lang w:eastAsia="en-GB"/>
        </w:rPr>
        <w:t>2.2</w:t>
      </w:r>
      <w:r w:rsidRPr="00532C20">
        <w:rPr>
          <w:rFonts w:ascii="Times New Roman" w:eastAsia="Times New Roman" w:hAnsi="Times New Roman" w:cs="Times New Roman"/>
          <w:noProof/>
          <w:sz w:val="24"/>
          <w:szCs w:val="24"/>
          <w:lang w:eastAsia="en-GB"/>
        </w:rPr>
        <w:t xml:space="preserve">, they are in practice largely similar in nature. Moreover, as for policy option </w:t>
      </w:r>
      <w:r w:rsidR="00D47716" w:rsidRPr="00532C20">
        <w:rPr>
          <w:rFonts w:ascii="Times New Roman" w:eastAsia="Times New Roman" w:hAnsi="Times New Roman" w:cs="Times New Roman"/>
          <w:noProof/>
          <w:sz w:val="24"/>
          <w:szCs w:val="24"/>
          <w:lang w:eastAsia="en-GB"/>
        </w:rPr>
        <w:t>2.1</w:t>
      </w:r>
      <w:r w:rsidRPr="00532C20">
        <w:rPr>
          <w:rFonts w:ascii="Times New Roman" w:eastAsia="Times New Roman" w:hAnsi="Times New Roman" w:cs="Times New Roman"/>
          <w:noProof/>
          <w:sz w:val="24"/>
          <w:szCs w:val="24"/>
          <w:lang w:eastAsia="en-GB"/>
        </w:rPr>
        <w:t>, these obligations could be characterised as BaU costs due to the existing importance of the information to be retained.</w:t>
      </w:r>
    </w:p>
    <w:p w14:paraId="2460DC8E" w14:textId="15C29F5F" w:rsidR="00A046DD" w:rsidRPr="00532C20" w:rsidRDefault="00A046DD" w:rsidP="002B0B48">
      <w:pPr>
        <w:numPr>
          <w:ilvl w:val="0"/>
          <w:numId w:val="70"/>
        </w:numPr>
        <w:spacing w:before="120" w:after="120" w:line="240" w:lineRule="auto"/>
        <w:jc w:val="both"/>
        <w:rPr>
          <w:rFonts w:ascii="Times New Roman" w:eastAsia="Times New Roman" w:hAnsi="Times New Roman" w:cs="Times New Roman"/>
          <w:noProof/>
          <w:sz w:val="24"/>
          <w:szCs w:val="24"/>
          <w:lang w:eastAsia="en-GB"/>
        </w:rPr>
      </w:pPr>
      <w:r w:rsidRPr="00532C20">
        <w:rPr>
          <w:rFonts w:ascii="Times New Roman" w:eastAsia="Times New Roman" w:hAnsi="Times New Roman" w:cs="Times New Roman"/>
          <w:b/>
          <w:noProof/>
          <w:sz w:val="24"/>
          <w:szCs w:val="24"/>
          <w:lang w:eastAsia="en-GB"/>
        </w:rPr>
        <w:t>Other costs</w:t>
      </w:r>
      <w:r w:rsidRPr="00532C20">
        <w:rPr>
          <w:rFonts w:ascii="Times New Roman" w:eastAsia="Times New Roman" w:hAnsi="Times New Roman" w:cs="Times New Roman"/>
          <w:noProof/>
          <w:sz w:val="24"/>
          <w:szCs w:val="24"/>
          <w:lang w:eastAsia="en-GB"/>
        </w:rPr>
        <w:t xml:space="preserve">: Entities within scope could be subject to further costs related to administrative sanctions for non-compliance, registration/application fees and additional information disclosure under the risk-based approach. For the reasons stated under option </w:t>
      </w:r>
      <w:r w:rsidR="00D47716" w:rsidRPr="00532C20">
        <w:rPr>
          <w:rFonts w:ascii="Times New Roman" w:eastAsia="Times New Roman" w:hAnsi="Times New Roman" w:cs="Times New Roman"/>
          <w:noProof/>
          <w:sz w:val="24"/>
          <w:szCs w:val="24"/>
          <w:lang w:eastAsia="en-GB"/>
        </w:rPr>
        <w:t>2.1</w:t>
      </w:r>
      <w:r w:rsidRPr="00532C20">
        <w:rPr>
          <w:rFonts w:ascii="Times New Roman" w:eastAsia="Times New Roman" w:hAnsi="Times New Roman" w:cs="Times New Roman"/>
          <w:noProof/>
          <w:sz w:val="24"/>
          <w:szCs w:val="24"/>
          <w:lang w:eastAsia="en-GB"/>
        </w:rPr>
        <w:t>, it has not been possible to quantify these other costs.</w:t>
      </w:r>
    </w:p>
    <w:p w14:paraId="32F9EDCE" w14:textId="58DE2EA2"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Beyond these costs, however, entities within scope will face additional costs under policy option </w:t>
      </w:r>
      <w:r w:rsidR="00D47716" w:rsidRPr="00532C20">
        <w:rPr>
          <w:rFonts w:ascii="Times New Roman" w:eastAsia="Times New Roman" w:hAnsi="Times New Roman" w:cs="Times New Roman"/>
          <w:noProof/>
          <w:sz w:val="24"/>
          <w:szCs w:val="24"/>
        </w:rPr>
        <w:t>2.2</w:t>
      </w:r>
      <w:r w:rsidRPr="00532C20">
        <w:rPr>
          <w:rFonts w:ascii="Times New Roman" w:eastAsia="Times New Roman" w:hAnsi="Times New Roman" w:cs="Times New Roman"/>
          <w:noProof/>
          <w:sz w:val="24"/>
          <w:szCs w:val="24"/>
        </w:rPr>
        <w:t xml:space="preserve"> that would not be borne under option </w:t>
      </w:r>
      <w:r w:rsidR="00D47716" w:rsidRPr="00532C20">
        <w:rPr>
          <w:rFonts w:ascii="Times New Roman" w:eastAsia="Times New Roman" w:hAnsi="Times New Roman" w:cs="Times New Roman"/>
          <w:noProof/>
          <w:sz w:val="24"/>
          <w:szCs w:val="24"/>
        </w:rPr>
        <w:t>2.1</w:t>
      </w:r>
      <w:r w:rsidRPr="00532C20">
        <w:rPr>
          <w:rFonts w:ascii="Times New Roman" w:eastAsia="Times New Roman" w:hAnsi="Times New Roman" w:cs="Times New Roman"/>
          <w:noProof/>
          <w:sz w:val="24"/>
          <w:szCs w:val="24"/>
        </w:rPr>
        <w:t>. These include due costs related to the prior authorisation / licencing system.</w:t>
      </w:r>
    </w:p>
    <w:p w14:paraId="3924D6D9" w14:textId="5EAFEA2C"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The below table summarises the nature of the different costs to entities carrying out interest representation activities on behalf of third countries that are relevant within policy option </w:t>
      </w:r>
      <w:r w:rsidR="00D47716" w:rsidRPr="00532C20">
        <w:rPr>
          <w:rFonts w:ascii="Times New Roman" w:eastAsia="Times New Roman" w:hAnsi="Times New Roman" w:cs="Times New Roman"/>
          <w:noProof/>
          <w:sz w:val="24"/>
          <w:szCs w:val="24"/>
        </w:rPr>
        <w:t>2.2</w:t>
      </w:r>
      <w:r w:rsidRPr="00532C20">
        <w:rPr>
          <w:rFonts w:ascii="Times New Roman" w:eastAsia="Times New Roman" w:hAnsi="Times New Roman" w:cs="Times New Roman"/>
          <w:noProof/>
          <w:sz w:val="24"/>
          <w:szCs w:val="24"/>
        </w:rPr>
        <w:t>.</w:t>
      </w:r>
    </w:p>
    <w:p w14:paraId="55530298" w14:textId="21B3590C" w:rsidR="00A046DD" w:rsidRPr="00532C20" w:rsidRDefault="00A046DD" w:rsidP="00A046DD">
      <w:pPr>
        <w:keepNext/>
        <w:spacing w:before="120" w:after="120" w:line="240" w:lineRule="auto"/>
        <w:jc w:val="both"/>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32</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Policy option </w:t>
      </w:r>
      <w:r w:rsidR="00D47716" w:rsidRPr="00532C20">
        <w:rPr>
          <w:rFonts w:ascii="Times New Roman" w:eastAsia="Times New Roman" w:hAnsi="Times New Roman" w:cs="Times New Roman"/>
          <w:b/>
          <w:noProof/>
          <w:sz w:val="24"/>
          <w:szCs w:val="24"/>
        </w:rPr>
        <w:t>2.2</w:t>
      </w:r>
      <w:r w:rsidRPr="00532C20">
        <w:rPr>
          <w:rFonts w:ascii="Times New Roman" w:eastAsia="Times New Roman" w:hAnsi="Times New Roman" w:cs="Times New Roman"/>
          <w:b/>
          <w:noProof/>
          <w:sz w:val="24"/>
          <w:szCs w:val="24"/>
        </w:rPr>
        <w:t xml:space="preserve"> – Summary of costs to interest representation entities within 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8"/>
        <w:gridCol w:w="1252"/>
        <w:gridCol w:w="1531"/>
        <w:gridCol w:w="1114"/>
        <w:gridCol w:w="2073"/>
      </w:tblGrid>
      <w:tr w:rsidR="00A046DD" w:rsidRPr="00532C20" w14:paraId="30AFAF7F" w14:textId="77777777">
        <w:trPr>
          <w:trHeight w:val="20"/>
          <w:tblHeader/>
        </w:trPr>
        <w:tc>
          <w:tcPr>
            <w:tcW w:w="1532" w:type="pct"/>
            <w:shd w:val="clear" w:color="auto" w:fill="002060"/>
            <w:noWrap/>
            <w:vAlign w:val="center"/>
          </w:tcPr>
          <w:p w14:paraId="6C977129" w14:textId="77777777" w:rsidR="00A046DD" w:rsidRPr="00532C20" w:rsidRDefault="00A046DD" w:rsidP="00A046DD">
            <w:pPr>
              <w:spacing w:after="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Cost items – Interest representation service providers</w:t>
            </w:r>
          </w:p>
        </w:tc>
        <w:tc>
          <w:tcPr>
            <w:tcW w:w="727" w:type="pct"/>
            <w:shd w:val="clear" w:color="auto" w:fill="002060"/>
            <w:noWrap/>
            <w:vAlign w:val="center"/>
          </w:tcPr>
          <w:p w14:paraId="08DD19F9" w14:textId="77777777" w:rsidR="00A046DD" w:rsidRPr="00532C20" w:rsidRDefault="00A046DD" w:rsidP="00A046DD">
            <w:pPr>
              <w:spacing w:after="0" w:line="240" w:lineRule="auto"/>
              <w:jc w:val="center"/>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One-off vs. recurrent</w:t>
            </w:r>
          </w:p>
        </w:tc>
        <w:tc>
          <w:tcPr>
            <w:tcW w:w="889" w:type="pct"/>
            <w:shd w:val="clear" w:color="auto" w:fill="002060"/>
            <w:noWrap/>
            <w:vAlign w:val="center"/>
          </w:tcPr>
          <w:p w14:paraId="253A2479" w14:textId="77777777" w:rsidR="00A046DD" w:rsidRPr="00532C20" w:rsidRDefault="00A046DD" w:rsidP="00A046DD">
            <w:pPr>
              <w:spacing w:after="0" w:line="240" w:lineRule="auto"/>
              <w:jc w:val="center"/>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Type</w:t>
            </w:r>
          </w:p>
        </w:tc>
        <w:tc>
          <w:tcPr>
            <w:tcW w:w="647" w:type="pct"/>
            <w:shd w:val="clear" w:color="auto" w:fill="002060"/>
            <w:noWrap/>
            <w:vAlign w:val="center"/>
          </w:tcPr>
          <w:p w14:paraId="42960694" w14:textId="77777777" w:rsidR="00A046DD" w:rsidRPr="00532C20" w:rsidRDefault="00A046DD" w:rsidP="00A046DD">
            <w:pPr>
              <w:spacing w:after="0" w:line="240" w:lineRule="auto"/>
              <w:jc w:val="center"/>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Frequency</w:t>
            </w:r>
          </w:p>
        </w:tc>
        <w:tc>
          <w:tcPr>
            <w:tcW w:w="1204" w:type="pct"/>
            <w:shd w:val="clear" w:color="auto" w:fill="002060"/>
            <w:noWrap/>
            <w:vAlign w:val="center"/>
          </w:tcPr>
          <w:p w14:paraId="108746B1" w14:textId="77777777" w:rsidR="00A046DD" w:rsidRPr="00532C20" w:rsidRDefault="00A046DD" w:rsidP="00A046DD">
            <w:pPr>
              <w:spacing w:after="0" w:line="240" w:lineRule="auto"/>
              <w:jc w:val="center"/>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Service providers covered</w:t>
            </w:r>
          </w:p>
        </w:tc>
      </w:tr>
      <w:tr w:rsidR="00A046DD" w:rsidRPr="00532C20" w14:paraId="690E2A54" w14:textId="77777777">
        <w:trPr>
          <w:trHeight w:val="20"/>
        </w:trPr>
        <w:tc>
          <w:tcPr>
            <w:tcW w:w="1532" w:type="pct"/>
            <w:shd w:val="clear" w:color="auto" w:fill="D9D9D9"/>
            <w:noWrap/>
            <w:vAlign w:val="center"/>
            <w:hideMark/>
          </w:tcPr>
          <w:p w14:paraId="5EEC61A5"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Basic familiarisation costs</w:t>
            </w:r>
          </w:p>
        </w:tc>
        <w:tc>
          <w:tcPr>
            <w:tcW w:w="727" w:type="pct"/>
            <w:shd w:val="clear" w:color="auto" w:fill="auto"/>
            <w:noWrap/>
            <w:vAlign w:val="center"/>
            <w:hideMark/>
          </w:tcPr>
          <w:p w14:paraId="2D6ACDDC"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89" w:type="pct"/>
            <w:shd w:val="clear" w:color="auto" w:fill="auto"/>
            <w:noWrap/>
            <w:vAlign w:val="center"/>
            <w:hideMark/>
          </w:tcPr>
          <w:p w14:paraId="75683F5E"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Implementation</w:t>
            </w:r>
          </w:p>
        </w:tc>
        <w:tc>
          <w:tcPr>
            <w:tcW w:w="647" w:type="pct"/>
            <w:shd w:val="clear" w:color="auto" w:fill="auto"/>
            <w:noWrap/>
            <w:vAlign w:val="center"/>
            <w:hideMark/>
          </w:tcPr>
          <w:p w14:paraId="3B54002B"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204" w:type="pct"/>
            <w:shd w:val="clear" w:color="auto" w:fill="auto"/>
            <w:noWrap/>
            <w:vAlign w:val="center"/>
            <w:hideMark/>
          </w:tcPr>
          <w:p w14:paraId="209757C0"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Out of scope entities</w:t>
            </w:r>
          </w:p>
        </w:tc>
      </w:tr>
      <w:tr w:rsidR="00A046DD" w:rsidRPr="00532C20" w14:paraId="712007C5" w14:textId="77777777">
        <w:trPr>
          <w:trHeight w:val="20"/>
        </w:trPr>
        <w:tc>
          <w:tcPr>
            <w:tcW w:w="1532" w:type="pct"/>
            <w:shd w:val="clear" w:color="auto" w:fill="D9D9D9"/>
            <w:noWrap/>
            <w:vAlign w:val="center"/>
            <w:hideMark/>
          </w:tcPr>
          <w:p w14:paraId="5F7AC097"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Extended familiarisation costs</w:t>
            </w:r>
          </w:p>
        </w:tc>
        <w:tc>
          <w:tcPr>
            <w:tcW w:w="727" w:type="pct"/>
            <w:shd w:val="clear" w:color="auto" w:fill="auto"/>
            <w:noWrap/>
            <w:vAlign w:val="center"/>
            <w:hideMark/>
          </w:tcPr>
          <w:p w14:paraId="033B462A"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89" w:type="pct"/>
            <w:shd w:val="clear" w:color="auto" w:fill="auto"/>
            <w:noWrap/>
            <w:vAlign w:val="center"/>
            <w:hideMark/>
          </w:tcPr>
          <w:p w14:paraId="13FF5C8D"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Implementation</w:t>
            </w:r>
          </w:p>
        </w:tc>
        <w:tc>
          <w:tcPr>
            <w:tcW w:w="647" w:type="pct"/>
            <w:shd w:val="clear" w:color="auto" w:fill="auto"/>
            <w:noWrap/>
            <w:vAlign w:val="center"/>
            <w:hideMark/>
          </w:tcPr>
          <w:p w14:paraId="468E55E8"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204" w:type="pct"/>
            <w:shd w:val="clear" w:color="auto" w:fill="auto"/>
            <w:noWrap/>
            <w:vAlign w:val="center"/>
            <w:hideMark/>
          </w:tcPr>
          <w:p w14:paraId="5D82771A"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scope entities</w:t>
            </w:r>
          </w:p>
        </w:tc>
      </w:tr>
      <w:tr w:rsidR="00A046DD" w:rsidRPr="00532C20" w14:paraId="370B7FF0" w14:textId="77777777">
        <w:trPr>
          <w:trHeight w:val="20"/>
        </w:trPr>
        <w:tc>
          <w:tcPr>
            <w:tcW w:w="1532" w:type="pct"/>
            <w:shd w:val="clear" w:color="auto" w:fill="D9D9D9"/>
            <w:noWrap/>
            <w:vAlign w:val="center"/>
            <w:hideMark/>
          </w:tcPr>
          <w:p w14:paraId="74D6FCE9"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Initial registration costs &amp; new registrations per year</w:t>
            </w:r>
          </w:p>
        </w:tc>
        <w:tc>
          <w:tcPr>
            <w:tcW w:w="727" w:type="pct"/>
            <w:shd w:val="clear" w:color="auto" w:fill="auto"/>
            <w:noWrap/>
            <w:vAlign w:val="center"/>
            <w:hideMark/>
          </w:tcPr>
          <w:p w14:paraId="76B169A8"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89" w:type="pct"/>
            <w:shd w:val="clear" w:color="auto" w:fill="auto"/>
            <w:noWrap/>
            <w:vAlign w:val="center"/>
            <w:hideMark/>
          </w:tcPr>
          <w:p w14:paraId="0F2F4B58"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Administrative</w:t>
            </w:r>
          </w:p>
        </w:tc>
        <w:tc>
          <w:tcPr>
            <w:tcW w:w="647" w:type="pct"/>
            <w:shd w:val="clear" w:color="auto" w:fill="auto"/>
            <w:noWrap/>
            <w:vAlign w:val="center"/>
            <w:hideMark/>
          </w:tcPr>
          <w:p w14:paraId="246A2572"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p w14:paraId="172B3BEA"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Years 2-10</w:t>
            </w:r>
          </w:p>
        </w:tc>
        <w:tc>
          <w:tcPr>
            <w:tcW w:w="1204" w:type="pct"/>
            <w:shd w:val="clear" w:color="auto" w:fill="auto"/>
            <w:noWrap/>
            <w:vAlign w:val="center"/>
            <w:hideMark/>
          </w:tcPr>
          <w:p w14:paraId="70A64E01"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In scope entities in MS </w:t>
            </w:r>
            <w:r w:rsidRPr="00532C20">
              <w:rPr>
                <w:rFonts w:ascii="Times New Roman" w:eastAsia="Times New Roman" w:hAnsi="Times New Roman" w:cs="Times New Roman"/>
                <w:noProof/>
                <w:sz w:val="24"/>
                <w:szCs w:val="24"/>
                <w:u w:val="single"/>
              </w:rPr>
              <w:t>without</w:t>
            </w:r>
            <w:r w:rsidRPr="00532C20">
              <w:rPr>
                <w:rFonts w:ascii="Times New Roman" w:eastAsia="Times New Roman" w:hAnsi="Times New Roman" w:cs="Times New Roman"/>
                <w:noProof/>
                <w:sz w:val="24"/>
                <w:szCs w:val="24"/>
              </w:rPr>
              <w:t xml:space="preserve"> register</w:t>
            </w:r>
          </w:p>
        </w:tc>
      </w:tr>
      <w:tr w:rsidR="00A046DD" w:rsidRPr="00532C20" w14:paraId="4722C95B" w14:textId="77777777">
        <w:trPr>
          <w:trHeight w:val="20"/>
        </w:trPr>
        <w:tc>
          <w:tcPr>
            <w:tcW w:w="1532" w:type="pct"/>
            <w:shd w:val="clear" w:color="auto" w:fill="D9D9D9"/>
            <w:noWrap/>
            <w:vAlign w:val="center"/>
            <w:hideMark/>
          </w:tcPr>
          <w:p w14:paraId="4F37F287"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Initial information update costs</w:t>
            </w:r>
          </w:p>
        </w:tc>
        <w:tc>
          <w:tcPr>
            <w:tcW w:w="727" w:type="pct"/>
            <w:shd w:val="clear" w:color="auto" w:fill="auto"/>
            <w:noWrap/>
            <w:vAlign w:val="center"/>
            <w:hideMark/>
          </w:tcPr>
          <w:p w14:paraId="306004CD"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89" w:type="pct"/>
            <w:shd w:val="clear" w:color="auto" w:fill="auto"/>
            <w:noWrap/>
            <w:vAlign w:val="center"/>
            <w:hideMark/>
          </w:tcPr>
          <w:p w14:paraId="6EA50B8E"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Administrative</w:t>
            </w:r>
          </w:p>
        </w:tc>
        <w:tc>
          <w:tcPr>
            <w:tcW w:w="647" w:type="pct"/>
            <w:shd w:val="clear" w:color="auto" w:fill="auto"/>
            <w:noWrap/>
            <w:vAlign w:val="center"/>
            <w:hideMark/>
          </w:tcPr>
          <w:p w14:paraId="4CB933AE"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204" w:type="pct"/>
            <w:shd w:val="clear" w:color="auto" w:fill="auto"/>
            <w:noWrap/>
            <w:vAlign w:val="center"/>
            <w:hideMark/>
          </w:tcPr>
          <w:p w14:paraId="78008608"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In scope entities in MS </w:t>
            </w:r>
            <w:r w:rsidRPr="00532C20">
              <w:rPr>
                <w:rFonts w:ascii="Times New Roman" w:eastAsia="Times New Roman" w:hAnsi="Times New Roman" w:cs="Times New Roman"/>
                <w:noProof/>
                <w:sz w:val="24"/>
                <w:szCs w:val="24"/>
                <w:u w:val="single"/>
              </w:rPr>
              <w:t>with</w:t>
            </w:r>
            <w:r w:rsidRPr="00532C20">
              <w:rPr>
                <w:rFonts w:ascii="Times New Roman" w:eastAsia="Times New Roman" w:hAnsi="Times New Roman" w:cs="Times New Roman"/>
                <w:noProof/>
                <w:sz w:val="24"/>
                <w:szCs w:val="24"/>
              </w:rPr>
              <w:t xml:space="preserve"> register</w:t>
            </w:r>
          </w:p>
        </w:tc>
      </w:tr>
      <w:tr w:rsidR="00A046DD" w:rsidRPr="00532C20" w14:paraId="60C858D4" w14:textId="77777777">
        <w:trPr>
          <w:trHeight w:val="20"/>
        </w:trPr>
        <w:tc>
          <w:tcPr>
            <w:tcW w:w="1532" w:type="pct"/>
            <w:shd w:val="clear" w:color="auto" w:fill="D9D9D9"/>
            <w:noWrap/>
            <w:vAlign w:val="center"/>
            <w:hideMark/>
          </w:tcPr>
          <w:p w14:paraId="1C9389FE"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Regular information provision</w:t>
            </w:r>
          </w:p>
        </w:tc>
        <w:tc>
          <w:tcPr>
            <w:tcW w:w="727" w:type="pct"/>
            <w:shd w:val="clear" w:color="auto" w:fill="auto"/>
            <w:noWrap/>
            <w:vAlign w:val="center"/>
            <w:hideMark/>
          </w:tcPr>
          <w:p w14:paraId="63219842"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Recurrent</w:t>
            </w:r>
          </w:p>
        </w:tc>
        <w:tc>
          <w:tcPr>
            <w:tcW w:w="889" w:type="pct"/>
            <w:shd w:val="clear" w:color="auto" w:fill="auto"/>
            <w:noWrap/>
            <w:vAlign w:val="center"/>
            <w:hideMark/>
          </w:tcPr>
          <w:p w14:paraId="1ADB04A7"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Administrative</w:t>
            </w:r>
          </w:p>
        </w:tc>
        <w:tc>
          <w:tcPr>
            <w:tcW w:w="647" w:type="pct"/>
            <w:shd w:val="clear" w:color="auto" w:fill="auto"/>
            <w:noWrap/>
            <w:vAlign w:val="center"/>
            <w:hideMark/>
          </w:tcPr>
          <w:p w14:paraId="5F4E4AFD"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Years 2-10</w:t>
            </w:r>
          </w:p>
        </w:tc>
        <w:tc>
          <w:tcPr>
            <w:tcW w:w="1204" w:type="pct"/>
            <w:shd w:val="clear" w:color="auto" w:fill="auto"/>
            <w:noWrap/>
            <w:vAlign w:val="center"/>
            <w:hideMark/>
          </w:tcPr>
          <w:p w14:paraId="599FC152"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scope entities</w:t>
            </w:r>
          </w:p>
        </w:tc>
      </w:tr>
      <w:tr w:rsidR="00A046DD" w:rsidRPr="00532C20" w14:paraId="1DF01814" w14:textId="77777777">
        <w:trPr>
          <w:trHeight w:val="20"/>
        </w:trPr>
        <w:tc>
          <w:tcPr>
            <w:tcW w:w="1532" w:type="pct"/>
            <w:shd w:val="clear" w:color="auto" w:fill="D9D9D9"/>
            <w:noWrap/>
            <w:vAlign w:val="center"/>
            <w:hideMark/>
          </w:tcPr>
          <w:p w14:paraId="0104A864"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Establishing record-keeping processes</w:t>
            </w:r>
          </w:p>
        </w:tc>
        <w:tc>
          <w:tcPr>
            <w:tcW w:w="727" w:type="pct"/>
            <w:shd w:val="clear" w:color="auto" w:fill="auto"/>
            <w:noWrap/>
            <w:vAlign w:val="center"/>
            <w:hideMark/>
          </w:tcPr>
          <w:p w14:paraId="2ABCC2F8"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89" w:type="pct"/>
            <w:shd w:val="clear" w:color="auto" w:fill="auto"/>
            <w:noWrap/>
            <w:vAlign w:val="center"/>
            <w:hideMark/>
          </w:tcPr>
          <w:p w14:paraId="2690783E"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Implementation</w:t>
            </w:r>
          </w:p>
        </w:tc>
        <w:tc>
          <w:tcPr>
            <w:tcW w:w="647" w:type="pct"/>
            <w:shd w:val="clear" w:color="auto" w:fill="auto"/>
            <w:noWrap/>
            <w:vAlign w:val="center"/>
            <w:hideMark/>
          </w:tcPr>
          <w:p w14:paraId="0F61A0D4"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204" w:type="pct"/>
            <w:shd w:val="clear" w:color="auto" w:fill="auto"/>
            <w:noWrap/>
            <w:vAlign w:val="center"/>
            <w:hideMark/>
          </w:tcPr>
          <w:p w14:paraId="2F63ACFC"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scope entities</w:t>
            </w:r>
          </w:p>
        </w:tc>
      </w:tr>
      <w:tr w:rsidR="00A046DD" w:rsidRPr="00532C20" w14:paraId="7CD36F0B" w14:textId="77777777">
        <w:trPr>
          <w:trHeight w:val="20"/>
        </w:trPr>
        <w:tc>
          <w:tcPr>
            <w:tcW w:w="1532" w:type="pct"/>
            <w:shd w:val="clear" w:color="auto" w:fill="D9D9D9"/>
            <w:noWrap/>
            <w:vAlign w:val="center"/>
            <w:hideMark/>
          </w:tcPr>
          <w:p w14:paraId="1ED86EE7"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Implementing record-keeping processes</w:t>
            </w:r>
          </w:p>
        </w:tc>
        <w:tc>
          <w:tcPr>
            <w:tcW w:w="727" w:type="pct"/>
            <w:shd w:val="clear" w:color="auto" w:fill="auto"/>
            <w:noWrap/>
            <w:vAlign w:val="center"/>
            <w:hideMark/>
          </w:tcPr>
          <w:p w14:paraId="70235584"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Recurrent</w:t>
            </w:r>
          </w:p>
        </w:tc>
        <w:tc>
          <w:tcPr>
            <w:tcW w:w="889" w:type="pct"/>
            <w:shd w:val="clear" w:color="auto" w:fill="auto"/>
            <w:noWrap/>
            <w:vAlign w:val="center"/>
            <w:hideMark/>
          </w:tcPr>
          <w:p w14:paraId="169496FD"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Implementation</w:t>
            </w:r>
          </w:p>
        </w:tc>
        <w:tc>
          <w:tcPr>
            <w:tcW w:w="647" w:type="pct"/>
            <w:shd w:val="clear" w:color="auto" w:fill="auto"/>
            <w:noWrap/>
            <w:vAlign w:val="center"/>
            <w:hideMark/>
          </w:tcPr>
          <w:p w14:paraId="5D7124AD"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Years 1-10</w:t>
            </w:r>
          </w:p>
        </w:tc>
        <w:tc>
          <w:tcPr>
            <w:tcW w:w="1204" w:type="pct"/>
            <w:shd w:val="clear" w:color="auto" w:fill="auto"/>
            <w:noWrap/>
            <w:vAlign w:val="center"/>
            <w:hideMark/>
          </w:tcPr>
          <w:p w14:paraId="5898E699"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scope entities</w:t>
            </w:r>
          </w:p>
        </w:tc>
      </w:tr>
      <w:tr w:rsidR="00A046DD" w:rsidRPr="00532C20" w14:paraId="70B2D49D" w14:textId="77777777">
        <w:trPr>
          <w:trHeight w:val="20"/>
        </w:trPr>
        <w:tc>
          <w:tcPr>
            <w:tcW w:w="1532" w:type="pct"/>
            <w:shd w:val="clear" w:color="auto" w:fill="D9D9D9"/>
            <w:noWrap/>
            <w:vAlign w:val="center"/>
          </w:tcPr>
          <w:p w14:paraId="5657F5AD" w14:textId="77777777" w:rsidR="00A046DD" w:rsidRPr="00532C20" w:rsidRDefault="00A046DD" w:rsidP="00A046DD">
            <w:pPr>
              <w:spacing w:after="0" w:line="240" w:lineRule="auto"/>
              <w:rPr>
                <w:rFonts w:ascii="Times New Roman" w:eastAsia="Times New Roman" w:hAnsi="Times New Roman" w:cs="Times New Roman"/>
                <w:b/>
                <w:noProof/>
                <w:sz w:val="24"/>
                <w:szCs w:val="24"/>
              </w:rPr>
            </w:pPr>
            <w:r w:rsidRPr="00532C20">
              <w:rPr>
                <w:rFonts w:ascii="Times New Roman" w:eastAsia="Times New Roman" w:hAnsi="Times New Roman" w:cs="Times New Roman"/>
                <w:b/>
                <w:noProof/>
                <w:sz w:val="24"/>
                <w:szCs w:val="24"/>
              </w:rPr>
              <w:t>Prior authorisation / licencing</w:t>
            </w:r>
          </w:p>
        </w:tc>
        <w:tc>
          <w:tcPr>
            <w:tcW w:w="727" w:type="pct"/>
            <w:shd w:val="clear" w:color="auto" w:fill="auto"/>
            <w:noWrap/>
            <w:vAlign w:val="center"/>
          </w:tcPr>
          <w:p w14:paraId="0778D148"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One-off</w:t>
            </w:r>
          </w:p>
        </w:tc>
        <w:tc>
          <w:tcPr>
            <w:tcW w:w="889" w:type="pct"/>
            <w:shd w:val="clear" w:color="auto" w:fill="auto"/>
            <w:noWrap/>
            <w:vAlign w:val="center"/>
          </w:tcPr>
          <w:p w14:paraId="41016C0E"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Administrative</w:t>
            </w:r>
          </w:p>
        </w:tc>
        <w:tc>
          <w:tcPr>
            <w:tcW w:w="647" w:type="pct"/>
            <w:shd w:val="clear" w:color="auto" w:fill="auto"/>
            <w:noWrap/>
            <w:vAlign w:val="center"/>
          </w:tcPr>
          <w:p w14:paraId="6E9B3810"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Year 1</w:t>
            </w:r>
          </w:p>
        </w:tc>
        <w:tc>
          <w:tcPr>
            <w:tcW w:w="1204" w:type="pct"/>
            <w:shd w:val="clear" w:color="auto" w:fill="auto"/>
            <w:noWrap/>
            <w:vAlign w:val="center"/>
          </w:tcPr>
          <w:p w14:paraId="53C2BBFE" w14:textId="77777777" w:rsidR="00A046DD" w:rsidRPr="00532C20" w:rsidRDefault="00A046DD" w:rsidP="00A046DD">
            <w:pPr>
              <w:spacing w:after="0" w:line="240" w:lineRule="auto"/>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scope entities</w:t>
            </w:r>
          </w:p>
        </w:tc>
      </w:tr>
    </w:tbl>
    <w:p w14:paraId="11AD9C5B" w14:textId="28BB29C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Given the costs for the first 3 overarching categories are the same as in policy option </w:t>
      </w:r>
      <w:r w:rsidR="00D47716" w:rsidRPr="00532C20">
        <w:rPr>
          <w:rFonts w:ascii="Times New Roman" w:eastAsia="Times New Roman" w:hAnsi="Times New Roman" w:cs="Times New Roman"/>
          <w:noProof/>
          <w:sz w:val="24"/>
          <w:szCs w:val="24"/>
        </w:rPr>
        <w:t>2.1</w:t>
      </w:r>
      <w:r w:rsidRPr="00532C20">
        <w:rPr>
          <w:rFonts w:ascii="Times New Roman" w:eastAsia="Times New Roman" w:hAnsi="Times New Roman" w:cs="Times New Roman"/>
          <w:noProof/>
          <w:sz w:val="24"/>
          <w:szCs w:val="24"/>
        </w:rPr>
        <w:t>, the focus in this section is on the costs stemming from the prior authorisation / licencing system.</w:t>
      </w:r>
    </w:p>
    <w:p w14:paraId="5987B638" w14:textId="41364A72" w:rsidR="001F1FF8" w:rsidRPr="00532C20" w:rsidRDefault="001F1FF8" w:rsidP="00563021">
      <w:pPr>
        <w:pStyle w:val="ListParagraph"/>
        <w:numPr>
          <w:ilvl w:val="3"/>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 xml:space="preserve">Prior authorisation/licensing system </w:t>
      </w:r>
    </w:p>
    <w:p w14:paraId="50AC9404" w14:textId="77777777"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Under the prior authorisation / licencing system, entities carrying out interest representation activities on behalf of third countries with the objective of influencing a public decision-making process would be required to apply at the Member State level for an EU-wide licence to conduct such interest representation activities.</w:t>
      </w:r>
    </w:p>
    <w:p w14:paraId="07B732E0" w14:textId="2F3E8824"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Within the application for a licence, entities within scope would be required to submit the same information as under the registration obligations of policy option </w:t>
      </w:r>
      <w:r w:rsidR="00D47716" w:rsidRPr="00532C20">
        <w:rPr>
          <w:rFonts w:ascii="Times New Roman" w:eastAsia="Times New Roman" w:hAnsi="Times New Roman" w:cs="Times New Roman"/>
          <w:noProof/>
          <w:sz w:val="24"/>
          <w:szCs w:val="24"/>
        </w:rPr>
        <w:t>2.1</w:t>
      </w:r>
      <w:r w:rsidRPr="00532C20">
        <w:rPr>
          <w:rFonts w:ascii="Times New Roman" w:eastAsia="Times New Roman" w:hAnsi="Times New Roman" w:cs="Times New Roman"/>
          <w:noProof/>
          <w:sz w:val="24"/>
          <w:szCs w:val="24"/>
        </w:rPr>
        <w:t xml:space="preserve">. Thus, </w:t>
      </w:r>
      <w:r w:rsidR="008443B9" w:rsidRPr="00532C20">
        <w:rPr>
          <w:rFonts w:ascii="Times New Roman" w:eastAsia="Times New Roman" w:hAnsi="Times New Roman" w:cs="Times New Roman"/>
          <w:noProof/>
          <w:sz w:val="24"/>
          <w:szCs w:val="24"/>
        </w:rPr>
        <w:t xml:space="preserve">while this could lead to hassle costs (e.g. from delaying the provision of services), </w:t>
      </w:r>
      <w:r w:rsidRPr="00532C20">
        <w:rPr>
          <w:rFonts w:ascii="Times New Roman" w:eastAsia="Times New Roman" w:hAnsi="Times New Roman" w:cs="Times New Roman"/>
          <w:noProof/>
          <w:sz w:val="24"/>
          <w:szCs w:val="24"/>
        </w:rPr>
        <w:t>the core activities, and direct costs, stemming from the prior authorisation / licencing system would be covered by the registration and information update costs detailed above.</w:t>
      </w:r>
    </w:p>
    <w:p w14:paraId="78AADA94" w14:textId="77777777" w:rsidR="00EB448A" w:rsidRPr="00532C20" w:rsidRDefault="00EB448A" w:rsidP="00EB448A">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The Better Regulation Toolbox categorises hassle costs as direct costs of regulation, stating that “hassle costs are often interpreted as ‘regulatory annoyance’ resulting from unnecessary waiting time, delays, redundant legal provisions, corruption, etc.”, further noting that “as this category of costs is not well-defined, in most cases it is not analysed in impact assessments, evaluations and fitness checks”.</w:t>
      </w:r>
    </w:p>
    <w:p w14:paraId="4D905A6C" w14:textId="6C0C6588" w:rsidR="00EB448A" w:rsidRPr="00532C20" w:rsidRDefault="00EB448A" w:rsidP="00EB448A">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In line with this description, the hassle costs identified within the context of PO</w:t>
      </w:r>
      <w:r w:rsidR="00DD2BD9">
        <w:rPr>
          <w:rFonts w:ascii="Times New Roman" w:eastAsia="Times New Roman" w:hAnsi="Times New Roman" w:cs="Times New Roman"/>
          <w:noProof/>
          <w:sz w:val="24"/>
          <w:szCs w:val="24"/>
        </w:rPr>
        <w:t>2.2</w:t>
      </w:r>
      <w:r w:rsidRPr="00532C20">
        <w:rPr>
          <w:rFonts w:ascii="Times New Roman" w:eastAsia="Times New Roman" w:hAnsi="Times New Roman" w:cs="Times New Roman"/>
          <w:noProof/>
          <w:sz w:val="24"/>
          <w:szCs w:val="24"/>
        </w:rPr>
        <w:t xml:space="preserve"> are difficult to define such that quantification is possible. The primary cost foreseen is ‘delaying the provision of services’ due to having to wait for a licence to be granted.</w:t>
      </w:r>
    </w:p>
    <w:p w14:paraId="4BEA865F" w14:textId="395A5E4E" w:rsidR="00EB448A" w:rsidRPr="00532C20" w:rsidRDefault="00EB448A" w:rsidP="00EB448A">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While this should not prevent an entity from conducting other economic activity as it waits, it could ultimately delay payment for the services to be delivered, or even impact the business relationship with the third country on whose behalf the entity is conducting interest representation activities. However, it is not possible to quantify these costs</w:t>
      </w:r>
      <w:r w:rsidR="00B56A6A" w:rsidRPr="00532C20">
        <w:rPr>
          <w:rFonts w:ascii="Times New Roman" w:eastAsia="Times New Roman" w:hAnsi="Times New Roman" w:cs="Times New Roman"/>
          <w:noProof/>
          <w:sz w:val="24"/>
          <w:szCs w:val="24"/>
        </w:rPr>
        <w:t>.</w:t>
      </w:r>
    </w:p>
    <w:p w14:paraId="1A27718D" w14:textId="4F0908EE" w:rsidR="00A046DD" w:rsidRPr="00532C20" w:rsidRDefault="00B56A6A"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Nonetheless</w:t>
      </w:r>
      <w:r w:rsidR="00A046DD" w:rsidRPr="00532C20">
        <w:rPr>
          <w:rFonts w:ascii="Times New Roman" w:eastAsia="Times New Roman" w:hAnsi="Times New Roman" w:cs="Times New Roman"/>
          <w:noProof/>
          <w:sz w:val="24"/>
          <w:szCs w:val="24"/>
        </w:rPr>
        <w:t xml:space="preserve">, the system may have an indirect economic impact on entities within scope that it is not possible to quantify. While registration is necessary under option </w:t>
      </w:r>
      <w:r w:rsidR="00D47716" w:rsidRPr="00532C20">
        <w:rPr>
          <w:rFonts w:ascii="Times New Roman" w:eastAsia="Times New Roman" w:hAnsi="Times New Roman" w:cs="Times New Roman"/>
          <w:noProof/>
          <w:sz w:val="24"/>
          <w:szCs w:val="24"/>
        </w:rPr>
        <w:t>2.1</w:t>
      </w:r>
      <w:r w:rsidR="00A046DD" w:rsidRPr="00532C20">
        <w:rPr>
          <w:rFonts w:ascii="Times New Roman" w:eastAsia="Times New Roman" w:hAnsi="Times New Roman" w:cs="Times New Roman"/>
          <w:noProof/>
          <w:sz w:val="24"/>
          <w:szCs w:val="24"/>
        </w:rPr>
        <w:t xml:space="preserve">, it is a simple process with activities only required by the entities within scope before they can obtain a registration number and conduct interest representation activities on behalf of third countries. Contrastingly, the prior authorisation system to be implemented under policy options </w:t>
      </w:r>
      <w:r w:rsidR="00D47716" w:rsidRPr="00532C20">
        <w:rPr>
          <w:rFonts w:ascii="Times New Roman" w:eastAsia="Times New Roman" w:hAnsi="Times New Roman" w:cs="Times New Roman"/>
          <w:noProof/>
          <w:sz w:val="24"/>
          <w:szCs w:val="24"/>
        </w:rPr>
        <w:t>2.2</w:t>
      </w:r>
      <w:r w:rsidR="00A046DD" w:rsidRPr="00532C20">
        <w:rPr>
          <w:rFonts w:ascii="Times New Roman" w:eastAsia="Times New Roman" w:hAnsi="Times New Roman" w:cs="Times New Roman"/>
          <w:noProof/>
          <w:sz w:val="24"/>
          <w:szCs w:val="24"/>
        </w:rPr>
        <w:t xml:space="preserve"> also requires activities from national authorities – i.e. to assess an application and grant (or not) a licence to operate. The time taken from submitting an application to it being granted could negatively impact the economic capacity of the entity, for instance resulting in a concentration of contracts with entities that are already registered.</w:t>
      </w:r>
    </w:p>
    <w:p w14:paraId="2DB02F89" w14:textId="28A8852E" w:rsidR="001F1FF8" w:rsidRPr="00532C20" w:rsidRDefault="001F1FF8" w:rsidP="00563021">
      <w:pPr>
        <w:pStyle w:val="ListParagraph"/>
        <w:numPr>
          <w:ilvl w:val="3"/>
          <w:numId w:val="76"/>
        </w:numPr>
        <w:rPr>
          <w:rFonts w:ascii="Times New Roman" w:eastAsia="Times New Roman" w:hAnsi="Times New Roman" w:cs="Times New Roman"/>
          <w:b/>
          <w:bCs/>
          <w:noProof/>
          <w:u w:val="single"/>
        </w:rPr>
      </w:pPr>
      <w:r w:rsidRPr="00532C20">
        <w:rPr>
          <w:rFonts w:ascii="Times New Roman" w:eastAsia="Times New Roman" w:hAnsi="Times New Roman" w:cs="Times New Roman"/>
          <w:b/>
          <w:bCs/>
          <w:noProof/>
          <w:u w:val="single"/>
        </w:rPr>
        <w:t xml:space="preserve">Summary of costs under policy option </w:t>
      </w:r>
      <w:r w:rsidR="00D47716" w:rsidRPr="00532C20">
        <w:rPr>
          <w:rFonts w:ascii="Times New Roman" w:eastAsia="Times New Roman" w:hAnsi="Times New Roman" w:cs="Times New Roman"/>
          <w:b/>
          <w:bCs/>
          <w:noProof/>
          <w:u w:val="single"/>
        </w:rPr>
        <w:t>2.2</w:t>
      </w:r>
      <w:r w:rsidRPr="00532C20">
        <w:rPr>
          <w:rFonts w:ascii="Times New Roman" w:eastAsia="Times New Roman" w:hAnsi="Times New Roman" w:cs="Times New Roman"/>
          <w:b/>
          <w:bCs/>
          <w:noProof/>
          <w:u w:val="single"/>
        </w:rPr>
        <w:t>: Entities within scope</w:t>
      </w:r>
    </w:p>
    <w:p w14:paraId="742E6C19" w14:textId="6409ECB5"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noProof/>
          <w:sz w:val="24"/>
          <w:szCs w:val="24"/>
        </w:rPr>
        <w:t xml:space="preserve">In total, the </w:t>
      </w:r>
      <w:r w:rsidRPr="00532C20">
        <w:rPr>
          <w:rFonts w:ascii="Times New Roman" w:eastAsia="Times New Roman" w:hAnsi="Times New Roman" w:cs="Times New Roman"/>
          <w:b/>
          <w:noProof/>
          <w:sz w:val="24"/>
          <w:szCs w:val="24"/>
        </w:rPr>
        <w:t xml:space="preserve">estimated incremental costs of policy option </w:t>
      </w:r>
      <w:r w:rsidR="00D47716" w:rsidRPr="00532C20">
        <w:rPr>
          <w:rFonts w:ascii="Times New Roman" w:eastAsia="Times New Roman" w:hAnsi="Times New Roman" w:cs="Times New Roman"/>
          <w:b/>
          <w:noProof/>
          <w:sz w:val="24"/>
          <w:szCs w:val="24"/>
        </w:rPr>
        <w:t>2.2</w:t>
      </w:r>
      <w:r w:rsidRPr="00532C20">
        <w:rPr>
          <w:rFonts w:ascii="Times New Roman" w:eastAsia="Times New Roman" w:hAnsi="Times New Roman" w:cs="Times New Roman"/>
          <w:b/>
          <w:noProof/>
          <w:sz w:val="24"/>
          <w:szCs w:val="24"/>
        </w:rPr>
        <w:t xml:space="preserve"> to entities conducting interest representation activities on behalf of third countries </w:t>
      </w:r>
      <w:r w:rsidRPr="00532C20">
        <w:rPr>
          <w:rFonts w:ascii="Times New Roman" w:eastAsia="Times New Roman" w:hAnsi="Times New Roman" w:cs="Times New Roman"/>
          <w:noProof/>
          <w:sz w:val="24"/>
          <w:szCs w:val="24"/>
        </w:rPr>
        <w:t>over a 10-year time horizon can be summarised as follows:</w:t>
      </w:r>
    </w:p>
    <w:p w14:paraId="33F5FD3C" w14:textId="2A14CFC3" w:rsidR="00A046DD" w:rsidRPr="00532C20" w:rsidRDefault="00A046DD" w:rsidP="00A046DD">
      <w:pPr>
        <w:spacing w:before="120" w:after="120" w:line="240" w:lineRule="auto"/>
        <w:jc w:val="both"/>
        <w:rPr>
          <w:rFonts w:ascii="Times New Roman" w:eastAsia="Times New Roman" w:hAnsi="Times New Roman" w:cs="Times New Roman"/>
          <w:noProof/>
          <w:sz w:val="24"/>
          <w:szCs w:val="24"/>
        </w:rPr>
      </w:pPr>
      <w:r w:rsidRPr="00532C20">
        <w:rPr>
          <w:rFonts w:ascii="Times New Roman" w:eastAsia="Times New Roman" w:hAnsi="Times New Roman" w:cs="Times New Roman"/>
          <w:b/>
          <w:noProof/>
          <w:sz w:val="24"/>
          <w:szCs w:val="24"/>
        </w:rPr>
        <w:t xml:space="preserve">Table </w:t>
      </w:r>
      <w:r w:rsidRPr="00532C20">
        <w:rPr>
          <w:rFonts w:ascii="Times New Roman" w:eastAsia="Times New Roman" w:hAnsi="Times New Roman" w:cs="Times New Roman"/>
          <w:b/>
          <w:noProof/>
          <w:sz w:val="24"/>
          <w:szCs w:val="24"/>
        </w:rPr>
        <w:fldChar w:fldCharType="begin"/>
      </w:r>
      <w:r w:rsidRPr="00532C20">
        <w:rPr>
          <w:rFonts w:ascii="Times New Roman" w:eastAsia="Times New Roman" w:hAnsi="Times New Roman" w:cs="Times New Roman"/>
          <w:b/>
          <w:noProof/>
          <w:sz w:val="24"/>
          <w:szCs w:val="24"/>
        </w:rPr>
        <w:instrText xml:space="preserve"> SEQ Table \* ARABIC </w:instrText>
      </w:r>
      <w:r w:rsidRPr="00532C20">
        <w:rPr>
          <w:rFonts w:ascii="Times New Roman" w:eastAsia="Times New Roman" w:hAnsi="Times New Roman" w:cs="Times New Roman"/>
          <w:b/>
          <w:noProof/>
          <w:sz w:val="24"/>
          <w:szCs w:val="24"/>
        </w:rPr>
        <w:fldChar w:fldCharType="separate"/>
      </w:r>
      <w:r w:rsidR="00DD4A72">
        <w:rPr>
          <w:rFonts w:ascii="Times New Roman" w:eastAsia="Times New Roman" w:hAnsi="Times New Roman" w:cs="Times New Roman"/>
          <w:b/>
          <w:noProof/>
          <w:sz w:val="24"/>
          <w:szCs w:val="24"/>
        </w:rPr>
        <w:t>33</w:t>
      </w:r>
      <w:r w:rsidRPr="00532C20">
        <w:rPr>
          <w:rFonts w:ascii="Times New Roman" w:eastAsia="Times New Roman" w:hAnsi="Times New Roman" w:cs="Times New Roman"/>
          <w:b/>
          <w:noProof/>
          <w:sz w:val="24"/>
          <w:szCs w:val="24"/>
        </w:rPr>
        <w:fldChar w:fldCharType="end"/>
      </w:r>
      <w:r w:rsidRPr="00532C20">
        <w:rPr>
          <w:rFonts w:ascii="Times New Roman" w:eastAsia="Times New Roman" w:hAnsi="Times New Roman" w:cs="Times New Roman"/>
          <w:b/>
          <w:noProof/>
          <w:sz w:val="24"/>
          <w:szCs w:val="24"/>
        </w:rPr>
        <w:t xml:space="preserve">: Policy option </w:t>
      </w:r>
      <w:r w:rsidR="00D47716" w:rsidRPr="00532C20">
        <w:rPr>
          <w:rFonts w:ascii="Times New Roman" w:eastAsia="Times New Roman" w:hAnsi="Times New Roman" w:cs="Times New Roman"/>
          <w:b/>
          <w:noProof/>
          <w:sz w:val="24"/>
          <w:szCs w:val="24"/>
        </w:rPr>
        <w:t>2.2</w:t>
      </w:r>
      <w:r w:rsidRPr="00532C20">
        <w:rPr>
          <w:rFonts w:ascii="Times New Roman" w:eastAsia="Times New Roman" w:hAnsi="Times New Roman" w:cs="Times New Roman"/>
          <w:b/>
          <w:noProof/>
          <w:sz w:val="24"/>
          <w:szCs w:val="24"/>
        </w:rPr>
        <w:t xml:space="preserve"> – Summary of total costs to interest representation entities within scope (over 10-years)</w:t>
      </w:r>
    </w:p>
    <w:tbl>
      <w:tblPr>
        <w:tblStyle w:val="12uCharChar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1815"/>
        <w:gridCol w:w="2089"/>
        <w:gridCol w:w="1943"/>
      </w:tblGrid>
      <w:tr w:rsidR="00A046DD" w:rsidRPr="00532C20" w14:paraId="5240D686"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2761" w:type="dxa"/>
            <w:shd w:val="clear" w:color="auto" w:fill="002060"/>
            <w:vAlign w:val="center"/>
          </w:tcPr>
          <w:p w14:paraId="7F00ADE6" w14:textId="77777777" w:rsidR="00A046DD" w:rsidRPr="00313F32" w:rsidRDefault="00A046DD" w:rsidP="00A046DD">
            <w:pPr>
              <w:rPr>
                <w:rFonts w:ascii="Times New Roman" w:hAnsi="Times New Roman"/>
                <w:b/>
                <w:noProof/>
                <w:sz w:val="24"/>
                <w:szCs w:val="24"/>
                <w:lang w:val="en-GB"/>
              </w:rPr>
            </w:pPr>
            <w:r w:rsidRPr="00313F32">
              <w:rPr>
                <w:rFonts w:ascii="Times New Roman" w:hAnsi="Times New Roman"/>
                <w:b/>
                <w:noProof/>
                <w:sz w:val="24"/>
                <w:szCs w:val="24"/>
              </w:rPr>
              <w:t>Cost item</w:t>
            </w:r>
          </w:p>
        </w:tc>
        <w:tc>
          <w:tcPr>
            <w:tcW w:w="1815" w:type="dxa"/>
            <w:shd w:val="clear" w:color="auto" w:fill="002060"/>
            <w:vAlign w:val="center"/>
          </w:tcPr>
          <w:p w14:paraId="581C5F38" w14:textId="77777777" w:rsidR="00A046DD" w:rsidRPr="00313F32" w:rsidRDefault="00A046DD" w:rsidP="00A046DD">
            <w:pPr>
              <w:jc w:val="center"/>
              <w:rPr>
                <w:rFonts w:ascii="Times New Roman" w:hAnsi="Times New Roman"/>
                <w:b/>
                <w:noProof/>
                <w:sz w:val="24"/>
                <w:szCs w:val="24"/>
                <w:lang w:val="en-GB"/>
              </w:rPr>
            </w:pPr>
            <w:r w:rsidRPr="00313F32">
              <w:rPr>
                <w:rFonts w:ascii="Times New Roman" w:hAnsi="Times New Roman"/>
                <w:b/>
                <w:noProof/>
                <w:sz w:val="24"/>
                <w:szCs w:val="24"/>
              </w:rPr>
              <w:t>Low scenario (EUR)</w:t>
            </w:r>
          </w:p>
        </w:tc>
        <w:tc>
          <w:tcPr>
            <w:tcW w:w="2089" w:type="dxa"/>
            <w:shd w:val="clear" w:color="auto" w:fill="002060"/>
            <w:vAlign w:val="center"/>
          </w:tcPr>
          <w:p w14:paraId="537DBB30" w14:textId="77777777" w:rsidR="00A046DD" w:rsidRPr="00313F32" w:rsidRDefault="00A046DD" w:rsidP="00A046DD">
            <w:pPr>
              <w:jc w:val="center"/>
              <w:rPr>
                <w:rFonts w:ascii="Times New Roman" w:hAnsi="Times New Roman"/>
                <w:b/>
                <w:noProof/>
                <w:sz w:val="24"/>
                <w:szCs w:val="24"/>
                <w:lang w:val="en-GB"/>
              </w:rPr>
            </w:pPr>
            <w:r w:rsidRPr="00313F32">
              <w:rPr>
                <w:rFonts w:ascii="Times New Roman" w:hAnsi="Times New Roman"/>
                <w:b/>
                <w:noProof/>
                <w:sz w:val="24"/>
                <w:szCs w:val="24"/>
              </w:rPr>
              <w:t>Middle scenario (EUR)</w:t>
            </w:r>
          </w:p>
        </w:tc>
        <w:tc>
          <w:tcPr>
            <w:tcW w:w="1943" w:type="dxa"/>
            <w:shd w:val="clear" w:color="auto" w:fill="002060"/>
            <w:vAlign w:val="center"/>
          </w:tcPr>
          <w:p w14:paraId="19830418" w14:textId="77777777" w:rsidR="00A046DD" w:rsidRPr="00313F32" w:rsidRDefault="00A046DD" w:rsidP="00A046DD">
            <w:pPr>
              <w:jc w:val="center"/>
              <w:rPr>
                <w:rFonts w:ascii="Times New Roman" w:hAnsi="Times New Roman"/>
                <w:b/>
                <w:noProof/>
                <w:sz w:val="24"/>
                <w:szCs w:val="24"/>
                <w:lang w:val="en-GB"/>
              </w:rPr>
            </w:pPr>
            <w:r w:rsidRPr="00313F32">
              <w:rPr>
                <w:rFonts w:ascii="Times New Roman" w:hAnsi="Times New Roman"/>
                <w:b/>
                <w:noProof/>
                <w:sz w:val="24"/>
                <w:szCs w:val="24"/>
              </w:rPr>
              <w:t>High scenario (EUR)</w:t>
            </w:r>
          </w:p>
        </w:tc>
      </w:tr>
      <w:tr w:rsidR="00A046DD" w:rsidRPr="00532C20" w14:paraId="2B7E3D28" w14:textId="77777777">
        <w:trPr>
          <w:trHeight w:val="20"/>
        </w:trPr>
        <w:tc>
          <w:tcPr>
            <w:tcW w:w="2761" w:type="dxa"/>
            <w:shd w:val="clear" w:color="auto" w:fill="D9D9D9"/>
            <w:vAlign w:val="center"/>
          </w:tcPr>
          <w:p w14:paraId="1C72A94D" w14:textId="77777777" w:rsidR="00A046DD" w:rsidRPr="00532C20" w:rsidRDefault="00A046DD" w:rsidP="00A046DD">
            <w:pPr>
              <w:rPr>
                <w:rFonts w:ascii="Times New Roman" w:hAnsi="Times New Roman"/>
                <w:b/>
                <w:noProof/>
                <w:sz w:val="24"/>
                <w:szCs w:val="24"/>
                <w:lang w:val="en-GB"/>
              </w:rPr>
            </w:pPr>
            <w:r w:rsidRPr="00532C20">
              <w:rPr>
                <w:rFonts w:ascii="Times New Roman" w:hAnsi="Times New Roman"/>
                <w:b/>
                <w:noProof/>
                <w:sz w:val="24"/>
                <w:szCs w:val="24"/>
              </w:rPr>
              <w:t>Basic familiarisation costs</w:t>
            </w:r>
          </w:p>
        </w:tc>
        <w:tc>
          <w:tcPr>
            <w:tcW w:w="1815" w:type="dxa"/>
            <w:shd w:val="clear" w:color="auto" w:fill="auto"/>
            <w:vAlign w:val="center"/>
          </w:tcPr>
          <w:p w14:paraId="75D5A18C"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color w:val="000000"/>
                <w:sz w:val="24"/>
                <w:szCs w:val="24"/>
                <w:lang w:val="fr-FR"/>
              </w:rPr>
              <w:t xml:space="preserve">71,165,916.06 </w:t>
            </w:r>
          </w:p>
        </w:tc>
        <w:tc>
          <w:tcPr>
            <w:tcW w:w="2089" w:type="dxa"/>
            <w:shd w:val="clear" w:color="auto" w:fill="auto"/>
            <w:vAlign w:val="center"/>
          </w:tcPr>
          <w:p w14:paraId="1FA36901"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color w:val="000000"/>
                <w:sz w:val="24"/>
                <w:szCs w:val="24"/>
                <w:lang w:val="fr-FR"/>
              </w:rPr>
              <w:t xml:space="preserve">142,338,950.84 </w:t>
            </w:r>
          </w:p>
        </w:tc>
        <w:tc>
          <w:tcPr>
            <w:tcW w:w="1943" w:type="dxa"/>
            <w:shd w:val="clear" w:color="auto" w:fill="auto"/>
            <w:vAlign w:val="center"/>
          </w:tcPr>
          <w:p w14:paraId="5B0009A1"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color w:val="000000"/>
                <w:sz w:val="24"/>
                <w:szCs w:val="24"/>
                <w:lang w:val="fr-FR"/>
              </w:rPr>
              <w:t xml:space="preserve">213,519,104.36 </w:t>
            </w:r>
          </w:p>
        </w:tc>
      </w:tr>
      <w:tr w:rsidR="00A046DD" w:rsidRPr="00532C20" w14:paraId="0340B17D" w14:textId="77777777">
        <w:trPr>
          <w:trHeight w:val="20"/>
        </w:trPr>
        <w:tc>
          <w:tcPr>
            <w:tcW w:w="2761" w:type="dxa"/>
            <w:shd w:val="clear" w:color="auto" w:fill="D9D9D9"/>
            <w:vAlign w:val="center"/>
          </w:tcPr>
          <w:p w14:paraId="24FCEEF1" w14:textId="77777777" w:rsidR="00A046DD" w:rsidRPr="00532C20" w:rsidRDefault="00A046DD" w:rsidP="00A046DD">
            <w:pPr>
              <w:rPr>
                <w:rFonts w:ascii="Times New Roman" w:hAnsi="Times New Roman"/>
                <w:b/>
                <w:noProof/>
                <w:sz w:val="24"/>
                <w:szCs w:val="24"/>
                <w:lang w:val="en-GB"/>
              </w:rPr>
            </w:pPr>
            <w:r w:rsidRPr="00532C20">
              <w:rPr>
                <w:rFonts w:ascii="Times New Roman" w:hAnsi="Times New Roman"/>
                <w:b/>
                <w:noProof/>
                <w:sz w:val="24"/>
                <w:szCs w:val="24"/>
              </w:rPr>
              <w:t>Extended familiarisation costs</w:t>
            </w:r>
          </w:p>
        </w:tc>
        <w:tc>
          <w:tcPr>
            <w:tcW w:w="1815" w:type="dxa"/>
            <w:shd w:val="clear" w:color="auto" w:fill="auto"/>
            <w:vAlign w:val="center"/>
          </w:tcPr>
          <w:p w14:paraId="16674B00"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color w:val="000000"/>
                <w:sz w:val="24"/>
                <w:szCs w:val="24"/>
                <w:lang w:val="fr-FR"/>
              </w:rPr>
              <w:t>56,949.82</w:t>
            </w:r>
          </w:p>
        </w:tc>
        <w:tc>
          <w:tcPr>
            <w:tcW w:w="2089" w:type="dxa"/>
            <w:shd w:val="clear" w:color="auto" w:fill="auto"/>
            <w:vAlign w:val="center"/>
          </w:tcPr>
          <w:p w14:paraId="13B5025D"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color w:val="000000"/>
                <w:sz w:val="24"/>
                <w:szCs w:val="24"/>
                <w:lang w:val="fr-FR"/>
              </w:rPr>
              <w:t xml:space="preserve">142,374.54 </w:t>
            </w:r>
          </w:p>
        </w:tc>
        <w:tc>
          <w:tcPr>
            <w:tcW w:w="1943" w:type="dxa"/>
            <w:shd w:val="clear" w:color="auto" w:fill="auto"/>
            <w:vAlign w:val="center"/>
          </w:tcPr>
          <w:p w14:paraId="22286894"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color w:val="000000"/>
                <w:sz w:val="24"/>
                <w:szCs w:val="24"/>
                <w:lang w:val="fr-FR"/>
              </w:rPr>
              <w:t xml:space="preserve">256,274.18 </w:t>
            </w:r>
          </w:p>
        </w:tc>
      </w:tr>
      <w:tr w:rsidR="00A046DD" w:rsidRPr="00532C20" w14:paraId="7D0AC76A" w14:textId="77777777">
        <w:trPr>
          <w:trHeight w:val="20"/>
        </w:trPr>
        <w:tc>
          <w:tcPr>
            <w:tcW w:w="2761" w:type="dxa"/>
            <w:shd w:val="clear" w:color="auto" w:fill="D9D9D9"/>
            <w:vAlign w:val="center"/>
          </w:tcPr>
          <w:p w14:paraId="63E5B2F8" w14:textId="77777777" w:rsidR="00A046DD" w:rsidRPr="00532C20" w:rsidRDefault="00A046DD" w:rsidP="00A046DD">
            <w:pPr>
              <w:rPr>
                <w:rFonts w:ascii="Times New Roman" w:hAnsi="Times New Roman"/>
                <w:b/>
                <w:noProof/>
                <w:sz w:val="24"/>
                <w:szCs w:val="24"/>
                <w:lang w:val="en-GB"/>
              </w:rPr>
            </w:pPr>
            <w:r w:rsidRPr="00532C20">
              <w:rPr>
                <w:rFonts w:ascii="Times New Roman" w:hAnsi="Times New Roman"/>
                <w:b/>
                <w:noProof/>
                <w:sz w:val="24"/>
                <w:szCs w:val="24"/>
                <w:lang w:val="en-IE"/>
              </w:rPr>
              <w:t>Registration and information disclosure costs</w:t>
            </w:r>
          </w:p>
        </w:tc>
        <w:tc>
          <w:tcPr>
            <w:tcW w:w="1815" w:type="dxa"/>
            <w:shd w:val="clear" w:color="auto" w:fill="auto"/>
            <w:vAlign w:val="center"/>
          </w:tcPr>
          <w:p w14:paraId="7E0FB486"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sz w:val="24"/>
                <w:szCs w:val="24"/>
              </w:rPr>
              <w:t>6,142,119.10</w:t>
            </w:r>
          </w:p>
        </w:tc>
        <w:tc>
          <w:tcPr>
            <w:tcW w:w="2089" w:type="dxa"/>
            <w:shd w:val="clear" w:color="auto" w:fill="auto"/>
            <w:vAlign w:val="center"/>
          </w:tcPr>
          <w:p w14:paraId="3B8D871E"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sz w:val="24"/>
                <w:szCs w:val="24"/>
              </w:rPr>
              <w:t>7,677,648.90</w:t>
            </w:r>
          </w:p>
        </w:tc>
        <w:tc>
          <w:tcPr>
            <w:tcW w:w="1943" w:type="dxa"/>
            <w:shd w:val="clear" w:color="auto" w:fill="auto"/>
            <w:vAlign w:val="center"/>
          </w:tcPr>
          <w:p w14:paraId="3F856F47" w14:textId="77777777" w:rsidR="00A046DD" w:rsidRPr="00532C20" w:rsidRDefault="00A046DD" w:rsidP="00A046DD">
            <w:pPr>
              <w:jc w:val="right"/>
              <w:rPr>
                <w:rFonts w:ascii="Times New Roman" w:hAnsi="Times New Roman"/>
                <w:noProof/>
                <w:sz w:val="24"/>
                <w:szCs w:val="24"/>
                <w:lang w:val="en-GB"/>
              </w:rPr>
            </w:pPr>
            <w:r w:rsidRPr="00532C20">
              <w:rPr>
                <w:rFonts w:ascii="Times New Roman" w:hAnsi="Times New Roman"/>
                <w:noProof/>
                <w:sz w:val="24"/>
                <w:szCs w:val="24"/>
              </w:rPr>
              <w:t>9,213,178.70</w:t>
            </w:r>
          </w:p>
        </w:tc>
      </w:tr>
      <w:tr w:rsidR="00A046DD" w:rsidRPr="00532C20" w14:paraId="324035B2" w14:textId="77777777">
        <w:trPr>
          <w:trHeight w:val="20"/>
        </w:trPr>
        <w:tc>
          <w:tcPr>
            <w:tcW w:w="2761" w:type="dxa"/>
            <w:shd w:val="clear" w:color="auto" w:fill="D9D9D9"/>
            <w:vAlign w:val="center"/>
          </w:tcPr>
          <w:p w14:paraId="2191186F" w14:textId="77777777" w:rsidR="00A046DD" w:rsidRPr="00532C20" w:rsidRDefault="00A046DD" w:rsidP="00A046DD">
            <w:pPr>
              <w:rPr>
                <w:rFonts w:ascii="Times New Roman" w:hAnsi="Times New Roman"/>
                <w:b/>
                <w:noProof/>
                <w:sz w:val="24"/>
                <w:szCs w:val="24"/>
                <w:lang w:val="en-GB"/>
              </w:rPr>
            </w:pPr>
            <w:r w:rsidRPr="00532C20">
              <w:rPr>
                <w:rFonts w:ascii="Times New Roman" w:hAnsi="Times New Roman"/>
                <w:b/>
                <w:noProof/>
                <w:sz w:val="24"/>
                <w:szCs w:val="24"/>
              </w:rPr>
              <w:t>Record-keeping costs</w:t>
            </w:r>
          </w:p>
        </w:tc>
        <w:tc>
          <w:tcPr>
            <w:tcW w:w="5847" w:type="dxa"/>
            <w:gridSpan w:val="3"/>
            <w:shd w:val="clear" w:color="auto" w:fill="auto"/>
            <w:vAlign w:val="center"/>
          </w:tcPr>
          <w:p w14:paraId="56631597" w14:textId="77777777" w:rsidR="00A046DD" w:rsidRPr="00532C20" w:rsidRDefault="00A046DD" w:rsidP="00A046DD">
            <w:pPr>
              <w:rPr>
                <w:rFonts w:ascii="Times New Roman" w:hAnsi="Times New Roman"/>
                <w:i/>
                <w:noProof/>
                <w:sz w:val="24"/>
                <w:szCs w:val="24"/>
                <w:lang w:val="en-GB"/>
              </w:rPr>
            </w:pPr>
            <w:r w:rsidRPr="00532C20">
              <w:rPr>
                <w:rFonts w:ascii="Times New Roman" w:hAnsi="Times New Roman"/>
                <w:i/>
                <w:noProof/>
                <w:sz w:val="24"/>
                <w:szCs w:val="24"/>
                <w:lang w:val="en-IE"/>
              </w:rPr>
              <w:t>Business as usual (BaU) – No incremental costs</w:t>
            </w:r>
          </w:p>
        </w:tc>
      </w:tr>
      <w:tr w:rsidR="00A046DD" w:rsidRPr="00532C20" w14:paraId="0B378C71" w14:textId="77777777">
        <w:trPr>
          <w:trHeight w:val="20"/>
        </w:trPr>
        <w:tc>
          <w:tcPr>
            <w:tcW w:w="2761" w:type="dxa"/>
            <w:shd w:val="clear" w:color="auto" w:fill="D9D9D9"/>
            <w:vAlign w:val="center"/>
          </w:tcPr>
          <w:p w14:paraId="6458C075" w14:textId="77777777" w:rsidR="00A046DD" w:rsidRPr="00532C20" w:rsidRDefault="00A046DD" w:rsidP="00A046DD">
            <w:pPr>
              <w:rPr>
                <w:rFonts w:ascii="Times New Roman" w:hAnsi="Times New Roman"/>
                <w:b/>
                <w:noProof/>
                <w:sz w:val="24"/>
                <w:szCs w:val="24"/>
                <w:lang w:val="en-GB"/>
              </w:rPr>
            </w:pPr>
            <w:r w:rsidRPr="00532C20">
              <w:rPr>
                <w:rFonts w:ascii="Times New Roman" w:hAnsi="Times New Roman"/>
                <w:b/>
                <w:noProof/>
                <w:sz w:val="24"/>
                <w:szCs w:val="24"/>
                <w:lang w:val="en-IE"/>
              </w:rPr>
              <w:t>Other costs (incl. admin sanctions, registration fees)</w:t>
            </w:r>
          </w:p>
        </w:tc>
        <w:tc>
          <w:tcPr>
            <w:tcW w:w="5847" w:type="dxa"/>
            <w:gridSpan w:val="3"/>
            <w:shd w:val="clear" w:color="auto" w:fill="auto"/>
            <w:vAlign w:val="center"/>
          </w:tcPr>
          <w:p w14:paraId="3BDC3DB1" w14:textId="77777777" w:rsidR="00A046DD" w:rsidRPr="00532C20" w:rsidRDefault="00A046DD" w:rsidP="00A046DD">
            <w:pPr>
              <w:rPr>
                <w:rFonts w:ascii="Times New Roman" w:hAnsi="Times New Roman"/>
                <w:i/>
                <w:noProof/>
                <w:sz w:val="24"/>
                <w:szCs w:val="24"/>
                <w:lang w:val="en-GB"/>
              </w:rPr>
            </w:pPr>
            <w:r w:rsidRPr="00532C20">
              <w:rPr>
                <w:rFonts w:ascii="Times New Roman" w:hAnsi="Times New Roman"/>
                <w:i/>
                <w:noProof/>
                <w:sz w:val="24"/>
                <w:szCs w:val="24"/>
                <w:lang w:val="en-IE"/>
              </w:rPr>
              <w:t>No total cost estimates possible due to lack of evidence on possible frequency and actual scale of fines.</w:t>
            </w:r>
          </w:p>
        </w:tc>
      </w:tr>
      <w:tr w:rsidR="00A046DD" w:rsidRPr="00532C20" w14:paraId="3B30D24D" w14:textId="77777777">
        <w:trPr>
          <w:trHeight w:val="20"/>
        </w:trPr>
        <w:tc>
          <w:tcPr>
            <w:tcW w:w="2761" w:type="dxa"/>
            <w:shd w:val="clear" w:color="auto" w:fill="D9D9D9"/>
            <w:vAlign w:val="center"/>
          </w:tcPr>
          <w:p w14:paraId="6D13760F" w14:textId="77777777" w:rsidR="00A046DD" w:rsidRPr="00532C20" w:rsidRDefault="00A046DD" w:rsidP="00A046DD">
            <w:pPr>
              <w:rPr>
                <w:rFonts w:ascii="Times New Roman" w:hAnsi="Times New Roman"/>
                <w:b/>
                <w:noProof/>
                <w:sz w:val="24"/>
                <w:szCs w:val="24"/>
                <w:lang w:val="en-GB"/>
              </w:rPr>
            </w:pPr>
            <w:r w:rsidRPr="00532C20">
              <w:rPr>
                <w:rFonts w:ascii="Times New Roman" w:hAnsi="Times New Roman"/>
                <w:b/>
                <w:noProof/>
                <w:sz w:val="24"/>
                <w:szCs w:val="24"/>
              </w:rPr>
              <w:t>Prior authorisation / licencing</w:t>
            </w:r>
          </w:p>
        </w:tc>
        <w:tc>
          <w:tcPr>
            <w:tcW w:w="5847" w:type="dxa"/>
            <w:gridSpan w:val="3"/>
            <w:shd w:val="clear" w:color="auto" w:fill="auto"/>
            <w:vAlign w:val="center"/>
          </w:tcPr>
          <w:p w14:paraId="1EA50155" w14:textId="77777777" w:rsidR="00A046DD" w:rsidRPr="00532C20" w:rsidRDefault="00A046DD" w:rsidP="00A046DD">
            <w:pPr>
              <w:rPr>
                <w:rFonts w:ascii="Times New Roman" w:hAnsi="Times New Roman"/>
                <w:noProof/>
                <w:sz w:val="24"/>
                <w:szCs w:val="24"/>
                <w:lang w:val="en-GB"/>
              </w:rPr>
            </w:pPr>
            <w:r w:rsidRPr="00532C20">
              <w:rPr>
                <w:rFonts w:ascii="Times New Roman" w:hAnsi="Times New Roman"/>
                <w:noProof/>
                <w:sz w:val="24"/>
                <w:szCs w:val="24"/>
                <w:lang w:val="en-IE"/>
              </w:rPr>
              <w:t>Covered through the registration and information update costs (above)</w:t>
            </w:r>
          </w:p>
        </w:tc>
      </w:tr>
      <w:tr w:rsidR="00A046DD" w:rsidRPr="00532C20" w14:paraId="59902626" w14:textId="77777777">
        <w:trPr>
          <w:trHeight w:val="20"/>
        </w:trPr>
        <w:tc>
          <w:tcPr>
            <w:tcW w:w="2761" w:type="dxa"/>
            <w:shd w:val="clear" w:color="auto" w:fill="0C4DA2"/>
            <w:vAlign w:val="center"/>
          </w:tcPr>
          <w:p w14:paraId="5B00A532" w14:textId="77777777" w:rsidR="00A046DD" w:rsidRPr="00532C20" w:rsidRDefault="00A046DD" w:rsidP="00A046DD">
            <w:pPr>
              <w:jc w:val="right"/>
              <w:rPr>
                <w:rFonts w:ascii="Times New Roman" w:hAnsi="Times New Roman"/>
                <w:b/>
                <w:noProof/>
                <w:color w:val="FFFFFF"/>
                <w:sz w:val="24"/>
                <w:szCs w:val="24"/>
                <w:lang w:val="en-GB"/>
              </w:rPr>
            </w:pPr>
            <w:r w:rsidRPr="00532C20">
              <w:rPr>
                <w:rFonts w:ascii="Times New Roman" w:hAnsi="Times New Roman"/>
                <w:b/>
                <w:noProof/>
                <w:color w:val="FFFFFF"/>
                <w:sz w:val="24"/>
                <w:szCs w:val="24"/>
                <w:lang w:val="fr-FR"/>
              </w:rPr>
              <w:t>Total:</w:t>
            </w:r>
          </w:p>
        </w:tc>
        <w:tc>
          <w:tcPr>
            <w:tcW w:w="1815" w:type="dxa"/>
            <w:shd w:val="clear" w:color="auto" w:fill="D9D9D9"/>
            <w:vAlign w:val="center"/>
          </w:tcPr>
          <w:p w14:paraId="42CE451B" w14:textId="77777777" w:rsidR="00A046DD" w:rsidRPr="00532C20" w:rsidRDefault="00A046DD" w:rsidP="00A046DD">
            <w:pPr>
              <w:jc w:val="right"/>
              <w:rPr>
                <w:rFonts w:ascii="Times New Roman" w:hAnsi="Times New Roman"/>
                <w:b/>
                <w:noProof/>
                <w:sz w:val="24"/>
                <w:szCs w:val="24"/>
                <w:lang w:val="en-GB"/>
              </w:rPr>
            </w:pPr>
            <w:r w:rsidRPr="00532C20">
              <w:rPr>
                <w:rFonts w:ascii="Times New Roman" w:hAnsi="Times New Roman"/>
                <w:b/>
                <w:noProof/>
                <w:color w:val="000000"/>
                <w:sz w:val="24"/>
                <w:szCs w:val="24"/>
                <w:lang w:val="en-GB"/>
              </w:rPr>
              <w:t>77</w:t>
            </w:r>
            <w:r w:rsidRPr="00532C20">
              <w:rPr>
                <w:rFonts w:ascii="Times New Roman" w:hAnsi="Times New Roman"/>
                <w:b/>
                <w:noProof/>
                <w:color w:val="000000"/>
                <w:sz w:val="24"/>
                <w:szCs w:val="24"/>
              </w:rPr>
              <w:t>,</w:t>
            </w:r>
            <w:r w:rsidRPr="00532C20">
              <w:rPr>
                <w:rFonts w:ascii="Times New Roman" w:hAnsi="Times New Roman"/>
                <w:b/>
                <w:noProof/>
                <w:color w:val="000000"/>
                <w:sz w:val="24"/>
                <w:szCs w:val="24"/>
                <w:lang w:val="en-GB"/>
              </w:rPr>
              <w:t>364</w:t>
            </w:r>
            <w:r w:rsidRPr="00532C20">
              <w:rPr>
                <w:rFonts w:ascii="Times New Roman" w:hAnsi="Times New Roman"/>
                <w:b/>
                <w:noProof/>
                <w:color w:val="000000"/>
                <w:sz w:val="24"/>
                <w:szCs w:val="24"/>
              </w:rPr>
              <w:t>,</w:t>
            </w:r>
            <w:r w:rsidRPr="00532C20">
              <w:rPr>
                <w:rFonts w:ascii="Times New Roman" w:hAnsi="Times New Roman"/>
                <w:b/>
                <w:noProof/>
                <w:color w:val="000000"/>
                <w:sz w:val="24"/>
                <w:szCs w:val="24"/>
                <w:lang w:val="en-GB"/>
              </w:rPr>
              <w:t>984</w:t>
            </w:r>
            <w:r w:rsidRPr="00532C20">
              <w:rPr>
                <w:rFonts w:ascii="Times New Roman" w:hAnsi="Times New Roman"/>
                <w:b/>
                <w:noProof/>
                <w:color w:val="000000"/>
                <w:sz w:val="24"/>
                <w:szCs w:val="24"/>
              </w:rPr>
              <w:t>.</w:t>
            </w:r>
            <w:r w:rsidRPr="00532C20">
              <w:rPr>
                <w:rFonts w:ascii="Times New Roman" w:hAnsi="Times New Roman"/>
                <w:b/>
                <w:noProof/>
                <w:color w:val="000000"/>
                <w:sz w:val="24"/>
                <w:szCs w:val="24"/>
                <w:lang w:val="en-GB"/>
              </w:rPr>
              <w:t>98</w:t>
            </w:r>
          </w:p>
        </w:tc>
        <w:tc>
          <w:tcPr>
            <w:tcW w:w="2089" w:type="dxa"/>
            <w:shd w:val="clear" w:color="auto" w:fill="D9D9D9"/>
            <w:vAlign w:val="center"/>
          </w:tcPr>
          <w:p w14:paraId="7E3E03C2" w14:textId="77777777" w:rsidR="00A046DD" w:rsidRPr="00532C20" w:rsidRDefault="00A046DD" w:rsidP="00A046DD">
            <w:pPr>
              <w:jc w:val="right"/>
              <w:rPr>
                <w:rFonts w:ascii="Times New Roman" w:hAnsi="Times New Roman"/>
                <w:b/>
                <w:noProof/>
                <w:sz w:val="24"/>
                <w:szCs w:val="24"/>
                <w:lang w:val="en-GB"/>
              </w:rPr>
            </w:pPr>
            <w:r w:rsidRPr="00532C20">
              <w:rPr>
                <w:rFonts w:ascii="Times New Roman" w:hAnsi="Times New Roman"/>
                <w:b/>
                <w:noProof/>
                <w:color w:val="000000"/>
                <w:sz w:val="24"/>
                <w:szCs w:val="24"/>
              </w:rPr>
              <w:t>1</w:t>
            </w:r>
            <w:r w:rsidRPr="00532C20">
              <w:rPr>
                <w:rFonts w:ascii="Times New Roman" w:hAnsi="Times New Roman"/>
                <w:b/>
                <w:noProof/>
                <w:color w:val="000000"/>
                <w:sz w:val="24"/>
                <w:szCs w:val="24"/>
                <w:lang w:val="en-GB"/>
              </w:rPr>
              <w:t>50</w:t>
            </w:r>
            <w:r w:rsidRPr="00532C20">
              <w:rPr>
                <w:rFonts w:ascii="Times New Roman" w:hAnsi="Times New Roman"/>
                <w:b/>
                <w:noProof/>
                <w:color w:val="000000"/>
                <w:sz w:val="24"/>
                <w:szCs w:val="24"/>
              </w:rPr>
              <w:t>,</w:t>
            </w:r>
            <w:r w:rsidRPr="00532C20">
              <w:rPr>
                <w:rFonts w:ascii="Times New Roman" w:hAnsi="Times New Roman"/>
                <w:b/>
                <w:noProof/>
                <w:color w:val="000000"/>
                <w:sz w:val="24"/>
                <w:szCs w:val="24"/>
                <w:lang w:val="en-GB"/>
              </w:rPr>
              <w:t>158</w:t>
            </w:r>
            <w:r w:rsidRPr="00532C20">
              <w:rPr>
                <w:rFonts w:ascii="Times New Roman" w:hAnsi="Times New Roman"/>
                <w:b/>
                <w:noProof/>
                <w:color w:val="000000"/>
                <w:sz w:val="24"/>
                <w:szCs w:val="24"/>
              </w:rPr>
              <w:t>,</w:t>
            </w:r>
            <w:r w:rsidRPr="00532C20">
              <w:rPr>
                <w:rFonts w:ascii="Times New Roman" w:hAnsi="Times New Roman"/>
                <w:b/>
                <w:noProof/>
                <w:color w:val="000000"/>
                <w:sz w:val="24"/>
                <w:szCs w:val="24"/>
                <w:lang w:val="en-GB"/>
              </w:rPr>
              <w:t>974</w:t>
            </w:r>
            <w:r w:rsidRPr="00532C20">
              <w:rPr>
                <w:rFonts w:ascii="Times New Roman" w:hAnsi="Times New Roman"/>
                <w:b/>
                <w:noProof/>
                <w:color w:val="000000"/>
                <w:sz w:val="24"/>
                <w:szCs w:val="24"/>
              </w:rPr>
              <w:t>.</w:t>
            </w:r>
            <w:r w:rsidRPr="00532C20">
              <w:rPr>
                <w:rFonts w:ascii="Times New Roman" w:hAnsi="Times New Roman"/>
                <w:b/>
                <w:noProof/>
                <w:color w:val="000000"/>
                <w:sz w:val="24"/>
                <w:szCs w:val="24"/>
                <w:lang w:val="en-GB"/>
              </w:rPr>
              <w:t>28</w:t>
            </w:r>
          </w:p>
        </w:tc>
        <w:tc>
          <w:tcPr>
            <w:tcW w:w="1943" w:type="dxa"/>
            <w:shd w:val="clear" w:color="auto" w:fill="D9D9D9"/>
            <w:vAlign w:val="center"/>
          </w:tcPr>
          <w:p w14:paraId="2C231959" w14:textId="77777777" w:rsidR="00A046DD" w:rsidRPr="00532C20" w:rsidRDefault="00A046DD" w:rsidP="00A046DD">
            <w:pPr>
              <w:jc w:val="right"/>
              <w:rPr>
                <w:rFonts w:ascii="Times New Roman" w:hAnsi="Times New Roman"/>
                <w:b/>
                <w:noProof/>
                <w:sz w:val="24"/>
                <w:szCs w:val="24"/>
                <w:lang w:val="en-GB"/>
              </w:rPr>
            </w:pPr>
            <w:r w:rsidRPr="00532C20">
              <w:rPr>
                <w:rFonts w:ascii="Times New Roman" w:hAnsi="Times New Roman"/>
                <w:b/>
                <w:noProof/>
                <w:color w:val="000000"/>
                <w:sz w:val="24"/>
                <w:szCs w:val="24"/>
              </w:rPr>
              <w:t>2</w:t>
            </w:r>
            <w:r w:rsidRPr="00532C20">
              <w:rPr>
                <w:rFonts w:ascii="Times New Roman" w:hAnsi="Times New Roman"/>
                <w:b/>
                <w:noProof/>
                <w:color w:val="000000"/>
                <w:sz w:val="24"/>
                <w:szCs w:val="24"/>
                <w:lang w:val="en-GB"/>
              </w:rPr>
              <w:t>22</w:t>
            </w:r>
            <w:r w:rsidRPr="00532C20">
              <w:rPr>
                <w:rFonts w:ascii="Times New Roman" w:hAnsi="Times New Roman"/>
                <w:b/>
                <w:noProof/>
                <w:color w:val="000000"/>
                <w:sz w:val="24"/>
                <w:szCs w:val="24"/>
              </w:rPr>
              <w:t>,</w:t>
            </w:r>
            <w:r w:rsidRPr="00532C20">
              <w:rPr>
                <w:rFonts w:ascii="Times New Roman" w:hAnsi="Times New Roman"/>
                <w:b/>
                <w:noProof/>
                <w:color w:val="000000"/>
                <w:sz w:val="24"/>
                <w:szCs w:val="24"/>
                <w:lang w:val="en-GB"/>
              </w:rPr>
              <w:t>988</w:t>
            </w:r>
            <w:r w:rsidRPr="00532C20">
              <w:rPr>
                <w:rFonts w:ascii="Times New Roman" w:hAnsi="Times New Roman"/>
                <w:b/>
                <w:noProof/>
                <w:color w:val="000000"/>
                <w:sz w:val="24"/>
                <w:szCs w:val="24"/>
              </w:rPr>
              <w:t>,</w:t>
            </w:r>
            <w:r w:rsidRPr="00532C20">
              <w:rPr>
                <w:rFonts w:ascii="Times New Roman" w:hAnsi="Times New Roman"/>
                <w:b/>
                <w:noProof/>
                <w:color w:val="000000"/>
                <w:sz w:val="24"/>
                <w:szCs w:val="24"/>
                <w:lang w:val="en-GB"/>
              </w:rPr>
              <w:t>557</w:t>
            </w:r>
            <w:r w:rsidRPr="00532C20">
              <w:rPr>
                <w:rFonts w:ascii="Times New Roman" w:hAnsi="Times New Roman"/>
                <w:b/>
                <w:noProof/>
                <w:color w:val="000000"/>
                <w:sz w:val="24"/>
                <w:szCs w:val="24"/>
              </w:rPr>
              <w:t>.</w:t>
            </w:r>
            <w:r w:rsidRPr="00532C20">
              <w:rPr>
                <w:rFonts w:ascii="Times New Roman" w:hAnsi="Times New Roman"/>
                <w:b/>
                <w:noProof/>
                <w:color w:val="000000"/>
                <w:sz w:val="24"/>
                <w:szCs w:val="24"/>
                <w:lang w:val="en-GB"/>
              </w:rPr>
              <w:t>24</w:t>
            </w:r>
          </w:p>
        </w:tc>
      </w:tr>
    </w:tbl>
    <w:p w14:paraId="0A147033" w14:textId="77777777" w:rsidR="00A046DD" w:rsidRPr="00532C20" w:rsidRDefault="00A046DD" w:rsidP="00A046DD">
      <w:pPr>
        <w:rPr>
          <w:rFonts w:ascii="Times New Roman" w:hAnsi="Times New Roman" w:cs="Times New Roman"/>
          <w:b/>
          <w:noProof/>
          <w:sz w:val="24"/>
          <w:szCs w:val="24"/>
          <w:u w:val="single"/>
          <w:lang w:val="en-IE" w:eastAsia="en-IE"/>
        </w:rPr>
      </w:pPr>
    </w:p>
    <w:p w14:paraId="082E3E6B" w14:textId="28E21789" w:rsidR="00DF2EF6" w:rsidRPr="00532C20" w:rsidRDefault="003C1475" w:rsidP="00563021">
      <w:pPr>
        <w:pStyle w:val="ListParagraph"/>
        <w:numPr>
          <w:ilvl w:val="0"/>
          <w:numId w:val="76"/>
        </w:numPr>
        <w:rPr>
          <w:b/>
          <w:noProof/>
          <w:u w:val="single"/>
        </w:rPr>
      </w:pPr>
      <w:r w:rsidRPr="00532C20">
        <w:rPr>
          <w:b/>
          <w:noProof/>
          <w:u w:val="single"/>
        </w:rPr>
        <w:t>Potential administrative simplification and costs savings</w:t>
      </w:r>
    </w:p>
    <w:p w14:paraId="6E69D762" w14:textId="77777777" w:rsidR="0029531F" w:rsidRPr="00532C20" w:rsidRDefault="0029531F" w:rsidP="009979F4">
      <w:pPr>
        <w:spacing w:after="160" w:line="240" w:lineRule="auto"/>
        <w:jc w:val="both"/>
        <w:rPr>
          <w:b/>
          <w:noProof/>
          <w:u w:val="single"/>
        </w:rPr>
      </w:pPr>
    </w:p>
    <w:p w14:paraId="4A80863F" w14:textId="2E87DDE6" w:rsidR="009979F4" w:rsidRPr="00532C20" w:rsidRDefault="00C248ED" w:rsidP="009979F4">
      <w:pPr>
        <w:spacing w:after="160" w:line="240" w:lineRule="auto"/>
        <w:jc w:val="both"/>
        <w:rPr>
          <w:rFonts w:ascii="Times New Roman" w:eastAsia="Times New Roman" w:hAnsi="Times New Roman" w:cs="Times New Roman"/>
          <w:noProof/>
          <w:sz w:val="24"/>
        </w:rPr>
      </w:pPr>
      <w:r w:rsidRPr="00532C20">
        <w:rPr>
          <w:rFonts w:ascii="Times New Roman" w:eastAsia="Times New Roman" w:hAnsi="Times New Roman" w:cs="Times New Roman"/>
          <w:noProof/>
          <w:sz w:val="24"/>
        </w:rPr>
        <w:t>An</w:t>
      </w:r>
      <w:r w:rsidR="009979F4" w:rsidRPr="00532C20">
        <w:rPr>
          <w:rFonts w:ascii="Times New Roman" w:eastAsia="Times New Roman" w:hAnsi="Times New Roman" w:cs="Times New Roman"/>
          <w:noProof/>
          <w:sz w:val="24"/>
        </w:rPr>
        <w:t xml:space="preserve"> analysis on the scale of potential administrative simplification and cost savings for entities conducting interest representation on behalf of third countries</w:t>
      </w:r>
      <w:r w:rsidR="00FB5B85" w:rsidRPr="00532C20">
        <w:rPr>
          <w:rFonts w:ascii="Times New Roman" w:eastAsia="Times New Roman" w:hAnsi="Times New Roman" w:cs="Times New Roman"/>
          <w:noProof/>
          <w:sz w:val="24"/>
        </w:rPr>
        <w:t xml:space="preserve"> </w:t>
      </w:r>
      <w:r w:rsidR="009979F4" w:rsidRPr="00532C20">
        <w:rPr>
          <w:rFonts w:ascii="Times New Roman" w:eastAsia="Times New Roman" w:hAnsi="Times New Roman" w:cs="Times New Roman"/>
          <w:noProof/>
          <w:sz w:val="24"/>
        </w:rPr>
        <w:t xml:space="preserve">requires an assessment of: i) how the registration and information disclosure costs could decrease as an entity enters additional Member State markets; and ii) how these cost savings can be applied to the overall population of entities potentially working cross-border. This </w:t>
      </w:r>
      <w:r w:rsidR="00120B28" w:rsidRPr="00532C20">
        <w:rPr>
          <w:rFonts w:ascii="Times New Roman" w:eastAsia="Times New Roman" w:hAnsi="Times New Roman" w:cs="Times New Roman"/>
          <w:noProof/>
          <w:sz w:val="24"/>
        </w:rPr>
        <w:t>section</w:t>
      </w:r>
      <w:r w:rsidR="009979F4" w:rsidRPr="00532C20">
        <w:rPr>
          <w:rFonts w:ascii="Times New Roman" w:eastAsia="Times New Roman" w:hAnsi="Times New Roman" w:cs="Times New Roman"/>
          <w:noProof/>
          <w:sz w:val="24"/>
        </w:rPr>
        <w:t xml:space="preserve"> first sets out the key information on this issue from the report, before discussing these additional analytical tasks.</w:t>
      </w:r>
    </w:p>
    <w:p w14:paraId="3FAAF1D5" w14:textId="64F86847" w:rsidR="009979F4" w:rsidRPr="00532C20" w:rsidRDefault="00120B28" w:rsidP="009979F4">
      <w:pPr>
        <w:spacing w:after="160" w:line="240" w:lineRule="auto"/>
        <w:jc w:val="both"/>
        <w:rPr>
          <w:rFonts w:ascii="Times New Roman" w:eastAsia="Times New Roman" w:hAnsi="Times New Roman" w:cs="Times New Roman"/>
          <w:noProof/>
          <w:sz w:val="24"/>
        </w:rPr>
      </w:pPr>
      <w:r w:rsidRPr="00532C20">
        <w:rPr>
          <w:rFonts w:ascii="Times New Roman" w:eastAsia="Times New Roman" w:hAnsi="Times New Roman" w:cs="Times New Roman"/>
          <w:noProof/>
          <w:sz w:val="24"/>
        </w:rPr>
        <w:t>T</w:t>
      </w:r>
      <w:r w:rsidR="009979F4" w:rsidRPr="00532C20">
        <w:rPr>
          <w:rFonts w:ascii="Times New Roman" w:eastAsia="Times New Roman" w:hAnsi="Times New Roman" w:cs="Times New Roman"/>
          <w:noProof/>
          <w:sz w:val="24"/>
        </w:rPr>
        <w:t>he report presents the following information of relevance to this aim:</w:t>
      </w:r>
    </w:p>
    <w:p w14:paraId="1C0C5525" w14:textId="37F1C5B4" w:rsidR="009979F4" w:rsidRPr="00532C20" w:rsidRDefault="009979F4" w:rsidP="00582553">
      <w:pPr>
        <w:pStyle w:val="ListParagraph"/>
        <w:numPr>
          <w:ilvl w:val="0"/>
          <w:numId w:val="111"/>
        </w:numPr>
        <w:spacing w:after="120"/>
        <w:jc w:val="both"/>
        <w:rPr>
          <w:rFonts w:ascii="Times New Roman" w:eastAsia="SimSun" w:hAnsi="Times New Roman" w:cs="Times New Roman"/>
          <w:noProof/>
          <w:lang w:eastAsia="zh-CN"/>
        </w:rPr>
      </w:pPr>
      <w:r w:rsidRPr="00532C20">
        <w:rPr>
          <w:rFonts w:ascii="Times New Roman" w:eastAsia="SimSun" w:hAnsi="Times New Roman" w:cs="Times New Roman"/>
          <w:noProof/>
          <w:lang w:eastAsia="zh-CN"/>
        </w:rPr>
        <w:t xml:space="preserve">Provides estimates for the potential population of entities conducting interest representation activities on behalf of third countries in the </w:t>
      </w:r>
      <w:r w:rsidR="00E01AB8">
        <w:rPr>
          <w:rFonts w:ascii="Times New Roman" w:eastAsia="SimSun" w:hAnsi="Times New Roman" w:cs="Times New Roman"/>
          <w:noProof/>
          <w:lang w:eastAsia="zh-CN"/>
        </w:rPr>
        <w:t>Union</w:t>
      </w:r>
      <w:r w:rsidR="00E01AB8" w:rsidRPr="00532C20">
        <w:rPr>
          <w:rFonts w:ascii="Times New Roman" w:eastAsia="SimSun" w:hAnsi="Times New Roman" w:cs="Times New Roman"/>
          <w:noProof/>
          <w:lang w:eastAsia="zh-CN"/>
        </w:rPr>
        <w:t xml:space="preserve"> </w:t>
      </w:r>
      <w:r w:rsidR="0011190F" w:rsidRPr="00532C20">
        <w:rPr>
          <w:rFonts w:ascii="Times New Roman" w:eastAsia="SimSun" w:hAnsi="Times New Roman" w:cs="Times New Roman"/>
          <w:noProof/>
          <w:lang w:eastAsia="zh-CN"/>
        </w:rPr>
        <w:t>as well as</w:t>
      </w:r>
      <w:r w:rsidRPr="00532C20">
        <w:rPr>
          <w:rFonts w:ascii="Times New Roman" w:eastAsia="SimSun" w:hAnsi="Times New Roman" w:cs="Times New Roman"/>
          <w:noProof/>
          <w:lang w:eastAsia="zh-CN"/>
        </w:rPr>
        <w:t xml:space="preserve"> </w:t>
      </w:r>
      <w:r w:rsidR="0011190F" w:rsidRPr="00532C20">
        <w:rPr>
          <w:rFonts w:ascii="Times New Roman" w:eastAsia="SimSun" w:hAnsi="Times New Roman" w:cs="Times New Roman"/>
          <w:noProof/>
          <w:lang w:eastAsia="zh-CN"/>
        </w:rPr>
        <w:t>an estimate of</w:t>
      </w:r>
      <w:r w:rsidRPr="00532C20">
        <w:rPr>
          <w:rFonts w:ascii="Times New Roman" w:eastAsia="SimSun" w:hAnsi="Times New Roman" w:cs="Times New Roman"/>
          <w:noProof/>
          <w:lang w:eastAsia="zh-CN"/>
        </w:rPr>
        <w:t xml:space="preserve"> the proportion of entities within scope that operate cross-border.</w:t>
      </w:r>
    </w:p>
    <w:p w14:paraId="202B1AF9" w14:textId="77777777" w:rsidR="009979F4" w:rsidRPr="00532C20" w:rsidRDefault="009979F4" w:rsidP="00582553">
      <w:pPr>
        <w:pStyle w:val="ListParagraph"/>
        <w:numPr>
          <w:ilvl w:val="0"/>
          <w:numId w:val="111"/>
        </w:numPr>
        <w:spacing w:after="120"/>
        <w:jc w:val="both"/>
        <w:rPr>
          <w:rFonts w:ascii="Times New Roman" w:eastAsia="SimSun" w:hAnsi="Times New Roman" w:cs="Times New Roman"/>
          <w:noProof/>
          <w:lang w:eastAsia="zh-CN"/>
        </w:rPr>
      </w:pPr>
      <w:r w:rsidRPr="00532C20">
        <w:rPr>
          <w:rFonts w:ascii="Times New Roman" w:eastAsia="SimSun" w:hAnsi="Times New Roman" w:cs="Times New Roman"/>
          <w:noProof/>
          <w:lang w:eastAsia="zh-CN"/>
        </w:rPr>
        <w:t xml:space="preserve">Indicates that entities are required to conduct the following tasks to meet the registration and information disclosure obligations: </w:t>
      </w:r>
      <w:r w:rsidRPr="00532C20">
        <w:rPr>
          <w:rFonts w:ascii="Times New Roman" w:eastAsia="SimSun" w:hAnsi="Times New Roman" w:cs="Times New Roman"/>
          <w:i/>
          <w:iCs/>
          <w:noProof/>
          <w:lang w:eastAsia="zh-CN"/>
        </w:rPr>
        <w:t>“i) the collection of relevant information through liaison between different professionals (e.g. legal and compliance teams, delivery teams, board members); ii) the submission of that information to the register/authorities through a dedicated form/portal; and iii) any additional internal processes, such as staff training on record-keeping and retrieval.”</w:t>
      </w:r>
    </w:p>
    <w:p w14:paraId="30B69494" w14:textId="77777777" w:rsidR="009979F4" w:rsidRPr="00532C20" w:rsidRDefault="009979F4" w:rsidP="00582553">
      <w:pPr>
        <w:pStyle w:val="ListParagraph"/>
        <w:numPr>
          <w:ilvl w:val="0"/>
          <w:numId w:val="111"/>
        </w:numPr>
        <w:spacing w:after="120"/>
        <w:jc w:val="both"/>
        <w:rPr>
          <w:rFonts w:ascii="Times New Roman" w:eastAsia="SimSun" w:hAnsi="Times New Roman" w:cs="Times New Roman"/>
          <w:noProof/>
          <w:lang w:eastAsia="zh-CN"/>
        </w:rPr>
      </w:pPr>
      <w:r w:rsidRPr="00532C20">
        <w:rPr>
          <w:rFonts w:ascii="Times New Roman" w:eastAsia="SimSun" w:hAnsi="Times New Roman" w:cs="Times New Roman"/>
          <w:noProof/>
          <w:lang w:eastAsia="zh-CN"/>
        </w:rPr>
        <w:t>Notes that entities working cross-border will likely experience cost savings related to these tasks.</w:t>
      </w:r>
    </w:p>
    <w:p w14:paraId="676ECE9A" w14:textId="77777777" w:rsidR="009979F4" w:rsidRPr="00532C20" w:rsidRDefault="009979F4" w:rsidP="00582553">
      <w:pPr>
        <w:pStyle w:val="ListParagraph"/>
        <w:numPr>
          <w:ilvl w:val="0"/>
          <w:numId w:val="111"/>
        </w:numPr>
        <w:spacing w:after="120"/>
        <w:jc w:val="both"/>
        <w:rPr>
          <w:rFonts w:ascii="Times New Roman" w:eastAsia="SimSun" w:hAnsi="Times New Roman" w:cs="Times New Roman"/>
          <w:noProof/>
          <w:lang w:eastAsia="zh-CN"/>
        </w:rPr>
      </w:pPr>
      <w:r w:rsidRPr="00532C20">
        <w:rPr>
          <w:rFonts w:ascii="Times New Roman" w:eastAsia="SimSun" w:hAnsi="Times New Roman" w:cs="Times New Roman"/>
          <w:noProof/>
          <w:lang w:eastAsia="zh-CN"/>
        </w:rPr>
        <w:t>Highlights the challenges associated with quantifying cost savings in this context:</w:t>
      </w:r>
    </w:p>
    <w:p w14:paraId="20F8C5CF" w14:textId="77777777" w:rsidR="009979F4" w:rsidRPr="00532C20" w:rsidRDefault="009979F4" w:rsidP="00582553">
      <w:pPr>
        <w:pStyle w:val="ListParagraph"/>
        <w:numPr>
          <w:ilvl w:val="1"/>
          <w:numId w:val="111"/>
        </w:numPr>
        <w:spacing w:after="120"/>
        <w:jc w:val="both"/>
        <w:rPr>
          <w:rFonts w:ascii="Times New Roman" w:eastAsia="Times New Roman" w:hAnsi="Times New Roman" w:cs="Times New Roman"/>
          <w:noProof/>
        </w:rPr>
      </w:pPr>
      <w:r w:rsidRPr="00532C20">
        <w:rPr>
          <w:rFonts w:ascii="Times New Roman" w:eastAsia="Times New Roman" w:hAnsi="Times New Roman" w:cs="Times New Roman"/>
          <w:noProof/>
        </w:rPr>
        <w:t>Limited evidence exists on the scale and nature of cross-border interest representation, including how many entities work cross-border and, where they do work cross-border, in how many and in which Member States.</w:t>
      </w:r>
    </w:p>
    <w:p w14:paraId="02C96434" w14:textId="513A6068" w:rsidR="009979F4" w:rsidRPr="00532C20" w:rsidRDefault="009979F4" w:rsidP="00582553">
      <w:pPr>
        <w:pStyle w:val="ListParagraph"/>
        <w:numPr>
          <w:ilvl w:val="1"/>
          <w:numId w:val="111"/>
        </w:numPr>
        <w:spacing w:after="120"/>
        <w:jc w:val="both"/>
        <w:rPr>
          <w:rFonts w:ascii="Times New Roman" w:eastAsia="Times New Roman" w:hAnsi="Times New Roman" w:cs="Times New Roman"/>
          <w:noProof/>
        </w:rPr>
      </w:pPr>
      <w:r w:rsidRPr="00532C20">
        <w:rPr>
          <w:rFonts w:ascii="Times New Roman" w:eastAsia="Times New Roman" w:hAnsi="Times New Roman" w:cs="Times New Roman"/>
          <w:noProof/>
        </w:rPr>
        <w:t xml:space="preserve">Limited evidence on the scale and nature of the synergies that entities will experience due to the implementation of harmonised rules across the </w:t>
      </w:r>
      <w:r w:rsidR="00E01AB8">
        <w:rPr>
          <w:rFonts w:ascii="Times New Roman" w:eastAsia="Times New Roman" w:hAnsi="Times New Roman" w:cs="Times New Roman"/>
          <w:noProof/>
        </w:rPr>
        <w:t>Union</w:t>
      </w:r>
      <w:r w:rsidR="00E01AB8" w:rsidRPr="00532C20">
        <w:rPr>
          <w:rFonts w:ascii="Times New Roman" w:eastAsia="Times New Roman" w:hAnsi="Times New Roman" w:cs="Times New Roman"/>
          <w:noProof/>
        </w:rPr>
        <w:t xml:space="preserve"> </w:t>
      </w:r>
      <w:r w:rsidRPr="00532C20">
        <w:rPr>
          <w:rFonts w:ascii="Times New Roman" w:eastAsia="Times New Roman" w:hAnsi="Times New Roman" w:cs="Times New Roman"/>
          <w:noProof/>
        </w:rPr>
        <w:t>when operating cross-border.</w:t>
      </w:r>
    </w:p>
    <w:p w14:paraId="0315D5BE" w14:textId="77777777" w:rsidR="009979F4" w:rsidRPr="00532C20" w:rsidRDefault="009979F4" w:rsidP="00582553">
      <w:pPr>
        <w:pStyle w:val="ListParagraph"/>
        <w:numPr>
          <w:ilvl w:val="1"/>
          <w:numId w:val="111"/>
        </w:numPr>
        <w:spacing w:after="120"/>
        <w:jc w:val="both"/>
        <w:rPr>
          <w:rFonts w:ascii="Times New Roman" w:eastAsia="Times New Roman" w:hAnsi="Times New Roman" w:cs="Times New Roman"/>
          <w:noProof/>
        </w:rPr>
      </w:pPr>
      <w:r w:rsidRPr="00532C20">
        <w:rPr>
          <w:rFonts w:ascii="Times New Roman" w:eastAsia="Times New Roman" w:hAnsi="Times New Roman" w:cs="Times New Roman"/>
          <w:noProof/>
        </w:rPr>
        <w:t>Limited evidence on the granular breakdown of costs stemming from registration and information disclosure compliance tasks. While estimates have been provided by entities for the overall time/cost spent on compliance with registration and information disclosure obligations, this was not broken down by the specific tasks conducted (e.g. liaising with different professionals internally to collect relevant information, the act of submitting the information).</w:t>
      </w:r>
    </w:p>
    <w:p w14:paraId="77B58C00" w14:textId="77777777" w:rsidR="009979F4" w:rsidRPr="00532C20" w:rsidRDefault="009979F4" w:rsidP="00582553">
      <w:pPr>
        <w:pStyle w:val="ListParagraph"/>
        <w:numPr>
          <w:ilvl w:val="1"/>
          <w:numId w:val="111"/>
        </w:numPr>
        <w:spacing w:after="120"/>
        <w:jc w:val="both"/>
        <w:rPr>
          <w:rFonts w:ascii="Times New Roman" w:eastAsia="Times New Roman" w:hAnsi="Times New Roman" w:cs="Times New Roman"/>
          <w:noProof/>
        </w:rPr>
      </w:pPr>
      <w:r w:rsidRPr="00532C20">
        <w:rPr>
          <w:rFonts w:ascii="Times New Roman" w:eastAsia="Times New Roman" w:hAnsi="Times New Roman" w:cs="Times New Roman"/>
          <w:noProof/>
        </w:rPr>
        <w:t>The fact that the costs under the baseline scenario differ based on whether a Member State already has a register. For instance, currently, entering a new market might not bring any additional registration and information disclosure costs.</w:t>
      </w:r>
    </w:p>
    <w:p w14:paraId="0AC8D2C3" w14:textId="711C203C" w:rsidR="009979F4" w:rsidRPr="00532C20" w:rsidRDefault="009979F4" w:rsidP="009979F4">
      <w:pPr>
        <w:spacing w:after="160" w:line="240" w:lineRule="auto"/>
        <w:jc w:val="both"/>
        <w:rPr>
          <w:rFonts w:ascii="Times New Roman" w:eastAsia="Times New Roman" w:hAnsi="Times New Roman" w:cs="Times New Roman"/>
          <w:noProof/>
          <w:sz w:val="24"/>
        </w:rPr>
      </w:pPr>
      <w:r w:rsidRPr="00532C20">
        <w:rPr>
          <w:rFonts w:ascii="Times New Roman" w:eastAsia="Times New Roman" w:hAnsi="Times New Roman" w:cs="Times New Roman"/>
          <w:noProof/>
          <w:sz w:val="24"/>
        </w:rPr>
        <w:t>On this basis, it should be clearly stated that any estimates of the scale of possible cost savings are subject to an extensive set of assumptions based on limited concrete evidence that limit the level of certainty in the accuracy and precision of the estimates.</w:t>
      </w:r>
    </w:p>
    <w:p w14:paraId="554A2AED" w14:textId="77777777" w:rsidR="009979F4" w:rsidRPr="00532C20" w:rsidRDefault="009979F4" w:rsidP="009979F4">
      <w:pPr>
        <w:spacing w:after="160" w:line="240" w:lineRule="auto"/>
        <w:jc w:val="both"/>
        <w:rPr>
          <w:rFonts w:ascii="Times New Roman" w:eastAsia="Times New Roman" w:hAnsi="Times New Roman" w:cs="Times New Roman"/>
          <w:noProof/>
          <w:sz w:val="24"/>
        </w:rPr>
      </w:pPr>
      <w:r w:rsidRPr="00532C20">
        <w:rPr>
          <w:rFonts w:ascii="Times New Roman" w:eastAsia="Times New Roman" w:hAnsi="Times New Roman" w:cs="Times New Roman"/>
          <w:noProof/>
          <w:sz w:val="24"/>
        </w:rPr>
        <w:t>In terms of the cost savings, the key assumption in this context is that entities conducting interest representation activities on behalf of third countries will experience synergies and thus cost savings when they enter Member State markets outside their Member State of establishment. More specifically, they will be subject to reduced administrative burden in these additional Member States stemming from:</w:t>
      </w:r>
    </w:p>
    <w:p w14:paraId="195DA6C2" w14:textId="77777777" w:rsidR="009979F4" w:rsidRPr="00532C20" w:rsidRDefault="009979F4" w:rsidP="00582553">
      <w:pPr>
        <w:numPr>
          <w:ilvl w:val="0"/>
          <w:numId w:val="112"/>
        </w:numPr>
        <w:spacing w:after="120" w:line="240" w:lineRule="auto"/>
        <w:ind w:left="714" w:hanging="357"/>
        <w:jc w:val="both"/>
        <w:rPr>
          <w:rFonts w:ascii="Times New Roman" w:eastAsia="Times New Roman" w:hAnsi="Times New Roman" w:cs="Times New Roman"/>
          <w:noProof/>
          <w:sz w:val="24"/>
        </w:rPr>
      </w:pPr>
      <w:r w:rsidRPr="00532C20">
        <w:rPr>
          <w:rFonts w:ascii="Times New Roman" w:eastAsia="Times New Roman" w:hAnsi="Times New Roman" w:cs="Times New Roman"/>
          <w:noProof/>
          <w:sz w:val="24"/>
        </w:rPr>
        <w:t>The need to provide exactly the same information (i.e. when operating on behalf of a given third countries in multiple Member States). In this scenario, the costs of registration and information disclosure for additional Member States would be limited solely to the submission of information as there would be no need to collect additional information.</w:t>
      </w:r>
    </w:p>
    <w:p w14:paraId="38D32017" w14:textId="77777777" w:rsidR="009979F4" w:rsidRPr="00532C20" w:rsidRDefault="009979F4" w:rsidP="00582553">
      <w:pPr>
        <w:numPr>
          <w:ilvl w:val="0"/>
          <w:numId w:val="112"/>
        </w:numPr>
        <w:spacing w:after="120" w:line="240" w:lineRule="auto"/>
        <w:ind w:left="714" w:hanging="357"/>
        <w:jc w:val="both"/>
        <w:rPr>
          <w:rFonts w:ascii="Times New Roman" w:eastAsia="Times New Roman" w:hAnsi="Times New Roman" w:cs="Times New Roman"/>
          <w:noProof/>
          <w:sz w:val="24"/>
        </w:rPr>
      </w:pPr>
      <w:r w:rsidRPr="00532C20">
        <w:rPr>
          <w:rFonts w:ascii="Times New Roman" w:eastAsia="Times New Roman" w:hAnsi="Times New Roman" w:cs="Times New Roman"/>
          <w:noProof/>
          <w:sz w:val="24"/>
        </w:rPr>
        <w:t>The need to provide different information but for the same types of information (i.e. when operating in different Member States on behalf of different third countries). In this scenario, likely minor efficiency gains would be possible, for instance, through the use of the same information recording and retrieval systems across all Member States. However, entities would still be required to conduct the same internal liaison and information collection tasks, as well as the information submission tasks.</w:t>
      </w:r>
    </w:p>
    <w:p w14:paraId="1682F45D" w14:textId="77777777" w:rsidR="009979F4" w:rsidRPr="00532C20" w:rsidRDefault="009979F4" w:rsidP="009979F4">
      <w:pPr>
        <w:spacing w:after="160" w:line="240" w:lineRule="auto"/>
        <w:jc w:val="both"/>
        <w:rPr>
          <w:rFonts w:ascii="Times New Roman" w:eastAsia="Times New Roman" w:hAnsi="Times New Roman" w:cs="Times New Roman"/>
          <w:noProof/>
          <w:sz w:val="24"/>
        </w:rPr>
      </w:pPr>
      <w:r w:rsidRPr="00532C20">
        <w:rPr>
          <w:rFonts w:ascii="Times New Roman" w:eastAsia="Times New Roman" w:hAnsi="Times New Roman" w:cs="Times New Roman"/>
          <w:noProof/>
          <w:sz w:val="24"/>
        </w:rPr>
        <w:t>Moreover, it is assumed that any additional costs stemming from other internal processes noted by entities, such as staff training, can be considered as business-as-usual (BaU) costs. While it is not anticipated that such costs would be significant, they would be borne in any case when moving into a new Member State market.</w:t>
      </w:r>
    </w:p>
    <w:p w14:paraId="38E55DBD" w14:textId="3FE2F46B" w:rsidR="009979F4" w:rsidRPr="00532C20" w:rsidRDefault="009979F4" w:rsidP="009979F4">
      <w:pPr>
        <w:spacing w:after="160" w:line="240" w:lineRule="auto"/>
        <w:jc w:val="both"/>
        <w:rPr>
          <w:rFonts w:ascii="Times New Roman" w:eastAsia="Times New Roman" w:hAnsi="Times New Roman" w:cs="Times New Roman"/>
          <w:noProof/>
          <w:sz w:val="24"/>
        </w:rPr>
      </w:pPr>
      <w:r w:rsidRPr="00532C20">
        <w:rPr>
          <w:rFonts w:ascii="Times New Roman" w:eastAsia="Times New Roman" w:hAnsi="Times New Roman" w:cs="Times New Roman"/>
          <w:noProof/>
          <w:sz w:val="24"/>
        </w:rPr>
        <w:t xml:space="preserve">To develop a quantitative estimate of the potential cost savings, </w:t>
      </w:r>
      <w:r w:rsidR="00E447F1">
        <w:rPr>
          <w:rFonts w:ascii="Times New Roman" w:eastAsia="Times New Roman" w:hAnsi="Times New Roman" w:cs="Times New Roman"/>
          <w:noProof/>
          <w:sz w:val="24"/>
        </w:rPr>
        <w:t>one</w:t>
      </w:r>
      <w:r w:rsidR="00E447F1" w:rsidRPr="00532C20">
        <w:rPr>
          <w:rFonts w:ascii="Times New Roman" w:eastAsia="Times New Roman" w:hAnsi="Times New Roman" w:cs="Times New Roman"/>
          <w:noProof/>
          <w:sz w:val="24"/>
        </w:rPr>
        <w:t xml:space="preserve"> </w:t>
      </w:r>
      <w:r w:rsidRPr="00532C20">
        <w:rPr>
          <w:rFonts w:ascii="Times New Roman" w:eastAsia="Times New Roman" w:hAnsi="Times New Roman" w:cs="Times New Roman"/>
          <w:noProof/>
          <w:sz w:val="24"/>
        </w:rPr>
        <w:t xml:space="preserve">would need to generate assumptions for: i) the costs associated with the granular tasks of liaison and information collection, compared with the information submission; and ii) the extent to which entities conducting interest representation activities on behalf of third countries would be subject to each of the above categories of synergies. </w:t>
      </w:r>
    </w:p>
    <w:p w14:paraId="524A0037" w14:textId="77777777" w:rsidR="009979F4" w:rsidRPr="00532C20" w:rsidRDefault="009979F4" w:rsidP="009979F4">
      <w:pPr>
        <w:spacing w:after="160" w:line="240" w:lineRule="auto"/>
        <w:jc w:val="both"/>
        <w:rPr>
          <w:rFonts w:ascii="Times New Roman" w:eastAsia="Times New Roman" w:hAnsi="Times New Roman" w:cs="Times New Roman"/>
          <w:noProof/>
          <w:sz w:val="24"/>
        </w:rPr>
      </w:pPr>
      <w:r w:rsidRPr="00532C20">
        <w:rPr>
          <w:rFonts w:ascii="Times New Roman" w:eastAsia="Times New Roman" w:hAnsi="Times New Roman" w:cs="Times New Roman"/>
          <w:noProof/>
          <w:sz w:val="24"/>
        </w:rPr>
        <w:t>However, in line with the above caveats and limitations, it has not been possible to find an appropriate solution for generating these assumptions. Primarily, this is because the cost estimates currently presented for registration and information disclosure are based on evidence of the total compliance costs of entities conducting interest representation, thereby already reflecting cross-border operations (or at least engagement with multiple registers). As such, the cost estimates cannot be used as a basis on which to calculate the cost savings because, in theory, they already reflect the identified synergies.</w:t>
      </w:r>
    </w:p>
    <w:p w14:paraId="7FF57F19" w14:textId="5DEEE1EF" w:rsidR="003C1475" w:rsidRPr="00532C20" w:rsidRDefault="004C3E8F" w:rsidP="00582553">
      <w:pPr>
        <w:spacing w:after="160" w:line="240" w:lineRule="auto"/>
        <w:jc w:val="both"/>
        <w:rPr>
          <w:b/>
          <w:noProof/>
          <w:u w:val="single"/>
        </w:rPr>
      </w:pPr>
      <w:r w:rsidRPr="00532C20">
        <w:rPr>
          <w:rFonts w:ascii="Times New Roman" w:eastAsia="Times New Roman" w:hAnsi="Times New Roman" w:cs="Times New Roman"/>
          <w:noProof/>
          <w:sz w:val="24"/>
          <w:szCs w:val="24"/>
        </w:rPr>
        <w:t xml:space="preserve">The summary of costs and benefits in Annex 3 therefore provides benefits only in a qualitive way instead of a quantitative way. </w:t>
      </w:r>
    </w:p>
    <w:p w14:paraId="7D8ED3A7" w14:textId="3EE8E88D" w:rsidR="00964D14" w:rsidRPr="00532C20" w:rsidRDefault="00964D14" w:rsidP="00563021">
      <w:pPr>
        <w:pStyle w:val="ListParagraph"/>
        <w:numPr>
          <w:ilvl w:val="0"/>
          <w:numId w:val="76"/>
        </w:numPr>
        <w:rPr>
          <w:b/>
          <w:noProof/>
          <w:u w:val="single"/>
        </w:rPr>
      </w:pPr>
      <w:r w:rsidRPr="00532C20">
        <w:rPr>
          <w:rFonts w:ascii="Times New Roman" w:eastAsia="Times New Roman" w:hAnsi="Times New Roman" w:cs="Times New Roman"/>
          <w:b/>
          <w:bCs/>
          <w:noProof/>
          <w:u w:val="single"/>
          <w:lang w:val="en-IE" w:eastAsia="nl-BE"/>
        </w:rPr>
        <w:t>Comparison of options and proportionality</w:t>
      </w:r>
    </w:p>
    <w:p w14:paraId="1E1C67CC" w14:textId="77777777" w:rsidR="00ED4CBE" w:rsidRPr="00532C20" w:rsidRDefault="00ED4CBE" w:rsidP="00ED4CBE">
      <w:pPr>
        <w:pStyle w:val="ListParagraph"/>
        <w:ind w:left="360"/>
        <w:rPr>
          <w:rFonts w:ascii="Times New Roman" w:eastAsia="Times New Roman" w:hAnsi="Times New Roman" w:cs="Times New Roman"/>
          <w:b/>
          <w:bCs/>
          <w:noProof/>
          <w:u w:val="single"/>
          <w:lang w:val="en-IE" w:eastAsia="nl-BE"/>
        </w:rPr>
      </w:pPr>
    </w:p>
    <w:tbl>
      <w:tblPr>
        <w:tblStyle w:val="GridTable2"/>
        <w:tblW w:w="0" w:type="auto"/>
        <w:tblLook w:val="04A0" w:firstRow="1" w:lastRow="0" w:firstColumn="1" w:lastColumn="0" w:noHBand="0" w:noVBand="1"/>
      </w:tblPr>
      <w:tblGrid>
        <w:gridCol w:w="2814"/>
        <w:gridCol w:w="2859"/>
        <w:gridCol w:w="2935"/>
      </w:tblGrid>
      <w:tr w:rsidR="00AC029C" w:rsidRPr="00532C20" w14:paraId="50A5F69A" w14:textId="77777777" w:rsidTr="002E1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left w:val="single" w:sz="4" w:space="0" w:color="auto"/>
            </w:tcBorders>
          </w:tcPr>
          <w:p w14:paraId="6374DF60" w14:textId="77777777" w:rsidR="00AC029C" w:rsidRPr="00532C20" w:rsidRDefault="00AC029C" w:rsidP="00AC029C">
            <w:pPr>
              <w:spacing w:before="120" w:after="120"/>
              <w:rPr>
                <w:rFonts w:ascii="Times New Roman" w:hAnsi="Times New Roman" w:cs="Times New Roman"/>
                <w:noProof/>
                <w:sz w:val="20"/>
              </w:rPr>
            </w:pPr>
            <w:r w:rsidRPr="00532C20">
              <w:rPr>
                <w:rFonts w:ascii="Times New Roman" w:hAnsi="Times New Roman" w:cs="Times New Roman"/>
                <w:noProof/>
                <w:sz w:val="24"/>
              </w:rPr>
              <w:t>Criterion</w:t>
            </w:r>
          </w:p>
        </w:tc>
        <w:tc>
          <w:tcPr>
            <w:tcW w:w="3209" w:type="dxa"/>
            <w:tcBorders>
              <w:top w:val="single" w:sz="4" w:space="0" w:color="auto"/>
            </w:tcBorders>
          </w:tcPr>
          <w:p w14:paraId="15AA5DD7" w14:textId="77777777" w:rsidR="00AC029C" w:rsidRPr="00532C20" w:rsidRDefault="00AC029C" w:rsidP="00AC029C">
            <w:pPr>
              <w:spacing w:before="120"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Key Questions</w:t>
            </w:r>
          </w:p>
        </w:tc>
        <w:tc>
          <w:tcPr>
            <w:tcW w:w="3210" w:type="dxa"/>
            <w:tcBorders>
              <w:top w:val="single" w:sz="4" w:space="0" w:color="auto"/>
              <w:right w:val="single" w:sz="4" w:space="0" w:color="auto"/>
            </w:tcBorders>
          </w:tcPr>
          <w:p w14:paraId="43DEAD2A" w14:textId="77777777" w:rsidR="00AC029C" w:rsidRPr="00532C20" w:rsidRDefault="00AC029C" w:rsidP="00AC029C">
            <w:pPr>
              <w:spacing w:before="120"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Indicators/Methods for comparison</w:t>
            </w:r>
          </w:p>
        </w:tc>
      </w:tr>
      <w:tr w:rsidR="00AC029C" w:rsidRPr="00532C20" w14:paraId="6C583025" w14:textId="77777777" w:rsidTr="002E1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left w:val="single" w:sz="4" w:space="0" w:color="auto"/>
            </w:tcBorders>
          </w:tcPr>
          <w:p w14:paraId="09F263B1" w14:textId="77777777" w:rsidR="00AC029C" w:rsidRPr="00532C20" w:rsidRDefault="00AC029C" w:rsidP="00AC029C">
            <w:pPr>
              <w:spacing w:before="120" w:after="120"/>
              <w:rPr>
                <w:rFonts w:ascii="Times New Roman" w:hAnsi="Times New Roman" w:cs="Times New Roman"/>
                <w:noProof/>
                <w:sz w:val="24"/>
                <w:szCs w:val="24"/>
              </w:rPr>
            </w:pPr>
            <w:r w:rsidRPr="00532C20">
              <w:rPr>
                <w:rFonts w:ascii="Times New Roman" w:hAnsi="Times New Roman" w:cs="Times New Roman"/>
                <w:noProof/>
                <w:sz w:val="24"/>
                <w:szCs w:val="24"/>
              </w:rPr>
              <w:t>Effectiveness</w:t>
            </w:r>
          </w:p>
        </w:tc>
        <w:tc>
          <w:tcPr>
            <w:tcW w:w="3209" w:type="dxa"/>
          </w:tcPr>
          <w:p w14:paraId="32E72670" w14:textId="77777777" w:rsidR="00AC029C" w:rsidRPr="00532C20" w:rsidRDefault="00AC029C" w:rsidP="00AC029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What would be the (quantitative and qualitative) effects of each option?</w:t>
            </w:r>
          </w:p>
          <w:p w14:paraId="68BA65CF" w14:textId="77777777" w:rsidR="00AC029C" w:rsidRPr="00532C20" w:rsidRDefault="00AC029C" w:rsidP="00AC029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Which policy option would be most effective in achieving the set objectives of the current initiative?</w:t>
            </w:r>
          </w:p>
        </w:tc>
        <w:tc>
          <w:tcPr>
            <w:tcW w:w="3210" w:type="dxa"/>
            <w:tcBorders>
              <w:right w:val="single" w:sz="4" w:space="0" w:color="auto"/>
            </w:tcBorders>
          </w:tcPr>
          <w:p w14:paraId="51E0AF35" w14:textId="77777777" w:rsidR="00AC029C" w:rsidRPr="00532C20" w:rsidRDefault="00AC029C" w:rsidP="00AC029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Comparison of expected effectiveness of each policy option against the evaluation baseline</w:t>
            </w:r>
          </w:p>
          <w:p w14:paraId="33AE6B82" w14:textId="77777777" w:rsidR="00AC029C" w:rsidRPr="00532C20" w:rsidRDefault="00AC029C" w:rsidP="00AC029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Comparison of expected effectiveness of the policy options against each other;</w:t>
            </w:r>
          </w:p>
          <w:p w14:paraId="455F193E" w14:textId="77777777" w:rsidR="00AC029C" w:rsidRPr="00532C20" w:rsidRDefault="00AC029C" w:rsidP="00AC029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Identification of a preferred option, where possible.</w:t>
            </w:r>
          </w:p>
        </w:tc>
      </w:tr>
      <w:tr w:rsidR="00AC029C" w:rsidRPr="00532C20" w14:paraId="0000F724" w14:textId="77777777" w:rsidTr="002E1F01">
        <w:tc>
          <w:tcPr>
            <w:cnfStyle w:val="001000000000" w:firstRow="0" w:lastRow="0" w:firstColumn="1" w:lastColumn="0" w:oddVBand="0" w:evenVBand="0" w:oddHBand="0" w:evenHBand="0" w:firstRowFirstColumn="0" w:firstRowLastColumn="0" w:lastRowFirstColumn="0" w:lastRowLastColumn="0"/>
            <w:tcW w:w="3209" w:type="dxa"/>
            <w:tcBorders>
              <w:left w:val="single" w:sz="4" w:space="0" w:color="auto"/>
            </w:tcBorders>
          </w:tcPr>
          <w:p w14:paraId="0E3BE65E" w14:textId="77777777" w:rsidR="00AC029C" w:rsidRPr="00532C20" w:rsidRDefault="00AC029C" w:rsidP="00AC029C">
            <w:pPr>
              <w:spacing w:before="120" w:after="120"/>
              <w:rPr>
                <w:rFonts w:ascii="Times New Roman" w:hAnsi="Times New Roman" w:cs="Times New Roman"/>
                <w:noProof/>
                <w:sz w:val="24"/>
                <w:szCs w:val="24"/>
              </w:rPr>
            </w:pPr>
            <w:r w:rsidRPr="00532C20">
              <w:rPr>
                <w:rFonts w:ascii="Times New Roman" w:hAnsi="Times New Roman" w:cs="Times New Roman"/>
                <w:noProof/>
                <w:sz w:val="24"/>
                <w:szCs w:val="24"/>
              </w:rPr>
              <w:t>Efficiency</w:t>
            </w:r>
            <w:r w:rsidRPr="00532C20" w:rsidDel="003E57B7">
              <w:rPr>
                <w:rFonts w:ascii="Times New Roman" w:hAnsi="Times New Roman" w:cs="Times New Roman"/>
                <w:noProof/>
                <w:sz w:val="24"/>
                <w:szCs w:val="24"/>
              </w:rPr>
              <w:t xml:space="preserve"> </w:t>
            </w:r>
          </w:p>
        </w:tc>
        <w:tc>
          <w:tcPr>
            <w:tcW w:w="3209" w:type="dxa"/>
          </w:tcPr>
          <w:p w14:paraId="2B015F6B" w14:textId="77777777" w:rsidR="00AC029C" w:rsidRPr="00532C20" w:rsidRDefault="00AC029C" w:rsidP="00AC029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What would be the incurred costs and benefits under each policy option?</w:t>
            </w:r>
          </w:p>
          <w:p w14:paraId="6EB65958" w14:textId="77777777" w:rsidR="00AC029C" w:rsidRPr="00532C20" w:rsidRDefault="00AC029C" w:rsidP="00AC029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To what extent will the costs associated with the intervention be proportionate to the benefits it is expected to generate?</w:t>
            </w:r>
          </w:p>
          <w:p w14:paraId="648E7E20" w14:textId="77777777" w:rsidR="00AC029C" w:rsidRPr="00532C20" w:rsidRDefault="00AC029C" w:rsidP="00AC029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How proportionate will be the costs of the intervention borne by different stakeholder groups, taking into account the distribution of associated benefits?</w:t>
            </w:r>
          </w:p>
          <w:p w14:paraId="498986E3" w14:textId="77777777" w:rsidR="00AC029C" w:rsidRPr="00532C20" w:rsidRDefault="00AC029C" w:rsidP="00AC029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Which policy option would be most cost-effective?</w:t>
            </w:r>
          </w:p>
        </w:tc>
        <w:tc>
          <w:tcPr>
            <w:tcW w:w="3210" w:type="dxa"/>
            <w:tcBorders>
              <w:right w:val="single" w:sz="4" w:space="0" w:color="auto"/>
            </w:tcBorders>
          </w:tcPr>
          <w:p w14:paraId="3C089692" w14:textId="77777777" w:rsidR="00AC029C" w:rsidRPr="00532C20" w:rsidRDefault="00AC029C" w:rsidP="00AC029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 xml:space="preserve">Comparison of potential costs and benefits borne by each stakeholder group under each policy option; </w:t>
            </w:r>
          </w:p>
          <w:p w14:paraId="30852C4B" w14:textId="77777777" w:rsidR="00AC029C" w:rsidRPr="00532C20" w:rsidRDefault="00AC029C" w:rsidP="00AC029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Identification of a preferred option, where possible.</w:t>
            </w:r>
          </w:p>
        </w:tc>
      </w:tr>
      <w:tr w:rsidR="00AC029C" w:rsidRPr="00532C20" w14:paraId="7606BC3B" w14:textId="77777777" w:rsidTr="002E1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left w:val="single" w:sz="4" w:space="0" w:color="auto"/>
            </w:tcBorders>
          </w:tcPr>
          <w:p w14:paraId="4015D4E7" w14:textId="77777777" w:rsidR="00AC029C" w:rsidRPr="00532C20" w:rsidRDefault="00AC029C" w:rsidP="00AC029C">
            <w:pPr>
              <w:spacing w:before="120" w:after="120"/>
              <w:rPr>
                <w:rFonts w:ascii="Times New Roman" w:hAnsi="Times New Roman" w:cs="Times New Roman"/>
                <w:noProof/>
                <w:sz w:val="24"/>
                <w:szCs w:val="24"/>
              </w:rPr>
            </w:pPr>
            <w:r w:rsidRPr="00532C20">
              <w:rPr>
                <w:rFonts w:ascii="Times New Roman" w:hAnsi="Times New Roman" w:cs="Times New Roman"/>
                <w:noProof/>
                <w:sz w:val="24"/>
                <w:szCs w:val="24"/>
              </w:rPr>
              <w:t>Coherence</w:t>
            </w:r>
          </w:p>
        </w:tc>
        <w:tc>
          <w:tcPr>
            <w:tcW w:w="3209" w:type="dxa"/>
          </w:tcPr>
          <w:p w14:paraId="20957DEF" w14:textId="77777777" w:rsidR="00AC029C" w:rsidRPr="00532C20" w:rsidRDefault="00AC029C" w:rsidP="00AC029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 xml:space="preserve">To what extent is each policy option coherent with other relevant EU initiatives? </w:t>
            </w:r>
          </w:p>
          <w:p w14:paraId="220CFD43" w14:textId="77777777" w:rsidR="00AC029C" w:rsidRPr="00532C20" w:rsidRDefault="00AC029C" w:rsidP="00AC029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 xml:space="preserve">To what extent is each policy option coherent with wider EU policy? </w:t>
            </w:r>
          </w:p>
          <w:p w14:paraId="675CB919" w14:textId="77777777" w:rsidR="00AC029C" w:rsidRPr="00532C20" w:rsidRDefault="00AC029C" w:rsidP="00AC029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To what extent is each option is contributing to establish a coherent framework by reducing the legal fragmentation across Member States?</w:t>
            </w:r>
          </w:p>
        </w:tc>
        <w:tc>
          <w:tcPr>
            <w:tcW w:w="3210" w:type="dxa"/>
            <w:tcBorders>
              <w:right w:val="single" w:sz="4" w:space="0" w:color="auto"/>
            </w:tcBorders>
          </w:tcPr>
          <w:p w14:paraId="6B35D20A" w14:textId="77777777" w:rsidR="00AC029C" w:rsidRPr="00532C20" w:rsidRDefault="00AC029C" w:rsidP="00AC029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Identification of overlaps and/or synergies between policy options and relevant initiatives;</w:t>
            </w:r>
          </w:p>
          <w:p w14:paraId="0AC7C14C" w14:textId="77777777" w:rsidR="00AC029C" w:rsidRPr="00532C20" w:rsidRDefault="00AC029C" w:rsidP="00AC029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 xml:space="preserve"> Identification of contrasts and/or discrepancies between policy options and relevant initiatives;</w:t>
            </w:r>
          </w:p>
          <w:p w14:paraId="2C4F373C" w14:textId="77777777" w:rsidR="00AC029C" w:rsidRPr="00532C20" w:rsidRDefault="00AC029C" w:rsidP="00AC029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Identification of a preferred option, where possible.</w:t>
            </w:r>
          </w:p>
        </w:tc>
      </w:tr>
      <w:tr w:rsidR="00AC029C" w:rsidRPr="00532C20" w14:paraId="13319133" w14:textId="77777777" w:rsidTr="002E1F01">
        <w:tc>
          <w:tcPr>
            <w:cnfStyle w:val="001000000000" w:firstRow="0" w:lastRow="0" w:firstColumn="1" w:lastColumn="0" w:oddVBand="0" w:evenVBand="0" w:oddHBand="0" w:evenHBand="0" w:firstRowFirstColumn="0" w:firstRowLastColumn="0" w:lastRowFirstColumn="0" w:lastRowLastColumn="0"/>
            <w:tcW w:w="3209" w:type="dxa"/>
            <w:tcBorders>
              <w:left w:val="single" w:sz="4" w:space="0" w:color="auto"/>
              <w:bottom w:val="single" w:sz="4" w:space="0" w:color="auto"/>
            </w:tcBorders>
          </w:tcPr>
          <w:p w14:paraId="7B700F8D" w14:textId="77777777" w:rsidR="00AC029C" w:rsidRPr="00532C20" w:rsidRDefault="00AC029C" w:rsidP="00AC029C">
            <w:pPr>
              <w:spacing w:before="120" w:after="120"/>
              <w:rPr>
                <w:rFonts w:ascii="Times New Roman" w:hAnsi="Times New Roman" w:cs="Times New Roman"/>
                <w:noProof/>
                <w:sz w:val="24"/>
                <w:szCs w:val="24"/>
              </w:rPr>
            </w:pPr>
            <w:r w:rsidRPr="00532C20">
              <w:rPr>
                <w:rFonts w:ascii="Times New Roman" w:hAnsi="Times New Roman" w:cs="Times New Roman"/>
                <w:noProof/>
                <w:sz w:val="24"/>
                <w:szCs w:val="24"/>
              </w:rPr>
              <w:t xml:space="preserve">Proportionality </w:t>
            </w:r>
          </w:p>
        </w:tc>
        <w:tc>
          <w:tcPr>
            <w:tcW w:w="3209" w:type="dxa"/>
            <w:tcBorders>
              <w:bottom w:val="single" w:sz="4" w:space="0" w:color="auto"/>
            </w:tcBorders>
          </w:tcPr>
          <w:p w14:paraId="151198A0" w14:textId="77777777" w:rsidR="00AC029C" w:rsidRPr="00532C20" w:rsidRDefault="00AC029C" w:rsidP="00AC029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Does the initiative go beyond what is necessary to achieve the problem/objective satisfactorily?</w:t>
            </w:r>
          </w:p>
          <w:p w14:paraId="5F18E41A" w14:textId="77777777" w:rsidR="00AC029C" w:rsidRPr="00532C20" w:rsidRDefault="00AC029C" w:rsidP="00AC029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 xml:space="preserve">Is the initiative limited to those aspects that Member States cannot achieve satisfactorily on their own, and where the Union can do better?  </w:t>
            </w:r>
          </w:p>
          <w:p w14:paraId="58F39934" w14:textId="77777777" w:rsidR="00AC029C" w:rsidRPr="00532C20" w:rsidRDefault="00AC029C" w:rsidP="00AC029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Is the form of Union as simple as possible, and coherent with satisfactory achievement of the objective and effective enforcement?</w:t>
            </w:r>
          </w:p>
          <w:p w14:paraId="14493EFA" w14:textId="77777777" w:rsidR="00AC029C" w:rsidRPr="00532C20" w:rsidRDefault="00AC029C" w:rsidP="00AC029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Does the initiative create unjustified financial or administrative cost for the Union, national governments, regional or local authorities, economic operators or citizens? Are these costs commensurate with the objective to be achieved?</w:t>
            </w:r>
          </w:p>
          <w:p w14:paraId="5901C38D" w14:textId="77777777" w:rsidR="00AC029C" w:rsidRPr="00532C20" w:rsidRDefault="00AC029C" w:rsidP="00AC029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Does the Union action leave as much scope for national decision as possible while achieving satisfactorily the objectives set?</w:t>
            </w:r>
          </w:p>
          <w:p w14:paraId="33B7E40C" w14:textId="77777777" w:rsidR="00AC029C" w:rsidRPr="00532C20" w:rsidRDefault="00AC029C" w:rsidP="00AC029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While respecting Union law, are special circumstances applying in individual Member States taken into account?</w:t>
            </w:r>
            <w:r w:rsidRPr="00532C20">
              <w:rPr>
                <w:rFonts w:ascii="Times New Roman" w:hAnsi="Times New Roman" w:cs="Times New Roman"/>
                <w:noProof/>
                <w:sz w:val="24"/>
                <w:szCs w:val="24"/>
              </w:rPr>
              <w:tab/>
            </w:r>
          </w:p>
        </w:tc>
        <w:tc>
          <w:tcPr>
            <w:tcW w:w="3210" w:type="dxa"/>
            <w:tcBorders>
              <w:bottom w:val="single" w:sz="4" w:space="0" w:color="auto"/>
              <w:right w:val="single" w:sz="4" w:space="0" w:color="auto"/>
            </w:tcBorders>
          </w:tcPr>
          <w:p w14:paraId="30B46273" w14:textId="77777777" w:rsidR="00AC029C" w:rsidRPr="00532C20" w:rsidRDefault="00AC029C" w:rsidP="00AC029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32C20">
              <w:rPr>
                <w:rFonts w:ascii="Times New Roman" w:hAnsi="Times New Roman" w:cs="Times New Roman"/>
                <w:noProof/>
                <w:sz w:val="24"/>
                <w:szCs w:val="24"/>
              </w:rPr>
              <w:t>Ensuring that the policy approach and its intensity match the identified problem/objective.</w:t>
            </w:r>
          </w:p>
        </w:tc>
      </w:tr>
    </w:tbl>
    <w:p w14:paraId="6178CD4F" w14:textId="77777777" w:rsidR="006C1BEF" w:rsidRPr="00532C20" w:rsidRDefault="006C1BEF" w:rsidP="00BF1C3D">
      <w:pPr>
        <w:spacing w:after="160"/>
        <w:jc w:val="both"/>
        <w:rPr>
          <w:rFonts w:ascii="Times New Roman" w:eastAsia="Calibri" w:hAnsi="Times New Roman" w:cs="Times New Roman"/>
          <w:noProof/>
          <w:sz w:val="24"/>
          <w:szCs w:val="24"/>
        </w:rPr>
      </w:pPr>
    </w:p>
    <w:p w14:paraId="6BBD23C0" w14:textId="0B752D20" w:rsidR="00BF1C3D" w:rsidRPr="00532C20" w:rsidRDefault="00BF1C3D" w:rsidP="0036292D">
      <w:pPr>
        <w:spacing w:after="160" w:line="240" w:lineRule="auto"/>
        <w:jc w:val="both"/>
        <w:rPr>
          <w:rFonts w:ascii="Times New Roman" w:eastAsia="Calibri" w:hAnsi="Times New Roman" w:cs="Times New Roman"/>
          <w:noProof/>
          <w:sz w:val="24"/>
          <w:szCs w:val="24"/>
        </w:rPr>
      </w:pPr>
      <w:r w:rsidRPr="00532C20">
        <w:rPr>
          <w:rFonts w:ascii="Times New Roman" w:eastAsia="Calibri" w:hAnsi="Times New Roman" w:cs="Times New Roman"/>
          <w:noProof/>
          <w:sz w:val="24"/>
          <w:szCs w:val="24"/>
        </w:rPr>
        <w:t xml:space="preserve">The table in chapter 6 of the Impact Assessment should be read in vertical: </w:t>
      </w:r>
      <w:r w:rsidR="0036292D" w:rsidRPr="00532C20">
        <w:rPr>
          <w:rFonts w:ascii="Times New Roman" w:eastAsia="Calibri" w:hAnsi="Times New Roman" w:cs="Times New Roman"/>
          <w:noProof/>
          <w:sz w:val="24"/>
          <w:szCs w:val="24"/>
        </w:rPr>
        <w:t>‘++’ means positive impact of high magnitude compared to the baseline, ‘+’ means positive impact of moderate magnitude compared to the baseline, ‘0’ means neutral impact compared to the baseline, ‘-’ means negative impact of moderate magnitude compared to the baseline, ‘- -’ means negative impact of high magnitude compared to the baseline, ‘n.a’ means not applicable.</w:t>
      </w:r>
    </w:p>
    <w:p w14:paraId="4CC372C4" w14:textId="02411BB0" w:rsidR="00C821EF" w:rsidRPr="00532C20" w:rsidRDefault="00BF1C3D" w:rsidP="0036292D">
      <w:pPr>
        <w:spacing w:line="240" w:lineRule="auto"/>
        <w:jc w:val="both"/>
        <w:rPr>
          <w:rFonts w:ascii="Times New Roman" w:eastAsia="Calibri" w:hAnsi="Times New Roman" w:cs="Times New Roman"/>
          <w:b/>
          <w:noProof/>
          <w:lang w:val="en-IE" w:eastAsia="en-GB"/>
        </w:rPr>
      </w:pPr>
      <w:r w:rsidRPr="00532C20">
        <w:rPr>
          <w:rFonts w:ascii="Times New Roman" w:eastAsia="Calibri" w:hAnsi="Times New Roman" w:cs="Times New Roman"/>
          <w:noProof/>
          <w:sz w:val="24"/>
          <w:szCs w:val="24"/>
        </w:rPr>
        <w:t>This table</w:t>
      </w:r>
      <w:r w:rsidR="00964D14" w:rsidRPr="00532C20">
        <w:rPr>
          <w:rFonts w:ascii="Times New Roman" w:eastAsia="Calibri" w:hAnsi="Times New Roman" w:cs="Times New Roman"/>
          <w:noProof/>
          <w:sz w:val="24"/>
          <w:szCs w:val="24"/>
        </w:rPr>
        <w:t xml:space="preserve"> summari</w:t>
      </w:r>
      <w:r w:rsidR="00850DAB">
        <w:rPr>
          <w:rFonts w:ascii="Times New Roman" w:eastAsia="Calibri" w:hAnsi="Times New Roman" w:cs="Times New Roman"/>
          <w:noProof/>
          <w:sz w:val="24"/>
          <w:szCs w:val="24"/>
        </w:rPr>
        <w:t>s</w:t>
      </w:r>
      <w:r w:rsidR="00964D14" w:rsidRPr="00532C20">
        <w:rPr>
          <w:rFonts w:ascii="Times New Roman" w:eastAsia="Calibri" w:hAnsi="Times New Roman" w:cs="Times New Roman"/>
          <w:noProof/>
          <w:sz w:val="24"/>
          <w:szCs w:val="24"/>
        </w:rPr>
        <w:t xml:space="preserve">es the impacts of </w:t>
      </w:r>
      <w:r w:rsidRPr="00532C20">
        <w:rPr>
          <w:rFonts w:ascii="Times New Roman" w:eastAsia="Calibri" w:hAnsi="Times New Roman" w:cs="Times New Roman"/>
          <w:noProof/>
          <w:sz w:val="24"/>
          <w:szCs w:val="24"/>
        </w:rPr>
        <w:t xml:space="preserve">each </w:t>
      </w:r>
      <w:r w:rsidR="00964D14" w:rsidRPr="00532C20">
        <w:rPr>
          <w:rFonts w:ascii="Times New Roman" w:eastAsia="Calibri" w:hAnsi="Times New Roman" w:cs="Times New Roman"/>
          <w:noProof/>
          <w:sz w:val="24"/>
          <w:szCs w:val="24"/>
        </w:rPr>
        <w:t xml:space="preserve">the options with </w:t>
      </w:r>
      <w:r w:rsidRPr="00532C20">
        <w:rPr>
          <w:rFonts w:ascii="Times New Roman" w:eastAsia="Calibri" w:hAnsi="Times New Roman" w:cs="Times New Roman"/>
          <w:noProof/>
          <w:sz w:val="24"/>
          <w:szCs w:val="24"/>
        </w:rPr>
        <w:t>regard</w:t>
      </w:r>
      <w:r w:rsidR="00964D14" w:rsidRPr="00532C20">
        <w:rPr>
          <w:rFonts w:ascii="Times New Roman" w:eastAsia="Calibri" w:hAnsi="Times New Roman" w:cs="Times New Roman"/>
          <w:noProof/>
          <w:sz w:val="24"/>
          <w:szCs w:val="24"/>
        </w:rPr>
        <w:t xml:space="preserve"> to </w:t>
      </w:r>
      <w:r w:rsidRPr="00532C20">
        <w:rPr>
          <w:rFonts w:ascii="Times New Roman" w:eastAsia="Calibri" w:hAnsi="Times New Roman" w:cs="Times New Roman"/>
          <w:noProof/>
          <w:sz w:val="24"/>
          <w:szCs w:val="24"/>
        </w:rPr>
        <w:t>both legislative and non-legislative</w:t>
      </w:r>
      <w:r w:rsidR="00964D14" w:rsidRPr="00532C20">
        <w:rPr>
          <w:rFonts w:ascii="Times New Roman" w:eastAsia="Calibri" w:hAnsi="Times New Roman" w:cs="Times New Roman"/>
          <w:noProof/>
          <w:sz w:val="24"/>
          <w:szCs w:val="24"/>
        </w:rPr>
        <w:t xml:space="preserve"> measures </w:t>
      </w:r>
      <w:r w:rsidRPr="00532C20">
        <w:rPr>
          <w:rFonts w:ascii="Times New Roman" w:eastAsia="Calibri" w:hAnsi="Times New Roman" w:cs="Times New Roman"/>
          <w:noProof/>
          <w:sz w:val="24"/>
          <w:szCs w:val="24"/>
        </w:rPr>
        <w:t>considered.</w:t>
      </w:r>
      <w:r w:rsidR="00964D14" w:rsidRPr="00532C20">
        <w:rPr>
          <w:rFonts w:ascii="Times New Roman" w:eastAsia="Calibri" w:hAnsi="Times New Roman" w:cs="Times New Roman"/>
          <w:noProof/>
          <w:sz w:val="24"/>
          <w:szCs w:val="24"/>
        </w:rPr>
        <w:t xml:space="preserve"> The </w:t>
      </w:r>
      <w:r w:rsidRPr="00532C20">
        <w:rPr>
          <w:rFonts w:ascii="Times New Roman" w:eastAsia="Calibri" w:hAnsi="Times New Roman" w:cs="Times New Roman"/>
          <w:noProof/>
          <w:sz w:val="24"/>
          <w:szCs w:val="24"/>
        </w:rPr>
        <w:t>table provides</w:t>
      </w:r>
      <w:r w:rsidR="00964D14" w:rsidRPr="00532C20">
        <w:rPr>
          <w:rFonts w:ascii="Times New Roman" w:eastAsia="Calibri" w:hAnsi="Times New Roman" w:cs="Times New Roman"/>
          <w:noProof/>
          <w:sz w:val="24"/>
          <w:szCs w:val="24"/>
        </w:rPr>
        <w:t xml:space="preserve"> an overview of how the options compare. The corresponding narrative sections provide explanations as to why which option is considered better for each category.</w:t>
      </w:r>
      <w:r w:rsidR="00C821EF" w:rsidRPr="00532C20">
        <w:rPr>
          <w:rFonts w:ascii="Times New Roman" w:hAnsi="Times New Roman" w:cs="Times New Roman"/>
          <w:noProof/>
        </w:rPr>
        <w:br w:type="page"/>
      </w:r>
    </w:p>
    <w:p w14:paraId="591CF4B9" w14:textId="4E87E549" w:rsidR="00C821EF" w:rsidRPr="00532C20" w:rsidRDefault="00C821EF" w:rsidP="007F43F7">
      <w:pPr>
        <w:pStyle w:val="Annex222"/>
        <w:spacing w:after="240"/>
        <w:contextualSpacing w:val="0"/>
        <w:outlineLvl w:val="0"/>
        <w:rPr>
          <w:rFonts w:ascii="Times New Roman" w:hAnsi="Times New Roman" w:cs="Times New Roman"/>
          <w:noProof/>
        </w:rPr>
      </w:pPr>
      <w:bookmarkStart w:id="1180" w:name="_Toc152864724"/>
      <w:r w:rsidRPr="00532C20">
        <w:rPr>
          <w:rFonts w:ascii="Times New Roman" w:hAnsi="Times New Roman" w:cs="Times New Roman"/>
          <w:noProof/>
        </w:rPr>
        <w:t>Annex 5:</w:t>
      </w:r>
      <w:r w:rsidR="00620A83" w:rsidRPr="00532C20">
        <w:rPr>
          <w:rFonts w:ascii="Times New Roman" w:hAnsi="Times New Roman" w:cs="Times New Roman"/>
          <w:noProof/>
        </w:rPr>
        <w:t xml:space="preserve"> Competitiveness check</w:t>
      </w:r>
      <w:bookmarkEnd w:id="1180"/>
      <w:r w:rsidRPr="00532C20">
        <w:rPr>
          <w:rFonts w:ascii="Times New Roman" w:hAnsi="Times New Roman" w:cs="Times New Roman"/>
          <w:noProof/>
        </w:rPr>
        <w:t xml:space="preserve"> </w:t>
      </w:r>
    </w:p>
    <w:p w14:paraId="68CE969D" w14:textId="32EF9A62" w:rsidR="00C821EF" w:rsidRPr="00532C20" w:rsidRDefault="00FB3904" w:rsidP="00ED4CBE">
      <w:pPr>
        <w:pStyle w:val="ListParagraph"/>
        <w:numPr>
          <w:ilvl w:val="0"/>
          <w:numId w:val="77"/>
        </w:numPr>
        <w:rPr>
          <w:rFonts w:ascii="Times New Roman" w:hAnsi="Times New Roman" w:cs="Times New Roman"/>
          <w:b/>
          <w:bCs/>
          <w:noProof/>
          <w:u w:val="single"/>
          <w:lang w:val="en-IE"/>
        </w:rPr>
      </w:pPr>
      <w:r w:rsidRPr="00532C20">
        <w:rPr>
          <w:rFonts w:ascii="Times New Roman" w:hAnsi="Times New Roman" w:cs="Times New Roman"/>
          <w:b/>
          <w:bCs/>
          <w:noProof/>
          <w:u w:val="single"/>
          <w:lang w:val="en-IE"/>
        </w:rPr>
        <w:t>Overview of impacts on competitiveness</w:t>
      </w:r>
    </w:p>
    <w:p w14:paraId="6DE5FC94" w14:textId="77777777" w:rsidR="00ED4CBE" w:rsidRPr="00532C20" w:rsidRDefault="00ED4CBE" w:rsidP="00ED4CBE">
      <w:pPr>
        <w:pStyle w:val="ListParagraph"/>
        <w:ind w:left="360"/>
        <w:rPr>
          <w:rFonts w:ascii="Times New Roman" w:hAnsi="Times New Roman" w:cs="Times New Roman"/>
          <w:noProof/>
          <w:lang w:val="en-IE"/>
        </w:rPr>
      </w:pPr>
    </w:p>
    <w:tbl>
      <w:tblPr>
        <w:tblStyle w:val="TableGrid"/>
        <w:tblW w:w="0" w:type="auto"/>
        <w:tblLook w:val="04A0" w:firstRow="1" w:lastRow="0" w:firstColumn="1" w:lastColumn="0" w:noHBand="0" w:noVBand="1"/>
      </w:tblPr>
      <w:tblGrid>
        <w:gridCol w:w="2972"/>
        <w:gridCol w:w="2410"/>
        <w:gridCol w:w="3226"/>
      </w:tblGrid>
      <w:tr w:rsidR="001D5920" w:rsidRPr="00532C20" w14:paraId="4BF00A63" w14:textId="77777777" w:rsidTr="00447817">
        <w:tc>
          <w:tcPr>
            <w:tcW w:w="2972" w:type="dxa"/>
          </w:tcPr>
          <w:p w14:paraId="29D0D471" w14:textId="30422D35" w:rsidR="001D5920" w:rsidRPr="00532C20" w:rsidRDefault="00171DD1" w:rsidP="004B0958">
            <w:pPr>
              <w:pStyle w:val="Style000"/>
              <w:spacing w:after="0"/>
              <w:jc w:val="center"/>
              <w:rPr>
                <w:rFonts w:ascii="Times New Roman" w:hAnsi="Times New Roman" w:cs="Times New Roman"/>
                <w:b/>
                <w:noProof/>
                <w:sz w:val="22"/>
                <w:szCs w:val="22"/>
              </w:rPr>
            </w:pPr>
            <w:r w:rsidRPr="00532C20">
              <w:rPr>
                <w:rFonts w:ascii="Times New Roman" w:hAnsi="Times New Roman" w:cs="Times New Roman"/>
                <w:b/>
                <w:bCs/>
                <w:noProof/>
                <w:sz w:val="22"/>
                <w:szCs w:val="22"/>
              </w:rPr>
              <w:t>Dimensions of competitiveness</w:t>
            </w:r>
          </w:p>
        </w:tc>
        <w:tc>
          <w:tcPr>
            <w:tcW w:w="2410" w:type="dxa"/>
          </w:tcPr>
          <w:p w14:paraId="558B8D0D" w14:textId="06D11069" w:rsidR="00171DD1" w:rsidRPr="00532C20" w:rsidRDefault="00171DD1" w:rsidP="004B0958">
            <w:pPr>
              <w:pStyle w:val="Style000"/>
              <w:spacing w:after="0"/>
              <w:jc w:val="center"/>
              <w:rPr>
                <w:rFonts w:ascii="Times New Roman" w:hAnsi="Times New Roman" w:cs="Times New Roman"/>
                <w:b/>
                <w:bCs/>
                <w:noProof/>
                <w:sz w:val="22"/>
                <w:szCs w:val="22"/>
              </w:rPr>
            </w:pPr>
            <w:r w:rsidRPr="00532C20">
              <w:rPr>
                <w:rFonts w:ascii="Times New Roman" w:hAnsi="Times New Roman" w:cs="Times New Roman"/>
                <w:b/>
                <w:bCs/>
                <w:noProof/>
                <w:sz w:val="22"/>
                <w:szCs w:val="22"/>
              </w:rPr>
              <w:t>Impact of the initiative</w:t>
            </w:r>
          </w:p>
          <w:p w14:paraId="4B72C5B2" w14:textId="7C45FA27" w:rsidR="001D5920" w:rsidRPr="00532C20" w:rsidRDefault="00171DD1" w:rsidP="004B0958">
            <w:pPr>
              <w:pStyle w:val="Style000"/>
              <w:spacing w:after="0"/>
              <w:jc w:val="center"/>
              <w:rPr>
                <w:rFonts w:ascii="Times New Roman" w:hAnsi="Times New Roman" w:cs="Times New Roman"/>
                <w:b/>
                <w:noProof/>
                <w:sz w:val="22"/>
                <w:szCs w:val="22"/>
              </w:rPr>
            </w:pPr>
            <w:r w:rsidRPr="00532C20">
              <w:rPr>
                <w:rFonts w:ascii="Times New Roman" w:hAnsi="Times New Roman" w:cs="Times New Roman"/>
                <w:b/>
                <w:bCs/>
                <w:noProof/>
                <w:sz w:val="22"/>
                <w:szCs w:val="22"/>
              </w:rPr>
              <w:t>(++ / +/ 0 / - / --/ n.a.)</w:t>
            </w:r>
          </w:p>
        </w:tc>
        <w:tc>
          <w:tcPr>
            <w:tcW w:w="3226" w:type="dxa"/>
          </w:tcPr>
          <w:p w14:paraId="0D1724EB" w14:textId="75524265" w:rsidR="001D5920" w:rsidRPr="00532C20" w:rsidRDefault="00171DD1" w:rsidP="004B0958">
            <w:pPr>
              <w:pStyle w:val="Style000"/>
              <w:spacing w:after="0"/>
              <w:jc w:val="center"/>
              <w:rPr>
                <w:rFonts w:ascii="Times New Roman" w:hAnsi="Times New Roman" w:cs="Times New Roman"/>
                <w:b/>
                <w:noProof/>
                <w:sz w:val="22"/>
                <w:szCs w:val="22"/>
              </w:rPr>
            </w:pPr>
            <w:r w:rsidRPr="00532C20">
              <w:rPr>
                <w:rFonts w:ascii="Times New Roman" w:hAnsi="Times New Roman" w:cs="Times New Roman"/>
                <w:b/>
                <w:bCs/>
                <w:noProof/>
                <w:sz w:val="22"/>
                <w:szCs w:val="22"/>
              </w:rPr>
              <w:t>References to sub-sections of the main report or annexes</w:t>
            </w:r>
          </w:p>
        </w:tc>
      </w:tr>
      <w:tr w:rsidR="001D5920" w:rsidRPr="00532C20" w14:paraId="4B2E3BAF" w14:textId="77777777" w:rsidTr="00447817">
        <w:tc>
          <w:tcPr>
            <w:tcW w:w="2972" w:type="dxa"/>
          </w:tcPr>
          <w:p w14:paraId="52CB4896" w14:textId="232F045A" w:rsidR="001D5920" w:rsidRPr="00532C20" w:rsidRDefault="00171DD1" w:rsidP="004B0958">
            <w:pPr>
              <w:pStyle w:val="Style000"/>
              <w:spacing w:after="0"/>
              <w:rPr>
                <w:rFonts w:ascii="Times New Roman" w:hAnsi="Times New Roman" w:cs="Times New Roman"/>
                <w:noProof/>
                <w:sz w:val="22"/>
                <w:szCs w:val="22"/>
              </w:rPr>
            </w:pPr>
            <w:r w:rsidRPr="00532C20">
              <w:rPr>
                <w:rFonts w:ascii="Times New Roman" w:hAnsi="Times New Roman" w:cs="Times New Roman"/>
                <w:noProof/>
                <w:sz w:val="22"/>
                <w:szCs w:val="22"/>
              </w:rPr>
              <w:t>Cost and price competitiveness</w:t>
            </w:r>
          </w:p>
        </w:tc>
        <w:tc>
          <w:tcPr>
            <w:tcW w:w="2410" w:type="dxa"/>
          </w:tcPr>
          <w:p w14:paraId="5BAC8D6A" w14:textId="364A5AE2" w:rsidR="001D5920" w:rsidRPr="00532C20" w:rsidRDefault="00AA0866" w:rsidP="004B0958">
            <w:pPr>
              <w:pStyle w:val="Style000"/>
              <w:spacing w:after="0"/>
              <w:jc w:val="center"/>
              <w:rPr>
                <w:rFonts w:ascii="Times New Roman" w:hAnsi="Times New Roman" w:cs="Times New Roman"/>
                <w:noProof/>
                <w:sz w:val="22"/>
                <w:szCs w:val="22"/>
              </w:rPr>
            </w:pPr>
            <w:r w:rsidRPr="00532C20">
              <w:rPr>
                <w:rFonts w:ascii="Times New Roman" w:hAnsi="Times New Roman" w:cs="Times New Roman"/>
                <w:noProof/>
                <w:sz w:val="22"/>
                <w:szCs w:val="22"/>
              </w:rPr>
              <w:t>+</w:t>
            </w:r>
          </w:p>
        </w:tc>
        <w:tc>
          <w:tcPr>
            <w:tcW w:w="3226" w:type="dxa"/>
          </w:tcPr>
          <w:p w14:paraId="05B9FD11" w14:textId="7274AE5F" w:rsidR="001D5920" w:rsidRPr="00532C20" w:rsidRDefault="00901092" w:rsidP="004B0958">
            <w:pPr>
              <w:pStyle w:val="Style000"/>
              <w:spacing w:after="0"/>
              <w:rPr>
                <w:rFonts w:ascii="Times New Roman" w:hAnsi="Times New Roman" w:cs="Times New Roman"/>
                <w:noProof/>
                <w:sz w:val="22"/>
                <w:szCs w:val="22"/>
              </w:rPr>
            </w:pPr>
            <w:r w:rsidRPr="00532C20">
              <w:rPr>
                <w:rFonts w:ascii="Times New Roman" w:hAnsi="Times New Roman" w:cs="Times New Roman"/>
                <w:noProof/>
                <w:sz w:val="22"/>
                <w:szCs w:val="22"/>
              </w:rPr>
              <w:t>Section</w:t>
            </w:r>
            <w:r w:rsidR="00447817" w:rsidRPr="00532C20">
              <w:rPr>
                <w:rFonts w:ascii="Times New Roman" w:hAnsi="Times New Roman" w:cs="Times New Roman"/>
                <w:noProof/>
                <w:sz w:val="22"/>
                <w:szCs w:val="22"/>
              </w:rPr>
              <w:t>s</w:t>
            </w:r>
            <w:r w:rsidRPr="00532C20">
              <w:rPr>
                <w:rFonts w:ascii="Times New Roman" w:hAnsi="Times New Roman" w:cs="Times New Roman"/>
                <w:noProof/>
                <w:sz w:val="22"/>
                <w:szCs w:val="22"/>
              </w:rPr>
              <w:t xml:space="preserve"> </w:t>
            </w:r>
            <w:r w:rsidR="008A3B3E" w:rsidRPr="00532C20">
              <w:rPr>
                <w:rFonts w:ascii="Times New Roman" w:hAnsi="Times New Roman" w:cs="Times New Roman"/>
                <w:noProof/>
                <w:sz w:val="22"/>
                <w:szCs w:val="22"/>
              </w:rPr>
              <w:t>6.2.1.</w:t>
            </w:r>
            <w:r w:rsidR="00447817" w:rsidRPr="00532C20">
              <w:rPr>
                <w:rFonts w:ascii="Times New Roman" w:hAnsi="Times New Roman" w:cs="Times New Roman"/>
                <w:noProof/>
                <w:sz w:val="22"/>
                <w:szCs w:val="22"/>
              </w:rPr>
              <w:t>1, 6.2.1.2 &amp;</w:t>
            </w:r>
            <w:r w:rsidR="0055663C" w:rsidRPr="00532C20">
              <w:rPr>
                <w:rFonts w:ascii="Times New Roman" w:hAnsi="Times New Roman" w:cs="Times New Roman"/>
                <w:noProof/>
                <w:sz w:val="22"/>
                <w:szCs w:val="22"/>
              </w:rPr>
              <w:t xml:space="preserve"> 6.2.1.3</w:t>
            </w:r>
          </w:p>
        </w:tc>
      </w:tr>
      <w:tr w:rsidR="001D5920" w:rsidRPr="00532C20" w14:paraId="37545FEA" w14:textId="77777777" w:rsidTr="00447817">
        <w:tc>
          <w:tcPr>
            <w:tcW w:w="2972" w:type="dxa"/>
          </w:tcPr>
          <w:p w14:paraId="47B47F7E" w14:textId="03E66B51" w:rsidR="001D5920" w:rsidRPr="00532C20" w:rsidRDefault="00171DD1" w:rsidP="004B0958">
            <w:pPr>
              <w:pStyle w:val="Style000"/>
              <w:spacing w:after="0"/>
              <w:rPr>
                <w:rFonts w:ascii="Times New Roman" w:hAnsi="Times New Roman" w:cs="Times New Roman"/>
                <w:noProof/>
                <w:sz w:val="22"/>
                <w:szCs w:val="22"/>
              </w:rPr>
            </w:pPr>
            <w:r w:rsidRPr="00532C20">
              <w:rPr>
                <w:rFonts w:ascii="Times New Roman" w:hAnsi="Times New Roman" w:cs="Times New Roman"/>
                <w:noProof/>
                <w:sz w:val="22"/>
                <w:szCs w:val="22"/>
              </w:rPr>
              <w:t>Capacity to innovate</w:t>
            </w:r>
          </w:p>
        </w:tc>
        <w:tc>
          <w:tcPr>
            <w:tcW w:w="2410" w:type="dxa"/>
          </w:tcPr>
          <w:p w14:paraId="728BD338" w14:textId="44A307A5" w:rsidR="001D5920" w:rsidRPr="00532C20" w:rsidRDefault="00447817" w:rsidP="004B0958">
            <w:pPr>
              <w:pStyle w:val="Style000"/>
              <w:spacing w:after="0"/>
              <w:jc w:val="center"/>
              <w:rPr>
                <w:rFonts w:ascii="Times New Roman" w:hAnsi="Times New Roman" w:cs="Times New Roman"/>
                <w:noProof/>
                <w:sz w:val="22"/>
                <w:szCs w:val="22"/>
              </w:rPr>
            </w:pPr>
            <w:r w:rsidRPr="00532C20">
              <w:rPr>
                <w:rFonts w:ascii="Times New Roman" w:hAnsi="Times New Roman" w:cs="Times New Roman"/>
                <w:noProof/>
                <w:sz w:val="22"/>
                <w:szCs w:val="22"/>
              </w:rPr>
              <w:t>0</w:t>
            </w:r>
          </w:p>
        </w:tc>
        <w:tc>
          <w:tcPr>
            <w:tcW w:w="3226" w:type="dxa"/>
          </w:tcPr>
          <w:p w14:paraId="7933125D" w14:textId="511530AD" w:rsidR="001D5920" w:rsidRPr="00532C20" w:rsidRDefault="0055663C" w:rsidP="004B0958">
            <w:pPr>
              <w:pStyle w:val="Style000"/>
              <w:spacing w:after="0"/>
              <w:rPr>
                <w:rFonts w:ascii="Times New Roman" w:hAnsi="Times New Roman" w:cs="Times New Roman"/>
                <w:noProof/>
                <w:sz w:val="22"/>
                <w:szCs w:val="22"/>
              </w:rPr>
            </w:pPr>
            <w:r w:rsidRPr="00532C20">
              <w:rPr>
                <w:rFonts w:ascii="Times New Roman" w:hAnsi="Times New Roman" w:cs="Times New Roman"/>
                <w:noProof/>
                <w:sz w:val="22"/>
                <w:szCs w:val="22"/>
              </w:rPr>
              <w:t>Section 6.2.1.2</w:t>
            </w:r>
          </w:p>
        </w:tc>
      </w:tr>
      <w:tr w:rsidR="001D5920" w:rsidRPr="00532C20" w14:paraId="40283D0B" w14:textId="77777777" w:rsidTr="00447817">
        <w:tc>
          <w:tcPr>
            <w:tcW w:w="2972" w:type="dxa"/>
          </w:tcPr>
          <w:p w14:paraId="3AF05DAA" w14:textId="20A6C204" w:rsidR="001D5920" w:rsidRPr="00532C20" w:rsidRDefault="00171DD1" w:rsidP="004B0958">
            <w:pPr>
              <w:pStyle w:val="Style000"/>
              <w:spacing w:after="0"/>
              <w:rPr>
                <w:rFonts w:ascii="Times New Roman" w:hAnsi="Times New Roman" w:cs="Times New Roman"/>
                <w:noProof/>
                <w:sz w:val="22"/>
                <w:szCs w:val="22"/>
              </w:rPr>
            </w:pPr>
            <w:r w:rsidRPr="00532C20">
              <w:rPr>
                <w:rFonts w:ascii="Times New Roman" w:hAnsi="Times New Roman" w:cs="Times New Roman"/>
                <w:noProof/>
                <w:sz w:val="22"/>
                <w:szCs w:val="22"/>
              </w:rPr>
              <w:t>International competitiveness</w:t>
            </w:r>
          </w:p>
        </w:tc>
        <w:tc>
          <w:tcPr>
            <w:tcW w:w="2410" w:type="dxa"/>
          </w:tcPr>
          <w:p w14:paraId="32460B70" w14:textId="4AD7007B" w:rsidR="001D5920" w:rsidRPr="00532C20" w:rsidRDefault="009274AF" w:rsidP="004B0958">
            <w:pPr>
              <w:pStyle w:val="Style000"/>
              <w:spacing w:after="0"/>
              <w:jc w:val="center"/>
              <w:rPr>
                <w:rFonts w:ascii="Times New Roman" w:hAnsi="Times New Roman" w:cs="Times New Roman"/>
                <w:noProof/>
                <w:sz w:val="22"/>
                <w:szCs w:val="22"/>
              </w:rPr>
            </w:pPr>
            <w:r w:rsidRPr="00532C20">
              <w:rPr>
                <w:rFonts w:ascii="Times New Roman" w:hAnsi="Times New Roman" w:cs="Times New Roman"/>
                <w:noProof/>
                <w:sz w:val="22"/>
                <w:szCs w:val="22"/>
              </w:rPr>
              <w:t>0</w:t>
            </w:r>
          </w:p>
        </w:tc>
        <w:tc>
          <w:tcPr>
            <w:tcW w:w="3226" w:type="dxa"/>
          </w:tcPr>
          <w:p w14:paraId="4431A8DF" w14:textId="1A32E17C" w:rsidR="001D5920" w:rsidRPr="00532C20" w:rsidRDefault="008A3B3E" w:rsidP="004B0958">
            <w:pPr>
              <w:pStyle w:val="Style000"/>
              <w:spacing w:after="0"/>
              <w:rPr>
                <w:rFonts w:ascii="Times New Roman" w:hAnsi="Times New Roman" w:cs="Times New Roman"/>
                <w:noProof/>
                <w:sz w:val="22"/>
                <w:szCs w:val="22"/>
              </w:rPr>
            </w:pPr>
            <w:r w:rsidRPr="00532C20">
              <w:rPr>
                <w:rFonts w:ascii="Times New Roman" w:hAnsi="Times New Roman" w:cs="Times New Roman"/>
                <w:noProof/>
                <w:sz w:val="22"/>
                <w:szCs w:val="22"/>
              </w:rPr>
              <w:t>Section 6.2.4</w:t>
            </w:r>
          </w:p>
        </w:tc>
      </w:tr>
      <w:tr w:rsidR="001D5920" w:rsidRPr="00532C20" w14:paraId="39D53FD1" w14:textId="77777777" w:rsidTr="00447817">
        <w:tc>
          <w:tcPr>
            <w:tcW w:w="2972" w:type="dxa"/>
          </w:tcPr>
          <w:p w14:paraId="62BA9427" w14:textId="2D410D09" w:rsidR="001D5920" w:rsidRPr="00532C20" w:rsidRDefault="00171DD1" w:rsidP="004B0958">
            <w:pPr>
              <w:pStyle w:val="Style000"/>
              <w:spacing w:after="0"/>
              <w:rPr>
                <w:rFonts w:ascii="Times New Roman" w:hAnsi="Times New Roman" w:cs="Times New Roman"/>
                <w:b/>
                <w:noProof/>
                <w:sz w:val="22"/>
                <w:szCs w:val="22"/>
              </w:rPr>
            </w:pPr>
            <w:r w:rsidRPr="00532C20">
              <w:rPr>
                <w:rFonts w:ascii="Times New Roman" w:hAnsi="Times New Roman" w:cs="Times New Roman"/>
                <w:noProof/>
                <w:sz w:val="22"/>
                <w:szCs w:val="22"/>
              </w:rPr>
              <w:t>SME competitiveness</w:t>
            </w:r>
          </w:p>
        </w:tc>
        <w:tc>
          <w:tcPr>
            <w:tcW w:w="2410" w:type="dxa"/>
          </w:tcPr>
          <w:p w14:paraId="2AD28F1C" w14:textId="50CBD96D" w:rsidR="001D5920" w:rsidRPr="00532C20" w:rsidRDefault="00B25FF2" w:rsidP="004B0958">
            <w:pPr>
              <w:pStyle w:val="Style000"/>
              <w:spacing w:after="0"/>
              <w:jc w:val="center"/>
              <w:rPr>
                <w:rFonts w:ascii="Times New Roman" w:hAnsi="Times New Roman" w:cs="Times New Roman"/>
                <w:noProof/>
                <w:sz w:val="22"/>
                <w:szCs w:val="22"/>
              </w:rPr>
            </w:pPr>
            <w:r w:rsidRPr="00532C20">
              <w:rPr>
                <w:rFonts w:ascii="Times New Roman" w:hAnsi="Times New Roman" w:cs="Times New Roman"/>
                <w:noProof/>
                <w:sz w:val="22"/>
                <w:szCs w:val="22"/>
              </w:rPr>
              <w:t>+</w:t>
            </w:r>
          </w:p>
        </w:tc>
        <w:tc>
          <w:tcPr>
            <w:tcW w:w="3226" w:type="dxa"/>
          </w:tcPr>
          <w:p w14:paraId="6AC8F112" w14:textId="720FDA86" w:rsidR="001D5920" w:rsidRPr="00532C20" w:rsidRDefault="008A3B3E" w:rsidP="004B0958">
            <w:pPr>
              <w:pStyle w:val="Style000"/>
              <w:spacing w:after="0"/>
              <w:rPr>
                <w:rFonts w:ascii="Times New Roman" w:hAnsi="Times New Roman" w:cs="Times New Roman"/>
                <w:noProof/>
                <w:sz w:val="22"/>
                <w:szCs w:val="22"/>
              </w:rPr>
            </w:pPr>
            <w:r w:rsidRPr="00532C20">
              <w:rPr>
                <w:rFonts w:ascii="Times New Roman" w:hAnsi="Times New Roman" w:cs="Times New Roman"/>
                <w:noProof/>
                <w:sz w:val="22"/>
                <w:szCs w:val="22"/>
              </w:rPr>
              <w:t>Section 6.2.1.2</w:t>
            </w:r>
          </w:p>
        </w:tc>
      </w:tr>
    </w:tbl>
    <w:p w14:paraId="2BF9F1C8" w14:textId="13134439" w:rsidR="00105A89" w:rsidRPr="00532C20" w:rsidRDefault="00105A89" w:rsidP="004B0958">
      <w:pPr>
        <w:spacing w:line="240" w:lineRule="auto"/>
        <w:jc w:val="both"/>
        <w:textAlignment w:val="baseline"/>
        <w:rPr>
          <w:rFonts w:ascii="Times New Roman" w:eastAsia="Times" w:hAnsi="Times New Roman" w:cs="Times New Roman"/>
          <w:b/>
          <w:noProof/>
          <w:sz w:val="24"/>
          <w:szCs w:val="24"/>
          <w:lang w:val="en-IE" w:eastAsia="en-IE"/>
        </w:rPr>
      </w:pPr>
      <w:r w:rsidRPr="00532C20">
        <w:rPr>
          <w:rFonts w:ascii="Times New Roman" w:hAnsi="Times New Roman" w:cs="Times New Roman"/>
          <w:bCs/>
          <w:noProof/>
          <w:sz w:val="20"/>
          <w:lang w:val="en-IE"/>
        </w:rPr>
        <w:t xml:space="preserve">The table should be read in horizontally: </w:t>
      </w:r>
      <w:r w:rsidRPr="00532C20">
        <w:rPr>
          <w:rFonts w:ascii="Times New Roman" w:hAnsi="Times New Roman" w:cs="Times New Roman"/>
          <w:b/>
          <w:noProof/>
          <w:sz w:val="20"/>
          <w:lang w:val="en-IE"/>
        </w:rPr>
        <w:t xml:space="preserve">‘++’ means positive impact of high magnitude, </w:t>
      </w:r>
      <w:r w:rsidR="00D26926" w:rsidRPr="00532C20">
        <w:rPr>
          <w:rFonts w:ascii="Times New Roman" w:hAnsi="Times New Roman" w:cs="Times New Roman"/>
          <w:b/>
          <w:noProof/>
          <w:sz w:val="20"/>
          <w:lang w:val="en-IE"/>
        </w:rPr>
        <w:t xml:space="preserve">‘+’ means positive impact of moderate magnitude, ‘0’ means </w:t>
      </w:r>
      <w:r w:rsidR="00244F5E" w:rsidRPr="00532C20">
        <w:rPr>
          <w:rFonts w:ascii="Times New Roman" w:hAnsi="Times New Roman" w:cs="Times New Roman"/>
          <w:b/>
          <w:noProof/>
          <w:sz w:val="20"/>
          <w:lang w:val="en-IE"/>
        </w:rPr>
        <w:t>neutral</w:t>
      </w:r>
      <w:r w:rsidR="00D26926" w:rsidRPr="00532C20">
        <w:rPr>
          <w:rFonts w:ascii="Times New Roman" w:hAnsi="Times New Roman" w:cs="Times New Roman"/>
          <w:b/>
          <w:noProof/>
          <w:sz w:val="20"/>
          <w:lang w:val="en-IE"/>
        </w:rPr>
        <w:t xml:space="preserve"> impact, ‘-</w:t>
      </w:r>
      <w:r w:rsidR="008F5671" w:rsidRPr="00532C20">
        <w:rPr>
          <w:rFonts w:ascii="Times New Roman" w:hAnsi="Times New Roman" w:cs="Times New Roman"/>
          <w:b/>
          <w:noProof/>
          <w:sz w:val="20"/>
          <w:lang w:val="en-IE"/>
        </w:rPr>
        <w:t>’</w:t>
      </w:r>
      <w:r w:rsidR="00D26926" w:rsidRPr="00532C20">
        <w:rPr>
          <w:rFonts w:ascii="Times New Roman" w:hAnsi="Times New Roman" w:cs="Times New Roman"/>
          <w:b/>
          <w:noProof/>
          <w:sz w:val="20"/>
          <w:lang w:val="en-IE"/>
        </w:rPr>
        <w:t xml:space="preserve"> means negative impact of moderate magnitude, </w:t>
      </w:r>
      <w:r w:rsidR="00244F5E" w:rsidRPr="00532C20">
        <w:rPr>
          <w:rFonts w:ascii="Times New Roman" w:hAnsi="Times New Roman" w:cs="Times New Roman"/>
          <w:b/>
          <w:noProof/>
          <w:sz w:val="20"/>
          <w:lang w:val="en-IE"/>
        </w:rPr>
        <w:t>‘</w:t>
      </w:r>
      <w:r w:rsidR="008F5671" w:rsidRPr="00532C20">
        <w:rPr>
          <w:rFonts w:ascii="Times New Roman" w:hAnsi="Times New Roman" w:cs="Times New Roman"/>
          <w:b/>
          <w:noProof/>
          <w:sz w:val="20"/>
          <w:lang w:val="en-IE"/>
        </w:rPr>
        <w:t>- -</w:t>
      </w:r>
      <w:r w:rsidRPr="00532C20">
        <w:rPr>
          <w:rFonts w:ascii="Times New Roman" w:hAnsi="Times New Roman" w:cs="Times New Roman"/>
          <w:b/>
          <w:noProof/>
          <w:sz w:val="20"/>
          <w:lang w:val="en-IE"/>
        </w:rPr>
        <w:t xml:space="preserve">’ means </w:t>
      </w:r>
      <w:r w:rsidR="00244F5E" w:rsidRPr="00532C20">
        <w:rPr>
          <w:rFonts w:ascii="Times New Roman" w:hAnsi="Times New Roman" w:cs="Times New Roman"/>
          <w:b/>
          <w:noProof/>
          <w:sz w:val="20"/>
          <w:lang w:val="en-IE"/>
        </w:rPr>
        <w:t>negative impact</w:t>
      </w:r>
      <w:r w:rsidRPr="00532C20">
        <w:rPr>
          <w:rFonts w:ascii="Times New Roman" w:hAnsi="Times New Roman" w:cs="Times New Roman"/>
          <w:b/>
          <w:noProof/>
          <w:sz w:val="20"/>
          <w:lang w:val="en-IE"/>
        </w:rPr>
        <w:t xml:space="preserve"> of </w:t>
      </w:r>
      <w:r w:rsidR="00244F5E" w:rsidRPr="00532C20">
        <w:rPr>
          <w:rFonts w:ascii="Times New Roman" w:hAnsi="Times New Roman" w:cs="Times New Roman"/>
          <w:b/>
          <w:noProof/>
          <w:sz w:val="20"/>
          <w:lang w:val="en-IE"/>
        </w:rPr>
        <w:t>high magnitude, ‘n.a’</w:t>
      </w:r>
      <w:r w:rsidRPr="00532C20">
        <w:rPr>
          <w:rFonts w:ascii="Times New Roman" w:hAnsi="Times New Roman" w:cs="Times New Roman"/>
          <w:b/>
          <w:noProof/>
          <w:sz w:val="20"/>
          <w:lang w:val="en-IE"/>
        </w:rPr>
        <w:t xml:space="preserve"> means </w:t>
      </w:r>
      <w:r w:rsidR="00244F5E" w:rsidRPr="00532C20">
        <w:rPr>
          <w:rFonts w:ascii="Times New Roman" w:hAnsi="Times New Roman" w:cs="Times New Roman"/>
          <w:b/>
          <w:noProof/>
          <w:sz w:val="20"/>
          <w:lang w:val="en-IE"/>
        </w:rPr>
        <w:t>not applicable</w:t>
      </w:r>
      <w:r w:rsidRPr="00532C20">
        <w:rPr>
          <w:rFonts w:ascii="Times New Roman" w:hAnsi="Times New Roman" w:cs="Times New Roman"/>
          <w:b/>
          <w:noProof/>
          <w:sz w:val="20"/>
          <w:lang w:val="en-IE"/>
        </w:rPr>
        <w:t>.</w:t>
      </w:r>
    </w:p>
    <w:p w14:paraId="09DD4745" w14:textId="418A14C8" w:rsidR="00FB3904" w:rsidRPr="00532C20" w:rsidRDefault="00FB3904" w:rsidP="00640122">
      <w:pPr>
        <w:pStyle w:val="ListParagraph"/>
        <w:numPr>
          <w:ilvl w:val="0"/>
          <w:numId w:val="77"/>
        </w:numPr>
        <w:spacing w:after="240"/>
        <w:contextualSpacing w:val="0"/>
        <w:rPr>
          <w:rFonts w:ascii="Times New Roman" w:hAnsi="Times New Roman" w:cs="Times New Roman"/>
          <w:b/>
          <w:bCs/>
          <w:noProof/>
          <w:u w:val="single"/>
          <w:lang w:val="en-IE"/>
        </w:rPr>
      </w:pPr>
      <w:r w:rsidRPr="00532C20">
        <w:rPr>
          <w:rFonts w:ascii="Times New Roman" w:hAnsi="Times New Roman" w:cs="Times New Roman"/>
          <w:b/>
          <w:bCs/>
          <w:noProof/>
          <w:u w:val="single"/>
          <w:lang w:val="en-IE"/>
        </w:rPr>
        <w:t>Synthetic assessment</w:t>
      </w:r>
    </w:p>
    <w:p w14:paraId="23EA7DA1" w14:textId="2C677399" w:rsidR="003C6C7D" w:rsidRPr="00532C20" w:rsidRDefault="003C6C7D" w:rsidP="00640122">
      <w:pPr>
        <w:pStyle w:val="ListParagraph"/>
        <w:numPr>
          <w:ilvl w:val="1"/>
          <w:numId w:val="77"/>
        </w:numPr>
        <w:spacing w:after="120"/>
        <w:contextualSpacing w:val="0"/>
        <w:rPr>
          <w:rFonts w:ascii="Times New Roman" w:hAnsi="Times New Roman" w:cs="Times New Roman"/>
          <w:b/>
          <w:bCs/>
          <w:noProof/>
          <w:u w:val="single"/>
          <w:lang w:val="en-IE"/>
        </w:rPr>
      </w:pPr>
      <w:r w:rsidRPr="00532C20">
        <w:rPr>
          <w:rFonts w:ascii="Times New Roman" w:hAnsi="Times New Roman" w:cs="Times New Roman"/>
          <w:b/>
          <w:bCs/>
          <w:noProof/>
          <w:u w:val="single"/>
          <w:lang w:val="en-IE"/>
        </w:rPr>
        <w:t xml:space="preserve">Cost and price competitiveness </w:t>
      </w:r>
    </w:p>
    <w:p w14:paraId="41ADB4B8" w14:textId="61FA9A02" w:rsidR="00F446D5" w:rsidRPr="00532C20" w:rsidRDefault="000801C2" w:rsidP="00FB4CED">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The preferred option is</w:t>
      </w:r>
      <w:r w:rsidR="005C54F2" w:rsidRPr="00532C20">
        <w:rPr>
          <w:rFonts w:ascii="Times New Roman" w:hAnsi="Times New Roman" w:cs="Times New Roman"/>
          <w:noProof/>
          <w:sz w:val="24"/>
          <w:szCs w:val="24"/>
          <w:lang w:val="en-IE"/>
        </w:rPr>
        <w:t xml:space="preserve"> expected to have a positive impact on the competitiveness, innovation and investment in cross-border interest representation activities carried out on behalf of third countries</w:t>
      </w:r>
      <w:r w:rsidR="007C141C" w:rsidRPr="00532C20">
        <w:rPr>
          <w:rFonts w:ascii="Times New Roman" w:hAnsi="Times New Roman" w:cs="Times New Roman"/>
          <w:noProof/>
          <w:sz w:val="24"/>
          <w:szCs w:val="24"/>
          <w:lang w:val="en-IE"/>
        </w:rPr>
        <w:t xml:space="preserve"> by</w:t>
      </w:r>
      <w:r w:rsidR="00AB61EB" w:rsidRPr="00532C20">
        <w:rPr>
          <w:rFonts w:ascii="Times New Roman" w:hAnsi="Times New Roman" w:cs="Times New Roman"/>
          <w:noProof/>
          <w:sz w:val="24"/>
          <w:szCs w:val="24"/>
          <w:lang w:val="en-IE"/>
        </w:rPr>
        <w:t>:</w:t>
      </w:r>
      <w:r w:rsidR="00DB6263" w:rsidRPr="00532C20">
        <w:rPr>
          <w:rFonts w:ascii="Times New Roman" w:hAnsi="Times New Roman" w:cs="Times New Roman"/>
          <w:noProof/>
          <w:sz w:val="24"/>
          <w:szCs w:val="24"/>
          <w:lang w:val="en-IE"/>
        </w:rPr>
        <w:t xml:space="preserve"> 1) </w:t>
      </w:r>
      <w:r w:rsidR="00F929E8" w:rsidRPr="00532C20">
        <w:rPr>
          <w:rFonts w:ascii="Times New Roman" w:hAnsi="Times New Roman" w:cs="Times New Roman"/>
          <w:noProof/>
          <w:sz w:val="24"/>
          <w:szCs w:val="24"/>
          <w:lang w:val="en-IE"/>
        </w:rPr>
        <w:t>reducing the fragmentation of the regulatory environment in the internal market</w:t>
      </w:r>
      <w:r w:rsidR="00AB61EB" w:rsidRPr="00532C20">
        <w:rPr>
          <w:rFonts w:ascii="Times New Roman" w:hAnsi="Times New Roman" w:cs="Times New Roman"/>
          <w:noProof/>
          <w:sz w:val="24"/>
          <w:szCs w:val="24"/>
          <w:lang w:val="en-IE"/>
        </w:rPr>
        <w:t xml:space="preserve"> and providing legal certainty to concerned entities;</w:t>
      </w:r>
      <w:r w:rsidR="00DB6263" w:rsidRPr="00532C20">
        <w:rPr>
          <w:rFonts w:ascii="Times New Roman" w:hAnsi="Times New Roman" w:cs="Times New Roman"/>
          <w:noProof/>
          <w:sz w:val="24"/>
          <w:szCs w:val="24"/>
          <w:lang w:val="en-IE"/>
        </w:rPr>
        <w:t xml:space="preserve"> 2) </w:t>
      </w:r>
      <w:r w:rsidR="00AB61EB" w:rsidRPr="00532C20">
        <w:rPr>
          <w:rFonts w:ascii="Times New Roman" w:hAnsi="Times New Roman" w:cs="Times New Roman"/>
          <w:noProof/>
          <w:sz w:val="24"/>
          <w:szCs w:val="24"/>
          <w:lang w:val="en-IE"/>
        </w:rPr>
        <w:t xml:space="preserve">levelling the playing field </w:t>
      </w:r>
      <w:r w:rsidR="008133E3" w:rsidRPr="00532C20">
        <w:rPr>
          <w:rFonts w:ascii="Times New Roman" w:hAnsi="Times New Roman" w:cs="Times New Roman"/>
          <w:noProof/>
          <w:sz w:val="24"/>
          <w:szCs w:val="24"/>
          <w:lang w:val="en-IE"/>
        </w:rPr>
        <w:t xml:space="preserve">through the elimination of </w:t>
      </w:r>
      <w:r w:rsidR="001A49D1" w:rsidRPr="00532C20">
        <w:rPr>
          <w:rFonts w:ascii="Times New Roman" w:hAnsi="Times New Roman" w:cs="Times New Roman"/>
          <w:noProof/>
          <w:sz w:val="24"/>
          <w:szCs w:val="24"/>
          <w:lang w:val="en-IE"/>
        </w:rPr>
        <w:t>diverging obligations for different types of entities carrying out similar activitie</w:t>
      </w:r>
      <w:r w:rsidR="00DB6263" w:rsidRPr="00532C20">
        <w:rPr>
          <w:rFonts w:ascii="Times New Roman" w:hAnsi="Times New Roman" w:cs="Times New Roman"/>
          <w:noProof/>
          <w:sz w:val="24"/>
          <w:szCs w:val="24"/>
          <w:lang w:val="en-IE"/>
        </w:rPr>
        <w:t>s and 3)</w:t>
      </w:r>
      <w:r w:rsidR="00F929E8" w:rsidRPr="00532C20">
        <w:rPr>
          <w:rFonts w:ascii="Times New Roman" w:hAnsi="Times New Roman" w:cs="Times New Roman"/>
          <w:noProof/>
          <w:sz w:val="24"/>
          <w:szCs w:val="24"/>
          <w:lang w:val="en-IE"/>
        </w:rPr>
        <w:t xml:space="preserve"> reducing administrative costs for entities carrying out interest representation activities on behalf of third countries, </w:t>
      </w:r>
      <w:r w:rsidR="0092656B" w:rsidRPr="00532C20">
        <w:rPr>
          <w:rFonts w:ascii="Times New Roman" w:hAnsi="Times New Roman" w:cs="Times New Roman"/>
          <w:noProof/>
          <w:sz w:val="24"/>
          <w:szCs w:val="24"/>
          <w:lang w:val="en-IE"/>
        </w:rPr>
        <w:t xml:space="preserve">in particular compliance costs, </w:t>
      </w:r>
      <w:r w:rsidR="00F446D5" w:rsidRPr="00532C20">
        <w:rPr>
          <w:rFonts w:ascii="Times New Roman" w:hAnsi="Times New Roman" w:cs="Times New Roman"/>
          <w:noProof/>
          <w:sz w:val="24"/>
          <w:szCs w:val="24"/>
          <w:lang w:val="en-IE"/>
        </w:rPr>
        <w:t xml:space="preserve">because the initiative would </w:t>
      </w:r>
      <w:r w:rsidR="0092656B" w:rsidRPr="00532C20">
        <w:rPr>
          <w:rFonts w:ascii="Times New Roman" w:hAnsi="Times New Roman" w:cs="Times New Roman"/>
          <w:noProof/>
          <w:sz w:val="24"/>
          <w:szCs w:val="24"/>
          <w:lang w:val="en-IE"/>
        </w:rPr>
        <w:t>reduc</w:t>
      </w:r>
      <w:r w:rsidR="00F446D5" w:rsidRPr="00532C20">
        <w:rPr>
          <w:rFonts w:ascii="Times New Roman" w:hAnsi="Times New Roman" w:cs="Times New Roman"/>
          <w:noProof/>
          <w:sz w:val="24"/>
          <w:szCs w:val="24"/>
          <w:lang w:val="en-IE"/>
        </w:rPr>
        <w:t xml:space="preserve">e </w:t>
      </w:r>
      <w:r w:rsidR="0092656B" w:rsidRPr="00532C20">
        <w:rPr>
          <w:rFonts w:ascii="Times New Roman" w:hAnsi="Times New Roman" w:cs="Times New Roman"/>
          <w:noProof/>
          <w:sz w:val="24"/>
          <w:szCs w:val="24"/>
          <w:lang w:val="en-IE"/>
        </w:rPr>
        <w:t>the need for multiple registration</w:t>
      </w:r>
      <w:r w:rsidR="00754CF9" w:rsidRPr="00532C20">
        <w:rPr>
          <w:rFonts w:ascii="Times New Roman" w:hAnsi="Times New Roman" w:cs="Times New Roman"/>
          <w:noProof/>
          <w:sz w:val="24"/>
          <w:szCs w:val="24"/>
          <w:lang w:val="en-IE"/>
        </w:rPr>
        <w:t xml:space="preserve">s. </w:t>
      </w:r>
    </w:p>
    <w:p w14:paraId="1692EDEB" w14:textId="57410C9F" w:rsidR="00187EEE" w:rsidRPr="00532C20" w:rsidRDefault="005630AA" w:rsidP="00FB4CED">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The costs savings</w:t>
      </w:r>
      <w:r w:rsidR="00DF3ABF" w:rsidRPr="00532C20">
        <w:rPr>
          <w:rFonts w:ascii="Times New Roman" w:hAnsi="Times New Roman" w:cs="Times New Roman"/>
          <w:noProof/>
          <w:sz w:val="24"/>
          <w:szCs w:val="24"/>
          <w:lang w:val="en-IE"/>
        </w:rPr>
        <w:t xml:space="preserve">, </w:t>
      </w:r>
      <w:r w:rsidRPr="00532C20">
        <w:rPr>
          <w:rFonts w:ascii="Times New Roman" w:hAnsi="Times New Roman" w:cs="Times New Roman"/>
          <w:noProof/>
          <w:sz w:val="24"/>
          <w:szCs w:val="24"/>
          <w:lang w:val="en-IE"/>
        </w:rPr>
        <w:t>better competitive environment</w:t>
      </w:r>
      <w:r w:rsidR="00DF3ABF" w:rsidRPr="00532C20">
        <w:rPr>
          <w:rFonts w:ascii="Times New Roman" w:hAnsi="Times New Roman" w:cs="Times New Roman"/>
          <w:noProof/>
          <w:sz w:val="24"/>
          <w:szCs w:val="24"/>
          <w:lang w:val="en-IE"/>
        </w:rPr>
        <w:t>, and the possibility to register in only</w:t>
      </w:r>
      <w:r w:rsidR="00460282" w:rsidRPr="00532C20">
        <w:rPr>
          <w:rFonts w:ascii="Times New Roman" w:hAnsi="Times New Roman" w:cs="Times New Roman"/>
          <w:noProof/>
          <w:sz w:val="24"/>
          <w:szCs w:val="24"/>
          <w:lang w:val="en-IE"/>
        </w:rPr>
        <w:t xml:space="preserve"> </w:t>
      </w:r>
      <w:r w:rsidR="00026DB1" w:rsidRPr="00532C20">
        <w:rPr>
          <w:rFonts w:ascii="Times New Roman" w:hAnsi="Times New Roman" w:cs="Times New Roman"/>
          <w:noProof/>
          <w:sz w:val="24"/>
          <w:szCs w:val="24"/>
          <w:lang w:val="en-IE"/>
        </w:rPr>
        <w:t xml:space="preserve">1 </w:t>
      </w:r>
      <w:r w:rsidR="00DF3ABF" w:rsidRPr="00532C20">
        <w:rPr>
          <w:rFonts w:ascii="Times New Roman" w:hAnsi="Times New Roman" w:cs="Times New Roman"/>
          <w:noProof/>
          <w:sz w:val="24"/>
          <w:szCs w:val="24"/>
          <w:lang w:val="en-IE"/>
        </w:rPr>
        <w:t>Member State</w:t>
      </w:r>
      <w:r w:rsidRPr="00532C20">
        <w:rPr>
          <w:rFonts w:ascii="Times New Roman" w:hAnsi="Times New Roman" w:cs="Times New Roman"/>
          <w:noProof/>
          <w:sz w:val="24"/>
          <w:szCs w:val="24"/>
          <w:lang w:val="en-IE"/>
        </w:rPr>
        <w:t xml:space="preserve"> permitted by the initiative will have positive effects on the capacity of concerned entities to expand beyond their Member State’s domestic market.</w:t>
      </w:r>
    </w:p>
    <w:p w14:paraId="75D419DE" w14:textId="3510A10E" w:rsidR="005630AA" w:rsidRPr="00532C20" w:rsidRDefault="00187EEE" w:rsidP="00640122">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It is to be noted nonetheless that some entities will only bear extra costs, in the case that they were operating in a Member State which did not have any rules on interest representation activities</w:t>
      </w:r>
      <w:r w:rsidR="00E00182" w:rsidRPr="00532C20">
        <w:rPr>
          <w:rFonts w:ascii="Times New Roman" w:hAnsi="Times New Roman" w:cs="Times New Roman"/>
          <w:noProof/>
          <w:sz w:val="24"/>
          <w:szCs w:val="24"/>
          <w:lang w:val="en-IE"/>
        </w:rPr>
        <w:t>.</w:t>
      </w:r>
    </w:p>
    <w:p w14:paraId="7F5BB6D9" w14:textId="0E460311" w:rsidR="000D1C75" w:rsidRPr="00532C20" w:rsidRDefault="003C6C7D" w:rsidP="00640122">
      <w:pPr>
        <w:pStyle w:val="ListParagraph"/>
        <w:numPr>
          <w:ilvl w:val="1"/>
          <w:numId w:val="77"/>
        </w:numPr>
        <w:spacing w:after="120"/>
        <w:contextualSpacing w:val="0"/>
        <w:rPr>
          <w:rFonts w:ascii="Times New Roman" w:hAnsi="Times New Roman" w:cs="Times New Roman"/>
          <w:b/>
          <w:bCs/>
          <w:noProof/>
          <w:u w:val="single"/>
          <w:lang w:val="en-IE"/>
        </w:rPr>
      </w:pPr>
      <w:r w:rsidRPr="00532C20">
        <w:rPr>
          <w:rFonts w:ascii="Times New Roman" w:hAnsi="Times New Roman" w:cs="Times New Roman"/>
          <w:b/>
          <w:bCs/>
          <w:noProof/>
          <w:u w:val="single"/>
          <w:lang w:val="en-IE"/>
        </w:rPr>
        <w:t xml:space="preserve">Capacity to innovate </w:t>
      </w:r>
    </w:p>
    <w:p w14:paraId="7B7BF0DD" w14:textId="7CEE8941" w:rsidR="007B3F5D" w:rsidRPr="00532C20" w:rsidRDefault="00B563E0" w:rsidP="00640122">
      <w:pPr>
        <w:spacing w:after="120" w:line="240" w:lineRule="auto"/>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The preferred</w:t>
      </w:r>
      <w:r w:rsidR="007B3F5D" w:rsidRPr="00532C20">
        <w:rPr>
          <w:rFonts w:ascii="Times New Roman" w:hAnsi="Times New Roman" w:cs="Times New Roman"/>
          <w:noProof/>
          <w:sz w:val="24"/>
          <w:szCs w:val="24"/>
          <w:lang w:val="en-IE"/>
        </w:rPr>
        <w:t xml:space="preserve"> options would only provide for proportionate (see section 6.2.3) transparency requirements and would thus have no impact on the capacity to innovate of the entities falling within their scope.</w:t>
      </w:r>
    </w:p>
    <w:p w14:paraId="0A51F711" w14:textId="6986724C" w:rsidR="000D1C75" w:rsidRPr="00532C20" w:rsidRDefault="003C6C7D" w:rsidP="00640122">
      <w:pPr>
        <w:pStyle w:val="ListParagraph"/>
        <w:numPr>
          <w:ilvl w:val="1"/>
          <w:numId w:val="77"/>
        </w:numPr>
        <w:spacing w:after="120"/>
        <w:contextualSpacing w:val="0"/>
        <w:rPr>
          <w:rFonts w:ascii="Times New Roman" w:hAnsi="Times New Roman" w:cs="Times New Roman"/>
          <w:b/>
          <w:bCs/>
          <w:noProof/>
          <w:u w:val="single"/>
          <w:lang w:val="en-IE"/>
        </w:rPr>
      </w:pPr>
      <w:r w:rsidRPr="00532C20">
        <w:rPr>
          <w:rFonts w:ascii="Times New Roman" w:hAnsi="Times New Roman" w:cs="Times New Roman"/>
          <w:b/>
          <w:bCs/>
          <w:noProof/>
          <w:u w:val="single"/>
          <w:lang w:val="en-IE"/>
        </w:rPr>
        <w:t xml:space="preserve">International competitiveness </w:t>
      </w:r>
    </w:p>
    <w:p w14:paraId="256B9E6F" w14:textId="52F756E5" w:rsidR="000D1C75" w:rsidRPr="00532C20" w:rsidRDefault="003C6C7D" w:rsidP="00640122">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lang w:val="en-IE"/>
        </w:rPr>
        <w:t xml:space="preserve">The </w:t>
      </w:r>
      <w:r w:rsidR="00785582" w:rsidRPr="00532C20">
        <w:rPr>
          <w:rFonts w:ascii="Times New Roman" w:hAnsi="Times New Roman" w:cs="Times New Roman"/>
          <w:noProof/>
          <w:szCs w:val="24"/>
          <w:lang w:val="en-IE"/>
        </w:rPr>
        <w:t xml:space="preserve">preferred option is not expected to affect international competitiveness of EU </w:t>
      </w:r>
      <w:r w:rsidR="00A034A0" w:rsidRPr="00532C20">
        <w:rPr>
          <w:rFonts w:ascii="Times New Roman" w:hAnsi="Times New Roman" w:cs="Times New Roman"/>
          <w:noProof/>
          <w:szCs w:val="24"/>
          <w:lang w:val="en-IE"/>
        </w:rPr>
        <w:t xml:space="preserve">entities carrying out </w:t>
      </w:r>
      <w:r w:rsidR="00785582" w:rsidRPr="00532C20">
        <w:rPr>
          <w:rFonts w:ascii="Times New Roman" w:hAnsi="Times New Roman" w:cs="Times New Roman"/>
          <w:noProof/>
          <w:szCs w:val="24"/>
          <w:lang w:val="en-IE"/>
        </w:rPr>
        <w:t xml:space="preserve">interest representation </w:t>
      </w:r>
      <w:r w:rsidR="00A034A0" w:rsidRPr="00532C20">
        <w:rPr>
          <w:rFonts w:ascii="Times New Roman" w:hAnsi="Times New Roman" w:cs="Times New Roman"/>
          <w:noProof/>
          <w:szCs w:val="24"/>
          <w:lang w:val="en-IE"/>
        </w:rPr>
        <w:t>activities</w:t>
      </w:r>
      <w:r w:rsidR="00785582" w:rsidRPr="00532C20">
        <w:rPr>
          <w:rFonts w:ascii="Times New Roman" w:hAnsi="Times New Roman" w:cs="Times New Roman"/>
          <w:noProof/>
          <w:szCs w:val="24"/>
          <w:lang w:val="en-IE"/>
        </w:rPr>
        <w:t xml:space="preserve">. </w:t>
      </w:r>
    </w:p>
    <w:p w14:paraId="36BD77F5" w14:textId="6EE2A464" w:rsidR="000D1C75" w:rsidRPr="00532C20" w:rsidRDefault="003C6C7D" w:rsidP="00640122">
      <w:pPr>
        <w:pStyle w:val="ListParagraph"/>
        <w:numPr>
          <w:ilvl w:val="1"/>
          <w:numId w:val="77"/>
        </w:numPr>
        <w:spacing w:after="120"/>
        <w:contextualSpacing w:val="0"/>
        <w:rPr>
          <w:rFonts w:ascii="Times New Roman" w:hAnsi="Times New Roman" w:cs="Times New Roman"/>
          <w:b/>
          <w:bCs/>
          <w:noProof/>
          <w:u w:val="single"/>
          <w:lang w:val="en-IE"/>
        </w:rPr>
      </w:pPr>
      <w:r w:rsidRPr="00532C20">
        <w:rPr>
          <w:rFonts w:ascii="Times New Roman" w:hAnsi="Times New Roman" w:cs="Times New Roman"/>
          <w:b/>
          <w:bCs/>
          <w:noProof/>
          <w:u w:val="single"/>
          <w:lang w:val="en-IE"/>
        </w:rPr>
        <w:t xml:space="preserve">SME competitiveness </w:t>
      </w:r>
    </w:p>
    <w:p w14:paraId="6AD3DF64" w14:textId="609D2095" w:rsidR="00DB6263" w:rsidRPr="00532C20" w:rsidRDefault="00A648D8" w:rsidP="00640122">
      <w:pPr>
        <w:pStyle w:val="Style000"/>
        <w:spacing w:after="120"/>
        <w:rPr>
          <w:rFonts w:ascii="Times New Roman" w:eastAsia="Calibri" w:hAnsi="Times New Roman" w:cs="Times New Roman"/>
          <w:noProof/>
          <w:sz w:val="24"/>
          <w:szCs w:val="24"/>
          <w:lang w:eastAsia="en-GB"/>
        </w:rPr>
      </w:pPr>
      <w:r w:rsidRPr="00532C20">
        <w:rPr>
          <w:rFonts w:ascii="Times New Roman" w:eastAsia="Times" w:hAnsi="Times New Roman" w:cs="Times New Roman"/>
          <w:noProof/>
          <w:sz w:val="24"/>
          <w:szCs w:val="24"/>
        </w:rPr>
        <w:t xml:space="preserve">The proposed obligation to maintain updated registration would involve an ongoing compliance cost which could affect SMEs proportionately more than other actors. However, other elements of the proposed initiative also will </w:t>
      </w:r>
      <w:r w:rsidR="0080360E" w:rsidRPr="00532C20">
        <w:rPr>
          <w:rFonts w:ascii="Times New Roman" w:eastAsia="Times" w:hAnsi="Times New Roman" w:cs="Times New Roman"/>
          <w:noProof/>
          <w:sz w:val="24"/>
          <w:szCs w:val="24"/>
        </w:rPr>
        <w:t>result</w:t>
      </w:r>
      <w:r w:rsidRPr="00532C20">
        <w:rPr>
          <w:rFonts w:ascii="Times New Roman" w:eastAsia="Times" w:hAnsi="Times New Roman" w:cs="Times New Roman"/>
          <w:noProof/>
          <w:sz w:val="24"/>
          <w:szCs w:val="24"/>
        </w:rPr>
        <w:t xml:space="preserve"> in savings that can offset those costs, in particular thanks to the simplification of the rules and the elimination of the need for multiple registration when offering services across borders. Overall, the proposed measures would increase cross-border activity for SMEs, which would have the opportunity to scale up to operate at EU level. </w:t>
      </w:r>
      <w:r w:rsidR="00DB6263" w:rsidRPr="00532C20">
        <w:rPr>
          <w:rFonts w:ascii="Times New Roman" w:hAnsi="Times New Roman" w:cs="Times New Roman"/>
          <w:noProof/>
          <w:sz w:val="24"/>
          <w:szCs w:val="24"/>
        </w:rPr>
        <w:br w:type="page"/>
      </w:r>
    </w:p>
    <w:p w14:paraId="418C4912" w14:textId="5FA57DB1" w:rsidR="0005333A" w:rsidRPr="00532C20" w:rsidRDefault="00C821EF" w:rsidP="007F43F7">
      <w:pPr>
        <w:pStyle w:val="Annex222"/>
        <w:spacing w:after="240"/>
        <w:contextualSpacing w:val="0"/>
        <w:outlineLvl w:val="0"/>
        <w:rPr>
          <w:rFonts w:ascii="Times New Roman" w:hAnsi="Times New Roman" w:cs="Times New Roman"/>
          <w:noProof/>
        </w:rPr>
      </w:pPr>
      <w:bookmarkStart w:id="1181" w:name="_Toc152864725"/>
      <w:r w:rsidRPr="00532C20">
        <w:rPr>
          <w:rFonts w:ascii="Times New Roman" w:hAnsi="Times New Roman" w:cs="Times New Roman"/>
          <w:noProof/>
        </w:rPr>
        <w:t xml:space="preserve">Annex 6: </w:t>
      </w:r>
      <w:r w:rsidR="0005333A" w:rsidRPr="00532C20">
        <w:rPr>
          <w:rFonts w:ascii="Times New Roman" w:hAnsi="Times New Roman" w:cs="Times New Roman"/>
          <w:noProof/>
        </w:rPr>
        <w:t>Evidence of current and potential future fragmentation in the regulation of interest representation activities across the internal market</w:t>
      </w:r>
      <w:bookmarkEnd w:id="1181"/>
    </w:p>
    <w:p w14:paraId="3DDC0E62" w14:textId="16CFD754" w:rsidR="0005333A" w:rsidRPr="00532C20" w:rsidRDefault="0005333A" w:rsidP="004B0958">
      <w:pPr>
        <w:pStyle w:val="BodyText1"/>
        <w:spacing w:after="200"/>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 xml:space="preserve">This annex provides an overview of the evidence of fragmentation in the regulation of interest representation activities across the internal market. </w:t>
      </w:r>
      <w:r w:rsidR="00BC0623" w:rsidRPr="00532C20">
        <w:rPr>
          <w:rFonts w:ascii="Times New Roman" w:hAnsi="Times New Roman" w:cs="Times New Roman"/>
          <w:noProof/>
          <w:sz w:val="24"/>
          <w:szCs w:val="24"/>
          <w:lang w:val="en-IE"/>
        </w:rPr>
        <w:t>The</w:t>
      </w:r>
      <w:r w:rsidRPr="00532C20">
        <w:rPr>
          <w:rFonts w:ascii="Times New Roman" w:hAnsi="Times New Roman" w:cs="Times New Roman"/>
          <w:noProof/>
          <w:sz w:val="24"/>
          <w:szCs w:val="24"/>
          <w:lang w:val="en-IE"/>
        </w:rPr>
        <w:t xml:space="preserve"> </w:t>
      </w:r>
      <w:r w:rsidR="00145838" w:rsidRPr="00532C20">
        <w:rPr>
          <w:rFonts w:ascii="Times New Roman" w:hAnsi="Times New Roman" w:cs="Times New Roman"/>
          <w:noProof/>
          <w:sz w:val="24"/>
          <w:szCs w:val="24"/>
          <w:lang w:val="en-IE"/>
        </w:rPr>
        <w:t>detailed</w:t>
      </w:r>
      <w:r w:rsidRPr="00532C20">
        <w:rPr>
          <w:rFonts w:ascii="Times New Roman" w:hAnsi="Times New Roman" w:cs="Times New Roman"/>
          <w:noProof/>
          <w:sz w:val="24"/>
          <w:szCs w:val="24"/>
          <w:lang w:val="en-IE"/>
        </w:rPr>
        <w:t xml:space="preserve"> information contained in this annex </w:t>
      </w:r>
      <w:r w:rsidR="00BC0623" w:rsidRPr="00532C20">
        <w:rPr>
          <w:rFonts w:ascii="Times New Roman" w:hAnsi="Times New Roman" w:cs="Times New Roman"/>
          <w:noProof/>
          <w:sz w:val="24"/>
          <w:szCs w:val="24"/>
          <w:lang w:val="en-IE"/>
        </w:rPr>
        <w:t xml:space="preserve">has been </w:t>
      </w:r>
      <w:r w:rsidRPr="00532C20">
        <w:rPr>
          <w:rFonts w:ascii="Times New Roman" w:hAnsi="Times New Roman" w:cs="Times New Roman"/>
          <w:noProof/>
          <w:sz w:val="24"/>
          <w:szCs w:val="24"/>
          <w:lang w:val="en-IE"/>
        </w:rPr>
        <w:t xml:space="preserve">extracted from the </w:t>
      </w:r>
      <w:r w:rsidR="00320351">
        <w:rPr>
          <w:rFonts w:ascii="Times New Roman" w:hAnsi="Times New Roman" w:cs="Times New Roman"/>
          <w:noProof/>
          <w:sz w:val="24"/>
          <w:szCs w:val="24"/>
          <w:lang w:val="en-IE"/>
        </w:rPr>
        <w:t xml:space="preserve">supporting </w:t>
      </w:r>
      <w:r w:rsidRPr="00532C20">
        <w:rPr>
          <w:rFonts w:ascii="Times New Roman" w:hAnsi="Times New Roman" w:cs="Times New Roman"/>
          <w:noProof/>
          <w:sz w:val="24"/>
          <w:szCs w:val="24"/>
          <w:lang w:val="en-IE"/>
        </w:rPr>
        <w:t>study.</w:t>
      </w:r>
      <w:r w:rsidR="00BC0623" w:rsidRPr="00532C20">
        <w:rPr>
          <w:rFonts w:ascii="Times New Roman" w:hAnsi="Times New Roman" w:cs="Times New Roman"/>
          <w:noProof/>
          <w:sz w:val="24"/>
          <w:szCs w:val="24"/>
          <w:lang w:val="en-IE"/>
        </w:rPr>
        <w:t xml:space="preserve"> The cut-off dat</w:t>
      </w:r>
      <w:r w:rsidR="001356D0">
        <w:rPr>
          <w:rFonts w:ascii="Times New Roman" w:hAnsi="Times New Roman" w:cs="Times New Roman"/>
          <w:noProof/>
          <w:sz w:val="24"/>
          <w:szCs w:val="24"/>
          <w:lang w:val="en-IE"/>
        </w:rPr>
        <w:t>e</w:t>
      </w:r>
      <w:r w:rsidR="00BC0623" w:rsidRPr="00532C20">
        <w:rPr>
          <w:rFonts w:ascii="Times New Roman" w:hAnsi="Times New Roman" w:cs="Times New Roman"/>
          <w:noProof/>
          <w:sz w:val="24"/>
          <w:szCs w:val="24"/>
          <w:lang w:val="en-IE"/>
        </w:rPr>
        <w:t xml:space="preserve"> is January 23.</w:t>
      </w:r>
    </w:p>
    <w:p w14:paraId="3E208D15" w14:textId="77777777" w:rsidR="0005333A" w:rsidRPr="00532C20" w:rsidRDefault="0005333A" w:rsidP="009B0034">
      <w:pPr>
        <w:pStyle w:val="ListParagraph"/>
        <w:numPr>
          <w:ilvl w:val="0"/>
          <w:numId w:val="78"/>
        </w:numPr>
        <w:rPr>
          <w:rFonts w:ascii="Times New Roman" w:hAnsi="Times New Roman" w:cs="Times New Roman"/>
          <w:b/>
          <w:noProof/>
        </w:rPr>
      </w:pPr>
      <w:r w:rsidRPr="00532C20">
        <w:rPr>
          <w:rFonts w:ascii="Times New Roman" w:hAnsi="Times New Roman" w:cs="Times New Roman"/>
          <w:b/>
          <w:bCs/>
          <w:noProof/>
          <w:u w:val="single"/>
          <w:lang w:val="en-IE"/>
        </w:rPr>
        <w:t>Overview of transparency rules, obligations and national transparency registers on interest representation activities</w:t>
      </w:r>
    </w:p>
    <w:p w14:paraId="01D14369" w14:textId="3B2E5F0C" w:rsidR="0005333A" w:rsidRPr="00532C20" w:rsidRDefault="00ED318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One</w:t>
      </w:r>
      <w:r w:rsidR="0005333A" w:rsidRPr="00532C20">
        <w:rPr>
          <w:rFonts w:ascii="Times New Roman" w:eastAsia="Times" w:hAnsi="Times New Roman" w:cs="Times New Roman"/>
          <w:noProof/>
          <w:sz w:val="24"/>
          <w:szCs w:val="24"/>
          <w:lang w:val="en-IE"/>
        </w:rPr>
        <w:t xml:space="preserve"> of the drivers of the lack of transparency in interest representation activities carried out on behalf of third countries is the insufficient regulation of these activities at EU and Member State level. </w:t>
      </w:r>
    </w:p>
    <w:p w14:paraId="5413D262"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Times" w:hAnsi="Times New Roman" w:cs="Times New Roman"/>
          <w:noProof/>
          <w:sz w:val="24"/>
          <w:szCs w:val="24"/>
          <w:lang w:val="en-IE"/>
        </w:rPr>
        <w:t>This sub-section first provides an analysis of the interest representation activities rules applicable in the Member States, including information on available self-regulation and guidelines adopted by the authorities, as well as any information available on draft laws in the legislative pipeline of selected Member States (including for</w:t>
      </w:r>
      <w:r w:rsidRPr="00532C20" w:rsidDel="002A0267">
        <w:rPr>
          <w:rFonts w:ascii="Times New Roman" w:eastAsia="Times" w:hAnsi="Times New Roman" w:cs="Times New Roman"/>
          <w:noProof/>
          <w:sz w:val="24"/>
          <w:szCs w:val="24"/>
          <w:lang w:val="en-IE"/>
        </w:rPr>
        <w:t xml:space="preserve"> </w:t>
      </w:r>
      <w:r w:rsidRPr="00532C20">
        <w:rPr>
          <w:rFonts w:ascii="Times New Roman" w:eastAsia="Times" w:hAnsi="Times New Roman" w:cs="Times New Roman"/>
          <w:noProof/>
          <w:sz w:val="24"/>
          <w:szCs w:val="24"/>
          <w:lang w:val="en-IE"/>
        </w:rPr>
        <w:t xml:space="preserve">non-profit organisations). This sub-section also specifies to what extent interest representation activities rules in Member States also apply to such activities when carried out on behalf of third countries. A comparative overview of national transparency registers for interest representation activities in place in the Member States is then provided. Information on </w:t>
      </w:r>
      <w:r w:rsidRPr="00532C20">
        <w:rPr>
          <w:rFonts w:ascii="Times New Roman" w:eastAsia="Symbol" w:hAnsi="Times New Roman" w:cs="Times New Roman"/>
          <w:noProof/>
          <w:kern w:val="18"/>
          <w:sz w:val="24"/>
          <w:szCs w:val="24"/>
          <w:lang w:val="en-IE"/>
        </w:rPr>
        <w:t>national monitoring and enforcement is then detailed.</w:t>
      </w:r>
    </w:p>
    <w:p w14:paraId="177ADF22" w14:textId="7D011530"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Overall, national rules on interest representation activities vary significantly across the Member States. While some </w:t>
      </w:r>
      <w:r w:rsidR="00ED318A" w:rsidRPr="00532C20">
        <w:rPr>
          <w:rFonts w:ascii="Times New Roman" w:eastAsia="Times" w:hAnsi="Times New Roman" w:cs="Times New Roman"/>
          <w:noProof/>
          <w:sz w:val="24"/>
          <w:szCs w:val="24"/>
          <w:lang w:val="en-IE"/>
        </w:rPr>
        <w:t xml:space="preserve">Member States </w:t>
      </w:r>
      <w:r w:rsidRPr="00532C20">
        <w:rPr>
          <w:rFonts w:ascii="Times New Roman" w:eastAsia="Times" w:hAnsi="Times New Roman" w:cs="Times New Roman"/>
          <w:noProof/>
          <w:sz w:val="24"/>
          <w:szCs w:val="24"/>
          <w:lang w:val="en-IE"/>
        </w:rPr>
        <w:t xml:space="preserve">have detailed legislation on interest representation in place, others do not have any current or draft legislation. </w:t>
      </w:r>
    </w:p>
    <w:p w14:paraId="5FCEEA8D" w14:textId="77777777" w:rsidR="0005333A" w:rsidRPr="00532C20" w:rsidRDefault="0005333A" w:rsidP="00825C81">
      <w:pPr>
        <w:pStyle w:val="ListParagraph"/>
        <w:numPr>
          <w:ilvl w:val="1"/>
          <w:numId w:val="78"/>
        </w:numPr>
        <w:rPr>
          <w:rFonts w:eastAsia="Symbol" w:cs="Times New Roman"/>
          <w:b/>
          <w:noProof/>
          <w:kern w:val="18"/>
        </w:rPr>
      </w:pPr>
      <w:r w:rsidRPr="00532C20">
        <w:rPr>
          <w:rFonts w:ascii="Times New Roman" w:hAnsi="Times New Roman" w:cs="Times New Roman"/>
          <w:b/>
          <w:bCs/>
          <w:noProof/>
          <w:u w:val="single"/>
          <w:lang w:val="en-IE"/>
        </w:rPr>
        <w:t>Member State legislation on interest representation activities</w:t>
      </w:r>
    </w:p>
    <w:p w14:paraId="2008FCD7" w14:textId="3E846153"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Symbol" w:hAnsi="Times New Roman" w:cs="Times New Roman"/>
          <w:noProof/>
          <w:sz w:val="24"/>
          <w:szCs w:val="24"/>
          <w:lang w:val="en-IE"/>
        </w:rPr>
        <w:t>While the laws of Member States do not contain specific rules on interest representation activities carried out on behalf of third countries, 1</w:t>
      </w:r>
      <w:r w:rsidR="00DD3694">
        <w:rPr>
          <w:rFonts w:ascii="Times New Roman" w:eastAsia="Symbol" w:hAnsi="Times New Roman" w:cs="Times New Roman"/>
          <w:noProof/>
          <w:sz w:val="24"/>
          <w:szCs w:val="24"/>
          <w:lang w:val="en-IE"/>
        </w:rPr>
        <w:t>6</w:t>
      </w:r>
      <w:r w:rsidRPr="00532C20">
        <w:rPr>
          <w:rFonts w:ascii="Times New Roman" w:eastAsia="Symbol" w:hAnsi="Times New Roman" w:cs="Times New Roman"/>
          <w:noProof/>
          <w:sz w:val="24"/>
          <w:szCs w:val="24"/>
          <w:lang w:val="en-IE"/>
        </w:rPr>
        <w:t xml:space="preserve"> Member States (</w:t>
      </w:r>
      <w:r w:rsidRPr="00313F32">
        <w:rPr>
          <w:rFonts w:ascii="Times New Roman" w:eastAsia="Symbol" w:hAnsi="Times New Roman" w:cs="Times New Roman"/>
          <w:b/>
          <w:noProof/>
          <w:sz w:val="24"/>
          <w:szCs w:val="24"/>
          <w:lang w:val="en-IE"/>
        </w:rPr>
        <w:t xml:space="preserve">BE, </w:t>
      </w:r>
      <w:r w:rsidR="00142FE3" w:rsidRPr="00313F32">
        <w:rPr>
          <w:rFonts w:ascii="Times New Roman" w:eastAsia="Symbol" w:hAnsi="Times New Roman" w:cs="Times New Roman"/>
          <w:b/>
          <w:noProof/>
          <w:sz w:val="24"/>
          <w:szCs w:val="24"/>
          <w:lang w:val="en-IE"/>
        </w:rPr>
        <w:t xml:space="preserve">DE, </w:t>
      </w:r>
      <w:r w:rsidRPr="00313F32">
        <w:rPr>
          <w:rFonts w:ascii="Times New Roman" w:eastAsia="Symbol" w:hAnsi="Times New Roman" w:cs="Times New Roman"/>
          <w:b/>
          <w:noProof/>
          <w:sz w:val="24"/>
          <w:szCs w:val="24"/>
          <w:lang w:val="en-IE"/>
        </w:rPr>
        <w:t>EL, ES</w:t>
      </w:r>
      <w:r w:rsidRPr="00532C20">
        <w:rPr>
          <w:rFonts w:ascii="Times New Roman" w:eastAsia="Symbol" w:hAnsi="Times New Roman" w:cs="Times New Roman"/>
          <w:noProof/>
          <w:sz w:val="24"/>
          <w:szCs w:val="24"/>
          <w:vertAlign w:val="superscript"/>
          <w:lang w:val="en-IE"/>
        </w:rPr>
        <w:footnoteReference w:id="255"/>
      </w:r>
      <w:r w:rsidRPr="00313F32">
        <w:rPr>
          <w:rFonts w:ascii="Times New Roman" w:eastAsia="Symbol" w:hAnsi="Times New Roman" w:cs="Times New Roman"/>
          <w:b/>
          <w:noProof/>
          <w:sz w:val="24"/>
          <w:szCs w:val="24"/>
          <w:lang w:val="en-IE"/>
        </w:rPr>
        <w:t>, FR</w:t>
      </w:r>
      <w:r>
        <w:rPr>
          <w:rFonts w:ascii="Times New Roman" w:eastAsia="Symbol" w:hAnsi="Times New Roman" w:cs="Times New Roman"/>
          <w:b/>
          <w:noProof/>
          <w:sz w:val="24"/>
          <w:szCs w:val="24"/>
          <w:lang w:val="en-IE"/>
        </w:rPr>
        <w:t xml:space="preserve">, </w:t>
      </w:r>
      <w:r w:rsidR="00DD3694">
        <w:rPr>
          <w:rFonts w:ascii="Times New Roman" w:eastAsia="Symbol" w:hAnsi="Times New Roman" w:cs="Times New Roman"/>
          <w:b/>
          <w:bCs/>
          <w:noProof/>
          <w:sz w:val="24"/>
          <w:szCs w:val="24"/>
          <w:lang w:val="en-IE"/>
        </w:rPr>
        <w:t>FI</w:t>
      </w:r>
      <w:r w:rsidRPr="00313F32">
        <w:rPr>
          <w:rFonts w:ascii="Times New Roman" w:eastAsia="Symbol" w:hAnsi="Times New Roman" w:cs="Times New Roman"/>
          <w:b/>
          <w:bCs/>
          <w:noProof/>
          <w:sz w:val="24"/>
          <w:szCs w:val="24"/>
          <w:lang w:val="en-IE"/>
        </w:rPr>
        <w:t xml:space="preserve">, </w:t>
      </w:r>
      <w:r w:rsidR="00176E17" w:rsidRPr="00313F32">
        <w:rPr>
          <w:rFonts w:ascii="Times New Roman" w:eastAsia="Symbol" w:hAnsi="Times New Roman" w:cs="Times New Roman"/>
          <w:b/>
          <w:noProof/>
          <w:sz w:val="24"/>
          <w:szCs w:val="24"/>
          <w:lang w:val="en-IE"/>
        </w:rPr>
        <w:t>CY</w:t>
      </w:r>
      <w:r w:rsidR="00545D3A" w:rsidRPr="00313F32">
        <w:rPr>
          <w:rFonts w:ascii="Times New Roman" w:eastAsia="Symbol" w:hAnsi="Times New Roman" w:cs="Times New Roman"/>
          <w:b/>
          <w:noProof/>
          <w:sz w:val="24"/>
          <w:szCs w:val="24"/>
          <w:lang w:val="en-IE"/>
        </w:rPr>
        <w:t>,</w:t>
      </w:r>
      <w:r w:rsidR="00176E17" w:rsidRPr="00313F32">
        <w:rPr>
          <w:rFonts w:ascii="Times New Roman" w:eastAsia="Symbol" w:hAnsi="Times New Roman" w:cs="Times New Roman"/>
          <w:b/>
          <w:noProof/>
          <w:sz w:val="24"/>
          <w:szCs w:val="24"/>
          <w:lang w:val="en-IE"/>
        </w:rPr>
        <w:t xml:space="preserve"> LT</w:t>
      </w:r>
      <w:r w:rsidR="00545D3A" w:rsidRPr="00313F32">
        <w:rPr>
          <w:rFonts w:ascii="Times New Roman" w:eastAsia="Symbol" w:hAnsi="Times New Roman" w:cs="Times New Roman"/>
          <w:b/>
          <w:noProof/>
          <w:sz w:val="24"/>
          <w:szCs w:val="24"/>
          <w:lang w:val="en-IE"/>
        </w:rPr>
        <w:t>,</w:t>
      </w:r>
      <w:r w:rsidRPr="00313F32">
        <w:rPr>
          <w:rFonts w:ascii="Times New Roman" w:eastAsia="Symbol" w:hAnsi="Times New Roman" w:cs="Times New Roman"/>
          <w:b/>
          <w:noProof/>
          <w:sz w:val="24"/>
          <w:szCs w:val="24"/>
          <w:lang w:val="en-IE"/>
        </w:rPr>
        <w:t xml:space="preserve"> HU, IE, LU, MT</w:t>
      </w:r>
      <w:r w:rsidRPr="00532C20">
        <w:rPr>
          <w:rFonts w:ascii="Times New Roman" w:eastAsia="Symbol" w:hAnsi="Times New Roman" w:cs="Times New Roman"/>
          <w:noProof/>
          <w:sz w:val="24"/>
          <w:szCs w:val="24"/>
          <w:vertAlign w:val="superscript"/>
          <w:lang w:val="en-IE"/>
        </w:rPr>
        <w:footnoteReference w:id="256"/>
      </w:r>
      <w:r w:rsidRPr="00313F32">
        <w:rPr>
          <w:rFonts w:ascii="Times New Roman" w:eastAsia="Symbol" w:hAnsi="Times New Roman" w:cs="Times New Roman"/>
          <w:b/>
          <w:noProof/>
          <w:sz w:val="24"/>
          <w:szCs w:val="24"/>
          <w:lang w:val="en-IE"/>
        </w:rPr>
        <w:t xml:space="preserve">, </w:t>
      </w:r>
      <w:r w:rsidR="00142FE3" w:rsidRPr="00313F32">
        <w:rPr>
          <w:rFonts w:ascii="Times New Roman" w:eastAsia="Symbol" w:hAnsi="Times New Roman" w:cs="Times New Roman"/>
          <w:b/>
          <w:noProof/>
          <w:sz w:val="24"/>
          <w:szCs w:val="24"/>
          <w:lang w:val="en-IE"/>
        </w:rPr>
        <w:t xml:space="preserve">AT, </w:t>
      </w:r>
      <w:r w:rsidRPr="00313F32">
        <w:rPr>
          <w:rFonts w:ascii="Times New Roman" w:eastAsia="Symbol" w:hAnsi="Times New Roman" w:cs="Times New Roman"/>
          <w:b/>
          <w:noProof/>
          <w:sz w:val="24"/>
          <w:szCs w:val="24"/>
          <w:lang w:val="en-IE"/>
        </w:rPr>
        <w:t>PL, RO</w:t>
      </w:r>
      <w:r w:rsidRPr="00532C20">
        <w:rPr>
          <w:rFonts w:ascii="Times New Roman" w:eastAsia="Symbol" w:hAnsi="Times New Roman" w:cs="Times New Roman"/>
          <w:noProof/>
          <w:sz w:val="24"/>
          <w:szCs w:val="24"/>
          <w:vertAlign w:val="superscript"/>
          <w:lang w:val="en-IE"/>
        </w:rPr>
        <w:footnoteReference w:id="257"/>
      </w:r>
      <w:r w:rsidRPr="00313F32">
        <w:rPr>
          <w:rFonts w:ascii="Times New Roman" w:eastAsia="Symbol" w:hAnsi="Times New Roman" w:cs="Times New Roman"/>
          <w:b/>
          <w:noProof/>
          <w:sz w:val="24"/>
          <w:szCs w:val="24"/>
          <w:lang w:val="en-IE"/>
        </w:rPr>
        <w:t>, SI</w:t>
      </w:r>
      <w:r w:rsidRPr="00532C20">
        <w:rPr>
          <w:rFonts w:ascii="Times New Roman" w:eastAsia="Symbol" w:hAnsi="Times New Roman" w:cs="Times New Roman"/>
          <w:noProof/>
          <w:sz w:val="24"/>
          <w:szCs w:val="24"/>
          <w:lang w:val="en-IE"/>
        </w:rPr>
        <w:t xml:space="preserve">) have legislation on interest representation activities in general, which is applicable </w:t>
      </w:r>
      <w:r w:rsidR="007E1632">
        <w:rPr>
          <w:rFonts w:ascii="Times New Roman" w:eastAsia="Symbol" w:hAnsi="Times New Roman" w:cs="Times New Roman"/>
          <w:noProof/>
          <w:sz w:val="24"/>
          <w:szCs w:val="24"/>
          <w:lang w:val="en-IE"/>
        </w:rPr>
        <w:t xml:space="preserve">by default </w:t>
      </w:r>
      <w:r w:rsidRPr="00532C20">
        <w:rPr>
          <w:rFonts w:ascii="Times New Roman" w:eastAsia="Symbol" w:hAnsi="Times New Roman" w:cs="Times New Roman"/>
          <w:noProof/>
          <w:sz w:val="24"/>
          <w:szCs w:val="24"/>
          <w:lang w:val="en-IE"/>
        </w:rPr>
        <w:t>to interest representation activities carried out on behalf of third countries. Transparency registers for lobbying exist in most of these Member States. The table</w:t>
      </w:r>
      <w:r w:rsidRPr="00532C20">
        <w:rPr>
          <w:rFonts w:ascii="Times New Roman" w:eastAsia="Times" w:hAnsi="Times New Roman" w:cs="Times New Roman"/>
          <w:noProof/>
          <w:sz w:val="24"/>
          <w:szCs w:val="24"/>
          <w:lang w:val="en-IE"/>
        </w:rPr>
        <w:t xml:space="preserve"> below provides an overview (grouped by type of provision) of several common provisions found in Member State laws regulating interest representation.</w:t>
      </w:r>
    </w:p>
    <w:p w14:paraId="13D880E0" w14:textId="77777777" w:rsidR="0005333A" w:rsidRPr="00532C20" w:rsidRDefault="0005333A" w:rsidP="004B0958">
      <w:pPr>
        <w:keepNext/>
        <w:spacing w:before="120" w:line="240" w:lineRule="auto"/>
        <w:jc w:val="both"/>
        <w:rPr>
          <w:rFonts w:ascii="Times New Roman" w:eastAsia="Symbol" w:hAnsi="Times New Roman" w:cs="Times New Roman"/>
          <w:b/>
          <w:noProof/>
          <w:sz w:val="24"/>
          <w:szCs w:val="24"/>
          <w:lang w:val="en-IE"/>
        </w:rPr>
      </w:pPr>
      <w:r w:rsidRPr="00532C20">
        <w:rPr>
          <w:rFonts w:ascii="Times New Roman" w:eastAsia="Times" w:hAnsi="Times New Roman" w:cs="Times New Roman"/>
          <w:b/>
          <w:noProof/>
          <w:sz w:val="24"/>
          <w:szCs w:val="24"/>
          <w:lang w:val="en-IE"/>
        </w:rPr>
        <w:t>Overview of some common provisions, grouped by type</w:t>
      </w:r>
    </w:p>
    <w:tbl>
      <w:tblPr>
        <w:tblStyle w:val="Deloitte1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52"/>
        <w:gridCol w:w="4256"/>
      </w:tblGrid>
      <w:tr w:rsidR="0005333A" w:rsidRPr="00532C20" w14:paraId="7B99D2BA" w14:textId="77777777" w:rsidTr="633D2D4F">
        <w:trPr>
          <w:tblHeader/>
        </w:trPr>
        <w:tc>
          <w:tcPr>
            <w:tcW w:w="4508" w:type="dxa"/>
            <w:shd w:val="clear" w:color="auto" w:fill="002060"/>
          </w:tcPr>
          <w:p w14:paraId="73D4D0C3" w14:textId="77777777" w:rsidR="0005333A" w:rsidRPr="00532C20" w:rsidRDefault="0005333A" w:rsidP="004B0958">
            <w:pPr>
              <w:jc w:val="both"/>
              <w:rPr>
                <w:rFonts w:ascii="Times New Roman" w:hAnsi="Times New Roman" w:cs="Times New Roman"/>
                <w:b/>
                <w:noProof/>
                <w:lang w:val="en-IE"/>
              </w:rPr>
            </w:pPr>
            <w:r w:rsidRPr="00532C20">
              <w:rPr>
                <w:rFonts w:ascii="Times New Roman" w:hAnsi="Times New Roman" w:cs="Times New Roman"/>
                <w:b/>
                <w:noProof/>
                <w:lang w:val="en-IE"/>
              </w:rPr>
              <w:t>Provisions on interest representation</w:t>
            </w:r>
          </w:p>
        </w:tc>
        <w:tc>
          <w:tcPr>
            <w:tcW w:w="4508" w:type="dxa"/>
            <w:shd w:val="clear" w:color="auto" w:fill="002060"/>
          </w:tcPr>
          <w:p w14:paraId="4659BC4E" w14:textId="77777777" w:rsidR="0005333A" w:rsidRPr="00532C20" w:rsidRDefault="0005333A" w:rsidP="004B0958">
            <w:pPr>
              <w:jc w:val="both"/>
              <w:rPr>
                <w:rFonts w:ascii="Times New Roman" w:hAnsi="Times New Roman" w:cs="Times New Roman"/>
                <w:b/>
                <w:noProof/>
                <w:lang w:val="en-IE"/>
              </w:rPr>
            </w:pPr>
            <w:r w:rsidRPr="00532C20">
              <w:rPr>
                <w:rFonts w:ascii="Times New Roman" w:hAnsi="Times New Roman" w:cs="Times New Roman"/>
                <w:b/>
                <w:noProof/>
                <w:lang w:val="en-IE"/>
              </w:rPr>
              <w:t>Countries</w:t>
            </w:r>
          </w:p>
        </w:tc>
      </w:tr>
      <w:tr w:rsidR="0005333A" w:rsidRPr="00313F32" w14:paraId="7AE22926" w14:textId="77777777" w:rsidTr="633D2D4F">
        <w:tc>
          <w:tcPr>
            <w:tcW w:w="4508" w:type="dxa"/>
            <w:shd w:val="clear" w:color="auto" w:fill="D9D9D9" w:themeFill="background1" w:themeFillShade="D9"/>
          </w:tcPr>
          <w:p w14:paraId="573613F8" w14:textId="77777777" w:rsidR="0005333A" w:rsidRPr="00532C20" w:rsidRDefault="0005333A" w:rsidP="004B0958">
            <w:pPr>
              <w:spacing w:before="60"/>
              <w:jc w:val="both"/>
              <w:rPr>
                <w:rFonts w:ascii="Times New Roman" w:hAnsi="Times New Roman" w:cs="Times New Roman"/>
                <w:b/>
                <w:noProof/>
                <w:lang w:val="en-IE"/>
              </w:rPr>
            </w:pPr>
            <w:r w:rsidRPr="00532C20">
              <w:rPr>
                <w:rFonts w:ascii="Times New Roman" w:hAnsi="Times New Roman" w:cs="Times New Roman"/>
                <w:b/>
                <w:noProof/>
                <w:lang w:val="en-IE"/>
              </w:rPr>
              <w:t>Specific legal obligation to register before undertaking interest representation activities</w:t>
            </w:r>
          </w:p>
        </w:tc>
        <w:tc>
          <w:tcPr>
            <w:tcW w:w="4508" w:type="dxa"/>
            <w:shd w:val="clear" w:color="auto" w:fill="D9D9D9" w:themeFill="background1" w:themeFillShade="D9"/>
          </w:tcPr>
          <w:p w14:paraId="50A8E83C" w14:textId="6B197C69" w:rsidR="0005333A" w:rsidRPr="00532C20" w:rsidRDefault="0005333A" w:rsidP="004B0958">
            <w:pPr>
              <w:spacing w:before="60"/>
              <w:jc w:val="both"/>
              <w:rPr>
                <w:rFonts w:ascii="Times New Roman" w:hAnsi="Times New Roman" w:cs="Times New Roman"/>
                <w:noProof/>
                <w:lang w:val="es-ES"/>
              </w:rPr>
            </w:pPr>
            <w:r w:rsidRPr="00532C20">
              <w:rPr>
                <w:rFonts w:ascii="Times New Roman" w:hAnsi="Times New Roman" w:cs="Times New Roman"/>
                <w:noProof/>
                <w:lang w:val="es-ES"/>
              </w:rPr>
              <w:t>DE</w:t>
            </w:r>
            <w:r w:rsidRPr="00532C20">
              <w:rPr>
                <w:rFonts w:ascii="Times New Roman" w:hAnsi="Times New Roman" w:cs="Times New Roman"/>
                <w:b/>
                <w:noProof/>
                <w:vertAlign w:val="superscript"/>
                <w:lang w:val="en-IE"/>
              </w:rPr>
              <w:footnoteReference w:id="258"/>
            </w:r>
            <w:r w:rsidRPr="00532C20">
              <w:rPr>
                <w:rFonts w:ascii="Times New Roman" w:hAnsi="Times New Roman" w:cs="Times New Roman"/>
                <w:noProof/>
                <w:lang w:val="es-ES"/>
              </w:rPr>
              <w:t xml:space="preserve">, </w:t>
            </w:r>
            <w:r w:rsidR="003C2FEE" w:rsidRPr="00532C20">
              <w:rPr>
                <w:rFonts w:ascii="Times New Roman" w:hAnsi="Times New Roman" w:cs="Times New Roman"/>
                <w:noProof/>
                <w:lang w:val="es-ES"/>
              </w:rPr>
              <w:t>IE</w:t>
            </w:r>
            <w:r w:rsidR="00E17102" w:rsidRPr="00532C20">
              <w:rPr>
                <w:rFonts w:ascii="Times New Roman" w:hAnsi="Times New Roman" w:cs="Times New Roman"/>
                <w:noProof/>
                <w:lang w:val="es-ES"/>
              </w:rPr>
              <w:t>,</w:t>
            </w:r>
            <w:r w:rsidR="003C2FEE" w:rsidRPr="00532C20">
              <w:rPr>
                <w:rFonts w:ascii="Times New Roman" w:hAnsi="Times New Roman" w:cs="Times New Roman"/>
                <w:noProof/>
                <w:lang w:val="es-ES"/>
              </w:rPr>
              <w:t xml:space="preserve"> </w:t>
            </w:r>
            <w:r w:rsidRPr="00532C20">
              <w:rPr>
                <w:rFonts w:ascii="Times New Roman" w:hAnsi="Times New Roman" w:cs="Times New Roman"/>
                <w:noProof/>
                <w:lang w:val="es-ES"/>
              </w:rPr>
              <w:t xml:space="preserve">EL, FR, LT, LU, </w:t>
            </w:r>
            <w:r w:rsidR="00E17102" w:rsidRPr="00532C20">
              <w:rPr>
                <w:rFonts w:ascii="Times New Roman" w:hAnsi="Times New Roman" w:cs="Times New Roman"/>
                <w:noProof/>
                <w:lang w:val="es-ES"/>
              </w:rPr>
              <w:t xml:space="preserve">AT, </w:t>
            </w:r>
            <w:r w:rsidRPr="00532C20">
              <w:rPr>
                <w:rFonts w:ascii="Times New Roman" w:hAnsi="Times New Roman" w:cs="Times New Roman"/>
                <w:noProof/>
                <w:lang w:val="es-ES"/>
              </w:rPr>
              <w:t>PL, RO</w:t>
            </w:r>
            <w:r w:rsidRPr="00532C20">
              <w:rPr>
                <w:rFonts w:ascii="Times New Roman" w:hAnsi="Times New Roman" w:cs="Times New Roman"/>
                <w:b/>
                <w:noProof/>
                <w:vertAlign w:val="superscript"/>
                <w:lang w:val="en-IE"/>
              </w:rPr>
              <w:footnoteReference w:id="259"/>
            </w:r>
          </w:p>
        </w:tc>
      </w:tr>
      <w:tr w:rsidR="0005333A" w:rsidRPr="00313F32" w14:paraId="3F86DB68" w14:textId="77777777" w:rsidTr="633D2D4F">
        <w:tc>
          <w:tcPr>
            <w:tcW w:w="4508" w:type="dxa"/>
            <w:shd w:val="clear" w:color="auto" w:fill="D9D9D9" w:themeFill="background1" w:themeFillShade="D9"/>
          </w:tcPr>
          <w:p w14:paraId="51519176" w14:textId="77777777" w:rsidR="0005333A" w:rsidRPr="00532C20" w:rsidRDefault="0005333A" w:rsidP="004B0958">
            <w:pPr>
              <w:spacing w:before="60"/>
              <w:jc w:val="both"/>
              <w:rPr>
                <w:rFonts w:ascii="Times New Roman" w:hAnsi="Times New Roman" w:cs="Times New Roman"/>
                <w:b/>
                <w:noProof/>
                <w:lang w:val="en-IE"/>
              </w:rPr>
            </w:pPr>
            <w:r w:rsidRPr="00532C20">
              <w:rPr>
                <w:rFonts w:ascii="Times New Roman" w:hAnsi="Times New Roman" w:cs="Times New Roman"/>
                <w:b/>
                <w:noProof/>
                <w:lang w:val="en-IE"/>
              </w:rPr>
              <w:t>Public national transparency register</w:t>
            </w:r>
          </w:p>
        </w:tc>
        <w:tc>
          <w:tcPr>
            <w:tcW w:w="4508" w:type="dxa"/>
            <w:shd w:val="clear" w:color="auto" w:fill="D9D9D9" w:themeFill="background1" w:themeFillShade="D9"/>
          </w:tcPr>
          <w:p w14:paraId="4146430B" w14:textId="11B19100" w:rsidR="0005333A" w:rsidRPr="00532C20" w:rsidRDefault="0005333A" w:rsidP="004B0958">
            <w:pPr>
              <w:spacing w:before="60"/>
              <w:jc w:val="both"/>
              <w:rPr>
                <w:rFonts w:ascii="Times New Roman" w:hAnsi="Times New Roman" w:cs="Times New Roman"/>
                <w:noProof/>
                <w:lang w:val="es-ES"/>
              </w:rPr>
            </w:pPr>
            <w:r w:rsidRPr="00532C20">
              <w:rPr>
                <w:rFonts w:ascii="Times New Roman" w:hAnsi="Times New Roman" w:cs="Times New Roman"/>
                <w:noProof/>
                <w:lang w:val="es-ES"/>
              </w:rPr>
              <w:t xml:space="preserve">BE, DE, </w:t>
            </w:r>
            <w:r w:rsidR="00335F6E" w:rsidRPr="00532C20">
              <w:rPr>
                <w:rFonts w:ascii="Times New Roman" w:hAnsi="Times New Roman" w:cs="Times New Roman"/>
                <w:noProof/>
                <w:lang w:val="es-ES"/>
              </w:rPr>
              <w:t>IE</w:t>
            </w:r>
            <w:r w:rsidR="00BB7451" w:rsidRPr="00532C20">
              <w:rPr>
                <w:rFonts w:ascii="Times New Roman" w:hAnsi="Times New Roman" w:cs="Times New Roman"/>
                <w:noProof/>
                <w:lang w:val="es-ES"/>
              </w:rPr>
              <w:t>,</w:t>
            </w:r>
            <w:r w:rsidR="00335F6E" w:rsidRPr="00532C20">
              <w:rPr>
                <w:rFonts w:ascii="Times New Roman" w:hAnsi="Times New Roman" w:cs="Times New Roman"/>
                <w:noProof/>
                <w:lang w:val="es-ES"/>
              </w:rPr>
              <w:t xml:space="preserve"> </w:t>
            </w:r>
            <w:r w:rsidRPr="00532C20">
              <w:rPr>
                <w:rFonts w:ascii="Times New Roman" w:hAnsi="Times New Roman" w:cs="Times New Roman"/>
                <w:noProof/>
                <w:lang w:val="es-ES"/>
              </w:rPr>
              <w:t>EL, ES</w:t>
            </w:r>
            <w:r w:rsidRPr="00532C20">
              <w:rPr>
                <w:rFonts w:ascii="Times New Roman" w:hAnsi="Times New Roman" w:cs="Times New Roman"/>
                <w:b/>
                <w:noProof/>
                <w:vertAlign w:val="superscript"/>
                <w:lang w:val="en-IE"/>
              </w:rPr>
              <w:footnoteReference w:id="260"/>
            </w:r>
            <w:r w:rsidRPr="00532C20">
              <w:rPr>
                <w:rFonts w:ascii="Times New Roman" w:hAnsi="Times New Roman" w:cs="Times New Roman"/>
                <w:noProof/>
                <w:lang w:val="es-ES"/>
              </w:rPr>
              <w:t>, FR, IT, LT, LU, NL</w:t>
            </w:r>
            <w:r w:rsidRPr="00532C20">
              <w:rPr>
                <w:rFonts w:ascii="Times New Roman" w:hAnsi="Times New Roman" w:cs="Times New Roman"/>
                <w:b/>
                <w:noProof/>
                <w:vertAlign w:val="superscript"/>
                <w:lang w:val="en-IE"/>
              </w:rPr>
              <w:footnoteReference w:id="261"/>
            </w:r>
            <w:r w:rsidRPr="00532C20">
              <w:rPr>
                <w:rFonts w:ascii="Times New Roman" w:hAnsi="Times New Roman" w:cs="Times New Roman"/>
                <w:noProof/>
                <w:lang w:val="es-ES"/>
              </w:rPr>
              <w:t xml:space="preserve">, </w:t>
            </w:r>
            <w:r w:rsidR="00BB7451" w:rsidRPr="00532C20">
              <w:rPr>
                <w:rFonts w:ascii="Times New Roman" w:hAnsi="Times New Roman" w:cs="Times New Roman"/>
                <w:noProof/>
                <w:lang w:val="es-ES"/>
              </w:rPr>
              <w:t>AT</w:t>
            </w:r>
            <w:r w:rsidR="00BB7451" w:rsidRPr="00532C20">
              <w:rPr>
                <w:rFonts w:ascii="Times New Roman" w:hAnsi="Times New Roman" w:cs="Times New Roman"/>
                <w:b/>
                <w:noProof/>
                <w:vertAlign w:val="superscript"/>
                <w:lang w:val="en-IE"/>
              </w:rPr>
              <w:footnoteReference w:id="262"/>
            </w:r>
            <w:r w:rsidR="00BB7451" w:rsidRPr="00532C20">
              <w:rPr>
                <w:rFonts w:ascii="Times New Roman" w:hAnsi="Times New Roman" w:cs="Times New Roman"/>
                <w:noProof/>
                <w:lang w:val="es-ES"/>
              </w:rPr>
              <w:t xml:space="preserve">, </w:t>
            </w:r>
            <w:r w:rsidRPr="00532C20">
              <w:rPr>
                <w:rFonts w:ascii="Times New Roman" w:hAnsi="Times New Roman" w:cs="Times New Roman"/>
                <w:noProof/>
                <w:lang w:val="es-ES"/>
              </w:rPr>
              <w:t>RO, SI</w:t>
            </w:r>
          </w:p>
        </w:tc>
      </w:tr>
      <w:tr w:rsidR="0005333A" w:rsidRPr="00532C20" w14:paraId="4F37BA26" w14:textId="77777777" w:rsidTr="633D2D4F">
        <w:tc>
          <w:tcPr>
            <w:tcW w:w="4508" w:type="dxa"/>
            <w:shd w:val="clear" w:color="auto" w:fill="D9D9D9" w:themeFill="background1" w:themeFillShade="D9"/>
          </w:tcPr>
          <w:p w14:paraId="339BF987" w14:textId="77777777" w:rsidR="0005333A" w:rsidRPr="00532C20" w:rsidRDefault="0005333A" w:rsidP="004B0958">
            <w:pPr>
              <w:spacing w:before="60"/>
              <w:jc w:val="both"/>
              <w:rPr>
                <w:rFonts w:ascii="Times New Roman" w:hAnsi="Times New Roman" w:cs="Times New Roman"/>
                <w:b/>
                <w:noProof/>
                <w:lang w:val="en-IE"/>
              </w:rPr>
            </w:pPr>
            <w:r w:rsidRPr="00532C20">
              <w:rPr>
                <w:rFonts w:ascii="Times New Roman" w:hAnsi="Times New Roman" w:cs="Times New Roman"/>
                <w:b/>
                <w:noProof/>
                <w:lang w:val="en-IE"/>
              </w:rPr>
              <w:t>Reporting/declaration requirements for registrants</w:t>
            </w:r>
          </w:p>
        </w:tc>
        <w:tc>
          <w:tcPr>
            <w:tcW w:w="4508" w:type="dxa"/>
            <w:shd w:val="clear" w:color="auto" w:fill="D9D9D9" w:themeFill="background1" w:themeFillShade="D9"/>
          </w:tcPr>
          <w:p w14:paraId="01C0743B" w14:textId="77777777" w:rsidR="0005333A" w:rsidRPr="00532C20" w:rsidRDefault="0005333A" w:rsidP="004B0958">
            <w:pPr>
              <w:spacing w:before="60"/>
              <w:jc w:val="both"/>
              <w:rPr>
                <w:rFonts w:ascii="Times New Roman" w:hAnsi="Times New Roman" w:cs="Times New Roman"/>
                <w:noProof/>
                <w:lang w:val="en-IE"/>
              </w:rPr>
            </w:pPr>
            <w:r w:rsidRPr="00532C20">
              <w:rPr>
                <w:rFonts w:ascii="Times New Roman" w:hAnsi="Times New Roman" w:cs="Times New Roman"/>
                <w:noProof/>
                <w:lang w:val="en-IE"/>
              </w:rPr>
              <w:t>CY</w:t>
            </w:r>
            <w:r w:rsidRPr="00532C20">
              <w:rPr>
                <w:rFonts w:ascii="Times New Roman" w:hAnsi="Times New Roman" w:cs="Times New Roman"/>
                <w:b/>
                <w:noProof/>
                <w:vertAlign w:val="superscript"/>
                <w:lang w:val="en-IE"/>
              </w:rPr>
              <w:footnoteReference w:id="263"/>
            </w:r>
            <w:r w:rsidRPr="00532C20">
              <w:rPr>
                <w:rFonts w:ascii="Times New Roman" w:hAnsi="Times New Roman" w:cs="Times New Roman"/>
                <w:noProof/>
                <w:lang w:val="en-IE"/>
              </w:rPr>
              <w:t>, LT</w:t>
            </w:r>
            <w:r w:rsidRPr="00532C20">
              <w:rPr>
                <w:rFonts w:ascii="Times New Roman" w:hAnsi="Times New Roman" w:cs="Times New Roman"/>
                <w:b/>
                <w:noProof/>
                <w:vertAlign w:val="superscript"/>
                <w:lang w:val="en-IE"/>
              </w:rPr>
              <w:footnoteReference w:id="264"/>
            </w:r>
          </w:p>
        </w:tc>
      </w:tr>
      <w:tr w:rsidR="0005333A" w:rsidRPr="00532C20" w14:paraId="6B1E24DC" w14:textId="77777777" w:rsidTr="633D2D4F">
        <w:tc>
          <w:tcPr>
            <w:tcW w:w="4508" w:type="dxa"/>
            <w:shd w:val="clear" w:color="auto" w:fill="D9D9D9" w:themeFill="background1" w:themeFillShade="D9"/>
          </w:tcPr>
          <w:p w14:paraId="27ED1EEC" w14:textId="77777777" w:rsidR="0005333A" w:rsidRPr="00532C20" w:rsidRDefault="0005333A" w:rsidP="004B0958">
            <w:pPr>
              <w:spacing w:before="60"/>
              <w:jc w:val="both"/>
              <w:rPr>
                <w:rFonts w:ascii="Times New Roman" w:hAnsi="Times New Roman" w:cs="Times New Roman"/>
                <w:b/>
                <w:noProof/>
                <w:lang w:val="en-IE"/>
              </w:rPr>
            </w:pPr>
            <w:r w:rsidRPr="00532C20">
              <w:rPr>
                <w:rFonts w:ascii="Times New Roman" w:hAnsi="Times New Roman" w:cs="Times New Roman"/>
                <w:b/>
                <w:noProof/>
                <w:lang w:val="en-IE"/>
              </w:rPr>
              <w:t>Entry restrictions to buildings of decision-makers</w:t>
            </w:r>
          </w:p>
        </w:tc>
        <w:tc>
          <w:tcPr>
            <w:tcW w:w="4508" w:type="dxa"/>
            <w:shd w:val="clear" w:color="auto" w:fill="D9D9D9" w:themeFill="background1" w:themeFillShade="D9"/>
          </w:tcPr>
          <w:p w14:paraId="4EC8096B" w14:textId="77777777" w:rsidR="0005333A" w:rsidRPr="00532C20" w:rsidRDefault="0005333A" w:rsidP="004B0958">
            <w:pPr>
              <w:spacing w:before="60"/>
              <w:jc w:val="both"/>
              <w:rPr>
                <w:rFonts w:ascii="Times New Roman" w:hAnsi="Times New Roman" w:cs="Times New Roman"/>
                <w:noProof/>
                <w:lang w:val="en-IE"/>
              </w:rPr>
            </w:pPr>
            <w:r w:rsidRPr="00532C20">
              <w:rPr>
                <w:rFonts w:ascii="Times New Roman" w:hAnsi="Times New Roman" w:cs="Times New Roman"/>
                <w:noProof/>
                <w:lang w:val="en-IE"/>
              </w:rPr>
              <w:t>DE</w:t>
            </w:r>
          </w:p>
        </w:tc>
      </w:tr>
    </w:tbl>
    <w:p w14:paraId="7E7907B3" w14:textId="331BE16E"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bCs/>
          <w:noProof/>
          <w:sz w:val="24"/>
          <w:szCs w:val="24"/>
          <w:lang w:val="en-IE"/>
        </w:rPr>
        <w:t>Austria</w:t>
      </w:r>
      <w:r w:rsidRPr="00532C20">
        <w:rPr>
          <w:rFonts w:ascii="Times New Roman" w:eastAsia="Symbol" w:hAnsi="Times New Roman" w:cs="Times New Roman"/>
          <w:noProof/>
          <w:sz w:val="24"/>
          <w:szCs w:val="24"/>
          <w:lang w:val="en-IE"/>
        </w:rPr>
        <w:t>, lobbyists are obliged to register in the Lobby Register before taking up their activities</w:t>
      </w:r>
      <w:r w:rsidRPr="00532C20">
        <w:rPr>
          <w:rFonts w:ascii="Times New Roman" w:eastAsia="Symbol" w:hAnsi="Times New Roman" w:cs="Times New Roman"/>
          <w:noProof/>
          <w:sz w:val="24"/>
          <w:szCs w:val="24"/>
          <w:vertAlign w:val="superscript"/>
          <w:lang w:val="en-IE"/>
        </w:rPr>
        <w:footnoteReference w:id="265"/>
      </w:r>
      <w:r w:rsidRPr="00532C20">
        <w:rPr>
          <w:rFonts w:ascii="Times New Roman" w:eastAsia="Symbol" w:hAnsi="Times New Roman" w:cs="Times New Roman"/>
          <w:noProof/>
          <w:sz w:val="24"/>
          <w:szCs w:val="24"/>
          <w:lang w:val="en-IE"/>
        </w:rPr>
        <w:t>. The Lobby Law provides for a differentiated system according to the type of lobbyist/entity for registration in the Lobby Register, which is useful to detail</w:t>
      </w:r>
      <w:r w:rsidRPr="00532C20">
        <w:rPr>
          <w:rFonts w:ascii="Times New Roman" w:eastAsia="Symbol" w:hAnsi="Times New Roman" w:cs="Times New Roman"/>
          <w:noProof/>
          <w:sz w:val="24"/>
          <w:szCs w:val="24"/>
          <w:vertAlign w:val="superscript"/>
          <w:lang w:val="en-IE"/>
        </w:rPr>
        <w:footnoteReference w:id="266"/>
      </w:r>
      <w:r w:rsidRPr="00532C20">
        <w:rPr>
          <w:rFonts w:ascii="Times New Roman" w:eastAsia="Symbol" w:hAnsi="Times New Roman" w:cs="Times New Roman"/>
          <w:noProof/>
          <w:sz w:val="24"/>
          <w:szCs w:val="24"/>
          <w:lang w:val="en-IE"/>
        </w:rPr>
        <w:t xml:space="preserve">. </w:t>
      </w:r>
      <w:r w:rsidR="00C37135" w:rsidRPr="00532C20">
        <w:rPr>
          <w:rFonts w:ascii="Times New Roman" w:eastAsia="Symbol" w:hAnsi="Times New Roman" w:cs="Times New Roman"/>
          <w:noProof/>
          <w:sz w:val="24"/>
          <w:szCs w:val="24"/>
          <w:lang w:val="en-IE"/>
        </w:rPr>
        <w:t>4</w:t>
      </w:r>
      <w:r w:rsidRPr="00532C20">
        <w:rPr>
          <w:rFonts w:ascii="Times New Roman" w:eastAsia="Symbol" w:hAnsi="Times New Roman" w:cs="Times New Roman"/>
          <w:noProof/>
          <w:sz w:val="24"/>
          <w:szCs w:val="24"/>
          <w:lang w:val="en-IE"/>
        </w:rPr>
        <w:t xml:space="preserve"> types of lobbyists (Types A, B, C, D below) are foreseen and </w:t>
      </w:r>
      <w:r w:rsidRPr="00532C20">
        <w:rPr>
          <w:rFonts w:ascii="Times New Roman" w:eastAsia="Times" w:hAnsi="Times New Roman" w:cs="Times New Roman"/>
          <w:noProof/>
          <w:sz w:val="24"/>
          <w:szCs w:val="24"/>
          <w:lang w:val="en-IE"/>
        </w:rPr>
        <w:t>for one such type, different threshold were defined in practice</w:t>
      </w:r>
      <w:r w:rsidRPr="00532C20">
        <w:rPr>
          <w:rFonts w:ascii="Times New Roman" w:eastAsia="Times" w:hAnsi="Times New Roman" w:cs="Times New Roman"/>
          <w:noProof/>
          <w:kern w:val="18"/>
          <w:sz w:val="24"/>
          <w:szCs w:val="24"/>
          <w:vertAlign w:val="superscript"/>
          <w:lang w:val="en-IE"/>
        </w:rPr>
        <w:footnoteReference w:id="267"/>
      </w:r>
      <w:r w:rsidRPr="00532C20">
        <w:rPr>
          <w:rFonts w:ascii="Times New Roman" w:eastAsia="Symbol" w:hAnsi="Times New Roman" w:cs="Times New Roman"/>
          <w:noProof/>
          <w:sz w:val="24"/>
          <w:szCs w:val="24"/>
          <w:lang w:val="en-IE"/>
        </w:rPr>
        <w:t>:</w:t>
      </w:r>
    </w:p>
    <w:p w14:paraId="042960EE" w14:textId="25C357AE" w:rsidR="0005333A" w:rsidRPr="00532C20" w:rsidRDefault="00004F5E" w:rsidP="00FD0C15">
      <w:pPr>
        <w:pStyle w:val="ListParagraph"/>
        <w:numPr>
          <w:ilvl w:val="0"/>
          <w:numId w:val="93"/>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 xml:space="preserve">A: </w:t>
      </w:r>
      <w:r w:rsidR="0005333A" w:rsidRPr="00532C20">
        <w:rPr>
          <w:rFonts w:ascii="Times New Roman" w:eastAsia="Symbol" w:hAnsi="Times New Roman" w:cs="Times New Roman"/>
          <w:noProof/>
          <w:lang w:val="en-IE"/>
        </w:rPr>
        <w:t>Lobbying companies: a company whose business purpose includes taking on and fulfilling a lobbying mandate, even if it is not of a permanent nature. What is important is whether lobbying is part of its business and whether the company takes on lobbying assignments for a fee. This refers to lobbying assignments as defined in the Lobby Law, i.e. the direct, structured and organised exertion of influence on the public authorities.</w:t>
      </w:r>
    </w:p>
    <w:p w14:paraId="42784A86" w14:textId="62CEA240" w:rsidR="0005333A" w:rsidRPr="00532C20" w:rsidRDefault="00004F5E" w:rsidP="00FD0C15">
      <w:pPr>
        <w:pStyle w:val="ListParagraph"/>
        <w:numPr>
          <w:ilvl w:val="0"/>
          <w:numId w:val="93"/>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 xml:space="preserve">B: </w:t>
      </w:r>
      <w:r w:rsidR="0005333A" w:rsidRPr="00532C20">
        <w:rPr>
          <w:rFonts w:ascii="Times New Roman" w:eastAsia="Symbol" w:hAnsi="Times New Roman" w:cs="Times New Roman"/>
          <w:noProof/>
          <w:lang w:val="en-IE"/>
        </w:rPr>
        <w:t xml:space="preserve">Companies that employ corporate lobbyists: Companies that do not use lobbying companies to represent their individual interests vis-à-vis the public authorities, but have this task performed by their own bodies or employees. Such employees or organs of the company are called corporate lobbyists by the Lobby Law. </w:t>
      </w:r>
    </w:p>
    <w:p w14:paraId="1BCFDC23" w14:textId="37C520C3" w:rsidR="0005333A" w:rsidRPr="00532C20" w:rsidRDefault="00004F5E" w:rsidP="00FD0C15">
      <w:pPr>
        <w:pStyle w:val="ListParagraph"/>
        <w:numPr>
          <w:ilvl w:val="0"/>
          <w:numId w:val="93"/>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 xml:space="preserve">C: </w:t>
      </w:r>
      <w:r w:rsidR="0005333A" w:rsidRPr="00532C20">
        <w:rPr>
          <w:rFonts w:ascii="Times New Roman" w:eastAsia="Symbol" w:hAnsi="Times New Roman" w:cs="Times New Roman"/>
          <w:noProof/>
          <w:lang w:val="en-IE"/>
        </w:rPr>
        <w:t>Self-governing bodies: a non-territorial self-governing body established by law or ordinance which looks after professional or other common interests of its members, as well as an association of self-governing bodies which looks after these interests nationwide (e.g. various chambers of commerce, professional organisations and professional associations). The Lobby Law applies to such self-governing bodies only to a limited extent (e.g. no sanctions may be imposed on their employees, such as an administrative fine if they misbehave in the context of interest representation, it is up to the respective chamber to take the appropriate measures).</w:t>
      </w:r>
    </w:p>
    <w:p w14:paraId="103CDBF2" w14:textId="12BBF295" w:rsidR="0005333A" w:rsidRPr="00532C20" w:rsidRDefault="00004F5E" w:rsidP="00FD0C15">
      <w:pPr>
        <w:pStyle w:val="ListParagraph"/>
        <w:numPr>
          <w:ilvl w:val="0"/>
          <w:numId w:val="93"/>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 xml:space="preserve">D: </w:t>
      </w:r>
      <w:r w:rsidR="0005333A" w:rsidRPr="00532C20">
        <w:rPr>
          <w:rFonts w:ascii="Times New Roman" w:eastAsia="Symbol" w:hAnsi="Times New Roman" w:cs="Times New Roman"/>
          <w:noProof/>
          <w:lang w:val="en-IE"/>
        </w:rPr>
        <w:t xml:space="preserve">Interest groups: an association or contractual grouping of several persons whose activities include the representation of common interests and which is neither a lobbying firm nor a self-governing body. The representatives (organs or employees) of these associations are also interest representatives according to the Lobby Law, so the same considerations as described for self-governing bodies apply here. </w:t>
      </w:r>
    </w:p>
    <w:p w14:paraId="09CE935B"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Total exemptions from the Lobby Act apply to political parties and to stakeholder association for example. The Act is not applicable to them if they have no employees, who are predominantly active – relative to their annual working hours – as interest representatives in this field. With this, the legislature’s intention was to exempt small associations</w:t>
      </w:r>
      <w:r w:rsidRPr="00532C20">
        <w:rPr>
          <w:rFonts w:ascii="Times New Roman" w:eastAsia="Symbol" w:hAnsi="Times New Roman" w:cs="Times New Roman"/>
          <w:noProof/>
          <w:sz w:val="24"/>
          <w:szCs w:val="24"/>
          <w:vertAlign w:val="superscript"/>
          <w:lang w:val="en-IE"/>
        </w:rPr>
        <w:footnoteReference w:id="268"/>
      </w:r>
      <w:r w:rsidRPr="00532C20">
        <w:rPr>
          <w:rFonts w:ascii="Times New Roman" w:eastAsia="Symbol" w:hAnsi="Times New Roman" w:cs="Times New Roman"/>
          <w:noProof/>
          <w:sz w:val="24"/>
          <w:szCs w:val="24"/>
          <w:lang w:val="en-IE"/>
        </w:rPr>
        <w:t xml:space="preserve">. </w:t>
      </w:r>
    </w:p>
    <w:p w14:paraId="54F7C5A0" w14:textId="5AEE016A"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Non-compliance with the registration requirement is an offence and is sanctioned by administrative penalties: fine of up to EUR 20,000 may be imposed, in cases of repeat violations even up to EUR 60,000. </w:t>
      </w:r>
    </w:p>
    <w:p w14:paraId="40657479" w14:textId="17D71B55"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The registration obligations are also ranked in relation to which company or which institution performs the lobbying or the interest representation.</w:t>
      </w:r>
      <w:r w:rsidRPr="00532C20">
        <w:rPr>
          <w:rFonts w:ascii="Times New Roman" w:eastAsia="Times" w:hAnsi="Times New Roman" w:cs="Times New Roman"/>
          <w:noProof/>
          <w:sz w:val="24"/>
          <w:szCs w:val="24"/>
          <w:lang w:val="en-IE"/>
        </w:rPr>
        <w:t xml:space="preserve"> </w:t>
      </w:r>
      <w:r w:rsidRPr="00532C20">
        <w:rPr>
          <w:rFonts w:ascii="Times New Roman" w:eastAsia="Symbol" w:hAnsi="Times New Roman" w:cs="Times New Roman"/>
          <w:noProof/>
          <w:sz w:val="24"/>
          <w:szCs w:val="24"/>
          <w:lang w:val="en-IE"/>
        </w:rPr>
        <w:t xml:space="preserve">Lobbying companies are subject to the most </w:t>
      </w:r>
      <w:r w:rsidR="00622B99" w:rsidRPr="00532C20">
        <w:rPr>
          <w:rFonts w:ascii="Times New Roman" w:eastAsia="Symbol" w:hAnsi="Times New Roman" w:cs="Times New Roman"/>
          <w:noProof/>
          <w:sz w:val="24"/>
          <w:szCs w:val="24"/>
          <w:lang w:val="en-IE"/>
        </w:rPr>
        <w:t>comprehensive</w:t>
      </w:r>
      <w:r w:rsidRPr="00532C20">
        <w:rPr>
          <w:rFonts w:ascii="Times New Roman" w:eastAsia="Symbol" w:hAnsi="Times New Roman" w:cs="Times New Roman"/>
          <w:noProof/>
          <w:sz w:val="24"/>
          <w:szCs w:val="24"/>
          <w:lang w:val="en-IE"/>
        </w:rPr>
        <w:t xml:space="preserve"> registration obligations. Registration obligations for companies with in-house lobbyist are less far-reaching.</w:t>
      </w:r>
      <w:r w:rsidRPr="00532C20">
        <w:rPr>
          <w:rFonts w:ascii="Times New Roman" w:eastAsia="Times" w:hAnsi="Times New Roman" w:cs="Times New Roman"/>
          <w:noProof/>
          <w:sz w:val="24"/>
          <w:szCs w:val="24"/>
          <w:lang w:val="en-IE"/>
        </w:rPr>
        <w:t xml:space="preserve"> </w:t>
      </w:r>
      <w:r w:rsidRPr="00532C20">
        <w:rPr>
          <w:rFonts w:ascii="Times New Roman" w:eastAsia="Symbol" w:hAnsi="Times New Roman" w:cs="Times New Roman"/>
          <w:noProof/>
          <w:sz w:val="24"/>
          <w:szCs w:val="24"/>
          <w:lang w:val="en-IE"/>
        </w:rPr>
        <w:t>Registration obligations require only a minimum of data for self-governing bodies and private stakeholder associations. Lobbying companies must communicate data on their lobbying contract: includes the name of their client with all key data and the task area agreed.</w:t>
      </w:r>
    </w:p>
    <w:p w14:paraId="0F322EA3" w14:textId="324040B4"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The Austrian Court of Audit (ACA) presented reports on the lobby register in 2019</w:t>
      </w:r>
      <w:r w:rsidRPr="00532C20">
        <w:rPr>
          <w:rFonts w:ascii="Times New Roman" w:eastAsia="Symbol" w:hAnsi="Times New Roman" w:cs="Times New Roman"/>
          <w:noProof/>
          <w:sz w:val="24"/>
          <w:szCs w:val="24"/>
          <w:vertAlign w:val="superscript"/>
          <w:lang w:val="en-IE"/>
        </w:rPr>
        <w:footnoteReference w:id="269"/>
      </w:r>
      <w:r w:rsidRPr="00532C20">
        <w:rPr>
          <w:rFonts w:ascii="Times New Roman" w:eastAsia="Symbol" w:hAnsi="Times New Roman" w:cs="Times New Roman"/>
          <w:noProof/>
          <w:sz w:val="24"/>
          <w:szCs w:val="24"/>
          <w:lang w:val="en-IE"/>
        </w:rPr>
        <w:t xml:space="preserve"> established that there were a lot of gaps in the register and inaccurate information and data was not always up-to-date. A further point </w:t>
      </w:r>
      <w:r w:rsidR="00C46D20" w:rsidRPr="00532C20">
        <w:rPr>
          <w:rFonts w:ascii="Times New Roman" w:eastAsia="Symbol" w:hAnsi="Times New Roman" w:cs="Times New Roman"/>
          <w:noProof/>
          <w:sz w:val="24"/>
          <w:szCs w:val="24"/>
          <w:lang w:val="en-IE"/>
        </w:rPr>
        <w:t>being raised</w:t>
      </w:r>
      <w:r w:rsidRPr="00532C20">
        <w:rPr>
          <w:rFonts w:ascii="Times New Roman" w:eastAsia="Symbol" w:hAnsi="Times New Roman" w:cs="Times New Roman"/>
          <w:noProof/>
          <w:sz w:val="24"/>
          <w:szCs w:val="24"/>
          <w:lang w:val="en-IE"/>
        </w:rPr>
        <w:t xml:space="preserve"> was that not all sections of the register were open to the public, only the contracting parties of a lobbying order as well as functionaries with whom a lobbyist could come into contact had the right to inspect the register section A2 (lobbying orders from lobbying companies).The ACA criticised the fact that the responsible Ministry did not feel responsible for examining the informational value of the entries or to assess whether the obligation to register was fulfilled. No sanction imposed by the Ministry for those lobbyists who failed to comply with the obligation to register.</w:t>
      </w:r>
    </w:p>
    <w:p w14:paraId="1333CD2E" w14:textId="1874C9A3" w:rsidR="0005333A" w:rsidRPr="00532C20" w:rsidRDefault="0005333A" w:rsidP="004B0958">
      <w:pPr>
        <w:spacing w:before="120" w:line="240" w:lineRule="auto"/>
        <w:jc w:val="both"/>
        <w:rPr>
          <w:rFonts w:ascii="Times New Roman" w:eastAsia="Symbol" w:hAnsi="Times New Roman" w:cs="Times New Roman"/>
          <w:noProof/>
          <w:kern w:val="18"/>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bCs/>
          <w:noProof/>
          <w:sz w:val="24"/>
          <w:szCs w:val="24"/>
          <w:lang w:val="en-IE"/>
        </w:rPr>
        <w:t>Belgium</w:t>
      </w:r>
      <w:r w:rsidRPr="00532C20">
        <w:rPr>
          <w:rFonts w:ascii="Times New Roman" w:eastAsia="Symbol" w:hAnsi="Times New Roman" w:cs="Times New Roman"/>
          <w:noProof/>
          <w:sz w:val="24"/>
          <w:szCs w:val="24"/>
          <w:lang w:val="en-IE"/>
        </w:rPr>
        <w:t>, actors who are directly or indirectly influencing parliamentarians can register in the Lobby Register</w:t>
      </w:r>
      <w:r w:rsidRPr="00532C20">
        <w:rPr>
          <w:rFonts w:ascii="Times New Roman" w:eastAsia="Symbol" w:hAnsi="Times New Roman" w:cs="Times New Roman"/>
          <w:noProof/>
          <w:kern w:val="18"/>
          <w:sz w:val="24"/>
          <w:szCs w:val="24"/>
          <w:vertAlign w:val="superscript"/>
          <w:lang w:val="en-IE"/>
        </w:rPr>
        <w:footnoteReference w:id="270"/>
      </w:r>
      <w:r w:rsidRPr="00532C20">
        <w:rPr>
          <w:rFonts w:ascii="Times New Roman" w:eastAsia="Symbol" w:hAnsi="Times New Roman" w:cs="Times New Roman"/>
          <w:noProof/>
          <w:sz w:val="24"/>
          <w:szCs w:val="24"/>
          <w:lang w:val="en-IE"/>
        </w:rPr>
        <w:t>. However, there are no penalties for non-compliance with the registration requirement, as there is no obligation to register and it is done on voluntary basis. It should be noted that Belgian MEPs are not required to mention their meetings with lobbyists.</w:t>
      </w:r>
    </w:p>
    <w:p w14:paraId="45530666" w14:textId="77967348" w:rsidR="0005333A" w:rsidRPr="00532C20" w:rsidRDefault="0005333A" w:rsidP="004B0958">
      <w:pPr>
        <w:spacing w:before="120" w:line="240" w:lineRule="auto"/>
        <w:jc w:val="both"/>
        <w:rPr>
          <w:rFonts w:ascii="Times New Roman" w:eastAsia="Symbol" w:hAnsi="Times New Roman" w:cs="Times New Roman"/>
          <w:noProof/>
          <w:kern w:val="18"/>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bCs/>
          <w:noProof/>
          <w:sz w:val="24"/>
          <w:szCs w:val="24"/>
          <w:lang w:val="en-IE"/>
        </w:rPr>
        <w:t>Cyprus</w:t>
      </w:r>
      <w:r w:rsidRPr="00532C20">
        <w:rPr>
          <w:rFonts w:ascii="Times New Roman" w:eastAsia="Symbol" w:hAnsi="Times New Roman" w:cs="Times New Roman"/>
          <w:noProof/>
          <w:sz w:val="24"/>
          <w:szCs w:val="24"/>
          <w:lang w:val="en-IE"/>
        </w:rPr>
        <w:t xml:space="preserve">, </w:t>
      </w:r>
      <w:r w:rsidR="00F74A0A" w:rsidRPr="00532C20">
        <w:rPr>
          <w:rFonts w:ascii="Times New Roman" w:eastAsia="Symbol" w:hAnsi="Times New Roman" w:cs="Times New Roman"/>
          <w:noProof/>
          <w:sz w:val="24"/>
          <w:szCs w:val="24"/>
          <w:lang w:val="en-IE"/>
        </w:rPr>
        <w:t>a law</w:t>
      </w:r>
      <w:r w:rsidRPr="00532C20">
        <w:rPr>
          <w:rFonts w:ascii="Times New Roman" w:eastAsia="Symbol" w:hAnsi="Times New Roman" w:cs="Times New Roman"/>
          <w:noProof/>
          <w:sz w:val="24"/>
          <w:szCs w:val="24"/>
          <w:lang w:val="en-IE"/>
        </w:rPr>
        <w:t xml:space="preserve"> adopted</w:t>
      </w:r>
      <w:r w:rsidR="00C431BA" w:rsidRPr="00532C20">
        <w:rPr>
          <w:rFonts w:ascii="Times New Roman" w:eastAsia="Symbol" w:hAnsi="Times New Roman" w:cs="Times New Roman"/>
          <w:noProof/>
          <w:sz w:val="24"/>
          <w:szCs w:val="24"/>
          <w:lang w:val="en-IE"/>
        </w:rPr>
        <w:t xml:space="preserve"> in 2022</w:t>
      </w:r>
      <w:r w:rsidRPr="00532C20">
        <w:rPr>
          <w:rFonts w:ascii="Times New Roman" w:eastAsia="Symbol" w:hAnsi="Times New Roman" w:cs="Times New Roman"/>
          <w:noProof/>
          <w:kern w:val="18"/>
          <w:sz w:val="24"/>
          <w:szCs w:val="24"/>
          <w:vertAlign w:val="superscript"/>
          <w:lang w:val="en-IE"/>
        </w:rPr>
        <w:footnoteReference w:id="271"/>
      </w:r>
      <w:r w:rsidRPr="00532C20">
        <w:rPr>
          <w:rFonts w:ascii="Times New Roman" w:eastAsia="Symbol" w:hAnsi="Times New Roman" w:cs="Times New Roman"/>
          <w:noProof/>
          <w:sz w:val="24"/>
          <w:szCs w:val="24"/>
          <w:lang w:val="en-IE"/>
        </w:rPr>
        <w:t xml:space="preserve"> regulates the participation of representatives of interests (lobbyists) in public decision-making. However, </w:t>
      </w:r>
      <w:r w:rsidR="00907367">
        <w:rPr>
          <w:rFonts w:ascii="Times New Roman" w:eastAsia="Symbol" w:hAnsi="Times New Roman" w:cs="Times New Roman"/>
          <w:noProof/>
          <w:sz w:val="24"/>
          <w:szCs w:val="24"/>
          <w:lang w:val="en-IE"/>
        </w:rPr>
        <w:t>interest representation activities carried out on behalf of third countries</w:t>
      </w:r>
      <w:r w:rsidRPr="00532C20">
        <w:rPr>
          <w:rFonts w:ascii="Times New Roman" w:eastAsia="Symbol" w:hAnsi="Times New Roman" w:cs="Times New Roman"/>
          <w:noProof/>
          <w:sz w:val="24"/>
          <w:szCs w:val="24"/>
          <w:lang w:val="en-IE"/>
        </w:rPr>
        <w:t xml:space="preserve"> is not distinguished in the law. All interest representatives shall be registered in a Register of Lobbyists, although it is not accessible to the public. The Register is operated by the Independent Authority against Corruption. No specific threshold is set for the registrants to declare the amount of remuneration received for lobbying services or any threshold for the amount of remuneration received for each client. The registrants are obliged to submit semi-annual reports to the Authority on any involvement in a public decision-making process that took place during the preceding </w:t>
      </w:r>
      <w:r w:rsidR="0017043F" w:rsidRPr="00532C20">
        <w:rPr>
          <w:rFonts w:ascii="Times New Roman" w:eastAsia="Symbol" w:hAnsi="Times New Roman" w:cs="Times New Roman"/>
          <w:noProof/>
          <w:sz w:val="24"/>
          <w:szCs w:val="24"/>
          <w:lang w:val="en-IE"/>
        </w:rPr>
        <w:t xml:space="preserve">6 </w:t>
      </w:r>
      <w:r w:rsidRPr="00532C20">
        <w:rPr>
          <w:rFonts w:ascii="Times New Roman" w:eastAsia="Symbol" w:hAnsi="Times New Roman" w:cs="Times New Roman"/>
          <w:noProof/>
          <w:sz w:val="24"/>
          <w:szCs w:val="24"/>
          <w:lang w:val="en-IE"/>
        </w:rPr>
        <w:t>months. These reports shall contain, inter alia, data referring to the identity of the client, the objective of the lobbying services, the timeline for the provision of the services etc.</w:t>
      </w:r>
    </w:p>
    <w:p w14:paraId="1D2942BC" w14:textId="77777777" w:rsidR="0005333A" w:rsidRPr="00532C20" w:rsidRDefault="0005333A" w:rsidP="004B0958">
      <w:pPr>
        <w:spacing w:before="120" w:line="240" w:lineRule="auto"/>
        <w:jc w:val="both"/>
        <w:rPr>
          <w:rFonts w:ascii="Times New Roman" w:eastAsia="Symbol" w:hAnsi="Times New Roman" w:cs="Times New Roman"/>
          <w:noProof/>
          <w:kern w:val="18"/>
          <w:sz w:val="24"/>
          <w:szCs w:val="24"/>
          <w:lang w:val="en-IE"/>
        </w:rPr>
      </w:pPr>
      <w:r w:rsidRPr="00532C20">
        <w:rPr>
          <w:rFonts w:ascii="Times New Roman" w:eastAsia="Symbol" w:hAnsi="Times New Roman" w:cs="Times New Roman"/>
          <w:noProof/>
          <w:kern w:val="18"/>
          <w:sz w:val="24"/>
          <w:szCs w:val="24"/>
          <w:lang w:val="en-IE"/>
        </w:rPr>
        <w:t>The law also foresees several cases of offence. Particularly, the following are committing an offence:</w:t>
      </w:r>
    </w:p>
    <w:p w14:paraId="52F1EB4E" w14:textId="61C4EA45" w:rsidR="0005333A" w:rsidRPr="00532C20" w:rsidRDefault="0005333A" w:rsidP="00004F5E">
      <w:pPr>
        <w:pStyle w:val="ListParagraph"/>
        <w:numPr>
          <w:ilvl w:val="0"/>
          <w:numId w:val="92"/>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Any person that is involved in decision-making procedures and actions and is not registered with the Register</w:t>
      </w:r>
      <w:r w:rsidRPr="00532C20">
        <w:rPr>
          <w:noProof/>
          <w:vertAlign w:val="superscript"/>
          <w:lang w:val="en-IE"/>
        </w:rPr>
        <w:footnoteReference w:id="272"/>
      </w:r>
      <w:r w:rsidR="00F74A0A" w:rsidRPr="00532C20">
        <w:rPr>
          <w:rFonts w:ascii="Times New Roman" w:eastAsia="Symbol" w:hAnsi="Times New Roman" w:cs="Times New Roman"/>
          <w:noProof/>
          <w:lang w:val="en-IE"/>
        </w:rPr>
        <w:t>;</w:t>
      </w:r>
    </w:p>
    <w:p w14:paraId="25DCF457" w14:textId="5A5C51D9" w:rsidR="0005333A" w:rsidRPr="00532C20" w:rsidRDefault="0005333A" w:rsidP="00004F5E">
      <w:pPr>
        <w:pStyle w:val="ListParagraph"/>
        <w:numPr>
          <w:ilvl w:val="0"/>
          <w:numId w:val="92"/>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Anyone registered with an untrue application</w:t>
      </w:r>
      <w:r w:rsidRPr="00532C20">
        <w:rPr>
          <w:noProof/>
          <w:vertAlign w:val="superscript"/>
          <w:lang w:val="en-IE"/>
        </w:rPr>
        <w:footnoteReference w:id="273"/>
      </w:r>
      <w:r w:rsidR="00F74A0A" w:rsidRPr="00532C20">
        <w:rPr>
          <w:rFonts w:ascii="Times New Roman" w:eastAsia="Symbol" w:hAnsi="Times New Roman" w:cs="Times New Roman"/>
          <w:noProof/>
          <w:lang w:val="en-IE"/>
        </w:rPr>
        <w:t>;</w:t>
      </w:r>
    </w:p>
    <w:p w14:paraId="289681C0" w14:textId="22BCEA8B" w:rsidR="0005333A" w:rsidRPr="00532C20" w:rsidRDefault="0005333A" w:rsidP="00004F5E">
      <w:pPr>
        <w:pStyle w:val="ListParagraph"/>
        <w:numPr>
          <w:ilvl w:val="0"/>
          <w:numId w:val="92"/>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A registered person that fails to report to the Authority</w:t>
      </w:r>
      <w:r w:rsidRPr="00532C20">
        <w:rPr>
          <w:noProof/>
          <w:vertAlign w:val="superscript"/>
          <w:lang w:val="en-IE"/>
        </w:rPr>
        <w:footnoteReference w:id="274"/>
      </w:r>
      <w:r w:rsidR="00F74A0A" w:rsidRPr="00532C20">
        <w:rPr>
          <w:rFonts w:ascii="Times New Roman" w:eastAsia="Symbol" w:hAnsi="Times New Roman" w:cs="Times New Roman"/>
          <w:noProof/>
          <w:lang w:val="en-IE"/>
        </w:rPr>
        <w:t>;</w:t>
      </w:r>
    </w:p>
    <w:p w14:paraId="30FC7BEA" w14:textId="77777777" w:rsidR="0005333A" w:rsidRPr="00532C20" w:rsidRDefault="0005333A" w:rsidP="00004F5E">
      <w:pPr>
        <w:pStyle w:val="ListParagraph"/>
        <w:numPr>
          <w:ilvl w:val="0"/>
          <w:numId w:val="92"/>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Anyone who submits an untrue complaint before the Authority</w:t>
      </w:r>
      <w:r w:rsidRPr="00532C20">
        <w:rPr>
          <w:noProof/>
          <w:vertAlign w:val="superscript"/>
          <w:lang w:val="en-IE"/>
        </w:rPr>
        <w:footnoteReference w:id="275"/>
      </w:r>
      <w:r w:rsidRPr="00532C20">
        <w:rPr>
          <w:rFonts w:ascii="Times New Roman" w:eastAsia="Symbol" w:hAnsi="Times New Roman" w:cs="Times New Roman"/>
          <w:noProof/>
          <w:lang w:val="en-IE"/>
        </w:rPr>
        <w:t>.</w:t>
      </w:r>
    </w:p>
    <w:p w14:paraId="612A9FB1"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In addition, the Authority may impose an administrative fine of up to EUR 100,000 or to suspend or withdraw the registration of the registered lobbyist when the lobbyist commits an act or omission. This holds true regardless of whether the act or omission is punishable under the provisions of Law.</w:t>
      </w:r>
    </w:p>
    <w:p w14:paraId="3B3D216B" w14:textId="4991855D" w:rsidR="0005333A" w:rsidRPr="00532C20" w:rsidRDefault="00933F00" w:rsidP="004B0958">
      <w:pPr>
        <w:spacing w:before="120" w:line="240" w:lineRule="auto"/>
        <w:jc w:val="both"/>
        <w:rPr>
          <w:rFonts w:ascii="Times New Roman" w:eastAsia="Symbol" w:hAnsi="Times New Roman" w:cs="Times New Roman"/>
          <w:noProof/>
          <w:sz w:val="24"/>
          <w:szCs w:val="24"/>
          <w:lang w:val="en-IE"/>
        </w:rPr>
      </w:pPr>
      <w:r>
        <w:rPr>
          <w:rFonts w:ascii="Times New Roman" w:eastAsia="Symbol" w:hAnsi="Times New Roman" w:cs="Times New Roman"/>
          <w:noProof/>
          <w:sz w:val="24"/>
          <w:szCs w:val="24"/>
          <w:lang w:val="en-IE"/>
        </w:rPr>
        <w:t>I</w:t>
      </w:r>
      <w:r w:rsidR="00EE330A" w:rsidRPr="00EE330A">
        <w:rPr>
          <w:rFonts w:ascii="Times New Roman" w:eastAsia="Symbol" w:hAnsi="Times New Roman" w:cs="Times New Roman"/>
          <w:noProof/>
          <w:sz w:val="24"/>
          <w:szCs w:val="24"/>
          <w:lang w:val="en-IE"/>
        </w:rPr>
        <w:t xml:space="preserve">n </w:t>
      </w:r>
      <w:r w:rsidR="00EE330A" w:rsidRPr="00313F32">
        <w:rPr>
          <w:rFonts w:ascii="Times New Roman" w:eastAsia="Symbol" w:hAnsi="Times New Roman" w:cs="Times New Roman"/>
          <w:b/>
          <w:bCs/>
          <w:noProof/>
          <w:sz w:val="24"/>
          <w:szCs w:val="24"/>
          <w:lang w:val="en-IE"/>
        </w:rPr>
        <w:t>Finland</w:t>
      </w:r>
      <w:r w:rsidR="00EE330A" w:rsidRPr="00EE330A">
        <w:rPr>
          <w:rFonts w:ascii="Times New Roman" w:eastAsia="Symbol" w:hAnsi="Times New Roman" w:cs="Times New Roman"/>
          <w:noProof/>
          <w:sz w:val="24"/>
          <w:szCs w:val="24"/>
          <w:lang w:val="en-IE"/>
        </w:rPr>
        <w:t xml:space="preserve">, in </w:t>
      </w:r>
      <w:r>
        <w:rPr>
          <w:rFonts w:ascii="Times New Roman" w:eastAsia="Symbol" w:hAnsi="Times New Roman" w:cs="Times New Roman"/>
          <w:noProof/>
          <w:sz w:val="24"/>
          <w:szCs w:val="24"/>
          <w:lang w:val="en-IE"/>
        </w:rPr>
        <w:t>November 2023, an act entered into force</w:t>
      </w:r>
      <w:r w:rsidR="00EE330A" w:rsidRPr="00EE330A">
        <w:rPr>
          <w:rFonts w:ascii="Times New Roman" w:eastAsia="Symbol" w:hAnsi="Times New Roman" w:cs="Times New Roman"/>
          <w:noProof/>
          <w:sz w:val="24"/>
          <w:szCs w:val="24"/>
          <w:lang w:val="en-IE"/>
        </w:rPr>
        <w:t xml:space="preserve"> which aims to establish a transparency register. The purpose of the Act is to improve the transparency of decision-making and thereby prevent undue influence and to strengthen citizens’ trust. The Ministry of Justice is currently preparing to also update the Act on the Openness of Government Activities.  The Act lay</w:t>
      </w:r>
      <w:r w:rsidR="00E75669">
        <w:rPr>
          <w:rFonts w:ascii="Times New Roman" w:eastAsia="Symbol" w:hAnsi="Times New Roman" w:cs="Times New Roman"/>
          <w:noProof/>
          <w:sz w:val="24"/>
          <w:szCs w:val="24"/>
          <w:lang w:val="en-IE"/>
        </w:rPr>
        <w:t>s</w:t>
      </w:r>
      <w:r w:rsidR="00EE330A" w:rsidRPr="00EE330A">
        <w:rPr>
          <w:rFonts w:ascii="Times New Roman" w:eastAsia="Symbol" w:hAnsi="Times New Roman" w:cs="Times New Roman"/>
          <w:noProof/>
          <w:sz w:val="24"/>
          <w:szCs w:val="24"/>
          <w:lang w:val="en-IE"/>
        </w:rPr>
        <w:t xml:space="preserve"> down a registration obligation for private traders and legal persons engaged in advocacy activities and related advice as a business. </w:t>
      </w:r>
      <w:r w:rsidR="0005333A" w:rsidRPr="00532C20">
        <w:rPr>
          <w:rFonts w:ascii="Times New Roman" w:eastAsia="Symbol" w:hAnsi="Times New Roman" w:cs="Times New Roman"/>
          <w:noProof/>
          <w:sz w:val="24"/>
          <w:szCs w:val="24"/>
          <w:lang w:val="en-IE"/>
        </w:rPr>
        <w:t xml:space="preserve"> </w:t>
      </w:r>
      <w:r w:rsidR="00943DAF">
        <w:rPr>
          <w:rFonts w:ascii="Times New Roman" w:eastAsia="Symbol" w:hAnsi="Times New Roman" w:cs="Times New Roman"/>
          <w:noProof/>
          <w:sz w:val="24"/>
          <w:szCs w:val="24"/>
          <w:lang w:val="en-IE"/>
        </w:rPr>
        <w:t>Besides that, t</w:t>
      </w:r>
      <w:r w:rsidR="00EE330A">
        <w:rPr>
          <w:rFonts w:ascii="Times New Roman" w:eastAsia="Symbol" w:hAnsi="Times New Roman" w:cs="Times New Roman"/>
          <w:noProof/>
          <w:sz w:val="24"/>
          <w:szCs w:val="24"/>
          <w:lang w:val="en-IE"/>
        </w:rPr>
        <w:t xml:space="preserve">nterest representation is </w:t>
      </w:r>
      <w:r w:rsidR="0005333A" w:rsidRPr="00532C20">
        <w:rPr>
          <w:rFonts w:ascii="Times New Roman" w:eastAsia="Symbol" w:hAnsi="Times New Roman" w:cs="Times New Roman"/>
          <w:noProof/>
          <w:sz w:val="24"/>
          <w:szCs w:val="24"/>
          <w:lang w:val="en-IE"/>
        </w:rPr>
        <w:t xml:space="preserve">currently </w:t>
      </w:r>
      <w:r w:rsidR="00EE330A">
        <w:rPr>
          <w:rFonts w:ascii="Times New Roman" w:eastAsia="Symbol" w:hAnsi="Times New Roman" w:cs="Times New Roman"/>
          <w:noProof/>
          <w:sz w:val="24"/>
          <w:szCs w:val="24"/>
          <w:lang w:val="en-IE"/>
        </w:rPr>
        <w:t xml:space="preserve">indirectly </w:t>
      </w:r>
      <w:r w:rsidR="0005333A" w:rsidRPr="00532C20">
        <w:rPr>
          <w:rFonts w:ascii="Times New Roman" w:eastAsia="Symbol" w:hAnsi="Times New Roman" w:cs="Times New Roman"/>
          <w:noProof/>
          <w:sz w:val="24"/>
          <w:szCs w:val="24"/>
          <w:lang w:val="en-IE"/>
        </w:rPr>
        <w:t>regulated to some extent based on general legislation</w:t>
      </w:r>
      <w:r w:rsidR="0005333A" w:rsidRPr="00532C20">
        <w:rPr>
          <w:rFonts w:ascii="Times New Roman" w:eastAsia="Symbol" w:hAnsi="Times New Roman" w:cs="Times New Roman"/>
          <w:noProof/>
          <w:sz w:val="24"/>
          <w:szCs w:val="24"/>
          <w:vertAlign w:val="superscript"/>
          <w:lang w:val="en-IE"/>
        </w:rPr>
        <w:footnoteReference w:id="276"/>
      </w:r>
      <w:r w:rsidR="0005333A" w:rsidRPr="00532C20">
        <w:rPr>
          <w:rFonts w:ascii="Times New Roman" w:eastAsia="Symbol" w:hAnsi="Times New Roman" w:cs="Times New Roman"/>
          <w:noProof/>
          <w:sz w:val="24"/>
          <w:szCs w:val="24"/>
          <w:lang w:val="en-IE"/>
        </w:rPr>
        <w:t>. Particularly, provisions on administrative transparency are mainly laid down in the Act on the Openness of Government Activities. Pursuant to this Act, a public authority must, on request, provide information on public documents in its possession and, in some cases, proactively communicate them. In some cases, letters and e-mails sent and received by ministers, their political assistants and ministry officials may contain informal influence and, as documents held by public authorities, fall within the scope of the Act on the Openness of Government Activities unless they are internal work between civil servants.</w:t>
      </w:r>
    </w:p>
    <w:p w14:paraId="3337D0BA"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A registration requirement exists also in </w:t>
      </w:r>
      <w:r w:rsidRPr="00532C20">
        <w:rPr>
          <w:rFonts w:ascii="Times New Roman" w:eastAsia="Symbol" w:hAnsi="Times New Roman" w:cs="Times New Roman"/>
          <w:b/>
          <w:noProof/>
          <w:sz w:val="24"/>
          <w:szCs w:val="24"/>
          <w:lang w:val="en-IE"/>
        </w:rPr>
        <w:t>France</w:t>
      </w:r>
      <w:r w:rsidRPr="00532C20">
        <w:rPr>
          <w:rFonts w:ascii="Times New Roman" w:eastAsia="Symbol" w:hAnsi="Times New Roman" w:cs="Times New Roman"/>
          <w:noProof/>
          <w:sz w:val="24"/>
          <w:szCs w:val="24"/>
          <w:lang w:val="en-IE"/>
        </w:rPr>
        <w:t>, where, inter alia, interest representatives have to provide information on the resources devoted to interest representation activities. This platform is the Directory of the High Authority for the Transparency of Public Life (HATVP).</w:t>
      </w:r>
    </w:p>
    <w:p w14:paraId="7F4F34A7"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A requirement to register with the Lobby Register exists also in </w:t>
      </w:r>
      <w:r w:rsidRPr="00532C20">
        <w:rPr>
          <w:rFonts w:ascii="Times New Roman" w:eastAsia="Symbol" w:hAnsi="Times New Roman" w:cs="Times New Roman"/>
          <w:b/>
          <w:bCs/>
          <w:noProof/>
          <w:sz w:val="24"/>
          <w:szCs w:val="24"/>
          <w:lang w:val="en-IE"/>
        </w:rPr>
        <w:t>Germany</w:t>
      </w:r>
      <w:r w:rsidRPr="00532C20">
        <w:rPr>
          <w:rFonts w:ascii="Times New Roman" w:eastAsia="Symbol" w:hAnsi="Times New Roman" w:cs="Times New Roman"/>
          <w:noProof/>
          <w:sz w:val="24"/>
          <w:szCs w:val="24"/>
          <w:lang w:val="en-IE"/>
        </w:rPr>
        <w:t>. Registration is mandatory only for those lobbyists who are contacting representatives of the German Bundestag and/or German Federal government. In addition to the mandatory requirement of registration, the Lobby Register Act</w:t>
      </w:r>
      <w:r w:rsidRPr="00532C20">
        <w:rPr>
          <w:rFonts w:ascii="Times New Roman" w:eastAsia="Symbol" w:hAnsi="Times New Roman" w:cs="Times New Roman"/>
          <w:noProof/>
          <w:sz w:val="24"/>
          <w:szCs w:val="24"/>
          <w:vertAlign w:val="superscript"/>
          <w:lang w:val="en-IE"/>
        </w:rPr>
        <w:footnoteReference w:id="277"/>
      </w:r>
      <w:r w:rsidRPr="00532C20">
        <w:rPr>
          <w:rFonts w:ascii="Times New Roman" w:eastAsia="Symbol" w:hAnsi="Times New Roman" w:cs="Times New Roman"/>
          <w:noProof/>
          <w:sz w:val="24"/>
          <w:szCs w:val="24"/>
          <w:lang w:val="en-IE"/>
        </w:rPr>
        <w:t xml:space="preserve"> contains a long list of those who may register voluntarily. In addition, the entry into the Bundestag is limited for lobbyists: for instance, only the registered lobbyists with up-to-date data on the Register have the possibility to participate in public hearings of committees as respondents. The provision of incorrect or incomplete information at registration, the failure to register in time and the failure to update the information are offences punishable by a fine. Notably, to ensure transparency in every contact with representatives of the German Bundestag or Federal government, in addition to disclosing their (or their principal’s) identity and request when interacting with the abovementioned public officials, lobbyists must indicate that they are registered in the lobby register and name the code of conduct on the basis of which they act.</w:t>
      </w:r>
    </w:p>
    <w:p w14:paraId="1CA3D6A4"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noProof/>
          <w:sz w:val="24"/>
          <w:szCs w:val="24"/>
          <w:lang w:val="en-IE"/>
        </w:rPr>
        <w:t>Greece</w:t>
      </w:r>
      <w:r w:rsidRPr="00532C20">
        <w:rPr>
          <w:rFonts w:ascii="Times New Roman" w:eastAsia="Symbol" w:hAnsi="Times New Roman" w:cs="Times New Roman"/>
          <w:noProof/>
          <w:sz w:val="24"/>
          <w:szCs w:val="24"/>
          <w:lang w:val="en-IE"/>
        </w:rPr>
        <w:t>, there is an obligation for lobbyists to register with the National Transparency Authority’s (NTA) Register. The NTA has the power to conduct audits, adopt a code of conduct for the registered lobbyists, and investigate any complaints for potential violations. In case of violation, the NTA has the power to impose sanctions ranging from corrective action notices, to fines from EUR 5,000-20,000 or even suspension of the right to exercise lobbying activities and temporary/permanent exclusion from the Register.</w:t>
      </w:r>
    </w:p>
    <w:p w14:paraId="546E21AD" w14:textId="6EB614A1"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bCs/>
          <w:noProof/>
          <w:sz w:val="24"/>
          <w:szCs w:val="24"/>
          <w:lang w:val="en-IE"/>
        </w:rPr>
        <w:t>Hungary</w:t>
      </w:r>
      <w:r w:rsidRPr="00532C20">
        <w:rPr>
          <w:rFonts w:ascii="Times New Roman" w:eastAsia="Symbol" w:hAnsi="Times New Roman" w:cs="Times New Roman"/>
          <w:noProof/>
          <w:sz w:val="24"/>
          <w:szCs w:val="24"/>
          <w:lang w:val="en-IE"/>
        </w:rPr>
        <w:t xml:space="preserve">, the sector was regulated by Act XLIX of 2006 on lobbying (which included provisions on a lobbying register). This was repealed and replaced in 2010 by </w:t>
      </w:r>
      <w:bookmarkStart w:id="1182" w:name="_Hlk147760248"/>
      <w:r w:rsidRPr="00532C20">
        <w:rPr>
          <w:rFonts w:ascii="Times New Roman" w:eastAsia="Symbol" w:hAnsi="Times New Roman" w:cs="Times New Roman"/>
          <w:noProof/>
          <w:sz w:val="24"/>
          <w:szCs w:val="24"/>
          <w:lang w:val="en-IE"/>
        </w:rPr>
        <w:t>Act CXXXI on public participation in the preparation of legislation</w:t>
      </w:r>
      <w:bookmarkEnd w:id="1182"/>
      <w:r w:rsidRPr="00532C20">
        <w:rPr>
          <w:rFonts w:ascii="Times New Roman" w:eastAsia="Symbol" w:hAnsi="Times New Roman" w:cs="Times New Roman"/>
          <w:noProof/>
          <w:sz w:val="24"/>
          <w:szCs w:val="24"/>
          <w:vertAlign w:val="superscript"/>
          <w:lang w:val="en-IE"/>
        </w:rPr>
        <w:footnoteReference w:id="278"/>
      </w:r>
      <w:r w:rsidRPr="00532C20">
        <w:rPr>
          <w:rFonts w:ascii="Times New Roman" w:eastAsia="Symbol" w:hAnsi="Times New Roman" w:cs="Times New Roman"/>
          <w:noProof/>
          <w:sz w:val="24"/>
          <w:szCs w:val="24"/>
          <w:lang w:val="en-IE"/>
        </w:rPr>
        <w:t>. The act regulates ‘direct negotiations’. In this framework, the minister creates ‘strategic partnerships’ with organisations ready to provide reciprocal cooperation and which represent wider social interests. According to this act, the existence of such strategic partnerships must be public, while the written opinions/views of strategic partner organisations must be made public only to the parliamentary committee responsible for the legislative proposal, if the committee requests it. Furthermore, a memo including the views of the strategic partner must be made for in-person negotiations with strategic partners. These memos must be published on the website operated by the Minister of Justice. Nevertheless,</w:t>
      </w:r>
      <w:r w:rsidR="002C3E97">
        <w:rPr>
          <w:rFonts w:ascii="Times New Roman" w:eastAsia="Symbol" w:hAnsi="Times New Roman" w:cs="Times New Roman"/>
          <w:noProof/>
          <w:sz w:val="24"/>
          <w:szCs w:val="24"/>
          <w:lang w:val="en-IE"/>
        </w:rPr>
        <w:t xml:space="preserve"> interest representation carried out on behalf of third countries</w:t>
      </w:r>
      <w:r w:rsidRPr="00532C20">
        <w:rPr>
          <w:rFonts w:ascii="Times New Roman" w:eastAsia="Symbol" w:hAnsi="Times New Roman" w:cs="Times New Roman"/>
          <w:noProof/>
          <w:sz w:val="24"/>
          <w:szCs w:val="24"/>
          <w:lang w:val="en-IE"/>
        </w:rPr>
        <w:t xml:space="preserve"> is not mentioned in this act.</w:t>
      </w:r>
    </w:p>
    <w:p w14:paraId="200ECA5C" w14:textId="20C0BF66"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bCs/>
          <w:noProof/>
          <w:sz w:val="24"/>
          <w:szCs w:val="24"/>
          <w:lang w:val="en-IE"/>
        </w:rPr>
        <w:t>Ireland</w:t>
      </w:r>
      <w:r w:rsidRPr="00532C20">
        <w:rPr>
          <w:rFonts w:ascii="Times New Roman" w:eastAsia="Symbol" w:hAnsi="Times New Roman" w:cs="Times New Roman"/>
          <w:noProof/>
          <w:sz w:val="24"/>
          <w:szCs w:val="24"/>
          <w:lang w:val="en-IE"/>
        </w:rPr>
        <w:t>, the relevant legislation</w:t>
      </w:r>
      <w:r w:rsidRPr="00532C20">
        <w:rPr>
          <w:rFonts w:ascii="Times New Roman" w:eastAsia="Symbol" w:hAnsi="Times New Roman" w:cs="Times New Roman"/>
          <w:noProof/>
          <w:sz w:val="24"/>
          <w:szCs w:val="24"/>
          <w:vertAlign w:val="superscript"/>
          <w:lang w:val="en-IE"/>
        </w:rPr>
        <w:footnoteReference w:id="279"/>
      </w:r>
      <w:r w:rsidRPr="00532C20">
        <w:rPr>
          <w:rFonts w:ascii="Times New Roman" w:eastAsia="Symbol" w:hAnsi="Times New Roman" w:cs="Times New Roman"/>
          <w:noProof/>
          <w:sz w:val="24"/>
          <w:szCs w:val="24"/>
          <w:lang w:val="en-IE"/>
        </w:rPr>
        <w:t xml:space="preserve"> does not explicitly specify whether it is applicable to cases of foreign lobbying. Nonetheless, it should be noted that “communications by or on behalf of a country or territory other than the State” are “excepted communications” (i.e. are not deemed lobbying activities). The main gap left by the Act is the lack of regulation over the lobbying of Irish public officials taking place outside of Ireland</w:t>
      </w:r>
      <w:r w:rsidRPr="00532C20">
        <w:rPr>
          <w:rFonts w:ascii="Times New Roman" w:eastAsia="Symbol" w:hAnsi="Times New Roman" w:cs="Times New Roman"/>
          <w:noProof/>
          <w:sz w:val="24"/>
          <w:szCs w:val="24"/>
          <w:vertAlign w:val="superscript"/>
          <w:lang w:val="en-IE"/>
        </w:rPr>
        <w:footnoteReference w:id="280"/>
      </w:r>
      <w:r w:rsidRPr="00532C20">
        <w:rPr>
          <w:rFonts w:ascii="Times New Roman" w:eastAsia="Symbol" w:hAnsi="Times New Roman" w:cs="Times New Roman"/>
          <w:noProof/>
          <w:sz w:val="24"/>
          <w:szCs w:val="24"/>
          <w:lang w:val="en-IE"/>
        </w:rPr>
        <w:t>. Similarly to the abovementioned Member States, Ireland also has a Register of Lobbying, where lobbyists are obliged to register before carrying out lobbying activities.</w:t>
      </w:r>
    </w:p>
    <w:p w14:paraId="7275DD19"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The Register is available free of charge on a website (save for personal data) maintained or used by the Standards in Public Office Commission (SIPO), which establishes and maintains the Register. According to an interview conducted with SIPO, the system works with 2,400 registrants at the moment.</w:t>
      </w:r>
    </w:p>
    <w:p w14:paraId="2EAFF255"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In addition, under the Lobbying Act of 2015, the following are considered offences:</w:t>
      </w:r>
    </w:p>
    <w:p w14:paraId="2EF0703C" w14:textId="447EA1E0" w:rsidR="0005333A" w:rsidRPr="00532C20" w:rsidRDefault="0005333A" w:rsidP="008404A1">
      <w:pPr>
        <w:pStyle w:val="ListParagraph"/>
        <w:numPr>
          <w:ilvl w:val="0"/>
          <w:numId w:val="87"/>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Failing to register as a lobbyist</w:t>
      </w:r>
      <w:r w:rsidR="001848C6" w:rsidRPr="00532C20">
        <w:rPr>
          <w:rFonts w:ascii="Times New Roman" w:eastAsia="Symbol" w:hAnsi="Times New Roman" w:cs="Times New Roman"/>
          <w:noProof/>
          <w:lang w:val="en-IE"/>
        </w:rPr>
        <w:t>;</w:t>
      </w:r>
    </w:p>
    <w:p w14:paraId="590E80F7" w14:textId="4090A980" w:rsidR="0005333A" w:rsidRPr="00532C20" w:rsidRDefault="0005333A" w:rsidP="008404A1">
      <w:pPr>
        <w:pStyle w:val="ListParagraph"/>
        <w:numPr>
          <w:ilvl w:val="0"/>
          <w:numId w:val="87"/>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 xml:space="preserve">Failing to make a return by the </w:t>
      </w:r>
      <w:r w:rsidR="001848C6" w:rsidRPr="00532C20">
        <w:rPr>
          <w:rFonts w:ascii="Times New Roman" w:eastAsia="Symbol" w:hAnsi="Times New Roman" w:cs="Times New Roman"/>
          <w:noProof/>
          <w:lang w:val="en-IE"/>
        </w:rPr>
        <w:t>d</w:t>
      </w:r>
      <w:r w:rsidRPr="00532C20">
        <w:rPr>
          <w:rFonts w:ascii="Times New Roman" w:eastAsia="Symbol" w:hAnsi="Times New Roman" w:cs="Times New Roman"/>
          <w:noProof/>
          <w:lang w:val="en-IE"/>
        </w:rPr>
        <w:t>eadline</w:t>
      </w:r>
      <w:r w:rsidR="001848C6" w:rsidRPr="00532C20">
        <w:rPr>
          <w:rFonts w:ascii="Times New Roman" w:eastAsia="Symbol" w:hAnsi="Times New Roman" w:cs="Times New Roman"/>
          <w:noProof/>
          <w:lang w:val="en-IE"/>
        </w:rPr>
        <w:t>;</w:t>
      </w:r>
    </w:p>
    <w:p w14:paraId="1C767566" w14:textId="08C36626" w:rsidR="0005333A" w:rsidRPr="00532C20" w:rsidRDefault="0005333A" w:rsidP="008404A1">
      <w:pPr>
        <w:pStyle w:val="ListParagraph"/>
        <w:numPr>
          <w:ilvl w:val="0"/>
          <w:numId w:val="87"/>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Providing SIPO with inaccurate or misleading information</w:t>
      </w:r>
      <w:r w:rsidR="001848C6" w:rsidRPr="00532C20">
        <w:rPr>
          <w:rFonts w:ascii="Times New Roman" w:eastAsia="Symbol" w:hAnsi="Times New Roman" w:cs="Times New Roman"/>
          <w:noProof/>
          <w:lang w:val="en-IE"/>
        </w:rPr>
        <w:t>;</w:t>
      </w:r>
    </w:p>
    <w:p w14:paraId="07829297" w14:textId="4B3280B1" w:rsidR="0005333A" w:rsidRPr="00532C20" w:rsidRDefault="0005333A" w:rsidP="008404A1">
      <w:pPr>
        <w:pStyle w:val="ListParagraph"/>
        <w:numPr>
          <w:ilvl w:val="0"/>
          <w:numId w:val="87"/>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Failing to co-operate with an officer who is investigating possible contraventions</w:t>
      </w:r>
      <w:r w:rsidR="001848C6" w:rsidRPr="00532C20">
        <w:rPr>
          <w:rFonts w:ascii="Times New Roman" w:eastAsia="Symbol" w:hAnsi="Times New Roman" w:cs="Times New Roman"/>
          <w:noProof/>
          <w:lang w:val="en-IE"/>
        </w:rPr>
        <w:t>;</w:t>
      </w:r>
    </w:p>
    <w:p w14:paraId="373E57BD" w14:textId="6B7FEBAD" w:rsidR="0005333A" w:rsidRPr="00532C20" w:rsidRDefault="0005333A" w:rsidP="008404A1">
      <w:pPr>
        <w:pStyle w:val="ListParagraph"/>
        <w:numPr>
          <w:ilvl w:val="0"/>
          <w:numId w:val="87"/>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Obstructing an investigation</w:t>
      </w:r>
      <w:r w:rsidR="001848C6" w:rsidRPr="00532C20">
        <w:rPr>
          <w:rFonts w:ascii="Times New Roman" w:eastAsia="Symbol" w:hAnsi="Times New Roman" w:cs="Times New Roman"/>
          <w:noProof/>
          <w:lang w:val="en-IE"/>
        </w:rPr>
        <w:t>;</w:t>
      </w:r>
    </w:p>
    <w:p w14:paraId="6DB8BFEE" w14:textId="77777777" w:rsidR="0005333A" w:rsidRPr="00532C20" w:rsidRDefault="0005333A" w:rsidP="008404A1">
      <w:pPr>
        <w:pStyle w:val="ListParagraph"/>
        <w:numPr>
          <w:ilvl w:val="0"/>
          <w:numId w:val="87"/>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Committing these offences can result in a fine or imprisonment of up to 2 years.</w:t>
      </w:r>
    </w:p>
    <w:p w14:paraId="3DEAE97E" w14:textId="7B85BF30"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The </w:t>
      </w:r>
      <w:r w:rsidRPr="00532C20">
        <w:rPr>
          <w:rFonts w:ascii="Times New Roman" w:eastAsia="Symbol" w:hAnsi="Times New Roman" w:cs="Times New Roman"/>
          <w:b/>
          <w:bCs/>
          <w:noProof/>
          <w:sz w:val="24"/>
          <w:szCs w:val="24"/>
          <w:lang w:val="en-IE"/>
        </w:rPr>
        <w:t xml:space="preserve">Lithuanian </w:t>
      </w:r>
      <w:r w:rsidRPr="00532C20">
        <w:rPr>
          <w:rFonts w:ascii="Times New Roman" w:eastAsia="Symbol" w:hAnsi="Times New Roman" w:cs="Times New Roman"/>
          <w:noProof/>
          <w:sz w:val="24"/>
          <w:szCs w:val="24"/>
          <w:lang w:val="en-IE"/>
        </w:rPr>
        <w:t>legislation</w:t>
      </w:r>
      <w:r w:rsidRPr="00532C20">
        <w:rPr>
          <w:rFonts w:ascii="Times New Roman" w:eastAsia="Symbol" w:hAnsi="Times New Roman" w:cs="Times New Roman"/>
          <w:noProof/>
          <w:sz w:val="24"/>
          <w:szCs w:val="24"/>
          <w:vertAlign w:val="superscript"/>
          <w:lang w:val="en-IE"/>
        </w:rPr>
        <w:footnoteReference w:id="281"/>
      </w:r>
      <w:r w:rsidRPr="00532C20">
        <w:rPr>
          <w:rFonts w:ascii="Times New Roman" w:eastAsia="Symbol" w:hAnsi="Times New Roman" w:cs="Times New Roman"/>
          <w:noProof/>
          <w:sz w:val="24"/>
          <w:szCs w:val="24"/>
          <w:lang w:val="en-IE"/>
        </w:rPr>
        <w:t xml:space="preserve"> contains general restrictions on lobbying (albeit not specifically on foreign lobbying). Particularly, only persons on the List of Lobbyists shall have the right to carry out lobbying activities. Moreover, a lobbyist shall declare lobbying activities by submitting a declaration of transparent legislative processes for each draft legal act. Therefore, lobbying activities shall be considered illegal if (i) a lobbyist has failed to declare lobbying activities or (ii) a person, who is not on the List of Lobbyists, carries out lobbying activities. The Register is available publicly (in Lithuanian) on the website of the Chief Official Ethics Commission. Lobbying activities in violation of the requirements of the Law on Lobbying Activities shall be punishable by a fine of EUR 1</w:t>
      </w:r>
      <w:r w:rsidR="00D06711">
        <w:rPr>
          <w:rFonts w:ascii="Times New Roman" w:eastAsia="Symbol" w:hAnsi="Times New Roman" w:cs="Times New Roman"/>
          <w:noProof/>
          <w:sz w:val="24"/>
          <w:szCs w:val="24"/>
          <w:lang w:val="en-IE"/>
        </w:rPr>
        <w:t>00</w:t>
      </w:r>
      <w:r w:rsidRPr="00532C20">
        <w:rPr>
          <w:rFonts w:ascii="Times New Roman" w:eastAsia="Symbol" w:hAnsi="Times New Roman" w:cs="Times New Roman"/>
          <w:noProof/>
          <w:sz w:val="24"/>
          <w:szCs w:val="24"/>
          <w:lang w:val="en-IE"/>
        </w:rPr>
        <w:t>0-</w:t>
      </w:r>
      <w:r w:rsidR="00D06711">
        <w:rPr>
          <w:rFonts w:ascii="Times New Roman" w:eastAsia="Symbol" w:hAnsi="Times New Roman" w:cs="Times New Roman"/>
          <w:noProof/>
          <w:sz w:val="24"/>
          <w:szCs w:val="24"/>
          <w:lang w:val="en-IE"/>
        </w:rPr>
        <w:t>45</w:t>
      </w:r>
      <w:r w:rsidRPr="00532C20">
        <w:rPr>
          <w:rFonts w:ascii="Times New Roman" w:eastAsia="Symbol" w:hAnsi="Times New Roman" w:cs="Times New Roman"/>
          <w:noProof/>
          <w:sz w:val="24"/>
          <w:szCs w:val="24"/>
          <w:lang w:val="en-IE"/>
        </w:rPr>
        <w:t>00</w:t>
      </w:r>
      <w:r w:rsidR="00D06711">
        <w:rPr>
          <w:rStyle w:val="FootnoteReference"/>
          <w:rFonts w:ascii="Times New Roman" w:eastAsia="Symbol" w:hAnsi="Times New Roman" w:cs="Times New Roman"/>
          <w:noProof/>
          <w:sz w:val="24"/>
          <w:szCs w:val="24"/>
          <w:lang w:val="en-IE"/>
        </w:rPr>
        <w:footnoteReference w:id="282"/>
      </w:r>
      <w:r w:rsidRPr="00532C20">
        <w:rPr>
          <w:rFonts w:ascii="Times New Roman" w:eastAsia="Symbol" w:hAnsi="Times New Roman" w:cs="Times New Roman"/>
          <w:noProof/>
          <w:sz w:val="24"/>
          <w:szCs w:val="24"/>
          <w:lang w:val="en-IE"/>
        </w:rPr>
        <w:t>.</w:t>
      </w:r>
    </w:p>
    <w:p w14:paraId="780C5C7D"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noProof/>
          <w:sz w:val="24"/>
          <w:szCs w:val="24"/>
          <w:lang w:val="en-IE"/>
        </w:rPr>
        <w:t>Luxembourg</w:t>
      </w:r>
      <w:r w:rsidRPr="00532C20">
        <w:rPr>
          <w:rFonts w:ascii="Times New Roman" w:eastAsia="Symbol" w:hAnsi="Times New Roman" w:cs="Times New Roman"/>
          <w:noProof/>
          <w:sz w:val="24"/>
          <w:szCs w:val="24"/>
          <w:lang w:val="en-IE"/>
        </w:rPr>
        <w:t>, any legal or natural person representing a third party or mandated by a third party and acting on behalf of the latter or for himself or herself wishing to contact Members with a view to influencing in any way their legislative work or the decision-making process of the Chamber of Deputies (Lower House of the Parliament) must, prior to any organised contact, register on the transparency register which is published on the Chamber’s website (available to the public). Without such registration, there can be no organised contact with Members to influence their legislative work or the decision-making process of the Lower House.</w:t>
      </w:r>
    </w:p>
    <w:p w14:paraId="0D451FD3"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While there is no specific legislation on lobbying in </w:t>
      </w:r>
      <w:r w:rsidRPr="00532C20">
        <w:rPr>
          <w:rFonts w:ascii="Times New Roman" w:eastAsia="Symbol" w:hAnsi="Times New Roman" w:cs="Times New Roman"/>
          <w:b/>
          <w:noProof/>
          <w:sz w:val="24"/>
          <w:szCs w:val="24"/>
          <w:lang w:val="en-IE"/>
        </w:rPr>
        <w:t>Malta</w:t>
      </w:r>
      <w:r w:rsidRPr="00532C20">
        <w:rPr>
          <w:rFonts w:ascii="Times New Roman" w:eastAsia="Symbol" w:hAnsi="Times New Roman" w:cs="Times New Roman"/>
          <w:noProof/>
          <w:sz w:val="24"/>
          <w:szCs w:val="24"/>
          <w:lang w:val="en-IE"/>
        </w:rPr>
        <w:t>, relevant provisions can be found in various laws. Trading in influence is a criminal offence under Article 121A of the Criminal Code. Moreover, the General Elections Act expressly provides for undue influence as one type of corrupt practice under the Act. The Standards in Public Life Act provides for the appointment of a Commissioner for Standards in Public Life and a Standing Committee on Standards in Public Life with power to investigate breaches of statutory or ethical duties of categories of persons in public life matters. The Act applies to members of the House of Representatives including Ministers, Parliamentary Secretaries and Parliamentary Assistants and ‘persons of trust’ (Article 3(1) of the Act). A ‘person of trust’ is defined in Article 2 of the Act as: any employee or person engaged directly from outside the public service and the public sector to act as consultant or staff in the private secretariat of a Minister or a Parliamentary Secretary; or a person engaged when a post remains vacant following repetitive public calls for engagement; or a person who has been engaged by a Minister or Parliamentary Secretary as a person of trust.</w:t>
      </w:r>
    </w:p>
    <w:p w14:paraId="2FE2913C"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noProof/>
          <w:sz w:val="24"/>
          <w:szCs w:val="24"/>
          <w:lang w:val="en-IE"/>
        </w:rPr>
        <w:t>Poland</w:t>
      </w:r>
      <w:r w:rsidRPr="00532C20">
        <w:rPr>
          <w:rFonts w:ascii="Times New Roman" w:eastAsia="Symbol" w:hAnsi="Times New Roman" w:cs="Times New Roman"/>
          <w:noProof/>
          <w:sz w:val="24"/>
          <w:szCs w:val="24"/>
          <w:lang w:val="en-IE"/>
        </w:rPr>
        <w:t>, the Exercise of Legislative Initiative by Citizens Act stipulates that a committee may not cover the expenses related to the exercise of a legislative initiative with funds (and, accordingly, non-monetary values) coming from:</w:t>
      </w:r>
    </w:p>
    <w:p w14:paraId="21EA6B63" w14:textId="4A2A5710" w:rsidR="0005333A" w:rsidRPr="00532C20" w:rsidRDefault="0005333A" w:rsidP="008404A1">
      <w:pPr>
        <w:pStyle w:val="ListParagraph"/>
        <w:numPr>
          <w:ilvl w:val="0"/>
          <w:numId w:val="88"/>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natural persons not residing in the territory of the Republic of Poland, excluding Polish citizens residing abroad</w:t>
      </w:r>
      <w:r w:rsidR="00D00D7D" w:rsidRPr="00532C20">
        <w:rPr>
          <w:rFonts w:ascii="Times New Roman" w:eastAsia="Symbol" w:hAnsi="Times New Roman" w:cs="Times New Roman"/>
          <w:noProof/>
          <w:lang w:val="en-IE"/>
        </w:rPr>
        <w:t>;</w:t>
      </w:r>
    </w:p>
    <w:p w14:paraId="39267E78" w14:textId="555AE5AA" w:rsidR="0005333A" w:rsidRPr="00532C20" w:rsidRDefault="0005333A" w:rsidP="008404A1">
      <w:pPr>
        <w:pStyle w:val="ListParagraph"/>
        <w:numPr>
          <w:ilvl w:val="0"/>
          <w:numId w:val="88"/>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foreigners residing in the territory of the Republic of Poland</w:t>
      </w:r>
      <w:r w:rsidR="00D00D7D" w:rsidRPr="00532C20">
        <w:rPr>
          <w:rFonts w:ascii="Times New Roman" w:eastAsia="Symbol" w:hAnsi="Times New Roman" w:cs="Times New Roman"/>
          <w:noProof/>
          <w:lang w:val="en-IE"/>
        </w:rPr>
        <w:t>;</w:t>
      </w:r>
    </w:p>
    <w:p w14:paraId="14CEA2B4" w14:textId="1B299755" w:rsidR="0005333A" w:rsidRPr="00532C20" w:rsidRDefault="0005333A" w:rsidP="008404A1">
      <w:pPr>
        <w:pStyle w:val="ListParagraph"/>
        <w:numPr>
          <w:ilvl w:val="0"/>
          <w:numId w:val="88"/>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legal persons not residing in the territory of the Republic of Poland</w:t>
      </w:r>
      <w:r w:rsidR="00D00D7D" w:rsidRPr="00532C20">
        <w:rPr>
          <w:rFonts w:ascii="Times New Roman" w:eastAsia="Symbol" w:hAnsi="Times New Roman" w:cs="Times New Roman"/>
          <w:noProof/>
          <w:lang w:val="en-IE"/>
        </w:rPr>
        <w:t>;</w:t>
      </w:r>
    </w:p>
    <w:p w14:paraId="56449673" w14:textId="259F52ED" w:rsidR="0005333A" w:rsidRPr="00532C20" w:rsidRDefault="0005333A" w:rsidP="008404A1">
      <w:pPr>
        <w:pStyle w:val="ListParagraph"/>
        <w:numPr>
          <w:ilvl w:val="0"/>
          <w:numId w:val="88"/>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other entities not domiciled in the Republic of Poland, capable of undertaking obligations and acquiring rights on their own behalf</w:t>
      </w:r>
      <w:r w:rsidR="00D00D7D" w:rsidRPr="00532C20">
        <w:rPr>
          <w:rFonts w:ascii="Times New Roman" w:eastAsia="Symbol" w:hAnsi="Times New Roman" w:cs="Times New Roman"/>
          <w:noProof/>
          <w:lang w:val="en-IE"/>
        </w:rPr>
        <w:t>;</w:t>
      </w:r>
    </w:p>
    <w:p w14:paraId="204CA96C" w14:textId="6C3D06AB" w:rsidR="0005333A" w:rsidRPr="00532C20" w:rsidRDefault="0005333A" w:rsidP="008404A1">
      <w:pPr>
        <w:pStyle w:val="ListParagraph"/>
        <w:numPr>
          <w:ilvl w:val="0"/>
          <w:numId w:val="88"/>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legal persons with foreign participation</w:t>
      </w:r>
      <w:r w:rsidR="00D00D7D" w:rsidRPr="00532C20">
        <w:rPr>
          <w:rFonts w:ascii="Times New Roman" w:eastAsia="Symbol" w:hAnsi="Times New Roman" w:cs="Times New Roman"/>
          <w:noProof/>
          <w:lang w:val="en-IE"/>
        </w:rPr>
        <w:t>;</w:t>
      </w:r>
    </w:p>
    <w:p w14:paraId="380C6070" w14:textId="77777777" w:rsidR="0005333A" w:rsidRPr="00532C20" w:rsidRDefault="0005333A" w:rsidP="008404A1">
      <w:pPr>
        <w:pStyle w:val="ListParagraph"/>
        <w:numPr>
          <w:ilvl w:val="0"/>
          <w:numId w:val="88"/>
        </w:numPr>
        <w:spacing w:before="12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foreign diplomatic representations, consular offices, special missions and international organisations, as well as other foreign representations enjoying diplomatic and consular immunities and privileges under agreements, laws or commonly established international customs.</w:t>
      </w:r>
    </w:p>
    <w:p w14:paraId="4DDC781C"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The Lobbying Act</w:t>
      </w:r>
      <w:r w:rsidRPr="00532C20">
        <w:rPr>
          <w:rFonts w:ascii="Times New Roman" w:eastAsia="Symbol" w:hAnsi="Times New Roman" w:cs="Times New Roman"/>
          <w:noProof/>
          <w:sz w:val="24"/>
          <w:szCs w:val="24"/>
          <w:vertAlign w:val="superscript"/>
          <w:lang w:val="en-IE"/>
        </w:rPr>
        <w:footnoteReference w:id="283"/>
      </w:r>
      <w:r w:rsidRPr="00532C20">
        <w:rPr>
          <w:rFonts w:ascii="Times New Roman" w:eastAsia="Symbol" w:hAnsi="Times New Roman" w:cs="Times New Roman"/>
          <w:noProof/>
          <w:sz w:val="24"/>
          <w:szCs w:val="24"/>
          <w:lang w:val="en-IE"/>
        </w:rPr>
        <w:t xml:space="preserve"> stipulates that a public register of entities performing professional lobbying activity is kept in the law-making process. Professional lobbying activity may be carried out after obtaining an entry in the register.</w:t>
      </w:r>
    </w:p>
    <w:p w14:paraId="1DF8B8B2" w14:textId="7C35AD4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noProof/>
          <w:sz w:val="24"/>
          <w:szCs w:val="24"/>
          <w:lang w:val="en-IE"/>
        </w:rPr>
        <w:t>Romania</w:t>
      </w:r>
      <w:r w:rsidRPr="00532C20">
        <w:rPr>
          <w:rFonts w:ascii="Times New Roman" w:eastAsia="Symbol" w:hAnsi="Times New Roman" w:cs="Times New Roman"/>
          <w:noProof/>
          <w:sz w:val="24"/>
          <w:szCs w:val="24"/>
          <w:lang w:val="en-IE"/>
        </w:rPr>
        <w:t>, there is secondary legislation concerning lobbying. Particularly, there are minimum transparency rules concerning the recommended framework of cooperation between decision-makers at the level of central and local public administration authorities and interested persons in civil society and specialized groups for the purpose of promoting public policy initiatives. In addition, the Sole Register of Interests Transparency (Registrul unic al transparenţei intereselor, RUTI) is the relevant transparency register for lobbying.</w:t>
      </w:r>
    </w:p>
    <w:p w14:paraId="69D23511"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noProof/>
          <w:sz w:val="24"/>
          <w:szCs w:val="24"/>
          <w:lang w:val="en-IE"/>
        </w:rPr>
        <w:t>Slovenia</w:t>
      </w:r>
      <w:r w:rsidRPr="00532C20">
        <w:rPr>
          <w:rFonts w:ascii="Times New Roman" w:eastAsia="Symbol" w:hAnsi="Times New Roman" w:cs="Times New Roman"/>
          <w:noProof/>
          <w:sz w:val="24"/>
          <w:szCs w:val="24"/>
          <w:lang w:val="en-IE"/>
        </w:rPr>
        <w:t>, lobbying is regulated by strict provisions in the Integrity and Prevention of Corruption Act. Foreign lobbying is allowed in Slovenia on the condition that the lobbyist is registered in the Register of Lobbyists. The Register is maintained by the Commission for the Prevention of Corruption. Notably, the persons lobbied may agree to have contact with the lobbyist only after verifying whether the lobbyist is entered in the register of lobbyists. If, during contact with a particular lobbyist, a conflict of interest arises on the part of the person lobbied, the person lobbied shall refuse any further contact with the lobbyist. At every contact with a lobbyist, the person lobbied shall make a record containing detailed information about the lobbyist.</w:t>
      </w:r>
    </w:p>
    <w:p w14:paraId="404AB40D" w14:textId="34908261"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Symbol" w:hAnsi="Times New Roman" w:cs="Times New Roman"/>
          <w:b/>
          <w:noProof/>
          <w:kern w:val="18"/>
          <w:sz w:val="24"/>
          <w:szCs w:val="24"/>
          <w:lang w:val="en-IE"/>
        </w:rPr>
        <w:t xml:space="preserve">Spain </w:t>
      </w:r>
      <w:r w:rsidRPr="00532C20">
        <w:rPr>
          <w:rFonts w:ascii="Times New Roman" w:eastAsia="Symbol" w:hAnsi="Times New Roman" w:cs="Times New Roman"/>
          <w:noProof/>
          <w:kern w:val="18"/>
          <w:sz w:val="24"/>
          <w:szCs w:val="24"/>
          <w:lang w:val="en-IE"/>
        </w:rPr>
        <w:t>does not currently have legislation at state level. However, at regional level, some Spanish regions have regional rules regulating the “activity of interest groups.”</w:t>
      </w:r>
    </w:p>
    <w:p w14:paraId="0CEA3FA0" w14:textId="77777777" w:rsidR="0005333A" w:rsidRPr="00532C20" w:rsidRDefault="0005333A" w:rsidP="00FF43A5">
      <w:pPr>
        <w:pStyle w:val="ListParagraph"/>
        <w:numPr>
          <w:ilvl w:val="1"/>
          <w:numId w:val="78"/>
        </w:numPr>
        <w:rPr>
          <w:rFonts w:eastAsia="Symbol" w:cs="Times New Roman"/>
          <w:b/>
          <w:noProof/>
          <w:kern w:val="18"/>
        </w:rPr>
      </w:pPr>
      <w:r w:rsidRPr="00532C20">
        <w:rPr>
          <w:rFonts w:ascii="Times New Roman" w:eastAsia="Symbol" w:hAnsi="Times New Roman" w:cs="Times New Roman"/>
          <w:b/>
          <w:bCs/>
          <w:noProof/>
          <w:u w:val="single"/>
          <w:lang w:val="en-IE"/>
        </w:rPr>
        <w:t>National obligations on intermediaries in the context of interest representation activities</w:t>
      </w:r>
    </w:p>
    <w:p w14:paraId="11979BFE" w14:textId="7CD17979"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There are no rules directly focused on the role of intermediaries in the context of lobbying. However,</w:t>
      </w:r>
      <w:r w:rsidRPr="00532C20" w:rsidDel="00CA1548">
        <w:rPr>
          <w:rFonts w:ascii="Times New Roman" w:eastAsia="Symbol" w:hAnsi="Times New Roman" w:cs="Times New Roman"/>
          <w:noProof/>
          <w:sz w:val="24"/>
          <w:szCs w:val="24"/>
          <w:lang w:val="en-IE"/>
        </w:rPr>
        <w:t xml:space="preserve"> </w:t>
      </w:r>
      <w:r w:rsidR="00CA1548" w:rsidRPr="00532C20">
        <w:rPr>
          <w:rFonts w:ascii="Times New Roman" w:eastAsia="Symbol" w:hAnsi="Times New Roman" w:cs="Times New Roman"/>
          <w:noProof/>
          <w:sz w:val="24"/>
          <w:szCs w:val="24"/>
          <w:lang w:val="en-IE"/>
        </w:rPr>
        <w:t>3</w:t>
      </w:r>
      <w:r w:rsidRPr="00532C20">
        <w:rPr>
          <w:rFonts w:ascii="Times New Roman" w:eastAsia="Symbol" w:hAnsi="Times New Roman" w:cs="Times New Roman"/>
          <w:noProof/>
          <w:sz w:val="24"/>
          <w:szCs w:val="24"/>
          <w:lang w:val="en-IE"/>
        </w:rPr>
        <w:t xml:space="preserve"> Member States’ laws (</w:t>
      </w:r>
      <w:r w:rsidRPr="00313F32">
        <w:rPr>
          <w:rFonts w:ascii="Times New Roman" w:eastAsia="Symbol" w:hAnsi="Times New Roman" w:cs="Times New Roman"/>
          <w:b/>
          <w:noProof/>
          <w:sz w:val="24"/>
          <w:szCs w:val="24"/>
          <w:lang w:val="en-IE"/>
        </w:rPr>
        <w:t xml:space="preserve">DE, </w:t>
      </w:r>
      <w:r w:rsidR="002E6836" w:rsidRPr="00313F32">
        <w:rPr>
          <w:rFonts w:ascii="Times New Roman" w:eastAsia="Symbol" w:hAnsi="Times New Roman" w:cs="Times New Roman"/>
          <w:b/>
          <w:noProof/>
          <w:sz w:val="24"/>
          <w:szCs w:val="24"/>
          <w:lang w:val="en-IE"/>
        </w:rPr>
        <w:t>IT</w:t>
      </w:r>
      <w:r w:rsidRPr="00313F32">
        <w:rPr>
          <w:rFonts w:ascii="Times New Roman" w:eastAsia="Symbol" w:hAnsi="Times New Roman" w:cs="Times New Roman"/>
          <w:b/>
          <w:noProof/>
          <w:sz w:val="24"/>
          <w:szCs w:val="24"/>
          <w:lang w:val="en-IE"/>
        </w:rPr>
        <w:t>, FI</w:t>
      </w:r>
      <w:r w:rsidRPr="00532C20">
        <w:rPr>
          <w:rFonts w:ascii="Times New Roman" w:eastAsia="Symbol" w:hAnsi="Times New Roman" w:cs="Times New Roman"/>
          <w:noProof/>
          <w:sz w:val="24"/>
          <w:szCs w:val="24"/>
          <w:lang w:val="en-IE"/>
        </w:rPr>
        <w:t xml:space="preserve">) mention intermediaries that can be relevant to lobbying. In Germany, as noted earlier, the Lobby Register Act contains a list of actors who may register voluntarily in the Register. This list includes “intermediary organisations in foreign cultural and educational policy, insofar as they are institutionally supported with funds from the (German) Federal budget.” In Finland, the Accounting Act and the Auditing Act read together with the Act on the Prevention of Money Laundering and Terrorist Financing can contain obligations for intermediaries in certain cases. Similarly, the anti-money laundering legislative framework in </w:t>
      </w:r>
      <w:r w:rsidRPr="00532C20">
        <w:rPr>
          <w:rFonts w:ascii="Times New Roman" w:eastAsia="Symbol" w:hAnsi="Times New Roman" w:cs="Times New Roman"/>
          <w:b/>
          <w:bCs/>
          <w:noProof/>
          <w:sz w:val="24"/>
          <w:szCs w:val="24"/>
          <w:lang w:val="en-IE"/>
        </w:rPr>
        <w:t>Italy</w:t>
      </w:r>
      <w:r w:rsidRPr="00532C20">
        <w:rPr>
          <w:rFonts w:ascii="Times New Roman" w:eastAsia="Symbol" w:hAnsi="Times New Roman" w:cs="Times New Roman"/>
          <w:noProof/>
          <w:sz w:val="24"/>
          <w:szCs w:val="24"/>
          <w:lang w:val="en-IE"/>
        </w:rPr>
        <w:t xml:space="preserve"> imposes obligations on intermediaries</w:t>
      </w:r>
      <w:r w:rsidRPr="00532C20">
        <w:rPr>
          <w:rFonts w:ascii="Times New Roman" w:eastAsia="Symbol" w:hAnsi="Times New Roman" w:cs="Times New Roman"/>
          <w:noProof/>
          <w:sz w:val="24"/>
          <w:szCs w:val="24"/>
          <w:vertAlign w:val="superscript"/>
          <w:lang w:val="en-IE"/>
        </w:rPr>
        <w:footnoteReference w:id="284"/>
      </w:r>
      <w:r w:rsidRPr="00532C20">
        <w:rPr>
          <w:rFonts w:ascii="Times New Roman" w:eastAsia="Symbol" w:hAnsi="Times New Roman" w:cs="Times New Roman"/>
          <w:noProof/>
          <w:sz w:val="24"/>
          <w:szCs w:val="24"/>
          <w:lang w:val="en-IE"/>
        </w:rPr>
        <w:t>.</w:t>
      </w:r>
    </w:p>
    <w:p w14:paraId="004821F7" w14:textId="762EC3DA" w:rsidR="0005333A" w:rsidRPr="00532C20" w:rsidRDefault="0005333A" w:rsidP="00FF43A5">
      <w:pPr>
        <w:pStyle w:val="ListParagraph"/>
        <w:numPr>
          <w:ilvl w:val="1"/>
          <w:numId w:val="78"/>
        </w:numPr>
        <w:rPr>
          <w:rFonts w:cs="Times New Roman"/>
          <w:b/>
          <w:noProof/>
        </w:rPr>
      </w:pPr>
      <w:r w:rsidRPr="00532C20">
        <w:rPr>
          <w:rFonts w:ascii="Times New Roman" w:eastAsia="Symbol" w:hAnsi="Times New Roman" w:cs="Times New Roman"/>
          <w:b/>
          <w:bCs/>
          <w:noProof/>
          <w:u w:val="single"/>
          <w:lang w:val="en-IE"/>
        </w:rPr>
        <w:t>Draft laws/proposals on interest representation activities</w:t>
      </w:r>
    </w:p>
    <w:p w14:paraId="6A4BA72B" w14:textId="36E3D305" w:rsidR="0005333A" w:rsidRPr="00532C20" w:rsidRDefault="00762AC8"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According to the </w:t>
      </w:r>
      <w:r w:rsidR="00EB3772">
        <w:rPr>
          <w:rFonts w:ascii="Times New Roman" w:eastAsia="Symbol" w:hAnsi="Times New Roman" w:cs="Times New Roman"/>
          <w:noProof/>
          <w:sz w:val="24"/>
          <w:szCs w:val="24"/>
          <w:lang w:val="en-IE"/>
        </w:rPr>
        <w:t xml:space="preserve">supporting </w:t>
      </w:r>
      <w:r w:rsidRPr="00532C20">
        <w:rPr>
          <w:rFonts w:ascii="Times New Roman" w:eastAsia="Symbol" w:hAnsi="Times New Roman" w:cs="Times New Roman"/>
          <w:noProof/>
          <w:sz w:val="24"/>
          <w:szCs w:val="24"/>
          <w:lang w:val="en-IE"/>
        </w:rPr>
        <w:t xml:space="preserve">study, in </w:t>
      </w:r>
      <w:r w:rsidR="00EB3772">
        <w:rPr>
          <w:rFonts w:ascii="Times New Roman" w:eastAsia="Symbol" w:hAnsi="Times New Roman" w:cs="Times New Roman"/>
          <w:noProof/>
          <w:sz w:val="24"/>
          <w:szCs w:val="24"/>
          <w:lang w:val="en-IE"/>
        </w:rPr>
        <w:t xml:space="preserve">January </w:t>
      </w:r>
      <w:r w:rsidRPr="00532C20">
        <w:rPr>
          <w:rFonts w:ascii="Times New Roman" w:eastAsia="Symbol" w:hAnsi="Times New Roman" w:cs="Times New Roman"/>
          <w:noProof/>
          <w:sz w:val="24"/>
          <w:szCs w:val="24"/>
          <w:lang w:val="en-IE"/>
        </w:rPr>
        <w:t xml:space="preserve">2023, </w:t>
      </w:r>
      <w:r w:rsidR="005A0FDE" w:rsidRPr="00532C20">
        <w:rPr>
          <w:rFonts w:ascii="Times New Roman" w:eastAsia="Symbol" w:hAnsi="Times New Roman" w:cs="Times New Roman"/>
          <w:noProof/>
          <w:sz w:val="24"/>
          <w:szCs w:val="24"/>
          <w:lang w:val="en-IE"/>
        </w:rPr>
        <w:t>d</w:t>
      </w:r>
      <w:r w:rsidR="0005333A" w:rsidRPr="00532C20">
        <w:rPr>
          <w:rFonts w:ascii="Times New Roman" w:eastAsia="Symbol" w:hAnsi="Times New Roman" w:cs="Times New Roman"/>
          <w:noProof/>
          <w:sz w:val="24"/>
          <w:szCs w:val="24"/>
          <w:lang w:val="en-IE"/>
        </w:rPr>
        <w:t xml:space="preserve">raft legislation related to lobbying </w:t>
      </w:r>
      <w:r w:rsidRPr="00532C20">
        <w:rPr>
          <w:rFonts w:ascii="Times New Roman" w:eastAsia="Symbol" w:hAnsi="Times New Roman" w:cs="Times New Roman"/>
          <w:noProof/>
          <w:sz w:val="24"/>
          <w:szCs w:val="24"/>
          <w:lang w:val="en-IE"/>
        </w:rPr>
        <w:t>was in</w:t>
      </w:r>
      <w:r w:rsidR="0005333A" w:rsidRPr="00532C20">
        <w:rPr>
          <w:rFonts w:ascii="Times New Roman" w:eastAsia="Symbol" w:hAnsi="Times New Roman" w:cs="Times New Roman"/>
          <w:noProof/>
          <w:sz w:val="24"/>
          <w:szCs w:val="24"/>
          <w:lang w:val="en-IE"/>
        </w:rPr>
        <w:t xml:space="preserve"> discussion in </w:t>
      </w:r>
      <w:r w:rsidR="007A735A" w:rsidRPr="00532C20">
        <w:rPr>
          <w:rFonts w:ascii="Times New Roman" w:eastAsia="Symbol" w:hAnsi="Times New Roman" w:cs="Times New Roman"/>
          <w:noProof/>
          <w:sz w:val="24"/>
          <w:szCs w:val="24"/>
          <w:lang w:val="en-IE"/>
        </w:rPr>
        <w:t>1</w:t>
      </w:r>
      <w:r w:rsidR="0037748F">
        <w:rPr>
          <w:rFonts w:ascii="Times New Roman" w:eastAsia="Symbol" w:hAnsi="Times New Roman" w:cs="Times New Roman"/>
          <w:noProof/>
          <w:sz w:val="24"/>
          <w:szCs w:val="24"/>
          <w:lang w:val="en-IE"/>
        </w:rPr>
        <w:t>1</w:t>
      </w:r>
      <w:r w:rsidR="007A735A" w:rsidRPr="00532C20">
        <w:rPr>
          <w:rFonts w:ascii="Times New Roman" w:eastAsia="Symbol" w:hAnsi="Times New Roman" w:cs="Times New Roman"/>
          <w:noProof/>
          <w:sz w:val="24"/>
          <w:szCs w:val="24"/>
          <w:lang w:val="en-IE"/>
        </w:rPr>
        <w:t xml:space="preserve"> </w:t>
      </w:r>
      <w:r w:rsidR="0005333A" w:rsidRPr="00532C20">
        <w:rPr>
          <w:rFonts w:ascii="Times New Roman" w:eastAsia="Symbol" w:hAnsi="Times New Roman" w:cs="Times New Roman"/>
          <w:noProof/>
          <w:sz w:val="24"/>
          <w:szCs w:val="24"/>
          <w:lang w:val="en-IE"/>
        </w:rPr>
        <w:t>Member States (</w:t>
      </w:r>
      <w:r w:rsidR="0005333A" w:rsidRPr="00532C20">
        <w:rPr>
          <w:rFonts w:ascii="Times New Roman" w:eastAsia="Symbol" w:hAnsi="Times New Roman" w:cs="Times New Roman"/>
          <w:b/>
          <w:noProof/>
          <w:sz w:val="24"/>
          <w:szCs w:val="24"/>
          <w:lang w:val="en-IE"/>
        </w:rPr>
        <w:t xml:space="preserve">BE, BG, CZ, </w:t>
      </w:r>
      <w:r w:rsidR="00456B31" w:rsidRPr="00532C20">
        <w:rPr>
          <w:rFonts w:ascii="Times New Roman" w:eastAsia="Symbol" w:hAnsi="Times New Roman" w:cs="Times New Roman"/>
          <w:b/>
          <w:noProof/>
          <w:sz w:val="24"/>
          <w:szCs w:val="24"/>
          <w:lang w:val="en-IE"/>
        </w:rPr>
        <w:t xml:space="preserve">IE, </w:t>
      </w:r>
      <w:r w:rsidR="0005333A" w:rsidRPr="00532C20">
        <w:rPr>
          <w:rFonts w:ascii="Times New Roman" w:eastAsia="Symbol" w:hAnsi="Times New Roman" w:cs="Times New Roman"/>
          <w:b/>
          <w:noProof/>
          <w:sz w:val="24"/>
          <w:szCs w:val="24"/>
          <w:lang w:val="en-IE"/>
        </w:rPr>
        <w:t>ES, IT, LV, MT, NL, PL, SK</w:t>
      </w:r>
      <w:r w:rsidR="0005333A" w:rsidRPr="00532C20">
        <w:rPr>
          <w:rFonts w:ascii="Times New Roman" w:eastAsia="Symbol" w:hAnsi="Times New Roman" w:cs="Times New Roman"/>
          <w:noProof/>
          <w:sz w:val="24"/>
          <w:szCs w:val="24"/>
          <w:lang w:val="en-IE"/>
        </w:rPr>
        <w:t xml:space="preserve">). </w:t>
      </w:r>
    </w:p>
    <w:p w14:paraId="4551BA45" w14:textId="1D7B7A22" w:rsidR="00D53233" w:rsidRPr="00532C20" w:rsidRDefault="005A0FDE"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The</w:t>
      </w:r>
      <w:r w:rsidR="00D232CB">
        <w:rPr>
          <w:rFonts w:ascii="Times New Roman" w:eastAsia="Symbol" w:hAnsi="Times New Roman" w:cs="Times New Roman"/>
          <w:noProof/>
          <w:sz w:val="24"/>
          <w:szCs w:val="24"/>
          <w:lang w:val="en-IE"/>
        </w:rPr>
        <w:t xml:space="preserve"> fourth edition of the</w:t>
      </w:r>
      <w:r w:rsidRPr="00532C20">
        <w:rPr>
          <w:rFonts w:ascii="Times New Roman" w:eastAsia="Symbol" w:hAnsi="Times New Roman" w:cs="Times New Roman"/>
          <w:noProof/>
          <w:sz w:val="24"/>
          <w:szCs w:val="24"/>
          <w:lang w:val="en-IE"/>
        </w:rPr>
        <w:t xml:space="preserve"> Rule of Law Report issued by the Commission in July 2023 also contains information on recent development on the regulation of lobbying </w:t>
      </w:r>
      <w:r w:rsidR="00C64761" w:rsidRPr="00532C20">
        <w:rPr>
          <w:rFonts w:ascii="Times New Roman" w:eastAsia="Symbol" w:hAnsi="Times New Roman" w:cs="Times New Roman"/>
          <w:noProof/>
          <w:sz w:val="24"/>
          <w:szCs w:val="24"/>
          <w:lang w:val="en-IE"/>
        </w:rPr>
        <w:t xml:space="preserve">activities </w:t>
      </w:r>
      <w:r w:rsidRPr="00532C20">
        <w:rPr>
          <w:rFonts w:ascii="Times New Roman" w:eastAsia="Symbol" w:hAnsi="Times New Roman" w:cs="Times New Roman"/>
          <w:noProof/>
          <w:sz w:val="24"/>
          <w:szCs w:val="24"/>
          <w:lang w:val="en-IE"/>
        </w:rPr>
        <w:t>in the Member States.</w:t>
      </w:r>
    </w:p>
    <w:p w14:paraId="2CF65204" w14:textId="0A1C512E" w:rsidR="0005333A" w:rsidRPr="00532C20" w:rsidRDefault="00D53233"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More information is provided in Annex D of the supporting study.</w:t>
      </w:r>
    </w:p>
    <w:p w14:paraId="00B524DF" w14:textId="4C14346B" w:rsidR="0005333A" w:rsidRPr="00532C20" w:rsidRDefault="0005333A" w:rsidP="009E6050">
      <w:pPr>
        <w:pStyle w:val="ListParagraph"/>
        <w:keepNext/>
        <w:numPr>
          <w:ilvl w:val="1"/>
          <w:numId w:val="78"/>
        </w:numPr>
        <w:ind w:left="788" w:hanging="431"/>
        <w:contextualSpacing w:val="0"/>
        <w:rPr>
          <w:rFonts w:cs="Times New Roman"/>
          <w:b/>
          <w:noProof/>
        </w:rPr>
      </w:pPr>
      <w:r w:rsidRPr="00532C20">
        <w:rPr>
          <w:rFonts w:ascii="Times New Roman" w:eastAsia="Symbol" w:hAnsi="Times New Roman" w:cs="Times New Roman"/>
          <w:b/>
          <w:bCs/>
          <w:noProof/>
          <w:u w:val="single"/>
          <w:lang w:val="en-IE"/>
        </w:rPr>
        <w:t>Draft laws/proposals on transparency on (foreign) funding of non-profit organisations</w:t>
      </w:r>
    </w:p>
    <w:p w14:paraId="7226FE1B" w14:textId="1C70B34F" w:rsidR="00D53233" w:rsidRPr="00532C20" w:rsidRDefault="005E3039" w:rsidP="00C1543D">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According to the </w:t>
      </w:r>
      <w:r w:rsidR="00EB3772">
        <w:rPr>
          <w:rFonts w:ascii="Times New Roman" w:eastAsia="Symbol" w:hAnsi="Times New Roman" w:cs="Times New Roman"/>
          <w:noProof/>
          <w:sz w:val="24"/>
          <w:szCs w:val="24"/>
          <w:lang w:val="en-IE"/>
        </w:rPr>
        <w:t xml:space="preserve">supporting </w:t>
      </w:r>
      <w:r w:rsidRPr="00532C20">
        <w:rPr>
          <w:rFonts w:ascii="Times New Roman" w:eastAsia="Symbol" w:hAnsi="Times New Roman" w:cs="Times New Roman"/>
          <w:noProof/>
          <w:sz w:val="24"/>
          <w:szCs w:val="24"/>
          <w:lang w:val="en-IE"/>
        </w:rPr>
        <w:t xml:space="preserve">study, </w:t>
      </w:r>
      <w:r w:rsidR="00AD5BCF" w:rsidRPr="00532C20">
        <w:rPr>
          <w:rFonts w:ascii="Times New Roman" w:eastAsia="Symbol" w:hAnsi="Times New Roman" w:cs="Times New Roman"/>
          <w:noProof/>
          <w:sz w:val="24"/>
          <w:szCs w:val="24"/>
          <w:lang w:val="en-IE"/>
        </w:rPr>
        <w:t xml:space="preserve">in </w:t>
      </w:r>
      <w:r w:rsidR="00C1543D" w:rsidRPr="00532C20">
        <w:rPr>
          <w:rFonts w:ascii="Times New Roman" w:eastAsia="Symbol" w:hAnsi="Times New Roman" w:cs="Times New Roman"/>
          <w:noProof/>
          <w:sz w:val="24"/>
          <w:szCs w:val="24"/>
          <w:lang w:val="en-IE"/>
        </w:rPr>
        <w:t>January</w:t>
      </w:r>
      <w:r w:rsidR="00AD5BCF" w:rsidRPr="00532C20">
        <w:rPr>
          <w:rFonts w:ascii="Times New Roman" w:eastAsia="Symbol" w:hAnsi="Times New Roman" w:cs="Times New Roman"/>
          <w:noProof/>
          <w:sz w:val="24"/>
          <w:szCs w:val="24"/>
          <w:lang w:val="en-IE"/>
        </w:rPr>
        <w:t xml:space="preserve"> </w:t>
      </w:r>
      <w:r w:rsidR="00C1543D" w:rsidRPr="00532C20">
        <w:rPr>
          <w:rFonts w:ascii="Times New Roman" w:eastAsia="Symbol" w:hAnsi="Times New Roman" w:cs="Times New Roman"/>
          <w:noProof/>
          <w:sz w:val="24"/>
          <w:szCs w:val="24"/>
          <w:lang w:val="en-IE"/>
        </w:rPr>
        <w:t xml:space="preserve">2023, specific regulations were considered </w:t>
      </w:r>
      <w:r w:rsidR="00586C0F" w:rsidRPr="00532C20">
        <w:rPr>
          <w:rFonts w:ascii="Times New Roman" w:eastAsia="Symbol" w:hAnsi="Times New Roman" w:cs="Times New Roman"/>
          <w:noProof/>
          <w:sz w:val="24"/>
          <w:szCs w:val="24"/>
          <w:lang w:val="en-IE"/>
        </w:rPr>
        <w:t>o</w:t>
      </w:r>
      <w:r w:rsidR="00E869E4" w:rsidRPr="00532C20">
        <w:rPr>
          <w:rFonts w:ascii="Times New Roman" w:eastAsia="Symbol" w:hAnsi="Times New Roman" w:cs="Times New Roman"/>
          <w:noProof/>
          <w:sz w:val="24"/>
          <w:szCs w:val="24"/>
          <w:lang w:val="en-IE"/>
        </w:rPr>
        <w:t xml:space="preserve">n transparency on (foreign) funding of non-profit organisations </w:t>
      </w:r>
      <w:r w:rsidR="00C1543D" w:rsidRPr="00532C20">
        <w:rPr>
          <w:rFonts w:ascii="Times New Roman" w:eastAsia="Symbol" w:hAnsi="Times New Roman" w:cs="Times New Roman"/>
          <w:noProof/>
          <w:sz w:val="24"/>
          <w:szCs w:val="24"/>
          <w:lang w:val="en-IE"/>
        </w:rPr>
        <w:t>in the Netherlands and Poland.</w:t>
      </w:r>
      <w:r w:rsidRPr="00532C20">
        <w:rPr>
          <w:rFonts w:ascii="Times New Roman" w:eastAsia="Symbol" w:hAnsi="Times New Roman" w:cs="Times New Roman"/>
          <w:noProof/>
          <w:sz w:val="24"/>
          <w:szCs w:val="24"/>
          <w:lang w:val="en-IE"/>
        </w:rPr>
        <w:t xml:space="preserve"> </w:t>
      </w:r>
      <w:r w:rsidR="00C1543D" w:rsidRPr="00532C20">
        <w:rPr>
          <w:rFonts w:ascii="Times New Roman" w:eastAsia="Symbol" w:hAnsi="Times New Roman" w:cs="Times New Roman"/>
          <w:noProof/>
          <w:sz w:val="24"/>
          <w:szCs w:val="24"/>
          <w:lang w:val="en-IE"/>
        </w:rPr>
        <w:t xml:space="preserve">Since then, other Member States </w:t>
      </w:r>
      <w:r w:rsidR="00D02732" w:rsidRPr="00532C20">
        <w:rPr>
          <w:rFonts w:ascii="Times New Roman" w:eastAsia="Symbol" w:hAnsi="Times New Roman" w:cs="Times New Roman"/>
          <w:noProof/>
          <w:sz w:val="24"/>
          <w:szCs w:val="24"/>
          <w:lang w:val="en-IE"/>
        </w:rPr>
        <w:t>(</w:t>
      </w:r>
      <w:r w:rsidR="00D02732" w:rsidRPr="00532C20">
        <w:rPr>
          <w:rFonts w:ascii="Times New Roman" w:eastAsia="Symbol" w:hAnsi="Times New Roman" w:cs="Times New Roman"/>
          <w:b/>
          <w:bCs/>
          <w:noProof/>
          <w:sz w:val="24"/>
          <w:szCs w:val="24"/>
          <w:lang w:val="en-IE"/>
        </w:rPr>
        <w:t>SK</w:t>
      </w:r>
      <w:r w:rsidR="00D02732" w:rsidRPr="00532C20">
        <w:rPr>
          <w:rFonts w:ascii="Times New Roman" w:eastAsia="Symbol" w:hAnsi="Times New Roman" w:cs="Times New Roman"/>
          <w:noProof/>
          <w:sz w:val="24"/>
          <w:szCs w:val="24"/>
          <w:lang w:val="en-IE"/>
        </w:rPr>
        <w:t xml:space="preserve"> and </w:t>
      </w:r>
      <w:r w:rsidR="00D02732" w:rsidRPr="00532C20">
        <w:rPr>
          <w:rFonts w:ascii="Times New Roman" w:eastAsia="Symbol" w:hAnsi="Times New Roman" w:cs="Times New Roman"/>
          <w:b/>
          <w:bCs/>
          <w:noProof/>
          <w:sz w:val="24"/>
          <w:szCs w:val="24"/>
          <w:lang w:val="en-IE"/>
        </w:rPr>
        <w:t>HU</w:t>
      </w:r>
      <w:r w:rsidR="00D02732" w:rsidRPr="00532C20">
        <w:rPr>
          <w:rFonts w:ascii="Times New Roman" w:eastAsia="Symbol" w:hAnsi="Times New Roman" w:cs="Times New Roman"/>
          <w:noProof/>
          <w:sz w:val="24"/>
          <w:szCs w:val="24"/>
          <w:lang w:val="en-IE"/>
        </w:rPr>
        <w:t xml:space="preserve">) </w:t>
      </w:r>
      <w:r w:rsidR="00C1543D" w:rsidRPr="00532C20">
        <w:rPr>
          <w:rFonts w:ascii="Times New Roman" w:eastAsia="Symbol" w:hAnsi="Times New Roman" w:cs="Times New Roman"/>
          <w:noProof/>
          <w:sz w:val="24"/>
          <w:szCs w:val="24"/>
          <w:lang w:val="en-IE"/>
        </w:rPr>
        <w:t xml:space="preserve">have announced new measures. </w:t>
      </w:r>
    </w:p>
    <w:p w14:paraId="71EF1327" w14:textId="77777777" w:rsidR="00D53233" w:rsidRPr="00532C20" w:rsidRDefault="00D53233" w:rsidP="00C1543D">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More information is provided in Annex D of the supporting study.</w:t>
      </w:r>
    </w:p>
    <w:p w14:paraId="62AF2C49" w14:textId="77777777" w:rsidR="0005333A" w:rsidRPr="00532C20" w:rsidRDefault="0005333A" w:rsidP="00582553">
      <w:pPr>
        <w:pStyle w:val="ListParagraph"/>
        <w:keepNext/>
        <w:numPr>
          <w:ilvl w:val="1"/>
          <w:numId w:val="78"/>
        </w:numPr>
        <w:ind w:left="788" w:hanging="431"/>
        <w:contextualSpacing w:val="0"/>
        <w:rPr>
          <w:rFonts w:ascii="Times New Roman" w:eastAsia="Symbol" w:hAnsi="Times New Roman" w:cs="Times New Roman"/>
          <w:b/>
          <w:noProof/>
          <w:u w:val="single"/>
          <w:lang w:val="en-IE"/>
        </w:rPr>
      </w:pPr>
      <w:r w:rsidRPr="00532C20">
        <w:rPr>
          <w:rFonts w:ascii="Times New Roman" w:eastAsia="Symbol" w:hAnsi="Times New Roman" w:cs="Times New Roman"/>
          <w:b/>
          <w:bCs/>
          <w:noProof/>
          <w:u w:val="single"/>
          <w:lang w:val="en-IE"/>
        </w:rPr>
        <w:t>Codes of conduct on interest representation activities</w:t>
      </w:r>
    </w:p>
    <w:p w14:paraId="7542CA8D" w14:textId="7526A653"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Codes of conduct on lobbying are available in 11 Member States (</w:t>
      </w:r>
      <w:r w:rsidRPr="00532C20">
        <w:rPr>
          <w:rFonts w:ascii="Times New Roman" w:eastAsia="Symbol" w:hAnsi="Times New Roman" w:cs="Times New Roman"/>
          <w:b/>
          <w:noProof/>
          <w:sz w:val="24"/>
          <w:szCs w:val="24"/>
          <w:lang w:val="en-IE"/>
        </w:rPr>
        <w:t xml:space="preserve">DE, </w:t>
      </w:r>
      <w:r w:rsidR="00243ECA" w:rsidRPr="00532C20">
        <w:rPr>
          <w:rFonts w:ascii="Times New Roman" w:eastAsia="Symbol" w:hAnsi="Times New Roman" w:cs="Times New Roman"/>
          <w:b/>
          <w:noProof/>
          <w:sz w:val="24"/>
          <w:szCs w:val="24"/>
          <w:lang w:val="en-IE"/>
        </w:rPr>
        <w:t xml:space="preserve">IE, </w:t>
      </w:r>
      <w:r w:rsidRPr="00532C20">
        <w:rPr>
          <w:rFonts w:ascii="Times New Roman" w:eastAsia="Symbol" w:hAnsi="Times New Roman" w:cs="Times New Roman"/>
          <w:b/>
          <w:noProof/>
          <w:sz w:val="24"/>
          <w:szCs w:val="24"/>
          <w:lang w:val="en-IE"/>
        </w:rPr>
        <w:t xml:space="preserve">ES, HR, LV, MT, NL, </w:t>
      </w:r>
      <w:r w:rsidR="0042108A" w:rsidRPr="00532C20">
        <w:rPr>
          <w:rFonts w:ascii="Times New Roman" w:eastAsia="Symbol" w:hAnsi="Times New Roman" w:cs="Times New Roman"/>
          <w:b/>
          <w:noProof/>
          <w:sz w:val="24"/>
          <w:szCs w:val="24"/>
          <w:lang w:val="en-IE"/>
        </w:rPr>
        <w:t xml:space="preserve">AT, </w:t>
      </w:r>
      <w:r w:rsidRPr="00532C20">
        <w:rPr>
          <w:rFonts w:ascii="Times New Roman" w:eastAsia="Symbol" w:hAnsi="Times New Roman" w:cs="Times New Roman"/>
          <w:b/>
          <w:noProof/>
          <w:sz w:val="24"/>
          <w:szCs w:val="24"/>
          <w:lang w:val="en-IE"/>
        </w:rPr>
        <w:t>RO, SI</w:t>
      </w:r>
      <w:r w:rsidR="00CF39BF" w:rsidRPr="00532C20">
        <w:rPr>
          <w:rFonts w:ascii="Times New Roman" w:eastAsia="Symbol" w:hAnsi="Times New Roman" w:cs="Times New Roman"/>
          <w:b/>
          <w:noProof/>
          <w:sz w:val="24"/>
          <w:szCs w:val="24"/>
          <w:lang w:val="en-IE"/>
        </w:rPr>
        <w:t>,</w:t>
      </w:r>
      <w:r w:rsidR="0042108A" w:rsidRPr="00532C20">
        <w:rPr>
          <w:rFonts w:ascii="Times New Roman" w:eastAsia="Symbol" w:hAnsi="Times New Roman" w:cs="Times New Roman"/>
          <w:b/>
          <w:noProof/>
          <w:sz w:val="24"/>
          <w:szCs w:val="24"/>
          <w:lang w:val="en-IE"/>
        </w:rPr>
        <w:t xml:space="preserve"> FI</w:t>
      </w:r>
      <w:r w:rsidRPr="00532C20">
        <w:rPr>
          <w:rFonts w:ascii="Times New Roman" w:eastAsia="Symbol" w:hAnsi="Times New Roman" w:cs="Times New Roman"/>
          <w:noProof/>
          <w:sz w:val="24"/>
          <w:szCs w:val="24"/>
          <w:lang w:val="en-IE"/>
        </w:rPr>
        <w:t>). These codes are adopted by public authorities or by private entities. An overview is provided in the table below, with further details provided in the text.</w:t>
      </w:r>
    </w:p>
    <w:p w14:paraId="1E6181DB" w14:textId="77777777" w:rsidR="0005333A" w:rsidRPr="00532C20" w:rsidRDefault="0005333A" w:rsidP="004B0958">
      <w:pPr>
        <w:keepNext/>
        <w:spacing w:before="120" w:line="240" w:lineRule="auto"/>
        <w:jc w:val="both"/>
        <w:rPr>
          <w:rFonts w:ascii="Times New Roman" w:eastAsia="Times" w:hAnsi="Times New Roman" w:cs="Times New Roman"/>
          <w:b/>
          <w:noProof/>
          <w:sz w:val="24"/>
          <w:szCs w:val="24"/>
          <w:lang w:val="en-IE"/>
        </w:rPr>
      </w:pPr>
      <w:r w:rsidRPr="00532C20">
        <w:rPr>
          <w:rFonts w:ascii="Times New Roman" w:eastAsia="Times" w:hAnsi="Times New Roman" w:cs="Times New Roman"/>
          <w:b/>
          <w:noProof/>
          <w:sz w:val="24"/>
          <w:szCs w:val="24"/>
          <w:lang w:val="en-IE"/>
        </w:rPr>
        <w:t>Overview of codes of conduct in Member States based on the adopting entity</w:t>
      </w:r>
    </w:p>
    <w:tbl>
      <w:tblPr>
        <w:tblStyle w:val="TableGrid4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19"/>
        <w:gridCol w:w="4289"/>
      </w:tblGrid>
      <w:tr w:rsidR="0005333A" w:rsidRPr="00532C20" w14:paraId="22E33441" w14:textId="77777777" w:rsidTr="633D2D4F">
        <w:trPr>
          <w:tblHeader/>
        </w:trPr>
        <w:tc>
          <w:tcPr>
            <w:tcW w:w="4508" w:type="dxa"/>
            <w:shd w:val="clear" w:color="auto" w:fill="002060"/>
          </w:tcPr>
          <w:p w14:paraId="1DBF6123" w14:textId="77777777" w:rsidR="0005333A" w:rsidRPr="00532C20" w:rsidRDefault="0005333A" w:rsidP="004B0958">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Adopting entity</w:t>
            </w:r>
          </w:p>
        </w:tc>
        <w:tc>
          <w:tcPr>
            <w:tcW w:w="4508" w:type="dxa"/>
            <w:shd w:val="clear" w:color="auto" w:fill="002060"/>
          </w:tcPr>
          <w:p w14:paraId="51FE467E" w14:textId="77777777" w:rsidR="0005333A" w:rsidRPr="00532C20" w:rsidRDefault="0005333A" w:rsidP="004B0958">
            <w:pPr>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Member States</w:t>
            </w:r>
          </w:p>
        </w:tc>
      </w:tr>
      <w:tr w:rsidR="0005333A" w:rsidRPr="00313F32" w14:paraId="79DB3075" w14:textId="77777777" w:rsidTr="633D2D4F">
        <w:tc>
          <w:tcPr>
            <w:tcW w:w="4508" w:type="dxa"/>
            <w:shd w:val="clear" w:color="auto" w:fill="D9D9D9" w:themeFill="background1" w:themeFillShade="D9"/>
          </w:tcPr>
          <w:p w14:paraId="01586B59" w14:textId="77777777" w:rsidR="0005333A" w:rsidRPr="00532C20" w:rsidRDefault="0005333A" w:rsidP="004B0958">
            <w:pPr>
              <w:spacing w:before="60"/>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Codes of conducts adopted by public authorities (including codes contained in laws and orders of public authorities)</w:t>
            </w:r>
          </w:p>
        </w:tc>
        <w:tc>
          <w:tcPr>
            <w:tcW w:w="4508" w:type="dxa"/>
            <w:shd w:val="clear" w:color="auto" w:fill="D9D9D9" w:themeFill="background1" w:themeFillShade="D9"/>
          </w:tcPr>
          <w:p w14:paraId="381ADE9E" w14:textId="66C7A95F" w:rsidR="0005333A" w:rsidRPr="00532C20" w:rsidRDefault="0005333A" w:rsidP="004B0958">
            <w:pPr>
              <w:spacing w:before="60"/>
              <w:jc w:val="both"/>
              <w:rPr>
                <w:rFonts w:ascii="Times New Roman" w:hAnsi="Times New Roman" w:cs="Times New Roman"/>
                <w:noProof/>
                <w:sz w:val="24"/>
                <w:szCs w:val="24"/>
                <w:lang w:val="es-ES"/>
              </w:rPr>
            </w:pPr>
            <w:r w:rsidRPr="00532C20">
              <w:rPr>
                <w:rFonts w:ascii="Times New Roman" w:hAnsi="Times New Roman" w:cs="Times New Roman"/>
                <w:noProof/>
                <w:sz w:val="24"/>
                <w:szCs w:val="24"/>
                <w:lang w:val="es-ES"/>
              </w:rPr>
              <w:t xml:space="preserve">DE, </w:t>
            </w:r>
            <w:r w:rsidR="000837F6" w:rsidRPr="00532C20">
              <w:rPr>
                <w:rFonts w:ascii="Times New Roman" w:hAnsi="Times New Roman" w:cs="Times New Roman"/>
                <w:noProof/>
                <w:sz w:val="24"/>
                <w:szCs w:val="24"/>
                <w:lang w:val="es-ES"/>
              </w:rPr>
              <w:t xml:space="preserve">IE, </w:t>
            </w:r>
            <w:r w:rsidRPr="00532C20">
              <w:rPr>
                <w:rFonts w:ascii="Times New Roman" w:hAnsi="Times New Roman" w:cs="Times New Roman"/>
                <w:noProof/>
                <w:sz w:val="24"/>
                <w:szCs w:val="24"/>
                <w:lang w:val="es-ES"/>
              </w:rPr>
              <w:t>ES</w:t>
            </w:r>
            <w:r w:rsidRPr="00532C20">
              <w:rPr>
                <w:rFonts w:ascii="Times New Roman" w:hAnsi="Times New Roman" w:cs="Times New Roman"/>
                <w:noProof/>
                <w:sz w:val="24"/>
                <w:szCs w:val="24"/>
                <w:vertAlign w:val="superscript"/>
                <w:lang w:val="en-IE"/>
              </w:rPr>
              <w:footnoteReference w:id="285"/>
            </w:r>
            <w:r w:rsidRPr="00532C20">
              <w:rPr>
                <w:rFonts w:ascii="Times New Roman" w:hAnsi="Times New Roman" w:cs="Times New Roman"/>
                <w:noProof/>
                <w:sz w:val="24"/>
                <w:szCs w:val="24"/>
                <w:lang w:val="es-ES"/>
              </w:rPr>
              <w:t>, MT, NL, RO,</w:t>
            </w:r>
            <w:r w:rsidR="000837F6" w:rsidRPr="00532C20">
              <w:rPr>
                <w:rFonts w:ascii="Times New Roman" w:hAnsi="Times New Roman" w:cs="Times New Roman"/>
                <w:noProof/>
                <w:sz w:val="24"/>
                <w:szCs w:val="24"/>
                <w:lang w:val="es-ES"/>
              </w:rPr>
              <w:t xml:space="preserve"> FI</w:t>
            </w:r>
            <w:r w:rsidR="00907688" w:rsidRPr="00532C20">
              <w:rPr>
                <w:rFonts w:ascii="Times New Roman" w:hAnsi="Times New Roman" w:cs="Times New Roman"/>
                <w:noProof/>
                <w:sz w:val="24"/>
                <w:szCs w:val="24"/>
                <w:lang w:val="es-ES"/>
              </w:rPr>
              <w:t>.</w:t>
            </w:r>
          </w:p>
        </w:tc>
      </w:tr>
      <w:tr w:rsidR="0005333A" w:rsidRPr="00313F32" w14:paraId="0E004787" w14:textId="77777777" w:rsidTr="633D2D4F">
        <w:tc>
          <w:tcPr>
            <w:tcW w:w="4508" w:type="dxa"/>
            <w:shd w:val="clear" w:color="auto" w:fill="D9D9D9" w:themeFill="background1" w:themeFillShade="D9"/>
          </w:tcPr>
          <w:p w14:paraId="68DEF4BC" w14:textId="77777777" w:rsidR="0005333A" w:rsidRPr="00532C20" w:rsidRDefault="0005333A" w:rsidP="004B0958">
            <w:pPr>
              <w:spacing w:before="60"/>
              <w:jc w:val="both"/>
              <w:rPr>
                <w:rFonts w:ascii="Times New Roman" w:hAnsi="Times New Roman" w:cs="Times New Roman"/>
                <w:noProof/>
                <w:sz w:val="24"/>
                <w:szCs w:val="24"/>
                <w:lang w:val="en-IE"/>
              </w:rPr>
            </w:pPr>
            <w:r w:rsidRPr="00532C20">
              <w:rPr>
                <w:rFonts w:ascii="Times New Roman" w:hAnsi="Times New Roman" w:cs="Times New Roman"/>
                <w:noProof/>
                <w:sz w:val="24"/>
                <w:szCs w:val="24"/>
                <w:lang w:val="en-IE"/>
              </w:rPr>
              <w:t>Codes of conducts adopted by organisations / companies</w:t>
            </w:r>
          </w:p>
        </w:tc>
        <w:tc>
          <w:tcPr>
            <w:tcW w:w="4508" w:type="dxa"/>
            <w:shd w:val="clear" w:color="auto" w:fill="D9D9D9" w:themeFill="background1" w:themeFillShade="D9"/>
          </w:tcPr>
          <w:p w14:paraId="4C5FB06E" w14:textId="07B3ACD2" w:rsidR="0005333A" w:rsidRPr="00532C20" w:rsidRDefault="0005333A" w:rsidP="004B0958">
            <w:pPr>
              <w:spacing w:before="60"/>
              <w:jc w:val="both"/>
              <w:rPr>
                <w:rFonts w:ascii="Times New Roman" w:hAnsi="Times New Roman" w:cs="Times New Roman"/>
                <w:noProof/>
                <w:sz w:val="24"/>
                <w:szCs w:val="24"/>
                <w:lang w:val="fr-BE"/>
              </w:rPr>
            </w:pPr>
            <w:r w:rsidRPr="00532C20">
              <w:rPr>
                <w:rFonts w:ascii="Times New Roman" w:hAnsi="Times New Roman" w:cs="Times New Roman"/>
                <w:noProof/>
                <w:sz w:val="24"/>
                <w:szCs w:val="24"/>
                <w:lang w:val="fr-BE"/>
              </w:rPr>
              <w:t>DE</w:t>
            </w:r>
            <w:r w:rsidRPr="00532C20">
              <w:rPr>
                <w:rFonts w:ascii="Times New Roman" w:hAnsi="Times New Roman" w:cs="Times New Roman"/>
                <w:noProof/>
                <w:sz w:val="24"/>
                <w:szCs w:val="24"/>
                <w:vertAlign w:val="superscript"/>
                <w:lang w:val="en-IE"/>
              </w:rPr>
              <w:footnoteReference w:id="286"/>
            </w:r>
            <w:r w:rsidRPr="00532C20">
              <w:rPr>
                <w:rFonts w:ascii="Times New Roman" w:hAnsi="Times New Roman" w:cs="Times New Roman"/>
                <w:noProof/>
                <w:sz w:val="24"/>
                <w:szCs w:val="24"/>
                <w:lang w:val="fr-BE"/>
              </w:rPr>
              <w:t xml:space="preserve">, </w:t>
            </w:r>
            <w:r w:rsidR="0071314B" w:rsidRPr="00532C20">
              <w:rPr>
                <w:rFonts w:ascii="Times New Roman" w:hAnsi="Times New Roman" w:cs="Times New Roman"/>
                <w:noProof/>
                <w:sz w:val="24"/>
                <w:szCs w:val="24"/>
                <w:lang w:val="fr-BE"/>
              </w:rPr>
              <w:t>AT</w:t>
            </w:r>
            <w:r w:rsidR="0071314B" w:rsidRPr="00532C20">
              <w:rPr>
                <w:rFonts w:ascii="Times New Roman" w:hAnsi="Times New Roman" w:cs="Times New Roman"/>
                <w:noProof/>
                <w:sz w:val="24"/>
                <w:szCs w:val="24"/>
                <w:vertAlign w:val="superscript"/>
                <w:lang w:val="en-IE"/>
              </w:rPr>
              <w:footnoteReference w:id="287"/>
            </w:r>
            <w:r w:rsidR="0071314B" w:rsidRPr="00532C20">
              <w:rPr>
                <w:rFonts w:ascii="Times New Roman" w:hAnsi="Times New Roman" w:cs="Times New Roman"/>
                <w:noProof/>
                <w:sz w:val="24"/>
                <w:szCs w:val="24"/>
                <w:lang w:val="fr-BE"/>
              </w:rPr>
              <w:t xml:space="preserve">, </w:t>
            </w:r>
            <w:r w:rsidRPr="00532C20">
              <w:rPr>
                <w:rFonts w:ascii="Times New Roman" w:hAnsi="Times New Roman" w:cs="Times New Roman"/>
                <w:noProof/>
                <w:sz w:val="24"/>
                <w:szCs w:val="24"/>
                <w:lang w:val="fr-BE"/>
              </w:rPr>
              <w:t>HR</w:t>
            </w:r>
            <w:r w:rsidRPr="00532C20">
              <w:rPr>
                <w:rFonts w:ascii="Times New Roman" w:hAnsi="Times New Roman" w:cs="Times New Roman"/>
                <w:noProof/>
                <w:sz w:val="24"/>
                <w:szCs w:val="24"/>
                <w:vertAlign w:val="superscript"/>
                <w:lang w:val="en-IE"/>
              </w:rPr>
              <w:footnoteReference w:id="288"/>
            </w:r>
            <w:r w:rsidRPr="00532C20">
              <w:rPr>
                <w:rFonts w:ascii="Times New Roman" w:hAnsi="Times New Roman" w:cs="Times New Roman"/>
                <w:noProof/>
                <w:sz w:val="24"/>
                <w:szCs w:val="24"/>
                <w:lang w:val="fr-BE"/>
              </w:rPr>
              <w:t>, LV</w:t>
            </w:r>
            <w:r w:rsidRPr="00532C20">
              <w:rPr>
                <w:rFonts w:ascii="Times New Roman" w:hAnsi="Times New Roman" w:cs="Times New Roman"/>
                <w:noProof/>
                <w:sz w:val="24"/>
                <w:szCs w:val="24"/>
                <w:vertAlign w:val="superscript"/>
                <w:lang w:val="en-IE"/>
              </w:rPr>
              <w:footnoteReference w:id="289"/>
            </w:r>
            <w:r w:rsidRPr="00532C20">
              <w:rPr>
                <w:rFonts w:ascii="Times New Roman" w:hAnsi="Times New Roman" w:cs="Times New Roman"/>
                <w:noProof/>
                <w:sz w:val="24"/>
                <w:szCs w:val="24"/>
                <w:lang w:val="fr-BE"/>
              </w:rPr>
              <w:t>, SI</w:t>
            </w:r>
            <w:r w:rsidRPr="00532C20">
              <w:rPr>
                <w:rFonts w:ascii="Times New Roman" w:hAnsi="Times New Roman" w:cs="Times New Roman"/>
                <w:noProof/>
                <w:sz w:val="24"/>
                <w:szCs w:val="24"/>
                <w:vertAlign w:val="superscript"/>
                <w:lang w:val="en-IE"/>
              </w:rPr>
              <w:footnoteReference w:id="290"/>
            </w:r>
          </w:p>
        </w:tc>
      </w:tr>
    </w:tbl>
    <w:p w14:paraId="3BC4B82C"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The </w:t>
      </w:r>
      <w:r w:rsidRPr="00532C20">
        <w:rPr>
          <w:rFonts w:ascii="Times New Roman" w:eastAsia="Symbol" w:hAnsi="Times New Roman" w:cs="Times New Roman"/>
          <w:b/>
          <w:noProof/>
          <w:sz w:val="24"/>
          <w:szCs w:val="24"/>
          <w:lang w:val="en-IE"/>
        </w:rPr>
        <w:t xml:space="preserve">Austrian </w:t>
      </w:r>
      <w:r w:rsidRPr="00532C20">
        <w:rPr>
          <w:rFonts w:ascii="Times New Roman" w:eastAsia="Symbol" w:hAnsi="Times New Roman" w:cs="Times New Roman"/>
          <w:noProof/>
          <w:sz w:val="24"/>
          <w:szCs w:val="24"/>
          <w:lang w:val="en-IE"/>
        </w:rPr>
        <w:t>legislation requires that each lobbying company or a company that engages lobbyists to adopt its own code of conduct.</w:t>
      </w:r>
      <w:r w:rsidRPr="00532C20">
        <w:rPr>
          <w:rFonts w:ascii="Times New Roman" w:eastAsia="Times" w:hAnsi="Times New Roman" w:cs="Times New Roman"/>
          <w:noProof/>
          <w:kern w:val="18"/>
          <w:sz w:val="24"/>
          <w:szCs w:val="24"/>
          <w:lang w:val="en-IE"/>
        </w:rPr>
        <w:t xml:space="preserve"> Every company registered in the lobbying register should have such a code that should be available on its website. These codes of conduct include a range of due diligence rules for lobbyists towards politicians.</w:t>
      </w:r>
    </w:p>
    <w:p w14:paraId="04DA3752"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bCs/>
          <w:noProof/>
          <w:sz w:val="24"/>
          <w:szCs w:val="24"/>
          <w:lang w:val="en-IE"/>
        </w:rPr>
        <w:t>Croatia</w:t>
      </w:r>
      <w:r w:rsidRPr="00532C20">
        <w:rPr>
          <w:rFonts w:ascii="Times New Roman" w:eastAsia="Symbol" w:hAnsi="Times New Roman" w:cs="Times New Roman"/>
          <w:noProof/>
          <w:sz w:val="24"/>
          <w:szCs w:val="24"/>
          <w:lang w:val="en-IE"/>
        </w:rPr>
        <w:t>, lobbying organisations are often registered as consulting companies or business advisors. In this light, it should be noted that some consultants have registered with the Croatian Chamber of Commerce as the ‘Association of Business advisors’, which includes some lobbying organisations. The Chamber has issued a Catalogue of Advisory Services,</w:t>
      </w:r>
      <w:r w:rsidRPr="00532C20">
        <w:rPr>
          <w:rFonts w:ascii="Times New Roman" w:eastAsia="Symbol" w:hAnsi="Times New Roman" w:cs="Times New Roman"/>
          <w:noProof/>
          <w:sz w:val="24"/>
          <w:szCs w:val="24"/>
          <w:vertAlign w:val="superscript"/>
          <w:lang w:val="en-IE"/>
        </w:rPr>
        <w:footnoteReference w:id="291"/>
      </w:r>
      <w:r w:rsidRPr="00532C20">
        <w:rPr>
          <w:rFonts w:ascii="Times New Roman" w:eastAsia="Symbol" w:hAnsi="Times New Roman" w:cs="Times New Roman"/>
          <w:noProof/>
          <w:sz w:val="24"/>
          <w:szCs w:val="24"/>
          <w:lang w:val="en-IE"/>
        </w:rPr>
        <w:t xml:space="preserve"> which contains a Code of Ethics in business. However, this document does not contain guidelines in respect of (foreign) funding.</w:t>
      </w:r>
    </w:p>
    <w:p w14:paraId="4288F545"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The self-regulation of lobbing in </w:t>
      </w:r>
      <w:r w:rsidRPr="00532C20">
        <w:rPr>
          <w:rFonts w:ascii="Times New Roman" w:eastAsia="Symbol" w:hAnsi="Times New Roman" w:cs="Times New Roman"/>
          <w:b/>
          <w:bCs/>
          <w:noProof/>
          <w:sz w:val="24"/>
          <w:szCs w:val="24"/>
          <w:lang w:val="en-IE"/>
        </w:rPr>
        <w:t>Finland</w:t>
      </w:r>
      <w:r w:rsidRPr="00532C20">
        <w:rPr>
          <w:rFonts w:ascii="Times New Roman" w:eastAsia="Symbol" w:hAnsi="Times New Roman" w:cs="Times New Roman"/>
          <w:noProof/>
          <w:sz w:val="24"/>
          <w:szCs w:val="24"/>
          <w:lang w:val="en-IE"/>
        </w:rPr>
        <w:t xml:space="preserve"> is mostly sectoral and voluntary. Meanwhile, the Code of Conduct for civil servants and persons entrusted with top executive functions, which consolidates existing guidelines, was published in May 2021</w:t>
      </w:r>
      <w:r w:rsidRPr="00532C20">
        <w:rPr>
          <w:rFonts w:ascii="Times New Roman" w:eastAsia="Symbol" w:hAnsi="Times New Roman" w:cs="Times New Roman"/>
          <w:noProof/>
          <w:sz w:val="24"/>
          <w:szCs w:val="24"/>
          <w:vertAlign w:val="superscript"/>
          <w:lang w:val="en-IE"/>
        </w:rPr>
        <w:footnoteReference w:id="292"/>
      </w:r>
      <w:r w:rsidRPr="00532C20">
        <w:rPr>
          <w:rFonts w:ascii="Times New Roman" w:eastAsia="Symbol" w:hAnsi="Times New Roman" w:cs="Times New Roman"/>
          <w:noProof/>
          <w:sz w:val="24"/>
          <w:szCs w:val="24"/>
          <w:lang w:val="en-IE"/>
        </w:rPr>
        <w:t xml:space="preserve">. </w:t>
      </w:r>
    </w:p>
    <w:p w14:paraId="1B361F8D"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The Lobby Register Act in </w:t>
      </w:r>
      <w:r w:rsidRPr="00532C20">
        <w:rPr>
          <w:rFonts w:ascii="Times New Roman" w:eastAsia="Symbol" w:hAnsi="Times New Roman" w:cs="Times New Roman"/>
          <w:b/>
          <w:bCs/>
          <w:noProof/>
          <w:sz w:val="24"/>
          <w:szCs w:val="24"/>
          <w:lang w:val="en-IE"/>
        </w:rPr>
        <w:t xml:space="preserve">Germany </w:t>
      </w:r>
      <w:r w:rsidRPr="00532C20">
        <w:rPr>
          <w:rFonts w:ascii="Times New Roman" w:eastAsia="Symbol" w:hAnsi="Times New Roman" w:cs="Times New Roman"/>
          <w:noProof/>
          <w:sz w:val="24"/>
          <w:szCs w:val="24"/>
          <w:lang w:val="en-IE"/>
        </w:rPr>
        <w:t>requires that the Bundestag and the Federal government, with civil society, prepare and adopt a code of conduct for lobbyists. This Code was adopted in June 2021 and has been in force since 1 January 2022. It largely reiterates the provisions of the Lobby Register Act. In addition to this, some companies and associations also have internal codes of conduct for lobbying activities</w:t>
      </w:r>
      <w:r w:rsidRPr="00532C20">
        <w:rPr>
          <w:rFonts w:ascii="Times New Roman" w:eastAsia="Symbol" w:hAnsi="Times New Roman" w:cs="Times New Roman"/>
          <w:noProof/>
          <w:sz w:val="24"/>
          <w:szCs w:val="24"/>
          <w:vertAlign w:val="superscript"/>
          <w:lang w:val="en-IE"/>
        </w:rPr>
        <w:footnoteReference w:id="293"/>
      </w:r>
      <w:r w:rsidRPr="00532C20">
        <w:rPr>
          <w:rFonts w:ascii="Times New Roman" w:eastAsia="Symbol" w:hAnsi="Times New Roman" w:cs="Times New Roman"/>
          <w:noProof/>
          <w:sz w:val="24"/>
          <w:szCs w:val="24"/>
          <w:lang w:val="en-IE"/>
        </w:rPr>
        <w:t>. Moreover, some companies are members of the German Association of Policy Consulting</w:t>
      </w:r>
      <w:r w:rsidRPr="00532C20">
        <w:rPr>
          <w:rFonts w:ascii="Times New Roman" w:eastAsia="Symbol" w:hAnsi="Times New Roman" w:cs="Times New Roman"/>
          <w:noProof/>
          <w:sz w:val="24"/>
          <w:szCs w:val="24"/>
          <w:vertAlign w:val="superscript"/>
          <w:lang w:val="en-IE"/>
        </w:rPr>
        <w:footnoteReference w:id="294"/>
      </w:r>
      <w:r w:rsidRPr="00532C20">
        <w:rPr>
          <w:rFonts w:ascii="Times New Roman" w:eastAsia="Symbol" w:hAnsi="Times New Roman" w:cs="Times New Roman"/>
          <w:noProof/>
          <w:sz w:val="24"/>
          <w:szCs w:val="24"/>
          <w:lang w:val="en-IE"/>
        </w:rPr>
        <w:t>, which has its own code of conduct</w:t>
      </w:r>
      <w:r w:rsidRPr="00532C20">
        <w:rPr>
          <w:rFonts w:ascii="Times New Roman" w:eastAsia="Symbol" w:hAnsi="Times New Roman" w:cs="Times New Roman"/>
          <w:noProof/>
          <w:sz w:val="24"/>
          <w:szCs w:val="24"/>
          <w:vertAlign w:val="superscript"/>
          <w:lang w:val="en-IE"/>
        </w:rPr>
        <w:footnoteReference w:id="295"/>
      </w:r>
      <w:r w:rsidRPr="00532C20">
        <w:rPr>
          <w:rFonts w:ascii="Times New Roman" w:eastAsia="Symbol" w:hAnsi="Times New Roman" w:cs="Times New Roman"/>
          <w:noProof/>
          <w:sz w:val="24"/>
          <w:szCs w:val="24"/>
          <w:lang w:val="en-IE"/>
        </w:rPr>
        <w:t>, and participating companies adhere to this code</w:t>
      </w:r>
      <w:r w:rsidRPr="00532C20">
        <w:rPr>
          <w:rFonts w:ascii="Times New Roman" w:eastAsia="Symbol" w:hAnsi="Times New Roman" w:cs="Times New Roman"/>
          <w:noProof/>
          <w:sz w:val="24"/>
          <w:szCs w:val="24"/>
          <w:vertAlign w:val="superscript"/>
          <w:lang w:val="en-IE"/>
        </w:rPr>
        <w:footnoteReference w:id="296"/>
      </w:r>
      <w:r w:rsidRPr="00532C20">
        <w:rPr>
          <w:rFonts w:ascii="Times New Roman" w:eastAsia="Symbol" w:hAnsi="Times New Roman" w:cs="Times New Roman"/>
          <w:noProof/>
          <w:sz w:val="24"/>
          <w:szCs w:val="24"/>
          <w:lang w:val="en-IE"/>
        </w:rPr>
        <w:t>.</w:t>
      </w:r>
    </w:p>
    <w:p w14:paraId="066522A4"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bCs/>
          <w:noProof/>
          <w:sz w:val="24"/>
          <w:szCs w:val="24"/>
          <w:lang w:val="en-IE"/>
        </w:rPr>
        <w:t>Ireland</w:t>
      </w:r>
      <w:r w:rsidRPr="00532C20">
        <w:rPr>
          <w:rFonts w:ascii="Times New Roman" w:eastAsia="Symbol" w:hAnsi="Times New Roman" w:cs="Times New Roman"/>
          <w:noProof/>
          <w:sz w:val="24"/>
          <w:szCs w:val="24"/>
          <w:lang w:val="en-IE"/>
        </w:rPr>
        <w:t>, the Standards in Public Office Commission has adopted a Code of Conduct</w:t>
      </w:r>
      <w:r w:rsidRPr="00532C20">
        <w:rPr>
          <w:rFonts w:ascii="Times New Roman" w:eastAsia="Symbol" w:hAnsi="Times New Roman" w:cs="Times New Roman"/>
          <w:noProof/>
          <w:sz w:val="24"/>
          <w:szCs w:val="24"/>
          <w:vertAlign w:val="superscript"/>
          <w:lang w:val="en-IE"/>
        </w:rPr>
        <w:footnoteReference w:id="297"/>
      </w:r>
      <w:r w:rsidRPr="00532C20">
        <w:rPr>
          <w:rFonts w:ascii="Times New Roman" w:eastAsia="Symbol" w:hAnsi="Times New Roman" w:cs="Times New Roman"/>
          <w:noProof/>
          <w:sz w:val="24"/>
          <w:szCs w:val="24"/>
          <w:lang w:val="en-IE"/>
        </w:rPr>
        <w:t>, which sets out several principles by which persons carrying out lobbying activities should govern themselves. The Code of Conduct elaborates on the principles in separate sections/chapters</w:t>
      </w:r>
      <w:r w:rsidRPr="00532C20">
        <w:rPr>
          <w:rFonts w:ascii="Times New Roman" w:eastAsia="Symbol" w:hAnsi="Times New Roman" w:cs="Times New Roman"/>
          <w:noProof/>
          <w:sz w:val="24"/>
          <w:szCs w:val="24"/>
          <w:vertAlign w:val="superscript"/>
          <w:lang w:val="en-IE"/>
        </w:rPr>
        <w:footnoteReference w:id="298"/>
      </w:r>
      <w:r w:rsidRPr="00532C20">
        <w:rPr>
          <w:rFonts w:ascii="Times New Roman" w:eastAsia="Symbol" w:hAnsi="Times New Roman" w:cs="Times New Roman"/>
          <w:noProof/>
          <w:sz w:val="24"/>
          <w:szCs w:val="24"/>
          <w:lang w:val="en-IE"/>
        </w:rPr>
        <w:t xml:space="preserve"> and should apply to all communications with persons in public office. Among their obligations on identification, the lobbyists also “must not conceal or try to conceal the identity of a client, business or organisation whose interests they are representing.” Moreover, a person carrying out lobbying activities should always </w:t>
      </w:r>
      <w:r w:rsidRPr="00532C20">
        <w:rPr>
          <w:rFonts w:ascii="Times New Roman" w:eastAsia="Times" w:hAnsi="Times New Roman" w:cs="Times New Roman"/>
          <w:noProof/>
          <w:sz w:val="24"/>
          <w:szCs w:val="24"/>
          <w:lang w:val="en-IE"/>
        </w:rPr>
        <w:t>the elected or appointed public official of</w:t>
      </w:r>
      <w:r w:rsidRPr="00532C20">
        <w:rPr>
          <w:rFonts w:ascii="Times New Roman" w:eastAsia="Symbol" w:hAnsi="Times New Roman" w:cs="Times New Roman"/>
          <w:noProof/>
          <w:sz w:val="24"/>
          <w:szCs w:val="24"/>
          <w:lang w:val="en-IE"/>
        </w:rPr>
        <w:t xml:space="preserve"> any personal interests they may have in the matter. In addition, Chapter 6 on the principle of avoiding improper influence stipulates that a person who is carrying out lobbying activities should not “seek to create a sense of obligation on the part of the elected or appointed official by making any offer of gifts or hospitality.” Moreover, such a person should not seek to influence an elected or appointed public official “other than by providing evidence, information, arguments and experiences which support their lobbying activities.”</w:t>
      </w:r>
    </w:p>
    <w:p w14:paraId="70EEACD1"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noProof/>
          <w:sz w:val="24"/>
          <w:szCs w:val="24"/>
          <w:lang w:val="en-IE"/>
        </w:rPr>
        <w:t>Latvia</w:t>
      </w:r>
      <w:r w:rsidRPr="00532C20">
        <w:rPr>
          <w:rFonts w:ascii="Times New Roman" w:eastAsia="Symbol" w:hAnsi="Times New Roman" w:cs="Times New Roman"/>
          <w:noProof/>
          <w:sz w:val="24"/>
          <w:szCs w:val="24"/>
          <w:lang w:val="en-IE"/>
        </w:rPr>
        <w:t>, most organisations currently lack applicable codes of conduct/ethics, while many of those that do have such codes have not addressed how to engage with public officials in terms of participation in decision-making processes.</w:t>
      </w:r>
    </w:p>
    <w:p w14:paraId="0F68B375"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The First and Second Schedules to the </w:t>
      </w:r>
      <w:r w:rsidRPr="00532C20">
        <w:rPr>
          <w:rFonts w:ascii="Times New Roman" w:eastAsia="Symbol" w:hAnsi="Times New Roman" w:cs="Times New Roman"/>
          <w:b/>
          <w:noProof/>
          <w:sz w:val="24"/>
          <w:szCs w:val="24"/>
          <w:lang w:val="en-IE"/>
        </w:rPr>
        <w:t xml:space="preserve">Maltese </w:t>
      </w:r>
      <w:r w:rsidRPr="00532C20">
        <w:rPr>
          <w:rFonts w:ascii="Times New Roman" w:eastAsia="Symbol" w:hAnsi="Times New Roman" w:cs="Times New Roman"/>
          <w:noProof/>
          <w:sz w:val="24"/>
          <w:szCs w:val="24"/>
          <w:lang w:val="en-IE"/>
        </w:rPr>
        <w:t>Standards in Public Life Act contain Codes of Ethics applicable to members of the House of Representatives and to Ministers, Parliamentary Secretaries and Parliamentary Assistants respectively. The codes, inter alia, (i) prohibit members of the House of Representatives to receive any remuneration or compensation for their work, except for their official remuneration, (ii) prohibits them from using any improper influence, threats or undue pressure in the course of their duties, (iii) prohibits Ministers, Parliamentary Secretaries and Parliamentary Assistants from putting themselves in a position of being influenced by a financial obligation or otherwise of persons or organizations that try to do so, or making improper use of information that comes to their knowledge because of their office to give undue advantage to someone whilst disadvantaging others, (iv) prohibits acceptance of any decoration from foreign countries, except with the Prime Minister’s permission.</w:t>
      </w:r>
    </w:p>
    <w:p w14:paraId="3EB947C7" w14:textId="6765508E"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bCs/>
          <w:noProof/>
          <w:sz w:val="24"/>
          <w:szCs w:val="24"/>
          <w:lang w:val="en-IE"/>
        </w:rPr>
        <w:t>the Netherlands</w:t>
      </w:r>
      <w:r w:rsidRPr="00532C20">
        <w:rPr>
          <w:rFonts w:ascii="Times New Roman" w:eastAsia="Symbol" w:hAnsi="Times New Roman" w:cs="Times New Roman"/>
          <w:noProof/>
          <w:sz w:val="24"/>
          <w:szCs w:val="24"/>
          <w:lang w:val="en-IE"/>
        </w:rPr>
        <w:t>, the sector of lobbying is regulated by the Code of Conduct for Members of the House of Representatives</w:t>
      </w:r>
      <w:bookmarkStart w:id="1183" w:name="_Ref147762462"/>
      <w:r w:rsidRPr="00532C20">
        <w:rPr>
          <w:rFonts w:ascii="Times New Roman" w:eastAsia="Symbol" w:hAnsi="Times New Roman" w:cs="Times New Roman"/>
          <w:noProof/>
          <w:sz w:val="24"/>
          <w:szCs w:val="24"/>
          <w:vertAlign w:val="superscript"/>
          <w:lang w:val="en-IE"/>
        </w:rPr>
        <w:footnoteReference w:id="299"/>
      </w:r>
      <w:bookmarkEnd w:id="1183"/>
      <w:r w:rsidRPr="00532C20">
        <w:rPr>
          <w:rFonts w:ascii="Times New Roman" w:eastAsia="Symbol" w:hAnsi="Times New Roman" w:cs="Times New Roman"/>
          <w:noProof/>
          <w:sz w:val="24"/>
          <w:szCs w:val="24"/>
          <w:lang w:val="en-IE"/>
        </w:rPr>
        <w:t>, which in Rules 1 and 2 states that in their relations with lobbyists, “members should always be aware of their independent position and the duties that the Constitution assigns to them.” The Rules also state that although for some degree of information lobbyists are important, “a degree of distance must always be maintained from lobbyists. A member must therefore refrain from making promises in the event of an offer from a lobbyist (not being information) about certain actions.” Notably, foreign trips paid for in whole or in part by lobbyists are also deemed offers. The Code stresses that a lobbyist “should be understood broadly” and may include “not only persons working for lobbying firms, but also others who approach a Member of Parliament to stand up for particular interests.” Furthermore, Members of the House of Representatives “must declare their outside activities and income, interests that can reasonably be regarded as relevant, foreign travel whose transportation and accommodation expenses were paid in whole or partially paid by third parties, including lobbyists, and gifts and benefits that exceed an amount of EUR 50 in excess</w:t>
      </w:r>
      <w:r w:rsidRPr="00532C20">
        <w:rPr>
          <w:rFonts w:ascii="Times New Roman" w:eastAsia="Symbol" w:hAnsi="Times New Roman" w:cs="Times New Roman"/>
          <w:noProof/>
          <w:sz w:val="24"/>
          <w:szCs w:val="24"/>
          <w:vertAlign w:val="superscript"/>
          <w:lang w:val="en-IE"/>
        </w:rPr>
        <w:footnoteReference w:id="300"/>
      </w:r>
      <w:r w:rsidRPr="00532C20">
        <w:rPr>
          <w:rFonts w:ascii="Times New Roman" w:eastAsia="Symbol" w:hAnsi="Times New Roman" w:cs="Times New Roman"/>
          <w:noProof/>
          <w:sz w:val="24"/>
          <w:szCs w:val="24"/>
          <w:lang w:val="en-IE"/>
        </w:rPr>
        <w:t>”.</w:t>
      </w:r>
    </w:p>
    <w:p w14:paraId="65036094"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In addition, a Code of Conduct for the Senate obliges Senate Members to “guard against improper influence” and maintain transparency when engaging with third parties. The explanation to Article 3 of the Code specifically stipulates that “Members of the Senate are expected to be transparent about their contacts with third parties, including foreign entities.” The explanation, however, adds that not all such contacts must be registered and made public, justifying the lack of a lobby register (called “active disclosure” in the explanation) by the lack of feasibility due to the large number of contacts maintained by the Members. Nonetheless, “if asked, members should disclose what contacts they have had with third parties regarding certain files” (called “passive disclosure” in the explanation).</w:t>
      </w:r>
    </w:p>
    <w:p w14:paraId="4D9CEBF3" w14:textId="2278C022"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It should be noted that a gift register is established “in which members shall record gifts received by them in their capacity as members of the Chamber with a value greater than EUR 50, not later than</w:t>
      </w:r>
      <w:r w:rsidR="00026DB1" w:rsidRPr="00532C20">
        <w:rPr>
          <w:rFonts w:ascii="Times New Roman" w:eastAsia="Symbol" w:hAnsi="Times New Roman" w:cs="Times New Roman"/>
          <w:noProof/>
          <w:sz w:val="24"/>
          <w:szCs w:val="24"/>
          <w:lang w:val="en-IE"/>
        </w:rPr>
        <w:t>1</w:t>
      </w:r>
      <w:r w:rsidR="00A90D63" w:rsidRPr="00532C20">
        <w:rPr>
          <w:rFonts w:ascii="Times New Roman" w:eastAsia="Symbol" w:hAnsi="Times New Roman" w:cs="Times New Roman"/>
          <w:noProof/>
          <w:sz w:val="24"/>
          <w:szCs w:val="24"/>
          <w:lang w:val="en-IE"/>
        </w:rPr>
        <w:t xml:space="preserve"> </w:t>
      </w:r>
      <w:r w:rsidRPr="00532C20">
        <w:rPr>
          <w:rFonts w:ascii="Times New Roman" w:eastAsia="Symbol" w:hAnsi="Times New Roman" w:cs="Times New Roman"/>
          <w:noProof/>
          <w:sz w:val="24"/>
          <w:szCs w:val="24"/>
          <w:lang w:val="en-IE"/>
        </w:rPr>
        <w:t>week after receiving the gift</w:t>
      </w:r>
      <w:r w:rsidRPr="00532C20">
        <w:rPr>
          <w:rFonts w:ascii="Times New Roman" w:eastAsia="Symbol" w:hAnsi="Times New Roman" w:cs="Times New Roman"/>
          <w:noProof/>
          <w:sz w:val="24"/>
          <w:szCs w:val="24"/>
          <w:vertAlign w:val="superscript"/>
          <w:lang w:val="en-IE"/>
        </w:rPr>
        <w:footnoteReference w:id="301"/>
      </w:r>
      <w:r w:rsidRPr="00532C20">
        <w:rPr>
          <w:rFonts w:ascii="Times New Roman" w:eastAsia="Symbol" w:hAnsi="Times New Roman" w:cs="Times New Roman"/>
          <w:noProof/>
          <w:sz w:val="24"/>
          <w:szCs w:val="24"/>
          <w:lang w:val="en-IE"/>
        </w:rPr>
        <w:t>”. This register should be available for inspection by anyone.</w:t>
      </w:r>
    </w:p>
    <w:p w14:paraId="1814AF7B" w14:textId="0D6FA11C"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Lastly, there is a Handbook for government officials, also called the “blue book</w:t>
      </w:r>
      <w:r w:rsidRPr="00532C20">
        <w:rPr>
          <w:rFonts w:ascii="Times New Roman" w:eastAsia="Symbol" w:hAnsi="Times New Roman" w:cs="Times New Roman"/>
          <w:noProof/>
          <w:sz w:val="24"/>
          <w:szCs w:val="24"/>
          <w:vertAlign w:val="superscript"/>
          <w:lang w:val="en-IE"/>
        </w:rPr>
        <w:footnoteReference w:id="302"/>
      </w:r>
      <w:r w:rsidRPr="00532C20">
        <w:rPr>
          <w:rFonts w:ascii="Times New Roman" w:eastAsia="Symbol" w:hAnsi="Times New Roman" w:cs="Times New Roman"/>
          <w:noProof/>
          <w:sz w:val="24"/>
          <w:szCs w:val="24"/>
          <w:lang w:val="en-IE"/>
        </w:rPr>
        <w:t xml:space="preserve">” which stipulates that for a period of </w:t>
      </w:r>
      <w:r w:rsidR="00A90D63" w:rsidRPr="00532C20">
        <w:rPr>
          <w:rFonts w:ascii="Times New Roman" w:eastAsia="Symbol" w:hAnsi="Times New Roman" w:cs="Times New Roman"/>
          <w:noProof/>
          <w:sz w:val="24"/>
          <w:szCs w:val="24"/>
          <w:lang w:val="en-IE"/>
        </w:rPr>
        <w:t xml:space="preserve">2 </w:t>
      </w:r>
      <w:r w:rsidRPr="00532C20">
        <w:rPr>
          <w:rFonts w:ascii="Times New Roman" w:eastAsia="Symbol" w:hAnsi="Times New Roman" w:cs="Times New Roman"/>
          <w:noProof/>
          <w:sz w:val="24"/>
          <w:szCs w:val="24"/>
          <w:lang w:val="en-IE"/>
        </w:rPr>
        <w:t>years after their resignation, former ministers and other government officials are not allowed to lobby employees of their former ministry on behalf of a company, semi-public organisation or a lobbying organisation representing interests in the former minister’s policy area.</w:t>
      </w:r>
    </w:p>
    <w:p w14:paraId="6C9CD23B" w14:textId="5D234440"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The largest professional association for lobbyists in the Netherlands, the Professional Association for Public Affairs</w:t>
      </w:r>
      <w:r w:rsidRPr="00532C20">
        <w:rPr>
          <w:rFonts w:ascii="Times New Roman" w:eastAsia="Symbol" w:hAnsi="Times New Roman" w:cs="Times New Roman"/>
          <w:noProof/>
          <w:sz w:val="24"/>
          <w:szCs w:val="24"/>
          <w:vertAlign w:val="superscript"/>
          <w:lang w:val="en-IE"/>
        </w:rPr>
        <w:footnoteReference w:id="303"/>
      </w:r>
      <w:r w:rsidRPr="00532C20">
        <w:rPr>
          <w:rFonts w:ascii="Times New Roman" w:eastAsia="Symbol" w:hAnsi="Times New Roman" w:cs="Times New Roman"/>
          <w:noProof/>
          <w:sz w:val="24"/>
          <w:szCs w:val="24"/>
          <w:lang w:val="en-IE"/>
        </w:rPr>
        <w:t>, has its own Code of Conduct, which contains rules of conduct regarding transparency, integrity, and conflicts of interest. The government calls on lobbyists to join and acknowledge this Code of Conduct</w:t>
      </w:r>
      <w:r w:rsidRPr="00532C20">
        <w:rPr>
          <w:rFonts w:ascii="Times New Roman" w:eastAsia="Symbol" w:hAnsi="Times New Roman" w:cs="Times New Roman"/>
          <w:noProof/>
          <w:sz w:val="24"/>
          <w:szCs w:val="24"/>
          <w:vertAlign w:val="superscript"/>
          <w:lang w:val="en-IE"/>
        </w:rPr>
        <w:footnoteReference w:id="304"/>
      </w:r>
      <w:r w:rsidRPr="00532C20">
        <w:rPr>
          <w:rFonts w:ascii="Times New Roman" w:eastAsia="Symbol" w:hAnsi="Times New Roman" w:cs="Times New Roman"/>
          <w:noProof/>
          <w:sz w:val="24"/>
          <w:szCs w:val="24"/>
          <w:lang w:val="en-IE"/>
        </w:rPr>
        <w:t xml:space="preserve">. The Code applies to all members of the Association, is public and reviewable. Nonetheless, it should be noted that it does not contain rules related to </w:t>
      </w:r>
      <w:r w:rsidR="00761266">
        <w:rPr>
          <w:rFonts w:ascii="Times New Roman" w:eastAsia="Symbol" w:hAnsi="Times New Roman" w:cs="Times New Roman"/>
          <w:noProof/>
          <w:sz w:val="24"/>
          <w:szCs w:val="24"/>
          <w:lang w:val="en-IE"/>
        </w:rPr>
        <w:t xml:space="preserve">interest representation activities carried out on behalf of third countries </w:t>
      </w:r>
      <w:r w:rsidRPr="00532C20">
        <w:rPr>
          <w:rFonts w:ascii="Times New Roman" w:eastAsia="Symbol" w:hAnsi="Times New Roman" w:cs="Times New Roman"/>
          <w:noProof/>
          <w:sz w:val="24"/>
          <w:szCs w:val="24"/>
          <w:lang w:val="en-IE"/>
        </w:rPr>
        <w:t>specifically.</w:t>
      </w:r>
    </w:p>
    <w:p w14:paraId="573A0563"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bCs/>
          <w:noProof/>
          <w:sz w:val="24"/>
          <w:szCs w:val="24"/>
          <w:lang w:val="en-IE"/>
        </w:rPr>
        <w:t>Romania</w:t>
      </w:r>
      <w:r w:rsidRPr="00532C20">
        <w:rPr>
          <w:rFonts w:ascii="Times New Roman" w:eastAsia="Symbol" w:hAnsi="Times New Roman" w:cs="Times New Roman"/>
          <w:noProof/>
          <w:sz w:val="24"/>
          <w:szCs w:val="24"/>
          <w:lang w:val="en-IE"/>
        </w:rPr>
        <w:t>, Order no. 1056/2022 of the General Secretariat of the Romanian Government also includes, in its Annex 2, a code of conduct for specialized groups participating in meetings with decision-makers. It includes transparency, ethics and responsibility rules to be respected by specialised groups in their relations with decision-makers</w:t>
      </w:r>
      <w:r w:rsidRPr="00532C20">
        <w:rPr>
          <w:rFonts w:ascii="Times New Roman" w:eastAsia="Symbol" w:hAnsi="Times New Roman" w:cs="Times New Roman"/>
          <w:noProof/>
          <w:sz w:val="24"/>
          <w:szCs w:val="24"/>
          <w:vertAlign w:val="superscript"/>
          <w:lang w:val="en-IE"/>
        </w:rPr>
        <w:footnoteReference w:id="305"/>
      </w:r>
      <w:r w:rsidRPr="00532C20">
        <w:rPr>
          <w:rFonts w:ascii="Times New Roman" w:eastAsia="Symbol" w:hAnsi="Times New Roman" w:cs="Times New Roman"/>
          <w:noProof/>
          <w:sz w:val="24"/>
          <w:szCs w:val="24"/>
          <w:lang w:val="en-IE"/>
        </w:rPr>
        <w:t>.</w:t>
      </w:r>
    </w:p>
    <w:p w14:paraId="67ED8CCA"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bCs/>
          <w:noProof/>
          <w:sz w:val="24"/>
          <w:szCs w:val="24"/>
          <w:lang w:val="en-IE"/>
        </w:rPr>
        <w:t>Slovenia</w:t>
      </w:r>
      <w:r w:rsidRPr="00532C20">
        <w:rPr>
          <w:rFonts w:ascii="Times New Roman" w:eastAsia="Symbol" w:hAnsi="Times New Roman" w:cs="Times New Roman"/>
          <w:noProof/>
          <w:sz w:val="24"/>
          <w:szCs w:val="24"/>
          <w:lang w:val="en-IE"/>
        </w:rPr>
        <w:t>, Article 57 of the Integrity and Prevention of Corruption Act</w:t>
      </w:r>
      <w:r w:rsidRPr="00532C20">
        <w:rPr>
          <w:rFonts w:ascii="Times New Roman" w:eastAsia="Symbol" w:hAnsi="Times New Roman" w:cs="Times New Roman"/>
          <w:noProof/>
          <w:sz w:val="24"/>
          <w:szCs w:val="24"/>
          <w:vertAlign w:val="superscript"/>
          <w:lang w:val="en-IE"/>
        </w:rPr>
        <w:footnoteReference w:id="306"/>
      </w:r>
      <w:r w:rsidRPr="00532C20">
        <w:rPr>
          <w:rFonts w:ascii="Times New Roman" w:eastAsia="Symbol" w:hAnsi="Times New Roman" w:cs="Times New Roman"/>
          <w:noProof/>
          <w:sz w:val="24"/>
          <w:szCs w:val="24"/>
          <w:lang w:val="en-IE"/>
        </w:rPr>
        <w:t xml:space="preserve"> gives lobbyist organisations the right to adopt codes of professional ethics. They summarise the provisions of the Integrity and Prevention of Corruption Act or uphold, in very general terms, the importance of integrity and prevention of corruption in Slovenia.</w:t>
      </w:r>
    </w:p>
    <w:p w14:paraId="1F3F1BD1" w14:textId="77777777"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At the regional level in </w:t>
      </w:r>
      <w:r w:rsidRPr="00532C20">
        <w:rPr>
          <w:rFonts w:ascii="Times New Roman" w:eastAsia="Symbol" w:hAnsi="Times New Roman" w:cs="Times New Roman"/>
          <w:b/>
          <w:bCs/>
          <w:noProof/>
          <w:sz w:val="24"/>
          <w:szCs w:val="24"/>
          <w:lang w:val="en-IE"/>
        </w:rPr>
        <w:t>Spain</w:t>
      </w:r>
      <w:r w:rsidRPr="00532C20">
        <w:rPr>
          <w:rFonts w:ascii="Times New Roman" w:eastAsia="Symbol" w:hAnsi="Times New Roman" w:cs="Times New Roman"/>
          <w:noProof/>
          <w:sz w:val="24"/>
          <w:szCs w:val="24"/>
          <w:lang w:val="en-IE"/>
        </w:rPr>
        <w:t>,</w:t>
      </w:r>
      <w:r w:rsidRPr="00532C20">
        <w:rPr>
          <w:rFonts w:ascii="Times New Roman" w:eastAsia="Symbol" w:hAnsi="Times New Roman" w:cs="Times New Roman"/>
          <w:b/>
          <w:bCs/>
          <w:noProof/>
          <w:sz w:val="24"/>
          <w:szCs w:val="24"/>
          <w:lang w:val="en-IE"/>
        </w:rPr>
        <w:t xml:space="preserve"> </w:t>
      </w:r>
      <w:r w:rsidRPr="00532C20">
        <w:rPr>
          <w:rFonts w:ascii="Times New Roman" w:eastAsia="Symbol" w:hAnsi="Times New Roman" w:cs="Times New Roman"/>
          <w:noProof/>
          <w:sz w:val="24"/>
          <w:szCs w:val="24"/>
          <w:lang w:val="en-IE"/>
        </w:rPr>
        <w:t>the region of Valencia regulates lobbying by, inter alia, setting out a code of conduct that interest groups must meet</w:t>
      </w:r>
      <w:r w:rsidRPr="00532C20">
        <w:rPr>
          <w:rFonts w:ascii="Times New Roman" w:eastAsia="Symbol" w:hAnsi="Times New Roman" w:cs="Times New Roman"/>
          <w:noProof/>
          <w:sz w:val="24"/>
          <w:szCs w:val="24"/>
          <w:vertAlign w:val="superscript"/>
          <w:lang w:val="en-IE"/>
        </w:rPr>
        <w:footnoteReference w:id="307"/>
      </w:r>
      <w:r w:rsidRPr="00532C20">
        <w:rPr>
          <w:rFonts w:ascii="Times New Roman" w:eastAsia="Symbol" w:hAnsi="Times New Roman" w:cs="Times New Roman"/>
          <w:noProof/>
          <w:sz w:val="24"/>
          <w:szCs w:val="24"/>
          <w:lang w:val="en-IE"/>
        </w:rPr>
        <w:t>.</w:t>
      </w:r>
    </w:p>
    <w:p w14:paraId="531AF31F" w14:textId="77777777" w:rsidR="0005333A" w:rsidRPr="00532C20" w:rsidRDefault="0005333A" w:rsidP="00290872">
      <w:pPr>
        <w:pStyle w:val="ListParagraph"/>
        <w:numPr>
          <w:ilvl w:val="1"/>
          <w:numId w:val="78"/>
        </w:numPr>
        <w:rPr>
          <w:rFonts w:cs="Times New Roman"/>
          <w:b/>
          <w:noProof/>
        </w:rPr>
      </w:pPr>
      <w:r w:rsidRPr="00532C20">
        <w:rPr>
          <w:rFonts w:ascii="Times New Roman" w:eastAsia="Symbol" w:hAnsi="Times New Roman" w:cs="Times New Roman"/>
          <w:b/>
          <w:bCs/>
          <w:noProof/>
          <w:u w:val="single"/>
          <w:lang w:val="en-IE"/>
        </w:rPr>
        <w:t>Guidelines on interest representation activities/ interest representation activities carried out on behalf of third countries</w:t>
      </w:r>
    </w:p>
    <w:p w14:paraId="4BEDD011" w14:textId="2CFE387F"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Only</w:t>
      </w:r>
      <w:r w:rsidRPr="00532C20">
        <w:rPr>
          <w:rFonts w:ascii="Times New Roman" w:eastAsia="Symbol" w:hAnsi="Times New Roman" w:cs="Times New Roman"/>
          <w:b/>
          <w:bCs/>
          <w:noProof/>
          <w:sz w:val="24"/>
          <w:szCs w:val="24"/>
          <w:lang w:val="en-IE"/>
        </w:rPr>
        <w:t xml:space="preserve"> Estonia </w:t>
      </w:r>
      <w:r w:rsidRPr="00532C20">
        <w:rPr>
          <w:rFonts w:ascii="Times New Roman" w:eastAsia="Symbol" w:hAnsi="Times New Roman" w:cs="Times New Roman"/>
          <w:noProof/>
          <w:sz w:val="24"/>
          <w:szCs w:val="24"/>
          <w:lang w:val="en-IE"/>
        </w:rPr>
        <w:t>and</w:t>
      </w:r>
      <w:r w:rsidRPr="00532C20">
        <w:rPr>
          <w:rFonts w:ascii="Times New Roman" w:eastAsia="Symbol" w:hAnsi="Times New Roman" w:cs="Times New Roman"/>
          <w:b/>
          <w:bCs/>
          <w:noProof/>
          <w:sz w:val="24"/>
          <w:szCs w:val="24"/>
          <w:lang w:val="en-IE"/>
        </w:rPr>
        <w:t xml:space="preserve"> France</w:t>
      </w:r>
      <w:r w:rsidRPr="00532C20">
        <w:rPr>
          <w:rFonts w:ascii="Times New Roman" w:eastAsia="Symbol" w:hAnsi="Times New Roman" w:cs="Times New Roman"/>
          <w:noProof/>
          <w:sz w:val="24"/>
          <w:szCs w:val="24"/>
          <w:lang w:val="en-IE"/>
        </w:rPr>
        <w:t xml:space="preserve"> have Guidelines adopted by public authorities which to some extent are relevant for the transparency </w:t>
      </w:r>
      <w:r w:rsidR="007F7935">
        <w:rPr>
          <w:rFonts w:ascii="Times New Roman" w:eastAsia="Symbol" w:hAnsi="Times New Roman" w:cs="Times New Roman"/>
          <w:noProof/>
          <w:sz w:val="24"/>
          <w:szCs w:val="24"/>
          <w:lang w:val="en-IE"/>
        </w:rPr>
        <w:t xml:space="preserve">interest representation </w:t>
      </w:r>
      <w:r w:rsidRPr="00532C20">
        <w:rPr>
          <w:rFonts w:ascii="Times New Roman" w:eastAsia="Symbol" w:hAnsi="Times New Roman" w:cs="Times New Roman"/>
          <w:noProof/>
          <w:sz w:val="24"/>
          <w:szCs w:val="24"/>
          <w:lang w:val="en-IE"/>
        </w:rPr>
        <w:t xml:space="preserve">activities. In 2021, the </w:t>
      </w:r>
      <w:r w:rsidRPr="00532C20">
        <w:rPr>
          <w:rFonts w:ascii="Times New Roman" w:eastAsia="Symbol" w:hAnsi="Times New Roman" w:cs="Times New Roman"/>
          <w:b/>
          <w:bCs/>
          <w:noProof/>
          <w:sz w:val="24"/>
          <w:szCs w:val="24"/>
          <w:lang w:val="en-IE"/>
        </w:rPr>
        <w:t xml:space="preserve">Estonian </w:t>
      </w:r>
      <w:r w:rsidRPr="00532C20">
        <w:rPr>
          <w:rFonts w:ascii="Times New Roman" w:eastAsia="Symbol" w:hAnsi="Times New Roman" w:cs="Times New Roman"/>
          <w:noProof/>
          <w:sz w:val="24"/>
          <w:szCs w:val="24"/>
          <w:lang w:val="en-IE"/>
        </w:rPr>
        <w:t>government adopted the document on “Good Practice in Communicating with Lobbyists for Official</w:t>
      </w:r>
      <w:r w:rsidRPr="00532C20">
        <w:rPr>
          <w:rFonts w:ascii="Times New Roman" w:eastAsia="Symbol" w:hAnsi="Times New Roman" w:cs="Times New Roman"/>
          <w:noProof/>
          <w:sz w:val="24"/>
          <w:szCs w:val="24"/>
          <w:vertAlign w:val="superscript"/>
          <w:lang w:val="en-IE"/>
        </w:rPr>
        <w:footnoteReference w:id="308"/>
      </w:r>
      <w:r w:rsidRPr="00532C20">
        <w:rPr>
          <w:rFonts w:ascii="Times New Roman" w:eastAsia="Symbol" w:hAnsi="Times New Roman" w:cs="Times New Roman"/>
          <w:noProof/>
          <w:sz w:val="24"/>
          <w:szCs w:val="24"/>
          <w:lang w:val="en-IE"/>
        </w:rPr>
        <w:t>”. According to the Good Practice, “information on the meetings that have taken place is published on the websites of authorities on a quarterly basis.” In contrast, in Denmark, the access to diaries/calendars of Ministers in office is specifically exempt from the right to access to information</w:t>
      </w:r>
      <w:r w:rsidRPr="00532C20">
        <w:rPr>
          <w:rFonts w:ascii="Times New Roman" w:eastAsia="Symbol" w:hAnsi="Times New Roman" w:cs="Times New Roman"/>
          <w:noProof/>
          <w:sz w:val="24"/>
          <w:szCs w:val="24"/>
          <w:vertAlign w:val="superscript"/>
          <w:lang w:val="en-IE"/>
        </w:rPr>
        <w:footnoteReference w:id="309"/>
      </w:r>
      <w:r w:rsidRPr="00532C20">
        <w:rPr>
          <w:rFonts w:ascii="Times New Roman" w:eastAsia="Symbol" w:hAnsi="Times New Roman" w:cs="Times New Roman"/>
          <w:noProof/>
          <w:sz w:val="24"/>
          <w:szCs w:val="24"/>
          <w:lang w:val="en-IE"/>
        </w:rPr>
        <w:t xml:space="preserve">. In </w:t>
      </w:r>
      <w:r w:rsidRPr="00532C20">
        <w:rPr>
          <w:rFonts w:ascii="Times New Roman" w:eastAsia="Symbol" w:hAnsi="Times New Roman" w:cs="Times New Roman"/>
          <w:b/>
          <w:bCs/>
          <w:noProof/>
          <w:sz w:val="24"/>
          <w:szCs w:val="24"/>
          <w:lang w:val="en-IE"/>
        </w:rPr>
        <w:t>France</w:t>
      </w:r>
      <w:r w:rsidRPr="00532C20">
        <w:rPr>
          <w:rFonts w:ascii="Times New Roman" w:eastAsia="Symbol" w:hAnsi="Times New Roman" w:cs="Times New Roman"/>
          <w:noProof/>
          <w:sz w:val="24"/>
          <w:szCs w:val="24"/>
          <w:lang w:val="en-IE"/>
        </w:rPr>
        <w:t>, the only relevant guidelines on the topic are the ones issued by the High Authority for the Transparency of Public Life (HATVP) on the Directory of Interest Representatives.</w:t>
      </w:r>
    </w:p>
    <w:p w14:paraId="7D53F3EA" w14:textId="77777777" w:rsidR="0005333A" w:rsidRPr="00532C20" w:rsidRDefault="0005333A" w:rsidP="00290872">
      <w:pPr>
        <w:pStyle w:val="ListParagraph"/>
        <w:numPr>
          <w:ilvl w:val="1"/>
          <w:numId w:val="78"/>
        </w:numPr>
        <w:rPr>
          <w:rFonts w:cs="Times New Roman"/>
          <w:b/>
          <w:noProof/>
        </w:rPr>
      </w:pPr>
      <w:r w:rsidRPr="00532C20">
        <w:rPr>
          <w:rFonts w:ascii="Times New Roman" w:eastAsia="Symbol" w:hAnsi="Times New Roman" w:cs="Times New Roman"/>
          <w:b/>
          <w:bCs/>
          <w:noProof/>
          <w:u w:val="single"/>
          <w:lang w:val="en-IE"/>
        </w:rPr>
        <w:t>Member States with no regulation of the issue</w:t>
      </w:r>
    </w:p>
    <w:p w14:paraId="18C14CC0" w14:textId="3847C103" w:rsidR="0005333A" w:rsidRPr="00532C20" w:rsidRDefault="00942EEB"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4 </w:t>
      </w:r>
      <w:r w:rsidR="0005333A" w:rsidRPr="00532C20">
        <w:rPr>
          <w:rFonts w:ascii="Times New Roman" w:eastAsia="Symbol" w:hAnsi="Times New Roman" w:cs="Times New Roman"/>
          <w:noProof/>
          <w:sz w:val="24"/>
          <w:szCs w:val="24"/>
          <w:lang w:val="en-IE"/>
        </w:rPr>
        <w:t>Member States (</w:t>
      </w:r>
      <w:r w:rsidR="00CC4018" w:rsidRPr="00532C20">
        <w:rPr>
          <w:rFonts w:ascii="Times New Roman" w:eastAsia="Symbol" w:hAnsi="Times New Roman" w:cs="Times New Roman"/>
          <w:b/>
          <w:noProof/>
          <w:sz w:val="24"/>
          <w:szCs w:val="24"/>
          <w:lang w:val="en-IE"/>
        </w:rPr>
        <w:t xml:space="preserve">DK, </w:t>
      </w:r>
      <w:r w:rsidR="0005333A" w:rsidRPr="00532C20">
        <w:rPr>
          <w:rFonts w:ascii="Times New Roman" w:eastAsia="Symbol" w:hAnsi="Times New Roman" w:cs="Times New Roman"/>
          <w:b/>
          <w:noProof/>
          <w:sz w:val="24"/>
          <w:szCs w:val="24"/>
          <w:lang w:val="en-IE"/>
        </w:rPr>
        <w:t>HR, PT, SE</w:t>
      </w:r>
      <w:r w:rsidR="0005333A" w:rsidRPr="00532C20">
        <w:rPr>
          <w:rFonts w:ascii="Times New Roman" w:eastAsia="Symbol" w:hAnsi="Times New Roman" w:cs="Times New Roman"/>
          <w:noProof/>
          <w:sz w:val="24"/>
          <w:szCs w:val="24"/>
          <w:lang w:val="en-IE"/>
        </w:rPr>
        <w:t xml:space="preserve">) do not have legislation, self-regulation or guidelines related to lobbying. </w:t>
      </w:r>
    </w:p>
    <w:p w14:paraId="4AAA153A" w14:textId="1162BE29" w:rsidR="0005333A" w:rsidRPr="00532C20" w:rsidRDefault="0005333A" w:rsidP="004B0958">
      <w:pPr>
        <w:spacing w:before="12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In </w:t>
      </w:r>
      <w:r w:rsidRPr="00532C20">
        <w:rPr>
          <w:rFonts w:ascii="Times New Roman" w:eastAsia="Symbol" w:hAnsi="Times New Roman" w:cs="Times New Roman"/>
          <w:b/>
          <w:bCs/>
          <w:noProof/>
          <w:sz w:val="24"/>
          <w:szCs w:val="24"/>
          <w:lang w:val="en-IE"/>
        </w:rPr>
        <w:t>Croatia</w:t>
      </w:r>
      <w:r w:rsidRPr="00532C20">
        <w:rPr>
          <w:rFonts w:ascii="Times New Roman" w:eastAsia="Symbol" w:hAnsi="Times New Roman" w:cs="Times New Roman"/>
          <w:noProof/>
          <w:sz w:val="24"/>
          <w:szCs w:val="24"/>
          <w:lang w:val="en-IE"/>
        </w:rPr>
        <w:t xml:space="preserve">, there is no draft law as of </w:t>
      </w:r>
      <w:r w:rsidR="00CE077C" w:rsidRPr="00532C20">
        <w:rPr>
          <w:rFonts w:ascii="Times New Roman" w:eastAsia="Symbol" w:hAnsi="Times New Roman" w:cs="Times New Roman"/>
          <w:noProof/>
          <w:sz w:val="24"/>
          <w:szCs w:val="24"/>
          <w:lang w:val="en-IE"/>
        </w:rPr>
        <w:t xml:space="preserve">November </w:t>
      </w:r>
      <w:r w:rsidRPr="00532C20">
        <w:rPr>
          <w:rFonts w:ascii="Times New Roman" w:eastAsia="Symbol" w:hAnsi="Times New Roman" w:cs="Times New Roman"/>
          <w:noProof/>
          <w:sz w:val="24"/>
          <w:szCs w:val="24"/>
          <w:lang w:val="en-IE"/>
        </w:rPr>
        <w:t xml:space="preserve">2023. However, the Croatian Association of Lobbyists is hoping that a law will be adopted in the course of 2023. The lack of regulation of the topic and the lack of transparency has been raised as a concern from various sides in </w:t>
      </w:r>
      <w:r w:rsidRPr="00532C20">
        <w:rPr>
          <w:rFonts w:ascii="Times New Roman" w:eastAsia="Symbol" w:hAnsi="Times New Roman" w:cs="Times New Roman"/>
          <w:b/>
          <w:bCs/>
          <w:noProof/>
          <w:sz w:val="24"/>
          <w:szCs w:val="24"/>
          <w:lang w:val="en-IE"/>
        </w:rPr>
        <w:t>Denmark</w:t>
      </w:r>
      <w:r w:rsidRPr="00532C20">
        <w:rPr>
          <w:rFonts w:ascii="Times New Roman" w:eastAsia="Symbol" w:hAnsi="Times New Roman" w:cs="Times New Roman"/>
          <w:noProof/>
          <w:sz w:val="24"/>
          <w:szCs w:val="24"/>
          <w:lang w:val="en-IE"/>
        </w:rPr>
        <w:t xml:space="preserve">. A draft legislation was proposed in </w:t>
      </w:r>
      <w:r w:rsidRPr="00532C20">
        <w:rPr>
          <w:rFonts w:ascii="Times New Roman" w:eastAsia="Symbol" w:hAnsi="Times New Roman" w:cs="Times New Roman"/>
          <w:b/>
          <w:bCs/>
          <w:noProof/>
          <w:sz w:val="24"/>
          <w:szCs w:val="24"/>
          <w:lang w:val="en-IE"/>
        </w:rPr>
        <w:t xml:space="preserve">Portugal </w:t>
      </w:r>
      <w:r w:rsidRPr="00532C20">
        <w:rPr>
          <w:rFonts w:ascii="Times New Roman" w:eastAsia="Symbol" w:hAnsi="Times New Roman" w:cs="Times New Roman"/>
          <w:noProof/>
          <w:sz w:val="24"/>
          <w:szCs w:val="24"/>
          <w:lang w:val="en-IE"/>
        </w:rPr>
        <w:t>in 2018</w:t>
      </w:r>
      <w:r w:rsidRPr="00532C20">
        <w:rPr>
          <w:rFonts w:ascii="Times New Roman" w:eastAsia="Symbol" w:hAnsi="Times New Roman" w:cs="Times New Roman"/>
          <w:noProof/>
          <w:sz w:val="24"/>
          <w:szCs w:val="24"/>
          <w:vertAlign w:val="superscript"/>
          <w:lang w:val="en-IE"/>
        </w:rPr>
        <w:footnoteReference w:id="310"/>
      </w:r>
      <w:r w:rsidRPr="00532C20">
        <w:rPr>
          <w:rFonts w:ascii="Times New Roman" w:eastAsia="Symbol" w:hAnsi="Times New Roman" w:cs="Times New Roman"/>
          <w:noProof/>
          <w:sz w:val="24"/>
          <w:szCs w:val="24"/>
          <w:lang w:val="en-IE"/>
        </w:rPr>
        <w:t xml:space="preserve">. However since then the Parliament was dissolved in 2022 and the proposal was left aside, with no discussions on it as of </w:t>
      </w:r>
      <w:r w:rsidR="0072427F" w:rsidRPr="00532C20">
        <w:rPr>
          <w:rFonts w:ascii="Times New Roman" w:eastAsia="Symbol" w:hAnsi="Times New Roman" w:cs="Times New Roman"/>
          <w:noProof/>
          <w:sz w:val="24"/>
          <w:szCs w:val="24"/>
          <w:lang w:val="en-IE"/>
        </w:rPr>
        <w:t xml:space="preserve">November </w:t>
      </w:r>
      <w:r w:rsidRPr="00532C20">
        <w:rPr>
          <w:rFonts w:ascii="Times New Roman" w:eastAsia="Symbol" w:hAnsi="Times New Roman" w:cs="Times New Roman"/>
          <w:noProof/>
          <w:sz w:val="24"/>
          <w:szCs w:val="24"/>
          <w:lang w:val="en-IE"/>
        </w:rPr>
        <w:t xml:space="preserve">2023. Lobbying generally is not regulated in </w:t>
      </w:r>
      <w:r w:rsidRPr="00532C20">
        <w:rPr>
          <w:rFonts w:ascii="Times New Roman" w:eastAsia="Symbol" w:hAnsi="Times New Roman" w:cs="Times New Roman"/>
          <w:b/>
          <w:bCs/>
          <w:noProof/>
          <w:sz w:val="24"/>
          <w:szCs w:val="24"/>
          <w:lang w:val="en-IE"/>
        </w:rPr>
        <w:t>Sweden</w:t>
      </w:r>
      <w:r w:rsidRPr="00532C20">
        <w:rPr>
          <w:rFonts w:ascii="Times New Roman" w:eastAsia="Symbol" w:hAnsi="Times New Roman" w:cs="Times New Roman"/>
          <w:noProof/>
          <w:sz w:val="24"/>
          <w:szCs w:val="24"/>
          <w:lang w:val="en-IE"/>
        </w:rPr>
        <w:t>, save for recent rules imposing quarantine on ministers and secretaries of state to work in the private sector</w:t>
      </w:r>
      <w:r w:rsidRPr="00532C20">
        <w:rPr>
          <w:rFonts w:ascii="Times New Roman" w:eastAsia="Symbol" w:hAnsi="Times New Roman" w:cs="Times New Roman"/>
          <w:noProof/>
          <w:sz w:val="24"/>
          <w:szCs w:val="24"/>
          <w:vertAlign w:val="superscript"/>
          <w:lang w:val="en-IE"/>
        </w:rPr>
        <w:footnoteReference w:id="311"/>
      </w:r>
      <w:r w:rsidRPr="00532C20">
        <w:rPr>
          <w:rFonts w:ascii="Times New Roman" w:eastAsia="Symbol" w:hAnsi="Times New Roman" w:cs="Times New Roman"/>
          <w:noProof/>
          <w:sz w:val="24"/>
          <w:szCs w:val="24"/>
          <w:lang w:val="en-IE"/>
        </w:rPr>
        <w:t>. Calls for introducing a transparency register for lobbying in the country are regularly dismissed in the name of the freedom of opinion.</w:t>
      </w:r>
    </w:p>
    <w:p w14:paraId="79FD23BD" w14:textId="77777777" w:rsidR="0005333A" w:rsidRPr="00532C20" w:rsidRDefault="0005333A" w:rsidP="00290872">
      <w:pPr>
        <w:pStyle w:val="ListParagraph"/>
        <w:numPr>
          <w:ilvl w:val="0"/>
          <w:numId w:val="78"/>
        </w:numPr>
        <w:rPr>
          <w:rFonts w:ascii="Times New Roman" w:hAnsi="Times New Roman" w:cs="Times New Roman"/>
          <w:b/>
          <w:bCs/>
          <w:noProof/>
          <w:u w:val="single"/>
          <w:lang w:val="en-IE"/>
        </w:rPr>
      </w:pPr>
      <w:r w:rsidRPr="00532C20">
        <w:rPr>
          <w:rFonts w:ascii="Times New Roman" w:hAnsi="Times New Roman" w:cs="Times New Roman"/>
          <w:b/>
          <w:bCs/>
          <w:noProof/>
          <w:u w:val="single"/>
          <w:lang w:val="en-IE"/>
        </w:rPr>
        <w:t>Transparency registers related to interest representation activities</w:t>
      </w:r>
    </w:p>
    <w:p w14:paraId="7F510969" w14:textId="77777777"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This sub-section provides a comparative analysis of transparency registers related to interest representation activities, taking into consideration specific rules on interest representation activities carried out on behalf of third countries. More precisely, the analysis focuses on Member State rules on reporting and due diligence requirements towards interest representatives as well as on required thresholds for transparency registers. Applicable monitoring rules and sanctions for non-compliance are also analysed. Similarities and divergences across Member State rules are discussed. The below table provides a brief overview of the most significant findings under this sub-chapter.</w:t>
      </w:r>
    </w:p>
    <w:p w14:paraId="62E2F5CE" w14:textId="77777777" w:rsidR="0005333A" w:rsidRPr="00532C20" w:rsidRDefault="0005333A" w:rsidP="004B0958">
      <w:pPr>
        <w:keepNext/>
        <w:spacing w:before="120" w:line="240" w:lineRule="auto"/>
        <w:jc w:val="both"/>
        <w:rPr>
          <w:rFonts w:ascii="Times New Roman" w:eastAsia="Times" w:hAnsi="Times New Roman" w:cs="Times New Roman"/>
          <w:b/>
          <w:noProof/>
          <w:sz w:val="24"/>
          <w:szCs w:val="24"/>
          <w:lang w:val="en-IE"/>
        </w:rPr>
      </w:pPr>
      <w:r w:rsidRPr="00532C20">
        <w:rPr>
          <w:rFonts w:ascii="Times New Roman" w:eastAsia="Times" w:hAnsi="Times New Roman" w:cs="Times New Roman"/>
          <w:b/>
          <w:noProof/>
          <w:sz w:val="24"/>
          <w:szCs w:val="24"/>
          <w:lang w:val="en-IE"/>
        </w:rPr>
        <w:t>Overview of main findings regarding transparency registers</w:t>
      </w:r>
    </w:p>
    <w:tbl>
      <w:tblPr>
        <w:tblStyle w:val="Deloitte1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19"/>
        <w:gridCol w:w="4289"/>
      </w:tblGrid>
      <w:tr w:rsidR="0005333A" w:rsidRPr="00532C20" w14:paraId="5862F500" w14:textId="77777777">
        <w:trPr>
          <w:tblHeader/>
        </w:trPr>
        <w:tc>
          <w:tcPr>
            <w:tcW w:w="4423" w:type="dxa"/>
            <w:shd w:val="clear" w:color="auto" w:fill="002060"/>
          </w:tcPr>
          <w:p w14:paraId="37FCD8FF" w14:textId="77777777" w:rsidR="0005333A" w:rsidRPr="00532C20" w:rsidRDefault="0005333A" w:rsidP="004B0958">
            <w:pPr>
              <w:jc w:val="both"/>
              <w:rPr>
                <w:rFonts w:ascii="Times New Roman" w:hAnsi="Times New Roman" w:cs="Times New Roman"/>
                <w:b/>
                <w:noProof/>
                <w:lang w:val="en-IE"/>
              </w:rPr>
            </w:pPr>
            <w:r w:rsidRPr="00532C20">
              <w:rPr>
                <w:rFonts w:ascii="Times New Roman" w:hAnsi="Times New Roman" w:cs="Times New Roman"/>
                <w:b/>
                <w:noProof/>
                <w:lang w:val="en-IE"/>
              </w:rPr>
              <w:t>Transparency register approaches</w:t>
            </w:r>
          </w:p>
        </w:tc>
        <w:tc>
          <w:tcPr>
            <w:tcW w:w="4411" w:type="dxa"/>
            <w:shd w:val="clear" w:color="auto" w:fill="002060"/>
          </w:tcPr>
          <w:p w14:paraId="7A1D7D75" w14:textId="77777777" w:rsidR="0005333A" w:rsidRPr="00532C20" w:rsidRDefault="0005333A" w:rsidP="004B0958">
            <w:pPr>
              <w:jc w:val="both"/>
              <w:rPr>
                <w:rFonts w:ascii="Times New Roman" w:hAnsi="Times New Roman" w:cs="Times New Roman"/>
                <w:b/>
                <w:noProof/>
                <w:lang w:val="en-IE"/>
              </w:rPr>
            </w:pPr>
            <w:r w:rsidRPr="00532C20">
              <w:rPr>
                <w:rFonts w:ascii="Times New Roman" w:hAnsi="Times New Roman" w:cs="Times New Roman"/>
                <w:b/>
                <w:noProof/>
                <w:lang w:val="en-IE"/>
              </w:rPr>
              <w:t>Countries</w:t>
            </w:r>
          </w:p>
        </w:tc>
      </w:tr>
      <w:tr w:rsidR="0005333A" w:rsidRPr="00313F32" w14:paraId="10B0FCD4" w14:textId="77777777">
        <w:tc>
          <w:tcPr>
            <w:tcW w:w="4423" w:type="dxa"/>
            <w:shd w:val="clear" w:color="auto" w:fill="D9D9D9"/>
          </w:tcPr>
          <w:p w14:paraId="675DF8CF" w14:textId="77777777" w:rsidR="0005333A" w:rsidRPr="00532C20" w:rsidRDefault="0005333A" w:rsidP="004B0958">
            <w:pPr>
              <w:spacing w:before="60"/>
              <w:jc w:val="both"/>
              <w:rPr>
                <w:rFonts w:ascii="Times New Roman" w:hAnsi="Times New Roman" w:cs="Times New Roman"/>
                <w:b/>
                <w:noProof/>
                <w:lang w:val="en-IE"/>
              </w:rPr>
            </w:pPr>
            <w:r w:rsidRPr="00532C20">
              <w:rPr>
                <w:rFonts w:ascii="Times New Roman" w:hAnsi="Times New Roman" w:cs="Times New Roman"/>
                <w:b/>
                <w:noProof/>
                <w:lang w:val="en-IE"/>
              </w:rPr>
              <w:t xml:space="preserve">15 Member States with transparency register related to interest representation </w:t>
            </w:r>
          </w:p>
          <w:p w14:paraId="1B1F080D" w14:textId="7B27C89C" w:rsidR="0005333A" w:rsidRPr="00532C20" w:rsidRDefault="0005333A" w:rsidP="004B0958">
            <w:pPr>
              <w:spacing w:before="60"/>
              <w:jc w:val="both"/>
              <w:rPr>
                <w:rFonts w:ascii="Times New Roman" w:hAnsi="Times New Roman" w:cs="Times New Roman"/>
                <w:b/>
                <w:noProof/>
                <w:lang w:val="en-IE"/>
              </w:rPr>
            </w:pPr>
            <w:r w:rsidRPr="00532C20">
              <w:rPr>
                <w:rFonts w:ascii="Times New Roman" w:hAnsi="Times New Roman" w:cs="Times New Roman"/>
                <w:b/>
                <w:noProof/>
                <w:lang w:val="en-IE"/>
              </w:rPr>
              <w:t xml:space="preserve">(No Member State with transparency register specifically related to </w:t>
            </w:r>
            <w:r w:rsidR="007F7935">
              <w:rPr>
                <w:rFonts w:ascii="Times New Roman" w:hAnsi="Times New Roman" w:cs="Times New Roman"/>
                <w:b/>
                <w:noProof/>
                <w:lang w:val="en-IE"/>
              </w:rPr>
              <w:t>interest representation activities carried out on behalf of third countries</w:t>
            </w:r>
            <w:r w:rsidRPr="00532C20">
              <w:rPr>
                <w:rFonts w:ascii="Times New Roman" w:hAnsi="Times New Roman" w:cs="Times New Roman"/>
                <w:b/>
                <w:noProof/>
                <w:lang w:val="en-IE"/>
              </w:rPr>
              <w:t xml:space="preserve">) </w:t>
            </w:r>
          </w:p>
        </w:tc>
        <w:tc>
          <w:tcPr>
            <w:tcW w:w="4411" w:type="dxa"/>
            <w:shd w:val="clear" w:color="auto" w:fill="D9D9D9"/>
          </w:tcPr>
          <w:p w14:paraId="10848EF3" w14:textId="0BCA8FCC" w:rsidR="0005333A" w:rsidRPr="00532C20" w:rsidRDefault="0005333A" w:rsidP="004B0958">
            <w:pPr>
              <w:spacing w:before="60"/>
              <w:jc w:val="both"/>
              <w:rPr>
                <w:rFonts w:ascii="Times New Roman" w:hAnsi="Times New Roman" w:cs="Times New Roman"/>
                <w:noProof/>
                <w:lang w:val="es-ES"/>
              </w:rPr>
            </w:pPr>
            <w:r w:rsidRPr="00532C20">
              <w:rPr>
                <w:rFonts w:ascii="Times New Roman" w:hAnsi="Times New Roman" w:cs="Times New Roman"/>
                <w:noProof/>
                <w:lang w:val="es-ES"/>
              </w:rPr>
              <w:t xml:space="preserve">BE, CY, DE, </w:t>
            </w:r>
            <w:r w:rsidR="001E13B2" w:rsidRPr="00532C20">
              <w:rPr>
                <w:rFonts w:ascii="Times New Roman" w:hAnsi="Times New Roman" w:cs="Times New Roman"/>
                <w:noProof/>
                <w:lang w:val="es-ES"/>
              </w:rPr>
              <w:t xml:space="preserve">IE, </w:t>
            </w:r>
            <w:r w:rsidRPr="00532C20">
              <w:rPr>
                <w:rFonts w:ascii="Times New Roman" w:hAnsi="Times New Roman" w:cs="Times New Roman"/>
                <w:noProof/>
                <w:lang w:val="es-ES"/>
              </w:rPr>
              <w:t xml:space="preserve">EL, ES, FR, IT, LT, LU, NL, </w:t>
            </w:r>
            <w:r w:rsidR="004A2F47" w:rsidRPr="00532C20">
              <w:rPr>
                <w:rFonts w:ascii="Times New Roman" w:hAnsi="Times New Roman" w:cs="Times New Roman"/>
                <w:noProof/>
                <w:lang w:val="es-ES"/>
              </w:rPr>
              <w:t xml:space="preserve">AT, </w:t>
            </w:r>
            <w:r w:rsidRPr="00532C20">
              <w:rPr>
                <w:rFonts w:ascii="Times New Roman" w:hAnsi="Times New Roman" w:cs="Times New Roman"/>
                <w:noProof/>
                <w:lang w:val="es-ES"/>
              </w:rPr>
              <w:t>RO, SI</w:t>
            </w:r>
            <w:r w:rsidR="00A57EA1" w:rsidRPr="00532C20">
              <w:rPr>
                <w:rFonts w:ascii="Times New Roman" w:hAnsi="Times New Roman" w:cs="Times New Roman"/>
                <w:noProof/>
                <w:lang w:val="es-ES"/>
              </w:rPr>
              <w:t>,</w:t>
            </w:r>
            <w:r w:rsidR="00FC4CA6" w:rsidRPr="00532C20">
              <w:rPr>
                <w:rFonts w:ascii="Times New Roman" w:hAnsi="Times New Roman" w:cs="Times New Roman"/>
                <w:noProof/>
                <w:lang w:val="es-ES"/>
              </w:rPr>
              <w:t xml:space="preserve"> FI</w:t>
            </w:r>
            <w:r w:rsidR="00A57EA1" w:rsidRPr="00532C20">
              <w:rPr>
                <w:rFonts w:ascii="Times New Roman" w:hAnsi="Times New Roman" w:cs="Times New Roman"/>
                <w:noProof/>
                <w:lang w:val="es-ES"/>
              </w:rPr>
              <w:t>.</w:t>
            </w:r>
          </w:p>
          <w:p w14:paraId="486CCAE8" w14:textId="77777777" w:rsidR="0005333A" w:rsidRPr="00532C20" w:rsidRDefault="0005333A" w:rsidP="004B0958">
            <w:pPr>
              <w:spacing w:before="60"/>
              <w:jc w:val="both"/>
              <w:rPr>
                <w:rFonts w:ascii="Times New Roman" w:hAnsi="Times New Roman" w:cs="Times New Roman"/>
                <w:noProof/>
                <w:lang w:val="es-ES"/>
              </w:rPr>
            </w:pPr>
          </w:p>
        </w:tc>
      </w:tr>
      <w:tr w:rsidR="0005333A" w:rsidRPr="00313F32" w14:paraId="4F9FBCA4" w14:textId="77777777">
        <w:tc>
          <w:tcPr>
            <w:tcW w:w="4423" w:type="dxa"/>
            <w:shd w:val="clear" w:color="auto" w:fill="D9D9D9"/>
          </w:tcPr>
          <w:p w14:paraId="70DFFC9F" w14:textId="77777777" w:rsidR="0005333A" w:rsidRPr="00532C20" w:rsidRDefault="0005333A" w:rsidP="004B0958">
            <w:pPr>
              <w:spacing w:before="60"/>
              <w:jc w:val="both"/>
              <w:rPr>
                <w:rFonts w:ascii="Times New Roman" w:hAnsi="Times New Roman" w:cs="Times New Roman"/>
                <w:b/>
                <w:noProof/>
                <w:lang w:val="en-IE"/>
              </w:rPr>
            </w:pPr>
            <w:r w:rsidRPr="00532C20">
              <w:rPr>
                <w:rFonts w:ascii="Times New Roman" w:hAnsi="Times New Roman" w:cs="Times New Roman"/>
                <w:b/>
                <w:noProof/>
                <w:lang w:val="en-IE"/>
              </w:rPr>
              <w:t xml:space="preserve">8 Member States with mandatory transparency registers </w:t>
            </w:r>
          </w:p>
        </w:tc>
        <w:tc>
          <w:tcPr>
            <w:tcW w:w="4411" w:type="dxa"/>
            <w:shd w:val="clear" w:color="auto" w:fill="D9D9D9"/>
          </w:tcPr>
          <w:p w14:paraId="5BEB5506" w14:textId="63B9AF8B" w:rsidR="0005333A" w:rsidRPr="00532C20" w:rsidRDefault="0005333A" w:rsidP="004B0958">
            <w:pPr>
              <w:spacing w:before="60"/>
              <w:jc w:val="both"/>
              <w:rPr>
                <w:rFonts w:ascii="Times New Roman" w:hAnsi="Times New Roman" w:cs="Times New Roman"/>
                <w:noProof/>
                <w:lang w:val="es-ES"/>
              </w:rPr>
            </w:pPr>
            <w:r w:rsidRPr="00532C20">
              <w:rPr>
                <w:rFonts w:ascii="Times New Roman" w:hAnsi="Times New Roman" w:cs="Times New Roman"/>
                <w:noProof/>
                <w:lang w:val="es-ES"/>
              </w:rPr>
              <w:t xml:space="preserve">DE, ES, FR, </w:t>
            </w:r>
            <w:r w:rsidR="001416A6" w:rsidRPr="00532C20">
              <w:rPr>
                <w:rFonts w:ascii="Times New Roman" w:hAnsi="Times New Roman" w:cs="Times New Roman"/>
                <w:noProof/>
                <w:lang w:val="es-ES"/>
              </w:rPr>
              <w:t xml:space="preserve">CY, </w:t>
            </w:r>
            <w:r w:rsidRPr="00532C20">
              <w:rPr>
                <w:rFonts w:ascii="Times New Roman" w:hAnsi="Times New Roman" w:cs="Times New Roman"/>
                <w:noProof/>
                <w:lang w:val="es-ES"/>
              </w:rPr>
              <w:t xml:space="preserve">LU, NL, </w:t>
            </w:r>
            <w:r w:rsidR="00FF5200" w:rsidRPr="00532C20">
              <w:rPr>
                <w:rFonts w:ascii="Times New Roman" w:hAnsi="Times New Roman" w:cs="Times New Roman"/>
                <w:noProof/>
                <w:lang w:val="es-ES"/>
              </w:rPr>
              <w:t>AT</w:t>
            </w:r>
            <w:r w:rsidR="002227D3" w:rsidRPr="00532C20">
              <w:rPr>
                <w:rFonts w:ascii="Times New Roman" w:hAnsi="Times New Roman" w:cs="Times New Roman"/>
                <w:noProof/>
                <w:lang w:val="es-ES"/>
              </w:rPr>
              <w:t xml:space="preserve">, </w:t>
            </w:r>
            <w:r w:rsidRPr="00532C20">
              <w:rPr>
                <w:rFonts w:ascii="Times New Roman" w:hAnsi="Times New Roman" w:cs="Times New Roman"/>
                <w:noProof/>
                <w:lang w:val="es-ES"/>
              </w:rPr>
              <w:t>RO</w:t>
            </w:r>
          </w:p>
          <w:p w14:paraId="6E29AB5B" w14:textId="77777777" w:rsidR="0005333A" w:rsidRPr="00532C20" w:rsidRDefault="0005333A" w:rsidP="004B0958">
            <w:pPr>
              <w:spacing w:before="60"/>
              <w:jc w:val="both"/>
              <w:rPr>
                <w:rFonts w:ascii="Times New Roman" w:hAnsi="Times New Roman" w:cs="Times New Roman"/>
                <w:noProof/>
                <w:lang w:val="es-ES"/>
              </w:rPr>
            </w:pPr>
          </w:p>
        </w:tc>
      </w:tr>
    </w:tbl>
    <w:p w14:paraId="36D360FF" w14:textId="77777777" w:rsidR="00290872" w:rsidRPr="00532C20" w:rsidRDefault="00290872" w:rsidP="00290872">
      <w:pPr>
        <w:rPr>
          <w:rFonts w:ascii="Times New Roman" w:eastAsia="Times" w:hAnsi="Times New Roman" w:cs="Times New Roman"/>
          <w:b/>
          <w:bCs/>
          <w:noProof/>
          <w:sz w:val="24"/>
          <w:szCs w:val="24"/>
          <w:u w:val="single"/>
          <w:lang w:val="es-ES"/>
        </w:rPr>
      </w:pPr>
    </w:p>
    <w:p w14:paraId="3E14BFB6" w14:textId="77777777" w:rsidR="0005333A" w:rsidRPr="00532C20" w:rsidRDefault="0005333A" w:rsidP="00806528">
      <w:pPr>
        <w:pStyle w:val="ListParagraph"/>
        <w:numPr>
          <w:ilvl w:val="1"/>
          <w:numId w:val="78"/>
        </w:numPr>
        <w:rPr>
          <w:rFonts w:cs="Times New Roman"/>
          <w:b/>
          <w:noProof/>
        </w:rPr>
      </w:pPr>
      <w:r w:rsidRPr="00532C20">
        <w:rPr>
          <w:rFonts w:ascii="Times New Roman" w:hAnsi="Times New Roman" w:cs="Times New Roman"/>
          <w:b/>
          <w:bCs/>
          <w:noProof/>
          <w:u w:val="single"/>
          <w:lang w:val="en-IE"/>
        </w:rPr>
        <w:t>Scope of transparency registers</w:t>
      </w:r>
    </w:p>
    <w:p w14:paraId="3D0B84AE" w14:textId="26E394A8"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1</w:t>
      </w:r>
      <w:r w:rsidR="00357C3D">
        <w:rPr>
          <w:rFonts w:ascii="Times New Roman" w:eastAsia="Times" w:hAnsi="Times New Roman" w:cs="Times New Roman"/>
          <w:noProof/>
          <w:sz w:val="24"/>
          <w:szCs w:val="24"/>
          <w:lang w:val="en-IE"/>
        </w:rPr>
        <w:t>2</w:t>
      </w:r>
      <w:r w:rsidRPr="00532C20">
        <w:rPr>
          <w:rFonts w:ascii="Times New Roman" w:eastAsia="Times" w:hAnsi="Times New Roman" w:cs="Times New Roman"/>
          <w:noProof/>
          <w:sz w:val="24"/>
          <w:szCs w:val="24"/>
          <w:lang w:val="en-IE"/>
        </w:rPr>
        <w:t xml:space="preserve"> Member States (</w:t>
      </w:r>
      <w:r w:rsidRPr="00313F32">
        <w:rPr>
          <w:rFonts w:ascii="Times New Roman" w:eastAsia="Times" w:hAnsi="Times New Roman" w:cs="Times New Roman"/>
          <w:b/>
          <w:noProof/>
          <w:sz w:val="24"/>
          <w:szCs w:val="24"/>
          <w:lang w:val="en-IE"/>
        </w:rPr>
        <w:t xml:space="preserve">BG, CZ, DK, EE, HR, </w:t>
      </w:r>
      <w:r w:rsidR="00ED2883" w:rsidRPr="00313F32">
        <w:rPr>
          <w:rFonts w:ascii="Times New Roman" w:eastAsia="Times" w:hAnsi="Times New Roman" w:cs="Times New Roman"/>
          <w:b/>
          <w:noProof/>
          <w:sz w:val="24"/>
          <w:szCs w:val="24"/>
          <w:lang w:val="en-IE"/>
        </w:rPr>
        <w:t>LV</w:t>
      </w:r>
      <w:r w:rsidR="005D3B98" w:rsidRPr="00313F32">
        <w:rPr>
          <w:rFonts w:ascii="Times New Roman" w:eastAsia="Times" w:hAnsi="Times New Roman" w:cs="Times New Roman"/>
          <w:b/>
          <w:noProof/>
          <w:sz w:val="24"/>
          <w:szCs w:val="24"/>
          <w:lang w:val="en-IE"/>
        </w:rPr>
        <w:t>,</w:t>
      </w:r>
      <w:r w:rsidR="00ED2883" w:rsidRPr="00313F32">
        <w:rPr>
          <w:rFonts w:ascii="Times New Roman" w:eastAsia="Times" w:hAnsi="Times New Roman" w:cs="Times New Roman"/>
          <w:b/>
          <w:noProof/>
          <w:sz w:val="24"/>
          <w:szCs w:val="24"/>
          <w:lang w:val="en-IE"/>
        </w:rPr>
        <w:t xml:space="preserve"> </w:t>
      </w:r>
      <w:r w:rsidRPr="00313F32">
        <w:rPr>
          <w:rFonts w:ascii="Times New Roman" w:eastAsia="Times" w:hAnsi="Times New Roman" w:cs="Times New Roman"/>
          <w:b/>
          <w:noProof/>
          <w:sz w:val="24"/>
          <w:szCs w:val="24"/>
          <w:lang w:val="en-IE"/>
        </w:rPr>
        <w:t>HU, MT, PL, PT, SK</w:t>
      </w:r>
      <w:r w:rsidR="005D3B98" w:rsidRPr="00313F32">
        <w:rPr>
          <w:rFonts w:ascii="Times New Roman" w:eastAsia="Times" w:hAnsi="Times New Roman" w:cs="Times New Roman"/>
          <w:b/>
          <w:noProof/>
          <w:sz w:val="24"/>
          <w:szCs w:val="24"/>
          <w:lang w:val="en-IE"/>
        </w:rPr>
        <w:t>, SE</w:t>
      </w:r>
      <w:r w:rsidRPr="00532C20">
        <w:rPr>
          <w:rFonts w:ascii="Times New Roman" w:eastAsia="Times" w:hAnsi="Times New Roman" w:cs="Times New Roman"/>
          <w:noProof/>
          <w:sz w:val="24"/>
          <w:szCs w:val="24"/>
          <w:lang w:val="en-IE"/>
        </w:rPr>
        <w:t xml:space="preserve">) do not have a transparency register </w:t>
      </w:r>
      <w:r w:rsidR="00290851" w:rsidRPr="00532C20">
        <w:rPr>
          <w:rFonts w:ascii="Times New Roman" w:eastAsia="Times" w:hAnsi="Times New Roman" w:cs="Times New Roman"/>
          <w:noProof/>
          <w:sz w:val="24"/>
          <w:szCs w:val="24"/>
          <w:lang w:val="en-IE"/>
        </w:rPr>
        <w:t>covering</w:t>
      </w:r>
      <w:r w:rsidRPr="00532C20">
        <w:rPr>
          <w:rFonts w:ascii="Times New Roman" w:eastAsia="Times" w:hAnsi="Times New Roman" w:cs="Times New Roman"/>
          <w:noProof/>
          <w:sz w:val="24"/>
          <w:szCs w:val="24"/>
          <w:lang w:val="en-IE"/>
        </w:rPr>
        <w:t xml:space="preserve"> interest representation activities and</w:t>
      </w:r>
      <w:r w:rsidR="00103E2F">
        <w:rPr>
          <w:rFonts w:ascii="Times New Roman" w:eastAsia="Times" w:hAnsi="Times New Roman" w:cs="Times New Roman"/>
          <w:noProof/>
          <w:sz w:val="24"/>
          <w:szCs w:val="24"/>
          <w:lang w:val="en-IE"/>
        </w:rPr>
        <w:t>/or</w:t>
      </w:r>
      <w:r w:rsidRPr="00532C20">
        <w:rPr>
          <w:rFonts w:ascii="Times New Roman" w:eastAsia="Times" w:hAnsi="Times New Roman" w:cs="Times New Roman"/>
          <w:noProof/>
          <w:sz w:val="24"/>
          <w:szCs w:val="24"/>
          <w:lang w:val="en-IE"/>
        </w:rPr>
        <w:t xml:space="preserve"> </w:t>
      </w:r>
      <w:r w:rsidR="00290851" w:rsidRPr="00532C20">
        <w:rPr>
          <w:rFonts w:ascii="Times New Roman" w:eastAsia="Times" w:hAnsi="Times New Roman" w:cs="Times New Roman"/>
          <w:noProof/>
          <w:sz w:val="24"/>
          <w:szCs w:val="24"/>
          <w:lang w:val="en-IE"/>
        </w:rPr>
        <w:t xml:space="preserve">do not have </w:t>
      </w:r>
      <w:r w:rsidRPr="00532C20">
        <w:rPr>
          <w:rFonts w:ascii="Times New Roman" w:eastAsia="Times" w:hAnsi="Times New Roman" w:cs="Times New Roman"/>
          <w:noProof/>
          <w:sz w:val="24"/>
          <w:szCs w:val="24"/>
          <w:lang w:val="en-IE"/>
        </w:rPr>
        <w:t xml:space="preserve">specific rules on </w:t>
      </w:r>
      <w:r w:rsidR="00103E2F">
        <w:rPr>
          <w:rFonts w:ascii="Times New Roman" w:eastAsia="Times" w:hAnsi="Times New Roman" w:cs="Times New Roman"/>
          <w:noProof/>
          <w:sz w:val="24"/>
          <w:szCs w:val="24"/>
          <w:lang w:val="en-IE"/>
        </w:rPr>
        <w:t>interest representation activities carried out on behalf of third countries</w:t>
      </w:r>
      <w:r w:rsidRPr="00532C20">
        <w:rPr>
          <w:rFonts w:ascii="Times New Roman" w:eastAsia="Times" w:hAnsi="Times New Roman" w:cs="Times New Roman"/>
          <w:noProof/>
          <w:sz w:val="24"/>
          <w:szCs w:val="24"/>
          <w:lang w:val="en-IE"/>
        </w:rPr>
        <w:t xml:space="preserve">. </w:t>
      </w:r>
    </w:p>
    <w:p w14:paraId="7DEDDFB3" w14:textId="1285A4D6"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1</w:t>
      </w:r>
      <w:r w:rsidR="0050249E">
        <w:rPr>
          <w:rFonts w:ascii="Times New Roman" w:eastAsia="Times" w:hAnsi="Times New Roman" w:cs="Times New Roman"/>
          <w:noProof/>
          <w:sz w:val="24"/>
          <w:szCs w:val="24"/>
          <w:lang w:val="en-IE"/>
        </w:rPr>
        <w:t>5</w:t>
      </w:r>
      <w:r w:rsidRPr="00532C20">
        <w:rPr>
          <w:rFonts w:ascii="Times New Roman" w:eastAsia="Times" w:hAnsi="Times New Roman" w:cs="Times New Roman"/>
          <w:noProof/>
          <w:sz w:val="24"/>
          <w:szCs w:val="24"/>
          <w:lang w:val="en-IE"/>
        </w:rPr>
        <w:t xml:space="preserve"> Member States (</w:t>
      </w:r>
      <w:r w:rsidRPr="00313F32">
        <w:rPr>
          <w:rFonts w:ascii="Times New Roman" w:eastAsia="Times" w:hAnsi="Times New Roman" w:cs="Times New Roman"/>
          <w:b/>
          <w:noProof/>
          <w:sz w:val="24"/>
          <w:szCs w:val="24"/>
          <w:lang w:val="en-IE"/>
        </w:rPr>
        <w:t xml:space="preserve">BE, DE, </w:t>
      </w:r>
      <w:r w:rsidR="00B02162" w:rsidRPr="00313F32">
        <w:rPr>
          <w:rFonts w:ascii="Times New Roman" w:eastAsia="Times" w:hAnsi="Times New Roman" w:cs="Times New Roman"/>
          <w:b/>
          <w:noProof/>
          <w:sz w:val="24"/>
          <w:szCs w:val="24"/>
          <w:lang w:val="en-IE"/>
        </w:rPr>
        <w:t xml:space="preserve">IE, </w:t>
      </w:r>
      <w:r w:rsidRPr="00313F32">
        <w:rPr>
          <w:rFonts w:ascii="Times New Roman" w:eastAsia="Times" w:hAnsi="Times New Roman" w:cs="Times New Roman"/>
          <w:b/>
          <w:noProof/>
          <w:sz w:val="24"/>
          <w:szCs w:val="24"/>
          <w:lang w:val="en-IE"/>
        </w:rPr>
        <w:t xml:space="preserve">EL, ES, </w:t>
      </w:r>
      <w:r w:rsidR="0050249E">
        <w:rPr>
          <w:rFonts w:ascii="Times New Roman" w:eastAsia="Times" w:hAnsi="Times New Roman" w:cs="Times New Roman"/>
          <w:b/>
          <w:bCs/>
          <w:noProof/>
          <w:sz w:val="24"/>
          <w:szCs w:val="24"/>
          <w:lang w:val="en-IE"/>
        </w:rPr>
        <w:t xml:space="preserve">FI, </w:t>
      </w:r>
      <w:r w:rsidRPr="00313F32">
        <w:rPr>
          <w:rFonts w:ascii="Times New Roman" w:eastAsia="Times" w:hAnsi="Times New Roman" w:cs="Times New Roman"/>
          <w:b/>
          <w:noProof/>
          <w:sz w:val="24"/>
          <w:szCs w:val="24"/>
          <w:lang w:val="en-IE"/>
        </w:rPr>
        <w:t>FR, IT, CY</w:t>
      </w:r>
      <w:r w:rsidR="00FC19A9" w:rsidRPr="00313F32">
        <w:rPr>
          <w:rFonts w:ascii="Times New Roman" w:eastAsia="Times" w:hAnsi="Times New Roman" w:cs="Times New Roman"/>
          <w:b/>
          <w:noProof/>
          <w:sz w:val="24"/>
          <w:szCs w:val="24"/>
          <w:lang w:val="en-IE"/>
        </w:rPr>
        <w:t>,</w:t>
      </w:r>
      <w:r w:rsidR="00086EE9" w:rsidRPr="00313F32">
        <w:rPr>
          <w:rFonts w:ascii="Times New Roman" w:eastAsia="Times" w:hAnsi="Times New Roman" w:cs="Times New Roman"/>
          <w:b/>
          <w:noProof/>
          <w:sz w:val="24"/>
          <w:szCs w:val="24"/>
          <w:lang w:val="en-IE"/>
        </w:rPr>
        <w:t xml:space="preserve"> </w:t>
      </w:r>
      <w:r w:rsidRPr="00313F32">
        <w:rPr>
          <w:rFonts w:ascii="Times New Roman" w:eastAsia="Times" w:hAnsi="Times New Roman" w:cs="Times New Roman"/>
          <w:b/>
          <w:noProof/>
          <w:sz w:val="24"/>
          <w:szCs w:val="24"/>
          <w:lang w:val="en-IE"/>
        </w:rPr>
        <w:t xml:space="preserve">LT, LU, NL, </w:t>
      </w:r>
      <w:r w:rsidR="00FC53AF" w:rsidRPr="00313F32">
        <w:rPr>
          <w:rFonts w:ascii="Times New Roman" w:eastAsia="Times" w:hAnsi="Times New Roman" w:cs="Times New Roman"/>
          <w:b/>
          <w:noProof/>
          <w:sz w:val="24"/>
          <w:szCs w:val="24"/>
          <w:lang w:val="en-IE"/>
        </w:rPr>
        <w:t xml:space="preserve">AT, </w:t>
      </w:r>
      <w:r w:rsidRPr="00313F32">
        <w:rPr>
          <w:rFonts w:ascii="Times New Roman" w:eastAsia="Times" w:hAnsi="Times New Roman" w:cs="Times New Roman"/>
          <w:b/>
          <w:noProof/>
          <w:sz w:val="24"/>
          <w:szCs w:val="24"/>
          <w:lang w:val="en-IE"/>
        </w:rPr>
        <w:t>RO, SI</w:t>
      </w:r>
      <w:r w:rsidRPr="00532C20">
        <w:rPr>
          <w:rFonts w:ascii="Times New Roman" w:eastAsia="Times" w:hAnsi="Times New Roman" w:cs="Times New Roman"/>
          <w:noProof/>
          <w:sz w:val="24"/>
          <w:szCs w:val="24"/>
          <w:lang w:val="en-IE"/>
        </w:rPr>
        <w:t xml:space="preserve">) have a form of transparency register in place to monitor </w:t>
      </w:r>
      <w:r w:rsidR="00493B2F">
        <w:rPr>
          <w:rFonts w:ascii="Times New Roman" w:eastAsia="Times" w:hAnsi="Times New Roman" w:cs="Times New Roman"/>
          <w:noProof/>
          <w:sz w:val="24"/>
          <w:szCs w:val="24"/>
          <w:lang w:val="en-IE"/>
        </w:rPr>
        <w:t xml:space="preserve">interest representation </w:t>
      </w:r>
      <w:r w:rsidRPr="00532C20">
        <w:rPr>
          <w:rFonts w:ascii="Times New Roman" w:eastAsia="Times" w:hAnsi="Times New Roman" w:cs="Times New Roman"/>
          <w:noProof/>
          <w:sz w:val="24"/>
          <w:szCs w:val="24"/>
          <w:lang w:val="en-IE"/>
        </w:rPr>
        <w:t xml:space="preserve">activities. </w:t>
      </w:r>
      <w:r w:rsidRPr="00532C20">
        <w:rPr>
          <w:rFonts w:ascii="Times New Roman" w:eastAsia="Times" w:hAnsi="Times New Roman" w:cs="Times New Roman"/>
          <w:b/>
          <w:bCs/>
          <w:noProof/>
          <w:sz w:val="24"/>
          <w:szCs w:val="24"/>
          <w:lang w:val="en-IE"/>
        </w:rPr>
        <w:t>Belgium</w:t>
      </w:r>
      <w:r w:rsidRPr="00532C20">
        <w:rPr>
          <w:rFonts w:ascii="Times New Roman" w:eastAsia="Times" w:hAnsi="Times New Roman" w:cs="Times New Roman"/>
          <w:noProof/>
          <w:sz w:val="24"/>
          <w:szCs w:val="24"/>
          <w:lang w:val="en-IE"/>
        </w:rPr>
        <w:t xml:space="preserve"> has a transparency register at federal level, </w:t>
      </w:r>
      <w:r w:rsidR="00754170" w:rsidRPr="00532C20">
        <w:rPr>
          <w:rFonts w:ascii="Times New Roman" w:eastAsia="Times" w:hAnsi="Times New Roman" w:cs="Times New Roman"/>
          <w:noProof/>
          <w:sz w:val="24"/>
          <w:szCs w:val="24"/>
          <w:lang w:val="en-IE"/>
        </w:rPr>
        <w:t xml:space="preserve">and </w:t>
      </w:r>
      <w:r w:rsidRPr="00532C20">
        <w:rPr>
          <w:rFonts w:ascii="Times New Roman" w:eastAsia="Times" w:hAnsi="Times New Roman" w:cs="Times New Roman"/>
          <w:noProof/>
          <w:sz w:val="24"/>
          <w:szCs w:val="24"/>
          <w:lang w:val="en-IE"/>
        </w:rPr>
        <w:t xml:space="preserve">not on the level of its regions and communities. </w:t>
      </w:r>
      <w:r w:rsidRPr="00532C20">
        <w:rPr>
          <w:rFonts w:ascii="Times New Roman" w:eastAsia="Times" w:hAnsi="Times New Roman" w:cs="Times New Roman"/>
          <w:b/>
          <w:bCs/>
          <w:noProof/>
          <w:sz w:val="24"/>
          <w:szCs w:val="24"/>
          <w:lang w:val="en-IE"/>
        </w:rPr>
        <w:t>Spain</w:t>
      </w:r>
      <w:r w:rsidRPr="00532C20">
        <w:rPr>
          <w:rFonts w:ascii="Times New Roman" w:eastAsia="Times" w:hAnsi="Times New Roman" w:cs="Times New Roman"/>
          <w:noProof/>
          <w:sz w:val="24"/>
          <w:szCs w:val="24"/>
          <w:lang w:val="en-IE"/>
        </w:rPr>
        <w:t xml:space="preserve"> has transparency registers in place only in certain regions</w:t>
      </w:r>
      <w:r w:rsidRPr="00532C20">
        <w:rPr>
          <w:rFonts w:ascii="Times New Roman" w:eastAsia="Times" w:hAnsi="Times New Roman" w:cs="Times New Roman"/>
          <w:noProof/>
          <w:sz w:val="24"/>
          <w:szCs w:val="24"/>
          <w:vertAlign w:val="superscript"/>
          <w:lang w:val="en-IE"/>
        </w:rPr>
        <w:footnoteReference w:id="312"/>
      </w:r>
      <w:r w:rsidRPr="00532C20">
        <w:rPr>
          <w:rFonts w:ascii="Times New Roman" w:eastAsia="Times" w:hAnsi="Times New Roman" w:cs="Times New Roman"/>
          <w:noProof/>
          <w:sz w:val="24"/>
          <w:szCs w:val="24"/>
          <w:lang w:val="en-IE"/>
        </w:rPr>
        <w:t>, but a draft national level law is in the legislative pipeline</w:t>
      </w:r>
      <w:r w:rsidRPr="00532C20">
        <w:rPr>
          <w:rFonts w:ascii="Times New Roman" w:eastAsia="Times" w:hAnsi="Times New Roman" w:cs="Times New Roman"/>
          <w:noProof/>
          <w:sz w:val="24"/>
          <w:szCs w:val="24"/>
          <w:vertAlign w:val="superscript"/>
          <w:lang w:val="en-IE"/>
        </w:rPr>
        <w:footnoteReference w:id="313"/>
      </w:r>
      <w:r w:rsidRPr="00532C20">
        <w:rPr>
          <w:rFonts w:ascii="Times New Roman" w:eastAsia="Times" w:hAnsi="Times New Roman" w:cs="Times New Roman"/>
          <w:noProof/>
          <w:sz w:val="24"/>
          <w:szCs w:val="24"/>
          <w:lang w:val="en-IE"/>
        </w:rPr>
        <w:t>.</w:t>
      </w:r>
    </w:p>
    <w:p w14:paraId="29ABC3B9" w14:textId="77777777"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The scope of rules related to transparency registers in the Member States where such transparency registers exist show some similarities.</w:t>
      </w:r>
    </w:p>
    <w:p w14:paraId="3D80670D" w14:textId="11F15C38"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The actors required to register are usually formulated in general terms (</w:t>
      </w:r>
      <w:r w:rsidRPr="00532C20">
        <w:rPr>
          <w:rFonts w:ascii="Times New Roman" w:eastAsia="Times" w:hAnsi="Times New Roman" w:cs="Times New Roman"/>
          <w:b/>
          <w:noProof/>
          <w:sz w:val="24"/>
          <w:szCs w:val="24"/>
          <w:lang w:val="en-IE"/>
        </w:rPr>
        <w:t xml:space="preserve">DE, </w:t>
      </w:r>
      <w:r w:rsidR="005B5F2A" w:rsidRPr="00532C20">
        <w:rPr>
          <w:rFonts w:ascii="Times New Roman" w:eastAsia="Times" w:hAnsi="Times New Roman" w:cs="Times New Roman"/>
          <w:b/>
          <w:noProof/>
          <w:sz w:val="24"/>
          <w:szCs w:val="24"/>
          <w:lang w:val="en-IE"/>
        </w:rPr>
        <w:t xml:space="preserve">IE, </w:t>
      </w:r>
      <w:r w:rsidRPr="00532C20">
        <w:rPr>
          <w:rFonts w:ascii="Times New Roman" w:eastAsia="Times" w:hAnsi="Times New Roman" w:cs="Times New Roman"/>
          <w:b/>
          <w:noProof/>
          <w:sz w:val="24"/>
          <w:szCs w:val="24"/>
          <w:lang w:val="en-IE"/>
        </w:rPr>
        <w:t xml:space="preserve">ES, IT, </w:t>
      </w:r>
      <w:r w:rsidR="005B5F2A" w:rsidRPr="00532C20">
        <w:rPr>
          <w:rFonts w:ascii="Times New Roman" w:eastAsia="Times" w:hAnsi="Times New Roman" w:cs="Times New Roman"/>
          <w:b/>
          <w:noProof/>
          <w:sz w:val="24"/>
          <w:szCs w:val="24"/>
          <w:lang w:val="en-IE"/>
        </w:rPr>
        <w:t xml:space="preserve">CY, </w:t>
      </w:r>
      <w:r w:rsidRPr="00532C20">
        <w:rPr>
          <w:rFonts w:ascii="Times New Roman" w:eastAsia="Times" w:hAnsi="Times New Roman" w:cs="Times New Roman"/>
          <w:b/>
          <w:noProof/>
          <w:sz w:val="24"/>
          <w:szCs w:val="24"/>
          <w:lang w:val="en-IE"/>
        </w:rPr>
        <w:t>LT, LU, RO, SI</w:t>
      </w:r>
      <w:r w:rsidRPr="00532C20">
        <w:rPr>
          <w:rFonts w:ascii="Times New Roman" w:eastAsia="Times" w:hAnsi="Times New Roman" w:cs="Times New Roman"/>
          <w:noProof/>
          <w:sz w:val="24"/>
          <w:szCs w:val="24"/>
          <w:lang w:val="en-IE"/>
        </w:rPr>
        <w:t>). In other words, natural and legal persons conducting lobbying activities have an obligation to register themselves as lobbyists (sometime national laws refer to lobbyists as interest representatives). In</w:t>
      </w:r>
      <w:r w:rsidRPr="00532C20" w:rsidDel="00942EEB">
        <w:rPr>
          <w:rFonts w:ascii="Times New Roman" w:eastAsia="Times" w:hAnsi="Times New Roman" w:cs="Times New Roman"/>
          <w:noProof/>
          <w:sz w:val="24"/>
          <w:szCs w:val="24"/>
          <w:lang w:val="en-IE"/>
        </w:rPr>
        <w:t xml:space="preserve"> </w:t>
      </w:r>
      <w:r w:rsidR="00942EEB" w:rsidRPr="00532C20">
        <w:rPr>
          <w:rFonts w:ascii="Times New Roman" w:eastAsia="Times" w:hAnsi="Times New Roman" w:cs="Times New Roman"/>
          <w:noProof/>
          <w:sz w:val="24"/>
          <w:szCs w:val="24"/>
          <w:lang w:val="en-IE"/>
        </w:rPr>
        <w:t>5</w:t>
      </w:r>
      <w:r w:rsidRPr="00532C20">
        <w:rPr>
          <w:rFonts w:ascii="Times New Roman" w:eastAsia="Times" w:hAnsi="Times New Roman" w:cs="Times New Roman"/>
          <w:noProof/>
          <w:sz w:val="24"/>
          <w:szCs w:val="24"/>
          <w:lang w:val="en-IE"/>
        </w:rPr>
        <w:t xml:space="preserve"> Member States (</w:t>
      </w:r>
      <w:r w:rsidRPr="00532C20">
        <w:rPr>
          <w:rFonts w:ascii="Times New Roman" w:eastAsia="Times" w:hAnsi="Times New Roman" w:cs="Times New Roman"/>
          <w:b/>
          <w:noProof/>
          <w:sz w:val="24"/>
          <w:szCs w:val="24"/>
          <w:lang w:val="en-IE"/>
        </w:rPr>
        <w:t xml:space="preserve">BE, </w:t>
      </w:r>
      <w:r w:rsidR="00BD0140" w:rsidRPr="00532C20">
        <w:rPr>
          <w:rFonts w:ascii="Times New Roman" w:eastAsia="Times" w:hAnsi="Times New Roman" w:cs="Times New Roman"/>
          <w:b/>
          <w:noProof/>
          <w:sz w:val="24"/>
          <w:szCs w:val="24"/>
          <w:lang w:val="en-IE"/>
        </w:rPr>
        <w:t xml:space="preserve">IE, </w:t>
      </w:r>
      <w:r w:rsidRPr="00532C20">
        <w:rPr>
          <w:rFonts w:ascii="Times New Roman" w:eastAsia="Times" w:hAnsi="Times New Roman" w:cs="Times New Roman"/>
          <w:b/>
          <w:noProof/>
          <w:sz w:val="24"/>
          <w:szCs w:val="24"/>
          <w:lang w:val="en-IE"/>
        </w:rPr>
        <w:t>FR, NL</w:t>
      </w:r>
      <w:r w:rsidR="00BD0140" w:rsidRPr="00532C20">
        <w:rPr>
          <w:rFonts w:ascii="Times New Roman" w:eastAsia="Times" w:hAnsi="Times New Roman" w:cs="Times New Roman"/>
          <w:b/>
          <w:noProof/>
          <w:sz w:val="24"/>
          <w:szCs w:val="24"/>
          <w:lang w:val="en-IE"/>
        </w:rPr>
        <w:t>, AT</w:t>
      </w:r>
      <w:r w:rsidRPr="00532C20">
        <w:rPr>
          <w:rFonts w:ascii="Times New Roman" w:eastAsia="Times" w:hAnsi="Times New Roman" w:cs="Times New Roman"/>
          <w:noProof/>
          <w:sz w:val="24"/>
          <w:szCs w:val="24"/>
          <w:lang w:val="en-IE"/>
        </w:rPr>
        <w:t>) more precise rules exist on the personal scope for registering:</w:t>
      </w:r>
    </w:p>
    <w:p w14:paraId="01FE2535" w14:textId="15ACA699" w:rsidR="0005333A" w:rsidRPr="00532C20" w:rsidRDefault="0005333A" w:rsidP="00B379B7">
      <w:pPr>
        <w:pStyle w:val="ListParagraph"/>
        <w:numPr>
          <w:ilvl w:val="0"/>
          <w:numId w:val="89"/>
        </w:numPr>
        <w:spacing w:before="12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Austria</w:t>
      </w:r>
      <w:r w:rsidRPr="00532C20">
        <w:rPr>
          <w:rFonts w:ascii="Times New Roman" w:hAnsi="Times New Roman" w:cs="Times New Roman"/>
          <w:noProof/>
          <w:lang w:val="en-IE"/>
        </w:rPr>
        <w:t xml:space="preserve">: </w:t>
      </w:r>
      <w:r w:rsidR="00C37135" w:rsidRPr="00532C20">
        <w:rPr>
          <w:rFonts w:ascii="Times New Roman" w:eastAsia="Symbol" w:hAnsi="Times New Roman" w:cs="Times New Roman"/>
          <w:noProof/>
          <w:lang w:val="en-IE"/>
        </w:rPr>
        <w:t xml:space="preserve">4 </w:t>
      </w:r>
      <w:r w:rsidRPr="00532C20">
        <w:rPr>
          <w:rFonts w:ascii="Times New Roman" w:eastAsia="Symbol" w:hAnsi="Times New Roman" w:cs="Times New Roman"/>
          <w:noProof/>
          <w:lang w:val="en-IE"/>
        </w:rPr>
        <w:t>types of lobbyists (Types A, B, C, D as explained above) are obliged to register</w:t>
      </w:r>
      <w:r w:rsidR="00252F57" w:rsidRPr="00532C20">
        <w:rPr>
          <w:rFonts w:ascii="Times New Roman" w:eastAsia="Symbol" w:hAnsi="Times New Roman" w:cs="Times New Roman"/>
          <w:noProof/>
          <w:lang w:val="en-IE"/>
        </w:rPr>
        <w:t>;</w:t>
      </w:r>
    </w:p>
    <w:p w14:paraId="0DE620AC" w14:textId="1B7FFB0D" w:rsidR="0005333A" w:rsidRPr="00532C20" w:rsidRDefault="0005333A" w:rsidP="00B379B7">
      <w:pPr>
        <w:pStyle w:val="ListParagraph"/>
        <w:numPr>
          <w:ilvl w:val="0"/>
          <w:numId w:val="89"/>
        </w:numPr>
        <w:spacing w:before="12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Belgium</w:t>
      </w:r>
      <w:r w:rsidRPr="00532C20">
        <w:rPr>
          <w:rFonts w:ascii="Times New Roman" w:hAnsi="Times New Roman" w:cs="Times New Roman"/>
          <w:noProof/>
          <w:lang w:val="en-IE"/>
        </w:rPr>
        <w:t>, the Rules of the House of Representatives specify the entities that are obliged to register. The list includes, for example, specialised law firms, NGOs and think tanks</w:t>
      </w:r>
      <w:r w:rsidR="007D72C2" w:rsidRPr="00532C20">
        <w:rPr>
          <w:rFonts w:ascii="Times New Roman" w:hAnsi="Times New Roman" w:cs="Times New Roman"/>
          <w:noProof/>
          <w:lang w:val="en-IE"/>
        </w:rPr>
        <w:t>;</w:t>
      </w:r>
    </w:p>
    <w:p w14:paraId="508025BA" w14:textId="73F88128" w:rsidR="0005333A" w:rsidRPr="00532C20" w:rsidRDefault="0005333A" w:rsidP="00B379B7">
      <w:pPr>
        <w:pStyle w:val="ListParagraph"/>
        <w:numPr>
          <w:ilvl w:val="0"/>
          <w:numId w:val="89"/>
        </w:numPr>
        <w:spacing w:before="12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noProof/>
          <w:lang w:val="en-IE"/>
        </w:rPr>
        <w:t>France</w:t>
      </w:r>
      <w:r w:rsidRPr="00532C20">
        <w:rPr>
          <w:rFonts w:ascii="Times New Roman" w:hAnsi="Times New Roman" w:cs="Times New Roman"/>
          <w:noProof/>
          <w:lang w:val="en-IE"/>
        </w:rPr>
        <w:t>, the Act on Transparency, Action against Corruption and Modernisation of Economic Life (Law Sapin II) lays down that interest representatives must register. The law defines who can be regarded as an interest representative (for example, certain actors under the Commercial Code)</w:t>
      </w:r>
      <w:r w:rsidR="007D72C2" w:rsidRPr="00532C20">
        <w:rPr>
          <w:rFonts w:ascii="Times New Roman" w:hAnsi="Times New Roman" w:cs="Times New Roman"/>
          <w:noProof/>
          <w:lang w:val="en-IE"/>
        </w:rPr>
        <w:t>;</w:t>
      </w:r>
    </w:p>
    <w:p w14:paraId="5F3426BC" w14:textId="1F7FBF57" w:rsidR="0005333A" w:rsidRPr="00532C20" w:rsidRDefault="0005333A" w:rsidP="00B379B7">
      <w:pPr>
        <w:pStyle w:val="ListParagraph"/>
        <w:numPr>
          <w:ilvl w:val="0"/>
          <w:numId w:val="89"/>
        </w:numPr>
        <w:spacing w:before="12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noProof/>
          <w:lang w:val="en-IE"/>
        </w:rPr>
        <w:t>Ireland</w:t>
      </w:r>
      <w:r w:rsidRPr="00532C20">
        <w:rPr>
          <w:rFonts w:ascii="Times New Roman" w:hAnsi="Times New Roman" w:cs="Times New Roman"/>
          <w:noProof/>
          <w:lang w:val="en-IE"/>
        </w:rPr>
        <w:t xml:space="preserve">, </w:t>
      </w:r>
      <w:r w:rsidRPr="00532C20">
        <w:rPr>
          <w:rFonts w:ascii="Times New Roman" w:eastAsia="Symbol" w:hAnsi="Times New Roman" w:cs="Times New Roman"/>
          <w:noProof/>
          <w:lang w:val="en-IE"/>
        </w:rPr>
        <w:t xml:space="preserve">different </w:t>
      </w:r>
      <w:r w:rsidRPr="00532C20">
        <w:rPr>
          <w:rFonts w:ascii="Times New Roman" w:hAnsi="Times New Roman" w:cs="Times New Roman"/>
          <w:noProof/>
          <w:lang w:val="en-IE"/>
        </w:rPr>
        <w:t>groups</w:t>
      </w:r>
      <w:r w:rsidRPr="00532C20">
        <w:rPr>
          <w:rFonts w:ascii="Times New Roman" w:eastAsia="Symbol" w:hAnsi="Times New Roman" w:cs="Times New Roman"/>
          <w:noProof/>
          <w:lang w:val="en-IE"/>
        </w:rPr>
        <w:t xml:space="preserve"> of lobbyists </w:t>
      </w:r>
      <w:r w:rsidRPr="00532C20">
        <w:rPr>
          <w:rFonts w:ascii="Times New Roman" w:hAnsi="Times New Roman" w:cs="Times New Roman"/>
          <w:noProof/>
          <w:lang w:val="en-IE"/>
        </w:rPr>
        <w:t>are required to register (interest</w:t>
      </w:r>
      <w:r w:rsidRPr="00532C20">
        <w:rPr>
          <w:rFonts w:ascii="Times New Roman" w:eastAsia="Symbol" w:hAnsi="Times New Roman" w:cs="Times New Roman"/>
          <w:noProof/>
          <w:lang w:val="en-IE"/>
        </w:rPr>
        <w:t xml:space="preserve"> body, advocacy </w:t>
      </w:r>
      <w:r w:rsidRPr="00532C20">
        <w:rPr>
          <w:rFonts w:ascii="Times New Roman" w:hAnsi="Times New Roman" w:cs="Times New Roman"/>
          <w:noProof/>
          <w:lang w:val="en-IE"/>
        </w:rPr>
        <w:t>body</w:t>
      </w:r>
      <w:r w:rsidRPr="00532C20">
        <w:rPr>
          <w:rFonts w:ascii="Times New Roman" w:eastAsia="Symbol" w:hAnsi="Times New Roman" w:cs="Times New Roman"/>
          <w:noProof/>
          <w:lang w:val="en-IE"/>
        </w:rPr>
        <w:t xml:space="preserve">, professional lobbyist, </w:t>
      </w:r>
      <w:r w:rsidRPr="00532C20">
        <w:rPr>
          <w:rFonts w:ascii="Times New Roman" w:hAnsi="Times New Roman" w:cs="Times New Roman"/>
          <w:noProof/>
          <w:lang w:val="en-IE"/>
        </w:rPr>
        <w:t>any person communicating about the development or zoning of land)</w:t>
      </w:r>
      <w:r w:rsidR="007D72C2" w:rsidRPr="00532C20">
        <w:rPr>
          <w:rFonts w:ascii="Times New Roman" w:hAnsi="Times New Roman" w:cs="Times New Roman"/>
          <w:noProof/>
          <w:lang w:val="en-IE"/>
        </w:rPr>
        <w:t>;</w:t>
      </w:r>
    </w:p>
    <w:p w14:paraId="6EBEF627" w14:textId="67DA51B3" w:rsidR="0005333A" w:rsidRPr="00532C20" w:rsidRDefault="0005333A" w:rsidP="00B379B7">
      <w:pPr>
        <w:pStyle w:val="ListParagraph"/>
        <w:numPr>
          <w:ilvl w:val="0"/>
          <w:numId w:val="89"/>
        </w:numPr>
        <w:spacing w:before="12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the Netherlands</w:t>
      </w:r>
      <w:r w:rsidRPr="00532C20">
        <w:rPr>
          <w:rFonts w:ascii="Times New Roman" w:hAnsi="Times New Roman" w:cs="Times New Roman"/>
          <w:noProof/>
          <w:lang w:val="en-IE"/>
        </w:rPr>
        <w:t>,</w:t>
      </w:r>
      <w:r w:rsidR="00A90D63" w:rsidRPr="00532C20">
        <w:rPr>
          <w:rFonts w:ascii="Times New Roman" w:hAnsi="Times New Roman" w:cs="Times New Roman"/>
          <w:noProof/>
          <w:lang w:val="en-IE"/>
        </w:rPr>
        <w:t xml:space="preserve"> 3 </w:t>
      </w:r>
      <w:r w:rsidRPr="00532C20">
        <w:rPr>
          <w:rFonts w:ascii="Times New Roman" w:hAnsi="Times New Roman" w:cs="Times New Roman"/>
          <w:noProof/>
          <w:lang w:val="en-IE"/>
        </w:rPr>
        <w:t>groups are defined who need to register in the public register of lobbyists: public affairs and public relations employees; agency representatives of CSOs; and representatives of municipalities and provinces. At this point, it is noted that further registers exist for parliamentarians, namely a travel register (for example it includes information on who bore the accommodation costs of a certain trip), a register of side activities (for example includes information on income of ancillary activities exercised by a parliamentarian) and gift registers for the House of Representatives and for the Senate (includes information on gifts of parliamentarians received from third parties).</w:t>
      </w:r>
    </w:p>
    <w:p w14:paraId="2EF619AD" w14:textId="347DFE24" w:rsidR="0005333A" w:rsidRPr="00532C20" w:rsidRDefault="00004DF5"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N</w:t>
      </w:r>
      <w:r w:rsidR="0005333A" w:rsidRPr="00532C20">
        <w:rPr>
          <w:rFonts w:ascii="Times New Roman" w:eastAsia="Times" w:hAnsi="Times New Roman" w:cs="Times New Roman"/>
          <w:noProof/>
          <w:sz w:val="24"/>
          <w:szCs w:val="24"/>
          <w:lang w:val="en-IE"/>
        </w:rPr>
        <w:t xml:space="preserve">o Member State legislation with a transparency register in force distinguishes between domestic and foreign lobbyists. The existing rules apply to interest representatives regardless of their domestic or foreign nature and no specific provisions applicable to </w:t>
      </w:r>
      <w:r w:rsidR="007F7935">
        <w:rPr>
          <w:rFonts w:ascii="Times New Roman" w:eastAsia="Times" w:hAnsi="Times New Roman" w:cs="Times New Roman"/>
          <w:noProof/>
          <w:sz w:val="24"/>
          <w:szCs w:val="24"/>
          <w:lang w:val="en-IE"/>
        </w:rPr>
        <w:t>interest representation activities carried out on behalf of third countries</w:t>
      </w:r>
      <w:r w:rsidR="001202F5">
        <w:rPr>
          <w:rFonts w:ascii="Times New Roman" w:eastAsia="Times" w:hAnsi="Times New Roman" w:cs="Times New Roman"/>
          <w:noProof/>
          <w:sz w:val="24"/>
          <w:szCs w:val="24"/>
          <w:lang w:val="en-IE"/>
        </w:rPr>
        <w:t xml:space="preserve"> </w:t>
      </w:r>
      <w:r w:rsidR="0005333A" w:rsidRPr="00532C20">
        <w:rPr>
          <w:rFonts w:ascii="Times New Roman" w:eastAsia="Times" w:hAnsi="Times New Roman" w:cs="Times New Roman"/>
          <w:noProof/>
          <w:sz w:val="24"/>
          <w:szCs w:val="24"/>
          <w:lang w:val="en-IE"/>
        </w:rPr>
        <w:t>exist. Similarly, Member State laws do not require registrants to distinguish between sources of domestic or foreign origin.</w:t>
      </w:r>
    </w:p>
    <w:p w14:paraId="3243BDB7" w14:textId="55EDDCCE" w:rsidR="0005333A" w:rsidRPr="00532C20" w:rsidRDefault="0005333A" w:rsidP="004B0958">
      <w:pPr>
        <w:spacing w:before="120" w:line="240" w:lineRule="auto"/>
        <w:jc w:val="both"/>
        <w:rPr>
          <w:rFonts w:ascii="Times New Roman" w:eastAsia="Times" w:hAnsi="Times New Roman" w:cs="Times New Roman"/>
          <w:b/>
          <w:noProof/>
          <w:sz w:val="24"/>
          <w:szCs w:val="24"/>
          <w:u w:val="single"/>
          <w:lang w:val="en-IE"/>
        </w:rPr>
      </w:pPr>
      <w:r w:rsidRPr="00532C20">
        <w:rPr>
          <w:rFonts w:ascii="Times New Roman" w:eastAsia="Times" w:hAnsi="Times New Roman" w:cs="Times New Roman"/>
          <w:noProof/>
          <w:sz w:val="24"/>
          <w:szCs w:val="24"/>
          <w:lang w:val="en-IE"/>
        </w:rPr>
        <w:t>Furthermore, the definition of lobbying activities varies by Member State</w:t>
      </w:r>
      <w:r w:rsidR="000930C3" w:rsidRPr="00532C20">
        <w:rPr>
          <w:rFonts w:ascii="Times New Roman" w:eastAsia="Times" w:hAnsi="Times New Roman" w:cs="Times New Roman"/>
          <w:noProof/>
          <w:sz w:val="24"/>
          <w:szCs w:val="24"/>
          <w:lang w:val="en-IE"/>
        </w:rPr>
        <w:t>. T</w:t>
      </w:r>
      <w:r w:rsidRPr="00532C20">
        <w:rPr>
          <w:rFonts w:ascii="Times New Roman" w:eastAsia="Times" w:hAnsi="Times New Roman" w:cs="Times New Roman"/>
          <w:noProof/>
          <w:sz w:val="24"/>
          <w:szCs w:val="24"/>
          <w:lang w:val="en-IE"/>
        </w:rPr>
        <w:t xml:space="preserve">he common denominator is that lobbying activities cover activities aimed at influencing public decision-making processes. </w:t>
      </w:r>
      <w:r w:rsidR="00CA1548" w:rsidRPr="00532C20">
        <w:rPr>
          <w:rFonts w:ascii="Times New Roman" w:eastAsia="Times" w:hAnsi="Times New Roman" w:cs="Times New Roman"/>
          <w:noProof/>
          <w:sz w:val="24"/>
          <w:szCs w:val="24"/>
          <w:lang w:val="en-IE"/>
        </w:rPr>
        <w:t>3</w:t>
      </w:r>
      <w:r w:rsidRPr="00532C20">
        <w:rPr>
          <w:rFonts w:ascii="Times New Roman" w:eastAsia="Times" w:hAnsi="Times New Roman" w:cs="Times New Roman"/>
          <w:noProof/>
          <w:sz w:val="24"/>
          <w:szCs w:val="24"/>
          <w:lang w:val="en-IE"/>
        </w:rPr>
        <w:t xml:space="preserve"> Member States (</w:t>
      </w:r>
      <w:r w:rsidRPr="005833C4">
        <w:rPr>
          <w:rFonts w:ascii="Times New Roman" w:eastAsia="Times" w:hAnsi="Times New Roman" w:cs="Times New Roman"/>
          <w:b/>
          <w:bCs/>
          <w:noProof/>
          <w:sz w:val="24"/>
          <w:szCs w:val="24"/>
          <w:lang w:val="en-IE"/>
        </w:rPr>
        <w:t>DE, LU, NL</w:t>
      </w:r>
      <w:r w:rsidRPr="00532C20">
        <w:rPr>
          <w:rFonts w:ascii="Times New Roman" w:eastAsia="Times" w:hAnsi="Times New Roman" w:cs="Times New Roman"/>
          <w:noProof/>
          <w:sz w:val="24"/>
          <w:szCs w:val="24"/>
          <w:lang w:val="en-IE"/>
        </w:rPr>
        <w:t>) have a more restrictive approach, as they narrow down the regulation of lobbying activities to the scope of contacting members of the government and/or the parliament.</w:t>
      </w:r>
    </w:p>
    <w:p w14:paraId="6BD1F456" w14:textId="77777777" w:rsidR="0005333A" w:rsidRPr="00532C20" w:rsidRDefault="0005333A" w:rsidP="00806528">
      <w:pPr>
        <w:pStyle w:val="ListParagraph"/>
        <w:numPr>
          <w:ilvl w:val="1"/>
          <w:numId w:val="78"/>
        </w:numPr>
        <w:rPr>
          <w:rFonts w:cs="Times New Roman"/>
          <w:b/>
          <w:noProof/>
        </w:rPr>
      </w:pPr>
      <w:r w:rsidRPr="00532C20">
        <w:rPr>
          <w:rFonts w:ascii="Times New Roman" w:hAnsi="Times New Roman" w:cs="Times New Roman"/>
          <w:b/>
          <w:bCs/>
          <w:noProof/>
          <w:u w:val="single"/>
          <w:lang w:val="en-IE"/>
        </w:rPr>
        <w:t>Registration process and IT solution used</w:t>
      </w:r>
    </w:p>
    <w:p w14:paraId="709785CB" w14:textId="329123F7"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In</w:t>
      </w:r>
      <w:r w:rsidR="00A90D63" w:rsidRPr="00532C20">
        <w:rPr>
          <w:rFonts w:ascii="Times New Roman" w:eastAsia="Times" w:hAnsi="Times New Roman" w:cs="Times New Roman"/>
          <w:noProof/>
          <w:sz w:val="24"/>
          <w:szCs w:val="24"/>
          <w:lang w:val="en-IE"/>
        </w:rPr>
        <w:t xml:space="preserve"> 8</w:t>
      </w:r>
      <w:r w:rsidRPr="00532C20">
        <w:rPr>
          <w:rFonts w:ascii="Times New Roman" w:eastAsia="Times" w:hAnsi="Times New Roman" w:cs="Times New Roman"/>
          <w:noProof/>
          <w:sz w:val="24"/>
          <w:szCs w:val="24"/>
          <w:lang w:val="en-IE"/>
        </w:rPr>
        <w:t xml:space="preserve"> Member States (</w:t>
      </w:r>
      <w:r w:rsidRPr="00532C20">
        <w:rPr>
          <w:rFonts w:ascii="Times New Roman" w:eastAsia="Times" w:hAnsi="Times New Roman" w:cs="Times New Roman"/>
          <w:b/>
          <w:bCs/>
          <w:noProof/>
          <w:sz w:val="24"/>
          <w:szCs w:val="24"/>
          <w:lang w:val="en-IE"/>
        </w:rPr>
        <w:t>DE, ES</w:t>
      </w:r>
      <w:r w:rsidRPr="00532C20">
        <w:rPr>
          <w:rFonts w:ascii="Times New Roman" w:eastAsia="Times" w:hAnsi="Times New Roman" w:cs="Times New Roman"/>
          <w:b/>
          <w:noProof/>
          <w:sz w:val="24"/>
          <w:szCs w:val="24"/>
          <w:vertAlign w:val="superscript"/>
          <w:lang w:val="en-IE"/>
        </w:rPr>
        <w:footnoteReference w:id="314"/>
      </w:r>
      <w:r w:rsidRPr="00532C20">
        <w:rPr>
          <w:rFonts w:ascii="Times New Roman" w:eastAsia="Times" w:hAnsi="Times New Roman" w:cs="Times New Roman"/>
          <w:b/>
          <w:bCs/>
          <w:noProof/>
          <w:sz w:val="24"/>
          <w:szCs w:val="24"/>
          <w:lang w:val="en-IE"/>
        </w:rPr>
        <w:t xml:space="preserve">, FR, </w:t>
      </w:r>
      <w:r w:rsidR="00E11FA1" w:rsidRPr="00532C20">
        <w:rPr>
          <w:rFonts w:ascii="Times New Roman" w:eastAsia="Times" w:hAnsi="Times New Roman" w:cs="Times New Roman"/>
          <w:b/>
          <w:bCs/>
          <w:noProof/>
          <w:sz w:val="24"/>
          <w:szCs w:val="24"/>
          <w:lang w:val="en-IE"/>
        </w:rPr>
        <w:t xml:space="preserve">CY </w:t>
      </w:r>
      <w:r w:rsidRPr="00532C20">
        <w:rPr>
          <w:rFonts w:ascii="Times New Roman" w:eastAsia="Times" w:hAnsi="Times New Roman" w:cs="Times New Roman"/>
          <w:b/>
          <w:bCs/>
          <w:noProof/>
          <w:sz w:val="24"/>
          <w:szCs w:val="24"/>
          <w:lang w:val="en-IE"/>
        </w:rPr>
        <w:t xml:space="preserve">LU, NL, </w:t>
      </w:r>
      <w:r w:rsidR="00E11FA1" w:rsidRPr="00532C20">
        <w:rPr>
          <w:rFonts w:ascii="Times New Roman" w:eastAsia="Times" w:hAnsi="Times New Roman" w:cs="Times New Roman"/>
          <w:b/>
          <w:bCs/>
          <w:noProof/>
          <w:sz w:val="24"/>
          <w:szCs w:val="24"/>
          <w:lang w:val="en-IE"/>
        </w:rPr>
        <w:t>AT</w:t>
      </w:r>
      <w:r w:rsidRPr="00532C20">
        <w:rPr>
          <w:rFonts w:ascii="Times New Roman" w:eastAsia="Times" w:hAnsi="Times New Roman" w:cs="Times New Roman"/>
          <w:b/>
          <w:bCs/>
          <w:noProof/>
          <w:sz w:val="24"/>
          <w:szCs w:val="24"/>
          <w:lang w:val="en-IE"/>
        </w:rPr>
        <w:t>, RO</w:t>
      </w:r>
      <w:r w:rsidRPr="00532C20">
        <w:rPr>
          <w:rFonts w:ascii="Times New Roman" w:eastAsia="Times" w:hAnsi="Times New Roman" w:cs="Times New Roman"/>
          <w:noProof/>
          <w:sz w:val="24"/>
          <w:szCs w:val="24"/>
          <w:lang w:val="en-IE"/>
        </w:rPr>
        <w:t xml:space="preserve">) with an existing transparency register, registering for lobbyists is mandatory (as mentioned earlier, this is primarily an obligation for the state authorities in Romania). It should be noted that Germany keeps the option for voluntary registration for certain actors (e.g. for religious communities). </w:t>
      </w:r>
      <w:r w:rsidR="00663954" w:rsidRPr="00532C20">
        <w:rPr>
          <w:rFonts w:ascii="Times New Roman" w:eastAsia="Times" w:hAnsi="Times New Roman" w:cs="Times New Roman"/>
          <w:noProof/>
          <w:sz w:val="24"/>
          <w:szCs w:val="24"/>
          <w:lang w:val="en-IE"/>
        </w:rPr>
        <w:t>In</w:t>
      </w:r>
      <w:r w:rsidRPr="00532C20" w:rsidDel="004A5785">
        <w:rPr>
          <w:rFonts w:ascii="Times New Roman" w:eastAsia="Times" w:hAnsi="Times New Roman" w:cs="Times New Roman"/>
          <w:noProof/>
          <w:sz w:val="24"/>
          <w:szCs w:val="24"/>
          <w:lang w:val="en-IE"/>
        </w:rPr>
        <w:t xml:space="preserve"> </w:t>
      </w:r>
      <w:r w:rsidR="004A5785" w:rsidRPr="00532C20">
        <w:rPr>
          <w:rFonts w:ascii="Times New Roman" w:eastAsia="Times" w:hAnsi="Times New Roman" w:cs="Times New Roman"/>
          <w:noProof/>
          <w:sz w:val="24"/>
          <w:szCs w:val="24"/>
          <w:lang w:val="en-IE"/>
        </w:rPr>
        <w:t>2</w:t>
      </w:r>
      <w:r w:rsidRPr="00532C20">
        <w:rPr>
          <w:rFonts w:ascii="Times New Roman" w:eastAsia="Times" w:hAnsi="Times New Roman" w:cs="Times New Roman"/>
          <w:noProof/>
          <w:sz w:val="24"/>
          <w:szCs w:val="24"/>
          <w:lang w:val="en-IE"/>
        </w:rPr>
        <w:t xml:space="preserve"> Member States (</w:t>
      </w:r>
      <w:r w:rsidRPr="00532C20">
        <w:rPr>
          <w:rFonts w:ascii="Times New Roman" w:eastAsia="Times" w:hAnsi="Times New Roman" w:cs="Times New Roman"/>
          <w:b/>
          <w:bCs/>
          <w:noProof/>
          <w:sz w:val="24"/>
          <w:szCs w:val="24"/>
          <w:lang w:val="en-IE"/>
        </w:rPr>
        <w:t>BE, IT</w:t>
      </w:r>
      <w:r w:rsidRPr="00532C20">
        <w:rPr>
          <w:rFonts w:ascii="Times New Roman" w:eastAsia="Times" w:hAnsi="Times New Roman" w:cs="Times New Roman"/>
          <w:noProof/>
          <w:sz w:val="24"/>
          <w:szCs w:val="24"/>
          <w:lang w:val="en-IE"/>
        </w:rPr>
        <w:t xml:space="preserve">) registration is voluntary. </w:t>
      </w:r>
    </w:p>
    <w:p w14:paraId="7FF4B501" w14:textId="051D7A59" w:rsidR="0005333A" w:rsidRPr="00532C20" w:rsidRDefault="00663954"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I</w:t>
      </w:r>
      <w:r w:rsidR="0005333A" w:rsidRPr="00532C20">
        <w:rPr>
          <w:rFonts w:ascii="Times New Roman" w:eastAsia="Times" w:hAnsi="Times New Roman" w:cs="Times New Roman"/>
          <w:noProof/>
          <w:sz w:val="24"/>
          <w:szCs w:val="24"/>
          <w:lang w:val="en-IE"/>
        </w:rPr>
        <w:t xml:space="preserve">nformation regarding the IT solutions used for the registration process is limited in </w:t>
      </w:r>
      <w:r w:rsidR="00CA1548" w:rsidRPr="00532C20">
        <w:rPr>
          <w:rFonts w:ascii="Times New Roman" w:eastAsia="Times" w:hAnsi="Times New Roman" w:cs="Times New Roman"/>
          <w:noProof/>
          <w:sz w:val="24"/>
          <w:szCs w:val="24"/>
          <w:lang w:val="en-IE"/>
        </w:rPr>
        <w:t xml:space="preserve">3 </w:t>
      </w:r>
      <w:r w:rsidR="0005333A" w:rsidRPr="00532C20">
        <w:rPr>
          <w:rFonts w:ascii="Times New Roman" w:eastAsia="Times" w:hAnsi="Times New Roman" w:cs="Times New Roman"/>
          <w:noProof/>
          <w:sz w:val="24"/>
          <w:szCs w:val="24"/>
          <w:lang w:val="en-IE"/>
        </w:rPr>
        <w:t>Member States (</w:t>
      </w:r>
      <w:r w:rsidR="0005333A" w:rsidRPr="00532C20">
        <w:rPr>
          <w:rFonts w:ascii="Times New Roman" w:eastAsia="Times" w:hAnsi="Times New Roman" w:cs="Times New Roman"/>
          <w:b/>
          <w:noProof/>
          <w:sz w:val="24"/>
          <w:szCs w:val="24"/>
          <w:lang w:val="en-IE"/>
        </w:rPr>
        <w:t>EL, ES</w:t>
      </w:r>
      <w:r w:rsidR="003A72AD" w:rsidRPr="00532C20">
        <w:rPr>
          <w:rFonts w:ascii="Times New Roman" w:eastAsia="Times" w:hAnsi="Times New Roman" w:cs="Times New Roman"/>
          <w:b/>
          <w:noProof/>
          <w:sz w:val="24"/>
          <w:szCs w:val="24"/>
          <w:lang w:val="en-IE"/>
        </w:rPr>
        <w:t>, CY</w:t>
      </w:r>
      <w:r w:rsidR="0005333A" w:rsidRPr="00532C20">
        <w:rPr>
          <w:rFonts w:ascii="Times New Roman" w:eastAsia="Times" w:hAnsi="Times New Roman" w:cs="Times New Roman"/>
          <w:noProof/>
          <w:sz w:val="24"/>
          <w:szCs w:val="24"/>
          <w:lang w:val="en-IE"/>
        </w:rPr>
        <w:t>).</w:t>
      </w:r>
    </w:p>
    <w:p w14:paraId="69D0D5BB" w14:textId="77777777"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In most Member States with a transparency register for lobbying activities, the registration of interest representatives takes place online, through a website. An exception is </w:t>
      </w:r>
      <w:r w:rsidRPr="00532C20">
        <w:rPr>
          <w:rFonts w:ascii="Times New Roman" w:eastAsia="Times" w:hAnsi="Times New Roman" w:cs="Times New Roman"/>
          <w:b/>
          <w:noProof/>
          <w:sz w:val="24"/>
          <w:szCs w:val="24"/>
          <w:lang w:val="en-IE"/>
        </w:rPr>
        <w:t>the Netherlands</w:t>
      </w:r>
      <w:r w:rsidRPr="00532C20">
        <w:rPr>
          <w:rFonts w:ascii="Times New Roman" w:eastAsia="Times" w:hAnsi="Times New Roman" w:cs="Times New Roman"/>
          <w:noProof/>
          <w:sz w:val="24"/>
          <w:szCs w:val="24"/>
          <w:lang w:val="en-IE"/>
        </w:rPr>
        <w:t>, where lobbyists wishing to be registered in the transparency register need to pick up a form at the State Passes Service Desk of the House of Representatives (these forms then can be submitted after they are filled out and the data provided is made publicly available online). In the other Member States, where the registration is online, the websites for registering are operated by various bodies:</w:t>
      </w:r>
    </w:p>
    <w:p w14:paraId="0BA45635" w14:textId="1CC65EB2" w:rsidR="0005333A" w:rsidRPr="00532C20" w:rsidRDefault="0005333A" w:rsidP="00B379B7">
      <w:pPr>
        <w:pStyle w:val="ListParagraph"/>
        <w:numPr>
          <w:ilvl w:val="0"/>
          <w:numId w:val="90"/>
        </w:numPr>
        <w:spacing w:before="12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00CA1548" w:rsidRPr="00532C20">
        <w:rPr>
          <w:rFonts w:ascii="Times New Roman" w:hAnsi="Times New Roman" w:cs="Times New Roman"/>
          <w:noProof/>
          <w:lang w:val="en-IE"/>
        </w:rPr>
        <w:t xml:space="preserve">3 </w:t>
      </w:r>
      <w:r w:rsidRPr="00532C20">
        <w:rPr>
          <w:rFonts w:ascii="Times New Roman" w:hAnsi="Times New Roman" w:cs="Times New Roman"/>
          <w:noProof/>
          <w:lang w:val="en-IE"/>
        </w:rPr>
        <w:t>Member States (</w:t>
      </w:r>
      <w:r w:rsidRPr="00532C20">
        <w:rPr>
          <w:rFonts w:ascii="Times New Roman" w:hAnsi="Times New Roman" w:cs="Times New Roman"/>
          <w:b/>
          <w:bCs/>
          <w:noProof/>
          <w:lang w:val="en-IE"/>
        </w:rPr>
        <w:t>BE, DE, LU</w:t>
      </w:r>
      <w:r w:rsidRPr="00532C20">
        <w:rPr>
          <w:rFonts w:ascii="Times New Roman" w:hAnsi="Times New Roman" w:cs="Times New Roman"/>
          <w:noProof/>
          <w:lang w:val="en-IE"/>
        </w:rPr>
        <w:t>), the website is maintained by the (federal) parliament;</w:t>
      </w:r>
    </w:p>
    <w:p w14:paraId="3A8BD89D" w14:textId="0FA8FAEB" w:rsidR="0005333A" w:rsidRPr="00532C20" w:rsidRDefault="0005333A" w:rsidP="00B379B7">
      <w:pPr>
        <w:pStyle w:val="ListParagraph"/>
        <w:numPr>
          <w:ilvl w:val="0"/>
          <w:numId w:val="90"/>
        </w:numPr>
        <w:spacing w:before="12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00CA1548" w:rsidRPr="00532C20">
        <w:rPr>
          <w:rFonts w:ascii="Times New Roman" w:hAnsi="Times New Roman" w:cs="Times New Roman"/>
          <w:noProof/>
          <w:lang w:val="en-IE"/>
        </w:rPr>
        <w:t xml:space="preserve">3 </w:t>
      </w:r>
      <w:r w:rsidRPr="00532C20">
        <w:rPr>
          <w:rFonts w:ascii="Times New Roman" w:hAnsi="Times New Roman" w:cs="Times New Roman"/>
          <w:noProof/>
          <w:lang w:val="en-IE"/>
        </w:rPr>
        <w:t>Member States (</w:t>
      </w:r>
      <w:r w:rsidRPr="00532C20">
        <w:rPr>
          <w:rFonts w:ascii="Times New Roman" w:hAnsi="Times New Roman" w:cs="Times New Roman"/>
          <w:b/>
          <w:bCs/>
          <w:noProof/>
          <w:lang w:val="en-IE"/>
        </w:rPr>
        <w:t xml:space="preserve">IT, </w:t>
      </w:r>
      <w:r w:rsidR="003A72AD" w:rsidRPr="00532C20">
        <w:rPr>
          <w:rFonts w:ascii="Times New Roman" w:hAnsi="Times New Roman" w:cs="Times New Roman"/>
          <w:b/>
          <w:bCs/>
          <w:noProof/>
          <w:lang w:val="en-IE"/>
        </w:rPr>
        <w:t xml:space="preserve">AT, </w:t>
      </w:r>
      <w:r w:rsidRPr="00532C20">
        <w:rPr>
          <w:rFonts w:ascii="Times New Roman" w:hAnsi="Times New Roman" w:cs="Times New Roman"/>
          <w:b/>
          <w:bCs/>
          <w:noProof/>
          <w:lang w:val="en-IE"/>
        </w:rPr>
        <w:t>RO</w:t>
      </w:r>
      <w:r w:rsidRPr="00532C20">
        <w:rPr>
          <w:rFonts w:ascii="Times New Roman" w:hAnsi="Times New Roman" w:cs="Times New Roman"/>
          <w:noProof/>
          <w:lang w:val="en-IE"/>
        </w:rPr>
        <w:t>) the website is maintained by the government;</w:t>
      </w:r>
    </w:p>
    <w:p w14:paraId="2201E311" w14:textId="60AED25A" w:rsidR="0005333A" w:rsidRPr="00532C20" w:rsidRDefault="0005333A" w:rsidP="00B379B7">
      <w:pPr>
        <w:pStyle w:val="ListParagraph"/>
        <w:numPr>
          <w:ilvl w:val="0"/>
          <w:numId w:val="90"/>
        </w:numPr>
        <w:spacing w:before="120"/>
        <w:jc w:val="both"/>
        <w:rPr>
          <w:rFonts w:ascii="Times New Roman" w:hAnsi="Times New Roman" w:cs="Times New Roman"/>
          <w:noProof/>
          <w:lang w:val="en-IE"/>
        </w:rPr>
      </w:pPr>
      <w:r w:rsidRPr="00532C20">
        <w:rPr>
          <w:rFonts w:ascii="Times New Roman" w:hAnsi="Times New Roman" w:cs="Times New Roman"/>
          <w:noProof/>
          <w:lang w:val="en-IE"/>
        </w:rPr>
        <w:t>In</w:t>
      </w:r>
      <w:r w:rsidRPr="00532C20" w:rsidDel="00CA1548">
        <w:rPr>
          <w:rFonts w:ascii="Times New Roman" w:hAnsi="Times New Roman" w:cs="Times New Roman"/>
          <w:noProof/>
          <w:lang w:val="en-IE"/>
        </w:rPr>
        <w:t xml:space="preserve"> </w:t>
      </w:r>
      <w:r w:rsidR="00CA1548" w:rsidRPr="00532C20">
        <w:rPr>
          <w:rFonts w:ascii="Times New Roman" w:hAnsi="Times New Roman" w:cs="Times New Roman"/>
          <w:noProof/>
          <w:lang w:val="en-IE"/>
        </w:rPr>
        <w:t>6</w:t>
      </w:r>
      <w:r w:rsidRPr="00532C20">
        <w:rPr>
          <w:rFonts w:ascii="Times New Roman" w:hAnsi="Times New Roman" w:cs="Times New Roman"/>
          <w:noProof/>
          <w:lang w:val="en-IE"/>
        </w:rPr>
        <w:t xml:space="preserve"> Member States (</w:t>
      </w:r>
      <w:r w:rsidRPr="00532C20">
        <w:rPr>
          <w:rFonts w:ascii="Times New Roman" w:hAnsi="Times New Roman" w:cs="Times New Roman"/>
          <w:b/>
          <w:bCs/>
          <w:noProof/>
          <w:lang w:val="en-IE"/>
        </w:rPr>
        <w:t xml:space="preserve">IE, </w:t>
      </w:r>
      <w:r w:rsidR="003A72AD" w:rsidRPr="00532C20">
        <w:rPr>
          <w:rFonts w:ascii="Times New Roman" w:hAnsi="Times New Roman" w:cs="Times New Roman"/>
          <w:b/>
          <w:bCs/>
          <w:noProof/>
          <w:lang w:val="en-IE"/>
        </w:rPr>
        <w:t xml:space="preserve">EL, FR, CY, </w:t>
      </w:r>
      <w:r w:rsidRPr="00532C20">
        <w:rPr>
          <w:rFonts w:ascii="Times New Roman" w:hAnsi="Times New Roman" w:cs="Times New Roman"/>
          <w:b/>
          <w:bCs/>
          <w:noProof/>
          <w:lang w:val="en-IE"/>
        </w:rPr>
        <w:t>LT, SI</w:t>
      </w:r>
      <w:r w:rsidRPr="00532C20">
        <w:rPr>
          <w:rFonts w:ascii="Times New Roman" w:hAnsi="Times New Roman" w:cs="Times New Roman"/>
          <w:noProof/>
          <w:lang w:val="en-IE"/>
        </w:rPr>
        <w:t>) the website is maintained by a certain state body (e.g. by the National Transparency Authority in Greece).</w:t>
      </w:r>
    </w:p>
    <w:p w14:paraId="3D70C976" w14:textId="3F5ACF98"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As part of the registration process, most Member States require a specific online form (or questionnaire) to be filled out and submitted, accessible on the website. However, in </w:t>
      </w:r>
      <w:r w:rsidR="00CA1548" w:rsidRPr="00532C20">
        <w:rPr>
          <w:rFonts w:ascii="Times New Roman" w:eastAsia="Times" w:hAnsi="Times New Roman" w:cs="Times New Roman"/>
          <w:noProof/>
          <w:sz w:val="24"/>
          <w:szCs w:val="24"/>
          <w:lang w:val="en-IE"/>
        </w:rPr>
        <w:t xml:space="preserve">2 </w:t>
      </w:r>
      <w:r w:rsidRPr="00532C20">
        <w:rPr>
          <w:rFonts w:ascii="Times New Roman" w:eastAsia="Times" w:hAnsi="Times New Roman" w:cs="Times New Roman"/>
          <w:noProof/>
          <w:sz w:val="24"/>
          <w:szCs w:val="24"/>
          <w:lang w:val="en-IE"/>
        </w:rPr>
        <w:t>Member States (</w:t>
      </w:r>
      <w:r w:rsidRPr="00532C20">
        <w:rPr>
          <w:rFonts w:ascii="Times New Roman" w:eastAsia="Times" w:hAnsi="Times New Roman" w:cs="Times New Roman"/>
          <w:b/>
          <w:noProof/>
          <w:sz w:val="24"/>
          <w:szCs w:val="24"/>
          <w:lang w:val="en-IE"/>
        </w:rPr>
        <w:t>LU, RO</w:t>
      </w:r>
      <w:r w:rsidRPr="00532C20">
        <w:rPr>
          <w:rFonts w:ascii="Times New Roman" w:eastAsia="Times" w:hAnsi="Times New Roman" w:cs="Times New Roman"/>
          <w:noProof/>
          <w:sz w:val="24"/>
          <w:szCs w:val="24"/>
          <w:lang w:val="en-IE"/>
        </w:rPr>
        <w:t>) specific rules are in place:</w:t>
      </w:r>
    </w:p>
    <w:p w14:paraId="2AED75E1" w14:textId="77777777" w:rsidR="0005333A" w:rsidRPr="00532C20" w:rsidRDefault="0005333A">
      <w:pPr>
        <w:pStyle w:val="ListParagraph"/>
        <w:numPr>
          <w:ilvl w:val="0"/>
          <w:numId w:val="34"/>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Luxembourg</w:t>
      </w:r>
      <w:r w:rsidRPr="00532C20">
        <w:rPr>
          <w:rFonts w:ascii="Times New Roman" w:hAnsi="Times New Roman" w:cs="Times New Roman"/>
          <w:noProof/>
          <w:lang w:val="en-IE"/>
        </w:rPr>
        <w:t>, registration can take place once a lobbyist has sent an email with relevant data requesting registration to the Chamber of Deputies. The Chamber of Deputies operates a specific email address</w:t>
      </w:r>
      <w:r w:rsidRPr="00532C20">
        <w:rPr>
          <w:rFonts w:ascii="Times New Roman" w:hAnsi="Times New Roman" w:cs="Times New Roman"/>
          <w:noProof/>
          <w:vertAlign w:val="superscript"/>
          <w:lang w:val="en-IE"/>
        </w:rPr>
        <w:footnoteReference w:id="315"/>
      </w:r>
      <w:r w:rsidRPr="00532C20">
        <w:rPr>
          <w:rFonts w:ascii="Times New Roman" w:hAnsi="Times New Roman" w:cs="Times New Roman"/>
          <w:noProof/>
          <w:lang w:val="en-IE"/>
        </w:rPr>
        <w:t xml:space="preserve"> for such requests. An Excel file is accessible on the website of the parliament, which contains specific information on registered lobbyists.</w:t>
      </w:r>
    </w:p>
    <w:p w14:paraId="72D0138C" w14:textId="19DAD20A" w:rsidR="0005333A" w:rsidRPr="00532C20" w:rsidRDefault="0005333A">
      <w:pPr>
        <w:pStyle w:val="ListParagraph"/>
        <w:numPr>
          <w:ilvl w:val="0"/>
          <w:numId w:val="34"/>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Romania</w:t>
      </w:r>
      <w:r w:rsidRPr="00532C20">
        <w:rPr>
          <w:rFonts w:ascii="Times New Roman" w:hAnsi="Times New Roman" w:cs="Times New Roman"/>
          <w:noProof/>
          <w:lang w:val="en-IE"/>
        </w:rPr>
        <w:t xml:space="preserve">, the registration process is in inverse compared to other Member States. This means that decision-makers must administer contacts prior to a meeting with lobbyists into the online transparency register (RUTI), the </w:t>
      </w:r>
      <w:r w:rsidR="005E321A" w:rsidRPr="00532C20">
        <w:rPr>
          <w:rFonts w:ascii="Times New Roman" w:hAnsi="Times New Roman" w:cs="Times New Roman"/>
          <w:noProof/>
          <w:lang w:val="en-IE"/>
        </w:rPr>
        <w:t xml:space="preserve">platform </w:t>
      </w:r>
      <w:r w:rsidRPr="00532C20">
        <w:rPr>
          <w:rFonts w:ascii="Times New Roman" w:hAnsi="Times New Roman" w:cs="Times New Roman"/>
          <w:noProof/>
          <w:lang w:val="en-IE"/>
        </w:rPr>
        <w:t>operated by the government. Lobbyists are obliged to provide necessary data to the state representatives.</w:t>
      </w:r>
    </w:p>
    <w:p w14:paraId="338AE7C2" w14:textId="61C34C2F"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Moreover, as part of the IT solution, </w:t>
      </w:r>
      <w:r w:rsidR="00942EEB" w:rsidRPr="00532C20">
        <w:rPr>
          <w:rFonts w:ascii="Times New Roman" w:eastAsia="Times" w:hAnsi="Times New Roman" w:cs="Times New Roman"/>
          <w:noProof/>
          <w:sz w:val="24"/>
          <w:szCs w:val="24"/>
          <w:lang w:val="en-IE"/>
        </w:rPr>
        <w:t xml:space="preserve">4 </w:t>
      </w:r>
      <w:r w:rsidRPr="00532C20">
        <w:rPr>
          <w:rFonts w:ascii="Times New Roman" w:eastAsia="Times" w:hAnsi="Times New Roman" w:cs="Times New Roman"/>
          <w:noProof/>
          <w:sz w:val="24"/>
          <w:szCs w:val="24"/>
          <w:lang w:val="en-IE"/>
        </w:rPr>
        <w:t>Member States (</w:t>
      </w:r>
      <w:r w:rsidRPr="00532C20">
        <w:rPr>
          <w:rFonts w:ascii="Times New Roman" w:eastAsia="Times" w:hAnsi="Times New Roman" w:cs="Times New Roman"/>
          <w:b/>
          <w:noProof/>
          <w:sz w:val="24"/>
          <w:szCs w:val="24"/>
          <w:lang w:val="en-IE"/>
        </w:rPr>
        <w:t>DE, IE, IT, LT</w:t>
      </w:r>
      <w:r w:rsidRPr="00532C20">
        <w:rPr>
          <w:rFonts w:ascii="Times New Roman" w:eastAsia="Times" w:hAnsi="Times New Roman" w:cs="Times New Roman"/>
          <w:noProof/>
          <w:sz w:val="24"/>
          <w:szCs w:val="24"/>
          <w:lang w:val="en-IE"/>
        </w:rPr>
        <w:t>) require the creation of an account on their website before registering. In</w:t>
      </w:r>
      <w:r w:rsidRPr="00532C20" w:rsidDel="008D2F2A">
        <w:rPr>
          <w:rFonts w:ascii="Times New Roman" w:eastAsia="Times" w:hAnsi="Times New Roman" w:cs="Times New Roman"/>
          <w:noProof/>
          <w:sz w:val="24"/>
          <w:szCs w:val="24"/>
          <w:lang w:val="en-IE"/>
        </w:rPr>
        <w:t xml:space="preserve"> </w:t>
      </w:r>
      <w:r w:rsidR="008D2F2A" w:rsidRPr="00532C20">
        <w:rPr>
          <w:rFonts w:ascii="Times New Roman" w:eastAsia="Times" w:hAnsi="Times New Roman" w:cs="Times New Roman"/>
          <w:noProof/>
          <w:sz w:val="24"/>
          <w:szCs w:val="24"/>
          <w:lang w:val="en-IE"/>
        </w:rPr>
        <w:t>7</w:t>
      </w:r>
      <w:r w:rsidRPr="00532C20">
        <w:rPr>
          <w:rFonts w:ascii="Times New Roman" w:eastAsia="Times" w:hAnsi="Times New Roman" w:cs="Times New Roman"/>
          <w:noProof/>
          <w:sz w:val="24"/>
          <w:szCs w:val="24"/>
          <w:lang w:val="en-IE"/>
        </w:rPr>
        <w:t xml:space="preserve"> Member States (</w:t>
      </w:r>
      <w:r w:rsidRPr="00532C20">
        <w:rPr>
          <w:rFonts w:ascii="Times New Roman" w:eastAsia="Times" w:hAnsi="Times New Roman" w:cs="Times New Roman"/>
          <w:b/>
          <w:noProof/>
          <w:sz w:val="24"/>
          <w:szCs w:val="24"/>
          <w:lang w:val="en-IE"/>
        </w:rPr>
        <w:t xml:space="preserve">BE, </w:t>
      </w:r>
      <w:r w:rsidR="00F77A6F" w:rsidRPr="00532C20">
        <w:rPr>
          <w:rFonts w:ascii="Times New Roman" w:eastAsia="Times" w:hAnsi="Times New Roman" w:cs="Times New Roman"/>
          <w:b/>
          <w:noProof/>
          <w:sz w:val="24"/>
          <w:szCs w:val="24"/>
          <w:lang w:val="en-IE"/>
        </w:rPr>
        <w:t xml:space="preserve">EL, FR, </w:t>
      </w:r>
      <w:r w:rsidRPr="00532C20">
        <w:rPr>
          <w:rFonts w:ascii="Times New Roman" w:eastAsia="Times" w:hAnsi="Times New Roman" w:cs="Times New Roman"/>
          <w:b/>
          <w:noProof/>
          <w:sz w:val="24"/>
          <w:szCs w:val="24"/>
          <w:lang w:val="en-IE"/>
        </w:rPr>
        <w:t xml:space="preserve">CY, </w:t>
      </w:r>
      <w:r w:rsidR="00F77A6F" w:rsidRPr="00532C20">
        <w:rPr>
          <w:rFonts w:ascii="Times New Roman" w:eastAsia="Times" w:hAnsi="Times New Roman" w:cs="Times New Roman"/>
          <w:b/>
          <w:noProof/>
          <w:sz w:val="24"/>
          <w:szCs w:val="24"/>
          <w:lang w:val="en-IE"/>
        </w:rPr>
        <w:t xml:space="preserve">LU, NL, </w:t>
      </w:r>
      <w:r w:rsidR="00280CE4" w:rsidRPr="00532C20">
        <w:rPr>
          <w:rFonts w:ascii="Times New Roman" w:eastAsia="Times" w:hAnsi="Times New Roman" w:cs="Times New Roman"/>
          <w:b/>
          <w:noProof/>
          <w:sz w:val="24"/>
          <w:szCs w:val="24"/>
          <w:lang w:val="en-IE"/>
        </w:rPr>
        <w:t>AT</w:t>
      </w:r>
      <w:r w:rsidRPr="00532C20">
        <w:rPr>
          <w:rFonts w:ascii="Times New Roman" w:eastAsia="Times" w:hAnsi="Times New Roman" w:cs="Times New Roman"/>
          <w:noProof/>
          <w:sz w:val="24"/>
          <w:szCs w:val="24"/>
          <w:lang w:val="en-IE"/>
        </w:rPr>
        <w:t>) an account is not required to complete the registration process.</w:t>
      </w:r>
    </w:p>
    <w:p w14:paraId="72E9C7BA" w14:textId="05BC80BA"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In addition, </w:t>
      </w:r>
      <w:r w:rsidR="00CA1548" w:rsidRPr="00532C20">
        <w:rPr>
          <w:rFonts w:ascii="Times New Roman" w:eastAsia="Times" w:hAnsi="Times New Roman" w:cs="Times New Roman"/>
          <w:noProof/>
          <w:sz w:val="24"/>
          <w:szCs w:val="24"/>
          <w:lang w:val="en-IE"/>
        </w:rPr>
        <w:t xml:space="preserve">3 </w:t>
      </w:r>
      <w:r w:rsidRPr="00532C20">
        <w:rPr>
          <w:rFonts w:ascii="Times New Roman" w:eastAsia="Times" w:hAnsi="Times New Roman" w:cs="Times New Roman"/>
          <w:noProof/>
          <w:sz w:val="24"/>
          <w:szCs w:val="24"/>
          <w:lang w:val="en-IE"/>
        </w:rPr>
        <w:t>Member States (</w:t>
      </w:r>
      <w:r w:rsidRPr="00532C20">
        <w:rPr>
          <w:rFonts w:ascii="Times New Roman" w:eastAsia="Times" w:hAnsi="Times New Roman" w:cs="Times New Roman"/>
          <w:b/>
          <w:noProof/>
          <w:sz w:val="24"/>
          <w:szCs w:val="24"/>
          <w:lang w:val="en-IE"/>
        </w:rPr>
        <w:t>FR, RO, SI</w:t>
      </w:r>
      <w:r w:rsidRPr="00532C20">
        <w:rPr>
          <w:rFonts w:ascii="Times New Roman" w:eastAsia="Times" w:hAnsi="Times New Roman" w:cs="Times New Roman"/>
          <w:noProof/>
          <w:sz w:val="24"/>
          <w:szCs w:val="24"/>
          <w:lang w:val="en-IE"/>
        </w:rPr>
        <w:t>) have more detailed provisions related to the registration process:</w:t>
      </w:r>
    </w:p>
    <w:p w14:paraId="0DA02B00" w14:textId="56EB63F9" w:rsidR="0005333A" w:rsidRPr="00532C20" w:rsidRDefault="0005333A">
      <w:pPr>
        <w:pStyle w:val="ListParagraph"/>
        <w:numPr>
          <w:ilvl w:val="0"/>
          <w:numId w:val="33"/>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France</w:t>
      </w:r>
      <w:r w:rsidRPr="00532C20">
        <w:rPr>
          <w:rFonts w:ascii="Times New Roman" w:hAnsi="Times New Roman" w:cs="Times New Roman"/>
          <w:noProof/>
          <w:lang w:val="en-IE"/>
        </w:rPr>
        <w:t xml:space="preserve">, lobbyists must complete registration no later than </w:t>
      </w:r>
      <w:r w:rsidR="00A90D63" w:rsidRPr="00532C20">
        <w:rPr>
          <w:rFonts w:ascii="Times New Roman" w:hAnsi="Times New Roman" w:cs="Times New Roman"/>
          <w:noProof/>
          <w:lang w:val="en-IE"/>
        </w:rPr>
        <w:t xml:space="preserve">2 </w:t>
      </w:r>
      <w:r w:rsidRPr="00532C20">
        <w:rPr>
          <w:rFonts w:ascii="Times New Roman" w:hAnsi="Times New Roman" w:cs="Times New Roman"/>
          <w:noProof/>
          <w:lang w:val="en-IE"/>
        </w:rPr>
        <w:t>months after the date the entity meets the conditions to be regarded as an interest representative</w:t>
      </w:r>
      <w:r w:rsidR="00AF187E" w:rsidRPr="00532C20">
        <w:rPr>
          <w:rFonts w:ascii="Times New Roman" w:hAnsi="Times New Roman" w:cs="Times New Roman"/>
          <w:noProof/>
          <w:lang w:val="en-IE"/>
        </w:rPr>
        <w:t>;</w:t>
      </w:r>
    </w:p>
    <w:p w14:paraId="549E5F5D" w14:textId="77777777" w:rsidR="0005333A" w:rsidRPr="00532C20" w:rsidRDefault="0005333A">
      <w:pPr>
        <w:pStyle w:val="ListParagraph"/>
        <w:numPr>
          <w:ilvl w:val="0"/>
          <w:numId w:val="33"/>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Romania</w:t>
      </w:r>
      <w:r w:rsidRPr="00532C20">
        <w:rPr>
          <w:rFonts w:ascii="Times New Roman" w:hAnsi="Times New Roman" w:cs="Times New Roman"/>
          <w:noProof/>
          <w:lang w:val="en-IE"/>
        </w:rPr>
        <w:t>, registration by the authorities in the RUTI must be completed at least 48 hours before the meeting with lobbyists takes place.</w:t>
      </w:r>
    </w:p>
    <w:p w14:paraId="5ABD4DBF" w14:textId="29B709B0" w:rsidR="0005333A" w:rsidRPr="00532C20" w:rsidRDefault="0005333A">
      <w:pPr>
        <w:pStyle w:val="ListParagraph"/>
        <w:numPr>
          <w:ilvl w:val="0"/>
          <w:numId w:val="33"/>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Slovenia</w:t>
      </w:r>
      <w:r w:rsidRPr="00532C20">
        <w:rPr>
          <w:rFonts w:ascii="Times New Roman" w:hAnsi="Times New Roman" w:cs="Times New Roman"/>
          <w:noProof/>
          <w:lang w:val="en-IE"/>
        </w:rPr>
        <w:t xml:space="preserve">, following an application by the interest representative, the authority (Commission for the Prevention of Corruption) sends a confirmation form to the applicant, which must be returned by the lobbyist within </w:t>
      </w:r>
      <w:r w:rsidR="00A90D63" w:rsidRPr="00532C20">
        <w:rPr>
          <w:rFonts w:ascii="Times New Roman" w:hAnsi="Times New Roman" w:cs="Times New Roman"/>
          <w:noProof/>
          <w:lang w:val="en-IE"/>
        </w:rPr>
        <w:t xml:space="preserve">8 </w:t>
      </w:r>
      <w:r w:rsidRPr="00532C20">
        <w:rPr>
          <w:rFonts w:ascii="Times New Roman" w:hAnsi="Times New Roman" w:cs="Times New Roman"/>
          <w:noProof/>
          <w:lang w:val="en-IE"/>
        </w:rPr>
        <w:t>days. Following the receipt of the application form, the authority makes a decision within 15 days. A fee is charged for the entry into the transparency register.</w:t>
      </w:r>
    </w:p>
    <w:p w14:paraId="2B5C85DC" w14:textId="77777777" w:rsidR="0005333A" w:rsidRPr="00532C20" w:rsidRDefault="0005333A" w:rsidP="00C549B2">
      <w:pPr>
        <w:pStyle w:val="ListParagraph"/>
        <w:numPr>
          <w:ilvl w:val="1"/>
          <w:numId w:val="78"/>
        </w:numPr>
        <w:rPr>
          <w:rFonts w:cs="Times New Roman"/>
          <w:b/>
          <w:noProof/>
        </w:rPr>
      </w:pPr>
      <w:r w:rsidRPr="00532C20">
        <w:rPr>
          <w:rFonts w:ascii="Times New Roman" w:hAnsi="Times New Roman" w:cs="Times New Roman"/>
          <w:b/>
          <w:bCs/>
          <w:noProof/>
          <w:u w:val="single"/>
          <w:lang w:val="en-IE"/>
        </w:rPr>
        <w:t>Data required</w:t>
      </w:r>
    </w:p>
    <w:p w14:paraId="17880ADD" w14:textId="77777777"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In terms of data required for transparency registers, Member States with such an instrument in force show </w:t>
      </w:r>
      <w:r w:rsidRPr="00532C20">
        <w:rPr>
          <w:rFonts w:ascii="Times New Roman" w:eastAsia="Times" w:hAnsi="Times New Roman" w:cs="Times New Roman"/>
          <w:b/>
          <w:noProof/>
          <w:sz w:val="24"/>
          <w:szCs w:val="24"/>
          <w:lang w:val="en-IE"/>
        </w:rPr>
        <w:t>similarities</w:t>
      </w:r>
      <w:r w:rsidRPr="00532C20">
        <w:rPr>
          <w:rFonts w:ascii="Times New Roman" w:eastAsia="Times" w:hAnsi="Times New Roman" w:cs="Times New Roman"/>
          <w:noProof/>
          <w:sz w:val="24"/>
          <w:szCs w:val="24"/>
          <w:lang w:val="en-IE"/>
        </w:rPr>
        <w:t>.</w:t>
      </w:r>
    </w:p>
    <w:p w14:paraId="59156DC4" w14:textId="77777777"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The most recurring data required by transparency registers are the following:</w:t>
      </w:r>
    </w:p>
    <w:p w14:paraId="2620DBDC" w14:textId="1F6737C7" w:rsidR="0005333A" w:rsidRPr="00532C20" w:rsidRDefault="0005333A" w:rsidP="00B379B7">
      <w:pPr>
        <w:pStyle w:val="ListParagraph"/>
        <w:numPr>
          <w:ilvl w:val="0"/>
          <w:numId w:val="29"/>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12 Member States (</w:t>
      </w:r>
      <w:r w:rsidRPr="00532C20">
        <w:rPr>
          <w:rFonts w:ascii="Times New Roman" w:hAnsi="Times New Roman" w:cs="Times New Roman"/>
          <w:b/>
          <w:bCs/>
          <w:noProof/>
          <w:lang w:val="en-IE"/>
        </w:rPr>
        <w:t xml:space="preserve">BE, DE, </w:t>
      </w:r>
      <w:r w:rsidR="00AE3173" w:rsidRPr="00532C20">
        <w:rPr>
          <w:rFonts w:ascii="Times New Roman" w:hAnsi="Times New Roman" w:cs="Times New Roman"/>
          <w:b/>
          <w:bCs/>
          <w:noProof/>
          <w:lang w:val="en-IE"/>
        </w:rPr>
        <w:t xml:space="preserve">IE, </w:t>
      </w:r>
      <w:r w:rsidRPr="00532C20">
        <w:rPr>
          <w:rFonts w:ascii="Times New Roman" w:hAnsi="Times New Roman" w:cs="Times New Roman"/>
          <w:b/>
          <w:bCs/>
          <w:noProof/>
          <w:lang w:val="en-IE"/>
        </w:rPr>
        <w:t xml:space="preserve">EL, FR, IT, LT, LU, NL, </w:t>
      </w:r>
      <w:r w:rsidR="00AE3173" w:rsidRPr="00532C20">
        <w:rPr>
          <w:rFonts w:ascii="Times New Roman" w:hAnsi="Times New Roman" w:cs="Times New Roman"/>
          <w:b/>
          <w:bCs/>
          <w:noProof/>
          <w:lang w:val="en-IE"/>
        </w:rPr>
        <w:t>AT</w:t>
      </w:r>
      <w:r w:rsidR="00D56BBA" w:rsidRPr="00532C20">
        <w:rPr>
          <w:rFonts w:ascii="Times New Roman" w:hAnsi="Times New Roman" w:cs="Times New Roman"/>
          <w:b/>
          <w:bCs/>
          <w:noProof/>
          <w:lang w:val="en-IE"/>
        </w:rPr>
        <w:t>,</w:t>
      </w:r>
      <w:r w:rsidR="00AE3173" w:rsidRPr="00532C20">
        <w:rPr>
          <w:rFonts w:ascii="Times New Roman" w:hAnsi="Times New Roman" w:cs="Times New Roman"/>
          <w:b/>
          <w:bCs/>
          <w:noProof/>
          <w:lang w:val="en-IE"/>
        </w:rPr>
        <w:t xml:space="preserve"> </w:t>
      </w:r>
      <w:r w:rsidRPr="00532C20">
        <w:rPr>
          <w:rFonts w:ascii="Times New Roman" w:hAnsi="Times New Roman" w:cs="Times New Roman"/>
          <w:b/>
          <w:bCs/>
          <w:noProof/>
          <w:lang w:val="en-IE"/>
        </w:rPr>
        <w:t>RO, SI</w:t>
      </w:r>
      <w:r w:rsidRPr="00532C20">
        <w:rPr>
          <w:rFonts w:ascii="Times New Roman" w:hAnsi="Times New Roman" w:cs="Times New Roman"/>
          <w:noProof/>
          <w:lang w:val="en-IE"/>
        </w:rPr>
        <w:t>) require identification data of interest representatives (e.g. name of the lobbyist).</w:t>
      </w:r>
    </w:p>
    <w:p w14:paraId="559F50BA" w14:textId="55D38B7C" w:rsidR="0005333A" w:rsidRPr="00532C20" w:rsidRDefault="0005333A" w:rsidP="00B379B7">
      <w:pPr>
        <w:pStyle w:val="ListParagraph"/>
        <w:numPr>
          <w:ilvl w:val="0"/>
          <w:numId w:val="29"/>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10 Member States (</w:t>
      </w:r>
      <w:r w:rsidRPr="00532C20">
        <w:rPr>
          <w:rFonts w:ascii="Times New Roman" w:hAnsi="Times New Roman" w:cs="Times New Roman"/>
          <w:b/>
          <w:bCs/>
          <w:noProof/>
          <w:lang w:val="en-IE"/>
        </w:rPr>
        <w:t xml:space="preserve">BE, DE, </w:t>
      </w:r>
      <w:r w:rsidR="00D56BBA" w:rsidRPr="00532C20">
        <w:rPr>
          <w:rFonts w:ascii="Times New Roman" w:hAnsi="Times New Roman" w:cs="Times New Roman"/>
          <w:b/>
          <w:bCs/>
          <w:noProof/>
          <w:lang w:val="en-IE"/>
        </w:rPr>
        <w:t xml:space="preserve">IE, </w:t>
      </w:r>
      <w:r w:rsidRPr="00532C20">
        <w:rPr>
          <w:rFonts w:ascii="Times New Roman" w:hAnsi="Times New Roman" w:cs="Times New Roman"/>
          <w:b/>
          <w:bCs/>
          <w:noProof/>
          <w:lang w:val="en-IE"/>
        </w:rPr>
        <w:t xml:space="preserve">EL, FR, IT, LT, LU, </w:t>
      </w:r>
      <w:r w:rsidR="00D56BBA" w:rsidRPr="00532C20">
        <w:rPr>
          <w:rFonts w:ascii="Times New Roman" w:hAnsi="Times New Roman" w:cs="Times New Roman"/>
          <w:b/>
          <w:bCs/>
          <w:noProof/>
          <w:lang w:val="en-IE"/>
        </w:rPr>
        <w:t xml:space="preserve">AT, </w:t>
      </w:r>
      <w:r w:rsidRPr="00532C20">
        <w:rPr>
          <w:rFonts w:ascii="Times New Roman" w:hAnsi="Times New Roman" w:cs="Times New Roman"/>
          <w:b/>
          <w:bCs/>
          <w:noProof/>
          <w:lang w:val="en-IE"/>
        </w:rPr>
        <w:t>SI</w:t>
      </w:r>
      <w:r w:rsidRPr="00532C20">
        <w:rPr>
          <w:rFonts w:ascii="Times New Roman" w:hAnsi="Times New Roman" w:cs="Times New Roman"/>
          <w:noProof/>
          <w:lang w:val="en-IE"/>
        </w:rPr>
        <w:t>) oblige lobbyists to provide information on the policy field in which they pursue interest representation of clients.</w:t>
      </w:r>
    </w:p>
    <w:p w14:paraId="5BE8C630" w14:textId="2F9AE4BF" w:rsidR="0005333A" w:rsidRPr="00532C20" w:rsidRDefault="0005333A" w:rsidP="00B379B7">
      <w:pPr>
        <w:pStyle w:val="ListParagraph"/>
        <w:numPr>
          <w:ilvl w:val="0"/>
          <w:numId w:val="29"/>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8 Member States (</w:t>
      </w:r>
      <w:r w:rsidRPr="00532C20">
        <w:rPr>
          <w:rFonts w:ascii="Times New Roman" w:hAnsi="Times New Roman" w:cs="Times New Roman"/>
          <w:b/>
          <w:bCs/>
          <w:noProof/>
          <w:lang w:val="en-IE"/>
        </w:rPr>
        <w:t>BE, DE, EL, FR, IT, LU, NL</w:t>
      </w:r>
      <w:r w:rsidR="0027068C" w:rsidRPr="00532C20">
        <w:rPr>
          <w:rFonts w:ascii="Times New Roman" w:hAnsi="Times New Roman" w:cs="Times New Roman"/>
          <w:b/>
          <w:bCs/>
          <w:noProof/>
          <w:lang w:val="en-IE"/>
        </w:rPr>
        <w:t>, AT</w:t>
      </w:r>
      <w:r w:rsidRPr="00532C20">
        <w:rPr>
          <w:rFonts w:ascii="Times New Roman" w:hAnsi="Times New Roman" w:cs="Times New Roman"/>
          <w:noProof/>
          <w:lang w:val="en-IE"/>
        </w:rPr>
        <w:t xml:space="preserve">) request specific information on the client represented by the lobbyist (e.g. name of the client). </w:t>
      </w:r>
    </w:p>
    <w:p w14:paraId="0C07F862" w14:textId="64463EEA" w:rsidR="0005333A" w:rsidRPr="00532C20" w:rsidRDefault="0005333A" w:rsidP="00B379B7">
      <w:pPr>
        <w:pStyle w:val="ListParagraph"/>
        <w:numPr>
          <w:ilvl w:val="0"/>
          <w:numId w:val="29"/>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5 Member States (</w:t>
      </w:r>
      <w:r w:rsidRPr="00532C20">
        <w:rPr>
          <w:rFonts w:ascii="Times New Roman" w:hAnsi="Times New Roman" w:cs="Times New Roman"/>
          <w:b/>
          <w:bCs/>
          <w:noProof/>
          <w:lang w:val="en-IE"/>
        </w:rPr>
        <w:t>DE, ES</w:t>
      </w:r>
      <w:r w:rsidRPr="00532C20">
        <w:rPr>
          <w:rFonts w:ascii="Times New Roman" w:hAnsi="Times New Roman" w:cs="Times New Roman"/>
          <w:b/>
          <w:bCs/>
          <w:noProof/>
          <w:vertAlign w:val="superscript"/>
          <w:lang w:val="en-IE"/>
        </w:rPr>
        <w:footnoteReference w:id="316"/>
      </w:r>
      <w:r w:rsidRPr="00532C20">
        <w:rPr>
          <w:rFonts w:ascii="Times New Roman" w:hAnsi="Times New Roman" w:cs="Times New Roman"/>
          <w:b/>
          <w:bCs/>
          <w:noProof/>
          <w:lang w:val="en-IE"/>
        </w:rPr>
        <w:t>, FR, IT</w:t>
      </w:r>
      <w:r w:rsidR="00C310D3" w:rsidRPr="00532C20">
        <w:rPr>
          <w:rFonts w:ascii="Times New Roman" w:hAnsi="Times New Roman" w:cs="Times New Roman"/>
          <w:b/>
          <w:bCs/>
          <w:noProof/>
          <w:lang w:val="en-IE"/>
        </w:rPr>
        <w:t>, AT</w:t>
      </w:r>
      <w:r w:rsidRPr="00532C20">
        <w:rPr>
          <w:rFonts w:ascii="Times New Roman" w:hAnsi="Times New Roman" w:cs="Times New Roman"/>
          <w:noProof/>
          <w:lang w:val="en-IE"/>
        </w:rPr>
        <w:t>) ask for information on the (annual) budget/expenditure from entities conducting lobbying activities</w:t>
      </w:r>
      <w:r w:rsidR="009D66A2" w:rsidRPr="00532C20">
        <w:rPr>
          <w:rFonts w:ascii="Times New Roman" w:hAnsi="Times New Roman" w:cs="Times New Roman"/>
          <w:noProof/>
          <w:lang w:val="en-IE"/>
        </w:rPr>
        <w:t xml:space="preserve">, while </w:t>
      </w:r>
      <w:r w:rsidR="009D66A2" w:rsidRPr="00532C20">
        <w:rPr>
          <w:rFonts w:ascii="Times New Roman" w:hAnsi="Times New Roman" w:cs="Times New Roman"/>
          <w:b/>
          <w:bCs/>
          <w:noProof/>
          <w:lang w:val="en-IE"/>
        </w:rPr>
        <w:t>SI</w:t>
      </w:r>
      <w:r w:rsidR="009D66A2" w:rsidRPr="00532C20">
        <w:rPr>
          <w:rFonts w:ascii="Times New Roman" w:hAnsi="Times New Roman" w:cs="Times New Roman"/>
          <w:noProof/>
          <w:lang w:val="en-IE"/>
        </w:rPr>
        <w:t xml:space="preserve"> requests information on payments received from interest groups for each matter concerned</w:t>
      </w:r>
      <w:r w:rsidRPr="00532C20">
        <w:rPr>
          <w:rFonts w:ascii="Times New Roman" w:hAnsi="Times New Roman" w:cs="Times New Roman"/>
          <w:noProof/>
          <w:lang w:val="en-IE"/>
        </w:rPr>
        <w:t xml:space="preserve">. </w:t>
      </w:r>
    </w:p>
    <w:p w14:paraId="28D06C05" w14:textId="0910C164" w:rsidR="0005333A" w:rsidRPr="00532C20" w:rsidRDefault="00D11AD2"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N</w:t>
      </w:r>
      <w:r w:rsidR="0005333A" w:rsidRPr="00532C20">
        <w:rPr>
          <w:rFonts w:ascii="Times New Roman" w:eastAsia="Times" w:hAnsi="Times New Roman" w:cs="Times New Roman"/>
          <w:noProof/>
          <w:sz w:val="24"/>
          <w:szCs w:val="24"/>
          <w:lang w:val="en-IE"/>
        </w:rPr>
        <w:t xml:space="preserve">o data is available on what type of information should be provided </w:t>
      </w:r>
      <w:r w:rsidRPr="00532C20">
        <w:rPr>
          <w:rFonts w:ascii="Times New Roman" w:eastAsia="Times" w:hAnsi="Times New Roman" w:cs="Times New Roman"/>
          <w:b/>
          <w:bCs/>
          <w:noProof/>
          <w:sz w:val="24"/>
          <w:szCs w:val="24"/>
          <w:lang w:val="en-IE"/>
        </w:rPr>
        <w:t>in Cyprus</w:t>
      </w:r>
      <w:r w:rsidRPr="00532C20">
        <w:rPr>
          <w:rFonts w:ascii="Times New Roman" w:eastAsia="Times" w:hAnsi="Times New Roman" w:cs="Times New Roman"/>
          <w:noProof/>
          <w:sz w:val="24"/>
          <w:szCs w:val="24"/>
          <w:lang w:val="en-IE"/>
        </w:rPr>
        <w:t xml:space="preserve"> </w:t>
      </w:r>
      <w:r w:rsidR="0005333A" w:rsidRPr="00532C20">
        <w:rPr>
          <w:rFonts w:ascii="Times New Roman" w:eastAsia="Times" w:hAnsi="Times New Roman" w:cs="Times New Roman"/>
          <w:noProof/>
          <w:sz w:val="24"/>
          <w:szCs w:val="24"/>
          <w:lang w:val="en-IE"/>
        </w:rPr>
        <w:t>when registering.</w:t>
      </w:r>
    </w:p>
    <w:p w14:paraId="5ECCB9EE" w14:textId="17E6A541"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Beyond these similar rules, 5 Member States (</w:t>
      </w:r>
      <w:r w:rsidRPr="00532C20">
        <w:rPr>
          <w:rFonts w:ascii="Times New Roman" w:eastAsia="Times" w:hAnsi="Times New Roman" w:cs="Times New Roman"/>
          <w:b/>
          <w:noProof/>
          <w:sz w:val="24"/>
          <w:szCs w:val="24"/>
          <w:lang w:val="en-IE"/>
        </w:rPr>
        <w:t xml:space="preserve">DE, FR, </w:t>
      </w:r>
      <w:r w:rsidR="00F322AA" w:rsidRPr="00532C20">
        <w:rPr>
          <w:rFonts w:ascii="Times New Roman" w:eastAsia="Times" w:hAnsi="Times New Roman" w:cs="Times New Roman"/>
          <w:b/>
          <w:noProof/>
          <w:sz w:val="24"/>
          <w:szCs w:val="24"/>
          <w:lang w:val="en-IE"/>
        </w:rPr>
        <w:t xml:space="preserve">AT, </w:t>
      </w:r>
      <w:r w:rsidRPr="00532C20">
        <w:rPr>
          <w:rFonts w:ascii="Times New Roman" w:eastAsia="Times" w:hAnsi="Times New Roman" w:cs="Times New Roman"/>
          <w:b/>
          <w:noProof/>
          <w:sz w:val="24"/>
          <w:szCs w:val="24"/>
          <w:lang w:val="en-IE"/>
        </w:rPr>
        <w:t>RO, SI</w:t>
      </w:r>
      <w:r w:rsidRPr="00532C20">
        <w:rPr>
          <w:rFonts w:ascii="Times New Roman" w:eastAsia="Times" w:hAnsi="Times New Roman" w:cs="Times New Roman"/>
          <w:noProof/>
          <w:sz w:val="24"/>
          <w:szCs w:val="24"/>
          <w:lang w:val="en-IE"/>
        </w:rPr>
        <w:t>) have specific rules on types of data necessary to be included in their transparency registers:</w:t>
      </w:r>
    </w:p>
    <w:p w14:paraId="6F05CF8D" w14:textId="6DFB793B" w:rsidR="0005333A" w:rsidRPr="00532C20" w:rsidRDefault="0005333A">
      <w:pPr>
        <w:pStyle w:val="ListParagraph"/>
        <w:numPr>
          <w:ilvl w:val="0"/>
          <w:numId w:val="30"/>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Austria</w:t>
      </w:r>
      <w:r w:rsidRPr="00532C20">
        <w:rPr>
          <w:rFonts w:ascii="Times New Roman" w:hAnsi="Times New Roman" w:cs="Times New Roman"/>
          <w:noProof/>
          <w:lang w:val="en-IE"/>
        </w:rPr>
        <w:t xml:space="preserve">, legislation differentiates </w:t>
      </w:r>
      <w:r w:rsidR="00C37135" w:rsidRPr="00532C20">
        <w:rPr>
          <w:rFonts w:ascii="Times New Roman" w:hAnsi="Times New Roman" w:cs="Times New Roman"/>
          <w:noProof/>
          <w:lang w:val="en-IE"/>
        </w:rPr>
        <w:t xml:space="preserve">4 </w:t>
      </w:r>
      <w:r w:rsidRPr="00532C20">
        <w:rPr>
          <w:rFonts w:ascii="Times New Roman" w:hAnsi="Times New Roman" w:cs="Times New Roman"/>
          <w:noProof/>
          <w:lang w:val="en-IE"/>
        </w:rPr>
        <w:t>types of lobbyists (lobbying company acting on behalf of others; lobbying company acting in their own interest; interest group; self-governing body) which provide different data when registering. For example, lobbying companies need to declare their turnover and the number of their contracts, while interest groups and self-governing bodies need to share information on their total budget for lobbying (certified by an auditor).</w:t>
      </w:r>
    </w:p>
    <w:p w14:paraId="4CF84A3C" w14:textId="77777777" w:rsidR="0005333A" w:rsidRPr="00532C20" w:rsidRDefault="0005333A">
      <w:pPr>
        <w:pStyle w:val="ListParagraph"/>
        <w:numPr>
          <w:ilvl w:val="0"/>
          <w:numId w:val="30"/>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Germany</w:t>
      </w:r>
      <w:r w:rsidRPr="00532C20">
        <w:rPr>
          <w:rFonts w:ascii="Times New Roman" w:hAnsi="Times New Roman" w:cs="Times New Roman"/>
          <w:noProof/>
          <w:lang w:val="en-IE"/>
        </w:rPr>
        <w:t>, individual donations and grants from the public sector exceeding EUR 20,000, as well as individual gifts from third parties over EUR 20,000 are to be announced by lobbyists. In addition, data on the number of employees of a lobbyist is necessary to add into the register.</w:t>
      </w:r>
    </w:p>
    <w:p w14:paraId="6C44BCEE" w14:textId="77777777" w:rsidR="0005333A" w:rsidRPr="00532C20" w:rsidRDefault="0005333A">
      <w:pPr>
        <w:pStyle w:val="ListParagraph"/>
        <w:numPr>
          <w:ilvl w:val="0"/>
          <w:numId w:val="30"/>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France</w:t>
      </w:r>
      <w:r w:rsidRPr="00532C20">
        <w:rPr>
          <w:rFonts w:ascii="Times New Roman" w:hAnsi="Times New Roman" w:cs="Times New Roman"/>
          <w:noProof/>
          <w:lang w:val="en-IE"/>
        </w:rPr>
        <w:t>, expenditure related to interest representation activities must be provided (broken down by human and financial resources mobilised for lobbying activities). The expenses must be communicated by indicating various ranges (e.g. expenses between EUR 10,000 and EUR 25,000). Furthermore, information on all interest representation actions aimed at influencing decision-making need to be forwarded, as well as data on the number of staff employed annually.</w:t>
      </w:r>
    </w:p>
    <w:p w14:paraId="2410EE33" w14:textId="77777777" w:rsidR="0005333A" w:rsidRPr="00532C20" w:rsidRDefault="0005333A">
      <w:pPr>
        <w:pStyle w:val="ListParagraph"/>
        <w:numPr>
          <w:ilvl w:val="0"/>
          <w:numId w:val="30"/>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Romania</w:t>
      </w:r>
      <w:r w:rsidRPr="00532C20">
        <w:rPr>
          <w:rFonts w:ascii="Times New Roman" w:hAnsi="Times New Roman" w:cs="Times New Roman"/>
          <w:noProof/>
          <w:lang w:val="en-IE"/>
        </w:rPr>
        <w:t>, the authority registers information related to meetings between lobbyists and authorities, including the date and format of the meeting, as well as names of all the participants in such a meeting.</w:t>
      </w:r>
    </w:p>
    <w:p w14:paraId="388ED832" w14:textId="77777777" w:rsidR="0005333A" w:rsidRPr="00532C20" w:rsidRDefault="0005333A">
      <w:pPr>
        <w:pStyle w:val="ListParagraph"/>
        <w:numPr>
          <w:ilvl w:val="0"/>
          <w:numId w:val="30"/>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Slovenia</w:t>
      </w:r>
      <w:r w:rsidRPr="00532C20">
        <w:rPr>
          <w:rFonts w:ascii="Times New Roman" w:hAnsi="Times New Roman" w:cs="Times New Roman"/>
          <w:noProof/>
          <w:lang w:val="en-IE"/>
        </w:rPr>
        <w:t>, data on the amount of payment received from interest groups must be provided by the lobbyist (in case lobbying activities are part of a service contract, the value of the contract must be stated). Furthermore, certain provisions exist regarding foreign lobbyists. On the one hand, foreign lobbyists must hand in officially translated documents for the registration to be approved. On the other hand, foreign natural persons acting as lobbyist can be registered, if proven (with an extract from the transparency register) that they act in the interest of a registered lobbying entity (except if they are an employee or legal representative of an interest group).</w:t>
      </w:r>
    </w:p>
    <w:p w14:paraId="5B08BC72" w14:textId="25694E09"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The data of transparency registers on lobbying is made public on websites of Member State authorities in most Member States (</w:t>
      </w:r>
      <w:r w:rsidRPr="00532C20">
        <w:rPr>
          <w:rFonts w:ascii="Times New Roman" w:eastAsia="Times" w:hAnsi="Times New Roman" w:cs="Times New Roman"/>
          <w:b/>
          <w:noProof/>
          <w:sz w:val="24"/>
          <w:szCs w:val="24"/>
          <w:lang w:val="en-IE"/>
        </w:rPr>
        <w:t xml:space="preserve">BE, DE, </w:t>
      </w:r>
      <w:r w:rsidR="00F322AA" w:rsidRPr="00532C20">
        <w:rPr>
          <w:rFonts w:ascii="Times New Roman" w:eastAsia="Times" w:hAnsi="Times New Roman" w:cs="Times New Roman"/>
          <w:b/>
          <w:noProof/>
          <w:sz w:val="24"/>
          <w:szCs w:val="24"/>
          <w:lang w:val="en-IE"/>
        </w:rPr>
        <w:t xml:space="preserve">IE, </w:t>
      </w:r>
      <w:r w:rsidRPr="00532C20">
        <w:rPr>
          <w:rFonts w:ascii="Times New Roman" w:eastAsia="Times" w:hAnsi="Times New Roman" w:cs="Times New Roman"/>
          <w:b/>
          <w:noProof/>
          <w:sz w:val="24"/>
          <w:szCs w:val="24"/>
          <w:lang w:val="en-IE"/>
        </w:rPr>
        <w:t xml:space="preserve">ES, FR, IT, LT, LU, NL, </w:t>
      </w:r>
      <w:r w:rsidR="00F322AA" w:rsidRPr="00532C20">
        <w:rPr>
          <w:rFonts w:ascii="Times New Roman" w:eastAsia="Times" w:hAnsi="Times New Roman" w:cs="Times New Roman"/>
          <w:b/>
          <w:noProof/>
          <w:sz w:val="24"/>
          <w:szCs w:val="24"/>
          <w:lang w:val="en-IE"/>
        </w:rPr>
        <w:t xml:space="preserve">AT, </w:t>
      </w:r>
      <w:r w:rsidRPr="00532C20">
        <w:rPr>
          <w:rFonts w:ascii="Times New Roman" w:eastAsia="Times" w:hAnsi="Times New Roman" w:cs="Times New Roman"/>
          <w:b/>
          <w:noProof/>
          <w:sz w:val="24"/>
          <w:szCs w:val="24"/>
          <w:lang w:val="en-IE"/>
        </w:rPr>
        <w:t>RO, SI</w:t>
      </w:r>
      <w:r w:rsidRPr="00532C20">
        <w:rPr>
          <w:rFonts w:ascii="Times New Roman" w:eastAsia="Times" w:hAnsi="Times New Roman" w:cs="Times New Roman"/>
          <w:noProof/>
          <w:sz w:val="24"/>
          <w:szCs w:val="24"/>
          <w:lang w:val="en-IE"/>
        </w:rPr>
        <w:t>). In</w:t>
      </w:r>
      <w:r w:rsidRPr="00532C20" w:rsidDel="004A5785">
        <w:rPr>
          <w:rFonts w:ascii="Times New Roman" w:eastAsia="Times" w:hAnsi="Times New Roman" w:cs="Times New Roman"/>
          <w:noProof/>
          <w:sz w:val="24"/>
          <w:szCs w:val="24"/>
          <w:lang w:val="en-IE"/>
        </w:rPr>
        <w:t xml:space="preserve"> </w:t>
      </w:r>
      <w:r w:rsidR="004A5785" w:rsidRPr="00532C20">
        <w:rPr>
          <w:rFonts w:ascii="Times New Roman" w:eastAsia="Times" w:hAnsi="Times New Roman" w:cs="Times New Roman"/>
          <w:noProof/>
          <w:sz w:val="24"/>
          <w:szCs w:val="24"/>
          <w:lang w:val="en-IE"/>
        </w:rPr>
        <w:t>2</w:t>
      </w:r>
      <w:r w:rsidRPr="00532C20">
        <w:rPr>
          <w:rFonts w:ascii="Times New Roman" w:eastAsia="Times" w:hAnsi="Times New Roman" w:cs="Times New Roman"/>
          <w:noProof/>
          <w:sz w:val="24"/>
          <w:szCs w:val="24"/>
          <w:lang w:val="en-IE"/>
        </w:rPr>
        <w:t xml:space="preserve"> Member States (</w:t>
      </w:r>
      <w:r w:rsidR="003905F7" w:rsidRPr="00532C20">
        <w:rPr>
          <w:rFonts w:ascii="Times New Roman" w:eastAsia="Times" w:hAnsi="Times New Roman" w:cs="Times New Roman"/>
          <w:b/>
          <w:noProof/>
          <w:sz w:val="24"/>
          <w:szCs w:val="24"/>
          <w:lang w:val="en-IE"/>
        </w:rPr>
        <w:t xml:space="preserve">EL, </w:t>
      </w:r>
      <w:r w:rsidRPr="00532C20">
        <w:rPr>
          <w:rFonts w:ascii="Times New Roman" w:eastAsia="Times" w:hAnsi="Times New Roman" w:cs="Times New Roman"/>
          <w:b/>
          <w:noProof/>
          <w:sz w:val="24"/>
          <w:szCs w:val="24"/>
          <w:lang w:val="en-IE"/>
        </w:rPr>
        <w:t>CY</w:t>
      </w:r>
      <w:r w:rsidRPr="00532C20">
        <w:rPr>
          <w:rFonts w:ascii="Times New Roman" w:eastAsia="Times" w:hAnsi="Times New Roman" w:cs="Times New Roman"/>
          <w:noProof/>
          <w:sz w:val="24"/>
          <w:szCs w:val="24"/>
          <w:lang w:val="en-IE"/>
        </w:rPr>
        <w:t xml:space="preserve">), the data is not publicly available. In the Member States where transparency registers are publicly accessible, certain restrictions exist. In </w:t>
      </w:r>
      <w:r w:rsidRPr="00532C20">
        <w:rPr>
          <w:rFonts w:ascii="Times New Roman" w:eastAsia="Times" w:hAnsi="Times New Roman" w:cs="Times New Roman"/>
          <w:b/>
          <w:noProof/>
          <w:sz w:val="24"/>
          <w:szCs w:val="24"/>
          <w:lang w:val="en-IE"/>
        </w:rPr>
        <w:t>Austria</w:t>
      </w:r>
      <w:r w:rsidRPr="00532C20">
        <w:rPr>
          <w:rFonts w:ascii="Times New Roman" w:eastAsia="Times" w:hAnsi="Times New Roman" w:cs="Times New Roman"/>
          <w:noProof/>
          <w:sz w:val="24"/>
          <w:szCs w:val="24"/>
          <w:lang w:val="en-IE"/>
        </w:rPr>
        <w:t xml:space="preserve">, data related to clients of lobbyists is limited. In </w:t>
      </w:r>
      <w:r w:rsidRPr="00532C20">
        <w:rPr>
          <w:rFonts w:ascii="Times New Roman" w:eastAsia="Times" w:hAnsi="Times New Roman" w:cs="Times New Roman"/>
          <w:b/>
          <w:noProof/>
          <w:sz w:val="24"/>
          <w:szCs w:val="24"/>
          <w:lang w:val="en-IE"/>
        </w:rPr>
        <w:t>Germany</w:t>
      </w:r>
      <w:r w:rsidRPr="00532C20">
        <w:rPr>
          <w:rFonts w:ascii="Times New Roman" w:eastAsia="Times" w:hAnsi="Times New Roman" w:cs="Times New Roman"/>
          <w:noProof/>
          <w:sz w:val="24"/>
          <w:szCs w:val="24"/>
          <w:lang w:val="en-IE"/>
        </w:rPr>
        <w:t xml:space="preserve">, some pieces of personal data in the register are not public. In </w:t>
      </w:r>
      <w:r w:rsidRPr="00532C20">
        <w:rPr>
          <w:rFonts w:ascii="Times New Roman" w:eastAsia="Times" w:hAnsi="Times New Roman" w:cs="Times New Roman"/>
          <w:b/>
          <w:noProof/>
          <w:sz w:val="24"/>
          <w:szCs w:val="24"/>
          <w:lang w:val="en-IE"/>
        </w:rPr>
        <w:t>Slovenia</w:t>
      </w:r>
      <w:r w:rsidRPr="00532C20">
        <w:rPr>
          <w:rFonts w:ascii="Times New Roman" w:eastAsia="Times" w:hAnsi="Times New Roman" w:cs="Times New Roman"/>
          <w:noProof/>
          <w:sz w:val="24"/>
          <w:szCs w:val="24"/>
          <w:lang w:val="en-IE"/>
        </w:rPr>
        <w:t>, the tax ID number of lobbyists is not accessible.</w:t>
      </w:r>
    </w:p>
    <w:p w14:paraId="793249C9" w14:textId="77777777" w:rsidR="0005333A" w:rsidRPr="00532C20" w:rsidRDefault="0005333A" w:rsidP="00C549B2">
      <w:pPr>
        <w:pStyle w:val="ListParagraph"/>
        <w:numPr>
          <w:ilvl w:val="1"/>
          <w:numId w:val="78"/>
        </w:numPr>
        <w:rPr>
          <w:rFonts w:cs="Times New Roman"/>
          <w:b/>
          <w:noProof/>
        </w:rPr>
      </w:pPr>
      <w:r w:rsidRPr="00532C20">
        <w:rPr>
          <w:rFonts w:ascii="Times New Roman" w:hAnsi="Times New Roman" w:cs="Times New Roman"/>
          <w:b/>
          <w:bCs/>
          <w:noProof/>
          <w:u w:val="single"/>
          <w:lang w:val="en-IE"/>
        </w:rPr>
        <w:t>Applicable thresholds for registration</w:t>
      </w:r>
    </w:p>
    <w:p w14:paraId="1945A533" w14:textId="61D0700D"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Concerning applicable thresholds, 10 Member States (</w:t>
      </w:r>
      <w:r w:rsidRPr="00532C20">
        <w:rPr>
          <w:rFonts w:ascii="Times New Roman" w:eastAsia="Times" w:hAnsi="Times New Roman" w:cs="Times New Roman"/>
          <w:b/>
          <w:noProof/>
          <w:sz w:val="24"/>
          <w:szCs w:val="24"/>
          <w:lang w:val="en-IE"/>
        </w:rPr>
        <w:t xml:space="preserve">BE, </w:t>
      </w:r>
      <w:r w:rsidR="009A6D8E" w:rsidRPr="00532C20">
        <w:rPr>
          <w:rFonts w:ascii="Times New Roman" w:eastAsia="Times" w:hAnsi="Times New Roman" w:cs="Times New Roman"/>
          <w:b/>
          <w:noProof/>
          <w:sz w:val="24"/>
          <w:szCs w:val="24"/>
          <w:lang w:val="en-IE"/>
        </w:rPr>
        <w:t>IE</w:t>
      </w:r>
      <w:r w:rsidRPr="00532C20" w:rsidDel="003905F7">
        <w:rPr>
          <w:rFonts w:ascii="Times New Roman" w:eastAsia="Times" w:hAnsi="Times New Roman" w:cs="Times New Roman"/>
          <w:b/>
          <w:noProof/>
          <w:sz w:val="24"/>
          <w:szCs w:val="24"/>
          <w:lang w:val="en-IE"/>
        </w:rPr>
        <w:t xml:space="preserve">, </w:t>
      </w:r>
      <w:r w:rsidR="00264FCD" w:rsidRPr="00532C20">
        <w:rPr>
          <w:rFonts w:ascii="Times New Roman" w:eastAsia="Times" w:hAnsi="Times New Roman" w:cs="Times New Roman"/>
          <w:b/>
          <w:noProof/>
          <w:sz w:val="24"/>
          <w:szCs w:val="24"/>
          <w:lang w:val="en-IE"/>
        </w:rPr>
        <w:t xml:space="preserve">EL, </w:t>
      </w:r>
      <w:r w:rsidRPr="00532C20">
        <w:rPr>
          <w:rFonts w:ascii="Times New Roman" w:eastAsia="Times" w:hAnsi="Times New Roman" w:cs="Times New Roman"/>
          <w:b/>
          <w:noProof/>
          <w:sz w:val="24"/>
          <w:szCs w:val="24"/>
          <w:lang w:val="en-IE"/>
        </w:rPr>
        <w:t xml:space="preserve">ES, </w:t>
      </w:r>
      <w:r w:rsidR="003905F7" w:rsidRPr="00532C20">
        <w:rPr>
          <w:rFonts w:ascii="Times New Roman" w:eastAsia="Times" w:hAnsi="Times New Roman" w:cs="Times New Roman"/>
          <w:b/>
          <w:noProof/>
          <w:sz w:val="24"/>
          <w:szCs w:val="24"/>
          <w:lang w:val="en-IE"/>
        </w:rPr>
        <w:t xml:space="preserve">CY, </w:t>
      </w:r>
      <w:r w:rsidRPr="00532C20">
        <w:rPr>
          <w:rFonts w:ascii="Times New Roman" w:eastAsia="Times" w:hAnsi="Times New Roman" w:cs="Times New Roman"/>
          <w:b/>
          <w:noProof/>
          <w:sz w:val="24"/>
          <w:szCs w:val="24"/>
          <w:lang w:val="en-IE"/>
        </w:rPr>
        <w:t>LT, LU, NL, RO, SI</w:t>
      </w:r>
      <w:r w:rsidRPr="00532C20">
        <w:rPr>
          <w:rFonts w:ascii="Times New Roman" w:eastAsia="Times" w:hAnsi="Times New Roman" w:cs="Times New Roman"/>
          <w:noProof/>
          <w:sz w:val="24"/>
          <w:szCs w:val="24"/>
          <w:lang w:val="en-IE"/>
        </w:rPr>
        <w:t>) do not have such thresholds in place. In the remaining</w:t>
      </w:r>
      <w:r w:rsidRPr="00532C20" w:rsidDel="00942EEB">
        <w:rPr>
          <w:rFonts w:ascii="Times New Roman" w:eastAsia="Times" w:hAnsi="Times New Roman" w:cs="Times New Roman"/>
          <w:noProof/>
          <w:sz w:val="24"/>
          <w:szCs w:val="24"/>
          <w:lang w:val="en-IE"/>
        </w:rPr>
        <w:t xml:space="preserve"> </w:t>
      </w:r>
      <w:r w:rsidR="00942EEB" w:rsidRPr="00532C20">
        <w:rPr>
          <w:rFonts w:ascii="Times New Roman" w:eastAsia="Times" w:hAnsi="Times New Roman" w:cs="Times New Roman"/>
          <w:noProof/>
          <w:sz w:val="24"/>
          <w:szCs w:val="24"/>
          <w:lang w:val="en-IE"/>
        </w:rPr>
        <w:t>5</w:t>
      </w:r>
      <w:r w:rsidRPr="00532C20">
        <w:rPr>
          <w:rFonts w:ascii="Times New Roman" w:eastAsia="Times" w:hAnsi="Times New Roman" w:cs="Times New Roman"/>
          <w:noProof/>
          <w:sz w:val="24"/>
          <w:szCs w:val="24"/>
          <w:lang w:val="en-IE"/>
        </w:rPr>
        <w:t xml:space="preserve"> Member States (</w:t>
      </w:r>
      <w:r w:rsidRPr="00532C20">
        <w:rPr>
          <w:rFonts w:ascii="Times New Roman" w:eastAsia="Times" w:hAnsi="Times New Roman" w:cs="Times New Roman"/>
          <w:b/>
          <w:noProof/>
          <w:sz w:val="24"/>
          <w:szCs w:val="24"/>
          <w:lang w:val="en-IE"/>
        </w:rPr>
        <w:t xml:space="preserve">DE, </w:t>
      </w:r>
      <w:r w:rsidR="001915A3" w:rsidRPr="00532C20">
        <w:rPr>
          <w:rFonts w:ascii="Times New Roman" w:eastAsia="Times" w:hAnsi="Times New Roman" w:cs="Times New Roman"/>
          <w:b/>
          <w:noProof/>
          <w:sz w:val="24"/>
          <w:szCs w:val="24"/>
          <w:lang w:val="en-IE"/>
        </w:rPr>
        <w:t xml:space="preserve">IE, </w:t>
      </w:r>
      <w:r w:rsidRPr="00532C20">
        <w:rPr>
          <w:rFonts w:ascii="Times New Roman" w:eastAsia="Times" w:hAnsi="Times New Roman" w:cs="Times New Roman"/>
          <w:b/>
          <w:noProof/>
          <w:sz w:val="24"/>
          <w:szCs w:val="24"/>
          <w:lang w:val="en-IE"/>
        </w:rPr>
        <w:t>FR</w:t>
      </w:r>
      <w:r w:rsidR="006C5AFE">
        <w:rPr>
          <w:rFonts w:ascii="Times New Roman" w:eastAsia="Times" w:hAnsi="Times New Roman" w:cs="Times New Roman"/>
          <w:b/>
          <w:noProof/>
          <w:sz w:val="24"/>
          <w:szCs w:val="24"/>
          <w:lang w:val="en-IE"/>
        </w:rPr>
        <w:t>,</w:t>
      </w:r>
      <w:r w:rsidRPr="00532C20">
        <w:rPr>
          <w:rFonts w:ascii="Times New Roman" w:eastAsia="Times" w:hAnsi="Times New Roman" w:cs="Times New Roman"/>
          <w:b/>
          <w:noProof/>
          <w:sz w:val="24"/>
          <w:szCs w:val="24"/>
          <w:lang w:val="en-IE"/>
        </w:rPr>
        <w:t xml:space="preserve"> NL</w:t>
      </w:r>
      <w:r w:rsidR="001915A3" w:rsidRPr="00532C20">
        <w:rPr>
          <w:rFonts w:ascii="Times New Roman" w:eastAsia="Times" w:hAnsi="Times New Roman" w:cs="Times New Roman"/>
          <w:b/>
          <w:noProof/>
          <w:sz w:val="24"/>
          <w:szCs w:val="24"/>
          <w:lang w:val="en-IE"/>
        </w:rPr>
        <w:t>, AT</w:t>
      </w:r>
      <w:r w:rsidRPr="00532C20">
        <w:rPr>
          <w:rFonts w:ascii="Times New Roman" w:eastAsia="Times" w:hAnsi="Times New Roman" w:cs="Times New Roman"/>
          <w:noProof/>
          <w:sz w:val="24"/>
          <w:szCs w:val="24"/>
          <w:lang w:val="en-IE"/>
        </w:rPr>
        <w:t>), various rules on thresholds are in place. The thresholds are either purely financial (</w:t>
      </w:r>
      <w:r w:rsidRPr="00532C20">
        <w:rPr>
          <w:rFonts w:ascii="Times New Roman" w:eastAsia="Times" w:hAnsi="Times New Roman" w:cs="Times New Roman"/>
          <w:b/>
          <w:noProof/>
          <w:sz w:val="24"/>
          <w:szCs w:val="24"/>
          <w:lang w:val="en-IE"/>
        </w:rPr>
        <w:t>FR, NL</w:t>
      </w:r>
      <w:r w:rsidRPr="00532C20">
        <w:rPr>
          <w:rFonts w:ascii="Times New Roman" w:eastAsia="Times" w:hAnsi="Times New Roman" w:cs="Times New Roman"/>
          <w:noProof/>
          <w:sz w:val="24"/>
          <w:szCs w:val="24"/>
          <w:lang w:val="en-IE"/>
        </w:rPr>
        <w:t>) or it is based on non-financial thresholds such as frequency of contacts, the number of employees, or the time dedicated to lobbying activities. These types of thresholds are presented below:</w:t>
      </w:r>
    </w:p>
    <w:p w14:paraId="1FDF4EB3" w14:textId="77777777" w:rsidR="0005333A" w:rsidRPr="00532C20" w:rsidRDefault="0005333A">
      <w:pPr>
        <w:pStyle w:val="ListParagraph"/>
        <w:numPr>
          <w:ilvl w:val="0"/>
          <w:numId w:val="30"/>
        </w:numPr>
        <w:spacing w:before="120"/>
        <w:contextualSpacing w:val="0"/>
        <w:jc w:val="both"/>
        <w:rPr>
          <w:rFonts w:ascii="Times New Roman" w:eastAsia="Symbol"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Austria</w:t>
      </w:r>
      <w:r w:rsidRPr="00532C20">
        <w:rPr>
          <w:rFonts w:ascii="Times New Roman" w:hAnsi="Times New Roman" w:cs="Times New Roman"/>
          <w:noProof/>
          <w:lang w:val="en-IE"/>
        </w:rPr>
        <w:t xml:space="preserve">, </w:t>
      </w:r>
      <w:r w:rsidRPr="00532C20">
        <w:rPr>
          <w:rFonts w:ascii="Times New Roman" w:eastAsia="Symbol" w:hAnsi="Times New Roman" w:cs="Times New Roman"/>
          <w:noProof/>
          <w:lang w:val="en-IE"/>
        </w:rPr>
        <w:t>what is interesting to note is that applicable thresholds differ according to the type of lobbyist:</w:t>
      </w:r>
    </w:p>
    <w:p w14:paraId="54DAF335" w14:textId="77777777" w:rsidR="0005333A" w:rsidRPr="00532C20" w:rsidRDefault="0005333A">
      <w:pPr>
        <w:numPr>
          <w:ilvl w:val="1"/>
          <w:numId w:val="30"/>
        </w:numPr>
        <w:spacing w:before="120" w:after="0" w:line="240" w:lineRule="auto"/>
        <w:jc w:val="both"/>
        <w:rPr>
          <w:rFonts w:ascii="Times New Roman" w:eastAsia="Symbol" w:hAnsi="Times New Roman" w:cs="Times New Roman"/>
          <w:noProof/>
          <w:sz w:val="24"/>
          <w:szCs w:val="24"/>
          <w:lang w:val="en-IE"/>
        </w:rPr>
      </w:pPr>
      <w:r w:rsidRPr="00532C20">
        <w:rPr>
          <w:rFonts w:ascii="Times New Roman" w:eastAsia="Times" w:hAnsi="Times New Roman" w:cs="Times New Roman"/>
          <w:noProof/>
          <w:kern w:val="18"/>
          <w:sz w:val="24"/>
          <w:szCs w:val="24"/>
          <w:lang w:val="en-IE"/>
        </w:rPr>
        <w:t>The Act provides a threshold for company lobbyist: When determining whether an employee, including directors, board etc, is a corporate lobbyist, lobbying must be “more than minor duty” which was defined as more than 5% of the total working time.</w:t>
      </w:r>
    </w:p>
    <w:p w14:paraId="6EB10B59" w14:textId="77777777" w:rsidR="0005333A" w:rsidRPr="00532C20" w:rsidRDefault="0005333A">
      <w:pPr>
        <w:numPr>
          <w:ilvl w:val="1"/>
          <w:numId w:val="30"/>
        </w:numPr>
        <w:spacing w:before="120" w:after="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For advocacy groups, 1 employee has to spend at least 15% of their time conducting lobbying activities (it must be an employee of the advocacy group, not e.g., its president).</w:t>
      </w:r>
    </w:p>
    <w:p w14:paraId="190D4008" w14:textId="5A9AF576" w:rsidR="0005333A" w:rsidRPr="00532C20" w:rsidRDefault="0005333A">
      <w:pPr>
        <w:pStyle w:val="ListParagraph"/>
        <w:numPr>
          <w:ilvl w:val="0"/>
          <w:numId w:val="30"/>
        </w:numPr>
        <w:spacing w:before="120"/>
        <w:contextualSpacing w:val="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Germany</w:t>
      </w:r>
      <w:r w:rsidRPr="00532C20">
        <w:rPr>
          <w:rFonts w:ascii="Times New Roman" w:hAnsi="Times New Roman" w:cs="Times New Roman"/>
          <w:noProof/>
          <w:lang w:val="en-IE"/>
        </w:rPr>
        <w:t>, legislation lays down that in case a certain condition is met, the obligation to register is established. These thresholds are non-conjunctive (i.e. if</w:t>
      </w:r>
      <w:r w:rsidR="00026DB1" w:rsidRPr="00532C20">
        <w:rPr>
          <w:rFonts w:ascii="Times New Roman" w:hAnsi="Times New Roman" w:cs="Times New Roman"/>
          <w:noProof/>
          <w:lang w:val="en-IE"/>
        </w:rPr>
        <w:t>1</w:t>
      </w:r>
      <w:r w:rsidR="00A90D63" w:rsidRPr="00532C20">
        <w:rPr>
          <w:rFonts w:ascii="Times New Roman" w:hAnsi="Times New Roman" w:cs="Times New Roman"/>
          <w:noProof/>
          <w:lang w:val="en-IE"/>
        </w:rPr>
        <w:t xml:space="preserve"> </w:t>
      </w:r>
      <w:r w:rsidRPr="00532C20">
        <w:rPr>
          <w:rFonts w:ascii="Times New Roman" w:hAnsi="Times New Roman" w:cs="Times New Roman"/>
          <w:noProof/>
          <w:lang w:val="en-IE"/>
        </w:rPr>
        <w:t xml:space="preserve">of the </w:t>
      </w:r>
      <w:r w:rsidR="00A90D63" w:rsidRPr="00532C20">
        <w:rPr>
          <w:rFonts w:ascii="Times New Roman" w:hAnsi="Times New Roman" w:cs="Times New Roman"/>
          <w:noProof/>
          <w:lang w:val="en-IE"/>
        </w:rPr>
        <w:t>4</w:t>
      </w:r>
      <w:r w:rsidRPr="00532C20">
        <w:rPr>
          <w:rFonts w:ascii="Times New Roman" w:hAnsi="Times New Roman" w:cs="Times New Roman"/>
          <w:noProof/>
          <w:lang w:val="en-IE"/>
        </w:rPr>
        <w:t xml:space="preserve"> stands, the obligation is present). </w:t>
      </w:r>
      <w:r w:rsidR="00C37135" w:rsidRPr="00532C20">
        <w:rPr>
          <w:rFonts w:ascii="Times New Roman" w:hAnsi="Times New Roman" w:cs="Times New Roman"/>
          <w:noProof/>
          <w:lang w:val="en-IE"/>
        </w:rPr>
        <w:t xml:space="preserve">2 </w:t>
      </w:r>
      <w:r w:rsidRPr="00532C20">
        <w:rPr>
          <w:rFonts w:ascii="Times New Roman" w:hAnsi="Times New Roman" w:cs="Times New Roman"/>
          <w:noProof/>
          <w:lang w:val="en-IE"/>
        </w:rPr>
        <w:t>out of</w:t>
      </w:r>
      <w:r w:rsidRPr="00532C20" w:rsidDel="00C37135">
        <w:rPr>
          <w:rFonts w:ascii="Times New Roman" w:hAnsi="Times New Roman" w:cs="Times New Roman"/>
          <w:noProof/>
          <w:lang w:val="en-IE"/>
        </w:rPr>
        <w:t xml:space="preserve"> </w:t>
      </w:r>
      <w:r w:rsidR="00C37135" w:rsidRPr="00532C20">
        <w:rPr>
          <w:rFonts w:ascii="Times New Roman" w:hAnsi="Times New Roman" w:cs="Times New Roman"/>
          <w:noProof/>
          <w:lang w:val="en-IE"/>
        </w:rPr>
        <w:t>4</w:t>
      </w:r>
      <w:r w:rsidRPr="00532C20">
        <w:rPr>
          <w:rFonts w:ascii="Times New Roman" w:hAnsi="Times New Roman" w:cs="Times New Roman"/>
          <w:noProof/>
          <w:lang w:val="en-IE"/>
        </w:rPr>
        <w:t xml:space="preserve"> obligations are related to the frequency of lobbying activity (lobbying is carried out regularly, or carried out on a permanent basis). Another condition that can create the obligation is when the lobbying activity has a commercial nature. Also, a lobbyist must be registered in case such activity was conducted with 50 different contacts in </w:t>
      </w:r>
      <w:r w:rsidR="00A90D63" w:rsidRPr="00532C20">
        <w:rPr>
          <w:rFonts w:ascii="Times New Roman" w:hAnsi="Times New Roman" w:cs="Times New Roman"/>
          <w:noProof/>
          <w:lang w:val="en-IE"/>
        </w:rPr>
        <w:t xml:space="preserve">3 </w:t>
      </w:r>
      <w:r w:rsidRPr="00532C20">
        <w:rPr>
          <w:rFonts w:ascii="Times New Roman" w:hAnsi="Times New Roman" w:cs="Times New Roman"/>
          <w:noProof/>
          <w:lang w:val="en-IE"/>
        </w:rPr>
        <w:t>consecutive months. This last condition ensures that the registration obligation is not circumvented by non-regular or non-permanent activities. Furthermore, as already mentioned on the previous page, financial thresholds to provide data on individual donations, grants and gifts exceeding a certain amount exist in German federal legislation.</w:t>
      </w:r>
    </w:p>
    <w:p w14:paraId="2C5E3F8F" w14:textId="77777777" w:rsidR="0005333A" w:rsidRPr="00532C20" w:rsidRDefault="0005333A">
      <w:pPr>
        <w:pStyle w:val="ListParagraph"/>
        <w:numPr>
          <w:ilvl w:val="0"/>
          <w:numId w:val="30"/>
        </w:numPr>
        <w:spacing w:before="120"/>
        <w:contextualSpacing w:val="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France</w:t>
      </w:r>
      <w:r w:rsidRPr="00532C20">
        <w:rPr>
          <w:rFonts w:ascii="Times New Roman" w:hAnsi="Times New Roman" w:cs="Times New Roman"/>
          <w:noProof/>
          <w:lang w:val="en-IE"/>
        </w:rPr>
        <w:t xml:space="preserve">, financial thresholds exist in relation to turnover to be declared and annual expenditure. The range for turnover is to be declared indicating an approximate, between various ranges (indicated in increments), as mentioned earlier under the previous sub-heading. </w:t>
      </w:r>
    </w:p>
    <w:p w14:paraId="36B923D2" w14:textId="77777777" w:rsidR="0005333A" w:rsidRPr="00532C20" w:rsidRDefault="0005333A">
      <w:pPr>
        <w:pStyle w:val="ListParagraph"/>
        <w:numPr>
          <w:ilvl w:val="0"/>
          <w:numId w:val="30"/>
        </w:numPr>
        <w:spacing w:before="120"/>
        <w:contextualSpacing w:val="0"/>
        <w:jc w:val="both"/>
        <w:rPr>
          <w:rFonts w:ascii="Times New Roman" w:eastAsia="Symbol"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noProof/>
          <w:lang w:val="en-IE"/>
        </w:rPr>
        <w:t>Ireland</w:t>
      </w:r>
      <w:r w:rsidRPr="00532C20">
        <w:rPr>
          <w:rFonts w:ascii="Times New Roman" w:hAnsi="Times New Roman" w:cs="Times New Roman"/>
          <w:noProof/>
          <w:lang w:val="en-IE"/>
        </w:rPr>
        <w:t xml:space="preserve">, </w:t>
      </w:r>
      <w:r w:rsidRPr="00532C20">
        <w:rPr>
          <w:rFonts w:ascii="Times New Roman" w:eastAsia="Symbol" w:hAnsi="Times New Roman" w:cs="Times New Roman"/>
          <w:noProof/>
          <w:lang w:val="en-IE"/>
        </w:rPr>
        <w:t>persons who are carrying on lobbying activities are required to register, if they meet all the following conditions:</w:t>
      </w:r>
    </w:p>
    <w:p w14:paraId="77A00514" w14:textId="77777777" w:rsidR="0005333A" w:rsidRPr="00532C20" w:rsidRDefault="0005333A" w:rsidP="009E6050">
      <w:pPr>
        <w:pStyle w:val="ListParagraph"/>
        <w:numPr>
          <w:ilvl w:val="1"/>
          <w:numId w:val="84"/>
        </w:numPr>
        <w:spacing w:before="120"/>
        <w:contextualSpacing w:val="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They are communicating either directly or indirectly with a “Designated Public Official”; and</w:t>
      </w:r>
    </w:p>
    <w:p w14:paraId="50EFCFA5" w14:textId="77777777" w:rsidR="0005333A" w:rsidRPr="00532C20" w:rsidRDefault="0005333A" w:rsidP="009E6050">
      <w:pPr>
        <w:pStyle w:val="ListParagraph"/>
        <w:numPr>
          <w:ilvl w:val="1"/>
          <w:numId w:val="84"/>
        </w:numPr>
        <w:spacing w:before="120"/>
        <w:contextualSpacing w:val="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That communication is about “a relevant matter”; and</w:t>
      </w:r>
    </w:p>
    <w:p w14:paraId="1AFDBEB1" w14:textId="77777777" w:rsidR="0005333A" w:rsidRPr="00532C20" w:rsidRDefault="0005333A" w:rsidP="009E6050">
      <w:pPr>
        <w:pStyle w:val="ListParagraph"/>
        <w:numPr>
          <w:ilvl w:val="1"/>
          <w:numId w:val="84"/>
        </w:numPr>
        <w:spacing w:before="120"/>
        <w:contextualSpacing w:val="0"/>
        <w:jc w:val="both"/>
        <w:rPr>
          <w:rFonts w:ascii="Times New Roman" w:eastAsia="Symbol" w:hAnsi="Times New Roman" w:cs="Times New Roman"/>
          <w:noProof/>
          <w:lang w:val="en-IE"/>
        </w:rPr>
      </w:pPr>
      <w:r w:rsidRPr="00532C20">
        <w:rPr>
          <w:rFonts w:ascii="Times New Roman" w:eastAsia="Symbol" w:hAnsi="Times New Roman" w:cs="Times New Roman"/>
          <w:noProof/>
          <w:lang w:val="en-IE"/>
        </w:rPr>
        <w:t>That communication is not specifically exempted; and</w:t>
      </w:r>
    </w:p>
    <w:p w14:paraId="1389464C" w14:textId="77777777" w:rsidR="0005333A" w:rsidRPr="00532C20" w:rsidRDefault="0005333A" w:rsidP="009E6050">
      <w:pPr>
        <w:numPr>
          <w:ilvl w:val="1"/>
          <w:numId w:val="84"/>
        </w:numPr>
        <w:spacing w:before="120" w:after="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They are one of the following:</w:t>
      </w:r>
    </w:p>
    <w:p w14:paraId="145A9BB7" w14:textId="77777777" w:rsidR="0005333A" w:rsidRPr="00532C20" w:rsidRDefault="0005333A" w:rsidP="009E6050">
      <w:pPr>
        <w:numPr>
          <w:ilvl w:val="2"/>
          <w:numId w:val="85"/>
        </w:numPr>
        <w:spacing w:before="120" w:after="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An employer with more than 10 employees where the communications are made on the employer’s behalf.</w:t>
      </w:r>
    </w:p>
    <w:p w14:paraId="7314879B" w14:textId="74EF56D2" w:rsidR="0005333A" w:rsidRPr="00532C20" w:rsidRDefault="0005333A" w:rsidP="009E6050">
      <w:pPr>
        <w:numPr>
          <w:ilvl w:val="2"/>
          <w:numId w:val="85"/>
        </w:numPr>
        <w:spacing w:before="120" w:after="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A representative body with at least</w:t>
      </w:r>
      <w:r w:rsidR="006C5AFE">
        <w:rPr>
          <w:rFonts w:ascii="Times New Roman" w:eastAsia="Symbol" w:hAnsi="Times New Roman" w:cs="Times New Roman"/>
          <w:noProof/>
          <w:sz w:val="24"/>
          <w:szCs w:val="24"/>
          <w:lang w:val="en-IE"/>
        </w:rPr>
        <w:t xml:space="preserve"> </w:t>
      </w:r>
      <w:r w:rsidR="00026DB1" w:rsidRPr="00532C20">
        <w:rPr>
          <w:rFonts w:ascii="Times New Roman" w:eastAsia="Symbol" w:hAnsi="Times New Roman" w:cs="Times New Roman"/>
          <w:noProof/>
          <w:sz w:val="24"/>
          <w:szCs w:val="24"/>
          <w:lang w:val="en-IE"/>
        </w:rPr>
        <w:t>1</w:t>
      </w:r>
      <w:r w:rsidR="00A90D63" w:rsidRPr="00532C20">
        <w:rPr>
          <w:rFonts w:ascii="Times New Roman" w:eastAsia="Symbol" w:hAnsi="Times New Roman" w:cs="Times New Roman"/>
          <w:noProof/>
          <w:sz w:val="24"/>
          <w:szCs w:val="24"/>
          <w:lang w:val="en-IE"/>
        </w:rPr>
        <w:t xml:space="preserve"> </w:t>
      </w:r>
      <w:r w:rsidRPr="00532C20">
        <w:rPr>
          <w:rFonts w:ascii="Times New Roman" w:eastAsia="Symbol" w:hAnsi="Times New Roman" w:cs="Times New Roman"/>
          <w:noProof/>
          <w:sz w:val="24"/>
          <w:szCs w:val="24"/>
          <w:lang w:val="en-IE"/>
        </w:rPr>
        <w:t>employee communicating on behalf of its members and the</w:t>
      </w:r>
      <w:r w:rsidRPr="00532C20">
        <w:rPr>
          <w:rFonts w:ascii="Times New Roman" w:eastAsia="Times" w:hAnsi="Times New Roman" w:cs="Times New Roman"/>
          <w:noProof/>
          <w:sz w:val="24"/>
          <w:szCs w:val="24"/>
          <w:lang w:val="en-IE"/>
        </w:rPr>
        <w:t xml:space="preserve"> </w:t>
      </w:r>
      <w:r w:rsidRPr="00532C20">
        <w:rPr>
          <w:rFonts w:ascii="Times New Roman" w:eastAsia="Symbol" w:hAnsi="Times New Roman" w:cs="Times New Roman"/>
          <w:noProof/>
          <w:sz w:val="24"/>
          <w:szCs w:val="24"/>
          <w:lang w:val="en-IE"/>
        </w:rPr>
        <w:t>communication is made by a paid employee or paid office holder of the body.</w:t>
      </w:r>
    </w:p>
    <w:p w14:paraId="75A33420" w14:textId="54AC0B63" w:rsidR="0005333A" w:rsidRPr="00532C20" w:rsidRDefault="0005333A" w:rsidP="009E6050">
      <w:pPr>
        <w:numPr>
          <w:ilvl w:val="2"/>
          <w:numId w:val="85"/>
        </w:numPr>
        <w:spacing w:before="120" w:after="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An advocacy body with at least</w:t>
      </w:r>
      <w:r w:rsidR="006C5AFE">
        <w:rPr>
          <w:rFonts w:ascii="Times New Roman" w:eastAsia="Symbol" w:hAnsi="Times New Roman" w:cs="Times New Roman"/>
          <w:noProof/>
          <w:sz w:val="24"/>
          <w:szCs w:val="24"/>
          <w:lang w:val="en-IE"/>
        </w:rPr>
        <w:t xml:space="preserve"> </w:t>
      </w:r>
      <w:r w:rsidR="00026DB1" w:rsidRPr="00532C20">
        <w:rPr>
          <w:rFonts w:ascii="Times New Roman" w:eastAsia="Symbol" w:hAnsi="Times New Roman" w:cs="Times New Roman"/>
          <w:noProof/>
          <w:sz w:val="24"/>
          <w:szCs w:val="24"/>
          <w:lang w:val="en-IE"/>
        </w:rPr>
        <w:t>1</w:t>
      </w:r>
      <w:r w:rsidR="00A90D63" w:rsidRPr="00532C20">
        <w:rPr>
          <w:rFonts w:ascii="Times New Roman" w:eastAsia="Symbol" w:hAnsi="Times New Roman" w:cs="Times New Roman"/>
          <w:noProof/>
          <w:sz w:val="24"/>
          <w:szCs w:val="24"/>
          <w:lang w:val="en-IE"/>
        </w:rPr>
        <w:t xml:space="preserve"> </w:t>
      </w:r>
      <w:r w:rsidRPr="00532C20">
        <w:rPr>
          <w:rFonts w:ascii="Times New Roman" w:eastAsia="Symbol" w:hAnsi="Times New Roman" w:cs="Times New Roman"/>
          <w:noProof/>
          <w:sz w:val="24"/>
          <w:szCs w:val="24"/>
          <w:lang w:val="en-IE"/>
        </w:rPr>
        <w:t>employee that exists primarily to take up particular issues and a paid employee or paid office holder of the body is communicating on such issues.</w:t>
      </w:r>
    </w:p>
    <w:p w14:paraId="1113A258" w14:textId="2C23D51A" w:rsidR="0005333A" w:rsidRPr="00532C20" w:rsidRDefault="0005333A" w:rsidP="009E6050">
      <w:pPr>
        <w:numPr>
          <w:ilvl w:val="2"/>
          <w:numId w:val="85"/>
        </w:numPr>
        <w:spacing w:before="120" w:after="0" w:line="240" w:lineRule="auto"/>
        <w:jc w:val="both"/>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A professional lobbyist being paid to communicate on behalf of a client (where the client is an employer of more than 10 full time employees or is a representative body or an advocacy body which has at least</w:t>
      </w:r>
      <w:r w:rsidR="00026DB1" w:rsidRPr="00532C20">
        <w:rPr>
          <w:rFonts w:ascii="Times New Roman" w:eastAsia="Symbol" w:hAnsi="Times New Roman" w:cs="Times New Roman"/>
          <w:noProof/>
          <w:sz w:val="24"/>
          <w:szCs w:val="24"/>
          <w:lang w:val="en-IE"/>
        </w:rPr>
        <w:t>1</w:t>
      </w:r>
      <w:r w:rsidR="00A90D63" w:rsidRPr="00532C20">
        <w:rPr>
          <w:rFonts w:ascii="Times New Roman" w:eastAsia="Symbol" w:hAnsi="Times New Roman" w:cs="Times New Roman"/>
          <w:noProof/>
          <w:sz w:val="24"/>
          <w:szCs w:val="24"/>
          <w:lang w:val="en-IE"/>
        </w:rPr>
        <w:t xml:space="preserve"> </w:t>
      </w:r>
      <w:r w:rsidRPr="00532C20">
        <w:rPr>
          <w:rFonts w:ascii="Times New Roman" w:eastAsia="Symbol" w:hAnsi="Times New Roman" w:cs="Times New Roman"/>
          <w:noProof/>
          <w:sz w:val="24"/>
          <w:szCs w:val="24"/>
          <w:lang w:val="en-IE"/>
        </w:rPr>
        <w:t>full-time employee).</w:t>
      </w:r>
    </w:p>
    <w:p w14:paraId="3947C10B" w14:textId="77777777" w:rsidR="0005333A" w:rsidRPr="00532C20" w:rsidRDefault="0005333A">
      <w:pPr>
        <w:pStyle w:val="ListParagraph"/>
        <w:numPr>
          <w:ilvl w:val="0"/>
          <w:numId w:val="30"/>
        </w:numPr>
        <w:spacing w:before="120" w:after="200"/>
        <w:contextualSpacing w:val="0"/>
        <w:jc w:val="both"/>
        <w:rPr>
          <w:rFonts w:ascii="Times New Roman" w:hAnsi="Times New Roman" w:cs="Times New Roman"/>
          <w:noProof/>
          <w:lang w:val="en-IE"/>
        </w:rPr>
      </w:pPr>
      <w:r w:rsidRPr="00532C20">
        <w:rPr>
          <w:rFonts w:ascii="Times New Roman" w:hAnsi="Times New Roman" w:cs="Times New Roman"/>
          <w:noProof/>
          <w:lang w:val="en-IE"/>
        </w:rPr>
        <w:t xml:space="preserve">In </w:t>
      </w:r>
      <w:r w:rsidRPr="00532C20">
        <w:rPr>
          <w:rFonts w:ascii="Times New Roman" w:hAnsi="Times New Roman" w:cs="Times New Roman"/>
          <w:b/>
          <w:bCs/>
          <w:noProof/>
          <w:lang w:val="en-IE"/>
        </w:rPr>
        <w:t>the Netherlands</w:t>
      </w:r>
      <w:r w:rsidRPr="00532C20">
        <w:rPr>
          <w:rFonts w:ascii="Times New Roman" w:hAnsi="Times New Roman" w:cs="Times New Roman"/>
          <w:noProof/>
          <w:lang w:val="en-IE"/>
        </w:rPr>
        <w:t>, the gift register for the Members of the House of Representatives includes a specific threshold. According to rules, gifts exceeding the value of EUR 50 must be registered, specifying the nature of the gift, the price of the gift and the person providing the gift.</w:t>
      </w:r>
    </w:p>
    <w:p w14:paraId="10C589E2" w14:textId="77777777" w:rsidR="0005333A" w:rsidRPr="00532C20" w:rsidRDefault="0005333A" w:rsidP="00C549B2">
      <w:pPr>
        <w:pStyle w:val="ListParagraph"/>
        <w:numPr>
          <w:ilvl w:val="0"/>
          <w:numId w:val="78"/>
        </w:numPr>
        <w:rPr>
          <w:b/>
          <w:noProof/>
          <w:u w:val="single"/>
        </w:rPr>
      </w:pPr>
      <w:r w:rsidRPr="00532C20">
        <w:rPr>
          <w:rFonts w:ascii="Times New Roman" w:hAnsi="Times New Roman" w:cs="Times New Roman"/>
          <w:b/>
          <w:bCs/>
          <w:noProof/>
          <w:u w:val="single"/>
          <w:lang w:val="en-IE"/>
        </w:rPr>
        <w:t>Monitoring and enforcement of national transparency registers</w:t>
      </w:r>
    </w:p>
    <w:p w14:paraId="05475023" w14:textId="3C6563CB" w:rsidR="0005333A" w:rsidRPr="00532C20" w:rsidRDefault="0005333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In this sub-chapter, monitoring practices and enforcement rules in Member States with a transparency register in place are outlined. </w:t>
      </w:r>
      <w:r w:rsidR="00A72863" w:rsidRPr="00532C20">
        <w:rPr>
          <w:rFonts w:ascii="Times New Roman" w:eastAsia="Times" w:hAnsi="Times New Roman" w:cs="Times New Roman"/>
          <w:noProof/>
          <w:sz w:val="24"/>
          <w:szCs w:val="24"/>
          <w:lang w:val="en-IE"/>
        </w:rPr>
        <w:t>L</w:t>
      </w:r>
      <w:r w:rsidRPr="00532C20">
        <w:rPr>
          <w:rFonts w:ascii="Times New Roman" w:eastAsia="Times" w:hAnsi="Times New Roman" w:cs="Times New Roman"/>
          <w:noProof/>
          <w:sz w:val="24"/>
          <w:szCs w:val="24"/>
          <w:lang w:val="en-IE"/>
        </w:rPr>
        <w:t xml:space="preserve">obbying </w:t>
      </w:r>
      <w:r w:rsidR="00A72863" w:rsidRPr="00532C20">
        <w:rPr>
          <w:rFonts w:ascii="Times New Roman" w:eastAsia="Times" w:hAnsi="Times New Roman" w:cs="Times New Roman"/>
          <w:noProof/>
          <w:sz w:val="24"/>
          <w:szCs w:val="24"/>
          <w:lang w:val="en-IE"/>
        </w:rPr>
        <w:t>carried out on behalf of third countries</w:t>
      </w:r>
      <w:r w:rsidRPr="00532C20">
        <w:rPr>
          <w:rFonts w:ascii="Times New Roman" w:eastAsia="Times" w:hAnsi="Times New Roman" w:cs="Times New Roman"/>
          <w:noProof/>
          <w:sz w:val="24"/>
          <w:szCs w:val="24"/>
          <w:lang w:val="en-IE"/>
        </w:rPr>
        <w:t xml:space="preserve"> is not addressed by any Member State, neither for monitoring, nor for enforcement rules. A raft law in </w:t>
      </w:r>
      <w:r w:rsidRPr="00532C20">
        <w:rPr>
          <w:rFonts w:ascii="Times New Roman" w:eastAsia="Times" w:hAnsi="Times New Roman" w:cs="Times New Roman"/>
          <w:b/>
          <w:bCs/>
          <w:noProof/>
          <w:sz w:val="24"/>
          <w:szCs w:val="24"/>
          <w:lang w:val="en-IE"/>
        </w:rPr>
        <w:t>Spain</w:t>
      </w:r>
      <w:r w:rsidRPr="00532C20">
        <w:rPr>
          <w:rFonts w:ascii="Times New Roman" w:eastAsia="Times" w:hAnsi="Times New Roman" w:cs="Times New Roman"/>
          <w:noProof/>
          <w:sz w:val="24"/>
          <w:szCs w:val="24"/>
          <w:vertAlign w:val="superscript"/>
          <w:lang w:val="en-IE"/>
        </w:rPr>
        <w:footnoteReference w:id="317"/>
      </w:r>
      <w:r w:rsidRPr="00532C20">
        <w:rPr>
          <w:rFonts w:ascii="Times New Roman" w:eastAsia="Times" w:hAnsi="Times New Roman" w:cs="Times New Roman"/>
          <w:noProof/>
          <w:sz w:val="24"/>
          <w:szCs w:val="24"/>
          <w:lang w:val="en-IE"/>
        </w:rPr>
        <w:t xml:space="preserve"> would introduce a mandatory public transparency register, which would be complemented by monitoring and enforcement rules.</w:t>
      </w:r>
    </w:p>
    <w:p w14:paraId="3048AF46" w14:textId="613AB44F" w:rsidR="001801CA" w:rsidRPr="00532C20" w:rsidRDefault="0005333A" w:rsidP="00313F32">
      <w:pPr>
        <w:spacing w:before="120" w:line="240" w:lineRule="auto"/>
        <w:jc w:val="both"/>
        <w:rPr>
          <w:rFonts w:cs="Times New Roman"/>
          <w:b/>
          <w:noProof/>
        </w:rPr>
      </w:pPr>
      <w:r w:rsidRPr="00532C20">
        <w:rPr>
          <w:rFonts w:ascii="Times New Roman" w:hAnsi="Times New Roman" w:cs="Times New Roman"/>
          <w:noProof/>
          <w:sz w:val="24"/>
          <w:szCs w:val="24"/>
          <w:lang w:val="en-IE"/>
        </w:rPr>
        <w:t xml:space="preserve">In 9 Member States </w:t>
      </w:r>
      <w:r w:rsidRPr="00532C20">
        <w:rPr>
          <w:rFonts w:ascii="Times New Roman" w:hAnsi="Times New Roman" w:cs="Times New Roman"/>
          <w:b/>
          <w:bCs/>
          <w:noProof/>
          <w:sz w:val="24"/>
          <w:szCs w:val="24"/>
          <w:lang w:val="en-IE"/>
        </w:rPr>
        <w:t xml:space="preserve">(IE, EL, </w:t>
      </w:r>
      <w:r w:rsidR="00A90845" w:rsidRPr="00532C20">
        <w:rPr>
          <w:rFonts w:ascii="Times New Roman" w:hAnsi="Times New Roman" w:cs="Times New Roman"/>
          <w:b/>
          <w:bCs/>
          <w:noProof/>
          <w:sz w:val="24"/>
          <w:szCs w:val="24"/>
          <w:lang w:val="en-IE"/>
        </w:rPr>
        <w:t>ES</w:t>
      </w:r>
      <w:r w:rsidR="00A90845" w:rsidRPr="00532C20">
        <w:rPr>
          <w:rStyle w:val="FootnoteReference"/>
          <w:rFonts w:ascii="Times New Roman" w:hAnsi="Times New Roman" w:cs="Times New Roman"/>
          <w:b/>
          <w:noProof/>
          <w:sz w:val="24"/>
          <w:szCs w:val="24"/>
          <w:lang w:val="en-IE"/>
        </w:rPr>
        <w:footnoteReference w:id="318"/>
      </w:r>
      <w:r w:rsidR="00A90845" w:rsidRPr="00532C20">
        <w:rPr>
          <w:rFonts w:ascii="Times New Roman" w:hAnsi="Times New Roman" w:cs="Times New Roman"/>
          <w:b/>
          <w:bCs/>
          <w:noProof/>
          <w:sz w:val="24"/>
          <w:szCs w:val="24"/>
          <w:lang w:val="en-IE"/>
        </w:rPr>
        <w:t xml:space="preserve">, </w:t>
      </w:r>
      <w:r w:rsidRPr="00532C20">
        <w:rPr>
          <w:rFonts w:ascii="Times New Roman" w:hAnsi="Times New Roman" w:cs="Times New Roman"/>
          <w:b/>
          <w:bCs/>
          <w:noProof/>
          <w:sz w:val="24"/>
          <w:szCs w:val="24"/>
          <w:lang w:val="en-IE"/>
        </w:rPr>
        <w:t xml:space="preserve">FR, IT, </w:t>
      </w:r>
      <w:r w:rsidR="00A90845" w:rsidRPr="00532C20">
        <w:rPr>
          <w:rFonts w:ascii="Times New Roman" w:hAnsi="Times New Roman" w:cs="Times New Roman"/>
          <w:b/>
          <w:bCs/>
          <w:noProof/>
          <w:sz w:val="24"/>
          <w:szCs w:val="24"/>
          <w:lang w:val="en-IE"/>
        </w:rPr>
        <w:t>CY</w:t>
      </w:r>
      <w:r w:rsidRPr="00532C20">
        <w:rPr>
          <w:rFonts w:ascii="Times New Roman" w:hAnsi="Times New Roman" w:cs="Times New Roman"/>
          <w:b/>
          <w:bCs/>
          <w:noProof/>
          <w:sz w:val="24"/>
          <w:szCs w:val="24"/>
          <w:lang w:val="en-IE"/>
        </w:rPr>
        <w:t>, LT, SI, FI)</w:t>
      </w:r>
      <w:r w:rsidRPr="00532C20">
        <w:rPr>
          <w:rFonts w:ascii="Times New Roman" w:hAnsi="Times New Roman" w:cs="Times New Roman"/>
          <w:noProof/>
          <w:sz w:val="24"/>
          <w:szCs w:val="24"/>
          <w:lang w:val="en-IE"/>
        </w:rPr>
        <w:t xml:space="preserve"> the national register is supervised by an independent authority. In the 6 other Member States that have a transparency register, </w:t>
      </w:r>
      <w:r w:rsidR="00A96D7A" w:rsidRPr="00532C20">
        <w:rPr>
          <w:rFonts w:ascii="Times New Roman" w:hAnsi="Times New Roman" w:cs="Times New Roman"/>
          <w:noProof/>
          <w:sz w:val="24"/>
          <w:szCs w:val="24"/>
          <w:lang w:val="en-IE"/>
        </w:rPr>
        <w:t>3</w:t>
      </w:r>
      <w:r w:rsidRPr="00532C20">
        <w:rPr>
          <w:rFonts w:ascii="Times New Roman" w:hAnsi="Times New Roman" w:cs="Times New Roman"/>
          <w:noProof/>
          <w:sz w:val="24"/>
          <w:szCs w:val="24"/>
          <w:lang w:val="en-IE"/>
        </w:rPr>
        <w:t xml:space="preserve"> </w:t>
      </w:r>
      <w:r w:rsidRPr="00532C20">
        <w:rPr>
          <w:rFonts w:ascii="Times New Roman" w:hAnsi="Times New Roman" w:cs="Times New Roman"/>
          <w:b/>
          <w:bCs/>
          <w:noProof/>
          <w:sz w:val="24"/>
          <w:szCs w:val="24"/>
          <w:lang w:val="en-IE"/>
        </w:rPr>
        <w:t>(LU, AT, RO)</w:t>
      </w:r>
      <w:r w:rsidRPr="00532C20">
        <w:rPr>
          <w:rFonts w:ascii="Times New Roman" w:hAnsi="Times New Roman" w:cs="Times New Roman"/>
          <w:noProof/>
          <w:sz w:val="24"/>
          <w:szCs w:val="24"/>
          <w:lang w:val="en-IE"/>
        </w:rPr>
        <w:t xml:space="preserve"> tasked their government with this tasked and 3 tasked their parliament </w:t>
      </w:r>
      <w:r w:rsidRPr="00532C20">
        <w:rPr>
          <w:rFonts w:ascii="Times New Roman" w:hAnsi="Times New Roman" w:cs="Times New Roman"/>
          <w:b/>
          <w:bCs/>
          <w:noProof/>
          <w:sz w:val="24"/>
          <w:szCs w:val="24"/>
          <w:lang w:val="en-IE"/>
        </w:rPr>
        <w:t>(BE, DE, NL)</w:t>
      </w:r>
      <w:r w:rsidRPr="00532C20">
        <w:rPr>
          <w:rFonts w:ascii="Times New Roman" w:hAnsi="Times New Roman" w:cs="Times New Roman"/>
          <w:noProof/>
          <w:sz w:val="24"/>
          <w:szCs w:val="24"/>
          <w:lang w:val="en-IE"/>
        </w:rPr>
        <w:t>.</w:t>
      </w:r>
    </w:p>
    <w:p w14:paraId="1687387C" w14:textId="7DE40960" w:rsidR="0005333A" w:rsidRPr="00532C20" w:rsidRDefault="0005333A" w:rsidP="00C549B2">
      <w:pPr>
        <w:pStyle w:val="ListParagraph"/>
        <w:numPr>
          <w:ilvl w:val="1"/>
          <w:numId w:val="78"/>
        </w:numPr>
        <w:rPr>
          <w:rFonts w:cs="Times New Roman"/>
          <w:b/>
          <w:noProof/>
        </w:rPr>
      </w:pPr>
      <w:r w:rsidRPr="00532C20">
        <w:rPr>
          <w:rFonts w:ascii="Times New Roman" w:hAnsi="Times New Roman" w:cs="Times New Roman"/>
          <w:b/>
          <w:bCs/>
          <w:noProof/>
          <w:u w:val="single"/>
          <w:lang w:val="en-IE"/>
        </w:rPr>
        <w:t>Monitoring</w:t>
      </w:r>
    </w:p>
    <w:p w14:paraId="5C8E9B0D" w14:textId="06DCAE69" w:rsidR="0005333A" w:rsidRPr="00532C20" w:rsidRDefault="004A5785" w:rsidP="004B0958">
      <w:pPr>
        <w:spacing w:before="120" w:line="240" w:lineRule="auto"/>
        <w:jc w:val="both"/>
        <w:rPr>
          <w:rFonts w:ascii="Times New Roman" w:eastAsia="Times" w:hAnsi="Times New Roman" w:cs="Times New Roman"/>
          <w:b/>
          <w:noProof/>
          <w:sz w:val="24"/>
          <w:szCs w:val="24"/>
          <w:lang w:val="en-IE"/>
        </w:rPr>
      </w:pPr>
      <w:r w:rsidRPr="00532C20">
        <w:rPr>
          <w:rFonts w:ascii="Times New Roman" w:eastAsia="Times" w:hAnsi="Times New Roman" w:cs="Times New Roman"/>
          <w:noProof/>
          <w:sz w:val="24"/>
          <w:szCs w:val="24"/>
          <w:lang w:val="en-IE"/>
        </w:rPr>
        <w:t xml:space="preserve">2 </w:t>
      </w:r>
      <w:r w:rsidR="0005333A" w:rsidRPr="00532C20">
        <w:rPr>
          <w:rFonts w:ascii="Times New Roman" w:eastAsia="Times" w:hAnsi="Times New Roman" w:cs="Times New Roman"/>
          <w:noProof/>
          <w:sz w:val="24"/>
          <w:szCs w:val="24"/>
          <w:lang w:val="en-IE"/>
        </w:rPr>
        <w:t>Member States</w:t>
      </w:r>
      <w:r w:rsidR="0005333A" w:rsidRPr="00532C20">
        <w:rPr>
          <w:rFonts w:ascii="Times New Roman" w:eastAsia="Times" w:hAnsi="Times New Roman" w:cs="Times New Roman"/>
          <w:b/>
          <w:bCs/>
          <w:noProof/>
          <w:sz w:val="24"/>
          <w:szCs w:val="24"/>
          <w:lang w:val="en-IE"/>
        </w:rPr>
        <w:t xml:space="preserve"> (BE, IT) </w:t>
      </w:r>
      <w:r w:rsidR="0005333A" w:rsidRPr="00532C20">
        <w:rPr>
          <w:rFonts w:ascii="Times New Roman" w:eastAsia="Times" w:hAnsi="Times New Roman" w:cs="Times New Roman"/>
          <w:noProof/>
          <w:sz w:val="24"/>
          <w:szCs w:val="24"/>
          <w:lang w:val="en-IE"/>
        </w:rPr>
        <w:t xml:space="preserve">with existing transparency registers lack rules on monitoring and enforcement in this regard. </w:t>
      </w:r>
      <w:r w:rsidR="007A735A" w:rsidRPr="00532C20">
        <w:rPr>
          <w:rFonts w:ascii="Times New Roman" w:eastAsia="Times" w:hAnsi="Times New Roman" w:cs="Times New Roman"/>
          <w:noProof/>
          <w:sz w:val="24"/>
          <w:szCs w:val="24"/>
          <w:lang w:val="en-IE"/>
        </w:rPr>
        <w:t>11</w:t>
      </w:r>
      <w:r w:rsidR="0005333A" w:rsidRPr="00532C20">
        <w:rPr>
          <w:rFonts w:ascii="Times New Roman" w:eastAsia="Times" w:hAnsi="Times New Roman" w:cs="Times New Roman"/>
          <w:noProof/>
          <w:sz w:val="24"/>
          <w:szCs w:val="24"/>
          <w:lang w:val="en-IE"/>
        </w:rPr>
        <w:t xml:space="preserve"> Member States</w:t>
      </w:r>
      <w:r w:rsidR="0005333A" w:rsidRPr="00532C20">
        <w:rPr>
          <w:rFonts w:ascii="Times New Roman" w:eastAsia="Times" w:hAnsi="Times New Roman" w:cs="Times New Roman"/>
          <w:b/>
          <w:bCs/>
          <w:noProof/>
          <w:sz w:val="24"/>
          <w:szCs w:val="24"/>
          <w:lang w:val="en-IE"/>
        </w:rPr>
        <w:t xml:space="preserve"> (DE, EL, ES</w:t>
      </w:r>
      <w:r w:rsidR="0005333A" w:rsidRPr="00532C20">
        <w:rPr>
          <w:rFonts w:ascii="Times New Roman" w:eastAsia="Times" w:hAnsi="Times New Roman" w:cs="Times New Roman"/>
          <w:b/>
          <w:noProof/>
          <w:sz w:val="24"/>
          <w:szCs w:val="24"/>
          <w:vertAlign w:val="superscript"/>
          <w:lang w:val="en-IE"/>
        </w:rPr>
        <w:footnoteReference w:id="319"/>
      </w:r>
      <w:r w:rsidR="0005333A" w:rsidRPr="00532C20">
        <w:rPr>
          <w:rFonts w:ascii="Times New Roman" w:eastAsia="Times" w:hAnsi="Times New Roman" w:cs="Times New Roman"/>
          <w:b/>
          <w:bCs/>
          <w:noProof/>
          <w:sz w:val="24"/>
          <w:szCs w:val="24"/>
          <w:lang w:val="en-IE"/>
        </w:rPr>
        <w:t xml:space="preserve">, FR, </w:t>
      </w:r>
      <w:r w:rsidR="00ED07CE" w:rsidRPr="00532C20">
        <w:rPr>
          <w:rFonts w:ascii="Times New Roman" w:eastAsia="Times" w:hAnsi="Times New Roman" w:cs="Times New Roman"/>
          <w:b/>
          <w:bCs/>
          <w:noProof/>
          <w:sz w:val="24"/>
          <w:szCs w:val="24"/>
          <w:lang w:val="en-IE"/>
        </w:rPr>
        <w:t xml:space="preserve">CY, </w:t>
      </w:r>
      <w:r w:rsidR="0005333A" w:rsidRPr="00532C20">
        <w:rPr>
          <w:rFonts w:ascii="Times New Roman" w:eastAsia="Times" w:hAnsi="Times New Roman" w:cs="Times New Roman"/>
          <w:b/>
          <w:bCs/>
          <w:noProof/>
          <w:sz w:val="24"/>
          <w:szCs w:val="24"/>
          <w:lang w:val="en-IE"/>
        </w:rPr>
        <w:t xml:space="preserve">LT, LU, NL, </w:t>
      </w:r>
      <w:r w:rsidR="000C36DC" w:rsidRPr="00532C20">
        <w:rPr>
          <w:rFonts w:ascii="Times New Roman" w:eastAsia="Times" w:hAnsi="Times New Roman" w:cs="Times New Roman"/>
          <w:b/>
          <w:bCs/>
          <w:noProof/>
          <w:sz w:val="24"/>
          <w:szCs w:val="24"/>
          <w:lang w:val="en-IE"/>
        </w:rPr>
        <w:t xml:space="preserve">AT, </w:t>
      </w:r>
      <w:r w:rsidR="0005333A" w:rsidRPr="00532C20">
        <w:rPr>
          <w:rFonts w:ascii="Times New Roman" w:eastAsia="Times" w:hAnsi="Times New Roman" w:cs="Times New Roman"/>
          <w:b/>
          <w:bCs/>
          <w:noProof/>
          <w:sz w:val="24"/>
          <w:szCs w:val="24"/>
          <w:lang w:val="en-IE"/>
        </w:rPr>
        <w:t xml:space="preserve">RO, SI) </w:t>
      </w:r>
      <w:r w:rsidR="0005333A" w:rsidRPr="00532C20">
        <w:rPr>
          <w:rFonts w:ascii="Times New Roman" w:eastAsia="Times" w:hAnsi="Times New Roman" w:cs="Times New Roman"/>
          <w:noProof/>
          <w:sz w:val="24"/>
          <w:szCs w:val="24"/>
          <w:lang w:val="en-IE"/>
        </w:rPr>
        <w:t>implement monitoring and enforcement regimes, which differ in strictness.</w:t>
      </w:r>
    </w:p>
    <w:p w14:paraId="65DF2FCA" w14:textId="5B1BB774" w:rsidR="0005333A" w:rsidRPr="00532C20" w:rsidRDefault="001801C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S</w:t>
      </w:r>
      <w:r w:rsidR="0005333A" w:rsidRPr="00532C20">
        <w:rPr>
          <w:rFonts w:ascii="Times New Roman" w:eastAsia="Times" w:hAnsi="Times New Roman" w:cs="Times New Roman"/>
          <w:noProof/>
          <w:sz w:val="24"/>
          <w:szCs w:val="24"/>
          <w:lang w:val="en-IE"/>
        </w:rPr>
        <w:t xml:space="preserve">everal Member States have introduced reporting obligations. On the one hand, </w:t>
      </w:r>
      <w:r w:rsidR="00CA1548" w:rsidRPr="00532C20">
        <w:rPr>
          <w:rFonts w:ascii="Times New Roman" w:eastAsia="Times" w:hAnsi="Times New Roman" w:cs="Times New Roman"/>
          <w:noProof/>
          <w:sz w:val="24"/>
          <w:szCs w:val="24"/>
          <w:lang w:val="en-IE"/>
        </w:rPr>
        <w:t>3</w:t>
      </w:r>
      <w:r w:rsidR="0005333A" w:rsidRPr="00532C20">
        <w:rPr>
          <w:rFonts w:ascii="Times New Roman" w:eastAsia="Times" w:hAnsi="Times New Roman" w:cs="Times New Roman"/>
          <w:noProof/>
          <w:sz w:val="24"/>
          <w:szCs w:val="24"/>
          <w:lang w:val="en-IE"/>
        </w:rPr>
        <w:t xml:space="preserve"> Member States (</w:t>
      </w:r>
      <w:r w:rsidR="0005333A" w:rsidRPr="00532C20">
        <w:rPr>
          <w:rFonts w:ascii="Times New Roman" w:eastAsia="Times" w:hAnsi="Times New Roman" w:cs="Times New Roman"/>
          <w:b/>
          <w:noProof/>
          <w:sz w:val="24"/>
          <w:szCs w:val="24"/>
          <w:lang w:val="en-IE"/>
        </w:rPr>
        <w:t xml:space="preserve">FR, </w:t>
      </w:r>
      <w:r w:rsidR="005E22B0" w:rsidRPr="00532C20">
        <w:rPr>
          <w:rFonts w:ascii="Times New Roman" w:eastAsia="Times" w:hAnsi="Times New Roman" w:cs="Times New Roman"/>
          <w:b/>
          <w:noProof/>
          <w:sz w:val="24"/>
          <w:szCs w:val="24"/>
          <w:lang w:val="en-IE"/>
        </w:rPr>
        <w:t>CY</w:t>
      </w:r>
      <w:r w:rsidR="0005333A" w:rsidRPr="00532C20">
        <w:rPr>
          <w:rFonts w:ascii="Times New Roman" w:eastAsia="Times" w:hAnsi="Times New Roman" w:cs="Times New Roman"/>
          <w:b/>
          <w:noProof/>
          <w:sz w:val="24"/>
          <w:szCs w:val="24"/>
          <w:lang w:val="en-IE"/>
        </w:rPr>
        <w:t>, SI</w:t>
      </w:r>
      <w:r w:rsidR="0005333A" w:rsidRPr="00532C20">
        <w:rPr>
          <w:rFonts w:ascii="Times New Roman" w:eastAsia="Times" w:hAnsi="Times New Roman" w:cs="Times New Roman"/>
          <w:noProof/>
          <w:sz w:val="24"/>
          <w:szCs w:val="24"/>
          <w:lang w:val="en-IE"/>
        </w:rPr>
        <w:t xml:space="preserve">) oblige lobbyists to report periodically (e.g. annually) on their activities involving public decision-making. On the other hand, </w:t>
      </w:r>
      <w:r w:rsidR="00942EEB" w:rsidRPr="00532C20">
        <w:rPr>
          <w:rFonts w:ascii="Times New Roman" w:eastAsia="Times" w:hAnsi="Times New Roman" w:cs="Times New Roman"/>
          <w:noProof/>
          <w:sz w:val="24"/>
          <w:szCs w:val="24"/>
          <w:lang w:val="en-IE"/>
        </w:rPr>
        <w:t xml:space="preserve">4 </w:t>
      </w:r>
      <w:r w:rsidR="0005333A" w:rsidRPr="00532C20">
        <w:rPr>
          <w:rFonts w:ascii="Times New Roman" w:eastAsia="Times" w:hAnsi="Times New Roman" w:cs="Times New Roman"/>
          <w:noProof/>
          <w:sz w:val="24"/>
          <w:szCs w:val="24"/>
          <w:lang w:val="en-IE"/>
        </w:rPr>
        <w:t>Member States (</w:t>
      </w:r>
      <w:r w:rsidR="0005333A" w:rsidRPr="00532C20">
        <w:rPr>
          <w:rFonts w:ascii="Times New Roman" w:eastAsia="Times" w:hAnsi="Times New Roman" w:cs="Times New Roman"/>
          <w:b/>
          <w:noProof/>
          <w:sz w:val="24"/>
          <w:szCs w:val="24"/>
          <w:lang w:val="en-IE"/>
        </w:rPr>
        <w:t>LT, LU, RO, SI</w:t>
      </w:r>
      <w:r w:rsidR="0005333A" w:rsidRPr="00532C20">
        <w:rPr>
          <w:rFonts w:ascii="Times New Roman" w:eastAsia="Times" w:hAnsi="Times New Roman" w:cs="Times New Roman"/>
          <w:noProof/>
          <w:sz w:val="24"/>
          <w:szCs w:val="24"/>
          <w:lang w:val="en-IE"/>
        </w:rPr>
        <w:t xml:space="preserve">) oblige parliamentarians and/or public officials to inform the competent authority on their contacts with lobbyists. Additionally, in </w:t>
      </w:r>
      <w:r w:rsidR="0005333A" w:rsidRPr="00532C20">
        <w:rPr>
          <w:rFonts w:ascii="Times New Roman" w:eastAsia="Times" w:hAnsi="Times New Roman" w:cs="Times New Roman"/>
          <w:b/>
          <w:noProof/>
          <w:sz w:val="24"/>
          <w:szCs w:val="24"/>
          <w:lang w:val="en-IE"/>
        </w:rPr>
        <w:t>Slovenia</w:t>
      </w:r>
      <w:r w:rsidR="0005333A" w:rsidRPr="00532C20">
        <w:rPr>
          <w:rFonts w:ascii="Times New Roman" w:eastAsia="Times" w:hAnsi="Times New Roman" w:cs="Times New Roman"/>
          <w:noProof/>
          <w:sz w:val="24"/>
          <w:szCs w:val="24"/>
          <w:lang w:val="en-IE"/>
        </w:rPr>
        <w:t>, clients of lobbyists must also provide details related to lobbying activities to the Commission for the Prevention of Corruption.</w:t>
      </w:r>
    </w:p>
    <w:p w14:paraId="3E395211" w14:textId="79E76BB0" w:rsidR="0005333A" w:rsidRPr="00532C20" w:rsidRDefault="00A90D63"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2</w:t>
      </w:r>
      <w:r w:rsidR="0005333A" w:rsidRPr="00532C20">
        <w:rPr>
          <w:rFonts w:ascii="Times New Roman" w:eastAsia="Times" w:hAnsi="Times New Roman" w:cs="Times New Roman"/>
          <w:noProof/>
          <w:sz w:val="24"/>
          <w:szCs w:val="24"/>
          <w:lang w:val="en-IE"/>
        </w:rPr>
        <w:t xml:space="preserve"> Member States (</w:t>
      </w:r>
      <w:r w:rsidR="0005333A" w:rsidRPr="00532C20">
        <w:rPr>
          <w:rFonts w:ascii="Times New Roman" w:eastAsia="Times" w:hAnsi="Times New Roman" w:cs="Times New Roman"/>
          <w:b/>
          <w:noProof/>
          <w:sz w:val="24"/>
          <w:szCs w:val="24"/>
          <w:lang w:val="en-IE"/>
        </w:rPr>
        <w:t>DE, NL</w:t>
      </w:r>
      <w:r w:rsidR="0005333A" w:rsidRPr="00532C20">
        <w:rPr>
          <w:rFonts w:ascii="Times New Roman" w:eastAsia="Times" w:hAnsi="Times New Roman" w:cs="Times New Roman"/>
          <w:noProof/>
          <w:sz w:val="24"/>
          <w:szCs w:val="24"/>
          <w:lang w:val="en-IE"/>
        </w:rPr>
        <w:t>) have established rules on an access protocol into the premises of their respective parliaments. In other words, unregistered lobbyists do not receive the necessary pass to enter parliament. These measures also aim to ensure that lobbyists keep their registered data updated.</w:t>
      </w:r>
    </w:p>
    <w:p w14:paraId="380E2F6B" w14:textId="3671B87A" w:rsidR="0005333A" w:rsidRPr="00532C20" w:rsidRDefault="001801CA" w:rsidP="004B0958">
      <w:pPr>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I</w:t>
      </w:r>
      <w:r w:rsidR="0005333A" w:rsidRPr="00532C20">
        <w:rPr>
          <w:rFonts w:ascii="Times New Roman" w:eastAsia="Times" w:hAnsi="Times New Roman" w:cs="Times New Roman"/>
          <w:noProof/>
          <w:sz w:val="24"/>
          <w:szCs w:val="24"/>
          <w:lang w:val="en-IE"/>
        </w:rPr>
        <w:t xml:space="preserve">n </w:t>
      </w:r>
      <w:r w:rsidR="0005333A" w:rsidRPr="00532C20">
        <w:rPr>
          <w:rFonts w:ascii="Times New Roman" w:eastAsia="Times" w:hAnsi="Times New Roman" w:cs="Times New Roman"/>
          <w:b/>
          <w:noProof/>
          <w:sz w:val="24"/>
          <w:szCs w:val="24"/>
          <w:lang w:val="en-IE"/>
        </w:rPr>
        <w:t>Greece</w:t>
      </w:r>
      <w:r w:rsidR="0005333A" w:rsidRPr="00532C20">
        <w:rPr>
          <w:rFonts w:ascii="Times New Roman" w:eastAsia="Times" w:hAnsi="Times New Roman" w:cs="Times New Roman"/>
          <w:noProof/>
          <w:sz w:val="24"/>
          <w:szCs w:val="24"/>
          <w:lang w:val="en-IE"/>
        </w:rPr>
        <w:t xml:space="preserve">, the National Transparency Authority has the power to conduct audits and create codes of conducts for registered lobbyists as part of their monitoring system. </w:t>
      </w:r>
    </w:p>
    <w:p w14:paraId="133DDC2A" w14:textId="77777777" w:rsidR="0005333A" w:rsidRPr="00532C20" w:rsidRDefault="0005333A" w:rsidP="00C549B2">
      <w:pPr>
        <w:pStyle w:val="ListParagraph"/>
        <w:numPr>
          <w:ilvl w:val="1"/>
          <w:numId w:val="78"/>
        </w:numPr>
        <w:rPr>
          <w:rFonts w:cs="Times New Roman"/>
          <w:b/>
          <w:noProof/>
        </w:rPr>
      </w:pPr>
      <w:r w:rsidRPr="00532C20">
        <w:rPr>
          <w:rFonts w:ascii="Times New Roman" w:hAnsi="Times New Roman" w:cs="Times New Roman"/>
          <w:b/>
          <w:bCs/>
          <w:noProof/>
          <w:u w:val="single"/>
          <w:lang w:val="en-IE"/>
        </w:rPr>
        <w:t>Enforcement</w:t>
      </w:r>
    </w:p>
    <w:p w14:paraId="4733E4E4" w14:textId="4E24B8B1" w:rsidR="00A15BF6" w:rsidRPr="00532C20" w:rsidRDefault="0005333A" w:rsidP="004B0958">
      <w:pPr>
        <w:keepNext/>
        <w:spacing w:before="12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In terms of enforcement, currently </w:t>
      </w:r>
      <w:r w:rsidR="00942EEB" w:rsidRPr="00532C20">
        <w:rPr>
          <w:rFonts w:ascii="Times New Roman" w:eastAsia="Times" w:hAnsi="Times New Roman" w:cs="Times New Roman"/>
          <w:noProof/>
          <w:sz w:val="24"/>
          <w:szCs w:val="24"/>
          <w:lang w:val="en-IE"/>
        </w:rPr>
        <w:t>5</w:t>
      </w:r>
      <w:r w:rsidRPr="00532C20">
        <w:rPr>
          <w:rFonts w:ascii="Times New Roman" w:eastAsia="Times" w:hAnsi="Times New Roman" w:cs="Times New Roman"/>
          <w:noProof/>
          <w:sz w:val="24"/>
          <w:szCs w:val="24"/>
          <w:lang w:val="en-IE"/>
        </w:rPr>
        <w:t xml:space="preserve"> Member States</w:t>
      </w:r>
      <w:r w:rsidRPr="00532C20">
        <w:rPr>
          <w:rFonts w:ascii="Times New Roman" w:eastAsia="Times" w:hAnsi="Times New Roman" w:cs="Times New Roman"/>
          <w:b/>
          <w:noProof/>
          <w:sz w:val="24"/>
          <w:szCs w:val="24"/>
          <w:lang w:val="en-IE"/>
        </w:rPr>
        <w:t xml:space="preserve"> (DE, </w:t>
      </w:r>
      <w:r w:rsidR="0027223D" w:rsidRPr="00532C20">
        <w:rPr>
          <w:rFonts w:ascii="Times New Roman" w:eastAsia="Times" w:hAnsi="Times New Roman" w:cs="Times New Roman"/>
          <w:b/>
          <w:noProof/>
          <w:sz w:val="24"/>
          <w:szCs w:val="24"/>
          <w:lang w:val="en-IE"/>
        </w:rPr>
        <w:t xml:space="preserve">IE, </w:t>
      </w:r>
      <w:r w:rsidRPr="00532C20">
        <w:rPr>
          <w:rFonts w:ascii="Times New Roman" w:eastAsia="Times" w:hAnsi="Times New Roman" w:cs="Times New Roman"/>
          <w:b/>
          <w:noProof/>
          <w:sz w:val="24"/>
          <w:szCs w:val="24"/>
          <w:lang w:val="en-IE"/>
        </w:rPr>
        <w:t xml:space="preserve">EL, </w:t>
      </w:r>
      <w:r w:rsidR="005E22B0" w:rsidRPr="00532C20">
        <w:rPr>
          <w:rFonts w:ascii="Times New Roman" w:eastAsia="Times" w:hAnsi="Times New Roman" w:cs="Times New Roman"/>
          <w:b/>
          <w:noProof/>
          <w:sz w:val="24"/>
          <w:szCs w:val="24"/>
          <w:lang w:val="en-IE"/>
        </w:rPr>
        <w:t>CY</w:t>
      </w:r>
      <w:r w:rsidR="0027223D" w:rsidRPr="00532C20">
        <w:rPr>
          <w:rFonts w:ascii="Times New Roman" w:eastAsia="Times" w:hAnsi="Times New Roman" w:cs="Times New Roman"/>
          <w:b/>
          <w:noProof/>
          <w:sz w:val="24"/>
          <w:szCs w:val="24"/>
          <w:lang w:val="en-IE"/>
        </w:rPr>
        <w:t>,</w:t>
      </w:r>
      <w:r w:rsidR="005E22B0" w:rsidRPr="00532C20">
        <w:rPr>
          <w:rFonts w:ascii="Times New Roman" w:eastAsia="Times" w:hAnsi="Times New Roman" w:cs="Times New Roman"/>
          <w:b/>
          <w:noProof/>
          <w:sz w:val="24"/>
          <w:szCs w:val="24"/>
          <w:lang w:val="en-IE"/>
        </w:rPr>
        <w:t xml:space="preserve"> </w:t>
      </w:r>
      <w:r w:rsidRPr="00532C20">
        <w:rPr>
          <w:rFonts w:ascii="Times New Roman" w:eastAsia="Times" w:hAnsi="Times New Roman" w:cs="Times New Roman"/>
          <w:b/>
          <w:noProof/>
          <w:sz w:val="24"/>
          <w:szCs w:val="24"/>
          <w:lang w:val="en-IE"/>
        </w:rPr>
        <w:t xml:space="preserve">LT) </w:t>
      </w:r>
      <w:r w:rsidRPr="00532C20">
        <w:rPr>
          <w:rFonts w:ascii="Times New Roman" w:eastAsia="Times" w:hAnsi="Times New Roman" w:cs="Times New Roman"/>
          <w:noProof/>
          <w:sz w:val="24"/>
          <w:szCs w:val="24"/>
          <w:lang w:val="en-IE"/>
        </w:rPr>
        <w:t xml:space="preserve">have sanctions in place for non-compliance with registering rules. Fines as a form of sanctions are applied by all aforementioned Member States, while suspension or removal from the transparency register is present as an enforcement measure in </w:t>
      </w:r>
      <w:r w:rsidR="004A5785" w:rsidRPr="00532C20">
        <w:rPr>
          <w:rFonts w:ascii="Times New Roman" w:eastAsia="Times" w:hAnsi="Times New Roman" w:cs="Times New Roman"/>
          <w:noProof/>
          <w:sz w:val="24"/>
          <w:szCs w:val="24"/>
          <w:lang w:val="en-IE"/>
        </w:rPr>
        <w:t xml:space="preserve">2 </w:t>
      </w:r>
      <w:r w:rsidRPr="00532C20">
        <w:rPr>
          <w:rFonts w:ascii="Times New Roman" w:eastAsia="Times" w:hAnsi="Times New Roman" w:cs="Times New Roman"/>
          <w:noProof/>
          <w:sz w:val="24"/>
          <w:szCs w:val="24"/>
          <w:lang w:val="en-IE"/>
        </w:rPr>
        <w:t>Member States (</w:t>
      </w:r>
      <w:r w:rsidRPr="00532C20">
        <w:rPr>
          <w:rFonts w:ascii="Times New Roman" w:eastAsia="Times" w:hAnsi="Times New Roman" w:cs="Times New Roman"/>
          <w:b/>
          <w:noProof/>
          <w:sz w:val="24"/>
          <w:szCs w:val="24"/>
          <w:lang w:val="en-IE"/>
        </w:rPr>
        <w:t>DE, EL</w:t>
      </w:r>
      <w:r w:rsidRPr="00532C20">
        <w:rPr>
          <w:rFonts w:ascii="Times New Roman" w:eastAsia="Times" w:hAnsi="Times New Roman" w:cs="Times New Roman"/>
          <w:noProof/>
          <w:sz w:val="24"/>
          <w:szCs w:val="24"/>
          <w:lang w:val="en-IE"/>
        </w:rPr>
        <w:t xml:space="preserve">). In addition, in </w:t>
      </w:r>
      <w:r w:rsidRPr="00532C20">
        <w:rPr>
          <w:rFonts w:ascii="Times New Roman" w:eastAsia="Times" w:hAnsi="Times New Roman" w:cs="Times New Roman"/>
          <w:b/>
          <w:noProof/>
          <w:sz w:val="24"/>
          <w:szCs w:val="24"/>
          <w:lang w:val="en-IE"/>
        </w:rPr>
        <w:t>Ireland</w:t>
      </w:r>
      <w:r w:rsidRPr="00532C20">
        <w:rPr>
          <w:rFonts w:ascii="Times New Roman" w:eastAsia="Times" w:hAnsi="Times New Roman" w:cs="Times New Roman"/>
          <w:noProof/>
          <w:sz w:val="24"/>
          <w:szCs w:val="24"/>
          <w:lang w:val="en-IE"/>
        </w:rPr>
        <w:t>, offences to registration rules (as detailed previously) can result in an imprisonment of up to 2 years.</w:t>
      </w:r>
    </w:p>
    <w:p w14:paraId="0E5A6BE1" w14:textId="62CFA645" w:rsidR="00A15BF6" w:rsidRPr="00532C20" w:rsidRDefault="00A15BF6" w:rsidP="004B0958">
      <w:pPr>
        <w:spacing w:line="240" w:lineRule="auto"/>
        <w:rPr>
          <w:rFonts w:ascii="Times New Roman" w:eastAsia="Times" w:hAnsi="Times New Roman" w:cs="Times New Roman"/>
          <w:noProof/>
          <w:sz w:val="24"/>
          <w:szCs w:val="24"/>
          <w:lang w:val="en-IE"/>
        </w:rPr>
      </w:pPr>
    </w:p>
    <w:p w14:paraId="6E798365" w14:textId="77777777" w:rsidR="00F107AD" w:rsidRPr="00532C20" w:rsidRDefault="00F107AD" w:rsidP="004B0958">
      <w:pPr>
        <w:pStyle w:val="Annex222"/>
        <w:contextualSpacing w:val="0"/>
        <w:rPr>
          <w:rFonts w:ascii="Times New Roman" w:hAnsi="Times New Roman" w:cs="Times New Roman"/>
          <w:noProof/>
          <w:sz w:val="24"/>
          <w:szCs w:val="24"/>
        </w:rPr>
        <w:sectPr w:rsidR="00F107AD" w:rsidRPr="00532C20" w:rsidSect="00195B53">
          <w:headerReference w:type="even" r:id="rId69"/>
          <w:headerReference w:type="default" r:id="rId70"/>
          <w:footerReference w:type="even" r:id="rId71"/>
          <w:footerReference w:type="default" r:id="rId72"/>
          <w:headerReference w:type="first" r:id="rId73"/>
          <w:footerReference w:type="first" r:id="rId74"/>
          <w:pgSz w:w="11906" w:h="16838"/>
          <w:pgMar w:top="1020" w:right="1701" w:bottom="1020" w:left="1587" w:header="709" w:footer="709" w:gutter="0"/>
          <w:cols w:space="720"/>
          <w:titlePg/>
          <w:docGrid w:linePitch="299"/>
        </w:sectPr>
      </w:pPr>
    </w:p>
    <w:p w14:paraId="31858A8D" w14:textId="0A13CE93" w:rsidR="009F7C2A" w:rsidRPr="00532C20" w:rsidRDefault="00235E91" w:rsidP="007F43F7">
      <w:pPr>
        <w:pStyle w:val="Annex222"/>
        <w:spacing w:after="240"/>
        <w:contextualSpacing w:val="0"/>
        <w:outlineLvl w:val="0"/>
        <w:rPr>
          <w:rFonts w:ascii="Times New Roman" w:hAnsi="Times New Roman" w:cs="Times New Roman"/>
          <w:noProof/>
        </w:rPr>
      </w:pPr>
      <w:bookmarkStart w:id="1185" w:name="_Toc152864726"/>
      <w:r w:rsidRPr="00532C20">
        <w:rPr>
          <w:rFonts w:ascii="Times New Roman" w:hAnsi="Times New Roman" w:cs="Times New Roman"/>
          <w:noProof/>
        </w:rPr>
        <w:t xml:space="preserve">Annex 7: Analysis of </w:t>
      </w:r>
      <w:r w:rsidR="00ED2BC8" w:rsidRPr="00532C20">
        <w:rPr>
          <w:rFonts w:ascii="Times New Roman" w:hAnsi="Times New Roman" w:cs="Times New Roman"/>
          <w:noProof/>
        </w:rPr>
        <w:t>administrative fines</w:t>
      </w:r>
      <w:r w:rsidR="0038116E" w:rsidRPr="00532C20">
        <w:rPr>
          <w:rFonts w:ascii="Times New Roman" w:hAnsi="Times New Roman" w:cs="Times New Roman"/>
          <w:noProof/>
        </w:rPr>
        <w:t xml:space="preserve"> and </w:t>
      </w:r>
      <w:r w:rsidR="006E0D53" w:rsidRPr="00532C20">
        <w:rPr>
          <w:rFonts w:ascii="Times New Roman" w:hAnsi="Times New Roman" w:cs="Times New Roman"/>
          <w:noProof/>
        </w:rPr>
        <w:t>thresholds</w:t>
      </w:r>
      <w:r w:rsidR="00ED2BC8" w:rsidRPr="00532C20">
        <w:rPr>
          <w:rFonts w:ascii="Times New Roman" w:hAnsi="Times New Roman" w:cs="Times New Roman"/>
          <w:noProof/>
        </w:rPr>
        <w:t xml:space="preserve"> for information requests</w:t>
      </w:r>
      <w:bookmarkEnd w:id="1185"/>
    </w:p>
    <w:p w14:paraId="73CB35D5" w14:textId="4370D130" w:rsidR="009F7C2A" w:rsidRPr="00532C20" w:rsidRDefault="009F7C2A" w:rsidP="00313F32">
      <w:pPr>
        <w:pStyle w:val="Annex222"/>
        <w:contextualSpacing w:val="0"/>
        <w:jc w:val="both"/>
        <w:rPr>
          <w:rFonts w:ascii="Times New Roman" w:eastAsia="Times" w:hAnsi="Times New Roman" w:cs="Times New Roman"/>
          <w:b w:val="0"/>
          <w:noProof/>
          <w:sz w:val="24"/>
          <w:szCs w:val="24"/>
          <w:lang w:eastAsia="en-US"/>
        </w:rPr>
      </w:pPr>
      <w:r w:rsidRPr="00532C20">
        <w:rPr>
          <w:rFonts w:ascii="Times New Roman" w:eastAsia="Times" w:hAnsi="Times New Roman" w:cs="Times New Roman"/>
          <w:b w:val="0"/>
          <w:noProof/>
          <w:sz w:val="24"/>
          <w:szCs w:val="24"/>
          <w:lang w:eastAsia="en-US"/>
        </w:rPr>
        <w:t xml:space="preserve">This Annex </w:t>
      </w:r>
      <w:r w:rsidR="00EE2182" w:rsidRPr="00532C20">
        <w:rPr>
          <w:rFonts w:ascii="Times New Roman" w:eastAsia="Times" w:hAnsi="Times New Roman" w:cs="Times New Roman"/>
          <w:b w:val="0"/>
          <w:noProof/>
          <w:sz w:val="24"/>
          <w:szCs w:val="24"/>
          <w:lang w:eastAsia="en-US"/>
        </w:rPr>
        <w:t>provides explanations on the proposed p</w:t>
      </w:r>
      <w:r w:rsidR="00D67690" w:rsidRPr="00532C20">
        <w:rPr>
          <w:rFonts w:ascii="Times New Roman" w:eastAsia="Times" w:hAnsi="Times New Roman" w:cs="Times New Roman"/>
          <w:b w:val="0"/>
          <w:noProof/>
          <w:sz w:val="24"/>
          <w:szCs w:val="24"/>
          <w:lang w:eastAsia="en-US"/>
        </w:rPr>
        <w:t xml:space="preserve">ecuniary sanctions and thresholds for requests for additional information by </w:t>
      </w:r>
      <w:r w:rsidR="009C4830" w:rsidRPr="00532C20">
        <w:rPr>
          <w:rFonts w:ascii="Times New Roman" w:eastAsia="Times" w:hAnsi="Times New Roman" w:cs="Times New Roman"/>
          <w:b w:val="0"/>
          <w:noProof/>
          <w:sz w:val="24"/>
          <w:szCs w:val="24"/>
          <w:lang w:eastAsia="en-US"/>
        </w:rPr>
        <w:t xml:space="preserve">supervisory authorities </w:t>
      </w:r>
      <w:r w:rsidR="004C3EEE" w:rsidRPr="00532C20">
        <w:rPr>
          <w:rFonts w:ascii="Times New Roman" w:eastAsia="Times" w:hAnsi="Times New Roman" w:cs="Times New Roman"/>
          <w:b w:val="0"/>
          <w:noProof/>
          <w:sz w:val="24"/>
          <w:szCs w:val="24"/>
          <w:lang w:eastAsia="en-US"/>
        </w:rPr>
        <w:t xml:space="preserve">set out in the </w:t>
      </w:r>
      <w:r w:rsidR="0082123F" w:rsidRPr="00532C20">
        <w:rPr>
          <w:rFonts w:ascii="Times New Roman" w:eastAsia="Times" w:hAnsi="Times New Roman" w:cs="Times New Roman"/>
          <w:b w:val="0"/>
          <w:noProof/>
          <w:sz w:val="24"/>
          <w:szCs w:val="24"/>
          <w:lang w:eastAsia="en-US"/>
        </w:rPr>
        <w:t xml:space="preserve">preferred </w:t>
      </w:r>
      <w:r w:rsidR="004C3EEE" w:rsidRPr="00532C20">
        <w:rPr>
          <w:rFonts w:ascii="Times New Roman" w:eastAsia="Times" w:hAnsi="Times New Roman" w:cs="Times New Roman"/>
          <w:b w:val="0"/>
          <w:noProof/>
          <w:sz w:val="24"/>
          <w:szCs w:val="24"/>
          <w:lang w:eastAsia="en-US"/>
        </w:rPr>
        <w:t xml:space="preserve">policy option. </w:t>
      </w:r>
    </w:p>
    <w:p w14:paraId="3C1FE9D4" w14:textId="769E3D86" w:rsidR="00F107AD" w:rsidRPr="00532C20" w:rsidRDefault="00ED2BC8" w:rsidP="00630852">
      <w:pPr>
        <w:pStyle w:val="ListParagraph"/>
        <w:numPr>
          <w:ilvl w:val="0"/>
          <w:numId w:val="79"/>
        </w:numPr>
        <w:rPr>
          <w:rFonts w:ascii="Times New Roman" w:hAnsi="Times New Roman" w:cs="Times New Roman"/>
          <w:b/>
          <w:bCs/>
          <w:noProof/>
          <w:u w:val="single"/>
          <w:lang w:val="en-IE"/>
        </w:rPr>
      </w:pPr>
      <w:r w:rsidRPr="00532C20">
        <w:rPr>
          <w:rFonts w:ascii="Times New Roman" w:hAnsi="Times New Roman" w:cs="Times New Roman"/>
          <w:b/>
          <w:bCs/>
          <w:noProof/>
          <w:u w:val="single"/>
          <w:lang w:val="en-IE"/>
        </w:rPr>
        <w:t>Administrative fines</w:t>
      </w:r>
    </w:p>
    <w:p w14:paraId="09416054" w14:textId="77777777" w:rsidR="00630852" w:rsidRPr="00532C20" w:rsidRDefault="00630852" w:rsidP="00630852">
      <w:pPr>
        <w:pStyle w:val="ListParagraph"/>
        <w:ind w:left="360"/>
        <w:rPr>
          <w:rFonts w:ascii="Times New Roman" w:hAnsi="Times New Roman" w:cs="Times New Roman"/>
          <w:b/>
          <w:bCs/>
          <w:noProof/>
          <w:u w:val="single"/>
          <w:lang w:val="en-IE"/>
        </w:rPr>
      </w:pPr>
    </w:p>
    <w:p w14:paraId="72835C62" w14:textId="51F62731" w:rsidR="008501AE" w:rsidRPr="00532C20" w:rsidRDefault="008501AE" w:rsidP="004B0958">
      <w:pPr>
        <w:spacing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To determine the figures for the amounts of the </w:t>
      </w:r>
      <w:r w:rsidR="00ED2BC8" w:rsidRPr="00532C20">
        <w:rPr>
          <w:rFonts w:ascii="Times New Roman" w:eastAsia="Times" w:hAnsi="Times New Roman" w:cs="Times New Roman"/>
          <w:noProof/>
          <w:sz w:val="24"/>
          <w:szCs w:val="24"/>
          <w:lang w:val="en-IE"/>
        </w:rPr>
        <w:t>administrative fines</w:t>
      </w:r>
      <w:r w:rsidR="0038116E" w:rsidRPr="00532C20">
        <w:rPr>
          <w:rFonts w:ascii="Times New Roman" w:eastAsia="Times" w:hAnsi="Times New Roman" w:cs="Times New Roman"/>
          <w:noProof/>
          <w:sz w:val="24"/>
          <w:szCs w:val="24"/>
          <w:lang w:val="en-IE"/>
        </w:rPr>
        <w:t xml:space="preserve"> </w:t>
      </w:r>
      <w:r w:rsidR="005C5618" w:rsidRPr="00532C20">
        <w:rPr>
          <w:rFonts w:ascii="Times New Roman" w:eastAsia="Times" w:hAnsi="Times New Roman" w:cs="Times New Roman"/>
          <w:noProof/>
          <w:sz w:val="24"/>
          <w:szCs w:val="24"/>
          <w:lang w:val="en-IE"/>
        </w:rPr>
        <w:t xml:space="preserve">proposed under </w:t>
      </w:r>
      <w:r w:rsidR="006E0D53" w:rsidRPr="00532C20">
        <w:rPr>
          <w:rFonts w:ascii="Times New Roman" w:eastAsia="Times" w:hAnsi="Times New Roman" w:cs="Times New Roman"/>
          <w:noProof/>
          <w:sz w:val="24"/>
          <w:szCs w:val="24"/>
          <w:lang w:val="en-IE"/>
        </w:rPr>
        <w:t xml:space="preserve">the </w:t>
      </w:r>
      <w:r w:rsidR="00E0660C" w:rsidRPr="00532C20">
        <w:rPr>
          <w:rFonts w:ascii="Times New Roman" w:eastAsia="Times" w:hAnsi="Times New Roman" w:cs="Times New Roman"/>
          <w:noProof/>
          <w:sz w:val="24"/>
          <w:szCs w:val="24"/>
          <w:lang w:val="en-IE"/>
        </w:rPr>
        <w:t xml:space="preserve">preferred </w:t>
      </w:r>
      <w:r w:rsidR="006E0D53" w:rsidRPr="00532C20">
        <w:rPr>
          <w:rFonts w:ascii="Times New Roman" w:eastAsia="Times" w:hAnsi="Times New Roman" w:cs="Times New Roman"/>
          <w:noProof/>
          <w:sz w:val="24"/>
          <w:szCs w:val="24"/>
          <w:lang w:val="en-IE"/>
        </w:rPr>
        <w:t>policy</w:t>
      </w:r>
      <w:r w:rsidR="00E6124F" w:rsidRPr="00532C20">
        <w:rPr>
          <w:rFonts w:ascii="Times New Roman" w:eastAsia="Times" w:hAnsi="Times New Roman" w:cs="Times New Roman"/>
          <w:noProof/>
          <w:sz w:val="24"/>
          <w:szCs w:val="24"/>
          <w:lang w:val="en-IE"/>
        </w:rPr>
        <w:t xml:space="preserve"> option, </w:t>
      </w:r>
      <w:r w:rsidR="009F7C2A" w:rsidRPr="00532C20">
        <w:rPr>
          <w:rFonts w:ascii="Times New Roman" w:eastAsia="Times" w:hAnsi="Times New Roman" w:cs="Times New Roman"/>
          <w:noProof/>
          <w:sz w:val="24"/>
          <w:szCs w:val="24"/>
          <w:lang w:val="en-IE"/>
        </w:rPr>
        <w:t xml:space="preserve">the following </w:t>
      </w:r>
      <w:r w:rsidR="00C76DD3" w:rsidRPr="00532C20">
        <w:rPr>
          <w:rFonts w:ascii="Times New Roman" w:eastAsia="Times" w:hAnsi="Times New Roman" w:cs="Times New Roman"/>
          <w:noProof/>
          <w:sz w:val="24"/>
          <w:szCs w:val="24"/>
          <w:lang w:val="en-IE"/>
        </w:rPr>
        <w:t xml:space="preserve">methodology was used. </w:t>
      </w:r>
    </w:p>
    <w:p w14:paraId="2F5A4D39" w14:textId="3BA3CCB2" w:rsidR="00F107AD" w:rsidRPr="00532C20" w:rsidRDefault="00C76DD3" w:rsidP="004B0958">
      <w:pPr>
        <w:spacing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First, </w:t>
      </w:r>
      <w:r w:rsidR="004F10BC" w:rsidRPr="00532C20">
        <w:rPr>
          <w:rFonts w:ascii="Times New Roman" w:eastAsia="Times" w:hAnsi="Times New Roman" w:cs="Times New Roman"/>
          <w:noProof/>
          <w:sz w:val="24"/>
          <w:szCs w:val="24"/>
          <w:lang w:val="en-IE"/>
        </w:rPr>
        <w:t>f</w:t>
      </w:r>
      <w:r w:rsidR="00F107AD" w:rsidRPr="00532C20">
        <w:rPr>
          <w:rFonts w:ascii="Times New Roman" w:eastAsia="Times" w:hAnsi="Times New Roman" w:cs="Times New Roman"/>
          <w:noProof/>
          <w:sz w:val="24"/>
          <w:szCs w:val="24"/>
          <w:lang w:val="en-IE"/>
        </w:rPr>
        <w:t xml:space="preserve">igures for the average turnover per entity </w:t>
      </w:r>
      <w:r w:rsidR="002C7079" w:rsidRPr="00532C20">
        <w:rPr>
          <w:rFonts w:ascii="Times New Roman" w:eastAsia="Times" w:hAnsi="Times New Roman" w:cs="Times New Roman"/>
          <w:noProof/>
          <w:sz w:val="24"/>
          <w:szCs w:val="24"/>
          <w:lang w:val="en-IE"/>
        </w:rPr>
        <w:t>were</w:t>
      </w:r>
      <w:r w:rsidR="004F10BC" w:rsidRPr="00532C20">
        <w:rPr>
          <w:rFonts w:ascii="Times New Roman" w:eastAsia="Times" w:hAnsi="Times New Roman" w:cs="Times New Roman"/>
          <w:noProof/>
          <w:sz w:val="24"/>
          <w:szCs w:val="24"/>
          <w:lang w:val="en-IE"/>
        </w:rPr>
        <w:t xml:space="preserve"> obtained from </w:t>
      </w:r>
      <w:r w:rsidR="00F107AD" w:rsidRPr="00532C20">
        <w:rPr>
          <w:rFonts w:ascii="Times New Roman" w:eastAsia="Times" w:hAnsi="Times New Roman" w:cs="Times New Roman"/>
          <w:noProof/>
          <w:sz w:val="24"/>
          <w:szCs w:val="24"/>
          <w:lang w:val="en-IE"/>
        </w:rPr>
        <w:t>the Eurostat Structural Business Statistics (SBS) annual detailed enterprise statistics for services for NACE code M70.21 on “Public relations and communication activities”.</w:t>
      </w:r>
    </w:p>
    <w:p w14:paraId="67933727" w14:textId="5DA3A1CA" w:rsidR="00F107AD" w:rsidRPr="00532C20" w:rsidRDefault="002C7079" w:rsidP="004B0958">
      <w:pPr>
        <w:spacing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Second, benchmarks from percentage figures based on </w:t>
      </w:r>
      <w:r w:rsidR="002C1E06" w:rsidRPr="00532C20">
        <w:rPr>
          <w:rFonts w:ascii="Times New Roman" w:eastAsia="Times" w:hAnsi="Times New Roman" w:cs="Times New Roman"/>
          <w:noProof/>
          <w:sz w:val="24"/>
          <w:szCs w:val="24"/>
          <w:lang w:val="en-IE"/>
        </w:rPr>
        <w:t xml:space="preserve">other recent EU regulatory instrument </w:t>
      </w:r>
      <w:r w:rsidR="00C1039C" w:rsidRPr="00532C20">
        <w:rPr>
          <w:rFonts w:ascii="Times New Roman" w:eastAsia="Times" w:hAnsi="Times New Roman" w:cs="Times New Roman"/>
          <w:noProof/>
          <w:sz w:val="24"/>
          <w:szCs w:val="24"/>
          <w:lang w:val="en-IE"/>
        </w:rPr>
        <w:t xml:space="preserve">were compared to existing pecuniary sanctions regime </w:t>
      </w:r>
      <w:r w:rsidR="00C80615" w:rsidRPr="00532C20">
        <w:rPr>
          <w:rFonts w:ascii="Times New Roman" w:eastAsia="Times" w:hAnsi="Times New Roman" w:cs="Times New Roman"/>
          <w:noProof/>
          <w:sz w:val="24"/>
          <w:szCs w:val="24"/>
          <w:lang w:val="en-IE"/>
        </w:rPr>
        <w:t xml:space="preserve">in Member </w:t>
      </w:r>
      <w:r w:rsidR="00617004" w:rsidRPr="00532C20">
        <w:rPr>
          <w:rFonts w:ascii="Times New Roman" w:eastAsia="Times" w:hAnsi="Times New Roman" w:cs="Times New Roman"/>
          <w:noProof/>
          <w:sz w:val="24"/>
          <w:szCs w:val="24"/>
          <w:lang w:val="en-IE"/>
        </w:rPr>
        <w:t>States. In the table below, t</w:t>
      </w:r>
      <w:r w:rsidR="00F107AD" w:rsidRPr="00532C20">
        <w:rPr>
          <w:rFonts w:ascii="Times New Roman" w:eastAsia="Times" w:hAnsi="Times New Roman" w:cs="Times New Roman"/>
          <w:noProof/>
          <w:sz w:val="24"/>
          <w:szCs w:val="24"/>
          <w:lang w:val="en-IE"/>
        </w:rPr>
        <w:t>he figures of 2% and 4% of global turnover are the maximum fines for different types of GDPR violations, while 1% and 6% are the maximum fines for different types of DSA violations.</w:t>
      </w:r>
      <w:r w:rsidR="00C51D05" w:rsidRPr="00532C20">
        <w:rPr>
          <w:rFonts w:ascii="Times New Roman" w:eastAsia="Times" w:hAnsi="Times New Roman" w:cs="Times New Roman"/>
          <w:noProof/>
          <w:sz w:val="24"/>
          <w:szCs w:val="24"/>
          <w:lang w:val="en-IE"/>
        </w:rPr>
        <w:t xml:space="preserve"> </w:t>
      </w:r>
      <w:r w:rsidR="00F107AD" w:rsidRPr="00532C20">
        <w:rPr>
          <w:rFonts w:ascii="Times New Roman" w:eastAsia="Times" w:hAnsi="Times New Roman" w:cs="Times New Roman"/>
          <w:noProof/>
          <w:sz w:val="24"/>
          <w:szCs w:val="24"/>
          <w:lang w:val="en-IE"/>
        </w:rPr>
        <w:t xml:space="preserve">Data on existing maximum fine amounts in Member States is provided where possible, along with approximate equivalents in proportion of turnover. </w:t>
      </w:r>
    </w:p>
    <w:p w14:paraId="7998793A" w14:textId="6D25600B" w:rsidR="00B379B7" w:rsidRPr="00532C20" w:rsidRDefault="004026BD" w:rsidP="004B0958">
      <w:pPr>
        <w:spacing w:after="160" w:line="240" w:lineRule="auto"/>
        <w:jc w:val="both"/>
        <w:rPr>
          <w:rFonts w:ascii="Times New Roman" w:hAnsi="Times New Roman" w:cs="Times New Roman"/>
          <w:i/>
          <w:iCs/>
          <w:noProof/>
          <w:sz w:val="24"/>
          <w:szCs w:val="24"/>
        </w:rPr>
      </w:pPr>
      <w:r w:rsidRPr="00532C20">
        <w:rPr>
          <w:rFonts w:ascii="Times New Roman" w:eastAsia="Times" w:hAnsi="Times New Roman" w:cs="Times New Roman"/>
          <w:noProof/>
          <w:sz w:val="24"/>
          <w:szCs w:val="24"/>
          <w:lang w:val="en-IE"/>
        </w:rPr>
        <w:t>Lastly, t</w:t>
      </w:r>
      <w:r w:rsidR="00375225" w:rsidRPr="00532C20">
        <w:rPr>
          <w:rFonts w:ascii="Times New Roman" w:eastAsia="Times" w:hAnsi="Times New Roman" w:cs="Times New Roman"/>
          <w:noProof/>
          <w:sz w:val="24"/>
          <w:szCs w:val="24"/>
          <w:lang w:val="en-IE"/>
        </w:rPr>
        <w:t xml:space="preserve">he benchmark retained was that of the </w:t>
      </w:r>
      <w:r w:rsidR="00AE4EDE" w:rsidRPr="00532C20">
        <w:rPr>
          <w:rFonts w:ascii="Times New Roman" w:eastAsia="Times" w:hAnsi="Times New Roman" w:cs="Times New Roman"/>
          <w:noProof/>
          <w:sz w:val="24"/>
          <w:szCs w:val="24"/>
          <w:lang w:val="en-IE"/>
        </w:rPr>
        <w:t xml:space="preserve">penalties </w:t>
      </w:r>
      <w:r w:rsidR="00206C2A" w:rsidRPr="00532C20">
        <w:rPr>
          <w:rFonts w:ascii="Times New Roman" w:eastAsia="Times" w:hAnsi="Times New Roman" w:cs="Times New Roman"/>
          <w:noProof/>
          <w:sz w:val="24"/>
          <w:szCs w:val="24"/>
          <w:lang w:val="en-IE"/>
        </w:rPr>
        <w:t xml:space="preserve">under Article 52(3) of the DSA which relates to </w:t>
      </w:r>
      <w:r w:rsidR="00375225" w:rsidRPr="00532C20">
        <w:rPr>
          <w:rFonts w:ascii="Times New Roman" w:eastAsia="Times" w:hAnsi="Times New Roman" w:cs="Times New Roman"/>
          <w:noProof/>
          <w:sz w:val="24"/>
          <w:szCs w:val="24"/>
          <w:lang w:val="en-IE"/>
        </w:rPr>
        <w:t>failure</w:t>
      </w:r>
      <w:r w:rsidR="00206C2A" w:rsidRPr="00532C20">
        <w:rPr>
          <w:rFonts w:ascii="Times New Roman" w:eastAsia="Times" w:hAnsi="Times New Roman" w:cs="Times New Roman"/>
          <w:noProof/>
          <w:sz w:val="24"/>
          <w:szCs w:val="24"/>
          <w:lang w:val="en-IE"/>
        </w:rPr>
        <w:t>s</w:t>
      </w:r>
      <w:r w:rsidR="00375225" w:rsidRPr="00532C20">
        <w:rPr>
          <w:rFonts w:ascii="Times New Roman" w:eastAsia="Times" w:hAnsi="Times New Roman" w:cs="Times New Roman"/>
          <w:noProof/>
          <w:sz w:val="24"/>
          <w:szCs w:val="24"/>
          <w:lang w:val="en-IE"/>
        </w:rPr>
        <w:t xml:space="preserve"> to comply with transparency requirements</w:t>
      </w:r>
      <w:r w:rsidR="00395501" w:rsidRPr="00532C20">
        <w:rPr>
          <w:rFonts w:ascii="Times New Roman" w:eastAsia="Times" w:hAnsi="Times New Roman" w:cs="Times New Roman"/>
          <w:noProof/>
          <w:sz w:val="24"/>
          <w:szCs w:val="24"/>
          <w:lang w:val="en-IE"/>
        </w:rPr>
        <w:t xml:space="preserve">, namely, </w:t>
      </w:r>
      <w:r w:rsidR="00D75A8F" w:rsidRPr="00532C20">
        <w:rPr>
          <w:rFonts w:ascii="Times New Roman" w:eastAsia="Times" w:hAnsi="Times New Roman" w:cs="Times New Roman"/>
          <w:noProof/>
          <w:sz w:val="24"/>
          <w:szCs w:val="24"/>
          <w:lang w:val="en-IE"/>
        </w:rPr>
        <w:t xml:space="preserve">penalties of </w:t>
      </w:r>
      <w:r w:rsidR="00ED1C89" w:rsidRPr="00532C20">
        <w:rPr>
          <w:rFonts w:ascii="Times New Roman" w:eastAsia="Times" w:hAnsi="Times New Roman" w:cs="Times New Roman"/>
          <w:noProof/>
          <w:sz w:val="24"/>
          <w:szCs w:val="24"/>
          <w:lang w:val="en-IE"/>
        </w:rPr>
        <w:t>“</w:t>
      </w:r>
      <w:r w:rsidR="00D75A8F" w:rsidRPr="00532C20">
        <w:rPr>
          <w:rFonts w:ascii="Times New Roman" w:eastAsia="Times" w:hAnsi="Times New Roman" w:cs="Times New Roman"/>
          <w:i/>
          <w:iCs/>
          <w:noProof/>
          <w:sz w:val="24"/>
          <w:szCs w:val="24"/>
          <w:lang w:val="en-IE"/>
        </w:rPr>
        <w:t xml:space="preserve">1% of </w:t>
      </w:r>
      <w:r w:rsidR="00ED1C89" w:rsidRPr="00532C20">
        <w:rPr>
          <w:rFonts w:ascii="Times New Roman" w:eastAsia="Times" w:hAnsi="Times New Roman" w:cs="Times New Roman"/>
          <w:i/>
          <w:iCs/>
          <w:noProof/>
          <w:sz w:val="24"/>
          <w:szCs w:val="24"/>
          <w:lang w:val="en-IE"/>
        </w:rPr>
        <w:t xml:space="preserve">the </w:t>
      </w:r>
      <w:r w:rsidR="00D75A8F" w:rsidRPr="00532C20">
        <w:rPr>
          <w:rFonts w:ascii="Times New Roman" w:eastAsia="Times" w:hAnsi="Times New Roman" w:cs="Times New Roman"/>
          <w:i/>
          <w:iCs/>
          <w:noProof/>
          <w:sz w:val="24"/>
          <w:szCs w:val="24"/>
          <w:lang w:val="en-IE"/>
        </w:rPr>
        <w:t>annual income or worldwide turnover</w:t>
      </w:r>
      <w:r w:rsidR="00D75A8F" w:rsidRPr="00532C20">
        <w:rPr>
          <w:rFonts w:ascii="Times New Roman" w:eastAsia="Times" w:hAnsi="Times New Roman" w:cs="Times New Roman"/>
          <w:noProof/>
          <w:sz w:val="24"/>
          <w:szCs w:val="24"/>
          <w:lang w:val="en-IE"/>
        </w:rPr>
        <w:t>”</w:t>
      </w:r>
      <w:r w:rsidR="00914F1F" w:rsidRPr="00532C20">
        <w:rPr>
          <w:rFonts w:ascii="Times New Roman" w:eastAsia="Times" w:hAnsi="Times New Roman" w:cs="Times New Roman"/>
          <w:noProof/>
          <w:sz w:val="24"/>
          <w:szCs w:val="24"/>
          <w:lang w:val="en-IE"/>
        </w:rPr>
        <w:t xml:space="preserve"> for “</w:t>
      </w:r>
      <w:r w:rsidR="00914F1F" w:rsidRPr="00532C20">
        <w:rPr>
          <w:rFonts w:ascii="Times New Roman" w:hAnsi="Times New Roman" w:cs="Times New Roman"/>
          <w:i/>
          <w:iCs/>
          <w:noProof/>
          <w:sz w:val="24"/>
          <w:szCs w:val="24"/>
        </w:rPr>
        <w:t>for the supply of incorrect, incomplete or misleading information, failure to reply or rectify incorrect, incomplete or misleading information and failure to submit to an inspection”</w:t>
      </w:r>
      <w:r w:rsidR="005E6484" w:rsidRPr="00532C20">
        <w:rPr>
          <w:rFonts w:ascii="Times New Roman" w:hAnsi="Times New Roman" w:cs="Times New Roman"/>
          <w:i/>
          <w:iCs/>
          <w:noProof/>
          <w:sz w:val="24"/>
          <w:szCs w:val="24"/>
        </w:rPr>
        <w:t>.</w:t>
      </w:r>
    </w:p>
    <w:p w14:paraId="0AFB4B20" w14:textId="77777777" w:rsidR="001219CC" w:rsidRPr="00532C20" w:rsidRDefault="001219CC">
      <w:pPr>
        <w:rPr>
          <w:rFonts w:ascii="Times New Roman" w:hAnsi="Times New Roman" w:cs="Times New Roman"/>
          <w:i/>
          <w:iCs/>
          <w:noProof/>
          <w:sz w:val="24"/>
          <w:szCs w:val="24"/>
        </w:rPr>
        <w:sectPr w:rsidR="001219CC" w:rsidRPr="00532C20" w:rsidSect="001219CC">
          <w:headerReference w:type="even" r:id="rId75"/>
          <w:headerReference w:type="default" r:id="rId76"/>
          <w:footerReference w:type="even" r:id="rId77"/>
          <w:footerReference w:type="default" r:id="rId78"/>
          <w:headerReference w:type="first" r:id="rId79"/>
          <w:footerReference w:type="first" r:id="rId80"/>
          <w:pgSz w:w="11906" w:h="16838"/>
          <w:pgMar w:top="1440" w:right="1440" w:bottom="1440" w:left="1440" w:header="709" w:footer="709" w:gutter="0"/>
          <w:cols w:space="720"/>
          <w:titlePg/>
          <w:docGrid w:linePitch="299"/>
        </w:sectPr>
      </w:pPr>
    </w:p>
    <w:tbl>
      <w:tblPr>
        <w:tblStyle w:val="GridTable4-Accent1"/>
        <w:tblW w:w="5119" w:type="pct"/>
        <w:tblInd w:w="3" w:type="dxa"/>
        <w:tblLook w:val="04A0" w:firstRow="1" w:lastRow="0" w:firstColumn="1" w:lastColumn="0" w:noHBand="0" w:noVBand="1"/>
      </w:tblPr>
      <w:tblGrid>
        <w:gridCol w:w="1665"/>
        <w:gridCol w:w="1629"/>
        <w:gridCol w:w="1417"/>
        <w:gridCol w:w="2028"/>
        <w:gridCol w:w="1296"/>
        <w:gridCol w:w="1420"/>
        <w:gridCol w:w="1417"/>
        <w:gridCol w:w="1496"/>
        <w:gridCol w:w="1302"/>
        <w:gridCol w:w="1468"/>
      </w:tblGrid>
      <w:tr w:rsidR="005E6484" w:rsidRPr="00532C20" w14:paraId="6F7CFB09" w14:textId="77777777" w:rsidTr="005E648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10"/>
            <w:noWrap/>
          </w:tcPr>
          <w:p w14:paraId="09C1EBBA" w14:textId="56BFDCE9" w:rsidR="005E6484" w:rsidRPr="00532C20" w:rsidRDefault="005E6484" w:rsidP="00CD30F1">
            <w:pPr>
              <w:jc w:val="cente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TABLE 1: Benchmarks for administrative fines</w:t>
            </w:r>
          </w:p>
        </w:tc>
      </w:tr>
      <w:tr w:rsidR="0038116E" w:rsidRPr="00532C20" w14:paraId="22F62F2D" w14:textId="77777777" w:rsidTr="00381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vMerge w:val="restart"/>
            <w:noWrap/>
          </w:tcPr>
          <w:p w14:paraId="08CD1F55" w14:textId="77777777" w:rsidR="00011445" w:rsidRPr="00532C20" w:rsidRDefault="00011445" w:rsidP="00CD30F1">
            <w:pPr>
              <w:jc w:val="center"/>
              <w:rPr>
                <w:rFonts w:ascii="Times New Roman" w:eastAsia="Calibri" w:hAnsi="Times New Roman" w:cs="Times New Roman"/>
                <w:noProof/>
                <w:sz w:val="20"/>
                <w:szCs w:val="20"/>
              </w:rPr>
            </w:pPr>
          </w:p>
          <w:p w14:paraId="4037BF58" w14:textId="77777777" w:rsidR="00011445" w:rsidRPr="00532C20" w:rsidRDefault="00011445" w:rsidP="00CD30F1">
            <w:pPr>
              <w:jc w:val="cente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Member</w:t>
            </w:r>
          </w:p>
          <w:p w14:paraId="35B4670A" w14:textId="7CFE473A" w:rsidR="00011445" w:rsidRPr="00532C20" w:rsidRDefault="00011445" w:rsidP="00CD30F1">
            <w:pPr>
              <w:jc w:val="cente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State</w:t>
            </w:r>
            <w:r w:rsidR="00C160DE" w:rsidRPr="00532C20">
              <w:rPr>
                <w:rStyle w:val="FootnoteReference"/>
                <w:rFonts w:ascii="Times New Roman" w:eastAsia="Calibri" w:hAnsi="Times New Roman" w:cs="Times New Roman"/>
                <w:noProof/>
                <w:sz w:val="20"/>
                <w:szCs w:val="20"/>
              </w:rPr>
              <w:footnoteReference w:id="320"/>
            </w:r>
          </w:p>
        </w:tc>
        <w:tc>
          <w:tcPr>
            <w:tcW w:w="538" w:type="pct"/>
            <w:vMerge w:val="restart"/>
            <w:noWrap/>
          </w:tcPr>
          <w:p w14:paraId="64E1BCD4" w14:textId="77777777" w:rsidR="00011445" w:rsidRPr="00313F32" w:rsidRDefault="00011445" w:rsidP="00CD30F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sz w:val="20"/>
                <w:szCs w:val="20"/>
              </w:rPr>
            </w:pPr>
          </w:p>
          <w:p w14:paraId="4315F4D2" w14:textId="77777777" w:rsidR="00011445" w:rsidRPr="00313F32" w:rsidRDefault="00011445" w:rsidP="00CD30F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sz w:val="20"/>
                <w:szCs w:val="20"/>
              </w:rPr>
            </w:pPr>
            <w:r w:rsidRPr="00313F32">
              <w:rPr>
                <w:rFonts w:ascii="Times New Roman" w:eastAsia="Calibri" w:hAnsi="Times New Roman" w:cs="Times New Roman"/>
                <w:b/>
                <w:noProof/>
                <w:sz w:val="20"/>
                <w:szCs w:val="20"/>
              </w:rPr>
              <w:t>Average</w:t>
            </w:r>
          </w:p>
          <w:p w14:paraId="3C5DF408" w14:textId="4D3BDBA8" w:rsidR="00011445" w:rsidRPr="00313F32" w:rsidRDefault="00011445" w:rsidP="00CD30F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sz w:val="20"/>
                <w:szCs w:val="20"/>
              </w:rPr>
            </w:pPr>
            <w:r w:rsidRPr="00313F32">
              <w:rPr>
                <w:rFonts w:ascii="Times New Roman" w:eastAsia="Calibri" w:hAnsi="Times New Roman" w:cs="Times New Roman"/>
                <w:b/>
                <w:noProof/>
                <w:sz w:val="20"/>
                <w:szCs w:val="20"/>
              </w:rPr>
              <w:t>turnover</w:t>
            </w:r>
          </w:p>
          <w:p w14:paraId="7B67A547" w14:textId="77777777" w:rsidR="00011445" w:rsidRPr="00313F32" w:rsidRDefault="00011445" w:rsidP="00CD30F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sz w:val="20"/>
                <w:szCs w:val="20"/>
              </w:rPr>
            </w:pPr>
            <w:r w:rsidRPr="00313F32">
              <w:rPr>
                <w:rFonts w:ascii="Times New Roman" w:eastAsia="Calibri" w:hAnsi="Times New Roman" w:cs="Times New Roman"/>
                <w:b/>
                <w:noProof/>
                <w:sz w:val="20"/>
                <w:szCs w:val="20"/>
              </w:rPr>
              <w:t>per entity</w:t>
            </w:r>
          </w:p>
          <w:p w14:paraId="523C94D8" w14:textId="77777777" w:rsidR="00011445" w:rsidRPr="00313F32" w:rsidRDefault="00011445" w:rsidP="00CD30F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sz w:val="20"/>
                <w:szCs w:val="20"/>
              </w:rPr>
            </w:pPr>
            <w:r w:rsidRPr="00313F32">
              <w:rPr>
                <w:rFonts w:ascii="Times New Roman" w:eastAsia="Calibri" w:hAnsi="Times New Roman" w:cs="Times New Roman"/>
                <w:b/>
                <w:noProof/>
                <w:sz w:val="20"/>
                <w:szCs w:val="20"/>
              </w:rPr>
              <w:t>(EUR million)</w:t>
            </w:r>
          </w:p>
        </w:tc>
        <w:tc>
          <w:tcPr>
            <w:tcW w:w="1138" w:type="pct"/>
            <w:gridSpan w:val="2"/>
          </w:tcPr>
          <w:p w14:paraId="79270CA4" w14:textId="77777777" w:rsidR="00011445" w:rsidRPr="00313F32" w:rsidRDefault="00011445" w:rsidP="00CD30F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sz w:val="20"/>
                <w:szCs w:val="20"/>
              </w:rPr>
            </w:pPr>
          </w:p>
          <w:p w14:paraId="6A1CD82D" w14:textId="0C669666" w:rsidR="00011445" w:rsidRPr="00313F32" w:rsidRDefault="00011445" w:rsidP="00CD30F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sz w:val="20"/>
                <w:szCs w:val="20"/>
              </w:rPr>
            </w:pPr>
            <w:r w:rsidRPr="00313F32">
              <w:rPr>
                <w:rFonts w:ascii="Times New Roman" w:eastAsia="Calibri" w:hAnsi="Times New Roman" w:cs="Times New Roman"/>
                <w:b/>
                <w:noProof/>
                <w:sz w:val="20"/>
                <w:szCs w:val="20"/>
              </w:rPr>
              <w:t>Existing maximum</w:t>
            </w:r>
          </w:p>
          <w:p w14:paraId="21272D59" w14:textId="2A012F22" w:rsidR="00011445" w:rsidRPr="00313F32" w:rsidRDefault="00011445" w:rsidP="00CD30F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sz w:val="20"/>
                <w:szCs w:val="20"/>
              </w:rPr>
            </w:pPr>
            <w:r w:rsidRPr="00313F32">
              <w:rPr>
                <w:rFonts w:ascii="Times New Roman" w:eastAsia="Calibri" w:hAnsi="Times New Roman" w:cs="Times New Roman"/>
                <w:b/>
                <w:noProof/>
                <w:sz w:val="20"/>
                <w:szCs w:val="20"/>
              </w:rPr>
              <w:t>fines (EUR)</w:t>
            </w:r>
          </w:p>
        </w:tc>
        <w:tc>
          <w:tcPr>
            <w:tcW w:w="2774" w:type="pct"/>
            <w:gridSpan w:val="6"/>
            <w:noWrap/>
          </w:tcPr>
          <w:p w14:paraId="77037AC8" w14:textId="77777777" w:rsidR="00011445" w:rsidRPr="00313F32" w:rsidRDefault="00011445" w:rsidP="00CD30F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sz w:val="20"/>
                <w:szCs w:val="20"/>
              </w:rPr>
            </w:pPr>
          </w:p>
          <w:p w14:paraId="5B8A477C" w14:textId="77777777" w:rsidR="00011445" w:rsidRPr="00313F32" w:rsidRDefault="00011445" w:rsidP="00CD30F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sz w:val="20"/>
                <w:szCs w:val="20"/>
              </w:rPr>
            </w:pPr>
            <w:r w:rsidRPr="00313F32">
              <w:rPr>
                <w:rFonts w:ascii="Times New Roman" w:eastAsia="Calibri" w:hAnsi="Times New Roman" w:cs="Times New Roman"/>
                <w:b/>
                <w:noProof/>
                <w:sz w:val="20"/>
                <w:szCs w:val="20"/>
              </w:rPr>
              <w:t>Proposed fines (EUR) – Proportion of turnover</w:t>
            </w:r>
          </w:p>
        </w:tc>
      </w:tr>
      <w:tr w:rsidR="00A650B7" w:rsidRPr="00532C20" w14:paraId="1D5AB75E" w14:textId="77777777" w:rsidTr="005E6484">
        <w:trPr>
          <w:trHeight w:val="20"/>
        </w:trPr>
        <w:tc>
          <w:tcPr>
            <w:cnfStyle w:val="001000000000" w:firstRow="0" w:lastRow="0" w:firstColumn="1" w:lastColumn="0" w:oddVBand="0" w:evenVBand="0" w:oddHBand="0" w:evenHBand="0" w:firstRowFirstColumn="0" w:firstRowLastColumn="0" w:lastRowFirstColumn="0" w:lastRowLastColumn="0"/>
            <w:tcW w:w="550" w:type="pct"/>
            <w:vMerge/>
            <w:noWrap/>
            <w:hideMark/>
          </w:tcPr>
          <w:p w14:paraId="1276E246" w14:textId="77777777" w:rsidR="00011445" w:rsidRPr="00532C20" w:rsidRDefault="00011445" w:rsidP="00CD30F1">
            <w:pPr>
              <w:jc w:val="center"/>
              <w:rPr>
                <w:rFonts w:ascii="Times New Roman" w:eastAsia="Calibri" w:hAnsi="Times New Roman" w:cs="Times New Roman"/>
                <w:noProof/>
                <w:sz w:val="20"/>
                <w:szCs w:val="20"/>
              </w:rPr>
            </w:pPr>
          </w:p>
        </w:tc>
        <w:tc>
          <w:tcPr>
            <w:tcW w:w="538" w:type="pct"/>
            <w:vMerge/>
            <w:noWrap/>
            <w:hideMark/>
          </w:tcPr>
          <w:p w14:paraId="75D34C8D" w14:textId="77777777"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p>
        </w:tc>
        <w:tc>
          <w:tcPr>
            <w:tcW w:w="468" w:type="pct"/>
          </w:tcPr>
          <w:p w14:paraId="3D91592D" w14:textId="77777777" w:rsidR="000E31FF" w:rsidRPr="00532C20" w:rsidRDefault="000E31FF"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p>
          <w:p w14:paraId="462CB51C" w14:textId="3F8A7402"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Amounts</w:t>
            </w:r>
          </w:p>
        </w:tc>
        <w:tc>
          <w:tcPr>
            <w:tcW w:w="670" w:type="pct"/>
          </w:tcPr>
          <w:p w14:paraId="77CA5038" w14:textId="327E4D26"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Equivalent</w:t>
            </w:r>
            <w:r w:rsidR="00EB24EF" w:rsidRPr="00532C20">
              <w:rPr>
                <w:rFonts w:ascii="Times New Roman" w:eastAsia="Calibri" w:hAnsi="Times New Roman" w:cs="Times New Roman"/>
                <w:b/>
                <w:bCs/>
                <w:noProof/>
                <w:sz w:val="20"/>
                <w:szCs w:val="20"/>
              </w:rPr>
              <w:t xml:space="preserve"> </w:t>
            </w:r>
            <w:r w:rsidRPr="00532C20">
              <w:rPr>
                <w:rFonts w:ascii="Times New Roman" w:eastAsia="Calibri" w:hAnsi="Times New Roman" w:cs="Times New Roman"/>
                <w:b/>
                <w:bCs/>
                <w:noProof/>
                <w:sz w:val="20"/>
                <w:szCs w:val="20"/>
              </w:rPr>
              <w:t>in proportion</w:t>
            </w:r>
            <w:r w:rsidR="00EB24EF" w:rsidRPr="00532C20">
              <w:rPr>
                <w:rFonts w:ascii="Times New Roman" w:eastAsia="Calibri" w:hAnsi="Times New Roman" w:cs="Times New Roman"/>
                <w:b/>
                <w:bCs/>
                <w:noProof/>
                <w:sz w:val="20"/>
                <w:szCs w:val="20"/>
              </w:rPr>
              <w:t xml:space="preserve"> </w:t>
            </w:r>
            <w:r w:rsidRPr="00532C20">
              <w:rPr>
                <w:rFonts w:ascii="Times New Roman" w:eastAsia="Calibri" w:hAnsi="Times New Roman" w:cs="Times New Roman"/>
                <w:b/>
                <w:bCs/>
                <w:noProof/>
                <w:sz w:val="20"/>
                <w:szCs w:val="20"/>
              </w:rPr>
              <w:t>of turnover (approx.)</w:t>
            </w:r>
          </w:p>
        </w:tc>
        <w:tc>
          <w:tcPr>
            <w:tcW w:w="428" w:type="pct"/>
            <w:noWrap/>
            <w:hideMark/>
          </w:tcPr>
          <w:p w14:paraId="27746DBB" w14:textId="77777777"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p>
          <w:p w14:paraId="38A25C4D" w14:textId="77777777"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0.25%</w:t>
            </w:r>
          </w:p>
        </w:tc>
        <w:tc>
          <w:tcPr>
            <w:tcW w:w="469" w:type="pct"/>
            <w:noWrap/>
            <w:hideMark/>
          </w:tcPr>
          <w:p w14:paraId="47BBC6BF" w14:textId="77777777"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p>
          <w:p w14:paraId="09C45FE3" w14:textId="63CBAA86"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0.50%</w:t>
            </w:r>
          </w:p>
        </w:tc>
        <w:tc>
          <w:tcPr>
            <w:tcW w:w="468" w:type="pct"/>
            <w:noWrap/>
            <w:hideMark/>
          </w:tcPr>
          <w:p w14:paraId="4D9F3A6A" w14:textId="77777777"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p>
          <w:p w14:paraId="7090E220" w14:textId="77777777"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1%</w:t>
            </w:r>
          </w:p>
        </w:tc>
        <w:tc>
          <w:tcPr>
            <w:tcW w:w="494" w:type="pct"/>
            <w:noWrap/>
            <w:hideMark/>
          </w:tcPr>
          <w:p w14:paraId="013FDBDE" w14:textId="77777777"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p>
          <w:p w14:paraId="09E2790B" w14:textId="77777777"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2%</w:t>
            </w:r>
          </w:p>
        </w:tc>
        <w:tc>
          <w:tcPr>
            <w:tcW w:w="430" w:type="pct"/>
            <w:noWrap/>
            <w:hideMark/>
          </w:tcPr>
          <w:p w14:paraId="504A409C" w14:textId="77777777"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p>
          <w:p w14:paraId="4B9D8D0E" w14:textId="77777777"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4%</w:t>
            </w:r>
          </w:p>
        </w:tc>
        <w:tc>
          <w:tcPr>
            <w:tcW w:w="485" w:type="pct"/>
          </w:tcPr>
          <w:p w14:paraId="7639354A" w14:textId="77777777"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p>
          <w:p w14:paraId="0BBE449B" w14:textId="77777777" w:rsidR="00011445" w:rsidRPr="00532C20" w:rsidRDefault="00011445" w:rsidP="00CD30F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6%</w:t>
            </w:r>
          </w:p>
        </w:tc>
      </w:tr>
      <w:tr w:rsidR="00A650B7" w:rsidRPr="00532C20" w14:paraId="6B4B9196" w14:textId="77777777" w:rsidTr="005E64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shd w:val="clear" w:color="auto" w:fill="92D050"/>
            <w:noWrap/>
            <w:hideMark/>
          </w:tcPr>
          <w:p w14:paraId="3C394872"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EU-27</w:t>
            </w:r>
          </w:p>
        </w:tc>
        <w:tc>
          <w:tcPr>
            <w:tcW w:w="538" w:type="pct"/>
            <w:shd w:val="clear" w:color="auto" w:fill="92D050"/>
            <w:noWrap/>
            <w:hideMark/>
          </w:tcPr>
          <w:p w14:paraId="7C9D1933"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140,809.83</w:t>
            </w:r>
          </w:p>
        </w:tc>
        <w:tc>
          <w:tcPr>
            <w:tcW w:w="468" w:type="pct"/>
            <w:shd w:val="clear" w:color="auto" w:fill="92D050"/>
          </w:tcPr>
          <w:p w14:paraId="31DCA6ED"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shd w:val="clear" w:color="auto" w:fill="92D050"/>
          </w:tcPr>
          <w:p w14:paraId="78FC8D10"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shd w:val="clear" w:color="auto" w:fill="92D050"/>
            <w:noWrap/>
            <w:hideMark/>
          </w:tcPr>
          <w:p w14:paraId="0BBC9D25"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352.02</w:t>
            </w:r>
          </w:p>
        </w:tc>
        <w:tc>
          <w:tcPr>
            <w:tcW w:w="469" w:type="pct"/>
            <w:shd w:val="clear" w:color="auto" w:fill="92D050"/>
            <w:noWrap/>
            <w:hideMark/>
          </w:tcPr>
          <w:p w14:paraId="5DE55182"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704.05</w:t>
            </w:r>
          </w:p>
        </w:tc>
        <w:tc>
          <w:tcPr>
            <w:tcW w:w="468" w:type="pct"/>
            <w:shd w:val="clear" w:color="auto" w:fill="92D050"/>
            <w:noWrap/>
            <w:hideMark/>
          </w:tcPr>
          <w:p w14:paraId="4174C37D"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1,408.10</w:t>
            </w:r>
          </w:p>
        </w:tc>
        <w:tc>
          <w:tcPr>
            <w:tcW w:w="494" w:type="pct"/>
            <w:shd w:val="clear" w:color="auto" w:fill="92D050"/>
            <w:noWrap/>
            <w:hideMark/>
          </w:tcPr>
          <w:p w14:paraId="377C7564"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2,816.20</w:t>
            </w:r>
          </w:p>
        </w:tc>
        <w:tc>
          <w:tcPr>
            <w:tcW w:w="430" w:type="pct"/>
            <w:shd w:val="clear" w:color="auto" w:fill="92D050"/>
            <w:noWrap/>
            <w:hideMark/>
          </w:tcPr>
          <w:p w14:paraId="3CB05525"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5,632.39</w:t>
            </w:r>
          </w:p>
        </w:tc>
        <w:tc>
          <w:tcPr>
            <w:tcW w:w="485" w:type="pct"/>
            <w:shd w:val="clear" w:color="auto" w:fill="92D050"/>
          </w:tcPr>
          <w:p w14:paraId="53BF41C9"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8,448.6</w:t>
            </w:r>
          </w:p>
        </w:tc>
      </w:tr>
      <w:tr w:rsidR="00A650B7" w:rsidRPr="00532C20" w14:paraId="35AD4148" w14:textId="77777777" w:rsidTr="005E6484">
        <w:trPr>
          <w:trHeight w:val="20"/>
        </w:trPr>
        <w:tc>
          <w:tcPr>
            <w:cnfStyle w:val="001000000000" w:firstRow="0" w:lastRow="0" w:firstColumn="1" w:lastColumn="0" w:oddVBand="0" w:evenVBand="0" w:oddHBand="0" w:evenHBand="0" w:firstRowFirstColumn="0" w:firstRowLastColumn="0" w:lastRowFirstColumn="0" w:lastRowLastColumn="0"/>
            <w:tcW w:w="550" w:type="pct"/>
            <w:noWrap/>
          </w:tcPr>
          <w:p w14:paraId="4D1D11F7"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Ireland</w:t>
            </w:r>
          </w:p>
        </w:tc>
        <w:tc>
          <w:tcPr>
            <w:tcW w:w="538" w:type="pct"/>
            <w:noWrap/>
          </w:tcPr>
          <w:p w14:paraId="6F470EEA"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627,505.33</w:t>
            </w:r>
          </w:p>
        </w:tc>
        <w:tc>
          <w:tcPr>
            <w:tcW w:w="468" w:type="pct"/>
          </w:tcPr>
          <w:p w14:paraId="14140D37"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25,000</w:t>
            </w:r>
          </w:p>
        </w:tc>
        <w:tc>
          <w:tcPr>
            <w:tcW w:w="670" w:type="pct"/>
          </w:tcPr>
          <w:p w14:paraId="604BA12A"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w:t>
            </w:r>
          </w:p>
        </w:tc>
        <w:tc>
          <w:tcPr>
            <w:tcW w:w="428" w:type="pct"/>
            <w:noWrap/>
          </w:tcPr>
          <w:p w14:paraId="5072AC36"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1,568.76</w:t>
            </w:r>
          </w:p>
        </w:tc>
        <w:tc>
          <w:tcPr>
            <w:tcW w:w="469" w:type="pct"/>
            <w:noWrap/>
          </w:tcPr>
          <w:p w14:paraId="5A45794B"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3,137.53</w:t>
            </w:r>
          </w:p>
        </w:tc>
        <w:tc>
          <w:tcPr>
            <w:tcW w:w="468" w:type="pct"/>
            <w:noWrap/>
          </w:tcPr>
          <w:p w14:paraId="364B1EBE"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6,275.05</w:t>
            </w:r>
          </w:p>
        </w:tc>
        <w:tc>
          <w:tcPr>
            <w:tcW w:w="494" w:type="pct"/>
            <w:noWrap/>
          </w:tcPr>
          <w:p w14:paraId="7AE73975"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12,550.11</w:t>
            </w:r>
          </w:p>
        </w:tc>
        <w:tc>
          <w:tcPr>
            <w:tcW w:w="430" w:type="pct"/>
            <w:noWrap/>
          </w:tcPr>
          <w:p w14:paraId="139446ED"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25,100.21</w:t>
            </w:r>
          </w:p>
        </w:tc>
        <w:tc>
          <w:tcPr>
            <w:tcW w:w="485" w:type="pct"/>
          </w:tcPr>
          <w:p w14:paraId="3A71AAAB"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37,650.33</w:t>
            </w:r>
          </w:p>
        </w:tc>
      </w:tr>
      <w:tr w:rsidR="0038116E" w:rsidRPr="00532C20" w14:paraId="7A30ACBC" w14:textId="77777777" w:rsidTr="00381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52AE34DB"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Germany</w:t>
            </w:r>
          </w:p>
        </w:tc>
        <w:tc>
          <w:tcPr>
            <w:tcW w:w="538" w:type="pct"/>
            <w:noWrap/>
            <w:hideMark/>
          </w:tcPr>
          <w:p w14:paraId="002E9D43"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540,219.95</w:t>
            </w:r>
          </w:p>
        </w:tc>
        <w:tc>
          <w:tcPr>
            <w:tcW w:w="468" w:type="pct"/>
          </w:tcPr>
          <w:p w14:paraId="1753D5CE"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50,000</w:t>
            </w:r>
          </w:p>
        </w:tc>
        <w:tc>
          <w:tcPr>
            <w:tcW w:w="670" w:type="pct"/>
          </w:tcPr>
          <w:p w14:paraId="063DF7BD"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10%</w:t>
            </w:r>
          </w:p>
        </w:tc>
        <w:tc>
          <w:tcPr>
            <w:tcW w:w="428" w:type="pct"/>
            <w:noWrap/>
            <w:hideMark/>
          </w:tcPr>
          <w:p w14:paraId="1255BC7A"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1,350.55</w:t>
            </w:r>
          </w:p>
        </w:tc>
        <w:tc>
          <w:tcPr>
            <w:tcW w:w="469" w:type="pct"/>
            <w:noWrap/>
            <w:hideMark/>
          </w:tcPr>
          <w:p w14:paraId="7E2C3D6F"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2,701.10</w:t>
            </w:r>
          </w:p>
        </w:tc>
        <w:tc>
          <w:tcPr>
            <w:tcW w:w="468" w:type="pct"/>
            <w:noWrap/>
            <w:hideMark/>
          </w:tcPr>
          <w:p w14:paraId="023DC8AA"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5,402.20</w:t>
            </w:r>
          </w:p>
        </w:tc>
        <w:tc>
          <w:tcPr>
            <w:tcW w:w="494" w:type="pct"/>
            <w:noWrap/>
            <w:hideMark/>
          </w:tcPr>
          <w:p w14:paraId="1747D8AF"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10,804.40</w:t>
            </w:r>
          </w:p>
        </w:tc>
        <w:tc>
          <w:tcPr>
            <w:tcW w:w="430" w:type="pct"/>
            <w:noWrap/>
            <w:hideMark/>
          </w:tcPr>
          <w:p w14:paraId="3A506A86"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21,608.80</w:t>
            </w:r>
          </w:p>
        </w:tc>
        <w:tc>
          <w:tcPr>
            <w:tcW w:w="485" w:type="pct"/>
          </w:tcPr>
          <w:p w14:paraId="3A1362F5"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32,404.20</w:t>
            </w:r>
          </w:p>
        </w:tc>
      </w:tr>
      <w:tr w:rsidR="00A650B7" w:rsidRPr="00532C20" w14:paraId="46C48A0A" w14:textId="77777777" w:rsidTr="005E6484">
        <w:trPr>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5D9C3817"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Spain</w:t>
            </w:r>
          </w:p>
        </w:tc>
        <w:tc>
          <w:tcPr>
            <w:tcW w:w="538" w:type="pct"/>
            <w:noWrap/>
            <w:hideMark/>
          </w:tcPr>
          <w:p w14:paraId="4D20A17F"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334,015.00</w:t>
            </w:r>
          </w:p>
        </w:tc>
        <w:tc>
          <w:tcPr>
            <w:tcW w:w="468" w:type="pct"/>
          </w:tcPr>
          <w:p w14:paraId="77E0687D" w14:textId="54B7F053"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300,000</w:t>
            </w:r>
            <w:r w:rsidR="00CC7A50" w:rsidRPr="00532C20">
              <w:rPr>
                <w:rStyle w:val="FootnoteReference"/>
                <w:rFonts w:ascii="Times New Roman" w:eastAsia="Calibri" w:hAnsi="Times New Roman" w:cs="Times New Roman"/>
                <w:noProof/>
                <w:sz w:val="20"/>
                <w:szCs w:val="20"/>
              </w:rPr>
              <w:footnoteReference w:id="321"/>
            </w:r>
          </w:p>
        </w:tc>
        <w:tc>
          <w:tcPr>
            <w:tcW w:w="670" w:type="pct"/>
          </w:tcPr>
          <w:p w14:paraId="77157E11"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10%</w:t>
            </w:r>
          </w:p>
        </w:tc>
        <w:tc>
          <w:tcPr>
            <w:tcW w:w="428" w:type="pct"/>
            <w:noWrap/>
            <w:hideMark/>
          </w:tcPr>
          <w:p w14:paraId="0E92395B"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835.04</w:t>
            </w:r>
          </w:p>
        </w:tc>
        <w:tc>
          <w:tcPr>
            <w:tcW w:w="469" w:type="pct"/>
            <w:noWrap/>
            <w:hideMark/>
          </w:tcPr>
          <w:p w14:paraId="1AAF102F"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1,670.07</w:t>
            </w:r>
          </w:p>
        </w:tc>
        <w:tc>
          <w:tcPr>
            <w:tcW w:w="468" w:type="pct"/>
            <w:noWrap/>
            <w:hideMark/>
          </w:tcPr>
          <w:p w14:paraId="490C906C"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3,340.15</w:t>
            </w:r>
          </w:p>
        </w:tc>
        <w:tc>
          <w:tcPr>
            <w:tcW w:w="494" w:type="pct"/>
            <w:noWrap/>
            <w:hideMark/>
          </w:tcPr>
          <w:p w14:paraId="020D65AA"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6,680.30</w:t>
            </w:r>
          </w:p>
        </w:tc>
        <w:tc>
          <w:tcPr>
            <w:tcW w:w="430" w:type="pct"/>
            <w:noWrap/>
            <w:hideMark/>
          </w:tcPr>
          <w:p w14:paraId="5701E9D9"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13,360.60</w:t>
            </w:r>
          </w:p>
        </w:tc>
        <w:tc>
          <w:tcPr>
            <w:tcW w:w="485" w:type="pct"/>
          </w:tcPr>
          <w:p w14:paraId="7F75016C"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20,640.90</w:t>
            </w:r>
          </w:p>
        </w:tc>
      </w:tr>
      <w:tr w:rsidR="0038116E" w:rsidRPr="00532C20" w14:paraId="5344FD40" w14:textId="77777777" w:rsidTr="00381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7CF07A92"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Luxembourg</w:t>
            </w:r>
          </w:p>
        </w:tc>
        <w:tc>
          <w:tcPr>
            <w:tcW w:w="538" w:type="pct"/>
            <w:noWrap/>
            <w:hideMark/>
          </w:tcPr>
          <w:p w14:paraId="309B242F"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286,956.52</w:t>
            </w:r>
          </w:p>
        </w:tc>
        <w:tc>
          <w:tcPr>
            <w:tcW w:w="468" w:type="pct"/>
          </w:tcPr>
          <w:p w14:paraId="4AC7DD57"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tcPr>
          <w:p w14:paraId="70832A45"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noWrap/>
            <w:hideMark/>
          </w:tcPr>
          <w:p w14:paraId="72F986D5"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717.39</w:t>
            </w:r>
          </w:p>
        </w:tc>
        <w:tc>
          <w:tcPr>
            <w:tcW w:w="469" w:type="pct"/>
            <w:noWrap/>
            <w:hideMark/>
          </w:tcPr>
          <w:p w14:paraId="69B69DA0"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1,434.78</w:t>
            </w:r>
          </w:p>
        </w:tc>
        <w:tc>
          <w:tcPr>
            <w:tcW w:w="468" w:type="pct"/>
            <w:noWrap/>
            <w:hideMark/>
          </w:tcPr>
          <w:p w14:paraId="1DC9F3E5"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2,869.57</w:t>
            </w:r>
          </w:p>
        </w:tc>
        <w:tc>
          <w:tcPr>
            <w:tcW w:w="494" w:type="pct"/>
            <w:noWrap/>
            <w:hideMark/>
          </w:tcPr>
          <w:p w14:paraId="679E59D4"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5,739.13</w:t>
            </w:r>
          </w:p>
        </w:tc>
        <w:tc>
          <w:tcPr>
            <w:tcW w:w="430" w:type="pct"/>
            <w:noWrap/>
            <w:hideMark/>
          </w:tcPr>
          <w:p w14:paraId="40E8F85A"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11,478.26</w:t>
            </w:r>
          </w:p>
        </w:tc>
        <w:tc>
          <w:tcPr>
            <w:tcW w:w="485" w:type="pct"/>
          </w:tcPr>
          <w:p w14:paraId="448C6279"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17,217.39</w:t>
            </w:r>
          </w:p>
        </w:tc>
      </w:tr>
      <w:tr w:rsidR="00A650B7" w:rsidRPr="00532C20" w14:paraId="5D350998" w14:textId="77777777" w:rsidTr="005E6484">
        <w:trPr>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20A0E30C"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Austria</w:t>
            </w:r>
          </w:p>
        </w:tc>
        <w:tc>
          <w:tcPr>
            <w:tcW w:w="538" w:type="pct"/>
            <w:noWrap/>
            <w:hideMark/>
          </w:tcPr>
          <w:p w14:paraId="5732FBA1"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223,833.33</w:t>
            </w:r>
          </w:p>
        </w:tc>
        <w:tc>
          <w:tcPr>
            <w:tcW w:w="468" w:type="pct"/>
          </w:tcPr>
          <w:p w14:paraId="59EC3923"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60,000</w:t>
            </w:r>
          </w:p>
        </w:tc>
        <w:tc>
          <w:tcPr>
            <w:tcW w:w="670" w:type="pct"/>
          </w:tcPr>
          <w:p w14:paraId="5658D1E6"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25%</w:t>
            </w:r>
          </w:p>
        </w:tc>
        <w:tc>
          <w:tcPr>
            <w:tcW w:w="428" w:type="pct"/>
            <w:noWrap/>
            <w:hideMark/>
          </w:tcPr>
          <w:p w14:paraId="28794AC2"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559.58</w:t>
            </w:r>
          </w:p>
        </w:tc>
        <w:tc>
          <w:tcPr>
            <w:tcW w:w="469" w:type="pct"/>
            <w:noWrap/>
            <w:hideMark/>
          </w:tcPr>
          <w:p w14:paraId="5035C506"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1,119.17</w:t>
            </w:r>
          </w:p>
        </w:tc>
        <w:tc>
          <w:tcPr>
            <w:tcW w:w="468" w:type="pct"/>
            <w:noWrap/>
            <w:hideMark/>
          </w:tcPr>
          <w:p w14:paraId="39D45B22"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2,238.33</w:t>
            </w:r>
          </w:p>
        </w:tc>
        <w:tc>
          <w:tcPr>
            <w:tcW w:w="494" w:type="pct"/>
            <w:noWrap/>
            <w:hideMark/>
          </w:tcPr>
          <w:p w14:paraId="22B90D08"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4,476.67</w:t>
            </w:r>
          </w:p>
        </w:tc>
        <w:tc>
          <w:tcPr>
            <w:tcW w:w="430" w:type="pct"/>
            <w:noWrap/>
            <w:hideMark/>
          </w:tcPr>
          <w:p w14:paraId="3035B20A"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8,953.33</w:t>
            </w:r>
          </w:p>
        </w:tc>
        <w:tc>
          <w:tcPr>
            <w:tcW w:w="485" w:type="pct"/>
          </w:tcPr>
          <w:p w14:paraId="16FC0413"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13,430.01</w:t>
            </w:r>
          </w:p>
        </w:tc>
      </w:tr>
      <w:tr w:rsidR="0038116E" w:rsidRPr="00532C20" w14:paraId="2F64CCAC" w14:textId="77777777" w:rsidTr="00381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56BDEB01"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Finland</w:t>
            </w:r>
          </w:p>
        </w:tc>
        <w:tc>
          <w:tcPr>
            <w:tcW w:w="538" w:type="pct"/>
            <w:noWrap/>
            <w:hideMark/>
          </w:tcPr>
          <w:p w14:paraId="4EED5696"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220,481.93</w:t>
            </w:r>
          </w:p>
        </w:tc>
        <w:tc>
          <w:tcPr>
            <w:tcW w:w="468" w:type="pct"/>
          </w:tcPr>
          <w:p w14:paraId="021F8E70"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tcPr>
          <w:p w14:paraId="0FA81F47"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noWrap/>
            <w:hideMark/>
          </w:tcPr>
          <w:p w14:paraId="3FC4B04D"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551.20</w:t>
            </w:r>
          </w:p>
        </w:tc>
        <w:tc>
          <w:tcPr>
            <w:tcW w:w="469" w:type="pct"/>
            <w:noWrap/>
            <w:hideMark/>
          </w:tcPr>
          <w:p w14:paraId="77AC4BB7"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1,102.41</w:t>
            </w:r>
          </w:p>
        </w:tc>
        <w:tc>
          <w:tcPr>
            <w:tcW w:w="468" w:type="pct"/>
            <w:noWrap/>
            <w:hideMark/>
          </w:tcPr>
          <w:p w14:paraId="27E1B234"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2,204.82</w:t>
            </w:r>
          </w:p>
        </w:tc>
        <w:tc>
          <w:tcPr>
            <w:tcW w:w="494" w:type="pct"/>
            <w:noWrap/>
            <w:hideMark/>
          </w:tcPr>
          <w:p w14:paraId="187E3F26"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4,409.64</w:t>
            </w:r>
          </w:p>
        </w:tc>
        <w:tc>
          <w:tcPr>
            <w:tcW w:w="430" w:type="pct"/>
            <w:noWrap/>
            <w:hideMark/>
          </w:tcPr>
          <w:p w14:paraId="3E494881"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8,819.28</w:t>
            </w:r>
          </w:p>
        </w:tc>
        <w:tc>
          <w:tcPr>
            <w:tcW w:w="485" w:type="pct"/>
          </w:tcPr>
          <w:p w14:paraId="1C6F6371"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13,228.92</w:t>
            </w:r>
          </w:p>
        </w:tc>
      </w:tr>
      <w:tr w:rsidR="00A650B7" w:rsidRPr="00532C20" w14:paraId="2C775060" w14:textId="77777777" w:rsidTr="005E6484">
        <w:trPr>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4B50D59D"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Belgium</w:t>
            </w:r>
          </w:p>
        </w:tc>
        <w:tc>
          <w:tcPr>
            <w:tcW w:w="538" w:type="pct"/>
            <w:noWrap/>
            <w:hideMark/>
          </w:tcPr>
          <w:p w14:paraId="771FCFA8"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219,701.25</w:t>
            </w:r>
          </w:p>
        </w:tc>
        <w:tc>
          <w:tcPr>
            <w:tcW w:w="468" w:type="pct"/>
          </w:tcPr>
          <w:p w14:paraId="1A6E6841"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tcPr>
          <w:p w14:paraId="18A241C9"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noWrap/>
            <w:hideMark/>
          </w:tcPr>
          <w:p w14:paraId="23C26A07"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549.25</w:t>
            </w:r>
          </w:p>
        </w:tc>
        <w:tc>
          <w:tcPr>
            <w:tcW w:w="469" w:type="pct"/>
            <w:noWrap/>
            <w:hideMark/>
          </w:tcPr>
          <w:p w14:paraId="746A563F"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1,098.51</w:t>
            </w:r>
          </w:p>
        </w:tc>
        <w:tc>
          <w:tcPr>
            <w:tcW w:w="468" w:type="pct"/>
            <w:noWrap/>
            <w:hideMark/>
          </w:tcPr>
          <w:p w14:paraId="2E7BA892"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2,197.01</w:t>
            </w:r>
          </w:p>
        </w:tc>
        <w:tc>
          <w:tcPr>
            <w:tcW w:w="494" w:type="pct"/>
            <w:noWrap/>
            <w:hideMark/>
          </w:tcPr>
          <w:p w14:paraId="58FEC247"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4,394.03</w:t>
            </w:r>
          </w:p>
        </w:tc>
        <w:tc>
          <w:tcPr>
            <w:tcW w:w="430" w:type="pct"/>
            <w:noWrap/>
            <w:hideMark/>
          </w:tcPr>
          <w:p w14:paraId="40700472"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8,788.05</w:t>
            </w:r>
          </w:p>
        </w:tc>
        <w:tc>
          <w:tcPr>
            <w:tcW w:w="485" w:type="pct"/>
          </w:tcPr>
          <w:p w14:paraId="24675D69"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13,182.09</w:t>
            </w:r>
          </w:p>
        </w:tc>
      </w:tr>
      <w:tr w:rsidR="0038116E" w:rsidRPr="00532C20" w14:paraId="4A5D1DE5" w14:textId="77777777" w:rsidTr="00381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7853346F"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Denmark</w:t>
            </w:r>
          </w:p>
        </w:tc>
        <w:tc>
          <w:tcPr>
            <w:tcW w:w="538" w:type="pct"/>
            <w:noWrap/>
            <w:hideMark/>
          </w:tcPr>
          <w:p w14:paraId="2B0F840E"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211,414.21</w:t>
            </w:r>
          </w:p>
        </w:tc>
        <w:tc>
          <w:tcPr>
            <w:tcW w:w="468" w:type="pct"/>
          </w:tcPr>
          <w:p w14:paraId="0D49DF23"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tcPr>
          <w:p w14:paraId="6601F138"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noWrap/>
            <w:hideMark/>
          </w:tcPr>
          <w:p w14:paraId="738FD153"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528.54</w:t>
            </w:r>
          </w:p>
        </w:tc>
        <w:tc>
          <w:tcPr>
            <w:tcW w:w="469" w:type="pct"/>
            <w:noWrap/>
            <w:hideMark/>
          </w:tcPr>
          <w:p w14:paraId="6F5E5124"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1,057.07</w:t>
            </w:r>
          </w:p>
        </w:tc>
        <w:tc>
          <w:tcPr>
            <w:tcW w:w="468" w:type="pct"/>
            <w:noWrap/>
            <w:hideMark/>
          </w:tcPr>
          <w:p w14:paraId="105BB2D0"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2,114.14</w:t>
            </w:r>
          </w:p>
        </w:tc>
        <w:tc>
          <w:tcPr>
            <w:tcW w:w="494" w:type="pct"/>
            <w:noWrap/>
            <w:hideMark/>
          </w:tcPr>
          <w:p w14:paraId="28E79C39"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4,228.28</w:t>
            </w:r>
          </w:p>
        </w:tc>
        <w:tc>
          <w:tcPr>
            <w:tcW w:w="430" w:type="pct"/>
            <w:noWrap/>
            <w:hideMark/>
          </w:tcPr>
          <w:p w14:paraId="5860F532"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8,456.57</w:t>
            </w:r>
          </w:p>
        </w:tc>
        <w:tc>
          <w:tcPr>
            <w:tcW w:w="485" w:type="pct"/>
          </w:tcPr>
          <w:p w14:paraId="1AAB6BBD"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12,684.84</w:t>
            </w:r>
          </w:p>
        </w:tc>
      </w:tr>
      <w:tr w:rsidR="00A650B7" w:rsidRPr="00532C20" w14:paraId="369BAF74" w14:textId="77777777" w:rsidTr="005E6484">
        <w:trPr>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64959453"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Cyprus</w:t>
            </w:r>
          </w:p>
        </w:tc>
        <w:tc>
          <w:tcPr>
            <w:tcW w:w="538" w:type="pct"/>
            <w:noWrap/>
            <w:hideMark/>
          </w:tcPr>
          <w:p w14:paraId="5968134F"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205,000.00</w:t>
            </w:r>
          </w:p>
        </w:tc>
        <w:tc>
          <w:tcPr>
            <w:tcW w:w="468" w:type="pct"/>
          </w:tcPr>
          <w:p w14:paraId="08B9B1C4"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100,000</w:t>
            </w:r>
          </w:p>
        </w:tc>
        <w:tc>
          <w:tcPr>
            <w:tcW w:w="670" w:type="pct"/>
          </w:tcPr>
          <w:p w14:paraId="56E56D8A"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50%</w:t>
            </w:r>
          </w:p>
        </w:tc>
        <w:tc>
          <w:tcPr>
            <w:tcW w:w="428" w:type="pct"/>
            <w:noWrap/>
            <w:hideMark/>
          </w:tcPr>
          <w:p w14:paraId="3AA82FF5"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512.50</w:t>
            </w:r>
          </w:p>
        </w:tc>
        <w:tc>
          <w:tcPr>
            <w:tcW w:w="469" w:type="pct"/>
            <w:noWrap/>
            <w:hideMark/>
          </w:tcPr>
          <w:p w14:paraId="6144A843"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1,025.00</w:t>
            </w:r>
          </w:p>
        </w:tc>
        <w:tc>
          <w:tcPr>
            <w:tcW w:w="468" w:type="pct"/>
            <w:noWrap/>
            <w:hideMark/>
          </w:tcPr>
          <w:p w14:paraId="21F7FF83"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2,050.00</w:t>
            </w:r>
          </w:p>
        </w:tc>
        <w:tc>
          <w:tcPr>
            <w:tcW w:w="494" w:type="pct"/>
            <w:noWrap/>
            <w:hideMark/>
          </w:tcPr>
          <w:p w14:paraId="42121104"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4,100.00</w:t>
            </w:r>
          </w:p>
        </w:tc>
        <w:tc>
          <w:tcPr>
            <w:tcW w:w="430" w:type="pct"/>
            <w:noWrap/>
            <w:hideMark/>
          </w:tcPr>
          <w:p w14:paraId="4A23AAC8"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8,200.00</w:t>
            </w:r>
          </w:p>
        </w:tc>
        <w:tc>
          <w:tcPr>
            <w:tcW w:w="485" w:type="pct"/>
          </w:tcPr>
          <w:p w14:paraId="555B9CD0"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12,300.00</w:t>
            </w:r>
          </w:p>
        </w:tc>
      </w:tr>
      <w:tr w:rsidR="0038116E" w:rsidRPr="00532C20" w14:paraId="223D4010" w14:textId="77777777" w:rsidTr="00381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0DA6D175"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Sweden</w:t>
            </w:r>
          </w:p>
        </w:tc>
        <w:tc>
          <w:tcPr>
            <w:tcW w:w="538" w:type="pct"/>
            <w:noWrap/>
            <w:hideMark/>
          </w:tcPr>
          <w:p w14:paraId="53BE2096"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167,768.40</w:t>
            </w:r>
          </w:p>
        </w:tc>
        <w:tc>
          <w:tcPr>
            <w:tcW w:w="468" w:type="pct"/>
          </w:tcPr>
          <w:p w14:paraId="3FF50557"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tcPr>
          <w:p w14:paraId="35DAB532"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noWrap/>
            <w:hideMark/>
          </w:tcPr>
          <w:p w14:paraId="226609CB"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419.42</w:t>
            </w:r>
          </w:p>
        </w:tc>
        <w:tc>
          <w:tcPr>
            <w:tcW w:w="469" w:type="pct"/>
            <w:noWrap/>
            <w:hideMark/>
          </w:tcPr>
          <w:p w14:paraId="3F92874A"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838.84</w:t>
            </w:r>
          </w:p>
        </w:tc>
        <w:tc>
          <w:tcPr>
            <w:tcW w:w="468" w:type="pct"/>
            <w:noWrap/>
            <w:hideMark/>
          </w:tcPr>
          <w:p w14:paraId="735CF3DA"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1,677.68</w:t>
            </w:r>
          </w:p>
        </w:tc>
        <w:tc>
          <w:tcPr>
            <w:tcW w:w="494" w:type="pct"/>
            <w:noWrap/>
            <w:hideMark/>
          </w:tcPr>
          <w:p w14:paraId="5003E775"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3,355.37</w:t>
            </w:r>
          </w:p>
        </w:tc>
        <w:tc>
          <w:tcPr>
            <w:tcW w:w="430" w:type="pct"/>
            <w:noWrap/>
            <w:hideMark/>
          </w:tcPr>
          <w:p w14:paraId="40D357AF"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6,710.74</w:t>
            </w:r>
          </w:p>
        </w:tc>
        <w:tc>
          <w:tcPr>
            <w:tcW w:w="485" w:type="pct"/>
          </w:tcPr>
          <w:p w14:paraId="06D7A8CC"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10,066.11</w:t>
            </w:r>
          </w:p>
        </w:tc>
      </w:tr>
      <w:tr w:rsidR="00A650B7" w:rsidRPr="00532C20" w14:paraId="56251AB4" w14:textId="77777777" w:rsidTr="005E6484">
        <w:trPr>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5565BA4D"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Malta</w:t>
            </w:r>
          </w:p>
        </w:tc>
        <w:tc>
          <w:tcPr>
            <w:tcW w:w="538" w:type="pct"/>
            <w:noWrap/>
            <w:hideMark/>
          </w:tcPr>
          <w:p w14:paraId="3AA8F477"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150,000.00</w:t>
            </w:r>
          </w:p>
        </w:tc>
        <w:tc>
          <w:tcPr>
            <w:tcW w:w="468" w:type="pct"/>
          </w:tcPr>
          <w:p w14:paraId="7EB7408F"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tcPr>
          <w:p w14:paraId="5734AB27"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noWrap/>
            <w:hideMark/>
          </w:tcPr>
          <w:p w14:paraId="1A96E517"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375.00</w:t>
            </w:r>
          </w:p>
        </w:tc>
        <w:tc>
          <w:tcPr>
            <w:tcW w:w="469" w:type="pct"/>
            <w:noWrap/>
            <w:hideMark/>
          </w:tcPr>
          <w:p w14:paraId="29DF68BE"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750.00</w:t>
            </w:r>
          </w:p>
        </w:tc>
        <w:tc>
          <w:tcPr>
            <w:tcW w:w="468" w:type="pct"/>
            <w:noWrap/>
            <w:hideMark/>
          </w:tcPr>
          <w:p w14:paraId="7AC1FC23"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1,500.00</w:t>
            </w:r>
          </w:p>
        </w:tc>
        <w:tc>
          <w:tcPr>
            <w:tcW w:w="494" w:type="pct"/>
            <w:noWrap/>
            <w:hideMark/>
          </w:tcPr>
          <w:p w14:paraId="7EF2D6FA"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3,000.00</w:t>
            </w:r>
          </w:p>
        </w:tc>
        <w:tc>
          <w:tcPr>
            <w:tcW w:w="430" w:type="pct"/>
            <w:noWrap/>
            <w:hideMark/>
          </w:tcPr>
          <w:p w14:paraId="452E3639"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6,000.00</w:t>
            </w:r>
          </w:p>
        </w:tc>
        <w:tc>
          <w:tcPr>
            <w:tcW w:w="485" w:type="pct"/>
          </w:tcPr>
          <w:p w14:paraId="18E2F6DC"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9,000.00</w:t>
            </w:r>
          </w:p>
        </w:tc>
      </w:tr>
      <w:tr w:rsidR="0038116E" w:rsidRPr="00532C20" w14:paraId="54A10E6D" w14:textId="77777777" w:rsidTr="00381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687E61DA"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Italy</w:t>
            </w:r>
          </w:p>
        </w:tc>
        <w:tc>
          <w:tcPr>
            <w:tcW w:w="538" w:type="pct"/>
            <w:noWrap/>
            <w:hideMark/>
          </w:tcPr>
          <w:p w14:paraId="537CC8B4"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132,224.44</w:t>
            </w:r>
          </w:p>
        </w:tc>
        <w:tc>
          <w:tcPr>
            <w:tcW w:w="468" w:type="pct"/>
          </w:tcPr>
          <w:p w14:paraId="752C796E"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tcPr>
          <w:p w14:paraId="463B5B36"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noWrap/>
            <w:hideMark/>
          </w:tcPr>
          <w:p w14:paraId="6E26EFF8"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330.56</w:t>
            </w:r>
          </w:p>
        </w:tc>
        <w:tc>
          <w:tcPr>
            <w:tcW w:w="469" w:type="pct"/>
            <w:noWrap/>
            <w:hideMark/>
          </w:tcPr>
          <w:p w14:paraId="66D0F6A0"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661.12</w:t>
            </w:r>
          </w:p>
        </w:tc>
        <w:tc>
          <w:tcPr>
            <w:tcW w:w="468" w:type="pct"/>
            <w:noWrap/>
            <w:hideMark/>
          </w:tcPr>
          <w:p w14:paraId="799249F0"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1,322.24</w:t>
            </w:r>
          </w:p>
        </w:tc>
        <w:tc>
          <w:tcPr>
            <w:tcW w:w="494" w:type="pct"/>
            <w:noWrap/>
            <w:hideMark/>
          </w:tcPr>
          <w:p w14:paraId="7C2B7904"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2,644.49</w:t>
            </w:r>
          </w:p>
        </w:tc>
        <w:tc>
          <w:tcPr>
            <w:tcW w:w="430" w:type="pct"/>
            <w:noWrap/>
            <w:hideMark/>
          </w:tcPr>
          <w:p w14:paraId="2ACE7FF9"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5,288.98</w:t>
            </w:r>
          </w:p>
        </w:tc>
        <w:tc>
          <w:tcPr>
            <w:tcW w:w="485" w:type="pct"/>
          </w:tcPr>
          <w:p w14:paraId="4F102E20"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7,933.47</w:t>
            </w:r>
          </w:p>
        </w:tc>
      </w:tr>
      <w:tr w:rsidR="00A650B7" w:rsidRPr="00532C20" w14:paraId="0B7EB80A" w14:textId="77777777" w:rsidTr="005E6484">
        <w:trPr>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67FA4707"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Slovakia</w:t>
            </w:r>
          </w:p>
        </w:tc>
        <w:tc>
          <w:tcPr>
            <w:tcW w:w="538" w:type="pct"/>
            <w:noWrap/>
            <w:hideMark/>
          </w:tcPr>
          <w:p w14:paraId="0783C9BD"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130,769.23</w:t>
            </w:r>
          </w:p>
        </w:tc>
        <w:tc>
          <w:tcPr>
            <w:tcW w:w="468" w:type="pct"/>
          </w:tcPr>
          <w:p w14:paraId="65DF043E"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tcPr>
          <w:p w14:paraId="37B29B49"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noWrap/>
            <w:hideMark/>
          </w:tcPr>
          <w:p w14:paraId="59FC1469"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326.92</w:t>
            </w:r>
          </w:p>
        </w:tc>
        <w:tc>
          <w:tcPr>
            <w:tcW w:w="469" w:type="pct"/>
            <w:noWrap/>
            <w:hideMark/>
          </w:tcPr>
          <w:p w14:paraId="36A7F8A1"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653.85</w:t>
            </w:r>
          </w:p>
        </w:tc>
        <w:tc>
          <w:tcPr>
            <w:tcW w:w="468" w:type="pct"/>
            <w:noWrap/>
            <w:hideMark/>
          </w:tcPr>
          <w:p w14:paraId="64FA1553"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1,307.69</w:t>
            </w:r>
          </w:p>
        </w:tc>
        <w:tc>
          <w:tcPr>
            <w:tcW w:w="494" w:type="pct"/>
            <w:noWrap/>
            <w:hideMark/>
          </w:tcPr>
          <w:p w14:paraId="6910ED03"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2,615.38</w:t>
            </w:r>
          </w:p>
        </w:tc>
        <w:tc>
          <w:tcPr>
            <w:tcW w:w="430" w:type="pct"/>
            <w:noWrap/>
            <w:hideMark/>
          </w:tcPr>
          <w:p w14:paraId="49618074"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5,230.77</w:t>
            </w:r>
          </w:p>
        </w:tc>
        <w:tc>
          <w:tcPr>
            <w:tcW w:w="485" w:type="pct"/>
          </w:tcPr>
          <w:p w14:paraId="3C89BF5A"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7,846.14</w:t>
            </w:r>
          </w:p>
        </w:tc>
      </w:tr>
      <w:tr w:rsidR="0038116E" w:rsidRPr="00532C20" w14:paraId="07064B9D" w14:textId="77777777" w:rsidTr="00381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17671108"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Croatia</w:t>
            </w:r>
          </w:p>
        </w:tc>
        <w:tc>
          <w:tcPr>
            <w:tcW w:w="538" w:type="pct"/>
            <w:noWrap/>
            <w:hideMark/>
          </w:tcPr>
          <w:p w14:paraId="680518A0"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128,070.18</w:t>
            </w:r>
          </w:p>
        </w:tc>
        <w:tc>
          <w:tcPr>
            <w:tcW w:w="468" w:type="pct"/>
          </w:tcPr>
          <w:p w14:paraId="268E9F39"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tcPr>
          <w:p w14:paraId="487F132A"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noWrap/>
            <w:hideMark/>
          </w:tcPr>
          <w:p w14:paraId="4E0F1AB5"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320.18</w:t>
            </w:r>
          </w:p>
        </w:tc>
        <w:tc>
          <w:tcPr>
            <w:tcW w:w="469" w:type="pct"/>
            <w:noWrap/>
            <w:hideMark/>
          </w:tcPr>
          <w:p w14:paraId="34807389"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640.35</w:t>
            </w:r>
          </w:p>
        </w:tc>
        <w:tc>
          <w:tcPr>
            <w:tcW w:w="468" w:type="pct"/>
            <w:noWrap/>
            <w:hideMark/>
          </w:tcPr>
          <w:p w14:paraId="3EDD2A2F"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1,280.70</w:t>
            </w:r>
          </w:p>
        </w:tc>
        <w:tc>
          <w:tcPr>
            <w:tcW w:w="494" w:type="pct"/>
            <w:noWrap/>
            <w:hideMark/>
          </w:tcPr>
          <w:p w14:paraId="45A817A1"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2,561.40</w:t>
            </w:r>
          </w:p>
        </w:tc>
        <w:tc>
          <w:tcPr>
            <w:tcW w:w="430" w:type="pct"/>
            <w:noWrap/>
            <w:hideMark/>
          </w:tcPr>
          <w:p w14:paraId="5C9F4B10"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5,122.81</w:t>
            </w:r>
          </w:p>
        </w:tc>
        <w:tc>
          <w:tcPr>
            <w:tcW w:w="485" w:type="pct"/>
          </w:tcPr>
          <w:p w14:paraId="660F7AE7"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7,684.20</w:t>
            </w:r>
          </w:p>
        </w:tc>
      </w:tr>
      <w:tr w:rsidR="00A650B7" w:rsidRPr="00532C20" w14:paraId="093F0544" w14:textId="77777777" w:rsidTr="005E6484">
        <w:trPr>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20589A77"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Portugal</w:t>
            </w:r>
          </w:p>
        </w:tc>
        <w:tc>
          <w:tcPr>
            <w:tcW w:w="538" w:type="pct"/>
            <w:noWrap/>
            <w:hideMark/>
          </w:tcPr>
          <w:p w14:paraId="022A82CD"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124,046.92</w:t>
            </w:r>
          </w:p>
        </w:tc>
        <w:tc>
          <w:tcPr>
            <w:tcW w:w="468" w:type="pct"/>
          </w:tcPr>
          <w:p w14:paraId="33E8B576"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tcPr>
          <w:p w14:paraId="0186322F"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noWrap/>
            <w:hideMark/>
          </w:tcPr>
          <w:p w14:paraId="143FF60A"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310.12</w:t>
            </w:r>
          </w:p>
        </w:tc>
        <w:tc>
          <w:tcPr>
            <w:tcW w:w="469" w:type="pct"/>
            <w:noWrap/>
            <w:hideMark/>
          </w:tcPr>
          <w:p w14:paraId="74CEA39D"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620.23</w:t>
            </w:r>
          </w:p>
        </w:tc>
        <w:tc>
          <w:tcPr>
            <w:tcW w:w="468" w:type="pct"/>
            <w:noWrap/>
            <w:hideMark/>
          </w:tcPr>
          <w:p w14:paraId="3667BC67"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1,240.47</w:t>
            </w:r>
          </w:p>
        </w:tc>
        <w:tc>
          <w:tcPr>
            <w:tcW w:w="494" w:type="pct"/>
            <w:noWrap/>
            <w:hideMark/>
          </w:tcPr>
          <w:p w14:paraId="44B38F1D"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2,480.94</w:t>
            </w:r>
          </w:p>
        </w:tc>
        <w:tc>
          <w:tcPr>
            <w:tcW w:w="430" w:type="pct"/>
            <w:noWrap/>
            <w:hideMark/>
          </w:tcPr>
          <w:p w14:paraId="37862141"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4,961.88</w:t>
            </w:r>
          </w:p>
        </w:tc>
        <w:tc>
          <w:tcPr>
            <w:tcW w:w="485" w:type="pct"/>
          </w:tcPr>
          <w:p w14:paraId="2FB68CA9"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7,442.82</w:t>
            </w:r>
          </w:p>
        </w:tc>
      </w:tr>
      <w:tr w:rsidR="0038116E" w:rsidRPr="00532C20" w14:paraId="2A17A935" w14:textId="77777777" w:rsidTr="00381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51B9BB52"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Slovenia</w:t>
            </w:r>
          </w:p>
        </w:tc>
        <w:tc>
          <w:tcPr>
            <w:tcW w:w="538" w:type="pct"/>
            <w:noWrap/>
            <w:hideMark/>
          </w:tcPr>
          <w:p w14:paraId="5D542CC7"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103,875.97</w:t>
            </w:r>
          </w:p>
        </w:tc>
        <w:tc>
          <w:tcPr>
            <w:tcW w:w="468" w:type="pct"/>
          </w:tcPr>
          <w:p w14:paraId="0146AF08" w14:textId="136CC995" w:rsidR="00011445" w:rsidRPr="00532C20" w:rsidRDefault="00D735AD"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100,000</w:t>
            </w:r>
          </w:p>
        </w:tc>
        <w:tc>
          <w:tcPr>
            <w:tcW w:w="670" w:type="pct"/>
          </w:tcPr>
          <w:p w14:paraId="0FB56621" w14:textId="6B7B48E9" w:rsidR="00011445" w:rsidRPr="00532C20" w:rsidRDefault="00D735AD"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10%</w:t>
            </w:r>
          </w:p>
        </w:tc>
        <w:tc>
          <w:tcPr>
            <w:tcW w:w="428" w:type="pct"/>
            <w:noWrap/>
            <w:hideMark/>
          </w:tcPr>
          <w:p w14:paraId="3D1BB783"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259.69</w:t>
            </w:r>
          </w:p>
        </w:tc>
        <w:tc>
          <w:tcPr>
            <w:tcW w:w="469" w:type="pct"/>
            <w:noWrap/>
            <w:hideMark/>
          </w:tcPr>
          <w:p w14:paraId="6B5BF26B"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519.38</w:t>
            </w:r>
          </w:p>
        </w:tc>
        <w:tc>
          <w:tcPr>
            <w:tcW w:w="468" w:type="pct"/>
            <w:noWrap/>
            <w:hideMark/>
          </w:tcPr>
          <w:p w14:paraId="416FE284"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1,038.76</w:t>
            </w:r>
          </w:p>
        </w:tc>
        <w:tc>
          <w:tcPr>
            <w:tcW w:w="494" w:type="pct"/>
            <w:noWrap/>
            <w:hideMark/>
          </w:tcPr>
          <w:p w14:paraId="7C51AE4D"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2,077.52</w:t>
            </w:r>
          </w:p>
        </w:tc>
        <w:tc>
          <w:tcPr>
            <w:tcW w:w="430" w:type="pct"/>
            <w:noWrap/>
            <w:hideMark/>
          </w:tcPr>
          <w:p w14:paraId="6498C3B2"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4,155.04</w:t>
            </w:r>
          </w:p>
        </w:tc>
        <w:tc>
          <w:tcPr>
            <w:tcW w:w="485" w:type="pct"/>
          </w:tcPr>
          <w:p w14:paraId="53986A17"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4,155.04</w:t>
            </w:r>
          </w:p>
        </w:tc>
      </w:tr>
      <w:tr w:rsidR="00A650B7" w:rsidRPr="00532C20" w14:paraId="706675A8" w14:textId="77777777" w:rsidTr="005E6484">
        <w:trPr>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1BF2B1CB"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France</w:t>
            </w:r>
          </w:p>
        </w:tc>
        <w:tc>
          <w:tcPr>
            <w:tcW w:w="538" w:type="pct"/>
            <w:noWrap/>
            <w:hideMark/>
          </w:tcPr>
          <w:p w14:paraId="489B792F"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97,159.05</w:t>
            </w:r>
          </w:p>
        </w:tc>
        <w:tc>
          <w:tcPr>
            <w:tcW w:w="468" w:type="pct"/>
          </w:tcPr>
          <w:p w14:paraId="0F84E202" w14:textId="30A3FF0D" w:rsidR="00011445" w:rsidRPr="00532C20" w:rsidRDefault="00D735AD"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w:t>
            </w:r>
            <w:r w:rsidR="006C6107" w:rsidRPr="00532C20">
              <w:rPr>
                <w:rFonts w:ascii="Times New Roman" w:eastAsia="Calibri" w:hAnsi="Times New Roman" w:cs="Times New Roman"/>
                <w:noProof/>
                <w:sz w:val="20"/>
                <w:szCs w:val="20"/>
              </w:rPr>
              <w:t>5</w:t>
            </w:r>
            <w:r w:rsidRPr="00532C20">
              <w:rPr>
                <w:rFonts w:ascii="Times New Roman" w:eastAsia="Calibri" w:hAnsi="Times New Roman" w:cs="Times New Roman"/>
                <w:noProof/>
                <w:sz w:val="20"/>
                <w:szCs w:val="20"/>
              </w:rPr>
              <w:t>,000</w:t>
            </w:r>
            <w:r w:rsidR="00C214B9" w:rsidRPr="00532C20">
              <w:rPr>
                <w:rStyle w:val="FootnoteReference"/>
                <w:rFonts w:ascii="Times New Roman" w:eastAsia="Calibri" w:hAnsi="Times New Roman" w:cs="Times New Roman"/>
                <w:noProof/>
                <w:sz w:val="20"/>
                <w:szCs w:val="20"/>
              </w:rPr>
              <w:footnoteReference w:id="322"/>
            </w:r>
          </w:p>
        </w:tc>
        <w:tc>
          <w:tcPr>
            <w:tcW w:w="670" w:type="pct"/>
          </w:tcPr>
          <w:p w14:paraId="77DF29B6" w14:textId="3C15299F" w:rsidR="00011445" w:rsidRPr="00532C20" w:rsidRDefault="006C6107"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1.5%</w:t>
            </w:r>
          </w:p>
        </w:tc>
        <w:tc>
          <w:tcPr>
            <w:tcW w:w="428" w:type="pct"/>
            <w:noWrap/>
            <w:hideMark/>
          </w:tcPr>
          <w:p w14:paraId="475013CB"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242.90</w:t>
            </w:r>
          </w:p>
        </w:tc>
        <w:tc>
          <w:tcPr>
            <w:tcW w:w="469" w:type="pct"/>
            <w:noWrap/>
            <w:hideMark/>
          </w:tcPr>
          <w:p w14:paraId="66142324"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485.80</w:t>
            </w:r>
          </w:p>
        </w:tc>
        <w:tc>
          <w:tcPr>
            <w:tcW w:w="468" w:type="pct"/>
            <w:noWrap/>
            <w:hideMark/>
          </w:tcPr>
          <w:p w14:paraId="2D951876"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971.59</w:t>
            </w:r>
          </w:p>
        </w:tc>
        <w:tc>
          <w:tcPr>
            <w:tcW w:w="494" w:type="pct"/>
            <w:noWrap/>
            <w:hideMark/>
          </w:tcPr>
          <w:p w14:paraId="4BD82E6C"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1,943.18</w:t>
            </w:r>
          </w:p>
        </w:tc>
        <w:tc>
          <w:tcPr>
            <w:tcW w:w="430" w:type="pct"/>
            <w:noWrap/>
            <w:hideMark/>
          </w:tcPr>
          <w:p w14:paraId="3F79D0FB"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3,886.36</w:t>
            </w:r>
          </w:p>
        </w:tc>
        <w:tc>
          <w:tcPr>
            <w:tcW w:w="485" w:type="pct"/>
          </w:tcPr>
          <w:p w14:paraId="3F530EAA"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5,829.54</w:t>
            </w:r>
          </w:p>
        </w:tc>
      </w:tr>
      <w:tr w:rsidR="0038116E" w:rsidRPr="00532C20" w14:paraId="4D617BE9" w14:textId="77777777" w:rsidTr="00381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25BCAF6F"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Romania</w:t>
            </w:r>
          </w:p>
        </w:tc>
        <w:tc>
          <w:tcPr>
            <w:tcW w:w="538" w:type="pct"/>
            <w:noWrap/>
            <w:hideMark/>
          </w:tcPr>
          <w:p w14:paraId="52A30379"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95,218.72</w:t>
            </w:r>
          </w:p>
        </w:tc>
        <w:tc>
          <w:tcPr>
            <w:tcW w:w="468" w:type="pct"/>
          </w:tcPr>
          <w:p w14:paraId="52C9241B"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tcPr>
          <w:p w14:paraId="097AEFE9"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noWrap/>
            <w:hideMark/>
          </w:tcPr>
          <w:p w14:paraId="4C5277CA"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238.05</w:t>
            </w:r>
          </w:p>
        </w:tc>
        <w:tc>
          <w:tcPr>
            <w:tcW w:w="469" w:type="pct"/>
            <w:noWrap/>
            <w:hideMark/>
          </w:tcPr>
          <w:p w14:paraId="12CA586D"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476.09</w:t>
            </w:r>
          </w:p>
        </w:tc>
        <w:tc>
          <w:tcPr>
            <w:tcW w:w="468" w:type="pct"/>
            <w:noWrap/>
            <w:hideMark/>
          </w:tcPr>
          <w:p w14:paraId="77AF117B"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952.19</w:t>
            </w:r>
          </w:p>
        </w:tc>
        <w:tc>
          <w:tcPr>
            <w:tcW w:w="494" w:type="pct"/>
            <w:noWrap/>
            <w:hideMark/>
          </w:tcPr>
          <w:p w14:paraId="123E8B41"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1,904.37</w:t>
            </w:r>
          </w:p>
        </w:tc>
        <w:tc>
          <w:tcPr>
            <w:tcW w:w="430" w:type="pct"/>
            <w:noWrap/>
            <w:hideMark/>
          </w:tcPr>
          <w:p w14:paraId="047101ED"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3,808.75</w:t>
            </w:r>
          </w:p>
        </w:tc>
        <w:tc>
          <w:tcPr>
            <w:tcW w:w="485" w:type="pct"/>
          </w:tcPr>
          <w:p w14:paraId="7E63953F"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5,713.11</w:t>
            </w:r>
          </w:p>
        </w:tc>
      </w:tr>
      <w:tr w:rsidR="00A650B7" w:rsidRPr="00532C20" w14:paraId="584C88EB" w14:textId="77777777" w:rsidTr="005E6484">
        <w:trPr>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2FDB7462"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Poland</w:t>
            </w:r>
          </w:p>
        </w:tc>
        <w:tc>
          <w:tcPr>
            <w:tcW w:w="538" w:type="pct"/>
            <w:noWrap/>
            <w:hideMark/>
          </w:tcPr>
          <w:p w14:paraId="110CAC2C"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85,797.81</w:t>
            </w:r>
          </w:p>
        </w:tc>
        <w:tc>
          <w:tcPr>
            <w:tcW w:w="468" w:type="pct"/>
          </w:tcPr>
          <w:p w14:paraId="2E35BBEC"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12,000</w:t>
            </w:r>
          </w:p>
        </w:tc>
        <w:tc>
          <w:tcPr>
            <w:tcW w:w="670" w:type="pct"/>
          </w:tcPr>
          <w:p w14:paraId="5E771F74"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15%</w:t>
            </w:r>
          </w:p>
        </w:tc>
        <w:tc>
          <w:tcPr>
            <w:tcW w:w="428" w:type="pct"/>
            <w:noWrap/>
            <w:hideMark/>
          </w:tcPr>
          <w:p w14:paraId="1AFE935D"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214.49</w:t>
            </w:r>
          </w:p>
        </w:tc>
        <w:tc>
          <w:tcPr>
            <w:tcW w:w="469" w:type="pct"/>
            <w:noWrap/>
            <w:hideMark/>
          </w:tcPr>
          <w:p w14:paraId="336811AE"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428.99</w:t>
            </w:r>
          </w:p>
        </w:tc>
        <w:tc>
          <w:tcPr>
            <w:tcW w:w="468" w:type="pct"/>
            <w:noWrap/>
            <w:hideMark/>
          </w:tcPr>
          <w:p w14:paraId="3A7B1136"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857.98</w:t>
            </w:r>
          </w:p>
        </w:tc>
        <w:tc>
          <w:tcPr>
            <w:tcW w:w="494" w:type="pct"/>
            <w:noWrap/>
            <w:hideMark/>
          </w:tcPr>
          <w:p w14:paraId="1E5005A8"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1,715.96</w:t>
            </w:r>
          </w:p>
        </w:tc>
        <w:tc>
          <w:tcPr>
            <w:tcW w:w="430" w:type="pct"/>
            <w:noWrap/>
            <w:hideMark/>
          </w:tcPr>
          <w:p w14:paraId="7EF5CAFB"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3,431.91</w:t>
            </w:r>
          </w:p>
        </w:tc>
        <w:tc>
          <w:tcPr>
            <w:tcW w:w="485" w:type="pct"/>
          </w:tcPr>
          <w:p w14:paraId="3678EDEE"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5,147.88</w:t>
            </w:r>
          </w:p>
        </w:tc>
      </w:tr>
      <w:tr w:rsidR="0038116E" w:rsidRPr="00532C20" w14:paraId="78CB7A12" w14:textId="77777777" w:rsidTr="00381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0B2D87D3"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Latvia</w:t>
            </w:r>
          </w:p>
        </w:tc>
        <w:tc>
          <w:tcPr>
            <w:tcW w:w="538" w:type="pct"/>
            <w:noWrap/>
            <w:hideMark/>
          </w:tcPr>
          <w:p w14:paraId="6CC06511"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76,712.33</w:t>
            </w:r>
          </w:p>
        </w:tc>
        <w:tc>
          <w:tcPr>
            <w:tcW w:w="468" w:type="pct"/>
          </w:tcPr>
          <w:p w14:paraId="2BF23EF4"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tcPr>
          <w:p w14:paraId="0765E133"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noWrap/>
            <w:hideMark/>
          </w:tcPr>
          <w:p w14:paraId="6A7D0ABC"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191.78</w:t>
            </w:r>
          </w:p>
        </w:tc>
        <w:tc>
          <w:tcPr>
            <w:tcW w:w="469" w:type="pct"/>
            <w:noWrap/>
            <w:hideMark/>
          </w:tcPr>
          <w:p w14:paraId="5A11CAC0"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383.56</w:t>
            </w:r>
          </w:p>
        </w:tc>
        <w:tc>
          <w:tcPr>
            <w:tcW w:w="468" w:type="pct"/>
            <w:noWrap/>
            <w:hideMark/>
          </w:tcPr>
          <w:p w14:paraId="779C1CA3"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767.12</w:t>
            </w:r>
          </w:p>
        </w:tc>
        <w:tc>
          <w:tcPr>
            <w:tcW w:w="494" w:type="pct"/>
            <w:noWrap/>
            <w:hideMark/>
          </w:tcPr>
          <w:p w14:paraId="3B0380D7"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1,534.25</w:t>
            </w:r>
          </w:p>
        </w:tc>
        <w:tc>
          <w:tcPr>
            <w:tcW w:w="430" w:type="pct"/>
            <w:noWrap/>
            <w:hideMark/>
          </w:tcPr>
          <w:p w14:paraId="10729A0A"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3,068.49</w:t>
            </w:r>
          </w:p>
        </w:tc>
        <w:tc>
          <w:tcPr>
            <w:tcW w:w="485" w:type="pct"/>
          </w:tcPr>
          <w:p w14:paraId="178C349F"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4,602.75</w:t>
            </w:r>
          </w:p>
        </w:tc>
      </w:tr>
      <w:tr w:rsidR="00A650B7" w:rsidRPr="00532C20" w14:paraId="6C191A22" w14:textId="77777777" w:rsidTr="005E6484">
        <w:trPr>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3116FB3A"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Hungary</w:t>
            </w:r>
          </w:p>
        </w:tc>
        <w:tc>
          <w:tcPr>
            <w:tcW w:w="538" w:type="pct"/>
            <w:noWrap/>
            <w:hideMark/>
          </w:tcPr>
          <w:p w14:paraId="59B0AF1E"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68,002.84</w:t>
            </w:r>
          </w:p>
        </w:tc>
        <w:tc>
          <w:tcPr>
            <w:tcW w:w="468" w:type="pct"/>
          </w:tcPr>
          <w:p w14:paraId="6A3B03F0"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tcPr>
          <w:p w14:paraId="7512F98F"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noWrap/>
            <w:hideMark/>
          </w:tcPr>
          <w:p w14:paraId="73FCC7F3"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170.01</w:t>
            </w:r>
          </w:p>
        </w:tc>
        <w:tc>
          <w:tcPr>
            <w:tcW w:w="469" w:type="pct"/>
            <w:noWrap/>
            <w:hideMark/>
          </w:tcPr>
          <w:p w14:paraId="438FAFC9"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340.01</w:t>
            </w:r>
          </w:p>
        </w:tc>
        <w:tc>
          <w:tcPr>
            <w:tcW w:w="468" w:type="pct"/>
            <w:noWrap/>
            <w:hideMark/>
          </w:tcPr>
          <w:p w14:paraId="7A578B42"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680.03</w:t>
            </w:r>
          </w:p>
        </w:tc>
        <w:tc>
          <w:tcPr>
            <w:tcW w:w="494" w:type="pct"/>
            <w:noWrap/>
            <w:hideMark/>
          </w:tcPr>
          <w:p w14:paraId="0B8649A2"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1,360.06</w:t>
            </w:r>
          </w:p>
        </w:tc>
        <w:tc>
          <w:tcPr>
            <w:tcW w:w="430" w:type="pct"/>
            <w:noWrap/>
            <w:hideMark/>
          </w:tcPr>
          <w:p w14:paraId="39C379A2"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2,720.11</w:t>
            </w:r>
          </w:p>
        </w:tc>
        <w:tc>
          <w:tcPr>
            <w:tcW w:w="485" w:type="pct"/>
          </w:tcPr>
          <w:p w14:paraId="1B1E1505"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4,080.18</w:t>
            </w:r>
          </w:p>
        </w:tc>
      </w:tr>
      <w:tr w:rsidR="0038116E" w:rsidRPr="00532C20" w14:paraId="4D91BC15" w14:textId="77777777" w:rsidTr="00381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1A0C88D5"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Greece</w:t>
            </w:r>
          </w:p>
        </w:tc>
        <w:tc>
          <w:tcPr>
            <w:tcW w:w="538" w:type="pct"/>
            <w:noWrap/>
            <w:hideMark/>
          </w:tcPr>
          <w:p w14:paraId="6DEA1E3B"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62,115.38</w:t>
            </w:r>
          </w:p>
        </w:tc>
        <w:tc>
          <w:tcPr>
            <w:tcW w:w="468" w:type="pct"/>
          </w:tcPr>
          <w:p w14:paraId="4996A8E1"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20,000</w:t>
            </w:r>
          </w:p>
        </w:tc>
        <w:tc>
          <w:tcPr>
            <w:tcW w:w="670" w:type="pct"/>
          </w:tcPr>
          <w:p w14:paraId="33D9ABDC"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30%</w:t>
            </w:r>
          </w:p>
        </w:tc>
        <w:tc>
          <w:tcPr>
            <w:tcW w:w="428" w:type="pct"/>
            <w:noWrap/>
            <w:hideMark/>
          </w:tcPr>
          <w:p w14:paraId="40A2F4E2"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155.29</w:t>
            </w:r>
          </w:p>
        </w:tc>
        <w:tc>
          <w:tcPr>
            <w:tcW w:w="469" w:type="pct"/>
            <w:noWrap/>
            <w:hideMark/>
          </w:tcPr>
          <w:p w14:paraId="46995366"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310.58</w:t>
            </w:r>
          </w:p>
        </w:tc>
        <w:tc>
          <w:tcPr>
            <w:tcW w:w="468" w:type="pct"/>
            <w:noWrap/>
            <w:hideMark/>
          </w:tcPr>
          <w:p w14:paraId="03214CF8"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621.15</w:t>
            </w:r>
          </w:p>
        </w:tc>
        <w:tc>
          <w:tcPr>
            <w:tcW w:w="494" w:type="pct"/>
            <w:noWrap/>
            <w:hideMark/>
          </w:tcPr>
          <w:p w14:paraId="2F928290"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1,242.31</w:t>
            </w:r>
          </w:p>
        </w:tc>
        <w:tc>
          <w:tcPr>
            <w:tcW w:w="430" w:type="pct"/>
            <w:noWrap/>
            <w:hideMark/>
          </w:tcPr>
          <w:p w14:paraId="22A79832"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2,484.62</w:t>
            </w:r>
          </w:p>
        </w:tc>
        <w:tc>
          <w:tcPr>
            <w:tcW w:w="485" w:type="pct"/>
          </w:tcPr>
          <w:p w14:paraId="12868464"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3,726.93</w:t>
            </w:r>
          </w:p>
        </w:tc>
      </w:tr>
      <w:tr w:rsidR="00A650B7" w:rsidRPr="00532C20" w14:paraId="0477BAB9" w14:textId="77777777" w:rsidTr="005E6484">
        <w:trPr>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6AE93D9B"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Lithuania</w:t>
            </w:r>
          </w:p>
        </w:tc>
        <w:tc>
          <w:tcPr>
            <w:tcW w:w="538" w:type="pct"/>
            <w:noWrap/>
            <w:hideMark/>
          </w:tcPr>
          <w:p w14:paraId="10ED4432"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57,541.19</w:t>
            </w:r>
          </w:p>
        </w:tc>
        <w:tc>
          <w:tcPr>
            <w:tcW w:w="468" w:type="pct"/>
          </w:tcPr>
          <w:p w14:paraId="795DE064"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4,500</w:t>
            </w:r>
          </w:p>
        </w:tc>
        <w:tc>
          <w:tcPr>
            <w:tcW w:w="670" w:type="pct"/>
          </w:tcPr>
          <w:p w14:paraId="21765F4E"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8%</w:t>
            </w:r>
          </w:p>
        </w:tc>
        <w:tc>
          <w:tcPr>
            <w:tcW w:w="428" w:type="pct"/>
            <w:noWrap/>
            <w:hideMark/>
          </w:tcPr>
          <w:p w14:paraId="5532FA4B"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143.85</w:t>
            </w:r>
          </w:p>
        </w:tc>
        <w:tc>
          <w:tcPr>
            <w:tcW w:w="469" w:type="pct"/>
            <w:noWrap/>
            <w:hideMark/>
          </w:tcPr>
          <w:p w14:paraId="1FB8E99D"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287.71</w:t>
            </w:r>
          </w:p>
        </w:tc>
        <w:tc>
          <w:tcPr>
            <w:tcW w:w="468" w:type="pct"/>
            <w:noWrap/>
            <w:hideMark/>
          </w:tcPr>
          <w:p w14:paraId="13E6E1C3"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575.41</w:t>
            </w:r>
          </w:p>
        </w:tc>
        <w:tc>
          <w:tcPr>
            <w:tcW w:w="494" w:type="pct"/>
            <w:noWrap/>
            <w:hideMark/>
          </w:tcPr>
          <w:p w14:paraId="1B6FB262"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1,150.82</w:t>
            </w:r>
          </w:p>
        </w:tc>
        <w:tc>
          <w:tcPr>
            <w:tcW w:w="430" w:type="pct"/>
            <w:noWrap/>
            <w:hideMark/>
          </w:tcPr>
          <w:p w14:paraId="271B2A73"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2,301.65</w:t>
            </w:r>
          </w:p>
        </w:tc>
        <w:tc>
          <w:tcPr>
            <w:tcW w:w="485" w:type="pct"/>
          </w:tcPr>
          <w:p w14:paraId="5838573E" w14:textId="77777777" w:rsidR="00011445" w:rsidRPr="00532C20" w:rsidRDefault="00011445" w:rsidP="00CD30F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3,452.46</w:t>
            </w:r>
          </w:p>
        </w:tc>
      </w:tr>
      <w:tr w:rsidR="0038116E" w:rsidRPr="00532C20" w14:paraId="76CA125B" w14:textId="77777777" w:rsidTr="00381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noWrap/>
            <w:hideMark/>
          </w:tcPr>
          <w:p w14:paraId="0042EC7B" w14:textId="77777777" w:rsidR="00011445" w:rsidRPr="00532C20" w:rsidRDefault="00011445" w:rsidP="00CD30F1">
            <w:pPr>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Bulgaria</w:t>
            </w:r>
          </w:p>
        </w:tc>
        <w:tc>
          <w:tcPr>
            <w:tcW w:w="538" w:type="pct"/>
            <w:noWrap/>
            <w:hideMark/>
          </w:tcPr>
          <w:p w14:paraId="2276D0AD"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rPr>
            </w:pPr>
            <w:r w:rsidRPr="00532C20">
              <w:rPr>
                <w:rFonts w:ascii="Times New Roman" w:eastAsia="Calibri" w:hAnsi="Times New Roman" w:cs="Times New Roman"/>
                <w:b/>
                <w:bCs/>
                <w:noProof/>
                <w:sz w:val="20"/>
                <w:szCs w:val="20"/>
              </w:rPr>
              <w:t>39,108.91</w:t>
            </w:r>
          </w:p>
        </w:tc>
        <w:tc>
          <w:tcPr>
            <w:tcW w:w="468" w:type="pct"/>
          </w:tcPr>
          <w:p w14:paraId="433033D9"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670" w:type="pct"/>
          </w:tcPr>
          <w:p w14:paraId="2B41DA22"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w:t>
            </w:r>
          </w:p>
        </w:tc>
        <w:tc>
          <w:tcPr>
            <w:tcW w:w="428" w:type="pct"/>
            <w:noWrap/>
            <w:hideMark/>
          </w:tcPr>
          <w:p w14:paraId="185A1D13"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97.77</w:t>
            </w:r>
          </w:p>
        </w:tc>
        <w:tc>
          <w:tcPr>
            <w:tcW w:w="469" w:type="pct"/>
            <w:noWrap/>
            <w:hideMark/>
          </w:tcPr>
          <w:p w14:paraId="541A29C2"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195.54</w:t>
            </w:r>
          </w:p>
        </w:tc>
        <w:tc>
          <w:tcPr>
            <w:tcW w:w="468" w:type="pct"/>
            <w:noWrap/>
            <w:hideMark/>
          </w:tcPr>
          <w:p w14:paraId="0AC0D8BD"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391.09</w:t>
            </w:r>
          </w:p>
        </w:tc>
        <w:tc>
          <w:tcPr>
            <w:tcW w:w="494" w:type="pct"/>
            <w:noWrap/>
            <w:hideMark/>
          </w:tcPr>
          <w:p w14:paraId="2347754C"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782.18</w:t>
            </w:r>
          </w:p>
        </w:tc>
        <w:tc>
          <w:tcPr>
            <w:tcW w:w="430" w:type="pct"/>
            <w:noWrap/>
            <w:hideMark/>
          </w:tcPr>
          <w:p w14:paraId="076BA5A7"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1,564.36</w:t>
            </w:r>
          </w:p>
        </w:tc>
        <w:tc>
          <w:tcPr>
            <w:tcW w:w="485" w:type="pct"/>
          </w:tcPr>
          <w:p w14:paraId="47BE9E42" w14:textId="77777777" w:rsidR="00011445" w:rsidRPr="00532C20" w:rsidRDefault="00011445" w:rsidP="00CD30F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532C20">
              <w:rPr>
                <w:rFonts w:ascii="Times New Roman" w:eastAsia="Calibri" w:hAnsi="Times New Roman" w:cs="Times New Roman"/>
                <w:noProof/>
                <w:sz w:val="20"/>
                <w:szCs w:val="20"/>
              </w:rPr>
              <w:t>2,346.54</w:t>
            </w:r>
          </w:p>
        </w:tc>
      </w:tr>
    </w:tbl>
    <w:p w14:paraId="3143E433" w14:textId="77777777" w:rsidR="001219CC" w:rsidRPr="00532C20" w:rsidRDefault="001219CC" w:rsidP="00630852">
      <w:pPr>
        <w:pStyle w:val="ListParagraph"/>
        <w:numPr>
          <w:ilvl w:val="0"/>
          <w:numId w:val="79"/>
        </w:numPr>
        <w:rPr>
          <w:rFonts w:ascii="Times New Roman" w:hAnsi="Times New Roman" w:cs="Times New Roman"/>
          <w:b/>
          <w:bCs/>
          <w:noProof/>
          <w:u w:val="single"/>
          <w:lang w:val="en-IE"/>
        </w:rPr>
        <w:sectPr w:rsidR="001219CC" w:rsidRPr="00532C20" w:rsidSect="00195B53">
          <w:headerReference w:type="even" r:id="rId81"/>
          <w:headerReference w:type="default" r:id="rId82"/>
          <w:footerReference w:type="even" r:id="rId83"/>
          <w:footerReference w:type="default" r:id="rId84"/>
          <w:headerReference w:type="first" r:id="rId85"/>
          <w:footerReference w:type="first" r:id="rId86"/>
          <w:pgSz w:w="16838" w:h="11906" w:orient="landscape"/>
          <w:pgMar w:top="1588" w:right="1021" w:bottom="1701" w:left="1021" w:header="709" w:footer="709" w:gutter="0"/>
          <w:cols w:space="720"/>
          <w:titlePg/>
          <w:docGrid w:linePitch="299"/>
        </w:sectPr>
      </w:pPr>
    </w:p>
    <w:p w14:paraId="27455C3A" w14:textId="2237FB63" w:rsidR="00F107AD" w:rsidRPr="00532C20" w:rsidRDefault="00C76DD3" w:rsidP="00630852">
      <w:pPr>
        <w:pStyle w:val="ListParagraph"/>
        <w:numPr>
          <w:ilvl w:val="0"/>
          <w:numId w:val="79"/>
        </w:numPr>
        <w:rPr>
          <w:b/>
          <w:bCs/>
          <w:noProof/>
          <w:u w:val="single"/>
        </w:rPr>
      </w:pPr>
      <w:r w:rsidRPr="00532C20">
        <w:rPr>
          <w:rFonts w:ascii="Times New Roman" w:hAnsi="Times New Roman" w:cs="Times New Roman"/>
          <w:b/>
          <w:bCs/>
          <w:noProof/>
          <w:u w:val="single"/>
          <w:lang w:val="en-IE"/>
        </w:rPr>
        <w:t>Thres</w:t>
      </w:r>
      <w:r w:rsidRPr="00532C20">
        <w:rPr>
          <w:b/>
          <w:bCs/>
          <w:noProof/>
          <w:u w:val="single"/>
        </w:rPr>
        <w:t>holds for information</w:t>
      </w:r>
      <w:r w:rsidR="00F107AD" w:rsidRPr="00532C20">
        <w:rPr>
          <w:rFonts w:ascii="Times New Roman" w:hAnsi="Times New Roman" w:cs="Times New Roman"/>
          <w:b/>
          <w:bCs/>
          <w:noProof/>
          <w:u w:val="single"/>
          <w:lang w:val="en-IE"/>
        </w:rPr>
        <w:t xml:space="preserve"> requests</w:t>
      </w:r>
    </w:p>
    <w:p w14:paraId="10AD2543" w14:textId="77777777" w:rsidR="00630852" w:rsidRPr="00532C20" w:rsidRDefault="00630852" w:rsidP="00630852">
      <w:pPr>
        <w:pStyle w:val="ListParagraph"/>
        <w:ind w:left="360"/>
        <w:rPr>
          <w:rFonts w:ascii="Times New Roman" w:hAnsi="Times New Roman" w:cs="Times New Roman"/>
          <w:b/>
          <w:bCs/>
          <w:noProof/>
          <w:u w:val="single"/>
          <w:lang w:val="en-IE"/>
        </w:rPr>
      </w:pPr>
    </w:p>
    <w:p w14:paraId="6AA081A5" w14:textId="2BB4BE3B" w:rsidR="00040DF9" w:rsidRPr="00532C20" w:rsidRDefault="00F664C0" w:rsidP="004B0958">
      <w:pPr>
        <w:spacing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As part of the risk-based approach set forth in the </w:t>
      </w:r>
      <w:r w:rsidR="00E0660C" w:rsidRPr="00532C20">
        <w:rPr>
          <w:rFonts w:ascii="Times New Roman" w:eastAsia="Times" w:hAnsi="Times New Roman" w:cs="Times New Roman"/>
          <w:noProof/>
          <w:sz w:val="24"/>
          <w:szCs w:val="24"/>
          <w:lang w:val="en-IE"/>
        </w:rPr>
        <w:t xml:space="preserve">preferred </w:t>
      </w:r>
      <w:r w:rsidRPr="00532C20">
        <w:rPr>
          <w:rFonts w:ascii="Times New Roman" w:eastAsia="Times" w:hAnsi="Times New Roman" w:cs="Times New Roman"/>
          <w:noProof/>
          <w:sz w:val="24"/>
          <w:szCs w:val="24"/>
          <w:lang w:val="en-IE"/>
        </w:rPr>
        <w:t xml:space="preserve">policy option, thresholds are </w:t>
      </w:r>
      <w:r w:rsidR="009552D1" w:rsidRPr="00532C20">
        <w:rPr>
          <w:rFonts w:ascii="Times New Roman" w:eastAsia="Times" w:hAnsi="Times New Roman" w:cs="Times New Roman"/>
          <w:noProof/>
          <w:sz w:val="24"/>
          <w:szCs w:val="24"/>
          <w:lang w:val="en-IE"/>
        </w:rPr>
        <w:t xml:space="preserve">proposed in order to allow </w:t>
      </w:r>
      <w:r w:rsidR="00842C91" w:rsidRPr="00532C20">
        <w:rPr>
          <w:rFonts w:ascii="Times New Roman" w:eastAsia="Times" w:hAnsi="Times New Roman" w:cs="Times New Roman"/>
          <w:noProof/>
          <w:sz w:val="24"/>
          <w:szCs w:val="24"/>
          <w:lang w:val="en-IE"/>
        </w:rPr>
        <w:t>supervisory authorities to</w:t>
      </w:r>
      <w:r w:rsidR="003318B9" w:rsidRPr="00532C20">
        <w:rPr>
          <w:rFonts w:ascii="Times New Roman" w:eastAsia="Times" w:hAnsi="Times New Roman" w:cs="Times New Roman"/>
          <w:noProof/>
          <w:sz w:val="24"/>
          <w:szCs w:val="24"/>
          <w:lang w:val="en-IE"/>
        </w:rPr>
        <w:t xml:space="preserve"> request records kept by entities carrying out interest representation activities on behalf of third countries</w:t>
      </w:r>
      <w:r w:rsidR="00D027E4" w:rsidRPr="00532C20">
        <w:rPr>
          <w:rFonts w:ascii="Times New Roman" w:eastAsia="Times" w:hAnsi="Times New Roman" w:cs="Times New Roman"/>
          <w:noProof/>
          <w:sz w:val="24"/>
          <w:szCs w:val="24"/>
          <w:lang w:val="en-IE"/>
        </w:rPr>
        <w:t xml:space="preserve">. </w:t>
      </w:r>
    </w:p>
    <w:p w14:paraId="2FAE0DAC" w14:textId="77777777" w:rsidR="00040DF9" w:rsidRPr="00532C20" w:rsidRDefault="00D027E4" w:rsidP="004B0958">
      <w:pPr>
        <w:spacing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The thresholds are as follows: </w:t>
      </w:r>
    </w:p>
    <w:p w14:paraId="15C40AA5" w14:textId="23D980EF" w:rsidR="00040DF9" w:rsidRPr="00532C20" w:rsidRDefault="003F7CF2">
      <w:pPr>
        <w:pStyle w:val="ListParagraph"/>
        <w:numPr>
          <w:ilvl w:val="0"/>
          <w:numId w:val="47"/>
        </w:numPr>
        <w:spacing w:after="160"/>
        <w:jc w:val="both"/>
        <w:rPr>
          <w:rFonts w:ascii="Times New Roman" w:hAnsi="Times New Roman" w:cs="Times New Roman"/>
          <w:noProof/>
          <w:lang w:val="en-IE"/>
        </w:rPr>
      </w:pPr>
      <w:r w:rsidRPr="00532C20">
        <w:rPr>
          <w:rFonts w:ascii="Times New Roman" w:hAnsi="Times New Roman" w:cs="Times New Roman"/>
          <w:noProof/>
          <w:lang w:val="en-IE"/>
        </w:rPr>
        <w:t xml:space="preserve">The first threshold </w:t>
      </w:r>
      <w:r w:rsidR="004E773B" w:rsidRPr="00532C20">
        <w:rPr>
          <w:rFonts w:ascii="Times New Roman" w:hAnsi="Times New Roman" w:cs="Times New Roman"/>
          <w:noProof/>
          <w:lang w:val="en-IE"/>
        </w:rPr>
        <w:t>sets that s</w:t>
      </w:r>
      <w:r w:rsidR="00D027E4" w:rsidRPr="00532C20">
        <w:rPr>
          <w:rFonts w:ascii="Times New Roman" w:hAnsi="Times New Roman" w:cs="Times New Roman"/>
          <w:noProof/>
          <w:lang w:val="en-IE"/>
        </w:rPr>
        <w:t xml:space="preserve">upervisory authorities </w:t>
      </w:r>
      <w:r w:rsidR="00EC18AB" w:rsidRPr="00532C20">
        <w:rPr>
          <w:rFonts w:ascii="Times New Roman" w:hAnsi="Times New Roman" w:cs="Times New Roman"/>
          <w:noProof/>
          <w:lang w:val="en-IE"/>
        </w:rPr>
        <w:t>will</w:t>
      </w:r>
      <w:r w:rsidR="00D027E4" w:rsidRPr="00532C20">
        <w:rPr>
          <w:rFonts w:ascii="Times New Roman" w:hAnsi="Times New Roman" w:cs="Times New Roman"/>
          <w:noProof/>
          <w:lang w:val="en-IE"/>
        </w:rPr>
        <w:t xml:space="preserve"> be able to request information </w:t>
      </w:r>
      <w:r w:rsidR="00F828CD" w:rsidRPr="00532C20">
        <w:rPr>
          <w:rFonts w:ascii="Times New Roman" w:hAnsi="Times New Roman" w:cs="Times New Roman"/>
          <w:noProof/>
          <w:lang w:val="en-IE"/>
        </w:rPr>
        <w:t xml:space="preserve">to an entity </w:t>
      </w:r>
      <w:r w:rsidR="00040DF9" w:rsidRPr="00532C20">
        <w:rPr>
          <w:rFonts w:ascii="Times New Roman" w:hAnsi="Times New Roman" w:cs="Times New Roman"/>
          <w:noProof/>
          <w:lang w:val="en-IE"/>
        </w:rPr>
        <w:t xml:space="preserve">if </w:t>
      </w:r>
      <w:r w:rsidR="00F828CD" w:rsidRPr="00532C20">
        <w:rPr>
          <w:rFonts w:ascii="Times New Roman" w:hAnsi="Times New Roman" w:cs="Times New Roman"/>
          <w:noProof/>
          <w:lang w:val="en-IE"/>
        </w:rPr>
        <w:t xml:space="preserve">it received more than EUR 1 000 000 from a single third country entity in the </w:t>
      </w:r>
      <w:r w:rsidR="00C21182" w:rsidRPr="00532C20">
        <w:rPr>
          <w:rFonts w:ascii="Times New Roman" w:hAnsi="Times New Roman" w:cs="Times New Roman"/>
          <w:noProof/>
          <w:lang w:val="en-IE"/>
        </w:rPr>
        <w:t>preceding</w:t>
      </w:r>
      <w:r w:rsidR="00F828CD" w:rsidRPr="00532C20">
        <w:rPr>
          <w:rFonts w:ascii="Times New Roman" w:hAnsi="Times New Roman" w:cs="Times New Roman"/>
          <w:noProof/>
          <w:lang w:val="en-IE"/>
        </w:rPr>
        <w:t xml:space="preserve"> financial year</w:t>
      </w:r>
      <w:r w:rsidR="002036B7" w:rsidRPr="00532C20">
        <w:rPr>
          <w:rFonts w:ascii="Times New Roman" w:hAnsi="Times New Roman" w:cs="Times New Roman"/>
          <w:noProof/>
          <w:lang w:val="en-IE"/>
        </w:rPr>
        <w:t>.</w:t>
      </w:r>
    </w:p>
    <w:p w14:paraId="58F7AB44" w14:textId="7C23913C" w:rsidR="00EC18AB" w:rsidRPr="00532C20" w:rsidRDefault="004E773B">
      <w:pPr>
        <w:pStyle w:val="ListParagraph"/>
        <w:numPr>
          <w:ilvl w:val="0"/>
          <w:numId w:val="47"/>
        </w:numPr>
        <w:spacing w:after="160"/>
        <w:jc w:val="both"/>
        <w:rPr>
          <w:rFonts w:ascii="Times New Roman" w:hAnsi="Times New Roman" w:cs="Times New Roman"/>
          <w:noProof/>
          <w:lang w:val="en-IE"/>
        </w:rPr>
      </w:pPr>
      <w:r w:rsidRPr="00532C20">
        <w:rPr>
          <w:rFonts w:ascii="Times New Roman" w:hAnsi="Times New Roman" w:cs="Times New Roman"/>
          <w:noProof/>
          <w:lang w:val="en-IE"/>
        </w:rPr>
        <w:t xml:space="preserve">The second thresholds establish that </w:t>
      </w:r>
      <w:r w:rsidR="00040DF9" w:rsidRPr="00532C20">
        <w:rPr>
          <w:rFonts w:ascii="Times New Roman" w:hAnsi="Times New Roman" w:cs="Times New Roman"/>
          <w:noProof/>
          <w:lang w:val="en-IE"/>
        </w:rPr>
        <w:t xml:space="preserve">Supervisory authorities will be able to request information to an entity if </w:t>
      </w:r>
      <w:r w:rsidR="00EC18AB" w:rsidRPr="00532C20">
        <w:rPr>
          <w:rFonts w:ascii="Times New Roman" w:hAnsi="Times New Roman" w:cs="Times New Roman"/>
          <w:noProof/>
          <w:lang w:val="en-IE"/>
        </w:rPr>
        <w:t>it carries</w:t>
      </w:r>
      <w:r w:rsidR="00E13A7D" w:rsidRPr="00532C20">
        <w:rPr>
          <w:rFonts w:ascii="Times New Roman" w:hAnsi="Times New Roman" w:cs="Times New Roman"/>
          <w:noProof/>
          <w:lang w:val="en-IE"/>
        </w:rPr>
        <w:t xml:space="preserve"> out interest representation activities for a third country entity whose action can be attributed to a third country that has spent a EUR 1 500 000 on interest representation in a Member State or EUR 8 500 000 in the </w:t>
      </w:r>
      <w:r w:rsidR="00E01AB8">
        <w:rPr>
          <w:rFonts w:ascii="Times New Roman" w:hAnsi="Times New Roman" w:cs="Times New Roman"/>
          <w:noProof/>
          <w:lang w:val="en-IE"/>
        </w:rPr>
        <w:t>Union</w:t>
      </w:r>
      <w:r w:rsidR="00E01AB8" w:rsidRPr="00532C20">
        <w:rPr>
          <w:rFonts w:ascii="Times New Roman" w:hAnsi="Times New Roman" w:cs="Times New Roman"/>
          <w:noProof/>
          <w:lang w:val="en-IE"/>
        </w:rPr>
        <w:t xml:space="preserve"> </w:t>
      </w:r>
      <w:r w:rsidR="00E13A7D" w:rsidRPr="00532C20">
        <w:rPr>
          <w:rFonts w:ascii="Times New Roman" w:hAnsi="Times New Roman" w:cs="Times New Roman"/>
          <w:noProof/>
          <w:lang w:val="en-IE"/>
        </w:rPr>
        <w:t xml:space="preserve">as a whole in </w:t>
      </w:r>
      <w:r w:rsidR="00026DB1" w:rsidRPr="00532C20">
        <w:rPr>
          <w:rFonts w:ascii="Times New Roman" w:hAnsi="Times New Roman" w:cs="Times New Roman"/>
          <w:noProof/>
          <w:lang w:val="en-IE"/>
        </w:rPr>
        <w:t>1</w:t>
      </w:r>
      <w:r w:rsidR="00A90D63" w:rsidRPr="00532C20">
        <w:rPr>
          <w:rFonts w:ascii="Times New Roman" w:hAnsi="Times New Roman" w:cs="Times New Roman"/>
          <w:noProof/>
          <w:lang w:val="en-IE"/>
        </w:rPr>
        <w:t xml:space="preserve"> </w:t>
      </w:r>
      <w:r w:rsidR="00E13A7D" w:rsidRPr="00532C20">
        <w:rPr>
          <w:rFonts w:ascii="Times New Roman" w:hAnsi="Times New Roman" w:cs="Times New Roman"/>
          <w:noProof/>
          <w:lang w:val="en-IE"/>
        </w:rPr>
        <w:t>of the last 5 years</w:t>
      </w:r>
      <w:r w:rsidR="002036B7" w:rsidRPr="00532C20">
        <w:rPr>
          <w:rFonts w:ascii="Times New Roman" w:hAnsi="Times New Roman" w:cs="Times New Roman"/>
          <w:noProof/>
          <w:lang w:val="en-IE"/>
        </w:rPr>
        <w:t>.</w:t>
      </w:r>
    </w:p>
    <w:p w14:paraId="7DEC0D2C" w14:textId="0FB64E6C" w:rsidR="00C76DD3" w:rsidRPr="00532C20" w:rsidRDefault="004E773B">
      <w:pPr>
        <w:pStyle w:val="ListParagraph"/>
        <w:numPr>
          <w:ilvl w:val="0"/>
          <w:numId w:val="47"/>
        </w:numPr>
        <w:spacing w:after="160"/>
        <w:jc w:val="both"/>
        <w:rPr>
          <w:rFonts w:ascii="Times New Roman" w:hAnsi="Times New Roman" w:cs="Times New Roman"/>
          <w:noProof/>
          <w:lang w:val="en-IE"/>
        </w:rPr>
      </w:pPr>
      <w:r w:rsidRPr="00532C20">
        <w:rPr>
          <w:rFonts w:ascii="Times New Roman" w:hAnsi="Times New Roman" w:cs="Times New Roman"/>
          <w:noProof/>
          <w:lang w:val="en-IE"/>
        </w:rPr>
        <w:t xml:space="preserve">The third threshold is a </w:t>
      </w:r>
      <w:r w:rsidR="00EC18AB" w:rsidRPr="00532C20">
        <w:rPr>
          <w:rFonts w:ascii="Times New Roman" w:hAnsi="Times New Roman" w:cs="Times New Roman"/>
          <w:i/>
          <w:noProof/>
          <w:lang w:val="en-IE"/>
        </w:rPr>
        <w:t>d</w:t>
      </w:r>
      <w:r w:rsidR="00E13A7D" w:rsidRPr="00532C20">
        <w:rPr>
          <w:rFonts w:ascii="Times New Roman" w:hAnsi="Times New Roman" w:cs="Times New Roman"/>
          <w:i/>
          <w:noProof/>
          <w:lang w:val="en-IE"/>
        </w:rPr>
        <w:t>e minimis</w:t>
      </w:r>
      <w:r w:rsidR="00E13A7D" w:rsidRPr="00532C20">
        <w:rPr>
          <w:rFonts w:ascii="Times New Roman" w:hAnsi="Times New Roman" w:cs="Times New Roman"/>
          <w:noProof/>
          <w:lang w:val="en-IE"/>
        </w:rPr>
        <w:t xml:space="preserve"> </w:t>
      </w:r>
      <w:r w:rsidR="00EC18AB" w:rsidRPr="00532C20">
        <w:rPr>
          <w:rFonts w:ascii="Times New Roman" w:hAnsi="Times New Roman" w:cs="Times New Roman"/>
          <w:noProof/>
          <w:lang w:val="en-IE"/>
        </w:rPr>
        <w:t xml:space="preserve">to exclude </w:t>
      </w:r>
      <w:r w:rsidR="00F923DB" w:rsidRPr="00532C20">
        <w:rPr>
          <w:rFonts w:ascii="Times New Roman" w:hAnsi="Times New Roman" w:cs="Times New Roman"/>
          <w:noProof/>
          <w:lang w:val="en-IE"/>
        </w:rPr>
        <w:t>e</w:t>
      </w:r>
      <w:r w:rsidR="00EC18AB" w:rsidRPr="00532C20">
        <w:rPr>
          <w:rFonts w:ascii="Times New Roman" w:hAnsi="Times New Roman" w:cs="Times New Roman"/>
          <w:noProof/>
          <w:lang w:val="en-IE"/>
        </w:rPr>
        <w:t xml:space="preserve">ntities </w:t>
      </w:r>
      <w:r w:rsidR="00040DF9" w:rsidRPr="00532C20">
        <w:rPr>
          <w:rFonts w:ascii="Times New Roman" w:hAnsi="Times New Roman" w:cs="Times New Roman"/>
          <w:noProof/>
          <w:lang w:val="en-IE"/>
        </w:rPr>
        <w:t xml:space="preserve">that received an aggregate remuneration of less than EUR 25 000 in the preceding financial year. </w:t>
      </w:r>
    </w:p>
    <w:p w14:paraId="41B6F43D" w14:textId="7B87ACCB" w:rsidR="00B379B7" w:rsidRPr="00532C20" w:rsidRDefault="004E5528" w:rsidP="004B0958">
      <w:pPr>
        <w:spacing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The figures </w:t>
      </w:r>
      <w:r w:rsidR="008C6CAD" w:rsidRPr="00532C20">
        <w:rPr>
          <w:rFonts w:ascii="Times New Roman" w:eastAsia="Times" w:hAnsi="Times New Roman" w:cs="Times New Roman"/>
          <w:noProof/>
          <w:sz w:val="24"/>
          <w:szCs w:val="24"/>
          <w:lang w:val="en-IE"/>
        </w:rPr>
        <w:t>for the</w:t>
      </w:r>
      <w:r w:rsidR="008C6CAD" w:rsidRPr="00532C20">
        <w:rPr>
          <w:rFonts w:ascii="Times New Roman" w:eastAsia="Times" w:hAnsi="Times New Roman" w:cs="Times New Roman"/>
          <w:b/>
          <w:noProof/>
          <w:sz w:val="24"/>
          <w:szCs w:val="24"/>
          <w:lang w:val="en-IE"/>
        </w:rPr>
        <w:t xml:space="preserve"> first and third thresholds</w:t>
      </w:r>
      <w:r w:rsidR="008C6CAD" w:rsidRPr="00532C20">
        <w:rPr>
          <w:rFonts w:ascii="Times New Roman" w:eastAsia="Times" w:hAnsi="Times New Roman" w:cs="Times New Roman"/>
          <w:noProof/>
          <w:sz w:val="24"/>
          <w:szCs w:val="24"/>
          <w:lang w:val="en-IE"/>
        </w:rPr>
        <w:t xml:space="preserve"> are</w:t>
      </w:r>
      <w:r w:rsidRPr="00532C20">
        <w:rPr>
          <w:rFonts w:ascii="Times New Roman" w:eastAsia="Times" w:hAnsi="Times New Roman" w:cs="Times New Roman"/>
          <w:noProof/>
          <w:sz w:val="24"/>
          <w:szCs w:val="24"/>
          <w:lang w:val="en-IE"/>
        </w:rPr>
        <w:t xml:space="preserve"> based on the </w:t>
      </w:r>
      <w:r w:rsidR="0014715B" w:rsidRPr="00532C20">
        <w:rPr>
          <w:rFonts w:ascii="Times New Roman" w:eastAsia="Times" w:hAnsi="Times New Roman" w:cs="Times New Roman"/>
          <w:noProof/>
          <w:sz w:val="24"/>
          <w:szCs w:val="24"/>
          <w:lang w:val="en-IE"/>
        </w:rPr>
        <w:t xml:space="preserve">data coming from </w:t>
      </w:r>
      <w:r w:rsidR="00EE7CBD" w:rsidRPr="00532C20">
        <w:rPr>
          <w:rFonts w:ascii="Times New Roman" w:eastAsia="Times" w:hAnsi="Times New Roman" w:cs="Times New Roman"/>
          <w:noProof/>
          <w:sz w:val="24"/>
          <w:szCs w:val="24"/>
          <w:lang w:val="en-IE"/>
        </w:rPr>
        <w:t xml:space="preserve">the </w:t>
      </w:r>
      <w:r w:rsidR="00F107AD" w:rsidRPr="00532C20">
        <w:rPr>
          <w:rFonts w:ascii="Times New Roman" w:eastAsia="Times" w:hAnsi="Times New Roman" w:cs="Times New Roman"/>
          <w:noProof/>
          <w:sz w:val="24"/>
          <w:szCs w:val="24"/>
          <w:lang w:val="en-IE"/>
        </w:rPr>
        <w:t xml:space="preserve">annual costs for entities in the EU Transparency Register (EU TR) whose head office is located outside the </w:t>
      </w:r>
      <w:r w:rsidR="00673CD3">
        <w:rPr>
          <w:rFonts w:ascii="Times New Roman" w:eastAsia="Times" w:hAnsi="Times New Roman" w:cs="Times New Roman"/>
          <w:noProof/>
          <w:sz w:val="24"/>
          <w:szCs w:val="24"/>
          <w:lang w:val="en-IE"/>
        </w:rPr>
        <w:t>Union</w:t>
      </w:r>
      <w:r w:rsidR="00673CD3" w:rsidRPr="00532C20">
        <w:rPr>
          <w:rFonts w:ascii="Times New Roman" w:eastAsia="Times" w:hAnsi="Times New Roman" w:cs="Times New Roman"/>
          <w:noProof/>
          <w:sz w:val="24"/>
          <w:szCs w:val="24"/>
          <w:lang w:val="en-IE"/>
        </w:rPr>
        <w:t xml:space="preserve"> </w:t>
      </w:r>
      <w:r w:rsidR="00F107AD" w:rsidRPr="00532C20">
        <w:rPr>
          <w:rFonts w:ascii="Times New Roman" w:eastAsia="Times" w:hAnsi="Times New Roman" w:cs="Times New Roman"/>
          <w:noProof/>
          <w:sz w:val="24"/>
          <w:szCs w:val="24"/>
          <w:lang w:val="en-IE"/>
        </w:rPr>
        <w:t>and who “Promote their own or collective interests”. Limitations in the data of the EU TR did not permit to provide further detail, e.g. per sector or policy area.</w:t>
      </w:r>
      <w:r w:rsidR="005E67F8" w:rsidRPr="00532C20">
        <w:rPr>
          <w:rFonts w:ascii="Times New Roman" w:eastAsia="Times" w:hAnsi="Times New Roman" w:cs="Times New Roman"/>
          <w:noProof/>
          <w:sz w:val="24"/>
          <w:szCs w:val="24"/>
          <w:lang w:val="en-IE"/>
        </w:rPr>
        <w:t xml:space="preserve"> </w:t>
      </w:r>
      <w:r w:rsidR="005E331D" w:rsidRPr="00532C20">
        <w:rPr>
          <w:rFonts w:ascii="Times New Roman" w:eastAsia="Times" w:hAnsi="Times New Roman" w:cs="Times New Roman"/>
          <w:noProof/>
          <w:sz w:val="24"/>
          <w:szCs w:val="24"/>
          <w:lang w:val="en-IE"/>
        </w:rPr>
        <w:t xml:space="preserve">As detailed </w:t>
      </w:r>
      <w:r w:rsidR="00AA3527" w:rsidRPr="00532C20">
        <w:rPr>
          <w:rFonts w:ascii="Times New Roman" w:eastAsia="Times" w:hAnsi="Times New Roman" w:cs="Times New Roman"/>
          <w:noProof/>
          <w:sz w:val="24"/>
          <w:szCs w:val="24"/>
          <w:lang w:val="en-IE"/>
        </w:rPr>
        <w:t xml:space="preserve">in the table </w:t>
      </w:r>
      <w:r w:rsidR="005E331D" w:rsidRPr="00532C20">
        <w:rPr>
          <w:rFonts w:ascii="Times New Roman" w:eastAsia="Times" w:hAnsi="Times New Roman" w:cs="Times New Roman"/>
          <w:noProof/>
          <w:sz w:val="24"/>
          <w:szCs w:val="24"/>
          <w:lang w:val="en-IE"/>
        </w:rPr>
        <w:t>below, t</w:t>
      </w:r>
      <w:r w:rsidR="005E67F8" w:rsidRPr="00532C20">
        <w:rPr>
          <w:rFonts w:ascii="Times New Roman" w:eastAsia="Times" w:hAnsi="Times New Roman" w:cs="Times New Roman"/>
          <w:noProof/>
          <w:sz w:val="24"/>
          <w:szCs w:val="24"/>
          <w:lang w:val="en-IE"/>
        </w:rPr>
        <w:t xml:space="preserve">he </w:t>
      </w:r>
      <w:r w:rsidR="00C44590" w:rsidRPr="00532C20">
        <w:rPr>
          <w:rFonts w:ascii="Times New Roman" w:eastAsia="Times" w:hAnsi="Times New Roman" w:cs="Times New Roman"/>
          <w:noProof/>
          <w:sz w:val="24"/>
          <w:szCs w:val="24"/>
          <w:lang w:val="en-IE"/>
        </w:rPr>
        <w:t>first threshold</w:t>
      </w:r>
      <w:r w:rsidR="00067063" w:rsidRPr="00532C20">
        <w:rPr>
          <w:rFonts w:ascii="Times New Roman" w:eastAsia="Times" w:hAnsi="Times New Roman" w:cs="Times New Roman"/>
          <w:noProof/>
          <w:sz w:val="24"/>
          <w:szCs w:val="24"/>
          <w:lang w:val="en-IE"/>
        </w:rPr>
        <w:t>,</w:t>
      </w:r>
      <w:r w:rsidR="00C44590" w:rsidRPr="00532C20">
        <w:rPr>
          <w:rFonts w:ascii="Times New Roman" w:eastAsia="Times" w:hAnsi="Times New Roman" w:cs="Times New Roman"/>
          <w:noProof/>
          <w:sz w:val="24"/>
          <w:szCs w:val="24"/>
          <w:lang w:val="en-IE"/>
        </w:rPr>
        <w:t xml:space="preserve"> at EUR 1 000 000</w:t>
      </w:r>
      <w:r w:rsidR="00067063" w:rsidRPr="00532C20">
        <w:rPr>
          <w:rFonts w:ascii="Times New Roman" w:eastAsia="Times" w:hAnsi="Times New Roman" w:cs="Times New Roman"/>
          <w:noProof/>
          <w:sz w:val="24"/>
          <w:szCs w:val="24"/>
          <w:lang w:val="en-IE"/>
        </w:rPr>
        <w:t>,</w:t>
      </w:r>
      <w:r w:rsidR="00C44590" w:rsidRPr="00532C20">
        <w:rPr>
          <w:rFonts w:ascii="Times New Roman" w:eastAsia="Times" w:hAnsi="Times New Roman" w:cs="Times New Roman"/>
          <w:noProof/>
          <w:sz w:val="24"/>
          <w:szCs w:val="24"/>
          <w:lang w:val="en-IE"/>
        </w:rPr>
        <w:t xml:space="preserve"> permits to cover the top </w:t>
      </w:r>
      <w:r w:rsidR="00AA3527" w:rsidRPr="00532C20">
        <w:rPr>
          <w:rFonts w:ascii="Times New Roman" w:eastAsia="Times" w:hAnsi="Times New Roman" w:cs="Times New Roman"/>
          <w:noProof/>
          <w:sz w:val="24"/>
          <w:szCs w:val="24"/>
          <w:lang w:val="en-IE"/>
        </w:rPr>
        <w:t>3.58</w:t>
      </w:r>
      <w:r w:rsidR="00C44590" w:rsidRPr="00532C20">
        <w:rPr>
          <w:rFonts w:ascii="Times New Roman" w:eastAsia="Times" w:hAnsi="Times New Roman" w:cs="Times New Roman"/>
          <w:noProof/>
          <w:sz w:val="24"/>
          <w:szCs w:val="24"/>
          <w:lang w:val="en-IE"/>
        </w:rPr>
        <w:t>% largest entities</w:t>
      </w:r>
      <w:r w:rsidR="003B176A" w:rsidRPr="00532C20">
        <w:rPr>
          <w:rFonts w:ascii="Times New Roman" w:eastAsia="Times" w:hAnsi="Times New Roman" w:cs="Times New Roman"/>
          <w:noProof/>
          <w:sz w:val="24"/>
          <w:szCs w:val="24"/>
          <w:lang w:val="en-IE"/>
        </w:rPr>
        <w:t xml:space="preserve"> with enhanced </w:t>
      </w:r>
      <w:r w:rsidR="00AA3527" w:rsidRPr="00532C20">
        <w:rPr>
          <w:rFonts w:ascii="Times New Roman" w:eastAsia="Times" w:hAnsi="Times New Roman" w:cs="Times New Roman"/>
          <w:noProof/>
          <w:sz w:val="24"/>
          <w:szCs w:val="24"/>
          <w:lang w:val="en-IE"/>
        </w:rPr>
        <w:t>information disclosure</w:t>
      </w:r>
      <w:r w:rsidR="003B176A" w:rsidRPr="00532C20">
        <w:rPr>
          <w:rFonts w:ascii="Times New Roman" w:eastAsia="Times" w:hAnsi="Times New Roman" w:cs="Times New Roman"/>
          <w:noProof/>
          <w:sz w:val="24"/>
          <w:szCs w:val="24"/>
          <w:lang w:val="en-IE"/>
        </w:rPr>
        <w:t xml:space="preserve"> requirements</w:t>
      </w:r>
      <w:r w:rsidR="00B76693" w:rsidRPr="00532C20">
        <w:rPr>
          <w:rFonts w:ascii="Times New Roman" w:eastAsia="Times" w:hAnsi="Times New Roman" w:cs="Times New Roman"/>
          <w:noProof/>
          <w:sz w:val="24"/>
          <w:szCs w:val="24"/>
          <w:lang w:val="en-IE"/>
        </w:rPr>
        <w:t xml:space="preserve"> (see below highlighted in green)</w:t>
      </w:r>
      <w:r w:rsidR="00F923DB" w:rsidRPr="00532C20">
        <w:rPr>
          <w:rFonts w:ascii="Times New Roman" w:eastAsia="Times" w:hAnsi="Times New Roman" w:cs="Times New Roman"/>
          <w:noProof/>
          <w:sz w:val="24"/>
          <w:szCs w:val="24"/>
          <w:lang w:val="en-IE"/>
        </w:rPr>
        <w:t>.</w:t>
      </w:r>
      <w:r w:rsidR="005E331D" w:rsidRPr="00532C20">
        <w:rPr>
          <w:rFonts w:ascii="Times New Roman" w:eastAsia="Times" w:hAnsi="Times New Roman" w:cs="Times New Roman"/>
          <w:noProof/>
          <w:sz w:val="24"/>
          <w:szCs w:val="24"/>
          <w:lang w:val="en-IE"/>
        </w:rPr>
        <w:t xml:space="preserve"> </w:t>
      </w:r>
      <w:r w:rsidR="00F923DB" w:rsidRPr="00532C20">
        <w:rPr>
          <w:rFonts w:ascii="Times New Roman" w:eastAsia="Times" w:hAnsi="Times New Roman" w:cs="Times New Roman"/>
          <w:noProof/>
          <w:sz w:val="24"/>
          <w:szCs w:val="24"/>
          <w:lang w:val="en-IE"/>
        </w:rPr>
        <w:t>The third</w:t>
      </w:r>
      <w:r w:rsidR="005E331D" w:rsidRPr="00532C20">
        <w:rPr>
          <w:rFonts w:ascii="Times New Roman" w:eastAsia="Times" w:hAnsi="Times New Roman" w:cs="Times New Roman"/>
          <w:noProof/>
          <w:sz w:val="24"/>
          <w:szCs w:val="24"/>
          <w:lang w:val="en-IE"/>
        </w:rPr>
        <w:t xml:space="preserve"> thresholds</w:t>
      </w:r>
      <w:r w:rsidR="00F923DB" w:rsidRPr="00532C20">
        <w:rPr>
          <w:rFonts w:ascii="Times New Roman" w:eastAsia="Times" w:hAnsi="Times New Roman" w:cs="Times New Roman"/>
          <w:noProof/>
          <w:sz w:val="24"/>
          <w:szCs w:val="24"/>
          <w:lang w:val="en-IE"/>
        </w:rPr>
        <w:t xml:space="preserve">, </w:t>
      </w:r>
      <w:r w:rsidR="003B176A" w:rsidRPr="00532C20">
        <w:rPr>
          <w:rFonts w:ascii="Times New Roman" w:eastAsia="Times" w:hAnsi="Times New Roman" w:cs="Times New Roman"/>
          <w:i/>
          <w:noProof/>
          <w:sz w:val="24"/>
          <w:szCs w:val="24"/>
          <w:lang w:val="en-IE"/>
        </w:rPr>
        <w:t>de minimis</w:t>
      </w:r>
      <w:r w:rsidR="00F923DB" w:rsidRPr="00532C20">
        <w:rPr>
          <w:rFonts w:ascii="Times New Roman" w:eastAsia="Times" w:hAnsi="Times New Roman" w:cs="Times New Roman"/>
          <w:noProof/>
          <w:sz w:val="24"/>
          <w:szCs w:val="24"/>
          <w:lang w:val="en-IE"/>
        </w:rPr>
        <w:t xml:space="preserve">, at EUR 25 000 permits to exclude from the scope </w:t>
      </w:r>
      <w:r w:rsidR="0073709C" w:rsidRPr="00532C20">
        <w:rPr>
          <w:rFonts w:ascii="Times New Roman" w:eastAsia="Times" w:hAnsi="Times New Roman" w:cs="Times New Roman"/>
          <w:noProof/>
          <w:sz w:val="24"/>
          <w:szCs w:val="24"/>
          <w:lang w:val="en-IE"/>
        </w:rPr>
        <w:t xml:space="preserve">the </w:t>
      </w:r>
      <w:r w:rsidR="00471FF0" w:rsidRPr="00532C20">
        <w:rPr>
          <w:rFonts w:ascii="Times New Roman" w:eastAsia="Times" w:hAnsi="Times New Roman" w:cs="Times New Roman"/>
          <w:noProof/>
          <w:sz w:val="24"/>
          <w:szCs w:val="24"/>
          <w:lang w:val="en-IE"/>
        </w:rPr>
        <w:t xml:space="preserve">36.21% smallest entities which carry out only </w:t>
      </w:r>
      <w:r w:rsidR="00067063" w:rsidRPr="00532C20">
        <w:rPr>
          <w:rFonts w:ascii="Times New Roman" w:eastAsia="Times" w:hAnsi="Times New Roman" w:cs="Times New Roman"/>
          <w:noProof/>
          <w:sz w:val="24"/>
          <w:szCs w:val="24"/>
          <w:lang w:val="en-IE"/>
        </w:rPr>
        <w:t>very limited amounts of interest representation activities on behalf of third countries</w:t>
      </w:r>
      <w:r w:rsidR="00B76693" w:rsidRPr="00532C20">
        <w:rPr>
          <w:rFonts w:ascii="Times New Roman" w:eastAsia="Times" w:hAnsi="Times New Roman" w:cs="Times New Roman"/>
          <w:noProof/>
          <w:sz w:val="24"/>
          <w:szCs w:val="24"/>
          <w:lang w:val="en-IE"/>
        </w:rPr>
        <w:t xml:space="preserve"> (see below highlighted in orange)</w:t>
      </w:r>
      <w:r w:rsidR="00067063" w:rsidRPr="00532C20">
        <w:rPr>
          <w:rFonts w:ascii="Times New Roman" w:eastAsia="Times" w:hAnsi="Times New Roman" w:cs="Times New Roman"/>
          <w:noProof/>
          <w:sz w:val="24"/>
          <w:szCs w:val="24"/>
          <w:lang w:val="en-IE"/>
        </w:rPr>
        <w:t>.</w:t>
      </w:r>
    </w:p>
    <w:p w14:paraId="63C14193" w14:textId="77777777" w:rsidR="00B379B7" w:rsidRPr="00532C20" w:rsidRDefault="00B379B7">
      <w:pPr>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br w:type="page"/>
      </w:r>
    </w:p>
    <w:tbl>
      <w:tblPr>
        <w:tblStyle w:val="GridTable4-Accent1"/>
        <w:tblW w:w="7797" w:type="dxa"/>
        <w:tblLook w:val="04A0" w:firstRow="1" w:lastRow="0" w:firstColumn="1" w:lastColumn="0" w:noHBand="0" w:noVBand="1"/>
      </w:tblPr>
      <w:tblGrid>
        <w:gridCol w:w="3828"/>
        <w:gridCol w:w="999"/>
        <w:gridCol w:w="1417"/>
        <w:gridCol w:w="1553"/>
      </w:tblGrid>
      <w:tr w:rsidR="00962309" w:rsidRPr="00532C20" w14:paraId="4CE83F8D" w14:textId="77777777" w:rsidTr="00A650B7">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797" w:type="dxa"/>
            <w:gridSpan w:val="4"/>
            <w:tcBorders>
              <w:top w:val="nil"/>
              <w:left w:val="nil"/>
              <w:bottom w:val="nil"/>
              <w:right w:val="nil"/>
            </w:tcBorders>
          </w:tcPr>
          <w:p w14:paraId="298DA366" w14:textId="77777777" w:rsidR="00962309" w:rsidRPr="00532C20" w:rsidRDefault="00962309" w:rsidP="001E48FB">
            <w:pPr>
              <w:jc w:val="center"/>
              <w:rPr>
                <w:rFonts w:ascii="Times New Roman" w:eastAsia="Calibri" w:hAnsi="Times New Roman" w:cs="Times New Roman"/>
                <w:noProof/>
              </w:rPr>
            </w:pPr>
          </w:p>
          <w:p w14:paraId="39C241FE" w14:textId="1EFCEDA5" w:rsidR="00962309" w:rsidRPr="00532C20" w:rsidRDefault="008C6CAD" w:rsidP="001E48FB">
            <w:pPr>
              <w:jc w:val="center"/>
              <w:rPr>
                <w:rFonts w:ascii="Times New Roman" w:eastAsia="Calibri" w:hAnsi="Times New Roman" w:cs="Times New Roman"/>
                <w:noProof/>
              </w:rPr>
            </w:pPr>
            <w:r w:rsidRPr="00532C20">
              <w:rPr>
                <w:rFonts w:ascii="Times New Roman" w:eastAsia="Calibri" w:hAnsi="Times New Roman" w:cs="Times New Roman"/>
                <w:noProof/>
              </w:rPr>
              <w:t xml:space="preserve">TABLE 2: </w:t>
            </w:r>
            <w:r w:rsidR="00962309" w:rsidRPr="00532C20">
              <w:rPr>
                <w:rFonts w:ascii="Times New Roman" w:eastAsia="Calibri" w:hAnsi="Times New Roman" w:cs="Times New Roman"/>
                <w:noProof/>
              </w:rPr>
              <w:t xml:space="preserve">EU TR – Annual costs of entities whose head office is outside the </w:t>
            </w:r>
            <w:r w:rsidR="008C51BF">
              <w:rPr>
                <w:rFonts w:ascii="Times New Roman" w:eastAsia="Calibri" w:hAnsi="Times New Roman" w:cs="Times New Roman"/>
                <w:noProof/>
              </w:rPr>
              <w:t>Union</w:t>
            </w:r>
            <w:r w:rsidR="008C51BF" w:rsidRPr="00532C20">
              <w:rPr>
                <w:rFonts w:ascii="Times New Roman" w:eastAsia="Calibri" w:hAnsi="Times New Roman" w:cs="Times New Roman"/>
                <w:noProof/>
              </w:rPr>
              <w:t xml:space="preserve"> </w:t>
            </w:r>
            <w:r w:rsidR="00962309" w:rsidRPr="00532C20">
              <w:rPr>
                <w:rFonts w:ascii="Times New Roman" w:eastAsia="Calibri" w:hAnsi="Times New Roman" w:cs="Times New Roman"/>
                <w:noProof/>
              </w:rPr>
              <w:t>and that “Promote their own or collective interests”</w:t>
            </w:r>
          </w:p>
          <w:p w14:paraId="6C6A811E" w14:textId="77777777" w:rsidR="00962309" w:rsidRPr="00532C20" w:rsidRDefault="00962309" w:rsidP="001E48FB">
            <w:pPr>
              <w:jc w:val="center"/>
              <w:rPr>
                <w:rFonts w:ascii="Times New Roman" w:eastAsia="Calibri" w:hAnsi="Times New Roman" w:cs="Times New Roman"/>
                <w:noProof/>
              </w:rPr>
            </w:pPr>
          </w:p>
        </w:tc>
      </w:tr>
      <w:tr w:rsidR="00A650B7" w:rsidRPr="00532C20" w14:paraId="5440E625"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tcBorders>
              <w:top w:val="nil"/>
              <w:left w:val="nil"/>
              <w:bottom w:val="nil"/>
              <w:right w:val="nil"/>
            </w:tcBorders>
            <w:shd w:val="clear" w:color="auto" w:fill="4F81BD" w:themeFill="accent1"/>
            <w:noWrap/>
            <w:hideMark/>
          </w:tcPr>
          <w:p w14:paraId="5EE436AF" w14:textId="37784587" w:rsidR="00962309" w:rsidRPr="00532C20" w:rsidRDefault="00962309" w:rsidP="001E48FB">
            <w:pPr>
              <w:jc w:val="center"/>
              <w:rPr>
                <w:rFonts w:ascii="Times New Roman" w:eastAsia="Calibri" w:hAnsi="Times New Roman" w:cs="Times New Roman"/>
                <w:noProof/>
                <w:color w:val="FFFFFF" w:themeColor="background1"/>
              </w:rPr>
            </w:pPr>
            <w:r w:rsidRPr="00532C20">
              <w:rPr>
                <w:rFonts w:ascii="Times New Roman" w:eastAsia="Calibri" w:hAnsi="Times New Roman" w:cs="Times New Roman"/>
                <w:noProof/>
                <w:color w:val="FFFFFF" w:themeColor="background1"/>
              </w:rPr>
              <w:t>Brackets of reported</w:t>
            </w:r>
            <w:r w:rsidR="00DE5AC5" w:rsidRPr="00532C20">
              <w:rPr>
                <w:rFonts w:ascii="Times New Roman" w:eastAsia="Calibri" w:hAnsi="Times New Roman" w:cs="Times New Roman"/>
                <w:noProof/>
                <w:color w:val="FFFFFF" w:themeColor="background1"/>
              </w:rPr>
              <w:t xml:space="preserve"> </w:t>
            </w:r>
            <w:r w:rsidRPr="00532C20">
              <w:rPr>
                <w:rFonts w:ascii="Times New Roman" w:eastAsia="Calibri" w:hAnsi="Times New Roman" w:cs="Times New Roman"/>
                <w:noProof/>
                <w:color w:val="FFFFFF" w:themeColor="background1"/>
              </w:rPr>
              <w:t>annual costs (EUR)</w:t>
            </w:r>
          </w:p>
        </w:tc>
        <w:tc>
          <w:tcPr>
            <w:tcW w:w="928" w:type="dxa"/>
            <w:tcBorders>
              <w:top w:val="nil"/>
              <w:left w:val="nil"/>
              <w:bottom w:val="nil"/>
              <w:right w:val="nil"/>
            </w:tcBorders>
            <w:shd w:val="clear" w:color="auto" w:fill="4F81BD" w:themeFill="accent1"/>
            <w:noWrap/>
            <w:hideMark/>
          </w:tcPr>
          <w:p w14:paraId="7412CEA2" w14:textId="77777777" w:rsidR="00962309" w:rsidRPr="00532C20" w:rsidRDefault="00962309" w:rsidP="001E48F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color w:val="FFFFFF" w:themeColor="background1"/>
              </w:rPr>
            </w:pPr>
            <w:r w:rsidRPr="00532C20">
              <w:rPr>
                <w:rFonts w:ascii="Times New Roman" w:eastAsia="Calibri" w:hAnsi="Times New Roman" w:cs="Times New Roman"/>
                <w:b/>
                <w:noProof/>
                <w:color w:val="FFFFFF" w:themeColor="background1"/>
              </w:rPr>
              <w:t>Number of entities</w:t>
            </w:r>
          </w:p>
        </w:tc>
        <w:tc>
          <w:tcPr>
            <w:tcW w:w="1417" w:type="dxa"/>
            <w:tcBorders>
              <w:top w:val="nil"/>
              <w:left w:val="nil"/>
              <w:bottom w:val="nil"/>
              <w:right w:val="nil"/>
            </w:tcBorders>
            <w:shd w:val="clear" w:color="auto" w:fill="4F81BD" w:themeFill="accent1"/>
            <w:noWrap/>
            <w:hideMark/>
          </w:tcPr>
          <w:p w14:paraId="108E0EBF" w14:textId="77777777" w:rsidR="00962309" w:rsidRPr="00532C20" w:rsidRDefault="00962309" w:rsidP="001E48F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color w:val="FFFFFF" w:themeColor="background1"/>
              </w:rPr>
            </w:pPr>
            <w:r w:rsidRPr="00532C20">
              <w:rPr>
                <w:rFonts w:ascii="Times New Roman" w:eastAsia="Calibri" w:hAnsi="Times New Roman" w:cs="Times New Roman"/>
                <w:b/>
                <w:noProof/>
                <w:color w:val="FFFFFF" w:themeColor="background1"/>
              </w:rPr>
              <w:t>Proportion of entities (in %)</w:t>
            </w:r>
          </w:p>
        </w:tc>
        <w:tc>
          <w:tcPr>
            <w:tcW w:w="1624" w:type="dxa"/>
            <w:tcBorders>
              <w:top w:val="nil"/>
              <w:left w:val="nil"/>
              <w:bottom w:val="nil"/>
              <w:right w:val="nil"/>
            </w:tcBorders>
            <w:shd w:val="clear" w:color="auto" w:fill="4F81BD" w:themeFill="accent1"/>
          </w:tcPr>
          <w:p w14:paraId="6DC5B1BF" w14:textId="3DA2BF43" w:rsidR="00962309" w:rsidRPr="00532C20" w:rsidRDefault="00962309" w:rsidP="001E48F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color w:val="FFFFFF" w:themeColor="background1"/>
              </w:rPr>
            </w:pPr>
            <w:r w:rsidRPr="00532C20">
              <w:rPr>
                <w:rFonts w:ascii="Times New Roman" w:eastAsia="Calibri" w:hAnsi="Times New Roman" w:cs="Times New Roman"/>
                <w:b/>
                <w:noProof/>
                <w:color w:val="FFFFFF" w:themeColor="background1"/>
              </w:rPr>
              <w:t>Cumulated proportion</w:t>
            </w:r>
            <w:r w:rsidR="00DE5AC5" w:rsidRPr="00532C20">
              <w:rPr>
                <w:rFonts w:ascii="Times New Roman" w:eastAsia="Calibri" w:hAnsi="Times New Roman" w:cs="Times New Roman"/>
                <w:b/>
                <w:noProof/>
                <w:color w:val="FFFFFF" w:themeColor="background1"/>
              </w:rPr>
              <w:t xml:space="preserve"> </w:t>
            </w:r>
            <w:r w:rsidRPr="00532C20">
              <w:rPr>
                <w:rFonts w:ascii="Times New Roman" w:eastAsia="Calibri" w:hAnsi="Times New Roman" w:cs="Times New Roman"/>
                <w:b/>
                <w:noProof/>
                <w:color w:val="FFFFFF" w:themeColor="background1"/>
              </w:rPr>
              <w:t>of entities (approx., in %)</w:t>
            </w:r>
          </w:p>
        </w:tc>
      </w:tr>
      <w:tr w:rsidR="00B76693" w:rsidRPr="00532C20" w14:paraId="651E3E36" w14:textId="77777777" w:rsidTr="00B379B7">
        <w:trPr>
          <w:trHeight w:val="17"/>
        </w:trPr>
        <w:tc>
          <w:tcPr>
            <w:cnfStyle w:val="001000000000" w:firstRow="0" w:lastRow="0" w:firstColumn="1" w:lastColumn="0" w:oddVBand="0" w:evenVBand="0" w:oddHBand="0" w:evenHBand="0" w:firstRowFirstColumn="0" w:firstRowLastColumn="0" w:lastRowFirstColumn="0" w:lastRowLastColumn="0"/>
            <w:tcW w:w="3828" w:type="dxa"/>
            <w:tcBorders>
              <w:top w:val="nil"/>
            </w:tcBorders>
            <w:shd w:val="clear" w:color="auto" w:fill="FFC000"/>
            <w:noWrap/>
            <w:hideMark/>
          </w:tcPr>
          <w:p w14:paraId="58C9F9B9"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0.00 – 0.00</w:t>
            </w:r>
          </w:p>
        </w:tc>
        <w:tc>
          <w:tcPr>
            <w:tcW w:w="928" w:type="dxa"/>
            <w:tcBorders>
              <w:top w:val="nil"/>
            </w:tcBorders>
            <w:shd w:val="clear" w:color="auto" w:fill="FFC000"/>
            <w:noWrap/>
            <w:hideMark/>
          </w:tcPr>
          <w:p w14:paraId="577E17B4"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29</w:t>
            </w:r>
          </w:p>
        </w:tc>
        <w:tc>
          <w:tcPr>
            <w:tcW w:w="1417" w:type="dxa"/>
            <w:tcBorders>
              <w:top w:val="nil"/>
            </w:tcBorders>
            <w:shd w:val="clear" w:color="auto" w:fill="FFC000"/>
            <w:noWrap/>
            <w:hideMark/>
          </w:tcPr>
          <w:p w14:paraId="1B604B01"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2.12</w:t>
            </w:r>
          </w:p>
        </w:tc>
        <w:tc>
          <w:tcPr>
            <w:tcW w:w="1624" w:type="dxa"/>
            <w:tcBorders>
              <w:top w:val="nil"/>
            </w:tcBorders>
            <w:shd w:val="clear" w:color="auto" w:fill="FFC000"/>
          </w:tcPr>
          <w:p w14:paraId="582A2D71"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2.12</w:t>
            </w:r>
          </w:p>
        </w:tc>
      </w:tr>
      <w:tr w:rsidR="00B76693" w:rsidRPr="00532C20" w14:paraId="4CEFEA83"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FFC000"/>
            <w:noWrap/>
            <w:hideMark/>
          </w:tcPr>
          <w:p w14:paraId="5445889D"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0.00 – 10,000.00</w:t>
            </w:r>
          </w:p>
        </w:tc>
        <w:tc>
          <w:tcPr>
            <w:tcW w:w="928" w:type="dxa"/>
            <w:shd w:val="clear" w:color="auto" w:fill="FFC000"/>
            <w:noWrap/>
            <w:hideMark/>
          </w:tcPr>
          <w:p w14:paraId="0A96D790"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321</w:t>
            </w:r>
          </w:p>
        </w:tc>
        <w:tc>
          <w:tcPr>
            <w:tcW w:w="1417" w:type="dxa"/>
            <w:shd w:val="clear" w:color="auto" w:fill="FFC000"/>
            <w:noWrap/>
            <w:hideMark/>
          </w:tcPr>
          <w:p w14:paraId="57D871B3"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23.43</w:t>
            </w:r>
          </w:p>
        </w:tc>
        <w:tc>
          <w:tcPr>
            <w:tcW w:w="1624" w:type="dxa"/>
            <w:shd w:val="clear" w:color="auto" w:fill="FFC000"/>
          </w:tcPr>
          <w:p w14:paraId="258EB752"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25.55</w:t>
            </w:r>
          </w:p>
        </w:tc>
      </w:tr>
      <w:tr w:rsidR="00B76693" w:rsidRPr="00532C20" w14:paraId="70A859E0" w14:textId="77777777" w:rsidTr="00B379B7">
        <w:trPr>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FFC000"/>
            <w:noWrap/>
            <w:hideMark/>
          </w:tcPr>
          <w:p w14:paraId="0F6551E6"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10,000.00 – 24,999.00</w:t>
            </w:r>
          </w:p>
        </w:tc>
        <w:tc>
          <w:tcPr>
            <w:tcW w:w="928" w:type="dxa"/>
            <w:shd w:val="clear" w:color="auto" w:fill="FFC000"/>
            <w:noWrap/>
            <w:hideMark/>
          </w:tcPr>
          <w:p w14:paraId="3D03A61E"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146</w:t>
            </w:r>
          </w:p>
        </w:tc>
        <w:tc>
          <w:tcPr>
            <w:tcW w:w="1417" w:type="dxa"/>
            <w:shd w:val="clear" w:color="auto" w:fill="FFC000"/>
            <w:noWrap/>
            <w:hideMark/>
          </w:tcPr>
          <w:p w14:paraId="5008A444"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10.66</w:t>
            </w:r>
          </w:p>
        </w:tc>
        <w:tc>
          <w:tcPr>
            <w:tcW w:w="1624" w:type="dxa"/>
            <w:shd w:val="clear" w:color="auto" w:fill="FFC000"/>
          </w:tcPr>
          <w:p w14:paraId="76929699"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36.21</w:t>
            </w:r>
          </w:p>
        </w:tc>
      </w:tr>
      <w:tr w:rsidR="00DE5AC5" w:rsidRPr="00532C20" w14:paraId="3C08A537"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58CCE9B"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25,000.00 – 49,999.00</w:t>
            </w:r>
          </w:p>
        </w:tc>
        <w:tc>
          <w:tcPr>
            <w:tcW w:w="928" w:type="dxa"/>
            <w:noWrap/>
            <w:hideMark/>
          </w:tcPr>
          <w:p w14:paraId="05DEB6E7"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133</w:t>
            </w:r>
          </w:p>
        </w:tc>
        <w:tc>
          <w:tcPr>
            <w:tcW w:w="1417" w:type="dxa"/>
            <w:noWrap/>
            <w:hideMark/>
          </w:tcPr>
          <w:p w14:paraId="4C1B5DEF"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9.71</w:t>
            </w:r>
          </w:p>
        </w:tc>
        <w:tc>
          <w:tcPr>
            <w:tcW w:w="1624" w:type="dxa"/>
          </w:tcPr>
          <w:p w14:paraId="50EF857F"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45.92</w:t>
            </w:r>
          </w:p>
        </w:tc>
      </w:tr>
      <w:tr w:rsidR="00DE5AC5" w:rsidRPr="00532C20" w14:paraId="1DCC189C" w14:textId="77777777" w:rsidTr="00B379B7">
        <w:trPr>
          <w:trHeight w:val="17"/>
        </w:trPr>
        <w:tc>
          <w:tcPr>
            <w:cnfStyle w:val="001000000000" w:firstRow="0" w:lastRow="0" w:firstColumn="1" w:lastColumn="0" w:oddVBand="0" w:evenVBand="0" w:oddHBand="0" w:evenHBand="0" w:firstRowFirstColumn="0" w:firstRowLastColumn="0" w:lastRowFirstColumn="0" w:lastRowLastColumn="0"/>
            <w:tcW w:w="3828" w:type="dxa"/>
            <w:noWrap/>
            <w:hideMark/>
          </w:tcPr>
          <w:p w14:paraId="4D875154"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50,000.00 – 99,999.00</w:t>
            </w:r>
          </w:p>
        </w:tc>
        <w:tc>
          <w:tcPr>
            <w:tcW w:w="928" w:type="dxa"/>
            <w:noWrap/>
            <w:hideMark/>
          </w:tcPr>
          <w:p w14:paraId="5B47DE2D"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171</w:t>
            </w:r>
          </w:p>
        </w:tc>
        <w:tc>
          <w:tcPr>
            <w:tcW w:w="1417" w:type="dxa"/>
            <w:noWrap/>
            <w:hideMark/>
          </w:tcPr>
          <w:p w14:paraId="6F235C4E"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12.48</w:t>
            </w:r>
          </w:p>
        </w:tc>
        <w:tc>
          <w:tcPr>
            <w:tcW w:w="1624" w:type="dxa"/>
          </w:tcPr>
          <w:p w14:paraId="3A99151F"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58.40</w:t>
            </w:r>
          </w:p>
        </w:tc>
      </w:tr>
      <w:tr w:rsidR="00DE5AC5" w:rsidRPr="00532C20" w14:paraId="7B5AA772"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9D8E40D"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100,000.00 – 199,999.00</w:t>
            </w:r>
          </w:p>
        </w:tc>
        <w:tc>
          <w:tcPr>
            <w:tcW w:w="928" w:type="dxa"/>
            <w:noWrap/>
            <w:hideMark/>
          </w:tcPr>
          <w:p w14:paraId="50B19639"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171</w:t>
            </w:r>
          </w:p>
        </w:tc>
        <w:tc>
          <w:tcPr>
            <w:tcW w:w="1417" w:type="dxa"/>
            <w:noWrap/>
            <w:hideMark/>
          </w:tcPr>
          <w:p w14:paraId="47DCD7D5"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12.48</w:t>
            </w:r>
          </w:p>
        </w:tc>
        <w:tc>
          <w:tcPr>
            <w:tcW w:w="1624" w:type="dxa"/>
          </w:tcPr>
          <w:p w14:paraId="7E50D905"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70.88</w:t>
            </w:r>
          </w:p>
        </w:tc>
      </w:tr>
      <w:tr w:rsidR="00DE5AC5" w:rsidRPr="00532C20" w14:paraId="3DC45DD4" w14:textId="77777777" w:rsidTr="00B379B7">
        <w:trPr>
          <w:trHeight w:val="17"/>
        </w:trPr>
        <w:tc>
          <w:tcPr>
            <w:cnfStyle w:val="001000000000" w:firstRow="0" w:lastRow="0" w:firstColumn="1" w:lastColumn="0" w:oddVBand="0" w:evenVBand="0" w:oddHBand="0" w:evenHBand="0" w:firstRowFirstColumn="0" w:firstRowLastColumn="0" w:lastRowFirstColumn="0" w:lastRowLastColumn="0"/>
            <w:tcW w:w="3828" w:type="dxa"/>
            <w:noWrap/>
            <w:hideMark/>
          </w:tcPr>
          <w:p w14:paraId="403E3B7D"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200,000.00 – 299,999.00</w:t>
            </w:r>
          </w:p>
        </w:tc>
        <w:tc>
          <w:tcPr>
            <w:tcW w:w="928" w:type="dxa"/>
            <w:noWrap/>
            <w:hideMark/>
          </w:tcPr>
          <w:p w14:paraId="2E7D090C"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117</w:t>
            </w:r>
          </w:p>
        </w:tc>
        <w:tc>
          <w:tcPr>
            <w:tcW w:w="1417" w:type="dxa"/>
            <w:noWrap/>
            <w:hideMark/>
          </w:tcPr>
          <w:p w14:paraId="0DD0D4A6"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8.54</w:t>
            </w:r>
          </w:p>
        </w:tc>
        <w:tc>
          <w:tcPr>
            <w:tcW w:w="1624" w:type="dxa"/>
          </w:tcPr>
          <w:p w14:paraId="1F7A9C21"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79.54</w:t>
            </w:r>
          </w:p>
        </w:tc>
      </w:tr>
      <w:tr w:rsidR="00DE5AC5" w:rsidRPr="00532C20" w14:paraId="30094ECE"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1505E91"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300,000.00 – 399,000.00</w:t>
            </w:r>
          </w:p>
        </w:tc>
        <w:tc>
          <w:tcPr>
            <w:tcW w:w="928" w:type="dxa"/>
            <w:noWrap/>
            <w:hideMark/>
          </w:tcPr>
          <w:p w14:paraId="73489E44"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64</w:t>
            </w:r>
          </w:p>
        </w:tc>
        <w:tc>
          <w:tcPr>
            <w:tcW w:w="1417" w:type="dxa"/>
            <w:noWrap/>
            <w:hideMark/>
          </w:tcPr>
          <w:p w14:paraId="43EC7C62"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4.67</w:t>
            </w:r>
          </w:p>
        </w:tc>
        <w:tc>
          <w:tcPr>
            <w:tcW w:w="1624" w:type="dxa"/>
          </w:tcPr>
          <w:p w14:paraId="626C81CF"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84.09</w:t>
            </w:r>
          </w:p>
        </w:tc>
      </w:tr>
      <w:tr w:rsidR="00DE5AC5" w:rsidRPr="00532C20" w14:paraId="3D9E1804" w14:textId="77777777" w:rsidTr="00B379B7">
        <w:trPr>
          <w:trHeight w:val="17"/>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FA8F03F"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400,000.00 – 499,999.00</w:t>
            </w:r>
          </w:p>
        </w:tc>
        <w:tc>
          <w:tcPr>
            <w:tcW w:w="928" w:type="dxa"/>
            <w:noWrap/>
            <w:hideMark/>
          </w:tcPr>
          <w:p w14:paraId="2F1559C2"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55</w:t>
            </w:r>
          </w:p>
        </w:tc>
        <w:tc>
          <w:tcPr>
            <w:tcW w:w="1417" w:type="dxa"/>
            <w:noWrap/>
            <w:hideMark/>
          </w:tcPr>
          <w:p w14:paraId="61213C25"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4.01</w:t>
            </w:r>
          </w:p>
        </w:tc>
        <w:tc>
          <w:tcPr>
            <w:tcW w:w="1624" w:type="dxa"/>
          </w:tcPr>
          <w:p w14:paraId="530D3B05"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88.10</w:t>
            </w:r>
          </w:p>
        </w:tc>
      </w:tr>
      <w:tr w:rsidR="00DE5AC5" w:rsidRPr="00532C20" w14:paraId="7A30A77F"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50C2C30"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500,000.00 – 599,999.00</w:t>
            </w:r>
          </w:p>
        </w:tc>
        <w:tc>
          <w:tcPr>
            <w:tcW w:w="928" w:type="dxa"/>
            <w:noWrap/>
            <w:hideMark/>
          </w:tcPr>
          <w:p w14:paraId="6F082C5D"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33</w:t>
            </w:r>
          </w:p>
        </w:tc>
        <w:tc>
          <w:tcPr>
            <w:tcW w:w="1417" w:type="dxa"/>
            <w:noWrap/>
            <w:hideMark/>
          </w:tcPr>
          <w:p w14:paraId="279AE09A"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2.41</w:t>
            </w:r>
          </w:p>
        </w:tc>
        <w:tc>
          <w:tcPr>
            <w:tcW w:w="1624" w:type="dxa"/>
          </w:tcPr>
          <w:p w14:paraId="7BA72E50"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90.51</w:t>
            </w:r>
          </w:p>
        </w:tc>
      </w:tr>
      <w:tr w:rsidR="00DE5AC5" w:rsidRPr="00532C20" w14:paraId="3F8D3286" w14:textId="77777777" w:rsidTr="00B379B7">
        <w:trPr>
          <w:trHeight w:val="17"/>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B0F4AC2"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600,000.00 – 699,999.00</w:t>
            </w:r>
          </w:p>
        </w:tc>
        <w:tc>
          <w:tcPr>
            <w:tcW w:w="928" w:type="dxa"/>
            <w:noWrap/>
            <w:hideMark/>
          </w:tcPr>
          <w:p w14:paraId="14B3F31C"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27</w:t>
            </w:r>
          </w:p>
        </w:tc>
        <w:tc>
          <w:tcPr>
            <w:tcW w:w="1417" w:type="dxa"/>
            <w:noWrap/>
            <w:hideMark/>
          </w:tcPr>
          <w:p w14:paraId="56822BBF"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1.97</w:t>
            </w:r>
          </w:p>
        </w:tc>
        <w:tc>
          <w:tcPr>
            <w:tcW w:w="1624" w:type="dxa"/>
          </w:tcPr>
          <w:p w14:paraId="5AD52F87"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92.48</w:t>
            </w:r>
          </w:p>
        </w:tc>
      </w:tr>
      <w:tr w:rsidR="00DE5AC5" w:rsidRPr="00532C20" w14:paraId="12C6419E"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6D80869"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700,000.00 – 799.999.00</w:t>
            </w:r>
          </w:p>
        </w:tc>
        <w:tc>
          <w:tcPr>
            <w:tcW w:w="928" w:type="dxa"/>
            <w:noWrap/>
            <w:hideMark/>
          </w:tcPr>
          <w:p w14:paraId="48C773CB"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22</w:t>
            </w:r>
          </w:p>
        </w:tc>
        <w:tc>
          <w:tcPr>
            <w:tcW w:w="1417" w:type="dxa"/>
            <w:noWrap/>
            <w:hideMark/>
          </w:tcPr>
          <w:p w14:paraId="26B20FCF"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1.61</w:t>
            </w:r>
          </w:p>
        </w:tc>
        <w:tc>
          <w:tcPr>
            <w:tcW w:w="1624" w:type="dxa"/>
          </w:tcPr>
          <w:p w14:paraId="1815429B"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94.09</w:t>
            </w:r>
          </w:p>
        </w:tc>
      </w:tr>
      <w:tr w:rsidR="00DE5AC5" w:rsidRPr="00532C20" w14:paraId="238087D7" w14:textId="77777777" w:rsidTr="00B379B7">
        <w:trPr>
          <w:trHeight w:val="17"/>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6F02340"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800,000.00 – 899,999.00</w:t>
            </w:r>
          </w:p>
        </w:tc>
        <w:tc>
          <w:tcPr>
            <w:tcW w:w="928" w:type="dxa"/>
            <w:noWrap/>
            <w:hideMark/>
          </w:tcPr>
          <w:p w14:paraId="65851C07"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14</w:t>
            </w:r>
          </w:p>
        </w:tc>
        <w:tc>
          <w:tcPr>
            <w:tcW w:w="1417" w:type="dxa"/>
            <w:noWrap/>
            <w:hideMark/>
          </w:tcPr>
          <w:p w14:paraId="3E9117DA"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1.02</w:t>
            </w:r>
          </w:p>
        </w:tc>
        <w:tc>
          <w:tcPr>
            <w:tcW w:w="1624" w:type="dxa"/>
          </w:tcPr>
          <w:p w14:paraId="5F4CE1D5"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95.11</w:t>
            </w:r>
          </w:p>
        </w:tc>
      </w:tr>
      <w:tr w:rsidR="00DE5AC5" w:rsidRPr="00532C20" w14:paraId="3BA98B47"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4E80652"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900,000.00 – 999,999.00</w:t>
            </w:r>
          </w:p>
        </w:tc>
        <w:tc>
          <w:tcPr>
            <w:tcW w:w="928" w:type="dxa"/>
            <w:noWrap/>
            <w:hideMark/>
          </w:tcPr>
          <w:p w14:paraId="244728A5"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18</w:t>
            </w:r>
          </w:p>
        </w:tc>
        <w:tc>
          <w:tcPr>
            <w:tcW w:w="1417" w:type="dxa"/>
            <w:noWrap/>
            <w:hideMark/>
          </w:tcPr>
          <w:p w14:paraId="58EF05E6"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1.31</w:t>
            </w:r>
          </w:p>
        </w:tc>
        <w:tc>
          <w:tcPr>
            <w:tcW w:w="1624" w:type="dxa"/>
          </w:tcPr>
          <w:p w14:paraId="64C23F17"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96.42</w:t>
            </w:r>
          </w:p>
        </w:tc>
      </w:tr>
      <w:tr w:rsidR="00DE5AC5" w:rsidRPr="00532C20" w14:paraId="3D44AF02" w14:textId="77777777" w:rsidTr="00B379B7">
        <w:trPr>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92D050"/>
            <w:noWrap/>
            <w:hideMark/>
          </w:tcPr>
          <w:p w14:paraId="63598B4C"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1,000,000.00 – 1,249,999.00</w:t>
            </w:r>
          </w:p>
        </w:tc>
        <w:tc>
          <w:tcPr>
            <w:tcW w:w="928" w:type="dxa"/>
            <w:shd w:val="clear" w:color="auto" w:fill="92D050"/>
            <w:noWrap/>
            <w:hideMark/>
          </w:tcPr>
          <w:p w14:paraId="7D41CD3B"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14</w:t>
            </w:r>
          </w:p>
        </w:tc>
        <w:tc>
          <w:tcPr>
            <w:tcW w:w="1417" w:type="dxa"/>
            <w:shd w:val="clear" w:color="auto" w:fill="92D050"/>
            <w:noWrap/>
            <w:hideMark/>
          </w:tcPr>
          <w:p w14:paraId="606B3C7B"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1.02</w:t>
            </w:r>
          </w:p>
        </w:tc>
        <w:tc>
          <w:tcPr>
            <w:tcW w:w="1624" w:type="dxa"/>
            <w:shd w:val="clear" w:color="auto" w:fill="92D050"/>
          </w:tcPr>
          <w:p w14:paraId="0CFC11D4"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97.44</w:t>
            </w:r>
          </w:p>
        </w:tc>
      </w:tr>
      <w:tr w:rsidR="00B76693" w:rsidRPr="00532C20" w14:paraId="47522CA4"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92D050"/>
            <w:noWrap/>
            <w:hideMark/>
          </w:tcPr>
          <w:p w14:paraId="0EFAB406"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1,250,000.00 – 1,499,999.00</w:t>
            </w:r>
          </w:p>
        </w:tc>
        <w:tc>
          <w:tcPr>
            <w:tcW w:w="928" w:type="dxa"/>
            <w:shd w:val="clear" w:color="auto" w:fill="92D050"/>
            <w:noWrap/>
            <w:hideMark/>
          </w:tcPr>
          <w:p w14:paraId="42D90AEB"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13</w:t>
            </w:r>
          </w:p>
        </w:tc>
        <w:tc>
          <w:tcPr>
            <w:tcW w:w="1417" w:type="dxa"/>
            <w:shd w:val="clear" w:color="auto" w:fill="92D050"/>
            <w:noWrap/>
            <w:hideMark/>
          </w:tcPr>
          <w:p w14:paraId="1B84B0D1"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0.88</w:t>
            </w:r>
          </w:p>
        </w:tc>
        <w:tc>
          <w:tcPr>
            <w:tcW w:w="1624" w:type="dxa"/>
            <w:shd w:val="clear" w:color="auto" w:fill="92D050"/>
          </w:tcPr>
          <w:p w14:paraId="4C7FF46D"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98.32</w:t>
            </w:r>
          </w:p>
        </w:tc>
      </w:tr>
      <w:tr w:rsidR="00DE5AC5" w:rsidRPr="00532C20" w14:paraId="6E2AED4B" w14:textId="77777777" w:rsidTr="00B379B7">
        <w:trPr>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92D050"/>
            <w:noWrap/>
            <w:hideMark/>
          </w:tcPr>
          <w:p w14:paraId="5FBEE52A"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1,500,000.00 – 1,749,999.00</w:t>
            </w:r>
          </w:p>
        </w:tc>
        <w:tc>
          <w:tcPr>
            <w:tcW w:w="928" w:type="dxa"/>
            <w:shd w:val="clear" w:color="auto" w:fill="92D050"/>
            <w:noWrap/>
            <w:hideMark/>
          </w:tcPr>
          <w:p w14:paraId="396A6BFA"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w:t>
            </w:r>
          </w:p>
        </w:tc>
        <w:tc>
          <w:tcPr>
            <w:tcW w:w="1417" w:type="dxa"/>
            <w:shd w:val="clear" w:color="auto" w:fill="92D050"/>
            <w:noWrap/>
            <w:hideMark/>
          </w:tcPr>
          <w:p w14:paraId="42BD28FE"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0.07</w:t>
            </w:r>
          </w:p>
        </w:tc>
        <w:tc>
          <w:tcPr>
            <w:tcW w:w="1624" w:type="dxa"/>
            <w:shd w:val="clear" w:color="auto" w:fill="92D050"/>
          </w:tcPr>
          <w:p w14:paraId="6DDA6393"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98.39</w:t>
            </w:r>
          </w:p>
        </w:tc>
      </w:tr>
      <w:tr w:rsidR="00B76693" w:rsidRPr="00532C20" w14:paraId="7B5C73C5"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92D050"/>
            <w:noWrap/>
            <w:hideMark/>
          </w:tcPr>
          <w:p w14:paraId="7FDE4FDA"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1,750,000.00 – 1,999,999.00</w:t>
            </w:r>
          </w:p>
        </w:tc>
        <w:tc>
          <w:tcPr>
            <w:tcW w:w="928" w:type="dxa"/>
            <w:shd w:val="clear" w:color="auto" w:fill="92D050"/>
            <w:noWrap/>
            <w:hideMark/>
          </w:tcPr>
          <w:p w14:paraId="0EAA56E8"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4</w:t>
            </w:r>
          </w:p>
        </w:tc>
        <w:tc>
          <w:tcPr>
            <w:tcW w:w="1417" w:type="dxa"/>
            <w:shd w:val="clear" w:color="auto" w:fill="92D050"/>
            <w:noWrap/>
            <w:hideMark/>
          </w:tcPr>
          <w:p w14:paraId="37D4CDBC"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0.29</w:t>
            </w:r>
          </w:p>
        </w:tc>
        <w:tc>
          <w:tcPr>
            <w:tcW w:w="1624" w:type="dxa"/>
            <w:shd w:val="clear" w:color="auto" w:fill="92D050"/>
          </w:tcPr>
          <w:p w14:paraId="79E57BC3"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98.68</w:t>
            </w:r>
          </w:p>
        </w:tc>
      </w:tr>
      <w:tr w:rsidR="00DE5AC5" w:rsidRPr="00532C20" w14:paraId="62FF435C" w14:textId="77777777" w:rsidTr="00B379B7">
        <w:trPr>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92D050"/>
            <w:noWrap/>
            <w:hideMark/>
          </w:tcPr>
          <w:p w14:paraId="219E995A"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2,000,000.00 – 2,249,999.00</w:t>
            </w:r>
          </w:p>
        </w:tc>
        <w:tc>
          <w:tcPr>
            <w:tcW w:w="928" w:type="dxa"/>
            <w:shd w:val="clear" w:color="auto" w:fill="92D050"/>
            <w:noWrap/>
            <w:hideMark/>
          </w:tcPr>
          <w:p w14:paraId="5C6DD61A"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2</w:t>
            </w:r>
          </w:p>
        </w:tc>
        <w:tc>
          <w:tcPr>
            <w:tcW w:w="1417" w:type="dxa"/>
            <w:shd w:val="clear" w:color="auto" w:fill="92D050"/>
            <w:noWrap/>
            <w:hideMark/>
          </w:tcPr>
          <w:p w14:paraId="7CBB9D6D"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0.15</w:t>
            </w:r>
          </w:p>
        </w:tc>
        <w:tc>
          <w:tcPr>
            <w:tcW w:w="1624" w:type="dxa"/>
            <w:shd w:val="clear" w:color="auto" w:fill="92D050"/>
          </w:tcPr>
          <w:p w14:paraId="449353B6"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98.83</w:t>
            </w:r>
          </w:p>
        </w:tc>
      </w:tr>
      <w:tr w:rsidR="00B76693" w:rsidRPr="00532C20" w14:paraId="071A79D0"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92D050"/>
            <w:noWrap/>
            <w:hideMark/>
          </w:tcPr>
          <w:p w14:paraId="75C7FCE1"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2,250,000.00 – 2,499,999.00</w:t>
            </w:r>
          </w:p>
        </w:tc>
        <w:tc>
          <w:tcPr>
            <w:tcW w:w="928" w:type="dxa"/>
            <w:shd w:val="clear" w:color="auto" w:fill="92D050"/>
            <w:noWrap/>
            <w:hideMark/>
          </w:tcPr>
          <w:p w14:paraId="143D497D"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4</w:t>
            </w:r>
          </w:p>
        </w:tc>
        <w:tc>
          <w:tcPr>
            <w:tcW w:w="1417" w:type="dxa"/>
            <w:shd w:val="clear" w:color="auto" w:fill="92D050"/>
            <w:noWrap/>
            <w:hideMark/>
          </w:tcPr>
          <w:p w14:paraId="0E38FCBB"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0.29</w:t>
            </w:r>
          </w:p>
        </w:tc>
        <w:tc>
          <w:tcPr>
            <w:tcW w:w="1624" w:type="dxa"/>
            <w:shd w:val="clear" w:color="auto" w:fill="92D050"/>
          </w:tcPr>
          <w:p w14:paraId="3B444DE0"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99.12</w:t>
            </w:r>
          </w:p>
        </w:tc>
      </w:tr>
      <w:tr w:rsidR="00DE5AC5" w:rsidRPr="00532C20" w14:paraId="7D98F0F3" w14:textId="77777777" w:rsidTr="00B379B7">
        <w:trPr>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92D050"/>
            <w:noWrap/>
            <w:hideMark/>
          </w:tcPr>
          <w:p w14:paraId="49194EF6"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2,750,000.00 – 2,999,999.00</w:t>
            </w:r>
          </w:p>
        </w:tc>
        <w:tc>
          <w:tcPr>
            <w:tcW w:w="928" w:type="dxa"/>
            <w:shd w:val="clear" w:color="auto" w:fill="92D050"/>
            <w:noWrap/>
            <w:hideMark/>
          </w:tcPr>
          <w:p w14:paraId="6AF70590"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3</w:t>
            </w:r>
          </w:p>
        </w:tc>
        <w:tc>
          <w:tcPr>
            <w:tcW w:w="1417" w:type="dxa"/>
            <w:shd w:val="clear" w:color="auto" w:fill="92D050"/>
            <w:noWrap/>
            <w:hideMark/>
          </w:tcPr>
          <w:p w14:paraId="219D491F"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0.22</w:t>
            </w:r>
          </w:p>
        </w:tc>
        <w:tc>
          <w:tcPr>
            <w:tcW w:w="1624" w:type="dxa"/>
            <w:shd w:val="clear" w:color="auto" w:fill="92D050"/>
          </w:tcPr>
          <w:p w14:paraId="2A0ADBA4"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99.34</w:t>
            </w:r>
          </w:p>
        </w:tc>
      </w:tr>
      <w:tr w:rsidR="00DE5AC5" w:rsidRPr="00532C20" w14:paraId="658AF578"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92D050"/>
            <w:noWrap/>
            <w:hideMark/>
          </w:tcPr>
          <w:p w14:paraId="6F609A54"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3,000,000.00 – 3,499,999.00</w:t>
            </w:r>
          </w:p>
        </w:tc>
        <w:tc>
          <w:tcPr>
            <w:tcW w:w="928" w:type="dxa"/>
            <w:shd w:val="clear" w:color="auto" w:fill="92D050"/>
            <w:noWrap/>
            <w:hideMark/>
          </w:tcPr>
          <w:p w14:paraId="680D72B0"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2</w:t>
            </w:r>
          </w:p>
        </w:tc>
        <w:tc>
          <w:tcPr>
            <w:tcW w:w="1417" w:type="dxa"/>
            <w:shd w:val="clear" w:color="auto" w:fill="92D050"/>
            <w:noWrap/>
            <w:hideMark/>
          </w:tcPr>
          <w:p w14:paraId="66F5B29C"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0.15</w:t>
            </w:r>
          </w:p>
        </w:tc>
        <w:tc>
          <w:tcPr>
            <w:tcW w:w="1624" w:type="dxa"/>
            <w:shd w:val="clear" w:color="auto" w:fill="92D050"/>
          </w:tcPr>
          <w:p w14:paraId="7AD2015B"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99.45</w:t>
            </w:r>
          </w:p>
        </w:tc>
      </w:tr>
      <w:tr w:rsidR="00DE5AC5" w:rsidRPr="00532C20" w14:paraId="70E19BDF" w14:textId="77777777" w:rsidTr="00B379B7">
        <w:trPr>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92D050"/>
            <w:noWrap/>
            <w:hideMark/>
          </w:tcPr>
          <w:p w14:paraId="1EF7EEB6"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4,000,000.00 – 4,499,999.00</w:t>
            </w:r>
          </w:p>
        </w:tc>
        <w:tc>
          <w:tcPr>
            <w:tcW w:w="928" w:type="dxa"/>
            <w:shd w:val="clear" w:color="auto" w:fill="92D050"/>
            <w:noWrap/>
            <w:hideMark/>
          </w:tcPr>
          <w:p w14:paraId="288D8819"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2</w:t>
            </w:r>
          </w:p>
        </w:tc>
        <w:tc>
          <w:tcPr>
            <w:tcW w:w="1417" w:type="dxa"/>
            <w:shd w:val="clear" w:color="auto" w:fill="92D050"/>
            <w:noWrap/>
            <w:hideMark/>
          </w:tcPr>
          <w:p w14:paraId="58AAE19A"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0.15</w:t>
            </w:r>
          </w:p>
        </w:tc>
        <w:tc>
          <w:tcPr>
            <w:tcW w:w="1624" w:type="dxa"/>
            <w:shd w:val="clear" w:color="auto" w:fill="92D050"/>
          </w:tcPr>
          <w:p w14:paraId="2E9DA577"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99.64</w:t>
            </w:r>
          </w:p>
        </w:tc>
      </w:tr>
      <w:tr w:rsidR="00DE5AC5" w:rsidRPr="00532C20" w14:paraId="1E405B51"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92D050"/>
            <w:noWrap/>
            <w:hideMark/>
          </w:tcPr>
          <w:p w14:paraId="1A25AB75"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4,500,000.00 – 4,999,999.00</w:t>
            </w:r>
          </w:p>
        </w:tc>
        <w:tc>
          <w:tcPr>
            <w:tcW w:w="928" w:type="dxa"/>
            <w:shd w:val="clear" w:color="auto" w:fill="92D050"/>
            <w:noWrap/>
            <w:hideMark/>
          </w:tcPr>
          <w:p w14:paraId="322F5B48"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w:t>
            </w:r>
          </w:p>
        </w:tc>
        <w:tc>
          <w:tcPr>
            <w:tcW w:w="1417" w:type="dxa"/>
            <w:shd w:val="clear" w:color="auto" w:fill="92D050"/>
            <w:noWrap/>
            <w:hideMark/>
          </w:tcPr>
          <w:p w14:paraId="5DCDA056"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0.07</w:t>
            </w:r>
          </w:p>
        </w:tc>
        <w:tc>
          <w:tcPr>
            <w:tcW w:w="1624" w:type="dxa"/>
            <w:shd w:val="clear" w:color="auto" w:fill="92D050"/>
          </w:tcPr>
          <w:p w14:paraId="348CF283"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99.71</w:t>
            </w:r>
          </w:p>
        </w:tc>
      </w:tr>
      <w:tr w:rsidR="00DE5AC5" w:rsidRPr="00532C20" w14:paraId="5A4D5B78" w14:textId="77777777" w:rsidTr="00B379B7">
        <w:trPr>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92D050"/>
            <w:noWrap/>
            <w:hideMark/>
          </w:tcPr>
          <w:p w14:paraId="25FBF018"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5,000,000.00 – 5,499,999.00</w:t>
            </w:r>
          </w:p>
        </w:tc>
        <w:tc>
          <w:tcPr>
            <w:tcW w:w="928" w:type="dxa"/>
            <w:shd w:val="clear" w:color="auto" w:fill="92D050"/>
            <w:noWrap/>
            <w:hideMark/>
          </w:tcPr>
          <w:p w14:paraId="4D368F00"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w:t>
            </w:r>
          </w:p>
        </w:tc>
        <w:tc>
          <w:tcPr>
            <w:tcW w:w="1417" w:type="dxa"/>
            <w:shd w:val="clear" w:color="auto" w:fill="92D050"/>
            <w:noWrap/>
            <w:hideMark/>
          </w:tcPr>
          <w:p w14:paraId="4118DB60"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0.07</w:t>
            </w:r>
          </w:p>
        </w:tc>
        <w:tc>
          <w:tcPr>
            <w:tcW w:w="1624" w:type="dxa"/>
            <w:shd w:val="clear" w:color="auto" w:fill="92D050"/>
          </w:tcPr>
          <w:p w14:paraId="71A4CCAF"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99.78</w:t>
            </w:r>
          </w:p>
        </w:tc>
      </w:tr>
      <w:tr w:rsidR="00DE5AC5" w:rsidRPr="00532C20" w14:paraId="1B341671"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92D050"/>
            <w:noWrap/>
            <w:hideMark/>
          </w:tcPr>
          <w:p w14:paraId="64BAFB36"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6,000,000.00 – 6,499,999.00</w:t>
            </w:r>
          </w:p>
        </w:tc>
        <w:tc>
          <w:tcPr>
            <w:tcW w:w="928" w:type="dxa"/>
            <w:shd w:val="clear" w:color="auto" w:fill="92D050"/>
            <w:noWrap/>
            <w:hideMark/>
          </w:tcPr>
          <w:p w14:paraId="744420AE"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w:t>
            </w:r>
          </w:p>
        </w:tc>
        <w:tc>
          <w:tcPr>
            <w:tcW w:w="1417" w:type="dxa"/>
            <w:shd w:val="clear" w:color="auto" w:fill="92D050"/>
            <w:noWrap/>
            <w:hideMark/>
          </w:tcPr>
          <w:p w14:paraId="74A699C9"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0.07</w:t>
            </w:r>
          </w:p>
        </w:tc>
        <w:tc>
          <w:tcPr>
            <w:tcW w:w="1624" w:type="dxa"/>
            <w:shd w:val="clear" w:color="auto" w:fill="92D050"/>
          </w:tcPr>
          <w:p w14:paraId="3666A77C"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99.85</w:t>
            </w:r>
          </w:p>
        </w:tc>
      </w:tr>
      <w:tr w:rsidR="00DE5AC5" w:rsidRPr="00532C20" w14:paraId="08849A8A" w14:textId="77777777" w:rsidTr="00B379B7">
        <w:trPr>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92D050"/>
            <w:noWrap/>
            <w:hideMark/>
          </w:tcPr>
          <w:p w14:paraId="384DB116"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6,500,000.00 – 6,999,999.00</w:t>
            </w:r>
          </w:p>
        </w:tc>
        <w:tc>
          <w:tcPr>
            <w:tcW w:w="928" w:type="dxa"/>
            <w:shd w:val="clear" w:color="auto" w:fill="92D050"/>
            <w:noWrap/>
            <w:hideMark/>
          </w:tcPr>
          <w:p w14:paraId="178F7023"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1</w:t>
            </w:r>
          </w:p>
        </w:tc>
        <w:tc>
          <w:tcPr>
            <w:tcW w:w="1417" w:type="dxa"/>
            <w:shd w:val="clear" w:color="auto" w:fill="92D050"/>
            <w:noWrap/>
            <w:hideMark/>
          </w:tcPr>
          <w:p w14:paraId="74CDABB4"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0.07</w:t>
            </w:r>
          </w:p>
        </w:tc>
        <w:tc>
          <w:tcPr>
            <w:tcW w:w="1624" w:type="dxa"/>
            <w:shd w:val="clear" w:color="auto" w:fill="92D050"/>
          </w:tcPr>
          <w:p w14:paraId="1141130D" w14:textId="77777777" w:rsidR="00962309" w:rsidRPr="00532C20" w:rsidRDefault="00962309" w:rsidP="001E48F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rPr>
            </w:pPr>
            <w:r w:rsidRPr="00532C20">
              <w:rPr>
                <w:rFonts w:ascii="Times New Roman" w:eastAsia="Calibri" w:hAnsi="Times New Roman" w:cs="Times New Roman"/>
                <w:noProof/>
              </w:rPr>
              <w:t>99.92</w:t>
            </w:r>
          </w:p>
        </w:tc>
      </w:tr>
      <w:tr w:rsidR="00DE5AC5" w:rsidRPr="00532C20" w14:paraId="5A88A691" w14:textId="77777777" w:rsidTr="00B379B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828" w:type="dxa"/>
            <w:shd w:val="clear" w:color="auto" w:fill="4F81BD" w:themeFill="accent1"/>
            <w:noWrap/>
            <w:hideMark/>
          </w:tcPr>
          <w:p w14:paraId="6229582D" w14:textId="77777777" w:rsidR="00962309" w:rsidRPr="00532C20" w:rsidRDefault="00962309" w:rsidP="001E48FB">
            <w:pPr>
              <w:rPr>
                <w:rFonts w:ascii="Times New Roman" w:eastAsia="Calibri" w:hAnsi="Times New Roman" w:cs="Times New Roman"/>
                <w:noProof/>
              </w:rPr>
            </w:pPr>
            <w:r w:rsidRPr="00532C20">
              <w:rPr>
                <w:rFonts w:ascii="Times New Roman" w:eastAsia="Calibri" w:hAnsi="Times New Roman" w:cs="Times New Roman"/>
                <w:noProof/>
              </w:rPr>
              <w:t>Total</w:t>
            </w:r>
          </w:p>
        </w:tc>
        <w:tc>
          <w:tcPr>
            <w:tcW w:w="928" w:type="dxa"/>
            <w:noWrap/>
            <w:hideMark/>
          </w:tcPr>
          <w:p w14:paraId="6728B174"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rPr>
            </w:pPr>
            <w:r w:rsidRPr="00532C20">
              <w:rPr>
                <w:rFonts w:ascii="Times New Roman" w:eastAsia="Calibri" w:hAnsi="Times New Roman" w:cs="Times New Roman"/>
                <w:b/>
                <w:bCs/>
                <w:noProof/>
              </w:rPr>
              <w:t>1,370</w:t>
            </w:r>
          </w:p>
        </w:tc>
        <w:tc>
          <w:tcPr>
            <w:tcW w:w="1417" w:type="dxa"/>
            <w:noWrap/>
            <w:hideMark/>
          </w:tcPr>
          <w:p w14:paraId="1F2C99B1"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rPr>
            </w:pPr>
            <w:r w:rsidRPr="00532C20">
              <w:rPr>
                <w:rFonts w:ascii="Times New Roman" w:eastAsia="Calibri" w:hAnsi="Times New Roman" w:cs="Times New Roman"/>
                <w:b/>
                <w:bCs/>
                <w:noProof/>
              </w:rPr>
              <w:t>-</w:t>
            </w:r>
          </w:p>
        </w:tc>
        <w:tc>
          <w:tcPr>
            <w:tcW w:w="1624" w:type="dxa"/>
          </w:tcPr>
          <w:p w14:paraId="0D10DA05" w14:textId="77777777" w:rsidR="00962309" w:rsidRPr="00532C20" w:rsidRDefault="00962309" w:rsidP="001E48F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rPr>
            </w:pPr>
            <w:r w:rsidRPr="00532C20">
              <w:rPr>
                <w:rFonts w:ascii="Times New Roman" w:eastAsia="Calibri" w:hAnsi="Times New Roman" w:cs="Times New Roman"/>
                <w:b/>
                <w:bCs/>
                <w:noProof/>
              </w:rPr>
              <w:t>100</w:t>
            </w:r>
          </w:p>
        </w:tc>
      </w:tr>
    </w:tbl>
    <w:p w14:paraId="6DC58568" w14:textId="77777777" w:rsidR="001219CC" w:rsidRPr="00532C20" w:rsidRDefault="001219CC" w:rsidP="004B0958">
      <w:pPr>
        <w:spacing w:line="240" w:lineRule="auto"/>
        <w:jc w:val="both"/>
        <w:rPr>
          <w:rFonts w:ascii="Times New Roman" w:eastAsia="Times" w:hAnsi="Times New Roman" w:cs="Times New Roman"/>
          <w:noProof/>
          <w:sz w:val="24"/>
          <w:szCs w:val="24"/>
          <w:lang w:val="en-IE"/>
        </w:rPr>
      </w:pPr>
    </w:p>
    <w:p w14:paraId="3F5A6EE9" w14:textId="24242B52" w:rsidR="001376E6" w:rsidRPr="00532C20" w:rsidRDefault="001376E6" w:rsidP="004B0958">
      <w:pPr>
        <w:spacing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 xml:space="preserve">With regard to the </w:t>
      </w:r>
      <w:r w:rsidRPr="00532C20">
        <w:rPr>
          <w:rFonts w:ascii="Times New Roman" w:eastAsia="Times" w:hAnsi="Times New Roman" w:cs="Times New Roman"/>
          <w:b/>
          <w:noProof/>
          <w:sz w:val="24"/>
          <w:szCs w:val="24"/>
          <w:lang w:val="en-IE"/>
        </w:rPr>
        <w:t>second thresholds</w:t>
      </w:r>
      <w:r w:rsidRPr="00532C20">
        <w:rPr>
          <w:rFonts w:ascii="Times New Roman" w:eastAsia="Times" w:hAnsi="Times New Roman" w:cs="Times New Roman"/>
          <w:noProof/>
          <w:sz w:val="24"/>
          <w:szCs w:val="24"/>
          <w:lang w:val="en-IE"/>
        </w:rPr>
        <w:t xml:space="preserve">, as explained in the problem definition chapter, no data currently exists as to how much third countries spend on interest representation activities in the EU. It is therefore difficult to estimate at which pecuniary amount to draw to line. The only closest possible benchmark that could be used is that from the </w:t>
      </w:r>
      <w:r w:rsidR="002C1AD3" w:rsidRPr="00532C20">
        <w:rPr>
          <w:rFonts w:ascii="Times New Roman" w:eastAsia="Times" w:hAnsi="Times New Roman" w:cs="Times New Roman"/>
          <w:noProof/>
          <w:sz w:val="24"/>
          <w:szCs w:val="24"/>
          <w:lang w:val="en-IE"/>
        </w:rPr>
        <w:t>FARA</w:t>
      </w:r>
      <w:r w:rsidRPr="00532C20">
        <w:rPr>
          <w:rFonts w:ascii="Times New Roman" w:eastAsia="Times" w:hAnsi="Times New Roman" w:cs="Times New Roman"/>
          <w:noProof/>
          <w:sz w:val="24"/>
          <w:szCs w:val="24"/>
          <w:lang w:val="en-IE"/>
        </w:rPr>
        <w:t xml:space="preserve"> portal for 2020. However, this approach suffers from several limitations: (i) The market in the US is vastly different and amounts spent in interest representation activities tend to be much higher, and (ii) FARA covers a broader set of activities than the EU TR (for example, it includes spending by embassies, as well as spending on broadcast and media content which are excluded from both the EU T</w:t>
      </w:r>
      <w:r w:rsidR="008D6D12" w:rsidRPr="00532C20">
        <w:rPr>
          <w:rFonts w:ascii="Times New Roman" w:eastAsia="Times" w:hAnsi="Times New Roman" w:cs="Times New Roman"/>
          <w:noProof/>
          <w:sz w:val="24"/>
          <w:szCs w:val="24"/>
          <w:lang w:val="en-IE"/>
        </w:rPr>
        <w:t>ransparency Register</w:t>
      </w:r>
      <w:r w:rsidRPr="00532C20">
        <w:rPr>
          <w:rFonts w:ascii="Times New Roman" w:eastAsia="Times" w:hAnsi="Times New Roman" w:cs="Times New Roman"/>
          <w:noProof/>
          <w:sz w:val="24"/>
          <w:szCs w:val="24"/>
          <w:lang w:val="en-IE"/>
        </w:rPr>
        <w:t>).</w:t>
      </w:r>
    </w:p>
    <w:p w14:paraId="153A9A34" w14:textId="518197EA" w:rsidR="00FA032C" w:rsidRPr="00532C20" w:rsidRDefault="001376E6" w:rsidP="004B0958">
      <w:pPr>
        <w:spacing w:after="160" w:line="240" w:lineRule="auto"/>
        <w:jc w:val="both"/>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t>Nonetheless, the table below shows the total amount spent on</w:t>
      </w:r>
      <w:r w:rsidR="00F700CD" w:rsidRPr="00532C20">
        <w:rPr>
          <w:rFonts w:ascii="Times New Roman" w:eastAsia="Times" w:hAnsi="Times New Roman" w:cs="Times New Roman"/>
          <w:noProof/>
          <w:sz w:val="24"/>
          <w:szCs w:val="24"/>
          <w:lang w:val="en-IE"/>
        </w:rPr>
        <w:t xml:space="preserve"> </w:t>
      </w:r>
      <w:r w:rsidR="008763FC" w:rsidRPr="00532C20">
        <w:rPr>
          <w:rFonts w:ascii="Times New Roman" w:eastAsia="Times" w:hAnsi="Times New Roman" w:cs="Times New Roman"/>
          <w:noProof/>
          <w:sz w:val="24"/>
          <w:szCs w:val="24"/>
          <w:lang w:val="en-IE"/>
        </w:rPr>
        <w:t>so-called ‘</w:t>
      </w:r>
      <w:r w:rsidRPr="00532C20">
        <w:rPr>
          <w:rFonts w:ascii="Times New Roman" w:eastAsia="Times" w:hAnsi="Times New Roman" w:cs="Times New Roman"/>
          <w:noProof/>
          <w:sz w:val="24"/>
          <w:szCs w:val="24"/>
          <w:lang w:val="en-IE"/>
        </w:rPr>
        <w:t>core</w:t>
      </w:r>
      <w:r w:rsidR="008763FC" w:rsidRPr="00532C20">
        <w:rPr>
          <w:rFonts w:ascii="Times New Roman" w:eastAsia="Times" w:hAnsi="Times New Roman" w:cs="Times New Roman"/>
          <w:noProof/>
          <w:sz w:val="24"/>
          <w:szCs w:val="24"/>
          <w:lang w:val="en-IE"/>
        </w:rPr>
        <w:t>’</w:t>
      </w:r>
      <w:r w:rsidR="00F700CD" w:rsidRPr="00532C20">
        <w:rPr>
          <w:rFonts w:ascii="Times New Roman" w:eastAsia="Times" w:hAnsi="Times New Roman" w:cs="Times New Roman"/>
          <w:noProof/>
          <w:sz w:val="24"/>
          <w:szCs w:val="24"/>
          <w:lang w:val="en-IE"/>
        </w:rPr>
        <w:t xml:space="preserve"> </w:t>
      </w:r>
      <w:r w:rsidRPr="00532C20">
        <w:rPr>
          <w:rFonts w:ascii="Times New Roman" w:eastAsia="Times" w:hAnsi="Times New Roman" w:cs="Times New Roman"/>
          <w:noProof/>
          <w:sz w:val="24"/>
          <w:szCs w:val="24"/>
          <w:lang w:val="en-IE"/>
        </w:rPr>
        <w:t>interest representation services under FARA</w:t>
      </w:r>
      <w:r w:rsidR="008763FC" w:rsidRPr="00532C20">
        <w:rPr>
          <w:rStyle w:val="FootnoteReference"/>
          <w:rFonts w:ascii="Times New Roman" w:eastAsia="Times" w:hAnsi="Times New Roman" w:cs="Times New Roman"/>
          <w:noProof/>
          <w:sz w:val="24"/>
          <w:szCs w:val="24"/>
          <w:lang w:val="en-IE"/>
        </w:rPr>
        <w:footnoteReference w:id="323"/>
      </w:r>
      <w:r w:rsidRPr="00532C20">
        <w:rPr>
          <w:rFonts w:ascii="Times New Roman" w:eastAsia="Times" w:hAnsi="Times New Roman" w:cs="Times New Roman"/>
          <w:noProof/>
          <w:sz w:val="24"/>
          <w:szCs w:val="24"/>
          <w:lang w:val="en-IE"/>
        </w:rPr>
        <w:t xml:space="preserve"> by a selected set of countries in 2020, as well as the total amounts they reported under FARA that same year. These </w:t>
      </w:r>
      <w:r w:rsidR="00E16F9A" w:rsidRPr="00532C20">
        <w:rPr>
          <w:rFonts w:ascii="Times New Roman" w:eastAsia="Times" w:hAnsi="Times New Roman" w:cs="Times New Roman"/>
          <w:noProof/>
          <w:sz w:val="24"/>
          <w:szCs w:val="24"/>
          <w:lang w:val="en-IE"/>
        </w:rPr>
        <w:t xml:space="preserve">figures were used as a benchmark to help the </w:t>
      </w:r>
      <w:r w:rsidRPr="00532C20">
        <w:rPr>
          <w:rFonts w:ascii="Times New Roman" w:eastAsia="Times" w:hAnsi="Times New Roman" w:cs="Times New Roman"/>
          <w:noProof/>
          <w:sz w:val="24"/>
          <w:szCs w:val="24"/>
          <w:lang w:val="en-IE"/>
        </w:rPr>
        <w:t>definition of th</w:t>
      </w:r>
      <w:r w:rsidR="00A9771E" w:rsidRPr="00532C20">
        <w:rPr>
          <w:rFonts w:ascii="Times New Roman" w:eastAsia="Times" w:hAnsi="Times New Roman" w:cs="Times New Roman"/>
          <w:noProof/>
          <w:sz w:val="24"/>
          <w:szCs w:val="24"/>
          <w:lang w:val="en-IE"/>
        </w:rPr>
        <w:t xml:space="preserve">e second thresholds. Among the 11 selected third countries under the US FARA, the average amount spent by </w:t>
      </w:r>
      <w:r w:rsidR="00E16F9A" w:rsidRPr="00532C20">
        <w:rPr>
          <w:rFonts w:ascii="Times New Roman" w:eastAsia="Times" w:hAnsi="Times New Roman" w:cs="Times New Roman"/>
          <w:noProof/>
          <w:sz w:val="24"/>
          <w:szCs w:val="24"/>
          <w:lang w:val="en-IE"/>
        </w:rPr>
        <w:t>the selected</w:t>
      </w:r>
      <w:r w:rsidR="00A9771E" w:rsidRPr="00532C20">
        <w:rPr>
          <w:rFonts w:ascii="Times New Roman" w:eastAsia="Times" w:hAnsi="Times New Roman" w:cs="Times New Roman"/>
          <w:noProof/>
          <w:sz w:val="24"/>
          <w:szCs w:val="24"/>
          <w:lang w:val="en-IE"/>
        </w:rPr>
        <w:t xml:space="preserve"> third countries in 2020 </w:t>
      </w:r>
      <w:r w:rsidR="005B4C18" w:rsidRPr="00532C20">
        <w:rPr>
          <w:rFonts w:ascii="Times New Roman" w:eastAsia="Times" w:hAnsi="Times New Roman" w:cs="Times New Roman"/>
          <w:noProof/>
          <w:sz w:val="24"/>
          <w:szCs w:val="24"/>
          <w:lang w:val="en-IE"/>
        </w:rPr>
        <w:t xml:space="preserve">in the US </w:t>
      </w:r>
      <w:r w:rsidR="00A9771E" w:rsidRPr="00532C20">
        <w:rPr>
          <w:rFonts w:ascii="Times New Roman" w:eastAsia="Times" w:hAnsi="Times New Roman" w:cs="Times New Roman"/>
          <w:noProof/>
          <w:sz w:val="24"/>
          <w:szCs w:val="24"/>
          <w:lang w:val="en-IE"/>
        </w:rPr>
        <w:t xml:space="preserve">was </w:t>
      </w:r>
      <w:r w:rsidR="00BD622A" w:rsidRPr="00532C20">
        <w:rPr>
          <w:rFonts w:ascii="Times New Roman" w:eastAsia="Times" w:hAnsi="Times New Roman" w:cs="Times New Roman"/>
          <w:noProof/>
          <w:sz w:val="24"/>
          <w:szCs w:val="24"/>
          <w:lang w:val="en-IE"/>
        </w:rPr>
        <w:t xml:space="preserve">USD 12,090,456.12, which is </w:t>
      </w:r>
      <w:r w:rsidR="00A9771E" w:rsidRPr="00532C20">
        <w:rPr>
          <w:rFonts w:ascii="Times New Roman" w:eastAsia="Times" w:hAnsi="Times New Roman" w:cs="Times New Roman"/>
          <w:noProof/>
          <w:sz w:val="24"/>
          <w:szCs w:val="24"/>
          <w:lang w:val="en-IE"/>
        </w:rPr>
        <w:t>equivalent to EUR 11</w:t>
      </w:r>
      <w:r w:rsidR="006512D5" w:rsidRPr="00532C20">
        <w:rPr>
          <w:rFonts w:ascii="Times New Roman" w:eastAsia="Times" w:hAnsi="Times New Roman" w:cs="Times New Roman"/>
          <w:noProof/>
          <w:sz w:val="24"/>
          <w:szCs w:val="24"/>
          <w:lang w:val="en-IE"/>
        </w:rPr>
        <w:t xml:space="preserve"> </w:t>
      </w:r>
      <w:r w:rsidR="00A9771E" w:rsidRPr="00532C20">
        <w:rPr>
          <w:rFonts w:ascii="Times New Roman" w:eastAsia="Times" w:hAnsi="Times New Roman" w:cs="Times New Roman"/>
          <w:noProof/>
          <w:sz w:val="24"/>
          <w:szCs w:val="24"/>
          <w:lang w:val="en-IE"/>
        </w:rPr>
        <w:t>284</w:t>
      </w:r>
      <w:r w:rsidR="006512D5" w:rsidRPr="00532C20">
        <w:rPr>
          <w:rFonts w:ascii="Times New Roman" w:eastAsia="Times" w:hAnsi="Times New Roman" w:cs="Times New Roman"/>
          <w:noProof/>
          <w:sz w:val="24"/>
          <w:szCs w:val="24"/>
          <w:lang w:val="en-IE"/>
        </w:rPr>
        <w:t xml:space="preserve"> </w:t>
      </w:r>
      <w:r w:rsidR="00A9771E" w:rsidRPr="00532C20">
        <w:rPr>
          <w:rFonts w:ascii="Times New Roman" w:eastAsia="Times" w:hAnsi="Times New Roman" w:cs="Times New Roman"/>
          <w:noProof/>
          <w:sz w:val="24"/>
          <w:szCs w:val="24"/>
          <w:lang w:val="en-IE"/>
        </w:rPr>
        <w:t xml:space="preserve">730.04. Because the </w:t>
      </w:r>
      <w:r w:rsidR="005E3DF5" w:rsidRPr="00532C20">
        <w:rPr>
          <w:rFonts w:ascii="Times New Roman" w:eastAsia="Times" w:hAnsi="Times New Roman" w:cs="Times New Roman"/>
          <w:noProof/>
          <w:sz w:val="24"/>
          <w:szCs w:val="24"/>
          <w:lang w:val="en-IE"/>
        </w:rPr>
        <w:t>EU</w:t>
      </w:r>
      <w:r w:rsidR="00A9771E" w:rsidRPr="00532C20">
        <w:rPr>
          <w:rFonts w:ascii="Times New Roman" w:eastAsia="Times" w:hAnsi="Times New Roman" w:cs="Times New Roman"/>
          <w:noProof/>
          <w:sz w:val="24"/>
          <w:szCs w:val="24"/>
          <w:lang w:val="en-IE"/>
        </w:rPr>
        <w:t xml:space="preserve"> economy </w:t>
      </w:r>
      <w:r w:rsidR="00F976EB" w:rsidRPr="00532C20">
        <w:rPr>
          <w:rFonts w:ascii="Times New Roman" w:eastAsia="Times" w:hAnsi="Times New Roman" w:cs="Times New Roman"/>
          <w:noProof/>
          <w:sz w:val="24"/>
          <w:szCs w:val="24"/>
          <w:lang w:val="en-IE"/>
        </w:rPr>
        <w:t>was</w:t>
      </w:r>
      <w:r w:rsidR="00A9771E" w:rsidRPr="00532C20">
        <w:rPr>
          <w:rFonts w:ascii="Times New Roman" w:eastAsia="Times" w:hAnsi="Times New Roman" w:cs="Times New Roman"/>
          <w:noProof/>
          <w:sz w:val="24"/>
          <w:szCs w:val="24"/>
          <w:lang w:val="en-IE"/>
        </w:rPr>
        <w:t xml:space="preserve"> approximately 25% </w:t>
      </w:r>
      <w:r w:rsidR="005E3DF5" w:rsidRPr="00532C20">
        <w:rPr>
          <w:rFonts w:ascii="Times New Roman" w:eastAsia="Times" w:hAnsi="Times New Roman" w:cs="Times New Roman"/>
          <w:noProof/>
          <w:sz w:val="24"/>
          <w:szCs w:val="24"/>
          <w:lang w:val="en-IE"/>
        </w:rPr>
        <w:t>smaller</w:t>
      </w:r>
      <w:r w:rsidR="00A9771E" w:rsidRPr="00532C20">
        <w:rPr>
          <w:rFonts w:ascii="Times New Roman" w:eastAsia="Times" w:hAnsi="Times New Roman" w:cs="Times New Roman"/>
          <w:noProof/>
          <w:sz w:val="24"/>
          <w:szCs w:val="24"/>
          <w:lang w:val="en-IE"/>
        </w:rPr>
        <w:t xml:space="preserve"> than that of the </w:t>
      </w:r>
      <w:r w:rsidR="005E3DF5" w:rsidRPr="00532C20">
        <w:rPr>
          <w:rFonts w:ascii="Times New Roman" w:eastAsia="Times" w:hAnsi="Times New Roman" w:cs="Times New Roman"/>
          <w:noProof/>
          <w:sz w:val="24"/>
          <w:szCs w:val="24"/>
          <w:lang w:val="en-IE"/>
        </w:rPr>
        <w:t>US</w:t>
      </w:r>
      <w:r w:rsidR="00F976EB" w:rsidRPr="00532C20">
        <w:rPr>
          <w:rFonts w:ascii="Times New Roman" w:eastAsia="Times" w:hAnsi="Times New Roman" w:cs="Times New Roman"/>
          <w:noProof/>
          <w:sz w:val="24"/>
          <w:szCs w:val="24"/>
          <w:lang w:val="en-IE"/>
        </w:rPr>
        <w:t xml:space="preserve"> in 2020</w:t>
      </w:r>
      <w:r w:rsidR="00A9771E" w:rsidRPr="00532C20">
        <w:rPr>
          <w:rFonts w:ascii="Times New Roman" w:eastAsia="Times" w:hAnsi="Times New Roman" w:cs="Times New Roman"/>
          <w:noProof/>
          <w:sz w:val="24"/>
          <w:szCs w:val="24"/>
          <w:vertAlign w:val="superscript"/>
          <w:lang w:val="en-IE"/>
        </w:rPr>
        <w:footnoteReference w:id="324"/>
      </w:r>
      <w:r w:rsidR="00A9771E" w:rsidRPr="00532C20">
        <w:rPr>
          <w:rFonts w:ascii="Times New Roman" w:eastAsia="Times" w:hAnsi="Times New Roman" w:cs="Times New Roman"/>
          <w:noProof/>
          <w:sz w:val="24"/>
          <w:szCs w:val="24"/>
          <w:lang w:val="en-IE"/>
        </w:rPr>
        <w:t xml:space="preserve">, </w:t>
      </w:r>
      <w:r w:rsidR="00F976EB" w:rsidRPr="00532C20">
        <w:rPr>
          <w:rFonts w:ascii="Times New Roman" w:eastAsia="Times" w:hAnsi="Times New Roman" w:cs="Times New Roman"/>
          <w:noProof/>
          <w:sz w:val="24"/>
          <w:szCs w:val="24"/>
          <w:lang w:val="en-IE"/>
        </w:rPr>
        <w:t xml:space="preserve">a </w:t>
      </w:r>
      <w:r w:rsidR="00A9771E" w:rsidRPr="00532C20">
        <w:rPr>
          <w:rFonts w:ascii="Times New Roman" w:eastAsia="Times" w:hAnsi="Times New Roman" w:cs="Times New Roman"/>
          <w:noProof/>
          <w:sz w:val="24"/>
          <w:szCs w:val="24"/>
          <w:lang w:val="en-IE"/>
        </w:rPr>
        <w:t xml:space="preserve">factor </w:t>
      </w:r>
      <w:r w:rsidR="00F976EB" w:rsidRPr="00532C20">
        <w:rPr>
          <w:rFonts w:ascii="Times New Roman" w:eastAsia="Times" w:hAnsi="Times New Roman" w:cs="Times New Roman"/>
          <w:noProof/>
          <w:sz w:val="24"/>
          <w:szCs w:val="24"/>
          <w:lang w:val="en-IE"/>
        </w:rPr>
        <w:t xml:space="preserve">of 25% was applied </w:t>
      </w:r>
      <w:r w:rsidR="00A9771E" w:rsidRPr="00532C20">
        <w:rPr>
          <w:rFonts w:ascii="Times New Roman" w:eastAsia="Times" w:hAnsi="Times New Roman" w:cs="Times New Roman"/>
          <w:noProof/>
          <w:sz w:val="24"/>
          <w:szCs w:val="24"/>
          <w:lang w:val="en-IE"/>
        </w:rPr>
        <w:t>to this amount, leading to a threshold of EUR 8</w:t>
      </w:r>
      <w:r w:rsidR="006512D5" w:rsidRPr="00532C20">
        <w:rPr>
          <w:rFonts w:ascii="Times New Roman" w:eastAsia="Times" w:hAnsi="Times New Roman" w:cs="Times New Roman"/>
          <w:noProof/>
          <w:sz w:val="24"/>
          <w:szCs w:val="24"/>
          <w:lang w:val="en-IE"/>
        </w:rPr>
        <w:t xml:space="preserve"> </w:t>
      </w:r>
      <w:r w:rsidR="00A9771E" w:rsidRPr="00532C20">
        <w:rPr>
          <w:rFonts w:ascii="Times New Roman" w:eastAsia="Times" w:hAnsi="Times New Roman" w:cs="Times New Roman"/>
          <w:noProof/>
          <w:sz w:val="24"/>
          <w:szCs w:val="24"/>
          <w:lang w:val="en-IE"/>
        </w:rPr>
        <w:t>463</w:t>
      </w:r>
      <w:r w:rsidR="006512D5" w:rsidRPr="00532C20">
        <w:rPr>
          <w:rFonts w:ascii="Times New Roman" w:eastAsia="Times" w:hAnsi="Times New Roman" w:cs="Times New Roman"/>
          <w:noProof/>
          <w:sz w:val="24"/>
          <w:szCs w:val="24"/>
          <w:lang w:val="en-IE"/>
        </w:rPr>
        <w:t xml:space="preserve"> </w:t>
      </w:r>
      <w:r w:rsidR="00A9771E" w:rsidRPr="00532C20">
        <w:rPr>
          <w:rFonts w:ascii="Times New Roman" w:eastAsia="Times" w:hAnsi="Times New Roman" w:cs="Times New Roman"/>
          <w:noProof/>
          <w:sz w:val="24"/>
          <w:szCs w:val="24"/>
          <w:lang w:val="en-IE"/>
        </w:rPr>
        <w:t>547.53</w:t>
      </w:r>
      <w:r w:rsidR="00A9771E" w:rsidRPr="00532C20">
        <w:rPr>
          <w:rFonts w:ascii="Times New Roman" w:eastAsia="Times" w:hAnsi="Times New Roman" w:cs="Times New Roman"/>
          <w:noProof/>
          <w:sz w:val="24"/>
          <w:szCs w:val="24"/>
          <w:vertAlign w:val="superscript"/>
          <w:lang w:val="en-IE"/>
        </w:rPr>
        <w:footnoteReference w:id="325"/>
      </w:r>
      <w:r w:rsidR="005B4C18" w:rsidRPr="00532C20">
        <w:rPr>
          <w:rFonts w:ascii="Times New Roman" w:eastAsia="Times" w:hAnsi="Times New Roman" w:cs="Times New Roman"/>
          <w:noProof/>
          <w:sz w:val="24"/>
          <w:szCs w:val="24"/>
          <w:lang w:val="en-IE"/>
        </w:rPr>
        <w:t xml:space="preserve">. This figure was then approximated to </w:t>
      </w:r>
      <w:r w:rsidR="00A9771E" w:rsidRPr="00532C20">
        <w:rPr>
          <w:rFonts w:ascii="Times New Roman" w:eastAsia="Times" w:hAnsi="Times New Roman" w:cs="Times New Roman"/>
          <w:noProof/>
          <w:sz w:val="24"/>
          <w:szCs w:val="24"/>
          <w:lang w:val="en-IE"/>
        </w:rPr>
        <w:t>EUR 8</w:t>
      </w:r>
      <w:r w:rsidR="006512D5" w:rsidRPr="00532C20">
        <w:rPr>
          <w:rFonts w:ascii="Times New Roman" w:eastAsia="Times" w:hAnsi="Times New Roman" w:cs="Times New Roman"/>
          <w:noProof/>
          <w:sz w:val="24"/>
          <w:szCs w:val="24"/>
          <w:lang w:val="en-IE"/>
        </w:rPr>
        <w:t xml:space="preserve"> </w:t>
      </w:r>
      <w:r w:rsidR="00A9771E" w:rsidRPr="00532C20">
        <w:rPr>
          <w:rFonts w:ascii="Times New Roman" w:eastAsia="Times" w:hAnsi="Times New Roman" w:cs="Times New Roman"/>
          <w:noProof/>
          <w:sz w:val="24"/>
          <w:szCs w:val="24"/>
          <w:lang w:val="en-IE"/>
        </w:rPr>
        <w:t>500</w:t>
      </w:r>
      <w:r w:rsidR="006512D5" w:rsidRPr="00532C20">
        <w:rPr>
          <w:rFonts w:ascii="Times New Roman" w:eastAsia="Times" w:hAnsi="Times New Roman" w:cs="Times New Roman"/>
          <w:noProof/>
          <w:sz w:val="24"/>
          <w:szCs w:val="24"/>
          <w:lang w:val="en-IE"/>
        </w:rPr>
        <w:t xml:space="preserve"> </w:t>
      </w:r>
      <w:r w:rsidR="00A9771E" w:rsidRPr="00532C20">
        <w:rPr>
          <w:rFonts w:ascii="Times New Roman" w:eastAsia="Times" w:hAnsi="Times New Roman" w:cs="Times New Roman"/>
          <w:noProof/>
          <w:sz w:val="24"/>
          <w:szCs w:val="24"/>
          <w:lang w:val="en-IE"/>
        </w:rPr>
        <w:t>000</w:t>
      </w:r>
      <w:r w:rsidR="00B1326D" w:rsidRPr="00532C20">
        <w:rPr>
          <w:rFonts w:ascii="Times New Roman" w:eastAsia="Times" w:hAnsi="Times New Roman" w:cs="Times New Roman"/>
          <w:noProof/>
          <w:sz w:val="24"/>
          <w:szCs w:val="24"/>
          <w:lang w:val="en-IE"/>
        </w:rPr>
        <w:t xml:space="preserve">. </w:t>
      </w:r>
    </w:p>
    <w:tbl>
      <w:tblPr>
        <w:tblStyle w:val="GridTable4-Accent1"/>
        <w:tblW w:w="8982" w:type="dxa"/>
        <w:tblLook w:val="04A0" w:firstRow="1" w:lastRow="0" w:firstColumn="1" w:lastColumn="0" w:noHBand="0" w:noVBand="1"/>
      </w:tblPr>
      <w:tblGrid>
        <w:gridCol w:w="2857"/>
        <w:gridCol w:w="2425"/>
        <w:gridCol w:w="3700"/>
      </w:tblGrid>
      <w:tr w:rsidR="00B76693" w:rsidRPr="00532C20" w14:paraId="25619E71" w14:textId="77777777" w:rsidTr="001219CC">
        <w:trPr>
          <w:cnfStyle w:val="100000000000" w:firstRow="1" w:lastRow="0" w:firstColumn="0" w:lastColumn="0" w:oddVBand="0" w:evenVBand="0" w:oddHBand="0"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982" w:type="dxa"/>
            <w:gridSpan w:val="3"/>
          </w:tcPr>
          <w:p w14:paraId="5F71A206" w14:textId="53FD6B92" w:rsidR="00B76693" w:rsidRPr="00532C20" w:rsidRDefault="00B76693" w:rsidP="004B0958">
            <w:pPr>
              <w:jc w:val="center"/>
              <w:textAlignment w:val="baseline"/>
              <w:rPr>
                <w:rFonts w:ascii="Times New Roman" w:eastAsia="Times New Roman" w:hAnsi="Times New Roman" w:cs="Times New Roman"/>
                <w:noProof/>
                <w:lang w:eastAsia="en-IE"/>
              </w:rPr>
            </w:pPr>
            <w:r w:rsidRPr="00532C20">
              <w:rPr>
                <w:rFonts w:ascii="Times New Roman" w:eastAsia="Times New Roman" w:hAnsi="Times New Roman" w:cs="Times New Roman"/>
                <w:noProof/>
                <w:lang w:eastAsia="en-IE"/>
              </w:rPr>
              <w:t>TABLE 3: Lobbying costs reported under US FARA</w:t>
            </w:r>
          </w:p>
        </w:tc>
      </w:tr>
      <w:tr w:rsidR="00BE3114" w:rsidRPr="00532C20" w14:paraId="0C63A61E" w14:textId="77777777" w:rsidTr="001219CC">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2857" w:type="dxa"/>
            <w:shd w:val="clear" w:color="auto" w:fill="8DB3E2" w:themeFill="text2" w:themeFillTint="66"/>
            <w:hideMark/>
          </w:tcPr>
          <w:p w14:paraId="19F9D2CA" w14:textId="77777777" w:rsidR="00BE3114" w:rsidRPr="00532C20" w:rsidRDefault="00BE3114" w:rsidP="004B0958">
            <w:pPr>
              <w:jc w:val="center"/>
              <w:textAlignment w:val="baseline"/>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lang w:eastAsia="en-IE"/>
              </w:rPr>
              <w:t>Selected 3</w:t>
            </w:r>
            <w:r w:rsidRPr="00532C20">
              <w:rPr>
                <w:rFonts w:ascii="Times New Roman" w:eastAsia="Times New Roman" w:hAnsi="Times New Roman" w:cs="Times New Roman"/>
                <w:noProof/>
                <w:vertAlign w:val="superscript"/>
                <w:lang w:eastAsia="en-IE"/>
              </w:rPr>
              <w:t>rd</w:t>
            </w:r>
            <w:r w:rsidRPr="00532C20">
              <w:rPr>
                <w:rFonts w:ascii="Times New Roman" w:eastAsia="Times New Roman" w:hAnsi="Times New Roman" w:cs="Times New Roman"/>
                <w:noProof/>
                <w:lang w:eastAsia="en-IE"/>
              </w:rPr>
              <w:t xml:space="preserve"> Country</w:t>
            </w:r>
            <w:r w:rsidRPr="00532C20">
              <w:rPr>
                <w:rFonts w:ascii="Times New Roman" w:eastAsia="Times New Roman" w:hAnsi="Times New Roman" w:cs="Times New Roman"/>
                <w:noProof/>
                <w:lang w:val="en-IE" w:eastAsia="en-IE"/>
              </w:rPr>
              <w:t> </w:t>
            </w:r>
          </w:p>
        </w:tc>
        <w:tc>
          <w:tcPr>
            <w:tcW w:w="2425" w:type="dxa"/>
            <w:shd w:val="clear" w:color="auto" w:fill="8DB3E2" w:themeFill="text2" w:themeFillTint="66"/>
          </w:tcPr>
          <w:p w14:paraId="20184ED9" w14:textId="733F3542" w:rsidR="00BE3114" w:rsidRPr="00532C20" w:rsidRDefault="00BE3114" w:rsidP="004B095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lang w:eastAsia="en-IE"/>
              </w:rPr>
            </w:pPr>
            <w:r w:rsidRPr="00532C20">
              <w:rPr>
                <w:rFonts w:ascii="Times New Roman" w:eastAsia="Times New Roman" w:hAnsi="Times New Roman" w:cs="Times New Roman"/>
                <w:b/>
                <w:noProof/>
                <w:lang w:eastAsia="en-IE"/>
              </w:rPr>
              <w:t>Total amounts reported under FARA in 2020</w:t>
            </w:r>
            <w:r w:rsidR="00F55431" w:rsidRPr="00532C20">
              <w:rPr>
                <w:rStyle w:val="FootnoteReference"/>
                <w:rFonts w:ascii="Times New Roman" w:eastAsia="Times New Roman" w:hAnsi="Times New Roman" w:cs="Times New Roman"/>
                <w:b/>
                <w:noProof/>
                <w:lang w:eastAsia="en-IE"/>
              </w:rPr>
              <w:footnoteReference w:id="326"/>
            </w:r>
          </w:p>
        </w:tc>
        <w:tc>
          <w:tcPr>
            <w:tcW w:w="3699" w:type="dxa"/>
            <w:shd w:val="clear" w:color="auto" w:fill="8DB3E2" w:themeFill="text2" w:themeFillTint="66"/>
            <w:hideMark/>
          </w:tcPr>
          <w:p w14:paraId="5F95AEE6" w14:textId="1B364D5A" w:rsidR="00BE3114" w:rsidRPr="00532C20" w:rsidRDefault="00BE3114" w:rsidP="004B095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lang w:val="en-IE" w:eastAsia="en-IE"/>
              </w:rPr>
            </w:pPr>
            <w:r w:rsidRPr="00532C20">
              <w:rPr>
                <w:rFonts w:ascii="Times New Roman" w:eastAsia="Times New Roman" w:hAnsi="Times New Roman" w:cs="Times New Roman"/>
                <w:b/>
                <w:noProof/>
                <w:lang w:eastAsia="en-IE"/>
              </w:rPr>
              <w:t>Total amounts spent on core interest representation services in 2020</w:t>
            </w:r>
          </w:p>
        </w:tc>
      </w:tr>
      <w:tr w:rsidR="00BE3114" w:rsidRPr="00532C20" w14:paraId="7DC86871" w14:textId="77777777" w:rsidTr="001219CC">
        <w:trPr>
          <w:trHeight w:val="8"/>
        </w:trPr>
        <w:tc>
          <w:tcPr>
            <w:cnfStyle w:val="001000000000" w:firstRow="0" w:lastRow="0" w:firstColumn="1" w:lastColumn="0" w:oddVBand="0" w:evenVBand="0" w:oddHBand="0" w:evenHBand="0" w:firstRowFirstColumn="0" w:firstRowLastColumn="0" w:lastRowFirstColumn="0" w:lastRowLastColumn="0"/>
            <w:tcW w:w="2857" w:type="dxa"/>
            <w:hideMark/>
          </w:tcPr>
          <w:p w14:paraId="65E88A56" w14:textId="77777777" w:rsidR="00BE3114" w:rsidRPr="00532C20" w:rsidRDefault="00BE3114" w:rsidP="004B0958">
            <w:pPr>
              <w:textAlignment w:val="baseline"/>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lang w:eastAsia="en-IE"/>
              </w:rPr>
              <w:t>Canada</w:t>
            </w:r>
            <w:r w:rsidRPr="00532C20">
              <w:rPr>
                <w:rFonts w:ascii="Times New Roman" w:eastAsia="Times New Roman" w:hAnsi="Times New Roman" w:cs="Times New Roman"/>
                <w:noProof/>
                <w:lang w:val="en-IE" w:eastAsia="en-IE"/>
              </w:rPr>
              <w:t> </w:t>
            </w:r>
          </w:p>
        </w:tc>
        <w:tc>
          <w:tcPr>
            <w:tcW w:w="2425" w:type="dxa"/>
          </w:tcPr>
          <w:p w14:paraId="25100359" w14:textId="77777777" w:rsidR="00BE3114" w:rsidRPr="00532C20" w:rsidRDefault="00BE3114" w:rsidP="004B0958">
            <w:pPr>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IE"/>
              </w:rPr>
            </w:pPr>
            <w:r w:rsidRPr="00532C20">
              <w:rPr>
                <w:rFonts w:ascii="Times New Roman" w:eastAsia="Times New Roman" w:hAnsi="Times New Roman" w:cs="Times New Roman"/>
                <w:noProof/>
                <w:color w:val="000000" w:themeColor="text1"/>
                <w:lang w:eastAsia="en-IE"/>
              </w:rPr>
              <w:t xml:space="preserve"> USD 12,602,960.45 </w:t>
            </w:r>
          </w:p>
        </w:tc>
        <w:tc>
          <w:tcPr>
            <w:tcW w:w="3699" w:type="dxa"/>
            <w:hideMark/>
          </w:tcPr>
          <w:p w14:paraId="725D3BB4" w14:textId="77777777" w:rsidR="00BE3114" w:rsidRPr="00532C20" w:rsidRDefault="00BE3114" w:rsidP="004B0958">
            <w:pPr>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color w:val="000000" w:themeColor="text1"/>
                <w:lang w:eastAsia="en-IE"/>
              </w:rPr>
              <w:t>USD 1,244,662.12</w:t>
            </w:r>
            <w:r w:rsidRPr="00532C20">
              <w:rPr>
                <w:rFonts w:ascii="Times New Roman" w:eastAsia="Times New Roman" w:hAnsi="Times New Roman" w:cs="Times New Roman"/>
                <w:noProof/>
                <w:color w:val="000000" w:themeColor="text1"/>
                <w:lang w:val="en-IE" w:eastAsia="en-IE"/>
              </w:rPr>
              <w:t> </w:t>
            </w:r>
          </w:p>
        </w:tc>
      </w:tr>
      <w:tr w:rsidR="00BE3114" w:rsidRPr="00532C20" w14:paraId="7657E625" w14:textId="77777777" w:rsidTr="001219CC">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2857" w:type="dxa"/>
            <w:hideMark/>
          </w:tcPr>
          <w:p w14:paraId="0C5BA13A" w14:textId="77777777" w:rsidR="00BE3114" w:rsidRPr="00532C20" w:rsidRDefault="00BE3114" w:rsidP="004B0958">
            <w:pPr>
              <w:textAlignment w:val="baseline"/>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lang w:eastAsia="en-IE"/>
              </w:rPr>
              <w:t>Russia</w:t>
            </w:r>
            <w:r w:rsidRPr="00532C20">
              <w:rPr>
                <w:rFonts w:ascii="Times New Roman" w:eastAsia="Times New Roman" w:hAnsi="Times New Roman" w:cs="Times New Roman"/>
                <w:noProof/>
                <w:lang w:val="en-IE" w:eastAsia="en-IE"/>
              </w:rPr>
              <w:t> </w:t>
            </w:r>
          </w:p>
        </w:tc>
        <w:tc>
          <w:tcPr>
            <w:tcW w:w="2425" w:type="dxa"/>
          </w:tcPr>
          <w:p w14:paraId="3244F062" w14:textId="77777777" w:rsidR="00BE3114" w:rsidRPr="00532C20" w:rsidRDefault="00BE3114" w:rsidP="004B0958">
            <w:pPr>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IE"/>
              </w:rPr>
            </w:pPr>
            <w:r w:rsidRPr="00532C20">
              <w:rPr>
                <w:rFonts w:ascii="Times New Roman" w:eastAsia="Times New Roman" w:hAnsi="Times New Roman" w:cs="Times New Roman"/>
                <w:noProof/>
                <w:color w:val="000000" w:themeColor="text1"/>
                <w:lang w:eastAsia="en-IE"/>
              </w:rPr>
              <w:t>USD 45,320,532.84 </w:t>
            </w:r>
          </w:p>
        </w:tc>
        <w:tc>
          <w:tcPr>
            <w:tcW w:w="3699" w:type="dxa"/>
            <w:hideMark/>
          </w:tcPr>
          <w:p w14:paraId="19C6AFED" w14:textId="77777777" w:rsidR="00BE3114" w:rsidRPr="00532C20" w:rsidRDefault="00BE3114" w:rsidP="004B0958">
            <w:pPr>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color w:val="000000" w:themeColor="text1"/>
                <w:lang w:eastAsia="en-IE"/>
              </w:rPr>
              <w:t>USD 2,992,033.28</w:t>
            </w:r>
            <w:r w:rsidRPr="00532C20">
              <w:rPr>
                <w:rFonts w:ascii="Times New Roman" w:eastAsia="Times New Roman" w:hAnsi="Times New Roman" w:cs="Times New Roman"/>
                <w:noProof/>
                <w:color w:val="000000" w:themeColor="text1"/>
                <w:lang w:val="en-IE" w:eastAsia="en-IE"/>
              </w:rPr>
              <w:t> </w:t>
            </w:r>
          </w:p>
        </w:tc>
      </w:tr>
      <w:tr w:rsidR="00BE3114" w:rsidRPr="00532C20" w14:paraId="58244148" w14:textId="77777777" w:rsidTr="001219CC">
        <w:trPr>
          <w:trHeight w:val="8"/>
        </w:trPr>
        <w:tc>
          <w:tcPr>
            <w:cnfStyle w:val="001000000000" w:firstRow="0" w:lastRow="0" w:firstColumn="1" w:lastColumn="0" w:oddVBand="0" w:evenVBand="0" w:oddHBand="0" w:evenHBand="0" w:firstRowFirstColumn="0" w:firstRowLastColumn="0" w:lastRowFirstColumn="0" w:lastRowLastColumn="0"/>
            <w:tcW w:w="2857" w:type="dxa"/>
            <w:hideMark/>
          </w:tcPr>
          <w:p w14:paraId="25250B7C" w14:textId="77777777" w:rsidR="00BE3114" w:rsidRPr="00532C20" w:rsidRDefault="00BE3114" w:rsidP="004B0958">
            <w:pPr>
              <w:textAlignment w:val="baseline"/>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lang w:eastAsia="en-IE"/>
              </w:rPr>
              <w:t>Morocco</w:t>
            </w:r>
            <w:r w:rsidRPr="00532C20">
              <w:rPr>
                <w:rFonts w:ascii="Times New Roman" w:eastAsia="Times New Roman" w:hAnsi="Times New Roman" w:cs="Times New Roman"/>
                <w:noProof/>
                <w:lang w:val="en-IE" w:eastAsia="en-IE"/>
              </w:rPr>
              <w:t> </w:t>
            </w:r>
          </w:p>
        </w:tc>
        <w:tc>
          <w:tcPr>
            <w:tcW w:w="2425" w:type="dxa"/>
          </w:tcPr>
          <w:p w14:paraId="19365935" w14:textId="77777777" w:rsidR="00BE3114" w:rsidRPr="00532C20" w:rsidRDefault="00BE3114" w:rsidP="004B0958">
            <w:pPr>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IE"/>
              </w:rPr>
            </w:pPr>
            <w:r w:rsidRPr="00532C20">
              <w:rPr>
                <w:rFonts w:ascii="Times New Roman" w:eastAsia="Times New Roman" w:hAnsi="Times New Roman" w:cs="Times New Roman"/>
                <w:noProof/>
                <w:color w:val="000000" w:themeColor="text1"/>
                <w:lang w:eastAsia="en-IE"/>
              </w:rPr>
              <w:t>USD 4,090,941.91 </w:t>
            </w:r>
          </w:p>
        </w:tc>
        <w:tc>
          <w:tcPr>
            <w:tcW w:w="3699" w:type="dxa"/>
            <w:hideMark/>
          </w:tcPr>
          <w:p w14:paraId="550912D4" w14:textId="77777777" w:rsidR="00BE3114" w:rsidRPr="00532C20" w:rsidRDefault="00BE3114" w:rsidP="004B0958">
            <w:pPr>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color w:val="000000" w:themeColor="text1"/>
                <w:lang w:eastAsia="en-IE"/>
              </w:rPr>
              <w:t>USD 3,149,269.29</w:t>
            </w:r>
            <w:r w:rsidRPr="00532C20">
              <w:rPr>
                <w:rFonts w:ascii="Times New Roman" w:eastAsia="Times New Roman" w:hAnsi="Times New Roman" w:cs="Times New Roman"/>
                <w:noProof/>
                <w:color w:val="000000" w:themeColor="text1"/>
                <w:lang w:val="en-IE" w:eastAsia="en-IE"/>
              </w:rPr>
              <w:t> </w:t>
            </w:r>
          </w:p>
        </w:tc>
      </w:tr>
      <w:tr w:rsidR="00BE3114" w:rsidRPr="00532C20" w14:paraId="23FC1FDD" w14:textId="77777777" w:rsidTr="001219CC">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2857" w:type="dxa"/>
            <w:hideMark/>
          </w:tcPr>
          <w:p w14:paraId="01E94113" w14:textId="77777777" w:rsidR="00BE3114" w:rsidRPr="00532C20" w:rsidRDefault="00BE3114" w:rsidP="004B0958">
            <w:pPr>
              <w:textAlignment w:val="baseline"/>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lang w:eastAsia="en-IE"/>
              </w:rPr>
              <w:t>Iraq</w:t>
            </w:r>
            <w:r w:rsidRPr="00532C20">
              <w:rPr>
                <w:rFonts w:ascii="Times New Roman" w:eastAsia="Times New Roman" w:hAnsi="Times New Roman" w:cs="Times New Roman"/>
                <w:noProof/>
                <w:lang w:val="en-IE" w:eastAsia="en-IE"/>
              </w:rPr>
              <w:t> </w:t>
            </w:r>
          </w:p>
        </w:tc>
        <w:tc>
          <w:tcPr>
            <w:tcW w:w="2425" w:type="dxa"/>
          </w:tcPr>
          <w:p w14:paraId="6C72282D" w14:textId="77777777" w:rsidR="00BE3114" w:rsidRPr="00532C20" w:rsidRDefault="00BE3114" w:rsidP="004B0958">
            <w:pPr>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IE"/>
              </w:rPr>
            </w:pPr>
            <w:r w:rsidRPr="00532C20">
              <w:rPr>
                <w:rFonts w:ascii="Times New Roman" w:eastAsia="Times New Roman" w:hAnsi="Times New Roman" w:cs="Times New Roman"/>
                <w:noProof/>
                <w:color w:val="000000" w:themeColor="text1"/>
                <w:lang w:eastAsia="en-IE"/>
              </w:rPr>
              <w:t>USD 3,413,684.68 </w:t>
            </w:r>
          </w:p>
        </w:tc>
        <w:tc>
          <w:tcPr>
            <w:tcW w:w="3699" w:type="dxa"/>
            <w:hideMark/>
          </w:tcPr>
          <w:p w14:paraId="727C41FB" w14:textId="77777777" w:rsidR="00BE3114" w:rsidRPr="00532C20" w:rsidRDefault="00BE3114" w:rsidP="004B0958">
            <w:pPr>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color w:val="000000" w:themeColor="text1"/>
                <w:lang w:eastAsia="en-IE"/>
              </w:rPr>
              <w:t>USD 3,383,533.79</w:t>
            </w:r>
            <w:r w:rsidRPr="00532C20">
              <w:rPr>
                <w:rFonts w:ascii="Times New Roman" w:eastAsia="Times New Roman" w:hAnsi="Times New Roman" w:cs="Times New Roman"/>
                <w:noProof/>
                <w:color w:val="000000" w:themeColor="text1"/>
                <w:lang w:val="en-IE" w:eastAsia="en-IE"/>
              </w:rPr>
              <w:t> </w:t>
            </w:r>
          </w:p>
        </w:tc>
      </w:tr>
      <w:tr w:rsidR="00BE3114" w:rsidRPr="00532C20" w14:paraId="1B804E1A" w14:textId="77777777" w:rsidTr="001219CC">
        <w:trPr>
          <w:trHeight w:val="8"/>
        </w:trPr>
        <w:tc>
          <w:tcPr>
            <w:cnfStyle w:val="001000000000" w:firstRow="0" w:lastRow="0" w:firstColumn="1" w:lastColumn="0" w:oddVBand="0" w:evenVBand="0" w:oddHBand="0" w:evenHBand="0" w:firstRowFirstColumn="0" w:firstRowLastColumn="0" w:lastRowFirstColumn="0" w:lastRowLastColumn="0"/>
            <w:tcW w:w="2857" w:type="dxa"/>
            <w:hideMark/>
          </w:tcPr>
          <w:p w14:paraId="1A5F277F" w14:textId="77777777" w:rsidR="00BE3114" w:rsidRPr="00532C20" w:rsidRDefault="00BE3114" w:rsidP="004B0958">
            <w:pPr>
              <w:textAlignment w:val="baseline"/>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lang w:eastAsia="en-IE"/>
              </w:rPr>
              <w:t>South Korea</w:t>
            </w:r>
            <w:r w:rsidRPr="00532C20">
              <w:rPr>
                <w:rFonts w:ascii="Times New Roman" w:eastAsia="Times New Roman" w:hAnsi="Times New Roman" w:cs="Times New Roman"/>
                <w:noProof/>
                <w:lang w:val="en-IE" w:eastAsia="en-IE"/>
              </w:rPr>
              <w:t> </w:t>
            </w:r>
          </w:p>
        </w:tc>
        <w:tc>
          <w:tcPr>
            <w:tcW w:w="2425" w:type="dxa"/>
          </w:tcPr>
          <w:p w14:paraId="4F7AEE2E" w14:textId="77777777" w:rsidR="00BE3114" w:rsidRPr="00532C20" w:rsidRDefault="00BE3114" w:rsidP="004B0958">
            <w:pPr>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IE"/>
              </w:rPr>
            </w:pPr>
            <w:r w:rsidRPr="00532C20">
              <w:rPr>
                <w:rFonts w:ascii="Times New Roman" w:eastAsia="Times New Roman" w:hAnsi="Times New Roman" w:cs="Times New Roman"/>
                <w:noProof/>
                <w:color w:val="000000" w:themeColor="text1"/>
                <w:lang w:eastAsia="en-IE"/>
              </w:rPr>
              <w:t>USD 31,051,235.52 </w:t>
            </w:r>
          </w:p>
        </w:tc>
        <w:tc>
          <w:tcPr>
            <w:tcW w:w="3699" w:type="dxa"/>
            <w:hideMark/>
          </w:tcPr>
          <w:p w14:paraId="3A1039A5" w14:textId="77777777" w:rsidR="00BE3114" w:rsidRPr="00532C20" w:rsidRDefault="00BE3114" w:rsidP="004B0958">
            <w:pPr>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color w:val="000000" w:themeColor="text1"/>
                <w:lang w:eastAsia="en-IE"/>
              </w:rPr>
              <w:t>USD 3,805,698.95</w:t>
            </w:r>
            <w:r w:rsidRPr="00532C20">
              <w:rPr>
                <w:rFonts w:ascii="Times New Roman" w:eastAsia="Times New Roman" w:hAnsi="Times New Roman" w:cs="Times New Roman"/>
                <w:noProof/>
                <w:color w:val="000000" w:themeColor="text1"/>
                <w:lang w:val="en-IE" w:eastAsia="en-IE"/>
              </w:rPr>
              <w:t> </w:t>
            </w:r>
          </w:p>
        </w:tc>
      </w:tr>
      <w:tr w:rsidR="00BE3114" w:rsidRPr="00532C20" w14:paraId="44F3ED41" w14:textId="77777777" w:rsidTr="001219CC">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2857" w:type="dxa"/>
            <w:hideMark/>
          </w:tcPr>
          <w:p w14:paraId="24410926" w14:textId="77777777" w:rsidR="00BE3114" w:rsidRPr="00532C20" w:rsidRDefault="00BE3114" w:rsidP="004B0958">
            <w:pPr>
              <w:textAlignment w:val="baseline"/>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lang w:eastAsia="en-IE"/>
              </w:rPr>
              <w:t>Japan</w:t>
            </w:r>
            <w:r w:rsidRPr="00532C20">
              <w:rPr>
                <w:rFonts w:ascii="Times New Roman" w:eastAsia="Times New Roman" w:hAnsi="Times New Roman" w:cs="Times New Roman"/>
                <w:noProof/>
                <w:lang w:val="en-IE" w:eastAsia="en-IE"/>
              </w:rPr>
              <w:t> </w:t>
            </w:r>
          </w:p>
        </w:tc>
        <w:tc>
          <w:tcPr>
            <w:tcW w:w="2425" w:type="dxa"/>
          </w:tcPr>
          <w:p w14:paraId="6E08B824" w14:textId="77777777" w:rsidR="00BE3114" w:rsidRPr="00532C20" w:rsidRDefault="00BE3114" w:rsidP="004B0958">
            <w:pPr>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IE"/>
              </w:rPr>
            </w:pPr>
            <w:r w:rsidRPr="00532C20">
              <w:rPr>
                <w:rFonts w:ascii="Times New Roman" w:eastAsia="Times New Roman" w:hAnsi="Times New Roman" w:cs="Times New Roman"/>
                <w:noProof/>
                <w:color w:val="000000" w:themeColor="text1"/>
                <w:lang w:eastAsia="en-IE"/>
              </w:rPr>
              <w:t>USD 37,434,911.22 </w:t>
            </w:r>
          </w:p>
        </w:tc>
        <w:tc>
          <w:tcPr>
            <w:tcW w:w="3699" w:type="dxa"/>
            <w:hideMark/>
          </w:tcPr>
          <w:p w14:paraId="5F8D25E7" w14:textId="77777777" w:rsidR="00BE3114" w:rsidRPr="00532C20" w:rsidRDefault="00BE3114" w:rsidP="004B0958">
            <w:pPr>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color w:val="000000" w:themeColor="text1"/>
                <w:lang w:eastAsia="en-IE"/>
              </w:rPr>
              <w:t>USD 4,943,798.86</w:t>
            </w:r>
            <w:r w:rsidRPr="00532C20">
              <w:rPr>
                <w:rFonts w:ascii="Times New Roman" w:eastAsia="Times New Roman" w:hAnsi="Times New Roman" w:cs="Times New Roman"/>
                <w:noProof/>
                <w:color w:val="000000" w:themeColor="text1"/>
                <w:lang w:val="en-IE" w:eastAsia="en-IE"/>
              </w:rPr>
              <w:t> </w:t>
            </w:r>
          </w:p>
        </w:tc>
      </w:tr>
      <w:tr w:rsidR="00BE3114" w:rsidRPr="00532C20" w14:paraId="450DDD38" w14:textId="77777777" w:rsidTr="001219CC">
        <w:trPr>
          <w:trHeight w:val="8"/>
        </w:trPr>
        <w:tc>
          <w:tcPr>
            <w:cnfStyle w:val="001000000000" w:firstRow="0" w:lastRow="0" w:firstColumn="1" w:lastColumn="0" w:oddVBand="0" w:evenVBand="0" w:oddHBand="0" w:evenHBand="0" w:firstRowFirstColumn="0" w:firstRowLastColumn="0" w:lastRowFirstColumn="0" w:lastRowLastColumn="0"/>
            <w:tcW w:w="2857" w:type="dxa"/>
            <w:hideMark/>
          </w:tcPr>
          <w:p w14:paraId="5CE1A463" w14:textId="77777777" w:rsidR="00BE3114" w:rsidRPr="00532C20" w:rsidRDefault="00BE3114" w:rsidP="004B0958">
            <w:pPr>
              <w:textAlignment w:val="baseline"/>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lang w:eastAsia="en-IE"/>
              </w:rPr>
              <w:t>China</w:t>
            </w:r>
            <w:r w:rsidRPr="00532C20">
              <w:rPr>
                <w:rFonts w:ascii="Times New Roman" w:eastAsia="Times New Roman" w:hAnsi="Times New Roman" w:cs="Times New Roman"/>
                <w:noProof/>
                <w:lang w:val="en-IE" w:eastAsia="en-IE"/>
              </w:rPr>
              <w:t> </w:t>
            </w:r>
          </w:p>
        </w:tc>
        <w:tc>
          <w:tcPr>
            <w:tcW w:w="2425" w:type="dxa"/>
          </w:tcPr>
          <w:p w14:paraId="576C58A2" w14:textId="77777777" w:rsidR="00BE3114" w:rsidRPr="00532C20" w:rsidRDefault="00BE3114" w:rsidP="004B0958">
            <w:pPr>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IE"/>
              </w:rPr>
            </w:pPr>
            <w:r w:rsidRPr="00532C20">
              <w:rPr>
                <w:rFonts w:ascii="Times New Roman" w:eastAsia="Times New Roman" w:hAnsi="Times New Roman" w:cs="Times New Roman"/>
                <w:noProof/>
                <w:color w:val="000000" w:themeColor="text1"/>
                <w:lang w:eastAsia="en-IE"/>
              </w:rPr>
              <w:t>USD 58,840,168.30 </w:t>
            </w:r>
          </w:p>
        </w:tc>
        <w:tc>
          <w:tcPr>
            <w:tcW w:w="3699" w:type="dxa"/>
            <w:hideMark/>
          </w:tcPr>
          <w:p w14:paraId="7291238D" w14:textId="77777777" w:rsidR="00BE3114" w:rsidRPr="00532C20" w:rsidRDefault="00BE3114" w:rsidP="004B0958">
            <w:pPr>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color w:val="000000" w:themeColor="text1"/>
                <w:lang w:eastAsia="en-IE"/>
              </w:rPr>
              <w:t>USD 16,941,737.95</w:t>
            </w:r>
            <w:r w:rsidRPr="00532C20">
              <w:rPr>
                <w:rFonts w:ascii="Times New Roman" w:eastAsia="Times New Roman" w:hAnsi="Times New Roman" w:cs="Times New Roman"/>
                <w:noProof/>
                <w:color w:val="000000" w:themeColor="text1"/>
                <w:lang w:val="en-IE" w:eastAsia="en-IE"/>
              </w:rPr>
              <w:t> </w:t>
            </w:r>
          </w:p>
        </w:tc>
      </w:tr>
      <w:tr w:rsidR="00BE3114" w:rsidRPr="00532C20" w14:paraId="3A580295" w14:textId="77777777" w:rsidTr="001219CC">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2857" w:type="dxa"/>
            <w:hideMark/>
          </w:tcPr>
          <w:p w14:paraId="3FEC9711" w14:textId="77777777" w:rsidR="00BE3114" w:rsidRPr="00532C20" w:rsidRDefault="00BE3114" w:rsidP="004B0958">
            <w:pPr>
              <w:textAlignment w:val="baseline"/>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lang w:eastAsia="en-IE"/>
              </w:rPr>
              <w:t>UAE</w:t>
            </w:r>
            <w:r w:rsidRPr="00532C20">
              <w:rPr>
                <w:rFonts w:ascii="Times New Roman" w:eastAsia="Times New Roman" w:hAnsi="Times New Roman" w:cs="Times New Roman"/>
                <w:noProof/>
                <w:lang w:val="en-IE" w:eastAsia="en-IE"/>
              </w:rPr>
              <w:t> </w:t>
            </w:r>
          </w:p>
        </w:tc>
        <w:tc>
          <w:tcPr>
            <w:tcW w:w="2425" w:type="dxa"/>
          </w:tcPr>
          <w:p w14:paraId="726C4C54" w14:textId="77777777" w:rsidR="00BE3114" w:rsidRPr="00532C20" w:rsidRDefault="00BE3114" w:rsidP="004B0958">
            <w:pPr>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IE"/>
              </w:rPr>
            </w:pPr>
            <w:r w:rsidRPr="00532C20">
              <w:rPr>
                <w:rFonts w:ascii="Times New Roman" w:eastAsia="Times New Roman" w:hAnsi="Times New Roman" w:cs="Times New Roman"/>
                <w:noProof/>
                <w:color w:val="000000" w:themeColor="text1"/>
                <w:lang w:eastAsia="en-IE"/>
              </w:rPr>
              <w:t>USD 26,230,546.06 </w:t>
            </w:r>
          </w:p>
        </w:tc>
        <w:tc>
          <w:tcPr>
            <w:tcW w:w="3699" w:type="dxa"/>
            <w:hideMark/>
          </w:tcPr>
          <w:p w14:paraId="3FB91499" w14:textId="77777777" w:rsidR="00BE3114" w:rsidRPr="00532C20" w:rsidRDefault="00BE3114" w:rsidP="004B0958">
            <w:pPr>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color w:val="000000" w:themeColor="text1"/>
                <w:lang w:eastAsia="en-IE"/>
              </w:rPr>
              <w:t>USD 17,949,480.51</w:t>
            </w:r>
            <w:r w:rsidRPr="00532C20">
              <w:rPr>
                <w:rFonts w:ascii="Times New Roman" w:eastAsia="Times New Roman" w:hAnsi="Times New Roman" w:cs="Times New Roman"/>
                <w:noProof/>
                <w:color w:val="000000" w:themeColor="text1"/>
                <w:lang w:val="en-IE" w:eastAsia="en-IE"/>
              </w:rPr>
              <w:t> </w:t>
            </w:r>
          </w:p>
        </w:tc>
      </w:tr>
      <w:tr w:rsidR="00BE3114" w:rsidRPr="00532C20" w14:paraId="642AD07A" w14:textId="77777777" w:rsidTr="001219CC">
        <w:trPr>
          <w:trHeight w:val="8"/>
        </w:trPr>
        <w:tc>
          <w:tcPr>
            <w:cnfStyle w:val="001000000000" w:firstRow="0" w:lastRow="0" w:firstColumn="1" w:lastColumn="0" w:oddVBand="0" w:evenVBand="0" w:oddHBand="0" w:evenHBand="0" w:firstRowFirstColumn="0" w:firstRowLastColumn="0" w:lastRowFirstColumn="0" w:lastRowLastColumn="0"/>
            <w:tcW w:w="2857" w:type="dxa"/>
            <w:hideMark/>
          </w:tcPr>
          <w:p w14:paraId="5D67CF2A" w14:textId="77777777" w:rsidR="00BE3114" w:rsidRPr="00532C20" w:rsidRDefault="00BE3114" w:rsidP="004B0958">
            <w:pPr>
              <w:textAlignment w:val="baseline"/>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lang w:eastAsia="en-IE"/>
              </w:rPr>
              <w:t>Turkey</w:t>
            </w:r>
            <w:r w:rsidRPr="00532C20">
              <w:rPr>
                <w:rFonts w:ascii="Times New Roman" w:eastAsia="Times New Roman" w:hAnsi="Times New Roman" w:cs="Times New Roman"/>
                <w:noProof/>
                <w:lang w:val="en-IE" w:eastAsia="en-IE"/>
              </w:rPr>
              <w:t> </w:t>
            </w:r>
          </w:p>
        </w:tc>
        <w:tc>
          <w:tcPr>
            <w:tcW w:w="2425" w:type="dxa"/>
          </w:tcPr>
          <w:p w14:paraId="72837192" w14:textId="77777777" w:rsidR="00BE3114" w:rsidRPr="00532C20" w:rsidRDefault="00BE3114" w:rsidP="004B0958">
            <w:pPr>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IE"/>
              </w:rPr>
            </w:pPr>
            <w:r w:rsidRPr="00532C20">
              <w:rPr>
                <w:rFonts w:ascii="Times New Roman" w:eastAsia="Times New Roman" w:hAnsi="Times New Roman" w:cs="Times New Roman"/>
                <w:noProof/>
                <w:color w:val="000000" w:themeColor="text1"/>
                <w:lang w:eastAsia="en-IE"/>
              </w:rPr>
              <w:t>USD 24,803,996.99 </w:t>
            </w:r>
          </w:p>
        </w:tc>
        <w:tc>
          <w:tcPr>
            <w:tcW w:w="3699" w:type="dxa"/>
            <w:hideMark/>
          </w:tcPr>
          <w:p w14:paraId="37A8DCC9" w14:textId="77777777" w:rsidR="00BE3114" w:rsidRPr="00532C20" w:rsidRDefault="00BE3114" w:rsidP="004B0958">
            <w:pPr>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color w:val="000000" w:themeColor="text1"/>
                <w:lang w:eastAsia="en-IE"/>
              </w:rPr>
              <w:t>USD 21,101,502.22</w:t>
            </w:r>
            <w:r w:rsidRPr="00532C20">
              <w:rPr>
                <w:rFonts w:ascii="Times New Roman" w:eastAsia="Times New Roman" w:hAnsi="Times New Roman" w:cs="Times New Roman"/>
                <w:noProof/>
                <w:color w:val="000000" w:themeColor="text1"/>
                <w:lang w:val="en-IE" w:eastAsia="en-IE"/>
              </w:rPr>
              <w:t> </w:t>
            </w:r>
          </w:p>
        </w:tc>
      </w:tr>
      <w:tr w:rsidR="00BE3114" w:rsidRPr="00532C20" w14:paraId="4808D5F1" w14:textId="77777777" w:rsidTr="001219CC">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2857" w:type="dxa"/>
            <w:hideMark/>
          </w:tcPr>
          <w:p w14:paraId="598CC0C5" w14:textId="77777777" w:rsidR="00BE3114" w:rsidRPr="00532C20" w:rsidRDefault="00BE3114" w:rsidP="004B0958">
            <w:pPr>
              <w:textAlignment w:val="baseline"/>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lang w:eastAsia="en-IE"/>
              </w:rPr>
              <w:t>Qatar</w:t>
            </w:r>
            <w:r w:rsidRPr="00532C20">
              <w:rPr>
                <w:rFonts w:ascii="Times New Roman" w:eastAsia="Times New Roman" w:hAnsi="Times New Roman" w:cs="Times New Roman"/>
                <w:noProof/>
                <w:lang w:val="en-IE" w:eastAsia="en-IE"/>
              </w:rPr>
              <w:t> </w:t>
            </w:r>
          </w:p>
        </w:tc>
        <w:tc>
          <w:tcPr>
            <w:tcW w:w="2425" w:type="dxa"/>
          </w:tcPr>
          <w:p w14:paraId="07CC275A" w14:textId="77777777" w:rsidR="00BE3114" w:rsidRPr="00532C20" w:rsidRDefault="00BE3114" w:rsidP="004B0958">
            <w:pPr>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IE"/>
              </w:rPr>
            </w:pPr>
            <w:r w:rsidRPr="00532C20">
              <w:rPr>
                <w:rFonts w:ascii="Times New Roman" w:eastAsia="Times New Roman" w:hAnsi="Times New Roman" w:cs="Times New Roman"/>
                <w:noProof/>
                <w:color w:val="000000" w:themeColor="text1"/>
                <w:lang w:eastAsia="en-IE"/>
              </w:rPr>
              <w:t>USD 53,748,327.60 </w:t>
            </w:r>
          </w:p>
        </w:tc>
        <w:tc>
          <w:tcPr>
            <w:tcW w:w="3699" w:type="dxa"/>
            <w:hideMark/>
          </w:tcPr>
          <w:p w14:paraId="3E0E5CBF" w14:textId="77777777" w:rsidR="00BE3114" w:rsidRPr="00532C20" w:rsidRDefault="00BE3114" w:rsidP="004B0958">
            <w:pPr>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color w:val="000000" w:themeColor="text1"/>
                <w:lang w:eastAsia="en-IE"/>
              </w:rPr>
              <w:t>USD 22,507,594.28</w:t>
            </w:r>
            <w:r w:rsidRPr="00532C20">
              <w:rPr>
                <w:rFonts w:ascii="Times New Roman" w:eastAsia="Times New Roman" w:hAnsi="Times New Roman" w:cs="Times New Roman"/>
                <w:noProof/>
                <w:color w:val="000000" w:themeColor="text1"/>
                <w:lang w:val="en-IE" w:eastAsia="en-IE"/>
              </w:rPr>
              <w:t> </w:t>
            </w:r>
          </w:p>
        </w:tc>
      </w:tr>
      <w:tr w:rsidR="00BE3114" w:rsidRPr="00532C20" w14:paraId="6FE629C6" w14:textId="77777777" w:rsidTr="001219CC">
        <w:trPr>
          <w:trHeight w:val="8"/>
        </w:trPr>
        <w:tc>
          <w:tcPr>
            <w:cnfStyle w:val="001000000000" w:firstRow="0" w:lastRow="0" w:firstColumn="1" w:lastColumn="0" w:oddVBand="0" w:evenVBand="0" w:oddHBand="0" w:evenHBand="0" w:firstRowFirstColumn="0" w:firstRowLastColumn="0" w:lastRowFirstColumn="0" w:lastRowLastColumn="0"/>
            <w:tcW w:w="2857" w:type="dxa"/>
            <w:hideMark/>
          </w:tcPr>
          <w:p w14:paraId="16044E21" w14:textId="77777777" w:rsidR="00BE3114" w:rsidRPr="00532C20" w:rsidRDefault="00BE3114" w:rsidP="004B0958">
            <w:pPr>
              <w:textAlignment w:val="baseline"/>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lang w:eastAsia="en-IE"/>
              </w:rPr>
              <w:t>Saudi Arabia</w:t>
            </w:r>
            <w:r w:rsidRPr="00532C20">
              <w:rPr>
                <w:rFonts w:ascii="Times New Roman" w:eastAsia="Times New Roman" w:hAnsi="Times New Roman" w:cs="Times New Roman"/>
                <w:noProof/>
                <w:lang w:val="en-IE" w:eastAsia="en-IE"/>
              </w:rPr>
              <w:t> </w:t>
            </w:r>
          </w:p>
        </w:tc>
        <w:tc>
          <w:tcPr>
            <w:tcW w:w="2425" w:type="dxa"/>
          </w:tcPr>
          <w:p w14:paraId="3E35F7B8" w14:textId="77777777" w:rsidR="00BE3114" w:rsidRPr="00532C20" w:rsidRDefault="00BE3114" w:rsidP="004B0958">
            <w:pPr>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IE"/>
              </w:rPr>
            </w:pPr>
            <w:r w:rsidRPr="00532C20">
              <w:rPr>
                <w:rFonts w:ascii="Times New Roman" w:eastAsia="Times New Roman" w:hAnsi="Times New Roman" w:cs="Times New Roman"/>
                <w:noProof/>
                <w:color w:val="000000" w:themeColor="text1"/>
                <w:lang w:eastAsia="en-IE"/>
              </w:rPr>
              <w:t>USD 40,175,849.53 </w:t>
            </w:r>
          </w:p>
        </w:tc>
        <w:tc>
          <w:tcPr>
            <w:tcW w:w="3699" w:type="dxa"/>
            <w:hideMark/>
          </w:tcPr>
          <w:p w14:paraId="376D1C5F" w14:textId="77777777" w:rsidR="00BE3114" w:rsidRPr="00532C20" w:rsidRDefault="00BE3114" w:rsidP="004B0958">
            <w:pPr>
              <w:jc w:val="righ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en-IE" w:eastAsia="en-IE"/>
              </w:rPr>
            </w:pPr>
            <w:r w:rsidRPr="00532C20">
              <w:rPr>
                <w:rFonts w:ascii="Times New Roman" w:eastAsia="Times New Roman" w:hAnsi="Times New Roman" w:cs="Times New Roman"/>
                <w:noProof/>
                <w:color w:val="000000" w:themeColor="text1"/>
                <w:lang w:eastAsia="en-IE"/>
              </w:rPr>
              <w:t>USD 34,975,746.10</w:t>
            </w:r>
            <w:r w:rsidRPr="00532C20">
              <w:rPr>
                <w:rFonts w:ascii="Times New Roman" w:eastAsia="Times New Roman" w:hAnsi="Times New Roman" w:cs="Times New Roman"/>
                <w:noProof/>
                <w:color w:val="000000" w:themeColor="text1"/>
                <w:lang w:val="en-IE" w:eastAsia="en-IE"/>
              </w:rPr>
              <w:t> </w:t>
            </w:r>
          </w:p>
        </w:tc>
      </w:tr>
      <w:tr w:rsidR="007047A8" w:rsidRPr="00532C20" w14:paraId="72E04F83" w14:textId="77777777" w:rsidTr="001219CC">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2857" w:type="dxa"/>
            <w:shd w:val="clear" w:color="auto" w:fill="8DB3E2" w:themeFill="text2" w:themeFillTint="66"/>
          </w:tcPr>
          <w:p w14:paraId="6F35CD1D" w14:textId="0C633429" w:rsidR="007047A8" w:rsidRPr="00532C20" w:rsidRDefault="007047A8" w:rsidP="004B0958">
            <w:pPr>
              <w:textAlignment w:val="baseline"/>
              <w:rPr>
                <w:rFonts w:ascii="Times New Roman" w:eastAsia="Times New Roman" w:hAnsi="Times New Roman" w:cs="Times New Roman"/>
                <w:noProof/>
                <w:lang w:eastAsia="en-IE"/>
              </w:rPr>
            </w:pPr>
            <w:r w:rsidRPr="00532C20">
              <w:rPr>
                <w:rFonts w:ascii="Times New Roman" w:eastAsia="Times New Roman" w:hAnsi="Times New Roman" w:cs="Times New Roman"/>
                <w:noProof/>
                <w:lang w:eastAsia="en-IE"/>
              </w:rPr>
              <w:t>Average across selected 3</w:t>
            </w:r>
            <w:r w:rsidRPr="00532C20">
              <w:rPr>
                <w:rFonts w:ascii="Times New Roman" w:eastAsia="Times New Roman" w:hAnsi="Times New Roman" w:cs="Times New Roman"/>
                <w:noProof/>
                <w:vertAlign w:val="superscript"/>
                <w:lang w:eastAsia="en-IE"/>
              </w:rPr>
              <w:t>rd</w:t>
            </w:r>
            <w:r w:rsidRPr="00532C20">
              <w:rPr>
                <w:rFonts w:ascii="Times New Roman" w:eastAsia="Times New Roman" w:hAnsi="Times New Roman" w:cs="Times New Roman"/>
                <w:noProof/>
                <w:lang w:eastAsia="en-IE"/>
              </w:rPr>
              <w:t xml:space="preserve"> countries</w:t>
            </w:r>
          </w:p>
        </w:tc>
        <w:tc>
          <w:tcPr>
            <w:tcW w:w="2425" w:type="dxa"/>
            <w:shd w:val="clear" w:color="auto" w:fill="8DB3E2" w:themeFill="text2" w:themeFillTint="66"/>
          </w:tcPr>
          <w:p w14:paraId="7E0AB8DC" w14:textId="7EF36BB0" w:rsidR="007047A8" w:rsidRPr="00532C20" w:rsidRDefault="00E953E9" w:rsidP="004B0958">
            <w:pPr>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lang w:eastAsia="en-IE"/>
              </w:rPr>
            </w:pPr>
            <w:r w:rsidRPr="00532C20">
              <w:rPr>
                <w:rFonts w:ascii="Times New Roman" w:eastAsia="Times New Roman" w:hAnsi="Times New Roman" w:cs="Times New Roman"/>
                <w:b/>
                <w:noProof/>
                <w:lang w:eastAsia="en-IE"/>
              </w:rPr>
              <w:t>USD 33,771,315.41</w:t>
            </w:r>
          </w:p>
        </w:tc>
        <w:tc>
          <w:tcPr>
            <w:tcW w:w="3699" w:type="dxa"/>
            <w:shd w:val="clear" w:color="auto" w:fill="8DB3E2" w:themeFill="text2" w:themeFillTint="66"/>
          </w:tcPr>
          <w:p w14:paraId="7C62BC57" w14:textId="456358CE" w:rsidR="007047A8" w:rsidRPr="00532C20" w:rsidRDefault="0089759B" w:rsidP="004B0958">
            <w:pPr>
              <w:jc w:val="righ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lang w:eastAsia="en-IE"/>
              </w:rPr>
            </w:pPr>
            <w:r w:rsidRPr="00532C20">
              <w:rPr>
                <w:rFonts w:ascii="Times New Roman" w:eastAsia="Times New Roman" w:hAnsi="Times New Roman" w:cs="Times New Roman"/>
                <w:b/>
                <w:noProof/>
                <w:lang w:eastAsia="en-IE"/>
              </w:rPr>
              <w:t>USD 12</w:t>
            </w:r>
            <w:r w:rsidR="00832048" w:rsidRPr="00532C20">
              <w:rPr>
                <w:rFonts w:ascii="Times New Roman" w:eastAsia="Times New Roman" w:hAnsi="Times New Roman" w:cs="Times New Roman"/>
                <w:b/>
                <w:noProof/>
                <w:lang w:eastAsia="en-IE"/>
              </w:rPr>
              <w:t>,090,456.12</w:t>
            </w:r>
          </w:p>
        </w:tc>
      </w:tr>
    </w:tbl>
    <w:p w14:paraId="2173E0D8" w14:textId="2014AA87" w:rsidR="001219CC" w:rsidRPr="00532C20" w:rsidRDefault="008B28E4" w:rsidP="00313F32">
      <w:pPr>
        <w:spacing w:before="240" w:after="160" w:line="240" w:lineRule="auto"/>
        <w:jc w:val="both"/>
        <w:rPr>
          <w:rFonts w:ascii="Times New Roman" w:eastAsia="Times" w:hAnsi="Times New Roman" w:cs="Times New Roman"/>
          <w:noProof/>
          <w:sz w:val="24"/>
          <w:szCs w:val="24"/>
          <w:lang w:val="en-IE"/>
        </w:rPr>
      </w:pPr>
      <w:r w:rsidRPr="00532C20">
        <w:rPr>
          <w:rFonts w:ascii="Times New Roman" w:eastAsia="Times New Roman" w:hAnsi="Times New Roman" w:cs="Times New Roman"/>
          <w:noProof/>
          <w:lang w:val="en-IE"/>
        </w:rPr>
        <w:t>Lastly, t</w:t>
      </w:r>
      <w:r w:rsidRPr="00532C20">
        <w:rPr>
          <w:rFonts w:ascii="Times New Roman" w:eastAsia="Times" w:hAnsi="Times New Roman" w:cs="Times New Roman"/>
          <w:noProof/>
          <w:sz w:val="24"/>
          <w:szCs w:val="24"/>
          <w:lang w:val="en-IE"/>
        </w:rPr>
        <w:t xml:space="preserve">he threshold at EUR 1 500 000 was obtained by </w:t>
      </w:r>
      <w:r w:rsidR="001868A1" w:rsidRPr="00532C20">
        <w:rPr>
          <w:rFonts w:ascii="Times New Roman" w:eastAsia="Times" w:hAnsi="Times New Roman" w:cs="Times New Roman"/>
          <w:noProof/>
          <w:sz w:val="24"/>
          <w:szCs w:val="24"/>
          <w:lang w:val="en-IE"/>
        </w:rPr>
        <w:t xml:space="preserve">dividing the </w:t>
      </w:r>
      <w:r w:rsidR="00E522B7" w:rsidRPr="00532C20">
        <w:rPr>
          <w:rFonts w:ascii="Times New Roman" w:eastAsia="Times" w:hAnsi="Times New Roman" w:cs="Times New Roman"/>
          <w:noProof/>
          <w:sz w:val="24"/>
          <w:szCs w:val="24"/>
          <w:lang w:val="en-IE"/>
        </w:rPr>
        <w:t xml:space="preserve">EU-wide EUR 8 500 000 threshold by the share of GDP </w:t>
      </w:r>
      <w:r w:rsidR="0044781F" w:rsidRPr="00532C20">
        <w:rPr>
          <w:rFonts w:ascii="Times New Roman" w:eastAsia="Times" w:hAnsi="Times New Roman" w:cs="Times New Roman"/>
          <w:noProof/>
          <w:sz w:val="24"/>
          <w:szCs w:val="24"/>
          <w:lang w:val="en-IE"/>
        </w:rPr>
        <w:t xml:space="preserve">of each Member State. This results in the figures in the table below. </w:t>
      </w:r>
      <w:r w:rsidR="00B61FFC" w:rsidRPr="00532C20">
        <w:rPr>
          <w:rFonts w:ascii="Times New Roman" w:eastAsia="Times" w:hAnsi="Times New Roman" w:cs="Times New Roman"/>
          <w:noProof/>
          <w:sz w:val="24"/>
          <w:szCs w:val="24"/>
          <w:lang w:val="en-IE"/>
        </w:rPr>
        <w:t xml:space="preserve">The Commission decided to </w:t>
      </w:r>
      <w:r w:rsidR="00381414" w:rsidRPr="00532C20">
        <w:rPr>
          <w:rFonts w:ascii="Times New Roman" w:eastAsia="Times" w:hAnsi="Times New Roman" w:cs="Times New Roman"/>
          <w:noProof/>
          <w:sz w:val="24"/>
          <w:szCs w:val="24"/>
          <w:lang w:val="en-IE"/>
        </w:rPr>
        <w:t xml:space="preserve">use as a benchmark the </w:t>
      </w:r>
      <w:r w:rsidR="00E84994" w:rsidRPr="00532C20">
        <w:rPr>
          <w:rFonts w:ascii="Times New Roman" w:eastAsia="Times" w:hAnsi="Times New Roman" w:cs="Times New Roman"/>
          <w:noProof/>
          <w:sz w:val="24"/>
          <w:szCs w:val="24"/>
          <w:lang w:val="en-IE"/>
        </w:rPr>
        <w:t>resulting</w:t>
      </w:r>
      <w:r w:rsidR="00381414" w:rsidRPr="00532C20">
        <w:rPr>
          <w:rFonts w:ascii="Times New Roman" w:eastAsia="Times" w:hAnsi="Times New Roman" w:cs="Times New Roman"/>
          <w:noProof/>
          <w:sz w:val="24"/>
          <w:szCs w:val="24"/>
          <w:lang w:val="en-IE"/>
        </w:rPr>
        <w:t xml:space="preserve"> </w:t>
      </w:r>
      <w:r w:rsidR="00D70E11" w:rsidRPr="00532C20">
        <w:rPr>
          <w:rFonts w:ascii="Times New Roman" w:eastAsia="Times" w:hAnsi="Times New Roman" w:cs="Times New Roman"/>
          <w:noProof/>
          <w:sz w:val="24"/>
          <w:szCs w:val="24"/>
          <w:lang w:val="en-IE"/>
        </w:rPr>
        <w:t>thresholds of France</w:t>
      </w:r>
      <w:r w:rsidR="00F7349E" w:rsidRPr="00532C20">
        <w:rPr>
          <w:rFonts w:ascii="Times New Roman" w:eastAsia="Times" w:hAnsi="Times New Roman" w:cs="Times New Roman"/>
          <w:noProof/>
          <w:sz w:val="24"/>
          <w:szCs w:val="24"/>
          <w:lang w:val="en-IE"/>
        </w:rPr>
        <w:t xml:space="preserve">, rounded </w:t>
      </w:r>
      <w:r w:rsidR="00E41D4D" w:rsidRPr="00532C20">
        <w:rPr>
          <w:rFonts w:ascii="Times New Roman" w:eastAsia="Times" w:hAnsi="Times New Roman" w:cs="Times New Roman"/>
          <w:noProof/>
          <w:sz w:val="24"/>
          <w:szCs w:val="24"/>
          <w:lang w:val="en-IE"/>
        </w:rPr>
        <w:t xml:space="preserve">to the nearest 100 000 above. </w:t>
      </w:r>
      <w:r w:rsidR="00C27481" w:rsidRPr="00532C20">
        <w:rPr>
          <w:rFonts w:ascii="Times New Roman" w:eastAsia="Times" w:hAnsi="Times New Roman" w:cs="Times New Roman"/>
          <w:noProof/>
          <w:sz w:val="24"/>
          <w:szCs w:val="24"/>
          <w:lang w:val="en-IE"/>
        </w:rPr>
        <w:t xml:space="preserve">It is important to note that this is an initial threshold that </w:t>
      </w:r>
      <w:r w:rsidR="005E6247" w:rsidRPr="00532C20">
        <w:rPr>
          <w:rFonts w:ascii="Times New Roman" w:eastAsia="Times" w:hAnsi="Times New Roman" w:cs="Times New Roman"/>
          <w:noProof/>
          <w:sz w:val="24"/>
          <w:szCs w:val="24"/>
          <w:lang w:val="en-IE"/>
        </w:rPr>
        <w:t xml:space="preserve">it </w:t>
      </w:r>
      <w:r w:rsidR="00C27481" w:rsidRPr="00532C20">
        <w:rPr>
          <w:rFonts w:ascii="Times New Roman" w:eastAsia="Times" w:hAnsi="Times New Roman" w:cs="Times New Roman"/>
          <w:noProof/>
          <w:sz w:val="24"/>
          <w:szCs w:val="24"/>
          <w:lang w:val="en-IE"/>
        </w:rPr>
        <w:t xml:space="preserve">will be </w:t>
      </w:r>
      <w:r w:rsidR="005E6247" w:rsidRPr="00532C20">
        <w:rPr>
          <w:rFonts w:ascii="Times New Roman" w:eastAsia="Times" w:hAnsi="Times New Roman" w:cs="Times New Roman"/>
          <w:noProof/>
          <w:sz w:val="24"/>
          <w:szCs w:val="24"/>
          <w:lang w:val="en-IE"/>
        </w:rPr>
        <w:t>possible to modify via a Delegated Act after the entry into force of the legislative instrument once more data is avai</w:t>
      </w:r>
      <w:r w:rsidR="0003442C" w:rsidRPr="00532C20">
        <w:rPr>
          <w:rFonts w:ascii="Times New Roman" w:eastAsia="Times" w:hAnsi="Times New Roman" w:cs="Times New Roman"/>
          <w:noProof/>
          <w:sz w:val="24"/>
          <w:szCs w:val="24"/>
          <w:lang w:val="en-IE"/>
        </w:rPr>
        <w:t xml:space="preserve">lable on the phenomenon of interest representation activities carried out on behalf of third countries. </w:t>
      </w:r>
      <w:r w:rsidR="00E41D4D" w:rsidRPr="00532C20">
        <w:rPr>
          <w:rFonts w:ascii="Times New Roman" w:eastAsia="Times" w:hAnsi="Times New Roman" w:cs="Times New Roman"/>
          <w:noProof/>
          <w:sz w:val="24"/>
          <w:szCs w:val="24"/>
          <w:lang w:val="en-IE"/>
        </w:rPr>
        <w:t xml:space="preserve">Setting a high bar at first </w:t>
      </w:r>
      <w:r w:rsidR="0003442C" w:rsidRPr="00532C20">
        <w:rPr>
          <w:rFonts w:ascii="Times New Roman" w:eastAsia="Times" w:hAnsi="Times New Roman" w:cs="Times New Roman"/>
          <w:noProof/>
          <w:sz w:val="24"/>
          <w:szCs w:val="24"/>
          <w:lang w:val="en-IE"/>
        </w:rPr>
        <w:t xml:space="preserve">permits to scope in fewer entities </w:t>
      </w:r>
      <w:r w:rsidR="008667D6" w:rsidRPr="00532C20">
        <w:rPr>
          <w:rFonts w:ascii="Times New Roman" w:eastAsia="Times" w:hAnsi="Times New Roman" w:cs="Times New Roman"/>
          <w:noProof/>
          <w:sz w:val="24"/>
          <w:szCs w:val="24"/>
          <w:lang w:val="en-IE"/>
        </w:rPr>
        <w:t xml:space="preserve">and </w:t>
      </w:r>
      <w:r w:rsidR="007D17F4" w:rsidRPr="00532C20">
        <w:rPr>
          <w:rFonts w:ascii="Times New Roman" w:eastAsia="Times" w:hAnsi="Times New Roman" w:cs="Times New Roman"/>
          <w:noProof/>
          <w:sz w:val="24"/>
          <w:szCs w:val="24"/>
          <w:lang w:val="en-IE"/>
        </w:rPr>
        <w:t>reduce</w:t>
      </w:r>
      <w:r w:rsidR="008667D6" w:rsidRPr="00532C20">
        <w:rPr>
          <w:rFonts w:ascii="Times New Roman" w:eastAsia="Times" w:hAnsi="Times New Roman" w:cs="Times New Roman"/>
          <w:noProof/>
          <w:sz w:val="24"/>
          <w:szCs w:val="24"/>
          <w:lang w:val="en-IE"/>
        </w:rPr>
        <w:t xml:space="preserve"> risks </w:t>
      </w:r>
      <w:r w:rsidR="002D5528" w:rsidRPr="00532C20">
        <w:rPr>
          <w:rFonts w:ascii="Times New Roman" w:eastAsia="Times" w:hAnsi="Times New Roman" w:cs="Times New Roman"/>
          <w:noProof/>
          <w:sz w:val="24"/>
          <w:szCs w:val="24"/>
          <w:lang w:val="en-IE"/>
        </w:rPr>
        <w:t>of overburdening</w:t>
      </w:r>
      <w:r w:rsidR="007D17F4" w:rsidRPr="00532C20">
        <w:rPr>
          <w:rFonts w:ascii="Times New Roman" w:eastAsia="Times" w:hAnsi="Times New Roman" w:cs="Times New Roman"/>
          <w:noProof/>
          <w:sz w:val="24"/>
          <w:szCs w:val="24"/>
          <w:lang w:val="en-IE"/>
        </w:rPr>
        <w:t xml:space="preserve">. </w:t>
      </w:r>
    </w:p>
    <w:p w14:paraId="762FE1F5" w14:textId="77777777" w:rsidR="001219CC" w:rsidRPr="00532C20" w:rsidRDefault="001219CC">
      <w:pPr>
        <w:rPr>
          <w:rFonts w:ascii="Times New Roman" w:eastAsia="Times" w:hAnsi="Times New Roman" w:cs="Times New Roman"/>
          <w:noProof/>
          <w:sz w:val="24"/>
          <w:szCs w:val="24"/>
          <w:lang w:val="en-IE"/>
        </w:rPr>
      </w:pPr>
      <w:r w:rsidRPr="00532C20">
        <w:rPr>
          <w:rFonts w:ascii="Times New Roman" w:eastAsia="Times" w:hAnsi="Times New Roman" w:cs="Times New Roman"/>
          <w:noProof/>
          <w:sz w:val="24"/>
          <w:szCs w:val="24"/>
          <w:lang w:val="en-IE"/>
        </w:rPr>
        <w:br w:type="page"/>
      </w:r>
    </w:p>
    <w:tbl>
      <w:tblPr>
        <w:tblW w:w="64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2265"/>
        <w:gridCol w:w="2400"/>
      </w:tblGrid>
      <w:tr w:rsidR="002214D6" w:rsidRPr="00532C20" w14:paraId="4925109E" w14:textId="77777777">
        <w:trPr>
          <w:trHeight w:val="300"/>
        </w:trPr>
        <w:tc>
          <w:tcPr>
            <w:tcW w:w="6495" w:type="dxa"/>
            <w:gridSpan w:val="3"/>
            <w:tcBorders>
              <w:top w:val="single" w:sz="6" w:space="0" w:color="4472C4"/>
              <w:left w:val="single" w:sz="6" w:space="0" w:color="4472C4"/>
              <w:bottom w:val="single" w:sz="6" w:space="0" w:color="4472C4"/>
              <w:right w:val="single" w:sz="6" w:space="0" w:color="4472C4"/>
            </w:tcBorders>
            <w:shd w:val="clear" w:color="auto" w:fill="4472C4"/>
          </w:tcPr>
          <w:p w14:paraId="2A062779" w14:textId="63753381" w:rsidR="002214D6" w:rsidRPr="00532C20" w:rsidRDefault="00035518" w:rsidP="00C0540C">
            <w:pPr>
              <w:spacing w:after="0" w:line="240" w:lineRule="auto"/>
              <w:jc w:val="center"/>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 xml:space="preserve">TABLE 4: Thresholds </w:t>
            </w:r>
            <w:r w:rsidR="00D02D5D" w:rsidRPr="00532C20">
              <w:rPr>
                <w:rFonts w:ascii="Times New Roman" w:eastAsia="Calibri" w:hAnsi="Times New Roman" w:cs="Times New Roman"/>
                <w:b/>
                <w:bCs/>
                <w:noProof/>
                <w:lang w:val="en-IE"/>
              </w:rPr>
              <w:t>for information requests based on individual Member States’ portions of EU GDP</w:t>
            </w:r>
          </w:p>
        </w:tc>
      </w:tr>
      <w:tr w:rsidR="00035518" w:rsidRPr="00532C20" w14:paraId="3712FBA7" w14:textId="77777777" w:rsidTr="00302B22">
        <w:trPr>
          <w:trHeight w:val="300"/>
        </w:trPr>
        <w:tc>
          <w:tcPr>
            <w:tcW w:w="1830" w:type="dxa"/>
            <w:tcBorders>
              <w:top w:val="single" w:sz="6" w:space="0" w:color="4472C4"/>
              <w:left w:val="single" w:sz="6" w:space="0" w:color="4472C4"/>
              <w:bottom w:val="single" w:sz="6" w:space="0" w:color="4472C4"/>
              <w:right w:val="nil"/>
            </w:tcBorders>
            <w:shd w:val="clear" w:color="auto" w:fill="4472C4"/>
          </w:tcPr>
          <w:p w14:paraId="0A550D2E" w14:textId="25C9347C" w:rsidR="00035518" w:rsidRPr="00532C20" w:rsidRDefault="00035518" w:rsidP="00C0540C">
            <w:pPr>
              <w:spacing w:after="0" w:line="240" w:lineRule="auto"/>
              <w:jc w:val="center"/>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Member State</w:t>
            </w:r>
          </w:p>
        </w:tc>
        <w:tc>
          <w:tcPr>
            <w:tcW w:w="2265" w:type="dxa"/>
            <w:tcBorders>
              <w:top w:val="single" w:sz="6" w:space="0" w:color="4472C4"/>
              <w:left w:val="nil"/>
              <w:bottom w:val="single" w:sz="6" w:space="0" w:color="4472C4"/>
              <w:right w:val="nil"/>
            </w:tcBorders>
            <w:shd w:val="clear" w:color="auto" w:fill="4472C4"/>
          </w:tcPr>
          <w:p w14:paraId="7BE74D10" w14:textId="32EF33B8" w:rsidR="00035518" w:rsidRPr="00532C20" w:rsidRDefault="00035518" w:rsidP="00C0540C">
            <w:pPr>
              <w:spacing w:after="0" w:line="240" w:lineRule="auto"/>
              <w:jc w:val="center"/>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Percentage of EU GDP (nominal)</w:t>
            </w:r>
            <w:r w:rsidRPr="00532C20">
              <w:rPr>
                <w:rStyle w:val="FootnoteReference"/>
                <w:rFonts w:ascii="Times New Roman" w:eastAsia="Calibri" w:hAnsi="Times New Roman" w:cs="Times New Roman"/>
                <w:b/>
                <w:bCs/>
                <w:noProof/>
                <w:lang w:val="en-IE"/>
              </w:rPr>
              <w:footnoteReference w:id="327"/>
            </w:r>
          </w:p>
        </w:tc>
        <w:tc>
          <w:tcPr>
            <w:tcW w:w="2400" w:type="dxa"/>
            <w:tcBorders>
              <w:top w:val="single" w:sz="6" w:space="0" w:color="4472C4"/>
              <w:left w:val="nil"/>
              <w:bottom w:val="single" w:sz="6" w:space="0" w:color="4472C4"/>
              <w:right w:val="single" w:sz="6" w:space="0" w:color="4472C4"/>
            </w:tcBorders>
            <w:shd w:val="clear" w:color="auto" w:fill="4472C4"/>
          </w:tcPr>
          <w:p w14:paraId="73845738" w14:textId="1D9FD5F0" w:rsidR="00035518" w:rsidRPr="00532C20" w:rsidRDefault="00035518" w:rsidP="00C0540C">
            <w:pPr>
              <w:spacing w:after="0" w:line="240" w:lineRule="auto"/>
              <w:jc w:val="center"/>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Possible thresholds (EUR)</w:t>
            </w:r>
          </w:p>
        </w:tc>
      </w:tr>
      <w:tr w:rsidR="002214D6" w:rsidRPr="00532C20" w14:paraId="7FCC0A05"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D9E2F3"/>
            <w:hideMark/>
          </w:tcPr>
          <w:p w14:paraId="2DFB5810"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Germany </w:t>
            </w:r>
          </w:p>
        </w:tc>
        <w:tc>
          <w:tcPr>
            <w:tcW w:w="2265" w:type="dxa"/>
            <w:tcBorders>
              <w:top w:val="single" w:sz="6" w:space="0" w:color="8EAADB"/>
              <w:left w:val="single" w:sz="6" w:space="0" w:color="8EAADB"/>
              <w:bottom w:val="single" w:sz="6" w:space="0" w:color="8EAADB"/>
              <w:right w:val="single" w:sz="6" w:space="0" w:color="8EAADB"/>
            </w:tcBorders>
            <w:shd w:val="clear" w:color="auto" w:fill="D9E2F3"/>
            <w:hideMark/>
          </w:tcPr>
          <w:p w14:paraId="1E6E2F69"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24.46 </w:t>
            </w:r>
          </w:p>
        </w:tc>
        <w:tc>
          <w:tcPr>
            <w:tcW w:w="2400" w:type="dxa"/>
            <w:tcBorders>
              <w:top w:val="single" w:sz="6" w:space="0" w:color="8EAADB"/>
              <w:left w:val="single" w:sz="6" w:space="0" w:color="8EAADB"/>
              <w:bottom w:val="single" w:sz="6" w:space="0" w:color="8EAADB"/>
              <w:right w:val="single" w:sz="6" w:space="0" w:color="8EAADB"/>
            </w:tcBorders>
            <w:shd w:val="clear" w:color="auto" w:fill="D9E2F3"/>
            <w:hideMark/>
          </w:tcPr>
          <w:p w14:paraId="041DA192"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2,164,100 </w:t>
            </w:r>
          </w:p>
        </w:tc>
      </w:tr>
      <w:tr w:rsidR="002214D6" w:rsidRPr="00532C20" w14:paraId="29336A59"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auto"/>
            <w:hideMark/>
          </w:tcPr>
          <w:p w14:paraId="51A9538F"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France </w:t>
            </w:r>
          </w:p>
        </w:tc>
        <w:tc>
          <w:tcPr>
            <w:tcW w:w="2265" w:type="dxa"/>
            <w:tcBorders>
              <w:top w:val="single" w:sz="6" w:space="0" w:color="8EAADB"/>
              <w:left w:val="single" w:sz="6" w:space="0" w:color="8EAADB"/>
              <w:bottom w:val="single" w:sz="6" w:space="0" w:color="8EAADB"/>
              <w:right w:val="single" w:sz="6" w:space="0" w:color="8EAADB"/>
            </w:tcBorders>
            <w:shd w:val="clear" w:color="auto" w:fill="auto"/>
            <w:hideMark/>
          </w:tcPr>
          <w:p w14:paraId="67F76499"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16.72 </w:t>
            </w:r>
          </w:p>
        </w:tc>
        <w:tc>
          <w:tcPr>
            <w:tcW w:w="2400" w:type="dxa"/>
            <w:tcBorders>
              <w:top w:val="single" w:sz="6" w:space="0" w:color="8EAADB"/>
              <w:left w:val="single" w:sz="6" w:space="0" w:color="8EAADB"/>
              <w:bottom w:val="single" w:sz="6" w:space="0" w:color="8EAADB"/>
              <w:right w:val="single" w:sz="6" w:space="0" w:color="8EAADB"/>
            </w:tcBorders>
            <w:shd w:val="clear" w:color="auto" w:fill="auto"/>
            <w:hideMark/>
          </w:tcPr>
          <w:p w14:paraId="18DB1EA5"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1,421,200 </w:t>
            </w:r>
          </w:p>
        </w:tc>
      </w:tr>
      <w:tr w:rsidR="002214D6" w:rsidRPr="00532C20" w14:paraId="00ECE4F8"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D9E2F3"/>
            <w:hideMark/>
          </w:tcPr>
          <w:p w14:paraId="348399F8"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Italy </w:t>
            </w:r>
          </w:p>
        </w:tc>
        <w:tc>
          <w:tcPr>
            <w:tcW w:w="2265" w:type="dxa"/>
            <w:tcBorders>
              <w:top w:val="single" w:sz="6" w:space="0" w:color="8EAADB"/>
              <w:left w:val="single" w:sz="6" w:space="0" w:color="8EAADB"/>
              <w:bottom w:val="single" w:sz="6" w:space="0" w:color="8EAADB"/>
              <w:right w:val="single" w:sz="6" w:space="0" w:color="8EAADB"/>
            </w:tcBorders>
            <w:shd w:val="clear" w:color="auto" w:fill="D9E2F3"/>
            <w:hideMark/>
          </w:tcPr>
          <w:p w14:paraId="37B69D6E"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12.08 </w:t>
            </w:r>
          </w:p>
        </w:tc>
        <w:tc>
          <w:tcPr>
            <w:tcW w:w="2400" w:type="dxa"/>
            <w:tcBorders>
              <w:top w:val="single" w:sz="6" w:space="0" w:color="8EAADB"/>
              <w:left w:val="single" w:sz="6" w:space="0" w:color="8EAADB"/>
              <w:bottom w:val="single" w:sz="6" w:space="0" w:color="8EAADB"/>
              <w:right w:val="single" w:sz="6" w:space="0" w:color="8EAADB"/>
            </w:tcBorders>
            <w:shd w:val="clear" w:color="auto" w:fill="D9E2F3"/>
            <w:hideMark/>
          </w:tcPr>
          <w:p w14:paraId="73C252BC"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1,026,800 </w:t>
            </w:r>
          </w:p>
        </w:tc>
      </w:tr>
      <w:tr w:rsidR="002214D6" w:rsidRPr="00532C20" w14:paraId="3EF7BD34"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auto"/>
            <w:hideMark/>
          </w:tcPr>
          <w:p w14:paraId="1B18BC83"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Spain </w:t>
            </w:r>
          </w:p>
        </w:tc>
        <w:tc>
          <w:tcPr>
            <w:tcW w:w="2265" w:type="dxa"/>
            <w:tcBorders>
              <w:top w:val="single" w:sz="6" w:space="0" w:color="8EAADB"/>
              <w:left w:val="single" w:sz="6" w:space="0" w:color="8EAADB"/>
              <w:bottom w:val="single" w:sz="6" w:space="0" w:color="8EAADB"/>
              <w:right w:val="single" w:sz="6" w:space="0" w:color="8EAADB"/>
            </w:tcBorders>
            <w:shd w:val="clear" w:color="auto" w:fill="auto"/>
            <w:hideMark/>
          </w:tcPr>
          <w:p w14:paraId="1F04ACD5"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8.41 </w:t>
            </w:r>
          </w:p>
        </w:tc>
        <w:tc>
          <w:tcPr>
            <w:tcW w:w="2400" w:type="dxa"/>
            <w:tcBorders>
              <w:top w:val="single" w:sz="6" w:space="0" w:color="8EAADB"/>
              <w:left w:val="single" w:sz="6" w:space="0" w:color="8EAADB"/>
              <w:bottom w:val="single" w:sz="6" w:space="0" w:color="8EAADB"/>
              <w:right w:val="single" w:sz="6" w:space="0" w:color="8EAADB"/>
            </w:tcBorders>
            <w:shd w:val="clear" w:color="auto" w:fill="auto"/>
            <w:hideMark/>
          </w:tcPr>
          <w:p w14:paraId="1167320C"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714,850 </w:t>
            </w:r>
          </w:p>
        </w:tc>
      </w:tr>
      <w:tr w:rsidR="002214D6" w:rsidRPr="00532C20" w14:paraId="4C27BE3D"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D9E2F3"/>
            <w:hideMark/>
          </w:tcPr>
          <w:p w14:paraId="412256FC"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Netherlands </w:t>
            </w:r>
          </w:p>
        </w:tc>
        <w:tc>
          <w:tcPr>
            <w:tcW w:w="2265" w:type="dxa"/>
            <w:tcBorders>
              <w:top w:val="single" w:sz="6" w:space="0" w:color="8EAADB"/>
              <w:left w:val="single" w:sz="6" w:space="0" w:color="8EAADB"/>
              <w:bottom w:val="single" w:sz="6" w:space="0" w:color="8EAADB"/>
              <w:right w:val="single" w:sz="6" w:space="0" w:color="8EAADB"/>
            </w:tcBorders>
            <w:shd w:val="clear" w:color="auto" w:fill="D9E2F3"/>
            <w:hideMark/>
          </w:tcPr>
          <w:p w14:paraId="5D6FD0AB"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5.96 </w:t>
            </w:r>
          </w:p>
        </w:tc>
        <w:tc>
          <w:tcPr>
            <w:tcW w:w="2400" w:type="dxa"/>
            <w:tcBorders>
              <w:top w:val="single" w:sz="6" w:space="0" w:color="8EAADB"/>
              <w:left w:val="single" w:sz="6" w:space="0" w:color="8EAADB"/>
              <w:bottom w:val="single" w:sz="6" w:space="0" w:color="8EAADB"/>
              <w:right w:val="single" w:sz="6" w:space="0" w:color="8EAADB"/>
            </w:tcBorders>
            <w:shd w:val="clear" w:color="auto" w:fill="D9E2F3"/>
            <w:hideMark/>
          </w:tcPr>
          <w:p w14:paraId="25A52922"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506,600 </w:t>
            </w:r>
          </w:p>
        </w:tc>
      </w:tr>
      <w:tr w:rsidR="002214D6" w:rsidRPr="00532C20" w14:paraId="4BD78ED3"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auto"/>
            <w:hideMark/>
          </w:tcPr>
          <w:p w14:paraId="2BBA0F8A"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Poland </w:t>
            </w:r>
          </w:p>
        </w:tc>
        <w:tc>
          <w:tcPr>
            <w:tcW w:w="2265" w:type="dxa"/>
            <w:tcBorders>
              <w:top w:val="single" w:sz="6" w:space="0" w:color="8EAADB"/>
              <w:left w:val="single" w:sz="6" w:space="0" w:color="8EAADB"/>
              <w:bottom w:val="single" w:sz="6" w:space="0" w:color="8EAADB"/>
              <w:right w:val="single" w:sz="6" w:space="0" w:color="8EAADB"/>
            </w:tcBorders>
            <w:shd w:val="clear" w:color="auto" w:fill="auto"/>
            <w:hideMark/>
          </w:tcPr>
          <w:p w14:paraId="1BF2F1C2"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4.14 </w:t>
            </w:r>
          </w:p>
        </w:tc>
        <w:tc>
          <w:tcPr>
            <w:tcW w:w="2400" w:type="dxa"/>
            <w:tcBorders>
              <w:top w:val="single" w:sz="6" w:space="0" w:color="8EAADB"/>
              <w:left w:val="single" w:sz="6" w:space="0" w:color="8EAADB"/>
              <w:bottom w:val="single" w:sz="6" w:space="0" w:color="8EAADB"/>
              <w:right w:val="single" w:sz="6" w:space="0" w:color="8EAADB"/>
            </w:tcBorders>
            <w:shd w:val="clear" w:color="auto" w:fill="auto"/>
            <w:hideMark/>
          </w:tcPr>
          <w:p w14:paraId="52316409"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351,900 </w:t>
            </w:r>
          </w:p>
        </w:tc>
      </w:tr>
      <w:tr w:rsidR="002214D6" w:rsidRPr="00532C20" w14:paraId="7EDC878F"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D9E2F3"/>
            <w:hideMark/>
          </w:tcPr>
          <w:p w14:paraId="278F2186"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Sweden </w:t>
            </w:r>
          </w:p>
        </w:tc>
        <w:tc>
          <w:tcPr>
            <w:tcW w:w="2265" w:type="dxa"/>
            <w:tcBorders>
              <w:top w:val="single" w:sz="6" w:space="0" w:color="8EAADB"/>
              <w:left w:val="single" w:sz="6" w:space="0" w:color="8EAADB"/>
              <w:bottom w:val="single" w:sz="6" w:space="0" w:color="8EAADB"/>
              <w:right w:val="single" w:sz="6" w:space="0" w:color="8EAADB"/>
            </w:tcBorders>
            <w:shd w:val="clear" w:color="auto" w:fill="D9E2F3"/>
            <w:hideMark/>
          </w:tcPr>
          <w:p w14:paraId="3905E899"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3.53 </w:t>
            </w:r>
          </w:p>
        </w:tc>
        <w:tc>
          <w:tcPr>
            <w:tcW w:w="2400" w:type="dxa"/>
            <w:tcBorders>
              <w:top w:val="single" w:sz="6" w:space="0" w:color="8EAADB"/>
              <w:left w:val="single" w:sz="6" w:space="0" w:color="8EAADB"/>
              <w:bottom w:val="single" w:sz="6" w:space="0" w:color="8EAADB"/>
              <w:right w:val="single" w:sz="6" w:space="0" w:color="8EAADB"/>
            </w:tcBorders>
            <w:shd w:val="clear" w:color="auto" w:fill="D9E2F3"/>
            <w:hideMark/>
          </w:tcPr>
          <w:p w14:paraId="32B90408"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300,050 </w:t>
            </w:r>
          </w:p>
        </w:tc>
      </w:tr>
      <w:tr w:rsidR="002214D6" w:rsidRPr="00532C20" w14:paraId="12FC1BF9"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auto"/>
            <w:hideMark/>
          </w:tcPr>
          <w:p w14:paraId="6D49854A"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Belgium </w:t>
            </w:r>
          </w:p>
        </w:tc>
        <w:tc>
          <w:tcPr>
            <w:tcW w:w="2265" w:type="dxa"/>
            <w:tcBorders>
              <w:top w:val="single" w:sz="6" w:space="0" w:color="8EAADB"/>
              <w:left w:val="single" w:sz="6" w:space="0" w:color="8EAADB"/>
              <w:bottom w:val="single" w:sz="6" w:space="0" w:color="8EAADB"/>
              <w:right w:val="single" w:sz="6" w:space="0" w:color="8EAADB"/>
            </w:tcBorders>
            <w:shd w:val="clear" w:color="auto" w:fill="auto"/>
            <w:hideMark/>
          </w:tcPr>
          <w:p w14:paraId="388B49F7"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3.49 </w:t>
            </w:r>
          </w:p>
        </w:tc>
        <w:tc>
          <w:tcPr>
            <w:tcW w:w="2400" w:type="dxa"/>
            <w:tcBorders>
              <w:top w:val="single" w:sz="6" w:space="0" w:color="8EAADB"/>
              <w:left w:val="single" w:sz="6" w:space="0" w:color="8EAADB"/>
              <w:bottom w:val="single" w:sz="6" w:space="0" w:color="8EAADB"/>
              <w:right w:val="single" w:sz="6" w:space="0" w:color="8EAADB"/>
            </w:tcBorders>
            <w:shd w:val="clear" w:color="auto" w:fill="auto"/>
            <w:hideMark/>
          </w:tcPr>
          <w:p w14:paraId="52A159BA"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296,650 </w:t>
            </w:r>
          </w:p>
        </w:tc>
      </w:tr>
      <w:tr w:rsidR="002214D6" w:rsidRPr="00532C20" w14:paraId="134656F4"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D9E2F3"/>
            <w:hideMark/>
          </w:tcPr>
          <w:p w14:paraId="6CC9EC68"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Ireland </w:t>
            </w:r>
          </w:p>
        </w:tc>
        <w:tc>
          <w:tcPr>
            <w:tcW w:w="2265" w:type="dxa"/>
            <w:tcBorders>
              <w:top w:val="single" w:sz="6" w:space="0" w:color="8EAADB"/>
              <w:left w:val="single" w:sz="6" w:space="0" w:color="8EAADB"/>
              <w:bottom w:val="single" w:sz="6" w:space="0" w:color="8EAADB"/>
              <w:right w:val="single" w:sz="6" w:space="0" w:color="8EAADB"/>
            </w:tcBorders>
            <w:shd w:val="clear" w:color="auto" w:fill="D9E2F3"/>
            <w:hideMark/>
          </w:tcPr>
          <w:p w14:paraId="197F4087"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3.18 </w:t>
            </w:r>
          </w:p>
        </w:tc>
        <w:tc>
          <w:tcPr>
            <w:tcW w:w="2400" w:type="dxa"/>
            <w:tcBorders>
              <w:top w:val="single" w:sz="6" w:space="0" w:color="8EAADB"/>
              <w:left w:val="single" w:sz="6" w:space="0" w:color="8EAADB"/>
              <w:bottom w:val="single" w:sz="6" w:space="0" w:color="8EAADB"/>
              <w:right w:val="single" w:sz="6" w:space="0" w:color="8EAADB"/>
            </w:tcBorders>
            <w:shd w:val="clear" w:color="auto" w:fill="D9E2F3"/>
            <w:hideMark/>
          </w:tcPr>
          <w:p w14:paraId="41DB4080"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270,300 </w:t>
            </w:r>
          </w:p>
        </w:tc>
      </w:tr>
      <w:tr w:rsidR="002214D6" w:rsidRPr="00532C20" w14:paraId="0EB46BAF"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auto"/>
            <w:hideMark/>
          </w:tcPr>
          <w:p w14:paraId="0C828A10"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Austria </w:t>
            </w:r>
          </w:p>
        </w:tc>
        <w:tc>
          <w:tcPr>
            <w:tcW w:w="2265" w:type="dxa"/>
            <w:tcBorders>
              <w:top w:val="single" w:sz="6" w:space="0" w:color="8EAADB"/>
              <w:left w:val="single" w:sz="6" w:space="0" w:color="8EAADB"/>
              <w:bottom w:val="single" w:sz="6" w:space="0" w:color="8EAADB"/>
              <w:right w:val="single" w:sz="6" w:space="0" w:color="8EAADB"/>
            </w:tcBorders>
            <w:shd w:val="clear" w:color="auto" w:fill="auto"/>
            <w:hideMark/>
          </w:tcPr>
          <w:p w14:paraId="06F73CDE"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2.83 </w:t>
            </w:r>
          </w:p>
        </w:tc>
        <w:tc>
          <w:tcPr>
            <w:tcW w:w="2400" w:type="dxa"/>
            <w:tcBorders>
              <w:top w:val="single" w:sz="6" w:space="0" w:color="8EAADB"/>
              <w:left w:val="single" w:sz="6" w:space="0" w:color="8EAADB"/>
              <w:bottom w:val="single" w:sz="6" w:space="0" w:color="8EAADB"/>
              <w:right w:val="single" w:sz="6" w:space="0" w:color="8EAADB"/>
            </w:tcBorders>
            <w:shd w:val="clear" w:color="auto" w:fill="auto"/>
            <w:hideMark/>
          </w:tcPr>
          <w:p w14:paraId="55E6B4D6"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240,550 </w:t>
            </w:r>
          </w:p>
        </w:tc>
      </w:tr>
      <w:tr w:rsidR="002214D6" w:rsidRPr="00532C20" w14:paraId="1849B5B8"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D9E2F3"/>
            <w:hideMark/>
          </w:tcPr>
          <w:p w14:paraId="3A93C84E"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Denmark </w:t>
            </w:r>
          </w:p>
        </w:tc>
        <w:tc>
          <w:tcPr>
            <w:tcW w:w="2265" w:type="dxa"/>
            <w:tcBorders>
              <w:top w:val="single" w:sz="6" w:space="0" w:color="8EAADB"/>
              <w:left w:val="single" w:sz="6" w:space="0" w:color="8EAADB"/>
              <w:bottom w:val="single" w:sz="6" w:space="0" w:color="8EAADB"/>
              <w:right w:val="single" w:sz="6" w:space="0" w:color="8EAADB"/>
            </w:tcBorders>
            <w:shd w:val="clear" w:color="auto" w:fill="D9E2F3"/>
            <w:hideMark/>
          </w:tcPr>
          <w:p w14:paraId="527826DC"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2.37 </w:t>
            </w:r>
          </w:p>
        </w:tc>
        <w:tc>
          <w:tcPr>
            <w:tcW w:w="2400" w:type="dxa"/>
            <w:tcBorders>
              <w:top w:val="single" w:sz="6" w:space="0" w:color="8EAADB"/>
              <w:left w:val="single" w:sz="6" w:space="0" w:color="8EAADB"/>
              <w:bottom w:val="single" w:sz="6" w:space="0" w:color="8EAADB"/>
              <w:right w:val="single" w:sz="6" w:space="0" w:color="8EAADB"/>
            </w:tcBorders>
            <w:shd w:val="clear" w:color="auto" w:fill="D9E2F3"/>
            <w:hideMark/>
          </w:tcPr>
          <w:p w14:paraId="6677AD8C"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201,450 </w:t>
            </w:r>
          </w:p>
        </w:tc>
      </w:tr>
      <w:tr w:rsidR="002214D6" w:rsidRPr="00532C20" w14:paraId="36782765"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auto"/>
            <w:hideMark/>
          </w:tcPr>
          <w:p w14:paraId="5ECD0FDC"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Romania </w:t>
            </w:r>
          </w:p>
        </w:tc>
        <w:tc>
          <w:tcPr>
            <w:tcW w:w="2265" w:type="dxa"/>
            <w:tcBorders>
              <w:top w:val="single" w:sz="6" w:space="0" w:color="8EAADB"/>
              <w:left w:val="single" w:sz="6" w:space="0" w:color="8EAADB"/>
              <w:bottom w:val="single" w:sz="6" w:space="0" w:color="8EAADB"/>
              <w:right w:val="single" w:sz="6" w:space="0" w:color="8EAADB"/>
            </w:tcBorders>
            <w:shd w:val="clear" w:color="auto" w:fill="auto"/>
            <w:hideMark/>
          </w:tcPr>
          <w:p w14:paraId="7BE657B7"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1.81 </w:t>
            </w:r>
          </w:p>
        </w:tc>
        <w:tc>
          <w:tcPr>
            <w:tcW w:w="2400" w:type="dxa"/>
            <w:tcBorders>
              <w:top w:val="single" w:sz="6" w:space="0" w:color="8EAADB"/>
              <w:left w:val="single" w:sz="6" w:space="0" w:color="8EAADB"/>
              <w:bottom w:val="single" w:sz="6" w:space="0" w:color="8EAADB"/>
              <w:right w:val="single" w:sz="6" w:space="0" w:color="8EAADB"/>
            </w:tcBorders>
            <w:shd w:val="clear" w:color="auto" w:fill="auto"/>
            <w:hideMark/>
          </w:tcPr>
          <w:p w14:paraId="4EBFFDCB"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153,850 </w:t>
            </w:r>
          </w:p>
        </w:tc>
      </w:tr>
      <w:tr w:rsidR="002214D6" w:rsidRPr="00532C20" w14:paraId="249FEDBD"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D9E2F3"/>
            <w:hideMark/>
          </w:tcPr>
          <w:p w14:paraId="3A8C0E94"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Czechia </w:t>
            </w:r>
          </w:p>
        </w:tc>
        <w:tc>
          <w:tcPr>
            <w:tcW w:w="2265" w:type="dxa"/>
            <w:tcBorders>
              <w:top w:val="single" w:sz="6" w:space="0" w:color="8EAADB"/>
              <w:left w:val="single" w:sz="6" w:space="0" w:color="8EAADB"/>
              <w:bottom w:val="single" w:sz="6" w:space="0" w:color="8EAADB"/>
              <w:right w:val="single" w:sz="6" w:space="0" w:color="8EAADB"/>
            </w:tcBorders>
            <w:shd w:val="clear" w:color="auto" w:fill="D9E2F3"/>
            <w:hideMark/>
          </w:tcPr>
          <w:p w14:paraId="2A182925"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1.75 </w:t>
            </w:r>
          </w:p>
        </w:tc>
        <w:tc>
          <w:tcPr>
            <w:tcW w:w="2400" w:type="dxa"/>
            <w:tcBorders>
              <w:top w:val="single" w:sz="6" w:space="0" w:color="8EAADB"/>
              <w:left w:val="single" w:sz="6" w:space="0" w:color="8EAADB"/>
              <w:bottom w:val="single" w:sz="6" w:space="0" w:color="8EAADB"/>
              <w:right w:val="single" w:sz="6" w:space="0" w:color="8EAADB"/>
            </w:tcBorders>
            <w:shd w:val="clear" w:color="auto" w:fill="D9E2F3"/>
            <w:hideMark/>
          </w:tcPr>
          <w:p w14:paraId="7BEF4110"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148,750 </w:t>
            </w:r>
          </w:p>
        </w:tc>
      </w:tr>
      <w:tr w:rsidR="002214D6" w:rsidRPr="00532C20" w14:paraId="538AC45F"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auto"/>
            <w:hideMark/>
          </w:tcPr>
          <w:p w14:paraId="267026EE"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Finland </w:t>
            </w:r>
          </w:p>
        </w:tc>
        <w:tc>
          <w:tcPr>
            <w:tcW w:w="2265" w:type="dxa"/>
            <w:tcBorders>
              <w:top w:val="single" w:sz="6" w:space="0" w:color="8EAADB"/>
              <w:left w:val="single" w:sz="6" w:space="0" w:color="8EAADB"/>
              <w:bottom w:val="single" w:sz="6" w:space="0" w:color="8EAADB"/>
              <w:right w:val="single" w:sz="6" w:space="0" w:color="8EAADB"/>
            </w:tcBorders>
            <w:shd w:val="clear" w:color="auto" w:fill="auto"/>
            <w:hideMark/>
          </w:tcPr>
          <w:p w14:paraId="379245F0"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1.69 </w:t>
            </w:r>
          </w:p>
        </w:tc>
        <w:tc>
          <w:tcPr>
            <w:tcW w:w="2400" w:type="dxa"/>
            <w:tcBorders>
              <w:top w:val="single" w:sz="6" w:space="0" w:color="8EAADB"/>
              <w:left w:val="single" w:sz="6" w:space="0" w:color="8EAADB"/>
              <w:bottom w:val="single" w:sz="6" w:space="0" w:color="8EAADB"/>
              <w:right w:val="single" w:sz="6" w:space="0" w:color="8EAADB"/>
            </w:tcBorders>
            <w:shd w:val="clear" w:color="auto" w:fill="auto"/>
            <w:hideMark/>
          </w:tcPr>
          <w:p w14:paraId="0191DAFD"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143,650 </w:t>
            </w:r>
          </w:p>
        </w:tc>
      </w:tr>
      <w:tr w:rsidR="002214D6" w:rsidRPr="00532C20" w14:paraId="2DB2118D"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D9E2F3"/>
            <w:hideMark/>
          </w:tcPr>
          <w:p w14:paraId="0D9C4DA7"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Portugal </w:t>
            </w:r>
          </w:p>
        </w:tc>
        <w:tc>
          <w:tcPr>
            <w:tcW w:w="2265" w:type="dxa"/>
            <w:tcBorders>
              <w:top w:val="single" w:sz="6" w:space="0" w:color="8EAADB"/>
              <w:left w:val="single" w:sz="6" w:space="0" w:color="8EAADB"/>
              <w:bottom w:val="single" w:sz="6" w:space="0" w:color="8EAADB"/>
              <w:right w:val="single" w:sz="6" w:space="0" w:color="8EAADB"/>
            </w:tcBorders>
            <w:shd w:val="clear" w:color="auto" w:fill="D9E2F3"/>
            <w:hideMark/>
          </w:tcPr>
          <w:p w14:paraId="405BB624"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1.51 </w:t>
            </w:r>
          </w:p>
        </w:tc>
        <w:tc>
          <w:tcPr>
            <w:tcW w:w="2400" w:type="dxa"/>
            <w:tcBorders>
              <w:top w:val="single" w:sz="6" w:space="0" w:color="8EAADB"/>
              <w:left w:val="single" w:sz="6" w:space="0" w:color="8EAADB"/>
              <w:bottom w:val="single" w:sz="6" w:space="0" w:color="8EAADB"/>
              <w:right w:val="single" w:sz="6" w:space="0" w:color="8EAADB"/>
            </w:tcBorders>
            <w:shd w:val="clear" w:color="auto" w:fill="D9E2F3"/>
            <w:hideMark/>
          </w:tcPr>
          <w:p w14:paraId="19675EF1"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128,350 </w:t>
            </w:r>
          </w:p>
        </w:tc>
      </w:tr>
      <w:tr w:rsidR="002214D6" w:rsidRPr="00532C20" w14:paraId="3FCC9D0A"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auto"/>
            <w:hideMark/>
          </w:tcPr>
          <w:p w14:paraId="23582B6F"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Greece </w:t>
            </w:r>
          </w:p>
        </w:tc>
        <w:tc>
          <w:tcPr>
            <w:tcW w:w="2265" w:type="dxa"/>
            <w:tcBorders>
              <w:top w:val="single" w:sz="6" w:space="0" w:color="8EAADB"/>
              <w:left w:val="single" w:sz="6" w:space="0" w:color="8EAADB"/>
              <w:bottom w:val="single" w:sz="6" w:space="0" w:color="8EAADB"/>
              <w:right w:val="single" w:sz="6" w:space="0" w:color="8EAADB"/>
            </w:tcBorders>
            <w:shd w:val="clear" w:color="auto" w:fill="auto"/>
            <w:hideMark/>
          </w:tcPr>
          <w:p w14:paraId="088719AB"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1.32 </w:t>
            </w:r>
          </w:p>
        </w:tc>
        <w:tc>
          <w:tcPr>
            <w:tcW w:w="2400" w:type="dxa"/>
            <w:tcBorders>
              <w:top w:val="single" w:sz="6" w:space="0" w:color="8EAADB"/>
              <w:left w:val="single" w:sz="6" w:space="0" w:color="8EAADB"/>
              <w:bottom w:val="single" w:sz="6" w:space="0" w:color="8EAADB"/>
              <w:right w:val="single" w:sz="6" w:space="0" w:color="8EAADB"/>
            </w:tcBorders>
            <w:shd w:val="clear" w:color="auto" w:fill="auto"/>
            <w:hideMark/>
          </w:tcPr>
          <w:p w14:paraId="41F06E84"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112,200 </w:t>
            </w:r>
          </w:p>
        </w:tc>
      </w:tr>
      <w:tr w:rsidR="002214D6" w:rsidRPr="00532C20" w14:paraId="3E49CC42"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D9E2F3"/>
            <w:hideMark/>
          </w:tcPr>
          <w:p w14:paraId="27B14F5E"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Hungary </w:t>
            </w:r>
          </w:p>
        </w:tc>
        <w:tc>
          <w:tcPr>
            <w:tcW w:w="2265" w:type="dxa"/>
            <w:tcBorders>
              <w:top w:val="single" w:sz="6" w:space="0" w:color="8EAADB"/>
              <w:left w:val="single" w:sz="6" w:space="0" w:color="8EAADB"/>
              <w:bottom w:val="single" w:sz="6" w:space="0" w:color="8EAADB"/>
              <w:right w:val="single" w:sz="6" w:space="0" w:color="8EAADB"/>
            </w:tcBorders>
            <w:shd w:val="clear" w:color="auto" w:fill="D9E2F3"/>
            <w:hideMark/>
          </w:tcPr>
          <w:p w14:paraId="583E8E9B"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1.07 </w:t>
            </w:r>
          </w:p>
        </w:tc>
        <w:tc>
          <w:tcPr>
            <w:tcW w:w="2400" w:type="dxa"/>
            <w:tcBorders>
              <w:top w:val="single" w:sz="6" w:space="0" w:color="8EAADB"/>
              <w:left w:val="single" w:sz="6" w:space="0" w:color="8EAADB"/>
              <w:bottom w:val="single" w:sz="6" w:space="0" w:color="8EAADB"/>
              <w:right w:val="single" w:sz="6" w:space="0" w:color="8EAADB"/>
            </w:tcBorders>
            <w:shd w:val="clear" w:color="auto" w:fill="D9E2F3"/>
            <w:hideMark/>
          </w:tcPr>
          <w:p w14:paraId="72F1B8C1"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90,950 </w:t>
            </w:r>
          </w:p>
        </w:tc>
      </w:tr>
      <w:tr w:rsidR="002214D6" w:rsidRPr="00532C20" w14:paraId="350FA925"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auto"/>
            <w:hideMark/>
          </w:tcPr>
          <w:p w14:paraId="302DDB77"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Slovakia </w:t>
            </w:r>
          </w:p>
        </w:tc>
        <w:tc>
          <w:tcPr>
            <w:tcW w:w="2265" w:type="dxa"/>
            <w:tcBorders>
              <w:top w:val="single" w:sz="6" w:space="0" w:color="8EAADB"/>
              <w:left w:val="single" w:sz="6" w:space="0" w:color="8EAADB"/>
              <w:bottom w:val="single" w:sz="6" w:space="0" w:color="8EAADB"/>
              <w:right w:val="single" w:sz="6" w:space="0" w:color="8EAADB"/>
            </w:tcBorders>
            <w:shd w:val="clear" w:color="auto" w:fill="auto"/>
            <w:hideMark/>
          </w:tcPr>
          <w:p w14:paraId="6A4935C0"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0.68 </w:t>
            </w:r>
          </w:p>
        </w:tc>
        <w:tc>
          <w:tcPr>
            <w:tcW w:w="2400" w:type="dxa"/>
            <w:tcBorders>
              <w:top w:val="single" w:sz="6" w:space="0" w:color="8EAADB"/>
              <w:left w:val="single" w:sz="6" w:space="0" w:color="8EAADB"/>
              <w:bottom w:val="single" w:sz="6" w:space="0" w:color="8EAADB"/>
              <w:right w:val="single" w:sz="6" w:space="0" w:color="8EAADB"/>
            </w:tcBorders>
            <w:shd w:val="clear" w:color="auto" w:fill="auto"/>
            <w:hideMark/>
          </w:tcPr>
          <w:p w14:paraId="159FF892"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57,800 </w:t>
            </w:r>
          </w:p>
        </w:tc>
      </w:tr>
      <w:tr w:rsidR="002214D6" w:rsidRPr="00532C20" w14:paraId="48C366EF"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D9E2F3"/>
            <w:hideMark/>
          </w:tcPr>
          <w:p w14:paraId="34D8BB72"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Bulgaria </w:t>
            </w:r>
          </w:p>
        </w:tc>
        <w:tc>
          <w:tcPr>
            <w:tcW w:w="2265" w:type="dxa"/>
            <w:tcBorders>
              <w:top w:val="single" w:sz="6" w:space="0" w:color="8EAADB"/>
              <w:left w:val="single" w:sz="6" w:space="0" w:color="8EAADB"/>
              <w:bottom w:val="single" w:sz="6" w:space="0" w:color="8EAADB"/>
              <w:right w:val="single" w:sz="6" w:space="0" w:color="8EAADB"/>
            </w:tcBorders>
            <w:shd w:val="clear" w:color="auto" w:fill="D9E2F3"/>
            <w:hideMark/>
          </w:tcPr>
          <w:p w14:paraId="799BD76E"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0.53 </w:t>
            </w:r>
          </w:p>
        </w:tc>
        <w:tc>
          <w:tcPr>
            <w:tcW w:w="2400" w:type="dxa"/>
            <w:tcBorders>
              <w:top w:val="single" w:sz="6" w:space="0" w:color="8EAADB"/>
              <w:left w:val="single" w:sz="6" w:space="0" w:color="8EAADB"/>
              <w:bottom w:val="single" w:sz="6" w:space="0" w:color="8EAADB"/>
              <w:right w:val="single" w:sz="6" w:space="0" w:color="8EAADB"/>
            </w:tcBorders>
            <w:shd w:val="clear" w:color="auto" w:fill="D9E2F3"/>
            <w:hideMark/>
          </w:tcPr>
          <w:p w14:paraId="6AA4A10D"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45,050 </w:t>
            </w:r>
          </w:p>
        </w:tc>
      </w:tr>
      <w:tr w:rsidR="002214D6" w:rsidRPr="00532C20" w14:paraId="3AA615E8"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auto"/>
            <w:hideMark/>
          </w:tcPr>
          <w:p w14:paraId="0B50B84B"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Luxembourg </w:t>
            </w:r>
          </w:p>
        </w:tc>
        <w:tc>
          <w:tcPr>
            <w:tcW w:w="2265" w:type="dxa"/>
            <w:tcBorders>
              <w:top w:val="single" w:sz="6" w:space="0" w:color="8EAADB"/>
              <w:left w:val="single" w:sz="6" w:space="0" w:color="8EAADB"/>
              <w:bottom w:val="single" w:sz="6" w:space="0" w:color="8EAADB"/>
              <w:right w:val="single" w:sz="6" w:space="0" w:color="8EAADB"/>
            </w:tcBorders>
            <w:shd w:val="clear" w:color="auto" w:fill="auto"/>
            <w:hideMark/>
          </w:tcPr>
          <w:p w14:paraId="32BAC414"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0.49 </w:t>
            </w:r>
          </w:p>
        </w:tc>
        <w:tc>
          <w:tcPr>
            <w:tcW w:w="2400" w:type="dxa"/>
            <w:tcBorders>
              <w:top w:val="single" w:sz="6" w:space="0" w:color="8EAADB"/>
              <w:left w:val="single" w:sz="6" w:space="0" w:color="8EAADB"/>
              <w:bottom w:val="single" w:sz="6" w:space="0" w:color="8EAADB"/>
              <w:right w:val="single" w:sz="6" w:space="0" w:color="8EAADB"/>
            </w:tcBorders>
            <w:shd w:val="clear" w:color="auto" w:fill="auto"/>
            <w:hideMark/>
          </w:tcPr>
          <w:p w14:paraId="4200FAE6"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41,650 </w:t>
            </w:r>
          </w:p>
        </w:tc>
      </w:tr>
      <w:tr w:rsidR="002214D6" w:rsidRPr="00532C20" w14:paraId="483D68BC"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D9E2F3"/>
            <w:hideMark/>
          </w:tcPr>
          <w:p w14:paraId="10A342A5"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Croatia </w:t>
            </w:r>
          </w:p>
        </w:tc>
        <w:tc>
          <w:tcPr>
            <w:tcW w:w="2265" w:type="dxa"/>
            <w:tcBorders>
              <w:top w:val="single" w:sz="6" w:space="0" w:color="8EAADB"/>
              <w:left w:val="single" w:sz="6" w:space="0" w:color="8EAADB"/>
              <w:bottom w:val="single" w:sz="6" w:space="0" w:color="8EAADB"/>
              <w:right w:val="single" w:sz="6" w:space="0" w:color="8EAADB"/>
            </w:tcBorders>
            <w:shd w:val="clear" w:color="auto" w:fill="D9E2F3"/>
            <w:hideMark/>
          </w:tcPr>
          <w:p w14:paraId="624073DA"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0.43 </w:t>
            </w:r>
          </w:p>
        </w:tc>
        <w:tc>
          <w:tcPr>
            <w:tcW w:w="2400" w:type="dxa"/>
            <w:tcBorders>
              <w:top w:val="single" w:sz="6" w:space="0" w:color="8EAADB"/>
              <w:left w:val="single" w:sz="6" w:space="0" w:color="8EAADB"/>
              <w:bottom w:val="single" w:sz="6" w:space="0" w:color="8EAADB"/>
              <w:right w:val="single" w:sz="6" w:space="0" w:color="8EAADB"/>
            </w:tcBorders>
            <w:shd w:val="clear" w:color="auto" w:fill="D9E2F3"/>
            <w:hideMark/>
          </w:tcPr>
          <w:p w14:paraId="5DA97013"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36,550 </w:t>
            </w:r>
          </w:p>
        </w:tc>
      </w:tr>
      <w:tr w:rsidR="002214D6" w:rsidRPr="00532C20" w14:paraId="66328B34"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auto"/>
            <w:hideMark/>
          </w:tcPr>
          <w:p w14:paraId="76E7DA59"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Lithuania </w:t>
            </w:r>
          </w:p>
        </w:tc>
        <w:tc>
          <w:tcPr>
            <w:tcW w:w="2265" w:type="dxa"/>
            <w:tcBorders>
              <w:top w:val="single" w:sz="6" w:space="0" w:color="8EAADB"/>
              <w:left w:val="single" w:sz="6" w:space="0" w:color="8EAADB"/>
              <w:bottom w:val="single" w:sz="6" w:space="0" w:color="8EAADB"/>
              <w:right w:val="single" w:sz="6" w:space="0" w:color="8EAADB"/>
            </w:tcBorders>
            <w:shd w:val="clear" w:color="auto" w:fill="auto"/>
            <w:hideMark/>
          </w:tcPr>
          <w:p w14:paraId="37B0714F"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0.42 </w:t>
            </w:r>
          </w:p>
        </w:tc>
        <w:tc>
          <w:tcPr>
            <w:tcW w:w="2400" w:type="dxa"/>
            <w:tcBorders>
              <w:top w:val="single" w:sz="6" w:space="0" w:color="8EAADB"/>
              <w:left w:val="single" w:sz="6" w:space="0" w:color="8EAADB"/>
              <w:bottom w:val="single" w:sz="6" w:space="0" w:color="8EAADB"/>
              <w:right w:val="single" w:sz="6" w:space="0" w:color="8EAADB"/>
            </w:tcBorders>
            <w:shd w:val="clear" w:color="auto" w:fill="auto"/>
            <w:hideMark/>
          </w:tcPr>
          <w:p w14:paraId="06F7A99C"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35,700 </w:t>
            </w:r>
          </w:p>
        </w:tc>
      </w:tr>
      <w:tr w:rsidR="002214D6" w:rsidRPr="00532C20" w14:paraId="637240A6"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D9E2F3"/>
            <w:hideMark/>
          </w:tcPr>
          <w:p w14:paraId="3C13394F"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Slovenia </w:t>
            </w:r>
          </w:p>
        </w:tc>
        <w:tc>
          <w:tcPr>
            <w:tcW w:w="2265" w:type="dxa"/>
            <w:tcBorders>
              <w:top w:val="single" w:sz="6" w:space="0" w:color="8EAADB"/>
              <w:left w:val="single" w:sz="6" w:space="0" w:color="8EAADB"/>
              <w:bottom w:val="single" w:sz="6" w:space="0" w:color="8EAADB"/>
              <w:right w:val="single" w:sz="6" w:space="0" w:color="8EAADB"/>
            </w:tcBorders>
            <w:shd w:val="clear" w:color="auto" w:fill="D9E2F3"/>
            <w:hideMark/>
          </w:tcPr>
          <w:p w14:paraId="488A695C"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0.37 </w:t>
            </w:r>
          </w:p>
        </w:tc>
        <w:tc>
          <w:tcPr>
            <w:tcW w:w="2400" w:type="dxa"/>
            <w:tcBorders>
              <w:top w:val="single" w:sz="6" w:space="0" w:color="8EAADB"/>
              <w:left w:val="single" w:sz="6" w:space="0" w:color="8EAADB"/>
              <w:bottom w:val="single" w:sz="6" w:space="0" w:color="8EAADB"/>
              <w:right w:val="single" w:sz="6" w:space="0" w:color="8EAADB"/>
            </w:tcBorders>
            <w:shd w:val="clear" w:color="auto" w:fill="D9E2F3"/>
            <w:hideMark/>
          </w:tcPr>
          <w:p w14:paraId="00F8CA37"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31,450 </w:t>
            </w:r>
          </w:p>
        </w:tc>
      </w:tr>
      <w:tr w:rsidR="002214D6" w:rsidRPr="00532C20" w14:paraId="59C0A3DF"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auto"/>
            <w:hideMark/>
          </w:tcPr>
          <w:p w14:paraId="312701A4"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Latvia </w:t>
            </w:r>
          </w:p>
        </w:tc>
        <w:tc>
          <w:tcPr>
            <w:tcW w:w="2265" w:type="dxa"/>
            <w:tcBorders>
              <w:top w:val="single" w:sz="6" w:space="0" w:color="8EAADB"/>
              <w:left w:val="single" w:sz="6" w:space="0" w:color="8EAADB"/>
              <w:bottom w:val="single" w:sz="6" w:space="0" w:color="8EAADB"/>
              <w:right w:val="single" w:sz="6" w:space="0" w:color="8EAADB"/>
            </w:tcBorders>
            <w:shd w:val="clear" w:color="auto" w:fill="auto"/>
            <w:hideMark/>
          </w:tcPr>
          <w:p w14:paraId="4076ADA5"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0.25 </w:t>
            </w:r>
          </w:p>
        </w:tc>
        <w:tc>
          <w:tcPr>
            <w:tcW w:w="2400" w:type="dxa"/>
            <w:tcBorders>
              <w:top w:val="single" w:sz="6" w:space="0" w:color="8EAADB"/>
              <w:left w:val="single" w:sz="6" w:space="0" w:color="8EAADB"/>
              <w:bottom w:val="single" w:sz="6" w:space="0" w:color="8EAADB"/>
              <w:right w:val="single" w:sz="6" w:space="0" w:color="8EAADB"/>
            </w:tcBorders>
            <w:shd w:val="clear" w:color="auto" w:fill="auto"/>
            <w:hideMark/>
          </w:tcPr>
          <w:p w14:paraId="23F06E35"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21,250 </w:t>
            </w:r>
          </w:p>
        </w:tc>
      </w:tr>
      <w:tr w:rsidR="002214D6" w:rsidRPr="00532C20" w14:paraId="4A5A8162"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D9E2F3"/>
            <w:hideMark/>
          </w:tcPr>
          <w:p w14:paraId="4E5B79D4"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Estonia </w:t>
            </w:r>
          </w:p>
        </w:tc>
        <w:tc>
          <w:tcPr>
            <w:tcW w:w="2265" w:type="dxa"/>
            <w:tcBorders>
              <w:top w:val="single" w:sz="6" w:space="0" w:color="8EAADB"/>
              <w:left w:val="single" w:sz="6" w:space="0" w:color="8EAADB"/>
              <w:bottom w:val="single" w:sz="6" w:space="0" w:color="8EAADB"/>
              <w:right w:val="single" w:sz="6" w:space="0" w:color="8EAADB"/>
            </w:tcBorders>
            <w:shd w:val="clear" w:color="auto" w:fill="D9E2F3"/>
            <w:hideMark/>
          </w:tcPr>
          <w:p w14:paraId="265D8F5C"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0.23 </w:t>
            </w:r>
          </w:p>
        </w:tc>
        <w:tc>
          <w:tcPr>
            <w:tcW w:w="2400" w:type="dxa"/>
            <w:tcBorders>
              <w:top w:val="single" w:sz="6" w:space="0" w:color="8EAADB"/>
              <w:left w:val="single" w:sz="6" w:space="0" w:color="8EAADB"/>
              <w:bottom w:val="single" w:sz="6" w:space="0" w:color="8EAADB"/>
              <w:right w:val="single" w:sz="6" w:space="0" w:color="8EAADB"/>
            </w:tcBorders>
            <w:shd w:val="clear" w:color="auto" w:fill="D9E2F3"/>
            <w:hideMark/>
          </w:tcPr>
          <w:p w14:paraId="6E5191FD"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19,550 </w:t>
            </w:r>
          </w:p>
        </w:tc>
      </w:tr>
      <w:tr w:rsidR="002214D6" w:rsidRPr="00532C20" w14:paraId="724EAFA4" w14:textId="77777777" w:rsidTr="00302B22">
        <w:trPr>
          <w:trHeight w:val="60"/>
        </w:trPr>
        <w:tc>
          <w:tcPr>
            <w:tcW w:w="1830" w:type="dxa"/>
            <w:tcBorders>
              <w:top w:val="single" w:sz="6" w:space="0" w:color="8EAADB"/>
              <w:left w:val="single" w:sz="6" w:space="0" w:color="8EAADB"/>
              <w:bottom w:val="single" w:sz="6" w:space="0" w:color="8EAADB"/>
              <w:right w:val="single" w:sz="6" w:space="0" w:color="8EAADB"/>
            </w:tcBorders>
            <w:shd w:val="clear" w:color="auto" w:fill="auto"/>
            <w:hideMark/>
          </w:tcPr>
          <w:p w14:paraId="0D226ACA"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Cyprus </w:t>
            </w:r>
          </w:p>
        </w:tc>
        <w:tc>
          <w:tcPr>
            <w:tcW w:w="2265" w:type="dxa"/>
            <w:tcBorders>
              <w:top w:val="single" w:sz="6" w:space="0" w:color="8EAADB"/>
              <w:left w:val="single" w:sz="6" w:space="0" w:color="8EAADB"/>
              <w:bottom w:val="single" w:sz="6" w:space="0" w:color="8EAADB"/>
              <w:right w:val="single" w:sz="6" w:space="0" w:color="8EAADB"/>
            </w:tcBorders>
            <w:shd w:val="clear" w:color="auto" w:fill="auto"/>
            <w:hideMark/>
          </w:tcPr>
          <w:p w14:paraId="7C678738"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0.17 </w:t>
            </w:r>
          </w:p>
        </w:tc>
        <w:tc>
          <w:tcPr>
            <w:tcW w:w="2400" w:type="dxa"/>
            <w:tcBorders>
              <w:top w:val="single" w:sz="6" w:space="0" w:color="8EAADB"/>
              <w:left w:val="single" w:sz="6" w:space="0" w:color="8EAADB"/>
              <w:bottom w:val="single" w:sz="6" w:space="0" w:color="8EAADB"/>
              <w:right w:val="single" w:sz="6" w:space="0" w:color="8EAADB"/>
            </w:tcBorders>
            <w:shd w:val="clear" w:color="auto" w:fill="auto"/>
            <w:hideMark/>
          </w:tcPr>
          <w:p w14:paraId="2ABB6642"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14,450 </w:t>
            </w:r>
          </w:p>
        </w:tc>
      </w:tr>
      <w:tr w:rsidR="002214D6" w:rsidRPr="00532C20" w14:paraId="419A4C84" w14:textId="77777777" w:rsidTr="00302B22">
        <w:trPr>
          <w:trHeight w:val="300"/>
        </w:trPr>
        <w:tc>
          <w:tcPr>
            <w:tcW w:w="1830" w:type="dxa"/>
            <w:tcBorders>
              <w:top w:val="single" w:sz="6" w:space="0" w:color="8EAADB"/>
              <w:left w:val="single" w:sz="6" w:space="0" w:color="8EAADB"/>
              <w:bottom w:val="single" w:sz="6" w:space="0" w:color="8EAADB"/>
              <w:right w:val="single" w:sz="6" w:space="0" w:color="8EAADB"/>
            </w:tcBorders>
            <w:shd w:val="clear" w:color="auto" w:fill="D9E2F3"/>
            <w:hideMark/>
          </w:tcPr>
          <w:p w14:paraId="4FB51339" w14:textId="77777777" w:rsidR="002214D6" w:rsidRPr="00532C20" w:rsidRDefault="002214D6" w:rsidP="00C0540C">
            <w:pPr>
              <w:spacing w:after="0" w:line="240" w:lineRule="auto"/>
              <w:rPr>
                <w:rFonts w:ascii="Times New Roman" w:eastAsia="Calibri" w:hAnsi="Times New Roman" w:cs="Times New Roman"/>
                <w:b/>
                <w:bCs/>
                <w:noProof/>
                <w:lang w:val="en-IE"/>
              </w:rPr>
            </w:pPr>
            <w:r w:rsidRPr="00532C20">
              <w:rPr>
                <w:rFonts w:ascii="Times New Roman" w:eastAsia="Calibri" w:hAnsi="Times New Roman" w:cs="Times New Roman"/>
                <w:b/>
                <w:bCs/>
                <w:noProof/>
                <w:lang w:val="en-IE"/>
              </w:rPr>
              <w:t>Malta </w:t>
            </w:r>
          </w:p>
        </w:tc>
        <w:tc>
          <w:tcPr>
            <w:tcW w:w="2265" w:type="dxa"/>
            <w:tcBorders>
              <w:top w:val="single" w:sz="6" w:space="0" w:color="8EAADB"/>
              <w:left w:val="single" w:sz="6" w:space="0" w:color="8EAADB"/>
              <w:bottom w:val="single" w:sz="6" w:space="0" w:color="8EAADB"/>
              <w:right w:val="single" w:sz="6" w:space="0" w:color="8EAADB"/>
            </w:tcBorders>
            <w:shd w:val="clear" w:color="auto" w:fill="D9E2F3"/>
            <w:hideMark/>
          </w:tcPr>
          <w:p w14:paraId="70AF5A3B"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0.11 </w:t>
            </w:r>
          </w:p>
        </w:tc>
        <w:tc>
          <w:tcPr>
            <w:tcW w:w="2400" w:type="dxa"/>
            <w:tcBorders>
              <w:top w:val="single" w:sz="6" w:space="0" w:color="8EAADB"/>
              <w:left w:val="single" w:sz="6" w:space="0" w:color="8EAADB"/>
              <w:bottom w:val="single" w:sz="6" w:space="0" w:color="8EAADB"/>
              <w:right w:val="single" w:sz="6" w:space="0" w:color="8EAADB"/>
            </w:tcBorders>
            <w:shd w:val="clear" w:color="auto" w:fill="D9E2F3"/>
            <w:hideMark/>
          </w:tcPr>
          <w:p w14:paraId="12257230" w14:textId="77777777" w:rsidR="002214D6" w:rsidRPr="00532C20" w:rsidRDefault="002214D6" w:rsidP="00C0540C">
            <w:pPr>
              <w:spacing w:after="0" w:line="240" w:lineRule="auto"/>
              <w:jc w:val="right"/>
              <w:rPr>
                <w:rFonts w:ascii="Times New Roman" w:eastAsia="Calibri" w:hAnsi="Times New Roman" w:cs="Times New Roman"/>
                <w:noProof/>
                <w:lang w:val="en-IE"/>
              </w:rPr>
            </w:pPr>
            <w:r w:rsidRPr="00532C20">
              <w:rPr>
                <w:rFonts w:ascii="Times New Roman" w:eastAsia="Calibri" w:hAnsi="Times New Roman" w:cs="Times New Roman"/>
                <w:noProof/>
                <w:lang w:val="en-IE"/>
              </w:rPr>
              <w:t>9,350 </w:t>
            </w:r>
          </w:p>
        </w:tc>
      </w:tr>
    </w:tbl>
    <w:p w14:paraId="149642C9" w14:textId="77777777" w:rsidR="001219CC" w:rsidRPr="00532C20" w:rsidRDefault="001219CC" w:rsidP="004B0958">
      <w:pPr>
        <w:spacing w:after="160" w:line="240" w:lineRule="auto"/>
        <w:rPr>
          <w:rFonts w:ascii="Calibri" w:eastAsia="Calibri" w:hAnsi="Calibri" w:cs="Calibri"/>
          <w:noProof/>
          <w:lang w:val="en-IE"/>
        </w:rPr>
        <w:sectPr w:rsidR="001219CC" w:rsidRPr="00532C20" w:rsidSect="001219CC">
          <w:headerReference w:type="even" r:id="rId87"/>
          <w:headerReference w:type="default" r:id="rId88"/>
          <w:footerReference w:type="even" r:id="rId89"/>
          <w:footerReference w:type="default" r:id="rId90"/>
          <w:headerReference w:type="first" r:id="rId91"/>
          <w:footerReference w:type="first" r:id="rId92"/>
          <w:pgSz w:w="11906" w:h="16838"/>
          <w:pgMar w:top="1440" w:right="1440" w:bottom="1440" w:left="1440" w:header="709" w:footer="709" w:gutter="0"/>
          <w:cols w:space="720"/>
          <w:titlePg/>
          <w:docGrid w:linePitch="299"/>
        </w:sectPr>
      </w:pPr>
    </w:p>
    <w:p w14:paraId="112138F2" w14:textId="77777777" w:rsidR="009D0CA9" w:rsidRPr="00532C20" w:rsidRDefault="009D0CA9" w:rsidP="004B0958">
      <w:pPr>
        <w:spacing w:after="160" w:line="240" w:lineRule="auto"/>
        <w:rPr>
          <w:rFonts w:ascii="Calibri" w:eastAsia="Calibri" w:hAnsi="Calibri" w:cs="Calibri"/>
          <w:noProof/>
          <w:lang w:val="en-IE"/>
        </w:rPr>
      </w:pPr>
    </w:p>
    <w:p w14:paraId="2B10A88B" w14:textId="0FFD55FB" w:rsidR="00A15BF6" w:rsidRPr="00532C20" w:rsidRDefault="004F4ADB" w:rsidP="007F43F7">
      <w:pPr>
        <w:pStyle w:val="Annex222"/>
        <w:spacing w:after="240"/>
        <w:contextualSpacing w:val="0"/>
        <w:outlineLvl w:val="0"/>
        <w:rPr>
          <w:rFonts w:ascii="Times New Roman" w:hAnsi="Times New Roman" w:cs="Times New Roman"/>
          <w:noProof/>
        </w:rPr>
      </w:pPr>
      <w:bookmarkStart w:id="1186" w:name="_Toc152864727"/>
      <w:r w:rsidRPr="00532C20">
        <w:rPr>
          <w:rFonts w:ascii="Times New Roman" w:hAnsi="Times New Roman" w:cs="Times New Roman"/>
          <w:noProof/>
        </w:rPr>
        <w:t xml:space="preserve">Annex 8: </w:t>
      </w:r>
      <w:r w:rsidR="00272823" w:rsidRPr="00532C20">
        <w:rPr>
          <w:rFonts w:ascii="Times New Roman" w:hAnsi="Times New Roman" w:cs="Times New Roman"/>
          <w:noProof/>
        </w:rPr>
        <w:t>F</w:t>
      </w:r>
      <w:r w:rsidR="00344CF0" w:rsidRPr="00532C20">
        <w:rPr>
          <w:rFonts w:ascii="Times New Roman" w:hAnsi="Times New Roman" w:cs="Times New Roman"/>
          <w:noProof/>
        </w:rPr>
        <w:t>undamental rights</w:t>
      </w:r>
      <w:r w:rsidR="00272823" w:rsidRPr="00532C20">
        <w:rPr>
          <w:rFonts w:ascii="Times New Roman" w:hAnsi="Times New Roman" w:cs="Times New Roman"/>
          <w:noProof/>
        </w:rPr>
        <w:t xml:space="preserve"> impact</w:t>
      </w:r>
      <w:bookmarkEnd w:id="1186"/>
    </w:p>
    <w:p w14:paraId="2923F9BC" w14:textId="40E30FF6" w:rsidR="00344CF0" w:rsidRPr="00532C20" w:rsidRDefault="00272823" w:rsidP="00630852">
      <w:pPr>
        <w:pStyle w:val="ListParagraph"/>
        <w:numPr>
          <w:ilvl w:val="0"/>
          <w:numId w:val="82"/>
        </w:numPr>
        <w:rPr>
          <w:rFonts w:ascii="Times New Roman" w:hAnsi="Times New Roman" w:cs="Times New Roman"/>
          <w:b/>
          <w:bCs/>
          <w:noProof/>
          <w:u w:val="single"/>
          <w:lang w:val="en-IE"/>
        </w:rPr>
      </w:pPr>
      <w:r w:rsidRPr="00532C20">
        <w:rPr>
          <w:rFonts w:ascii="Times New Roman" w:hAnsi="Times New Roman" w:cs="Times New Roman"/>
          <w:b/>
          <w:bCs/>
          <w:noProof/>
          <w:u w:val="single"/>
          <w:lang w:val="en-IE"/>
        </w:rPr>
        <w:t>Right to private life and the right to the protection of personal data</w:t>
      </w:r>
    </w:p>
    <w:p w14:paraId="2C15FBF0" w14:textId="77777777" w:rsidR="00630852" w:rsidRPr="00532C20" w:rsidRDefault="00630852" w:rsidP="00630852">
      <w:pPr>
        <w:pStyle w:val="ListParagraph"/>
        <w:ind w:left="360"/>
        <w:rPr>
          <w:rFonts w:ascii="Times New Roman" w:hAnsi="Times New Roman" w:cs="Times New Roman"/>
          <w:noProof/>
          <w:lang w:val="en-IE"/>
        </w:rPr>
      </w:pPr>
    </w:p>
    <w:p w14:paraId="4F831C99" w14:textId="1A9E9C7E" w:rsidR="00891573" w:rsidRPr="00532C20" w:rsidRDefault="00891573" w:rsidP="004B0958">
      <w:pPr>
        <w:pStyle w:val="Text2"/>
        <w:spacing w:after="200"/>
        <w:ind w:left="0"/>
        <w:rPr>
          <w:rFonts w:ascii="Times New Roman" w:hAnsi="Times New Roman" w:cs="Times New Roman"/>
          <w:noProof/>
          <w:szCs w:val="24"/>
          <w:lang w:val="en-IE"/>
        </w:rPr>
      </w:pPr>
      <w:r w:rsidRPr="00532C20">
        <w:rPr>
          <w:rFonts w:ascii="Times New Roman" w:hAnsi="Times New Roman" w:cs="Times New Roman"/>
          <w:noProof/>
          <w:szCs w:val="24"/>
          <w:u w:val="single"/>
          <w:lang w:val="en-IE"/>
        </w:rPr>
        <w:t>All 3 policy options</w:t>
      </w:r>
      <w:r w:rsidRPr="00532C20">
        <w:rPr>
          <w:rFonts w:ascii="Times New Roman" w:hAnsi="Times New Roman" w:cs="Times New Roman"/>
          <w:noProof/>
          <w:szCs w:val="24"/>
          <w:lang w:val="en-IE"/>
        </w:rPr>
        <w:t xml:space="preserve"> </w:t>
      </w:r>
      <w:r w:rsidRPr="00532C20">
        <w:rPr>
          <w:rFonts w:ascii="Times New Roman" w:hAnsi="Times New Roman" w:cs="Times New Roman"/>
          <w:b/>
          <w:bCs/>
          <w:noProof/>
          <w:szCs w:val="24"/>
          <w:lang w:val="en-IE"/>
        </w:rPr>
        <w:t>impose limited restrictions</w:t>
      </w:r>
      <w:r w:rsidRPr="00532C20">
        <w:rPr>
          <w:rFonts w:ascii="Times New Roman" w:hAnsi="Times New Roman" w:cs="Times New Roman"/>
          <w:noProof/>
          <w:szCs w:val="24"/>
          <w:lang w:val="en-IE"/>
        </w:rPr>
        <w:t xml:space="preserve"> on the </w:t>
      </w:r>
      <w:r w:rsidRPr="00532C20">
        <w:rPr>
          <w:rFonts w:ascii="Times New Roman" w:hAnsi="Times New Roman" w:cs="Times New Roman"/>
          <w:b/>
          <w:bCs/>
          <w:noProof/>
          <w:szCs w:val="24"/>
          <w:lang w:val="en-IE"/>
        </w:rPr>
        <w:t>right to private life</w:t>
      </w:r>
      <w:r w:rsidRPr="00532C20">
        <w:rPr>
          <w:rFonts w:ascii="Times New Roman" w:hAnsi="Times New Roman" w:cs="Times New Roman"/>
          <w:noProof/>
          <w:szCs w:val="24"/>
          <w:lang w:val="en-IE"/>
        </w:rPr>
        <w:t xml:space="preserve"> (Article 7 of the Charter)</w:t>
      </w:r>
      <w:r w:rsidR="008C04EF">
        <w:rPr>
          <w:rFonts w:ascii="Times New Roman" w:hAnsi="Times New Roman" w:cs="Times New Roman"/>
          <w:noProof/>
          <w:szCs w:val="24"/>
          <w:lang w:val="en-IE"/>
        </w:rPr>
        <w:t xml:space="preserve"> and</w:t>
      </w:r>
      <w:r w:rsidRPr="00532C20">
        <w:rPr>
          <w:rFonts w:ascii="Times New Roman" w:hAnsi="Times New Roman" w:cs="Times New Roman"/>
          <w:noProof/>
          <w:szCs w:val="24"/>
          <w:lang w:val="en-IE"/>
        </w:rPr>
        <w:t xml:space="preserve"> </w:t>
      </w:r>
      <w:r w:rsidRPr="00532C20">
        <w:rPr>
          <w:rFonts w:ascii="Times New Roman" w:hAnsi="Times New Roman" w:cs="Times New Roman"/>
          <w:b/>
          <w:bCs/>
          <w:noProof/>
          <w:szCs w:val="24"/>
          <w:lang w:val="en-IE"/>
        </w:rPr>
        <w:t>the right to the protection of personal data</w:t>
      </w:r>
      <w:r w:rsidRPr="00532C20">
        <w:rPr>
          <w:rFonts w:ascii="Times New Roman" w:hAnsi="Times New Roman" w:cs="Times New Roman"/>
          <w:noProof/>
          <w:szCs w:val="24"/>
          <w:lang w:val="en-IE"/>
        </w:rPr>
        <w:t xml:space="preserve"> (Article 8 of the Charter), insofar as they require that entities keep and provide certain information to the national authorities and provide access for the public to a part of that information which might include personal data. The </w:t>
      </w:r>
      <w:r w:rsidRPr="00313F32">
        <w:rPr>
          <w:rFonts w:ascii="Times New Roman" w:hAnsi="Times New Roman" w:cs="Times New Roman"/>
          <w:noProof/>
          <w:szCs w:val="24"/>
          <w:u w:val="single"/>
          <w:lang w:val="en-IE"/>
        </w:rPr>
        <w:t>legislative policy options (PO</w:t>
      </w:r>
      <w:r w:rsidR="00D47716" w:rsidRPr="00313F32">
        <w:rPr>
          <w:rFonts w:ascii="Times New Roman" w:hAnsi="Times New Roman" w:cs="Times New Roman"/>
          <w:noProof/>
          <w:szCs w:val="24"/>
          <w:u w:val="single"/>
          <w:lang w:val="en-IE"/>
        </w:rPr>
        <w:t>2.1</w:t>
      </w:r>
      <w:r w:rsidRPr="00313F32">
        <w:rPr>
          <w:rFonts w:ascii="Times New Roman" w:hAnsi="Times New Roman" w:cs="Times New Roman"/>
          <w:noProof/>
          <w:szCs w:val="24"/>
          <w:u w:val="single"/>
          <w:lang w:val="en-IE"/>
        </w:rPr>
        <w:t xml:space="preserve"> and PO</w:t>
      </w:r>
      <w:r w:rsidR="00D47716" w:rsidRPr="00313F32">
        <w:rPr>
          <w:rFonts w:ascii="Times New Roman" w:hAnsi="Times New Roman" w:cs="Times New Roman"/>
          <w:noProof/>
          <w:szCs w:val="24"/>
          <w:u w:val="single"/>
          <w:lang w:val="en-IE"/>
        </w:rPr>
        <w:t>2.2</w:t>
      </w:r>
      <w:r w:rsidRPr="00313F32">
        <w:rPr>
          <w:rFonts w:ascii="Times New Roman" w:hAnsi="Times New Roman" w:cs="Times New Roman"/>
          <w:noProof/>
          <w:szCs w:val="24"/>
          <w:u w:val="single"/>
          <w:lang w:val="en-IE"/>
        </w:rPr>
        <w:t>)</w:t>
      </w:r>
      <w:r w:rsidRPr="00532C20">
        <w:rPr>
          <w:rFonts w:ascii="Times New Roman" w:hAnsi="Times New Roman" w:cs="Times New Roman"/>
          <w:noProof/>
          <w:szCs w:val="24"/>
          <w:lang w:val="en-IE"/>
        </w:rPr>
        <w:t xml:space="preserve"> provide in addition for the exchange of such information among competent national authorities.</w:t>
      </w:r>
    </w:p>
    <w:p w14:paraId="66AB1625" w14:textId="77777777" w:rsidR="00344CF0" w:rsidRPr="00532C20" w:rsidRDefault="00344CF0" w:rsidP="004B0958">
      <w:pPr>
        <w:pStyle w:val="Text2"/>
        <w:spacing w:after="200"/>
        <w:ind w:left="0"/>
        <w:rPr>
          <w:rFonts w:ascii="Times New Roman" w:hAnsi="Times New Roman" w:cs="Times New Roman"/>
          <w:noProof/>
          <w:szCs w:val="24"/>
          <w:lang w:val="en-IE"/>
        </w:rPr>
      </w:pPr>
      <w:r w:rsidRPr="00532C20">
        <w:rPr>
          <w:rFonts w:ascii="Times New Roman" w:hAnsi="Times New Roman" w:cs="Times New Roman"/>
          <w:noProof/>
          <w:lang w:val="en-IE"/>
        </w:rPr>
        <w:t>As noted by the Court, provisions imposing or allowing the communication of personal data such as the name, place of residence or financial resources of natural persons to a public authority must be characterised as an interference in their private life and therefore as a limitation on the right guaranteed in Article 7 of the Charter, without prejudice to the potential justification of such provisions. The same is true of provisions providing for the dissemination of such data to the public</w:t>
      </w:r>
      <w:r w:rsidRPr="00532C20">
        <w:rPr>
          <w:rStyle w:val="FootnoteReference"/>
          <w:rFonts w:ascii="Times New Roman" w:hAnsi="Times New Roman" w:cs="Times New Roman"/>
          <w:noProof/>
          <w:lang w:val="en-IE"/>
        </w:rPr>
        <w:footnoteReference w:id="328"/>
      </w:r>
      <w:r w:rsidRPr="00532C20">
        <w:rPr>
          <w:rFonts w:ascii="Times New Roman" w:hAnsi="Times New Roman" w:cs="Times New Roman"/>
          <w:noProof/>
          <w:lang w:val="en-IE"/>
        </w:rPr>
        <w:t>. Furthermore, the Court has considered that making personal data available to the public in a manner that such data are accessible to a potentially unlimited number of persons constitutes a serious interference with the fundamental rights enshrine</w:t>
      </w:r>
      <w:bookmarkStart w:id="1187" w:name="_Ref147913665"/>
      <w:r w:rsidRPr="00532C20">
        <w:rPr>
          <w:rFonts w:ascii="Times New Roman" w:hAnsi="Times New Roman" w:cs="Times New Roman"/>
          <w:noProof/>
          <w:lang w:val="en-IE"/>
        </w:rPr>
        <w:t>d</w:t>
      </w:r>
      <w:bookmarkEnd w:id="1187"/>
      <w:r w:rsidRPr="00532C20">
        <w:rPr>
          <w:rFonts w:ascii="Times New Roman" w:hAnsi="Times New Roman" w:cs="Times New Roman"/>
          <w:noProof/>
          <w:lang w:val="en-IE"/>
        </w:rPr>
        <w:t xml:space="preserve"> in Articles 7 and 8 of the Char</w:t>
      </w:r>
      <w:bookmarkStart w:id="1188" w:name="_Ref147913645"/>
      <w:r w:rsidRPr="00532C20">
        <w:rPr>
          <w:rFonts w:ascii="Times New Roman" w:hAnsi="Times New Roman" w:cs="Times New Roman"/>
          <w:noProof/>
          <w:lang w:val="en-IE"/>
        </w:rPr>
        <w:t>t</w:t>
      </w:r>
      <w:bookmarkEnd w:id="1188"/>
      <w:r w:rsidRPr="00532C20">
        <w:rPr>
          <w:rFonts w:ascii="Times New Roman" w:hAnsi="Times New Roman" w:cs="Times New Roman"/>
          <w:noProof/>
          <w:lang w:val="en-IE"/>
        </w:rPr>
        <w:t>er</w:t>
      </w:r>
      <w:bookmarkStart w:id="1189" w:name="_Ref147913752"/>
      <w:r w:rsidRPr="00532C20">
        <w:rPr>
          <w:rStyle w:val="FootnoteReference"/>
          <w:rFonts w:ascii="Times New Roman" w:hAnsi="Times New Roman" w:cs="Times New Roman"/>
          <w:noProof/>
          <w:lang w:val="en-IE"/>
        </w:rPr>
        <w:footnoteReference w:id="329"/>
      </w:r>
      <w:bookmarkEnd w:id="1189"/>
      <w:r w:rsidRPr="00532C20">
        <w:rPr>
          <w:rFonts w:ascii="Times New Roman" w:hAnsi="Times New Roman" w:cs="Times New Roman"/>
          <w:noProof/>
          <w:lang w:val="en-IE"/>
        </w:rPr>
        <w:t>.</w:t>
      </w:r>
    </w:p>
    <w:p w14:paraId="4C7D74D0" w14:textId="77777777" w:rsidR="00344CF0" w:rsidRPr="00532C20" w:rsidRDefault="00344CF0" w:rsidP="004B0958">
      <w:pPr>
        <w:pStyle w:val="Text2"/>
        <w:spacing w:after="200"/>
        <w:ind w:left="0"/>
        <w:rPr>
          <w:rFonts w:ascii="Times New Roman" w:hAnsi="Times New Roman" w:cs="Times New Roman"/>
          <w:noProof/>
          <w:szCs w:val="24"/>
          <w:lang w:val="en-IE"/>
        </w:rPr>
      </w:pPr>
      <w:r w:rsidRPr="00532C20">
        <w:rPr>
          <w:rFonts w:ascii="Times New Roman" w:hAnsi="Times New Roman" w:cs="Times New Roman"/>
          <w:noProof/>
          <w:lang w:val="en-IE"/>
        </w:rPr>
        <w:t>However, as also stated by the Court, fundamental rights enshrined in Articles 7 and 8 of the Charter are not absolute rights, but must be considered in relation to their function in society. These rights may be restricted if such restriction is provided by law, it respects the essence of these rights and if it is strictly necessary and proportionate in relation to the objective of general interest recognised by the European Union. In this regard, Article 8(2) of the Charter requires that personal data must be processed for specified purposes and on the basis of consent or some other legitimate interest laid down by law</w:t>
      </w:r>
      <w:r w:rsidRPr="00532C20">
        <w:rPr>
          <w:rStyle w:val="FootnoteReference"/>
          <w:rFonts w:ascii="Times New Roman" w:hAnsi="Times New Roman" w:cs="Times New Roman"/>
          <w:noProof/>
          <w:lang w:val="en-IE"/>
        </w:rPr>
        <w:footnoteReference w:id="330"/>
      </w:r>
      <w:r w:rsidRPr="00532C20">
        <w:rPr>
          <w:rFonts w:ascii="Times New Roman" w:hAnsi="Times New Roman" w:cs="Times New Roman"/>
          <w:noProof/>
          <w:lang w:val="en-IE"/>
        </w:rPr>
        <w:t xml:space="preserve">.   </w:t>
      </w:r>
    </w:p>
    <w:p w14:paraId="66EF51A6" w14:textId="77777777" w:rsidR="0052043D" w:rsidRPr="00532C20" w:rsidRDefault="00171069" w:rsidP="0052043D">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u w:val="single"/>
          <w:lang w:val="en-IE"/>
        </w:rPr>
        <w:t>For all 3 policy</w:t>
      </w:r>
      <w:r w:rsidRPr="00532C20">
        <w:rPr>
          <w:rFonts w:ascii="Times New Roman" w:hAnsi="Times New Roman" w:cs="Times New Roman"/>
          <w:noProof/>
          <w:szCs w:val="24"/>
          <w:lang w:val="en-IE"/>
        </w:rPr>
        <w:t xml:space="preserve"> options, by providing for citizens’ access to information on entities active in the internal market carrying out interest representation activities carried out on behalf of third countries, as well as the third country entities they represent, seek to ensure that citizens, public officials and stakeholders, like journalists and CSOs, can exercise their democratic scrutiny while knowing with which entities they themselves, or their elected representatives, may be confronted with. As voters, citizens are important decision-makers in their own right, and as such, they can be the target for certain interest representation activities. </w:t>
      </w:r>
    </w:p>
    <w:p w14:paraId="0990032C" w14:textId="0B4AAFF1" w:rsidR="0052043D" w:rsidRPr="00532C20" w:rsidRDefault="00171069" w:rsidP="0052043D">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u w:val="single"/>
          <w:lang w:val="en-IE"/>
        </w:rPr>
        <w:t>All 3 policy options</w:t>
      </w:r>
      <w:r w:rsidRPr="00532C20">
        <w:rPr>
          <w:rFonts w:ascii="Times New Roman" w:hAnsi="Times New Roman" w:cs="Times New Roman"/>
          <w:noProof/>
          <w:szCs w:val="24"/>
          <w:lang w:val="en-IE"/>
        </w:rPr>
        <w:t xml:space="preserve"> enhance the integrity of, and public trust in, the EU’s and Member States’ democratic institutions by ensuring the transparency of interest representation activities carried out on behalf of third countries, and by improving the knowledge </w:t>
      </w:r>
      <w:r w:rsidR="006E2B72">
        <w:rPr>
          <w:rFonts w:ascii="Times New Roman" w:hAnsi="Times New Roman" w:cs="Times New Roman"/>
          <w:noProof/>
          <w:szCs w:val="24"/>
          <w:lang w:val="en-IE"/>
        </w:rPr>
        <w:t>about</w:t>
      </w:r>
      <w:r w:rsidR="006E2B72" w:rsidRPr="00532C20">
        <w:rPr>
          <w:rFonts w:ascii="Times New Roman" w:hAnsi="Times New Roman" w:cs="Times New Roman"/>
          <w:noProof/>
          <w:szCs w:val="24"/>
          <w:lang w:val="en-IE"/>
        </w:rPr>
        <w:t xml:space="preserve"> </w:t>
      </w:r>
      <w:r w:rsidRPr="00532C20">
        <w:rPr>
          <w:rFonts w:ascii="Times New Roman" w:hAnsi="Times New Roman" w:cs="Times New Roman"/>
          <w:noProof/>
          <w:szCs w:val="24"/>
          <w:lang w:val="en-IE"/>
        </w:rPr>
        <w:t>the magnitude, trends and actors of interest representation activities carried out on behalf of third countries (see sections 6.2.2.1 and 6.2.2.2)</w:t>
      </w:r>
      <w:r w:rsidR="0052043D" w:rsidRPr="00532C20">
        <w:rPr>
          <w:rStyle w:val="FootnoteReference"/>
          <w:rFonts w:ascii="Times New Roman" w:hAnsi="Times New Roman" w:cs="Times New Roman"/>
          <w:noProof/>
          <w:lang w:val="en-IE"/>
        </w:rPr>
        <w:footnoteReference w:id="331"/>
      </w:r>
      <w:r w:rsidR="0052043D" w:rsidRPr="00532C20">
        <w:rPr>
          <w:rFonts w:ascii="Times New Roman" w:hAnsi="Times New Roman" w:cs="Times New Roman"/>
          <w:noProof/>
          <w:lang w:val="en-IE"/>
        </w:rPr>
        <w:t>. The</w:t>
      </w:r>
      <w:r w:rsidR="0052043D" w:rsidRPr="00532C20" w:rsidDel="009867D4">
        <w:rPr>
          <w:rFonts w:ascii="Times New Roman" w:hAnsi="Times New Roman" w:cs="Times New Roman"/>
          <w:noProof/>
          <w:lang w:val="en-IE"/>
        </w:rPr>
        <w:t xml:space="preserve"> </w:t>
      </w:r>
      <w:r w:rsidR="0052043D" w:rsidRPr="00532C20">
        <w:rPr>
          <w:rFonts w:ascii="Times New Roman" w:hAnsi="Times New Roman" w:cs="Times New Roman"/>
          <w:noProof/>
          <w:lang w:val="en-IE"/>
        </w:rPr>
        <w:t>CJEU has recognised that the objective consisting in increasing transparency is an overriding reason in the public interest</w:t>
      </w:r>
      <w:r w:rsidR="0052043D" w:rsidRPr="00532C20">
        <w:rPr>
          <w:rStyle w:val="FootnoteReference"/>
          <w:rFonts w:ascii="Times New Roman" w:hAnsi="Times New Roman" w:cs="Times New Roman"/>
          <w:noProof/>
          <w:lang w:val="en-IE"/>
        </w:rPr>
        <w:footnoteReference w:id="332"/>
      </w:r>
      <w:r w:rsidR="0052043D" w:rsidRPr="00532C20">
        <w:rPr>
          <w:rFonts w:ascii="Times New Roman" w:hAnsi="Times New Roman" w:cs="Times New Roman"/>
          <w:noProof/>
          <w:lang w:val="en-IE"/>
        </w:rPr>
        <w:t>.</w:t>
      </w:r>
      <w:r w:rsidR="0052043D" w:rsidRPr="00532C20">
        <w:rPr>
          <w:rFonts w:ascii="Times New Roman" w:hAnsi="Times New Roman" w:cs="Times New Roman"/>
          <w:noProof/>
          <w:szCs w:val="24"/>
          <w:lang w:val="en-IE"/>
        </w:rPr>
        <w:t xml:space="preserve">The aim pursued by </w:t>
      </w:r>
      <w:r w:rsidR="0052043D" w:rsidRPr="00532C20">
        <w:rPr>
          <w:rFonts w:ascii="Times New Roman" w:hAnsi="Times New Roman" w:cs="Times New Roman"/>
          <w:noProof/>
          <w:szCs w:val="24"/>
          <w:u w:val="single"/>
          <w:lang w:val="en-IE"/>
        </w:rPr>
        <w:t>the 3</w:t>
      </w:r>
      <w:r w:rsidR="0052043D" w:rsidRPr="00532C20" w:rsidDel="00BA33BA">
        <w:rPr>
          <w:rFonts w:ascii="Times New Roman" w:hAnsi="Times New Roman" w:cs="Times New Roman"/>
          <w:noProof/>
          <w:szCs w:val="24"/>
          <w:u w:val="single"/>
          <w:lang w:val="en-IE"/>
        </w:rPr>
        <w:t xml:space="preserve"> </w:t>
      </w:r>
      <w:r w:rsidR="0052043D" w:rsidRPr="00532C20">
        <w:rPr>
          <w:rFonts w:ascii="Times New Roman" w:hAnsi="Times New Roman" w:cs="Times New Roman"/>
          <w:noProof/>
          <w:szCs w:val="24"/>
          <w:u w:val="single"/>
          <w:lang w:val="en-IE"/>
        </w:rPr>
        <w:t>policy options</w:t>
      </w:r>
      <w:r w:rsidR="0052043D" w:rsidRPr="00532C20">
        <w:rPr>
          <w:rFonts w:ascii="Times New Roman" w:hAnsi="Times New Roman" w:cs="Times New Roman"/>
          <w:noProof/>
          <w:szCs w:val="24"/>
          <w:lang w:val="en-IE"/>
        </w:rPr>
        <w:t xml:space="preserve"> therefore constitutes </w:t>
      </w:r>
      <w:r w:rsidR="0052043D" w:rsidRPr="00532C20">
        <w:rPr>
          <w:rFonts w:ascii="Times New Roman" w:hAnsi="Times New Roman" w:cs="Times New Roman"/>
          <w:b/>
          <w:noProof/>
          <w:szCs w:val="24"/>
          <w:lang w:val="en-IE"/>
        </w:rPr>
        <w:t>an objective of general interest that is capable of justifying interferences with the fundamental rights enshrined in Articles 7 and 8 of the Charter in line with Article 52 thereof</w:t>
      </w:r>
      <w:r w:rsidR="0052043D" w:rsidRPr="00532C20">
        <w:rPr>
          <w:rFonts w:ascii="Times New Roman" w:hAnsi="Times New Roman" w:cs="Times New Roman"/>
          <w:noProof/>
          <w:szCs w:val="24"/>
          <w:lang w:val="en-IE"/>
        </w:rPr>
        <w:t>.</w:t>
      </w:r>
    </w:p>
    <w:p w14:paraId="7BD2414E" w14:textId="13EAC291" w:rsidR="00FA42B9" w:rsidRPr="00532C20" w:rsidRDefault="00FA42B9" w:rsidP="004B0958">
      <w:pPr>
        <w:pStyle w:val="Text2"/>
        <w:spacing w:after="200"/>
        <w:ind w:left="0"/>
        <w:rPr>
          <w:rFonts w:ascii="Times New Roman" w:hAnsi="Times New Roman" w:cs="Times New Roman"/>
          <w:noProof/>
          <w:szCs w:val="24"/>
          <w:lang w:val="en-IE"/>
        </w:rPr>
      </w:pPr>
      <w:r w:rsidRPr="00532C20">
        <w:rPr>
          <w:rFonts w:ascii="Times New Roman" w:hAnsi="Times New Roman" w:cs="Times New Roman"/>
          <w:noProof/>
          <w:szCs w:val="24"/>
          <w:lang w:val="en-IE"/>
        </w:rPr>
        <w:t>Furthermore, the seriousness of the interference with the fundamental rights enshrined in Articles 7 and 8 of the Charter should be balanced against the importance of the objective of general interest of ensuring that citizens can exercise their right of democratic scrutiny while knowing with which entities they themselves, or their elected representatives, may be confronted with. It must be noted that, in contrast with the situation that gave rise to the judgment in Luxembourg Business Registers concerning the general public’s access to information on beneficial ownership, ensuring transparency of activities affecting democratic decision-making is a priority for all citizens, and not just a matter for public authorities.</w:t>
      </w:r>
    </w:p>
    <w:p w14:paraId="7A1BF56B" w14:textId="12F068D8" w:rsidR="00344CF0" w:rsidRPr="00532C20" w:rsidRDefault="00344CF0" w:rsidP="004B0958">
      <w:pPr>
        <w:pStyle w:val="Text2"/>
        <w:spacing w:after="200"/>
        <w:ind w:left="0"/>
        <w:rPr>
          <w:rFonts w:ascii="Times New Roman" w:hAnsi="Times New Roman" w:cs="Times New Roman"/>
          <w:noProof/>
          <w:szCs w:val="24"/>
          <w:lang w:val="en-IE"/>
        </w:rPr>
      </w:pPr>
      <w:r w:rsidRPr="00532C20">
        <w:rPr>
          <w:rFonts w:ascii="Times New Roman" w:hAnsi="Times New Roman" w:cs="Times New Roman"/>
          <w:noProof/>
          <w:u w:val="single"/>
          <w:lang w:val="en-IE"/>
        </w:rPr>
        <w:t>All</w:t>
      </w:r>
      <w:r w:rsidR="00A90D63" w:rsidRPr="00532C20">
        <w:rPr>
          <w:rFonts w:ascii="Times New Roman" w:hAnsi="Times New Roman" w:cs="Times New Roman"/>
          <w:noProof/>
          <w:u w:val="single"/>
          <w:lang w:val="en-IE"/>
        </w:rPr>
        <w:t xml:space="preserve"> 3</w:t>
      </w:r>
      <w:r w:rsidRPr="00532C20">
        <w:rPr>
          <w:rFonts w:ascii="Times New Roman" w:hAnsi="Times New Roman" w:cs="Times New Roman"/>
          <w:noProof/>
          <w:u w:val="single"/>
          <w:lang w:val="en-IE"/>
        </w:rPr>
        <w:t xml:space="preserve"> policy options</w:t>
      </w:r>
      <w:r w:rsidRPr="00532C20">
        <w:rPr>
          <w:rFonts w:ascii="Times New Roman" w:hAnsi="Times New Roman" w:cs="Times New Roman"/>
          <w:noProof/>
          <w:lang w:val="en-IE"/>
        </w:rPr>
        <w:t xml:space="preserve"> provide for public access to a clearly defined and limited set of information, which excludes information that is not adequately related to the purposes pursued. As a result, making publicly available information that is so related </w:t>
      </w:r>
      <w:r w:rsidRPr="00532C20">
        <w:rPr>
          <w:rFonts w:ascii="Times New Roman" w:hAnsi="Times New Roman" w:cs="Times New Roman"/>
          <w:b/>
          <w:bCs/>
          <w:noProof/>
          <w:lang w:val="en-IE"/>
        </w:rPr>
        <w:t>does not in any way undermine the essence of the fundamental rights</w:t>
      </w:r>
      <w:r w:rsidRPr="00532C20">
        <w:rPr>
          <w:rFonts w:ascii="Times New Roman" w:hAnsi="Times New Roman" w:cs="Times New Roman"/>
          <w:noProof/>
          <w:lang w:val="en-IE"/>
        </w:rPr>
        <w:t xml:space="preserve"> guaranteed in Articles 7 and 8 of the Charter</w:t>
      </w:r>
      <w:r w:rsidRPr="00532C20">
        <w:rPr>
          <w:rStyle w:val="FootnoteReference"/>
          <w:rFonts w:ascii="Times New Roman" w:hAnsi="Times New Roman" w:cs="Times New Roman"/>
          <w:noProof/>
          <w:lang w:val="en-IE"/>
        </w:rPr>
        <w:footnoteReference w:id="333"/>
      </w:r>
      <w:r w:rsidRPr="00532C20">
        <w:rPr>
          <w:rFonts w:ascii="Times New Roman" w:hAnsi="Times New Roman" w:cs="Times New Roman"/>
          <w:noProof/>
          <w:lang w:val="en-IE"/>
        </w:rPr>
        <w:t>.</w:t>
      </w:r>
    </w:p>
    <w:p w14:paraId="279A0CE5" w14:textId="77777777" w:rsidR="00021612" w:rsidRPr="00532C20" w:rsidRDefault="00344CF0" w:rsidP="004B0958">
      <w:pPr>
        <w:pStyle w:val="Text2"/>
        <w:spacing w:after="200"/>
        <w:ind w:left="0"/>
        <w:rPr>
          <w:rFonts w:ascii="Times New Roman" w:hAnsi="Times New Roman" w:cs="Times New Roman"/>
          <w:noProof/>
          <w:szCs w:val="24"/>
          <w:u w:val="single"/>
          <w:lang w:val="en-IE"/>
        </w:rPr>
      </w:pPr>
      <w:r w:rsidRPr="00532C20">
        <w:rPr>
          <w:rFonts w:ascii="Times New Roman" w:hAnsi="Times New Roman" w:cs="Times New Roman"/>
          <w:noProof/>
          <w:szCs w:val="24"/>
          <w:lang w:val="en-IE"/>
        </w:rPr>
        <w:t xml:space="preserve">Public access to information on interest representation activities carried out on behalf of third countries is appropriate for contributing to the attainment of the objective of general interest pursued, since the public nature of that access and the increased transparency resulting therefrom contribute to the creation of an environment of greater democratic scrutiny and accountability. </w:t>
      </w:r>
    </w:p>
    <w:p w14:paraId="56CF2C33" w14:textId="7DFF4AE5" w:rsidR="00021612" w:rsidRPr="00532C20" w:rsidRDefault="00021612" w:rsidP="00021612">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u w:val="single"/>
          <w:lang w:val="en-IE"/>
        </w:rPr>
        <w:t>All 3 policy options</w:t>
      </w:r>
      <w:r w:rsidRPr="00532C20">
        <w:rPr>
          <w:rFonts w:ascii="Times New Roman" w:hAnsi="Times New Roman" w:cs="Times New Roman"/>
          <w:noProof/>
          <w:lang w:val="en-IE"/>
        </w:rPr>
        <w:t xml:space="preserve"> provide for public access to a </w:t>
      </w:r>
      <w:r w:rsidRPr="00532C20">
        <w:rPr>
          <w:rFonts w:ascii="Times New Roman" w:hAnsi="Times New Roman" w:cs="Times New Roman"/>
          <w:b/>
          <w:noProof/>
          <w:lang w:val="en-IE"/>
        </w:rPr>
        <w:t>proportionate</w:t>
      </w:r>
      <w:r w:rsidRPr="00532C20">
        <w:rPr>
          <w:rFonts w:ascii="Times New Roman" w:hAnsi="Times New Roman" w:cs="Times New Roman"/>
          <w:noProof/>
          <w:lang w:val="en-IE"/>
        </w:rPr>
        <w:t xml:space="preserve">, clearly defined and limited set of information, which excludes information that is not absolutely needed to reach the purposes pursued. </w:t>
      </w:r>
      <w:r w:rsidRPr="00532C20">
        <w:rPr>
          <w:rFonts w:ascii="Times New Roman" w:hAnsi="Times New Roman" w:cs="Times New Roman"/>
          <w:noProof/>
          <w:szCs w:val="24"/>
          <w:lang w:val="en-IE"/>
        </w:rPr>
        <w:t>T</w:t>
      </w:r>
      <w:r w:rsidRPr="00532C20">
        <w:rPr>
          <w:rFonts w:ascii="Times New Roman" w:hAnsi="Times New Roman" w:cs="Times New Roman"/>
          <w:noProof/>
          <w:lang w:val="en-IE"/>
        </w:rPr>
        <w:t>he</w:t>
      </w:r>
      <w:r w:rsidRPr="00532C20">
        <w:rPr>
          <w:rFonts w:ascii="Times New Roman" w:hAnsi="Times New Roman" w:cs="Times New Roman"/>
          <w:noProof/>
          <w:szCs w:val="24"/>
          <w:lang w:val="en-IE"/>
        </w:rPr>
        <w:t xml:space="preserve"> limitations on the right to private life and the right to the protection of personal data</w:t>
      </w:r>
      <w:r w:rsidRPr="00532C20">
        <w:rPr>
          <w:rFonts w:ascii="Times New Roman" w:hAnsi="Times New Roman" w:cs="Times New Roman"/>
          <w:b/>
          <w:noProof/>
          <w:szCs w:val="24"/>
          <w:lang w:val="en-IE"/>
        </w:rPr>
        <w:t>, genuinely meet a general interest recognised by the EU, and are proportionate and limited to the minimum necessary</w:t>
      </w:r>
      <w:r w:rsidRPr="00532C20">
        <w:rPr>
          <w:rFonts w:ascii="Times New Roman" w:hAnsi="Times New Roman" w:cs="Times New Roman"/>
          <w:noProof/>
          <w:szCs w:val="24"/>
          <w:lang w:val="en-IE"/>
        </w:rPr>
        <w:t xml:space="preserve">. </w:t>
      </w:r>
    </w:p>
    <w:p w14:paraId="64DF8741" w14:textId="02ED6E49" w:rsidR="00021612" w:rsidRPr="00532C20" w:rsidRDefault="00021612" w:rsidP="00021612">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lang w:val="en-IE"/>
        </w:rPr>
        <w:t>In particular, in the legislative policy options (PO</w:t>
      </w:r>
      <w:r w:rsidR="00D47716" w:rsidRPr="00532C20">
        <w:rPr>
          <w:rFonts w:ascii="Times New Roman" w:hAnsi="Times New Roman" w:cs="Times New Roman"/>
          <w:noProof/>
          <w:szCs w:val="24"/>
          <w:lang w:val="en-IE"/>
        </w:rPr>
        <w:t>2.1</w:t>
      </w:r>
      <w:r w:rsidRPr="00532C20">
        <w:rPr>
          <w:rFonts w:ascii="Times New Roman" w:hAnsi="Times New Roman" w:cs="Times New Roman"/>
          <w:noProof/>
          <w:szCs w:val="24"/>
          <w:lang w:val="en-IE"/>
        </w:rPr>
        <w:t xml:space="preserve"> and PO</w:t>
      </w:r>
      <w:r w:rsidR="00D47716" w:rsidRPr="00532C20">
        <w:rPr>
          <w:rFonts w:ascii="Times New Roman" w:hAnsi="Times New Roman" w:cs="Times New Roman"/>
          <w:noProof/>
          <w:szCs w:val="24"/>
          <w:lang w:val="en-IE"/>
        </w:rPr>
        <w:t>2.2</w:t>
      </w:r>
      <w:r w:rsidRPr="00532C20">
        <w:rPr>
          <w:rFonts w:ascii="Times New Roman" w:hAnsi="Times New Roman" w:cs="Times New Roman"/>
          <w:noProof/>
          <w:szCs w:val="24"/>
          <w:lang w:val="en-IE"/>
        </w:rPr>
        <w:t>), the set of data to be made available to the public is limited to what is necessary to improve knowledge about the magnitude, trends, and actors of interest representation carried out on behalf of third countries</w:t>
      </w:r>
      <w:r w:rsidRPr="00532C20">
        <w:rPr>
          <w:rStyle w:val="FootnoteReference"/>
          <w:rFonts w:ascii="Times New Roman" w:hAnsi="Times New Roman" w:cs="Times New Roman"/>
          <w:noProof/>
          <w:szCs w:val="24"/>
          <w:lang w:val="en-IE"/>
        </w:rPr>
        <w:footnoteReference w:id="334"/>
      </w:r>
      <w:r w:rsidRPr="00532C20">
        <w:rPr>
          <w:rFonts w:ascii="Times New Roman" w:hAnsi="Times New Roman" w:cs="Times New Roman"/>
          <w:noProof/>
          <w:szCs w:val="24"/>
          <w:lang w:val="en-IE"/>
        </w:rPr>
        <w:t>. It is clearly and exhaustively defined and fully harmonised throughout the EU. In addition, the personal data made publicly available is limited to the minimum required for citizens to be informed about the entity carrying out interest representation and the activity carried out on behalf of third country entities. Information of relevance only to the competent national authorities, supervising and monitoring compliance with those options, would not be made publicly available, to safeguard against the risks of abuse of the information provided.</w:t>
      </w:r>
    </w:p>
    <w:p w14:paraId="6E54A393" w14:textId="1E8292F8" w:rsidR="00021612" w:rsidRPr="00532C20" w:rsidRDefault="00021612" w:rsidP="00021612">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lang w:val="en-IE"/>
        </w:rPr>
        <w:t xml:space="preserve">In addition, the </w:t>
      </w:r>
      <w:r w:rsidRPr="00532C20">
        <w:rPr>
          <w:rFonts w:ascii="Times New Roman" w:hAnsi="Times New Roman" w:cs="Times New Roman"/>
          <w:noProof/>
          <w:szCs w:val="24"/>
          <w:u w:val="single"/>
          <w:lang w:val="en-IE"/>
        </w:rPr>
        <w:t>legislative policy options (PO</w:t>
      </w:r>
      <w:r w:rsidR="00D47716" w:rsidRPr="00532C20">
        <w:rPr>
          <w:rFonts w:ascii="Times New Roman" w:hAnsi="Times New Roman" w:cs="Times New Roman"/>
          <w:noProof/>
          <w:szCs w:val="24"/>
          <w:u w:val="single"/>
          <w:lang w:val="en-IE"/>
        </w:rPr>
        <w:t>2.1</w:t>
      </w:r>
      <w:r w:rsidRPr="00532C20">
        <w:rPr>
          <w:rFonts w:ascii="Times New Roman" w:hAnsi="Times New Roman" w:cs="Times New Roman"/>
          <w:noProof/>
          <w:szCs w:val="24"/>
          <w:u w:val="single"/>
          <w:lang w:val="en-IE"/>
        </w:rPr>
        <w:t xml:space="preserve"> and PO</w:t>
      </w:r>
      <w:r w:rsidR="00D47716" w:rsidRPr="00532C20">
        <w:rPr>
          <w:rFonts w:ascii="Times New Roman" w:hAnsi="Times New Roman" w:cs="Times New Roman"/>
          <w:noProof/>
          <w:szCs w:val="24"/>
          <w:u w:val="single"/>
          <w:lang w:val="en-IE"/>
        </w:rPr>
        <w:t>2.2</w:t>
      </w:r>
      <w:r w:rsidRPr="00532C20">
        <w:rPr>
          <w:rFonts w:ascii="Times New Roman" w:hAnsi="Times New Roman" w:cs="Times New Roman"/>
          <w:noProof/>
          <w:szCs w:val="24"/>
          <w:u w:val="single"/>
          <w:lang w:val="en-IE"/>
        </w:rPr>
        <w:t>),</w:t>
      </w:r>
      <w:r w:rsidRPr="00532C20">
        <w:rPr>
          <w:rFonts w:ascii="Times New Roman" w:hAnsi="Times New Roman" w:cs="Times New Roman"/>
          <w:noProof/>
          <w:szCs w:val="24"/>
          <w:lang w:val="en-IE"/>
        </w:rPr>
        <w:t xml:space="preserve"> beyond fully harmonising the set of data to be made public, provide for additional and specific safeguards by </w:t>
      </w:r>
      <w:r w:rsidRPr="00532C20">
        <w:rPr>
          <w:rFonts w:ascii="Times New Roman" w:hAnsi="Times New Roman" w:cs="Times New Roman"/>
          <w:noProof/>
          <w:szCs w:val="24"/>
        </w:rPr>
        <w:t>enabling entities to request that all or part of the information gathered for the purpose of the transparency requirement is not made public based on an overriding interest</w:t>
      </w:r>
      <w:r w:rsidRPr="00532C20">
        <w:rPr>
          <w:rFonts w:ascii="Times New Roman" w:hAnsi="Times New Roman" w:cs="Times New Roman"/>
          <w:noProof/>
          <w:szCs w:val="24"/>
          <w:lang w:val="en-IE"/>
        </w:rPr>
        <w:t>.</w:t>
      </w:r>
    </w:p>
    <w:p w14:paraId="40142BDF" w14:textId="4B13C452" w:rsidR="00021612" w:rsidRPr="00532C20" w:rsidRDefault="00021612" w:rsidP="00021612">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u w:val="single"/>
          <w:lang w:val="en-IE"/>
        </w:rPr>
        <w:t>The requirement in PO</w:t>
      </w:r>
      <w:r w:rsidR="00D47716" w:rsidRPr="00532C20">
        <w:rPr>
          <w:rFonts w:ascii="Times New Roman" w:hAnsi="Times New Roman" w:cs="Times New Roman"/>
          <w:noProof/>
          <w:szCs w:val="24"/>
          <w:u w:val="single"/>
          <w:lang w:val="en-IE"/>
        </w:rPr>
        <w:t>2.2</w:t>
      </w:r>
      <w:r w:rsidRPr="00532C20">
        <w:rPr>
          <w:rFonts w:ascii="Times New Roman" w:hAnsi="Times New Roman" w:cs="Times New Roman"/>
          <w:noProof/>
          <w:szCs w:val="24"/>
          <w:lang w:val="en-IE"/>
        </w:rPr>
        <w:t xml:space="preserve"> that entities falling within the scope of the risk-based approach </w:t>
      </w:r>
      <w:r w:rsidR="007B41A9">
        <w:rPr>
          <w:rFonts w:ascii="Times New Roman" w:hAnsi="Times New Roman" w:cs="Times New Roman"/>
          <w:noProof/>
          <w:szCs w:val="24"/>
          <w:lang w:val="en-IE"/>
        </w:rPr>
        <w:t>is</w:t>
      </w:r>
      <w:r w:rsidR="007B41A9" w:rsidRPr="00532C20">
        <w:rPr>
          <w:rFonts w:ascii="Times New Roman" w:hAnsi="Times New Roman" w:cs="Times New Roman"/>
          <w:noProof/>
          <w:szCs w:val="24"/>
          <w:lang w:val="en-IE"/>
        </w:rPr>
        <w:t xml:space="preserve"> </w:t>
      </w:r>
      <w:r w:rsidRPr="00532C20">
        <w:rPr>
          <w:rFonts w:ascii="Times New Roman" w:hAnsi="Times New Roman" w:cs="Times New Roman"/>
          <w:noProof/>
          <w:szCs w:val="24"/>
          <w:lang w:val="en-IE"/>
        </w:rPr>
        <w:t>required to automatically share all of their records with the supervisory authorities could go beyond what is necessary to ensure the transparency of interest representation activities carried out on behalf of third countries.</w:t>
      </w:r>
    </w:p>
    <w:p w14:paraId="72B3E254" w14:textId="56737315" w:rsidR="00F94781" w:rsidRPr="00532C20" w:rsidRDefault="00706612" w:rsidP="00630852">
      <w:pPr>
        <w:pStyle w:val="ListParagraph"/>
        <w:numPr>
          <w:ilvl w:val="0"/>
          <w:numId w:val="82"/>
        </w:numPr>
        <w:rPr>
          <w:rFonts w:ascii="Times New Roman" w:hAnsi="Times New Roman" w:cs="Times New Roman"/>
          <w:b/>
          <w:bCs/>
          <w:noProof/>
          <w:u w:val="single"/>
          <w:lang w:val="en-IE"/>
        </w:rPr>
      </w:pPr>
      <w:r w:rsidRPr="00532C20">
        <w:rPr>
          <w:rFonts w:ascii="Times New Roman" w:hAnsi="Times New Roman" w:cs="Times New Roman"/>
          <w:b/>
          <w:bCs/>
          <w:noProof/>
          <w:u w:val="single"/>
          <w:lang w:val="en-IE"/>
        </w:rPr>
        <w:t>Freedom of Association</w:t>
      </w:r>
    </w:p>
    <w:p w14:paraId="588885F8" w14:textId="77777777" w:rsidR="00630852" w:rsidRPr="00532C20" w:rsidRDefault="00630852" w:rsidP="00630852">
      <w:pPr>
        <w:pStyle w:val="ListParagraph"/>
        <w:ind w:left="360"/>
        <w:rPr>
          <w:rFonts w:ascii="Times New Roman" w:hAnsi="Times New Roman" w:cs="Times New Roman"/>
          <w:b/>
          <w:bCs/>
          <w:noProof/>
          <w:u w:val="single"/>
          <w:lang w:val="en-IE"/>
        </w:rPr>
      </w:pPr>
    </w:p>
    <w:p w14:paraId="07CEF29A" w14:textId="77777777" w:rsidR="00F94781" w:rsidRPr="00532C20" w:rsidRDefault="00F94781" w:rsidP="004B0958">
      <w:pPr>
        <w:pStyle w:val="Text2"/>
        <w:spacing w:after="200"/>
        <w:ind w:left="0"/>
        <w:rPr>
          <w:rFonts w:ascii="Times New Roman" w:hAnsi="Times New Roman" w:cs="Times New Roman"/>
          <w:noProof/>
          <w:szCs w:val="24"/>
          <w:lang w:val="en-IE"/>
        </w:rPr>
      </w:pPr>
      <w:r w:rsidRPr="00532C20">
        <w:rPr>
          <w:rFonts w:ascii="Times New Roman" w:hAnsi="Times New Roman" w:cs="Times New Roman"/>
          <w:noProof/>
          <w:szCs w:val="24"/>
          <w:lang w:val="en-IE"/>
        </w:rPr>
        <w:t xml:space="preserve">The fundamental right to </w:t>
      </w:r>
      <w:r w:rsidRPr="00532C20">
        <w:rPr>
          <w:rFonts w:ascii="Times New Roman" w:hAnsi="Times New Roman" w:cs="Times New Roman"/>
          <w:b/>
          <w:noProof/>
          <w:szCs w:val="24"/>
          <w:lang w:val="en-IE"/>
        </w:rPr>
        <w:t>freedom of association</w:t>
      </w:r>
      <w:r w:rsidRPr="00532C20">
        <w:rPr>
          <w:rFonts w:ascii="Times New Roman" w:hAnsi="Times New Roman" w:cs="Times New Roman"/>
          <w:noProof/>
          <w:szCs w:val="24"/>
          <w:lang w:val="en-IE"/>
        </w:rPr>
        <w:t xml:space="preserve"> is guaranteed both under Article 12 of the Charter and Article 11 of the European Convention on Human Rights to all associations, including CSOs, interest groups, trade unions and political parties. </w:t>
      </w:r>
    </w:p>
    <w:p w14:paraId="6CE167C2" w14:textId="11915C4C" w:rsidR="000B5D17" w:rsidRPr="00532C20" w:rsidRDefault="00677CC8" w:rsidP="004B0958">
      <w:pPr>
        <w:pStyle w:val="Text2"/>
        <w:spacing w:after="200"/>
        <w:ind w:left="0"/>
        <w:rPr>
          <w:rFonts w:ascii="Times New Roman" w:hAnsi="Times New Roman" w:cs="Times New Roman"/>
          <w:noProof/>
          <w:szCs w:val="24"/>
          <w:lang w:val="en-IE"/>
        </w:rPr>
      </w:pPr>
      <w:r w:rsidRPr="00532C20">
        <w:rPr>
          <w:rFonts w:ascii="Times New Roman" w:hAnsi="Times New Roman" w:cs="Times New Roman"/>
          <w:noProof/>
          <w:lang w:val="en-IE"/>
        </w:rPr>
        <w:t>Careful consideration is being given to the potential spill over effect of the measures and unintended negative consequences for the operation of CSOs, which are operating in a shrinking civic space</w:t>
      </w:r>
      <w:r w:rsidR="004A72EE" w:rsidRPr="00532C20">
        <w:rPr>
          <w:rFonts w:ascii="Times New Roman" w:hAnsi="Times New Roman" w:cs="Times New Roman"/>
          <w:noProof/>
          <w:lang w:val="en-IE"/>
        </w:rPr>
        <w:t>.</w:t>
      </w:r>
    </w:p>
    <w:p w14:paraId="3D3F9FC1" w14:textId="24F86C57" w:rsidR="00F94781" w:rsidRPr="00532C20" w:rsidRDefault="00F94781" w:rsidP="004B0958">
      <w:pPr>
        <w:pStyle w:val="Text2"/>
        <w:spacing w:before="200" w:after="200"/>
        <w:ind w:left="0"/>
        <w:rPr>
          <w:rFonts w:ascii="Times New Roman" w:hAnsi="Times New Roman" w:cs="Times New Roman"/>
          <w:noProof/>
          <w:szCs w:val="24"/>
          <w:lang w:val="en-IE"/>
        </w:rPr>
      </w:pPr>
      <w:r w:rsidRPr="00532C20">
        <w:rPr>
          <w:rFonts w:ascii="Times New Roman" w:hAnsi="Times New Roman" w:cs="Times New Roman"/>
          <w:noProof/>
          <w:lang w:val="en-IE"/>
        </w:rPr>
        <w:t>The 2022 FRA’s report</w:t>
      </w:r>
      <w:r w:rsidRPr="00532C20">
        <w:rPr>
          <w:rStyle w:val="FootnoteReference"/>
          <w:rFonts w:ascii="Times New Roman" w:hAnsi="Times New Roman" w:cs="Times New Roman"/>
          <w:noProof/>
          <w:lang w:val="en-IE"/>
        </w:rPr>
        <w:footnoteReference w:id="335"/>
      </w:r>
      <w:r w:rsidRPr="00532C20">
        <w:rPr>
          <w:rFonts w:ascii="Times New Roman" w:hAnsi="Times New Roman" w:cs="Times New Roman"/>
          <w:noProof/>
          <w:lang w:val="en-IE"/>
        </w:rPr>
        <w:t xml:space="preserve"> highlights that in 2020, 15% CSOs faced legislations on transparency and lobby laws negatively affecting their freedom. Examples </w:t>
      </w:r>
      <w:r w:rsidR="00E33919" w:rsidRPr="00532C20">
        <w:rPr>
          <w:rFonts w:ascii="Times New Roman" w:hAnsi="Times New Roman" w:cs="Times New Roman"/>
          <w:noProof/>
          <w:lang w:val="en-IE"/>
        </w:rPr>
        <w:t xml:space="preserve">of burden </w:t>
      </w:r>
      <w:r w:rsidRPr="00532C20">
        <w:rPr>
          <w:rFonts w:ascii="Times New Roman" w:hAnsi="Times New Roman" w:cs="Times New Roman"/>
          <w:noProof/>
          <w:lang w:val="en-IE"/>
        </w:rPr>
        <w:t>include costly registration procedures and disproportionate transparency regulations</w:t>
      </w:r>
      <w:r w:rsidRPr="00532C20">
        <w:rPr>
          <w:rStyle w:val="FootnoteReference"/>
          <w:rFonts w:ascii="Times New Roman" w:hAnsi="Times New Roman" w:cs="Times New Roman"/>
          <w:noProof/>
          <w:lang w:val="en-IE"/>
        </w:rPr>
        <w:footnoteReference w:id="336"/>
      </w:r>
      <w:r w:rsidRPr="00532C20">
        <w:rPr>
          <w:rFonts w:ascii="Times New Roman" w:hAnsi="Times New Roman" w:cs="Times New Roman"/>
          <w:noProof/>
          <w:lang w:val="en-IE"/>
        </w:rPr>
        <w:t xml:space="preserve">. Moreover, the risk of such laws being abused arises when laws prohibit CSO registration, allow their dissolution, or criminalise CSO membership, for example, on the basis of a lack of adherence to democratic values. </w:t>
      </w:r>
    </w:p>
    <w:p w14:paraId="4CE081C2" w14:textId="77777777" w:rsidR="00F94781" w:rsidRPr="00532C20" w:rsidRDefault="00F94781" w:rsidP="004B0958">
      <w:pPr>
        <w:pStyle w:val="Text2"/>
        <w:spacing w:after="200"/>
        <w:ind w:left="0"/>
        <w:rPr>
          <w:rFonts w:ascii="Times New Roman" w:hAnsi="Times New Roman" w:cs="Times New Roman"/>
          <w:noProof/>
          <w:szCs w:val="24"/>
          <w:lang w:val="en-IE"/>
        </w:rPr>
      </w:pPr>
      <w:r w:rsidRPr="00532C20">
        <w:rPr>
          <w:rFonts w:ascii="Times New Roman" w:hAnsi="Times New Roman" w:cs="Times New Roman"/>
          <w:noProof/>
          <w:lang w:val="en-IE"/>
        </w:rPr>
        <w:t>The Hungarian Transparency Act (Law No LXXVI of 2017) introduced restrictions on financing of civil organisations. The law applied indiscriminately to any financial support from any other Member State or any third country</w:t>
      </w:r>
      <w:r w:rsidRPr="00532C20">
        <w:rPr>
          <w:rStyle w:val="FootnoteReference"/>
          <w:rFonts w:ascii="Times New Roman" w:hAnsi="Times New Roman" w:cs="Times New Roman"/>
          <w:noProof/>
          <w:lang w:val="en-IE"/>
        </w:rPr>
        <w:footnoteReference w:id="337"/>
      </w:r>
      <w:r w:rsidRPr="00532C20">
        <w:rPr>
          <w:rFonts w:ascii="Times New Roman" w:hAnsi="Times New Roman" w:cs="Times New Roman"/>
          <w:noProof/>
          <w:lang w:val="en-IE"/>
        </w:rPr>
        <w:t>. Among other requirements, it required CSOs to systematically present themselves to the public as ‘organisation in receipt of support from abroad’, thereby creating a climate of distrust towards them, apt to deter natural or legal persons from other Member States or third countries from providing them with financial support</w:t>
      </w:r>
      <w:r w:rsidRPr="00532C20">
        <w:rPr>
          <w:rStyle w:val="FootnoteReference"/>
          <w:rFonts w:ascii="Times New Roman" w:hAnsi="Times New Roman" w:cs="Times New Roman"/>
          <w:noProof/>
          <w:lang w:val="en-IE"/>
        </w:rPr>
        <w:footnoteReference w:id="338"/>
      </w:r>
      <w:r w:rsidRPr="00532C20">
        <w:rPr>
          <w:rFonts w:ascii="Times New Roman" w:hAnsi="Times New Roman" w:cs="Times New Roman"/>
          <w:noProof/>
          <w:lang w:val="en-IE"/>
        </w:rPr>
        <w:t>.</w:t>
      </w:r>
    </w:p>
    <w:p w14:paraId="5BDED6BA" w14:textId="77777777" w:rsidR="00F94781" w:rsidRPr="00532C20" w:rsidRDefault="00F94781" w:rsidP="004B0958">
      <w:pPr>
        <w:pStyle w:val="Text2"/>
        <w:spacing w:after="200"/>
        <w:ind w:left="0"/>
        <w:rPr>
          <w:rFonts w:ascii="Times New Roman" w:hAnsi="Times New Roman" w:cs="Times New Roman"/>
          <w:noProof/>
          <w:szCs w:val="24"/>
          <w:lang w:val="en-IE"/>
        </w:rPr>
      </w:pPr>
      <w:r w:rsidRPr="00532C20">
        <w:rPr>
          <w:rFonts w:ascii="Times New Roman" w:hAnsi="Times New Roman" w:cs="Times New Roman"/>
          <w:noProof/>
          <w:lang w:val="en-IE"/>
        </w:rPr>
        <w:t>Following an infringement procedure initiated by the Commission, the Court of Justice ruled that by adopting the legal provisions in question, which impose obligations of registration, declaration and publication on certain categories of CSOs directly or indirectly receiving support from abroad exceeding a certain threshold and which provide for the possibility of applying penalties to organisations that do not comply with those obligations, Hungary introduced discriminatory and unjustified restrictions on foreign donations to CSOs, in breach of its obligations under Article 63 TFEU on the free movement of capital and Articles 7, 8 and 12 of the Charter</w:t>
      </w:r>
      <w:r w:rsidRPr="00532C20">
        <w:rPr>
          <w:rStyle w:val="FootnoteReference"/>
          <w:rFonts w:ascii="Times New Roman" w:hAnsi="Times New Roman" w:cs="Times New Roman"/>
          <w:noProof/>
          <w:lang w:val="en-IE"/>
        </w:rPr>
        <w:footnoteReference w:id="339"/>
      </w:r>
      <w:r w:rsidRPr="00532C20">
        <w:rPr>
          <w:rFonts w:ascii="Times New Roman" w:hAnsi="Times New Roman" w:cs="Times New Roman"/>
          <w:noProof/>
          <w:lang w:val="en-IE"/>
        </w:rPr>
        <w:t>.</w:t>
      </w:r>
    </w:p>
    <w:p w14:paraId="514CD7E0" w14:textId="3E98ACE1" w:rsidR="00F94781" w:rsidRPr="00532C20" w:rsidRDefault="00F94781" w:rsidP="004B0958">
      <w:pPr>
        <w:pStyle w:val="Text2"/>
        <w:spacing w:after="200"/>
        <w:ind w:left="0"/>
        <w:rPr>
          <w:rFonts w:ascii="Times New Roman" w:hAnsi="Times New Roman" w:cs="Times New Roman"/>
          <w:noProof/>
          <w:szCs w:val="24"/>
          <w:lang w:val="en-IE"/>
        </w:rPr>
      </w:pPr>
      <w:r w:rsidRPr="00532C20">
        <w:rPr>
          <w:rFonts w:ascii="Times New Roman" w:hAnsi="Times New Roman" w:cs="Times New Roman"/>
          <w:noProof/>
          <w:szCs w:val="24"/>
          <w:lang w:val="en-IE"/>
        </w:rPr>
        <w:t>Outside the EU, countries have put in place legislation with the objective of restricting or controlling CSO activities. The Russian Regulation of the Activities of Non-profit Organisations Performing the Functions of a Foreign Agent, adopted in 2012 and amended in 2022 has been used to stigmatise and significantly limit the rights of different groups of society, including CSOs, unregistered public associations, media outlets, journalists, activists and human rights defenders</w:t>
      </w:r>
      <w:r w:rsidR="00CE22E1" w:rsidRPr="00532C20">
        <w:rPr>
          <w:rStyle w:val="FootnoteReference"/>
          <w:rFonts w:ascii="Times New Roman" w:hAnsi="Times New Roman" w:cs="Times New Roman"/>
          <w:noProof/>
          <w:szCs w:val="24"/>
          <w:lang w:val="en-IE"/>
        </w:rPr>
        <w:footnoteReference w:id="340"/>
      </w:r>
      <w:r w:rsidRPr="00532C20">
        <w:rPr>
          <w:rFonts w:ascii="Times New Roman" w:hAnsi="Times New Roman" w:cs="Times New Roman"/>
          <w:noProof/>
          <w:szCs w:val="24"/>
          <w:lang w:val="en-IE"/>
        </w:rPr>
        <w:t>. Other attempts to enact laws aiming to scrutinize the work of CSOs receiving support from abroad include the Georgian draft law on transparency of foreign influence and the Republika Srpska’s draft law on the Special Register and Transparency of the Work of the non-profit organisations</w:t>
      </w:r>
      <w:r w:rsidR="00B77ED5" w:rsidRPr="00532C20">
        <w:rPr>
          <w:rStyle w:val="FootnoteReference"/>
          <w:rFonts w:ascii="Times New Roman" w:hAnsi="Times New Roman" w:cs="Times New Roman"/>
          <w:noProof/>
          <w:szCs w:val="24"/>
          <w:lang w:val="en-IE"/>
        </w:rPr>
        <w:footnoteReference w:id="341"/>
      </w:r>
      <w:r w:rsidR="002C7415" w:rsidRPr="00532C20">
        <w:rPr>
          <w:rFonts w:ascii="Times New Roman" w:hAnsi="Times New Roman" w:cs="Times New Roman"/>
          <w:noProof/>
          <w:szCs w:val="24"/>
          <w:lang w:val="en-IE"/>
        </w:rPr>
        <w:t>, which have been condemned by the EU</w:t>
      </w:r>
      <w:r w:rsidRPr="00532C20">
        <w:rPr>
          <w:rStyle w:val="FootnoteReference"/>
          <w:rFonts w:ascii="Times New Roman" w:hAnsi="Times New Roman" w:cs="Times New Roman"/>
          <w:noProof/>
          <w:lang w:val="en-IE"/>
        </w:rPr>
        <w:footnoteReference w:id="342"/>
      </w:r>
      <w:r w:rsidRPr="00532C20">
        <w:rPr>
          <w:rFonts w:ascii="Times New Roman" w:hAnsi="Times New Roman" w:cs="Times New Roman"/>
          <w:noProof/>
          <w:lang w:val="en-IE"/>
        </w:rPr>
        <w:t>.</w:t>
      </w:r>
    </w:p>
    <w:p w14:paraId="7BF6600F" w14:textId="77777777" w:rsidR="00C74CE7" w:rsidRPr="00532C20" w:rsidRDefault="00C74CE7" w:rsidP="00C74CE7">
      <w:pPr>
        <w:pStyle w:val="Text2"/>
        <w:spacing w:after="120"/>
        <w:ind w:left="0"/>
        <w:rPr>
          <w:rFonts w:ascii="Times New Roman" w:hAnsi="Times New Roman" w:cs="Times New Roman"/>
          <w:noProof/>
          <w:lang w:val="en-IE"/>
        </w:rPr>
      </w:pPr>
      <w:r w:rsidRPr="00532C20">
        <w:rPr>
          <w:rFonts w:ascii="Times New Roman" w:hAnsi="Times New Roman" w:cs="Times New Roman"/>
          <w:noProof/>
          <w:lang w:val="en-IE"/>
        </w:rPr>
        <w:t>Freedom of association constitutes one of the essential pillars of a democratic and pluralistic society, in as much as it allows citizens to act collectively in fields of mutual interest and to contribute to the proper functioning of public life</w:t>
      </w:r>
      <w:r w:rsidRPr="00532C20">
        <w:rPr>
          <w:rStyle w:val="FootnoteReference"/>
          <w:rFonts w:ascii="Times New Roman" w:hAnsi="Times New Roman" w:cs="Times New Roman"/>
          <w:noProof/>
          <w:lang w:val="en-IE"/>
        </w:rPr>
        <w:footnoteReference w:id="343"/>
      </w:r>
      <w:r w:rsidRPr="00532C20">
        <w:rPr>
          <w:rFonts w:ascii="Times New Roman" w:hAnsi="Times New Roman" w:cs="Times New Roman"/>
          <w:noProof/>
          <w:lang w:val="en-IE"/>
        </w:rPr>
        <w:t>. Associations must be able to pursue their activities, operate without unjustified interference, and obtain resources to support their operations. The Court considers that legislation which renders significantly more difficult the action or operations of associations, whether by strengthening the requirements in relation to their registration, by limiting their capacity to receive financial resources, by imposing obligations of declaration and publications such as to create a negative image of them or by exposing them to the threat of penalties, in particular of dissolution, is to be classified as a limitation to the freedom of association</w:t>
      </w:r>
      <w:r w:rsidRPr="00532C20">
        <w:rPr>
          <w:rStyle w:val="FootnoteReference"/>
          <w:rFonts w:ascii="Times New Roman" w:hAnsi="Times New Roman" w:cs="Times New Roman"/>
          <w:noProof/>
          <w:lang w:val="en-IE"/>
        </w:rPr>
        <w:footnoteReference w:id="344"/>
      </w:r>
      <w:r w:rsidRPr="00532C20">
        <w:rPr>
          <w:rFonts w:ascii="Times New Roman" w:hAnsi="Times New Roman" w:cs="Times New Roman"/>
          <w:noProof/>
          <w:lang w:val="en-IE"/>
        </w:rPr>
        <w:t xml:space="preserve">. </w:t>
      </w:r>
    </w:p>
    <w:p w14:paraId="35D0195C" w14:textId="74D9CB59" w:rsidR="00C74CE7" w:rsidRPr="00532C20" w:rsidRDefault="00C74CE7" w:rsidP="00C74CE7">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lang w:val="en-IE"/>
        </w:rPr>
        <w:t>The examined</w:t>
      </w:r>
      <w:r w:rsidRPr="00532C20" w:rsidDel="00BC2AB5">
        <w:rPr>
          <w:rFonts w:ascii="Times New Roman" w:hAnsi="Times New Roman" w:cs="Times New Roman"/>
          <w:noProof/>
          <w:szCs w:val="24"/>
          <w:lang w:val="en-IE"/>
        </w:rPr>
        <w:t xml:space="preserve"> </w:t>
      </w:r>
      <w:r w:rsidRPr="00532C20">
        <w:rPr>
          <w:rFonts w:ascii="Times New Roman" w:hAnsi="Times New Roman" w:cs="Times New Roman"/>
          <w:noProof/>
          <w:szCs w:val="24"/>
          <w:lang w:val="en-IE"/>
        </w:rPr>
        <w:t>policy options are limited to ensuring transparency regarding interest representation activities carried out on behalf of third country entities and seeking to influence decision</w:t>
      </w:r>
      <w:r w:rsidR="003828E4">
        <w:rPr>
          <w:rFonts w:ascii="Times New Roman" w:hAnsi="Times New Roman" w:cs="Times New Roman"/>
          <w:noProof/>
          <w:szCs w:val="24"/>
          <w:lang w:val="en-IE"/>
        </w:rPr>
        <w:t>-</w:t>
      </w:r>
      <w:r w:rsidRPr="00532C20">
        <w:rPr>
          <w:rFonts w:ascii="Times New Roman" w:hAnsi="Times New Roman" w:cs="Times New Roman"/>
          <w:noProof/>
          <w:szCs w:val="24"/>
          <w:lang w:val="en-IE"/>
        </w:rPr>
        <w:t xml:space="preserve">making processes in the EU. They do not affect as such the possibility for entities to carry out these activities (with the exception of </w:t>
      </w:r>
      <w:r w:rsidR="00EC0FCA">
        <w:rPr>
          <w:rFonts w:ascii="Times New Roman" w:hAnsi="Times New Roman" w:cs="Times New Roman"/>
          <w:noProof/>
          <w:szCs w:val="24"/>
          <w:lang w:val="en-IE"/>
        </w:rPr>
        <w:t>PO</w:t>
      </w:r>
      <w:r w:rsidR="00D47716" w:rsidRPr="00532C20">
        <w:rPr>
          <w:rFonts w:ascii="Times New Roman" w:hAnsi="Times New Roman" w:cs="Times New Roman"/>
          <w:noProof/>
          <w:szCs w:val="24"/>
          <w:lang w:val="en-IE"/>
        </w:rPr>
        <w:t>2.2</w:t>
      </w:r>
      <w:r w:rsidRPr="00532C20">
        <w:rPr>
          <w:rFonts w:ascii="Times New Roman" w:hAnsi="Times New Roman" w:cs="Times New Roman"/>
          <w:noProof/>
          <w:szCs w:val="24"/>
          <w:lang w:val="en-IE"/>
        </w:rPr>
        <w:t>). However, transparency requirements could have a spill over effect on other activities of CSOs for instance their advocacy work.</w:t>
      </w:r>
    </w:p>
    <w:p w14:paraId="0B69A648" w14:textId="77777777" w:rsidR="00C74CE7" w:rsidRPr="00532C20" w:rsidRDefault="00C74CE7" w:rsidP="00C74CE7">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szCs w:val="24"/>
          <w:lang w:val="en-IE"/>
        </w:rPr>
        <w:t>While imposing transparency obligations, which may be considered as having an impact on the effective enjoyment of the right to freedom of associations – in as much as the requested organisations would have to comply with the registration/reporting obligations and pay the related costs – all 3 policy options do not affect the essence of that right. Moreover, with specific regard to the right to seek for funding and resources, none of the policy options ban foreign funding.</w:t>
      </w:r>
    </w:p>
    <w:p w14:paraId="6F1CD30C" w14:textId="585F1CA8" w:rsidR="00C74CE7" w:rsidRPr="00532C20" w:rsidRDefault="00C74CE7" w:rsidP="00C74CE7">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lang w:val="en-IE"/>
        </w:rPr>
        <w:t xml:space="preserve">All </w:t>
      </w:r>
      <w:r w:rsidRPr="00532C20">
        <w:rPr>
          <w:rFonts w:ascii="Times New Roman" w:hAnsi="Times New Roman" w:cs="Times New Roman"/>
          <w:noProof/>
          <w:u w:val="single"/>
          <w:lang w:val="en-IE"/>
        </w:rPr>
        <w:t>3 policy options</w:t>
      </w:r>
      <w:r w:rsidRPr="00532C20">
        <w:rPr>
          <w:rFonts w:ascii="Times New Roman" w:hAnsi="Times New Roman" w:cs="Times New Roman"/>
          <w:noProof/>
          <w:lang w:val="en-IE"/>
        </w:rPr>
        <w:t xml:space="preserve"> </w:t>
      </w:r>
      <w:r w:rsidRPr="00532C20">
        <w:rPr>
          <w:rFonts w:ascii="Times New Roman" w:hAnsi="Times New Roman" w:cs="Times New Roman"/>
          <w:noProof/>
          <w:szCs w:val="24"/>
          <w:lang w:val="en-IE"/>
        </w:rPr>
        <w:t xml:space="preserve">enhance the integrity of, and public trust in, the EU’s and Member States’ democratic institutions by ensuring the transparency of interest representation activities carried out on behalf of third countries, and by improving the knowledge </w:t>
      </w:r>
      <w:r w:rsidR="00EB05B8">
        <w:rPr>
          <w:rFonts w:ascii="Times New Roman" w:hAnsi="Times New Roman" w:cs="Times New Roman"/>
          <w:noProof/>
          <w:szCs w:val="24"/>
          <w:lang w:val="en-IE"/>
        </w:rPr>
        <w:t>about</w:t>
      </w:r>
      <w:r w:rsidR="00EB05B8" w:rsidRPr="00532C20">
        <w:rPr>
          <w:rFonts w:ascii="Times New Roman" w:hAnsi="Times New Roman" w:cs="Times New Roman"/>
          <w:noProof/>
          <w:szCs w:val="24"/>
          <w:lang w:val="en-IE"/>
        </w:rPr>
        <w:t xml:space="preserve"> </w:t>
      </w:r>
      <w:r w:rsidRPr="00532C20">
        <w:rPr>
          <w:rFonts w:ascii="Times New Roman" w:hAnsi="Times New Roman" w:cs="Times New Roman"/>
          <w:noProof/>
          <w:szCs w:val="24"/>
          <w:lang w:val="en-IE"/>
        </w:rPr>
        <w:t>the magnitude, trends and actors of interest representation activities carried out on behalf of third countries (see sections 6.2.2.1 and 6.2.2.2)</w:t>
      </w:r>
      <w:r w:rsidRPr="00532C20">
        <w:rPr>
          <w:rStyle w:val="FootnoteReference"/>
          <w:rFonts w:ascii="Times New Roman" w:hAnsi="Times New Roman" w:cs="Times New Roman"/>
          <w:noProof/>
          <w:lang w:val="en-IE"/>
        </w:rPr>
        <w:footnoteReference w:id="345"/>
      </w:r>
      <w:r w:rsidRPr="00532C20">
        <w:rPr>
          <w:rFonts w:ascii="Times New Roman" w:hAnsi="Times New Roman" w:cs="Times New Roman"/>
          <w:noProof/>
          <w:lang w:val="en-IE"/>
        </w:rPr>
        <w:t>. The</w:t>
      </w:r>
      <w:r w:rsidRPr="00532C20" w:rsidDel="009867D4">
        <w:rPr>
          <w:rFonts w:ascii="Times New Roman" w:hAnsi="Times New Roman" w:cs="Times New Roman"/>
          <w:noProof/>
          <w:lang w:val="en-IE"/>
        </w:rPr>
        <w:t xml:space="preserve"> </w:t>
      </w:r>
      <w:r w:rsidRPr="00532C20">
        <w:rPr>
          <w:rFonts w:ascii="Times New Roman" w:hAnsi="Times New Roman" w:cs="Times New Roman"/>
          <w:noProof/>
          <w:lang w:val="en-IE"/>
        </w:rPr>
        <w:t>CJEU has recognised that the objective consisting in increasing transparency is an overriding reason in the public interest</w:t>
      </w:r>
      <w:r w:rsidRPr="00532C20">
        <w:rPr>
          <w:rStyle w:val="FootnoteReference"/>
          <w:rFonts w:ascii="Times New Roman" w:hAnsi="Times New Roman" w:cs="Times New Roman"/>
          <w:noProof/>
          <w:lang w:val="en-IE"/>
        </w:rPr>
        <w:footnoteReference w:id="346"/>
      </w:r>
      <w:r w:rsidRPr="00532C20">
        <w:rPr>
          <w:rFonts w:ascii="Times New Roman" w:hAnsi="Times New Roman" w:cs="Times New Roman"/>
          <w:noProof/>
          <w:lang w:val="en-IE"/>
        </w:rPr>
        <w:t xml:space="preserve">. </w:t>
      </w:r>
      <w:r w:rsidRPr="00532C20">
        <w:rPr>
          <w:rFonts w:ascii="Times New Roman" w:hAnsi="Times New Roman" w:cs="Times New Roman"/>
          <w:b/>
          <w:noProof/>
          <w:lang w:val="en-IE"/>
        </w:rPr>
        <w:t xml:space="preserve">All 3 </w:t>
      </w:r>
      <w:r w:rsidRPr="00532C20">
        <w:rPr>
          <w:rFonts w:ascii="Times New Roman" w:hAnsi="Times New Roman" w:cs="Times New Roman"/>
          <w:b/>
          <w:noProof/>
          <w:u w:val="single"/>
          <w:lang w:val="en-IE"/>
        </w:rPr>
        <w:t>policy options</w:t>
      </w:r>
      <w:r w:rsidRPr="00532C20">
        <w:rPr>
          <w:rFonts w:ascii="Times New Roman" w:hAnsi="Times New Roman" w:cs="Times New Roman"/>
          <w:b/>
          <w:noProof/>
          <w:lang w:val="en-IE"/>
        </w:rPr>
        <w:t xml:space="preserve"> </w:t>
      </w:r>
      <w:r w:rsidRPr="00532C20">
        <w:rPr>
          <w:rFonts w:ascii="Times New Roman" w:hAnsi="Times New Roman" w:cs="Times New Roman"/>
          <w:b/>
          <w:noProof/>
          <w:szCs w:val="24"/>
          <w:lang w:val="en-IE"/>
        </w:rPr>
        <w:t>meet the objective of general interest</w:t>
      </w:r>
      <w:r w:rsidRPr="00532C20">
        <w:rPr>
          <w:rFonts w:ascii="Times New Roman" w:hAnsi="Times New Roman" w:cs="Times New Roman"/>
          <w:noProof/>
          <w:szCs w:val="24"/>
          <w:lang w:val="en-IE"/>
        </w:rPr>
        <w:t xml:space="preserve">, in light of the principles of openness and transparency, which must guide the democratic life of the </w:t>
      </w:r>
      <w:r w:rsidR="00673CD3">
        <w:rPr>
          <w:rFonts w:ascii="Times New Roman" w:hAnsi="Times New Roman" w:cs="Times New Roman"/>
          <w:noProof/>
          <w:szCs w:val="24"/>
          <w:lang w:val="en-IE"/>
        </w:rPr>
        <w:t>Union</w:t>
      </w:r>
      <w:r w:rsidR="00673CD3" w:rsidRPr="00532C20">
        <w:rPr>
          <w:rFonts w:ascii="Times New Roman" w:hAnsi="Times New Roman" w:cs="Times New Roman"/>
          <w:noProof/>
          <w:szCs w:val="24"/>
          <w:lang w:val="en-IE"/>
        </w:rPr>
        <w:t xml:space="preserve"> </w:t>
      </w:r>
      <w:r w:rsidRPr="00532C20">
        <w:rPr>
          <w:rFonts w:ascii="Times New Roman" w:hAnsi="Times New Roman" w:cs="Times New Roman"/>
          <w:noProof/>
          <w:szCs w:val="24"/>
          <w:lang w:val="en-IE"/>
        </w:rPr>
        <w:t xml:space="preserve">in accordance with the second paragraph of Article 1 and Article 10(3) TEU and in conformity with the democratic values shared by the </w:t>
      </w:r>
      <w:r w:rsidR="00673CD3">
        <w:rPr>
          <w:rFonts w:ascii="Times New Roman" w:hAnsi="Times New Roman" w:cs="Times New Roman"/>
          <w:noProof/>
          <w:szCs w:val="24"/>
          <w:lang w:val="en-IE"/>
        </w:rPr>
        <w:t>Union</w:t>
      </w:r>
      <w:r w:rsidR="00673CD3" w:rsidRPr="00532C20">
        <w:rPr>
          <w:rFonts w:ascii="Times New Roman" w:hAnsi="Times New Roman" w:cs="Times New Roman"/>
          <w:noProof/>
          <w:szCs w:val="24"/>
          <w:lang w:val="en-IE"/>
        </w:rPr>
        <w:t xml:space="preserve"> </w:t>
      </w:r>
      <w:r w:rsidRPr="00532C20">
        <w:rPr>
          <w:rFonts w:ascii="Times New Roman" w:hAnsi="Times New Roman" w:cs="Times New Roman"/>
          <w:noProof/>
          <w:szCs w:val="24"/>
          <w:lang w:val="en-IE"/>
        </w:rPr>
        <w:t>and its Member States pursuant to Article 2 TEU.</w:t>
      </w:r>
    </w:p>
    <w:p w14:paraId="3FD96AB8" w14:textId="53DB472D" w:rsidR="00C74CE7" w:rsidRPr="00532C20" w:rsidRDefault="00C74CE7" w:rsidP="00C74CE7">
      <w:pPr>
        <w:pStyle w:val="Text2"/>
        <w:spacing w:after="120"/>
        <w:ind w:left="0"/>
        <w:rPr>
          <w:rFonts w:ascii="Times New Roman" w:hAnsi="Times New Roman" w:cs="Times New Roman"/>
          <w:noProof/>
          <w:lang w:val="en-IE"/>
        </w:rPr>
      </w:pPr>
      <w:r w:rsidRPr="00532C20">
        <w:rPr>
          <w:rFonts w:ascii="Times New Roman" w:hAnsi="Times New Roman" w:cs="Times New Roman"/>
          <w:noProof/>
          <w:lang w:val="en-IE"/>
        </w:rPr>
        <w:t>With regard to the proportionality of the limitation,</w:t>
      </w:r>
      <w:r w:rsidRPr="00532C20" w:rsidDel="00573B93">
        <w:rPr>
          <w:rFonts w:ascii="Times New Roman" w:hAnsi="Times New Roman" w:cs="Times New Roman"/>
          <w:noProof/>
          <w:lang w:val="en-IE"/>
        </w:rPr>
        <w:t xml:space="preserve"> </w:t>
      </w:r>
      <w:r w:rsidRPr="00532C20">
        <w:rPr>
          <w:rFonts w:ascii="Times New Roman" w:hAnsi="Times New Roman" w:cs="Times New Roman"/>
          <w:b/>
          <w:bCs/>
          <w:noProof/>
          <w:u w:val="single"/>
          <w:lang w:val="en-IE"/>
        </w:rPr>
        <w:t>all</w:t>
      </w:r>
      <w:r w:rsidRPr="00532C20">
        <w:rPr>
          <w:rFonts w:ascii="Times New Roman" w:hAnsi="Times New Roman" w:cs="Times New Roman"/>
          <w:b/>
          <w:noProof/>
          <w:u w:val="single"/>
          <w:lang w:val="en-IE"/>
        </w:rPr>
        <w:t xml:space="preserve"> 3 options</w:t>
      </w:r>
      <w:r w:rsidRPr="00532C20">
        <w:rPr>
          <w:rFonts w:ascii="Times New Roman" w:hAnsi="Times New Roman" w:cs="Times New Roman"/>
          <w:b/>
          <w:noProof/>
          <w:lang w:val="en-IE"/>
        </w:rPr>
        <w:t xml:space="preserve"> apply indiscriminately to any entity receiving financial support from abroad by reason of the type of activity they carry out</w:t>
      </w:r>
      <w:r w:rsidRPr="00532C20">
        <w:rPr>
          <w:rFonts w:ascii="Times New Roman" w:hAnsi="Times New Roman" w:cs="Times New Roman"/>
          <w:noProof/>
          <w:lang w:val="en-IE"/>
        </w:rPr>
        <w:t xml:space="preserve">. In particular, </w:t>
      </w:r>
      <w:r w:rsidRPr="00532C20">
        <w:rPr>
          <w:rFonts w:ascii="Times New Roman" w:hAnsi="Times New Roman" w:cs="Times New Roman"/>
          <w:noProof/>
          <w:szCs w:val="24"/>
          <w:u w:val="single"/>
          <w:lang w:val="en-IE"/>
        </w:rPr>
        <w:t>the legislative policy options (PO</w:t>
      </w:r>
      <w:r w:rsidR="00D47716" w:rsidRPr="00532C20">
        <w:rPr>
          <w:rFonts w:ascii="Times New Roman" w:hAnsi="Times New Roman" w:cs="Times New Roman"/>
          <w:noProof/>
          <w:szCs w:val="24"/>
          <w:u w:val="single"/>
          <w:lang w:val="en-IE"/>
        </w:rPr>
        <w:t>2.1</w:t>
      </w:r>
      <w:r w:rsidRPr="00532C20">
        <w:rPr>
          <w:rFonts w:ascii="Times New Roman" w:hAnsi="Times New Roman" w:cs="Times New Roman"/>
          <w:noProof/>
          <w:szCs w:val="24"/>
          <w:u w:val="single"/>
          <w:lang w:val="en-IE"/>
        </w:rPr>
        <w:t xml:space="preserve"> and PO</w:t>
      </w:r>
      <w:r w:rsidR="00D47716" w:rsidRPr="00532C20">
        <w:rPr>
          <w:rFonts w:ascii="Times New Roman" w:hAnsi="Times New Roman" w:cs="Times New Roman"/>
          <w:noProof/>
          <w:szCs w:val="24"/>
          <w:u w:val="single"/>
          <w:lang w:val="en-IE"/>
        </w:rPr>
        <w:t>2.2</w:t>
      </w:r>
      <w:r w:rsidRPr="00532C20">
        <w:rPr>
          <w:rFonts w:ascii="Times New Roman" w:hAnsi="Times New Roman" w:cs="Times New Roman"/>
          <w:noProof/>
          <w:szCs w:val="24"/>
          <w:u w:val="single"/>
          <w:lang w:val="en-IE"/>
        </w:rPr>
        <w:t>)</w:t>
      </w:r>
      <w:r w:rsidRPr="00532C20">
        <w:rPr>
          <w:rFonts w:ascii="Times New Roman" w:hAnsi="Times New Roman" w:cs="Times New Roman"/>
          <w:noProof/>
          <w:szCs w:val="24"/>
          <w:lang w:val="en-IE"/>
        </w:rPr>
        <w:t xml:space="preserve"> </w:t>
      </w:r>
      <w:r w:rsidRPr="00532C20">
        <w:rPr>
          <w:rFonts w:ascii="Times New Roman" w:hAnsi="Times New Roman" w:cs="Times New Roman"/>
          <w:noProof/>
          <w:lang w:val="en-IE"/>
        </w:rPr>
        <w:t>would not cover any funding given by a third country entity</w:t>
      </w:r>
      <w:r w:rsidRPr="00532C20">
        <w:rPr>
          <w:rStyle w:val="FootnoteReference"/>
          <w:rFonts w:ascii="Times New Roman" w:hAnsi="Times New Roman" w:cs="Times New Roman"/>
          <w:noProof/>
          <w:lang w:val="en-IE"/>
        </w:rPr>
        <w:footnoteReference w:id="347"/>
      </w:r>
      <w:r w:rsidRPr="00532C20">
        <w:rPr>
          <w:rFonts w:ascii="Times New Roman" w:hAnsi="Times New Roman" w:cs="Times New Roman"/>
          <w:noProof/>
          <w:lang w:val="en-IE"/>
        </w:rPr>
        <w:t>, but only the funding which is related to an interest representation activity (structural grants, donations, etc. are therefore excluded). These legislative options</w:t>
      </w:r>
      <w:r w:rsidRPr="00532C20" w:rsidDel="002B56A5">
        <w:rPr>
          <w:rFonts w:ascii="Times New Roman" w:hAnsi="Times New Roman" w:cs="Times New Roman"/>
          <w:noProof/>
          <w:lang w:val="en-IE"/>
        </w:rPr>
        <w:t xml:space="preserve"> </w:t>
      </w:r>
      <w:r w:rsidRPr="00532C20">
        <w:rPr>
          <w:rFonts w:ascii="Times New Roman" w:hAnsi="Times New Roman" w:cs="Times New Roman"/>
          <w:noProof/>
          <w:lang w:val="en-IE"/>
        </w:rPr>
        <w:t xml:space="preserve">only focus on the activities that are genuinely likely to have a significant influence on public life and public debate. Secondly, </w:t>
      </w:r>
      <w:r w:rsidRPr="00532C20">
        <w:rPr>
          <w:rFonts w:ascii="Times New Roman" w:hAnsi="Times New Roman" w:cs="Times New Roman"/>
          <w:b/>
          <w:bCs/>
          <w:noProof/>
          <w:u w:val="single"/>
          <w:lang w:val="en-IE"/>
        </w:rPr>
        <w:t>none</w:t>
      </w:r>
      <w:r w:rsidRPr="00532C20">
        <w:rPr>
          <w:rFonts w:ascii="Times New Roman" w:hAnsi="Times New Roman" w:cs="Times New Roman"/>
          <w:b/>
          <w:noProof/>
          <w:u w:val="single"/>
          <w:lang w:val="en-IE"/>
        </w:rPr>
        <w:t xml:space="preserve"> of the policy options</w:t>
      </w:r>
      <w:r w:rsidRPr="00532C20">
        <w:rPr>
          <w:rFonts w:ascii="Times New Roman" w:hAnsi="Times New Roman" w:cs="Times New Roman"/>
          <w:b/>
          <w:noProof/>
          <w:lang w:val="en-IE"/>
        </w:rPr>
        <w:t xml:space="preserve"> target </w:t>
      </w:r>
      <w:r w:rsidRPr="00532C20">
        <w:rPr>
          <w:rFonts w:ascii="Times New Roman" w:hAnsi="Times New Roman" w:cs="Times New Roman"/>
          <w:b/>
          <w:bCs/>
          <w:noProof/>
          <w:lang w:val="en-IE"/>
        </w:rPr>
        <w:t xml:space="preserve">specifically </w:t>
      </w:r>
      <w:r w:rsidRPr="00532C20">
        <w:rPr>
          <w:rFonts w:ascii="Times New Roman" w:hAnsi="Times New Roman" w:cs="Times New Roman"/>
          <w:b/>
          <w:noProof/>
          <w:lang w:val="en-IE"/>
        </w:rPr>
        <w:t>CSOs or other associations</w:t>
      </w:r>
      <w:r w:rsidRPr="00532C20">
        <w:rPr>
          <w:rFonts w:ascii="Times New Roman" w:hAnsi="Times New Roman" w:cs="Times New Roman"/>
          <w:bCs/>
          <w:noProof/>
          <w:lang w:val="en-IE"/>
        </w:rPr>
        <w:t>, significantly reducing the risk of stigmatisation</w:t>
      </w:r>
      <w:r w:rsidRPr="00532C20">
        <w:rPr>
          <w:rFonts w:ascii="Times New Roman" w:hAnsi="Times New Roman" w:cs="Times New Roman"/>
          <w:noProof/>
          <w:lang w:val="en-IE"/>
        </w:rPr>
        <w:t xml:space="preserve">. They regulate a specific type of activity – interest representation activities carried out on behalf of third country governments – regardless of the natural or legal person carrying it out. </w:t>
      </w:r>
    </w:p>
    <w:p w14:paraId="12DFFC53" w14:textId="0CC9A5A6" w:rsidR="00C74CE7" w:rsidRPr="00532C20" w:rsidRDefault="00C74CE7" w:rsidP="00C74CE7">
      <w:pPr>
        <w:pStyle w:val="Text2"/>
        <w:spacing w:after="120"/>
        <w:ind w:left="0"/>
        <w:rPr>
          <w:rFonts w:ascii="Times New Roman" w:hAnsi="Times New Roman" w:cs="Times New Roman"/>
          <w:noProof/>
          <w:lang w:val="en-IE"/>
        </w:rPr>
      </w:pPr>
      <w:r w:rsidRPr="00532C20">
        <w:rPr>
          <w:rFonts w:ascii="Times New Roman" w:hAnsi="Times New Roman" w:cs="Times New Roman"/>
          <w:noProof/>
          <w:u w:val="single"/>
          <w:lang w:val="en-IE"/>
        </w:rPr>
        <w:t>The legislative policy options (PO</w:t>
      </w:r>
      <w:r w:rsidR="00D47716" w:rsidRPr="00532C20">
        <w:rPr>
          <w:rFonts w:ascii="Times New Roman" w:hAnsi="Times New Roman" w:cs="Times New Roman"/>
          <w:noProof/>
          <w:u w:val="single"/>
          <w:lang w:val="en-IE"/>
        </w:rPr>
        <w:t>2.1</w:t>
      </w:r>
      <w:r w:rsidRPr="00532C20">
        <w:rPr>
          <w:rFonts w:ascii="Times New Roman" w:hAnsi="Times New Roman" w:cs="Times New Roman"/>
          <w:noProof/>
          <w:u w:val="single"/>
          <w:lang w:val="en-IE"/>
        </w:rPr>
        <w:t xml:space="preserve"> and PO</w:t>
      </w:r>
      <w:r w:rsidR="00D47716" w:rsidRPr="00532C20">
        <w:rPr>
          <w:rFonts w:ascii="Times New Roman" w:hAnsi="Times New Roman" w:cs="Times New Roman"/>
          <w:noProof/>
          <w:u w:val="single"/>
          <w:lang w:val="en-IE"/>
        </w:rPr>
        <w:t>2.2</w:t>
      </w:r>
      <w:r w:rsidRPr="00532C20">
        <w:rPr>
          <w:rFonts w:ascii="Times New Roman" w:hAnsi="Times New Roman" w:cs="Times New Roman"/>
          <w:noProof/>
          <w:u w:val="single"/>
          <w:lang w:val="en-IE"/>
        </w:rPr>
        <w:t>)</w:t>
      </w:r>
      <w:r w:rsidRPr="00532C20">
        <w:rPr>
          <w:rFonts w:ascii="Times New Roman" w:hAnsi="Times New Roman" w:cs="Times New Roman"/>
          <w:noProof/>
          <w:lang w:val="en-IE"/>
        </w:rPr>
        <w:t xml:space="preserve"> contain specific </w:t>
      </w:r>
      <w:r w:rsidRPr="00532C20">
        <w:rPr>
          <w:rFonts w:ascii="Times New Roman" w:hAnsi="Times New Roman" w:cs="Times New Roman"/>
          <w:b/>
          <w:noProof/>
          <w:lang w:val="en-IE"/>
        </w:rPr>
        <w:t>safeguards to avoid stigmatisation</w:t>
      </w:r>
      <w:r w:rsidRPr="00532C20">
        <w:rPr>
          <w:rStyle w:val="FootnoteReference"/>
          <w:rFonts w:ascii="Times New Roman" w:hAnsi="Times New Roman" w:cs="Times New Roman"/>
          <w:noProof/>
          <w:lang w:val="en-IE"/>
        </w:rPr>
        <w:footnoteReference w:id="348"/>
      </w:r>
      <w:r w:rsidRPr="00532C20">
        <w:rPr>
          <w:rFonts w:ascii="Times New Roman" w:hAnsi="Times New Roman" w:cs="Times New Roman"/>
          <w:noProof/>
          <w:lang w:val="en-IE"/>
        </w:rPr>
        <w:t xml:space="preserve">. By imposing a </w:t>
      </w:r>
      <w:r w:rsidRPr="00532C20">
        <w:rPr>
          <w:rFonts w:ascii="Times New Roman" w:hAnsi="Times New Roman" w:cs="Times New Roman"/>
          <w:b/>
          <w:noProof/>
          <w:lang w:val="en-IE"/>
        </w:rPr>
        <w:t>full harmonisation of the transparency requirements</w:t>
      </w:r>
      <w:r w:rsidRPr="00532C20">
        <w:rPr>
          <w:rFonts w:ascii="Times New Roman" w:hAnsi="Times New Roman" w:cs="Times New Roman"/>
          <w:noProof/>
          <w:lang w:val="en-IE"/>
        </w:rPr>
        <w:t>, these 2 options ensure that registered entities may not be required to present themselves to the public in a stigmatising manner</w:t>
      </w:r>
      <w:r w:rsidRPr="00532C20">
        <w:rPr>
          <w:rStyle w:val="FootnoteReference"/>
          <w:rFonts w:ascii="Times New Roman" w:hAnsi="Times New Roman" w:cs="Times New Roman"/>
          <w:noProof/>
          <w:lang w:val="en-IE"/>
        </w:rPr>
        <w:footnoteReference w:id="349"/>
      </w:r>
      <w:r w:rsidRPr="00532C20">
        <w:rPr>
          <w:rFonts w:ascii="Times New Roman" w:hAnsi="Times New Roman" w:cs="Times New Roman"/>
          <w:noProof/>
          <w:lang w:val="en-IE"/>
        </w:rPr>
        <w:t xml:space="preserve">. </w:t>
      </w:r>
    </w:p>
    <w:p w14:paraId="35DFA9B6" w14:textId="2EE4938B" w:rsidR="00C74CE7" w:rsidRPr="00532C20" w:rsidRDefault="00C74CE7" w:rsidP="00C74CE7">
      <w:pPr>
        <w:pStyle w:val="Text2"/>
        <w:spacing w:after="120"/>
        <w:ind w:left="0"/>
        <w:rPr>
          <w:rFonts w:ascii="Times New Roman" w:hAnsi="Times New Roman" w:cs="Times New Roman"/>
          <w:noProof/>
          <w:szCs w:val="24"/>
          <w:lang w:val="en-IE"/>
        </w:rPr>
      </w:pPr>
      <w:r w:rsidRPr="00532C20">
        <w:rPr>
          <w:rFonts w:ascii="Times New Roman" w:hAnsi="Times New Roman" w:cs="Times New Roman"/>
          <w:noProof/>
          <w:lang w:val="en-IE"/>
        </w:rPr>
        <w:t xml:space="preserve">The legislative policy options also include proportionate sanctions and a comprehensive system of </w:t>
      </w:r>
      <w:r w:rsidRPr="00532C20">
        <w:rPr>
          <w:rFonts w:ascii="Times New Roman" w:hAnsi="Times New Roman" w:cs="Times New Roman"/>
          <w:b/>
          <w:noProof/>
          <w:lang w:val="en-IE"/>
        </w:rPr>
        <w:t>safeguards</w:t>
      </w:r>
      <w:r w:rsidRPr="00532C20">
        <w:rPr>
          <w:rFonts w:ascii="Times New Roman" w:hAnsi="Times New Roman" w:cs="Times New Roman"/>
          <w:noProof/>
          <w:lang w:val="en-IE"/>
        </w:rPr>
        <w:t>, including effective judicial review</w:t>
      </w:r>
      <w:r w:rsidRPr="00532C20">
        <w:rPr>
          <w:rStyle w:val="FootnoteReference"/>
          <w:rFonts w:ascii="Times New Roman" w:hAnsi="Times New Roman" w:cs="Times New Roman"/>
          <w:noProof/>
          <w:lang w:val="en-IE"/>
        </w:rPr>
        <w:footnoteReference w:id="350"/>
      </w:r>
      <w:r w:rsidRPr="00532C20">
        <w:rPr>
          <w:rFonts w:ascii="Times New Roman" w:hAnsi="Times New Roman" w:cs="Times New Roman"/>
          <w:noProof/>
          <w:lang w:val="en-IE"/>
        </w:rPr>
        <w:t xml:space="preserve">. These options would ensure that CSOs and other associations would not be exposed to the threat of criminal penalties or dissolution. </w:t>
      </w:r>
    </w:p>
    <w:p w14:paraId="607E6F60" w14:textId="11FD04DB" w:rsidR="00C74CE7" w:rsidRPr="00532C20" w:rsidRDefault="00C74CE7" w:rsidP="00C74CE7">
      <w:pPr>
        <w:pStyle w:val="Text2"/>
        <w:spacing w:after="120"/>
        <w:ind w:left="0"/>
        <w:rPr>
          <w:rFonts w:ascii="Times New Roman" w:hAnsi="Times New Roman" w:cs="Times New Roman"/>
          <w:noProof/>
          <w:lang w:val="en-IE"/>
        </w:rPr>
      </w:pPr>
      <w:r w:rsidRPr="00532C20">
        <w:rPr>
          <w:rFonts w:ascii="Times New Roman" w:hAnsi="Times New Roman" w:cs="Times New Roman"/>
          <w:noProof/>
          <w:lang w:val="en-IE"/>
        </w:rPr>
        <w:t xml:space="preserve">The </w:t>
      </w:r>
      <w:r w:rsidRPr="00532C20">
        <w:rPr>
          <w:rFonts w:ascii="Times New Roman" w:hAnsi="Times New Roman" w:cs="Times New Roman"/>
          <w:noProof/>
          <w:u w:val="single"/>
          <w:lang w:val="en-IE"/>
        </w:rPr>
        <w:t>targeted requirements included in the PO</w:t>
      </w:r>
      <w:r w:rsidR="00D47716" w:rsidRPr="00532C20">
        <w:rPr>
          <w:rFonts w:ascii="Times New Roman" w:hAnsi="Times New Roman" w:cs="Times New Roman"/>
          <w:noProof/>
          <w:u w:val="single"/>
          <w:lang w:val="en-IE"/>
        </w:rPr>
        <w:t>2.1</w:t>
      </w:r>
      <w:r w:rsidRPr="00532C20">
        <w:rPr>
          <w:rFonts w:ascii="Times New Roman" w:hAnsi="Times New Roman" w:cs="Times New Roman"/>
          <w:noProof/>
          <w:lang w:val="en-IE"/>
        </w:rPr>
        <w:t xml:space="preserve"> are </w:t>
      </w:r>
      <w:r w:rsidRPr="00532C20">
        <w:rPr>
          <w:rFonts w:ascii="Times New Roman" w:hAnsi="Times New Roman" w:cs="Times New Roman"/>
          <w:b/>
          <w:noProof/>
          <w:lang w:val="en-IE"/>
        </w:rPr>
        <w:t>proportionate</w:t>
      </w:r>
      <w:r w:rsidRPr="00532C20">
        <w:rPr>
          <w:rFonts w:ascii="Times New Roman" w:hAnsi="Times New Roman" w:cs="Times New Roman"/>
          <w:noProof/>
          <w:lang w:val="en-IE"/>
        </w:rPr>
        <w:t xml:space="preserve"> and will not overburden concerned entities. (i) In terms of </w:t>
      </w:r>
      <w:r w:rsidRPr="00532C20">
        <w:rPr>
          <w:rFonts w:ascii="Times New Roman" w:hAnsi="Times New Roman" w:cs="Times New Roman"/>
          <w:i/>
          <w:noProof/>
          <w:lang w:val="en-IE"/>
        </w:rPr>
        <w:t>record-keeping</w:t>
      </w:r>
      <w:r w:rsidRPr="00532C20">
        <w:rPr>
          <w:rFonts w:ascii="Times New Roman" w:hAnsi="Times New Roman" w:cs="Times New Roman"/>
          <w:noProof/>
          <w:lang w:val="en-IE"/>
        </w:rPr>
        <w:t>, the concerned entities would be required to keep, for a limited period, a clearly defined set of information</w:t>
      </w:r>
      <w:r w:rsidRPr="00532C20">
        <w:rPr>
          <w:rStyle w:val="FootnoteReference"/>
          <w:rFonts w:ascii="Times New Roman" w:hAnsi="Times New Roman" w:cs="Times New Roman"/>
          <w:noProof/>
          <w:lang w:val="en-IE"/>
        </w:rPr>
        <w:footnoteReference w:id="351"/>
      </w:r>
      <w:r w:rsidRPr="00532C20">
        <w:rPr>
          <w:rFonts w:ascii="Times New Roman" w:hAnsi="Times New Roman" w:cs="Times New Roman"/>
          <w:noProof/>
          <w:lang w:val="en-IE"/>
        </w:rPr>
        <w:t>.</w:t>
      </w:r>
      <w:r w:rsidRPr="00532C20" w:rsidDel="00C525FC">
        <w:rPr>
          <w:rFonts w:ascii="Times New Roman" w:hAnsi="Times New Roman" w:cs="Times New Roman"/>
          <w:noProof/>
          <w:lang w:val="en-IE"/>
        </w:rPr>
        <w:t xml:space="preserve"> </w:t>
      </w:r>
      <w:r w:rsidRPr="00532C20">
        <w:rPr>
          <w:rFonts w:ascii="Times New Roman" w:hAnsi="Times New Roman" w:cs="Times New Roman"/>
          <w:noProof/>
          <w:lang w:val="en-IE"/>
        </w:rPr>
        <w:t xml:space="preserve">(ii) In terms of </w:t>
      </w:r>
      <w:r w:rsidRPr="00532C20">
        <w:rPr>
          <w:rFonts w:ascii="Times New Roman" w:hAnsi="Times New Roman" w:cs="Times New Roman"/>
          <w:i/>
          <w:noProof/>
          <w:lang w:val="en-IE"/>
        </w:rPr>
        <w:t>registration</w:t>
      </w:r>
      <w:r w:rsidRPr="00532C20">
        <w:rPr>
          <w:rFonts w:ascii="Times New Roman" w:hAnsi="Times New Roman" w:cs="Times New Roman"/>
          <w:noProof/>
          <w:lang w:val="en-IE"/>
        </w:rPr>
        <w:t>, the concerned entities would only be required to provide limited information on themselves, the activities conducted, and the third country entities they conduct the activities for. The registration would include an approximation</w:t>
      </w:r>
      <w:r w:rsidRPr="00532C20">
        <w:rPr>
          <w:rFonts w:ascii="Times New Roman" w:hAnsi="Times New Roman" w:cs="Times New Roman"/>
          <w:noProof/>
          <w:vertAlign w:val="superscript"/>
        </w:rPr>
        <w:footnoteReference w:id="352"/>
      </w:r>
      <w:r w:rsidRPr="00532C20">
        <w:rPr>
          <w:rFonts w:ascii="Times New Roman" w:hAnsi="Times New Roman" w:cs="Times New Roman"/>
          <w:noProof/>
          <w:lang w:val="en-IE"/>
        </w:rPr>
        <w:t xml:space="preserve"> of the remuneration received. Only the information necessary for the application and oversight of the legislative initiative would need to be updated regularly. Other information would only need to be updated annually. (iii) Apart from where it is necessary to examine non-compliance with the registration requirements, registered entities can only be </w:t>
      </w:r>
      <w:r w:rsidRPr="00532C20">
        <w:rPr>
          <w:rFonts w:ascii="Times New Roman" w:hAnsi="Times New Roman" w:cs="Times New Roman"/>
          <w:i/>
          <w:noProof/>
          <w:lang w:val="en-IE"/>
        </w:rPr>
        <w:t>requested to share their records</w:t>
      </w:r>
      <w:r w:rsidRPr="00532C20">
        <w:rPr>
          <w:rFonts w:ascii="Times New Roman" w:hAnsi="Times New Roman" w:cs="Times New Roman"/>
          <w:noProof/>
          <w:lang w:val="en-IE"/>
        </w:rPr>
        <w:t xml:space="preserve"> with the supervisory authority as part of a risk-based approach where, based on objective factors, they are particularly likely to have a significant influence on public life and public debate. (iv) As illustrated in section 6.2.1.3 and Annexes 3 and 4, the costs for private entities are not likely to render significantly more difficult the action or operations of associations and are limited to what is necessary to ensure transparency.</w:t>
      </w:r>
    </w:p>
    <w:p w14:paraId="6D83A1EB" w14:textId="22F1CB74" w:rsidR="00C74CE7" w:rsidRPr="00532C20" w:rsidRDefault="00C74CE7" w:rsidP="00C74CE7">
      <w:pPr>
        <w:pStyle w:val="Text2"/>
        <w:spacing w:after="120"/>
        <w:ind w:left="0"/>
        <w:rPr>
          <w:noProof/>
          <w:lang w:val="en-IE"/>
        </w:rPr>
      </w:pPr>
      <w:r w:rsidRPr="00532C20">
        <w:rPr>
          <w:rFonts w:ascii="Times New Roman" w:hAnsi="Times New Roman" w:cs="Times New Roman"/>
          <w:noProof/>
          <w:u w:val="single"/>
          <w:lang w:val="en-IE"/>
        </w:rPr>
        <w:t>The extended requirements included in the PO</w:t>
      </w:r>
      <w:r w:rsidR="00D47716" w:rsidRPr="00532C20">
        <w:rPr>
          <w:rFonts w:ascii="Times New Roman" w:hAnsi="Times New Roman" w:cs="Times New Roman"/>
          <w:noProof/>
          <w:u w:val="single"/>
          <w:lang w:val="en-IE"/>
        </w:rPr>
        <w:t>2.2</w:t>
      </w:r>
      <w:r w:rsidRPr="00532C20">
        <w:rPr>
          <w:rFonts w:ascii="Times New Roman" w:hAnsi="Times New Roman" w:cs="Times New Roman"/>
          <w:noProof/>
          <w:lang w:val="en-IE"/>
        </w:rPr>
        <w:t xml:space="preserve"> </w:t>
      </w:r>
      <w:r w:rsidRPr="00532C20">
        <w:rPr>
          <w:b/>
          <w:bCs/>
          <w:noProof/>
          <w:lang w:val="en-IE"/>
        </w:rPr>
        <w:t>impose additional burdens on the concerned entities</w:t>
      </w:r>
      <w:r w:rsidRPr="00532C20">
        <w:rPr>
          <w:noProof/>
          <w:lang w:val="en-IE"/>
        </w:rPr>
        <w:t xml:space="preserve"> as compared to the </w:t>
      </w:r>
      <w:r w:rsidRPr="00532C20">
        <w:rPr>
          <w:rFonts w:ascii="Times New Roman" w:hAnsi="Times New Roman" w:cs="Times New Roman"/>
          <w:noProof/>
          <w:lang w:val="en-IE"/>
        </w:rPr>
        <w:t>targeted requirements included in the PO</w:t>
      </w:r>
      <w:r w:rsidR="00D47716" w:rsidRPr="00532C20">
        <w:rPr>
          <w:rFonts w:ascii="Times New Roman" w:hAnsi="Times New Roman" w:cs="Times New Roman"/>
          <w:noProof/>
          <w:lang w:val="en-IE"/>
        </w:rPr>
        <w:t>2.1</w:t>
      </w:r>
      <w:r w:rsidRPr="00532C20">
        <w:rPr>
          <w:rStyle w:val="FootnoteReference"/>
          <w:rFonts w:ascii="Times New Roman" w:hAnsi="Times New Roman" w:cs="Times New Roman"/>
          <w:noProof/>
          <w:lang w:val="en-IE"/>
        </w:rPr>
        <w:footnoteReference w:id="353"/>
      </w:r>
      <w:r w:rsidRPr="00532C20">
        <w:rPr>
          <w:noProof/>
          <w:lang w:val="en-IE"/>
        </w:rPr>
        <w:t xml:space="preserve">. These additional provisions </w:t>
      </w:r>
      <w:r w:rsidRPr="00532C20">
        <w:rPr>
          <w:b/>
          <w:bCs/>
          <w:noProof/>
          <w:lang w:val="en-IE"/>
        </w:rPr>
        <w:t>enhance the restrictions on the right to freedom of association</w:t>
      </w:r>
      <w:r w:rsidRPr="00532C20">
        <w:rPr>
          <w:noProof/>
          <w:lang w:val="en-IE"/>
        </w:rPr>
        <w:t xml:space="preserve">. Member States would be able to refuse granting a licence on the ground that the activity is likely to seriously affect public security. While such measure would be suitable to address threats to internal and external security, it would still place </w:t>
      </w:r>
      <w:r w:rsidRPr="00532C20">
        <w:rPr>
          <w:i/>
          <w:iCs/>
          <w:noProof/>
          <w:lang w:val="en-IE"/>
        </w:rPr>
        <w:t>de facto</w:t>
      </w:r>
      <w:r w:rsidRPr="00532C20">
        <w:rPr>
          <w:noProof/>
          <w:lang w:val="en-IE"/>
        </w:rPr>
        <w:t xml:space="preserve"> prior authorisation obligations on the mechanisms by which associations use certain remunerations from third countries. Such measures could have a disproportionate impact at the light of the objective that it seeks to achieve</w:t>
      </w:r>
      <w:r w:rsidRPr="00532C20">
        <w:rPr>
          <w:rStyle w:val="FootnoteReference"/>
          <w:noProof/>
          <w:lang w:val="en-IE"/>
        </w:rPr>
        <w:footnoteReference w:id="354"/>
      </w:r>
      <w:r w:rsidRPr="00532C20">
        <w:rPr>
          <w:noProof/>
          <w:lang w:val="en-IE"/>
        </w:rPr>
        <w:t>. Furthermore, this system of prior authorisation would give Member States a certain leeway which could create a risk of arbitrariness in the decisions to grant said licence. Finally, the fact that a publicly available flag would be added in the registration of the entity who received a licence despite comments submitted by a Member State or the Commission, could lead to stigmatisation of the said entity.</w:t>
      </w:r>
    </w:p>
    <w:p w14:paraId="69FCD891" w14:textId="3116E9AC" w:rsidR="00FB25DC" w:rsidRPr="00313F32" w:rsidRDefault="00C74CE7" w:rsidP="004B0958">
      <w:pPr>
        <w:spacing w:line="240" w:lineRule="auto"/>
        <w:jc w:val="both"/>
        <w:rPr>
          <w:rFonts w:ascii="Times New Roman" w:hAnsi="Times New Roman" w:cs="Times New Roman"/>
          <w:noProof/>
          <w:sz w:val="28"/>
          <w:szCs w:val="28"/>
          <w:lang w:val="en-IE"/>
        </w:rPr>
      </w:pPr>
      <w:r w:rsidRPr="00313F32">
        <w:rPr>
          <w:rFonts w:ascii="Times New Roman" w:hAnsi="Times New Roman" w:cs="Times New Roman"/>
          <w:noProof/>
          <w:sz w:val="24"/>
          <w:szCs w:val="24"/>
          <w:u w:val="single"/>
          <w:lang w:val="en-IE"/>
        </w:rPr>
        <w:t>The non-legislative option (PO1)</w:t>
      </w:r>
      <w:r w:rsidRPr="00313F32">
        <w:rPr>
          <w:rFonts w:ascii="Times New Roman" w:hAnsi="Times New Roman" w:cs="Times New Roman"/>
          <w:noProof/>
          <w:sz w:val="24"/>
          <w:szCs w:val="24"/>
          <w:lang w:val="en-IE"/>
        </w:rPr>
        <w:t xml:space="preserve"> would not provide for the extended requirements of the PO</w:t>
      </w:r>
      <w:r w:rsidR="00D47716" w:rsidRPr="00313F32">
        <w:rPr>
          <w:rFonts w:ascii="Times New Roman" w:hAnsi="Times New Roman" w:cs="Times New Roman"/>
          <w:noProof/>
          <w:sz w:val="24"/>
          <w:szCs w:val="24"/>
          <w:lang w:val="en-IE"/>
        </w:rPr>
        <w:t>2.2</w:t>
      </w:r>
      <w:r w:rsidRPr="00313F32">
        <w:rPr>
          <w:rFonts w:ascii="Times New Roman" w:hAnsi="Times New Roman" w:cs="Times New Roman"/>
          <w:noProof/>
          <w:sz w:val="24"/>
          <w:szCs w:val="24"/>
          <w:lang w:val="en-IE"/>
        </w:rPr>
        <w:t>. However, it would only provide for</w:t>
      </w:r>
      <w:r w:rsidR="00A359A6" w:rsidRPr="00313F32">
        <w:rPr>
          <w:rFonts w:ascii="Times New Roman" w:hAnsi="Times New Roman" w:cs="Times New Roman"/>
          <w:noProof/>
          <w:sz w:val="24"/>
          <w:szCs w:val="24"/>
          <w:lang w:val="en-IE"/>
        </w:rPr>
        <w:t xml:space="preserve"> recommendations, </w:t>
      </w:r>
      <w:r w:rsidR="00A359A6" w:rsidRPr="00313F32">
        <w:rPr>
          <w:rFonts w:ascii="Times New Roman" w:hAnsi="Times New Roman" w:cs="Times New Roman"/>
          <w:b/>
          <w:bCs/>
          <w:noProof/>
          <w:sz w:val="24"/>
          <w:szCs w:val="24"/>
          <w:lang w:val="en-IE"/>
        </w:rPr>
        <w:t xml:space="preserve">leaving Member States a large room of manoeuvre </w:t>
      </w:r>
      <w:r w:rsidR="00A359A6" w:rsidRPr="00313F32">
        <w:rPr>
          <w:rFonts w:ascii="Times New Roman" w:hAnsi="Times New Roman" w:cs="Times New Roman"/>
          <w:noProof/>
          <w:sz w:val="24"/>
          <w:szCs w:val="24"/>
          <w:lang w:val="en-IE"/>
        </w:rPr>
        <w:t xml:space="preserve">to implement transparency requirements and would not ensure the implementation of the safeguards provided by the legislative options. </w:t>
      </w:r>
    </w:p>
    <w:p w14:paraId="4E8D9972" w14:textId="77777777" w:rsidR="00FE4D1B" w:rsidRPr="00313F32" w:rsidRDefault="00FE4D1B">
      <w:pPr>
        <w:rPr>
          <w:rFonts w:ascii="Times New Roman" w:eastAsia="Times" w:hAnsi="Times New Roman" w:cs="Times New Roman"/>
          <w:b/>
          <w:noProof/>
          <w:sz w:val="28"/>
          <w:szCs w:val="28"/>
          <w:lang w:val="en-IE" w:eastAsia="en-IE"/>
        </w:rPr>
      </w:pPr>
      <w:r w:rsidRPr="00313F32">
        <w:rPr>
          <w:rFonts w:ascii="Times New Roman" w:eastAsia="Times" w:hAnsi="Times New Roman" w:cs="Times New Roman"/>
          <w:noProof/>
          <w:sz w:val="28"/>
          <w:szCs w:val="28"/>
          <w:lang w:eastAsia="en-IE"/>
        </w:rPr>
        <w:br w:type="page"/>
      </w:r>
    </w:p>
    <w:p w14:paraId="558D4061" w14:textId="114E67DE" w:rsidR="00397F85" w:rsidRPr="00532C20" w:rsidRDefault="00397F85" w:rsidP="004A72EE">
      <w:pPr>
        <w:pStyle w:val="Annex222"/>
        <w:spacing w:after="240"/>
        <w:contextualSpacing w:val="0"/>
        <w:outlineLvl w:val="0"/>
        <w:rPr>
          <w:rFonts w:ascii="Times New Roman" w:hAnsi="Times New Roman" w:cs="Times New Roman"/>
          <w:noProof/>
        </w:rPr>
      </w:pPr>
      <w:bookmarkStart w:id="1190" w:name="_Toc152864728"/>
      <w:r w:rsidRPr="00532C20">
        <w:rPr>
          <w:rFonts w:ascii="Times New Roman" w:hAnsi="Times New Roman" w:cs="Times New Roman"/>
          <w:noProof/>
        </w:rPr>
        <w:t xml:space="preserve">Annex </w:t>
      </w:r>
      <w:r w:rsidR="00FE7744" w:rsidRPr="00532C20">
        <w:rPr>
          <w:rFonts w:ascii="Times New Roman" w:hAnsi="Times New Roman" w:cs="Times New Roman"/>
          <w:noProof/>
        </w:rPr>
        <w:t>9</w:t>
      </w:r>
      <w:r w:rsidR="00827002" w:rsidRPr="00532C20">
        <w:rPr>
          <w:rFonts w:ascii="Times New Roman" w:hAnsi="Times New Roman" w:cs="Times New Roman"/>
          <w:noProof/>
        </w:rPr>
        <w:t>:</w:t>
      </w:r>
      <w:r w:rsidRPr="00532C20">
        <w:rPr>
          <w:rFonts w:ascii="Times New Roman" w:hAnsi="Times New Roman" w:cs="Times New Roman"/>
          <w:noProof/>
        </w:rPr>
        <w:t xml:space="preserve"> The baseline</w:t>
      </w:r>
      <w:bookmarkEnd w:id="1190"/>
      <w:r w:rsidRPr="00532C20">
        <w:rPr>
          <w:rFonts w:ascii="Times New Roman" w:hAnsi="Times New Roman" w:cs="Times New Roman"/>
          <w:noProof/>
        </w:rPr>
        <w:t xml:space="preserve"> </w:t>
      </w:r>
    </w:p>
    <w:p w14:paraId="16F43CAB" w14:textId="77777777" w:rsidR="00373A4D" w:rsidRPr="00532C20" w:rsidRDefault="00397F85" w:rsidP="00397F85">
      <w:pPr>
        <w:spacing w:line="240" w:lineRule="auto"/>
        <w:jc w:val="both"/>
        <w:textAlignment w:val="baseline"/>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The </w:t>
      </w:r>
      <w:r w:rsidRPr="00532C20">
        <w:rPr>
          <w:rFonts w:ascii="Times New Roman" w:eastAsia="Symbol" w:hAnsi="Times New Roman" w:cs="Times New Roman"/>
          <w:b/>
          <w:noProof/>
          <w:sz w:val="24"/>
          <w:szCs w:val="24"/>
          <w:lang w:val="en-IE"/>
        </w:rPr>
        <w:t xml:space="preserve">European Democracy Action Plan </w:t>
      </w:r>
      <w:r w:rsidRPr="00532C20">
        <w:rPr>
          <w:rFonts w:ascii="Times New Roman" w:eastAsia="Symbol" w:hAnsi="Times New Roman" w:cs="Times New Roman"/>
          <w:noProof/>
          <w:sz w:val="24"/>
          <w:szCs w:val="24"/>
          <w:lang w:val="en-IE"/>
        </w:rPr>
        <w:t>adopted in December 2020 set out specific measures to promote free and fair elections and strong democratic participation, to support free and independent media, and counter disinformation.</w:t>
      </w:r>
      <w:r w:rsidRPr="00532C20">
        <w:rPr>
          <w:noProof/>
        </w:rPr>
        <w:t xml:space="preserve"> </w:t>
      </w:r>
      <w:r w:rsidRPr="00532C20">
        <w:rPr>
          <w:rFonts w:ascii="Times New Roman" w:eastAsia="Symbol" w:hAnsi="Times New Roman" w:cs="Times New Roman"/>
          <w:noProof/>
          <w:sz w:val="24"/>
          <w:szCs w:val="24"/>
          <w:lang w:val="en-IE"/>
        </w:rPr>
        <w:t xml:space="preserve">With this Action Plan, the Commission announced measures, both legislative and non-legislative to strengthen the resilience of EU democracies. </w:t>
      </w:r>
    </w:p>
    <w:p w14:paraId="71327990" w14:textId="2075AA66" w:rsidR="00397F85" w:rsidRPr="00532C20" w:rsidRDefault="005D4E6E" w:rsidP="00397F85">
      <w:pPr>
        <w:spacing w:line="240" w:lineRule="auto"/>
        <w:jc w:val="both"/>
        <w:textAlignment w:val="baseline"/>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This</w:t>
      </w:r>
      <w:r w:rsidR="00397F85" w:rsidRPr="00532C20">
        <w:rPr>
          <w:rFonts w:ascii="Times New Roman" w:eastAsia="Symbol" w:hAnsi="Times New Roman" w:cs="Times New Roman"/>
          <w:noProof/>
          <w:sz w:val="24"/>
          <w:szCs w:val="24"/>
          <w:lang w:val="en-IE"/>
        </w:rPr>
        <w:t xml:space="preserve"> include</w:t>
      </w:r>
      <w:r w:rsidRPr="00532C20">
        <w:rPr>
          <w:rFonts w:ascii="Times New Roman" w:eastAsia="Symbol" w:hAnsi="Times New Roman" w:cs="Times New Roman"/>
          <w:noProof/>
          <w:sz w:val="24"/>
          <w:szCs w:val="24"/>
          <w:lang w:val="en-IE"/>
        </w:rPr>
        <w:t>s</w:t>
      </w:r>
      <w:r w:rsidR="00397F85" w:rsidRPr="00532C20">
        <w:rPr>
          <w:rFonts w:ascii="Times New Roman" w:eastAsia="Symbol" w:hAnsi="Times New Roman" w:cs="Times New Roman"/>
          <w:noProof/>
          <w:sz w:val="24"/>
          <w:szCs w:val="24"/>
          <w:lang w:val="en-IE"/>
        </w:rPr>
        <w:t xml:space="preserve"> </w:t>
      </w:r>
      <w:r w:rsidR="00397F85" w:rsidRPr="00532C20">
        <w:rPr>
          <w:rFonts w:ascii="Times New Roman" w:eastAsia="Symbol" w:hAnsi="Times New Roman" w:cs="Times New Roman"/>
          <w:b/>
          <w:noProof/>
          <w:sz w:val="24"/>
          <w:szCs w:val="24"/>
          <w:lang w:val="en-IE"/>
        </w:rPr>
        <w:t>a proposal for legislation to ensure greater transparency in the area of sponsored content in a political context (‘political advertising')</w:t>
      </w:r>
      <w:r w:rsidR="00397F85" w:rsidRPr="00532C20">
        <w:rPr>
          <w:rFonts w:ascii="Times New Roman" w:eastAsia="Symbol" w:hAnsi="Times New Roman" w:cs="Times New Roman"/>
          <w:noProof/>
          <w:sz w:val="24"/>
          <w:szCs w:val="24"/>
          <w:lang w:val="en-IE"/>
        </w:rPr>
        <w:t xml:space="preserve">, </w:t>
      </w:r>
      <w:r w:rsidR="005D1711" w:rsidRPr="00532C20">
        <w:rPr>
          <w:rFonts w:ascii="Times New Roman" w:eastAsia="Symbol" w:hAnsi="Times New Roman" w:cs="Times New Roman"/>
          <w:noProof/>
          <w:sz w:val="24"/>
          <w:szCs w:val="24"/>
          <w:lang w:val="en-IE"/>
        </w:rPr>
        <w:t xml:space="preserve">and </w:t>
      </w:r>
      <w:r w:rsidR="00397F85" w:rsidRPr="00532C20">
        <w:rPr>
          <w:rFonts w:ascii="Times New Roman" w:eastAsia="Symbol" w:hAnsi="Times New Roman" w:cs="Times New Roman"/>
          <w:noProof/>
          <w:sz w:val="24"/>
          <w:szCs w:val="24"/>
          <w:lang w:val="en-IE"/>
        </w:rPr>
        <w:t xml:space="preserve">a proposal for a </w:t>
      </w:r>
      <w:r w:rsidR="00397F85" w:rsidRPr="00532C20">
        <w:rPr>
          <w:rFonts w:ascii="Times New Roman" w:eastAsia="Symbol" w:hAnsi="Times New Roman" w:cs="Times New Roman"/>
          <w:b/>
          <w:noProof/>
          <w:sz w:val="24"/>
          <w:szCs w:val="24"/>
          <w:lang w:val="en-IE"/>
        </w:rPr>
        <w:t>revision of the Regulation on the funding of European political parties and European political foundations (EUPP/F)</w:t>
      </w:r>
      <w:r w:rsidR="00397F85" w:rsidRPr="00532C20">
        <w:rPr>
          <w:rStyle w:val="FootnoteReference"/>
          <w:rFonts w:ascii="Times New Roman" w:eastAsia="Symbol" w:hAnsi="Times New Roman" w:cs="Times New Roman"/>
          <w:bCs/>
          <w:noProof/>
          <w:sz w:val="24"/>
          <w:szCs w:val="24"/>
          <w:lang w:val="en-IE"/>
        </w:rPr>
        <w:footnoteReference w:id="355"/>
      </w:r>
      <w:r w:rsidR="00397F85" w:rsidRPr="00532C20">
        <w:rPr>
          <w:rFonts w:ascii="Times New Roman" w:eastAsia="Symbol" w:hAnsi="Times New Roman" w:cs="Times New Roman"/>
          <w:noProof/>
          <w:sz w:val="24"/>
          <w:szCs w:val="24"/>
          <w:lang w:val="en-IE"/>
        </w:rPr>
        <w:t xml:space="preserve"> which are in ongoing negotiations. </w:t>
      </w:r>
    </w:p>
    <w:p w14:paraId="4AF901AC" w14:textId="26E50014" w:rsidR="002E1F01" w:rsidRPr="00532C20" w:rsidRDefault="002E1F01" w:rsidP="002E1F01">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noProof/>
          <w:lang w:val="en-IE"/>
        </w:rPr>
      </w:pPr>
      <w:r w:rsidRPr="00532C20">
        <w:rPr>
          <w:rFonts w:ascii="Times New Roman" w:eastAsia="Times New Roman" w:hAnsi="Times New Roman" w:cs="Times New Roman"/>
          <w:b/>
          <w:noProof/>
          <w:lang w:val="en-IE"/>
        </w:rPr>
        <w:t>Stakeholder views:</w:t>
      </w:r>
    </w:p>
    <w:p w14:paraId="0BE0D285" w14:textId="4DC1F6A7" w:rsidR="002E1F01" w:rsidRPr="00532C20" w:rsidRDefault="002E1F01" w:rsidP="002E1F01">
      <w:pPr>
        <w:pBdr>
          <w:top w:val="single" w:sz="4" w:space="1" w:color="auto"/>
          <w:left w:val="single" w:sz="4" w:space="4" w:color="auto"/>
          <w:bottom w:val="single" w:sz="4" w:space="1" w:color="auto"/>
          <w:right w:val="single" w:sz="4" w:space="4" w:color="auto"/>
        </w:pBdr>
        <w:spacing w:line="240" w:lineRule="auto"/>
        <w:jc w:val="both"/>
        <w:textAlignment w:val="baseline"/>
        <w:rPr>
          <w:rFonts w:ascii="Times New Roman" w:eastAsia="Symbol" w:hAnsi="Times New Roman" w:cs="Times New Roman"/>
          <w:noProof/>
          <w:sz w:val="24"/>
          <w:szCs w:val="24"/>
          <w:lang w:val="en-IE"/>
        </w:rPr>
      </w:pPr>
      <w:r w:rsidRPr="00532C20">
        <w:rPr>
          <w:rFonts w:ascii="Times New Roman" w:eastAsia="Times New Roman" w:hAnsi="Times New Roman" w:cs="Times New Roman"/>
          <w:noProof/>
          <w:lang w:val="en-IE"/>
        </w:rPr>
        <w:t xml:space="preserve">During the focus group with </w:t>
      </w:r>
      <w:r w:rsidRPr="00532C20" w:rsidDel="0097786B">
        <w:rPr>
          <w:rFonts w:ascii="Times New Roman" w:eastAsia="Times New Roman" w:hAnsi="Times New Roman" w:cs="Times New Roman"/>
          <w:noProof/>
          <w:lang w:val="en-IE"/>
        </w:rPr>
        <w:t xml:space="preserve">representatives of </w:t>
      </w:r>
      <w:r w:rsidRPr="00532C20">
        <w:rPr>
          <w:rFonts w:ascii="Times New Roman" w:eastAsia="Times New Roman" w:hAnsi="Times New Roman" w:cs="Times New Roman"/>
          <w:noProof/>
          <w:lang w:val="en-IE"/>
        </w:rPr>
        <w:t>European political parties and foundations</w:t>
      </w:r>
      <w:r w:rsidRPr="00532C20">
        <w:rPr>
          <w:rStyle w:val="FootnoteReference"/>
          <w:rFonts w:ascii="Times New Roman" w:eastAsia="Times New Roman" w:hAnsi="Times New Roman" w:cs="Times New Roman"/>
          <w:noProof/>
          <w:lang w:val="en-IE"/>
        </w:rPr>
        <w:footnoteReference w:id="356"/>
      </w:r>
      <w:r w:rsidRPr="00532C20">
        <w:rPr>
          <w:rFonts w:ascii="Times New Roman" w:eastAsia="Times New Roman" w:hAnsi="Times New Roman" w:cs="Times New Roman"/>
          <w:noProof/>
          <w:lang w:val="en-IE"/>
        </w:rPr>
        <w:t xml:space="preserve">, participants underscored the high level of transparency which applies to EUPP/F </w:t>
      </w:r>
      <w:r w:rsidRPr="00532C20">
        <w:rPr>
          <w:rFonts w:ascii="Times New Roman" w:eastAsia="Calibri" w:hAnsi="Times New Roman" w:cs="Times New Roman"/>
          <w:noProof/>
          <w:lang w:val="en-IE"/>
        </w:rPr>
        <w:t>and raised the question of providing a level playing field in terms of transparency requirements between entities influencing decision-making processes</w:t>
      </w:r>
      <w:r w:rsidRPr="00532C20">
        <w:rPr>
          <w:rFonts w:ascii="Times New Roman" w:eastAsia="Times New Roman" w:hAnsi="Times New Roman" w:cs="Times New Roman"/>
          <w:noProof/>
          <w:lang w:val="en-IE"/>
        </w:rPr>
        <w:t>.</w:t>
      </w:r>
    </w:p>
    <w:p w14:paraId="72DB28DD" w14:textId="77777777" w:rsidR="00397F85" w:rsidRPr="00532C20" w:rsidRDefault="00397F85" w:rsidP="00397F85">
      <w:pPr>
        <w:spacing w:before="200" w:line="240" w:lineRule="auto"/>
        <w:jc w:val="both"/>
        <w:textAlignment w:val="baseline"/>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It set up a new </w:t>
      </w:r>
      <w:r w:rsidRPr="00532C20">
        <w:rPr>
          <w:rFonts w:ascii="Times New Roman" w:eastAsia="Symbol" w:hAnsi="Times New Roman" w:cs="Times New Roman"/>
          <w:b/>
          <w:noProof/>
          <w:sz w:val="24"/>
          <w:szCs w:val="24"/>
          <w:lang w:val="en-IE"/>
        </w:rPr>
        <w:t>joint operational mechanism through the European Cooperation Network on Elections</w:t>
      </w:r>
      <w:r w:rsidRPr="00532C20">
        <w:rPr>
          <w:rFonts w:ascii="Times New Roman" w:eastAsia="Symbol" w:hAnsi="Times New Roman" w:cs="Times New Roman"/>
          <w:noProof/>
          <w:sz w:val="24"/>
          <w:szCs w:val="24"/>
          <w:lang w:val="en-IE"/>
        </w:rPr>
        <w:t xml:space="preserve"> to support the deployment of joint expert teams to counter threats to electoral processes. </w:t>
      </w:r>
    </w:p>
    <w:p w14:paraId="5CBBA4B8" w14:textId="5D16CC64" w:rsidR="00397F85" w:rsidRPr="00532C20" w:rsidRDefault="00397F85" w:rsidP="00397F85">
      <w:pPr>
        <w:spacing w:line="240" w:lineRule="auto"/>
        <w:jc w:val="both"/>
        <w:textAlignment w:val="baseline"/>
        <w:rPr>
          <w:rFonts w:ascii="Times New Roman" w:hAnsi="Times New Roman" w:cs="Times New Roman"/>
          <w:noProof/>
          <w:sz w:val="24"/>
          <w:szCs w:val="24"/>
        </w:rPr>
      </w:pPr>
      <w:r w:rsidRPr="00532C20">
        <w:rPr>
          <w:rFonts w:ascii="Times New Roman" w:eastAsia="Symbol" w:hAnsi="Times New Roman" w:cs="Times New Roman"/>
          <w:noProof/>
          <w:sz w:val="24"/>
          <w:szCs w:val="24"/>
          <w:lang w:val="en-IE"/>
        </w:rPr>
        <w:t xml:space="preserve">With regard to strengthening media freedom and media pluralism, under the </w:t>
      </w:r>
      <w:r w:rsidR="00E72BA4" w:rsidRPr="00532C20">
        <w:rPr>
          <w:rFonts w:ascii="Times New Roman" w:eastAsia="Symbol" w:hAnsi="Times New Roman" w:cs="Times New Roman"/>
          <w:noProof/>
          <w:sz w:val="24"/>
          <w:szCs w:val="24"/>
          <w:lang w:val="en-IE"/>
        </w:rPr>
        <w:t>European Democracy Action Plan</w:t>
      </w:r>
      <w:r w:rsidRPr="00532C20">
        <w:rPr>
          <w:rFonts w:ascii="Times New Roman" w:eastAsia="Symbol" w:hAnsi="Times New Roman" w:cs="Times New Roman"/>
          <w:noProof/>
          <w:sz w:val="24"/>
          <w:szCs w:val="24"/>
          <w:lang w:val="en-IE"/>
        </w:rPr>
        <w:t xml:space="preserve">, a </w:t>
      </w:r>
      <w:r w:rsidRPr="00532C20">
        <w:rPr>
          <w:rFonts w:ascii="Times New Roman" w:hAnsi="Times New Roman" w:cs="Times New Roman"/>
          <w:noProof/>
          <w:sz w:val="24"/>
          <w:szCs w:val="24"/>
        </w:rPr>
        <w:t xml:space="preserve">recommendation on the safety of journalists was presented in 2021 with a structured dialogue under the European News Media Forum, with Member States, stakeholders and international organisations set up to prepare and implement the Recommendation. </w:t>
      </w:r>
    </w:p>
    <w:p w14:paraId="25AB2028" w14:textId="77777777" w:rsidR="00397F85" w:rsidRPr="00532C20" w:rsidRDefault="00397F85" w:rsidP="00397F85">
      <w:pPr>
        <w:spacing w:line="240" w:lineRule="auto"/>
        <w:jc w:val="both"/>
        <w:rPr>
          <w:rFonts w:ascii="Times New Roman" w:eastAsia="Times New Roman" w:hAnsi="Times New Roman" w:cs="Times New Roman"/>
          <w:noProof/>
          <w:color w:val="000000" w:themeColor="text1"/>
          <w:lang w:val="en-IE"/>
        </w:rPr>
      </w:pPr>
      <w:r w:rsidRPr="00532C20">
        <w:rPr>
          <w:rStyle w:val="IntenseEmphasis"/>
          <w:rFonts w:ascii="Times New Roman" w:eastAsia="Times New Roman" w:hAnsi="Times New Roman" w:cs="Times New Roman"/>
          <w:b w:val="0"/>
          <w:i w:val="0"/>
          <w:iCs w:val="0"/>
          <w:noProof/>
          <w:color w:val="000000" w:themeColor="text1"/>
          <w:sz w:val="24"/>
        </w:rPr>
        <w:t>On strategic lawsuits against public participation (SLAPP), the Commission put forward a recommendation</w:t>
      </w:r>
      <w:r w:rsidRPr="00532C20">
        <w:rPr>
          <w:rStyle w:val="FootnoteReference"/>
          <w:rFonts w:ascii="Times New Roman" w:eastAsia="Times New Roman" w:hAnsi="Times New Roman" w:cs="Times New Roman"/>
          <w:noProof/>
          <w:color w:val="000000" w:themeColor="text1"/>
          <w:sz w:val="24"/>
        </w:rPr>
        <w:footnoteReference w:id="357"/>
      </w:r>
      <w:r w:rsidRPr="00532C20">
        <w:rPr>
          <w:rStyle w:val="IntenseEmphasis"/>
          <w:rFonts w:ascii="Times New Roman" w:eastAsia="Times New Roman" w:hAnsi="Times New Roman" w:cs="Times New Roman"/>
          <w:b w:val="0"/>
          <w:i w:val="0"/>
          <w:iCs w:val="0"/>
          <w:noProof/>
          <w:color w:val="000000" w:themeColor="text1"/>
          <w:sz w:val="24"/>
        </w:rPr>
        <w:t xml:space="preserve"> and a </w:t>
      </w:r>
      <w:r w:rsidRPr="00532C20">
        <w:rPr>
          <w:rStyle w:val="IntenseEmphasis"/>
          <w:rFonts w:ascii="Times New Roman" w:eastAsia="Times New Roman" w:hAnsi="Times New Roman" w:cs="Times New Roman"/>
          <w:bCs/>
          <w:i w:val="0"/>
          <w:iCs w:val="0"/>
          <w:noProof/>
          <w:color w:val="000000" w:themeColor="text1"/>
          <w:sz w:val="24"/>
        </w:rPr>
        <w:t>Proposal for a Directive on protecting persons who engage in public participation from SLAPP</w:t>
      </w:r>
      <w:r w:rsidRPr="00532C20">
        <w:rPr>
          <w:rStyle w:val="IntenseEmphasis"/>
          <w:rFonts w:ascii="Times New Roman" w:eastAsia="Times New Roman" w:hAnsi="Times New Roman" w:cs="Times New Roman"/>
          <w:b w:val="0"/>
          <w:i w:val="0"/>
          <w:iCs w:val="0"/>
          <w:noProof/>
          <w:color w:val="000000" w:themeColor="text1"/>
          <w:sz w:val="24"/>
        </w:rPr>
        <w:t>.</w:t>
      </w:r>
    </w:p>
    <w:p w14:paraId="30FD54EE" w14:textId="2E607C32" w:rsidR="00397F85" w:rsidRPr="00532C20" w:rsidRDefault="00397F85" w:rsidP="00397F85">
      <w:pPr>
        <w:spacing w:line="240" w:lineRule="auto"/>
        <w:jc w:val="both"/>
        <w:textAlignment w:val="baseline"/>
        <w:rPr>
          <w:rFonts w:ascii="Times New Roman" w:eastAsia="Symbol" w:hAnsi="Times New Roman" w:cs="Times New Roman"/>
          <w:noProof/>
          <w:sz w:val="24"/>
          <w:szCs w:val="24"/>
          <w:lang w:val="en-IE"/>
        </w:rPr>
      </w:pPr>
      <w:r w:rsidRPr="00532C20">
        <w:rPr>
          <w:rFonts w:ascii="Times New Roman" w:hAnsi="Times New Roman" w:cs="Times New Roman"/>
          <w:noProof/>
          <w:sz w:val="24"/>
          <w:szCs w:val="24"/>
        </w:rPr>
        <w:t xml:space="preserve">Other measures also included support for EU cooperation between national media councils, other media self-regulatory bodies, independent media regulators and networks of journalists, and initiatives promoting journalistic partnerships and standards. Measures to support media pluralism also include the setting up of a Media Ownership Monitor pilot project, promoting transparent and fair allocation of state advertising, fostering media diversity and a European approach on the prominence of audiovisual media services of general interest. In addition, in September 2022, the Commission put forward a </w:t>
      </w:r>
      <w:r w:rsidRPr="00532C20">
        <w:rPr>
          <w:rFonts w:ascii="Times New Roman" w:eastAsia="Symbol" w:hAnsi="Times New Roman" w:cs="Times New Roman"/>
          <w:b/>
          <w:noProof/>
          <w:sz w:val="24"/>
          <w:szCs w:val="24"/>
          <w:lang w:val="en-IE"/>
        </w:rPr>
        <w:t xml:space="preserve">Proposal for a Regulation establishing a common framework for media services in the internal market (European Media Freedom Act), </w:t>
      </w:r>
      <w:r w:rsidRPr="00532C20">
        <w:rPr>
          <w:rFonts w:ascii="Times New Roman" w:eastAsia="Symbol" w:hAnsi="Times New Roman" w:cs="Times New Roman"/>
          <w:noProof/>
          <w:sz w:val="24"/>
          <w:szCs w:val="24"/>
          <w:lang w:val="en-IE"/>
        </w:rPr>
        <w:t>which aims to address fragmented national regulatory approaches related to media freedom and pluralism and editorial independence to ensure the free provision of media services within the internal market. In particular, it will provide for transparency measures regarding to media ownership, audience measurement and state advertising.</w:t>
      </w:r>
    </w:p>
    <w:p w14:paraId="01B0035C" w14:textId="77777777" w:rsidR="00397F85" w:rsidRPr="00532C20" w:rsidRDefault="00397F85" w:rsidP="00397F85">
      <w:pPr>
        <w:spacing w:line="240" w:lineRule="auto"/>
        <w:jc w:val="both"/>
        <w:textAlignment w:val="baseline"/>
        <w:rPr>
          <w:rFonts w:ascii="Times New Roman" w:hAnsi="Times New Roman" w:cs="Times New Roman"/>
          <w:noProof/>
          <w:sz w:val="24"/>
          <w:szCs w:val="24"/>
        </w:rPr>
      </w:pPr>
      <w:r w:rsidRPr="00532C20">
        <w:rPr>
          <w:rFonts w:ascii="Times New Roman" w:eastAsia="Arial Unicode MS" w:hAnsi="Times New Roman" w:cs="Times New Roman"/>
          <w:noProof/>
          <w:sz w:val="24"/>
          <w:szCs w:val="24"/>
          <w:lang w:val="en-IE"/>
        </w:rPr>
        <w:t>In addition, the</w:t>
      </w:r>
      <w:r w:rsidRPr="00532C20">
        <w:rPr>
          <w:rFonts w:ascii="Times New Roman" w:hAnsi="Times New Roman" w:cs="Times New Roman"/>
          <w:noProof/>
          <w:sz w:val="24"/>
          <w:szCs w:val="24"/>
          <w:lang w:val="en-IE"/>
        </w:rPr>
        <w:t xml:space="preserve"> </w:t>
      </w:r>
      <w:r w:rsidRPr="00532C20">
        <w:rPr>
          <w:rFonts w:ascii="Times New Roman" w:hAnsi="Times New Roman" w:cs="Times New Roman"/>
          <w:b/>
          <w:bCs/>
          <w:noProof/>
          <w:sz w:val="24"/>
          <w:szCs w:val="24"/>
          <w:lang w:val="en-IE"/>
        </w:rPr>
        <w:t>Audiovisual Media Services Directive</w:t>
      </w:r>
      <w:r w:rsidRPr="00532C20">
        <w:rPr>
          <w:rFonts w:ascii="Times New Roman" w:hAnsi="Times New Roman" w:cs="Times New Roman"/>
          <w:noProof/>
          <w:sz w:val="24"/>
          <w:szCs w:val="24"/>
          <w:vertAlign w:val="superscript"/>
          <w:lang w:val="en-IE"/>
        </w:rPr>
        <w:footnoteReference w:id="358"/>
      </w:r>
      <w:r w:rsidRPr="00532C20" w:rsidDel="00D57B0E">
        <w:rPr>
          <w:rFonts w:ascii="Times New Roman" w:hAnsi="Times New Roman" w:cs="Times New Roman"/>
          <w:noProof/>
          <w:sz w:val="24"/>
          <w:szCs w:val="24"/>
          <w:lang w:val="en-IE"/>
        </w:rPr>
        <w:t xml:space="preserve"> </w:t>
      </w:r>
      <w:r w:rsidRPr="00532C20">
        <w:rPr>
          <w:rFonts w:ascii="Times New Roman" w:hAnsi="Times New Roman" w:cs="Times New Roman"/>
          <w:noProof/>
          <w:sz w:val="24"/>
          <w:szCs w:val="24"/>
          <w:lang w:val="en-IE"/>
        </w:rPr>
        <w:t>aims to create and ensure the proper functioning of a single market for audiovisual media services while contributing to the promotion of cultural diversity and providing an adequate level of consumer and child protection.</w:t>
      </w:r>
    </w:p>
    <w:p w14:paraId="587D8C2E" w14:textId="35B3F38B" w:rsidR="00397F85" w:rsidRPr="00532C20" w:rsidRDefault="00397F85" w:rsidP="00397F85">
      <w:pPr>
        <w:spacing w:line="240" w:lineRule="auto"/>
        <w:jc w:val="both"/>
        <w:textAlignment w:val="baseline"/>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On</w:t>
      </w:r>
      <w:r w:rsidRPr="00532C20" w:rsidDel="0068102D">
        <w:rPr>
          <w:rFonts w:ascii="Times New Roman" w:eastAsia="Symbol" w:hAnsi="Times New Roman" w:cs="Times New Roman"/>
          <w:noProof/>
          <w:sz w:val="24"/>
          <w:szCs w:val="24"/>
          <w:lang w:val="en-IE"/>
        </w:rPr>
        <w:t xml:space="preserve"> </w:t>
      </w:r>
      <w:r w:rsidRPr="00532C20">
        <w:rPr>
          <w:rFonts w:ascii="Times New Roman" w:hAnsi="Times New Roman" w:cs="Times New Roman"/>
          <w:noProof/>
          <w:sz w:val="24"/>
          <w:szCs w:val="24"/>
        </w:rPr>
        <w:t xml:space="preserve">the EU's </w:t>
      </w:r>
      <w:r w:rsidR="00C60423">
        <w:rPr>
          <w:rFonts w:ascii="Times New Roman" w:hAnsi="Times New Roman" w:cs="Times New Roman"/>
          <w:noProof/>
          <w:sz w:val="24"/>
          <w:szCs w:val="24"/>
        </w:rPr>
        <w:t>T</w:t>
      </w:r>
      <w:r w:rsidRPr="00532C20">
        <w:rPr>
          <w:rFonts w:ascii="Times New Roman" w:hAnsi="Times New Roman" w:cs="Times New Roman"/>
          <w:noProof/>
          <w:sz w:val="24"/>
          <w:szCs w:val="24"/>
        </w:rPr>
        <w:t xml:space="preserve">oolbox for countering foreign </w:t>
      </w:r>
      <w:r w:rsidR="00450A58">
        <w:rPr>
          <w:rFonts w:ascii="Times New Roman" w:hAnsi="Times New Roman" w:cs="Times New Roman"/>
          <w:noProof/>
          <w:sz w:val="24"/>
          <w:szCs w:val="24"/>
        </w:rPr>
        <w:t>information manipulation</w:t>
      </w:r>
      <w:r w:rsidRPr="00532C20">
        <w:rPr>
          <w:rFonts w:ascii="Times New Roman" w:hAnsi="Times New Roman" w:cs="Times New Roman"/>
          <w:noProof/>
          <w:sz w:val="24"/>
          <w:szCs w:val="24"/>
        </w:rPr>
        <w:t xml:space="preserve"> and interference</w:t>
      </w:r>
      <w:r w:rsidR="00450A58">
        <w:rPr>
          <w:rFonts w:ascii="Times New Roman" w:hAnsi="Times New Roman" w:cs="Times New Roman"/>
          <w:noProof/>
          <w:sz w:val="24"/>
          <w:szCs w:val="24"/>
        </w:rPr>
        <w:t xml:space="preserve"> (FIMI)</w:t>
      </w:r>
      <w:r w:rsidRPr="00532C20">
        <w:rPr>
          <w:rFonts w:ascii="Times New Roman" w:hAnsi="Times New Roman" w:cs="Times New Roman"/>
          <w:noProof/>
          <w:sz w:val="24"/>
          <w:szCs w:val="24"/>
        </w:rPr>
        <w:t xml:space="preserve">, </w:t>
      </w:r>
      <w:r w:rsidR="00450A58">
        <w:rPr>
          <w:rFonts w:ascii="Times New Roman" w:hAnsi="Times New Roman" w:cs="Times New Roman"/>
          <w:noProof/>
          <w:sz w:val="24"/>
          <w:szCs w:val="24"/>
        </w:rPr>
        <w:t xml:space="preserve">developed </w:t>
      </w:r>
      <w:r w:rsidRPr="00532C20">
        <w:rPr>
          <w:rFonts w:ascii="Times New Roman" w:hAnsi="Times New Roman" w:cs="Times New Roman"/>
          <w:noProof/>
          <w:sz w:val="24"/>
          <w:szCs w:val="24"/>
        </w:rPr>
        <w:t>under the Democracy Action Plan</w:t>
      </w:r>
      <w:r w:rsidR="00450A58">
        <w:rPr>
          <w:rFonts w:ascii="Times New Roman" w:hAnsi="Times New Roman" w:cs="Times New Roman"/>
          <w:noProof/>
          <w:sz w:val="24"/>
          <w:szCs w:val="24"/>
        </w:rPr>
        <w:t xml:space="preserve"> and then reinstated by the Strategic Compass</w:t>
      </w:r>
      <w:r w:rsidR="00CA4195">
        <w:rPr>
          <w:rStyle w:val="FootnoteReference"/>
          <w:rFonts w:ascii="Times New Roman" w:hAnsi="Times New Roman" w:cs="Times New Roman"/>
          <w:noProof/>
          <w:sz w:val="24"/>
          <w:szCs w:val="24"/>
        </w:rPr>
        <w:footnoteReference w:id="359"/>
      </w:r>
      <w:r w:rsidRPr="00532C20">
        <w:rPr>
          <w:rFonts w:ascii="Times New Roman" w:hAnsi="Times New Roman" w:cs="Times New Roman"/>
          <w:noProof/>
          <w:sz w:val="24"/>
          <w:szCs w:val="24"/>
        </w:rPr>
        <w:t>,</w:t>
      </w:r>
      <w:r w:rsidR="001D54CC">
        <w:rPr>
          <w:rFonts w:ascii="Times New Roman" w:hAnsi="Times New Roman" w:cs="Times New Roman"/>
          <w:noProof/>
          <w:sz w:val="24"/>
          <w:szCs w:val="24"/>
        </w:rPr>
        <w:t xml:space="preserve"> a set of</w:t>
      </w:r>
      <w:r w:rsidRPr="00532C20" w:rsidDel="001D54CC">
        <w:rPr>
          <w:rFonts w:ascii="Times New Roman" w:hAnsi="Times New Roman" w:cs="Times New Roman"/>
          <w:noProof/>
          <w:sz w:val="24"/>
          <w:szCs w:val="24"/>
        </w:rPr>
        <w:t xml:space="preserve"> </w:t>
      </w:r>
      <w:r w:rsidR="001D54CC">
        <w:rPr>
          <w:rFonts w:ascii="Times New Roman" w:hAnsi="Times New Roman" w:cs="Times New Roman"/>
          <w:noProof/>
          <w:sz w:val="24"/>
          <w:szCs w:val="24"/>
        </w:rPr>
        <w:t>initiatives and actions</w:t>
      </w:r>
      <w:r w:rsidR="001D54CC" w:rsidRPr="00532C20">
        <w:rPr>
          <w:rFonts w:ascii="Times New Roman" w:hAnsi="Times New Roman" w:cs="Times New Roman"/>
          <w:noProof/>
          <w:sz w:val="24"/>
          <w:szCs w:val="24"/>
        </w:rPr>
        <w:t xml:space="preserve"> </w:t>
      </w:r>
      <w:r w:rsidRPr="00532C20">
        <w:rPr>
          <w:rFonts w:ascii="Times New Roman" w:hAnsi="Times New Roman" w:cs="Times New Roman"/>
          <w:noProof/>
          <w:sz w:val="24"/>
          <w:szCs w:val="24"/>
        </w:rPr>
        <w:t>were proposed that allow for</w:t>
      </w:r>
      <w:r w:rsidRPr="00532C20">
        <w:rPr>
          <w:rFonts w:ascii="Times New Roman" w:hAnsi="Times New Roman" w:cs="Times New Roman"/>
          <w:b/>
          <w:noProof/>
          <w:sz w:val="24"/>
          <w:szCs w:val="24"/>
        </w:rPr>
        <w:t xml:space="preserve"> the imposing of costs on perpetrators</w:t>
      </w:r>
      <w:r w:rsidRPr="00532C20">
        <w:rPr>
          <w:rFonts w:ascii="Times New Roman" w:hAnsi="Times New Roman" w:cs="Times New Roman"/>
          <w:noProof/>
          <w:sz w:val="24"/>
          <w:szCs w:val="24"/>
        </w:rPr>
        <w:t xml:space="preserve"> and putting in place a new protocol to strengthen existing cooperation structures to fight </w:t>
      </w:r>
      <w:r w:rsidR="001D54CC">
        <w:rPr>
          <w:rFonts w:ascii="Times New Roman" w:hAnsi="Times New Roman" w:cs="Times New Roman"/>
          <w:noProof/>
          <w:sz w:val="24"/>
          <w:szCs w:val="24"/>
        </w:rPr>
        <w:t xml:space="preserve">foreign information manipulation and interference including </w:t>
      </w:r>
      <w:r w:rsidRPr="00532C20">
        <w:rPr>
          <w:rFonts w:ascii="Times New Roman" w:hAnsi="Times New Roman" w:cs="Times New Roman"/>
          <w:noProof/>
          <w:sz w:val="24"/>
          <w:szCs w:val="24"/>
        </w:rPr>
        <w:t>disinformation.</w:t>
      </w:r>
      <w:r w:rsidRPr="00532C20" w:rsidDel="006411F6">
        <w:rPr>
          <w:rFonts w:ascii="Times New Roman" w:hAnsi="Times New Roman" w:cs="Times New Roman"/>
          <w:noProof/>
          <w:sz w:val="24"/>
          <w:szCs w:val="24"/>
        </w:rPr>
        <w:t xml:space="preserve"> </w:t>
      </w:r>
      <w:r w:rsidRPr="00532C20">
        <w:rPr>
          <w:rFonts w:ascii="Times New Roman" w:hAnsi="Times New Roman" w:cs="Times New Roman"/>
          <w:noProof/>
          <w:sz w:val="24"/>
          <w:szCs w:val="24"/>
        </w:rPr>
        <w:t>In addition, the revision of</w:t>
      </w:r>
      <w:r w:rsidRPr="00532C20">
        <w:rPr>
          <w:rFonts w:ascii="Times New Roman" w:hAnsi="Times New Roman" w:cs="Times New Roman"/>
          <w:b/>
          <w:bCs/>
          <w:noProof/>
          <w:sz w:val="24"/>
          <w:szCs w:val="24"/>
        </w:rPr>
        <w:t xml:space="preserve"> </w:t>
      </w:r>
      <w:r w:rsidRPr="00532C20">
        <w:rPr>
          <w:rFonts w:ascii="Times New Roman" w:hAnsi="Times New Roman" w:cs="Times New Roman"/>
          <w:b/>
          <w:noProof/>
          <w:sz w:val="24"/>
          <w:szCs w:val="24"/>
        </w:rPr>
        <w:t>the Code of Practice on Disinformation</w:t>
      </w:r>
      <w:r w:rsidRPr="00532C20">
        <w:rPr>
          <w:rFonts w:ascii="Times New Roman" w:hAnsi="Times New Roman" w:cs="Times New Roman"/>
          <w:noProof/>
          <w:sz w:val="24"/>
          <w:szCs w:val="24"/>
        </w:rPr>
        <w:t xml:space="preserve"> was carried out by the Signatories and prospective Signatories on the basis of the Commission’s detailed guidance on how to step up commitments and measures against disinformation, and set up a robust framework for its monitoring. The strengthened Code of Practice was presented in June 2022.</w:t>
      </w:r>
    </w:p>
    <w:p w14:paraId="63779D8C" w14:textId="4689546B" w:rsidR="00397F85" w:rsidRPr="00532C20" w:rsidRDefault="00397F85" w:rsidP="00397F85">
      <w:pPr>
        <w:spacing w:line="240" w:lineRule="auto"/>
        <w:jc w:val="both"/>
        <w:textAlignment w:val="baseline"/>
        <w:rPr>
          <w:rFonts w:ascii="Times New Roman" w:eastAsia="Symbol" w:hAnsi="Times New Roman" w:cs="Times New Roman"/>
          <w:noProof/>
          <w:sz w:val="24"/>
          <w:szCs w:val="24"/>
        </w:rPr>
      </w:pPr>
      <w:r w:rsidRPr="00532C20">
        <w:rPr>
          <w:rFonts w:ascii="Times New Roman" w:hAnsi="Times New Roman" w:cs="Times New Roman"/>
          <w:noProof/>
          <w:sz w:val="24"/>
          <w:szCs w:val="24"/>
          <w:shd w:val="clear" w:color="auto" w:fill="FFFFFF"/>
        </w:rPr>
        <w:t xml:space="preserve">Since 2015, </w:t>
      </w:r>
      <w:r w:rsidRPr="00532C20">
        <w:rPr>
          <w:rFonts w:ascii="Times New Roman" w:hAnsi="Times New Roman" w:cs="Times New Roman"/>
          <w:b/>
          <w:noProof/>
          <w:sz w:val="24"/>
          <w:szCs w:val="24"/>
          <w:shd w:val="clear" w:color="auto" w:fill="FFFFFF"/>
        </w:rPr>
        <w:t xml:space="preserve">the European </w:t>
      </w:r>
      <w:r w:rsidRPr="00532C20">
        <w:rPr>
          <w:rFonts w:ascii="Times New Roman" w:hAnsi="Times New Roman" w:cs="Times New Roman"/>
          <w:b/>
          <w:bCs/>
          <w:noProof/>
          <w:sz w:val="24"/>
          <w:szCs w:val="24"/>
          <w:shd w:val="clear" w:color="auto" w:fill="FFFFFF"/>
        </w:rPr>
        <w:t>External Action Service</w:t>
      </w:r>
      <w:r w:rsidRPr="00532C20">
        <w:rPr>
          <w:rFonts w:ascii="Times New Roman" w:hAnsi="Times New Roman" w:cs="Times New Roman"/>
          <w:b/>
          <w:noProof/>
          <w:sz w:val="24"/>
          <w:szCs w:val="24"/>
          <w:shd w:val="clear" w:color="auto" w:fill="FFFFFF"/>
        </w:rPr>
        <w:t xml:space="preserve"> significantly improved its capacity to tackle foreign information manipulation and interference (FIMI), including </w:t>
      </w:r>
      <w:r w:rsidRPr="00532C20">
        <w:rPr>
          <w:rFonts w:ascii="Times New Roman" w:hAnsi="Times New Roman" w:cs="Times New Roman"/>
          <w:noProof/>
          <w:sz w:val="24"/>
          <w:szCs w:val="24"/>
          <w:shd w:val="clear" w:color="auto" w:fill="FFFFFF"/>
        </w:rPr>
        <w:t>disinformation by</w:t>
      </w:r>
      <w:r w:rsidRPr="00532C20">
        <w:rPr>
          <w:rFonts w:ascii="Times New Roman" w:hAnsi="Times New Roman" w:cs="Times New Roman"/>
          <w:bCs/>
          <w:noProof/>
          <w:sz w:val="24"/>
          <w:szCs w:val="24"/>
          <w:shd w:val="clear" w:color="auto" w:fill="FFFFFF"/>
        </w:rPr>
        <w:t>, inter alia,</w:t>
      </w:r>
      <w:r w:rsidRPr="00532C20">
        <w:rPr>
          <w:rFonts w:ascii="Times New Roman" w:hAnsi="Times New Roman" w:cs="Times New Roman"/>
          <w:b/>
          <w:noProof/>
          <w:sz w:val="24"/>
          <w:szCs w:val="24"/>
          <w:shd w:val="clear" w:color="auto" w:fill="FFFFFF"/>
        </w:rPr>
        <w:t xml:space="preserve"> developing structures </w:t>
      </w:r>
      <w:r w:rsidRPr="00532C20">
        <w:rPr>
          <w:rFonts w:ascii="Times New Roman" w:hAnsi="Times New Roman" w:cs="Times New Roman"/>
          <w:bCs/>
          <w:noProof/>
          <w:sz w:val="24"/>
          <w:szCs w:val="24"/>
          <w:shd w:val="clear" w:color="auto" w:fill="FFFFFF"/>
        </w:rPr>
        <w:t xml:space="preserve">such as the EU Rapid Alert System on Disinformation, </w:t>
      </w:r>
      <w:r w:rsidRPr="00532C20">
        <w:rPr>
          <w:rFonts w:ascii="Times New Roman" w:hAnsi="Times New Roman" w:cs="Times New Roman"/>
          <w:b/>
          <w:noProof/>
          <w:sz w:val="24"/>
          <w:szCs w:val="24"/>
          <w:shd w:val="clear" w:color="auto" w:fill="FFFFFF"/>
        </w:rPr>
        <w:t xml:space="preserve">developing a comprehensive framework and methodology </w:t>
      </w:r>
      <w:r w:rsidRPr="00532C20">
        <w:rPr>
          <w:rFonts w:ascii="Times New Roman" w:hAnsi="Times New Roman" w:cs="Times New Roman"/>
          <w:bCs/>
          <w:noProof/>
          <w:sz w:val="24"/>
          <w:szCs w:val="24"/>
          <w:shd w:val="clear" w:color="auto" w:fill="FFFFFF"/>
        </w:rPr>
        <w:t>for systematic collection of evidence of foreign information manipulation and interference (FIMI) incidents and by</w:t>
      </w:r>
      <w:r w:rsidRPr="00532C20">
        <w:rPr>
          <w:rFonts w:ascii="Times New Roman" w:hAnsi="Times New Roman" w:cs="Times New Roman"/>
          <w:b/>
          <w:noProof/>
          <w:sz w:val="24"/>
          <w:szCs w:val="24"/>
          <w:shd w:val="clear" w:color="auto" w:fill="FFFFFF"/>
        </w:rPr>
        <w:t xml:space="preserve"> strengthening strategic communications </w:t>
      </w:r>
      <w:r w:rsidRPr="00532C20">
        <w:rPr>
          <w:rFonts w:ascii="Times New Roman" w:hAnsi="Times New Roman" w:cs="Times New Roman"/>
          <w:bCs/>
          <w:noProof/>
          <w:sz w:val="24"/>
          <w:szCs w:val="24"/>
          <w:shd w:val="clear" w:color="auto" w:fill="FFFFFF"/>
        </w:rPr>
        <w:t>in the Eastern Partnership, the Southern</w:t>
      </w:r>
      <w:r w:rsidRPr="00532C20">
        <w:rPr>
          <w:rFonts w:ascii="Times New Roman" w:hAnsi="Times New Roman" w:cs="Times New Roman"/>
          <w:noProof/>
          <w:sz w:val="24"/>
          <w:szCs w:val="24"/>
          <w:shd w:val="clear" w:color="auto" w:fill="FFFFFF"/>
        </w:rPr>
        <w:t xml:space="preserve"> Neighbourhood and the Western Balkans. The EEAS, in a close cooperation with the Commission and the Member States, </w:t>
      </w:r>
      <w:r w:rsidRPr="00532C20">
        <w:rPr>
          <w:rFonts w:ascii="Times New Roman" w:hAnsi="Times New Roman" w:cs="Times New Roman"/>
          <w:b/>
          <w:bCs/>
          <w:noProof/>
          <w:sz w:val="24"/>
          <w:szCs w:val="24"/>
          <w:shd w:val="clear" w:color="auto" w:fill="FFFFFF"/>
        </w:rPr>
        <w:t>is continuously strengthening the EU’s Toolbox</w:t>
      </w:r>
      <w:r w:rsidRPr="00532C20">
        <w:rPr>
          <w:rFonts w:ascii="Times New Roman" w:hAnsi="Times New Roman" w:cs="Times New Roman"/>
          <w:noProof/>
          <w:sz w:val="24"/>
          <w:szCs w:val="24"/>
          <w:shd w:val="clear" w:color="auto" w:fill="FFFFFF"/>
        </w:rPr>
        <w:t xml:space="preserve"> to tackle Foreign Information Manipulation and Interference (FIMI Toolbox), to impose costs on the perpetrators.</w:t>
      </w:r>
    </w:p>
    <w:p w14:paraId="7EE3F6B9" w14:textId="1D7866F0" w:rsidR="00397F85" w:rsidRPr="00532C20" w:rsidRDefault="00397F85" w:rsidP="00397F85">
      <w:pPr>
        <w:spacing w:line="240" w:lineRule="auto"/>
        <w:jc w:val="both"/>
        <w:textAlignment w:val="baseline"/>
        <w:rPr>
          <w:rFonts w:ascii="Times New Roman" w:eastAsia="Symbol" w:hAnsi="Times New Roman" w:cs="Times New Roman"/>
          <w:noProof/>
          <w:sz w:val="24"/>
          <w:szCs w:val="24"/>
        </w:rPr>
      </w:pPr>
      <w:r w:rsidRPr="00532C20">
        <w:rPr>
          <w:rFonts w:ascii="Times New Roman" w:eastAsia="Symbol" w:hAnsi="Times New Roman" w:cs="Times New Roman"/>
          <w:noProof/>
          <w:sz w:val="24"/>
          <w:szCs w:val="24"/>
        </w:rPr>
        <w:t xml:space="preserve">The initiatives foreseen under the European Democracy Action Plan, in particular the guidance on strengthening the Code of Practice on Disinformation and legislation to ensure greater transparency in the area of sponsored content in a political context are complementary to the measures that have been proposed under the </w:t>
      </w:r>
      <w:r w:rsidRPr="00532C20">
        <w:rPr>
          <w:rFonts w:ascii="Times New Roman" w:eastAsia="Symbol" w:hAnsi="Times New Roman" w:cs="Times New Roman"/>
          <w:b/>
          <w:noProof/>
          <w:sz w:val="24"/>
          <w:szCs w:val="24"/>
        </w:rPr>
        <w:t>Digital Services Act</w:t>
      </w:r>
      <w:r w:rsidRPr="00532C20">
        <w:rPr>
          <w:rFonts w:ascii="Times New Roman" w:eastAsia="Symbol" w:hAnsi="Times New Roman" w:cs="Times New Roman"/>
          <w:noProof/>
          <w:sz w:val="24"/>
          <w:szCs w:val="24"/>
        </w:rPr>
        <w:t xml:space="preserve">. </w:t>
      </w:r>
    </w:p>
    <w:p w14:paraId="0A7D0282" w14:textId="6A096E53" w:rsidR="00397F85" w:rsidRPr="00532C20" w:rsidRDefault="00397F85" w:rsidP="00397F85">
      <w:pPr>
        <w:spacing w:line="240" w:lineRule="auto"/>
        <w:jc w:val="both"/>
        <w:textAlignment w:val="baseline"/>
        <w:rPr>
          <w:rFonts w:ascii="Times New Roman" w:eastAsia="Symbol" w:hAnsi="Times New Roman" w:cs="Times New Roman"/>
          <w:noProof/>
          <w:sz w:val="24"/>
          <w:szCs w:val="24"/>
        </w:rPr>
      </w:pPr>
      <w:r w:rsidRPr="00532C20">
        <w:rPr>
          <w:rFonts w:ascii="Times New Roman" w:eastAsia="Symbol" w:hAnsi="Times New Roman" w:cs="Times New Roman"/>
          <w:noProof/>
          <w:sz w:val="24"/>
          <w:szCs w:val="24"/>
        </w:rPr>
        <w:t>The Digital Services Act set out a horizontal framework for regulatory oversight, accountability and transparency of the online space in response to the emerging risks. It</w:t>
      </w:r>
      <w:r w:rsidRPr="00532C20" w:rsidDel="0068102D">
        <w:rPr>
          <w:rFonts w:ascii="Times New Roman" w:eastAsia="Symbol" w:hAnsi="Times New Roman" w:cs="Times New Roman"/>
          <w:noProof/>
          <w:sz w:val="24"/>
          <w:szCs w:val="24"/>
        </w:rPr>
        <w:t xml:space="preserve"> </w:t>
      </w:r>
      <w:r w:rsidRPr="00532C20">
        <w:rPr>
          <w:rFonts w:ascii="Times New Roman" w:eastAsia="Symbol" w:hAnsi="Times New Roman" w:cs="Times New Roman"/>
          <w:noProof/>
          <w:sz w:val="24"/>
          <w:szCs w:val="24"/>
        </w:rPr>
        <w:t>proposes rules to ensure greater accountability on how platforms moderate content, on advertising and on algorithmic processes. Very large platforms will be obliged to assess the risks their systems pose not only as regards illegal content and products. They will have to do the same as regards systemic risks to the protection of public interests and fundamental rights, public health and security. The Digital Services Act</w:t>
      </w:r>
      <w:r w:rsidRPr="00532C20" w:rsidDel="00441221">
        <w:rPr>
          <w:rFonts w:ascii="Times New Roman" w:eastAsia="Symbol" w:hAnsi="Times New Roman" w:cs="Times New Roman"/>
          <w:noProof/>
          <w:sz w:val="24"/>
          <w:szCs w:val="24"/>
        </w:rPr>
        <w:t xml:space="preserve"> </w:t>
      </w:r>
      <w:r w:rsidRPr="00532C20">
        <w:rPr>
          <w:rFonts w:ascii="Times New Roman" w:eastAsia="Symbol" w:hAnsi="Times New Roman" w:cs="Times New Roman"/>
          <w:noProof/>
          <w:sz w:val="24"/>
          <w:szCs w:val="24"/>
        </w:rPr>
        <w:t xml:space="preserve">establishes a co-regulatory backstop for the measures, which were included in the revised and strengthened Code of Practice on Disinformation. </w:t>
      </w:r>
    </w:p>
    <w:p w14:paraId="097EA9B4" w14:textId="77777777" w:rsidR="004C422A" w:rsidRPr="00532C20" w:rsidRDefault="004C422A" w:rsidP="004C422A">
      <w:pPr>
        <w:spacing w:line="240" w:lineRule="auto"/>
        <w:jc w:val="both"/>
        <w:textAlignment w:val="baseline"/>
        <w:rPr>
          <w:rFonts w:ascii="Times New Roman" w:eastAsia="Symbol" w:hAnsi="Times New Roman" w:cs="Times New Roman"/>
          <w:noProof/>
          <w:sz w:val="24"/>
          <w:szCs w:val="24"/>
        </w:rPr>
      </w:pPr>
      <w:r w:rsidRPr="00532C20">
        <w:rPr>
          <w:rFonts w:ascii="Times New Roman" w:eastAsia="Symbol" w:hAnsi="Times New Roman" w:cs="Times New Roman"/>
          <w:noProof/>
          <w:sz w:val="24"/>
          <w:szCs w:val="24"/>
        </w:rPr>
        <w:t>In 2022, as a deliverable of the Digital Education Action Plan, the Commission published a set of guidelines for teachers and educators on tackling disinformation and promoting digital literacy through education and training</w:t>
      </w:r>
      <w:r w:rsidRPr="00532C20">
        <w:rPr>
          <w:rStyle w:val="FootnoteReference"/>
          <w:rFonts w:ascii="Times New Roman" w:eastAsia="Symbol" w:hAnsi="Times New Roman" w:cs="Times New Roman"/>
          <w:noProof/>
          <w:sz w:val="24"/>
          <w:szCs w:val="24"/>
        </w:rPr>
        <w:footnoteReference w:id="360"/>
      </w:r>
      <w:r w:rsidRPr="00532C20">
        <w:rPr>
          <w:rFonts w:ascii="Times New Roman" w:eastAsia="Symbol" w:hAnsi="Times New Roman" w:cs="Times New Roman"/>
          <w:noProof/>
          <w:sz w:val="24"/>
          <w:szCs w:val="24"/>
        </w:rPr>
        <w:t xml:space="preserve">. They provide advice on how to use digital technologies responsibly and how to assess student competences concerning digital literacy. In particular, they focus on how to encourage young people to fact-check information and think critically, and how to understand the ethical or economic dimensions of disinformation. </w:t>
      </w:r>
    </w:p>
    <w:p w14:paraId="047B24B5" w14:textId="244AA674" w:rsidR="0035090E" w:rsidRPr="00532C20" w:rsidRDefault="0035090E" w:rsidP="004E736D">
      <w:pPr>
        <w:spacing w:after="240" w:line="240" w:lineRule="auto"/>
        <w:jc w:val="both"/>
        <w:rPr>
          <w:rFonts w:ascii="Times New Roman" w:hAnsi="Times New Roman" w:cs="Times New Roman"/>
          <w:noProof/>
          <w:sz w:val="24"/>
          <w:szCs w:val="24"/>
          <w:lang w:val="en-IE"/>
        </w:rPr>
      </w:pPr>
      <w:bookmarkStart w:id="1191" w:name="_Hlk151388975"/>
      <w:r w:rsidRPr="00532C20">
        <w:rPr>
          <w:rFonts w:ascii="Times New Roman" w:hAnsi="Times New Roman" w:cs="Times New Roman"/>
          <w:noProof/>
          <w:sz w:val="24"/>
          <w:szCs w:val="24"/>
          <w:lang w:val="en-IE"/>
        </w:rPr>
        <w:t xml:space="preserve">Since 2022, the Commission has been making recommendations to Member States in the context of the </w:t>
      </w:r>
      <w:r w:rsidRPr="00532C20">
        <w:rPr>
          <w:rFonts w:ascii="Times New Roman" w:hAnsi="Times New Roman" w:cs="Times New Roman"/>
          <w:b/>
          <w:bCs/>
          <w:noProof/>
          <w:sz w:val="24"/>
          <w:szCs w:val="24"/>
          <w:lang w:val="en-IE"/>
        </w:rPr>
        <w:t>Rule of Law Reports</w:t>
      </w:r>
      <w:r w:rsidRPr="00532C20">
        <w:rPr>
          <w:rFonts w:ascii="Times New Roman" w:hAnsi="Times New Roman" w:cs="Times New Roman"/>
          <w:noProof/>
          <w:sz w:val="24"/>
          <w:szCs w:val="24"/>
          <w:lang w:val="en-IE"/>
        </w:rPr>
        <w:t>, including on aspects relevant to interest representation. For instance, in 2022, Denmark and Slovakia were recommended to introduce rules on lobbying, while Romania was invited to introduce rules on lobbying for Members of Parliament. Belgium was called to complete the legislative reform on lobbying, establishing a framework including a transparency register and a legislative footprint, covering both members of Parliament and Government. In the same year, Spain was recommended to continue efforts to table legislation on lobbying, including the establishment of a mandatory public register of lobbyists</w:t>
      </w:r>
      <w:r w:rsidR="00644421" w:rsidRPr="00644421">
        <w:rPr>
          <w:rFonts w:ascii="Times New Roman" w:hAnsi="Times New Roman" w:cs="Times New Roman"/>
          <w:noProof/>
          <w:sz w:val="24"/>
          <w:szCs w:val="24"/>
          <w:vertAlign w:val="superscript"/>
          <w:lang w:val="en-IE"/>
        </w:rPr>
        <w:footnoteReference w:id="361"/>
      </w:r>
      <w:r w:rsidRPr="00532C20">
        <w:rPr>
          <w:rFonts w:ascii="Times New Roman" w:hAnsi="Times New Roman" w:cs="Times New Roman"/>
          <w:noProof/>
          <w:sz w:val="24"/>
          <w:szCs w:val="24"/>
          <w:lang w:val="en-IE"/>
        </w:rPr>
        <w:t xml:space="preserve">. </w:t>
      </w:r>
    </w:p>
    <w:p w14:paraId="6AC20BBB" w14:textId="5392FC3A" w:rsidR="0035090E" w:rsidRPr="00532C20" w:rsidRDefault="0035090E" w:rsidP="0035090E">
      <w:pPr>
        <w:spacing w:line="240" w:lineRule="auto"/>
        <w:jc w:val="both"/>
        <w:textAlignment w:val="baseline"/>
        <w:rPr>
          <w:rFonts w:ascii="Times New Roman" w:hAnsi="Times New Roman" w:cs="Times New Roman"/>
          <w:noProof/>
          <w:sz w:val="24"/>
          <w:szCs w:val="24"/>
        </w:rPr>
      </w:pPr>
      <w:r w:rsidRPr="00532C20">
        <w:rPr>
          <w:rFonts w:ascii="Times New Roman" w:hAnsi="Times New Roman" w:cs="Times New Roman"/>
          <w:noProof/>
          <w:sz w:val="24"/>
          <w:szCs w:val="24"/>
          <w:lang w:val="en-IE"/>
        </w:rPr>
        <w:t xml:space="preserve">In 2023, the Commission noted in the context of the Rule of Law Reports that </w:t>
      </w:r>
      <w:r w:rsidRPr="00532C20">
        <w:rPr>
          <w:rFonts w:ascii="Times New Roman" w:hAnsi="Times New Roman" w:cs="Times New Roman"/>
          <w:noProof/>
          <w:sz w:val="24"/>
          <w:szCs w:val="24"/>
        </w:rPr>
        <w:t xml:space="preserve">developments in the area of lobbying continued, as some Member States revised their lobbying transparency rules, in line with 2022 recommendations. For example, in Latvia, a new lobbying law was adopted, which provides for the creation of a lobbying register. In Estonia, the authorities have continued efforts to effectively implement the guidelines on lobbying. Cyprus adopted an implementing regulation on lobbying, which clarifies the procedure for declaring, recording, and publishing lobbying activities. In Lithuania, </w:t>
      </w:r>
      <w:r w:rsidR="00A45929">
        <w:rPr>
          <w:rFonts w:ascii="Times New Roman" w:hAnsi="Times New Roman" w:cs="Times New Roman"/>
          <w:noProof/>
          <w:sz w:val="24"/>
          <w:szCs w:val="24"/>
        </w:rPr>
        <w:t xml:space="preserve">current </w:t>
      </w:r>
      <w:r w:rsidRPr="00532C20">
        <w:rPr>
          <w:rFonts w:ascii="Times New Roman" w:hAnsi="Times New Roman" w:cs="Times New Roman"/>
          <w:noProof/>
          <w:sz w:val="24"/>
          <w:szCs w:val="24"/>
        </w:rPr>
        <w:t>rules on lobbying gave positive results in terms of submitted declarations.</w:t>
      </w:r>
      <w:r w:rsidR="00470374">
        <w:rPr>
          <w:rFonts w:ascii="Times New Roman" w:hAnsi="Times New Roman" w:cs="Times New Roman"/>
          <w:noProof/>
          <w:sz w:val="24"/>
          <w:szCs w:val="24"/>
        </w:rPr>
        <w:t xml:space="preserve"> </w:t>
      </w:r>
      <w:r w:rsidR="00470374" w:rsidRPr="00470374">
        <w:rPr>
          <w:rFonts w:ascii="Times New Roman" w:hAnsi="Times New Roman" w:cs="Times New Roman"/>
          <w:noProof/>
          <w:sz w:val="24"/>
          <w:szCs w:val="24"/>
        </w:rPr>
        <w:t>The 2023 Rule of Law Report also addresses further recommendations to Member States related to lobbying and interest representation, where recommendations from 2022 were not yet fully addressed or new challenges have emerged</w:t>
      </w:r>
      <w:r w:rsidR="00470374" w:rsidRPr="00470374">
        <w:rPr>
          <w:rFonts w:ascii="Times New Roman" w:hAnsi="Times New Roman" w:cs="Times New Roman"/>
          <w:noProof/>
          <w:sz w:val="24"/>
          <w:szCs w:val="24"/>
          <w:vertAlign w:val="superscript"/>
        </w:rPr>
        <w:footnoteReference w:id="362"/>
      </w:r>
      <w:r w:rsidR="00470374" w:rsidRPr="00470374">
        <w:rPr>
          <w:rFonts w:ascii="Times New Roman" w:hAnsi="Times New Roman" w:cs="Times New Roman"/>
          <w:noProof/>
          <w:sz w:val="24"/>
          <w:szCs w:val="24"/>
        </w:rPr>
        <w:t>.</w:t>
      </w:r>
    </w:p>
    <w:bookmarkEnd w:id="1191"/>
    <w:p w14:paraId="41EE0BD2" w14:textId="1E90F7BB" w:rsidR="00397F85" w:rsidRPr="00532C20" w:rsidRDefault="00397F85" w:rsidP="00397F85">
      <w:pPr>
        <w:spacing w:line="240" w:lineRule="auto"/>
        <w:jc w:val="both"/>
        <w:textAlignment w:val="baseline"/>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rPr>
        <w:t xml:space="preserve">Most recently, following up on the European Parliament resolution of 17 February 2022, aiming to promote associations and other non-profit organisations in the </w:t>
      </w:r>
      <w:r w:rsidR="00673CD3">
        <w:rPr>
          <w:rFonts w:ascii="Times New Roman" w:eastAsia="Symbol" w:hAnsi="Times New Roman" w:cs="Times New Roman"/>
          <w:noProof/>
          <w:sz w:val="24"/>
          <w:szCs w:val="24"/>
        </w:rPr>
        <w:t>Union</w:t>
      </w:r>
      <w:r w:rsidR="00673CD3" w:rsidRPr="00532C20">
        <w:rPr>
          <w:rFonts w:ascii="Times New Roman" w:eastAsia="Symbol" w:hAnsi="Times New Roman" w:cs="Times New Roman"/>
          <w:noProof/>
          <w:sz w:val="24"/>
          <w:szCs w:val="24"/>
        </w:rPr>
        <w:t xml:space="preserve"> </w:t>
      </w:r>
      <w:r w:rsidRPr="00532C20">
        <w:rPr>
          <w:rFonts w:ascii="Times New Roman" w:eastAsia="Symbol" w:hAnsi="Times New Roman" w:cs="Times New Roman"/>
          <w:noProof/>
          <w:sz w:val="24"/>
          <w:szCs w:val="24"/>
        </w:rPr>
        <w:t xml:space="preserve">in completing the internal market, protecting their fundamental rights and fostering an EU democratic space, the Commission put forward a </w:t>
      </w:r>
      <w:r w:rsidRPr="00532C20">
        <w:rPr>
          <w:rFonts w:ascii="Times New Roman" w:eastAsia="Symbol" w:hAnsi="Times New Roman" w:cs="Times New Roman"/>
          <w:b/>
          <w:bCs/>
          <w:noProof/>
          <w:sz w:val="24"/>
          <w:szCs w:val="24"/>
          <w:lang w:val="en-IE"/>
        </w:rPr>
        <w:t>Proposal for a Directive on European cross-border associations</w:t>
      </w:r>
      <w:r w:rsidRPr="00532C20">
        <w:rPr>
          <w:rFonts w:ascii="Times New Roman" w:eastAsia="Symbol" w:hAnsi="Times New Roman" w:cs="Times New Roman"/>
          <w:noProof/>
          <w:sz w:val="24"/>
          <w:szCs w:val="24"/>
          <w:lang w:val="en-IE"/>
        </w:rPr>
        <w:t>.</w:t>
      </w:r>
    </w:p>
    <w:p w14:paraId="6448503A" w14:textId="43B5FEB4" w:rsidR="00397F85" w:rsidRPr="00532C20" w:rsidRDefault="00397F85" w:rsidP="00397F85">
      <w:pPr>
        <w:spacing w:line="240" w:lineRule="auto"/>
        <w:jc w:val="both"/>
        <w:textAlignment w:val="baseline"/>
        <w:rPr>
          <w:rFonts w:ascii="Times New Roman" w:eastAsia="Symbol" w:hAnsi="Times New Roman" w:cs="Times New Roman"/>
          <w:noProof/>
          <w:sz w:val="24"/>
          <w:szCs w:val="24"/>
          <w:lang w:val="en-IE"/>
        </w:rPr>
      </w:pPr>
      <w:r w:rsidRPr="00532C20">
        <w:rPr>
          <w:rFonts w:ascii="Times New Roman" w:eastAsia="Symbol" w:hAnsi="Times New Roman" w:cs="Times New Roman"/>
          <w:noProof/>
          <w:sz w:val="24"/>
          <w:szCs w:val="24"/>
          <w:lang w:val="en-IE"/>
        </w:rPr>
        <w:t xml:space="preserve">When it comes to </w:t>
      </w:r>
      <w:r w:rsidRPr="00532C20">
        <w:rPr>
          <w:rFonts w:ascii="Times New Roman" w:eastAsia="Symbol" w:hAnsi="Times New Roman" w:cs="Times New Roman"/>
          <w:b/>
          <w:bCs/>
          <w:noProof/>
          <w:sz w:val="24"/>
          <w:szCs w:val="24"/>
          <w:lang w:val="en-IE"/>
        </w:rPr>
        <w:t xml:space="preserve">investments </w:t>
      </w:r>
      <w:r w:rsidRPr="00532C20">
        <w:rPr>
          <w:rFonts w:ascii="Times New Roman" w:eastAsia="Symbol" w:hAnsi="Times New Roman" w:cs="Times New Roman"/>
          <w:b/>
          <w:noProof/>
          <w:sz w:val="24"/>
          <w:szCs w:val="24"/>
          <w:lang w:val="en-IE"/>
        </w:rPr>
        <w:t>by third countries</w:t>
      </w:r>
      <w:r w:rsidR="00097F4A" w:rsidRPr="00532C20">
        <w:rPr>
          <w:rFonts w:ascii="Times New Roman" w:eastAsia="Symbol" w:hAnsi="Times New Roman" w:cs="Times New Roman"/>
          <w:b/>
          <w:noProof/>
          <w:sz w:val="24"/>
          <w:szCs w:val="24"/>
          <w:lang w:val="en-IE"/>
        </w:rPr>
        <w:t>,</w:t>
      </w:r>
      <w:r w:rsidRPr="00532C20">
        <w:rPr>
          <w:rFonts w:ascii="Times New Roman" w:eastAsia="Symbol" w:hAnsi="Times New Roman" w:cs="Times New Roman"/>
          <w:noProof/>
          <w:sz w:val="24"/>
          <w:szCs w:val="24"/>
          <w:lang w:val="en-IE"/>
        </w:rPr>
        <w:t xml:space="preserve"> the </w:t>
      </w:r>
      <w:r w:rsidRPr="00532C20">
        <w:rPr>
          <w:rFonts w:ascii="Times New Roman" w:eastAsia="Symbol" w:hAnsi="Times New Roman" w:cs="Times New Roman"/>
          <w:b/>
          <w:noProof/>
          <w:sz w:val="24"/>
          <w:szCs w:val="24"/>
          <w:lang w:val="en-IE"/>
        </w:rPr>
        <w:t>FDI Screening Regulation</w:t>
      </w:r>
      <w:r w:rsidRPr="00532C20">
        <w:rPr>
          <w:rStyle w:val="FootnoteReference"/>
          <w:rFonts w:ascii="Times New Roman" w:eastAsia="Symbol" w:hAnsi="Times New Roman" w:cs="Times New Roman"/>
          <w:noProof/>
          <w:sz w:val="24"/>
          <w:szCs w:val="24"/>
          <w:lang w:val="en-IE"/>
        </w:rPr>
        <w:footnoteReference w:id="363"/>
      </w:r>
      <w:r w:rsidRPr="00532C20">
        <w:rPr>
          <w:rFonts w:ascii="Times New Roman" w:eastAsia="Symbol" w:hAnsi="Times New Roman" w:cs="Times New Roman"/>
          <w:noProof/>
          <w:sz w:val="24"/>
          <w:szCs w:val="24"/>
          <w:lang w:val="en-IE"/>
        </w:rPr>
        <w:t>,</w:t>
      </w:r>
      <w:r w:rsidRPr="00532C20" w:rsidDel="00733A44">
        <w:rPr>
          <w:rFonts w:ascii="Times New Roman" w:eastAsia="Symbol" w:hAnsi="Times New Roman" w:cs="Times New Roman"/>
          <w:noProof/>
          <w:sz w:val="24"/>
          <w:szCs w:val="24"/>
          <w:lang w:val="en-IE"/>
        </w:rPr>
        <w:t xml:space="preserve"> </w:t>
      </w:r>
      <w:r w:rsidRPr="00532C20">
        <w:rPr>
          <w:rFonts w:ascii="Times New Roman" w:eastAsia="Symbol" w:hAnsi="Times New Roman" w:cs="Times New Roman"/>
          <w:noProof/>
          <w:sz w:val="24"/>
          <w:szCs w:val="24"/>
          <w:lang w:val="en-IE"/>
        </w:rPr>
        <w:t xml:space="preserve">provides an EU framework for the screening of direct investments from third countries on the grounds of security or public order; while </w:t>
      </w:r>
      <w:r w:rsidRPr="00532C20">
        <w:rPr>
          <w:rFonts w:ascii="Times New Roman" w:eastAsia="Symbol" w:hAnsi="Times New Roman" w:cs="Times New Roman"/>
          <w:b/>
          <w:noProof/>
          <w:sz w:val="24"/>
          <w:szCs w:val="24"/>
          <w:lang w:val="en-IE"/>
        </w:rPr>
        <w:t>Regulation (EU) 2022/2560 on Foreign Subsidies Distorting the Internal Marke</w:t>
      </w:r>
      <w:r w:rsidRPr="00532C20">
        <w:rPr>
          <w:rFonts w:ascii="Times New Roman" w:eastAsia="Symbol" w:hAnsi="Times New Roman" w:cs="Times New Roman"/>
          <w:noProof/>
          <w:sz w:val="24"/>
          <w:szCs w:val="24"/>
          <w:lang w:val="en-IE"/>
        </w:rPr>
        <w:t>t, aims to establish a harmonised framework to address distortions of competition caused, directly or indirectly, by foreign subsidies.</w:t>
      </w:r>
    </w:p>
    <w:p w14:paraId="453AB236" w14:textId="48E32A04" w:rsidR="00397F85" w:rsidRPr="00532C20" w:rsidRDefault="00397F85" w:rsidP="00397F85">
      <w:pPr>
        <w:spacing w:line="240" w:lineRule="auto"/>
        <w:jc w:val="both"/>
        <w:rPr>
          <w:rFonts w:ascii="Times New Roman" w:eastAsia="Times New Roman" w:hAnsi="Times New Roman" w:cs="Times New Roman"/>
          <w:noProof/>
          <w:color w:val="000000" w:themeColor="text1"/>
          <w:lang w:val="en-IE"/>
        </w:rPr>
      </w:pPr>
      <w:r w:rsidRPr="00532C20">
        <w:rPr>
          <w:rFonts w:ascii="Times New Roman" w:eastAsia="Symbol" w:hAnsi="Times New Roman" w:cs="Times New Roman"/>
          <w:noProof/>
          <w:sz w:val="24"/>
          <w:szCs w:val="24"/>
          <w:lang w:val="en-IE"/>
        </w:rPr>
        <w:t xml:space="preserve">Under the 2020 EU Cybersecurity Strategy, the Commission adopted several measures to bolster Europe's collective resilience against </w:t>
      </w:r>
      <w:r w:rsidRPr="00532C20">
        <w:rPr>
          <w:rFonts w:ascii="Times New Roman" w:eastAsia="Symbol" w:hAnsi="Times New Roman" w:cs="Times New Roman"/>
          <w:b/>
          <w:noProof/>
          <w:sz w:val="24"/>
          <w:szCs w:val="24"/>
          <w:lang w:val="en-IE"/>
        </w:rPr>
        <w:t>cyber threats</w:t>
      </w:r>
      <w:r w:rsidRPr="00532C20">
        <w:rPr>
          <w:rFonts w:ascii="Times New Roman" w:eastAsia="Symbol" w:hAnsi="Times New Roman" w:cs="Times New Roman"/>
          <w:noProof/>
          <w:sz w:val="24"/>
          <w:szCs w:val="24"/>
          <w:lang w:val="en-IE"/>
        </w:rPr>
        <w:t>, including by third countries, and help to ensure that citizens and businesses can fully benefit from trustworthy and reliable services and digital tools:</w:t>
      </w:r>
      <w:r w:rsidRPr="00532C20">
        <w:rPr>
          <w:rFonts w:eastAsia="Symbol"/>
          <w:noProof/>
          <w:lang w:val="en-IE"/>
        </w:rPr>
        <w:t xml:space="preserve"> the</w:t>
      </w:r>
      <w:r w:rsidRPr="00532C20">
        <w:rPr>
          <w:rStyle w:val="IntenseEmphasis"/>
          <w:rFonts w:ascii="Times New Roman" w:eastAsia="Times New Roman" w:hAnsi="Times New Roman" w:cs="Times New Roman"/>
          <w:b w:val="0"/>
          <w:i w:val="0"/>
          <w:noProof/>
          <w:color w:val="000000" w:themeColor="text1"/>
          <w:sz w:val="24"/>
        </w:rPr>
        <w:t xml:space="preserve"> </w:t>
      </w:r>
      <w:r w:rsidRPr="00532C20">
        <w:rPr>
          <w:rStyle w:val="IntenseEmphasis"/>
          <w:rFonts w:ascii="Times New Roman" w:eastAsia="Times New Roman" w:hAnsi="Times New Roman" w:cs="Times New Roman"/>
          <w:i w:val="0"/>
          <w:noProof/>
          <w:color w:val="000000" w:themeColor="text1"/>
          <w:sz w:val="24"/>
        </w:rPr>
        <w:t>NIS 2 Directive</w:t>
      </w:r>
      <w:r w:rsidRPr="00532C20">
        <w:rPr>
          <w:rStyle w:val="FootnoteReference"/>
          <w:rFonts w:ascii="Times New Roman" w:eastAsia="Times New Roman" w:hAnsi="Times New Roman" w:cs="Times New Roman"/>
          <w:noProof/>
          <w:color w:val="000000" w:themeColor="text1"/>
          <w:sz w:val="24"/>
          <w:szCs w:val="24"/>
        </w:rPr>
        <w:footnoteReference w:id="364"/>
      </w:r>
      <w:r w:rsidRPr="00532C20">
        <w:rPr>
          <w:rStyle w:val="IntenseEmphasis"/>
          <w:rFonts w:ascii="Times New Roman" w:eastAsia="Times New Roman" w:hAnsi="Times New Roman" w:cs="Times New Roman"/>
          <w:b w:val="0"/>
          <w:i w:val="0"/>
          <w:noProof/>
          <w:color w:val="000000" w:themeColor="text1"/>
          <w:sz w:val="24"/>
        </w:rPr>
        <w:t xml:space="preserve"> sets out a common cybersecurity regulatory framework aiming to enhance the level of cybersecurity in the European Union, requiring Member States to strengthen cybersecurity capabilities, and introducing cybersecurity risk-management measures and reporting in critical sectors, along with rules on cooperation, information sharing, supervision, and enforcement; the </w:t>
      </w:r>
      <w:r w:rsidR="00C039EC" w:rsidRPr="00532C20">
        <w:rPr>
          <w:rStyle w:val="IntenseEmphasis"/>
          <w:rFonts w:ascii="Times New Roman" w:eastAsia="Times New Roman" w:hAnsi="Times New Roman" w:cs="Times New Roman"/>
          <w:b w:val="0"/>
          <w:i w:val="0"/>
          <w:noProof/>
          <w:color w:val="000000" w:themeColor="text1"/>
          <w:sz w:val="24"/>
        </w:rPr>
        <w:t>Cri</w:t>
      </w:r>
      <w:r w:rsidR="007101F7" w:rsidRPr="00532C20">
        <w:rPr>
          <w:rStyle w:val="IntenseEmphasis"/>
          <w:rFonts w:ascii="Times New Roman" w:eastAsia="Times New Roman" w:hAnsi="Times New Roman" w:cs="Times New Roman"/>
          <w:b w:val="0"/>
          <w:i w:val="0"/>
          <w:noProof/>
          <w:color w:val="000000" w:themeColor="text1"/>
          <w:sz w:val="24"/>
        </w:rPr>
        <w:t>tical Entities Resilience (</w:t>
      </w:r>
      <w:r w:rsidRPr="00532C20">
        <w:rPr>
          <w:rStyle w:val="IntenseEmphasis"/>
          <w:rFonts w:ascii="Times New Roman" w:eastAsia="Times New Roman" w:hAnsi="Times New Roman" w:cs="Times New Roman"/>
          <w:i w:val="0"/>
          <w:noProof/>
          <w:color w:val="000000" w:themeColor="text1"/>
          <w:sz w:val="24"/>
        </w:rPr>
        <w:t>CER</w:t>
      </w:r>
      <w:r w:rsidR="007101F7" w:rsidRPr="00532C20">
        <w:rPr>
          <w:rStyle w:val="IntenseEmphasis"/>
          <w:rFonts w:ascii="Times New Roman" w:eastAsia="Times New Roman" w:hAnsi="Times New Roman" w:cs="Times New Roman"/>
          <w:i w:val="0"/>
          <w:noProof/>
          <w:color w:val="000000" w:themeColor="text1"/>
          <w:sz w:val="24"/>
        </w:rPr>
        <w:t>)</w:t>
      </w:r>
      <w:r w:rsidRPr="00532C20">
        <w:rPr>
          <w:rStyle w:val="IntenseEmphasis"/>
          <w:rFonts w:ascii="Times New Roman" w:eastAsia="Times New Roman" w:hAnsi="Times New Roman" w:cs="Times New Roman"/>
          <w:i w:val="0"/>
          <w:noProof/>
          <w:color w:val="000000" w:themeColor="text1"/>
          <w:sz w:val="24"/>
        </w:rPr>
        <w:t xml:space="preserve"> Directive</w:t>
      </w:r>
      <w:r w:rsidRPr="00532C20">
        <w:rPr>
          <w:rStyle w:val="FootnoteReference"/>
          <w:rFonts w:ascii="Times New Roman" w:eastAsia="Times New Roman" w:hAnsi="Times New Roman" w:cs="Times New Roman"/>
          <w:noProof/>
          <w:color w:val="000000" w:themeColor="text1"/>
          <w:sz w:val="24"/>
          <w:szCs w:val="24"/>
        </w:rPr>
        <w:footnoteReference w:id="365"/>
      </w:r>
      <w:r w:rsidRPr="00532C20">
        <w:rPr>
          <w:rStyle w:val="IntenseEmphasis"/>
          <w:rFonts w:ascii="Times New Roman" w:eastAsia="Times New Roman" w:hAnsi="Times New Roman" w:cs="Times New Roman"/>
          <w:b w:val="0"/>
          <w:i w:val="0"/>
          <w:noProof/>
          <w:color w:val="000000" w:themeColor="text1"/>
          <w:sz w:val="24"/>
        </w:rPr>
        <w:t xml:space="preserve"> aims to reduce vulnerabilities and strengthen the physical resilience of critical entities in the </w:t>
      </w:r>
      <w:r w:rsidR="00F1476C">
        <w:rPr>
          <w:rStyle w:val="IntenseEmphasis"/>
          <w:rFonts w:ascii="Times New Roman" w:eastAsia="Times New Roman" w:hAnsi="Times New Roman" w:cs="Times New Roman"/>
          <w:b w:val="0"/>
          <w:i w:val="0"/>
          <w:noProof/>
          <w:color w:val="000000" w:themeColor="text1"/>
          <w:sz w:val="24"/>
        </w:rPr>
        <w:t>Union</w:t>
      </w:r>
      <w:r w:rsidR="00F1476C" w:rsidRPr="00532C20">
        <w:rPr>
          <w:rStyle w:val="IntenseEmphasis"/>
          <w:rFonts w:ascii="Times New Roman" w:eastAsia="Times New Roman" w:hAnsi="Times New Roman" w:cs="Times New Roman"/>
          <w:b w:val="0"/>
          <w:i w:val="0"/>
          <w:noProof/>
          <w:color w:val="000000" w:themeColor="text1"/>
          <w:sz w:val="24"/>
        </w:rPr>
        <w:t xml:space="preserve"> </w:t>
      </w:r>
      <w:r w:rsidRPr="00532C20">
        <w:rPr>
          <w:rStyle w:val="IntenseEmphasis"/>
          <w:rFonts w:ascii="Times New Roman" w:eastAsia="Times New Roman" w:hAnsi="Times New Roman" w:cs="Times New Roman"/>
          <w:b w:val="0"/>
          <w:i w:val="0"/>
          <w:noProof/>
          <w:color w:val="000000" w:themeColor="text1"/>
          <w:sz w:val="24"/>
        </w:rPr>
        <w:t xml:space="preserve">to ensure the uninterrupted provision of services that are essential for the economy and society. It covers digital infrastructures, including electronic communications services, data centres and public administration. The work of the Commission is also supported by </w:t>
      </w:r>
      <w:r w:rsidRPr="00532C20">
        <w:rPr>
          <w:rStyle w:val="IntenseEmphasis"/>
          <w:rFonts w:ascii="Times New Roman" w:eastAsia="Times New Roman" w:hAnsi="Times New Roman" w:cs="Times New Roman"/>
          <w:i w:val="0"/>
          <w:noProof/>
          <w:color w:val="000000" w:themeColor="text1"/>
          <w:sz w:val="24"/>
        </w:rPr>
        <w:t>ENISA</w:t>
      </w:r>
      <w:r w:rsidRPr="00532C20">
        <w:rPr>
          <w:rStyle w:val="IntenseEmphasis"/>
          <w:rFonts w:ascii="Times New Roman" w:eastAsia="Times New Roman" w:hAnsi="Times New Roman" w:cs="Times New Roman"/>
          <w:b w:val="0"/>
          <w:i w:val="0"/>
          <w:noProof/>
          <w:color w:val="000000" w:themeColor="text1"/>
          <w:sz w:val="24"/>
        </w:rPr>
        <w:t>, the European Union Agency for Cybersecurity. Additional work is ongoing</w:t>
      </w:r>
      <w:r w:rsidRPr="00532C20">
        <w:rPr>
          <w:rFonts w:ascii="Times New Roman" w:eastAsia="Times New Roman" w:hAnsi="Times New Roman" w:cs="Times New Roman"/>
          <w:noProof/>
          <w:color w:val="000000" w:themeColor="text1"/>
          <w:sz w:val="24"/>
          <w:szCs w:val="24"/>
          <w:lang w:val="en-IE"/>
        </w:rPr>
        <w:t xml:space="preserve"> on the </w:t>
      </w:r>
      <w:r w:rsidRPr="00532C20">
        <w:rPr>
          <w:rStyle w:val="IntenseEmphasis"/>
          <w:rFonts w:ascii="Times New Roman" w:eastAsia="Times New Roman" w:hAnsi="Times New Roman" w:cs="Times New Roman"/>
          <w:b w:val="0"/>
          <w:i w:val="0"/>
          <w:noProof/>
          <w:color w:val="000000" w:themeColor="text1"/>
          <w:sz w:val="24"/>
        </w:rPr>
        <w:t xml:space="preserve">proposal for a </w:t>
      </w:r>
      <w:r w:rsidRPr="00532C20">
        <w:rPr>
          <w:rStyle w:val="IntenseEmphasis"/>
          <w:rFonts w:ascii="Times New Roman" w:eastAsia="Times New Roman" w:hAnsi="Times New Roman" w:cs="Times New Roman"/>
          <w:i w:val="0"/>
          <w:noProof/>
          <w:color w:val="000000" w:themeColor="text1"/>
          <w:sz w:val="24"/>
        </w:rPr>
        <w:t>Cyber Resilience Act</w:t>
      </w:r>
      <w:r w:rsidRPr="00532C20">
        <w:rPr>
          <w:rStyle w:val="FootnoteReference"/>
          <w:rFonts w:ascii="Times New Roman" w:eastAsia="Times New Roman" w:hAnsi="Times New Roman" w:cs="Times New Roman"/>
          <w:noProof/>
          <w:color w:val="000000" w:themeColor="text1"/>
          <w:sz w:val="24"/>
          <w:szCs w:val="24"/>
        </w:rPr>
        <w:footnoteReference w:id="366"/>
      </w:r>
      <w:r w:rsidRPr="00532C20">
        <w:rPr>
          <w:rStyle w:val="IntenseEmphasis"/>
          <w:rFonts w:ascii="Times New Roman" w:eastAsia="Times New Roman" w:hAnsi="Times New Roman" w:cs="Times New Roman"/>
          <w:b w:val="0"/>
          <w:i w:val="0"/>
          <w:noProof/>
          <w:color w:val="000000" w:themeColor="text1"/>
          <w:sz w:val="24"/>
        </w:rPr>
        <w:t xml:space="preserve">, which lays down rules for the placing on the market of products with digital elements to ensure the cybersecurity of such products, setting out essential requirements, obligations for economic operators and rules on market surveillance. </w:t>
      </w:r>
    </w:p>
    <w:p w14:paraId="77D3A618" w14:textId="072C3454" w:rsidR="00397F85" w:rsidRPr="00532C20" w:rsidRDefault="00397F85" w:rsidP="00397F85">
      <w:pPr>
        <w:spacing w:line="240" w:lineRule="auto"/>
        <w:jc w:val="both"/>
        <w:textAlignment w:val="baseline"/>
        <w:rPr>
          <w:rFonts w:ascii="Times New Roman" w:eastAsia="Times New Roman" w:hAnsi="Times New Roman" w:cs="Times New Roman"/>
          <w:noProof/>
          <w:color w:val="000000" w:themeColor="text1"/>
        </w:rPr>
      </w:pPr>
      <w:r w:rsidRPr="00532C20">
        <w:rPr>
          <w:rFonts w:ascii="Times New Roman" w:eastAsia="Times New Roman" w:hAnsi="Times New Roman" w:cs="Times New Roman"/>
          <w:noProof/>
          <w:color w:val="000000" w:themeColor="text1"/>
          <w:sz w:val="24"/>
          <w:szCs w:val="24"/>
          <w:lang w:val="en-IE"/>
        </w:rPr>
        <w:t xml:space="preserve">In the </w:t>
      </w:r>
      <w:r w:rsidRPr="00532C20">
        <w:rPr>
          <w:rFonts w:ascii="Times New Roman" w:eastAsia="Times New Roman" w:hAnsi="Times New Roman" w:cs="Times New Roman"/>
          <w:b/>
          <w:noProof/>
          <w:color w:val="000000" w:themeColor="text1"/>
          <w:sz w:val="24"/>
          <w:szCs w:val="24"/>
          <w:lang w:val="en-IE"/>
        </w:rPr>
        <w:t>financial sector</w:t>
      </w:r>
      <w:r w:rsidRPr="00532C20">
        <w:rPr>
          <w:rFonts w:ascii="Times New Roman" w:eastAsia="Times New Roman" w:hAnsi="Times New Roman" w:cs="Times New Roman"/>
          <w:noProof/>
          <w:color w:val="000000" w:themeColor="text1"/>
          <w:sz w:val="24"/>
          <w:szCs w:val="24"/>
          <w:lang w:val="en-IE"/>
        </w:rPr>
        <w:t>, the DORA Regulation,</w:t>
      </w:r>
      <w:r w:rsidRPr="00532C20">
        <w:rPr>
          <w:rStyle w:val="FootnoteReference"/>
          <w:rFonts w:ascii="Times New Roman" w:eastAsia="Times New Roman" w:hAnsi="Times New Roman" w:cs="Times New Roman"/>
          <w:noProof/>
          <w:color w:val="000000" w:themeColor="text1"/>
          <w:sz w:val="24"/>
          <w:szCs w:val="24"/>
          <w:lang w:val="en-IE"/>
        </w:rPr>
        <w:footnoteReference w:id="367"/>
      </w:r>
      <w:r w:rsidRPr="00532C20">
        <w:rPr>
          <w:rFonts w:ascii="Times New Roman" w:eastAsia="Times New Roman" w:hAnsi="Times New Roman" w:cs="Times New Roman"/>
          <w:noProof/>
          <w:color w:val="000000" w:themeColor="text1"/>
          <w:sz w:val="24"/>
          <w:szCs w:val="24"/>
          <w:lang w:val="en-IE"/>
        </w:rPr>
        <w:t xml:space="preserve"> entered into force in January 2023, aims at strengthening the IT security of financial entities such as banks, insurance companies and investment firms and making sure that the financial sector in Europe is able to stay resilient in the event of a severe operational disruption. </w:t>
      </w:r>
      <w:r w:rsidRPr="00532C20">
        <w:rPr>
          <w:rFonts w:ascii="Times New Roman" w:eastAsia="Symbol" w:hAnsi="Times New Roman" w:cs="Times New Roman"/>
          <w:noProof/>
          <w:sz w:val="24"/>
          <w:szCs w:val="24"/>
          <w:lang w:val="en-IE"/>
        </w:rPr>
        <w:t>In the field of</w:t>
      </w:r>
      <w:r w:rsidRPr="00532C20">
        <w:rPr>
          <w:rFonts w:ascii="Times New Roman" w:eastAsia="Symbol" w:hAnsi="Times New Roman" w:cs="Times New Roman"/>
          <w:b/>
          <w:noProof/>
          <w:sz w:val="24"/>
          <w:szCs w:val="24"/>
          <w:lang w:val="en-IE"/>
        </w:rPr>
        <w:t xml:space="preserve"> anti-money laundering</w:t>
      </w:r>
      <w:r w:rsidRPr="00532C20">
        <w:rPr>
          <w:rFonts w:ascii="Times New Roman" w:eastAsia="Symbol" w:hAnsi="Times New Roman" w:cs="Times New Roman"/>
          <w:noProof/>
          <w:sz w:val="24"/>
          <w:szCs w:val="24"/>
          <w:lang w:val="en-IE"/>
        </w:rPr>
        <w:t xml:space="preserve">, negotiations are ongoing on a </w:t>
      </w:r>
      <w:r w:rsidRPr="00532C20">
        <w:rPr>
          <w:rStyle w:val="IntenseEmphasis"/>
          <w:rFonts w:ascii="Times New Roman" w:eastAsia="Times New Roman" w:hAnsi="Times New Roman" w:cs="Times New Roman"/>
          <w:b w:val="0"/>
          <w:i w:val="0"/>
          <w:noProof/>
          <w:color w:val="000000" w:themeColor="text1"/>
          <w:sz w:val="24"/>
        </w:rPr>
        <w:t xml:space="preserve">package of legislative proposals: the EU “single rulebook” </w:t>
      </w:r>
      <w:r w:rsidR="007101F7" w:rsidRPr="00532C20">
        <w:rPr>
          <w:rStyle w:val="IntenseEmphasis"/>
          <w:rFonts w:ascii="Times New Roman" w:eastAsia="Times New Roman" w:hAnsi="Times New Roman" w:cs="Times New Roman"/>
          <w:b w:val="0"/>
          <w:i w:val="0"/>
          <w:noProof/>
          <w:color w:val="000000" w:themeColor="text1"/>
          <w:sz w:val="24"/>
        </w:rPr>
        <w:t>–</w:t>
      </w:r>
      <w:r w:rsidRPr="00532C20">
        <w:rPr>
          <w:rStyle w:val="IntenseEmphasis"/>
          <w:rFonts w:ascii="Times New Roman" w:eastAsia="Times New Roman" w:hAnsi="Times New Roman" w:cs="Times New Roman"/>
          <w:b w:val="0"/>
          <w:i w:val="0"/>
          <w:noProof/>
          <w:color w:val="000000" w:themeColor="text1"/>
          <w:sz w:val="24"/>
        </w:rPr>
        <w:t xml:space="preserve"> regulation </w:t>
      </w:r>
      <w:r w:rsidR="007101F7" w:rsidRPr="00532C20">
        <w:rPr>
          <w:rStyle w:val="IntenseEmphasis"/>
          <w:rFonts w:ascii="Times New Roman" w:eastAsia="Times New Roman" w:hAnsi="Times New Roman" w:cs="Times New Roman"/>
          <w:b w:val="0"/>
          <w:i w:val="0"/>
          <w:noProof/>
          <w:color w:val="000000" w:themeColor="text1"/>
          <w:sz w:val="24"/>
        </w:rPr>
        <w:t>–</w:t>
      </w:r>
      <w:r w:rsidRPr="00532C20">
        <w:rPr>
          <w:rStyle w:val="IntenseEmphasis"/>
          <w:rFonts w:ascii="Times New Roman" w:eastAsia="Times New Roman" w:hAnsi="Times New Roman" w:cs="Times New Roman"/>
          <w:b w:val="0"/>
          <w:i w:val="0"/>
          <w:noProof/>
          <w:color w:val="000000" w:themeColor="text1"/>
          <w:sz w:val="24"/>
        </w:rPr>
        <w:t xml:space="preserve"> with provisions on conducting due diligence on customers, transparency of beneficial owners and the use of anonymous instruments, such as crypto-assets, and new entities, such as crowdfunding platforms; the 6</w:t>
      </w:r>
      <w:r w:rsidRPr="00532C20">
        <w:rPr>
          <w:rStyle w:val="IntenseEmphasis"/>
          <w:rFonts w:ascii="Times New Roman" w:eastAsia="Times New Roman" w:hAnsi="Times New Roman" w:cs="Times New Roman"/>
          <w:b w:val="0"/>
          <w:i w:val="0"/>
          <w:noProof/>
          <w:color w:val="000000" w:themeColor="text1"/>
          <w:sz w:val="24"/>
          <w:vertAlign w:val="superscript"/>
        </w:rPr>
        <w:t>th</w:t>
      </w:r>
      <w:r w:rsidRPr="00532C20">
        <w:rPr>
          <w:rStyle w:val="IntenseEmphasis"/>
          <w:rFonts w:ascii="Times New Roman" w:eastAsia="Times New Roman" w:hAnsi="Times New Roman" w:cs="Times New Roman"/>
          <w:b w:val="0"/>
          <w:i w:val="0"/>
          <w:noProof/>
          <w:color w:val="000000" w:themeColor="text1"/>
          <w:sz w:val="24"/>
        </w:rPr>
        <w:t xml:space="preserve"> Anti-Money Laundering Directive, containing national provisions on supervision and Financial Intelligence Units, as well as on access for competent authorities to necessary and reliable information, e.g. beneficial ownership registers and assets stored in free zones and the regulation establishing the European Anti-Money Laundering Authority (AMLA) with supervisory and investigative powers to ensure compliance with AML/CFT requirements. </w:t>
      </w:r>
    </w:p>
    <w:p w14:paraId="0D97D6D1" w14:textId="0A19C9AD" w:rsidR="00397F85" w:rsidRPr="00532C20" w:rsidRDefault="00397F85" w:rsidP="00397F85">
      <w:pPr>
        <w:spacing w:line="240" w:lineRule="auto"/>
        <w:jc w:val="both"/>
        <w:textAlignment w:val="baseline"/>
        <w:rPr>
          <w:rFonts w:ascii="Times New Roman" w:eastAsia="Symbol" w:hAnsi="Times New Roman" w:cs="Times New Roman"/>
          <w:noProof/>
          <w:sz w:val="24"/>
          <w:szCs w:val="24"/>
          <w:lang w:val="en-IE"/>
        </w:rPr>
      </w:pPr>
      <w:r w:rsidRPr="00532C20">
        <w:rPr>
          <w:rStyle w:val="IntenseEmphasis"/>
          <w:rFonts w:ascii="Times New Roman" w:eastAsia="Times New Roman" w:hAnsi="Times New Roman" w:cs="Times New Roman"/>
          <w:b w:val="0"/>
          <w:i w:val="0"/>
          <w:iCs w:val="0"/>
          <w:noProof/>
          <w:color w:val="000000" w:themeColor="text1"/>
          <w:sz w:val="24"/>
          <w:szCs w:val="24"/>
        </w:rPr>
        <w:t>The</w:t>
      </w:r>
      <w:r w:rsidRPr="00532C20">
        <w:rPr>
          <w:rStyle w:val="IntenseEmphasis"/>
          <w:rFonts w:ascii="Times New Roman" w:eastAsia="Times New Roman" w:hAnsi="Times New Roman" w:cs="Times New Roman"/>
          <w:b w:val="0"/>
          <w:i w:val="0"/>
          <w:noProof/>
          <w:color w:val="000000" w:themeColor="text1"/>
          <w:sz w:val="24"/>
        </w:rPr>
        <w:t xml:space="preserve"> </w:t>
      </w:r>
      <w:r w:rsidRPr="00532C20">
        <w:rPr>
          <w:rStyle w:val="IntenseEmphasis"/>
          <w:rFonts w:ascii="Times New Roman" w:eastAsia="Times New Roman" w:hAnsi="Times New Roman" w:cs="Times New Roman"/>
          <w:i w:val="0"/>
          <w:noProof/>
          <w:color w:val="000000" w:themeColor="text1"/>
          <w:sz w:val="24"/>
        </w:rPr>
        <w:t>anti-corruption package</w:t>
      </w:r>
      <w:r w:rsidRPr="00532C20">
        <w:rPr>
          <w:rStyle w:val="IntenseEmphasis"/>
          <w:rFonts w:ascii="Times New Roman" w:eastAsia="Times New Roman" w:hAnsi="Times New Roman" w:cs="Times New Roman"/>
          <w:b w:val="0"/>
          <w:i w:val="0"/>
          <w:noProof/>
          <w:color w:val="000000" w:themeColor="text1"/>
          <w:sz w:val="24"/>
        </w:rPr>
        <w:t xml:space="preserve">, include: i) a joint communication on EU anti-corruption policy; and ii) a proposal for a Directive on combating corruption and iii) Expanding the </w:t>
      </w:r>
      <w:r w:rsidR="007101F7" w:rsidRPr="00532C20">
        <w:rPr>
          <w:rStyle w:val="IntenseEmphasis"/>
          <w:rFonts w:ascii="Times New Roman" w:eastAsia="Times New Roman" w:hAnsi="Times New Roman" w:cs="Times New Roman"/>
          <w:b w:val="0"/>
          <w:i w:val="0"/>
          <w:noProof/>
          <w:color w:val="000000" w:themeColor="text1"/>
          <w:sz w:val="24"/>
        </w:rPr>
        <w:t>Common Foreign and Security Policy (</w:t>
      </w:r>
      <w:r w:rsidRPr="00532C20">
        <w:rPr>
          <w:rStyle w:val="IntenseEmphasis"/>
          <w:rFonts w:ascii="Times New Roman" w:eastAsia="Times New Roman" w:hAnsi="Times New Roman" w:cs="Times New Roman"/>
          <w:b w:val="0"/>
          <w:i w:val="0"/>
          <w:noProof/>
          <w:color w:val="000000" w:themeColor="text1"/>
          <w:sz w:val="24"/>
        </w:rPr>
        <w:t>CFSP</w:t>
      </w:r>
      <w:r w:rsidR="007101F7" w:rsidRPr="00532C20">
        <w:rPr>
          <w:rStyle w:val="IntenseEmphasis"/>
          <w:rFonts w:ascii="Times New Roman" w:eastAsia="Times New Roman" w:hAnsi="Times New Roman" w:cs="Times New Roman"/>
          <w:b w:val="0"/>
          <w:i w:val="0"/>
          <w:noProof/>
          <w:color w:val="000000" w:themeColor="text1"/>
          <w:sz w:val="24"/>
        </w:rPr>
        <w:t>)</w:t>
      </w:r>
      <w:r w:rsidRPr="00532C20">
        <w:rPr>
          <w:rStyle w:val="IntenseEmphasis"/>
          <w:rFonts w:ascii="Times New Roman" w:eastAsia="Times New Roman" w:hAnsi="Times New Roman" w:cs="Times New Roman"/>
          <w:b w:val="0"/>
          <w:i w:val="0"/>
          <w:noProof/>
          <w:color w:val="000000" w:themeColor="text1"/>
          <w:sz w:val="24"/>
        </w:rPr>
        <w:t xml:space="preserve"> sanctions toolbox to cover serious acts of corruption, which seeks to protect democracy as well as society from the corrosive impact of corruption. These initiatives will update the</w:t>
      </w:r>
      <w:r w:rsidRPr="00532C20" w:rsidDel="00113CC7">
        <w:rPr>
          <w:rStyle w:val="IntenseEmphasis"/>
          <w:rFonts w:ascii="Times New Roman" w:eastAsia="Times New Roman" w:hAnsi="Times New Roman" w:cs="Times New Roman"/>
          <w:b w:val="0"/>
          <w:i w:val="0"/>
          <w:noProof/>
          <w:color w:val="000000" w:themeColor="text1"/>
          <w:sz w:val="24"/>
        </w:rPr>
        <w:t xml:space="preserve"> </w:t>
      </w:r>
      <w:r w:rsidR="00113CC7">
        <w:rPr>
          <w:rStyle w:val="IntenseEmphasis"/>
          <w:rFonts w:ascii="Times New Roman" w:eastAsia="Times New Roman" w:hAnsi="Times New Roman" w:cs="Times New Roman"/>
          <w:b w:val="0"/>
          <w:i w:val="0"/>
          <w:noProof/>
          <w:color w:val="000000" w:themeColor="text1"/>
          <w:sz w:val="24"/>
        </w:rPr>
        <w:t>Union</w:t>
      </w:r>
      <w:r w:rsidRPr="00532C20">
        <w:rPr>
          <w:rStyle w:val="IntenseEmphasis"/>
          <w:rFonts w:ascii="Times New Roman" w:eastAsia="Times New Roman" w:hAnsi="Times New Roman" w:cs="Times New Roman"/>
          <w:b w:val="0"/>
          <w:i w:val="0"/>
          <w:noProof/>
          <w:color w:val="000000" w:themeColor="text1"/>
          <w:sz w:val="24"/>
        </w:rPr>
        <w:t xml:space="preserve"> legal framework on corruption to ensure compliance with international standards such as the United Nations Convention Against Corruption (UNCAC). They will ensure a level playing field between Member States, as well as coordination and common standards on the fight against corruption. In particular, the proposal for a </w:t>
      </w:r>
      <w:r w:rsidR="00A17062" w:rsidRPr="00532C20">
        <w:rPr>
          <w:rStyle w:val="IntenseEmphasis"/>
          <w:rFonts w:ascii="Times New Roman" w:eastAsia="Times New Roman" w:hAnsi="Times New Roman" w:cs="Times New Roman"/>
          <w:b w:val="0"/>
          <w:i w:val="0"/>
          <w:noProof/>
          <w:color w:val="000000" w:themeColor="text1"/>
          <w:sz w:val="24"/>
        </w:rPr>
        <w:t>Directive includes as an aggravating circumstance for the offences of bribery, misappropriation, trading in influence, abuse of functions, obstruction of justice, enrichment form corruption, and incitement, aiding and abetting and attempt, when the offender committed these offences for the benefit of a third country.</w:t>
      </w:r>
    </w:p>
    <w:p w14:paraId="1518B937" w14:textId="03A35575" w:rsidR="00397F85" w:rsidRPr="00532C20" w:rsidRDefault="00397F85" w:rsidP="00397F85">
      <w:pPr>
        <w:spacing w:after="160" w:line="240" w:lineRule="auto"/>
        <w:jc w:val="both"/>
        <w:rPr>
          <w:rStyle w:val="IntenseEmphasis"/>
          <w:rFonts w:ascii="Times New Roman" w:hAnsi="Times New Roman" w:cs="Times New Roman"/>
          <w:b w:val="0"/>
          <w:i w:val="0"/>
          <w:iCs w:val="0"/>
          <w:noProof/>
          <w:sz w:val="24"/>
          <w:szCs w:val="24"/>
          <w:lang w:val="en-IE" w:eastAsia="en-IE"/>
        </w:rPr>
      </w:pPr>
      <w:r w:rsidRPr="00532C20">
        <w:rPr>
          <w:rStyle w:val="IntenseEmphasis"/>
          <w:rFonts w:ascii="Times New Roman" w:eastAsia="Times New Roman" w:hAnsi="Times New Roman" w:cs="Times New Roman"/>
          <w:b w:val="0"/>
          <w:i w:val="0"/>
          <w:iCs w:val="0"/>
          <w:noProof/>
          <w:color w:val="000000" w:themeColor="text1"/>
          <w:sz w:val="24"/>
        </w:rPr>
        <w:t xml:space="preserve">Directive (EU) 2022/2464 </w:t>
      </w:r>
      <w:r w:rsidRPr="00532C20">
        <w:rPr>
          <w:rStyle w:val="IntenseEmphasis"/>
          <w:rFonts w:ascii="Times New Roman" w:eastAsia="Times New Roman" w:hAnsi="Times New Roman" w:cs="Times New Roman"/>
          <w:bCs/>
          <w:i w:val="0"/>
          <w:iCs w:val="0"/>
          <w:noProof/>
          <w:color w:val="000000" w:themeColor="text1"/>
          <w:sz w:val="24"/>
        </w:rPr>
        <w:t>on corporate sustainability reporting</w:t>
      </w:r>
      <w:r w:rsidR="00E622AC" w:rsidRPr="00532C20">
        <w:rPr>
          <w:rStyle w:val="FootnoteReference"/>
          <w:rFonts w:ascii="Times New Roman" w:eastAsia="Times New Roman" w:hAnsi="Times New Roman" w:cs="Times New Roman"/>
          <w:b/>
          <w:bCs/>
          <w:noProof/>
          <w:color w:val="000000" w:themeColor="text1"/>
          <w:sz w:val="24"/>
        </w:rPr>
        <w:footnoteReference w:id="368"/>
      </w:r>
      <w:r w:rsidRPr="00532C20">
        <w:rPr>
          <w:rStyle w:val="IntenseEmphasis"/>
          <w:rFonts w:ascii="Times New Roman" w:eastAsia="Times New Roman" w:hAnsi="Times New Roman" w:cs="Times New Roman"/>
          <w:b w:val="0"/>
          <w:i w:val="0"/>
          <w:iCs w:val="0"/>
          <w:noProof/>
          <w:color w:val="000000" w:themeColor="text1"/>
          <w:sz w:val="24"/>
        </w:rPr>
        <w:t>, empowers the Commission to adopt delegated and implementing acts to specify how competent authorities and market participants shall comply with the obligations laid down in the Directive. It contains annual reporting obligations that include one governance standard (business conduct) which would be relevant for this initiative.</w:t>
      </w:r>
    </w:p>
    <w:p w14:paraId="09E33CB3" w14:textId="33DEBBC1" w:rsidR="0005333A" w:rsidRPr="004A72EE" w:rsidRDefault="00397F85" w:rsidP="004B0958">
      <w:pPr>
        <w:spacing w:line="240" w:lineRule="auto"/>
        <w:jc w:val="both"/>
        <w:rPr>
          <w:rFonts w:ascii="Times New Roman" w:eastAsia="Times New Roman" w:hAnsi="Times New Roman" w:cs="Times New Roman"/>
          <w:noProof/>
          <w:color w:val="000000" w:themeColor="text1"/>
          <w:sz w:val="24"/>
        </w:rPr>
      </w:pPr>
      <w:r w:rsidRPr="00532C20">
        <w:rPr>
          <w:rStyle w:val="IntenseEmphasis"/>
          <w:rFonts w:ascii="Times New Roman" w:eastAsia="Times New Roman" w:hAnsi="Times New Roman" w:cs="Times New Roman"/>
          <w:b w:val="0"/>
          <w:i w:val="0"/>
          <w:iCs w:val="0"/>
          <w:noProof/>
          <w:color w:val="000000" w:themeColor="text1"/>
          <w:sz w:val="24"/>
        </w:rPr>
        <w:t xml:space="preserve">The Commission also provide a wide range of </w:t>
      </w:r>
      <w:r w:rsidRPr="00532C20">
        <w:rPr>
          <w:rStyle w:val="IntenseEmphasis"/>
          <w:rFonts w:ascii="Times New Roman" w:eastAsia="Times New Roman" w:hAnsi="Times New Roman" w:cs="Times New Roman"/>
          <w:bCs/>
          <w:i w:val="0"/>
          <w:iCs w:val="0"/>
          <w:noProof/>
          <w:color w:val="000000" w:themeColor="text1"/>
          <w:sz w:val="24"/>
        </w:rPr>
        <w:t>funding opportunities</w:t>
      </w:r>
      <w:r w:rsidRPr="00532C20">
        <w:rPr>
          <w:rStyle w:val="IntenseEmphasis"/>
          <w:rFonts w:ascii="Times New Roman" w:eastAsia="Times New Roman" w:hAnsi="Times New Roman" w:cs="Times New Roman"/>
          <w:b w:val="0"/>
          <w:i w:val="0"/>
          <w:iCs w:val="0"/>
          <w:noProof/>
          <w:color w:val="000000" w:themeColor="text1"/>
          <w:sz w:val="24"/>
        </w:rPr>
        <w:t xml:space="preserve"> to foster access to democratic participation, civic engagement, and trust in democracy, most notably in the context of the Citizens, Equality, Rights and Values (CERV) funding programme, the Creative Europe programme, Erasmus+ and Horizon Europe. Actions to </w:t>
      </w:r>
      <w:r w:rsidR="00165582" w:rsidRPr="00532C20">
        <w:rPr>
          <w:rStyle w:val="IntenseEmphasis"/>
          <w:rFonts w:ascii="Times New Roman" w:eastAsia="Times New Roman" w:hAnsi="Times New Roman" w:cs="Times New Roman"/>
          <w:b w:val="0"/>
          <w:i w:val="0"/>
          <w:iCs w:val="0"/>
          <w:noProof/>
          <w:color w:val="000000" w:themeColor="text1"/>
          <w:sz w:val="24"/>
        </w:rPr>
        <w:t xml:space="preserve">help </w:t>
      </w:r>
      <w:r w:rsidRPr="00532C20">
        <w:rPr>
          <w:rStyle w:val="IntenseEmphasis"/>
          <w:rFonts w:ascii="Times New Roman" w:eastAsia="Times New Roman" w:hAnsi="Times New Roman" w:cs="Times New Roman"/>
          <w:b w:val="0"/>
          <w:i w:val="0"/>
          <w:iCs w:val="0"/>
          <w:noProof/>
          <w:color w:val="000000" w:themeColor="text1"/>
          <w:sz w:val="24"/>
        </w:rPr>
        <w:t xml:space="preserve">tackle disinformation through funding </w:t>
      </w:r>
      <w:r w:rsidR="00165582" w:rsidRPr="00532C20">
        <w:rPr>
          <w:rStyle w:val="IntenseEmphasis"/>
          <w:rFonts w:ascii="Times New Roman" w:eastAsia="Times New Roman" w:hAnsi="Times New Roman" w:cs="Times New Roman"/>
          <w:b w:val="0"/>
          <w:i w:val="0"/>
          <w:iCs w:val="0"/>
          <w:noProof/>
          <w:color w:val="000000" w:themeColor="text1"/>
          <w:sz w:val="24"/>
        </w:rPr>
        <w:t>are</w:t>
      </w:r>
      <w:r w:rsidRPr="00532C20">
        <w:rPr>
          <w:rStyle w:val="IntenseEmphasis"/>
          <w:rFonts w:ascii="Times New Roman" w:eastAsia="Times New Roman" w:hAnsi="Times New Roman" w:cs="Times New Roman"/>
          <w:b w:val="0"/>
          <w:i w:val="0"/>
          <w:iCs w:val="0"/>
          <w:noProof/>
          <w:color w:val="000000" w:themeColor="text1"/>
          <w:sz w:val="24"/>
        </w:rPr>
        <w:t xml:space="preserve"> supported in the current financing period under Erasmus+, European Solidarity Corps and the Media programme, Citizens, Equality, Rights and Values programme and Horizon Europe.</w:t>
      </w:r>
    </w:p>
    <w:sectPr w:rsidR="0005333A" w:rsidRPr="004A72EE" w:rsidSect="00B73957">
      <w:headerReference w:type="even" r:id="rId93"/>
      <w:headerReference w:type="default" r:id="rId94"/>
      <w:footerReference w:type="even" r:id="rId95"/>
      <w:footerReference w:type="default" r:id="rId96"/>
      <w:headerReference w:type="first" r:id="rId97"/>
      <w:footerReference w:type="first" r:id="rId98"/>
      <w:pgSz w:w="11906" w:h="16838"/>
      <w:pgMar w:top="1020" w:right="1701" w:bottom="1020" w:left="1587"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88BBA" w14:textId="77777777" w:rsidR="008850DE" w:rsidRDefault="008850DE" w:rsidP="006B087E">
      <w:pPr>
        <w:spacing w:after="0" w:line="240" w:lineRule="auto"/>
      </w:pPr>
      <w:r>
        <w:separator/>
      </w:r>
    </w:p>
  </w:endnote>
  <w:endnote w:type="continuationSeparator" w:id="0">
    <w:p w14:paraId="07DBC068" w14:textId="77777777" w:rsidR="008850DE" w:rsidRDefault="008850DE" w:rsidP="006B087E">
      <w:pPr>
        <w:spacing w:after="0" w:line="240" w:lineRule="auto"/>
      </w:pPr>
      <w:r>
        <w:continuationSeparator/>
      </w:r>
    </w:p>
  </w:endnote>
  <w:endnote w:type="continuationNotice" w:id="1">
    <w:p w14:paraId="4D7D51AB" w14:textId="77777777" w:rsidR="008850DE" w:rsidRDefault="008850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MT Std Light">
    <w:altName w:val="Arial"/>
    <w:panose1 w:val="00000000000000000000"/>
    <w:charset w:val="00"/>
    <w:family w:val="swiss"/>
    <w:notTrueType/>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T18At00">
    <w:altName w:val="Calibri"/>
    <w:panose1 w:val="00000000000000000000"/>
    <w:charset w:val="00"/>
    <w:family w:val="auto"/>
    <w:notTrueType/>
    <w:pitch w:val="default"/>
    <w:sig w:usb0="00000003" w:usb1="00000000" w:usb2="00000000" w:usb3="00000000" w:csb0="00000001" w:csb1="00000000"/>
  </w:font>
  <w:font w:name="OpenSymbol">
    <w:altName w:val="Calibri"/>
    <w:charset w:val="01"/>
    <w:family w:val="auto"/>
    <w:pitch w:val="variable"/>
  </w:font>
  <w:font w:name="Arial Narrow">
    <w:panose1 w:val="020B0606020202030204"/>
    <w:charset w:val="00"/>
    <w:family w:val="swiss"/>
    <w:pitch w:val="variable"/>
    <w:sig w:usb0="00000287" w:usb1="000008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MingLiU_HKSCS-ExtB">
    <w:charset w:val="88"/>
    <w:family w:val="roman"/>
    <w:pitch w:val="variable"/>
    <w:sig w:usb0="8000002F" w:usb1="0A080008" w:usb2="00000010" w:usb3="00000000" w:csb0="00100001" w:csb1="00000000"/>
  </w:font>
  <w:font w:name="Garamond">
    <w:panose1 w:val="02020404030301010803"/>
    <w:charset w:val="00"/>
    <w:family w:val="roman"/>
    <w:pitch w:val="variable"/>
    <w:sig w:usb0="00000287" w:usb1="00000000" w:usb2="00000000" w:usb3="00000000" w:csb0="0000009F" w:csb1="00000000"/>
  </w:font>
  <w:font w:name="Arial (TT)">
    <w:panose1 w:val="00000000000000000000"/>
    <w:charset w:val="00"/>
    <w:family w:val="auto"/>
    <w:notTrueType/>
    <w:pitch w:val="default"/>
    <w:sig w:usb0="00000003" w:usb1="00000000" w:usb2="00000000" w:usb3="00000000" w:csb0="00000001" w:csb1="00000000"/>
  </w:font>
  <w:font w:name="Gill Sans MT">
    <w:charset w:val="00"/>
    <w:family w:val="swiss"/>
    <w:pitch w:val="variable"/>
    <w:sig w:usb0="00000007" w:usb1="00000000" w:usb2="00000000" w:usb3="00000000" w:csb0="00000003" w:csb1="00000000"/>
  </w:font>
  <w:font w:name="EUAlbertina">
    <w:altName w:val="Yu Gothic"/>
    <w:panose1 w:val="00000000000000000000"/>
    <w:charset w:val="00"/>
    <w:family w:val="roman"/>
    <w:notTrueType/>
    <w:pitch w:val="default"/>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Yu Gothic"/>
    <w:charset w:val="00"/>
    <w:family w:val="swiss"/>
    <w:pitch w:val="default"/>
    <w:sig w:usb0="00000003" w:usb1="00000000" w:usb2="00000000" w:usb3="00000000" w:csb0="00000001" w:csb1="00000000"/>
  </w:font>
  <w:font w:name="ITCAvantGardeStd-Bold">
    <w:altName w:val="Times New Roman"/>
    <w:panose1 w:val="00000000000000000000"/>
    <w:charset w:val="00"/>
    <w:family w:val="roman"/>
    <w:notTrueType/>
    <w:pitch w:val="default"/>
  </w:font>
  <w:font w:name="@Microsoft YaHei UI">
    <w:charset w:val="86"/>
    <w:family w:val="swiss"/>
    <w:pitch w:val="variable"/>
    <w:sig w:usb0="80000287" w:usb1="2ACF3C50" w:usb2="00000016" w:usb3="00000000" w:csb0="0004001F" w:csb1="00000000"/>
  </w:font>
  <w:font w:name="EC Square Sans Cond Pro Thin">
    <w:charset w:val="00"/>
    <w:family w:val="swiss"/>
    <w:pitch w:val="variable"/>
    <w:sig w:usb0="20000287" w:usb1="00000001" w:usb2="0000000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27DE3" w14:textId="1C0BAB36" w:rsidR="0026227A" w:rsidRPr="00F30A10" w:rsidRDefault="0026227A" w:rsidP="00F30A1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99718" w14:textId="77777777" w:rsidR="00C245C4" w:rsidRDefault="00C245C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261549"/>
      <w:docPartObj>
        <w:docPartGallery w:val="Page Numbers (Bottom of Page)"/>
        <w:docPartUnique/>
      </w:docPartObj>
    </w:sdtPr>
    <w:sdtEndPr>
      <w:rPr>
        <w:noProof/>
      </w:rPr>
    </w:sdtEndPr>
    <w:sdtContent>
      <w:p w14:paraId="1CBAF362" w14:textId="77777777" w:rsidR="00C245C4" w:rsidRDefault="00C245C4" w:rsidP="00C81ED7">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9895D" w14:textId="77777777" w:rsidR="00C245C4" w:rsidRDefault="00C245C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682D7" w14:textId="77777777" w:rsidR="00C245C4" w:rsidRDefault="00C245C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903465"/>
      <w:docPartObj>
        <w:docPartGallery w:val="Page Numbers (Bottom of Page)"/>
        <w:docPartUnique/>
      </w:docPartObj>
    </w:sdtPr>
    <w:sdtEndPr>
      <w:rPr>
        <w:noProof/>
      </w:rPr>
    </w:sdtEndPr>
    <w:sdtContent>
      <w:p w14:paraId="1F8E8A7C" w14:textId="77777777" w:rsidR="00C245C4" w:rsidRDefault="00C245C4" w:rsidP="00C81ED7">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4687A" w14:textId="77777777" w:rsidR="00C245C4" w:rsidRDefault="00C245C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224C4" w14:textId="77777777" w:rsidR="00C245C4" w:rsidRDefault="00C245C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9945739"/>
      <w:docPartObj>
        <w:docPartGallery w:val="Page Numbers (Bottom of Page)"/>
        <w:docPartUnique/>
      </w:docPartObj>
    </w:sdtPr>
    <w:sdtEndPr>
      <w:rPr>
        <w:noProof/>
      </w:rPr>
    </w:sdtEndPr>
    <w:sdtContent>
      <w:p w14:paraId="1BE16183" w14:textId="77777777" w:rsidR="00C245C4" w:rsidRDefault="00C245C4" w:rsidP="00C81ED7">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A3256" w14:textId="77777777" w:rsidR="00C245C4" w:rsidRDefault="00C245C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49F20" w14:textId="77777777" w:rsidR="00A046DD" w:rsidRDefault="00A046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F8E7E" w14:textId="00071256" w:rsidR="0026227A" w:rsidRPr="00F30A10" w:rsidRDefault="00F30A10" w:rsidP="00F30A10">
    <w:pPr>
      <w:pStyle w:val="FooterCoverPage"/>
      <w:rPr>
        <w:rFonts w:ascii="Arial" w:hAnsi="Arial" w:cs="Arial"/>
        <w:b/>
        <w:sz w:val="48"/>
      </w:rPr>
    </w:pPr>
    <w:r w:rsidRPr="00F30A10">
      <w:rPr>
        <w:rFonts w:ascii="Arial" w:hAnsi="Arial" w:cs="Arial"/>
        <w:b/>
        <w:sz w:val="48"/>
      </w:rPr>
      <w:t>EN</w:t>
    </w:r>
    <w:r w:rsidRPr="00F30A10">
      <w:rPr>
        <w:rFonts w:ascii="Arial" w:hAnsi="Arial" w:cs="Arial"/>
        <w:b/>
        <w:sz w:val="48"/>
      </w:rPr>
      <w:tab/>
    </w:r>
    <w:r w:rsidRPr="00F30A10">
      <w:rPr>
        <w:rFonts w:ascii="Arial" w:hAnsi="Arial" w:cs="Arial"/>
        <w:b/>
        <w:sz w:val="48"/>
      </w:rPr>
      <w:tab/>
    </w:r>
    <w:r w:rsidRPr="00F30A10">
      <w:tab/>
    </w:r>
    <w:r w:rsidRPr="00F30A10">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576049"/>
      <w:docPartObj>
        <w:docPartGallery w:val="Page Numbers (Bottom of Page)"/>
        <w:docPartUnique/>
      </w:docPartObj>
    </w:sdtPr>
    <w:sdtEndPr>
      <w:rPr>
        <w:noProof/>
      </w:rPr>
    </w:sdtEndPr>
    <w:sdtContent>
      <w:p w14:paraId="253A1CF2" w14:textId="4BE28569" w:rsidR="00A046DD" w:rsidRDefault="001B1593" w:rsidP="001B15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A32BA" w14:textId="77777777" w:rsidR="00A046DD" w:rsidRDefault="00A046D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64C46" w14:textId="77777777" w:rsidR="00C245C4" w:rsidRDefault="00C245C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884179"/>
      <w:docPartObj>
        <w:docPartGallery w:val="Page Numbers (Bottom of Page)"/>
        <w:docPartUnique/>
      </w:docPartObj>
    </w:sdtPr>
    <w:sdtEndPr>
      <w:rPr>
        <w:noProof/>
      </w:rPr>
    </w:sdtEndPr>
    <w:sdtContent>
      <w:p w14:paraId="7B9DE5DE" w14:textId="77777777" w:rsidR="00C245C4" w:rsidRDefault="00C245C4" w:rsidP="001B15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B06F6" w14:textId="77777777" w:rsidR="00C245C4" w:rsidRDefault="00C245C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E9421" w14:textId="77777777" w:rsidR="00C245C4" w:rsidRDefault="00C245C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492471"/>
      <w:docPartObj>
        <w:docPartGallery w:val="Page Numbers (Bottom of Page)"/>
        <w:docPartUnique/>
      </w:docPartObj>
    </w:sdtPr>
    <w:sdtEndPr>
      <w:rPr>
        <w:noProof/>
      </w:rPr>
    </w:sdtEndPr>
    <w:sdtContent>
      <w:p w14:paraId="5E4B0438" w14:textId="77777777" w:rsidR="00C245C4" w:rsidRDefault="00C245C4" w:rsidP="001B15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24046" w14:textId="77777777" w:rsidR="00C245C4" w:rsidRDefault="00C245C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B6FBD" w14:textId="77777777" w:rsidR="004E11B0" w:rsidRDefault="004E11B0">
    <w:pPr>
      <w:pStyle w:val="Footer"/>
    </w:pPr>
  </w:p>
  <w:p w14:paraId="3601041B" w14:textId="77777777" w:rsidR="004E11B0" w:rsidRDefault="004E11B0"/>
  <w:p w14:paraId="4DFF4A88" w14:textId="77777777" w:rsidR="004E11B0" w:rsidRDefault="004E11B0"/>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2084835"/>
      <w:docPartObj>
        <w:docPartGallery w:val="Page Numbers (Bottom of Page)"/>
        <w:docPartUnique/>
      </w:docPartObj>
    </w:sdtPr>
    <w:sdtEndPr>
      <w:rPr>
        <w:noProof/>
      </w:rPr>
    </w:sdtEndPr>
    <w:sdtContent>
      <w:p w14:paraId="56D0371F" w14:textId="5EAA89BD" w:rsidR="004E11B0" w:rsidRDefault="004E11B0" w:rsidP="00195B53">
        <w:pPr>
          <w:pStyle w:val="Footer"/>
          <w:jc w:val="center"/>
        </w:pPr>
        <w:r>
          <w:fldChar w:fldCharType="begin"/>
        </w:r>
        <w:r>
          <w:instrText xml:space="preserve"> PAGE   \* MERGEFORMAT </w:instrText>
        </w:r>
        <w:r>
          <w:fldChar w:fldCharType="separate"/>
        </w:r>
        <w:r>
          <w:rPr>
            <w:noProof/>
          </w:rPr>
          <w:t>222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4CE0F" w14:textId="77777777" w:rsidR="00F30A10" w:rsidRPr="00F30A10" w:rsidRDefault="00F30A10" w:rsidP="00F30A10">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C26B5" w14:textId="6590CBCD" w:rsidR="004E11B0" w:rsidRDefault="004E11B0" w:rsidP="00195B53">
    <w:pPr>
      <w:pStyle w:val="Footer"/>
      <w:jc w:val="center"/>
    </w:pPr>
    <w:r>
      <w:fldChar w:fldCharType="begin"/>
    </w:r>
    <w:r>
      <w:instrText xml:space="preserve"> PAGE   \* MERGEFORMAT </w:instrText>
    </w:r>
    <w:r>
      <w:fldChar w:fldCharType="separate"/>
    </w:r>
    <w:r w:rsidR="00825F35">
      <w:rPr>
        <w:noProof/>
      </w:rPr>
      <w:t>20</w:t>
    </w:r>
    <w:r>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B96BA" w14:textId="77777777" w:rsidR="00C245C4" w:rsidRDefault="00C245C4">
    <w:pPr>
      <w:pStyle w:val="Footer"/>
    </w:pPr>
  </w:p>
  <w:p w14:paraId="7AE26A48" w14:textId="77777777" w:rsidR="00C245C4" w:rsidRDefault="00C245C4"/>
  <w:p w14:paraId="5B145127" w14:textId="77777777" w:rsidR="00C245C4" w:rsidRDefault="00C245C4"/>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180996"/>
      <w:docPartObj>
        <w:docPartGallery w:val="Page Numbers (Bottom of Page)"/>
        <w:docPartUnique/>
      </w:docPartObj>
    </w:sdtPr>
    <w:sdtEndPr>
      <w:rPr>
        <w:noProof/>
      </w:rPr>
    </w:sdtEndPr>
    <w:sdtContent>
      <w:p w14:paraId="6683CA02" w14:textId="77777777" w:rsidR="00C245C4" w:rsidRDefault="00C245C4" w:rsidP="00195B53">
        <w:pPr>
          <w:pStyle w:val="Footer"/>
          <w:jc w:val="center"/>
        </w:pPr>
        <w:r>
          <w:fldChar w:fldCharType="begin"/>
        </w:r>
        <w:r>
          <w:instrText xml:space="preserve"> PAGE   \* MERGEFORMAT </w:instrText>
        </w:r>
        <w:r>
          <w:fldChar w:fldCharType="separate"/>
        </w:r>
        <w:r>
          <w:rPr>
            <w:noProof/>
          </w:rPr>
          <w:t>222</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01F1E" w14:textId="77777777" w:rsidR="00C245C4" w:rsidRDefault="00C245C4" w:rsidP="00195B53">
    <w:pPr>
      <w:pStyle w:val="Footer"/>
      <w:jc w:val="center"/>
    </w:pPr>
    <w:r>
      <w:fldChar w:fldCharType="begin"/>
    </w:r>
    <w:r>
      <w:instrText xml:space="preserve"> PAGE   \* MERGEFORMAT </w:instrText>
    </w:r>
    <w:r>
      <w:fldChar w:fldCharType="separate"/>
    </w:r>
    <w:r>
      <w:rPr>
        <w:noProof/>
      </w:rPr>
      <w:t>20</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AA851" w14:textId="77777777" w:rsidR="00C245C4" w:rsidRDefault="00C245C4">
    <w:pPr>
      <w:pStyle w:val="Footer"/>
    </w:pPr>
  </w:p>
  <w:p w14:paraId="7057E2DF" w14:textId="77777777" w:rsidR="00C245C4" w:rsidRDefault="00C245C4"/>
  <w:p w14:paraId="76A76EBC" w14:textId="77777777" w:rsidR="00C245C4" w:rsidRDefault="00C245C4"/>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118719"/>
      <w:docPartObj>
        <w:docPartGallery w:val="Page Numbers (Bottom of Page)"/>
        <w:docPartUnique/>
      </w:docPartObj>
    </w:sdtPr>
    <w:sdtEndPr>
      <w:rPr>
        <w:noProof/>
      </w:rPr>
    </w:sdtEndPr>
    <w:sdtContent>
      <w:p w14:paraId="3B509719" w14:textId="77777777" w:rsidR="00C245C4" w:rsidRDefault="00C245C4" w:rsidP="00195B53">
        <w:pPr>
          <w:pStyle w:val="Footer"/>
          <w:jc w:val="center"/>
        </w:pPr>
        <w:r>
          <w:fldChar w:fldCharType="begin"/>
        </w:r>
        <w:r>
          <w:instrText xml:space="preserve"> PAGE   \* MERGEFORMAT </w:instrText>
        </w:r>
        <w:r>
          <w:fldChar w:fldCharType="separate"/>
        </w:r>
        <w:r>
          <w:rPr>
            <w:noProof/>
          </w:rPr>
          <w:t>222</w:t>
        </w:r>
        <w:r>
          <w:rPr>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E92D0" w14:textId="77777777" w:rsidR="00C245C4" w:rsidRDefault="00C245C4" w:rsidP="00195B53">
    <w:pPr>
      <w:pStyle w:val="Footer"/>
      <w:jc w:val="center"/>
    </w:pPr>
    <w:r>
      <w:fldChar w:fldCharType="begin"/>
    </w:r>
    <w:r>
      <w:instrText xml:space="preserve"> PAGE   \* MERGEFORMAT </w:instrText>
    </w:r>
    <w:r>
      <w:fldChar w:fldCharType="separate"/>
    </w:r>
    <w:r>
      <w:rPr>
        <w:noProof/>
      </w:rPr>
      <w:t>20</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429B2" w14:textId="77777777" w:rsidR="00C245C4" w:rsidRDefault="00C245C4">
    <w:pPr>
      <w:pStyle w:val="Footer"/>
    </w:pPr>
  </w:p>
  <w:p w14:paraId="0B004020" w14:textId="77777777" w:rsidR="00C245C4" w:rsidRDefault="00C245C4"/>
  <w:p w14:paraId="23A8B06B" w14:textId="77777777" w:rsidR="00C245C4" w:rsidRDefault="00C245C4"/>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254390"/>
      <w:docPartObj>
        <w:docPartGallery w:val="Page Numbers (Bottom of Page)"/>
        <w:docPartUnique/>
      </w:docPartObj>
    </w:sdtPr>
    <w:sdtEndPr>
      <w:rPr>
        <w:noProof/>
      </w:rPr>
    </w:sdtEndPr>
    <w:sdtContent>
      <w:p w14:paraId="2A4266A8" w14:textId="77777777" w:rsidR="00C245C4" w:rsidRDefault="00C245C4" w:rsidP="00195B53">
        <w:pPr>
          <w:pStyle w:val="Footer"/>
          <w:jc w:val="center"/>
        </w:pPr>
        <w:r>
          <w:fldChar w:fldCharType="begin"/>
        </w:r>
        <w:r>
          <w:instrText xml:space="preserve"> PAGE   \* MERGEFORMAT </w:instrText>
        </w:r>
        <w:r>
          <w:fldChar w:fldCharType="separate"/>
        </w:r>
        <w:r>
          <w:rPr>
            <w:noProof/>
          </w:rPr>
          <w:t>222</w:t>
        </w:r>
        <w:r>
          <w:rPr>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975DD" w14:textId="77777777" w:rsidR="00C245C4" w:rsidRDefault="00C245C4" w:rsidP="00195B53">
    <w:pPr>
      <w:pStyle w:val="Footer"/>
      <w:jc w:val="center"/>
    </w:pPr>
    <w:r>
      <w:fldChar w:fldCharType="begin"/>
    </w:r>
    <w:r>
      <w:instrText xml:space="preserve"> PAGE   \* MERGEFORMAT </w:instrText>
    </w:r>
    <w:r>
      <w:fldChar w:fldCharType="separate"/>
    </w:r>
    <w:r>
      <w:rPr>
        <w:noProof/>
      </w:rPr>
      <w:t>20</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91CAE" w14:textId="77777777" w:rsidR="00AA7E09" w:rsidRDefault="00AA7E09">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931FA" w14:textId="77777777" w:rsidR="00C245C4" w:rsidRDefault="00C245C4">
    <w:pPr>
      <w:pStyle w:val="Footer"/>
    </w:pPr>
  </w:p>
  <w:p w14:paraId="4DCF4778" w14:textId="77777777" w:rsidR="00C245C4" w:rsidRDefault="00C245C4"/>
  <w:p w14:paraId="23F5A5FB" w14:textId="77777777" w:rsidR="00C245C4" w:rsidRDefault="00C245C4"/>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982592"/>
      <w:docPartObj>
        <w:docPartGallery w:val="Page Numbers (Bottom of Page)"/>
        <w:docPartUnique/>
      </w:docPartObj>
    </w:sdtPr>
    <w:sdtEndPr>
      <w:rPr>
        <w:noProof/>
      </w:rPr>
    </w:sdtEndPr>
    <w:sdtContent>
      <w:p w14:paraId="4F80240B" w14:textId="77777777" w:rsidR="00C245C4" w:rsidRDefault="00C245C4" w:rsidP="00195B53">
        <w:pPr>
          <w:pStyle w:val="Footer"/>
          <w:jc w:val="center"/>
        </w:pPr>
        <w:r>
          <w:fldChar w:fldCharType="begin"/>
        </w:r>
        <w:r>
          <w:instrText xml:space="preserve"> PAGE   \* MERGEFORMAT </w:instrText>
        </w:r>
        <w:r>
          <w:fldChar w:fldCharType="separate"/>
        </w:r>
        <w:r>
          <w:rPr>
            <w:noProof/>
          </w:rPr>
          <w:t>222</w:t>
        </w:r>
        <w:r>
          <w:rPr>
            <w:noProof/>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E5724" w14:textId="77777777" w:rsidR="00C245C4" w:rsidRDefault="00C245C4" w:rsidP="00195B53">
    <w:pPr>
      <w:pStyle w:val="Footer"/>
      <w:jc w:val="center"/>
    </w:pPr>
    <w:r>
      <w:fldChar w:fldCharType="begin"/>
    </w:r>
    <w:r>
      <w:instrText xml:space="preserve"> PAGE   \* MERGEFORMAT </w:instrText>
    </w:r>
    <w:r>
      <w:fldChar w:fldCharType="separate"/>
    </w:r>
    <w:r>
      <w:rPr>
        <w:noProof/>
      </w:rPr>
      <w:t>20</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8249040"/>
      <w:docPartObj>
        <w:docPartGallery w:val="Page Numbers (Bottom of Page)"/>
        <w:docPartUnique/>
      </w:docPartObj>
    </w:sdtPr>
    <w:sdtEndPr>
      <w:rPr>
        <w:noProof/>
      </w:rPr>
    </w:sdtEndPr>
    <w:sdtContent>
      <w:p w14:paraId="57404B9A" w14:textId="0BCA852B" w:rsidR="004E11B0" w:rsidRDefault="004E11B0" w:rsidP="00C81ED7">
        <w:pPr>
          <w:pStyle w:val="Footer"/>
          <w:jc w:val="center"/>
        </w:pPr>
        <w:r>
          <w:fldChar w:fldCharType="begin"/>
        </w:r>
        <w:r>
          <w:instrText xml:space="preserve"> PAGE   \* MERGEFORMAT </w:instrText>
        </w:r>
        <w:r>
          <w:fldChar w:fldCharType="separate"/>
        </w:r>
        <w:r w:rsidR="00F30A10">
          <w:rPr>
            <w:noProof/>
          </w:rPr>
          <w:t>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21090" w14:textId="77777777" w:rsidR="00AA7E09" w:rsidRDefault="00AA7E0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E92B3" w14:textId="77777777" w:rsidR="00C245C4" w:rsidRDefault="00C245C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077900"/>
      <w:docPartObj>
        <w:docPartGallery w:val="Page Numbers (Bottom of Page)"/>
        <w:docPartUnique/>
      </w:docPartObj>
    </w:sdtPr>
    <w:sdtEndPr>
      <w:rPr>
        <w:noProof/>
      </w:rPr>
    </w:sdtEndPr>
    <w:sdtContent>
      <w:p w14:paraId="256CEDBD" w14:textId="31964CB9" w:rsidR="00C245C4" w:rsidRDefault="00C245C4" w:rsidP="00C81ED7">
        <w:pPr>
          <w:pStyle w:val="Footer"/>
          <w:jc w:val="center"/>
        </w:pPr>
        <w:r>
          <w:fldChar w:fldCharType="begin"/>
        </w:r>
        <w:r>
          <w:instrText xml:space="preserve"> PAGE   \* MERGEFORMAT </w:instrText>
        </w:r>
        <w:r>
          <w:fldChar w:fldCharType="separate"/>
        </w:r>
        <w:r w:rsidR="00F30A10">
          <w:rPr>
            <w:noProof/>
          </w:rPr>
          <w:t>8</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63476" w14:textId="77777777" w:rsidR="00C245C4" w:rsidRDefault="00C24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94E21" w14:textId="77777777" w:rsidR="008850DE" w:rsidRDefault="008850DE" w:rsidP="006B087E">
      <w:pPr>
        <w:spacing w:after="0" w:line="240" w:lineRule="auto"/>
      </w:pPr>
      <w:r>
        <w:separator/>
      </w:r>
    </w:p>
  </w:footnote>
  <w:footnote w:type="continuationSeparator" w:id="0">
    <w:p w14:paraId="389C28D7" w14:textId="77777777" w:rsidR="008850DE" w:rsidRDefault="008850DE" w:rsidP="006B087E">
      <w:pPr>
        <w:spacing w:after="0" w:line="240" w:lineRule="auto"/>
      </w:pPr>
      <w:r>
        <w:continuationSeparator/>
      </w:r>
    </w:p>
  </w:footnote>
  <w:footnote w:type="continuationNotice" w:id="1">
    <w:p w14:paraId="4005C167" w14:textId="77777777" w:rsidR="008850DE" w:rsidRDefault="008850DE">
      <w:pPr>
        <w:spacing w:after="0" w:line="240" w:lineRule="auto"/>
      </w:pPr>
    </w:p>
  </w:footnote>
  <w:footnote w:id="2">
    <w:p w14:paraId="349836DC" w14:textId="491C3CD3" w:rsidR="00D1506D" w:rsidRPr="00582553" w:rsidRDefault="00D1506D"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This would cover </w:t>
      </w:r>
      <w:r w:rsidRPr="00582553">
        <w:rPr>
          <w:rFonts w:ascii="Times New Roman" w:eastAsia="Liberation Serif" w:hAnsi="Times New Roman" w:cs="Times New Roman"/>
          <w:sz w:val="18"/>
          <w:szCs w:val="18"/>
          <w:lang w:val="en-IE" w:eastAsia="en-US"/>
        </w:rPr>
        <w:t>instructions</w:t>
      </w:r>
      <w:r w:rsidRPr="00582553">
        <w:rPr>
          <w:rFonts w:ascii="Times New Roman" w:hAnsi="Times New Roman" w:cs="Times New Roman"/>
          <w:sz w:val="18"/>
          <w:szCs w:val="18"/>
        </w:rPr>
        <w:t xml:space="preserve"> by the government, though directives or legal requirements.</w:t>
      </w:r>
    </w:p>
  </w:footnote>
  <w:footnote w:id="3">
    <w:p w14:paraId="4E7D75C1" w14:textId="664390F0" w:rsidR="00D1506D" w:rsidRPr="00582553" w:rsidRDefault="00D1506D"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A government or a public authority would control an entity carrying interest representation where through economic rights, contractual arrangements, or any other means, either separately or combination confer the possibility of exercising decisive influence on that entity.</w:t>
      </w:r>
    </w:p>
  </w:footnote>
  <w:footnote w:id="4">
    <w:p w14:paraId="700C914B" w14:textId="6C4DB883" w:rsidR="00CA0720" w:rsidRPr="00582553" w:rsidRDefault="00CA0720" w:rsidP="00582553">
      <w:pPr>
        <w:pStyle w:val="FootnoteText"/>
        <w:spacing w:after="0"/>
        <w:ind w:left="284" w:hanging="284"/>
        <w:rPr>
          <w:sz w:val="18"/>
          <w:szCs w:val="18"/>
          <w:lang w:val="en-IE"/>
        </w:rPr>
      </w:pPr>
      <w:r w:rsidRPr="00582553">
        <w:rPr>
          <w:rStyle w:val="FootnoteReference"/>
          <w:sz w:val="18"/>
          <w:szCs w:val="18"/>
        </w:rPr>
        <w:footnoteRef/>
      </w:r>
      <w:r w:rsidRPr="00582553">
        <w:rPr>
          <w:sz w:val="18"/>
          <w:szCs w:val="18"/>
        </w:rPr>
        <w:t xml:space="preserve"> </w:t>
      </w:r>
      <w:r w:rsidR="00582553" w:rsidRPr="00582553">
        <w:rPr>
          <w:sz w:val="18"/>
          <w:szCs w:val="18"/>
        </w:rPr>
        <w:tab/>
      </w:r>
      <w:r w:rsidRPr="00582553">
        <w:rPr>
          <w:sz w:val="18"/>
          <w:szCs w:val="18"/>
        </w:rPr>
        <w:t>Based on Article 3(3) of Regulation (EU) 2022/2560 of the European Parliament and of the Council of 14 December 2022 on foreign subsidies distorting the internal market</w:t>
      </w:r>
      <w:r w:rsidR="00582553" w:rsidRPr="00582553">
        <w:rPr>
          <w:sz w:val="18"/>
          <w:szCs w:val="18"/>
        </w:rPr>
        <w:t>.</w:t>
      </w:r>
    </w:p>
  </w:footnote>
  <w:footnote w:id="5">
    <w:p w14:paraId="7B913E33" w14:textId="4A5A5B5A" w:rsidR="008E1590" w:rsidRPr="00582553" w:rsidRDefault="008E1590" w:rsidP="00582553">
      <w:pPr>
        <w:pStyle w:val="FootnoteText"/>
        <w:spacing w:after="0"/>
        <w:ind w:left="284" w:hanging="284"/>
        <w:rPr>
          <w:sz w:val="18"/>
          <w:szCs w:val="18"/>
        </w:rPr>
      </w:pPr>
      <w:r w:rsidRPr="00582553">
        <w:rPr>
          <w:rStyle w:val="FootnoteReference"/>
          <w:sz w:val="18"/>
          <w:szCs w:val="18"/>
        </w:rPr>
        <w:footnoteRef/>
      </w:r>
      <w:r w:rsidRPr="00582553">
        <w:rPr>
          <w:sz w:val="18"/>
          <w:szCs w:val="18"/>
        </w:rPr>
        <w:t xml:space="preserve"> </w:t>
      </w:r>
      <w:r w:rsidR="00F51892" w:rsidRPr="00582553">
        <w:rPr>
          <w:sz w:val="18"/>
          <w:szCs w:val="18"/>
        </w:rPr>
        <w:tab/>
      </w:r>
      <w:r w:rsidRPr="00582553">
        <w:rPr>
          <w:sz w:val="18"/>
          <w:szCs w:val="18"/>
        </w:rPr>
        <w:t>See Article 10 of Council Regulation (EC) No 168/2007 establishing a European Union Agency for Fundamental Rights and the Council of Europe Recommendation CM/Rec(2007)14 of the Committee of Ministers to member states on the legal status of non-governmental organisations in Europe.</w:t>
      </w:r>
    </w:p>
  </w:footnote>
  <w:footnote w:id="6">
    <w:p w14:paraId="3C691698" w14:textId="37A28559" w:rsidR="00D1506D" w:rsidRPr="00582553" w:rsidRDefault="00D1506D" w:rsidP="00582553">
      <w:pPr>
        <w:pStyle w:val="FootnoteText"/>
        <w:ind w:left="284" w:hanging="284"/>
        <w:rPr>
          <w:sz w:val="18"/>
          <w:szCs w:val="18"/>
        </w:rPr>
      </w:pPr>
      <w:r w:rsidRPr="00582553">
        <w:rPr>
          <w:rStyle w:val="FootnoteReference"/>
          <w:sz w:val="18"/>
          <w:szCs w:val="18"/>
        </w:rPr>
        <w:footnoteRef/>
      </w:r>
      <w:r w:rsidRPr="00582553">
        <w:rPr>
          <w:sz w:val="18"/>
          <w:szCs w:val="18"/>
        </w:rPr>
        <w:t xml:space="preserve"> </w:t>
      </w:r>
      <w:r w:rsidR="00F51892" w:rsidRPr="00582553">
        <w:rPr>
          <w:sz w:val="18"/>
          <w:szCs w:val="18"/>
        </w:rPr>
        <w:tab/>
      </w:r>
      <w:r w:rsidRPr="00582553">
        <w:rPr>
          <w:sz w:val="18"/>
          <w:szCs w:val="18"/>
        </w:rPr>
        <w:t>There is no common definition of foreign interference in EU law. Furthermore, no common definition exists in academia. In order to ensure consistency with recent EU publications, the definition is based on the definition used in the Commission Staff Working Document on Tackling Research and Innovation foreign interference (European Commission, Directorate-General for Research and Innovation, Tackling R&amp;I foreign interference – Staff working document, Publications Office of the European Union, 2022, https://data.europa.eu/doi/10.2777/513746). This definition uses elements from the Australian foreign interference legislation which is often used as a reference when defining foreign interference (i.e. that foreign interference is by nature coercive, covert, deceptive, or corrupting, 'Foreign Influence Transparency Scheme’, Australian Government, available at: https://www.ag.gov.au/integrity/foreign-influence-transparency-scheme.).  Additionally, the definition was complemented by an extract from a briefing by the European Parliament’s Research Service on “Lobbying and foreign influence”, which clarifies that foreign interference is different form legitimate influencing activities that are integral to diplomatic relations (European Parliamentary Research Service, Lobbying and foreign influence, 2021, https://www.europarl.europa.eu/thinktank/mt/document/EPRS_BRI(2021)698754).</w:t>
      </w:r>
    </w:p>
  </w:footnote>
  <w:footnote w:id="7">
    <w:p w14:paraId="1D83AEEA" w14:textId="77777777" w:rsidR="00A4140C" w:rsidRPr="00582553" w:rsidRDefault="00A4140C"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00A00AB6" w:rsidRPr="00582553">
        <w:rPr>
          <w:rFonts w:ascii="Times New Roman" w:hAnsi="Times New Roman" w:cs="Times New Roman"/>
          <w:sz w:val="18"/>
          <w:szCs w:val="18"/>
          <w:lang w:val="en-IE"/>
        </w:rPr>
        <w:tab/>
      </w:r>
      <w:r w:rsidRPr="00582553">
        <w:rPr>
          <w:rFonts w:ascii="Times New Roman" w:hAnsi="Times New Roman" w:cs="Times New Roman"/>
          <w:sz w:val="18"/>
          <w:szCs w:val="18"/>
          <w:lang w:val="en-IE"/>
        </w:rPr>
        <w:t>Communication on a Global Approach to Research and Innovation, COM(2021) 252 final.</w:t>
      </w:r>
    </w:p>
  </w:footnote>
  <w:footnote w:id="8">
    <w:p w14:paraId="05FBC533" w14:textId="53C6D298" w:rsidR="00812128" w:rsidRPr="00582553" w:rsidRDefault="00812128"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AC25FE" w:rsidRPr="00582553">
        <w:rPr>
          <w:rFonts w:ascii="Times New Roman" w:hAnsi="Times New Roman" w:cs="Times New Roman"/>
          <w:sz w:val="18"/>
          <w:szCs w:val="18"/>
        </w:rPr>
        <w:t xml:space="preserve">The term ‘foreign interference’ is </w:t>
      </w:r>
      <w:r w:rsidR="007A58E4" w:rsidRPr="00582553">
        <w:rPr>
          <w:rFonts w:ascii="Times New Roman" w:hAnsi="Times New Roman" w:cs="Times New Roman"/>
          <w:sz w:val="18"/>
          <w:szCs w:val="18"/>
        </w:rPr>
        <w:t>defined in the glossary</w:t>
      </w:r>
      <w:r w:rsidR="0089736F" w:rsidRPr="00582553">
        <w:rPr>
          <w:rFonts w:ascii="Times New Roman" w:hAnsi="Times New Roman" w:cs="Times New Roman"/>
          <w:sz w:val="18"/>
          <w:szCs w:val="18"/>
          <w:lang w:val="en-IE"/>
        </w:rPr>
        <w:t xml:space="preserve">. For more information on this see Annex </w:t>
      </w:r>
      <w:r w:rsidR="00DC5B48" w:rsidRPr="00582553">
        <w:rPr>
          <w:rFonts w:ascii="Times New Roman" w:hAnsi="Times New Roman" w:cs="Times New Roman"/>
          <w:sz w:val="18"/>
          <w:szCs w:val="18"/>
          <w:lang w:val="en-IE"/>
        </w:rPr>
        <w:t>G</w:t>
      </w:r>
      <w:r w:rsidR="0089736F" w:rsidRPr="00582553">
        <w:rPr>
          <w:rFonts w:ascii="Times New Roman" w:hAnsi="Times New Roman" w:cs="Times New Roman"/>
          <w:sz w:val="18"/>
          <w:szCs w:val="18"/>
          <w:lang w:val="en-IE"/>
        </w:rPr>
        <w:t xml:space="preserve"> of the </w:t>
      </w:r>
      <w:r w:rsidR="00CA4FFD">
        <w:rPr>
          <w:rFonts w:ascii="Times New Roman" w:hAnsi="Times New Roman" w:cs="Times New Roman"/>
          <w:sz w:val="18"/>
          <w:szCs w:val="18"/>
          <w:lang w:val="en-IE"/>
        </w:rPr>
        <w:t xml:space="preserve">supporting </w:t>
      </w:r>
      <w:r w:rsidR="0089736F" w:rsidRPr="00582553">
        <w:rPr>
          <w:rFonts w:ascii="Times New Roman" w:hAnsi="Times New Roman" w:cs="Times New Roman"/>
          <w:sz w:val="18"/>
          <w:szCs w:val="18"/>
          <w:lang w:val="en-IE"/>
        </w:rPr>
        <w:t xml:space="preserve">study.  </w:t>
      </w:r>
    </w:p>
  </w:footnote>
  <w:footnote w:id="9">
    <w:p w14:paraId="2A2717C6" w14:textId="4ED738ED" w:rsidR="0001126E" w:rsidRPr="00582553" w:rsidRDefault="0001126E"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Since 2019, the European Parliament established two Special Committees INGE and INGE2 on foreign interference in all democratic processes in the European Union, including disinformation, and the strengthening of integrity, transparency and accountability in the European Parliament that adopted resolutions in this area. </w:t>
      </w:r>
      <w:r w:rsidRPr="00582553">
        <w:rPr>
          <w:rFonts w:ascii="Times New Roman" w:hAnsi="Times New Roman" w:cs="Times New Roman"/>
          <w:sz w:val="18"/>
          <w:szCs w:val="18"/>
          <w:lang w:val="en-IE"/>
        </w:rPr>
        <w:t xml:space="preserve">See European Parliament resolution of 9 March 2022 on foreign interference in all democratic processes in the European Union, including disinformation (2020/2268(INI)), European Parliament resolution of 13 July 2023 on recommendations for reform of European Parliament’s rules on transparency, integrity, accountability and anti-corruption (2023/2034(INI)), </w:t>
      </w:r>
      <w:r w:rsidRPr="00582553">
        <w:rPr>
          <w:rFonts w:ascii="Times New Roman" w:hAnsi="Times New Roman" w:cs="Times New Roman"/>
          <w:sz w:val="18"/>
          <w:szCs w:val="18"/>
        </w:rPr>
        <w:t>European Parliament resolution of 1 June 2023 on foreign interference in all democratic processes in the European Union, including disinformation (2022/2075(INI)).</w:t>
      </w:r>
    </w:p>
  </w:footnote>
  <w:footnote w:id="10">
    <w:p w14:paraId="38C7D169" w14:textId="6D437BAB" w:rsidR="0001126E" w:rsidRPr="00582553" w:rsidRDefault="0001126E"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 xml:space="preserve">Council Conclusions “Complementary efforts to enhance resilience and counter hybrid threats”, 10 December 2019, 14972/19; Council conclusion “Global approach to Research and Innovation - Europe's strategy for international cooperation in a changing world”, 28 September 2021, 12301/21; </w:t>
      </w:r>
      <w:r w:rsidRPr="00582553">
        <w:rPr>
          <w:rFonts w:ascii="Times New Roman" w:hAnsi="Times New Roman" w:cs="Times New Roman"/>
          <w:sz w:val="18"/>
          <w:szCs w:val="18"/>
        </w:rPr>
        <w:t>Council</w:t>
      </w:r>
      <w:r w:rsidRPr="00582553">
        <w:rPr>
          <w:rFonts w:ascii="Times New Roman" w:hAnsi="Times New Roman" w:cs="Times New Roman"/>
          <w:sz w:val="18"/>
          <w:szCs w:val="18"/>
          <w:lang w:val="en-IE"/>
        </w:rPr>
        <w:t xml:space="preserve"> conclusions “on Foreign Information Manipulation and Interference (FIMI)”, 18 July 2022, 11173/22.</w:t>
      </w:r>
    </w:p>
  </w:footnote>
  <w:footnote w:id="11">
    <w:p w14:paraId="26C8DCDE" w14:textId="52FB6A37" w:rsidR="00B237EE" w:rsidRPr="00582553" w:rsidRDefault="00B237EE"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CB523D" w:rsidRPr="00582553">
        <w:rPr>
          <w:rFonts w:ascii="Times New Roman" w:hAnsi="Times New Roman" w:cs="Times New Roman"/>
          <w:sz w:val="18"/>
          <w:szCs w:val="18"/>
        </w:rPr>
        <w:tab/>
      </w:r>
      <w:r w:rsidR="00531FF6" w:rsidRPr="00582553">
        <w:rPr>
          <w:rFonts w:ascii="Times New Roman" w:hAnsi="Times New Roman" w:cs="Times New Roman"/>
          <w:sz w:val="18"/>
          <w:szCs w:val="18"/>
        </w:rPr>
        <w:t xml:space="preserve">See various consultations with Member States </w:t>
      </w:r>
      <w:r w:rsidR="00303824" w:rsidRPr="00582553">
        <w:rPr>
          <w:rFonts w:ascii="Times New Roman" w:hAnsi="Times New Roman" w:cs="Times New Roman"/>
          <w:sz w:val="18"/>
          <w:szCs w:val="18"/>
        </w:rPr>
        <w:t xml:space="preserve">detailed in Annex </w:t>
      </w:r>
      <w:r w:rsidR="0040469D" w:rsidRPr="00582553">
        <w:rPr>
          <w:rFonts w:ascii="Times New Roman" w:hAnsi="Times New Roman" w:cs="Times New Roman"/>
          <w:sz w:val="18"/>
          <w:szCs w:val="18"/>
        </w:rPr>
        <w:t>2</w:t>
      </w:r>
      <w:r w:rsidR="00303824" w:rsidRPr="00582553">
        <w:rPr>
          <w:rFonts w:ascii="Times New Roman" w:hAnsi="Times New Roman" w:cs="Times New Roman"/>
          <w:sz w:val="18"/>
          <w:szCs w:val="18"/>
        </w:rPr>
        <w:t xml:space="preserve">, for example the focus group meeting with Member State authorities of </w:t>
      </w:r>
      <w:r w:rsidR="004019D6" w:rsidRPr="00582553">
        <w:rPr>
          <w:rFonts w:ascii="Times New Roman" w:hAnsi="Times New Roman" w:cs="Times New Roman"/>
          <w:sz w:val="18"/>
          <w:szCs w:val="18"/>
        </w:rPr>
        <w:t>30 March 2023 and the focus group meeting with local authorities of 28 March 2023</w:t>
      </w:r>
      <w:r w:rsidR="00D0209F" w:rsidRPr="00582553">
        <w:rPr>
          <w:rFonts w:ascii="Times New Roman" w:hAnsi="Times New Roman" w:cs="Times New Roman"/>
          <w:sz w:val="18"/>
          <w:szCs w:val="18"/>
        </w:rPr>
        <w:t>.</w:t>
      </w:r>
    </w:p>
  </w:footnote>
  <w:footnote w:id="12">
    <w:p w14:paraId="02CDF1FD" w14:textId="40715021" w:rsidR="00B237EE" w:rsidRPr="00582553" w:rsidRDefault="00B237EE"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CB523D" w:rsidRPr="00582553">
        <w:rPr>
          <w:rFonts w:ascii="Times New Roman" w:hAnsi="Times New Roman" w:cs="Times New Roman"/>
          <w:sz w:val="18"/>
          <w:szCs w:val="18"/>
        </w:rPr>
        <w:tab/>
        <w:t xml:space="preserve">See </w:t>
      </w:r>
      <w:r w:rsidR="00CB523D" w:rsidRPr="00582553">
        <w:rPr>
          <w:rFonts w:ascii="Times New Roman" w:hAnsi="Times New Roman" w:cs="Times New Roman"/>
          <w:sz w:val="18"/>
          <w:szCs w:val="18"/>
          <w:lang w:val="en-IE"/>
        </w:rPr>
        <w:t>Flash Eurobarometer 528 on Citizenship and Democracy, and Flash Eurobarometer 522 on Democracy.</w:t>
      </w:r>
      <w:r w:rsidR="00887986" w:rsidRPr="00582553">
        <w:rPr>
          <w:rFonts w:ascii="Times New Roman" w:hAnsi="Times New Roman" w:cs="Times New Roman"/>
          <w:sz w:val="18"/>
          <w:szCs w:val="18"/>
          <w:lang w:val="en-IE"/>
        </w:rPr>
        <w:t xml:space="preserve"> </w:t>
      </w:r>
    </w:p>
  </w:footnote>
  <w:footnote w:id="13">
    <w:p w14:paraId="31C9395F" w14:textId="5231600A" w:rsidR="00B237EE" w:rsidRPr="00582553" w:rsidRDefault="00B237EE"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CB523D" w:rsidRPr="00582553">
        <w:rPr>
          <w:rFonts w:ascii="Times New Roman" w:hAnsi="Times New Roman" w:cs="Times New Roman"/>
          <w:sz w:val="18"/>
          <w:szCs w:val="18"/>
        </w:rPr>
        <w:tab/>
      </w:r>
      <w:r w:rsidR="00446625" w:rsidRPr="00582553">
        <w:rPr>
          <w:rFonts w:ascii="Times New Roman" w:hAnsi="Times New Roman" w:cs="Times New Roman"/>
          <w:sz w:val="18"/>
          <w:szCs w:val="18"/>
        </w:rPr>
        <w:t xml:space="preserve">See various consultations with CSOs detailed in Annex 2, for example the focus group meeting with CSOs of </w:t>
      </w:r>
      <w:r w:rsidR="00921390" w:rsidRPr="00582553">
        <w:rPr>
          <w:rFonts w:ascii="Times New Roman" w:hAnsi="Times New Roman" w:cs="Times New Roman"/>
          <w:sz w:val="18"/>
          <w:szCs w:val="18"/>
        </w:rPr>
        <w:t xml:space="preserve">14 February 2023 and the focus group meeting </w:t>
      </w:r>
      <w:r w:rsidR="00727C54" w:rsidRPr="00582553">
        <w:rPr>
          <w:rFonts w:ascii="Times New Roman" w:hAnsi="Times New Roman" w:cs="Times New Roman"/>
          <w:sz w:val="18"/>
          <w:szCs w:val="18"/>
        </w:rPr>
        <w:t>with CIV grants beneficiaries working on projects related to the 2024 European Parliament elections of 1 March 2023.</w:t>
      </w:r>
      <w:r w:rsidR="00921390" w:rsidRPr="00582553">
        <w:rPr>
          <w:rFonts w:ascii="Times New Roman" w:hAnsi="Times New Roman" w:cs="Times New Roman"/>
          <w:sz w:val="18"/>
          <w:szCs w:val="18"/>
        </w:rPr>
        <w:t xml:space="preserve"> </w:t>
      </w:r>
    </w:p>
  </w:footnote>
  <w:footnote w:id="14">
    <w:p w14:paraId="0FAACFC7" w14:textId="77777777" w:rsidR="005E2F2F" w:rsidRPr="00582553" w:rsidRDefault="005E2F2F" w:rsidP="00582553">
      <w:pPr>
        <w:spacing w:after="0" w:line="240" w:lineRule="auto"/>
        <w:ind w:left="284" w:hanging="284"/>
        <w:jc w:val="both"/>
        <w:rPr>
          <w:rFonts w:ascii="Times New Roman" w:eastAsia="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CB523D" w:rsidRPr="00582553">
        <w:rPr>
          <w:rFonts w:ascii="Times New Roman" w:hAnsi="Times New Roman" w:cs="Times New Roman"/>
          <w:sz w:val="18"/>
          <w:szCs w:val="18"/>
        </w:rPr>
        <w:t xml:space="preserve">See </w:t>
      </w:r>
      <w:r w:rsidRPr="00582553">
        <w:rPr>
          <w:rFonts w:ascii="Times New Roman" w:eastAsia="Times New Roman" w:hAnsi="Times New Roman" w:cs="Times New Roman"/>
          <w:sz w:val="18"/>
          <w:szCs w:val="18"/>
          <w:lang w:val="en-IE"/>
        </w:rPr>
        <w:t>Flash Eurobarometer 528 on Citizenship and Democracy.</w:t>
      </w:r>
    </w:p>
  </w:footnote>
  <w:footnote w:id="15">
    <w:p w14:paraId="52D2CA9F" w14:textId="10113837" w:rsidR="006B36F2" w:rsidRPr="00582553" w:rsidRDefault="006B36F2"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Fonts w:ascii="Times New Roman" w:hAnsi="Times New Roman" w:cs="Times New Roman"/>
          <w:sz w:val="18"/>
          <w:szCs w:val="18"/>
          <w:lang w:val="en-IE"/>
        </w:rPr>
        <w:t xml:space="preserve">See </w:t>
      </w:r>
      <w:r w:rsidR="00436621" w:rsidRPr="00582553">
        <w:rPr>
          <w:rFonts w:ascii="Times New Roman" w:hAnsi="Times New Roman" w:cs="Times New Roman"/>
          <w:sz w:val="18"/>
          <w:szCs w:val="18"/>
          <w:lang w:val="en-IE"/>
        </w:rPr>
        <w:t>note</w:t>
      </w:r>
      <w:r w:rsidR="00822DCC" w:rsidRPr="00582553">
        <w:rPr>
          <w:rFonts w:ascii="Times New Roman" w:hAnsi="Times New Roman" w:cs="Times New Roman"/>
          <w:sz w:val="18"/>
          <w:szCs w:val="18"/>
          <w:lang w:val="en-IE"/>
        </w:rPr>
        <w:t xml:space="preserve"> </w:t>
      </w:r>
      <w:r w:rsidR="00822DCC" w:rsidRPr="00582553">
        <w:rPr>
          <w:rFonts w:ascii="Times New Roman" w:hAnsi="Times New Roman" w:cs="Times New Roman"/>
          <w:sz w:val="18"/>
          <w:szCs w:val="18"/>
          <w:lang w:val="en-IE"/>
        </w:rPr>
        <w:fldChar w:fldCharType="begin"/>
      </w:r>
      <w:r w:rsidR="00822DCC" w:rsidRPr="00582553">
        <w:rPr>
          <w:rFonts w:ascii="Times New Roman" w:hAnsi="Times New Roman" w:cs="Times New Roman"/>
          <w:sz w:val="18"/>
          <w:szCs w:val="18"/>
          <w:lang w:val="en-IE"/>
        </w:rPr>
        <w:instrText xml:space="preserve"> NOTEREF _Ref147739120 \h </w:instrText>
      </w:r>
      <w:r w:rsidR="00582553">
        <w:rPr>
          <w:rFonts w:ascii="Times New Roman" w:hAnsi="Times New Roman" w:cs="Times New Roman"/>
          <w:sz w:val="18"/>
          <w:szCs w:val="18"/>
          <w:lang w:val="en-IE"/>
        </w:rPr>
        <w:instrText xml:space="preserve"> \* MERGEFORMAT </w:instrText>
      </w:r>
      <w:r w:rsidR="00822DCC" w:rsidRPr="00582553">
        <w:rPr>
          <w:rFonts w:ascii="Times New Roman" w:hAnsi="Times New Roman" w:cs="Times New Roman"/>
          <w:sz w:val="18"/>
          <w:szCs w:val="18"/>
          <w:lang w:val="en-IE"/>
        </w:rPr>
      </w:r>
      <w:r w:rsidR="00822DCC"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8</w:t>
      </w:r>
      <w:r w:rsidR="00822DCC" w:rsidRPr="00582553">
        <w:rPr>
          <w:rFonts w:ascii="Times New Roman" w:hAnsi="Times New Roman" w:cs="Times New Roman"/>
          <w:sz w:val="18"/>
          <w:szCs w:val="18"/>
          <w:lang w:val="en-IE"/>
        </w:rPr>
        <w:fldChar w:fldCharType="end"/>
      </w:r>
      <w:r w:rsidR="00822DCC" w:rsidRPr="00582553">
        <w:rPr>
          <w:rFonts w:ascii="Times New Roman" w:hAnsi="Times New Roman" w:cs="Times New Roman"/>
          <w:sz w:val="18"/>
          <w:szCs w:val="18"/>
          <w:lang w:val="en-IE"/>
        </w:rPr>
        <w:t>.</w:t>
      </w:r>
    </w:p>
  </w:footnote>
  <w:footnote w:id="16">
    <w:p w14:paraId="7BB42627" w14:textId="58BA7B06" w:rsidR="006B36F2" w:rsidRPr="00582553" w:rsidRDefault="006B36F2"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See </w:t>
      </w:r>
      <w:r w:rsidR="00CA4FFD">
        <w:rPr>
          <w:rFonts w:ascii="Times New Roman" w:hAnsi="Times New Roman" w:cs="Times New Roman"/>
          <w:sz w:val="18"/>
          <w:szCs w:val="18"/>
        </w:rPr>
        <w:t>supporting</w:t>
      </w:r>
      <w:r w:rsidR="00CA4FFD" w:rsidRPr="00582553">
        <w:rPr>
          <w:rFonts w:ascii="Times New Roman" w:hAnsi="Times New Roman" w:cs="Times New Roman"/>
          <w:sz w:val="18"/>
          <w:szCs w:val="18"/>
        </w:rPr>
        <w:t xml:space="preserve"> </w:t>
      </w:r>
      <w:r w:rsidR="00D956F4" w:rsidRPr="00582553">
        <w:rPr>
          <w:rFonts w:ascii="Times New Roman" w:hAnsi="Times New Roman" w:cs="Times New Roman"/>
          <w:sz w:val="18"/>
          <w:szCs w:val="18"/>
        </w:rPr>
        <w:t>study</w:t>
      </w:r>
      <w:r w:rsidRPr="00582553">
        <w:rPr>
          <w:rFonts w:ascii="Times New Roman" w:hAnsi="Times New Roman" w:cs="Times New Roman"/>
          <w:sz w:val="18"/>
          <w:szCs w:val="18"/>
        </w:rPr>
        <w:t>.</w:t>
      </w:r>
      <w:r w:rsidR="00CA7DE7" w:rsidRPr="00582553">
        <w:rPr>
          <w:rFonts w:ascii="Times New Roman" w:hAnsi="Times New Roman" w:cs="Times New Roman"/>
          <w:sz w:val="18"/>
          <w:szCs w:val="18"/>
        </w:rPr>
        <w:t xml:space="preserve"> </w:t>
      </w:r>
      <w:r w:rsidR="00EC4CE2">
        <w:rPr>
          <w:rFonts w:ascii="Times New Roman" w:hAnsi="Times New Roman" w:cs="Times New Roman"/>
          <w:sz w:val="18"/>
          <w:szCs w:val="18"/>
        </w:rPr>
        <w:t xml:space="preserve">See also </w:t>
      </w:r>
      <w:r w:rsidR="008D3767">
        <w:rPr>
          <w:rFonts w:ascii="Times New Roman" w:hAnsi="Times New Roman" w:cs="Times New Roman"/>
          <w:sz w:val="18"/>
          <w:szCs w:val="18"/>
        </w:rPr>
        <w:t>“</w:t>
      </w:r>
      <w:r w:rsidR="008D437F" w:rsidRPr="008D437F">
        <w:rPr>
          <w:rFonts w:ascii="Times New Roman" w:hAnsi="Times New Roman" w:cs="Times New Roman"/>
          <w:sz w:val="18"/>
          <w:szCs w:val="18"/>
        </w:rPr>
        <w:t>The landscape of Hybrid Threats: A Conceptual Model</w:t>
      </w:r>
      <w:r w:rsidR="008D3767">
        <w:rPr>
          <w:rFonts w:ascii="Times New Roman" w:hAnsi="Times New Roman" w:cs="Times New Roman"/>
          <w:sz w:val="18"/>
          <w:szCs w:val="18"/>
        </w:rPr>
        <w:t>”</w:t>
      </w:r>
      <w:r w:rsidR="008D437F" w:rsidRPr="008D437F">
        <w:rPr>
          <w:rFonts w:ascii="Times New Roman" w:hAnsi="Times New Roman" w:cs="Times New Roman"/>
          <w:sz w:val="18"/>
          <w:szCs w:val="18"/>
        </w:rPr>
        <w:t>, Giannopoulos, G., Smith, H. and Theocharidou, M. editor(s), Publications Office of the European Union, Luxembourg, 2021.</w:t>
      </w:r>
    </w:p>
  </w:footnote>
  <w:footnote w:id="17">
    <w:p w14:paraId="35782D7A" w14:textId="7BA7026B" w:rsidR="00C615EF" w:rsidRPr="00582553" w:rsidRDefault="00C615EF"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4608E2" w:rsidRPr="00582553">
        <w:rPr>
          <w:rFonts w:ascii="Times New Roman" w:hAnsi="Times New Roman" w:cs="Times New Roman"/>
          <w:sz w:val="18"/>
          <w:szCs w:val="18"/>
        </w:rPr>
        <w:tab/>
      </w:r>
      <w:r w:rsidR="009835C6" w:rsidRPr="00582553">
        <w:rPr>
          <w:rFonts w:ascii="Times New Roman" w:hAnsi="Times New Roman" w:cs="Times New Roman"/>
          <w:sz w:val="18"/>
          <w:szCs w:val="18"/>
        </w:rPr>
        <w:t xml:space="preserve">Communication on the European </w:t>
      </w:r>
      <w:r w:rsidR="00E94C82">
        <w:rPr>
          <w:rFonts w:ascii="Times New Roman" w:hAnsi="Times New Roman" w:cs="Times New Roman"/>
          <w:sz w:val="18"/>
          <w:szCs w:val="18"/>
        </w:rPr>
        <w:t>D</w:t>
      </w:r>
      <w:r w:rsidR="009835C6" w:rsidRPr="00582553">
        <w:rPr>
          <w:rFonts w:ascii="Times New Roman" w:hAnsi="Times New Roman" w:cs="Times New Roman"/>
          <w:sz w:val="18"/>
          <w:szCs w:val="18"/>
        </w:rPr>
        <w:t xml:space="preserve">emocracy </w:t>
      </w:r>
      <w:r w:rsidR="00E94C82">
        <w:rPr>
          <w:rFonts w:ascii="Times New Roman" w:hAnsi="Times New Roman" w:cs="Times New Roman"/>
          <w:sz w:val="18"/>
          <w:szCs w:val="18"/>
        </w:rPr>
        <w:t>A</w:t>
      </w:r>
      <w:r w:rsidR="009835C6" w:rsidRPr="00582553">
        <w:rPr>
          <w:rFonts w:ascii="Times New Roman" w:hAnsi="Times New Roman" w:cs="Times New Roman"/>
          <w:sz w:val="18"/>
          <w:szCs w:val="18"/>
        </w:rPr>
        <w:t xml:space="preserve">ction </w:t>
      </w:r>
      <w:r w:rsidR="00E94C82">
        <w:rPr>
          <w:rFonts w:ascii="Times New Roman" w:hAnsi="Times New Roman" w:cs="Times New Roman"/>
          <w:sz w:val="18"/>
          <w:szCs w:val="18"/>
        </w:rPr>
        <w:t>P</w:t>
      </w:r>
      <w:r w:rsidR="009835C6" w:rsidRPr="00582553">
        <w:rPr>
          <w:rFonts w:ascii="Times New Roman" w:hAnsi="Times New Roman" w:cs="Times New Roman"/>
          <w:sz w:val="18"/>
          <w:szCs w:val="18"/>
        </w:rPr>
        <w:t>lan</w:t>
      </w:r>
      <w:r w:rsidR="0092426C" w:rsidRPr="00582553">
        <w:rPr>
          <w:rFonts w:ascii="Times New Roman" w:hAnsi="Times New Roman" w:cs="Times New Roman"/>
          <w:sz w:val="18"/>
          <w:szCs w:val="18"/>
        </w:rPr>
        <w:t>, COM/2020/790 final</w:t>
      </w:r>
      <w:r w:rsidR="0092426C" w:rsidRPr="00582553">
        <w:rPr>
          <w:rFonts w:ascii="Times New Roman" w:hAnsi="Times New Roman" w:cs="Times New Roman"/>
          <w:sz w:val="18"/>
          <w:szCs w:val="18"/>
          <w:lang w:val="en-IE"/>
        </w:rPr>
        <w:t>.</w:t>
      </w:r>
    </w:p>
  </w:footnote>
  <w:footnote w:id="18">
    <w:p w14:paraId="63D1C2CB" w14:textId="1BD536EC" w:rsidR="00B734F8" w:rsidRPr="00582553" w:rsidRDefault="00B734F8"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r>
      <w:r w:rsidRPr="00582553">
        <w:rPr>
          <w:rStyle w:val="IntenseEmphasis"/>
          <w:rFonts w:ascii="Times New Roman" w:eastAsia="Times New Roman" w:hAnsi="Times New Roman" w:cs="Times New Roman"/>
          <w:b w:val="0"/>
          <w:i w:val="0"/>
          <w:color w:val="000000" w:themeColor="text1"/>
          <w:szCs w:val="18"/>
        </w:rPr>
        <w:t>Proposal</w:t>
      </w:r>
      <w:r w:rsidRPr="00582553">
        <w:rPr>
          <w:rFonts w:ascii="Times New Roman" w:hAnsi="Times New Roman" w:cs="Times New Roman"/>
          <w:sz w:val="18"/>
          <w:szCs w:val="18"/>
        </w:rPr>
        <w:t xml:space="preserve"> for a Regulation on the statute and funding of European political parties and European political foundations</w:t>
      </w:r>
      <w:r w:rsidR="00A4079A" w:rsidRPr="00582553">
        <w:rPr>
          <w:rFonts w:ascii="Times New Roman" w:hAnsi="Times New Roman" w:cs="Times New Roman"/>
          <w:sz w:val="18"/>
          <w:szCs w:val="18"/>
        </w:rPr>
        <w:t xml:space="preserve"> (COM(2021)734 final).</w:t>
      </w:r>
    </w:p>
  </w:footnote>
  <w:footnote w:id="19">
    <w:p w14:paraId="6ABC0502" w14:textId="02B683B9" w:rsidR="00741068" w:rsidRPr="00582553" w:rsidRDefault="00741068"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Regulation (EU) 2022/2065 of the European Parliament and of the Council of 19 October 2022 on a Single Market For Digital Services and amending Directive 2000/31/EC (Digital Services Act)</w:t>
      </w:r>
      <w:r w:rsidR="008549CE" w:rsidRPr="00582553">
        <w:rPr>
          <w:rFonts w:ascii="Times New Roman" w:hAnsi="Times New Roman" w:cs="Times New Roman"/>
          <w:sz w:val="18"/>
          <w:szCs w:val="18"/>
        </w:rPr>
        <w:t>.</w:t>
      </w:r>
    </w:p>
  </w:footnote>
  <w:footnote w:id="20">
    <w:p w14:paraId="04661865" w14:textId="1B79281D" w:rsidR="00741068" w:rsidRPr="00582553" w:rsidRDefault="00741068"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The 2022 strengthened EU Code of Practice on Disinformation is available at: </w:t>
      </w:r>
      <w:hyperlink r:id="rId1" w:history="1">
        <w:r w:rsidRPr="00582553">
          <w:rPr>
            <w:rStyle w:val="Hyperlink"/>
            <w:rFonts w:ascii="Times New Roman" w:hAnsi="Times New Roman" w:cs="Times New Roman"/>
            <w:sz w:val="18"/>
            <w:szCs w:val="18"/>
          </w:rPr>
          <w:t>https://digital-strategy.ec.europa.eu/en/policies/code-practice-disinformation</w:t>
        </w:r>
      </w:hyperlink>
      <w:r w:rsidRPr="00582553">
        <w:rPr>
          <w:rFonts w:ascii="Times New Roman" w:hAnsi="Times New Roman" w:cs="Times New Roman"/>
          <w:sz w:val="18"/>
          <w:szCs w:val="18"/>
        </w:rPr>
        <w:t xml:space="preserve">; </w:t>
      </w:r>
      <w:r w:rsidR="003D636B" w:rsidRPr="00582553">
        <w:rPr>
          <w:rFonts w:ascii="Times New Roman" w:hAnsi="Times New Roman" w:cs="Times New Roman"/>
          <w:sz w:val="18"/>
          <w:szCs w:val="18"/>
        </w:rPr>
        <w:t>The Commission guidelines for teachers and educators on tackling disinformation and promoting digital literacy through education and training</w:t>
      </w:r>
      <w:r w:rsidR="00892D67" w:rsidRPr="00582553">
        <w:rPr>
          <w:rFonts w:ascii="Times New Roman" w:hAnsi="Times New Roman" w:cs="Times New Roman"/>
          <w:sz w:val="18"/>
          <w:szCs w:val="18"/>
        </w:rPr>
        <w:t xml:space="preserve"> is available at </w:t>
      </w:r>
      <w:r w:rsidR="000C396C" w:rsidRPr="00582553">
        <w:rPr>
          <w:rFonts w:ascii="Times New Roman" w:hAnsi="Times New Roman" w:cs="Times New Roman"/>
          <w:sz w:val="18"/>
          <w:szCs w:val="18"/>
        </w:rPr>
        <w:t xml:space="preserve">: </w:t>
      </w:r>
      <w:hyperlink r:id="rId2" w:history="1">
        <w:r w:rsidR="000C396C" w:rsidRPr="00582553">
          <w:rPr>
            <w:rStyle w:val="Hyperlink"/>
            <w:rFonts w:ascii="Times New Roman" w:hAnsi="Times New Roman" w:cs="Times New Roman"/>
            <w:sz w:val="18"/>
            <w:szCs w:val="18"/>
          </w:rPr>
          <w:t>https://op.europa.eu/en/publication-detail/-/publication/a224c235-4843-11ed-92ed-01aa75ed71a1/language-en</w:t>
        </w:r>
      </w:hyperlink>
      <w:r w:rsidR="008549CE" w:rsidRPr="00582553">
        <w:rPr>
          <w:rFonts w:ascii="Times New Roman" w:hAnsi="Times New Roman" w:cs="Times New Roman"/>
          <w:sz w:val="18"/>
          <w:szCs w:val="18"/>
        </w:rPr>
        <w:t>.</w:t>
      </w:r>
      <w:r w:rsidR="000C396C" w:rsidRPr="00582553">
        <w:rPr>
          <w:rFonts w:ascii="Times New Roman" w:hAnsi="Times New Roman" w:cs="Times New Roman"/>
          <w:sz w:val="18"/>
          <w:szCs w:val="18"/>
        </w:rPr>
        <w:t xml:space="preserve"> </w:t>
      </w:r>
    </w:p>
  </w:footnote>
  <w:footnote w:id="21">
    <w:p w14:paraId="012AD3D2" w14:textId="576F4913" w:rsidR="00B734F8" w:rsidRPr="00582553" w:rsidRDefault="00B734F8"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Information about the EU’s actions on FIMI is </w:t>
      </w:r>
      <w:r w:rsidR="00216B6F" w:rsidRPr="00582553">
        <w:rPr>
          <w:rFonts w:ascii="Times New Roman" w:hAnsi="Times New Roman" w:cs="Times New Roman"/>
          <w:sz w:val="18"/>
          <w:szCs w:val="18"/>
        </w:rPr>
        <w:t xml:space="preserve">available </w:t>
      </w:r>
      <w:r w:rsidRPr="00582553">
        <w:rPr>
          <w:rFonts w:ascii="Times New Roman" w:hAnsi="Times New Roman" w:cs="Times New Roman"/>
          <w:sz w:val="18"/>
          <w:szCs w:val="18"/>
        </w:rPr>
        <w:t xml:space="preserve">at: </w:t>
      </w:r>
      <w:hyperlink r:id="rId3" w:history="1">
        <w:r w:rsidRPr="00582553">
          <w:rPr>
            <w:rStyle w:val="Hyperlink"/>
            <w:rFonts w:ascii="Times New Roman" w:hAnsi="Times New Roman" w:cs="Times New Roman"/>
            <w:sz w:val="18"/>
            <w:szCs w:val="18"/>
          </w:rPr>
          <w:t>https://www.eeas.europa.eu/eeas/tackling-disinformation-foreign-information-manipulation-interference_en</w:t>
        </w:r>
      </w:hyperlink>
      <w:r w:rsidRPr="00582553">
        <w:rPr>
          <w:rFonts w:ascii="Times New Roman" w:hAnsi="Times New Roman" w:cs="Times New Roman"/>
          <w:sz w:val="18"/>
          <w:szCs w:val="18"/>
        </w:rPr>
        <w:t xml:space="preserve"> </w:t>
      </w:r>
    </w:p>
  </w:footnote>
  <w:footnote w:id="22">
    <w:p w14:paraId="630CCC3F" w14:textId="6ECDEF5B" w:rsidR="00B734F8" w:rsidRPr="00582553" w:rsidRDefault="00B734F8"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Proposal for a Regulation </w:t>
      </w:r>
      <w:r w:rsidR="00BA53E5" w:rsidRPr="00582553">
        <w:rPr>
          <w:rFonts w:ascii="Times New Roman" w:hAnsi="Times New Roman" w:cs="Times New Roman"/>
          <w:sz w:val="18"/>
          <w:szCs w:val="18"/>
        </w:rPr>
        <w:t xml:space="preserve">of the </w:t>
      </w:r>
      <w:r w:rsidR="00D70043" w:rsidRPr="00582553">
        <w:rPr>
          <w:rFonts w:ascii="Times New Roman" w:hAnsi="Times New Roman" w:cs="Times New Roman"/>
          <w:sz w:val="18"/>
          <w:szCs w:val="18"/>
        </w:rPr>
        <w:t>European Parliament and of the Council on the transparency and targeting of political advertising (COM/2021/731 final).</w:t>
      </w:r>
    </w:p>
  </w:footnote>
  <w:footnote w:id="23">
    <w:p w14:paraId="7D046620" w14:textId="0EE5AEFB" w:rsidR="00B734F8" w:rsidRPr="00582553" w:rsidRDefault="00B734F8"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Proposal for a Regulation establishing a common framework for media services in the internal market (European Media Freedom Act) and amending Directive 2010/13/EU</w:t>
      </w:r>
      <w:r w:rsidR="001C695A" w:rsidRPr="00582553">
        <w:rPr>
          <w:rFonts w:ascii="Times New Roman" w:hAnsi="Times New Roman" w:cs="Times New Roman"/>
          <w:sz w:val="18"/>
          <w:szCs w:val="18"/>
        </w:rPr>
        <w:t xml:space="preserve"> (COM/2022/457 final)</w:t>
      </w:r>
      <w:r w:rsidRPr="00582553">
        <w:rPr>
          <w:rFonts w:ascii="Times New Roman" w:hAnsi="Times New Roman" w:cs="Times New Roman"/>
          <w:sz w:val="18"/>
          <w:szCs w:val="18"/>
        </w:rPr>
        <w:t>; Proposal for a Directive on protecting persons who engage in public participation from manifestly unfounded or abusive court proceedings (“Strategic lawsuits against public participation”)</w:t>
      </w:r>
      <w:r w:rsidR="001E420D" w:rsidRPr="00582553">
        <w:rPr>
          <w:rFonts w:ascii="Times New Roman" w:hAnsi="Times New Roman" w:cs="Times New Roman"/>
          <w:sz w:val="18"/>
          <w:szCs w:val="18"/>
        </w:rPr>
        <w:t xml:space="preserve"> (COM/2022/177 final)</w:t>
      </w:r>
      <w:r w:rsidRPr="00582553">
        <w:rPr>
          <w:rFonts w:ascii="Times New Roman" w:hAnsi="Times New Roman" w:cs="Times New Roman"/>
          <w:sz w:val="18"/>
          <w:szCs w:val="18"/>
        </w:rPr>
        <w:t>; Commission Recommendation (EU) 2022/758 of 27 April 2022 on protecting journalists and human rights defenders who engage in public participation from manifestly unfounded or abusive court proceedings (‘Strategic lawsuits against public participation’).</w:t>
      </w:r>
    </w:p>
  </w:footnote>
  <w:footnote w:id="24">
    <w:p w14:paraId="2CCECBBE" w14:textId="77777777" w:rsidR="00B734F8" w:rsidRPr="00582553" w:rsidRDefault="00B734F8"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Regulation (EU) 2019/452 establishing a framework for the screening of foreign direct investments into the Union (FDI Screening Regulation).</w:t>
      </w:r>
    </w:p>
  </w:footnote>
  <w:footnote w:id="25">
    <w:p w14:paraId="146B0414" w14:textId="0A3E5C6A" w:rsidR="00B734F8" w:rsidRPr="00582553" w:rsidRDefault="00B734F8"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ab/>
        <w:t xml:space="preserve">Directive (EU) 2022/2555 </w:t>
      </w:r>
      <w:r w:rsidR="00965D0F" w:rsidRPr="00582553">
        <w:rPr>
          <w:rFonts w:ascii="Times New Roman" w:hAnsi="Times New Roman" w:cs="Times New Roman"/>
          <w:sz w:val="18"/>
          <w:szCs w:val="18"/>
        </w:rPr>
        <w:t>of the European Parliament and of the Council of 14 December 2022</w:t>
      </w:r>
      <w:r w:rsidRPr="00582553">
        <w:rPr>
          <w:rFonts w:ascii="Times New Roman" w:hAnsi="Times New Roman" w:cs="Times New Roman"/>
          <w:sz w:val="18"/>
          <w:szCs w:val="18"/>
        </w:rPr>
        <w:t xml:space="preserve"> on measures for a high common level of cybersecurity across the Union (NIS 2 Directive)</w:t>
      </w:r>
      <w:r w:rsidR="007F1622" w:rsidRPr="00582553">
        <w:rPr>
          <w:rFonts w:ascii="Times New Roman" w:hAnsi="Times New Roman" w:cs="Times New Roman"/>
          <w:sz w:val="18"/>
          <w:szCs w:val="18"/>
        </w:rPr>
        <w:t>;</w:t>
      </w:r>
      <w:r w:rsidRPr="00582553">
        <w:rPr>
          <w:rFonts w:ascii="Times New Roman" w:hAnsi="Times New Roman" w:cs="Times New Roman"/>
          <w:sz w:val="18"/>
          <w:szCs w:val="18"/>
        </w:rPr>
        <w:t xml:space="preserve"> Regulation (EU) 2019/881 </w:t>
      </w:r>
      <w:r w:rsidR="007F1622" w:rsidRPr="00582553">
        <w:rPr>
          <w:rFonts w:ascii="Times New Roman" w:hAnsi="Times New Roman" w:cs="Times New Roman"/>
          <w:sz w:val="18"/>
          <w:szCs w:val="18"/>
        </w:rPr>
        <w:t>of the European Parliament and of the Council of 17 April 2019</w:t>
      </w:r>
      <w:r w:rsidRPr="00582553">
        <w:rPr>
          <w:rFonts w:ascii="Times New Roman" w:hAnsi="Times New Roman" w:cs="Times New Roman"/>
          <w:sz w:val="18"/>
          <w:szCs w:val="18"/>
        </w:rPr>
        <w:t xml:space="preserve"> on ENISA (the European Union Agency for Cybersecurity) and on information and communications technology cybersecurity certification (EU Cybersecurity Act)</w:t>
      </w:r>
      <w:r w:rsidR="007F1622" w:rsidRPr="00582553">
        <w:rPr>
          <w:rFonts w:ascii="Times New Roman" w:hAnsi="Times New Roman" w:cs="Times New Roman"/>
          <w:sz w:val="18"/>
          <w:szCs w:val="18"/>
        </w:rPr>
        <w:t>;</w:t>
      </w:r>
      <w:r w:rsidRPr="00582553">
        <w:rPr>
          <w:rFonts w:ascii="Times New Roman" w:hAnsi="Times New Roman" w:cs="Times New Roman"/>
          <w:sz w:val="18"/>
          <w:szCs w:val="18"/>
        </w:rPr>
        <w:t xml:space="preserve"> Regulation (EU) 2022/2554 </w:t>
      </w:r>
      <w:r w:rsidR="00571318" w:rsidRPr="00582553">
        <w:rPr>
          <w:rFonts w:ascii="Times New Roman" w:hAnsi="Times New Roman" w:cs="Times New Roman"/>
          <w:sz w:val="18"/>
          <w:szCs w:val="18"/>
        </w:rPr>
        <w:t xml:space="preserve">of the European Parliament and of the Council of 14 December 2022 </w:t>
      </w:r>
      <w:r w:rsidRPr="00582553">
        <w:rPr>
          <w:rFonts w:ascii="Times New Roman" w:hAnsi="Times New Roman" w:cs="Times New Roman"/>
          <w:sz w:val="18"/>
          <w:szCs w:val="18"/>
        </w:rPr>
        <w:t>on Digital Operational Resilience for the Financial Sector (DORA Regulation)</w:t>
      </w:r>
      <w:r w:rsidR="007F1622" w:rsidRPr="00582553">
        <w:rPr>
          <w:rFonts w:ascii="Times New Roman" w:hAnsi="Times New Roman" w:cs="Times New Roman"/>
          <w:sz w:val="18"/>
          <w:szCs w:val="18"/>
        </w:rPr>
        <w:t>;</w:t>
      </w:r>
      <w:r w:rsidRPr="00582553">
        <w:rPr>
          <w:rFonts w:ascii="Times New Roman" w:hAnsi="Times New Roman" w:cs="Times New Roman"/>
          <w:sz w:val="18"/>
          <w:szCs w:val="18"/>
        </w:rPr>
        <w:t xml:space="preserve"> Proposal for a Regulation on horizontal cybersecurity requirements for products with digital elements (Cyber Resilience Act)</w:t>
      </w:r>
      <w:r w:rsidR="004B207B" w:rsidRPr="00582553">
        <w:rPr>
          <w:rFonts w:ascii="Times New Roman" w:hAnsi="Times New Roman" w:cs="Times New Roman"/>
          <w:sz w:val="18"/>
          <w:szCs w:val="18"/>
        </w:rPr>
        <w:t xml:space="preserve"> (COM/2022/454 final</w:t>
      </w:r>
      <w:r w:rsidRPr="00582553">
        <w:rPr>
          <w:rFonts w:ascii="Times New Roman" w:hAnsi="Times New Roman" w:cs="Times New Roman"/>
          <w:sz w:val="18"/>
          <w:szCs w:val="18"/>
        </w:rPr>
        <w:t>)</w:t>
      </w:r>
      <w:r w:rsidR="008B2D65" w:rsidRPr="00582553">
        <w:rPr>
          <w:rFonts w:ascii="Times New Roman" w:hAnsi="Times New Roman" w:cs="Times New Roman"/>
          <w:sz w:val="18"/>
          <w:szCs w:val="18"/>
        </w:rPr>
        <w:t>.</w:t>
      </w:r>
    </w:p>
  </w:footnote>
  <w:footnote w:id="26">
    <w:p w14:paraId="688834C0" w14:textId="2772A6D8" w:rsidR="00B734F8" w:rsidRPr="00582553" w:rsidRDefault="00B734F8" w:rsidP="00582553">
      <w:pPr>
        <w:pStyle w:val="FootnoteText"/>
        <w:spacing w:after="0"/>
        <w:ind w:left="284" w:hanging="284"/>
        <w:rPr>
          <w:rFonts w:ascii="Times New Roman" w:hAnsi="Times New Roman" w:cs="Times New Roman"/>
          <w:sz w:val="18"/>
          <w:szCs w:val="18"/>
          <w:lang w:val="en-US"/>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Proposed package of legislative proposals on anti-money laundering and countering the financing of terrorism legislative package, including </w:t>
      </w:r>
      <w:r w:rsidR="00A2340E" w:rsidRPr="00582553">
        <w:rPr>
          <w:rFonts w:ascii="Times New Roman" w:hAnsi="Times New Roman" w:cs="Times New Roman"/>
          <w:sz w:val="18"/>
          <w:szCs w:val="18"/>
        </w:rPr>
        <w:t xml:space="preserve">the Proposal for a Directive of the European Parliament and of the Council on the mechanisms to be put in place </w:t>
      </w:r>
      <w:r w:rsidR="00B206EF" w:rsidRPr="00582553">
        <w:rPr>
          <w:rFonts w:ascii="Times New Roman" w:hAnsi="Times New Roman" w:cs="Times New Roman"/>
          <w:sz w:val="18"/>
          <w:szCs w:val="18"/>
        </w:rPr>
        <w:t>by the Member States for the prevention of the use of the financial system for the purposes of money laundering or terrorist financing and repealing Directive (EU) 2015/849 (COM/2021/423 final)</w:t>
      </w:r>
      <w:r w:rsidR="00A90B4E" w:rsidRPr="00582553">
        <w:rPr>
          <w:rFonts w:ascii="Times New Roman" w:hAnsi="Times New Roman" w:cs="Times New Roman"/>
          <w:sz w:val="18"/>
          <w:szCs w:val="18"/>
        </w:rPr>
        <w:t xml:space="preserve">, and the </w:t>
      </w:r>
      <w:r w:rsidR="00AC22F4" w:rsidRPr="00582553">
        <w:rPr>
          <w:rFonts w:ascii="Times New Roman" w:hAnsi="Times New Roman" w:cs="Times New Roman"/>
          <w:sz w:val="18"/>
          <w:szCs w:val="18"/>
        </w:rPr>
        <w:t>Proposal for a Directive on combating corruption, replacing Council Framework Decision 2003/568/JHA and the Convention on the fight against corruption involving officials of the European Communities or officials of Member States of the European Union and amending Directive (EU) 2017/1371 of the European Parliament and of the Council (COM (2023) 234</w:t>
      </w:r>
      <w:r w:rsidR="00573FB5" w:rsidRPr="00582553">
        <w:rPr>
          <w:rFonts w:ascii="Times New Roman" w:hAnsi="Times New Roman" w:cs="Times New Roman"/>
          <w:sz w:val="18"/>
          <w:szCs w:val="18"/>
        </w:rPr>
        <w:t xml:space="preserve"> final</w:t>
      </w:r>
      <w:r w:rsidR="00D863E6" w:rsidRPr="00582553">
        <w:rPr>
          <w:rFonts w:ascii="Times New Roman" w:hAnsi="Times New Roman" w:cs="Times New Roman"/>
          <w:sz w:val="18"/>
          <w:szCs w:val="18"/>
        </w:rPr>
        <w:t>)</w:t>
      </w:r>
      <w:r w:rsidR="00AC22F4" w:rsidRPr="00582553">
        <w:rPr>
          <w:rFonts w:ascii="Times New Roman" w:hAnsi="Times New Roman" w:cs="Times New Roman"/>
          <w:sz w:val="18"/>
          <w:szCs w:val="18"/>
        </w:rPr>
        <w:t>.</w:t>
      </w:r>
    </w:p>
  </w:footnote>
  <w:footnote w:id="27">
    <w:p w14:paraId="4D23754E" w14:textId="5114BCDB" w:rsidR="00621C57" w:rsidRPr="00582553" w:rsidRDefault="00621C5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OECD (2021), Lobbying in the 21st Century: Transparency, Integrity and Access, OECD Publishing, Paris, </w:t>
      </w:r>
      <w:r w:rsidR="00120033" w:rsidRPr="00582553">
        <w:rPr>
          <w:rFonts w:ascii="Times New Roman" w:hAnsi="Times New Roman" w:cs="Times New Roman"/>
          <w:sz w:val="18"/>
          <w:szCs w:val="18"/>
          <w:lang w:val="en-IE"/>
        </w:rPr>
        <w:t xml:space="preserve">available at: </w:t>
      </w:r>
      <w:hyperlink r:id="rId4" w:history="1">
        <w:r w:rsidR="00120033" w:rsidRPr="00582553">
          <w:rPr>
            <w:rStyle w:val="Hyperlink"/>
            <w:rFonts w:ascii="Times New Roman" w:hAnsi="Times New Roman" w:cs="Times New Roman"/>
            <w:sz w:val="18"/>
            <w:szCs w:val="18"/>
            <w:lang w:val="en-IE"/>
          </w:rPr>
          <w:t>https://doi.org/10.1787/c6d8eff8-en</w:t>
        </w:r>
      </w:hyperlink>
      <w:r w:rsidRPr="00582553">
        <w:rPr>
          <w:rFonts w:ascii="Times New Roman" w:hAnsi="Times New Roman" w:cs="Times New Roman"/>
          <w:sz w:val="18"/>
          <w:szCs w:val="18"/>
          <w:lang w:val="en-IE"/>
        </w:rPr>
        <w:t>, page 43.</w:t>
      </w:r>
    </w:p>
  </w:footnote>
  <w:footnote w:id="28">
    <w:p w14:paraId="3E826B77" w14:textId="28E9E45A" w:rsidR="00EE0762" w:rsidRPr="00582553" w:rsidRDefault="00EE0762"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10210A" w:rsidRPr="00582553">
        <w:rPr>
          <w:rFonts w:ascii="Times New Roman" w:hAnsi="Times New Roman" w:cs="Times New Roman"/>
          <w:sz w:val="18"/>
          <w:szCs w:val="18"/>
        </w:rPr>
        <w:t xml:space="preserve">See note </w:t>
      </w:r>
      <w:r w:rsidR="00E24D65" w:rsidRPr="00582553">
        <w:rPr>
          <w:rFonts w:ascii="Times New Roman" w:hAnsi="Times New Roman" w:cs="Times New Roman"/>
          <w:sz w:val="18"/>
          <w:szCs w:val="18"/>
        </w:rPr>
        <w:fldChar w:fldCharType="begin"/>
      </w:r>
      <w:r w:rsidR="00E24D65" w:rsidRPr="00582553">
        <w:rPr>
          <w:rFonts w:ascii="Times New Roman" w:hAnsi="Times New Roman" w:cs="Times New Roman"/>
          <w:sz w:val="18"/>
          <w:szCs w:val="18"/>
        </w:rPr>
        <w:instrText xml:space="preserve"> NOTEREF _Ref147753663 \h </w:instrText>
      </w:r>
      <w:r w:rsidR="00582553">
        <w:rPr>
          <w:rFonts w:ascii="Times New Roman" w:hAnsi="Times New Roman" w:cs="Times New Roman"/>
          <w:sz w:val="18"/>
          <w:szCs w:val="18"/>
        </w:rPr>
        <w:instrText xml:space="preserve"> \* MERGEFORMAT </w:instrText>
      </w:r>
      <w:r w:rsidR="00E24D65" w:rsidRPr="00582553">
        <w:rPr>
          <w:rFonts w:ascii="Times New Roman" w:hAnsi="Times New Roman" w:cs="Times New Roman"/>
          <w:sz w:val="18"/>
          <w:szCs w:val="18"/>
        </w:rPr>
      </w:r>
      <w:r w:rsidR="00E24D65"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26</w:t>
      </w:r>
      <w:r w:rsidR="00E24D65" w:rsidRPr="00582553">
        <w:rPr>
          <w:rFonts w:ascii="Times New Roman" w:hAnsi="Times New Roman" w:cs="Times New Roman"/>
          <w:sz w:val="18"/>
          <w:szCs w:val="18"/>
        </w:rPr>
        <w:fldChar w:fldCharType="end"/>
      </w:r>
      <w:r w:rsidRPr="00582553">
        <w:rPr>
          <w:rFonts w:ascii="Times New Roman" w:hAnsi="Times New Roman" w:cs="Times New Roman"/>
          <w:sz w:val="18"/>
          <w:szCs w:val="18"/>
        </w:rPr>
        <w:t>, page 44.</w:t>
      </w:r>
    </w:p>
  </w:footnote>
  <w:footnote w:id="29">
    <w:p w14:paraId="2C617F4F" w14:textId="41584A84" w:rsidR="00EE0762" w:rsidRPr="00582553" w:rsidRDefault="00EE0762"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10210A" w:rsidRPr="00582553">
        <w:rPr>
          <w:rFonts w:ascii="Times New Roman" w:hAnsi="Times New Roman" w:cs="Times New Roman"/>
          <w:sz w:val="18"/>
          <w:szCs w:val="18"/>
        </w:rPr>
        <w:t xml:space="preserve">See note </w:t>
      </w:r>
      <w:r w:rsidR="00E24D65" w:rsidRPr="00582553">
        <w:rPr>
          <w:rFonts w:ascii="Times New Roman" w:hAnsi="Times New Roman" w:cs="Times New Roman"/>
          <w:sz w:val="18"/>
          <w:szCs w:val="18"/>
        </w:rPr>
        <w:fldChar w:fldCharType="begin"/>
      </w:r>
      <w:r w:rsidR="00E24D65" w:rsidRPr="00582553">
        <w:rPr>
          <w:rFonts w:ascii="Times New Roman" w:hAnsi="Times New Roman" w:cs="Times New Roman"/>
          <w:sz w:val="18"/>
          <w:szCs w:val="18"/>
        </w:rPr>
        <w:instrText xml:space="preserve"> NOTEREF _Ref147753663 \h </w:instrText>
      </w:r>
      <w:r w:rsidR="00582553">
        <w:rPr>
          <w:rFonts w:ascii="Times New Roman" w:hAnsi="Times New Roman" w:cs="Times New Roman"/>
          <w:sz w:val="18"/>
          <w:szCs w:val="18"/>
        </w:rPr>
        <w:instrText xml:space="preserve"> \* MERGEFORMAT </w:instrText>
      </w:r>
      <w:r w:rsidR="00E24D65" w:rsidRPr="00582553">
        <w:rPr>
          <w:rFonts w:ascii="Times New Roman" w:hAnsi="Times New Roman" w:cs="Times New Roman"/>
          <w:sz w:val="18"/>
          <w:szCs w:val="18"/>
        </w:rPr>
      </w:r>
      <w:r w:rsidR="00E24D65"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26</w:t>
      </w:r>
      <w:r w:rsidR="00E24D65" w:rsidRPr="00582553">
        <w:rPr>
          <w:rFonts w:ascii="Times New Roman" w:hAnsi="Times New Roman" w:cs="Times New Roman"/>
          <w:sz w:val="18"/>
          <w:szCs w:val="18"/>
        </w:rPr>
        <w:fldChar w:fldCharType="end"/>
      </w:r>
      <w:r w:rsidRPr="00582553">
        <w:rPr>
          <w:rFonts w:ascii="Times New Roman" w:hAnsi="Times New Roman" w:cs="Times New Roman"/>
          <w:sz w:val="18"/>
          <w:szCs w:val="18"/>
        </w:rPr>
        <w:t>, page 45.</w:t>
      </w:r>
    </w:p>
  </w:footnote>
  <w:footnote w:id="30">
    <w:p w14:paraId="0CC52EA6" w14:textId="239DEC4F" w:rsidR="000E3E7D" w:rsidRPr="00582553" w:rsidRDefault="000E3E7D" w:rsidP="00582553">
      <w:pPr>
        <w:pStyle w:val="FootnoteText"/>
        <w:spacing w:after="0"/>
        <w:ind w:left="284" w:hanging="284"/>
        <w:rPr>
          <w:sz w:val="18"/>
          <w:szCs w:val="18"/>
          <w:lang w:val="en-IE"/>
        </w:rPr>
      </w:pPr>
      <w:r w:rsidRPr="00582553">
        <w:rPr>
          <w:rStyle w:val="FootnoteReference"/>
          <w:sz w:val="18"/>
          <w:szCs w:val="18"/>
        </w:rPr>
        <w:footnoteRef/>
      </w:r>
      <w:r w:rsidRPr="00582553">
        <w:rPr>
          <w:sz w:val="18"/>
          <w:szCs w:val="18"/>
        </w:rPr>
        <w:t xml:space="preserve"> </w:t>
      </w:r>
      <w:r w:rsidR="00F51892" w:rsidRPr="00582553">
        <w:rPr>
          <w:sz w:val="18"/>
          <w:szCs w:val="18"/>
        </w:rPr>
        <w:tab/>
      </w:r>
      <w:r w:rsidRPr="00582553">
        <w:rPr>
          <w:sz w:val="18"/>
          <w:szCs w:val="18"/>
        </w:rPr>
        <w:t>Although these legislations are not comparable to the so-called “foreign agent laws” as they are in place or have been proposed in Russia</w:t>
      </w:r>
      <w:r w:rsidR="0051279E" w:rsidRPr="00582553">
        <w:rPr>
          <w:sz w:val="18"/>
          <w:szCs w:val="18"/>
        </w:rPr>
        <w:t xml:space="preserve"> or </w:t>
      </w:r>
      <w:r w:rsidRPr="00582553">
        <w:rPr>
          <w:sz w:val="18"/>
          <w:szCs w:val="18"/>
        </w:rPr>
        <w:t xml:space="preserve">Georgia, </w:t>
      </w:r>
      <w:r w:rsidR="001D2BEA" w:rsidRPr="00582553">
        <w:rPr>
          <w:sz w:val="18"/>
          <w:szCs w:val="18"/>
        </w:rPr>
        <w:t>some of these acts have been criticized as</w:t>
      </w:r>
      <w:r w:rsidRPr="00582553">
        <w:rPr>
          <w:sz w:val="18"/>
          <w:szCs w:val="18"/>
        </w:rPr>
        <w:t xml:space="preserve"> being too broad and vague in </w:t>
      </w:r>
      <w:r w:rsidR="00E94C82">
        <w:rPr>
          <w:sz w:val="18"/>
          <w:szCs w:val="18"/>
        </w:rPr>
        <w:t>their</w:t>
      </w:r>
      <w:r w:rsidRPr="00582553">
        <w:rPr>
          <w:sz w:val="18"/>
          <w:szCs w:val="18"/>
        </w:rPr>
        <w:t xml:space="preserve"> definitions and scope as well as </w:t>
      </w:r>
      <w:r w:rsidR="00A255D3" w:rsidRPr="00582553">
        <w:rPr>
          <w:sz w:val="18"/>
          <w:szCs w:val="18"/>
        </w:rPr>
        <w:t>envisaging</w:t>
      </w:r>
      <w:r w:rsidRPr="00582553">
        <w:rPr>
          <w:sz w:val="18"/>
          <w:szCs w:val="18"/>
        </w:rPr>
        <w:t xml:space="preserve"> criminal sanctions. </w:t>
      </w:r>
      <w:r w:rsidR="001D2BEA" w:rsidRPr="00582553">
        <w:rPr>
          <w:sz w:val="18"/>
          <w:szCs w:val="18"/>
        </w:rPr>
        <w:t>Th</w:t>
      </w:r>
      <w:r w:rsidR="008B6240" w:rsidRPr="00582553">
        <w:rPr>
          <w:sz w:val="18"/>
          <w:szCs w:val="18"/>
        </w:rPr>
        <w:t>e proposed</w:t>
      </w:r>
      <w:r w:rsidRPr="00582553">
        <w:rPr>
          <w:sz w:val="18"/>
          <w:szCs w:val="18"/>
        </w:rPr>
        <w:t xml:space="preserve"> </w:t>
      </w:r>
      <w:r w:rsidR="00BD3E33" w:rsidRPr="00582553">
        <w:rPr>
          <w:sz w:val="18"/>
          <w:szCs w:val="18"/>
        </w:rPr>
        <w:t xml:space="preserve">measures consider </w:t>
      </w:r>
      <w:r w:rsidR="002C3483" w:rsidRPr="00582553">
        <w:rPr>
          <w:sz w:val="18"/>
          <w:szCs w:val="18"/>
        </w:rPr>
        <w:t>these concerns</w:t>
      </w:r>
      <w:r w:rsidR="00BD3E33" w:rsidRPr="00582553">
        <w:rPr>
          <w:sz w:val="18"/>
          <w:szCs w:val="18"/>
        </w:rPr>
        <w:t xml:space="preserve"> an</w:t>
      </w:r>
      <w:r w:rsidR="00E41641" w:rsidRPr="00582553">
        <w:rPr>
          <w:sz w:val="18"/>
          <w:szCs w:val="18"/>
        </w:rPr>
        <w:t xml:space="preserve">d, therefore, </w:t>
      </w:r>
      <w:r w:rsidR="00916F11" w:rsidRPr="00582553">
        <w:rPr>
          <w:sz w:val="18"/>
          <w:szCs w:val="18"/>
        </w:rPr>
        <w:t xml:space="preserve">define </w:t>
      </w:r>
      <w:r w:rsidR="009E50E3" w:rsidRPr="00582553">
        <w:rPr>
          <w:sz w:val="18"/>
          <w:szCs w:val="18"/>
        </w:rPr>
        <w:t xml:space="preserve">key terms very precisely, </w:t>
      </w:r>
      <w:r w:rsidR="00A255D3" w:rsidRPr="00582553">
        <w:rPr>
          <w:sz w:val="18"/>
          <w:szCs w:val="18"/>
        </w:rPr>
        <w:t>envisage</w:t>
      </w:r>
      <w:r w:rsidR="006E2307" w:rsidRPr="00582553">
        <w:rPr>
          <w:sz w:val="18"/>
          <w:szCs w:val="18"/>
        </w:rPr>
        <w:t xml:space="preserve"> a targeted</w:t>
      </w:r>
      <w:r w:rsidR="0043078C" w:rsidRPr="00582553">
        <w:rPr>
          <w:sz w:val="18"/>
          <w:szCs w:val="18"/>
        </w:rPr>
        <w:t xml:space="preserve"> scope and </w:t>
      </w:r>
      <w:r w:rsidR="009D4F15" w:rsidRPr="00582553">
        <w:rPr>
          <w:sz w:val="18"/>
          <w:szCs w:val="18"/>
        </w:rPr>
        <w:t xml:space="preserve">proportionate </w:t>
      </w:r>
      <w:r w:rsidR="002F0C1F" w:rsidRPr="00582553">
        <w:rPr>
          <w:sz w:val="18"/>
          <w:szCs w:val="18"/>
        </w:rPr>
        <w:t>sanctions</w:t>
      </w:r>
      <w:r w:rsidRPr="00582553">
        <w:rPr>
          <w:sz w:val="18"/>
          <w:szCs w:val="18"/>
        </w:rPr>
        <w:t>.</w:t>
      </w:r>
    </w:p>
  </w:footnote>
  <w:footnote w:id="31">
    <w:p w14:paraId="12AFA721" w14:textId="0CF0FD50" w:rsidR="006B36F2" w:rsidRPr="00582553" w:rsidRDefault="006B36F2" w:rsidP="00582553">
      <w:pPr>
        <w:pStyle w:val="FootnoteText"/>
        <w:spacing w:after="0"/>
        <w:ind w:left="284" w:hanging="284"/>
        <w:rPr>
          <w:rStyle w:val="FootnoteReference"/>
          <w:rFonts w:ascii="Times New Roman" w:eastAsia="Times New Roman" w:hAnsi="Times New Roman" w:cs="Times New Roman"/>
          <w:sz w:val="18"/>
          <w:szCs w:val="18"/>
          <w:lang w:val="es-ES" w:eastAsia="en-US"/>
        </w:rPr>
      </w:pPr>
      <w:r w:rsidRPr="00582553">
        <w:rPr>
          <w:rStyle w:val="FootnoteReference"/>
          <w:rFonts w:ascii="Times New Roman" w:hAnsi="Times New Roman" w:cs="Times New Roman"/>
          <w:sz w:val="18"/>
          <w:szCs w:val="18"/>
        </w:rPr>
        <w:footnoteRef/>
      </w:r>
      <w:r w:rsidRPr="00582553">
        <w:rPr>
          <w:rStyle w:val="FootnoteReference"/>
          <w:rFonts w:ascii="Times New Roman" w:hAnsi="Times New Roman" w:cs="Times New Roman"/>
          <w:sz w:val="18"/>
          <w:szCs w:val="18"/>
          <w:lang w:val="es-ES"/>
        </w:rPr>
        <w:t xml:space="preserve"> </w:t>
      </w:r>
      <w:r w:rsidRPr="00582553">
        <w:rPr>
          <w:rStyle w:val="FootnoteReference"/>
          <w:rFonts w:ascii="Times New Roman" w:hAnsi="Times New Roman" w:cs="Times New Roman"/>
          <w:sz w:val="18"/>
          <w:szCs w:val="18"/>
          <w:lang w:val="es-ES"/>
        </w:rPr>
        <w:tab/>
      </w:r>
      <w:r w:rsidR="00C15818" w:rsidRPr="00582553">
        <w:rPr>
          <w:rFonts w:ascii="Times New Roman" w:hAnsi="Times New Roman" w:cs="Times New Roman"/>
          <w:sz w:val="18"/>
          <w:szCs w:val="18"/>
          <w:lang w:val="es-ES" w:eastAsia="en-IE"/>
        </w:rPr>
        <w:t xml:space="preserve">DE, IE, EL, ES, FR, IT, CY, LT, LU, NL, </w:t>
      </w:r>
      <w:r w:rsidRPr="00582553">
        <w:rPr>
          <w:rFonts w:ascii="Times New Roman" w:hAnsi="Times New Roman" w:cs="Times New Roman"/>
          <w:sz w:val="18"/>
          <w:szCs w:val="18"/>
          <w:lang w:val="es-ES" w:eastAsia="en-IE"/>
        </w:rPr>
        <w:t xml:space="preserve">AT, </w:t>
      </w:r>
      <w:r w:rsidR="00C15818" w:rsidRPr="00582553">
        <w:rPr>
          <w:rFonts w:ascii="Times New Roman" w:hAnsi="Times New Roman" w:cs="Times New Roman"/>
          <w:sz w:val="18"/>
          <w:szCs w:val="18"/>
          <w:lang w:val="es-ES" w:eastAsia="en-IE"/>
        </w:rPr>
        <w:t>PL, RO, SI,</w:t>
      </w:r>
      <w:r w:rsidR="008D4567" w:rsidRPr="00582553">
        <w:rPr>
          <w:rFonts w:ascii="Times New Roman" w:hAnsi="Times New Roman" w:cs="Times New Roman"/>
          <w:sz w:val="18"/>
          <w:szCs w:val="18"/>
          <w:lang w:val="es-ES" w:eastAsia="en-IE"/>
        </w:rPr>
        <w:t xml:space="preserve"> </w:t>
      </w:r>
      <w:r w:rsidRPr="00582553">
        <w:rPr>
          <w:rFonts w:ascii="Times New Roman" w:hAnsi="Times New Roman" w:cs="Times New Roman"/>
          <w:sz w:val="18"/>
          <w:szCs w:val="18"/>
          <w:lang w:val="es-ES" w:eastAsia="en-IE"/>
        </w:rPr>
        <w:t>FI.</w:t>
      </w:r>
    </w:p>
  </w:footnote>
  <w:footnote w:id="32">
    <w:p w14:paraId="77AB67FD" w14:textId="77777777" w:rsidR="006B36F2" w:rsidRPr="00582553" w:rsidRDefault="006B36F2"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ES, IT.</w:t>
      </w:r>
    </w:p>
  </w:footnote>
  <w:footnote w:id="33">
    <w:p w14:paraId="05C14E4C" w14:textId="6ECB7DB3" w:rsidR="006B36F2" w:rsidRPr="00582553" w:rsidRDefault="006B36F2"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9E5EBD" w:rsidRPr="00582553">
        <w:rPr>
          <w:rFonts w:ascii="Times New Roman" w:eastAsia="Calibri" w:hAnsi="Times New Roman" w:cs="Times New Roman"/>
          <w:sz w:val="18"/>
          <w:szCs w:val="18"/>
        </w:rPr>
        <w:t xml:space="preserve">See Section </w:t>
      </w:r>
      <w:r w:rsidR="002F0912" w:rsidRPr="00582553">
        <w:rPr>
          <w:rFonts w:ascii="Times New Roman" w:eastAsia="Calibri" w:hAnsi="Times New Roman" w:cs="Times New Roman"/>
          <w:sz w:val="18"/>
          <w:szCs w:val="18"/>
        </w:rPr>
        <w:t>2.1.1.</w:t>
      </w:r>
    </w:p>
  </w:footnote>
  <w:footnote w:id="34">
    <w:p w14:paraId="63E576F9" w14:textId="378915E9" w:rsidR="006B36F2" w:rsidRPr="00582553" w:rsidRDefault="006B36F2" w:rsidP="00582553">
      <w:pPr>
        <w:spacing w:after="0" w:line="240" w:lineRule="auto"/>
        <w:ind w:left="284" w:hanging="284"/>
        <w:jc w:val="both"/>
        <w:textAlignment w:val="baseline"/>
        <w:rPr>
          <w:rFonts w:ascii="Times New Roman" w:hAnsi="Times New Roman" w:cs="Times New Roman"/>
          <w:sz w:val="18"/>
          <w:szCs w:val="18"/>
          <w:lang w:val="en-IE" w:eastAsia="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F</w:t>
      </w:r>
      <w:r w:rsidRPr="00582553">
        <w:rPr>
          <w:rFonts w:ascii="Times New Roman" w:eastAsia="Times" w:hAnsi="Times New Roman" w:cs="Times New Roman"/>
          <w:sz w:val="18"/>
          <w:szCs w:val="18"/>
          <w:lang w:val="en-IE" w:eastAsia="en-IE"/>
        </w:rPr>
        <w:t xml:space="preserve">or example, </w:t>
      </w:r>
      <w:r w:rsidR="0049740F" w:rsidRPr="00582553">
        <w:rPr>
          <w:rFonts w:ascii="Times New Roman" w:eastAsia="Times" w:hAnsi="Times New Roman" w:cs="Times New Roman"/>
          <w:sz w:val="18"/>
          <w:szCs w:val="18"/>
          <w:lang w:val="en-IE" w:eastAsia="en-IE"/>
        </w:rPr>
        <w:t>FR</w:t>
      </w:r>
      <w:r w:rsidRPr="00582553">
        <w:rPr>
          <w:rFonts w:ascii="Times New Roman" w:eastAsia="Times" w:hAnsi="Times New Roman" w:cs="Times New Roman"/>
          <w:sz w:val="18"/>
          <w:szCs w:val="18"/>
          <w:lang w:val="en-IE" w:eastAsia="en-IE"/>
        </w:rPr>
        <w:t xml:space="preserve"> has a law on the transparency of public life that requires lobbyists to register with a public register and report on their activities, such as those with foreign interests. Other Member States, such as </w:t>
      </w:r>
      <w:r w:rsidR="008E5620" w:rsidRPr="00582553">
        <w:rPr>
          <w:rFonts w:ascii="Times New Roman" w:eastAsia="Times" w:hAnsi="Times New Roman" w:cs="Times New Roman"/>
          <w:sz w:val="18"/>
          <w:szCs w:val="18"/>
          <w:lang w:val="en-IE" w:eastAsia="en-IE"/>
        </w:rPr>
        <w:t xml:space="preserve">IE </w:t>
      </w:r>
      <w:r w:rsidRPr="00582553">
        <w:rPr>
          <w:rFonts w:ascii="Times New Roman" w:eastAsia="Times" w:hAnsi="Times New Roman" w:cs="Times New Roman"/>
          <w:sz w:val="18"/>
          <w:szCs w:val="18"/>
          <w:lang w:val="en-IE" w:eastAsia="en-IE"/>
        </w:rPr>
        <w:t xml:space="preserve">or </w:t>
      </w:r>
      <w:r w:rsidR="0049740F" w:rsidRPr="00582553">
        <w:rPr>
          <w:rFonts w:ascii="Times New Roman" w:eastAsia="Times" w:hAnsi="Times New Roman" w:cs="Times New Roman"/>
          <w:sz w:val="18"/>
          <w:szCs w:val="18"/>
          <w:lang w:val="en-IE" w:eastAsia="en-IE"/>
        </w:rPr>
        <w:t>NL</w:t>
      </w:r>
      <w:r w:rsidRPr="00582553">
        <w:rPr>
          <w:rFonts w:ascii="Times New Roman" w:eastAsia="Times" w:hAnsi="Times New Roman" w:cs="Times New Roman"/>
          <w:sz w:val="18"/>
          <w:szCs w:val="18"/>
          <w:lang w:val="en-IE" w:eastAsia="en-IE"/>
        </w:rPr>
        <w:t xml:space="preserve">, also have laws or regulations governing lobbying activities, although the scope and requirements of these laws vary significantly. </w:t>
      </w:r>
    </w:p>
  </w:footnote>
  <w:footnote w:id="35">
    <w:p w14:paraId="54390AB7" w14:textId="33D0195B" w:rsidR="006B36F2" w:rsidRPr="00582553" w:rsidRDefault="006B36F2" w:rsidP="00582553">
      <w:pPr>
        <w:spacing w:after="0" w:line="240" w:lineRule="auto"/>
        <w:ind w:left="284" w:hanging="284"/>
        <w:jc w:val="both"/>
        <w:textAlignment w:val="baseline"/>
        <w:rPr>
          <w:rFonts w:ascii="Times New Roman" w:hAnsi="Times New Roman" w:cs="Times New Roman"/>
          <w:sz w:val="18"/>
          <w:szCs w:val="18"/>
          <w:lang w:val="en-IE" w:eastAsia="fr-B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Fonts w:ascii="Times New Roman" w:eastAsia="Symbol" w:hAnsi="Times New Roman" w:cs="Times New Roman"/>
          <w:sz w:val="18"/>
          <w:szCs w:val="18"/>
          <w:lang w:val="en-IE" w:eastAsia="fr-BE"/>
        </w:rPr>
        <w:t xml:space="preserve">As further examples of the potential effect of differing registration requirements, an entity carrying out interest representation in </w:t>
      </w:r>
      <w:r w:rsidR="0049740F" w:rsidRPr="00582553">
        <w:rPr>
          <w:rFonts w:ascii="Times New Roman" w:eastAsia="Symbol" w:hAnsi="Times New Roman" w:cs="Times New Roman"/>
          <w:sz w:val="18"/>
          <w:szCs w:val="18"/>
          <w:lang w:val="en-IE" w:eastAsia="fr-BE"/>
        </w:rPr>
        <w:t>BE</w:t>
      </w:r>
      <w:r w:rsidRPr="00582553">
        <w:rPr>
          <w:rFonts w:ascii="Times New Roman" w:eastAsia="Symbol" w:hAnsi="Times New Roman" w:cs="Times New Roman"/>
          <w:sz w:val="18"/>
          <w:szCs w:val="18"/>
          <w:lang w:val="en-IE" w:eastAsia="fr-BE"/>
        </w:rPr>
        <w:t xml:space="preserve"> would need to </w:t>
      </w:r>
      <w:r w:rsidRPr="00582553">
        <w:rPr>
          <w:rFonts w:ascii="Times New Roman" w:eastAsia="Times" w:hAnsi="Times New Roman" w:cs="Times New Roman"/>
          <w:sz w:val="18"/>
          <w:szCs w:val="18"/>
          <w:lang w:val="en-IE" w:eastAsia="fr-BE"/>
        </w:rPr>
        <w:t xml:space="preserve">disclose the names of the customers represented by them; meanwhile, in </w:t>
      </w:r>
      <w:r w:rsidR="0049740F" w:rsidRPr="00582553">
        <w:rPr>
          <w:rFonts w:ascii="Times New Roman" w:eastAsia="Times" w:hAnsi="Times New Roman" w:cs="Times New Roman"/>
          <w:sz w:val="18"/>
          <w:szCs w:val="18"/>
          <w:lang w:val="en-IE" w:eastAsia="fr-BE"/>
        </w:rPr>
        <w:t>LU</w:t>
      </w:r>
      <w:r w:rsidRPr="00582553">
        <w:rPr>
          <w:rFonts w:ascii="Times New Roman" w:eastAsia="Times" w:hAnsi="Times New Roman" w:cs="Times New Roman"/>
          <w:sz w:val="18"/>
          <w:szCs w:val="18"/>
          <w:lang w:val="en-IE" w:eastAsia="fr-BE"/>
        </w:rPr>
        <w:t xml:space="preserve">, the identity of clients do not have to be entered into the register. In a similar vein, there is a discrepancy between obligations to report financial figures on the expenditures that concern specifically interest representation activities. The federal lobby register established in </w:t>
      </w:r>
      <w:r w:rsidR="0049740F" w:rsidRPr="00582553">
        <w:rPr>
          <w:rFonts w:ascii="Times New Roman" w:eastAsia="Times" w:hAnsi="Times New Roman" w:cs="Times New Roman"/>
          <w:sz w:val="18"/>
          <w:szCs w:val="18"/>
          <w:lang w:val="en-IE" w:eastAsia="fr-BE"/>
        </w:rPr>
        <w:t>DE</w:t>
      </w:r>
      <w:r w:rsidRPr="00582553">
        <w:rPr>
          <w:rFonts w:ascii="Times New Roman" w:eastAsia="Times" w:hAnsi="Times New Roman" w:cs="Times New Roman"/>
          <w:sz w:val="18"/>
          <w:szCs w:val="18"/>
          <w:lang w:val="en-IE" w:eastAsia="fr-BE"/>
        </w:rPr>
        <w:t xml:space="preserve"> makes it mandatory to enter data on the annual financial expenditures of the organisation for interest representation. In contrast, there is no comparable rule in the </w:t>
      </w:r>
      <w:r w:rsidR="0049740F" w:rsidRPr="00582553">
        <w:rPr>
          <w:rFonts w:ascii="Times New Roman" w:eastAsia="Times" w:hAnsi="Times New Roman" w:cs="Times New Roman"/>
          <w:sz w:val="18"/>
          <w:szCs w:val="18"/>
          <w:lang w:val="en-IE" w:eastAsia="fr-BE"/>
        </w:rPr>
        <w:t>IE</w:t>
      </w:r>
      <w:r w:rsidRPr="00582553">
        <w:rPr>
          <w:rFonts w:ascii="Times New Roman" w:eastAsia="Times" w:hAnsi="Times New Roman" w:cs="Times New Roman"/>
          <w:sz w:val="18"/>
          <w:szCs w:val="18"/>
          <w:lang w:val="en-IE" w:eastAsia="fr-BE"/>
        </w:rPr>
        <w:t xml:space="preserve"> Regulation of Lobbying Act.</w:t>
      </w:r>
    </w:p>
  </w:footnote>
  <w:footnote w:id="36">
    <w:p w14:paraId="2B5CE7DF" w14:textId="77777777" w:rsidR="006B36F2" w:rsidRPr="00582553" w:rsidRDefault="006B36F2"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 xml:space="preserve">A complete mapping of this fragmentation is available in Annex 6 and 7.  </w:t>
      </w:r>
    </w:p>
  </w:footnote>
  <w:footnote w:id="37">
    <w:p w14:paraId="5A449819" w14:textId="4CFC4498" w:rsidR="008230BA" w:rsidRPr="00582553" w:rsidRDefault="008230B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eastAsia="Symbol" w:hAnsi="Times New Roman" w:cs="Times New Roman"/>
          <w:sz w:val="18"/>
          <w:szCs w:val="18"/>
        </w:rPr>
        <w:tab/>
      </w:r>
      <w:r w:rsidRPr="00582553">
        <w:rPr>
          <w:rFonts w:ascii="Times New Roman" w:hAnsi="Times New Roman" w:cs="Times New Roman"/>
          <w:sz w:val="18"/>
          <w:szCs w:val="18"/>
          <w:lang w:val="en-IE" w:eastAsia="en-IE"/>
        </w:rPr>
        <w:t xml:space="preserve">BE, BG, </w:t>
      </w:r>
      <w:r w:rsidR="00C15818" w:rsidRPr="00582553">
        <w:rPr>
          <w:rFonts w:ascii="Times New Roman" w:hAnsi="Times New Roman" w:cs="Times New Roman"/>
          <w:sz w:val="18"/>
          <w:szCs w:val="18"/>
          <w:lang w:val="en-IE" w:eastAsia="en-IE"/>
        </w:rPr>
        <w:t xml:space="preserve">CZ, DK, EE, </w:t>
      </w:r>
      <w:r w:rsidRPr="00582553">
        <w:rPr>
          <w:rFonts w:ascii="Times New Roman" w:hAnsi="Times New Roman" w:cs="Times New Roman"/>
          <w:sz w:val="18"/>
          <w:szCs w:val="18"/>
          <w:lang w:val="en-IE" w:eastAsia="en-IE"/>
        </w:rPr>
        <w:t xml:space="preserve">HR, </w:t>
      </w:r>
      <w:r w:rsidR="00C15818" w:rsidRPr="00582553">
        <w:rPr>
          <w:rFonts w:ascii="Times New Roman" w:hAnsi="Times New Roman" w:cs="Times New Roman"/>
          <w:sz w:val="18"/>
          <w:szCs w:val="18"/>
          <w:lang w:val="en-IE" w:eastAsia="en-IE"/>
        </w:rPr>
        <w:t xml:space="preserve">LV, </w:t>
      </w:r>
      <w:r w:rsidRPr="00582553">
        <w:rPr>
          <w:rFonts w:ascii="Times New Roman" w:hAnsi="Times New Roman" w:cs="Times New Roman"/>
          <w:sz w:val="18"/>
          <w:szCs w:val="18"/>
          <w:lang w:val="en-IE" w:eastAsia="en-IE"/>
        </w:rPr>
        <w:t>HU, MT, PT, SK, SE.</w:t>
      </w:r>
    </w:p>
  </w:footnote>
  <w:footnote w:id="38">
    <w:p w14:paraId="59AEA74C" w14:textId="7C7F68DD" w:rsidR="00B85522" w:rsidRPr="00582553" w:rsidRDefault="00B85522" w:rsidP="00313F32">
      <w:pPr>
        <w:pStyle w:val="FootnoteText"/>
        <w:spacing w:after="0"/>
        <w:ind w:left="284" w:hanging="284"/>
        <w:rPr>
          <w:sz w:val="18"/>
          <w:szCs w:val="18"/>
          <w:lang w:val="en-IE"/>
        </w:rPr>
      </w:pPr>
      <w:r w:rsidRPr="00582553">
        <w:rPr>
          <w:rStyle w:val="FootnoteReference"/>
          <w:sz w:val="18"/>
          <w:szCs w:val="18"/>
        </w:rPr>
        <w:footnoteRef/>
      </w:r>
      <w:r w:rsidRPr="00582553">
        <w:rPr>
          <w:sz w:val="18"/>
          <w:szCs w:val="18"/>
        </w:rPr>
        <w:t xml:space="preserve"> </w:t>
      </w:r>
      <w:r w:rsidRPr="00582553">
        <w:rPr>
          <w:sz w:val="18"/>
          <w:szCs w:val="18"/>
          <w:lang w:val="en-IE"/>
        </w:rPr>
        <w:t xml:space="preserve"> </w:t>
      </w:r>
      <w:r w:rsidRPr="00582553">
        <w:rPr>
          <w:rFonts w:ascii="Times New Roman" w:hAnsi="Times New Roman" w:cs="Times New Roman"/>
          <w:sz w:val="18"/>
          <w:szCs w:val="18"/>
          <w:lang w:val="en-IE" w:eastAsia="fr-BE"/>
        </w:rPr>
        <w:t xml:space="preserve">It also </w:t>
      </w:r>
      <w:r w:rsidR="0020253F" w:rsidRPr="00582553">
        <w:rPr>
          <w:rFonts w:ascii="Times New Roman" w:hAnsi="Times New Roman" w:cs="Times New Roman"/>
          <w:sz w:val="18"/>
          <w:szCs w:val="18"/>
          <w:lang w:val="en-IE" w:eastAsia="fr-BE"/>
        </w:rPr>
        <w:t>builds</w:t>
      </w:r>
      <w:r w:rsidRPr="00582553">
        <w:rPr>
          <w:rFonts w:ascii="Times New Roman" w:hAnsi="Times New Roman" w:cs="Times New Roman"/>
          <w:sz w:val="18"/>
          <w:szCs w:val="18"/>
          <w:lang w:val="en-IE" w:eastAsia="fr-BE"/>
        </w:rPr>
        <w:t xml:space="preserve"> on the </w:t>
      </w:r>
      <w:r w:rsidR="00972BE5" w:rsidRPr="00582553">
        <w:rPr>
          <w:rFonts w:ascii="Times New Roman" w:hAnsi="Times New Roman" w:cs="Times New Roman"/>
          <w:sz w:val="18"/>
          <w:szCs w:val="18"/>
          <w:lang w:val="en-IE" w:eastAsia="fr-BE"/>
        </w:rPr>
        <w:t xml:space="preserve">package reinforcing democracy and integrity of elections presented by the Commission </w:t>
      </w:r>
      <w:r w:rsidR="0020253F" w:rsidRPr="00582553">
        <w:rPr>
          <w:rFonts w:ascii="Times New Roman" w:hAnsi="Times New Roman" w:cs="Times New Roman"/>
          <w:sz w:val="18"/>
          <w:szCs w:val="18"/>
          <w:lang w:val="en-IE" w:eastAsia="fr-BE"/>
        </w:rPr>
        <w:t>on 25 November 2021.</w:t>
      </w:r>
    </w:p>
  </w:footnote>
  <w:footnote w:id="39">
    <w:p w14:paraId="76BAF97D" w14:textId="77777777" w:rsidR="00FD777C" w:rsidRPr="00582553" w:rsidRDefault="00FD777C" w:rsidP="00582553">
      <w:pPr>
        <w:pStyle w:val="FootnoteText"/>
        <w:spacing w:after="0"/>
        <w:ind w:left="284" w:hanging="284"/>
        <w:rPr>
          <w:rFonts w:ascii="Times New Roman" w:eastAsia="Arial Unicode MS" w:hAnsi="Times New Roman" w:cs="Times New Roman"/>
          <w:sz w:val="18"/>
          <w:szCs w:val="18"/>
          <w:lang w:val="en-IE"/>
        </w:rPr>
      </w:pPr>
      <w:r w:rsidRPr="00582553">
        <w:rPr>
          <w:rStyle w:val="FootnoteReference"/>
          <w:rFonts w:ascii="Times New Roman" w:eastAsia="Times New Roman" w:hAnsi="Times New Roman" w:cs="Times New Roman"/>
          <w:sz w:val="18"/>
          <w:szCs w:val="18"/>
        </w:rPr>
        <w:footnoteRef/>
      </w:r>
      <w:r w:rsidRPr="00582553">
        <w:rPr>
          <w:rFonts w:ascii="Times New Roman" w:eastAsia="Times New Roman" w:hAnsi="Times New Roman" w:cs="Times New Roman"/>
          <w:sz w:val="18"/>
          <w:szCs w:val="18"/>
        </w:rPr>
        <w:t xml:space="preserve"> </w:t>
      </w:r>
      <w:r w:rsidRPr="00582553">
        <w:rPr>
          <w:rFonts w:ascii="Times New Roman" w:eastAsia="Times New Roman" w:hAnsi="Times New Roman" w:cs="Times New Roman"/>
          <w:sz w:val="18"/>
          <w:szCs w:val="18"/>
        </w:rPr>
        <w:tab/>
        <w:t xml:space="preserve">Proposal for a Regulation of the European Parliament and of the Council establishing a common framework for media services in the internal market (European Media Freedom Act) and amending Directive 2010/13/EU (COM(2022) 457 final), </w:t>
      </w:r>
      <w:r w:rsidRPr="00582553">
        <w:rPr>
          <w:rFonts w:ascii="Times New Roman" w:eastAsia="Times New Roman" w:hAnsi="Times New Roman" w:cs="Times New Roman"/>
          <w:sz w:val="18"/>
          <w:szCs w:val="18"/>
          <w:lang w:val="en-IE"/>
        </w:rPr>
        <w:t>which aims to address fragmented national regulatory approaches related to media freedom and pluralism and editorial independence to ensure the free provision of media services within the internal market, while ensuring that Member States remain able to adapt media policy to their national context, in line with their competences.</w:t>
      </w:r>
      <w:r w:rsidRPr="00582553">
        <w:rPr>
          <w:rFonts w:ascii="Times New Roman" w:hAnsi="Times New Roman" w:cs="Times New Roman"/>
          <w:sz w:val="18"/>
          <w:szCs w:val="18"/>
        </w:rPr>
        <w:tab/>
      </w:r>
    </w:p>
  </w:footnote>
  <w:footnote w:id="40">
    <w:p w14:paraId="2F5F4D0E" w14:textId="77777777" w:rsidR="00FD777C" w:rsidRPr="00582553" w:rsidRDefault="00FD777C"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ab/>
        <w:t>Regulation (EU) 2022/2065 of the European Parliament and of the Council of 19 October 2022 on a Single Market For Digital Services and amending Directive 2000/31/EU (OJ L 277, 27.10.2022, p. 1).</w:t>
      </w:r>
    </w:p>
  </w:footnote>
  <w:footnote w:id="41">
    <w:p w14:paraId="5FB8E2A8" w14:textId="77777777" w:rsidR="00627561" w:rsidRPr="00582553" w:rsidRDefault="00627561"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lang w:val="en-IE"/>
        </w:rPr>
        <w:tab/>
        <w:t>Regulation (EU, Euratom) No 1141/2014 of the European Parliament and of the Council of 22 October 2014 on the statute and funding of European political parties and European political foundations (OJ L317, 4.11.2014, p. 1).</w:t>
      </w:r>
    </w:p>
  </w:footnote>
  <w:footnote w:id="42">
    <w:p w14:paraId="1C041059" w14:textId="31D7D22F" w:rsidR="009B4A6D" w:rsidRPr="00582553" w:rsidRDefault="009B4A6D" w:rsidP="00582553">
      <w:pPr>
        <w:pStyle w:val="FootnoteText"/>
        <w:spacing w:after="0"/>
        <w:ind w:left="284" w:hanging="284"/>
        <w:rPr>
          <w:rStyle w:val="FootnoteReference"/>
          <w:rFonts w:ascii="Times New Roman" w:eastAsia="Times New Roman" w:hAnsi="Times New Roman" w:cs="Times New Roman"/>
          <w:sz w:val="18"/>
          <w:szCs w:val="18"/>
          <w:lang w:val="es-ES" w:eastAsia="en-US"/>
        </w:rPr>
      </w:pPr>
      <w:r w:rsidRPr="00582553">
        <w:rPr>
          <w:rStyle w:val="FootnoteReference"/>
          <w:rFonts w:ascii="Times New Roman" w:hAnsi="Times New Roman" w:cs="Times New Roman"/>
          <w:sz w:val="18"/>
          <w:szCs w:val="18"/>
        </w:rPr>
        <w:footnoteRef/>
      </w:r>
      <w:r w:rsidRPr="00582553">
        <w:rPr>
          <w:rStyle w:val="FootnoteReference"/>
          <w:rFonts w:ascii="Times New Roman" w:hAnsi="Times New Roman" w:cs="Times New Roman"/>
          <w:sz w:val="18"/>
          <w:szCs w:val="18"/>
          <w:lang w:val="es-ES"/>
        </w:rPr>
        <w:t xml:space="preserve"> </w:t>
      </w:r>
      <w:r w:rsidRPr="00582553">
        <w:rPr>
          <w:rStyle w:val="FootnoteReference"/>
          <w:rFonts w:ascii="Times New Roman" w:hAnsi="Times New Roman" w:cs="Times New Roman"/>
          <w:sz w:val="18"/>
          <w:szCs w:val="18"/>
          <w:lang w:val="es-ES"/>
        </w:rPr>
        <w:tab/>
      </w:r>
      <w:r w:rsidR="00C15818" w:rsidRPr="00582553">
        <w:rPr>
          <w:rFonts w:ascii="Times New Roman" w:hAnsi="Times New Roman" w:cs="Times New Roman"/>
          <w:sz w:val="18"/>
          <w:szCs w:val="18"/>
          <w:lang w:val="es-ES"/>
        </w:rPr>
        <w:t>DE, IE, EL, ES, FR, IT, CY, LT, LU, NL, AT</w:t>
      </w:r>
      <w:r w:rsidR="00C15818" w:rsidRPr="00582553">
        <w:rPr>
          <w:rFonts w:ascii="Times New Roman" w:hAnsi="Times New Roman" w:cs="Times New Roman"/>
          <w:sz w:val="18"/>
          <w:szCs w:val="18"/>
          <w:lang w:val="es-ES" w:eastAsia="en-IE"/>
        </w:rPr>
        <w:t xml:space="preserve">, PL, RO, SI, FI. </w:t>
      </w:r>
      <w:r w:rsidRPr="00582553">
        <w:rPr>
          <w:rFonts w:ascii="Times New Roman" w:hAnsi="Times New Roman" w:cs="Times New Roman"/>
          <w:sz w:val="18"/>
          <w:szCs w:val="18"/>
          <w:lang w:val="es-ES" w:eastAsia="en-IE"/>
        </w:rPr>
        <w:t>.</w:t>
      </w:r>
    </w:p>
  </w:footnote>
  <w:footnote w:id="43">
    <w:p w14:paraId="62F3D83C" w14:textId="77777777" w:rsidR="009B4A6D" w:rsidRPr="00582553" w:rsidRDefault="009B4A6D"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ES, IT.</w:t>
      </w:r>
    </w:p>
  </w:footnote>
  <w:footnote w:id="44">
    <w:p w14:paraId="0FC2B3B3" w14:textId="5195C128" w:rsidR="009B4A6D" w:rsidRPr="00582553" w:rsidRDefault="009B4A6D"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A complete mapping of this fragmentation is available in Annex</w:t>
      </w:r>
      <w:r w:rsidR="00D87DD2">
        <w:rPr>
          <w:rFonts w:ascii="Times New Roman" w:hAnsi="Times New Roman" w:cs="Times New Roman"/>
          <w:sz w:val="18"/>
          <w:szCs w:val="18"/>
          <w:lang w:val="en-IE"/>
        </w:rPr>
        <w:t>es</w:t>
      </w:r>
      <w:r w:rsidRPr="00582553">
        <w:rPr>
          <w:rFonts w:ascii="Times New Roman" w:hAnsi="Times New Roman" w:cs="Times New Roman"/>
          <w:sz w:val="18"/>
          <w:szCs w:val="18"/>
          <w:lang w:val="en-IE"/>
        </w:rPr>
        <w:t xml:space="preserve"> 6 and 7.  </w:t>
      </w:r>
    </w:p>
  </w:footnote>
  <w:footnote w:id="45">
    <w:p w14:paraId="4401BE41" w14:textId="770C8138" w:rsidR="00B36716" w:rsidRPr="00582553" w:rsidRDefault="00B36716" w:rsidP="00582553">
      <w:pPr>
        <w:pStyle w:val="FootnoteText"/>
        <w:spacing w:after="0"/>
        <w:ind w:left="284" w:hanging="284"/>
        <w:rPr>
          <w:rFonts w:ascii="Times New Roman" w:hAnsi="Times New Roman" w:cs="Times New Roman"/>
          <w:sz w:val="18"/>
          <w:szCs w:val="18"/>
          <w:lang w:val="es-ES"/>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lang w:val="es-ES"/>
        </w:rPr>
        <w:t xml:space="preserve"> </w:t>
      </w:r>
      <w:r w:rsidRPr="00582553">
        <w:rPr>
          <w:rFonts w:ascii="Times New Roman" w:hAnsi="Times New Roman" w:cs="Times New Roman"/>
          <w:sz w:val="18"/>
          <w:szCs w:val="18"/>
          <w:lang w:val="es-ES"/>
        </w:rPr>
        <w:tab/>
      </w:r>
      <w:r w:rsidR="00C15818" w:rsidRPr="00582553">
        <w:rPr>
          <w:rFonts w:ascii="Times New Roman" w:hAnsi="Times New Roman" w:cs="Times New Roman"/>
          <w:sz w:val="18"/>
          <w:szCs w:val="18"/>
          <w:lang w:val="es-ES"/>
        </w:rPr>
        <w:t xml:space="preserve">DE, IE, EL, FR, LT, LU, AT, </w:t>
      </w:r>
      <w:r w:rsidRPr="00582553">
        <w:rPr>
          <w:rFonts w:ascii="Times New Roman" w:hAnsi="Times New Roman" w:cs="Times New Roman"/>
          <w:sz w:val="18"/>
          <w:szCs w:val="18"/>
          <w:lang w:val="es-ES"/>
        </w:rPr>
        <w:t xml:space="preserve">PL, RO. </w:t>
      </w:r>
    </w:p>
  </w:footnote>
  <w:footnote w:id="46">
    <w:p w14:paraId="39AA9E56" w14:textId="20F25B37" w:rsidR="001B626F" w:rsidRPr="00582553" w:rsidRDefault="001B626F"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eastAsia="Symbol" w:hAnsi="Times New Roman" w:cs="Times New Roman"/>
          <w:sz w:val="18"/>
          <w:szCs w:val="18"/>
        </w:rPr>
        <w:tab/>
      </w:r>
      <w:r w:rsidRPr="00582553">
        <w:rPr>
          <w:rFonts w:ascii="Times New Roman" w:hAnsi="Times New Roman" w:cs="Times New Roman"/>
          <w:sz w:val="18"/>
          <w:szCs w:val="18"/>
          <w:lang w:val="en-IE" w:eastAsia="en-IE"/>
        </w:rPr>
        <w:t xml:space="preserve">BE, BG, </w:t>
      </w:r>
      <w:r w:rsidR="00C15818" w:rsidRPr="00582553">
        <w:rPr>
          <w:rFonts w:ascii="Times New Roman" w:hAnsi="Times New Roman" w:cs="Times New Roman"/>
          <w:sz w:val="18"/>
          <w:szCs w:val="18"/>
          <w:lang w:val="en-IE" w:eastAsia="en-IE"/>
        </w:rPr>
        <w:t xml:space="preserve">CZ, DK, EE, </w:t>
      </w:r>
      <w:r w:rsidRPr="00582553">
        <w:rPr>
          <w:rFonts w:ascii="Times New Roman" w:hAnsi="Times New Roman" w:cs="Times New Roman"/>
          <w:sz w:val="18"/>
          <w:szCs w:val="18"/>
          <w:lang w:val="en-IE" w:eastAsia="en-IE"/>
        </w:rPr>
        <w:t xml:space="preserve">HR, </w:t>
      </w:r>
      <w:r w:rsidR="00C15818" w:rsidRPr="00582553">
        <w:rPr>
          <w:rFonts w:ascii="Times New Roman" w:hAnsi="Times New Roman" w:cs="Times New Roman"/>
          <w:sz w:val="18"/>
          <w:szCs w:val="18"/>
          <w:lang w:val="en-IE" w:eastAsia="en-IE"/>
        </w:rPr>
        <w:t xml:space="preserve">LV, </w:t>
      </w:r>
      <w:r w:rsidRPr="00582553">
        <w:rPr>
          <w:rFonts w:ascii="Times New Roman" w:hAnsi="Times New Roman" w:cs="Times New Roman"/>
          <w:sz w:val="18"/>
          <w:szCs w:val="18"/>
          <w:lang w:val="en-IE" w:eastAsia="en-IE"/>
        </w:rPr>
        <w:t>HU, MT, PT, SK, SE.</w:t>
      </w:r>
    </w:p>
  </w:footnote>
  <w:footnote w:id="47">
    <w:p w14:paraId="4D8F2BBD" w14:textId="17825D1B" w:rsidR="00BF1AAA" w:rsidRPr="00582553" w:rsidRDefault="00BF1AAA" w:rsidP="00582553">
      <w:pPr>
        <w:spacing w:after="0" w:line="240" w:lineRule="auto"/>
        <w:ind w:left="284" w:hanging="284"/>
        <w:jc w:val="both"/>
        <w:textAlignment w:val="baseline"/>
        <w:rPr>
          <w:rFonts w:ascii="Times New Roman" w:hAnsi="Times New Roman" w:cs="Times New Roman"/>
          <w:sz w:val="18"/>
          <w:szCs w:val="18"/>
          <w:lang w:val="en-IE" w:eastAsia="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For example</w:t>
      </w:r>
      <w:r w:rsidR="001428CC" w:rsidRPr="00582553">
        <w:rPr>
          <w:rFonts w:ascii="Times New Roman" w:hAnsi="Times New Roman" w:cs="Times New Roman"/>
          <w:sz w:val="18"/>
          <w:szCs w:val="18"/>
        </w:rPr>
        <w:t>,</w:t>
      </w:r>
      <w:r w:rsidRPr="00582553">
        <w:rPr>
          <w:rFonts w:ascii="Times New Roman" w:hAnsi="Times New Roman" w:cs="Times New Roman"/>
          <w:sz w:val="18"/>
          <w:szCs w:val="18"/>
        </w:rPr>
        <w:t xml:space="preserve"> in IE, an interest representation activity is defined as “any communication with a designated public officer that relates to a “relevant matter”; while, in LT interest representation activities are defined as actions taken by a natural or legal person, in an attempt to exert influence over defined public officials to have legal acts adopted or rejected in the interests of the client or the beneficiary of lobbying activities. </w:t>
      </w:r>
    </w:p>
  </w:footnote>
  <w:footnote w:id="48">
    <w:p w14:paraId="0439BEF3" w14:textId="3A0EA6B5" w:rsidR="009B4A6D" w:rsidRPr="00582553" w:rsidRDefault="009B4A6D" w:rsidP="00582553">
      <w:pPr>
        <w:spacing w:after="0" w:line="240" w:lineRule="auto"/>
        <w:ind w:left="284" w:hanging="284"/>
        <w:jc w:val="both"/>
        <w:textAlignment w:val="baseline"/>
        <w:rPr>
          <w:rFonts w:ascii="Times New Roman" w:hAnsi="Times New Roman" w:cs="Times New Roman"/>
          <w:sz w:val="18"/>
          <w:szCs w:val="18"/>
          <w:lang w:val="es-ES"/>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lang w:val="es-ES"/>
        </w:rPr>
        <w:t xml:space="preserve"> </w:t>
      </w:r>
      <w:r w:rsidRPr="00582553">
        <w:rPr>
          <w:rFonts w:ascii="Times New Roman" w:hAnsi="Times New Roman" w:cs="Times New Roman"/>
          <w:sz w:val="18"/>
          <w:szCs w:val="18"/>
          <w:lang w:val="es-ES"/>
        </w:rPr>
        <w:tab/>
      </w:r>
      <w:r w:rsidR="00C15818" w:rsidRPr="00582553">
        <w:rPr>
          <w:rFonts w:ascii="Times New Roman" w:hAnsi="Times New Roman" w:cs="Times New Roman"/>
          <w:sz w:val="18"/>
          <w:szCs w:val="18"/>
          <w:lang w:val="es-ES"/>
        </w:rPr>
        <w:t xml:space="preserve">DE, IE, ES, IT, </w:t>
      </w:r>
      <w:r w:rsidRPr="00582553">
        <w:rPr>
          <w:rFonts w:ascii="Times New Roman" w:hAnsi="Times New Roman" w:cs="Times New Roman"/>
          <w:sz w:val="18"/>
          <w:szCs w:val="18"/>
          <w:lang w:val="es-ES" w:eastAsia="en-IE"/>
        </w:rPr>
        <w:t>CY, LT, LU, RO, SI.</w:t>
      </w:r>
    </w:p>
  </w:footnote>
  <w:footnote w:id="49">
    <w:p w14:paraId="365F209B" w14:textId="31365A76" w:rsidR="009B4A6D" w:rsidRPr="00582553" w:rsidRDefault="009B4A6D" w:rsidP="00582553">
      <w:pPr>
        <w:spacing w:after="0" w:line="240" w:lineRule="auto"/>
        <w:ind w:left="284" w:hanging="284"/>
        <w:jc w:val="both"/>
        <w:textAlignment w:val="baseline"/>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Fonts w:ascii="Times New Roman" w:hAnsi="Times New Roman" w:cs="Times New Roman"/>
          <w:sz w:val="18"/>
          <w:szCs w:val="18"/>
          <w:lang w:val="en-IE" w:eastAsia="en-IE"/>
        </w:rPr>
        <w:t xml:space="preserve">BE, </w:t>
      </w:r>
      <w:r w:rsidR="00CD6982" w:rsidRPr="00582553">
        <w:rPr>
          <w:rFonts w:ascii="Times New Roman" w:hAnsi="Times New Roman" w:cs="Times New Roman"/>
          <w:sz w:val="18"/>
          <w:szCs w:val="18"/>
          <w:lang w:val="en-IE" w:eastAsia="en-IE"/>
        </w:rPr>
        <w:t xml:space="preserve">IE, </w:t>
      </w:r>
      <w:r w:rsidR="00800CC9" w:rsidRPr="00582553">
        <w:rPr>
          <w:rFonts w:ascii="Times New Roman" w:hAnsi="Times New Roman" w:cs="Times New Roman"/>
          <w:sz w:val="18"/>
          <w:szCs w:val="18"/>
          <w:lang w:val="en-IE" w:eastAsia="en-IE"/>
        </w:rPr>
        <w:t>FR, NL</w:t>
      </w:r>
      <w:r w:rsidR="00C91D7B" w:rsidRPr="00582553">
        <w:rPr>
          <w:rFonts w:ascii="Times New Roman" w:hAnsi="Times New Roman" w:cs="Times New Roman"/>
          <w:sz w:val="18"/>
          <w:szCs w:val="18"/>
          <w:lang w:val="en-IE" w:eastAsia="en-IE"/>
        </w:rPr>
        <w:t>,</w:t>
      </w:r>
      <w:r w:rsidR="00CD6982" w:rsidRPr="00582553" w:rsidDel="005605DF">
        <w:rPr>
          <w:rFonts w:ascii="Times New Roman" w:hAnsi="Times New Roman" w:cs="Times New Roman"/>
          <w:sz w:val="18"/>
          <w:szCs w:val="18"/>
          <w:lang w:val="en-IE" w:eastAsia="en-IE"/>
        </w:rPr>
        <w:t xml:space="preserve"> AT</w:t>
      </w:r>
      <w:r w:rsidRPr="00582553">
        <w:rPr>
          <w:rFonts w:ascii="Times New Roman" w:hAnsi="Times New Roman" w:cs="Times New Roman"/>
          <w:sz w:val="18"/>
          <w:szCs w:val="18"/>
          <w:lang w:val="en-IE" w:eastAsia="en-IE"/>
        </w:rPr>
        <w:t xml:space="preserve">. </w:t>
      </w:r>
      <w:r w:rsidR="00F501DA" w:rsidRPr="00582553">
        <w:rPr>
          <w:rFonts w:ascii="Times New Roman" w:eastAsia="Times" w:hAnsi="Times New Roman" w:cs="Times New Roman"/>
          <w:sz w:val="18"/>
          <w:szCs w:val="18"/>
          <w:lang w:val="en-IE" w:eastAsia="en-IE"/>
        </w:rPr>
        <w:t>In A</w:t>
      </w:r>
      <w:r w:rsidR="00F501DA" w:rsidRPr="00582553">
        <w:rPr>
          <w:rFonts w:ascii="Times New Roman" w:hAnsi="Times New Roman" w:cs="Times New Roman"/>
          <w:sz w:val="18"/>
          <w:szCs w:val="18"/>
          <w:lang w:val="en-IE" w:eastAsia="en-IE"/>
        </w:rPr>
        <w:t>T</w:t>
      </w:r>
      <w:r w:rsidR="00F501DA" w:rsidRPr="00582553">
        <w:rPr>
          <w:rFonts w:ascii="Times New Roman" w:eastAsia="Times" w:hAnsi="Times New Roman" w:cs="Times New Roman"/>
          <w:sz w:val="18"/>
          <w:szCs w:val="18"/>
          <w:lang w:val="en-IE" w:eastAsia="en-IE"/>
        </w:rPr>
        <w:t xml:space="preserve">, a limitative list exists with </w:t>
      </w:r>
      <w:r w:rsidR="00C37135" w:rsidRPr="00582553">
        <w:rPr>
          <w:rFonts w:ascii="Times New Roman" w:eastAsia="Times" w:hAnsi="Times New Roman" w:cs="Times New Roman"/>
          <w:sz w:val="18"/>
          <w:szCs w:val="18"/>
          <w:lang w:val="en-IE" w:eastAsia="en-IE"/>
        </w:rPr>
        <w:t>4</w:t>
      </w:r>
      <w:r w:rsidR="00F501DA" w:rsidRPr="00582553">
        <w:rPr>
          <w:rFonts w:ascii="Times New Roman" w:eastAsia="Times" w:hAnsi="Times New Roman" w:cs="Times New Roman"/>
          <w:sz w:val="18"/>
          <w:szCs w:val="18"/>
          <w:lang w:val="en-IE" w:eastAsia="en-IE"/>
        </w:rPr>
        <w:t xml:space="preserve"> categories of entities: lobbying companies, companies that employ corporate </w:t>
      </w:r>
      <w:r w:rsidR="00F501DA" w:rsidRPr="00582553">
        <w:rPr>
          <w:rFonts w:ascii="Times New Roman" w:hAnsi="Times New Roman" w:cs="Times New Roman"/>
          <w:sz w:val="18"/>
          <w:szCs w:val="18"/>
        </w:rPr>
        <w:t>lobbyists</w:t>
      </w:r>
      <w:r w:rsidR="00F501DA" w:rsidRPr="00582553">
        <w:rPr>
          <w:rFonts w:ascii="Times New Roman" w:eastAsia="Times" w:hAnsi="Times New Roman" w:cs="Times New Roman"/>
          <w:sz w:val="18"/>
          <w:szCs w:val="18"/>
          <w:lang w:val="en-IE" w:eastAsia="en-IE"/>
        </w:rPr>
        <w:t>, self-governing bodies, and interest groups.</w:t>
      </w:r>
      <w:r w:rsidR="00F501DA" w:rsidRPr="00582553" w:rsidDel="00F501DA">
        <w:rPr>
          <w:rFonts w:ascii="Times New Roman" w:hAnsi="Times New Roman" w:cs="Times New Roman"/>
          <w:sz w:val="18"/>
          <w:szCs w:val="18"/>
          <w:lang w:val="en-IE" w:eastAsia="en-IE"/>
        </w:rPr>
        <w:t xml:space="preserve"> </w:t>
      </w:r>
      <w:r w:rsidR="00F501DA" w:rsidRPr="00582553">
        <w:rPr>
          <w:rFonts w:ascii="Times New Roman" w:hAnsi="Times New Roman" w:cs="Times New Roman"/>
          <w:sz w:val="18"/>
          <w:szCs w:val="18"/>
          <w:lang w:val="en-IE" w:eastAsia="en-IE"/>
        </w:rPr>
        <w:t xml:space="preserve">In BE, the Rules of the House of Representatives specify the entities that are obliged to register. The list includes, for example, specialised law firms, NGOs and think tanks. </w:t>
      </w:r>
      <w:r w:rsidR="00F501DA" w:rsidRPr="00582553">
        <w:rPr>
          <w:rFonts w:ascii="Times New Roman" w:eastAsia="Times" w:hAnsi="Times New Roman" w:cs="Times New Roman"/>
          <w:sz w:val="18"/>
          <w:szCs w:val="18"/>
          <w:lang w:val="en-IE" w:eastAsia="en-IE"/>
        </w:rPr>
        <w:t xml:space="preserve">In FR a lobbyist is defined as </w:t>
      </w:r>
      <w:r w:rsidR="00F501DA" w:rsidRPr="00582553">
        <w:rPr>
          <w:rFonts w:ascii="Times New Roman" w:eastAsia="Times" w:hAnsi="Times New Roman" w:cs="Times New Roman"/>
          <w:sz w:val="18"/>
          <w:szCs w:val="18"/>
          <w:lang w:eastAsia="en-IE"/>
        </w:rPr>
        <w:t>natural person as part of a professional activity, or legal entity in which an executive manager, an employee or a member conducts interest representation work as their main or regular activity.</w:t>
      </w:r>
      <w:r w:rsidR="0049740F" w:rsidRPr="00582553">
        <w:rPr>
          <w:rFonts w:ascii="Times New Roman" w:eastAsia="Times" w:hAnsi="Times New Roman" w:cs="Times New Roman"/>
          <w:sz w:val="18"/>
          <w:szCs w:val="18"/>
          <w:lang w:eastAsia="en-IE"/>
        </w:rPr>
        <w:t xml:space="preserve"> </w:t>
      </w:r>
      <w:r w:rsidRPr="00582553">
        <w:rPr>
          <w:rFonts w:ascii="Times New Roman" w:hAnsi="Times New Roman" w:cs="Times New Roman"/>
          <w:sz w:val="18"/>
          <w:szCs w:val="18"/>
          <w:lang w:val="en-IE" w:eastAsia="en-IE"/>
        </w:rPr>
        <w:t>In IE, different groups of lobbyists are required to register (interest body, advocacy body, professional lobbyist, any person communicating about the development or zoning of land).</w:t>
      </w:r>
      <w:r w:rsidR="00F501DA" w:rsidRPr="00582553">
        <w:rPr>
          <w:rFonts w:ascii="Times New Roman" w:hAnsi="Times New Roman" w:cs="Times New Roman"/>
          <w:sz w:val="18"/>
          <w:szCs w:val="18"/>
          <w:lang w:val="en-IE" w:eastAsia="en-IE"/>
        </w:rPr>
        <w:t xml:space="preserve"> </w:t>
      </w:r>
      <w:r w:rsidRPr="00582553">
        <w:rPr>
          <w:rFonts w:ascii="Times New Roman" w:hAnsi="Times New Roman" w:cs="Times New Roman"/>
          <w:sz w:val="18"/>
          <w:szCs w:val="18"/>
          <w:lang w:val="en-IE" w:eastAsia="en-IE"/>
        </w:rPr>
        <w:t>In NL,</w:t>
      </w:r>
      <w:r w:rsidR="00A90D63" w:rsidRPr="00582553">
        <w:rPr>
          <w:rFonts w:ascii="Times New Roman" w:hAnsi="Times New Roman" w:cs="Times New Roman"/>
          <w:sz w:val="18"/>
          <w:szCs w:val="18"/>
          <w:lang w:val="en-IE" w:eastAsia="en-IE"/>
        </w:rPr>
        <w:t xml:space="preserve"> 3</w:t>
      </w:r>
      <w:r w:rsidRPr="00582553">
        <w:rPr>
          <w:rFonts w:ascii="Times New Roman" w:hAnsi="Times New Roman" w:cs="Times New Roman"/>
          <w:sz w:val="18"/>
          <w:szCs w:val="18"/>
          <w:lang w:val="en-IE" w:eastAsia="en-IE"/>
        </w:rPr>
        <w:t xml:space="preserve"> groups are defined who need to register in the public register of lobbyists: public affairs and public relations employees; agency representatives of CSOs; and representatives of municipalities and provinces</w:t>
      </w:r>
      <w:r w:rsidR="00F501DA" w:rsidRPr="00582553">
        <w:rPr>
          <w:rFonts w:ascii="Times New Roman" w:hAnsi="Times New Roman" w:cs="Times New Roman"/>
          <w:sz w:val="18"/>
          <w:szCs w:val="18"/>
          <w:lang w:val="en-IE" w:eastAsia="en-IE"/>
        </w:rPr>
        <w:t>.</w:t>
      </w:r>
      <w:r w:rsidR="00F501DA" w:rsidRPr="00582553">
        <w:rPr>
          <w:rFonts w:ascii="Times New Roman" w:eastAsia="Times" w:hAnsi="Times New Roman" w:cs="Times New Roman"/>
          <w:sz w:val="18"/>
          <w:szCs w:val="18"/>
          <w:lang w:val="en-IE" w:eastAsia="en-IE"/>
        </w:rPr>
        <w:t xml:space="preserve"> </w:t>
      </w:r>
    </w:p>
  </w:footnote>
  <w:footnote w:id="50">
    <w:p w14:paraId="7A72BA37" w14:textId="3C3206B8" w:rsidR="009B4A6D" w:rsidRPr="00582553" w:rsidRDefault="009B4A6D" w:rsidP="00582553">
      <w:pPr>
        <w:spacing w:after="0" w:line="240" w:lineRule="auto"/>
        <w:ind w:left="284" w:hanging="284"/>
        <w:jc w:val="both"/>
        <w:textAlignment w:val="baseline"/>
        <w:rPr>
          <w:rFonts w:ascii="Times New Roman" w:hAnsi="Times New Roman" w:cs="Times New Roman"/>
          <w:sz w:val="18"/>
          <w:szCs w:val="18"/>
          <w:lang w:val="it-IT"/>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lang w:val="es-ES"/>
        </w:rPr>
        <w:t xml:space="preserve"> </w:t>
      </w:r>
      <w:r w:rsidRPr="00582553">
        <w:rPr>
          <w:rFonts w:ascii="Times New Roman" w:hAnsi="Times New Roman" w:cs="Times New Roman"/>
          <w:sz w:val="18"/>
          <w:szCs w:val="18"/>
          <w:lang w:val="es-ES"/>
        </w:rPr>
        <w:tab/>
        <w:t xml:space="preserve">BE, </w:t>
      </w:r>
      <w:r w:rsidR="00C15818" w:rsidRPr="00582553">
        <w:rPr>
          <w:rFonts w:ascii="Times New Roman" w:hAnsi="Times New Roman" w:cs="Times New Roman"/>
          <w:sz w:val="18"/>
          <w:szCs w:val="18"/>
          <w:lang w:val="es-ES"/>
        </w:rPr>
        <w:t xml:space="preserve">IE, EL, ES, </w:t>
      </w:r>
      <w:r w:rsidRPr="00582553">
        <w:rPr>
          <w:rFonts w:ascii="Times New Roman" w:hAnsi="Times New Roman" w:cs="Times New Roman"/>
          <w:sz w:val="18"/>
          <w:szCs w:val="18"/>
          <w:lang w:val="es-ES"/>
        </w:rPr>
        <w:t xml:space="preserve">CY, </w:t>
      </w:r>
      <w:r w:rsidR="00C15818" w:rsidRPr="00582553">
        <w:rPr>
          <w:rFonts w:ascii="Times New Roman" w:hAnsi="Times New Roman" w:cs="Times New Roman"/>
          <w:sz w:val="18"/>
          <w:szCs w:val="18"/>
          <w:lang w:val="it-IT"/>
        </w:rPr>
        <w:t xml:space="preserve">LT, </w:t>
      </w:r>
      <w:r w:rsidR="00C15818" w:rsidRPr="00582553">
        <w:rPr>
          <w:rFonts w:ascii="Times New Roman" w:hAnsi="Times New Roman" w:cs="Times New Roman"/>
          <w:sz w:val="18"/>
          <w:szCs w:val="18"/>
          <w:lang w:val="es-ES"/>
        </w:rPr>
        <w:t>LU, NL</w:t>
      </w:r>
      <w:r w:rsidRPr="00582553">
        <w:rPr>
          <w:rFonts w:ascii="Times New Roman" w:hAnsi="Times New Roman" w:cs="Times New Roman"/>
          <w:sz w:val="18"/>
          <w:szCs w:val="18"/>
          <w:lang w:val="it-IT"/>
        </w:rPr>
        <w:t xml:space="preserve"> RO, SI.</w:t>
      </w:r>
    </w:p>
  </w:footnote>
  <w:footnote w:id="51">
    <w:p w14:paraId="1E5EBD01" w14:textId="77777777" w:rsidR="009B4A6D" w:rsidRPr="00582553" w:rsidRDefault="009B4A6D" w:rsidP="00582553">
      <w:pPr>
        <w:spacing w:after="0" w:line="240" w:lineRule="auto"/>
        <w:ind w:left="284" w:hanging="284"/>
        <w:jc w:val="both"/>
        <w:textAlignment w:val="baseline"/>
        <w:rPr>
          <w:rFonts w:ascii="Times New Roman" w:hAnsi="Times New Roman" w:cs="Times New Roman"/>
          <w:sz w:val="18"/>
          <w:szCs w:val="18"/>
          <w:lang w:val="it-IT"/>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it-IT"/>
        </w:rPr>
        <w:t xml:space="preserve"> </w:t>
      </w:r>
      <w:r w:rsidRPr="00582553">
        <w:rPr>
          <w:rFonts w:ascii="Times New Roman" w:hAnsi="Times New Roman" w:cs="Times New Roman"/>
          <w:sz w:val="18"/>
          <w:szCs w:val="18"/>
          <w:lang w:val="it-IT"/>
        </w:rPr>
        <w:tab/>
        <w:t>FR, NL.</w:t>
      </w:r>
    </w:p>
  </w:footnote>
  <w:footnote w:id="52">
    <w:p w14:paraId="33858DEE" w14:textId="552247E8" w:rsidR="009B4A6D" w:rsidRPr="00582553" w:rsidRDefault="009B4A6D" w:rsidP="00582553">
      <w:pPr>
        <w:spacing w:after="0" w:line="240" w:lineRule="auto"/>
        <w:ind w:left="284" w:hanging="284"/>
        <w:jc w:val="both"/>
        <w:textAlignment w:val="baseline"/>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Pr="00582553">
        <w:rPr>
          <w:rFonts w:ascii="Times New Roman" w:hAnsi="Times New Roman" w:cs="Times New Roman"/>
          <w:sz w:val="18"/>
          <w:szCs w:val="18"/>
          <w:lang w:val="en-IE" w:eastAsia="en-IE"/>
        </w:rPr>
        <w:t xml:space="preserve">DE, AT, IE. For instance, an entity paid to carry out interest representation professionally on behalf of a client that has less than 10 employees would not need to register in </w:t>
      </w:r>
      <w:r w:rsidR="00FB69FA" w:rsidRPr="00582553">
        <w:rPr>
          <w:rFonts w:ascii="Times New Roman" w:hAnsi="Times New Roman" w:cs="Times New Roman"/>
          <w:sz w:val="18"/>
          <w:szCs w:val="18"/>
          <w:lang w:val="en-IE" w:eastAsia="en-IE"/>
        </w:rPr>
        <w:t>IE</w:t>
      </w:r>
      <w:r w:rsidRPr="00582553">
        <w:rPr>
          <w:rFonts w:ascii="Times New Roman" w:hAnsi="Times New Roman" w:cs="Times New Roman"/>
          <w:sz w:val="18"/>
          <w:szCs w:val="18"/>
          <w:lang w:val="en-IE" w:eastAsia="en-IE"/>
        </w:rPr>
        <w:t xml:space="preserve">, but it would need to register in </w:t>
      </w:r>
      <w:r w:rsidR="00FB69FA" w:rsidRPr="00582553">
        <w:rPr>
          <w:rFonts w:ascii="Times New Roman" w:hAnsi="Times New Roman" w:cs="Times New Roman"/>
          <w:sz w:val="18"/>
          <w:szCs w:val="18"/>
          <w:lang w:val="en-IE" w:eastAsia="en-IE"/>
        </w:rPr>
        <w:t xml:space="preserve">DE </w:t>
      </w:r>
      <w:r w:rsidRPr="00582553">
        <w:rPr>
          <w:rFonts w:ascii="Times New Roman" w:hAnsi="Times New Roman" w:cs="Times New Roman"/>
          <w:sz w:val="18"/>
          <w:szCs w:val="18"/>
          <w:lang w:val="en-IE" w:eastAsia="en-IE"/>
        </w:rPr>
        <w:t xml:space="preserve">for the same activity, since </w:t>
      </w:r>
      <w:r w:rsidR="00FB69FA" w:rsidRPr="00582553">
        <w:rPr>
          <w:rFonts w:ascii="Times New Roman" w:hAnsi="Times New Roman" w:cs="Times New Roman"/>
          <w:sz w:val="18"/>
          <w:szCs w:val="18"/>
          <w:lang w:val="en-IE" w:eastAsia="en-IE"/>
        </w:rPr>
        <w:t xml:space="preserve">DE </w:t>
      </w:r>
      <w:r w:rsidRPr="00582553">
        <w:rPr>
          <w:rFonts w:ascii="Times New Roman" w:hAnsi="Times New Roman" w:cs="Times New Roman"/>
          <w:sz w:val="18"/>
          <w:szCs w:val="18"/>
          <w:lang w:val="en-IE" w:eastAsia="en-IE"/>
        </w:rPr>
        <w:t>law requires the registration of interest representation of a commercial nature.</w:t>
      </w:r>
    </w:p>
  </w:footnote>
  <w:footnote w:id="53">
    <w:p w14:paraId="1ABC9B9A" w14:textId="3A7E62A9" w:rsidR="005977DA" w:rsidRPr="00582553" w:rsidRDefault="005977D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r>
      <w:r w:rsidR="0027097B" w:rsidRPr="00582553">
        <w:rPr>
          <w:rFonts w:ascii="Times New Roman" w:hAnsi="Times New Roman" w:cs="Times New Roman"/>
          <w:sz w:val="18"/>
          <w:szCs w:val="18"/>
          <w:lang w:val="en-IE"/>
        </w:rPr>
        <w:t>For example, s</w:t>
      </w:r>
      <w:r w:rsidRPr="00582553">
        <w:rPr>
          <w:rFonts w:ascii="Times New Roman" w:hAnsi="Times New Roman" w:cs="Times New Roman"/>
          <w:sz w:val="18"/>
          <w:szCs w:val="18"/>
          <w:lang w:val="en-IE"/>
        </w:rPr>
        <w:t xml:space="preserve">ome Member States conflate record keeping </w:t>
      </w:r>
      <w:r w:rsidR="00DA0CAF" w:rsidRPr="00582553">
        <w:rPr>
          <w:rFonts w:ascii="Times New Roman" w:hAnsi="Times New Roman" w:cs="Times New Roman"/>
          <w:sz w:val="18"/>
          <w:szCs w:val="18"/>
          <w:lang w:val="en-IE"/>
        </w:rPr>
        <w:t>obligations</w:t>
      </w:r>
      <w:r w:rsidRPr="00582553">
        <w:rPr>
          <w:rFonts w:ascii="Times New Roman" w:hAnsi="Times New Roman" w:cs="Times New Roman"/>
          <w:sz w:val="18"/>
          <w:szCs w:val="18"/>
          <w:lang w:val="en-IE"/>
        </w:rPr>
        <w:t xml:space="preserve"> with registration obligations, for example by not distinguishing what is to be disclosed upon registration and what data has to be recorded and kept afterwards, as is the case in AT. Specific rules on record</w:t>
      </w:r>
      <w:r w:rsidR="00D87DD2">
        <w:rPr>
          <w:rFonts w:ascii="Times New Roman" w:hAnsi="Times New Roman" w:cs="Times New Roman"/>
          <w:sz w:val="18"/>
          <w:szCs w:val="18"/>
          <w:lang w:val="en-IE"/>
        </w:rPr>
        <w:t>-</w:t>
      </w:r>
      <w:r w:rsidRPr="00582553">
        <w:rPr>
          <w:rFonts w:ascii="Times New Roman" w:hAnsi="Times New Roman" w:cs="Times New Roman"/>
          <w:sz w:val="18"/>
          <w:szCs w:val="18"/>
          <w:lang w:val="en-IE"/>
        </w:rPr>
        <w:t>keeping exist for example in DE, where the federal lobby register makes it mandatory to record and update data on the annual financial expenditures of the organisation for interest representation, while, in contrast, there are no comparable rules in IE.</w:t>
      </w:r>
    </w:p>
  </w:footnote>
  <w:footnote w:id="54">
    <w:p w14:paraId="6D5F3A80" w14:textId="296D13A2" w:rsidR="009B4A6D" w:rsidRPr="00582553" w:rsidRDefault="009B4A6D"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lang w:val="es-ES"/>
        </w:rPr>
        <w:t xml:space="preserve"> </w:t>
      </w:r>
      <w:r w:rsidRPr="00582553">
        <w:rPr>
          <w:rFonts w:ascii="Times New Roman" w:hAnsi="Times New Roman" w:cs="Times New Roman"/>
          <w:sz w:val="18"/>
          <w:szCs w:val="18"/>
          <w:lang w:val="es-ES"/>
        </w:rPr>
        <w:tab/>
        <w:t xml:space="preserve">IE, </w:t>
      </w:r>
      <w:r w:rsidR="000576B7" w:rsidRPr="00582553">
        <w:rPr>
          <w:rFonts w:ascii="Times New Roman" w:hAnsi="Times New Roman" w:cs="Times New Roman"/>
          <w:sz w:val="18"/>
          <w:szCs w:val="18"/>
          <w:lang w:val="es-ES"/>
        </w:rPr>
        <w:t>EL</w:t>
      </w:r>
      <w:r w:rsidR="00442E47" w:rsidRPr="00582553">
        <w:rPr>
          <w:rFonts w:ascii="Times New Roman" w:hAnsi="Times New Roman" w:cs="Times New Roman"/>
          <w:sz w:val="18"/>
          <w:szCs w:val="18"/>
          <w:lang w:val="es-ES"/>
        </w:rPr>
        <w:t>,</w:t>
      </w:r>
      <w:r w:rsidR="000576B7" w:rsidRPr="00582553">
        <w:rPr>
          <w:rFonts w:ascii="Times New Roman" w:hAnsi="Times New Roman" w:cs="Times New Roman"/>
          <w:sz w:val="18"/>
          <w:szCs w:val="18"/>
          <w:lang w:val="es-ES"/>
        </w:rPr>
        <w:t xml:space="preserve"> </w:t>
      </w:r>
      <w:r w:rsidR="00442E47" w:rsidRPr="00582553">
        <w:rPr>
          <w:rFonts w:ascii="Times New Roman" w:hAnsi="Times New Roman" w:cs="Times New Roman"/>
          <w:sz w:val="18"/>
          <w:szCs w:val="18"/>
          <w:lang w:val="es-ES"/>
        </w:rPr>
        <w:t>ES,</w:t>
      </w:r>
      <w:r w:rsidR="000576B7" w:rsidRPr="00582553">
        <w:rPr>
          <w:rFonts w:ascii="Times New Roman" w:hAnsi="Times New Roman" w:cs="Times New Roman"/>
          <w:sz w:val="18"/>
          <w:szCs w:val="18"/>
          <w:lang w:val="es-ES"/>
        </w:rPr>
        <w:t xml:space="preserve"> FR</w:t>
      </w:r>
      <w:r w:rsidR="00442E47" w:rsidRPr="00582553">
        <w:rPr>
          <w:rFonts w:ascii="Times New Roman" w:hAnsi="Times New Roman" w:cs="Times New Roman"/>
          <w:sz w:val="18"/>
          <w:szCs w:val="18"/>
          <w:lang w:val="es-ES"/>
        </w:rPr>
        <w:t>,</w:t>
      </w:r>
      <w:r w:rsidR="000576B7" w:rsidRPr="00582553">
        <w:rPr>
          <w:rFonts w:ascii="Times New Roman" w:hAnsi="Times New Roman" w:cs="Times New Roman"/>
          <w:sz w:val="18"/>
          <w:szCs w:val="18"/>
          <w:lang w:val="es-ES"/>
        </w:rPr>
        <w:t xml:space="preserve"> IT</w:t>
      </w:r>
      <w:r w:rsidR="00442E47" w:rsidRPr="00582553">
        <w:rPr>
          <w:rFonts w:ascii="Times New Roman" w:hAnsi="Times New Roman" w:cs="Times New Roman"/>
          <w:sz w:val="18"/>
          <w:szCs w:val="18"/>
          <w:lang w:val="es-ES"/>
        </w:rPr>
        <w:t>,</w:t>
      </w:r>
      <w:r w:rsidR="000576B7" w:rsidRPr="00582553">
        <w:rPr>
          <w:rFonts w:ascii="Times New Roman" w:hAnsi="Times New Roman" w:cs="Times New Roman"/>
          <w:sz w:val="18"/>
          <w:szCs w:val="18"/>
          <w:lang w:val="es-ES"/>
        </w:rPr>
        <w:t xml:space="preserve"> </w:t>
      </w:r>
      <w:r w:rsidRPr="00582553">
        <w:rPr>
          <w:rFonts w:ascii="Times New Roman" w:hAnsi="Times New Roman" w:cs="Times New Roman"/>
          <w:sz w:val="18"/>
          <w:szCs w:val="18"/>
          <w:lang w:val="es-ES"/>
        </w:rPr>
        <w:t xml:space="preserve">CY, LT, SI, FI. </w:t>
      </w:r>
      <w:r w:rsidRPr="00582553">
        <w:rPr>
          <w:rFonts w:ascii="Times New Roman" w:hAnsi="Times New Roman" w:cs="Times New Roman"/>
          <w:sz w:val="18"/>
          <w:szCs w:val="18"/>
          <w:lang w:val="en-IE"/>
        </w:rPr>
        <w:t>Note that, in ES, this supervision only happens at regional level.</w:t>
      </w:r>
    </w:p>
  </w:footnote>
  <w:footnote w:id="55">
    <w:p w14:paraId="79541FCE" w14:textId="77777777" w:rsidR="009B4A6D" w:rsidRPr="00582553" w:rsidRDefault="009B4A6D"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Fonts w:ascii="Times New Roman" w:hAnsi="Times New Roman" w:cs="Times New Roman"/>
          <w:sz w:val="18"/>
          <w:szCs w:val="18"/>
          <w:lang w:val="en-IE"/>
        </w:rPr>
        <w:t xml:space="preserve">LU, AT, </w:t>
      </w:r>
      <w:r w:rsidRPr="00582553">
        <w:rPr>
          <w:rFonts w:ascii="Times New Roman" w:hAnsi="Times New Roman" w:cs="Times New Roman"/>
          <w:sz w:val="18"/>
          <w:szCs w:val="18"/>
        </w:rPr>
        <w:t>RO</w:t>
      </w:r>
      <w:r w:rsidRPr="00582553">
        <w:rPr>
          <w:rFonts w:ascii="Times New Roman" w:hAnsi="Times New Roman" w:cs="Times New Roman"/>
          <w:sz w:val="18"/>
          <w:szCs w:val="18"/>
          <w:lang w:val="en-IE"/>
        </w:rPr>
        <w:t>.</w:t>
      </w:r>
    </w:p>
  </w:footnote>
  <w:footnote w:id="56">
    <w:p w14:paraId="2B5523D7" w14:textId="77777777" w:rsidR="009B4A6D" w:rsidRPr="00582553" w:rsidRDefault="009B4A6D"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Fonts w:ascii="Times New Roman" w:hAnsi="Times New Roman" w:cs="Times New Roman"/>
          <w:sz w:val="18"/>
          <w:szCs w:val="18"/>
          <w:lang w:val="en-IE"/>
        </w:rPr>
        <w:t>BE, DE, NL.</w:t>
      </w:r>
    </w:p>
  </w:footnote>
  <w:footnote w:id="57">
    <w:p w14:paraId="5FFAE45D" w14:textId="6C9AE8DF" w:rsidR="008A3AA0" w:rsidRPr="005F4183" w:rsidRDefault="008A3AA0"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C54823" w:rsidRPr="00582553">
        <w:rPr>
          <w:rFonts w:ascii="Times New Roman" w:hAnsi="Times New Roman" w:cs="Times New Roman"/>
          <w:sz w:val="18"/>
          <w:szCs w:val="18"/>
          <w:lang w:val="en-IE"/>
        </w:rPr>
        <w:t xml:space="preserve">DE, </w:t>
      </w:r>
      <w:r w:rsidRPr="00582553">
        <w:rPr>
          <w:rFonts w:ascii="Times New Roman" w:hAnsi="Times New Roman" w:cs="Times New Roman"/>
          <w:sz w:val="18"/>
          <w:szCs w:val="18"/>
          <w:lang w:val="en-IE"/>
        </w:rPr>
        <w:t xml:space="preserve">IE, </w:t>
      </w:r>
      <w:r w:rsidR="0056774E" w:rsidRPr="00582553">
        <w:rPr>
          <w:rFonts w:ascii="Times New Roman" w:hAnsi="Times New Roman" w:cs="Times New Roman"/>
          <w:sz w:val="18"/>
          <w:szCs w:val="18"/>
          <w:lang w:val="en-IE"/>
        </w:rPr>
        <w:t>EL</w:t>
      </w:r>
      <w:r w:rsidR="0073034F" w:rsidRPr="00582553">
        <w:rPr>
          <w:rFonts w:ascii="Times New Roman" w:hAnsi="Times New Roman" w:cs="Times New Roman"/>
          <w:sz w:val="18"/>
          <w:szCs w:val="18"/>
          <w:lang w:val="en-IE"/>
        </w:rPr>
        <w:t>,</w:t>
      </w:r>
      <w:r w:rsidR="0056774E"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 xml:space="preserve">ES (albeit at regional level), </w:t>
      </w:r>
      <w:r w:rsidR="0056774E" w:rsidRPr="00582553">
        <w:rPr>
          <w:rFonts w:ascii="Times New Roman" w:hAnsi="Times New Roman" w:cs="Times New Roman"/>
          <w:sz w:val="18"/>
          <w:szCs w:val="18"/>
          <w:lang w:val="en-IE"/>
        </w:rPr>
        <w:t>FR</w:t>
      </w:r>
      <w:r w:rsidR="0073034F" w:rsidRPr="00582553">
        <w:rPr>
          <w:rFonts w:ascii="Times New Roman" w:hAnsi="Times New Roman" w:cs="Times New Roman"/>
          <w:sz w:val="18"/>
          <w:szCs w:val="18"/>
          <w:lang w:val="en-IE"/>
        </w:rPr>
        <w:t>,</w:t>
      </w:r>
      <w:r w:rsidR="0056774E" w:rsidRPr="00582553" w:rsidDel="0056774E">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CY, AT, SI, LT</w:t>
      </w:r>
      <w:r w:rsidR="0073034F"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 xml:space="preserve">PL. </w:t>
      </w:r>
      <w:r w:rsidR="00AF54E1" w:rsidRPr="00582553">
        <w:rPr>
          <w:rFonts w:ascii="Times New Roman" w:hAnsi="Times New Roman" w:cs="Times New Roman"/>
          <w:sz w:val="18"/>
          <w:szCs w:val="18"/>
          <w:lang w:val="en-IE"/>
        </w:rPr>
        <w:t>T</w:t>
      </w:r>
      <w:r w:rsidRPr="00582553">
        <w:rPr>
          <w:rFonts w:ascii="Times New Roman" w:hAnsi="Times New Roman" w:cs="Times New Roman"/>
          <w:sz w:val="18"/>
          <w:szCs w:val="18"/>
          <w:lang w:val="en-IE"/>
        </w:rPr>
        <w:t xml:space="preserve">hese can differ widely, between EUR 300 000 in </w:t>
      </w:r>
      <w:r w:rsidR="00AF54E1" w:rsidRPr="00582553">
        <w:rPr>
          <w:rFonts w:ascii="Times New Roman" w:hAnsi="Times New Roman" w:cs="Times New Roman"/>
          <w:sz w:val="18"/>
          <w:szCs w:val="18"/>
          <w:lang w:val="en-IE"/>
        </w:rPr>
        <w:t xml:space="preserve">ES </w:t>
      </w:r>
      <w:r w:rsidRPr="00582553">
        <w:rPr>
          <w:rFonts w:ascii="Times New Roman" w:hAnsi="Times New Roman" w:cs="Times New Roman"/>
          <w:sz w:val="18"/>
          <w:szCs w:val="18"/>
          <w:lang w:val="en-IE"/>
        </w:rPr>
        <w:t xml:space="preserve">and </w:t>
      </w:r>
      <w:r w:rsidRPr="005F4183">
        <w:rPr>
          <w:rFonts w:ascii="Times New Roman" w:hAnsi="Times New Roman" w:cs="Times New Roman"/>
          <w:sz w:val="18"/>
          <w:szCs w:val="18"/>
          <w:lang w:val="en-IE"/>
        </w:rPr>
        <w:t xml:space="preserve">EUR 4 500 in </w:t>
      </w:r>
      <w:r w:rsidR="008A3825" w:rsidRPr="005F4183">
        <w:rPr>
          <w:rFonts w:ascii="Times New Roman" w:hAnsi="Times New Roman" w:cs="Times New Roman"/>
          <w:sz w:val="18"/>
          <w:szCs w:val="18"/>
          <w:lang w:val="en-IE"/>
        </w:rPr>
        <w:t>LT</w:t>
      </w:r>
      <w:r w:rsidRPr="005F4183">
        <w:rPr>
          <w:rFonts w:ascii="Times New Roman" w:hAnsi="Times New Roman" w:cs="Times New Roman"/>
          <w:sz w:val="18"/>
          <w:szCs w:val="18"/>
          <w:lang w:val="en-IE"/>
        </w:rPr>
        <w:t xml:space="preserve">. A complete mapping of this fragmentation regarding sanctions is available in Annexes 6 and 7.  </w:t>
      </w:r>
    </w:p>
  </w:footnote>
  <w:footnote w:id="58">
    <w:p w14:paraId="23E075F9" w14:textId="0B18FF64" w:rsidR="009B4A6D" w:rsidRPr="005F4183" w:rsidRDefault="009B4A6D" w:rsidP="00582553">
      <w:pPr>
        <w:pStyle w:val="FootnoteText"/>
        <w:spacing w:after="0"/>
        <w:ind w:left="284" w:hanging="284"/>
        <w:rPr>
          <w:rFonts w:ascii="Times New Roman" w:hAnsi="Times New Roman" w:cs="Times New Roman"/>
          <w:sz w:val="18"/>
          <w:szCs w:val="18"/>
          <w:lang w:val="en-IE"/>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rPr>
        <w:t xml:space="preserve"> </w:t>
      </w:r>
      <w:r w:rsidRPr="005F4183">
        <w:rPr>
          <w:rFonts w:ascii="Times New Roman" w:hAnsi="Times New Roman" w:cs="Times New Roman"/>
          <w:sz w:val="18"/>
          <w:szCs w:val="18"/>
        </w:rPr>
        <w:tab/>
        <w:t>In FR up to</w:t>
      </w:r>
      <w:r w:rsidR="008D4567" w:rsidRPr="005F4183">
        <w:rPr>
          <w:rFonts w:ascii="Times New Roman" w:hAnsi="Times New Roman" w:cs="Times New Roman"/>
          <w:sz w:val="18"/>
          <w:szCs w:val="18"/>
        </w:rPr>
        <w:t xml:space="preserve"> </w:t>
      </w:r>
      <w:r w:rsidR="00026DB1" w:rsidRPr="005F4183">
        <w:rPr>
          <w:rFonts w:ascii="Times New Roman" w:hAnsi="Times New Roman" w:cs="Times New Roman"/>
          <w:sz w:val="18"/>
          <w:szCs w:val="18"/>
        </w:rPr>
        <w:t>1</w:t>
      </w:r>
      <w:r w:rsidR="005104D1" w:rsidRPr="005F4183">
        <w:rPr>
          <w:rFonts w:ascii="Times New Roman" w:hAnsi="Times New Roman" w:cs="Times New Roman"/>
          <w:sz w:val="18"/>
          <w:szCs w:val="18"/>
        </w:rPr>
        <w:t xml:space="preserve"> </w:t>
      </w:r>
      <w:r w:rsidRPr="005F4183">
        <w:rPr>
          <w:rFonts w:ascii="Times New Roman" w:hAnsi="Times New Roman" w:cs="Times New Roman"/>
          <w:sz w:val="18"/>
          <w:szCs w:val="18"/>
        </w:rPr>
        <w:t xml:space="preserve">year of </w:t>
      </w:r>
      <w:r w:rsidRPr="005F4183">
        <w:rPr>
          <w:rFonts w:ascii="Times New Roman" w:eastAsia="Calibri" w:hAnsi="Times New Roman" w:cs="Times New Roman"/>
          <w:sz w:val="18"/>
          <w:szCs w:val="18"/>
          <w:lang w:val="en-IE"/>
        </w:rPr>
        <w:t>imprisonment</w:t>
      </w:r>
      <w:r w:rsidRPr="005F4183">
        <w:rPr>
          <w:rFonts w:ascii="Times New Roman" w:hAnsi="Times New Roman" w:cs="Times New Roman"/>
          <w:sz w:val="18"/>
          <w:szCs w:val="18"/>
        </w:rPr>
        <w:t xml:space="preserve">, in IE up to </w:t>
      </w:r>
      <w:r w:rsidR="000C5415" w:rsidRPr="005F4183">
        <w:rPr>
          <w:rFonts w:ascii="Times New Roman" w:hAnsi="Times New Roman" w:cs="Times New Roman"/>
          <w:sz w:val="18"/>
          <w:szCs w:val="18"/>
        </w:rPr>
        <w:t xml:space="preserve">2 </w:t>
      </w:r>
      <w:r w:rsidRPr="005F4183">
        <w:rPr>
          <w:rFonts w:ascii="Times New Roman" w:hAnsi="Times New Roman" w:cs="Times New Roman"/>
          <w:sz w:val="18"/>
          <w:szCs w:val="18"/>
        </w:rPr>
        <w:t>years of imprisonment</w:t>
      </w:r>
      <w:r w:rsidR="00B101EC" w:rsidRPr="005F4183">
        <w:rPr>
          <w:rFonts w:ascii="Times New Roman" w:hAnsi="Times New Roman" w:cs="Times New Roman"/>
          <w:sz w:val="18"/>
          <w:szCs w:val="18"/>
        </w:rPr>
        <w:t>.</w:t>
      </w:r>
    </w:p>
  </w:footnote>
  <w:footnote w:id="59">
    <w:p w14:paraId="751AA4B3" w14:textId="77777777" w:rsidR="009B4A6D" w:rsidRPr="005F4183" w:rsidRDefault="009B4A6D" w:rsidP="00582553">
      <w:pPr>
        <w:pStyle w:val="FootnoteText"/>
        <w:spacing w:after="0"/>
        <w:ind w:left="284" w:hanging="284"/>
        <w:rPr>
          <w:rFonts w:ascii="Times New Roman" w:hAnsi="Times New Roman" w:cs="Times New Roman"/>
          <w:sz w:val="18"/>
          <w:szCs w:val="18"/>
          <w:lang w:val="en-IE"/>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lang w:val="en-IE"/>
        </w:rPr>
        <w:t xml:space="preserve"> </w:t>
      </w:r>
      <w:r w:rsidRPr="005F4183">
        <w:rPr>
          <w:rFonts w:ascii="Times New Roman" w:hAnsi="Times New Roman" w:cs="Times New Roman"/>
          <w:sz w:val="18"/>
          <w:szCs w:val="18"/>
          <w:lang w:val="en-IE"/>
        </w:rPr>
        <w:tab/>
        <w:t xml:space="preserve">DE, EL. </w:t>
      </w:r>
    </w:p>
  </w:footnote>
  <w:footnote w:id="60">
    <w:p w14:paraId="46937498" w14:textId="1D9BB03C" w:rsidR="00C92E57" w:rsidRPr="005F4183" w:rsidRDefault="00C92E57" w:rsidP="00582553">
      <w:pPr>
        <w:pStyle w:val="FootnoteText"/>
        <w:spacing w:after="0"/>
        <w:ind w:left="284" w:hanging="284"/>
        <w:rPr>
          <w:rFonts w:ascii="Times New Roman" w:hAnsi="Times New Roman" w:cs="Times New Roman"/>
          <w:sz w:val="18"/>
          <w:szCs w:val="18"/>
          <w:lang w:val="en-IE"/>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lang w:val="en-IE"/>
        </w:rPr>
        <w:t xml:space="preserve"> </w:t>
      </w:r>
      <w:bookmarkStart w:id="208" w:name="_Hlk147500860"/>
      <w:r w:rsidRPr="005F4183">
        <w:rPr>
          <w:rFonts w:ascii="Times New Roman" w:hAnsi="Times New Roman" w:cs="Times New Roman"/>
          <w:sz w:val="18"/>
          <w:szCs w:val="18"/>
          <w:lang w:val="en-IE"/>
        </w:rPr>
        <w:tab/>
      </w:r>
      <w:bookmarkEnd w:id="208"/>
      <w:r w:rsidR="006656F4" w:rsidRPr="005F4183">
        <w:rPr>
          <w:rFonts w:ascii="Times New Roman" w:hAnsi="Times New Roman" w:cs="Times New Roman"/>
          <w:sz w:val="18"/>
          <w:szCs w:val="18"/>
          <w:lang w:val="en-IE"/>
        </w:rPr>
        <w:t xml:space="preserve">For example, </w:t>
      </w:r>
      <w:r w:rsidR="00B31BCE" w:rsidRPr="005F4183">
        <w:rPr>
          <w:rFonts w:ascii="Times New Roman" w:hAnsi="Times New Roman" w:cs="Times New Roman"/>
          <w:sz w:val="18"/>
          <w:szCs w:val="18"/>
          <w:lang w:val="en-IE"/>
        </w:rPr>
        <w:t>in LT, CSOs are explicitly excluded from the scope of registration and transparency requirements</w:t>
      </w:r>
      <w:r w:rsidR="009E642E">
        <w:rPr>
          <w:rFonts w:ascii="Times New Roman" w:hAnsi="Times New Roman" w:cs="Times New Roman"/>
          <w:sz w:val="18"/>
          <w:szCs w:val="18"/>
          <w:lang w:val="en-IE"/>
        </w:rPr>
        <w:t>. I</w:t>
      </w:r>
      <w:r w:rsidR="00B31BCE" w:rsidRPr="005F4183">
        <w:rPr>
          <w:rFonts w:ascii="Times New Roman" w:hAnsi="Times New Roman" w:cs="Times New Roman"/>
          <w:sz w:val="18"/>
          <w:szCs w:val="18"/>
          <w:lang w:val="en-IE"/>
        </w:rPr>
        <w:t xml:space="preserve">n DE, legal professionals are also not required to register when they perform interest representation activities. </w:t>
      </w:r>
    </w:p>
  </w:footnote>
  <w:footnote w:id="61">
    <w:p w14:paraId="7058F7D7" w14:textId="74BF3C65" w:rsidR="00E34537" w:rsidRPr="005F4183" w:rsidRDefault="00E34537" w:rsidP="00582553">
      <w:pPr>
        <w:pStyle w:val="FootnoteText"/>
        <w:spacing w:after="0"/>
        <w:ind w:left="284" w:hanging="284"/>
        <w:rPr>
          <w:rFonts w:ascii="Times New Roman" w:hAnsi="Times New Roman" w:cs="Times New Roman"/>
          <w:sz w:val="18"/>
          <w:szCs w:val="18"/>
          <w:lang w:val="en-IE"/>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rPr>
        <w:t xml:space="preserve"> </w:t>
      </w:r>
      <w:r w:rsidRPr="005F4183">
        <w:rPr>
          <w:rFonts w:ascii="Times New Roman" w:hAnsi="Times New Roman" w:cs="Times New Roman"/>
          <w:sz w:val="18"/>
          <w:szCs w:val="18"/>
        </w:rPr>
        <w:tab/>
      </w:r>
      <w:r w:rsidR="00BF0AA3" w:rsidRPr="005F4183">
        <w:rPr>
          <w:rFonts w:ascii="Times New Roman" w:hAnsi="Times New Roman" w:cs="Times New Roman"/>
          <w:sz w:val="18"/>
          <w:szCs w:val="18"/>
        </w:rPr>
        <w:t>See f</w:t>
      </w:r>
      <w:r w:rsidRPr="005F4183">
        <w:rPr>
          <w:rFonts w:ascii="Times New Roman" w:hAnsi="Times New Roman" w:cs="Times New Roman"/>
          <w:sz w:val="18"/>
          <w:szCs w:val="18"/>
        </w:rPr>
        <w:t>ocus group with legal professionals of 15 December 2022.</w:t>
      </w:r>
    </w:p>
  </w:footnote>
  <w:footnote w:id="62">
    <w:p w14:paraId="275E86FF" w14:textId="0277B75D" w:rsidR="00950DC6" w:rsidRPr="005F4183" w:rsidRDefault="00950DC6" w:rsidP="00582553">
      <w:pPr>
        <w:pStyle w:val="FootnoteText"/>
        <w:spacing w:after="0"/>
        <w:ind w:left="284" w:hanging="284"/>
        <w:rPr>
          <w:rFonts w:ascii="Times New Roman" w:hAnsi="Times New Roman" w:cs="Times New Roman"/>
          <w:sz w:val="18"/>
          <w:szCs w:val="18"/>
          <w:lang w:val="en-IE"/>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rPr>
        <w:t xml:space="preserve"> </w:t>
      </w:r>
      <w:r w:rsidRPr="005F4183">
        <w:rPr>
          <w:rFonts w:ascii="Times New Roman" w:hAnsi="Times New Roman" w:cs="Times New Roman"/>
          <w:sz w:val="18"/>
          <w:szCs w:val="18"/>
          <w:lang w:val="en-IE"/>
        </w:rPr>
        <w:tab/>
        <w:t>S</w:t>
      </w:r>
      <w:r w:rsidR="00BF0AA3" w:rsidRPr="005F4183">
        <w:rPr>
          <w:rFonts w:ascii="Times New Roman" w:hAnsi="Times New Roman" w:cs="Times New Roman"/>
          <w:sz w:val="18"/>
          <w:szCs w:val="18"/>
          <w:lang w:val="en-IE"/>
        </w:rPr>
        <w:t>ee s</w:t>
      </w:r>
      <w:r w:rsidRPr="005F4183">
        <w:rPr>
          <w:rFonts w:ascii="Times New Roman" w:hAnsi="Times New Roman" w:cs="Times New Roman"/>
          <w:sz w:val="18"/>
          <w:szCs w:val="18"/>
          <w:lang w:val="en-IE"/>
        </w:rPr>
        <w:t xml:space="preserve">econd focus group meeting with commercial actors involved in interest representation of 1 March 2023. </w:t>
      </w:r>
    </w:p>
  </w:footnote>
  <w:footnote w:id="63">
    <w:p w14:paraId="4335955C" w14:textId="4CF56BAE" w:rsidR="002A2178" w:rsidRPr="00BC43C1" w:rsidRDefault="002A2178" w:rsidP="004B75A3">
      <w:pPr>
        <w:pStyle w:val="FootnoteText"/>
        <w:spacing w:after="0"/>
        <w:ind w:left="284" w:hanging="284"/>
        <w:rPr>
          <w:rFonts w:ascii="Times New Roman" w:hAnsi="Times New Roman" w:cs="Times New Roman"/>
          <w:sz w:val="18"/>
          <w:szCs w:val="18"/>
          <w:lang w:val="de-AT"/>
        </w:rPr>
      </w:pPr>
      <w:r w:rsidRPr="00FC029A">
        <w:rPr>
          <w:rStyle w:val="FootnoteReference"/>
          <w:rFonts w:ascii="Times New Roman" w:hAnsi="Times New Roman" w:cs="Times New Roman"/>
          <w:sz w:val="18"/>
          <w:szCs w:val="18"/>
        </w:rPr>
        <w:footnoteRef/>
      </w:r>
      <w:r w:rsidRPr="00BC43C1">
        <w:rPr>
          <w:rFonts w:ascii="Times New Roman" w:hAnsi="Times New Roman" w:cs="Times New Roman"/>
          <w:sz w:val="18"/>
          <w:szCs w:val="18"/>
          <w:lang w:val="de-AT"/>
        </w:rPr>
        <w:t xml:space="preserve"> </w:t>
      </w:r>
      <w:r w:rsidRPr="00BC43C1">
        <w:rPr>
          <w:rFonts w:ascii="Times New Roman" w:hAnsi="Times New Roman" w:cs="Times New Roman"/>
          <w:sz w:val="18"/>
          <w:szCs w:val="18"/>
          <w:lang w:val="de-AT"/>
        </w:rPr>
        <w:tab/>
        <w:t>See Gesetz über ein Transparenzregister, Landtag von Baden-Württemberg, Drucksache 16/9883.</w:t>
      </w:r>
    </w:p>
  </w:footnote>
  <w:footnote w:id="64">
    <w:p w14:paraId="62D86DA4" w14:textId="6B74CA0F" w:rsidR="008041E2" w:rsidRPr="00BC43C1" w:rsidRDefault="008041E2" w:rsidP="004B75A3">
      <w:pPr>
        <w:pStyle w:val="FootnoteText"/>
        <w:spacing w:after="0"/>
        <w:ind w:left="284" w:hanging="284"/>
        <w:rPr>
          <w:rFonts w:ascii="Times New Roman" w:hAnsi="Times New Roman" w:cs="Times New Roman"/>
          <w:sz w:val="18"/>
          <w:szCs w:val="18"/>
          <w:lang w:val="de-AT"/>
        </w:rPr>
      </w:pPr>
      <w:r w:rsidRPr="00FC029A">
        <w:rPr>
          <w:rStyle w:val="FootnoteReference"/>
          <w:rFonts w:ascii="Times New Roman" w:hAnsi="Times New Roman" w:cs="Times New Roman"/>
          <w:sz w:val="18"/>
          <w:szCs w:val="18"/>
        </w:rPr>
        <w:footnoteRef/>
      </w:r>
      <w:r w:rsidRPr="00BC43C1">
        <w:rPr>
          <w:rFonts w:ascii="Times New Roman" w:hAnsi="Times New Roman" w:cs="Times New Roman"/>
          <w:sz w:val="18"/>
          <w:szCs w:val="18"/>
          <w:lang w:val="de-AT"/>
        </w:rPr>
        <w:t xml:space="preserve"> </w:t>
      </w:r>
      <w:r w:rsidRPr="00BC43C1">
        <w:rPr>
          <w:rFonts w:ascii="Times New Roman" w:hAnsi="Times New Roman" w:cs="Times New Roman"/>
          <w:sz w:val="18"/>
          <w:szCs w:val="18"/>
          <w:lang w:val="de-AT"/>
        </w:rPr>
        <w:tab/>
        <w:t>See Führung eines Lobbyregisters, Gesetz- und Verordnungsblatt für das Land Brandenburg, Part 1, No. 20, Annex 10, 25 June 2020.</w:t>
      </w:r>
    </w:p>
  </w:footnote>
  <w:footnote w:id="65">
    <w:p w14:paraId="3E0B3E21" w14:textId="3263338C" w:rsidR="00563D05" w:rsidRPr="00FC029A" w:rsidRDefault="00563D05" w:rsidP="00FC029A">
      <w:pPr>
        <w:pStyle w:val="FootnoteText"/>
        <w:spacing w:after="0"/>
        <w:ind w:left="284" w:hanging="284"/>
        <w:rPr>
          <w:lang w:val="en-IE"/>
        </w:rPr>
      </w:pPr>
      <w:r>
        <w:rPr>
          <w:rStyle w:val="FootnoteReference"/>
        </w:rPr>
        <w:footnoteRef/>
      </w:r>
      <w:r>
        <w:t xml:space="preserve"> </w:t>
      </w:r>
      <w:r>
        <w:tab/>
      </w:r>
      <w:r w:rsidRPr="00FC029A">
        <w:rPr>
          <w:rFonts w:ascii="Times New Roman" w:eastAsia="Times New Roman" w:hAnsi="Times New Roman" w:cs="Times New Roman"/>
          <w:sz w:val="18"/>
          <w:szCs w:val="18"/>
          <w:lang w:val="en-IE"/>
        </w:rPr>
        <w:t>However, a</w:t>
      </w:r>
      <w:r w:rsidRPr="00563D05">
        <w:rPr>
          <w:rFonts w:ascii="Times New Roman" w:hAnsi="Times New Roman" w:cs="Times New Roman"/>
          <w:sz w:val="18"/>
          <w:szCs w:val="18"/>
        </w:rPr>
        <w:t>t the federal level in DE, legal professionals do not fall under the scope of the registration and transparency requirement (i.e. when they write legal opinions, give legal advice etc.), unless they engage in activities that aim at adopting, changing or</w:t>
      </w:r>
      <w:r w:rsidRPr="0003579A">
        <w:rPr>
          <w:rFonts w:ascii="Times New Roman" w:hAnsi="Times New Roman" w:cs="Times New Roman"/>
          <w:sz w:val="18"/>
          <w:szCs w:val="18"/>
        </w:rPr>
        <w:t xml:space="preserve"> abolishing a legal text by the Bundestag or the federal government.</w:t>
      </w:r>
    </w:p>
  </w:footnote>
  <w:footnote w:id="66">
    <w:p w14:paraId="545609AB" w14:textId="0A52A187" w:rsidR="005F4183" w:rsidRPr="00FC029A" w:rsidRDefault="005F4183" w:rsidP="00FC029A">
      <w:pPr>
        <w:pStyle w:val="FootnoteText"/>
        <w:spacing w:after="0"/>
        <w:ind w:left="284" w:hanging="284"/>
        <w:rPr>
          <w:rFonts w:ascii="Times New Roman" w:hAnsi="Times New Roman" w:cs="Times New Roman"/>
          <w:sz w:val="18"/>
          <w:szCs w:val="18"/>
        </w:rPr>
      </w:pPr>
      <w:r w:rsidRPr="00FC029A">
        <w:rPr>
          <w:rStyle w:val="FootnoteReference"/>
          <w:rFonts w:ascii="Times New Roman" w:hAnsi="Times New Roman" w:cs="Times New Roman"/>
          <w:sz w:val="18"/>
          <w:szCs w:val="18"/>
        </w:rPr>
        <w:footnoteRef/>
      </w:r>
      <w:r w:rsidRPr="00FC029A">
        <w:rPr>
          <w:rFonts w:ascii="Times New Roman" w:hAnsi="Times New Roman" w:cs="Times New Roman"/>
          <w:sz w:val="18"/>
          <w:szCs w:val="18"/>
        </w:rPr>
        <w:t xml:space="preserve"> </w:t>
      </w:r>
      <w:r w:rsidR="004933A7">
        <w:rPr>
          <w:rFonts w:ascii="Times New Roman" w:hAnsi="Times New Roman" w:cs="Times New Roman"/>
          <w:sz w:val="18"/>
          <w:szCs w:val="18"/>
        </w:rPr>
        <w:tab/>
      </w:r>
      <w:r w:rsidRPr="00FC029A">
        <w:rPr>
          <w:rFonts w:ascii="Times New Roman" w:eastAsia="Times New Roman" w:hAnsi="Times New Roman" w:cs="Times New Roman"/>
          <w:sz w:val="18"/>
          <w:szCs w:val="18"/>
        </w:rPr>
        <w:t xml:space="preserve">Article 7(11) of the Law on Lobbying Activities of the Republic of Lithuania, available here: </w:t>
      </w:r>
      <w:hyperlink r:id="rId5" w:history="1">
        <w:r w:rsidRPr="00FC029A">
          <w:rPr>
            <w:rStyle w:val="Hyperlink"/>
            <w:rFonts w:ascii="Times New Roman" w:hAnsi="Times New Roman" w:cs="Times New Roman"/>
            <w:sz w:val="18"/>
            <w:szCs w:val="18"/>
          </w:rPr>
          <w:t>https://vtek.lt/wp-content/uploads/2021/06/EN_Law_on_Lobbying_Activities_2021.docx</w:t>
        </w:r>
      </w:hyperlink>
      <w:r w:rsidRPr="005F4183">
        <w:rPr>
          <w:rFonts w:ascii="Times New Roman" w:eastAsia="Times New Roman" w:hAnsi="Times New Roman" w:cs="Times New Roman"/>
          <w:sz w:val="18"/>
          <w:szCs w:val="18"/>
        </w:rPr>
        <w:t>.</w:t>
      </w:r>
    </w:p>
  </w:footnote>
  <w:footnote w:id="67">
    <w:p w14:paraId="63C2C4DF" w14:textId="6B3AC396" w:rsidR="00A2656A" w:rsidRPr="005F4183" w:rsidRDefault="00A2656A" w:rsidP="00582553">
      <w:pPr>
        <w:pStyle w:val="FootnoteText"/>
        <w:spacing w:after="0"/>
        <w:ind w:left="284" w:hanging="284"/>
        <w:rPr>
          <w:rFonts w:ascii="Times New Roman" w:hAnsi="Times New Roman" w:cs="Times New Roman"/>
          <w:sz w:val="18"/>
          <w:szCs w:val="18"/>
          <w:lang w:val="en-IE"/>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rPr>
        <w:t xml:space="preserve"> </w:t>
      </w:r>
      <w:r w:rsidRPr="005F4183">
        <w:rPr>
          <w:rFonts w:ascii="Times New Roman" w:hAnsi="Times New Roman" w:cs="Times New Roman"/>
          <w:sz w:val="18"/>
          <w:szCs w:val="18"/>
        </w:rPr>
        <w:tab/>
      </w:r>
      <w:r w:rsidR="00BF0AA3" w:rsidRPr="005F4183">
        <w:rPr>
          <w:rFonts w:ascii="Times New Roman" w:hAnsi="Times New Roman" w:cs="Times New Roman"/>
          <w:sz w:val="18"/>
          <w:szCs w:val="18"/>
          <w:lang w:val="en-IE"/>
        </w:rPr>
        <w:t>See f</w:t>
      </w:r>
      <w:r w:rsidRPr="005F4183">
        <w:rPr>
          <w:rFonts w:ascii="Times New Roman" w:hAnsi="Times New Roman" w:cs="Times New Roman"/>
          <w:sz w:val="18"/>
          <w:szCs w:val="18"/>
          <w:lang w:val="en-IE"/>
        </w:rPr>
        <w:t xml:space="preserve">ocus group with commercial actors involved in cross border interest representation activities of 1 March 2023.  </w:t>
      </w:r>
    </w:p>
  </w:footnote>
  <w:footnote w:id="68">
    <w:p w14:paraId="65F3AF6F" w14:textId="36A3AA9C" w:rsidR="005F4183" w:rsidRPr="00FC029A" w:rsidRDefault="005F4183" w:rsidP="00FC029A">
      <w:pPr>
        <w:pStyle w:val="FootnoteText"/>
        <w:spacing w:after="0"/>
        <w:ind w:left="284" w:hanging="284"/>
        <w:rPr>
          <w:rFonts w:ascii="Times New Roman" w:hAnsi="Times New Roman" w:cs="Times New Roman"/>
          <w:sz w:val="18"/>
          <w:szCs w:val="18"/>
          <w:lang w:val="en-IE"/>
        </w:rPr>
      </w:pPr>
      <w:r w:rsidRPr="00FC029A">
        <w:rPr>
          <w:rStyle w:val="FootnoteReference"/>
          <w:rFonts w:ascii="Times New Roman" w:hAnsi="Times New Roman" w:cs="Times New Roman"/>
          <w:sz w:val="18"/>
          <w:szCs w:val="18"/>
        </w:rPr>
        <w:footnoteRef/>
      </w:r>
      <w:r w:rsidRPr="00FC029A">
        <w:rPr>
          <w:rFonts w:ascii="Times New Roman" w:hAnsi="Times New Roman" w:cs="Times New Roman"/>
          <w:sz w:val="18"/>
          <w:szCs w:val="18"/>
        </w:rPr>
        <w:t xml:space="preserve"> </w:t>
      </w:r>
      <w:r>
        <w:rPr>
          <w:rFonts w:ascii="Times New Roman" w:hAnsi="Times New Roman" w:cs="Times New Roman"/>
          <w:sz w:val="18"/>
          <w:szCs w:val="18"/>
        </w:rPr>
        <w:tab/>
      </w:r>
      <w:r w:rsidRPr="00FC029A">
        <w:rPr>
          <w:rFonts w:ascii="Times New Roman" w:hAnsi="Times New Roman" w:cs="Times New Roman"/>
          <w:sz w:val="18"/>
          <w:szCs w:val="18"/>
          <w:lang w:val="en-IE"/>
        </w:rPr>
        <w:t>See Annex 6.</w:t>
      </w:r>
    </w:p>
  </w:footnote>
  <w:footnote w:id="69">
    <w:p w14:paraId="6599117A" w14:textId="2B8AA49B" w:rsidR="005F4183" w:rsidRPr="00FC029A" w:rsidRDefault="005F4183" w:rsidP="00FC029A">
      <w:pPr>
        <w:pStyle w:val="FootnoteText"/>
        <w:spacing w:after="0"/>
        <w:ind w:left="284" w:hanging="284"/>
        <w:rPr>
          <w:rFonts w:ascii="Times New Roman" w:hAnsi="Times New Roman" w:cs="Times New Roman"/>
          <w:sz w:val="18"/>
          <w:szCs w:val="18"/>
        </w:rPr>
      </w:pPr>
      <w:r w:rsidRPr="00FC029A">
        <w:rPr>
          <w:rStyle w:val="FootnoteReference"/>
          <w:rFonts w:ascii="Times New Roman" w:hAnsi="Times New Roman" w:cs="Times New Roman"/>
          <w:sz w:val="18"/>
          <w:szCs w:val="18"/>
        </w:rPr>
        <w:footnoteRef/>
      </w:r>
      <w:r w:rsidRPr="00FC029A">
        <w:rPr>
          <w:rFonts w:ascii="Times New Roman" w:hAnsi="Times New Roman" w:cs="Times New Roman"/>
          <w:sz w:val="18"/>
          <w:szCs w:val="18"/>
        </w:rPr>
        <w:t xml:space="preserve"> </w:t>
      </w:r>
      <w:r>
        <w:rPr>
          <w:rFonts w:ascii="Times New Roman" w:hAnsi="Times New Roman" w:cs="Times New Roman"/>
          <w:sz w:val="18"/>
          <w:szCs w:val="18"/>
        </w:rPr>
        <w:tab/>
      </w:r>
      <w:r w:rsidRPr="005F4183">
        <w:rPr>
          <w:rFonts w:ascii="Times New Roman" w:eastAsia="Times New Roman" w:hAnsi="Times New Roman" w:cs="Times New Roman"/>
          <w:sz w:val="18"/>
          <w:szCs w:val="18"/>
          <w:lang w:val="en-IE" w:eastAsia="en-US"/>
        </w:rPr>
        <w:t xml:space="preserve">Article 7(1)(a) of the Law Np. 4829 on Enhancing transparency and accountability in State institutions, available here: </w:t>
      </w:r>
      <w:hyperlink r:id="rId6" w:history="1">
        <w:r w:rsidRPr="005F4183">
          <w:rPr>
            <w:rFonts w:ascii="Times New Roman" w:eastAsia="Calibri" w:hAnsi="Times New Roman" w:cs="Times New Roman"/>
            <w:color w:val="0000FF"/>
            <w:sz w:val="18"/>
            <w:szCs w:val="18"/>
            <w:u w:val="single"/>
            <w:lang w:val="en-IE" w:eastAsia="en-US"/>
          </w:rPr>
          <w:t>Law 4829/2021 Government Gazette A 166/10.9.2021 (taxheaven.gr)</w:t>
        </w:r>
      </w:hyperlink>
      <w:r w:rsidRPr="005F4183">
        <w:rPr>
          <w:rFonts w:ascii="Times New Roman" w:eastAsia="Times New Roman" w:hAnsi="Times New Roman" w:cs="Times New Roman"/>
          <w:sz w:val="18"/>
          <w:szCs w:val="18"/>
          <w:lang w:val="en-IE" w:eastAsia="en-US"/>
        </w:rPr>
        <w:t>.</w:t>
      </w:r>
    </w:p>
  </w:footnote>
  <w:footnote w:id="70">
    <w:p w14:paraId="0348815D" w14:textId="50029C61" w:rsidR="005F4183" w:rsidRPr="00FC029A" w:rsidRDefault="005F4183" w:rsidP="00FC029A">
      <w:pPr>
        <w:pStyle w:val="FootnoteText"/>
        <w:spacing w:after="0"/>
        <w:ind w:left="284" w:hanging="284"/>
        <w:rPr>
          <w:rFonts w:ascii="Times New Roman" w:hAnsi="Times New Roman" w:cs="Times New Roman"/>
          <w:sz w:val="18"/>
          <w:szCs w:val="18"/>
          <w:lang w:val="en-IE"/>
        </w:rPr>
      </w:pPr>
      <w:r w:rsidRPr="00FC029A">
        <w:rPr>
          <w:rStyle w:val="FootnoteReference"/>
          <w:rFonts w:ascii="Times New Roman" w:hAnsi="Times New Roman" w:cs="Times New Roman"/>
          <w:sz w:val="18"/>
          <w:szCs w:val="18"/>
        </w:rPr>
        <w:footnoteRef/>
      </w:r>
      <w:r w:rsidRPr="00FC029A">
        <w:rPr>
          <w:rFonts w:ascii="Times New Roman" w:hAnsi="Times New Roman" w:cs="Times New Roman"/>
          <w:sz w:val="18"/>
          <w:szCs w:val="18"/>
          <w:lang w:val="en-IE"/>
        </w:rPr>
        <w:t xml:space="preserve"> </w:t>
      </w:r>
      <w:r w:rsidRPr="00FC029A">
        <w:rPr>
          <w:rFonts w:ascii="Times New Roman" w:hAnsi="Times New Roman" w:cs="Times New Roman"/>
          <w:sz w:val="18"/>
          <w:szCs w:val="18"/>
          <w:lang w:val="en-IE"/>
        </w:rPr>
        <w:tab/>
      </w:r>
      <w:r w:rsidR="00D06711">
        <w:rPr>
          <w:rFonts w:ascii="Times New Roman" w:hAnsi="Times New Roman" w:cs="Times New Roman"/>
          <w:sz w:val="18"/>
          <w:szCs w:val="18"/>
          <w:lang w:val="en-IE"/>
        </w:rPr>
        <w:t>Integrity and Prevention of Corruption Act,</w:t>
      </w:r>
      <w:r w:rsidR="00D06711" w:rsidRPr="00FC029A">
        <w:rPr>
          <w:rFonts w:ascii="Times New Roman" w:hAnsi="Times New Roman" w:cs="Times New Roman"/>
          <w:sz w:val="18"/>
          <w:szCs w:val="18"/>
          <w:lang w:val="en-IE"/>
        </w:rPr>
        <w:t xml:space="preserve"> </w:t>
      </w:r>
      <w:r w:rsidRPr="00BC43C1">
        <w:rPr>
          <w:rFonts w:ascii="Times New Roman" w:eastAsia="Times New Roman" w:hAnsi="Times New Roman" w:cs="Times New Roman"/>
          <w:sz w:val="18"/>
          <w:szCs w:val="18"/>
          <w:lang w:val="en-IE"/>
        </w:rPr>
        <w:t>Article 64</w:t>
      </w:r>
      <w:r w:rsidR="00A55543">
        <w:rPr>
          <w:rFonts w:ascii="Times New Roman" w:eastAsia="Times New Roman" w:hAnsi="Times New Roman" w:cs="Times New Roman"/>
          <w:sz w:val="18"/>
          <w:szCs w:val="18"/>
          <w:lang w:val="en-IE"/>
        </w:rPr>
        <w:t>, available here:</w:t>
      </w:r>
      <w:r w:rsidRPr="00BC43C1">
        <w:rPr>
          <w:rFonts w:ascii="Times New Roman" w:eastAsia="Times New Roman" w:hAnsi="Times New Roman" w:cs="Times New Roman"/>
          <w:sz w:val="18"/>
          <w:szCs w:val="18"/>
          <w:lang w:val="en-IE"/>
        </w:rPr>
        <w:t xml:space="preserve"> </w:t>
      </w:r>
      <w:hyperlink r:id="rId7" w:history="1">
        <w:r w:rsidRPr="00BC43C1">
          <w:rPr>
            <w:rStyle w:val="Hyperlink"/>
            <w:rFonts w:ascii="Times New Roman" w:eastAsia="Times New Roman" w:hAnsi="Times New Roman" w:cs="Times New Roman"/>
            <w:sz w:val="18"/>
            <w:szCs w:val="18"/>
            <w:lang w:val="en-IE"/>
          </w:rPr>
          <w:t>https://www.kpk-rs.si/kpk/wp-content/uploads/2018/06/ZintPK-ENG.pdf.pdf</w:t>
        </w:r>
      </w:hyperlink>
      <w:r w:rsidR="00D06711" w:rsidRPr="00BC43C1">
        <w:rPr>
          <w:rFonts w:ascii="Times New Roman" w:eastAsia="Times New Roman" w:hAnsi="Times New Roman" w:cs="Times New Roman"/>
          <w:sz w:val="18"/>
          <w:szCs w:val="18"/>
          <w:lang w:val="en-IE"/>
        </w:rPr>
        <w:t>.</w:t>
      </w:r>
    </w:p>
  </w:footnote>
  <w:footnote w:id="71">
    <w:p w14:paraId="512903E3" w14:textId="0D7D4EB9" w:rsidR="005F4183" w:rsidRPr="00FC029A" w:rsidRDefault="005F4183" w:rsidP="00FC029A">
      <w:pPr>
        <w:pStyle w:val="FootnoteText"/>
        <w:spacing w:after="0"/>
        <w:ind w:left="284" w:hanging="284"/>
        <w:rPr>
          <w:rFonts w:ascii="Times New Roman" w:hAnsi="Times New Roman" w:cs="Times New Roman"/>
          <w:sz w:val="18"/>
          <w:szCs w:val="18"/>
          <w:lang w:val="en-IE"/>
        </w:rPr>
      </w:pPr>
      <w:r w:rsidRPr="00FC029A">
        <w:rPr>
          <w:rStyle w:val="FootnoteReference"/>
          <w:rFonts w:ascii="Times New Roman" w:hAnsi="Times New Roman" w:cs="Times New Roman"/>
          <w:sz w:val="18"/>
          <w:szCs w:val="18"/>
        </w:rPr>
        <w:footnoteRef/>
      </w:r>
      <w:r w:rsidRPr="00FC029A">
        <w:rPr>
          <w:rFonts w:ascii="Times New Roman" w:hAnsi="Times New Roman" w:cs="Times New Roman"/>
          <w:sz w:val="18"/>
          <w:szCs w:val="18"/>
          <w:lang w:val="en-IE"/>
        </w:rPr>
        <w:t xml:space="preserve"> </w:t>
      </w:r>
      <w:r w:rsidRPr="00FC029A">
        <w:rPr>
          <w:rFonts w:ascii="Times New Roman" w:hAnsi="Times New Roman" w:cs="Times New Roman"/>
          <w:sz w:val="18"/>
          <w:szCs w:val="18"/>
          <w:lang w:val="en-IE"/>
        </w:rPr>
        <w:tab/>
      </w:r>
      <w:r w:rsidR="00D06711" w:rsidRPr="00FC029A">
        <w:rPr>
          <w:rFonts w:ascii="Times New Roman" w:hAnsi="Times New Roman" w:cs="Times New Roman"/>
          <w:sz w:val="18"/>
          <w:szCs w:val="18"/>
          <w:lang w:val="en-IE"/>
        </w:rPr>
        <w:t xml:space="preserve">Integrity and Prevention of Corruption </w:t>
      </w:r>
      <w:r w:rsidR="00D06711">
        <w:rPr>
          <w:rFonts w:ascii="Times New Roman" w:hAnsi="Times New Roman" w:cs="Times New Roman"/>
          <w:sz w:val="18"/>
          <w:szCs w:val="18"/>
          <w:lang w:val="en-IE"/>
        </w:rPr>
        <w:t xml:space="preserve">Act, </w:t>
      </w:r>
      <w:r w:rsidRPr="00BC43C1">
        <w:rPr>
          <w:rFonts w:ascii="Times New Roman" w:eastAsia="Times New Roman" w:hAnsi="Times New Roman" w:cs="Times New Roman"/>
          <w:sz w:val="18"/>
          <w:szCs w:val="18"/>
          <w:lang w:val="en-IE"/>
        </w:rPr>
        <w:t>Article 64</w:t>
      </w:r>
      <w:r w:rsidR="00A55543">
        <w:rPr>
          <w:rFonts w:ascii="Times New Roman" w:eastAsia="Times New Roman" w:hAnsi="Times New Roman" w:cs="Times New Roman"/>
          <w:sz w:val="18"/>
          <w:szCs w:val="18"/>
          <w:lang w:val="en-IE"/>
        </w:rPr>
        <w:t>, available here:</w:t>
      </w:r>
      <w:r w:rsidRPr="00BC43C1">
        <w:rPr>
          <w:rFonts w:ascii="Times New Roman" w:eastAsia="Times New Roman" w:hAnsi="Times New Roman" w:cs="Times New Roman"/>
          <w:sz w:val="18"/>
          <w:szCs w:val="18"/>
          <w:lang w:val="en-IE"/>
        </w:rPr>
        <w:t xml:space="preserve"> </w:t>
      </w:r>
      <w:hyperlink r:id="rId8" w:history="1">
        <w:r w:rsidRPr="00BC43C1">
          <w:rPr>
            <w:rStyle w:val="Hyperlink"/>
            <w:rFonts w:ascii="Times New Roman" w:eastAsia="Times New Roman" w:hAnsi="Times New Roman" w:cs="Times New Roman"/>
            <w:sz w:val="18"/>
            <w:szCs w:val="18"/>
            <w:lang w:val="en-IE"/>
          </w:rPr>
          <w:t>https://www.kpk-rs.si/kpk/wp-content/uploads/2018/06/ZintPK-ENG.pdf.pdf</w:t>
        </w:r>
      </w:hyperlink>
      <w:r w:rsidR="00D06711" w:rsidRPr="00BC43C1">
        <w:rPr>
          <w:rFonts w:ascii="Times New Roman" w:eastAsia="Times New Roman" w:hAnsi="Times New Roman" w:cs="Times New Roman"/>
          <w:sz w:val="18"/>
          <w:szCs w:val="18"/>
          <w:lang w:val="en-IE"/>
        </w:rPr>
        <w:t>.</w:t>
      </w:r>
    </w:p>
  </w:footnote>
  <w:footnote w:id="72">
    <w:p w14:paraId="23BC9272" w14:textId="709AFB8F" w:rsidR="005F4183" w:rsidRPr="00BC43C1" w:rsidRDefault="005F4183" w:rsidP="00FC029A">
      <w:pPr>
        <w:pStyle w:val="FootnoteText"/>
        <w:spacing w:after="0"/>
        <w:ind w:left="284" w:hanging="284"/>
        <w:rPr>
          <w:rFonts w:ascii="Times New Roman" w:hAnsi="Times New Roman" w:cs="Times New Roman"/>
          <w:sz w:val="18"/>
          <w:szCs w:val="18"/>
          <w:lang w:val="de-AT"/>
        </w:rPr>
      </w:pPr>
      <w:r w:rsidRPr="00FC029A">
        <w:rPr>
          <w:rStyle w:val="FootnoteReference"/>
          <w:rFonts w:ascii="Times New Roman" w:hAnsi="Times New Roman" w:cs="Times New Roman"/>
          <w:sz w:val="18"/>
          <w:szCs w:val="18"/>
        </w:rPr>
        <w:footnoteRef/>
      </w:r>
      <w:r w:rsidRPr="00BC43C1">
        <w:rPr>
          <w:rFonts w:ascii="Times New Roman" w:hAnsi="Times New Roman" w:cs="Times New Roman"/>
          <w:sz w:val="18"/>
          <w:szCs w:val="18"/>
          <w:lang w:val="de-AT"/>
        </w:rPr>
        <w:t xml:space="preserve"> </w:t>
      </w:r>
      <w:r w:rsidRPr="00BC43C1">
        <w:rPr>
          <w:rFonts w:ascii="Times New Roman" w:hAnsi="Times New Roman" w:cs="Times New Roman"/>
          <w:sz w:val="18"/>
          <w:szCs w:val="18"/>
          <w:lang w:val="de-AT"/>
        </w:rPr>
        <w:tab/>
      </w:r>
      <w:r w:rsidRPr="005F4183">
        <w:rPr>
          <w:rFonts w:ascii="Times New Roman" w:eastAsia="Times New Roman" w:hAnsi="Times New Roman" w:cs="Times New Roman"/>
          <w:sz w:val="18"/>
          <w:szCs w:val="18"/>
          <w:lang w:val="de-DE" w:eastAsia="en-US"/>
        </w:rPr>
        <w:t xml:space="preserve">Lobby Register Act (Gesetz zur Einführung eines Lobbyregisters für die Interessenvertretung gegenüber dem Deutschen Bundestag und gegenüber der Bundesregierung (Lobbyregistergesetz - LobbyRG)), 2021, available at: </w:t>
      </w:r>
      <w:hyperlink r:id="rId9" w:history="1">
        <w:r w:rsidRPr="00BC43C1">
          <w:rPr>
            <w:rFonts w:ascii="Times New Roman" w:eastAsia="Calibri" w:hAnsi="Times New Roman" w:cs="Times New Roman"/>
            <w:color w:val="0000FF"/>
            <w:sz w:val="18"/>
            <w:szCs w:val="18"/>
            <w:u w:val="single"/>
            <w:lang w:val="de-AT" w:eastAsia="en-US"/>
          </w:rPr>
          <w:t>http://www.gesetze-im-internet.de/lobbyrg/BJNR081800021.html</w:t>
        </w:r>
      </w:hyperlink>
      <w:r w:rsidRPr="005F4183">
        <w:rPr>
          <w:rFonts w:ascii="Times New Roman" w:eastAsia="Times New Roman" w:hAnsi="Times New Roman" w:cs="Times New Roman"/>
          <w:sz w:val="18"/>
          <w:szCs w:val="18"/>
          <w:lang w:val="de-DE" w:eastAsia="en-US"/>
        </w:rPr>
        <w:t>, paragraph 6(1)6.</w:t>
      </w:r>
    </w:p>
  </w:footnote>
  <w:footnote w:id="73">
    <w:p w14:paraId="3E556BB6" w14:textId="5EA1F403" w:rsidR="005F4183" w:rsidRPr="00FC029A" w:rsidRDefault="005F4183" w:rsidP="00FC029A">
      <w:pPr>
        <w:pStyle w:val="FootnoteText"/>
        <w:spacing w:after="0"/>
        <w:ind w:left="284" w:hanging="284"/>
        <w:rPr>
          <w:rFonts w:ascii="Times New Roman" w:hAnsi="Times New Roman" w:cs="Times New Roman"/>
          <w:sz w:val="18"/>
          <w:szCs w:val="18"/>
        </w:rPr>
      </w:pPr>
      <w:r w:rsidRPr="00FC029A">
        <w:rPr>
          <w:rStyle w:val="FootnoteReference"/>
          <w:rFonts w:ascii="Times New Roman" w:hAnsi="Times New Roman" w:cs="Times New Roman"/>
          <w:sz w:val="18"/>
          <w:szCs w:val="18"/>
        </w:rPr>
        <w:footnoteRef/>
      </w:r>
      <w:r w:rsidRPr="00FC029A">
        <w:rPr>
          <w:rFonts w:ascii="Times New Roman" w:hAnsi="Times New Roman" w:cs="Times New Roman"/>
          <w:sz w:val="18"/>
          <w:szCs w:val="18"/>
        </w:rPr>
        <w:t xml:space="preserve"> </w:t>
      </w:r>
      <w:r>
        <w:rPr>
          <w:rFonts w:ascii="Times New Roman" w:hAnsi="Times New Roman" w:cs="Times New Roman"/>
          <w:sz w:val="18"/>
          <w:szCs w:val="18"/>
        </w:rPr>
        <w:tab/>
      </w:r>
      <w:r w:rsidRPr="005F4183">
        <w:rPr>
          <w:rFonts w:ascii="Times New Roman" w:eastAsia="Times New Roman" w:hAnsi="Times New Roman" w:cs="Times New Roman"/>
          <w:sz w:val="18"/>
          <w:szCs w:val="18"/>
          <w:lang w:val="en-IE" w:eastAsia="en-US"/>
        </w:rPr>
        <w:t xml:space="preserve">Article 10(1) of the Law Np. 4829 on Enhancing transparency and accountability in State institutions, available here: </w:t>
      </w:r>
      <w:hyperlink r:id="rId10" w:history="1">
        <w:r w:rsidRPr="005F4183">
          <w:rPr>
            <w:rFonts w:ascii="Times New Roman" w:eastAsia="Calibri" w:hAnsi="Times New Roman" w:cs="Times New Roman"/>
            <w:color w:val="0000FF"/>
            <w:sz w:val="18"/>
            <w:szCs w:val="18"/>
            <w:u w:val="single"/>
            <w:lang w:val="en-IE" w:eastAsia="en-US"/>
          </w:rPr>
          <w:t>Law 4829/2021 Government Gazette A 166/10.9.2021 (taxheaven.gr)</w:t>
        </w:r>
      </w:hyperlink>
      <w:r w:rsidRPr="005F4183">
        <w:rPr>
          <w:rFonts w:ascii="Times New Roman" w:eastAsia="Times New Roman" w:hAnsi="Times New Roman" w:cs="Times New Roman"/>
          <w:sz w:val="18"/>
          <w:szCs w:val="18"/>
          <w:lang w:val="en-IE" w:eastAsia="en-US"/>
        </w:rPr>
        <w:t>.</w:t>
      </w:r>
    </w:p>
  </w:footnote>
  <w:footnote w:id="74">
    <w:p w14:paraId="0465E41D" w14:textId="68478AF2" w:rsidR="005F4183" w:rsidRPr="00FC029A" w:rsidRDefault="005F4183" w:rsidP="00FC029A">
      <w:pPr>
        <w:pStyle w:val="FootnoteText"/>
        <w:spacing w:after="0"/>
        <w:ind w:left="284" w:hanging="284"/>
        <w:rPr>
          <w:rFonts w:ascii="Times New Roman" w:hAnsi="Times New Roman" w:cs="Times New Roman"/>
          <w:sz w:val="18"/>
          <w:szCs w:val="18"/>
          <w:lang w:val="en-IE"/>
        </w:rPr>
      </w:pPr>
      <w:r w:rsidRPr="00FC029A">
        <w:rPr>
          <w:rStyle w:val="FootnoteReference"/>
          <w:rFonts w:ascii="Times New Roman" w:hAnsi="Times New Roman" w:cs="Times New Roman"/>
          <w:sz w:val="18"/>
          <w:szCs w:val="18"/>
        </w:rPr>
        <w:footnoteRef/>
      </w:r>
      <w:r w:rsidRPr="00FC029A">
        <w:rPr>
          <w:rFonts w:ascii="Times New Roman" w:hAnsi="Times New Roman" w:cs="Times New Roman"/>
          <w:sz w:val="18"/>
          <w:szCs w:val="18"/>
          <w:lang w:val="en-IE"/>
        </w:rPr>
        <w:t xml:space="preserve"> </w:t>
      </w:r>
      <w:r w:rsidRPr="00FC029A">
        <w:rPr>
          <w:rFonts w:ascii="Times New Roman" w:hAnsi="Times New Roman" w:cs="Times New Roman"/>
          <w:sz w:val="18"/>
          <w:szCs w:val="18"/>
          <w:lang w:val="en-IE"/>
        </w:rPr>
        <w:tab/>
      </w:r>
      <w:r w:rsidR="00D06711" w:rsidRPr="00FC029A">
        <w:rPr>
          <w:rFonts w:ascii="Times New Roman" w:hAnsi="Times New Roman" w:cs="Times New Roman"/>
          <w:sz w:val="18"/>
          <w:szCs w:val="18"/>
          <w:lang w:val="en-IE"/>
        </w:rPr>
        <w:t xml:space="preserve">Integrity and Prevention of Corruption Act, </w:t>
      </w:r>
      <w:r w:rsidRPr="00FC029A">
        <w:rPr>
          <w:rFonts w:ascii="Times New Roman" w:eastAsia="Times New Roman" w:hAnsi="Times New Roman" w:cs="Times New Roman"/>
          <w:sz w:val="18"/>
          <w:szCs w:val="18"/>
          <w:lang w:val="en-IE"/>
        </w:rPr>
        <w:t>Article 63</w:t>
      </w:r>
      <w:r w:rsidR="00A55543">
        <w:rPr>
          <w:rFonts w:ascii="Times New Roman" w:eastAsia="Times New Roman" w:hAnsi="Times New Roman" w:cs="Times New Roman"/>
          <w:sz w:val="18"/>
          <w:szCs w:val="18"/>
          <w:lang w:val="en-IE"/>
        </w:rPr>
        <w:t>, available here:</w:t>
      </w:r>
      <w:r w:rsidRPr="00FC029A">
        <w:rPr>
          <w:rFonts w:ascii="Times New Roman" w:eastAsia="Times New Roman" w:hAnsi="Times New Roman" w:cs="Times New Roman"/>
          <w:sz w:val="18"/>
          <w:szCs w:val="18"/>
          <w:lang w:val="en-IE"/>
        </w:rPr>
        <w:t xml:space="preserve"> </w:t>
      </w:r>
      <w:hyperlink r:id="rId11" w:history="1">
        <w:r w:rsidRPr="00FC029A">
          <w:rPr>
            <w:rStyle w:val="Hyperlink"/>
            <w:rFonts w:ascii="Times New Roman" w:eastAsia="Times New Roman" w:hAnsi="Times New Roman" w:cs="Times New Roman"/>
            <w:sz w:val="18"/>
            <w:szCs w:val="18"/>
            <w:lang w:val="en-IE"/>
          </w:rPr>
          <w:t>https://www.kpk-rs.si/kpk/wp-content/uploads/2018/06/ZintPK-ENG.pdf.pdf</w:t>
        </w:r>
      </w:hyperlink>
      <w:r w:rsidR="00D06711">
        <w:rPr>
          <w:rFonts w:ascii="Times New Roman" w:eastAsia="Times New Roman" w:hAnsi="Times New Roman" w:cs="Times New Roman"/>
          <w:sz w:val="18"/>
          <w:szCs w:val="18"/>
        </w:rPr>
        <w:t>.</w:t>
      </w:r>
    </w:p>
  </w:footnote>
  <w:footnote w:id="75">
    <w:p w14:paraId="22777688" w14:textId="13BE3BDF" w:rsidR="005F4183" w:rsidRPr="00FC029A" w:rsidRDefault="005F4183" w:rsidP="00FC029A">
      <w:pPr>
        <w:pStyle w:val="FootnoteText"/>
        <w:spacing w:after="0"/>
        <w:ind w:left="284" w:hanging="284"/>
        <w:rPr>
          <w:rFonts w:ascii="Times New Roman" w:hAnsi="Times New Roman" w:cs="Times New Roman"/>
          <w:sz w:val="18"/>
          <w:szCs w:val="18"/>
        </w:rPr>
      </w:pPr>
      <w:r w:rsidRPr="00FC029A">
        <w:rPr>
          <w:rStyle w:val="FootnoteReference"/>
          <w:rFonts w:ascii="Times New Roman" w:hAnsi="Times New Roman" w:cs="Times New Roman"/>
          <w:sz w:val="18"/>
          <w:szCs w:val="18"/>
        </w:rPr>
        <w:footnoteRef/>
      </w:r>
      <w:r w:rsidRPr="00FC029A">
        <w:rPr>
          <w:rFonts w:ascii="Times New Roman" w:hAnsi="Times New Roman" w:cs="Times New Roman"/>
          <w:sz w:val="18"/>
          <w:szCs w:val="18"/>
        </w:rPr>
        <w:t xml:space="preserve"> </w:t>
      </w:r>
      <w:r>
        <w:rPr>
          <w:rFonts w:ascii="Times New Roman" w:hAnsi="Times New Roman" w:cs="Times New Roman"/>
          <w:sz w:val="18"/>
          <w:szCs w:val="18"/>
        </w:rPr>
        <w:tab/>
      </w:r>
      <w:r w:rsidRPr="005F4183">
        <w:rPr>
          <w:rFonts w:ascii="Times New Roman" w:eastAsia="Calibri" w:hAnsi="Times New Roman" w:cs="Times New Roman"/>
          <w:sz w:val="18"/>
          <w:szCs w:val="18"/>
          <w:lang w:val="en-IE" w:eastAsia="en-US"/>
        </w:rPr>
        <w:t xml:space="preserve">Sections 7 and 12(1) of the </w:t>
      </w:r>
      <w:hyperlink r:id="rId12" w:history="1">
        <w:r w:rsidRPr="005F4183">
          <w:rPr>
            <w:rFonts w:ascii="Times New Roman" w:eastAsia="Calibri" w:hAnsi="Times New Roman" w:cs="Times New Roman"/>
            <w:color w:val="0000FF"/>
            <w:sz w:val="18"/>
            <w:szCs w:val="18"/>
            <w:u w:val="single"/>
            <w:lang w:val="en-IE" w:eastAsia="en-US"/>
          </w:rPr>
          <w:t>Regulation of Lobbying Act</w:t>
        </w:r>
        <w:r w:rsidRPr="005F4183">
          <w:rPr>
            <w:rFonts w:ascii="Times New Roman" w:eastAsia="Calibri" w:hAnsi="Times New Roman" w:cs="Times New Roman"/>
            <w:sz w:val="18"/>
            <w:szCs w:val="18"/>
            <w:lang w:val="en-IE" w:eastAsia="en-US"/>
          </w:rPr>
          <w:fldChar w:fldCharType="begin"/>
        </w:r>
        <w:r w:rsidRPr="005F4183">
          <w:rPr>
            <w:rFonts w:ascii="Times New Roman" w:eastAsia="Calibri" w:hAnsi="Times New Roman" w:cs="Times New Roman"/>
            <w:sz w:val="18"/>
            <w:szCs w:val="18"/>
            <w:lang w:val="en-IE" w:eastAsia="en-US"/>
          </w:rPr>
          <w:instrText>￼￼￼</w:instrText>
        </w:r>
        <w:r w:rsidRPr="005F4183">
          <w:rPr>
            <w:rFonts w:ascii="Times New Roman" w:eastAsia="Calibri" w:hAnsi="Times New Roman" w:cs="Times New Roman"/>
            <w:color w:val="0000FF"/>
            <w:sz w:val="18"/>
            <w:szCs w:val="18"/>
            <w:u w:val="single"/>
            <w:lang w:val="en-IE" w:eastAsia="en-US"/>
          </w:rPr>
          <w:instrText>Regulation of Lobbying Act</w:instrText>
        </w:r>
        <w:r w:rsidRPr="005F4183">
          <w:rPr>
            <w:rFonts w:ascii="Times New Roman" w:eastAsia="Calibri" w:hAnsi="Times New Roman" w:cs="Times New Roman"/>
            <w:sz w:val="18"/>
            <w:szCs w:val="18"/>
            <w:lang w:val="en-IE" w:eastAsia="en-US"/>
          </w:rPr>
          <w:fldChar w:fldCharType="end"/>
        </w:r>
      </w:hyperlink>
      <w:r w:rsidRPr="005F4183">
        <w:rPr>
          <w:rFonts w:ascii="Times New Roman" w:eastAsia="Calibri" w:hAnsi="Times New Roman" w:cs="Times New Roman"/>
          <w:sz w:val="18"/>
          <w:szCs w:val="18"/>
          <w:lang w:val="en-IE" w:eastAsia="en-US"/>
        </w:rPr>
        <w:t>.</w:t>
      </w:r>
    </w:p>
  </w:footnote>
  <w:footnote w:id="76">
    <w:p w14:paraId="755E1979" w14:textId="7298C15E" w:rsidR="005F4183" w:rsidRPr="00FC029A" w:rsidRDefault="005F4183" w:rsidP="00FC029A">
      <w:pPr>
        <w:pStyle w:val="FootnoteText"/>
        <w:spacing w:after="0"/>
        <w:ind w:left="284" w:hanging="284"/>
        <w:rPr>
          <w:rFonts w:ascii="Times New Roman" w:hAnsi="Times New Roman" w:cs="Times New Roman"/>
          <w:sz w:val="18"/>
          <w:szCs w:val="18"/>
        </w:rPr>
      </w:pPr>
      <w:r w:rsidRPr="00FC029A">
        <w:rPr>
          <w:rStyle w:val="FootnoteReference"/>
          <w:rFonts w:ascii="Times New Roman" w:hAnsi="Times New Roman" w:cs="Times New Roman"/>
          <w:sz w:val="18"/>
          <w:szCs w:val="18"/>
        </w:rPr>
        <w:footnoteRef/>
      </w:r>
      <w:r w:rsidRPr="00FC029A">
        <w:rPr>
          <w:rFonts w:ascii="Times New Roman" w:hAnsi="Times New Roman" w:cs="Times New Roman"/>
          <w:sz w:val="18"/>
          <w:szCs w:val="18"/>
        </w:rPr>
        <w:t xml:space="preserve"> </w:t>
      </w:r>
      <w:r>
        <w:rPr>
          <w:rFonts w:ascii="Times New Roman" w:hAnsi="Times New Roman" w:cs="Times New Roman"/>
          <w:sz w:val="18"/>
          <w:szCs w:val="18"/>
        </w:rPr>
        <w:tab/>
      </w:r>
      <w:r w:rsidRPr="005F4183">
        <w:rPr>
          <w:rFonts w:ascii="Times New Roman" w:eastAsia="Times New Roman" w:hAnsi="Times New Roman" w:cs="Times New Roman"/>
          <w:sz w:val="18"/>
          <w:szCs w:val="18"/>
          <w:lang w:val="en-IE" w:eastAsia="en-US"/>
        </w:rPr>
        <w:t xml:space="preserve">Article 10(1) of the Law on Lobbying Activities of the Republic of Lithuania, available here: </w:t>
      </w:r>
      <w:hyperlink r:id="rId13" w:history="1">
        <w:r w:rsidRPr="005F4183">
          <w:rPr>
            <w:rFonts w:ascii="Times New Roman" w:eastAsia="Calibri" w:hAnsi="Times New Roman" w:cs="Times New Roman"/>
            <w:color w:val="0000FF"/>
            <w:sz w:val="18"/>
            <w:szCs w:val="18"/>
            <w:u w:val="single"/>
            <w:lang w:val="en-IE" w:eastAsia="en-US"/>
          </w:rPr>
          <w:t>https://vtek.lt/wp-content/uploads/2021/06/EN_Law_on_Lobbying_Activities_2021.docx</w:t>
        </w:r>
      </w:hyperlink>
      <w:r w:rsidRPr="005F4183">
        <w:rPr>
          <w:rFonts w:ascii="Times New Roman" w:eastAsia="Times New Roman" w:hAnsi="Times New Roman" w:cs="Times New Roman"/>
          <w:sz w:val="18"/>
          <w:szCs w:val="18"/>
          <w:lang w:val="en-IE" w:eastAsia="en-US"/>
        </w:rPr>
        <w:t>.</w:t>
      </w:r>
    </w:p>
  </w:footnote>
  <w:footnote w:id="77">
    <w:p w14:paraId="1B7FF976" w14:textId="32D1486A" w:rsidR="00713354" w:rsidRPr="005F4183" w:rsidRDefault="00713354" w:rsidP="00582553">
      <w:pPr>
        <w:spacing w:after="0" w:line="240" w:lineRule="auto"/>
        <w:ind w:left="284" w:hanging="284"/>
        <w:jc w:val="both"/>
        <w:textAlignment w:val="baseline"/>
        <w:rPr>
          <w:rFonts w:ascii="Times New Roman" w:hAnsi="Times New Roman" w:cs="Times New Roman"/>
          <w:sz w:val="18"/>
          <w:szCs w:val="18"/>
          <w:lang w:val="en-IE"/>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rPr>
        <w:t xml:space="preserve"> </w:t>
      </w:r>
      <w:r w:rsidRPr="005F4183">
        <w:rPr>
          <w:rFonts w:ascii="Times New Roman" w:hAnsi="Times New Roman" w:cs="Times New Roman"/>
          <w:sz w:val="18"/>
          <w:szCs w:val="18"/>
        </w:rPr>
        <w:tab/>
        <w:t>In the consultation</w:t>
      </w:r>
      <w:r w:rsidR="00A14376" w:rsidRPr="005F4183">
        <w:rPr>
          <w:rFonts w:ascii="Times New Roman" w:hAnsi="Times New Roman" w:cs="Times New Roman"/>
          <w:sz w:val="18"/>
          <w:szCs w:val="18"/>
        </w:rPr>
        <w:t>,</w:t>
      </w:r>
      <w:r w:rsidRPr="005F4183">
        <w:rPr>
          <w:rFonts w:ascii="Times New Roman" w:hAnsi="Times New Roman" w:cs="Times New Roman"/>
          <w:sz w:val="18"/>
          <w:szCs w:val="18"/>
        </w:rPr>
        <w:t xml:space="preserve"> </w:t>
      </w:r>
      <w:r w:rsidR="00A14376" w:rsidRPr="005F4183">
        <w:rPr>
          <w:rFonts w:ascii="Times New Roman" w:hAnsi="Times New Roman" w:cs="Times New Roman"/>
          <w:sz w:val="18"/>
          <w:szCs w:val="18"/>
        </w:rPr>
        <w:t>5</w:t>
      </w:r>
      <w:r w:rsidRPr="005F4183">
        <w:rPr>
          <w:rFonts w:ascii="Times New Roman" w:hAnsi="Times New Roman" w:cs="Times New Roman"/>
          <w:sz w:val="18"/>
          <w:szCs w:val="18"/>
        </w:rPr>
        <w:t xml:space="preserve"> CSOs explained that “</w:t>
      </w:r>
      <w:r w:rsidRPr="005F4183">
        <w:rPr>
          <w:rFonts w:ascii="Times New Roman" w:hAnsi="Times New Roman" w:cs="Times New Roman"/>
          <w:i/>
          <w:iCs/>
          <w:sz w:val="18"/>
          <w:szCs w:val="18"/>
        </w:rPr>
        <w:t>few government donors, including the EU itself, regularly provide operating grants. The EU and other governments generally provide project-based funding with clear objective – many of which aim at legal or policy changes</w:t>
      </w:r>
      <w:r w:rsidRPr="005F4183">
        <w:rPr>
          <w:rFonts w:ascii="Times New Roman" w:hAnsi="Times New Roman" w:cs="Times New Roman"/>
          <w:sz w:val="18"/>
          <w:szCs w:val="18"/>
        </w:rPr>
        <w:t>”.</w:t>
      </w:r>
      <w:r w:rsidR="00E3662C" w:rsidRPr="005F4183">
        <w:rPr>
          <w:rFonts w:ascii="Times New Roman" w:hAnsi="Times New Roman" w:cs="Times New Roman"/>
          <w:sz w:val="18"/>
          <w:szCs w:val="18"/>
        </w:rPr>
        <w:t xml:space="preserve"> Another CSO explained that many CSOs, especially those in the field of human rights, “</w:t>
      </w:r>
      <w:r w:rsidR="00E3662C" w:rsidRPr="005F4183">
        <w:rPr>
          <w:rFonts w:ascii="Times New Roman" w:hAnsi="Times New Roman" w:cs="Times New Roman"/>
          <w:i/>
          <w:iCs/>
          <w:sz w:val="18"/>
          <w:szCs w:val="18"/>
        </w:rPr>
        <w:t>currently rely on funding by foreign foundations and public entities to carry out their advocacy and campaigning work</w:t>
      </w:r>
      <w:r w:rsidR="00E3662C" w:rsidRPr="005F4183">
        <w:rPr>
          <w:rFonts w:ascii="Times New Roman" w:hAnsi="Times New Roman" w:cs="Times New Roman"/>
          <w:sz w:val="18"/>
          <w:szCs w:val="18"/>
        </w:rPr>
        <w:t>”.</w:t>
      </w:r>
      <w:r w:rsidR="00EE1306" w:rsidRPr="005F4183">
        <w:rPr>
          <w:rFonts w:ascii="Times New Roman" w:hAnsi="Times New Roman" w:cs="Times New Roman"/>
          <w:sz w:val="18"/>
          <w:szCs w:val="18"/>
        </w:rPr>
        <w:t xml:space="preserve"> </w:t>
      </w:r>
      <w:r w:rsidR="00B5748A" w:rsidRPr="005F4183">
        <w:rPr>
          <w:rFonts w:ascii="Times New Roman" w:hAnsi="Times New Roman" w:cs="Times New Roman"/>
          <w:sz w:val="18"/>
          <w:szCs w:val="18"/>
        </w:rPr>
        <w:t>1</w:t>
      </w:r>
      <w:r w:rsidR="00EE1306" w:rsidRPr="005F4183">
        <w:rPr>
          <w:rFonts w:ascii="Times New Roman" w:hAnsi="Times New Roman" w:cs="Times New Roman"/>
          <w:sz w:val="18"/>
          <w:szCs w:val="18"/>
        </w:rPr>
        <w:t xml:space="preserve"> CSO clarified that “</w:t>
      </w:r>
      <w:r w:rsidR="00EE1306" w:rsidRPr="005F4183">
        <w:rPr>
          <w:rFonts w:ascii="Times New Roman" w:hAnsi="Times New Roman" w:cs="Times New Roman"/>
          <w:i/>
          <w:iCs/>
          <w:sz w:val="18"/>
          <w:szCs w:val="18"/>
        </w:rPr>
        <w:t>the mere fact that a CSO benefits from funding form a foreign government or associated entity supporting legal or policy change is not sufficient to cast doubts over the legitimate nature of its activities</w:t>
      </w:r>
      <w:r w:rsidR="00EE1306" w:rsidRPr="005F4183">
        <w:rPr>
          <w:rFonts w:ascii="Times New Roman" w:hAnsi="Times New Roman" w:cs="Times New Roman"/>
          <w:sz w:val="18"/>
          <w:szCs w:val="18"/>
        </w:rPr>
        <w:t>”.</w:t>
      </w:r>
    </w:p>
  </w:footnote>
  <w:footnote w:id="78">
    <w:p w14:paraId="77E5DDBF" w14:textId="2FCED1AD" w:rsidR="004C638C" w:rsidRPr="005F4183" w:rsidRDefault="004C638C" w:rsidP="00582553">
      <w:pPr>
        <w:spacing w:after="0" w:line="240" w:lineRule="auto"/>
        <w:ind w:left="284" w:hanging="284"/>
        <w:jc w:val="both"/>
        <w:textAlignment w:val="baseline"/>
        <w:rPr>
          <w:rFonts w:ascii="Times New Roman" w:hAnsi="Times New Roman" w:cs="Times New Roman"/>
          <w:sz w:val="18"/>
          <w:szCs w:val="18"/>
          <w:lang w:val="en-IE"/>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rPr>
        <w:t xml:space="preserve"> </w:t>
      </w:r>
      <w:r w:rsidRPr="005F4183">
        <w:rPr>
          <w:rFonts w:ascii="Times New Roman" w:hAnsi="Times New Roman" w:cs="Times New Roman"/>
          <w:sz w:val="18"/>
          <w:szCs w:val="18"/>
          <w:lang w:val="en-IE"/>
        </w:rPr>
        <w:tab/>
        <w:t>See</w:t>
      </w:r>
      <w:r w:rsidR="00ED0F8F" w:rsidRPr="005F4183">
        <w:rPr>
          <w:rFonts w:ascii="Times New Roman" w:hAnsi="Times New Roman" w:cs="Times New Roman"/>
          <w:sz w:val="18"/>
          <w:szCs w:val="18"/>
          <w:lang w:val="en-IE"/>
        </w:rPr>
        <w:t xml:space="preserve"> chapter 2 </w:t>
      </w:r>
      <w:r w:rsidR="00A55543">
        <w:rPr>
          <w:rFonts w:ascii="Times New Roman" w:hAnsi="Times New Roman" w:cs="Times New Roman"/>
          <w:sz w:val="18"/>
          <w:szCs w:val="18"/>
          <w:lang w:val="en-IE"/>
        </w:rPr>
        <w:t xml:space="preserve">and Annex C </w:t>
      </w:r>
      <w:r w:rsidR="00ED0F8F" w:rsidRPr="005F4183">
        <w:rPr>
          <w:rFonts w:ascii="Times New Roman" w:hAnsi="Times New Roman" w:cs="Times New Roman"/>
          <w:sz w:val="18"/>
          <w:szCs w:val="18"/>
          <w:lang w:val="en-IE"/>
        </w:rPr>
        <w:t>of the</w:t>
      </w:r>
      <w:r w:rsidRPr="005F4183">
        <w:rPr>
          <w:rFonts w:ascii="Times New Roman" w:hAnsi="Times New Roman" w:cs="Times New Roman"/>
          <w:sz w:val="18"/>
          <w:szCs w:val="18"/>
          <w:lang w:val="en-IE"/>
        </w:rPr>
        <w:t xml:space="preserve"> </w:t>
      </w:r>
      <w:r w:rsidR="00A55543">
        <w:rPr>
          <w:rFonts w:ascii="Times New Roman" w:hAnsi="Times New Roman" w:cs="Times New Roman"/>
          <w:sz w:val="18"/>
          <w:szCs w:val="18"/>
          <w:lang w:val="en-IE"/>
        </w:rPr>
        <w:t xml:space="preserve">supporting </w:t>
      </w:r>
      <w:r w:rsidRPr="005F4183">
        <w:rPr>
          <w:rFonts w:ascii="Times New Roman" w:hAnsi="Times New Roman" w:cs="Times New Roman"/>
          <w:sz w:val="18"/>
          <w:szCs w:val="18"/>
          <w:lang w:val="en-IE"/>
        </w:rPr>
        <w:t>study</w:t>
      </w:r>
      <w:r w:rsidR="00142E97" w:rsidRPr="005F4183">
        <w:rPr>
          <w:rFonts w:ascii="Times New Roman" w:hAnsi="Times New Roman" w:cs="Times New Roman"/>
          <w:sz w:val="18"/>
          <w:szCs w:val="18"/>
          <w:lang w:val="en-IE"/>
        </w:rPr>
        <w:t xml:space="preserve"> which includes an extensive collection of </w:t>
      </w:r>
      <w:r w:rsidR="007A229C" w:rsidRPr="005F4183">
        <w:rPr>
          <w:rFonts w:ascii="Times New Roman" w:hAnsi="Times New Roman" w:cs="Times New Roman"/>
          <w:sz w:val="18"/>
          <w:szCs w:val="18"/>
          <w:lang w:val="en-IE"/>
        </w:rPr>
        <w:t>covert foreign influence in decision</w:t>
      </w:r>
      <w:r w:rsidR="003828E4">
        <w:rPr>
          <w:rFonts w:ascii="Times New Roman" w:hAnsi="Times New Roman" w:cs="Times New Roman"/>
          <w:sz w:val="18"/>
          <w:szCs w:val="18"/>
          <w:lang w:val="en-IE"/>
        </w:rPr>
        <w:t>-</w:t>
      </w:r>
      <w:r w:rsidR="007A229C" w:rsidRPr="005F4183">
        <w:rPr>
          <w:rFonts w:ascii="Times New Roman" w:hAnsi="Times New Roman" w:cs="Times New Roman"/>
          <w:sz w:val="18"/>
          <w:szCs w:val="18"/>
          <w:lang w:val="en-IE"/>
        </w:rPr>
        <w:t>making processes in the EU</w:t>
      </w:r>
      <w:r w:rsidR="00691205" w:rsidRPr="005F4183">
        <w:rPr>
          <w:rFonts w:ascii="Times New Roman" w:hAnsi="Times New Roman" w:cs="Times New Roman"/>
          <w:sz w:val="18"/>
          <w:szCs w:val="18"/>
          <w:lang w:val="en-IE"/>
        </w:rPr>
        <w:t>.</w:t>
      </w:r>
    </w:p>
  </w:footnote>
  <w:footnote w:id="79">
    <w:p w14:paraId="15BA0DD4" w14:textId="11432ACA" w:rsidR="007F7681" w:rsidRPr="005F4183" w:rsidRDefault="007F7681" w:rsidP="00582553">
      <w:pPr>
        <w:pStyle w:val="FootnoteText"/>
        <w:spacing w:after="0"/>
        <w:ind w:left="284" w:hanging="284"/>
        <w:rPr>
          <w:rFonts w:ascii="Times New Roman" w:hAnsi="Times New Roman" w:cs="Times New Roman"/>
          <w:sz w:val="18"/>
          <w:szCs w:val="18"/>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rPr>
        <w:t xml:space="preserve"> </w:t>
      </w:r>
      <w:r w:rsidRPr="005F4183">
        <w:rPr>
          <w:rFonts w:ascii="Times New Roman" w:hAnsi="Times New Roman" w:cs="Times New Roman"/>
          <w:sz w:val="18"/>
          <w:szCs w:val="18"/>
        </w:rPr>
        <w:tab/>
      </w:r>
      <w:r w:rsidRPr="005F4183">
        <w:rPr>
          <w:rFonts w:ascii="Times New Roman" w:eastAsia="Times New Roman" w:hAnsi="Times New Roman" w:cs="Times New Roman"/>
          <w:sz w:val="18"/>
          <w:szCs w:val="18"/>
          <w:lang w:val="en-IE"/>
        </w:rPr>
        <w:t xml:space="preserve">BE, DE, </w:t>
      </w:r>
      <w:r w:rsidR="00013DF9" w:rsidRPr="005F4183">
        <w:rPr>
          <w:rFonts w:ascii="Times New Roman" w:eastAsia="Times New Roman" w:hAnsi="Times New Roman" w:cs="Times New Roman"/>
          <w:sz w:val="18"/>
          <w:szCs w:val="18"/>
          <w:lang w:val="en-IE"/>
        </w:rPr>
        <w:t>IE,</w:t>
      </w:r>
      <w:r w:rsidR="003B4AB3" w:rsidRPr="005F4183">
        <w:rPr>
          <w:rFonts w:ascii="Times New Roman" w:eastAsia="Times New Roman" w:hAnsi="Times New Roman" w:cs="Times New Roman"/>
          <w:sz w:val="18"/>
          <w:szCs w:val="18"/>
          <w:lang w:val="en-IE"/>
        </w:rPr>
        <w:t xml:space="preserve"> </w:t>
      </w:r>
      <w:r w:rsidRPr="005F4183">
        <w:rPr>
          <w:rFonts w:ascii="Times New Roman" w:eastAsia="Times New Roman" w:hAnsi="Times New Roman" w:cs="Times New Roman"/>
          <w:sz w:val="18"/>
          <w:szCs w:val="18"/>
          <w:lang w:val="en-IE"/>
        </w:rPr>
        <w:t xml:space="preserve">EL, FR, IT (at subnational level), LT, LU, NL, </w:t>
      </w:r>
      <w:r w:rsidR="00013DF9" w:rsidRPr="005F4183">
        <w:rPr>
          <w:rFonts w:ascii="Times New Roman" w:eastAsia="Times New Roman" w:hAnsi="Times New Roman" w:cs="Times New Roman"/>
          <w:sz w:val="18"/>
          <w:szCs w:val="18"/>
          <w:lang w:val="en-IE"/>
        </w:rPr>
        <w:t>AT</w:t>
      </w:r>
      <w:r w:rsidRPr="005F4183">
        <w:rPr>
          <w:rFonts w:ascii="Times New Roman" w:eastAsia="Times New Roman" w:hAnsi="Times New Roman" w:cs="Times New Roman"/>
          <w:sz w:val="18"/>
          <w:szCs w:val="18"/>
          <w:lang w:val="en-IE"/>
        </w:rPr>
        <w:t>, RO, SI.</w:t>
      </w:r>
    </w:p>
  </w:footnote>
  <w:footnote w:id="80">
    <w:p w14:paraId="1DB13145" w14:textId="50CF1249" w:rsidR="007F7681" w:rsidRPr="005F4183" w:rsidRDefault="007F7681" w:rsidP="00582553">
      <w:pPr>
        <w:pStyle w:val="FootnoteText"/>
        <w:spacing w:after="0"/>
        <w:ind w:left="284" w:hanging="284"/>
        <w:rPr>
          <w:rFonts w:ascii="Times New Roman" w:hAnsi="Times New Roman" w:cs="Times New Roman"/>
          <w:sz w:val="18"/>
          <w:szCs w:val="18"/>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rPr>
        <w:t xml:space="preserve"> </w:t>
      </w:r>
      <w:r w:rsidRPr="005F4183">
        <w:rPr>
          <w:rFonts w:ascii="Times New Roman" w:hAnsi="Times New Roman" w:cs="Times New Roman"/>
          <w:sz w:val="18"/>
          <w:szCs w:val="18"/>
        </w:rPr>
        <w:tab/>
      </w:r>
      <w:r w:rsidRPr="005F4183">
        <w:rPr>
          <w:rFonts w:ascii="Times New Roman" w:eastAsia="Times New Roman" w:hAnsi="Times New Roman" w:cs="Times New Roman"/>
          <w:sz w:val="18"/>
          <w:szCs w:val="18"/>
          <w:lang w:val="en-IE"/>
        </w:rPr>
        <w:t>BE, DE, EL, FR, IT (at subnational level), LU, NL</w:t>
      </w:r>
      <w:r w:rsidR="009752D4" w:rsidRPr="005F4183">
        <w:rPr>
          <w:rFonts w:ascii="Times New Roman" w:eastAsia="Times New Roman" w:hAnsi="Times New Roman" w:cs="Times New Roman"/>
          <w:sz w:val="18"/>
          <w:szCs w:val="18"/>
          <w:lang w:val="en-IE"/>
        </w:rPr>
        <w:t>,</w:t>
      </w:r>
      <w:r w:rsidR="005D302E" w:rsidRPr="005F4183">
        <w:rPr>
          <w:rFonts w:ascii="Times New Roman" w:eastAsia="Times New Roman" w:hAnsi="Times New Roman" w:cs="Times New Roman"/>
          <w:sz w:val="18"/>
          <w:szCs w:val="18"/>
          <w:lang w:val="en-IE"/>
        </w:rPr>
        <w:t xml:space="preserve"> AT</w:t>
      </w:r>
      <w:r w:rsidRPr="005F4183">
        <w:rPr>
          <w:rFonts w:ascii="Times New Roman" w:eastAsia="Times New Roman" w:hAnsi="Times New Roman" w:cs="Times New Roman"/>
          <w:sz w:val="18"/>
          <w:szCs w:val="18"/>
          <w:lang w:val="en-IE"/>
        </w:rPr>
        <w:t>.</w:t>
      </w:r>
    </w:p>
  </w:footnote>
  <w:footnote w:id="81">
    <w:p w14:paraId="31BBE0D6" w14:textId="34ABF81E" w:rsidR="007F7681" w:rsidRPr="005F4183" w:rsidRDefault="007F7681" w:rsidP="00582553">
      <w:pPr>
        <w:pStyle w:val="FootnoteText"/>
        <w:spacing w:after="0"/>
        <w:ind w:left="284" w:hanging="284"/>
        <w:rPr>
          <w:rFonts w:ascii="Times New Roman" w:hAnsi="Times New Roman" w:cs="Times New Roman"/>
          <w:sz w:val="18"/>
          <w:szCs w:val="18"/>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rPr>
        <w:t xml:space="preserve"> </w:t>
      </w:r>
      <w:r w:rsidRPr="005F4183">
        <w:rPr>
          <w:rFonts w:ascii="Times New Roman" w:hAnsi="Times New Roman" w:cs="Times New Roman"/>
          <w:sz w:val="18"/>
          <w:szCs w:val="18"/>
        </w:rPr>
        <w:tab/>
      </w:r>
      <w:r w:rsidRPr="005F4183">
        <w:rPr>
          <w:rFonts w:ascii="Times New Roman" w:eastAsia="Times New Roman" w:hAnsi="Times New Roman" w:cs="Times New Roman"/>
          <w:sz w:val="18"/>
          <w:szCs w:val="18"/>
          <w:lang w:val="en-IE"/>
        </w:rPr>
        <w:t xml:space="preserve">BE, DE, </w:t>
      </w:r>
      <w:r w:rsidR="009752D4" w:rsidRPr="005F4183">
        <w:rPr>
          <w:rFonts w:ascii="Times New Roman" w:eastAsia="Times New Roman" w:hAnsi="Times New Roman" w:cs="Times New Roman"/>
          <w:sz w:val="18"/>
          <w:szCs w:val="18"/>
          <w:lang w:val="en-IE"/>
        </w:rPr>
        <w:t xml:space="preserve">IE, </w:t>
      </w:r>
      <w:r w:rsidRPr="005F4183">
        <w:rPr>
          <w:rFonts w:ascii="Times New Roman" w:eastAsia="Times New Roman" w:hAnsi="Times New Roman" w:cs="Times New Roman"/>
          <w:sz w:val="18"/>
          <w:szCs w:val="18"/>
          <w:lang w:val="en-IE"/>
        </w:rPr>
        <w:t xml:space="preserve">EL, FR, IT (at subnational level), LT, LU, </w:t>
      </w:r>
      <w:r w:rsidR="009752D4" w:rsidRPr="005F4183">
        <w:rPr>
          <w:rFonts w:ascii="Times New Roman" w:eastAsia="Times New Roman" w:hAnsi="Times New Roman" w:cs="Times New Roman"/>
          <w:sz w:val="18"/>
          <w:szCs w:val="18"/>
          <w:lang w:val="en-IE"/>
        </w:rPr>
        <w:t xml:space="preserve">AT, </w:t>
      </w:r>
      <w:r w:rsidRPr="005F4183">
        <w:rPr>
          <w:rFonts w:ascii="Times New Roman" w:eastAsia="Times New Roman" w:hAnsi="Times New Roman" w:cs="Times New Roman"/>
          <w:sz w:val="18"/>
          <w:szCs w:val="18"/>
          <w:lang w:val="en-IE"/>
        </w:rPr>
        <w:t>SI.</w:t>
      </w:r>
    </w:p>
  </w:footnote>
  <w:footnote w:id="82">
    <w:p w14:paraId="0FAD3123" w14:textId="6F8993E7" w:rsidR="007F7681" w:rsidRPr="005F4183" w:rsidRDefault="007F7681" w:rsidP="00582553">
      <w:pPr>
        <w:pStyle w:val="FootnoteText"/>
        <w:spacing w:after="0"/>
        <w:ind w:left="284" w:hanging="284"/>
        <w:rPr>
          <w:rFonts w:ascii="Times New Roman" w:hAnsi="Times New Roman" w:cs="Times New Roman"/>
          <w:sz w:val="18"/>
          <w:szCs w:val="18"/>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rPr>
        <w:t xml:space="preserve"> </w:t>
      </w:r>
      <w:r w:rsidRPr="005F4183">
        <w:rPr>
          <w:rFonts w:ascii="Times New Roman" w:hAnsi="Times New Roman" w:cs="Times New Roman"/>
          <w:sz w:val="18"/>
          <w:szCs w:val="18"/>
        </w:rPr>
        <w:tab/>
      </w:r>
      <w:r w:rsidRPr="005F4183">
        <w:rPr>
          <w:rFonts w:ascii="Times New Roman" w:eastAsia="Times New Roman" w:hAnsi="Times New Roman" w:cs="Times New Roman"/>
          <w:sz w:val="18"/>
          <w:szCs w:val="18"/>
          <w:lang w:val="en-IE"/>
        </w:rPr>
        <w:t>DE, ES (at regional level), FR, IT (at subnational level)</w:t>
      </w:r>
      <w:r w:rsidR="00CB5A1D" w:rsidRPr="005F4183">
        <w:rPr>
          <w:rFonts w:ascii="Times New Roman" w:eastAsia="Times New Roman" w:hAnsi="Times New Roman" w:cs="Times New Roman"/>
          <w:sz w:val="18"/>
          <w:szCs w:val="18"/>
          <w:lang w:val="en-IE"/>
        </w:rPr>
        <w:t xml:space="preserve">, </w:t>
      </w:r>
      <w:r w:rsidR="00945553" w:rsidRPr="005F4183">
        <w:rPr>
          <w:rFonts w:ascii="Times New Roman" w:eastAsia="Times New Roman" w:hAnsi="Times New Roman" w:cs="Times New Roman"/>
          <w:sz w:val="18"/>
          <w:szCs w:val="18"/>
          <w:lang w:val="en-IE"/>
        </w:rPr>
        <w:t xml:space="preserve">AT, </w:t>
      </w:r>
      <w:r w:rsidR="00CB5A1D" w:rsidRPr="005F4183">
        <w:rPr>
          <w:rFonts w:ascii="Times New Roman" w:eastAsia="Times New Roman" w:hAnsi="Times New Roman" w:cs="Times New Roman"/>
          <w:sz w:val="18"/>
          <w:szCs w:val="18"/>
          <w:lang w:val="en-IE"/>
        </w:rPr>
        <w:t>SI</w:t>
      </w:r>
      <w:r w:rsidRPr="005F4183">
        <w:rPr>
          <w:rFonts w:ascii="Times New Roman" w:eastAsia="Times New Roman" w:hAnsi="Times New Roman" w:cs="Times New Roman"/>
          <w:sz w:val="18"/>
          <w:szCs w:val="18"/>
          <w:lang w:val="en-IE"/>
        </w:rPr>
        <w:t>.</w:t>
      </w:r>
    </w:p>
  </w:footnote>
  <w:footnote w:id="83">
    <w:p w14:paraId="10C5C8F3" w14:textId="524D17A6" w:rsidR="00FB016D" w:rsidRPr="005F4183" w:rsidRDefault="00FB016D" w:rsidP="00582553">
      <w:pPr>
        <w:pStyle w:val="FootnoteText"/>
        <w:spacing w:after="0"/>
        <w:ind w:left="284" w:hanging="284"/>
        <w:rPr>
          <w:rFonts w:ascii="Times New Roman" w:hAnsi="Times New Roman" w:cs="Times New Roman"/>
          <w:sz w:val="18"/>
          <w:szCs w:val="18"/>
          <w:lang w:val="en-IE"/>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rPr>
        <w:t xml:space="preserve"> </w:t>
      </w:r>
      <w:r w:rsidRPr="005F4183">
        <w:rPr>
          <w:rFonts w:ascii="Times New Roman" w:hAnsi="Times New Roman" w:cs="Times New Roman"/>
          <w:sz w:val="18"/>
          <w:szCs w:val="18"/>
        </w:rPr>
        <w:tab/>
        <w:t xml:space="preserve">For example, in </w:t>
      </w:r>
      <w:r w:rsidR="00850989" w:rsidRPr="005F4183">
        <w:rPr>
          <w:rFonts w:ascii="Times New Roman" w:hAnsi="Times New Roman" w:cs="Times New Roman"/>
          <w:sz w:val="18"/>
          <w:szCs w:val="18"/>
        </w:rPr>
        <w:t>SI</w:t>
      </w:r>
      <w:r w:rsidRPr="005F4183">
        <w:rPr>
          <w:rFonts w:ascii="Times New Roman" w:hAnsi="Times New Roman" w:cs="Times New Roman"/>
          <w:sz w:val="18"/>
          <w:szCs w:val="18"/>
        </w:rPr>
        <w:t xml:space="preserve">, financial information on payments received from interest groups for each matter </w:t>
      </w:r>
      <w:r w:rsidRPr="005F4183">
        <w:rPr>
          <w:rFonts w:ascii="Times New Roman" w:hAnsi="Times New Roman" w:cs="Times New Roman"/>
          <w:sz w:val="18"/>
          <w:szCs w:val="18"/>
          <w:lang w:val="en-IE"/>
        </w:rPr>
        <w:t>concerned</w:t>
      </w:r>
      <w:r w:rsidRPr="005F4183">
        <w:rPr>
          <w:rFonts w:ascii="Times New Roman" w:hAnsi="Times New Roman" w:cs="Times New Roman"/>
          <w:sz w:val="18"/>
          <w:szCs w:val="18"/>
        </w:rPr>
        <w:t xml:space="preserve">, while in </w:t>
      </w:r>
      <w:r w:rsidR="00850989" w:rsidRPr="005F4183">
        <w:rPr>
          <w:rFonts w:ascii="Times New Roman" w:hAnsi="Times New Roman" w:cs="Times New Roman"/>
          <w:sz w:val="18"/>
          <w:szCs w:val="18"/>
        </w:rPr>
        <w:t>DE,</w:t>
      </w:r>
      <w:r w:rsidRPr="005F4183">
        <w:rPr>
          <w:rFonts w:ascii="Times New Roman" w:hAnsi="Times New Roman" w:cs="Times New Roman"/>
          <w:sz w:val="18"/>
          <w:szCs w:val="18"/>
        </w:rPr>
        <w:t xml:space="preserve"> information on financial expenditures involved in the representation of interests are required as well as on the sums of any public allowances or grants received.</w:t>
      </w:r>
    </w:p>
  </w:footnote>
  <w:footnote w:id="84">
    <w:p w14:paraId="4CA07B53" w14:textId="3124F4CE" w:rsidR="005F4183" w:rsidRPr="00FC029A" w:rsidRDefault="005F4183" w:rsidP="00FC029A">
      <w:pPr>
        <w:pStyle w:val="FootnoteText"/>
        <w:spacing w:after="0"/>
        <w:ind w:left="284" w:hanging="284"/>
        <w:rPr>
          <w:rFonts w:ascii="Times New Roman" w:hAnsi="Times New Roman" w:cs="Times New Roman"/>
          <w:sz w:val="18"/>
          <w:szCs w:val="18"/>
          <w:lang w:val="en-IE"/>
        </w:rPr>
      </w:pPr>
      <w:r w:rsidRPr="00FC029A">
        <w:rPr>
          <w:rStyle w:val="FootnoteReference"/>
          <w:rFonts w:ascii="Times New Roman" w:hAnsi="Times New Roman" w:cs="Times New Roman"/>
          <w:sz w:val="18"/>
          <w:szCs w:val="18"/>
        </w:rPr>
        <w:footnoteRef/>
      </w:r>
      <w:r w:rsidRPr="00FC029A">
        <w:rPr>
          <w:rFonts w:ascii="Times New Roman" w:hAnsi="Times New Roman" w:cs="Times New Roman"/>
          <w:sz w:val="18"/>
          <w:szCs w:val="18"/>
        </w:rPr>
        <w:t xml:space="preserve"> </w:t>
      </w:r>
      <w:r>
        <w:rPr>
          <w:rFonts w:ascii="Times New Roman" w:hAnsi="Times New Roman" w:cs="Times New Roman"/>
          <w:sz w:val="18"/>
          <w:szCs w:val="18"/>
        </w:rPr>
        <w:tab/>
      </w:r>
      <w:r w:rsidRPr="005F4183">
        <w:rPr>
          <w:rFonts w:ascii="Times New Roman" w:hAnsi="Times New Roman" w:cs="Times New Roman"/>
          <w:sz w:val="18"/>
          <w:szCs w:val="18"/>
        </w:rPr>
        <w:t xml:space="preserve">Sections 7 and 12(1)(6) of the Regulation of Lobbying Act, available here: </w:t>
      </w:r>
      <w:hyperlink r:id="rId14" w:history="1">
        <w:r w:rsidRPr="005F4183">
          <w:rPr>
            <w:rStyle w:val="Hyperlink"/>
            <w:rFonts w:ascii="Times New Roman" w:hAnsi="Times New Roman" w:cs="Times New Roman"/>
            <w:sz w:val="18"/>
            <w:szCs w:val="18"/>
          </w:rPr>
          <w:t>https://www.irishstatutebook.ie/eli/2015/act/5/enacted/en/print.html</w:t>
        </w:r>
      </w:hyperlink>
      <w:r>
        <w:rPr>
          <w:rFonts w:ascii="Times New Roman" w:hAnsi="Times New Roman" w:cs="Times New Roman"/>
          <w:sz w:val="18"/>
          <w:szCs w:val="18"/>
        </w:rPr>
        <w:t>.</w:t>
      </w:r>
      <w:r w:rsidRPr="005F4183">
        <w:rPr>
          <w:rFonts w:ascii="Times New Roman" w:hAnsi="Times New Roman" w:cs="Times New Roman"/>
          <w:sz w:val="18"/>
          <w:szCs w:val="18"/>
        </w:rPr>
        <w:t xml:space="preserve"> </w:t>
      </w:r>
      <w:hyperlink r:id="rId15" w:history="1">
        <w:hyperlink r:id="rId16" w:history="1">
          <w:r w:rsidRPr="005F4183">
            <w:rPr>
              <w:rFonts w:ascii="Times New Roman" w:hAnsi="Times New Roman" w:cs="Times New Roman"/>
              <w:sz w:val="18"/>
              <w:szCs w:val="18"/>
            </w:rPr>
            <w:fldChar w:fldCharType="begin"/>
          </w:r>
          <w:r w:rsidRPr="005F4183">
            <w:rPr>
              <w:rFonts w:ascii="Times New Roman" w:hAnsi="Times New Roman" w:cs="Times New Roman"/>
              <w:sz w:val="18"/>
              <w:szCs w:val="18"/>
            </w:rPr>
            <w:instrText>￼￼￼</w:instrText>
          </w:r>
          <w:r w:rsidRPr="005F4183">
            <w:rPr>
              <w:rStyle w:val="Hyperlink"/>
              <w:rFonts w:ascii="Times New Roman" w:hAnsi="Times New Roman" w:cs="Times New Roman"/>
              <w:sz w:val="18"/>
              <w:szCs w:val="18"/>
            </w:rPr>
            <w:instrText>Regulation of Lobbying Act</w:instrText>
          </w:r>
          <w:r w:rsidRPr="005F4183">
            <w:rPr>
              <w:rFonts w:ascii="Times New Roman" w:hAnsi="Times New Roman" w:cs="Times New Roman"/>
              <w:sz w:val="18"/>
              <w:szCs w:val="18"/>
            </w:rPr>
            <w:fldChar w:fldCharType="end"/>
          </w:r>
        </w:hyperlink>
      </w:hyperlink>
    </w:p>
  </w:footnote>
  <w:footnote w:id="85">
    <w:p w14:paraId="485FF5E6" w14:textId="1A577B08" w:rsidR="005F4183" w:rsidRPr="00FC029A" w:rsidRDefault="005F4183" w:rsidP="00FC029A">
      <w:pPr>
        <w:pStyle w:val="FootnoteText"/>
        <w:spacing w:after="0"/>
        <w:ind w:left="284" w:hanging="284"/>
        <w:rPr>
          <w:rFonts w:ascii="Times New Roman" w:hAnsi="Times New Roman" w:cs="Times New Roman"/>
          <w:sz w:val="18"/>
          <w:szCs w:val="18"/>
          <w:lang w:val="fr-BE"/>
        </w:rPr>
      </w:pPr>
      <w:r w:rsidRPr="00FC029A">
        <w:rPr>
          <w:rStyle w:val="FootnoteReference"/>
          <w:rFonts w:ascii="Times New Roman" w:hAnsi="Times New Roman" w:cs="Times New Roman"/>
          <w:sz w:val="18"/>
          <w:szCs w:val="18"/>
        </w:rPr>
        <w:footnoteRef/>
      </w:r>
      <w:r w:rsidRPr="00FC029A">
        <w:rPr>
          <w:rFonts w:ascii="Times New Roman" w:hAnsi="Times New Roman" w:cs="Times New Roman"/>
          <w:sz w:val="18"/>
          <w:szCs w:val="18"/>
          <w:lang w:val="fr-BE"/>
        </w:rPr>
        <w:t xml:space="preserve"> </w:t>
      </w:r>
      <w:r>
        <w:rPr>
          <w:rFonts w:ascii="Times New Roman" w:hAnsi="Times New Roman" w:cs="Times New Roman"/>
          <w:sz w:val="18"/>
          <w:szCs w:val="18"/>
          <w:lang w:val="fr-BE"/>
        </w:rPr>
        <w:tab/>
      </w:r>
      <w:r w:rsidRPr="005F4183">
        <w:rPr>
          <w:rFonts w:ascii="Times New Roman" w:eastAsia="Times New Roman" w:hAnsi="Times New Roman" w:cs="Times New Roman"/>
          <w:sz w:val="18"/>
          <w:szCs w:val="18"/>
          <w:lang w:val="fr-BE"/>
        </w:rPr>
        <w:t xml:space="preserve">See Articles 3 et seq. Décret No. 2017-879 du 9 mai 2017 relatif au répertoire numérique des représentants d’intérêts, available at the following link : </w:t>
      </w:r>
      <w:hyperlink r:id="rId17" w:history="1">
        <w:r w:rsidRPr="005F4183">
          <w:rPr>
            <w:rStyle w:val="Hyperlink"/>
            <w:rFonts w:ascii="Times New Roman" w:eastAsia="Times New Roman" w:hAnsi="Times New Roman" w:cs="Times New Roman"/>
            <w:sz w:val="18"/>
            <w:szCs w:val="18"/>
            <w:lang w:val="fr-BE"/>
          </w:rPr>
          <w:t>https://www.legifrance.gouv.fr/jorf/id/JORFTEXT000034633293/</w:t>
        </w:r>
      </w:hyperlink>
      <w:r w:rsidRPr="005F4183">
        <w:rPr>
          <w:rFonts w:ascii="Times New Roman" w:eastAsia="Times New Roman" w:hAnsi="Times New Roman" w:cs="Times New Roman"/>
          <w:sz w:val="18"/>
          <w:szCs w:val="18"/>
          <w:lang w:val="fr-BE"/>
        </w:rPr>
        <w:t>.</w:t>
      </w:r>
    </w:p>
  </w:footnote>
  <w:footnote w:id="86">
    <w:p w14:paraId="33B67FF4" w14:textId="7D09BF0E" w:rsidR="005F4183" w:rsidRPr="00FC029A" w:rsidRDefault="005F4183" w:rsidP="00FC029A">
      <w:pPr>
        <w:pStyle w:val="FootnoteText"/>
        <w:spacing w:after="0"/>
        <w:ind w:left="284" w:hanging="284"/>
        <w:rPr>
          <w:rFonts w:ascii="Times New Roman" w:hAnsi="Times New Roman" w:cs="Times New Roman"/>
          <w:sz w:val="18"/>
          <w:szCs w:val="18"/>
        </w:rPr>
      </w:pPr>
      <w:r w:rsidRPr="00FC029A">
        <w:rPr>
          <w:rStyle w:val="FootnoteReference"/>
          <w:rFonts w:ascii="Times New Roman" w:hAnsi="Times New Roman" w:cs="Times New Roman"/>
          <w:sz w:val="18"/>
          <w:szCs w:val="18"/>
        </w:rPr>
        <w:footnoteRef/>
      </w:r>
      <w:r w:rsidRPr="00FC029A">
        <w:rPr>
          <w:rFonts w:ascii="Times New Roman" w:hAnsi="Times New Roman" w:cs="Times New Roman"/>
          <w:sz w:val="18"/>
          <w:szCs w:val="18"/>
        </w:rPr>
        <w:t xml:space="preserve"> </w:t>
      </w:r>
      <w:r>
        <w:rPr>
          <w:rFonts w:ascii="Times New Roman" w:hAnsi="Times New Roman" w:cs="Times New Roman"/>
          <w:sz w:val="18"/>
          <w:szCs w:val="18"/>
        </w:rPr>
        <w:tab/>
      </w:r>
      <w:r w:rsidRPr="005F4183">
        <w:rPr>
          <w:rFonts w:ascii="Times New Roman" w:eastAsia="Times New Roman" w:hAnsi="Times New Roman" w:cs="Times New Roman"/>
          <w:sz w:val="18"/>
          <w:szCs w:val="18"/>
        </w:rPr>
        <w:t>Article 10(1) of the Law No. 4829 on Enhancing transparency and accountability, available here:</w:t>
      </w:r>
      <w:r w:rsidRPr="00FC029A">
        <w:rPr>
          <w:rFonts w:ascii="Times New Roman" w:hAnsi="Times New Roman" w:cs="Times New Roman"/>
          <w:sz w:val="18"/>
          <w:szCs w:val="18"/>
        </w:rPr>
        <w:t xml:space="preserve"> </w:t>
      </w:r>
      <w:r w:rsidRPr="005F4183">
        <w:rPr>
          <w:rFonts w:ascii="Times New Roman" w:eastAsia="Times New Roman" w:hAnsi="Times New Roman" w:cs="Times New Roman"/>
          <w:sz w:val="18"/>
          <w:szCs w:val="18"/>
        </w:rPr>
        <w:t>https://www.taxheaven.gr/law/4829/2021.</w:t>
      </w:r>
    </w:p>
  </w:footnote>
  <w:footnote w:id="87">
    <w:p w14:paraId="60B1F126" w14:textId="487D1FAA" w:rsidR="005F4183" w:rsidRPr="00FC029A" w:rsidRDefault="005F4183" w:rsidP="00FC029A">
      <w:pPr>
        <w:pStyle w:val="FootnoteText"/>
        <w:spacing w:after="0"/>
        <w:ind w:left="284" w:hanging="284"/>
        <w:rPr>
          <w:rFonts w:ascii="Times New Roman" w:hAnsi="Times New Roman" w:cs="Times New Roman"/>
          <w:sz w:val="18"/>
          <w:szCs w:val="18"/>
        </w:rPr>
      </w:pPr>
      <w:r w:rsidRPr="00FC029A">
        <w:rPr>
          <w:rStyle w:val="FootnoteReference"/>
          <w:rFonts w:ascii="Times New Roman" w:hAnsi="Times New Roman" w:cs="Times New Roman"/>
          <w:sz w:val="18"/>
          <w:szCs w:val="18"/>
        </w:rPr>
        <w:footnoteRef/>
      </w:r>
      <w:r w:rsidRPr="00FC029A">
        <w:rPr>
          <w:rFonts w:ascii="Times New Roman" w:hAnsi="Times New Roman" w:cs="Times New Roman"/>
          <w:sz w:val="18"/>
          <w:szCs w:val="18"/>
        </w:rPr>
        <w:t xml:space="preserve"> </w:t>
      </w:r>
      <w:r>
        <w:rPr>
          <w:rFonts w:ascii="Times New Roman" w:hAnsi="Times New Roman" w:cs="Times New Roman"/>
          <w:sz w:val="18"/>
          <w:szCs w:val="18"/>
        </w:rPr>
        <w:tab/>
      </w:r>
      <w:r w:rsidRPr="00BC43C1">
        <w:rPr>
          <w:rFonts w:ascii="Times New Roman" w:hAnsi="Times New Roman" w:cs="Times New Roman"/>
          <w:sz w:val="18"/>
          <w:szCs w:val="18"/>
          <w:lang w:val="en-IE"/>
        </w:rPr>
        <w:t xml:space="preserve">Finnish Transparency Register Act 23.3.2023/430, section 8, paragraph 1, available at: </w:t>
      </w:r>
      <w:hyperlink r:id="rId18" w:history="1">
        <w:r w:rsidRPr="00BC43C1">
          <w:rPr>
            <w:rStyle w:val="Hyperlink"/>
            <w:rFonts w:ascii="Times New Roman" w:hAnsi="Times New Roman" w:cs="Times New Roman"/>
            <w:sz w:val="18"/>
            <w:szCs w:val="18"/>
            <w:lang w:val="en-IE"/>
          </w:rPr>
          <w:t>https://www.finlex.fi/fi/laki/ajantasa/2023/20230430</w:t>
        </w:r>
      </w:hyperlink>
      <w:r w:rsidRPr="00BC43C1">
        <w:rPr>
          <w:rFonts w:ascii="Times New Roman" w:hAnsi="Times New Roman" w:cs="Times New Roman"/>
          <w:sz w:val="18"/>
          <w:szCs w:val="18"/>
          <w:lang w:val="en-IE"/>
        </w:rPr>
        <w:t xml:space="preserve">.  </w:t>
      </w:r>
    </w:p>
  </w:footnote>
  <w:footnote w:id="88">
    <w:p w14:paraId="305720EB" w14:textId="2BC644A6" w:rsidR="005F4183" w:rsidRPr="00BC43C1" w:rsidRDefault="005F4183" w:rsidP="00FC029A">
      <w:pPr>
        <w:pStyle w:val="FootnoteText"/>
        <w:spacing w:after="0"/>
        <w:ind w:left="284" w:hanging="284"/>
        <w:rPr>
          <w:rFonts w:ascii="Times New Roman" w:hAnsi="Times New Roman" w:cs="Times New Roman"/>
          <w:sz w:val="18"/>
          <w:szCs w:val="18"/>
          <w:lang w:val="de-AT"/>
        </w:rPr>
      </w:pPr>
      <w:r w:rsidRPr="00FC029A">
        <w:rPr>
          <w:rStyle w:val="FootnoteReference"/>
          <w:rFonts w:ascii="Times New Roman" w:hAnsi="Times New Roman" w:cs="Times New Roman"/>
          <w:sz w:val="18"/>
          <w:szCs w:val="18"/>
        </w:rPr>
        <w:footnoteRef/>
      </w:r>
      <w:r w:rsidRPr="00BC43C1">
        <w:rPr>
          <w:rFonts w:ascii="Times New Roman" w:hAnsi="Times New Roman" w:cs="Times New Roman"/>
          <w:sz w:val="18"/>
          <w:szCs w:val="18"/>
          <w:lang w:val="de-AT"/>
        </w:rPr>
        <w:t xml:space="preserve"> </w:t>
      </w:r>
      <w:r w:rsidRPr="00BC43C1">
        <w:rPr>
          <w:rFonts w:ascii="Times New Roman" w:hAnsi="Times New Roman" w:cs="Times New Roman"/>
          <w:sz w:val="18"/>
          <w:szCs w:val="18"/>
          <w:lang w:val="de-AT"/>
        </w:rPr>
        <w:tab/>
      </w:r>
      <w:r w:rsidRPr="005F4183">
        <w:rPr>
          <w:rFonts w:ascii="Times New Roman" w:eastAsia="Times New Roman" w:hAnsi="Times New Roman" w:cs="Times New Roman"/>
          <w:sz w:val="18"/>
          <w:szCs w:val="18"/>
          <w:lang w:val="de-DE"/>
        </w:rPr>
        <w:t xml:space="preserve">Lobby Register Act (Gesetz zur Einführung eines Lobbyregisters für die Interessenvertretung gegenüber dem Deutschen Bundestag und gegenüber der Bundesregierung (Lobbyregistergesetz - LobbyRG)), 2021, available at: </w:t>
      </w:r>
      <w:hyperlink r:id="rId19" w:history="1">
        <w:r w:rsidRPr="00FC029A">
          <w:rPr>
            <w:rStyle w:val="Hyperlink"/>
            <w:rFonts w:ascii="Times New Roman" w:hAnsi="Times New Roman" w:cs="Times New Roman"/>
            <w:color w:val="0000FF"/>
            <w:sz w:val="18"/>
            <w:szCs w:val="18"/>
            <w:lang w:val="de-DE"/>
          </w:rPr>
          <w:t>http://www.gesetze-im-internet.de/lobbyrg/BJNR081800021.html</w:t>
        </w:r>
      </w:hyperlink>
      <w:r w:rsidRPr="005F4183">
        <w:rPr>
          <w:rFonts w:ascii="Times New Roman" w:eastAsia="Times New Roman" w:hAnsi="Times New Roman" w:cs="Times New Roman"/>
          <w:sz w:val="18"/>
          <w:szCs w:val="18"/>
          <w:lang w:val="de-DE"/>
        </w:rPr>
        <w:t>, paragraph 3(3).</w:t>
      </w:r>
    </w:p>
  </w:footnote>
  <w:footnote w:id="89">
    <w:p w14:paraId="461B2DFF" w14:textId="5A6121BC" w:rsidR="005F4183" w:rsidRPr="00FC029A" w:rsidRDefault="005F4183" w:rsidP="00FC029A">
      <w:pPr>
        <w:pStyle w:val="FootnoteText"/>
        <w:spacing w:after="0"/>
        <w:ind w:left="284" w:hanging="284"/>
        <w:rPr>
          <w:rFonts w:ascii="Times New Roman" w:hAnsi="Times New Roman" w:cs="Times New Roman"/>
          <w:sz w:val="18"/>
          <w:szCs w:val="18"/>
        </w:rPr>
      </w:pPr>
      <w:r w:rsidRPr="00FC029A">
        <w:rPr>
          <w:rStyle w:val="FootnoteReference"/>
          <w:rFonts w:ascii="Times New Roman" w:hAnsi="Times New Roman" w:cs="Times New Roman"/>
          <w:sz w:val="18"/>
          <w:szCs w:val="18"/>
        </w:rPr>
        <w:footnoteRef/>
      </w:r>
      <w:r w:rsidRPr="00FC029A">
        <w:rPr>
          <w:rFonts w:ascii="Times New Roman" w:hAnsi="Times New Roman" w:cs="Times New Roman"/>
          <w:sz w:val="18"/>
          <w:szCs w:val="18"/>
        </w:rPr>
        <w:t xml:space="preserve"> </w:t>
      </w:r>
      <w:r>
        <w:rPr>
          <w:rFonts w:ascii="Times New Roman" w:hAnsi="Times New Roman" w:cs="Times New Roman"/>
          <w:sz w:val="18"/>
          <w:szCs w:val="18"/>
        </w:rPr>
        <w:tab/>
      </w:r>
      <w:r w:rsidRPr="005F4183">
        <w:rPr>
          <w:rFonts w:ascii="Times New Roman" w:eastAsia="Times New Roman" w:hAnsi="Times New Roman" w:cs="Times New Roman"/>
          <w:sz w:val="18"/>
          <w:szCs w:val="18"/>
        </w:rPr>
        <w:t xml:space="preserve">Article 10(1) of the Law on Lobbying Activities, available here: </w:t>
      </w:r>
      <w:hyperlink r:id="rId20" w:history="1">
        <w:r w:rsidRPr="005F4183">
          <w:rPr>
            <w:rStyle w:val="Hyperlink"/>
            <w:rFonts w:ascii="Times New Roman" w:hAnsi="Times New Roman" w:cs="Times New Roman"/>
            <w:sz w:val="18"/>
            <w:szCs w:val="18"/>
          </w:rPr>
          <w:t>https://vtek.lt/wp-content/uploads/2021/06/EN_Law_on_Lobbying_Activities_2021.docx</w:t>
        </w:r>
      </w:hyperlink>
      <w:r w:rsidRPr="005F4183">
        <w:rPr>
          <w:rFonts w:ascii="Times New Roman" w:eastAsia="Times New Roman" w:hAnsi="Times New Roman" w:cs="Times New Roman"/>
          <w:sz w:val="18"/>
          <w:szCs w:val="18"/>
        </w:rPr>
        <w:t>.</w:t>
      </w:r>
    </w:p>
  </w:footnote>
  <w:footnote w:id="90">
    <w:p w14:paraId="0242B275" w14:textId="160B017B" w:rsidR="007F7681" w:rsidRPr="005F4183" w:rsidRDefault="007F7681" w:rsidP="00582553">
      <w:pPr>
        <w:pStyle w:val="FootnoteText"/>
        <w:spacing w:after="0"/>
        <w:ind w:left="284" w:hanging="284"/>
        <w:rPr>
          <w:rFonts w:ascii="Times New Roman" w:hAnsi="Times New Roman" w:cs="Times New Roman"/>
          <w:sz w:val="18"/>
          <w:szCs w:val="18"/>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rPr>
        <w:t xml:space="preserve"> </w:t>
      </w:r>
      <w:r w:rsidRPr="005F4183">
        <w:rPr>
          <w:rFonts w:ascii="Times New Roman" w:hAnsi="Times New Roman" w:cs="Times New Roman"/>
          <w:sz w:val="18"/>
          <w:szCs w:val="18"/>
        </w:rPr>
        <w:tab/>
      </w:r>
      <w:r w:rsidRPr="005F4183">
        <w:rPr>
          <w:rFonts w:ascii="Times New Roman" w:eastAsia="Times New Roman" w:hAnsi="Times New Roman" w:cs="Times New Roman"/>
          <w:sz w:val="18"/>
          <w:szCs w:val="18"/>
          <w:lang w:val="en-IE"/>
        </w:rPr>
        <w:t>BE</w:t>
      </w:r>
      <w:r w:rsidRPr="005F4183">
        <w:rPr>
          <w:rFonts w:ascii="Times New Roman" w:hAnsi="Times New Roman" w:cs="Times New Roman"/>
          <w:sz w:val="18"/>
          <w:szCs w:val="18"/>
          <w:lang w:val="en-IE"/>
        </w:rPr>
        <w:t xml:space="preserve">, DE, </w:t>
      </w:r>
      <w:r w:rsidR="006C3787" w:rsidRPr="005F4183">
        <w:rPr>
          <w:rFonts w:ascii="Times New Roman" w:hAnsi="Times New Roman" w:cs="Times New Roman"/>
          <w:sz w:val="18"/>
          <w:szCs w:val="18"/>
          <w:lang w:val="en-IE"/>
        </w:rPr>
        <w:t xml:space="preserve">IE, </w:t>
      </w:r>
      <w:r w:rsidRPr="005F4183">
        <w:rPr>
          <w:rFonts w:ascii="Times New Roman" w:hAnsi="Times New Roman" w:cs="Times New Roman"/>
          <w:sz w:val="18"/>
          <w:szCs w:val="18"/>
          <w:lang w:val="en-IE"/>
        </w:rPr>
        <w:t xml:space="preserve">ES (at regional level), FR, IT (at subnational level), LT, LU, NL, </w:t>
      </w:r>
      <w:r w:rsidR="001D4A4D" w:rsidRPr="005F4183">
        <w:rPr>
          <w:rFonts w:ascii="Times New Roman" w:hAnsi="Times New Roman" w:cs="Times New Roman"/>
          <w:sz w:val="18"/>
          <w:szCs w:val="18"/>
          <w:lang w:val="en-IE"/>
        </w:rPr>
        <w:t xml:space="preserve">AT, </w:t>
      </w:r>
      <w:r w:rsidRPr="005F4183">
        <w:rPr>
          <w:rFonts w:ascii="Times New Roman" w:hAnsi="Times New Roman" w:cs="Times New Roman"/>
          <w:sz w:val="18"/>
          <w:szCs w:val="18"/>
          <w:lang w:val="en-IE"/>
        </w:rPr>
        <w:t>RO, SI.</w:t>
      </w:r>
    </w:p>
  </w:footnote>
  <w:footnote w:id="91">
    <w:p w14:paraId="53C4E275" w14:textId="4CD467BC" w:rsidR="007F7681" w:rsidRPr="00BC43C1" w:rsidRDefault="007F7681" w:rsidP="00582553">
      <w:pPr>
        <w:pStyle w:val="FootnoteText"/>
        <w:spacing w:after="0"/>
        <w:ind w:left="284" w:hanging="284"/>
        <w:rPr>
          <w:rFonts w:ascii="Times New Roman" w:hAnsi="Times New Roman" w:cs="Times New Roman"/>
          <w:sz w:val="18"/>
          <w:szCs w:val="18"/>
          <w:lang w:val="de-AT"/>
        </w:rPr>
      </w:pPr>
      <w:r w:rsidRPr="005F4183">
        <w:rPr>
          <w:rStyle w:val="FootnoteReference"/>
          <w:rFonts w:ascii="Times New Roman" w:hAnsi="Times New Roman" w:cs="Times New Roman"/>
          <w:sz w:val="18"/>
          <w:szCs w:val="18"/>
        </w:rPr>
        <w:footnoteRef/>
      </w:r>
      <w:r w:rsidRPr="00BC43C1">
        <w:rPr>
          <w:rFonts w:ascii="Times New Roman" w:hAnsi="Times New Roman" w:cs="Times New Roman"/>
          <w:sz w:val="18"/>
          <w:szCs w:val="18"/>
          <w:lang w:val="de-AT"/>
        </w:rPr>
        <w:t xml:space="preserve"> </w:t>
      </w:r>
      <w:r w:rsidRPr="00BC43C1">
        <w:rPr>
          <w:rFonts w:ascii="Times New Roman" w:hAnsi="Times New Roman" w:cs="Times New Roman"/>
          <w:sz w:val="18"/>
          <w:szCs w:val="18"/>
          <w:lang w:val="de-AT"/>
        </w:rPr>
        <w:tab/>
      </w:r>
      <w:r w:rsidR="00973147" w:rsidRPr="00BC43C1">
        <w:rPr>
          <w:rFonts w:ascii="Times New Roman" w:hAnsi="Times New Roman" w:cs="Times New Roman"/>
          <w:sz w:val="18"/>
          <w:szCs w:val="18"/>
          <w:lang w:val="de-AT"/>
        </w:rPr>
        <w:t xml:space="preserve">EL, </w:t>
      </w:r>
      <w:r w:rsidRPr="00BC43C1">
        <w:rPr>
          <w:rFonts w:ascii="Times New Roman" w:hAnsi="Times New Roman" w:cs="Times New Roman"/>
          <w:sz w:val="18"/>
          <w:szCs w:val="18"/>
          <w:lang w:val="de-AT"/>
        </w:rPr>
        <w:t>CY.</w:t>
      </w:r>
    </w:p>
  </w:footnote>
  <w:footnote w:id="92">
    <w:p w14:paraId="3C83853C" w14:textId="179D9A5C" w:rsidR="005F4183" w:rsidRPr="00BC43C1" w:rsidRDefault="005F4183" w:rsidP="00FC029A">
      <w:pPr>
        <w:pStyle w:val="FootnoteText"/>
        <w:spacing w:after="0"/>
        <w:ind w:left="284" w:hanging="284"/>
        <w:rPr>
          <w:rFonts w:ascii="Times New Roman" w:hAnsi="Times New Roman" w:cs="Times New Roman"/>
          <w:sz w:val="18"/>
          <w:szCs w:val="18"/>
          <w:lang w:val="de-AT"/>
        </w:rPr>
      </w:pPr>
      <w:r w:rsidRPr="00FC029A">
        <w:rPr>
          <w:rStyle w:val="FootnoteReference"/>
          <w:rFonts w:ascii="Times New Roman" w:hAnsi="Times New Roman" w:cs="Times New Roman"/>
          <w:sz w:val="18"/>
          <w:szCs w:val="18"/>
        </w:rPr>
        <w:footnoteRef/>
      </w:r>
      <w:r w:rsidRPr="00BC43C1">
        <w:rPr>
          <w:rFonts w:ascii="Times New Roman" w:hAnsi="Times New Roman" w:cs="Times New Roman"/>
          <w:sz w:val="18"/>
          <w:szCs w:val="18"/>
          <w:lang w:val="de-AT"/>
        </w:rPr>
        <w:t xml:space="preserve"> </w:t>
      </w:r>
      <w:r w:rsidRPr="00BC43C1">
        <w:rPr>
          <w:rFonts w:ascii="Times New Roman" w:hAnsi="Times New Roman" w:cs="Times New Roman"/>
          <w:sz w:val="18"/>
          <w:szCs w:val="18"/>
          <w:lang w:val="de-AT"/>
        </w:rPr>
        <w:tab/>
      </w:r>
      <w:r w:rsidRPr="00FC029A">
        <w:rPr>
          <w:rFonts w:ascii="Times New Roman" w:eastAsia="Times New Roman" w:hAnsi="Times New Roman" w:cs="Times New Roman"/>
          <w:sz w:val="18"/>
          <w:szCs w:val="18"/>
          <w:lang w:val="de-DE"/>
        </w:rPr>
        <w:t xml:space="preserve">Federal Act on Ensuring Transparency in the Exercise of Political and Economic Interests (Lobby law)‘ (Bundesgesetz zur Sicherung der Transparenz bei der Wahrnehmung politischer und wirtschaftlicher Interessen (Lobbying- und Interessenvertretungs-Transparenz-Gesetz – LobbyG)), 2012, available at: </w:t>
      </w:r>
      <w:hyperlink r:id="rId21" w:history="1">
        <w:r w:rsidRPr="00FC029A">
          <w:rPr>
            <w:rStyle w:val="Hyperlink"/>
            <w:rFonts w:ascii="Times New Roman" w:hAnsi="Times New Roman" w:cs="Times New Roman"/>
            <w:sz w:val="18"/>
            <w:szCs w:val="18"/>
            <w:lang w:val="de-DE"/>
          </w:rPr>
          <w:t>https://www.ris.bka.gv.at/GeltendeFassung.wxe?Abfrage=Bundesnormen&amp;Gesetzesnummer=20007924</w:t>
        </w:r>
      </w:hyperlink>
      <w:r w:rsidRPr="005F4183">
        <w:rPr>
          <w:rFonts w:ascii="Times New Roman" w:eastAsia="Times New Roman" w:hAnsi="Times New Roman" w:cs="Times New Roman"/>
          <w:sz w:val="18"/>
          <w:szCs w:val="18"/>
          <w:lang w:val="de-DE"/>
        </w:rPr>
        <w:t xml:space="preserve"> </w:t>
      </w:r>
      <w:r w:rsidRPr="00FC029A">
        <w:rPr>
          <w:rFonts w:ascii="Times New Roman" w:eastAsia="Times New Roman" w:hAnsi="Times New Roman" w:cs="Times New Roman"/>
          <w:sz w:val="18"/>
          <w:szCs w:val="18"/>
          <w:lang w:val="de-DE"/>
        </w:rPr>
        <w:t>, paragraph</w:t>
      </w:r>
      <w:r w:rsidRPr="005F4183">
        <w:rPr>
          <w:rFonts w:ascii="Times New Roman" w:eastAsia="Times New Roman" w:hAnsi="Times New Roman" w:cs="Times New Roman"/>
          <w:sz w:val="18"/>
          <w:szCs w:val="18"/>
          <w:lang w:val="de-DE"/>
        </w:rPr>
        <w:t>s 9(2) and</w:t>
      </w:r>
      <w:r w:rsidRPr="00FC029A">
        <w:rPr>
          <w:rFonts w:ascii="Times New Roman" w:eastAsia="Times New Roman" w:hAnsi="Times New Roman" w:cs="Times New Roman"/>
          <w:sz w:val="18"/>
          <w:szCs w:val="18"/>
          <w:lang w:val="de-DE"/>
        </w:rPr>
        <w:t xml:space="preserve"> </w:t>
      </w:r>
      <w:r w:rsidRPr="005F4183">
        <w:rPr>
          <w:rFonts w:ascii="Times New Roman" w:eastAsia="Times New Roman" w:hAnsi="Times New Roman" w:cs="Times New Roman"/>
          <w:sz w:val="18"/>
          <w:szCs w:val="18"/>
          <w:lang w:val="de-DE"/>
        </w:rPr>
        <w:t>10</w:t>
      </w:r>
      <w:r w:rsidRPr="00FC029A">
        <w:rPr>
          <w:rFonts w:ascii="Times New Roman" w:eastAsia="Times New Roman" w:hAnsi="Times New Roman" w:cs="Times New Roman"/>
          <w:sz w:val="18"/>
          <w:szCs w:val="18"/>
          <w:lang w:val="de-DE"/>
        </w:rPr>
        <w:t>(</w:t>
      </w:r>
      <w:r w:rsidRPr="005F4183">
        <w:rPr>
          <w:rFonts w:ascii="Times New Roman" w:eastAsia="Times New Roman" w:hAnsi="Times New Roman" w:cs="Times New Roman"/>
          <w:sz w:val="18"/>
          <w:szCs w:val="18"/>
          <w:lang w:val="de-DE"/>
        </w:rPr>
        <w:t>2</w:t>
      </w:r>
      <w:r w:rsidRPr="00FC029A">
        <w:rPr>
          <w:rFonts w:ascii="Times New Roman" w:eastAsia="Times New Roman" w:hAnsi="Times New Roman" w:cs="Times New Roman"/>
          <w:sz w:val="18"/>
          <w:szCs w:val="18"/>
          <w:lang w:val="de-DE"/>
        </w:rPr>
        <w:t>).</w:t>
      </w:r>
    </w:p>
  </w:footnote>
  <w:footnote w:id="93">
    <w:p w14:paraId="23FE28A1" w14:textId="663257C1" w:rsidR="00F00E4B" w:rsidRPr="005F4183" w:rsidRDefault="00F00E4B" w:rsidP="00582553">
      <w:pPr>
        <w:spacing w:after="0" w:line="240" w:lineRule="auto"/>
        <w:ind w:left="284" w:hanging="284"/>
        <w:jc w:val="both"/>
        <w:rPr>
          <w:rFonts w:ascii="Times New Roman" w:eastAsia="Times New Roman" w:hAnsi="Times New Roman" w:cs="Times New Roman"/>
          <w:sz w:val="18"/>
          <w:szCs w:val="18"/>
          <w:lang w:val="en-IE"/>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rPr>
        <w:t xml:space="preserve"> </w:t>
      </w:r>
      <w:r w:rsidRPr="005F4183">
        <w:rPr>
          <w:rFonts w:ascii="Times New Roman" w:hAnsi="Times New Roman" w:cs="Times New Roman"/>
          <w:sz w:val="18"/>
          <w:szCs w:val="18"/>
        </w:rPr>
        <w:tab/>
      </w:r>
      <w:r w:rsidR="009A0474" w:rsidRPr="005F4183">
        <w:rPr>
          <w:rFonts w:ascii="Times New Roman" w:eastAsia="Times New Roman" w:hAnsi="Times New Roman" w:cs="Times New Roman"/>
          <w:sz w:val="18"/>
          <w:szCs w:val="18"/>
          <w:lang w:val="en-IE"/>
        </w:rPr>
        <w:t>See f</w:t>
      </w:r>
      <w:r w:rsidRPr="005F4183">
        <w:rPr>
          <w:rFonts w:ascii="Times New Roman" w:eastAsia="Times New Roman" w:hAnsi="Times New Roman" w:cs="Times New Roman"/>
          <w:sz w:val="18"/>
          <w:szCs w:val="18"/>
          <w:lang w:val="en-IE"/>
        </w:rPr>
        <w:t>lash Eurobarometer 528 on Citizenship and Democracy.</w:t>
      </w:r>
    </w:p>
  </w:footnote>
  <w:footnote w:id="94">
    <w:p w14:paraId="6AFBD5F4" w14:textId="2DC9EF21" w:rsidR="00BD7A68" w:rsidRPr="00582553" w:rsidRDefault="00BD7A68" w:rsidP="00582553">
      <w:pPr>
        <w:spacing w:after="0" w:line="240" w:lineRule="auto"/>
        <w:ind w:left="284" w:hanging="284"/>
        <w:jc w:val="both"/>
        <w:textAlignment w:val="baseline"/>
        <w:rPr>
          <w:rFonts w:ascii="Times New Roman" w:hAnsi="Times New Roman" w:cs="Times New Roman"/>
          <w:sz w:val="18"/>
          <w:szCs w:val="18"/>
          <w:lang w:val="en-IE"/>
        </w:rPr>
      </w:pPr>
      <w:r w:rsidRPr="005F4183">
        <w:rPr>
          <w:rStyle w:val="FootnoteReference"/>
          <w:rFonts w:ascii="Times New Roman" w:hAnsi="Times New Roman" w:cs="Times New Roman"/>
          <w:sz w:val="18"/>
          <w:szCs w:val="18"/>
        </w:rPr>
        <w:footnoteRef/>
      </w:r>
      <w:r w:rsidRPr="005F4183">
        <w:rPr>
          <w:rFonts w:ascii="Times New Roman" w:hAnsi="Times New Roman" w:cs="Times New Roman"/>
          <w:sz w:val="18"/>
          <w:szCs w:val="18"/>
        </w:rPr>
        <w:t xml:space="preserve"> </w:t>
      </w:r>
      <w:r w:rsidRPr="005F4183">
        <w:rPr>
          <w:rFonts w:ascii="Times New Roman" w:hAnsi="Times New Roman" w:cs="Times New Roman"/>
          <w:sz w:val="18"/>
          <w:szCs w:val="18"/>
          <w:lang w:val="en-IE"/>
        </w:rPr>
        <w:tab/>
      </w:r>
      <w:r w:rsidR="006B61C1" w:rsidRPr="005F4183">
        <w:rPr>
          <w:rFonts w:ascii="Times New Roman" w:hAnsi="Times New Roman" w:cs="Times New Roman"/>
          <w:sz w:val="18"/>
          <w:szCs w:val="18"/>
          <w:lang w:val="en-IE"/>
        </w:rPr>
        <w:t>DE,</w:t>
      </w:r>
      <w:r w:rsidRPr="005F4183">
        <w:rPr>
          <w:rFonts w:ascii="Times New Roman" w:hAnsi="Times New Roman" w:cs="Times New Roman"/>
          <w:sz w:val="18"/>
          <w:szCs w:val="18"/>
          <w:lang w:val="en-IE"/>
        </w:rPr>
        <w:t xml:space="preserve"> </w:t>
      </w:r>
      <w:r w:rsidR="003D1668" w:rsidRPr="005F4183">
        <w:rPr>
          <w:rFonts w:ascii="Times New Roman" w:hAnsi="Times New Roman" w:cs="Times New Roman"/>
          <w:sz w:val="18"/>
          <w:szCs w:val="18"/>
          <w:lang w:val="en-IE"/>
        </w:rPr>
        <w:t xml:space="preserve">ES, FR, </w:t>
      </w:r>
      <w:r w:rsidR="006B61C1" w:rsidRPr="005F4183">
        <w:rPr>
          <w:rFonts w:ascii="Times New Roman" w:hAnsi="Times New Roman" w:cs="Times New Roman"/>
          <w:sz w:val="18"/>
          <w:szCs w:val="18"/>
          <w:lang w:val="en-IE"/>
        </w:rPr>
        <w:t>IT, LT, PL, RO</w:t>
      </w:r>
      <w:r w:rsidR="003D1668" w:rsidRPr="005F4183">
        <w:rPr>
          <w:rFonts w:ascii="Times New Roman" w:hAnsi="Times New Roman" w:cs="Times New Roman"/>
          <w:sz w:val="18"/>
          <w:szCs w:val="18"/>
          <w:lang w:val="en-IE"/>
        </w:rPr>
        <w:t xml:space="preserve"> </w:t>
      </w:r>
      <w:r w:rsidR="006B61C1" w:rsidRPr="005F4183">
        <w:rPr>
          <w:rFonts w:ascii="Times New Roman" w:hAnsi="Times New Roman" w:cs="Times New Roman"/>
          <w:sz w:val="18"/>
          <w:szCs w:val="18"/>
          <w:lang w:val="en-IE"/>
        </w:rPr>
        <w:t>and SE</w:t>
      </w:r>
      <w:r w:rsidRPr="005F4183">
        <w:rPr>
          <w:rFonts w:ascii="Times New Roman" w:hAnsi="Times New Roman" w:cs="Times New Roman"/>
          <w:sz w:val="18"/>
          <w:szCs w:val="18"/>
          <w:lang w:val="en-IE"/>
        </w:rPr>
        <w:t xml:space="preserve"> were the countries participating in the study with 8000 citizens from the selected countries participating in the interviewing</w:t>
      </w:r>
      <w:r w:rsidRPr="00582553">
        <w:rPr>
          <w:rFonts w:ascii="Times New Roman" w:hAnsi="Times New Roman" w:cs="Times New Roman"/>
          <w:sz w:val="18"/>
          <w:szCs w:val="18"/>
          <w:lang w:val="en-IE"/>
        </w:rPr>
        <w:t xml:space="preserve"> process.</w:t>
      </w:r>
    </w:p>
  </w:footnote>
  <w:footnote w:id="95">
    <w:p w14:paraId="5A4BD7EB" w14:textId="0CF8129F" w:rsidR="00BD7A68" w:rsidRPr="00582553" w:rsidRDefault="00BD7A68" w:rsidP="00582553">
      <w:pPr>
        <w:spacing w:after="0" w:line="240" w:lineRule="auto"/>
        <w:ind w:left="284" w:hanging="284"/>
        <w:jc w:val="both"/>
        <w:textAlignment w:val="baseline"/>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58% of respondent considered such tools “essential”, and 35% considered them “important but not essential”</w:t>
      </w:r>
      <w:r w:rsidR="00A91801" w:rsidRPr="00582553">
        <w:rPr>
          <w:rFonts w:ascii="Times New Roman" w:hAnsi="Times New Roman" w:cs="Times New Roman"/>
          <w:sz w:val="18"/>
          <w:szCs w:val="18"/>
        </w:rPr>
        <w:t xml:space="preserve">, </w:t>
      </w:r>
      <w:r w:rsidR="003238B5" w:rsidRPr="00582553">
        <w:rPr>
          <w:rFonts w:ascii="Times New Roman" w:hAnsi="Times New Roman" w:cs="Times New Roman"/>
          <w:sz w:val="18"/>
          <w:szCs w:val="18"/>
        </w:rPr>
        <w:t>available at</w:t>
      </w:r>
      <w:r w:rsidR="00A91801" w:rsidRPr="00582553">
        <w:rPr>
          <w:rFonts w:ascii="Times New Roman" w:hAnsi="Times New Roman" w:cs="Times New Roman"/>
          <w:sz w:val="18"/>
          <w:szCs w:val="18"/>
        </w:rPr>
        <w:t>:</w:t>
      </w:r>
      <w:r w:rsidRPr="00582553">
        <w:rPr>
          <w:rFonts w:ascii="Times New Roman" w:hAnsi="Times New Roman" w:cs="Times New Roman"/>
          <w:sz w:val="18"/>
          <w:szCs w:val="18"/>
        </w:rPr>
        <w:t xml:space="preserve"> </w:t>
      </w:r>
      <w:hyperlink r:id="rId22" w:history="1">
        <w:r w:rsidR="00BC558F" w:rsidRPr="00582553">
          <w:rPr>
            <w:rStyle w:val="Hyperlink"/>
            <w:rFonts w:ascii="Times New Roman" w:hAnsi="Times New Roman" w:cs="Times New Roman"/>
            <w:sz w:val="18"/>
            <w:szCs w:val="18"/>
          </w:rPr>
          <w:t>https://www.fes.de/en/survey-</w:t>
        </w:r>
        <w:r w:rsidR="00BC558F" w:rsidRPr="00582553">
          <w:rPr>
            <w:rStyle w:val="Hyperlink"/>
            <w:rFonts w:ascii="Times New Roman" w:hAnsi="Times New Roman" w:cs="Times New Roman"/>
            <w:sz w:val="18"/>
            <w:szCs w:val="18"/>
            <w:lang w:val="en-IE"/>
          </w:rPr>
          <w:t>europe</w:t>
        </w:r>
        <w:r w:rsidR="00BC558F" w:rsidRPr="00582553">
          <w:rPr>
            <w:rStyle w:val="Hyperlink"/>
            <w:rFonts w:ascii="Times New Roman" w:hAnsi="Times New Roman" w:cs="Times New Roman"/>
            <w:sz w:val="18"/>
            <w:szCs w:val="18"/>
          </w:rPr>
          <w:t>eignty</w:t>
        </w:r>
      </w:hyperlink>
      <w:r w:rsidR="00BC558F" w:rsidRPr="00582553">
        <w:rPr>
          <w:rFonts w:ascii="Times New Roman" w:hAnsi="Times New Roman" w:cs="Times New Roman"/>
          <w:sz w:val="18"/>
          <w:szCs w:val="18"/>
        </w:rPr>
        <w:t xml:space="preserve">   </w:t>
      </w:r>
    </w:p>
  </w:footnote>
  <w:footnote w:id="96">
    <w:p w14:paraId="4CBC6D79" w14:textId="00DC15E8" w:rsidR="00E77759" w:rsidRPr="00582553" w:rsidRDefault="00E77759"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By Member State, </w:t>
      </w:r>
      <w:r w:rsidR="003208DE" w:rsidRPr="00582553">
        <w:rPr>
          <w:rFonts w:ascii="Times New Roman" w:hAnsi="Times New Roman" w:cs="Times New Roman"/>
          <w:sz w:val="18"/>
          <w:szCs w:val="18"/>
        </w:rPr>
        <w:t xml:space="preserve">FR </w:t>
      </w:r>
      <w:r w:rsidRPr="00582553">
        <w:rPr>
          <w:rFonts w:ascii="Times New Roman" w:hAnsi="Times New Roman" w:cs="Times New Roman"/>
          <w:sz w:val="18"/>
          <w:szCs w:val="18"/>
        </w:rPr>
        <w:t xml:space="preserve">(260-390), </w:t>
      </w:r>
      <w:r w:rsidR="003208DE" w:rsidRPr="00582553">
        <w:rPr>
          <w:rFonts w:ascii="Times New Roman" w:hAnsi="Times New Roman" w:cs="Times New Roman"/>
          <w:sz w:val="18"/>
          <w:szCs w:val="18"/>
        </w:rPr>
        <w:t xml:space="preserve">DE </w:t>
      </w:r>
      <w:r w:rsidRPr="00582553">
        <w:rPr>
          <w:rFonts w:ascii="Times New Roman" w:hAnsi="Times New Roman" w:cs="Times New Roman"/>
          <w:sz w:val="18"/>
          <w:szCs w:val="18"/>
        </w:rPr>
        <w:t xml:space="preserve">(126-189) and </w:t>
      </w:r>
      <w:r w:rsidR="003208DE" w:rsidRPr="00582553">
        <w:rPr>
          <w:rFonts w:ascii="Times New Roman" w:hAnsi="Times New Roman" w:cs="Times New Roman"/>
          <w:sz w:val="18"/>
          <w:szCs w:val="18"/>
        </w:rPr>
        <w:t xml:space="preserve">IT </w:t>
      </w:r>
      <w:r w:rsidRPr="00582553">
        <w:rPr>
          <w:rFonts w:ascii="Times New Roman" w:hAnsi="Times New Roman" w:cs="Times New Roman"/>
          <w:sz w:val="18"/>
          <w:szCs w:val="18"/>
        </w:rPr>
        <w:t>(74-111) have the most service providers and contribute approximately 65% of all such service providers across the EU-27.</w:t>
      </w:r>
    </w:p>
  </w:footnote>
  <w:footnote w:id="97">
    <w:p w14:paraId="66D89CF4" w14:textId="452C3D68" w:rsidR="00166FC7" w:rsidRPr="00582553" w:rsidRDefault="00166FC7"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075373" w:rsidRPr="00582553">
        <w:rPr>
          <w:rFonts w:ascii="Times New Roman" w:hAnsi="Times New Roman" w:cs="Times New Roman"/>
          <w:sz w:val="18"/>
          <w:szCs w:val="18"/>
        </w:rPr>
        <w:tab/>
      </w:r>
      <w:r w:rsidRPr="00582553">
        <w:rPr>
          <w:rFonts w:ascii="Times New Roman" w:hAnsi="Times New Roman" w:cs="Times New Roman"/>
          <w:sz w:val="18"/>
          <w:szCs w:val="18"/>
        </w:rPr>
        <w:t xml:space="preserve">See Annex </w:t>
      </w:r>
      <w:r w:rsidR="00594372" w:rsidRPr="00582553">
        <w:rPr>
          <w:rFonts w:ascii="Times New Roman" w:hAnsi="Times New Roman" w:cs="Times New Roman"/>
          <w:sz w:val="18"/>
          <w:szCs w:val="18"/>
        </w:rPr>
        <w:t>6</w:t>
      </w:r>
      <w:r w:rsidR="00075373" w:rsidRPr="00582553">
        <w:rPr>
          <w:rFonts w:ascii="Times New Roman" w:hAnsi="Times New Roman" w:cs="Times New Roman"/>
          <w:sz w:val="18"/>
          <w:szCs w:val="18"/>
        </w:rPr>
        <w:t>.</w:t>
      </w:r>
    </w:p>
  </w:footnote>
  <w:footnote w:id="98">
    <w:p w14:paraId="0905E667" w14:textId="3722CFA3" w:rsidR="00B947E1" w:rsidRPr="00582553" w:rsidRDefault="00B947E1"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826DAC" w:rsidRPr="00582553">
        <w:rPr>
          <w:rFonts w:ascii="Times New Roman" w:hAnsi="Times New Roman" w:cs="Times New Roman"/>
          <w:sz w:val="18"/>
          <w:szCs w:val="18"/>
        </w:rPr>
        <w:tab/>
      </w:r>
      <w:r w:rsidRPr="00582553">
        <w:rPr>
          <w:rFonts w:ascii="Times New Roman" w:hAnsi="Times New Roman" w:cs="Times New Roman"/>
          <w:sz w:val="18"/>
          <w:szCs w:val="18"/>
        </w:rPr>
        <w:t>See 2022 Rule of Law Report, Country Chapters on the rule of law situation in Netherlands and Poland</w:t>
      </w:r>
      <w:r w:rsidR="00120033" w:rsidRPr="00582553">
        <w:rPr>
          <w:rFonts w:ascii="Times New Roman" w:hAnsi="Times New Roman" w:cs="Times New Roman"/>
          <w:sz w:val="18"/>
          <w:szCs w:val="18"/>
        </w:rPr>
        <w:t>,</w:t>
      </w:r>
      <w:r w:rsidRPr="00582553">
        <w:rPr>
          <w:rFonts w:ascii="Times New Roman" w:hAnsi="Times New Roman" w:cs="Times New Roman"/>
          <w:sz w:val="18"/>
          <w:szCs w:val="18"/>
        </w:rPr>
        <w:t xml:space="preserve"> available at: </w:t>
      </w:r>
      <w:hyperlink r:id="rId23" w:history="1">
        <w:r w:rsidRPr="00582553">
          <w:rPr>
            <w:rStyle w:val="Hyperlink"/>
            <w:rFonts w:ascii="Times New Roman" w:hAnsi="Times New Roman" w:cs="Times New Roman"/>
            <w:sz w:val="18"/>
            <w:szCs w:val="18"/>
          </w:rPr>
          <w:t>44_1_193999_coun_chap_netherlands_en.pdf (euro</w:t>
        </w:r>
        <w:bookmarkStart w:id="360" w:name="_Hlt134612838"/>
        <w:bookmarkStart w:id="361" w:name="_Hlt134612839"/>
        <w:r w:rsidRPr="00582553">
          <w:rPr>
            <w:rStyle w:val="Hyperlink"/>
            <w:rFonts w:ascii="Times New Roman" w:hAnsi="Times New Roman" w:cs="Times New Roman"/>
            <w:sz w:val="18"/>
            <w:szCs w:val="18"/>
          </w:rPr>
          <w:t>p</w:t>
        </w:r>
        <w:bookmarkEnd w:id="360"/>
        <w:bookmarkEnd w:id="361"/>
        <w:r w:rsidRPr="00582553">
          <w:rPr>
            <w:rStyle w:val="Hyperlink"/>
            <w:rFonts w:ascii="Times New Roman" w:hAnsi="Times New Roman" w:cs="Times New Roman"/>
            <w:sz w:val="18"/>
            <w:szCs w:val="18"/>
          </w:rPr>
          <w:t>a.eu)</w:t>
        </w:r>
      </w:hyperlink>
      <w:r w:rsidRPr="00582553">
        <w:rPr>
          <w:rFonts w:ascii="Times New Roman" w:hAnsi="Times New Roman" w:cs="Times New Roman"/>
          <w:sz w:val="18"/>
          <w:szCs w:val="18"/>
        </w:rPr>
        <w:t xml:space="preserve"> and </w:t>
      </w:r>
      <w:hyperlink r:id="rId24" w:history="1">
        <w:r w:rsidRPr="00582553">
          <w:rPr>
            <w:rStyle w:val="Hyperlink"/>
            <w:rFonts w:ascii="Times New Roman" w:hAnsi="Times New Roman" w:cs="Times New Roman"/>
            <w:sz w:val="18"/>
            <w:szCs w:val="18"/>
          </w:rPr>
          <w:t>https://commission.europa.eu/system/files/2022-07/48_1_194008_coun_chap_poland_en.pdf</w:t>
        </w:r>
      </w:hyperlink>
      <w:r w:rsidRPr="00582553">
        <w:rPr>
          <w:rFonts w:ascii="Times New Roman" w:hAnsi="Times New Roman" w:cs="Times New Roman"/>
          <w:sz w:val="18"/>
          <w:szCs w:val="18"/>
        </w:rPr>
        <w:t xml:space="preserve">. </w:t>
      </w:r>
    </w:p>
  </w:footnote>
  <w:footnote w:id="99">
    <w:p w14:paraId="3C0EB5C6" w14:textId="2C4E9425" w:rsidR="00FB3522" w:rsidRPr="00582553" w:rsidRDefault="00FB3522"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215BDB" w:rsidRPr="00582553">
        <w:rPr>
          <w:rFonts w:ascii="Times New Roman" w:hAnsi="Times New Roman" w:cs="Times New Roman"/>
          <w:sz w:val="18"/>
          <w:szCs w:val="18"/>
        </w:rPr>
        <w:tab/>
      </w:r>
      <w:r w:rsidR="00236C30" w:rsidRPr="00582553">
        <w:rPr>
          <w:rFonts w:ascii="Times New Roman" w:hAnsi="Times New Roman" w:cs="Times New Roman"/>
          <w:sz w:val="18"/>
          <w:szCs w:val="18"/>
        </w:rPr>
        <w:t xml:space="preserve">Bi-lateral meeting </w:t>
      </w:r>
      <w:r w:rsidR="00E1238F" w:rsidRPr="00582553">
        <w:rPr>
          <w:rFonts w:ascii="Times New Roman" w:hAnsi="Times New Roman" w:cs="Times New Roman"/>
          <w:sz w:val="18"/>
          <w:szCs w:val="18"/>
        </w:rPr>
        <w:t xml:space="preserve">between the Commission and the </w:t>
      </w:r>
      <w:r w:rsidR="0002746C" w:rsidRPr="00582553">
        <w:rPr>
          <w:rFonts w:ascii="Times New Roman" w:hAnsi="Times New Roman" w:cs="Times New Roman"/>
          <w:sz w:val="18"/>
          <w:szCs w:val="18"/>
        </w:rPr>
        <w:t>French Haute Autorité pour la Transparenc</w:t>
      </w:r>
      <w:r w:rsidR="00A55543">
        <w:rPr>
          <w:rFonts w:ascii="Times New Roman" w:hAnsi="Times New Roman" w:cs="Times New Roman"/>
          <w:sz w:val="18"/>
          <w:szCs w:val="18"/>
        </w:rPr>
        <w:t>e</w:t>
      </w:r>
      <w:r w:rsidR="0002746C" w:rsidRPr="00582553">
        <w:rPr>
          <w:rFonts w:ascii="Times New Roman" w:hAnsi="Times New Roman" w:cs="Times New Roman"/>
          <w:sz w:val="18"/>
          <w:szCs w:val="18"/>
        </w:rPr>
        <w:t xml:space="preserve"> de la Vie Publique </w:t>
      </w:r>
      <w:r w:rsidR="00215BDB" w:rsidRPr="00582553">
        <w:rPr>
          <w:rFonts w:ascii="Times New Roman" w:hAnsi="Times New Roman" w:cs="Times New Roman"/>
          <w:sz w:val="18"/>
          <w:szCs w:val="18"/>
        </w:rPr>
        <w:t xml:space="preserve">of 14 September 2023. </w:t>
      </w:r>
    </w:p>
  </w:footnote>
  <w:footnote w:id="100">
    <w:p w14:paraId="499D000F" w14:textId="5D960F0E" w:rsidR="00B50C32" w:rsidRPr="00582553" w:rsidRDefault="00B50C32"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583DFB" w:rsidRPr="00582553">
        <w:rPr>
          <w:rFonts w:ascii="Times New Roman" w:hAnsi="Times New Roman" w:cs="Times New Roman"/>
          <w:sz w:val="18"/>
          <w:szCs w:val="18"/>
        </w:rPr>
        <w:t xml:space="preserve">According to the </w:t>
      </w:r>
      <w:r w:rsidR="00A55543">
        <w:rPr>
          <w:rFonts w:ascii="Times New Roman" w:hAnsi="Times New Roman" w:cs="Times New Roman"/>
          <w:sz w:val="18"/>
          <w:szCs w:val="18"/>
        </w:rPr>
        <w:t>supporting</w:t>
      </w:r>
      <w:r w:rsidR="00A55543" w:rsidRPr="00582553">
        <w:rPr>
          <w:rFonts w:ascii="Times New Roman" w:hAnsi="Times New Roman" w:cs="Times New Roman"/>
          <w:sz w:val="18"/>
          <w:szCs w:val="18"/>
        </w:rPr>
        <w:t xml:space="preserve"> </w:t>
      </w:r>
      <w:r w:rsidR="00583DFB" w:rsidRPr="00582553">
        <w:rPr>
          <w:rFonts w:ascii="Times New Roman" w:hAnsi="Times New Roman" w:cs="Times New Roman"/>
          <w:sz w:val="18"/>
          <w:szCs w:val="18"/>
        </w:rPr>
        <w:t xml:space="preserve">study this includes </w:t>
      </w:r>
      <w:r w:rsidRPr="00582553">
        <w:rPr>
          <w:rFonts w:ascii="Times New Roman" w:hAnsi="Times New Roman" w:cs="Times New Roman"/>
          <w:sz w:val="18"/>
          <w:szCs w:val="18"/>
          <w:lang w:val="en-IE" w:eastAsia="en-IE"/>
        </w:rPr>
        <w:t xml:space="preserve">BE, BG, CZ, </w:t>
      </w:r>
      <w:r w:rsidR="00A40357" w:rsidRPr="00582553">
        <w:rPr>
          <w:rFonts w:ascii="Times New Roman" w:hAnsi="Times New Roman" w:cs="Times New Roman"/>
          <w:sz w:val="18"/>
          <w:szCs w:val="18"/>
          <w:lang w:val="en-IE" w:eastAsia="en-IE"/>
        </w:rPr>
        <w:t xml:space="preserve">IE, </w:t>
      </w:r>
      <w:r w:rsidRPr="00582553">
        <w:rPr>
          <w:rFonts w:ascii="Times New Roman" w:hAnsi="Times New Roman" w:cs="Times New Roman"/>
          <w:sz w:val="18"/>
          <w:szCs w:val="18"/>
          <w:lang w:val="en-IE" w:eastAsia="en-IE"/>
        </w:rPr>
        <w:t xml:space="preserve">ES, </w:t>
      </w:r>
      <w:r w:rsidR="00686AA5" w:rsidRPr="00582553">
        <w:rPr>
          <w:rFonts w:ascii="Times New Roman" w:hAnsi="Times New Roman" w:cs="Times New Roman"/>
          <w:sz w:val="18"/>
          <w:szCs w:val="18"/>
          <w:lang w:val="en-IE" w:eastAsia="en-IE"/>
        </w:rPr>
        <w:t>FR</w:t>
      </w:r>
      <w:r w:rsidRPr="00582553">
        <w:rPr>
          <w:rFonts w:ascii="Times New Roman" w:hAnsi="Times New Roman" w:cs="Times New Roman"/>
          <w:sz w:val="18"/>
          <w:szCs w:val="18"/>
          <w:lang w:val="en-IE" w:eastAsia="en-IE"/>
        </w:rPr>
        <w:t>, IT, LV, MT, NL, PL, SK, see Annex 6.</w:t>
      </w:r>
    </w:p>
  </w:footnote>
  <w:footnote w:id="101">
    <w:p w14:paraId="3D8FF763" w14:textId="6B45FF8B" w:rsidR="00876467" w:rsidRPr="00582553" w:rsidRDefault="0087646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826DAC" w:rsidRPr="00582553">
        <w:rPr>
          <w:rFonts w:ascii="Times New Roman" w:hAnsi="Times New Roman" w:cs="Times New Roman"/>
          <w:sz w:val="18"/>
          <w:szCs w:val="18"/>
        </w:rPr>
        <w:tab/>
      </w:r>
      <w:r w:rsidR="001402C1" w:rsidRPr="00582553">
        <w:rPr>
          <w:rFonts w:ascii="Times New Roman" w:hAnsi="Times New Roman" w:cs="Times New Roman"/>
          <w:sz w:val="18"/>
          <w:szCs w:val="18"/>
        </w:rPr>
        <w:t xml:space="preserve">Commission’s 2021 Strategic </w:t>
      </w:r>
      <w:r w:rsidR="003A4CD7" w:rsidRPr="00582553">
        <w:rPr>
          <w:rFonts w:ascii="Times New Roman" w:hAnsi="Times New Roman" w:cs="Times New Roman"/>
          <w:sz w:val="18"/>
          <w:szCs w:val="18"/>
        </w:rPr>
        <w:t>F</w:t>
      </w:r>
      <w:r w:rsidR="001402C1" w:rsidRPr="00582553">
        <w:rPr>
          <w:rFonts w:ascii="Times New Roman" w:hAnsi="Times New Roman" w:cs="Times New Roman"/>
          <w:sz w:val="18"/>
          <w:szCs w:val="18"/>
        </w:rPr>
        <w:t>oresight Report</w:t>
      </w:r>
      <w:r w:rsidR="00F24978" w:rsidRPr="00582553">
        <w:rPr>
          <w:rFonts w:ascii="Times New Roman" w:hAnsi="Times New Roman" w:cs="Times New Roman"/>
          <w:sz w:val="18"/>
          <w:szCs w:val="18"/>
        </w:rPr>
        <w:t>,</w:t>
      </w:r>
      <w:r w:rsidR="001402C1" w:rsidRPr="00582553">
        <w:rPr>
          <w:rFonts w:ascii="Times New Roman" w:hAnsi="Times New Roman" w:cs="Times New Roman"/>
          <w:sz w:val="18"/>
          <w:szCs w:val="18"/>
        </w:rPr>
        <w:t xml:space="preserve"> available at: </w:t>
      </w:r>
      <w:hyperlink r:id="rId25" w:history="1">
        <w:r w:rsidR="001402C1" w:rsidRPr="00582553">
          <w:rPr>
            <w:rStyle w:val="Hyperlink"/>
            <w:rFonts w:ascii="Times New Roman" w:hAnsi="Times New Roman" w:cs="Times New Roman"/>
            <w:sz w:val="18"/>
            <w:szCs w:val="18"/>
          </w:rPr>
          <w:t>https://eur-lex.europa.eu/legal-content/EN/ALL/?uri=COM%3A2021%3A750%3AFIN</w:t>
        </w:r>
      </w:hyperlink>
      <w:r w:rsidRPr="00582553">
        <w:rPr>
          <w:rFonts w:ascii="Times New Roman" w:hAnsi="Times New Roman" w:cs="Times New Roman"/>
          <w:sz w:val="18"/>
          <w:szCs w:val="18"/>
        </w:rPr>
        <w:t xml:space="preserve"> </w:t>
      </w:r>
    </w:p>
  </w:footnote>
  <w:footnote w:id="102">
    <w:p w14:paraId="52FC8626" w14:textId="01640E79" w:rsidR="007974DD" w:rsidRPr="00582553" w:rsidRDefault="007974DD"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6C7CE3" w:rsidRPr="00582553">
        <w:rPr>
          <w:rFonts w:ascii="Times New Roman" w:hAnsi="Times New Roman" w:cs="Times New Roman"/>
          <w:sz w:val="18"/>
          <w:szCs w:val="18"/>
        </w:rPr>
        <w:t>See</w:t>
      </w:r>
      <w:r w:rsidR="0041006C" w:rsidRPr="00582553">
        <w:rPr>
          <w:rFonts w:ascii="Times New Roman" w:hAnsi="Times New Roman" w:cs="Times New Roman"/>
          <w:sz w:val="18"/>
          <w:szCs w:val="18"/>
          <w:lang w:val="en-IE"/>
        </w:rPr>
        <w:t xml:space="preserve"> note </w:t>
      </w:r>
      <w:r w:rsidR="00FA7A20" w:rsidRPr="00582553" w:rsidDel="00E27703">
        <w:rPr>
          <w:rFonts w:ascii="Times New Roman" w:hAnsi="Times New Roman" w:cs="Times New Roman"/>
          <w:sz w:val="18"/>
          <w:szCs w:val="18"/>
          <w:lang w:val="en-IE"/>
        </w:rPr>
        <w:fldChar w:fldCharType="begin"/>
      </w:r>
      <w:r w:rsidR="00FA7A20" w:rsidRPr="00582553" w:rsidDel="00E27703">
        <w:rPr>
          <w:rFonts w:ascii="Times New Roman" w:hAnsi="Times New Roman" w:cs="Times New Roman"/>
          <w:sz w:val="18"/>
          <w:szCs w:val="18"/>
          <w:lang w:val="en-IE"/>
        </w:rPr>
        <w:instrText xml:space="preserve"> NOTEREF _Ref147753663 \h </w:instrText>
      </w:r>
      <w:r w:rsidR="00582553" w:rsidDel="00E27703">
        <w:rPr>
          <w:rFonts w:ascii="Times New Roman" w:hAnsi="Times New Roman" w:cs="Times New Roman"/>
          <w:sz w:val="18"/>
          <w:szCs w:val="18"/>
          <w:lang w:val="en-IE"/>
        </w:rPr>
        <w:instrText xml:space="preserve"> \* MERGEFORMAT </w:instrText>
      </w:r>
      <w:r w:rsidR="00FA7A20" w:rsidRPr="00582553" w:rsidDel="00E27703">
        <w:rPr>
          <w:rFonts w:ascii="Times New Roman" w:hAnsi="Times New Roman" w:cs="Times New Roman"/>
          <w:sz w:val="18"/>
          <w:szCs w:val="18"/>
          <w:lang w:val="en-IE"/>
        </w:rPr>
      </w:r>
      <w:r w:rsidR="00FA7A20" w:rsidRPr="00582553" w:rsidDel="00E2770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26</w:t>
      </w:r>
      <w:r w:rsidR="00FA7A20" w:rsidRPr="00582553" w:rsidDel="00E2770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 page 43.</w:t>
      </w:r>
    </w:p>
  </w:footnote>
  <w:footnote w:id="103">
    <w:p w14:paraId="34B63D10" w14:textId="455064BD" w:rsidR="004E11B0" w:rsidRPr="00582553" w:rsidRDefault="004E11B0"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Judgment</w:t>
      </w:r>
      <w:r w:rsidR="00F65179" w:rsidRPr="00582553">
        <w:rPr>
          <w:rFonts w:ascii="Times New Roman" w:hAnsi="Times New Roman" w:cs="Times New Roman"/>
          <w:sz w:val="18"/>
          <w:szCs w:val="18"/>
          <w:lang w:val="en-IE"/>
        </w:rPr>
        <w:t>s</w:t>
      </w:r>
      <w:r w:rsidRPr="00582553">
        <w:rPr>
          <w:rFonts w:ascii="Times New Roman" w:hAnsi="Times New Roman" w:cs="Times New Roman"/>
          <w:sz w:val="18"/>
          <w:szCs w:val="18"/>
          <w:lang w:val="en-IE"/>
        </w:rPr>
        <w:t xml:space="preserve"> of </w:t>
      </w:r>
      <w:r w:rsidR="00646929" w:rsidRPr="00582553">
        <w:rPr>
          <w:rFonts w:ascii="Times New Roman" w:hAnsi="Times New Roman" w:cs="Times New Roman"/>
          <w:sz w:val="18"/>
          <w:szCs w:val="18"/>
          <w:lang w:val="en-IE"/>
        </w:rPr>
        <w:t>the Court of Justice</w:t>
      </w:r>
      <w:r w:rsidRPr="00582553">
        <w:rPr>
          <w:rFonts w:ascii="Times New Roman" w:hAnsi="Times New Roman" w:cs="Times New Roman"/>
          <w:sz w:val="18"/>
          <w:szCs w:val="18"/>
          <w:lang w:val="en-IE"/>
        </w:rPr>
        <w:t xml:space="preserve"> of 3 December 2019, </w:t>
      </w:r>
      <w:r w:rsidRPr="00582553">
        <w:rPr>
          <w:rFonts w:ascii="Times New Roman" w:hAnsi="Times New Roman" w:cs="Times New Roman"/>
          <w:i/>
          <w:sz w:val="18"/>
          <w:szCs w:val="18"/>
          <w:lang w:val="en-IE"/>
        </w:rPr>
        <w:t>Czech Republic v Parliament and Council</w:t>
      </w:r>
      <w:r w:rsidR="001C4364" w:rsidRPr="00582553">
        <w:rPr>
          <w:rFonts w:ascii="Times New Roman" w:hAnsi="Times New Roman" w:cs="Times New Roman"/>
          <w:i/>
          <w:sz w:val="18"/>
          <w:szCs w:val="18"/>
          <w:lang w:val="en-IE"/>
        </w:rPr>
        <w:t xml:space="preserve">, </w:t>
      </w:r>
      <w:r w:rsidR="001C4364" w:rsidRPr="00582553">
        <w:rPr>
          <w:rFonts w:ascii="Times New Roman" w:hAnsi="Times New Roman" w:cs="Times New Roman"/>
          <w:sz w:val="18"/>
          <w:szCs w:val="18"/>
          <w:lang w:val="en-IE"/>
        </w:rPr>
        <w:t xml:space="preserve">C-482/17, </w:t>
      </w:r>
      <w:r w:rsidRPr="00582553">
        <w:rPr>
          <w:rFonts w:ascii="Times New Roman" w:hAnsi="Times New Roman" w:cs="Times New Roman"/>
          <w:sz w:val="18"/>
          <w:szCs w:val="18"/>
          <w:lang w:val="en-IE"/>
        </w:rPr>
        <w:t xml:space="preserve"> EU:C:2019:1035, paragraph 35; </w:t>
      </w:r>
      <w:r w:rsidR="005509C6" w:rsidRPr="00582553">
        <w:rPr>
          <w:rFonts w:ascii="Times New Roman" w:hAnsi="Times New Roman" w:cs="Times New Roman"/>
          <w:sz w:val="18"/>
          <w:szCs w:val="18"/>
          <w:lang w:val="en-IE"/>
        </w:rPr>
        <w:t xml:space="preserve">of </w:t>
      </w:r>
      <w:r w:rsidR="00CF1DA2" w:rsidRPr="00582553">
        <w:rPr>
          <w:rFonts w:ascii="Times New Roman" w:hAnsi="Times New Roman" w:cs="Times New Roman"/>
          <w:sz w:val="18"/>
          <w:szCs w:val="18"/>
          <w:lang w:val="en-IE"/>
        </w:rPr>
        <w:t xml:space="preserve">4 May 2016, </w:t>
      </w:r>
      <w:r w:rsidRPr="00582553">
        <w:rPr>
          <w:rFonts w:ascii="Times New Roman" w:hAnsi="Times New Roman" w:cs="Times New Roman"/>
          <w:i/>
          <w:sz w:val="18"/>
          <w:szCs w:val="18"/>
          <w:lang w:val="en-IE"/>
        </w:rPr>
        <w:t>Poland v Parliament and Council</w:t>
      </w:r>
      <w:r w:rsidR="00883241" w:rsidRPr="00582553">
        <w:rPr>
          <w:rFonts w:ascii="Times New Roman" w:hAnsi="Times New Roman" w:cs="Times New Roman"/>
          <w:i/>
          <w:sz w:val="18"/>
          <w:szCs w:val="18"/>
          <w:lang w:val="en-IE"/>
        </w:rPr>
        <w:t xml:space="preserve">, </w:t>
      </w:r>
      <w:r w:rsidR="00883241" w:rsidRPr="00582553">
        <w:rPr>
          <w:rFonts w:ascii="Times New Roman" w:hAnsi="Times New Roman" w:cs="Times New Roman"/>
          <w:sz w:val="18"/>
          <w:szCs w:val="18"/>
          <w:lang w:val="en-IE"/>
        </w:rPr>
        <w:t xml:space="preserve">C-358/14, </w:t>
      </w:r>
      <w:r w:rsidRPr="00582553">
        <w:rPr>
          <w:rFonts w:ascii="Times New Roman" w:hAnsi="Times New Roman" w:cs="Times New Roman"/>
          <w:sz w:val="18"/>
          <w:szCs w:val="18"/>
          <w:lang w:val="en-IE"/>
        </w:rPr>
        <w:t>EU:C:2016:323, paragraph 33</w:t>
      </w:r>
      <w:r w:rsidR="00D416D1" w:rsidRPr="00582553">
        <w:rPr>
          <w:rFonts w:ascii="Times New Roman" w:hAnsi="Times New Roman" w:cs="Times New Roman"/>
          <w:sz w:val="18"/>
          <w:szCs w:val="18"/>
          <w:lang w:val="en-IE"/>
        </w:rPr>
        <w:t xml:space="preserve">; </w:t>
      </w:r>
      <w:r w:rsidR="005509C6" w:rsidRPr="00582553">
        <w:rPr>
          <w:rFonts w:ascii="Times New Roman" w:hAnsi="Times New Roman" w:cs="Times New Roman"/>
          <w:sz w:val="18"/>
          <w:szCs w:val="18"/>
          <w:lang w:val="en-IE"/>
        </w:rPr>
        <w:t xml:space="preserve">of </w:t>
      </w:r>
      <w:r w:rsidR="00A323F8" w:rsidRPr="00582553">
        <w:rPr>
          <w:rFonts w:ascii="Times New Roman" w:hAnsi="Times New Roman" w:cs="Times New Roman"/>
          <w:sz w:val="18"/>
          <w:szCs w:val="18"/>
          <w:lang w:val="en-IE"/>
        </w:rPr>
        <w:t>8 June 201</w:t>
      </w:r>
      <w:r w:rsidR="00534E8F" w:rsidRPr="00582553">
        <w:rPr>
          <w:rFonts w:ascii="Times New Roman" w:hAnsi="Times New Roman" w:cs="Times New Roman"/>
          <w:sz w:val="18"/>
          <w:szCs w:val="18"/>
          <w:lang w:val="en-IE"/>
        </w:rPr>
        <w:t>0</w:t>
      </w:r>
      <w:r w:rsidR="00A323F8" w:rsidRPr="00582553">
        <w:rPr>
          <w:rFonts w:ascii="Times New Roman" w:hAnsi="Times New Roman" w:cs="Times New Roman"/>
          <w:sz w:val="18"/>
          <w:szCs w:val="18"/>
          <w:lang w:val="en-IE"/>
        </w:rPr>
        <w:t xml:space="preserve">, </w:t>
      </w:r>
      <w:r w:rsidRPr="00582553">
        <w:rPr>
          <w:rFonts w:ascii="Times New Roman" w:hAnsi="Times New Roman" w:cs="Times New Roman"/>
          <w:i/>
          <w:sz w:val="18"/>
          <w:szCs w:val="18"/>
          <w:lang w:val="en-IE"/>
        </w:rPr>
        <w:t>Vodafone and others v Secretary of State for Business, Enterprise and Regulatory Reform</w:t>
      </w:r>
      <w:r w:rsidR="00534E8F" w:rsidRPr="00582553">
        <w:rPr>
          <w:rFonts w:ascii="Times New Roman" w:hAnsi="Times New Roman" w:cs="Times New Roman"/>
          <w:i/>
          <w:sz w:val="18"/>
          <w:szCs w:val="18"/>
          <w:lang w:val="en-IE"/>
        </w:rPr>
        <w:t xml:space="preserve">, </w:t>
      </w:r>
      <w:r w:rsidR="00534E8F" w:rsidRPr="00582553">
        <w:rPr>
          <w:rFonts w:ascii="Times New Roman" w:hAnsi="Times New Roman" w:cs="Times New Roman"/>
          <w:sz w:val="18"/>
          <w:szCs w:val="18"/>
          <w:lang w:val="en-IE"/>
        </w:rPr>
        <w:t>C-58/08,</w:t>
      </w:r>
      <w:r w:rsidRPr="00582553">
        <w:rPr>
          <w:rFonts w:ascii="Times New Roman" w:hAnsi="Times New Roman" w:cs="Times New Roman"/>
          <w:sz w:val="18"/>
          <w:szCs w:val="18"/>
          <w:lang w:val="en-IE"/>
        </w:rPr>
        <w:t xml:space="preserve"> EU:C:2010:321, paragraph 33; </w:t>
      </w:r>
      <w:r w:rsidR="005509C6" w:rsidRPr="00582553">
        <w:rPr>
          <w:rFonts w:ascii="Times New Roman" w:hAnsi="Times New Roman" w:cs="Times New Roman"/>
          <w:sz w:val="18"/>
          <w:szCs w:val="18"/>
          <w:lang w:val="en-IE"/>
        </w:rPr>
        <w:t xml:space="preserve">of </w:t>
      </w:r>
      <w:r w:rsidR="00A93062" w:rsidRPr="00582553">
        <w:rPr>
          <w:rFonts w:ascii="Times New Roman" w:hAnsi="Times New Roman" w:cs="Times New Roman"/>
          <w:sz w:val="18"/>
          <w:szCs w:val="18"/>
          <w:lang w:val="en-IE"/>
        </w:rPr>
        <w:t xml:space="preserve">14 December 2004, </w:t>
      </w:r>
      <w:r w:rsidRPr="00582553">
        <w:rPr>
          <w:rFonts w:ascii="Times New Roman" w:hAnsi="Times New Roman" w:cs="Times New Roman"/>
          <w:i/>
          <w:sz w:val="18"/>
          <w:szCs w:val="18"/>
          <w:lang w:val="en-IE"/>
        </w:rPr>
        <w:t>Arnold André</w:t>
      </w:r>
      <w:r w:rsidR="00A93062" w:rsidRPr="00582553">
        <w:rPr>
          <w:rFonts w:ascii="Times New Roman" w:hAnsi="Times New Roman" w:cs="Times New Roman"/>
          <w:i/>
          <w:sz w:val="18"/>
          <w:szCs w:val="18"/>
          <w:lang w:val="en-IE"/>
        </w:rPr>
        <w:t xml:space="preserve">, </w:t>
      </w:r>
      <w:r w:rsidR="00A93062" w:rsidRPr="00582553">
        <w:rPr>
          <w:rFonts w:ascii="Times New Roman" w:hAnsi="Times New Roman" w:cs="Times New Roman"/>
          <w:sz w:val="18"/>
          <w:szCs w:val="18"/>
          <w:lang w:val="en-IE"/>
        </w:rPr>
        <w:t>C-</w:t>
      </w:r>
      <w:r w:rsidR="005E4B1E" w:rsidRPr="00582553">
        <w:rPr>
          <w:rFonts w:ascii="Times New Roman" w:hAnsi="Times New Roman" w:cs="Times New Roman"/>
          <w:sz w:val="18"/>
          <w:szCs w:val="18"/>
          <w:lang w:val="en-IE"/>
        </w:rPr>
        <w:t>434</w:t>
      </w:r>
      <w:r w:rsidR="00A93062" w:rsidRPr="00582553">
        <w:rPr>
          <w:rFonts w:ascii="Times New Roman" w:hAnsi="Times New Roman" w:cs="Times New Roman"/>
          <w:sz w:val="18"/>
          <w:szCs w:val="18"/>
          <w:lang w:val="en-IE"/>
        </w:rPr>
        <w:t>/02,</w:t>
      </w:r>
      <w:r w:rsidRPr="00582553">
        <w:rPr>
          <w:rFonts w:ascii="Times New Roman" w:hAnsi="Times New Roman" w:cs="Times New Roman"/>
          <w:sz w:val="18"/>
          <w:szCs w:val="18"/>
          <w:lang w:val="en-IE"/>
        </w:rPr>
        <w:t xml:space="preserve"> EU:C:2004:800, paragraph 31; </w:t>
      </w:r>
      <w:r w:rsidR="005509C6" w:rsidRPr="00582553">
        <w:rPr>
          <w:rFonts w:ascii="Times New Roman" w:hAnsi="Times New Roman" w:cs="Times New Roman"/>
          <w:sz w:val="18"/>
          <w:szCs w:val="18"/>
          <w:lang w:val="en-IE"/>
        </w:rPr>
        <w:t xml:space="preserve">of </w:t>
      </w:r>
      <w:r w:rsidR="00F22604" w:rsidRPr="00582553">
        <w:rPr>
          <w:rFonts w:ascii="Times New Roman" w:hAnsi="Times New Roman" w:cs="Times New Roman"/>
          <w:sz w:val="18"/>
          <w:szCs w:val="18"/>
          <w:lang w:val="en-IE"/>
        </w:rPr>
        <w:t xml:space="preserve">14 December 2004, </w:t>
      </w:r>
      <w:r w:rsidRPr="00582553">
        <w:rPr>
          <w:rFonts w:ascii="Times New Roman" w:hAnsi="Times New Roman" w:cs="Times New Roman"/>
          <w:i/>
          <w:sz w:val="18"/>
          <w:szCs w:val="18"/>
          <w:lang w:val="en-IE"/>
        </w:rPr>
        <w:t>Swedish Match</w:t>
      </w:r>
      <w:r w:rsidR="00A40844" w:rsidRPr="00582553">
        <w:rPr>
          <w:rFonts w:ascii="Times New Roman" w:hAnsi="Times New Roman" w:cs="Times New Roman"/>
          <w:i/>
          <w:sz w:val="18"/>
          <w:szCs w:val="18"/>
          <w:lang w:val="en-IE"/>
        </w:rPr>
        <w:t xml:space="preserve">, </w:t>
      </w:r>
      <w:r w:rsidR="00A40844" w:rsidRPr="00582553">
        <w:rPr>
          <w:rFonts w:ascii="Times New Roman" w:hAnsi="Times New Roman" w:cs="Times New Roman"/>
          <w:sz w:val="18"/>
          <w:szCs w:val="18"/>
          <w:lang w:val="en-IE"/>
        </w:rPr>
        <w:t>C-210/03,</w:t>
      </w:r>
      <w:r w:rsidRPr="00582553">
        <w:rPr>
          <w:rFonts w:ascii="Times New Roman" w:hAnsi="Times New Roman" w:cs="Times New Roman"/>
          <w:sz w:val="18"/>
          <w:szCs w:val="18"/>
          <w:lang w:val="en-IE"/>
        </w:rPr>
        <w:t xml:space="preserve"> EU:C:2004:802 paragraph 30; </w:t>
      </w:r>
      <w:r w:rsidR="005509C6" w:rsidRPr="00582553">
        <w:rPr>
          <w:rFonts w:ascii="Times New Roman" w:hAnsi="Times New Roman" w:cs="Times New Roman"/>
          <w:sz w:val="18"/>
          <w:szCs w:val="18"/>
          <w:lang w:val="en-IE"/>
        </w:rPr>
        <w:t xml:space="preserve">of </w:t>
      </w:r>
      <w:r w:rsidR="007112D2" w:rsidRPr="00582553">
        <w:rPr>
          <w:rFonts w:ascii="Times New Roman" w:hAnsi="Times New Roman" w:cs="Times New Roman"/>
          <w:sz w:val="18"/>
          <w:szCs w:val="18"/>
          <w:lang w:val="en-IE"/>
        </w:rPr>
        <w:t xml:space="preserve">12 July 2005, </w:t>
      </w:r>
      <w:r w:rsidRPr="00582553">
        <w:rPr>
          <w:rFonts w:ascii="Times New Roman" w:hAnsi="Times New Roman" w:cs="Times New Roman"/>
          <w:i/>
          <w:sz w:val="18"/>
          <w:szCs w:val="18"/>
          <w:lang w:val="en-IE"/>
        </w:rPr>
        <w:t>Alliance for Natural Health and Others</w:t>
      </w:r>
      <w:r w:rsidRPr="00582553">
        <w:rPr>
          <w:rFonts w:ascii="Times New Roman" w:hAnsi="Times New Roman" w:cs="Times New Roman"/>
          <w:sz w:val="18"/>
          <w:szCs w:val="18"/>
          <w:lang w:val="en-IE"/>
        </w:rPr>
        <w:t xml:space="preserve">, </w:t>
      </w:r>
      <w:r w:rsidR="007112D2" w:rsidRPr="00582553">
        <w:rPr>
          <w:rFonts w:ascii="Times New Roman" w:hAnsi="Times New Roman" w:cs="Times New Roman"/>
          <w:sz w:val="18"/>
          <w:szCs w:val="18"/>
          <w:lang w:val="en-IE"/>
        </w:rPr>
        <w:t xml:space="preserve">joined </w:t>
      </w:r>
      <w:r w:rsidR="000B13E8" w:rsidRPr="00582553">
        <w:rPr>
          <w:rFonts w:ascii="Times New Roman" w:hAnsi="Times New Roman" w:cs="Times New Roman"/>
          <w:sz w:val="18"/>
          <w:szCs w:val="18"/>
          <w:lang w:val="en-IE"/>
        </w:rPr>
        <w:t>c</w:t>
      </w:r>
      <w:r w:rsidR="007112D2" w:rsidRPr="00582553">
        <w:rPr>
          <w:rFonts w:ascii="Times New Roman" w:hAnsi="Times New Roman" w:cs="Times New Roman"/>
          <w:sz w:val="18"/>
          <w:szCs w:val="18"/>
          <w:lang w:val="en-IE"/>
        </w:rPr>
        <w:t>ases C-154/04 and C-155/04</w:t>
      </w:r>
      <w:r w:rsidR="00D80AB2" w:rsidRPr="00582553">
        <w:rPr>
          <w:rFonts w:ascii="Times New Roman" w:hAnsi="Times New Roman" w:cs="Times New Roman"/>
          <w:sz w:val="18"/>
          <w:szCs w:val="18"/>
          <w:lang w:val="en-IE"/>
        </w:rPr>
        <w:t>,</w:t>
      </w:r>
      <w:r w:rsidR="007112D2"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 xml:space="preserve">paragraph 29; </w:t>
      </w:r>
      <w:r w:rsidR="0000066A" w:rsidRPr="00582553">
        <w:rPr>
          <w:rFonts w:ascii="Times New Roman" w:hAnsi="Times New Roman" w:cs="Times New Roman"/>
          <w:sz w:val="18"/>
          <w:szCs w:val="18"/>
          <w:lang w:val="en-IE"/>
        </w:rPr>
        <w:t xml:space="preserve">and </w:t>
      </w:r>
      <w:r w:rsidR="005509C6" w:rsidRPr="00582553">
        <w:rPr>
          <w:rFonts w:ascii="Times New Roman" w:hAnsi="Times New Roman" w:cs="Times New Roman"/>
          <w:sz w:val="18"/>
          <w:szCs w:val="18"/>
          <w:lang w:val="en-IE"/>
        </w:rPr>
        <w:t xml:space="preserve">of </w:t>
      </w:r>
      <w:r w:rsidR="006471EC" w:rsidRPr="00582553">
        <w:rPr>
          <w:rFonts w:ascii="Times New Roman" w:hAnsi="Times New Roman" w:cs="Times New Roman"/>
          <w:sz w:val="18"/>
          <w:szCs w:val="18"/>
          <w:lang w:val="en-IE"/>
        </w:rPr>
        <w:t xml:space="preserve">5 October 2000, </w:t>
      </w:r>
      <w:r w:rsidRPr="00582553">
        <w:rPr>
          <w:rFonts w:ascii="Times New Roman" w:hAnsi="Times New Roman" w:cs="Times New Roman"/>
          <w:i/>
          <w:sz w:val="18"/>
          <w:szCs w:val="18"/>
          <w:lang w:val="en-IE"/>
        </w:rPr>
        <w:t>Germany v Parliament and Council</w:t>
      </w:r>
      <w:r w:rsidR="006471EC" w:rsidRPr="00582553">
        <w:rPr>
          <w:rFonts w:ascii="Times New Roman" w:hAnsi="Times New Roman" w:cs="Times New Roman"/>
          <w:i/>
          <w:sz w:val="18"/>
          <w:szCs w:val="18"/>
          <w:lang w:val="en-IE"/>
        </w:rPr>
        <w:t xml:space="preserve">, </w:t>
      </w:r>
      <w:r w:rsidR="006471EC" w:rsidRPr="00582553">
        <w:rPr>
          <w:rFonts w:ascii="Times New Roman" w:hAnsi="Times New Roman" w:cs="Times New Roman"/>
          <w:sz w:val="18"/>
          <w:szCs w:val="18"/>
          <w:lang w:val="en-IE"/>
        </w:rPr>
        <w:t>C-376/98,</w:t>
      </w:r>
      <w:r w:rsidRPr="00582553">
        <w:rPr>
          <w:rFonts w:ascii="Times New Roman" w:hAnsi="Times New Roman" w:cs="Times New Roman"/>
          <w:sz w:val="18"/>
          <w:szCs w:val="18"/>
          <w:lang w:val="en-IE"/>
        </w:rPr>
        <w:t xml:space="preserve"> EU:C:2000:544, paragraph 86.</w:t>
      </w:r>
    </w:p>
  </w:footnote>
  <w:footnote w:id="104">
    <w:p w14:paraId="4F706740" w14:textId="2FD78DFB" w:rsidR="004006CE" w:rsidRPr="00582553" w:rsidRDefault="004006CE"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00697BF6" w:rsidRPr="00582553">
        <w:rPr>
          <w:rFonts w:ascii="Times New Roman" w:hAnsi="Times New Roman" w:cs="Times New Roman"/>
          <w:sz w:val="18"/>
          <w:szCs w:val="18"/>
          <w:lang w:val="en-IE"/>
        </w:rPr>
        <w:tab/>
      </w:r>
      <w:r w:rsidR="00763390" w:rsidRPr="00582553">
        <w:rPr>
          <w:rFonts w:ascii="Times New Roman" w:hAnsi="Times New Roman" w:cs="Times New Roman"/>
          <w:sz w:val="18"/>
          <w:szCs w:val="18"/>
          <w:lang w:val="en-IE"/>
        </w:rPr>
        <w:t xml:space="preserve">Judgment of the Court of Justice of 20 May 2003, </w:t>
      </w:r>
      <w:r w:rsidRPr="00582553">
        <w:rPr>
          <w:rFonts w:ascii="Times New Roman" w:hAnsi="Times New Roman" w:cs="Times New Roman"/>
          <w:i/>
          <w:sz w:val="18"/>
          <w:szCs w:val="18"/>
          <w:lang w:val="en-IE"/>
        </w:rPr>
        <w:t>Österreichischer Rundfunk and Others</w:t>
      </w:r>
      <w:r w:rsidR="00763390" w:rsidRPr="00582553">
        <w:rPr>
          <w:rFonts w:ascii="Times New Roman" w:hAnsi="Times New Roman" w:cs="Times New Roman"/>
          <w:i/>
          <w:sz w:val="18"/>
          <w:szCs w:val="18"/>
          <w:lang w:val="en-IE"/>
        </w:rPr>
        <w:t xml:space="preserve">, </w:t>
      </w:r>
      <w:r w:rsidR="00763390" w:rsidRPr="00582553">
        <w:rPr>
          <w:rFonts w:ascii="Times New Roman" w:hAnsi="Times New Roman" w:cs="Times New Roman"/>
          <w:sz w:val="18"/>
          <w:szCs w:val="18"/>
          <w:lang w:val="en-IE"/>
        </w:rPr>
        <w:t xml:space="preserve">joined cases C-465/00 and C-138/01, </w:t>
      </w:r>
      <w:r w:rsidRPr="00582553">
        <w:rPr>
          <w:rFonts w:ascii="Times New Roman" w:hAnsi="Times New Roman" w:cs="Times New Roman"/>
          <w:sz w:val="18"/>
          <w:szCs w:val="18"/>
          <w:lang w:val="en-IE"/>
        </w:rPr>
        <w:t xml:space="preserve">EU:C:2003:294, paragraphs 41 and 42. In this case, the Court ruled that the Data Protection Directive 95/46/EC (at that time based on Article 100A of the Treaty establishing the European Community) could be applied even though it applied to a wholly internal situation. See also </w:t>
      </w:r>
      <w:r w:rsidR="001A6D00" w:rsidRPr="00582553">
        <w:rPr>
          <w:rFonts w:ascii="Times New Roman" w:hAnsi="Times New Roman" w:cs="Times New Roman"/>
          <w:sz w:val="18"/>
          <w:szCs w:val="18"/>
          <w:lang w:val="en-IE"/>
        </w:rPr>
        <w:t>judgment of the Court of Justice of 6 November 2003,</w:t>
      </w:r>
      <w:r w:rsidRPr="00582553">
        <w:rPr>
          <w:rFonts w:ascii="Times New Roman" w:hAnsi="Times New Roman" w:cs="Times New Roman"/>
          <w:sz w:val="18"/>
          <w:szCs w:val="18"/>
          <w:lang w:val="en-IE"/>
        </w:rPr>
        <w:t xml:space="preserve"> </w:t>
      </w:r>
      <w:r w:rsidRPr="00582553">
        <w:rPr>
          <w:rFonts w:ascii="Times New Roman" w:hAnsi="Times New Roman" w:cs="Times New Roman"/>
          <w:i/>
          <w:sz w:val="18"/>
          <w:szCs w:val="18"/>
          <w:lang w:val="en-IE"/>
        </w:rPr>
        <w:t>Lindqvist</w:t>
      </w:r>
      <w:r w:rsidR="00680BBF" w:rsidRPr="00582553">
        <w:rPr>
          <w:rFonts w:ascii="Times New Roman" w:hAnsi="Times New Roman" w:cs="Times New Roman"/>
          <w:i/>
          <w:sz w:val="18"/>
          <w:szCs w:val="18"/>
          <w:lang w:val="en-IE"/>
        </w:rPr>
        <w:t>,</w:t>
      </w:r>
      <w:r w:rsidR="00680BBF" w:rsidRPr="00582553">
        <w:rPr>
          <w:rFonts w:ascii="Times New Roman" w:hAnsi="Times New Roman" w:cs="Times New Roman"/>
          <w:sz w:val="18"/>
          <w:szCs w:val="18"/>
          <w:lang w:val="en-IE"/>
        </w:rPr>
        <w:t xml:space="preserve"> C-101/01,</w:t>
      </w:r>
      <w:r w:rsidRPr="00582553">
        <w:rPr>
          <w:rFonts w:ascii="Times New Roman" w:hAnsi="Times New Roman" w:cs="Times New Roman"/>
          <w:sz w:val="18"/>
          <w:szCs w:val="18"/>
          <w:lang w:val="en-IE"/>
        </w:rPr>
        <w:t xml:space="preserve"> EU:C:2003:596, paragraphs 40 and 41.</w:t>
      </w:r>
    </w:p>
  </w:footnote>
  <w:footnote w:id="105">
    <w:p w14:paraId="2635DCC4" w14:textId="139EEB00" w:rsidR="004006CE" w:rsidRPr="00582553" w:rsidRDefault="004006CE" w:rsidP="00582553">
      <w:pPr>
        <w:pStyle w:val="FootnoteText"/>
        <w:spacing w:after="0"/>
        <w:ind w:left="284" w:hanging="284"/>
        <w:rPr>
          <w:rStyle w:val="FootnoteReference"/>
          <w:rFonts w:ascii="Times New Roman" w:eastAsiaTheme="minorHAnsi" w:hAnsi="Times New Roman" w:cs="Times New Roman"/>
          <w:sz w:val="18"/>
          <w:szCs w:val="18"/>
          <w:vertAlign w:val="baseline"/>
          <w:lang w:val="en-IE" w:eastAsia="en-US"/>
        </w:rPr>
      </w:pPr>
      <w:r w:rsidRPr="00582553">
        <w:rPr>
          <w:rStyle w:val="FootnoteReference"/>
          <w:rFonts w:ascii="Times New Roman" w:hAnsi="Times New Roman" w:cs="Times New Roman"/>
          <w:sz w:val="18"/>
          <w:szCs w:val="18"/>
          <w:lang w:val="en-IE"/>
        </w:rPr>
        <w:footnoteRef/>
      </w:r>
      <w:r w:rsidRPr="00582553">
        <w:rPr>
          <w:rStyle w:val="FootnoteReference"/>
          <w:rFonts w:ascii="Times New Roman" w:hAnsi="Times New Roman" w:cs="Times New Roman"/>
          <w:sz w:val="18"/>
          <w:szCs w:val="18"/>
          <w:lang w:val="en-IE"/>
        </w:rPr>
        <w:t xml:space="preserve"> </w:t>
      </w:r>
      <w:r w:rsidR="00697BF6" w:rsidRPr="00582553">
        <w:rPr>
          <w:rFonts w:ascii="Times New Roman" w:hAnsi="Times New Roman" w:cs="Times New Roman"/>
          <w:sz w:val="18"/>
          <w:szCs w:val="18"/>
          <w:lang w:val="en-IE"/>
        </w:rPr>
        <w:tab/>
      </w:r>
      <w:r w:rsidR="00F418C1" w:rsidRPr="00582553">
        <w:rPr>
          <w:rStyle w:val="FootnoteReference"/>
          <w:rFonts w:ascii="Times New Roman" w:hAnsi="Times New Roman" w:cs="Times New Roman"/>
          <w:sz w:val="18"/>
          <w:szCs w:val="18"/>
          <w:vertAlign w:val="baseline"/>
          <w:lang w:val="en-IE"/>
        </w:rPr>
        <w:t>J</w:t>
      </w:r>
      <w:r w:rsidR="00F418C1" w:rsidRPr="00582553">
        <w:rPr>
          <w:rFonts w:ascii="Times New Roman" w:hAnsi="Times New Roman" w:cs="Times New Roman"/>
          <w:sz w:val="18"/>
          <w:szCs w:val="18"/>
          <w:lang w:val="en-IE"/>
        </w:rPr>
        <w:t>udgment</w:t>
      </w:r>
      <w:r w:rsidR="006B5C00" w:rsidRPr="00582553">
        <w:rPr>
          <w:rFonts w:ascii="Times New Roman" w:hAnsi="Times New Roman" w:cs="Times New Roman"/>
          <w:sz w:val="18"/>
          <w:szCs w:val="18"/>
          <w:lang w:val="en-IE"/>
        </w:rPr>
        <w:t>s</w:t>
      </w:r>
      <w:r w:rsidR="00F418C1" w:rsidRPr="00582553">
        <w:rPr>
          <w:rFonts w:ascii="Times New Roman" w:hAnsi="Times New Roman" w:cs="Times New Roman"/>
          <w:sz w:val="18"/>
          <w:szCs w:val="18"/>
          <w:lang w:val="en-IE"/>
        </w:rPr>
        <w:t xml:space="preserve"> of the Court of Justice of </w:t>
      </w:r>
      <w:r w:rsidR="00695BED" w:rsidRPr="00582553">
        <w:rPr>
          <w:rFonts w:ascii="Times New Roman" w:hAnsi="Times New Roman" w:cs="Times New Roman"/>
          <w:sz w:val="18"/>
          <w:szCs w:val="18"/>
          <w:lang w:val="en-IE"/>
        </w:rPr>
        <w:t>28 April 1998,</w:t>
      </w:r>
      <w:r w:rsidR="00F418C1" w:rsidRPr="00582553">
        <w:rPr>
          <w:rStyle w:val="FootnoteReference"/>
          <w:rFonts w:ascii="Times New Roman" w:hAnsi="Times New Roman" w:cs="Times New Roman"/>
          <w:sz w:val="18"/>
          <w:szCs w:val="18"/>
          <w:vertAlign w:val="baseline"/>
          <w:lang w:val="en-IE"/>
        </w:rPr>
        <w:t xml:space="preserve"> </w:t>
      </w:r>
      <w:r w:rsidRPr="00582553">
        <w:rPr>
          <w:rStyle w:val="FootnoteReference"/>
          <w:rFonts w:ascii="Times New Roman" w:hAnsi="Times New Roman" w:cs="Times New Roman"/>
          <w:i/>
          <w:sz w:val="18"/>
          <w:szCs w:val="18"/>
          <w:vertAlign w:val="baseline"/>
          <w:lang w:val="en-IE"/>
        </w:rPr>
        <w:t>Kohll v. Union des caisses de maladie</w:t>
      </w:r>
      <w:r w:rsidR="00695BED" w:rsidRPr="00582553">
        <w:rPr>
          <w:rStyle w:val="FootnoteReference"/>
          <w:rFonts w:ascii="Times New Roman" w:hAnsi="Times New Roman" w:cs="Times New Roman"/>
          <w:i/>
          <w:sz w:val="18"/>
          <w:szCs w:val="18"/>
          <w:vertAlign w:val="baseline"/>
          <w:lang w:val="en-IE"/>
        </w:rPr>
        <w:t>,</w:t>
      </w:r>
      <w:r w:rsidR="00695BED" w:rsidRPr="00582553">
        <w:rPr>
          <w:rFonts w:ascii="Times New Roman" w:hAnsi="Times New Roman" w:cs="Times New Roman"/>
          <w:i/>
          <w:sz w:val="18"/>
          <w:szCs w:val="18"/>
          <w:lang w:val="en-IE"/>
        </w:rPr>
        <w:t xml:space="preserve"> </w:t>
      </w:r>
      <w:r w:rsidR="00695BED" w:rsidRPr="00582553">
        <w:rPr>
          <w:rStyle w:val="FootnoteReference"/>
          <w:rFonts w:ascii="Times New Roman" w:hAnsi="Times New Roman" w:cs="Times New Roman"/>
          <w:sz w:val="18"/>
          <w:szCs w:val="18"/>
          <w:vertAlign w:val="baseline"/>
          <w:lang w:val="en-IE"/>
        </w:rPr>
        <w:t>C-158/96</w:t>
      </w:r>
      <w:r w:rsidR="00695BED" w:rsidRPr="00582553">
        <w:rPr>
          <w:rFonts w:ascii="Times New Roman" w:hAnsi="Times New Roman" w:cs="Times New Roman"/>
          <w:sz w:val="18"/>
          <w:szCs w:val="18"/>
          <w:lang w:val="en-IE"/>
        </w:rPr>
        <w:t xml:space="preserve">, </w:t>
      </w:r>
      <w:r w:rsidRPr="00582553">
        <w:rPr>
          <w:rStyle w:val="FootnoteReference"/>
          <w:rFonts w:ascii="Times New Roman" w:hAnsi="Times New Roman" w:cs="Times New Roman"/>
          <w:sz w:val="18"/>
          <w:szCs w:val="18"/>
          <w:vertAlign w:val="baseline"/>
          <w:lang w:val="en-IE"/>
        </w:rPr>
        <w:t xml:space="preserve">EU:C:1998:171; </w:t>
      </w:r>
      <w:r w:rsidRPr="00582553">
        <w:rPr>
          <w:rStyle w:val="FootnoteReference"/>
          <w:rFonts w:ascii="Times New Roman" w:hAnsi="Times New Roman" w:cs="Times New Roman"/>
          <w:i/>
          <w:sz w:val="18"/>
          <w:szCs w:val="18"/>
          <w:vertAlign w:val="baseline"/>
          <w:lang w:val="en-IE"/>
        </w:rPr>
        <w:t>Decker v. Caisse de maladie des employés privés</w:t>
      </w:r>
      <w:r w:rsidR="007F298F" w:rsidRPr="00582553">
        <w:rPr>
          <w:rFonts w:ascii="Times New Roman" w:hAnsi="Times New Roman" w:cs="Times New Roman"/>
          <w:i/>
          <w:sz w:val="18"/>
          <w:szCs w:val="18"/>
          <w:lang w:val="en-IE"/>
        </w:rPr>
        <w:t xml:space="preserve">, </w:t>
      </w:r>
      <w:r w:rsidR="007F298F" w:rsidRPr="00582553">
        <w:rPr>
          <w:rStyle w:val="FootnoteReference"/>
          <w:rFonts w:ascii="Times New Roman" w:hAnsi="Times New Roman" w:cs="Times New Roman"/>
          <w:sz w:val="18"/>
          <w:szCs w:val="18"/>
          <w:vertAlign w:val="baseline"/>
          <w:lang w:val="en-IE"/>
        </w:rPr>
        <w:t>C</w:t>
      </w:r>
      <w:r w:rsidR="007F298F" w:rsidRPr="00582553">
        <w:rPr>
          <w:rFonts w:ascii="Times New Roman" w:hAnsi="Times New Roman" w:cs="Times New Roman"/>
          <w:sz w:val="18"/>
          <w:szCs w:val="18"/>
          <w:lang w:val="en-IE"/>
        </w:rPr>
        <w:t>-</w:t>
      </w:r>
      <w:r w:rsidR="007F298F" w:rsidRPr="00582553">
        <w:rPr>
          <w:rStyle w:val="FootnoteReference"/>
          <w:rFonts w:ascii="Times New Roman" w:hAnsi="Times New Roman" w:cs="Times New Roman"/>
          <w:sz w:val="18"/>
          <w:szCs w:val="18"/>
          <w:vertAlign w:val="baseline"/>
          <w:lang w:val="en-IE"/>
        </w:rPr>
        <w:t>120/95</w:t>
      </w:r>
      <w:r w:rsidR="007F298F" w:rsidRPr="00582553">
        <w:rPr>
          <w:rFonts w:ascii="Times New Roman" w:hAnsi="Times New Roman" w:cs="Times New Roman"/>
          <w:sz w:val="18"/>
          <w:szCs w:val="18"/>
          <w:lang w:val="en-IE"/>
        </w:rPr>
        <w:t xml:space="preserve">, </w:t>
      </w:r>
      <w:r w:rsidRPr="00582553">
        <w:rPr>
          <w:rStyle w:val="FootnoteReference"/>
          <w:rFonts w:ascii="Times New Roman" w:hAnsi="Times New Roman" w:cs="Times New Roman"/>
          <w:sz w:val="18"/>
          <w:szCs w:val="18"/>
          <w:vertAlign w:val="baseline"/>
          <w:lang w:val="en-IE"/>
        </w:rPr>
        <w:t>EU:C:1998:167</w:t>
      </w:r>
      <w:r w:rsidR="006F1E9C" w:rsidRPr="00582553">
        <w:rPr>
          <w:rFonts w:ascii="Times New Roman" w:hAnsi="Times New Roman" w:cs="Times New Roman"/>
          <w:sz w:val="18"/>
          <w:szCs w:val="18"/>
          <w:lang w:val="en-IE"/>
        </w:rPr>
        <w:t>;</w:t>
      </w:r>
      <w:r w:rsidRPr="00582553">
        <w:rPr>
          <w:rFonts w:ascii="Times New Roman" w:hAnsi="Times New Roman" w:cs="Times New Roman"/>
          <w:sz w:val="18"/>
          <w:szCs w:val="18"/>
          <w:lang w:val="en-IE"/>
        </w:rPr>
        <w:t xml:space="preserve"> </w:t>
      </w:r>
      <w:r w:rsidR="005509C6" w:rsidRPr="00582553">
        <w:rPr>
          <w:rFonts w:ascii="Times New Roman" w:hAnsi="Times New Roman" w:cs="Times New Roman"/>
          <w:sz w:val="18"/>
          <w:szCs w:val="18"/>
          <w:lang w:val="en-IE"/>
        </w:rPr>
        <w:t xml:space="preserve">of </w:t>
      </w:r>
      <w:r w:rsidR="00814BC1" w:rsidRPr="00582553">
        <w:rPr>
          <w:rFonts w:ascii="Times New Roman" w:hAnsi="Times New Roman" w:cs="Times New Roman"/>
          <w:sz w:val="18"/>
          <w:szCs w:val="18"/>
          <w:lang w:val="en-IE"/>
        </w:rPr>
        <w:t xml:space="preserve">9 October 2001, </w:t>
      </w:r>
      <w:r w:rsidRPr="00582553">
        <w:rPr>
          <w:rFonts w:ascii="Times New Roman" w:hAnsi="Times New Roman" w:cs="Times New Roman"/>
          <w:i/>
          <w:sz w:val="18"/>
          <w:szCs w:val="18"/>
          <w:lang w:val="en-IE"/>
        </w:rPr>
        <w:t>Netherlands v Parliamen</w:t>
      </w:r>
      <w:r w:rsidRPr="00582553">
        <w:rPr>
          <w:rFonts w:ascii="Times New Roman" w:hAnsi="Times New Roman" w:cs="Times New Roman"/>
          <w:sz w:val="18"/>
          <w:szCs w:val="18"/>
          <w:lang w:val="en-IE"/>
        </w:rPr>
        <w:t>t</w:t>
      </w:r>
      <w:r w:rsidR="00B9367D" w:rsidRPr="00582553">
        <w:rPr>
          <w:rFonts w:ascii="Times New Roman" w:hAnsi="Times New Roman" w:cs="Times New Roman"/>
          <w:sz w:val="18"/>
          <w:szCs w:val="18"/>
          <w:lang w:val="en-IE"/>
        </w:rPr>
        <w:t>, C-377/98,</w:t>
      </w:r>
      <w:r w:rsidRPr="00582553">
        <w:rPr>
          <w:rFonts w:ascii="Times New Roman" w:hAnsi="Times New Roman" w:cs="Times New Roman"/>
          <w:sz w:val="18"/>
          <w:szCs w:val="18"/>
          <w:lang w:val="en-IE"/>
        </w:rPr>
        <w:t xml:space="preserve"> ECLI:EU:C:2001:523, paragraph 27</w:t>
      </w:r>
      <w:r w:rsidR="006F1E9C" w:rsidRPr="00582553">
        <w:rPr>
          <w:rFonts w:ascii="Times New Roman" w:hAnsi="Times New Roman" w:cs="Times New Roman"/>
          <w:sz w:val="18"/>
          <w:szCs w:val="18"/>
          <w:lang w:val="en-IE"/>
        </w:rPr>
        <w:t xml:space="preserve">; </w:t>
      </w:r>
      <w:r w:rsidR="0000066A" w:rsidRPr="00582553">
        <w:rPr>
          <w:rFonts w:ascii="Times New Roman" w:hAnsi="Times New Roman" w:cs="Times New Roman"/>
          <w:sz w:val="18"/>
          <w:szCs w:val="18"/>
          <w:lang w:val="en-IE"/>
        </w:rPr>
        <w:t xml:space="preserve">and of </w:t>
      </w:r>
      <w:r w:rsidR="00726DEC" w:rsidRPr="00582553">
        <w:rPr>
          <w:rFonts w:ascii="Times New Roman" w:hAnsi="Times New Roman" w:cs="Times New Roman"/>
          <w:sz w:val="18"/>
          <w:szCs w:val="18"/>
          <w:lang w:val="en-IE"/>
        </w:rPr>
        <w:t xml:space="preserve">11 June 1991, </w:t>
      </w:r>
      <w:r w:rsidRPr="00582553">
        <w:rPr>
          <w:rFonts w:ascii="Times New Roman" w:hAnsi="Times New Roman" w:cs="Times New Roman"/>
          <w:i/>
          <w:sz w:val="18"/>
          <w:szCs w:val="18"/>
          <w:lang w:val="en-IE"/>
        </w:rPr>
        <w:t>Commission v Council</w:t>
      </w:r>
      <w:r w:rsidR="00726DEC" w:rsidRPr="00582553">
        <w:rPr>
          <w:rFonts w:ascii="Times New Roman" w:hAnsi="Times New Roman" w:cs="Times New Roman"/>
          <w:i/>
          <w:sz w:val="18"/>
          <w:szCs w:val="18"/>
          <w:lang w:val="en-IE"/>
        </w:rPr>
        <w:t xml:space="preserve">, </w:t>
      </w:r>
      <w:r w:rsidR="00726DEC" w:rsidRPr="00582553">
        <w:rPr>
          <w:rFonts w:ascii="Times New Roman" w:hAnsi="Times New Roman" w:cs="Times New Roman"/>
          <w:sz w:val="18"/>
          <w:szCs w:val="18"/>
          <w:lang w:val="en-IE"/>
        </w:rPr>
        <w:t>C-300/89,</w:t>
      </w:r>
      <w:r w:rsidRPr="00582553">
        <w:rPr>
          <w:rFonts w:ascii="Times New Roman" w:hAnsi="Times New Roman" w:cs="Times New Roman"/>
          <w:sz w:val="18"/>
          <w:szCs w:val="18"/>
          <w:lang w:val="en-IE"/>
        </w:rPr>
        <w:t xml:space="preserve"> ECLI:EU:C:1991:244, paragraph 13.</w:t>
      </w:r>
    </w:p>
  </w:footnote>
  <w:footnote w:id="106">
    <w:p w14:paraId="7B630EDC" w14:textId="149E5013" w:rsidR="004006CE" w:rsidRPr="00582553" w:rsidRDefault="004006CE"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00697BF6" w:rsidRPr="00582553">
        <w:rPr>
          <w:rFonts w:ascii="Times New Roman" w:hAnsi="Times New Roman" w:cs="Times New Roman"/>
          <w:sz w:val="18"/>
          <w:szCs w:val="18"/>
          <w:lang w:val="en-IE"/>
        </w:rPr>
        <w:tab/>
      </w:r>
      <w:r w:rsidR="00D0390D" w:rsidRPr="00582553">
        <w:rPr>
          <w:rFonts w:ascii="Times New Roman" w:hAnsi="Times New Roman" w:cs="Times New Roman"/>
          <w:sz w:val="18"/>
          <w:szCs w:val="18"/>
          <w:lang w:val="en-IE"/>
        </w:rPr>
        <w:t xml:space="preserve">Judgment of </w:t>
      </w:r>
      <w:r w:rsidR="0003744B" w:rsidRPr="00582553">
        <w:rPr>
          <w:rFonts w:ascii="Times New Roman" w:hAnsi="Times New Roman" w:cs="Times New Roman"/>
          <w:sz w:val="18"/>
          <w:szCs w:val="18"/>
          <w:lang w:val="en-IE"/>
        </w:rPr>
        <w:t xml:space="preserve">the Court of Justice of </w:t>
      </w:r>
      <w:r w:rsidR="00FB4256" w:rsidRPr="00582553">
        <w:rPr>
          <w:rFonts w:ascii="Times New Roman" w:hAnsi="Times New Roman" w:cs="Times New Roman"/>
          <w:sz w:val="18"/>
          <w:szCs w:val="18"/>
          <w:lang w:val="en-IE"/>
        </w:rPr>
        <w:t xml:space="preserve">10 December 2002, </w:t>
      </w:r>
      <w:r w:rsidRPr="00582553">
        <w:rPr>
          <w:rFonts w:ascii="Times New Roman" w:hAnsi="Times New Roman" w:cs="Times New Roman"/>
          <w:i/>
          <w:sz w:val="18"/>
          <w:szCs w:val="18"/>
          <w:lang w:val="en-IE"/>
        </w:rPr>
        <w:t>The Queen v Secretary of State for Health, ex parte British American Tobacco (Investments) Ltd</w:t>
      </w:r>
      <w:r w:rsidRPr="00582553">
        <w:rPr>
          <w:rFonts w:ascii="Times New Roman" w:hAnsi="Times New Roman" w:cs="Times New Roman"/>
          <w:sz w:val="18"/>
          <w:szCs w:val="18"/>
          <w:lang w:val="en-IE"/>
        </w:rPr>
        <w:t xml:space="preserve"> </w:t>
      </w:r>
      <w:r w:rsidRPr="00582553">
        <w:rPr>
          <w:rFonts w:ascii="Times New Roman" w:hAnsi="Times New Roman" w:cs="Times New Roman"/>
          <w:i/>
          <w:sz w:val="18"/>
          <w:szCs w:val="18"/>
          <w:lang w:val="en-IE"/>
        </w:rPr>
        <w:t>and Imperial Tobacco Ltd</w:t>
      </w:r>
      <w:r w:rsidRPr="00582553">
        <w:rPr>
          <w:rFonts w:ascii="Times New Roman" w:hAnsi="Times New Roman" w:cs="Times New Roman"/>
          <w:sz w:val="18"/>
          <w:szCs w:val="18"/>
          <w:lang w:val="en-IE"/>
        </w:rPr>
        <w:t>.</w:t>
      </w:r>
      <w:r w:rsidR="00FB4256" w:rsidRPr="00582553">
        <w:rPr>
          <w:rFonts w:ascii="Times New Roman" w:hAnsi="Times New Roman" w:cs="Times New Roman"/>
          <w:sz w:val="18"/>
          <w:szCs w:val="18"/>
          <w:lang w:val="en-IE"/>
        </w:rPr>
        <w:t>, C-491/01,</w:t>
      </w:r>
      <w:r w:rsidRPr="00582553">
        <w:rPr>
          <w:rFonts w:ascii="Times New Roman" w:hAnsi="Times New Roman" w:cs="Times New Roman"/>
          <w:sz w:val="18"/>
          <w:szCs w:val="18"/>
          <w:lang w:val="en-IE"/>
        </w:rPr>
        <w:t xml:space="preserve"> EU:C:2002:741</w:t>
      </w:r>
      <w:r w:rsidRPr="00582553" w:rsidDel="006C16F4">
        <w:rPr>
          <w:rFonts w:ascii="Times New Roman" w:hAnsi="Times New Roman" w:cs="Times New Roman"/>
          <w:sz w:val="18"/>
          <w:szCs w:val="18"/>
          <w:lang w:val="en-IE"/>
        </w:rPr>
        <w:t>,</w:t>
      </w:r>
      <w:r w:rsidRPr="00582553">
        <w:rPr>
          <w:rFonts w:ascii="Times New Roman" w:hAnsi="Times New Roman" w:cs="Times New Roman"/>
          <w:sz w:val="18"/>
          <w:szCs w:val="18"/>
          <w:lang w:val="en-IE"/>
        </w:rPr>
        <w:t xml:space="preserve"> where the policy objective at hand was public health protection.</w:t>
      </w:r>
    </w:p>
  </w:footnote>
  <w:footnote w:id="107">
    <w:p w14:paraId="223E0EF3" w14:textId="5E5EA309" w:rsidR="004006CE" w:rsidRPr="00582553" w:rsidRDefault="004006CE"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00697BF6" w:rsidRPr="00582553">
        <w:rPr>
          <w:rFonts w:ascii="Times New Roman" w:hAnsi="Times New Roman" w:cs="Times New Roman"/>
          <w:sz w:val="18"/>
          <w:szCs w:val="18"/>
          <w:lang w:val="en-IE"/>
        </w:rPr>
        <w:tab/>
      </w:r>
      <w:r w:rsidR="00F2312C" w:rsidRPr="00582553">
        <w:rPr>
          <w:rFonts w:ascii="Times New Roman" w:hAnsi="Times New Roman" w:cs="Times New Roman"/>
          <w:sz w:val="18"/>
          <w:szCs w:val="18"/>
          <w:lang w:val="en-IE"/>
        </w:rPr>
        <w:t xml:space="preserve">See note </w:t>
      </w:r>
      <w:r w:rsidR="00D53233" w:rsidRPr="00582553">
        <w:rPr>
          <w:rFonts w:ascii="Times New Roman" w:hAnsi="Times New Roman" w:cs="Times New Roman"/>
          <w:sz w:val="18"/>
          <w:szCs w:val="18"/>
          <w:lang w:val="en-IE"/>
        </w:rPr>
        <w:fldChar w:fldCharType="begin"/>
      </w:r>
      <w:r w:rsidR="00D53233" w:rsidRPr="00582553">
        <w:rPr>
          <w:rFonts w:ascii="Times New Roman" w:hAnsi="Times New Roman" w:cs="Times New Roman"/>
          <w:sz w:val="18"/>
          <w:szCs w:val="18"/>
          <w:lang w:val="en-IE"/>
        </w:rPr>
        <w:instrText xml:space="preserve"> NOTEREF _Ref147910226 \h </w:instrText>
      </w:r>
      <w:r w:rsidR="00582553">
        <w:rPr>
          <w:rFonts w:ascii="Times New Roman" w:hAnsi="Times New Roman" w:cs="Times New Roman"/>
          <w:sz w:val="18"/>
          <w:szCs w:val="18"/>
          <w:lang w:val="en-IE"/>
        </w:rPr>
        <w:instrText xml:space="preserve"> \* MERGEFORMAT </w:instrText>
      </w:r>
      <w:r w:rsidR="00D53233" w:rsidRPr="00582553">
        <w:rPr>
          <w:rFonts w:ascii="Times New Roman" w:hAnsi="Times New Roman" w:cs="Times New Roman"/>
          <w:sz w:val="18"/>
          <w:szCs w:val="18"/>
          <w:lang w:val="en-IE"/>
        </w:rPr>
      </w:r>
      <w:r w:rsidR="00D53233"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103</w:t>
      </w:r>
      <w:r w:rsidR="00D53233"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w:t>
      </w:r>
      <w:r w:rsidR="00E57291">
        <w:rPr>
          <w:rFonts w:ascii="Times New Roman" w:hAnsi="Times New Roman" w:cs="Times New Roman"/>
          <w:sz w:val="18"/>
          <w:szCs w:val="18"/>
          <w:lang w:val="en-IE"/>
        </w:rPr>
        <w:t xml:space="preserve"> in particular</w:t>
      </w:r>
      <w:r w:rsidR="00E57291" w:rsidRPr="00582553">
        <w:rPr>
          <w:rFonts w:ascii="Times New Roman" w:hAnsi="Times New Roman" w:cs="Times New Roman"/>
          <w:sz w:val="18"/>
          <w:szCs w:val="18"/>
          <w:lang w:val="en-IE"/>
        </w:rPr>
        <w:t xml:space="preserve"> judgment of the Court of Justice of 6 November 2003, </w:t>
      </w:r>
      <w:r w:rsidR="00E57291" w:rsidRPr="00582553">
        <w:rPr>
          <w:rFonts w:ascii="Times New Roman" w:hAnsi="Times New Roman" w:cs="Times New Roman"/>
          <w:i/>
          <w:sz w:val="18"/>
          <w:szCs w:val="18"/>
          <w:lang w:val="en-IE"/>
        </w:rPr>
        <w:t>Lindqvist,</w:t>
      </w:r>
      <w:r w:rsidR="00E57291" w:rsidRPr="00582553">
        <w:rPr>
          <w:rFonts w:ascii="Times New Roman" w:hAnsi="Times New Roman" w:cs="Times New Roman"/>
          <w:sz w:val="18"/>
          <w:szCs w:val="18"/>
          <w:lang w:val="en-IE"/>
        </w:rPr>
        <w:t xml:space="preserve"> C-101/01, EU:C:2003:596, paragraphs 40 and 41</w:t>
      </w:r>
      <w:r w:rsidRPr="00582553">
        <w:rPr>
          <w:rFonts w:ascii="Times New Roman" w:hAnsi="Times New Roman" w:cs="Times New Roman"/>
          <w:sz w:val="18"/>
          <w:szCs w:val="18"/>
          <w:lang w:val="en-IE"/>
        </w:rPr>
        <w:t>.</w:t>
      </w:r>
    </w:p>
  </w:footnote>
  <w:footnote w:id="108">
    <w:p w14:paraId="7F56E540" w14:textId="4AC0B1DB" w:rsidR="0096276C" w:rsidRPr="00582553" w:rsidRDefault="0096276C"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For example, during the second focus group meeting with commercial actors involved in interest representation of 1 March 2023,</w:t>
      </w:r>
      <w:r w:rsidR="00026DB1" w:rsidRPr="00582553">
        <w:rPr>
          <w:rFonts w:ascii="Times New Roman" w:hAnsi="Times New Roman" w:cs="Times New Roman"/>
          <w:sz w:val="18"/>
          <w:szCs w:val="18"/>
        </w:rPr>
        <w:t>1</w:t>
      </w:r>
      <w:r w:rsidR="008A5BE0" w:rsidRPr="00582553">
        <w:rPr>
          <w:rFonts w:ascii="Times New Roman" w:hAnsi="Times New Roman" w:cs="Times New Roman"/>
          <w:sz w:val="18"/>
          <w:szCs w:val="18"/>
        </w:rPr>
        <w:t xml:space="preserve"> </w:t>
      </w:r>
      <w:r w:rsidRPr="00582553">
        <w:rPr>
          <w:rFonts w:ascii="Times New Roman" w:hAnsi="Times New Roman" w:cs="Times New Roman"/>
          <w:sz w:val="18"/>
          <w:szCs w:val="18"/>
        </w:rPr>
        <w:t xml:space="preserve">participant expressed its difficulty to maintain up-to-date registration information in all the markets in operates in across the </w:t>
      </w:r>
      <w:r w:rsidR="00EE6365">
        <w:rPr>
          <w:rFonts w:ascii="Times New Roman" w:hAnsi="Times New Roman" w:cs="Times New Roman"/>
          <w:sz w:val="18"/>
          <w:szCs w:val="18"/>
        </w:rPr>
        <w:t>Union</w:t>
      </w:r>
      <w:r w:rsidR="00EE6365" w:rsidRPr="00582553">
        <w:rPr>
          <w:rFonts w:ascii="Times New Roman" w:hAnsi="Times New Roman" w:cs="Times New Roman"/>
          <w:sz w:val="18"/>
          <w:szCs w:val="18"/>
        </w:rPr>
        <w:t xml:space="preserve"> </w:t>
      </w:r>
      <w:r w:rsidRPr="00582553">
        <w:rPr>
          <w:rFonts w:ascii="Times New Roman" w:hAnsi="Times New Roman" w:cs="Times New Roman"/>
          <w:sz w:val="18"/>
          <w:szCs w:val="18"/>
        </w:rPr>
        <w:t>(in its case, BE, DE, NL, as well as the EU TR).</w:t>
      </w:r>
    </w:p>
  </w:footnote>
  <w:footnote w:id="109">
    <w:p w14:paraId="510F4AEB" w14:textId="132C1F71" w:rsidR="003A1E3A" w:rsidRPr="00582553" w:rsidRDefault="003A1E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003134A2" w:rsidRPr="00582553">
        <w:rPr>
          <w:rFonts w:ascii="Times New Roman" w:hAnsi="Times New Roman" w:cs="Times New Roman"/>
          <w:sz w:val="18"/>
          <w:szCs w:val="18"/>
          <w:lang w:val="en-IE"/>
        </w:rPr>
        <w:tab/>
      </w:r>
      <w:r w:rsidR="008A13A1" w:rsidRPr="00582553">
        <w:rPr>
          <w:rFonts w:ascii="Times New Roman" w:hAnsi="Times New Roman" w:cs="Times New Roman"/>
          <w:sz w:val="18"/>
          <w:szCs w:val="18"/>
          <w:lang w:val="en-IE"/>
        </w:rPr>
        <w:t xml:space="preserve">Judgments of the Court of Justice of </w:t>
      </w:r>
      <w:r w:rsidR="0077696A" w:rsidRPr="00582553">
        <w:rPr>
          <w:rFonts w:ascii="Times New Roman" w:hAnsi="Times New Roman" w:cs="Times New Roman"/>
          <w:sz w:val="18"/>
          <w:szCs w:val="18"/>
          <w:lang w:val="en-IE"/>
        </w:rPr>
        <w:t xml:space="preserve">12 December 2006, </w:t>
      </w:r>
      <w:r w:rsidR="00E51461" w:rsidRPr="00582553">
        <w:rPr>
          <w:rFonts w:ascii="Times New Roman" w:hAnsi="Times New Roman" w:cs="Times New Roman"/>
          <w:i/>
          <w:sz w:val="18"/>
          <w:szCs w:val="18"/>
          <w:lang w:val="en-IE"/>
        </w:rPr>
        <w:t>Germany v Parliament and Council</w:t>
      </w:r>
      <w:r w:rsidR="006F1E9C" w:rsidRPr="00582553">
        <w:rPr>
          <w:rFonts w:ascii="Times New Roman" w:hAnsi="Times New Roman" w:cs="Times New Roman"/>
          <w:i/>
          <w:sz w:val="18"/>
          <w:szCs w:val="18"/>
          <w:lang w:val="en-IE"/>
        </w:rPr>
        <w:t xml:space="preserve"> </w:t>
      </w:r>
      <w:r w:rsidR="006F1E9C" w:rsidRPr="00582553">
        <w:rPr>
          <w:rFonts w:ascii="Times New Roman" w:hAnsi="Times New Roman" w:cs="Times New Roman"/>
          <w:sz w:val="18"/>
          <w:szCs w:val="18"/>
          <w:lang w:val="en-IE"/>
        </w:rPr>
        <w:t>(Tobacco 2)</w:t>
      </w:r>
      <w:r w:rsidR="0077696A" w:rsidRPr="00582553">
        <w:rPr>
          <w:rFonts w:ascii="Times New Roman" w:hAnsi="Times New Roman" w:cs="Times New Roman"/>
          <w:sz w:val="18"/>
          <w:szCs w:val="18"/>
          <w:lang w:val="en-IE"/>
        </w:rPr>
        <w:t>, C-380/03,</w:t>
      </w:r>
      <w:r w:rsidR="00E51461" w:rsidRPr="00582553">
        <w:rPr>
          <w:rFonts w:ascii="Times New Roman" w:hAnsi="Times New Roman" w:cs="Times New Roman"/>
          <w:sz w:val="18"/>
          <w:szCs w:val="18"/>
          <w:lang w:val="en-IE"/>
        </w:rPr>
        <w:t xml:space="preserve"> EU:C:2006:772, </w:t>
      </w:r>
      <w:r w:rsidR="00C81863" w:rsidRPr="00582553">
        <w:rPr>
          <w:rFonts w:ascii="Times New Roman" w:hAnsi="Times New Roman" w:cs="Times New Roman"/>
          <w:sz w:val="18"/>
          <w:szCs w:val="18"/>
          <w:lang w:val="en-IE"/>
        </w:rPr>
        <w:t>paragraph</w:t>
      </w:r>
      <w:r w:rsidR="00E51461" w:rsidRPr="00582553">
        <w:rPr>
          <w:rFonts w:ascii="Times New Roman" w:hAnsi="Times New Roman" w:cs="Times New Roman"/>
          <w:sz w:val="18"/>
          <w:szCs w:val="18"/>
          <w:lang w:val="en-IE"/>
        </w:rPr>
        <w:t xml:space="preserve"> 37; </w:t>
      </w:r>
      <w:r w:rsidR="005509C6" w:rsidRPr="00582553">
        <w:rPr>
          <w:rFonts w:ascii="Times New Roman" w:hAnsi="Times New Roman" w:cs="Times New Roman"/>
          <w:sz w:val="18"/>
          <w:szCs w:val="18"/>
          <w:lang w:val="en-IE"/>
        </w:rPr>
        <w:t xml:space="preserve">of </w:t>
      </w:r>
      <w:r w:rsidR="00446462" w:rsidRPr="00582553">
        <w:rPr>
          <w:rFonts w:ascii="Times New Roman" w:hAnsi="Times New Roman" w:cs="Times New Roman"/>
          <w:sz w:val="18"/>
          <w:szCs w:val="18"/>
          <w:lang w:val="en-IE"/>
        </w:rPr>
        <w:t xml:space="preserve">4 May 2016, </w:t>
      </w:r>
      <w:r w:rsidR="00E51461" w:rsidRPr="00582553">
        <w:rPr>
          <w:rFonts w:ascii="Times New Roman" w:hAnsi="Times New Roman" w:cs="Times New Roman"/>
          <w:i/>
          <w:sz w:val="18"/>
          <w:szCs w:val="18"/>
          <w:lang w:val="en-IE"/>
        </w:rPr>
        <w:t>Poland v Parliament and Council</w:t>
      </w:r>
      <w:r w:rsidR="00EC236F" w:rsidRPr="00582553">
        <w:rPr>
          <w:rFonts w:ascii="Times New Roman" w:hAnsi="Times New Roman" w:cs="Times New Roman"/>
          <w:sz w:val="18"/>
          <w:szCs w:val="18"/>
          <w:lang w:val="en-IE"/>
        </w:rPr>
        <w:t xml:space="preserve">, C-358/14, </w:t>
      </w:r>
      <w:r w:rsidR="00E51461" w:rsidRPr="00582553">
        <w:rPr>
          <w:rFonts w:ascii="Times New Roman" w:hAnsi="Times New Roman" w:cs="Times New Roman"/>
          <w:sz w:val="18"/>
          <w:szCs w:val="18"/>
          <w:lang w:val="en-IE"/>
        </w:rPr>
        <w:t xml:space="preserve">EU:C:2016:323, para 32; </w:t>
      </w:r>
      <w:r w:rsidR="0000066A" w:rsidRPr="00582553">
        <w:rPr>
          <w:rFonts w:ascii="Times New Roman" w:hAnsi="Times New Roman" w:cs="Times New Roman"/>
          <w:sz w:val="18"/>
          <w:szCs w:val="18"/>
          <w:lang w:val="en-IE"/>
        </w:rPr>
        <w:t xml:space="preserve">and </w:t>
      </w:r>
      <w:r w:rsidR="005509C6" w:rsidRPr="00582553">
        <w:rPr>
          <w:rFonts w:ascii="Times New Roman" w:hAnsi="Times New Roman" w:cs="Times New Roman"/>
          <w:sz w:val="18"/>
          <w:szCs w:val="18"/>
          <w:lang w:val="en-IE"/>
        </w:rPr>
        <w:t xml:space="preserve">of </w:t>
      </w:r>
      <w:r w:rsidR="000F5BBC" w:rsidRPr="00582553">
        <w:rPr>
          <w:rFonts w:ascii="Times New Roman" w:hAnsi="Times New Roman" w:cs="Times New Roman"/>
          <w:sz w:val="18"/>
          <w:szCs w:val="18"/>
          <w:lang w:val="en-IE"/>
        </w:rPr>
        <w:t xml:space="preserve">8 June 2010, </w:t>
      </w:r>
      <w:r w:rsidR="00E51461" w:rsidRPr="00582553">
        <w:rPr>
          <w:rFonts w:ascii="Times New Roman" w:hAnsi="Times New Roman" w:cs="Times New Roman"/>
          <w:i/>
          <w:sz w:val="18"/>
          <w:szCs w:val="18"/>
          <w:lang w:val="en-IE"/>
        </w:rPr>
        <w:t>The Queen, on the application of Vodafone Ltd and Others v Secretary of State for Business, Enterprise and Regulatory Reform</w:t>
      </w:r>
      <w:r w:rsidR="00E51461" w:rsidRPr="00582553">
        <w:rPr>
          <w:rFonts w:ascii="Times New Roman" w:hAnsi="Times New Roman" w:cs="Times New Roman"/>
          <w:sz w:val="18"/>
          <w:szCs w:val="18"/>
          <w:lang w:val="en-IE"/>
        </w:rPr>
        <w:t xml:space="preserve"> (Vodafone)</w:t>
      </w:r>
      <w:r w:rsidR="000F5BBC" w:rsidRPr="00582553">
        <w:rPr>
          <w:rFonts w:ascii="Times New Roman" w:hAnsi="Times New Roman" w:cs="Times New Roman"/>
          <w:sz w:val="18"/>
          <w:szCs w:val="18"/>
          <w:lang w:val="en-IE"/>
        </w:rPr>
        <w:t>, C-58/08,</w:t>
      </w:r>
      <w:r w:rsidR="00E51461" w:rsidRPr="00582553">
        <w:rPr>
          <w:rFonts w:ascii="Times New Roman" w:hAnsi="Times New Roman" w:cs="Times New Roman"/>
          <w:sz w:val="18"/>
          <w:szCs w:val="18"/>
          <w:lang w:val="en-IE"/>
        </w:rPr>
        <w:t xml:space="preserve"> EU:C:2010:321</w:t>
      </w:r>
      <w:r w:rsidR="00445807" w:rsidRPr="00582553">
        <w:rPr>
          <w:rFonts w:ascii="Times New Roman" w:hAnsi="Times New Roman" w:cs="Times New Roman"/>
          <w:sz w:val="18"/>
          <w:szCs w:val="18"/>
          <w:lang w:val="en-IE"/>
        </w:rPr>
        <w:t>,</w:t>
      </w:r>
      <w:r w:rsidR="00E51461" w:rsidRPr="00582553">
        <w:rPr>
          <w:rFonts w:ascii="Times New Roman" w:hAnsi="Times New Roman" w:cs="Times New Roman"/>
          <w:sz w:val="18"/>
          <w:szCs w:val="18"/>
          <w:lang w:val="en-IE"/>
        </w:rPr>
        <w:t xml:space="preserve"> </w:t>
      </w:r>
      <w:r w:rsidR="00C81863" w:rsidRPr="00582553">
        <w:rPr>
          <w:rFonts w:ascii="Times New Roman" w:hAnsi="Times New Roman" w:cs="Times New Roman"/>
          <w:sz w:val="18"/>
          <w:szCs w:val="18"/>
          <w:lang w:val="en-IE"/>
        </w:rPr>
        <w:t>paragraph</w:t>
      </w:r>
      <w:r w:rsidR="00E51461" w:rsidRPr="00582553">
        <w:rPr>
          <w:rFonts w:ascii="Times New Roman" w:hAnsi="Times New Roman" w:cs="Times New Roman"/>
          <w:sz w:val="18"/>
          <w:szCs w:val="18"/>
          <w:lang w:val="en-IE"/>
        </w:rPr>
        <w:t xml:space="preserve"> 32.</w:t>
      </w:r>
    </w:p>
  </w:footnote>
  <w:footnote w:id="110">
    <w:p w14:paraId="762DEF93" w14:textId="6FA18754" w:rsidR="00127747" w:rsidRPr="00582553" w:rsidRDefault="0012774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2B1269" w:rsidRPr="00582553">
        <w:rPr>
          <w:rFonts w:ascii="Times New Roman" w:hAnsi="Times New Roman" w:cs="Times New Roman"/>
          <w:sz w:val="18"/>
          <w:szCs w:val="18"/>
        </w:rPr>
        <w:t xml:space="preserve">According to the </w:t>
      </w:r>
      <w:r w:rsidR="004B33D0">
        <w:rPr>
          <w:rFonts w:ascii="Times New Roman" w:hAnsi="Times New Roman" w:cs="Times New Roman"/>
          <w:sz w:val="18"/>
          <w:szCs w:val="18"/>
        </w:rPr>
        <w:t>supporting</w:t>
      </w:r>
      <w:r w:rsidR="004B33D0" w:rsidRPr="00582553">
        <w:rPr>
          <w:rFonts w:ascii="Times New Roman" w:hAnsi="Times New Roman" w:cs="Times New Roman"/>
          <w:sz w:val="18"/>
          <w:szCs w:val="18"/>
        </w:rPr>
        <w:t xml:space="preserve"> </w:t>
      </w:r>
      <w:r w:rsidR="002B1269" w:rsidRPr="00582553">
        <w:rPr>
          <w:rFonts w:ascii="Times New Roman" w:hAnsi="Times New Roman" w:cs="Times New Roman"/>
          <w:sz w:val="18"/>
          <w:szCs w:val="18"/>
        </w:rPr>
        <w:t xml:space="preserve">study this </w:t>
      </w:r>
      <w:r w:rsidR="00F26233" w:rsidRPr="00582553">
        <w:rPr>
          <w:rFonts w:ascii="Times New Roman" w:hAnsi="Times New Roman" w:cs="Times New Roman"/>
          <w:sz w:val="18"/>
          <w:szCs w:val="18"/>
        </w:rPr>
        <w:t>includes</w:t>
      </w:r>
      <w:r w:rsidR="002B1269"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eastAsia="en-IE"/>
        </w:rPr>
        <w:t xml:space="preserve">BE, BG, CZ, ES, </w:t>
      </w:r>
      <w:r w:rsidR="00CF33F8" w:rsidRPr="00582553">
        <w:rPr>
          <w:rFonts w:ascii="Times New Roman" w:hAnsi="Times New Roman" w:cs="Times New Roman"/>
          <w:sz w:val="18"/>
          <w:szCs w:val="18"/>
          <w:lang w:val="en-IE" w:eastAsia="en-IE"/>
        </w:rPr>
        <w:t xml:space="preserve">FR, </w:t>
      </w:r>
      <w:r w:rsidRPr="00582553">
        <w:rPr>
          <w:rFonts w:ascii="Times New Roman" w:hAnsi="Times New Roman" w:cs="Times New Roman"/>
          <w:sz w:val="18"/>
          <w:szCs w:val="18"/>
          <w:lang w:val="en-IE" w:eastAsia="en-IE"/>
        </w:rPr>
        <w:t>IE, IT, LV, MT, NL, PL, SK</w:t>
      </w:r>
      <w:r w:rsidR="00FE5B64" w:rsidRPr="00582553">
        <w:rPr>
          <w:rFonts w:ascii="Times New Roman" w:hAnsi="Times New Roman" w:cs="Times New Roman"/>
          <w:sz w:val="18"/>
          <w:szCs w:val="18"/>
          <w:lang w:val="en-IE" w:eastAsia="en-IE"/>
        </w:rPr>
        <w:t xml:space="preserve">, </w:t>
      </w:r>
      <w:r w:rsidR="00E06FD5" w:rsidRPr="00582553">
        <w:rPr>
          <w:rFonts w:ascii="Times New Roman" w:hAnsi="Times New Roman" w:cs="Times New Roman"/>
          <w:sz w:val="18"/>
          <w:szCs w:val="18"/>
          <w:lang w:val="en-IE" w:eastAsia="en-IE"/>
        </w:rPr>
        <w:t>see Annex 6.</w:t>
      </w:r>
    </w:p>
  </w:footnote>
  <w:footnote w:id="111">
    <w:p w14:paraId="222E2DEF" w14:textId="5E14E770" w:rsidR="00D74F20" w:rsidRPr="00582553" w:rsidRDefault="00D74F20"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DD7F6D" w:rsidRPr="00582553">
        <w:rPr>
          <w:rFonts w:ascii="Times New Roman" w:hAnsi="Times New Roman" w:cs="Times New Roman"/>
          <w:sz w:val="18"/>
          <w:szCs w:val="18"/>
          <w:lang w:val="en-IE"/>
        </w:rPr>
        <w:t xml:space="preserve">Judgment of the Court of Justice of 16 February 2022, </w:t>
      </w:r>
      <w:r w:rsidRPr="00582553">
        <w:rPr>
          <w:rFonts w:ascii="Times New Roman" w:hAnsi="Times New Roman" w:cs="Times New Roman"/>
          <w:i/>
          <w:sz w:val="18"/>
          <w:szCs w:val="18"/>
          <w:lang w:val="en-IE"/>
        </w:rPr>
        <w:t>Hungary v Parliament and Council</w:t>
      </w:r>
      <w:r w:rsidR="00E566EA" w:rsidRPr="00582553">
        <w:rPr>
          <w:rFonts w:ascii="Times New Roman" w:hAnsi="Times New Roman" w:cs="Times New Roman"/>
          <w:i/>
          <w:sz w:val="18"/>
          <w:szCs w:val="18"/>
          <w:lang w:val="en-IE"/>
        </w:rPr>
        <w:t xml:space="preserve">, </w:t>
      </w:r>
      <w:r w:rsidR="00E566EA" w:rsidRPr="00582553">
        <w:rPr>
          <w:rFonts w:ascii="Times New Roman" w:hAnsi="Times New Roman" w:cs="Times New Roman"/>
          <w:sz w:val="18"/>
          <w:szCs w:val="18"/>
          <w:lang w:val="en-IE"/>
        </w:rPr>
        <w:t>C-156/21,</w:t>
      </w:r>
      <w:r w:rsidRPr="00582553">
        <w:rPr>
          <w:rFonts w:ascii="Times New Roman" w:hAnsi="Times New Roman" w:cs="Times New Roman"/>
          <w:sz w:val="18"/>
          <w:szCs w:val="18"/>
          <w:lang w:val="en-IE"/>
        </w:rPr>
        <w:t xml:space="preserve"> EU:C:2022:97, paragraph 127.</w:t>
      </w:r>
    </w:p>
  </w:footnote>
  <w:footnote w:id="112">
    <w:p w14:paraId="6CE564C8" w14:textId="5FEC52F0" w:rsidR="008A5BE0" w:rsidRPr="00582553" w:rsidRDefault="008A5BE0"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 xml:space="preserve">See note </w:t>
      </w:r>
      <w:r w:rsidRPr="00582553">
        <w:rPr>
          <w:rFonts w:ascii="Times New Roman" w:hAnsi="Times New Roman" w:cs="Times New Roman"/>
          <w:sz w:val="18"/>
          <w:szCs w:val="18"/>
          <w:lang w:val="en-IE"/>
        </w:rPr>
        <w:fldChar w:fldCharType="begin"/>
      </w:r>
      <w:r w:rsidRPr="00582553">
        <w:rPr>
          <w:rFonts w:ascii="Times New Roman" w:hAnsi="Times New Roman" w:cs="Times New Roman"/>
          <w:sz w:val="18"/>
          <w:szCs w:val="18"/>
          <w:lang w:val="en-IE"/>
        </w:rPr>
        <w:instrText xml:space="preserve"> NOTEREF _Ref147768679 \h  \* MERGEFORMAT </w:instrText>
      </w:r>
      <w:r w:rsidRPr="00582553">
        <w:rPr>
          <w:rFonts w:ascii="Times New Roman" w:hAnsi="Times New Roman" w:cs="Times New Roman"/>
          <w:sz w:val="18"/>
          <w:szCs w:val="18"/>
          <w:lang w:val="en-IE"/>
        </w:rPr>
      </w:r>
      <w:r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17</w:t>
      </w:r>
      <w:r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w:t>
      </w:r>
    </w:p>
  </w:footnote>
  <w:footnote w:id="113">
    <w:p w14:paraId="375838A1" w14:textId="371BF135" w:rsidR="008A5BE0" w:rsidRPr="00582553" w:rsidRDefault="008A5BE0"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See note </w:t>
      </w:r>
      <w:r w:rsidR="00E406E1" w:rsidRPr="00582553">
        <w:rPr>
          <w:rFonts w:ascii="Times New Roman" w:hAnsi="Times New Roman" w:cs="Times New Roman"/>
          <w:sz w:val="18"/>
          <w:szCs w:val="18"/>
        </w:rPr>
        <w:fldChar w:fldCharType="begin"/>
      </w:r>
      <w:r w:rsidR="00E406E1" w:rsidRPr="00582553">
        <w:rPr>
          <w:rFonts w:ascii="Times New Roman" w:hAnsi="Times New Roman" w:cs="Times New Roman"/>
          <w:sz w:val="18"/>
          <w:szCs w:val="18"/>
        </w:rPr>
        <w:instrText xml:space="preserve"> NOTEREF _Ref147768495 \h </w:instrText>
      </w:r>
      <w:r w:rsidR="005A6B8F" w:rsidRPr="00582553">
        <w:rPr>
          <w:rFonts w:ascii="Times New Roman" w:hAnsi="Times New Roman" w:cs="Times New Roman"/>
          <w:sz w:val="18"/>
          <w:szCs w:val="18"/>
        </w:rPr>
        <w:instrText xml:space="preserve"> \* MERGEFORMAT </w:instrText>
      </w:r>
      <w:r w:rsidR="00E406E1" w:rsidRPr="00582553">
        <w:rPr>
          <w:rFonts w:ascii="Times New Roman" w:hAnsi="Times New Roman" w:cs="Times New Roman"/>
          <w:sz w:val="18"/>
          <w:szCs w:val="18"/>
        </w:rPr>
      </w:r>
      <w:r w:rsidR="00E406E1"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20</w:t>
      </w:r>
      <w:r w:rsidR="00E406E1" w:rsidRPr="00582553">
        <w:rPr>
          <w:rFonts w:ascii="Times New Roman" w:hAnsi="Times New Roman" w:cs="Times New Roman"/>
          <w:sz w:val="18"/>
          <w:szCs w:val="18"/>
        </w:rPr>
        <w:fldChar w:fldCharType="end"/>
      </w:r>
      <w:r w:rsidRPr="00582553">
        <w:rPr>
          <w:rFonts w:ascii="Times New Roman" w:hAnsi="Times New Roman" w:cs="Times New Roman"/>
          <w:sz w:val="18"/>
          <w:szCs w:val="18"/>
        </w:rPr>
        <w:t xml:space="preserve">. </w:t>
      </w:r>
    </w:p>
  </w:footnote>
  <w:footnote w:id="114">
    <w:p w14:paraId="4E814896" w14:textId="0F2B7A61" w:rsidR="008A5BE0" w:rsidRPr="00582553" w:rsidRDefault="008A5BE0"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The 2022 strengthened EU Code of Practice on Disinformation, </w:t>
      </w:r>
      <w:r w:rsidR="00944C1F" w:rsidRPr="00582553">
        <w:rPr>
          <w:rFonts w:ascii="Times New Roman" w:hAnsi="Times New Roman" w:cs="Times New Roman"/>
          <w:sz w:val="18"/>
          <w:szCs w:val="18"/>
        </w:rPr>
        <w:t xml:space="preserve">see note </w:t>
      </w:r>
      <w:r w:rsidR="000C75C1" w:rsidRPr="00582553">
        <w:rPr>
          <w:rFonts w:ascii="Times New Roman" w:hAnsi="Times New Roman" w:cs="Times New Roman"/>
          <w:sz w:val="18"/>
          <w:szCs w:val="18"/>
        </w:rPr>
        <w:fldChar w:fldCharType="begin"/>
      </w:r>
      <w:r w:rsidR="000C75C1" w:rsidRPr="00582553">
        <w:rPr>
          <w:rFonts w:ascii="Times New Roman" w:hAnsi="Times New Roman" w:cs="Times New Roman"/>
          <w:sz w:val="18"/>
          <w:szCs w:val="18"/>
        </w:rPr>
        <w:instrText xml:space="preserve"> NOTEREF _Ref147840747 \h </w:instrText>
      </w:r>
      <w:r w:rsidR="001479EE" w:rsidRPr="00582553">
        <w:rPr>
          <w:rFonts w:ascii="Times New Roman" w:hAnsi="Times New Roman" w:cs="Times New Roman"/>
          <w:sz w:val="18"/>
          <w:szCs w:val="18"/>
        </w:rPr>
        <w:instrText xml:space="preserve"> \* MERGEFORMAT </w:instrText>
      </w:r>
      <w:r w:rsidR="000C75C1" w:rsidRPr="00582553">
        <w:rPr>
          <w:rFonts w:ascii="Times New Roman" w:hAnsi="Times New Roman" w:cs="Times New Roman"/>
          <w:sz w:val="18"/>
          <w:szCs w:val="18"/>
        </w:rPr>
      </w:r>
      <w:r w:rsidR="000C75C1"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19</w:t>
      </w:r>
      <w:r w:rsidR="000C75C1" w:rsidRPr="00582553">
        <w:rPr>
          <w:rFonts w:ascii="Times New Roman" w:hAnsi="Times New Roman" w:cs="Times New Roman"/>
          <w:sz w:val="18"/>
          <w:szCs w:val="18"/>
        </w:rPr>
        <w:fldChar w:fldCharType="end"/>
      </w:r>
      <w:r w:rsidR="000C75C1" w:rsidRPr="00582553">
        <w:rPr>
          <w:rFonts w:ascii="Times New Roman" w:hAnsi="Times New Roman" w:cs="Times New Roman"/>
          <w:sz w:val="18"/>
          <w:szCs w:val="18"/>
        </w:rPr>
        <w:t>;</w:t>
      </w:r>
      <w:r w:rsidRPr="00582553" w:rsidDel="00944C1F">
        <w:rPr>
          <w:rFonts w:ascii="Times New Roman" w:hAnsi="Times New Roman" w:cs="Times New Roman"/>
          <w:sz w:val="18"/>
          <w:szCs w:val="18"/>
        </w:rPr>
        <w:t xml:space="preserve"> </w:t>
      </w:r>
      <w:r w:rsidRPr="00582553">
        <w:rPr>
          <w:rFonts w:ascii="Times New Roman" w:hAnsi="Times New Roman" w:cs="Times New Roman"/>
          <w:sz w:val="18"/>
          <w:szCs w:val="18"/>
        </w:rPr>
        <w:t>the Digital Services Act</w:t>
      </w:r>
      <w:r w:rsidR="00BF40A9" w:rsidRPr="00582553">
        <w:rPr>
          <w:rFonts w:ascii="Times New Roman" w:hAnsi="Times New Roman" w:cs="Times New Roman"/>
          <w:sz w:val="18"/>
          <w:szCs w:val="18"/>
        </w:rPr>
        <w:t>, see</w:t>
      </w:r>
      <w:r w:rsidR="00B26DF7" w:rsidRPr="00582553">
        <w:rPr>
          <w:rFonts w:ascii="Times New Roman" w:hAnsi="Times New Roman" w:cs="Times New Roman"/>
          <w:sz w:val="18"/>
          <w:szCs w:val="18"/>
        </w:rPr>
        <w:t xml:space="preserve"> note </w:t>
      </w:r>
      <w:r w:rsidR="00BF40A9" w:rsidRPr="00582553">
        <w:rPr>
          <w:rFonts w:ascii="Times New Roman" w:hAnsi="Times New Roman" w:cs="Times New Roman"/>
          <w:sz w:val="18"/>
          <w:szCs w:val="18"/>
        </w:rPr>
        <w:fldChar w:fldCharType="begin"/>
      </w:r>
      <w:r w:rsidR="00BF40A9" w:rsidRPr="00582553">
        <w:rPr>
          <w:rFonts w:ascii="Times New Roman" w:hAnsi="Times New Roman" w:cs="Times New Roman"/>
          <w:sz w:val="18"/>
          <w:szCs w:val="18"/>
        </w:rPr>
        <w:instrText xml:space="preserve"> NOTEREF _Ref147840610 \h </w:instrText>
      </w:r>
      <w:r w:rsidR="001479EE" w:rsidRPr="00582553">
        <w:rPr>
          <w:rFonts w:ascii="Times New Roman" w:hAnsi="Times New Roman" w:cs="Times New Roman"/>
          <w:sz w:val="18"/>
          <w:szCs w:val="18"/>
        </w:rPr>
        <w:instrText xml:space="preserve"> \* MERGEFORMAT </w:instrText>
      </w:r>
      <w:r w:rsidR="00BF40A9" w:rsidRPr="00582553">
        <w:rPr>
          <w:rFonts w:ascii="Times New Roman" w:hAnsi="Times New Roman" w:cs="Times New Roman"/>
          <w:sz w:val="18"/>
          <w:szCs w:val="18"/>
        </w:rPr>
      </w:r>
      <w:r w:rsidR="00BF40A9"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18</w:t>
      </w:r>
      <w:r w:rsidR="00BF40A9" w:rsidRPr="00582553">
        <w:rPr>
          <w:rFonts w:ascii="Times New Roman" w:hAnsi="Times New Roman" w:cs="Times New Roman"/>
          <w:sz w:val="18"/>
          <w:szCs w:val="18"/>
        </w:rPr>
        <w:fldChar w:fldCharType="end"/>
      </w:r>
      <w:r w:rsidR="00576672" w:rsidRPr="00582553">
        <w:rPr>
          <w:rFonts w:ascii="Times New Roman" w:hAnsi="Times New Roman" w:cs="Times New Roman"/>
          <w:sz w:val="18"/>
          <w:szCs w:val="18"/>
        </w:rPr>
        <w:t>;</w:t>
      </w:r>
      <w:r w:rsidR="009A4B43" w:rsidRPr="00582553">
        <w:rPr>
          <w:rFonts w:ascii="Times New Roman" w:hAnsi="Times New Roman" w:cs="Times New Roman"/>
          <w:sz w:val="18"/>
          <w:szCs w:val="18"/>
        </w:rPr>
        <w:t xml:space="preserve"> </w:t>
      </w:r>
      <w:r w:rsidRPr="00582553">
        <w:rPr>
          <w:rFonts w:ascii="Times New Roman" w:hAnsi="Times New Roman" w:cs="Times New Roman"/>
          <w:sz w:val="18"/>
          <w:szCs w:val="18"/>
        </w:rPr>
        <w:t xml:space="preserve">the proposal for a Regulation on the transparency and targeting of political advertising, see note </w:t>
      </w:r>
      <w:r w:rsidR="00B26DF7" w:rsidRPr="00582553">
        <w:rPr>
          <w:rFonts w:ascii="Times New Roman" w:hAnsi="Times New Roman" w:cs="Times New Roman"/>
          <w:sz w:val="18"/>
          <w:szCs w:val="18"/>
        </w:rPr>
        <w:fldChar w:fldCharType="begin"/>
      </w:r>
      <w:r w:rsidR="00B26DF7" w:rsidRPr="00582553">
        <w:rPr>
          <w:rFonts w:ascii="Times New Roman" w:hAnsi="Times New Roman" w:cs="Times New Roman"/>
          <w:sz w:val="18"/>
          <w:szCs w:val="18"/>
        </w:rPr>
        <w:instrText xml:space="preserve"> NOTEREF _Ref147769323 \h </w:instrText>
      </w:r>
      <w:r w:rsidR="001479EE" w:rsidRPr="00582553">
        <w:rPr>
          <w:rFonts w:ascii="Times New Roman" w:hAnsi="Times New Roman" w:cs="Times New Roman"/>
          <w:sz w:val="18"/>
          <w:szCs w:val="18"/>
        </w:rPr>
        <w:instrText xml:space="preserve"> \* MERGEFORMAT </w:instrText>
      </w:r>
      <w:r w:rsidR="00B26DF7" w:rsidRPr="00582553">
        <w:rPr>
          <w:rFonts w:ascii="Times New Roman" w:hAnsi="Times New Roman" w:cs="Times New Roman"/>
          <w:sz w:val="18"/>
          <w:szCs w:val="18"/>
        </w:rPr>
      </w:r>
      <w:r w:rsidR="00B26DF7"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21</w:t>
      </w:r>
      <w:r w:rsidR="00B26DF7" w:rsidRPr="00582553">
        <w:rPr>
          <w:rFonts w:ascii="Times New Roman" w:hAnsi="Times New Roman" w:cs="Times New Roman"/>
          <w:sz w:val="18"/>
          <w:szCs w:val="18"/>
        </w:rPr>
        <w:fldChar w:fldCharType="end"/>
      </w:r>
      <w:r w:rsidRPr="00582553">
        <w:rPr>
          <w:rFonts w:ascii="Times New Roman" w:hAnsi="Times New Roman" w:cs="Times New Roman"/>
          <w:sz w:val="18"/>
          <w:szCs w:val="18"/>
        </w:rPr>
        <w:t>.</w:t>
      </w:r>
    </w:p>
  </w:footnote>
  <w:footnote w:id="115">
    <w:p w14:paraId="50CA8300" w14:textId="070A3594" w:rsidR="008A5BE0" w:rsidRPr="00582553" w:rsidRDefault="008A5BE0"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The proposal for a European Media Freedom Act, the proposal for an anti-SLAPP Directive and Recommendation, see note </w:t>
      </w:r>
      <w:r w:rsidR="0002310C" w:rsidRPr="00582553">
        <w:rPr>
          <w:rFonts w:ascii="Times New Roman" w:hAnsi="Times New Roman" w:cs="Times New Roman"/>
          <w:sz w:val="18"/>
          <w:szCs w:val="18"/>
        </w:rPr>
        <w:fldChar w:fldCharType="begin"/>
      </w:r>
      <w:r w:rsidR="0002310C" w:rsidRPr="00582553">
        <w:rPr>
          <w:rFonts w:ascii="Times New Roman" w:hAnsi="Times New Roman" w:cs="Times New Roman"/>
          <w:sz w:val="18"/>
          <w:szCs w:val="18"/>
        </w:rPr>
        <w:instrText xml:space="preserve"> NOTEREF _Ref147769867 \h </w:instrText>
      </w:r>
      <w:r w:rsidR="005A6B8F" w:rsidRPr="00582553">
        <w:rPr>
          <w:rFonts w:ascii="Times New Roman" w:hAnsi="Times New Roman" w:cs="Times New Roman"/>
          <w:sz w:val="18"/>
          <w:szCs w:val="18"/>
        </w:rPr>
        <w:instrText xml:space="preserve"> \* MERGEFORMAT </w:instrText>
      </w:r>
      <w:r w:rsidR="0002310C" w:rsidRPr="00582553">
        <w:rPr>
          <w:rFonts w:ascii="Times New Roman" w:hAnsi="Times New Roman" w:cs="Times New Roman"/>
          <w:sz w:val="18"/>
          <w:szCs w:val="18"/>
        </w:rPr>
      </w:r>
      <w:r w:rsidR="0002310C"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22</w:t>
      </w:r>
      <w:r w:rsidR="0002310C" w:rsidRPr="00582553">
        <w:rPr>
          <w:rFonts w:ascii="Times New Roman" w:hAnsi="Times New Roman" w:cs="Times New Roman"/>
          <w:sz w:val="18"/>
          <w:szCs w:val="18"/>
        </w:rPr>
        <w:fldChar w:fldCharType="end"/>
      </w:r>
      <w:r w:rsidRPr="00582553">
        <w:rPr>
          <w:rFonts w:ascii="Times New Roman" w:hAnsi="Times New Roman" w:cs="Times New Roman"/>
          <w:sz w:val="18"/>
          <w:szCs w:val="18"/>
        </w:rPr>
        <w:t>.</w:t>
      </w:r>
    </w:p>
  </w:footnote>
  <w:footnote w:id="116">
    <w:p w14:paraId="04106F0B" w14:textId="40468AF2" w:rsidR="008A5BE0" w:rsidRPr="00582553" w:rsidRDefault="008A5BE0"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The FDI Screening Regulation, see note </w:t>
      </w:r>
      <w:r w:rsidR="00157C4D" w:rsidRPr="00582553">
        <w:rPr>
          <w:rFonts w:ascii="Times New Roman" w:hAnsi="Times New Roman" w:cs="Times New Roman"/>
          <w:sz w:val="18"/>
          <w:szCs w:val="18"/>
        </w:rPr>
        <w:fldChar w:fldCharType="begin"/>
      </w:r>
      <w:r w:rsidR="00157C4D" w:rsidRPr="00582553">
        <w:rPr>
          <w:rFonts w:ascii="Times New Roman" w:hAnsi="Times New Roman" w:cs="Times New Roman"/>
          <w:sz w:val="18"/>
          <w:szCs w:val="18"/>
        </w:rPr>
        <w:instrText xml:space="preserve"> NOTEREF _Ref147770155 \h </w:instrText>
      </w:r>
      <w:r w:rsidR="005A6B8F" w:rsidRPr="00582553">
        <w:rPr>
          <w:rFonts w:ascii="Times New Roman" w:hAnsi="Times New Roman" w:cs="Times New Roman"/>
          <w:sz w:val="18"/>
          <w:szCs w:val="18"/>
        </w:rPr>
        <w:instrText xml:space="preserve"> \* MERGEFORMAT </w:instrText>
      </w:r>
      <w:r w:rsidR="00157C4D" w:rsidRPr="00582553">
        <w:rPr>
          <w:rFonts w:ascii="Times New Roman" w:hAnsi="Times New Roman" w:cs="Times New Roman"/>
          <w:sz w:val="18"/>
          <w:szCs w:val="18"/>
        </w:rPr>
      </w:r>
      <w:r w:rsidR="00157C4D"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23</w:t>
      </w:r>
      <w:r w:rsidR="00157C4D" w:rsidRPr="00582553">
        <w:rPr>
          <w:rFonts w:ascii="Times New Roman" w:hAnsi="Times New Roman" w:cs="Times New Roman"/>
          <w:sz w:val="18"/>
          <w:szCs w:val="18"/>
        </w:rPr>
        <w:fldChar w:fldCharType="end"/>
      </w:r>
      <w:r w:rsidRPr="00582553">
        <w:rPr>
          <w:rFonts w:ascii="Times New Roman" w:hAnsi="Times New Roman" w:cs="Times New Roman"/>
          <w:sz w:val="18"/>
          <w:szCs w:val="18"/>
        </w:rPr>
        <w:t>.</w:t>
      </w:r>
    </w:p>
  </w:footnote>
  <w:footnote w:id="117">
    <w:p w14:paraId="0580BCE3" w14:textId="45859874" w:rsidR="008A5BE0" w:rsidRPr="00582553" w:rsidRDefault="008A5BE0"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ab/>
        <w:t xml:space="preserve">The NIS2 Directive, the ENISA Regulation, the DORA Regulation and the Cyber Resilience Act, see note </w:t>
      </w:r>
      <w:r w:rsidR="002D6DA1" w:rsidRPr="00582553">
        <w:rPr>
          <w:rFonts w:ascii="Times New Roman" w:hAnsi="Times New Roman" w:cs="Times New Roman"/>
          <w:sz w:val="18"/>
          <w:szCs w:val="18"/>
        </w:rPr>
        <w:fldChar w:fldCharType="begin"/>
      </w:r>
      <w:r w:rsidR="002D6DA1" w:rsidRPr="00582553">
        <w:rPr>
          <w:rFonts w:ascii="Times New Roman" w:hAnsi="Times New Roman" w:cs="Times New Roman"/>
          <w:sz w:val="18"/>
          <w:szCs w:val="18"/>
        </w:rPr>
        <w:instrText xml:space="preserve"> NOTEREF _Ref147770570 \h </w:instrText>
      </w:r>
      <w:r w:rsidR="005A6B8F" w:rsidRPr="00582553">
        <w:rPr>
          <w:rFonts w:ascii="Times New Roman" w:hAnsi="Times New Roman" w:cs="Times New Roman"/>
          <w:sz w:val="18"/>
          <w:szCs w:val="18"/>
        </w:rPr>
        <w:instrText xml:space="preserve"> \* MERGEFORMAT </w:instrText>
      </w:r>
      <w:r w:rsidR="002D6DA1" w:rsidRPr="00582553">
        <w:rPr>
          <w:rFonts w:ascii="Times New Roman" w:hAnsi="Times New Roman" w:cs="Times New Roman"/>
          <w:sz w:val="18"/>
          <w:szCs w:val="18"/>
        </w:rPr>
      </w:r>
      <w:r w:rsidR="002D6DA1"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24</w:t>
      </w:r>
      <w:r w:rsidR="002D6DA1" w:rsidRPr="00582553">
        <w:rPr>
          <w:rFonts w:ascii="Times New Roman" w:hAnsi="Times New Roman" w:cs="Times New Roman"/>
          <w:sz w:val="18"/>
          <w:szCs w:val="18"/>
        </w:rPr>
        <w:fldChar w:fldCharType="end"/>
      </w:r>
      <w:r w:rsidRPr="00582553">
        <w:rPr>
          <w:rFonts w:ascii="Times New Roman" w:hAnsi="Times New Roman" w:cs="Times New Roman"/>
          <w:sz w:val="18"/>
          <w:szCs w:val="18"/>
        </w:rPr>
        <w:t>.</w:t>
      </w:r>
    </w:p>
  </w:footnote>
  <w:footnote w:id="118">
    <w:p w14:paraId="36DAF34F" w14:textId="22D19369" w:rsidR="008A5BE0" w:rsidRPr="00582553" w:rsidRDefault="008A5BE0" w:rsidP="00582553">
      <w:pPr>
        <w:pStyle w:val="FootnoteText"/>
        <w:spacing w:after="0"/>
        <w:ind w:left="284" w:hanging="284"/>
        <w:rPr>
          <w:rFonts w:ascii="Times New Roman" w:hAnsi="Times New Roman" w:cs="Times New Roman"/>
          <w:sz w:val="18"/>
          <w:szCs w:val="18"/>
          <w:lang w:val="en-US"/>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The proposal for the 6</w:t>
      </w:r>
      <w:r w:rsidRPr="00582553">
        <w:rPr>
          <w:rFonts w:ascii="Times New Roman" w:hAnsi="Times New Roman" w:cs="Times New Roman"/>
          <w:sz w:val="18"/>
          <w:szCs w:val="18"/>
          <w:vertAlign w:val="superscript"/>
        </w:rPr>
        <w:t>th</w:t>
      </w:r>
      <w:r w:rsidRPr="00582553">
        <w:rPr>
          <w:rFonts w:ascii="Times New Roman" w:hAnsi="Times New Roman" w:cs="Times New Roman"/>
          <w:sz w:val="18"/>
          <w:szCs w:val="18"/>
        </w:rPr>
        <w:t xml:space="preserve"> AML Directive and the proposed anti-corruption </w:t>
      </w:r>
      <w:r w:rsidR="00B73261">
        <w:rPr>
          <w:rFonts w:ascii="Times New Roman" w:hAnsi="Times New Roman" w:cs="Times New Roman"/>
          <w:sz w:val="18"/>
          <w:szCs w:val="18"/>
        </w:rPr>
        <w:t>D</w:t>
      </w:r>
      <w:r w:rsidRPr="00582553">
        <w:rPr>
          <w:rFonts w:ascii="Times New Roman" w:hAnsi="Times New Roman" w:cs="Times New Roman"/>
          <w:sz w:val="18"/>
          <w:szCs w:val="18"/>
        </w:rPr>
        <w:t xml:space="preserve">irective, see note </w:t>
      </w:r>
      <w:r w:rsidR="002D6DA1" w:rsidRPr="00582553">
        <w:rPr>
          <w:rFonts w:ascii="Times New Roman" w:hAnsi="Times New Roman" w:cs="Times New Roman"/>
          <w:sz w:val="18"/>
          <w:szCs w:val="18"/>
        </w:rPr>
        <w:fldChar w:fldCharType="begin"/>
      </w:r>
      <w:r w:rsidR="002D6DA1" w:rsidRPr="00582553">
        <w:rPr>
          <w:rFonts w:ascii="Times New Roman" w:hAnsi="Times New Roman" w:cs="Times New Roman"/>
          <w:sz w:val="18"/>
          <w:szCs w:val="18"/>
        </w:rPr>
        <w:instrText xml:space="preserve"> NOTEREF _Ref147770611 \h </w:instrText>
      </w:r>
      <w:r w:rsidR="005A6B8F" w:rsidRPr="00582553">
        <w:rPr>
          <w:rFonts w:ascii="Times New Roman" w:hAnsi="Times New Roman" w:cs="Times New Roman"/>
          <w:sz w:val="18"/>
          <w:szCs w:val="18"/>
        </w:rPr>
        <w:instrText xml:space="preserve"> \* MERGEFORMAT </w:instrText>
      </w:r>
      <w:r w:rsidR="002D6DA1" w:rsidRPr="00582553">
        <w:rPr>
          <w:rFonts w:ascii="Times New Roman" w:hAnsi="Times New Roman" w:cs="Times New Roman"/>
          <w:sz w:val="18"/>
          <w:szCs w:val="18"/>
        </w:rPr>
      </w:r>
      <w:r w:rsidR="002D6DA1"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25</w:t>
      </w:r>
      <w:r w:rsidR="002D6DA1" w:rsidRPr="00582553">
        <w:rPr>
          <w:rFonts w:ascii="Times New Roman" w:hAnsi="Times New Roman" w:cs="Times New Roman"/>
          <w:sz w:val="18"/>
          <w:szCs w:val="18"/>
        </w:rPr>
        <w:fldChar w:fldCharType="end"/>
      </w:r>
      <w:r w:rsidRPr="00582553">
        <w:rPr>
          <w:rFonts w:ascii="Times New Roman" w:hAnsi="Times New Roman" w:cs="Times New Roman"/>
          <w:sz w:val="18"/>
          <w:szCs w:val="18"/>
        </w:rPr>
        <w:t>.</w:t>
      </w:r>
    </w:p>
  </w:footnote>
  <w:footnote w:id="119">
    <w:p w14:paraId="1D87042B" w14:textId="61123301" w:rsidR="00E10EF7" w:rsidRPr="00582553" w:rsidRDefault="00E10EF7"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European Parliament resolution of 1 June 2023 on foreign interference, see note </w:t>
      </w:r>
      <w:r w:rsidRPr="00582553">
        <w:rPr>
          <w:rFonts w:ascii="Times New Roman" w:hAnsi="Times New Roman" w:cs="Times New Roman"/>
          <w:sz w:val="18"/>
          <w:szCs w:val="18"/>
        </w:rPr>
        <w:fldChar w:fldCharType="begin"/>
      </w:r>
      <w:r w:rsidRPr="00582553">
        <w:rPr>
          <w:rFonts w:ascii="Times New Roman" w:hAnsi="Times New Roman" w:cs="Times New Roman"/>
          <w:sz w:val="18"/>
          <w:szCs w:val="18"/>
        </w:rPr>
        <w:instrText xml:space="preserve"> NOTEREF _Ref147739120 \h  \* MERGEFORMAT </w:instrText>
      </w:r>
      <w:r w:rsidRPr="00582553">
        <w:rPr>
          <w:rFonts w:ascii="Times New Roman" w:hAnsi="Times New Roman" w:cs="Times New Roman"/>
          <w:sz w:val="18"/>
          <w:szCs w:val="18"/>
        </w:rPr>
      </w:r>
      <w:r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8</w:t>
      </w:r>
      <w:r w:rsidRPr="00582553">
        <w:rPr>
          <w:rFonts w:ascii="Times New Roman" w:hAnsi="Times New Roman" w:cs="Times New Roman"/>
          <w:sz w:val="18"/>
          <w:szCs w:val="18"/>
        </w:rPr>
        <w:fldChar w:fldCharType="end"/>
      </w:r>
      <w:r w:rsidRPr="00582553">
        <w:rPr>
          <w:rFonts w:ascii="Times New Roman" w:hAnsi="Times New Roman" w:cs="Times New Roman"/>
          <w:sz w:val="18"/>
          <w:szCs w:val="18"/>
        </w:rPr>
        <w:t>, point 6.</w:t>
      </w:r>
    </w:p>
  </w:footnote>
  <w:footnote w:id="120">
    <w:p w14:paraId="5FB7AAA1" w14:textId="77777777" w:rsidR="00E10EF7" w:rsidRPr="00582553" w:rsidRDefault="00E10EF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Article 9 of Directive (EU) 2015/849 of 20 May 2015 on the prevention of the use of the financial system for the purposes of money laundering or terrorist financing.</w:t>
      </w:r>
    </w:p>
  </w:footnote>
  <w:footnote w:id="121">
    <w:p w14:paraId="2419C77E" w14:textId="5D10DA37" w:rsidR="00E10EF7" w:rsidRPr="00582553" w:rsidRDefault="00E10EF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r>
      <w:r w:rsidRPr="00582553">
        <w:rPr>
          <w:rFonts w:ascii="Times New Roman" w:hAnsi="Times New Roman" w:cs="Times New Roman"/>
          <w:sz w:val="18"/>
          <w:szCs w:val="18"/>
        </w:rPr>
        <w:t>This approach is based on the observation that the amounts spent on interest representation translates into bigger influence. As highlighted by the OECD: “</w:t>
      </w:r>
      <w:r w:rsidRPr="00582553">
        <w:rPr>
          <w:rFonts w:ascii="Times New Roman" w:hAnsi="Times New Roman" w:cs="Times New Roman"/>
          <w:i/>
          <w:iCs/>
          <w:sz w:val="18"/>
          <w:szCs w:val="18"/>
        </w:rPr>
        <w:t>The evidence is that policy</w:t>
      </w:r>
      <w:r w:rsidR="000507B4">
        <w:rPr>
          <w:rFonts w:ascii="Times New Roman" w:hAnsi="Times New Roman" w:cs="Times New Roman"/>
          <w:i/>
          <w:iCs/>
          <w:sz w:val="18"/>
          <w:szCs w:val="18"/>
        </w:rPr>
        <w:t>-</w:t>
      </w:r>
      <w:r w:rsidRPr="00582553">
        <w:rPr>
          <w:rFonts w:ascii="Times New Roman" w:hAnsi="Times New Roman" w:cs="Times New Roman"/>
          <w:i/>
          <w:iCs/>
          <w:sz w:val="18"/>
          <w:szCs w:val="18"/>
        </w:rPr>
        <w:t>making is not always inclusive. At times, a monopoly of influence may be exerted by the financially and politically powerful, at the expense of those with fewer resources. Inequity in power and lobbying budgets exacerbates the disadvantages of groups lacking in the capacity and capability to engage in formulating policy.</w:t>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 xml:space="preserve">See note </w:t>
      </w:r>
      <w:r w:rsidRPr="00582553">
        <w:rPr>
          <w:rFonts w:ascii="Times New Roman" w:hAnsi="Times New Roman" w:cs="Times New Roman"/>
          <w:sz w:val="18"/>
          <w:szCs w:val="18"/>
          <w:lang w:val="en-IE"/>
        </w:rPr>
        <w:fldChar w:fldCharType="begin"/>
      </w:r>
      <w:r w:rsidRPr="00582553">
        <w:rPr>
          <w:rFonts w:ascii="Times New Roman" w:hAnsi="Times New Roman" w:cs="Times New Roman"/>
          <w:sz w:val="18"/>
          <w:szCs w:val="18"/>
          <w:lang w:val="en-IE"/>
        </w:rPr>
        <w:instrText xml:space="preserve"> NOTEREF _Ref147753663 \h  \* MERGEFORMAT </w:instrText>
      </w:r>
      <w:r w:rsidRPr="00582553">
        <w:rPr>
          <w:rFonts w:ascii="Times New Roman" w:hAnsi="Times New Roman" w:cs="Times New Roman"/>
          <w:sz w:val="18"/>
          <w:szCs w:val="18"/>
          <w:lang w:val="en-IE"/>
        </w:rPr>
      </w:r>
      <w:r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26</w:t>
      </w:r>
      <w:r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 page 16.</w:t>
      </w:r>
    </w:p>
  </w:footnote>
  <w:footnote w:id="122">
    <w:p w14:paraId="0C0700EC" w14:textId="77777777" w:rsidR="00E10EF7" w:rsidRPr="00582553" w:rsidRDefault="00E10EF7"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The concept is inspired by Article 3(3) of Regulation (EU) 2022/2560 of the European Parliament and of the Council of 14 December 2022 on foreign subsidies distorting the internal market.</w:t>
      </w:r>
    </w:p>
  </w:footnote>
  <w:footnote w:id="123">
    <w:p w14:paraId="03BB108A" w14:textId="1544623F" w:rsidR="00E10EF7" w:rsidRPr="00582553" w:rsidRDefault="00E10EF7"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This would cover </w:t>
      </w:r>
      <w:r w:rsidRPr="00582553">
        <w:rPr>
          <w:rFonts w:ascii="Times New Roman" w:eastAsia="Liberation Serif" w:hAnsi="Times New Roman" w:cs="Times New Roman"/>
          <w:sz w:val="18"/>
          <w:szCs w:val="18"/>
          <w:lang w:val="en-IE" w:eastAsia="en-US"/>
        </w:rPr>
        <w:t>instructions</w:t>
      </w:r>
      <w:r w:rsidRPr="00582553">
        <w:rPr>
          <w:rFonts w:ascii="Times New Roman" w:hAnsi="Times New Roman" w:cs="Times New Roman"/>
          <w:sz w:val="18"/>
          <w:szCs w:val="18"/>
        </w:rPr>
        <w:t xml:space="preserve"> by the government, th</w:t>
      </w:r>
      <w:r w:rsidR="00371A74">
        <w:rPr>
          <w:rFonts w:ascii="Times New Roman" w:hAnsi="Times New Roman" w:cs="Times New Roman"/>
          <w:sz w:val="18"/>
          <w:szCs w:val="18"/>
        </w:rPr>
        <w:t>r</w:t>
      </w:r>
      <w:r w:rsidRPr="00582553">
        <w:rPr>
          <w:rFonts w:ascii="Times New Roman" w:hAnsi="Times New Roman" w:cs="Times New Roman"/>
          <w:sz w:val="18"/>
          <w:szCs w:val="18"/>
        </w:rPr>
        <w:t>ough directives or legal requirements.</w:t>
      </w:r>
    </w:p>
  </w:footnote>
  <w:footnote w:id="124">
    <w:p w14:paraId="3A763774" w14:textId="77777777" w:rsidR="00E10EF7" w:rsidRPr="00582553" w:rsidRDefault="00E10EF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A government or a public authority would control an entity carrying interest representation where through economic rights, contractual arrangements, or any other means, either separately or combination confer the possibility of exercising decisive influence on that entity.</w:t>
      </w:r>
    </w:p>
  </w:footnote>
  <w:footnote w:id="125">
    <w:p w14:paraId="643A3541" w14:textId="77777777" w:rsidR="00E10EF7" w:rsidRPr="00582553" w:rsidRDefault="00E10EF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Using existing lists like government or government-linked entities not subject to EU restriction measures; third country whose nationals are not exempt from the requirement to be in possession of visas when crossing the external borders pursuant to Regulation (EU) 2018/1806; countries listed as a high-risk third country pursuant to Anti Money Laundering Directive would not solve this issue as criteria for establishing these lists are not linked to the propensity of these countries to engage in foreign interference.</w:t>
      </w:r>
    </w:p>
  </w:footnote>
  <w:footnote w:id="126">
    <w:p w14:paraId="0F4A31D8" w14:textId="77777777" w:rsidR="00E10EF7" w:rsidRPr="00582553" w:rsidRDefault="00E10EF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 xml:space="preserve">See by analogy judgment of the Court of Justice of 18 June 2020, </w:t>
      </w:r>
      <w:r w:rsidRPr="00582553">
        <w:rPr>
          <w:rFonts w:ascii="Times New Roman" w:hAnsi="Times New Roman" w:cs="Times New Roman"/>
          <w:i/>
          <w:sz w:val="18"/>
          <w:szCs w:val="18"/>
          <w:lang w:val="en-IE"/>
        </w:rPr>
        <w:t>Commission v. Hungary</w:t>
      </w:r>
      <w:r w:rsidRPr="00582553">
        <w:rPr>
          <w:rFonts w:ascii="Times New Roman" w:hAnsi="Times New Roman" w:cs="Times New Roman"/>
          <w:sz w:val="18"/>
          <w:szCs w:val="18"/>
          <w:lang w:val="en-IE"/>
        </w:rPr>
        <w:t>, C-78/18, paragraphs 86 to 93.</w:t>
      </w:r>
    </w:p>
  </w:footnote>
  <w:footnote w:id="127">
    <w:p w14:paraId="2C66D521" w14:textId="1AAC8FD7" w:rsidR="00E10EF7" w:rsidRPr="00582553" w:rsidRDefault="00E10EF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See note </w:t>
      </w:r>
      <w:r w:rsidRPr="00582553">
        <w:rPr>
          <w:rFonts w:ascii="Times New Roman" w:hAnsi="Times New Roman" w:cs="Times New Roman"/>
          <w:sz w:val="18"/>
          <w:szCs w:val="18"/>
        </w:rPr>
        <w:fldChar w:fldCharType="begin"/>
      </w:r>
      <w:r w:rsidRPr="00582553">
        <w:rPr>
          <w:rFonts w:ascii="Times New Roman" w:hAnsi="Times New Roman" w:cs="Times New Roman"/>
          <w:sz w:val="18"/>
          <w:szCs w:val="18"/>
        </w:rPr>
        <w:instrText xml:space="preserve"> NOTEREF _Ref147753663 \h  \* MERGEFORMAT </w:instrText>
      </w:r>
      <w:r w:rsidRPr="00582553">
        <w:rPr>
          <w:rFonts w:ascii="Times New Roman" w:hAnsi="Times New Roman" w:cs="Times New Roman"/>
          <w:sz w:val="18"/>
          <w:szCs w:val="18"/>
        </w:rPr>
      </w:r>
      <w:r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26</w:t>
      </w:r>
      <w:r w:rsidRPr="00582553">
        <w:rPr>
          <w:rFonts w:ascii="Times New Roman" w:hAnsi="Times New Roman" w:cs="Times New Roman"/>
          <w:sz w:val="18"/>
          <w:szCs w:val="18"/>
        </w:rPr>
        <w:fldChar w:fldCharType="end"/>
      </w:r>
      <w:r w:rsidRPr="00582553">
        <w:rPr>
          <w:rFonts w:ascii="Times New Roman" w:hAnsi="Times New Roman" w:cs="Times New Roman"/>
          <w:sz w:val="18"/>
          <w:szCs w:val="18"/>
        </w:rPr>
        <w:t>, page 43.</w:t>
      </w:r>
    </w:p>
  </w:footnote>
  <w:footnote w:id="128">
    <w:p w14:paraId="000B2C88" w14:textId="2F0F38A9" w:rsidR="00E10EF7" w:rsidRPr="00582553" w:rsidRDefault="00E10EF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See note </w:t>
      </w:r>
      <w:r w:rsidRPr="00582553">
        <w:rPr>
          <w:rFonts w:ascii="Times New Roman" w:hAnsi="Times New Roman" w:cs="Times New Roman"/>
          <w:sz w:val="18"/>
          <w:szCs w:val="18"/>
          <w:lang w:val="en-IE"/>
        </w:rPr>
        <w:fldChar w:fldCharType="begin"/>
      </w:r>
      <w:r w:rsidRPr="00582553">
        <w:rPr>
          <w:rFonts w:ascii="Times New Roman" w:hAnsi="Times New Roman" w:cs="Times New Roman"/>
          <w:sz w:val="18"/>
          <w:szCs w:val="18"/>
          <w:lang w:val="en-IE"/>
        </w:rPr>
        <w:instrText xml:space="preserve"> NOTEREF _Ref147753663 \h  \* MERGEFORMAT </w:instrText>
      </w:r>
      <w:r w:rsidRPr="00582553">
        <w:rPr>
          <w:rFonts w:ascii="Times New Roman" w:hAnsi="Times New Roman" w:cs="Times New Roman"/>
          <w:sz w:val="18"/>
          <w:szCs w:val="18"/>
          <w:lang w:val="en-IE"/>
        </w:rPr>
      </w:r>
      <w:r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26</w:t>
      </w:r>
      <w:r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 page 44.</w:t>
      </w:r>
    </w:p>
  </w:footnote>
  <w:footnote w:id="129">
    <w:p w14:paraId="47B81334" w14:textId="1A715A86" w:rsidR="00E10EF7" w:rsidRPr="00582553" w:rsidRDefault="00E10EF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See note </w:t>
      </w:r>
      <w:r w:rsidRPr="00582553">
        <w:rPr>
          <w:rFonts w:ascii="Times New Roman" w:hAnsi="Times New Roman" w:cs="Times New Roman"/>
          <w:sz w:val="18"/>
          <w:szCs w:val="18"/>
          <w:lang w:val="en-IE"/>
        </w:rPr>
        <w:fldChar w:fldCharType="begin"/>
      </w:r>
      <w:r w:rsidRPr="00582553">
        <w:rPr>
          <w:rFonts w:ascii="Times New Roman" w:hAnsi="Times New Roman" w:cs="Times New Roman"/>
          <w:sz w:val="18"/>
          <w:szCs w:val="18"/>
          <w:lang w:val="en-IE"/>
        </w:rPr>
        <w:instrText xml:space="preserve"> NOTEREF _Ref147753663 \h  \* MERGEFORMAT </w:instrText>
      </w:r>
      <w:r w:rsidRPr="00582553">
        <w:rPr>
          <w:rFonts w:ascii="Times New Roman" w:hAnsi="Times New Roman" w:cs="Times New Roman"/>
          <w:sz w:val="18"/>
          <w:szCs w:val="18"/>
          <w:lang w:val="en-IE"/>
        </w:rPr>
      </w:r>
      <w:r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26</w:t>
      </w:r>
      <w:r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 page 45.</w:t>
      </w:r>
    </w:p>
  </w:footnote>
  <w:footnote w:id="130">
    <w:p w14:paraId="7BC59BC3" w14:textId="77777777" w:rsidR="00E10EF7" w:rsidRPr="00582553" w:rsidRDefault="00E10EF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See Annex 4, sections 2.2 for details.</w:t>
      </w:r>
    </w:p>
  </w:footnote>
  <w:footnote w:id="131">
    <w:p w14:paraId="66F58891" w14:textId="77777777" w:rsidR="00E10EF7" w:rsidRPr="00582553" w:rsidRDefault="00E10EF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See Annex 4, sections 2.3 for details.</w:t>
      </w:r>
    </w:p>
  </w:footnote>
  <w:footnote w:id="132">
    <w:p w14:paraId="7484FEE9" w14:textId="77777777" w:rsidR="00E10EF7" w:rsidRPr="00582553" w:rsidRDefault="00E10EF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See Annex 9.</w:t>
      </w:r>
    </w:p>
  </w:footnote>
  <w:footnote w:id="133">
    <w:p w14:paraId="79735E12" w14:textId="77777777" w:rsidR="00371EFA" w:rsidRPr="00582553" w:rsidRDefault="00371EF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DE, IE, EL, FR, AT, RO and SI include CSOs in their national registers. In the EU transparency register 28% of registered entities are NGOs, platforms and networks and similar (3 506 out of 12 540 registration), in national transparency registers, Advocacy/charities represent 7.2% of all registered entities (873 out of 12 199 entities), see Annex 4, section 2.1 for details. </w:t>
      </w:r>
    </w:p>
  </w:footnote>
  <w:footnote w:id="134">
    <w:p w14:paraId="59ECC290" w14:textId="2E9AAD75" w:rsidR="00371EFA" w:rsidRPr="00582553" w:rsidRDefault="00371EF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4 Member States (out of 15) propose to exclude some other entities from the scope. 2 of them want to exclude organisations presenting certain group-specific interests like chambers of commerce or trade unions, 2 would like to do the same for entities that carry out activities at the instigation of a functionary (e.g. responses to a public consultation), and 1 Member State wants to exempt activities related to the protection of human rights and fundamental freedoms from the transparency requirements</w:t>
      </w:r>
      <w:r w:rsidR="00894967">
        <w:rPr>
          <w:rFonts w:ascii="Times New Roman" w:hAnsi="Times New Roman" w:cs="Times New Roman"/>
          <w:sz w:val="18"/>
          <w:szCs w:val="18"/>
        </w:rPr>
        <w:t>.</w:t>
      </w:r>
    </w:p>
  </w:footnote>
  <w:footnote w:id="135">
    <w:p w14:paraId="478B230A" w14:textId="3348EF55" w:rsidR="00672B45" w:rsidRPr="00582553" w:rsidRDefault="00672B45"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r>
      <w:r w:rsidR="009E26B2">
        <w:rPr>
          <w:rFonts w:ascii="Times New Roman" w:hAnsi="Times New Roman" w:cs="Times New Roman"/>
          <w:sz w:val="18"/>
          <w:szCs w:val="18"/>
          <w:lang w:val="en-IE"/>
        </w:rPr>
        <w:t>The d</w:t>
      </w:r>
      <w:r w:rsidRPr="00582553">
        <w:rPr>
          <w:rFonts w:ascii="Times New Roman" w:hAnsi="Times New Roman" w:cs="Times New Roman"/>
          <w:sz w:val="18"/>
          <w:szCs w:val="18"/>
          <w:lang w:val="en-IE"/>
        </w:rPr>
        <w:t xml:space="preserve">efinition is inspired by Article 3(1) of the interinstitutional agreement of 20 May 2021 between the European </w:t>
      </w:r>
      <w:r w:rsidR="009E26B2">
        <w:rPr>
          <w:rFonts w:ascii="Times New Roman" w:hAnsi="Times New Roman" w:cs="Times New Roman"/>
          <w:sz w:val="18"/>
          <w:szCs w:val="18"/>
          <w:lang w:val="en-IE"/>
        </w:rPr>
        <w:t>P</w:t>
      </w:r>
      <w:r w:rsidRPr="00582553">
        <w:rPr>
          <w:rFonts w:ascii="Times New Roman" w:hAnsi="Times New Roman" w:cs="Times New Roman"/>
          <w:sz w:val="18"/>
          <w:szCs w:val="18"/>
          <w:lang w:val="en-IE"/>
        </w:rPr>
        <w:t>arliament, the Council of the European Union and the European Commission on a mandatory transparency register.</w:t>
      </w:r>
    </w:p>
  </w:footnote>
  <w:footnote w:id="136">
    <w:p w14:paraId="3FCC0D40" w14:textId="6A905D39" w:rsidR="00672B45" w:rsidRPr="00582553" w:rsidRDefault="00672B45"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A clear and substantial link should exist between the activity and the likelihood that it would influence a public decision-making process in the Union. Account should be taken of factors such as the content of the activity, the context in which it is conducted, its objective, the means by which it is carried out, or whether the activity is part of a systematic or sustained campaign. The activities covered should not be limited to activities with the objective to promote a change in a given policy, legislation but should also cover activities aiming to maintain the status quo.</w:t>
      </w:r>
    </w:p>
  </w:footnote>
  <w:footnote w:id="137">
    <w:p w14:paraId="12252931" w14:textId="6C621F19" w:rsidR="00672B45" w:rsidRPr="00582553" w:rsidRDefault="00672B45"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As highlighted by the OECD: “</w:t>
      </w:r>
      <w:r w:rsidRPr="00582553">
        <w:rPr>
          <w:rFonts w:ascii="Times New Roman" w:hAnsi="Times New Roman" w:cs="Times New Roman"/>
          <w:i/>
          <w:iCs/>
          <w:sz w:val="18"/>
          <w:szCs w:val="18"/>
        </w:rPr>
        <w:t>One way in which different interests influence government policies is through financing third-party organisations, such as think tanks, research institutions or research more generally, and grassroots organisations. The aim is to contribute expert opinions, evidence and data, and public mobilisation to the policy-making process. As with any other form of lobbying, however, there is a risk of undue influence. (…) This increases the risk of providing biased or false information, with the aim of misleading or confusing public opinion or public officials</w:t>
      </w:r>
      <w:r w:rsidRPr="00582553">
        <w:rPr>
          <w:rFonts w:ascii="Times New Roman" w:hAnsi="Times New Roman" w:cs="Times New Roman"/>
          <w:sz w:val="18"/>
          <w:szCs w:val="18"/>
        </w:rPr>
        <w:t>”, s</w:t>
      </w:r>
      <w:r w:rsidRPr="00582553">
        <w:rPr>
          <w:rFonts w:ascii="Times New Roman" w:hAnsi="Times New Roman" w:cs="Times New Roman"/>
          <w:sz w:val="18"/>
          <w:szCs w:val="18"/>
          <w:lang w:val="en-IE"/>
        </w:rPr>
        <w:t xml:space="preserve">ee note </w:t>
      </w:r>
      <w:r w:rsidRPr="00582553">
        <w:rPr>
          <w:rFonts w:ascii="Times New Roman" w:hAnsi="Times New Roman" w:cs="Times New Roman"/>
          <w:sz w:val="18"/>
          <w:szCs w:val="18"/>
          <w:lang w:val="en-IE"/>
        </w:rPr>
        <w:fldChar w:fldCharType="begin"/>
      </w:r>
      <w:r w:rsidRPr="00582553">
        <w:rPr>
          <w:rFonts w:ascii="Times New Roman" w:hAnsi="Times New Roman" w:cs="Times New Roman"/>
          <w:sz w:val="18"/>
          <w:szCs w:val="18"/>
          <w:lang w:val="en-IE"/>
        </w:rPr>
        <w:instrText xml:space="preserve"> NOTEREF _Ref147753663 \h  \* MERGEFORMAT </w:instrText>
      </w:r>
      <w:r w:rsidRPr="00582553">
        <w:rPr>
          <w:rFonts w:ascii="Times New Roman" w:hAnsi="Times New Roman" w:cs="Times New Roman"/>
          <w:sz w:val="18"/>
          <w:szCs w:val="18"/>
          <w:lang w:val="en-IE"/>
        </w:rPr>
      </w:r>
      <w:r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26</w:t>
      </w:r>
      <w:r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 page 53. The OECD also notes that foreign governments “</w:t>
      </w:r>
      <w:r w:rsidRPr="00582553">
        <w:rPr>
          <w:rFonts w:ascii="Times New Roman" w:hAnsi="Times New Roman" w:cs="Times New Roman"/>
          <w:i/>
          <w:iCs/>
          <w:sz w:val="18"/>
          <w:szCs w:val="18"/>
        </w:rPr>
        <w:t>may also fund grassroots organisations, foundations, academic institutions and think tanks to produce evidence supporting their goals</w:t>
      </w:r>
      <w:r w:rsidRPr="00582553">
        <w:rPr>
          <w:rFonts w:ascii="Times New Roman" w:hAnsi="Times New Roman" w:cs="Times New Roman"/>
          <w:sz w:val="18"/>
          <w:szCs w:val="18"/>
        </w:rPr>
        <w:t xml:space="preserve">”, </w:t>
      </w:r>
      <w:r w:rsidRPr="00582553">
        <w:rPr>
          <w:rFonts w:ascii="Times New Roman" w:hAnsi="Times New Roman" w:cs="Times New Roman"/>
          <w:i/>
          <w:iCs/>
          <w:sz w:val="18"/>
          <w:szCs w:val="18"/>
        </w:rPr>
        <w:t>ibid</w:t>
      </w:r>
      <w:r w:rsidRPr="00582553">
        <w:rPr>
          <w:rFonts w:ascii="Times New Roman" w:hAnsi="Times New Roman" w:cs="Times New Roman"/>
          <w:sz w:val="18"/>
          <w:szCs w:val="18"/>
        </w:rPr>
        <w:t>, page 44.</w:t>
      </w:r>
    </w:p>
  </w:footnote>
  <w:footnote w:id="138">
    <w:p w14:paraId="36AA0795" w14:textId="537F7E07" w:rsidR="00672B45" w:rsidRPr="00582553" w:rsidRDefault="00672B45"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 xml:space="preserve">The distinction between interest representation activities of legal and other professionals and advice in the course of legal proceedings would be based on the distinction established in Article 4(1)(a) of the interinstitutional agreement on a mandatory transparency register. Legal advice and other professional advice are defined as advice in order to help ensure that entities and their activities comply with existing legal requirements or to represent an entity in judicial or extra-judicial proceedings. That means, while law firms are excluded from the scope of the legislative intervention when giving such advice, they still fall within the scope if they conduct interest representation activities on behalf of a third country like lobbying. </w:t>
      </w:r>
    </w:p>
  </w:footnote>
  <w:footnote w:id="139">
    <w:p w14:paraId="33F19D3F" w14:textId="115F5357" w:rsidR="00672B45" w:rsidRPr="00582553" w:rsidRDefault="00672B45" w:rsidP="00582553">
      <w:pPr>
        <w:pStyle w:val="FootnoteText"/>
        <w:spacing w:after="0"/>
        <w:ind w:left="284" w:hanging="284"/>
        <w:rPr>
          <w:rFonts w:ascii="Times New Roman" w:hAnsi="Times New Roman" w:cs="Times New Roman"/>
          <w:b/>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582553">
        <w:rPr>
          <w:rFonts w:ascii="Times New Roman" w:hAnsi="Times New Roman" w:cs="Times New Roman"/>
          <w:sz w:val="18"/>
          <w:szCs w:val="18"/>
        </w:rPr>
        <w:tab/>
      </w:r>
      <w:r w:rsidRPr="00582553">
        <w:rPr>
          <w:rFonts w:ascii="Times New Roman" w:hAnsi="Times New Roman" w:cs="Times New Roman"/>
          <w:sz w:val="18"/>
          <w:szCs w:val="18"/>
          <w:lang w:val="en-IE"/>
        </w:rPr>
        <w:t xml:space="preserve">E.g. </w:t>
      </w:r>
      <w:r w:rsidRPr="00582553">
        <w:rPr>
          <w:rFonts w:ascii="Times New Roman" w:hAnsi="Times New Roman" w:cs="Times New Roman"/>
          <w:sz w:val="18"/>
          <w:szCs w:val="18"/>
        </w:rPr>
        <w:t>bribery of public officials on behalf of a third country or corruption (addressed by other initiatives, see e.g. Article 7 of the Proposal for a Directive on combating corruption, COM/2023/234 final). The harmonised transparency requirements could however support the detection and prosecution of such illegal behaviours by relevant competent authorities, including the circumvention of sanctions where interest representation activities are carried out for or on behalf of an entity subject to restrictive measures.</w:t>
      </w:r>
    </w:p>
  </w:footnote>
  <w:footnote w:id="140">
    <w:p w14:paraId="572A439D" w14:textId="2A1CE2C4" w:rsidR="00672B45" w:rsidRPr="00582553" w:rsidRDefault="00672B45"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Ju</w:t>
      </w:r>
      <w:r w:rsidRPr="00582553">
        <w:rPr>
          <w:rFonts w:ascii="Times New Roman" w:hAnsi="Times New Roman" w:cs="Times New Roman"/>
          <w:sz w:val="18"/>
          <w:szCs w:val="18"/>
          <w:lang w:val="en-IE"/>
        </w:rPr>
        <w:t>dg</w:t>
      </w:r>
      <w:r w:rsidR="00A37894">
        <w:rPr>
          <w:rFonts w:ascii="Times New Roman" w:hAnsi="Times New Roman" w:cs="Times New Roman"/>
          <w:sz w:val="18"/>
          <w:szCs w:val="18"/>
          <w:lang w:val="en-IE"/>
        </w:rPr>
        <w:t>e</w:t>
      </w:r>
      <w:r w:rsidRPr="00582553">
        <w:rPr>
          <w:rFonts w:ascii="Times New Roman" w:hAnsi="Times New Roman" w:cs="Times New Roman"/>
          <w:sz w:val="18"/>
          <w:szCs w:val="18"/>
          <w:lang w:val="en-IE"/>
        </w:rPr>
        <w:t xml:space="preserve">ment of the Court of Justice of </w:t>
      </w:r>
      <w:r w:rsidRPr="00582553">
        <w:rPr>
          <w:rFonts w:ascii="Times New Roman" w:hAnsi="Times New Roman" w:cs="Times New Roman"/>
          <w:sz w:val="18"/>
          <w:szCs w:val="18"/>
        </w:rPr>
        <w:t>27 June 2017</w:t>
      </w:r>
      <w:r w:rsidRPr="00582553">
        <w:rPr>
          <w:rFonts w:ascii="Times New Roman" w:hAnsi="Times New Roman" w:cs="Times New Roman"/>
          <w:sz w:val="18"/>
          <w:szCs w:val="18"/>
          <w:lang w:val="en-IE"/>
        </w:rPr>
        <w:t>, </w:t>
      </w:r>
      <w:r w:rsidRPr="00582553">
        <w:rPr>
          <w:rFonts w:ascii="Times New Roman" w:hAnsi="Times New Roman" w:cs="Times New Roman"/>
          <w:i/>
          <w:sz w:val="18"/>
          <w:szCs w:val="18"/>
          <w:lang w:val="en-IE"/>
        </w:rPr>
        <w:t>Congregación de Escuelas Pías Provincia Betania</w:t>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rPr>
        <w:t>C‑74/16</w:t>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rPr>
        <w:t>EU:C:2017:496</w:t>
      </w:r>
      <w:r w:rsidRPr="00582553">
        <w:rPr>
          <w:rFonts w:ascii="Times New Roman" w:hAnsi="Times New Roman" w:cs="Times New Roman"/>
          <w:sz w:val="18"/>
          <w:szCs w:val="18"/>
          <w:lang w:val="en-IE"/>
        </w:rPr>
        <w:t>, paragraph 47 and the case-law cited.</w:t>
      </w:r>
    </w:p>
  </w:footnote>
  <w:footnote w:id="141">
    <w:p w14:paraId="0B70D40D" w14:textId="06A92758" w:rsidR="00672B45" w:rsidRPr="00582553" w:rsidRDefault="00672B45" w:rsidP="00582553">
      <w:pPr>
        <w:pStyle w:val="FootnoteText"/>
        <w:ind w:left="284" w:hanging="284"/>
        <w:rPr>
          <w:sz w:val="18"/>
          <w:szCs w:val="18"/>
        </w:rPr>
      </w:pPr>
      <w:r w:rsidRPr="00582553">
        <w:rPr>
          <w:rStyle w:val="FootnoteReference"/>
          <w:sz w:val="18"/>
          <w:szCs w:val="18"/>
        </w:rPr>
        <w:footnoteRef/>
      </w:r>
      <w:r w:rsidRPr="00582553">
        <w:rPr>
          <w:sz w:val="18"/>
          <w:szCs w:val="18"/>
        </w:rPr>
        <w:t xml:space="preserve"> </w:t>
      </w:r>
      <w:r w:rsidR="007D7407">
        <w:rPr>
          <w:sz w:val="18"/>
          <w:szCs w:val="18"/>
        </w:rPr>
        <w:tab/>
      </w:r>
      <w:r w:rsidRPr="00582553">
        <w:rPr>
          <w:sz w:val="18"/>
          <w:szCs w:val="18"/>
        </w:rPr>
        <w:t>In such situations, the interest representation services provider would be responsible for estimating the value of the benefit received, for example by reporting it using the market rate.</w:t>
      </w:r>
    </w:p>
  </w:footnote>
  <w:footnote w:id="142">
    <w:p w14:paraId="237012C7" w14:textId="2BD39E57" w:rsidR="00A96941" w:rsidRPr="00582553" w:rsidRDefault="00A96941"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r>
      <w:r w:rsidR="00805E85" w:rsidRPr="00582553">
        <w:rPr>
          <w:rFonts w:ascii="Times New Roman" w:hAnsi="Times New Roman" w:cs="Times New Roman"/>
          <w:sz w:val="18"/>
          <w:szCs w:val="18"/>
          <w:lang w:val="en-IE"/>
        </w:rPr>
        <w:t>10</w:t>
      </w:r>
      <w:r w:rsidRPr="00582553">
        <w:rPr>
          <w:rFonts w:ascii="Times New Roman" w:hAnsi="Times New Roman" w:cs="Times New Roman"/>
          <w:sz w:val="18"/>
          <w:szCs w:val="18"/>
          <w:lang w:val="en-IE"/>
        </w:rPr>
        <w:t xml:space="preserve"> Member States </w:t>
      </w:r>
      <w:r w:rsidR="00B04860" w:rsidRPr="00582553">
        <w:rPr>
          <w:rFonts w:ascii="Times New Roman" w:hAnsi="Times New Roman" w:cs="Times New Roman"/>
          <w:sz w:val="18"/>
          <w:szCs w:val="18"/>
          <w:lang w:val="en-IE"/>
        </w:rPr>
        <w:t xml:space="preserve">(out of 15) </w:t>
      </w:r>
      <w:r w:rsidRPr="00582553">
        <w:rPr>
          <w:rFonts w:ascii="Times New Roman" w:hAnsi="Times New Roman" w:cs="Times New Roman"/>
          <w:sz w:val="18"/>
          <w:szCs w:val="18"/>
          <w:lang w:val="en-IE"/>
        </w:rPr>
        <w:t>have pointed out that it is in the interest of the general public to have more transparent and accessible information about interest representation activities carried out in the EU on behalf of third countries.</w:t>
      </w:r>
    </w:p>
  </w:footnote>
  <w:footnote w:id="143">
    <w:p w14:paraId="45825444" w14:textId="6489D9B3" w:rsidR="008274BE" w:rsidRPr="00582553" w:rsidRDefault="008274BE"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r>
      <w:r w:rsidR="009379BB" w:rsidRPr="00582553">
        <w:rPr>
          <w:rFonts w:ascii="Times New Roman" w:hAnsi="Times New Roman" w:cs="Times New Roman"/>
          <w:sz w:val="18"/>
          <w:szCs w:val="18"/>
          <w:lang w:val="en-IE"/>
        </w:rPr>
        <w:t>3</w:t>
      </w:r>
      <w:r w:rsidR="004C1947" w:rsidRPr="00582553">
        <w:rPr>
          <w:rFonts w:ascii="Times New Roman" w:hAnsi="Times New Roman" w:cs="Times New Roman"/>
          <w:sz w:val="18"/>
          <w:szCs w:val="18"/>
          <w:lang w:val="en-IE"/>
        </w:rPr>
        <w:t xml:space="preserve"> </w:t>
      </w:r>
      <w:r w:rsidR="005C09EF" w:rsidRPr="00582553">
        <w:rPr>
          <w:rFonts w:ascii="Times New Roman" w:hAnsi="Times New Roman" w:cs="Times New Roman"/>
          <w:sz w:val="18"/>
          <w:szCs w:val="18"/>
          <w:lang w:val="en-IE"/>
        </w:rPr>
        <w:t>M</w:t>
      </w:r>
      <w:r w:rsidRPr="00582553">
        <w:rPr>
          <w:rFonts w:ascii="Times New Roman" w:hAnsi="Times New Roman" w:cs="Times New Roman"/>
          <w:sz w:val="18"/>
          <w:szCs w:val="18"/>
          <w:lang w:val="en-IE"/>
        </w:rPr>
        <w:t xml:space="preserve">ember </w:t>
      </w:r>
      <w:r w:rsidR="001C7353" w:rsidRPr="00582553">
        <w:rPr>
          <w:rFonts w:ascii="Times New Roman" w:hAnsi="Times New Roman" w:cs="Times New Roman"/>
          <w:sz w:val="18"/>
          <w:szCs w:val="18"/>
          <w:lang w:val="en-IE"/>
        </w:rPr>
        <w:t>S</w:t>
      </w:r>
      <w:r w:rsidRPr="00582553">
        <w:rPr>
          <w:rFonts w:ascii="Times New Roman" w:hAnsi="Times New Roman" w:cs="Times New Roman"/>
          <w:sz w:val="18"/>
          <w:szCs w:val="18"/>
          <w:lang w:val="en-IE"/>
        </w:rPr>
        <w:t xml:space="preserve">tates </w:t>
      </w:r>
      <w:r w:rsidR="00B04860" w:rsidRPr="00582553">
        <w:rPr>
          <w:rFonts w:ascii="Times New Roman" w:hAnsi="Times New Roman" w:cs="Times New Roman"/>
          <w:sz w:val="18"/>
          <w:szCs w:val="18"/>
          <w:lang w:val="en-IE"/>
        </w:rPr>
        <w:t xml:space="preserve">(out of 15) </w:t>
      </w:r>
      <w:r w:rsidRPr="00582553">
        <w:rPr>
          <w:rFonts w:ascii="Times New Roman" w:hAnsi="Times New Roman" w:cs="Times New Roman"/>
          <w:sz w:val="18"/>
          <w:szCs w:val="18"/>
          <w:lang w:val="en-IE"/>
        </w:rPr>
        <w:t>have expressed</w:t>
      </w:r>
      <w:r w:rsidR="00647742" w:rsidRPr="00582553">
        <w:rPr>
          <w:rFonts w:ascii="Times New Roman" w:hAnsi="Times New Roman" w:cs="Times New Roman"/>
          <w:sz w:val="18"/>
          <w:szCs w:val="18"/>
          <w:lang w:val="en-IE"/>
        </w:rPr>
        <w:t xml:space="preserve"> preference for</w:t>
      </w:r>
      <w:r w:rsidR="009379BB" w:rsidRPr="00582553">
        <w:rPr>
          <w:rFonts w:ascii="Times New Roman" w:hAnsi="Times New Roman" w:cs="Times New Roman"/>
          <w:sz w:val="18"/>
          <w:szCs w:val="18"/>
          <w:lang w:val="en-IE"/>
        </w:rPr>
        <w:t xml:space="preserve"> this option. An additional 2 Member State seem to prefer a </w:t>
      </w:r>
      <w:r w:rsidR="00EF6322" w:rsidRPr="00582553">
        <w:rPr>
          <w:rFonts w:ascii="Times New Roman" w:hAnsi="Times New Roman" w:cs="Times New Roman"/>
          <w:sz w:val="18"/>
          <w:szCs w:val="18"/>
          <w:lang w:val="en-IE"/>
        </w:rPr>
        <w:t>r</w:t>
      </w:r>
      <w:r w:rsidR="009379BB" w:rsidRPr="00582553">
        <w:rPr>
          <w:rFonts w:ascii="Times New Roman" w:hAnsi="Times New Roman" w:cs="Times New Roman"/>
          <w:sz w:val="18"/>
          <w:szCs w:val="18"/>
          <w:lang w:val="en-IE"/>
        </w:rPr>
        <w:t>ecommendation</w:t>
      </w:r>
      <w:r w:rsidR="00EF6322" w:rsidRPr="00582553">
        <w:rPr>
          <w:rFonts w:ascii="Times New Roman" w:hAnsi="Times New Roman" w:cs="Times New Roman"/>
          <w:sz w:val="18"/>
          <w:szCs w:val="18"/>
          <w:lang w:val="en-IE"/>
        </w:rPr>
        <w:t xml:space="preserve"> instead of a legislative intervention as well</w:t>
      </w:r>
      <w:r w:rsidR="009379BB" w:rsidRPr="00582553">
        <w:rPr>
          <w:rFonts w:ascii="Times New Roman" w:hAnsi="Times New Roman" w:cs="Times New Roman"/>
          <w:sz w:val="18"/>
          <w:szCs w:val="18"/>
          <w:lang w:val="en-IE"/>
        </w:rPr>
        <w:t xml:space="preserve">. Only 1 CSO </w:t>
      </w:r>
      <w:r w:rsidR="00B04860" w:rsidRPr="00582553">
        <w:rPr>
          <w:rFonts w:ascii="Times New Roman" w:hAnsi="Times New Roman" w:cs="Times New Roman"/>
          <w:sz w:val="18"/>
          <w:szCs w:val="18"/>
          <w:lang w:val="en-IE"/>
        </w:rPr>
        <w:t xml:space="preserve">(out of 11) </w:t>
      </w:r>
      <w:r w:rsidR="009379BB" w:rsidRPr="00582553">
        <w:rPr>
          <w:rFonts w:ascii="Times New Roman" w:hAnsi="Times New Roman" w:cs="Times New Roman"/>
          <w:sz w:val="18"/>
          <w:szCs w:val="18"/>
          <w:lang w:val="en-IE"/>
        </w:rPr>
        <w:t>prefers this option and none of the indust</w:t>
      </w:r>
      <w:r w:rsidR="00AE02F1" w:rsidRPr="00582553">
        <w:rPr>
          <w:rFonts w:ascii="Times New Roman" w:hAnsi="Times New Roman" w:cs="Times New Roman"/>
          <w:sz w:val="18"/>
          <w:szCs w:val="18"/>
          <w:lang w:val="en-IE"/>
        </w:rPr>
        <w:t>ry supports it</w:t>
      </w:r>
      <w:r w:rsidR="00647742" w:rsidRPr="00582553">
        <w:rPr>
          <w:rFonts w:ascii="Times New Roman" w:hAnsi="Times New Roman" w:cs="Times New Roman"/>
          <w:sz w:val="18"/>
          <w:szCs w:val="18"/>
          <w:lang w:val="en-IE"/>
        </w:rPr>
        <w:t>.</w:t>
      </w:r>
    </w:p>
  </w:footnote>
  <w:footnote w:id="144">
    <w:p w14:paraId="764BCFEC" w14:textId="03356B53" w:rsidR="00647742" w:rsidRPr="00582553" w:rsidRDefault="00647742"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r>
      <w:r w:rsidR="004C1947" w:rsidRPr="00582553">
        <w:rPr>
          <w:rFonts w:ascii="Times New Roman" w:hAnsi="Times New Roman" w:cs="Times New Roman"/>
          <w:sz w:val="18"/>
          <w:szCs w:val="18"/>
          <w:lang w:val="en-IE"/>
        </w:rPr>
        <w:t xml:space="preserve">6 </w:t>
      </w:r>
      <w:r w:rsidRPr="00582553">
        <w:rPr>
          <w:rFonts w:ascii="Times New Roman" w:hAnsi="Times New Roman" w:cs="Times New Roman"/>
          <w:sz w:val="18"/>
          <w:szCs w:val="18"/>
          <w:lang w:val="en-IE"/>
        </w:rPr>
        <w:t xml:space="preserve">Member </w:t>
      </w:r>
      <w:r w:rsidR="001C03C7" w:rsidRPr="00582553">
        <w:rPr>
          <w:rFonts w:ascii="Times New Roman" w:hAnsi="Times New Roman" w:cs="Times New Roman"/>
          <w:sz w:val="18"/>
          <w:szCs w:val="18"/>
          <w:lang w:val="en-IE"/>
        </w:rPr>
        <w:t>S</w:t>
      </w:r>
      <w:r w:rsidRPr="00582553">
        <w:rPr>
          <w:rFonts w:ascii="Times New Roman" w:hAnsi="Times New Roman" w:cs="Times New Roman"/>
          <w:sz w:val="18"/>
          <w:szCs w:val="18"/>
          <w:lang w:val="en-IE"/>
        </w:rPr>
        <w:t>tates</w:t>
      </w:r>
      <w:r w:rsidR="0077589F" w:rsidRPr="00582553">
        <w:rPr>
          <w:rFonts w:ascii="Times New Roman" w:hAnsi="Times New Roman" w:cs="Times New Roman"/>
          <w:sz w:val="18"/>
          <w:szCs w:val="18"/>
          <w:lang w:val="en-IE"/>
        </w:rPr>
        <w:t xml:space="preserve"> (out of 15)</w:t>
      </w:r>
      <w:r w:rsidRPr="00582553">
        <w:rPr>
          <w:rFonts w:ascii="Times New Roman" w:hAnsi="Times New Roman" w:cs="Times New Roman"/>
          <w:sz w:val="18"/>
          <w:szCs w:val="18"/>
          <w:lang w:val="en-IE"/>
        </w:rPr>
        <w:t xml:space="preserve"> have </w:t>
      </w:r>
      <w:r w:rsidR="001C03C7" w:rsidRPr="00582553">
        <w:rPr>
          <w:rFonts w:ascii="Times New Roman" w:hAnsi="Times New Roman" w:cs="Times New Roman"/>
          <w:sz w:val="18"/>
          <w:szCs w:val="18"/>
          <w:lang w:val="en-IE"/>
        </w:rPr>
        <w:t xml:space="preserve">explicitly </w:t>
      </w:r>
      <w:r w:rsidRPr="00582553">
        <w:rPr>
          <w:rFonts w:ascii="Times New Roman" w:hAnsi="Times New Roman" w:cs="Times New Roman"/>
          <w:sz w:val="18"/>
          <w:szCs w:val="18"/>
          <w:lang w:val="en-IE"/>
        </w:rPr>
        <w:t>expressed preference for harmonised requirements at EU level</w:t>
      </w:r>
      <w:r w:rsidR="00EF6322" w:rsidRPr="00582553">
        <w:rPr>
          <w:rFonts w:ascii="Times New Roman" w:hAnsi="Times New Roman" w:cs="Times New Roman"/>
          <w:sz w:val="18"/>
          <w:szCs w:val="18"/>
          <w:lang w:val="en-IE"/>
        </w:rPr>
        <w:t>.</w:t>
      </w:r>
      <w:r w:rsidR="001C03C7" w:rsidRPr="00582553">
        <w:rPr>
          <w:rFonts w:ascii="Times New Roman" w:hAnsi="Times New Roman" w:cs="Times New Roman"/>
          <w:sz w:val="18"/>
          <w:szCs w:val="18"/>
          <w:lang w:val="en-IE"/>
        </w:rPr>
        <w:t xml:space="preserve"> </w:t>
      </w:r>
      <w:r w:rsidR="00EF6322" w:rsidRPr="00582553">
        <w:rPr>
          <w:rFonts w:ascii="Times New Roman" w:hAnsi="Times New Roman" w:cs="Times New Roman"/>
          <w:sz w:val="18"/>
          <w:szCs w:val="18"/>
          <w:lang w:val="en-IE"/>
        </w:rPr>
        <w:t>A</w:t>
      </w:r>
      <w:r w:rsidR="001C03C7" w:rsidRPr="00582553">
        <w:rPr>
          <w:rFonts w:ascii="Times New Roman" w:hAnsi="Times New Roman" w:cs="Times New Roman"/>
          <w:sz w:val="18"/>
          <w:szCs w:val="18"/>
          <w:lang w:val="en-IE"/>
        </w:rPr>
        <w:t xml:space="preserve">n additional </w:t>
      </w:r>
      <w:r w:rsidR="003C4231" w:rsidRPr="00582553">
        <w:rPr>
          <w:rFonts w:ascii="Times New Roman" w:hAnsi="Times New Roman" w:cs="Times New Roman"/>
          <w:sz w:val="18"/>
          <w:szCs w:val="18"/>
          <w:lang w:val="en-IE"/>
        </w:rPr>
        <w:t xml:space="preserve">3 </w:t>
      </w:r>
      <w:r w:rsidR="001C03C7" w:rsidRPr="00582553">
        <w:rPr>
          <w:rFonts w:ascii="Times New Roman" w:hAnsi="Times New Roman" w:cs="Times New Roman"/>
          <w:sz w:val="18"/>
          <w:szCs w:val="18"/>
          <w:lang w:val="en-IE"/>
        </w:rPr>
        <w:t>Member State</w:t>
      </w:r>
      <w:r w:rsidR="0077589F" w:rsidRPr="00582553">
        <w:rPr>
          <w:rFonts w:ascii="Times New Roman" w:hAnsi="Times New Roman" w:cs="Times New Roman"/>
          <w:sz w:val="18"/>
          <w:szCs w:val="18"/>
          <w:lang w:val="en-IE"/>
        </w:rPr>
        <w:t>s</w:t>
      </w:r>
      <w:r w:rsidR="00A7090D" w:rsidRPr="00582553">
        <w:rPr>
          <w:rFonts w:ascii="Times New Roman" w:hAnsi="Times New Roman" w:cs="Times New Roman"/>
          <w:sz w:val="18"/>
          <w:szCs w:val="18"/>
          <w:lang w:val="en-IE"/>
        </w:rPr>
        <w:t xml:space="preserve"> have expressed support for requirements that would require a </w:t>
      </w:r>
      <w:r w:rsidR="00622965" w:rsidRPr="00582553">
        <w:rPr>
          <w:rFonts w:ascii="Times New Roman" w:hAnsi="Times New Roman" w:cs="Times New Roman"/>
          <w:sz w:val="18"/>
          <w:szCs w:val="18"/>
          <w:lang w:val="en-IE"/>
        </w:rPr>
        <w:t xml:space="preserve">legislative intervention. </w:t>
      </w:r>
      <w:r w:rsidR="00A17288" w:rsidRPr="00582553">
        <w:rPr>
          <w:rFonts w:ascii="Times New Roman" w:hAnsi="Times New Roman" w:cs="Times New Roman"/>
          <w:sz w:val="18"/>
          <w:szCs w:val="18"/>
          <w:lang w:val="en-IE"/>
        </w:rPr>
        <w:t>4</w:t>
      </w:r>
      <w:r w:rsidR="00CE528F" w:rsidRPr="00582553">
        <w:rPr>
          <w:rFonts w:ascii="Times New Roman" w:hAnsi="Times New Roman" w:cs="Times New Roman"/>
          <w:sz w:val="18"/>
          <w:szCs w:val="18"/>
          <w:lang w:val="en-IE"/>
        </w:rPr>
        <w:t xml:space="preserve"> CSOs</w:t>
      </w:r>
      <w:r w:rsidR="00814AD8" w:rsidRPr="00582553">
        <w:rPr>
          <w:rFonts w:ascii="Times New Roman" w:hAnsi="Times New Roman" w:cs="Times New Roman"/>
          <w:sz w:val="18"/>
          <w:szCs w:val="18"/>
          <w:lang w:val="en-IE"/>
        </w:rPr>
        <w:t xml:space="preserve"> </w:t>
      </w:r>
      <w:r w:rsidR="0077589F" w:rsidRPr="00582553">
        <w:rPr>
          <w:rFonts w:ascii="Times New Roman" w:hAnsi="Times New Roman" w:cs="Times New Roman"/>
          <w:sz w:val="18"/>
          <w:szCs w:val="18"/>
          <w:lang w:val="en-IE"/>
        </w:rPr>
        <w:t xml:space="preserve">(out of 11) </w:t>
      </w:r>
      <w:r w:rsidR="00814AD8" w:rsidRPr="00582553">
        <w:rPr>
          <w:rFonts w:ascii="Times New Roman" w:hAnsi="Times New Roman" w:cs="Times New Roman"/>
          <w:sz w:val="18"/>
          <w:szCs w:val="18"/>
          <w:lang w:val="en-IE"/>
        </w:rPr>
        <w:t xml:space="preserve">are explicitly against </w:t>
      </w:r>
      <w:r w:rsidR="00C96365" w:rsidRPr="00582553">
        <w:rPr>
          <w:rFonts w:ascii="Times New Roman" w:hAnsi="Times New Roman" w:cs="Times New Roman"/>
          <w:sz w:val="18"/>
          <w:szCs w:val="18"/>
          <w:lang w:val="en-IE"/>
        </w:rPr>
        <w:t xml:space="preserve">such legislative intervention while </w:t>
      </w:r>
      <w:r w:rsidR="00A17288" w:rsidRPr="00582553">
        <w:rPr>
          <w:rFonts w:ascii="Times New Roman" w:hAnsi="Times New Roman" w:cs="Times New Roman"/>
          <w:sz w:val="18"/>
          <w:szCs w:val="18"/>
          <w:lang w:val="en-IE"/>
        </w:rPr>
        <w:t>2</w:t>
      </w:r>
      <w:r w:rsidR="00C96365" w:rsidRPr="00582553">
        <w:rPr>
          <w:rFonts w:ascii="Times New Roman" w:hAnsi="Times New Roman" w:cs="Times New Roman"/>
          <w:sz w:val="18"/>
          <w:szCs w:val="18"/>
          <w:lang w:val="en-IE"/>
        </w:rPr>
        <w:t xml:space="preserve"> are in </w:t>
      </w:r>
      <w:r w:rsidR="00AD7A11" w:rsidRPr="00582553">
        <w:rPr>
          <w:rFonts w:ascii="Times New Roman" w:hAnsi="Times New Roman" w:cs="Times New Roman"/>
          <w:sz w:val="18"/>
          <w:szCs w:val="18"/>
          <w:lang w:val="en-IE"/>
        </w:rPr>
        <w:t>favour</w:t>
      </w:r>
      <w:r w:rsidR="00C96365" w:rsidRPr="00582553">
        <w:rPr>
          <w:rFonts w:ascii="Times New Roman" w:hAnsi="Times New Roman" w:cs="Times New Roman"/>
          <w:sz w:val="18"/>
          <w:szCs w:val="18"/>
          <w:lang w:val="en-IE"/>
        </w:rPr>
        <w:t xml:space="preserve">. </w:t>
      </w:r>
      <w:r w:rsidR="00E0485C" w:rsidRPr="00582553">
        <w:rPr>
          <w:rFonts w:ascii="Times New Roman" w:hAnsi="Times New Roman" w:cs="Times New Roman"/>
          <w:sz w:val="18"/>
          <w:szCs w:val="18"/>
          <w:lang w:val="en-IE"/>
        </w:rPr>
        <w:t xml:space="preserve">All three industry </w:t>
      </w:r>
      <w:r w:rsidR="00ED7752" w:rsidRPr="00582553">
        <w:rPr>
          <w:rFonts w:ascii="Times New Roman" w:hAnsi="Times New Roman" w:cs="Times New Roman"/>
          <w:sz w:val="18"/>
          <w:szCs w:val="18"/>
          <w:lang w:val="en-IE"/>
        </w:rPr>
        <w:t xml:space="preserve">representatives are in favour of </w:t>
      </w:r>
      <w:r w:rsidR="004731BF" w:rsidRPr="00582553">
        <w:rPr>
          <w:rFonts w:ascii="Times New Roman" w:hAnsi="Times New Roman" w:cs="Times New Roman"/>
          <w:sz w:val="18"/>
          <w:szCs w:val="18"/>
          <w:lang w:val="en-IE"/>
        </w:rPr>
        <w:t>establishing harmonised measures</w:t>
      </w:r>
      <w:r w:rsidR="00AD7A11" w:rsidRPr="00582553">
        <w:rPr>
          <w:rFonts w:ascii="Times New Roman" w:hAnsi="Times New Roman" w:cs="Times New Roman"/>
          <w:sz w:val="18"/>
          <w:szCs w:val="18"/>
          <w:lang w:val="en-IE"/>
        </w:rPr>
        <w:t xml:space="preserve"> at</w:t>
      </w:r>
      <w:r w:rsidR="001C1493" w:rsidRPr="00582553">
        <w:rPr>
          <w:rFonts w:ascii="Times New Roman" w:hAnsi="Times New Roman" w:cs="Times New Roman"/>
          <w:sz w:val="18"/>
          <w:szCs w:val="18"/>
          <w:lang w:val="en-IE"/>
        </w:rPr>
        <w:t xml:space="preserve"> EU level</w:t>
      </w:r>
      <w:r w:rsidR="00AD7A11" w:rsidRPr="00582553">
        <w:rPr>
          <w:rFonts w:ascii="Times New Roman" w:hAnsi="Times New Roman" w:cs="Times New Roman"/>
          <w:sz w:val="18"/>
          <w:szCs w:val="18"/>
          <w:lang w:val="en-IE"/>
        </w:rPr>
        <w:t>.</w:t>
      </w:r>
    </w:p>
  </w:footnote>
  <w:footnote w:id="145">
    <w:p w14:paraId="0D83A7D4" w14:textId="77777777" w:rsidR="0026791C" w:rsidRPr="00582553" w:rsidRDefault="0026791C"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Fonts w:ascii="Times New Roman" w:hAnsi="Times New Roman" w:cs="Times New Roman"/>
          <w:sz w:val="18"/>
          <w:szCs w:val="18"/>
          <w:lang w:val="en-IE"/>
        </w:rPr>
        <w:t>6 Member States</w:t>
      </w:r>
      <w:r w:rsidR="0077589F" w:rsidRPr="00582553">
        <w:rPr>
          <w:rFonts w:ascii="Times New Roman" w:hAnsi="Times New Roman" w:cs="Times New Roman"/>
          <w:sz w:val="18"/>
          <w:szCs w:val="18"/>
          <w:lang w:val="en-IE"/>
        </w:rPr>
        <w:t xml:space="preserve"> (out of 15)</w:t>
      </w:r>
      <w:r w:rsidR="00892C5F" w:rsidRPr="00582553">
        <w:rPr>
          <w:rFonts w:ascii="Times New Roman" w:hAnsi="Times New Roman" w:cs="Times New Roman"/>
          <w:sz w:val="18"/>
          <w:szCs w:val="18"/>
          <w:lang w:val="en-IE"/>
        </w:rPr>
        <w:t xml:space="preserve"> as well as 2 industry representatives</w:t>
      </w:r>
      <w:r w:rsidRPr="00582553">
        <w:rPr>
          <w:rFonts w:ascii="Times New Roman" w:hAnsi="Times New Roman" w:cs="Times New Roman"/>
          <w:sz w:val="18"/>
          <w:szCs w:val="18"/>
          <w:lang w:val="en-IE"/>
        </w:rPr>
        <w:t xml:space="preserve"> </w:t>
      </w:r>
      <w:r w:rsidR="0077589F" w:rsidRPr="00582553">
        <w:rPr>
          <w:rFonts w:ascii="Times New Roman" w:hAnsi="Times New Roman" w:cs="Times New Roman"/>
          <w:sz w:val="18"/>
          <w:szCs w:val="18"/>
          <w:lang w:val="en-IE"/>
        </w:rPr>
        <w:t xml:space="preserve">(out of 3) </w:t>
      </w:r>
      <w:r w:rsidRPr="00582553">
        <w:rPr>
          <w:rFonts w:ascii="Times New Roman" w:hAnsi="Times New Roman" w:cs="Times New Roman"/>
          <w:sz w:val="18"/>
          <w:szCs w:val="18"/>
          <w:lang w:val="en-IE"/>
        </w:rPr>
        <w:t xml:space="preserve">have explicitly expressed preference for </w:t>
      </w:r>
      <w:r w:rsidR="00145F36" w:rsidRPr="00582553">
        <w:rPr>
          <w:rFonts w:ascii="Times New Roman" w:hAnsi="Times New Roman" w:cs="Times New Roman"/>
          <w:sz w:val="18"/>
          <w:szCs w:val="18"/>
          <w:lang w:val="en-IE"/>
        </w:rPr>
        <w:t>targeted requirements</w:t>
      </w:r>
      <w:r w:rsidRPr="00582553">
        <w:rPr>
          <w:rFonts w:ascii="Times New Roman" w:hAnsi="Times New Roman" w:cs="Times New Roman"/>
          <w:sz w:val="18"/>
          <w:szCs w:val="18"/>
          <w:lang w:val="en-IE"/>
        </w:rPr>
        <w:t xml:space="preserve">. </w:t>
      </w:r>
      <w:r w:rsidR="00F566D1" w:rsidRPr="00582553">
        <w:rPr>
          <w:rFonts w:ascii="Times New Roman" w:hAnsi="Times New Roman" w:cs="Times New Roman"/>
          <w:sz w:val="18"/>
          <w:szCs w:val="18"/>
          <w:lang w:val="en-IE"/>
        </w:rPr>
        <w:t xml:space="preserve">2 CSOs </w:t>
      </w:r>
      <w:r w:rsidR="0077589F" w:rsidRPr="00582553">
        <w:rPr>
          <w:rFonts w:ascii="Times New Roman" w:hAnsi="Times New Roman" w:cs="Times New Roman"/>
          <w:sz w:val="18"/>
          <w:szCs w:val="18"/>
          <w:lang w:val="en-IE"/>
        </w:rPr>
        <w:t xml:space="preserve">(out of 11) </w:t>
      </w:r>
      <w:r w:rsidR="00E07467" w:rsidRPr="00582553">
        <w:rPr>
          <w:rFonts w:ascii="Times New Roman" w:hAnsi="Times New Roman" w:cs="Times New Roman"/>
          <w:sz w:val="18"/>
          <w:szCs w:val="18"/>
          <w:lang w:val="en-IE"/>
        </w:rPr>
        <w:t>consider</w:t>
      </w:r>
      <w:r w:rsidR="00974296" w:rsidRPr="00582553">
        <w:rPr>
          <w:rFonts w:ascii="Times New Roman" w:hAnsi="Times New Roman" w:cs="Times New Roman"/>
          <w:sz w:val="18"/>
          <w:szCs w:val="18"/>
          <w:lang w:val="en-IE"/>
        </w:rPr>
        <w:t xml:space="preserve"> that transparency requirements should differ according to the </w:t>
      </w:r>
      <w:r w:rsidR="00D57B19" w:rsidRPr="00582553">
        <w:rPr>
          <w:rFonts w:ascii="Times New Roman" w:hAnsi="Times New Roman" w:cs="Times New Roman"/>
          <w:sz w:val="18"/>
          <w:szCs w:val="18"/>
          <w:lang w:val="en-IE"/>
        </w:rPr>
        <w:t>level of</w:t>
      </w:r>
      <w:r w:rsidR="00974296" w:rsidRPr="00582553">
        <w:rPr>
          <w:rFonts w:ascii="Times New Roman" w:hAnsi="Times New Roman" w:cs="Times New Roman"/>
          <w:sz w:val="18"/>
          <w:szCs w:val="18"/>
          <w:lang w:val="en-IE"/>
        </w:rPr>
        <w:t xml:space="preserve"> risk th</w:t>
      </w:r>
      <w:r w:rsidR="00D57B19" w:rsidRPr="00582553">
        <w:rPr>
          <w:rFonts w:ascii="Times New Roman" w:hAnsi="Times New Roman" w:cs="Times New Roman"/>
          <w:sz w:val="18"/>
          <w:szCs w:val="18"/>
          <w:lang w:val="en-IE"/>
        </w:rPr>
        <w:t>at entities might pose for foreign interference.</w:t>
      </w:r>
      <w:r w:rsidR="00A91652" w:rsidRPr="00582553">
        <w:rPr>
          <w:rFonts w:ascii="Times New Roman" w:hAnsi="Times New Roman" w:cs="Times New Roman"/>
          <w:sz w:val="18"/>
          <w:szCs w:val="18"/>
          <w:lang w:val="en-IE"/>
        </w:rPr>
        <w:t xml:space="preserve"> </w:t>
      </w:r>
      <w:r w:rsidR="003306DC" w:rsidRPr="00582553">
        <w:rPr>
          <w:rFonts w:ascii="Times New Roman" w:hAnsi="Times New Roman" w:cs="Times New Roman"/>
          <w:sz w:val="18"/>
          <w:szCs w:val="18"/>
          <w:lang w:val="en-IE"/>
        </w:rPr>
        <w:t>3 CSOs consider that any potential regulation should not impose overly burdensome and additional financial or narrative reporting on CSOs.</w:t>
      </w:r>
    </w:p>
  </w:footnote>
  <w:footnote w:id="146">
    <w:p w14:paraId="0C843B6B" w14:textId="06121FFB" w:rsidR="00601FBA" w:rsidRPr="00582553" w:rsidRDefault="00601FBA"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The </w:t>
      </w:r>
      <w:r w:rsidR="004F7C58" w:rsidRPr="00582553">
        <w:rPr>
          <w:rFonts w:ascii="Times New Roman" w:hAnsi="Times New Roman" w:cs="Times New Roman"/>
          <w:sz w:val="18"/>
          <w:szCs w:val="18"/>
        </w:rPr>
        <w:t>specific inf</w:t>
      </w:r>
      <w:r w:rsidR="007F41A0" w:rsidRPr="00582553">
        <w:rPr>
          <w:rFonts w:ascii="Times New Roman" w:hAnsi="Times New Roman" w:cs="Times New Roman"/>
          <w:sz w:val="18"/>
          <w:szCs w:val="18"/>
        </w:rPr>
        <w:t xml:space="preserve">ormation to be included in the registration could be adapted </w:t>
      </w:r>
      <w:r w:rsidR="00C718CA" w:rsidRPr="00582553">
        <w:rPr>
          <w:rFonts w:ascii="Times New Roman" w:hAnsi="Times New Roman" w:cs="Times New Roman"/>
          <w:sz w:val="18"/>
          <w:szCs w:val="18"/>
        </w:rPr>
        <w:t>through a delegated act.</w:t>
      </w:r>
    </w:p>
  </w:footnote>
  <w:footnote w:id="147">
    <w:p w14:paraId="57316E7B" w14:textId="77777777" w:rsidR="00BA2FDA" w:rsidRPr="00582553" w:rsidRDefault="00BA2FDA"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The specific information to be included in the annual report could be adapted through a delegated act.</w:t>
      </w:r>
    </w:p>
  </w:footnote>
  <w:footnote w:id="148">
    <w:p w14:paraId="4FB86EA1" w14:textId="1D5E20AB" w:rsidR="00612466" w:rsidRPr="00582553" w:rsidRDefault="00612466"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C718CA" w:rsidRPr="00582553">
        <w:rPr>
          <w:rFonts w:ascii="Times New Roman" w:hAnsi="Times New Roman" w:cs="Times New Roman"/>
          <w:sz w:val="18"/>
          <w:szCs w:val="18"/>
        </w:rPr>
        <w:t xml:space="preserve">These thresholds could be adapted based on a delegated act. </w:t>
      </w:r>
      <w:r w:rsidR="00F24978" w:rsidRPr="00582553">
        <w:rPr>
          <w:rFonts w:ascii="Times New Roman" w:hAnsi="Times New Roman" w:cs="Times New Roman"/>
          <w:sz w:val="18"/>
          <w:szCs w:val="18"/>
        </w:rPr>
        <w:t>F</w:t>
      </w:r>
      <w:r w:rsidR="00C718CA" w:rsidRPr="00582553">
        <w:rPr>
          <w:rFonts w:ascii="Times New Roman" w:hAnsi="Times New Roman" w:cs="Times New Roman"/>
          <w:sz w:val="18"/>
          <w:szCs w:val="18"/>
        </w:rPr>
        <w:t>or more see Annex 7.</w:t>
      </w:r>
    </w:p>
  </w:footnote>
  <w:footnote w:id="149">
    <w:p w14:paraId="40C07104" w14:textId="5BE98337" w:rsidR="004E5E12" w:rsidRPr="00582553" w:rsidRDefault="004E5E12"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The analysis found that 11 </w:t>
      </w:r>
      <w:r w:rsidR="00AC7170" w:rsidRPr="00582553">
        <w:rPr>
          <w:rFonts w:ascii="Times New Roman" w:hAnsi="Times New Roman" w:cs="Times New Roman"/>
          <w:sz w:val="18"/>
          <w:szCs w:val="18"/>
        </w:rPr>
        <w:t xml:space="preserve">selected </w:t>
      </w:r>
      <w:r w:rsidRPr="00582553">
        <w:rPr>
          <w:rFonts w:ascii="Times New Roman" w:hAnsi="Times New Roman" w:cs="Times New Roman"/>
          <w:sz w:val="18"/>
          <w:szCs w:val="18"/>
        </w:rPr>
        <w:t xml:space="preserve">third countries </w:t>
      </w:r>
      <w:r w:rsidR="00AC7170" w:rsidRPr="00582553">
        <w:rPr>
          <w:rFonts w:ascii="Times New Roman" w:hAnsi="Times New Roman" w:cs="Times New Roman"/>
          <w:sz w:val="18"/>
          <w:szCs w:val="18"/>
        </w:rPr>
        <w:t>spent an average</w:t>
      </w:r>
      <w:r w:rsidRPr="00582553">
        <w:rPr>
          <w:rFonts w:ascii="Times New Roman" w:hAnsi="Times New Roman" w:cs="Times New Roman"/>
          <w:sz w:val="18"/>
          <w:szCs w:val="18"/>
        </w:rPr>
        <w:t xml:space="preserve"> the equivalent EUR 11 284 730.04 in 2020 (latest year for which data was available)</w:t>
      </w:r>
      <w:r w:rsidR="00A37B02" w:rsidRPr="00582553">
        <w:rPr>
          <w:rFonts w:ascii="Times New Roman" w:hAnsi="Times New Roman" w:cs="Times New Roman"/>
          <w:sz w:val="18"/>
          <w:szCs w:val="18"/>
        </w:rPr>
        <w:t xml:space="preserve"> on core interest representation services</w:t>
      </w:r>
      <w:r w:rsidRPr="00582553">
        <w:rPr>
          <w:rFonts w:ascii="Times New Roman" w:hAnsi="Times New Roman" w:cs="Times New Roman"/>
          <w:sz w:val="18"/>
          <w:szCs w:val="18"/>
        </w:rPr>
        <w:t>. The EU’s economy in 2020 was 25% smaller than the US’, resulting in an equivalent of EUR 8 463 547.53, which was rounded up to establish the threshold of EUR 8 500 000.</w:t>
      </w:r>
    </w:p>
  </w:footnote>
  <w:footnote w:id="150">
    <w:p w14:paraId="31BC846A" w14:textId="2AA4A82B" w:rsidR="004E5E12" w:rsidRPr="00582553" w:rsidRDefault="004E5E12"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The threshold of EUR 1 500 000 was found by dividing the EUR 8 500 000 threshold by the share of GDP of each Member State. Based on this, the resulting threshold for France</w:t>
      </w:r>
      <w:r w:rsidR="00AB0DCC" w:rsidRPr="00582553">
        <w:rPr>
          <w:rFonts w:ascii="Times New Roman" w:hAnsi="Times New Roman" w:cs="Times New Roman"/>
          <w:sz w:val="18"/>
          <w:szCs w:val="18"/>
        </w:rPr>
        <w:t xml:space="preserve"> was used as a benchmark</w:t>
      </w:r>
      <w:r w:rsidRPr="00582553">
        <w:rPr>
          <w:rFonts w:ascii="Times New Roman" w:hAnsi="Times New Roman" w:cs="Times New Roman"/>
          <w:sz w:val="18"/>
          <w:szCs w:val="18"/>
        </w:rPr>
        <w:t>, rounded up, namely of 16.72% of EU GDP in 2022 or EUR 1 421 200, to establish the threshold of EUR 1 500 000. Importantly, the Directive foresees that this threshold can later be adapted by a Delegated Act, once more data is available after its entry into force. Setting a high bar at first permits to scope in fewer entities and reduce risks of overburdening.</w:t>
      </w:r>
    </w:p>
  </w:footnote>
  <w:footnote w:id="151">
    <w:p w14:paraId="34BC1752" w14:textId="01253623" w:rsidR="00F1388C" w:rsidRPr="00582553" w:rsidRDefault="00F1388C"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Responding to the questionnaire sent by the Commission, </w:t>
      </w:r>
      <w:r w:rsidR="00652FA2" w:rsidRPr="00582553">
        <w:rPr>
          <w:rFonts w:ascii="Times New Roman" w:hAnsi="Times New Roman" w:cs="Times New Roman"/>
          <w:sz w:val="18"/>
          <w:szCs w:val="18"/>
        </w:rPr>
        <w:t xml:space="preserve">1 </w:t>
      </w:r>
      <w:r w:rsidRPr="00582553">
        <w:rPr>
          <w:rFonts w:ascii="Times New Roman" w:hAnsi="Times New Roman" w:cs="Times New Roman"/>
          <w:sz w:val="18"/>
          <w:szCs w:val="18"/>
        </w:rPr>
        <w:t xml:space="preserve">CSO </w:t>
      </w:r>
      <w:r w:rsidR="00ED56B3" w:rsidRPr="00582553">
        <w:rPr>
          <w:rFonts w:ascii="Times New Roman" w:hAnsi="Times New Roman" w:cs="Times New Roman"/>
          <w:sz w:val="18"/>
          <w:szCs w:val="18"/>
        </w:rPr>
        <w:t>(out of 11)</w:t>
      </w:r>
      <w:r w:rsidRPr="00582553">
        <w:rPr>
          <w:rFonts w:ascii="Times New Roman" w:hAnsi="Times New Roman" w:cs="Times New Roman"/>
          <w:sz w:val="18"/>
          <w:szCs w:val="18"/>
        </w:rPr>
        <w:t xml:space="preserve"> indicated that “</w:t>
      </w:r>
      <w:r w:rsidR="00064CD6" w:rsidRPr="00582553">
        <w:rPr>
          <w:rFonts w:ascii="Times New Roman" w:hAnsi="Times New Roman" w:cs="Times New Roman"/>
          <w:i/>
          <w:iCs/>
          <w:sz w:val="18"/>
          <w:szCs w:val="18"/>
        </w:rPr>
        <w:t xml:space="preserve">the establishment of an independent </w:t>
      </w:r>
      <w:r w:rsidR="00D3053C" w:rsidRPr="00582553">
        <w:rPr>
          <w:rFonts w:ascii="Times New Roman" w:hAnsi="Times New Roman" w:cs="Times New Roman"/>
          <w:i/>
          <w:iCs/>
          <w:sz w:val="18"/>
          <w:szCs w:val="18"/>
        </w:rPr>
        <w:t xml:space="preserve">oversight body would ensure that the transparency register is regularly and properly </w:t>
      </w:r>
      <w:r w:rsidR="00D22FD2" w:rsidRPr="00582553">
        <w:rPr>
          <w:rFonts w:ascii="Times New Roman" w:hAnsi="Times New Roman" w:cs="Times New Roman"/>
          <w:i/>
          <w:iCs/>
          <w:sz w:val="18"/>
          <w:szCs w:val="18"/>
        </w:rPr>
        <w:t>monitored</w:t>
      </w:r>
      <w:r w:rsidR="00D3053C" w:rsidRPr="00582553">
        <w:rPr>
          <w:rFonts w:ascii="Times New Roman" w:hAnsi="Times New Roman" w:cs="Times New Roman"/>
          <w:sz w:val="18"/>
          <w:szCs w:val="18"/>
        </w:rPr>
        <w:t>”</w:t>
      </w:r>
      <w:r w:rsidR="00D22FD2" w:rsidRPr="00582553">
        <w:rPr>
          <w:rFonts w:ascii="Times New Roman" w:hAnsi="Times New Roman" w:cs="Times New Roman"/>
          <w:sz w:val="18"/>
          <w:szCs w:val="18"/>
        </w:rPr>
        <w:t>.</w:t>
      </w:r>
    </w:p>
  </w:footnote>
  <w:footnote w:id="152">
    <w:p w14:paraId="10615835" w14:textId="47D5C7AA" w:rsidR="00E611DC" w:rsidRPr="00582553" w:rsidRDefault="00E611DC" w:rsidP="00582553">
      <w:pPr>
        <w:pStyle w:val="FootnoteText"/>
        <w:spacing w:after="0"/>
        <w:ind w:left="284" w:hanging="284"/>
        <w:rPr>
          <w:sz w:val="18"/>
          <w:szCs w:val="18"/>
        </w:rPr>
      </w:pPr>
      <w:r w:rsidRPr="00582553">
        <w:rPr>
          <w:rStyle w:val="FootnoteReference"/>
          <w:sz w:val="18"/>
          <w:szCs w:val="18"/>
        </w:rPr>
        <w:footnoteRef/>
      </w:r>
      <w:r w:rsidRPr="00582553">
        <w:rPr>
          <w:sz w:val="18"/>
          <w:szCs w:val="18"/>
        </w:rPr>
        <w:t xml:space="preserve"> </w:t>
      </w:r>
      <w:r w:rsidR="00565C03" w:rsidRPr="00582553">
        <w:rPr>
          <w:sz w:val="18"/>
          <w:szCs w:val="18"/>
        </w:rPr>
        <w:tab/>
      </w:r>
      <w:r w:rsidRPr="00582553">
        <w:rPr>
          <w:sz w:val="18"/>
          <w:szCs w:val="18"/>
        </w:rPr>
        <w:t>DSA Article 52(3)</w:t>
      </w:r>
      <w:r w:rsidR="00565C03" w:rsidRPr="00582553">
        <w:rPr>
          <w:sz w:val="18"/>
          <w:szCs w:val="18"/>
        </w:rPr>
        <w:t xml:space="preserve">: </w:t>
      </w:r>
      <w:r w:rsidR="00565C03" w:rsidRPr="00582553">
        <w:rPr>
          <w:i/>
          <w:iCs/>
          <w:sz w:val="18"/>
          <w:szCs w:val="18"/>
        </w:rPr>
        <w:t xml:space="preserve">“Member States shall ensure that the maximum amount of the fine that may be imposed for </w:t>
      </w:r>
      <w:r w:rsidRPr="00582553">
        <w:rPr>
          <w:i/>
          <w:sz w:val="18"/>
          <w:szCs w:val="18"/>
        </w:rPr>
        <w:t xml:space="preserve">the supply of incorrect, incomplete or misleading information, failure to reply or rectify incorrect, incomplete or misleading information and failure to submit to an </w:t>
      </w:r>
      <w:r w:rsidR="00565C03" w:rsidRPr="00582553">
        <w:rPr>
          <w:i/>
          <w:iCs/>
          <w:sz w:val="18"/>
          <w:szCs w:val="18"/>
        </w:rPr>
        <w:t>inspection shall be 1 % of the annual income or worldwide turnover of the provider of intermediary services or person concerned in the preceding financial year”</w:t>
      </w:r>
      <w:r w:rsidR="00565C03" w:rsidRPr="00582553">
        <w:rPr>
          <w:sz w:val="18"/>
          <w:szCs w:val="18"/>
        </w:rPr>
        <w:t>.</w:t>
      </w:r>
    </w:p>
  </w:footnote>
  <w:footnote w:id="153">
    <w:p w14:paraId="24F678D9" w14:textId="754DF6EB" w:rsidR="00892C5F" w:rsidRPr="00582553" w:rsidRDefault="00892C5F"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EA4BF4" w:rsidRPr="00582553">
        <w:rPr>
          <w:rFonts w:ascii="Times New Roman" w:hAnsi="Times New Roman" w:cs="Times New Roman"/>
          <w:sz w:val="18"/>
          <w:szCs w:val="18"/>
        </w:rPr>
        <w:t>4</w:t>
      </w:r>
      <w:r w:rsidRPr="00582553">
        <w:rPr>
          <w:rFonts w:ascii="Times New Roman" w:hAnsi="Times New Roman" w:cs="Times New Roman"/>
          <w:sz w:val="18"/>
          <w:szCs w:val="18"/>
          <w:lang w:val="en-IE"/>
        </w:rPr>
        <w:t xml:space="preserve"> Member States </w:t>
      </w:r>
      <w:r w:rsidR="0077589F" w:rsidRPr="00582553">
        <w:rPr>
          <w:rFonts w:ascii="Times New Roman" w:hAnsi="Times New Roman" w:cs="Times New Roman"/>
          <w:sz w:val="18"/>
          <w:szCs w:val="18"/>
          <w:lang w:val="en-IE"/>
        </w:rPr>
        <w:t xml:space="preserve">(out of 15) </w:t>
      </w:r>
      <w:r w:rsidR="00D51D46" w:rsidRPr="00582553">
        <w:rPr>
          <w:rFonts w:ascii="Times New Roman" w:hAnsi="Times New Roman" w:cs="Times New Roman"/>
          <w:sz w:val="18"/>
          <w:szCs w:val="18"/>
          <w:lang w:val="en-IE"/>
        </w:rPr>
        <w:t>and 1 CSO</w:t>
      </w:r>
      <w:r w:rsidRPr="00582553">
        <w:rPr>
          <w:rFonts w:ascii="Times New Roman" w:hAnsi="Times New Roman" w:cs="Times New Roman"/>
          <w:sz w:val="18"/>
          <w:szCs w:val="18"/>
          <w:lang w:val="en-IE"/>
        </w:rPr>
        <w:t xml:space="preserve"> </w:t>
      </w:r>
      <w:r w:rsidR="0077589F" w:rsidRPr="00582553">
        <w:rPr>
          <w:rFonts w:ascii="Times New Roman" w:hAnsi="Times New Roman" w:cs="Times New Roman"/>
          <w:sz w:val="18"/>
          <w:szCs w:val="18"/>
          <w:lang w:val="en-IE"/>
        </w:rPr>
        <w:t xml:space="preserve">(out of 11) </w:t>
      </w:r>
      <w:r w:rsidR="00EA4BF4" w:rsidRPr="00582553">
        <w:rPr>
          <w:rFonts w:ascii="Times New Roman" w:hAnsi="Times New Roman" w:cs="Times New Roman"/>
          <w:sz w:val="18"/>
          <w:szCs w:val="18"/>
          <w:lang w:val="en-IE"/>
        </w:rPr>
        <w:t xml:space="preserve">are in favour of a prior authorisation/licensing system, </w:t>
      </w:r>
      <w:r w:rsidR="00CE0C75" w:rsidRPr="00582553">
        <w:rPr>
          <w:rFonts w:ascii="Times New Roman" w:hAnsi="Times New Roman" w:cs="Times New Roman"/>
          <w:sz w:val="18"/>
          <w:szCs w:val="18"/>
          <w:lang w:val="en-IE"/>
        </w:rPr>
        <w:t>6</w:t>
      </w:r>
      <w:r w:rsidR="00CF680E" w:rsidRPr="00582553">
        <w:rPr>
          <w:rFonts w:ascii="Times New Roman" w:hAnsi="Times New Roman" w:cs="Times New Roman"/>
          <w:sz w:val="18"/>
          <w:szCs w:val="18"/>
          <w:lang w:val="en-IE"/>
        </w:rPr>
        <w:t xml:space="preserve"> Member States, </w:t>
      </w:r>
      <w:r w:rsidR="00D51D46" w:rsidRPr="00582553">
        <w:rPr>
          <w:rFonts w:ascii="Times New Roman" w:hAnsi="Times New Roman" w:cs="Times New Roman"/>
          <w:sz w:val="18"/>
          <w:szCs w:val="18"/>
          <w:lang w:val="en-IE"/>
        </w:rPr>
        <w:t>5</w:t>
      </w:r>
      <w:r w:rsidR="00CF680E" w:rsidRPr="00582553">
        <w:rPr>
          <w:rFonts w:ascii="Times New Roman" w:hAnsi="Times New Roman" w:cs="Times New Roman"/>
          <w:sz w:val="18"/>
          <w:szCs w:val="18"/>
          <w:lang w:val="en-IE"/>
        </w:rPr>
        <w:t xml:space="preserve"> CSOs and </w:t>
      </w:r>
      <w:r w:rsidR="00EA4BF4" w:rsidRPr="00582553">
        <w:rPr>
          <w:rFonts w:ascii="Times New Roman" w:hAnsi="Times New Roman" w:cs="Times New Roman"/>
          <w:sz w:val="18"/>
          <w:szCs w:val="18"/>
          <w:lang w:val="en-IE"/>
        </w:rPr>
        <w:t>1</w:t>
      </w:r>
      <w:r w:rsidRPr="00582553">
        <w:rPr>
          <w:rFonts w:ascii="Times New Roman" w:hAnsi="Times New Roman" w:cs="Times New Roman"/>
          <w:sz w:val="18"/>
          <w:szCs w:val="18"/>
          <w:lang w:val="en-IE"/>
        </w:rPr>
        <w:t xml:space="preserve"> industry representative</w:t>
      </w:r>
      <w:r w:rsidR="0077589F" w:rsidRPr="00582553">
        <w:rPr>
          <w:rFonts w:ascii="Times New Roman" w:hAnsi="Times New Roman" w:cs="Times New Roman"/>
          <w:sz w:val="18"/>
          <w:szCs w:val="18"/>
          <w:lang w:val="en-IE"/>
        </w:rPr>
        <w:t xml:space="preserve"> (out of 3)</w:t>
      </w:r>
      <w:r w:rsidRPr="00582553">
        <w:rPr>
          <w:rFonts w:ascii="Times New Roman" w:hAnsi="Times New Roman" w:cs="Times New Roman"/>
          <w:sz w:val="18"/>
          <w:szCs w:val="18"/>
          <w:lang w:val="en-IE"/>
        </w:rPr>
        <w:t xml:space="preserve"> </w:t>
      </w:r>
      <w:r w:rsidR="00EA4BF4" w:rsidRPr="00582553">
        <w:rPr>
          <w:rFonts w:ascii="Times New Roman" w:hAnsi="Times New Roman" w:cs="Times New Roman"/>
          <w:sz w:val="18"/>
          <w:szCs w:val="18"/>
          <w:lang w:val="en-IE"/>
        </w:rPr>
        <w:t>ha</w:t>
      </w:r>
      <w:r w:rsidR="00BF1D52" w:rsidRPr="00582553">
        <w:rPr>
          <w:rFonts w:ascii="Times New Roman" w:hAnsi="Times New Roman" w:cs="Times New Roman"/>
          <w:sz w:val="18"/>
          <w:szCs w:val="18"/>
          <w:lang w:val="en-IE"/>
        </w:rPr>
        <w:t>ve</w:t>
      </w:r>
      <w:r w:rsidR="00EA4BF4"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expressed</w:t>
      </w:r>
      <w:r w:rsidR="00BF1D52" w:rsidRPr="00582553">
        <w:rPr>
          <w:rFonts w:ascii="Times New Roman" w:hAnsi="Times New Roman" w:cs="Times New Roman"/>
          <w:sz w:val="18"/>
          <w:szCs w:val="18"/>
          <w:lang w:val="en-IE"/>
        </w:rPr>
        <w:t xml:space="preserve"> themselves </w:t>
      </w:r>
      <w:r w:rsidRPr="00582553">
        <w:rPr>
          <w:rFonts w:ascii="Times New Roman" w:hAnsi="Times New Roman" w:cs="Times New Roman"/>
          <w:sz w:val="18"/>
          <w:szCs w:val="18"/>
          <w:lang w:val="en-IE"/>
        </w:rPr>
        <w:t xml:space="preserve">against such </w:t>
      </w:r>
      <w:r w:rsidR="00BF1D52" w:rsidRPr="00582553">
        <w:rPr>
          <w:rFonts w:ascii="Times New Roman" w:hAnsi="Times New Roman" w:cs="Times New Roman"/>
          <w:sz w:val="18"/>
          <w:szCs w:val="18"/>
          <w:lang w:val="en-IE"/>
        </w:rPr>
        <w:t>mechanism</w:t>
      </w:r>
      <w:r w:rsidRPr="00582553">
        <w:rPr>
          <w:rFonts w:ascii="Times New Roman" w:hAnsi="Times New Roman" w:cs="Times New Roman"/>
          <w:sz w:val="18"/>
          <w:szCs w:val="18"/>
          <w:lang w:val="en-IE"/>
        </w:rPr>
        <w:t>.</w:t>
      </w:r>
    </w:p>
  </w:footnote>
  <w:footnote w:id="154">
    <w:p w14:paraId="65E4AA46" w14:textId="3393D697" w:rsidR="006F28F4" w:rsidRPr="00582553" w:rsidRDefault="006F28F4"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The concept of public security covers both a Member State’s internal and external security and threats to the functioning of the institutions and essential public services and the survival of the population, as well as the risk of a serious disturbance to foreign relations or to peaceful coexistence of nations, or a risk to military interests (</w:t>
      </w:r>
      <w:r w:rsidR="00132788" w:rsidRPr="00582553">
        <w:rPr>
          <w:rFonts w:ascii="Times New Roman" w:hAnsi="Times New Roman" w:cs="Times New Roman"/>
          <w:sz w:val="18"/>
          <w:szCs w:val="18"/>
          <w:lang w:val="en-IE"/>
        </w:rPr>
        <w:t xml:space="preserve">Judgment of the Court of Justice of </w:t>
      </w:r>
      <w:r w:rsidR="00D27466" w:rsidRPr="00582553">
        <w:rPr>
          <w:rFonts w:ascii="Times New Roman" w:hAnsi="Times New Roman" w:cs="Times New Roman"/>
          <w:sz w:val="18"/>
          <w:szCs w:val="18"/>
          <w:lang w:val="en-IE"/>
        </w:rPr>
        <w:t xml:space="preserve">23 November 2010, </w:t>
      </w:r>
      <w:r w:rsidRPr="00582553">
        <w:rPr>
          <w:rFonts w:ascii="Times New Roman" w:hAnsi="Times New Roman" w:cs="Times New Roman"/>
          <w:i/>
          <w:sz w:val="18"/>
          <w:szCs w:val="18"/>
          <w:lang w:val="en-IE"/>
        </w:rPr>
        <w:t>Tsakouridis</w:t>
      </w:r>
      <w:r w:rsidRPr="00582553">
        <w:rPr>
          <w:rFonts w:ascii="Times New Roman" w:hAnsi="Times New Roman" w:cs="Times New Roman"/>
          <w:sz w:val="18"/>
          <w:szCs w:val="18"/>
          <w:lang w:val="en-IE"/>
        </w:rPr>
        <w:t xml:space="preserve">, </w:t>
      </w:r>
      <w:r w:rsidR="00945F0B" w:rsidRPr="00582553">
        <w:rPr>
          <w:rFonts w:ascii="Times New Roman" w:hAnsi="Times New Roman" w:cs="Times New Roman"/>
          <w:sz w:val="18"/>
          <w:szCs w:val="18"/>
          <w:lang w:val="en-IE"/>
        </w:rPr>
        <w:t xml:space="preserve">C-145/09, </w:t>
      </w:r>
      <w:r w:rsidRPr="00582553">
        <w:rPr>
          <w:rFonts w:ascii="Times New Roman" w:hAnsi="Times New Roman" w:cs="Times New Roman"/>
          <w:sz w:val="18"/>
          <w:szCs w:val="18"/>
          <w:lang w:val="en-IE"/>
        </w:rPr>
        <w:t>para</w:t>
      </w:r>
      <w:r w:rsidR="00945F0B" w:rsidRPr="00582553">
        <w:rPr>
          <w:rFonts w:ascii="Times New Roman" w:hAnsi="Times New Roman" w:cs="Times New Roman"/>
          <w:sz w:val="18"/>
          <w:szCs w:val="18"/>
          <w:lang w:val="en-IE"/>
        </w:rPr>
        <w:t>graphs</w:t>
      </w:r>
      <w:r w:rsidRPr="00582553">
        <w:rPr>
          <w:rFonts w:ascii="Times New Roman" w:hAnsi="Times New Roman" w:cs="Times New Roman"/>
          <w:sz w:val="18"/>
          <w:szCs w:val="18"/>
          <w:lang w:val="en-IE"/>
        </w:rPr>
        <w:t xml:space="preserve"> 43</w:t>
      </w:r>
      <w:r w:rsidR="00945F0B" w:rsidRPr="00582553">
        <w:rPr>
          <w:rFonts w:ascii="Times New Roman" w:hAnsi="Times New Roman" w:cs="Times New Roman"/>
          <w:sz w:val="18"/>
          <w:szCs w:val="18"/>
          <w:lang w:val="en-IE"/>
        </w:rPr>
        <w:t xml:space="preserve"> to </w:t>
      </w:r>
      <w:r w:rsidRPr="00582553">
        <w:rPr>
          <w:rFonts w:ascii="Times New Roman" w:hAnsi="Times New Roman" w:cs="Times New Roman"/>
          <w:sz w:val="18"/>
          <w:szCs w:val="18"/>
          <w:lang w:val="en-IE"/>
        </w:rPr>
        <w:t>44)</w:t>
      </w:r>
      <w:r w:rsidR="004852DE" w:rsidRPr="00582553">
        <w:rPr>
          <w:rFonts w:ascii="Times New Roman" w:hAnsi="Times New Roman" w:cs="Times New Roman"/>
          <w:sz w:val="18"/>
          <w:szCs w:val="18"/>
          <w:lang w:val="en-IE"/>
        </w:rPr>
        <w:t>.</w:t>
      </w:r>
    </w:p>
  </w:footnote>
  <w:footnote w:id="155">
    <w:p w14:paraId="4064597D" w14:textId="14106353" w:rsidR="003D49F4" w:rsidRPr="00582553" w:rsidRDefault="003D49F4"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This mechanism is inspired by the FDI regulation</w:t>
      </w:r>
      <w:r w:rsidR="00222FF9" w:rsidRPr="00582553">
        <w:rPr>
          <w:rFonts w:ascii="Times New Roman" w:hAnsi="Times New Roman" w:cs="Times New Roman"/>
          <w:sz w:val="18"/>
          <w:szCs w:val="18"/>
          <w:lang w:val="en-IE"/>
        </w:rPr>
        <w:t xml:space="preserve">, see note </w:t>
      </w:r>
      <w:r w:rsidR="00222FF9" w:rsidRPr="00582553">
        <w:rPr>
          <w:rFonts w:ascii="Times New Roman" w:hAnsi="Times New Roman" w:cs="Times New Roman"/>
          <w:sz w:val="18"/>
          <w:szCs w:val="18"/>
          <w:lang w:val="en-IE"/>
        </w:rPr>
        <w:fldChar w:fldCharType="begin"/>
      </w:r>
      <w:r w:rsidR="00222FF9" w:rsidRPr="00582553">
        <w:rPr>
          <w:rFonts w:ascii="Times New Roman" w:hAnsi="Times New Roman" w:cs="Times New Roman"/>
          <w:sz w:val="18"/>
          <w:szCs w:val="18"/>
          <w:lang w:val="en-IE"/>
        </w:rPr>
        <w:instrText xml:space="preserve"> NOTEREF _Ref147770155 \h  \* MERGEFORMAT </w:instrText>
      </w:r>
      <w:r w:rsidR="00222FF9" w:rsidRPr="00582553">
        <w:rPr>
          <w:rFonts w:ascii="Times New Roman" w:hAnsi="Times New Roman" w:cs="Times New Roman"/>
          <w:sz w:val="18"/>
          <w:szCs w:val="18"/>
          <w:lang w:val="en-IE"/>
        </w:rPr>
      </w:r>
      <w:r w:rsidR="00222FF9"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23</w:t>
      </w:r>
      <w:r w:rsidR="00222FF9" w:rsidRPr="00582553">
        <w:rPr>
          <w:rFonts w:ascii="Times New Roman" w:hAnsi="Times New Roman" w:cs="Times New Roman"/>
          <w:sz w:val="18"/>
          <w:szCs w:val="18"/>
          <w:lang w:val="en-IE"/>
        </w:rPr>
        <w:fldChar w:fldCharType="end"/>
      </w:r>
      <w:r w:rsidR="00222FF9" w:rsidRPr="00582553">
        <w:rPr>
          <w:rFonts w:ascii="Times New Roman" w:hAnsi="Times New Roman" w:cs="Times New Roman"/>
          <w:sz w:val="18"/>
          <w:szCs w:val="18"/>
          <w:lang w:val="en-IE"/>
        </w:rPr>
        <w:t>.</w:t>
      </w:r>
    </w:p>
  </w:footnote>
  <w:footnote w:id="156">
    <w:p w14:paraId="14912309" w14:textId="77777777" w:rsidR="00CC4740" w:rsidRPr="00582553" w:rsidRDefault="00CC4740" w:rsidP="004B75A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lang w:val="en-IE"/>
        </w:rPr>
        <w:tab/>
        <w:t>Directive 2010/13/EU of the European Parliament and of the Council of 10 March 2010 on the coordination of certain provisions laid down by law, regulation or administrative action in Member States concerning the provision of audiovisual media services (Audiovisual Media Services Directive) (OJ L 95, 15.4.2010, p. 1).</w:t>
      </w:r>
    </w:p>
  </w:footnote>
  <w:footnote w:id="157">
    <w:p w14:paraId="2CF2AA31" w14:textId="77777777" w:rsidR="00C32127" w:rsidRPr="00582553" w:rsidRDefault="00C3212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Regulation (EU) 2021/1119 of 30 June 2021 establishing the framework for achieving climate neutrality (European Climate Law).</w:t>
      </w:r>
    </w:p>
  </w:footnote>
  <w:footnote w:id="158">
    <w:p w14:paraId="55D1D5EF" w14:textId="77777777" w:rsidR="00953712" w:rsidRPr="00582553" w:rsidRDefault="00953712"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To facilitate coordination and access to the registers, where an entity carries out activity in a Member State other than that of registration, the Member State of registration should notify the Member where the activity is performed of the name of the concerned entity, its registration number and the link to the national registers where the registration took place. That Member State should include in its own register, the information laid down in that notification.</w:t>
      </w:r>
    </w:p>
  </w:footnote>
  <w:footnote w:id="159">
    <w:p w14:paraId="697C8509" w14:textId="30130967" w:rsidR="005970D3" w:rsidRPr="00582553" w:rsidRDefault="005970D3" w:rsidP="00582553">
      <w:pPr>
        <w:pStyle w:val="FootnoteText"/>
        <w:spacing w:after="0"/>
        <w:ind w:left="284" w:hanging="284"/>
        <w:rPr>
          <w:sz w:val="18"/>
          <w:szCs w:val="18"/>
          <w:lang w:val="en-IE"/>
        </w:rPr>
      </w:pPr>
      <w:r w:rsidRPr="00582553">
        <w:rPr>
          <w:rStyle w:val="FootnoteReference"/>
          <w:sz w:val="18"/>
          <w:szCs w:val="18"/>
        </w:rPr>
        <w:footnoteRef/>
      </w:r>
      <w:r w:rsidRPr="00582553">
        <w:rPr>
          <w:sz w:val="18"/>
          <w:szCs w:val="18"/>
        </w:rPr>
        <w:t xml:space="preserve"> </w:t>
      </w:r>
      <w:r w:rsidRPr="00582553">
        <w:rPr>
          <w:sz w:val="18"/>
          <w:szCs w:val="18"/>
        </w:rPr>
        <w:tab/>
        <w:t>Cross-border companies will be subject to reduced administrative burden in these additional Member States stemming from: (i) The need to provide exactly the same information (i.e. when operating on behalf of a given third countries in multiple Member States). In this scenario, the costs of registration and information disclosure for additional Member States would be limited solely to the submission of information as there would be no need to collect additional information. (ii) The need to provide different information but for the same types of information (i.e. when operating in different Member States on behalf of different third countries). In this scenario, likely minor efficiency gains would be possible, for instance, through the use of the same information recording and retrieval systems across all Member States. However, entities would still be required to conduct the same internal liaison and information collection tasks, as well as the information submission tasks.</w:t>
      </w:r>
      <w:r w:rsidR="003F3392" w:rsidRPr="00582553">
        <w:rPr>
          <w:sz w:val="18"/>
          <w:szCs w:val="18"/>
        </w:rPr>
        <w:t xml:space="preserve"> Annex 4 provides further details on the analysis of costs and savings. </w:t>
      </w:r>
    </w:p>
  </w:footnote>
  <w:footnote w:id="160">
    <w:p w14:paraId="41F237F5" w14:textId="3A8C02A4" w:rsidR="009923B2" w:rsidRPr="00582553" w:rsidRDefault="009923B2"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2561CB" w:rsidRPr="00582553">
        <w:rPr>
          <w:rFonts w:ascii="Times New Roman" w:hAnsi="Times New Roman" w:cs="Times New Roman"/>
          <w:sz w:val="18"/>
          <w:szCs w:val="18"/>
        </w:rPr>
        <w:tab/>
        <w:t>Where a licence is granted despite comments submitted by a Member State or an opinion from the Commission that the activity is likely to seriously affect public security, a publicly available flag would be added in the registration of the said entity.</w:t>
      </w:r>
    </w:p>
  </w:footnote>
  <w:footnote w:id="161">
    <w:p w14:paraId="38A9DF6A" w14:textId="760947BF" w:rsidR="00E404DE" w:rsidRPr="00582553" w:rsidRDefault="00E404DE"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5 CSOs underlined that any requirements to obtain a licence would place an important burden on smaller actors involved in interest representation, including not-for-profit organisations.</w:t>
      </w:r>
    </w:p>
  </w:footnote>
  <w:footnote w:id="162">
    <w:p w14:paraId="2EA0F839" w14:textId="3825A92C" w:rsidR="00F12E50" w:rsidRPr="00582553" w:rsidRDefault="00F12E50"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See Annex </w:t>
      </w:r>
      <w:r w:rsidR="00533296" w:rsidRPr="00582553">
        <w:rPr>
          <w:rFonts w:ascii="Times New Roman" w:hAnsi="Times New Roman" w:cs="Times New Roman"/>
          <w:sz w:val="18"/>
          <w:szCs w:val="18"/>
        </w:rPr>
        <w:t>4</w:t>
      </w:r>
      <w:r w:rsidRPr="00582553">
        <w:rPr>
          <w:rFonts w:ascii="Times New Roman" w:hAnsi="Times New Roman" w:cs="Times New Roman"/>
          <w:sz w:val="18"/>
          <w:szCs w:val="18"/>
        </w:rPr>
        <w:t>, section 2.2 for details.</w:t>
      </w:r>
    </w:p>
  </w:footnote>
  <w:footnote w:id="163">
    <w:p w14:paraId="57977DA8" w14:textId="11250E91" w:rsidR="00F12E50" w:rsidRPr="00582553" w:rsidRDefault="00F12E50"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See Annex </w:t>
      </w:r>
      <w:r w:rsidR="00533296" w:rsidRPr="00582553">
        <w:rPr>
          <w:rFonts w:ascii="Times New Roman" w:hAnsi="Times New Roman" w:cs="Times New Roman"/>
          <w:sz w:val="18"/>
          <w:szCs w:val="18"/>
        </w:rPr>
        <w:t>4</w:t>
      </w:r>
      <w:r w:rsidRPr="00582553">
        <w:rPr>
          <w:rFonts w:ascii="Times New Roman" w:hAnsi="Times New Roman" w:cs="Times New Roman"/>
          <w:sz w:val="18"/>
          <w:szCs w:val="18"/>
        </w:rPr>
        <w:t>, section 2.</w:t>
      </w:r>
      <w:r w:rsidR="00A97696" w:rsidRPr="00582553">
        <w:rPr>
          <w:rFonts w:ascii="Times New Roman" w:hAnsi="Times New Roman" w:cs="Times New Roman"/>
          <w:sz w:val="18"/>
          <w:szCs w:val="18"/>
        </w:rPr>
        <w:t>3</w:t>
      </w:r>
      <w:r w:rsidRPr="00582553">
        <w:rPr>
          <w:rFonts w:ascii="Times New Roman" w:hAnsi="Times New Roman" w:cs="Times New Roman"/>
          <w:sz w:val="18"/>
          <w:szCs w:val="18"/>
        </w:rPr>
        <w:t xml:space="preserve"> for details.</w:t>
      </w:r>
    </w:p>
  </w:footnote>
  <w:footnote w:id="164">
    <w:p w14:paraId="695BB53E" w14:textId="454EB8F2" w:rsidR="007230A1" w:rsidRPr="00582553" w:rsidRDefault="007230A1"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See Annex </w:t>
      </w:r>
      <w:r w:rsidR="00533296" w:rsidRPr="00582553">
        <w:rPr>
          <w:rFonts w:ascii="Times New Roman" w:hAnsi="Times New Roman" w:cs="Times New Roman"/>
          <w:sz w:val="18"/>
          <w:szCs w:val="18"/>
        </w:rPr>
        <w:t>4</w:t>
      </w:r>
      <w:r w:rsidRPr="00582553">
        <w:rPr>
          <w:rFonts w:ascii="Times New Roman" w:hAnsi="Times New Roman" w:cs="Times New Roman"/>
          <w:sz w:val="18"/>
          <w:szCs w:val="18"/>
        </w:rPr>
        <w:t xml:space="preserve">, section </w:t>
      </w:r>
      <w:r w:rsidR="0041254F" w:rsidRPr="00582553">
        <w:rPr>
          <w:rFonts w:ascii="Times New Roman" w:hAnsi="Times New Roman" w:cs="Times New Roman"/>
          <w:sz w:val="18"/>
          <w:szCs w:val="18"/>
        </w:rPr>
        <w:t>4</w:t>
      </w:r>
      <w:r w:rsidR="00F15DAF" w:rsidRPr="00582553">
        <w:rPr>
          <w:rFonts w:ascii="Times New Roman" w:hAnsi="Times New Roman" w:cs="Times New Roman"/>
          <w:sz w:val="18"/>
          <w:szCs w:val="18"/>
        </w:rPr>
        <w:t>.</w:t>
      </w:r>
      <w:r w:rsidRPr="00582553">
        <w:rPr>
          <w:rFonts w:ascii="Times New Roman" w:hAnsi="Times New Roman" w:cs="Times New Roman"/>
          <w:sz w:val="18"/>
          <w:szCs w:val="18"/>
        </w:rPr>
        <w:t>2 for details.</w:t>
      </w:r>
    </w:p>
  </w:footnote>
  <w:footnote w:id="165">
    <w:p w14:paraId="17BD7870" w14:textId="572DA59D" w:rsidR="00563695" w:rsidRPr="00582553" w:rsidRDefault="00563695"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Defined as having less than 10 full-time equivalent personnel (FTEs)</w:t>
      </w:r>
      <w:r w:rsidR="007051F0" w:rsidRPr="00582553">
        <w:rPr>
          <w:rFonts w:ascii="Times New Roman" w:hAnsi="Times New Roman" w:cs="Times New Roman"/>
          <w:sz w:val="18"/>
          <w:szCs w:val="18"/>
          <w:lang w:val="en-IE"/>
        </w:rPr>
        <w:t xml:space="preserve"> working on interest representation activities.</w:t>
      </w:r>
    </w:p>
  </w:footnote>
  <w:footnote w:id="166">
    <w:p w14:paraId="5077FF53" w14:textId="655F1064" w:rsidR="00030047" w:rsidRPr="00582553" w:rsidRDefault="0003004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 xml:space="preserve">Defined as having </w:t>
      </w:r>
      <w:r w:rsidR="007051F0" w:rsidRPr="00582553">
        <w:rPr>
          <w:rFonts w:ascii="Times New Roman" w:hAnsi="Times New Roman" w:cs="Times New Roman"/>
          <w:sz w:val="18"/>
          <w:szCs w:val="18"/>
          <w:lang w:val="en-IE"/>
        </w:rPr>
        <w:t>between</w:t>
      </w:r>
      <w:r w:rsidRPr="00582553">
        <w:rPr>
          <w:rFonts w:ascii="Times New Roman" w:hAnsi="Times New Roman" w:cs="Times New Roman"/>
          <w:sz w:val="18"/>
          <w:szCs w:val="18"/>
          <w:lang w:val="en-IE"/>
        </w:rPr>
        <w:t xml:space="preserve"> 10</w:t>
      </w:r>
      <w:r w:rsidR="00416AAC" w:rsidRPr="00582553">
        <w:rPr>
          <w:rFonts w:ascii="Times New Roman" w:hAnsi="Times New Roman" w:cs="Times New Roman"/>
          <w:sz w:val="18"/>
          <w:szCs w:val="18"/>
          <w:lang w:val="en-IE"/>
        </w:rPr>
        <w:t xml:space="preserve"> and </w:t>
      </w:r>
      <w:r w:rsidR="00D33F92" w:rsidRPr="00582553">
        <w:rPr>
          <w:rFonts w:ascii="Times New Roman" w:hAnsi="Times New Roman" w:cs="Times New Roman"/>
          <w:sz w:val="18"/>
          <w:szCs w:val="18"/>
          <w:lang w:val="en-IE"/>
        </w:rPr>
        <w:t>20</w:t>
      </w:r>
      <w:r w:rsidRPr="00582553">
        <w:rPr>
          <w:rFonts w:ascii="Times New Roman" w:hAnsi="Times New Roman" w:cs="Times New Roman"/>
          <w:sz w:val="18"/>
          <w:szCs w:val="18"/>
          <w:lang w:val="en-IE"/>
        </w:rPr>
        <w:t xml:space="preserve"> full-time equivalent personnel (FTEs)</w:t>
      </w:r>
      <w:r w:rsidR="007051F0" w:rsidRPr="00582553">
        <w:rPr>
          <w:rFonts w:ascii="Times New Roman" w:hAnsi="Times New Roman" w:cs="Times New Roman"/>
          <w:sz w:val="18"/>
          <w:szCs w:val="18"/>
          <w:lang w:val="en-IE"/>
        </w:rPr>
        <w:t xml:space="preserve"> working on interest representation activities.</w:t>
      </w:r>
    </w:p>
  </w:footnote>
  <w:footnote w:id="167">
    <w:p w14:paraId="0CD87871" w14:textId="1FA7B134" w:rsidR="00030047" w:rsidRPr="00582553" w:rsidRDefault="0003004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 xml:space="preserve">Defined as having more than </w:t>
      </w:r>
      <w:r w:rsidR="00416AAC" w:rsidRPr="00582553">
        <w:rPr>
          <w:rFonts w:ascii="Times New Roman" w:hAnsi="Times New Roman" w:cs="Times New Roman"/>
          <w:sz w:val="18"/>
          <w:szCs w:val="18"/>
          <w:lang w:val="en-IE"/>
        </w:rPr>
        <w:t>20</w:t>
      </w:r>
      <w:r w:rsidRPr="00582553">
        <w:rPr>
          <w:rFonts w:ascii="Times New Roman" w:hAnsi="Times New Roman" w:cs="Times New Roman"/>
          <w:sz w:val="18"/>
          <w:szCs w:val="18"/>
          <w:lang w:val="en-IE"/>
        </w:rPr>
        <w:t xml:space="preserve"> full-time equivalent personnel (FTEs)</w:t>
      </w:r>
      <w:r w:rsidR="007051F0" w:rsidRPr="00582553">
        <w:rPr>
          <w:rFonts w:ascii="Times New Roman" w:hAnsi="Times New Roman" w:cs="Times New Roman"/>
          <w:sz w:val="18"/>
          <w:szCs w:val="18"/>
          <w:lang w:val="en-IE"/>
        </w:rPr>
        <w:t xml:space="preserve"> working on interest representation </w:t>
      </w:r>
      <w:r w:rsidR="002678E7" w:rsidRPr="00582553">
        <w:rPr>
          <w:rFonts w:ascii="Times New Roman" w:hAnsi="Times New Roman" w:cs="Times New Roman"/>
          <w:sz w:val="18"/>
          <w:szCs w:val="18"/>
          <w:lang w:val="en-IE"/>
        </w:rPr>
        <w:t>activities</w:t>
      </w:r>
      <w:r w:rsidR="007051F0" w:rsidRPr="00582553">
        <w:rPr>
          <w:rFonts w:ascii="Times New Roman" w:hAnsi="Times New Roman" w:cs="Times New Roman"/>
          <w:sz w:val="18"/>
          <w:szCs w:val="18"/>
          <w:lang w:val="en-IE"/>
        </w:rPr>
        <w:t>.</w:t>
      </w:r>
    </w:p>
  </w:footnote>
  <w:footnote w:id="168">
    <w:p w14:paraId="558E13D5" w14:textId="17323313" w:rsidR="007051F0" w:rsidRPr="00582553" w:rsidRDefault="007051F0"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See Annex </w:t>
      </w:r>
      <w:r w:rsidR="00533296" w:rsidRPr="00582553">
        <w:rPr>
          <w:rFonts w:ascii="Times New Roman" w:hAnsi="Times New Roman" w:cs="Times New Roman"/>
          <w:sz w:val="18"/>
          <w:szCs w:val="18"/>
        </w:rPr>
        <w:t>4</w:t>
      </w:r>
      <w:r w:rsidRPr="00582553">
        <w:rPr>
          <w:rFonts w:ascii="Times New Roman" w:hAnsi="Times New Roman" w:cs="Times New Roman"/>
          <w:sz w:val="18"/>
          <w:szCs w:val="18"/>
        </w:rPr>
        <w:t>, section 2 for details.</w:t>
      </w:r>
    </w:p>
  </w:footnote>
  <w:footnote w:id="169">
    <w:p w14:paraId="3EA533CB" w14:textId="4FD7EE0D" w:rsidR="00226107" w:rsidRPr="00582553" w:rsidRDefault="00226107" w:rsidP="00582553">
      <w:pPr>
        <w:pStyle w:val="FootnoteText"/>
        <w:spacing w:after="0"/>
        <w:ind w:left="284" w:hanging="284"/>
        <w:rPr>
          <w:sz w:val="18"/>
          <w:szCs w:val="18"/>
        </w:rPr>
      </w:pPr>
      <w:r w:rsidRPr="00582553">
        <w:rPr>
          <w:rStyle w:val="FootnoteReference"/>
          <w:sz w:val="18"/>
          <w:szCs w:val="18"/>
        </w:rPr>
        <w:footnoteRef/>
      </w:r>
      <w:r w:rsidRPr="00582553">
        <w:rPr>
          <w:sz w:val="18"/>
          <w:szCs w:val="18"/>
        </w:rPr>
        <w:t xml:space="preserve"> </w:t>
      </w:r>
      <w:r w:rsidRPr="00582553">
        <w:rPr>
          <w:sz w:val="18"/>
          <w:szCs w:val="18"/>
        </w:rPr>
        <w:tab/>
        <w:t xml:space="preserve">Within the application for a licence, entities within scope would be required to submit the same information as under the registration obligations of policy option 2.1. </w:t>
      </w:r>
      <w:r w:rsidR="00DF2949" w:rsidRPr="00582553">
        <w:rPr>
          <w:sz w:val="18"/>
          <w:szCs w:val="18"/>
        </w:rPr>
        <w:t>W</w:t>
      </w:r>
      <w:r w:rsidRPr="00582553">
        <w:rPr>
          <w:sz w:val="18"/>
          <w:szCs w:val="18"/>
        </w:rPr>
        <w:t xml:space="preserve">hile this could lead to hassle costs (e.g. from delaying the provision of services), the core activities, and direct costs, stemming from the prior authorisation / licencing system would be covered by the registration and information update costs detailed above. Annex 4 provides further details on this analysis. </w:t>
      </w:r>
    </w:p>
  </w:footnote>
  <w:footnote w:id="170">
    <w:p w14:paraId="79597A11" w14:textId="5CDA3D81" w:rsidR="00220E03" w:rsidRPr="00582553" w:rsidRDefault="00220E03"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In its answer to the Commission’s questionnaire, </w:t>
      </w:r>
      <w:r w:rsidR="003A69E2" w:rsidRPr="00582553">
        <w:rPr>
          <w:rFonts w:ascii="Times New Roman" w:hAnsi="Times New Roman" w:cs="Times New Roman"/>
          <w:sz w:val="18"/>
          <w:szCs w:val="18"/>
        </w:rPr>
        <w:t xml:space="preserve">1 </w:t>
      </w:r>
      <w:r w:rsidRPr="00582553">
        <w:rPr>
          <w:rFonts w:ascii="Times New Roman" w:hAnsi="Times New Roman" w:cs="Times New Roman"/>
          <w:sz w:val="18"/>
          <w:szCs w:val="18"/>
        </w:rPr>
        <w:t>CSO</w:t>
      </w:r>
      <w:r w:rsidR="00663A1C" w:rsidRPr="00582553">
        <w:rPr>
          <w:rFonts w:ascii="Times New Roman" w:hAnsi="Times New Roman" w:cs="Times New Roman"/>
          <w:sz w:val="18"/>
          <w:szCs w:val="18"/>
        </w:rPr>
        <w:t xml:space="preserve"> underscored that </w:t>
      </w:r>
      <w:r w:rsidR="00F24978" w:rsidRPr="00582553">
        <w:rPr>
          <w:rFonts w:ascii="Times New Roman" w:hAnsi="Times New Roman" w:cs="Times New Roman"/>
          <w:sz w:val="18"/>
          <w:szCs w:val="18"/>
        </w:rPr>
        <w:t>“</w:t>
      </w:r>
      <w:r w:rsidR="003924A6" w:rsidRPr="00582553">
        <w:rPr>
          <w:rFonts w:ascii="Times New Roman" w:hAnsi="Times New Roman" w:cs="Times New Roman"/>
          <w:i/>
          <w:iCs/>
          <w:sz w:val="18"/>
          <w:szCs w:val="18"/>
        </w:rPr>
        <w:t>a</w:t>
      </w:r>
      <w:r w:rsidR="00663A1C" w:rsidRPr="00582553">
        <w:rPr>
          <w:rFonts w:ascii="Times New Roman" w:hAnsi="Times New Roman" w:cs="Times New Roman"/>
          <w:i/>
          <w:iCs/>
          <w:sz w:val="18"/>
          <w:szCs w:val="18"/>
        </w:rPr>
        <w:t>ll entities involved in interest representation and receiving funding from governments should be equally accountable, which means that transparency requirements should apply to all bodies involved in the EU legislative process. However, small and large actors should not be in unequal situations in terms, amongst others, of the administrative burden of registering. According to the principle of proportionality and equality, SMEs</w:t>
      </w:r>
      <w:r w:rsidR="003924A6" w:rsidRPr="00582553">
        <w:rPr>
          <w:rFonts w:ascii="Times New Roman" w:hAnsi="Times New Roman" w:cs="Times New Roman"/>
          <w:i/>
          <w:iCs/>
          <w:sz w:val="18"/>
          <w:szCs w:val="18"/>
        </w:rPr>
        <w:t xml:space="preserve"> </w:t>
      </w:r>
      <w:r w:rsidR="00663A1C" w:rsidRPr="00582553">
        <w:rPr>
          <w:rFonts w:ascii="Times New Roman" w:hAnsi="Times New Roman" w:cs="Times New Roman"/>
          <w:i/>
          <w:iCs/>
          <w:sz w:val="18"/>
          <w:szCs w:val="18"/>
        </w:rPr>
        <w:t>and other small actors should benefit from the removal of unnecessary burdens.</w:t>
      </w:r>
      <w:r w:rsidR="003924A6" w:rsidRPr="00582553">
        <w:rPr>
          <w:rFonts w:ascii="Times New Roman" w:hAnsi="Times New Roman" w:cs="Times New Roman"/>
          <w:i/>
          <w:iCs/>
          <w:sz w:val="18"/>
          <w:szCs w:val="18"/>
        </w:rPr>
        <w:t>”</w:t>
      </w:r>
      <w:r w:rsidR="00121BC8" w:rsidRPr="00582553">
        <w:rPr>
          <w:rFonts w:ascii="Times New Roman" w:hAnsi="Times New Roman" w:cs="Times New Roman"/>
          <w:sz w:val="18"/>
          <w:szCs w:val="18"/>
        </w:rPr>
        <w:t xml:space="preserve"> </w:t>
      </w:r>
      <w:r w:rsidR="006F2D4C" w:rsidRPr="00582553">
        <w:rPr>
          <w:rFonts w:ascii="Times New Roman" w:hAnsi="Times New Roman" w:cs="Times New Roman"/>
          <w:sz w:val="18"/>
          <w:szCs w:val="18"/>
        </w:rPr>
        <w:t xml:space="preserve">Additionally, </w:t>
      </w:r>
      <w:r w:rsidR="0013423B" w:rsidRPr="00582553">
        <w:rPr>
          <w:rFonts w:ascii="Times New Roman" w:hAnsi="Times New Roman" w:cs="Times New Roman"/>
          <w:sz w:val="18"/>
          <w:szCs w:val="18"/>
        </w:rPr>
        <w:t>no Member State argue</w:t>
      </w:r>
      <w:r w:rsidR="007444C5" w:rsidRPr="00582553">
        <w:rPr>
          <w:rFonts w:ascii="Times New Roman" w:hAnsi="Times New Roman" w:cs="Times New Roman"/>
          <w:sz w:val="18"/>
          <w:szCs w:val="18"/>
        </w:rPr>
        <w:t xml:space="preserve">d </w:t>
      </w:r>
      <w:r w:rsidR="006F2D4C" w:rsidRPr="00582553">
        <w:rPr>
          <w:rFonts w:ascii="Times New Roman" w:hAnsi="Times New Roman" w:cs="Times New Roman"/>
          <w:sz w:val="18"/>
          <w:szCs w:val="18"/>
        </w:rPr>
        <w:t>that SMEs should benefit from a derogation</w:t>
      </w:r>
      <w:r w:rsidR="007444C5" w:rsidRPr="00582553">
        <w:rPr>
          <w:rFonts w:ascii="Times New Roman" w:hAnsi="Times New Roman" w:cs="Times New Roman"/>
          <w:sz w:val="18"/>
          <w:szCs w:val="18"/>
        </w:rPr>
        <w:t xml:space="preserve"> </w:t>
      </w:r>
      <w:r w:rsidR="00967DE1" w:rsidRPr="00582553">
        <w:rPr>
          <w:rFonts w:ascii="Times New Roman" w:hAnsi="Times New Roman" w:cs="Times New Roman"/>
          <w:sz w:val="18"/>
          <w:szCs w:val="18"/>
        </w:rPr>
        <w:t xml:space="preserve">and only </w:t>
      </w:r>
      <w:r w:rsidR="00EA7B20" w:rsidRPr="00582553">
        <w:rPr>
          <w:rFonts w:ascii="Times New Roman" w:hAnsi="Times New Roman" w:cs="Times New Roman"/>
          <w:sz w:val="18"/>
          <w:szCs w:val="18"/>
        </w:rPr>
        <w:t xml:space="preserve">1 </w:t>
      </w:r>
      <w:r w:rsidR="00967DE1" w:rsidRPr="00582553">
        <w:rPr>
          <w:rFonts w:ascii="Times New Roman" w:hAnsi="Times New Roman" w:cs="Times New Roman"/>
          <w:sz w:val="18"/>
          <w:szCs w:val="18"/>
        </w:rPr>
        <w:t xml:space="preserve">Member State </w:t>
      </w:r>
      <w:r w:rsidR="001968E8" w:rsidRPr="00582553">
        <w:rPr>
          <w:rFonts w:ascii="Times New Roman" w:hAnsi="Times New Roman" w:cs="Times New Roman"/>
          <w:sz w:val="18"/>
          <w:szCs w:val="18"/>
        </w:rPr>
        <w:t xml:space="preserve">(out of 15) </w:t>
      </w:r>
      <w:r w:rsidR="00967DE1" w:rsidRPr="00582553">
        <w:rPr>
          <w:rFonts w:ascii="Times New Roman" w:hAnsi="Times New Roman" w:cs="Times New Roman"/>
          <w:sz w:val="18"/>
          <w:szCs w:val="18"/>
        </w:rPr>
        <w:t>emphasized that “</w:t>
      </w:r>
      <w:r w:rsidR="00967DE1" w:rsidRPr="00582553">
        <w:rPr>
          <w:rFonts w:ascii="Times New Roman" w:hAnsi="Times New Roman" w:cs="Times New Roman"/>
          <w:i/>
          <w:sz w:val="18"/>
          <w:szCs w:val="18"/>
        </w:rPr>
        <w:t xml:space="preserve">additional excessive administrative burdens </w:t>
      </w:r>
      <w:r w:rsidR="004F3DF5" w:rsidRPr="00582553">
        <w:rPr>
          <w:rFonts w:ascii="Times New Roman" w:hAnsi="Times New Roman" w:cs="Times New Roman"/>
          <w:i/>
          <w:sz w:val="18"/>
          <w:szCs w:val="18"/>
        </w:rPr>
        <w:t>on CSOs, social partners, and SMEs</w:t>
      </w:r>
      <w:r w:rsidR="004F3DF5" w:rsidRPr="00582553">
        <w:rPr>
          <w:rFonts w:ascii="Times New Roman" w:hAnsi="Times New Roman" w:cs="Times New Roman"/>
          <w:sz w:val="18"/>
          <w:szCs w:val="18"/>
        </w:rPr>
        <w:t xml:space="preserve">” should be avoided. </w:t>
      </w:r>
      <w:r w:rsidR="009F31B9" w:rsidRPr="00582553">
        <w:rPr>
          <w:rFonts w:ascii="Times New Roman" w:hAnsi="Times New Roman" w:cs="Times New Roman"/>
          <w:sz w:val="18"/>
          <w:szCs w:val="18"/>
        </w:rPr>
        <w:t xml:space="preserve">All 3 industry representatives are not in favour of any specific exemptions for certain entities or of any </w:t>
      </w:r>
      <w:r w:rsidR="009F31B9" w:rsidRPr="00582553">
        <w:rPr>
          <w:rFonts w:ascii="Times New Roman" w:hAnsi="Times New Roman" w:cs="Times New Roman"/>
          <w:i/>
          <w:iCs/>
          <w:sz w:val="18"/>
          <w:szCs w:val="18"/>
        </w:rPr>
        <w:t>de minimis</w:t>
      </w:r>
      <w:r w:rsidR="009F31B9" w:rsidRPr="00582553">
        <w:rPr>
          <w:rFonts w:ascii="Times New Roman" w:hAnsi="Times New Roman" w:cs="Times New Roman"/>
          <w:sz w:val="18"/>
          <w:szCs w:val="18"/>
        </w:rPr>
        <w:t xml:space="preserve"> threshold.</w:t>
      </w:r>
    </w:p>
  </w:footnote>
  <w:footnote w:id="171">
    <w:p w14:paraId="3096CEEC" w14:textId="13C73A63" w:rsidR="00575251" w:rsidRPr="00582553" w:rsidRDefault="00575251"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Regulation (EU) 2018/1724 of the European Parliament and of the Council of 2 October 2018 establishing a single digital gateway to provide access to information, to procedures and to assistance and problem-solving services and amending Regulation (EU) 1024/2012</w:t>
      </w:r>
      <w:r w:rsidR="007212DF" w:rsidRPr="00582553">
        <w:rPr>
          <w:rFonts w:ascii="Times New Roman" w:hAnsi="Times New Roman" w:cs="Times New Roman"/>
          <w:sz w:val="18"/>
          <w:szCs w:val="18"/>
        </w:rPr>
        <w:t>.</w:t>
      </w:r>
    </w:p>
  </w:footnote>
  <w:footnote w:id="172">
    <w:p w14:paraId="7D7278FE" w14:textId="540ADEB3" w:rsidR="00374753" w:rsidRPr="00582553" w:rsidRDefault="00374753"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Regulation (EU) 1024/2012 of the European Parliament and of the Council of 25 October 2012 on administrative cooperation through the Internal Market Information System and repealing Commission Decision 2008/49/EC (‘the IMI Regulation’).</w:t>
      </w:r>
    </w:p>
  </w:footnote>
  <w:footnote w:id="173">
    <w:p w14:paraId="1593609E" w14:textId="14C3D1BF" w:rsidR="00E74F45" w:rsidRPr="00582553" w:rsidRDefault="00E74F45" w:rsidP="00582553">
      <w:pPr>
        <w:pStyle w:val="FootnoteText"/>
        <w:spacing w:after="0"/>
        <w:ind w:left="284" w:hanging="284"/>
        <w:rPr>
          <w:rStyle w:val="FootnoteReference"/>
          <w:rFonts w:ascii="Times New Roman" w:hAnsi="Times New Roman" w:cs="Times New Roman"/>
          <w:sz w:val="18"/>
          <w:szCs w:val="18"/>
          <w:lang w:val="es-ES"/>
        </w:rPr>
      </w:pPr>
      <w:r w:rsidRPr="00582553">
        <w:rPr>
          <w:rStyle w:val="FootnoteReference"/>
          <w:rFonts w:ascii="Times New Roman" w:hAnsi="Times New Roman" w:cs="Times New Roman"/>
          <w:sz w:val="18"/>
          <w:szCs w:val="18"/>
          <w:lang w:val="en-IE"/>
        </w:rPr>
        <w:footnoteRef/>
      </w:r>
      <w:r w:rsidRPr="00582553">
        <w:rPr>
          <w:rStyle w:val="FootnoteReference"/>
          <w:rFonts w:ascii="Times New Roman" w:hAnsi="Times New Roman" w:cs="Times New Roman"/>
          <w:sz w:val="18"/>
          <w:szCs w:val="18"/>
          <w:lang w:val="es-ES"/>
        </w:rPr>
        <w:t xml:space="preserve"> </w:t>
      </w:r>
      <w:r w:rsidRPr="00582553">
        <w:rPr>
          <w:rStyle w:val="FootnoteReference"/>
          <w:rFonts w:ascii="Times New Roman" w:hAnsi="Times New Roman" w:cs="Times New Roman"/>
          <w:sz w:val="18"/>
          <w:szCs w:val="18"/>
          <w:lang w:val="es-ES"/>
        </w:rPr>
        <w:tab/>
      </w:r>
      <w:r w:rsidR="00B35A56" w:rsidRPr="00582553">
        <w:rPr>
          <w:rFonts w:ascii="Times New Roman" w:hAnsi="Times New Roman" w:cs="Times New Roman"/>
          <w:sz w:val="18"/>
          <w:szCs w:val="18"/>
          <w:lang w:val="es-ES" w:eastAsia="en-IE"/>
        </w:rPr>
        <w:t xml:space="preserve">IE, EL, ES, FR, IT, CY, </w:t>
      </w:r>
      <w:r w:rsidR="009975B3" w:rsidRPr="00582553">
        <w:rPr>
          <w:rFonts w:ascii="Times New Roman" w:hAnsi="Times New Roman" w:cs="Times New Roman"/>
          <w:sz w:val="18"/>
          <w:szCs w:val="18"/>
          <w:lang w:val="es-ES" w:eastAsia="en-IE"/>
        </w:rPr>
        <w:t xml:space="preserve">LT, </w:t>
      </w:r>
      <w:r w:rsidR="00ED5F9A" w:rsidRPr="00582553">
        <w:rPr>
          <w:rFonts w:ascii="Times New Roman" w:hAnsi="Times New Roman" w:cs="Times New Roman"/>
          <w:sz w:val="18"/>
          <w:szCs w:val="18"/>
          <w:lang w:val="es-ES" w:eastAsia="en-IE"/>
        </w:rPr>
        <w:t xml:space="preserve">LU, </w:t>
      </w:r>
      <w:r w:rsidR="009975B3" w:rsidRPr="00582553">
        <w:rPr>
          <w:rFonts w:ascii="Times New Roman" w:hAnsi="Times New Roman" w:cs="Times New Roman"/>
          <w:sz w:val="18"/>
          <w:szCs w:val="18"/>
          <w:lang w:val="es-ES" w:eastAsia="en-IE"/>
        </w:rPr>
        <w:t xml:space="preserve">NL, </w:t>
      </w:r>
      <w:r w:rsidRPr="00582553">
        <w:rPr>
          <w:rFonts w:ascii="Times New Roman" w:hAnsi="Times New Roman" w:cs="Times New Roman"/>
          <w:sz w:val="18"/>
          <w:szCs w:val="18"/>
          <w:lang w:val="es-ES" w:eastAsia="en-IE"/>
        </w:rPr>
        <w:t>AT, FI, DE, PL, RO, SI.</w:t>
      </w:r>
    </w:p>
  </w:footnote>
  <w:footnote w:id="174">
    <w:p w14:paraId="720493ED" w14:textId="5B38203C" w:rsidR="00426C83" w:rsidRPr="00582553" w:rsidRDefault="00426C83"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eastAsia="Symbol" w:hAnsi="Times New Roman" w:cs="Times New Roman"/>
          <w:sz w:val="18"/>
          <w:szCs w:val="18"/>
          <w:lang w:val="en-IE"/>
        </w:rPr>
        <w:tab/>
      </w:r>
      <w:r w:rsidRPr="00582553">
        <w:rPr>
          <w:rFonts w:ascii="Times New Roman" w:hAnsi="Times New Roman" w:cs="Times New Roman"/>
          <w:sz w:val="18"/>
          <w:szCs w:val="18"/>
          <w:lang w:val="en-IE" w:eastAsia="en-IE"/>
        </w:rPr>
        <w:t xml:space="preserve">BE, BG, </w:t>
      </w:r>
      <w:r w:rsidR="006A1D67" w:rsidRPr="00582553">
        <w:rPr>
          <w:rFonts w:ascii="Times New Roman" w:hAnsi="Times New Roman" w:cs="Times New Roman"/>
          <w:sz w:val="18"/>
          <w:szCs w:val="18"/>
          <w:lang w:val="en-IE" w:eastAsia="en-IE"/>
        </w:rPr>
        <w:t>CZ, DK</w:t>
      </w:r>
      <w:r w:rsidR="00CC04C8" w:rsidRPr="00582553">
        <w:rPr>
          <w:rFonts w:ascii="Times New Roman" w:hAnsi="Times New Roman" w:cs="Times New Roman"/>
          <w:sz w:val="18"/>
          <w:szCs w:val="18"/>
          <w:lang w:val="en-IE" w:eastAsia="en-IE"/>
        </w:rPr>
        <w:t>,</w:t>
      </w:r>
      <w:r w:rsidR="006A1D67" w:rsidRPr="00582553">
        <w:rPr>
          <w:rFonts w:ascii="Times New Roman" w:hAnsi="Times New Roman" w:cs="Times New Roman"/>
          <w:sz w:val="18"/>
          <w:szCs w:val="18"/>
          <w:lang w:val="en-IE" w:eastAsia="en-IE"/>
        </w:rPr>
        <w:t xml:space="preserve"> </w:t>
      </w:r>
      <w:r w:rsidR="00CC04C8" w:rsidRPr="00582553">
        <w:rPr>
          <w:rFonts w:ascii="Times New Roman" w:hAnsi="Times New Roman" w:cs="Times New Roman"/>
          <w:sz w:val="18"/>
          <w:szCs w:val="18"/>
          <w:lang w:val="en-IE" w:eastAsia="en-IE"/>
        </w:rPr>
        <w:t xml:space="preserve">EE, </w:t>
      </w:r>
      <w:r w:rsidRPr="00582553">
        <w:rPr>
          <w:rFonts w:ascii="Times New Roman" w:hAnsi="Times New Roman" w:cs="Times New Roman"/>
          <w:sz w:val="18"/>
          <w:szCs w:val="18"/>
          <w:lang w:val="en-IE" w:eastAsia="en-IE"/>
        </w:rPr>
        <w:t xml:space="preserve">HR, </w:t>
      </w:r>
      <w:r w:rsidR="00CC04C8" w:rsidRPr="00582553">
        <w:rPr>
          <w:rFonts w:ascii="Times New Roman" w:hAnsi="Times New Roman" w:cs="Times New Roman"/>
          <w:sz w:val="18"/>
          <w:szCs w:val="18"/>
          <w:lang w:val="en-IE" w:eastAsia="en-IE"/>
        </w:rPr>
        <w:t>LV,</w:t>
      </w:r>
      <w:r w:rsidR="00CC04C8" w:rsidRPr="00582553" w:rsidDel="006A1D67">
        <w:rPr>
          <w:rFonts w:ascii="Times New Roman" w:hAnsi="Times New Roman" w:cs="Times New Roman"/>
          <w:sz w:val="18"/>
          <w:szCs w:val="18"/>
          <w:lang w:val="en-IE" w:eastAsia="en-IE"/>
        </w:rPr>
        <w:t xml:space="preserve"> </w:t>
      </w:r>
      <w:r w:rsidRPr="00582553">
        <w:rPr>
          <w:rFonts w:ascii="Times New Roman" w:hAnsi="Times New Roman" w:cs="Times New Roman"/>
          <w:sz w:val="18"/>
          <w:szCs w:val="18"/>
          <w:lang w:val="en-IE" w:eastAsia="en-IE"/>
        </w:rPr>
        <w:t>HU, MT, PT, SK, SE.</w:t>
      </w:r>
    </w:p>
  </w:footnote>
  <w:footnote w:id="175">
    <w:p w14:paraId="75A67705" w14:textId="1DA489A9" w:rsidR="00ED1CA7" w:rsidRPr="00582553" w:rsidRDefault="00ED1CA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r>
      <w:r w:rsidRPr="00582553">
        <w:rPr>
          <w:rFonts w:ascii="Times New Roman" w:hAnsi="Times New Roman" w:cs="Times New Roman"/>
          <w:sz w:val="18"/>
          <w:szCs w:val="18"/>
        </w:rPr>
        <w:t xml:space="preserve">See Annex 3, section </w:t>
      </w:r>
      <w:r w:rsidR="00D67399" w:rsidRPr="00582553">
        <w:rPr>
          <w:rFonts w:ascii="Times New Roman" w:hAnsi="Times New Roman" w:cs="Times New Roman"/>
          <w:sz w:val="18"/>
          <w:szCs w:val="18"/>
        </w:rPr>
        <w:t>3.1 for details.</w:t>
      </w:r>
    </w:p>
  </w:footnote>
  <w:footnote w:id="176">
    <w:p w14:paraId="7CE38D20" w14:textId="77777777" w:rsidR="002F39C7" w:rsidRPr="00582553" w:rsidRDefault="002F39C7" w:rsidP="00582553">
      <w:pPr>
        <w:pStyle w:val="FootnoteText"/>
        <w:spacing w:after="0"/>
        <w:ind w:left="284" w:hanging="284"/>
        <w:rPr>
          <w:sz w:val="18"/>
          <w:szCs w:val="18"/>
          <w:lang w:val="en-IE"/>
        </w:rPr>
      </w:pPr>
      <w:r w:rsidRPr="00582553">
        <w:rPr>
          <w:rStyle w:val="FootnoteReference"/>
          <w:sz w:val="18"/>
          <w:szCs w:val="18"/>
        </w:rPr>
        <w:footnoteRef/>
      </w:r>
      <w:r w:rsidRPr="00582553">
        <w:rPr>
          <w:sz w:val="18"/>
          <w:szCs w:val="18"/>
        </w:rPr>
        <w:t xml:space="preserve"> </w:t>
      </w:r>
      <w:r w:rsidRPr="00582553">
        <w:rPr>
          <w:sz w:val="18"/>
          <w:szCs w:val="18"/>
        </w:rPr>
        <w:tab/>
        <w:t>Details on the costs analysis in that 50% take up scenario are provided in Annex 4.</w:t>
      </w:r>
    </w:p>
  </w:footnote>
  <w:footnote w:id="177">
    <w:p w14:paraId="7729E2F7" w14:textId="1FB94D5A" w:rsidR="008745BB" w:rsidRPr="00582553" w:rsidRDefault="008745BB" w:rsidP="00582553">
      <w:pPr>
        <w:pStyle w:val="FootnoteText"/>
        <w:ind w:left="284" w:hanging="284"/>
        <w:rPr>
          <w:sz w:val="18"/>
          <w:szCs w:val="18"/>
          <w:lang w:val="en-IE"/>
        </w:rPr>
      </w:pPr>
      <w:r w:rsidRPr="00582553">
        <w:rPr>
          <w:rStyle w:val="FootnoteReference"/>
          <w:sz w:val="18"/>
          <w:szCs w:val="18"/>
        </w:rPr>
        <w:footnoteRef/>
      </w:r>
      <w:r w:rsidRPr="00582553">
        <w:rPr>
          <w:sz w:val="18"/>
          <w:szCs w:val="18"/>
        </w:rPr>
        <w:t xml:space="preserve"> </w:t>
      </w:r>
      <w:r w:rsidRPr="00582553">
        <w:rPr>
          <w:sz w:val="18"/>
          <w:szCs w:val="18"/>
        </w:rPr>
        <w:tab/>
      </w:r>
      <w:r w:rsidRPr="00582553">
        <w:rPr>
          <w:rFonts w:ascii="Times New Roman" w:hAnsi="Times New Roman" w:cs="Times New Roman"/>
          <w:sz w:val="18"/>
          <w:szCs w:val="18"/>
        </w:rPr>
        <w:t>Information should be considered machine readable if it is provided in a format that software applications can automatically process, without human intervention, in particular for the purpose of identifying, recognising and extracting specific data from it.</w:t>
      </w:r>
    </w:p>
  </w:footnote>
  <w:footnote w:id="178">
    <w:p w14:paraId="77AA1883" w14:textId="739DF7F5" w:rsidR="00CA5AED" w:rsidRPr="00582553" w:rsidRDefault="00CA5AED"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0663EC" w:rsidRPr="00582553">
        <w:rPr>
          <w:rFonts w:ascii="Times New Roman" w:hAnsi="Times New Roman" w:cs="Times New Roman"/>
          <w:sz w:val="18"/>
          <w:szCs w:val="18"/>
        </w:rPr>
        <w:t>1</w:t>
      </w:r>
      <w:r w:rsidR="009E2ADD" w:rsidRPr="00582553">
        <w:rPr>
          <w:rFonts w:ascii="Times New Roman" w:hAnsi="Times New Roman" w:cs="Times New Roman"/>
          <w:sz w:val="18"/>
          <w:szCs w:val="18"/>
        </w:rPr>
        <w:t xml:space="preserve"> </w:t>
      </w:r>
      <w:r w:rsidR="009E2ADD" w:rsidRPr="00582553">
        <w:rPr>
          <w:rFonts w:ascii="Times New Roman" w:hAnsi="Times New Roman" w:cs="Times New Roman"/>
          <w:sz w:val="18"/>
          <w:szCs w:val="18"/>
          <w:lang w:val="en-IE"/>
        </w:rPr>
        <w:t>Member</w:t>
      </w:r>
      <w:r w:rsidR="009E2ADD" w:rsidRPr="00582553">
        <w:rPr>
          <w:rFonts w:ascii="Times New Roman" w:hAnsi="Times New Roman" w:cs="Times New Roman"/>
          <w:sz w:val="18"/>
          <w:szCs w:val="18"/>
        </w:rPr>
        <w:t xml:space="preserve"> State </w:t>
      </w:r>
      <w:r w:rsidR="001968E8" w:rsidRPr="00582553">
        <w:rPr>
          <w:rFonts w:ascii="Times New Roman" w:hAnsi="Times New Roman" w:cs="Times New Roman"/>
          <w:sz w:val="18"/>
          <w:szCs w:val="18"/>
        </w:rPr>
        <w:t xml:space="preserve">(out of 15) </w:t>
      </w:r>
      <w:r w:rsidR="009E2ADD" w:rsidRPr="00582553">
        <w:rPr>
          <w:rFonts w:ascii="Times New Roman" w:hAnsi="Times New Roman" w:cs="Times New Roman"/>
          <w:sz w:val="18"/>
          <w:szCs w:val="18"/>
        </w:rPr>
        <w:t>considered that a network for national supervisory authorities “</w:t>
      </w:r>
      <w:r w:rsidR="009E2ADD" w:rsidRPr="00582553">
        <w:rPr>
          <w:rFonts w:ascii="Times New Roman" w:hAnsi="Times New Roman" w:cs="Times New Roman"/>
          <w:i/>
          <w:iCs/>
          <w:sz w:val="18"/>
          <w:szCs w:val="18"/>
        </w:rPr>
        <w:t>should serve as a platform for regular exchange of information and structured cooperation between supervisory authorities</w:t>
      </w:r>
      <w:r w:rsidR="009E2ADD" w:rsidRPr="00582553">
        <w:rPr>
          <w:rFonts w:ascii="Times New Roman" w:hAnsi="Times New Roman" w:cs="Times New Roman"/>
          <w:sz w:val="18"/>
          <w:szCs w:val="18"/>
        </w:rPr>
        <w:t>”.</w:t>
      </w:r>
    </w:p>
  </w:footnote>
  <w:footnote w:id="179">
    <w:p w14:paraId="2C00F775" w14:textId="68F11BAE" w:rsidR="000D6924" w:rsidRPr="00582553" w:rsidRDefault="000D6924"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4B78C8" w:rsidRPr="00582553">
        <w:rPr>
          <w:rFonts w:ascii="Times New Roman" w:hAnsi="Times New Roman" w:cs="Times New Roman"/>
          <w:sz w:val="18"/>
          <w:szCs w:val="18"/>
        </w:rPr>
        <w:t xml:space="preserve">The concept is inspired by Article 3(3) of </w:t>
      </w:r>
      <w:r w:rsidR="00272EF4" w:rsidRPr="00582553">
        <w:rPr>
          <w:rFonts w:ascii="Times New Roman" w:hAnsi="Times New Roman" w:cs="Times New Roman"/>
          <w:sz w:val="18"/>
          <w:szCs w:val="18"/>
        </w:rPr>
        <w:t>Regulation on foreign subsidies distorting the internal market</w:t>
      </w:r>
      <w:r w:rsidR="00DA4EEE" w:rsidRPr="00582553">
        <w:rPr>
          <w:rFonts w:ascii="Times New Roman" w:hAnsi="Times New Roman" w:cs="Times New Roman"/>
          <w:sz w:val="18"/>
          <w:szCs w:val="18"/>
        </w:rPr>
        <w:t>, see note</w:t>
      </w:r>
      <w:r w:rsidR="00CF551B">
        <w:rPr>
          <w:rFonts w:ascii="Times New Roman" w:hAnsi="Times New Roman" w:cs="Times New Roman"/>
          <w:sz w:val="18"/>
          <w:szCs w:val="18"/>
        </w:rPr>
        <w:t xml:space="preserve"> </w:t>
      </w:r>
      <w:r w:rsidR="00CF551B" w:rsidRPr="001C4A5A">
        <w:rPr>
          <w:rFonts w:ascii="Times New Roman" w:hAnsi="Times New Roman" w:cs="Times New Roman"/>
          <w:sz w:val="18"/>
          <w:szCs w:val="18"/>
        </w:rPr>
        <w:fldChar w:fldCharType="begin"/>
      </w:r>
      <w:r w:rsidR="00CF551B" w:rsidRPr="001C4A5A">
        <w:rPr>
          <w:rFonts w:ascii="Times New Roman" w:hAnsi="Times New Roman" w:cs="Times New Roman"/>
          <w:sz w:val="18"/>
          <w:szCs w:val="18"/>
        </w:rPr>
        <w:instrText xml:space="preserve"> NOTEREF _Ref151564535 \h </w:instrText>
      </w:r>
      <w:r w:rsidR="001C4A5A">
        <w:rPr>
          <w:rFonts w:ascii="Times New Roman" w:hAnsi="Times New Roman" w:cs="Times New Roman"/>
          <w:sz w:val="18"/>
          <w:szCs w:val="18"/>
        </w:rPr>
        <w:instrText xml:space="preserve"> \* MERGEFORMAT </w:instrText>
      </w:r>
      <w:r w:rsidR="00CF551B" w:rsidRPr="001C4A5A">
        <w:rPr>
          <w:rFonts w:ascii="Times New Roman" w:hAnsi="Times New Roman" w:cs="Times New Roman"/>
          <w:sz w:val="18"/>
          <w:szCs w:val="18"/>
        </w:rPr>
      </w:r>
      <w:r w:rsidR="00CF551B" w:rsidRPr="001C4A5A">
        <w:rPr>
          <w:rFonts w:ascii="Times New Roman" w:hAnsi="Times New Roman" w:cs="Times New Roman"/>
          <w:sz w:val="18"/>
          <w:szCs w:val="18"/>
        </w:rPr>
        <w:fldChar w:fldCharType="separate"/>
      </w:r>
      <w:r w:rsidR="00DD4A72">
        <w:rPr>
          <w:rFonts w:ascii="Times New Roman" w:hAnsi="Times New Roman" w:cs="Times New Roman"/>
          <w:sz w:val="18"/>
          <w:szCs w:val="18"/>
        </w:rPr>
        <w:t>3</w:t>
      </w:r>
      <w:r w:rsidR="00CF551B" w:rsidRPr="001C4A5A">
        <w:rPr>
          <w:rFonts w:ascii="Times New Roman" w:hAnsi="Times New Roman" w:cs="Times New Roman"/>
          <w:sz w:val="18"/>
          <w:szCs w:val="18"/>
        </w:rPr>
        <w:fldChar w:fldCharType="end"/>
      </w:r>
      <w:r w:rsidR="00272EF4" w:rsidRPr="00582553">
        <w:rPr>
          <w:rFonts w:ascii="Times New Roman" w:hAnsi="Times New Roman" w:cs="Times New Roman"/>
          <w:sz w:val="18"/>
          <w:szCs w:val="18"/>
        </w:rPr>
        <w:t>.</w:t>
      </w:r>
    </w:p>
  </w:footnote>
  <w:footnote w:id="180">
    <w:p w14:paraId="213550BC" w14:textId="4B068131" w:rsidR="001A4657" w:rsidRPr="00582553" w:rsidRDefault="001A4657" w:rsidP="00582553">
      <w:pPr>
        <w:pStyle w:val="FootnoteText"/>
        <w:spacing w:after="0"/>
        <w:ind w:left="284" w:hanging="284"/>
        <w:rPr>
          <w:rFonts w:ascii="Times New Roman" w:hAnsi="Times New Roman" w:cs="Times New Roman"/>
          <w:sz w:val="18"/>
          <w:szCs w:val="18"/>
          <w:lang w:val="en-IE"/>
        </w:rPr>
      </w:pPr>
      <w:r w:rsidRPr="00582553">
        <w:rPr>
          <w:rFonts w:ascii="Times New Roman" w:hAnsi="Times New Roman" w:cs="Times New Roman"/>
          <w:sz w:val="18"/>
          <w:szCs w:val="18"/>
          <w:vertAlign w:val="superscript"/>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4A5785" w:rsidRPr="00582553">
        <w:rPr>
          <w:rFonts w:ascii="Times New Roman" w:hAnsi="Times New Roman" w:cs="Times New Roman"/>
          <w:sz w:val="18"/>
          <w:szCs w:val="18"/>
        </w:rPr>
        <w:t>2</w:t>
      </w:r>
      <w:r w:rsidRPr="00582553">
        <w:rPr>
          <w:rFonts w:ascii="Times New Roman" w:hAnsi="Times New Roman" w:cs="Times New Roman"/>
          <w:sz w:val="18"/>
          <w:szCs w:val="18"/>
        </w:rPr>
        <w:t xml:space="preserve"> CSOs</w:t>
      </w:r>
      <w:r w:rsidR="004C067B" w:rsidRPr="00582553">
        <w:rPr>
          <w:rFonts w:ascii="Times New Roman" w:hAnsi="Times New Roman" w:cs="Times New Roman"/>
          <w:sz w:val="18"/>
          <w:szCs w:val="18"/>
        </w:rPr>
        <w:t xml:space="preserve"> (out of 11)</w:t>
      </w:r>
      <w:r w:rsidRPr="00582553">
        <w:rPr>
          <w:rFonts w:ascii="Times New Roman" w:hAnsi="Times New Roman" w:cs="Times New Roman"/>
          <w:sz w:val="18"/>
          <w:szCs w:val="18"/>
        </w:rPr>
        <w:t xml:space="preserve"> support such compliance </w:t>
      </w:r>
      <w:r w:rsidR="004C067B" w:rsidRPr="00582553">
        <w:rPr>
          <w:rFonts w:ascii="Times New Roman" w:hAnsi="Times New Roman" w:cs="Times New Roman"/>
          <w:sz w:val="18"/>
          <w:szCs w:val="18"/>
        </w:rPr>
        <w:t>mechanism</w:t>
      </w:r>
      <w:r w:rsidRPr="00582553">
        <w:rPr>
          <w:rFonts w:ascii="Times New Roman" w:hAnsi="Times New Roman" w:cs="Times New Roman"/>
          <w:sz w:val="18"/>
          <w:szCs w:val="18"/>
        </w:rPr>
        <w:t>,</w:t>
      </w:r>
      <w:r w:rsidR="004C067B" w:rsidRPr="00582553">
        <w:rPr>
          <w:rFonts w:ascii="Times New Roman" w:hAnsi="Times New Roman" w:cs="Times New Roman"/>
          <w:sz w:val="18"/>
          <w:szCs w:val="18"/>
        </w:rPr>
        <w:t xml:space="preserve"> </w:t>
      </w:r>
      <w:r w:rsidR="00026DB1" w:rsidRPr="00582553">
        <w:rPr>
          <w:rFonts w:ascii="Times New Roman" w:hAnsi="Times New Roman" w:cs="Times New Roman"/>
          <w:sz w:val="18"/>
          <w:szCs w:val="18"/>
        </w:rPr>
        <w:t xml:space="preserve">1 </w:t>
      </w:r>
      <w:r w:rsidRPr="00582553">
        <w:rPr>
          <w:rFonts w:ascii="Times New Roman" w:hAnsi="Times New Roman" w:cs="Times New Roman"/>
          <w:sz w:val="18"/>
          <w:szCs w:val="18"/>
        </w:rPr>
        <w:t xml:space="preserve">of </w:t>
      </w:r>
      <w:r w:rsidRPr="00582553">
        <w:rPr>
          <w:rFonts w:ascii="Times New Roman" w:hAnsi="Times New Roman" w:cs="Times New Roman"/>
          <w:sz w:val="18"/>
          <w:szCs w:val="18"/>
          <w:lang w:val="en-IE"/>
        </w:rPr>
        <w:t>them stating: “</w:t>
      </w:r>
      <w:r w:rsidR="0063081E" w:rsidRPr="00582553">
        <w:rPr>
          <w:rFonts w:ascii="Times New Roman" w:hAnsi="Times New Roman" w:cs="Times New Roman"/>
          <w:i/>
          <w:iCs/>
          <w:sz w:val="18"/>
          <w:szCs w:val="18"/>
          <w:lang w:val="en-IE"/>
        </w:rPr>
        <w:t xml:space="preserve">CSOs and human rights </w:t>
      </w:r>
      <w:r w:rsidR="0063081E" w:rsidRPr="00582553">
        <w:rPr>
          <w:rFonts w:ascii="Times New Roman" w:hAnsi="Times New Roman" w:cs="Times New Roman"/>
          <w:i/>
          <w:sz w:val="18"/>
          <w:szCs w:val="18"/>
          <w:lang w:val="en-IE"/>
        </w:rPr>
        <w:t>defender</w:t>
      </w:r>
      <w:r w:rsidR="00B05AC5" w:rsidRPr="00582553">
        <w:rPr>
          <w:rFonts w:ascii="Times New Roman" w:hAnsi="Times New Roman" w:cs="Times New Roman"/>
          <w:i/>
          <w:sz w:val="18"/>
          <w:szCs w:val="18"/>
          <w:lang w:val="en-IE"/>
        </w:rPr>
        <w:t>s</w:t>
      </w:r>
      <w:r w:rsidR="0063081E" w:rsidRPr="00582553">
        <w:rPr>
          <w:rFonts w:ascii="Times New Roman" w:hAnsi="Times New Roman" w:cs="Times New Roman"/>
          <w:i/>
          <w:iCs/>
          <w:sz w:val="18"/>
          <w:szCs w:val="18"/>
          <w:lang w:val="en-IE"/>
        </w:rPr>
        <w:t>, in their quality as trusted actors that contribute to the promotion and protection of democratic standards, should be put in a positio</w:t>
      </w:r>
      <w:r w:rsidR="005D4EC1" w:rsidRPr="00582553">
        <w:rPr>
          <w:rFonts w:ascii="Times New Roman" w:hAnsi="Times New Roman" w:cs="Times New Roman"/>
          <w:i/>
          <w:iCs/>
          <w:sz w:val="18"/>
          <w:szCs w:val="18"/>
          <w:lang w:val="en-IE"/>
        </w:rPr>
        <w:t xml:space="preserve">n to report to supervisory </w:t>
      </w:r>
      <w:r w:rsidR="00B05AC5" w:rsidRPr="00582553">
        <w:rPr>
          <w:rFonts w:ascii="Times New Roman" w:hAnsi="Times New Roman" w:cs="Times New Roman"/>
          <w:i/>
          <w:sz w:val="18"/>
          <w:szCs w:val="18"/>
          <w:lang w:val="en-IE"/>
        </w:rPr>
        <w:t>authorities</w:t>
      </w:r>
      <w:r w:rsidR="005D4EC1" w:rsidRPr="00582553">
        <w:rPr>
          <w:rFonts w:ascii="Times New Roman" w:hAnsi="Times New Roman" w:cs="Times New Roman"/>
          <w:i/>
          <w:iCs/>
          <w:sz w:val="18"/>
          <w:szCs w:val="18"/>
          <w:lang w:val="en-IE"/>
        </w:rPr>
        <w:t xml:space="preserve"> any elements coming to their know</w:t>
      </w:r>
      <w:r w:rsidR="00C35D95" w:rsidRPr="00582553">
        <w:rPr>
          <w:rFonts w:ascii="Times New Roman" w:hAnsi="Times New Roman" w:cs="Times New Roman"/>
          <w:i/>
          <w:iCs/>
          <w:sz w:val="18"/>
          <w:szCs w:val="18"/>
          <w:lang w:val="en-IE"/>
        </w:rPr>
        <w:t>ledge which points to a risk of malicious covert foreign interference</w:t>
      </w:r>
      <w:r w:rsidR="00C35D95" w:rsidRPr="00582553">
        <w:rPr>
          <w:rFonts w:ascii="Times New Roman" w:hAnsi="Times New Roman" w:cs="Times New Roman"/>
          <w:sz w:val="18"/>
          <w:szCs w:val="18"/>
          <w:lang w:val="en-IE"/>
        </w:rPr>
        <w:t>”.</w:t>
      </w:r>
    </w:p>
  </w:footnote>
  <w:footnote w:id="181">
    <w:p w14:paraId="30C907EE" w14:textId="27484017" w:rsidR="005E62A6" w:rsidRPr="00582553" w:rsidRDefault="005E62A6"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For a full analysis, see Annex 8</w:t>
      </w:r>
      <w:r w:rsidR="008B30B4" w:rsidRPr="00582553">
        <w:rPr>
          <w:rFonts w:ascii="Times New Roman" w:hAnsi="Times New Roman" w:cs="Times New Roman"/>
          <w:sz w:val="18"/>
          <w:szCs w:val="18"/>
          <w:lang w:val="en-IE"/>
        </w:rPr>
        <w:t>.</w:t>
      </w:r>
    </w:p>
  </w:footnote>
  <w:footnote w:id="182">
    <w:p w14:paraId="5A00FE5A" w14:textId="549F69B3" w:rsidR="009D2277" w:rsidRPr="00582553" w:rsidRDefault="009D2277" w:rsidP="00582553">
      <w:pPr>
        <w:pStyle w:val="FootnoteText"/>
        <w:spacing w:after="0"/>
        <w:ind w:left="284" w:hanging="284"/>
        <w:rPr>
          <w:sz w:val="18"/>
          <w:szCs w:val="18"/>
        </w:rPr>
      </w:pPr>
      <w:r w:rsidRPr="00582553">
        <w:rPr>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008024F2" w:rsidRPr="00582553">
        <w:rPr>
          <w:rFonts w:ascii="Times New Roman" w:hAnsi="Times New Roman" w:cs="Times New Roman"/>
          <w:sz w:val="18"/>
          <w:szCs w:val="18"/>
          <w:lang w:val="en-IE"/>
        </w:rPr>
        <w:t>Charter of Fundamental Rights of the European Union, OJ C 326, 26.10.2012, p. 391–407 (BG, ES, CS, DA, DE, ET, EL, EN, FR, IT, LV, LT, HU, MT, NL, PL, PT, RO, SK, SL, FI, SV)</w:t>
      </w:r>
      <w:r w:rsidR="00B501E3" w:rsidRPr="00582553">
        <w:rPr>
          <w:rFonts w:ascii="Times New Roman" w:hAnsi="Times New Roman" w:cs="Times New Roman"/>
          <w:sz w:val="18"/>
          <w:szCs w:val="18"/>
          <w:lang w:val="en-IE"/>
        </w:rPr>
        <w:t>.</w:t>
      </w:r>
    </w:p>
  </w:footnote>
  <w:footnote w:id="183">
    <w:p w14:paraId="3C24A1A1" w14:textId="3F554D77" w:rsidR="000F4B0E" w:rsidRPr="00582553" w:rsidRDefault="000F4B0E"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As stated by the Venice Commission, “</w:t>
      </w:r>
      <w:r w:rsidRPr="00582553">
        <w:rPr>
          <w:rFonts w:ascii="Times New Roman" w:hAnsi="Times New Roman" w:cs="Times New Roman"/>
          <w:i/>
          <w:sz w:val="18"/>
          <w:szCs w:val="18"/>
        </w:rPr>
        <w:t>lobbying activities fall (…) in between the political party activities and ordinary NGO activities. (…) The public has a clear interest in knowing the lobbying actors who have access to government decision</w:t>
      </w:r>
      <w:r w:rsidR="009D01B2">
        <w:rPr>
          <w:rFonts w:ascii="Times New Roman" w:hAnsi="Times New Roman" w:cs="Times New Roman"/>
          <w:i/>
          <w:sz w:val="18"/>
          <w:szCs w:val="18"/>
        </w:rPr>
        <w:t>-</w:t>
      </w:r>
      <w:r w:rsidRPr="00582553">
        <w:rPr>
          <w:rFonts w:ascii="Times New Roman" w:hAnsi="Times New Roman" w:cs="Times New Roman"/>
          <w:i/>
          <w:sz w:val="18"/>
          <w:szCs w:val="18"/>
        </w:rPr>
        <w:t>making process for the purpose of influence, including their financial sources whether domestic or foreign</w:t>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Venice Commission Report on Funding of Associations CDL-AD(2019)002, paragraph 105.</w:t>
      </w:r>
    </w:p>
  </w:footnote>
  <w:footnote w:id="184">
    <w:p w14:paraId="1FA00F86" w14:textId="4689AE70" w:rsidR="000F4B0E" w:rsidRPr="00582553" w:rsidRDefault="000F4B0E"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1C4A5A">
        <w:rPr>
          <w:rFonts w:ascii="Times New Roman" w:hAnsi="Times New Roman" w:cs="Times New Roman"/>
          <w:sz w:val="18"/>
          <w:szCs w:val="18"/>
          <w:lang w:val="en-IE"/>
        </w:rPr>
        <w:t xml:space="preserve"> </w:t>
      </w:r>
      <w:r w:rsidRPr="001C4A5A">
        <w:rPr>
          <w:rFonts w:ascii="Times New Roman" w:hAnsi="Times New Roman" w:cs="Times New Roman"/>
          <w:sz w:val="18"/>
          <w:szCs w:val="18"/>
          <w:lang w:val="en-IE"/>
        </w:rPr>
        <w:tab/>
        <w:t>See note</w:t>
      </w:r>
      <w:r w:rsidR="00D169EA" w:rsidRPr="001C4A5A">
        <w:rPr>
          <w:rFonts w:ascii="Times New Roman" w:hAnsi="Times New Roman" w:cs="Times New Roman"/>
          <w:sz w:val="18"/>
          <w:szCs w:val="18"/>
          <w:lang w:val="en-IE"/>
        </w:rPr>
        <w:t xml:space="preserve"> </w:t>
      </w:r>
      <w:r w:rsidR="009B2936">
        <w:rPr>
          <w:rFonts w:ascii="Times New Roman" w:hAnsi="Times New Roman" w:cs="Times New Roman"/>
          <w:sz w:val="18"/>
          <w:szCs w:val="18"/>
          <w:lang w:val="en-IE"/>
        </w:rPr>
        <w:t xml:space="preserve"> </w:t>
      </w:r>
      <w:r w:rsidR="00D169EA" w:rsidRPr="001C4A5A">
        <w:rPr>
          <w:rFonts w:ascii="Times New Roman" w:hAnsi="Times New Roman" w:cs="Times New Roman"/>
          <w:sz w:val="18"/>
          <w:szCs w:val="18"/>
          <w:lang w:val="en-IE"/>
        </w:rPr>
        <w:fldChar w:fldCharType="begin"/>
      </w:r>
      <w:r w:rsidR="00D169EA" w:rsidRPr="001C4A5A">
        <w:rPr>
          <w:rFonts w:ascii="Times New Roman" w:hAnsi="Times New Roman" w:cs="Times New Roman"/>
          <w:sz w:val="18"/>
          <w:szCs w:val="18"/>
          <w:lang w:val="en-IE"/>
        </w:rPr>
        <w:instrText xml:space="preserve"> NOTEREF _Ref151564725 \h </w:instrText>
      </w:r>
      <w:r w:rsidR="001C4A5A">
        <w:rPr>
          <w:rFonts w:ascii="Times New Roman" w:hAnsi="Times New Roman" w:cs="Times New Roman"/>
          <w:sz w:val="18"/>
          <w:szCs w:val="18"/>
          <w:lang w:val="en-IE"/>
        </w:rPr>
        <w:instrText xml:space="preserve"> \* MERGEFORMAT </w:instrText>
      </w:r>
      <w:r w:rsidR="00D169EA" w:rsidRPr="001C4A5A">
        <w:rPr>
          <w:rFonts w:ascii="Times New Roman" w:hAnsi="Times New Roman" w:cs="Times New Roman"/>
          <w:sz w:val="18"/>
          <w:szCs w:val="18"/>
          <w:lang w:val="en-IE"/>
        </w:rPr>
      </w:r>
      <w:r w:rsidR="00D169EA" w:rsidRPr="001C4A5A">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125</w:t>
      </w:r>
      <w:r w:rsidR="00D169EA" w:rsidRPr="001C4A5A">
        <w:rPr>
          <w:rFonts w:ascii="Times New Roman" w:hAnsi="Times New Roman" w:cs="Times New Roman"/>
          <w:sz w:val="18"/>
          <w:szCs w:val="18"/>
          <w:lang w:val="en-IE"/>
        </w:rPr>
        <w:fldChar w:fldCharType="end"/>
      </w:r>
      <w:r w:rsidRPr="001C4A5A">
        <w:rPr>
          <w:rFonts w:ascii="Times New Roman" w:hAnsi="Times New Roman" w:cs="Times New Roman"/>
          <w:sz w:val="18"/>
          <w:szCs w:val="18"/>
          <w:lang w:val="en-IE"/>
        </w:rPr>
        <w:t>, paragraph 79.</w:t>
      </w:r>
    </w:p>
  </w:footnote>
  <w:footnote w:id="185">
    <w:p w14:paraId="0946CFD0" w14:textId="53971D53" w:rsidR="002378CC" w:rsidRPr="00582553" w:rsidRDefault="002378CC"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See section 5.</w:t>
      </w:r>
      <w:r w:rsidR="00011563" w:rsidRPr="00582553">
        <w:rPr>
          <w:rFonts w:ascii="Times New Roman" w:hAnsi="Times New Roman" w:cs="Times New Roman"/>
          <w:sz w:val="18"/>
          <w:szCs w:val="18"/>
          <w:lang w:val="en-IE"/>
        </w:rPr>
        <w:t>3.2.1</w:t>
      </w:r>
      <w:r w:rsidR="00C67C60" w:rsidRPr="00582553">
        <w:rPr>
          <w:rFonts w:ascii="Times New Roman" w:hAnsi="Times New Roman" w:cs="Times New Roman"/>
          <w:sz w:val="18"/>
          <w:szCs w:val="18"/>
          <w:lang w:val="en-IE"/>
        </w:rPr>
        <w:t xml:space="preserve"> for details on the information to be made public.</w:t>
      </w:r>
    </w:p>
  </w:footnote>
  <w:footnote w:id="186">
    <w:p w14:paraId="37A608A8" w14:textId="448D070A" w:rsidR="005E62A6" w:rsidRPr="00582553" w:rsidRDefault="005E62A6"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For a full analysis, see Annex 8</w:t>
      </w:r>
      <w:r w:rsidR="008B30B4" w:rsidRPr="00582553">
        <w:rPr>
          <w:rFonts w:ascii="Times New Roman" w:hAnsi="Times New Roman" w:cs="Times New Roman"/>
          <w:sz w:val="18"/>
          <w:szCs w:val="18"/>
          <w:lang w:val="en-IE"/>
        </w:rPr>
        <w:t>.</w:t>
      </w:r>
    </w:p>
  </w:footnote>
  <w:footnote w:id="187">
    <w:p w14:paraId="69E93B33" w14:textId="6081925E" w:rsidR="007657E7" w:rsidRPr="00582553" w:rsidRDefault="007657E7"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1B36CD" w:rsidRPr="00582553">
        <w:rPr>
          <w:rFonts w:ascii="Times New Roman" w:hAnsi="Times New Roman" w:cs="Times New Roman"/>
          <w:sz w:val="18"/>
          <w:szCs w:val="18"/>
        </w:rPr>
        <w:tab/>
      </w:r>
      <w:r w:rsidR="00CC73C5" w:rsidRPr="00582553">
        <w:rPr>
          <w:rFonts w:ascii="Times New Roman" w:hAnsi="Times New Roman" w:cs="Times New Roman"/>
          <w:sz w:val="18"/>
          <w:szCs w:val="18"/>
        </w:rPr>
        <w:t>The 2022 FRA’s report highlights that in 2020, 15% CSOs faced legislations on transparency and lobby laws negatively affecting their freedom</w:t>
      </w:r>
      <w:r w:rsidR="008B30B4" w:rsidRPr="00582553">
        <w:rPr>
          <w:rFonts w:ascii="Times New Roman" w:hAnsi="Times New Roman" w:cs="Times New Roman"/>
          <w:sz w:val="18"/>
          <w:szCs w:val="18"/>
        </w:rPr>
        <w:t xml:space="preserve">, </w:t>
      </w:r>
      <w:r w:rsidR="00216B6F" w:rsidRPr="00582553">
        <w:rPr>
          <w:rFonts w:ascii="Times New Roman" w:hAnsi="Times New Roman" w:cs="Times New Roman"/>
          <w:sz w:val="18"/>
          <w:szCs w:val="18"/>
        </w:rPr>
        <w:t>available</w:t>
      </w:r>
      <w:r w:rsidR="008B30B4" w:rsidRPr="00582553">
        <w:rPr>
          <w:rFonts w:ascii="Times New Roman" w:hAnsi="Times New Roman" w:cs="Times New Roman"/>
          <w:sz w:val="18"/>
          <w:szCs w:val="18"/>
        </w:rPr>
        <w:t xml:space="preserve"> at:</w:t>
      </w:r>
      <w:r w:rsidR="00CC73C5" w:rsidRPr="00582553">
        <w:rPr>
          <w:rFonts w:ascii="Times New Roman" w:hAnsi="Times New Roman" w:cs="Times New Roman"/>
          <w:sz w:val="18"/>
          <w:szCs w:val="18"/>
        </w:rPr>
        <w:t xml:space="preserve"> </w:t>
      </w:r>
      <w:hyperlink r:id="rId26" w:history="1">
        <w:r w:rsidR="00CC73C5" w:rsidRPr="00582553">
          <w:rPr>
            <w:rStyle w:val="Hyperlink"/>
            <w:rFonts w:ascii="Times New Roman" w:hAnsi="Times New Roman" w:cs="Times New Roman"/>
            <w:sz w:val="18"/>
            <w:szCs w:val="18"/>
            <w:lang w:val="en-IE"/>
          </w:rPr>
          <w:t>https://fra.europa.eu/en/publication/2022/fundamental-rights-report-2022-fra-opinions</w:t>
        </w:r>
      </w:hyperlink>
      <w:r w:rsidR="00CC73C5" w:rsidRPr="00582553">
        <w:rPr>
          <w:rFonts w:ascii="Times New Roman" w:hAnsi="Times New Roman" w:cs="Times New Roman"/>
          <w:sz w:val="18"/>
          <w:szCs w:val="18"/>
          <w:lang w:val="en-IE"/>
        </w:rPr>
        <w:t>.</w:t>
      </w:r>
    </w:p>
  </w:footnote>
  <w:footnote w:id="188">
    <w:p w14:paraId="1ED695A4" w14:textId="2AF5E138" w:rsidR="009B635F" w:rsidRPr="00582553" w:rsidRDefault="009B635F" w:rsidP="00582553">
      <w:pPr>
        <w:pStyle w:val="FootnoteText"/>
        <w:spacing w:after="0"/>
        <w:ind w:left="284" w:hanging="284"/>
        <w:rPr>
          <w:rFonts w:ascii="Times New Roman" w:hAnsi="Times New Roman" w:cs="Times New Roman"/>
          <w:sz w:val="18"/>
          <w:szCs w:val="18"/>
          <w:lang w:val="en-IE"/>
        </w:rPr>
      </w:pPr>
      <w:r w:rsidRPr="00582553">
        <w:rPr>
          <w:rFonts w:ascii="Times New Roman" w:hAnsi="Times New Roman" w:cs="Times New Roman"/>
          <w:sz w:val="18"/>
          <w:szCs w:val="18"/>
          <w:vertAlign w:val="superscript"/>
          <w:lang w:val="en-IE"/>
        </w:rPr>
        <w:footnoteRef/>
      </w:r>
      <w:r w:rsidRPr="001C4A5A">
        <w:rPr>
          <w:rFonts w:ascii="Times New Roman" w:hAnsi="Times New Roman" w:cs="Times New Roman"/>
          <w:sz w:val="18"/>
          <w:szCs w:val="18"/>
          <w:vertAlign w:val="superscript"/>
          <w:lang w:val="en-IE"/>
        </w:rPr>
        <w:t xml:space="preserve"> </w:t>
      </w:r>
      <w:r w:rsidRPr="001C4A5A">
        <w:rPr>
          <w:rFonts w:ascii="Times New Roman" w:hAnsi="Times New Roman" w:cs="Times New Roman"/>
          <w:sz w:val="18"/>
          <w:szCs w:val="18"/>
          <w:lang w:val="en-IE"/>
        </w:rPr>
        <w:tab/>
      </w:r>
      <w:r w:rsidR="005744BE" w:rsidRPr="001C4A5A">
        <w:rPr>
          <w:rFonts w:ascii="Times New Roman" w:hAnsi="Times New Roman" w:cs="Times New Roman"/>
          <w:sz w:val="18"/>
          <w:szCs w:val="18"/>
          <w:lang w:val="en-IE"/>
        </w:rPr>
        <w:t>See note</w:t>
      </w:r>
      <w:r w:rsidR="00D169EA" w:rsidRPr="001C4A5A">
        <w:rPr>
          <w:rFonts w:ascii="Times New Roman" w:hAnsi="Times New Roman" w:cs="Times New Roman"/>
          <w:sz w:val="18"/>
          <w:szCs w:val="18"/>
          <w:lang w:val="en-IE"/>
        </w:rPr>
        <w:t xml:space="preserve"> </w:t>
      </w:r>
      <w:r w:rsidR="00E140A3" w:rsidRPr="001C4A5A">
        <w:rPr>
          <w:rFonts w:ascii="Times New Roman" w:hAnsi="Times New Roman" w:cs="Times New Roman"/>
          <w:sz w:val="18"/>
          <w:szCs w:val="18"/>
          <w:lang w:val="en-IE"/>
        </w:rPr>
        <w:fldChar w:fldCharType="begin"/>
      </w:r>
      <w:r w:rsidR="00E140A3" w:rsidRPr="001C4A5A">
        <w:rPr>
          <w:rFonts w:ascii="Times New Roman" w:hAnsi="Times New Roman" w:cs="Times New Roman"/>
          <w:sz w:val="18"/>
          <w:szCs w:val="18"/>
          <w:lang w:val="en-IE"/>
        </w:rPr>
        <w:instrText xml:space="preserve"> NOTEREF _Ref151564725 \h </w:instrText>
      </w:r>
      <w:r w:rsidR="001C4A5A">
        <w:rPr>
          <w:rFonts w:ascii="Times New Roman" w:hAnsi="Times New Roman" w:cs="Times New Roman"/>
          <w:sz w:val="18"/>
          <w:szCs w:val="18"/>
          <w:lang w:val="en-IE"/>
        </w:rPr>
        <w:instrText xml:space="preserve"> \* MERGEFORMAT </w:instrText>
      </w:r>
      <w:r w:rsidR="00E140A3" w:rsidRPr="001C4A5A">
        <w:rPr>
          <w:rFonts w:ascii="Times New Roman" w:hAnsi="Times New Roman" w:cs="Times New Roman"/>
          <w:sz w:val="18"/>
          <w:szCs w:val="18"/>
          <w:lang w:val="en-IE"/>
        </w:rPr>
      </w:r>
      <w:r w:rsidR="00E140A3" w:rsidRPr="001C4A5A">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125</w:t>
      </w:r>
      <w:r w:rsidR="00E140A3" w:rsidRPr="001C4A5A">
        <w:rPr>
          <w:rFonts w:ascii="Times New Roman" w:hAnsi="Times New Roman" w:cs="Times New Roman"/>
          <w:sz w:val="18"/>
          <w:szCs w:val="18"/>
          <w:lang w:val="en-IE"/>
        </w:rPr>
        <w:fldChar w:fldCharType="end"/>
      </w:r>
      <w:r w:rsidRPr="001C4A5A">
        <w:rPr>
          <w:rFonts w:ascii="Times New Roman" w:hAnsi="Times New Roman" w:cs="Times New Roman"/>
          <w:sz w:val="18"/>
          <w:szCs w:val="18"/>
          <w:lang w:val="en-IE"/>
        </w:rPr>
        <w:t>, paragraph 112.</w:t>
      </w:r>
      <w:r w:rsidR="002247A3" w:rsidRPr="001C4A5A">
        <w:rPr>
          <w:rFonts w:ascii="Times New Roman" w:hAnsi="Times New Roman" w:cs="Times New Roman"/>
          <w:sz w:val="18"/>
          <w:szCs w:val="18"/>
          <w:lang w:val="en-IE"/>
        </w:rPr>
        <w:t xml:space="preserve"> </w:t>
      </w:r>
    </w:p>
  </w:footnote>
  <w:footnote w:id="189">
    <w:p w14:paraId="29378008" w14:textId="35CDF5B7" w:rsidR="009B635F" w:rsidRPr="00582553" w:rsidRDefault="009B635F" w:rsidP="00582553">
      <w:pPr>
        <w:pStyle w:val="FootnoteText"/>
        <w:spacing w:after="0"/>
        <w:ind w:left="284" w:hanging="284"/>
        <w:rPr>
          <w:rFonts w:ascii="Times New Roman" w:hAnsi="Times New Roman" w:cs="Times New Roman"/>
          <w:sz w:val="18"/>
          <w:szCs w:val="18"/>
          <w:lang w:val="en-IE"/>
        </w:rPr>
      </w:pPr>
      <w:r w:rsidRPr="00582553">
        <w:rPr>
          <w:rFonts w:ascii="Times New Roman" w:hAnsi="Times New Roman" w:cs="Times New Roman"/>
          <w:sz w:val="18"/>
          <w:szCs w:val="18"/>
          <w:vertAlign w:val="superscript"/>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227CCF" w:rsidRPr="00582553">
        <w:rPr>
          <w:rFonts w:ascii="Times New Roman" w:hAnsi="Times New Roman" w:cs="Times New Roman"/>
          <w:sz w:val="18"/>
          <w:szCs w:val="18"/>
          <w:lang w:val="en-IE"/>
        </w:rPr>
        <w:t>See note</w:t>
      </w:r>
      <w:r w:rsidR="00561C04">
        <w:rPr>
          <w:rFonts w:ascii="Times New Roman" w:hAnsi="Times New Roman" w:cs="Times New Roman"/>
          <w:sz w:val="18"/>
          <w:szCs w:val="18"/>
          <w:lang w:val="en-IE"/>
        </w:rPr>
        <w:t xml:space="preserve"> </w:t>
      </w:r>
      <w:r w:rsidR="00561C04" w:rsidRPr="001C4A5A">
        <w:rPr>
          <w:rFonts w:ascii="Times New Roman" w:hAnsi="Times New Roman" w:cs="Times New Roman"/>
          <w:sz w:val="18"/>
          <w:szCs w:val="18"/>
          <w:lang w:val="en-IE"/>
        </w:rPr>
        <w:fldChar w:fldCharType="begin"/>
      </w:r>
      <w:r w:rsidR="00561C04" w:rsidRPr="001C4A5A">
        <w:rPr>
          <w:rFonts w:ascii="Times New Roman" w:hAnsi="Times New Roman" w:cs="Times New Roman"/>
          <w:sz w:val="18"/>
          <w:szCs w:val="18"/>
          <w:lang w:val="en-IE"/>
        </w:rPr>
        <w:instrText xml:space="preserve"> NOTEREF _Ref151564725 \h </w:instrText>
      </w:r>
      <w:r w:rsidR="001C4A5A">
        <w:rPr>
          <w:rFonts w:ascii="Times New Roman" w:hAnsi="Times New Roman" w:cs="Times New Roman"/>
          <w:sz w:val="18"/>
          <w:szCs w:val="18"/>
          <w:lang w:val="en-IE"/>
        </w:rPr>
        <w:instrText xml:space="preserve"> \* MERGEFORMAT </w:instrText>
      </w:r>
      <w:r w:rsidR="00561C04" w:rsidRPr="001C4A5A">
        <w:rPr>
          <w:rFonts w:ascii="Times New Roman" w:hAnsi="Times New Roman" w:cs="Times New Roman"/>
          <w:sz w:val="18"/>
          <w:szCs w:val="18"/>
          <w:lang w:val="en-IE"/>
        </w:rPr>
      </w:r>
      <w:r w:rsidR="00561C04" w:rsidRPr="001C4A5A">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125</w:t>
      </w:r>
      <w:r w:rsidR="00561C04" w:rsidRPr="001C4A5A">
        <w:rPr>
          <w:rFonts w:ascii="Times New Roman" w:hAnsi="Times New Roman" w:cs="Times New Roman"/>
          <w:sz w:val="18"/>
          <w:szCs w:val="18"/>
          <w:lang w:val="en-IE"/>
        </w:rPr>
        <w:fldChar w:fldCharType="end"/>
      </w:r>
      <w:r w:rsidR="00227CCF"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paragraph 114</w:t>
      </w:r>
      <w:r w:rsidR="006E18C0" w:rsidRPr="00582553">
        <w:rPr>
          <w:rFonts w:ascii="Times New Roman" w:hAnsi="Times New Roman" w:cs="Times New Roman"/>
          <w:sz w:val="18"/>
          <w:szCs w:val="18"/>
          <w:lang w:val="en-IE"/>
        </w:rPr>
        <w:t xml:space="preserve">; </w:t>
      </w:r>
      <w:r w:rsidR="004F719C" w:rsidRPr="00582553">
        <w:rPr>
          <w:rFonts w:ascii="Times New Roman" w:hAnsi="Times New Roman" w:cs="Times New Roman"/>
          <w:sz w:val="18"/>
          <w:szCs w:val="18"/>
          <w:lang w:val="en-IE"/>
        </w:rPr>
        <w:t xml:space="preserve">Judgment of the </w:t>
      </w:r>
      <w:r w:rsidR="006E18C0" w:rsidRPr="00582553">
        <w:rPr>
          <w:rFonts w:ascii="Times New Roman" w:hAnsi="Times New Roman" w:cs="Times New Roman"/>
          <w:sz w:val="18"/>
          <w:szCs w:val="18"/>
          <w:lang w:val="en-IE"/>
        </w:rPr>
        <w:t>EC</w:t>
      </w:r>
      <w:r w:rsidR="004F719C" w:rsidRPr="00582553">
        <w:rPr>
          <w:rFonts w:ascii="Times New Roman" w:hAnsi="Times New Roman" w:cs="Times New Roman"/>
          <w:sz w:val="18"/>
          <w:szCs w:val="18"/>
          <w:lang w:val="en-IE"/>
        </w:rPr>
        <w:t>t</w:t>
      </w:r>
      <w:r w:rsidR="006E18C0" w:rsidRPr="00582553">
        <w:rPr>
          <w:rFonts w:ascii="Times New Roman" w:hAnsi="Times New Roman" w:cs="Times New Roman"/>
          <w:sz w:val="18"/>
          <w:szCs w:val="18"/>
          <w:lang w:val="en-IE"/>
        </w:rPr>
        <w:t>HR</w:t>
      </w:r>
      <w:r w:rsidR="004F719C" w:rsidRPr="00582553">
        <w:rPr>
          <w:rFonts w:ascii="Times New Roman" w:hAnsi="Times New Roman" w:cs="Times New Roman"/>
          <w:sz w:val="18"/>
          <w:szCs w:val="18"/>
          <w:lang w:val="en-IE"/>
        </w:rPr>
        <w:t xml:space="preserve"> of</w:t>
      </w:r>
      <w:r w:rsidR="006E18C0" w:rsidRPr="00582553">
        <w:rPr>
          <w:rFonts w:ascii="Times New Roman" w:hAnsi="Times New Roman" w:cs="Times New Roman"/>
          <w:sz w:val="18"/>
          <w:szCs w:val="18"/>
          <w:lang w:val="en-IE"/>
        </w:rPr>
        <w:t xml:space="preserve"> 14 June 2022, </w:t>
      </w:r>
      <w:r w:rsidR="006E18C0" w:rsidRPr="00582553">
        <w:rPr>
          <w:rFonts w:ascii="Times New Roman" w:hAnsi="Times New Roman" w:cs="Times New Roman"/>
          <w:i/>
          <w:sz w:val="18"/>
          <w:szCs w:val="18"/>
          <w:lang w:val="en-IE"/>
        </w:rPr>
        <w:t>Ecodefense v. Russia</w:t>
      </w:r>
      <w:r w:rsidR="004F719C" w:rsidRPr="00582553">
        <w:rPr>
          <w:rFonts w:ascii="Times New Roman" w:hAnsi="Times New Roman" w:cs="Times New Roman"/>
          <w:i/>
          <w:sz w:val="18"/>
          <w:szCs w:val="18"/>
          <w:lang w:val="en-IE"/>
        </w:rPr>
        <w:t>,</w:t>
      </w:r>
      <w:r w:rsidR="006E18C0" w:rsidRPr="00582553">
        <w:rPr>
          <w:rFonts w:ascii="Times New Roman" w:hAnsi="Times New Roman" w:cs="Times New Roman"/>
          <w:sz w:val="18"/>
          <w:szCs w:val="18"/>
          <w:lang w:val="en-IE"/>
        </w:rPr>
        <w:t xml:space="preserve"> n°9988/13, para</w:t>
      </w:r>
      <w:r w:rsidR="004F719C" w:rsidRPr="00582553">
        <w:rPr>
          <w:rFonts w:ascii="Times New Roman" w:hAnsi="Times New Roman" w:cs="Times New Roman"/>
          <w:sz w:val="18"/>
          <w:szCs w:val="18"/>
          <w:lang w:val="en-IE"/>
        </w:rPr>
        <w:t>graph</w:t>
      </w:r>
      <w:r w:rsidR="006E18C0" w:rsidRPr="00582553">
        <w:rPr>
          <w:rFonts w:ascii="Times New Roman" w:hAnsi="Times New Roman" w:cs="Times New Roman"/>
          <w:sz w:val="18"/>
          <w:szCs w:val="18"/>
          <w:lang w:val="en-IE"/>
        </w:rPr>
        <w:t xml:space="preserve"> 81.</w:t>
      </w:r>
    </w:p>
  </w:footnote>
  <w:footnote w:id="190">
    <w:p w14:paraId="233898C3" w14:textId="39583530" w:rsidR="00C6256E" w:rsidRPr="00582553" w:rsidRDefault="00C6256E"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BC637F" w:rsidRPr="00582553">
        <w:rPr>
          <w:rFonts w:ascii="Times New Roman" w:hAnsi="Times New Roman" w:cs="Times New Roman"/>
          <w:sz w:val="18"/>
          <w:szCs w:val="18"/>
        </w:rPr>
        <w:t xml:space="preserve">See note </w:t>
      </w:r>
      <w:r w:rsidR="00BC637F" w:rsidRPr="00582553">
        <w:rPr>
          <w:rFonts w:ascii="Times New Roman" w:hAnsi="Times New Roman" w:cs="Times New Roman"/>
          <w:sz w:val="18"/>
          <w:szCs w:val="18"/>
        </w:rPr>
        <w:fldChar w:fldCharType="begin"/>
      </w:r>
      <w:r w:rsidR="00BC637F" w:rsidRPr="00582553">
        <w:rPr>
          <w:rFonts w:ascii="Times New Roman" w:hAnsi="Times New Roman" w:cs="Times New Roman"/>
          <w:sz w:val="18"/>
          <w:szCs w:val="18"/>
        </w:rPr>
        <w:instrText xml:space="preserve"> NOTEREF _Ref147837080 \h </w:instrText>
      </w:r>
      <w:r w:rsidR="001479EE" w:rsidRPr="00582553">
        <w:rPr>
          <w:rFonts w:ascii="Times New Roman" w:hAnsi="Times New Roman" w:cs="Times New Roman"/>
          <w:sz w:val="18"/>
          <w:szCs w:val="18"/>
        </w:rPr>
        <w:instrText xml:space="preserve"> \* MERGEFORMAT </w:instrText>
      </w:r>
      <w:r w:rsidR="00BC637F" w:rsidRPr="00582553">
        <w:rPr>
          <w:rFonts w:ascii="Times New Roman" w:hAnsi="Times New Roman" w:cs="Times New Roman"/>
          <w:sz w:val="18"/>
          <w:szCs w:val="18"/>
        </w:rPr>
      </w:r>
      <w:r w:rsidR="00BC637F"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182</w:t>
      </w:r>
      <w:r w:rsidR="00BC637F" w:rsidRPr="00582553">
        <w:rPr>
          <w:rFonts w:ascii="Times New Roman" w:hAnsi="Times New Roman" w:cs="Times New Roman"/>
          <w:sz w:val="18"/>
          <w:szCs w:val="18"/>
        </w:rPr>
        <w:fldChar w:fldCharType="end"/>
      </w:r>
      <w:r w:rsidR="00BC637F" w:rsidRPr="00582553">
        <w:rPr>
          <w:rFonts w:ascii="Times New Roman" w:hAnsi="Times New Roman" w:cs="Times New Roman"/>
          <w:sz w:val="18"/>
          <w:szCs w:val="18"/>
        </w:rPr>
        <w:t>.</w:t>
      </w:r>
    </w:p>
  </w:footnote>
  <w:footnote w:id="191">
    <w:p w14:paraId="787B74C1" w14:textId="07FD45C3" w:rsidR="009B635F" w:rsidRPr="00582553" w:rsidRDefault="009B635F"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1C4A5A">
        <w:rPr>
          <w:rFonts w:ascii="Times New Roman" w:hAnsi="Times New Roman" w:cs="Times New Roman"/>
          <w:sz w:val="18"/>
          <w:szCs w:val="18"/>
          <w:lang w:val="en-IE"/>
        </w:rPr>
        <w:t xml:space="preserve"> </w:t>
      </w:r>
      <w:r w:rsidRPr="001C4A5A">
        <w:rPr>
          <w:rFonts w:ascii="Times New Roman" w:hAnsi="Times New Roman" w:cs="Times New Roman"/>
          <w:sz w:val="18"/>
          <w:szCs w:val="18"/>
          <w:lang w:val="en-IE"/>
        </w:rPr>
        <w:tab/>
      </w:r>
      <w:r w:rsidR="002A2EB8" w:rsidRPr="001C4A5A">
        <w:rPr>
          <w:rFonts w:ascii="Times New Roman" w:hAnsi="Times New Roman" w:cs="Times New Roman"/>
          <w:sz w:val="18"/>
          <w:szCs w:val="18"/>
          <w:lang w:val="en-IE"/>
        </w:rPr>
        <w:t>See note</w:t>
      </w:r>
      <w:r w:rsidR="00A11682" w:rsidRPr="001C4A5A">
        <w:rPr>
          <w:rFonts w:ascii="Times New Roman" w:hAnsi="Times New Roman" w:cs="Times New Roman"/>
          <w:sz w:val="18"/>
          <w:szCs w:val="18"/>
          <w:lang w:val="en-IE"/>
        </w:rPr>
        <w:t xml:space="preserve"> </w:t>
      </w:r>
      <w:r w:rsidR="00A11682" w:rsidRPr="001C4A5A">
        <w:rPr>
          <w:rFonts w:ascii="Times New Roman" w:hAnsi="Times New Roman" w:cs="Times New Roman"/>
          <w:sz w:val="18"/>
          <w:szCs w:val="18"/>
          <w:lang w:val="en-IE"/>
        </w:rPr>
        <w:fldChar w:fldCharType="begin"/>
      </w:r>
      <w:r w:rsidR="00A11682" w:rsidRPr="001C4A5A">
        <w:rPr>
          <w:rFonts w:ascii="Times New Roman" w:hAnsi="Times New Roman" w:cs="Times New Roman"/>
          <w:sz w:val="18"/>
          <w:szCs w:val="18"/>
          <w:lang w:val="en-IE"/>
        </w:rPr>
        <w:instrText xml:space="preserve"> NOTEREF _Ref151564725 \h </w:instrText>
      </w:r>
      <w:r w:rsidR="001C4A5A">
        <w:rPr>
          <w:rFonts w:ascii="Times New Roman" w:hAnsi="Times New Roman" w:cs="Times New Roman"/>
          <w:sz w:val="18"/>
          <w:szCs w:val="18"/>
          <w:lang w:val="en-IE"/>
        </w:rPr>
        <w:instrText xml:space="preserve"> \* MERGEFORMAT </w:instrText>
      </w:r>
      <w:r w:rsidR="00A11682" w:rsidRPr="001C4A5A">
        <w:rPr>
          <w:rFonts w:ascii="Times New Roman" w:hAnsi="Times New Roman" w:cs="Times New Roman"/>
          <w:sz w:val="18"/>
          <w:szCs w:val="18"/>
          <w:lang w:val="en-IE"/>
        </w:rPr>
      </w:r>
      <w:r w:rsidR="00A11682" w:rsidRPr="001C4A5A">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125</w:t>
      </w:r>
      <w:r w:rsidR="00A11682" w:rsidRPr="001C4A5A">
        <w:rPr>
          <w:rFonts w:ascii="Times New Roman" w:hAnsi="Times New Roman" w:cs="Times New Roman"/>
          <w:sz w:val="18"/>
          <w:szCs w:val="18"/>
          <w:lang w:val="en-IE"/>
        </w:rPr>
        <w:fldChar w:fldCharType="end"/>
      </w:r>
      <w:r w:rsidR="002A2EB8" w:rsidRPr="001C4A5A">
        <w:rPr>
          <w:rFonts w:ascii="Times New Roman" w:hAnsi="Times New Roman" w:cs="Times New Roman"/>
          <w:sz w:val="18"/>
          <w:szCs w:val="18"/>
          <w:lang w:val="en-IE"/>
        </w:rPr>
        <w:t>,</w:t>
      </w:r>
      <w:r w:rsidRPr="001C4A5A">
        <w:rPr>
          <w:rFonts w:ascii="Times New Roman" w:hAnsi="Times New Roman" w:cs="Times New Roman"/>
          <w:sz w:val="18"/>
          <w:szCs w:val="18"/>
          <w:lang w:val="en-IE"/>
        </w:rPr>
        <w:t xml:space="preserve"> paragraph 79.</w:t>
      </w:r>
    </w:p>
  </w:footnote>
  <w:footnote w:id="192">
    <w:p w14:paraId="15979461" w14:textId="674CE1E6" w:rsidR="00F45D3C" w:rsidRPr="00582553" w:rsidRDefault="00F45D3C"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Third country governments and entities whose action can be attributed to them</w:t>
      </w:r>
      <w:r w:rsidR="00AA3895" w:rsidRPr="00582553">
        <w:rPr>
          <w:rFonts w:ascii="Times New Roman" w:hAnsi="Times New Roman" w:cs="Times New Roman"/>
          <w:sz w:val="18"/>
          <w:szCs w:val="18"/>
        </w:rPr>
        <w:t xml:space="preserve">, see section </w:t>
      </w:r>
      <w:r w:rsidR="001C17C2" w:rsidRPr="00582553">
        <w:rPr>
          <w:rFonts w:ascii="Times New Roman" w:hAnsi="Times New Roman" w:cs="Times New Roman"/>
          <w:sz w:val="18"/>
          <w:szCs w:val="18"/>
        </w:rPr>
        <w:t>5.2.</w:t>
      </w:r>
    </w:p>
  </w:footnote>
  <w:footnote w:id="193">
    <w:p w14:paraId="7D693419" w14:textId="77777777" w:rsidR="009B635F" w:rsidRPr="00582553" w:rsidRDefault="009B635F"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Upon registration, these entities would only be required to provide their registration number in their contacts with public officials, not the wider public.</w:t>
      </w:r>
    </w:p>
  </w:footnote>
  <w:footnote w:id="194">
    <w:p w14:paraId="3B197453" w14:textId="5D73FF97" w:rsidR="00006DA8" w:rsidRPr="00582553" w:rsidRDefault="00006DA8"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Fonts w:ascii="Times New Roman" w:hAnsi="Times New Roman" w:cs="Times New Roman"/>
          <w:sz w:val="18"/>
          <w:szCs w:val="18"/>
          <w:lang w:val="en-IE"/>
        </w:rPr>
        <w:t>Supervision would be entrusted to independent supervisory authorities with clearly established powers, whose requests for further information would need to be motivated and subject to effective judicial remedy. Sanctions would be designed in a way that would avoid a chilling effect on the concerned entities and sanction related powers subject to appropriate safeguards, including the right to effective judicial review. They would be fully harmonised and limited to administrative fines under a specific ceiling based on the entity’s economic capacity. Sanctions would</w:t>
      </w:r>
      <w:r w:rsidRPr="00582553" w:rsidDel="00AD661C">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only be imposed following a prior early warning</w:t>
      </w:r>
      <w:r w:rsidR="00AD661C">
        <w:rPr>
          <w:rFonts w:ascii="Times New Roman" w:hAnsi="Times New Roman" w:cs="Times New Roman"/>
          <w:sz w:val="18"/>
          <w:szCs w:val="18"/>
          <w:lang w:val="en-IE"/>
        </w:rPr>
        <w:t xml:space="preserve"> </w:t>
      </w:r>
      <w:r w:rsidR="00AD661C">
        <w:rPr>
          <w:szCs w:val="24"/>
          <w:lang w:val="en-IE"/>
        </w:rPr>
        <w:t>except for breaches of the anti-circumvention clause</w:t>
      </w:r>
      <w:r w:rsidRPr="00582553">
        <w:rPr>
          <w:rFonts w:ascii="Times New Roman" w:hAnsi="Times New Roman" w:cs="Times New Roman"/>
          <w:sz w:val="18"/>
          <w:szCs w:val="18"/>
          <w:lang w:val="en-IE"/>
        </w:rPr>
        <w:t>.</w:t>
      </w:r>
    </w:p>
  </w:footnote>
  <w:footnote w:id="195">
    <w:p w14:paraId="77538295" w14:textId="711D9157" w:rsidR="00995EE9" w:rsidRPr="00582553" w:rsidRDefault="00995EE9"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These records would include information on the identity of the third country entity on whose behalf the activity is carried out, a </w:t>
      </w:r>
      <w:r w:rsidRPr="00582553">
        <w:rPr>
          <w:rFonts w:ascii="Times New Roman" w:hAnsi="Times New Roman" w:cs="Times New Roman"/>
          <w:sz w:val="18"/>
          <w:szCs w:val="18"/>
          <w:lang w:val="en-IE"/>
        </w:rPr>
        <w:t>description</w:t>
      </w:r>
      <w:r w:rsidRPr="00582553">
        <w:rPr>
          <w:rFonts w:ascii="Times New Roman" w:hAnsi="Times New Roman" w:cs="Times New Roman"/>
          <w:sz w:val="18"/>
          <w:szCs w:val="18"/>
        </w:rPr>
        <w:t xml:space="preserve"> of the purpose of the interest representation activity, contracts and key exchanges with the third country entity to the extent that they are essential to understand the nature and purpose of the interest representation carried out as well as information or material constituting key components of the interest representation activity.</w:t>
      </w:r>
    </w:p>
  </w:footnote>
  <w:footnote w:id="196">
    <w:p w14:paraId="698789F9" w14:textId="4F0B7BE6" w:rsidR="00AC02BF" w:rsidRPr="00582553" w:rsidRDefault="00AC02BF"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During the registration the precise amount would not be requested. Concerned entities would have to indicate in which bracket (e.g.: EUR 25,000 &lt; 50,000; or EUR 50,000 &lt; 100,000) the </w:t>
      </w:r>
      <w:r w:rsidR="003D5AF6" w:rsidRPr="00582553">
        <w:rPr>
          <w:rFonts w:ascii="Times New Roman" w:hAnsi="Times New Roman" w:cs="Times New Roman"/>
          <w:sz w:val="18"/>
          <w:szCs w:val="18"/>
        </w:rPr>
        <w:t>remuneration</w:t>
      </w:r>
      <w:r w:rsidRPr="00582553">
        <w:rPr>
          <w:rFonts w:ascii="Times New Roman" w:hAnsi="Times New Roman" w:cs="Times New Roman"/>
          <w:sz w:val="18"/>
          <w:szCs w:val="18"/>
        </w:rPr>
        <w:t xml:space="preserve"> would fall</w:t>
      </w:r>
      <w:r w:rsidR="003D5AF6" w:rsidRPr="00582553">
        <w:rPr>
          <w:rFonts w:ascii="Times New Roman" w:hAnsi="Times New Roman" w:cs="Times New Roman"/>
          <w:sz w:val="18"/>
          <w:szCs w:val="18"/>
        </w:rPr>
        <w:t>, this remuneration would cover all the tasks carried out with the objective of influencing the development, formulation or implementation of the same proposal</w:t>
      </w:r>
      <w:r w:rsidRPr="00582553">
        <w:rPr>
          <w:rFonts w:ascii="Times New Roman" w:hAnsi="Times New Roman" w:cs="Times New Roman"/>
          <w:sz w:val="18"/>
          <w:szCs w:val="18"/>
        </w:rPr>
        <w:t>. Information on the annual amounts declared would be made public within wider brackets corresponding the level of detail necessary for the purpose of informing citizens their representatives and other interested parties.</w:t>
      </w:r>
    </w:p>
  </w:footnote>
  <w:footnote w:id="197">
    <w:p w14:paraId="1B8E678D" w14:textId="67607692" w:rsidR="007000C9" w:rsidRPr="00582553" w:rsidRDefault="007000C9"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These additional requirements include: (i) a requirement to apply to national-level authorities for an EU-wide licence to conduct interest representation activities on behalf of a third country entity; and (ii) a requirement to keep records of all contracts and exchanges with the entity on whose behalf the activity is carried out as well as all information or material on the interest representation activity</w:t>
      </w:r>
      <w:r w:rsidR="00336A32">
        <w:rPr>
          <w:rFonts w:ascii="Times New Roman" w:hAnsi="Times New Roman" w:cs="Times New Roman"/>
          <w:sz w:val="18"/>
          <w:szCs w:val="18"/>
        </w:rPr>
        <w:t>.</w:t>
      </w:r>
      <w:r w:rsidR="00252DC9" w:rsidRPr="00582553">
        <w:rPr>
          <w:rFonts w:ascii="Times New Roman" w:hAnsi="Times New Roman" w:cs="Times New Roman"/>
          <w:sz w:val="18"/>
          <w:szCs w:val="18"/>
        </w:rPr>
        <w:t xml:space="preserve"> </w:t>
      </w:r>
      <w:r w:rsidRPr="00582553">
        <w:rPr>
          <w:rFonts w:ascii="Times New Roman" w:hAnsi="Times New Roman" w:cs="Times New Roman"/>
          <w:sz w:val="18"/>
          <w:szCs w:val="18"/>
        </w:rPr>
        <w:t xml:space="preserve">  </w:t>
      </w:r>
    </w:p>
  </w:footnote>
  <w:footnote w:id="198">
    <w:p w14:paraId="035149AD" w14:textId="269F3F8D" w:rsidR="009850F8" w:rsidRPr="00582553" w:rsidRDefault="009850F8"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7C3D00" w:rsidRPr="00582553">
        <w:rPr>
          <w:rFonts w:ascii="Times New Roman" w:hAnsi="Times New Roman" w:cs="Times New Roman"/>
          <w:sz w:val="18"/>
          <w:szCs w:val="18"/>
        </w:rPr>
        <w:t>“</w:t>
      </w:r>
      <w:r w:rsidR="007C3D00" w:rsidRPr="00582553">
        <w:rPr>
          <w:rFonts w:ascii="Times New Roman" w:hAnsi="Times New Roman" w:cs="Times New Roman"/>
          <w:i/>
          <w:sz w:val="18"/>
          <w:szCs w:val="18"/>
        </w:rPr>
        <w:t>As to the necessity and proportionality of measures taken to secure the above-mentioned aims, interference with the right of associations to seek and obtain financial and material resources should be the least intrusive of all possible means that could have been adopted. The authorities should be able to prove that the legitimate aim pursued by the measure cannot be reached by any less intrusive measures. In particular, an outright ban on foreign funding, or requiring prior authorisation from the authorities to receive or use such funds, is not justified</w:t>
      </w:r>
      <w:r w:rsidR="007C3D00" w:rsidRPr="00582553">
        <w:rPr>
          <w:rFonts w:ascii="Times New Roman" w:hAnsi="Times New Roman" w:cs="Times New Roman"/>
          <w:sz w:val="18"/>
          <w:szCs w:val="18"/>
        </w:rPr>
        <w:t xml:space="preserve">.” </w:t>
      </w:r>
      <w:r w:rsidRPr="00582553">
        <w:rPr>
          <w:rFonts w:ascii="Times New Roman" w:hAnsi="Times New Roman" w:cs="Times New Roman"/>
          <w:sz w:val="18"/>
          <w:szCs w:val="18"/>
        </w:rPr>
        <w:t>Venice Commission Report on Funding of Associations, CDL-AD(2019)002, para</w:t>
      </w:r>
      <w:r w:rsidR="00923C77" w:rsidRPr="00582553">
        <w:rPr>
          <w:rFonts w:ascii="Times New Roman" w:hAnsi="Times New Roman" w:cs="Times New Roman"/>
          <w:sz w:val="18"/>
          <w:szCs w:val="18"/>
        </w:rPr>
        <w:t>graph</w:t>
      </w:r>
      <w:r w:rsidRPr="00582553">
        <w:rPr>
          <w:rFonts w:ascii="Times New Roman" w:hAnsi="Times New Roman" w:cs="Times New Roman"/>
          <w:sz w:val="18"/>
          <w:szCs w:val="18"/>
        </w:rPr>
        <w:t xml:space="preserve"> 147</w:t>
      </w:r>
      <w:r w:rsidR="004C596C" w:rsidRPr="00582553">
        <w:rPr>
          <w:rFonts w:ascii="Times New Roman" w:hAnsi="Times New Roman" w:cs="Times New Roman"/>
          <w:sz w:val="18"/>
          <w:szCs w:val="18"/>
        </w:rPr>
        <w:t>; see also Report by the UN Special Rapporteur on the rights to freedom of peaceful assembly and of association (A/HRC/50/23)</w:t>
      </w:r>
      <w:r w:rsidR="00986448" w:rsidRPr="00582553">
        <w:rPr>
          <w:rFonts w:ascii="Times New Roman" w:hAnsi="Times New Roman" w:cs="Times New Roman"/>
          <w:sz w:val="18"/>
          <w:szCs w:val="18"/>
        </w:rPr>
        <w:t xml:space="preserve"> para</w:t>
      </w:r>
      <w:r w:rsidR="00A267DC" w:rsidRPr="00582553">
        <w:rPr>
          <w:rFonts w:ascii="Times New Roman" w:hAnsi="Times New Roman" w:cs="Times New Roman"/>
          <w:sz w:val="18"/>
          <w:szCs w:val="18"/>
        </w:rPr>
        <w:t>graph</w:t>
      </w:r>
      <w:r w:rsidR="00986448" w:rsidRPr="00582553">
        <w:rPr>
          <w:rFonts w:ascii="Times New Roman" w:hAnsi="Times New Roman" w:cs="Times New Roman"/>
          <w:sz w:val="18"/>
          <w:szCs w:val="18"/>
        </w:rPr>
        <w:t>s 20 to 22.</w:t>
      </w:r>
    </w:p>
  </w:footnote>
  <w:footnote w:id="199">
    <w:p w14:paraId="09F50E94" w14:textId="7835FBC8" w:rsidR="00AE1D83" w:rsidRPr="00582553" w:rsidRDefault="00AE1D83"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r>
      <w:r w:rsidR="009362DD" w:rsidRPr="00582553">
        <w:rPr>
          <w:rFonts w:ascii="Times New Roman" w:hAnsi="Times New Roman" w:cs="Times New Roman"/>
          <w:sz w:val="18"/>
          <w:szCs w:val="18"/>
        </w:rPr>
        <w:t xml:space="preserve">The freedom of the arts and sciences </w:t>
      </w:r>
      <w:r w:rsidRPr="00582553">
        <w:rPr>
          <w:rFonts w:ascii="Times New Roman" w:hAnsi="Times New Roman" w:cs="Times New Roman"/>
          <w:sz w:val="18"/>
          <w:szCs w:val="18"/>
        </w:rPr>
        <w:t>ensures the freedom of academic staff and students to engage in research, teaching, learning and communication in and with society without interference nor fear of reprisal. Freedom of scientific research encompasses the right to freely define research questions, choose and develop theories, gather empirical material and employ academic research methods, to question accepted wisdom and bring forward new ideas. It entails the right to share, disseminate and publish the results thereof, including through training and teaching</w:t>
      </w:r>
      <w:r w:rsidR="009362DD" w:rsidRPr="00582553">
        <w:rPr>
          <w:rFonts w:ascii="Times New Roman" w:hAnsi="Times New Roman" w:cs="Times New Roman"/>
          <w:sz w:val="18"/>
          <w:szCs w:val="18"/>
        </w:rPr>
        <w:t>. It is also the freedom to associate in professional or representative academic bodies.</w:t>
      </w:r>
      <w:r w:rsidR="00592A71" w:rsidRPr="00582553">
        <w:rPr>
          <w:rFonts w:ascii="Times New Roman" w:hAnsi="Times New Roman" w:cs="Times New Roman"/>
          <w:sz w:val="18"/>
          <w:szCs w:val="18"/>
        </w:rPr>
        <w:t xml:space="preserve"> In addition, within the European Higher Education Area, Ministers stated that they commit to upholding institutional autonomy, academic freedom and integrity, participation of students and staff, and public responsibility for and of higher education. They adopted the definition of academic freedom as freedom of academic staff and students to engage in research, teaching, learning and communication in and with society without interference nor fear of reprisal </w:t>
      </w:r>
      <w:r w:rsidR="00807B61" w:rsidRPr="00582553">
        <w:rPr>
          <w:rFonts w:ascii="Times New Roman" w:hAnsi="Times New Roman" w:cs="Times New Roman"/>
          <w:sz w:val="18"/>
          <w:szCs w:val="18"/>
        </w:rPr>
        <w:t>(</w:t>
      </w:r>
      <w:r w:rsidR="00A677AB" w:rsidRPr="00582553">
        <w:rPr>
          <w:rFonts w:ascii="Times New Roman" w:hAnsi="Times New Roman" w:cs="Times New Roman"/>
          <w:sz w:val="18"/>
          <w:szCs w:val="18"/>
        </w:rPr>
        <w:t>Rome Communiqué 2020 adopted on 19 November 2020 at the Ministerial conference of the European Higher Education Area (EHEA)</w:t>
      </w:r>
      <w:r w:rsidR="00807B61" w:rsidRPr="00582553">
        <w:rPr>
          <w:rFonts w:ascii="Times New Roman" w:hAnsi="Times New Roman" w:cs="Times New Roman"/>
          <w:sz w:val="18"/>
          <w:szCs w:val="18"/>
        </w:rPr>
        <w:t>).</w:t>
      </w:r>
    </w:p>
  </w:footnote>
  <w:footnote w:id="200">
    <w:p w14:paraId="20C7C8A2" w14:textId="50016B35" w:rsidR="00E36ED1" w:rsidRPr="00582553" w:rsidRDefault="00E36ED1"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AE58E7" w:rsidRPr="00582553">
        <w:rPr>
          <w:rFonts w:ascii="Times New Roman" w:hAnsi="Times New Roman" w:cs="Times New Roman"/>
          <w:sz w:val="18"/>
          <w:szCs w:val="18"/>
        </w:rPr>
        <w:tab/>
      </w:r>
      <w:r w:rsidR="00A7268E" w:rsidRPr="00582553">
        <w:rPr>
          <w:rFonts w:ascii="Times New Roman" w:hAnsi="Times New Roman" w:cs="Times New Roman"/>
          <w:sz w:val="18"/>
          <w:szCs w:val="18"/>
          <w:lang w:val="en-IE"/>
        </w:rPr>
        <w:t>‘Commission publishes a toolkit to help mitigate foreign interference in research and innovation’, Directorate-General for Research and Innovation, European Commission, 18 January 2022, available at:</w:t>
      </w:r>
      <w:r w:rsidR="00C71795" w:rsidRPr="00582553">
        <w:rPr>
          <w:rFonts w:ascii="Times New Roman" w:hAnsi="Times New Roman" w:cs="Times New Roman"/>
          <w:sz w:val="18"/>
          <w:szCs w:val="18"/>
        </w:rPr>
        <w:t xml:space="preserve"> </w:t>
      </w:r>
      <w:hyperlink r:id="rId27" w:history="1">
        <w:r w:rsidR="00C71795" w:rsidRPr="00582553">
          <w:rPr>
            <w:rStyle w:val="Hyperlink"/>
            <w:rFonts w:ascii="Times New Roman" w:hAnsi="Times New Roman" w:cs="Times New Roman"/>
            <w:sz w:val="18"/>
            <w:szCs w:val="18"/>
            <w:lang w:val="en-IE"/>
          </w:rPr>
          <w:t>https://research-and-innovation.ec.europa.eu/news/all-research-and-innovation-news/commission-publishes-toolkit-help-mitigate-foreign-interference-research-and-innovation-2022-01-18_en</w:t>
        </w:r>
      </w:hyperlink>
      <w:r w:rsidR="00A7268E" w:rsidRPr="00582553">
        <w:rPr>
          <w:rFonts w:ascii="Times New Roman" w:hAnsi="Times New Roman" w:cs="Times New Roman"/>
          <w:sz w:val="18"/>
          <w:szCs w:val="18"/>
          <w:lang w:val="en-IE"/>
        </w:rPr>
        <w:t>.</w:t>
      </w:r>
    </w:p>
  </w:footnote>
  <w:footnote w:id="201">
    <w:p w14:paraId="6D675A9F" w14:textId="77777777" w:rsidR="00E00033" w:rsidRPr="00582553" w:rsidRDefault="00E00033" w:rsidP="00582553">
      <w:pPr>
        <w:pStyle w:val="FootnoteText"/>
        <w:spacing w:after="0"/>
        <w:ind w:left="284" w:hanging="284"/>
        <w:rPr>
          <w:sz w:val="18"/>
          <w:szCs w:val="18"/>
        </w:rPr>
      </w:pPr>
      <w:r w:rsidRPr="00582553">
        <w:rPr>
          <w:rStyle w:val="FootnoteReference"/>
          <w:sz w:val="18"/>
          <w:szCs w:val="18"/>
        </w:rPr>
        <w:footnoteRef/>
      </w:r>
      <w:r w:rsidRPr="00582553">
        <w:rPr>
          <w:sz w:val="18"/>
          <w:szCs w:val="18"/>
        </w:rPr>
        <w:t xml:space="preserve"> </w:t>
      </w:r>
      <w:r w:rsidRPr="00582553">
        <w:rPr>
          <w:sz w:val="18"/>
          <w:szCs w:val="18"/>
        </w:rPr>
        <w:tab/>
        <w:t xml:space="preserve">Focus group meeting of 17 November 2022 with 7 representatives from Academia and research organisations. </w:t>
      </w:r>
    </w:p>
  </w:footnote>
  <w:footnote w:id="202">
    <w:p w14:paraId="65ECF0E0" w14:textId="432A0C8C" w:rsidR="00563FF3" w:rsidRPr="00582553" w:rsidRDefault="00563FF3"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Fonts w:ascii="Times New Roman" w:hAnsi="Times New Roman" w:cs="Times New Roman"/>
          <w:sz w:val="18"/>
          <w:szCs w:val="18"/>
          <w:lang w:val="en-IE"/>
        </w:rPr>
        <w:t xml:space="preserve">This restriction would </w:t>
      </w:r>
      <w:r w:rsidRPr="00582553">
        <w:rPr>
          <w:rFonts w:ascii="Times New Roman" w:hAnsi="Times New Roman" w:cs="Times New Roman"/>
          <w:sz w:val="18"/>
          <w:szCs w:val="18"/>
        </w:rPr>
        <w:t>also</w:t>
      </w:r>
      <w:r w:rsidRPr="00582553">
        <w:rPr>
          <w:rFonts w:ascii="Times New Roman" w:hAnsi="Times New Roman" w:cs="Times New Roman"/>
          <w:sz w:val="18"/>
          <w:szCs w:val="18"/>
          <w:lang w:val="en-IE"/>
        </w:rPr>
        <w:t xml:space="preserve"> exist to PO1 to the extent that the Recommendation is implemented in a way that applies to entities beyond third country governments (such as third country entities as defined in section 5.2.).</w:t>
      </w:r>
    </w:p>
  </w:footnote>
  <w:footnote w:id="203">
    <w:p w14:paraId="1E5CEDEB" w14:textId="5E8121C3" w:rsidR="0006282D" w:rsidRPr="00582553" w:rsidRDefault="0006282D"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5748EF" w:rsidRPr="00582553">
        <w:rPr>
          <w:rFonts w:ascii="Times New Roman" w:hAnsi="Times New Roman" w:cs="Times New Roman"/>
          <w:sz w:val="18"/>
          <w:szCs w:val="18"/>
        </w:rPr>
        <w:tab/>
      </w:r>
      <w:r w:rsidR="005748EF" w:rsidRPr="00582553">
        <w:rPr>
          <w:rFonts w:ascii="Times New Roman" w:hAnsi="Times New Roman" w:cs="Times New Roman"/>
          <w:sz w:val="18"/>
          <w:szCs w:val="18"/>
          <w:lang w:val="en-IE"/>
        </w:rPr>
        <w:t xml:space="preserve">Judgment of </w:t>
      </w:r>
      <w:r w:rsidR="00F64A34" w:rsidRPr="00582553">
        <w:rPr>
          <w:rFonts w:ascii="Times New Roman" w:hAnsi="Times New Roman" w:cs="Times New Roman"/>
          <w:sz w:val="18"/>
          <w:szCs w:val="18"/>
          <w:lang w:val="en-IE"/>
        </w:rPr>
        <w:t xml:space="preserve">the Court of Justice of </w:t>
      </w:r>
      <w:r w:rsidR="00413A16" w:rsidRPr="00582553">
        <w:rPr>
          <w:rFonts w:ascii="Times New Roman" w:hAnsi="Times New Roman" w:cs="Times New Roman"/>
          <w:sz w:val="18"/>
          <w:szCs w:val="18"/>
          <w:lang w:val="en-IE"/>
        </w:rPr>
        <w:t>22 January</w:t>
      </w:r>
      <w:r w:rsidR="005748EF" w:rsidRPr="00582553">
        <w:rPr>
          <w:rFonts w:ascii="Times New Roman" w:hAnsi="Times New Roman" w:cs="Times New Roman"/>
          <w:sz w:val="18"/>
          <w:szCs w:val="18"/>
          <w:lang w:val="en-IE"/>
        </w:rPr>
        <w:t xml:space="preserve"> 20</w:t>
      </w:r>
      <w:r w:rsidR="00413A16" w:rsidRPr="00582553">
        <w:rPr>
          <w:rFonts w:ascii="Times New Roman" w:hAnsi="Times New Roman" w:cs="Times New Roman"/>
          <w:sz w:val="18"/>
          <w:szCs w:val="18"/>
          <w:lang w:val="en-IE"/>
        </w:rPr>
        <w:t>13</w:t>
      </w:r>
      <w:r w:rsidR="005748EF" w:rsidRPr="00582553">
        <w:rPr>
          <w:rFonts w:ascii="Times New Roman" w:hAnsi="Times New Roman" w:cs="Times New Roman"/>
          <w:sz w:val="18"/>
          <w:szCs w:val="18"/>
          <w:lang w:val="en-IE"/>
        </w:rPr>
        <w:t xml:space="preserve">, </w:t>
      </w:r>
      <w:r w:rsidR="005748EF" w:rsidRPr="00582553">
        <w:rPr>
          <w:rFonts w:ascii="Times New Roman" w:hAnsi="Times New Roman" w:cs="Times New Roman"/>
          <w:i/>
          <w:iCs/>
          <w:sz w:val="18"/>
          <w:szCs w:val="18"/>
        </w:rPr>
        <w:t>Sky Österreich GmbH v Österreichischer Rundfunk</w:t>
      </w:r>
      <w:r w:rsidR="00F64A34" w:rsidRPr="00582553">
        <w:rPr>
          <w:rFonts w:ascii="Times New Roman" w:hAnsi="Times New Roman" w:cs="Times New Roman"/>
          <w:i/>
          <w:iCs/>
          <w:sz w:val="18"/>
          <w:szCs w:val="18"/>
        </w:rPr>
        <w:t>,</w:t>
      </w:r>
      <w:r w:rsidR="005748EF" w:rsidRPr="00582553">
        <w:rPr>
          <w:rFonts w:ascii="Times New Roman" w:hAnsi="Times New Roman" w:cs="Times New Roman"/>
          <w:i/>
          <w:sz w:val="18"/>
          <w:szCs w:val="18"/>
          <w:lang w:val="en-IE"/>
        </w:rPr>
        <w:t xml:space="preserve"> </w:t>
      </w:r>
      <w:r w:rsidR="005748EF" w:rsidRPr="00582553">
        <w:rPr>
          <w:rFonts w:ascii="Times New Roman" w:hAnsi="Times New Roman" w:cs="Times New Roman"/>
          <w:sz w:val="18"/>
          <w:szCs w:val="18"/>
        </w:rPr>
        <w:t>C-283/11, ECLI:EU:C:2013:28, para</w:t>
      </w:r>
      <w:r w:rsidR="00C516E6" w:rsidRPr="00582553">
        <w:rPr>
          <w:rFonts w:ascii="Times New Roman" w:hAnsi="Times New Roman" w:cs="Times New Roman"/>
          <w:sz w:val="18"/>
          <w:szCs w:val="18"/>
        </w:rPr>
        <w:t>graph</w:t>
      </w:r>
      <w:r w:rsidR="005748EF" w:rsidRPr="00582553">
        <w:rPr>
          <w:rFonts w:ascii="Times New Roman" w:hAnsi="Times New Roman" w:cs="Times New Roman"/>
          <w:sz w:val="18"/>
          <w:szCs w:val="18"/>
        </w:rPr>
        <w:t xml:space="preserve"> 46.</w:t>
      </w:r>
    </w:p>
  </w:footnote>
  <w:footnote w:id="204">
    <w:p w14:paraId="360D1899" w14:textId="28B69A53" w:rsidR="004C6116" w:rsidRPr="00582553" w:rsidRDefault="004C6116"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Fonts w:ascii="Times New Roman" w:hAnsi="Times New Roman" w:cs="Times New Roman"/>
          <w:sz w:val="18"/>
          <w:szCs w:val="18"/>
          <w:lang w:val="en-IE"/>
        </w:rPr>
        <w:t>Article 2</w:t>
      </w:r>
      <w:r w:rsidR="00C0781C"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3(5)</w:t>
      </w:r>
      <w:r w:rsidR="00C0781C" w:rsidRPr="00582553">
        <w:rPr>
          <w:rFonts w:ascii="Times New Roman" w:hAnsi="Times New Roman" w:cs="Times New Roman"/>
          <w:sz w:val="18"/>
          <w:szCs w:val="18"/>
          <w:lang w:val="en-IE"/>
        </w:rPr>
        <w:t xml:space="preserve"> and 21(1)</w:t>
      </w:r>
      <w:r w:rsidRPr="00582553">
        <w:rPr>
          <w:rFonts w:ascii="Times New Roman" w:hAnsi="Times New Roman" w:cs="Times New Roman"/>
          <w:sz w:val="18"/>
          <w:szCs w:val="18"/>
          <w:lang w:val="en-IE"/>
        </w:rPr>
        <w:t xml:space="preserve"> TEU</w:t>
      </w:r>
      <w:r w:rsidR="00567CAD" w:rsidRPr="00582553">
        <w:rPr>
          <w:rFonts w:ascii="Times New Roman" w:hAnsi="Times New Roman" w:cs="Times New Roman"/>
          <w:sz w:val="18"/>
          <w:szCs w:val="18"/>
          <w:lang w:val="en-IE"/>
        </w:rPr>
        <w:t>.</w:t>
      </w:r>
    </w:p>
  </w:footnote>
  <w:footnote w:id="205">
    <w:p w14:paraId="2F758079" w14:textId="5A1E509C" w:rsidR="004C6116" w:rsidRPr="00582553" w:rsidRDefault="004C6116"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See for example the EU Action Plan on Human Rights and Democracy 2020-2024. </w:t>
      </w:r>
      <w:r w:rsidR="00511953" w:rsidRPr="00582553">
        <w:rPr>
          <w:rFonts w:ascii="Times New Roman" w:hAnsi="Times New Roman" w:cs="Times New Roman"/>
          <w:sz w:val="18"/>
          <w:szCs w:val="18"/>
        </w:rPr>
        <w:t>The EU regularly discusses issues related to the respect for democracy and human rights in political dialogues as well as in dedicated human rights dialogues with third countries and regional or multilateral organisations. In addition to the dialogues, bilateral trade agreements and the various association and cooperation agreements between the EU and third countries or regional organisations include human rights clause defining respect for human rights as an ‘essential element’ of the said agreements. There are also specific mechanisms that have been established for enlargement countries that adheres to EU’s commitment to democracy and human rights. Before joining the EU</w:t>
      </w:r>
      <w:r w:rsidR="00BD36E1" w:rsidRPr="00582553">
        <w:rPr>
          <w:rFonts w:ascii="Times New Roman" w:hAnsi="Times New Roman" w:cs="Times New Roman"/>
          <w:sz w:val="18"/>
          <w:szCs w:val="18"/>
        </w:rPr>
        <w:t>,</w:t>
      </w:r>
      <w:r w:rsidR="00511953" w:rsidRPr="00582553">
        <w:rPr>
          <w:rFonts w:ascii="Times New Roman" w:hAnsi="Times New Roman" w:cs="Times New Roman"/>
          <w:sz w:val="18"/>
          <w:szCs w:val="18"/>
        </w:rPr>
        <w:t xml:space="preserve"> these countries have to develop stable institutions guaranteeing democracy, the rule of law, human rights and respect for and the protection of minorities, a process actively supported by the EU.</w:t>
      </w:r>
    </w:p>
  </w:footnote>
  <w:footnote w:id="206">
    <w:p w14:paraId="2BE903A4" w14:textId="15E67BA1" w:rsidR="00511953" w:rsidRPr="00582553" w:rsidRDefault="00511953" w:rsidP="00582553">
      <w:pPr>
        <w:pStyle w:val="FootnoteText"/>
        <w:spacing w:after="0"/>
        <w:ind w:left="284" w:hanging="284"/>
        <w:rPr>
          <w:rFonts w:ascii="Times New Roman" w:hAnsi="Times New Roman" w:cs="Times New Roman"/>
          <w:sz w:val="18"/>
          <w:szCs w:val="18"/>
          <w:lang w:val="en-IE"/>
        </w:rPr>
      </w:pPr>
      <w:r w:rsidRPr="00582553">
        <w:rPr>
          <w:rFonts w:ascii="Times New Roman" w:hAnsi="Times New Roman" w:cs="Times New Roman"/>
          <w:sz w:val="18"/>
          <w:szCs w:val="18"/>
          <w:vertAlign w:val="superscript"/>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See inter alia: </w:t>
      </w:r>
      <w:r w:rsidR="00502994" w:rsidRPr="00582553">
        <w:rPr>
          <w:rFonts w:ascii="Times New Roman" w:hAnsi="Times New Roman" w:cs="Times New Roman"/>
          <w:sz w:val="18"/>
          <w:szCs w:val="18"/>
          <w:lang w:val="en-IE"/>
        </w:rPr>
        <w:t xml:space="preserve">‘Russia: </w:t>
      </w:r>
      <w:r w:rsidRPr="00582553">
        <w:rPr>
          <w:rFonts w:ascii="Times New Roman" w:hAnsi="Times New Roman" w:cs="Times New Roman"/>
          <w:sz w:val="18"/>
          <w:szCs w:val="18"/>
          <w:lang w:val="en-IE"/>
        </w:rPr>
        <w:t>Declaration by the High Representative on behalf of the EU on the 10</w:t>
      </w:r>
      <w:r w:rsidRPr="00582553">
        <w:rPr>
          <w:rFonts w:ascii="Times New Roman" w:hAnsi="Times New Roman" w:cs="Times New Roman"/>
          <w:sz w:val="18"/>
          <w:szCs w:val="18"/>
          <w:vertAlign w:val="superscript"/>
          <w:lang w:val="en-IE"/>
        </w:rPr>
        <w:t>th</w:t>
      </w:r>
      <w:r w:rsidRPr="00582553">
        <w:rPr>
          <w:rFonts w:ascii="Times New Roman" w:hAnsi="Times New Roman" w:cs="Times New Roman"/>
          <w:sz w:val="18"/>
          <w:szCs w:val="18"/>
          <w:lang w:val="en-IE"/>
        </w:rPr>
        <w:t xml:space="preserve"> anniversary of the introduction of the Law on Foreign Agents</w:t>
      </w:r>
      <w:r w:rsidR="00502994" w:rsidRPr="00582553">
        <w:rPr>
          <w:rFonts w:ascii="Times New Roman" w:hAnsi="Times New Roman" w:cs="Times New Roman"/>
          <w:sz w:val="18"/>
          <w:szCs w:val="18"/>
          <w:lang w:val="en-IE"/>
        </w:rPr>
        <w:t>’</w:t>
      </w:r>
      <w:r w:rsidRPr="00582553">
        <w:rPr>
          <w:rFonts w:ascii="Times New Roman" w:hAnsi="Times New Roman" w:cs="Times New Roman"/>
          <w:sz w:val="18"/>
          <w:szCs w:val="18"/>
          <w:lang w:val="en-IE"/>
        </w:rPr>
        <w:t>,</w:t>
      </w:r>
      <w:r w:rsidR="00502994" w:rsidRPr="00582553">
        <w:rPr>
          <w:rFonts w:ascii="Times New Roman" w:hAnsi="Times New Roman" w:cs="Times New Roman"/>
          <w:sz w:val="18"/>
          <w:szCs w:val="18"/>
          <w:lang w:val="en-IE"/>
        </w:rPr>
        <w:t xml:space="preserve"> Council of the E</w:t>
      </w:r>
      <w:r w:rsidR="00E401AC" w:rsidRPr="00582553">
        <w:rPr>
          <w:rFonts w:ascii="Times New Roman" w:hAnsi="Times New Roman" w:cs="Times New Roman"/>
          <w:sz w:val="18"/>
          <w:szCs w:val="18"/>
          <w:lang w:val="en-IE"/>
        </w:rPr>
        <w:t xml:space="preserve">uropean </w:t>
      </w:r>
      <w:r w:rsidR="00502994" w:rsidRPr="00582553">
        <w:rPr>
          <w:rFonts w:ascii="Times New Roman" w:hAnsi="Times New Roman" w:cs="Times New Roman"/>
          <w:sz w:val="18"/>
          <w:szCs w:val="18"/>
          <w:lang w:val="en-IE"/>
        </w:rPr>
        <w:t>U</w:t>
      </w:r>
      <w:r w:rsidR="00E401AC" w:rsidRPr="00582553">
        <w:rPr>
          <w:rFonts w:ascii="Times New Roman" w:hAnsi="Times New Roman" w:cs="Times New Roman"/>
          <w:sz w:val="18"/>
          <w:szCs w:val="18"/>
          <w:lang w:val="en-IE"/>
        </w:rPr>
        <w:t>nion</w:t>
      </w:r>
      <w:r w:rsidR="00502994" w:rsidRPr="00582553">
        <w:rPr>
          <w:rFonts w:ascii="Times New Roman" w:hAnsi="Times New Roman" w:cs="Times New Roman"/>
          <w:sz w:val="18"/>
          <w:szCs w:val="18"/>
          <w:lang w:val="en-IE"/>
        </w:rPr>
        <w:t>,</w:t>
      </w:r>
      <w:r w:rsidR="000263B2" w:rsidRPr="00582553">
        <w:rPr>
          <w:rFonts w:ascii="Times New Roman" w:hAnsi="Times New Roman" w:cs="Times New Roman"/>
          <w:sz w:val="18"/>
          <w:szCs w:val="18"/>
          <w:lang w:val="en-IE"/>
        </w:rPr>
        <w:t xml:space="preserve"> 20 July 2022</w:t>
      </w:r>
      <w:r w:rsidR="00502994" w:rsidRPr="00582553">
        <w:rPr>
          <w:rFonts w:ascii="Times New Roman" w:hAnsi="Times New Roman" w:cs="Times New Roman"/>
          <w:sz w:val="18"/>
          <w:szCs w:val="18"/>
          <w:lang w:val="en-IE"/>
        </w:rPr>
        <w:t xml:space="preserve">, </w:t>
      </w:r>
      <w:r w:rsidR="00F24978" w:rsidRPr="00582553">
        <w:rPr>
          <w:rFonts w:ascii="Times New Roman" w:hAnsi="Times New Roman" w:cs="Times New Roman"/>
          <w:sz w:val="18"/>
          <w:szCs w:val="18"/>
          <w:lang w:val="en-IE"/>
        </w:rPr>
        <w:t xml:space="preserve">available at: </w:t>
      </w:r>
      <w:r w:rsidRPr="00582553">
        <w:rPr>
          <w:rFonts w:ascii="Times New Roman" w:hAnsi="Times New Roman" w:cs="Times New Roman"/>
          <w:sz w:val="18"/>
          <w:szCs w:val="18"/>
          <w:lang w:val="en-IE"/>
        </w:rPr>
        <w:t xml:space="preserve"> </w:t>
      </w:r>
      <w:hyperlink r:id="rId28" w:history="1">
        <w:r w:rsidR="00D66049" w:rsidRPr="00582553">
          <w:rPr>
            <w:rStyle w:val="Hyperlink"/>
            <w:rFonts w:ascii="Times New Roman" w:hAnsi="Times New Roman" w:cs="Times New Roman"/>
            <w:sz w:val="18"/>
            <w:szCs w:val="18"/>
            <w:lang w:val="en-IE"/>
          </w:rPr>
          <w:t>https://www.consilium.europa.eu/en/press/press-releases/2022/07/20/russia-declaration-by-the-high-representative-on-behalf-of-the-eu-on-the-10th-anniversary-of-the-introduction-of-the-law-on-foreign-agents/</w:t>
        </w:r>
      </w:hyperlink>
      <w:r w:rsidRPr="00582553">
        <w:rPr>
          <w:rFonts w:ascii="Times New Roman" w:hAnsi="Times New Roman" w:cs="Times New Roman"/>
          <w:sz w:val="18"/>
          <w:szCs w:val="18"/>
          <w:lang w:val="en-IE"/>
        </w:rPr>
        <w:t xml:space="preserve">; </w:t>
      </w:r>
      <w:r w:rsidR="003D4ED9" w:rsidRPr="00582553">
        <w:rPr>
          <w:rFonts w:ascii="Times New Roman" w:hAnsi="Times New Roman" w:cs="Times New Roman"/>
          <w:sz w:val="18"/>
          <w:szCs w:val="18"/>
          <w:lang w:val="en-IE"/>
        </w:rPr>
        <w:t xml:space="preserve">‘Georgia: </w:t>
      </w:r>
      <w:r w:rsidRPr="00582553">
        <w:rPr>
          <w:rFonts w:ascii="Times New Roman" w:hAnsi="Times New Roman" w:cs="Times New Roman"/>
          <w:sz w:val="18"/>
          <w:szCs w:val="18"/>
          <w:lang w:val="en-IE"/>
        </w:rPr>
        <w:t>Statement by the High Representative on the adoption of the Georgian “foreign influence” law</w:t>
      </w:r>
      <w:r w:rsidR="00951A01" w:rsidRPr="00582553">
        <w:rPr>
          <w:rFonts w:ascii="Times New Roman" w:hAnsi="Times New Roman" w:cs="Times New Roman"/>
          <w:sz w:val="18"/>
          <w:szCs w:val="18"/>
          <w:lang w:val="en-IE"/>
        </w:rPr>
        <w:t>’</w:t>
      </w:r>
      <w:r w:rsidRPr="00582553">
        <w:rPr>
          <w:rFonts w:ascii="Times New Roman" w:hAnsi="Times New Roman" w:cs="Times New Roman"/>
          <w:sz w:val="18"/>
          <w:szCs w:val="18"/>
          <w:lang w:val="en-IE"/>
        </w:rPr>
        <w:t>,</w:t>
      </w:r>
      <w:r w:rsidR="00951A01" w:rsidRPr="00582553">
        <w:rPr>
          <w:rFonts w:ascii="Times New Roman" w:hAnsi="Times New Roman" w:cs="Times New Roman"/>
          <w:sz w:val="18"/>
          <w:szCs w:val="18"/>
          <w:lang w:val="en-IE"/>
        </w:rPr>
        <w:t xml:space="preserve"> </w:t>
      </w:r>
      <w:r w:rsidR="00E401AC" w:rsidRPr="00582553">
        <w:rPr>
          <w:rFonts w:ascii="Times New Roman" w:hAnsi="Times New Roman" w:cs="Times New Roman"/>
          <w:sz w:val="18"/>
          <w:szCs w:val="18"/>
          <w:lang w:val="en-IE"/>
        </w:rPr>
        <w:t>European Union External Action,</w:t>
      </w:r>
      <w:r w:rsidRPr="00582553">
        <w:rPr>
          <w:rFonts w:ascii="Times New Roman" w:hAnsi="Times New Roman" w:cs="Times New Roman"/>
          <w:sz w:val="18"/>
          <w:szCs w:val="18"/>
          <w:lang w:val="en-IE"/>
        </w:rPr>
        <w:t xml:space="preserve"> </w:t>
      </w:r>
      <w:r w:rsidR="007F71B6" w:rsidRPr="00582553">
        <w:rPr>
          <w:rFonts w:ascii="Times New Roman" w:hAnsi="Times New Roman" w:cs="Times New Roman"/>
          <w:sz w:val="18"/>
          <w:szCs w:val="18"/>
          <w:lang w:val="en-IE"/>
        </w:rPr>
        <w:t xml:space="preserve">7 March 2023, </w:t>
      </w:r>
      <w:r w:rsidR="00F24978" w:rsidRPr="00582553">
        <w:rPr>
          <w:rFonts w:ascii="Times New Roman" w:hAnsi="Times New Roman" w:cs="Times New Roman"/>
          <w:sz w:val="18"/>
          <w:szCs w:val="18"/>
          <w:lang w:val="en-IE"/>
        </w:rPr>
        <w:t>available at:</w:t>
      </w:r>
      <w:r w:rsidR="007F71B6" w:rsidRPr="00582553">
        <w:rPr>
          <w:rFonts w:ascii="Times New Roman" w:hAnsi="Times New Roman" w:cs="Times New Roman"/>
          <w:sz w:val="18"/>
          <w:szCs w:val="18"/>
          <w:lang w:val="en-IE"/>
        </w:rPr>
        <w:t xml:space="preserve"> </w:t>
      </w:r>
      <w:hyperlink r:id="rId29" w:history="1">
        <w:r w:rsidR="007F71B6" w:rsidRPr="00582553">
          <w:rPr>
            <w:rStyle w:val="Hyperlink"/>
            <w:rFonts w:ascii="Times New Roman" w:hAnsi="Times New Roman" w:cs="Times New Roman"/>
            <w:sz w:val="18"/>
            <w:szCs w:val="18"/>
            <w:lang w:val="en-IE"/>
          </w:rPr>
          <w:t>https://www.eeas.europa.eu/eeas/georgia-statement-high-representative-adoption-%E2%80%9Cforeign-influence%E2%80%9D-law_en</w:t>
        </w:r>
      </w:hyperlink>
      <w:r w:rsidRPr="00582553">
        <w:rPr>
          <w:rFonts w:ascii="Times New Roman" w:hAnsi="Times New Roman" w:cs="Times New Roman"/>
          <w:sz w:val="18"/>
          <w:szCs w:val="18"/>
          <w:lang w:val="en-IE"/>
        </w:rPr>
        <w:t xml:space="preserve">; </w:t>
      </w:r>
      <w:r w:rsidR="00D951D1" w:rsidRPr="00582553">
        <w:rPr>
          <w:rFonts w:ascii="Times New Roman" w:hAnsi="Times New Roman" w:cs="Times New Roman"/>
          <w:sz w:val="18"/>
          <w:szCs w:val="18"/>
          <w:lang w:val="en-IE"/>
        </w:rPr>
        <w:t>‘</w:t>
      </w:r>
      <w:r w:rsidRPr="00582553">
        <w:rPr>
          <w:rFonts w:ascii="Times New Roman" w:hAnsi="Times New Roman" w:cs="Times New Roman"/>
          <w:sz w:val="18"/>
          <w:szCs w:val="18"/>
          <w:lang w:val="en-IE"/>
        </w:rPr>
        <w:t>EU in BiH</w:t>
      </w:r>
      <w:r w:rsidR="00D951D1" w:rsidRPr="00582553">
        <w:rPr>
          <w:rFonts w:ascii="Times New Roman" w:hAnsi="Times New Roman" w:cs="Times New Roman"/>
          <w:sz w:val="18"/>
          <w:szCs w:val="18"/>
          <w:lang w:val="en-IE"/>
        </w:rPr>
        <w:t xml:space="preserve"> on recent developments in the RS’, Delegation of the European Union to Bosnia and Herzegovina</w:t>
      </w:r>
      <w:r w:rsidR="00824C1C" w:rsidRPr="00582553">
        <w:rPr>
          <w:rFonts w:ascii="Times New Roman" w:hAnsi="Times New Roman" w:cs="Times New Roman"/>
          <w:sz w:val="18"/>
          <w:szCs w:val="18"/>
          <w:lang w:val="en-IE"/>
        </w:rPr>
        <w:t xml:space="preserve"> &amp; European Union Special Representative in Bosnia and Herzegovina, 27 March 2023, </w:t>
      </w:r>
      <w:r w:rsidR="00F24978" w:rsidRPr="00582553">
        <w:rPr>
          <w:rFonts w:ascii="Times New Roman" w:hAnsi="Times New Roman" w:cs="Times New Roman"/>
          <w:sz w:val="18"/>
          <w:szCs w:val="18"/>
          <w:lang w:val="en-IE"/>
        </w:rPr>
        <w:t>available at:</w:t>
      </w:r>
      <w:r w:rsidR="00824C1C" w:rsidRPr="00582553">
        <w:rPr>
          <w:rFonts w:ascii="Times New Roman" w:hAnsi="Times New Roman" w:cs="Times New Roman"/>
          <w:sz w:val="18"/>
          <w:szCs w:val="18"/>
          <w:lang w:val="en-IE"/>
        </w:rPr>
        <w:t xml:space="preserve"> </w:t>
      </w:r>
      <w:r w:rsidR="00F24978" w:rsidRPr="00582553">
        <w:rPr>
          <w:rFonts w:ascii="Times New Roman" w:hAnsi="Times New Roman" w:cs="Times New Roman"/>
          <w:sz w:val="18"/>
          <w:szCs w:val="18"/>
          <w:lang w:val="en-IE"/>
        </w:rPr>
        <w:t xml:space="preserve"> </w:t>
      </w:r>
      <w:hyperlink r:id="rId30" w:history="1">
        <w:r w:rsidR="00B25892" w:rsidRPr="00582553">
          <w:rPr>
            <w:rStyle w:val="Hyperlink"/>
            <w:rFonts w:ascii="Times New Roman" w:hAnsi="Times New Roman" w:cs="Times New Roman"/>
            <w:sz w:val="18"/>
            <w:szCs w:val="18"/>
            <w:lang w:val="en-IE"/>
          </w:rPr>
          <w:t>https://www.eeas.europa.eu/delegations/bosnia-and-herzegovina/eu-bih-recent-developments-rs_en?s=219</w:t>
        </w:r>
      </w:hyperlink>
      <w:r w:rsidRPr="00582553">
        <w:rPr>
          <w:rFonts w:ascii="Times New Roman" w:hAnsi="Times New Roman" w:cs="Times New Roman"/>
          <w:sz w:val="18"/>
          <w:szCs w:val="18"/>
          <w:lang w:val="en-IE"/>
        </w:rPr>
        <w:t>.</w:t>
      </w:r>
    </w:p>
  </w:footnote>
  <w:footnote w:id="207">
    <w:p w14:paraId="65B0883C" w14:textId="138F537B" w:rsidR="00BB29EC" w:rsidRPr="00313F32" w:rsidRDefault="00BB29EC" w:rsidP="00313F32">
      <w:pPr>
        <w:pStyle w:val="FootnoteText"/>
        <w:spacing w:after="0"/>
        <w:ind w:left="284" w:hanging="284"/>
        <w:rPr>
          <w:sz w:val="18"/>
          <w:szCs w:val="18"/>
        </w:rPr>
      </w:pPr>
      <w:r w:rsidRPr="00313F32">
        <w:rPr>
          <w:rStyle w:val="FootnoteReference"/>
          <w:sz w:val="18"/>
          <w:szCs w:val="18"/>
        </w:rPr>
        <w:footnoteRef/>
      </w:r>
      <w:r w:rsidRPr="00313F32">
        <w:rPr>
          <w:sz w:val="18"/>
          <w:szCs w:val="18"/>
        </w:rPr>
        <w:t xml:space="preserve"> </w:t>
      </w:r>
      <w:r w:rsidR="008B0FAF">
        <w:rPr>
          <w:sz w:val="18"/>
          <w:szCs w:val="18"/>
        </w:rPr>
        <w:tab/>
      </w:r>
      <w:r w:rsidR="00A96CD0" w:rsidRPr="00313F32">
        <w:rPr>
          <w:sz w:val="18"/>
          <w:szCs w:val="18"/>
        </w:rPr>
        <w:t xml:space="preserve">Venice Commission, </w:t>
      </w:r>
      <w:r w:rsidR="00130275" w:rsidRPr="00313F32">
        <w:rPr>
          <w:sz w:val="18"/>
          <w:szCs w:val="18"/>
        </w:rPr>
        <w:t>Opinion on Federal Law N. 121-FZ</w:t>
      </w:r>
      <w:r w:rsidR="002F5BCD" w:rsidRPr="00313F32">
        <w:rPr>
          <w:sz w:val="18"/>
          <w:szCs w:val="18"/>
        </w:rPr>
        <w:t xml:space="preserve"> on Non-Commercial Organisations (“Law on Foreign Agents”)</w:t>
      </w:r>
      <w:r w:rsidR="003E0475" w:rsidRPr="00313F32">
        <w:rPr>
          <w:sz w:val="18"/>
          <w:szCs w:val="18"/>
        </w:rPr>
        <w:t xml:space="preserve">, </w:t>
      </w:r>
      <w:r w:rsidR="005E3227" w:rsidRPr="00313F32">
        <w:rPr>
          <w:sz w:val="18"/>
          <w:szCs w:val="18"/>
        </w:rPr>
        <w:t>CDL-AD</w:t>
      </w:r>
      <w:r w:rsidR="00B502A2" w:rsidRPr="00313F32">
        <w:rPr>
          <w:sz w:val="18"/>
          <w:szCs w:val="18"/>
        </w:rPr>
        <w:t xml:space="preserve">(2014)025, paragraph 132. </w:t>
      </w:r>
    </w:p>
  </w:footnote>
  <w:footnote w:id="208">
    <w:p w14:paraId="32A27E6B" w14:textId="10C956F7" w:rsidR="00B57E4A" w:rsidRPr="00582553" w:rsidRDefault="00B57E4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According to Republika Srpska’s draft law, foundations as well as foreign and international non-governmental organisations receiving any form of foreign funding or other assistance of foreign origin would be designated as “Non-profit organisations” (hereinafter “NPOs”). This draft law would prohibit NPOs from carrying out political activities, requiring them to register in a special registry and all their published materials to include the mark “NPO”, and to submit additional reports </w:t>
      </w:r>
      <w:r w:rsidRPr="00582553">
        <w:rPr>
          <w:rFonts w:ascii="Times New Roman" w:hAnsi="Times New Roman" w:cs="Times New Roman"/>
          <w:sz w:val="18"/>
          <w:szCs w:val="18"/>
          <w:lang w:val="en-IE"/>
        </w:rPr>
        <w:t>compared</w:t>
      </w:r>
      <w:r w:rsidRPr="00582553">
        <w:rPr>
          <w:rFonts w:ascii="Times New Roman" w:hAnsi="Times New Roman" w:cs="Times New Roman"/>
          <w:sz w:val="18"/>
          <w:szCs w:val="18"/>
        </w:rPr>
        <w:t xml:space="preserve"> to those already required by the existing legal framework. NPOs would also be subject to an additional legal regime of oversight and inspections, and a range of sanctions for violations of the provisions of the draft law that may result in the ban of the NPOs’ activities and thereby of the NPO itself. The joint opinion of the Venice Commission and OSCE/ODIHR on Republika Srpska’s draft law indicates several areas of concern due to non-compliance with international human rights standards</w:t>
      </w:r>
      <w:r w:rsidR="00E62AD8" w:rsidRPr="00582553">
        <w:rPr>
          <w:rFonts w:ascii="Times New Roman" w:hAnsi="Times New Roman" w:cs="Times New Roman"/>
          <w:sz w:val="18"/>
          <w:szCs w:val="18"/>
        </w:rPr>
        <w:t>,</w:t>
      </w:r>
      <w:r w:rsidR="003207D6" w:rsidRPr="00582553">
        <w:rPr>
          <w:rFonts w:ascii="Times New Roman" w:hAnsi="Times New Roman" w:cs="Times New Roman"/>
          <w:sz w:val="18"/>
          <w:szCs w:val="18"/>
        </w:rPr>
        <w:t xml:space="preserve"> </w:t>
      </w:r>
      <w:r w:rsidR="00216B6F" w:rsidRPr="00582553">
        <w:rPr>
          <w:rFonts w:ascii="Times New Roman" w:hAnsi="Times New Roman" w:cs="Times New Roman"/>
          <w:sz w:val="18"/>
          <w:szCs w:val="18"/>
        </w:rPr>
        <w:t>available</w:t>
      </w:r>
      <w:r w:rsidR="003207D6" w:rsidRPr="00582553">
        <w:rPr>
          <w:rFonts w:ascii="Times New Roman" w:hAnsi="Times New Roman" w:cs="Times New Roman"/>
          <w:sz w:val="18"/>
          <w:szCs w:val="18"/>
        </w:rPr>
        <w:t xml:space="preserve"> at:</w:t>
      </w:r>
      <w:r w:rsidRPr="00582553">
        <w:rPr>
          <w:rFonts w:ascii="Times New Roman" w:hAnsi="Times New Roman" w:cs="Times New Roman"/>
          <w:sz w:val="18"/>
          <w:szCs w:val="18"/>
        </w:rPr>
        <w:t xml:space="preserve"> </w:t>
      </w:r>
      <w:hyperlink r:id="rId31" w:history="1">
        <w:r w:rsidR="005B5C16" w:rsidRPr="00582553">
          <w:rPr>
            <w:rStyle w:val="Hyperlink"/>
            <w:rFonts w:ascii="Times New Roman" w:hAnsi="Times New Roman" w:cs="Times New Roman"/>
            <w:sz w:val="18"/>
            <w:szCs w:val="18"/>
          </w:rPr>
          <w:t>https://www.</w:t>
        </w:r>
        <w:r w:rsidR="005B5C16" w:rsidRPr="00582553">
          <w:rPr>
            <w:rStyle w:val="Hyperlink"/>
            <w:rFonts w:ascii="Times New Roman" w:hAnsi="Times New Roman" w:cs="Times New Roman"/>
            <w:sz w:val="18"/>
            <w:szCs w:val="18"/>
            <w:lang w:val="en-IE"/>
          </w:rPr>
          <w:t>venice</w:t>
        </w:r>
        <w:r w:rsidR="005B5C16" w:rsidRPr="00582553">
          <w:rPr>
            <w:rStyle w:val="Hyperlink"/>
            <w:rFonts w:ascii="Times New Roman" w:hAnsi="Times New Roman" w:cs="Times New Roman"/>
            <w:sz w:val="18"/>
            <w:szCs w:val="18"/>
          </w:rPr>
          <w:t>.coe.int/webforms/documents/default.aspx?pdffile=CDL-AD(2023)016-e</w:t>
        </w:r>
      </w:hyperlink>
      <w:r w:rsidR="00720179" w:rsidRPr="00582553">
        <w:rPr>
          <w:rFonts w:ascii="Times New Roman" w:hAnsi="Times New Roman" w:cs="Times New Roman"/>
          <w:sz w:val="18"/>
          <w:szCs w:val="18"/>
        </w:rPr>
        <w:t>.</w:t>
      </w:r>
      <w:r w:rsidRPr="00582553">
        <w:rPr>
          <w:rFonts w:ascii="Times New Roman" w:hAnsi="Times New Roman" w:cs="Times New Roman"/>
          <w:sz w:val="18"/>
          <w:szCs w:val="18"/>
        </w:rPr>
        <w:t xml:space="preserve"> For instance, the Draft Law is not based on any risk assessment or consultation with associations and others potentially affected. </w:t>
      </w:r>
    </w:p>
  </w:footnote>
  <w:footnote w:id="209">
    <w:p w14:paraId="3D36CEDA" w14:textId="23CE7404" w:rsidR="00535004" w:rsidRPr="00582553" w:rsidRDefault="00535004"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For more details see Section 6.2.3.2</w:t>
      </w:r>
      <w:r w:rsidR="00E415E8" w:rsidRPr="00582553">
        <w:rPr>
          <w:rFonts w:ascii="Times New Roman" w:hAnsi="Times New Roman" w:cs="Times New Roman"/>
          <w:sz w:val="18"/>
          <w:szCs w:val="18"/>
          <w:lang w:val="en-IE"/>
        </w:rPr>
        <w:t xml:space="preserve"> and Annex 8</w:t>
      </w:r>
      <w:r w:rsidR="00164A9C" w:rsidRPr="00582553">
        <w:rPr>
          <w:rFonts w:ascii="Times New Roman" w:hAnsi="Times New Roman" w:cs="Times New Roman"/>
          <w:sz w:val="18"/>
          <w:szCs w:val="18"/>
          <w:lang w:val="en-IE"/>
        </w:rPr>
        <w:t>.</w:t>
      </w:r>
    </w:p>
  </w:footnote>
  <w:footnote w:id="210">
    <w:p w14:paraId="7090082B" w14:textId="69F7ACB9" w:rsidR="00546BC3" w:rsidRPr="00582553" w:rsidRDefault="00546BC3"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F62575" w:rsidRPr="00582553">
        <w:rPr>
          <w:rFonts w:ascii="Times New Roman" w:hAnsi="Times New Roman" w:cs="Times New Roman"/>
          <w:sz w:val="18"/>
          <w:szCs w:val="18"/>
        </w:rPr>
        <w:tab/>
      </w:r>
      <w:r w:rsidRPr="00582553">
        <w:rPr>
          <w:rFonts w:ascii="Times New Roman" w:hAnsi="Times New Roman" w:cs="Times New Roman"/>
          <w:sz w:val="18"/>
          <w:szCs w:val="18"/>
        </w:rPr>
        <w:t xml:space="preserve">The International Center for Not-for-Profit Law (2017), </w:t>
      </w:r>
      <w:r w:rsidR="0071408E" w:rsidRPr="00582553">
        <w:rPr>
          <w:rFonts w:ascii="Times New Roman" w:hAnsi="Times New Roman" w:cs="Times New Roman"/>
          <w:sz w:val="18"/>
          <w:szCs w:val="18"/>
        </w:rPr>
        <w:t>‘</w:t>
      </w:r>
      <w:r w:rsidRPr="00582553">
        <w:rPr>
          <w:rFonts w:ascii="Times New Roman" w:hAnsi="Times New Roman" w:cs="Times New Roman"/>
          <w:sz w:val="18"/>
          <w:szCs w:val="18"/>
        </w:rPr>
        <w:t>FARA’s</w:t>
      </w:r>
      <w:r w:rsidRPr="00582553">
        <w:rPr>
          <w:rFonts w:ascii="Times New Roman" w:hAnsi="Times New Roman" w:cs="Times New Roman"/>
          <w:i/>
          <w:iCs/>
          <w:sz w:val="18"/>
          <w:szCs w:val="18"/>
        </w:rPr>
        <w:t xml:space="preserve"> </w:t>
      </w:r>
      <w:r w:rsidRPr="00582553">
        <w:rPr>
          <w:rFonts w:ascii="Times New Roman" w:hAnsi="Times New Roman" w:cs="Times New Roman"/>
          <w:sz w:val="18"/>
          <w:szCs w:val="18"/>
        </w:rPr>
        <w:t>Double Life Abroad</w:t>
      </w:r>
      <w:r w:rsidR="0071408E" w:rsidRPr="00582553">
        <w:rPr>
          <w:rFonts w:ascii="Times New Roman" w:hAnsi="Times New Roman" w:cs="Times New Roman"/>
          <w:sz w:val="18"/>
          <w:szCs w:val="18"/>
        </w:rPr>
        <w:t>’</w:t>
      </w:r>
      <w:r w:rsidRPr="00582553">
        <w:rPr>
          <w:rFonts w:ascii="Times New Roman" w:hAnsi="Times New Roman" w:cs="Times New Roman"/>
          <w:sz w:val="18"/>
          <w:szCs w:val="18"/>
        </w:rPr>
        <w:t xml:space="preserve">, Washington D.C., </w:t>
      </w:r>
      <w:r w:rsidR="00F24978" w:rsidRPr="00582553">
        <w:rPr>
          <w:rFonts w:ascii="Times New Roman" w:hAnsi="Times New Roman" w:cs="Times New Roman"/>
          <w:sz w:val="18"/>
          <w:szCs w:val="18"/>
        </w:rPr>
        <w:t xml:space="preserve">available at: </w:t>
      </w:r>
      <w:hyperlink r:id="rId32" w:history="1">
        <w:r w:rsidR="00F24978" w:rsidRPr="00582553">
          <w:rPr>
            <w:rStyle w:val="Hyperlink"/>
            <w:rFonts w:ascii="Times New Roman" w:hAnsi="Times New Roman" w:cs="Times New Roman"/>
            <w:sz w:val="18"/>
            <w:szCs w:val="18"/>
          </w:rPr>
          <w:t>https://www.icnl.org/wp-content/uploads/FARA-briefing_Final_c.pdf</w:t>
        </w:r>
      </w:hyperlink>
      <w:r w:rsidRPr="00582553">
        <w:rPr>
          <w:rFonts w:ascii="Times New Roman" w:hAnsi="Times New Roman" w:cs="Times New Roman"/>
          <w:i/>
          <w:iCs/>
          <w:sz w:val="18"/>
          <w:szCs w:val="18"/>
        </w:rPr>
        <w:t xml:space="preserve">, </w:t>
      </w:r>
      <w:r w:rsidRPr="00582553">
        <w:rPr>
          <w:rFonts w:ascii="Times New Roman" w:hAnsi="Times New Roman" w:cs="Times New Roman"/>
          <w:sz w:val="18"/>
          <w:szCs w:val="18"/>
        </w:rPr>
        <w:t>page 1</w:t>
      </w:r>
      <w:r w:rsidR="00F469B9" w:rsidRPr="00582553">
        <w:rPr>
          <w:rFonts w:ascii="Times New Roman" w:hAnsi="Times New Roman" w:cs="Times New Roman"/>
          <w:sz w:val="18"/>
          <w:szCs w:val="18"/>
        </w:rPr>
        <w:t>;</w:t>
      </w:r>
      <w:r w:rsidRPr="00582553">
        <w:rPr>
          <w:rFonts w:ascii="Times New Roman" w:hAnsi="Times New Roman" w:cs="Times New Roman"/>
          <w:sz w:val="18"/>
          <w:szCs w:val="18"/>
        </w:rPr>
        <w:t xml:space="preserve"> </w:t>
      </w:r>
      <w:r w:rsidR="003D00A5" w:rsidRPr="00582553">
        <w:rPr>
          <w:rFonts w:ascii="Times New Roman" w:hAnsi="Times New Roman" w:cs="Times New Roman"/>
          <w:sz w:val="18"/>
          <w:szCs w:val="18"/>
          <w:lang w:val="en-IE"/>
        </w:rPr>
        <w:t xml:space="preserve">Judgment of the </w:t>
      </w:r>
      <w:r w:rsidR="003D00A5">
        <w:rPr>
          <w:rFonts w:ascii="Times New Roman" w:hAnsi="Times New Roman" w:cs="Times New Roman"/>
          <w:sz w:val="18"/>
          <w:szCs w:val="18"/>
          <w:lang w:val="en-IE"/>
        </w:rPr>
        <w:t xml:space="preserve">European </w:t>
      </w:r>
      <w:r w:rsidR="003D00A5" w:rsidRPr="00582553">
        <w:rPr>
          <w:rFonts w:ascii="Times New Roman" w:hAnsi="Times New Roman" w:cs="Times New Roman"/>
          <w:sz w:val="18"/>
          <w:szCs w:val="18"/>
          <w:lang w:val="en-IE"/>
        </w:rPr>
        <w:t xml:space="preserve">Court of </w:t>
      </w:r>
      <w:r w:rsidR="003D00A5">
        <w:rPr>
          <w:rFonts w:ascii="Times New Roman" w:hAnsi="Times New Roman" w:cs="Times New Roman"/>
          <w:sz w:val="18"/>
          <w:szCs w:val="18"/>
          <w:lang w:val="en-IE"/>
        </w:rPr>
        <w:t>Human Rights</w:t>
      </w:r>
      <w:r w:rsidR="003D00A5" w:rsidRPr="00582553">
        <w:rPr>
          <w:rFonts w:ascii="Times New Roman" w:hAnsi="Times New Roman" w:cs="Times New Roman"/>
          <w:sz w:val="18"/>
          <w:szCs w:val="18"/>
          <w:lang w:val="en-IE"/>
        </w:rPr>
        <w:t xml:space="preserve"> of </w:t>
      </w:r>
      <w:r w:rsidR="004F61AC">
        <w:rPr>
          <w:rFonts w:ascii="Times New Roman" w:hAnsi="Times New Roman" w:cs="Times New Roman"/>
          <w:sz w:val="18"/>
          <w:szCs w:val="18"/>
          <w:lang w:val="en-IE"/>
        </w:rPr>
        <w:t>14</w:t>
      </w:r>
      <w:r w:rsidR="003D00A5" w:rsidRPr="00582553">
        <w:rPr>
          <w:rFonts w:ascii="Times New Roman" w:hAnsi="Times New Roman" w:cs="Times New Roman"/>
          <w:sz w:val="18"/>
          <w:szCs w:val="18"/>
          <w:lang w:val="en-IE"/>
        </w:rPr>
        <w:t xml:space="preserve"> </w:t>
      </w:r>
      <w:r w:rsidR="004F61AC">
        <w:rPr>
          <w:rFonts w:ascii="Times New Roman" w:hAnsi="Times New Roman" w:cs="Times New Roman"/>
          <w:sz w:val="18"/>
          <w:szCs w:val="18"/>
          <w:lang w:val="en-IE"/>
        </w:rPr>
        <w:t>June</w:t>
      </w:r>
      <w:r w:rsidR="003D00A5" w:rsidRPr="00582553">
        <w:rPr>
          <w:rFonts w:ascii="Times New Roman" w:hAnsi="Times New Roman" w:cs="Times New Roman"/>
          <w:sz w:val="18"/>
          <w:szCs w:val="18"/>
          <w:lang w:val="en-IE"/>
        </w:rPr>
        <w:t xml:space="preserve"> </w:t>
      </w:r>
      <w:r w:rsidR="004F61AC">
        <w:rPr>
          <w:rFonts w:ascii="Times New Roman" w:hAnsi="Times New Roman" w:cs="Times New Roman"/>
          <w:sz w:val="18"/>
          <w:szCs w:val="18"/>
          <w:lang w:val="en-IE"/>
        </w:rPr>
        <w:t>2022</w:t>
      </w:r>
      <w:r w:rsidR="003D00A5" w:rsidRPr="00582553">
        <w:rPr>
          <w:rFonts w:ascii="Times New Roman" w:hAnsi="Times New Roman" w:cs="Times New Roman"/>
          <w:sz w:val="18"/>
          <w:szCs w:val="18"/>
          <w:lang w:val="en-IE"/>
        </w:rPr>
        <w:t xml:space="preserve">, </w:t>
      </w:r>
      <w:r w:rsidR="004F61AC">
        <w:rPr>
          <w:rFonts w:ascii="Times New Roman" w:hAnsi="Times New Roman" w:cs="Times New Roman"/>
          <w:i/>
          <w:iCs/>
          <w:sz w:val="18"/>
          <w:szCs w:val="18"/>
        </w:rPr>
        <w:t>Ecodefence and others vs. Russia</w:t>
      </w:r>
      <w:r w:rsidR="003D00A5" w:rsidRPr="00582553">
        <w:rPr>
          <w:rFonts w:ascii="Times New Roman" w:hAnsi="Times New Roman" w:cs="Times New Roman"/>
          <w:sz w:val="18"/>
          <w:szCs w:val="18"/>
        </w:rPr>
        <w:t xml:space="preserve">, </w:t>
      </w:r>
      <w:r w:rsidR="00212733" w:rsidRPr="00212733">
        <w:rPr>
          <w:rFonts w:ascii="Times New Roman" w:hAnsi="Times New Roman" w:cs="Times New Roman"/>
          <w:sz w:val="18"/>
          <w:szCs w:val="18"/>
        </w:rPr>
        <w:t>ECLI:CE:ECHR:2022:0614JUD000998813</w:t>
      </w:r>
      <w:r w:rsidR="003D00A5" w:rsidRPr="00582553">
        <w:rPr>
          <w:rFonts w:ascii="Times New Roman" w:hAnsi="Times New Roman" w:cs="Times New Roman"/>
          <w:sz w:val="18"/>
          <w:szCs w:val="18"/>
        </w:rPr>
        <w:t xml:space="preserve">, paragraph </w:t>
      </w:r>
      <w:r w:rsidR="00CB392A">
        <w:rPr>
          <w:rFonts w:ascii="Times New Roman" w:hAnsi="Times New Roman" w:cs="Times New Roman"/>
          <w:sz w:val="18"/>
          <w:szCs w:val="18"/>
        </w:rPr>
        <w:t xml:space="preserve">41, 44; </w:t>
      </w:r>
      <w:r w:rsidR="003D00A5" w:rsidRPr="00582553">
        <w:rPr>
          <w:rFonts w:ascii="Times New Roman" w:hAnsi="Times New Roman" w:cs="Times New Roman"/>
          <w:sz w:val="18"/>
          <w:szCs w:val="18"/>
        </w:rPr>
        <w:t>.</w:t>
      </w:r>
      <w:r w:rsidR="00CC43C9">
        <w:rPr>
          <w:rFonts w:ascii="Times New Roman" w:hAnsi="Times New Roman" w:cs="Times New Roman"/>
          <w:sz w:val="18"/>
          <w:szCs w:val="18"/>
        </w:rPr>
        <w:t>‘Shalva Papuashvili to Dunja Mijatovic concerning the so-called draft laws</w:t>
      </w:r>
      <w:r w:rsidR="00A84055">
        <w:rPr>
          <w:rFonts w:ascii="Times New Roman" w:hAnsi="Times New Roman" w:cs="Times New Roman"/>
          <w:sz w:val="18"/>
          <w:szCs w:val="18"/>
        </w:rPr>
        <w:t xml:space="preserve"> </w:t>
      </w:r>
      <w:r w:rsidR="00CC43C9">
        <w:rPr>
          <w:rFonts w:ascii="Times New Roman" w:hAnsi="Times New Roman" w:cs="Times New Roman"/>
          <w:sz w:val="18"/>
          <w:szCs w:val="18"/>
        </w:rPr>
        <w:t xml:space="preserve">on agents’, Parliament of </w:t>
      </w:r>
      <w:r w:rsidR="00C17076">
        <w:rPr>
          <w:rFonts w:ascii="Times New Roman" w:hAnsi="Times New Roman" w:cs="Times New Roman"/>
          <w:sz w:val="18"/>
          <w:szCs w:val="18"/>
        </w:rPr>
        <w:t xml:space="preserve">Georgia, 03 March 2023, available at: </w:t>
      </w:r>
      <w:hyperlink r:id="rId33" w:history="1">
        <w:r w:rsidR="00C17076" w:rsidRPr="00B070C6">
          <w:rPr>
            <w:rStyle w:val="Hyperlink"/>
            <w:rFonts w:ascii="Times New Roman" w:hAnsi="Times New Roman" w:cs="Times New Roman"/>
            <w:sz w:val="18"/>
            <w:szCs w:val="18"/>
          </w:rPr>
          <w:t>https://parliament.ge/en/media/news/shalva-papuashvili-dunia-miatovichs-minda-dagartsmunot-saparlamento-diskusiebi-ikneba-inkluziuri-rom-moidzebnos-sauketeso-versia-romelits-gaitvalistsinebs-rogorts-sakartvelos</w:t>
        </w:r>
      </w:hyperlink>
      <w:r w:rsidR="00C17076">
        <w:rPr>
          <w:rFonts w:ascii="Times New Roman" w:hAnsi="Times New Roman" w:cs="Times New Roman"/>
          <w:sz w:val="18"/>
          <w:szCs w:val="18"/>
        </w:rPr>
        <w:t xml:space="preserve">. </w:t>
      </w:r>
    </w:p>
  </w:footnote>
  <w:footnote w:id="211">
    <w:p w14:paraId="4E27DEF2" w14:textId="672CCF22" w:rsidR="001723CE" w:rsidRPr="00582553" w:rsidRDefault="001723CE"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Most recently the new foreign agent law in BiH’s Republika Srpska</w:t>
      </w:r>
      <w:r w:rsidR="00801E15" w:rsidRPr="00582553">
        <w:rPr>
          <w:rFonts w:ascii="Times New Roman" w:hAnsi="Times New Roman" w:cs="Times New Roman"/>
          <w:sz w:val="18"/>
          <w:szCs w:val="18"/>
          <w:lang w:val="en-IE"/>
        </w:rPr>
        <w:t>, see</w:t>
      </w:r>
      <w:r w:rsidR="00845F48" w:rsidRPr="00582553">
        <w:rPr>
          <w:rFonts w:ascii="Times New Roman" w:hAnsi="Times New Roman" w:cs="Times New Roman"/>
          <w:sz w:val="18"/>
          <w:szCs w:val="18"/>
          <w:lang w:val="en-IE"/>
        </w:rPr>
        <w:t xml:space="preserve"> ‘</w:t>
      </w:r>
      <w:r w:rsidR="00D20923" w:rsidRPr="00582553">
        <w:rPr>
          <w:rFonts w:ascii="Times New Roman" w:hAnsi="Times New Roman" w:cs="Times New Roman"/>
          <w:sz w:val="18"/>
          <w:szCs w:val="18"/>
          <w:lang w:val="en-IE"/>
        </w:rPr>
        <w:t xml:space="preserve">Bosnia and Herzegovina: Statement by the Spokesperson on the “foreign agent” law in Republika Srpska’, </w:t>
      </w:r>
      <w:r w:rsidR="00B75910" w:rsidRPr="00582553">
        <w:rPr>
          <w:rFonts w:ascii="Times New Roman" w:hAnsi="Times New Roman" w:cs="Times New Roman"/>
          <w:sz w:val="18"/>
          <w:szCs w:val="18"/>
          <w:lang w:val="en-IE"/>
        </w:rPr>
        <w:t>European Union External Action, 28 September 2023,</w:t>
      </w:r>
      <w:r w:rsidRPr="00582553">
        <w:rPr>
          <w:rFonts w:ascii="Times New Roman" w:hAnsi="Times New Roman" w:cs="Times New Roman"/>
          <w:sz w:val="18"/>
          <w:szCs w:val="18"/>
          <w:lang w:val="en-IE"/>
        </w:rPr>
        <w:t xml:space="preserve"> </w:t>
      </w:r>
      <w:r w:rsidR="00F24978" w:rsidRPr="00582553">
        <w:rPr>
          <w:rFonts w:ascii="Times New Roman" w:hAnsi="Times New Roman" w:cs="Times New Roman"/>
          <w:sz w:val="18"/>
          <w:szCs w:val="18"/>
          <w:lang w:val="en-IE"/>
        </w:rPr>
        <w:t xml:space="preserve">available at: </w:t>
      </w:r>
      <w:hyperlink r:id="rId34" w:history="1">
        <w:r w:rsidR="008B6F5C" w:rsidRPr="00582553">
          <w:rPr>
            <w:rStyle w:val="Hyperlink"/>
            <w:rFonts w:ascii="Times New Roman" w:hAnsi="Times New Roman" w:cs="Times New Roman"/>
            <w:sz w:val="18"/>
            <w:szCs w:val="18"/>
            <w:lang w:val="en-IE"/>
          </w:rPr>
          <w:t>https://www.eeas.europa.eu/eeas/bosnia-and-herzegovina-statement-spokesperson-%E2%80%9Cforeign-agent%E2%80%9D-law-republika-srpska_en</w:t>
        </w:r>
      </w:hyperlink>
      <w:r w:rsidR="00F44C8F" w:rsidRPr="00582553">
        <w:rPr>
          <w:rStyle w:val="Hyperlink"/>
          <w:rFonts w:ascii="Times New Roman" w:hAnsi="Times New Roman" w:cs="Times New Roman"/>
          <w:sz w:val="18"/>
          <w:szCs w:val="18"/>
          <w:lang w:val="en-IE"/>
        </w:rPr>
        <w:t>.</w:t>
      </w:r>
      <w:r w:rsidR="0016435A" w:rsidRPr="00582553">
        <w:rPr>
          <w:rFonts w:ascii="Times New Roman" w:hAnsi="Times New Roman" w:cs="Times New Roman"/>
          <w:sz w:val="18"/>
          <w:szCs w:val="18"/>
          <w:lang w:val="en-IE"/>
        </w:rPr>
        <w:t xml:space="preserve"> </w:t>
      </w:r>
    </w:p>
  </w:footnote>
  <w:footnote w:id="212">
    <w:p w14:paraId="1CFC9FD8" w14:textId="2463C502" w:rsidR="00A57581" w:rsidRPr="00582553" w:rsidRDefault="00A57581" w:rsidP="00582553">
      <w:pPr>
        <w:pStyle w:val="FootnoteText"/>
        <w:spacing w:after="0"/>
        <w:ind w:left="284" w:hanging="284"/>
        <w:rPr>
          <w:sz w:val="18"/>
          <w:szCs w:val="18"/>
          <w:lang w:val="en-IE"/>
        </w:rPr>
      </w:pPr>
      <w:r w:rsidRPr="00582553">
        <w:rPr>
          <w:rStyle w:val="FootnoteReference"/>
          <w:sz w:val="18"/>
          <w:szCs w:val="18"/>
        </w:rPr>
        <w:footnoteRef/>
      </w:r>
      <w:r w:rsidRPr="00582553">
        <w:rPr>
          <w:sz w:val="18"/>
          <w:szCs w:val="18"/>
        </w:rPr>
        <w:t xml:space="preserve"> </w:t>
      </w:r>
      <w:r w:rsidR="008379BC" w:rsidRPr="00582553">
        <w:rPr>
          <w:sz w:val="18"/>
          <w:szCs w:val="18"/>
        </w:rPr>
        <w:tab/>
      </w:r>
      <w:r w:rsidR="00727AEA" w:rsidRPr="00582553">
        <w:rPr>
          <w:sz w:val="18"/>
          <w:szCs w:val="18"/>
        </w:rPr>
        <w:t xml:space="preserve">The International Center for </w:t>
      </w:r>
      <w:r w:rsidR="00781234" w:rsidRPr="00582553">
        <w:rPr>
          <w:sz w:val="18"/>
          <w:szCs w:val="18"/>
        </w:rPr>
        <w:t>Not-for-Profit Law</w:t>
      </w:r>
      <w:r w:rsidR="00A2091E" w:rsidRPr="00582553">
        <w:rPr>
          <w:sz w:val="18"/>
          <w:szCs w:val="18"/>
        </w:rPr>
        <w:t xml:space="preserve"> (2022), </w:t>
      </w:r>
      <w:r w:rsidR="001F417E" w:rsidRPr="00582553">
        <w:rPr>
          <w:sz w:val="18"/>
          <w:szCs w:val="18"/>
        </w:rPr>
        <w:t xml:space="preserve">Recommendations to the Justice Department on FARA </w:t>
      </w:r>
      <w:r w:rsidR="00727AEA" w:rsidRPr="00582553">
        <w:rPr>
          <w:sz w:val="18"/>
          <w:szCs w:val="18"/>
        </w:rPr>
        <w:t>C</w:t>
      </w:r>
      <w:r w:rsidR="001F417E" w:rsidRPr="00582553">
        <w:rPr>
          <w:sz w:val="18"/>
          <w:szCs w:val="18"/>
        </w:rPr>
        <w:t xml:space="preserve">oncerning </w:t>
      </w:r>
      <w:r w:rsidR="00727AEA" w:rsidRPr="00582553">
        <w:rPr>
          <w:sz w:val="18"/>
          <w:szCs w:val="18"/>
        </w:rPr>
        <w:t>I</w:t>
      </w:r>
      <w:r w:rsidR="001F417E" w:rsidRPr="00582553">
        <w:rPr>
          <w:sz w:val="18"/>
          <w:szCs w:val="18"/>
        </w:rPr>
        <w:t xml:space="preserve">ts </w:t>
      </w:r>
      <w:r w:rsidR="00727AEA" w:rsidRPr="00582553">
        <w:rPr>
          <w:sz w:val="18"/>
          <w:szCs w:val="18"/>
        </w:rPr>
        <w:t>I</w:t>
      </w:r>
      <w:r w:rsidR="001F417E" w:rsidRPr="00582553">
        <w:rPr>
          <w:sz w:val="18"/>
          <w:szCs w:val="18"/>
        </w:rPr>
        <w:t xml:space="preserve">mpact on </w:t>
      </w:r>
      <w:r w:rsidR="00727AEA" w:rsidRPr="00582553">
        <w:rPr>
          <w:sz w:val="18"/>
          <w:szCs w:val="18"/>
        </w:rPr>
        <w:t>C</w:t>
      </w:r>
      <w:r w:rsidR="001F417E" w:rsidRPr="00582553">
        <w:rPr>
          <w:sz w:val="18"/>
          <w:szCs w:val="18"/>
        </w:rPr>
        <w:t xml:space="preserve">ivil </w:t>
      </w:r>
      <w:r w:rsidR="00727AEA" w:rsidRPr="00582553">
        <w:rPr>
          <w:sz w:val="18"/>
          <w:szCs w:val="18"/>
        </w:rPr>
        <w:t>Society</w:t>
      </w:r>
      <w:r w:rsidR="00A2091E" w:rsidRPr="00582553">
        <w:rPr>
          <w:sz w:val="18"/>
          <w:szCs w:val="18"/>
        </w:rPr>
        <w:t xml:space="preserve">, Washington D.C., available at: </w:t>
      </w:r>
      <w:hyperlink r:id="rId35" w:history="1">
        <w:r w:rsidR="001F708C" w:rsidRPr="00582553">
          <w:rPr>
            <w:rStyle w:val="Hyperlink"/>
            <w:sz w:val="18"/>
            <w:szCs w:val="18"/>
          </w:rPr>
          <w:t>https://www.icnl.org/post/analysis/u-s-program-comments-faras-impact-on-civil-society</w:t>
        </w:r>
      </w:hyperlink>
      <w:r w:rsidR="001F708C" w:rsidRPr="00582553">
        <w:rPr>
          <w:sz w:val="18"/>
          <w:szCs w:val="18"/>
        </w:rPr>
        <w:t xml:space="preserve">. </w:t>
      </w:r>
    </w:p>
  </w:footnote>
  <w:footnote w:id="213">
    <w:p w14:paraId="7A4FE452" w14:textId="137A3F38" w:rsidR="00A30C1B" w:rsidRPr="00582553" w:rsidRDefault="00A30C1B" w:rsidP="00582553">
      <w:pPr>
        <w:pStyle w:val="FootnoteText"/>
        <w:spacing w:after="0"/>
        <w:ind w:left="284" w:hanging="284"/>
        <w:rPr>
          <w:sz w:val="18"/>
          <w:szCs w:val="18"/>
        </w:rPr>
      </w:pPr>
      <w:r w:rsidRPr="00582553">
        <w:rPr>
          <w:rStyle w:val="FootnoteReference"/>
          <w:sz w:val="18"/>
          <w:szCs w:val="18"/>
        </w:rPr>
        <w:footnoteRef/>
      </w:r>
      <w:r w:rsidRPr="00582553">
        <w:rPr>
          <w:sz w:val="18"/>
          <w:szCs w:val="18"/>
        </w:rPr>
        <w:t xml:space="preserve"> </w:t>
      </w:r>
      <w:r w:rsidR="008379BC" w:rsidRPr="00582553">
        <w:rPr>
          <w:sz w:val="18"/>
          <w:szCs w:val="18"/>
        </w:rPr>
        <w:tab/>
      </w:r>
      <w:r w:rsidRPr="00582553">
        <w:rPr>
          <w:sz w:val="18"/>
          <w:szCs w:val="18"/>
        </w:rPr>
        <w:t>‘</w:t>
      </w:r>
      <w:r w:rsidR="00EC5A6E" w:rsidRPr="00582553">
        <w:rPr>
          <w:sz w:val="18"/>
          <w:szCs w:val="18"/>
        </w:rPr>
        <w:t xml:space="preserve">Foreign Agents Registration Act’, U.S. Department of Justice, available at: </w:t>
      </w:r>
      <w:hyperlink r:id="rId36" w:history="1">
        <w:r w:rsidR="00A90C94" w:rsidRPr="00582553">
          <w:rPr>
            <w:rStyle w:val="Hyperlink"/>
            <w:sz w:val="18"/>
            <w:szCs w:val="18"/>
          </w:rPr>
          <w:t>https://www.justice.gov/nsd-fara</w:t>
        </w:r>
      </w:hyperlink>
      <w:r w:rsidR="00A90C94" w:rsidRPr="00582553">
        <w:rPr>
          <w:sz w:val="18"/>
          <w:szCs w:val="18"/>
        </w:rPr>
        <w:t xml:space="preserve">. </w:t>
      </w:r>
    </w:p>
  </w:footnote>
  <w:footnote w:id="214">
    <w:p w14:paraId="4B3EB5BC" w14:textId="2202C1D7" w:rsidR="00DF3213" w:rsidRPr="00582553" w:rsidRDefault="00DF3213" w:rsidP="00582553">
      <w:pPr>
        <w:pStyle w:val="FootnoteText"/>
        <w:spacing w:after="0"/>
        <w:ind w:left="284" w:hanging="284"/>
        <w:rPr>
          <w:sz w:val="18"/>
          <w:szCs w:val="18"/>
          <w:lang w:val="en-IE"/>
        </w:rPr>
      </w:pPr>
      <w:r w:rsidRPr="00582553">
        <w:rPr>
          <w:rStyle w:val="FootnoteReference"/>
          <w:sz w:val="18"/>
          <w:szCs w:val="18"/>
        </w:rPr>
        <w:footnoteRef/>
      </w:r>
      <w:r w:rsidRPr="00582553">
        <w:rPr>
          <w:sz w:val="18"/>
          <w:szCs w:val="18"/>
        </w:rPr>
        <w:t xml:space="preserve"> </w:t>
      </w:r>
      <w:r w:rsidR="008379BC" w:rsidRPr="00582553">
        <w:rPr>
          <w:sz w:val="18"/>
          <w:szCs w:val="18"/>
        </w:rPr>
        <w:tab/>
      </w:r>
      <w:r w:rsidR="00E505F7" w:rsidRPr="00582553">
        <w:rPr>
          <w:sz w:val="18"/>
          <w:szCs w:val="18"/>
        </w:rPr>
        <w:t xml:space="preserve">'Foreign Influence Transparency Scheme’, </w:t>
      </w:r>
      <w:r w:rsidR="00350A19" w:rsidRPr="00582553">
        <w:rPr>
          <w:sz w:val="18"/>
          <w:szCs w:val="18"/>
        </w:rPr>
        <w:t>Australian Government</w:t>
      </w:r>
      <w:r w:rsidR="00E505F7" w:rsidRPr="00582553">
        <w:rPr>
          <w:sz w:val="18"/>
          <w:szCs w:val="18"/>
        </w:rPr>
        <w:t xml:space="preserve">, available at: </w:t>
      </w:r>
      <w:hyperlink r:id="rId37" w:history="1">
        <w:r w:rsidR="00843D3F" w:rsidRPr="00582553">
          <w:rPr>
            <w:rStyle w:val="Hyperlink"/>
            <w:sz w:val="18"/>
            <w:szCs w:val="18"/>
          </w:rPr>
          <w:t>https://www.ag.gov.au/integrity/foreign-influence-transparency-scheme</w:t>
        </w:r>
      </w:hyperlink>
      <w:r w:rsidR="00A30C1B" w:rsidRPr="00582553">
        <w:rPr>
          <w:sz w:val="18"/>
          <w:szCs w:val="18"/>
        </w:rPr>
        <w:t xml:space="preserve">. </w:t>
      </w:r>
    </w:p>
  </w:footnote>
  <w:footnote w:id="215">
    <w:p w14:paraId="4F497B57" w14:textId="34B82C7F" w:rsidR="00B23949" w:rsidRPr="00582553" w:rsidRDefault="00B23949"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See Section 5.2.</w:t>
      </w:r>
      <w:r w:rsidR="00953E22" w:rsidRPr="00582553">
        <w:rPr>
          <w:rFonts w:ascii="Times New Roman" w:hAnsi="Times New Roman" w:cs="Times New Roman"/>
          <w:sz w:val="18"/>
          <w:szCs w:val="18"/>
          <w:lang w:val="en-IE"/>
        </w:rPr>
        <w:t>1</w:t>
      </w:r>
      <w:r w:rsidR="00290732" w:rsidRPr="00582553">
        <w:rPr>
          <w:rFonts w:ascii="Times New Roman" w:hAnsi="Times New Roman" w:cs="Times New Roman"/>
          <w:sz w:val="18"/>
          <w:szCs w:val="18"/>
          <w:lang w:val="en-IE"/>
        </w:rPr>
        <w:t>.</w:t>
      </w:r>
    </w:p>
  </w:footnote>
  <w:footnote w:id="216">
    <w:p w14:paraId="460EA32E" w14:textId="77EAA90F" w:rsidR="008812ED" w:rsidRPr="00582553" w:rsidRDefault="008812ED"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See for example the listing of the Voice of America and Radio Free Europe as ‘foreign agents’ by Russia after the United States had asked RT TV America and Sputnik to register under FARA: Robinson, N</w:t>
      </w:r>
      <w:r w:rsidR="00A43C8D" w:rsidRPr="00582553">
        <w:rPr>
          <w:rFonts w:ascii="Times New Roman" w:hAnsi="Times New Roman" w:cs="Times New Roman"/>
          <w:sz w:val="18"/>
          <w:szCs w:val="18"/>
        </w:rPr>
        <w:t>.</w:t>
      </w:r>
      <w:r w:rsidRPr="00582553">
        <w:rPr>
          <w:rFonts w:ascii="Times New Roman" w:hAnsi="Times New Roman" w:cs="Times New Roman"/>
          <w:sz w:val="18"/>
          <w:szCs w:val="18"/>
        </w:rPr>
        <w:t xml:space="preserve">, </w:t>
      </w:r>
      <w:r w:rsidR="00D02F65" w:rsidRPr="00582553">
        <w:rPr>
          <w:rFonts w:ascii="Times New Roman" w:hAnsi="Times New Roman" w:cs="Times New Roman"/>
          <w:sz w:val="18"/>
          <w:szCs w:val="18"/>
        </w:rPr>
        <w:t>‘</w:t>
      </w:r>
      <w:r w:rsidRPr="00582553">
        <w:rPr>
          <w:rFonts w:ascii="Times New Roman" w:hAnsi="Times New Roman" w:cs="Times New Roman"/>
          <w:sz w:val="18"/>
          <w:szCs w:val="18"/>
        </w:rPr>
        <w:t>‘Foreign Agents’ in an interconnected world: FARA and the Weaponization of Transparency</w:t>
      </w:r>
      <w:r w:rsidR="00836690" w:rsidRPr="00582553">
        <w:rPr>
          <w:rFonts w:ascii="Times New Roman" w:hAnsi="Times New Roman" w:cs="Times New Roman"/>
          <w:sz w:val="18"/>
          <w:szCs w:val="18"/>
        </w:rPr>
        <w:t>’,</w:t>
      </w:r>
      <w:r w:rsidRPr="00582553">
        <w:rPr>
          <w:rFonts w:ascii="Times New Roman" w:hAnsi="Times New Roman" w:cs="Times New Roman"/>
          <w:sz w:val="18"/>
          <w:szCs w:val="18"/>
        </w:rPr>
        <w:t xml:space="preserve"> </w:t>
      </w:r>
      <w:r w:rsidRPr="00582553">
        <w:rPr>
          <w:rFonts w:ascii="Times New Roman" w:hAnsi="Times New Roman" w:cs="Times New Roman"/>
          <w:i/>
          <w:sz w:val="18"/>
          <w:szCs w:val="18"/>
        </w:rPr>
        <w:t>Duke Law Journal</w:t>
      </w:r>
      <w:r w:rsidRPr="00582553">
        <w:rPr>
          <w:rFonts w:ascii="Times New Roman" w:hAnsi="Times New Roman" w:cs="Times New Roman"/>
          <w:sz w:val="18"/>
          <w:szCs w:val="18"/>
        </w:rPr>
        <w:t xml:space="preserve">, Vol. 69, </w:t>
      </w:r>
      <w:r w:rsidR="00860D0C" w:rsidRPr="00582553">
        <w:rPr>
          <w:rFonts w:ascii="Times New Roman" w:hAnsi="Times New Roman" w:cs="Times New Roman"/>
          <w:sz w:val="18"/>
          <w:szCs w:val="18"/>
        </w:rPr>
        <w:t>No 5</w:t>
      </w:r>
      <w:r w:rsidRPr="00582553">
        <w:rPr>
          <w:rFonts w:ascii="Times New Roman" w:hAnsi="Times New Roman" w:cs="Times New Roman"/>
          <w:sz w:val="18"/>
          <w:szCs w:val="18"/>
        </w:rPr>
        <w:t xml:space="preserve">, </w:t>
      </w:r>
      <w:r w:rsidR="00A969E0" w:rsidRPr="00582553">
        <w:rPr>
          <w:rFonts w:ascii="Times New Roman" w:hAnsi="Times New Roman" w:cs="Times New Roman"/>
          <w:sz w:val="18"/>
          <w:szCs w:val="18"/>
        </w:rPr>
        <w:t>2020</w:t>
      </w:r>
      <w:r w:rsidRPr="00582553">
        <w:rPr>
          <w:rFonts w:ascii="Times New Roman" w:hAnsi="Times New Roman" w:cs="Times New Roman"/>
          <w:sz w:val="18"/>
          <w:szCs w:val="18"/>
        </w:rPr>
        <w:t>, p</w:t>
      </w:r>
      <w:r w:rsidR="00DB778D" w:rsidRPr="00582553">
        <w:rPr>
          <w:rFonts w:ascii="Times New Roman" w:hAnsi="Times New Roman" w:cs="Times New Roman"/>
          <w:sz w:val="18"/>
          <w:szCs w:val="18"/>
        </w:rPr>
        <w:t>.</w:t>
      </w:r>
      <w:r w:rsidR="00836690" w:rsidRPr="00582553">
        <w:rPr>
          <w:rFonts w:ascii="Times New Roman" w:hAnsi="Times New Roman" w:cs="Times New Roman"/>
          <w:sz w:val="18"/>
          <w:szCs w:val="18"/>
        </w:rPr>
        <w:t xml:space="preserve"> </w:t>
      </w:r>
      <w:r w:rsidR="00DB778D" w:rsidRPr="00582553">
        <w:rPr>
          <w:rFonts w:ascii="Times New Roman" w:hAnsi="Times New Roman" w:cs="Times New Roman"/>
          <w:sz w:val="18"/>
          <w:szCs w:val="18"/>
        </w:rPr>
        <w:t>1</w:t>
      </w:r>
      <w:r w:rsidRPr="00582553">
        <w:rPr>
          <w:rFonts w:ascii="Times New Roman" w:hAnsi="Times New Roman" w:cs="Times New Roman"/>
          <w:sz w:val="18"/>
          <w:szCs w:val="18"/>
        </w:rPr>
        <w:t xml:space="preserve">087. </w:t>
      </w:r>
    </w:p>
  </w:footnote>
  <w:footnote w:id="217">
    <w:p w14:paraId="3AD13D2A" w14:textId="02D39D0C" w:rsidR="13A0855D" w:rsidRPr="00582553" w:rsidRDefault="13A0855D" w:rsidP="00582553">
      <w:pPr>
        <w:pStyle w:val="FootnoteText"/>
        <w:spacing w:after="0"/>
        <w:ind w:left="284" w:hanging="284"/>
        <w:rPr>
          <w:rFonts w:ascii="Times New Roman" w:hAnsi="Times New Roman" w:cs="Times New Roman"/>
          <w:sz w:val="18"/>
          <w:szCs w:val="18"/>
        </w:rPr>
      </w:pPr>
      <w:r w:rsidRPr="00582553">
        <w:rPr>
          <w:rFonts w:ascii="Times New Roman" w:hAnsi="Times New Roman" w:cs="Times New Roman"/>
          <w:sz w:val="18"/>
          <w:szCs w:val="18"/>
          <w:vertAlign w:val="superscript"/>
        </w:rPr>
        <w:footnoteRef/>
      </w:r>
      <w:r w:rsidRPr="00582553">
        <w:rPr>
          <w:rFonts w:ascii="Times New Roman" w:hAnsi="Times New Roman" w:cs="Times New Roman"/>
          <w:sz w:val="18"/>
          <w:szCs w:val="18"/>
        </w:rPr>
        <w:t xml:space="preserve"> </w:t>
      </w:r>
      <w:r w:rsidR="001B479B" w:rsidRPr="00582553">
        <w:rPr>
          <w:rFonts w:ascii="Times New Roman" w:hAnsi="Times New Roman" w:cs="Times New Roman"/>
          <w:sz w:val="18"/>
          <w:szCs w:val="18"/>
        </w:rPr>
        <w:tab/>
      </w:r>
      <w:r w:rsidRPr="00582553">
        <w:rPr>
          <w:rFonts w:ascii="Times New Roman" w:eastAsia="Times New Roman" w:hAnsi="Times New Roman" w:cs="Times New Roman"/>
          <w:sz w:val="18"/>
          <w:szCs w:val="18"/>
        </w:rPr>
        <w:t xml:space="preserve">Commission </w:t>
      </w:r>
      <w:r w:rsidRPr="00582553">
        <w:rPr>
          <w:rFonts w:ascii="Times New Roman" w:hAnsi="Times New Roman" w:cs="Times New Roman"/>
          <w:sz w:val="18"/>
          <w:szCs w:val="18"/>
        </w:rPr>
        <w:t>Communication</w:t>
      </w:r>
      <w:r w:rsidRPr="00582553">
        <w:rPr>
          <w:rFonts w:ascii="Times New Roman" w:eastAsia="Times New Roman" w:hAnsi="Times New Roman" w:cs="Times New Roman"/>
          <w:sz w:val="18"/>
          <w:szCs w:val="18"/>
        </w:rPr>
        <w:t>, 2030 Digital Compass: the European way for the Digital Decade, (COM(2021) 118 final).</w:t>
      </w:r>
    </w:p>
  </w:footnote>
  <w:footnote w:id="218">
    <w:p w14:paraId="5485ACB2" w14:textId="399211CD" w:rsidR="13A0855D" w:rsidRPr="00582553" w:rsidRDefault="13A0855D" w:rsidP="00582553">
      <w:pPr>
        <w:pStyle w:val="FootnoteText"/>
        <w:spacing w:after="0"/>
        <w:ind w:left="284" w:hanging="284"/>
        <w:rPr>
          <w:rFonts w:ascii="Times New Roman" w:hAnsi="Times New Roman" w:cs="Times New Roman"/>
          <w:sz w:val="18"/>
          <w:szCs w:val="18"/>
        </w:rPr>
      </w:pPr>
      <w:r w:rsidRPr="00582553">
        <w:rPr>
          <w:rFonts w:ascii="Times New Roman" w:hAnsi="Times New Roman" w:cs="Times New Roman"/>
          <w:sz w:val="18"/>
          <w:szCs w:val="18"/>
          <w:vertAlign w:val="superscript"/>
        </w:rPr>
        <w:footnoteRef/>
      </w:r>
      <w:r w:rsidRPr="00582553">
        <w:rPr>
          <w:rFonts w:ascii="Times New Roman" w:hAnsi="Times New Roman" w:cs="Times New Roman"/>
          <w:sz w:val="18"/>
          <w:szCs w:val="18"/>
        </w:rPr>
        <w:t xml:space="preserve"> </w:t>
      </w:r>
      <w:r w:rsidR="001B479B" w:rsidRPr="00582553">
        <w:rPr>
          <w:rFonts w:ascii="Times New Roman" w:hAnsi="Times New Roman" w:cs="Times New Roman"/>
          <w:sz w:val="18"/>
          <w:szCs w:val="18"/>
        </w:rPr>
        <w:tab/>
      </w:r>
      <w:r w:rsidRPr="00582553">
        <w:rPr>
          <w:rFonts w:ascii="Times New Roman" w:hAnsi="Times New Roman" w:cs="Times New Roman"/>
          <w:sz w:val="18"/>
          <w:szCs w:val="18"/>
        </w:rPr>
        <w:t>Berlin declaration on digital society and value-based digital government, signed at the ministerial meeting of 8 December 2020: Call on the Commission to ensure through the ‘better regulation’ framework that policies and legislative acts proposed by the European Commission are digital-ready and interoperable by default.</w:t>
      </w:r>
    </w:p>
  </w:footnote>
  <w:footnote w:id="219">
    <w:p w14:paraId="16250329" w14:textId="331E7223" w:rsidR="00434F8C" w:rsidRPr="00582553" w:rsidRDefault="00434F8C"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1C147D" w:rsidRPr="00582553">
        <w:rPr>
          <w:rFonts w:ascii="Times New Roman" w:hAnsi="Times New Roman" w:cs="Times New Roman"/>
          <w:sz w:val="18"/>
          <w:szCs w:val="18"/>
        </w:rPr>
        <w:tab/>
      </w:r>
      <w:r w:rsidR="00354AD3" w:rsidRPr="00582553">
        <w:rPr>
          <w:rFonts w:ascii="Times New Roman" w:hAnsi="Times New Roman" w:cs="Times New Roman"/>
          <w:sz w:val="18"/>
          <w:szCs w:val="18"/>
        </w:rPr>
        <w:t>How t</w:t>
      </w:r>
      <w:r w:rsidR="00FC32F7" w:rsidRPr="00582553">
        <w:rPr>
          <w:rFonts w:ascii="Times New Roman" w:hAnsi="Times New Roman" w:cs="Times New Roman"/>
          <w:sz w:val="18"/>
          <w:szCs w:val="18"/>
        </w:rPr>
        <w:t>he measures</w:t>
      </w:r>
      <w:r w:rsidR="00354AD3" w:rsidRPr="00582553">
        <w:rPr>
          <w:rFonts w:ascii="Times New Roman" w:hAnsi="Times New Roman" w:cs="Times New Roman"/>
          <w:sz w:val="18"/>
          <w:szCs w:val="18"/>
        </w:rPr>
        <w:t xml:space="preserve"> achieve the two objectives: </w:t>
      </w:r>
      <w:r w:rsidRPr="00582553">
        <w:rPr>
          <w:rFonts w:ascii="Times New Roman" w:hAnsi="Times New Roman" w:cs="Times New Roman"/>
          <w:sz w:val="18"/>
          <w:szCs w:val="18"/>
        </w:rPr>
        <w:t>Facilitate cross-border interest representation services carried out on behalf of third countries don</w:t>
      </w:r>
      <w:r w:rsidR="00354AD3" w:rsidRPr="00582553">
        <w:rPr>
          <w:rFonts w:ascii="Times New Roman" w:hAnsi="Times New Roman" w:cs="Times New Roman"/>
          <w:sz w:val="18"/>
          <w:szCs w:val="18"/>
        </w:rPr>
        <w:t xml:space="preserve">e </w:t>
      </w:r>
      <w:r w:rsidRPr="00582553">
        <w:rPr>
          <w:rFonts w:ascii="Times New Roman" w:hAnsi="Times New Roman" w:cs="Times New Roman"/>
          <w:sz w:val="18"/>
          <w:szCs w:val="18"/>
        </w:rPr>
        <w:t>transparently</w:t>
      </w:r>
      <w:r w:rsidR="00FC32F7" w:rsidRPr="00582553">
        <w:rPr>
          <w:rFonts w:ascii="Times New Roman" w:hAnsi="Times New Roman" w:cs="Times New Roman"/>
          <w:sz w:val="18"/>
          <w:szCs w:val="18"/>
        </w:rPr>
        <w:t>;</w:t>
      </w:r>
      <w:r w:rsidR="00354AD3" w:rsidRPr="00582553">
        <w:rPr>
          <w:rFonts w:ascii="Times New Roman" w:hAnsi="Times New Roman" w:cs="Times New Roman"/>
          <w:sz w:val="18"/>
          <w:szCs w:val="18"/>
        </w:rPr>
        <w:t xml:space="preserve"> </w:t>
      </w:r>
      <w:r w:rsidRPr="00582553">
        <w:rPr>
          <w:rFonts w:ascii="Times New Roman" w:hAnsi="Times New Roman" w:cs="Times New Roman"/>
          <w:sz w:val="18"/>
          <w:szCs w:val="18"/>
        </w:rPr>
        <w:t>Improved knowledge about the magnitude</w:t>
      </w:r>
      <w:r w:rsidR="00A410DA" w:rsidRPr="00582553">
        <w:rPr>
          <w:rFonts w:ascii="Times New Roman" w:hAnsi="Times New Roman" w:cs="Times New Roman"/>
          <w:sz w:val="18"/>
          <w:szCs w:val="18"/>
        </w:rPr>
        <w:t xml:space="preserve">, </w:t>
      </w:r>
      <w:r w:rsidRPr="00582553">
        <w:rPr>
          <w:rFonts w:ascii="Times New Roman" w:hAnsi="Times New Roman" w:cs="Times New Roman"/>
          <w:sz w:val="18"/>
          <w:szCs w:val="18"/>
        </w:rPr>
        <w:t>trends</w:t>
      </w:r>
      <w:r w:rsidR="00FA18DB" w:rsidRPr="00582553">
        <w:rPr>
          <w:rFonts w:ascii="Times New Roman" w:hAnsi="Times New Roman" w:cs="Times New Roman"/>
          <w:sz w:val="18"/>
          <w:szCs w:val="18"/>
        </w:rPr>
        <w:t xml:space="preserve"> and actors</w:t>
      </w:r>
      <w:r w:rsidRPr="00582553">
        <w:rPr>
          <w:rFonts w:ascii="Times New Roman" w:hAnsi="Times New Roman" w:cs="Times New Roman"/>
          <w:sz w:val="18"/>
          <w:szCs w:val="18"/>
        </w:rPr>
        <w:t xml:space="preserve"> of interest representation activities carried out on behalf of third countries.</w:t>
      </w:r>
    </w:p>
  </w:footnote>
  <w:footnote w:id="220">
    <w:p w14:paraId="0E7EA18A" w14:textId="711554B1" w:rsidR="00FC32F7" w:rsidRPr="00582553" w:rsidRDefault="00FC32F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1C147D" w:rsidRPr="00582553">
        <w:rPr>
          <w:rFonts w:ascii="Times New Roman" w:hAnsi="Times New Roman" w:cs="Times New Roman"/>
          <w:sz w:val="18"/>
          <w:szCs w:val="18"/>
        </w:rPr>
        <w:tab/>
      </w:r>
      <w:r w:rsidRPr="00582553">
        <w:rPr>
          <w:rFonts w:ascii="Times New Roman" w:hAnsi="Times New Roman" w:cs="Times New Roman"/>
          <w:sz w:val="18"/>
          <w:szCs w:val="18"/>
        </w:rPr>
        <w:t>How the measure relate</w:t>
      </w:r>
      <w:r w:rsidR="007C2E52" w:rsidRPr="00582553">
        <w:rPr>
          <w:rFonts w:ascii="Times New Roman" w:hAnsi="Times New Roman" w:cs="Times New Roman"/>
          <w:sz w:val="18"/>
          <w:szCs w:val="18"/>
        </w:rPr>
        <w:t>s</w:t>
      </w:r>
      <w:r w:rsidR="005D02D0" w:rsidRPr="00582553">
        <w:rPr>
          <w:rFonts w:ascii="Times New Roman" w:hAnsi="Times New Roman" w:cs="Times New Roman"/>
          <w:sz w:val="18"/>
          <w:szCs w:val="18"/>
        </w:rPr>
        <w:t xml:space="preserve"> to</w:t>
      </w:r>
      <w:r w:rsidRPr="00582553">
        <w:rPr>
          <w:rFonts w:ascii="Times New Roman" w:hAnsi="Times New Roman" w:cs="Times New Roman"/>
          <w:sz w:val="18"/>
          <w:szCs w:val="18"/>
        </w:rPr>
        <w:t xml:space="preserve"> the anticipated costs of the measures against the expected benefits of the increased effectiveness</w:t>
      </w:r>
      <w:r w:rsidR="007C2E52" w:rsidRPr="00582553">
        <w:rPr>
          <w:rFonts w:ascii="Times New Roman" w:hAnsi="Times New Roman" w:cs="Times New Roman"/>
          <w:sz w:val="18"/>
          <w:szCs w:val="18"/>
        </w:rPr>
        <w:t>.</w:t>
      </w:r>
    </w:p>
  </w:footnote>
  <w:footnote w:id="221">
    <w:p w14:paraId="3CF90FD0" w14:textId="1D128A65" w:rsidR="00FC32F7" w:rsidRPr="00582553" w:rsidRDefault="00FC32F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1C147D" w:rsidRPr="00582553">
        <w:rPr>
          <w:rFonts w:ascii="Times New Roman" w:hAnsi="Times New Roman" w:cs="Times New Roman"/>
          <w:sz w:val="18"/>
          <w:szCs w:val="18"/>
        </w:rPr>
        <w:tab/>
      </w:r>
      <w:r w:rsidRPr="00582553">
        <w:rPr>
          <w:rFonts w:ascii="Times New Roman" w:hAnsi="Times New Roman" w:cs="Times New Roman"/>
          <w:sz w:val="18"/>
          <w:szCs w:val="18"/>
        </w:rPr>
        <w:t>How the measures relate effectiveness against efficiency and any negative impacts</w:t>
      </w:r>
      <w:r w:rsidR="007C2E52" w:rsidRPr="00582553">
        <w:rPr>
          <w:rFonts w:ascii="Times New Roman" w:hAnsi="Times New Roman" w:cs="Times New Roman"/>
          <w:sz w:val="18"/>
          <w:szCs w:val="18"/>
        </w:rPr>
        <w:t>.</w:t>
      </w:r>
    </w:p>
  </w:footnote>
  <w:footnote w:id="222">
    <w:p w14:paraId="2CCEE8FD" w14:textId="46DA4ADF" w:rsidR="00FD085B" w:rsidRPr="00582553" w:rsidRDefault="00FD085B" w:rsidP="00D353EB">
      <w:pPr>
        <w:pStyle w:val="FootnoteText"/>
        <w:spacing w:after="0"/>
        <w:ind w:left="284" w:hanging="284"/>
        <w:rPr>
          <w:sz w:val="18"/>
          <w:szCs w:val="18"/>
          <w:lang w:val="en-IE"/>
        </w:rPr>
      </w:pPr>
      <w:r w:rsidRPr="00582553">
        <w:rPr>
          <w:rStyle w:val="FootnoteReference"/>
          <w:sz w:val="18"/>
          <w:szCs w:val="18"/>
        </w:rPr>
        <w:footnoteRef/>
      </w:r>
      <w:r w:rsidRPr="00582553">
        <w:rPr>
          <w:sz w:val="18"/>
          <w:szCs w:val="18"/>
        </w:rPr>
        <w:t xml:space="preserve"> </w:t>
      </w:r>
      <w:r w:rsidRPr="00582553">
        <w:rPr>
          <w:sz w:val="18"/>
          <w:szCs w:val="18"/>
        </w:rPr>
        <w:tab/>
        <w:t>For instance, in the 2022 Rule of law report, Denmark, Slovakia was recommended to introduce rules on lobbying, and Romania was invited to introduce rules on lobbying for Members of Parliament. Belgium was called to complete the legislative reform on lobbying, establishing a framework including a transparency register and a legislative footprint, covering both members of Parliament and Government. In the same report, Spain was recommended to continue efforts to table legislation on lobbying, including the establishment of a mandatory public register of lobbyists. No more detailed recommendations were issued.</w:t>
      </w:r>
    </w:p>
  </w:footnote>
  <w:footnote w:id="223">
    <w:p w14:paraId="7171D749" w14:textId="62405266" w:rsidR="00AF23B5" w:rsidRPr="00582553" w:rsidRDefault="00AF23B5"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ab/>
      </w:r>
      <w:r w:rsidR="00D15138" w:rsidRPr="00582553">
        <w:rPr>
          <w:rFonts w:ascii="Times New Roman" w:hAnsi="Times New Roman" w:cs="Times New Roman"/>
          <w:sz w:val="18"/>
          <w:szCs w:val="18"/>
        </w:rPr>
        <w:t>Proposal for a Regulation on the transparency and targeting of political advertising, s</w:t>
      </w:r>
      <w:r w:rsidR="00E27056" w:rsidRPr="00582553">
        <w:rPr>
          <w:rFonts w:ascii="Times New Roman" w:hAnsi="Times New Roman" w:cs="Times New Roman"/>
          <w:sz w:val="18"/>
          <w:szCs w:val="18"/>
        </w:rPr>
        <w:t xml:space="preserve">ee note </w:t>
      </w:r>
      <w:r w:rsidR="008052D5" w:rsidRPr="00582553">
        <w:rPr>
          <w:rFonts w:ascii="Times New Roman" w:hAnsi="Times New Roman" w:cs="Times New Roman"/>
          <w:sz w:val="18"/>
          <w:szCs w:val="18"/>
        </w:rPr>
        <w:fldChar w:fldCharType="begin"/>
      </w:r>
      <w:r w:rsidR="008052D5" w:rsidRPr="00582553">
        <w:rPr>
          <w:rFonts w:ascii="Times New Roman" w:hAnsi="Times New Roman" w:cs="Times New Roman"/>
          <w:sz w:val="18"/>
          <w:szCs w:val="18"/>
        </w:rPr>
        <w:instrText xml:space="preserve"> NOTEREF _Ref147769323 \h </w:instrText>
      </w:r>
      <w:r w:rsidR="001479EE" w:rsidRPr="00582553">
        <w:rPr>
          <w:rFonts w:ascii="Times New Roman" w:hAnsi="Times New Roman" w:cs="Times New Roman"/>
          <w:sz w:val="18"/>
          <w:szCs w:val="18"/>
        </w:rPr>
        <w:instrText xml:space="preserve"> \* MERGEFORMAT </w:instrText>
      </w:r>
      <w:r w:rsidR="008052D5" w:rsidRPr="00582553">
        <w:rPr>
          <w:rFonts w:ascii="Times New Roman" w:hAnsi="Times New Roman" w:cs="Times New Roman"/>
          <w:sz w:val="18"/>
          <w:szCs w:val="18"/>
        </w:rPr>
      </w:r>
      <w:r w:rsidR="008052D5"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21</w:t>
      </w:r>
      <w:r w:rsidR="008052D5" w:rsidRPr="00582553">
        <w:rPr>
          <w:rFonts w:ascii="Times New Roman" w:hAnsi="Times New Roman" w:cs="Times New Roman"/>
          <w:sz w:val="18"/>
          <w:szCs w:val="18"/>
        </w:rPr>
        <w:fldChar w:fldCharType="end"/>
      </w:r>
      <w:r w:rsidR="00E27056" w:rsidRPr="00582553">
        <w:rPr>
          <w:rFonts w:ascii="Times New Roman" w:hAnsi="Times New Roman" w:cs="Times New Roman"/>
          <w:sz w:val="18"/>
          <w:szCs w:val="18"/>
        </w:rPr>
        <w:t>.</w:t>
      </w:r>
      <w:r w:rsidR="007A2AB6" w:rsidRPr="00582553">
        <w:rPr>
          <w:rFonts w:ascii="Times New Roman" w:hAnsi="Times New Roman" w:cs="Times New Roman"/>
          <w:sz w:val="18"/>
          <w:szCs w:val="18"/>
        </w:rPr>
        <w:t xml:space="preserve"> This proposal seeks to provide for a high level of transparency in the field of political advertising online and offline and to provide additional safeguards applicable to targeting of political advertising based on the processing of personal data.</w:t>
      </w:r>
    </w:p>
  </w:footnote>
  <w:footnote w:id="224">
    <w:p w14:paraId="658CD845" w14:textId="70ABDCCB" w:rsidR="00C80BD0" w:rsidRPr="00582553" w:rsidRDefault="00CD5A98"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001B129E" w:rsidRPr="00582553">
        <w:rPr>
          <w:rFonts w:ascii="Times New Roman" w:hAnsi="Times New Roman" w:cs="Times New Roman"/>
          <w:sz w:val="18"/>
          <w:szCs w:val="18"/>
        </w:rPr>
        <w:t xml:space="preserve"> </w:t>
      </w:r>
      <w:r w:rsidR="002D6D9B" w:rsidRPr="00582553">
        <w:rPr>
          <w:rFonts w:ascii="Times New Roman" w:hAnsi="Times New Roman" w:cs="Times New Roman"/>
          <w:sz w:val="18"/>
          <w:szCs w:val="18"/>
        </w:rPr>
        <w:tab/>
      </w:r>
      <w:r w:rsidR="005136C3" w:rsidRPr="00582553">
        <w:rPr>
          <w:rFonts w:ascii="Times New Roman" w:hAnsi="Times New Roman" w:cs="Times New Roman"/>
          <w:sz w:val="18"/>
          <w:szCs w:val="18"/>
        </w:rPr>
        <w:t xml:space="preserve">The </w:t>
      </w:r>
      <w:r w:rsidR="00D15138" w:rsidRPr="00582553">
        <w:rPr>
          <w:rFonts w:ascii="Times New Roman" w:hAnsi="Times New Roman" w:cs="Times New Roman"/>
          <w:sz w:val="18"/>
          <w:szCs w:val="18"/>
        </w:rPr>
        <w:t xml:space="preserve">Digital Services Act </w:t>
      </w:r>
      <w:r w:rsidR="005136C3" w:rsidRPr="00582553">
        <w:rPr>
          <w:rFonts w:ascii="Times New Roman" w:hAnsi="Times New Roman" w:cs="Times New Roman"/>
          <w:sz w:val="18"/>
          <w:szCs w:val="18"/>
        </w:rPr>
        <w:t>(</w:t>
      </w:r>
      <w:r w:rsidR="00D15138" w:rsidRPr="00582553">
        <w:rPr>
          <w:rFonts w:ascii="Times New Roman" w:hAnsi="Times New Roman" w:cs="Times New Roman"/>
          <w:sz w:val="18"/>
          <w:szCs w:val="18"/>
        </w:rPr>
        <w:t>s</w:t>
      </w:r>
      <w:r w:rsidR="00E13FD7" w:rsidRPr="00582553">
        <w:rPr>
          <w:rFonts w:ascii="Times New Roman" w:hAnsi="Times New Roman" w:cs="Times New Roman"/>
          <w:sz w:val="18"/>
          <w:szCs w:val="18"/>
        </w:rPr>
        <w:t>ee note</w:t>
      </w:r>
      <w:r w:rsidR="008209F9" w:rsidRPr="00582553">
        <w:rPr>
          <w:rFonts w:ascii="Times New Roman" w:hAnsi="Times New Roman" w:cs="Times New Roman"/>
          <w:sz w:val="18"/>
          <w:szCs w:val="18"/>
        </w:rPr>
        <w:t xml:space="preserve"> </w:t>
      </w:r>
      <w:r w:rsidR="008052D5" w:rsidRPr="00582553">
        <w:rPr>
          <w:rFonts w:ascii="Times New Roman" w:hAnsi="Times New Roman" w:cs="Times New Roman"/>
          <w:sz w:val="18"/>
          <w:szCs w:val="18"/>
        </w:rPr>
        <w:fldChar w:fldCharType="begin"/>
      </w:r>
      <w:r w:rsidR="008052D5" w:rsidRPr="00582553">
        <w:rPr>
          <w:rFonts w:ascii="Times New Roman" w:hAnsi="Times New Roman" w:cs="Times New Roman"/>
          <w:sz w:val="18"/>
          <w:szCs w:val="18"/>
        </w:rPr>
        <w:instrText xml:space="preserve"> NOTEREF _Ref147840610 \h </w:instrText>
      </w:r>
      <w:r w:rsidR="001479EE" w:rsidRPr="00582553">
        <w:rPr>
          <w:rFonts w:ascii="Times New Roman" w:hAnsi="Times New Roman" w:cs="Times New Roman"/>
          <w:sz w:val="18"/>
          <w:szCs w:val="18"/>
        </w:rPr>
        <w:instrText xml:space="preserve"> \* MERGEFORMAT </w:instrText>
      </w:r>
      <w:r w:rsidR="008052D5" w:rsidRPr="00582553">
        <w:rPr>
          <w:rFonts w:ascii="Times New Roman" w:hAnsi="Times New Roman" w:cs="Times New Roman"/>
          <w:sz w:val="18"/>
          <w:szCs w:val="18"/>
        </w:rPr>
      </w:r>
      <w:r w:rsidR="008052D5"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18</w:t>
      </w:r>
      <w:r w:rsidR="008052D5" w:rsidRPr="00582553">
        <w:rPr>
          <w:rFonts w:ascii="Times New Roman" w:hAnsi="Times New Roman" w:cs="Times New Roman"/>
          <w:sz w:val="18"/>
          <w:szCs w:val="18"/>
        </w:rPr>
        <w:fldChar w:fldCharType="end"/>
      </w:r>
      <w:r w:rsidR="005136C3" w:rsidRPr="00582553">
        <w:rPr>
          <w:rFonts w:ascii="Times New Roman" w:hAnsi="Times New Roman" w:cs="Times New Roman"/>
          <w:sz w:val="18"/>
          <w:szCs w:val="18"/>
        </w:rPr>
        <w:t>) requires providers of online platforms to provide certain information about advertisements they present on their online interfaces.</w:t>
      </w:r>
    </w:p>
  </w:footnote>
  <w:footnote w:id="225">
    <w:p w14:paraId="0AF0BB45" w14:textId="6401C764" w:rsidR="00440195" w:rsidRPr="00582553" w:rsidRDefault="00440195" w:rsidP="00582553">
      <w:pPr>
        <w:pStyle w:val="FootnoteText"/>
        <w:spacing w:after="0"/>
        <w:ind w:left="284" w:hanging="284"/>
        <w:rPr>
          <w:rFonts w:ascii="Times New Roman" w:hAnsi="Times New Roman" w:cs="Times New Roman"/>
          <w:sz w:val="18"/>
          <w:szCs w:val="18"/>
          <w:lang w:val="en-IE"/>
        </w:rPr>
      </w:pPr>
      <w:r w:rsidRPr="00582553">
        <w:rPr>
          <w:rFonts w:ascii="Times New Roman" w:hAnsi="Times New Roman" w:cs="Times New Roman"/>
          <w:sz w:val="18"/>
          <w:szCs w:val="18"/>
          <w:vertAlign w:val="superscript"/>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Pr="00582553">
        <w:rPr>
          <w:rFonts w:ascii="Times New Roman" w:hAnsi="Times New Roman" w:cs="Times New Roman"/>
          <w:sz w:val="18"/>
          <w:szCs w:val="18"/>
        </w:rPr>
        <w:t>European</w:t>
      </w:r>
      <w:r w:rsidRPr="00582553">
        <w:rPr>
          <w:rFonts w:ascii="Times New Roman" w:hAnsi="Times New Roman" w:cs="Times New Roman"/>
          <w:sz w:val="18"/>
          <w:szCs w:val="18"/>
          <w:lang w:val="en-IE"/>
        </w:rPr>
        <w:t xml:space="preserve"> Media Freedom Act, see note </w:t>
      </w:r>
      <w:r w:rsidRPr="00582553">
        <w:rPr>
          <w:rFonts w:ascii="Times New Roman" w:hAnsi="Times New Roman" w:cs="Times New Roman"/>
          <w:sz w:val="18"/>
          <w:szCs w:val="18"/>
          <w:lang w:val="en-IE"/>
        </w:rPr>
        <w:fldChar w:fldCharType="begin"/>
      </w:r>
      <w:r w:rsidRPr="00582553">
        <w:rPr>
          <w:rFonts w:ascii="Times New Roman" w:hAnsi="Times New Roman" w:cs="Times New Roman"/>
          <w:sz w:val="18"/>
          <w:szCs w:val="18"/>
          <w:lang w:val="en-IE"/>
        </w:rPr>
        <w:instrText xml:space="preserve"> NOTEREF _Ref147769867 \h  \* MERGEFORMAT </w:instrText>
      </w:r>
      <w:r w:rsidRPr="00582553">
        <w:rPr>
          <w:rFonts w:ascii="Times New Roman" w:hAnsi="Times New Roman" w:cs="Times New Roman"/>
          <w:sz w:val="18"/>
          <w:szCs w:val="18"/>
          <w:lang w:val="en-IE"/>
        </w:rPr>
      </w:r>
      <w:r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22</w:t>
      </w:r>
      <w:r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w:t>
      </w:r>
    </w:p>
  </w:footnote>
  <w:footnote w:id="226">
    <w:p w14:paraId="504D0801" w14:textId="77777777" w:rsidR="00440195" w:rsidRPr="00582553" w:rsidRDefault="00440195"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Directive (EU) 2010/13 of the European Parliament and of the Council of 10 March 2010 on the coordination of certain provisions laid down by law, regulation or administrative action in Member States concerning the provision of audiovisual media services (Audiovisual Media Services Directive).</w:t>
      </w:r>
    </w:p>
  </w:footnote>
  <w:footnote w:id="227">
    <w:p w14:paraId="476148AE" w14:textId="66410966" w:rsidR="00FC7911" w:rsidRPr="00582553" w:rsidRDefault="00FC7911"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Pr="00582553">
        <w:rPr>
          <w:rFonts w:ascii="Times New Roman" w:hAnsi="Times New Roman" w:cs="Times New Roman"/>
          <w:sz w:val="18"/>
          <w:szCs w:val="18"/>
        </w:rPr>
        <w:t xml:space="preserve">Proposal for a Directive on combating corruption, see note </w:t>
      </w:r>
      <w:r w:rsidRPr="00582553">
        <w:rPr>
          <w:rFonts w:ascii="Times New Roman" w:hAnsi="Times New Roman" w:cs="Times New Roman"/>
          <w:sz w:val="18"/>
          <w:szCs w:val="18"/>
        </w:rPr>
        <w:fldChar w:fldCharType="begin"/>
      </w:r>
      <w:r w:rsidRPr="00582553">
        <w:rPr>
          <w:rFonts w:ascii="Times New Roman" w:hAnsi="Times New Roman" w:cs="Times New Roman"/>
          <w:sz w:val="18"/>
          <w:szCs w:val="18"/>
        </w:rPr>
        <w:instrText xml:space="preserve"> NOTEREF _Ref147770611 \h  \* MERGEFORMAT </w:instrText>
      </w:r>
      <w:r w:rsidRPr="00582553">
        <w:rPr>
          <w:rFonts w:ascii="Times New Roman" w:hAnsi="Times New Roman" w:cs="Times New Roman"/>
          <w:sz w:val="18"/>
          <w:szCs w:val="18"/>
        </w:rPr>
      </w:r>
      <w:r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25</w:t>
      </w:r>
      <w:r w:rsidRPr="00582553">
        <w:rPr>
          <w:rFonts w:ascii="Times New Roman" w:hAnsi="Times New Roman" w:cs="Times New Roman"/>
          <w:sz w:val="18"/>
          <w:szCs w:val="18"/>
        </w:rPr>
        <w:fldChar w:fldCharType="end"/>
      </w:r>
      <w:r w:rsidRPr="00582553">
        <w:rPr>
          <w:rFonts w:ascii="Times New Roman" w:hAnsi="Times New Roman" w:cs="Times New Roman"/>
          <w:sz w:val="18"/>
          <w:szCs w:val="18"/>
        </w:rPr>
        <w:t>.</w:t>
      </w:r>
    </w:p>
  </w:footnote>
  <w:footnote w:id="228">
    <w:p w14:paraId="59BC59C4" w14:textId="32C6D2EB" w:rsidR="00CD5A98" w:rsidRPr="00582553" w:rsidRDefault="00CD5A98"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000F5E1B" w:rsidRPr="00582553">
        <w:rPr>
          <w:rFonts w:ascii="Times New Roman" w:hAnsi="Times New Roman" w:cs="Times New Roman"/>
          <w:sz w:val="18"/>
          <w:szCs w:val="18"/>
          <w:lang w:val="en-IE"/>
        </w:rPr>
        <w:t xml:space="preserve"> </w:t>
      </w:r>
      <w:r w:rsidR="000F5E1B" w:rsidRPr="00582553">
        <w:rPr>
          <w:rFonts w:ascii="Times New Roman" w:hAnsi="Times New Roman" w:cs="Times New Roman"/>
          <w:sz w:val="18"/>
          <w:szCs w:val="18"/>
          <w:lang w:val="en-IE"/>
        </w:rPr>
        <w:tab/>
        <w:t xml:space="preserve">‘Rule of law mechanism’, European Commission, available at: </w:t>
      </w:r>
      <w:hyperlink r:id="rId38" w:history="1">
        <w:r w:rsidR="000F5E1B" w:rsidRPr="00582553">
          <w:rPr>
            <w:rStyle w:val="Hyperlink"/>
            <w:rFonts w:ascii="Times New Roman" w:hAnsi="Times New Roman" w:cs="Times New Roman"/>
            <w:sz w:val="18"/>
            <w:szCs w:val="18"/>
            <w:lang w:val="en-IE"/>
          </w:rPr>
          <w:t>https://commission.europa.eu/strategy-and-policy/policies/justice-and-fundamental-rights/upholding-rule-law/rule-law/rule-law-mechanism_en</w:t>
        </w:r>
      </w:hyperlink>
      <w:r w:rsidR="000F5E1B" w:rsidRPr="00582553">
        <w:rPr>
          <w:rFonts w:ascii="Times New Roman" w:hAnsi="Times New Roman" w:cs="Times New Roman"/>
          <w:sz w:val="18"/>
          <w:szCs w:val="18"/>
          <w:lang w:val="en-IE"/>
        </w:rPr>
        <w:t>.</w:t>
      </w:r>
    </w:p>
  </w:footnote>
  <w:footnote w:id="229">
    <w:p w14:paraId="288F5FAD" w14:textId="1A69FCB8" w:rsidR="00FA1991" w:rsidRPr="00582553" w:rsidRDefault="00FA1991"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0D2DFE" w:rsidRPr="00582553">
        <w:rPr>
          <w:rFonts w:ascii="Times New Roman" w:hAnsi="Times New Roman" w:cs="Times New Roman"/>
          <w:sz w:val="18"/>
          <w:szCs w:val="18"/>
        </w:rPr>
        <w:tab/>
      </w:r>
      <w:r w:rsidR="00722B84" w:rsidRPr="00582553">
        <w:rPr>
          <w:rFonts w:ascii="Times New Roman" w:hAnsi="Times New Roman" w:cs="Times New Roman"/>
          <w:sz w:val="18"/>
          <w:szCs w:val="18"/>
        </w:rPr>
        <w:t xml:space="preserve">See Annex 9 for details. </w:t>
      </w:r>
    </w:p>
  </w:footnote>
  <w:footnote w:id="230">
    <w:p w14:paraId="750ADCDD" w14:textId="2AC2ED55" w:rsidR="00643662" w:rsidRPr="00582553" w:rsidRDefault="00643662"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Style w:val="IntenseEmphasis"/>
          <w:rFonts w:ascii="Times New Roman" w:eastAsia="Times New Roman" w:hAnsi="Times New Roman" w:cs="Times New Roman"/>
          <w:b w:val="0"/>
          <w:i w:val="0"/>
          <w:color w:val="000000" w:themeColor="text1"/>
          <w:szCs w:val="18"/>
        </w:rPr>
        <w:t xml:space="preserve">See note </w:t>
      </w:r>
      <w:r w:rsidRPr="00582553">
        <w:rPr>
          <w:rStyle w:val="IntenseEmphasis"/>
          <w:rFonts w:ascii="Times New Roman" w:eastAsia="Times New Roman" w:hAnsi="Times New Roman" w:cs="Times New Roman"/>
          <w:b w:val="0"/>
          <w:i w:val="0"/>
          <w:color w:val="000000" w:themeColor="text1"/>
          <w:szCs w:val="18"/>
        </w:rPr>
        <w:fldChar w:fldCharType="begin"/>
      </w:r>
      <w:r w:rsidRPr="00582553">
        <w:rPr>
          <w:rStyle w:val="IntenseEmphasis"/>
          <w:rFonts w:ascii="Times New Roman" w:eastAsia="Times New Roman" w:hAnsi="Times New Roman" w:cs="Times New Roman"/>
          <w:b w:val="0"/>
          <w:i w:val="0"/>
          <w:color w:val="000000" w:themeColor="text1"/>
          <w:szCs w:val="18"/>
        </w:rPr>
        <w:instrText xml:space="preserve"> NOTEREF _Ref147768679 \h  \* MERGEFORMAT </w:instrText>
      </w:r>
      <w:r w:rsidRPr="00582553">
        <w:rPr>
          <w:rStyle w:val="IntenseEmphasis"/>
          <w:rFonts w:ascii="Times New Roman" w:eastAsia="Times New Roman" w:hAnsi="Times New Roman" w:cs="Times New Roman"/>
          <w:b w:val="0"/>
          <w:i w:val="0"/>
          <w:color w:val="000000" w:themeColor="text1"/>
          <w:szCs w:val="18"/>
        </w:rPr>
      </w:r>
      <w:r w:rsidRPr="00582553">
        <w:rPr>
          <w:rStyle w:val="IntenseEmphasis"/>
          <w:rFonts w:ascii="Times New Roman" w:eastAsia="Times New Roman" w:hAnsi="Times New Roman" w:cs="Times New Roman"/>
          <w:b w:val="0"/>
          <w:i w:val="0"/>
          <w:color w:val="000000" w:themeColor="text1"/>
          <w:szCs w:val="18"/>
        </w:rPr>
        <w:fldChar w:fldCharType="separate"/>
      </w:r>
      <w:r w:rsidR="00DD4A72">
        <w:rPr>
          <w:rStyle w:val="IntenseEmphasis"/>
          <w:rFonts w:ascii="Times New Roman" w:eastAsia="Times New Roman" w:hAnsi="Times New Roman" w:cs="Times New Roman"/>
          <w:b w:val="0"/>
          <w:i w:val="0"/>
          <w:color w:val="000000" w:themeColor="text1"/>
          <w:szCs w:val="18"/>
        </w:rPr>
        <w:t>17</w:t>
      </w:r>
      <w:r w:rsidRPr="00582553">
        <w:rPr>
          <w:rStyle w:val="IntenseEmphasis"/>
          <w:rFonts w:ascii="Times New Roman" w:eastAsia="Times New Roman" w:hAnsi="Times New Roman" w:cs="Times New Roman"/>
          <w:b w:val="0"/>
          <w:i w:val="0"/>
          <w:color w:val="000000" w:themeColor="text1"/>
          <w:szCs w:val="18"/>
        </w:rPr>
        <w:fldChar w:fldCharType="end"/>
      </w:r>
      <w:r w:rsidRPr="00582553">
        <w:rPr>
          <w:rStyle w:val="IntenseEmphasis"/>
          <w:rFonts w:ascii="Times New Roman" w:eastAsia="Times New Roman" w:hAnsi="Times New Roman" w:cs="Times New Roman"/>
          <w:b w:val="0"/>
          <w:i w:val="0"/>
          <w:color w:val="000000" w:themeColor="text1"/>
          <w:szCs w:val="18"/>
        </w:rPr>
        <w:t>.</w:t>
      </w:r>
    </w:p>
  </w:footnote>
  <w:footnote w:id="231">
    <w:p w14:paraId="3CC8011F" w14:textId="77777777" w:rsidR="00643662" w:rsidRPr="00582553" w:rsidRDefault="00643662" w:rsidP="00582553">
      <w:pPr>
        <w:pStyle w:val="FootnoteText"/>
        <w:spacing w:after="0"/>
        <w:ind w:left="284" w:hanging="284"/>
        <w:rPr>
          <w:rFonts w:ascii="Times New Roman" w:hAnsi="Times New Roman" w:cs="Times New Roman"/>
          <w:sz w:val="18"/>
          <w:szCs w:val="18"/>
        </w:rPr>
      </w:pPr>
      <w:r w:rsidRPr="00582553">
        <w:rPr>
          <w:rStyle w:val="IntenseEmphasis"/>
          <w:rFonts w:ascii="Times New Roman" w:eastAsia="Times New Roman" w:hAnsi="Times New Roman" w:cs="Times New Roman"/>
          <w:b w:val="0"/>
          <w:i w:val="0"/>
          <w:color w:val="000000" w:themeColor="text1"/>
          <w:szCs w:val="18"/>
          <w:vertAlign w:val="superscript"/>
        </w:rPr>
        <w:footnoteRef/>
      </w:r>
      <w:r w:rsidRPr="00582553">
        <w:rPr>
          <w:rStyle w:val="IntenseEmphasis"/>
          <w:rFonts w:ascii="Times New Roman" w:eastAsia="Times New Roman" w:hAnsi="Times New Roman" w:cs="Times New Roman"/>
          <w:b w:val="0"/>
          <w:i w:val="0"/>
          <w:color w:val="000000" w:themeColor="text1"/>
          <w:szCs w:val="18"/>
        </w:rPr>
        <w:t xml:space="preserve"> </w:t>
      </w:r>
      <w:r w:rsidRPr="00582553">
        <w:rPr>
          <w:rStyle w:val="IntenseEmphasis"/>
          <w:rFonts w:ascii="Times New Roman" w:eastAsia="Times New Roman" w:hAnsi="Times New Roman" w:cs="Times New Roman"/>
          <w:b w:val="0"/>
          <w:i w:val="0"/>
          <w:color w:val="000000" w:themeColor="text1"/>
          <w:szCs w:val="18"/>
        </w:rPr>
        <w:tab/>
        <w:t>These could include EFTA Member States, former EU Member States, candidate countries, countries entitled to use the euro as official currency on the basis of a monetary agreement with the EU, partner countries having a stabilisation and association agreement with the EU as well as European countries with whom the EU has concluded Association Agreements comprising a Deep and Comprehensive Free Trade Area. During the focus group with representatives of European political parties and foundations, participants underscored the high level of transparency which applies to EUPP/F and raised the question of providing a level playing field in terms of transparency requirements between entities influencing decision-making processes.</w:t>
      </w:r>
      <w:r w:rsidRPr="00582553">
        <w:rPr>
          <w:rFonts w:ascii="Times New Roman" w:hAnsi="Times New Roman" w:cs="Times New Roman"/>
          <w:sz w:val="18"/>
          <w:szCs w:val="18"/>
        </w:rPr>
        <w:t xml:space="preserve"> (Focus group with European political parties and foundations of 21 March 2023).</w:t>
      </w:r>
    </w:p>
  </w:footnote>
  <w:footnote w:id="232">
    <w:p w14:paraId="15B4E98A" w14:textId="6F10DF21" w:rsidR="00AF23B5" w:rsidRPr="00582553" w:rsidRDefault="00AF23B5"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r>
      <w:r w:rsidR="0057629B" w:rsidRPr="00582553">
        <w:rPr>
          <w:rFonts w:ascii="Times New Roman" w:hAnsi="Times New Roman" w:cs="Times New Roman"/>
          <w:sz w:val="18"/>
          <w:szCs w:val="18"/>
        </w:rPr>
        <w:t xml:space="preserve">See note </w:t>
      </w:r>
      <w:r w:rsidR="0057629B" w:rsidRPr="00582553">
        <w:rPr>
          <w:rFonts w:ascii="Times New Roman" w:hAnsi="Times New Roman" w:cs="Times New Roman"/>
          <w:sz w:val="18"/>
          <w:szCs w:val="18"/>
        </w:rPr>
        <w:fldChar w:fldCharType="begin"/>
      </w:r>
      <w:r w:rsidR="0057629B" w:rsidRPr="00582553">
        <w:rPr>
          <w:rFonts w:ascii="Times New Roman" w:hAnsi="Times New Roman" w:cs="Times New Roman"/>
          <w:sz w:val="18"/>
          <w:szCs w:val="18"/>
        </w:rPr>
        <w:instrText xml:space="preserve"> NOTEREF _Ref147841186 \h  \* MERGEFORMAT </w:instrText>
      </w:r>
      <w:r w:rsidR="0057629B" w:rsidRPr="00582553">
        <w:rPr>
          <w:rFonts w:ascii="Times New Roman" w:hAnsi="Times New Roman" w:cs="Times New Roman"/>
          <w:sz w:val="18"/>
          <w:szCs w:val="18"/>
        </w:rPr>
      </w:r>
      <w:r w:rsidR="0057629B"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171</w:t>
      </w:r>
      <w:r w:rsidR="0057629B" w:rsidRPr="00582553">
        <w:rPr>
          <w:rFonts w:ascii="Times New Roman" w:hAnsi="Times New Roman" w:cs="Times New Roman"/>
          <w:sz w:val="18"/>
          <w:szCs w:val="18"/>
        </w:rPr>
        <w:fldChar w:fldCharType="end"/>
      </w:r>
      <w:r w:rsidR="0057629B" w:rsidRPr="00582553">
        <w:rPr>
          <w:rFonts w:ascii="Times New Roman" w:hAnsi="Times New Roman" w:cs="Times New Roman"/>
          <w:sz w:val="18"/>
          <w:szCs w:val="18"/>
        </w:rPr>
        <w:t>.</w:t>
      </w:r>
    </w:p>
  </w:footnote>
  <w:footnote w:id="233">
    <w:p w14:paraId="58700A21" w14:textId="754CEF58" w:rsidR="00AF23B5" w:rsidRPr="00582553" w:rsidRDefault="00AF23B5"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lang w:val="en-IE"/>
        </w:rPr>
        <w:tab/>
      </w:r>
      <w:r w:rsidR="000F166F" w:rsidRPr="00582553">
        <w:rPr>
          <w:rFonts w:ascii="Times New Roman" w:hAnsi="Times New Roman" w:cs="Times New Roman"/>
          <w:sz w:val="18"/>
          <w:szCs w:val="18"/>
          <w:lang w:val="en-IE"/>
        </w:rPr>
        <w:t xml:space="preserve">See note </w:t>
      </w:r>
      <w:r w:rsidR="000F166F" w:rsidRPr="00582553">
        <w:rPr>
          <w:rFonts w:ascii="Times New Roman" w:hAnsi="Times New Roman" w:cs="Times New Roman"/>
          <w:sz w:val="18"/>
          <w:szCs w:val="18"/>
          <w:lang w:val="en-IE"/>
        </w:rPr>
        <w:fldChar w:fldCharType="begin"/>
      </w:r>
      <w:r w:rsidR="000F166F" w:rsidRPr="00582553">
        <w:rPr>
          <w:rFonts w:ascii="Times New Roman" w:hAnsi="Times New Roman" w:cs="Times New Roman"/>
          <w:sz w:val="18"/>
          <w:szCs w:val="18"/>
          <w:lang w:val="en-IE"/>
        </w:rPr>
        <w:instrText xml:space="preserve"> NOTEREF _Ref147841119 \h </w:instrText>
      </w:r>
      <w:r w:rsidR="003B447B" w:rsidRPr="00582553">
        <w:rPr>
          <w:rFonts w:ascii="Times New Roman" w:hAnsi="Times New Roman" w:cs="Times New Roman"/>
          <w:sz w:val="18"/>
          <w:szCs w:val="18"/>
          <w:lang w:val="en-IE"/>
        </w:rPr>
        <w:instrText xml:space="preserve"> \* MERGEFORMAT </w:instrText>
      </w:r>
      <w:r w:rsidR="000F166F" w:rsidRPr="00582553">
        <w:rPr>
          <w:rFonts w:ascii="Times New Roman" w:hAnsi="Times New Roman" w:cs="Times New Roman"/>
          <w:sz w:val="18"/>
          <w:szCs w:val="18"/>
          <w:lang w:val="en-IE"/>
        </w:rPr>
      </w:r>
      <w:r w:rsidR="000F166F"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170</w:t>
      </w:r>
      <w:r w:rsidR="000F166F"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w:t>
      </w:r>
    </w:p>
  </w:footnote>
  <w:footnote w:id="234">
    <w:p w14:paraId="2A8C275F" w14:textId="4C5E49AE" w:rsidR="00D6267B" w:rsidRPr="00582553" w:rsidRDefault="00D6267B"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B325F6" w:rsidRPr="00582553">
        <w:rPr>
          <w:rFonts w:ascii="Times New Roman" w:hAnsi="Times New Roman" w:cs="Times New Roman"/>
          <w:sz w:val="18"/>
          <w:szCs w:val="18"/>
        </w:rPr>
        <w:tab/>
        <w:t xml:space="preserve">Directive (EU) 2019/1937 of the European Parliament and of the Council of 23 October 2019 on the protection of persons who report </w:t>
      </w:r>
      <w:r w:rsidR="00B325F6" w:rsidRPr="00582553">
        <w:rPr>
          <w:rFonts w:ascii="Times New Roman" w:hAnsi="Times New Roman" w:cs="Times New Roman"/>
          <w:sz w:val="18"/>
          <w:szCs w:val="18"/>
          <w:lang w:val="en-IE"/>
        </w:rPr>
        <w:t>breaches</w:t>
      </w:r>
      <w:r w:rsidR="00B325F6" w:rsidRPr="00582553">
        <w:rPr>
          <w:rFonts w:ascii="Times New Roman" w:hAnsi="Times New Roman" w:cs="Times New Roman"/>
          <w:sz w:val="18"/>
          <w:szCs w:val="18"/>
        </w:rPr>
        <w:t xml:space="preserve"> of Union law</w:t>
      </w:r>
      <w:r w:rsidR="00362184" w:rsidRPr="00582553">
        <w:rPr>
          <w:rFonts w:ascii="Times New Roman" w:hAnsi="Times New Roman" w:cs="Times New Roman"/>
          <w:sz w:val="18"/>
          <w:szCs w:val="18"/>
        </w:rPr>
        <w:t>.</w:t>
      </w:r>
    </w:p>
  </w:footnote>
  <w:footnote w:id="235">
    <w:p w14:paraId="38241BE7" w14:textId="77777777" w:rsidR="00BE64E8" w:rsidRPr="00582553" w:rsidRDefault="00BE64E8"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Proposal for a Directive of the European Parliament and of the Council on European cross-border associations (COM/2023/516 final) which address the fragmentation of national rules for associations and non-profit organisations across the EU and facilitate their activities across borders in the internal market.</w:t>
      </w:r>
    </w:p>
  </w:footnote>
  <w:footnote w:id="236">
    <w:p w14:paraId="58A205A6" w14:textId="1CACBA53" w:rsidR="00824486" w:rsidRPr="00582553" w:rsidRDefault="00824486"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Regulation on foreign subsidies distorting the internal market (see note</w:t>
      </w:r>
      <w:r w:rsidR="001F7A14">
        <w:rPr>
          <w:rFonts w:ascii="Times New Roman" w:hAnsi="Times New Roman" w:cs="Times New Roman"/>
          <w:sz w:val="18"/>
          <w:szCs w:val="18"/>
          <w:lang w:val="en-IE"/>
        </w:rPr>
        <w:t xml:space="preserve"> </w:t>
      </w:r>
      <w:r w:rsidR="001F7A14" w:rsidRPr="001C4A5A">
        <w:rPr>
          <w:rFonts w:ascii="Times New Roman" w:hAnsi="Times New Roman" w:cs="Times New Roman"/>
          <w:sz w:val="18"/>
          <w:szCs w:val="18"/>
          <w:lang w:val="en-IE"/>
        </w:rPr>
        <w:fldChar w:fldCharType="begin"/>
      </w:r>
      <w:r w:rsidR="001F7A14" w:rsidRPr="001C4A5A">
        <w:rPr>
          <w:rFonts w:ascii="Times New Roman" w:hAnsi="Times New Roman" w:cs="Times New Roman"/>
          <w:sz w:val="18"/>
          <w:szCs w:val="18"/>
          <w:lang w:val="en-IE"/>
        </w:rPr>
        <w:instrText xml:space="preserve"> NOTEREF _Ref151564535 \h </w:instrText>
      </w:r>
      <w:r w:rsidR="001C4A5A">
        <w:rPr>
          <w:rFonts w:ascii="Times New Roman" w:hAnsi="Times New Roman" w:cs="Times New Roman"/>
          <w:sz w:val="18"/>
          <w:szCs w:val="18"/>
          <w:lang w:val="en-IE"/>
        </w:rPr>
        <w:instrText xml:space="preserve"> \* MERGEFORMAT </w:instrText>
      </w:r>
      <w:r w:rsidR="001F7A14" w:rsidRPr="001C4A5A">
        <w:rPr>
          <w:rFonts w:ascii="Times New Roman" w:hAnsi="Times New Roman" w:cs="Times New Roman"/>
          <w:sz w:val="18"/>
          <w:szCs w:val="18"/>
          <w:lang w:val="en-IE"/>
        </w:rPr>
      </w:r>
      <w:r w:rsidR="001F7A14" w:rsidRPr="001C4A5A">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3</w:t>
      </w:r>
      <w:r w:rsidR="001F7A14" w:rsidRPr="001C4A5A">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 aims to establish a harmonised framework to address distortions of competition on the internal market caused, directly or indirectly, by foreign subsidies.</w:t>
      </w:r>
    </w:p>
  </w:footnote>
  <w:footnote w:id="237">
    <w:p w14:paraId="5D02E1A6" w14:textId="00906ED3" w:rsidR="00E916BE" w:rsidRPr="00582553" w:rsidRDefault="00E916BE"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The FDI Screening Regulation (see note </w:t>
      </w:r>
      <w:r w:rsidRPr="00582553">
        <w:rPr>
          <w:rFonts w:ascii="Times New Roman" w:hAnsi="Times New Roman" w:cs="Times New Roman"/>
          <w:sz w:val="18"/>
          <w:szCs w:val="18"/>
          <w:lang w:val="en-IE"/>
        </w:rPr>
        <w:fldChar w:fldCharType="begin"/>
      </w:r>
      <w:r w:rsidRPr="00582553">
        <w:rPr>
          <w:rFonts w:ascii="Times New Roman" w:hAnsi="Times New Roman" w:cs="Times New Roman"/>
          <w:sz w:val="18"/>
          <w:szCs w:val="18"/>
          <w:lang w:val="en-IE"/>
        </w:rPr>
        <w:instrText xml:space="preserve"> NOTEREF _Ref147770155 \h  \* MERGEFORMAT </w:instrText>
      </w:r>
      <w:r w:rsidRPr="00582553">
        <w:rPr>
          <w:rFonts w:ascii="Times New Roman" w:hAnsi="Times New Roman" w:cs="Times New Roman"/>
          <w:sz w:val="18"/>
          <w:szCs w:val="18"/>
          <w:lang w:val="en-IE"/>
        </w:rPr>
      </w:r>
      <w:r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23</w:t>
      </w:r>
      <w:r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rPr>
        <w:t>)</w:t>
      </w:r>
      <w:r w:rsidRPr="00582553">
        <w:rPr>
          <w:rFonts w:ascii="Times New Roman" w:hAnsi="Times New Roman" w:cs="Times New Roman"/>
          <w:sz w:val="18"/>
          <w:szCs w:val="18"/>
          <w:lang w:val="en-IE"/>
        </w:rPr>
        <w:t xml:space="preserve"> provides an EU framework for the screening of direct investments from third countries on the grounds of security or public order.</w:t>
      </w:r>
    </w:p>
  </w:footnote>
  <w:footnote w:id="238">
    <w:p w14:paraId="6E237938" w14:textId="633F2182" w:rsidR="000F3EB6" w:rsidRPr="00582553" w:rsidRDefault="000F3EB6" w:rsidP="00582553">
      <w:pPr>
        <w:pStyle w:val="FootnoteText"/>
        <w:spacing w:after="0"/>
        <w:ind w:left="284" w:hanging="284"/>
        <w:rPr>
          <w:sz w:val="18"/>
          <w:szCs w:val="18"/>
        </w:rPr>
      </w:pPr>
      <w:r w:rsidRPr="00582553">
        <w:rPr>
          <w:rStyle w:val="FootnoteReference"/>
          <w:sz w:val="18"/>
          <w:szCs w:val="18"/>
        </w:rPr>
        <w:footnoteRef/>
      </w:r>
      <w:r w:rsidRPr="00582553">
        <w:rPr>
          <w:sz w:val="18"/>
          <w:szCs w:val="18"/>
        </w:rPr>
        <w:t xml:space="preserve"> See </w:t>
      </w:r>
      <w:r w:rsidR="00E92EB8" w:rsidRPr="00582553">
        <w:rPr>
          <w:sz w:val="18"/>
          <w:szCs w:val="18"/>
        </w:rPr>
        <w:t>Communication from the Commission to the European Parliament, the Council, the European Economic and Social Committee and the Committee of the Regions</w:t>
      </w:r>
      <w:r w:rsidR="009B36F0" w:rsidRPr="00582553">
        <w:rPr>
          <w:sz w:val="18"/>
          <w:szCs w:val="18"/>
        </w:rPr>
        <w:t xml:space="preserve"> on the</w:t>
      </w:r>
      <w:r w:rsidR="00E92EB8" w:rsidRPr="00582553">
        <w:rPr>
          <w:sz w:val="18"/>
          <w:szCs w:val="18"/>
        </w:rPr>
        <w:t xml:space="preserve"> Long-term competitiveness of the EU: looking beyond 2030 </w:t>
      </w:r>
      <w:r w:rsidR="009B36F0" w:rsidRPr="00582553">
        <w:rPr>
          <w:sz w:val="18"/>
          <w:szCs w:val="18"/>
        </w:rPr>
        <w:t>(</w:t>
      </w:r>
      <w:r w:rsidRPr="00582553">
        <w:rPr>
          <w:sz w:val="18"/>
          <w:szCs w:val="18"/>
        </w:rPr>
        <w:t>COM(2023) 168</w:t>
      </w:r>
      <w:r w:rsidR="009B36F0" w:rsidRPr="00582553">
        <w:rPr>
          <w:sz w:val="18"/>
          <w:szCs w:val="18"/>
        </w:rPr>
        <w:t>)</w:t>
      </w:r>
      <w:r w:rsidRPr="00582553">
        <w:rPr>
          <w:sz w:val="18"/>
          <w:szCs w:val="18"/>
        </w:rPr>
        <w:t>.</w:t>
      </w:r>
    </w:p>
  </w:footnote>
  <w:footnote w:id="239">
    <w:p w14:paraId="6A27ACDC" w14:textId="2386F4A3" w:rsidR="00CD5A98" w:rsidRPr="00582553" w:rsidRDefault="00CD5A98" w:rsidP="00582553">
      <w:pPr>
        <w:pStyle w:val="FootnoteText"/>
        <w:spacing w:after="0"/>
        <w:ind w:left="284" w:hanging="284"/>
        <w:rPr>
          <w:rFonts w:ascii="Times New Roman" w:hAnsi="Times New Roman" w:cs="Times New Roman"/>
          <w:b/>
          <w:sz w:val="18"/>
          <w:szCs w:val="18"/>
          <w:lang w:val="en-IE"/>
        </w:rPr>
      </w:pPr>
      <w:r w:rsidRPr="00582553">
        <w:rPr>
          <w:rStyle w:val="FootnoteReference"/>
          <w:rFonts w:ascii="Times New Roman" w:hAnsi="Times New Roman" w:cs="Times New Roman"/>
          <w:sz w:val="18"/>
          <w:szCs w:val="18"/>
        </w:rPr>
        <w:footnoteRef/>
      </w:r>
      <w:r w:rsidR="00834CEE" w:rsidRPr="00582553">
        <w:rPr>
          <w:rFonts w:ascii="Times New Roman" w:hAnsi="Times New Roman" w:cs="Times New Roman"/>
          <w:sz w:val="18"/>
          <w:szCs w:val="18"/>
        </w:rPr>
        <w:t xml:space="preserve"> </w:t>
      </w:r>
      <w:r w:rsidR="00A62FD7" w:rsidRPr="00582553">
        <w:rPr>
          <w:rFonts w:ascii="Times New Roman" w:hAnsi="Times New Roman" w:cs="Times New Roman"/>
          <w:sz w:val="18"/>
          <w:szCs w:val="18"/>
        </w:rPr>
        <w:tab/>
      </w:r>
      <w:r w:rsidR="00834CEE" w:rsidRPr="00582553">
        <w:rPr>
          <w:rFonts w:ascii="Times New Roman" w:hAnsi="Times New Roman" w:cs="Times New Roman"/>
          <w:sz w:val="18"/>
          <w:szCs w:val="18"/>
          <w:lang w:val="en-IE"/>
        </w:rPr>
        <w:t>Directive</w:t>
      </w:r>
      <w:r w:rsidR="00834CEE" w:rsidRPr="00582553">
        <w:rPr>
          <w:rFonts w:ascii="Times New Roman" w:hAnsi="Times New Roman" w:cs="Times New Roman"/>
          <w:sz w:val="18"/>
          <w:szCs w:val="18"/>
        </w:rPr>
        <w:t xml:space="preserve"> (EU) 2022/2464 of the European Parliament and of the Council of 14 December 2022 amending Regulation (EU) No 537/2014, </w:t>
      </w:r>
      <w:r w:rsidR="00834CEE" w:rsidRPr="00582553">
        <w:rPr>
          <w:rFonts w:ascii="Times New Roman" w:hAnsi="Times New Roman" w:cs="Times New Roman"/>
          <w:sz w:val="18"/>
          <w:szCs w:val="18"/>
          <w:lang w:val="en-IE"/>
        </w:rPr>
        <w:t>Directive</w:t>
      </w:r>
      <w:r w:rsidR="00834CEE" w:rsidRPr="00582553">
        <w:rPr>
          <w:rFonts w:ascii="Times New Roman" w:hAnsi="Times New Roman" w:cs="Times New Roman"/>
          <w:sz w:val="18"/>
          <w:szCs w:val="18"/>
        </w:rPr>
        <w:t xml:space="preserve"> 2004/109/EC, Directive 2006/43/EC and Directive 2013/34/EU, as regards corporate sustainability reporting.</w:t>
      </w:r>
      <w:r w:rsidR="00EA04E7" w:rsidRPr="00582553">
        <w:rPr>
          <w:rFonts w:ascii="Times New Roman" w:hAnsi="Times New Roman" w:cs="Times New Roman"/>
          <w:sz w:val="18"/>
          <w:szCs w:val="18"/>
        </w:rPr>
        <w:t xml:space="preserve"> It applies to applies to all Limited Liability Companies (LLC) which are not SMEs as defined by the accounting </w:t>
      </w:r>
      <w:r w:rsidR="00D0762F">
        <w:rPr>
          <w:rFonts w:ascii="Times New Roman" w:hAnsi="Times New Roman" w:cs="Times New Roman"/>
          <w:sz w:val="18"/>
          <w:szCs w:val="18"/>
        </w:rPr>
        <w:t>D</w:t>
      </w:r>
      <w:r w:rsidR="00EA04E7" w:rsidRPr="00582553">
        <w:rPr>
          <w:rFonts w:ascii="Times New Roman" w:hAnsi="Times New Roman" w:cs="Times New Roman"/>
          <w:sz w:val="18"/>
          <w:szCs w:val="18"/>
        </w:rPr>
        <w:t>irective, and all LLC companies listed on a regulated market (including listed SMEs) but excluding micro-enterprises</w:t>
      </w:r>
      <w:r w:rsidR="00EA04E7" w:rsidRPr="00582553">
        <w:rPr>
          <w:rFonts w:ascii="Times New Roman" w:hAnsi="Times New Roman" w:cs="Times New Roman"/>
          <w:b/>
          <w:bCs/>
          <w:sz w:val="18"/>
          <w:szCs w:val="18"/>
        </w:rPr>
        <w:t>.</w:t>
      </w:r>
    </w:p>
  </w:footnote>
  <w:footnote w:id="240">
    <w:p w14:paraId="0F1F56FB" w14:textId="77777777" w:rsidR="00EA04E7" w:rsidRPr="00582553" w:rsidRDefault="00EA04E7"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Where a </w:t>
      </w:r>
      <w:r w:rsidRPr="00582553">
        <w:rPr>
          <w:rFonts w:ascii="Times New Roman" w:hAnsi="Times New Roman" w:cs="Times New Roman"/>
          <w:sz w:val="18"/>
          <w:szCs w:val="18"/>
          <w:lang w:val="en-IE"/>
        </w:rPr>
        <w:t>company</w:t>
      </w:r>
      <w:r w:rsidRPr="00582553">
        <w:rPr>
          <w:rFonts w:ascii="Times New Roman" w:hAnsi="Times New Roman" w:cs="Times New Roman"/>
          <w:sz w:val="18"/>
          <w:szCs w:val="18"/>
        </w:rPr>
        <w:t xml:space="preserve"> is listed on the stock exchange, they are unlikely to be controlled by a third country government. The assessment would need to be </w:t>
      </w:r>
      <w:r w:rsidRPr="00582553">
        <w:rPr>
          <w:rFonts w:ascii="Times New Roman" w:hAnsi="Times New Roman" w:cs="Times New Roman"/>
          <w:sz w:val="18"/>
          <w:szCs w:val="18"/>
          <w:lang w:val="en-IE"/>
        </w:rPr>
        <w:t>made</w:t>
      </w:r>
      <w:r w:rsidRPr="00582553">
        <w:rPr>
          <w:rFonts w:ascii="Times New Roman" w:hAnsi="Times New Roman" w:cs="Times New Roman"/>
          <w:sz w:val="18"/>
          <w:szCs w:val="18"/>
        </w:rPr>
        <w:t xml:space="preserve"> on whether they are acting based on instruction from a third country government.</w:t>
      </w:r>
    </w:p>
  </w:footnote>
  <w:footnote w:id="241">
    <w:p w14:paraId="6BBFC789" w14:textId="3FF84090" w:rsidR="00ED0F5C" w:rsidRPr="00582553" w:rsidRDefault="00ED0F5C"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See note </w:t>
      </w:r>
      <w:r w:rsidRPr="00582553">
        <w:rPr>
          <w:rFonts w:ascii="Times New Roman" w:hAnsi="Times New Roman" w:cs="Times New Roman"/>
          <w:sz w:val="18"/>
          <w:szCs w:val="18"/>
          <w:lang w:val="en-IE"/>
        </w:rPr>
        <w:fldChar w:fldCharType="begin"/>
      </w:r>
      <w:r w:rsidRPr="00582553">
        <w:rPr>
          <w:rFonts w:ascii="Times New Roman" w:hAnsi="Times New Roman" w:cs="Times New Roman"/>
          <w:sz w:val="18"/>
          <w:szCs w:val="18"/>
          <w:lang w:val="en-IE"/>
        </w:rPr>
        <w:instrText xml:space="preserve"> NOTEREF _Ref147910343 \h  \* MERGEFORMAT </w:instrText>
      </w:r>
      <w:r w:rsidRPr="00582553">
        <w:rPr>
          <w:rFonts w:ascii="Times New Roman" w:hAnsi="Times New Roman" w:cs="Times New Roman"/>
          <w:sz w:val="18"/>
          <w:szCs w:val="18"/>
          <w:lang w:val="en-IE"/>
        </w:rPr>
      </w:r>
      <w:r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142</w:t>
      </w:r>
      <w:r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w:t>
      </w:r>
    </w:p>
  </w:footnote>
  <w:footnote w:id="242">
    <w:p w14:paraId="6FE3E72D" w14:textId="437F75FA" w:rsidR="008E3C4E" w:rsidRPr="00582553" w:rsidRDefault="008E3C4E"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A Regulation must be complied with fully by those to whom it applies and is directly applicable in Member States. This means that it applies directly after its entry into force in Member States, without needing to be transposed into national law, that can </w:t>
      </w:r>
      <w:r w:rsidRPr="00582553">
        <w:rPr>
          <w:rFonts w:ascii="Times New Roman" w:hAnsi="Times New Roman" w:cs="Times New Roman"/>
          <w:sz w:val="18"/>
          <w:szCs w:val="18"/>
          <w:lang w:val="en-IE"/>
        </w:rPr>
        <w:t>create</w:t>
      </w:r>
      <w:r w:rsidRPr="00582553">
        <w:rPr>
          <w:rFonts w:ascii="Times New Roman" w:hAnsi="Times New Roman" w:cs="Times New Roman"/>
          <w:sz w:val="18"/>
          <w:szCs w:val="18"/>
        </w:rPr>
        <w:t xml:space="preserve"> rights and obligations for individuals, who can therefore invoke it directly before national courts, and that it can be used as a reference by individuals in their relationship with other individuals, Member States and EU authorities.</w:t>
      </w:r>
    </w:p>
  </w:footnote>
  <w:footnote w:id="243">
    <w:p w14:paraId="44E27069" w14:textId="77777777" w:rsidR="008D4567" w:rsidRPr="00582553" w:rsidRDefault="008D456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The </w:t>
      </w:r>
      <w:r w:rsidRPr="00582553">
        <w:rPr>
          <w:rFonts w:ascii="Times New Roman" w:hAnsi="Times New Roman" w:cs="Times New Roman"/>
          <w:sz w:val="18"/>
          <w:szCs w:val="18"/>
          <w:lang w:val="en-IE"/>
        </w:rPr>
        <w:t>Commission</w:t>
      </w:r>
      <w:r w:rsidRPr="00582553">
        <w:rPr>
          <w:rFonts w:ascii="Times New Roman" w:hAnsi="Times New Roman" w:cs="Times New Roman"/>
          <w:sz w:val="18"/>
          <w:szCs w:val="18"/>
        </w:rPr>
        <w:t xml:space="preserve"> will present these reports to the European Parliament, the Council and the European Economic and Social Committee.</w:t>
      </w:r>
    </w:p>
  </w:footnote>
  <w:footnote w:id="244">
    <w:p w14:paraId="3886A036" w14:textId="34A39A3F" w:rsidR="005A0BFB" w:rsidRPr="00582553" w:rsidRDefault="005A0BFB"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r>
      <w:r w:rsidR="002965D2" w:rsidRPr="00582553">
        <w:rPr>
          <w:rFonts w:ascii="Times New Roman" w:hAnsi="Times New Roman" w:cs="Times New Roman"/>
          <w:sz w:val="18"/>
          <w:szCs w:val="18"/>
          <w:lang w:val="en-IE"/>
        </w:rPr>
        <w:t xml:space="preserve">The </w:t>
      </w:r>
      <w:r w:rsidRPr="00582553">
        <w:rPr>
          <w:rFonts w:ascii="Times New Roman" w:hAnsi="Times New Roman" w:cs="Times New Roman"/>
          <w:sz w:val="18"/>
          <w:szCs w:val="18"/>
          <w:lang w:val="en-IE"/>
        </w:rPr>
        <w:t xml:space="preserve">European Cooperation Network on Elections (ECNE) </w:t>
      </w:r>
      <w:r w:rsidR="00E961CF" w:rsidRPr="00582553">
        <w:rPr>
          <w:rFonts w:ascii="Times New Roman" w:hAnsi="Times New Roman" w:cs="Times New Roman"/>
          <w:sz w:val="18"/>
          <w:szCs w:val="18"/>
          <w:lang w:val="en-IE"/>
        </w:rPr>
        <w:t>brings together representatives of Member States’ authorities with competence in electoral matters and allows for concrete and practical exchanges on a range of topics relevant to ensuring free and fair elections. Meetings are organised by the Commission.</w:t>
      </w:r>
    </w:p>
  </w:footnote>
  <w:footnote w:id="245">
    <w:p w14:paraId="072C2B28" w14:textId="1A572A7F" w:rsidR="005B2B37" w:rsidRPr="00582553" w:rsidRDefault="005B2B3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866861" w:rsidRPr="00582553">
        <w:rPr>
          <w:rFonts w:ascii="Times New Roman" w:hAnsi="Times New Roman" w:cs="Times New Roman"/>
          <w:sz w:val="18"/>
          <w:szCs w:val="18"/>
        </w:rPr>
        <w:t>It could cover, for examples dispute liked to the obligation to register, to correct or delete data, or to contest acts</w:t>
      </w:r>
      <w:r w:rsidR="00F32D97" w:rsidRPr="00582553">
        <w:rPr>
          <w:rFonts w:ascii="Times New Roman" w:hAnsi="Times New Roman" w:cs="Times New Roman"/>
          <w:sz w:val="18"/>
          <w:szCs w:val="18"/>
        </w:rPr>
        <w:t xml:space="preserve"> taken</w:t>
      </w:r>
      <w:r w:rsidR="00866861" w:rsidRPr="00582553">
        <w:rPr>
          <w:rFonts w:ascii="Times New Roman" w:hAnsi="Times New Roman" w:cs="Times New Roman"/>
          <w:sz w:val="18"/>
          <w:szCs w:val="18"/>
        </w:rPr>
        <w:t xml:space="preserve"> by Member States supervisory authorities</w:t>
      </w:r>
      <w:r w:rsidR="00F32D97" w:rsidRPr="00582553">
        <w:rPr>
          <w:rFonts w:ascii="Times New Roman" w:hAnsi="Times New Roman" w:cs="Times New Roman"/>
          <w:sz w:val="18"/>
          <w:szCs w:val="18"/>
        </w:rPr>
        <w:t>.</w:t>
      </w:r>
    </w:p>
  </w:footnote>
  <w:footnote w:id="246">
    <w:p w14:paraId="1B99BA55" w14:textId="7EE7DEE0" w:rsidR="00AE4016" w:rsidRPr="00582553" w:rsidRDefault="00AE4016"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Fonts w:ascii="Times New Roman" w:eastAsia="Times New Roman" w:hAnsi="Times New Roman" w:cs="Times New Roman"/>
          <w:sz w:val="18"/>
          <w:szCs w:val="18"/>
          <w:lang w:val="en-IE"/>
        </w:rPr>
        <w:t xml:space="preserve">Flash </w:t>
      </w:r>
      <w:r w:rsidRPr="00582553">
        <w:rPr>
          <w:rFonts w:ascii="Times New Roman" w:hAnsi="Times New Roman" w:cs="Times New Roman"/>
          <w:sz w:val="18"/>
          <w:szCs w:val="18"/>
          <w:lang w:val="en-IE"/>
        </w:rPr>
        <w:t>Eurobarometer</w:t>
      </w:r>
      <w:r w:rsidRPr="00582553">
        <w:rPr>
          <w:rFonts w:ascii="Times New Roman" w:eastAsia="Times New Roman" w:hAnsi="Times New Roman" w:cs="Times New Roman"/>
          <w:sz w:val="18"/>
          <w:szCs w:val="18"/>
          <w:lang w:val="en-IE"/>
        </w:rPr>
        <w:t xml:space="preserve"> 528 on Citizenship and Democracy</w:t>
      </w:r>
      <w:r w:rsidR="00C477B3" w:rsidRPr="00582553">
        <w:rPr>
          <w:rFonts w:ascii="Times New Roman" w:eastAsia="Times New Roman" w:hAnsi="Times New Roman" w:cs="Times New Roman"/>
          <w:sz w:val="18"/>
          <w:szCs w:val="18"/>
          <w:lang w:val="en-IE"/>
        </w:rPr>
        <w:t>.</w:t>
      </w:r>
    </w:p>
  </w:footnote>
  <w:footnote w:id="247">
    <w:p w14:paraId="51B90ACF" w14:textId="77777777" w:rsidR="00D7576F" w:rsidRPr="00582553" w:rsidRDefault="00D7576F"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003134A2" w:rsidRPr="00582553">
        <w:rPr>
          <w:rFonts w:ascii="Times New Roman" w:hAnsi="Times New Roman" w:cs="Times New Roman"/>
          <w:sz w:val="18"/>
          <w:szCs w:val="18"/>
          <w:lang w:val="en-IE"/>
        </w:rPr>
        <w:t xml:space="preserve"> </w:t>
      </w:r>
      <w:r w:rsidR="003134A2" w:rsidRPr="00582553">
        <w:rPr>
          <w:rFonts w:ascii="Times New Roman" w:hAnsi="Times New Roman" w:cs="Times New Roman"/>
          <w:sz w:val="18"/>
          <w:szCs w:val="18"/>
          <w:lang w:val="en-IE"/>
        </w:rPr>
        <w:tab/>
      </w:r>
      <w:r w:rsidR="00397065" w:rsidRPr="00582553">
        <w:rPr>
          <w:rFonts w:ascii="Times New Roman" w:hAnsi="Times New Roman" w:cs="Times New Roman"/>
          <w:sz w:val="18"/>
          <w:szCs w:val="18"/>
          <w:lang w:val="en-IE"/>
        </w:rPr>
        <w:t>These letters and position papers were for instance received from t</w:t>
      </w:r>
      <w:r w:rsidRPr="00582553">
        <w:rPr>
          <w:rFonts w:ascii="Times New Roman" w:hAnsi="Times New Roman" w:cs="Times New Roman"/>
          <w:sz w:val="18"/>
          <w:szCs w:val="18"/>
          <w:lang w:val="en-IE"/>
        </w:rPr>
        <w:t>he European Broadcasting Union (EBU), Transparency International EU, European Civic Forum (ECF</w:t>
      </w:r>
      <w:r w:rsidR="00AA362B" w:rsidRPr="00582553">
        <w:rPr>
          <w:rFonts w:ascii="Times New Roman" w:hAnsi="Times New Roman" w:cs="Times New Roman"/>
          <w:sz w:val="18"/>
          <w:szCs w:val="18"/>
          <w:lang w:val="en-IE"/>
        </w:rPr>
        <w:t>; along with 230 civil society organisations</w:t>
      </w:r>
      <w:r w:rsidRPr="00582553">
        <w:rPr>
          <w:rFonts w:ascii="Times New Roman" w:hAnsi="Times New Roman" w:cs="Times New Roman"/>
          <w:sz w:val="18"/>
          <w:szCs w:val="18"/>
          <w:lang w:val="en-IE"/>
        </w:rPr>
        <w:t>), Civil Society Europe</w:t>
      </w:r>
      <w:r w:rsidR="007616BF" w:rsidRPr="00582553">
        <w:rPr>
          <w:rFonts w:ascii="Times New Roman" w:hAnsi="Times New Roman" w:cs="Times New Roman"/>
          <w:sz w:val="18"/>
          <w:szCs w:val="18"/>
          <w:lang w:val="en-IE"/>
        </w:rPr>
        <w:t xml:space="preserve"> (CSE, along with</w:t>
      </w:r>
      <w:r w:rsidR="0029759A" w:rsidRPr="00582553">
        <w:rPr>
          <w:rFonts w:ascii="Times New Roman" w:hAnsi="Times New Roman" w:cs="Times New Roman"/>
          <w:sz w:val="18"/>
          <w:szCs w:val="18"/>
          <w:lang w:val="en-IE"/>
        </w:rPr>
        <w:t xml:space="preserve"> 12 civil society organisations)</w:t>
      </w:r>
      <w:r w:rsidRPr="00582553">
        <w:rPr>
          <w:rFonts w:ascii="Times New Roman" w:hAnsi="Times New Roman" w:cs="Times New Roman"/>
          <w:sz w:val="18"/>
          <w:szCs w:val="18"/>
          <w:lang w:val="en-IE"/>
        </w:rPr>
        <w:t xml:space="preserve">, </w:t>
      </w:r>
      <w:r w:rsidR="00F301C3" w:rsidRPr="00582553">
        <w:rPr>
          <w:rFonts w:ascii="Times New Roman" w:hAnsi="Times New Roman" w:cs="Times New Roman"/>
          <w:sz w:val="18"/>
          <w:szCs w:val="18"/>
          <w:lang w:val="en-IE"/>
        </w:rPr>
        <w:t>European Partnership for Democracy (</w:t>
      </w:r>
      <w:r w:rsidR="00397065" w:rsidRPr="00582553">
        <w:rPr>
          <w:rFonts w:ascii="Times New Roman" w:hAnsi="Times New Roman" w:cs="Times New Roman"/>
          <w:sz w:val="18"/>
          <w:szCs w:val="18"/>
          <w:lang w:val="en-IE"/>
        </w:rPr>
        <w:t xml:space="preserve">EPD, along with 47 civil society organisations), and </w:t>
      </w:r>
      <w:r w:rsidRPr="00582553">
        <w:rPr>
          <w:rFonts w:ascii="Times New Roman" w:hAnsi="Times New Roman" w:cs="Times New Roman"/>
          <w:sz w:val="18"/>
          <w:szCs w:val="18"/>
          <w:lang w:val="en-IE"/>
        </w:rPr>
        <w:t xml:space="preserve">Philea. </w:t>
      </w:r>
    </w:p>
  </w:footnote>
  <w:footnote w:id="248">
    <w:p w14:paraId="07658F6C" w14:textId="77777777" w:rsidR="009F2422" w:rsidRPr="00582553" w:rsidRDefault="009F2422"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DE (5,676 registrants), FR (2,604 registrants) and IE (2,454 registrants) are the countries with the most registrants; they also comprise a significant proportion (88%) of the total registrants across these 9 countries.</w:t>
      </w:r>
    </w:p>
  </w:footnote>
  <w:footnote w:id="249">
    <w:p w14:paraId="5E3BC4ED" w14:textId="1E5C9EC2" w:rsidR="009F2422" w:rsidRPr="00582553" w:rsidRDefault="009F2422"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McGann, J. G., ‘2020 Global Go To Think Tank Index Report’, </w:t>
      </w:r>
      <w:r w:rsidRPr="00582553">
        <w:rPr>
          <w:rFonts w:ascii="Times New Roman" w:hAnsi="Times New Roman" w:cs="Times New Roman"/>
          <w:i/>
          <w:sz w:val="18"/>
          <w:szCs w:val="18"/>
          <w:lang w:val="en-IE"/>
        </w:rPr>
        <w:t>Global Go To Think Tank Index,</w:t>
      </w:r>
      <w:r w:rsidRPr="00582553">
        <w:rPr>
          <w:rFonts w:ascii="Times New Roman" w:hAnsi="Times New Roman" w:cs="Times New Roman"/>
          <w:sz w:val="18"/>
          <w:szCs w:val="18"/>
          <w:lang w:val="en-IE"/>
        </w:rPr>
        <w:t xml:space="preserve"> University of Pennsylvania, Scholarly Commons TTCSP, , Reports Think Tanks and Civil Societies Program (TTCSP), 2021, available at </w:t>
      </w:r>
      <w:hyperlink r:id="rId39" w:history="1">
        <w:r w:rsidRPr="00582553">
          <w:rPr>
            <w:rStyle w:val="Hyperlink"/>
            <w:rFonts w:ascii="Times New Roman" w:hAnsi="Times New Roman" w:cs="Times New Roman"/>
            <w:sz w:val="18"/>
            <w:szCs w:val="18"/>
            <w:lang w:val="en-IE"/>
          </w:rPr>
          <w:t>2020 Global Go To Think Tank Index Report (delegfrance.org)</w:t>
        </w:r>
      </w:hyperlink>
      <w:r w:rsidRPr="00582553">
        <w:rPr>
          <w:rFonts w:ascii="Times New Roman" w:hAnsi="Times New Roman" w:cs="Times New Roman"/>
          <w:sz w:val="18"/>
          <w:szCs w:val="18"/>
          <w:lang w:val="en-IE"/>
        </w:rPr>
        <w:t xml:space="preserve"> and </w:t>
      </w:r>
      <w:hyperlink r:id="rId40" w:history="1">
        <w:r w:rsidRPr="00582553">
          <w:rPr>
            <w:rStyle w:val="Hyperlink"/>
            <w:rFonts w:ascii="Times New Roman" w:hAnsi="Times New Roman" w:cs="Times New Roman"/>
            <w:sz w:val="18"/>
            <w:szCs w:val="18"/>
            <w:lang w:val="en-IE"/>
          </w:rPr>
          <w:t>https://repository.upenn.edu/think_tanks</w:t>
        </w:r>
      </w:hyperlink>
      <w:r w:rsidRPr="00582553">
        <w:rPr>
          <w:rStyle w:val="Hyperlink"/>
          <w:rFonts w:ascii="Times New Roman" w:hAnsi="Times New Roman" w:cs="Times New Roman"/>
          <w:sz w:val="18"/>
          <w:szCs w:val="18"/>
          <w:lang w:val="en-IE"/>
        </w:rPr>
        <w:t>.</w:t>
      </w:r>
      <w:r w:rsidRPr="00582553">
        <w:rPr>
          <w:rFonts w:ascii="Times New Roman" w:hAnsi="Times New Roman" w:cs="Times New Roman"/>
          <w:sz w:val="18"/>
          <w:szCs w:val="18"/>
          <w:lang w:val="en-IE"/>
        </w:rPr>
        <w:t xml:space="preserve"> </w:t>
      </w:r>
    </w:p>
  </w:footnote>
  <w:footnote w:id="250">
    <w:p w14:paraId="35FE95C2" w14:textId="77777777" w:rsidR="009F2422" w:rsidRPr="00582553" w:rsidRDefault="009F2422"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AUTONOMOUS AND INDEPENDENT: Significant independence from any one interest group or donor, and autonomous in its operation and funding from government. QUASI-INDEPENDENT: Autonomous from government but controlled by an interest group, donor or contracting agency that provides most of the funding and has significant influence over operations of the think tank. GOVERNMENT-AFFILIATED: A part of the formal structure of government. QUASI-GOVERNMENTAL: Funded exclusively by government grants and contracts but not a part of the formal structure of government. UNIVERSITY-AFFILIATED: A policy research center at a university. POLITICAL-PARTY AFFILIATED: Formally affiliated with a political party. CORPORATE (FOR-PROFIT): A for-profit public policy research organization, affiliated with a corporation or merely operating on a for-profit basis.</w:t>
      </w:r>
    </w:p>
  </w:footnote>
  <w:footnote w:id="251">
    <w:p w14:paraId="4D2119B0" w14:textId="49F2E3D0" w:rsidR="00A046DD" w:rsidRPr="00582553" w:rsidRDefault="00A046DD"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170B16">
        <w:rPr>
          <w:rFonts w:ascii="Times New Roman" w:hAnsi="Times New Roman" w:cs="Times New Roman"/>
          <w:sz w:val="18"/>
          <w:szCs w:val="18"/>
        </w:rPr>
        <w:tab/>
      </w:r>
      <w:r w:rsidRPr="00582553">
        <w:rPr>
          <w:rFonts w:ascii="Times New Roman" w:hAnsi="Times New Roman" w:cs="Times New Roman"/>
          <w:sz w:val="18"/>
          <w:szCs w:val="18"/>
        </w:rPr>
        <w:t>While a register exists in BE, there is currently no IT tool; instead, the register is published as a PDF document. As such, it is assumed that the BE authorities would need to develop a new IT tool.</w:t>
      </w:r>
    </w:p>
  </w:footnote>
  <w:footnote w:id="252">
    <w:p w14:paraId="09E34185" w14:textId="77777777" w:rsidR="00A046DD" w:rsidRPr="00582553" w:rsidRDefault="00A046DD"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While a register exists in BE, there is currently no IT tool; instead, the register is published as a PDF document. As such, it is assumed that the BE authorities would need to develop a new IT tool.</w:t>
      </w:r>
    </w:p>
  </w:footnote>
  <w:footnote w:id="253">
    <w:p w14:paraId="6E5530DA" w14:textId="4AB14AFF" w:rsidR="00A046DD" w:rsidRPr="00582553" w:rsidRDefault="00A046DD"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‘Lobbying und Interessenvertretungs Register’ (‘Lobbying and advocacy register’), Rechnungshof Österreich, </w:t>
      </w:r>
      <w:r w:rsidRPr="00582553">
        <w:rPr>
          <w:rFonts w:ascii="Times New Roman" w:hAnsi="Times New Roman" w:cs="Times New Roman"/>
          <w:sz w:val="18"/>
          <w:szCs w:val="18"/>
          <w:lang w:val="en-IE"/>
        </w:rPr>
        <w:t xml:space="preserve">Bericht – Federal Court of Auditors, </w:t>
      </w:r>
      <w:r w:rsidRPr="00582553">
        <w:rPr>
          <w:rFonts w:ascii="Times New Roman" w:hAnsi="Times New Roman" w:cs="Times New Roman"/>
          <w:sz w:val="18"/>
          <w:szCs w:val="18"/>
        </w:rPr>
        <w:t xml:space="preserve">2019, available at:  </w:t>
      </w:r>
      <w:hyperlink r:id="rId41" w:history="1">
        <w:r w:rsidRPr="00582553">
          <w:rPr>
            <w:rStyle w:val="Hyperlink"/>
            <w:rFonts w:ascii="Times New Roman" w:hAnsi="Times New Roman" w:cs="Times New Roman"/>
            <w:sz w:val="18"/>
            <w:szCs w:val="18"/>
          </w:rPr>
          <w:t>https://www.rechnungshof.gv.at/rh/home/home/BUND_2019_45_Lobbying_Register.pdf</w:t>
        </w:r>
      </w:hyperlink>
      <w:r w:rsidRPr="00582553">
        <w:rPr>
          <w:rFonts w:ascii="Times New Roman" w:hAnsi="Times New Roman" w:cs="Times New Roman"/>
          <w:sz w:val="18"/>
          <w:szCs w:val="18"/>
        </w:rPr>
        <w:t>.</w:t>
      </w:r>
    </w:p>
  </w:footnote>
  <w:footnote w:id="254">
    <w:p w14:paraId="55401B79" w14:textId="77777777" w:rsidR="00A046DD" w:rsidRPr="00582553" w:rsidRDefault="00A046DD"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While a register exists in BE, there is currently no IT tool; instead, the register is published as a PDF document. As such, it is assumed that the BE authorities would need to develop a new IT tool.</w:t>
      </w:r>
    </w:p>
  </w:footnote>
  <w:footnote w:id="255">
    <w:p w14:paraId="46B46303"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Regulated at regional level.</w:t>
      </w:r>
    </w:p>
  </w:footnote>
  <w:footnote w:id="256">
    <w:p w14:paraId="11474176"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While relevant provisions are found in various laws, these are not specifically addressed to lobbying by third countries and illegal activities specifically in the context of foreign influence lobbying are not defined.</w:t>
      </w:r>
    </w:p>
  </w:footnote>
  <w:footnote w:id="257">
    <w:p w14:paraId="75A6F766" w14:textId="0A3F62E6"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4A5856" w:rsidRPr="00582553">
        <w:rPr>
          <w:rFonts w:ascii="Times New Roman" w:hAnsi="Times New Roman" w:cs="Times New Roman"/>
          <w:sz w:val="18"/>
          <w:szCs w:val="18"/>
          <w:lang w:val="en-IE"/>
        </w:rPr>
        <w:t>RO</w:t>
      </w:r>
      <w:r w:rsidRPr="00582553">
        <w:rPr>
          <w:rFonts w:ascii="Times New Roman" w:hAnsi="Times New Roman" w:cs="Times New Roman"/>
          <w:sz w:val="18"/>
          <w:szCs w:val="18"/>
          <w:lang w:val="en-IE"/>
        </w:rPr>
        <w:t xml:space="preserve"> does not currently have specialized legislation regulating foreign lobbying activities, but it does have some secondary legislation concerning lobbying (although this term is not specifically used).</w:t>
      </w:r>
    </w:p>
  </w:footnote>
  <w:footnote w:id="258">
    <w:p w14:paraId="216DF25A" w14:textId="23B0095A"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Registration is mandatory only for those lobbyists who are contacting representatives of the </w:t>
      </w:r>
      <w:r w:rsidR="004A5856" w:rsidRPr="00582553">
        <w:rPr>
          <w:rFonts w:ascii="Times New Roman" w:hAnsi="Times New Roman" w:cs="Times New Roman"/>
          <w:sz w:val="18"/>
          <w:szCs w:val="18"/>
          <w:lang w:val="en-IE"/>
        </w:rPr>
        <w:t xml:space="preserve">DE </w:t>
      </w:r>
      <w:r w:rsidRPr="00582553">
        <w:rPr>
          <w:rFonts w:ascii="Times New Roman" w:hAnsi="Times New Roman" w:cs="Times New Roman"/>
          <w:sz w:val="18"/>
          <w:szCs w:val="18"/>
          <w:lang w:val="en-IE"/>
        </w:rPr>
        <w:t xml:space="preserve">Bundestag and/or </w:t>
      </w:r>
      <w:r w:rsidR="004A5856" w:rsidRPr="00582553">
        <w:rPr>
          <w:rFonts w:ascii="Times New Roman" w:hAnsi="Times New Roman" w:cs="Times New Roman"/>
          <w:sz w:val="18"/>
          <w:szCs w:val="18"/>
          <w:lang w:val="en-IE"/>
        </w:rPr>
        <w:t xml:space="preserve">DE </w:t>
      </w:r>
      <w:r w:rsidRPr="00582553">
        <w:rPr>
          <w:rFonts w:ascii="Times New Roman" w:hAnsi="Times New Roman" w:cs="Times New Roman"/>
          <w:sz w:val="18"/>
          <w:szCs w:val="18"/>
          <w:lang w:val="en-IE"/>
        </w:rPr>
        <w:t>Federal government. In addition to the mandatory requirement of registration, the Lobby Register Act contains a long list of those who may register voluntarily.</w:t>
      </w:r>
    </w:p>
  </w:footnote>
  <w:footnote w:id="259">
    <w:p w14:paraId="11F7288F" w14:textId="0B63D9D3"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There is no special transparency register related to </w:t>
      </w:r>
      <w:r w:rsidR="00A57FBF">
        <w:rPr>
          <w:rFonts w:ascii="Times New Roman" w:hAnsi="Times New Roman" w:cs="Times New Roman"/>
          <w:sz w:val="18"/>
          <w:szCs w:val="18"/>
          <w:lang w:val="en-IE"/>
        </w:rPr>
        <w:t xml:space="preserve">interest representation activities carried out on behalf of third countries </w:t>
      </w:r>
      <w:r w:rsidRPr="00582553">
        <w:rPr>
          <w:rFonts w:ascii="Times New Roman" w:hAnsi="Times New Roman" w:cs="Times New Roman"/>
          <w:sz w:val="18"/>
          <w:szCs w:val="18"/>
          <w:lang w:val="en-IE"/>
        </w:rPr>
        <w:t xml:space="preserve">in </w:t>
      </w:r>
      <w:r w:rsidR="004A5856" w:rsidRPr="00582553">
        <w:rPr>
          <w:rFonts w:ascii="Times New Roman" w:hAnsi="Times New Roman" w:cs="Times New Roman"/>
          <w:sz w:val="18"/>
          <w:szCs w:val="18"/>
          <w:lang w:val="en-IE"/>
        </w:rPr>
        <w:t>RO</w:t>
      </w:r>
      <w:r w:rsidRPr="00582553">
        <w:rPr>
          <w:rFonts w:ascii="Times New Roman" w:hAnsi="Times New Roman" w:cs="Times New Roman"/>
          <w:sz w:val="18"/>
          <w:szCs w:val="18"/>
          <w:lang w:val="en-IE"/>
        </w:rPr>
        <w:t xml:space="preserve">. However, there is a Sole Register of Interests Transparency, which is a governmental online platform (website) administered by the General Secretariat of the </w:t>
      </w:r>
      <w:r w:rsidR="004A5856" w:rsidRPr="00582553">
        <w:rPr>
          <w:rFonts w:ascii="Times New Roman" w:hAnsi="Times New Roman" w:cs="Times New Roman"/>
          <w:sz w:val="18"/>
          <w:szCs w:val="18"/>
          <w:lang w:val="en-IE"/>
        </w:rPr>
        <w:t xml:space="preserve">RO </w:t>
      </w:r>
      <w:r w:rsidRPr="00582553">
        <w:rPr>
          <w:rFonts w:ascii="Times New Roman" w:hAnsi="Times New Roman" w:cs="Times New Roman"/>
          <w:sz w:val="18"/>
          <w:szCs w:val="18"/>
          <w:lang w:val="en-IE"/>
        </w:rPr>
        <w:t>Government, by means of which decision-makers register their meetings with specialised groups who manifest, of their own initiative, their interest for a certain field falling under the prerogatives of the central and/or local public administration, for the purpose of promoting a public policy initiative.</w:t>
      </w:r>
    </w:p>
  </w:footnote>
  <w:footnote w:id="260">
    <w:p w14:paraId="76CE006D"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At the regional level.</w:t>
      </w:r>
    </w:p>
  </w:footnote>
  <w:footnote w:id="261">
    <w:p w14:paraId="57F34564"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The Travel Register and The Register for Side Activities are public.</w:t>
      </w:r>
    </w:p>
  </w:footnote>
  <w:footnote w:id="262">
    <w:p w14:paraId="2DBE2115" w14:textId="77777777" w:rsidR="00BB7451" w:rsidRPr="00582553" w:rsidRDefault="00BB7451"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However, access to data on clients of lobbyists and on principals of lobbyists is limited.</w:t>
      </w:r>
    </w:p>
  </w:footnote>
  <w:footnote w:id="263">
    <w:p w14:paraId="2AB9E778"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Semi-annual reports.</w:t>
      </w:r>
    </w:p>
  </w:footnote>
  <w:footnote w:id="264">
    <w:p w14:paraId="38F1ADC7"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A lobbyist shall declare lobbying activities by submitting a declaration of transparent legislative processes for each draft legal act.</w:t>
      </w:r>
    </w:p>
  </w:footnote>
  <w:footnote w:id="265">
    <w:p w14:paraId="2AA47433" w14:textId="4F234C87" w:rsidR="0005333A" w:rsidRPr="00582553" w:rsidRDefault="0005333A" w:rsidP="00582553">
      <w:pPr>
        <w:pStyle w:val="FootnoteText"/>
        <w:spacing w:after="0"/>
        <w:ind w:left="284" w:hanging="284"/>
        <w:rPr>
          <w:rFonts w:ascii="Times New Roman" w:hAnsi="Times New Roman" w:cs="Times New Roman"/>
          <w:sz w:val="18"/>
          <w:szCs w:val="18"/>
          <w:lang w:val="de-AT"/>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de-AT"/>
        </w:rPr>
        <w:t xml:space="preserve"> </w:t>
      </w:r>
      <w:r w:rsidRPr="00582553">
        <w:rPr>
          <w:rFonts w:ascii="Times New Roman" w:hAnsi="Times New Roman" w:cs="Times New Roman"/>
          <w:sz w:val="18"/>
          <w:szCs w:val="18"/>
          <w:lang w:val="de-AT"/>
        </w:rPr>
        <w:tab/>
      </w:r>
      <w:r w:rsidR="006362DC" w:rsidRPr="00582553">
        <w:rPr>
          <w:rFonts w:ascii="Times New Roman" w:hAnsi="Times New Roman" w:cs="Times New Roman"/>
          <w:sz w:val="18"/>
          <w:szCs w:val="18"/>
          <w:lang w:val="de-AT"/>
        </w:rPr>
        <w:t>‘</w:t>
      </w:r>
      <w:r w:rsidRPr="00582553">
        <w:rPr>
          <w:rFonts w:ascii="Times New Roman" w:hAnsi="Times New Roman" w:cs="Times New Roman"/>
          <w:sz w:val="18"/>
          <w:szCs w:val="18"/>
          <w:lang w:val="de-AT"/>
        </w:rPr>
        <w:t>Federal Act on Ensuring Transparency in the Exercise of Political and Economic Interests (Lobby law)</w:t>
      </w:r>
      <w:r w:rsidR="006362DC" w:rsidRPr="00582553">
        <w:rPr>
          <w:rFonts w:ascii="Times New Roman" w:hAnsi="Times New Roman" w:cs="Times New Roman"/>
          <w:sz w:val="18"/>
          <w:szCs w:val="18"/>
          <w:lang w:val="de-AT"/>
        </w:rPr>
        <w:t>‘</w:t>
      </w:r>
      <w:r w:rsidRPr="00582553">
        <w:rPr>
          <w:rFonts w:ascii="Times New Roman" w:hAnsi="Times New Roman" w:cs="Times New Roman"/>
          <w:sz w:val="18"/>
          <w:szCs w:val="18"/>
          <w:lang w:val="de-AT"/>
        </w:rPr>
        <w:t xml:space="preserve"> (Bundesgesetz zur Sicherung der Transparenz bei der Wahrnehmung politischer und wirtschaftlicher Interessen (Lobbying- und Interessenvertretungs-Transparenz-Gesetz – LobbyG))</w:t>
      </w:r>
      <w:r w:rsidR="00366AE8" w:rsidRPr="00582553">
        <w:rPr>
          <w:rFonts w:ascii="Times New Roman" w:hAnsi="Times New Roman" w:cs="Times New Roman"/>
          <w:sz w:val="18"/>
          <w:szCs w:val="18"/>
          <w:lang w:val="de-AT"/>
        </w:rPr>
        <w:t>,</w:t>
      </w:r>
      <w:r w:rsidRPr="00582553">
        <w:rPr>
          <w:rFonts w:ascii="Times New Roman" w:hAnsi="Times New Roman" w:cs="Times New Roman"/>
          <w:sz w:val="18"/>
          <w:szCs w:val="18"/>
          <w:lang w:val="de-AT"/>
        </w:rPr>
        <w:t xml:space="preserve"> 2012, available at: </w:t>
      </w:r>
      <w:hyperlink r:id="rId42" w:history="1">
        <w:r w:rsidRPr="00582553">
          <w:rPr>
            <w:rStyle w:val="Hyperlink"/>
            <w:rFonts w:ascii="Times New Roman" w:hAnsi="Times New Roman" w:cs="Times New Roman"/>
            <w:sz w:val="18"/>
            <w:szCs w:val="18"/>
            <w:lang w:val="de-AT"/>
          </w:rPr>
          <w:t>https://www.ris.bka.gv.at/GeltendeFassung.wxe?Abfrage=Bundesnormen&amp;Gesetzesnummer=20007924</w:t>
        </w:r>
      </w:hyperlink>
      <w:r w:rsidRPr="00582553">
        <w:rPr>
          <w:rFonts w:ascii="Times New Roman" w:hAnsi="Times New Roman" w:cs="Times New Roman"/>
          <w:sz w:val="18"/>
          <w:szCs w:val="18"/>
          <w:lang w:val="de-AT"/>
        </w:rPr>
        <w:t>.</w:t>
      </w:r>
    </w:p>
  </w:footnote>
  <w:footnote w:id="266">
    <w:p w14:paraId="020A9841" w14:textId="15EB37E8"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9 in conjunction with § 4 Lobby Law Vademecum to the Lobby Law (Section 6)</w:t>
      </w:r>
      <w:r w:rsidR="004A5856" w:rsidRPr="00582553">
        <w:rPr>
          <w:rFonts w:ascii="Times New Roman" w:hAnsi="Times New Roman" w:cs="Times New Roman"/>
          <w:sz w:val="18"/>
          <w:szCs w:val="18"/>
          <w:lang w:val="en-IE"/>
        </w:rPr>
        <w:t>.</w:t>
      </w:r>
    </w:p>
  </w:footnote>
  <w:footnote w:id="267">
    <w:p w14:paraId="6B7FB347" w14:textId="45D4A1A3"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Confirmed in interviews conducted with Austrian stakeholders</w:t>
      </w:r>
      <w:r w:rsidR="004A5856" w:rsidRPr="00582553">
        <w:rPr>
          <w:rFonts w:ascii="Times New Roman" w:hAnsi="Times New Roman" w:cs="Times New Roman"/>
          <w:sz w:val="18"/>
          <w:szCs w:val="18"/>
          <w:lang w:val="en-IE"/>
        </w:rPr>
        <w:t>.</w:t>
      </w:r>
    </w:p>
  </w:footnote>
  <w:footnote w:id="268">
    <w:p w14:paraId="128A3F9B" w14:textId="45709A9A" w:rsidR="0005333A" w:rsidRPr="00D353EB" w:rsidRDefault="0005333A" w:rsidP="00D353EB">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00D353EB">
        <w:rPr>
          <w:rFonts w:ascii="Times New Roman" w:hAnsi="Times New Roman" w:cs="Times New Roman"/>
          <w:sz w:val="18"/>
          <w:szCs w:val="18"/>
          <w:lang w:val="en-IE"/>
        </w:rPr>
        <w:t xml:space="preserve"> </w:t>
      </w:r>
      <w:r w:rsidR="00D353EB">
        <w:rPr>
          <w:rFonts w:ascii="Times New Roman" w:hAnsi="Times New Roman" w:cs="Times New Roman"/>
          <w:sz w:val="18"/>
          <w:szCs w:val="18"/>
          <w:lang w:val="en-IE"/>
        </w:rPr>
        <w:tab/>
      </w:r>
      <w:r w:rsidR="00954DE7" w:rsidRPr="00582553">
        <w:rPr>
          <w:rFonts w:ascii="Times New Roman" w:hAnsi="Times New Roman" w:cs="Times New Roman"/>
          <w:sz w:val="18"/>
          <w:szCs w:val="18"/>
          <w:lang w:val="en-IE"/>
        </w:rPr>
        <w:t xml:space="preserve">‘The Austrian Transparency Act 2013 for Lobbying and Interest Representation’, </w:t>
      </w:r>
      <w:r w:rsidR="0030672A" w:rsidRPr="00582553">
        <w:rPr>
          <w:rFonts w:ascii="Times New Roman" w:hAnsi="Times New Roman" w:cs="Times New Roman"/>
          <w:sz w:val="18"/>
          <w:szCs w:val="18"/>
          <w:lang w:val="en-IE"/>
        </w:rPr>
        <w:t>A</w:t>
      </w:r>
      <w:r w:rsidR="00366AE8" w:rsidRPr="00582553">
        <w:rPr>
          <w:rFonts w:ascii="Times New Roman" w:hAnsi="Times New Roman" w:cs="Times New Roman"/>
          <w:sz w:val="18"/>
          <w:szCs w:val="18"/>
          <w:lang w:val="en-IE"/>
        </w:rPr>
        <w:t>ustrian</w:t>
      </w:r>
      <w:r w:rsidR="0030672A" w:rsidRPr="00582553">
        <w:rPr>
          <w:rFonts w:ascii="Times New Roman" w:hAnsi="Times New Roman" w:cs="Times New Roman"/>
          <w:sz w:val="18"/>
          <w:szCs w:val="18"/>
          <w:lang w:val="en-IE"/>
        </w:rPr>
        <w:t xml:space="preserve"> </w:t>
      </w:r>
      <w:r w:rsidR="00954DE7" w:rsidRPr="00582553">
        <w:rPr>
          <w:rFonts w:ascii="Times New Roman" w:hAnsi="Times New Roman" w:cs="Times New Roman"/>
          <w:sz w:val="18"/>
          <w:szCs w:val="18"/>
          <w:lang w:val="en-IE"/>
        </w:rPr>
        <w:t xml:space="preserve">Federal Ministry of </w:t>
      </w:r>
      <w:r w:rsidRPr="00582553" w:rsidDel="0030672A">
        <w:rPr>
          <w:rFonts w:ascii="Times New Roman" w:hAnsi="Times New Roman" w:cs="Times New Roman"/>
          <w:sz w:val="18"/>
          <w:szCs w:val="18"/>
          <w:lang w:val="en-IE"/>
        </w:rPr>
        <w:t>Justice</w:t>
      </w:r>
      <w:r w:rsidRPr="00582553">
        <w:rPr>
          <w:rFonts w:ascii="Times New Roman" w:hAnsi="Times New Roman" w:cs="Times New Roman"/>
          <w:sz w:val="18"/>
          <w:szCs w:val="18"/>
          <w:lang w:val="en-IE"/>
        </w:rPr>
        <w:t>,</w:t>
      </w:r>
      <w:r w:rsidR="0030672A" w:rsidRPr="00582553">
        <w:rPr>
          <w:rFonts w:ascii="Times New Roman" w:hAnsi="Times New Roman" w:cs="Times New Roman"/>
          <w:sz w:val="18"/>
          <w:szCs w:val="18"/>
          <w:lang w:val="en-IE"/>
        </w:rPr>
        <w:t xml:space="preserve"> 2014, available at: </w:t>
      </w:r>
      <w:hyperlink r:id="rId43" w:history="1">
        <w:r w:rsidR="00D911E5" w:rsidRPr="00582553">
          <w:rPr>
            <w:rStyle w:val="Hyperlink"/>
            <w:rFonts w:ascii="Times New Roman" w:hAnsi="Times New Roman" w:cs="Times New Roman"/>
            <w:sz w:val="18"/>
            <w:szCs w:val="18"/>
            <w:lang w:val="en-IE"/>
          </w:rPr>
          <w:t>https://www.bmj.gv.at/dam/jcr:99f2bda7-4e79-4e7d-8b10-975c64cf0374/report_on_the_austrian_transparency_act2013.pdf</w:t>
        </w:r>
      </w:hyperlink>
      <w:r w:rsidR="00280DF9" w:rsidRPr="00582553">
        <w:rPr>
          <w:rFonts w:ascii="Times New Roman" w:hAnsi="Times New Roman" w:cs="Times New Roman"/>
          <w:sz w:val="18"/>
          <w:szCs w:val="18"/>
        </w:rPr>
        <w:t>.</w:t>
      </w:r>
    </w:p>
  </w:footnote>
  <w:footnote w:id="269">
    <w:p w14:paraId="2D77A324" w14:textId="10A82782"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366AE8" w:rsidRPr="00582553">
        <w:rPr>
          <w:rFonts w:ascii="Times New Roman" w:hAnsi="Times New Roman" w:cs="Times New Roman"/>
          <w:sz w:val="18"/>
          <w:szCs w:val="18"/>
          <w:lang w:val="en-IE"/>
        </w:rPr>
        <w:t>See note</w:t>
      </w:r>
      <w:r w:rsidR="006C55C0" w:rsidRPr="00582553">
        <w:rPr>
          <w:rFonts w:ascii="Times New Roman" w:hAnsi="Times New Roman" w:cs="Times New Roman"/>
          <w:sz w:val="18"/>
          <w:szCs w:val="18"/>
          <w:lang w:val="en-IE"/>
        </w:rPr>
        <w:t xml:space="preserve"> </w:t>
      </w:r>
      <w:r w:rsidR="006C55C0" w:rsidRPr="00582553">
        <w:rPr>
          <w:rFonts w:ascii="Times New Roman" w:hAnsi="Times New Roman" w:cs="Times New Roman"/>
          <w:sz w:val="18"/>
          <w:szCs w:val="18"/>
          <w:lang w:val="en-IE"/>
        </w:rPr>
        <w:fldChar w:fldCharType="begin"/>
      </w:r>
      <w:r w:rsidR="006C55C0" w:rsidRPr="00582553">
        <w:rPr>
          <w:rFonts w:ascii="Times New Roman" w:hAnsi="Times New Roman" w:cs="Times New Roman"/>
          <w:sz w:val="18"/>
          <w:szCs w:val="18"/>
          <w:lang w:val="en-IE"/>
        </w:rPr>
        <w:instrText xml:space="preserve"> NOTEREF _Ref147758528 \h </w:instrText>
      </w:r>
      <w:r w:rsidR="00A42FAF" w:rsidRPr="00582553">
        <w:rPr>
          <w:rFonts w:ascii="Times New Roman" w:hAnsi="Times New Roman" w:cs="Times New Roman"/>
          <w:sz w:val="18"/>
          <w:szCs w:val="18"/>
          <w:lang w:val="en-IE"/>
        </w:rPr>
        <w:instrText xml:space="preserve"> \* MERGEFORMAT </w:instrText>
      </w:r>
      <w:r w:rsidR="006C55C0" w:rsidRPr="00582553">
        <w:rPr>
          <w:rFonts w:ascii="Times New Roman" w:hAnsi="Times New Roman" w:cs="Times New Roman"/>
          <w:sz w:val="18"/>
          <w:szCs w:val="18"/>
          <w:lang w:val="en-IE"/>
        </w:rPr>
      </w:r>
      <w:r w:rsidR="006C55C0"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252</w:t>
      </w:r>
      <w:r w:rsidR="006C55C0" w:rsidRPr="00582553">
        <w:rPr>
          <w:rFonts w:ascii="Times New Roman" w:hAnsi="Times New Roman" w:cs="Times New Roman"/>
          <w:sz w:val="18"/>
          <w:szCs w:val="18"/>
          <w:lang w:val="en-IE"/>
        </w:rPr>
        <w:fldChar w:fldCharType="end"/>
      </w:r>
      <w:r w:rsidR="006C55C0" w:rsidRPr="00582553">
        <w:rPr>
          <w:rFonts w:ascii="Times New Roman" w:hAnsi="Times New Roman" w:cs="Times New Roman"/>
          <w:sz w:val="18"/>
          <w:szCs w:val="18"/>
          <w:lang w:val="en-IE"/>
        </w:rPr>
        <w:t>.</w:t>
      </w:r>
    </w:p>
  </w:footnote>
  <w:footnote w:id="270">
    <w:p w14:paraId="61BA74CB" w14:textId="4206F47F"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Article 163ter du règlement de la Chambre des Représentants du 2 octobre 2003, Chapitre IIIter, Le register des lobbies (Article 163ter of Rules of the Belgian House of Representatives of 2 October 2003, Chapter IIIter. - The register of lobbies), available at: </w:t>
      </w:r>
      <w:hyperlink r:id="rId44" w:history="1">
        <w:r w:rsidRPr="00582553">
          <w:rPr>
            <w:rStyle w:val="Hyperlink"/>
            <w:rFonts w:ascii="Times New Roman" w:hAnsi="Times New Roman" w:cs="Times New Roman"/>
            <w:sz w:val="18"/>
            <w:szCs w:val="18"/>
            <w:lang w:val="en-IE"/>
          </w:rPr>
          <w:t>https://www.lachambre.be/kvvcr/pdf_sections/publications/reglement/reglementFR.pdf</w:t>
        </w:r>
      </w:hyperlink>
      <w:r w:rsidRPr="00582553">
        <w:rPr>
          <w:rFonts w:ascii="Times New Roman" w:hAnsi="Times New Roman" w:cs="Times New Roman"/>
          <w:sz w:val="18"/>
          <w:szCs w:val="18"/>
          <w:lang w:val="en-IE"/>
        </w:rPr>
        <w:t xml:space="preserve">. </w:t>
      </w:r>
      <w:r w:rsidRPr="00582553">
        <w:rPr>
          <w:rStyle w:val="ui-provider"/>
          <w:rFonts w:ascii="Times New Roman" w:hAnsi="Times New Roman" w:cs="Times New Roman"/>
          <w:sz w:val="18"/>
          <w:szCs w:val="18"/>
          <w:lang w:val="en-IE"/>
        </w:rPr>
        <w:t>These regulations go beyond soft law rules of procedure because they are based on a constitutional provision on the exercise of the powers of the chambers. They are a source of public law published in the national gazette.</w:t>
      </w:r>
    </w:p>
  </w:footnote>
  <w:footnote w:id="271">
    <w:p w14:paraId="557E6D06" w14:textId="33E99A79"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Law No. 20(I) 2022, available at: </w:t>
      </w:r>
      <w:hyperlink r:id="rId45">
        <w:r w:rsidRPr="00582553">
          <w:rPr>
            <w:rStyle w:val="Hyperlink"/>
            <w:rFonts w:ascii="Times New Roman" w:hAnsi="Times New Roman" w:cs="Times New Roman"/>
            <w:sz w:val="18"/>
            <w:szCs w:val="18"/>
            <w:lang w:val="en-IE"/>
          </w:rPr>
          <w:t>http://www.cylaw.org/nomoi/enop/non-ind/2022_1_20/full.html</w:t>
        </w:r>
      </w:hyperlink>
      <w:r w:rsidRPr="00582553">
        <w:rPr>
          <w:rFonts w:ascii="Times New Roman" w:hAnsi="Times New Roman" w:cs="Times New Roman"/>
          <w:sz w:val="18"/>
          <w:szCs w:val="18"/>
          <w:lang w:val="en-IE"/>
        </w:rPr>
        <w:t>.</w:t>
      </w:r>
    </w:p>
  </w:footnote>
  <w:footnote w:id="272">
    <w:p w14:paraId="6E296E25"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Subject to 1 year of imprisonment or a fine of up to EUR 10,000.</w:t>
      </w:r>
    </w:p>
  </w:footnote>
  <w:footnote w:id="273">
    <w:p w14:paraId="46738205" w14:textId="3799E61F"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Subject to 3 years of imprisonment or a fine of up to EUR 30</w:t>
      </w:r>
      <w:r w:rsidR="00392FD7"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000.</w:t>
      </w:r>
    </w:p>
  </w:footnote>
  <w:footnote w:id="274">
    <w:p w14:paraId="584FC7F7" w14:textId="261E011D"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Imprisonment not more than 6 months or a fine not exceeding EUR 5</w:t>
      </w:r>
      <w:r w:rsidR="00392FD7"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000.</w:t>
      </w:r>
    </w:p>
  </w:footnote>
  <w:footnote w:id="275">
    <w:p w14:paraId="07B739E2"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Imprisonment or fine.</w:t>
      </w:r>
    </w:p>
  </w:footnote>
  <w:footnote w:id="276">
    <w:p w14:paraId="1B343CD7"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Such as </w:t>
      </w:r>
      <w:r w:rsidRPr="00582553">
        <w:rPr>
          <w:rFonts w:ascii="Times New Roman" w:hAnsi="Times New Roman" w:cs="Times New Roman"/>
          <w:kern w:val="18"/>
          <w:sz w:val="18"/>
          <w:szCs w:val="18"/>
          <w:lang w:val="en-IE"/>
        </w:rPr>
        <w:t>the Civil Service Act, the framework formed by the Act on the Openness of Government Activities and the Administrative Procedure Act, as well as the administrative regulations, such as the guidelines for consultation on legislative drafting.</w:t>
      </w:r>
    </w:p>
  </w:footnote>
  <w:footnote w:id="277">
    <w:p w14:paraId="3E0EBE40" w14:textId="2A3B45C7" w:rsidR="0005333A" w:rsidRPr="00582553" w:rsidRDefault="0005333A" w:rsidP="00582553">
      <w:pPr>
        <w:pStyle w:val="FootnoteText"/>
        <w:spacing w:after="0"/>
        <w:ind w:left="284" w:hanging="284"/>
        <w:rPr>
          <w:rFonts w:ascii="Times New Roman" w:hAnsi="Times New Roman" w:cs="Times New Roman"/>
          <w:kern w:val="18"/>
          <w:sz w:val="18"/>
          <w:szCs w:val="18"/>
          <w:lang w:val="de-AT"/>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de-AT"/>
        </w:rPr>
        <w:t xml:space="preserve"> </w:t>
      </w:r>
      <w:r w:rsidRPr="00582553">
        <w:rPr>
          <w:rFonts w:ascii="Times New Roman" w:hAnsi="Times New Roman" w:cs="Times New Roman"/>
          <w:sz w:val="18"/>
          <w:szCs w:val="18"/>
          <w:lang w:val="de-AT"/>
        </w:rPr>
        <w:tab/>
      </w:r>
      <w:r w:rsidR="003F0942" w:rsidRPr="00582553">
        <w:rPr>
          <w:rFonts w:ascii="Times New Roman" w:hAnsi="Times New Roman" w:cs="Times New Roman"/>
          <w:sz w:val="18"/>
          <w:szCs w:val="18"/>
          <w:lang w:val="de-AT"/>
        </w:rPr>
        <w:t>V</w:t>
      </w:r>
      <w:r w:rsidRPr="00582553">
        <w:rPr>
          <w:rFonts w:ascii="Times New Roman" w:hAnsi="Times New Roman" w:cs="Times New Roman"/>
          <w:sz w:val="18"/>
          <w:szCs w:val="18"/>
          <w:lang w:val="de-AT"/>
        </w:rPr>
        <w:t>is-à-vis the German Bundestag and vis-à-vis the Federal Government (Lobby Register Act) (</w:t>
      </w:r>
      <w:r w:rsidRPr="00582553">
        <w:rPr>
          <w:rFonts w:ascii="Times New Roman" w:hAnsi="Times New Roman" w:cs="Times New Roman"/>
          <w:kern w:val="18"/>
          <w:sz w:val="18"/>
          <w:szCs w:val="18"/>
          <w:lang w:val="de-AT"/>
        </w:rPr>
        <w:t>Gesetz zur Einführung eines Lobbyregisters für die Interessenvertretung gegenüber dem Deutschen Bundestag und gegenüber der Bundesregierung (Lobbyregistergesetz - LobbyRG))</w:t>
      </w:r>
      <w:r w:rsidR="003F0942" w:rsidRPr="00582553">
        <w:rPr>
          <w:rFonts w:ascii="Times New Roman" w:hAnsi="Times New Roman" w:cs="Times New Roman"/>
          <w:kern w:val="18"/>
          <w:sz w:val="18"/>
          <w:szCs w:val="18"/>
          <w:lang w:val="de-AT"/>
        </w:rPr>
        <w:t>,</w:t>
      </w:r>
      <w:r w:rsidRPr="00582553">
        <w:rPr>
          <w:rFonts w:ascii="Times New Roman" w:hAnsi="Times New Roman" w:cs="Times New Roman"/>
          <w:kern w:val="18"/>
          <w:sz w:val="18"/>
          <w:szCs w:val="18"/>
          <w:lang w:val="de-AT"/>
        </w:rPr>
        <w:t xml:space="preserve"> 2021</w:t>
      </w:r>
      <w:r w:rsidR="003F0942" w:rsidRPr="00582553">
        <w:rPr>
          <w:rFonts w:ascii="Times New Roman" w:hAnsi="Times New Roman" w:cs="Times New Roman"/>
          <w:sz w:val="18"/>
          <w:szCs w:val="18"/>
          <w:lang w:val="de-AT"/>
        </w:rPr>
        <w:t xml:space="preserve">, available at: </w:t>
      </w:r>
      <w:hyperlink r:id="rId46" w:history="1">
        <w:r w:rsidR="003F0942" w:rsidRPr="00582553">
          <w:rPr>
            <w:rStyle w:val="Hyperlink"/>
            <w:rFonts w:ascii="Times New Roman" w:hAnsi="Times New Roman" w:cs="Times New Roman"/>
            <w:sz w:val="18"/>
            <w:szCs w:val="18"/>
            <w:lang w:val="de-AT"/>
          </w:rPr>
          <w:t>http://www.gesetze-im-internet.de/lobbyrg/BJNR081800021.html</w:t>
        </w:r>
      </w:hyperlink>
      <w:r w:rsidRPr="00582553" w:rsidDel="003F0942">
        <w:rPr>
          <w:rFonts w:ascii="Times New Roman" w:hAnsi="Times New Roman" w:cs="Times New Roman"/>
          <w:sz w:val="18"/>
          <w:szCs w:val="18"/>
          <w:lang w:val="de-AT"/>
        </w:rPr>
        <w:t>.</w:t>
      </w:r>
    </w:p>
  </w:footnote>
  <w:footnote w:id="278">
    <w:p w14:paraId="56A5754A" w14:textId="34D0F04F"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A</w:t>
      </w:r>
      <w:r w:rsidR="003F0942" w:rsidRPr="00582553">
        <w:rPr>
          <w:rFonts w:ascii="Times New Roman" w:hAnsi="Times New Roman" w:cs="Times New Roman"/>
          <w:sz w:val="18"/>
          <w:szCs w:val="18"/>
          <w:lang w:val="en-IE"/>
        </w:rPr>
        <w:t>ct CXXXI on public participation in the preparation of legislation, 2010, a</w:t>
      </w:r>
      <w:r w:rsidRPr="00582553">
        <w:rPr>
          <w:rFonts w:ascii="Times New Roman" w:hAnsi="Times New Roman" w:cs="Times New Roman"/>
          <w:sz w:val="18"/>
          <w:szCs w:val="18"/>
          <w:lang w:val="en-IE"/>
        </w:rPr>
        <w:t>vailable at</w:t>
      </w:r>
      <w:r w:rsidR="003F0942" w:rsidRPr="00582553">
        <w:rPr>
          <w:rFonts w:ascii="Times New Roman" w:hAnsi="Times New Roman" w:cs="Times New Roman"/>
          <w:sz w:val="18"/>
          <w:szCs w:val="18"/>
          <w:lang w:val="en-IE"/>
        </w:rPr>
        <w:t>:</w:t>
      </w:r>
      <w:r w:rsidRPr="00582553">
        <w:rPr>
          <w:rFonts w:ascii="Times New Roman" w:hAnsi="Times New Roman" w:cs="Times New Roman"/>
          <w:sz w:val="18"/>
          <w:szCs w:val="18"/>
          <w:lang w:val="en-IE"/>
        </w:rPr>
        <w:t xml:space="preserve"> </w:t>
      </w:r>
      <w:hyperlink r:id="rId47" w:history="1">
        <w:r w:rsidRPr="00582553">
          <w:rPr>
            <w:rStyle w:val="Hyperlink"/>
            <w:rFonts w:ascii="Times New Roman" w:hAnsi="Times New Roman" w:cs="Times New Roman"/>
            <w:kern w:val="18"/>
            <w:sz w:val="18"/>
            <w:szCs w:val="18"/>
            <w:lang w:val="en-IE"/>
          </w:rPr>
          <w:t>https://net.jogtar.hu/jogszabaly?docid=a1000131.tv</w:t>
        </w:r>
      </w:hyperlink>
      <w:r w:rsidRPr="00582553">
        <w:rPr>
          <w:rStyle w:val="Hyperlink"/>
          <w:rFonts w:ascii="Times New Roman" w:hAnsi="Times New Roman" w:cs="Times New Roman"/>
          <w:b/>
          <w:kern w:val="18"/>
          <w:sz w:val="18"/>
          <w:szCs w:val="18"/>
          <w:lang w:val="en-IE"/>
        </w:rPr>
        <w:t>.</w:t>
      </w:r>
    </w:p>
  </w:footnote>
  <w:footnote w:id="279">
    <w:p w14:paraId="24918222" w14:textId="64EC1185"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Regulation of Lobbying Act 2015, available at: </w:t>
      </w:r>
      <w:hyperlink r:id="rId48" w:history="1">
        <w:r w:rsidRPr="00582553">
          <w:rPr>
            <w:rStyle w:val="Hyperlink"/>
            <w:rFonts w:ascii="Times New Roman" w:hAnsi="Times New Roman" w:cs="Times New Roman"/>
            <w:sz w:val="18"/>
            <w:szCs w:val="18"/>
            <w:lang w:val="en-IE"/>
          </w:rPr>
          <w:t>https://revisedacts.lawreform.ie/eli/2015/act/5/revised/en/html</w:t>
        </w:r>
      </w:hyperlink>
      <w:r w:rsidRPr="00582553">
        <w:rPr>
          <w:rStyle w:val="Hyperlink"/>
          <w:rFonts w:ascii="Times New Roman" w:hAnsi="Times New Roman" w:cs="Times New Roman"/>
          <w:sz w:val="18"/>
          <w:szCs w:val="18"/>
          <w:lang w:val="en-IE"/>
        </w:rPr>
        <w:t>.</w:t>
      </w:r>
    </w:p>
  </w:footnote>
  <w:footnote w:id="280">
    <w:p w14:paraId="7D3A1B8E" w14:textId="0073FC3E"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The counterargument to this has been that the onus should be on the lobbyists to register their activities. However, that cannot be enforced when the lobbying takes place outside of the territory of Ireland. Therefore, regulating this gap would require placing the onus on the public officials, which was not agreed upon by the legislators. In these situations, “international lobbyists are merely encouraged to disclose such information, without any legal obligations.” See M Reilly, ‘What the Irish Regulation of Lobbying Act 2015 has failed to tackle’ </w:t>
      </w:r>
      <w:r w:rsidRPr="00582553">
        <w:rPr>
          <w:rFonts w:ascii="Times New Roman" w:hAnsi="Times New Roman" w:cs="Times New Roman"/>
          <w:i/>
          <w:sz w:val="18"/>
          <w:szCs w:val="18"/>
          <w:lang w:val="en-IE"/>
        </w:rPr>
        <w:t>Regulating Lobbying</w:t>
      </w:r>
      <w:r w:rsidRPr="00582553">
        <w:rPr>
          <w:rFonts w:ascii="Times New Roman" w:hAnsi="Times New Roman" w:cs="Times New Roman"/>
          <w:sz w:val="18"/>
          <w:szCs w:val="18"/>
          <w:lang w:val="en-IE"/>
        </w:rPr>
        <w:t xml:space="preserve">, available at: </w:t>
      </w:r>
      <w:hyperlink r:id="rId49" w:history="1">
        <w:r w:rsidRPr="00582553">
          <w:rPr>
            <w:rStyle w:val="Hyperlink"/>
            <w:rFonts w:ascii="Times New Roman" w:hAnsi="Times New Roman" w:cs="Times New Roman"/>
            <w:sz w:val="18"/>
            <w:szCs w:val="18"/>
            <w:lang w:val="en-IE"/>
          </w:rPr>
          <w:t>https://sites.google.com/view/regulating-lobbying/home/work-of-colleagues/the-curious-case-of-international-lobbying</w:t>
        </w:r>
      </w:hyperlink>
      <w:r w:rsidRPr="00582553">
        <w:rPr>
          <w:rFonts w:ascii="Times New Roman" w:hAnsi="Times New Roman" w:cs="Times New Roman"/>
          <w:sz w:val="18"/>
          <w:szCs w:val="18"/>
          <w:lang w:val="en-IE"/>
        </w:rPr>
        <w:t>.</w:t>
      </w:r>
      <w:r w:rsidR="00EC4130">
        <w:rPr>
          <w:rFonts w:ascii="Times New Roman" w:hAnsi="Times New Roman" w:cs="Times New Roman"/>
          <w:sz w:val="18"/>
          <w:szCs w:val="18"/>
          <w:lang w:val="en-IE"/>
        </w:rPr>
        <w:t xml:space="preserve"> However, guidance has been adopted to </w:t>
      </w:r>
      <w:r w:rsidR="00B42893">
        <w:rPr>
          <w:rFonts w:ascii="Times New Roman" w:hAnsi="Times New Roman" w:cs="Times New Roman"/>
          <w:sz w:val="18"/>
          <w:szCs w:val="18"/>
          <w:lang w:val="en-IE"/>
        </w:rPr>
        <w:t>address</w:t>
      </w:r>
      <w:r w:rsidR="00EC4130">
        <w:rPr>
          <w:rFonts w:ascii="Times New Roman" w:hAnsi="Times New Roman" w:cs="Times New Roman"/>
          <w:sz w:val="18"/>
          <w:szCs w:val="18"/>
          <w:lang w:val="en-IE"/>
        </w:rPr>
        <w:t xml:space="preserve"> th</w:t>
      </w:r>
      <w:r w:rsidR="00440646">
        <w:rPr>
          <w:rFonts w:ascii="Times New Roman" w:hAnsi="Times New Roman" w:cs="Times New Roman"/>
          <w:sz w:val="18"/>
          <w:szCs w:val="18"/>
          <w:lang w:val="en-IE"/>
        </w:rPr>
        <w:t>is issue: see “How does the Act apply to communications that take place outside of Ireland</w:t>
      </w:r>
      <w:r w:rsidR="00B42893">
        <w:rPr>
          <w:rFonts w:ascii="Times New Roman" w:hAnsi="Times New Roman" w:cs="Times New Roman"/>
          <w:sz w:val="18"/>
          <w:szCs w:val="18"/>
          <w:lang w:val="en-IE"/>
        </w:rPr>
        <w:t>?</w:t>
      </w:r>
      <w:r w:rsidR="00440646">
        <w:rPr>
          <w:rFonts w:ascii="Times New Roman" w:hAnsi="Times New Roman" w:cs="Times New Roman"/>
          <w:sz w:val="18"/>
          <w:szCs w:val="18"/>
          <w:lang w:val="en-IE"/>
        </w:rPr>
        <w:t>”,</w:t>
      </w:r>
      <w:r w:rsidR="00B42893">
        <w:rPr>
          <w:rFonts w:ascii="Times New Roman" w:hAnsi="Times New Roman" w:cs="Times New Roman"/>
          <w:sz w:val="18"/>
          <w:szCs w:val="18"/>
          <w:lang w:val="en-IE"/>
        </w:rPr>
        <w:t xml:space="preserve"> available at the following link: </w:t>
      </w:r>
      <w:hyperlink r:id="rId50" w:history="1">
        <w:r w:rsidR="00B42893" w:rsidRPr="00B42893">
          <w:rPr>
            <w:rStyle w:val="Hyperlink"/>
            <w:rFonts w:ascii="Times New Roman" w:hAnsi="Times New Roman" w:cs="Times New Roman"/>
            <w:sz w:val="18"/>
            <w:szCs w:val="18"/>
            <w:lang w:val="en-IE"/>
          </w:rPr>
          <w:t>https://www.lobbying.ie/media/6262/frequently-asked-questions-june.pdf</w:t>
        </w:r>
      </w:hyperlink>
      <w:r w:rsidR="00B42893">
        <w:rPr>
          <w:rFonts w:ascii="Times New Roman" w:hAnsi="Times New Roman" w:cs="Times New Roman"/>
          <w:sz w:val="18"/>
          <w:szCs w:val="18"/>
          <w:lang w:val="en-IE"/>
        </w:rPr>
        <w:t xml:space="preserve">. </w:t>
      </w:r>
    </w:p>
  </w:footnote>
  <w:footnote w:id="281">
    <w:p w14:paraId="67A0989E" w14:textId="00B56800"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DF2FF6" w:rsidRPr="00582553">
        <w:rPr>
          <w:rFonts w:ascii="Times New Roman" w:hAnsi="Times New Roman" w:cs="Times New Roman"/>
          <w:sz w:val="18"/>
          <w:szCs w:val="18"/>
          <w:lang w:val="en-IE"/>
        </w:rPr>
        <w:t>Law Amending the Law on Lobbying Activities No. VIII-1749 of the Republic of Lithuania, 2020, available at: https://vtek.lt/wp-content/uploads/2021/06/EN_Law_on_Lobbying_Activities_2021.docx</w:t>
      </w:r>
      <w:r w:rsidRPr="00582553">
        <w:rPr>
          <w:rFonts w:ascii="Times New Roman" w:hAnsi="Times New Roman" w:cs="Times New Roman"/>
          <w:sz w:val="18"/>
          <w:szCs w:val="18"/>
          <w:lang w:val="en-IE"/>
        </w:rPr>
        <w:t>.</w:t>
      </w:r>
    </w:p>
  </w:footnote>
  <w:footnote w:id="282">
    <w:p w14:paraId="7E221A29" w14:textId="676E7B9D" w:rsidR="00D06711" w:rsidRPr="00D06711" w:rsidRDefault="00D06711" w:rsidP="00FC029A">
      <w:pPr>
        <w:pStyle w:val="FootnoteText"/>
        <w:spacing w:after="0"/>
        <w:ind w:left="284" w:hanging="284"/>
      </w:pPr>
      <w:r>
        <w:rPr>
          <w:rStyle w:val="FootnoteReference"/>
        </w:rPr>
        <w:footnoteRef/>
      </w:r>
      <w:r>
        <w:t xml:space="preserve"> </w:t>
      </w:r>
      <w:r>
        <w:tab/>
      </w:r>
      <w:r w:rsidRPr="68CF6FE2">
        <w:rPr>
          <w:rFonts w:ascii="Times New Roman" w:eastAsia="Times New Roman" w:hAnsi="Times New Roman" w:cs="Times New Roman"/>
          <w:sz w:val="18"/>
          <w:szCs w:val="18"/>
          <w:lang w:val="en-IE"/>
        </w:rPr>
        <w:t xml:space="preserve">Article 14(1)(2) of the Law on Lobbying Activities of the Republic of Lithuania, available at: </w:t>
      </w:r>
      <w:hyperlink r:id="rId51" w:history="1">
        <w:r w:rsidRPr="68CF6FE2">
          <w:rPr>
            <w:rStyle w:val="Hyperlink"/>
            <w:rFonts w:ascii="Times New Roman" w:eastAsia="Times New Roman" w:hAnsi="Times New Roman" w:cs="Times New Roman"/>
            <w:sz w:val="18"/>
            <w:szCs w:val="18"/>
            <w:lang w:val="en-IE"/>
          </w:rPr>
          <w:t>https://vtek.lt/wp-content/uploads/2021/06/EN_Law_on_Lobbying_Activities_2021.docx</w:t>
        </w:r>
      </w:hyperlink>
      <w:r w:rsidRPr="68CF6FE2">
        <w:rPr>
          <w:rFonts w:ascii="Times New Roman" w:eastAsia="Times New Roman" w:hAnsi="Times New Roman" w:cs="Times New Roman"/>
          <w:sz w:val="18"/>
          <w:szCs w:val="18"/>
          <w:lang w:val="en-IE"/>
        </w:rPr>
        <w:t>.</w:t>
      </w:r>
    </w:p>
  </w:footnote>
  <w:footnote w:id="283">
    <w:p w14:paraId="170BD38C" w14:textId="79565E94"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Act of 7 July 2005 on lobbying activities in the law-making process (OJ 2005 No. 169, item 1414, i.e. OJ 2017 No. 248), available at: </w:t>
      </w:r>
      <w:hyperlink r:id="rId52" w:history="1">
        <w:r w:rsidRPr="00582553">
          <w:rPr>
            <w:rStyle w:val="Hyperlink"/>
            <w:rFonts w:ascii="Times New Roman" w:hAnsi="Times New Roman" w:cs="Times New Roman"/>
            <w:kern w:val="18"/>
            <w:sz w:val="18"/>
            <w:szCs w:val="18"/>
            <w:lang w:val="en-IE"/>
          </w:rPr>
          <w:t>https://isap.sejm.gov.pl/isap.nsf/DocDetails.xsp?id=WDU20051691414</w:t>
        </w:r>
      </w:hyperlink>
      <w:r w:rsidRPr="00582553">
        <w:rPr>
          <w:rStyle w:val="Hyperlink"/>
          <w:rFonts w:ascii="Times New Roman" w:hAnsi="Times New Roman" w:cs="Times New Roman"/>
          <w:kern w:val="18"/>
          <w:sz w:val="18"/>
          <w:szCs w:val="18"/>
          <w:lang w:val="en-IE"/>
        </w:rPr>
        <w:t>.</w:t>
      </w:r>
    </w:p>
  </w:footnote>
  <w:footnote w:id="284">
    <w:p w14:paraId="3BBF55C9"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The legislative framework includes Legislative Decree No. 231 of November 21, 2007, most recently amended by Legislative Decree No. 125 of October 4, 2019, and the relevant implementing provisions issued by the Minister of Economy and Finance, the Financial Intelligence Unit for Italy, and the sector supervisory authorities.</w:t>
      </w:r>
    </w:p>
  </w:footnote>
  <w:footnote w:id="285">
    <w:p w14:paraId="0BB62AD9"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At the regional level in Valencia.</w:t>
      </w:r>
    </w:p>
  </w:footnote>
  <w:footnote w:id="286">
    <w:p w14:paraId="339A547F"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Some companies are members of the German Association of Policy Consulting, which has its own code of conduct, and participating companies adhere to this code.</w:t>
      </w:r>
    </w:p>
  </w:footnote>
  <w:footnote w:id="287">
    <w:p w14:paraId="2084EA26" w14:textId="77777777" w:rsidR="0071314B" w:rsidRPr="00582553" w:rsidRDefault="0071314B"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Each lobbying company or a company that engages lobbyists is required to adopt its own code of conduct.</w:t>
      </w:r>
    </w:p>
  </w:footnote>
  <w:footnote w:id="288">
    <w:p w14:paraId="42A859FD"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Some of the lobbying organisations which are formed as consultants are registered with the Croatian Chamber of Commerce. The Chamber has issued a Catalogue of Advisory Services, which contains a Code of Ethics in business, although does not contain guidelines in respect of (foreign) funding.</w:t>
      </w:r>
    </w:p>
  </w:footnote>
  <w:footnote w:id="289">
    <w:p w14:paraId="4F910E2F"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Some organisations have such codes but may have not addressed how to engage with public officials in terms of participation in decision-making processes.</w:t>
      </w:r>
    </w:p>
  </w:footnote>
  <w:footnote w:id="290">
    <w:p w14:paraId="0ADA01A9"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Lobbyist organisations can adopt codes of ethics.</w:t>
      </w:r>
    </w:p>
  </w:footnote>
  <w:footnote w:id="291">
    <w:p w14:paraId="687E690A" w14:textId="56F4A443"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966E0F" w:rsidRPr="00582553">
        <w:rPr>
          <w:rFonts w:ascii="Times New Roman" w:hAnsi="Times New Roman" w:cs="Times New Roman"/>
          <w:sz w:val="18"/>
          <w:szCs w:val="18"/>
          <w:lang w:val="en-IE"/>
        </w:rPr>
        <w:t>Catalogue of Advisory Services, Croatian Chamber of Commerce, a</w:t>
      </w:r>
      <w:r w:rsidRPr="00582553">
        <w:rPr>
          <w:rFonts w:ascii="Times New Roman" w:hAnsi="Times New Roman" w:cs="Times New Roman"/>
          <w:sz w:val="18"/>
          <w:szCs w:val="18"/>
          <w:lang w:val="en-IE"/>
        </w:rPr>
        <w:t xml:space="preserve">vailable at </w:t>
      </w:r>
      <w:hyperlink r:id="rId53" w:history="1">
        <w:r w:rsidRPr="00582553">
          <w:rPr>
            <w:rStyle w:val="Hyperlink"/>
            <w:rFonts w:ascii="Times New Roman" w:hAnsi="Times New Roman" w:cs="Times New Roman"/>
            <w:sz w:val="18"/>
            <w:szCs w:val="18"/>
            <w:lang w:val="en-IE"/>
          </w:rPr>
          <w:t>https://www.hgk.hr/documents/hgk-katalog-savjetodavnih-usluga-zajednice-poslovnih-savjetnika-drugo-izdanje596737316fb04.pdf</w:t>
        </w:r>
      </w:hyperlink>
      <w:r w:rsidR="00966E0F" w:rsidRPr="00582553">
        <w:rPr>
          <w:rStyle w:val="Hyperlink"/>
          <w:rFonts w:ascii="Times New Roman" w:hAnsi="Times New Roman" w:cs="Times New Roman"/>
          <w:sz w:val="18"/>
          <w:szCs w:val="18"/>
          <w:lang w:val="en-IE"/>
        </w:rPr>
        <w:t>.</w:t>
      </w:r>
    </w:p>
  </w:footnote>
  <w:footnote w:id="292">
    <w:p w14:paraId="54908AC2" w14:textId="7BE23BF3"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966E0F" w:rsidRPr="00582553">
        <w:rPr>
          <w:rFonts w:ascii="Times New Roman" w:hAnsi="Times New Roman" w:cs="Times New Roman"/>
          <w:sz w:val="18"/>
          <w:szCs w:val="18"/>
        </w:rPr>
        <w:t>Code of Conduct</w:t>
      </w:r>
      <w:r w:rsidRPr="00582553">
        <w:rPr>
          <w:rFonts w:ascii="Times New Roman" w:hAnsi="Times New Roman" w:cs="Times New Roman"/>
          <w:sz w:val="18"/>
          <w:szCs w:val="18"/>
          <w:lang w:val="en-IE"/>
        </w:rPr>
        <w:t xml:space="preserve"> for administration</w:t>
      </w:r>
      <w:r w:rsidR="00966E0F" w:rsidRPr="00582553">
        <w:rPr>
          <w:rFonts w:ascii="Times New Roman" w:hAnsi="Times New Roman" w:cs="Times New Roman"/>
          <w:sz w:val="18"/>
          <w:szCs w:val="18"/>
          <w:lang w:val="en-IE"/>
        </w:rPr>
        <w:t>, available at: https://julkaisut.valtioneuvosto.fi/handle/10024/163089</w:t>
      </w:r>
      <w:r w:rsidRPr="00582553" w:rsidDel="00966E0F">
        <w:rPr>
          <w:rFonts w:ascii="Times New Roman" w:hAnsi="Times New Roman" w:cs="Times New Roman"/>
          <w:sz w:val="18"/>
          <w:szCs w:val="18"/>
          <w:lang w:val="en-IE"/>
        </w:rPr>
        <w:t>.</w:t>
      </w:r>
    </w:p>
  </w:footnote>
  <w:footnote w:id="293">
    <w:p w14:paraId="4828246B" w14:textId="25B838A0"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Examples include </w:t>
      </w:r>
      <w:r w:rsidR="0041361E" w:rsidRPr="00582553">
        <w:rPr>
          <w:rFonts w:ascii="Times New Roman" w:hAnsi="Times New Roman" w:cs="Times New Roman"/>
          <w:sz w:val="18"/>
          <w:szCs w:val="18"/>
          <w:lang w:val="en-IE"/>
        </w:rPr>
        <w:t>the law firm</w:t>
      </w:r>
      <w:r w:rsidRPr="00582553">
        <w:rPr>
          <w:rFonts w:ascii="Times New Roman" w:hAnsi="Times New Roman" w:cs="Times New Roman"/>
          <w:sz w:val="18"/>
          <w:szCs w:val="18"/>
          <w:lang w:val="en-IE"/>
        </w:rPr>
        <w:t xml:space="preserve"> </w:t>
      </w:r>
      <w:r w:rsidR="0041361E" w:rsidRPr="00582553">
        <w:rPr>
          <w:rFonts w:ascii="Times New Roman" w:hAnsi="Times New Roman" w:cs="Times New Roman"/>
          <w:sz w:val="18"/>
          <w:szCs w:val="18"/>
        </w:rPr>
        <w:t>Taylor Wessing</w:t>
      </w:r>
      <w:r w:rsidRPr="00582553">
        <w:rPr>
          <w:rFonts w:ascii="Times New Roman" w:hAnsi="Times New Roman" w:cs="Times New Roman"/>
          <w:sz w:val="18"/>
          <w:szCs w:val="18"/>
          <w:lang w:val="en-IE"/>
        </w:rPr>
        <w:t xml:space="preserve"> (</w:t>
      </w:r>
      <w:r w:rsidR="0041361E" w:rsidRPr="00582553">
        <w:rPr>
          <w:rFonts w:ascii="Times New Roman" w:hAnsi="Times New Roman" w:cs="Times New Roman"/>
          <w:sz w:val="18"/>
          <w:szCs w:val="18"/>
          <w:lang w:val="en-IE"/>
        </w:rPr>
        <w:t>https://www.taylorwessing.com/de/about-us/lobbyregister-deutschland</w:t>
      </w:r>
      <w:r w:rsidRPr="00582553">
        <w:rPr>
          <w:rFonts w:ascii="Times New Roman" w:hAnsi="Times New Roman" w:cs="Times New Roman"/>
          <w:sz w:val="18"/>
          <w:szCs w:val="18"/>
          <w:lang w:val="en-IE"/>
        </w:rPr>
        <w:t xml:space="preserve">), </w:t>
      </w:r>
      <w:r w:rsidR="0041361E" w:rsidRPr="00582553">
        <w:rPr>
          <w:rFonts w:ascii="Times New Roman" w:hAnsi="Times New Roman" w:cs="Times New Roman"/>
          <w:sz w:val="18"/>
          <w:szCs w:val="18"/>
          <w:lang w:val="en-IE"/>
        </w:rPr>
        <w:t>the association of real estate industry</w:t>
      </w:r>
      <w:r w:rsidRPr="00582553">
        <w:rPr>
          <w:rFonts w:ascii="Times New Roman" w:hAnsi="Times New Roman" w:cs="Times New Roman"/>
          <w:sz w:val="18"/>
          <w:szCs w:val="18"/>
        </w:rPr>
        <w:t xml:space="preserve"> </w:t>
      </w:r>
      <w:r w:rsidR="00FC1A1E" w:rsidRPr="00582553">
        <w:rPr>
          <w:rFonts w:ascii="Times New Roman" w:hAnsi="Times New Roman" w:cs="Times New Roman"/>
          <w:sz w:val="18"/>
          <w:szCs w:val="18"/>
        </w:rPr>
        <w:t>ZIA Central Real Estate Committee</w:t>
      </w:r>
      <w:r w:rsidRPr="00582553">
        <w:rPr>
          <w:rFonts w:ascii="Times New Roman" w:hAnsi="Times New Roman" w:cs="Times New Roman"/>
          <w:sz w:val="18"/>
          <w:szCs w:val="18"/>
          <w:lang w:val="en-IE"/>
        </w:rPr>
        <w:t xml:space="preserve"> (</w:t>
      </w:r>
      <w:r w:rsidR="00FC1A1E" w:rsidRPr="00582553">
        <w:rPr>
          <w:rFonts w:ascii="Times New Roman" w:hAnsi="Times New Roman" w:cs="Times New Roman"/>
          <w:sz w:val="18"/>
          <w:szCs w:val="18"/>
          <w:lang w:val="en-IE"/>
        </w:rPr>
        <w:t>https://zia-deutschland.de/project/verhaltenskodex-des-zia-im-rahmen-des-lobby-und-transparenzregisters/</w:t>
      </w:r>
      <w:r w:rsidRPr="00582553">
        <w:rPr>
          <w:rFonts w:ascii="Times New Roman" w:hAnsi="Times New Roman" w:cs="Times New Roman"/>
          <w:sz w:val="18"/>
          <w:szCs w:val="18"/>
          <w:lang w:val="en-IE"/>
        </w:rPr>
        <w:t xml:space="preserve">), </w:t>
      </w:r>
      <w:r w:rsidR="00FC1A1E" w:rsidRPr="00582553">
        <w:rPr>
          <w:rFonts w:ascii="Times New Roman" w:hAnsi="Times New Roman" w:cs="Times New Roman"/>
          <w:sz w:val="18"/>
          <w:szCs w:val="18"/>
          <w:lang w:val="en-IE"/>
        </w:rPr>
        <w:t xml:space="preserve">and the multinational company </w:t>
      </w:r>
      <w:r w:rsidR="00FC1A1E" w:rsidRPr="00582553">
        <w:rPr>
          <w:rFonts w:ascii="Times New Roman" w:hAnsi="Times New Roman" w:cs="Times New Roman"/>
          <w:sz w:val="18"/>
          <w:szCs w:val="18"/>
        </w:rPr>
        <w:t>Bayer</w:t>
      </w:r>
      <w:r w:rsidR="00FC1A1E" w:rsidRPr="00582553">
        <w:rPr>
          <w:rStyle w:val="Hyperlink"/>
          <w:rFonts w:ascii="Times New Roman" w:hAnsi="Times New Roman" w:cs="Times New Roman"/>
          <w:sz w:val="18"/>
          <w:szCs w:val="18"/>
          <w:lang w:val="en-IE"/>
        </w:rPr>
        <w:t xml:space="preserve"> (https://www.bayer.com/de/nachhaltigkeit/unsere-richtlinien-fuer-verantwortungsbewusste-interessenvertretung)</w:t>
      </w:r>
      <w:r w:rsidRPr="00582553">
        <w:rPr>
          <w:rFonts w:ascii="Times New Roman" w:hAnsi="Times New Roman" w:cs="Times New Roman"/>
          <w:sz w:val="18"/>
          <w:szCs w:val="18"/>
          <w:lang w:val="en-IE"/>
        </w:rPr>
        <w:t>.</w:t>
      </w:r>
    </w:p>
  </w:footnote>
  <w:footnote w:id="294">
    <w:p w14:paraId="470A04F2" w14:textId="3155CF50" w:rsidR="0005333A" w:rsidRPr="00582553" w:rsidRDefault="0005333A" w:rsidP="00582553">
      <w:pPr>
        <w:pStyle w:val="FootnoteText"/>
        <w:spacing w:after="0"/>
        <w:ind w:left="284" w:hanging="284"/>
        <w:rPr>
          <w:rFonts w:ascii="Times New Roman" w:hAnsi="Times New Roman" w:cs="Times New Roman"/>
          <w:sz w:val="18"/>
          <w:szCs w:val="18"/>
          <w:lang w:val="de-AT"/>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de-AT"/>
        </w:rPr>
        <w:t xml:space="preserve"> </w:t>
      </w:r>
      <w:r w:rsidRPr="00582553">
        <w:rPr>
          <w:rFonts w:ascii="Times New Roman" w:hAnsi="Times New Roman" w:cs="Times New Roman"/>
          <w:sz w:val="18"/>
          <w:szCs w:val="18"/>
          <w:lang w:val="de-AT"/>
        </w:rPr>
        <w:tab/>
      </w:r>
      <w:r w:rsidR="00FC1A1E" w:rsidRPr="00582553">
        <w:rPr>
          <w:rFonts w:ascii="Times New Roman" w:hAnsi="Times New Roman" w:cs="Times New Roman"/>
          <w:sz w:val="18"/>
          <w:szCs w:val="18"/>
          <w:lang w:val="de-AT"/>
        </w:rPr>
        <w:t>D</w:t>
      </w:r>
      <w:r w:rsidRPr="00582553">
        <w:rPr>
          <w:rFonts w:ascii="Times New Roman" w:hAnsi="Times New Roman" w:cs="Times New Roman"/>
          <w:sz w:val="18"/>
          <w:szCs w:val="18"/>
          <w:lang w:val="de-AT"/>
        </w:rPr>
        <w:t>e'ge'pol - Deutsche Gesellschaft für Politikberatung e.V.</w:t>
      </w:r>
    </w:p>
  </w:footnote>
  <w:footnote w:id="295">
    <w:p w14:paraId="666C9D37" w14:textId="164E8665"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92495F" w:rsidRPr="00582553">
        <w:rPr>
          <w:rFonts w:ascii="Times New Roman" w:hAnsi="Times New Roman" w:cs="Times New Roman"/>
          <w:sz w:val="18"/>
          <w:szCs w:val="18"/>
          <w:lang w:val="en-IE"/>
        </w:rPr>
        <w:t>Code of Conduct, a</w:t>
      </w:r>
      <w:r w:rsidRPr="00582553">
        <w:rPr>
          <w:rFonts w:ascii="Times New Roman" w:hAnsi="Times New Roman" w:cs="Times New Roman"/>
          <w:sz w:val="18"/>
          <w:szCs w:val="18"/>
          <w:lang w:val="en-IE"/>
        </w:rPr>
        <w:t>vailable at</w:t>
      </w:r>
      <w:r w:rsidR="0092495F" w:rsidRPr="00582553">
        <w:rPr>
          <w:rFonts w:ascii="Times New Roman" w:hAnsi="Times New Roman" w:cs="Times New Roman"/>
          <w:sz w:val="18"/>
          <w:szCs w:val="18"/>
          <w:lang w:val="en-IE"/>
        </w:rPr>
        <w:t>:</w:t>
      </w:r>
      <w:r w:rsidRPr="00582553">
        <w:rPr>
          <w:rFonts w:ascii="Times New Roman" w:hAnsi="Times New Roman" w:cs="Times New Roman"/>
          <w:sz w:val="18"/>
          <w:szCs w:val="18"/>
          <w:lang w:val="en-IE"/>
        </w:rPr>
        <w:t xml:space="preserve"> </w:t>
      </w:r>
      <w:hyperlink r:id="rId54" w:history="1">
        <w:r w:rsidRPr="00582553">
          <w:rPr>
            <w:rStyle w:val="Hyperlink"/>
            <w:rFonts w:ascii="Times New Roman" w:hAnsi="Times New Roman" w:cs="Times New Roman"/>
            <w:sz w:val="18"/>
            <w:szCs w:val="18"/>
            <w:lang w:val="en-IE"/>
          </w:rPr>
          <w:t>https://www.degepol.de/ethik-t</w:t>
        </w:r>
      </w:hyperlink>
      <w:r w:rsidRPr="00582553">
        <w:rPr>
          <w:rFonts w:ascii="Times New Roman" w:hAnsi="Times New Roman" w:cs="Times New Roman"/>
          <w:sz w:val="18"/>
          <w:szCs w:val="18"/>
          <w:lang w:val="en-IE"/>
        </w:rPr>
        <w:t>.</w:t>
      </w:r>
    </w:p>
  </w:footnote>
  <w:footnote w:id="296">
    <w:p w14:paraId="6FD836FF" w14:textId="4A54B45E"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For example, the </w:t>
      </w:r>
      <w:r w:rsidR="0092495F" w:rsidRPr="00582553">
        <w:rPr>
          <w:rFonts w:ascii="Times New Roman" w:hAnsi="Times New Roman" w:cs="Times New Roman"/>
          <w:sz w:val="18"/>
          <w:szCs w:val="18"/>
        </w:rPr>
        <w:t>bank ING</w:t>
      </w:r>
      <w:r w:rsidR="0092495F" w:rsidRPr="00582553">
        <w:rPr>
          <w:rFonts w:ascii="Times New Roman" w:hAnsi="Times New Roman" w:cs="Times New Roman"/>
          <w:sz w:val="18"/>
          <w:szCs w:val="18"/>
          <w:lang w:val="en-IE"/>
        </w:rPr>
        <w:t xml:space="preserve"> (https://www.ing.de/ueber-uns/menschen/positionen/).</w:t>
      </w:r>
    </w:p>
  </w:footnote>
  <w:footnote w:id="297">
    <w:p w14:paraId="54C2C3AE" w14:textId="2E9859C2"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Standards in Public Office Commission, ‘</w:t>
      </w:r>
      <w:r w:rsidR="0092495F" w:rsidRPr="00582553">
        <w:rPr>
          <w:rFonts w:ascii="Times New Roman" w:hAnsi="Times New Roman" w:cs="Times New Roman"/>
          <w:sz w:val="18"/>
          <w:szCs w:val="18"/>
        </w:rPr>
        <w:t>Code of Conduct for persons carrying on lobbying activities</w:t>
      </w:r>
      <w:r w:rsidRPr="00582553">
        <w:rPr>
          <w:rFonts w:ascii="Times New Roman" w:hAnsi="Times New Roman" w:cs="Times New Roman"/>
          <w:sz w:val="18"/>
          <w:szCs w:val="18"/>
          <w:lang w:val="en-IE"/>
        </w:rPr>
        <w:t>’, published in 2018 and in force from 1 January 2019</w:t>
      </w:r>
      <w:r w:rsidR="0092495F" w:rsidRPr="00582553">
        <w:rPr>
          <w:rFonts w:ascii="Times New Roman" w:hAnsi="Times New Roman" w:cs="Times New Roman"/>
          <w:sz w:val="18"/>
          <w:szCs w:val="18"/>
          <w:lang w:val="en-IE"/>
        </w:rPr>
        <w:t>, available at: https://www.lobbying.ie/media/6119/code-of-conduct-english-final-version-for-web.pdf.</w:t>
      </w:r>
    </w:p>
  </w:footnote>
  <w:footnote w:id="298">
    <w:p w14:paraId="4ED9CB8B"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These principles are: 1. Demonstrating respect for public bodies; 2. Acting with honesty and integrity; 3. Ensuring accuracy of information; 4. Disclosure of identity and purpose of lobbying activities; 5. Preserving confidentiality; 6. Avoiding improper influence; 7. Observing the provisions of the Regulation of Lobbying Act; and 8. Having regard to the Code of Conduct.</w:t>
      </w:r>
    </w:p>
  </w:footnote>
  <w:footnote w:id="299">
    <w:p w14:paraId="14626B77" w14:textId="7A20412B"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92495F" w:rsidRPr="00582553">
        <w:rPr>
          <w:rFonts w:ascii="Times New Roman" w:hAnsi="Times New Roman" w:cs="Times New Roman"/>
          <w:sz w:val="18"/>
          <w:szCs w:val="18"/>
        </w:rPr>
        <w:t>Code of Conduct</w:t>
      </w:r>
      <w:r w:rsidRPr="00582553">
        <w:rPr>
          <w:rFonts w:ascii="Times New Roman" w:hAnsi="Times New Roman" w:cs="Times New Roman"/>
          <w:sz w:val="18"/>
          <w:szCs w:val="18"/>
          <w:lang w:val="en-IE"/>
        </w:rPr>
        <w:t xml:space="preserve"> for Members of the House of Representatives, rules of conduct 1 and 2</w:t>
      </w:r>
      <w:r w:rsidR="0092495F" w:rsidRPr="00582553">
        <w:rPr>
          <w:rFonts w:ascii="Times New Roman" w:hAnsi="Times New Roman" w:cs="Times New Roman"/>
          <w:sz w:val="18"/>
          <w:szCs w:val="18"/>
          <w:lang w:val="en-IE"/>
        </w:rPr>
        <w:t>, available at: https://www.tweedekamer.nl/sites/default/files/atoms/files/gedragscode_leden_-_maart_2021.pdf</w:t>
      </w:r>
      <w:r w:rsidRPr="00582553">
        <w:rPr>
          <w:rFonts w:ascii="Times New Roman" w:hAnsi="Times New Roman" w:cs="Times New Roman"/>
          <w:sz w:val="18"/>
          <w:szCs w:val="18"/>
          <w:lang w:val="en-IE"/>
        </w:rPr>
        <w:t>.</w:t>
      </w:r>
    </w:p>
  </w:footnote>
  <w:footnote w:id="300">
    <w:p w14:paraId="1EC17126" w14:textId="50DCD04A"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4D5417" w:rsidRPr="00582553">
        <w:rPr>
          <w:rFonts w:ascii="Times New Roman" w:hAnsi="Times New Roman" w:cs="Times New Roman"/>
          <w:sz w:val="18"/>
          <w:szCs w:val="18"/>
          <w:lang w:val="en-IE"/>
        </w:rPr>
        <w:t xml:space="preserve">See note </w:t>
      </w:r>
      <w:r w:rsidR="004D5417" w:rsidRPr="00582553">
        <w:rPr>
          <w:rFonts w:ascii="Times New Roman" w:hAnsi="Times New Roman" w:cs="Times New Roman"/>
          <w:sz w:val="18"/>
          <w:szCs w:val="18"/>
          <w:lang w:val="en-IE"/>
        </w:rPr>
        <w:fldChar w:fldCharType="begin"/>
      </w:r>
      <w:r w:rsidR="004D5417" w:rsidRPr="00582553">
        <w:rPr>
          <w:rFonts w:ascii="Times New Roman" w:hAnsi="Times New Roman" w:cs="Times New Roman"/>
          <w:sz w:val="18"/>
          <w:szCs w:val="18"/>
          <w:lang w:val="en-IE"/>
        </w:rPr>
        <w:instrText xml:space="preserve"> NOTEREF _Ref147762462 \h </w:instrText>
      </w:r>
      <w:r w:rsidR="00A42FAF" w:rsidRPr="00582553">
        <w:rPr>
          <w:rFonts w:ascii="Times New Roman" w:hAnsi="Times New Roman" w:cs="Times New Roman"/>
          <w:sz w:val="18"/>
          <w:szCs w:val="18"/>
          <w:lang w:val="en-IE"/>
        </w:rPr>
        <w:instrText xml:space="preserve"> \* MERGEFORMAT </w:instrText>
      </w:r>
      <w:r w:rsidR="004D5417" w:rsidRPr="00582553">
        <w:rPr>
          <w:rFonts w:ascii="Times New Roman" w:hAnsi="Times New Roman" w:cs="Times New Roman"/>
          <w:sz w:val="18"/>
          <w:szCs w:val="18"/>
          <w:lang w:val="en-IE"/>
        </w:rPr>
      </w:r>
      <w:r w:rsidR="004D5417"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298</w:t>
      </w:r>
      <w:r w:rsidR="004D5417"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 rule of conduct 3.</w:t>
      </w:r>
    </w:p>
  </w:footnote>
  <w:footnote w:id="301">
    <w:p w14:paraId="7E1E8C21" w14:textId="3302A134"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4D5417" w:rsidRPr="00582553">
        <w:rPr>
          <w:rFonts w:ascii="Times New Roman" w:hAnsi="Times New Roman" w:cs="Times New Roman"/>
          <w:sz w:val="18"/>
          <w:szCs w:val="18"/>
        </w:rPr>
        <w:t>Code of Conduct for Senate Integrity</w:t>
      </w:r>
      <w:r w:rsidRPr="00582553">
        <w:rPr>
          <w:rFonts w:ascii="Times New Roman" w:hAnsi="Times New Roman" w:cs="Times New Roman"/>
          <w:sz w:val="18"/>
          <w:szCs w:val="18"/>
          <w:lang w:val="en-IE"/>
        </w:rPr>
        <w:t>, article 3</w:t>
      </w:r>
      <w:r w:rsidR="004D5417" w:rsidRPr="00582553">
        <w:rPr>
          <w:rFonts w:ascii="Times New Roman" w:hAnsi="Times New Roman" w:cs="Times New Roman"/>
          <w:sz w:val="18"/>
          <w:szCs w:val="18"/>
          <w:lang w:val="en-IE"/>
        </w:rPr>
        <w:t>, available at: https://wetten.overheid.nl/BWBR0042225/2019-06-11.</w:t>
      </w:r>
    </w:p>
  </w:footnote>
  <w:footnote w:id="302">
    <w:p w14:paraId="74F2B935" w14:textId="6B930ADA"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4D5417" w:rsidRPr="00582553">
        <w:rPr>
          <w:rFonts w:ascii="Times New Roman" w:hAnsi="Times New Roman" w:cs="Times New Roman"/>
          <w:sz w:val="18"/>
          <w:szCs w:val="18"/>
        </w:rPr>
        <w:t>Handbook for government officials</w:t>
      </w:r>
      <w:r w:rsidRPr="00582553">
        <w:rPr>
          <w:rFonts w:ascii="Times New Roman" w:hAnsi="Times New Roman" w:cs="Times New Roman"/>
          <w:sz w:val="18"/>
          <w:szCs w:val="18"/>
          <w:lang w:val="en-IE"/>
        </w:rPr>
        <w:t>, or the blue book, paragraph 6.2.2</w:t>
      </w:r>
      <w:r w:rsidR="004D5417" w:rsidRPr="00582553">
        <w:rPr>
          <w:rFonts w:ascii="Times New Roman" w:hAnsi="Times New Roman" w:cs="Times New Roman"/>
          <w:sz w:val="18"/>
          <w:szCs w:val="18"/>
          <w:lang w:val="en-IE"/>
        </w:rPr>
        <w:t>, available at:</w:t>
      </w:r>
      <w:r w:rsidR="004D5417" w:rsidRPr="00582553">
        <w:rPr>
          <w:rFonts w:ascii="Times New Roman" w:hAnsi="Times New Roman" w:cs="Times New Roman"/>
          <w:sz w:val="18"/>
          <w:szCs w:val="18"/>
        </w:rPr>
        <w:t xml:space="preserve"> </w:t>
      </w:r>
      <w:r w:rsidR="004D5417" w:rsidRPr="00582553">
        <w:rPr>
          <w:rFonts w:ascii="Times New Roman" w:hAnsi="Times New Roman" w:cs="Times New Roman"/>
          <w:sz w:val="18"/>
          <w:szCs w:val="18"/>
          <w:lang w:val="en-IE"/>
        </w:rPr>
        <w:t>https://open.overheid.nl/repository/ronl-a594769961105e6f150dc7b2726729961fa404ec/1/pdf/handboek-voor-bewindspersonen.pdf</w:t>
      </w:r>
      <w:r w:rsidRPr="00582553" w:rsidDel="004D5417">
        <w:rPr>
          <w:rFonts w:ascii="Times New Roman" w:hAnsi="Times New Roman" w:cs="Times New Roman"/>
          <w:sz w:val="18"/>
          <w:szCs w:val="18"/>
          <w:lang w:val="en-IE"/>
        </w:rPr>
        <w:t>.</w:t>
      </w:r>
    </w:p>
  </w:footnote>
  <w:footnote w:id="303">
    <w:p w14:paraId="1EB823C3" w14:textId="77777777" w:rsidR="0005333A" w:rsidRPr="00582553" w:rsidRDefault="0005333A" w:rsidP="00582553">
      <w:pPr>
        <w:pStyle w:val="FootnoteText"/>
        <w:spacing w:after="0"/>
        <w:ind w:left="284" w:hanging="284"/>
        <w:rPr>
          <w:rFonts w:ascii="Times New Roman" w:hAnsi="Times New Roman" w:cs="Times New Roman"/>
          <w:sz w:val="18"/>
          <w:szCs w:val="18"/>
          <w:lang w:val="nl-B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nl-BE"/>
        </w:rPr>
        <w:t xml:space="preserve"> </w:t>
      </w:r>
      <w:r w:rsidRPr="00582553">
        <w:rPr>
          <w:rFonts w:ascii="Times New Roman" w:hAnsi="Times New Roman" w:cs="Times New Roman"/>
          <w:sz w:val="18"/>
          <w:szCs w:val="18"/>
          <w:lang w:val="nl-BE"/>
        </w:rPr>
        <w:tab/>
        <w:t>In Dutch, ‘Beroepsvereniging voor Public Affairs’ (BVPA).</w:t>
      </w:r>
    </w:p>
  </w:footnote>
  <w:footnote w:id="304">
    <w:p w14:paraId="1940ACE9" w14:textId="031449A8"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1E4B61" w:rsidRPr="00582553">
        <w:rPr>
          <w:rFonts w:ascii="Times New Roman" w:hAnsi="Times New Roman" w:cs="Times New Roman"/>
          <w:sz w:val="18"/>
          <w:szCs w:val="18"/>
        </w:rPr>
        <w:t>3559 Questions</w:t>
      </w:r>
      <w:r w:rsidRPr="00582553">
        <w:rPr>
          <w:rFonts w:ascii="Times New Roman" w:hAnsi="Times New Roman" w:cs="Times New Roman"/>
          <w:sz w:val="18"/>
          <w:szCs w:val="18"/>
          <w:lang w:val="en-IE"/>
        </w:rPr>
        <w:t xml:space="preserve"> by the members Van Baarle (DENK) and Sneller (D66) to the Minister of Internal Affairs on the report that the Netherlands would fall far behind with rules for lobbyists would fall far behind (submitted May 28, 2021)</w:t>
      </w:r>
      <w:r w:rsidR="001E4B61" w:rsidRPr="00582553">
        <w:rPr>
          <w:rFonts w:ascii="Times New Roman" w:hAnsi="Times New Roman" w:cs="Times New Roman"/>
          <w:sz w:val="18"/>
          <w:szCs w:val="18"/>
          <w:lang w:val="en-IE"/>
        </w:rPr>
        <w:t>, available at: https://zoek.officielebekendmakingen.nl/ah-tk-20202021-3559.pdf</w:t>
      </w:r>
      <w:r w:rsidRPr="00582553">
        <w:rPr>
          <w:rFonts w:ascii="Times New Roman" w:hAnsi="Times New Roman" w:cs="Times New Roman"/>
          <w:sz w:val="18"/>
          <w:szCs w:val="18"/>
          <w:lang w:val="en-IE"/>
        </w:rPr>
        <w:t>. Reply by Minister Ollongren (Internal Affairs) (received July 13, 2021).</w:t>
      </w:r>
    </w:p>
  </w:footnote>
  <w:footnote w:id="305">
    <w:p w14:paraId="61361B8B"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Example of these rules are: the obligation to declare their interests, objectives and purposes and to clarify who are the clients or members that they represent in the meeting; the obligation not to obtain or to seek to obtain information or to persuade public decision-makers by the use of illicit means.</w:t>
      </w:r>
    </w:p>
  </w:footnote>
  <w:footnote w:id="306">
    <w:p w14:paraId="73CB8679" w14:textId="55CD80C4"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Text in English available at:  </w:t>
      </w:r>
      <w:hyperlink r:id="rId55" w:history="1">
        <w:r w:rsidRPr="00582553">
          <w:rPr>
            <w:rStyle w:val="Hyperlink"/>
            <w:rFonts w:ascii="Times New Roman" w:hAnsi="Times New Roman" w:cs="Times New Roman"/>
            <w:sz w:val="18"/>
            <w:szCs w:val="18"/>
            <w:lang w:val="en-IE"/>
          </w:rPr>
          <w:t>https://www.kpk-rs.si/en/wp-content/uploads/sites/2/2021/03/ZintPK-ENG-3.pdf</w:t>
        </w:r>
      </w:hyperlink>
      <w:r w:rsidRPr="00582553">
        <w:rPr>
          <w:rFonts w:ascii="Times New Roman" w:hAnsi="Times New Roman" w:cs="Times New Roman"/>
          <w:sz w:val="18"/>
          <w:szCs w:val="18"/>
          <w:lang w:val="en-IE"/>
        </w:rPr>
        <w:t>).</w:t>
      </w:r>
    </w:p>
  </w:footnote>
  <w:footnote w:id="307">
    <w:p w14:paraId="61F2CE22" w14:textId="52DD165E"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Article 12 of </w:t>
      </w:r>
      <w:r w:rsidR="001E4B61" w:rsidRPr="00582553">
        <w:rPr>
          <w:rFonts w:ascii="Times New Roman" w:hAnsi="Times New Roman" w:cs="Times New Roman"/>
          <w:sz w:val="18"/>
          <w:szCs w:val="18"/>
        </w:rPr>
        <w:t>Law 25/2018</w:t>
      </w:r>
      <w:r w:rsidRPr="00582553">
        <w:rPr>
          <w:rFonts w:ascii="Times New Roman" w:hAnsi="Times New Roman" w:cs="Times New Roman"/>
          <w:sz w:val="18"/>
          <w:szCs w:val="18"/>
          <w:lang w:val="en-IE"/>
        </w:rPr>
        <w:t>, of 10 December, regulating the activity of interest group groups of the Region of Valencia</w:t>
      </w:r>
      <w:r w:rsidR="001E4B61" w:rsidRPr="00582553">
        <w:rPr>
          <w:rFonts w:ascii="Times New Roman" w:hAnsi="Times New Roman" w:cs="Times New Roman"/>
          <w:sz w:val="18"/>
          <w:szCs w:val="18"/>
          <w:lang w:val="en-IE"/>
        </w:rPr>
        <w:t xml:space="preserve">, available at: </w:t>
      </w:r>
      <w:hyperlink r:id="rId56" w:history="1">
        <w:r w:rsidR="001E4B61" w:rsidRPr="00582553">
          <w:rPr>
            <w:rStyle w:val="Hyperlink"/>
            <w:rFonts w:ascii="Times New Roman" w:hAnsi="Times New Roman" w:cs="Times New Roman"/>
            <w:sz w:val="18"/>
            <w:szCs w:val="18"/>
            <w:lang w:val="en-IE"/>
          </w:rPr>
          <w:t>https://www.boe.es/buscar/act.php?id=BOE-A-2019-967</w:t>
        </w:r>
      </w:hyperlink>
      <w:r w:rsidR="001E4B61" w:rsidRPr="00582553">
        <w:rPr>
          <w:rFonts w:ascii="Times New Roman" w:hAnsi="Times New Roman" w:cs="Times New Roman"/>
          <w:sz w:val="18"/>
          <w:szCs w:val="18"/>
          <w:lang w:val="en-IE"/>
        </w:rPr>
        <w:t>.</w:t>
      </w:r>
    </w:p>
  </w:footnote>
  <w:footnote w:id="308">
    <w:p w14:paraId="3ADAEA0F" w14:textId="4F7CD9C8"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1E4B61" w:rsidRPr="00582553">
        <w:rPr>
          <w:rFonts w:ascii="Times New Roman" w:hAnsi="Times New Roman" w:cs="Times New Roman"/>
          <w:sz w:val="18"/>
          <w:szCs w:val="18"/>
        </w:rPr>
        <w:t>Good Practice in Communicating with Lobbyists</w:t>
      </w:r>
      <w:r w:rsidRPr="00582553">
        <w:rPr>
          <w:rFonts w:ascii="Times New Roman" w:hAnsi="Times New Roman" w:cs="Times New Roman"/>
          <w:sz w:val="18"/>
          <w:szCs w:val="18"/>
          <w:lang w:val="en-IE"/>
        </w:rPr>
        <w:t xml:space="preserve"> for Officials, Approved by the decision of the Government of the Republic of Estonia of 18 March 2021</w:t>
      </w:r>
      <w:r w:rsidR="001E4B61" w:rsidRPr="00582553">
        <w:rPr>
          <w:rFonts w:ascii="Times New Roman" w:hAnsi="Times New Roman" w:cs="Times New Roman"/>
          <w:sz w:val="18"/>
          <w:szCs w:val="18"/>
          <w:lang w:val="en-IE"/>
        </w:rPr>
        <w:t>, available at:</w:t>
      </w:r>
      <w:r w:rsidR="001E4B61" w:rsidRPr="00582553">
        <w:rPr>
          <w:rFonts w:ascii="Times New Roman" w:hAnsi="Times New Roman" w:cs="Times New Roman"/>
          <w:sz w:val="18"/>
          <w:szCs w:val="18"/>
        </w:rPr>
        <w:t xml:space="preserve"> </w:t>
      </w:r>
      <w:r w:rsidR="001E4B61" w:rsidRPr="00582553">
        <w:rPr>
          <w:rFonts w:ascii="Times New Roman" w:hAnsi="Times New Roman" w:cs="Times New Roman"/>
          <w:sz w:val="18"/>
          <w:szCs w:val="18"/>
          <w:lang w:val="en-IE"/>
        </w:rPr>
        <w:t>https://www.korruptsioon.ee/sites/www.korruptsioon.ee/files/elfinder/dokumendid/good_practice_in_communicating_with_lobbyists_for_officials_0.pdf</w:t>
      </w:r>
      <w:r w:rsidR="00DB4249" w:rsidRPr="00582553">
        <w:rPr>
          <w:rFonts w:ascii="Times New Roman" w:hAnsi="Times New Roman" w:cs="Times New Roman"/>
          <w:sz w:val="18"/>
          <w:szCs w:val="18"/>
          <w:lang w:val="en-IE"/>
        </w:rPr>
        <w:t>.</w:t>
      </w:r>
    </w:p>
  </w:footnote>
  <w:footnote w:id="309">
    <w:p w14:paraId="7B521704"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22 of the Act on Access to Information.</w:t>
      </w:r>
    </w:p>
  </w:footnote>
  <w:footnote w:id="310">
    <w:p w14:paraId="1749DEEE" w14:textId="268BF19C"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Available at: </w:t>
      </w:r>
      <w:hyperlink r:id="rId57" w:history="1">
        <w:r w:rsidRPr="00582553">
          <w:rPr>
            <w:rStyle w:val="Hyperlink"/>
            <w:rFonts w:ascii="Times New Roman" w:hAnsi="Times New Roman" w:cs="Times New Roman"/>
            <w:sz w:val="18"/>
            <w:szCs w:val="18"/>
            <w:lang w:val="en-IE"/>
          </w:rPr>
          <w:t>https://ww</w:t>
        </w:r>
        <w:bookmarkStart w:id="1184" w:name="_Hlt151554032"/>
        <w:bookmarkEnd w:id="1184"/>
        <w:r w:rsidRPr="00582553">
          <w:rPr>
            <w:rStyle w:val="Hyperlink"/>
            <w:rFonts w:ascii="Times New Roman" w:hAnsi="Times New Roman" w:cs="Times New Roman"/>
            <w:sz w:val="18"/>
            <w:szCs w:val="18"/>
            <w:lang w:val="en-IE"/>
          </w:rPr>
          <w:t>w.parlamento.pt/ActividadeParlamentar/Paginas/DetalheIniciativa.aspx? BID=43223</w:t>
        </w:r>
      </w:hyperlink>
      <w:r w:rsidRPr="00582553">
        <w:rPr>
          <w:rFonts w:ascii="Times New Roman" w:hAnsi="Times New Roman" w:cs="Times New Roman"/>
          <w:sz w:val="18"/>
          <w:szCs w:val="18"/>
          <w:lang w:val="en-IE"/>
        </w:rPr>
        <w:t>.</w:t>
      </w:r>
    </w:p>
  </w:footnote>
  <w:footnote w:id="311">
    <w:p w14:paraId="07FA0849" w14:textId="77777777" w:rsidR="0005333A" w:rsidRPr="00582553" w:rsidRDefault="0005333A" w:rsidP="00582553">
      <w:pPr>
        <w:spacing w:after="0" w:line="240" w:lineRule="auto"/>
        <w:ind w:left="284" w:hanging="284"/>
        <w:jc w:val="both"/>
        <w:rPr>
          <w:rFonts w:ascii="Times New Roman" w:hAnsi="Times New Roman" w:cs="Times New Roman"/>
          <w:color w:val="4472C4"/>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The Act on Restrictions for Ministers and Secretaries of State to take up positions in the Private Sector </w:t>
      </w:r>
      <w:r w:rsidRPr="00582553">
        <w:rPr>
          <w:rFonts w:ascii="Times New Roman" w:hAnsi="Times New Roman" w:cs="Times New Roman"/>
          <w:kern w:val="2"/>
          <w:sz w:val="18"/>
          <w:szCs w:val="18"/>
          <w:lang w:val="en-IE"/>
        </w:rPr>
        <w:t>2018:676.</w:t>
      </w:r>
    </w:p>
  </w:footnote>
  <w:footnote w:id="312">
    <w:p w14:paraId="1E1C985C"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In the following regions: Aragon, Asturias, Castilla-La Mancha, Catalonia, Madrid, Navarre and Valencia. </w:t>
      </w:r>
    </w:p>
  </w:footnote>
  <w:footnote w:id="313">
    <w:p w14:paraId="4A0DD1F8" w14:textId="54C70B90"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1E4B61" w:rsidRPr="00582553">
        <w:rPr>
          <w:rFonts w:ascii="Times New Roman" w:hAnsi="Times New Roman" w:cs="Times New Roman"/>
          <w:sz w:val="18"/>
          <w:szCs w:val="18"/>
        </w:rPr>
        <w:t>Draft Law on the Transparency and Integrity</w:t>
      </w:r>
      <w:r w:rsidRPr="00582553">
        <w:rPr>
          <w:rFonts w:ascii="Times New Roman" w:hAnsi="Times New Roman" w:cs="Times New Roman"/>
          <w:sz w:val="18"/>
          <w:szCs w:val="18"/>
          <w:lang w:val="en-IE"/>
        </w:rPr>
        <w:t xml:space="preserve"> in the Activities of Interest Groups</w:t>
      </w:r>
      <w:r w:rsidR="001E4B61" w:rsidRPr="00582553">
        <w:rPr>
          <w:rFonts w:ascii="Times New Roman" w:hAnsi="Times New Roman" w:cs="Times New Roman"/>
          <w:sz w:val="18"/>
          <w:szCs w:val="18"/>
          <w:lang w:val="en-IE"/>
        </w:rPr>
        <w:t>, available at: https://www.hacienda.gob.es/Documentacion/Publico/NormativaDoctrina/Proyectos/Ley-Transparencia-Ley-NT8-11-22-1.pdf</w:t>
      </w:r>
      <w:r w:rsidRPr="00582553">
        <w:rPr>
          <w:rFonts w:ascii="Times New Roman" w:hAnsi="Times New Roman" w:cs="Times New Roman"/>
          <w:sz w:val="18"/>
          <w:szCs w:val="18"/>
          <w:lang w:val="en-IE"/>
        </w:rPr>
        <w:t>.</w:t>
      </w:r>
    </w:p>
  </w:footnote>
  <w:footnote w:id="314">
    <w:p w14:paraId="0F3CFB0D"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In Valencia, mandatory registration for interest groups contacting regional administration.</w:t>
      </w:r>
    </w:p>
  </w:footnote>
  <w:footnote w:id="315">
    <w:p w14:paraId="3177E10A" w14:textId="38ECBE35"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The request must be sent to the following email address: </w:t>
      </w:r>
      <w:hyperlink r:id="rId58" w:history="1">
        <w:r w:rsidRPr="00582553">
          <w:rPr>
            <w:rStyle w:val="Hyperlink"/>
            <w:rFonts w:ascii="Times New Roman" w:hAnsi="Times New Roman" w:cs="Times New Roman"/>
            <w:sz w:val="18"/>
            <w:szCs w:val="18"/>
            <w:lang w:val="en-IE"/>
          </w:rPr>
          <w:t>registredetransparence@chd.lu</w:t>
        </w:r>
      </w:hyperlink>
    </w:p>
  </w:footnote>
  <w:footnote w:id="316">
    <w:p w14:paraId="5F0102C4" w14:textId="2559BF9F"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In regions of </w:t>
      </w:r>
      <w:r w:rsidR="001E4B61" w:rsidRPr="00582553">
        <w:rPr>
          <w:rFonts w:ascii="Times New Roman" w:hAnsi="Times New Roman" w:cs="Times New Roman"/>
          <w:sz w:val="18"/>
          <w:szCs w:val="18"/>
          <w:lang w:val="en-IE"/>
        </w:rPr>
        <w:t xml:space="preserve">ES </w:t>
      </w:r>
      <w:r w:rsidRPr="00582553">
        <w:rPr>
          <w:rFonts w:ascii="Times New Roman" w:hAnsi="Times New Roman" w:cs="Times New Roman"/>
          <w:sz w:val="18"/>
          <w:szCs w:val="18"/>
          <w:lang w:val="en-IE"/>
        </w:rPr>
        <w:t>with a transparency register, interest representatives must provide financial information. However, in Valencia, data specifically on received funding is required.</w:t>
      </w:r>
    </w:p>
  </w:footnote>
  <w:footnote w:id="317">
    <w:p w14:paraId="44D3F3A4" w14:textId="53DECC8A"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A </w:t>
      </w:r>
      <w:r w:rsidR="00B96748" w:rsidRPr="00582553">
        <w:rPr>
          <w:rFonts w:ascii="Times New Roman" w:hAnsi="Times New Roman" w:cs="Times New Roman"/>
          <w:sz w:val="18"/>
          <w:szCs w:val="18"/>
        </w:rPr>
        <w:t>draft law</w:t>
      </w:r>
      <w:r w:rsidRPr="00582553">
        <w:rPr>
          <w:rFonts w:ascii="Times New Roman" w:hAnsi="Times New Roman" w:cs="Times New Roman"/>
          <w:sz w:val="18"/>
          <w:szCs w:val="18"/>
          <w:lang w:val="en-IE"/>
        </w:rPr>
        <w:t xml:space="preserve"> (‘Draft Law on the Transparency and Integrity in the Activities of Interest Groups’) at national level is under discussion</w:t>
      </w:r>
      <w:r w:rsidR="00B96748" w:rsidRPr="00582553">
        <w:rPr>
          <w:rFonts w:ascii="Times New Roman" w:hAnsi="Times New Roman" w:cs="Times New Roman"/>
          <w:sz w:val="18"/>
          <w:szCs w:val="18"/>
          <w:lang w:val="en-IE"/>
        </w:rPr>
        <w:t>, available at:</w:t>
      </w:r>
      <w:r w:rsidR="00B96748" w:rsidRPr="00582553">
        <w:rPr>
          <w:rFonts w:ascii="Times New Roman" w:hAnsi="Times New Roman" w:cs="Times New Roman"/>
          <w:sz w:val="18"/>
          <w:szCs w:val="18"/>
        </w:rPr>
        <w:t xml:space="preserve"> </w:t>
      </w:r>
      <w:r w:rsidR="00B96748" w:rsidRPr="00582553">
        <w:rPr>
          <w:rFonts w:ascii="Times New Roman" w:hAnsi="Times New Roman" w:cs="Times New Roman"/>
          <w:sz w:val="18"/>
          <w:szCs w:val="18"/>
          <w:lang w:val="en-IE"/>
        </w:rPr>
        <w:t>https://www.hacienda.gob.es/Documentacion/Publico/NormativaDoctrina/Proyectos/Ley-Transparencia-Ley-NT8-11-22-1.pdf</w:t>
      </w:r>
      <w:r w:rsidRPr="00582553">
        <w:rPr>
          <w:rFonts w:ascii="Times New Roman" w:hAnsi="Times New Roman" w:cs="Times New Roman"/>
          <w:sz w:val="18"/>
          <w:szCs w:val="18"/>
          <w:lang w:val="en-IE"/>
        </w:rPr>
        <w:t>.</w:t>
      </w:r>
    </w:p>
  </w:footnote>
  <w:footnote w:id="318">
    <w:p w14:paraId="6721BF77" w14:textId="77777777" w:rsidR="00A90845" w:rsidRPr="00582553" w:rsidRDefault="00A90845"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Catalonia.</w:t>
      </w:r>
    </w:p>
  </w:footnote>
  <w:footnote w:id="319">
    <w:p w14:paraId="5915CEA2" w14:textId="77777777" w:rsidR="0005333A" w:rsidRPr="00582553" w:rsidRDefault="0005333A"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Solely on regional level.</w:t>
      </w:r>
    </w:p>
  </w:footnote>
  <w:footnote w:id="320">
    <w:p w14:paraId="41FF8A49" w14:textId="00EDC521" w:rsidR="00C160DE" w:rsidRPr="00582553" w:rsidRDefault="00C160DE"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2B2C89" w:rsidRPr="00582553">
        <w:rPr>
          <w:rFonts w:ascii="Times New Roman" w:hAnsi="Times New Roman" w:cs="Times New Roman"/>
          <w:sz w:val="18"/>
          <w:szCs w:val="18"/>
        </w:rPr>
        <w:tab/>
      </w:r>
      <w:r w:rsidRPr="00582553">
        <w:rPr>
          <w:rFonts w:ascii="Times New Roman" w:hAnsi="Times New Roman" w:cs="Times New Roman"/>
          <w:sz w:val="18"/>
          <w:szCs w:val="18"/>
        </w:rPr>
        <w:t xml:space="preserve">Data on turnover was not available in </w:t>
      </w:r>
      <w:r w:rsidR="00B96748" w:rsidRPr="00582553">
        <w:rPr>
          <w:rFonts w:ascii="Times New Roman" w:hAnsi="Times New Roman" w:cs="Times New Roman"/>
          <w:sz w:val="18"/>
          <w:szCs w:val="18"/>
        </w:rPr>
        <w:t>CZ</w:t>
      </w:r>
      <w:r w:rsidRPr="00582553">
        <w:rPr>
          <w:rFonts w:ascii="Times New Roman" w:hAnsi="Times New Roman" w:cs="Times New Roman"/>
          <w:sz w:val="18"/>
          <w:szCs w:val="18"/>
        </w:rPr>
        <w:t xml:space="preserve">, </w:t>
      </w:r>
      <w:r w:rsidR="00B96748" w:rsidRPr="00582553">
        <w:rPr>
          <w:rFonts w:ascii="Times New Roman" w:hAnsi="Times New Roman" w:cs="Times New Roman"/>
          <w:sz w:val="18"/>
          <w:szCs w:val="18"/>
        </w:rPr>
        <w:t xml:space="preserve">EE </w:t>
      </w:r>
      <w:r w:rsidRPr="00582553">
        <w:rPr>
          <w:rFonts w:ascii="Times New Roman" w:hAnsi="Times New Roman" w:cs="Times New Roman"/>
          <w:sz w:val="18"/>
          <w:szCs w:val="18"/>
        </w:rPr>
        <w:t xml:space="preserve">and </w:t>
      </w:r>
      <w:r w:rsidR="00B96748" w:rsidRPr="00582553">
        <w:rPr>
          <w:rFonts w:ascii="Times New Roman" w:hAnsi="Times New Roman" w:cs="Times New Roman"/>
          <w:sz w:val="18"/>
          <w:szCs w:val="18"/>
        </w:rPr>
        <w:t>NL</w:t>
      </w:r>
      <w:r w:rsidRPr="00582553">
        <w:rPr>
          <w:rFonts w:ascii="Times New Roman" w:hAnsi="Times New Roman" w:cs="Times New Roman"/>
          <w:sz w:val="18"/>
          <w:szCs w:val="18"/>
        </w:rPr>
        <w:t>.</w:t>
      </w:r>
    </w:p>
  </w:footnote>
  <w:footnote w:id="321">
    <w:p w14:paraId="2F8B8E99" w14:textId="019945D0" w:rsidR="00CC7A50" w:rsidRPr="00582553" w:rsidRDefault="00CC7A50"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2B2C89" w:rsidRPr="00582553">
        <w:rPr>
          <w:rFonts w:ascii="Times New Roman" w:hAnsi="Times New Roman" w:cs="Times New Roman"/>
          <w:sz w:val="18"/>
          <w:szCs w:val="18"/>
        </w:rPr>
        <w:tab/>
      </w:r>
      <w:r w:rsidRPr="00582553">
        <w:rPr>
          <w:rFonts w:ascii="Times New Roman" w:hAnsi="Times New Roman" w:cs="Times New Roman"/>
          <w:sz w:val="18"/>
          <w:szCs w:val="18"/>
        </w:rPr>
        <w:t xml:space="preserve">In </w:t>
      </w:r>
      <w:r w:rsidR="00B96748" w:rsidRPr="00582553">
        <w:rPr>
          <w:rFonts w:ascii="Times New Roman" w:hAnsi="Times New Roman" w:cs="Times New Roman"/>
          <w:sz w:val="18"/>
          <w:szCs w:val="18"/>
        </w:rPr>
        <w:t>ES</w:t>
      </w:r>
      <w:r w:rsidRPr="00582553">
        <w:rPr>
          <w:rFonts w:ascii="Times New Roman" w:hAnsi="Times New Roman" w:cs="Times New Roman"/>
          <w:sz w:val="18"/>
          <w:szCs w:val="18"/>
        </w:rPr>
        <w:t xml:space="preserve">, </w:t>
      </w:r>
      <w:r w:rsidR="00E42F78" w:rsidRPr="00582553">
        <w:rPr>
          <w:rFonts w:ascii="Times New Roman" w:hAnsi="Times New Roman" w:cs="Times New Roman"/>
          <w:sz w:val="18"/>
          <w:szCs w:val="18"/>
        </w:rPr>
        <w:t>pecuniary sanctions only exist at regional level.</w:t>
      </w:r>
    </w:p>
  </w:footnote>
  <w:footnote w:id="322">
    <w:p w14:paraId="1E7C74E2" w14:textId="532A01E6" w:rsidR="00C214B9" w:rsidRPr="00582553" w:rsidRDefault="00C214B9"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2B2C89" w:rsidRPr="00582553">
        <w:rPr>
          <w:rFonts w:ascii="Times New Roman" w:hAnsi="Times New Roman" w:cs="Times New Roman"/>
          <w:sz w:val="18"/>
          <w:szCs w:val="18"/>
        </w:rPr>
        <w:tab/>
      </w:r>
      <w:r w:rsidR="006B26AD" w:rsidRPr="00582553">
        <w:rPr>
          <w:rFonts w:ascii="Times New Roman" w:hAnsi="Times New Roman" w:cs="Times New Roman"/>
          <w:sz w:val="18"/>
          <w:szCs w:val="18"/>
        </w:rPr>
        <w:t xml:space="preserve">In </w:t>
      </w:r>
      <w:r w:rsidR="00B96748" w:rsidRPr="00582553">
        <w:rPr>
          <w:rFonts w:ascii="Times New Roman" w:hAnsi="Times New Roman" w:cs="Times New Roman"/>
          <w:sz w:val="18"/>
          <w:szCs w:val="18"/>
        </w:rPr>
        <w:t>FR</w:t>
      </w:r>
      <w:r w:rsidR="006B26AD" w:rsidRPr="00582553">
        <w:rPr>
          <w:rFonts w:ascii="Times New Roman" w:hAnsi="Times New Roman" w:cs="Times New Roman"/>
          <w:sz w:val="18"/>
          <w:szCs w:val="18"/>
        </w:rPr>
        <w:t>, the sanctions amounts provided are of criminal nature, as in the</w:t>
      </w:r>
      <w:r w:rsidR="00AE546F" w:rsidRPr="00582553">
        <w:rPr>
          <w:rFonts w:ascii="Times New Roman" w:hAnsi="Times New Roman" w:cs="Times New Roman"/>
          <w:sz w:val="18"/>
          <w:szCs w:val="18"/>
        </w:rPr>
        <w:t>y are the highest amounts possible</w:t>
      </w:r>
      <w:r w:rsidR="006B26AD" w:rsidRPr="00582553">
        <w:rPr>
          <w:rFonts w:ascii="Times New Roman" w:hAnsi="Times New Roman" w:cs="Times New Roman"/>
          <w:sz w:val="18"/>
          <w:szCs w:val="18"/>
        </w:rPr>
        <w:t>. Figures for all other Member States concern administrative sanctions.</w:t>
      </w:r>
    </w:p>
  </w:footnote>
  <w:footnote w:id="323">
    <w:p w14:paraId="1764CC2F" w14:textId="7A1254F1" w:rsidR="008763FC" w:rsidRPr="00582553" w:rsidRDefault="008763FC"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Fonts w:ascii="Times New Roman" w:eastAsia="Times New Roman" w:hAnsi="Times New Roman" w:cs="Times New Roman"/>
          <w:sz w:val="18"/>
          <w:szCs w:val="18"/>
          <w:lang w:val="en-IE" w:eastAsia="en-IE"/>
        </w:rPr>
        <w:t>Core interest representation services in the FARA system relate to the following categories: “Legal and Other Services/Lobbying”, “Lobbying”, “Public Relations”, “U.S. Policy Consultant”.</w:t>
      </w:r>
    </w:p>
  </w:footnote>
  <w:footnote w:id="324">
    <w:p w14:paraId="06DECF23" w14:textId="41271713" w:rsidR="00A9771E" w:rsidRPr="00582553" w:rsidRDefault="00A9771E" w:rsidP="00582553">
      <w:pPr>
        <w:pStyle w:val="FootnoteText"/>
        <w:spacing w:after="0"/>
        <w:ind w:left="284" w:hanging="284"/>
        <w:rPr>
          <w:rStyle w:val="Hyperlink"/>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According to World Bank data for 2020, the US nominal GDP was of USD 20,893,746 bn, and that of the EU was of USD 15,292,101 bn, making the </w:t>
      </w:r>
      <w:r w:rsidR="00B86499" w:rsidRPr="00582553">
        <w:rPr>
          <w:rFonts w:ascii="Times New Roman" w:hAnsi="Times New Roman" w:cs="Times New Roman"/>
          <w:sz w:val="18"/>
          <w:szCs w:val="18"/>
        </w:rPr>
        <w:t>EU</w:t>
      </w:r>
      <w:r w:rsidRPr="00582553">
        <w:rPr>
          <w:rFonts w:ascii="Times New Roman" w:hAnsi="Times New Roman" w:cs="Times New Roman"/>
          <w:sz w:val="18"/>
          <w:szCs w:val="18"/>
        </w:rPr>
        <w:t xml:space="preserve">’ economy approximately 25% </w:t>
      </w:r>
      <w:r w:rsidR="00B86499" w:rsidRPr="00582553">
        <w:rPr>
          <w:rFonts w:ascii="Times New Roman" w:hAnsi="Times New Roman" w:cs="Times New Roman"/>
          <w:sz w:val="18"/>
          <w:szCs w:val="18"/>
        </w:rPr>
        <w:t>smaller</w:t>
      </w:r>
      <w:r w:rsidRPr="00582553">
        <w:rPr>
          <w:rFonts w:ascii="Times New Roman" w:hAnsi="Times New Roman" w:cs="Times New Roman"/>
          <w:sz w:val="18"/>
          <w:szCs w:val="18"/>
        </w:rPr>
        <w:t xml:space="preserve"> than that of the </w:t>
      </w:r>
      <w:r w:rsidR="00B86499" w:rsidRPr="00582553">
        <w:rPr>
          <w:rFonts w:ascii="Times New Roman" w:hAnsi="Times New Roman" w:cs="Times New Roman"/>
          <w:sz w:val="18"/>
          <w:szCs w:val="18"/>
        </w:rPr>
        <w:t>US</w:t>
      </w:r>
      <w:r w:rsidRPr="00582553">
        <w:rPr>
          <w:rFonts w:ascii="Times New Roman" w:hAnsi="Times New Roman" w:cs="Times New Roman"/>
          <w:sz w:val="18"/>
          <w:szCs w:val="18"/>
        </w:rPr>
        <w:t xml:space="preserve">. Figures </w:t>
      </w:r>
      <w:r w:rsidR="00023A80" w:rsidRPr="00582553">
        <w:rPr>
          <w:rFonts w:ascii="Times New Roman" w:hAnsi="Times New Roman" w:cs="Times New Roman"/>
          <w:sz w:val="18"/>
          <w:szCs w:val="18"/>
        </w:rPr>
        <w:t xml:space="preserve">available at the following link: </w:t>
      </w:r>
      <w:hyperlink r:id="rId59" w:history="1">
        <w:r w:rsidR="00023A80" w:rsidRPr="00582553">
          <w:rPr>
            <w:rStyle w:val="Hyperlink"/>
            <w:rFonts w:ascii="Times New Roman" w:hAnsi="Times New Roman" w:cs="Times New Roman"/>
            <w:sz w:val="18"/>
            <w:szCs w:val="18"/>
          </w:rPr>
          <w:t>https://data.worldbank.org/indicator/NY.GDP.MKTP.CD?most_recent_value_desc=true</w:t>
        </w:r>
      </w:hyperlink>
      <w:r w:rsidR="00023A80" w:rsidRPr="00582553">
        <w:rPr>
          <w:rFonts w:ascii="Times New Roman" w:hAnsi="Times New Roman" w:cs="Times New Roman"/>
          <w:sz w:val="18"/>
          <w:szCs w:val="18"/>
        </w:rPr>
        <w:t xml:space="preserve">. </w:t>
      </w:r>
    </w:p>
  </w:footnote>
  <w:footnote w:id="325">
    <w:p w14:paraId="2CBD1FCC" w14:textId="77777777" w:rsidR="00A9771E" w:rsidRPr="00582553" w:rsidRDefault="00A9771E"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EUR 11,284,730.04*0.75= EUR 8,463,547.53</w:t>
      </w:r>
    </w:p>
  </w:footnote>
  <w:footnote w:id="326">
    <w:p w14:paraId="5AEB2A6C" w14:textId="28D35A3A" w:rsidR="00F55431" w:rsidRPr="00582553" w:rsidRDefault="00F55431"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Fonts w:ascii="Times New Roman" w:eastAsia="Times New Roman" w:hAnsi="Times New Roman" w:cs="Times New Roman"/>
          <w:sz w:val="18"/>
          <w:szCs w:val="18"/>
          <w:lang w:val="en-IE" w:eastAsia="en-IE"/>
        </w:rPr>
        <w:t xml:space="preserve">For countries like China or Russia, the vast majority of the total spending reported under FARA falls into activities which are covered by FARA but that would not fall into the scope of the </w:t>
      </w:r>
      <w:r w:rsidR="009C544F" w:rsidRPr="00582553">
        <w:rPr>
          <w:rFonts w:ascii="Times New Roman" w:eastAsia="Times New Roman" w:hAnsi="Times New Roman" w:cs="Times New Roman"/>
          <w:sz w:val="18"/>
          <w:szCs w:val="18"/>
          <w:lang w:val="en-IE" w:eastAsia="en-IE"/>
        </w:rPr>
        <w:t>preferred option</w:t>
      </w:r>
      <w:r w:rsidRPr="00582553">
        <w:rPr>
          <w:rFonts w:ascii="Times New Roman" w:eastAsia="Times New Roman" w:hAnsi="Times New Roman" w:cs="Times New Roman"/>
          <w:sz w:val="18"/>
          <w:szCs w:val="18"/>
          <w:lang w:val="en-IE" w:eastAsia="en-IE"/>
        </w:rPr>
        <w:t>, such as “Broadcast spent in broadcast services etc.”, hence the drops in amounts.</w:t>
      </w:r>
    </w:p>
  </w:footnote>
  <w:footnote w:id="327">
    <w:p w14:paraId="03BD836E" w14:textId="72BB2F42" w:rsidR="00035518" w:rsidRPr="00582553" w:rsidRDefault="00035518"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2B2C89" w:rsidRPr="00582553">
        <w:rPr>
          <w:rFonts w:ascii="Times New Roman" w:hAnsi="Times New Roman" w:cs="Times New Roman"/>
          <w:sz w:val="18"/>
          <w:szCs w:val="18"/>
        </w:rPr>
        <w:tab/>
      </w:r>
      <w:r w:rsidRPr="00582553">
        <w:rPr>
          <w:rFonts w:ascii="Times New Roman" w:hAnsi="Times New Roman" w:cs="Times New Roman"/>
          <w:sz w:val="18"/>
          <w:szCs w:val="18"/>
        </w:rPr>
        <w:t>Figures from</w:t>
      </w:r>
      <w:r w:rsidR="005509C6" w:rsidRPr="00582553">
        <w:rPr>
          <w:rFonts w:ascii="Times New Roman" w:hAnsi="Times New Roman" w:cs="Times New Roman"/>
          <w:sz w:val="18"/>
          <w:szCs w:val="18"/>
        </w:rPr>
        <w:t>:</w:t>
      </w:r>
      <w:r w:rsidRPr="00582553">
        <w:rPr>
          <w:rFonts w:ascii="Times New Roman" w:hAnsi="Times New Roman" w:cs="Times New Roman"/>
          <w:sz w:val="18"/>
          <w:szCs w:val="18"/>
        </w:rPr>
        <w:t xml:space="preserve"> </w:t>
      </w:r>
      <w:r w:rsidR="00F87D4D" w:rsidRPr="00582553">
        <w:rPr>
          <w:rFonts w:ascii="Times New Roman" w:hAnsi="Times New Roman" w:cs="Times New Roman"/>
          <w:sz w:val="18"/>
          <w:szCs w:val="18"/>
        </w:rPr>
        <w:t xml:space="preserve">‘Percentage share of the European Union’s Gross Domestic Product (GDP) in 2022, by member state’, Statista, </w:t>
      </w:r>
      <w:hyperlink r:id="rId60" w:history="1">
        <w:r w:rsidR="00F87D4D" w:rsidRPr="00582553">
          <w:rPr>
            <w:rStyle w:val="Hyperlink"/>
            <w:rFonts w:ascii="Times New Roman" w:hAnsi="Times New Roman" w:cs="Times New Roman"/>
            <w:sz w:val="18"/>
            <w:szCs w:val="18"/>
          </w:rPr>
          <w:t>https://www.statista.com/statistics/1373419/eu-gdp-percentage-share-member-state-2022/</w:t>
        </w:r>
      </w:hyperlink>
      <w:r w:rsidR="00F87D4D" w:rsidRPr="00582553">
        <w:rPr>
          <w:rFonts w:ascii="Times New Roman" w:hAnsi="Times New Roman" w:cs="Times New Roman"/>
          <w:sz w:val="18"/>
          <w:szCs w:val="18"/>
        </w:rPr>
        <w:t>.</w:t>
      </w:r>
      <w:r w:rsidRPr="00582553">
        <w:rPr>
          <w:rFonts w:ascii="Times New Roman" w:hAnsi="Times New Roman" w:cs="Times New Roman"/>
          <w:sz w:val="18"/>
          <w:szCs w:val="18"/>
        </w:rPr>
        <w:t xml:space="preserve"> </w:t>
      </w:r>
    </w:p>
  </w:footnote>
  <w:footnote w:id="328">
    <w:p w14:paraId="7649658D" w14:textId="41AE1741" w:rsidR="00344CF0" w:rsidRPr="00582553" w:rsidRDefault="00344CF0"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See, to that effect, judgments of </w:t>
      </w:r>
      <w:r w:rsidR="0000066A" w:rsidRPr="00582553">
        <w:rPr>
          <w:rFonts w:ascii="Times New Roman" w:hAnsi="Times New Roman" w:cs="Times New Roman"/>
          <w:sz w:val="18"/>
          <w:szCs w:val="18"/>
          <w:lang w:val="en-IE"/>
        </w:rPr>
        <w:t>the Court of Justice</w:t>
      </w:r>
      <w:r w:rsidRPr="00582553">
        <w:rPr>
          <w:rFonts w:ascii="Times New Roman" w:hAnsi="Times New Roman" w:cs="Times New Roman"/>
          <w:sz w:val="18"/>
          <w:szCs w:val="18"/>
          <w:lang w:val="en-IE"/>
        </w:rPr>
        <w:t xml:space="preserve"> 20 May 2003</w:t>
      </w:r>
      <w:r w:rsidRPr="00582553">
        <w:rPr>
          <w:rFonts w:ascii="Times New Roman" w:hAnsi="Times New Roman" w:cs="Times New Roman"/>
          <w:i/>
          <w:sz w:val="18"/>
          <w:szCs w:val="18"/>
          <w:lang w:val="en-IE"/>
        </w:rPr>
        <w:t>, Österreichischer Rundfunk and Others</w:t>
      </w:r>
      <w:r w:rsidRPr="00582553">
        <w:rPr>
          <w:rFonts w:ascii="Times New Roman" w:hAnsi="Times New Roman" w:cs="Times New Roman"/>
          <w:sz w:val="18"/>
          <w:szCs w:val="18"/>
          <w:lang w:val="en-IE"/>
        </w:rPr>
        <w:t xml:space="preserve">, C‑465/00, C‑138/01 and C‑139/01, EU:C:2003:294, paragraphs 73 to 75 and 87 to 89; of 9 November 2010, </w:t>
      </w:r>
      <w:r w:rsidRPr="00582553">
        <w:rPr>
          <w:rFonts w:ascii="Times New Roman" w:hAnsi="Times New Roman" w:cs="Times New Roman"/>
          <w:i/>
          <w:sz w:val="18"/>
          <w:szCs w:val="18"/>
          <w:lang w:val="en-IE"/>
        </w:rPr>
        <w:t>Volker und Markus Schecke and Eifert</w:t>
      </w:r>
      <w:r w:rsidRPr="00582553">
        <w:rPr>
          <w:rFonts w:ascii="Times New Roman" w:hAnsi="Times New Roman" w:cs="Times New Roman"/>
          <w:sz w:val="18"/>
          <w:szCs w:val="18"/>
          <w:lang w:val="en-IE"/>
        </w:rPr>
        <w:t xml:space="preserve">,  C‑92/09 and C‑93/09, EU:C:2010:662, paragraphs 56 to 58 and 64; and of 2 October 2018, </w:t>
      </w:r>
      <w:r w:rsidRPr="00582553">
        <w:rPr>
          <w:rFonts w:ascii="Times New Roman" w:hAnsi="Times New Roman" w:cs="Times New Roman"/>
          <w:i/>
          <w:sz w:val="18"/>
          <w:szCs w:val="18"/>
          <w:lang w:val="en-IE"/>
        </w:rPr>
        <w:t>Ministerio Fiscal</w:t>
      </w:r>
      <w:r w:rsidRPr="00582553">
        <w:rPr>
          <w:rFonts w:ascii="Times New Roman" w:hAnsi="Times New Roman" w:cs="Times New Roman"/>
          <w:sz w:val="18"/>
          <w:szCs w:val="18"/>
          <w:lang w:val="en-IE"/>
        </w:rPr>
        <w:t>,  C‑207/16, EU:C:2018:788, paragraphs 48 and 51).</w:t>
      </w:r>
    </w:p>
  </w:footnote>
  <w:footnote w:id="329">
    <w:p w14:paraId="78C9BF2A" w14:textId="7F190967" w:rsidR="00344CF0" w:rsidRPr="00582553" w:rsidRDefault="00344CF0"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Judgment of </w:t>
      </w:r>
      <w:r w:rsidR="0000066A" w:rsidRPr="00582553">
        <w:rPr>
          <w:rFonts w:ascii="Times New Roman" w:hAnsi="Times New Roman" w:cs="Times New Roman"/>
          <w:sz w:val="18"/>
          <w:szCs w:val="18"/>
          <w:lang w:val="en-IE"/>
        </w:rPr>
        <w:t xml:space="preserve">the Court of Justice of </w:t>
      </w:r>
      <w:r w:rsidRPr="00582553">
        <w:rPr>
          <w:rFonts w:ascii="Times New Roman" w:hAnsi="Times New Roman" w:cs="Times New Roman"/>
          <w:sz w:val="18"/>
          <w:szCs w:val="18"/>
          <w:lang w:val="en-IE"/>
        </w:rPr>
        <w:t xml:space="preserve">22 November 2022, </w:t>
      </w:r>
      <w:r w:rsidRPr="00582553">
        <w:rPr>
          <w:rFonts w:ascii="Times New Roman" w:hAnsi="Times New Roman" w:cs="Times New Roman"/>
          <w:i/>
          <w:sz w:val="18"/>
          <w:szCs w:val="18"/>
          <w:lang w:val="en-IE"/>
        </w:rPr>
        <w:t>Luxembourg Business Registers</w:t>
      </w:r>
      <w:r w:rsidRPr="00582553">
        <w:rPr>
          <w:rFonts w:ascii="Times New Roman" w:hAnsi="Times New Roman" w:cs="Times New Roman"/>
          <w:sz w:val="18"/>
          <w:szCs w:val="18"/>
          <w:lang w:val="en-IE"/>
        </w:rPr>
        <w:t>, joined cases C-37/20 and C-601/20, EU:C:2022:912, paragraphs 42</w:t>
      </w:r>
      <w:r w:rsidR="006265F2" w:rsidRPr="00582553">
        <w:rPr>
          <w:rFonts w:ascii="Times New Roman" w:hAnsi="Times New Roman" w:cs="Times New Roman"/>
          <w:sz w:val="18"/>
          <w:szCs w:val="18"/>
          <w:lang w:val="en-IE"/>
        </w:rPr>
        <w:t xml:space="preserve"> to </w:t>
      </w:r>
      <w:r w:rsidRPr="00582553">
        <w:rPr>
          <w:rFonts w:ascii="Times New Roman" w:hAnsi="Times New Roman" w:cs="Times New Roman"/>
          <w:sz w:val="18"/>
          <w:szCs w:val="18"/>
          <w:lang w:val="en-IE"/>
        </w:rPr>
        <w:t>44.</w:t>
      </w:r>
    </w:p>
  </w:footnote>
  <w:footnote w:id="330">
    <w:p w14:paraId="6EB7B2A7" w14:textId="422F93FB" w:rsidR="00344CF0" w:rsidRPr="00582553" w:rsidRDefault="00344CF0"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796405" w:rsidRPr="00582553">
        <w:rPr>
          <w:rFonts w:ascii="Times New Roman" w:hAnsi="Times New Roman" w:cs="Times New Roman"/>
          <w:sz w:val="18"/>
          <w:szCs w:val="18"/>
          <w:lang w:val="en-IE"/>
        </w:rPr>
        <w:t>See note</w:t>
      </w:r>
      <w:r w:rsidR="000E21B2" w:rsidRPr="00582553">
        <w:rPr>
          <w:rFonts w:ascii="Times New Roman" w:hAnsi="Times New Roman" w:cs="Times New Roman"/>
          <w:sz w:val="18"/>
          <w:szCs w:val="18"/>
          <w:lang w:val="en-IE"/>
        </w:rPr>
        <w:t xml:space="preserve"> </w:t>
      </w:r>
      <w:r w:rsidR="000E21B2" w:rsidRPr="00582553">
        <w:rPr>
          <w:rFonts w:ascii="Times New Roman" w:hAnsi="Times New Roman" w:cs="Times New Roman"/>
          <w:sz w:val="18"/>
          <w:szCs w:val="18"/>
          <w:lang w:val="en-IE"/>
        </w:rPr>
        <w:fldChar w:fldCharType="begin"/>
      </w:r>
      <w:r w:rsidR="000E21B2" w:rsidRPr="00582553">
        <w:rPr>
          <w:rFonts w:ascii="Times New Roman" w:hAnsi="Times New Roman" w:cs="Times New Roman"/>
          <w:sz w:val="18"/>
          <w:szCs w:val="18"/>
          <w:lang w:val="en-IE"/>
        </w:rPr>
        <w:instrText xml:space="preserve"> NOTEREF _Ref147913752 \h  \* MERGEFORMAT </w:instrText>
      </w:r>
      <w:r w:rsidR="000E21B2" w:rsidRPr="00582553">
        <w:rPr>
          <w:rFonts w:ascii="Times New Roman" w:hAnsi="Times New Roman" w:cs="Times New Roman"/>
          <w:sz w:val="18"/>
          <w:szCs w:val="18"/>
          <w:lang w:val="en-IE"/>
        </w:rPr>
      </w:r>
      <w:r w:rsidR="000E21B2"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328</w:t>
      </w:r>
      <w:r w:rsidR="000E21B2"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 paragraphs 45</w:t>
      </w:r>
      <w:r w:rsidR="006265F2" w:rsidRPr="00582553">
        <w:rPr>
          <w:rFonts w:ascii="Times New Roman" w:hAnsi="Times New Roman" w:cs="Times New Roman"/>
          <w:sz w:val="18"/>
          <w:szCs w:val="18"/>
          <w:lang w:val="en-IE"/>
        </w:rPr>
        <w:t xml:space="preserve"> to </w:t>
      </w:r>
      <w:r w:rsidRPr="00582553">
        <w:rPr>
          <w:rFonts w:ascii="Times New Roman" w:hAnsi="Times New Roman" w:cs="Times New Roman"/>
          <w:sz w:val="18"/>
          <w:szCs w:val="18"/>
          <w:lang w:val="en-IE"/>
        </w:rPr>
        <w:t>63 and the case-law cited.</w:t>
      </w:r>
    </w:p>
  </w:footnote>
  <w:footnote w:id="331">
    <w:p w14:paraId="6146C69F" w14:textId="364CC9A5" w:rsidR="0052043D" w:rsidRPr="00582553" w:rsidRDefault="0052043D"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8D4D8C" w:rsidRPr="00582553">
        <w:rPr>
          <w:rFonts w:ascii="Times New Roman" w:hAnsi="Times New Roman" w:cs="Times New Roman"/>
          <w:sz w:val="18"/>
          <w:szCs w:val="18"/>
        </w:rPr>
        <w:t xml:space="preserve">See note </w:t>
      </w:r>
      <w:r w:rsidR="008D4D8C" w:rsidRPr="00582553">
        <w:rPr>
          <w:rFonts w:ascii="Times New Roman" w:hAnsi="Times New Roman" w:cs="Times New Roman"/>
          <w:sz w:val="18"/>
          <w:szCs w:val="18"/>
        </w:rPr>
        <w:fldChar w:fldCharType="begin"/>
      </w:r>
      <w:r w:rsidR="008D4D8C" w:rsidRPr="00582553">
        <w:rPr>
          <w:rFonts w:ascii="Times New Roman" w:hAnsi="Times New Roman" w:cs="Times New Roman"/>
          <w:sz w:val="18"/>
          <w:szCs w:val="18"/>
        </w:rPr>
        <w:instrText xml:space="preserve"> NOTEREF _Ref147837080 \h  \* MERGEFORMAT </w:instrText>
      </w:r>
      <w:r w:rsidR="008D4D8C" w:rsidRPr="00582553">
        <w:rPr>
          <w:rFonts w:ascii="Times New Roman" w:hAnsi="Times New Roman" w:cs="Times New Roman"/>
          <w:sz w:val="18"/>
          <w:szCs w:val="18"/>
        </w:rPr>
      </w:r>
      <w:r w:rsidR="008D4D8C"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182</w:t>
      </w:r>
      <w:r w:rsidR="008D4D8C" w:rsidRPr="00582553">
        <w:rPr>
          <w:rFonts w:ascii="Times New Roman" w:hAnsi="Times New Roman" w:cs="Times New Roman"/>
          <w:sz w:val="18"/>
          <w:szCs w:val="18"/>
        </w:rPr>
        <w:fldChar w:fldCharType="end"/>
      </w:r>
      <w:r w:rsidRPr="00582553">
        <w:rPr>
          <w:rFonts w:ascii="Times New Roman" w:hAnsi="Times New Roman" w:cs="Times New Roman"/>
          <w:sz w:val="18"/>
          <w:szCs w:val="18"/>
          <w:lang w:val="en-IE"/>
        </w:rPr>
        <w:t>, paragraph 105.</w:t>
      </w:r>
    </w:p>
  </w:footnote>
  <w:footnote w:id="332">
    <w:p w14:paraId="733EACAE" w14:textId="3AE08107" w:rsidR="0052043D" w:rsidRPr="00582553" w:rsidRDefault="0052043D"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1C4A5A">
        <w:rPr>
          <w:rFonts w:ascii="Times New Roman" w:hAnsi="Times New Roman" w:cs="Times New Roman"/>
          <w:sz w:val="18"/>
          <w:szCs w:val="18"/>
          <w:lang w:val="en-IE"/>
        </w:rPr>
        <w:t xml:space="preserve"> </w:t>
      </w:r>
      <w:r w:rsidRPr="001C4A5A">
        <w:rPr>
          <w:rFonts w:ascii="Times New Roman" w:hAnsi="Times New Roman" w:cs="Times New Roman"/>
          <w:sz w:val="18"/>
          <w:szCs w:val="18"/>
          <w:lang w:val="en-IE"/>
        </w:rPr>
        <w:tab/>
        <w:t>See note</w:t>
      </w:r>
      <w:r w:rsidR="001F7A14" w:rsidRPr="001C4A5A">
        <w:rPr>
          <w:rFonts w:ascii="Times New Roman" w:hAnsi="Times New Roman" w:cs="Times New Roman"/>
          <w:sz w:val="18"/>
          <w:szCs w:val="18"/>
          <w:lang w:val="en-IE"/>
        </w:rPr>
        <w:t xml:space="preserve"> </w:t>
      </w:r>
      <w:r w:rsidR="001F7A14" w:rsidRPr="001C4A5A">
        <w:rPr>
          <w:rFonts w:ascii="Times New Roman" w:hAnsi="Times New Roman" w:cs="Times New Roman"/>
          <w:sz w:val="18"/>
          <w:szCs w:val="18"/>
          <w:lang w:val="en-IE"/>
        </w:rPr>
        <w:fldChar w:fldCharType="begin"/>
      </w:r>
      <w:r w:rsidR="001F7A14" w:rsidRPr="001C4A5A">
        <w:rPr>
          <w:rFonts w:ascii="Times New Roman" w:hAnsi="Times New Roman" w:cs="Times New Roman"/>
          <w:sz w:val="18"/>
          <w:szCs w:val="18"/>
          <w:lang w:val="en-IE"/>
        </w:rPr>
        <w:instrText xml:space="preserve"> NOTEREF _Ref151564725 \h </w:instrText>
      </w:r>
      <w:r w:rsidR="001C4A5A">
        <w:rPr>
          <w:rFonts w:ascii="Times New Roman" w:hAnsi="Times New Roman" w:cs="Times New Roman"/>
          <w:sz w:val="18"/>
          <w:szCs w:val="18"/>
          <w:lang w:val="en-IE"/>
        </w:rPr>
        <w:instrText xml:space="preserve"> \* MERGEFORMAT </w:instrText>
      </w:r>
      <w:r w:rsidR="001F7A14" w:rsidRPr="001C4A5A">
        <w:rPr>
          <w:rFonts w:ascii="Times New Roman" w:hAnsi="Times New Roman" w:cs="Times New Roman"/>
          <w:sz w:val="18"/>
          <w:szCs w:val="18"/>
          <w:lang w:val="en-IE"/>
        </w:rPr>
      </w:r>
      <w:r w:rsidR="001F7A14" w:rsidRPr="001C4A5A">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125</w:t>
      </w:r>
      <w:r w:rsidR="001F7A14" w:rsidRPr="001C4A5A">
        <w:rPr>
          <w:rFonts w:ascii="Times New Roman" w:hAnsi="Times New Roman" w:cs="Times New Roman"/>
          <w:sz w:val="18"/>
          <w:szCs w:val="18"/>
          <w:lang w:val="en-IE"/>
        </w:rPr>
        <w:fldChar w:fldCharType="end"/>
      </w:r>
      <w:r w:rsidRPr="001C4A5A">
        <w:rPr>
          <w:rFonts w:ascii="Times New Roman" w:hAnsi="Times New Roman" w:cs="Times New Roman"/>
          <w:sz w:val="18"/>
          <w:szCs w:val="18"/>
          <w:lang w:val="en-IE"/>
        </w:rPr>
        <w:t>, paragraph 79.</w:t>
      </w:r>
    </w:p>
  </w:footnote>
  <w:footnote w:id="333">
    <w:p w14:paraId="774DAF58" w14:textId="51C2CB53" w:rsidR="00344CF0" w:rsidRPr="00582553" w:rsidRDefault="00344CF0"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 xml:space="preserve">See </w:t>
      </w:r>
      <w:r w:rsidR="004B772F" w:rsidRPr="00582553">
        <w:rPr>
          <w:rFonts w:ascii="Times New Roman" w:hAnsi="Times New Roman" w:cs="Times New Roman"/>
          <w:sz w:val="18"/>
          <w:szCs w:val="18"/>
          <w:lang w:val="en-IE"/>
        </w:rPr>
        <w:t xml:space="preserve">note </w:t>
      </w:r>
      <w:r w:rsidR="004B772F" w:rsidRPr="00582553">
        <w:rPr>
          <w:rFonts w:ascii="Times New Roman" w:hAnsi="Times New Roman" w:cs="Times New Roman"/>
          <w:sz w:val="18"/>
          <w:szCs w:val="18"/>
          <w:lang w:val="en-IE"/>
        </w:rPr>
        <w:fldChar w:fldCharType="begin"/>
      </w:r>
      <w:r w:rsidR="004B772F" w:rsidRPr="00582553">
        <w:rPr>
          <w:rFonts w:ascii="Times New Roman" w:hAnsi="Times New Roman" w:cs="Times New Roman"/>
          <w:sz w:val="18"/>
          <w:szCs w:val="18"/>
          <w:lang w:val="en-IE"/>
        </w:rPr>
        <w:instrText xml:space="preserve"> NOTEREF _Ref147913752 \h  \* MERGEFORMAT </w:instrText>
      </w:r>
      <w:r w:rsidR="004B772F" w:rsidRPr="00582553">
        <w:rPr>
          <w:rFonts w:ascii="Times New Roman" w:hAnsi="Times New Roman" w:cs="Times New Roman"/>
          <w:sz w:val="18"/>
          <w:szCs w:val="18"/>
          <w:lang w:val="en-IE"/>
        </w:rPr>
      </w:r>
      <w:r w:rsidR="004B772F"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328</w:t>
      </w:r>
      <w:r w:rsidR="004B772F"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 paragraphs 51</w:t>
      </w:r>
      <w:r w:rsidR="006265F2" w:rsidRPr="00582553">
        <w:rPr>
          <w:rFonts w:ascii="Times New Roman" w:hAnsi="Times New Roman" w:cs="Times New Roman"/>
          <w:sz w:val="18"/>
          <w:szCs w:val="18"/>
          <w:lang w:val="en-IE"/>
        </w:rPr>
        <w:t xml:space="preserve"> to </w:t>
      </w:r>
      <w:r w:rsidRPr="00582553">
        <w:rPr>
          <w:rFonts w:ascii="Times New Roman" w:hAnsi="Times New Roman" w:cs="Times New Roman"/>
          <w:sz w:val="18"/>
          <w:szCs w:val="18"/>
          <w:lang w:val="en-IE"/>
        </w:rPr>
        <w:t>52.</w:t>
      </w:r>
    </w:p>
  </w:footnote>
  <w:footnote w:id="334">
    <w:p w14:paraId="60E3F263" w14:textId="60D961C9" w:rsidR="00021612" w:rsidRPr="00582553" w:rsidRDefault="00021612"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ab/>
        <w:t>See section 5</w:t>
      </w:r>
      <w:r w:rsidR="009C35DF" w:rsidRPr="00582553">
        <w:rPr>
          <w:rFonts w:ascii="Times New Roman" w:hAnsi="Times New Roman" w:cs="Times New Roman"/>
          <w:sz w:val="18"/>
          <w:szCs w:val="18"/>
          <w:lang w:val="en-IE"/>
        </w:rPr>
        <w:t>.3.2.1</w:t>
      </w:r>
      <w:r w:rsidRPr="00582553">
        <w:rPr>
          <w:rFonts w:ascii="Times New Roman" w:hAnsi="Times New Roman" w:cs="Times New Roman"/>
          <w:sz w:val="18"/>
          <w:szCs w:val="18"/>
          <w:lang w:val="en-IE"/>
        </w:rPr>
        <w:t xml:space="preserve"> for details on the information to be made public.</w:t>
      </w:r>
    </w:p>
  </w:footnote>
  <w:footnote w:id="335">
    <w:p w14:paraId="0421662E" w14:textId="2E0C5BFA" w:rsidR="00F94781" w:rsidRPr="00582553" w:rsidRDefault="00F94781"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6265F2" w:rsidRPr="00582553">
        <w:rPr>
          <w:rFonts w:ascii="Times New Roman" w:hAnsi="Times New Roman" w:cs="Times New Roman"/>
          <w:sz w:val="18"/>
          <w:szCs w:val="18"/>
          <w:lang w:val="en-IE"/>
        </w:rPr>
        <w:t xml:space="preserve">‘Fundamental Rights Report 2022’, European Union Agency for Fundamental Rights, available at: </w:t>
      </w:r>
      <w:hyperlink r:id="rId61" w:history="1">
        <w:r w:rsidR="006265F2" w:rsidRPr="00582553">
          <w:rPr>
            <w:rStyle w:val="Hyperlink"/>
            <w:rFonts w:ascii="Times New Roman" w:hAnsi="Times New Roman" w:cs="Times New Roman"/>
            <w:sz w:val="18"/>
            <w:szCs w:val="18"/>
            <w:lang w:val="en-IE"/>
          </w:rPr>
          <w:t>https://fra.europa.eu/en/publication/2022/fundamental-rights-report-2022-fra-opinions</w:t>
        </w:r>
      </w:hyperlink>
      <w:r w:rsidR="006265F2" w:rsidRPr="00582553">
        <w:rPr>
          <w:rFonts w:ascii="Times New Roman" w:hAnsi="Times New Roman" w:cs="Times New Roman"/>
          <w:sz w:val="18"/>
          <w:szCs w:val="18"/>
          <w:lang w:val="en-IE"/>
        </w:rPr>
        <w:t>.</w:t>
      </w:r>
      <w:r w:rsidRPr="00582553">
        <w:rPr>
          <w:rFonts w:ascii="Times New Roman" w:hAnsi="Times New Roman" w:cs="Times New Roman"/>
          <w:sz w:val="18"/>
          <w:szCs w:val="18"/>
          <w:lang w:val="en-IE"/>
        </w:rPr>
        <w:t xml:space="preserve"> </w:t>
      </w:r>
    </w:p>
  </w:footnote>
  <w:footnote w:id="336">
    <w:p w14:paraId="1059B254" w14:textId="62EDC4DE" w:rsidR="00F94781" w:rsidRPr="00582553" w:rsidRDefault="00F94781"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See also the Communication from the Commission to the European Parliament, the Council, the European Economic and Social Committee and the Committee of the Regions on the 202</w:t>
      </w:r>
      <w:r w:rsidR="00B22178">
        <w:rPr>
          <w:rFonts w:ascii="Times New Roman" w:hAnsi="Times New Roman" w:cs="Times New Roman"/>
          <w:sz w:val="18"/>
          <w:szCs w:val="18"/>
          <w:lang w:val="en-IE"/>
        </w:rPr>
        <w:t>3</w:t>
      </w:r>
      <w:r w:rsidRPr="00582553">
        <w:rPr>
          <w:rFonts w:ascii="Times New Roman" w:hAnsi="Times New Roman" w:cs="Times New Roman"/>
          <w:sz w:val="18"/>
          <w:szCs w:val="18"/>
          <w:lang w:val="en-IE"/>
        </w:rPr>
        <w:t xml:space="preserve"> Rule of Law Report – The rule of law situation in the European Union (COM(202</w:t>
      </w:r>
      <w:r w:rsidR="004D79A3">
        <w:rPr>
          <w:rFonts w:ascii="Times New Roman" w:hAnsi="Times New Roman" w:cs="Times New Roman"/>
          <w:sz w:val="18"/>
          <w:szCs w:val="18"/>
          <w:lang w:val="en-IE"/>
        </w:rPr>
        <w:t>3</w:t>
      </w:r>
      <w:r w:rsidRPr="00582553">
        <w:rPr>
          <w:rFonts w:ascii="Times New Roman" w:hAnsi="Times New Roman" w:cs="Times New Roman"/>
          <w:sz w:val="18"/>
          <w:szCs w:val="18"/>
          <w:lang w:val="en-IE"/>
        </w:rPr>
        <w:t xml:space="preserve">) </w:t>
      </w:r>
      <w:r w:rsidR="004D79A3">
        <w:rPr>
          <w:rFonts w:ascii="Times New Roman" w:hAnsi="Times New Roman" w:cs="Times New Roman"/>
          <w:sz w:val="18"/>
          <w:szCs w:val="18"/>
          <w:lang w:val="en-IE"/>
        </w:rPr>
        <w:t>8</w:t>
      </w:r>
      <w:r w:rsidRPr="00582553">
        <w:rPr>
          <w:rFonts w:ascii="Times New Roman" w:hAnsi="Times New Roman" w:cs="Times New Roman"/>
          <w:sz w:val="18"/>
          <w:szCs w:val="18"/>
          <w:lang w:val="en-IE"/>
        </w:rPr>
        <w:t>00 final).</w:t>
      </w:r>
    </w:p>
  </w:footnote>
  <w:footnote w:id="337">
    <w:p w14:paraId="5C1AFC28" w14:textId="38FF0A91" w:rsidR="00F94781" w:rsidRPr="00582553" w:rsidRDefault="00F94781"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1C4A5A">
        <w:rPr>
          <w:rFonts w:ascii="Times New Roman" w:hAnsi="Times New Roman" w:cs="Times New Roman"/>
          <w:sz w:val="18"/>
          <w:szCs w:val="18"/>
          <w:lang w:val="en-IE"/>
        </w:rPr>
        <w:t xml:space="preserve"> </w:t>
      </w:r>
      <w:r w:rsidRPr="001C4A5A">
        <w:rPr>
          <w:rFonts w:ascii="Times New Roman" w:hAnsi="Times New Roman" w:cs="Times New Roman"/>
          <w:sz w:val="18"/>
          <w:szCs w:val="18"/>
          <w:lang w:val="en-IE"/>
        </w:rPr>
        <w:tab/>
      </w:r>
      <w:r w:rsidR="00EB4480" w:rsidRPr="001C4A5A">
        <w:rPr>
          <w:rFonts w:ascii="Times New Roman" w:hAnsi="Times New Roman" w:cs="Times New Roman"/>
          <w:sz w:val="18"/>
          <w:szCs w:val="18"/>
          <w:lang w:val="en-IE"/>
        </w:rPr>
        <w:t>See note</w:t>
      </w:r>
      <w:r w:rsidR="00087465" w:rsidRPr="001C4A5A">
        <w:rPr>
          <w:rFonts w:ascii="Times New Roman" w:hAnsi="Times New Roman" w:cs="Times New Roman"/>
          <w:sz w:val="18"/>
          <w:szCs w:val="18"/>
          <w:lang w:val="en-IE"/>
        </w:rPr>
        <w:t xml:space="preserve"> </w:t>
      </w:r>
      <w:r w:rsidR="00087465" w:rsidRPr="001C4A5A">
        <w:rPr>
          <w:rFonts w:ascii="Times New Roman" w:hAnsi="Times New Roman" w:cs="Times New Roman"/>
          <w:sz w:val="18"/>
          <w:szCs w:val="18"/>
          <w:lang w:val="en-IE"/>
        </w:rPr>
        <w:fldChar w:fldCharType="begin"/>
      </w:r>
      <w:r w:rsidR="00087465" w:rsidRPr="001C4A5A">
        <w:rPr>
          <w:rFonts w:ascii="Times New Roman" w:hAnsi="Times New Roman" w:cs="Times New Roman"/>
          <w:sz w:val="18"/>
          <w:szCs w:val="18"/>
          <w:lang w:val="en-IE"/>
        </w:rPr>
        <w:instrText xml:space="preserve"> NOTEREF _Ref151564725 \h </w:instrText>
      </w:r>
      <w:r w:rsidR="001C4A5A">
        <w:rPr>
          <w:rFonts w:ascii="Times New Roman" w:hAnsi="Times New Roman" w:cs="Times New Roman"/>
          <w:sz w:val="18"/>
          <w:szCs w:val="18"/>
          <w:lang w:val="en-IE"/>
        </w:rPr>
        <w:instrText xml:space="preserve"> \* MERGEFORMAT </w:instrText>
      </w:r>
      <w:r w:rsidR="00087465" w:rsidRPr="001C4A5A">
        <w:rPr>
          <w:rFonts w:ascii="Times New Roman" w:hAnsi="Times New Roman" w:cs="Times New Roman"/>
          <w:sz w:val="18"/>
          <w:szCs w:val="18"/>
          <w:lang w:val="en-IE"/>
        </w:rPr>
      </w:r>
      <w:r w:rsidR="00087465" w:rsidRPr="001C4A5A">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125</w:t>
      </w:r>
      <w:r w:rsidR="00087465" w:rsidRPr="001C4A5A">
        <w:rPr>
          <w:rFonts w:ascii="Times New Roman" w:hAnsi="Times New Roman" w:cs="Times New Roman"/>
          <w:sz w:val="18"/>
          <w:szCs w:val="18"/>
          <w:lang w:val="en-IE"/>
        </w:rPr>
        <w:fldChar w:fldCharType="end"/>
      </w:r>
      <w:r w:rsidR="00EB4480" w:rsidRPr="001C4A5A">
        <w:rPr>
          <w:rFonts w:ascii="Times New Roman" w:hAnsi="Times New Roman" w:cs="Times New Roman"/>
          <w:sz w:val="18"/>
          <w:szCs w:val="18"/>
          <w:lang w:val="en-IE"/>
        </w:rPr>
        <w:t>,</w:t>
      </w:r>
      <w:r w:rsidRPr="001C4A5A">
        <w:rPr>
          <w:rFonts w:ascii="Times New Roman" w:hAnsi="Times New Roman" w:cs="Times New Roman"/>
          <w:sz w:val="18"/>
          <w:szCs w:val="18"/>
          <w:lang w:val="en-IE"/>
        </w:rPr>
        <w:t xml:space="preserve"> paragraph 82.</w:t>
      </w:r>
    </w:p>
  </w:footnote>
  <w:footnote w:id="338">
    <w:p w14:paraId="12487ADA" w14:textId="2B45273B" w:rsidR="00F94781" w:rsidRPr="00582553" w:rsidRDefault="00F94781"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1C4A5A">
        <w:rPr>
          <w:rFonts w:ascii="Times New Roman" w:hAnsi="Times New Roman" w:cs="Times New Roman"/>
          <w:sz w:val="18"/>
          <w:szCs w:val="18"/>
          <w:lang w:val="en-IE"/>
        </w:rPr>
        <w:t xml:space="preserve"> </w:t>
      </w:r>
      <w:r w:rsidRPr="001C4A5A">
        <w:rPr>
          <w:rFonts w:ascii="Times New Roman" w:hAnsi="Times New Roman" w:cs="Times New Roman"/>
          <w:sz w:val="18"/>
          <w:szCs w:val="18"/>
          <w:lang w:val="en-IE"/>
        </w:rPr>
        <w:tab/>
      </w:r>
      <w:r w:rsidR="00EB4480" w:rsidRPr="001C4A5A">
        <w:rPr>
          <w:rFonts w:ascii="Times New Roman" w:hAnsi="Times New Roman" w:cs="Times New Roman"/>
          <w:sz w:val="18"/>
          <w:szCs w:val="18"/>
          <w:lang w:val="en-IE"/>
        </w:rPr>
        <w:t>See note</w:t>
      </w:r>
      <w:r w:rsidR="00087465" w:rsidRPr="001C4A5A">
        <w:rPr>
          <w:rFonts w:ascii="Times New Roman" w:hAnsi="Times New Roman" w:cs="Times New Roman"/>
          <w:sz w:val="18"/>
          <w:szCs w:val="18"/>
          <w:lang w:val="en-IE"/>
        </w:rPr>
        <w:t xml:space="preserve"> </w:t>
      </w:r>
      <w:r w:rsidR="00087465" w:rsidRPr="001C4A5A">
        <w:rPr>
          <w:rFonts w:ascii="Times New Roman" w:hAnsi="Times New Roman" w:cs="Times New Roman"/>
          <w:sz w:val="18"/>
          <w:szCs w:val="18"/>
          <w:lang w:val="en-IE"/>
        </w:rPr>
        <w:fldChar w:fldCharType="begin"/>
      </w:r>
      <w:r w:rsidR="00087465" w:rsidRPr="001C4A5A">
        <w:rPr>
          <w:rFonts w:ascii="Times New Roman" w:hAnsi="Times New Roman" w:cs="Times New Roman"/>
          <w:sz w:val="18"/>
          <w:szCs w:val="18"/>
          <w:lang w:val="en-IE"/>
        </w:rPr>
        <w:instrText xml:space="preserve"> NOTEREF _Ref151564725 \h </w:instrText>
      </w:r>
      <w:r w:rsidR="001C4A5A">
        <w:rPr>
          <w:rFonts w:ascii="Times New Roman" w:hAnsi="Times New Roman" w:cs="Times New Roman"/>
          <w:sz w:val="18"/>
          <w:szCs w:val="18"/>
          <w:lang w:val="en-IE"/>
        </w:rPr>
        <w:instrText xml:space="preserve"> \* MERGEFORMAT </w:instrText>
      </w:r>
      <w:r w:rsidR="00087465" w:rsidRPr="001C4A5A">
        <w:rPr>
          <w:rFonts w:ascii="Times New Roman" w:hAnsi="Times New Roman" w:cs="Times New Roman"/>
          <w:sz w:val="18"/>
          <w:szCs w:val="18"/>
          <w:lang w:val="en-IE"/>
        </w:rPr>
      </w:r>
      <w:r w:rsidR="00087465" w:rsidRPr="001C4A5A">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125</w:t>
      </w:r>
      <w:r w:rsidR="00087465" w:rsidRPr="001C4A5A">
        <w:rPr>
          <w:rFonts w:ascii="Times New Roman" w:hAnsi="Times New Roman" w:cs="Times New Roman"/>
          <w:sz w:val="18"/>
          <w:szCs w:val="18"/>
          <w:lang w:val="en-IE"/>
        </w:rPr>
        <w:fldChar w:fldCharType="end"/>
      </w:r>
      <w:r w:rsidR="00EB4480" w:rsidRPr="001C4A5A">
        <w:rPr>
          <w:rFonts w:ascii="Times New Roman" w:hAnsi="Times New Roman" w:cs="Times New Roman"/>
          <w:sz w:val="18"/>
          <w:szCs w:val="18"/>
          <w:lang w:val="en-IE"/>
        </w:rPr>
        <w:t>,</w:t>
      </w:r>
      <w:r w:rsidRPr="001C4A5A">
        <w:rPr>
          <w:rFonts w:ascii="Times New Roman" w:hAnsi="Times New Roman" w:cs="Times New Roman"/>
          <w:sz w:val="18"/>
          <w:szCs w:val="18"/>
          <w:lang w:val="en-IE"/>
        </w:rPr>
        <w:t xml:space="preserve"> paragraph 58.</w:t>
      </w:r>
    </w:p>
  </w:footnote>
  <w:footnote w:id="339">
    <w:p w14:paraId="019DBB64" w14:textId="16FED203" w:rsidR="00F94781" w:rsidRPr="00582553" w:rsidRDefault="00F94781" w:rsidP="00582553">
      <w:pPr>
        <w:pStyle w:val="FootnoteText"/>
        <w:spacing w:after="0"/>
        <w:ind w:left="284" w:hanging="284"/>
        <w:rPr>
          <w:rFonts w:ascii="Times New Roman" w:hAnsi="Times New Roman" w:cs="Times New Roman"/>
          <w:sz w:val="18"/>
          <w:szCs w:val="18"/>
          <w:lang w:val="en-IE"/>
        </w:rPr>
      </w:pPr>
      <w:r w:rsidRPr="00582553">
        <w:rPr>
          <w:rFonts w:ascii="Times New Roman" w:hAnsi="Times New Roman" w:cs="Times New Roman"/>
          <w:sz w:val="18"/>
          <w:szCs w:val="18"/>
          <w:vertAlign w:val="superscript"/>
          <w:lang w:val="en-IE"/>
        </w:rPr>
        <w:footnoteRef/>
      </w:r>
      <w:r w:rsidRPr="001C4A5A">
        <w:rPr>
          <w:rFonts w:ascii="Times New Roman" w:hAnsi="Times New Roman" w:cs="Times New Roman"/>
          <w:sz w:val="18"/>
          <w:szCs w:val="18"/>
          <w:vertAlign w:val="superscript"/>
          <w:lang w:val="en-IE"/>
        </w:rPr>
        <w:t xml:space="preserve"> </w:t>
      </w:r>
      <w:r w:rsidRPr="001C4A5A">
        <w:rPr>
          <w:rFonts w:ascii="Times New Roman" w:hAnsi="Times New Roman" w:cs="Times New Roman"/>
          <w:sz w:val="18"/>
          <w:szCs w:val="18"/>
          <w:lang w:val="en-IE"/>
        </w:rPr>
        <w:tab/>
      </w:r>
      <w:r w:rsidR="00EB4480" w:rsidRPr="001C4A5A">
        <w:rPr>
          <w:rFonts w:ascii="Times New Roman" w:hAnsi="Times New Roman" w:cs="Times New Roman"/>
          <w:sz w:val="18"/>
          <w:szCs w:val="18"/>
          <w:lang w:val="en-IE"/>
        </w:rPr>
        <w:t>See note</w:t>
      </w:r>
      <w:r w:rsidR="00087465" w:rsidRPr="001C4A5A">
        <w:rPr>
          <w:rFonts w:ascii="Times New Roman" w:hAnsi="Times New Roman" w:cs="Times New Roman"/>
          <w:sz w:val="18"/>
          <w:szCs w:val="18"/>
          <w:lang w:val="en-IE"/>
        </w:rPr>
        <w:t xml:space="preserve"> </w:t>
      </w:r>
      <w:r w:rsidR="00087465" w:rsidRPr="001C4A5A">
        <w:rPr>
          <w:rFonts w:ascii="Times New Roman" w:hAnsi="Times New Roman" w:cs="Times New Roman"/>
          <w:sz w:val="18"/>
          <w:szCs w:val="18"/>
          <w:lang w:val="en-IE"/>
        </w:rPr>
        <w:fldChar w:fldCharType="begin"/>
      </w:r>
      <w:r w:rsidR="00087465" w:rsidRPr="001C4A5A">
        <w:rPr>
          <w:rFonts w:ascii="Times New Roman" w:hAnsi="Times New Roman" w:cs="Times New Roman"/>
          <w:sz w:val="18"/>
          <w:szCs w:val="18"/>
          <w:lang w:val="en-IE"/>
        </w:rPr>
        <w:instrText xml:space="preserve"> NOTEREF _Ref151564725 \h </w:instrText>
      </w:r>
      <w:r w:rsidR="001C4A5A">
        <w:rPr>
          <w:rFonts w:ascii="Times New Roman" w:hAnsi="Times New Roman" w:cs="Times New Roman"/>
          <w:sz w:val="18"/>
          <w:szCs w:val="18"/>
          <w:lang w:val="en-IE"/>
        </w:rPr>
        <w:instrText xml:space="preserve"> \* MERGEFORMAT </w:instrText>
      </w:r>
      <w:r w:rsidR="00087465" w:rsidRPr="001C4A5A">
        <w:rPr>
          <w:rFonts w:ascii="Times New Roman" w:hAnsi="Times New Roman" w:cs="Times New Roman"/>
          <w:sz w:val="18"/>
          <w:szCs w:val="18"/>
          <w:lang w:val="en-IE"/>
        </w:rPr>
      </w:r>
      <w:r w:rsidR="00087465" w:rsidRPr="001C4A5A">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125</w:t>
      </w:r>
      <w:r w:rsidR="00087465" w:rsidRPr="001C4A5A">
        <w:rPr>
          <w:rFonts w:ascii="Times New Roman" w:hAnsi="Times New Roman" w:cs="Times New Roman"/>
          <w:sz w:val="18"/>
          <w:szCs w:val="18"/>
          <w:lang w:val="en-IE"/>
        </w:rPr>
        <w:fldChar w:fldCharType="end"/>
      </w:r>
      <w:r w:rsidRPr="001C4A5A">
        <w:rPr>
          <w:rFonts w:ascii="Times New Roman" w:hAnsi="Times New Roman" w:cs="Times New Roman"/>
          <w:sz w:val="18"/>
          <w:szCs w:val="18"/>
          <w:lang w:val="en-IE"/>
        </w:rPr>
        <w:t>.</w:t>
      </w:r>
    </w:p>
  </w:footnote>
  <w:footnote w:id="340">
    <w:p w14:paraId="24E71B2E" w14:textId="48CB6CD2" w:rsidR="00CE22E1" w:rsidRPr="00582553" w:rsidRDefault="00CE22E1"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lang w:val="en-IE"/>
        </w:rPr>
        <w:t xml:space="preserve">Judgment of the ECtHR, </w:t>
      </w:r>
      <w:r w:rsidRPr="00582553">
        <w:rPr>
          <w:rFonts w:ascii="Times New Roman" w:hAnsi="Times New Roman" w:cs="Times New Roman"/>
          <w:i/>
          <w:sz w:val="18"/>
          <w:szCs w:val="18"/>
          <w:lang w:val="en-IE"/>
        </w:rPr>
        <w:t>Ecodefense v. Russia,</w:t>
      </w:r>
      <w:r w:rsidRPr="00582553">
        <w:rPr>
          <w:rFonts w:ascii="Times New Roman" w:hAnsi="Times New Roman" w:cs="Times New Roman"/>
          <w:sz w:val="18"/>
          <w:szCs w:val="18"/>
          <w:lang w:val="en-IE"/>
        </w:rPr>
        <w:t xml:space="preserve"> </w:t>
      </w:r>
      <w:r w:rsidR="006F1C3A" w:rsidRPr="00582553">
        <w:rPr>
          <w:rFonts w:ascii="Times New Roman" w:hAnsi="Times New Roman" w:cs="Times New Roman"/>
          <w:sz w:val="18"/>
          <w:szCs w:val="18"/>
          <w:lang w:val="en-IE"/>
        </w:rPr>
        <w:t xml:space="preserve">see note </w:t>
      </w:r>
      <w:r w:rsidR="006F1C3A" w:rsidRPr="00582553">
        <w:rPr>
          <w:rFonts w:ascii="Times New Roman" w:hAnsi="Times New Roman" w:cs="Times New Roman"/>
          <w:sz w:val="18"/>
          <w:szCs w:val="18"/>
          <w:lang w:val="en-IE"/>
        </w:rPr>
        <w:fldChar w:fldCharType="begin"/>
      </w:r>
      <w:r w:rsidR="006F1C3A" w:rsidRPr="00582553">
        <w:rPr>
          <w:rFonts w:ascii="Times New Roman" w:hAnsi="Times New Roman" w:cs="Times New Roman"/>
          <w:sz w:val="18"/>
          <w:szCs w:val="18"/>
          <w:lang w:val="en-IE"/>
        </w:rPr>
        <w:instrText xml:space="preserve"> NOTEREF _Ref147914450 \h </w:instrText>
      </w:r>
      <w:r w:rsidR="005A6B8F" w:rsidRPr="00582553">
        <w:rPr>
          <w:rFonts w:ascii="Times New Roman" w:hAnsi="Times New Roman" w:cs="Times New Roman"/>
          <w:sz w:val="18"/>
          <w:szCs w:val="18"/>
          <w:lang w:val="en-IE"/>
        </w:rPr>
        <w:instrText xml:space="preserve"> \* MERGEFORMAT </w:instrText>
      </w:r>
      <w:r w:rsidR="006F1C3A" w:rsidRPr="00582553">
        <w:rPr>
          <w:rFonts w:ascii="Times New Roman" w:hAnsi="Times New Roman" w:cs="Times New Roman"/>
          <w:sz w:val="18"/>
          <w:szCs w:val="18"/>
          <w:lang w:val="en-IE"/>
        </w:rPr>
      </w:r>
      <w:r w:rsidR="006F1C3A"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188</w:t>
      </w:r>
      <w:r w:rsidR="006F1C3A" w:rsidRPr="00582553">
        <w:rPr>
          <w:rFonts w:ascii="Times New Roman" w:hAnsi="Times New Roman" w:cs="Times New Roman"/>
          <w:sz w:val="18"/>
          <w:szCs w:val="18"/>
          <w:lang w:val="en-IE"/>
        </w:rPr>
        <w:fldChar w:fldCharType="end"/>
      </w:r>
      <w:r w:rsidR="006F1C3A" w:rsidRPr="00582553">
        <w:rPr>
          <w:rFonts w:ascii="Times New Roman" w:hAnsi="Times New Roman" w:cs="Times New Roman"/>
          <w:sz w:val="18"/>
          <w:szCs w:val="18"/>
          <w:lang w:val="en-IE"/>
        </w:rPr>
        <w:t>.</w:t>
      </w:r>
    </w:p>
  </w:footnote>
  <w:footnote w:id="341">
    <w:p w14:paraId="72DCFDA3" w14:textId="45BF983E" w:rsidR="00B77ED5" w:rsidRPr="006B1678" w:rsidRDefault="00B77ED5" w:rsidP="006B1678">
      <w:pPr>
        <w:pStyle w:val="FootnoteText"/>
        <w:spacing w:after="0"/>
        <w:ind w:left="284" w:hanging="284"/>
        <w:rPr>
          <w:sz w:val="18"/>
          <w:szCs w:val="18"/>
        </w:rPr>
      </w:pPr>
      <w:r w:rsidRPr="00582553">
        <w:rPr>
          <w:rStyle w:val="FootnoteReference"/>
          <w:sz w:val="18"/>
          <w:szCs w:val="18"/>
        </w:rPr>
        <w:footnoteRef/>
      </w:r>
      <w:r w:rsidRPr="00582553">
        <w:rPr>
          <w:sz w:val="18"/>
          <w:szCs w:val="18"/>
        </w:rPr>
        <w:t xml:space="preserve"> According to Republika Srpska’s draft law, foundations as well as foreign and international non-governmental organisations receiving any form of foreign funding or other assistance of foreign origin would be designated as “Non-profit organisations” (hereinafter “NPOs”). This draft law would prohibit NPOs from carrying out political activities, requiring them to register in a special registry and all their published materials to include the mark “NPO”, and to submit additional reports compared to those already required by the existing legal framework. NPOs would also be subject to an additional legal regime of oversight and inspections, and a range of sanctions for violations of the provisions of the draft law that may result in the ban of the NPOs’ activities and thereby of the NPO itself.</w:t>
      </w:r>
      <w:r w:rsidR="006424BD" w:rsidRPr="00582553">
        <w:rPr>
          <w:sz w:val="18"/>
          <w:szCs w:val="18"/>
        </w:rPr>
        <w:t xml:space="preserve"> The joint opinion of the Venice Commission and OSCE/ODIHR on Republika Srpska’s draft law, indicates several areas of concern due to non-compliance with international human rights standards. For instance, the Draft Law is not based on any risk assessment or consultation with associations and others potentially affected. As mentioned by the Venice Commission, legitimate reasons for imposing transparency requirements on private organisations include receiving funding from public sources or performing essential democratic functions. Particular attention should be paid to avoiding stigmatisation and duplication of existing registration and reporting obligations. Moreover, the joint opinion stressed the need to ensure proportionality of sanctions and obligations and to provide effective remedies, in full respect of fundamental rights, including the right to protection of personal data.</w:t>
      </w:r>
    </w:p>
  </w:footnote>
  <w:footnote w:id="342">
    <w:p w14:paraId="15ACE776" w14:textId="3F1A82D0" w:rsidR="00F94781" w:rsidRPr="00582553" w:rsidRDefault="00F94781" w:rsidP="00582553">
      <w:pPr>
        <w:pStyle w:val="FootnoteText"/>
        <w:spacing w:after="0"/>
        <w:ind w:left="284" w:hanging="284"/>
        <w:rPr>
          <w:rFonts w:ascii="Times New Roman" w:hAnsi="Times New Roman" w:cs="Times New Roman"/>
          <w:sz w:val="18"/>
          <w:szCs w:val="18"/>
          <w:lang w:val="en-IE"/>
        </w:rPr>
      </w:pPr>
      <w:r w:rsidRPr="00582553">
        <w:rPr>
          <w:rFonts w:ascii="Times New Roman" w:hAnsi="Times New Roman" w:cs="Times New Roman"/>
          <w:sz w:val="18"/>
          <w:szCs w:val="18"/>
          <w:vertAlign w:val="superscript"/>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D15BC6" w:rsidRPr="00582553">
        <w:rPr>
          <w:rFonts w:ascii="Times New Roman" w:hAnsi="Times New Roman" w:cs="Times New Roman"/>
          <w:sz w:val="18"/>
          <w:szCs w:val="18"/>
          <w:lang w:val="en-IE"/>
        </w:rPr>
        <w:t xml:space="preserve">See note </w:t>
      </w:r>
      <w:r w:rsidR="003D4D3F" w:rsidRPr="00582553">
        <w:rPr>
          <w:rFonts w:ascii="Times New Roman" w:hAnsi="Times New Roman" w:cs="Times New Roman"/>
          <w:sz w:val="18"/>
          <w:szCs w:val="18"/>
          <w:lang w:val="en-IE"/>
        </w:rPr>
        <w:fldChar w:fldCharType="begin"/>
      </w:r>
      <w:r w:rsidR="003D4D3F" w:rsidRPr="00582553">
        <w:rPr>
          <w:rFonts w:ascii="Times New Roman" w:hAnsi="Times New Roman" w:cs="Times New Roman"/>
          <w:sz w:val="18"/>
          <w:szCs w:val="18"/>
          <w:lang w:val="en-IE"/>
        </w:rPr>
        <w:instrText xml:space="preserve"> NOTEREF _Ref147914736 \h  \* MERGEFORMAT </w:instrText>
      </w:r>
      <w:r w:rsidR="003D4D3F" w:rsidRPr="00582553">
        <w:rPr>
          <w:rFonts w:ascii="Times New Roman" w:hAnsi="Times New Roman" w:cs="Times New Roman"/>
          <w:sz w:val="18"/>
          <w:szCs w:val="18"/>
          <w:lang w:val="en-IE"/>
        </w:rPr>
      </w:r>
      <w:r w:rsidR="003D4D3F"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210</w:t>
      </w:r>
      <w:r w:rsidR="003D4D3F"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w:t>
      </w:r>
    </w:p>
  </w:footnote>
  <w:footnote w:id="343">
    <w:p w14:paraId="6C9A0210" w14:textId="77194D2F" w:rsidR="00C74CE7" w:rsidRPr="00582553" w:rsidRDefault="00C74CE7" w:rsidP="00582553">
      <w:pPr>
        <w:pStyle w:val="FootnoteText"/>
        <w:spacing w:after="0"/>
        <w:ind w:left="284" w:hanging="284"/>
        <w:rPr>
          <w:rFonts w:ascii="Times New Roman" w:hAnsi="Times New Roman" w:cs="Times New Roman"/>
          <w:sz w:val="18"/>
          <w:szCs w:val="18"/>
          <w:lang w:val="en-IE"/>
        </w:rPr>
      </w:pPr>
      <w:r w:rsidRPr="00582553">
        <w:rPr>
          <w:rFonts w:ascii="Times New Roman" w:hAnsi="Times New Roman" w:cs="Times New Roman"/>
          <w:sz w:val="18"/>
          <w:szCs w:val="18"/>
          <w:vertAlign w:val="superscript"/>
          <w:lang w:val="en-IE"/>
        </w:rPr>
        <w:footnoteRef/>
      </w:r>
      <w:r w:rsidRPr="001C4A5A">
        <w:rPr>
          <w:rFonts w:ascii="Times New Roman" w:hAnsi="Times New Roman" w:cs="Times New Roman"/>
          <w:sz w:val="18"/>
          <w:szCs w:val="18"/>
          <w:vertAlign w:val="superscript"/>
          <w:lang w:val="en-IE"/>
        </w:rPr>
        <w:t xml:space="preserve"> </w:t>
      </w:r>
      <w:r w:rsidRPr="001C4A5A">
        <w:rPr>
          <w:rFonts w:ascii="Times New Roman" w:hAnsi="Times New Roman" w:cs="Times New Roman"/>
          <w:sz w:val="18"/>
          <w:szCs w:val="18"/>
          <w:lang w:val="en-IE"/>
        </w:rPr>
        <w:tab/>
        <w:t>See note</w:t>
      </w:r>
      <w:r w:rsidR="00083E1A" w:rsidRPr="001C4A5A">
        <w:rPr>
          <w:rFonts w:ascii="Times New Roman" w:hAnsi="Times New Roman" w:cs="Times New Roman"/>
          <w:sz w:val="18"/>
          <w:szCs w:val="18"/>
          <w:lang w:val="en-IE"/>
        </w:rPr>
        <w:t xml:space="preserve"> </w:t>
      </w:r>
      <w:r w:rsidR="00083E1A" w:rsidRPr="001C4A5A">
        <w:rPr>
          <w:rFonts w:ascii="Times New Roman" w:hAnsi="Times New Roman" w:cs="Times New Roman"/>
          <w:sz w:val="18"/>
          <w:szCs w:val="18"/>
          <w:lang w:val="en-IE"/>
        </w:rPr>
        <w:fldChar w:fldCharType="begin"/>
      </w:r>
      <w:r w:rsidR="00083E1A" w:rsidRPr="001C4A5A">
        <w:rPr>
          <w:rFonts w:ascii="Times New Roman" w:hAnsi="Times New Roman" w:cs="Times New Roman"/>
          <w:sz w:val="18"/>
          <w:szCs w:val="18"/>
          <w:lang w:val="en-IE"/>
        </w:rPr>
        <w:instrText xml:space="preserve"> NOTEREF _Ref151564725 \h </w:instrText>
      </w:r>
      <w:r w:rsidR="001C4A5A">
        <w:rPr>
          <w:rFonts w:ascii="Times New Roman" w:hAnsi="Times New Roman" w:cs="Times New Roman"/>
          <w:sz w:val="18"/>
          <w:szCs w:val="18"/>
          <w:lang w:val="en-IE"/>
        </w:rPr>
        <w:instrText xml:space="preserve"> \* MERGEFORMAT </w:instrText>
      </w:r>
      <w:r w:rsidR="00083E1A" w:rsidRPr="001C4A5A">
        <w:rPr>
          <w:rFonts w:ascii="Times New Roman" w:hAnsi="Times New Roman" w:cs="Times New Roman"/>
          <w:sz w:val="18"/>
          <w:szCs w:val="18"/>
          <w:lang w:val="en-IE"/>
        </w:rPr>
      </w:r>
      <w:r w:rsidR="00083E1A" w:rsidRPr="001C4A5A">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125</w:t>
      </w:r>
      <w:r w:rsidR="00083E1A" w:rsidRPr="001C4A5A">
        <w:rPr>
          <w:rFonts w:ascii="Times New Roman" w:hAnsi="Times New Roman" w:cs="Times New Roman"/>
          <w:sz w:val="18"/>
          <w:szCs w:val="18"/>
          <w:lang w:val="en-IE"/>
        </w:rPr>
        <w:fldChar w:fldCharType="end"/>
      </w:r>
      <w:r w:rsidRPr="001C4A5A">
        <w:rPr>
          <w:rFonts w:ascii="Times New Roman" w:hAnsi="Times New Roman" w:cs="Times New Roman"/>
          <w:sz w:val="18"/>
          <w:szCs w:val="18"/>
          <w:lang w:val="en-IE"/>
        </w:rPr>
        <w:t xml:space="preserve">, paragraph 112. </w:t>
      </w:r>
    </w:p>
  </w:footnote>
  <w:footnote w:id="344">
    <w:p w14:paraId="6B4E0364" w14:textId="0FEB7BC8" w:rsidR="00C74CE7" w:rsidRPr="00582553" w:rsidRDefault="00C74CE7" w:rsidP="00582553">
      <w:pPr>
        <w:pStyle w:val="FootnoteText"/>
        <w:spacing w:after="0"/>
        <w:ind w:left="284" w:hanging="284"/>
        <w:rPr>
          <w:rFonts w:ascii="Times New Roman" w:hAnsi="Times New Roman" w:cs="Times New Roman"/>
          <w:sz w:val="18"/>
          <w:szCs w:val="18"/>
          <w:lang w:val="en-IE"/>
        </w:rPr>
      </w:pPr>
      <w:r w:rsidRPr="00582553">
        <w:rPr>
          <w:rFonts w:ascii="Times New Roman" w:hAnsi="Times New Roman" w:cs="Times New Roman"/>
          <w:sz w:val="18"/>
          <w:szCs w:val="18"/>
          <w:vertAlign w:val="superscript"/>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See note</w:t>
      </w:r>
      <w:r w:rsidR="00083E1A">
        <w:rPr>
          <w:rFonts w:ascii="Times New Roman" w:hAnsi="Times New Roman" w:cs="Times New Roman"/>
          <w:sz w:val="18"/>
          <w:szCs w:val="18"/>
          <w:lang w:val="en-IE"/>
        </w:rPr>
        <w:t xml:space="preserve"> </w:t>
      </w:r>
      <w:r w:rsidR="00083E1A" w:rsidRPr="001C4A5A">
        <w:rPr>
          <w:rFonts w:ascii="Times New Roman" w:hAnsi="Times New Roman" w:cs="Times New Roman"/>
          <w:sz w:val="18"/>
          <w:szCs w:val="18"/>
          <w:lang w:val="en-IE"/>
        </w:rPr>
        <w:fldChar w:fldCharType="begin"/>
      </w:r>
      <w:r w:rsidR="00083E1A" w:rsidRPr="001C4A5A">
        <w:rPr>
          <w:rFonts w:ascii="Times New Roman" w:hAnsi="Times New Roman" w:cs="Times New Roman"/>
          <w:sz w:val="18"/>
          <w:szCs w:val="18"/>
          <w:lang w:val="en-IE"/>
        </w:rPr>
        <w:instrText xml:space="preserve"> NOTEREF _Ref151564725 \h </w:instrText>
      </w:r>
      <w:r w:rsidR="001C4A5A">
        <w:rPr>
          <w:rFonts w:ascii="Times New Roman" w:hAnsi="Times New Roman" w:cs="Times New Roman"/>
          <w:sz w:val="18"/>
          <w:szCs w:val="18"/>
          <w:lang w:val="en-IE"/>
        </w:rPr>
        <w:instrText xml:space="preserve"> \* MERGEFORMAT </w:instrText>
      </w:r>
      <w:r w:rsidR="00083E1A" w:rsidRPr="001C4A5A">
        <w:rPr>
          <w:rFonts w:ascii="Times New Roman" w:hAnsi="Times New Roman" w:cs="Times New Roman"/>
          <w:sz w:val="18"/>
          <w:szCs w:val="18"/>
          <w:lang w:val="en-IE"/>
        </w:rPr>
      </w:r>
      <w:r w:rsidR="00083E1A" w:rsidRPr="001C4A5A">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125</w:t>
      </w:r>
      <w:r w:rsidR="00083E1A" w:rsidRPr="001C4A5A">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 xml:space="preserve">, paragraph 114; Judgment of the ECtHR, </w:t>
      </w:r>
      <w:r w:rsidRPr="00582553">
        <w:rPr>
          <w:rFonts w:ascii="Times New Roman" w:hAnsi="Times New Roman" w:cs="Times New Roman"/>
          <w:i/>
          <w:sz w:val="18"/>
          <w:szCs w:val="18"/>
          <w:lang w:val="en-IE"/>
        </w:rPr>
        <w:t>Ecodefense v. Russia,</w:t>
      </w:r>
      <w:r w:rsidRPr="00582553">
        <w:rPr>
          <w:rFonts w:ascii="Times New Roman" w:hAnsi="Times New Roman" w:cs="Times New Roman"/>
          <w:sz w:val="18"/>
          <w:szCs w:val="18"/>
          <w:lang w:val="en-IE"/>
        </w:rPr>
        <w:t xml:space="preserve"> </w:t>
      </w:r>
      <w:r w:rsidR="006F1C3A" w:rsidRPr="00582553">
        <w:rPr>
          <w:rFonts w:ascii="Times New Roman" w:hAnsi="Times New Roman" w:cs="Times New Roman"/>
          <w:sz w:val="18"/>
          <w:szCs w:val="18"/>
          <w:lang w:val="en-IE"/>
        </w:rPr>
        <w:t xml:space="preserve">see note </w:t>
      </w:r>
      <w:r w:rsidR="006F1C3A" w:rsidRPr="00582553">
        <w:rPr>
          <w:rFonts w:ascii="Times New Roman" w:hAnsi="Times New Roman" w:cs="Times New Roman"/>
          <w:sz w:val="18"/>
          <w:szCs w:val="18"/>
          <w:lang w:val="en-IE"/>
        </w:rPr>
        <w:fldChar w:fldCharType="begin"/>
      </w:r>
      <w:r w:rsidR="006F1C3A" w:rsidRPr="00582553">
        <w:rPr>
          <w:rFonts w:ascii="Times New Roman" w:hAnsi="Times New Roman" w:cs="Times New Roman"/>
          <w:sz w:val="18"/>
          <w:szCs w:val="18"/>
          <w:lang w:val="en-IE"/>
        </w:rPr>
        <w:instrText xml:space="preserve"> NOTEREF _Ref147914450 \h  \* MERGEFORMAT </w:instrText>
      </w:r>
      <w:r w:rsidR="006F1C3A" w:rsidRPr="00582553">
        <w:rPr>
          <w:rFonts w:ascii="Times New Roman" w:hAnsi="Times New Roman" w:cs="Times New Roman"/>
          <w:sz w:val="18"/>
          <w:szCs w:val="18"/>
          <w:lang w:val="en-IE"/>
        </w:rPr>
      </w:r>
      <w:r w:rsidR="006F1C3A"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188</w:t>
      </w:r>
      <w:r w:rsidR="006F1C3A" w:rsidRPr="00582553">
        <w:rPr>
          <w:rFonts w:ascii="Times New Roman" w:hAnsi="Times New Roman" w:cs="Times New Roman"/>
          <w:sz w:val="18"/>
          <w:szCs w:val="18"/>
          <w:lang w:val="en-IE"/>
        </w:rPr>
        <w:fldChar w:fldCharType="end"/>
      </w:r>
      <w:r w:rsidRPr="00582553">
        <w:rPr>
          <w:rFonts w:ascii="Times New Roman" w:hAnsi="Times New Roman" w:cs="Times New Roman"/>
          <w:sz w:val="18"/>
          <w:szCs w:val="18"/>
          <w:lang w:val="en-IE"/>
        </w:rPr>
        <w:t>, paragraph 81.</w:t>
      </w:r>
    </w:p>
  </w:footnote>
  <w:footnote w:id="345">
    <w:p w14:paraId="2AE4FC9B" w14:textId="57F855A9" w:rsidR="00C74CE7" w:rsidRPr="00582553" w:rsidRDefault="00C74CE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See note </w:t>
      </w:r>
      <w:r w:rsidRPr="00582553">
        <w:rPr>
          <w:rFonts w:ascii="Times New Roman" w:hAnsi="Times New Roman" w:cs="Times New Roman"/>
          <w:sz w:val="18"/>
          <w:szCs w:val="18"/>
        </w:rPr>
        <w:fldChar w:fldCharType="begin"/>
      </w:r>
      <w:r w:rsidRPr="00582553">
        <w:rPr>
          <w:rFonts w:ascii="Times New Roman" w:hAnsi="Times New Roman" w:cs="Times New Roman"/>
          <w:sz w:val="18"/>
          <w:szCs w:val="18"/>
        </w:rPr>
        <w:instrText xml:space="preserve"> NOTEREF _Ref147837080 \h  \* MERGEFORMAT </w:instrText>
      </w:r>
      <w:r w:rsidRPr="00582553">
        <w:rPr>
          <w:rFonts w:ascii="Times New Roman" w:hAnsi="Times New Roman" w:cs="Times New Roman"/>
          <w:sz w:val="18"/>
          <w:szCs w:val="18"/>
        </w:rPr>
      </w:r>
      <w:r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182</w:t>
      </w:r>
      <w:r w:rsidRPr="00582553">
        <w:rPr>
          <w:rFonts w:ascii="Times New Roman" w:hAnsi="Times New Roman" w:cs="Times New Roman"/>
          <w:sz w:val="18"/>
          <w:szCs w:val="18"/>
        </w:rPr>
        <w:fldChar w:fldCharType="end"/>
      </w:r>
      <w:r w:rsidRPr="00582553">
        <w:rPr>
          <w:rFonts w:ascii="Times New Roman" w:hAnsi="Times New Roman" w:cs="Times New Roman"/>
          <w:sz w:val="18"/>
          <w:szCs w:val="18"/>
        </w:rPr>
        <w:t>.</w:t>
      </w:r>
    </w:p>
  </w:footnote>
  <w:footnote w:id="346">
    <w:p w14:paraId="2DBB81BA" w14:textId="6CFB2276" w:rsidR="00C74CE7" w:rsidRPr="00582553" w:rsidRDefault="00C74CE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1C4A5A">
        <w:rPr>
          <w:rFonts w:ascii="Times New Roman" w:hAnsi="Times New Roman" w:cs="Times New Roman"/>
          <w:sz w:val="18"/>
          <w:szCs w:val="18"/>
          <w:lang w:val="en-IE"/>
        </w:rPr>
        <w:t xml:space="preserve"> </w:t>
      </w:r>
      <w:r w:rsidRPr="001C4A5A">
        <w:rPr>
          <w:rFonts w:ascii="Times New Roman" w:hAnsi="Times New Roman" w:cs="Times New Roman"/>
          <w:sz w:val="18"/>
          <w:szCs w:val="18"/>
          <w:lang w:val="en-IE"/>
        </w:rPr>
        <w:tab/>
        <w:t>See note</w:t>
      </w:r>
      <w:r w:rsidR="00083E1A" w:rsidRPr="001C4A5A">
        <w:rPr>
          <w:rFonts w:ascii="Times New Roman" w:hAnsi="Times New Roman" w:cs="Times New Roman"/>
          <w:sz w:val="18"/>
          <w:szCs w:val="18"/>
          <w:lang w:val="en-IE"/>
        </w:rPr>
        <w:t xml:space="preserve"> </w:t>
      </w:r>
      <w:r w:rsidR="00083E1A" w:rsidRPr="001C4A5A">
        <w:rPr>
          <w:rFonts w:ascii="Times New Roman" w:hAnsi="Times New Roman" w:cs="Times New Roman"/>
          <w:sz w:val="18"/>
          <w:szCs w:val="18"/>
          <w:lang w:val="en-IE"/>
        </w:rPr>
        <w:fldChar w:fldCharType="begin"/>
      </w:r>
      <w:r w:rsidR="00083E1A" w:rsidRPr="001C4A5A">
        <w:rPr>
          <w:rFonts w:ascii="Times New Roman" w:hAnsi="Times New Roman" w:cs="Times New Roman"/>
          <w:sz w:val="18"/>
          <w:szCs w:val="18"/>
          <w:lang w:val="en-IE"/>
        </w:rPr>
        <w:instrText xml:space="preserve"> NOTEREF _Ref151564725 \h </w:instrText>
      </w:r>
      <w:r w:rsidR="001C4A5A">
        <w:rPr>
          <w:rFonts w:ascii="Times New Roman" w:hAnsi="Times New Roman" w:cs="Times New Roman"/>
          <w:sz w:val="18"/>
          <w:szCs w:val="18"/>
          <w:lang w:val="en-IE"/>
        </w:rPr>
        <w:instrText xml:space="preserve"> \* MERGEFORMAT </w:instrText>
      </w:r>
      <w:r w:rsidR="00083E1A" w:rsidRPr="001C4A5A">
        <w:rPr>
          <w:rFonts w:ascii="Times New Roman" w:hAnsi="Times New Roman" w:cs="Times New Roman"/>
          <w:sz w:val="18"/>
          <w:szCs w:val="18"/>
          <w:lang w:val="en-IE"/>
        </w:rPr>
      </w:r>
      <w:r w:rsidR="00083E1A" w:rsidRPr="001C4A5A">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125</w:t>
      </w:r>
      <w:r w:rsidR="00083E1A" w:rsidRPr="001C4A5A">
        <w:rPr>
          <w:rFonts w:ascii="Times New Roman" w:hAnsi="Times New Roman" w:cs="Times New Roman"/>
          <w:sz w:val="18"/>
          <w:szCs w:val="18"/>
          <w:lang w:val="en-IE"/>
        </w:rPr>
        <w:fldChar w:fldCharType="end"/>
      </w:r>
      <w:r w:rsidRPr="001C4A5A">
        <w:rPr>
          <w:rFonts w:ascii="Times New Roman" w:hAnsi="Times New Roman" w:cs="Times New Roman"/>
          <w:sz w:val="18"/>
          <w:szCs w:val="18"/>
          <w:lang w:val="en-IE"/>
        </w:rPr>
        <w:t>, paragraph 79.</w:t>
      </w:r>
    </w:p>
  </w:footnote>
  <w:footnote w:id="347">
    <w:p w14:paraId="0D6C97FC" w14:textId="0E8949F1" w:rsidR="00C74CE7" w:rsidRPr="00582553" w:rsidRDefault="00C74CE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Third country governments and entities whose action can be attributed to them, see section 5.2.</w:t>
      </w:r>
      <w:r w:rsidR="009C35DF" w:rsidRPr="00582553">
        <w:rPr>
          <w:rFonts w:ascii="Times New Roman" w:hAnsi="Times New Roman" w:cs="Times New Roman"/>
          <w:sz w:val="18"/>
          <w:szCs w:val="18"/>
        </w:rPr>
        <w:t>1</w:t>
      </w:r>
      <w:r w:rsidRPr="00582553">
        <w:rPr>
          <w:rFonts w:ascii="Times New Roman" w:hAnsi="Times New Roman" w:cs="Times New Roman"/>
          <w:sz w:val="18"/>
          <w:szCs w:val="18"/>
        </w:rPr>
        <w:t>.</w:t>
      </w:r>
    </w:p>
  </w:footnote>
  <w:footnote w:id="348">
    <w:p w14:paraId="1A0F691A" w14:textId="76D96D80" w:rsidR="00C74CE7" w:rsidRPr="00582553" w:rsidRDefault="00C74CE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Fonts w:ascii="Times New Roman" w:hAnsi="Times New Roman" w:cs="Times New Roman"/>
          <w:sz w:val="18"/>
          <w:szCs w:val="18"/>
          <w:lang w:val="en-IE"/>
        </w:rPr>
        <w:t>Firstly, the national public registers would have to be presented in a neutral manner and in such a way that it does not lead to stigmatisation of the entities included in the register (e.g.</w:t>
      </w:r>
      <w:r w:rsidRPr="00582553">
        <w:rPr>
          <w:rFonts w:ascii="Times New Roman" w:hAnsi="Times New Roman" w:cs="Times New Roman"/>
          <w:sz w:val="18"/>
          <w:szCs w:val="18"/>
        </w:rPr>
        <w:t xml:space="preserve"> Member States would be prevented from requiring the entities that fall within the scope of the initiative to register ‘as an organisation in receipt of support from abroad’ or indicate on their internet site and in their publications and other press material the information that they are organisations in receipt of support from abroad).</w:t>
      </w:r>
      <w:r w:rsidRPr="00582553">
        <w:rPr>
          <w:rFonts w:ascii="Times New Roman" w:hAnsi="Times New Roman" w:cs="Times New Roman"/>
          <w:sz w:val="18"/>
          <w:szCs w:val="18"/>
          <w:lang w:val="en-IE"/>
        </w:rPr>
        <w:t xml:space="preserve"> Secondly, Member States should ensure that when carrying out their tasks, the national authorities ensure that no adverse consequence</w:t>
      </w:r>
      <w:r w:rsidR="00D72775">
        <w:rPr>
          <w:rFonts w:ascii="Times New Roman" w:hAnsi="Times New Roman" w:cs="Times New Roman"/>
          <w:sz w:val="18"/>
          <w:szCs w:val="18"/>
          <w:lang w:val="en-IE"/>
        </w:rPr>
        <w:t>s</w:t>
      </w:r>
      <w:r w:rsidRPr="00582553">
        <w:rPr>
          <w:rFonts w:ascii="Times New Roman" w:hAnsi="Times New Roman" w:cs="Times New Roman"/>
          <w:sz w:val="18"/>
          <w:szCs w:val="18"/>
          <w:lang w:val="en-IE"/>
        </w:rPr>
        <w:t xml:space="preserve"> arise from the mere fact that an entity is registered. Thirdly, the registered entities would be able to request that all or part of the information is not made publicly available where there are overriding legitimate interests preventing publication.</w:t>
      </w:r>
    </w:p>
  </w:footnote>
  <w:footnote w:id="349">
    <w:p w14:paraId="5C3FDA05" w14:textId="77777777" w:rsidR="00C74CE7" w:rsidRPr="00582553" w:rsidRDefault="00C74CE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t>Upon registration, these entities would only be required to provide their registration number in their contacts with public officials, not the wider public.</w:t>
      </w:r>
    </w:p>
  </w:footnote>
  <w:footnote w:id="350">
    <w:p w14:paraId="189BC7E9" w14:textId="1E004E04" w:rsidR="00C74CE7" w:rsidRPr="009D47BE" w:rsidRDefault="00C74CE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Pr="00582553">
        <w:rPr>
          <w:rFonts w:ascii="Times New Roman" w:hAnsi="Times New Roman" w:cs="Times New Roman"/>
          <w:sz w:val="18"/>
          <w:szCs w:val="18"/>
          <w:lang w:val="en-IE"/>
        </w:rPr>
        <w:t xml:space="preserve">Supervision would be entrusted to independent supervisory authorities with clearly established powers, whose requests for further information would need to be motivated and subject to effective judicial remedy. Sanctions would be designed in a way that would </w:t>
      </w:r>
      <w:r w:rsidRPr="009D47BE">
        <w:rPr>
          <w:rFonts w:ascii="Times New Roman" w:hAnsi="Times New Roman" w:cs="Times New Roman"/>
          <w:sz w:val="18"/>
          <w:szCs w:val="18"/>
          <w:lang w:val="en-IE"/>
        </w:rPr>
        <w:t>avoid a chilling effect on the concerned entities and sanction related powers subject to appropriate safeguards, including the right to effective judicial review. They would be fully harmonised and limited to administrative fines under a specific ceiling based on the entity’s economic capacity. Sanctions would</w:t>
      </w:r>
      <w:r w:rsidRPr="009D47BE" w:rsidDel="00AD661C">
        <w:rPr>
          <w:rFonts w:ascii="Times New Roman" w:hAnsi="Times New Roman" w:cs="Times New Roman"/>
          <w:sz w:val="18"/>
          <w:szCs w:val="18"/>
          <w:lang w:val="en-IE"/>
        </w:rPr>
        <w:t xml:space="preserve"> </w:t>
      </w:r>
      <w:r w:rsidRPr="009D47BE">
        <w:rPr>
          <w:rFonts w:ascii="Times New Roman" w:hAnsi="Times New Roman" w:cs="Times New Roman"/>
          <w:sz w:val="18"/>
          <w:szCs w:val="18"/>
          <w:lang w:val="en-IE"/>
        </w:rPr>
        <w:t>only be imposed following a prior early warning</w:t>
      </w:r>
      <w:r w:rsidR="00AD661C" w:rsidRPr="009D47BE">
        <w:rPr>
          <w:rFonts w:ascii="Times New Roman" w:hAnsi="Times New Roman" w:cs="Times New Roman"/>
          <w:sz w:val="18"/>
          <w:szCs w:val="18"/>
          <w:lang w:val="en-IE"/>
        </w:rPr>
        <w:t xml:space="preserve">, </w:t>
      </w:r>
      <w:r w:rsidR="00AD661C" w:rsidRPr="00313F32">
        <w:rPr>
          <w:sz w:val="18"/>
          <w:szCs w:val="18"/>
          <w:lang w:val="en-IE"/>
        </w:rPr>
        <w:t>except for breaches of the anti-circumvention clause.</w:t>
      </w:r>
    </w:p>
  </w:footnote>
  <w:footnote w:id="351">
    <w:p w14:paraId="2B51042C" w14:textId="77777777" w:rsidR="00C74CE7" w:rsidRPr="009D47BE" w:rsidRDefault="00C74CE7" w:rsidP="00582553">
      <w:pPr>
        <w:pStyle w:val="FootnoteText"/>
        <w:spacing w:after="0"/>
        <w:ind w:left="284" w:hanging="284"/>
        <w:rPr>
          <w:rFonts w:ascii="Times New Roman" w:hAnsi="Times New Roman" w:cs="Times New Roman"/>
          <w:sz w:val="18"/>
          <w:szCs w:val="18"/>
          <w:lang w:val="en-IE"/>
        </w:rPr>
      </w:pPr>
      <w:r w:rsidRPr="009D47BE">
        <w:rPr>
          <w:rStyle w:val="FootnoteReference"/>
          <w:rFonts w:ascii="Times New Roman" w:hAnsi="Times New Roman" w:cs="Times New Roman"/>
          <w:sz w:val="18"/>
          <w:szCs w:val="18"/>
        </w:rPr>
        <w:footnoteRef/>
      </w:r>
      <w:r w:rsidRPr="009D47BE">
        <w:rPr>
          <w:rFonts w:ascii="Times New Roman" w:hAnsi="Times New Roman" w:cs="Times New Roman"/>
          <w:sz w:val="18"/>
          <w:szCs w:val="18"/>
        </w:rPr>
        <w:t xml:space="preserve"> </w:t>
      </w:r>
      <w:r w:rsidRPr="009D47BE">
        <w:rPr>
          <w:rFonts w:ascii="Times New Roman" w:hAnsi="Times New Roman" w:cs="Times New Roman"/>
          <w:sz w:val="18"/>
          <w:szCs w:val="18"/>
        </w:rPr>
        <w:tab/>
        <w:t xml:space="preserve">These records would include information on the identity of the third country entity on whose behalf the activity is carried out, a </w:t>
      </w:r>
      <w:r w:rsidRPr="009D47BE">
        <w:rPr>
          <w:rFonts w:ascii="Times New Roman" w:hAnsi="Times New Roman" w:cs="Times New Roman"/>
          <w:sz w:val="18"/>
          <w:szCs w:val="18"/>
          <w:lang w:val="en-IE"/>
        </w:rPr>
        <w:t>description</w:t>
      </w:r>
      <w:r w:rsidRPr="009D47BE">
        <w:rPr>
          <w:rFonts w:ascii="Times New Roman" w:hAnsi="Times New Roman" w:cs="Times New Roman"/>
          <w:sz w:val="18"/>
          <w:szCs w:val="18"/>
        </w:rPr>
        <w:t xml:space="preserve"> of the purpose of the interest representation activity, contracts and key exchanges with the third country entity to the extent that they are essential to understand the nature and purpose of the interest representation carried out as well as information or material constituting key components of the interest representation activity.</w:t>
      </w:r>
    </w:p>
  </w:footnote>
  <w:footnote w:id="352">
    <w:p w14:paraId="5E19CD3F" w14:textId="77777777" w:rsidR="00C74CE7" w:rsidRPr="00582553" w:rsidRDefault="00C74CE7"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During the registration the precise amount would not be requested. Concerned entities would have to indicate in which bracket (e.g.: EUR 25,000 &lt; 50,000; or EUR 50,000 &lt; 100,000) the remuneration would fall, this remuneration would cover all the tasks carried out with the objective of influencing the development, formulation or implementation of the same proposal. Information on the annual amounts declared would be made public within wider brackets corresponding the level of detail necessary for the purpose of informing citizens their representatives and other interested parties.</w:t>
      </w:r>
    </w:p>
  </w:footnote>
  <w:footnote w:id="353">
    <w:p w14:paraId="1EE3CBBF" w14:textId="77777777" w:rsidR="00C74CE7" w:rsidRPr="00582553" w:rsidRDefault="00C74CE7"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These additional requirements includes: (i) a requirement to apply to national-level authorities for an EU-wide licence to conduct interest representation activities on behalf of a third country entity; and (ii) a requirement to keep records of all contracts and exchanges with the entity on whose behalf the activity is carried out as well as all information or material on the interest representation activity   </w:t>
      </w:r>
    </w:p>
  </w:footnote>
  <w:footnote w:id="354">
    <w:p w14:paraId="240C1A68" w14:textId="77777777" w:rsidR="00C74CE7" w:rsidRPr="00582553" w:rsidRDefault="00C74CE7"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w:t>
      </w:r>
      <w:r w:rsidRPr="00582553">
        <w:rPr>
          <w:rFonts w:ascii="Times New Roman" w:hAnsi="Times New Roman" w:cs="Times New Roman"/>
          <w:i/>
          <w:sz w:val="18"/>
          <w:szCs w:val="18"/>
        </w:rPr>
        <w:t>As to the necessity and proportionality of measures taken to secure the above-mentioned aims, interference with the right of associations to seek and obtain financial and material resources should be the least intrusive of all possible means that could have been adopted. The authorities should be able to prove that the legitimate aim pursued by the measure cannot be reached by any less intrusive measures. In particular, an outright ban on foreign funding, or requiring prior authorisation from the authorities to receive or use such funds, is not justified</w:t>
      </w:r>
      <w:r w:rsidRPr="00582553">
        <w:rPr>
          <w:rFonts w:ascii="Times New Roman" w:hAnsi="Times New Roman" w:cs="Times New Roman"/>
          <w:sz w:val="18"/>
          <w:szCs w:val="18"/>
        </w:rPr>
        <w:t>.” Venice Commission Report on Funding of Associations, CDL-AD(2019)002, paragraph 147; see also Report by the UN Special Rapporteur on the rights to freedom of peaceful assembly and of association (A/HRC/50/23) paragraphs 20 to 22.</w:t>
      </w:r>
    </w:p>
  </w:footnote>
  <w:footnote w:id="355">
    <w:p w14:paraId="4245676A" w14:textId="597CB476" w:rsidR="00397F85" w:rsidRPr="00582553" w:rsidRDefault="00397F85"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2F1A89" w:rsidRPr="00582553">
        <w:rPr>
          <w:rStyle w:val="IntenseEmphasis"/>
          <w:rFonts w:ascii="Times New Roman" w:eastAsia="Times New Roman" w:hAnsi="Times New Roman" w:cs="Times New Roman"/>
          <w:b w:val="0"/>
          <w:i w:val="0"/>
          <w:color w:val="000000" w:themeColor="text1"/>
          <w:szCs w:val="18"/>
        </w:rPr>
        <w:t xml:space="preserve">See note </w:t>
      </w:r>
      <w:r w:rsidR="002F1A89" w:rsidRPr="00582553">
        <w:rPr>
          <w:rStyle w:val="IntenseEmphasis"/>
          <w:rFonts w:ascii="Times New Roman" w:eastAsia="Times New Roman" w:hAnsi="Times New Roman" w:cs="Times New Roman"/>
          <w:b w:val="0"/>
          <w:i w:val="0"/>
          <w:color w:val="000000" w:themeColor="text1"/>
          <w:szCs w:val="18"/>
        </w:rPr>
        <w:fldChar w:fldCharType="begin"/>
      </w:r>
      <w:r w:rsidR="002F1A89" w:rsidRPr="00582553">
        <w:rPr>
          <w:rStyle w:val="IntenseEmphasis"/>
          <w:rFonts w:ascii="Times New Roman" w:eastAsia="Times New Roman" w:hAnsi="Times New Roman" w:cs="Times New Roman"/>
          <w:b w:val="0"/>
          <w:i w:val="0"/>
          <w:color w:val="000000" w:themeColor="text1"/>
          <w:szCs w:val="18"/>
        </w:rPr>
        <w:instrText xml:space="preserve"> NOTEREF _Ref147768679 \h </w:instrText>
      </w:r>
      <w:r w:rsidR="00A42FAF" w:rsidRPr="00582553">
        <w:rPr>
          <w:rStyle w:val="IntenseEmphasis"/>
          <w:rFonts w:ascii="Times New Roman" w:eastAsia="Times New Roman" w:hAnsi="Times New Roman" w:cs="Times New Roman"/>
          <w:b w:val="0"/>
          <w:i w:val="0"/>
          <w:color w:val="000000" w:themeColor="text1"/>
          <w:szCs w:val="18"/>
        </w:rPr>
        <w:instrText xml:space="preserve"> \* MERGEFORMAT </w:instrText>
      </w:r>
      <w:r w:rsidR="002F1A89" w:rsidRPr="00582553">
        <w:rPr>
          <w:rStyle w:val="IntenseEmphasis"/>
          <w:rFonts w:ascii="Times New Roman" w:eastAsia="Times New Roman" w:hAnsi="Times New Roman" w:cs="Times New Roman"/>
          <w:b w:val="0"/>
          <w:i w:val="0"/>
          <w:color w:val="000000" w:themeColor="text1"/>
          <w:szCs w:val="18"/>
        </w:rPr>
      </w:r>
      <w:r w:rsidR="002F1A89" w:rsidRPr="00582553">
        <w:rPr>
          <w:rStyle w:val="IntenseEmphasis"/>
          <w:rFonts w:ascii="Times New Roman" w:eastAsia="Times New Roman" w:hAnsi="Times New Roman" w:cs="Times New Roman"/>
          <w:b w:val="0"/>
          <w:i w:val="0"/>
          <w:color w:val="000000" w:themeColor="text1"/>
          <w:szCs w:val="18"/>
        </w:rPr>
        <w:fldChar w:fldCharType="separate"/>
      </w:r>
      <w:r w:rsidR="00DD4A72">
        <w:rPr>
          <w:rStyle w:val="IntenseEmphasis"/>
          <w:rFonts w:ascii="Times New Roman" w:eastAsia="Times New Roman" w:hAnsi="Times New Roman" w:cs="Times New Roman"/>
          <w:b w:val="0"/>
          <w:i w:val="0"/>
          <w:color w:val="000000" w:themeColor="text1"/>
          <w:szCs w:val="18"/>
        </w:rPr>
        <w:t>17</w:t>
      </w:r>
      <w:r w:rsidR="002F1A89" w:rsidRPr="00582553">
        <w:rPr>
          <w:rStyle w:val="IntenseEmphasis"/>
          <w:rFonts w:ascii="Times New Roman" w:eastAsia="Times New Roman" w:hAnsi="Times New Roman" w:cs="Times New Roman"/>
          <w:b w:val="0"/>
          <w:i w:val="0"/>
          <w:color w:val="000000" w:themeColor="text1"/>
          <w:szCs w:val="18"/>
        </w:rPr>
        <w:fldChar w:fldCharType="end"/>
      </w:r>
      <w:r w:rsidR="002F1A89" w:rsidRPr="00582553">
        <w:rPr>
          <w:rStyle w:val="IntenseEmphasis"/>
          <w:rFonts w:ascii="Times New Roman" w:eastAsia="Times New Roman" w:hAnsi="Times New Roman" w:cs="Times New Roman"/>
          <w:b w:val="0"/>
          <w:i w:val="0"/>
          <w:color w:val="000000" w:themeColor="text1"/>
          <w:szCs w:val="18"/>
        </w:rPr>
        <w:t>.</w:t>
      </w:r>
    </w:p>
  </w:footnote>
  <w:footnote w:id="356">
    <w:p w14:paraId="2DBAA754" w14:textId="27359C97" w:rsidR="002E1F01" w:rsidRPr="00582553" w:rsidRDefault="002E1F01"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Focus group with European political parties and foundations of 21 March 2023.</w:t>
      </w:r>
    </w:p>
  </w:footnote>
  <w:footnote w:id="357">
    <w:p w14:paraId="3D6E782A" w14:textId="1F2B172F" w:rsidR="00397F85" w:rsidRPr="00582553" w:rsidRDefault="00397F85"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8477D2" w:rsidRPr="00582553">
        <w:rPr>
          <w:rStyle w:val="IntenseEmphasis"/>
          <w:rFonts w:ascii="Times New Roman" w:eastAsia="Times New Roman" w:hAnsi="Times New Roman" w:cs="Times New Roman"/>
          <w:b w:val="0"/>
          <w:i w:val="0"/>
          <w:color w:val="000000" w:themeColor="text1"/>
          <w:szCs w:val="18"/>
        </w:rPr>
        <w:t xml:space="preserve">See note </w:t>
      </w:r>
      <w:r w:rsidR="003460D8" w:rsidRPr="00582553">
        <w:rPr>
          <w:rStyle w:val="IntenseEmphasis"/>
          <w:rFonts w:ascii="Times New Roman" w:eastAsia="Times New Roman" w:hAnsi="Times New Roman" w:cs="Times New Roman"/>
          <w:b w:val="0"/>
          <w:i w:val="0"/>
          <w:color w:val="000000" w:themeColor="text1"/>
          <w:szCs w:val="18"/>
        </w:rPr>
        <w:fldChar w:fldCharType="begin"/>
      </w:r>
      <w:r w:rsidR="003460D8" w:rsidRPr="00582553">
        <w:rPr>
          <w:rStyle w:val="IntenseEmphasis"/>
          <w:rFonts w:ascii="Times New Roman" w:eastAsia="Times New Roman" w:hAnsi="Times New Roman" w:cs="Times New Roman"/>
          <w:b w:val="0"/>
          <w:i w:val="0"/>
          <w:color w:val="000000" w:themeColor="text1"/>
          <w:szCs w:val="18"/>
        </w:rPr>
        <w:instrText xml:space="preserve"> NOTEREF _Ref147769867 \h  \* MERGEFORMAT </w:instrText>
      </w:r>
      <w:r w:rsidR="003460D8" w:rsidRPr="00582553">
        <w:rPr>
          <w:rStyle w:val="IntenseEmphasis"/>
          <w:rFonts w:ascii="Times New Roman" w:eastAsia="Times New Roman" w:hAnsi="Times New Roman" w:cs="Times New Roman"/>
          <w:b w:val="0"/>
          <w:i w:val="0"/>
          <w:color w:val="000000" w:themeColor="text1"/>
          <w:szCs w:val="18"/>
        </w:rPr>
      </w:r>
      <w:r w:rsidR="003460D8" w:rsidRPr="00582553">
        <w:rPr>
          <w:rStyle w:val="IntenseEmphasis"/>
          <w:rFonts w:ascii="Times New Roman" w:eastAsia="Times New Roman" w:hAnsi="Times New Roman" w:cs="Times New Roman"/>
          <w:b w:val="0"/>
          <w:i w:val="0"/>
          <w:color w:val="000000" w:themeColor="text1"/>
          <w:szCs w:val="18"/>
        </w:rPr>
        <w:fldChar w:fldCharType="separate"/>
      </w:r>
      <w:r w:rsidR="00DD4A72">
        <w:rPr>
          <w:rStyle w:val="IntenseEmphasis"/>
          <w:rFonts w:ascii="Times New Roman" w:eastAsia="Times New Roman" w:hAnsi="Times New Roman" w:cs="Times New Roman"/>
          <w:b w:val="0"/>
          <w:i w:val="0"/>
          <w:color w:val="000000" w:themeColor="text1"/>
          <w:szCs w:val="18"/>
        </w:rPr>
        <w:t>22</w:t>
      </w:r>
      <w:r w:rsidR="003460D8" w:rsidRPr="00582553">
        <w:rPr>
          <w:rStyle w:val="IntenseEmphasis"/>
          <w:rFonts w:ascii="Times New Roman" w:eastAsia="Times New Roman" w:hAnsi="Times New Roman" w:cs="Times New Roman"/>
          <w:b w:val="0"/>
          <w:i w:val="0"/>
          <w:color w:val="000000" w:themeColor="text1"/>
          <w:szCs w:val="18"/>
        </w:rPr>
        <w:fldChar w:fldCharType="end"/>
      </w:r>
      <w:r w:rsidR="00120033" w:rsidRPr="00582553">
        <w:rPr>
          <w:rStyle w:val="IntenseEmphasis"/>
          <w:rFonts w:ascii="Times New Roman" w:eastAsia="Times New Roman" w:hAnsi="Times New Roman" w:cs="Times New Roman"/>
          <w:b w:val="0"/>
          <w:i w:val="0"/>
          <w:color w:val="000000" w:themeColor="text1"/>
          <w:szCs w:val="18"/>
        </w:rPr>
        <w:t>.</w:t>
      </w:r>
      <w:r w:rsidRPr="00582553">
        <w:rPr>
          <w:rStyle w:val="IntenseEmphasis"/>
          <w:rFonts w:ascii="Times New Roman" w:eastAsia="Times New Roman" w:hAnsi="Times New Roman" w:cs="Times New Roman"/>
          <w:b w:val="0"/>
          <w:i w:val="0"/>
          <w:color w:val="000000" w:themeColor="text1"/>
          <w:szCs w:val="18"/>
        </w:rPr>
        <w:t> </w:t>
      </w:r>
    </w:p>
  </w:footnote>
  <w:footnote w:id="358">
    <w:p w14:paraId="5204CACF" w14:textId="53252D2E" w:rsidR="00397F85" w:rsidRPr="00582553" w:rsidRDefault="00397F85" w:rsidP="00582553">
      <w:pPr>
        <w:pStyle w:val="FootnoteText"/>
        <w:spacing w:after="0"/>
        <w:ind w:left="284" w:hanging="284"/>
        <w:rPr>
          <w:rFonts w:ascii="Times New Roman" w:hAnsi="Times New Roman" w:cs="Times New Roman"/>
          <w:sz w:val="18"/>
          <w:szCs w:val="18"/>
          <w:lang w:val="en-IE"/>
        </w:rPr>
      </w:pPr>
      <w:r w:rsidRPr="00582553">
        <w:rPr>
          <w:rFonts w:ascii="Times New Roman" w:hAnsi="Times New Roman" w:cs="Times New Roman"/>
          <w:sz w:val="18"/>
          <w:szCs w:val="18"/>
          <w:vertAlign w:val="superscript"/>
          <w:lang w:val="en-IE"/>
        </w:rPr>
        <w:footnoteRef/>
      </w:r>
      <w:r w:rsidRPr="00582553">
        <w:rPr>
          <w:rFonts w:ascii="Times New Roman" w:hAnsi="Times New Roman" w:cs="Times New Roman"/>
          <w:sz w:val="18"/>
          <w:szCs w:val="18"/>
          <w:lang w:val="en-IE"/>
        </w:rPr>
        <w:t xml:space="preserve"> </w:t>
      </w:r>
      <w:r w:rsidRPr="00582553">
        <w:rPr>
          <w:rFonts w:ascii="Times New Roman" w:hAnsi="Times New Roman" w:cs="Times New Roman"/>
          <w:sz w:val="18"/>
          <w:szCs w:val="18"/>
          <w:lang w:val="en-IE"/>
        </w:rPr>
        <w:tab/>
      </w:r>
      <w:r w:rsidR="008076FB" w:rsidRPr="00582553">
        <w:rPr>
          <w:rFonts w:ascii="Times New Roman" w:hAnsi="Times New Roman" w:cs="Times New Roman"/>
          <w:sz w:val="18"/>
          <w:szCs w:val="18"/>
          <w:lang w:val="en-IE"/>
        </w:rPr>
        <w:t>See note</w:t>
      </w:r>
      <w:r w:rsidR="00EF55C9" w:rsidRPr="00582553">
        <w:rPr>
          <w:rFonts w:ascii="Times New Roman" w:hAnsi="Times New Roman" w:cs="Times New Roman"/>
          <w:sz w:val="18"/>
          <w:szCs w:val="18"/>
          <w:lang w:val="en-IE"/>
        </w:rPr>
        <w:t xml:space="preserve"> </w:t>
      </w:r>
      <w:r w:rsidR="00EF55C9" w:rsidRPr="00582553">
        <w:rPr>
          <w:rFonts w:ascii="Times New Roman" w:hAnsi="Times New Roman" w:cs="Times New Roman"/>
          <w:sz w:val="18"/>
          <w:szCs w:val="18"/>
          <w:lang w:val="en-IE"/>
        </w:rPr>
        <w:fldChar w:fldCharType="begin"/>
      </w:r>
      <w:r w:rsidR="00EF55C9" w:rsidRPr="00582553">
        <w:rPr>
          <w:rFonts w:ascii="Times New Roman" w:hAnsi="Times New Roman" w:cs="Times New Roman"/>
          <w:sz w:val="18"/>
          <w:szCs w:val="18"/>
          <w:lang w:val="en-IE"/>
        </w:rPr>
        <w:instrText xml:space="preserve"> NOTEREF _Ref147914967 \h </w:instrText>
      </w:r>
      <w:r w:rsidR="00466120" w:rsidRPr="00582553">
        <w:rPr>
          <w:rFonts w:ascii="Times New Roman" w:hAnsi="Times New Roman" w:cs="Times New Roman"/>
          <w:sz w:val="18"/>
          <w:szCs w:val="18"/>
          <w:lang w:val="en-IE"/>
        </w:rPr>
        <w:instrText xml:space="preserve"> \* MERGEFORMAT </w:instrText>
      </w:r>
      <w:r w:rsidR="00EF55C9" w:rsidRPr="00582553">
        <w:rPr>
          <w:rFonts w:ascii="Times New Roman" w:hAnsi="Times New Roman" w:cs="Times New Roman"/>
          <w:sz w:val="18"/>
          <w:szCs w:val="18"/>
          <w:lang w:val="en-IE"/>
        </w:rPr>
      </w:r>
      <w:r w:rsidR="00EF55C9" w:rsidRPr="00582553">
        <w:rPr>
          <w:rFonts w:ascii="Times New Roman" w:hAnsi="Times New Roman" w:cs="Times New Roman"/>
          <w:sz w:val="18"/>
          <w:szCs w:val="18"/>
          <w:lang w:val="en-IE"/>
        </w:rPr>
        <w:fldChar w:fldCharType="separate"/>
      </w:r>
      <w:r w:rsidR="00DD4A72">
        <w:rPr>
          <w:rFonts w:ascii="Times New Roman" w:hAnsi="Times New Roman" w:cs="Times New Roman"/>
          <w:sz w:val="18"/>
          <w:szCs w:val="18"/>
          <w:lang w:val="en-IE"/>
        </w:rPr>
        <w:t>225</w:t>
      </w:r>
      <w:r w:rsidR="00EF55C9" w:rsidRPr="00582553">
        <w:rPr>
          <w:rFonts w:ascii="Times New Roman" w:hAnsi="Times New Roman" w:cs="Times New Roman"/>
          <w:sz w:val="18"/>
          <w:szCs w:val="18"/>
          <w:lang w:val="en-IE"/>
        </w:rPr>
        <w:fldChar w:fldCharType="end"/>
      </w:r>
      <w:r w:rsidR="008076FB" w:rsidRPr="00582553">
        <w:rPr>
          <w:rFonts w:ascii="Times New Roman" w:hAnsi="Times New Roman" w:cs="Times New Roman"/>
          <w:sz w:val="18"/>
          <w:szCs w:val="18"/>
          <w:lang w:val="en-IE"/>
        </w:rPr>
        <w:t>.</w:t>
      </w:r>
    </w:p>
  </w:footnote>
  <w:footnote w:id="359">
    <w:p w14:paraId="59DE5F37" w14:textId="07430C1D" w:rsidR="00CA4195" w:rsidRPr="00CA4195" w:rsidRDefault="00CA4195" w:rsidP="004B75A3">
      <w:pPr>
        <w:pStyle w:val="FootnoteText"/>
        <w:spacing w:after="0"/>
        <w:ind w:left="284" w:hanging="284"/>
      </w:pPr>
      <w:r>
        <w:rPr>
          <w:rStyle w:val="FootnoteReference"/>
        </w:rPr>
        <w:footnoteRef/>
      </w:r>
      <w:r>
        <w:t xml:space="preserve"> </w:t>
      </w:r>
      <w:r>
        <w:tab/>
      </w:r>
      <w:r w:rsidRPr="004B75A3">
        <w:rPr>
          <w:sz w:val="18"/>
          <w:szCs w:val="18"/>
        </w:rPr>
        <w:t xml:space="preserve">More information on the EU’s Strategic Compass for Security and Defence available here: </w:t>
      </w:r>
      <w:hyperlink r:id="rId62" w:history="1">
        <w:r w:rsidRPr="004B75A3">
          <w:rPr>
            <w:rStyle w:val="Hyperlink"/>
            <w:sz w:val="18"/>
            <w:szCs w:val="18"/>
          </w:rPr>
          <w:t>https://www.eeas.europa.eu/eeas/strategic-compass-security-and-defence-1_en</w:t>
        </w:r>
      </w:hyperlink>
      <w:r w:rsidRPr="004B75A3">
        <w:rPr>
          <w:sz w:val="18"/>
          <w:szCs w:val="18"/>
        </w:rPr>
        <w:t>.</w:t>
      </w:r>
    </w:p>
  </w:footnote>
  <w:footnote w:id="360">
    <w:p w14:paraId="5B4105F4" w14:textId="108B7B2A" w:rsidR="004C422A" w:rsidRPr="00582553" w:rsidRDefault="004C422A" w:rsidP="004B75A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00A525CE" w:rsidRPr="00582553">
        <w:rPr>
          <w:rFonts w:ascii="Times New Roman" w:hAnsi="Times New Roman" w:cs="Times New Roman"/>
          <w:sz w:val="18"/>
          <w:szCs w:val="18"/>
        </w:rPr>
        <w:t xml:space="preserve"> European Commission, Directorate-General for Education, Youth, Sport and Culture, </w:t>
      </w:r>
      <w:r w:rsidR="00A525CE" w:rsidRPr="00582553">
        <w:rPr>
          <w:rFonts w:ascii="Times New Roman" w:hAnsi="Times New Roman" w:cs="Times New Roman"/>
          <w:i/>
          <w:sz w:val="18"/>
          <w:szCs w:val="18"/>
        </w:rPr>
        <w:t>Guidelines for teachers and educators on tackling disinformation and promoting digital literacy through education and training</w:t>
      </w:r>
      <w:r w:rsidR="00A525CE" w:rsidRPr="00582553">
        <w:rPr>
          <w:rFonts w:ascii="Times New Roman" w:hAnsi="Times New Roman" w:cs="Times New Roman"/>
          <w:sz w:val="18"/>
          <w:szCs w:val="18"/>
        </w:rPr>
        <w:t xml:space="preserve">, Publications Office of the European Union, 2022. </w:t>
      </w:r>
    </w:p>
  </w:footnote>
  <w:footnote w:id="361">
    <w:p w14:paraId="2A32B511" w14:textId="77777777" w:rsidR="00644421" w:rsidRPr="00450945" w:rsidRDefault="00644421" w:rsidP="004B75A3">
      <w:pPr>
        <w:pStyle w:val="FootnoteText"/>
        <w:spacing w:after="0"/>
        <w:ind w:left="284" w:hanging="284"/>
        <w:rPr>
          <w:lang w:val="en-IE"/>
        </w:rPr>
      </w:pPr>
      <w:r>
        <w:rPr>
          <w:rStyle w:val="FootnoteReference"/>
        </w:rPr>
        <w:footnoteRef/>
      </w:r>
      <w:r>
        <w:t xml:space="preserve"> </w:t>
      </w:r>
      <w:r w:rsidRPr="00450945">
        <w:rPr>
          <w:lang w:val="en-IE"/>
        </w:rPr>
        <w:tab/>
        <w:t>In the 2022 Rule of L</w:t>
      </w:r>
      <w:r w:rsidRPr="003479E4">
        <w:rPr>
          <w:lang w:val="en-IE"/>
        </w:rPr>
        <w:t xml:space="preserve">aw Report, further recommendations on lobbying concerned </w:t>
      </w:r>
      <w:r w:rsidRPr="003479E4">
        <w:t>DE, EE, IE, FR, HR, IT, LV, LU, HU, NL</w:t>
      </w:r>
      <w:r w:rsidRPr="00450945">
        <w:t xml:space="preserve"> and</w:t>
      </w:r>
      <w:r w:rsidRPr="003479E4">
        <w:t xml:space="preserve"> PL. </w:t>
      </w:r>
    </w:p>
  </w:footnote>
  <w:footnote w:id="362">
    <w:p w14:paraId="027EE64B" w14:textId="77777777" w:rsidR="00470374" w:rsidRPr="00450945" w:rsidRDefault="00470374" w:rsidP="004B75A3">
      <w:pPr>
        <w:pStyle w:val="FootnoteText"/>
        <w:spacing w:after="0"/>
        <w:ind w:left="284" w:hanging="284"/>
        <w:rPr>
          <w:lang w:val="en-IE"/>
        </w:rPr>
      </w:pPr>
      <w:r>
        <w:rPr>
          <w:rStyle w:val="FootnoteReference"/>
        </w:rPr>
        <w:footnoteRef/>
      </w:r>
      <w:r>
        <w:t xml:space="preserve"> </w:t>
      </w:r>
      <w:r w:rsidRPr="00450945">
        <w:rPr>
          <w:lang w:val="en-IE"/>
        </w:rPr>
        <w:tab/>
      </w:r>
      <w:r>
        <w:rPr>
          <w:lang w:val="en-IE"/>
        </w:rPr>
        <w:t>F</w:t>
      </w:r>
      <w:r w:rsidRPr="003479E4">
        <w:rPr>
          <w:lang w:val="en-IE"/>
        </w:rPr>
        <w:t>urther recommendations</w:t>
      </w:r>
      <w:r w:rsidRPr="00450945">
        <w:rPr>
          <w:lang w:val="en-IE"/>
        </w:rPr>
        <w:t xml:space="preserve"> related to lobbying</w:t>
      </w:r>
      <w:r w:rsidRPr="003479E4">
        <w:rPr>
          <w:lang w:val="en-IE"/>
        </w:rPr>
        <w:t xml:space="preserve"> concern DE, CZ, DK, DE, IE, ES, FR, HR, IT, LV, LU, HU, NL, AT, PL, RO and SK</w:t>
      </w:r>
      <w:r w:rsidRPr="00450945">
        <w:rPr>
          <w:lang w:val="en-IE"/>
        </w:rPr>
        <w:t xml:space="preserve">. </w:t>
      </w:r>
      <w:r w:rsidRPr="003479E4">
        <w:rPr>
          <w:lang w:val="en-IE"/>
        </w:rPr>
        <w:t xml:space="preserve"> </w:t>
      </w:r>
    </w:p>
  </w:footnote>
  <w:footnote w:id="363">
    <w:p w14:paraId="1CE54217" w14:textId="2F1614F0" w:rsidR="00397F85" w:rsidRPr="00582553" w:rsidRDefault="00397F85"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00877EAE" w:rsidRPr="00582553">
        <w:rPr>
          <w:rFonts w:ascii="Times New Roman" w:hAnsi="Times New Roman" w:cs="Times New Roman"/>
          <w:sz w:val="18"/>
          <w:szCs w:val="18"/>
        </w:rPr>
        <w:tab/>
      </w:r>
      <w:r w:rsidR="005711E8" w:rsidRPr="00582553">
        <w:rPr>
          <w:rFonts w:ascii="Times New Roman" w:hAnsi="Times New Roman" w:cs="Times New Roman"/>
          <w:sz w:val="18"/>
          <w:szCs w:val="18"/>
        </w:rPr>
        <w:t xml:space="preserve">See note </w:t>
      </w:r>
      <w:r w:rsidR="005711E8" w:rsidRPr="00582553">
        <w:rPr>
          <w:rFonts w:ascii="Times New Roman" w:hAnsi="Times New Roman" w:cs="Times New Roman"/>
          <w:sz w:val="18"/>
          <w:szCs w:val="18"/>
        </w:rPr>
        <w:fldChar w:fldCharType="begin"/>
      </w:r>
      <w:r w:rsidR="005711E8" w:rsidRPr="00582553">
        <w:rPr>
          <w:rFonts w:ascii="Times New Roman" w:hAnsi="Times New Roman" w:cs="Times New Roman"/>
          <w:sz w:val="18"/>
          <w:szCs w:val="18"/>
        </w:rPr>
        <w:instrText xml:space="preserve"> NOTEREF _Ref147770155 \h </w:instrText>
      </w:r>
      <w:r w:rsidR="001479EE" w:rsidRPr="00582553">
        <w:rPr>
          <w:rFonts w:ascii="Times New Roman" w:hAnsi="Times New Roman" w:cs="Times New Roman"/>
          <w:sz w:val="18"/>
          <w:szCs w:val="18"/>
        </w:rPr>
        <w:instrText xml:space="preserve"> \* MERGEFORMAT </w:instrText>
      </w:r>
      <w:r w:rsidR="005711E8" w:rsidRPr="00582553">
        <w:rPr>
          <w:rFonts w:ascii="Times New Roman" w:hAnsi="Times New Roman" w:cs="Times New Roman"/>
          <w:sz w:val="18"/>
          <w:szCs w:val="18"/>
        </w:rPr>
      </w:r>
      <w:r w:rsidR="005711E8"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23</w:t>
      </w:r>
      <w:r w:rsidR="005711E8" w:rsidRPr="00582553">
        <w:rPr>
          <w:rFonts w:ascii="Times New Roman" w:hAnsi="Times New Roman" w:cs="Times New Roman"/>
          <w:sz w:val="18"/>
          <w:szCs w:val="18"/>
        </w:rPr>
        <w:fldChar w:fldCharType="end"/>
      </w:r>
      <w:r w:rsidR="005711E8" w:rsidRPr="00582553">
        <w:rPr>
          <w:rFonts w:ascii="Times New Roman" w:hAnsi="Times New Roman" w:cs="Times New Roman"/>
          <w:sz w:val="18"/>
          <w:szCs w:val="18"/>
        </w:rPr>
        <w:t>.</w:t>
      </w:r>
    </w:p>
  </w:footnote>
  <w:footnote w:id="364">
    <w:p w14:paraId="22252C7F" w14:textId="67A2507C" w:rsidR="00397F85" w:rsidRPr="00582553" w:rsidRDefault="00397F85"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256ED0" w:rsidRPr="00582553">
        <w:rPr>
          <w:rFonts w:ascii="Times New Roman" w:hAnsi="Times New Roman" w:cs="Times New Roman"/>
          <w:sz w:val="18"/>
          <w:szCs w:val="18"/>
        </w:rPr>
        <w:t>The NIS 2 D</w:t>
      </w:r>
      <w:r w:rsidR="00BC739B" w:rsidRPr="00582553">
        <w:rPr>
          <w:rFonts w:ascii="Times New Roman" w:hAnsi="Times New Roman" w:cs="Times New Roman"/>
          <w:sz w:val="18"/>
          <w:szCs w:val="18"/>
        </w:rPr>
        <w:t>irective, s</w:t>
      </w:r>
      <w:r w:rsidR="00933E1A" w:rsidRPr="00582553">
        <w:rPr>
          <w:rFonts w:ascii="Times New Roman" w:hAnsi="Times New Roman" w:cs="Times New Roman"/>
          <w:sz w:val="18"/>
          <w:szCs w:val="18"/>
        </w:rPr>
        <w:t xml:space="preserve">ee note </w:t>
      </w:r>
      <w:r w:rsidR="00933E1A" w:rsidRPr="00582553">
        <w:rPr>
          <w:rFonts w:ascii="Times New Roman" w:hAnsi="Times New Roman" w:cs="Times New Roman"/>
          <w:sz w:val="18"/>
          <w:szCs w:val="18"/>
        </w:rPr>
        <w:fldChar w:fldCharType="begin"/>
      </w:r>
      <w:r w:rsidR="00933E1A" w:rsidRPr="00582553">
        <w:rPr>
          <w:rFonts w:ascii="Times New Roman" w:hAnsi="Times New Roman" w:cs="Times New Roman"/>
          <w:sz w:val="18"/>
          <w:szCs w:val="18"/>
        </w:rPr>
        <w:instrText xml:space="preserve"> NOTEREF _Ref147770570 \h </w:instrText>
      </w:r>
      <w:r w:rsidR="005A6B8F" w:rsidRPr="00582553">
        <w:rPr>
          <w:rFonts w:ascii="Times New Roman" w:hAnsi="Times New Roman" w:cs="Times New Roman"/>
          <w:sz w:val="18"/>
          <w:szCs w:val="18"/>
        </w:rPr>
        <w:instrText xml:space="preserve"> \* MERGEFORMAT </w:instrText>
      </w:r>
      <w:r w:rsidR="00933E1A" w:rsidRPr="00582553">
        <w:rPr>
          <w:rFonts w:ascii="Times New Roman" w:hAnsi="Times New Roman" w:cs="Times New Roman"/>
          <w:sz w:val="18"/>
          <w:szCs w:val="18"/>
        </w:rPr>
      </w:r>
      <w:r w:rsidR="00933E1A"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24</w:t>
      </w:r>
      <w:r w:rsidR="00933E1A" w:rsidRPr="00582553">
        <w:rPr>
          <w:rFonts w:ascii="Times New Roman" w:hAnsi="Times New Roman" w:cs="Times New Roman"/>
          <w:sz w:val="18"/>
          <w:szCs w:val="18"/>
        </w:rPr>
        <w:fldChar w:fldCharType="end"/>
      </w:r>
      <w:r w:rsidR="00120033" w:rsidRPr="00582553">
        <w:rPr>
          <w:rFonts w:ascii="Times New Roman" w:hAnsi="Times New Roman" w:cs="Times New Roman"/>
          <w:sz w:val="18"/>
          <w:szCs w:val="18"/>
        </w:rPr>
        <w:t>.</w:t>
      </w:r>
    </w:p>
  </w:footnote>
  <w:footnote w:id="365">
    <w:p w14:paraId="0728CA33" w14:textId="3744C146" w:rsidR="00397F85" w:rsidRPr="00582553" w:rsidRDefault="00397F85"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Directive (EU) 2022/2557 on the resilience of critical entities</w:t>
      </w:r>
      <w:r w:rsidR="00120033" w:rsidRPr="00582553">
        <w:rPr>
          <w:rFonts w:ascii="Times New Roman" w:hAnsi="Times New Roman" w:cs="Times New Roman"/>
          <w:sz w:val="18"/>
          <w:szCs w:val="18"/>
        </w:rPr>
        <w:t>.</w:t>
      </w:r>
    </w:p>
  </w:footnote>
  <w:footnote w:id="366">
    <w:p w14:paraId="42E1B3A2" w14:textId="091D7439" w:rsidR="00397F85" w:rsidRPr="00582553" w:rsidRDefault="00397F85" w:rsidP="00582553">
      <w:pPr>
        <w:pStyle w:val="FootnoteText"/>
        <w:spacing w:after="0"/>
        <w:ind w:left="284" w:hanging="284"/>
        <w:rPr>
          <w:rFonts w:ascii="Times New Roman" w:hAnsi="Times New Roman" w:cs="Times New Roman"/>
          <w:sz w:val="18"/>
          <w:szCs w:val="18"/>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t xml:space="preserve">Proposal for a </w:t>
      </w:r>
      <w:r w:rsidR="0022005A" w:rsidRPr="00582553">
        <w:rPr>
          <w:rFonts w:ascii="Times New Roman" w:hAnsi="Times New Roman" w:cs="Times New Roman"/>
          <w:sz w:val="18"/>
          <w:szCs w:val="18"/>
        </w:rPr>
        <w:t>Regulation</w:t>
      </w:r>
      <w:r w:rsidRPr="00582553">
        <w:rPr>
          <w:rFonts w:ascii="Times New Roman" w:hAnsi="Times New Roman" w:cs="Times New Roman"/>
          <w:sz w:val="18"/>
          <w:szCs w:val="18"/>
        </w:rPr>
        <w:t xml:space="preserve"> on horizontal cybersecurity requirements for products with digital elements and amending Regulation (EU) 2019/1020</w:t>
      </w:r>
      <w:r w:rsidR="00120033" w:rsidRPr="00582553">
        <w:rPr>
          <w:rFonts w:ascii="Times New Roman" w:hAnsi="Times New Roman" w:cs="Times New Roman"/>
          <w:sz w:val="18"/>
          <w:szCs w:val="18"/>
        </w:rPr>
        <w:t>.</w:t>
      </w:r>
    </w:p>
  </w:footnote>
  <w:footnote w:id="367">
    <w:p w14:paraId="67B53507" w14:textId="08B59F5B" w:rsidR="00397F85" w:rsidRPr="00582553" w:rsidRDefault="00397F85"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Pr="00582553">
        <w:rPr>
          <w:rFonts w:ascii="Times New Roman" w:hAnsi="Times New Roman" w:cs="Times New Roman"/>
          <w:sz w:val="18"/>
          <w:szCs w:val="18"/>
        </w:rPr>
        <w:t xml:space="preserve"> </w:t>
      </w:r>
      <w:r w:rsidRPr="00582553">
        <w:rPr>
          <w:rFonts w:ascii="Times New Roman" w:hAnsi="Times New Roman" w:cs="Times New Roman"/>
          <w:sz w:val="18"/>
          <w:szCs w:val="18"/>
        </w:rPr>
        <w:tab/>
      </w:r>
      <w:r w:rsidR="00E71594" w:rsidRPr="00582553">
        <w:rPr>
          <w:rFonts w:ascii="Times New Roman" w:hAnsi="Times New Roman" w:cs="Times New Roman"/>
          <w:sz w:val="18"/>
          <w:szCs w:val="18"/>
        </w:rPr>
        <w:t>D</w:t>
      </w:r>
      <w:r w:rsidR="00DE44EE" w:rsidRPr="00582553">
        <w:rPr>
          <w:rFonts w:ascii="Times New Roman" w:hAnsi="Times New Roman" w:cs="Times New Roman"/>
          <w:sz w:val="18"/>
          <w:szCs w:val="18"/>
        </w:rPr>
        <w:t>ORA</w:t>
      </w:r>
      <w:r w:rsidR="00E71594" w:rsidRPr="00582553">
        <w:rPr>
          <w:rFonts w:ascii="Times New Roman" w:hAnsi="Times New Roman" w:cs="Times New Roman"/>
          <w:sz w:val="18"/>
          <w:szCs w:val="18"/>
        </w:rPr>
        <w:t xml:space="preserve"> Regulation, see note </w:t>
      </w:r>
      <w:r w:rsidR="00E71594" w:rsidRPr="00582553">
        <w:rPr>
          <w:rFonts w:ascii="Times New Roman" w:hAnsi="Times New Roman" w:cs="Times New Roman"/>
          <w:sz w:val="18"/>
          <w:szCs w:val="18"/>
        </w:rPr>
        <w:fldChar w:fldCharType="begin"/>
      </w:r>
      <w:r w:rsidR="00E71594" w:rsidRPr="00582553">
        <w:rPr>
          <w:rFonts w:ascii="Times New Roman" w:hAnsi="Times New Roman" w:cs="Times New Roman"/>
          <w:sz w:val="18"/>
          <w:szCs w:val="18"/>
        </w:rPr>
        <w:instrText xml:space="preserve"> NOTEREF _Ref147770570 \h </w:instrText>
      </w:r>
      <w:r w:rsidR="00DE44EE" w:rsidRPr="00582553">
        <w:rPr>
          <w:rFonts w:ascii="Times New Roman" w:hAnsi="Times New Roman" w:cs="Times New Roman"/>
          <w:sz w:val="18"/>
          <w:szCs w:val="18"/>
        </w:rPr>
        <w:instrText xml:space="preserve"> \* MERGEFORMAT </w:instrText>
      </w:r>
      <w:r w:rsidR="00E71594" w:rsidRPr="00582553">
        <w:rPr>
          <w:rFonts w:ascii="Times New Roman" w:hAnsi="Times New Roman" w:cs="Times New Roman"/>
          <w:sz w:val="18"/>
          <w:szCs w:val="18"/>
        </w:rPr>
      </w:r>
      <w:r w:rsidR="00E71594"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24</w:t>
      </w:r>
      <w:r w:rsidR="00E71594" w:rsidRPr="00582553">
        <w:rPr>
          <w:rFonts w:ascii="Times New Roman" w:hAnsi="Times New Roman" w:cs="Times New Roman"/>
          <w:sz w:val="18"/>
          <w:szCs w:val="18"/>
        </w:rPr>
        <w:fldChar w:fldCharType="end"/>
      </w:r>
      <w:r w:rsidR="00120033" w:rsidRPr="00582553">
        <w:rPr>
          <w:rFonts w:ascii="Times New Roman" w:hAnsi="Times New Roman" w:cs="Times New Roman"/>
          <w:sz w:val="18"/>
          <w:szCs w:val="18"/>
        </w:rPr>
        <w:t>.</w:t>
      </w:r>
    </w:p>
  </w:footnote>
  <w:footnote w:id="368">
    <w:p w14:paraId="2C121FFA" w14:textId="3AAF2CB7" w:rsidR="00E622AC" w:rsidRPr="00582553" w:rsidRDefault="00E622AC" w:rsidP="00582553">
      <w:pPr>
        <w:pStyle w:val="FootnoteText"/>
        <w:spacing w:after="0"/>
        <w:ind w:left="284" w:hanging="284"/>
        <w:rPr>
          <w:rFonts w:ascii="Times New Roman" w:hAnsi="Times New Roman" w:cs="Times New Roman"/>
          <w:sz w:val="18"/>
          <w:szCs w:val="18"/>
          <w:lang w:val="en-IE"/>
        </w:rPr>
      </w:pPr>
      <w:r w:rsidRPr="00582553">
        <w:rPr>
          <w:rStyle w:val="FootnoteReference"/>
          <w:rFonts w:ascii="Times New Roman" w:hAnsi="Times New Roman" w:cs="Times New Roman"/>
          <w:sz w:val="18"/>
          <w:szCs w:val="18"/>
        </w:rPr>
        <w:footnoteRef/>
      </w:r>
      <w:r w:rsidR="00DE44EE" w:rsidRPr="00582553">
        <w:rPr>
          <w:rFonts w:ascii="Times New Roman" w:hAnsi="Times New Roman" w:cs="Times New Roman"/>
          <w:sz w:val="18"/>
          <w:szCs w:val="18"/>
        </w:rPr>
        <w:tab/>
        <w:t xml:space="preserve">See note </w:t>
      </w:r>
      <w:r w:rsidR="00DE44EE" w:rsidRPr="00582553">
        <w:rPr>
          <w:rFonts w:ascii="Times New Roman" w:hAnsi="Times New Roman" w:cs="Times New Roman"/>
          <w:sz w:val="18"/>
          <w:szCs w:val="18"/>
        </w:rPr>
        <w:fldChar w:fldCharType="begin"/>
      </w:r>
      <w:r w:rsidR="00DE44EE" w:rsidRPr="00582553">
        <w:rPr>
          <w:rFonts w:ascii="Times New Roman" w:hAnsi="Times New Roman" w:cs="Times New Roman"/>
          <w:sz w:val="18"/>
          <w:szCs w:val="18"/>
        </w:rPr>
        <w:instrText xml:space="preserve"> NOTEREF _Ref147915728 \h  \* MERGEFORMAT </w:instrText>
      </w:r>
      <w:r w:rsidR="00DE44EE" w:rsidRPr="00582553">
        <w:rPr>
          <w:rFonts w:ascii="Times New Roman" w:hAnsi="Times New Roman" w:cs="Times New Roman"/>
          <w:sz w:val="18"/>
          <w:szCs w:val="18"/>
        </w:rPr>
      </w:r>
      <w:r w:rsidR="00DE44EE" w:rsidRPr="00582553">
        <w:rPr>
          <w:rFonts w:ascii="Times New Roman" w:hAnsi="Times New Roman" w:cs="Times New Roman"/>
          <w:sz w:val="18"/>
          <w:szCs w:val="18"/>
        </w:rPr>
        <w:fldChar w:fldCharType="separate"/>
      </w:r>
      <w:r w:rsidR="00DD4A72">
        <w:rPr>
          <w:rFonts w:ascii="Times New Roman" w:hAnsi="Times New Roman" w:cs="Times New Roman"/>
          <w:sz w:val="18"/>
          <w:szCs w:val="18"/>
        </w:rPr>
        <w:t>238</w:t>
      </w:r>
      <w:r w:rsidR="00DE44EE" w:rsidRPr="00582553">
        <w:rPr>
          <w:rFonts w:ascii="Times New Roman" w:hAnsi="Times New Roman" w:cs="Times New Roman"/>
          <w:sz w:val="18"/>
          <w:szCs w:val="18"/>
        </w:rPr>
        <w:fldChar w:fldCharType="end"/>
      </w:r>
      <w:r w:rsidR="00DE44EE" w:rsidRPr="00582553">
        <w:rPr>
          <w:rFonts w:ascii="Times New Roman" w:hAnsi="Times New Roman" w:cs="Times New Roman"/>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F0467" w14:textId="77777777" w:rsidR="00F30A10" w:rsidRPr="00F30A10" w:rsidRDefault="00F30A10" w:rsidP="00F30A1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BDF98" w14:textId="77777777" w:rsidR="00C245C4" w:rsidRDefault="00C245C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020872"/>
      <w:docPartObj>
        <w:docPartGallery w:val="Watermarks"/>
        <w:docPartUnique/>
      </w:docPartObj>
    </w:sdtPr>
    <w:sdtEndPr/>
    <w:sdtContent>
      <w:p w14:paraId="79F7E0FB" w14:textId="77777777" w:rsidR="00C245C4" w:rsidRDefault="00F30A10">
        <w:pPr>
          <w:pStyle w:val="Header"/>
        </w:pPr>
        <w:r>
          <w:rPr>
            <w:noProof/>
          </w:rPr>
          <w:pict w14:anchorId="39323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0;text-align:left;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63ADE" w14:textId="77777777" w:rsidR="00C245C4" w:rsidRDefault="00C245C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46FCE" w14:textId="77777777" w:rsidR="00C245C4" w:rsidRDefault="00C245C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128A0" w14:textId="6CA4965F" w:rsidR="00C245C4" w:rsidRDefault="00C245C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574CA" w14:textId="77777777" w:rsidR="00C245C4" w:rsidRDefault="00C245C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B5E84" w14:textId="77777777" w:rsidR="00C245C4" w:rsidRDefault="00C245C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6613E" w14:textId="523F44B4" w:rsidR="00C245C4" w:rsidRDefault="00C245C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D3F7C" w14:textId="77777777" w:rsidR="00C245C4" w:rsidRDefault="00C245C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AC99A" w14:textId="77777777" w:rsidR="00A046DD" w:rsidRDefault="00A046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41D6A" w14:textId="77777777" w:rsidR="00F30A10" w:rsidRPr="00F30A10" w:rsidRDefault="00F30A10" w:rsidP="00F30A10">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18E6A" w14:textId="77777777" w:rsidR="00A046DD" w:rsidRPr="007B7361" w:rsidRDefault="00A046DD">
    <w:pPr>
      <w:pStyle w:val="Header"/>
      <w:rPr>
        <w:color w:val="60534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12E09" w14:textId="77777777" w:rsidR="00A046DD" w:rsidRDefault="00A046D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A77B5" w14:textId="77777777" w:rsidR="00C245C4" w:rsidRDefault="00C245C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44AFF" w14:textId="77777777" w:rsidR="00C245C4" w:rsidRPr="007B7361" w:rsidRDefault="00C245C4">
    <w:pPr>
      <w:pStyle w:val="Header"/>
      <w:rPr>
        <w:color w:val="60534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C87CC" w14:textId="77777777" w:rsidR="00C245C4" w:rsidRDefault="00C245C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79D47" w14:textId="77777777" w:rsidR="00C245C4" w:rsidRDefault="00C245C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7CB3A" w14:textId="77777777" w:rsidR="00C245C4" w:rsidRPr="007B7361" w:rsidRDefault="00C245C4">
    <w:pPr>
      <w:pStyle w:val="Header"/>
      <w:rPr>
        <w:color w:val="60534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2BF02" w14:textId="77777777" w:rsidR="00C245C4" w:rsidRDefault="00C245C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EFB5D" w14:textId="77777777" w:rsidR="004E11B0" w:rsidRDefault="004E11B0">
    <w:pPr>
      <w:pStyle w:val="Header"/>
    </w:pPr>
  </w:p>
  <w:p w14:paraId="1FA1FE67" w14:textId="77777777" w:rsidR="004E11B0" w:rsidRDefault="004E11B0"/>
  <w:p w14:paraId="4D127532" w14:textId="77777777" w:rsidR="004E11B0" w:rsidRDefault="004E11B0"/>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9E64A" w14:textId="77777777" w:rsidR="004E11B0" w:rsidRDefault="004E11B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70201" w14:textId="77777777" w:rsidR="00F30A10" w:rsidRPr="00F30A10" w:rsidRDefault="00F30A10" w:rsidP="00F30A10">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89658" w14:textId="77777777" w:rsidR="004E11B0" w:rsidRDefault="004E11B0" w:rsidP="00B73957">
    <w:pPr>
      <w:pStyle w:val="Header"/>
      <w:spacing w:after="0"/>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0421C" w14:textId="77777777" w:rsidR="00C245C4" w:rsidRDefault="00C245C4">
    <w:pPr>
      <w:pStyle w:val="Header"/>
    </w:pPr>
  </w:p>
  <w:p w14:paraId="77850974" w14:textId="77777777" w:rsidR="00C245C4" w:rsidRDefault="00C245C4"/>
  <w:p w14:paraId="45C8ACD0" w14:textId="77777777" w:rsidR="00C245C4" w:rsidRDefault="00C245C4"/>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E1022" w14:textId="77777777" w:rsidR="00C245C4" w:rsidRDefault="00C245C4"/>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6B02A" w14:textId="77777777" w:rsidR="00C245C4" w:rsidRDefault="00C245C4" w:rsidP="00B73957">
    <w:pPr>
      <w:pStyle w:val="Header"/>
      <w:spacing w:after="0"/>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04CB3" w14:textId="77777777" w:rsidR="00C245C4" w:rsidRDefault="00C245C4">
    <w:pPr>
      <w:pStyle w:val="Header"/>
    </w:pPr>
  </w:p>
  <w:p w14:paraId="7C2B31B6" w14:textId="77777777" w:rsidR="00C245C4" w:rsidRDefault="00C245C4"/>
  <w:p w14:paraId="201F0649" w14:textId="77777777" w:rsidR="00C245C4" w:rsidRDefault="00C245C4"/>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B8A06" w14:textId="77777777" w:rsidR="00C245C4" w:rsidRDefault="00C245C4"/>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91043" w14:textId="77777777" w:rsidR="00C245C4" w:rsidRDefault="00C245C4" w:rsidP="00B73957">
    <w:pPr>
      <w:pStyle w:val="Header"/>
      <w:spacing w:after="0"/>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6281F" w14:textId="77777777" w:rsidR="00C245C4" w:rsidRDefault="00C245C4">
    <w:pPr>
      <w:pStyle w:val="Header"/>
    </w:pPr>
  </w:p>
  <w:p w14:paraId="708E2632" w14:textId="77777777" w:rsidR="00C245C4" w:rsidRDefault="00C245C4"/>
  <w:p w14:paraId="185C37EA" w14:textId="77777777" w:rsidR="00C245C4" w:rsidRDefault="00C245C4"/>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7867F" w14:textId="77777777" w:rsidR="00C245C4" w:rsidRDefault="00C245C4"/>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61A9A" w14:textId="77777777" w:rsidR="00C245C4" w:rsidRDefault="00C245C4" w:rsidP="00B73957">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E61FF" w14:textId="62319D60" w:rsidR="00AA7E09" w:rsidRDefault="00AA7E0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903BC" w14:textId="77777777" w:rsidR="00C245C4" w:rsidRDefault="00C245C4">
    <w:pPr>
      <w:pStyle w:val="Header"/>
    </w:pPr>
  </w:p>
  <w:p w14:paraId="75F134A9" w14:textId="77777777" w:rsidR="00C245C4" w:rsidRDefault="00C245C4"/>
  <w:p w14:paraId="417E30C7" w14:textId="77777777" w:rsidR="00C245C4" w:rsidRDefault="00C245C4"/>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1B3AA" w14:textId="77777777" w:rsidR="00C245C4" w:rsidRDefault="00C245C4"/>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5DF5E" w14:textId="77777777" w:rsidR="00C245C4" w:rsidRDefault="00C245C4" w:rsidP="00B73957">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FBD80" w14:textId="323FA2D1" w:rsidR="004E11B0" w:rsidRDefault="004E11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18C79" w14:textId="77777777" w:rsidR="00AA7E09" w:rsidRDefault="00AA7E0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D5BE7" w14:textId="77777777" w:rsidR="00C245C4" w:rsidRDefault="00C245C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047D6" w14:textId="4BAE5A20" w:rsidR="00C245C4" w:rsidRDefault="00C245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4E370" w14:textId="77777777" w:rsidR="00C245C4" w:rsidRDefault="00C245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MS PGothic" w:hAnsi="MS PGothic" w:hint="default"/>
      </w:rPr>
    </w:lvl>
  </w:abstractNum>
  <w:abstractNum w:abstractNumId="1" w15:restartNumberingAfterBreak="0">
    <w:nsid w:val="012755BC"/>
    <w:multiLevelType w:val="hybridMultilevel"/>
    <w:tmpl w:val="BC8CCFE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E04DAF"/>
    <w:multiLevelType w:val="hybridMultilevel"/>
    <w:tmpl w:val="3F0297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Mangal" w:hAnsi="Mangal" w:cs="Mangal"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MS PGothic" w:hAnsi="MS PGothic" w:hint="default"/>
      </w:rPr>
    </w:lvl>
    <w:lvl w:ilvl="4" w:tplc="18090003" w:tentative="1">
      <w:start w:val="1"/>
      <w:numFmt w:val="bullet"/>
      <w:lvlText w:val="o"/>
      <w:lvlJc w:val="left"/>
      <w:pPr>
        <w:ind w:left="3600" w:hanging="360"/>
      </w:pPr>
      <w:rPr>
        <w:rFonts w:ascii="Mangal" w:hAnsi="Mangal" w:cs="Mangal"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MS PGothic" w:hAnsi="MS PGothic" w:hint="default"/>
      </w:rPr>
    </w:lvl>
    <w:lvl w:ilvl="7" w:tplc="18090003" w:tentative="1">
      <w:start w:val="1"/>
      <w:numFmt w:val="bullet"/>
      <w:lvlText w:val="o"/>
      <w:lvlJc w:val="left"/>
      <w:pPr>
        <w:ind w:left="5760" w:hanging="360"/>
      </w:pPr>
      <w:rPr>
        <w:rFonts w:ascii="Mangal" w:hAnsi="Mangal" w:cs="Mangal" w:hint="default"/>
      </w:rPr>
    </w:lvl>
    <w:lvl w:ilvl="8" w:tplc="18090005" w:tentative="1">
      <w:start w:val="1"/>
      <w:numFmt w:val="bullet"/>
      <w:lvlText w:val=""/>
      <w:lvlJc w:val="left"/>
      <w:pPr>
        <w:ind w:left="6480" w:hanging="360"/>
      </w:pPr>
      <w:rPr>
        <w:rFonts w:ascii="Cambria Math" w:hAnsi="Cambria Math" w:hint="default"/>
      </w:rPr>
    </w:lvl>
  </w:abstractNum>
  <w:abstractNum w:abstractNumId="3" w15:restartNumberingAfterBreak="0">
    <w:nsid w:val="0838719E"/>
    <w:multiLevelType w:val="multilevel"/>
    <w:tmpl w:val="26C24C12"/>
    <w:lvl w:ilvl="0">
      <w:start w:val="1"/>
      <w:numFmt w:val="decimal"/>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w:hAnsi="Times"/>
      </w:rPr>
    </w:lvl>
    <w:lvl w:ilvl="3">
      <w:start w:val="1"/>
      <w:numFmt w:val="bullet"/>
      <w:lvlText w:val=""/>
      <w:lvlJc w:val="left"/>
      <w:pPr>
        <w:tabs>
          <w:tab w:val="num" w:pos="4037"/>
        </w:tabs>
        <w:ind w:left="4037" w:hanging="709"/>
      </w:pPr>
      <w:rPr>
        <w:rFonts w:ascii="MS PGothic" w:hAnsi="MS PGothic"/>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99B32A5"/>
    <w:multiLevelType w:val="multilevel"/>
    <w:tmpl w:val="D0FE4BE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CB2FCA"/>
    <w:multiLevelType w:val="hybridMultilevel"/>
    <w:tmpl w:val="68C6142C"/>
    <w:lvl w:ilvl="0" w:tplc="18090001">
      <w:start w:val="1"/>
      <w:numFmt w:val="bullet"/>
      <w:lvlText w:val=""/>
      <w:lvlJc w:val="left"/>
      <w:pPr>
        <w:ind w:left="720" w:hanging="360"/>
      </w:pPr>
      <w:rPr>
        <w:rFonts w:ascii="Symbol" w:hAnsi="Symbol" w:hint="default"/>
        <w:b/>
        <w:i w:val="0"/>
        <w:color w:val="auto"/>
        <w:sz w:val="22"/>
      </w:rPr>
    </w:lvl>
    <w:lvl w:ilvl="1" w:tplc="18090003">
      <w:start w:val="1"/>
      <w:numFmt w:val="bullet"/>
      <w:lvlText w:val="o"/>
      <w:lvlJc w:val="left"/>
      <w:pPr>
        <w:ind w:left="1440" w:hanging="360"/>
      </w:pPr>
      <w:rPr>
        <w:rFonts w:ascii="Mangal" w:hAnsi="Mangal" w:cs="Mangal" w:hint="default"/>
      </w:rPr>
    </w:lvl>
    <w:lvl w:ilvl="2" w:tplc="18090005">
      <w:start w:val="1"/>
      <w:numFmt w:val="bullet"/>
      <w:lvlText w:val=""/>
      <w:lvlJc w:val="left"/>
      <w:pPr>
        <w:ind w:left="2160" w:hanging="360"/>
      </w:pPr>
      <w:rPr>
        <w:rFonts w:ascii="Cambria Math" w:hAnsi="Cambria Math" w:hint="default"/>
      </w:rPr>
    </w:lvl>
    <w:lvl w:ilvl="3" w:tplc="18090001">
      <w:start w:val="1"/>
      <w:numFmt w:val="bullet"/>
      <w:lvlText w:val=""/>
      <w:lvlJc w:val="left"/>
      <w:pPr>
        <w:ind w:left="2880" w:hanging="360"/>
      </w:pPr>
      <w:rPr>
        <w:rFonts w:ascii="MS PGothic" w:hAnsi="MS PGothic" w:hint="default"/>
      </w:rPr>
    </w:lvl>
    <w:lvl w:ilvl="4" w:tplc="18090003">
      <w:start w:val="1"/>
      <w:numFmt w:val="bullet"/>
      <w:lvlText w:val="o"/>
      <w:lvlJc w:val="left"/>
      <w:pPr>
        <w:ind w:left="3600" w:hanging="360"/>
      </w:pPr>
      <w:rPr>
        <w:rFonts w:ascii="Mangal" w:hAnsi="Mangal" w:cs="Mangal" w:hint="default"/>
      </w:rPr>
    </w:lvl>
    <w:lvl w:ilvl="5" w:tplc="18090005">
      <w:start w:val="1"/>
      <w:numFmt w:val="bullet"/>
      <w:lvlText w:val=""/>
      <w:lvlJc w:val="left"/>
      <w:pPr>
        <w:ind w:left="4320" w:hanging="360"/>
      </w:pPr>
      <w:rPr>
        <w:rFonts w:ascii="Cambria Math" w:hAnsi="Cambria Math" w:hint="default"/>
      </w:rPr>
    </w:lvl>
    <w:lvl w:ilvl="6" w:tplc="18090001">
      <w:start w:val="1"/>
      <w:numFmt w:val="bullet"/>
      <w:lvlText w:val=""/>
      <w:lvlJc w:val="left"/>
      <w:pPr>
        <w:ind w:left="5040" w:hanging="360"/>
      </w:pPr>
      <w:rPr>
        <w:rFonts w:ascii="MS PGothic" w:hAnsi="MS PGothic" w:hint="default"/>
      </w:rPr>
    </w:lvl>
    <w:lvl w:ilvl="7" w:tplc="18090003">
      <w:start w:val="1"/>
      <w:numFmt w:val="bullet"/>
      <w:lvlText w:val="o"/>
      <w:lvlJc w:val="left"/>
      <w:pPr>
        <w:ind w:left="5760" w:hanging="360"/>
      </w:pPr>
      <w:rPr>
        <w:rFonts w:ascii="Mangal" w:hAnsi="Mangal" w:cs="Mangal" w:hint="default"/>
      </w:rPr>
    </w:lvl>
    <w:lvl w:ilvl="8" w:tplc="18090005">
      <w:start w:val="1"/>
      <w:numFmt w:val="bullet"/>
      <w:lvlText w:val=""/>
      <w:lvlJc w:val="left"/>
      <w:pPr>
        <w:ind w:left="6480" w:hanging="360"/>
      </w:pPr>
      <w:rPr>
        <w:rFonts w:ascii="Cambria Math" w:hAnsi="Cambria Math" w:hint="default"/>
      </w:rPr>
    </w:lvl>
  </w:abstractNum>
  <w:abstractNum w:abstractNumId="6" w15:restartNumberingAfterBreak="0">
    <w:nsid w:val="0BAA1987"/>
    <w:multiLevelType w:val="hybridMultilevel"/>
    <w:tmpl w:val="F7B22D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BB83B8B"/>
    <w:multiLevelType w:val="singleLevel"/>
    <w:tmpl w:val="B90C8B88"/>
    <w:styleLink w:val="1ai"/>
    <w:lvl w:ilvl="0">
      <w:start w:val="1"/>
      <w:numFmt w:val="bullet"/>
      <w:lvlText w:val=""/>
      <w:lvlJc w:val="left"/>
      <w:pPr>
        <w:tabs>
          <w:tab w:val="num" w:pos="1485"/>
        </w:tabs>
        <w:ind w:left="1485" w:hanging="283"/>
      </w:pPr>
      <w:rPr>
        <w:rFonts w:ascii="MS PGothic" w:hAnsi="MS PGothic"/>
      </w:rPr>
    </w:lvl>
  </w:abstractNum>
  <w:abstractNum w:abstractNumId="8" w15:restartNumberingAfterBreak="0">
    <w:nsid w:val="0C821864"/>
    <w:multiLevelType w:val="multilevel"/>
    <w:tmpl w:val="FD7E5D20"/>
    <w:lvl w:ilvl="0">
      <w:start w:val="1"/>
      <w:numFmt w:val="decimal"/>
      <w:lvlRestart w:val="0"/>
      <w:lvlText w:val="(%1)"/>
      <w:lvlJc w:val="left"/>
      <w:pPr>
        <w:tabs>
          <w:tab w:val="num" w:pos="850"/>
        </w:tabs>
        <w:ind w:left="850" w:hanging="850"/>
      </w:pPr>
      <w:rPr>
        <w:rFonts w:hint="default"/>
      </w:rPr>
    </w:lvl>
    <w:lvl w:ilvl="1">
      <w:start w:val="1"/>
      <w:numFmt w:val="lowerLetter"/>
      <w:lvlText w:val="(%2)"/>
      <w:lvlJc w:val="left"/>
      <w:pPr>
        <w:tabs>
          <w:tab w:val="num" w:pos="850"/>
        </w:tabs>
        <w:ind w:left="850" w:hanging="850"/>
      </w:pPr>
      <w:rPr>
        <w:rFonts w:hint="default"/>
      </w:rPr>
    </w:lvl>
    <w:lvl w:ilvl="2">
      <w:start w:val="1"/>
      <w:numFmt w:val="decimal"/>
      <w:lvlText w:val="(%3)"/>
      <w:lvlJc w:val="left"/>
      <w:pPr>
        <w:tabs>
          <w:tab w:val="num" w:pos="1417"/>
        </w:tabs>
        <w:ind w:left="1417" w:hanging="567"/>
      </w:pPr>
      <w:rPr>
        <w:rFonts w:hint="default"/>
      </w:rPr>
    </w:lvl>
    <w:lvl w:ilvl="3">
      <w:start w:val="1"/>
      <w:numFmt w:val="lowerLetter"/>
      <w:lvlText w:val="(%4)"/>
      <w:lvlJc w:val="left"/>
      <w:pPr>
        <w:tabs>
          <w:tab w:val="num" w:pos="1417"/>
        </w:tabs>
        <w:ind w:left="1417" w:hanging="567"/>
      </w:pPr>
      <w:rPr>
        <w:rFonts w:hint="default"/>
      </w:rPr>
    </w:lvl>
    <w:lvl w:ilvl="4">
      <w:start w:val="1"/>
      <w:numFmt w:val="lowerRoman"/>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9" w15:restartNumberingAfterBreak="0">
    <w:nsid w:val="0CF83A2C"/>
    <w:multiLevelType w:val="hybridMultilevel"/>
    <w:tmpl w:val="F5905AB2"/>
    <w:lvl w:ilvl="0" w:tplc="18090015">
      <w:start w:val="1"/>
      <w:numFmt w:val="upp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0DB34DB7"/>
    <w:multiLevelType w:val="hybridMultilevel"/>
    <w:tmpl w:val="6A887A84"/>
    <w:lvl w:ilvl="0" w:tplc="861453A6">
      <w:start w:val="1"/>
      <w:numFmt w:val="bullet"/>
      <w:pStyle w:val="Bullet2"/>
      <w:lvlText w:val=""/>
      <w:lvlJc w:val="left"/>
      <w:pPr>
        <w:ind w:left="5322" w:hanging="360"/>
      </w:pPr>
      <w:rPr>
        <w:rFonts w:ascii="Cambria Math" w:hAnsi="Cambria Math" w:hint="default"/>
        <w:color w:val="808080" w:themeColor="background1" w:themeShade="80"/>
      </w:rPr>
    </w:lvl>
    <w:lvl w:ilvl="1" w:tplc="08090003">
      <w:start w:val="1"/>
      <w:numFmt w:val="bullet"/>
      <w:lvlText w:val="o"/>
      <w:lvlJc w:val="left"/>
      <w:pPr>
        <w:ind w:left="2149" w:hanging="360"/>
      </w:pPr>
      <w:rPr>
        <w:rFonts w:ascii="Mangal" w:hAnsi="Mangal" w:cs="Mangal" w:hint="default"/>
      </w:rPr>
    </w:lvl>
    <w:lvl w:ilvl="2" w:tplc="08090005">
      <w:start w:val="1"/>
      <w:numFmt w:val="bullet"/>
      <w:lvlText w:val=""/>
      <w:lvlJc w:val="left"/>
      <w:pPr>
        <w:ind w:left="2869" w:hanging="360"/>
      </w:pPr>
      <w:rPr>
        <w:rFonts w:ascii="Cambria Math" w:hAnsi="Cambria Math" w:hint="default"/>
      </w:rPr>
    </w:lvl>
    <w:lvl w:ilvl="3" w:tplc="08090001" w:tentative="1">
      <w:start w:val="1"/>
      <w:numFmt w:val="bullet"/>
      <w:lvlText w:val=""/>
      <w:lvlJc w:val="left"/>
      <w:pPr>
        <w:ind w:left="3589" w:hanging="360"/>
      </w:pPr>
      <w:rPr>
        <w:rFonts w:ascii="MS PGothic" w:hAnsi="MS PGothic" w:hint="default"/>
      </w:rPr>
    </w:lvl>
    <w:lvl w:ilvl="4" w:tplc="08090003" w:tentative="1">
      <w:start w:val="1"/>
      <w:numFmt w:val="bullet"/>
      <w:lvlText w:val="o"/>
      <w:lvlJc w:val="left"/>
      <w:pPr>
        <w:ind w:left="4309" w:hanging="360"/>
      </w:pPr>
      <w:rPr>
        <w:rFonts w:ascii="Mangal" w:hAnsi="Mangal" w:cs="Mangal" w:hint="default"/>
      </w:rPr>
    </w:lvl>
    <w:lvl w:ilvl="5" w:tplc="08090005" w:tentative="1">
      <w:start w:val="1"/>
      <w:numFmt w:val="bullet"/>
      <w:lvlText w:val=""/>
      <w:lvlJc w:val="left"/>
      <w:pPr>
        <w:ind w:left="5029" w:hanging="360"/>
      </w:pPr>
      <w:rPr>
        <w:rFonts w:ascii="Cambria Math" w:hAnsi="Cambria Math" w:hint="default"/>
      </w:rPr>
    </w:lvl>
    <w:lvl w:ilvl="6" w:tplc="08090001" w:tentative="1">
      <w:start w:val="1"/>
      <w:numFmt w:val="bullet"/>
      <w:lvlText w:val=""/>
      <w:lvlJc w:val="left"/>
      <w:pPr>
        <w:ind w:left="5749" w:hanging="360"/>
      </w:pPr>
      <w:rPr>
        <w:rFonts w:ascii="MS PGothic" w:hAnsi="MS PGothic" w:hint="default"/>
      </w:rPr>
    </w:lvl>
    <w:lvl w:ilvl="7" w:tplc="08090003" w:tentative="1">
      <w:start w:val="1"/>
      <w:numFmt w:val="bullet"/>
      <w:lvlText w:val="o"/>
      <w:lvlJc w:val="left"/>
      <w:pPr>
        <w:ind w:left="6469" w:hanging="360"/>
      </w:pPr>
      <w:rPr>
        <w:rFonts w:ascii="Mangal" w:hAnsi="Mangal" w:cs="Mangal" w:hint="default"/>
      </w:rPr>
    </w:lvl>
    <w:lvl w:ilvl="8" w:tplc="08090005" w:tentative="1">
      <w:start w:val="1"/>
      <w:numFmt w:val="bullet"/>
      <w:lvlText w:val=""/>
      <w:lvlJc w:val="left"/>
      <w:pPr>
        <w:ind w:left="7189" w:hanging="360"/>
      </w:pPr>
      <w:rPr>
        <w:rFonts w:ascii="Cambria Math" w:hAnsi="Cambria Math" w:hint="default"/>
      </w:rPr>
    </w:lvl>
  </w:abstractNum>
  <w:abstractNum w:abstractNumId="11" w15:restartNumberingAfterBreak="0">
    <w:nsid w:val="0F487DF6"/>
    <w:multiLevelType w:val="hybridMultilevel"/>
    <w:tmpl w:val="4802E538"/>
    <w:lvl w:ilvl="0" w:tplc="BED8032E">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2" w15:restartNumberingAfterBreak="0">
    <w:nsid w:val="0FBE3054"/>
    <w:multiLevelType w:val="hybridMultilevel"/>
    <w:tmpl w:val="6C80E926"/>
    <w:lvl w:ilvl="0" w:tplc="18090001">
      <w:start w:val="1"/>
      <w:numFmt w:val="bullet"/>
      <w:lvlText w:val=""/>
      <w:lvlJc w:val="left"/>
      <w:pPr>
        <w:ind w:left="779" w:hanging="360"/>
      </w:pPr>
      <w:rPr>
        <w:rFonts w:ascii="Symbol" w:hAnsi="Symbol" w:hint="default"/>
      </w:rPr>
    </w:lvl>
    <w:lvl w:ilvl="1" w:tplc="18090003" w:tentative="1">
      <w:start w:val="1"/>
      <w:numFmt w:val="bullet"/>
      <w:lvlText w:val="o"/>
      <w:lvlJc w:val="left"/>
      <w:pPr>
        <w:ind w:left="1499" w:hanging="360"/>
      </w:pPr>
      <w:rPr>
        <w:rFonts w:ascii="Courier New" w:hAnsi="Courier New" w:cs="Courier New" w:hint="default"/>
      </w:rPr>
    </w:lvl>
    <w:lvl w:ilvl="2" w:tplc="18090005" w:tentative="1">
      <w:start w:val="1"/>
      <w:numFmt w:val="bullet"/>
      <w:lvlText w:val=""/>
      <w:lvlJc w:val="left"/>
      <w:pPr>
        <w:ind w:left="2219" w:hanging="360"/>
      </w:pPr>
      <w:rPr>
        <w:rFonts w:ascii="Wingdings" w:hAnsi="Wingdings" w:hint="default"/>
      </w:rPr>
    </w:lvl>
    <w:lvl w:ilvl="3" w:tplc="18090001" w:tentative="1">
      <w:start w:val="1"/>
      <w:numFmt w:val="bullet"/>
      <w:lvlText w:val=""/>
      <w:lvlJc w:val="left"/>
      <w:pPr>
        <w:ind w:left="2939" w:hanging="360"/>
      </w:pPr>
      <w:rPr>
        <w:rFonts w:ascii="Symbol" w:hAnsi="Symbol" w:hint="default"/>
      </w:rPr>
    </w:lvl>
    <w:lvl w:ilvl="4" w:tplc="18090003" w:tentative="1">
      <w:start w:val="1"/>
      <w:numFmt w:val="bullet"/>
      <w:lvlText w:val="o"/>
      <w:lvlJc w:val="left"/>
      <w:pPr>
        <w:ind w:left="3659" w:hanging="360"/>
      </w:pPr>
      <w:rPr>
        <w:rFonts w:ascii="Courier New" w:hAnsi="Courier New" w:cs="Courier New" w:hint="default"/>
      </w:rPr>
    </w:lvl>
    <w:lvl w:ilvl="5" w:tplc="18090005" w:tentative="1">
      <w:start w:val="1"/>
      <w:numFmt w:val="bullet"/>
      <w:lvlText w:val=""/>
      <w:lvlJc w:val="left"/>
      <w:pPr>
        <w:ind w:left="4379" w:hanging="360"/>
      </w:pPr>
      <w:rPr>
        <w:rFonts w:ascii="Wingdings" w:hAnsi="Wingdings" w:hint="default"/>
      </w:rPr>
    </w:lvl>
    <w:lvl w:ilvl="6" w:tplc="18090001" w:tentative="1">
      <w:start w:val="1"/>
      <w:numFmt w:val="bullet"/>
      <w:lvlText w:val=""/>
      <w:lvlJc w:val="left"/>
      <w:pPr>
        <w:ind w:left="5099" w:hanging="360"/>
      </w:pPr>
      <w:rPr>
        <w:rFonts w:ascii="Symbol" w:hAnsi="Symbol" w:hint="default"/>
      </w:rPr>
    </w:lvl>
    <w:lvl w:ilvl="7" w:tplc="18090003" w:tentative="1">
      <w:start w:val="1"/>
      <w:numFmt w:val="bullet"/>
      <w:lvlText w:val="o"/>
      <w:lvlJc w:val="left"/>
      <w:pPr>
        <w:ind w:left="5819" w:hanging="360"/>
      </w:pPr>
      <w:rPr>
        <w:rFonts w:ascii="Courier New" w:hAnsi="Courier New" w:cs="Courier New" w:hint="default"/>
      </w:rPr>
    </w:lvl>
    <w:lvl w:ilvl="8" w:tplc="18090005" w:tentative="1">
      <w:start w:val="1"/>
      <w:numFmt w:val="bullet"/>
      <w:lvlText w:val=""/>
      <w:lvlJc w:val="left"/>
      <w:pPr>
        <w:ind w:left="6539" w:hanging="360"/>
      </w:pPr>
      <w:rPr>
        <w:rFonts w:ascii="Wingdings" w:hAnsi="Wingdings" w:hint="default"/>
      </w:rPr>
    </w:lvl>
  </w:abstractNum>
  <w:abstractNum w:abstractNumId="13" w15:restartNumberingAfterBreak="0">
    <w:nsid w:val="1048426E"/>
    <w:multiLevelType w:val="hybridMultilevel"/>
    <w:tmpl w:val="F76EC6AC"/>
    <w:lvl w:ilvl="0" w:tplc="1DBAE22A">
      <w:start w:val="1"/>
      <w:numFmt w:val="bullet"/>
      <w:pStyle w:val="Bulletpoint1"/>
      <w:lvlText w:val=""/>
      <w:lvlJc w:val="left"/>
      <w:pPr>
        <w:ind w:left="717" w:hanging="360"/>
      </w:pPr>
      <w:rPr>
        <w:rFonts w:ascii="MS PGothic" w:hAnsi="MS PGothic" w:hint="default"/>
        <w:color w:val="00AEF0"/>
      </w:rPr>
    </w:lvl>
    <w:lvl w:ilvl="1" w:tplc="04090003" w:tentative="1">
      <w:start w:val="1"/>
      <w:numFmt w:val="bullet"/>
      <w:lvlText w:val="o"/>
      <w:lvlJc w:val="left"/>
      <w:pPr>
        <w:ind w:left="1440" w:hanging="360"/>
      </w:pPr>
      <w:rPr>
        <w:rFonts w:ascii="Mangal" w:hAnsi="Mangal" w:cs="Mangal"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MS PGothic" w:hAnsi="MS PGothic" w:hint="default"/>
      </w:rPr>
    </w:lvl>
    <w:lvl w:ilvl="4" w:tplc="04090003" w:tentative="1">
      <w:start w:val="1"/>
      <w:numFmt w:val="bullet"/>
      <w:lvlText w:val="o"/>
      <w:lvlJc w:val="left"/>
      <w:pPr>
        <w:ind w:left="3600" w:hanging="360"/>
      </w:pPr>
      <w:rPr>
        <w:rFonts w:ascii="Mangal" w:hAnsi="Mangal" w:cs="Mangal"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MS PGothic" w:hAnsi="MS PGothic" w:hint="default"/>
      </w:rPr>
    </w:lvl>
    <w:lvl w:ilvl="7" w:tplc="04090003" w:tentative="1">
      <w:start w:val="1"/>
      <w:numFmt w:val="bullet"/>
      <w:lvlText w:val="o"/>
      <w:lvlJc w:val="left"/>
      <w:pPr>
        <w:ind w:left="5760" w:hanging="360"/>
      </w:pPr>
      <w:rPr>
        <w:rFonts w:ascii="Mangal" w:hAnsi="Mangal" w:cs="Mangal" w:hint="default"/>
      </w:rPr>
    </w:lvl>
    <w:lvl w:ilvl="8" w:tplc="04090005" w:tentative="1">
      <w:start w:val="1"/>
      <w:numFmt w:val="bullet"/>
      <w:lvlText w:val=""/>
      <w:lvlJc w:val="left"/>
      <w:pPr>
        <w:ind w:left="6480" w:hanging="360"/>
      </w:pPr>
      <w:rPr>
        <w:rFonts w:ascii="Cambria Math" w:hAnsi="Cambria Math" w:hint="default"/>
      </w:rPr>
    </w:lvl>
  </w:abstractNum>
  <w:abstractNum w:abstractNumId="14" w15:restartNumberingAfterBreak="0">
    <w:nsid w:val="109F5657"/>
    <w:multiLevelType w:val="hybridMultilevel"/>
    <w:tmpl w:val="3EE2DA1E"/>
    <w:lvl w:ilvl="0" w:tplc="0ACC72FA">
      <w:numFmt w:val="bullet"/>
      <w:lvlText w:val=""/>
      <w:lvlJc w:val="left"/>
      <w:pPr>
        <w:ind w:left="720" w:hanging="360"/>
      </w:pPr>
      <w:rPr>
        <w:rFonts w:ascii="Symbol" w:eastAsia="Times"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0A252A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0E72B44"/>
    <w:multiLevelType w:val="hybridMultilevel"/>
    <w:tmpl w:val="00948CC6"/>
    <w:lvl w:ilvl="0" w:tplc="06C04024">
      <w:numFmt w:val="bullet"/>
      <w:lvlText w:val=""/>
      <w:lvlJc w:val="left"/>
      <w:pPr>
        <w:ind w:left="720" w:hanging="360"/>
      </w:pPr>
      <w:rPr>
        <w:rFonts w:ascii="Symbol" w:eastAsia="Times" w:hAnsi="Symbol" w:cs="Times New Roman"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47A420D"/>
    <w:multiLevelType w:val="hybridMultilevel"/>
    <w:tmpl w:val="59B4A2E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4A1155A"/>
    <w:multiLevelType w:val="hybridMultilevel"/>
    <w:tmpl w:val="84CE5364"/>
    <w:lvl w:ilvl="0" w:tplc="06986B68">
      <w:start w:val="5"/>
      <w:numFmt w:val="bullet"/>
      <w:lvlText w:val="-"/>
      <w:lvlJc w:val="left"/>
      <w:pPr>
        <w:ind w:left="720" w:hanging="360"/>
      </w:pPr>
      <w:rPr>
        <w:rFonts w:ascii="Symbol" w:eastAsiaTheme="minorHAnsi" w:hAnsi="Symbol" w:cs="Symbol" w:hint="default"/>
      </w:rPr>
    </w:lvl>
    <w:lvl w:ilvl="1" w:tplc="18090003" w:tentative="1">
      <w:start w:val="1"/>
      <w:numFmt w:val="bullet"/>
      <w:lvlText w:val="o"/>
      <w:lvlJc w:val="left"/>
      <w:pPr>
        <w:ind w:left="1440" w:hanging="360"/>
      </w:pPr>
      <w:rPr>
        <w:rFonts w:ascii="Mangal" w:hAnsi="Mangal" w:cs="Mangal"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MS PGothic" w:hAnsi="MS PGothic" w:hint="default"/>
      </w:rPr>
    </w:lvl>
    <w:lvl w:ilvl="4" w:tplc="18090003" w:tentative="1">
      <w:start w:val="1"/>
      <w:numFmt w:val="bullet"/>
      <w:lvlText w:val="o"/>
      <w:lvlJc w:val="left"/>
      <w:pPr>
        <w:ind w:left="3600" w:hanging="360"/>
      </w:pPr>
      <w:rPr>
        <w:rFonts w:ascii="Mangal" w:hAnsi="Mangal" w:cs="Mangal"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MS PGothic" w:hAnsi="MS PGothic" w:hint="default"/>
      </w:rPr>
    </w:lvl>
    <w:lvl w:ilvl="7" w:tplc="18090003" w:tentative="1">
      <w:start w:val="1"/>
      <w:numFmt w:val="bullet"/>
      <w:lvlText w:val="o"/>
      <w:lvlJc w:val="left"/>
      <w:pPr>
        <w:ind w:left="5760" w:hanging="360"/>
      </w:pPr>
      <w:rPr>
        <w:rFonts w:ascii="Mangal" w:hAnsi="Mangal" w:cs="Mangal" w:hint="default"/>
      </w:rPr>
    </w:lvl>
    <w:lvl w:ilvl="8" w:tplc="18090005" w:tentative="1">
      <w:start w:val="1"/>
      <w:numFmt w:val="bullet"/>
      <w:lvlText w:val=""/>
      <w:lvlJc w:val="left"/>
      <w:pPr>
        <w:ind w:left="6480" w:hanging="360"/>
      </w:pPr>
      <w:rPr>
        <w:rFonts w:ascii="Cambria Math" w:hAnsi="Cambria Math" w:hint="default"/>
      </w:rPr>
    </w:lvl>
  </w:abstractNum>
  <w:abstractNum w:abstractNumId="19" w15:restartNumberingAfterBreak="0">
    <w:nsid w:val="17363155"/>
    <w:multiLevelType w:val="hybridMultilevel"/>
    <w:tmpl w:val="88D871FC"/>
    <w:lvl w:ilvl="0" w:tplc="18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9557B66"/>
    <w:multiLevelType w:val="multilevel"/>
    <w:tmpl w:val="D0FE4BE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A9611F9"/>
    <w:multiLevelType w:val="hybridMultilevel"/>
    <w:tmpl w:val="4D80A5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1B3C78B8"/>
    <w:multiLevelType w:val="multilevel"/>
    <w:tmpl w:val="5748EE32"/>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rPr>
        <w:color w:val="auto"/>
      </w:r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3" w15:restartNumberingAfterBreak="0">
    <w:nsid w:val="1DCC50C8"/>
    <w:multiLevelType w:val="hybridMultilevel"/>
    <w:tmpl w:val="8C840BF0"/>
    <w:lvl w:ilvl="0" w:tplc="0ACC72FA">
      <w:numFmt w:val="bullet"/>
      <w:lvlText w:val=""/>
      <w:lvlJc w:val="left"/>
      <w:pPr>
        <w:ind w:left="720" w:hanging="360"/>
      </w:pPr>
      <w:rPr>
        <w:rFonts w:ascii="Symbol" w:eastAsia="Times"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1DE04AC4"/>
    <w:multiLevelType w:val="hybridMultilevel"/>
    <w:tmpl w:val="179E7BBE"/>
    <w:lvl w:ilvl="0" w:tplc="0ACC72FA">
      <w:numFmt w:val="bullet"/>
      <w:lvlText w:val=""/>
      <w:lvlJc w:val="left"/>
      <w:pPr>
        <w:ind w:left="720" w:hanging="360"/>
      </w:pPr>
      <w:rPr>
        <w:rFonts w:ascii="Symbol" w:eastAsia="Times"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1DE63C8F"/>
    <w:multiLevelType w:val="hybridMultilevel"/>
    <w:tmpl w:val="D39A7B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1F011C4B"/>
    <w:multiLevelType w:val="hybridMultilevel"/>
    <w:tmpl w:val="5C2A41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1F1D4E25"/>
    <w:multiLevelType w:val="hybridMultilevel"/>
    <w:tmpl w:val="8F0E9C34"/>
    <w:lvl w:ilvl="0" w:tplc="E006DD04">
      <w:start w:val="9"/>
      <w:numFmt w:val="bullet"/>
      <w:lvlText w:val="-"/>
      <w:lvlJc w:val="left"/>
      <w:pPr>
        <w:ind w:left="720" w:hanging="360"/>
      </w:pPr>
      <w:rPr>
        <w:rFonts w:ascii="Times New Roman" w:eastAsia="Arial Unicode MS"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0C56059"/>
    <w:multiLevelType w:val="hybridMultilevel"/>
    <w:tmpl w:val="63ECDE76"/>
    <w:lvl w:ilvl="0" w:tplc="534E72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3B076B"/>
    <w:multiLevelType w:val="hybridMultilevel"/>
    <w:tmpl w:val="BFF218A4"/>
    <w:lvl w:ilvl="0" w:tplc="18090001">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800" w:hanging="360"/>
      </w:pPr>
      <w:rPr>
        <w:rFonts w:ascii="Mangal" w:hAnsi="Mangal" w:cs="Mangal" w:hint="default"/>
      </w:rPr>
    </w:lvl>
    <w:lvl w:ilvl="2" w:tplc="18090005" w:tentative="1">
      <w:start w:val="1"/>
      <w:numFmt w:val="bullet"/>
      <w:lvlText w:val=""/>
      <w:lvlJc w:val="left"/>
      <w:pPr>
        <w:ind w:left="2520" w:hanging="360"/>
      </w:pPr>
      <w:rPr>
        <w:rFonts w:ascii="Cambria Math" w:hAnsi="Cambria Math" w:hint="default"/>
      </w:rPr>
    </w:lvl>
    <w:lvl w:ilvl="3" w:tplc="18090001" w:tentative="1">
      <w:start w:val="1"/>
      <w:numFmt w:val="bullet"/>
      <w:lvlText w:val=""/>
      <w:lvlJc w:val="left"/>
      <w:pPr>
        <w:ind w:left="3240" w:hanging="360"/>
      </w:pPr>
      <w:rPr>
        <w:rFonts w:ascii="MS PGothic" w:hAnsi="MS PGothic" w:hint="default"/>
      </w:rPr>
    </w:lvl>
    <w:lvl w:ilvl="4" w:tplc="18090003" w:tentative="1">
      <w:start w:val="1"/>
      <w:numFmt w:val="bullet"/>
      <w:lvlText w:val="o"/>
      <w:lvlJc w:val="left"/>
      <w:pPr>
        <w:ind w:left="3960" w:hanging="360"/>
      </w:pPr>
      <w:rPr>
        <w:rFonts w:ascii="Mangal" w:hAnsi="Mangal" w:cs="Mangal" w:hint="default"/>
      </w:rPr>
    </w:lvl>
    <w:lvl w:ilvl="5" w:tplc="18090005" w:tentative="1">
      <w:start w:val="1"/>
      <w:numFmt w:val="bullet"/>
      <w:lvlText w:val=""/>
      <w:lvlJc w:val="left"/>
      <w:pPr>
        <w:ind w:left="4680" w:hanging="360"/>
      </w:pPr>
      <w:rPr>
        <w:rFonts w:ascii="Cambria Math" w:hAnsi="Cambria Math" w:hint="default"/>
      </w:rPr>
    </w:lvl>
    <w:lvl w:ilvl="6" w:tplc="18090001" w:tentative="1">
      <w:start w:val="1"/>
      <w:numFmt w:val="bullet"/>
      <w:lvlText w:val=""/>
      <w:lvlJc w:val="left"/>
      <w:pPr>
        <w:ind w:left="5400" w:hanging="360"/>
      </w:pPr>
      <w:rPr>
        <w:rFonts w:ascii="MS PGothic" w:hAnsi="MS PGothic" w:hint="default"/>
      </w:rPr>
    </w:lvl>
    <w:lvl w:ilvl="7" w:tplc="18090003" w:tentative="1">
      <w:start w:val="1"/>
      <w:numFmt w:val="bullet"/>
      <w:lvlText w:val="o"/>
      <w:lvlJc w:val="left"/>
      <w:pPr>
        <w:ind w:left="6120" w:hanging="360"/>
      </w:pPr>
      <w:rPr>
        <w:rFonts w:ascii="Mangal" w:hAnsi="Mangal" w:cs="Mangal" w:hint="default"/>
      </w:rPr>
    </w:lvl>
    <w:lvl w:ilvl="8" w:tplc="18090005" w:tentative="1">
      <w:start w:val="1"/>
      <w:numFmt w:val="bullet"/>
      <w:lvlText w:val=""/>
      <w:lvlJc w:val="left"/>
      <w:pPr>
        <w:ind w:left="6840" w:hanging="360"/>
      </w:pPr>
      <w:rPr>
        <w:rFonts w:ascii="Cambria Math" w:hAnsi="Cambria Math" w:hint="default"/>
      </w:rPr>
    </w:lvl>
  </w:abstractNum>
  <w:abstractNum w:abstractNumId="30" w15:restartNumberingAfterBreak="0">
    <w:nsid w:val="22E44180"/>
    <w:multiLevelType w:val="multilevel"/>
    <w:tmpl w:val="DFC88CEC"/>
    <w:name w:val="NumPar"/>
    <w:lvl w:ilvl="0">
      <w:start w:val="1"/>
      <w:numFmt w:val="decimal"/>
      <w:lvlRestart w:val="0"/>
      <w:lvlText w:val="%1."/>
      <w:lvlJc w:val="left"/>
      <w:pPr>
        <w:tabs>
          <w:tab w:val="num" w:pos="919"/>
        </w:tabs>
        <w:ind w:left="919" w:hanging="850"/>
      </w:pPr>
    </w:lvl>
    <w:lvl w:ilvl="1">
      <w:start w:val="1"/>
      <w:numFmt w:val="decimal"/>
      <w:lvlText w:val="%1.%2."/>
      <w:lvlJc w:val="left"/>
      <w:pPr>
        <w:tabs>
          <w:tab w:val="num" w:pos="919"/>
        </w:tabs>
        <w:ind w:left="919" w:hanging="850"/>
      </w:pPr>
    </w:lvl>
    <w:lvl w:ilvl="2">
      <w:start w:val="1"/>
      <w:numFmt w:val="decimal"/>
      <w:lvlText w:val="%1.%2.%3."/>
      <w:lvlJc w:val="left"/>
      <w:pPr>
        <w:tabs>
          <w:tab w:val="num" w:pos="919"/>
        </w:tabs>
        <w:ind w:left="919" w:hanging="850"/>
      </w:pPr>
    </w:lvl>
    <w:lvl w:ilvl="3">
      <w:start w:val="1"/>
      <w:numFmt w:val="decimal"/>
      <w:lvlText w:val="%1.%2.%3.%4."/>
      <w:lvlJc w:val="left"/>
      <w:pPr>
        <w:tabs>
          <w:tab w:val="num" w:pos="919"/>
        </w:tabs>
        <w:ind w:left="919" w:hanging="850"/>
      </w:pPr>
    </w:lvl>
    <w:lvl w:ilvl="4">
      <w:start w:val="1"/>
      <w:numFmt w:val="decimal"/>
      <w:lvlText w:val="%1.%2.%3.%4.%5."/>
      <w:lvlJc w:val="left"/>
      <w:pPr>
        <w:tabs>
          <w:tab w:val="num" w:pos="1486"/>
        </w:tabs>
        <w:ind w:left="1486" w:hanging="1417"/>
      </w:pPr>
    </w:lvl>
    <w:lvl w:ilvl="5">
      <w:start w:val="1"/>
      <w:numFmt w:val="decimal"/>
      <w:lvlText w:val="%1.%2.%3.%4.%5.%6."/>
      <w:lvlJc w:val="left"/>
      <w:pPr>
        <w:tabs>
          <w:tab w:val="num" w:pos="1486"/>
        </w:tabs>
        <w:ind w:left="1486" w:hanging="1417"/>
      </w:pPr>
    </w:lvl>
    <w:lvl w:ilvl="6">
      <w:start w:val="1"/>
      <w:numFmt w:val="decimal"/>
      <w:lvlText w:val="%1.%2.%3.%4.%5.%6.%7."/>
      <w:lvlJc w:val="left"/>
      <w:pPr>
        <w:tabs>
          <w:tab w:val="num" w:pos="1486"/>
        </w:tabs>
        <w:ind w:left="1486" w:hanging="1417"/>
      </w:pPr>
    </w:lvl>
    <w:lvl w:ilvl="7">
      <w:start w:val="1"/>
      <w:numFmt w:val="lowerLetter"/>
      <w:lvlText w:val="%8."/>
      <w:lvlJc w:val="left"/>
      <w:pPr>
        <w:ind w:left="2949" w:hanging="360"/>
      </w:pPr>
    </w:lvl>
    <w:lvl w:ilvl="8">
      <w:start w:val="1"/>
      <w:numFmt w:val="lowerRoman"/>
      <w:lvlText w:val="%9."/>
      <w:lvlJc w:val="left"/>
      <w:pPr>
        <w:ind w:left="3309" w:hanging="360"/>
      </w:pPr>
    </w:lvl>
  </w:abstractNum>
  <w:abstractNum w:abstractNumId="31" w15:restartNumberingAfterBreak="0">
    <w:nsid w:val="25235E1B"/>
    <w:multiLevelType w:val="hybridMultilevel"/>
    <w:tmpl w:val="76C26198"/>
    <w:styleLink w:val="111111"/>
    <w:lvl w:ilvl="0" w:tplc="68363550">
      <w:start w:val="1"/>
      <w:numFmt w:val="bullet"/>
      <w:pStyle w:val="GFRCCoffeyBullet1"/>
      <w:lvlText w:val=""/>
      <w:lvlJc w:val="left"/>
      <w:pPr>
        <w:ind w:left="720" w:hanging="360"/>
      </w:pPr>
      <w:rPr>
        <w:rFonts w:ascii="MS PGothic" w:hAnsi="MS PGothic" w:cs="MS PGothic" w:hint="default"/>
        <w:color w:val="049CD5"/>
      </w:rPr>
    </w:lvl>
    <w:lvl w:ilvl="1" w:tplc="08090003">
      <w:start w:val="1"/>
      <w:numFmt w:val="bullet"/>
      <w:lvlText w:val="o"/>
      <w:lvlJc w:val="left"/>
      <w:pPr>
        <w:ind w:left="1440" w:hanging="360"/>
      </w:pPr>
      <w:rPr>
        <w:rFonts w:ascii="Mangal" w:hAnsi="Mangal" w:cs="Mangal"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MS PGothic" w:hAnsi="MS PGothic" w:hint="default"/>
      </w:rPr>
    </w:lvl>
    <w:lvl w:ilvl="4" w:tplc="08090003" w:tentative="1">
      <w:start w:val="1"/>
      <w:numFmt w:val="bullet"/>
      <w:lvlText w:val="o"/>
      <w:lvlJc w:val="left"/>
      <w:pPr>
        <w:ind w:left="3600" w:hanging="360"/>
      </w:pPr>
      <w:rPr>
        <w:rFonts w:ascii="Mangal" w:hAnsi="Mangal" w:cs="Mangal"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MS PGothic" w:hAnsi="MS PGothic" w:hint="default"/>
      </w:rPr>
    </w:lvl>
    <w:lvl w:ilvl="7" w:tplc="08090003" w:tentative="1">
      <w:start w:val="1"/>
      <w:numFmt w:val="bullet"/>
      <w:lvlText w:val="o"/>
      <w:lvlJc w:val="left"/>
      <w:pPr>
        <w:ind w:left="5760" w:hanging="360"/>
      </w:pPr>
      <w:rPr>
        <w:rFonts w:ascii="Mangal" w:hAnsi="Mangal" w:cs="Mangal" w:hint="default"/>
      </w:rPr>
    </w:lvl>
    <w:lvl w:ilvl="8" w:tplc="08090005" w:tentative="1">
      <w:start w:val="1"/>
      <w:numFmt w:val="bullet"/>
      <w:lvlText w:val=""/>
      <w:lvlJc w:val="left"/>
      <w:pPr>
        <w:ind w:left="6480" w:hanging="360"/>
      </w:pPr>
      <w:rPr>
        <w:rFonts w:ascii="Cambria Math" w:hAnsi="Cambria Math" w:hint="default"/>
      </w:rPr>
    </w:lvl>
  </w:abstractNum>
  <w:abstractNum w:abstractNumId="32" w15:restartNumberingAfterBreak="0">
    <w:nsid w:val="26204084"/>
    <w:multiLevelType w:val="multilevel"/>
    <w:tmpl w:val="C1E0609A"/>
    <w:lvl w:ilvl="0">
      <w:start w:val="1"/>
      <w:numFmt w:val="decimal"/>
      <w:pStyle w:val="1levelonetitle"/>
      <w:lvlText w:val="%1."/>
      <w:lvlJc w:val="left"/>
      <w:pPr>
        <w:ind w:left="1080" w:hanging="360"/>
      </w:pPr>
      <w:rPr>
        <w:rFonts w:hint="default"/>
        <w:b/>
        <w:bCs/>
      </w:rPr>
    </w:lvl>
    <w:lvl w:ilvl="1">
      <w:start w:val="1"/>
      <w:numFmt w:val="decimal"/>
      <w:pStyle w:val="11Subsection"/>
      <w:lvlText w:val="%1.%2."/>
      <w:lvlJc w:val="left"/>
      <w:pPr>
        <w:ind w:left="432" w:hanging="432"/>
      </w:pPr>
      <w:rPr>
        <w:rFonts w:hint="default"/>
      </w:rPr>
    </w:lvl>
    <w:lvl w:ilvl="2">
      <w:start w:val="1"/>
      <w:numFmt w:val="decimal"/>
      <w:pStyle w:val="111level3title"/>
      <w:lvlText w:val="%1.%2.%3."/>
      <w:lvlJc w:val="left"/>
      <w:pPr>
        <w:ind w:left="1944" w:hanging="504"/>
      </w:pPr>
      <w:rPr>
        <w:rFonts w:hint="default"/>
      </w:rPr>
    </w:lvl>
    <w:lvl w:ilvl="3">
      <w:start w:val="1"/>
      <w:numFmt w:val="decimal"/>
      <w:pStyle w:val="1111level4section"/>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3" w15:restartNumberingAfterBreak="0">
    <w:nsid w:val="27D128D2"/>
    <w:multiLevelType w:val="hybridMultilevel"/>
    <w:tmpl w:val="6E4022EE"/>
    <w:lvl w:ilvl="0" w:tplc="0ACC72FA">
      <w:numFmt w:val="bullet"/>
      <w:lvlText w:val=""/>
      <w:lvlJc w:val="left"/>
      <w:pPr>
        <w:ind w:left="720" w:hanging="360"/>
      </w:pPr>
      <w:rPr>
        <w:rFonts w:ascii="Symbol" w:eastAsia="Times"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299E5046"/>
    <w:multiLevelType w:val="hybridMultilevel"/>
    <w:tmpl w:val="CA92C6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2CEC1E90"/>
    <w:multiLevelType w:val="hybridMultilevel"/>
    <w:tmpl w:val="61F0C8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2D570CDB"/>
    <w:multiLevelType w:val="hybridMultilevel"/>
    <w:tmpl w:val="DE60C4D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2EA53C70"/>
    <w:multiLevelType w:val="multilevel"/>
    <w:tmpl w:val="D13A3FDE"/>
    <w:styleLink w:val="list-bullet-color"/>
    <w:lvl w:ilvl="0">
      <w:start w:val="1"/>
      <w:numFmt w:val="decimal"/>
      <w:pStyle w:val="H1-NOTTOC"/>
      <w:lvlText w:val="%1."/>
      <w:lvlJc w:val="left"/>
      <w:pPr>
        <w:ind w:left="0" w:hanging="624"/>
      </w:pPr>
      <w:rPr>
        <w:rFonts w:hint="default"/>
        <w:b/>
        <w:i w:val="0"/>
        <w:color w:val="009DE0"/>
        <w:sz w:val="28"/>
      </w:rPr>
    </w:lvl>
    <w:lvl w:ilvl="1">
      <w:start w:val="1"/>
      <w:numFmt w:val="decimal"/>
      <w:lvlText w:val="%1.%2"/>
      <w:lvlJc w:val="left"/>
      <w:pPr>
        <w:tabs>
          <w:tab w:val="num" w:pos="454"/>
        </w:tabs>
        <w:ind w:left="0" w:hanging="624"/>
      </w:pPr>
      <w:rPr>
        <w:rFonts w:ascii="Arial MT Std Light" w:hAnsi="Arial MT Std Light" w:hint="default"/>
        <w:b/>
        <w:i w:val="0"/>
        <w:color w:val="000000"/>
        <w:sz w:val="18"/>
      </w:rPr>
    </w:lvl>
    <w:lvl w:ilvl="2">
      <w:start w:val="1"/>
      <w:numFmt w:val="decimal"/>
      <w:lvlText w:val="%1.%2.%3"/>
      <w:lvlJc w:val="left"/>
      <w:pPr>
        <w:tabs>
          <w:tab w:val="num" w:pos="624"/>
        </w:tabs>
        <w:ind w:left="0" w:hanging="624"/>
      </w:pPr>
      <w:rPr>
        <w:rFonts w:ascii="Arial MT Std Light" w:hAnsi="Arial MT Std Light" w:hint="default"/>
        <w:b w:val="0"/>
        <w:i w:val="0"/>
        <w:color w:val="000000"/>
        <w:sz w:val="17"/>
      </w:rPr>
    </w:lvl>
    <w:lvl w:ilvl="3">
      <w:start w:val="1"/>
      <w:numFmt w:val="decimal"/>
      <w:lvlText w:val="%1.%2.%3.%4"/>
      <w:lvlJc w:val="left"/>
      <w:pPr>
        <w:tabs>
          <w:tab w:val="num" w:pos="284"/>
        </w:tabs>
        <w:ind w:left="0" w:hanging="624"/>
      </w:pPr>
      <w:rPr>
        <w:rFonts w:ascii="Arial MT Std Light" w:hAnsi="Arial MT Std Light"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39" w15:restartNumberingAfterBreak="0">
    <w:nsid w:val="2EFF26E2"/>
    <w:multiLevelType w:val="hybridMultilevel"/>
    <w:tmpl w:val="47503D2A"/>
    <w:lvl w:ilvl="0" w:tplc="90744DFC">
      <w:start w:val="2"/>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30DE0B3A"/>
    <w:multiLevelType w:val="multilevel"/>
    <w:tmpl w:val="3E7EF6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1431D57"/>
    <w:multiLevelType w:val="hybridMultilevel"/>
    <w:tmpl w:val="72189190"/>
    <w:styleLink w:val="JayeshNavinShahEasterEgg1"/>
    <w:lvl w:ilvl="0" w:tplc="CCE28EE4">
      <w:start w:val="1"/>
      <w:numFmt w:val="decimal"/>
      <w:lvlText w:val="%1."/>
      <w:lvlJc w:val="left"/>
      <w:pPr>
        <w:ind w:left="720" w:hanging="360"/>
      </w:pPr>
    </w:lvl>
    <w:lvl w:ilvl="1" w:tplc="5E08E3CA">
      <w:start w:val="1"/>
      <w:numFmt w:val="decimal"/>
      <w:lvlText w:val="%2."/>
      <w:lvlJc w:val="left"/>
      <w:pPr>
        <w:ind w:left="720" w:hanging="360"/>
      </w:pPr>
    </w:lvl>
    <w:lvl w:ilvl="2" w:tplc="7862B548">
      <w:start w:val="1"/>
      <w:numFmt w:val="decimal"/>
      <w:lvlText w:val="%3."/>
      <w:lvlJc w:val="left"/>
      <w:pPr>
        <w:ind w:left="720" w:hanging="360"/>
      </w:pPr>
    </w:lvl>
    <w:lvl w:ilvl="3" w:tplc="2362E3A4">
      <w:start w:val="1"/>
      <w:numFmt w:val="decimal"/>
      <w:lvlText w:val="%4."/>
      <w:lvlJc w:val="left"/>
      <w:pPr>
        <w:ind w:left="720" w:hanging="360"/>
      </w:pPr>
    </w:lvl>
    <w:lvl w:ilvl="4" w:tplc="AB601222">
      <w:start w:val="1"/>
      <w:numFmt w:val="decimal"/>
      <w:lvlText w:val="%5."/>
      <w:lvlJc w:val="left"/>
      <w:pPr>
        <w:ind w:left="720" w:hanging="360"/>
      </w:pPr>
    </w:lvl>
    <w:lvl w:ilvl="5" w:tplc="EEDE6D3A">
      <w:start w:val="1"/>
      <w:numFmt w:val="decimal"/>
      <w:lvlText w:val="%6."/>
      <w:lvlJc w:val="left"/>
      <w:pPr>
        <w:ind w:left="720" w:hanging="360"/>
      </w:pPr>
    </w:lvl>
    <w:lvl w:ilvl="6" w:tplc="D1428DC2">
      <w:start w:val="1"/>
      <w:numFmt w:val="decimal"/>
      <w:lvlText w:val="%7."/>
      <w:lvlJc w:val="left"/>
      <w:pPr>
        <w:ind w:left="720" w:hanging="360"/>
      </w:pPr>
    </w:lvl>
    <w:lvl w:ilvl="7" w:tplc="DFC2B9BC">
      <w:start w:val="1"/>
      <w:numFmt w:val="decimal"/>
      <w:lvlText w:val="%8."/>
      <w:lvlJc w:val="left"/>
      <w:pPr>
        <w:ind w:left="720" w:hanging="360"/>
      </w:pPr>
    </w:lvl>
    <w:lvl w:ilvl="8" w:tplc="D1CCF98A">
      <w:start w:val="1"/>
      <w:numFmt w:val="decimal"/>
      <w:lvlText w:val="%9."/>
      <w:lvlJc w:val="left"/>
      <w:pPr>
        <w:ind w:left="720" w:hanging="360"/>
      </w:pPr>
    </w:lvl>
  </w:abstractNum>
  <w:abstractNum w:abstractNumId="42" w15:restartNumberingAfterBreak="0">
    <w:nsid w:val="3181508F"/>
    <w:multiLevelType w:val="hybridMultilevel"/>
    <w:tmpl w:val="0B3C74FE"/>
    <w:lvl w:ilvl="0" w:tplc="18090001">
      <w:start w:val="1"/>
      <w:numFmt w:val="bullet"/>
      <w:lvlText w:val=""/>
      <w:lvlJc w:val="left"/>
      <w:pPr>
        <w:ind w:left="360" w:hanging="360"/>
      </w:pPr>
      <w:rPr>
        <w:rFonts w:ascii="Symbol" w:hAnsi="Symbol" w:hint="default"/>
        <w:b/>
        <w:i w:val="0"/>
        <w:color w:val="auto"/>
        <w:sz w:val="22"/>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580C175C">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Mangal" w:hAnsi="Mangal" w:cs="Mangal"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MS PGothic" w:hAnsi="MS PGothic" w:hint="default"/>
      </w:rPr>
    </w:lvl>
    <w:lvl w:ilvl="7" w:tplc="080C0003" w:tentative="1">
      <w:start w:val="1"/>
      <w:numFmt w:val="bullet"/>
      <w:lvlText w:val="o"/>
      <w:lvlJc w:val="left"/>
      <w:pPr>
        <w:ind w:left="5760" w:hanging="360"/>
      </w:pPr>
      <w:rPr>
        <w:rFonts w:ascii="Mangal" w:hAnsi="Mangal" w:cs="Mangal" w:hint="default"/>
      </w:rPr>
    </w:lvl>
    <w:lvl w:ilvl="8" w:tplc="080C0005" w:tentative="1">
      <w:start w:val="1"/>
      <w:numFmt w:val="bullet"/>
      <w:lvlText w:val=""/>
      <w:lvlJc w:val="left"/>
      <w:pPr>
        <w:ind w:left="6480" w:hanging="360"/>
      </w:pPr>
      <w:rPr>
        <w:rFonts w:ascii="Cambria Math" w:hAnsi="Cambria Math" w:hint="default"/>
      </w:rPr>
    </w:lvl>
  </w:abstractNum>
  <w:abstractNum w:abstractNumId="43" w15:restartNumberingAfterBreak="0">
    <w:nsid w:val="338832EF"/>
    <w:multiLevelType w:val="singleLevel"/>
    <w:tmpl w:val="B0567122"/>
    <w:styleLink w:val="BulletEU"/>
    <w:lvl w:ilvl="0">
      <w:start w:val="1"/>
      <w:numFmt w:val="bullet"/>
      <w:lvlText w:val="–"/>
      <w:lvlJc w:val="left"/>
      <w:pPr>
        <w:tabs>
          <w:tab w:val="num" w:pos="1485"/>
        </w:tabs>
        <w:ind w:left="1485" w:hanging="283"/>
      </w:pPr>
      <w:rPr>
        <w:rFonts w:ascii="Times" w:hAnsi="Times"/>
      </w:rPr>
    </w:lvl>
  </w:abstractNum>
  <w:abstractNum w:abstractNumId="44"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w:hAnsi="Times"/>
      </w:rPr>
    </w:lvl>
  </w:abstractNum>
  <w:abstractNum w:abstractNumId="45" w15:restartNumberingAfterBreak="0">
    <w:nsid w:val="34322AE2"/>
    <w:multiLevelType w:val="hybridMultilevel"/>
    <w:tmpl w:val="ABE648BC"/>
    <w:lvl w:ilvl="0" w:tplc="20000001">
      <w:start w:val="1"/>
      <w:numFmt w:val="bullet"/>
      <w:lvlText w:val=""/>
      <w:lvlJc w:val="left"/>
      <w:pPr>
        <w:ind w:left="360" w:hanging="360"/>
      </w:pPr>
      <w:rPr>
        <w:rFonts w:ascii="Symbol" w:hAnsi="Symbol" w:hint="default"/>
      </w:rPr>
    </w:lvl>
    <w:lvl w:ilvl="1" w:tplc="7C9E602E">
      <w:numFmt w:val="bullet"/>
      <w:lvlText w:val="•"/>
      <w:lvlJc w:val="left"/>
      <w:pPr>
        <w:ind w:left="1440" w:hanging="720"/>
      </w:pPr>
      <w:rPr>
        <w:rFonts w:ascii="Verdana" w:eastAsiaTheme="minorHAnsi" w:hAnsi="Verdana" w:cstheme="minorBid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34B11C16"/>
    <w:multiLevelType w:val="hybridMultilevel"/>
    <w:tmpl w:val="2B5CB896"/>
    <w:lvl w:ilvl="0" w:tplc="FFFFFFFF">
      <w:start w:val="1"/>
      <w:numFmt w:val="bullet"/>
      <w:lvlText w:val=""/>
      <w:lvlJc w:val="left"/>
      <w:pPr>
        <w:ind w:left="720" w:hanging="360"/>
      </w:pPr>
      <w:rPr>
        <w:rFonts w:ascii="Symbol" w:hAnsi="Symbol" w:hint="default"/>
        <w:b/>
        <w:i w:val="0"/>
        <w:color w:val="auto"/>
        <w:sz w:val="22"/>
      </w:rPr>
    </w:lvl>
    <w:lvl w:ilvl="1" w:tplc="1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Cambria Math" w:hAnsi="Cambria Math" w:hint="default"/>
      </w:rPr>
    </w:lvl>
    <w:lvl w:ilvl="3" w:tplc="FFFFFFFF">
      <w:start w:val="1"/>
      <w:numFmt w:val="bullet"/>
      <w:lvlText w:val=""/>
      <w:lvlJc w:val="left"/>
      <w:pPr>
        <w:ind w:left="2880" w:hanging="360"/>
      </w:pPr>
      <w:rPr>
        <w:rFonts w:ascii="MS PGothic" w:hAnsi="MS PGothic" w:hint="default"/>
      </w:rPr>
    </w:lvl>
    <w:lvl w:ilvl="4" w:tplc="FFFFFFFF">
      <w:start w:val="1"/>
      <w:numFmt w:val="bullet"/>
      <w:lvlText w:val="o"/>
      <w:lvlJc w:val="left"/>
      <w:pPr>
        <w:ind w:left="3600" w:hanging="360"/>
      </w:pPr>
      <w:rPr>
        <w:rFonts w:ascii="Mangal" w:hAnsi="Mangal" w:cs="Mangal" w:hint="default"/>
      </w:rPr>
    </w:lvl>
    <w:lvl w:ilvl="5" w:tplc="FFFFFFFF">
      <w:start w:val="1"/>
      <w:numFmt w:val="bullet"/>
      <w:lvlText w:val=""/>
      <w:lvlJc w:val="left"/>
      <w:pPr>
        <w:ind w:left="4320" w:hanging="360"/>
      </w:pPr>
      <w:rPr>
        <w:rFonts w:ascii="Cambria Math" w:hAnsi="Cambria Math" w:hint="default"/>
      </w:rPr>
    </w:lvl>
    <w:lvl w:ilvl="6" w:tplc="FFFFFFFF">
      <w:start w:val="1"/>
      <w:numFmt w:val="bullet"/>
      <w:lvlText w:val=""/>
      <w:lvlJc w:val="left"/>
      <w:pPr>
        <w:ind w:left="5040" w:hanging="360"/>
      </w:pPr>
      <w:rPr>
        <w:rFonts w:ascii="MS PGothic" w:hAnsi="MS PGothic" w:hint="default"/>
      </w:rPr>
    </w:lvl>
    <w:lvl w:ilvl="7" w:tplc="FFFFFFFF">
      <w:start w:val="1"/>
      <w:numFmt w:val="bullet"/>
      <w:lvlText w:val="o"/>
      <w:lvlJc w:val="left"/>
      <w:pPr>
        <w:ind w:left="5760" w:hanging="360"/>
      </w:pPr>
      <w:rPr>
        <w:rFonts w:ascii="Mangal" w:hAnsi="Mangal" w:cs="Mangal" w:hint="default"/>
      </w:rPr>
    </w:lvl>
    <w:lvl w:ilvl="8" w:tplc="FFFFFFFF">
      <w:start w:val="1"/>
      <w:numFmt w:val="bullet"/>
      <w:lvlText w:val=""/>
      <w:lvlJc w:val="left"/>
      <w:pPr>
        <w:ind w:left="6480" w:hanging="360"/>
      </w:pPr>
      <w:rPr>
        <w:rFonts w:ascii="Cambria Math" w:hAnsi="Cambria Math" w:hint="default"/>
      </w:rPr>
    </w:lvl>
  </w:abstractNum>
  <w:abstractNum w:abstractNumId="47"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w:hAnsi="Times"/>
      </w:rPr>
    </w:lvl>
    <w:lvl w:ilvl="3">
      <w:start w:val="1"/>
      <w:numFmt w:val="bullet"/>
      <w:pStyle w:val="ListNumber1Level4"/>
      <w:lvlText w:val=""/>
      <w:lvlJc w:val="left"/>
      <w:pPr>
        <w:tabs>
          <w:tab w:val="num" w:pos="3317"/>
        </w:tabs>
        <w:ind w:left="3317" w:hanging="709"/>
      </w:pPr>
      <w:rPr>
        <w:rFonts w:ascii="MS PGothic" w:hAnsi="MS PGothic"/>
      </w:rPr>
    </w:lvl>
    <w:lvl w:ilvl="4">
      <w:start w:val="1"/>
      <w:numFmt w:val="lowerLetter"/>
      <w:pStyle w:val="Heading5"/>
      <w:lvlText w:val="(%5)"/>
      <w:lvlJc w:val="left"/>
      <w:pPr>
        <w:tabs>
          <w:tab w:val="num" w:pos="1800"/>
        </w:tabs>
        <w:ind w:left="1800" w:hanging="360"/>
      </w:pPr>
    </w:lvl>
    <w:lvl w:ilvl="5">
      <w:start w:val="1"/>
      <w:numFmt w:val="lowerRoman"/>
      <w:pStyle w:val="Heading6"/>
      <w:lvlText w:val="(%6)"/>
      <w:lvlJc w:val="left"/>
      <w:pPr>
        <w:tabs>
          <w:tab w:val="num" w:pos="2160"/>
        </w:tabs>
        <w:ind w:left="2160" w:hanging="360"/>
      </w:pPr>
    </w:lvl>
    <w:lvl w:ilvl="6">
      <w:start w:val="1"/>
      <w:numFmt w:val="decimal"/>
      <w:pStyle w:val="Heading7"/>
      <w:lvlText w:val="%7."/>
      <w:lvlJc w:val="left"/>
      <w:pPr>
        <w:tabs>
          <w:tab w:val="num" w:pos="2520"/>
        </w:tabs>
        <w:ind w:left="2520" w:hanging="360"/>
      </w:pPr>
    </w:lvl>
    <w:lvl w:ilvl="7">
      <w:start w:val="1"/>
      <w:numFmt w:val="lowerLetter"/>
      <w:pStyle w:val="Heading8"/>
      <w:lvlText w:val="%8."/>
      <w:lvlJc w:val="left"/>
      <w:pPr>
        <w:tabs>
          <w:tab w:val="num" w:pos="2880"/>
        </w:tabs>
        <w:ind w:left="2880" w:hanging="360"/>
      </w:pPr>
    </w:lvl>
    <w:lvl w:ilvl="8">
      <w:start w:val="1"/>
      <w:numFmt w:val="lowerRoman"/>
      <w:pStyle w:val="Heading9"/>
      <w:lvlText w:val="%9."/>
      <w:lvlJc w:val="left"/>
      <w:pPr>
        <w:tabs>
          <w:tab w:val="num" w:pos="3240"/>
        </w:tabs>
        <w:ind w:left="3240" w:hanging="360"/>
      </w:pPr>
    </w:lvl>
  </w:abstractNum>
  <w:abstractNum w:abstractNumId="48" w15:restartNumberingAfterBreak="0">
    <w:nsid w:val="35E73050"/>
    <w:multiLevelType w:val="multilevel"/>
    <w:tmpl w:val="04046AE4"/>
    <w:styleLink w:val="Headings"/>
    <w:lvl w:ilvl="0">
      <w:start w:val="1"/>
      <w:numFmt w:val="decimal"/>
      <w:lvlText w:val="%1."/>
      <w:lvlJc w:val="left"/>
      <w:pPr>
        <w:ind w:left="360" w:hanging="360"/>
      </w:pPr>
    </w:lvl>
    <w:lvl w:ilvl="1">
      <w:start w:val="1"/>
      <w:numFmt w:val="decimal"/>
      <w:pStyle w:val="StyleBBB"/>
      <w:lvlText w:val="%1.%2."/>
      <w:lvlJc w:val="left"/>
      <w:pPr>
        <w:ind w:left="792" w:hanging="432"/>
      </w:pPr>
    </w:lvl>
    <w:lvl w:ilvl="2">
      <w:start w:val="1"/>
      <w:numFmt w:val="decimal"/>
      <w:pStyle w:val="StyleCCC"/>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7BA68DF"/>
    <w:multiLevelType w:val="hybridMultilevel"/>
    <w:tmpl w:val="E82EF046"/>
    <w:lvl w:ilvl="0" w:tplc="40FA030E">
      <w:start w:val="1"/>
      <w:numFmt w:val="decimal"/>
      <w:lvlText w:val="%1."/>
      <w:lvlJc w:val="left"/>
      <w:pPr>
        <w:ind w:left="720" w:hanging="360"/>
      </w:pPr>
      <w:rPr>
        <w:rFonts w:ascii="Times" w:hAnsi="Times" w:hint="default"/>
        <w:b/>
        <w:bCs/>
      </w:rPr>
    </w:lvl>
    <w:lvl w:ilvl="1" w:tplc="44303B76">
      <w:start w:val="1"/>
      <w:numFmt w:val="lowerLetter"/>
      <w:lvlText w:val="%2."/>
      <w:lvlJc w:val="left"/>
      <w:pPr>
        <w:ind w:left="1440" w:hanging="360"/>
      </w:pPr>
    </w:lvl>
    <w:lvl w:ilvl="2" w:tplc="935E27D6">
      <w:start w:val="1"/>
      <w:numFmt w:val="lowerRoman"/>
      <w:lvlText w:val="%3."/>
      <w:lvlJc w:val="right"/>
      <w:pPr>
        <w:ind w:left="2160" w:hanging="180"/>
      </w:pPr>
    </w:lvl>
    <w:lvl w:ilvl="3" w:tplc="B8E4ACB0">
      <w:start w:val="1"/>
      <w:numFmt w:val="decimal"/>
      <w:lvlText w:val="%4."/>
      <w:lvlJc w:val="left"/>
      <w:pPr>
        <w:ind w:left="2880" w:hanging="360"/>
      </w:pPr>
    </w:lvl>
    <w:lvl w:ilvl="4" w:tplc="53FED19A">
      <w:start w:val="1"/>
      <w:numFmt w:val="lowerLetter"/>
      <w:lvlText w:val="%5."/>
      <w:lvlJc w:val="left"/>
      <w:pPr>
        <w:ind w:left="3600" w:hanging="360"/>
      </w:pPr>
    </w:lvl>
    <w:lvl w:ilvl="5" w:tplc="A0F6A1A6">
      <w:start w:val="1"/>
      <w:numFmt w:val="lowerRoman"/>
      <w:lvlText w:val="%6."/>
      <w:lvlJc w:val="right"/>
      <w:pPr>
        <w:ind w:left="4320" w:hanging="180"/>
      </w:pPr>
    </w:lvl>
    <w:lvl w:ilvl="6" w:tplc="01F096E6">
      <w:start w:val="1"/>
      <w:numFmt w:val="decimal"/>
      <w:lvlText w:val="%7."/>
      <w:lvlJc w:val="left"/>
      <w:pPr>
        <w:ind w:left="5040" w:hanging="360"/>
      </w:pPr>
    </w:lvl>
    <w:lvl w:ilvl="7" w:tplc="911A1AF6">
      <w:start w:val="1"/>
      <w:numFmt w:val="lowerLetter"/>
      <w:lvlText w:val="%8."/>
      <w:lvlJc w:val="left"/>
      <w:pPr>
        <w:ind w:left="5760" w:hanging="360"/>
      </w:pPr>
    </w:lvl>
    <w:lvl w:ilvl="8" w:tplc="C8EE0AA4">
      <w:start w:val="1"/>
      <w:numFmt w:val="lowerRoman"/>
      <w:lvlText w:val="%9."/>
      <w:lvlJc w:val="right"/>
      <w:pPr>
        <w:ind w:left="6480" w:hanging="180"/>
      </w:pPr>
    </w:lvl>
  </w:abstractNum>
  <w:abstractNum w:abstractNumId="50" w15:restartNumberingAfterBreak="0">
    <w:nsid w:val="39873D8C"/>
    <w:multiLevelType w:val="multilevel"/>
    <w:tmpl w:val="3E9EC1BE"/>
    <w:styleLink w:val="ECVCVBullets1"/>
    <w:lvl w:ilvl="0">
      <w:start w:val="1"/>
      <w:numFmt w:val="bullet"/>
      <w:pStyle w:val="OMbullettext"/>
      <w:lvlText w:val=""/>
      <w:lvlJc w:val="left"/>
      <w:pPr>
        <w:ind w:left="360" w:hanging="360"/>
      </w:pPr>
      <w:rPr>
        <w:rFonts w:ascii="MS PGothic" w:hAnsi="MS PGothic" w:hint="default"/>
        <w:color w:val="8064A2" w:themeColor="accent4"/>
        <w:sz w:val="20"/>
      </w:rPr>
    </w:lvl>
    <w:lvl w:ilvl="1">
      <w:start w:val="1"/>
      <w:numFmt w:val="bullet"/>
      <w:lvlText w:val=""/>
      <w:lvlJc w:val="left"/>
      <w:pPr>
        <w:ind w:left="792" w:hanging="432"/>
      </w:pPr>
      <w:rPr>
        <w:rFonts w:ascii="Cambria Math" w:hAnsi="Cambria Math" w:hint="default"/>
        <w:color w:val="8064A2" w:themeColor="accent4"/>
      </w:rPr>
    </w:lvl>
    <w:lvl w:ilvl="2">
      <w:start w:val="1"/>
      <w:numFmt w:val="bullet"/>
      <w:lvlText w:val="o"/>
      <w:lvlJc w:val="left"/>
      <w:pPr>
        <w:ind w:left="1224" w:hanging="504"/>
      </w:pPr>
      <w:rPr>
        <w:rFonts w:ascii="Mangal" w:hAnsi="Mangal" w:cs="Times" w:hint="default"/>
        <w:color w:val="8064A2" w:themeColor="accent4"/>
      </w:rPr>
    </w:lvl>
    <w:lvl w:ilvl="3">
      <w:start w:val="1"/>
      <w:numFmt w:val="bullet"/>
      <w:lvlText w:val=""/>
      <w:lvlJc w:val="left"/>
      <w:pPr>
        <w:ind w:left="1728" w:hanging="648"/>
      </w:pPr>
      <w:rPr>
        <w:rFonts w:ascii="MS PGothic" w:hAnsi="MS PGothic" w:hint="default"/>
        <w:color w:val="8064A2" w:themeColor="accent4"/>
      </w:rPr>
    </w:lvl>
    <w:lvl w:ilvl="4">
      <w:start w:val="1"/>
      <w:numFmt w:val="bullet"/>
      <w:lvlText w:val=""/>
      <w:lvlJc w:val="left"/>
      <w:pPr>
        <w:ind w:left="2232" w:hanging="792"/>
      </w:pPr>
      <w:rPr>
        <w:rFonts w:ascii="Cambria Math" w:hAnsi="Cambria Math" w:hint="default"/>
        <w:color w:val="8064A2" w:themeColor="accent4"/>
      </w:rPr>
    </w:lvl>
    <w:lvl w:ilvl="5">
      <w:start w:val="1"/>
      <w:numFmt w:val="bullet"/>
      <w:lvlText w:val="o"/>
      <w:lvlJc w:val="left"/>
      <w:pPr>
        <w:ind w:left="2736" w:hanging="936"/>
      </w:pPr>
      <w:rPr>
        <w:rFonts w:ascii="Mangal" w:hAnsi="Mangal" w:cs="Times" w:hint="default"/>
        <w:color w:val="8064A2" w:themeColor="accent4"/>
      </w:rPr>
    </w:lvl>
    <w:lvl w:ilvl="6">
      <w:start w:val="1"/>
      <w:numFmt w:val="bullet"/>
      <w:lvlText w:val=""/>
      <w:lvlJc w:val="left"/>
      <w:pPr>
        <w:ind w:left="3240" w:hanging="1080"/>
      </w:pPr>
      <w:rPr>
        <w:rFonts w:ascii="MS PGothic" w:hAnsi="MS PGothic" w:hint="default"/>
        <w:color w:val="8064A2" w:themeColor="accent4"/>
      </w:rPr>
    </w:lvl>
    <w:lvl w:ilvl="7">
      <w:start w:val="1"/>
      <w:numFmt w:val="bullet"/>
      <w:lvlText w:val=""/>
      <w:lvlJc w:val="left"/>
      <w:pPr>
        <w:ind w:left="3744" w:hanging="1224"/>
      </w:pPr>
      <w:rPr>
        <w:rFonts w:ascii="Cambria Math" w:hAnsi="Cambria Math" w:hint="default"/>
        <w:color w:val="8064A2" w:themeColor="accent4"/>
      </w:rPr>
    </w:lvl>
    <w:lvl w:ilvl="8">
      <w:start w:val="1"/>
      <w:numFmt w:val="bullet"/>
      <w:lvlText w:val="o"/>
      <w:lvlJc w:val="left"/>
      <w:pPr>
        <w:ind w:left="4320" w:hanging="1440"/>
      </w:pPr>
      <w:rPr>
        <w:rFonts w:ascii="Mangal" w:hAnsi="Mangal" w:cs="Times" w:hint="default"/>
        <w:color w:val="8064A2" w:themeColor="accent4"/>
      </w:rPr>
    </w:lvl>
  </w:abstractNum>
  <w:abstractNum w:abstractNumId="51" w15:restartNumberingAfterBreak="0">
    <w:nsid w:val="39AB02CC"/>
    <w:multiLevelType w:val="hybridMultilevel"/>
    <w:tmpl w:val="BCF20166"/>
    <w:lvl w:ilvl="0" w:tplc="18090001">
      <w:start w:val="1"/>
      <w:numFmt w:val="bullet"/>
      <w:lvlText w:val=""/>
      <w:lvlJc w:val="left"/>
      <w:pPr>
        <w:ind w:left="720" w:hanging="360"/>
      </w:pPr>
      <w:rPr>
        <w:rFonts w:ascii="Symbol" w:hAnsi="Symbol" w:hint="default"/>
      </w:rPr>
    </w:lvl>
    <w:lvl w:ilvl="1" w:tplc="1809000F">
      <w:start w:val="1"/>
      <w:numFmt w:val="decimal"/>
      <w:lvlText w:val="%2."/>
      <w:lvlJc w:val="left"/>
      <w:pPr>
        <w:ind w:left="1440" w:hanging="360"/>
      </w:p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39E36D80"/>
    <w:multiLevelType w:val="hybridMultilevel"/>
    <w:tmpl w:val="44A01F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3B457F50"/>
    <w:multiLevelType w:val="multilevel"/>
    <w:tmpl w:val="5FC8DC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3C3B57F1"/>
    <w:multiLevelType w:val="hybridMultilevel"/>
    <w:tmpl w:val="F46C9E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3C7D5211"/>
    <w:multiLevelType w:val="hybridMultilevel"/>
    <w:tmpl w:val="2EB66B6E"/>
    <w:lvl w:ilvl="0" w:tplc="BA0C0A94">
      <w:start w:val="3"/>
      <w:numFmt w:val="bullet"/>
      <w:lvlText w:val="-"/>
      <w:lvlJc w:val="left"/>
      <w:pPr>
        <w:ind w:left="720" w:hanging="360"/>
      </w:pPr>
      <w:rPr>
        <w:rFonts w:ascii="Times New Roman" w:eastAsia="Arial Unicode MS"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3CAD089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MS PGothic" w:hAnsi="MS PGothic"/>
      </w:rPr>
    </w:lvl>
  </w:abstractNum>
  <w:abstractNum w:abstractNumId="58" w15:restartNumberingAfterBreak="0">
    <w:nsid w:val="3D13415B"/>
    <w:multiLevelType w:val="multilevel"/>
    <w:tmpl w:val="9DE2758E"/>
    <w:styleLink w:val="CowiNumberList"/>
    <w:lvl w:ilvl="0">
      <w:start w:val="1"/>
      <w:numFmt w:val="decimal"/>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w:hAnsi="Times"/>
      </w:rPr>
    </w:lvl>
    <w:lvl w:ilvl="3">
      <w:start w:val="1"/>
      <w:numFmt w:val="bullet"/>
      <w:lvlText w:val=""/>
      <w:lvlJc w:val="left"/>
      <w:pPr>
        <w:tabs>
          <w:tab w:val="num" w:pos="4037"/>
        </w:tabs>
        <w:ind w:left="4037" w:hanging="709"/>
      </w:pPr>
      <w:rPr>
        <w:rFonts w:ascii="MS PGothic" w:hAnsi="MS PGothic"/>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3E8E7EA9"/>
    <w:multiLevelType w:val="multilevel"/>
    <w:tmpl w:val="D0FE4BE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0931618"/>
    <w:multiLevelType w:val="hybridMultilevel"/>
    <w:tmpl w:val="167E1E8A"/>
    <w:styleLink w:val="CurrentList1"/>
    <w:lvl w:ilvl="0" w:tplc="1F961EDC">
      <w:start w:val="1"/>
      <w:numFmt w:val="bullet"/>
      <w:pStyle w:val="Briefinglist1"/>
      <w:lvlText w:val=""/>
      <w:lvlJc w:val="left"/>
      <w:pPr>
        <w:tabs>
          <w:tab w:val="num" w:pos="284"/>
        </w:tabs>
        <w:ind w:left="284" w:hanging="284"/>
      </w:pPr>
      <w:rPr>
        <w:rFonts w:ascii="MS PGothic" w:hAnsi="MS PGothic" w:hint="default"/>
        <w:b w:val="0"/>
        <w:i w:val="0"/>
        <w:color w:val="auto"/>
      </w:rPr>
    </w:lvl>
    <w:lvl w:ilvl="1" w:tplc="08090003">
      <w:start w:val="1"/>
      <w:numFmt w:val="bullet"/>
      <w:lvlText w:val="o"/>
      <w:lvlJc w:val="left"/>
      <w:pPr>
        <w:tabs>
          <w:tab w:val="num" w:pos="1440"/>
        </w:tabs>
        <w:ind w:left="1440" w:hanging="360"/>
      </w:pPr>
      <w:rPr>
        <w:rFonts w:ascii="Mangal" w:hAnsi="Mangal" w:cs="Mangal" w:hint="default"/>
      </w:rPr>
    </w:lvl>
    <w:lvl w:ilvl="2" w:tplc="08090005">
      <w:start w:val="1"/>
      <w:numFmt w:val="bullet"/>
      <w:lvlText w:val=""/>
      <w:lvlJc w:val="left"/>
      <w:pPr>
        <w:tabs>
          <w:tab w:val="num" w:pos="2160"/>
        </w:tabs>
        <w:ind w:left="2160" w:hanging="360"/>
      </w:pPr>
      <w:rPr>
        <w:rFonts w:ascii="Cambria Math" w:hAnsi="Cambria Math" w:hint="default"/>
      </w:rPr>
    </w:lvl>
    <w:lvl w:ilvl="3" w:tplc="08090001" w:tentative="1">
      <w:start w:val="1"/>
      <w:numFmt w:val="bullet"/>
      <w:lvlText w:val=""/>
      <w:lvlJc w:val="left"/>
      <w:pPr>
        <w:tabs>
          <w:tab w:val="num" w:pos="2880"/>
        </w:tabs>
        <w:ind w:left="2880" w:hanging="360"/>
      </w:pPr>
      <w:rPr>
        <w:rFonts w:ascii="MS PGothic" w:hAnsi="MS PGothic" w:hint="default"/>
      </w:rPr>
    </w:lvl>
    <w:lvl w:ilvl="4" w:tplc="08090003" w:tentative="1">
      <w:start w:val="1"/>
      <w:numFmt w:val="bullet"/>
      <w:lvlText w:val="o"/>
      <w:lvlJc w:val="left"/>
      <w:pPr>
        <w:tabs>
          <w:tab w:val="num" w:pos="3600"/>
        </w:tabs>
        <w:ind w:left="3600" w:hanging="360"/>
      </w:pPr>
      <w:rPr>
        <w:rFonts w:ascii="Mangal" w:hAnsi="Mangal" w:cs="Mangal" w:hint="default"/>
      </w:rPr>
    </w:lvl>
    <w:lvl w:ilvl="5" w:tplc="08090005" w:tentative="1">
      <w:start w:val="1"/>
      <w:numFmt w:val="bullet"/>
      <w:lvlText w:val=""/>
      <w:lvlJc w:val="left"/>
      <w:pPr>
        <w:tabs>
          <w:tab w:val="num" w:pos="4320"/>
        </w:tabs>
        <w:ind w:left="4320" w:hanging="360"/>
      </w:pPr>
      <w:rPr>
        <w:rFonts w:ascii="Cambria Math" w:hAnsi="Cambria Math" w:hint="default"/>
      </w:rPr>
    </w:lvl>
    <w:lvl w:ilvl="6" w:tplc="08090001" w:tentative="1">
      <w:start w:val="1"/>
      <w:numFmt w:val="bullet"/>
      <w:lvlText w:val=""/>
      <w:lvlJc w:val="left"/>
      <w:pPr>
        <w:tabs>
          <w:tab w:val="num" w:pos="5040"/>
        </w:tabs>
        <w:ind w:left="5040" w:hanging="360"/>
      </w:pPr>
      <w:rPr>
        <w:rFonts w:ascii="MS PGothic" w:hAnsi="MS PGothic" w:hint="default"/>
      </w:rPr>
    </w:lvl>
    <w:lvl w:ilvl="7" w:tplc="08090003" w:tentative="1">
      <w:start w:val="1"/>
      <w:numFmt w:val="bullet"/>
      <w:lvlText w:val="o"/>
      <w:lvlJc w:val="left"/>
      <w:pPr>
        <w:tabs>
          <w:tab w:val="num" w:pos="5760"/>
        </w:tabs>
        <w:ind w:left="5760" w:hanging="360"/>
      </w:pPr>
      <w:rPr>
        <w:rFonts w:ascii="Mangal" w:hAnsi="Mangal" w:cs="Mangal" w:hint="default"/>
      </w:rPr>
    </w:lvl>
    <w:lvl w:ilvl="8" w:tplc="08090005" w:tentative="1">
      <w:start w:val="1"/>
      <w:numFmt w:val="bullet"/>
      <w:lvlText w:val=""/>
      <w:lvlJc w:val="left"/>
      <w:pPr>
        <w:tabs>
          <w:tab w:val="num" w:pos="6480"/>
        </w:tabs>
        <w:ind w:left="6480" w:hanging="360"/>
      </w:pPr>
      <w:rPr>
        <w:rFonts w:ascii="Cambria Math" w:hAnsi="Cambria Math" w:hint="default"/>
      </w:rPr>
    </w:lvl>
  </w:abstractNum>
  <w:abstractNum w:abstractNumId="61" w15:restartNumberingAfterBreak="0">
    <w:nsid w:val="41F05862"/>
    <w:multiLevelType w:val="hybridMultilevel"/>
    <w:tmpl w:val="1234AC54"/>
    <w:lvl w:ilvl="0" w:tplc="18090001">
      <w:start w:val="1"/>
      <w:numFmt w:val="bullet"/>
      <w:lvlText w:val=""/>
      <w:lvlJc w:val="left"/>
      <w:pPr>
        <w:ind w:left="720" w:hanging="360"/>
      </w:pPr>
      <w:rPr>
        <w:rFonts w:ascii="Symbol" w:hAnsi="Symbol" w:hint="default"/>
        <w:b/>
        <w:i w:val="0"/>
        <w:color w:val="auto"/>
        <w:sz w:val="22"/>
      </w:rPr>
    </w:lvl>
    <w:lvl w:ilvl="1" w:tplc="18090003">
      <w:start w:val="1"/>
      <w:numFmt w:val="bullet"/>
      <w:lvlText w:val="o"/>
      <w:lvlJc w:val="left"/>
      <w:pPr>
        <w:ind w:left="1440" w:hanging="360"/>
      </w:pPr>
      <w:rPr>
        <w:rFonts w:ascii="Mangal" w:hAnsi="Mangal" w:cs="Mangal" w:hint="default"/>
      </w:rPr>
    </w:lvl>
    <w:lvl w:ilvl="2" w:tplc="18090005">
      <w:start w:val="1"/>
      <w:numFmt w:val="bullet"/>
      <w:lvlText w:val=""/>
      <w:lvlJc w:val="left"/>
      <w:pPr>
        <w:ind w:left="2160" w:hanging="360"/>
      </w:pPr>
      <w:rPr>
        <w:rFonts w:ascii="Cambria Math" w:hAnsi="Cambria Math" w:hint="default"/>
      </w:rPr>
    </w:lvl>
    <w:lvl w:ilvl="3" w:tplc="18090001">
      <w:start w:val="1"/>
      <w:numFmt w:val="bullet"/>
      <w:lvlText w:val=""/>
      <w:lvlJc w:val="left"/>
      <w:pPr>
        <w:ind w:left="2880" w:hanging="360"/>
      </w:pPr>
      <w:rPr>
        <w:rFonts w:ascii="MS PGothic" w:hAnsi="MS PGothic" w:hint="default"/>
      </w:rPr>
    </w:lvl>
    <w:lvl w:ilvl="4" w:tplc="18090003">
      <w:start w:val="1"/>
      <w:numFmt w:val="bullet"/>
      <w:lvlText w:val="o"/>
      <w:lvlJc w:val="left"/>
      <w:pPr>
        <w:ind w:left="3600" w:hanging="360"/>
      </w:pPr>
      <w:rPr>
        <w:rFonts w:ascii="Mangal" w:hAnsi="Mangal" w:cs="Mangal" w:hint="default"/>
      </w:rPr>
    </w:lvl>
    <w:lvl w:ilvl="5" w:tplc="18090005">
      <w:start w:val="1"/>
      <w:numFmt w:val="bullet"/>
      <w:lvlText w:val=""/>
      <w:lvlJc w:val="left"/>
      <w:pPr>
        <w:ind w:left="4320" w:hanging="360"/>
      </w:pPr>
      <w:rPr>
        <w:rFonts w:ascii="Cambria Math" w:hAnsi="Cambria Math" w:hint="default"/>
      </w:rPr>
    </w:lvl>
    <w:lvl w:ilvl="6" w:tplc="18090001">
      <w:start w:val="1"/>
      <w:numFmt w:val="bullet"/>
      <w:lvlText w:val=""/>
      <w:lvlJc w:val="left"/>
      <w:pPr>
        <w:ind w:left="5040" w:hanging="360"/>
      </w:pPr>
      <w:rPr>
        <w:rFonts w:ascii="MS PGothic" w:hAnsi="MS PGothic" w:hint="default"/>
      </w:rPr>
    </w:lvl>
    <w:lvl w:ilvl="7" w:tplc="18090003">
      <w:start w:val="1"/>
      <w:numFmt w:val="bullet"/>
      <w:lvlText w:val="o"/>
      <w:lvlJc w:val="left"/>
      <w:pPr>
        <w:ind w:left="5760" w:hanging="360"/>
      </w:pPr>
      <w:rPr>
        <w:rFonts w:ascii="Mangal" w:hAnsi="Mangal" w:cs="Mangal" w:hint="default"/>
      </w:rPr>
    </w:lvl>
    <w:lvl w:ilvl="8" w:tplc="18090005">
      <w:start w:val="1"/>
      <w:numFmt w:val="bullet"/>
      <w:lvlText w:val=""/>
      <w:lvlJc w:val="left"/>
      <w:pPr>
        <w:ind w:left="6480" w:hanging="360"/>
      </w:pPr>
      <w:rPr>
        <w:rFonts w:ascii="Cambria Math" w:hAnsi="Cambria Math" w:hint="default"/>
      </w:rPr>
    </w:lvl>
  </w:abstractNum>
  <w:abstractNum w:abstractNumId="62" w15:restartNumberingAfterBreak="0">
    <w:nsid w:val="42771408"/>
    <w:multiLevelType w:val="hybridMultilevel"/>
    <w:tmpl w:val="7C4C13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64" w15:restartNumberingAfterBreak="0">
    <w:nsid w:val="45D83D4A"/>
    <w:multiLevelType w:val="hybridMultilevel"/>
    <w:tmpl w:val="EACACCF8"/>
    <w:lvl w:ilvl="0" w:tplc="0ACC72FA">
      <w:numFmt w:val="bullet"/>
      <w:lvlText w:val=""/>
      <w:lvlJc w:val="left"/>
      <w:pPr>
        <w:ind w:left="720" w:hanging="360"/>
      </w:pPr>
      <w:rPr>
        <w:rFonts w:ascii="Symbol" w:eastAsia="Times"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45E35586"/>
    <w:multiLevelType w:val="hybridMultilevel"/>
    <w:tmpl w:val="7B70FB3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6" w15:restartNumberingAfterBreak="0">
    <w:nsid w:val="46113D4F"/>
    <w:multiLevelType w:val="hybridMultilevel"/>
    <w:tmpl w:val="4AA4E10A"/>
    <w:styleLink w:val="LEMinorBulletList1"/>
    <w:lvl w:ilvl="0" w:tplc="EC7E2AFE">
      <w:start w:val="1"/>
      <w:numFmt w:val="decimal"/>
      <w:suff w:val="nothing"/>
      <w:lvlText w:val="%1."/>
      <w:lvlJc w:val="left"/>
      <w:pPr>
        <w:ind w:left="0" w:firstLine="0"/>
      </w:pPr>
      <w:rPr>
        <w:rFonts w:hint="default"/>
        <w:vanish/>
      </w:rPr>
    </w:lvl>
    <w:lvl w:ilvl="1" w:tplc="CB6CACF8" w:tentative="1">
      <w:start w:val="1"/>
      <w:numFmt w:val="lowerLetter"/>
      <w:lvlText w:val="%2."/>
      <w:lvlJc w:val="left"/>
      <w:pPr>
        <w:ind w:left="1440" w:hanging="360"/>
      </w:pPr>
    </w:lvl>
    <w:lvl w:ilvl="2" w:tplc="195E9562" w:tentative="1">
      <w:start w:val="1"/>
      <w:numFmt w:val="lowerRoman"/>
      <w:lvlText w:val="%3."/>
      <w:lvlJc w:val="right"/>
      <w:pPr>
        <w:ind w:left="2160" w:hanging="180"/>
      </w:pPr>
    </w:lvl>
    <w:lvl w:ilvl="3" w:tplc="71DA28A8" w:tentative="1">
      <w:start w:val="1"/>
      <w:numFmt w:val="decimal"/>
      <w:lvlText w:val="%4."/>
      <w:lvlJc w:val="left"/>
      <w:pPr>
        <w:ind w:left="2880" w:hanging="360"/>
      </w:pPr>
    </w:lvl>
    <w:lvl w:ilvl="4" w:tplc="135AB854" w:tentative="1">
      <w:start w:val="1"/>
      <w:numFmt w:val="lowerLetter"/>
      <w:lvlText w:val="%5."/>
      <w:lvlJc w:val="left"/>
      <w:pPr>
        <w:ind w:left="3600" w:hanging="360"/>
      </w:pPr>
    </w:lvl>
    <w:lvl w:ilvl="5" w:tplc="17DA5F44" w:tentative="1">
      <w:start w:val="1"/>
      <w:numFmt w:val="lowerRoman"/>
      <w:lvlText w:val="%6."/>
      <w:lvlJc w:val="right"/>
      <w:pPr>
        <w:ind w:left="4320" w:hanging="180"/>
      </w:pPr>
    </w:lvl>
    <w:lvl w:ilvl="6" w:tplc="41AA6FDE" w:tentative="1">
      <w:start w:val="1"/>
      <w:numFmt w:val="decimal"/>
      <w:lvlText w:val="%7."/>
      <w:lvlJc w:val="left"/>
      <w:pPr>
        <w:ind w:left="5040" w:hanging="360"/>
      </w:pPr>
    </w:lvl>
    <w:lvl w:ilvl="7" w:tplc="09BE03B8" w:tentative="1">
      <w:start w:val="1"/>
      <w:numFmt w:val="lowerLetter"/>
      <w:lvlText w:val="%8."/>
      <w:lvlJc w:val="left"/>
      <w:pPr>
        <w:ind w:left="5760" w:hanging="360"/>
      </w:pPr>
    </w:lvl>
    <w:lvl w:ilvl="8" w:tplc="0D84D3E6" w:tentative="1">
      <w:start w:val="1"/>
      <w:numFmt w:val="lowerRoman"/>
      <w:lvlText w:val="%9."/>
      <w:lvlJc w:val="right"/>
      <w:pPr>
        <w:ind w:left="6480" w:hanging="180"/>
      </w:pPr>
    </w:lvl>
  </w:abstractNum>
  <w:abstractNum w:abstractNumId="67" w15:restartNumberingAfterBreak="0">
    <w:nsid w:val="47F00AFD"/>
    <w:multiLevelType w:val="hybridMultilevel"/>
    <w:tmpl w:val="D804D454"/>
    <w:lvl w:ilvl="0" w:tplc="20000001">
      <w:start w:val="1"/>
      <w:numFmt w:val="bullet"/>
      <w:lvlText w:val=""/>
      <w:lvlJc w:val="left"/>
      <w:pPr>
        <w:ind w:left="360" w:hanging="360"/>
      </w:pPr>
      <w:rPr>
        <w:rFonts w:ascii="Symbol" w:hAnsi="Symbol" w:hint="default"/>
      </w:rPr>
    </w:lvl>
    <w:lvl w:ilvl="1" w:tplc="7C9E602E">
      <w:numFmt w:val="bullet"/>
      <w:lvlText w:val="•"/>
      <w:lvlJc w:val="left"/>
      <w:pPr>
        <w:ind w:left="1440" w:hanging="720"/>
      </w:pPr>
      <w:rPr>
        <w:rFonts w:ascii="Verdana" w:eastAsiaTheme="minorHAnsi" w:hAnsi="Verdana" w:cstheme="minorBid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48F9480C"/>
    <w:multiLevelType w:val="hybridMultilevel"/>
    <w:tmpl w:val="F926DD28"/>
    <w:lvl w:ilvl="0" w:tplc="EFBC95DE">
      <w:start w:val="1"/>
      <w:numFmt w:val="decimal"/>
      <w:lvlText w:val="(%1)"/>
      <w:lvlJc w:val="left"/>
      <w:pPr>
        <w:ind w:left="740" w:hanging="38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4A7BAAD8"/>
    <w:multiLevelType w:val="hybridMultilevel"/>
    <w:tmpl w:val="90C676DC"/>
    <w:lvl w:ilvl="0" w:tplc="0AE42AFA">
      <w:start w:val="1"/>
      <w:numFmt w:val="lowerLetter"/>
      <w:lvlText w:val="%1."/>
      <w:lvlJc w:val="left"/>
      <w:pPr>
        <w:ind w:left="1003" w:hanging="360"/>
      </w:pPr>
    </w:lvl>
    <w:lvl w:ilvl="1" w:tplc="1A8E36FA">
      <w:start w:val="1"/>
      <w:numFmt w:val="lowerLetter"/>
      <w:lvlText w:val="%2."/>
      <w:lvlJc w:val="left"/>
      <w:pPr>
        <w:ind w:left="1723" w:hanging="360"/>
      </w:pPr>
    </w:lvl>
    <w:lvl w:ilvl="2" w:tplc="80A4A584">
      <w:start w:val="1"/>
      <w:numFmt w:val="lowerRoman"/>
      <w:lvlText w:val="%3."/>
      <w:lvlJc w:val="right"/>
      <w:pPr>
        <w:ind w:left="2443" w:hanging="180"/>
      </w:pPr>
    </w:lvl>
    <w:lvl w:ilvl="3" w:tplc="26EA3DDE">
      <w:start w:val="1"/>
      <w:numFmt w:val="decimal"/>
      <w:lvlText w:val="%4."/>
      <w:lvlJc w:val="left"/>
      <w:pPr>
        <w:ind w:left="3163" w:hanging="360"/>
      </w:pPr>
    </w:lvl>
    <w:lvl w:ilvl="4" w:tplc="D9CA93F6">
      <w:start w:val="1"/>
      <w:numFmt w:val="lowerLetter"/>
      <w:lvlText w:val="%5."/>
      <w:lvlJc w:val="left"/>
      <w:pPr>
        <w:ind w:left="3883" w:hanging="360"/>
      </w:pPr>
    </w:lvl>
    <w:lvl w:ilvl="5" w:tplc="C7F8071C">
      <w:start w:val="1"/>
      <w:numFmt w:val="lowerRoman"/>
      <w:lvlText w:val="%6."/>
      <w:lvlJc w:val="right"/>
      <w:pPr>
        <w:ind w:left="4603" w:hanging="180"/>
      </w:pPr>
    </w:lvl>
    <w:lvl w:ilvl="6" w:tplc="39FA8D10">
      <w:start w:val="1"/>
      <w:numFmt w:val="decimal"/>
      <w:lvlText w:val="%7."/>
      <w:lvlJc w:val="left"/>
      <w:pPr>
        <w:ind w:left="5323" w:hanging="360"/>
      </w:pPr>
    </w:lvl>
    <w:lvl w:ilvl="7" w:tplc="3F24C360">
      <w:start w:val="1"/>
      <w:numFmt w:val="lowerLetter"/>
      <w:lvlText w:val="%8."/>
      <w:lvlJc w:val="left"/>
      <w:pPr>
        <w:ind w:left="6043" w:hanging="360"/>
      </w:pPr>
    </w:lvl>
    <w:lvl w:ilvl="8" w:tplc="DF0C6CEC">
      <w:start w:val="1"/>
      <w:numFmt w:val="lowerRoman"/>
      <w:lvlText w:val="%9."/>
      <w:lvlJc w:val="right"/>
      <w:pPr>
        <w:ind w:left="6763" w:hanging="180"/>
      </w:pPr>
    </w:lvl>
  </w:abstractNum>
  <w:abstractNum w:abstractNumId="70" w15:restartNumberingAfterBreak="0">
    <w:nsid w:val="4B5B2F52"/>
    <w:multiLevelType w:val="hybridMultilevel"/>
    <w:tmpl w:val="55C26C86"/>
    <w:lvl w:ilvl="0" w:tplc="0ACC72FA">
      <w:numFmt w:val="bullet"/>
      <w:lvlText w:val=""/>
      <w:lvlJc w:val="left"/>
      <w:pPr>
        <w:ind w:left="720" w:hanging="360"/>
      </w:pPr>
      <w:rPr>
        <w:rFonts w:ascii="Symbol" w:eastAsia="Times"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4BD32D5F"/>
    <w:multiLevelType w:val="hybridMultilevel"/>
    <w:tmpl w:val="B372BF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73" w15:restartNumberingAfterBreak="0">
    <w:nsid w:val="4F302008"/>
    <w:multiLevelType w:val="hybridMultilevel"/>
    <w:tmpl w:val="3A74FE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4F757B9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2165A51"/>
    <w:multiLevelType w:val="hybridMultilevel"/>
    <w:tmpl w:val="A15826F0"/>
    <w:styleLink w:val="CurrentList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Mangal" w:hAnsi="Mangal" w:cs="Mangal"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MS PGothic" w:hAnsi="MS PGothic" w:hint="default"/>
      </w:rPr>
    </w:lvl>
    <w:lvl w:ilvl="4" w:tplc="18090003" w:tentative="1">
      <w:start w:val="1"/>
      <w:numFmt w:val="bullet"/>
      <w:lvlText w:val="o"/>
      <w:lvlJc w:val="left"/>
      <w:pPr>
        <w:ind w:left="3600" w:hanging="360"/>
      </w:pPr>
      <w:rPr>
        <w:rFonts w:ascii="Mangal" w:hAnsi="Mangal" w:cs="Mangal"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MS PGothic" w:hAnsi="MS PGothic" w:hint="default"/>
      </w:rPr>
    </w:lvl>
    <w:lvl w:ilvl="7" w:tplc="18090003" w:tentative="1">
      <w:start w:val="1"/>
      <w:numFmt w:val="bullet"/>
      <w:lvlText w:val="o"/>
      <w:lvlJc w:val="left"/>
      <w:pPr>
        <w:ind w:left="5760" w:hanging="360"/>
      </w:pPr>
      <w:rPr>
        <w:rFonts w:ascii="Mangal" w:hAnsi="Mangal" w:cs="Mangal" w:hint="default"/>
      </w:rPr>
    </w:lvl>
    <w:lvl w:ilvl="8" w:tplc="18090005" w:tentative="1">
      <w:start w:val="1"/>
      <w:numFmt w:val="bullet"/>
      <w:lvlText w:val=""/>
      <w:lvlJc w:val="left"/>
      <w:pPr>
        <w:ind w:left="6480" w:hanging="360"/>
      </w:pPr>
      <w:rPr>
        <w:rFonts w:ascii="Cambria Math" w:hAnsi="Cambria Math" w:hint="default"/>
      </w:rPr>
    </w:lvl>
  </w:abstractNum>
  <w:abstractNum w:abstractNumId="76" w15:restartNumberingAfterBreak="0">
    <w:nsid w:val="528D448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3EF4E7B"/>
    <w:multiLevelType w:val="hybridMultilevel"/>
    <w:tmpl w:val="287EE5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561645A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7BD445A"/>
    <w:multiLevelType w:val="hybridMultilevel"/>
    <w:tmpl w:val="CF244A08"/>
    <w:lvl w:ilvl="0" w:tplc="0ACC72FA">
      <w:numFmt w:val="bullet"/>
      <w:lvlText w:val=""/>
      <w:lvlJc w:val="left"/>
      <w:pPr>
        <w:ind w:left="720" w:hanging="360"/>
      </w:pPr>
      <w:rPr>
        <w:rFonts w:ascii="Symbol" w:eastAsia="Times"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5846440A"/>
    <w:multiLevelType w:val="hybridMultilevel"/>
    <w:tmpl w:val="CFF8EE46"/>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1" w15:restartNumberingAfterBreak="0">
    <w:nsid w:val="5A390822"/>
    <w:multiLevelType w:val="multilevel"/>
    <w:tmpl w:val="CE9830BE"/>
    <w:lvl w:ilvl="0">
      <w:start w:val="1"/>
      <w:numFmt w:val="decimal"/>
      <w:pStyle w:val="NumberedHeading1"/>
      <w:lvlText w:val="%1."/>
      <w:lvlJc w:val="left"/>
      <w:pPr>
        <w:ind w:left="357" w:hanging="357"/>
      </w:pPr>
      <w:rPr>
        <w:rFonts w:hint="default"/>
        <w:sz w:val="28"/>
        <w:szCs w:val="28"/>
      </w:rPr>
    </w:lvl>
    <w:lvl w:ilvl="1">
      <w:start w:val="1"/>
      <w:numFmt w:val="decima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82" w15:restartNumberingAfterBreak="0">
    <w:nsid w:val="5A9D775D"/>
    <w:multiLevelType w:val="hybridMultilevel"/>
    <w:tmpl w:val="E9D8A5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5B395AAA"/>
    <w:multiLevelType w:val="hybridMultilevel"/>
    <w:tmpl w:val="2EEA4DF0"/>
    <w:styleLink w:val="JayeshNavinShahEasterEgg"/>
    <w:lvl w:ilvl="0" w:tplc="508EE518">
      <w:start w:val="1"/>
      <w:numFmt w:val="bullet"/>
      <w:lvlText w:val=""/>
      <w:lvlJc w:val="left"/>
      <w:pPr>
        <w:ind w:left="1080" w:hanging="360"/>
      </w:pPr>
      <w:rPr>
        <w:rFonts w:ascii="MS PGothic" w:hAnsi="MS PGothic" w:hint="default"/>
        <w:color w:val="7F7F7F"/>
      </w:rPr>
    </w:lvl>
    <w:lvl w:ilvl="1" w:tplc="04090003" w:tentative="1">
      <w:start w:val="1"/>
      <w:numFmt w:val="bullet"/>
      <w:lvlText w:val="o"/>
      <w:lvlJc w:val="left"/>
      <w:pPr>
        <w:ind w:left="1800" w:hanging="360"/>
      </w:pPr>
      <w:rPr>
        <w:rFonts w:ascii="Mangal" w:hAnsi="Mangal" w:cs="Mangal" w:hint="default"/>
      </w:rPr>
    </w:lvl>
    <w:lvl w:ilvl="2" w:tplc="04090005" w:tentative="1">
      <w:start w:val="1"/>
      <w:numFmt w:val="bullet"/>
      <w:lvlText w:val=""/>
      <w:lvlJc w:val="left"/>
      <w:pPr>
        <w:ind w:left="2520" w:hanging="360"/>
      </w:pPr>
      <w:rPr>
        <w:rFonts w:ascii="Cambria Math" w:hAnsi="Cambria Math" w:hint="default"/>
      </w:rPr>
    </w:lvl>
    <w:lvl w:ilvl="3" w:tplc="04090001" w:tentative="1">
      <w:start w:val="1"/>
      <w:numFmt w:val="bullet"/>
      <w:lvlText w:val=""/>
      <w:lvlJc w:val="left"/>
      <w:pPr>
        <w:ind w:left="3240" w:hanging="360"/>
      </w:pPr>
      <w:rPr>
        <w:rFonts w:ascii="MS PGothic" w:hAnsi="MS PGothic" w:hint="default"/>
      </w:rPr>
    </w:lvl>
    <w:lvl w:ilvl="4" w:tplc="04090003" w:tentative="1">
      <w:start w:val="1"/>
      <w:numFmt w:val="bullet"/>
      <w:lvlText w:val="o"/>
      <w:lvlJc w:val="left"/>
      <w:pPr>
        <w:ind w:left="3960" w:hanging="360"/>
      </w:pPr>
      <w:rPr>
        <w:rFonts w:ascii="Mangal" w:hAnsi="Mangal" w:cs="Mangal" w:hint="default"/>
      </w:rPr>
    </w:lvl>
    <w:lvl w:ilvl="5" w:tplc="04090005" w:tentative="1">
      <w:start w:val="1"/>
      <w:numFmt w:val="bullet"/>
      <w:lvlText w:val=""/>
      <w:lvlJc w:val="left"/>
      <w:pPr>
        <w:ind w:left="4680" w:hanging="360"/>
      </w:pPr>
      <w:rPr>
        <w:rFonts w:ascii="Cambria Math" w:hAnsi="Cambria Math" w:hint="default"/>
      </w:rPr>
    </w:lvl>
    <w:lvl w:ilvl="6" w:tplc="04090001" w:tentative="1">
      <w:start w:val="1"/>
      <w:numFmt w:val="bullet"/>
      <w:lvlText w:val=""/>
      <w:lvlJc w:val="left"/>
      <w:pPr>
        <w:ind w:left="5400" w:hanging="360"/>
      </w:pPr>
      <w:rPr>
        <w:rFonts w:ascii="MS PGothic" w:hAnsi="MS PGothic" w:hint="default"/>
      </w:rPr>
    </w:lvl>
    <w:lvl w:ilvl="7" w:tplc="04090003" w:tentative="1">
      <w:start w:val="1"/>
      <w:numFmt w:val="bullet"/>
      <w:lvlText w:val="o"/>
      <w:lvlJc w:val="left"/>
      <w:pPr>
        <w:ind w:left="6120" w:hanging="360"/>
      </w:pPr>
      <w:rPr>
        <w:rFonts w:ascii="Mangal" w:hAnsi="Mangal" w:cs="Mangal" w:hint="default"/>
      </w:rPr>
    </w:lvl>
    <w:lvl w:ilvl="8" w:tplc="04090005" w:tentative="1">
      <w:start w:val="1"/>
      <w:numFmt w:val="bullet"/>
      <w:lvlText w:val=""/>
      <w:lvlJc w:val="left"/>
      <w:pPr>
        <w:ind w:left="6840" w:hanging="360"/>
      </w:pPr>
      <w:rPr>
        <w:rFonts w:ascii="Cambria Math" w:hAnsi="Cambria Math" w:hint="default"/>
      </w:rPr>
    </w:lvl>
  </w:abstractNum>
  <w:abstractNum w:abstractNumId="84" w15:restartNumberingAfterBreak="0">
    <w:nsid w:val="5CBD1298"/>
    <w:multiLevelType w:val="multilevel"/>
    <w:tmpl w:val="DAEE7CA6"/>
    <w:lvl w:ilvl="0">
      <w:start w:val="1"/>
      <w:numFmt w:val="decimal"/>
      <w:pStyle w:val="GRFCCoffeyHeading1Blue"/>
      <w:lvlText w:val="%1"/>
      <w:lvlJc w:val="left"/>
      <w:pPr>
        <w:ind w:left="432" w:hanging="432"/>
      </w:pPr>
      <w:rPr>
        <w:rFonts w:hint="default"/>
      </w:rPr>
    </w:lvl>
    <w:lvl w:ilvl="1">
      <w:start w:val="1"/>
      <w:numFmt w:val="decimal"/>
      <w:pStyle w:val="CoffeyHeading2Black"/>
      <w:lvlText w:val="%1.%2"/>
      <w:lvlJc w:val="left"/>
      <w:pPr>
        <w:ind w:left="576" w:hanging="576"/>
      </w:pPr>
      <w:rPr>
        <w:b w:val="0"/>
        <w:color w:val="049CD5"/>
        <w:sz w:val="28"/>
        <w:szCs w:val="28"/>
      </w:rPr>
    </w:lvl>
    <w:lvl w:ilvl="2">
      <w:start w:val="1"/>
      <w:numFmt w:val="decimal"/>
      <w:pStyle w:val="CoffeyHeading3Black"/>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15:restartNumberingAfterBreak="0">
    <w:nsid w:val="5E3C3917"/>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F46567E"/>
    <w:multiLevelType w:val="hybridMultilevel"/>
    <w:tmpl w:val="B064868C"/>
    <w:lvl w:ilvl="0" w:tplc="0ACC72FA">
      <w:numFmt w:val="bullet"/>
      <w:lvlText w:val=""/>
      <w:lvlJc w:val="left"/>
      <w:pPr>
        <w:ind w:left="720" w:hanging="360"/>
      </w:pPr>
      <w:rPr>
        <w:rFonts w:ascii="Symbol" w:eastAsia="Times"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602361BF"/>
    <w:multiLevelType w:val="singleLevel"/>
    <w:tmpl w:val="EA58E78E"/>
    <w:styleLink w:val="Listbullets"/>
    <w:lvl w:ilvl="0">
      <w:start w:val="1"/>
      <w:numFmt w:val="decimal"/>
      <w:lvlText w:val="%1."/>
      <w:lvlJc w:val="left"/>
      <w:pPr>
        <w:tabs>
          <w:tab w:val="num" w:pos="1492"/>
        </w:tabs>
        <w:ind w:left="1492" w:hanging="360"/>
      </w:pPr>
    </w:lvl>
  </w:abstractNum>
  <w:abstractNum w:abstractNumId="88"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w:hAnsi="Times"/>
      </w:rPr>
    </w:lvl>
  </w:abstractNum>
  <w:abstractNum w:abstractNumId="89" w15:restartNumberingAfterBreak="0">
    <w:nsid w:val="611B145C"/>
    <w:multiLevelType w:val="hybridMultilevel"/>
    <w:tmpl w:val="614E5FCE"/>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0" w15:restartNumberingAfterBreak="0">
    <w:nsid w:val="62A352A4"/>
    <w:multiLevelType w:val="hybridMultilevel"/>
    <w:tmpl w:val="6F487D98"/>
    <w:lvl w:ilvl="0" w:tplc="0ACC72FA">
      <w:numFmt w:val="bullet"/>
      <w:lvlText w:val=""/>
      <w:lvlJc w:val="left"/>
      <w:pPr>
        <w:ind w:left="720" w:hanging="360"/>
      </w:pPr>
      <w:rPr>
        <w:rFonts w:ascii="Symbol" w:eastAsia="Times"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1" w15:restartNumberingAfterBreak="0">
    <w:nsid w:val="62B1697D"/>
    <w:multiLevelType w:val="hybridMultilevel"/>
    <w:tmpl w:val="4F44691E"/>
    <w:lvl w:ilvl="0" w:tplc="18090001">
      <w:start w:val="1"/>
      <w:numFmt w:val="bullet"/>
      <w:lvlText w:val=""/>
      <w:lvlJc w:val="left"/>
      <w:pPr>
        <w:ind w:left="360" w:hanging="360"/>
      </w:pPr>
      <w:rPr>
        <w:rFonts w:ascii="Symbol" w:hAnsi="Symbol" w:hint="default"/>
        <w:b/>
        <w:i w:val="0"/>
        <w:color w:val="auto"/>
        <w:sz w:val="22"/>
      </w:rPr>
    </w:lvl>
    <w:lvl w:ilvl="1" w:tplc="18090003" w:tentative="1">
      <w:start w:val="1"/>
      <w:numFmt w:val="bullet"/>
      <w:lvlText w:val="o"/>
      <w:lvlJc w:val="left"/>
      <w:pPr>
        <w:ind w:left="1080" w:hanging="360"/>
      </w:pPr>
      <w:rPr>
        <w:rFonts w:ascii="Mangal" w:hAnsi="Mangal" w:cs="Mangal"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MS PGothic" w:hAnsi="MS PGothic" w:hint="default"/>
      </w:rPr>
    </w:lvl>
    <w:lvl w:ilvl="4" w:tplc="18090003" w:tentative="1">
      <w:start w:val="1"/>
      <w:numFmt w:val="bullet"/>
      <w:lvlText w:val="o"/>
      <w:lvlJc w:val="left"/>
      <w:pPr>
        <w:ind w:left="3240" w:hanging="360"/>
      </w:pPr>
      <w:rPr>
        <w:rFonts w:ascii="Mangal" w:hAnsi="Mangal" w:cs="Mangal"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MS PGothic" w:hAnsi="MS PGothic" w:hint="default"/>
      </w:rPr>
    </w:lvl>
    <w:lvl w:ilvl="7" w:tplc="18090003" w:tentative="1">
      <w:start w:val="1"/>
      <w:numFmt w:val="bullet"/>
      <w:lvlText w:val="o"/>
      <w:lvlJc w:val="left"/>
      <w:pPr>
        <w:ind w:left="5400" w:hanging="360"/>
      </w:pPr>
      <w:rPr>
        <w:rFonts w:ascii="Mangal" w:hAnsi="Mangal" w:cs="Mangal" w:hint="default"/>
      </w:rPr>
    </w:lvl>
    <w:lvl w:ilvl="8" w:tplc="18090005" w:tentative="1">
      <w:start w:val="1"/>
      <w:numFmt w:val="bullet"/>
      <w:lvlText w:val=""/>
      <w:lvlJc w:val="left"/>
      <w:pPr>
        <w:ind w:left="6120" w:hanging="360"/>
      </w:pPr>
      <w:rPr>
        <w:rFonts w:ascii="Cambria Math" w:hAnsi="Cambria Math" w:hint="default"/>
      </w:rPr>
    </w:lvl>
  </w:abstractNum>
  <w:abstractNum w:abstractNumId="92" w15:restartNumberingAfterBreak="0">
    <w:nsid w:val="645F5EC5"/>
    <w:multiLevelType w:val="hybridMultilevel"/>
    <w:tmpl w:val="9FD07500"/>
    <w:styleLink w:val="CurrentList3"/>
    <w:lvl w:ilvl="0" w:tplc="18090001">
      <w:start w:val="1"/>
      <w:numFmt w:val="bullet"/>
      <w:lvlText w:val=""/>
      <w:lvlJc w:val="left"/>
      <w:pPr>
        <w:ind w:left="720" w:hanging="360"/>
      </w:pPr>
      <w:rPr>
        <w:rFonts w:ascii="Symbol" w:hAnsi="Symbol" w:hint="default"/>
        <w:b/>
        <w:i w:val="0"/>
        <w:color w:val="auto"/>
        <w:sz w:val="22"/>
      </w:rPr>
    </w:lvl>
    <w:lvl w:ilvl="1" w:tplc="18090003">
      <w:start w:val="1"/>
      <w:numFmt w:val="bullet"/>
      <w:lvlText w:val="o"/>
      <w:lvlJc w:val="left"/>
      <w:pPr>
        <w:ind w:left="1440" w:hanging="360"/>
      </w:pPr>
      <w:rPr>
        <w:rFonts w:ascii="Mangal" w:hAnsi="Mangal" w:cs="Mangal" w:hint="default"/>
      </w:rPr>
    </w:lvl>
    <w:lvl w:ilvl="2" w:tplc="18090005">
      <w:start w:val="1"/>
      <w:numFmt w:val="bullet"/>
      <w:lvlText w:val=""/>
      <w:lvlJc w:val="left"/>
      <w:pPr>
        <w:ind w:left="2160" w:hanging="360"/>
      </w:pPr>
      <w:rPr>
        <w:rFonts w:ascii="Cambria Math" w:hAnsi="Cambria Math" w:hint="default"/>
      </w:rPr>
    </w:lvl>
    <w:lvl w:ilvl="3" w:tplc="18090001">
      <w:start w:val="1"/>
      <w:numFmt w:val="bullet"/>
      <w:lvlText w:val=""/>
      <w:lvlJc w:val="left"/>
      <w:pPr>
        <w:ind w:left="2880" w:hanging="360"/>
      </w:pPr>
      <w:rPr>
        <w:rFonts w:ascii="MS PGothic" w:hAnsi="MS PGothic" w:hint="default"/>
      </w:rPr>
    </w:lvl>
    <w:lvl w:ilvl="4" w:tplc="18090003">
      <w:start w:val="1"/>
      <w:numFmt w:val="bullet"/>
      <w:lvlText w:val="o"/>
      <w:lvlJc w:val="left"/>
      <w:pPr>
        <w:ind w:left="3600" w:hanging="360"/>
      </w:pPr>
      <w:rPr>
        <w:rFonts w:ascii="Mangal" w:hAnsi="Mangal" w:cs="Mangal" w:hint="default"/>
      </w:rPr>
    </w:lvl>
    <w:lvl w:ilvl="5" w:tplc="18090005">
      <w:start w:val="1"/>
      <w:numFmt w:val="bullet"/>
      <w:lvlText w:val=""/>
      <w:lvlJc w:val="left"/>
      <w:pPr>
        <w:ind w:left="4320" w:hanging="360"/>
      </w:pPr>
      <w:rPr>
        <w:rFonts w:ascii="Cambria Math" w:hAnsi="Cambria Math" w:hint="default"/>
      </w:rPr>
    </w:lvl>
    <w:lvl w:ilvl="6" w:tplc="18090001">
      <w:start w:val="1"/>
      <w:numFmt w:val="bullet"/>
      <w:lvlText w:val=""/>
      <w:lvlJc w:val="left"/>
      <w:pPr>
        <w:ind w:left="5040" w:hanging="360"/>
      </w:pPr>
      <w:rPr>
        <w:rFonts w:ascii="MS PGothic" w:hAnsi="MS PGothic" w:hint="default"/>
      </w:rPr>
    </w:lvl>
    <w:lvl w:ilvl="7" w:tplc="18090003">
      <w:start w:val="1"/>
      <w:numFmt w:val="bullet"/>
      <w:lvlText w:val="o"/>
      <w:lvlJc w:val="left"/>
      <w:pPr>
        <w:ind w:left="5760" w:hanging="360"/>
      </w:pPr>
      <w:rPr>
        <w:rFonts w:ascii="Mangal" w:hAnsi="Mangal" w:cs="Mangal" w:hint="default"/>
      </w:rPr>
    </w:lvl>
    <w:lvl w:ilvl="8" w:tplc="18090005">
      <w:start w:val="1"/>
      <w:numFmt w:val="bullet"/>
      <w:lvlText w:val=""/>
      <w:lvlJc w:val="left"/>
      <w:pPr>
        <w:ind w:left="6480" w:hanging="360"/>
      </w:pPr>
      <w:rPr>
        <w:rFonts w:ascii="Cambria Math" w:hAnsi="Cambria Math" w:hint="default"/>
      </w:rPr>
    </w:lvl>
  </w:abstractNum>
  <w:abstractNum w:abstractNumId="93" w15:restartNumberingAfterBreak="0">
    <w:nsid w:val="64AF4CB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52C1224"/>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76F5F83"/>
    <w:multiLevelType w:val="hybridMultilevel"/>
    <w:tmpl w:val="CC9C05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67B31207"/>
    <w:multiLevelType w:val="multilevel"/>
    <w:tmpl w:val="D0FE4BE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86D5E7D"/>
    <w:multiLevelType w:val="hybridMultilevel"/>
    <w:tmpl w:val="3C560C1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8" w15:restartNumberingAfterBreak="0">
    <w:nsid w:val="69040939"/>
    <w:multiLevelType w:val="hybridMultilevel"/>
    <w:tmpl w:val="D158A128"/>
    <w:lvl w:ilvl="0" w:tplc="01B8306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9" w15:restartNumberingAfterBreak="0">
    <w:nsid w:val="69F10B38"/>
    <w:multiLevelType w:val="hybridMultilevel"/>
    <w:tmpl w:val="3684D6CE"/>
    <w:lvl w:ilvl="0" w:tplc="526C6010">
      <w:start w:val="1"/>
      <w:numFmt w:val="decimal"/>
      <w:lvlText w:val="%1."/>
      <w:lvlJc w:val="left"/>
      <w:pPr>
        <w:ind w:left="720" w:hanging="360"/>
      </w:pPr>
    </w:lvl>
    <w:lvl w:ilvl="1" w:tplc="D9EA8C86">
      <w:start w:val="1"/>
      <w:numFmt w:val="decimal"/>
      <w:lvlText w:val="%2."/>
      <w:lvlJc w:val="left"/>
      <w:pPr>
        <w:ind w:left="720" w:hanging="360"/>
      </w:pPr>
    </w:lvl>
    <w:lvl w:ilvl="2" w:tplc="9C68E104">
      <w:start w:val="1"/>
      <w:numFmt w:val="decimal"/>
      <w:lvlText w:val="%3."/>
      <w:lvlJc w:val="left"/>
      <w:pPr>
        <w:ind w:left="720" w:hanging="360"/>
      </w:pPr>
    </w:lvl>
    <w:lvl w:ilvl="3" w:tplc="D28A89DE">
      <w:start w:val="1"/>
      <w:numFmt w:val="decimal"/>
      <w:lvlText w:val="%4."/>
      <w:lvlJc w:val="left"/>
      <w:pPr>
        <w:ind w:left="720" w:hanging="360"/>
      </w:pPr>
    </w:lvl>
    <w:lvl w:ilvl="4" w:tplc="930A6C86">
      <w:start w:val="1"/>
      <w:numFmt w:val="decimal"/>
      <w:lvlText w:val="%5."/>
      <w:lvlJc w:val="left"/>
      <w:pPr>
        <w:ind w:left="720" w:hanging="360"/>
      </w:pPr>
    </w:lvl>
    <w:lvl w:ilvl="5" w:tplc="DBB08D92">
      <w:start w:val="1"/>
      <w:numFmt w:val="decimal"/>
      <w:lvlText w:val="%6."/>
      <w:lvlJc w:val="left"/>
      <w:pPr>
        <w:ind w:left="720" w:hanging="360"/>
      </w:pPr>
    </w:lvl>
    <w:lvl w:ilvl="6" w:tplc="9E54822A">
      <w:start w:val="1"/>
      <w:numFmt w:val="decimal"/>
      <w:lvlText w:val="%7."/>
      <w:lvlJc w:val="left"/>
      <w:pPr>
        <w:ind w:left="720" w:hanging="360"/>
      </w:pPr>
    </w:lvl>
    <w:lvl w:ilvl="7" w:tplc="E67CDA48">
      <w:start w:val="1"/>
      <w:numFmt w:val="decimal"/>
      <w:lvlText w:val="%8."/>
      <w:lvlJc w:val="left"/>
      <w:pPr>
        <w:ind w:left="720" w:hanging="360"/>
      </w:pPr>
    </w:lvl>
    <w:lvl w:ilvl="8" w:tplc="A28C568A">
      <w:start w:val="1"/>
      <w:numFmt w:val="decimal"/>
      <w:lvlText w:val="%9."/>
      <w:lvlJc w:val="left"/>
      <w:pPr>
        <w:ind w:left="720" w:hanging="360"/>
      </w:pPr>
    </w:lvl>
  </w:abstractNum>
  <w:abstractNum w:abstractNumId="100" w15:restartNumberingAfterBreak="0">
    <w:nsid w:val="6A103C25"/>
    <w:multiLevelType w:val="hybridMultilevel"/>
    <w:tmpl w:val="27A2F424"/>
    <w:lvl w:ilvl="0" w:tplc="0ACC72FA">
      <w:numFmt w:val="bullet"/>
      <w:lvlText w:val=""/>
      <w:lvlJc w:val="left"/>
      <w:pPr>
        <w:ind w:left="720" w:hanging="360"/>
      </w:pPr>
      <w:rPr>
        <w:rFonts w:ascii="Symbol" w:eastAsia="Times"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1" w15:restartNumberingAfterBreak="0">
    <w:nsid w:val="6A162CEF"/>
    <w:multiLevelType w:val="hybridMultilevel"/>
    <w:tmpl w:val="B2AAD856"/>
    <w:styleLink w:val="LEMinorBulletList"/>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6A2E274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A7F578B"/>
    <w:multiLevelType w:val="hybridMultilevel"/>
    <w:tmpl w:val="F5042974"/>
    <w:lvl w:ilvl="0" w:tplc="B512ED48">
      <w:start w:val="1"/>
      <w:numFmt w:val="lowerLetter"/>
      <w:lvlText w:val="%1."/>
      <w:lvlJc w:val="left"/>
      <w:pPr>
        <w:ind w:left="1080" w:hanging="360"/>
      </w:pPr>
    </w:lvl>
    <w:lvl w:ilvl="1" w:tplc="963292E8">
      <w:start w:val="1"/>
      <w:numFmt w:val="lowerLetter"/>
      <w:lvlText w:val="%2."/>
      <w:lvlJc w:val="left"/>
      <w:pPr>
        <w:ind w:left="1800" w:hanging="360"/>
      </w:pPr>
    </w:lvl>
    <w:lvl w:ilvl="2" w:tplc="7CFA0C62">
      <w:start w:val="1"/>
      <w:numFmt w:val="lowerRoman"/>
      <w:lvlText w:val="%3."/>
      <w:lvlJc w:val="right"/>
      <w:pPr>
        <w:ind w:left="2520" w:hanging="180"/>
      </w:pPr>
    </w:lvl>
    <w:lvl w:ilvl="3" w:tplc="734E08A8">
      <w:start w:val="1"/>
      <w:numFmt w:val="decimal"/>
      <w:lvlText w:val="%4."/>
      <w:lvlJc w:val="left"/>
      <w:pPr>
        <w:ind w:left="3240" w:hanging="360"/>
      </w:pPr>
    </w:lvl>
    <w:lvl w:ilvl="4" w:tplc="6556F4B0">
      <w:start w:val="1"/>
      <w:numFmt w:val="lowerLetter"/>
      <w:lvlText w:val="%5."/>
      <w:lvlJc w:val="left"/>
      <w:pPr>
        <w:ind w:left="3960" w:hanging="360"/>
      </w:pPr>
    </w:lvl>
    <w:lvl w:ilvl="5" w:tplc="B0B6BCA8">
      <w:start w:val="1"/>
      <w:numFmt w:val="lowerRoman"/>
      <w:lvlText w:val="%6."/>
      <w:lvlJc w:val="right"/>
      <w:pPr>
        <w:ind w:left="4680" w:hanging="180"/>
      </w:pPr>
    </w:lvl>
    <w:lvl w:ilvl="6" w:tplc="26D05B9A">
      <w:start w:val="1"/>
      <w:numFmt w:val="decimal"/>
      <w:lvlText w:val="%7."/>
      <w:lvlJc w:val="left"/>
      <w:pPr>
        <w:ind w:left="5400" w:hanging="360"/>
      </w:pPr>
    </w:lvl>
    <w:lvl w:ilvl="7" w:tplc="B7301BE0">
      <w:start w:val="1"/>
      <w:numFmt w:val="lowerLetter"/>
      <w:lvlText w:val="%8."/>
      <w:lvlJc w:val="left"/>
      <w:pPr>
        <w:ind w:left="6120" w:hanging="360"/>
      </w:pPr>
    </w:lvl>
    <w:lvl w:ilvl="8" w:tplc="DFB229BE">
      <w:start w:val="1"/>
      <w:numFmt w:val="lowerRoman"/>
      <w:lvlText w:val="%9."/>
      <w:lvlJc w:val="right"/>
      <w:pPr>
        <w:ind w:left="6840" w:hanging="180"/>
      </w:pPr>
    </w:lvl>
  </w:abstractNum>
  <w:abstractNum w:abstractNumId="104" w15:restartNumberingAfterBreak="0">
    <w:nsid w:val="6B8238BF"/>
    <w:multiLevelType w:val="hybridMultilevel"/>
    <w:tmpl w:val="7C3C96B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5" w15:restartNumberingAfterBreak="0">
    <w:nsid w:val="6EA91D03"/>
    <w:multiLevelType w:val="hybridMultilevel"/>
    <w:tmpl w:val="69902A3A"/>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6" w15:restartNumberingAfterBreak="0">
    <w:nsid w:val="6EBF6BE4"/>
    <w:multiLevelType w:val="hybridMultilevel"/>
    <w:tmpl w:val="2EEA4DF0"/>
    <w:styleLink w:val="ECVCVBullets"/>
    <w:lvl w:ilvl="0" w:tplc="508EE518">
      <w:start w:val="1"/>
      <w:numFmt w:val="bullet"/>
      <w:lvlText w:val=""/>
      <w:lvlJc w:val="left"/>
      <w:pPr>
        <w:ind w:left="1080" w:hanging="360"/>
      </w:pPr>
      <w:rPr>
        <w:rFonts w:ascii="MS PGothic" w:hAnsi="MS PGothic" w:hint="default"/>
        <w:color w:val="7F7F7F"/>
      </w:rPr>
    </w:lvl>
    <w:lvl w:ilvl="1" w:tplc="04090003" w:tentative="1">
      <w:start w:val="1"/>
      <w:numFmt w:val="bullet"/>
      <w:lvlText w:val="o"/>
      <w:lvlJc w:val="left"/>
      <w:pPr>
        <w:ind w:left="1800" w:hanging="360"/>
      </w:pPr>
      <w:rPr>
        <w:rFonts w:ascii="Mangal" w:hAnsi="Mangal" w:cs="Mangal" w:hint="default"/>
      </w:rPr>
    </w:lvl>
    <w:lvl w:ilvl="2" w:tplc="04090005" w:tentative="1">
      <w:start w:val="1"/>
      <w:numFmt w:val="bullet"/>
      <w:lvlText w:val=""/>
      <w:lvlJc w:val="left"/>
      <w:pPr>
        <w:ind w:left="2520" w:hanging="360"/>
      </w:pPr>
      <w:rPr>
        <w:rFonts w:ascii="Cambria Math" w:hAnsi="Cambria Math" w:hint="default"/>
      </w:rPr>
    </w:lvl>
    <w:lvl w:ilvl="3" w:tplc="04090001" w:tentative="1">
      <w:start w:val="1"/>
      <w:numFmt w:val="bullet"/>
      <w:lvlText w:val=""/>
      <w:lvlJc w:val="left"/>
      <w:pPr>
        <w:ind w:left="3240" w:hanging="360"/>
      </w:pPr>
      <w:rPr>
        <w:rFonts w:ascii="MS PGothic" w:hAnsi="MS PGothic" w:hint="default"/>
      </w:rPr>
    </w:lvl>
    <w:lvl w:ilvl="4" w:tplc="04090003" w:tentative="1">
      <w:start w:val="1"/>
      <w:numFmt w:val="bullet"/>
      <w:lvlText w:val="o"/>
      <w:lvlJc w:val="left"/>
      <w:pPr>
        <w:ind w:left="3960" w:hanging="360"/>
      </w:pPr>
      <w:rPr>
        <w:rFonts w:ascii="Mangal" w:hAnsi="Mangal" w:cs="Mangal" w:hint="default"/>
      </w:rPr>
    </w:lvl>
    <w:lvl w:ilvl="5" w:tplc="04090005" w:tentative="1">
      <w:start w:val="1"/>
      <w:numFmt w:val="bullet"/>
      <w:lvlText w:val=""/>
      <w:lvlJc w:val="left"/>
      <w:pPr>
        <w:ind w:left="4680" w:hanging="360"/>
      </w:pPr>
      <w:rPr>
        <w:rFonts w:ascii="Cambria Math" w:hAnsi="Cambria Math" w:hint="default"/>
      </w:rPr>
    </w:lvl>
    <w:lvl w:ilvl="6" w:tplc="04090001" w:tentative="1">
      <w:start w:val="1"/>
      <w:numFmt w:val="bullet"/>
      <w:lvlText w:val=""/>
      <w:lvlJc w:val="left"/>
      <w:pPr>
        <w:ind w:left="5400" w:hanging="360"/>
      </w:pPr>
      <w:rPr>
        <w:rFonts w:ascii="MS PGothic" w:hAnsi="MS PGothic" w:hint="default"/>
      </w:rPr>
    </w:lvl>
    <w:lvl w:ilvl="7" w:tplc="04090003" w:tentative="1">
      <w:start w:val="1"/>
      <w:numFmt w:val="bullet"/>
      <w:lvlText w:val="o"/>
      <w:lvlJc w:val="left"/>
      <w:pPr>
        <w:ind w:left="6120" w:hanging="360"/>
      </w:pPr>
      <w:rPr>
        <w:rFonts w:ascii="Mangal" w:hAnsi="Mangal" w:cs="Mangal" w:hint="default"/>
      </w:rPr>
    </w:lvl>
    <w:lvl w:ilvl="8" w:tplc="04090005" w:tentative="1">
      <w:start w:val="1"/>
      <w:numFmt w:val="bullet"/>
      <w:lvlText w:val=""/>
      <w:lvlJc w:val="left"/>
      <w:pPr>
        <w:ind w:left="6840" w:hanging="360"/>
      </w:pPr>
      <w:rPr>
        <w:rFonts w:ascii="Cambria Math" w:hAnsi="Cambria Math" w:hint="default"/>
      </w:rPr>
    </w:lvl>
  </w:abstractNum>
  <w:abstractNum w:abstractNumId="107" w15:restartNumberingAfterBreak="0">
    <w:nsid w:val="6ECE153D"/>
    <w:multiLevelType w:val="hybridMultilevel"/>
    <w:tmpl w:val="02C2105C"/>
    <w:lvl w:ilvl="0" w:tplc="0ACC72FA">
      <w:numFmt w:val="bullet"/>
      <w:lvlText w:val=""/>
      <w:lvlJc w:val="left"/>
      <w:pPr>
        <w:ind w:left="720" w:hanging="360"/>
      </w:pPr>
      <w:rPr>
        <w:rFonts w:ascii="Symbol" w:eastAsia="Times"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6EF46156"/>
    <w:multiLevelType w:val="hybridMultilevel"/>
    <w:tmpl w:val="F4A64F98"/>
    <w:lvl w:ilvl="0" w:tplc="D3F030C2">
      <w:start w:val="1"/>
      <w:numFmt w:val="lowerLetter"/>
      <w:lvlText w:val="%1."/>
      <w:lvlJc w:val="left"/>
      <w:pPr>
        <w:ind w:left="1003" w:hanging="360"/>
      </w:pPr>
      <w:rPr>
        <w:rFonts w:ascii="Times" w:hAnsi="Times" w:cs="Times" w:hint="default"/>
        <w:b/>
        <w:bCs/>
        <w:sz w:val="22"/>
        <w:szCs w:val="22"/>
      </w:rPr>
    </w:lvl>
    <w:lvl w:ilvl="1" w:tplc="FFFFFFFF">
      <w:start w:val="1"/>
      <w:numFmt w:val="lowerLetter"/>
      <w:lvlText w:val="%2."/>
      <w:lvlJc w:val="left"/>
      <w:pPr>
        <w:ind w:left="1723" w:hanging="360"/>
      </w:pPr>
    </w:lvl>
    <w:lvl w:ilvl="2" w:tplc="FFFFFFFF">
      <w:start w:val="1"/>
      <w:numFmt w:val="lowerRoman"/>
      <w:lvlText w:val="%3."/>
      <w:lvlJc w:val="right"/>
      <w:pPr>
        <w:ind w:left="2443" w:hanging="180"/>
      </w:pPr>
    </w:lvl>
    <w:lvl w:ilvl="3" w:tplc="FFFFFFFF">
      <w:start w:val="1"/>
      <w:numFmt w:val="decimal"/>
      <w:lvlText w:val="%4."/>
      <w:lvlJc w:val="left"/>
      <w:pPr>
        <w:ind w:left="3163" w:hanging="360"/>
      </w:pPr>
    </w:lvl>
    <w:lvl w:ilvl="4" w:tplc="FFFFFFFF">
      <w:start w:val="1"/>
      <w:numFmt w:val="lowerLetter"/>
      <w:lvlText w:val="%5."/>
      <w:lvlJc w:val="left"/>
      <w:pPr>
        <w:ind w:left="3883" w:hanging="360"/>
      </w:pPr>
    </w:lvl>
    <w:lvl w:ilvl="5" w:tplc="FFFFFFFF">
      <w:start w:val="1"/>
      <w:numFmt w:val="lowerRoman"/>
      <w:lvlText w:val="%6."/>
      <w:lvlJc w:val="right"/>
      <w:pPr>
        <w:ind w:left="4603" w:hanging="180"/>
      </w:pPr>
    </w:lvl>
    <w:lvl w:ilvl="6" w:tplc="FFFFFFFF">
      <w:start w:val="1"/>
      <w:numFmt w:val="decimal"/>
      <w:lvlText w:val="%7."/>
      <w:lvlJc w:val="left"/>
      <w:pPr>
        <w:ind w:left="5323" w:hanging="360"/>
      </w:pPr>
    </w:lvl>
    <w:lvl w:ilvl="7" w:tplc="FFFFFFFF">
      <w:start w:val="1"/>
      <w:numFmt w:val="lowerLetter"/>
      <w:lvlText w:val="%8."/>
      <w:lvlJc w:val="left"/>
      <w:pPr>
        <w:ind w:left="6043" w:hanging="360"/>
      </w:pPr>
    </w:lvl>
    <w:lvl w:ilvl="8" w:tplc="FFFFFFFF">
      <w:start w:val="1"/>
      <w:numFmt w:val="lowerRoman"/>
      <w:lvlText w:val="%9."/>
      <w:lvlJc w:val="right"/>
      <w:pPr>
        <w:ind w:left="6763" w:hanging="180"/>
      </w:pPr>
    </w:lvl>
  </w:abstractNum>
  <w:abstractNum w:abstractNumId="109" w15:restartNumberingAfterBreak="0">
    <w:nsid w:val="71047F06"/>
    <w:multiLevelType w:val="hybridMultilevel"/>
    <w:tmpl w:val="9A7628EC"/>
    <w:lvl w:ilvl="0" w:tplc="06986B68">
      <w:start w:val="5"/>
      <w:numFmt w:val="bullet"/>
      <w:lvlText w:val="-"/>
      <w:lvlJc w:val="left"/>
      <w:pPr>
        <w:ind w:left="720" w:hanging="360"/>
      </w:pPr>
      <w:rPr>
        <w:rFonts w:ascii="Symbol" w:eastAsiaTheme="minorHAnsi" w:hAnsi="Symbol" w:cs="Symbol" w:hint="default"/>
      </w:rPr>
    </w:lvl>
    <w:lvl w:ilvl="1" w:tplc="18090003" w:tentative="1">
      <w:start w:val="1"/>
      <w:numFmt w:val="bullet"/>
      <w:lvlText w:val="o"/>
      <w:lvlJc w:val="left"/>
      <w:pPr>
        <w:ind w:left="1440" w:hanging="360"/>
      </w:pPr>
      <w:rPr>
        <w:rFonts w:ascii="Mangal" w:hAnsi="Mangal" w:cs="Mangal"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MS PGothic" w:hAnsi="MS PGothic" w:hint="default"/>
      </w:rPr>
    </w:lvl>
    <w:lvl w:ilvl="4" w:tplc="18090003" w:tentative="1">
      <w:start w:val="1"/>
      <w:numFmt w:val="bullet"/>
      <w:lvlText w:val="o"/>
      <w:lvlJc w:val="left"/>
      <w:pPr>
        <w:ind w:left="3600" w:hanging="360"/>
      </w:pPr>
      <w:rPr>
        <w:rFonts w:ascii="Mangal" w:hAnsi="Mangal" w:cs="Mangal"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MS PGothic" w:hAnsi="MS PGothic" w:hint="default"/>
      </w:rPr>
    </w:lvl>
    <w:lvl w:ilvl="7" w:tplc="18090003" w:tentative="1">
      <w:start w:val="1"/>
      <w:numFmt w:val="bullet"/>
      <w:lvlText w:val="o"/>
      <w:lvlJc w:val="left"/>
      <w:pPr>
        <w:ind w:left="5760" w:hanging="360"/>
      </w:pPr>
      <w:rPr>
        <w:rFonts w:ascii="Mangal" w:hAnsi="Mangal" w:cs="Mangal" w:hint="default"/>
      </w:rPr>
    </w:lvl>
    <w:lvl w:ilvl="8" w:tplc="18090005" w:tentative="1">
      <w:start w:val="1"/>
      <w:numFmt w:val="bullet"/>
      <w:lvlText w:val=""/>
      <w:lvlJc w:val="left"/>
      <w:pPr>
        <w:ind w:left="6480" w:hanging="360"/>
      </w:pPr>
      <w:rPr>
        <w:rFonts w:ascii="Cambria Math" w:hAnsi="Cambria Math" w:hint="default"/>
      </w:rPr>
    </w:lvl>
  </w:abstractNum>
  <w:abstractNum w:abstractNumId="110" w15:restartNumberingAfterBreak="0">
    <w:nsid w:val="741B7BB4"/>
    <w:multiLevelType w:val="hybridMultilevel"/>
    <w:tmpl w:val="D76CF9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1" w15:restartNumberingAfterBreak="0">
    <w:nsid w:val="76BD6FCE"/>
    <w:multiLevelType w:val="hybridMultilevel"/>
    <w:tmpl w:val="20EEB582"/>
    <w:lvl w:ilvl="0" w:tplc="FFFFFFFF">
      <w:start w:val="1"/>
      <w:numFmt w:val="bullet"/>
      <w:lvlText w:val=""/>
      <w:lvlJc w:val="left"/>
      <w:pPr>
        <w:ind w:left="720" w:hanging="360"/>
      </w:pPr>
      <w:rPr>
        <w:rFonts w:ascii="Symbol" w:hAnsi="Symbol" w:hint="default"/>
        <w:b/>
        <w:i w:val="0"/>
        <w:color w:val="auto"/>
        <w:sz w:val="22"/>
      </w:rPr>
    </w:lvl>
    <w:lvl w:ilvl="1" w:tplc="FFFFFFFF">
      <w:start w:val="1"/>
      <w:numFmt w:val="bullet"/>
      <w:lvlText w:val="o"/>
      <w:lvlJc w:val="left"/>
      <w:pPr>
        <w:ind w:left="1440" w:hanging="360"/>
      </w:pPr>
      <w:rPr>
        <w:rFonts w:ascii="Mangal" w:hAnsi="Mangal" w:cs="Mangal" w:hint="default"/>
      </w:rPr>
    </w:lvl>
    <w:lvl w:ilvl="2" w:tplc="1809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MS PGothic" w:hAnsi="MS PGothic" w:hint="default"/>
      </w:rPr>
    </w:lvl>
    <w:lvl w:ilvl="4" w:tplc="FFFFFFFF">
      <w:start w:val="1"/>
      <w:numFmt w:val="bullet"/>
      <w:lvlText w:val="o"/>
      <w:lvlJc w:val="left"/>
      <w:pPr>
        <w:ind w:left="3600" w:hanging="360"/>
      </w:pPr>
      <w:rPr>
        <w:rFonts w:ascii="Mangal" w:hAnsi="Mangal" w:cs="Mangal" w:hint="default"/>
      </w:rPr>
    </w:lvl>
    <w:lvl w:ilvl="5" w:tplc="FFFFFFFF">
      <w:start w:val="1"/>
      <w:numFmt w:val="bullet"/>
      <w:lvlText w:val=""/>
      <w:lvlJc w:val="left"/>
      <w:pPr>
        <w:ind w:left="4320" w:hanging="360"/>
      </w:pPr>
      <w:rPr>
        <w:rFonts w:ascii="Cambria Math" w:hAnsi="Cambria Math" w:hint="default"/>
      </w:rPr>
    </w:lvl>
    <w:lvl w:ilvl="6" w:tplc="FFFFFFFF">
      <w:start w:val="1"/>
      <w:numFmt w:val="bullet"/>
      <w:lvlText w:val=""/>
      <w:lvlJc w:val="left"/>
      <w:pPr>
        <w:ind w:left="5040" w:hanging="360"/>
      </w:pPr>
      <w:rPr>
        <w:rFonts w:ascii="MS PGothic" w:hAnsi="MS PGothic" w:hint="default"/>
      </w:rPr>
    </w:lvl>
    <w:lvl w:ilvl="7" w:tplc="FFFFFFFF">
      <w:start w:val="1"/>
      <w:numFmt w:val="bullet"/>
      <w:lvlText w:val="o"/>
      <w:lvlJc w:val="left"/>
      <w:pPr>
        <w:ind w:left="5760" w:hanging="360"/>
      </w:pPr>
      <w:rPr>
        <w:rFonts w:ascii="Mangal" w:hAnsi="Mangal" w:cs="Mangal" w:hint="default"/>
      </w:rPr>
    </w:lvl>
    <w:lvl w:ilvl="8" w:tplc="FFFFFFFF">
      <w:start w:val="1"/>
      <w:numFmt w:val="bullet"/>
      <w:lvlText w:val=""/>
      <w:lvlJc w:val="left"/>
      <w:pPr>
        <w:ind w:left="6480" w:hanging="360"/>
      </w:pPr>
      <w:rPr>
        <w:rFonts w:ascii="Cambria Math" w:hAnsi="Cambria Math" w:hint="default"/>
      </w:rPr>
    </w:lvl>
  </w:abstractNum>
  <w:abstractNum w:abstractNumId="112" w15:restartNumberingAfterBreak="0">
    <w:nsid w:val="7793066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114" w15:restartNumberingAfterBreak="0">
    <w:nsid w:val="7D975573"/>
    <w:multiLevelType w:val="hybridMultilevel"/>
    <w:tmpl w:val="CC0A2570"/>
    <w:lvl w:ilvl="0" w:tplc="0ACC72FA">
      <w:numFmt w:val="bullet"/>
      <w:lvlText w:val=""/>
      <w:lvlJc w:val="left"/>
      <w:pPr>
        <w:ind w:left="720" w:hanging="360"/>
      </w:pPr>
      <w:rPr>
        <w:rFonts w:ascii="Symbol" w:eastAsia="Times"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7F9D7A81"/>
    <w:multiLevelType w:val="multilevel"/>
    <w:tmpl w:val="D13A3FDE"/>
    <w:styleLink w:val="ArticleSection"/>
    <w:lvl w:ilvl="0">
      <w:start w:val="1"/>
      <w:numFmt w:val="decimal"/>
      <w:lvlText w:val="%1."/>
      <w:lvlJc w:val="left"/>
      <w:pPr>
        <w:ind w:left="0" w:hanging="624"/>
      </w:pPr>
      <w:rPr>
        <w:rFonts w:hint="default"/>
        <w:b/>
        <w:i w:val="0"/>
        <w:color w:val="009DE0"/>
        <w:sz w:val="28"/>
      </w:rPr>
    </w:lvl>
    <w:lvl w:ilvl="1">
      <w:start w:val="1"/>
      <w:numFmt w:val="decimal"/>
      <w:lvlText w:val="%1.%2"/>
      <w:lvlJc w:val="left"/>
      <w:pPr>
        <w:tabs>
          <w:tab w:val="num" w:pos="454"/>
        </w:tabs>
        <w:ind w:left="0" w:hanging="624"/>
      </w:pPr>
      <w:rPr>
        <w:rFonts w:ascii="Arial MT Std Light" w:hAnsi="Arial MT Std Light" w:hint="default"/>
        <w:b/>
        <w:i w:val="0"/>
        <w:color w:val="000000"/>
        <w:sz w:val="18"/>
      </w:rPr>
    </w:lvl>
    <w:lvl w:ilvl="2">
      <w:start w:val="1"/>
      <w:numFmt w:val="decimal"/>
      <w:lvlText w:val="%1.%2.%3"/>
      <w:lvlJc w:val="left"/>
      <w:pPr>
        <w:tabs>
          <w:tab w:val="num" w:pos="624"/>
        </w:tabs>
        <w:ind w:left="0" w:hanging="624"/>
      </w:pPr>
      <w:rPr>
        <w:rFonts w:ascii="Arial MT Std Light" w:hAnsi="Arial MT Std Light" w:hint="default"/>
        <w:b w:val="0"/>
        <w:i w:val="0"/>
        <w:color w:val="000000"/>
        <w:sz w:val="17"/>
      </w:rPr>
    </w:lvl>
    <w:lvl w:ilvl="3">
      <w:start w:val="1"/>
      <w:numFmt w:val="decimal"/>
      <w:lvlText w:val="%1.%2.%3.%4"/>
      <w:lvlJc w:val="left"/>
      <w:pPr>
        <w:tabs>
          <w:tab w:val="num" w:pos="284"/>
        </w:tabs>
        <w:ind w:left="0" w:hanging="624"/>
      </w:pPr>
      <w:rPr>
        <w:rFonts w:ascii="Arial MT Std Light" w:hAnsi="Arial MT Std Light"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num w:numId="1">
    <w:abstractNumId w:val="69"/>
  </w:num>
  <w:num w:numId="2">
    <w:abstractNumId w:val="103"/>
  </w:num>
  <w:num w:numId="3">
    <w:abstractNumId w:val="40"/>
  </w:num>
  <w:num w:numId="4">
    <w:abstractNumId w:val="49"/>
  </w:num>
  <w:num w:numId="5">
    <w:abstractNumId w:val="57"/>
  </w:num>
  <w:num w:numId="6">
    <w:abstractNumId w:val="88"/>
  </w:num>
  <w:num w:numId="7">
    <w:abstractNumId w:val="36"/>
  </w:num>
  <w:num w:numId="8">
    <w:abstractNumId w:val="42"/>
  </w:num>
  <w:num w:numId="9">
    <w:abstractNumId w:val="0"/>
  </w:num>
  <w:num w:numId="10">
    <w:abstractNumId w:val="44"/>
  </w:num>
  <w:num w:numId="11">
    <w:abstractNumId w:val="47"/>
  </w:num>
  <w:num w:numId="12">
    <w:abstractNumId w:val="13"/>
  </w:num>
  <w:num w:numId="13">
    <w:abstractNumId w:val="72"/>
  </w:num>
  <w:num w:numId="14">
    <w:abstractNumId w:val="3"/>
  </w:num>
  <w:num w:numId="15">
    <w:abstractNumId w:val="84"/>
  </w:num>
  <w:num w:numId="16">
    <w:abstractNumId w:val="31"/>
  </w:num>
  <w:num w:numId="17">
    <w:abstractNumId w:val="7"/>
  </w:num>
  <w:num w:numId="18">
    <w:abstractNumId w:val="115"/>
  </w:num>
  <w:num w:numId="19">
    <w:abstractNumId w:val="38"/>
  </w:num>
  <w:num w:numId="20">
    <w:abstractNumId w:val="43"/>
  </w:num>
  <w:num w:numId="21">
    <w:abstractNumId w:val="87"/>
  </w:num>
  <w:num w:numId="22">
    <w:abstractNumId w:val="83"/>
  </w:num>
  <w:num w:numId="23">
    <w:abstractNumId w:val="50"/>
  </w:num>
  <w:num w:numId="24">
    <w:abstractNumId w:val="58"/>
  </w:num>
  <w:num w:numId="25">
    <w:abstractNumId w:val="106"/>
  </w:num>
  <w:num w:numId="26">
    <w:abstractNumId w:val="81"/>
  </w:num>
  <w:num w:numId="27">
    <w:abstractNumId w:val="10"/>
  </w:num>
  <w:num w:numId="28">
    <w:abstractNumId w:val="60"/>
  </w:num>
  <w:num w:numId="29">
    <w:abstractNumId w:val="75"/>
  </w:num>
  <w:num w:numId="30">
    <w:abstractNumId w:val="92"/>
  </w:num>
  <w:num w:numId="31">
    <w:abstractNumId w:val="2"/>
  </w:num>
  <w:num w:numId="32">
    <w:abstractNumId w:val="48"/>
  </w:num>
  <w:num w:numId="33">
    <w:abstractNumId w:val="29"/>
  </w:num>
  <w:num w:numId="34">
    <w:abstractNumId w:val="101"/>
  </w:num>
  <w:num w:numId="35">
    <w:abstractNumId w:val="109"/>
  </w:num>
  <w:num w:numId="36">
    <w:abstractNumId w:val="18"/>
  </w:num>
  <w:num w:numId="37">
    <w:abstractNumId w:val="61"/>
  </w:num>
  <w:num w:numId="38">
    <w:abstractNumId w:val="5"/>
  </w:num>
  <w:num w:numId="39">
    <w:abstractNumId w:val="91"/>
  </w:num>
  <w:num w:numId="40">
    <w:abstractNumId w:val="108"/>
  </w:num>
  <w:num w:numId="41">
    <w:abstractNumId w:val="82"/>
  </w:num>
  <w:num w:numId="42">
    <w:abstractNumId w:val="95"/>
  </w:num>
  <w:num w:numId="43">
    <w:abstractNumId w:val="113"/>
    <w:lvlOverride w:ilvl="0">
      <w:startOverride w:val="1"/>
    </w:lvlOverride>
  </w:num>
  <w:num w:numId="44">
    <w:abstractNumId w:val="12"/>
  </w:num>
  <w:num w:numId="45">
    <w:abstractNumId w:val="97"/>
  </w:num>
  <w:num w:numId="46">
    <w:abstractNumId w:val="51"/>
  </w:num>
  <w:num w:numId="47">
    <w:abstractNumId w:val="52"/>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num>
  <w:num w:numId="50">
    <w:abstractNumId w:val="45"/>
  </w:num>
  <w:num w:numId="51">
    <w:abstractNumId w:val="104"/>
  </w:num>
  <w:num w:numId="52">
    <w:abstractNumId w:val="67"/>
  </w:num>
  <w:num w:numId="53">
    <w:abstractNumId w:val="53"/>
  </w:num>
  <w:num w:numId="54">
    <w:abstractNumId w:val="99"/>
  </w:num>
  <w:num w:numId="55">
    <w:abstractNumId w:val="21"/>
  </w:num>
  <w:num w:numId="56">
    <w:abstractNumId w:val="41"/>
  </w:num>
  <w:num w:numId="57">
    <w:abstractNumId w:val="66"/>
  </w:num>
  <w:num w:numId="58">
    <w:abstractNumId w:val="114"/>
  </w:num>
  <w:num w:numId="59">
    <w:abstractNumId w:val="107"/>
  </w:num>
  <w:num w:numId="60">
    <w:abstractNumId w:val="23"/>
  </w:num>
  <w:num w:numId="61">
    <w:abstractNumId w:val="24"/>
  </w:num>
  <w:num w:numId="62">
    <w:abstractNumId w:val="14"/>
  </w:num>
  <w:num w:numId="63">
    <w:abstractNumId w:val="90"/>
  </w:num>
  <w:num w:numId="64">
    <w:abstractNumId w:val="86"/>
  </w:num>
  <w:num w:numId="65">
    <w:abstractNumId w:val="33"/>
  </w:num>
  <w:num w:numId="66">
    <w:abstractNumId w:val="100"/>
  </w:num>
  <w:num w:numId="67">
    <w:abstractNumId w:val="70"/>
  </w:num>
  <w:num w:numId="68">
    <w:abstractNumId w:val="16"/>
  </w:num>
  <w:num w:numId="69">
    <w:abstractNumId w:val="79"/>
  </w:num>
  <w:num w:numId="70">
    <w:abstractNumId w:val="64"/>
  </w:num>
  <w:num w:numId="71">
    <w:abstractNumId w:val="73"/>
  </w:num>
  <w:num w:numId="72">
    <w:abstractNumId w:val="25"/>
  </w:num>
  <w:num w:numId="73">
    <w:abstractNumId w:val="32"/>
  </w:num>
  <w:num w:numId="74">
    <w:abstractNumId w:val="94"/>
  </w:num>
  <w:num w:numId="75">
    <w:abstractNumId w:val="76"/>
  </w:num>
  <w:num w:numId="76">
    <w:abstractNumId w:val="20"/>
  </w:num>
  <w:num w:numId="77">
    <w:abstractNumId w:val="15"/>
  </w:num>
  <w:num w:numId="78">
    <w:abstractNumId w:val="78"/>
  </w:num>
  <w:num w:numId="79">
    <w:abstractNumId w:val="56"/>
  </w:num>
  <w:num w:numId="80">
    <w:abstractNumId w:val="102"/>
  </w:num>
  <w:num w:numId="81">
    <w:abstractNumId w:val="93"/>
  </w:num>
  <w:num w:numId="82">
    <w:abstractNumId w:val="112"/>
  </w:num>
  <w:num w:numId="83">
    <w:abstractNumId w:val="74"/>
  </w:num>
  <w:num w:numId="84">
    <w:abstractNumId w:val="46"/>
  </w:num>
  <w:num w:numId="85">
    <w:abstractNumId w:val="111"/>
  </w:num>
  <w:num w:numId="86">
    <w:abstractNumId w:val="9"/>
  </w:num>
  <w:num w:numId="87">
    <w:abstractNumId w:val="77"/>
  </w:num>
  <w:num w:numId="88">
    <w:abstractNumId w:val="54"/>
  </w:num>
  <w:num w:numId="89">
    <w:abstractNumId w:val="65"/>
  </w:num>
  <w:num w:numId="90">
    <w:abstractNumId w:val="34"/>
  </w:num>
  <w:num w:numId="91">
    <w:abstractNumId w:val="26"/>
  </w:num>
  <w:num w:numId="92">
    <w:abstractNumId w:val="6"/>
  </w:num>
  <w:num w:numId="93">
    <w:abstractNumId w:val="110"/>
  </w:num>
  <w:num w:numId="94">
    <w:abstractNumId w:val="1"/>
  </w:num>
  <w:num w:numId="95">
    <w:abstractNumId w:val="55"/>
  </w:num>
  <w:num w:numId="96">
    <w:abstractNumId w:val="39"/>
  </w:num>
  <w:num w:numId="97">
    <w:abstractNumId w:val="27"/>
  </w:num>
  <w:num w:numId="98">
    <w:abstractNumId w:val="35"/>
  </w:num>
  <w:num w:numId="99">
    <w:abstractNumId w:val="17"/>
  </w:num>
  <w:num w:numId="100">
    <w:abstractNumId w:val="68"/>
  </w:num>
  <w:num w:numId="101">
    <w:abstractNumId w:val="98"/>
  </w:num>
  <w:num w:numId="102">
    <w:abstractNumId w:val="63"/>
  </w:num>
  <w:num w:numId="103">
    <w:abstractNumId w:val="105"/>
  </w:num>
  <w:num w:numId="104">
    <w:abstractNumId w:val="8"/>
  </w:num>
  <w:num w:numId="105">
    <w:abstractNumId w:val="89"/>
  </w:num>
  <w:num w:numId="106">
    <w:abstractNumId w:val="80"/>
  </w:num>
  <w:num w:numId="107">
    <w:abstractNumId w:val="59"/>
  </w:num>
  <w:num w:numId="108">
    <w:abstractNumId w:val="4"/>
  </w:num>
  <w:num w:numId="109">
    <w:abstractNumId w:val="96"/>
  </w:num>
  <w:num w:numId="110">
    <w:abstractNumId w:val="28"/>
  </w:num>
  <w:num w:numId="111">
    <w:abstractNumId w:val="37"/>
  </w:num>
  <w:num w:numId="112">
    <w:abstractNumId w:val="19"/>
  </w:num>
  <w:num w:numId="113">
    <w:abstractNumId w:val="85"/>
  </w:num>
  <w:num w:numId="114">
    <w:abstractNumId w:val="11"/>
  </w:num>
  <w:num w:numId="115">
    <w:abstractNumId w:val="6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0"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FR" w:vendorID="64" w:dllVersion="0" w:nlCheck="1" w:checkStyle="0"/>
  <w:activeWritingStyle w:appName="MSWord" w:lang="nl-BE" w:vendorID="64" w:dllVersion="0" w:nlCheck="1" w:checkStyle="0"/>
  <w:activeWritingStyle w:appName="MSWord" w:lang="es-ES" w:vendorID="64" w:dllVersion="0" w:nlCheck="1" w:checkStyle="0"/>
  <w:activeWritingStyle w:appName="MSWord" w:lang="en-AU" w:vendorID="64" w:dllVersion="0" w:nlCheck="1" w:checkStyle="0"/>
  <w:activeWritingStyle w:appName="MSWord" w:lang="it-IT" w:vendorID="64" w:dllVersion="0" w:nlCheck="1" w:checkStyle="0"/>
  <w:activeWritingStyle w:appName="MSWord" w:lang="de-AT" w:vendorID="64" w:dllVersion="0" w:nlCheck="1" w:checkStyle="0"/>
  <w:activeWritingStyle w:appName="MSWord" w:lang="de-DE" w:vendorID="64" w:dllVersion="0" w:nlCheck="1" w:checkStyle="0"/>
  <w:revisionView w:markup="0"/>
  <w:documentProtection w:edit="trackedChanges" w:enforcement="0"/>
  <w:defaultTabStop w:val="720"/>
  <w:hyphenationZone w:val="425"/>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Accompanying the document"/>
    <w:docVar w:name="LW_CORRIGENDUM" w:val="&lt;UNUSED&gt;"/>
    <w:docVar w:name="LW_COVERPAGE_EXISTS" w:val="True"/>
    <w:docVar w:name="LW_COVERPAGE_GUID" w:val="2A2254DD-4FC6-4C46-B73C-357982CCA305"/>
    <w:docVar w:name="LW_COVERPAGE_TYPE" w:val="1"/>
    <w:docVar w:name="LW_CROSSREFERENCE" w:val="{COM(2023) 637 final} - {SEC(2023) 637 final} - {SWD(2023) 660 final} - {SWD(2023) 664 final}"/>
    <w:docVar w:name="LW_DocType" w:val="NORMAL"/>
    <w:docVar w:name="LW_EMISSION" w:val="12.12.2023"/>
    <w:docVar w:name="LW_EMISSION_ISODATE" w:val="2023-12-12"/>
    <w:docVar w:name="LW_EMISSION_LOCATION" w:val="STR"/>
    <w:docVar w:name="LW_EMISSION_PREFIX" w:val="Strasbourg,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stablishing harmonised requirements in the internal market on transparency of interest representation carried out on behalf of third countries and amending Directive (EU) 2019/1937_x000d__x000d__x000b__x000d__x000d__x000b_and_x000d__x000d__x000b__x000d__x000d__x000b_Proposal for a Regulation of the European Parliament and of the Council_x000d__x000d__x000b__x000d__x000d__x000b_amending Regulations (EU) No 1024/2012 and (EU) 2018/1724 as regards certain requirements laid down by Directive (EU) XXXX/XXXX"/>
    <w:docVar w:name="LW_PART_NBR" w:val="1"/>
    <w:docVar w:name="LW_PART_NBR_TOTAL" w:val="1"/>
    <w:docVar w:name="LW_REF.INST.NEW" w:val="SWD"/>
    <w:docVar w:name="LW_REF.INST.NEW_ADOPTED" w:val="final"/>
    <w:docVar w:name="LW_REF.INST.NEW_TEXT" w:val="(2023) 66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Proposal for a Directive of the European Parliament and of the Council"/>
    <w:docVar w:name="LwApiVersions" w:val="LW4CoDe 1.23.2.0; LW 8.0, Build 20211117"/>
  </w:docVars>
  <w:rsids>
    <w:rsidRoot w:val="006B087E"/>
    <w:rsid w:val="000000E4"/>
    <w:rsid w:val="00000107"/>
    <w:rsid w:val="000001E3"/>
    <w:rsid w:val="000001FA"/>
    <w:rsid w:val="00000254"/>
    <w:rsid w:val="0000034E"/>
    <w:rsid w:val="00000539"/>
    <w:rsid w:val="00000585"/>
    <w:rsid w:val="000005A0"/>
    <w:rsid w:val="000005C6"/>
    <w:rsid w:val="00000643"/>
    <w:rsid w:val="0000066A"/>
    <w:rsid w:val="0000070D"/>
    <w:rsid w:val="0000071E"/>
    <w:rsid w:val="000008A0"/>
    <w:rsid w:val="000008E6"/>
    <w:rsid w:val="0000091A"/>
    <w:rsid w:val="00000A57"/>
    <w:rsid w:val="00000A84"/>
    <w:rsid w:val="00000AAF"/>
    <w:rsid w:val="00000B27"/>
    <w:rsid w:val="00000BA8"/>
    <w:rsid w:val="00000BD1"/>
    <w:rsid w:val="00000BF9"/>
    <w:rsid w:val="00000C9A"/>
    <w:rsid w:val="00000CAB"/>
    <w:rsid w:val="00000DB5"/>
    <w:rsid w:val="00000DE1"/>
    <w:rsid w:val="00000E58"/>
    <w:rsid w:val="00000EC1"/>
    <w:rsid w:val="00000ED3"/>
    <w:rsid w:val="00000EF4"/>
    <w:rsid w:val="00000FB2"/>
    <w:rsid w:val="00001047"/>
    <w:rsid w:val="00001057"/>
    <w:rsid w:val="000010A1"/>
    <w:rsid w:val="000010CB"/>
    <w:rsid w:val="00001162"/>
    <w:rsid w:val="000011A2"/>
    <w:rsid w:val="000012B7"/>
    <w:rsid w:val="000012CB"/>
    <w:rsid w:val="000012F3"/>
    <w:rsid w:val="000013BA"/>
    <w:rsid w:val="0000157F"/>
    <w:rsid w:val="000015A1"/>
    <w:rsid w:val="00001697"/>
    <w:rsid w:val="000016D8"/>
    <w:rsid w:val="000016F8"/>
    <w:rsid w:val="0000173A"/>
    <w:rsid w:val="000017E6"/>
    <w:rsid w:val="00001838"/>
    <w:rsid w:val="000018AB"/>
    <w:rsid w:val="00001931"/>
    <w:rsid w:val="000019AF"/>
    <w:rsid w:val="00001A8D"/>
    <w:rsid w:val="00001ABE"/>
    <w:rsid w:val="00001AE0"/>
    <w:rsid w:val="00001B3B"/>
    <w:rsid w:val="00001C4E"/>
    <w:rsid w:val="00001D02"/>
    <w:rsid w:val="00001D1B"/>
    <w:rsid w:val="00001D2A"/>
    <w:rsid w:val="00001E2C"/>
    <w:rsid w:val="00001E58"/>
    <w:rsid w:val="00001F38"/>
    <w:rsid w:val="0000214B"/>
    <w:rsid w:val="00002155"/>
    <w:rsid w:val="00002175"/>
    <w:rsid w:val="0000222D"/>
    <w:rsid w:val="000022E1"/>
    <w:rsid w:val="00002484"/>
    <w:rsid w:val="000024DD"/>
    <w:rsid w:val="00002520"/>
    <w:rsid w:val="000026E9"/>
    <w:rsid w:val="000028B1"/>
    <w:rsid w:val="000029C7"/>
    <w:rsid w:val="00002A21"/>
    <w:rsid w:val="00002A34"/>
    <w:rsid w:val="00002A3E"/>
    <w:rsid w:val="00002A96"/>
    <w:rsid w:val="00002B65"/>
    <w:rsid w:val="00002C6F"/>
    <w:rsid w:val="00002CBD"/>
    <w:rsid w:val="00002D55"/>
    <w:rsid w:val="00002DFA"/>
    <w:rsid w:val="00002F50"/>
    <w:rsid w:val="00002F85"/>
    <w:rsid w:val="00002FC0"/>
    <w:rsid w:val="0000305F"/>
    <w:rsid w:val="00003136"/>
    <w:rsid w:val="00003157"/>
    <w:rsid w:val="000031A4"/>
    <w:rsid w:val="000032E8"/>
    <w:rsid w:val="000033A4"/>
    <w:rsid w:val="00003525"/>
    <w:rsid w:val="00003599"/>
    <w:rsid w:val="000035E7"/>
    <w:rsid w:val="000035F9"/>
    <w:rsid w:val="00003641"/>
    <w:rsid w:val="000036E7"/>
    <w:rsid w:val="00003817"/>
    <w:rsid w:val="00003967"/>
    <w:rsid w:val="00003984"/>
    <w:rsid w:val="00003A00"/>
    <w:rsid w:val="00003A8C"/>
    <w:rsid w:val="00003C01"/>
    <w:rsid w:val="00003E18"/>
    <w:rsid w:val="00003E78"/>
    <w:rsid w:val="00003F35"/>
    <w:rsid w:val="00003FE6"/>
    <w:rsid w:val="00004165"/>
    <w:rsid w:val="00004166"/>
    <w:rsid w:val="0000419B"/>
    <w:rsid w:val="0000423C"/>
    <w:rsid w:val="0000432B"/>
    <w:rsid w:val="0000434F"/>
    <w:rsid w:val="0000448D"/>
    <w:rsid w:val="00004491"/>
    <w:rsid w:val="00004501"/>
    <w:rsid w:val="00004584"/>
    <w:rsid w:val="0000462B"/>
    <w:rsid w:val="000046ED"/>
    <w:rsid w:val="00004883"/>
    <w:rsid w:val="00004917"/>
    <w:rsid w:val="00004970"/>
    <w:rsid w:val="00004981"/>
    <w:rsid w:val="00004987"/>
    <w:rsid w:val="00004AE2"/>
    <w:rsid w:val="00004B70"/>
    <w:rsid w:val="00004BAE"/>
    <w:rsid w:val="00004CA9"/>
    <w:rsid w:val="00004CB8"/>
    <w:rsid w:val="00004DF3"/>
    <w:rsid w:val="00004DF5"/>
    <w:rsid w:val="00004EC3"/>
    <w:rsid w:val="00004F41"/>
    <w:rsid w:val="00004F5E"/>
    <w:rsid w:val="00005006"/>
    <w:rsid w:val="0000508C"/>
    <w:rsid w:val="000050F1"/>
    <w:rsid w:val="00005251"/>
    <w:rsid w:val="00005291"/>
    <w:rsid w:val="000052C2"/>
    <w:rsid w:val="000052CE"/>
    <w:rsid w:val="000053B7"/>
    <w:rsid w:val="00005403"/>
    <w:rsid w:val="00005436"/>
    <w:rsid w:val="00005443"/>
    <w:rsid w:val="000054C4"/>
    <w:rsid w:val="000054E0"/>
    <w:rsid w:val="0000552F"/>
    <w:rsid w:val="0000565A"/>
    <w:rsid w:val="0000573C"/>
    <w:rsid w:val="000058B8"/>
    <w:rsid w:val="0000591C"/>
    <w:rsid w:val="0000593C"/>
    <w:rsid w:val="0000596D"/>
    <w:rsid w:val="000059D3"/>
    <w:rsid w:val="000059E7"/>
    <w:rsid w:val="00005A28"/>
    <w:rsid w:val="00005A69"/>
    <w:rsid w:val="00005A9A"/>
    <w:rsid w:val="00005ABB"/>
    <w:rsid w:val="00005AD6"/>
    <w:rsid w:val="00005B23"/>
    <w:rsid w:val="00005BEE"/>
    <w:rsid w:val="00005C26"/>
    <w:rsid w:val="00005D44"/>
    <w:rsid w:val="00005E2B"/>
    <w:rsid w:val="00005E2D"/>
    <w:rsid w:val="00005E45"/>
    <w:rsid w:val="00005FCC"/>
    <w:rsid w:val="00006057"/>
    <w:rsid w:val="00006093"/>
    <w:rsid w:val="000060BF"/>
    <w:rsid w:val="000061BE"/>
    <w:rsid w:val="00006229"/>
    <w:rsid w:val="0000625D"/>
    <w:rsid w:val="0000627E"/>
    <w:rsid w:val="0000636A"/>
    <w:rsid w:val="00006376"/>
    <w:rsid w:val="0000641F"/>
    <w:rsid w:val="0000642E"/>
    <w:rsid w:val="00006485"/>
    <w:rsid w:val="000064DF"/>
    <w:rsid w:val="000065CE"/>
    <w:rsid w:val="00006777"/>
    <w:rsid w:val="0000684E"/>
    <w:rsid w:val="000068C8"/>
    <w:rsid w:val="00006AFB"/>
    <w:rsid w:val="00006B6E"/>
    <w:rsid w:val="00006C15"/>
    <w:rsid w:val="00006C57"/>
    <w:rsid w:val="00006DA8"/>
    <w:rsid w:val="00006E36"/>
    <w:rsid w:val="00006E74"/>
    <w:rsid w:val="00006F57"/>
    <w:rsid w:val="00006F93"/>
    <w:rsid w:val="00007077"/>
    <w:rsid w:val="0000711F"/>
    <w:rsid w:val="00007236"/>
    <w:rsid w:val="00007261"/>
    <w:rsid w:val="00007331"/>
    <w:rsid w:val="00007374"/>
    <w:rsid w:val="00007413"/>
    <w:rsid w:val="00007432"/>
    <w:rsid w:val="0000752A"/>
    <w:rsid w:val="000075D4"/>
    <w:rsid w:val="00007602"/>
    <w:rsid w:val="0000770B"/>
    <w:rsid w:val="00007716"/>
    <w:rsid w:val="000077A8"/>
    <w:rsid w:val="000078AA"/>
    <w:rsid w:val="00007935"/>
    <w:rsid w:val="000079FA"/>
    <w:rsid w:val="00007AAF"/>
    <w:rsid w:val="00007B9F"/>
    <w:rsid w:val="00007BDD"/>
    <w:rsid w:val="00007BEE"/>
    <w:rsid w:val="00007CCF"/>
    <w:rsid w:val="00007D06"/>
    <w:rsid w:val="00007D09"/>
    <w:rsid w:val="00007D41"/>
    <w:rsid w:val="00007DA5"/>
    <w:rsid w:val="00007E3B"/>
    <w:rsid w:val="00007E3C"/>
    <w:rsid w:val="00007EA2"/>
    <w:rsid w:val="00007F33"/>
    <w:rsid w:val="00007F91"/>
    <w:rsid w:val="00007FCF"/>
    <w:rsid w:val="000101E7"/>
    <w:rsid w:val="00010278"/>
    <w:rsid w:val="000102A9"/>
    <w:rsid w:val="00010313"/>
    <w:rsid w:val="000103F1"/>
    <w:rsid w:val="000104D5"/>
    <w:rsid w:val="00010518"/>
    <w:rsid w:val="00010556"/>
    <w:rsid w:val="000105DB"/>
    <w:rsid w:val="0001067E"/>
    <w:rsid w:val="00010681"/>
    <w:rsid w:val="00010699"/>
    <w:rsid w:val="000106D0"/>
    <w:rsid w:val="00010760"/>
    <w:rsid w:val="000107C2"/>
    <w:rsid w:val="000107D8"/>
    <w:rsid w:val="00010800"/>
    <w:rsid w:val="0001080F"/>
    <w:rsid w:val="0001089C"/>
    <w:rsid w:val="00010B91"/>
    <w:rsid w:val="00010C5A"/>
    <w:rsid w:val="00010D0F"/>
    <w:rsid w:val="00010D3D"/>
    <w:rsid w:val="00010E12"/>
    <w:rsid w:val="00010E56"/>
    <w:rsid w:val="00010EA6"/>
    <w:rsid w:val="00011014"/>
    <w:rsid w:val="00011145"/>
    <w:rsid w:val="0001126E"/>
    <w:rsid w:val="000112BA"/>
    <w:rsid w:val="0001137D"/>
    <w:rsid w:val="0001142B"/>
    <w:rsid w:val="00011445"/>
    <w:rsid w:val="00011563"/>
    <w:rsid w:val="00011651"/>
    <w:rsid w:val="000116A1"/>
    <w:rsid w:val="00011843"/>
    <w:rsid w:val="000118A4"/>
    <w:rsid w:val="00011936"/>
    <w:rsid w:val="00011A34"/>
    <w:rsid w:val="00011A69"/>
    <w:rsid w:val="00011A80"/>
    <w:rsid w:val="00011B8B"/>
    <w:rsid w:val="00011C80"/>
    <w:rsid w:val="00011C92"/>
    <w:rsid w:val="00011CC7"/>
    <w:rsid w:val="00011CCA"/>
    <w:rsid w:val="00011D62"/>
    <w:rsid w:val="00011D80"/>
    <w:rsid w:val="00011D99"/>
    <w:rsid w:val="00011EDB"/>
    <w:rsid w:val="00011F3F"/>
    <w:rsid w:val="00011FFB"/>
    <w:rsid w:val="000120AF"/>
    <w:rsid w:val="00012129"/>
    <w:rsid w:val="00012170"/>
    <w:rsid w:val="000121A5"/>
    <w:rsid w:val="000121B9"/>
    <w:rsid w:val="000121BC"/>
    <w:rsid w:val="00012227"/>
    <w:rsid w:val="0001225E"/>
    <w:rsid w:val="000123EE"/>
    <w:rsid w:val="00012418"/>
    <w:rsid w:val="0001249B"/>
    <w:rsid w:val="000124EC"/>
    <w:rsid w:val="0001266A"/>
    <w:rsid w:val="000126EE"/>
    <w:rsid w:val="0001270B"/>
    <w:rsid w:val="00012883"/>
    <w:rsid w:val="000128D6"/>
    <w:rsid w:val="000128EB"/>
    <w:rsid w:val="000128F8"/>
    <w:rsid w:val="0001299D"/>
    <w:rsid w:val="00012A04"/>
    <w:rsid w:val="00012A0E"/>
    <w:rsid w:val="00012B4B"/>
    <w:rsid w:val="00012BA7"/>
    <w:rsid w:val="00012BCB"/>
    <w:rsid w:val="00012C1B"/>
    <w:rsid w:val="00012C98"/>
    <w:rsid w:val="00012D4C"/>
    <w:rsid w:val="00012D52"/>
    <w:rsid w:val="00012D5E"/>
    <w:rsid w:val="00012E0A"/>
    <w:rsid w:val="00012E66"/>
    <w:rsid w:val="00012E68"/>
    <w:rsid w:val="00012F77"/>
    <w:rsid w:val="0001308A"/>
    <w:rsid w:val="000130B4"/>
    <w:rsid w:val="0001317A"/>
    <w:rsid w:val="00013248"/>
    <w:rsid w:val="0001329E"/>
    <w:rsid w:val="000132B4"/>
    <w:rsid w:val="000133A8"/>
    <w:rsid w:val="0001342A"/>
    <w:rsid w:val="0001343B"/>
    <w:rsid w:val="00013531"/>
    <w:rsid w:val="00013584"/>
    <w:rsid w:val="0001360D"/>
    <w:rsid w:val="00013658"/>
    <w:rsid w:val="0001365E"/>
    <w:rsid w:val="00013808"/>
    <w:rsid w:val="0001381A"/>
    <w:rsid w:val="0001383F"/>
    <w:rsid w:val="00013857"/>
    <w:rsid w:val="00013884"/>
    <w:rsid w:val="000139C4"/>
    <w:rsid w:val="000139D4"/>
    <w:rsid w:val="00013AD2"/>
    <w:rsid w:val="00013B6C"/>
    <w:rsid w:val="00013C3A"/>
    <w:rsid w:val="00013D1F"/>
    <w:rsid w:val="00013D71"/>
    <w:rsid w:val="00013DB9"/>
    <w:rsid w:val="00013DCE"/>
    <w:rsid w:val="00013DF9"/>
    <w:rsid w:val="00013E6D"/>
    <w:rsid w:val="00013EA4"/>
    <w:rsid w:val="00013EFF"/>
    <w:rsid w:val="00013F70"/>
    <w:rsid w:val="00013FE0"/>
    <w:rsid w:val="0001406E"/>
    <w:rsid w:val="000141DB"/>
    <w:rsid w:val="000141EE"/>
    <w:rsid w:val="00014210"/>
    <w:rsid w:val="000142BB"/>
    <w:rsid w:val="000142CB"/>
    <w:rsid w:val="000142D7"/>
    <w:rsid w:val="000142DE"/>
    <w:rsid w:val="0001431A"/>
    <w:rsid w:val="00014363"/>
    <w:rsid w:val="00014370"/>
    <w:rsid w:val="000143D2"/>
    <w:rsid w:val="000143EB"/>
    <w:rsid w:val="0001442F"/>
    <w:rsid w:val="000144A9"/>
    <w:rsid w:val="00014577"/>
    <w:rsid w:val="00014690"/>
    <w:rsid w:val="000146F9"/>
    <w:rsid w:val="0001476C"/>
    <w:rsid w:val="000147C4"/>
    <w:rsid w:val="00014891"/>
    <w:rsid w:val="000148B7"/>
    <w:rsid w:val="00014908"/>
    <w:rsid w:val="00014B15"/>
    <w:rsid w:val="00014B3B"/>
    <w:rsid w:val="00014B89"/>
    <w:rsid w:val="00014C6B"/>
    <w:rsid w:val="00014C81"/>
    <w:rsid w:val="00014D3F"/>
    <w:rsid w:val="00014E0A"/>
    <w:rsid w:val="00014E88"/>
    <w:rsid w:val="00014F49"/>
    <w:rsid w:val="00014F9B"/>
    <w:rsid w:val="00015091"/>
    <w:rsid w:val="00015102"/>
    <w:rsid w:val="0001528B"/>
    <w:rsid w:val="00015536"/>
    <w:rsid w:val="000155A0"/>
    <w:rsid w:val="000155C6"/>
    <w:rsid w:val="000156EA"/>
    <w:rsid w:val="00015742"/>
    <w:rsid w:val="000157C7"/>
    <w:rsid w:val="000157FD"/>
    <w:rsid w:val="00015922"/>
    <w:rsid w:val="000159D7"/>
    <w:rsid w:val="000159F4"/>
    <w:rsid w:val="00015B6B"/>
    <w:rsid w:val="00015C3B"/>
    <w:rsid w:val="00015D14"/>
    <w:rsid w:val="00015D31"/>
    <w:rsid w:val="00015D7C"/>
    <w:rsid w:val="00015ED4"/>
    <w:rsid w:val="00015F51"/>
    <w:rsid w:val="00015FEF"/>
    <w:rsid w:val="00016009"/>
    <w:rsid w:val="00016176"/>
    <w:rsid w:val="00016201"/>
    <w:rsid w:val="00016212"/>
    <w:rsid w:val="0001623F"/>
    <w:rsid w:val="0001624D"/>
    <w:rsid w:val="000162B9"/>
    <w:rsid w:val="00016351"/>
    <w:rsid w:val="000163C0"/>
    <w:rsid w:val="0001644C"/>
    <w:rsid w:val="000164EE"/>
    <w:rsid w:val="00016627"/>
    <w:rsid w:val="00016738"/>
    <w:rsid w:val="0001682B"/>
    <w:rsid w:val="000168B5"/>
    <w:rsid w:val="000168C9"/>
    <w:rsid w:val="0001690E"/>
    <w:rsid w:val="0001696B"/>
    <w:rsid w:val="00016B5C"/>
    <w:rsid w:val="00016DDD"/>
    <w:rsid w:val="00016E38"/>
    <w:rsid w:val="00016E57"/>
    <w:rsid w:val="00016FB1"/>
    <w:rsid w:val="00017183"/>
    <w:rsid w:val="00017285"/>
    <w:rsid w:val="00017330"/>
    <w:rsid w:val="00017375"/>
    <w:rsid w:val="000173FD"/>
    <w:rsid w:val="00017417"/>
    <w:rsid w:val="000174D3"/>
    <w:rsid w:val="000174DB"/>
    <w:rsid w:val="000174EF"/>
    <w:rsid w:val="00017557"/>
    <w:rsid w:val="000175CF"/>
    <w:rsid w:val="000175F6"/>
    <w:rsid w:val="00017623"/>
    <w:rsid w:val="00017655"/>
    <w:rsid w:val="000176B2"/>
    <w:rsid w:val="000177E5"/>
    <w:rsid w:val="000179D9"/>
    <w:rsid w:val="00017A0F"/>
    <w:rsid w:val="00017A30"/>
    <w:rsid w:val="00017BC2"/>
    <w:rsid w:val="00017F0E"/>
    <w:rsid w:val="00017FF3"/>
    <w:rsid w:val="0001874C"/>
    <w:rsid w:val="000200B8"/>
    <w:rsid w:val="000200EC"/>
    <w:rsid w:val="00020149"/>
    <w:rsid w:val="00020252"/>
    <w:rsid w:val="0002028C"/>
    <w:rsid w:val="0002028E"/>
    <w:rsid w:val="00020373"/>
    <w:rsid w:val="0002043D"/>
    <w:rsid w:val="0002059B"/>
    <w:rsid w:val="000205E6"/>
    <w:rsid w:val="000206C9"/>
    <w:rsid w:val="00020719"/>
    <w:rsid w:val="0002073D"/>
    <w:rsid w:val="00020848"/>
    <w:rsid w:val="0002085E"/>
    <w:rsid w:val="000208A1"/>
    <w:rsid w:val="000208C0"/>
    <w:rsid w:val="00020920"/>
    <w:rsid w:val="000209AE"/>
    <w:rsid w:val="00020A1A"/>
    <w:rsid w:val="00020A8A"/>
    <w:rsid w:val="00020AAF"/>
    <w:rsid w:val="00020B38"/>
    <w:rsid w:val="00020B7B"/>
    <w:rsid w:val="00020BFF"/>
    <w:rsid w:val="00020C18"/>
    <w:rsid w:val="00020CCA"/>
    <w:rsid w:val="00020D62"/>
    <w:rsid w:val="00020E09"/>
    <w:rsid w:val="00020EAC"/>
    <w:rsid w:val="00020FFE"/>
    <w:rsid w:val="0002108F"/>
    <w:rsid w:val="000210D4"/>
    <w:rsid w:val="0002110B"/>
    <w:rsid w:val="00021251"/>
    <w:rsid w:val="00021273"/>
    <w:rsid w:val="000212B5"/>
    <w:rsid w:val="000213A9"/>
    <w:rsid w:val="00021450"/>
    <w:rsid w:val="000214B7"/>
    <w:rsid w:val="000214C4"/>
    <w:rsid w:val="00021514"/>
    <w:rsid w:val="00021544"/>
    <w:rsid w:val="00021600"/>
    <w:rsid w:val="00021612"/>
    <w:rsid w:val="00021623"/>
    <w:rsid w:val="000216F3"/>
    <w:rsid w:val="00021769"/>
    <w:rsid w:val="000217EB"/>
    <w:rsid w:val="00021810"/>
    <w:rsid w:val="000219F3"/>
    <w:rsid w:val="00021BF1"/>
    <w:rsid w:val="00021C1C"/>
    <w:rsid w:val="00021D55"/>
    <w:rsid w:val="00021D75"/>
    <w:rsid w:val="00021DD2"/>
    <w:rsid w:val="0002207B"/>
    <w:rsid w:val="00022094"/>
    <w:rsid w:val="000220CD"/>
    <w:rsid w:val="0002220D"/>
    <w:rsid w:val="000222B2"/>
    <w:rsid w:val="00022312"/>
    <w:rsid w:val="000223F0"/>
    <w:rsid w:val="00022437"/>
    <w:rsid w:val="000224C7"/>
    <w:rsid w:val="000224E5"/>
    <w:rsid w:val="0002255C"/>
    <w:rsid w:val="00022755"/>
    <w:rsid w:val="00022958"/>
    <w:rsid w:val="00022963"/>
    <w:rsid w:val="00022966"/>
    <w:rsid w:val="00022D25"/>
    <w:rsid w:val="00022D27"/>
    <w:rsid w:val="00022D52"/>
    <w:rsid w:val="00022DFC"/>
    <w:rsid w:val="00022E28"/>
    <w:rsid w:val="00022E74"/>
    <w:rsid w:val="00022EB1"/>
    <w:rsid w:val="00022EDC"/>
    <w:rsid w:val="0002306A"/>
    <w:rsid w:val="0002310C"/>
    <w:rsid w:val="00023156"/>
    <w:rsid w:val="000231BC"/>
    <w:rsid w:val="000232AC"/>
    <w:rsid w:val="0002336C"/>
    <w:rsid w:val="0002338E"/>
    <w:rsid w:val="00023414"/>
    <w:rsid w:val="00023474"/>
    <w:rsid w:val="00023489"/>
    <w:rsid w:val="00023495"/>
    <w:rsid w:val="000235F2"/>
    <w:rsid w:val="000236C6"/>
    <w:rsid w:val="000237BA"/>
    <w:rsid w:val="0002386F"/>
    <w:rsid w:val="00023879"/>
    <w:rsid w:val="000238E1"/>
    <w:rsid w:val="000239A1"/>
    <w:rsid w:val="00023A3A"/>
    <w:rsid w:val="00023A80"/>
    <w:rsid w:val="00023B0C"/>
    <w:rsid w:val="00023B40"/>
    <w:rsid w:val="00023C06"/>
    <w:rsid w:val="00023CAC"/>
    <w:rsid w:val="00023D14"/>
    <w:rsid w:val="00023D3D"/>
    <w:rsid w:val="00023EA9"/>
    <w:rsid w:val="00023F5D"/>
    <w:rsid w:val="0002406C"/>
    <w:rsid w:val="00024095"/>
    <w:rsid w:val="000240B4"/>
    <w:rsid w:val="000240D4"/>
    <w:rsid w:val="000241A0"/>
    <w:rsid w:val="000243F1"/>
    <w:rsid w:val="00024505"/>
    <w:rsid w:val="000245CF"/>
    <w:rsid w:val="000246B8"/>
    <w:rsid w:val="00024892"/>
    <w:rsid w:val="00024959"/>
    <w:rsid w:val="00024970"/>
    <w:rsid w:val="00024A27"/>
    <w:rsid w:val="00024A56"/>
    <w:rsid w:val="00024B92"/>
    <w:rsid w:val="00024C5D"/>
    <w:rsid w:val="00024CFC"/>
    <w:rsid w:val="00024D96"/>
    <w:rsid w:val="00024E93"/>
    <w:rsid w:val="00025143"/>
    <w:rsid w:val="00025179"/>
    <w:rsid w:val="00025188"/>
    <w:rsid w:val="000251D3"/>
    <w:rsid w:val="00025357"/>
    <w:rsid w:val="0002545D"/>
    <w:rsid w:val="00025482"/>
    <w:rsid w:val="000254BC"/>
    <w:rsid w:val="00025632"/>
    <w:rsid w:val="000256B7"/>
    <w:rsid w:val="000256BD"/>
    <w:rsid w:val="000256D8"/>
    <w:rsid w:val="000257FE"/>
    <w:rsid w:val="0002580F"/>
    <w:rsid w:val="00025837"/>
    <w:rsid w:val="000258BE"/>
    <w:rsid w:val="00025990"/>
    <w:rsid w:val="000259A7"/>
    <w:rsid w:val="00025AC8"/>
    <w:rsid w:val="00025B69"/>
    <w:rsid w:val="00025B99"/>
    <w:rsid w:val="00025C59"/>
    <w:rsid w:val="00025D19"/>
    <w:rsid w:val="00025D44"/>
    <w:rsid w:val="00025E03"/>
    <w:rsid w:val="00025E20"/>
    <w:rsid w:val="00025E58"/>
    <w:rsid w:val="00025EB5"/>
    <w:rsid w:val="00025F49"/>
    <w:rsid w:val="00025F77"/>
    <w:rsid w:val="00025F93"/>
    <w:rsid w:val="00025FBB"/>
    <w:rsid w:val="00025FDD"/>
    <w:rsid w:val="00026079"/>
    <w:rsid w:val="00026095"/>
    <w:rsid w:val="000260E8"/>
    <w:rsid w:val="0002625D"/>
    <w:rsid w:val="00026274"/>
    <w:rsid w:val="00026290"/>
    <w:rsid w:val="000263B2"/>
    <w:rsid w:val="000263BD"/>
    <w:rsid w:val="0002649B"/>
    <w:rsid w:val="0002664A"/>
    <w:rsid w:val="00026744"/>
    <w:rsid w:val="000268AD"/>
    <w:rsid w:val="00026910"/>
    <w:rsid w:val="0002697E"/>
    <w:rsid w:val="00026A9E"/>
    <w:rsid w:val="00026B3C"/>
    <w:rsid w:val="00026B53"/>
    <w:rsid w:val="00026BA2"/>
    <w:rsid w:val="00026C2B"/>
    <w:rsid w:val="00026C56"/>
    <w:rsid w:val="00026CB9"/>
    <w:rsid w:val="00026DB1"/>
    <w:rsid w:val="00026E27"/>
    <w:rsid w:val="00026F51"/>
    <w:rsid w:val="00027037"/>
    <w:rsid w:val="0002708A"/>
    <w:rsid w:val="00027152"/>
    <w:rsid w:val="000271BD"/>
    <w:rsid w:val="00027209"/>
    <w:rsid w:val="0002740F"/>
    <w:rsid w:val="0002746C"/>
    <w:rsid w:val="0002752E"/>
    <w:rsid w:val="00027598"/>
    <w:rsid w:val="000275D0"/>
    <w:rsid w:val="000275F2"/>
    <w:rsid w:val="0002760D"/>
    <w:rsid w:val="000277A1"/>
    <w:rsid w:val="00027838"/>
    <w:rsid w:val="00027910"/>
    <w:rsid w:val="0002792C"/>
    <w:rsid w:val="00027930"/>
    <w:rsid w:val="00027A7A"/>
    <w:rsid w:val="00027B69"/>
    <w:rsid w:val="00027C81"/>
    <w:rsid w:val="00027D59"/>
    <w:rsid w:val="00027DDB"/>
    <w:rsid w:val="00027E6E"/>
    <w:rsid w:val="00027F05"/>
    <w:rsid w:val="00027F34"/>
    <w:rsid w:val="00027F67"/>
    <w:rsid w:val="00030047"/>
    <w:rsid w:val="00030050"/>
    <w:rsid w:val="00030097"/>
    <w:rsid w:val="0003012D"/>
    <w:rsid w:val="00030155"/>
    <w:rsid w:val="000301AD"/>
    <w:rsid w:val="000301D4"/>
    <w:rsid w:val="000301E2"/>
    <w:rsid w:val="000301E8"/>
    <w:rsid w:val="00030333"/>
    <w:rsid w:val="0003035A"/>
    <w:rsid w:val="00030440"/>
    <w:rsid w:val="000304B9"/>
    <w:rsid w:val="000304FA"/>
    <w:rsid w:val="0003054C"/>
    <w:rsid w:val="00030568"/>
    <w:rsid w:val="00030627"/>
    <w:rsid w:val="000307E5"/>
    <w:rsid w:val="00030959"/>
    <w:rsid w:val="000309E9"/>
    <w:rsid w:val="00030AD4"/>
    <w:rsid w:val="00030B93"/>
    <w:rsid w:val="00030C11"/>
    <w:rsid w:val="00030D11"/>
    <w:rsid w:val="00030E3D"/>
    <w:rsid w:val="00030F1B"/>
    <w:rsid w:val="00030F82"/>
    <w:rsid w:val="00030FEC"/>
    <w:rsid w:val="00031001"/>
    <w:rsid w:val="00031014"/>
    <w:rsid w:val="00031019"/>
    <w:rsid w:val="00031076"/>
    <w:rsid w:val="0003115F"/>
    <w:rsid w:val="000311AE"/>
    <w:rsid w:val="0003132A"/>
    <w:rsid w:val="00031377"/>
    <w:rsid w:val="000313D2"/>
    <w:rsid w:val="00031593"/>
    <w:rsid w:val="000316F1"/>
    <w:rsid w:val="00031703"/>
    <w:rsid w:val="0003190C"/>
    <w:rsid w:val="00031942"/>
    <w:rsid w:val="000319CA"/>
    <w:rsid w:val="00031A2E"/>
    <w:rsid w:val="00031ACA"/>
    <w:rsid w:val="00031B33"/>
    <w:rsid w:val="00031B4B"/>
    <w:rsid w:val="00031BE5"/>
    <w:rsid w:val="00031C35"/>
    <w:rsid w:val="00031CC9"/>
    <w:rsid w:val="00032261"/>
    <w:rsid w:val="00032300"/>
    <w:rsid w:val="0003231A"/>
    <w:rsid w:val="00032516"/>
    <w:rsid w:val="00032559"/>
    <w:rsid w:val="00032569"/>
    <w:rsid w:val="000325DB"/>
    <w:rsid w:val="000327B3"/>
    <w:rsid w:val="00032811"/>
    <w:rsid w:val="0003286C"/>
    <w:rsid w:val="000329D5"/>
    <w:rsid w:val="00032A05"/>
    <w:rsid w:val="00032A72"/>
    <w:rsid w:val="00032C67"/>
    <w:rsid w:val="00032C95"/>
    <w:rsid w:val="00032C98"/>
    <w:rsid w:val="00032DDB"/>
    <w:rsid w:val="00032E12"/>
    <w:rsid w:val="00032E15"/>
    <w:rsid w:val="00032E73"/>
    <w:rsid w:val="00032ED9"/>
    <w:rsid w:val="00032F09"/>
    <w:rsid w:val="00032F67"/>
    <w:rsid w:val="00032F9A"/>
    <w:rsid w:val="00033086"/>
    <w:rsid w:val="00033183"/>
    <w:rsid w:val="0003327F"/>
    <w:rsid w:val="0003336C"/>
    <w:rsid w:val="000333EF"/>
    <w:rsid w:val="0003349E"/>
    <w:rsid w:val="00033621"/>
    <w:rsid w:val="00033694"/>
    <w:rsid w:val="0003369E"/>
    <w:rsid w:val="000336EF"/>
    <w:rsid w:val="00033754"/>
    <w:rsid w:val="00033779"/>
    <w:rsid w:val="00033B39"/>
    <w:rsid w:val="00033C2F"/>
    <w:rsid w:val="00033D19"/>
    <w:rsid w:val="00033D1A"/>
    <w:rsid w:val="00033E3A"/>
    <w:rsid w:val="00033EB1"/>
    <w:rsid w:val="00033EE0"/>
    <w:rsid w:val="00033F9D"/>
    <w:rsid w:val="000342F6"/>
    <w:rsid w:val="00034334"/>
    <w:rsid w:val="0003442C"/>
    <w:rsid w:val="000344E2"/>
    <w:rsid w:val="0003457D"/>
    <w:rsid w:val="000345A1"/>
    <w:rsid w:val="00034649"/>
    <w:rsid w:val="000348D7"/>
    <w:rsid w:val="000348F8"/>
    <w:rsid w:val="000348F9"/>
    <w:rsid w:val="00034966"/>
    <w:rsid w:val="000349DC"/>
    <w:rsid w:val="00034A1E"/>
    <w:rsid w:val="00034AC5"/>
    <w:rsid w:val="00034B22"/>
    <w:rsid w:val="00034B41"/>
    <w:rsid w:val="00034B9D"/>
    <w:rsid w:val="00034BE6"/>
    <w:rsid w:val="00034D6E"/>
    <w:rsid w:val="00034DEE"/>
    <w:rsid w:val="00034DFB"/>
    <w:rsid w:val="00034FE2"/>
    <w:rsid w:val="000350A0"/>
    <w:rsid w:val="000351E4"/>
    <w:rsid w:val="0003529E"/>
    <w:rsid w:val="000352C6"/>
    <w:rsid w:val="000353FD"/>
    <w:rsid w:val="000354B9"/>
    <w:rsid w:val="00035518"/>
    <w:rsid w:val="00035681"/>
    <w:rsid w:val="000356F8"/>
    <w:rsid w:val="0003577B"/>
    <w:rsid w:val="0003577D"/>
    <w:rsid w:val="000357D8"/>
    <w:rsid w:val="000357FB"/>
    <w:rsid w:val="0003581F"/>
    <w:rsid w:val="000358A0"/>
    <w:rsid w:val="00035983"/>
    <w:rsid w:val="0003599E"/>
    <w:rsid w:val="000359B6"/>
    <w:rsid w:val="00035A84"/>
    <w:rsid w:val="00035AA6"/>
    <w:rsid w:val="00035AFB"/>
    <w:rsid w:val="00035BDB"/>
    <w:rsid w:val="00035C7C"/>
    <w:rsid w:val="00035CB8"/>
    <w:rsid w:val="00035D87"/>
    <w:rsid w:val="00035DE2"/>
    <w:rsid w:val="00035E46"/>
    <w:rsid w:val="00035E51"/>
    <w:rsid w:val="00035EC9"/>
    <w:rsid w:val="00036012"/>
    <w:rsid w:val="00036158"/>
    <w:rsid w:val="0003633D"/>
    <w:rsid w:val="00036390"/>
    <w:rsid w:val="00036410"/>
    <w:rsid w:val="00036524"/>
    <w:rsid w:val="000366A6"/>
    <w:rsid w:val="000366CE"/>
    <w:rsid w:val="00036744"/>
    <w:rsid w:val="000367F2"/>
    <w:rsid w:val="000369EB"/>
    <w:rsid w:val="00036A62"/>
    <w:rsid w:val="00036A71"/>
    <w:rsid w:val="00036B96"/>
    <w:rsid w:val="00036C30"/>
    <w:rsid w:val="00036E68"/>
    <w:rsid w:val="00036E8C"/>
    <w:rsid w:val="00036EFF"/>
    <w:rsid w:val="00036F52"/>
    <w:rsid w:val="00036F9B"/>
    <w:rsid w:val="00036FD7"/>
    <w:rsid w:val="00037177"/>
    <w:rsid w:val="00037216"/>
    <w:rsid w:val="00037288"/>
    <w:rsid w:val="000372EE"/>
    <w:rsid w:val="0003736A"/>
    <w:rsid w:val="00037399"/>
    <w:rsid w:val="000373B1"/>
    <w:rsid w:val="0003742C"/>
    <w:rsid w:val="00037439"/>
    <w:rsid w:val="0003744B"/>
    <w:rsid w:val="000374EE"/>
    <w:rsid w:val="0003750E"/>
    <w:rsid w:val="00037555"/>
    <w:rsid w:val="000375FE"/>
    <w:rsid w:val="00037602"/>
    <w:rsid w:val="00037617"/>
    <w:rsid w:val="00037951"/>
    <w:rsid w:val="000379BB"/>
    <w:rsid w:val="00037A21"/>
    <w:rsid w:val="00037CBB"/>
    <w:rsid w:val="00037CE9"/>
    <w:rsid w:val="00037D62"/>
    <w:rsid w:val="00037DB1"/>
    <w:rsid w:val="00037E0E"/>
    <w:rsid w:val="00037E76"/>
    <w:rsid w:val="00037E9A"/>
    <w:rsid w:val="00037ED6"/>
    <w:rsid w:val="00037F13"/>
    <w:rsid w:val="00037F1C"/>
    <w:rsid w:val="00037F32"/>
    <w:rsid w:val="00037F4C"/>
    <w:rsid w:val="00037F73"/>
    <w:rsid w:val="00037FD3"/>
    <w:rsid w:val="000401CA"/>
    <w:rsid w:val="000401DB"/>
    <w:rsid w:val="000402B4"/>
    <w:rsid w:val="000402C5"/>
    <w:rsid w:val="00040336"/>
    <w:rsid w:val="00040367"/>
    <w:rsid w:val="00040495"/>
    <w:rsid w:val="0004068D"/>
    <w:rsid w:val="0004069B"/>
    <w:rsid w:val="0004072D"/>
    <w:rsid w:val="0004073E"/>
    <w:rsid w:val="000407F1"/>
    <w:rsid w:val="0004087E"/>
    <w:rsid w:val="00040894"/>
    <w:rsid w:val="00040908"/>
    <w:rsid w:val="00040909"/>
    <w:rsid w:val="000409AF"/>
    <w:rsid w:val="00040A20"/>
    <w:rsid w:val="00040A46"/>
    <w:rsid w:val="00040A5E"/>
    <w:rsid w:val="00040AE0"/>
    <w:rsid w:val="00040B7A"/>
    <w:rsid w:val="00040BF9"/>
    <w:rsid w:val="00040C2A"/>
    <w:rsid w:val="00040C55"/>
    <w:rsid w:val="00040C7C"/>
    <w:rsid w:val="00040D12"/>
    <w:rsid w:val="00040D1C"/>
    <w:rsid w:val="00040DF9"/>
    <w:rsid w:val="00040E46"/>
    <w:rsid w:val="00040EB5"/>
    <w:rsid w:val="00040EF4"/>
    <w:rsid w:val="00040F05"/>
    <w:rsid w:val="00040FD8"/>
    <w:rsid w:val="0004101A"/>
    <w:rsid w:val="00041028"/>
    <w:rsid w:val="00041074"/>
    <w:rsid w:val="000410EB"/>
    <w:rsid w:val="00041142"/>
    <w:rsid w:val="00041225"/>
    <w:rsid w:val="0004141D"/>
    <w:rsid w:val="00041489"/>
    <w:rsid w:val="000414E1"/>
    <w:rsid w:val="00041530"/>
    <w:rsid w:val="00041532"/>
    <w:rsid w:val="0004156C"/>
    <w:rsid w:val="0004162C"/>
    <w:rsid w:val="0004163D"/>
    <w:rsid w:val="0004164A"/>
    <w:rsid w:val="00041691"/>
    <w:rsid w:val="000416FC"/>
    <w:rsid w:val="00041807"/>
    <w:rsid w:val="00041895"/>
    <w:rsid w:val="00041966"/>
    <w:rsid w:val="00041981"/>
    <w:rsid w:val="0004199F"/>
    <w:rsid w:val="00041A7C"/>
    <w:rsid w:val="00041AAD"/>
    <w:rsid w:val="00041B37"/>
    <w:rsid w:val="00041B4D"/>
    <w:rsid w:val="00041C42"/>
    <w:rsid w:val="00041D13"/>
    <w:rsid w:val="00041D9B"/>
    <w:rsid w:val="00041DA2"/>
    <w:rsid w:val="00041DB7"/>
    <w:rsid w:val="00041DE1"/>
    <w:rsid w:val="00041DF5"/>
    <w:rsid w:val="00041E02"/>
    <w:rsid w:val="00041EBE"/>
    <w:rsid w:val="00041F0A"/>
    <w:rsid w:val="00041F23"/>
    <w:rsid w:val="00042044"/>
    <w:rsid w:val="0004209B"/>
    <w:rsid w:val="00042129"/>
    <w:rsid w:val="000422A7"/>
    <w:rsid w:val="00042356"/>
    <w:rsid w:val="000423FB"/>
    <w:rsid w:val="00042417"/>
    <w:rsid w:val="00042430"/>
    <w:rsid w:val="000424B4"/>
    <w:rsid w:val="000424EC"/>
    <w:rsid w:val="000424F4"/>
    <w:rsid w:val="000424FE"/>
    <w:rsid w:val="00042529"/>
    <w:rsid w:val="00042532"/>
    <w:rsid w:val="00042535"/>
    <w:rsid w:val="000425DB"/>
    <w:rsid w:val="000425FB"/>
    <w:rsid w:val="00042721"/>
    <w:rsid w:val="0004285A"/>
    <w:rsid w:val="0004290B"/>
    <w:rsid w:val="0004294D"/>
    <w:rsid w:val="0004295F"/>
    <w:rsid w:val="00042975"/>
    <w:rsid w:val="00042A08"/>
    <w:rsid w:val="00042A67"/>
    <w:rsid w:val="00042A86"/>
    <w:rsid w:val="00042B5A"/>
    <w:rsid w:val="00042BF7"/>
    <w:rsid w:val="00042C15"/>
    <w:rsid w:val="00042C3D"/>
    <w:rsid w:val="00042C73"/>
    <w:rsid w:val="00042C8A"/>
    <w:rsid w:val="00042CA9"/>
    <w:rsid w:val="00042CAC"/>
    <w:rsid w:val="00042D23"/>
    <w:rsid w:val="00042ED2"/>
    <w:rsid w:val="00042F32"/>
    <w:rsid w:val="00042F4C"/>
    <w:rsid w:val="0004306A"/>
    <w:rsid w:val="00043171"/>
    <w:rsid w:val="00043189"/>
    <w:rsid w:val="0004324D"/>
    <w:rsid w:val="000432B8"/>
    <w:rsid w:val="00043422"/>
    <w:rsid w:val="0004344E"/>
    <w:rsid w:val="0004346D"/>
    <w:rsid w:val="00043571"/>
    <w:rsid w:val="00043574"/>
    <w:rsid w:val="000435B4"/>
    <w:rsid w:val="000435F5"/>
    <w:rsid w:val="0004364C"/>
    <w:rsid w:val="0004364F"/>
    <w:rsid w:val="000437B7"/>
    <w:rsid w:val="000437CB"/>
    <w:rsid w:val="00043864"/>
    <w:rsid w:val="0004386B"/>
    <w:rsid w:val="00043925"/>
    <w:rsid w:val="0004396F"/>
    <w:rsid w:val="000439C1"/>
    <w:rsid w:val="00043C40"/>
    <w:rsid w:val="00043C5A"/>
    <w:rsid w:val="00043C77"/>
    <w:rsid w:val="00043C84"/>
    <w:rsid w:val="00043C8C"/>
    <w:rsid w:val="00043DF4"/>
    <w:rsid w:val="00043E60"/>
    <w:rsid w:val="00043EE4"/>
    <w:rsid w:val="00043F28"/>
    <w:rsid w:val="00043F7D"/>
    <w:rsid w:val="00043F85"/>
    <w:rsid w:val="00043FE2"/>
    <w:rsid w:val="000440D4"/>
    <w:rsid w:val="00044197"/>
    <w:rsid w:val="00044220"/>
    <w:rsid w:val="000442BF"/>
    <w:rsid w:val="00044338"/>
    <w:rsid w:val="00044359"/>
    <w:rsid w:val="00044380"/>
    <w:rsid w:val="000443AD"/>
    <w:rsid w:val="000443D6"/>
    <w:rsid w:val="0004444B"/>
    <w:rsid w:val="0004469C"/>
    <w:rsid w:val="000446B3"/>
    <w:rsid w:val="000446BE"/>
    <w:rsid w:val="0004475F"/>
    <w:rsid w:val="00044762"/>
    <w:rsid w:val="00044767"/>
    <w:rsid w:val="000447C1"/>
    <w:rsid w:val="000447F8"/>
    <w:rsid w:val="00044883"/>
    <w:rsid w:val="0004496D"/>
    <w:rsid w:val="00044A65"/>
    <w:rsid w:val="00044AFC"/>
    <w:rsid w:val="00044B93"/>
    <w:rsid w:val="00044C01"/>
    <w:rsid w:val="00044CCB"/>
    <w:rsid w:val="00044D31"/>
    <w:rsid w:val="00044D50"/>
    <w:rsid w:val="00044E01"/>
    <w:rsid w:val="00044E3B"/>
    <w:rsid w:val="00044FCC"/>
    <w:rsid w:val="00045050"/>
    <w:rsid w:val="000450FD"/>
    <w:rsid w:val="00045279"/>
    <w:rsid w:val="000452E5"/>
    <w:rsid w:val="0004530B"/>
    <w:rsid w:val="000453C8"/>
    <w:rsid w:val="0004544F"/>
    <w:rsid w:val="00045482"/>
    <w:rsid w:val="000454A1"/>
    <w:rsid w:val="000454CF"/>
    <w:rsid w:val="000454E7"/>
    <w:rsid w:val="00045564"/>
    <w:rsid w:val="00045600"/>
    <w:rsid w:val="000456D8"/>
    <w:rsid w:val="000456F9"/>
    <w:rsid w:val="00045746"/>
    <w:rsid w:val="00045794"/>
    <w:rsid w:val="00045819"/>
    <w:rsid w:val="00045882"/>
    <w:rsid w:val="00045949"/>
    <w:rsid w:val="00045A4F"/>
    <w:rsid w:val="00045A5E"/>
    <w:rsid w:val="00045A6F"/>
    <w:rsid w:val="00045C1D"/>
    <w:rsid w:val="00045C27"/>
    <w:rsid w:val="00045DA6"/>
    <w:rsid w:val="00045DDA"/>
    <w:rsid w:val="00045E3E"/>
    <w:rsid w:val="00045E69"/>
    <w:rsid w:val="00045E75"/>
    <w:rsid w:val="00045EF4"/>
    <w:rsid w:val="00045F50"/>
    <w:rsid w:val="00046005"/>
    <w:rsid w:val="0004610C"/>
    <w:rsid w:val="00046181"/>
    <w:rsid w:val="000461D8"/>
    <w:rsid w:val="00046298"/>
    <w:rsid w:val="000462C8"/>
    <w:rsid w:val="00046450"/>
    <w:rsid w:val="000464AD"/>
    <w:rsid w:val="000464DD"/>
    <w:rsid w:val="0004650F"/>
    <w:rsid w:val="00046679"/>
    <w:rsid w:val="000466EE"/>
    <w:rsid w:val="0004673B"/>
    <w:rsid w:val="000467A3"/>
    <w:rsid w:val="0004684B"/>
    <w:rsid w:val="0004687B"/>
    <w:rsid w:val="000469E6"/>
    <w:rsid w:val="00046A35"/>
    <w:rsid w:val="00046A69"/>
    <w:rsid w:val="00046A94"/>
    <w:rsid w:val="00046ABB"/>
    <w:rsid w:val="00046ADD"/>
    <w:rsid w:val="00046B41"/>
    <w:rsid w:val="00046BC5"/>
    <w:rsid w:val="00046C44"/>
    <w:rsid w:val="00046EAF"/>
    <w:rsid w:val="00046F26"/>
    <w:rsid w:val="00046F6B"/>
    <w:rsid w:val="00046F9D"/>
    <w:rsid w:val="00046FCF"/>
    <w:rsid w:val="00047171"/>
    <w:rsid w:val="0004718C"/>
    <w:rsid w:val="0004726F"/>
    <w:rsid w:val="000474BF"/>
    <w:rsid w:val="0004776F"/>
    <w:rsid w:val="00047826"/>
    <w:rsid w:val="0004791C"/>
    <w:rsid w:val="0004793C"/>
    <w:rsid w:val="000479C4"/>
    <w:rsid w:val="000479E7"/>
    <w:rsid w:val="00047A5E"/>
    <w:rsid w:val="00047ABC"/>
    <w:rsid w:val="00047C9B"/>
    <w:rsid w:val="00047E1B"/>
    <w:rsid w:val="00047F62"/>
    <w:rsid w:val="00047FCE"/>
    <w:rsid w:val="00050125"/>
    <w:rsid w:val="000502C8"/>
    <w:rsid w:val="00050320"/>
    <w:rsid w:val="00050498"/>
    <w:rsid w:val="00050711"/>
    <w:rsid w:val="000507B4"/>
    <w:rsid w:val="000507D4"/>
    <w:rsid w:val="000507FE"/>
    <w:rsid w:val="00050829"/>
    <w:rsid w:val="00050831"/>
    <w:rsid w:val="00050980"/>
    <w:rsid w:val="00050A8B"/>
    <w:rsid w:val="00050B16"/>
    <w:rsid w:val="00050B34"/>
    <w:rsid w:val="00050BAA"/>
    <w:rsid w:val="00050C03"/>
    <w:rsid w:val="00050C2C"/>
    <w:rsid w:val="00050C99"/>
    <w:rsid w:val="00050D09"/>
    <w:rsid w:val="00050DA8"/>
    <w:rsid w:val="00050DEC"/>
    <w:rsid w:val="00050E02"/>
    <w:rsid w:val="00051084"/>
    <w:rsid w:val="00051272"/>
    <w:rsid w:val="0005131D"/>
    <w:rsid w:val="0005142F"/>
    <w:rsid w:val="000514B0"/>
    <w:rsid w:val="00051702"/>
    <w:rsid w:val="00051870"/>
    <w:rsid w:val="00051928"/>
    <w:rsid w:val="00051935"/>
    <w:rsid w:val="00051977"/>
    <w:rsid w:val="0005198F"/>
    <w:rsid w:val="000519A6"/>
    <w:rsid w:val="000519D4"/>
    <w:rsid w:val="00051A49"/>
    <w:rsid w:val="00051A5B"/>
    <w:rsid w:val="00051AA7"/>
    <w:rsid w:val="00051CD2"/>
    <w:rsid w:val="00051D7E"/>
    <w:rsid w:val="00051E35"/>
    <w:rsid w:val="00051E7D"/>
    <w:rsid w:val="00051E82"/>
    <w:rsid w:val="00051EBD"/>
    <w:rsid w:val="00051F02"/>
    <w:rsid w:val="00051F52"/>
    <w:rsid w:val="00051F5C"/>
    <w:rsid w:val="00051F7B"/>
    <w:rsid w:val="0005204E"/>
    <w:rsid w:val="000520C6"/>
    <w:rsid w:val="00052126"/>
    <w:rsid w:val="00052187"/>
    <w:rsid w:val="000522D1"/>
    <w:rsid w:val="0005238E"/>
    <w:rsid w:val="0005240D"/>
    <w:rsid w:val="0005248D"/>
    <w:rsid w:val="000524A8"/>
    <w:rsid w:val="000528B8"/>
    <w:rsid w:val="00052905"/>
    <w:rsid w:val="00052A39"/>
    <w:rsid w:val="00052A83"/>
    <w:rsid w:val="00052B0D"/>
    <w:rsid w:val="00052BD8"/>
    <w:rsid w:val="00052C11"/>
    <w:rsid w:val="00052C6D"/>
    <w:rsid w:val="00052C95"/>
    <w:rsid w:val="00052DFC"/>
    <w:rsid w:val="00052E40"/>
    <w:rsid w:val="00052E59"/>
    <w:rsid w:val="00052E89"/>
    <w:rsid w:val="00052EB0"/>
    <w:rsid w:val="00052EC0"/>
    <w:rsid w:val="00052F39"/>
    <w:rsid w:val="00053025"/>
    <w:rsid w:val="000530F2"/>
    <w:rsid w:val="0005333A"/>
    <w:rsid w:val="0005343E"/>
    <w:rsid w:val="00053486"/>
    <w:rsid w:val="000534EF"/>
    <w:rsid w:val="00053615"/>
    <w:rsid w:val="0005374B"/>
    <w:rsid w:val="00053798"/>
    <w:rsid w:val="0005381B"/>
    <w:rsid w:val="00053838"/>
    <w:rsid w:val="00053863"/>
    <w:rsid w:val="000539E6"/>
    <w:rsid w:val="00053AE7"/>
    <w:rsid w:val="00053C32"/>
    <w:rsid w:val="00053D54"/>
    <w:rsid w:val="00053D98"/>
    <w:rsid w:val="00053E04"/>
    <w:rsid w:val="00053E30"/>
    <w:rsid w:val="00053EE5"/>
    <w:rsid w:val="00053EFC"/>
    <w:rsid w:val="00053F64"/>
    <w:rsid w:val="00053FDB"/>
    <w:rsid w:val="00054015"/>
    <w:rsid w:val="00054060"/>
    <w:rsid w:val="00054093"/>
    <w:rsid w:val="000541F5"/>
    <w:rsid w:val="000541FB"/>
    <w:rsid w:val="00054372"/>
    <w:rsid w:val="00054495"/>
    <w:rsid w:val="0005452B"/>
    <w:rsid w:val="0005455B"/>
    <w:rsid w:val="0005458A"/>
    <w:rsid w:val="00054608"/>
    <w:rsid w:val="000546B5"/>
    <w:rsid w:val="0005476C"/>
    <w:rsid w:val="000547C1"/>
    <w:rsid w:val="00054878"/>
    <w:rsid w:val="000548AF"/>
    <w:rsid w:val="000548DB"/>
    <w:rsid w:val="0005491B"/>
    <w:rsid w:val="0005495C"/>
    <w:rsid w:val="000549FB"/>
    <w:rsid w:val="00054A77"/>
    <w:rsid w:val="00054ABF"/>
    <w:rsid w:val="00054B06"/>
    <w:rsid w:val="00054B29"/>
    <w:rsid w:val="00054B59"/>
    <w:rsid w:val="00054BB9"/>
    <w:rsid w:val="00054BD4"/>
    <w:rsid w:val="00054C67"/>
    <w:rsid w:val="00054CB3"/>
    <w:rsid w:val="00054CDB"/>
    <w:rsid w:val="00054F49"/>
    <w:rsid w:val="00054F5E"/>
    <w:rsid w:val="00054F7C"/>
    <w:rsid w:val="00055062"/>
    <w:rsid w:val="000551AD"/>
    <w:rsid w:val="00055245"/>
    <w:rsid w:val="0005554B"/>
    <w:rsid w:val="000555B1"/>
    <w:rsid w:val="000555C8"/>
    <w:rsid w:val="00055681"/>
    <w:rsid w:val="000557A2"/>
    <w:rsid w:val="000557F6"/>
    <w:rsid w:val="000559D2"/>
    <w:rsid w:val="000559EC"/>
    <w:rsid w:val="00055A16"/>
    <w:rsid w:val="00055A54"/>
    <w:rsid w:val="00055A92"/>
    <w:rsid w:val="00055B60"/>
    <w:rsid w:val="00055BA7"/>
    <w:rsid w:val="00055BD8"/>
    <w:rsid w:val="00055C19"/>
    <w:rsid w:val="00055C85"/>
    <w:rsid w:val="00055D08"/>
    <w:rsid w:val="00055D22"/>
    <w:rsid w:val="00055E1F"/>
    <w:rsid w:val="00055E66"/>
    <w:rsid w:val="00055E90"/>
    <w:rsid w:val="00055EA0"/>
    <w:rsid w:val="00055F02"/>
    <w:rsid w:val="00055F69"/>
    <w:rsid w:val="00056154"/>
    <w:rsid w:val="000561E8"/>
    <w:rsid w:val="0005625C"/>
    <w:rsid w:val="00056279"/>
    <w:rsid w:val="00056366"/>
    <w:rsid w:val="00056381"/>
    <w:rsid w:val="000563DA"/>
    <w:rsid w:val="0005649F"/>
    <w:rsid w:val="000564A1"/>
    <w:rsid w:val="0005658D"/>
    <w:rsid w:val="000565A1"/>
    <w:rsid w:val="000565A2"/>
    <w:rsid w:val="000565F7"/>
    <w:rsid w:val="00056609"/>
    <w:rsid w:val="0005660C"/>
    <w:rsid w:val="00056818"/>
    <w:rsid w:val="00056843"/>
    <w:rsid w:val="00056B2C"/>
    <w:rsid w:val="00056B6A"/>
    <w:rsid w:val="00056B83"/>
    <w:rsid w:val="00056BAA"/>
    <w:rsid w:val="00056C0A"/>
    <w:rsid w:val="00056C2E"/>
    <w:rsid w:val="00056D0D"/>
    <w:rsid w:val="00056D54"/>
    <w:rsid w:val="00056DD4"/>
    <w:rsid w:val="00056F80"/>
    <w:rsid w:val="00057013"/>
    <w:rsid w:val="000570F1"/>
    <w:rsid w:val="00057108"/>
    <w:rsid w:val="0005718F"/>
    <w:rsid w:val="000571D1"/>
    <w:rsid w:val="000571DC"/>
    <w:rsid w:val="000574B4"/>
    <w:rsid w:val="000574C2"/>
    <w:rsid w:val="000575AB"/>
    <w:rsid w:val="00057611"/>
    <w:rsid w:val="0005762A"/>
    <w:rsid w:val="000576B7"/>
    <w:rsid w:val="000576F9"/>
    <w:rsid w:val="0005773E"/>
    <w:rsid w:val="00057780"/>
    <w:rsid w:val="000577CB"/>
    <w:rsid w:val="000577DF"/>
    <w:rsid w:val="000578E6"/>
    <w:rsid w:val="0005791B"/>
    <w:rsid w:val="0005799C"/>
    <w:rsid w:val="00057A84"/>
    <w:rsid w:val="00057BDD"/>
    <w:rsid w:val="00057BED"/>
    <w:rsid w:val="00057CA3"/>
    <w:rsid w:val="00057CF9"/>
    <w:rsid w:val="00057D1F"/>
    <w:rsid w:val="00057E28"/>
    <w:rsid w:val="00057EBF"/>
    <w:rsid w:val="00057FB9"/>
    <w:rsid w:val="00060036"/>
    <w:rsid w:val="00060038"/>
    <w:rsid w:val="0006012D"/>
    <w:rsid w:val="0006015F"/>
    <w:rsid w:val="00060304"/>
    <w:rsid w:val="0006040B"/>
    <w:rsid w:val="000605B0"/>
    <w:rsid w:val="000605EE"/>
    <w:rsid w:val="000606B2"/>
    <w:rsid w:val="00060782"/>
    <w:rsid w:val="0006078D"/>
    <w:rsid w:val="000607B3"/>
    <w:rsid w:val="000607F1"/>
    <w:rsid w:val="00060881"/>
    <w:rsid w:val="00060964"/>
    <w:rsid w:val="0006099F"/>
    <w:rsid w:val="000609E7"/>
    <w:rsid w:val="000609E8"/>
    <w:rsid w:val="00060ABD"/>
    <w:rsid w:val="00060B42"/>
    <w:rsid w:val="00060B4F"/>
    <w:rsid w:val="00060B6C"/>
    <w:rsid w:val="00060BD5"/>
    <w:rsid w:val="00060BE9"/>
    <w:rsid w:val="00060BEF"/>
    <w:rsid w:val="00060C2A"/>
    <w:rsid w:val="00060CC3"/>
    <w:rsid w:val="00060D5E"/>
    <w:rsid w:val="00060DA2"/>
    <w:rsid w:val="00060F93"/>
    <w:rsid w:val="00060FBB"/>
    <w:rsid w:val="00060FCC"/>
    <w:rsid w:val="000610C7"/>
    <w:rsid w:val="000610DA"/>
    <w:rsid w:val="000610F7"/>
    <w:rsid w:val="00061200"/>
    <w:rsid w:val="00061219"/>
    <w:rsid w:val="00061274"/>
    <w:rsid w:val="00061352"/>
    <w:rsid w:val="0006148F"/>
    <w:rsid w:val="000614F2"/>
    <w:rsid w:val="0006152A"/>
    <w:rsid w:val="00061560"/>
    <w:rsid w:val="000616F9"/>
    <w:rsid w:val="0006177E"/>
    <w:rsid w:val="00061928"/>
    <w:rsid w:val="00061A0A"/>
    <w:rsid w:val="00061AA3"/>
    <w:rsid w:val="00061AE8"/>
    <w:rsid w:val="00061AF6"/>
    <w:rsid w:val="00061B24"/>
    <w:rsid w:val="00061CA6"/>
    <w:rsid w:val="00061D3B"/>
    <w:rsid w:val="00061D3C"/>
    <w:rsid w:val="00061D90"/>
    <w:rsid w:val="00061DED"/>
    <w:rsid w:val="00062059"/>
    <w:rsid w:val="00062106"/>
    <w:rsid w:val="000621E4"/>
    <w:rsid w:val="0006231D"/>
    <w:rsid w:val="00062352"/>
    <w:rsid w:val="000623D9"/>
    <w:rsid w:val="000623F5"/>
    <w:rsid w:val="0006241A"/>
    <w:rsid w:val="000624CC"/>
    <w:rsid w:val="0006254E"/>
    <w:rsid w:val="0006266A"/>
    <w:rsid w:val="000626A6"/>
    <w:rsid w:val="0006271B"/>
    <w:rsid w:val="0006282D"/>
    <w:rsid w:val="000628EA"/>
    <w:rsid w:val="000629CB"/>
    <w:rsid w:val="000629F6"/>
    <w:rsid w:val="00062AD1"/>
    <w:rsid w:val="00062BAB"/>
    <w:rsid w:val="00062C02"/>
    <w:rsid w:val="00062F05"/>
    <w:rsid w:val="00062F2D"/>
    <w:rsid w:val="00062FE9"/>
    <w:rsid w:val="00063048"/>
    <w:rsid w:val="0006304F"/>
    <w:rsid w:val="0006307F"/>
    <w:rsid w:val="0006311F"/>
    <w:rsid w:val="0006318C"/>
    <w:rsid w:val="000631B8"/>
    <w:rsid w:val="000632F0"/>
    <w:rsid w:val="00063363"/>
    <w:rsid w:val="000633F8"/>
    <w:rsid w:val="00063557"/>
    <w:rsid w:val="000636A9"/>
    <w:rsid w:val="00063780"/>
    <w:rsid w:val="00063795"/>
    <w:rsid w:val="0006390F"/>
    <w:rsid w:val="00063931"/>
    <w:rsid w:val="00063A58"/>
    <w:rsid w:val="00063D30"/>
    <w:rsid w:val="00063D43"/>
    <w:rsid w:val="00063D53"/>
    <w:rsid w:val="00063E27"/>
    <w:rsid w:val="00063F60"/>
    <w:rsid w:val="00064160"/>
    <w:rsid w:val="0006416C"/>
    <w:rsid w:val="0006425A"/>
    <w:rsid w:val="0006436E"/>
    <w:rsid w:val="0006439E"/>
    <w:rsid w:val="00064446"/>
    <w:rsid w:val="0006447F"/>
    <w:rsid w:val="000644FC"/>
    <w:rsid w:val="00064584"/>
    <w:rsid w:val="00064737"/>
    <w:rsid w:val="0006475C"/>
    <w:rsid w:val="000647B4"/>
    <w:rsid w:val="00064940"/>
    <w:rsid w:val="0006496A"/>
    <w:rsid w:val="000649A9"/>
    <w:rsid w:val="000649F2"/>
    <w:rsid w:val="00064A04"/>
    <w:rsid w:val="00064A28"/>
    <w:rsid w:val="00064BA2"/>
    <w:rsid w:val="00064BCA"/>
    <w:rsid w:val="00064BE7"/>
    <w:rsid w:val="00064C79"/>
    <w:rsid w:val="00064CA5"/>
    <w:rsid w:val="00064CD6"/>
    <w:rsid w:val="00064E47"/>
    <w:rsid w:val="00064F2D"/>
    <w:rsid w:val="00064F53"/>
    <w:rsid w:val="00064FEF"/>
    <w:rsid w:val="0006505A"/>
    <w:rsid w:val="00065125"/>
    <w:rsid w:val="000651C9"/>
    <w:rsid w:val="0006526B"/>
    <w:rsid w:val="000652D4"/>
    <w:rsid w:val="00065395"/>
    <w:rsid w:val="000653BF"/>
    <w:rsid w:val="00065488"/>
    <w:rsid w:val="000654A3"/>
    <w:rsid w:val="0006557D"/>
    <w:rsid w:val="00065585"/>
    <w:rsid w:val="00065725"/>
    <w:rsid w:val="0006577C"/>
    <w:rsid w:val="000657B4"/>
    <w:rsid w:val="000658BD"/>
    <w:rsid w:val="000659A5"/>
    <w:rsid w:val="00065A37"/>
    <w:rsid w:val="00065AB4"/>
    <w:rsid w:val="00065BB9"/>
    <w:rsid w:val="00065DA7"/>
    <w:rsid w:val="00065DF3"/>
    <w:rsid w:val="00065F42"/>
    <w:rsid w:val="00066000"/>
    <w:rsid w:val="0006619B"/>
    <w:rsid w:val="0006621B"/>
    <w:rsid w:val="00066288"/>
    <w:rsid w:val="000663A6"/>
    <w:rsid w:val="000663E3"/>
    <w:rsid w:val="000663EC"/>
    <w:rsid w:val="000663F8"/>
    <w:rsid w:val="0006645F"/>
    <w:rsid w:val="00066612"/>
    <w:rsid w:val="000668CC"/>
    <w:rsid w:val="00066A32"/>
    <w:rsid w:val="00066A7E"/>
    <w:rsid w:val="00066B43"/>
    <w:rsid w:val="00066B6E"/>
    <w:rsid w:val="00066C56"/>
    <w:rsid w:val="00066F9B"/>
    <w:rsid w:val="00066FFB"/>
    <w:rsid w:val="00067063"/>
    <w:rsid w:val="000670F0"/>
    <w:rsid w:val="00067115"/>
    <w:rsid w:val="0006711D"/>
    <w:rsid w:val="0006714F"/>
    <w:rsid w:val="00067210"/>
    <w:rsid w:val="000672CF"/>
    <w:rsid w:val="000672ED"/>
    <w:rsid w:val="000673E9"/>
    <w:rsid w:val="000673F4"/>
    <w:rsid w:val="00067439"/>
    <w:rsid w:val="00067524"/>
    <w:rsid w:val="0006756B"/>
    <w:rsid w:val="000675A0"/>
    <w:rsid w:val="000676CE"/>
    <w:rsid w:val="000676D9"/>
    <w:rsid w:val="0006772B"/>
    <w:rsid w:val="00067771"/>
    <w:rsid w:val="000677E6"/>
    <w:rsid w:val="000677F1"/>
    <w:rsid w:val="00067952"/>
    <w:rsid w:val="00067C16"/>
    <w:rsid w:val="00067C65"/>
    <w:rsid w:val="00067C8E"/>
    <w:rsid w:val="00067DF8"/>
    <w:rsid w:val="00067E13"/>
    <w:rsid w:val="00067F4F"/>
    <w:rsid w:val="00067F5C"/>
    <w:rsid w:val="00067FA2"/>
    <w:rsid w:val="000702BD"/>
    <w:rsid w:val="000703E3"/>
    <w:rsid w:val="00070475"/>
    <w:rsid w:val="000704E0"/>
    <w:rsid w:val="00070541"/>
    <w:rsid w:val="000705AC"/>
    <w:rsid w:val="0007062B"/>
    <w:rsid w:val="000706B4"/>
    <w:rsid w:val="00070728"/>
    <w:rsid w:val="000707BC"/>
    <w:rsid w:val="0007093E"/>
    <w:rsid w:val="0007098A"/>
    <w:rsid w:val="00070A1B"/>
    <w:rsid w:val="00070A85"/>
    <w:rsid w:val="00070AB5"/>
    <w:rsid w:val="00070B3A"/>
    <w:rsid w:val="00070BFF"/>
    <w:rsid w:val="00070EBC"/>
    <w:rsid w:val="00070F7B"/>
    <w:rsid w:val="00070FB1"/>
    <w:rsid w:val="00070FD8"/>
    <w:rsid w:val="00071006"/>
    <w:rsid w:val="00071131"/>
    <w:rsid w:val="000711C1"/>
    <w:rsid w:val="000711FD"/>
    <w:rsid w:val="000714EC"/>
    <w:rsid w:val="00071501"/>
    <w:rsid w:val="00071514"/>
    <w:rsid w:val="000715CF"/>
    <w:rsid w:val="0007166B"/>
    <w:rsid w:val="0007168C"/>
    <w:rsid w:val="000716AA"/>
    <w:rsid w:val="000716BD"/>
    <w:rsid w:val="000716DD"/>
    <w:rsid w:val="00071710"/>
    <w:rsid w:val="000717A0"/>
    <w:rsid w:val="000718C9"/>
    <w:rsid w:val="000719F5"/>
    <w:rsid w:val="00071A19"/>
    <w:rsid w:val="00071A7D"/>
    <w:rsid w:val="00071AE2"/>
    <w:rsid w:val="00071B99"/>
    <w:rsid w:val="00071BC1"/>
    <w:rsid w:val="00071CEB"/>
    <w:rsid w:val="00071E8D"/>
    <w:rsid w:val="0007201B"/>
    <w:rsid w:val="00072022"/>
    <w:rsid w:val="000720D2"/>
    <w:rsid w:val="000722B9"/>
    <w:rsid w:val="000722C4"/>
    <w:rsid w:val="0007232E"/>
    <w:rsid w:val="00072343"/>
    <w:rsid w:val="00072347"/>
    <w:rsid w:val="0007234E"/>
    <w:rsid w:val="00072376"/>
    <w:rsid w:val="000723CE"/>
    <w:rsid w:val="00072518"/>
    <w:rsid w:val="000726D2"/>
    <w:rsid w:val="0007281F"/>
    <w:rsid w:val="0007284F"/>
    <w:rsid w:val="00072868"/>
    <w:rsid w:val="0007288D"/>
    <w:rsid w:val="000728D0"/>
    <w:rsid w:val="000728DC"/>
    <w:rsid w:val="00072972"/>
    <w:rsid w:val="00072999"/>
    <w:rsid w:val="00072AD0"/>
    <w:rsid w:val="00072AF3"/>
    <w:rsid w:val="00072B22"/>
    <w:rsid w:val="00072B8E"/>
    <w:rsid w:val="00072C13"/>
    <w:rsid w:val="00072C1A"/>
    <w:rsid w:val="00072C74"/>
    <w:rsid w:val="00072C8C"/>
    <w:rsid w:val="00072CC3"/>
    <w:rsid w:val="00072DA0"/>
    <w:rsid w:val="00072ED2"/>
    <w:rsid w:val="00072F2A"/>
    <w:rsid w:val="00072F86"/>
    <w:rsid w:val="00072F90"/>
    <w:rsid w:val="0007300A"/>
    <w:rsid w:val="00073029"/>
    <w:rsid w:val="00073045"/>
    <w:rsid w:val="000730F9"/>
    <w:rsid w:val="0007313B"/>
    <w:rsid w:val="00073172"/>
    <w:rsid w:val="0007324F"/>
    <w:rsid w:val="0007339B"/>
    <w:rsid w:val="000733D5"/>
    <w:rsid w:val="0007359A"/>
    <w:rsid w:val="000735D7"/>
    <w:rsid w:val="000735E9"/>
    <w:rsid w:val="000735EB"/>
    <w:rsid w:val="000735FD"/>
    <w:rsid w:val="0007369A"/>
    <w:rsid w:val="000736F8"/>
    <w:rsid w:val="00073749"/>
    <w:rsid w:val="0007375F"/>
    <w:rsid w:val="00073789"/>
    <w:rsid w:val="000738AB"/>
    <w:rsid w:val="0007393B"/>
    <w:rsid w:val="00073B46"/>
    <w:rsid w:val="00073BA3"/>
    <w:rsid w:val="00073DD9"/>
    <w:rsid w:val="00073E59"/>
    <w:rsid w:val="00073EBF"/>
    <w:rsid w:val="00073F72"/>
    <w:rsid w:val="000740B2"/>
    <w:rsid w:val="00074132"/>
    <w:rsid w:val="000741C8"/>
    <w:rsid w:val="000741CE"/>
    <w:rsid w:val="000741CF"/>
    <w:rsid w:val="00074328"/>
    <w:rsid w:val="000743CE"/>
    <w:rsid w:val="00074451"/>
    <w:rsid w:val="0007454D"/>
    <w:rsid w:val="000745F9"/>
    <w:rsid w:val="00074639"/>
    <w:rsid w:val="00074735"/>
    <w:rsid w:val="000748B0"/>
    <w:rsid w:val="000748C6"/>
    <w:rsid w:val="000748C8"/>
    <w:rsid w:val="00074A1D"/>
    <w:rsid w:val="00074B24"/>
    <w:rsid w:val="00074B97"/>
    <w:rsid w:val="00074BC9"/>
    <w:rsid w:val="00074BD9"/>
    <w:rsid w:val="00074D1C"/>
    <w:rsid w:val="00074D98"/>
    <w:rsid w:val="00074DD2"/>
    <w:rsid w:val="00074E65"/>
    <w:rsid w:val="00075131"/>
    <w:rsid w:val="000751FA"/>
    <w:rsid w:val="0007529B"/>
    <w:rsid w:val="00075364"/>
    <w:rsid w:val="00075373"/>
    <w:rsid w:val="000753D7"/>
    <w:rsid w:val="000754BA"/>
    <w:rsid w:val="00075540"/>
    <w:rsid w:val="0007560C"/>
    <w:rsid w:val="00075649"/>
    <w:rsid w:val="00075659"/>
    <w:rsid w:val="00075721"/>
    <w:rsid w:val="0007573E"/>
    <w:rsid w:val="00075795"/>
    <w:rsid w:val="00075A54"/>
    <w:rsid w:val="00075AFB"/>
    <w:rsid w:val="00075BA3"/>
    <w:rsid w:val="00075C9A"/>
    <w:rsid w:val="00075CA8"/>
    <w:rsid w:val="00075CCC"/>
    <w:rsid w:val="00075E21"/>
    <w:rsid w:val="00075E37"/>
    <w:rsid w:val="00075F8D"/>
    <w:rsid w:val="000760F6"/>
    <w:rsid w:val="000760FF"/>
    <w:rsid w:val="0007624F"/>
    <w:rsid w:val="00076283"/>
    <w:rsid w:val="000762CE"/>
    <w:rsid w:val="00076310"/>
    <w:rsid w:val="000763E7"/>
    <w:rsid w:val="000764B2"/>
    <w:rsid w:val="00076546"/>
    <w:rsid w:val="000766A2"/>
    <w:rsid w:val="0007678A"/>
    <w:rsid w:val="000767FC"/>
    <w:rsid w:val="00076830"/>
    <w:rsid w:val="000768D4"/>
    <w:rsid w:val="000768F3"/>
    <w:rsid w:val="00076A61"/>
    <w:rsid w:val="00076A98"/>
    <w:rsid w:val="00076BF5"/>
    <w:rsid w:val="00076CDA"/>
    <w:rsid w:val="00076D5A"/>
    <w:rsid w:val="00076EBC"/>
    <w:rsid w:val="00076FF9"/>
    <w:rsid w:val="00077005"/>
    <w:rsid w:val="00077053"/>
    <w:rsid w:val="000770B6"/>
    <w:rsid w:val="000771AC"/>
    <w:rsid w:val="000771FF"/>
    <w:rsid w:val="000772EA"/>
    <w:rsid w:val="0007735E"/>
    <w:rsid w:val="0007746E"/>
    <w:rsid w:val="000775A9"/>
    <w:rsid w:val="000775C5"/>
    <w:rsid w:val="0007772D"/>
    <w:rsid w:val="00077747"/>
    <w:rsid w:val="00077874"/>
    <w:rsid w:val="000778B0"/>
    <w:rsid w:val="00077A7D"/>
    <w:rsid w:val="00077A97"/>
    <w:rsid w:val="00077B2B"/>
    <w:rsid w:val="00077B6E"/>
    <w:rsid w:val="00077BE2"/>
    <w:rsid w:val="00077C23"/>
    <w:rsid w:val="00077D45"/>
    <w:rsid w:val="00077DB3"/>
    <w:rsid w:val="00080103"/>
    <w:rsid w:val="000801BC"/>
    <w:rsid w:val="000801C2"/>
    <w:rsid w:val="000801D0"/>
    <w:rsid w:val="0008028A"/>
    <w:rsid w:val="000802AC"/>
    <w:rsid w:val="000802D2"/>
    <w:rsid w:val="000802D4"/>
    <w:rsid w:val="00080387"/>
    <w:rsid w:val="000803C0"/>
    <w:rsid w:val="000803DD"/>
    <w:rsid w:val="00080414"/>
    <w:rsid w:val="0008042B"/>
    <w:rsid w:val="0008046C"/>
    <w:rsid w:val="0008054A"/>
    <w:rsid w:val="00080570"/>
    <w:rsid w:val="0008073E"/>
    <w:rsid w:val="000807C9"/>
    <w:rsid w:val="00080911"/>
    <w:rsid w:val="00080915"/>
    <w:rsid w:val="000809A9"/>
    <w:rsid w:val="00080C6F"/>
    <w:rsid w:val="00080CA6"/>
    <w:rsid w:val="00080CAA"/>
    <w:rsid w:val="00080D4E"/>
    <w:rsid w:val="00080D65"/>
    <w:rsid w:val="00080DA4"/>
    <w:rsid w:val="00080DC4"/>
    <w:rsid w:val="00080EEA"/>
    <w:rsid w:val="00080FCC"/>
    <w:rsid w:val="000810FA"/>
    <w:rsid w:val="0008118A"/>
    <w:rsid w:val="000811DA"/>
    <w:rsid w:val="000812EC"/>
    <w:rsid w:val="0008130C"/>
    <w:rsid w:val="0008137C"/>
    <w:rsid w:val="000813A2"/>
    <w:rsid w:val="0008149F"/>
    <w:rsid w:val="0008153D"/>
    <w:rsid w:val="00081635"/>
    <w:rsid w:val="0008166B"/>
    <w:rsid w:val="000816D1"/>
    <w:rsid w:val="0008172A"/>
    <w:rsid w:val="000817C1"/>
    <w:rsid w:val="0008193F"/>
    <w:rsid w:val="00081A4A"/>
    <w:rsid w:val="00081AD9"/>
    <w:rsid w:val="00081B97"/>
    <w:rsid w:val="00081BA3"/>
    <w:rsid w:val="00081BBF"/>
    <w:rsid w:val="00081BD3"/>
    <w:rsid w:val="00081CBC"/>
    <w:rsid w:val="00081CDD"/>
    <w:rsid w:val="00081D2F"/>
    <w:rsid w:val="00081D63"/>
    <w:rsid w:val="00081DD3"/>
    <w:rsid w:val="00081EA0"/>
    <w:rsid w:val="00081F03"/>
    <w:rsid w:val="00081FD6"/>
    <w:rsid w:val="00082007"/>
    <w:rsid w:val="0008204F"/>
    <w:rsid w:val="00082071"/>
    <w:rsid w:val="0008214D"/>
    <w:rsid w:val="00082234"/>
    <w:rsid w:val="000822D1"/>
    <w:rsid w:val="00082343"/>
    <w:rsid w:val="0008240B"/>
    <w:rsid w:val="0008240C"/>
    <w:rsid w:val="00082422"/>
    <w:rsid w:val="0008242B"/>
    <w:rsid w:val="0008242F"/>
    <w:rsid w:val="000824F2"/>
    <w:rsid w:val="00082601"/>
    <w:rsid w:val="00082812"/>
    <w:rsid w:val="0008288E"/>
    <w:rsid w:val="0008297B"/>
    <w:rsid w:val="0008298B"/>
    <w:rsid w:val="000829D4"/>
    <w:rsid w:val="000829E2"/>
    <w:rsid w:val="00082A94"/>
    <w:rsid w:val="00082C13"/>
    <w:rsid w:val="00082D31"/>
    <w:rsid w:val="00082D62"/>
    <w:rsid w:val="00082EC9"/>
    <w:rsid w:val="00082ECE"/>
    <w:rsid w:val="00082EE2"/>
    <w:rsid w:val="00083082"/>
    <w:rsid w:val="000830A9"/>
    <w:rsid w:val="000830F8"/>
    <w:rsid w:val="00083171"/>
    <w:rsid w:val="00083444"/>
    <w:rsid w:val="000834D0"/>
    <w:rsid w:val="000836F8"/>
    <w:rsid w:val="0008375B"/>
    <w:rsid w:val="0008378A"/>
    <w:rsid w:val="0008378F"/>
    <w:rsid w:val="000837F6"/>
    <w:rsid w:val="0008386D"/>
    <w:rsid w:val="0008399F"/>
    <w:rsid w:val="000839A2"/>
    <w:rsid w:val="00083A12"/>
    <w:rsid w:val="00083A43"/>
    <w:rsid w:val="00083AAE"/>
    <w:rsid w:val="00083C73"/>
    <w:rsid w:val="00083C9E"/>
    <w:rsid w:val="00083CFD"/>
    <w:rsid w:val="00083D30"/>
    <w:rsid w:val="00083D5A"/>
    <w:rsid w:val="00083DF0"/>
    <w:rsid w:val="00083DFA"/>
    <w:rsid w:val="00083E1A"/>
    <w:rsid w:val="00083E57"/>
    <w:rsid w:val="00083E65"/>
    <w:rsid w:val="00083F9A"/>
    <w:rsid w:val="00083FFC"/>
    <w:rsid w:val="00083FFE"/>
    <w:rsid w:val="0008416B"/>
    <w:rsid w:val="000841F9"/>
    <w:rsid w:val="00084213"/>
    <w:rsid w:val="0008440B"/>
    <w:rsid w:val="000846C3"/>
    <w:rsid w:val="000846E5"/>
    <w:rsid w:val="0008487C"/>
    <w:rsid w:val="00084992"/>
    <w:rsid w:val="00084993"/>
    <w:rsid w:val="00084B9D"/>
    <w:rsid w:val="00084BE0"/>
    <w:rsid w:val="00084D39"/>
    <w:rsid w:val="00084D50"/>
    <w:rsid w:val="00084D77"/>
    <w:rsid w:val="00084DCA"/>
    <w:rsid w:val="00084EDF"/>
    <w:rsid w:val="00084F13"/>
    <w:rsid w:val="00084F34"/>
    <w:rsid w:val="00084F68"/>
    <w:rsid w:val="00084F6C"/>
    <w:rsid w:val="00085148"/>
    <w:rsid w:val="00085180"/>
    <w:rsid w:val="00085288"/>
    <w:rsid w:val="00085291"/>
    <w:rsid w:val="0008529C"/>
    <w:rsid w:val="000852E5"/>
    <w:rsid w:val="0008534C"/>
    <w:rsid w:val="000853D4"/>
    <w:rsid w:val="00085415"/>
    <w:rsid w:val="0008560A"/>
    <w:rsid w:val="00085749"/>
    <w:rsid w:val="000858B1"/>
    <w:rsid w:val="000858F3"/>
    <w:rsid w:val="00085993"/>
    <w:rsid w:val="00085AF6"/>
    <w:rsid w:val="00085BA5"/>
    <w:rsid w:val="00085CDC"/>
    <w:rsid w:val="00085E72"/>
    <w:rsid w:val="000860FF"/>
    <w:rsid w:val="000861FC"/>
    <w:rsid w:val="00086289"/>
    <w:rsid w:val="000862DC"/>
    <w:rsid w:val="00086479"/>
    <w:rsid w:val="00086606"/>
    <w:rsid w:val="00086822"/>
    <w:rsid w:val="00086863"/>
    <w:rsid w:val="000868BF"/>
    <w:rsid w:val="000868D4"/>
    <w:rsid w:val="000868FF"/>
    <w:rsid w:val="00086937"/>
    <w:rsid w:val="00086A24"/>
    <w:rsid w:val="00086B37"/>
    <w:rsid w:val="00086B45"/>
    <w:rsid w:val="00086CF5"/>
    <w:rsid w:val="00086EE9"/>
    <w:rsid w:val="00086EF4"/>
    <w:rsid w:val="00086F01"/>
    <w:rsid w:val="00086F50"/>
    <w:rsid w:val="000872EC"/>
    <w:rsid w:val="000873A7"/>
    <w:rsid w:val="00087463"/>
    <w:rsid w:val="00087465"/>
    <w:rsid w:val="00087581"/>
    <w:rsid w:val="00087608"/>
    <w:rsid w:val="000876A1"/>
    <w:rsid w:val="000877D0"/>
    <w:rsid w:val="00087810"/>
    <w:rsid w:val="00087876"/>
    <w:rsid w:val="00087895"/>
    <w:rsid w:val="000878A2"/>
    <w:rsid w:val="000878C5"/>
    <w:rsid w:val="0008792E"/>
    <w:rsid w:val="00087A3D"/>
    <w:rsid w:val="00087AEF"/>
    <w:rsid w:val="00087B6F"/>
    <w:rsid w:val="00087BCF"/>
    <w:rsid w:val="00087BF2"/>
    <w:rsid w:val="00087C1B"/>
    <w:rsid w:val="00087D66"/>
    <w:rsid w:val="00087ECB"/>
    <w:rsid w:val="00087F13"/>
    <w:rsid w:val="00087F2E"/>
    <w:rsid w:val="00087FB4"/>
    <w:rsid w:val="00087FEA"/>
    <w:rsid w:val="000900F5"/>
    <w:rsid w:val="0009011E"/>
    <w:rsid w:val="0009032C"/>
    <w:rsid w:val="00090338"/>
    <w:rsid w:val="0009043B"/>
    <w:rsid w:val="000904C3"/>
    <w:rsid w:val="0009056C"/>
    <w:rsid w:val="000905AA"/>
    <w:rsid w:val="00090623"/>
    <w:rsid w:val="000906E2"/>
    <w:rsid w:val="000906E9"/>
    <w:rsid w:val="00090748"/>
    <w:rsid w:val="00090944"/>
    <w:rsid w:val="0009098C"/>
    <w:rsid w:val="00090ACF"/>
    <w:rsid w:val="00090B3C"/>
    <w:rsid w:val="00090CFA"/>
    <w:rsid w:val="00090D33"/>
    <w:rsid w:val="00090D7F"/>
    <w:rsid w:val="00090DC3"/>
    <w:rsid w:val="00090E5F"/>
    <w:rsid w:val="00090EA0"/>
    <w:rsid w:val="00090F31"/>
    <w:rsid w:val="00090F79"/>
    <w:rsid w:val="00091013"/>
    <w:rsid w:val="0009108B"/>
    <w:rsid w:val="00091103"/>
    <w:rsid w:val="0009112C"/>
    <w:rsid w:val="0009117D"/>
    <w:rsid w:val="00091181"/>
    <w:rsid w:val="000911AF"/>
    <w:rsid w:val="0009125B"/>
    <w:rsid w:val="00091268"/>
    <w:rsid w:val="000912D0"/>
    <w:rsid w:val="000912E7"/>
    <w:rsid w:val="000913A0"/>
    <w:rsid w:val="00091432"/>
    <w:rsid w:val="00091443"/>
    <w:rsid w:val="0009146A"/>
    <w:rsid w:val="0009146D"/>
    <w:rsid w:val="000914B1"/>
    <w:rsid w:val="000915FD"/>
    <w:rsid w:val="00091810"/>
    <w:rsid w:val="0009183E"/>
    <w:rsid w:val="0009195F"/>
    <w:rsid w:val="000919B3"/>
    <w:rsid w:val="000919F4"/>
    <w:rsid w:val="00091ACF"/>
    <w:rsid w:val="00091B4D"/>
    <w:rsid w:val="00091D14"/>
    <w:rsid w:val="00091E37"/>
    <w:rsid w:val="00091EB9"/>
    <w:rsid w:val="0009204C"/>
    <w:rsid w:val="00092057"/>
    <w:rsid w:val="00092098"/>
    <w:rsid w:val="00092142"/>
    <w:rsid w:val="00092214"/>
    <w:rsid w:val="00092234"/>
    <w:rsid w:val="00092266"/>
    <w:rsid w:val="00092285"/>
    <w:rsid w:val="00092293"/>
    <w:rsid w:val="00092327"/>
    <w:rsid w:val="00092343"/>
    <w:rsid w:val="000923D2"/>
    <w:rsid w:val="0009242A"/>
    <w:rsid w:val="00092464"/>
    <w:rsid w:val="000924D1"/>
    <w:rsid w:val="000924D6"/>
    <w:rsid w:val="000924EB"/>
    <w:rsid w:val="00092858"/>
    <w:rsid w:val="0009287A"/>
    <w:rsid w:val="00092893"/>
    <w:rsid w:val="0009289E"/>
    <w:rsid w:val="0009290A"/>
    <w:rsid w:val="00092B1D"/>
    <w:rsid w:val="00092B61"/>
    <w:rsid w:val="00092B87"/>
    <w:rsid w:val="00092C3E"/>
    <w:rsid w:val="00092CC1"/>
    <w:rsid w:val="00092DDF"/>
    <w:rsid w:val="00092E45"/>
    <w:rsid w:val="00092ED4"/>
    <w:rsid w:val="00092F17"/>
    <w:rsid w:val="00092F40"/>
    <w:rsid w:val="00092FF4"/>
    <w:rsid w:val="000930C3"/>
    <w:rsid w:val="000930C6"/>
    <w:rsid w:val="000930DD"/>
    <w:rsid w:val="0009315E"/>
    <w:rsid w:val="00093202"/>
    <w:rsid w:val="00093228"/>
    <w:rsid w:val="00093235"/>
    <w:rsid w:val="00093238"/>
    <w:rsid w:val="0009329A"/>
    <w:rsid w:val="000932CB"/>
    <w:rsid w:val="00093359"/>
    <w:rsid w:val="00093390"/>
    <w:rsid w:val="000933E1"/>
    <w:rsid w:val="000933E3"/>
    <w:rsid w:val="000934A8"/>
    <w:rsid w:val="000934AF"/>
    <w:rsid w:val="0009350E"/>
    <w:rsid w:val="0009352C"/>
    <w:rsid w:val="00093562"/>
    <w:rsid w:val="00093651"/>
    <w:rsid w:val="00093700"/>
    <w:rsid w:val="0009379A"/>
    <w:rsid w:val="00093872"/>
    <w:rsid w:val="0009387C"/>
    <w:rsid w:val="0009388E"/>
    <w:rsid w:val="000939B1"/>
    <w:rsid w:val="00093B36"/>
    <w:rsid w:val="00093C41"/>
    <w:rsid w:val="00093C54"/>
    <w:rsid w:val="00093D2B"/>
    <w:rsid w:val="00093EA9"/>
    <w:rsid w:val="00093EDA"/>
    <w:rsid w:val="00093FA5"/>
    <w:rsid w:val="00093FE9"/>
    <w:rsid w:val="000940C8"/>
    <w:rsid w:val="000940EE"/>
    <w:rsid w:val="00094112"/>
    <w:rsid w:val="000941D5"/>
    <w:rsid w:val="0009424C"/>
    <w:rsid w:val="00094264"/>
    <w:rsid w:val="0009434D"/>
    <w:rsid w:val="00094357"/>
    <w:rsid w:val="00094413"/>
    <w:rsid w:val="00094445"/>
    <w:rsid w:val="0009444D"/>
    <w:rsid w:val="0009445A"/>
    <w:rsid w:val="000945CE"/>
    <w:rsid w:val="0009468B"/>
    <w:rsid w:val="000946C2"/>
    <w:rsid w:val="00094850"/>
    <w:rsid w:val="0009494A"/>
    <w:rsid w:val="000949B3"/>
    <w:rsid w:val="00094A0A"/>
    <w:rsid w:val="00094A11"/>
    <w:rsid w:val="00094A6A"/>
    <w:rsid w:val="00094B64"/>
    <w:rsid w:val="00094B82"/>
    <w:rsid w:val="00094B87"/>
    <w:rsid w:val="00094BB1"/>
    <w:rsid w:val="00094BC0"/>
    <w:rsid w:val="00094BE9"/>
    <w:rsid w:val="00094C5F"/>
    <w:rsid w:val="00094D34"/>
    <w:rsid w:val="00094D51"/>
    <w:rsid w:val="00094D5C"/>
    <w:rsid w:val="00094D9B"/>
    <w:rsid w:val="00094DD7"/>
    <w:rsid w:val="00094E84"/>
    <w:rsid w:val="00094EAC"/>
    <w:rsid w:val="00094EF3"/>
    <w:rsid w:val="00094F84"/>
    <w:rsid w:val="00095039"/>
    <w:rsid w:val="00095054"/>
    <w:rsid w:val="000950C8"/>
    <w:rsid w:val="000950F3"/>
    <w:rsid w:val="00095121"/>
    <w:rsid w:val="00095184"/>
    <w:rsid w:val="0009519E"/>
    <w:rsid w:val="00095222"/>
    <w:rsid w:val="00095265"/>
    <w:rsid w:val="000953E3"/>
    <w:rsid w:val="0009568C"/>
    <w:rsid w:val="00095693"/>
    <w:rsid w:val="00095709"/>
    <w:rsid w:val="00095888"/>
    <w:rsid w:val="00095902"/>
    <w:rsid w:val="00095903"/>
    <w:rsid w:val="0009597A"/>
    <w:rsid w:val="000959DA"/>
    <w:rsid w:val="00095A26"/>
    <w:rsid w:val="00095A32"/>
    <w:rsid w:val="00095A70"/>
    <w:rsid w:val="00095A8B"/>
    <w:rsid w:val="00095B26"/>
    <w:rsid w:val="00095CDA"/>
    <w:rsid w:val="00095D41"/>
    <w:rsid w:val="00095DBA"/>
    <w:rsid w:val="00095F75"/>
    <w:rsid w:val="00095FA2"/>
    <w:rsid w:val="0009603A"/>
    <w:rsid w:val="00096048"/>
    <w:rsid w:val="00096073"/>
    <w:rsid w:val="00096142"/>
    <w:rsid w:val="000961AD"/>
    <w:rsid w:val="000961C5"/>
    <w:rsid w:val="000963D0"/>
    <w:rsid w:val="000963E6"/>
    <w:rsid w:val="00096414"/>
    <w:rsid w:val="00096607"/>
    <w:rsid w:val="00096670"/>
    <w:rsid w:val="000966DA"/>
    <w:rsid w:val="000966FB"/>
    <w:rsid w:val="000967C6"/>
    <w:rsid w:val="00096865"/>
    <w:rsid w:val="00096884"/>
    <w:rsid w:val="000968DF"/>
    <w:rsid w:val="0009693D"/>
    <w:rsid w:val="00096969"/>
    <w:rsid w:val="0009696B"/>
    <w:rsid w:val="00096AEC"/>
    <w:rsid w:val="00096BB8"/>
    <w:rsid w:val="00096C16"/>
    <w:rsid w:val="00096C46"/>
    <w:rsid w:val="00096C5B"/>
    <w:rsid w:val="00096C63"/>
    <w:rsid w:val="00096CA8"/>
    <w:rsid w:val="00096CD3"/>
    <w:rsid w:val="00096DAC"/>
    <w:rsid w:val="00096E3F"/>
    <w:rsid w:val="00096F0E"/>
    <w:rsid w:val="00096F68"/>
    <w:rsid w:val="00096FF7"/>
    <w:rsid w:val="00097033"/>
    <w:rsid w:val="000972DC"/>
    <w:rsid w:val="000973C4"/>
    <w:rsid w:val="000974B6"/>
    <w:rsid w:val="000974C6"/>
    <w:rsid w:val="00097526"/>
    <w:rsid w:val="0009759A"/>
    <w:rsid w:val="000975CF"/>
    <w:rsid w:val="000977E5"/>
    <w:rsid w:val="00097861"/>
    <w:rsid w:val="000978F1"/>
    <w:rsid w:val="00097A14"/>
    <w:rsid w:val="00097A76"/>
    <w:rsid w:val="00097A77"/>
    <w:rsid w:val="00097ADD"/>
    <w:rsid w:val="00097B0D"/>
    <w:rsid w:val="00097B84"/>
    <w:rsid w:val="00097BAC"/>
    <w:rsid w:val="00097BD8"/>
    <w:rsid w:val="00097C59"/>
    <w:rsid w:val="00097F4A"/>
    <w:rsid w:val="00097F66"/>
    <w:rsid w:val="00097FC6"/>
    <w:rsid w:val="000A0017"/>
    <w:rsid w:val="000A0185"/>
    <w:rsid w:val="000A0282"/>
    <w:rsid w:val="000A04A0"/>
    <w:rsid w:val="000A0540"/>
    <w:rsid w:val="000A0586"/>
    <w:rsid w:val="000A0615"/>
    <w:rsid w:val="000A0751"/>
    <w:rsid w:val="000A09AB"/>
    <w:rsid w:val="000A0ABB"/>
    <w:rsid w:val="000A0B03"/>
    <w:rsid w:val="000A0B9F"/>
    <w:rsid w:val="000A0BCE"/>
    <w:rsid w:val="000A0D5B"/>
    <w:rsid w:val="000A0E25"/>
    <w:rsid w:val="000A0E9D"/>
    <w:rsid w:val="000A0F7F"/>
    <w:rsid w:val="000A0F84"/>
    <w:rsid w:val="000A117D"/>
    <w:rsid w:val="000A11DC"/>
    <w:rsid w:val="000A11DD"/>
    <w:rsid w:val="000A124F"/>
    <w:rsid w:val="000A135F"/>
    <w:rsid w:val="000A1392"/>
    <w:rsid w:val="000A13C3"/>
    <w:rsid w:val="000A1431"/>
    <w:rsid w:val="000A144C"/>
    <w:rsid w:val="000A15E1"/>
    <w:rsid w:val="000A15E3"/>
    <w:rsid w:val="000A1686"/>
    <w:rsid w:val="000A17DC"/>
    <w:rsid w:val="000A18DC"/>
    <w:rsid w:val="000A1938"/>
    <w:rsid w:val="000A1A83"/>
    <w:rsid w:val="000A1ABB"/>
    <w:rsid w:val="000A1B64"/>
    <w:rsid w:val="000A1C4B"/>
    <w:rsid w:val="000A1C81"/>
    <w:rsid w:val="000A1C85"/>
    <w:rsid w:val="000A1D14"/>
    <w:rsid w:val="000A1D84"/>
    <w:rsid w:val="000A1E64"/>
    <w:rsid w:val="000A1F41"/>
    <w:rsid w:val="000A1FA6"/>
    <w:rsid w:val="000A20CC"/>
    <w:rsid w:val="000A20DA"/>
    <w:rsid w:val="000A2339"/>
    <w:rsid w:val="000A2356"/>
    <w:rsid w:val="000A246C"/>
    <w:rsid w:val="000A24E8"/>
    <w:rsid w:val="000A255E"/>
    <w:rsid w:val="000A2616"/>
    <w:rsid w:val="000A2624"/>
    <w:rsid w:val="000A283E"/>
    <w:rsid w:val="000A297E"/>
    <w:rsid w:val="000A2ACE"/>
    <w:rsid w:val="000A2BBF"/>
    <w:rsid w:val="000A2CD3"/>
    <w:rsid w:val="000A2D69"/>
    <w:rsid w:val="000A2DC1"/>
    <w:rsid w:val="000A306F"/>
    <w:rsid w:val="000A3384"/>
    <w:rsid w:val="000A33E3"/>
    <w:rsid w:val="000A3499"/>
    <w:rsid w:val="000A34A7"/>
    <w:rsid w:val="000A3603"/>
    <w:rsid w:val="000A3609"/>
    <w:rsid w:val="000A3707"/>
    <w:rsid w:val="000A3774"/>
    <w:rsid w:val="000A3785"/>
    <w:rsid w:val="000A37A8"/>
    <w:rsid w:val="000A37CE"/>
    <w:rsid w:val="000A380F"/>
    <w:rsid w:val="000A3819"/>
    <w:rsid w:val="000A38BF"/>
    <w:rsid w:val="000A390C"/>
    <w:rsid w:val="000A3B34"/>
    <w:rsid w:val="000A3B47"/>
    <w:rsid w:val="000A3BD2"/>
    <w:rsid w:val="000A3C26"/>
    <w:rsid w:val="000A3DB7"/>
    <w:rsid w:val="000A3DEB"/>
    <w:rsid w:val="000A3E5B"/>
    <w:rsid w:val="000A3EE1"/>
    <w:rsid w:val="000A3F1C"/>
    <w:rsid w:val="000A3F26"/>
    <w:rsid w:val="000A3F30"/>
    <w:rsid w:val="000A3F74"/>
    <w:rsid w:val="000A4018"/>
    <w:rsid w:val="000A40B6"/>
    <w:rsid w:val="000A4173"/>
    <w:rsid w:val="000A41AF"/>
    <w:rsid w:val="000A427F"/>
    <w:rsid w:val="000A42CE"/>
    <w:rsid w:val="000A4300"/>
    <w:rsid w:val="000A4331"/>
    <w:rsid w:val="000A43DF"/>
    <w:rsid w:val="000A443A"/>
    <w:rsid w:val="000A44D9"/>
    <w:rsid w:val="000A4526"/>
    <w:rsid w:val="000A452C"/>
    <w:rsid w:val="000A45CD"/>
    <w:rsid w:val="000A4699"/>
    <w:rsid w:val="000A47CC"/>
    <w:rsid w:val="000A4810"/>
    <w:rsid w:val="000A4867"/>
    <w:rsid w:val="000A488E"/>
    <w:rsid w:val="000A48C8"/>
    <w:rsid w:val="000A48F6"/>
    <w:rsid w:val="000A49A5"/>
    <w:rsid w:val="000A49B3"/>
    <w:rsid w:val="000A4AA9"/>
    <w:rsid w:val="000A4AD2"/>
    <w:rsid w:val="000A4B0D"/>
    <w:rsid w:val="000A4B74"/>
    <w:rsid w:val="000A4D91"/>
    <w:rsid w:val="000A4EA7"/>
    <w:rsid w:val="000A4EA9"/>
    <w:rsid w:val="000A4F23"/>
    <w:rsid w:val="000A4F52"/>
    <w:rsid w:val="000A50DA"/>
    <w:rsid w:val="000A51AC"/>
    <w:rsid w:val="000A51B4"/>
    <w:rsid w:val="000A52A8"/>
    <w:rsid w:val="000A52AE"/>
    <w:rsid w:val="000A5319"/>
    <w:rsid w:val="000A5459"/>
    <w:rsid w:val="000A550C"/>
    <w:rsid w:val="000A5530"/>
    <w:rsid w:val="000A55DF"/>
    <w:rsid w:val="000A5602"/>
    <w:rsid w:val="000A568F"/>
    <w:rsid w:val="000A574D"/>
    <w:rsid w:val="000A5832"/>
    <w:rsid w:val="000A5900"/>
    <w:rsid w:val="000A5905"/>
    <w:rsid w:val="000A5928"/>
    <w:rsid w:val="000A5A2F"/>
    <w:rsid w:val="000A5A68"/>
    <w:rsid w:val="000A5A90"/>
    <w:rsid w:val="000A5B60"/>
    <w:rsid w:val="000A5BF1"/>
    <w:rsid w:val="000A5BFE"/>
    <w:rsid w:val="000A5C70"/>
    <w:rsid w:val="000A5C8C"/>
    <w:rsid w:val="000A5D51"/>
    <w:rsid w:val="000A5F86"/>
    <w:rsid w:val="000A603E"/>
    <w:rsid w:val="000A6099"/>
    <w:rsid w:val="000A609D"/>
    <w:rsid w:val="000A60A2"/>
    <w:rsid w:val="000A60C8"/>
    <w:rsid w:val="000A60FC"/>
    <w:rsid w:val="000A61A4"/>
    <w:rsid w:val="000A61A9"/>
    <w:rsid w:val="000A61B1"/>
    <w:rsid w:val="000A6280"/>
    <w:rsid w:val="000A6288"/>
    <w:rsid w:val="000A6649"/>
    <w:rsid w:val="000A667C"/>
    <w:rsid w:val="000A66DE"/>
    <w:rsid w:val="000A681D"/>
    <w:rsid w:val="000A68A4"/>
    <w:rsid w:val="000A6981"/>
    <w:rsid w:val="000A69A7"/>
    <w:rsid w:val="000A6AF1"/>
    <w:rsid w:val="000A6B37"/>
    <w:rsid w:val="000A6C10"/>
    <w:rsid w:val="000A6D22"/>
    <w:rsid w:val="000A6D71"/>
    <w:rsid w:val="000A6ED4"/>
    <w:rsid w:val="000A6F88"/>
    <w:rsid w:val="000A7082"/>
    <w:rsid w:val="000A715E"/>
    <w:rsid w:val="000A7188"/>
    <w:rsid w:val="000A7209"/>
    <w:rsid w:val="000A7237"/>
    <w:rsid w:val="000A7397"/>
    <w:rsid w:val="000A73E7"/>
    <w:rsid w:val="000A73EC"/>
    <w:rsid w:val="000A74B5"/>
    <w:rsid w:val="000A74C2"/>
    <w:rsid w:val="000A74FB"/>
    <w:rsid w:val="000A756B"/>
    <w:rsid w:val="000A7654"/>
    <w:rsid w:val="000A7688"/>
    <w:rsid w:val="000A771E"/>
    <w:rsid w:val="000A784A"/>
    <w:rsid w:val="000A7850"/>
    <w:rsid w:val="000A7A2F"/>
    <w:rsid w:val="000A7A4A"/>
    <w:rsid w:val="000A7B7A"/>
    <w:rsid w:val="000A7B88"/>
    <w:rsid w:val="000A7C4D"/>
    <w:rsid w:val="000A7CF0"/>
    <w:rsid w:val="000A7D48"/>
    <w:rsid w:val="000A7D8D"/>
    <w:rsid w:val="000A7DDE"/>
    <w:rsid w:val="000A7F1F"/>
    <w:rsid w:val="000A7FB9"/>
    <w:rsid w:val="000B00D4"/>
    <w:rsid w:val="000B0162"/>
    <w:rsid w:val="000B030D"/>
    <w:rsid w:val="000B03A2"/>
    <w:rsid w:val="000B03FA"/>
    <w:rsid w:val="000B047D"/>
    <w:rsid w:val="000B047E"/>
    <w:rsid w:val="000B04E2"/>
    <w:rsid w:val="000B0514"/>
    <w:rsid w:val="000B052E"/>
    <w:rsid w:val="000B05E7"/>
    <w:rsid w:val="000B0628"/>
    <w:rsid w:val="000B0671"/>
    <w:rsid w:val="000B0680"/>
    <w:rsid w:val="000B07E2"/>
    <w:rsid w:val="000B09A3"/>
    <w:rsid w:val="000B0A6E"/>
    <w:rsid w:val="000B0AD1"/>
    <w:rsid w:val="000B0B32"/>
    <w:rsid w:val="000B0B3B"/>
    <w:rsid w:val="000B0CD7"/>
    <w:rsid w:val="000B0CFB"/>
    <w:rsid w:val="000B0D01"/>
    <w:rsid w:val="000B0D12"/>
    <w:rsid w:val="000B0F28"/>
    <w:rsid w:val="000B0FAB"/>
    <w:rsid w:val="000B0FB8"/>
    <w:rsid w:val="000B0FCC"/>
    <w:rsid w:val="000B0FFA"/>
    <w:rsid w:val="000B10B0"/>
    <w:rsid w:val="000B10B4"/>
    <w:rsid w:val="000B11C0"/>
    <w:rsid w:val="000B1248"/>
    <w:rsid w:val="000B12AC"/>
    <w:rsid w:val="000B12B3"/>
    <w:rsid w:val="000B1390"/>
    <w:rsid w:val="000B1397"/>
    <w:rsid w:val="000B13E8"/>
    <w:rsid w:val="000B1517"/>
    <w:rsid w:val="000B15F4"/>
    <w:rsid w:val="000B176F"/>
    <w:rsid w:val="000B18DD"/>
    <w:rsid w:val="000B1A20"/>
    <w:rsid w:val="000B1B4B"/>
    <w:rsid w:val="000B1C09"/>
    <w:rsid w:val="000B1C4C"/>
    <w:rsid w:val="000B1C6A"/>
    <w:rsid w:val="000B1CAA"/>
    <w:rsid w:val="000B1CFB"/>
    <w:rsid w:val="000B1CFD"/>
    <w:rsid w:val="000B20CC"/>
    <w:rsid w:val="000B20D2"/>
    <w:rsid w:val="000B2101"/>
    <w:rsid w:val="000B21B2"/>
    <w:rsid w:val="000B21C1"/>
    <w:rsid w:val="000B22AB"/>
    <w:rsid w:val="000B22ED"/>
    <w:rsid w:val="000B2332"/>
    <w:rsid w:val="000B23A7"/>
    <w:rsid w:val="000B23FE"/>
    <w:rsid w:val="000B250F"/>
    <w:rsid w:val="000B25AE"/>
    <w:rsid w:val="000B2774"/>
    <w:rsid w:val="000B27EC"/>
    <w:rsid w:val="000B28E2"/>
    <w:rsid w:val="000B2946"/>
    <w:rsid w:val="000B2967"/>
    <w:rsid w:val="000B2A8A"/>
    <w:rsid w:val="000B2AB0"/>
    <w:rsid w:val="000B2AF7"/>
    <w:rsid w:val="000B2BB3"/>
    <w:rsid w:val="000B2BD3"/>
    <w:rsid w:val="000B2C35"/>
    <w:rsid w:val="000B2C8F"/>
    <w:rsid w:val="000B2E35"/>
    <w:rsid w:val="000B2ED3"/>
    <w:rsid w:val="000B3148"/>
    <w:rsid w:val="000B3180"/>
    <w:rsid w:val="000B32AB"/>
    <w:rsid w:val="000B3400"/>
    <w:rsid w:val="000B3531"/>
    <w:rsid w:val="000B3571"/>
    <w:rsid w:val="000B3575"/>
    <w:rsid w:val="000B3588"/>
    <w:rsid w:val="000B35EE"/>
    <w:rsid w:val="000B3757"/>
    <w:rsid w:val="000B3760"/>
    <w:rsid w:val="000B37EF"/>
    <w:rsid w:val="000B38BA"/>
    <w:rsid w:val="000B38D3"/>
    <w:rsid w:val="000B39C2"/>
    <w:rsid w:val="000B39E9"/>
    <w:rsid w:val="000B3B17"/>
    <w:rsid w:val="000B3B58"/>
    <w:rsid w:val="000B3B59"/>
    <w:rsid w:val="000B3BF1"/>
    <w:rsid w:val="000B3C1B"/>
    <w:rsid w:val="000B3CCC"/>
    <w:rsid w:val="000B3D3A"/>
    <w:rsid w:val="000B3D5B"/>
    <w:rsid w:val="000B3E02"/>
    <w:rsid w:val="000B3F0D"/>
    <w:rsid w:val="000B3F94"/>
    <w:rsid w:val="000B3FE1"/>
    <w:rsid w:val="000B3FF7"/>
    <w:rsid w:val="000B4043"/>
    <w:rsid w:val="000B406D"/>
    <w:rsid w:val="000B40EF"/>
    <w:rsid w:val="000B412E"/>
    <w:rsid w:val="000B41BA"/>
    <w:rsid w:val="000B4216"/>
    <w:rsid w:val="000B4346"/>
    <w:rsid w:val="000B4427"/>
    <w:rsid w:val="000B4428"/>
    <w:rsid w:val="000B44D0"/>
    <w:rsid w:val="000B463C"/>
    <w:rsid w:val="000B4677"/>
    <w:rsid w:val="000B46B1"/>
    <w:rsid w:val="000B46FA"/>
    <w:rsid w:val="000B46FE"/>
    <w:rsid w:val="000B4928"/>
    <w:rsid w:val="000B4A4A"/>
    <w:rsid w:val="000B4A5F"/>
    <w:rsid w:val="000B4C1A"/>
    <w:rsid w:val="000B4C70"/>
    <w:rsid w:val="000B4D81"/>
    <w:rsid w:val="000B4DBC"/>
    <w:rsid w:val="000B4E63"/>
    <w:rsid w:val="000B4F93"/>
    <w:rsid w:val="000B4FBE"/>
    <w:rsid w:val="000B4FCE"/>
    <w:rsid w:val="000B5308"/>
    <w:rsid w:val="000B5326"/>
    <w:rsid w:val="000B5348"/>
    <w:rsid w:val="000B5353"/>
    <w:rsid w:val="000B5375"/>
    <w:rsid w:val="000B5381"/>
    <w:rsid w:val="000B53D1"/>
    <w:rsid w:val="000B54C6"/>
    <w:rsid w:val="000B54E5"/>
    <w:rsid w:val="000B550E"/>
    <w:rsid w:val="000B5644"/>
    <w:rsid w:val="000B5782"/>
    <w:rsid w:val="000B57CF"/>
    <w:rsid w:val="000B5861"/>
    <w:rsid w:val="000B58A4"/>
    <w:rsid w:val="000B599F"/>
    <w:rsid w:val="000B5A02"/>
    <w:rsid w:val="000B5A1C"/>
    <w:rsid w:val="000B5A44"/>
    <w:rsid w:val="000B5AF3"/>
    <w:rsid w:val="000B5B09"/>
    <w:rsid w:val="000B5B2C"/>
    <w:rsid w:val="000B5B37"/>
    <w:rsid w:val="000B5B4E"/>
    <w:rsid w:val="000B5BBD"/>
    <w:rsid w:val="000B5C87"/>
    <w:rsid w:val="000B5C90"/>
    <w:rsid w:val="000B5CC4"/>
    <w:rsid w:val="000B5D17"/>
    <w:rsid w:val="000B5D40"/>
    <w:rsid w:val="000B5E0E"/>
    <w:rsid w:val="000B5E21"/>
    <w:rsid w:val="000B5EF6"/>
    <w:rsid w:val="000B5FC5"/>
    <w:rsid w:val="000B60B8"/>
    <w:rsid w:val="000B6199"/>
    <w:rsid w:val="000B61D8"/>
    <w:rsid w:val="000B61E8"/>
    <w:rsid w:val="000B62E1"/>
    <w:rsid w:val="000B62E5"/>
    <w:rsid w:val="000B630F"/>
    <w:rsid w:val="000B6421"/>
    <w:rsid w:val="000B6551"/>
    <w:rsid w:val="000B6649"/>
    <w:rsid w:val="000B664A"/>
    <w:rsid w:val="000B6672"/>
    <w:rsid w:val="000B66B7"/>
    <w:rsid w:val="000B66BE"/>
    <w:rsid w:val="000B67F5"/>
    <w:rsid w:val="000B6829"/>
    <w:rsid w:val="000B6858"/>
    <w:rsid w:val="000B68DC"/>
    <w:rsid w:val="000B6992"/>
    <w:rsid w:val="000B6A36"/>
    <w:rsid w:val="000B6B2C"/>
    <w:rsid w:val="000B6BA0"/>
    <w:rsid w:val="000B6C11"/>
    <w:rsid w:val="000B6C1F"/>
    <w:rsid w:val="000B6C92"/>
    <w:rsid w:val="000B6CC9"/>
    <w:rsid w:val="000B6D64"/>
    <w:rsid w:val="000B6D6C"/>
    <w:rsid w:val="000B6EFA"/>
    <w:rsid w:val="000B6FC9"/>
    <w:rsid w:val="000B70D1"/>
    <w:rsid w:val="000B71FE"/>
    <w:rsid w:val="000B7210"/>
    <w:rsid w:val="000B7218"/>
    <w:rsid w:val="000B72D8"/>
    <w:rsid w:val="000B747B"/>
    <w:rsid w:val="000B75B0"/>
    <w:rsid w:val="000B768A"/>
    <w:rsid w:val="000B76D2"/>
    <w:rsid w:val="000B76DD"/>
    <w:rsid w:val="000B7722"/>
    <w:rsid w:val="000B7725"/>
    <w:rsid w:val="000B7787"/>
    <w:rsid w:val="000B79ED"/>
    <w:rsid w:val="000B7A48"/>
    <w:rsid w:val="000B7B09"/>
    <w:rsid w:val="000B7B60"/>
    <w:rsid w:val="000B7BA8"/>
    <w:rsid w:val="000B7BCF"/>
    <w:rsid w:val="000B7BD5"/>
    <w:rsid w:val="000B7D10"/>
    <w:rsid w:val="000B7D69"/>
    <w:rsid w:val="000B7E29"/>
    <w:rsid w:val="000B7E4E"/>
    <w:rsid w:val="000B7FCF"/>
    <w:rsid w:val="000B7FD3"/>
    <w:rsid w:val="000C0028"/>
    <w:rsid w:val="000C0033"/>
    <w:rsid w:val="000C0074"/>
    <w:rsid w:val="000C00EC"/>
    <w:rsid w:val="000C00F1"/>
    <w:rsid w:val="000C0108"/>
    <w:rsid w:val="000C0125"/>
    <w:rsid w:val="000C012C"/>
    <w:rsid w:val="000C0185"/>
    <w:rsid w:val="000C0267"/>
    <w:rsid w:val="000C02CC"/>
    <w:rsid w:val="000C02DC"/>
    <w:rsid w:val="000C0397"/>
    <w:rsid w:val="000C03E5"/>
    <w:rsid w:val="000C0444"/>
    <w:rsid w:val="000C0459"/>
    <w:rsid w:val="000C0491"/>
    <w:rsid w:val="000C0539"/>
    <w:rsid w:val="000C0581"/>
    <w:rsid w:val="000C058F"/>
    <w:rsid w:val="000C05A3"/>
    <w:rsid w:val="000C05CD"/>
    <w:rsid w:val="000C05EB"/>
    <w:rsid w:val="000C06D2"/>
    <w:rsid w:val="000C070B"/>
    <w:rsid w:val="000C0809"/>
    <w:rsid w:val="000C0877"/>
    <w:rsid w:val="000C0960"/>
    <w:rsid w:val="000C0972"/>
    <w:rsid w:val="000C09BA"/>
    <w:rsid w:val="000C0A6B"/>
    <w:rsid w:val="000C0B89"/>
    <w:rsid w:val="000C0BF6"/>
    <w:rsid w:val="000C0D7E"/>
    <w:rsid w:val="000C0DA2"/>
    <w:rsid w:val="000C0E17"/>
    <w:rsid w:val="000C0E71"/>
    <w:rsid w:val="000C0E8E"/>
    <w:rsid w:val="000C0EB2"/>
    <w:rsid w:val="000C0F08"/>
    <w:rsid w:val="000C1017"/>
    <w:rsid w:val="000C1096"/>
    <w:rsid w:val="000C1101"/>
    <w:rsid w:val="000C11CF"/>
    <w:rsid w:val="000C12B9"/>
    <w:rsid w:val="000C133A"/>
    <w:rsid w:val="000C1426"/>
    <w:rsid w:val="000C1477"/>
    <w:rsid w:val="000C1539"/>
    <w:rsid w:val="000C15E3"/>
    <w:rsid w:val="000C15F1"/>
    <w:rsid w:val="000C1738"/>
    <w:rsid w:val="000C17AF"/>
    <w:rsid w:val="000C181B"/>
    <w:rsid w:val="000C186A"/>
    <w:rsid w:val="000C18E4"/>
    <w:rsid w:val="000C18E7"/>
    <w:rsid w:val="000C18EF"/>
    <w:rsid w:val="000C191C"/>
    <w:rsid w:val="000C19A4"/>
    <w:rsid w:val="000C1A86"/>
    <w:rsid w:val="000C1A8C"/>
    <w:rsid w:val="000C1BAA"/>
    <w:rsid w:val="000C1C1A"/>
    <w:rsid w:val="000C1C47"/>
    <w:rsid w:val="000C1D32"/>
    <w:rsid w:val="000C1D64"/>
    <w:rsid w:val="000C1DAF"/>
    <w:rsid w:val="000C1ED2"/>
    <w:rsid w:val="000C1F2F"/>
    <w:rsid w:val="000C1FDA"/>
    <w:rsid w:val="000C206B"/>
    <w:rsid w:val="000C20DF"/>
    <w:rsid w:val="000C21B4"/>
    <w:rsid w:val="000C21C7"/>
    <w:rsid w:val="000C2249"/>
    <w:rsid w:val="000C22C4"/>
    <w:rsid w:val="000C239D"/>
    <w:rsid w:val="000C25AF"/>
    <w:rsid w:val="000C27CF"/>
    <w:rsid w:val="000C2825"/>
    <w:rsid w:val="000C29E7"/>
    <w:rsid w:val="000C2A6E"/>
    <w:rsid w:val="000C2A84"/>
    <w:rsid w:val="000C2C18"/>
    <w:rsid w:val="000C2CA5"/>
    <w:rsid w:val="000C2D5C"/>
    <w:rsid w:val="000C2D75"/>
    <w:rsid w:val="000C2E9B"/>
    <w:rsid w:val="000C2F33"/>
    <w:rsid w:val="000C2F62"/>
    <w:rsid w:val="000C3003"/>
    <w:rsid w:val="000C3197"/>
    <w:rsid w:val="000C3206"/>
    <w:rsid w:val="000C3265"/>
    <w:rsid w:val="000C327F"/>
    <w:rsid w:val="000C333E"/>
    <w:rsid w:val="000C33DB"/>
    <w:rsid w:val="000C34E7"/>
    <w:rsid w:val="000C3551"/>
    <w:rsid w:val="000C36DC"/>
    <w:rsid w:val="000C3772"/>
    <w:rsid w:val="000C3804"/>
    <w:rsid w:val="000C396C"/>
    <w:rsid w:val="000C3A72"/>
    <w:rsid w:val="000C3BF0"/>
    <w:rsid w:val="000C3C54"/>
    <w:rsid w:val="000C3C5E"/>
    <w:rsid w:val="000C3CAD"/>
    <w:rsid w:val="000C3D1F"/>
    <w:rsid w:val="000C3D53"/>
    <w:rsid w:val="000C3DCA"/>
    <w:rsid w:val="000C3E21"/>
    <w:rsid w:val="000C3EA6"/>
    <w:rsid w:val="000C3EAB"/>
    <w:rsid w:val="000C40F0"/>
    <w:rsid w:val="000C412E"/>
    <w:rsid w:val="000C42A0"/>
    <w:rsid w:val="000C4301"/>
    <w:rsid w:val="000C438D"/>
    <w:rsid w:val="000C43E2"/>
    <w:rsid w:val="000C441B"/>
    <w:rsid w:val="000C447B"/>
    <w:rsid w:val="000C44AB"/>
    <w:rsid w:val="000C44DD"/>
    <w:rsid w:val="000C451A"/>
    <w:rsid w:val="000C452F"/>
    <w:rsid w:val="000C45DD"/>
    <w:rsid w:val="000C47AE"/>
    <w:rsid w:val="000C4812"/>
    <w:rsid w:val="000C481F"/>
    <w:rsid w:val="000C48CA"/>
    <w:rsid w:val="000C48DF"/>
    <w:rsid w:val="000C4933"/>
    <w:rsid w:val="000C4A91"/>
    <w:rsid w:val="000C4AEE"/>
    <w:rsid w:val="000C4B0F"/>
    <w:rsid w:val="000C4B65"/>
    <w:rsid w:val="000C4B80"/>
    <w:rsid w:val="000C4CB6"/>
    <w:rsid w:val="000C4D2C"/>
    <w:rsid w:val="000C4D43"/>
    <w:rsid w:val="000C4DDF"/>
    <w:rsid w:val="000C4E0A"/>
    <w:rsid w:val="000C4EFD"/>
    <w:rsid w:val="000C5068"/>
    <w:rsid w:val="000C5115"/>
    <w:rsid w:val="000C511D"/>
    <w:rsid w:val="000C51D8"/>
    <w:rsid w:val="000C529C"/>
    <w:rsid w:val="000C52AF"/>
    <w:rsid w:val="000C53F6"/>
    <w:rsid w:val="000C5415"/>
    <w:rsid w:val="000C5462"/>
    <w:rsid w:val="000C5498"/>
    <w:rsid w:val="000C5581"/>
    <w:rsid w:val="000C5585"/>
    <w:rsid w:val="000C55BF"/>
    <w:rsid w:val="000C5754"/>
    <w:rsid w:val="000C5763"/>
    <w:rsid w:val="000C57AB"/>
    <w:rsid w:val="000C581C"/>
    <w:rsid w:val="000C5912"/>
    <w:rsid w:val="000C5A36"/>
    <w:rsid w:val="000C5A84"/>
    <w:rsid w:val="000C5AD8"/>
    <w:rsid w:val="000C5C34"/>
    <w:rsid w:val="000C5C42"/>
    <w:rsid w:val="000C5EAC"/>
    <w:rsid w:val="000C5EBA"/>
    <w:rsid w:val="000C5F26"/>
    <w:rsid w:val="000C5FB9"/>
    <w:rsid w:val="000C5FCB"/>
    <w:rsid w:val="000C604F"/>
    <w:rsid w:val="000C606A"/>
    <w:rsid w:val="000C60D4"/>
    <w:rsid w:val="000C6138"/>
    <w:rsid w:val="000C62E1"/>
    <w:rsid w:val="000C64BA"/>
    <w:rsid w:val="000C6641"/>
    <w:rsid w:val="000C666D"/>
    <w:rsid w:val="000C6699"/>
    <w:rsid w:val="000C66B7"/>
    <w:rsid w:val="000C66C0"/>
    <w:rsid w:val="000C672B"/>
    <w:rsid w:val="000C6820"/>
    <w:rsid w:val="000C690C"/>
    <w:rsid w:val="000C6956"/>
    <w:rsid w:val="000C6A86"/>
    <w:rsid w:val="000C6B3D"/>
    <w:rsid w:val="000C6C26"/>
    <w:rsid w:val="000C6D02"/>
    <w:rsid w:val="000C6D2D"/>
    <w:rsid w:val="000C6D7C"/>
    <w:rsid w:val="000C6EBA"/>
    <w:rsid w:val="000C6FD3"/>
    <w:rsid w:val="000C70DF"/>
    <w:rsid w:val="000C71B8"/>
    <w:rsid w:val="000C722C"/>
    <w:rsid w:val="000C7322"/>
    <w:rsid w:val="000C7350"/>
    <w:rsid w:val="000C7370"/>
    <w:rsid w:val="000C7419"/>
    <w:rsid w:val="000C744C"/>
    <w:rsid w:val="000C7455"/>
    <w:rsid w:val="000C74E0"/>
    <w:rsid w:val="000C7595"/>
    <w:rsid w:val="000C75C1"/>
    <w:rsid w:val="000C770A"/>
    <w:rsid w:val="000C77C6"/>
    <w:rsid w:val="000C77ED"/>
    <w:rsid w:val="000C784D"/>
    <w:rsid w:val="000C78F7"/>
    <w:rsid w:val="000C7909"/>
    <w:rsid w:val="000C7930"/>
    <w:rsid w:val="000C796C"/>
    <w:rsid w:val="000C79AB"/>
    <w:rsid w:val="000C7A5E"/>
    <w:rsid w:val="000C7A6D"/>
    <w:rsid w:val="000C7B59"/>
    <w:rsid w:val="000C7B7C"/>
    <w:rsid w:val="000C7D70"/>
    <w:rsid w:val="000C7DF8"/>
    <w:rsid w:val="000C7E6A"/>
    <w:rsid w:val="000C7F4C"/>
    <w:rsid w:val="000C7FF5"/>
    <w:rsid w:val="000CFAFD"/>
    <w:rsid w:val="000D000C"/>
    <w:rsid w:val="000D0018"/>
    <w:rsid w:val="000D0045"/>
    <w:rsid w:val="000D00DF"/>
    <w:rsid w:val="000D010C"/>
    <w:rsid w:val="000D0117"/>
    <w:rsid w:val="000D016F"/>
    <w:rsid w:val="000D0183"/>
    <w:rsid w:val="000D01B8"/>
    <w:rsid w:val="000D021B"/>
    <w:rsid w:val="000D02B3"/>
    <w:rsid w:val="000D02DE"/>
    <w:rsid w:val="000D04CD"/>
    <w:rsid w:val="000D051B"/>
    <w:rsid w:val="000D0526"/>
    <w:rsid w:val="000D0552"/>
    <w:rsid w:val="000D05EE"/>
    <w:rsid w:val="000D0707"/>
    <w:rsid w:val="000D0751"/>
    <w:rsid w:val="000D0877"/>
    <w:rsid w:val="000D089A"/>
    <w:rsid w:val="000D098C"/>
    <w:rsid w:val="000D0A0D"/>
    <w:rsid w:val="000D0B43"/>
    <w:rsid w:val="000D0C5B"/>
    <w:rsid w:val="000D0E65"/>
    <w:rsid w:val="000D1090"/>
    <w:rsid w:val="000D10C2"/>
    <w:rsid w:val="000D10D5"/>
    <w:rsid w:val="000D1236"/>
    <w:rsid w:val="000D1364"/>
    <w:rsid w:val="000D1407"/>
    <w:rsid w:val="000D14B3"/>
    <w:rsid w:val="000D1547"/>
    <w:rsid w:val="000D1553"/>
    <w:rsid w:val="000D1560"/>
    <w:rsid w:val="000D1590"/>
    <w:rsid w:val="000D172C"/>
    <w:rsid w:val="000D1742"/>
    <w:rsid w:val="000D176B"/>
    <w:rsid w:val="000D17AF"/>
    <w:rsid w:val="000D1899"/>
    <w:rsid w:val="000D1904"/>
    <w:rsid w:val="000D197E"/>
    <w:rsid w:val="000D1A00"/>
    <w:rsid w:val="000D1A8A"/>
    <w:rsid w:val="000D1AC1"/>
    <w:rsid w:val="000D1ADA"/>
    <w:rsid w:val="000D1B66"/>
    <w:rsid w:val="000D1C0D"/>
    <w:rsid w:val="000D1C75"/>
    <w:rsid w:val="000D1CF1"/>
    <w:rsid w:val="000D1CFA"/>
    <w:rsid w:val="000D1D12"/>
    <w:rsid w:val="000D1D1E"/>
    <w:rsid w:val="000D1D4F"/>
    <w:rsid w:val="000D1F2A"/>
    <w:rsid w:val="000D1FE6"/>
    <w:rsid w:val="000D2125"/>
    <w:rsid w:val="000D21F9"/>
    <w:rsid w:val="000D220A"/>
    <w:rsid w:val="000D221D"/>
    <w:rsid w:val="000D2330"/>
    <w:rsid w:val="000D2370"/>
    <w:rsid w:val="000D2506"/>
    <w:rsid w:val="000D2568"/>
    <w:rsid w:val="000D25C5"/>
    <w:rsid w:val="000D2623"/>
    <w:rsid w:val="000D26AE"/>
    <w:rsid w:val="000D2723"/>
    <w:rsid w:val="000D281E"/>
    <w:rsid w:val="000D282B"/>
    <w:rsid w:val="000D29E7"/>
    <w:rsid w:val="000D2A59"/>
    <w:rsid w:val="000D2ABC"/>
    <w:rsid w:val="000D2AC5"/>
    <w:rsid w:val="000D2CA8"/>
    <w:rsid w:val="000D2DCF"/>
    <w:rsid w:val="000D2DFE"/>
    <w:rsid w:val="000D2EDF"/>
    <w:rsid w:val="000D2FFF"/>
    <w:rsid w:val="000D301B"/>
    <w:rsid w:val="000D3071"/>
    <w:rsid w:val="000D30C1"/>
    <w:rsid w:val="000D31C4"/>
    <w:rsid w:val="000D3307"/>
    <w:rsid w:val="000D336C"/>
    <w:rsid w:val="000D3472"/>
    <w:rsid w:val="000D34F3"/>
    <w:rsid w:val="000D355F"/>
    <w:rsid w:val="000D35BB"/>
    <w:rsid w:val="000D36EA"/>
    <w:rsid w:val="000D389E"/>
    <w:rsid w:val="000D38A9"/>
    <w:rsid w:val="000D38BB"/>
    <w:rsid w:val="000D38FE"/>
    <w:rsid w:val="000D3910"/>
    <w:rsid w:val="000D397A"/>
    <w:rsid w:val="000D3A40"/>
    <w:rsid w:val="000D3A5B"/>
    <w:rsid w:val="000D3A64"/>
    <w:rsid w:val="000D3A6F"/>
    <w:rsid w:val="000D3ADB"/>
    <w:rsid w:val="000D3B03"/>
    <w:rsid w:val="000D3B7D"/>
    <w:rsid w:val="000D3C07"/>
    <w:rsid w:val="000D3C11"/>
    <w:rsid w:val="000D3C2B"/>
    <w:rsid w:val="000D3C35"/>
    <w:rsid w:val="000D3D7C"/>
    <w:rsid w:val="000D3DA2"/>
    <w:rsid w:val="000D3E3C"/>
    <w:rsid w:val="000D3F2F"/>
    <w:rsid w:val="000D4035"/>
    <w:rsid w:val="000D4049"/>
    <w:rsid w:val="000D4076"/>
    <w:rsid w:val="000D40D8"/>
    <w:rsid w:val="000D4101"/>
    <w:rsid w:val="000D411D"/>
    <w:rsid w:val="000D41AC"/>
    <w:rsid w:val="000D41E3"/>
    <w:rsid w:val="000D433A"/>
    <w:rsid w:val="000D4346"/>
    <w:rsid w:val="000D434A"/>
    <w:rsid w:val="000D4364"/>
    <w:rsid w:val="000D43EA"/>
    <w:rsid w:val="000D43FA"/>
    <w:rsid w:val="000D443C"/>
    <w:rsid w:val="000D4451"/>
    <w:rsid w:val="000D4466"/>
    <w:rsid w:val="000D455D"/>
    <w:rsid w:val="000D4575"/>
    <w:rsid w:val="000D45B3"/>
    <w:rsid w:val="000D461C"/>
    <w:rsid w:val="000D470D"/>
    <w:rsid w:val="000D47A1"/>
    <w:rsid w:val="000D47BB"/>
    <w:rsid w:val="000D4974"/>
    <w:rsid w:val="000D4A00"/>
    <w:rsid w:val="000D4A69"/>
    <w:rsid w:val="000D4B7B"/>
    <w:rsid w:val="000D4BDF"/>
    <w:rsid w:val="000D4BF5"/>
    <w:rsid w:val="000D4CC0"/>
    <w:rsid w:val="000D4CDC"/>
    <w:rsid w:val="000D4CF1"/>
    <w:rsid w:val="000D4E99"/>
    <w:rsid w:val="000D4EEE"/>
    <w:rsid w:val="000D4FCA"/>
    <w:rsid w:val="000D4FED"/>
    <w:rsid w:val="000D5042"/>
    <w:rsid w:val="000D507A"/>
    <w:rsid w:val="000D511C"/>
    <w:rsid w:val="000D5145"/>
    <w:rsid w:val="000D5189"/>
    <w:rsid w:val="000D51D2"/>
    <w:rsid w:val="000D526B"/>
    <w:rsid w:val="000D529F"/>
    <w:rsid w:val="000D52B1"/>
    <w:rsid w:val="000D52B6"/>
    <w:rsid w:val="000D52E9"/>
    <w:rsid w:val="000D5370"/>
    <w:rsid w:val="000D544B"/>
    <w:rsid w:val="000D558A"/>
    <w:rsid w:val="000D5602"/>
    <w:rsid w:val="000D5700"/>
    <w:rsid w:val="000D5877"/>
    <w:rsid w:val="000D58B4"/>
    <w:rsid w:val="000D59C7"/>
    <w:rsid w:val="000D59F1"/>
    <w:rsid w:val="000D5A76"/>
    <w:rsid w:val="000D5A9A"/>
    <w:rsid w:val="000D5B2E"/>
    <w:rsid w:val="000D5C3F"/>
    <w:rsid w:val="000D5C4C"/>
    <w:rsid w:val="000D5C76"/>
    <w:rsid w:val="000D5CE4"/>
    <w:rsid w:val="000D5DC6"/>
    <w:rsid w:val="000D5E0A"/>
    <w:rsid w:val="000D5E20"/>
    <w:rsid w:val="000D5E2F"/>
    <w:rsid w:val="000D5E80"/>
    <w:rsid w:val="000D5F33"/>
    <w:rsid w:val="000D5F74"/>
    <w:rsid w:val="000D602F"/>
    <w:rsid w:val="000D6068"/>
    <w:rsid w:val="000D6107"/>
    <w:rsid w:val="000D6159"/>
    <w:rsid w:val="000D6190"/>
    <w:rsid w:val="000D62FA"/>
    <w:rsid w:val="000D63C1"/>
    <w:rsid w:val="000D63F7"/>
    <w:rsid w:val="000D640C"/>
    <w:rsid w:val="000D6596"/>
    <w:rsid w:val="000D661F"/>
    <w:rsid w:val="000D6653"/>
    <w:rsid w:val="000D66F1"/>
    <w:rsid w:val="000D6723"/>
    <w:rsid w:val="000D6781"/>
    <w:rsid w:val="000D6788"/>
    <w:rsid w:val="000D67D1"/>
    <w:rsid w:val="000D6869"/>
    <w:rsid w:val="000D68E8"/>
    <w:rsid w:val="000D6921"/>
    <w:rsid w:val="000D6924"/>
    <w:rsid w:val="000D6B9B"/>
    <w:rsid w:val="000D6BC3"/>
    <w:rsid w:val="000D6C4D"/>
    <w:rsid w:val="000D6C54"/>
    <w:rsid w:val="000D6C8A"/>
    <w:rsid w:val="000D6CA0"/>
    <w:rsid w:val="000D6CDE"/>
    <w:rsid w:val="000D6CF8"/>
    <w:rsid w:val="000D6D60"/>
    <w:rsid w:val="000D6D93"/>
    <w:rsid w:val="000D6E28"/>
    <w:rsid w:val="000D6E85"/>
    <w:rsid w:val="000D6EFE"/>
    <w:rsid w:val="000D6F88"/>
    <w:rsid w:val="000D6FDD"/>
    <w:rsid w:val="000D6FFC"/>
    <w:rsid w:val="000D7054"/>
    <w:rsid w:val="000D7123"/>
    <w:rsid w:val="000D7148"/>
    <w:rsid w:val="000D71BA"/>
    <w:rsid w:val="000D726F"/>
    <w:rsid w:val="000D7347"/>
    <w:rsid w:val="000D74A2"/>
    <w:rsid w:val="000D74A8"/>
    <w:rsid w:val="000D7560"/>
    <w:rsid w:val="000D75B8"/>
    <w:rsid w:val="000D765C"/>
    <w:rsid w:val="000D7749"/>
    <w:rsid w:val="000D77D1"/>
    <w:rsid w:val="000D7831"/>
    <w:rsid w:val="000D78C9"/>
    <w:rsid w:val="000D78F3"/>
    <w:rsid w:val="000D797C"/>
    <w:rsid w:val="000D7A1C"/>
    <w:rsid w:val="000D7A2E"/>
    <w:rsid w:val="000D7A9B"/>
    <w:rsid w:val="000D7AC3"/>
    <w:rsid w:val="000D7B21"/>
    <w:rsid w:val="000D7C2B"/>
    <w:rsid w:val="000D7C35"/>
    <w:rsid w:val="000D7D17"/>
    <w:rsid w:val="000D7D31"/>
    <w:rsid w:val="000D7DA6"/>
    <w:rsid w:val="000D7DAA"/>
    <w:rsid w:val="000D7DB6"/>
    <w:rsid w:val="000D7E06"/>
    <w:rsid w:val="000D7FB9"/>
    <w:rsid w:val="000D7FCC"/>
    <w:rsid w:val="000E0155"/>
    <w:rsid w:val="000E01AE"/>
    <w:rsid w:val="000E0228"/>
    <w:rsid w:val="000E023E"/>
    <w:rsid w:val="000E02ED"/>
    <w:rsid w:val="000E03CA"/>
    <w:rsid w:val="000E0447"/>
    <w:rsid w:val="000E0521"/>
    <w:rsid w:val="000E0632"/>
    <w:rsid w:val="000E06C7"/>
    <w:rsid w:val="000E0774"/>
    <w:rsid w:val="000E07EB"/>
    <w:rsid w:val="000E07F0"/>
    <w:rsid w:val="000E0819"/>
    <w:rsid w:val="000E082F"/>
    <w:rsid w:val="000E0930"/>
    <w:rsid w:val="000E0947"/>
    <w:rsid w:val="000E0AC8"/>
    <w:rsid w:val="000E0B17"/>
    <w:rsid w:val="000E0B59"/>
    <w:rsid w:val="000E0C99"/>
    <w:rsid w:val="000E0E37"/>
    <w:rsid w:val="000E0EFB"/>
    <w:rsid w:val="000E0F6B"/>
    <w:rsid w:val="000E10F3"/>
    <w:rsid w:val="000E11B7"/>
    <w:rsid w:val="000E11FC"/>
    <w:rsid w:val="000E137E"/>
    <w:rsid w:val="000E14C9"/>
    <w:rsid w:val="000E1627"/>
    <w:rsid w:val="000E1703"/>
    <w:rsid w:val="000E17B8"/>
    <w:rsid w:val="000E18DE"/>
    <w:rsid w:val="000E19A9"/>
    <w:rsid w:val="000E1A33"/>
    <w:rsid w:val="000E1B57"/>
    <w:rsid w:val="000E1B92"/>
    <w:rsid w:val="000E1F27"/>
    <w:rsid w:val="000E1F7B"/>
    <w:rsid w:val="000E1F85"/>
    <w:rsid w:val="000E2071"/>
    <w:rsid w:val="000E20AE"/>
    <w:rsid w:val="000E21AE"/>
    <w:rsid w:val="000E21B2"/>
    <w:rsid w:val="000E2310"/>
    <w:rsid w:val="000E23F6"/>
    <w:rsid w:val="000E244C"/>
    <w:rsid w:val="000E246F"/>
    <w:rsid w:val="000E24AB"/>
    <w:rsid w:val="000E24E2"/>
    <w:rsid w:val="000E251E"/>
    <w:rsid w:val="000E257B"/>
    <w:rsid w:val="000E257C"/>
    <w:rsid w:val="000E26D7"/>
    <w:rsid w:val="000E26F5"/>
    <w:rsid w:val="000E274C"/>
    <w:rsid w:val="000E2782"/>
    <w:rsid w:val="000E278F"/>
    <w:rsid w:val="000E27E9"/>
    <w:rsid w:val="000E2869"/>
    <w:rsid w:val="000E28C4"/>
    <w:rsid w:val="000E292A"/>
    <w:rsid w:val="000E2948"/>
    <w:rsid w:val="000E2959"/>
    <w:rsid w:val="000E29E8"/>
    <w:rsid w:val="000E2A95"/>
    <w:rsid w:val="000E2C03"/>
    <w:rsid w:val="000E2C42"/>
    <w:rsid w:val="000E2C53"/>
    <w:rsid w:val="000E2CA0"/>
    <w:rsid w:val="000E2EBE"/>
    <w:rsid w:val="000E2EE1"/>
    <w:rsid w:val="000E2EF2"/>
    <w:rsid w:val="000E3098"/>
    <w:rsid w:val="000E3183"/>
    <w:rsid w:val="000E31FF"/>
    <w:rsid w:val="000E3231"/>
    <w:rsid w:val="000E3262"/>
    <w:rsid w:val="000E3302"/>
    <w:rsid w:val="000E3454"/>
    <w:rsid w:val="000E34E6"/>
    <w:rsid w:val="000E3525"/>
    <w:rsid w:val="000E3554"/>
    <w:rsid w:val="000E35C7"/>
    <w:rsid w:val="000E35FE"/>
    <w:rsid w:val="000E3679"/>
    <w:rsid w:val="000E37C9"/>
    <w:rsid w:val="000E392B"/>
    <w:rsid w:val="000E396A"/>
    <w:rsid w:val="000E39B0"/>
    <w:rsid w:val="000E39E5"/>
    <w:rsid w:val="000E3B44"/>
    <w:rsid w:val="000E3B8D"/>
    <w:rsid w:val="000E3BDB"/>
    <w:rsid w:val="000E3C19"/>
    <w:rsid w:val="000E3C83"/>
    <w:rsid w:val="000E3CA1"/>
    <w:rsid w:val="000E3D0E"/>
    <w:rsid w:val="000E3D73"/>
    <w:rsid w:val="000E3DE7"/>
    <w:rsid w:val="000E3E7D"/>
    <w:rsid w:val="000E3FA6"/>
    <w:rsid w:val="000E4006"/>
    <w:rsid w:val="000E4112"/>
    <w:rsid w:val="000E413D"/>
    <w:rsid w:val="000E4177"/>
    <w:rsid w:val="000E4179"/>
    <w:rsid w:val="000E42DC"/>
    <w:rsid w:val="000E42F8"/>
    <w:rsid w:val="000E43A2"/>
    <w:rsid w:val="000E4449"/>
    <w:rsid w:val="000E45AF"/>
    <w:rsid w:val="000E45C4"/>
    <w:rsid w:val="000E4624"/>
    <w:rsid w:val="000E4657"/>
    <w:rsid w:val="000E4730"/>
    <w:rsid w:val="000E477D"/>
    <w:rsid w:val="000E497D"/>
    <w:rsid w:val="000E4A18"/>
    <w:rsid w:val="000E4B05"/>
    <w:rsid w:val="000E4B15"/>
    <w:rsid w:val="000E4B29"/>
    <w:rsid w:val="000E4B34"/>
    <w:rsid w:val="000E4B75"/>
    <w:rsid w:val="000E4BBC"/>
    <w:rsid w:val="000E4C23"/>
    <w:rsid w:val="000E4CCD"/>
    <w:rsid w:val="000E4D61"/>
    <w:rsid w:val="000E4DC2"/>
    <w:rsid w:val="000E4E59"/>
    <w:rsid w:val="000E4EA7"/>
    <w:rsid w:val="000E4EC8"/>
    <w:rsid w:val="000E4F17"/>
    <w:rsid w:val="000E4FA0"/>
    <w:rsid w:val="000E50C2"/>
    <w:rsid w:val="000E5144"/>
    <w:rsid w:val="000E530F"/>
    <w:rsid w:val="000E5549"/>
    <w:rsid w:val="000E55F7"/>
    <w:rsid w:val="000E566B"/>
    <w:rsid w:val="000E5748"/>
    <w:rsid w:val="000E576C"/>
    <w:rsid w:val="000E582B"/>
    <w:rsid w:val="000E5890"/>
    <w:rsid w:val="000E59CA"/>
    <w:rsid w:val="000E5AF1"/>
    <w:rsid w:val="000E5BE7"/>
    <w:rsid w:val="000E5C24"/>
    <w:rsid w:val="000E5DFD"/>
    <w:rsid w:val="000E5E72"/>
    <w:rsid w:val="000E5E77"/>
    <w:rsid w:val="000E5F8A"/>
    <w:rsid w:val="000E5FD0"/>
    <w:rsid w:val="000E61E3"/>
    <w:rsid w:val="000E6239"/>
    <w:rsid w:val="000E6389"/>
    <w:rsid w:val="000E6433"/>
    <w:rsid w:val="000E64A7"/>
    <w:rsid w:val="000E6545"/>
    <w:rsid w:val="000E656E"/>
    <w:rsid w:val="000E65F8"/>
    <w:rsid w:val="000E6646"/>
    <w:rsid w:val="000E666B"/>
    <w:rsid w:val="000E6672"/>
    <w:rsid w:val="000E6685"/>
    <w:rsid w:val="000E66A0"/>
    <w:rsid w:val="000E66A5"/>
    <w:rsid w:val="000E66B2"/>
    <w:rsid w:val="000E674F"/>
    <w:rsid w:val="000E6774"/>
    <w:rsid w:val="000E67AF"/>
    <w:rsid w:val="000E6873"/>
    <w:rsid w:val="000E6B49"/>
    <w:rsid w:val="000E6D80"/>
    <w:rsid w:val="000E6E23"/>
    <w:rsid w:val="000E6E61"/>
    <w:rsid w:val="000E6EF5"/>
    <w:rsid w:val="000E6F2C"/>
    <w:rsid w:val="000E6F41"/>
    <w:rsid w:val="000E70AA"/>
    <w:rsid w:val="000E7107"/>
    <w:rsid w:val="000E71F0"/>
    <w:rsid w:val="000E727E"/>
    <w:rsid w:val="000E7292"/>
    <w:rsid w:val="000E747E"/>
    <w:rsid w:val="000E757C"/>
    <w:rsid w:val="000E759C"/>
    <w:rsid w:val="000E75B3"/>
    <w:rsid w:val="000E75D3"/>
    <w:rsid w:val="000E76F9"/>
    <w:rsid w:val="000E7748"/>
    <w:rsid w:val="000E7843"/>
    <w:rsid w:val="000E7896"/>
    <w:rsid w:val="000E7949"/>
    <w:rsid w:val="000E7952"/>
    <w:rsid w:val="000E7A68"/>
    <w:rsid w:val="000E7B11"/>
    <w:rsid w:val="000E7C19"/>
    <w:rsid w:val="000E7CC5"/>
    <w:rsid w:val="000E7CDA"/>
    <w:rsid w:val="000E7DF8"/>
    <w:rsid w:val="000E7E04"/>
    <w:rsid w:val="000E7E0A"/>
    <w:rsid w:val="000E7E8E"/>
    <w:rsid w:val="000F000F"/>
    <w:rsid w:val="000F002F"/>
    <w:rsid w:val="000F0064"/>
    <w:rsid w:val="000F00C7"/>
    <w:rsid w:val="000F014E"/>
    <w:rsid w:val="000F016B"/>
    <w:rsid w:val="000F01D5"/>
    <w:rsid w:val="000F0252"/>
    <w:rsid w:val="000F0307"/>
    <w:rsid w:val="000F0345"/>
    <w:rsid w:val="000F0366"/>
    <w:rsid w:val="000F041D"/>
    <w:rsid w:val="000F0623"/>
    <w:rsid w:val="000F06BC"/>
    <w:rsid w:val="000F06DE"/>
    <w:rsid w:val="000F06F8"/>
    <w:rsid w:val="000F0787"/>
    <w:rsid w:val="000F07E1"/>
    <w:rsid w:val="000F07FF"/>
    <w:rsid w:val="000F082D"/>
    <w:rsid w:val="000F088F"/>
    <w:rsid w:val="000F08B3"/>
    <w:rsid w:val="000F091C"/>
    <w:rsid w:val="000F0923"/>
    <w:rsid w:val="000F0A93"/>
    <w:rsid w:val="000F0B7B"/>
    <w:rsid w:val="000F0C17"/>
    <w:rsid w:val="000F0C7D"/>
    <w:rsid w:val="000F0D15"/>
    <w:rsid w:val="000F0DB2"/>
    <w:rsid w:val="000F0DE0"/>
    <w:rsid w:val="000F0E4D"/>
    <w:rsid w:val="000F0E77"/>
    <w:rsid w:val="000F0EB6"/>
    <w:rsid w:val="000F0F56"/>
    <w:rsid w:val="000F1015"/>
    <w:rsid w:val="000F10B4"/>
    <w:rsid w:val="000F10C2"/>
    <w:rsid w:val="000F10E3"/>
    <w:rsid w:val="000F11CA"/>
    <w:rsid w:val="000F132E"/>
    <w:rsid w:val="000F1382"/>
    <w:rsid w:val="000F1412"/>
    <w:rsid w:val="000F1435"/>
    <w:rsid w:val="000F14FA"/>
    <w:rsid w:val="000F1538"/>
    <w:rsid w:val="000F1626"/>
    <w:rsid w:val="000F1631"/>
    <w:rsid w:val="000F1642"/>
    <w:rsid w:val="000F166F"/>
    <w:rsid w:val="000F1871"/>
    <w:rsid w:val="000F19CC"/>
    <w:rsid w:val="000F19DA"/>
    <w:rsid w:val="000F1A55"/>
    <w:rsid w:val="000F1BD0"/>
    <w:rsid w:val="000F1C42"/>
    <w:rsid w:val="000F1CA8"/>
    <w:rsid w:val="000F1DD1"/>
    <w:rsid w:val="000F1E25"/>
    <w:rsid w:val="000F1ECF"/>
    <w:rsid w:val="000F1F7F"/>
    <w:rsid w:val="000F2005"/>
    <w:rsid w:val="000F2093"/>
    <w:rsid w:val="000F20E3"/>
    <w:rsid w:val="000F2147"/>
    <w:rsid w:val="000F214A"/>
    <w:rsid w:val="000F221E"/>
    <w:rsid w:val="000F2284"/>
    <w:rsid w:val="000F2360"/>
    <w:rsid w:val="000F23CE"/>
    <w:rsid w:val="000F24E5"/>
    <w:rsid w:val="000F24E7"/>
    <w:rsid w:val="000F256B"/>
    <w:rsid w:val="000F2729"/>
    <w:rsid w:val="000F283C"/>
    <w:rsid w:val="000F28D2"/>
    <w:rsid w:val="000F29BC"/>
    <w:rsid w:val="000F29C2"/>
    <w:rsid w:val="000F2A2C"/>
    <w:rsid w:val="000F2A53"/>
    <w:rsid w:val="000F2ACA"/>
    <w:rsid w:val="000F2B23"/>
    <w:rsid w:val="000F2BE3"/>
    <w:rsid w:val="000F2C23"/>
    <w:rsid w:val="000F2CED"/>
    <w:rsid w:val="000F2D55"/>
    <w:rsid w:val="000F2D5C"/>
    <w:rsid w:val="000F2D63"/>
    <w:rsid w:val="000F2DF7"/>
    <w:rsid w:val="000F2E58"/>
    <w:rsid w:val="000F2F4A"/>
    <w:rsid w:val="000F2F79"/>
    <w:rsid w:val="000F2FDA"/>
    <w:rsid w:val="000F30A7"/>
    <w:rsid w:val="000F30BC"/>
    <w:rsid w:val="000F3106"/>
    <w:rsid w:val="000F31A1"/>
    <w:rsid w:val="000F31AA"/>
    <w:rsid w:val="000F329A"/>
    <w:rsid w:val="000F3301"/>
    <w:rsid w:val="000F3345"/>
    <w:rsid w:val="000F34BC"/>
    <w:rsid w:val="000F350A"/>
    <w:rsid w:val="000F364F"/>
    <w:rsid w:val="000F373C"/>
    <w:rsid w:val="000F3753"/>
    <w:rsid w:val="000F381A"/>
    <w:rsid w:val="000F388A"/>
    <w:rsid w:val="000F38EF"/>
    <w:rsid w:val="000F39B7"/>
    <w:rsid w:val="000F3A23"/>
    <w:rsid w:val="000F3BA0"/>
    <w:rsid w:val="000F3CC2"/>
    <w:rsid w:val="000F3CCA"/>
    <w:rsid w:val="000F3CEA"/>
    <w:rsid w:val="000F3D25"/>
    <w:rsid w:val="000F3D4D"/>
    <w:rsid w:val="000F3D78"/>
    <w:rsid w:val="000F3EB6"/>
    <w:rsid w:val="000F4062"/>
    <w:rsid w:val="000F418C"/>
    <w:rsid w:val="000F41E8"/>
    <w:rsid w:val="000F4245"/>
    <w:rsid w:val="000F437F"/>
    <w:rsid w:val="000F43E2"/>
    <w:rsid w:val="000F43FF"/>
    <w:rsid w:val="000F44B2"/>
    <w:rsid w:val="000F4571"/>
    <w:rsid w:val="000F4588"/>
    <w:rsid w:val="000F45E7"/>
    <w:rsid w:val="000F463E"/>
    <w:rsid w:val="000F463F"/>
    <w:rsid w:val="000F469C"/>
    <w:rsid w:val="000F46BD"/>
    <w:rsid w:val="000F4716"/>
    <w:rsid w:val="000F471F"/>
    <w:rsid w:val="000F483C"/>
    <w:rsid w:val="000F4ACF"/>
    <w:rsid w:val="000F4AE2"/>
    <w:rsid w:val="000F4B0E"/>
    <w:rsid w:val="000F4BAA"/>
    <w:rsid w:val="000F4C01"/>
    <w:rsid w:val="000F4CB5"/>
    <w:rsid w:val="000F4CB6"/>
    <w:rsid w:val="000F4CCC"/>
    <w:rsid w:val="000F4D5B"/>
    <w:rsid w:val="000F4D77"/>
    <w:rsid w:val="000F4E54"/>
    <w:rsid w:val="000F4E66"/>
    <w:rsid w:val="000F4F3F"/>
    <w:rsid w:val="000F4FDD"/>
    <w:rsid w:val="000F4FED"/>
    <w:rsid w:val="000F5053"/>
    <w:rsid w:val="000F5055"/>
    <w:rsid w:val="000F50E4"/>
    <w:rsid w:val="000F5129"/>
    <w:rsid w:val="000F51B0"/>
    <w:rsid w:val="000F51DC"/>
    <w:rsid w:val="000F5254"/>
    <w:rsid w:val="000F528D"/>
    <w:rsid w:val="000F5290"/>
    <w:rsid w:val="000F54C8"/>
    <w:rsid w:val="000F54D9"/>
    <w:rsid w:val="000F566E"/>
    <w:rsid w:val="000F573C"/>
    <w:rsid w:val="000F574E"/>
    <w:rsid w:val="000F576E"/>
    <w:rsid w:val="000F5789"/>
    <w:rsid w:val="000F580D"/>
    <w:rsid w:val="000F5A9D"/>
    <w:rsid w:val="000F5B31"/>
    <w:rsid w:val="000F5B44"/>
    <w:rsid w:val="000F5BBC"/>
    <w:rsid w:val="000F5BF8"/>
    <w:rsid w:val="000F5CE1"/>
    <w:rsid w:val="000F5D5E"/>
    <w:rsid w:val="000F5E1B"/>
    <w:rsid w:val="000F5E65"/>
    <w:rsid w:val="000F5EAF"/>
    <w:rsid w:val="000F5EEF"/>
    <w:rsid w:val="000F5F1F"/>
    <w:rsid w:val="000F5F95"/>
    <w:rsid w:val="000F60CE"/>
    <w:rsid w:val="000F61E3"/>
    <w:rsid w:val="000F6253"/>
    <w:rsid w:val="000F625F"/>
    <w:rsid w:val="000F629C"/>
    <w:rsid w:val="000F63C2"/>
    <w:rsid w:val="000F63F2"/>
    <w:rsid w:val="000F64B0"/>
    <w:rsid w:val="000F64D9"/>
    <w:rsid w:val="000F64E8"/>
    <w:rsid w:val="000F654B"/>
    <w:rsid w:val="000F65C1"/>
    <w:rsid w:val="000F66C4"/>
    <w:rsid w:val="000F675F"/>
    <w:rsid w:val="000F6792"/>
    <w:rsid w:val="000F67CF"/>
    <w:rsid w:val="000F6838"/>
    <w:rsid w:val="000F68D7"/>
    <w:rsid w:val="000F6956"/>
    <w:rsid w:val="000F6B09"/>
    <w:rsid w:val="000F6BF7"/>
    <w:rsid w:val="000F6BFF"/>
    <w:rsid w:val="000F6C38"/>
    <w:rsid w:val="000F6D0F"/>
    <w:rsid w:val="000F6D63"/>
    <w:rsid w:val="000F6EEF"/>
    <w:rsid w:val="000F6FBA"/>
    <w:rsid w:val="000F6FED"/>
    <w:rsid w:val="000F7063"/>
    <w:rsid w:val="000F7076"/>
    <w:rsid w:val="000F70A3"/>
    <w:rsid w:val="000F719C"/>
    <w:rsid w:val="000F71C3"/>
    <w:rsid w:val="000F72E7"/>
    <w:rsid w:val="000F734C"/>
    <w:rsid w:val="000F7353"/>
    <w:rsid w:val="000F7366"/>
    <w:rsid w:val="000F7392"/>
    <w:rsid w:val="000F739E"/>
    <w:rsid w:val="000F7434"/>
    <w:rsid w:val="000F746F"/>
    <w:rsid w:val="000F7486"/>
    <w:rsid w:val="000F74DE"/>
    <w:rsid w:val="000F7516"/>
    <w:rsid w:val="000F75BE"/>
    <w:rsid w:val="000F75D7"/>
    <w:rsid w:val="000F771A"/>
    <w:rsid w:val="000F7768"/>
    <w:rsid w:val="000F77AA"/>
    <w:rsid w:val="000F77B2"/>
    <w:rsid w:val="000F77D8"/>
    <w:rsid w:val="000F7AB0"/>
    <w:rsid w:val="000F7BB7"/>
    <w:rsid w:val="000F7BC5"/>
    <w:rsid w:val="000F7BEB"/>
    <w:rsid w:val="000F7C2F"/>
    <w:rsid w:val="000F7D26"/>
    <w:rsid w:val="000F7DE4"/>
    <w:rsid w:val="000F7E1A"/>
    <w:rsid w:val="000F7EE5"/>
    <w:rsid w:val="000F7F00"/>
    <w:rsid w:val="000FC77B"/>
    <w:rsid w:val="00100081"/>
    <w:rsid w:val="001000D3"/>
    <w:rsid w:val="001000EE"/>
    <w:rsid w:val="00100176"/>
    <w:rsid w:val="001001CD"/>
    <w:rsid w:val="00100397"/>
    <w:rsid w:val="001003A3"/>
    <w:rsid w:val="001003B3"/>
    <w:rsid w:val="00100453"/>
    <w:rsid w:val="001004CA"/>
    <w:rsid w:val="00100583"/>
    <w:rsid w:val="001005EA"/>
    <w:rsid w:val="001007EF"/>
    <w:rsid w:val="001007F7"/>
    <w:rsid w:val="001008D6"/>
    <w:rsid w:val="001008DC"/>
    <w:rsid w:val="001008F9"/>
    <w:rsid w:val="00100951"/>
    <w:rsid w:val="00100979"/>
    <w:rsid w:val="001009C4"/>
    <w:rsid w:val="00100A05"/>
    <w:rsid w:val="00100A85"/>
    <w:rsid w:val="00100AD4"/>
    <w:rsid w:val="00100AE5"/>
    <w:rsid w:val="00100B4E"/>
    <w:rsid w:val="00100BF1"/>
    <w:rsid w:val="00100C9D"/>
    <w:rsid w:val="00100DB0"/>
    <w:rsid w:val="00100E67"/>
    <w:rsid w:val="00100E91"/>
    <w:rsid w:val="00100EAC"/>
    <w:rsid w:val="00100EB5"/>
    <w:rsid w:val="00100ECB"/>
    <w:rsid w:val="00100F2E"/>
    <w:rsid w:val="00100F61"/>
    <w:rsid w:val="00100F62"/>
    <w:rsid w:val="00100F63"/>
    <w:rsid w:val="00100FB5"/>
    <w:rsid w:val="00101105"/>
    <w:rsid w:val="00101123"/>
    <w:rsid w:val="0010115B"/>
    <w:rsid w:val="001011A1"/>
    <w:rsid w:val="00101213"/>
    <w:rsid w:val="00101257"/>
    <w:rsid w:val="001012A8"/>
    <w:rsid w:val="001012B7"/>
    <w:rsid w:val="0010142A"/>
    <w:rsid w:val="0010150A"/>
    <w:rsid w:val="00101515"/>
    <w:rsid w:val="00101520"/>
    <w:rsid w:val="00101608"/>
    <w:rsid w:val="00101625"/>
    <w:rsid w:val="00101652"/>
    <w:rsid w:val="0010169C"/>
    <w:rsid w:val="001016AE"/>
    <w:rsid w:val="001016CD"/>
    <w:rsid w:val="0010171B"/>
    <w:rsid w:val="0010178C"/>
    <w:rsid w:val="001017EC"/>
    <w:rsid w:val="00101981"/>
    <w:rsid w:val="00101A3C"/>
    <w:rsid w:val="00101C0C"/>
    <w:rsid w:val="00101C5A"/>
    <w:rsid w:val="00101CB0"/>
    <w:rsid w:val="00101D23"/>
    <w:rsid w:val="00101D2F"/>
    <w:rsid w:val="00101E34"/>
    <w:rsid w:val="00101E5D"/>
    <w:rsid w:val="00101F3E"/>
    <w:rsid w:val="00101F97"/>
    <w:rsid w:val="0010200A"/>
    <w:rsid w:val="00102095"/>
    <w:rsid w:val="001020B9"/>
    <w:rsid w:val="0010210A"/>
    <w:rsid w:val="001021F0"/>
    <w:rsid w:val="0010230A"/>
    <w:rsid w:val="001023B0"/>
    <w:rsid w:val="001023BC"/>
    <w:rsid w:val="001023C0"/>
    <w:rsid w:val="00102421"/>
    <w:rsid w:val="00102544"/>
    <w:rsid w:val="00102588"/>
    <w:rsid w:val="001025DD"/>
    <w:rsid w:val="0010268D"/>
    <w:rsid w:val="001026BB"/>
    <w:rsid w:val="001027E4"/>
    <w:rsid w:val="001028D2"/>
    <w:rsid w:val="0010297F"/>
    <w:rsid w:val="00102B2D"/>
    <w:rsid w:val="00102B43"/>
    <w:rsid w:val="00102CCD"/>
    <w:rsid w:val="00102D5E"/>
    <w:rsid w:val="00102D62"/>
    <w:rsid w:val="00102DA8"/>
    <w:rsid w:val="00102DA9"/>
    <w:rsid w:val="00102DE3"/>
    <w:rsid w:val="00102E51"/>
    <w:rsid w:val="00102F2E"/>
    <w:rsid w:val="00102F76"/>
    <w:rsid w:val="00102F83"/>
    <w:rsid w:val="0010300B"/>
    <w:rsid w:val="0010305B"/>
    <w:rsid w:val="00103081"/>
    <w:rsid w:val="00103097"/>
    <w:rsid w:val="001030E3"/>
    <w:rsid w:val="001030F6"/>
    <w:rsid w:val="001031DC"/>
    <w:rsid w:val="00103307"/>
    <w:rsid w:val="0010339A"/>
    <w:rsid w:val="00103417"/>
    <w:rsid w:val="00103504"/>
    <w:rsid w:val="00103515"/>
    <w:rsid w:val="0010354B"/>
    <w:rsid w:val="00103577"/>
    <w:rsid w:val="0010359B"/>
    <w:rsid w:val="00103668"/>
    <w:rsid w:val="001036CB"/>
    <w:rsid w:val="001036EF"/>
    <w:rsid w:val="00103789"/>
    <w:rsid w:val="00103799"/>
    <w:rsid w:val="00103816"/>
    <w:rsid w:val="001038A1"/>
    <w:rsid w:val="001039D0"/>
    <w:rsid w:val="00103BDE"/>
    <w:rsid w:val="00103C2D"/>
    <w:rsid w:val="00103C71"/>
    <w:rsid w:val="00103D1E"/>
    <w:rsid w:val="00103D7C"/>
    <w:rsid w:val="00103DB8"/>
    <w:rsid w:val="00103E2F"/>
    <w:rsid w:val="00104064"/>
    <w:rsid w:val="00104099"/>
    <w:rsid w:val="001040A3"/>
    <w:rsid w:val="0010412E"/>
    <w:rsid w:val="00104210"/>
    <w:rsid w:val="00104213"/>
    <w:rsid w:val="0010433A"/>
    <w:rsid w:val="001043D5"/>
    <w:rsid w:val="00104419"/>
    <w:rsid w:val="0010448D"/>
    <w:rsid w:val="001044A5"/>
    <w:rsid w:val="0010452A"/>
    <w:rsid w:val="0010454B"/>
    <w:rsid w:val="0010477B"/>
    <w:rsid w:val="00104840"/>
    <w:rsid w:val="00104845"/>
    <w:rsid w:val="00104876"/>
    <w:rsid w:val="00104948"/>
    <w:rsid w:val="001049D9"/>
    <w:rsid w:val="00104B4E"/>
    <w:rsid w:val="00104B77"/>
    <w:rsid w:val="00104BD5"/>
    <w:rsid w:val="00104C3E"/>
    <w:rsid w:val="00104C40"/>
    <w:rsid w:val="00104F61"/>
    <w:rsid w:val="00104F8C"/>
    <w:rsid w:val="00104F8D"/>
    <w:rsid w:val="00104FAD"/>
    <w:rsid w:val="0010517B"/>
    <w:rsid w:val="001051A4"/>
    <w:rsid w:val="001052BD"/>
    <w:rsid w:val="001052D3"/>
    <w:rsid w:val="0010530F"/>
    <w:rsid w:val="0010548B"/>
    <w:rsid w:val="001054C0"/>
    <w:rsid w:val="001054FB"/>
    <w:rsid w:val="00105679"/>
    <w:rsid w:val="00105838"/>
    <w:rsid w:val="00105A6B"/>
    <w:rsid w:val="00105A89"/>
    <w:rsid w:val="00105B12"/>
    <w:rsid w:val="00105B33"/>
    <w:rsid w:val="00105BC7"/>
    <w:rsid w:val="00105BD2"/>
    <w:rsid w:val="00105C41"/>
    <w:rsid w:val="00105C44"/>
    <w:rsid w:val="00105CD9"/>
    <w:rsid w:val="00105D1E"/>
    <w:rsid w:val="00105DDD"/>
    <w:rsid w:val="00105E4C"/>
    <w:rsid w:val="00105F34"/>
    <w:rsid w:val="00105F87"/>
    <w:rsid w:val="00105FA4"/>
    <w:rsid w:val="001060BE"/>
    <w:rsid w:val="001061C9"/>
    <w:rsid w:val="0010623F"/>
    <w:rsid w:val="00106376"/>
    <w:rsid w:val="00106379"/>
    <w:rsid w:val="001063DC"/>
    <w:rsid w:val="001063FA"/>
    <w:rsid w:val="00106424"/>
    <w:rsid w:val="00106488"/>
    <w:rsid w:val="001064D9"/>
    <w:rsid w:val="00106563"/>
    <w:rsid w:val="0010669F"/>
    <w:rsid w:val="001067E3"/>
    <w:rsid w:val="00106837"/>
    <w:rsid w:val="00106844"/>
    <w:rsid w:val="00106AD9"/>
    <w:rsid w:val="00106BF6"/>
    <w:rsid w:val="00106E18"/>
    <w:rsid w:val="00106E54"/>
    <w:rsid w:val="00106E81"/>
    <w:rsid w:val="0010703A"/>
    <w:rsid w:val="0010706B"/>
    <w:rsid w:val="0010707B"/>
    <w:rsid w:val="0010715F"/>
    <w:rsid w:val="0010716E"/>
    <w:rsid w:val="001073A6"/>
    <w:rsid w:val="00107417"/>
    <w:rsid w:val="00107437"/>
    <w:rsid w:val="001074A7"/>
    <w:rsid w:val="0010759A"/>
    <w:rsid w:val="0010759E"/>
    <w:rsid w:val="00107665"/>
    <w:rsid w:val="00107691"/>
    <w:rsid w:val="001077B1"/>
    <w:rsid w:val="001078D7"/>
    <w:rsid w:val="00107902"/>
    <w:rsid w:val="00107911"/>
    <w:rsid w:val="00107931"/>
    <w:rsid w:val="00107959"/>
    <w:rsid w:val="00107A07"/>
    <w:rsid w:val="00107A0C"/>
    <w:rsid w:val="00107ACA"/>
    <w:rsid w:val="00107C5B"/>
    <w:rsid w:val="00107C6A"/>
    <w:rsid w:val="00107CD8"/>
    <w:rsid w:val="00107D22"/>
    <w:rsid w:val="00107ED1"/>
    <w:rsid w:val="00107F5C"/>
    <w:rsid w:val="00107F96"/>
    <w:rsid w:val="0010C266"/>
    <w:rsid w:val="00110030"/>
    <w:rsid w:val="00110041"/>
    <w:rsid w:val="0011005F"/>
    <w:rsid w:val="00110097"/>
    <w:rsid w:val="001100AA"/>
    <w:rsid w:val="001100AF"/>
    <w:rsid w:val="001100C7"/>
    <w:rsid w:val="001100EF"/>
    <w:rsid w:val="001100F0"/>
    <w:rsid w:val="00110146"/>
    <w:rsid w:val="001101A4"/>
    <w:rsid w:val="0011022F"/>
    <w:rsid w:val="001102C5"/>
    <w:rsid w:val="0011043C"/>
    <w:rsid w:val="00110469"/>
    <w:rsid w:val="00110574"/>
    <w:rsid w:val="00110611"/>
    <w:rsid w:val="00110740"/>
    <w:rsid w:val="00110785"/>
    <w:rsid w:val="001107D1"/>
    <w:rsid w:val="00110860"/>
    <w:rsid w:val="001108E4"/>
    <w:rsid w:val="00110944"/>
    <w:rsid w:val="00110B31"/>
    <w:rsid w:val="00110CBD"/>
    <w:rsid w:val="00110DB9"/>
    <w:rsid w:val="00110DC2"/>
    <w:rsid w:val="00110FE6"/>
    <w:rsid w:val="00110FFC"/>
    <w:rsid w:val="001110B0"/>
    <w:rsid w:val="00111109"/>
    <w:rsid w:val="001111FF"/>
    <w:rsid w:val="00111385"/>
    <w:rsid w:val="0011156D"/>
    <w:rsid w:val="001115AA"/>
    <w:rsid w:val="001117B7"/>
    <w:rsid w:val="001118B1"/>
    <w:rsid w:val="001118C0"/>
    <w:rsid w:val="0011190F"/>
    <w:rsid w:val="00111931"/>
    <w:rsid w:val="00111974"/>
    <w:rsid w:val="00111A7E"/>
    <w:rsid w:val="00111AE0"/>
    <w:rsid w:val="00111B09"/>
    <w:rsid w:val="00111B0E"/>
    <w:rsid w:val="00111B16"/>
    <w:rsid w:val="00111B23"/>
    <w:rsid w:val="00111B4B"/>
    <w:rsid w:val="00111D1F"/>
    <w:rsid w:val="00111EF8"/>
    <w:rsid w:val="00112340"/>
    <w:rsid w:val="00112373"/>
    <w:rsid w:val="001123FE"/>
    <w:rsid w:val="0011244B"/>
    <w:rsid w:val="00112471"/>
    <w:rsid w:val="00112481"/>
    <w:rsid w:val="00112545"/>
    <w:rsid w:val="0011256F"/>
    <w:rsid w:val="0011261B"/>
    <w:rsid w:val="001126A9"/>
    <w:rsid w:val="001127AA"/>
    <w:rsid w:val="001128F0"/>
    <w:rsid w:val="00112991"/>
    <w:rsid w:val="001129CE"/>
    <w:rsid w:val="00112A03"/>
    <w:rsid w:val="00112AEA"/>
    <w:rsid w:val="00112B37"/>
    <w:rsid w:val="00112BBF"/>
    <w:rsid w:val="00112C2F"/>
    <w:rsid w:val="00112C9A"/>
    <w:rsid w:val="00112CC1"/>
    <w:rsid w:val="00112DF2"/>
    <w:rsid w:val="00112E54"/>
    <w:rsid w:val="00112EC1"/>
    <w:rsid w:val="00112EEA"/>
    <w:rsid w:val="00112FAF"/>
    <w:rsid w:val="0011310D"/>
    <w:rsid w:val="0011311F"/>
    <w:rsid w:val="00113224"/>
    <w:rsid w:val="0011327F"/>
    <w:rsid w:val="00113290"/>
    <w:rsid w:val="00113316"/>
    <w:rsid w:val="00113347"/>
    <w:rsid w:val="001133A7"/>
    <w:rsid w:val="001133C3"/>
    <w:rsid w:val="001134C4"/>
    <w:rsid w:val="00113507"/>
    <w:rsid w:val="00113552"/>
    <w:rsid w:val="00113591"/>
    <w:rsid w:val="001135FB"/>
    <w:rsid w:val="0011362A"/>
    <w:rsid w:val="00113679"/>
    <w:rsid w:val="001137D3"/>
    <w:rsid w:val="001137E9"/>
    <w:rsid w:val="00113821"/>
    <w:rsid w:val="001138EA"/>
    <w:rsid w:val="001138F7"/>
    <w:rsid w:val="0011396B"/>
    <w:rsid w:val="001139AF"/>
    <w:rsid w:val="00113CA3"/>
    <w:rsid w:val="00113CC7"/>
    <w:rsid w:val="00113D50"/>
    <w:rsid w:val="00113E8A"/>
    <w:rsid w:val="00113EE2"/>
    <w:rsid w:val="00113F30"/>
    <w:rsid w:val="00113F47"/>
    <w:rsid w:val="00113F4F"/>
    <w:rsid w:val="00113F5C"/>
    <w:rsid w:val="00114005"/>
    <w:rsid w:val="00114041"/>
    <w:rsid w:val="001141BE"/>
    <w:rsid w:val="001143BD"/>
    <w:rsid w:val="00114440"/>
    <w:rsid w:val="00114450"/>
    <w:rsid w:val="00114453"/>
    <w:rsid w:val="001144B7"/>
    <w:rsid w:val="00114533"/>
    <w:rsid w:val="0011453A"/>
    <w:rsid w:val="00114714"/>
    <w:rsid w:val="00114758"/>
    <w:rsid w:val="001147B1"/>
    <w:rsid w:val="001147B7"/>
    <w:rsid w:val="001147D8"/>
    <w:rsid w:val="00114833"/>
    <w:rsid w:val="001148EB"/>
    <w:rsid w:val="0011497D"/>
    <w:rsid w:val="00114B02"/>
    <w:rsid w:val="00114BEF"/>
    <w:rsid w:val="00114C44"/>
    <w:rsid w:val="00114C71"/>
    <w:rsid w:val="00114C93"/>
    <w:rsid w:val="00114D28"/>
    <w:rsid w:val="00114E9A"/>
    <w:rsid w:val="00115034"/>
    <w:rsid w:val="001150BC"/>
    <w:rsid w:val="001150ED"/>
    <w:rsid w:val="00115157"/>
    <w:rsid w:val="001152FD"/>
    <w:rsid w:val="0011537E"/>
    <w:rsid w:val="00115619"/>
    <w:rsid w:val="0011579D"/>
    <w:rsid w:val="001157AC"/>
    <w:rsid w:val="001157F8"/>
    <w:rsid w:val="00115917"/>
    <w:rsid w:val="001159D4"/>
    <w:rsid w:val="00115A71"/>
    <w:rsid w:val="00115A8C"/>
    <w:rsid w:val="00115B44"/>
    <w:rsid w:val="00115BCB"/>
    <w:rsid w:val="00115C66"/>
    <w:rsid w:val="00115CC6"/>
    <w:rsid w:val="00115CF4"/>
    <w:rsid w:val="00115D42"/>
    <w:rsid w:val="00115D5E"/>
    <w:rsid w:val="00115DD4"/>
    <w:rsid w:val="00115DFA"/>
    <w:rsid w:val="00115E41"/>
    <w:rsid w:val="00115F4B"/>
    <w:rsid w:val="00116019"/>
    <w:rsid w:val="0011606F"/>
    <w:rsid w:val="001160BA"/>
    <w:rsid w:val="00116103"/>
    <w:rsid w:val="0011612D"/>
    <w:rsid w:val="00116140"/>
    <w:rsid w:val="00116236"/>
    <w:rsid w:val="00116290"/>
    <w:rsid w:val="0011629A"/>
    <w:rsid w:val="001162E7"/>
    <w:rsid w:val="0011632C"/>
    <w:rsid w:val="0011633A"/>
    <w:rsid w:val="00116409"/>
    <w:rsid w:val="0011640E"/>
    <w:rsid w:val="0011647C"/>
    <w:rsid w:val="00116562"/>
    <w:rsid w:val="0011663E"/>
    <w:rsid w:val="001167A2"/>
    <w:rsid w:val="001167CE"/>
    <w:rsid w:val="001168A5"/>
    <w:rsid w:val="00116A28"/>
    <w:rsid w:val="00116B6F"/>
    <w:rsid w:val="00116C3E"/>
    <w:rsid w:val="00116C86"/>
    <w:rsid w:val="00116D23"/>
    <w:rsid w:val="00116D24"/>
    <w:rsid w:val="00116EB1"/>
    <w:rsid w:val="001170AF"/>
    <w:rsid w:val="001170DB"/>
    <w:rsid w:val="001170FC"/>
    <w:rsid w:val="0011717F"/>
    <w:rsid w:val="00117400"/>
    <w:rsid w:val="0011746F"/>
    <w:rsid w:val="001174CD"/>
    <w:rsid w:val="0011756E"/>
    <w:rsid w:val="0011769C"/>
    <w:rsid w:val="00117703"/>
    <w:rsid w:val="001177F1"/>
    <w:rsid w:val="00117819"/>
    <w:rsid w:val="00117843"/>
    <w:rsid w:val="001178AA"/>
    <w:rsid w:val="001179C5"/>
    <w:rsid w:val="00117A09"/>
    <w:rsid w:val="00117A50"/>
    <w:rsid w:val="00117A7D"/>
    <w:rsid w:val="00117AC1"/>
    <w:rsid w:val="00117B2D"/>
    <w:rsid w:val="00117B43"/>
    <w:rsid w:val="00117BAD"/>
    <w:rsid w:val="00117D6C"/>
    <w:rsid w:val="00117DC4"/>
    <w:rsid w:val="00117E1D"/>
    <w:rsid w:val="00117F34"/>
    <w:rsid w:val="00117FE1"/>
    <w:rsid w:val="00120033"/>
    <w:rsid w:val="001200B5"/>
    <w:rsid w:val="001200E5"/>
    <w:rsid w:val="00120115"/>
    <w:rsid w:val="00120117"/>
    <w:rsid w:val="0012025D"/>
    <w:rsid w:val="001202B9"/>
    <w:rsid w:val="001202F5"/>
    <w:rsid w:val="0012030D"/>
    <w:rsid w:val="001203B4"/>
    <w:rsid w:val="0012042C"/>
    <w:rsid w:val="001204E9"/>
    <w:rsid w:val="00120506"/>
    <w:rsid w:val="00120507"/>
    <w:rsid w:val="00120582"/>
    <w:rsid w:val="00120615"/>
    <w:rsid w:val="00120696"/>
    <w:rsid w:val="001207C3"/>
    <w:rsid w:val="00120803"/>
    <w:rsid w:val="00120859"/>
    <w:rsid w:val="00120A18"/>
    <w:rsid w:val="00120B28"/>
    <w:rsid w:val="00120BD5"/>
    <w:rsid w:val="00120C43"/>
    <w:rsid w:val="00120D52"/>
    <w:rsid w:val="00120DA4"/>
    <w:rsid w:val="00120DD1"/>
    <w:rsid w:val="00120E37"/>
    <w:rsid w:val="00120ED9"/>
    <w:rsid w:val="00120EE3"/>
    <w:rsid w:val="00121042"/>
    <w:rsid w:val="001211A3"/>
    <w:rsid w:val="0012122C"/>
    <w:rsid w:val="00121270"/>
    <w:rsid w:val="001213F7"/>
    <w:rsid w:val="00121459"/>
    <w:rsid w:val="00121562"/>
    <w:rsid w:val="0012159D"/>
    <w:rsid w:val="001215BE"/>
    <w:rsid w:val="001216B4"/>
    <w:rsid w:val="001217BA"/>
    <w:rsid w:val="0012183C"/>
    <w:rsid w:val="0012193D"/>
    <w:rsid w:val="001219C4"/>
    <w:rsid w:val="001219CC"/>
    <w:rsid w:val="00121A01"/>
    <w:rsid w:val="00121A26"/>
    <w:rsid w:val="00121A49"/>
    <w:rsid w:val="00121A65"/>
    <w:rsid w:val="00121A80"/>
    <w:rsid w:val="00121BC8"/>
    <w:rsid w:val="00121BEA"/>
    <w:rsid w:val="00121BFF"/>
    <w:rsid w:val="00121C04"/>
    <w:rsid w:val="00121C1C"/>
    <w:rsid w:val="00121CB0"/>
    <w:rsid w:val="00121D7A"/>
    <w:rsid w:val="00121DD6"/>
    <w:rsid w:val="00121E14"/>
    <w:rsid w:val="00121E33"/>
    <w:rsid w:val="00121E60"/>
    <w:rsid w:val="00121FBE"/>
    <w:rsid w:val="00122024"/>
    <w:rsid w:val="00122148"/>
    <w:rsid w:val="00122290"/>
    <w:rsid w:val="0012234E"/>
    <w:rsid w:val="001223A5"/>
    <w:rsid w:val="001223DF"/>
    <w:rsid w:val="00122584"/>
    <w:rsid w:val="001225DE"/>
    <w:rsid w:val="001226CD"/>
    <w:rsid w:val="00122702"/>
    <w:rsid w:val="00122817"/>
    <w:rsid w:val="001228F2"/>
    <w:rsid w:val="001229A4"/>
    <w:rsid w:val="001229A5"/>
    <w:rsid w:val="001229E9"/>
    <w:rsid w:val="001229FA"/>
    <w:rsid w:val="00122AC4"/>
    <w:rsid w:val="00122AE8"/>
    <w:rsid w:val="00122B32"/>
    <w:rsid w:val="00122C15"/>
    <w:rsid w:val="00122CA9"/>
    <w:rsid w:val="00122D41"/>
    <w:rsid w:val="00122DBB"/>
    <w:rsid w:val="00122DD2"/>
    <w:rsid w:val="00122F04"/>
    <w:rsid w:val="00122F50"/>
    <w:rsid w:val="0012303D"/>
    <w:rsid w:val="0012309F"/>
    <w:rsid w:val="001232BD"/>
    <w:rsid w:val="00123332"/>
    <w:rsid w:val="001233AA"/>
    <w:rsid w:val="001234FB"/>
    <w:rsid w:val="00123595"/>
    <w:rsid w:val="00123766"/>
    <w:rsid w:val="001238F4"/>
    <w:rsid w:val="0012391F"/>
    <w:rsid w:val="00123945"/>
    <w:rsid w:val="00123983"/>
    <w:rsid w:val="00123A15"/>
    <w:rsid w:val="00123A3A"/>
    <w:rsid w:val="00123A41"/>
    <w:rsid w:val="00123ABF"/>
    <w:rsid w:val="00123B62"/>
    <w:rsid w:val="00123BB7"/>
    <w:rsid w:val="00123DA6"/>
    <w:rsid w:val="00123E77"/>
    <w:rsid w:val="00123EFD"/>
    <w:rsid w:val="00123F56"/>
    <w:rsid w:val="00124047"/>
    <w:rsid w:val="0012417C"/>
    <w:rsid w:val="001241AA"/>
    <w:rsid w:val="00124213"/>
    <w:rsid w:val="001242AD"/>
    <w:rsid w:val="00124340"/>
    <w:rsid w:val="0012439A"/>
    <w:rsid w:val="0012440A"/>
    <w:rsid w:val="00124457"/>
    <w:rsid w:val="001244B5"/>
    <w:rsid w:val="001244E0"/>
    <w:rsid w:val="00124567"/>
    <w:rsid w:val="00124603"/>
    <w:rsid w:val="0012467D"/>
    <w:rsid w:val="001247E8"/>
    <w:rsid w:val="00124820"/>
    <w:rsid w:val="001248B9"/>
    <w:rsid w:val="001248C5"/>
    <w:rsid w:val="001248E6"/>
    <w:rsid w:val="00124998"/>
    <w:rsid w:val="00124B84"/>
    <w:rsid w:val="00124C0C"/>
    <w:rsid w:val="00124C2B"/>
    <w:rsid w:val="00124C95"/>
    <w:rsid w:val="00124D37"/>
    <w:rsid w:val="00124D3C"/>
    <w:rsid w:val="00124EA2"/>
    <w:rsid w:val="00124EBE"/>
    <w:rsid w:val="00124F21"/>
    <w:rsid w:val="00124FA5"/>
    <w:rsid w:val="00125039"/>
    <w:rsid w:val="00125057"/>
    <w:rsid w:val="00125202"/>
    <w:rsid w:val="0012536F"/>
    <w:rsid w:val="00125377"/>
    <w:rsid w:val="001253D9"/>
    <w:rsid w:val="00125415"/>
    <w:rsid w:val="00125419"/>
    <w:rsid w:val="00125438"/>
    <w:rsid w:val="001254EC"/>
    <w:rsid w:val="00125502"/>
    <w:rsid w:val="0012552B"/>
    <w:rsid w:val="00125591"/>
    <w:rsid w:val="001255FF"/>
    <w:rsid w:val="001257AA"/>
    <w:rsid w:val="00125815"/>
    <w:rsid w:val="001258EB"/>
    <w:rsid w:val="0012595C"/>
    <w:rsid w:val="00125960"/>
    <w:rsid w:val="00125967"/>
    <w:rsid w:val="00125AEF"/>
    <w:rsid w:val="00125C10"/>
    <w:rsid w:val="00125C1E"/>
    <w:rsid w:val="00125C9B"/>
    <w:rsid w:val="00125E0C"/>
    <w:rsid w:val="00125EFF"/>
    <w:rsid w:val="00125F00"/>
    <w:rsid w:val="00125FE4"/>
    <w:rsid w:val="00126079"/>
    <w:rsid w:val="00126165"/>
    <w:rsid w:val="0012623F"/>
    <w:rsid w:val="00126241"/>
    <w:rsid w:val="0012643B"/>
    <w:rsid w:val="001264E9"/>
    <w:rsid w:val="0012661F"/>
    <w:rsid w:val="0012662C"/>
    <w:rsid w:val="00126651"/>
    <w:rsid w:val="00126675"/>
    <w:rsid w:val="0012683E"/>
    <w:rsid w:val="00126850"/>
    <w:rsid w:val="00126962"/>
    <w:rsid w:val="00126979"/>
    <w:rsid w:val="0012699A"/>
    <w:rsid w:val="001269E2"/>
    <w:rsid w:val="00126A5F"/>
    <w:rsid w:val="00126A69"/>
    <w:rsid w:val="00126A7C"/>
    <w:rsid w:val="00126AF7"/>
    <w:rsid w:val="00126B36"/>
    <w:rsid w:val="00126CA3"/>
    <w:rsid w:val="00126CD2"/>
    <w:rsid w:val="00126CFF"/>
    <w:rsid w:val="00126DA0"/>
    <w:rsid w:val="00126E3B"/>
    <w:rsid w:val="00126E56"/>
    <w:rsid w:val="00126F47"/>
    <w:rsid w:val="00126FDC"/>
    <w:rsid w:val="0012700A"/>
    <w:rsid w:val="00127039"/>
    <w:rsid w:val="001270CB"/>
    <w:rsid w:val="001271E3"/>
    <w:rsid w:val="001272F2"/>
    <w:rsid w:val="001273F3"/>
    <w:rsid w:val="0012743B"/>
    <w:rsid w:val="0012753B"/>
    <w:rsid w:val="0012757D"/>
    <w:rsid w:val="001275D7"/>
    <w:rsid w:val="00127612"/>
    <w:rsid w:val="00127702"/>
    <w:rsid w:val="00127747"/>
    <w:rsid w:val="001277B4"/>
    <w:rsid w:val="001277BB"/>
    <w:rsid w:val="0012781E"/>
    <w:rsid w:val="0012788D"/>
    <w:rsid w:val="00127962"/>
    <w:rsid w:val="00127972"/>
    <w:rsid w:val="001279EE"/>
    <w:rsid w:val="00127A18"/>
    <w:rsid w:val="00127A82"/>
    <w:rsid w:val="00127AAF"/>
    <w:rsid w:val="00127AE0"/>
    <w:rsid w:val="00127B0D"/>
    <w:rsid w:val="00127C42"/>
    <w:rsid w:val="00127CBE"/>
    <w:rsid w:val="00127D3A"/>
    <w:rsid w:val="00127D6A"/>
    <w:rsid w:val="00127D89"/>
    <w:rsid w:val="00127EA3"/>
    <w:rsid w:val="00127EC5"/>
    <w:rsid w:val="00127FA2"/>
    <w:rsid w:val="00127FAD"/>
    <w:rsid w:val="0012F965"/>
    <w:rsid w:val="00130066"/>
    <w:rsid w:val="001300A4"/>
    <w:rsid w:val="00130109"/>
    <w:rsid w:val="001301D0"/>
    <w:rsid w:val="00130275"/>
    <w:rsid w:val="001302C6"/>
    <w:rsid w:val="001302F1"/>
    <w:rsid w:val="0013033C"/>
    <w:rsid w:val="00130461"/>
    <w:rsid w:val="00130478"/>
    <w:rsid w:val="00130503"/>
    <w:rsid w:val="00130505"/>
    <w:rsid w:val="001305EC"/>
    <w:rsid w:val="00130612"/>
    <w:rsid w:val="00130749"/>
    <w:rsid w:val="00130788"/>
    <w:rsid w:val="001307A2"/>
    <w:rsid w:val="00130804"/>
    <w:rsid w:val="0013080D"/>
    <w:rsid w:val="001308BE"/>
    <w:rsid w:val="001308F5"/>
    <w:rsid w:val="00130B11"/>
    <w:rsid w:val="00130B24"/>
    <w:rsid w:val="00130B42"/>
    <w:rsid w:val="00130B61"/>
    <w:rsid w:val="00130BB2"/>
    <w:rsid w:val="00130C04"/>
    <w:rsid w:val="00130C17"/>
    <w:rsid w:val="00130C29"/>
    <w:rsid w:val="00130D2D"/>
    <w:rsid w:val="00130E5D"/>
    <w:rsid w:val="00130EE7"/>
    <w:rsid w:val="00130FA6"/>
    <w:rsid w:val="00131094"/>
    <w:rsid w:val="00131105"/>
    <w:rsid w:val="00131165"/>
    <w:rsid w:val="001311A5"/>
    <w:rsid w:val="001312EA"/>
    <w:rsid w:val="0013134F"/>
    <w:rsid w:val="001314DF"/>
    <w:rsid w:val="0013166F"/>
    <w:rsid w:val="00131696"/>
    <w:rsid w:val="00131715"/>
    <w:rsid w:val="00131806"/>
    <w:rsid w:val="001318D4"/>
    <w:rsid w:val="0013190B"/>
    <w:rsid w:val="00131986"/>
    <w:rsid w:val="00131A08"/>
    <w:rsid w:val="00131C10"/>
    <w:rsid w:val="00131C75"/>
    <w:rsid w:val="00131CAD"/>
    <w:rsid w:val="00131CCF"/>
    <w:rsid w:val="00131D0B"/>
    <w:rsid w:val="00131DCF"/>
    <w:rsid w:val="00131E08"/>
    <w:rsid w:val="00131E8C"/>
    <w:rsid w:val="00131EC7"/>
    <w:rsid w:val="00131EFA"/>
    <w:rsid w:val="00131F10"/>
    <w:rsid w:val="00131F16"/>
    <w:rsid w:val="00131FC7"/>
    <w:rsid w:val="0013214D"/>
    <w:rsid w:val="0013215C"/>
    <w:rsid w:val="001321F0"/>
    <w:rsid w:val="0013227B"/>
    <w:rsid w:val="0013232D"/>
    <w:rsid w:val="0013235E"/>
    <w:rsid w:val="001323E1"/>
    <w:rsid w:val="00132405"/>
    <w:rsid w:val="0013245C"/>
    <w:rsid w:val="0013249C"/>
    <w:rsid w:val="00132572"/>
    <w:rsid w:val="001325A9"/>
    <w:rsid w:val="001325C5"/>
    <w:rsid w:val="00132663"/>
    <w:rsid w:val="001326D3"/>
    <w:rsid w:val="00132746"/>
    <w:rsid w:val="00132775"/>
    <w:rsid w:val="00132788"/>
    <w:rsid w:val="0013287E"/>
    <w:rsid w:val="001328D5"/>
    <w:rsid w:val="001328FF"/>
    <w:rsid w:val="00132985"/>
    <w:rsid w:val="00132C2F"/>
    <w:rsid w:val="00132CCD"/>
    <w:rsid w:val="00132CF6"/>
    <w:rsid w:val="00132E82"/>
    <w:rsid w:val="00132EB1"/>
    <w:rsid w:val="00132EC7"/>
    <w:rsid w:val="00132FC2"/>
    <w:rsid w:val="00132FEC"/>
    <w:rsid w:val="00133065"/>
    <w:rsid w:val="0013310F"/>
    <w:rsid w:val="001331C5"/>
    <w:rsid w:val="001331FF"/>
    <w:rsid w:val="00133225"/>
    <w:rsid w:val="00133486"/>
    <w:rsid w:val="001334DA"/>
    <w:rsid w:val="00133655"/>
    <w:rsid w:val="001336D2"/>
    <w:rsid w:val="001336F8"/>
    <w:rsid w:val="00133832"/>
    <w:rsid w:val="0013384F"/>
    <w:rsid w:val="00133850"/>
    <w:rsid w:val="00133862"/>
    <w:rsid w:val="00133977"/>
    <w:rsid w:val="001339BC"/>
    <w:rsid w:val="001339DA"/>
    <w:rsid w:val="001339E0"/>
    <w:rsid w:val="00133AC4"/>
    <w:rsid w:val="00133AD9"/>
    <w:rsid w:val="00133C0A"/>
    <w:rsid w:val="00133CB0"/>
    <w:rsid w:val="00133D65"/>
    <w:rsid w:val="00133DE5"/>
    <w:rsid w:val="00133E1C"/>
    <w:rsid w:val="00133E30"/>
    <w:rsid w:val="00133F6D"/>
    <w:rsid w:val="00133F96"/>
    <w:rsid w:val="00133FC6"/>
    <w:rsid w:val="0013410E"/>
    <w:rsid w:val="0013414D"/>
    <w:rsid w:val="001341CF"/>
    <w:rsid w:val="0013423B"/>
    <w:rsid w:val="001343D7"/>
    <w:rsid w:val="00134466"/>
    <w:rsid w:val="001344EA"/>
    <w:rsid w:val="00134563"/>
    <w:rsid w:val="001345D3"/>
    <w:rsid w:val="00134627"/>
    <w:rsid w:val="0013465C"/>
    <w:rsid w:val="001346E2"/>
    <w:rsid w:val="00134756"/>
    <w:rsid w:val="001347A3"/>
    <w:rsid w:val="00134922"/>
    <w:rsid w:val="0013494D"/>
    <w:rsid w:val="0013496B"/>
    <w:rsid w:val="00134971"/>
    <w:rsid w:val="001349E9"/>
    <w:rsid w:val="00134A6A"/>
    <w:rsid w:val="00134AE0"/>
    <w:rsid w:val="00134B1F"/>
    <w:rsid w:val="00134BC8"/>
    <w:rsid w:val="00134C83"/>
    <w:rsid w:val="00134D8A"/>
    <w:rsid w:val="00134E91"/>
    <w:rsid w:val="00134EC0"/>
    <w:rsid w:val="00134F0B"/>
    <w:rsid w:val="00134F91"/>
    <w:rsid w:val="00135019"/>
    <w:rsid w:val="001351D4"/>
    <w:rsid w:val="001351FA"/>
    <w:rsid w:val="00135283"/>
    <w:rsid w:val="001352C0"/>
    <w:rsid w:val="00135300"/>
    <w:rsid w:val="00135324"/>
    <w:rsid w:val="00135404"/>
    <w:rsid w:val="0013552A"/>
    <w:rsid w:val="00135593"/>
    <w:rsid w:val="001355CB"/>
    <w:rsid w:val="001356D0"/>
    <w:rsid w:val="00135862"/>
    <w:rsid w:val="001358B0"/>
    <w:rsid w:val="0013597F"/>
    <w:rsid w:val="00135A03"/>
    <w:rsid w:val="00135A31"/>
    <w:rsid w:val="00135B8E"/>
    <w:rsid w:val="00135BE0"/>
    <w:rsid w:val="00135C9D"/>
    <w:rsid w:val="00135CED"/>
    <w:rsid w:val="00135D95"/>
    <w:rsid w:val="00135DF6"/>
    <w:rsid w:val="00135E5B"/>
    <w:rsid w:val="00135E5D"/>
    <w:rsid w:val="00135F84"/>
    <w:rsid w:val="00135FA6"/>
    <w:rsid w:val="00136060"/>
    <w:rsid w:val="0013611F"/>
    <w:rsid w:val="0013617D"/>
    <w:rsid w:val="00136302"/>
    <w:rsid w:val="00136417"/>
    <w:rsid w:val="0013657B"/>
    <w:rsid w:val="00136679"/>
    <w:rsid w:val="00136777"/>
    <w:rsid w:val="001367B7"/>
    <w:rsid w:val="00136807"/>
    <w:rsid w:val="00136848"/>
    <w:rsid w:val="001368C9"/>
    <w:rsid w:val="0013694C"/>
    <w:rsid w:val="00136A98"/>
    <w:rsid w:val="00136AAE"/>
    <w:rsid w:val="00136B07"/>
    <w:rsid w:val="00136B18"/>
    <w:rsid w:val="00136B5E"/>
    <w:rsid w:val="00136C51"/>
    <w:rsid w:val="00136C78"/>
    <w:rsid w:val="00136CAC"/>
    <w:rsid w:val="00136CBE"/>
    <w:rsid w:val="00136E1F"/>
    <w:rsid w:val="00136E31"/>
    <w:rsid w:val="00136E39"/>
    <w:rsid w:val="00136F0B"/>
    <w:rsid w:val="00136F35"/>
    <w:rsid w:val="00137026"/>
    <w:rsid w:val="00137080"/>
    <w:rsid w:val="00137097"/>
    <w:rsid w:val="001370A1"/>
    <w:rsid w:val="001370DB"/>
    <w:rsid w:val="00137133"/>
    <w:rsid w:val="0013713F"/>
    <w:rsid w:val="00137213"/>
    <w:rsid w:val="00137405"/>
    <w:rsid w:val="0013741A"/>
    <w:rsid w:val="00137468"/>
    <w:rsid w:val="00137515"/>
    <w:rsid w:val="00137673"/>
    <w:rsid w:val="0013767A"/>
    <w:rsid w:val="001376C2"/>
    <w:rsid w:val="001376E1"/>
    <w:rsid w:val="001376E6"/>
    <w:rsid w:val="0013794E"/>
    <w:rsid w:val="001379C1"/>
    <w:rsid w:val="00137BD3"/>
    <w:rsid w:val="00137C06"/>
    <w:rsid w:val="00137C1A"/>
    <w:rsid w:val="00137C2D"/>
    <w:rsid w:val="00137D46"/>
    <w:rsid w:val="00137FA4"/>
    <w:rsid w:val="0013E6B4"/>
    <w:rsid w:val="00140001"/>
    <w:rsid w:val="0014001F"/>
    <w:rsid w:val="00140028"/>
    <w:rsid w:val="00140216"/>
    <w:rsid w:val="00140293"/>
    <w:rsid w:val="001402C1"/>
    <w:rsid w:val="001402F1"/>
    <w:rsid w:val="001403A5"/>
    <w:rsid w:val="00140424"/>
    <w:rsid w:val="00140442"/>
    <w:rsid w:val="00140497"/>
    <w:rsid w:val="0014052E"/>
    <w:rsid w:val="001405EF"/>
    <w:rsid w:val="00140675"/>
    <w:rsid w:val="00140696"/>
    <w:rsid w:val="0014088C"/>
    <w:rsid w:val="001408E0"/>
    <w:rsid w:val="001409B2"/>
    <w:rsid w:val="001409FC"/>
    <w:rsid w:val="00140AB7"/>
    <w:rsid w:val="00140C07"/>
    <w:rsid w:val="00140C3D"/>
    <w:rsid w:val="00140CA4"/>
    <w:rsid w:val="00140D4D"/>
    <w:rsid w:val="00140D51"/>
    <w:rsid w:val="00140E5B"/>
    <w:rsid w:val="00140EB3"/>
    <w:rsid w:val="00140F2A"/>
    <w:rsid w:val="0014101F"/>
    <w:rsid w:val="00141164"/>
    <w:rsid w:val="0014118C"/>
    <w:rsid w:val="0014124C"/>
    <w:rsid w:val="001412A4"/>
    <w:rsid w:val="00141432"/>
    <w:rsid w:val="001414AF"/>
    <w:rsid w:val="001414D9"/>
    <w:rsid w:val="0014156F"/>
    <w:rsid w:val="00141593"/>
    <w:rsid w:val="00141626"/>
    <w:rsid w:val="0014166D"/>
    <w:rsid w:val="0014167E"/>
    <w:rsid w:val="001416A6"/>
    <w:rsid w:val="0014171A"/>
    <w:rsid w:val="0014177B"/>
    <w:rsid w:val="001417BC"/>
    <w:rsid w:val="001417DB"/>
    <w:rsid w:val="00141806"/>
    <w:rsid w:val="00141844"/>
    <w:rsid w:val="00141863"/>
    <w:rsid w:val="00141921"/>
    <w:rsid w:val="001419C6"/>
    <w:rsid w:val="00141B16"/>
    <w:rsid w:val="00141C9D"/>
    <w:rsid w:val="00141CF1"/>
    <w:rsid w:val="00141D0D"/>
    <w:rsid w:val="00141FB2"/>
    <w:rsid w:val="0014201D"/>
    <w:rsid w:val="00142064"/>
    <w:rsid w:val="001420C9"/>
    <w:rsid w:val="001420ED"/>
    <w:rsid w:val="001421C0"/>
    <w:rsid w:val="001422A2"/>
    <w:rsid w:val="001422E2"/>
    <w:rsid w:val="0014232C"/>
    <w:rsid w:val="001423B5"/>
    <w:rsid w:val="00142656"/>
    <w:rsid w:val="00142657"/>
    <w:rsid w:val="001426F0"/>
    <w:rsid w:val="001427F7"/>
    <w:rsid w:val="001428CC"/>
    <w:rsid w:val="0014298A"/>
    <w:rsid w:val="001429AB"/>
    <w:rsid w:val="00142CA1"/>
    <w:rsid w:val="00142D0A"/>
    <w:rsid w:val="00142D88"/>
    <w:rsid w:val="00142E3F"/>
    <w:rsid w:val="00142E97"/>
    <w:rsid w:val="00142F57"/>
    <w:rsid w:val="00142FE3"/>
    <w:rsid w:val="00143024"/>
    <w:rsid w:val="00143061"/>
    <w:rsid w:val="00143088"/>
    <w:rsid w:val="001431DF"/>
    <w:rsid w:val="0014328C"/>
    <w:rsid w:val="001433CC"/>
    <w:rsid w:val="00143495"/>
    <w:rsid w:val="0014352C"/>
    <w:rsid w:val="001436FC"/>
    <w:rsid w:val="00143708"/>
    <w:rsid w:val="001437EB"/>
    <w:rsid w:val="0014383A"/>
    <w:rsid w:val="00143844"/>
    <w:rsid w:val="00143892"/>
    <w:rsid w:val="00143945"/>
    <w:rsid w:val="0014398E"/>
    <w:rsid w:val="00143A8F"/>
    <w:rsid w:val="00143AB1"/>
    <w:rsid w:val="00143B38"/>
    <w:rsid w:val="00143BB1"/>
    <w:rsid w:val="00143C0A"/>
    <w:rsid w:val="00143C2B"/>
    <w:rsid w:val="00143CC4"/>
    <w:rsid w:val="00143CE1"/>
    <w:rsid w:val="00143CE6"/>
    <w:rsid w:val="00143E65"/>
    <w:rsid w:val="00143E96"/>
    <w:rsid w:val="00143EC1"/>
    <w:rsid w:val="00143F5B"/>
    <w:rsid w:val="00143F5D"/>
    <w:rsid w:val="00144051"/>
    <w:rsid w:val="00144216"/>
    <w:rsid w:val="00144226"/>
    <w:rsid w:val="0014436B"/>
    <w:rsid w:val="00144468"/>
    <w:rsid w:val="0014455E"/>
    <w:rsid w:val="001445A7"/>
    <w:rsid w:val="001445CB"/>
    <w:rsid w:val="001445EB"/>
    <w:rsid w:val="00144758"/>
    <w:rsid w:val="001447B5"/>
    <w:rsid w:val="00144826"/>
    <w:rsid w:val="0014487B"/>
    <w:rsid w:val="00144AC8"/>
    <w:rsid w:val="00144ADF"/>
    <w:rsid w:val="00144B2D"/>
    <w:rsid w:val="00144BA3"/>
    <w:rsid w:val="00144BC0"/>
    <w:rsid w:val="00144C7B"/>
    <w:rsid w:val="00144D52"/>
    <w:rsid w:val="00144EA7"/>
    <w:rsid w:val="00144EE3"/>
    <w:rsid w:val="00144F3F"/>
    <w:rsid w:val="00144F42"/>
    <w:rsid w:val="00144FA5"/>
    <w:rsid w:val="00145109"/>
    <w:rsid w:val="0014511D"/>
    <w:rsid w:val="00145191"/>
    <w:rsid w:val="001451DE"/>
    <w:rsid w:val="001451FB"/>
    <w:rsid w:val="00145210"/>
    <w:rsid w:val="001452C8"/>
    <w:rsid w:val="0014546F"/>
    <w:rsid w:val="00145484"/>
    <w:rsid w:val="0014550B"/>
    <w:rsid w:val="001455D5"/>
    <w:rsid w:val="001455FC"/>
    <w:rsid w:val="001456BF"/>
    <w:rsid w:val="00145712"/>
    <w:rsid w:val="00145755"/>
    <w:rsid w:val="00145838"/>
    <w:rsid w:val="0014588A"/>
    <w:rsid w:val="00145B21"/>
    <w:rsid w:val="00145CFA"/>
    <w:rsid w:val="00145D8F"/>
    <w:rsid w:val="00145DAD"/>
    <w:rsid w:val="00145DAE"/>
    <w:rsid w:val="00145E29"/>
    <w:rsid w:val="00145E6B"/>
    <w:rsid w:val="00145E75"/>
    <w:rsid w:val="00145EE1"/>
    <w:rsid w:val="00145F36"/>
    <w:rsid w:val="00145FEB"/>
    <w:rsid w:val="001460EA"/>
    <w:rsid w:val="00146160"/>
    <w:rsid w:val="001461B5"/>
    <w:rsid w:val="001461EB"/>
    <w:rsid w:val="00146350"/>
    <w:rsid w:val="00146405"/>
    <w:rsid w:val="001464C7"/>
    <w:rsid w:val="001464CC"/>
    <w:rsid w:val="00146589"/>
    <w:rsid w:val="001465B5"/>
    <w:rsid w:val="0014667A"/>
    <w:rsid w:val="001466C5"/>
    <w:rsid w:val="00146726"/>
    <w:rsid w:val="0014672C"/>
    <w:rsid w:val="00146750"/>
    <w:rsid w:val="00146778"/>
    <w:rsid w:val="0014684E"/>
    <w:rsid w:val="00146917"/>
    <w:rsid w:val="0014692B"/>
    <w:rsid w:val="00146A21"/>
    <w:rsid w:val="00146A63"/>
    <w:rsid w:val="00146ABB"/>
    <w:rsid w:val="00146B6D"/>
    <w:rsid w:val="00146B76"/>
    <w:rsid w:val="00146C29"/>
    <w:rsid w:val="00146C39"/>
    <w:rsid w:val="00146CA2"/>
    <w:rsid w:val="00146CAF"/>
    <w:rsid w:val="00146CCB"/>
    <w:rsid w:val="00146D20"/>
    <w:rsid w:val="00146D3F"/>
    <w:rsid w:val="00146E03"/>
    <w:rsid w:val="00146E06"/>
    <w:rsid w:val="00146E08"/>
    <w:rsid w:val="00146E17"/>
    <w:rsid w:val="0014715B"/>
    <w:rsid w:val="001471BE"/>
    <w:rsid w:val="001471EE"/>
    <w:rsid w:val="001472EC"/>
    <w:rsid w:val="001473A0"/>
    <w:rsid w:val="001473B2"/>
    <w:rsid w:val="00147546"/>
    <w:rsid w:val="001475B2"/>
    <w:rsid w:val="00147671"/>
    <w:rsid w:val="00147696"/>
    <w:rsid w:val="0014769D"/>
    <w:rsid w:val="001476C8"/>
    <w:rsid w:val="001476C9"/>
    <w:rsid w:val="001476F4"/>
    <w:rsid w:val="00147861"/>
    <w:rsid w:val="00147904"/>
    <w:rsid w:val="001479EE"/>
    <w:rsid w:val="00147BB6"/>
    <w:rsid w:val="00147BE4"/>
    <w:rsid w:val="00147C5C"/>
    <w:rsid w:val="00147CC6"/>
    <w:rsid w:val="00147D5A"/>
    <w:rsid w:val="00147DD2"/>
    <w:rsid w:val="00147E0E"/>
    <w:rsid w:val="00147E2C"/>
    <w:rsid w:val="00147E40"/>
    <w:rsid w:val="00147EFC"/>
    <w:rsid w:val="00147FF7"/>
    <w:rsid w:val="0014A05D"/>
    <w:rsid w:val="00150012"/>
    <w:rsid w:val="0015005D"/>
    <w:rsid w:val="00150208"/>
    <w:rsid w:val="00150220"/>
    <w:rsid w:val="00150344"/>
    <w:rsid w:val="0015038B"/>
    <w:rsid w:val="001503A8"/>
    <w:rsid w:val="001503B6"/>
    <w:rsid w:val="001503CA"/>
    <w:rsid w:val="001503D3"/>
    <w:rsid w:val="00150464"/>
    <w:rsid w:val="001504BD"/>
    <w:rsid w:val="00150602"/>
    <w:rsid w:val="00150611"/>
    <w:rsid w:val="00150633"/>
    <w:rsid w:val="001506A7"/>
    <w:rsid w:val="001507A3"/>
    <w:rsid w:val="001507D8"/>
    <w:rsid w:val="001507E6"/>
    <w:rsid w:val="00150886"/>
    <w:rsid w:val="001508C6"/>
    <w:rsid w:val="001509CF"/>
    <w:rsid w:val="00150A29"/>
    <w:rsid w:val="00150A2C"/>
    <w:rsid w:val="00150A46"/>
    <w:rsid w:val="00150A89"/>
    <w:rsid w:val="00150AD7"/>
    <w:rsid w:val="00150AE3"/>
    <w:rsid w:val="00150B6D"/>
    <w:rsid w:val="00150BD3"/>
    <w:rsid w:val="00150BF5"/>
    <w:rsid w:val="00150CA8"/>
    <w:rsid w:val="00150CB3"/>
    <w:rsid w:val="00150DD9"/>
    <w:rsid w:val="001511D6"/>
    <w:rsid w:val="00151244"/>
    <w:rsid w:val="0015126E"/>
    <w:rsid w:val="00151330"/>
    <w:rsid w:val="00151460"/>
    <w:rsid w:val="001514E4"/>
    <w:rsid w:val="0015161E"/>
    <w:rsid w:val="00151687"/>
    <w:rsid w:val="001517E0"/>
    <w:rsid w:val="001518B8"/>
    <w:rsid w:val="001518E1"/>
    <w:rsid w:val="00151954"/>
    <w:rsid w:val="00151963"/>
    <w:rsid w:val="0015197E"/>
    <w:rsid w:val="001519EF"/>
    <w:rsid w:val="00151A12"/>
    <w:rsid w:val="00151A22"/>
    <w:rsid w:val="00151AD8"/>
    <w:rsid w:val="00151BCA"/>
    <w:rsid w:val="00151C31"/>
    <w:rsid w:val="00151CC4"/>
    <w:rsid w:val="00151D00"/>
    <w:rsid w:val="00151DC9"/>
    <w:rsid w:val="00151DF1"/>
    <w:rsid w:val="00151EB1"/>
    <w:rsid w:val="00151EB4"/>
    <w:rsid w:val="00152060"/>
    <w:rsid w:val="001524A5"/>
    <w:rsid w:val="001524AD"/>
    <w:rsid w:val="0015253E"/>
    <w:rsid w:val="00152657"/>
    <w:rsid w:val="00152677"/>
    <w:rsid w:val="00152708"/>
    <w:rsid w:val="00152766"/>
    <w:rsid w:val="0015281D"/>
    <w:rsid w:val="00152994"/>
    <w:rsid w:val="001529CE"/>
    <w:rsid w:val="00152A1C"/>
    <w:rsid w:val="00152A5A"/>
    <w:rsid w:val="00152AAC"/>
    <w:rsid w:val="00152AC7"/>
    <w:rsid w:val="00152B0C"/>
    <w:rsid w:val="00152C26"/>
    <w:rsid w:val="00152C6B"/>
    <w:rsid w:val="00152C99"/>
    <w:rsid w:val="00152CA4"/>
    <w:rsid w:val="00152CE9"/>
    <w:rsid w:val="00152D6D"/>
    <w:rsid w:val="00152DC4"/>
    <w:rsid w:val="00152DE2"/>
    <w:rsid w:val="00152E51"/>
    <w:rsid w:val="00152FEE"/>
    <w:rsid w:val="0015301C"/>
    <w:rsid w:val="00153029"/>
    <w:rsid w:val="001530A8"/>
    <w:rsid w:val="001530AC"/>
    <w:rsid w:val="0015314A"/>
    <w:rsid w:val="0015326E"/>
    <w:rsid w:val="0015329E"/>
    <w:rsid w:val="001532E1"/>
    <w:rsid w:val="001533BB"/>
    <w:rsid w:val="00153426"/>
    <w:rsid w:val="0015348A"/>
    <w:rsid w:val="0015349A"/>
    <w:rsid w:val="001534D5"/>
    <w:rsid w:val="001535E6"/>
    <w:rsid w:val="001535F8"/>
    <w:rsid w:val="00153673"/>
    <w:rsid w:val="0015375F"/>
    <w:rsid w:val="001537FF"/>
    <w:rsid w:val="0015387A"/>
    <w:rsid w:val="00153B44"/>
    <w:rsid w:val="00153B4A"/>
    <w:rsid w:val="00153B57"/>
    <w:rsid w:val="00153BA0"/>
    <w:rsid w:val="00153C3F"/>
    <w:rsid w:val="00153C5A"/>
    <w:rsid w:val="00153CD2"/>
    <w:rsid w:val="00153DEF"/>
    <w:rsid w:val="00153E6F"/>
    <w:rsid w:val="00153F4C"/>
    <w:rsid w:val="00153FE6"/>
    <w:rsid w:val="00154037"/>
    <w:rsid w:val="00154053"/>
    <w:rsid w:val="001541A6"/>
    <w:rsid w:val="00154212"/>
    <w:rsid w:val="0015425D"/>
    <w:rsid w:val="0015437F"/>
    <w:rsid w:val="00154384"/>
    <w:rsid w:val="001543A7"/>
    <w:rsid w:val="001543B6"/>
    <w:rsid w:val="001544C0"/>
    <w:rsid w:val="0015459E"/>
    <w:rsid w:val="001545AC"/>
    <w:rsid w:val="00154612"/>
    <w:rsid w:val="001546B2"/>
    <w:rsid w:val="001546BD"/>
    <w:rsid w:val="00154796"/>
    <w:rsid w:val="00154879"/>
    <w:rsid w:val="001548C5"/>
    <w:rsid w:val="001548E4"/>
    <w:rsid w:val="001549BD"/>
    <w:rsid w:val="00154A60"/>
    <w:rsid w:val="00154B04"/>
    <w:rsid w:val="00154B36"/>
    <w:rsid w:val="00154BB7"/>
    <w:rsid w:val="00154C05"/>
    <w:rsid w:val="00154C13"/>
    <w:rsid w:val="00154C2A"/>
    <w:rsid w:val="00154D36"/>
    <w:rsid w:val="00154DEB"/>
    <w:rsid w:val="00154E23"/>
    <w:rsid w:val="00154E48"/>
    <w:rsid w:val="00154EFF"/>
    <w:rsid w:val="00154F0B"/>
    <w:rsid w:val="00154FA7"/>
    <w:rsid w:val="00155174"/>
    <w:rsid w:val="0015520B"/>
    <w:rsid w:val="00155238"/>
    <w:rsid w:val="001552C9"/>
    <w:rsid w:val="0015531A"/>
    <w:rsid w:val="001553BD"/>
    <w:rsid w:val="001553F1"/>
    <w:rsid w:val="00155475"/>
    <w:rsid w:val="00155494"/>
    <w:rsid w:val="001554D5"/>
    <w:rsid w:val="00155753"/>
    <w:rsid w:val="0015597F"/>
    <w:rsid w:val="00155C32"/>
    <w:rsid w:val="00155C87"/>
    <w:rsid w:val="00155DB0"/>
    <w:rsid w:val="00155EE5"/>
    <w:rsid w:val="001560F5"/>
    <w:rsid w:val="00156105"/>
    <w:rsid w:val="00156204"/>
    <w:rsid w:val="0015621A"/>
    <w:rsid w:val="0015623F"/>
    <w:rsid w:val="0015627A"/>
    <w:rsid w:val="001562B5"/>
    <w:rsid w:val="001564A1"/>
    <w:rsid w:val="001565BF"/>
    <w:rsid w:val="001565F6"/>
    <w:rsid w:val="00156662"/>
    <w:rsid w:val="001566B6"/>
    <w:rsid w:val="00156746"/>
    <w:rsid w:val="00156760"/>
    <w:rsid w:val="0015687B"/>
    <w:rsid w:val="001568F3"/>
    <w:rsid w:val="001568F4"/>
    <w:rsid w:val="0015693E"/>
    <w:rsid w:val="00156986"/>
    <w:rsid w:val="001569A6"/>
    <w:rsid w:val="001569A7"/>
    <w:rsid w:val="001569D5"/>
    <w:rsid w:val="00156A0A"/>
    <w:rsid w:val="00156A3B"/>
    <w:rsid w:val="00156BA6"/>
    <w:rsid w:val="00156BC5"/>
    <w:rsid w:val="00156CF2"/>
    <w:rsid w:val="00156CF4"/>
    <w:rsid w:val="00156DD4"/>
    <w:rsid w:val="00156DEE"/>
    <w:rsid w:val="00156E13"/>
    <w:rsid w:val="00156E64"/>
    <w:rsid w:val="00156E79"/>
    <w:rsid w:val="00156F4A"/>
    <w:rsid w:val="00156F8C"/>
    <w:rsid w:val="0015702D"/>
    <w:rsid w:val="0015702E"/>
    <w:rsid w:val="00157038"/>
    <w:rsid w:val="0015707F"/>
    <w:rsid w:val="00157083"/>
    <w:rsid w:val="001570EC"/>
    <w:rsid w:val="0015711F"/>
    <w:rsid w:val="001571CF"/>
    <w:rsid w:val="00157227"/>
    <w:rsid w:val="001572D4"/>
    <w:rsid w:val="00157303"/>
    <w:rsid w:val="0015734E"/>
    <w:rsid w:val="00157366"/>
    <w:rsid w:val="00157369"/>
    <w:rsid w:val="0015741F"/>
    <w:rsid w:val="001574FC"/>
    <w:rsid w:val="0015757E"/>
    <w:rsid w:val="001575AE"/>
    <w:rsid w:val="00157645"/>
    <w:rsid w:val="00157652"/>
    <w:rsid w:val="00157691"/>
    <w:rsid w:val="0015777B"/>
    <w:rsid w:val="0015779C"/>
    <w:rsid w:val="0015797D"/>
    <w:rsid w:val="00157A3D"/>
    <w:rsid w:val="00157AD7"/>
    <w:rsid w:val="00157ADC"/>
    <w:rsid w:val="00157B3E"/>
    <w:rsid w:val="00157B79"/>
    <w:rsid w:val="00157BD3"/>
    <w:rsid w:val="00157BDF"/>
    <w:rsid w:val="00157C35"/>
    <w:rsid w:val="00157C3B"/>
    <w:rsid w:val="00157C4D"/>
    <w:rsid w:val="00157CBE"/>
    <w:rsid w:val="00157CCF"/>
    <w:rsid w:val="00157D00"/>
    <w:rsid w:val="00157DB1"/>
    <w:rsid w:val="00157DFE"/>
    <w:rsid w:val="00157EC5"/>
    <w:rsid w:val="00157F11"/>
    <w:rsid w:val="00160074"/>
    <w:rsid w:val="001600AB"/>
    <w:rsid w:val="001601F8"/>
    <w:rsid w:val="00160217"/>
    <w:rsid w:val="0016021E"/>
    <w:rsid w:val="0016033D"/>
    <w:rsid w:val="00160366"/>
    <w:rsid w:val="00160637"/>
    <w:rsid w:val="001606BC"/>
    <w:rsid w:val="001606C8"/>
    <w:rsid w:val="001606E4"/>
    <w:rsid w:val="001607D7"/>
    <w:rsid w:val="0016082C"/>
    <w:rsid w:val="00160845"/>
    <w:rsid w:val="0016089E"/>
    <w:rsid w:val="001608FA"/>
    <w:rsid w:val="0016095E"/>
    <w:rsid w:val="001609FF"/>
    <w:rsid w:val="00160A6A"/>
    <w:rsid w:val="00160A82"/>
    <w:rsid w:val="00160B0F"/>
    <w:rsid w:val="00160B33"/>
    <w:rsid w:val="00160BC8"/>
    <w:rsid w:val="00160BC9"/>
    <w:rsid w:val="00160C42"/>
    <w:rsid w:val="00160CD5"/>
    <w:rsid w:val="00160DBF"/>
    <w:rsid w:val="00160DF8"/>
    <w:rsid w:val="00160E06"/>
    <w:rsid w:val="00160F71"/>
    <w:rsid w:val="00160FD6"/>
    <w:rsid w:val="0016112F"/>
    <w:rsid w:val="0016113E"/>
    <w:rsid w:val="00161169"/>
    <w:rsid w:val="001613FA"/>
    <w:rsid w:val="0016148E"/>
    <w:rsid w:val="001614D3"/>
    <w:rsid w:val="00161557"/>
    <w:rsid w:val="0016158E"/>
    <w:rsid w:val="0016168B"/>
    <w:rsid w:val="00161735"/>
    <w:rsid w:val="0016176D"/>
    <w:rsid w:val="00161874"/>
    <w:rsid w:val="00161875"/>
    <w:rsid w:val="001618C4"/>
    <w:rsid w:val="001618FA"/>
    <w:rsid w:val="00161A3B"/>
    <w:rsid w:val="00161BF2"/>
    <w:rsid w:val="00161D0D"/>
    <w:rsid w:val="00161DAA"/>
    <w:rsid w:val="00161FB1"/>
    <w:rsid w:val="00161FB6"/>
    <w:rsid w:val="00161FBB"/>
    <w:rsid w:val="00162084"/>
    <w:rsid w:val="001620EC"/>
    <w:rsid w:val="0016211D"/>
    <w:rsid w:val="00162296"/>
    <w:rsid w:val="001622EC"/>
    <w:rsid w:val="001622F9"/>
    <w:rsid w:val="0016232D"/>
    <w:rsid w:val="0016241C"/>
    <w:rsid w:val="00162497"/>
    <w:rsid w:val="0016256E"/>
    <w:rsid w:val="001625C0"/>
    <w:rsid w:val="00162627"/>
    <w:rsid w:val="0016271E"/>
    <w:rsid w:val="00162745"/>
    <w:rsid w:val="001629F0"/>
    <w:rsid w:val="00162A0B"/>
    <w:rsid w:val="00162A53"/>
    <w:rsid w:val="00162AA2"/>
    <w:rsid w:val="00162AB7"/>
    <w:rsid w:val="00162ADA"/>
    <w:rsid w:val="00162AFE"/>
    <w:rsid w:val="00162B03"/>
    <w:rsid w:val="00162C6C"/>
    <w:rsid w:val="00162D23"/>
    <w:rsid w:val="00162D87"/>
    <w:rsid w:val="00162D91"/>
    <w:rsid w:val="00162DA9"/>
    <w:rsid w:val="00162DAD"/>
    <w:rsid w:val="00162E3A"/>
    <w:rsid w:val="00162E80"/>
    <w:rsid w:val="00162F43"/>
    <w:rsid w:val="00162F92"/>
    <w:rsid w:val="00163001"/>
    <w:rsid w:val="0016306D"/>
    <w:rsid w:val="001630A6"/>
    <w:rsid w:val="00163138"/>
    <w:rsid w:val="0016318E"/>
    <w:rsid w:val="00163204"/>
    <w:rsid w:val="0016321C"/>
    <w:rsid w:val="00163270"/>
    <w:rsid w:val="001632A3"/>
    <w:rsid w:val="001632C8"/>
    <w:rsid w:val="00163354"/>
    <w:rsid w:val="001633CF"/>
    <w:rsid w:val="001633F8"/>
    <w:rsid w:val="00163419"/>
    <w:rsid w:val="00163457"/>
    <w:rsid w:val="00163496"/>
    <w:rsid w:val="001634C5"/>
    <w:rsid w:val="00163637"/>
    <w:rsid w:val="00163655"/>
    <w:rsid w:val="00163775"/>
    <w:rsid w:val="00163831"/>
    <w:rsid w:val="00163851"/>
    <w:rsid w:val="001638B3"/>
    <w:rsid w:val="001638E2"/>
    <w:rsid w:val="00163BE4"/>
    <w:rsid w:val="00163C1E"/>
    <w:rsid w:val="00163C30"/>
    <w:rsid w:val="00163C77"/>
    <w:rsid w:val="00163CCF"/>
    <w:rsid w:val="00163D1C"/>
    <w:rsid w:val="00163D37"/>
    <w:rsid w:val="00163DB8"/>
    <w:rsid w:val="00163F15"/>
    <w:rsid w:val="00164062"/>
    <w:rsid w:val="001641CF"/>
    <w:rsid w:val="001641DD"/>
    <w:rsid w:val="0016435A"/>
    <w:rsid w:val="00164427"/>
    <w:rsid w:val="001646B9"/>
    <w:rsid w:val="001646F7"/>
    <w:rsid w:val="00164743"/>
    <w:rsid w:val="001647A3"/>
    <w:rsid w:val="001647AC"/>
    <w:rsid w:val="00164868"/>
    <w:rsid w:val="0016489A"/>
    <w:rsid w:val="001648BA"/>
    <w:rsid w:val="001648D6"/>
    <w:rsid w:val="00164992"/>
    <w:rsid w:val="00164A9C"/>
    <w:rsid w:val="00164AF9"/>
    <w:rsid w:val="00164B06"/>
    <w:rsid w:val="00164C45"/>
    <w:rsid w:val="00164CB4"/>
    <w:rsid w:val="00164DBB"/>
    <w:rsid w:val="00164DC5"/>
    <w:rsid w:val="00164E56"/>
    <w:rsid w:val="00165020"/>
    <w:rsid w:val="00165065"/>
    <w:rsid w:val="001650E6"/>
    <w:rsid w:val="001650F9"/>
    <w:rsid w:val="00165151"/>
    <w:rsid w:val="001651AC"/>
    <w:rsid w:val="0016522C"/>
    <w:rsid w:val="0016523F"/>
    <w:rsid w:val="001652F6"/>
    <w:rsid w:val="0016545D"/>
    <w:rsid w:val="0016550B"/>
    <w:rsid w:val="00165582"/>
    <w:rsid w:val="00165592"/>
    <w:rsid w:val="00165636"/>
    <w:rsid w:val="0016564C"/>
    <w:rsid w:val="00165705"/>
    <w:rsid w:val="00165755"/>
    <w:rsid w:val="0016579A"/>
    <w:rsid w:val="001657CA"/>
    <w:rsid w:val="001659B8"/>
    <w:rsid w:val="00165A1F"/>
    <w:rsid w:val="00165AA7"/>
    <w:rsid w:val="00165B30"/>
    <w:rsid w:val="00165BEE"/>
    <w:rsid w:val="00165BF5"/>
    <w:rsid w:val="00165C45"/>
    <w:rsid w:val="00165CBD"/>
    <w:rsid w:val="00165CE9"/>
    <w:rsid w:val="00165D51"/>
    <w:rsid w:val="00165E83"/>
    <w:rsid w:val="00165EE6"/>
    <w:rsid w:val="0016608F"/>
    <w:rsid w:val="00166112"/>
    <w:rsid w:val="0016612E"/>
    <w:rsid w:val="00166172"/>
    <w:rsid w:val="0016623B"/>
    <w:rsid w:val="001662BC"/>
    <w:rsid w:val="0016635E"/>
    <w:rsid w:val="00166456"/>
    <w:rsid w:val="001664F5"/>
    <w:rsid w:val="001664F7"/>
    <w:rsid w:val="00166615"/>
    <w:rsid w:val="00166741"/>
    <w:rsid w:val="0016683D"/>
    <w:rsid w:val="00166844"/>
    <w:rsid w:val="00166851"/>
    <w:rsid w:val="0016688A"/>
    <w:rsid w:val="001669BE"/>
    <w:rsid w:val="001669D3"/>
    <w:rsid w:val="001669E5"/>
    <w:rsid w:val="00166B3E"/>
    <w:rsid w:val="00166BCB"/>
    <w:rsid w:val="00166C41"/>
    <w:rsid w:val="00166C89"/>
    <w:rsid w:val="00166D50"/>
    <w:rsid w:val="00166DAB"/>
    <w:rsid w:val="00166DF2"/>
    <w:rsid w:val="00166E85"/>
    <w:rsid w:val="00166E8A"/>
    <w:rsid w:val="00166FC2"/>
    <w:rsid w:val="00166FC7"/>
    <w:rsid w:val="00167222"/>
    <w:rsid w:val="00167291"/>
    <w:rsid w:val="001672AE"/>
    <w:rsid w:val="0016743C"/>
    <w:rsid w:val="001675FC"/>
    <w:rsid w:val="00167622"/>
    <w:rsid w:val="0016768E"/>
    <w:rsid w:val="001678C3"/>
    <w:rsid w:val="0016795F"/>
    <w:rsid w:val="001679FF"/>
    <w:rsid w:val="00167BB7"/>
    <w:rsid w:val="00167BB8"/>
    <w:rsid w:val="00167BDD"/>
    <w:rsid w:val="00167CB1"/>
    <w:rsid w:val="00167CB9"/>
    <w:rsid w:val="00167DCF"/>
    <w:rsid w:val="00167E4C"/>
    <w:rsid w:val="00167EF1"/>
    <w:rsid w:val="00167F49"/>
    <w:rsid w:val="00167F74"/>
    <w:rsid w:val="00170003"/>
    <w:rsid w:val="00170011"/>
    <w:rsid w:val="0017001E"/>
    <w:rsid w:val="00170033"/>
    <w:rsid w:val="001700C1"/>
    <w:rsid w:val="001700F8"/>
    <w:rsid w:val="00170112"/>
    <w:rsid w:val="00170130"/>
    <w:rsid w:val="0017015E"/>
    <w:rsid w:val="00170233"/>
    <w:rsid w:val="00170298"/>
    <w:rsid w:val="001702A8"/>
    <w:rsid w:val="00170321"/>
    <w:rsid w:val="00170329"/>
    <w:rsid w:val="00170389"/>
    <w:rsid w:val="0017043A"/>
    <w:rsid w:val="0017043F"/>
    <w:rsid w:val="001705DB"/>
    <w:rsid w:val="001705F6"/>
    <w:rsid w:val="001705FC"/>
    <w:rsid w:val="00170621"/>
    <w:rsid w:val="00170633"/>
    <w:rsid w:val="00170718"/>
    <w:rsid w:val="00170810"/>
    <w:rsid w:val="00170845"/>
    <w:rsid w:val="0017084D"/>
    <w:rsid w:val="0017085A"/>
    <w:rsid w:val="001708AA"/>
    <w:rsid w:val="001708BF"/>
    <w:rsid w:val="00170B16"/>
    <w:rsid w:val="00170C2F"/>
    <w:rsid w:val="00170C37"/>
    <w:rsid w:val="00170C9C"/>
    <w:rsid w:val="00170E30"/>
    <w:rsid w:val="00170E33"/>
    <w:rsid w:val="00170E4D"/>
    <w:rsid w:val="00170EA5"/>
    <w:rsid w:val="00170F19"/>
    <w:rsid w:val="00170F1D"/>
    <w:rsid w:val="00171020"/>
    <w:rsid w:val="00171039"/>
    <w:rsid w:val="00171068"/>
    <w:rsid w:val="00171069"/>
    <w:rsid w:val="00171077"/>
    <w:rsid w:val="001710A2"/>
    <w:rsid w:val="00171275"/>
    <w:rsid w:val="001712CE"/>
    <w:rsid w:val="001713BE"/>
    <w:rsid w:val="001714A7"/>
    <w:rsid w:val="001714B3"/>
    <w:rsid w:val="00171563"/>
    <w:rsid w:val="00171662"/>
    <w:rsid w:val="00171664"/>
    <w:rsid w:val="001716DD"/>
    <w:rsid w:val="0017179F"/>
    <w:rsid w:val="0017188B"/>
    <w:rsid w:val="0017195C"/>
    <w:rsid w:val="00171A56"/>
    <w:rsid w:val="00171A89"/>
    <w:rsid w:val="00171B78"/>
    <w:rsid w:val="00171C4F"/>
    <w:rsid w:val="00171C85"/>
    <w:rsid w:val="00171C9D"/>
    <w:rsid w:val="00171D29"/>
    <w:rsid w:val="00171DD1"/>
    <w:rsid w:val="00171DFE"/>
    <w:rsid w:val="00171E8C"/>
    <w:rsid w:val="00171F53"/>
    <w:rsid w:val="001720EA"/>
    <w:rsid w:val="00172153"/>
    <w:rsid w:val="001721DB"/>
    <w:rsid w:val="0017222D"/>
    <w:rsid w:val="001723CE"/>
    <w:rsid w:val="001723E5"/>
    <w:rsid w:val="0017243A"/>
    <w:rsid w:val="0017244A"/>
    <w:rsid w:val="0017244F"/>
    <w:rsid w:val="001724E6"/>
    <w:rsid w:val="00172589"/>
    <w:rsid w:val="00172641"/>
    <w:rsid w:val="00172678"/>
    <w:rsid w:val="0017268F"/>
    <w:rsid w:val="001726FB"/>
    <w:rsid w:val="0017271C"/>
    <w:rsid w:val="0017297C"/>
    <w:rsid w:val="001729BD"/>
    <w:rsid w:val="00172AB7"/>
    <w:rsid w:val="00172AE1"/>
    <w:rsid w:val="00172B1F"/>
    <w:rsid w:val="00172B95"/>
    <w:rsid w:val="00172E09"/>
    <w:rsid w:val="00172EA5"/>
    <w:rsid w:val="00172EF2"/>
    <w:rsid w:val="00172F37"/>
    <w:rsid w:val="00172FBB"/>
    <w:rsid w:val="001730DB"/>
    <w:rsid w:val="00173110"/>
    <w:rsid w:val="001731DC"/>
    <w:rsid w:val="00173285"/>
    <w:rsid w:val="001732A7"/>
    <w:rsid w:val="001732C2"/>
    <w:rsid w:val="001732E2"/>
    <w:rsid w:val="00173389"/>
    <w:rsid w:val="00173399"/>
    <w:rsid w:val="001733CE"/>
    <w:rsid w:val="001733D9"/>
    <w:rsid w:val="00173460"/>
    <w:rsid w:val="001734DF"/>
    <w:rsid w:val="00173630"/>
    <w:rsid w:val="00173642"/>
    <w:rsid w:val="0017367F"/>
    <w:rsid w:val="00173682"/>
    <w:rsid w:val="001736B9"/>
    <w:rsid w:val="001736DD"/>
    <w:rsid w:val="0017371A"/>
    <w:rsid w:val="00173798"/>
    <w:rsid w:val="0017389B"/>
    <w:rsid w:val="001738F6"/>
    <w:rsid w:val="0017395A"/>
    <w:rsid w:val="00173A27"/>
    <w:rsid w:val="00173B4A"/>
    <w:rsid w:val="00173B65"/>
    <w:rsid w:val="00173C3D"/>
    <w:rsid w:val="00173D25"/>
    <w:rsid w:val="00173EBF"/>
    <w:rsid w:val="00173F02"/>
    <w:rsid w:val="00173F27"/>
    <w:rsid w:val="00173F93"/>
    <w:rsid w:val="00174002"/>
    <w:rsid w:val="0017409A"/>
    <w:rsid w:val="001740D1"/>
    <w:rsid w:val="0017421C"/>
    <w:rsid w:val="00174264"/>
    <w:rsid w:val="0017432C"/>
    <w:rsid w:val="00174391"/>
    <w:rsid w:val="001743C8"/>
    <w:rsid w:val="001743F2"/>
    <w:rsid w:val="0017476D"/>
    <w:rsid w:val="0017476E"/>
    <w:rsid w:val="0017482F"/>
    <w:rsid w:val="00174887"/>
    <w:rsid w:val="00174917"/>
    <w:rsid w:val="00174A5C"/>
    <w:rsid w:val="00174AEC"/>
    <w:rsid w:val="00174B01"/>
    <w:rsid w:val="00174B18"/>
    <w:rsid w:val="00174B91"/>
    <w:rsid w:val="00174C9D"/>
    <w:rsid w:val="00174D6B"/>
    <w:rsid w:val="00174D85"/>
    <w:rsid w:val="00174DE2"/>
    <w:rsid w:val="00174E28"/>
    <w:rsid w:val="00174E84"/>
    <w:rsid w:val="00175026"/>
    <w:rsid w:val="001750B5"/>
    <w:rsid w:val="001751AE"/>
    <w:rsid w:val="001752A7"/>
    <w:rsid w:val="001753E0"/>
    <w:rsid w:val="00175440"/>
    <w:rsid w:val="00175441"/>
    <w:rsid w:val="00175444"/>
    <w:rsid w:val="001754F3"/>
    <w:rsid w:val="00175509"/>
    <w:rsid w:val="001755DB"/>
    <w:rsid w:val="001756AE"/>
    <w:rsid w:val="00175745"/>
    <w:rsid w:val="00175770"/>
    <w:rsid w:val="00175815"/>
    <w:rsid w:val="001759F5"/>
    <w:rsid w:val="00175AB6"/>
    <w:rsid w:val="00175B5C"/>
    <w:rsid w:val="00175BD0"/>
    <w:rsid w:val="00175BE5"/>
    <w:rsid w:val="00175C5A"/>
    <w:rsid w:val="00175DD0"/>
    <w:rsid w:val="00175DD3"/>
    <w:rsid w:val="00175F84"/>
    <w:rsid w:val="00175F86"/>
    <w:rsid w:val="00176062"/>
    <w:rsid w:val="00176238"/>
    <w:rsid w:val="001762B8"/>
    <w:rsid w:val="00176494"/>
    <w:rsid w:val="001764CE"/>
    <w:rsid w:val="001764E3"/>
    <w:rsid w:val="001764EF"/>
    <w:rsid w:val="00176520"/>
    <w:rsid w:val="00176669"/>
    <w:rsid w:val="00176680"/>
    <w:rsid w:val="001766B8"/>
    <w:rsid w:val="001766DF"/>
    <w:rsid w:val="001766E1"/>
    <w:rsid w:val="001767BF"/>
    <w:rsid w:val="001767FA"/>
    <w:rsid w:val="00176934"/>
    <w:rsid w:val="00176A48"/>
    <w:rsid w:val="00176AB3"/>
    <w:rsid w:val="00176B13"/>
    <w:rsid w:val="00176C8B"/>
    <w:rsid w:val="00176D38"/>
    <w:rsid w:val="00176D3F"/>
    <w:rsid w:val="00176E17"/>
    <w:rsid w:val="00176E7B"/>
    <w:rsid w:val="00176F4B"/>
    <w:rsid w:val="00176FDC"/>
    <w:rsid w:val="00177068"/>
    <w:rsid w:val="00177183"/>
    <w:rsid w:val="00177227"/>
    <w:rsid w:val="00177272"/>
    <w:rsid w:val="00177273"/>
    <w:rsid w:val="001772A5"/>
    <w:rsid w:val="001772EE"/>
    <w:rsid w:val="00177302"/>
    <w:rsid w:val="0017741B"/>
    <w:rsid w:val="0017742F"/>
    <w:rsid w:val="00177447"/>
    <w:rsid w:val="001774A8"/>
    <w:rsid w:val="001776D1"/>
    <w:rsid w:val="001776FA"/>
    <w:rsid w:val="00177772"/>
    <w:rsid w:val="00177829"/>
    <w:rsid w:val="00177875"/>
    <w:rsid w:val="001778E0"/>
    <w:rsid w:val="001778F4"/>
    <w:rsid w:val="0017793F"/>
    <w:rsid w:val="001779F9"/>
    <w:rsid w:val="001779FF"/>
    <w:rsid w:val="00177AC8"/>
    <w:rsid w:val="00177ADE"/>
    <w:rsid w:val="00177CAB"/>
    <w:rsid w:val="00177CD1"/>
    <w:rsid w:val="00177EB1"/>
    <w:rsid w:val="00177EF3"/>
    <w:rsid w:val="00177F2F"/>
    <w:rsid w:val="00177FA1"/>
    <w:rsid w:val="00177FB3"/>
    <w:rsid w:val="00177FED"/>
    <w:rsid w:val="0018008E"/>
    <w:rsid w:val="001801B7"/>
    <w:rsid w:val="001801CA"/>
    <w:rsid w:val="001801E7"/>
    <w:rsid w:val="001802B8"/>
    <w:rsid w:val="0018037D"/>
    <w:rsid w:val="001804EB"/>
    <w:rsid w:val="0018059B"/>
    <w:rsid w:val="001805F6"/>
    <w:rsid w:val="00180666"/>
    <w:rsid w:val="0018068B"/>
    <w:rsid w:val="001806FF"/>
    <w:rsid w:val="0018075E"/>
    <w:rsid w:val="00180776"/>
    <w:rsid w:val="00180810"/>
    <w:rsid w:val="00180A56"/>
    <w:rsid w:val="00180B19"/>
    <w:rsid w:val="00180C0F"/>
    <w:rsid w:val="00180C94"/>
    <w:rsid w:val="00180CAE"/>
    <w:rsid w:val="00180D89"/>
    <w:rsid w:val="00180DE5"/>
    <w:rsid w:val="00180DF7"/>
    <w:rsid w:val="00180F6D"/>
    <w:rsid w:val="00180FDC"/>
    <w:rsid w:val="0018103C"/>
    <w:rsid w:val="001810BF"/>
    <w:rsid w:val="001812D8"/>
    <w:rsid w:val="001814AC"/>
    <w:rsid w:val="001814E1"/>
    <w:rsid w:val="001814EF"/>
    <w:rsid w:val="001815F2"/>
    <w:rsid w:val="00181650"/>
    <w:rsid w:val="001816D8"/>
    <w:rsid w:val="001816F9"/>
    <w:rsid w:val="001817B0"/>
    <w:rsid w:val="001817F2"/>
    <w:rsid w:val="001817FC"/>
    <w:rsid w:val="00181883"/>
    <w:rsid w:val="0018194C"/>
    <w:rsid w:val="00181959"/>
    <w:rsid w:val="00181A20"/>
    <w:rsid w:val="00181A68"/>
    <w:rsid w:val="00181CB0"/>
    <w:rsid w:val="00181E5E"/>
    <w:rsid w:val="00181E96"/>
    <w:rsid w:val="00181F09"/>
    <w:rsid w:val="00181F1F"/>
    <w:rsid w:val="00182046"/>
    <w:rsid w:val="00182051"/>
    <w:rsid w:val="00182072"/>
    <w:rsid w:val="00182184"/>
    <w:rsid w:val="00182292"/>
    <w:rsid w:val="00182350"/>
    <w:rsid w:val="00182364"/>
    <w:rsid w:val="001823F5"/>
    <w:rsid w:val="00182474"/>
    <w:rsid w:val="0018259A"/>
    <w:rsid w:val="0018260F"/>
    <w:rsid w:val="00182611"/>
    <w:rsid w:val="0018265A"/>
    <w:rsid w:val="00182662"/>
    <w:rsid w:val="001827A9"/>
    <w:rsid w:val="001827BE"/>
    <w:rsid w:val="001827BF"/>
    <w:rsid w:val="0018283C"/>
    <w:rsid w:val="001828AD"/>
    <w:rsid w:val="00182A6F"/>
    <w:rsid w:val="00182A7C"/>
    <w:rsid w:val="00182B0D"/>
    <w:rsid w:val="00182B2F"/>
    <w:rsid w:val="00182BDD"/>
    <w:rsid w:val="00182BED"/>
    <w:rsid w:val="00182F60"/>
    <w:rsid w:val="00182F9E"/>
    <w:rsid w:val="0018303C"/>
    <w:rsid w:val="0018315F"/>
    <w:rsid w:val="00183198"/>
    <w:rsid w:val="00183258"/>
    <w:rsid w:val="001833CF"/>
    <w:rsid w:val="00183408"/>
    <w:rsid w:val="0018344C"/>
    <w:rsid w:val="001834CC"/>
    <w:rsid w:val="001835C2"/>
    <w:rsid w:val="001835EC"/>
    <w:rsid w:val="00183604"/>
    <w:rsid w:val="0018361F"/>
    <w:rsid w:val="0018363C"/>
    <w:rsid w:val="001836C5"/>
    <w:rsid w:val="001836F9"/>
    <w:rsid w:val="00183708"/>
    <w:rsid w:val="00183782"/>
    <w:rsid w:val="001837CC"/>
    <w:rsid w:val="001838CA"/>
    <w:rsid w:val="001838E6"/>
    <w:rsid w:val="001839A7"/>
    <w:rsid w:val="001839C2"/>
    <w:rsid w:val="001839E0"/>
    <w:rsid w:val="00183A03"/>
    <w:rsid w:val="00183A60"/>
    <w:rsid w:val="00183B37"/>
    <w:rsid w:val="00183BF7"/>
    <w:rsid w:val="00183C4D"/>
    <w:rsid w:val="00183CAA"/>
    <w:rsid w:val="00183CE4"/>
    <w:rsid w:val="00183CEA"/>
    <w:rsid w:val="00183F5B"/>
    <w:rsid w:val="00183FB6"/>
    <w:rsid w:val="00183FEF"/>
    <w:rsid w:val="0018400D"/>
    <w:rsid w:val="00184143"/>
    <w:rsid w:val="00184179"/>
    <w:rsid w:val="00184184"/>
    <w:rsid w:val="00184277"/>
    <w:rsid w:val="001842EC"/>
    <w:rsid w:val="001842FC"/>
    <w:rsid w:val="00184392"/>
    <w:rsid w:val="00184559"/>
    <w:rsid w:val="001845E3"/>
    <w:rsid w:val="0018465B"/>
    <w:rsid w:val="001847C1"/>
    <w:rsid w:val="00184862"/>
    <w:rsid w:val="001848C6"/>
    <w:rsid w:val="001849AF"/>
    <w:rsid w:val="00184CD8"/>
    <w:rsid w:val="00184E40"/>
    <w:rsid w:val="00184E89"/>
    <w:rsid w:val="00184F20"/>
    <w:rsid w:val="0018500B"/>
    <w:rsid w:val="00185184"/>
    <w:rsid w:val="0018518C"/>
    <w:rsid w:val="0018519B"/>
    <w:rsid w:val="001851F3"/>
    <w:rsid w:val="0018523A"/>
    <w:rsid w:val="00185241"/>
    <w:rsid w:val="00185275"/>
    <w:rsid w:val="00185383"/>
    <w:rsid w:val="00185395"/>
    <w:rsid w:val="001853A2"/>
    <w:rsid w:val="0018543E"/>
    <w:rsid w:val="001854F1"/>
    <w:rsid w:val="00185511"/>
    <w:rsid w:val="001855B9"/>
    <w:rsid w:val="0018564B"/>
    <w:rsid w:val="001856DD"/>
    <w:rsid w:val="0018573F"/>
    <w:rsid w:val="00185762"/>
    <w:rsid w:val="00185867"/>
    <w:rsid w:val="0018589E"/>
    <w:rsid w:val="00185919"/>
    <w:rsid w:val="00185922"/>
    <w:rsid w:val="0018592F"/>
    <w:rsid w:val="00185ACC"/>
    <w:rsid w:val="00185AFA"/>
    <w:rsid w:val="00185C47"/>
    <w:rsid w:val="00185C70"/>
    <w:rsid w:val="00185D04"/>
    <w:rsid w:val="00185D4B"/>
    <w:rsid w:val="00185D51"/>
    <w:rsid w:val="00185D97"/>
    <w:rsid w:val="00185E90"/>
    <w:rsid w:val="00185E92"/>
    <w:rsid w:val="00185ECE"/>
    <w:rsid w:val="001860A1"/>
    <w:rsid w:val="00186131"/>
    <w:rsid w:val="001861CC"/>
    <w:rsid w:val="0018620B"/>
    <w:rsid w:val="0018624F"/>
    <w:rsid w:val="0018641B"/>
    <w:rsid w:val="0018645A"/>
    <w:rsid w:val="00186568"/>
    <w:rsid w:val="001866A7"/>
    <w:rsid w:val="00186761"/>
    <w:rsid w:val="0018689C"/>
    <w:rsid w:val="001868A1"/>
    <w:rsid w:val="00186936"/>
    <w:rsid w:val="00186999"/>
    <w:rsid w:val="001869A7"/>
    <w:rsid w:val="001869D5"/>
    <w:rsid w:val="001869E4"/>
    <w:rsid w:val="00186A79"/>
    <w:rsid w:val="00186AF6"/>
    <w:rsid w:val="00186B11"/>
    <w:rsid w:val="00186B42"/>
    <w:rsid w:val="00186B67"/>
    <w:rsid w:val="00186B6A"/>
    <w:rsid w:val="00186C62"/>
    <w:rsid w:val="00186D7D"/>
    <w:rsid w:val="00186E3F"/>
    <w:rsid w:val="00186E55"/>
    <w:rsid w:val="00186E75"/>
    <w:rsid w:val="00186F1B"/>
    <w:rsid w:val="00187024"/>
    <w:rsid w:val="00187118"/>
    <w:rsid w:val="0018711F"/>
    <w:rsid w:val="00187132"/>
    <w:rsid w:val="00187181"/>
    <w:rsid w:val="001871AA"/>
    <w:rsid w:val="00187263"/>
    <w:rsid w:val="00187267"/>
    <w:rsid w:val="001872A7"/>
    <w:rsid w:val="001872C6"/>
    <w:rsid w:val="00187315"/>
    <w:rsid w:val="00187408"/>
    <w:rsid w:val="001874A4"/>
    <w:rsid w:val="001874D5"/>
    <w:rsid w:val="001875D5"/>
    <w:rsid w:val="00187622"/>
    <w:rsid w:val="00187647"/>
    <w:rsid w:val="001876FA"/>
    <w:rsid w:val="0018779E"/>
    <w:rsid w:val="00187872"/>
    <w:rsid w:val="001878F0"/>
    <w:rsid w:val="0018792A"/>
    <w:rsid w:val="0018792D"/>
    <w:rsid w:val="00187993"/>
    <w:rsid w:val="00187995"/>
    <w:rsid w:val="001879FF"/>
    <w:rsid w:val="00187EEE"/>
    <w:rsid w:val="00187F71"/>
    <w:rsid w:val="00187F95"/>
    <w:rsid w:val="00190056"/>
    <w:rsid w:val="00190192"/>
    <w:rsid w:val="001901AA"/>
    <w:rsid w:val="00190235"/>
    <w:rsid w:val="0019025F"/>
    <w:rsid w:val="001902C6"/>
    <w:rsid w:val="001903FB"/>
    <w:rsid w:val="0019042C"/>
    <w:rsid w:val="001904AD"/>
    <w:rsid w:val="001904D2"/>
    <w:rsid w:val="0019051E"/>
    <w:rsid w:val="0019059D"/>
    <w:rsid w:val="00190798"/>
    <w:rsid w:val="0019085C"/>
    <w:rsid w:val="001908CC"/>
    <w:rsid w:val="001909B3"/>
    <w:rsid w:val="00190A3B"/>
    <w:rsid w:val="00190A5D"/>
    <w:rsid w:val="00190A97"/>
    <w:rsid w:val="00190AB8"/>
    <w:rsid w:val="00190AEA"/>
    <w:rsid w:val="00190AFF"/>
    <w:rsid w:val="00190BCB"/>
    <w:rsid w:val="00190CB2"/>
    <w:rsid w:val="00190E3C"/>
    <w:rsid w:val="00190EBD"/>
    <w:rsid w:val="00191004"/>
    <w:rsid w:val="001910F6"/>
    <w:rsid w:val="0019117D"/>
    <w:rsid w:val="001911D1"/>
    <w:rsid w:val="0019127B"/>
    <w:rsid w:val="001912C3"/>
    <w:rsid w:val="00191337"/>
    <w:rsid w:val="0019135D"/>
    <w:rsid w:val="00191376"/>
    <w:rsid w:val="001914A1"/>
    <w:rsid w:val="00191549"/>
    <w:rsid w:val="0019158E"/>
    <w:rsid w:val="0019159D"/>
    <w:rsid w:val="001915A3"/>
    <w:rsid w:val="0019160E"/>
    <w:rsid w:val="0019172F"/>
    <w:rsid w:val="001918D4"/>
    <w:rsid w:val="001918DD"/>
    <w:rsid w:val="00191956"/>
    <w:rsid w:val="001919CB"/>
    <w:rsid w:val="00191A34"/>
    <w:rsid w:val="00191A49"/>
    <w:rsid w:val="00191A93"/>
    <w:rsid w:val="00191BDE"/>
    <w:rsid w:val="00191C31"/>
    <w:rsid w:val="00191C49"/>
    <w:rsid w:val="00191C51"/>
    <w:rsid w:val="00191C5D"/>
    <w:rsid w:val="00191CAB"/>
    <w:rsid w:val="00191CE1"/>
    <w:rsid w:val="00191D03"/>
    <w:rsid w:val="00191D46"/>
    <w:rsid w:val="00191E11"/>
    <w:rsid w:val="00191EAF"/>
    <w:rsid w:val="00191F2F"/>
    <w:rsid w:val="00191F74"/>
    <w:rsid w:val="00192159"/>
    <w:rsid w:val="001921B5"/>
    <w:rsid w:val="001921C4"/>
    <w:rsid w:val="0019228E"/>
    <w:rsid w:val="001922A0"/>
    <w:rsid w:val="001922F7"/>
    <w:rsid w:val="0019240B"/>
    <w:rsid w:val="0019240C"/>
    <w:rsid w:val="00192590"/>
    <w:rsid w:val="001925D5"/>
    <w:rsid w:val="001926FB"/>
    <w:rsid w:val="00192750"/>
    <w:rsid w:val="001927BD"/>
    <w:rsid w:val="001927EE"/>
    <w:rsid w:val="001928CE"/>
    <w:rsid w:val="001929A3"/>
    <w:rsid w:val="00192A30"/>
    <w:rsid w:val="00192A96"/>
    <w:rsid w:val="00192C90"/>
    <w:rsid w:val="00192F12"/>
    <w:rsid w:val="00192F35"/>
    <w:rsid w:val="00192F8F"/>
    <w:rsid w:val="00192FCE"/>
    <w:rsid w:val="001930B7"/>
    <w:rsid w:val="00193132"/>
    <w:rsid w:val="001931AF"/>
    <w:rsid w:val="00193248"/>
    <w:rsid w:val="00193294"/>
    <w:rsid w:val="001932E1"/>
    <w:rsid w:val="00193357"/>
    <w:rsid w:val="0019339A"/>
    <w:rsid w:val="001933B6"/>
    <w:rsid w:val="00193467"/>
    <w:rsid w:val="00193476"/>
    <w:rsid w:val="001934FF"/>
    <w:rsid w:val="0019351E"/>
    <w:rsid w:val="001935C9"/>
    <w:rsid w:val="001935EA"/>
    <w:rsid w:val="00193653"/>
    <w:rsid w:val="00193928"/>
    <w:rsid w:val="00193947"/>
    <w:rsid w:val="00193960"/>
    <w:rsid w:val="001939EE"/>
    <w:rsid w:val="00193AB6"/>
    <w:rsid w:val="00193B91"/>
    <w:rsid w:val="00193D8B"/>
    <w:rsid w:val="00193DBA"/>
    <w:rsid w:val="00193E4A"/>
    <w:rsid w:val="00193E9E"/>
    <w:rsid w:val="00193EC8"/>
    <w:rsid w:val="00193ED6"/>
    <w:rsid w:val="00193EE5"/>
    <w:rsid w:val="00194117"/>
    <w:rsid w:val="00194149"/>
    <w:rsid w:val="0019418B"/>
    <w:rsid w:val="00194310"/>
    <w:rsid w:val="001943CB"/>
    <w:rsid w:val="0019440E"/>
    <w:rsid w:val="001944E2"/>
    <w:rsid w:val="001946F0"/>
    <w:rsid w:val="001946F4"/>
    <w:rsid w:val="00194708"/>
    <w:rsid w:val="00194741"/>
    <w:rsid w:val="001947E3"/>
    <w:rsid w:val="0019486D"/>
    <w:rsid w:val="001948A9"/>
    <w:rsid w:val="001948BB"/>
    <w:rsid w:val="001949F0"/>
    <w:rsid w:val="00194A09"/>
    <w:rsid w:val="00194A65"/>
    <w:rsid w:val="00194AB8"/>
    <w:rsid w:val="00194B96"/>
    <w:rsid w:val="00194C58"/>
    <w:rsid w:val="00194D09"/>
    <w:rsid w:val="00194D2D"/>
    <w:rsid w:val="00194D54"/>
    <w:rsid w:val="00194E63"/>
    <w:rsid w:val="00194E74"/>
    <w:rsid w:val="00194E89"/>
    <w:rsid w:val="00194F00"/>
    <w:rsid w:val="00194F7A"/>
    <w:rsid w:val="00194FF7"/>
    <w:rsid w:val="00194FFD"/>
    <w:rsid w:val="0019509F"/>
    <w:rsid w:val="00195150"/>
    <w:rsid w:val="0019516D"/>
    <w:rsid w:val="0019518F"/>
    <w:rsid w:val="00195202"/>
    <w:rsid w:val="001955B0"/>
    <w:rsid w:val="001955C3"/>
    <w:rsid w:val="001957BD"/>
    <w:rsid w:val="001957E6"/>
    <w:rsid w:val="001957F4"/>
    <w:rsid w:val="00195A35"/>
    <w:rsid w:val="00195A68"/>
    <w:rsid w:val="00195AB3"/>
    <w:rsid w:val="00195AC4"/>
    <w:rsid w:val="00195B53"/>
    <w:rsid w:val="00195BE1"/>
    <w:rsid w:val="00195C3D"/>
    <w:rsid w:val="00195CD0"/>
    <w:rsid w:val="00195CDB"/>
    <w:rsid w:val="00195D7D"/>
    <w:rsid w:val="00195E41"/>
    <w:rsid w:val="00195ED2"/>
    <w:rsid w:val="00195EFF"/>
    <w:rsid w:val="00195F54"/>
    <w:rsid w:val="00196009"/>
    <w:rsid w:val="001960B3"/>
    <w:rsid w:val="001960E1"/>
    <w:rsid w:val="001961A5"/>
    <w:rsid w:val="001963D7"/>
    <w:rsid w:val="0019641E"/>
    <w:rsid w:val="0019649E"/>
    <w:rsid w:val="001964D5"/>
    <w:rsid w:val="00196757"/>
    <w:rsid w:val="0019675D"/>
    <w:rsid w:val="0019679D"/>
    <w:rsid w:val="00196819"/>
    <w:rsid w:val="001968E8"/>
    <w:rsid w:val="00196955"/>
    <w:rsid w:val="00196AAE"/>
    <w:rsid w:val="00196AC0"/>
    <w:rsid w:val="00196B3F"/>
    <w:rsid w:val="00196B4E"/>
    <w:rsid w:val="00196B6D"/>
    <w:rsid w:val="00196CB5"/>
    <w:rsid w:val="00196CCD"/>
    <w:rsid w:val="00196DC7"/>
    <w:rsid w:val="00196DE0"/>
    <w:rsid w:val="00196E0E"/>
    <w:rsid w:val="00196EFF"/>
    <w:rsid w:val="00196F11"/>
    <w:rsid w:val="00196F66"/>
    <w:rsid w:val="00196FB8"/>
    <w:rsid w:val="00197028"/>
    <w:rsid w:val="0019727A"/>
    <w:rsid w:val="001972CD"/>
    <w:rsid w:val="00197317"/>
    <w:rsid w:val="00197476"/>
    <w:rsid w:val="00197486"/>
    <w:rsid w:val="00197500"/>
    <w:rsid w:val="0019760B"/>
    <w:rsid w:val="00197638"/>
    <w:rsid w:val="00197733"/>
    <w:rsid w:val="00197788"/>
    <w:rsid w:val="00197924"/>
    <w:rsid w:val="00197A33"/>
    <w:rsid w:val="00197A5A"/>
    <w:rsid w:val="00197B14"/>
    <w:rsid w:val="00197B8D"/>
    <w:rsid w:val="00197BB7"/>
    <w:rsid w:val="00197BE8"/>
    <w:rsid w:val="00197C54"/>
    <w:rsid w:val="00197C97"/>
    <w:rsid w:val="00197CF2"/>
    <w:rsid w:val="00197D8D"/>
    <w:rsid w:val="00197D90"/>
    <w:rsid w:val="00197DFC"/>
    <w:rsid w:val="00197E0F"/>
    <w:rsid w:val="00197EDD"/>
    <w:rsid w:val="00197FDE"/>
    <w:rsid w:val="001A005A"/>
    <w:rsid w:val="001A0162"/>
    <w:rsid w:val="001A01AC"/>
    <w:rsid w:val="001A01E0"/>
    <w:rsid w:val="001A02A2"/>
    <w:rsid w:val="001A03A0"/>
    <w:rsid w:val="001A04E2"/>
    <w:rsid w:val="001A0528"/>
    <w:rsid w:val="001A064A"/>
    <w:rsid w:val="001A0790"/>
    <w:rsid w:val="001A07CD"/>
    <w:rsid w:val="001A0819"/>
    <w:rsid w:val="001A0931"/>
    <w:rsid w:val="001A0A66"/>
    <w:rsid w:val="001A0C34"/>
    <w:rsid w:val="001A0C45"/>
    <w:rsid w:val="001A0CC4"/>
    <w:rsid w:val="001A0CD4"/>
    <w:rsid w:val="001A0CDA"/>
    <w:rsid w:val="001A0CFB"/>
    <w:rsid w:val="001A0E0F"/>
    <w:rsid w:val="001A0F5B"/>
    <w:rsid w:val="001A1115"/>
    <w:rsid w:val="001A1142"/>
    <w:rsid w:val="001A1162"/>
    <w:rsid w:val="001A11F7"/>
    <w:rsid w:val="001A136B"/>
    <w:rsid w:val="001A139C"/>
    <w:rsid w:val="001A1519"/>
    <w:rsid w:val="001A15CD"/>
    <w:rsid w:val="001A187B"/>
    <w:rsid w:val="001A1885"/>
    <w:rsid w:val="001A1890"/>
    <w:rsid w:val="001A18BB"/>
    <w:rsid w:val="001A1922"/>
    <w:rsid w:val="001A19D1"/>
    <w:rsid w:val="001A1A24"/>
    <w:rsid w:val="001A1AF2"/>
    <w:rsid w:val="001A1B23"/>
    <w:rsid w:val="001A1B2B"/>
    <w:rsid w:val="001A1BEA"/>
    <w:rsid w:val="001A1C03"/>
    <w:rsid w:val="001A1C4D"/>
    <w:rsid w:val="001A1C5C"/>
    <w:rsid w:val="001A1C7F"/>
    <w:rsid w:val="001A1CE2"/>
    <w:rsid w:val="001A1CEB"/>
    <w:rsid w:val="001A1D50"/>
    <w:rsid w:val="001A1D55"/>
    <w:rsid w:val="001A1DDB"/>
    <w:rsid w:val="001A1E6E"/>
    <w:rsid w:val="001A1F5A"/>
    <w:rsid w:val="001A1F8C"/>
    <w:rsid w:val="001A2046"/>
    <w:rsid w:val="001A20D9"/>
    <w:rsid w:val="001A2108"/>
    <w:rsid w:val="001A2117"/>
    <w:rsid w:val="001A2239"/>
    <w:rsid w:val="001A22D5"/>
    <w:rsid w:val="001A22E5"/>
    <w:rsid w:val="001A2302"/>
    <w:rsid w:val="001A2409"/>
    <w:rsid w:val="001A244F"/>
    <w:rsid w:val="001A24A5"/>
    <w:rsid w:val="001A24CF"/>
    <w:rsid w:val="001A25A2"/>
    <w:rsid w:val="001A2608"/>
    <w:rsid w:val="001A261E"/>
    <w:rsid w:val="001A2664"/>
    <w:rsid w:val="001A266B"/>
    <w:rsid w:val="001A26E9"/>
    <w:rsid w:val="001A2787"/>
    <w:rsid w:val="001A27C6"/>
    <w:rsid w:val="001A27F4"/>
    <w:rsid w:val="001A27F5"/>
    <w:rsid w:val="001A2997"/>
    <w:rsid w:val="001A2B1A"/>
    <w:rsid w:val="001A2B7B"/>
    <w:rsid w:val="001A2C91"/>
    <w:rsid w:val="001A2CCB"/>
    <w:rsid w:val="001A2EDE"/>
    <w:rsid w:val="001A2F34"/>
    <w:rsid w:val="001A2F94"/>
    <w:rsid w:val="001A2FEE"/>
    <w:rsid w:val="001A304C"/>
    <w:rsid w:val="001A3082"/>
    <w:rsid w:val="001A319C"/>
    <w:rsid w:val="001A322D"/>
    <w:rsid w:val="001A32BE"/>
    <w:rsid w:val="001A335E"/>
    <w:rsid w:val="001A3397"/>
    <w:rsid w:val="001A3586"/>
    <w:rsid w:val="001A36A1"/>
    <w:rsid w:val="001A36F0"/>
    <w:rsid w:val="001A37A7"/>
    <w:rsid w:val="001A37C5"/>
    <w:rsid w:val="001A37EB"/>
    <w:rsid w:val="001A3849"/>
    <w:rsid w:val="001A389A"/>
    <w:rsid w:val="001A38B1"/>
    <w:rsid w:val="001A3986"/>
    <w:rsid w:val="001A3BCE"/>
    <w:rsid w:val="001A3C08"/>
    <w:rsid w:val="001A3D31"/>
    <w:rsid w:val="001A3E3F"/>
    <w:rsid w:val="001A3E64"/>
    <w:rsid w:val="001A3E65"/>
    <w:rsid w:val="001A3F39"/>
    <w:rsid w:val="001A3FD8"/>
    <w:rsid w:val="001A4034"/>
    <w:rsid w:val="001A40A2"/>
    <w:rsid w:val="001A40A3"/>
    <w:rsid w:val="001A40D0"/>
    <w:rsid w:val="001A40FA"/>
    <w:rsid w:val="001A4174"/>
    <w:rsid w:val="001A4185"/>
    <w:rsid w:val="001A41C2"/>
    <w:rsid w:val="001A4230"/>
    <w:rsid w:val="001A4241"/>
    <w:rsid w:val="001A4243"/>
    <w:rsid w:val="001A4335"/>
    <w:rsid w:val="001A434A"/>
    <w:rsid w:val="001A4375"/>
    <w:rsid w:val="001A43C7"/>
    <w:rsid w:val="001A459D"/>
    <w:rsid w:val="001A4617"/>
    <w:rsid w:val="001A4657"/>
    <w:rsid w:val="001A47AF"/>
    <w:rsid w:val="001A4806"/>
    <w:rsid w:val="001A489A"/>
    <w:rsid w:val="001A4928"/>
    <w:rsid w:val="001A49D1"/>
    <w:rsid w:val="001A4A53"/>
    <w:rsid w:val="001A4D37"/>
    <w:rsid w:val="001A4DA5"/>
    <w:rsid w:val="001A4DAE"/>
    <w:rsid w:val="001A4E59"/>
    <w:rsid w:val="001A4EF7"/>
    <w:rsid w:val="001A4F2B"/>
    <w:rsid w:val="001A5016"/>
    <w:rsid w:val="001A503D"/>
    <w:rsid w:val="001A5079"/>
    <w:rsid w:val="001A5090"/>
    <w:rsid w:val="001A5096"/>
    <w:rsid w:val="001A50D7"/>
    <w:rsid w:val="001A50E0"/>
    <w:rsid w:val="001A512C"/>
    <w:rsid w:val="001A5215"/>
    <w:rsid w:val="001A5264"/>
    <w:rsid w:val="001A52D6"/>
    <w:rsid w:val="001A53D8"/>
    <w:rsid w:val="001A5433"/>
    <w:rsid w:val="001A550A"/>
    <w:rsid w:val="001A551B"/>
    <w:rsid w:val="001A5681"/>
    <w:rsid w:val="001A5811"/>
    <w:rsid w:val="001A5824"/>
    <w:rsid w:val="001A5962"/>
    <w:rsid w:val="001A59F5"/>
    <w:rsid w:val="001A5A39"/>
    <w:rsid w:val="001A5AA1"/>
    <w:rsid w:val="001A5BAC"/>
    <w:rsid w:val="001A5C90"/>
    <w:rsid w:val="001A5E3A"/>
    <w:rsid w:val="001A5E6C"/>
    <w:rsid w:val="001A5E9F"/>
    <w:rsid w:val="001A5F6A"/>
    <w:rsid w:val="001A612C"/>
    <w:rsid w:val="001A626F"/>
    <w:rsid w:val="001A62FA"/>
    <w:rsid w:val="001A635A"/>
    <w:rsid w:val="001A6425"/>
    <w:rsid w:val="001A64BA"/>
    <w:rsid w:val="001A65A0"/>
    <w:rsid w:val="001A664E"/>
    <w:rsid w:val="001A668D"/>
    <w:rsid w:val="001A6696"/>
    <w:rsid w:val="001A66B9"/>
    <w:rsid w:val="001A6727"/>
    <w:rsid w:val="001A6732"/>
    <w:rsid w:val="001A67C7"/>
    <w:rsid w:val="001A6862"/>
    <w:rsid w:val="001A6894"/>
    <w:rsid w:val="001A69CB"/>
    <w:rsid w:val="001A6A73"/>
    <w:rsid w:val="001A6BB1"/>
    <w:rsid w:val="001A6C19"/>
    <w:rsid w:val="001A6C54"/>
    <w:rsid w:val="001A6D00"/>
    <w:rsid w:val="001A6D5C"/>
    <w:rsid w:val="001A6DBD"/>
    <w:rsid w:val="001A6E77"/>
    <w:rsid w:val="001A6EA8"/>
    <w:rsid w:val="001A6F00"/>
    <w:rsid w:val="001A6F8A"/>
    <w:rsid w:val="001A6FB1"/>
    <w:rsid w:val="001A70D6"/>
    <w:rsid w:val="001A714D"/>
    <w:rsid w:val="001A7184"/>
    <w:rsid w:val="001A7254"/>
    <w:rsid w:val="001A7354"/>
    <w:rsid w:val="001A7387"/>
    <w:rsid w:val="001A73E6"/>
    <w:rsid w:val="001A7476"/>
    <w:rsid w:val="001A7497"/>
    <w:rsid w:val="001A750C"/>
    <w:rsid w:val="001A7514"/>
    <w:rsid w:val="001A75AF"/>
    <w:rsid w:val="001A7617"/>
    <w:rsid w:val="001A7679"/>
    <w:rsid w:val="001A76C6"/>
    <w:rsid w:val="001A76E1"/>
    <w:rsid w:val="001A77A6"/>
    <w:rsid w:val="001A77C0"/>
    <w:rsid w:val="001A7808"/>
    <w:rsid w:val="001A7871"/>
    <w:rsid w:val="001A78BD"/>
    <w:rsid w:val="001A78E8"/>
    <w:rsid w:val="001A7A89"/>
    <w:rsid w:val="001A7B2B"/>
    <w:rsid w:val="001A7B46"/>
    <w:rsid w:val="001A7BCC"/>
    <w:rsid w:val="001A7C15"/>
    <w:rsid w:val="001A7CFB"/>
    <w:rsid w:val="001A7D37"/>
    <w:rsid w:val="001A7E0E"/>
    <w:rsid w:val="001A7F4E"/>
    <w:rsid w:val="001B0072"/>
    <w:rsid w:val="001B0156"/>
    <w:rsid w:val="001B0175"/>
    <w:rsid w:val="001B0228"/>
    <w:rsid w:val="001B028C"/>
    <w:rsid w:val="001B02CC"/>
    <w:rsid w:val="001B02F0"/>
    <w:rsid w:val="001B035E"/>
    <w:rsid w:val="001B03B7"/>
    <w:rsid w:val="001B0425"/>
    <w:rsid w:val="001B042B"/>
    <w:rsid w:val="001B049C"/>
    <w:rsid w:val="001B053B"/>
    <w:rsid w:val="001B055E"/>
    <w:rsid w:val="001B05D0"/>
    <w:rsid w:val="001B06B8"/>
    <w:rsid w:val="001B072B"/>
    <w:rsid w:val="001B0770"/>
    <w:rsid w:val="001B0779"/>
    <w:rsid w:val="001B09A3"/>
    <w:rsid w:val="001B09D0"/>
    <w:rsid w:val="001B09E5"/>
    <w:rsid w:val="001B0B2B"/>
    <w:rsid w:val="001B0BBA"/>
    <w:rsid w:val="001B0BE8"/>
    <w:rsid w:val="001B0C63"/>
    <w:rsid w:val="001B0C70"/>
    <w:rsid w:val="001B0CAC"/>
    <w:rsid w:val="001B0CF5"/>
    <w:rsid w:val="001B0DEB"/>
    <w:rsid w:val="001B0F37"/>
    <w:rsid w:val="001B0F6C"/>
    <w:rsid w:val="001B0F93"/>
    <w:rsid w:val="001B0FE3"/>
    <w:rsid w:val="001B0FEB"/>
    <w:rsid w:val="001B0FF4"/>
    <w:rsid w:val="001B107B"/>
    <w:rsid w:val="001B10C6"/>
    <w:rsid w:val="001B111C"/>
    <w:rsid w:val="001B123D"/>
    <w:rsid w:val="001B129E"/>
    <w:rsid w:val="001B12D0"/>
    <w:rsid w:val="001B12E3"/>
    <w:rsid w:val="001B1498"/>
    <w:rsid w:val="001B1593"/>
    <w:rsid w:val="001B1613"/>
    <w:rsid w:val="001B167D"/>
    <w:rsid w:val="001B1687"/>
    <w:rsid w:val="001B171C"/>
    <w:rsid w:val="001B172C"/>
    <w:rsid w:val="001B1803"/>
    <w:rsid w:val="001B188C"/>
    <w:rsid w:val="001B196A"/>
    <w:rsid w:val="001B1ACE"/>
    <w:rsid w:val="001B1B51"/>
    <w:rsid w:val="001B1B7A"/>
    <w:rsid w:val="001B1BF9"/>
    <w:rsid w:val="001B1D95"/>
    <w:rsid w:val="001B1E9F"/>
    <w:rsid w:val="001B1F64"/>
    <w:rsid w:val="001B211E"/>
    <w:rsid w:val="001B214D"/>
    <w:rsid w:val="001B2158"/>
    <w:rsid w:val="001B217D"/>
    <w:rsid w:val="001B22D7"/>
    <w:rsid w:val="001B2301"/>
    <w:rsid w:val="001B231F"/>
    <w:rsid w:val="001B23C1"/>
    <w:rsid w:val="001B24A9"/>
    <w:rsid w:val="001B2530"/>
    <w:rsid w:val="001B2548"/>
    <w:rsid w:val="001B255D"/>
    <w:rsid w:val="001B2660"/>
    <w:rsid w:val="001B26BF"/>
    <w:rsid w:val="001B27AB"/>
    <w:rsid w:val="001B2951"/>
    <w:rsid w:val="001B2961"/>
    <w:rsid w:val="001B2A39"/>
    <w:rsid w:val="001B2AA4"/>
    <w:rsid w:val="001B2B07"/>
    <w:rsid w:val="001B2B19"/>
    <w:rsid w:val="001B2BC6"/>
    <w:rsid w:val="001B2EB9"/>
    <w:rsid w:val="001B2F99"/>
    <w:rsid w:val="001B2FD7"/>
    <w:rsid w:val="001B300A"/>
    <w:rsid w:val="001B306E"/>
    <w:rsid w:val="001B30AE"/>
    <w:rsid w:val="001B3215"/>
    <w:rsid w:val="001B322C"/>
    <w:rsid w:val="001B3299"/>
    <w:rsid w:val="001B32D8"/>
    <w:rsid w:val="001B32DC"/>
    <w:rsid w:val="001B3370"/>
    <w:rsid w:val="001B33C5"/>
    <w:rsid w:val="001B3410"/>
    <w:rsid w:val="001B34CF"/>
    <w:rsid w:val="001B36CD"/>
    <w:rsid w:val="001B36F8"/>
    <w:rsid w:val="001B37B3"/>
    <w:rsid w:val="001B3925"/>
    <w:rsid w:val="001B3940"/>
    <w:rsid w:val="001B3959"/>
    <w:rsid w:val="001B39F4"/>
    <w:rsid w:val="001B39FC"/>
    <w:rsid w:val="001B3A53"/>
    <w:rsid w:val="001B3AF7"/>
    <w:rsid w:val="001B3C0B"/>
    <w:rsid w:val="001B3CC2"/>
    <w:rsid w:val="001B3CC8"/>
    <w:rsid w:val="001B3D52"/>
    <w:rsid w:val="001B3D66"/>
    <w:rsid w:val="001B3D8B"/>
    <w:rsid w:val="001B3DAE"/>
    <w:rsid w:val="001B3DFD"/>
    <w:rsid w:val="001B3EA3"/>
    <w:rsid w:val="001B3ED6"/>
    <w:rsid w:val="001B3FF7"/>
    <w:rsid w:val="001B40C7"/>
    <w:rsid w:val="001B4119"/>
    <w:rsid w:val="001B416F"/>
    <w:rsid w:val="001B4285"/>
    <w:rsid w:val="001B42C5"/>
    <w:rsid w:val="001B42FB"/>
    <w:rsid w:val="001B4543"/>
    <w:rsid w:val="001B45E7"/>
    <w:rsid w:val="001B46BE"/>
    <w:rsid w:val="001B475A"/>
    <w:rsid w:val="001B479B"/>
    <w:rsid w:val="001B479E"/>
    <w:rsid w:val="001B47AF"/>
    <w:rsid w:val="001B4821"/>
    <w:rsid w:val="001B4A45"/>
    <w:rsid w:val="001B4A69"/>
    <w:rsid w:val="001B4A6E"/>
    <w:rsid w:val="001B4A71"/>
    <w:rsid w:val="001B4B42"/>
    <w:rsid w:val="001B4BE2"/>
    <w:rsid w:val="001B4D85"/>
    <w:rsid w:val="001B4D9A"/>
    <w:rsid w:val="001B4E01"/>
    <w:rsid w:val="001B4EBD"/>
    <w:rsid w:val="001B4EDE"/>
    <w:rsid w:val="001B501F"/>
    <w:rsid w:val="001B5026"/>
    <w:rsid w:val="001B517B"/>
    <w:rsid w:val="001B528F"/>
    <w:rsid w:val="001B5359"/>
    <w:rsid w:val="001B53B5"/>
    <w:rsid w:val="001B54E5"/>
    <w:rsid w:val="001B5541"/>
    <w:rsid w:val="001B56D4"/>
    <w:rsid w:val="001B5769"/>
    <w:rsid w:val="001B577B"/>
    <w:rsid w:val="001B58FB"/>
    <w:rsid w:val="001B5A47"/>
    <w:rsid w:val="001B5AEE"/>
    <w:rsid w:val="001B5B14"/>
    <w:rsid w:val="001B5B16"/>
    <w:rsid w:val="001B5B1C"/>
    <w:rsid w:val="001B5B73"/>
    <w:rsid w:val="001B5BE0"/>
    <w:rsid w:val="001B5C19"/>
    <w:rsid w:val="001B5C59"/>
    <w:rsid w:val="001B5C5E"/>
    <w:rsid w:val="001B5D73"/>
    <w:rsid w:val="001B5D7B"/>
    <w:rsid w:val="001B5E86"/>
    <w:rsid w:val="001B5F25"/>
    <w:rsid w:val="001B5F64"/>
    <w:rsid w:val="001B5F68"/>
    <w:rsid w:val="001B6031"/>
    <w:rsid w:val="001B6103"/>
    <w:rsid w:val="001B6143"/>
    <w:rsid w:val="001B61A6"/>
    <w:rsid w:val="001B61BE"/>
    <w:rsid w:val="001B626F"/>
    <w:rsid w:val="001B6568"/>
    <w:rsid w:val="001B6591"/>
    <w:rsid w:val="001B659C"/>
    <w:rsid w:val="001B65CB"/>
    <w:rsid w:val="001B661C"/>
    <w:rsid w:val="001B66B6"/>
    <w:rsid w:val="001B673C"/>
    <w:rsid w:val="001B6740"/>
    <w:rsid w:val="001B675F"/>
    <w:rsid w:val="001B681A"/>
    <w:rsid w:val="001B6AB5"/>
    <w:rsid w:val="001B6ACE"/>
    <w:rsid w:val="001B6B55"/>
    <w:rsid w:val="001B6B79"/>
    <w:rsid w:val="001B6BE0"/>
    <w:rsid w:val="001B6BF8"/>
    <w:rsid w:val="001B6CB9"/>
    <w:rsid w:val="001B6D67"/>
    <w:rsid w:val="001B6D79"/>
    <w:rsid w:val="001B6D9F"/>
    <w:rsid w:val="001B6E30"/>
    <w:rsid w:val="001B71D0"/>
    <w:rsid w:val="001B71E5"/>
    <w:rsid w:val="001B746B"/>
    <w:rsid w:val="001B748F"/>
    <w:rsid w:val="001B74B0"/>
    <w:rsid w:val="001B765C"/>
    <w:rsid w:val="001B7999"/>
    <w:rsid w:val="001B79D9"/>
    <w:rsid w:val="001B7A03"/>
    <w:rsid w:val="001B7AA5"/>
    <w:rsid w:val="001B7B25"/>
    <w:rsid w:val="001B7B34"/>
    <w:rsid w:val="001B7B45"/>
    <w:rsid w:val="001B7CD5"/>
    <w:rsid w:val="001B7D56"/>
    <w:rsid w:val="001B7DFD"/>
    <w:rsid w:val="001C0068"/>
    <w:rsid w:val="001C00CD"/>
    <w:rsid w:val="001C00DA"/>
    <w:rsid w:val="001C01B6"/>
    <w:rsid w:val="001C0207"/>
    <w:rsid w:val="001C0222"/>
    <w:rsid w:val="001C033D"/>
    <w:rsid w:val="001C0367"/>
    <w:rsid w:val="001C037A"/>
    <w:rsid w:val="001C03C7"/>
    <w:rsid w:val="001C03D3"/>
    <w:rsid w:val="001C0503"/>
    <w:rsid w:val="001C05F4"/>
    <w:rsid w:val="001C0645"/>
    <w:rsid w:val="001C0782"/>
    <w:rsid w:val="001C0820"/>
    <w:rsid w:val="001C08F7"/>
    <w:rsid w:val="001C090B"/>
    <w:rsid w:val="001C0A50"/>
    <w:rsid w:val="001C0A5A"/>
    <w:rsid w:val="001C0AFE"/>
    <w:rsid w:val="001C0B57"/>
    <w:rsid w:val="001C0BA1"/>
    <w:rsid w:val="001C0BC9"/>
    <w:rsid w:val="001C0C0D"/>
    <w:rsid w:val="001C0CF2"/>
    <w:rsid w:val="001C0CFE"/>
    <w:rsid w:val="001C0DC6"/>
    <w:rsid w:val="001C0DD6"/>
    <w:rsid w:val="001C0F7F"/>
    <w:rsid w:val="001C0FF5"/>
    <w:rsid w:val="001C1145"/>
    <w:rsid w:val="001C1189"/>
    <w:rsid w:val="001C1229"/>
    <w:rsid w:val="001C1297"/>
    <w:rsid w:val="001C12AD"/>
    <w:rsid w:val="001C1300"/>
    <w:rsid w:val="001C1311"/>
    <w:rsid w:val="001C131B"/>
    <w:rsid w:val="001C13DB"/>
    <w:rsid w:val="001C1466"/>
    <w:rsid w:val="001C146F"/>
    <w:rsid w:val="001C147D"/>
    <w:rsid w:val="001C1493"/>
    <w:rsid w:val="001C14D8"/>
    <w:rsid w:val="001C1687"/>
    <w:rsid w:val="001C1719"/>
    <w:rsid w:val="001C17A4"/>
    <w:rsid w:val="001C17C2"/>
    <w:rsid w:val="001C18AE"/>
    <w:rsid w:val="001C19FA"/>
    <w:rsid w:val="001C1A93"/>
    <w:rsid w:val="001C1AAE"/>
    <w:rsid w:val="001C1AEB"/>
    <w:rsid w:val="001C1B94"/>
    <w:rsid w:val="001C1BB6"/>
    <w:rsid w:val="001C1CCD"/>
    <w:rsid w:val="001C1DF3"/>
    <w:rsid w:val="001C1E8A"/>
    <w:rsid w:val="001C1E8F"/>
    <w:rsid w:val="001C1F51"/>
    <w:rsid w:val="001C2065"/>
    <w:rsid w:val="001C206B"/>
    <w:rsid w:val="001C218D"/>
    <w:rsid w:val="001C22C4"/>
    <w:rsid w:val="001C2301"/>
    <w:rsid w:val="001C230D"/>
    <w:rsid w:val="001C239E"/>
    <w:rsid w:val="001C2480"/>
    <w:rsid w:val="001C248C"/>
    <w:rsid w:val="001C24D7"/>
    <w:rsid w:val="001C24E7"/>
    <w:rsid w:val="001C25AC"/>
    <w:rsid w:val="001C25FC"/>
    <w:rsid w:val="001C2772"/>
    <w:rsid w:val="001C28A1"/>
    <w:rsid w:val="001C2C10"/>
    <w:rsid w:val="001C2C2F"/>
    <w:rsid w:val="001C2C9B"/>
    <w:rsid w:val="001C2D31"/>
    <w:rsid w:val="001C2DA6"/>
    <w:rsid w:val="001C2F1A"/>
    <w:rsid w:val="001C2FA7"/>
    <w:rsid w:val="001C3072"/>
    <w:rsid w:val="001C3176"/>
    <w:rsid w:val="001C322D"/>
    <w:rsid w:val="001C32E8"/>
    <w:rsid w:val="001C3383"/>
    <w:rsid w:val="001C3444"/>
    <w:rsid w:val="001C3576"/>
    <w:rsid w:val="001C35F7"/>
    <w:rsid w:val="001C379C"/>
    <w:rsid w:val="001C3806"/>
    <w:rsid w:val="001C3809"/>
    <w:rsid w:val="001C38A8"/>
    <w:rsid w:val="001C3910"/>
    <w:rsid w:val="001C39B9"/>
    <w:rsid w:val="001C3A3C"/>
    <w:rsid w:val="001C3AA6"/>
    <w:rsid w:val="001C3AE8"/>
    <w:rsid w:val="001C3AF9"/>
    <w:rsid w:val="001C3B84"/>
    <w:rsid w:val="001C3B94"/>
    <w:rsid w:val="001C3CCF"/>
    <w:rsid w:val="001C3D1F"/>
    <w:rsid w:val="001C3D38"/>
    <w:rsid w:val="001C3D62"/>
    <w:rsid w:val="001C3E87"/>
    <w:rsid w:val="001C3F66"/>
    <w:rsid w:val="001C3F79"/>
    <w:rsid w:val="001C4045"/>
    <w:rsid w:val="001C4181"/>
    <w:rsid w:val="001C428D"/>
    <w:rsid w:val="001C42D3"/>
    <w:rsid w:val="001C42DA"/>
    <w:rsid w:val="001C42EC"/>
    <w:rsid w:val="001C42F2"/>
    <w:rsid w:val="001C4364"/>
    <w:rsid w:val="001C436B"/>
    <w:rsid w:val="001C4384"/>
    <w:rsid w:val="001C4385"/>
    <w:rsid w:val="001C44C2"/>
    <w:rsid w:val="001C4584"/>
    <w:rsid w:val="001C459C"/>
    <w:rsid w:val="001C4676"/>
    <w:rsid w:val="001C4770"/>
    <w:rsid w:val="001C47EA"/>
    <w:rsid w:val="001C4828"/>
    <w:rsid w:val="001C4866"/>
    <w:rsid w:val="001C48D0"/>
    <w:rsid w:val="001C48FF"/>
    <w:rsid w:val="001C498A"/>
    <w:rsid w:val="001C49AB"/>
    <w:rsid w:val="001C49B6"/>
    <w:rsid w:val="001C4A5A"/>
    <w:rsid w:val="001C4A62"/>
    <w:rsid w:val="001C4AA0"/>
    <w:rsid w:val="001C4AA7"/>
    <w:rsid w:val="001C4AD3"/>
    <w:rsid w:val="001C4AE8"/>
    <w:rsid w:val="001C4B5A"/>
    <w:rsid w:val="001C4C62"/>
    <w:rsid w:val="001C4D4D"/>
    <w:rsid w:val="001C4DDC"/>
    <w:rsid w:val="001C4DEF"/>
    <w:rsid w:val="001C4E1C"/>
    <w:rsid w:val="001C4E49"/>
    <w:rsid w:val="001C4F6D"/>
    <w:rsid w:val="001C5033"/>
    <w:rsid w:val="001C504E"/>
    <w:rsid w:val="001C5136"/>
    <w:rsid w:val="001C529B"/>
    <w:rsid w:val="001C536D"/>
    <w:rsid w:val="001C5387"/>
    <w:rsid w:val="001C5409"/>
    <w:rsid w:val="001C5499"/>
    <w:rsid w:val="001C55DE"/>
    <w:rsid w:val="001C5680"/>
    <w:rsid w:val="001C5742"/>
    <w:rsid w:val="001C57CC"/>
    <w:rsid w:val="001C57FD"/>
    <w:rsid w:val="001C5879"/>
    <w:rsid w:val="001C5904"/>
    <w:rsid w:val="001C597E"/>
    <w:rsid w:val="001C59B9"/>
    <w:rsid w:val="001C59CA"/>
    <w:rsid w:val="001C59FD"/>
    <w:rsid w:val="001C5A3C"/>
    <w:rsid w:val="001C5A71"/>
    <w:rsid w:val="001C5A95"/>
    <w:rsid w:val="001C5B6D"/>
    <w:rsid w:val="001C5B79"/>
    <w:rsid w:val="001C5BFF"/>
    <w:rsid w:val="001C5C5C"/>
    <w:rsid w:val="001C5CEB"/>
    <w:rsid w:val="001C5D18"/>
    <w:rsid w:val="001C5D29"/>
    <w:rsid w:val="001C5D6B"/>
    <w:rsid w:val="001C5F4B"/>
    <w:rsid w:val="001C6136"/>
    <w:rsid w:val="001C61BE"/>
    <w:rsid w:val="001C6251"/>
    <w:rsid w:val="001C62D1"/>
    <w:rsid w:val="001C6331"/>
    <w:rsid w:val="001C6494"/>
    <w:rsid w:val="001C64F4"/>
    <w:rsid w:val="001C654E"/>
    <w:rsid w:val="001C655E"/>
    <w:rsid w:val="001C6576"/>
    <w:rsid w:val="001C6593"/>
    <w:rsid w:val="001C662C"/>
    <w:rsid w:val="001C6635"/>
    <w:rsid w:val="001C66A8"/>
    <w:rsid w:val="001C674C"/>
    <w:rsid w:val="001C6751"/>
    <w:rsid w:val="001C67C5"/>
    <w:rsid w:val="001C688A"/>
    <w:rsid w:val="001C689F"/>
    <w:rsid w:val="001C695A"/>
    <w:rsid w:val="001C69B1"/>
    <w:rsid w:val="001C6A1F"/>
    <w:rsid w:val="001C6B62"/>
    <w:rsid w:val="001C6BE1"/>
    <w:rsid w:val="001C6C33"/>
    <w:rsid w:val="001C6C74"/>
    <w:rsid w:val="001C6C83"/>
    <w:rsid w:val="001C6DC2"/>
    <w:rsid w:val="001C6F1B"/>
    <w:rsid w:val="001C7088"/>
    <w:rsid w:val="001C70B2"/>
    <w:rsid w:val="001C70F5"/>
    <w:rsid w:val="001C71BE"/>
    <w:rsid w:val="001C7237"/>
    <w:rsid w:val="001C72ED"/>
    <w:rsid w:val="001C7353"/>
    <w:rsid w:val="001C73CA"/>
    <w:rsid w:val="001C744F"/>
    <w:rsid w:val="001C75A3"/>
    <w:rsid w:val="001C75E5"/>
    <w:rsid w:val="001C75F3"/>
    <w:rsid w:val="001C75FB"/>
    <w:rsid w:val="001C7916"/>
    <w:rsid w:val="001C7A16"/>
    <w:rsid w:val="001C7A21"/>
    <w:rsid w:val="001C7ABE"/>
    <w:rsid w:val="001C7B8A"/>
    <w:rsid w:val="001C7C93"/>
    <w:rsid w:val="001C7DE0"/>
    <w:rsid w:val="001C7FC1"/>
    <w:rsid w:val="001D006E"/>
    <w:rsid w:val="001D0096"/>
    <w:rsid w:val="001D0124"/>
    <w:rsid w:val="001D0203"/>
    <w:rsid w:val="001D0340"/>
    <w:rsid w:val="001D03DE"/>
    <w:rsid w:val="001D0407"/>
    <w:rsid w:val="001D04BF"/>
    <w:rsid w:val="001D04C4"/>
    <w:rsid w:val="001D04D5"/>
    <w:rsid w:val="001D04F7"/>
    <w:rsid w:val="001D062B"/>
    <w:rsid w:val="001D0647"/>
    <w:rsid w:val="001D067A"/>
    <w:rsid w:val="001D06A8"/>
    <w:rsid w:val="001D078D"/>
    <w:rsid w:val="001D07BB"/>
    <w:rsid w:val="001D0828"/>
    <w:rsid w:val="001D083A"/>
    <w:rsid w:val="001D085C"/>
    <w:rsid w:val="001D090E"/>
    <w:rsid w:val="001D0979"/>
    <w:rsid w:val="001D098B"/>
    <w:rsid w:val="001D0992"/>
    <w:rsid w:val="001D09B3"/>
    <w:rsid w:val="001D0A02"/>
    <w:rsid w:val="001D0AAE"/>
    <w:rsid w:val="001D0BAE"/>
    <w:rsid w:val="001D0BBB"/>
    <w:rsid w:val="001D0BD3"/>
    <w:rsid w:val="001D0BDD"/>
    <w:rsid w:val="001D0BF3"/>
    <w:rsid w:val="001D0D14"/>
    <w:rsid w:val="001D0EE3"/>
    <w:rsid w:val="001D0F1B"/>
    <w:rsid w:val="001D0F69"/>
    <w:rsid w:val="001D0F71"/>
    <w:rsid w:val="001D1124"/>
    <w:rsid w:val="001D11C7"/>
    <w:rsid w:val="001D125D"/>
    <w:rsid w:val="001D1464"/>
    <w:rsid w:val="001D1465"/>
    <w:rsid w:val="001D14E2"/>
    <w:rsid w:val="001D1503"/>
    <w:rsid w:val="001D152B"/>
    <w:rsid w:val="001D1555"/>
    <w:rsid w:val="001D165E"/>
    <w:rsid w:val="001D1785"/>
    <w:rsid w:val="001D179B"/>
    <w:rsid w:val="001D17DC"/>
    <w:rsid w:val="001D1987"/>
    <w:rsid w:val="001D19A4"/>
    <w:rsid w:val="001D19B3"/>
    <w:rsid w:val="001D1AD2"/>
    <w:rsid w:val="001D1AD8"/>
    <w:rsid w:val="001D1B07"/>
    <w:rsid w:val="001D1B51"/>
    <w:rsid w:val="001D1C08"/>
    <w:rsid w:val="001D1CA0"/>
    <w:rsid w:val="001D1CE5"/>
    <w:rsid w:val="001D1E4A"/>
    <w:rsid w:val="001D1EAA"/>
    <w:rsid w:val="001D1EAC"/>
    <w:rsid w:val="001D1EB1"/>
    <w:rsid w:val="001D1F55"/>
    <w:rsid w:val="001D1F97"/>
    <w:rsid w:val="001D1FB2"/>
    <w:rsid w:val="001D202F"/>
    <w:rsid w:val="001D2069"/>
    <w:rsid w:val="001D2090"/>
    <w:rsid w:val="001D20D5"/>
    <w:rsid w:val="001D21CF"/>
    <w:rsid w:val="001D22A5"/>
    <w:rsid w:val="001D2307"/>
    <w:rsid w:val="001D2384"/>
    <w:rsid w:val="001D24D3"/>
    <w:rsid w:val="001D24D9"/>
    <w:rsid w:val="001D2502"/>
    <w:rsid w:val="001D2521"/>
    <w:rsid w:val="001D258C"/>
    <w:rsid w:val="001D2594"/>
    <w:rsid w:val="001D25AE"/>
    <w:rsid w:val="001D25CC"/>
    <w:rsid w:val="001D25E0"/>
    <w:rsid w:val="001D2649"/>
    <w:rsid w:val="001D275A"/>
    <w:rsid w:val="001D293B"/>
    <w:rsid w:val="001D294F"/>
    <w:rsid w:val="001D29FA"/>
    <w:rsid w:val="001D2A05"/>
    <w:rsid w:val="001D2A83"/>
    <w:rsid w:val="001D2ACA"/>
    <w:rsid w:val="001D2B65"/>
    <w:rsid w:val="001D2B79"/>
    <w:rsid w:val="001D2B9C"/>
    <w:rsid w:val="001D2BDD"/>
    <w:rsid w:val="001D2BEA"/>
    <w:rsid w:val="001D2C4C"/>
    <w:rsid w:val="001D2C5E"/>
    <w:rsid w:val="001D2CA3"/>
    <w:rsid w:val="001D2CD7"/>
    <w:rsid w:val="001D2CFA"/>
    <w:rsid w:val="001D2D54"/>
    <w:rsid w:val="001D2DDC"/>
    <w:rsid w:val="001D2E86"/>
    <w:rsid w:val="001D3058"/>
    <w:rsid w:val="001D3083"/>
    <w:rsid w:val="001D3136"/>
    <w:rsid w:val="001D319E"/>
    <w:rsid w:val="001D3235"/>
    <w:rsid w:val="001D3243"/>
    <w:rsid w:val="001D3295"/>
    <w:rsid w:val="001D32A6"/>
    <w:rsid w:val="001D3320"/>
    <w:rsid w:val="001D3332"/>
    <w:rsid w:val="001D338B"/>
    <w:rsid w:val="001D33EF"/>
    <w:rsid w:val="001D3585"/>
    <w:rsid w:val="001D35DE"/>
    <w:rsid w:val="001D378D"/>
    <w:rsid w:val="001D3844"/>
    <w:rsid w:val="001D38A0"/>
    <w:rsid w:val="001D38BE"/>
    <w:rsid w:val="001D3934"/>
    <w:rsid w:val="001D3A85"/>
    <w:rsid w:val="001D3AB1"/>
    <w:rsid w:val="001D3C0E"/>
    <w:rsid w:val="001D3D7B"/>
    <w:rsid w:val="001D3EA2"/>
    <w:rsid w:val="001D3ED1"/>
    <w:rsid w:val="001D3F4B"/>
    <w:rsid w:val="001D3F68"/>
    <w:rsid w:val="001D3FE6"/>
    <w:rsid w:val="001D4101"/>
    <w:rsid w:val="001D4177"/>
    <w:rsid w:val="001D43C5"/>
    <w:rsid w:val="001D43D2"/>
    <w:rsid w:val="001D4440"/>
    <w:rsid w:val="001D4575"/>
    <w:rsid w:val="001D45C2"/>
    <w:rsid w:val="001D471A"/>
    <w:rsid w:val="001D4760"/>
    <w:rsid w:val="001D47B7"/>
    <w:rsid w:val="001D47D3"/>
    <w:rsid w:val="001D47FD"/>
    <w:rsid w:val="001D4896"/>
    <w:rsid w:val="001D48BD"/>
    <w:rsid w:val="001D4A48"/>
    <w:rsid w:val="001D4A4D"/>
    <w:rsid w:val="001D4A52"/>
    <w:rsid w:val="001D4AB5"/>
    <w:rsid w:val="001D4AEC"/>
    <w:rsid w:val="001D4B1E"/>
    <w:rsid w:val="001D4B1F"/>
    <w:rsid w:val="001D4BAC"/>
    <w:rsid w:val="001D4BDC"/>
    <w:rsid w:val="001D4C92"/>
    <w:rsid w:val="001D4E43"/>
    <w:rsid w:val="001D50B9"/>
    <w:rsid w:val="001D515F"/>
    <w:rsid w:val="001D51AF"/>
    <w:rsid w:val="001D53FA"/>
    <w:rsid w:val="001D541E"/>
    <w:rsid w:val="001D54CC"/>
    <w:rsid w:val="001D55B2"/>
    <w:rsid w:val="001D5604"/>
    <w:rsid w:val="001D5669"/>
    <w:rsid w:val="001D569E"/>
    <w:rsid w:val="001D56A5"/>
    <w:rsid w:val="001D56C8"/>
    <w:rsid w:val="001D570D"/>
    <w:rsid w:val="001D5733"/>
    <w:rsid w:val="001D5891"/>
    <w:rsid w:val="001D5920"/>
    <w:rsid w:val="001D5966"/>
    <w:rsid w:val="001D5976"/>
    <w:rsid w:val="001D59A9"/>
    <w:rsid w:val="001D5AED"/>
    <w:rsid w:val="001D5C4D"/>
    <w:rsid w:val="001D5CC0"/>
    <w:rsid w:val="001D5CD2"/>
    <w:rsid w:val="001D5D0A"/>
    <w:rsid w:val="001D5D6D"/>
    <w:rsid w:val="001D5E92"/>
    <w:rsid w:val="001D5EFC"/>
    <w:rsid w:val="001D5F1F"/>
    <w:rsid w:val="001D5F71"/>
    <w:rsid w:val="001D60B2"/>
    <w:rsid w:val="001D60BC"/>
    <w:rsid w:val="001D613A"/>
    <w:rsid w:val="001D619B"/>
    <w:rsid w:val="001D61B3"/>
    <w:rsid w:val="001D62C5"/>
    <w:rsid w:val="001D62F9"/>
    <w:rsid w:val="001D63FF"/>
    <w:rsid w:val="001D642C"/>
    <w:rsid w:val="001D6518"/>
    <w:rsid w:val="001D65BA"/>
    <w:rsid w:val="001D66E1"/>
    <w:rsid w:val="001D670E"/>
    <w:rsid w:val="001D679E"/>
    <w:rsid w:val="001D6840"/>
    <w:rsid w:val="001D6914"/>
    <w:rsid w:val="001D6966"/>
    <w:rsid w:val="001D69E2"/>
    <w:rsid w:val="001D6B26"/>
    <w:rsid w:val="001D6CB5"/>
    <w:rsid w:val="001D6D31"/>
    <w:rsid w:val="001D6DCA"/>
    <w:rsid w:val="001D6E6C"/>
    <w:rsid w:val="001D6EBD"/>
    <w:rsid w:val="001D6F8E"/>
    <w:rsid w:val="001D6FEC"/>
    <w:rsid w:val="001D7020"/>
    <w:rsid w:val="001D70CF"/>
    <w:rsid w:val="001D71CE"/>
    <w:rsid w:val="001D739B"/>
    <w:rsid w:val="001D742D"/>
    <w:rsid w:val="001D7495"/>
    <w:rsid w:val="001D74AA"/>
    <w:rsid w:val="001D74C2"/>
    <w:rsid w:val="001D770D"/>
    <w:rsid w:val="001D7748"/>
    <w:rsid w:val="001D7751"/>
    <w:rsid w:val="001D79C4"/>
    <w:rsid w:val="001D7A5A"/>
    <w:rsid w:val="001D7AFA"/>
    <w:rsid w:val="001D7B4E"/>
    <w:rsid w:val="001D7C38"/>
    <w:rsid w:val="001D7C59"/>
    <w:rsid w:val="001D7CC7"/>
    <w:rsid w:val="001D7E9F"/>
    <w:rsid w:val="001D7EE8"/>
    <w:rsid w:val="001D7F7D"/>
    <w:rsid w:val="001DDA64"/>
    <w:rsid w:val="001E0085"/>
    <w:rsid w:val="001E00A0"/>
    <w:rsid w:val="001E014F"/>
    <w:rsid w:val="001E016E"/>
    <w:rsid w:val="001E0246"/>
    <w:rsid w:val="001E0396"/>
    <w:rsid w:val="001E060D"/>
    <w:rsid w:val="001E061C"/>
    <w:rsid w:val="001E063E"/>
    <w:rsid w:val="001E064F"/>
    <w:rsid w:val="001E0689"/>
    <w:rsid w:val="001E075B"/>
    <w:rsid w:val="001E0923"/>
    <w:rsid w:val="001E0AAC"/>
    <w:rsid w:val="001E0BC9"/>
    <w:rsid w:val="001E0C16"/>
    <w:rsid w:val="001E0C26"/>
    <w:rsid w:val="001E0C32"/>
    <w:rsid w:val="001E0CF2"/>
    <w:rsid w:val="001E0E3A"/>
    <w:rsid w:val="001E0EDC"/>
    <w:rsid w:val="001E0F08"/>
    <w:rsid w:val="001E0F4C"/>
    <w:rsid w:val="001E0F65"/>
    <w:rsid w:val="001E105D"/>
    <w:rsid w:val="001E10E0"/>
    <w:rsid w:val="001E11AA"/>
    <w:rsid w:val="001E1218"/>
    <w:rsid w:val="001E12AA"/>
    <w:rsid w:val="001E1367"/>
    <w:rsid w:val="001E13B2"/>
    <w:rsid w:val="001E1466"/>
    <w:rsid w:val="001E148A"/>
    <w:rsid w:val="001E14EF"/>
    <w:rsid w:val="001E1527"/>
    <w:rsid w:val="001E1624"/>
    <w:rsid w:val="001E1667"/>
    <w:rsid w:val="001E167B"/>
    <w:rsid w:val="001E169C"/>
    <w:rsid w:val="001E17AF"/>
    <w:rsid w:val="001E17F1"/>
    <w:rsid w:val="001E1956"/>
    <w:rsid w:val="001E1AA0"/>
    <w:rsid w:val="001E1B4E"/>
    <w:rsid w:val="001E1C00"/>
    <w:rsid w:val="001E1CDE"/>
    <w:rsid w:val="001E1CF3"/>
    <w:rsid w:val="001E1E87"/>
    <w:rsid w:val="001E1E90"/>
    <w:rsid w:val="001E1ED5"/>
    <w:rsid w:val="001E1F1E"/>
    <w:rsid w:val="001E1F6A"/>
    <w:rsid w:val="001E1FEA"/>
    <w:rsid w:val="001E2037"/>
    <w:rsid w:val="001E2142"/>
    <w:rsid w:val="001E222A"/>
    <w:rsid w:val="001E22FF"/>
    <w:rsid w:val="001E2331"/>
    <w:rsid w:val="001E233D"/>
    <w:rsid w:val="001E23B2"/>
    <w:rsid w:val="001E23CA"/>
    <w:rsid w:val="001E2469"/>
    <w:rsid w:val="001E249A"/>
    <w:rsid w:val="001E24A0"/>
    <w:rsid w:val="001E25C0"/>
    <w:rsid w:val="001E26AF"/>
    <w:rsid w:val="001E26D9"/>
    <w:rsid w:val="001E26EB"/>
    <w:rsid w:val="001E2743"/>
    <w:rsid w:val="001E27C3"/>
    <w:rsid w:val="001E2892"/>
    <w:rsid w:val="001E29A0"/>
    <w:rsid w:val="001E2A8E"/>
    <w:rsid w:val="001E2A97"/>
    <w:rsid w:val="001E2AB4"/>
    <w:rsid w:val="001E2B14"/>
    <w:rsid w:val="001E2BEA"/>
    <w:rsid w:val="001E2DD8"/>
    <w:rsid w:val="001E2DFB"/>
    <w:rsid w:val="001E2E43"/>
    <w:rsid w:val="001E2EC7"/>
    <w:rsid w:val="001E3064"/>
    <w:rsid w:val="001E30F7"/>
    <w:rsid w:val="001E3144"/>
    <w:rsid w:val="001E3187"/>
    <w:rsid w:val="001E3249"/>
    <w:rsid w:val="001E3286"/>
    <w:rsid w:val="001E3298"/>
    <w:rsid w:val="001E3389"/>
    <w:rsid w:val="001E339C"/>
    <w:rsid w:val="001E33AA"/>
    <w:rsid w:val="001E33FB"/>
    <w:rsid w:val="001E3405"/>
    <w:rsid w:val="001E3476"/>
    <w:rsid w:val="001E34AE"/>
    <w:rsid w:val="001E34AF"/>
    <w:rsid w:val="001E34F6"/>
    <w:rsid w:val="001E377E"/>
    <w:rsid w:val="001E37D4"/>
    <w:rsid w:val="001E384F"/>
    <w:rsid w:val="001E389B"/>
    <w:rsid w:val="001E3928"/>
    <w:rsid w:val="001E3952"/>
    <w:rsid w:val="001E397B"/>
    <w:rsid w:val="001E3AC7"/>
    <w:rsid w:val="001E3ACA"/>
    <w:rsid w:val="001E3B82"/>
    <w:rsid w:val="001E3B8B"/>
    <w:rsid w:val="001E3CB1"/>
    <w:rsid w:val="001E3CB6"/>
    <w:rsid w:val="001E3DA8"/>
    <w:rsid w:val="001E3ED9"/>
    <w:rsid w:val="001E3F2F"/>
    <w:rsid w:val="001E402D"/>
    <w:rsid w:val="001E408B"/>
    <w:rsid w:val="001E4170"/>
    <w:rsid w:val="001E4206"/>
    <w:rsid w:val="001E420D"/>
    <w:rsid w:val="001E42CB"/>
    <w:rsid w:val="001E4383"/>
    <w:rsid w:val="001E43CE"/>
    <w:rsid w:val="001E44BD"/>
    <w:rsid w:val="001E44FD"/>
    <w:rsid w:val="001E4551"/>
    <w:rsid w:val="001E45D1"/>
    <w:rsid w:val="001E46E3"/>
    <w:rsid w:val="001E47DF"/>
    <w:rsid w:val="001E47F5"/>
    <w:rsid w:val="001E48FB"/>
    <w:rsid w:val="001E4918"/>
    <w:rsid w:val="001E4967"/>
    <w:rsid w:val="001E4989"/>
    <w:rsid w:val="001E49B2"/>
    <w:rsid w:val="001E4A37"/>
    <w:rsid w:val="001E4ABB"/>
    <w:rsid w:val="001E4AC8"/>
    <w:rsid w:val="001E4ACB"/>
    <w:rsid w:val="001E4B61"/>
    <w:rsid w:val="001E4BA0"/>
    <w:rsid w:val="001E4BCE"/>
    <w:rsid w:val="001E4CB9"/>
    <w:rsid w:val="001E4CCD"/>
    <w:rsid w:val="001E4CD3"/>
    <w:rsid w:val="001E4F65"/>
    <w:rsid w:val="001E4FF7"/>
    <w:rsid w:val="001E5054"/>
    <w:rsid w:val="001E5115"/>
    <w:rsid w:val="001E5213"/>
    <w:rsid w:val="001E5235"/>
    <w:rsid w:val="001E523A"/>
    <w:rsid w:val="001E52CC"/>
    <w:rsid w:val="001E537D"/>
    <w:rsid w:val="001E539D"/>
    <w:rsid w:val="001E53D9"/>
    <w:rsid w:val="001E53E6"/>
    <w:rsid w:val="001E5469"/>
    <w:rsid w:val="001E551A"/>
    <w:rsid w:val="001E5632"/>
    <w:rsid w:val="001E568A"/>
    <w:rsid w:val="001E575D"/>
    <w:rsid w:val="001E57C4"/>
    <w:rsid w:val="001E596A"/>
    <w:rsid w:val="001E59B4"/>
    <w:rsid w:val="001E5A41"/>
    <w:rsid w:val="001E5B1E"/>
    <w:rsid w:val="001E5C65"/>
    <w:rsid w:val="001E5C7D"/>
    <w:rsid w:val="001E5C8D"/>
    <w:rsid w:val="001E5CF9"/>
    <w:rsid w:val="001E5D0F"/>
    <w:rsid w:val="001E5E3D"/>
    <w:rsid w:val="001E5E98"/>
    <w:rsid w:val="001E5EEC"/>
    <w:rsid w:val="001E6173"/>
    <w:rsid w:val="001E62BE"/>
    <w:rsid w:val="001E63EE"/>
    <w:rsid w:val="001E6573"/>
    <w:rsid w:val="001E6785"/>
    <w:rsid w:val="001E69A1"/>
    <w:rsid w:val="001E69F8"/>
    <w:rsid w:val="001E6A50"/>
    <w:rsid w:val="001E6AB3"/>
    <w:rsid w:val="001E6AF7"/>
    <w:rsid w:val="001E6B16"/>
    <w:rsid w:val="001E6B2E"/>
    <w:rsid w:val="001E6B50"/>
    <w:rsid w:val="001E6C30"/>
    <w:rsid w:val="001E6C91"/>
    <w:rsid w:val="001E6CF2"/>
    <w:rsid w:val="001E6D03"/>
    <w:rsid w:val="001E6D10"/>
    <w:rsid w:val="001E6D95"/>
    <w:rsid w:val="001E6DD3"/>
    <w:rsid w:val="001E6E02"/>
    <w:rsid w:val="001E6ED1"/>
    <w:rsid w:val="001E6F39"/>
    <w:rsid w:val="001E6F3D"/>
    <w:rsid w:val="001E7029"/>
    <w:rsid w:val="001E705B"/>
    <w:rsid w:val="001E709B"/>
    <w:rsid w:val="001E70DD"/>
    <w:rsid w:val="001E71CF"/>
    <w:rsid w:val="001E71ED"/>
    <w:rsid w:val="001E72C5"/>
    <w:rsid w:val="001E72E3"/>
    <w:rsid w:val="001E7365"/>
    <w:rsid w:val="001E749B"/>
    <w:rsid w:val="001E7530"/>
    <w:rsid w:val="001E7558"/>
    <w:rsid w:val="001E764C"/>
    <w:rsid w:val="001E7680"/>
    <w:rsid w:val="001E772C"/>
    <w:rsid w:val="001E778C"/>
    <w:rsid w:val="001E78ED"/>
    <w:rsid w:val="001E79BE"/>
    <w:rsid w:val="001E79C7"/>
    <w:rsid w:val="001E79CA"/>
    <w:rsid w:val="001E79E6"/>
    <w:rsid w:val="001E7AD2"/>
    <w:rsid w:val="001E7ADB"/>
    <w:rsid w:val="001E7B2E"/>
    <w:rsid w:val="001E7D16"/>
    <w:rsid w:val="001E7D76"/>
    <w:rsid w:val="001E7DEF"/>
    <w:rsid w:val="001E7EEE"/>
    <w:rsid w:val="001E7F1B"/>
    <w:rsid w:val="001E7F1D"/>
    <w:rsid w:val="001E7F86"/>
    <w:rsid w:val="001F004C"/>
    <w:rsid w:val="001F00CD"/>
    <w:rsid w:val="001F010A"/>
    <w:rsid w:val="001F018C"/>
    <w:rsid w:val="001F019F"/>
    <w:rsid w:val="001F02E2"/>
    <w:rsid w:val="001F02F2"/>
    <w:rsid w:val="001F033C"/>
    <w:rsid w:val="001F0355"/>
    <w:rsid w:val="001F0467"/>
    <w:rsid w:val="001F0504"/>
    <w:rsid w:val="001F05B6"/>
    <w:rsid w:val="001F06F1"/>
    <w:rsid w:val="001F077B"/>
    <w:rsid w:val="001F07A0"/>
    <w:rsid w:val="001F0867"/>
    <w:rsid w:val="001F0886"/>
    <w:rsid w:val="001F091D"/>
    <w:rsid w:val="001F0AB8"/>
    <w:rsid w:val="001F0ACE"/>
    <w:rsid w:val="001F0AD8"/>
    <w:rsid w:val="001F0AE4"/>
    <w:rsid w:val="001F0B2D"/>
    <w:rsid w:val="001F0CAA"/>
    <w:rsid w:val="001F0D07"/>
    <w:rsid w:val="001F0DFD"/>
    <w:rsid w:val="001F0EE9"/>
    <w:rsid w:val="001F0FA3"/>
    <w:rsid w:val="001F1076"/>
    <w:rsid w:val="001F1077"/>
    <w:rsid w:val="001F10D6"/>
    <w:rsid w:val="001F10EC"/>
    <w:rsid w:val="001F1138"/>
    <w:rsid w:val="001F11B4"/>
    <w:rsid w:val="001F13AD"/>
    <w:rsid w:val="001F13F0"/>
    <w:rsid w:val="001F1470"/>
    <w:rsid w:val="001F1473"/>
    <w:rsid w:val="001F1574"/>
    <w:rsid w:val="001F1623"/>
    <w:rsid w:val="001F166C"/>
    <w:rsid w:val="001F1755"/>
    <w:rsid w:val="001F195E"/>
    <w:rsid w:val="001F1AA7"/>
    <w:rsid w:val="001F1ABC"/>
    <w:rsid w:val="001F1AD2"/>
    <w:rsid w:val="001F1B04"/>
    <w:rsid w:val="001F1B0C"/>
    <w:rsid w:val="001F1BF7"/>
    <w:rsid w:val="001F1C03"/>
    <w:rsid w:val="001F1DE2"/>
    <w:rsid w:val="001F1DFD"/>
    <w:rsid w:val="001F1F31"/>
    <w:rsid w:val="001F1F45"/>
    <w:rsid w:val="001F1F62"/>
    <w:rsid w:val="001F1FF8"/>
    <w:rsid w:val="001F2078"/>
    <w:rsid w:val="001F2182"/>
    <w:rsid w:val="001F22B8"/>
    <w:rsid w:val="001F22FF"/>
    <w:rsid w:val="001F2322"/>
    <w:rsid w:val="001F236A"/>
    <w:rsid w:val="001F245B"/>
    <w:rsid w:val="001F24B7"/>
    <w:rsid w:val="001F256F"/>
    <w:rsid w:val="001F25D7"/>
    <w:rsid w:val="001F261D"/>
    <w:rsid w:val="001F269C"/>
    <w:rsid w:val="001F28B9"/>
    <w:rsid w:val="001F291C"/>
    <w:rsid w:val="001F291D"/>
    <w:rsid w:val="001F2A3D"/>
    <w:rsid w:val="001F2A86"/>
    <w:rsid w:val="001F2AF9"/>
    <w:rsid w:val="001F2BC7"/>
    <w:rsid w:val="001F2C20"/>
    <w:rsid w:val="001F2C5B"/>
    <w:rsid w:val="001F2DC5"/>
    <w:rsid w:val="001F2E76"/>
    <w:rsid w:val="001F2EBC"/>
    <w:rsid w:val="001F2EF7"/>
    <w:rsid w:val="001F2F07"/>
    <w:rsid w:val="001F2F11"/>
    <w:rsid w:val="001F2F27"/>
    <w:rsid w:val="001F2F66"/>
    <w:rsid w:val="001F2FB0"/>
    <w:rsid w:val="001F30F6"/>
    <w:rsid w:val="001F319B"/>
    <w:rsid w:val="001F31F5"/>
    <w:rsid w:val="001F32BA"/>
    <w:rsid w:val="001F3306"/>
    <w:rsid w:val="001F337C"/>
    <w:rsid w:val="001F3398"/>
    <w:rsid w:val="001F3472"/>
    <w:rsid w:val="001F359D"/>
    <w:rsid w:val="001F360E"/>
    <w:rsid w:val="001F365C"/>
    <w:rsid w:val="001F3663"/>
    <w:rsid w:val="001F36D5"/>
    <w:rsid w:val="001F3740"/>
    <w:rsid w:val="001F3828"/>
    <w:rsid w:val="001F399A"/>
    <w:rsid w:val="001F3A1E"/>
    <w:rsid w:val="001F3A60"/>
    <w:rsid w:val="001F3A75"/>
    <w:rsid w:val="001F3BA2"/>
    <w:rsid w:val="001F3BB0"/>
    <w:rsid w:val="001F3BC4"/>
    <w:rsid w:val="001F3E25"/>
    <w:rsid w:val="001F3E6A"/>
    <w:rsid w:val="001F3ED0"/>
    <w:rsid w:val="001F3EF4"/>
    <w:rsid w:val="001F3F00"/>
    <w:rsid w:val="001F3F4E"/>
    <w:rsid w:val="001F3FE9"/>
    <w:rsid w:val="001F4072"/>
    <w:rsid w:val="001F4145"/>
    <w:rsid w:val="001F4164"/>
    <w:rsid w:val="001F417E"/>
    <w:rsid w:val="001F41DC"/>
    <w:rsid w:val="001F4438"/>
    <w:rsid w:val="001F44AA"/>
    <w:rsid w:val="001F44EB"/>
    <w:rsid w:val="001F45E6"/>
    <w:rsid w:val="001F4789"/>
    <w:rsid w:val="001F47FC"/>
    <w:rsid w:val="001F49B9"/>
    <w:rsid w:val="001F49DB"/>
    <w:rsid w:val="001F49DC"/>
    <w:rsid w:val="001F4A92"/>
    <w:rsid w:val="001F4AA7"/>
    <w:rsid w:val="001F4AEE"/>
    <w:rsid w:val="001F4B3C"/>
    <w:rsid w:val="001F4B3D"/>
    <w:rsid w:val="001F4B8C"/>
    <w:rsid w:val="001F4BEA"/>
    <w:rsid w:val="001F4C43"/>
    <w:rsid w:val="001F4C6E"/>
    <w:rsid w:val="001F4C77"/>
    <w:rsid w:val="001F4C98"/>
    <w:rsid w:val="001F4E3D"/>
    <w:rsid w:val="001F4E8B"/>
    <w:rsid w:val="001F4F34"/>
    <w:rsid w:val="001F4F95"/>
    <w:rsid w:val="001F5012"/>
    <w:rsid w:val="001F5079"/>
    <w:rsid w:val="001F5088"/>
    <w:rsid w:val="001F509D"/>
    <w:rsid w:val="001F50AE"/>
    <w:rsid w:val="001F5145"/>
    <w:rsid w:val="001F530C"/>
    <w:rsid w:val="001F54F9"/>
    <w:rsid w:val="001F550E"/>
    <w:rsid w:val="001F5662"/>
    <w:rsid w:val="001F56B7"/>
    <w:rsid w:val="001F5753"/>
    <w:rsid w:val="001F576C"/>
    <w:rsid w:val="001F57C3"/>
    <w:rsid w:val="001F5842"/>
    <w:rsid w:val="001F5956"/>
    <w:rsid w:val="001F59AA"/>
    <w:rsid w:val="001F5B04"/>
    <w:rsid w:val="001F5BDB"/>
    <w:rsid w:val="001F5BFC"/>
    <w:rsid w:val="001F5C5E"/>
    <w:rsid w:val="001F5C76"/>
    <w:rsid w:val="001F5D75"/>
    <w:rsid w:val="001F5DA0"/>
    <w:rsid w:val="001F5E6D"/>
    <w:rsid w:val="001F5EF8"/>
    <w:rsid w:val="001F5F37"/>
    <w:rsid w:val="001F5F96"/>
    <w:rsid w:val="001F5FEA"/>
    <w:rsid w:val="001F6077"/>
    <w:rsid w:val="001F6097"/>
    <w:rsid w:val="001F617D"/>
    <w:rsid w:val="001F623B"/>
    <w:rsid w:val="001F6246"/>
    <w:rsid w:val="001F62C6"/>
    <w:rsid w:val="001F62ED"/>
    <w:rsid w:val="001F649A"/>
    <w:rsid w:val="001F64BF"/>
    <w:rsid w:val="001F64C4"/>
    <w:rsid w:val="001F64DC"/>
    <w:rsid w:val="001F6662"/>
    <w:rsid w:val="001F668D"/>
    <w:rsid w:val="001F66CD"/>
    <w:rsid w:val="001F66E0"/>
    <w:rsid w:val="001F6787"/>
    <w:rsid w:val="001F6814"/>
    <w:rsid w:val="001F6862"/>
    <w:rsid w:val="001F691C"/>
    <w:rsid w:val="001F69D6"/>
    <w:rsid w:val="001F69D9"/>
    <w:rsid w:val="001F69E9"/>
    <w:rsid w:val="001F6A7F"/>
    <w:rsid w:val="001F6A96"/>
    <w:rsid w:val="001F6B18"/>
    <w:rsid w:val="001F6C1C"/>
    <w:rsid w:val="001F6C4C"/>
    <w:rsid w:val="001F6C62"/>
    <w:rsid w:val="001F6C7E"/>
    <w:rsid w:val="001F6CD6"/>
    <w:rsid w:val="001F6CEA"/>
    <w:rsid w:val="001F6D49"/>
    <w:rsid w:val="001F6F45"/>
    <w:rsid w:val="001F701A"/>
    <w:rsid w:val="001F708C"/>
    <w:rsid w:val="001F70E0"/>
    <w:rsid w:val="001F713B"/>
    <w:rsid w:val="001F714D"/>
    <w:rsid w:val="001F716D"/>
    <w:rsid w:val="001F717C"/>
    <w:rsid w:val="001F71F8"/>
    <w:rsid w:val="001F7339"/>
    <w:rsid w:val="001F7379"/>
    <w:rsid w:val="001F73E0"/>
    <w:rsid w:val="001F74F7"/>
    <w:rsid w:val="001F7512"/>
    <w:rsid w:val="001F753F"/>
    <w:rsid w:val="001F7630"/>
    <w:rsid w:val="001F76C8"/>
    <w:rsid w:val="001F7899"/>
    <w:rsid w:val="001F78DF"/>
    <w:rsid w:val="001F78EE"/>
    <w:rsid w:val="001F7906"/>
    <w:rsid w:val="001F7917"/>
    <w:rsid w:val="001F795B"/>
    <w:rsid w:val="001F7A14"/>
    <w:rsid w:val="001F7A5A"/>
    <w:rsid w:val="001F7AA7"/>
    <w:rsid w:val="001F7C88"/>
    <w:rsid w:val="001F7D67"/>
    <w:rsid w:val="001F7D7C"/>
    <w:rsid w:val="001F7DDB"/>
    <w:rsid w:val="001F7EE1"/>
    <w:rsid w:val="001FA616"/>
    <w:rsid w:val="00200009"/>
    <w:rsid w:val="0020008E"/>
    <w:rsid w:val="002000AC"/>
    <w:rsid w:val="0020015D"/>
    <w:rsid w:val="0020017B"/>
    <w:rsid w:val="00200217"/>
    <w:rsid w:val="00200235"/>
    <w:rsid w:val="002003A8"/>
    <w:rsid w:val="002003CB"/>
    <w:rsid w:val="002004B8"/>
    <w:rsid w:val="002004C0"/>
    <w:rsid w:val="002004D4"/>
    <w:rsid w:val="0020064C"/>
    <w:rsid w:val="002006A4"/>
    <w:rsid w:val="002007AE"/>
    <w:rsid w:val="0020084A"/>
    <w:rsid w:val="0020085D"/>
    <w:rsid w:val="00200935"/>
    <w:rsid w:val="002009F2"/>
    <w:rsid w:val="00200A20"/>
    <w:rsid w:val="00200A90"/>
    <w:rsid w:val="00200B49"/>
    <w:rsid w:val="00200B61"/>
    <w:rsid w:val="00200BA1"/>
    <w:rsid w:val="00200BD8"/>
    <w:rsid w:val="00200C59"/>
    <w:rsid w:val="00200C91"/>
    <w:rsid w:val="00200D2B"/>
    <w:rsid w:val="00200D39"/>
    <w:rsid w:val="00200D78"/>
    <w:rsid w:val="00200DC6"/>
    <w:rsid w:val="00200DE3"/>
    <w:rsid w:val="00200E75"/>
    <w:rsid w:val="00200F13"/>
    <w:rsid w:val="00200F1A"/>
    <w:rsid w:val="00200F70"/>
    <w:rsid w:val="00200FAF"/>
    <w:rsid w:val="0020105E"/>
    <w:rsid w:val="002010A4"/>
    <w:rsid w:val="002010E6"/>
    <w:rsid w:val="002010EE"/>
    <w:rsid w:val="00201104"/>
    <w:rsid w:val="0020133C"/>
    <w:rsid w:val="00201369"/>
    <w:rsid w:val="0020137F"/>
    <w:rsid w:val="0020138E"/>
    <w:rsid w:val="00201431"/>
    <w:rsid w:val="002014C8"/>
    <w:rsid w:val="0020150C"/>
    <w:rsid w:val="00201525"/>
    <w:rsid w:val="00201562"/>
    <w:rsid w:val="00201578"/>
    <w:rsid w:val="002015A2"/>
    <w:rsid w:val="00201619"/>
    <w:rsid w:val="00201678"/>
    <w:rsid w:val="0020170B"/>
    <w:rsid w:val="00201812"/>
    <w:rsid w:val="002018AA"/>
    <w:rsid w:val="002018E7"/>
    <w:rsid w:val="002019B1"/>
    <w:rsid w:val="00201A11"/>
    <w:rsid w:val="00201AA6"/>
    <w:rsid w:val="00201ACF"/>
    <w:rsid w:val="00201BA2"/>
    <w:rsid w:val="00201BC3"/>
    <w:rsid w:val="00201C23"/>
    <w:rsid w:val="00201E31"/>
    <w:rsid w:val="00201E7A"/>
    <w:rsid w:val="00201E8F"/>
    <w:rsid w:val="00201E96"/>
    <w:rsid w:val="00201EAC"/>
    <w:rsid w:val="00201F23"/>
    <w:rsid w:val="00201F5F"/>
    <w:rsid w:val="00202017"/>
    <w:rsid w:val="00202042"/>
    <w:rsid w:val="00202116"/>
    <w:rsid w:val="002021CE"/>
    <w:rsid w:val="0020221F"/>
    <w:rsid w:val="0020228B"/>
    <w:rsid w:val="0020233A"/>
    <w:rsid w:val="00202345"/>
    <w:rsid w:val="00202363"/>
    <w:rsid w:val="002023F0"/>
    <w:rsid w:val="002024D5"/>
    <w:rsid w:val="00202526"/>
    <w:rsid w:val="0020253F"/>
    <w:rsid w:val="002025A2"/>
    <w:rsid w:val="002025C3"/>
    <w:rsid w:val="00202787"/>
    <w:rsid w:val="002027B8"/>
    <w:rsid w:val="00202811"/>
    <w:rsid w:val="0020285B"/>
    <w:rsid w:val="002029A9"/>
    <w:rsid w:val="00202A62"/>
    <w:rsid w:val="00202AEB"/>
    <w:rsid w:val="00202B1F"/>
    <w:rsid w:val="00202B4E"/>
    <w:rsid w:val="00202D28"/>
    <w:rsid w:val="00202F83"/>
    <w:rsid w:val="0020308B"/>
    <w:rsid w:val="002030E8"/>
    <w:rsid w:val="0020313C"/>
    <w:rsid w:val="00203194"/>
    <w:rsid w:val="0020319A"/>
    <w:rsid w:val="00203260"/>
    <w:rsid w:val="0020326D"/>
    <w:rsid w:val="002032D0"/>
    <w:rsid w:val="00203302"/>
    <w:rsid w:val="0020340A"/>
    <w:rsid w:val="002034CD"/>
    <w:rsid w:val="00203509"/>
    <w:rsid w:val="0020351A"/>
    <w:rsid w:val="00203647"/>
    <w:rsid w:val="0020365C"/>
    <w:rsid w:val="002036B7"/>
    <w:rsid w:val="00203773"/>
    <w:rsid w:val="002037EA"/>
    <w:rsid w:val="00203858"/>
    <w:rsid w:val="002038DE"/>
    <w:rsid w:val="0020399A"/>
    <w:rsid w:val="00203A58"/>
    <w:rsid w:val="00203B3C"/>
    <w:rsid w:val="00203C19"/>
    <w:rsid w:val="00203CA0"/>
    <w:rsid w:val="00203DDD"/>
    <w:rsid w:val="00203E5D"/>
    <w:rsid w:val="00203F68"/>
    <w:rsid w:val="00203F6B"/>
    <w:rsid w:val="00203FDC"/>
    <w:rsid w:val="00204127"/>
    <w:rsid w:val="002041FF"/>
    <w:rsid w:val="00204214"/>
    <w:rsid w:val="00204289"/>
    <w:rsid w:val="00204307"/>
    <w:rsid w:val="0020436E"/>
    <w:rsid w:val="00204498"/>
    <w:rsid w:val="002044FA"/>
    <w:rsid w:val="00204597"/>
    <w:rsid w:val="002045D8"/>
    <w:rsid w:val="002046F5"/>
    <w:rsid w:val="0020472B"/>
    <w:rsid w:val="0020473F"/>
    <w:rsid w:val="00204782"/>
    <w:rsid w:val="002048E6"/>
    <w:rsid w:val="00204993"/>
    <w:rsid w:val="00204A94"/>
    <w:rsid w:val="00204B63"/>
    <w:rsid w:val="00204DD0"/>
    <w:rsid w:val="00204E73"/>
    <w:rsid w:val="00204FA9"/>
    <w:rsid w:val="00204FC1"/>
    <w:rsid w:val="00205045"/>
    <w:rsid w:val="002051A8"/>
    <w:rsid w:val="0020546A"/>
    <w:rsid w:val="0020548E"/>
    <w:rsid w:val="002054AF"/>
    <w:rsid w:val="00205642"/>
    <w:rsid w:val="0020564A"/>
    <w:rsid w:val="00205861"/>
    <w:rsid w:val="002059AD"/>
    <w:rsid w:val="00205A35"/>
    <w:rsid w:val="00205A4E"/>
    <w:rsid w:val="00205AE9"/>
    <w:rsid w:val="00205BCA"/>
    <w:rsid w:val="00205BF6"/>
    <w:rsid w:val="00205CC0"/>
    <w:rsid w:val="00205D52"/>
    <w:rsid w:val="00205E20"/>
    <w:rsid w:val="00205EE0"/>
    <w:rsid w:val="00206047"/>
    <w:rsid w:val="0020608E"/>
    <w:rsid w:val="00206094"/>
    <w:rsid w:val="00206190"/>
    <w:rsid w:val="00206213"/>
    <w:rsid w:val="002062C7"/>
    <w:rsid w:val="00206557"/>
    <w:rsid w:val="0020675F"/>
    <w:rsid w:val="00206806"/>
    <w:rsid w:val="00206857"/>
    <w:rsid w:val="002068F6"/>
    <w:rsid w:val="00206987"/>
    <w:rsid w:val="00206A00"/>
    <w:rsid w:val="00206A94"/>
    <w:rsid w:val="00206AA4"/>
    <w:rsid w:val="00206B72"/>
    <w:rsid w:val="00206C21"/>
    <w:rsid w:val="00206C2A"/>
    <w:rsid w:val="00206D1B"/>
    <w:rsid w:val="00206D1C"/>
    <w:rsid w:val="00206DE7"/>
    <w:rsid w:val="00206DEF"/>
    <w:rsid w:val="00206F36"/>
    <w:rsid w:val="00206F72"/>
    <w:rsid w:val="00206F85"/>
    <w:rsid w:val="00207037"/>
    <w:rsid w:val="0020706A"/>
    <w:rsid w:val="0020708F"/>
    <w:rsid w:val="002070AB"/>
    <w:rsid w:val="002070D0"/>
    <w:rsid w:val="00207115"/>
    <w:rsid w:val="00207164"/>
    <w:rsid w:val="0020718B"/>
    <w:rsid w:val="00207206"/>
    <w:rsid w:val="00207213"/>
    <w:rsid w:val="0020721B"/>
    <w:rsid w:val="0020736F"/>
    <w:rsid w:val="002073BC"/>
    <w:rsid w:val="002073D6"/>
    <w:rsid w:val="002073F7"/>
    <w:rsid w:val="00207438"/>
    <w:rsid w:val="00207489"/>
    <w:rsid w:val="002074D5"/>
    <w:rsid w:val="0020756D"/>
    <w:rsid w:val="0020757B"/>
    <w:rsid w:val="002075AB"/>
    <w:rsid w:val="0020762F"/>
    <w:rsid w:val="00207639"/>
    <w:rsid w:val="00207759"/>
    <w:rsid w:val="002077B8"/>
    <w:rsid w:val="00207835"/>
    <w:rsid w:val="00207858"/>
    <w:rsid w:val="0020785A"/>
    <w:rsid w:val="002078F2"/>
    <w:rsid w:val="00207C3C"/>
    <w:rsid w:val="00207C6B"/>
    <w:rsid w:val="00207C6D"/>
    <w:rsid w:val="00207CB9"/>
    <w:rsid w:val="00207CE8"/>
    <w:rsid w:val="00207D5E"/>
    <w:rsid w:val="00207D89"/>
    <w:rsid w:val="00207DCB"/>
    <w:rsid w:val="00207DEE"/>
    <w:rsid w:val="00207F41"/>
    <w:rsid w:val="00207FBD"/>
    <w:rsid w:val="00207FEF"/>
    <w:rsid w:val="002100B7"/>
    <w:rsid w:val="00210107"/>
    <w:rsid w:val="0021014C"/>
    <w:rsid w:val="002101F9"/>
    <w:rsid w:val="00210276"/>
    <w:rsid w:val="00210280"/>
    <w:rsid w:val="002102F0"/>
    <w:rsid w:val="002103E9"/>
    <w:rsid w:val="00210408"/>
    <w:rsid w:val="00210431"/>
    <w:rsid w:val="00210483"/>
    <w:rsid w:val="0021056C"/>
    <w:rsid w:val="00210600"/>
    <w:rsid w:val="0021067D"/>
    <w:rsid w:val="00210680"/>
    <w:rsid w:val="002107A7"/>
    <w:rsid w:val="00210818"/>
    <w:rsid w:val="0021081D"/>
    <w:rsid w:val="00210868"/>
    <w:rsid w:val="00210A03"/>
    <w:rsid w:val="00210AD7"/>
    <w:rsid w:val="00210B35"/>
    <w:rsid w:val="00210D93"/>
    <w:rsid w:val="00210E13"/>
    <w:rsid w:val="00210E1F"/>
    <w:rsid w:val="00210EA4"/>
    <w:rsid w:val="00210F69"/>
    <w:rsid w:val="00210F71"/>
    <w:rsid w:val="00210FA4"/>
    <w:rsid w:val="0021100B"/>
    <w:rsid w:val="00211033"/>
    <w:rsid w:val="0021110D"/>
    <w:rsid w:val="00211184"/>
    <w:rsid w:val="00211195"/>
    <w:rsid w:val="00211258"/>
    <w:rsid w:val="0021127D"/>
    <w:rsid w:val="002112F4"/>
    <w:rsid w:val="002112F7"/>
    <w:rsid w:val="0021138A"/>
    <w:rsid w:val="0021138D"/>
    <w:rsid w:val="002115F8"/>
    <w:rsid w:val="002115FC"/>
    <w:rsid w:val="00211618"/>
    <w:rsid w:val="00211640"/>
    <w:rsid w:val="0021169B"/>
    <w:rsid w:val="002116A3"/>
    <w:rsid w:val="00211716"/>
    <w:rsid w:val="0021181A"/>
    <w:rsid w:val="0021187D"/>
    <w:rsid w:val="00211982"/>
    <w:rsid w:val="00211ACA"/>
    <w:rsid w:val="00211B77"/>
    <w:rsid w:val="00211C5B"/>
    <w:rsid w:val="00211CD2"/>
    <w:rsid w:val="00211CE7"/>
    <w:rsid w:val="00211D99"/>
    <w:rsid w:val="00211E5B"/>
    <w:rsid w:val="00211F70"/>
    <w:rsid w:val="00212033"/>
    <w:rsid w:val="002120E7"/>
    <w:rsid w:val="002121D5"/>
    <w:rsid w:val="002122B9"/>
    <w:rsid w:val="002122EB"/>
    <w:rsid w:val="002122EC"/>
    <w:rsid w:val="0021234B"/>
    <w:rsid w:val="00212480"/>
    <w:rsid w:val="002124EF"/>
    <w:rsid w:val="00212525"/>
    <w:rsid w:val="0021254D"/>
    <w:rsid w:val="0021259F"/>
    <w:rsid w:val="00212647"/>
    <w:rsid w:val="002126A8"/>
    <w:rsid w:val="00212733"/>
    <w:rsid w:val="002127C7"/>
    <w:rsid w:val="00212832"/>
    <w:rsid w:val="0021288D"/>
    <w:rsid w:val="002128F8"/>
    <w:rsid w:val="00212984"/>
    <w:rsid w:val="00212A5D"/>
    <w:rsid w:val="00212AF3"/>
    <w:rsid w:val="00212B6D"/>
    <w:rsid w:val="00212B7C"/>
    <w:rsid w:val="00212C9D"/>
    <w:rsid w:val="00212CFC"/>
    <w:rsid w:val="00212D36"/>
    <w:rsid w:val="00212D89"/>
    <w:rsid w:val="00212DC7"/>
    <w:rsid w:val="00212DEC"/>
    <w:rsid w:val="00212DF1"/>
    <w:rsid w:val="00212E4C"/>
    <w:rsid w:val="00212E73"/>
    <w:rsid w:val="00212F4B"/>
    <w:rsid w:val="00212FF0"/>
    <w:rsid w:val="0021319A"/>
    <w:rsid w:val="00213234"/>
    <w:rsid w:val="0021327E"/>
    <w:rsid w:val="00213313"/>
    <w:rsid w:val="002134AD"/>
    <w:rsid w:val="00213564"/>
    <w:rsid w:val="00213575"/>
    <w:rsid w:val="002135BC"/>
    <w:rsid w:val="002135E8"/>
    <w:rsid w:val="00213645"/>
    <w:rsid w:val="002136CB"/>
    <w:rsid w:val="002137A4"/>
    <w:rsid w:val="002137D1"/>
    <w:rsid w:val="0021380F"/>
    <w:rsid w:val="0021385B"/>
    <w:rsid w:val="00213895"/>
    <w:rsid w:val="002138B2"/>
    <w:rsid w:val="002139FE"/>
    <w:rsid w:val="00213A66"/>
    <w:rsid w:val="00213AFE"/>
    <w:rsid w:val="00213B42"/>
    <w:rsid w:val="00213C36"/>
    <w:rsid w:val="00213CCC"/>
    <w:rsid w:val="00213D72"/>
    <w:rsid w:val="0021403A"/>
    <w:rsid w:val="002140CA"/>
    <w:rsid w:val="0021410F"/>
    <w:rsid w:val="00214157"/>
    <w:rsid w:val="00214205"/>
    <w:rsid w:val="0021427E"/>
    <w:rsid w:val="00214286"/>
    <w:rsid w:val="0021463B"/>
    <w:rsid w:val="0021471E"/>
    <w:rsid w:val="00214805"/>
    <w:rsid w:val="00214905"/>
    <w:rsid w:val="0021494D"/>
    <w:rsid w:val="00214B77"/>
    <w:rsid w:val="00214BA4"/>
    <w:rsid w:val="00214BB9"/>
    <w:rsid w:val="00214C3B"/>
    <w:rsid w:val="00214D27"/>
    <w:rsid w:val="00214DBB"/>
    <w:rsid w:val="00214DCE"/>
    <w:rsid w:val="00214E10"/>
    <w:rsid w:val="00214EA0"/>
    <w:rsid w:val="00214EF5"/>
    <w:rsid w:val="00214F31"/>
    <w:rsid w:val="00214FAD"/>
    <w:rsid w:val="00215002"/>
    <w:rsid w:val="00215053"/>
    <w:rsid w:val="002150CF"/>
    <w:rsid w:val="002151B1"/>
    <w:rsid w:val="002152FA"/>
    <w:rsid w:val="0021549E"/>
    <w:rsid w:val="00215501"/>
    <w:rsid w:val="00215538"/>
    <w:rsid w:val="0021560B"/>
    <w:rsid w:val="0021570D"/>
    <w:rsid w:val="0021576F"/>
    <w:rsid w:val="00215946"/>
    <w:rsid w:val="002159D0"/>
    <w:rsid w:val="002159EC"/>
    <w:rsid w:val="00215A84"/>
    <w:rsid w:val="00215BAE"/>
    <w:rsid w:val="00215BDB"/>
    <w:rsid w:val="00215C3F"/>
    <w:rsid w:val="00215C7A"/>
    <w:rsid w:val="00215C92"/>
    <w:rsid w:val="00215D6C"/>
    <w:rsid w:val="00215E45"/>
    <w:rsid w:val="00215E6A"/>
    <w:rsid w:val="00215FAE"/>
    <w:rsid w:val="002160C6"/>
    <w:rsid w:val="002161B1"/>
    <w:rsid w:val="002161D5"/>
    <w:rsid w:val="00216280"/>
    <w:rsid w:val="00216287"/>
    <w:rsid w:val="00216338"/>
    <w:rsid w:val="00216388"/>
    <w:rsid w:val="0021641C"/>
    <w:rsid w:val="00216430"/>
    <w:rsid w:val="002165A7"/>
    <w:rsid w:val="00216609"/>
    <w:rsid w:val="00216633"/>
    <w:rsid w:val="00216666"/>
    <w:rsid w:val="00216669"/>
    <w:rsid w:val="00216728"/>
    <w:rsid w:val="00216771"/>
    <w:rsid w:val="00216941"/>
    <w:rsid w:val="00216AC8"/>
    <w:rsid w:val="00216AEF"/>
    <w:rsid w:val="00216B6F"/>
    <w:rsid w:val="00216C5E"/>
    <w:rsid w:val="00216C81"/>
    <w:rsid w:val="00216D59"/>
    <w:rsid w:val="00216E2B"/>
    <w:rsid w:val="00216E75"/>
    <w:rsid w:val="00217010"/>
    <w:rsid w:val="00217037"/>
    <w:rsid w:val="002170EF"/>
    <w:rsid w:val="0021719F"/>
    <w:rsid w:val="00217275"/>
    <w:rsid w:val="002173E0"/>
    <w:rsid w:val="002173E9"/>
    <w:rsid w:val="002174B5"/>
    <w:rsid w:val="002174B9"/>
    <w:rsid w:val="002174EE"/>
    <w:rsid w:val="00217585"/>
    <w:rsid w:val="002175DA"/>
    <w:rsid w:val="00217781"/>
    <w:rsid w:val="00217905"/>
    <w:rsid w:val="002179B0"/>
    <w:rsid w:val="00217B1F"/>
    <w:rsid w:val="00217B5F"/>
    <w:rsid w:val="00217BA4"/>
    <w:rsid w:val="00217C48"/>
    <w:rsid w:val="00217C56"/>
    <w:rsid w:val="00217C5A"/>
    <w:rsid w:val="00217D53"/>
    <w:rsid w:val="00217E51"/>
    <w:rsid w:val="00217F84"/>
    <w:rsid w:val="00217FC5"/>
    <w:rsid w:val="00217FDB"/>
    <w:rsid w:val="0022005A"/>
    <w:rsid w:val="0022008D"/>
    <w:rsid w:val="00220150"/>
    <w:rsid w:val="00220179"/>
    <w:rsid w:val="0022017B"/>
    <w:rsid w:val="0022019F"/>
    <w:rsid w:val="0022020F"/>
    <w:rsid w:val="0022022D"/>
    <w:rsid w:val="0022022F"/>
    <w:rsid w:val="00220232"/>
    <w:rsid w:val="0022028C"/>
    <w:rsid w:val="00220425"/>
    <w:rsid w:val="00220462"/>
    <w:rsid w:val="0022062E"/>
    <w:rsid w:val="0022069B"/>
    <w:rsid w:val="002207C8"/>
    <w:rsid w:val="002207DD"/>
    <w:rsid w:val="002207F7"/>
    <w:rsid w:val="00220811"/>
    <w:rsid w:val="0022081E"/>
    <w:rsid w:val="002208E8"/>
    <w:rsid w:val="002209DE"/>
    <w:rsid w:val="002209E2"/>
    <w:rsid w:val="002209ED"/>
    <w:rsid w:val="00220A11"/>
    <w:rsid w:val="00220B90"/>
    <w:rsid w:val="00220CA7"/>
    <w:rsid w:val="00220D33"/>
    <w:rsid w:val="00220E03"/>
    <w:rsid w:val="00220E8E"/>
    <w:rsid w:val="00220F22"/>
    <w:rsid w:val="00220FBC"/>
    <w:rsid w:val="00221000"/>
    <w:rsid w:val="00221012"/>
    <w:rsid w:val="00221151"/>
    <w:rsid w:val="00221190"/>
    <w:rsid w:val="002212FF"/>
    <w:rsid w:val="002214D6"/>
    <w:rsid w:val="002214E6"/>
    <w:rsid w:val="002215C0"/>
    <w:rsid w:val="0022164A"/>
    <w:rsid w:val="00221653"/>
    <w:rsid w:val="0022168C"/>
    <w:rsid w:val="002217B7"/>
    <w:rsid w:val="002218B9"/>
    <w:rsid w:val="00221BE8"/>
    <w:rsid w:val="00221C7D"/>
    <w:rsid w:val="00221C81"/>
    <w:rsid w:val="00221EEF"/>
    <w:rsid w:val="00221F33"/>
    <w:rsid w:val="00221F4F"/>
    <w:rsid w:val="00221F84"/>
    <w:rsid w:val="00221F8D"/>
    <w:rsid w:val="00221FBC"/>
    <w:rsid w:val="00221FC2"/>
    <w:rsid w:val="002220F3"/>
    <w:rsid w:val="002221F4"/>
    <w:rsid w:val="0022228E"/>
    <w:rsid w:val="00222327"/>
    <w:rsid w:val="00222395"/>
    <w:rsid w:val="00222398"/>
    <w:rsid w:val="00222468"/>
    <w:rsid w:val="00222550"/>
    <w:rsid w:val="002225A5"/>
    <w:rsid w:val="00222663"/>
    <w:rsid w:val="00222665"/>
    <w:rsid w:val="002226AB"/>
    <w:rsid w:val="00222711"/>
    <w:rsid w:val="00222751"/>
    <w:rsid w:val="002227B9"/>
    <w:rsid w:val="002227D3"/>
    <w:rsid w:val="00222825"/>
    <w:rsid w:val="0022284A"/>
    <w:rsid w:val="00222932"/>
    <w:rsid w:val="00222933"/>
    <w:rsid w:val="00222A1E"/>
    <w:rsid w:val="00222A21"/>
    <w:rsid w:val="00222B53"/>
    <w:rsid w:val="00222B6F"/>
    <w:rsid w:val="00222B8E"/>
    <w:rsid w:val="00222B9C"/>
    <w:rsid w:val="00222D36"/>
    <w:rsid w:val="00222D6E"/>
    <w:rsid w:val="00222D96"/>
    <w:rsid w:val="00222FAC"/>
    <w:rsid w:val="00222FCB"/>
    <w:rsid w:val="00222FF9"/>
    <w:rsid w:val="002230A6"/>
    <w:rsid w:val="002230CF"/>
    <w:rsid w:val="002230D9"/>
    <w:rsid w:val="00223270"/>
    <w:rsid w:val="0022329C"/>
    <w:rsid w:val="0022333C"/>
    <w:rsid w:val="0022341C"/>
    <w:rsid w:val="00223430"/>
    <w:rsid w:val="002234BA"/>
    <w:rsid w:val="00223569"/>
    <w:rsid w:val="00223596"/>
    <w:rsid w:val="002235D1"/>
    <w:rsid w:val="00223665"/>
    <w:rsid w:val="002238AA"/>
    <w:rsid w:val="002239AA"/>
    <w:rsid w:val="002239D8"/>
    <w:rsid w:val="00223A03"/>
    <w:rsid w:val="00223A8F"/>
    <w:rsid w:val="00223AA0"/>
    <w:rsid w:val="00223C16"/>
    <w:rsid w:val="00223C99"/>
    <w:rsid w:val="00223D5A"/>
    <w:rsid w:val="00223D7A"/>
    <w:rsid w:val="00223D92"/>
    <w:rsid w:val="00223DBC"/>
    <w:rsid w:val="00223FAA"/>
    <w:rsid w:val="00224008"/>
    <w:rsid w:val="002240C0"/>
    <w:rsid w:val="002240E1"/>
    <w:rsid w:val="002240F3"/>
    <w:rsid w:val="00224118"/>
    <w:rsid w:val="00224197"/>
    <w:rsid w:val="002242BD"/>
    <w:rsid w:val="00224308"/>
    <w:rsid w:val="002243D2"/>
    <w:rsid w:val="002243DD"/>
    <w:rsid w:val="002244C6"/>
    <w:rsid w:val="002244F4"/>
    <w:rsid w:val="00224567"/>
    <w:rsid w:val="0022459A"/>
    <w:rsid w:val="002245CE"/>
    <w:rsid w:val="0022470F"/>
    <w:rsid w:val="00224729"/>
    <w:rsid w:val="00224758"/>
    <w:rsid w:val="00224759"/>
    <w:rsid w:val="00224782"/>
    <w:rsid w:val="0022479F"/>
    <w:rsid w:val="002247A3"/>
    <w:rsid w:val="002247D4"/>
    <w:rsid w:val="002249BF"/>
    <w:rsid w:val="00224A0D"/>
    <w:rsid w:val="00224A49"/>
    <w:rsid w:val="00224A82"/>
    <w:rsid w:val="00224A8D"/>
    <w:rsid w:val="00224ACA"/>
    <w:rsid w:val="00224B56"/>
    <w:rsid w:val="00224C66"/>
    <w:rsid w:val="00224C6E"/>
    <w:rsid w:val="00224F5D"/>
    <w:rsid w:val="00224F81"/>
    <w:rsid w:val="00224FA0"/>
    <w:rsid w:val="0022502A"/>
    <w:rsid w:val="00225039"/>
    <w:rsid w:val="0022509C"/>
    <w:rsid w:val="0022515E"/>
    <w:rsid w:val="00225202"/>
    <w:rsid w:val="0022528F"/>
    <w:rsid w:val="00225303"/>
    <w:rsid w:val="00225341"/>
    <w:rsid w:val="0022534D"/>
    <w:rsid w:val="002253AA"/>
    <w:rsid w:val="002253AB"/>
    <w:rsid w:val="002253EE"/>
    <w:rsid w:val="00225403"/>
    <w:rsid w:val="00225455"/>
    <w:rsid w:val="002254BD"/>
    <w:rsid w:val="00225587"/>
    <w:rsid w:val="002255D1"/>
    <w:rsid w:val="00225650"/>
    <w:rsid w:val="00225687"/>
    <w:rsid w:val="0022571E"/>
    <w:rsid w:val="0022578F"/>
    <w:rsid w:val="002257F8"/>
    <w:rsid w:val="00225868"/>
    <w:rsid w:val="002258DF"/>
    <w:rsid w:val="002259AF"/>
    <w:rsid w:val="002259BA"/>
    <w:rsid w:val="00225AED"/>
    <w:rsid w:val="00225BB2"/>
    <w:rsid w:val="00225C01"/>
    <w:rsid w:val="00225C81"/>
    <w:rsid w:val="00225C88"/>
    <w:rsid w:val="00225D4C"/>
    <w:rsid w:val="00225E23"/>
    <w:rsid w:val="00225EEE"/>
    <w:rsid w:val="00225EFA"/>
    <w:rsid w:val="00225F1A"/>
    <w:rsid w:val="00225F64"/>
    <w:rsid w:val="002260FB"/>
    <w:rsid w:val="00226107"/>
    <w:rsid w:val="0022610E"/>
    <w:rsid w:val="0022618B"/>
    <w:rsid w:val="002261EB"/>
    <w:rsid w:val="0022628D"/>
    <w:rsid w:val="002262EA"/>
    <w:rsid w:val="00226374"/>
    <w:rsid w:val="00226516"/>
    <w:rsid w:val="0022677E"/>
    <w:rsid w:val="00226792"/>
    <w:rsid w:val="0022679A"/>
    <w:rsid w:val="0022679D"/>
    <w:rsid w:val="00226897"/>
    <w:rsid w:val="002268C5"/>
    <w:rsid w:val="002269F6"/>
    <w:rsid w:val="00226A26"/>
    <w:rsid w:val="00226A7C"/>
    <w:rsid w:val="00226B80"/>
    <w:rsid w:val="00226BA4"/>
    <w:rsid w:val="00226CC3"/>
    <w:rsid w:val="00226CCF"/>
    <w:rsid w:val="00226D2F"/>
    <w:rsid w:val="00226D31"/>
    <w:rsid w:val="00226E70"/>
    <w:rsid w:val="00226EAE"/>
    <w:rsid w:val="00226F35"/>
    <w:rsid w:val="00226F43"/>
    <w:rsid w:val="00226F44"/>
    <w:rsid w:val="002270E2"/>
    <w:rsid w:val="00227181"/>
    <w:rsid w:val="002271CD"/>
    <w:rsid w:val="0022726C"/>
    <w:rsid w:val="002273CF"/>
    <w:rsid w:val="002273FD"/>
    <w:rsid w:val="0022746B"/>
    <w:rsid w:val="00227482"/>
    <w:rsid w:val="002274DA"/>
    <w:rsid w:val="002274F0"/>
    <w:rsid w:val="002275B2"/>
    <w:rsid w:val="002275E6"/>
    <w:rsid w:val="00227631"/>
    <w:rsid w:val="00227805"/>
    <w:rsid w:val="00227847"/>
    <w:rsid w:val="00227946"/>
    <w:rsid w:val="00227964"/>
    <w:rsid w:val="00227A1D"/>
    <w:rsid w:val="00227A97"/>
    <w:rsid w:val="00227AA1"/>
    <w:rsid w:val="00227BA6"/>
    <w:rsid w:val="00227CCF"/>
    <w:rsid w:val="00227D59"/>
    <w:rsid w:val="00227EF1"/>
    <w:rsid w:val="00227F38"/>
    <w:rsid w:val="00227F6C"/>
    <w:rsid w:val="00227FFC"/>
    <w:rsid w:val="0023003C"/>
    <w:rsid w:val="0023023E"/>
    <w:rsid w:val="0023031C"/>
    <w:rsid w:val="0023035A"/>
    <w:rsid w:val="002304C3"/>
    <w:rsid w:val="002305D0"/>
    <w:rsid w:val="00230694"/>
    <w:rsid w:val="00230728"/>
    <w:rsid w:val="00230862"/>
    <w:rsid w:val="002308B1"/>
    <w:rsid w:val="002308C6"/>
    <w:rsid w:val="00230916"/>
    <w:rsid w:val="002309AC"/>
    <w:rsid w:val="002309D9"/>
    <w:rsid w:val="00230B26"/>
    <w:rsid w:val="00230C20"/>
    <w:rsid w:val="00230D03"/>
    <w:rsid w:val="00230E61"/>
    <w:rsid w:val="00230EA3"/>
    <w:rsid w:val="00230F24"/>
    <w:rsid w:val="00230F95"/>
    <w:rsid w:val="00230FFB"/>
    <w:rsid w:val="0023102F"/>
    <w:rsid w:val="0023110B"/>
    <w:rsid w:val="00231129"/>
    <w:rsid w:val="0023112C"/>
    <w:rsid w:val="00231260"/>
    <w:rsid w:val="00231268"/>
    <w:rsid w:val="002313E9"/>
    <w:rsid w:val="00231429"/>
    <w:rsid w:val="00231504"/>
    <w:rsid w:val="002316F2"/>
    <w:rsid w:val="0023170F"/>
    <w:rsid w:val="00231764"/>
    <w:rsid w:val="00231770"/>
    <w:rsid w:val="002317C6"/>
    <w:rsid w:val="0023195D"/>
    <w:rsid w:val="002319DF"/>
    <w:rsid w:val="00231BA3"/>
    <w:rsid w:val="00231BE8"/>
    <w:rsid w:val="00231C15"/>
    <w:rsid w:val="00231CA9"/>
    <w:rsid w:val="00231CD9"/>
    <w:rsid w:val="00231D0E"/>
    <w:rsid w:val="00231D45"/>
    <w:rsid w:val="00231DA3"/>
    <w:rsid w:val="00231FC9"/>
    <w:rsid w:val="002321A9"/>
    <w:rsid w:val="002321B4"/>
    <w:rsid w:val="00232227"/>
    <w:rsid w:val="002322A4"/>
    <w:rsid w:val="0023247F"/>
    <w:rsid w:val="00232622"/>
    <w:rsid w:val="00232630"/>
    <w:rsid w:val="002326DE"/>
    <w:rsid w:val="0023277B"/>
    <w:rsid w:val="00232787"/>
    <w:rsid w:val="002327AD"/>
    <w:rsid w:val="002327C9"/>
    <w:rsid w:val="00232826"/>
    <w:rsid w:val="00232899"/>
    <w:rsid w:val="00232958"/>
    <w:rsid w:val="00232AC5"/>
    <w:rsid w:val="00232C40"/>
    <w:rsid w:val="00232C9C"/>
    <w:rsid w:val="00232D39"/>
    <w:rsid w:val="00232D65"/>
    <w:rsid w:val="00232E2C"/>
    <w:rsid w:val="00232E5E"/>
    <w:rsid w:val="00232F43"/>
    <w:rsid w:val="00232F53"/>
    <w:rsid w:val="00232FA6"/>
    <w:rsid w:val="00232FF1"/>
    <w:rsid w:val="002330CF"/>
    <w:rsid w:val="0023314F"/>
    <w:rsid w:val="00233246"/>
    <w:rsid w:val="002332B1"/>
    <w:rsid w:val="00233335"/>
    <w:rsid w:val="002333B2"/>
    <w:rsid w:val="002333BA"/>
    <w:rsid w:val="002333C0"/>
    <w:rsid w:val="00233589"/>
    <w:rsid w:val="0023358B"/>
    <w:rsid w:val="00233634"/>
    <w:rsid w:val="0023364E"/>
    <w:rsid w:val="00233685"/>
    <w:rsid w:val="002336D1"/>
    <w:rsid w:val="002336E5"/>
    <w:rsid w:val="00233767"/>
    <w:rsid w:val="002338F1"/>
    <w:rsid w:val="00233970"/>
    <w:rsid w:val="002339FE"/>
    <w:rsid w:val="00233AA7"/>
    <w:rsid w:val="00233B76"/>
    <w:rsid w:val="00233B94"/>
    <w:rsid w:val="00233D31"/>
    <w:rsid w:val="00233D34"/>
    <w:rsid w:val="00233D64"/>
    <w:rsid w:val="00233E1E"/>
    <w:rsid w:val="00233E5B"/>
    <w:rsid w:val="00233E89"/>
    <w:rsid w:val="00233FB6"/>
    <w:rsid w:val="00234069"/>
    <w:rsid w:val="002340F8"/>
    <w:rsid w:val="0023443C"/>
    <w:rsid w:val="002344E9"/>
    <w:rsid w:val="002345DE"/>
    <w:rsid w:val="002346DC"/>
    <w:rsid w:val="00234735"/>
    <w:rsid w:val="0023473E"/>
    <w:rsid w:val="00234820"/>
    <w:rsid w:val="00234965"/>
    <w:rsid w:val="0023498D"/>
    <w:rsid w:val="00234A5B"/>
    <w:rsid w:val="00234C3B"/>
    <w:rsid w:val="00234C64"/>
    <w:rsid w:val="00234C70"/>
    <w:rsid w:val="00234CC5"/>
    <w:rsid w:val="00234D37"/>
    <w:rsid w:val="00234D3E"/>
    <w:rsid w:val="00234EB0"/>
    <w:rsid w:val="00234F31"/>
    <w:rsid w:val="00234FF7"/>
    <w:rsid w:val="00235007"/>
    <w:rsid w:val="00235013"/>
    <w:rsid w:val="00235131"/>
    <w:rsid w:val="0023516D"/>
    <w:rsid w:val="0023522E"/>
    <w:rsid w:val="00235262"/>
    <w:rsid w:val="0023531A"/>
    <w:rsid w:val="002353D8"/>
    <w:rsid w:val="002353E4"/>
    <w:rsid w:val="0023540D"/>
    <w:rsid w:val="00235452"/>
    <w:rsid w:val="00235474"/>
    <w:rsid w:val="00235479"/>
    <w:rsid w:val="002354E3"/>
    <w:rsid w:val="00235711"/>
    <w:rsid w:val="002357E1"/>
    <w:rsid w:val="002357E8"/>
    <w:rsid w:val="00235833"/>
    <w:rsid w:val="002358A7"/>
    <w:rsid w:val="00235907"/>
    <w:rsid w:val="00235986"/>
    <w:rsid w:val="002359E7"/>
    <w:rsid w:val="002359F3"/>
    <w:rsid w:val="00235B20"/>
    <w:rsid w:val="00235B3F"/>
    <w:rsid w:val="00235D4E"/>
    <w:rsid w:val="00235E91"/>
    <w:rsid w:val="00236018"/>
    <w:rsid w:val="002360E4"/>
    <w:rsid w:val="002360FC"/>
    <w:rsid w:val="0023622F"/>
    <w:rsid w:val="002362CD"/>
    <w:rsid w:val="0023631E"/>
    <w:rsid w:val="00236342"/>
    <w:rsid w:val="00236383"/>
    <w:rsid w:val="00236433"/>
    <w:rsid w:val="0023650E"/>
    <w:rsid w:val="00236521"/>
    <w:rsid w:val="0023668E"/>
    <w:rsid w:val="00236719"/>
    <w:rsid w:val="002367C1"/>
    <w:rsid w:val="00236808"/>
    <w:rsid w:val="0023687B"/>
    <w:rsid w:val="002368EE"/>
    <w:rsid w:val="00236974"/>
    <w:rsid w:val="00236B13"/>
    <w:rsid w:val="00236BF7"/>
    <w:rsid w:val="00236C30"/>
    <w:rsid w:val="00236D95"/>
    <w:rsid w:val="00236DD0"/>
    <w:rsid w:val="00236E90"/>
    <w:rsid w:val="00236F2F"/>
    <w:rsid w:val="00236F76"/>
    <w:rsid w:val="002372CA"/>
    <w:rsid w:val="00237556"/>
    <w:rsid w:val="002375BD"/>
    <w:rsid w:val="002375D4"/>
    <w:rsid w:val="002375E3"/>
    <w:rsid w:val="0023768E"/>
    <w:rsid w:val="00237737"/>
    <w:rsid w:val="0023776C"/>
    <w:rsid w:val="00237801"/>
    <w:rsid w:val="0023781E"/>
    <w:rsid w:val="00237828"/>
    <w:rsid w:val="002378CC"/>
    <w:rsid w:val="0023799C"/>
    <w:rsid w:val="00237A9D"/>
    <w:rsid w:val="00237B39"/>
    <w:rsid w:val="00237B57"/>
    <w:rsid w:val="00237B7D"/>
    <w:rsid w:val="00237C29"/>
    <w:rsid w:val="00237CD0"/>
    <w:rsid w:val="00237D5F"/>
    <w:rsid w:val="00237DC2"/>
    <w:rsid w:val="00237EBC"/>
    <w:rsid w:val="00237EE3"/>
    <w:rsid w:val="00237EF3"/>
    <w:rsid w:val="00237F50"/>
    <w:rsid w:val="00237F5D"/>
    <w:rsid w:val="00237FFA"/>
    <w:rsid w:val="00240154"/>
    <w:rsid w:val="0024015B"/>
    <w:rsid w:val="00240195"/>
    <w:rsid w:val="002401A3"/>
    <w:rsid w:val="0024021A"/>
    <w:rsid w:val="0024023E"/>
    <w:rsid w:val="002402F8"/>
    <w:rsid w:val="00240350"/>
    <w:rsid w:val="00240376"/>
    <w:rsid w:val="002403C7"/>
    <w:rsid w:val="00240414"/>
    <w:rsid w:val="00240513"/>
    <w:rsid w:val="0024055F"/>
    <w:rsid w:val="002405E0"/>
    <w:rsid w:val="002405E3"/>
    <w:rsid w:val="00240699"/>
    <w:rsid w:val="0024069E"/>
    <w:rsid w:val="002406B4"/>
    <w:rsid w:val="00240739"/>
    <w:rsid w:val="0024074B"/>
    <w:rsid w:val="002407E1"/>
    <w:rsid w:val="002408AE"/>
    <w:rsid w:val="002408CE"/>
    <w:rsid w:val="00240A00"/>
    <w:rsid w:val="00240A98"/>
    <w:rsid w:val="00240B9C"/>
    <w:rsid w:val="00240BA3"/>
    <w:rsid w:val="00240C02"/>
    <w:rsid w:val="00240DDD"/>
    <w:rsid w:val="00240E12"/>
    <w:rsid w:val="00240E15"/>
    <w:rsid w:val="00240EEB"/>
    <w:rsid w:val="00240F5F"/>
    <w:rsid w:val="0024103E"/>
    <w:rsid w:val="00241075"/>
    <w:rsid w:val="0024107A"/>
    <w:rsid w:val="002410A9"/>
    <w:rsid w:val="0024123C"/>
    <w:rsid w:val="00241248"/>
    <w:rsid w:val="0024136B"/>
    <w:rsid w:val="002414A7"/>
    <w:rsid w:val="002414F9"/>
    <w:rsid w:val="00241522"/>
    <w:rsid w:val="00241648"/>
    <w:rsid w:val="00241744"/>
    <w:rsid w:val="00241770"/>
    <w:rsid w:val="00241853"/>
    <w:rsid w:val="002418EA"/>
    <w:rsid w:val="002418F6"/>
    <w:rsid w:val="00241995"/>
    <w:rsid w:val="002419A5"/>
    <w:rsid w:val="00241A5D"/>
    <w:rsid w:val="00241A92"/>
    <w:rsid w:val="00241AB6"/>
    <w:rsid w:val="00241B4B"/>
    <w:rsid w:val="00241B7F"/>
    <w:rsid w:val="00241C46"/>
    <w:rsid w:val="00241CAB"/>
    <w:rsid w:val="00241DE5"/>
    <w:rsid w:val="00241E93"/>
    <w:rsid w:val="00241E9D"/>
    <w:rsid w:val="00241EBB"/>
    <w:rsid w:val="00242015"/>
    <w:rsid w:val="0024219A"/>
    <w:rsid w:val="0024226E"/>
    <w:rsid w:val="00242275"/>
    <w:rsid w:val="002422D2"/>
    <w:rsid w:val="00242304"/>
    <w:rsid w:val="002423BB"/>
    <w:rsid w:val="00242524"/>
    <w:rsid w:val="0024253A"/>
    <w:rsid w:val="0024254F"/>
    <w:rsid w:val="00242639"/>
    <w:rsid w:val="0024276D"/>
    <w:rsid w:val="0024278F"/>
    <w:rsid w:val="0024279D"/>
    <w:rsid w:val="002427FF"/>
    <w:rsid w:val="00242A4A"/>
    <w:rsid w:val="00242B2C"/>
    <w:rsid w:val="00242C63"/>
    <w:rsid w:val="00242CB7"/>
    <w:rsid w:val="00242CCE"/>
    <w:rsid w:val="00242D53"/>
    <w:rsid w:val="00242E6F"/>
    <w:rsid w:val="00242E90"/>
    <w:rsid w:val="0024301E"/>
    <w:rsid w:val="00243044"/>
    <w:rsid w:val="002430FB"/>
    <w:rsid w:val="0024313A"/>
    <w:rsid w:val="00243158"/>
    <w:rsid w:val="002431B7"/>
    <w:rsid w:val="002431C4"/>
    <w:rsid w:val="0024320F"/>
    <w:rsid w:val="00243415"/>
    <w:rsid w:val="00243489"/>
    <w:rsid w:val="002437F4"/>
    <w:rsid w:val="0024384C"/>
    <w:rsid w:val="002438B2"/>
    <w:rsid w:val="0024394B"/>
    <w:rsid w:val="0024397E"/>
    <w:rsid w:val="0024398A"/>
    <w:rsid w:val="002439CE"/>
    <w:rsid w:val="00243B84"/>
    <w:rsid w:val="00243BCA"/>
    <w:rsid w:val="00243BFB"/>
    <w:rsid w:val="00243C78"/>
    <w:rsid w:val="00243C7D"/>
    <w:rsid w:val="00243CCD"/>
    <w:rsid w:val="00243E64"/>
    <w:rsid w:val="00243E6E"/>
    <w:rsid w:val="00243E8E"/>
    <w:rsid w:val="00243ECA"/>
    <w:rsid w:val="00243EE3"/>
    <w:rsid w:val="00243EFD"/>
    <w:rsid w:val="0024405A"/>
    <w:rsid w:val="0024410E"/>
    <w:rsid w:val="0024412F"/>
    <w:rsid w:val="0024413D"/>
    <w:rsid w:val="00244286"/>
    <w:rsid w:val="002442BF"/>
    <w:rsid w:val="002442DB"/>
    <w:rsid w:val="002443A5"/>
    <w:rsid w:val="002443FC"/>
    <w:rsid w:val="00244642"/>
    <w:rsid w:val="002448C9"/>
    <w:rsid w:val="002448D5"/>
    <w:rsid w:val="0024491C"/>
    <w:rsid w:val="00244934"/>
    <w:rsid w:val="002449B1"/>
    <w:rsid w:val="002449F8"/>
    <w:rsid w:val="00244A56"/>
    <w:rsid w:val="00244A92"/>
    <w:rsid w:val="00244B01"/>
    <w:rsid w:val="00244B3A"/>
    <w:rsid w:val="00244C59"/>
    <w:rsid w:val="00244C80"/>
    <w:rsid w:val="00244C8A"/>
    <w:rsid w:val="00244D2A"/>
    <w:rsid w:val="00244D97"/>
    <w:rsid w:val="00244E07"/>
    <w:rsid w:val="00244F1F"/>
    <w:rsid w:val="00244F5E"/>
    <w:rsid w:val="0024511B"/>
    <w:rsid w:val="00245174"/>
    <w:rsid w:val="0024518D"/>
    <w:rsid w:val="0024528A"/>
    <w:rsid w:val="002452F9"/>
    <w:rsid w:val="002453BB"/>
    <w:rsid w:val="002454AB"/>
    <w:rsid w:val="002455B8"/>
    <w:rsid w:val="00245624"/>
    <w:rsid w:val="00245758"/>
    <w:rsid w:val="002457BC"/>
    <w:rsid w:val="002457D9"/>
    <w:rsid w:val="002457EB"/>
    <w:rsid w:val="0024589D"/>
    <w:rsid w:val="00245902"/>
    <w:rsid w:val="00245973"/>
    <w:rsid w:val="00245A7B"/>
    <w:rsid w:val="00245DC7"/>
    <w:rsid w:val="00245E50"/>
    <w:rsid w:val="00245E85"/>
    <w:rsid w:val="00245F48"/>
    <w:rsid w:val="00245F52"/>
    <w:rsid w:val="00245FB7"/>
    <w:rsid w:val="00246107"/>
    <w:rsid w:val="00246183"/>
    <w:rsid w:val="002461A1"/>
    <w:rsid w:val="0024623F"/>
    <w:rsid w:val="0024632D"/>
    <w:rsid w:val="00246358"/>
    <w:rsid w:val="00246378"/>
    <w:rsid w:val="0024651D"/>
    <w:rsid w:val="0024663C"/>
    <w:rsid w:val="0024665A"/>
    <w:rsid w:val="00246734"/>
    <w:rsid w:val="002468AE"/>
    <w:rsid w:val="00246BDD"/>
    <w:rsid w:val="00246C30"/>
    <w:rsid w:val="00246C83"/>
    <w:rsid w:val="00246C88"/>
    <w:rsid w:val="00246CA5"/>
    <w:rsid w:val="00246DB5"/>
    <w:rsid w:val="00246EC9"/>
    <w:rsid w:val="00246F07"/>
    <w:rsid w:val="00247018"/>
    <w:rsid w:val="00247159"/>
    <w:rsid w:val="002471BE"/>
    <w:rsid w:val="002471E0"/>
    <w:rsid w:val="0024735E"/>
    <w:rsid w:val="00247398"/>
    <w:rsid w:val="002474EB"/>
    <w:rsid w:val="00247515"/>
    <w:rsid w:val="00247522"/>
    <w:rsid w:val="002475CE"/>
    <w:rsid w:val="00247653"/>
    <w:rsid w:val="00247735"/>
    <w:rsid w:val="002477D9"/>
    <w:rsid w:val="002477F0"/>
    <w:rsid w:val="00247843"/>
    <w:rsid w:val="002478E8"/>
    <w:rsid w:val="00247A85"/>
    <w:rsid w:val="00247B3D"/>
    <w:rsid w:val="00247B49"/>
    <w:rsid w:val="00247C05"/>
    <w:rsid w:val="00247C59"/>
    <w:rsid w:val="00247D76"/>
    <w:rsid w:val="00247D9A"/>
    <w:rsid w:val="00247DE2"/>
    <w:rsid w:val="00247E4D"/>
    <w:rsid w:val="00247E56"/>
    <w:rsid w:val="00247EDF"/>
    <w:rsid w:val="00247F1D"/>
    <w:rsid w:val="00247F45"/>
    <w:rsid w:val="00247F6F"/>
    <w:rsid w:val="00247FC7"/>
    <w:rsid w:val="00250010"/>
    <w:rsid w:val="00250018"/>
    <w:rsid w:val="0025017E"/>
    <w:rsid w:val="0025027B"/>
    <w:rsid w:val="0025029B"/>
    <w:rsid w:val="002502F2"/>
    <w:rsid w:val="0025032A"/>
    <w:rsid w:val="002503F3"/>
    <w:rsid w:val="0025040E"/>
    <w:rsid w:val="002504CA"/>
    <w:rsid w:val="002504F2"/>
    <w:rsid w:val="0025050B"/>
    <w:rsid w:val="00250550"/>
    <w:rsid w:val="00250554"/>
    <w:rsid w:val="00250561"/>
    <w:rsid w:val="002505F1"/>
    <w:rsid w:val="002506DD"/>
    <w:rsid w:val="00250767"/>
    <w:rsid w:val="00250813"/>
    <w:rsid w:val="00250821"/>
    <w:rsid w:val="0025097F"/>
    <w:rsid w:val="002509E4"/>
    <w:rsid w:val="00250A22"/>
    <w:rsid w:val="00250B90"/>
    <w:rsid w:val="00250B92"/>
    <w:rsid w:val="00250C15"/>
    <w:rsid w:val="00250C54"/>
    <w:rsid w:val="00250D9E"/>
    <w:rsid w:val="00250DB8"/>
    <w:rsid w:val="00250E27"/>
    <w:rsid w:val="00250E8E"/>
    <w:rsid w:val="00250F83"/>
    <w:rsid w:val="00250FB1"/>
    <w:rsid w:val="002510FE"/>
    <w:rsid w:val="0025113D"/>
    <w:rsid w:val="00251188"/>
    <w:rsid w:val="002511AA"/>
    <w:rsid w:val="002512ED"/>
    <w:rsid w:val="0025133F"/>
    <w:rsid w:val="0025134A"/>
    <w:rsid w:val="002513A1"/>
    <w:rsid w:val="002513F9"/>
    <w:rsid w:val="00251403"/>
    <w:rsid w:val="00251471"/>
    <w:rsid w:val="002514E3"/>
    <w:rsid w:val="00251582"/>
    <w:rsid w:val="0025160F"/>
    <w:rsid w:val="00251670"/>
    <w:rsid w:val="0025170E"/>
    <w:rsid w:val="0025172C"/>
    <w:rsid w:val="00251861"/>
    <w:rsid w:val="00251873"/>
    <w:rsid w:val="00251976"/>
    <w:rsid w:val="00251A9E"/>
    <w:rsid w:val="00251B67"/>
    <w:rsid w:val="00251BD7"/>
    <w:rsid w:val="00251C16"/>
    <w:rsid w:val="00251CF0"/>
    <w:rsid w:val="00251D75"/>
    <w:rsid w:val="00251DC0"/>
    <w:rsid w:val="00251E49"/>
    <w:rsid w:val="00251E6C"/>
    <w:rsid w:val="00251E88"/>
    <w:rsid w:val="00251F4A"/>
    <w:rsid w:val="00251F80"/>
    <w:rsid w:val="0025200B"/>
    <w:rsid w:val="00252017"/>
    <w:rsid w:val="00252092"/>
    <w:rsid w:val="002520CC"/>
    <w:rsid w:val="00252282"/>
    <w:rsid w:val="002522E1"/>
    <w:rsid w:val="00252365"/>
    <w:rsid w:val="00252434"/>
    <w:rsid w:val="00252455"/>
    <w:rsid w:val="00252472"/>
    <w:rsid w:val="002524A8"/>
    <w:rsid w:val="00252523"/>
    <w:rsid w:val="002525B7"/>
    <w:rsid w:val="0025271D"/>
    <w:rsid w:val="002527DC"/>
    <w:rsid w:val="002527FD"/>
    <w:rsid w:val="0025297F"/>
    <w:rsid w:val="002529C2"/>
    <w:rsid w:val="00252A4F"/>
    <w:rsid w:val="00252AEE"/>
    <w:rsid w:val="00252B3F"/>
    <w:rsid w:val="00252B4D"/>
    <w:rsid w:val="00252BDA"/>
    <w:rsid w:val="00252C3C"/>
    <w:rsid w:val="00252C50"/>
    <w:rsid w:val="00252C98"/>
    <w:rsid w:val="00252D29"/>
    <w:rsid w:val="00252DC9"/>
    <w:rsid w:val="00252F57"/>
    <w:rsid w:val="00252FF2"/>
    <w:rsid w:val="00253006"/>
    <w:rsid w:val="00253049"/>
    <w:rsid w:val="0025309B"/>
    <w:rsid w:val="002530DC"/>
    <w:rsid w:val="00253136"/>
    <w:rsid w:val="00253183"/>
    <w:rsid w:val="0025334E"/>
    <w:rsid w:val="002533D8"/>
    <w:rsid w:val="00253413"/>
    <w:rsid w:val="00253424"/>
    <w:rsid w:val="00253442"/>
    <w:rsid w:val="00253550"/>
    <w:rsid w:val="00253590"/>
    <w:rsid w:val="002535EA"/>
    <w:rsid w:val="00253700"/>
    <w:rsid w:val="00253780"/>
    <w:rsid w:val="00253842"/>
    <w:rsid w:val="00253BAB"/>
    <w:rsid w:val="00253C25"/>
    <w:rsid w:val="00253CDE"/>
    <w:rsid w:val="00253D8D"/>
    <w:rsid w:val="00253D8F"/>
    <w:rsid w:val="00253DF7"/>
    <w:rsid w:val="00253E17"/>
    <w:rsid w:val="00253E1F"/>
    <w:rsid w:val="00253F31"/>
    <w:rsid w:val="00253FFD"/>
    <w:rsid w:val="00254021"/>
    <w:rsid w:val="0025404E"/>
    <w:rsid w:val="00254067"/>
    <w:rsid w:val="0025414C"/>
    <w:rsid w:val="002541FF"/>
    <w:rsid w:val="002543FF"/>
    <w:rsid w:val="002544D3"/>
    <w:rsid w:val="0025466A"/>
    <w:rsid w:val="002546E9"/>
    <w:rsid w:val="00254782"/>
    <w:rsid w:val="0025481E"/>
    <w:rsid w:val="002548EA"/>
    <w:rsid w:val="00254994"/>
    <w:rsid w:val="002549EC"/>
    <w:rsid w:val="002549ED"/>
    <w:rsid w:val="002549F4"/>
    <w:rsid w:val="00254AA6"/>
    <w:rsid w:val="00254B9F"/>
    <w:rsid w:val="00254CC4"/>
    <w:rsid w:val="00254D26"/>
    <w:rsid w:val="00254EEB"/>
    <w:rsid w:val="00254EF3"/>
    <w:rsid w:val="00255036"/>
    <w:rsid w:val="002551E2"/>
    <w:rsid w:val="002552BF"/>
    <w:rsid w:val="0025547A"/>
    <w:rsid w:val="002554FD"/>
    <w:rsid w:val="00255553"/>
    <w:rsid w:val="00255686"/>
    <w:rsid w:val="002556B6"/>
    <w:rsid w:val="002556F4"/>
    <w:rsid w:val="00255727"/>
    <w:rsid w:val="00255752"/>
    <w:rsid w:val="0025583F"/>
    <w:rsid w:val="0025590B"/>
    <w:rsid w:val="0025591E"/>
    <w:rsid w:val="00255947"/>
    <w:rsid w:val="0025596D"/>
    <w:rsid w:val="00255983"/>
    <w:rsid w:val="00255B0F"/>
    <w:rsid w:val="00255B2F"/>
    <w:rsid w:val="00255B32"/>
    <w:rsid w:val="00255BD7"/>
    <w:rsid w:val="00255C2F"/>
    <w:rsid w:val="00255C80"/>
    <w:rsid w:val="00255E88"/>
    <w:rsid w:val="00255E90"/>
    <w:rsid w:val="00255F00"/>
    <w:rsid w:val="00255F5F"/>
    <w:rsid w:val="00255F7A"/>
    <w:rsid w:val="00255FAE"/>
    <w:rsid w:val="00256018"/>
    <w:rsid w:val="00256084"/>
    <w:rsid w:val="002561CB"/>
    <w:rsid w:val="00256304"/>
    <w:rsid w:val="00256312"/>
    <w:rsid w:val="00256430"/>
    <w:rsid w:val="00256433"/>
    <w:rsid w:val="00256460"/>
    <w:rsid w:val="00256478"/>
    <w:rsid w:val="0025651E"/>
    <w:rsid w:val="00256531"/>
    <w:rsid w:val="002565D2"/>
    <w:rsid w:val="0025674E"/>
    <w:rsid w:val="0025675A"/>
    <w:rsid w:val="00256936"/>
    <w:rsid w:val="0025697C"/>
    <w:rsid w:val="002569AB"/>
    <w:rsid w:val="00256A01"/>
    <w:rsid w:val="00256A60"/>
    <w:rsid w:val="00256A92"/>
    <w:rsid w:val="00256B9F"/>
    <w:rsid w:val="00256ED0"/>
    <w:rsid w:val="00256F4E"/>
    <w:rsid w:val="00256FEF"/>
    <w:rsid w:val="002570FA"/>
    <w:rsid w:val="0025712F"/>
    <w:rsid w:val="00257196"/>
    <w:rsid w:val="002572D7"/>
    <w:rsid w:val="00257346"/>
    <w:rsid w:val="00257366"/>
    <w:rsid w:val="002573AC"/>
    <w:rsid w:val="00257417"/>
    <w:rsid w:val="00257472"/>
    <w:rsid w:val="00257474"/>
    <w:rsid w:val="002574EB"/>
    <w:rsid w:val="00257649"/>
    <w:rsid w:val="0025767F"/>
    <w:rsid w:val="00257688"/>
    <w:rsid w:val="002576C1"/>
    <w:rsid w:val="00257749"/>
    <w:rsid w:val="0025774E"/>
    <w:rsid w:val="00257833"/>
    <w:rsid w:val="00257839"/>
    <w:rsid w:val="002578DE"/>
    <w:rsid w:val="00257977"/>
    <w:rsid w:val="002579A6"/>
    <w:rsid w:val="00257A0C"/>
    <w:rsid w:val="00257A12"/>
    <w:rsid w:val="00257B2B"/>
    <w:rsid w:val="00257CF1"/>
    <w:rsid w:val="00257CF9"/>
    <w:rsid w:val="00257D28"/>
    <w:rsid w:val="00257D87"/>
    <w:rsid w:val="00257E3C"/>
    <w:rsid w:val="00257E44"/>
    <w:rsid w:val="00257F0D"/>
    <w:rsid w:val="00257F53"/>
    <w:rsid w:val="00257F73"/>
    <w:rsid w:val="00257FD9"/>
    <w:rsid w:val="00257FDE"/>
    <w:rsid w:val="0026002A"/>
    <w:rsid w:val="0026006F"/>
    <w:rsid w:val="00260098"/>
    <w:rsid w:val="0026012D"/>
    <w:rsid w:val="00260296"/>
    <w:rsid w:val="00260306"/>
    <w:rsid w:val="0026047B"/>
    <w:rsid w:val="0026051D"/>
    <w:rsid w:val="002605A6"/>
    <w:rsid w:val="00260617"/>
    <w:rsid w:val="00260624"/>
    <w:rsid w:val="0026067B"/>
    <w:rsid w:val="002607E8"/>
    <w:rsid w:val="002608F5"/>
    <w:rsid w:val="0026093A"/>
    <w:rsid w:val="0026093F"/>
    <w:rsid w:val="0026099C"/>
    <w:rsid w:val="00260A6E"/>
    <w:rsid w:val="00260B10"/>
    <w:rsid w:val="00260BBC"/>
    <w:rsid w:val="00260C3D"/>
    <w:rsid w:val="00260C95"/>
    <w:rsid w:val="00260D2E"/>
    <w:rsid w:val="00260DA4"/>
    <w:rsid w:val="00260ED7"/>
    <w:rsid w:val="00260F3D"/>
    <w:rsid w:val="00261201"/>
    <w:rsid w:val="00261222"/>
    <w:rsid w:val="002612CB"/>
    <w:rsid w:val="002612D4"/>
    <w:rsid w:val="0026137B"/>
    <w:rsid w:val="002614A6"/>
    <w:rsid w:val="002614AF"/>
    <w:rsid w:val="0026159A"/>
    <w:rsid w:val="002615B4"/>
    <w:rsid w:val="002615D2"/>
    <w:rsid w:val="002615F9"/>
    <w:rsid w:val="00261881"/>
    <w:rsid w:val="002618EF"/>
    <w:rsid w:val="0026194D"/>
    <w:rsid w:val="00261A38"/>
    <w:rsid w:val="00261A4A"/>
    <w:rsid w:val="00261A6F"/>
    <w:rsid w:val="00261AC7"/>
    <w:rsid w:val="00261B39"/>
    <w:rsid w:val="00261B5D"/>
    <w:rsid w:val="00261C53"/>
    <w:rsid w:val="00261CC0"/>
    <w:rsid w:val="00261CCB"/>
    <w:rsid w:val="00261CFD"/>
    <w:rsid w:val="00261DA5"/>
    <w:rsid w:val="00261EE9"/>
    <w:rsid w:val="00261EEC"/>
    <w:rsid w:val="00261EF8"/>
    <w:rsid w:val="00261FFB"/>
    <w:rsid w:val="0026202D"/>
    <w:rsid w:val="002620AB"/>
    <w:rsid w:val="00262175"/>
    <w:rsid w:val="002621D4"/>
    <w:rsid w:val="0026227A"/>
    <w:rsid w:val="002622B1"/>
    <w:rsid w:val="00262365"/>
    <w:rsid w:val="0026243A"/>
    <w:rsid w:val="00262471"/>
    <w:rsid w:val="002624A2"/>
    <w:rsid w:val="002624D0"/>
    <w:rsid w:val="00262521"/>
    <w:rsid w:val="002625C0"/>
    <w:rsid w:val="002625E8"/>
    <w:rsid w:val="0026270E"/>
    <w:rsid w:val="00262897"/>
    <w:rsid w:val="002629BE"/>
    <w:rsid w:val="002629F3"/>
    <w:rsid w:val="00262A01"/>
    <w:rsid w:val="00262B17"/>
    <w:rsid w:val="00262B78"/>
    <w:rsid w:val="00262BA4"/>
    <w:rsid w:val="00262C6B"/>
    <w:rsid w:val="00262CA1"/>
    <w:rsid w:val="00262CC3"/>
    <w:rsid w:val="00262CD5"/>
    <w:rsid w:val="00262D2B"/>
    <w:rsid w:val="00262DAC"/>
    <w:rsid w:val="00262DC2"/>
    <w:rsid w:val="00263014"/>
    <w:rsid w:val="0026306C"/>
    <w:rsid w:val="0026307B"/>
    <w:rsid w:val="002631A6"/>
    <w:rsid w:val="00263206"/>
    <w:rsid w:val="0026323A"/>
    <w:rsid w:val="00263293"/>
    <w:rsid w:val="0026337E"/>
    <w:rsid w:val="00263410"/>
    <w:rsid w:val="0026345A"/>
    <w:rsid w:val="002634A0"/>
    <w:rsid w:val="002634A2"/>
    <w:rsid w:val="002634B7"/>
    <w:rsid w:val="002635A8"/>
    <w:rsid w:val="002635D4"/>
    <w:rsid w:val="002636B9"/>
    <w:rsid w:val="00263745"/>
    <w:rsid w:val="002638E3"/>
    <w:rsid w:val="002639A1"/>
    <w:rsid w:val="002639F2"/>
    <w:rsid w:val="00263AE0"/>
    <w:rsid w:val="00263AEE"/>
    <w:rsid w:val="00263AF5"/>
    <w:rsid w:val="00263CD0"/>
    <w:rsid w:val="00263DDF"/>
    <w:rsid w:val="00263DEC"/>
    <w:rsid w:val="00263F55"/>
    <w:rsid w:val="00263F6E"/>
    <w:rsid w:val="00263F76"/>
    <w:rsid w:val="00264132"/>
    <w:rsid w:val="0026418A"/>
    <w:rsid w:val="00264201"/>
    <w:rsid w:val="0026426E"/>
    <w:rsid w:val="002643AF"/>
    <w:rsid w:val="002644A1"/>
    <w:rsid w:val="002646BB"/>
    <w:rsid w:val="002647C1"/>
    <w:rsid w:val="0026486B"/>
    <w:rsid w:val="00264951"/>
    <w:rsid w:val="002649F5"/>
    <w:rsid w:val="00264A02"/>
    <w:rsid w:val="00264A54"/>
    <w:rsid w:val="00264A66"/>
    <w:rsid w:val="00264ACA"/>
    <w:rsid w:val="00264AE2"/>
    <w:rsid w:val="00264BBC"/>
    <w:rsid w:val="00264C7B"/>
    <w:rsid w:val="00264C7C"/>
    <w:rsid w:val="00264D2D"/>
    <w:rsid w:val="00264DD3"/>
    <w:rsid w:val="00264DDF"/>
    <w:rsid w:val="00264E35"/>
    <w:rsid w:val="00264EE3"/>
    <w:rsid w:val="00264FCD"/>
    <w:rsid w:val="00264FEE"/>
    <w:rsid w:val="002650D4"/>
    <w:rsid w:val="002650FA"/>
    <w:rsid w:val="00265134"/>
    <w:rsid w:val="00265159"/>
    <w:rsid w:val="0026525C"/>
    <w:rsid w:val="0026536F"/>
    <w:rsid w:val="0026539F"/>
    <w:rsid w:val="0026544F"/>
    <w:rsid w:val="0026550C"/>
    <w:rsid w:val="0026551B"/>
    <w:rsid w:val="0026554C"/>
    <w:rsid w:val="00265550"/>
    <w:rsid w:val="00265603"/>
    <w:rsid w:val="00265685"/>
    <w:rsid w:val="00265691"/>
    <w:rsid w:val="002656A2"/>
    <w:rsid w:val="0026576D"/>
    <w:rsid w:val="00265894"/>
    <w:rsid w:val="00265A8B"/>
    <w:rsid w:val="00265BA7"/>
    <w:rsid w:val="00265BDE"/>
    <w:rsid w:val="00265CCD"/>
    <w:rsid w:val="00265D0D"/>
    <w:rsid w:val="00265D34"/>
    <w:rsid w:val="00265DB3"/>
    <w:rsid w:val="00265DBD"/>
    <w:rsid w:val="00265DE1"/>
    <w:rsid w:val="00265F0C"/>
    <w:rsid w:val="00265F7B"/>
    <w:rsid w:val="002660F3"/>
    <w:rsid w:val="0026614D"/>
    <w:rsid w:val="00266191"/>
    <w:rsid w:val="0026624D"/>
    <w:rsid w:val="00266254"/>
    <w:rsid w:val="002662F2"/>
    <w:rsid w:val="0026636B"/>
    <w:rsid w:val="002664D8"/>
    <w:rsid w:val="00266559"/>
    <w:rsid w:val="00266594"/>
    <w:rsid w:val="002665C7"/>
    <w:rsid w:val="00266613"/>
    <w:rsid w:val="00266654"/>
    <w:rsid w:val="00266684"/>
    <w:rsid w:val="002666C7"/>
    <w:rsid w:val="00266884"/>
    <w:rsid w:val="00266923"/>
    <w:rsid w:val="0026697A"/>
    <w:rsid w:val="002669AF"/>
    <w:rsid w:val="002669F6"/>
    <w:rsid w:val="002669FB"/>
    <w:rsid w:val="00266A73"/>
    <w:rsid w:val="00266A7C"/>
    <w:rsid w:val="00266B0C"/>
    <w:rsid w:val="00266B34"/>
    <w:rsid w:val="00266D54"/>
    <w:rsid w:val="00266DA2"/>
    <w:rsid w:val="00266DCA"/>
    <w:rsid w:val="00266DDA"/>
    <w:rsid w:val="00266E26"/>
    <w:rsid w:val="00266ECB"/>
    <w:rsid w:val="00266F09"/>
    <w:rsid w:val="00266F74"/>
    <w:rsid w:val="00266FE2"/>
    <w:rsid w:val="002670E8"/>
    <w:rsid w:val="002671A6"/>
    <w:rsid w:val="0026729C"/>
    <w:rsid w:val="00267333"/>
    <w:rsid w:val="00267363"/>
    <w:rsid w:val="00267429"/>
    <w:rsid w:val="0026743A"/>
    <w:rsid w:val="00267449"/>
    <w:rsid w:val="002674D1"/>
    <w:rsid w:val="002675EC"/>
    <w:rsid w:val="0026769D"/>
    <w:rsid w:val="002678E7"/>
    <w:rsid w:val="0026791C"/>
    <w:rsid w:val="0026791E"/>
    <w:rsid w:val="00267933"/>
    <w:rsid w:val="00267968"/>
    <w:rsid w:val="002679CE"/>
    <w:rsid w:val="00267A5F"/>
    <w:rsid w:val="00267ADD"/>
    <w:rsid w:val="00267B26"/>
    <w:rsid w:val="00267BE1"/>
    <w:rsid w:val="00267C2B"/>
    <w:rsid w:val="00267D4E"/>
    <w:rsid w:val="00267DA8"/>
    <w:rsid w:val="00267DE8"/>
    <w:rsid w:val="00267E24"/>
    <w:rsid w:val="00267E6F"/>
    <w:rsid w:val="00267F22"/>
    <w:rsid w:val="0027022B"/>
    <w:rsid w:val="002702F8"/>
    <w:rsid w:val="0027032E"/>
    <w:rsid w:val="0027068C"/>
    <w:rsid w:val="00270697"/>
    <w:rsid w:val="00270715"/>
    <w:rsid w:val="00270718"/>
    <w:rsid w:val="002707EF"/>
    <w:rsid w:val="002708E9"/>
    <w:rsid w:val="0027095E"/>
    <w:rsid w:val="0027097B"/>
    <w:rsid w:val="00270AA5"/>
    <w:rsid w:val="00270ABD"/>
    <w:rsid w:val="00270C15"/>
    <w:rsid w:val="00270C25"/>
    <w:rsid w:val="00270D0C"/>
    <w:rsid w:val="00270D1D"/>
    <w:rsid w:val="00270D37"/>
    <w:rsid w:val="00270D5C"/>
    <w:rsid w:val="00270F2B"/>
    <w:rsid w:val="00270FAE"/>
    <w:rsid w:val="00271087"/>
    <w:rsid w:val="002710B6"/>
    <w:rsid w:val="002710C2"/>
    <w:rsid w:val="002710C5"/>
    <w:rsid w:val="002710CE"/>
    <w:rsid w:val="0027115A"/>
    <w:rsid w:val="002711DE"/>
    <w:rsid w:val="002712B7"/>
    <w:rsid w:val="002712BD"/>
    <w:rsid w:val="0027135C"/>
    <w:rsid w:val="0027136C"/>
    <w:rsid w:val="00271386"/>
    <w:rsid w:val="002713FB"/>
    <w:rsid w:val="00271439"/>
    <w:rsid w:val="00271520"/>
    <w:rsid w:val="0027153F"/>
    <w:rsid w:val="00271573"/>
    <w:rsid w:val="002715A9"/>
    <w:rsid w:val="002715DC"/>
    <w:rsid w:val="00271615"/>
    <w:rsid w:val="00271686"/>
    <w:rsid w:val="002716C2"/>
    <w:rsid w:val="00271701"/>
    <w:rsid w:val="0027174A"/>
    <w:rsid w:val="00271957"/>
    <w:rsid w:val="002719A2"/>
    <w:rsid w:val="002719C2"/>
    <w:rsid w:val="00271AAC"/>
    <w:rsid w:val="00271AD2"/>
    <w:rsid w:val="00271B5F"/>
    <w:rsid w:val="00271B75"/>
    <w:rsid w:val="00271BAF"/>
    <w:rsid w:val="00271DC3"/>
    <w:rsid w:val="00271E06"/>
    <w:rsid w:val="00271E0C"/>
    <w:rsid w:val="00271E2D"/>
    <w:rsid w:val="00271EA1"/>
    <w:rsid w:val="00271F23"/>
    <w:rsid w:val="00272167"/>
    <w:rsid w:val="00272227"/>
    <w:rsid w:val="0027223D"/>
    <w:rsid w:val="00272293"/>
    <w:rsid w:val="002722B1"/>
    <w:rsid w:val="0027242F"/>
    <w:rsid w:val="0027245C"/>
    <w:rsid w:val="00272477"/>
    <w:rsid w:val="00272594"/>
    <w:rsid w:val="00272602"/>
    <w:rsid w:val="00272624"/>
    <w:rsid w:val="00272689"/>
    <w:rsid w:val="0027269B"/>
    <w:rsid w:val="00272823"/>
    <w:rsid w:val="002729C7"/>
    <w:rsid w:val="00272ABC"/>
    <w:rsid w:val="00272B88"/>
    <w:rsid w:val="00272B9F"/>
    <w:rsid w:val="00272BC9"/>
    <w:rsid w:val="00272C84"/>
    <w:rsid w:val="00272D91"/>
    <w:rsid w:val="00272D9F"/>
    <w:rsid w:val="00272DCF"/>
    <w:rsid w:val="00272DEA"/>
    <w:rsid w:val="00272EB2"/>
    <w:rsid w:val="00272ED2"/>
    <w:rsid w:val="00272EDD"/>
    <w:rsid w:val="00272EE6"/>
    <w:rsid w:val="00272EE9"/>
    <w:rsid w:val="00272EF4"/>
    <w:rsid w:val="00272EFB"/>
    <w:rsid w:val="0027301C"/>
    <w:rsid w:val="0027301D"/>
    <w:rsid w:val="0027303D"/>
    <w:rsid w:val="00273051"/>
    <w:rsid w:val="002730F0"/>
    <w:rsid w:val="002732E9"/>
    <w:rsid w:val="00273358"/>
    <w:rsid w:val="00273384"/>
    <w:rsid w:val="0027339A"/>
    <w:rsid w:val="002733AE"/>
    <w:rsid w:val="0027340F"/>
    <w:rsid w:val="00273608"/>
    <w:rsid w:val="0027368B"/>
    <w:rsid w:val="002736A0"/>
    <w:rsid w:val="002737C7"/>
    <w:rsid w:val="002737FC"/>
    <w:rsid w:val="00273847"/>
    <w:rsid w:val="0027386B"/>
    <w:rsid w:val="00273934"/>
    <w:rsid w:val="00273A24"/>
    <w:rsid w:val="00273AD7"/>
    <w:rsid w:val="00273AE3"/>
    <w:rsid w:val="00273B06"/>
    <w:rsid w:val="00273B2D"/>
    <w:rsid w:val="00273C5E"/>
    <w:rsid w:val="00273CC5"/>
    <w:rsid w:val="00273CD2"/>
    <w:rsid w:val="00273CE7"/>
    <w:rsid w:val="00273D95"/>
    <w:rsid w:val="00273DF7"/>
    <w:rsid w:val="00273E77"/>
    <w:rsid w:val="00273F18"/>
    <w:rsid w:val="00273FC0"/>
    <w:rsid w:val="00274192"/>
    <w:rsid w:val="00274210"/>
    <w:rsid w:val="002742F2"/>
    <w:rsid w:val="0027439D"/>
    <w:rsid w:val="002743B6"/>
    <w:rsid w:val="00274424"/>
    <w:rsid w:val="0027453F"/>
    <w:rsid w:val="00274544"/>
    <w:rsid w:val="00274554"/>
    <w:rsid w:val="00274698"/>
    <w:rsid w:val="002746B8"/>
    <w:rsid w:val="00274708"/>
    <w:rsid w:val="00274714"/>
    <w:rsid w:val="00274770"/>
    <w:rsid w:val="002747DA"/>
    <w:rsid w:val="00274835"/>
    <w:rsid w:val="00274A4A"/>
    <w:rsid w:val="00274A7C"/>
    <w:rsid w:val="00274AF7"/>
    <w:rsid w:val="00274B55"/>
    <w:rsid w:val="00274B8A"/>
    <w:rsid w:val="00274C40"/>
    <w:rsid w:val="00274C5F"/>
    <w:rsid w:val="00274D45"/>
    <w:rsid w:val="00274D46"/>
    <w:rsid w:val="00274D4B"/>
    <w:rsid w:val="00274DD0"/>
    <w:rsid w:val="00274E1D"/>
    <w:rsid w:val="00274EA7"/>
    <w:rsid w:val="00274EE3"/>
    <w:rsid w:val="00274FA5"/>
    <w:rsid w:val="0027503D"/>
    <w:rsid w:val="00275085"/>
    <w:rsid w:val="002750DD"/>
    <w:rsid w:val="002750EC"/>
    <w:rsid w:val="002750FA"/>
    <w:rsid w:val="0027514B"/>
    <w:rsid w:val="002751AE"/>
    <w:rsid w:val="00275286"/>
    <w:rsid w:val="0027529F"/>
    <w:rsid w:val="0027543A"/>
    <w:rsid w:val="0027544B"/>
    <w:rsid w:val="0027544F"/>
    <w:rsid w:val="00275464"/>
    <w:rsid w:val="00275497"/>
    <w:rsid w:val="002754CE"/>
    <w:rsid w:val="00275794"/>
    <w:rsid w:val="002757BB"/>
    <w:rsid w:val="00275838"/>
    <w:rsid w:val="00275892"/>
    <w:rsid w:val="00275981"/>
    <w:rsid w:val="00275A15"/>
    <w:rsid w:val="00275B2B"/>
    <w:rsid w:val="00275B59"/>
    <w:rsid w:val="00275B5C"/>
    <w:rsid w:val="00275B87"/>
    <w:rsid w:val="00275F3B"/>
    <w:rsid w:val="00275FB8"/>
    <w:rsid w:val="00275FBB"/>
    <w:rsid w:val="00275FF2"/>
    <w:rsid w:val="00276028"/>
    <w:rsid w:val="00276080"/>
    <w:rsid w:val="00276095"/>
    <w:rsid w:val="002760E5"/>
    <w:rsid w:val="00276108"/>
    <w:rsid w:val="00276135"/>
    <w:rsid w:val="002761A0"/>
    <w:rsid w:val="002761A2"/>
    <w:rsid w:val="002761DC"/>
    <w:rsid w:val="0027628E"/>
    <w:rsid w:val="002762F3"/>
    <w:rsid w:val="00276347"/>
    <w:rsid w:val="0027638E"/>
    <w:rsid w:val="002763BB"/>
    <w:rsid w:val="002763D3"/>
    <w:rsid w:val="002764D6"/>
    <w:rsid w:val="002765B7"/>
    <w:rsid w:val="0027667F"/>
    <w:rsid w:val="00276688"/>
    <w:rsid w:val="002766D7"/>
    <w:rsid w:val="002766FD"/>
    <w:rsid w:val="00276712"/>
    <w:rsid w:val="0027678A"/>
    <w:rsid w:val="00276902"/>
    <w:rsid w:val="00276AAD"/>
    <w:rsid w:val="00276BE4"/>
    <w:rsid w:val="00276C75"/>
    <w:rsid w:val="00276D04"/>
    <w:rsid w:val="00276D7F"/>
    <w:rsid w:val="00276DAD"/>
    <w:rsid w:val="00276DFF"/>
    <w:rsid w:val="00276ED6"/>
    <w:rsid w:val="00276F01"/>
    <w:rsid w:val="00276F74"/>
    <w:rsid w:val="0027702B"/>
    <w:rsid w:val="002771E0"/>
    <w:rsid w:val="00277205"/>
    <w:rsid w:val="00277316"/>
    <w:rsid w:val="0027732B"/>
    <w:rsid w:val="0027737E"/>
    <w:rsid w:val="002773C1"/>
    <w:rsid w:val="0027756C"/>
    <w:rsid w:val="002776F8"/>
    <w:rsid w:val="0027770C"/>
    <w:rsid w:val="0027775F"/>
    <w:rsid w:val="0027799F"/>
    <w:rsid w:val="00277A0F"/>
    <w:rsid w:val="00277AF1"/>
    <w:rsid w:val="00277B4A"/>
    <w:rsid w:val="00277BCD"/>
    <w:rsid w:val="00277C54"/>
    <w:rsid w:val="00277CC9"/>
    <w:rsid w:val="00277CDF"/>
    <w:rsid w:val="00277DC6"/>
    <w:rsid w:val="00277E6F"/>
    <w:rsid w:val="00277EE3"/>
    <w:rsid w:val="00277F32"/>
    <w:rsid w:val="0028003C"/>
    <w:rsid w:val="0028014E"/>
    <w:rsid w:val="00280197"/>
    <w:rsid w:val="002801AD"/>
    <w:rsid w:val="0028028A"/>
    <w:rsid w:val="00280312"/>
    <w:rsid w:val="00280320"/>
    <w:rsid w:val="00280352"/>
    <w:rsid w:val="00280388"/>
    <w:rsid w:val="002803D2"/>
    <w:rsid w:val="0028041F"/>
    <w:rsid w:val="00280444"/>
    <w:rsid w:val="00280498"/>
    <w:rsid w:val="002805FD"/>
    <w:rsid w:val="0028066E"/>
    <w:rsid w:val="00280821"/>
    <w:rsid w:val="002808DC"/>
    <w:rsid w:val="002809C7"/>
    <w:rsid w:val="00280BDA"/>
    <w:rsid w:val="00280CCC"/>
    <w:rsid w:val="00280CE4"/>
    <w:rsid w:val="00280D2C"/>
    <w:rsid w:val="00280DF5"/>
    <w:rsid w:val="00280DF9"/>
    <w:rsid w:val="0028118A"/>
    <w:rsid w:val="0028122A"/>
    <w:rsid w:val="0028127B"/>
    <w:rsid w:val="00281401"/>
    <w:rsid w:val="0028141B"/>
    <w:rsid w:val="0028143F"/>
    <w:rsid w:val="0028154F"/>
    <w:rsid w:val="00281619"/>
    <w:rsid w:val="00281640"/>
    <w:rsid w:val="002816FD"/>
    <w:rsid w:val="00281725"/>
    <w:rsid w:val="002817B2"/>
    <w:rsid w:val="00281851"/>
    <w:rsid w:val="00281925"/>
    <w:rsid w:val="00281940"/>
    <w:rsid w:val="00281958"/>
    <w:rsid w:val="00281A0F"/>
    <w:rsid w:val="00281A18"/>
    <w:rsid w:val="00281AE5"/>
    <w:rsid w:val="00281B64"/>
    <w:rsid w:val="00281BBB"/>
    <w:rsid w:val="00281BE3"/>
    <w:rsid w:val="00281C26"/>
    <w:rsid w:val="00281D78"/>
    <w:rsid w:val="00281D85"/>
    <w:rsid w:val="00281E61"/>
    <w:rsid w:val="00281E75"/>
    <w:rsid w:val="00281EA0"/>
    <w:rsid w:val="00281EB5"/>
    <w:rsid w:val="00281F54"/>
    <w:rsid w:val="002820EF"/>
    <w:rsid w:val="002821A6"/>
    <w:rsid w:val="00282314"/>
    <w:rsid w:val="002823D6"/>
    <w:rsid w:val="00282421"/>
    <w:rsid w:val="00282469"/>
    <w:rsid w:val="002824A6"/>
    <w:rsid w:val="002824E6"/>
    <w:rsid w:val="002825BE"/>
    <w:rsid w:val="002826D1"/>
    <w:rsid w:val="002827CC"/>
    <w:rsid w:val="00282837"/>
    <w:rsid w:val="00282866"/>
    <w:rsid w:val="00282947"/>
    <w:rsid w:val="00282A27"/>
    <w:rsid w:val="00282A4C"/>
    <w:rsid w:val="00282A84"/>
    <w:rsid w:val="00282ACE"/>
    <w:rsid w:val="00282B03"/>
    <w:rsid w:val="00282C70"/>
    <w:rsid w:val="00282CB2"/>
    <w:rsid w:val="00282DBE"/>
    <w:rsid w:val="00282DCD"/>
    <w:rsid w:val="00282DF3"/>
    <w:rsid w:val="00282F03"/>
    <w:rsid w:val="00282FAA"/>
    <w:rsid w:val="00282FCE"/>
    <w:rsid w:val="00282FEF"/>
    <w:rsid w:val="0028306C"/>
    <w:rsid w:val="00283203"/>
    <w:rsid w:val="00283291"/>
    <w:rsid w:val="00283295"/>
    <w:rsid w:val="002832B2"/>
    <w:rsid w:val="002832E9"/>
    <w:rsid w:val="00283376"/>
    <w:rsid w:val="002833BA"/>
    <w:rsid w:val="0028356D"/>
    <w:rsid w:val="0028356F"/>
    <w:rsid w:val="002835FA"/>
    <w:rsid w:val="00283666"/>
    <w:rsid w:val="002836A1"/>
    <w:rsid w:val="00283880"/>
    <w:rsid w:val="00283892"/>
    <w:rsid w:val="002838C1"/>
    <w:rsid w:val="002839CA"/>
    <w:rsid w:val="00283AC3"/>
    <w:rsid w:val="00283B00"/>
    <w:rsid w:val="00283BB4"/>
    <w:rsid w:val="00283C99"/>
    <w:rsid w:val="00283CA3"/>
    <w:rsid w:val="00283CD0"/>
    <w:rsid w:val="00283E80"/>
    <w:rsid w:val="00283EA5"/>
    <w:rsid w:val="00283EE0"/>
    <w:rsid w:val="00283FBA"/>
    <w:rsid w:val="00284012"/>
    <w:rsid w:val="00284014"/>
    <w:rsid w:val="0028408A"/>
    <w:rsid w:val="002840A8"/>
    <w:rsid w:val="00284124"/>
    <w:rsid w:val="0028413C"/>
    <w:rsid w:val="002841D1"/>
    <w:rsid w:val="002841D2"/>
    <w:rsid w:val="002841EB"/>
    <w:rsid w:val="0028428C"/>
    <w:rsid w:val="002843E2"/>
    <w:rsid w:val="002844B1"/>
    <w:rsid w:val="00284614"/>
    <w:rsid w:val="00284717"/>
    <w:rsid w:val="002847B5"/>
    <w:rsid w:val="002847C1"/>
    <w:rsid w:val="00284859"/>
    <w:rsid w:val="00284891"/>
    <w:rsid w:val="00284893"/>
    <w:rsid w:val="002848AD"/>
    <w:rsid w:val="00284A33"/>
    <w:rsid w:val="00284A4E"/>
    <w:rsid w:val="00284BA3"/>
    <w:rsid w:val="00284DFB"/>
    <w:rsid w:val="00284F17"/>
    <w:rsid w:val="00284F32"/>
    <w:rsid w:val="00284F44"/>
    <w:rsid w:val="00284FB1"/>
    <w:rsid w:val="00284FB7"/>
    <w:rsid w:val="00284FEE"/>
    <w:rsid w:val="002851C0"/>
    <w:rsid w:val="002851DE"/>
    <w:rsid w:val="002851DF"/>
    <w:rsid w:val="002852C4"/>
    <w:rsid w:val="0028555D"/>
    <w:rsid w:val="0028559D"/>
    <w:rsid w:val="00285926"/>
    <w:rsid w:val="0028593F"/>
    <w:rsid w:val="00285955"/>
    <w:rsid w:val="00285976"/>
    <w:rsid w:val="00285A73"/>
    <w:rsid w:val="00285ACD"/>
    <w:rsid w:val="00285ADA"/>
    <w:rsid w:val="00285B71"/>
    <w:rsid w:val="00285BBC"/>
    <w:rsid w:val="00285C00"/>
    <w:rsid w:val="00285C1C"/>
    <w:rsid w:val="00285DC8"/>
    <w:rsid w:val="00285F34"/>
    <w:rsid w:val="00286081"/>
    <w:rsid w:val="002860B1"/>
    <w:rsid w:val="00286462"/>
    <w:rsid w:val="00286530"/>
    <w:rsid w:val="00286565"/>
    <w:rsid w:val="00286579"/>
    <w:rsid w:val="00286673"/>
    <w:rsid w:val="0028677B"/>
    <w:rsid w:val="002867B8"/>
    <w:rsid w:val="00286857"/>
    <w:rsid w:val="00286878"/>
    <w:rsid w:val="002868DD"/>
    <w:rsid w:val="002868EB"/>
    <w:rsid w:val="00286AA8"/>
    <w:rsid w:val="00286B1B"/>
    <w:rsid w:val="00286BC0"/>
    <w:rsid w:val="00286BC8"/>
    <w:rsid w:val="00286C16"/>
    <w:rsid w:val="00286D46"/>
    <w:rsid w:val="00286D73"/>
    <w:rsid w:val="00286E33"/>
    <w:rsid w:val="00286E52"/>
    <w:rsid w:val="00286F63"/>
    <w:rsid w:val="0028714D"/>
    <w:rsid w:val="002871CC"/>
    <w:rsid w:val="0028727E"/>
    <w:rsid w:val="002873BA"/>
    <w:rsid w:val="00287410"/>
    <w:rsid w:val="0028742E"/>
    <w:rsid w:val="00287437"/>
    <w:rsid w:val="0028746B"/>
    <w:rsid w:val="002874E4"/>
    <w:rsid w:val="002874FF"/>
    <w:rsid w:val="00287501"/>
    <w:rsid w:val="00287532"/>
    <w:rsid w:val="00287548"/>
    <w:rsid w:val="00287562"/>
    <w:rsid w:val="002875D9"/>
    <w:rsid w:val="00287659"/>
    <w:rsid w:val="002876D6"/>
    <w:rsid w:val="002876EF"/>
    <w:rsid w:val="002876FF"/>
    <w:rsid w:val="0028773B"/>
    <w:rsid w:val="0028776F"/>
    <w:rsid w:val="002877A2"/>
    <w:rsid w:val="00287883"/>
    <w:rsid w:val="002878E5"/>
    <w:rsid w:val="00287A9B"/>
    <w:rsid w:val="00287AA9"/>
    <w:rsid w:val="00287B15"/>
    <w:rsid w:val="00287B93"/>
    <w:rsid w:val="00287BF0"/>
    <w:rsid w:val="00287BFB"/>
    <w:rsid w:val="00287BFC"/>
    <w:rsid w:val="00287C4C"/>
    <w:rsid w:val="00287CA4"/>
    <w:rsid w:val="00287CF6"/>
    <w:rsid w:val="00287D5E"/>
    <w:rsid w:val="00287E63"/>
    <w:rsid w:val="00287E86"/>
    <w:rsid w:val="00287E8F"/>
    <w:rsid w:val="00287EBA"/>
    <w:rsid w:val="00287EDD"/>
    <w:rsid w:val="00287F36"/>
    <w:rsid w:val="00287FE3"/>
    <w:rsid w:val="0028E9BF"/>
    <w:rsid w:val="00290024"/>
    <w:rsid w:val="00290074"/>
    <w:rsid w:val="00290088"/>
    <w:rsid w:val="00290093"/>
    <w:rsid w:val="002901C0"/>
    <w:rsid w:val="002903D4"/>
    <w:rsid w:val="00290483"/>
    <w:rsid w:val="0029051F"/>
    <w:rsid w:val="002905C6"/>
    <w:rsid w:val="002906A7"/>
    <w:rsid w:val="002906CF"/>
    <w:rsid w:val="00290732"/>
    <w:rsid w:val="00290757"/>
    <w:rsid w:val="00290817"/>
    <w:rsid w:val="00290851"/>
    <w:rsid w:val="00290872"/>
    <w:rsid w:val="00290897"/>
    <w:rsid w:val="002908C6"/>
    <w:rsid w:val="002909A1"/>
    <w:rsid w:val="00290A1C"/>
    <w:rsid w:val="00290AB1"/>
    <w:rsid w:val="00290B0F"/>
    <w:rsid w:val="00290B22"/>
    <w:rsid w:val="00290B7B"/>
    <w:rsid w:val="00290BC7"/>
    <w:rsid w:val="00290BF1"/>
    <w:rsid w:val="00290C0D"/>
    <w:rsid w:val="00290C34"/>
    <w:rsid w:val="00290C64"/>
    <w:rsid w:val="00290C6B"/>
    <w:rsid w:val="00290C8F"/>
    <w:rsid w:val="00290CB0"/>
    <w:rsid w:val="00290D66"/>
    <w:rsid w:val="00290DE4"/>
    <w:rsid w:val="00290DF8"/>
    <w:rsid w:val="00290DFD"/>
    <w:rsid w:val="00290ED5"/>
    <w:rsid w:val="00290EF4"/>
    <w:rsid w:val="00290F0B"/>
    <w:rsid w:val="00290FA1"/>
    <w:rsid w:val="002910DD"/>
    <w:rsid w:val="002910FA"/>
    <w:rsid w:val="00291136"/>
    <w:rsid w:val="002911DC"/>
    <w:rsid w:val="0029120D"/>
    <w:rsid w:val="0029127C"/>
    <w:rsid w:val="002912A8"/>
    <w:rsid w:val="002912C1"/>
    <w:rsid w:val="002912C2"/>
    <w:rsid w:val="00291407"/>
    <w:rsid w:val="002914DB"/>
    <w:rsid w:val="002915BA"/>
    <w:rsid w:val="0029162F"/>
    <w:rsid w:val="00291677"/>
    <w:rsid w:val="0029170E"/>
    <w:rsid w:val="002917D4"/>
    <w:rsid w:val="0029189F"/>
    <w:rsid w:val="002918A3"/>
    <w:rsid w:val="002918A4"/>
    <w:rsid w:val="002919C3"/>
    <w:rsid w:val="00291A19"/>
    <w:rsid w:val="00291AAE"/>
    <w:rsid w:val="00291BBA"/>
    <w:rsid w:val="00291E95"/>
    <w:rsid w:val="00291F2A"/>
    <w:rsid w:val="00291FFA"/>
    <w:rsid w:val="00292142"/>
    <w:rsid w:val="0029218B"/>
    <w:rsid w:val="002921E3"/>
    <w:rsid w:val="002921EA"/>
    <w:rsid w:val="002922FE"/>
    <w:rsid w:val="0029234A"/>
    <w:rsid w:val="00292363"/>
    <w:rsid w:val="00292465"/>
    <w:rsid w:val="002924A7"/>
    <w:rsid w:val="002924E4"/>
    <w:rsid w:val="00292517"/>
    <w:rsid w:val="00292519"/>
    <w:rsid w:val="00292679"/>
    <w:rsid w:val="00292687"/>
    <w:rsid w:val="00292768"/>
    <w:rsid w:val="002928A9"/>
    <w:rsid w:val="002928B1"/>
    <w:rsid w:val="00292B2E"/>
    <w:rsid w:val="00292BEF"/>
    <w:rsid w:val="00292C58"/>
    <w:rsid w:val="00292CA1"/>
    <w:rsid w:val="00292D2A"/>
    <w:rsid w:val="00292FE0"/>
    <w:rsid w:val="00293024"/>
    <w:rsid w:val="002930A5"/>
    <w:rsid w:val="00293228"/>
    <w:rsid w:val="00293246"/>
    <w:rsid w:val="00293285"/>
    <w:rsid w:val="002932CE"/>
    <w:rsid w:val="00293396"/>
    <w:rsid w:val="00293454"/>
    <w:rsid w:val="00293510"/>
    <w:rsid w:val="00293681"/>
    <w:rsid w:val="00293820"/>
    <w:rsid w:val="0029396F"/>
    <w:rsid w:val="00293A91"/>
    <w:rsid w:val="00293B30"/>
    <w:rsid w:val="00293B87"/>
    <w:rsid w:val="00293B92"/>
    <w:rsid w:val="00293DE4"/>
    <w:rsid w:val="00293E3B"/>
    <w:rsid w:val="0029400E"/>
    <w:rsid w:val="0029408E"/>
    <w:rsid w:val="00294098"/>
    <w:rsid w:val="00294129"/>
    <w:rsid w:val="00294151"/>
    <w:rsid w:val="00294224"/>
    <w:rsid w:val="0029423F"/>
    <w:rsid w:val="0029425A"/>
    <w:rsid w:val="0029427A"/>
    <w:rsid w:val="002942D5"/>
    <w:rsid w:val="002942DA"/>
    <w:rsid w:val="002943D3"/>
    <w:rsid w:val="00294616"/>
    <w:rsid w:val="0029463E"/>
    <w:rsid w:val="0029480F"/>
    <w:rsid w:val="002948E6"/>
    <w:rsid w:val="00294908"/>
    <w:rsid w:val="00294915"/>
    <w:rsid w:val="00294994"/>
    <w:rsid w:val="00294A38"/>
    <w:rsid w:val="00294BA0"/>
    <w:rsid w:val="00294BDC"/>
    <w:rsid w:val="00294E0B"/>
    <w:rsid w:val="00294E78"/>
    <w:rsid w:val="00294FD8"/>
    <w:rsid w:val="00295099"/>
    <w:rsid w:val="002951A3"/>
    <w:rsid w:val="00295241"/>
    <w:rsid w:val="0029524B"/>
    <w:rsid w:val="0029527F"/>
    <w:rsid w:val="002952B2"/>
    <w:rsid w:val="002952EC"/>
    <w:rsid w:val="0029531F"/>
    <w:rsid w:val="002953B2"/>
    <w:rsid w:val="00295468"/>
    <w:rsid w:val="00295473"/>
    <w:rsid w:val="002954AC"/>
    <w:rsid w:val="0029555B"/>
    <w:rsid w:val="0029559C"/>
    <w:rsid w:val="00295606"/>
    <w:rsid w:val="002957CC"/>
    <w:rsid w:val="00295806"/>
    <w:rsid w:val="00295837"/>
    <w:rsid w:val="0029589D"/>
    <w:rsid w:val="00295986"/>
    <w:rsid w:val="00295987"/>
    <w:rsid w:val="002959F3"/>
    <w:rsid w:val="00295ADE"/>
    <w:rsid w:val="00295B18"/>
    <w:rsid w:val="00295B83"/>
    <w:rsid w:val="00295BC5"/>
    <w:rsid w:val="00295C02"/>
    <w:rsid w:val="00295C41"/>
    <w:rsid w:val="00295C6F"/>
    <w:rsid w:val="00295D28"/>
    <w:rsid w:val="00295D42"/>
    <w:rsid w:val="00295E6A"/>
    <w:rsid w:val="00295EA1"/>
    <w:rsid w:val="00295EAF"/>
    <w:rsid w:val="00295EC6"/>
    <w:rsid w:val="00295ED5"/>
    <w:rsid w:val="00295F05"/>
    <w:rsid w:val="00295F44"/>
    <w:rsid w:val="002960BE"/>
    <w:rsid w:val="002960DC"/>
    <w:rsid w:val="002960FC"/>
    <w:rsid w:val="00296295"/>
    <w:rsid w:val="00296338"/>
    <w:rsid w:val="0029635B"/>
    <w:rsid w:val="002963BB"/>
    <w:rsid w:val="002964B4"/>
    <w:rsid w:val="002965D2"/>
    <w:rsid w:val="00296628"/>
    <w:rsid w:val="0029666A"/>
    <w:rsid w:val="002966C1"/>
    <w:rsid w:val="002966E7"/>
    <w:rsid w:val="002966F7"/>
    <w:rsid w:val="00296912"/>
    <w:rsid w:val="00296B55"/>
    <w:rsid w:val="00296CEF"/>
    <w:rsid w:val="00296DB9"/>
    <w:rsid w:val="00296ED6"/>
    <w:rsid w:val="00296F69"/>
    <w:rsid w:val="00297023"/>
    <w:rsid w:val="002970E4"/>
    <w:rsid w:val="002971B2"/>
    <w:rsid w:val="0029724D"/>
    <w:rsid w:val="002972D8"/>
    <w:rsid w:val="0029735E"/>
    <w:rsid w:val="0029738E"/>
    <w:rsid w:val="002973E5"/>
    <w:rsid w:val="00297455"/>
    <w:rsid w:val="00297460"/>
    <w:rsid w:val="002974A3"/>
    <w:rsid w:val="0029752E"/>
    <w:rsid w:val="0029759A"/>
    <w:rsid w:val="002975B2"/>
    <w:rsid w:val="0029765F"/>
    <w:rsid w:val="002976E5"/>
    <w:rsid w:val="00297774"/>
    <w:rsid w:val="00297803"/>
    <w:rsid w:val="002978B9"/>
    <w:rsid w:val="002978E3"/>
    <w:rsid w:val="002978E4"/>
    <w:rsid w:val="002979F6"/>
    <w:rsid w:val="00297A22"/>
    <w:rsid w:val="00297A4D"/>
    <w:rsid w:val="00297B21"/>
    <w:rsid w:val="00297BAF"/>
    <w:rsid w:val="00297CC3"/>
    <w:rsid w:val="00297CEE"/>
    <w:rsid w:val="00297D4E"/>
    <w:rsid w:val="00297D64"/>
    <w:rsid w:val="00297DC3"/>
    <w:rsid w:val="00297E8A"/>
    <w:rsid w:val="00297EFD"/>
    <w:rsid w:val="00297FA8"/>
    <w:rsid w:val="00297FAD"/>
    <w:rsid w:val="002A0108"/>
    <w:rsid w:val="002A0112"/>
    <w:rsid w:val="002A0193"/>
    <w:rsid w:val="002A01A6"/>
    <w:rsid w:val="002A030E"/>
    <w:rsid w:val="002A03C9"/>
    <w:rsid w:val="002A04D3"/>
    <w:rsid w:val="002A04FC"/>
    <w:rsid w:val="002A05CE"/>
    <w:rsid w:val="002A05FD"/>
    <w:rsid w:val="002A073B"/>
    <w:rsid w:val="002A08C5"/>
    <w:rsid w:val="002A0923"/>
    <w:rsid w:val="002A09FF"/>
    <w:rsid w:val="002A0A31"/>
    <w:rsid w:val="002A0C5F"/>
    <w:rsid w:val="002A0CE9"/>
    <w:rsid w:val="002A0D0C"/>
    <w:rsid w:val="002A0D89"/>
    <w:rsid w:val="002A0E5B"/>
    <w:rsid w:val="002A0FDA"/>
    <w:rsid w:val="002A1080"/>
    <w:rsid w:val="002A116B"/>
    <w:rsid w:val="002A11A9"/>
    <w:rsid w:val="002A145C"/>
    <w:rsid w:val="002A14EE"/>
    <w:rsid w:val="002A16BA"/>
    <w:rsid w:val="002A172D"/>
    <w:rsid w:val="002A17EF"/>
    <w:rsid w:val="002A182F"/>
    <w:rsid w:val="002A1878"/>
    <w:rsid w:val="002A194B"/>
    <w:rsid w:val="002A19ED"/>
    <w:rsid w:val="002A1A24"/>
    <w:rsid w:val="002A1AAB"/>
    <w:rsid w:val="002A1B13"/>
    <w:rsid w:val="002A1BE1"/>
    <w:rsid w:val="002A1CC4"/>
    <w:rsid w:val="002A1CE1"/>
    <w:rsid w:val="002A1D32"/>
    <w:rsid w:val="002A1DAD"/>
    <w:rsid w:val="002A1DC5"/>
    <w:rsid w:val="002A1E2A"/>
    <w:rsid w:val="002A1EAA"/>
    <w:rsid w:val="002A1EC5"/>
    <w:rsid w:val="002A1F39"/>
    <w:rsid w:val="002A2002"/>
    <w:rsid w:val="002A2052"/>
    <w:rsid w:val="002A207E"/>
    <w:rsid w:val="002A2178"/>
    <w:rsid w:val="002A224C"/>
    <w:rsid w:val="002A227B"/>
    <w:rsid w:val="002A230F"/>
    <w:rsid w:val="002A250B"/>
    <w:rsid w:val="002A2651"/>
    <w:rsid w:val="002A2691"/>
    <w:rsid w:val="002A26C4"/>
    <w:rsid w:val="002A2782"/>
    <w:rsid w:val="002A2787"/>
    <w:rsid w:val="002A2791"/>
    <w:rsid w:val="002A291F"/>
    <w:rsid w:val="002A297C"/>
    <w:rsid w:val="002A29D3"/>
    <w:rsid w:val="002A29D6"/>
    <w:rsid w:val="002A2BC5"/>
    <w:rsid w:val="002A2BC6"/>
    <w:rsid w:val="002A2C2A"/>
    <w:rsid w:val="002A2CE8"/>
    <w:rsid w:val="002A2DCE"/>
    <w:rsid w:val="002A2DDA"/>
    <w:rsid w:val="002A2E49"/>
    <w:rsid w:val="002A2E6C"/>
    <w:rsid w:val="002A2EB8"/>
    <w:rsid w:val="002A2EDF"/>
    <w:rsid w:val="002A2FD1"/>
    <w:rsid w:val="002A302A"/>
    <w:rsid w:val="002A30DF"/>
    <w:rsid w:val="002A30E5"/>
    <w:rsid w:val="002A31F8"/>
    <w:rsid w:val="002A3287"/>
    <w:rsid w:val="002A32C6"/>
    <w:rsid w:val="002A32C8"/>
    <w:rsid w:val="002A33C5"/>
    <w:rsid w:val="002A33F0"/>
    <w:rsid w:val="002A3450"/>
    <w:rsid w:val="002A34E2"/>
    <w:rsid w:val="002A3720"/>
    <w:rsid w:val="002A3729"/>
    <w:rsid w:val="002A3843"/>
    <w:rsid w:val="002A3935"/>
    <w:rsid w:val="002A3955"/>
    <w:rsid w:val="002A39B5"/>
    <w:rsid w:val="002A3ADB"/>
    <w:rsid w:val="002A3BDB"/>
    <w:rsid w:val="002A3BEA"/>
    <w:rsid w:val="002A3D4B"/>
    <w:rsid w:val="002A3E1B"/>
    <w:rsid w:val="002A3E26"/>
    <w:rsid w:val="002A3E95"/>
    <w:rsid w:val="002A408A"/>
    <w:rsid w:val="002A412C"/>
    <w:rsid w:val="002A4203"/>
    <w:rsid w:val="002A4261"/>
    <w:rsid w:val="002A427E"/>
    <w:rsid w:val="002A42CA"/>
    <w:rsid w:val="002A434E"/>
    <w:rsid w:val="002A4405"/>
    <w:rsid w:val="002A4447"/>
    <w:rsid w:val="002A4487"/>
    <w:rsid w:val="002A46D3"/>
    <w:rsid w:val="002A47A0"/>
    <w:rsid w:val="002A4866"/>
    <w:rsid w:val="002A48E0"/>
    <w:rsid w:val="002A4921"/>
    <w:rsid w:val="002A4970"/>
    <w:rsid w:val="002A49F8"/>
    <w:rsid w:val="002A4A24"/>
    <w:rsid w:val="002A4BAD"/>
    <w:rsid w:val="002A4BCB"/>
    <w:rsid w:val="002A4C35"/>
    <w:rsid w:val="002A4C40"/>
    <w:rsid w:val="002A4CB1"/>
    <w:rsid w:val="002A4D26"/>
    <w:rsid w:val="002A4D2D"/>
    <w:rsid w:val="002A4D58"/>
    <w:rsid w:val="002A4D63"/>
    <w:rsid w:val="002A4DBB"/>
    <w:rsid w:val="002A4F2A"/>
    <w:rsid w:val="002A503A"/>
    <w:rsid w:val="002A503D"/>
    <w:rsid w:val="002A50EE"/>
    <w:rsid w:val="002A5147"/>
    <w:rsid w:val="002A5259"/>
    <w:rsid w:val="002A52B0"/>
    <w:rsid w:val="002A530C"/>
    <w:rsid w:val="002A5320"/>
    <w:rsid w:val="002A5340"/>
    <w:rsid w:val="002A555A"/>
    <w:rsid w:val="002A55AC"/>
    <w:rsid w:val="002A5839"/>
    <w:rsid w:val="002A587A"/>
    <w:rsid w:val="002A5926"/>
    <w:rsid w:val="002A597A"/>
    <w:rsid w:val="002A5990"/>
    <w:rsid w:val="002A59AF"/>
    <w:rsid w:val="002A59D1"/>
    <w:rsid w:val="002A59F0"/>
    <w:rsid w:val="002A5A60"/>
    <w:rsid w:val="002A5B09"/>
    <w:rsid w:val="002A5B3B"/>
    <w:rsid w:val="002A5C7C"/>
    <w:rsid w:val="002A5C8F"/>
    <w:rsid w:val="002A5CD5"/>
    <w:rsid w:val="002A5E12"/>
    <w:rsid w:val="002A5E44"/>
    <w:rsid w:val="002A5EEB"/>
    <w:rsid w:val="002A6055"/>
    <w:rsid w:val="002A612C"/>
    <w:rsid w:val="002A6435"/>
    <w:rsid w:val="002A6472"/>
    <w:rsid w:val="002A64F4"/>
    <w:rsid w:val="002A6564"/>
    <w:rsid w:val="002A674D"/>
    <w:rsid w:val="002A6759"/>
    <w:rsid w:val="002A676F"/>
    <w:rsid w:val="002A67A2"/>
    <w:rsid w:val="002A67AC"/>
    <w:rsid w:val="002A6831"/>
    <w:rsid w:val="002A6847"/>
    <w:rsid w:val="002A6980"/>
    <w:rsid w:val="002A69BE"/>
    <w:rsid w:val="002A6B7E"/>
    <w:rsid w:val="002A6C02"/>
    <w:rsid w:val="002A6CE3"/>
    <w:rsid w:val="002A6D11"/>
    <w:rsid w:val="002A6D25"/>
    <w:rsid w:val="002A6E54"/>
    <w:rsid w:val="002A6E5E"/>
    <w:rsid w:val="002A6F0D"/>
    <w:rsid w:val="002A6F3E"/>
    <w:rsid w:val="002A6FAA"/>
    <w:rsid w:val="002A6FDA"/>
    <w:rsid w:val="002A6FE1"/>
    <w:rsid w:val="002A708A"/>
    <w:rsid w:val="002A711E"/>
    <w:rsid w:val="002A7150"/>
    <w:rsid w:val="002A71C9"/>
    <w:rsid w:val="002A7230"/>
    <w:rsid w:val="002A7272"/>
    <w:rsid w:val="002A7285"/>
    <w:rsid w:val="002A72B7"/>
    <w:rsid w:val="002A72DE"/>
    <w:rsid w:val="002A748E"/>
    <w:rsid w:val="002A75A1"/>
    <w:rsid w:val="002A76E3"/>
    <w:rsid w:val="002A774C"/>
    <w:rsid w:val="002A7795"/>
    <w:rsid w:val="002A77CA"/>
    <w:rsid w:val="002A7875"/>
    <w:rsid w:val="002A7A43"/>
    <w:rsid w:val="002A7B69"/>
    <w:rsid w:val="002A7BB4"/>
    <w:rsid w:val="002A7BBA"/>
    <w:rsid w:val="002A7C36"/>
    <w:rsid w:val="002A7F5E"/>
    <w:rsid w:val="002A7F6C"/>
    <w:rsid w:val="002B0044"/>
    <w:rsid w:val="002B0065"/>
    <w:rsid w:val="002B007E"/>
    <w:rsid w:val="002B0099"/>
    <w:rsid w:val="002B00A5"/>
    <w:rsid w:val="002B00F1"/>
    <w:rsid w:val="002B01D0"/>
    <w:rsid w:val="002B02F9"/>
    <w:rsid w:val="002B0406"/>
    <w:rsid w:val="002B06F8"/>
    <w:rsid w:val="002B0754"/>
    <w:rsid w:val="002B075F"/>
    <w:rsid w:val="002B07EF"/>
    <w:rsid w:val="002B0A95"/>
    <w:rsid w:val="002B0B48"/>
    <w:rsid w:val="002B0B97"/>
    <w:rsid w:val="002B0C03"/>
    <w:rsid w:val="002B0C0D"/>
    <w:rsid w:val="002B0CC3"/>
    <w:rsid w:val="002B0CCF"/>
    <w:rsid w:val="002B0D70"/>
    <w:rsid w:val="002B0F69"/>
    <w:rsid w:val="002B0F98"/>
    <w:rsid w:val="002B1071"/>
    <w:rsid w:val="002B10BB"/>
    <w:rsid w:val="002B1269"/>
    <w:rsid w:val="002B12A8"/>
    <w:rsid w:val="002B1386"/>
    <w:rsid w:val="002B138C"/>
    <w:rsid w:val="002B148C"/>
    <w:rsid w:val="002B1490"/>
    <w:rsid w:val="002B155C"/>
    <w:rsid w:val="002B1650"/>
    <w:rsid w:val="002B1652"/>
    <w:rsid w:val="002B172B"/>
    <w:rsid w:val="002B17E8"/>
    <w:rsid w:val="002B1827"/>
    <w:rsid w:val="002B1900"/>
    <w:rsid w:val="002B19B8"/>
    <w:rsid w:val="002B1A6C"/>
    <w:rsid w:val="002B1A84"/>
    <w:rsid w:val="002B1AA7"/>
    <w:rsid w:val="002B1AC8"/>
    <w:rsid w:val="002B1C23"/>
    <w:rsid w:val="002B1C8D"/>
    <w:rsid w:val="002B1CCE"/>
    <w:rsid w:val="002B1D90"/>
    <w:rsid w:val="002B1DF0"/>
    <w:rsid w:val="002B2106"/>
    <w:rsid w:val="002B2129"/>
    <w:rsid w:val="002B2286"/>
    <w:rsid w:val="002B246E"/>
    <w:rsid w:val="002B2645"/>
    <w:rsid w:val="002B2662"/>
    <w:rsid w:val="002B2663"/>
    <w:rsid w:val="002B26AE"/>
    <w:rsid w:val="002B26D0"/>
    <w:rsid w:val="002B2767"/>
    <w:rsid w:val="002B2868"/>
    <w:rsid w:val="002B2895"/>
    <w:rsid w:val="002B28E3"/>
    <w:rsid w:val="002B2909"/>
    <w:rsid w:val="002B294D"/>
    <w:rsid w:val="002B29A4"/>
    <w:rsid w:val="002B2C89"/>
    <w:rsid w:val="002B2CD6"/>
    <w:rsid w:val="002B2CED"/>
    <w:rsid w:val="002B2D15"/>
    <w:rsid w:val="002B2D93"/>
    <w:rsid w:val="002B2E33"/>
    <w:rsid w:val="002B3025"/>
    <w:rsid w:val="002B308B"/>
    <w:rsid w:val="002B30FF"/>
    <w:rsid w:val="002B312E"/>
    <w:rsid w:val="002B31BB"/>
    <w:rsid w:val="002B3202"/>
    <w:rsid w:val="002B32E5"/>
    <w:rsid w:val="002B330F"/>
    <w:rsid w:val="002B3328"/>
    <w:rsid w:val="002B3375"/>
    <w:rsid w:val="002B342C"/>
    <w:rsid w:val="002B3456"/>
    <w:rsid w:val="002B34F0"/>
    <w:rsid w:val="002B3571"/>
    <w:rsid w:val="002B364C"/>
    <w:rsid w:val="002B3665"/>
    <w:rsid w:val="002B37D9"/>
    <w:rsid w:val="002B381C"/>
    <w:rsid w:val="002B39F2"/>
    <w:rsid w:val="002B3A16"/>
    <w:rsid w:val="002B3AFE"/>
    <w:rsid w:val="002B3B73"/>
    <w:rsid w:val="002B3BEA"/>
    <w:rsid w:val="002B3C57"/>
    <w:rsid w:val="002B3CB9"/>
    <w:rsid w:val="002B3E22"/>
    <w:rsid w:val="002B3F9B"/>
    <w:rsid w:val="002B40C9"/>
    <w:rsid w:val="002B4166"/>
    <w:rsid w:val="002B41B8"/>
    <w:rsid w:val="002B41DA"/>
    <w:rsid w:val="002B41F7"/>
    <w:rsid w:val="002B420B"/>
    <w:rsid w:val="002B43D5"/>
    <w:rsid w:val="002B44E2"/>
    <w:rsid w:val="002B465A"/>
    <w:rsid w:val="002B4698"/>
    <w:rsid w:val="002B469B"/>
    <w:rsid w:val="002B47BF"/>
    <w:rsid w:val="002B47C1"/>
    <w:rsid w:val="002B4918"/>
    <w:rsid w:val="002B4961"/>
    <w:rsid w:val="002B4A2D"/>
    <w:rsid w:val="002B4ACA"/>
    <w:rsid w:val="002B4AEC"/>
    <w:rsid w:val="002B4B37"/>
    <w:rsid w:val="002B4BE6"/>
    <w:rsid w:val="002B4C52"/>
    <w:rsid w:val="002B4CFA"/>
    <w:rsid w:val="002B5086"/>
    <w:rsid w:val="002B50AE"/>
    <w:rsid w:val="002B5130"/>
    <w:rsid w:val="002B5148"/>
    <w:rsid w:val="002B516F"/>
    <w:rsid w:val="002B5176"/>
    <w:rsid w:val="002B525E"/>
    <w:rsid w:val="002B53DB"/>
    <w:rsid w:val="002B544C"/>
    <w:rsid w:val="002B54E4"/>
    <w:rsid w:val="002B553B"/>
    <w:rsid w:val="002B5677"/>
    <w:rsid w:val="002B56A5"/>
    <w:rsid w:val="002B574B"/>
    <w:rsid w:val="002B5759"/>
    <w:rsid w:val="002B5763"/>
    <w:rsid w:val="002B5791"/>
    <w:rsid w:val="002B5844"/>
    <w:rsid w:val="002B5847"/>
    <w:rsid w:val="002B585B"/>
    <w:rsid w:val="002B585E"/>
    <w:rsid w:val="002B592E"/>
    <w:rsid w:val="002B5984"/>
    <w:rsid w:val="002B5A39"/>
    <w:rsid w:val="002B5A55"/>
    <w:rsid w:val="002B5A56"/>
    <w:rsid w:val="002B5B2A"/>
    <w:rsid w:val="002B5B3E"/>
    <w:rsid w:val="002B5CC0"/>
    <w:rsid w:val="002B5CDB"/>
    <w:rsid w:val="002B5D35"/>
    <w:rsid w:val="002B5DDB"/>
    <w:rsid w:val="002B5EB1"/>
    <w:rsid w:val="002B5EC4"/>
    <w:rsid w:val="002B5ED8"/>
    <w:rsid w:val="002B5F1D"/>
    <w:rsid w:val="002B5F6A"/>
    <w:rsid w:val="002B5F87"/>
    <w:rsid w:val="002B5FDC"/>
    <w:rsid w:val="002B6185"/>
    <w:rsid w:val="002B6190"/>
    <w:rsid w:val="002B6267"/>
    <w:rsid w:val="002B6443"/>
    <w:rsid w:val="002B653B"/>
    <w:rsid w:val="002B6547"/>
    <w:rsid w:val="002B65DF"/>
    <w:rsid w:val="002B6606"/>
    <w:rsid w:val="002B6706"/>
    <w:rsid w:val="002B6714"/>
    <w:rsid w:val="002B6779"/>
    <w:rsid w:val="002B6780"/>
    <w:rsid w:val="002B67AB"/>
    <w:rsid w:val="002B6A2F"/>
    <w:rsid w:val="002B6B35"/>
    <w:rsid w:val="002B6BE3"/>
    <w:rsid w:val="002B6C46"/>
    <w:rsid w:val="002B6C5C"/>
    <w:rsid w:val="002B6CC2"/>
    <w:rsid w:val="002B6DBA"/>
    <w:rsid w:val="002B6E9F"/>
    <w:rsid w:val="002B6F9D"/>
    <w:rsid w:val="002B707C"/>
    <w:rsid w:val="002B7169"/>
    <w:rsid w:val="002B723B"/>
    <w:rsid w:val="002B72F0"/>
    <w:rsid w:val="002B747C"/>
    <w:rsid w:val="002B74FD"/>
    <w:rsid w:val="002B7577"/>
    <w:rsid w:val="002B75C2"/>
    <w:rsid w:val="002B7619"/>
    <w:rsid w:val="002B7636"/>
    <w:rsid w:val="002B763C"/>
    <w:rsid w:val="002B76B8"/>
    <w:rsid w:val="002B76FE"/>
    <w:rsid w:val="002B777D"/>
    <w:rsid w:val="002B788B"/>
    <w:rsid w:val="002B798F"/>
    <w:rsid w:val="002B7B28"/>
    <w:rsid w:val="002B7B4B"/>
    <w:rsid w:val="002B7BA2"/>
    <w:rsid w:val="002B7BAA"/>
    <w:rsid w:val="002B7BBB"/>
    <w:rsid w:val="002B7CD3"/>
    <w:rsid w:val="002B7D18"/>
    <w:rsid w:val="002B7D1A"/>
    <w:rsid w:val="002B7E90"/>
    <w:rsid w:val="002B7EF9"/>
    <w:rsid w:val="002B7F71"/>
    <w:rsid w:val="002B7F82"/>
    <w:rsid w:val="002C0060"/>
    <w:rsid w:val="002C008C"/>
    <w:rsid w:val="002C00D7"/>
    <w:rsid w:val="002C01D6"/>
    <w:rsid w:val="002C03BF"/>
    <w:rsid w:val="002C0461"/>
    <w:rsid w:val="002C05AC"/>
    <w:rsid w:val="002C0627"/>
    <w:rsid w:val="002C065A"/>
    <w:rsid w:val="002C07C2"/>
    <w:rsid w:val="002C081D"/>
    <w:rsid w:val="002C0832"/>
    <w:rsid w:val="002C08A8"/>
    <w:rsid w:val="002C0993"/>
    <w:rsid w:val="002C09F8"/>
    <w:rsid w:val="002C0B12"/>
    <w:rsid w:val="002C0BC7"/>
    <w:rsid w:val="002C0C1C"/>
    <w:rsid w:val="002C0C6C"/>
    <w:rsid w:val="002C0D55"/>
    <w:rsid w:val="002C0DA5"/>
    <w:rsid w:val="002C0E87"/>
    <w:rsid w:val="002C0FFA"/>
    <w:rsid w:val="002C1184"/>
    <w:rsid w:val="002C1196"/>
    <w:rsid w:val="002C12D7"/>
    <w:rsid w:val="002C12DB"/>
    <w:rsid w:val="002C1319"/>
    <w:rsid w:val="002C138F"/>
    <w:rsid w:val="002C1444"/>
    <w:rsid w:val="002C1445"/>
    <w:rsid w:val="002C144F"/>
    <w:rsid w:val="002C17F4"/>
    <w:rsid w:val="002C1852"/>
    <w:rsid w:val="002C1894"/>
    <w:rsid w:val="002C18D3"/>
    <w:rsid w:val="002C1AD3"/>
    <w:rsid w:val="002C1AFA"/>
    <w:rsid w:val="002C1B69"/>
    <w:rsid w:val="002C1CB3"/>
    <w:rsid w:val="002C1DC2"/>
    <w:rsid w:val="002C1DC9"/>
    <w:rsid w:val="002C1E06"/>
    <w:rsid w:val="002C1EAC"/>
    <w:rsid w:val="002C1F1E"/>
    <w:rsid w:val="002C1F6B"/>
    <w:rsid w:val="002C1F96"/>
    <w:rsid w:val="002C2071"/>
    <w:rsid w:val="002C20FC"/>
    <w:rsid w:val="002C20FF"/>
    <w:rsid w:val="002C21C5"/>
    <w:rsid w:val="002C21CD"/>
    <w:rsid w:val="002C2200"/>
    <w:rsid w:val="002C22EA"/>
    <w:rsid w:val="002C22FB"/>
    <w:rsid w:val="002C2401"/>
    <w:rsid w:val="002C24B8"/>
    <w:rsid w:val="002C24D5"/>
    <w:rsid w:val="002C2533"/>
    <w:rsid w:val="002C2545"/>
    <w:rsid w:val="002C25F3"/>
    <w:rsid w:val="002C26A0"/>
    <w:rsid w:val="002C274B"/>
    <w:rsid w:val="002C289E"/>
    <w:rsid w:val="002C291F"/>
    <w:rsid w:val="002C2A1D"/>
    <w:rsid w:val="002C2A31"/>
    <w:rsid w:val="002C2A77"/>
    <w:rsid w:val="002C2AAA"/>
    <w:rsid w:val="002C2ABA"/>
    <w:rsid w:val="002C2B81"/>
    <w:rsid w:val="002C2D11"/>
    <w:rsid w:val="002C2DCA"/>
    <w:rsid w:val="002C2E13"/>
    <w:rsid w:val="002C2EDC"/>
    <w:rsid w:val="002C2EE8"/>
    <w:rsid w:val="002C3095"/>
    <w:rsid w:val="002C309E"/>
    <w:rsid w:val="002C30C8"/>
    <w:rsid w:val="002C30E1"/>
    <w:rsid w:val="002C3117"/>
    <w:rsid w:val="002C3132"/>
    <w:rsid w:val="002C319D"/>
    <w:rsid w:val="002C319F"/>
    <w:rsid w:val="002C31C4"/>
    <w:rsid w:val="002C31CB"/>
    <w:rsid w:val="002C32AF"/>
    <w:rsid w:val="002C3483"/>
    <w:rsid w:val="002C34CB"/>
    <w:rsid w:val="002C34DC"/>
    <w:rsid w:val="002C34F0"/>
    <w:rsid w:val="002C35F8"/>
    <w:rsid w:val="002C36BA"/>
    <w:rsid w:val="002C3771"/>
    <w:rsid w:val="002C37A6"/>
    <w:rsid w:val="002C383C"/>
    <w:rsid w:val="002C39A7"/>
    <w:rsid w:val="002C39B5"/>
    <w:rsid w:val="002C39DC"/>
    <w:rsid w:val="002C3A0A"/>
    <w:rsid w:val="002C3A6E"/>
    <w:rsid w:val="002C3ABA"/>
    <w:rsid w:val="002C3B93"/>
    <w:rsid w:val="002C3CE2"/>
    <w:rsid w:val="002C3D6A"/>
    <w:rsid w:val="002C3E40"/>
    <w:rsid w:val="002C3E97"/>
    <w:rsid w:val="002C3F53"/>
    <w:rsid w:val="002C4093"/>
    <w:rsid w:val="002C40C4"/>
    <w:rsid w:val="002C4131"/>
    <w:rsid w:val="002C4184"/>
    <w:rsid w:val="002C418A"/>
    <w:rsid w:val="002C4239"/>
    <w:rsid w:val="002C4266"/>
    <w:rsid w:val="002C4305"/>
    <w:rsid w:val="002C43E0"/>
    <w:rsid w:val="002C43EA"/>
    <w:rsid w:val="002C447B"/>
    <w:rsid w:val="002C4503"/>
    <w:rsid w:val="002C4534"/>
    <w:rsid w:val="002C4575"/>
    <w:rsid w:val="002C4582"/>
    <w:rsid w:val="002C45B6"/>
    <w:rsid w:val="002C46DE"/>
    <w:rsid w:val="002C4796"/>
    <w:rsid w:val="002C4869"/>
    <w:rsid w:val="002C4886"/>
    <w:rsid w:val="002C48A8"/>
    <w:rsid w:val="002C49B0"/>
    <w:rsid w:val="002C49D3"/>
    <w:rsid w:val="002C4A20"/>
    <w:rsid w:val="002C4BE6"/>
    <w:rsid w:val="002C4C54"/>
    <w:rsid w:val="002C4D38"/>
    <w:rsid w:val="002C4D45"/>
    <w:rsid w:val="002C4D94"/>
    <w:rsid w:val="002C4DA8"/>
    <w:rsid w:val="002C4DFE"/>
    <w:rsid w:val="002C4ECD"/>
    <w:rsid w:val="002C4F0D"/>
    <w:rsid w:val="002C4F3C"/>
    <w:rsid w:val="002C4F63"/>
    <w:rsid w:val="002C4FC3"/>
    <w:rsid w:val="002C5095"/>
    <w:rsid w:val="002C526B"/>
    <w:rsid w:val="002C5385"/>
    <w:rsid w:val="002C5499"/>
    <w:rsid w:val="002C553F"/>
    <w:rsid w:val="002C5543"/>
    <w:rsid w:val="002C5575"/>
    <w:rsid w:val="002C55C4"/>
    <w:rsid w:val="002C57F7"/>
    <w:rsid w:val="002C583E"/>
    <w:rsid w:val="002C58FE"/>
    <w:rsid w:val="002C596A"/>
    <w:rsid w:val="002C5AC9"/>
    <w:rsid w:val="002C5BA3"/>
    <w:rsid w:val="002C5C38"/>
    <w:rsid w:val="002C5DBD"/>
    <w:rsid w:val="002C5E76"/>
    <w:rsid w:val="002C6061"/>
    <w:rsid w:val="002C625B"/>
    <w:rsid w:val="002C636E"/>
    <w:rsid w:val="002C645A"/>
    <w:rsid w:val="002C64DA"/>
    <w:rsid w:val="002C650D"/>
    <w:rsid w:val="002C652C"/>
    <w:rsid w:val="002C65FC"/>
    <w:rsid w:val="002C6714"/>
    <w:rsid w:val="002C6866"/>
    <w:rsid w:val="002C689C"/>
    <w:rsid w:val="002C68F8"/>
    <w:rsid w:val="002C6A07"/>
    <w:rsid w:val="002C6B35"/>
    <w:rsid w:val="002C6B8C"/>
    <w:rsid w:val="002C6BA8"/>
    <w:rsid w:val="002C6C5D"/>
    <w:rsid w:val="002C6C63"/>
    <w:rsid w:val="002C6C89"/>
    <w:rsid w:val="002C6D2E"/>
    <w:rsid w:val="002C6E3F"/>
    <w:rsid w:val="002C6E42"/>
    <w:rsid w:val="002C6E5E"/>
    <w:rsid w:val="002C6E6A"/>
    <w:rsid w:val="002C6E6B"/>
    <w:rsid w:val="002C6EE0"/>
    <w:rsid w:val="002C7035"/>
    <w:rsid w:val="002C7079"/>
    <w:rsid w:val="002C70B3"/>
    <w:rsid w:val="002C70DA"/>
    <w:rsid w:val="002C70F5"/>
    <w:rsid w:val="002C7104"/>
    <w:rsid w:val="002C71A1"/>
    <w:rsid w:val="002C71C2"/>
    <w:rsid w:val="002C7234"/>
    <w:rsid w:val="002C737E"/>
    <w:rsid w:val="002C7415"/>
    <w:rsid w:val="002C742E"/>
    <w:rsid w:val="002C74BC"/>
    <w:rsid w:val="002C74C5"/>
    <w:rsid w:val="002C75B0"/>
    <w:rsid w:val="002C7604"/>
    <w:rsid w:val="002C7675"/>
    <w:rsid w:val="002C767F"/>
    <w:rsid w:val="002C76A8"/>
    <w:rsid w:val="002C77EF"/>
    <w:rsid w:val="002C7856"/>
    <w:rsid w:val="002C78FC"/>
    <w:rsid w:val="002C7973"/>
    <w:rsid w:val="002C7A2A"/>
    <w:rsid w:val="002C7A4A"/>
    <w:rsid w:val="002C7AE2"/>
    <w:rsid w:val="002C7B23"/>
    <w:rsid w:val="002C7B28"/>
    <w:rsid w:val="002C7B5C"/>
    <w:rsid w:val="002C7BA7"/>
    <w:rsid w:val="002C7C62"/>
    <w:rsid w:val="002C7CA4"/>
    <w:rsid w:val="002C7CC8"/>
    <w:rsid w:val="002C7D0F"/>
    <w:rsid w:val="002C7E06"/>
    <w:rsid w:val="002C7E51"/>
    <w:rsid w:val="002C7E92"/>
    <w:rsid w:val="002C7F56"/>
    <w:rsid w:val="002C7FCC"/>
    <w:rsid w:val="002D00D1"/>
    <w:rsid w:val="002D019C"/>
    <w:rsid w:val="002D023C"/>
    <w:rsid w:val="002D02F5"/>
    <w:rsid w:val="002D033E"/>
    <w:rsid w:val="002D0404"/>
    <w:rsid w:val="002D04DF"/>
    <w:rsid w:val="002D04EF"/>
    <w:rsid w:val="002D050F"/>
    <w:rsid w:val="002D0658"/>
    <w:rsid w:val="002D066B"/>
    <w:rsid w:val="002D067D"/>
    <w:rsid w:val="002D0734"/>
    <w:rsid w:val="002D0752"/>
    <w:rsid w:val="002D0828"/>
    <w:rsid w:val="002D08C3"/>
    <w:rsid w:val="002D0A9C"/>
    <w:rsid w:val="002D0C89"/>
    <w:rsid w:val="002D0D6A"/>
    <w:rsid w:val="002D0DA2"/>
    <w:rsid w:val="002D0DBD"/>
    <w:rsid w:val="002D0EA8"/>
    <w:rsid w:val="002D0F0C"/>
    <w:rsid w:val="002D102A"/>
    <w:rsid w:val="002D114D"/>
    <w:rsid w:val="002D128E"/>
    <w:rsid w:val="002D13B0"/>
    <w:rsid w:val="002D1446"/>
    <w:rsid w:val="002D14F7"/>
    <w:rsid w:val="002D153D"/>
    <w:rsid w:val="002D155E"/>
    <w:rsid w:val="002D159A"/>
    <w:rsid w:val="002D165D"/>
    <w:rsid w:val="002D17F5"/>
    <w:rsid w:val="002D18FC"/>
    <w:rsid w:val="002D1954"/>
    <w:rsid w:val="002D19C3"/>
    <w:rsid w:val="002D1B32"/>
    <w:rsid w:val="002D1B4B"/>
    <w:rsid w:val="002D1BE0"/>
    <w:rsid w:val="002D1CCB"/>
    <w:rsid w:val="002D1D20"/>
    <w:rsid w:val="002D1D65"/>
    <w:rsid w:val="002D1DCF"/>
    <w:rsid w:val="002D1F7E"/>
    <w:rsid w:val="002D2084"/>
    <w:rsid w:val="002D2093"/>
    <w:rsid w:val="002D209C"/>
    <w:rsid w:val="002D2150"/>
    <w:rsid w:val="002D2180"/>
    <w:rsid w:val="002D22B9"/>
    <w:rsid w:val="002D22FD"/>
    <w:rsid w:val="002D23D0"/>
    <w:rsid w:val="002D25F8"/>
    <w:rsid w:val="002D262A"/>
    <w:rsid w:val="002D2653"/>
    <w:rsid w:val="002D265E"/>
    <w:rsid w:val="002D2670"/>
    <w:rsid w:val="002D287B"/>
    <w:rsid w:val="002D28DF"/>
    <w:rsid w:val="002D29C2"/>
    <w:rsid w:val="002D29D2"/>
    <w:rsid w:val="002D2BAB"/>
    <w:rsid w:val="002D2C01"/>
    <w:rsid w:val="002D2C79"/>
    <w:rsid w:val="002D2CE2"/>
    <w:rsid w:val="002D2D58"/>
    <w:rsid w:val="002D2DA2"/>
    <w:rsid w:val="002D2DC6"/>
    <w:rsid w:val="002D2DFB"/>
    <w:rsid w:val="002D2EE0"/>
    <w:rsid w:val="002D2EE3"/>
    <w:rsid w:val="002D2EE4"/>
    <w:rsid w:val="002D2F9C"/>
    <w:rsid w:val="002D2FC4"/>
    <w:rsid w:val="002D2FC9"/>
    <w:rsid w:val="002D2FCF"/>
    <w:rsid w:val="002D3121"/>
    <w:rsid w:val="002D31E0"/>
    <w:rsid w:val="002D32BA"/>
    <w:rsid w:val="002D33FC"/>
    <w:rsid w:val="002D3423"/>
    <w:rsid w:val="002D34E6"/>
    <w:rsid w:val="002D3691"/>
    <w:rsid w:val="002D369A"/>
    <w:rsid w:val="002D3724"/>
    <w:rsid w:val="002D3801"/>
    <w:rsid w:val="002D3814"/>
    <w:rsid w:val="002D3892"/>
    <w:rsid w:val="002D3A48"/>
    <w:rsid w:val="002D3A70"/>
    <w:rsid w:val="002D3A96"/>
    <w:rsid w:val="002D3C0D"/>
    <w:rsid w:val="002D3C16"/>
    <w:rsid w:val="002D3D0F"/>
    <w:rsid w:val="002D3D4D"/>
    <w:rsid w:val="002D3D7C"/>
    <w:rsid w:val="002D3E17"/>
    <w:rsid w:val="002D3E3D"/>
    <w:rsid w:val="002D3E68"/>
    <w:rsid w:val="002D3E7B"/>
    <w:rsid w:val="002D3EAD"/>
    <w:rsid w:val="002D3EC8"/>
    <w:rsid w:val="002D3F81"/>
    <w:rsid w:val="002D40E6"/>
    <w:rsid w:val="002D414B"/>
    <w:rsid w:val="002D4158"/>
    <w:rsid w:val="002D416F"/>
    <w:rsid w:val="002D4393"/>
    <w:rsid w:val="002D446D"/>
    <w:rsid w:val="002D44E8"/>
    <w:rsid w:val="002D452B"/>
    <w:rsid w:val="002D4554"/>
    <w:rsid w:val="002D45EF"/>
    <w:rsid w:val="002D4661"/>
    <w:rsid w:val="002D48B6"/>
    <w:rsid w:val="002D4996"/>
    <w:rsid w:val="002D49A3"/>
    <w:rsid w:val="002D4B0E"/>
    <w:rsid w:val="002D4DDC"/>
    <w:rsid w:val="002D4E80"/>
    <w:rsid w:val="002D4F63"/>
    <w:rsid w:val="002D4F78"/>
    <w:rsid w:val="002D5078"/>
    <w:rsid w:val="002D5096"/>
    <w:rsid w:val="002D516D"/>
    <w:rsid w:val="002D526E"/>
    <w:rsid w:val="002D5458"/>
    <w:rsid w:val="002D546E"/>
    <w:rsid w:val="002D5528"/>
    <w:rsid w:val="002D5561"/>
    <w:rsid w:val="002D556B"/>
    <w:rsid w:val="002D55E6"/>
    <w:rsid w:val="002D5675"/>
    <w:rsid w:val="002D5695"/>
    <w:rsid w:val="002D56B4"/>
    <w:rsid w:val="002D5772"/>
    <w:rsid w:val="002D578B"/>
    <w:rsid w:val="002D57C0"/>
    <w:rsid w:val="002D57C8"/>
    <w:rsid w:val="002D58B6"/>
    <w:rsid w:val="002D58E5"/>
    <w:rsid w:val="002D591D"/>
    <w:rsid w:val="002D5944"/>
    <w:rsid w:val="002D5B19"/>
    <w:rsid w:val="002D5C7C"/>
    <w:rsid w:val="002D5CAD"/>
    <w:rsid w:val="002D5D27"/>
    <w:rsid w:val="002D5DDE"/>
    <w:rsid w:val="002D5E3D"/>
    <w:rsid w:val="002D5E75"/>
    <w:rsid w:val="002D5E96"/>
    <w:rsid w:val="002D61A7"/>
    <w:rsid w:val="002D61C4"/>
    <w:rsid w:val="002D61C5"/>
    <w:rsid w:val="002D61E8"/>
    <w:rsid w:val="002D623B"/>
    <w:rsid w:val="002D632A"/>
    <w:rsid w:val="002D6348"/>
    <w:rsid w:val="002D6364"/>
    <w:rsid w:val="002D6410"/>
    <w:rsid w:val="002D64AC"/>
    <w:rsid w:val="002D65BE"/>
    <w:rsid w:val="002D65C1"/>
    <w:rsid w:val="002D6640"/>
    <w:rsid w:val="002D6654"/>
    <w:rsid w:val="002D665F"/>
    <w:rsid w:val="002D6798"/>
    <w:rsid w:val="002D67B7"/>
    <w:rsid w:val="002D680B"/>
    <w:rsid w:val="002D68AB"/>
    <w:rsid w:val="002D68E9"/>
    <w:rsid w:val="002D69B2"/>
    <w:rsid w:val="002D69E1"/>
    <w:rsid w:val="002D6A22"/>
    <w:rsid w:val="002D6A7D"/>
    <w:rsid w:val="002D6B32"/>
    <w:rsid w:val="002D6B54"/>
    <w:rsid w:val="002D6B99"/>
    <w:rsid w:val="002D6B9F"/>
    <w:rsid w:val="002D6BBA"/>
    <w:rsid w:val="002D6BE6"/>
    <w:rsid w:val="002D6BF4"/>
    <w:rsid w:val="002D6D9B"/>
    <w:rsid w:val="002D6DA0"/>
    <w:rsid w:val="002D6DA1"/>
    <w:rsid w:val="002D6DBB"/>
    <w:rsid w:val="002D6DC7"/>
    <w:rsid w:val="002D6ED7"/>
    <w:rsid w:val="002D6F7E"/>
    <w:rsid w:val="002D70AB"/>
    <w:rsid w:val="002D7117"/>
    <w:rsid w:val="002D7129"/>
    <w:rsid w:val="002D71B4"/>
    <w:rsid w:val="002D71E3"/>
    <w:rsid w:val="002D7272"/>
    <w:rsid w:val="002D72C1"/>
    <w:rsid w:val="002D72CA"/>
    <w:rsid w:val="002D72EB"/>
    <w:rsid w:val="002D747F"/>
    <w:rsid w:val="002D74A0"/>
    <w:rsid w:val="002D74BB"/>
    <w:rsid w:val="002D7520"/>
    <w:rsid w:val="002D764C"/>
    <w:rsid w:val="002D76F6"/>
    <w:rsid w:val="002D7735"/>
    <w:rsid w:val="002D7A32"/>
    <w:rsid w:val="002D7CED"/>
    <w:rsid w:val="002D7D06"/>
    <w:rsid w:val="002D7D5A"/>
    <w:rsid w:val="002D7E18"/>
    <w:rsid w:val="002D7E53"/>
    <w:rsid w:val="002D7E5C"/>
    <w:rsid w:val="002D7E61"/>
    <w:rsid w:val="002D7FBD"/>
    <w:rsid w:val="002D7FE2"/>
    <w:rsid w:val="002E0091"/>
    <w:rsid w:val="002E00C3"/>
    <w:rsid w:val="002E0264"/>
    <w:rsid w:val="002E029B"/>
    <w:rsid w:val="002E02ED"/>
    <w:rsid w:val="002E031E"/>
    <w:rsid w:val="002E0346"/>
    <w:rsid w:val="002E036E"/>
    <w:rsid w:val="002E0492"/>
    <w:rsid w:val="002E05A5"/>
    <w:rsid w:val="002E05C1"/>
    <w:rsid w:val="002E0631"/>
    <w:rsid w:val="002E06FD"/>
    <w:rsid w:val="002E07AB"/>
    <w:rsid w:val="002E0806"/>
    <w:rsid w:val="002E0858"/>
    <w:rsid w:val="002E0899"/>
    <w:rsid w:val="002E0937"/>
    <w:rsid w:val="002E0946"/>
    <w:rsid w:val="002E0B6B"/>
    <w:rsid w:val="002E0BFB"/>
    <w:rsid w:val="002E0C20"/>
    <w:rsid w:val="002E0C54"/>
    <w:rsid w:val="002E0C91"/>
    <w:rsid w:val="002E0E10"/>
    <w:rsid w:val="002E0E6A"/>
    <w:rsid w:val="002E0E73"/>
    <w:rsid w:val="002E0EA9"/>
    <w:rsid w:val="002E0EF4"/>
    <w:rsid w:val="002E0FAE"/>
    <w:rsid w:val="002E0FF3"/>
    <w:rsid w:val="002E1071"/>
    <w:rsid w:val="002E11DD"/>
    <w:rsid w:val="002E122D"/>
    <w:rsid w:val="002E1289"/>
    <w:rsid w:val="002E12CC"/>
    <w:rsid w:val="002E1400"/>
    <w:rsid w:val="002E14BC"/>
    <w:rsid w:val="002E14F0"/>
    <w:rsid w:val="002E14FB"/>
    <w:rsid w:val="002E162F"/>
    <w:rsid w:val="002E16B9"/>
    <w:rsid w:val="002E16BA"/>
    <w:rsid w:val="002E16CA"/>
    <w:rsid w:val="002E1724"/>
    <w:rsid w:val="002E17EB"/>
    <w:rsid w:val="002E1868"/>
    <w:rsid w:val="002E18E4"/>
    <w:rsid w:val="002E1940"/>
    <w:rsid w:val="002E1956"/>
    <w:rsid w:val="002E199A"/>
    <w:rsid w:val="002E1C01"/>
    <w:rsid w:val="002E1C34"/>
    <w:rsid w:val="002E1D25"/>
    <w:rsid w:val="002E1E15"/>
    <w:rsid w:val="002E1ED7"/>
    <w:rsid w:val="002E1EE6"/>
    <w:rsid w:val="002E1F01"/>
    <w:rsid w:val="002E1F2B"/>
    <w:rsid w:val="002E1FA5"/>
    <w:rsid w:val="002E1FD4"/>
    <w:rsid w:val="002E1FE7"/>
    <w:rsid w:val="002E2043"/>
    <w:rsid w:val="002E20EB"/>
    <w:rsid w:val="002E2179"/>
    <w:rsid w:val="002E2202"/>
    <w:rsid w:val="002E22DB"/>
    <w:rsid w:val="002E2347"/>
    <w:rsid w:val="002E23F0"/>
    <w:rsid w:val="002E23F6"/>
    <w:rsid w:val="002E24BE"/>
    <w:rsid w:val="002E24D7"/>
    <w:rsid w:val="002E2648"/>
    <w:rsid w:val="002E26CD"/>
    <w:rsid w:val="002E2733"/>
    <w:rsid w:val="002E286F"/>
    <w:rsid w:val="002E28EB"/>
    <w:rsid w:val="002E29A0"/>
    <w:rsid w:val="002E2A66"/>
    <w:rsid w:val="002E2A99"/>
    <w:rsid w:val="002E2B07"/>
    <w:rsid w:val="002E2B12"/>
    <w:rsid w:val="002E2F18"/>
    <w:rsid w:val="002E2F70"/>
    <w:rsid w:val="002E2FA3"/>
    <w:rsid w:val="002E3086"/>
    <w:rsid w:val="002E313B"/>
    <w:rsid w:val="002E316E"/>
    <w:rsid w:val="002E31E6"/>
    <w:rsid w:val="002E329D"/>
    <w:rsid w:val="002E3376"/>
    <w:rsid w:val="002E3408"/>
    <w:rsid w:val="002E34A0"/>
    <w:rsid w:val="002E3637"/>
    <w:rsid w:val="002E3830"/>
    <w:rsid w:val="002E38DE"/>
    <w:rsid w:val="002E38F0"/>
    <w:rsid w:val="002E3AF1"/>
    <w:rsid w:val="002E3B60"/>
    <w:rsid w:val="002E3B92"/>
    <w:rsid w:val="002E3BE7"/>
    <w:rsid w:val="002E3C74"/>
    <w:rsid w:val="002E3C95"/>
    <w:rsid w:val="002E3E5D"/>
    <w:rsid w:val="002E3F39"/>
    <w:rsid w:val="002E3FD2"/>
    <w:rsid w:val="002E3FD4"/>
    <w:rsid w:val="002E4029"/>
    <w:rsid w:val="002E40DF"/>
    <w:rsid w:val="002E41BD"/>
    <w:rsid w:val="002E41D7"/>
    <w:rsid w:val="002E4258"/>
    <w:rsid w:val="002E43EC"/>
    <w:rsid w:val="002E441A"/>
    <w:rsid w:val="002E449D"/>
    <w:rsid w:val="002E44B9"/>
    <w:rsid w:val="002E44C9"/>
    <w:rsid w:val="002E4592"/>
    <w:rsid w:val="002E463F"/>
    <w:rsid w:val="002E46A3"/>
    <w:rsid w:val="002E46A9"/>
    <w:rsid w:val="002E474D"/>
    <w:rsid w:val="002E4804"/>
    <w:rsid w:val="002E48D3"/>
    <w:rsid w:val="002E490B"/>
    <w:rsid w:val="002E494A"/>
    <w:rsid w:val="002E49CD"/>
    <w:rsid w:val="002E4A94"/>
    <w:rsid w:val="002E4AA7"/>
    <w:rsid w:val="002E4ABE"/>
    <w:rsid w:val="002E4AC5"/>
    <w:rsid w:val="002E4AD9"/>
    <w:rsid w:val="002E4ADA"/>
    <w:rsid w:val="002E4AF1"/>
    <w:rsid w:val="002E4B30"/>
    <w:rsid w:val="002E4BE5"/>
    <w:rsid w:val="002E4C36"/>
    <w:rsid w:val="002E4CC5"/>
    <w:rsid w:val="002E4D09"/>
    <w:rsid w:val="002E4D16"/>
    <w:rsid w:val="002E5016"/>
    <w:rsid w:val="002E5040"/>
    <w:rsid w:val="002E50D5"/>
    <w:rsid w:val="002E50F3"/>
    <w:rsid w:val="002E50F4"/>
    <w:rsid w:val="002E51E9"/>
    <w:rsid w:val="002E5229"/>
    <w:rsid w:val="002E5264"/>
    <w:rsid w:val="002E52E5"/>
    <w:rsid w:val="002E53E4"/>
    <w:rsid w:val="002E5429"/>
    <w:rsid w:val="002E550A"/>
    <w:rsid w:val="002E564D"/>
    <w:rsid w:val="002E566B"/>
    <w:rsid w:val="002E566E"/>
    <w:rsid w:val="002E5750"/>
    <w:rsid w:val="002E58D8"/>
    <w:rsid w:val="002E59C8"/>
    <w:rsid w:val="002E5A06"/>
    <w:rsid w:val="002E5A36"/>
    <w:rsid w:val="002E5A4F"/>
    <w:rsid w:val="002E5A55"/>
    <w:rsid w:val="002E5A60"/>
    <w:rsid w:val="002E5A70"/>
    <w:rsid w:val="002E5AFA"/>
    <w:rsid w:val="002E5C23"/>
    <w:rsid w:val="002E5E32"/>
    <w:rsid w:val="002E5F1C"/>
    <w:rsid w:val="002E5F58"/>
    <w:rsid w:val="002E5F81"/>
    <w:rsid w:val="002E6000"/>
    <w:rsid w:val="002E60CE"/>
    <w:rsid w:val="002E6149"/>
    <w:rsid w:val="002E6160"/>
    <w:rsid w:val="002E6189"/>
    <w:rsid w:val="002E61A7"/>
    <w:rsid w:val="002E6232"/>
    <w:rsid w:val="002E62BC"/>
    <w:rsid w:val="002E62ED"/>
    <w:rsid w:val="002E6429"/>
    <w:rsid w:val="002E6467"/>
    <w:rsid w:val="002E659E"/>
    <w:rsid w:val="002E65ED"/>
    <w:rsid w:val="002E664A"/>
    <w:rsid w:val="002E66CF"/>
    <w:rsid w:val="002E66D5"/>
    <w:rsid w:val="002E6748"/>
    <w:rsid w:val="002E6759"/>
    <w:rsid w:val="002E6836"/>
    <w:rsid w:val="002E6981"/>
    <w:rsid w:val="002E69FD"/>
    <w:rsid w:val="002E6A04"/>
    <w:rsid w:val="002E6D44"/>
    <w:rsid w:val="002E6D56"/>
    <w:rsid w:val="002E6DC9"/>
    <w:rsid w:val="002E6E3F"/>
    <w:rsid w:val="002E6F6D"/>
    <w:rsid w:val="002E702F"/>
    <w:rsid w:val="002E7059"/>
    <w:rsid w:val="002E7157"/>
    <w:rsid w:val="002E7196"/>
    <w:rsid w:val="002E7284"/>
    <w:rsid w:val="002E7403"/>
    <w:rsid w:val="002E747B"/>
    <w:rsid w:val="002E76AD"/>
    <w:rsid w:val="002E79A5"/>
    <w:rsid w:val="002E7AA7"/>
    <w:rsid w:val="002E7B4F"/>
    <w:rsid w:val="002E7BD0"/>
    <w:rsid w:val="002E7C3E"/>
    <w:rsid w:val="002E7C5E"/>
    <w:rsid w:val="002E7D8F"/>
    <w:rsid w:val="002E7E0B"/>
    <w:rsid w:val="002E7E9A"/>
    <w:rsid w:val="002E7EDE"/>
    <w:rsid w:val="002E7EE6"/>
    <w:rsid w:val="002E7F59"/>
    <w:rsid w:val="002E7F6A"/>
    <w:rsid w:val="002E7FC3"/>
    <w:rsid w:val="002E7FF6"/>
    <w:rsid w:val="002F0140"/>
    <w:rsid w:val="002F0144"/>
    <w:rsid w:val="002F0178"/>
    <w:rsid w:val="002F017B"/>
    <w:rsid w:val="002F017D"/>
    <w:rsid w:val="002F0232"/>
    <w:rsid w:val="002F0272"/>
    <w:rsid w:val="002F028E"/>
    <w:rsid w:val="002F02D6"/>
    <w:rsid w:val="002F0370"/>
    <w:rsid w:val="002F03B6"/>
    <w:rsid w:val="002F0401"/>
    <w:rsid w:val="002F047A"/>
    <w:rsid w:val="002F0569"/>
    <w:rsid w:val="002F05C8"/>
    <w:rsid w:val="002F06C6"/>
    <w:rsid w:val="002F0767"/>
    <w:rsid w:val="002F07E2"/>
    <w:rsid w:val="002F0816"/>
    <w:rsid w:val="002F081C"/>
    <w:rsid w:val="002F0833"/>
    <w:rsid w:val="002F0912"/>
    <w:rsid w:val="002F09B3"/>
    <w:rsid w:val="002F0A1A"/>
    <w:rsid w:val="002F0A25"/>
    <w:rsid w:val="002F0A65"/>
    <w:rsid w:val="002F0A83"/>
    <w:rsid w:val="002F0B06"/>
    <w:rsid w:val="002F0C1F"/>
    <w:rsid w:val="002F0C46"/>
    <w:rsid w:val="002F0CE1"/>
    <w:rsid w:val="002F0D6E"/>
    <w:rsid w:val="002F0D9E"/>
    <w:rsid w:val="002F0DDB"/>
    <w:rsid w:val="002F0E4F"/>
    <w:rsid w:val="002F0EF4"/>
    <w:rsid w:val="002F0F19"/>
    <w:rsid w:val="002F0F2F"/>
    <w:rsid w:val="002F0FC2"/>
    <w:rsid w:val="002F0FF7"/>
    <w:rsid w:val="002F1141"/>
    <w:rsid w:val="002F1152"/>
    <w:rsid w:val="002F1187"/>
    <w:rsid w:val="002F1195"/>
    <w:rsid w:val="002F11D1"/>
    <w:rsid w:val="002F122B"/>
    <w:rsid w:val="002F1283"/>
    <w:rsid w:val="002F13D7"/>
    <w:rsid w:val="002F1478"/>
    <w:rsid w:val="002F14F3"/>
    <w:rsid w:val="002F15C8"/>
    <w:rsid w:val="002F1673"/>
    <w:rsid w:val="002F16F3"/>
    <w:rsid w:val="002F1731"/>
    <w:rsid w:val="002F17E2"/>
    <w:rsid w:val="002F17FB"/>
    <w:rsid w:val="002F185B"/>
    <w:rsid w:val="002F18A7"/>
    <w:rsid w:val="002F18F8"/>
    <w:rsid w:val="002F190B"/>
    <w:rsid w:val="002F194F"/>
    <w:rsid w:val="002F196D"/>
    <w:rsid w:val="002F19B5"/>
    <w:rsid w:val="002F19E3"/>
    <w:rsid w:val="002F1A80"/>
    <w:rsid w:val="002F1A89"/>
    <w:rsid w:val="002F1ABD"/>
    <w:rsid w:val="002F1BA4"/>
    <w:rsid w:val="002F1BD5"/>
    <w:rsid w:val="002F1D76"/>
    <w:rsid w:val="002F1DEA"/>
    <w:rsid w:val="002F1EF7"/>
    <w:rsid w:val="002F1F11"/>
    <w:rsid w:val="002F1F5D"/>
    <w:rsid w:val="002F1FBB"/>
    <w:rsid w:val="002F2071"/>
    <w:rsid w:val="002F20F2"/>
    <w:rsid w:val="002F21AD"/>
    <w:rsid w:val="002F21E6"/>
    <w:rsid w:val="002F22B1"/>
    <w:rsid w:val="002F22DF"/>
    <w:rsid w:val="002F239A"/>
    <w:rsid w:val="002F24E5"/>
    <w:rsid w:val="002F25C4"/>
    <w:rsid w:val="002F260C"/>
    <w:rsid w:val="002F276F"/>
    <w:rsid w:val="002F28EA"/>
    <w:rsid w:val="002F293E"/>
    <w:rsid w:val="002F2941"/>
    <w:rsid w:val="002F299B"/>
    <w:rsid w:val="002F29B3"/>
    <w:rsid w:val="002F2B3E"/>
    <w:rsid w:val="002F2D1B"/>
    <w:rsid w:val="002F2D47"/>
    <w:rsid w:val="002F2D84"/>
    <w:rsid w:val="002F2EA0"/>
    <w:rsid w:val="002F2ECD"/>
    <w:rsid w:val="002F2EFC"/>
    <w:rsid w:val="002F2F27"/>
    <w:rsid w:val="002F2F6F"/>
    <w:rsid w:val="002F2FDF"/>
    <w:rsid w:val="002F3008"/>
    <w:rsid w:val="002F312A"/>
    <w:rsid w:val="002F31DA"/>
    <w:rsid w:val="002F31EF"/>
    <w:rsid w:val="002F32A6"/>
    <w:rsid w:val="002F3347"/>
    <w:rsid w:val="002F33F5"/>
    <w:rsid w:val="002F348A"/>
    <w:rsid w:val="002F34FF"/>
    <w:rsid w:val="002F3544"/>
    <w:rsid w:val="002F35A0"/>
    <w:rsid w:val="002F3602"/>
    <w:rsid w:val="002F3673"/>
    <w:rsid w:val="002F368B"/>
    <w:rsid w:val="002F38DF"/>
    <w:rsid w:val="002F391B"/>
    <w:rsid w:val="002F39C7"/>
    <w:rsid w:val="002F3BA3"/>
    <w:rsid w:val="002F3BA7"/>
    <w:rsid w:val="002F3C5A"/>
    <w:rsid w:val="002F3DFA"/>
    <w:rsid w:val="002F3E42"/>
    <w:rsid w:val="002F3E4E"/>
    <w:rsid w:val="002F3E54"/>
    <w:rsid w:val="002F3E9C"/>
    <w:rsid w:val="002F3ECD"/>
    <w:rsid w:val="002F3F2C"/>
    <w:rsid w:val="002F3F6E"/>
    <w:rsid w:val="002F3F8D"/>
    <w:rsid w:val="002F400A"/>
    <w:rsid w:val="002F4061"/>
    <w:rsid w:val="002F42C8"/>
    <w:rsid w:val="002F435E"/>
    <w:rsid w:val="002F441A"/>
    <w:rsid w:val="002F4491"/>
    <w:rsid w:val="002F45E6"/>
    <w:rsid w:val="002F46D6"/>
    <w:rsid w:val="002F47C9"/>
    <w:rsid w:val="002F47EF"/>
    <w:rsid w:val="002F487A"/>
    <w:rsid w:val="002F4AB6"/>
    <w:rsid w:val="002F4B3F"/>
    <w:rsid w:val="002F4BA1"/>
    <w:rsid w:val="002F4BC4"/>
    <w:rsid w:val="002F4DB3"/>
    <w:rsid w:val="002F4E68"/>
    <w:rsid w:val="002F5005"/>
    <w:rsid w:val="002F50A9"/>
    <w:rsid w:val="002F51DA"/>
    <w:rsid w:val="002F5211"/>
    <w:rsid w:val="002F5219"/>
    <w:rsid w:val="002F530B"/>
    <w:rsid w:val="002F53CC"/>
    <w:rsid w:val="002F54D3"/>
    <w:rsid w:val="002F550F"/>
    <w:rsid w:val="002F5550"/>
    <w:rsid w:val="002F5587"/>
    <w:rsid w:val="002F55C1"/>
    <w:rsid w:val="002F5698"/>
    <w:rsid w:val="002F57A0"/>
    <w:rsid w:val="002F58FD"/>
    <w:rsid w:val="002F5923"/>
    <w:rsid w:val="002F5BCD"/>
    <w:rsid w:val="002F5C25"/>
    <w:rsid w:val="002F5D3D"/>
    <w:rsid w:val="002F5DE3"/>
    <w:rsid w:val="002F5E30"/>
    <w:rsid w:val="002F5EBB"/>
    <w:rsid w:val="002F6060"/>
    <w:rsid w:val="002F60BE"/>
    <w:rsid w:val="002F612B"/>
    <w:rsid w:val="002F61C8"/>
    <w:rsid w:val="002F6204"/>
    <w:rsid w:val="002F62DB"/>
    <w:rsid w:val="002F62E1"/>
    <w:rsid w:val="002F6353"/>
    <w:rsid w:val="002F63B9"/>
    <w:rsid w:val="002F6428"/>
    <w:rsid w:val="002F6456"/>
    <w:rsid w:val="002F6503"/>
    <w:rsid w:val="002F66B2"/>
    <w:rsid w:val="002F6713"/>
    <w:rsid w:val="002F6921"/>
    <w:rsid w:val="002F6A1D"/>
    <w:rsid w:val="002F6B94"/>
    <w:rsid w:val="002F6BF1"/>
    <w:rsid w:val="002F6CA2"/>
    <w:rsid w:val="002F6CA3"/>
    <w:rsid w:val="002F6CF9"/>
    <w:rsid w:val="002F6D54"/>
    <w:rsid w:val="002F6E63"/>
    <w:rsid w:val="002F6E85"/>
    <w:rsid w:val="002F6E8A"/>
    <w:rsid w:val="002F6ED7"/>
    <w:rsid w:val="002F6F15"/>
    <w:rsid w:val="002F6F40"/>
    <w:rsid w:val="002F6F63"/>
    <w:rsid w:val="002F7035"/>
    <w:rsid w:val="002F727A"/>
    <w:rsid w:val="002F72BD"/>
    <w:rsid w:val="002F7349"/>
    <w:rsid w:val="002F73A1"/>
    <w:rsid w:val="002F745C"/>
    <w:rsid w:val="002F759C"/>
    <w:rsid w:val="002F75D7"/>
    <w:rsid w:val="002F76E7"/>
    <w:rsid w:val="002F7768"/>
    <w:rsid w:val="002F77D7"/>
    <w:rsid w:val="002F77DE"/>
    <w:rsid w:val="002F7871"/>
    <w:rsid w:val="002F79A7"/>
    <w:rsid w:val="002F7BB0"/>
    <w:rsid w:val="002F7C05"/>
    <w:rsid w:val="002F7C2E"/>
    <w:rsid w:val="002F7C88"/>
    <w:rsid w:val="002F7DEF"/>
    <w:rsid w:val="002F7EB4"/>
    <w:rsid w:val="002F7EFB"/>
    <w:rsid w:val="002F7FAB"/>
    <w:rsid w:val="002FB3B4"/>
    <w:rsid w:val="00300020"/>
    <w:rsid w:val="00300023"/>
    <w:rsid w:val="003000EF"/>
    <w:rsid w:val="0030015D"/>
    <w:rsid w:val="0030017F"/>
    <w:rsid w:val="003002E4"/>
    <w:rsid w:val="0030047D"/>
    <w:rsid w:val="003005ED"/>
    <w:rsid w:val="003005F1"/>
    <w:rsid w:val="0030065F"/>
    <w:rsid w:val="00300724"/>
    <w:rsid w:val="0030077A"/>
    <w:rsid w:val="003007F1"/>
    <w:rsid w:val="00300887"/>
    <w:rsid w:val="003008B2"/>
    <w:rsid w:val="00300C0D"/>
    <w:rsid w:val="00300C18"/>
    <w:rsid w:val="00300C2B"/>
    <w:rsid w:val="00300C46"/>
    <w:rsid w:val="00300DB9"/>
    <w:rsid w:val="00300DD6"/>
    <w:rsid w:val="00300ECD"/>
    <w:rsid w:val="00300F3C"/>
    <w:rsid w:val="00300F6D"/>
    <w:rsid w:val="00301037"/>
    <w:rsid w:val="00301069"/>
    <w:rsid w:val="003010C0"/>
    <w:rsid w:val="003010F8"/>
    <w:rsid w:val="00301235"/>
    <w:rsid w:val="0030125D"/>
    <w:rsid w:val="00301261"/>
    <w:rsid w:val="00301262"/>
    <w:rsid w:val="003012BE"/>
    <w:rsid w:val="003012D0"/>
    <w:rsid w:val="00301336"/>
    <w:rsid w:val="00301382"/>
    <w:rsid w:val="0030139F"/>
    <w:rsid w:val="0030141A"/>
    <w:rsid w:val="00301433"/>
    <w:rsid w:val="00301439"/>
    <w:rsid w:val="0030149B"/>
    <w:rsid w:val="0030174F"/>
    <w:rsid w:val="003017C3"/>
    <w:rsid w:val="0030184B"/>
    <w:rsid w:val="003018A7"/>
    <w:rsid w:val="003018A9"/>
    <w:rsid w:val="003018FE"/>
    <w:rsid w:val="00301A30"/>
    <w:rsid w:val="00301A56"/>
    <w:rsid w:val="00301A7B"/>
    <w:rsid w:val="00301A7C"/>
    <w:rsid w:val="00301A9F"/>
    <w:rsid w:val="00301B46"/>
    <w:rsid w:val="00301B99"/>
    <w:rsid w:val="00301BB3"/>
    <w:rsid w:val="00301BDF"/>
    <w:rsid w:val="00301BE7"/>
    <w:rsid w:val="00301C45"/>
    <w:rsid w:val="00301D0C"/>
    <w:rsid w:val="00301EEF"/>
    <w:rsid w:val="00302034"/>
    <w:rsid w:val="00302094"/>
    <w:rsid w:val="00302238"/>
    <w:rsid w:val="00302240"/>
    <w:rsid w:val="003024B2"/>
    <w:rsid w:val="003025B4"/>
    <w:rsid w:val="003025C1"/>
    <w:rsid w:val="003025D2"/>
    <w:rsid w:val="00302637"/>
    <w:rsid w:val="00302689"/>
    <w:rsid w:val="00302954"/>
    <w:rsid w:val="00302A2E"/>
    <w:rsid w:val="00302A87"/>
    <w:rsid w:val="00302B22"/>
    <w:rsid w:val="00302B39"/>
    <w:rsid w:val="00302BE4"/>
    <w:rsid w:val="00302C62"/>
    <w:rsid w:val="00302F0B"/>
    <w:rsid w:val="00302FEE"/>
    <w:rsid w:val="00303061"/>
    <w:rsid w:val="00303072"/>
    <w:rsid w:val="003031A7"/>
    <w:rsid w:val="0030320A"/>
    <w:rsid w:val="00303277"/>
    <w:rsid w:val="003032BB"/>
    <w:rsid w:val="00303374"/>
    <w:rsid w:val="003033C1"/>
    <w:rsid w:val="003033F7"/>
    <w:rsid w:val="003034A1"/>
    <w:rsid w:val="003034EA"/>
    <w:rsid w:val="003034F3"/>
    <w:rsid w:val="00303553"/>
    <w:rsid w:val="003035CE"/>
    <w:rsid w:val="00303644"/>
    <w:rsid w:val="003036D5"/>
    <w:rsid w:val="003036F3"/>
    <w:rsid w:val="003036F9"/>
    <w:rsid w:val="00303735"/>
    <w:rsid w:val="00303824"/>
    <w:rsid w:val="00303865"/>
    <w:rsid w:val="003038E6"/>
    <w:rsid w:val="003039A9"/>
    <w:rsid w:val="00303A73"/>
    <w:rsid w:val="00303A85"/>
    <w:rsid w:val="00303B11"/>
    <w:rsid w:val="00303C06"/>
    <w:rsid w:val="00303CE6"/>
    <w:rsid w:val="00303D1E"/>
    <w:rsid w:val="00303D2C"/>
    <w:rsid w:val="00303D41"/>
    <w:rsid w:val="00303D59"/>
    <w:rsid w:val="00303DF3"/>
    <w:rsid w:val="00303DF8"/>
    <w:rsid w:val="00303E17"/>
    <w:rsid w:val="00303EC7"/>
    <w:rsid w:val="00304162"/>
    <w:rsid w:val="003041EB"/>
    <w:rsid w:val="0030421B"/>
    <w:rsid w:val="00304233"/>
    <w:rsid w:val="003042D0"/>
    <w:rsid w:val="00304438"/>
    <w:rsid w:val="00304493"/>
    <w:rsid w:val="00304551"/>
    <w:rsid w:val="0030478A"/>
    <w:rsid w:val="00304800"/>
    <w:rsid w:val="003048CE"/>
    <w:rsid w:val="00304987"/>
    <w:rsid w:val="003049CA"/>
    <w:rsid w:val="003049D6"/>
    <w:rsid w:val="00304A2B"/>
    <w:rsid w:val="00304A3A"/>
    <w:rsid w:val="00304A5A"/>
    <w:rsid w:val="00304A78"/>
    <w:rsid w:val="00304A95"/>
    <w:rsid w:val="00304A96"/>
    <w:rsid w:val="00304B14"/>
    <w:rsid w:val="00304B94"/>
    <w:rsid w:val="00304BD4"/>
    <w:rsid w:val="00304BFE"/>
    <w:rsid w:val="00304C0C"/>
    <w:rsid w:val="00304C3B"/>
    <w:rsid w:val="00304CCB"/>
    <w:rsid w:val="00304D01"/>
    <w:rsid w:val="00304D6A"/>
    <w:rsid w:val="00304D8F"/>
    <w:rsid w:val="00304EF3"/>
    <w:rsid w:val="00304F62"/>
    <w:rsid w:val="00304F91"/>
    <w:rsid w:val="00305133"/>
    <w:rsid w:val="0030518A"/>
    <w:rsid w:val="00305211"/>
    <w:rsid w:val="00305286"/>
    <w:rsid w:val="00305300"/>
    <w:rsid w:val="0030534D"/>
    <w:rsid w:val="00305358"/>
    <w:rsid w:val="00305415"/>
    <w:rsid w:val="0030549B"/>
    <w:rsid w:val="00305519"/>
    <w:rsid w:val="00305683"/>
    <w:rsid w:val="003057E6"/>
    <w:rsid w:val="00305807"/>
    <w:rsid w:val="00305959"/>
    <w:rsid w:val="003059BB"/>
    <w:rsid w:val="003059D2"/>
    <w:rsid w:val="00305A27"/>
    <w:rsid w:val="00305A3E"/>
    <w:rsid w:val="00305A43"/>
    <w:rsid w:val="00305ABE"/>
    <w:rsid w:val="00305B3B"/>
    <w:rsid w:val="00305B4C"/>
    <w:rsid w:val="00305B97"/>
    <w:rsid w:val="00305BA8"/>
    <w:rsid w:val="00305C79"/>
    <w:rsid w:val="00305CDE"/>
    <w:rsid w:val="00305E6C"/>
    <w:rsid w:val="00305EC7"/>
    <w:rsid w:val="00305EF5"/>
    <w:rsid w:val="00305F2E"/>
    <w:rsid w:val="00305FEE"/>
    <w:rsid w:val="003060A1"/>
    <w:rsid w:val="003062B1"/>
    <w:rsid w:val="0030650D"/>
    <w:rsid w:val="0030651D"/>
    <w:rsid w:val="00306532"/>
    <w:rsid w:val="00306544"/>
    <w:rsid w:val="003065F0"/>
    <w:rsid w:val="003066BA"/>
    <w:rsid w:val="0030672A"/>
    <w:rsid w:val="0030689B"/>
    <w:rsid w:val="003068E6"/>
    <w:rsid w:val="00306910"/>
    <w:rsid w:val="00306ACC"/>
    <w:rsid w:val="00306B02"/>
    <w:rsid w:val="00306B9B"/>
    <w:rsid w:val="00306BB0"/>
    <w:rsid w:val="00306BBE"/>
    <w:rsid w:val="00306C1D"/>
    <w:rsid w:val="00306C47"/>
    <w:rsid w:val="00306C50"/>
    <w:rsid w:val="00306D2F"/>
    <w:rsid w:val="00306D33"/>
    <w:rsid w:val="00306DE8"/>
    <w:rsid w:val="00306E5A"/>
    <w:rsid w:val="00306F6C"/>
    <w:rsid w:val="00307001"/>
    <w:rsid w:val="003071E6"/>
    <w:rsid w:val="003072EE"/>
    <w:rsid w:val="0030730F"/>
    <w:rsid w:val="00307377"/>
    <w:rsid w:val="003073BE"/>
    <w:rsid w:val="00307531"/>
    <w:rsid w:val="0030766C"/>
    <w:rsid w:val="00307693"/>
    <w:rsid w:val="003076AD"/>
    <w:rsid w:val="003077D7"/>
    <w:rsid w:val="003078AA"/>
    <w:rsid w:val="003078CC"/>
    <w:rsid w:val="003078F0"/>
    <w:rsid w:val="00307939"/>
    <w:rsid w:val="003079AD"/>
    <w:rsid w:val="00307A6C"/>
    <w:rsid w:val="00307AA9"/>
    <w:rsid w:val="00307ABF"/>
    <w:rsid w:val="00307C1D"/>
    <w:rsid w:val="00307D42"/>
    <w:rsid w:val="00307E39"/>
    <w:rsid w:val="00307EC3"/>
    <w:rsid w:val="00307FC3"/>
    <w:rsid w:val="003100D4"/>
    <w:rsid w:val="00310169"/>
    <w:rsid w:val="003101AE"/>
    <w:rsid w:val="003101D8"/>
    <w:rsid w:val="0031024D"/>
    <w:rsid w:val="00310329"/>
    <w:rsid w:val="0031041F"/>
    <w:rsid w:val="00310468"/>
    <w:rsid w:val="0031047D"/>
    <w:rsid w:val="003104BF"/>
    <w:rsid w:val="0031050F"/>
    <w:rsid w:val="003105E9"/>
    <w:rsid w:val="00310648"/>
    <w:rsid w:val="00310661"/>
    <w:rsid w:val="00310666"/>
    <w:rsid w:val="00310741"/>
    <w:rsid w:val="00310804"/>
    <w:rsid w:val="00310904"/>
    <w:rsid w:val="00310A3F"/>
    <w:rsid w:val="00310AFB"/>
    <w:rsid w:val="00310B22"/>
    <w:rsid w:val="00310B24"/>
    <w:rsid w:val="00310B7A"/>
    <w:rsid w:val="00310BC4"/>
    <w:rsid w:val="00310C1A"/>
    <w:rsid w:val="00310C5B"/>
    <w:rsid w:val="00310CD7"/>
    <w:rsid w:val="00310DD2"/>
    <w:rsid w:val="00311165"/>
    <w:rsid w:val="0031121A"/>
    <w:rsid w:val="0031128E"/>
    <w:rsid w:val="00311331"/>
    <w:rsid w:val="003113A1"/>
    <w:rsid w:val="003113A9"/>
    <w:rsid w:val="0031152E"/>
    <w:rsid w:val="00311542"/>
    <w:rsid w:val="0031160C"/>
    <w:rsid w:val="0031161E"/>
    <w:rsid w:val="003116B4"/>
    <w:rsid w:val="003117BA"/>
    <w:rsid w:val="003117BF"/>
    <w:rsid w:val="00311816"/>
    <w:rsid w:val="00311862"/>
    <w:rsid w:val="003118E8"/>
    <w:rsid w:val="0031191A"/>
    <w:rsid w:val="003119FD"/>
    <w:rsid w:val="00311AB1"/>
    <w:rsid w:val="00311ABA"/>
    <w:rsid w:val="00311C1F"/>
    <w:rsid w:val="00311C58"/>
    <w:rsid w:val="00311CE5"/>
    <w:rsid w:val="00311D81"/>
    <w:rsid w:val="00311E33"/>
    <w:rsid w:val="00311EC4"/>
    <w:rsid w:val="00311F96"/>
    <w:rsid w:val="00312075"/>
    <w:rsid w:val="00312094"/>
    <w:rsid w:val="003120E4"/>
    <w:rsid w:val="0031219D"/>
    <w:rsid w:val="0031232B"/>
    <w:rsid w:val="00312346"/>
    <w:rsid w:val="003123B2"/>
    <w:rsid w:val="003123EA"/>
    <w:rsid w:val="003123FC"/>
    <w:rsid w:val="003124C3"/>
    <w:rsid w:val="00312676"/>
    <w:rsid w:val="00312746"/>
    <w:rsid w:val="00312798"/>
    <w:rsid w:val="003127CE"/>
    <w:rsid w:val="00312806"/>
    <w:rsid w:val="003128D9"/>
    <w:rsid w:val="00312ACC"/>
    <w:rsid w:val="00312C23"/>
    <w:rsid w:val="00312CD3"/>
    <w:rsid w:val="00312D10"/>
    <w:rsid w:val="00312DD8"/>
    <w:rsid w:val="00312F2B"/>
    <w:rsid w:val="00312F38"/>
    <w:rsid w:val="00312F7B"/>
    <w:rsid w:val="00312FA8"/>
    <w:rsid w:val="00312FB2"/>
    <w:rsid w:val="00312FC9"/>
    <w:rsid w:val="00312FE1"/>
    <w:rsid w:val="00313031"/>
    <w:rsid w:val="00313076"/>
    <w:rsid w:val="003130B8"/>
    <w:rsid w:val="00313139"/>
    <w:rsid w:val="003131D3"/>
    <w:rsid w:val="003131E5"/>
    <w:rsid w:val="0031323C"/>
    <w:rsid w:val="00313344"/>
    <w:rsid w:val="00313373"/>
    <w:rsid w:val="003133C9"/>
    <w:rsid w:val="003133D7"/>
    <w:rsid w:val="0031341E"/>
    <w:rsid w:val="003134A2"/>
    <w:rsid w:val="003134D1"/>
    <w:rsid w:val="003135E6"/>
    <w:rsid w:val="00313689"/>
    <w:rsid w:val="003136E1"/>
    <w:rsid w:val="003136E9"/>
    <w:rsid w:val="0031370F"/>
    <w:rsid w:val="003137CE"/>
    <w:rsid w:val="0031384D"/>
    <w:rsid w:val="0031385A"/>
    <w:rsid w:val="003138BB"/>
    <w:rsid w:val="00313C60"/>
    <w:rsid w:val="00313D4D"/>
    <w:rsid w:val="00313D95"/>
    <w:rsid w:val="00313DA3"/>
    <w:rsid w:val="00313E72"/>
    <w:rsid w:val="00313EF7"/>
    <w:rsid w:val="00313F32"/>
    <w:rsid w:val="00313F9C"/>
    <w:rsid w:val="0031407B"/>
    <w:rsid w:val="003140C8"/>
    <w:rsid w:val="003140F3"/>
    <w:rsid w:val="00314163"/>
    <w:rsid w:val="003141C5"/>
    <w:rsid w:val="00314205"/>
    <w:rsid w:val="003143A6"/>
    <w:rsid w:val="00314449"/>
    <w:rsid w:val="0031444D"/>
    <w:rsid w:val="00314499"/>
    <w:rsid w:val="003144F4"/>
    <w:rsid w:val="0031450E"/>
    <w:rsid w:val="00314589"/>
    <w:rsid w:val="00314617"/>
    <w:rsid w:val="003146B9"/>
    <w:rsid w:val="00314800"/>
    <w:rsid w:val="0031482A"/>
    <w:rsid w:val="0031483C"/>
    <w:rsid w:val="003148E3"/>
    <w:rsid w:val="003148F6"/>
    <w:rsid w:val="003148FC"/>
    <w:rsid w:val="003149BC"/>
    <w:rsid w:val="00314B28"/>
    <w:rsid w:val="00314B66"/>
    <w:rsid w:val="00314BC6"/>
    <w:rsid w:val="00314BCE"/>
    <w:rsid w:val="00314CFD"/>
    <w:rsid w:val="00314E87"/>
    <w:rsid w:val="00314F93"/>
    <w:rsid w:val="00315046"/>
    <w:rsid w:val="00315058"/>
    <w:rsid w:val="0031505B"/>
    <w:rsid w:val="003150CB"/>
    <w:rsid w:val="00315145"/>
    <w:rsid w:val="00315161"/>
    <w:rsid w:val="0031519E"/>
    <w:rsid w:val="003151B5"/>
    <w:rsid w:val="0031528E"/>
    <w:rsid w:val="003152ED"/>
    <w:rsid w:val="00315341"/>
    <w:rsid w:val="003153C9"/>
    <w:rsid w:val="0031554B"/>
    <w:rsid w:val="0031555F"/>
    <w:rsid w:val="003155B4"/>
    <w:rsid w:val="0031562A"/>
    <w:rsid w:val="00315678"/>
    <w:rsid w:val="00315689"/>
    <w:rsid w:val="0031578D"/>
    <w:rsid w:val="00315800"/>
    <w:rsid w:val="0031584C"/>
    <w:rsid w:val="003158A7"/>
    <w:rsid w:val="003158FF"/>
    <w:rsid w:val="00315913"/>
    <w:rsid w:val="00315935"/>
    <w:rsid w:val="003159F0"/>
    <w:rsid w:val="00315A6C"/>
    <w:rsid w:val="00315B90"/>
    <w:rsid w:val="00315B92"/>
    <w:rsid w:val="00315B9D"/>
    <w:rsid w:val="00315DB9"/>
    <w:rsid w:val="00315DBD"/>
    <w:rsid w:val="00315DC7"/>
    <w:rsid w:val="00315E17"/>
    <w:rsid w:val="00315F20"/>
    <w:rsid w:val="00315F89"/>
    <w:rsid w:val="00315FDE"/>
    <w:rsid w:val="00316021"/>
    <w:rsid w:val="0031605C"/>
    <w:rsid w:val="003160FC"/>
    <w:rsid w:val="0031615E"/>
    <w:rsid w:val="0031616C"/>
    <w:rsid w:val="003161BC"/>
    <w:rsid w:val="003161C4"/>
    <w:rsid w:val="003161C5"/>
    <w:rsid w:val="0031627F"/>
    <w:rsid w:val="00316309"/>
    <w:rsid w:val="0031633A"/>
    <w:rsid w:val="00316370"/>
    <w:rsid w:val="00316440"/>
    <w:rsid w:val="00316581"/>
    <w:rsid w:val="00316676"/>
    <w:rsid w:val="003166DD"/>
    <w:rsid w:val="00316726"/>
    <w:rsid w:val="0031688C"/>
    <w:rsid w:val="0031690F"/>
    <w:rsid w:val="003169FC"/>
    <w:rsid w:val="00316A65"/>
    <w:rsid w:val="00316AB8"/>
    <w:rsid w:val="00316BBC"/>
    <w:rsid w:val="00316BCD"/>
    <w:rsid w:val="00316CB8"/>
    <w:rsid w:val="00316D76"/>
    <w:rsid w:val="00316DFF"/>
    <w:rsid w:val="00316ECB"/>
    <w:rsid w:val="003170A0"/>
    <w:rsid w:val="003170C2"/>
    <w:rsid w:val="003170EF"/>
    <w:rsid w:val="00317112"/>
    <w:rsid w:val="00317160"/>
    <w:rsid w:val="0031718D"/>
    <w:rsid w:val="003171C9"/>
    <w:rsid w:val="00317300"/>
    <w:rsid w:val="003173D1"/>
    <w:rsid w:val="003173E7"/>
    <w:rsid w:val="00317428"/>
    <w:rsid w:val="003175C4"/>
    <w:rsid w:val="003175CA"/>
    <w:rsid w:val="003175F2"/>
    <w:rsid w:val="0031765C"/>
    <w:rsid w:val="00317688"/>
    <w:rsid w:val="0031768E"/>
    <w:rsid w:val="0031775A"/>
    <w:rsid w:val="003177D2"/>
    <w:rsid w:val="003178E3"/>
    <w:rsid w:val="003178EC"/>
    <w:rsid w:val="0031793E"/>
    <w:rsid w:val="0031797B"/>
    <w:rsid w:val="00317983"/>
    <w:rsid w:val="00317A6F"/>
    <w:rsid w:val="00317B8B"/>
    <w:rsid w:val="00317BE0"/>
    <w:rsid w:val="00317C91"/>
    <w:rsid w:val="00317E50"/>
    <w:rsid w:val="00317E51"/>
    <w:rsid w:val="00317E68"/>
    <w:rsid w:val="00317F1B"/>
    <w:rsid w:val="00317F1F"/>
    <w:rsid w:val="00317FF9"/>
    <w:rsid w:val="00320107"/>
    <w:rsid w:val="00320275"/>
    <w:rsid w:val="00320302"/>
    <w:rsid w:val="00320337"/>
    <w:rsid w:val="00320351"/>
    <w:rsid w:val="00320501"/>
    <w:rsid w:val="00320567"/>
    <w:rsid w:val="003205A3"/>
    <w:rsid w:val="003205BA"/>
    <w:rsid w:val="003205CF"/>
    <w:rsid w:val="003206D6"/>
    <w:rsid w:val="0032072A"/>
    <w:rsid w:val="00320742"/>
    <w:rsid w:val="003207D6"/>
    <w:rsid w:val="00320837"/>
    <w:rsid w:val="003208DE"/>
    <w:rsid w:val="003208E7"/>
    <w:rsid w:val="003209F3"/>
    <w:rsid w:val="00320A26"/>
    <w:rsid w:val="00320C13"/>
    <w:rsid w:val="00320C59"/>
    <w:rsid w:val="00320CF4"/>
    <w:rsid w:val="00320DEE"/>
    <w:rsid w:val="00320E95"/>
    <w:rsid w:val="00320F9F"/>
    <w:rsid w:val="00320FA7"/>
    <w:rsid w:val="00320FC0"/>
    <w:rsid w:val="0032109A"/>
    <w:rsid w:val="003210FC"/>
    <w:rsid w:val="0032110E"/>
    <w:rsid w:val="00321120"/>
    <w:rsid w:val="0032121A"/>
    <w:rsid w:val="0032128F"/>
    <w:rsid w:val="003212B0"/>
    <w:rsid w:val="00321302"/>
    <w:rsid w:val="00321339"/>
    <w:rsid w:val="00321435"/>
    <w:rsid w:val="00321532"/>
    <w:rsid w:val="003215A3"/>
    <w:rsid w:val="003215DA"/>
    <w:rsid w:val="0032165A"/>
    <w:rsid w:val="0032172F"/>
    <w:rsid w:val="0032175B"/>
    <w:rsid w:val="00321776"/>
    <w:rsid w:val="003217C9"/>
    <w:rsid w:val="003217FA"/>
    <w:rsid w:val="00321969"/>
    <w:rsid w:val="003219B5"/>
    <w:rsid w:val="003219C2"/>
    <w:rsid w:val="00321A51"/>
    <w:rsid w:val="00321A80"/>
    <w:rsid w:val="00321A9A"/>
    <w:rsid w:val="00321ABB"/>
    <w:rsid w:val="00321B74"/>
    <w:rsid w:val="00321B95"/>
    <w:rsid w:val="00321BA4"/>
    <w:rsid w:val="00321CE9"/>
    <w:rsid w:val="00321D62"/>
    <w:rsid w:val="00321DE2"/>
    <w:rsid w:val="00321E1C"/>
    <w:rsid w:val="00322042"/>
    <w:rsid w:val="0032204B"/>
    <w:rsid w:val="00322071"/>
    <w:rsid w:val="00322112"/>
    <w:rsid w:val="003222A3"/>
    <w:rsid w:val="003223E9"/>
    <w:rsid w:val="00322422"/>
    <w:rsid w:val="003225C2"/>
    <w:rsid w:val="0032260E"/>
    <w:rsid w:val="0032263C"/>
    <w:rsid w:val="003226A1"/>
    <w:rsid w:val="00322738"/>
    <w:rsid w:val="00322776"/>
    <w:rsid w:val="00322916"/>
    <w:rsid w:val="00322926"/>
    <w:rsid w:val="00322933"/>
    <w:rsid w:val="00322A1B"/>
    <w:rsid w:val="00322A9B"/>
    <w:rsid w:val="00322AA7"/>
    <w:rsid w:val="00322B5D"/>
    <w:rsid w:val="00322BAC"/>
    <w:rsid w:val="00322BEF"/>
    <w:rsid w:val="00322C04"/>
    <w:rsid w:val="00322C1E"/>
    <w:rsid w:val="00322CD6"/>
    <w:rsid w:val="00322D2D"/>
    <w:rsid w:val="00322D44"/>
    <w:rsid w:val="00322DBC"/>
    <w:rsid w:val="00322DBF"/>
    <w:rsid w:val="00322E25"/>
    <w:rsid w:val="00322E2C"/>
    <w:rsid w:val="00322F0D"/>
    <w:rsid w:val="00322F15"/>
    <w:rsid w:val="00322F37"/>
    <w:rsid w:val="00323001"/>
    <w:rsid w:val="00323161"/>
    <w:rsid w:val="00323390"/>
    <w:rsid w:val="0032341D"/>
    <w:rsid w:val="0032345A"/>
    <w:rsid w:val="00323468"/>
    <w:rsid w:val="003235CF"/>
    <w:rsid w:val="00323603"/>
    <w:rsid w:val="00323650"/>
    <w:rsid w:val="0032367E"/>
    <w:rsid w:val="00323720"/>
    <w:rsid w:val="00323792"/>
    <w:rsid w:val="003237F9"/>
    <w:rsid w:val="00323815"/>
    <w:rsid w:val="0032382A"/>
    <w:rsid w:val="003238B5"/>
    <w:rsid w:val="003238BA"/>
    <w:rsid w:val="003238C9"/>
    <w:rsid w:val="00323A90"/>
    <w:rsid w:val="00323AB0"/>
    <w:rsid w:val="00323B51"/>
    <w:rsid w:val="00323BA1"/>
    <w:rsid w:val="00323C72"/>
    <w:rsid w:val="00323CFB"/>
    <w:rsid w:val="00323D7B"/>
    <w:rsid w:val="00323DA7"/>
    <w:rsid w:val="00323DCD"/>
    <w:rsid w:val="00323F64"/>
    <w:rsid w:val="00323FAE"/>
    <w:rsid w:val="0032406D"/>
    <w:rsid w:val="003241AF"/>
    <w:rsid w:val="003242BA"/>
    <w:rsid w:val="003243E7"/>
    <w:rsid w:val="00324400"/>
    <w:rsid w:val="0032446A"/>
    <w:rsid w:val="0032450A"/>
    <w:rsid w:val="00324520"/>
    <w:rsid w:val="0032465F"/>
    <w:rsid w:val="00324682"/>
    <w:rsid w:val="00324751"/>
    <w:rsid w:val="00324810"/>
    <w:rsid w:val="0032484A"/>
    <w:rsid w:val="00324A88"/>
    <w:rsid w:val="00324BC5"/>
    <w:rsid w:val="00324C04"/>
    <w:rsid w:val="00324CB5"/>
    <w:rsid w:val="00324D2C"/>
    <w:rsid w:val="00324D8B"/>
    <w:rsid w:val="00324EFA"/>
    <w:rsid w:val="00324FAB"/>
    <w:rsid w:val="00324FC7"/>
    <w:rsid w:val="00325095"/>
    <w:rsid w:val="00325158"/>
    <w:rsid w:val="0032518C"/>
    <w:rsid w:val="003251D9"/>
    <w:rsid w:val="003252AF"/>
    <w:rsid w:val="00325308"/>
    <w:rsid w:val="00325339"/>
    <w:rsid w:val="00325349"/>
    <w:rsid w:val="00325354"/>
    <w:rsid w:val="0032541C"/>
    <w:rsid w:val="003254C4"/>
    <w:rsid w:val="00325640"/>
    <w:rsid w:val="003257B9"/>
    <w:rsid w:val="003257C1"/>
    <w:rsid w:val="003257EE"/>
    <w:rsid w:val="00325806"/>
    <w:rsid w:val="00325942"/>
    <w:rsid w:val="00325998"/>
    <w:rsid w:val="00325AFA"/>
    <w:rsid w:val="00325C82"/>
    <w:rsid w:val="00325D7E"/>
    <w:rsid w:val="00325DCC"/>
    <w:rsid w:val="00325E01"/>
    <w:rsid w:val="00325FBB"/>
    <w:rsid w:val="00326063"/>
    <w:rsid w:val="003260F0"/>
    <w:rsid w:val="003261D1"/>
    <w:rsid w:val="003262C3"/>
    <w:rsid w:val="0032630B"/>
    <w:rsid w:val="003263C7"/>
    <w:rsid w:val="0032645D"/>
    <w:rsid w:val="0032647E"/>
    <w:rsid w:val="003264B7"/>
    <w:rsid w:val="00326539"/>
    <w:rsid w:val="00326655"/>
    <w:rsid w:val="00326680"/>
    <w:rsid w:val="00326695"/>
    <w:rsid w:val="00326737"/>
    <w:rsid w:val="003267D3"/>
    <w:rsid w:val="0032689C"/>
    <w:rsid w:val="00326A08"/>
    <w:rsid w:val="00326A10"/>
    <w:rsid w:val="00326A27"/>
    <w:rsid w:val="00326AC2"/>
    <w:rsid w:val="00326C2F"/>
    <w:rsid w:val="00326D00"/>
    <w:rsid w:val="00326D0E"/>
    <w:rsid w:val="00326E08"/>
    <w:rsid w:val="00326E29"/>
    <w:rsid w:val="00326F28"/>
    <w:rsid w:val="00326FC3"/>
    <w:rsid w:val="003270D2"/>
    <w:rsid w:val="003271EB"/>
    <w:rsid w:val="00327214"/>
    <w:rsid w:val="00327243"/>
    <w:rsid w:val="003272CA"/>
    <w:rsid w:val="003272E6"/>
    <w:rsid w:val="003273A8"/>
    <w:rsid w:val="00327493"/>
    <w:rsid w:val="00327504"/>
    <w:rsid w:val="00327594"/>
    <w:rsid w:val="0032768C"/>
    <w:rsid w:val="00327748"/>
    <w:rsid w:val="00327775"/>
    <w:rsid w:val="0032782A"/>
    <w:rsid w:val="003278E8"/>
    <w:rsid w:val="00327934"/>
    <w:rsid w:val="003279F9"/>
    <w:rsid w:val="00327A3B"/>
    <w:rsid w:val="00327AA6"/>
    <w:rsid w:val="00327C6D"/>
    <w:rsid w:val="00327CCB"/>
    <w:rsid w:val="00327D94"/>
    <w:rsid w:val="00327DCA"/>
    <w:rsid w:val="00327E88"/>
    <w:rsid w:val="00327E99"/>
    <w:rsid w:val="00327FD4"/>
    <w:rsid w:val="00327FEA"/>
    <w:rsid w:val="00327FF2"/>
    <w:rsid w:val="00330100"/>
    <w:rsid w:val="00330129"/>
    <w:rsid w:val="003301C2"/>
    <w:rsid w:val="003302ED"/>
    <w:rsid w:val="00330428"/>
    <w:rsid w:val="00330522"/>
    <w:rsid w:val="00330539"/>
    <w:rsid w:val="0033055F"/>
    <w:rsid w:val="003306BF"/>
    <w:rsid w:val="003306DC"/>
    <w:rsid w:val="003306EE"/>
    <w:rsid w:val="003307BF"/>
    <w:rsid w:val="00330830"/>
    <w:rsid w:val="00330833"/>
    <w:rsid w:val="00330887"/>
    <w:rsid w:val="003308BB"/>
    <w:rsid w:val="0033093D"/>
    <w:rsid w:val="00330A53"/>
    <w:rsid w:val="00330B48"/>
    <w:rsid w:val="00330BED"/>
    <w:rsid w:val="00330D10"/>
    <w:rsid w:val="00330DC3"/>
    <w:rsid w:val="00330E52"/>
    <w:rsid w:val="00330FDF"/>
    <w:rsid w:val="003310D9"/>
    <w:rsid w:val="00331184"/>
    <w:rsid w:val="003311B6"/>
    <w:rsid w:val="00331212"/>
    <w:rsid w:val="00331258"/>
    <w:rsid w:val="003312E0"/>
    <w:rsid w:val="00331345"/>
    <w:rsid w:val="00331355"/>
    <w:rsid w:val="003313B5"/>
    <w:rsid w:val="003313C1"/>
    <w:rsid w:val="0033166F"/>
    <w:rsid w:val="0033169B"/>
    <w:rsid w:val="003316E3"/>
    <w:rsid w:val="0033171E"/>
    <w:rsid w:val="00331893"/>
    <w:rsid w:val="003318B9"/>
    <w:rsid w:val="003318E8"/>
    <w:rsid w:val="00331934"/>
    <w:rsid w:val="003319BC"/>
    <w:rsid w:val="003319FB"/>
    <w:rsid w:val="00331A41"/>
    <w:rsid w:val="00331A50"/>
    <w:rsid w:val="00331A74"/>
    <w:rsid w:val="00331C4A"/>
    <w:rsid w:val="00331C90"/>
    <w:rsid w:val="00331D08"/>
    <w:rsid w:val="00331D12"/>
    <w:rsid w:val="00331D58"/>
    <w:rsid w:val="00331DD4"/>
    <w:rsid w:val="00331E06"/>
    <w:rsid w:val="00331F07"/>
    <w:rsid w:val="00331F57"/>
    <w:rsid w:val="00331F68"/>
    <w:rsid w:val="00331F76"/>
    <w:rsid w:val="00331F9B"/>
    <w:rsid w:val="00331FBF"/>
    <w:rsid w:val="00331FEC"/>
    <w:rsid w:val="0033207E"/>
    <w:rsid w:val="00332123"/>
    <w:rsid w:val="0033215F"/>
    <w:rsid w:val="003321FE"/>
    <w:rsid w:val="003322D5"/>
    <w:rsid w:val="00332380"/>
    <w:rsid w:val="003323A3"/>
    <w:rsid w:val="003323B0"/>
    <w:rsid w:val="00332566"/>
    <w:rsid w:val="003325C2"/>
    <w:rsid w:val="003325F8"/>
    <w:rsid w:val="0033273F"/>
    <w:rsid w:val="00332814"/>
    <w:rsid w:val="00332946"/>
    <w:rsid w:val="00332B24"/>
    <w:rsid w:val="00332C3A"/>
    <w:rsid w:val="00332C59"/>
    <w:rsid w:val="00332CC9"/>
    <w:rsid w:val="00332D81"/>
    <w:rsid w:val="00332DB0"/>
    <w:rsid w:val="00332E59"/>
    <w:rsid w:val="00332E97"/>
    <w:rsid w:val="00332ECA"/>
    <w:rsid w:val="00332F7E"/>
    <w:rsid w:val="00332FDA"/>
    <w:rsid w:val="00333067"/>
    <w:rsid w:val="00333086"/>
    <w:rsid w:val="003330E4"/>
    <w:rsid w:val="0033327F"/>
    <w:rsid w:val="00333281"/>
    <w:rsid w:val="003332A0"/>
    <w:rsid w:val="00333390"/>
    <w:rsid w:val="00333515"/>
    <w:rsid w:val="003336C3"/>
    <w:rsid w:val="0033371E"/>
    <w:rsid w:val="0033383E"/>
    <w:rsid w:val="00333840"/>
    <w:rsid w:val="00333948"/>
    <w:rsid w:val="00333A15"/>
    <w:rsid w:val="00333A90"/>
    <w:rsid w:val="00333C3B"/>
    <w:rsid w:val="00333C3D"/>
    <w:rsid w:val="00333D69"/>
    <w:rsid w:val="00333D91"/>
    <w:rsid w:val="00333DE8"/>
    <w:rsid w:val="00333F1E"/>
    <w:rsid w:val="00333F55"/>
    <w:rsid w:val="00333F73"/>
    <w:rsid w:val="003340AB"/>
    <w:rsid w:val="003340FC"/>
    <w:rsid w:val="0033419D"/>
    <w:rsid w:val="003341E5"/>
    <w:rsid w:val="003342E1"/>
    <w:rsid w:val="00334311"/>
    <w:rsid w:val="0033448D"/>
    <w:rsid w:val="003344FA"/>
    <w:rsid w:val="003345B2"/>
    <w:rsid w:val="00334862"/>
    <w:rsid w:val="003348A9"/>
    <w:rsid w:val="00334966"/>
    <w:rsid w:val="003349D1"/>
    <w:rsid w:val="00334C20"/>
    <w:rsid w:val="00334C3D"/>
    <w:rsid w:val="00334D66"/>
    <w:rsid w:val="00334E11"/>
    <w:rsid w:val="00334E47"/>
    <w:rsid w:val="00334EB2"/>
    <w:rsid w:val="00334FF2"/>
    <w:rsid w:val="003350C0"/>
    <w:rsid w:val="003350EC"/>
    <w:rsid w:val="0033518C"/>
    <w:rsid w:val="003351B9"/>
    <w:rsid w:val="00335212"/>
    <w:rsid w:val="00335221"/>
    <w:rsid w:val="0033534E"/>
    <w:rsid w:val="00335403"/>
    <w:rsid w:val="003354E0"/>
    <w:rsid w:val="00335659"/>
    <w:rsid w:val="0033566A"/>
    <w:rsid w:val="0033567A"/>
    <w:rsid w:val="003356E1"/>
    <w:rsid w:val="00335894"/>
    <w:rsid w:val="003358D1"/>
    <w:rsid w:val="003359AE"/>
    <w:rsid w:val="00335A30"/>
    <w:rsid w:val="00335AD9"/>
    <w:rsid w:val="00335B61"/>
    <w:rsid w:val="00335BC4"/>
    <w:rsid w:val="00335BC6"/>
    <w:rsid w:val="00335CB4"/>
    <w:rsid w:val="00335D53"/>
    <w:rsid w:val="00335D76"/>
    <w:rsid w:val="00335DBD"/>
    <w:rsid w:val="00335DC8"/>
    <w:rsid w:val="00335E98"/>
    <w:rsid w:val="00335EAB"/>
    <w:rsid w:val="00335F6E"/>
    <w:rsid w:val="00336080"/>
    <w:rsid w:val="003360C8"/>
    <w:rsid w:val="003360DA"/>
    <w:rsid w:val="0033617B"/>
    <w:rsid w:val="00336222"/>
    <w:rsid w:val="00336226"/>
    <w:rsid w:val="00336292"/>
    <w:rsid w:val="00336503"/>
    <w:rsid w:val="003365EA"/>
    <w:rsid w:val="0033661D"/>
    <w:rsid w:val="0033663C"/>
    <w:rsid w:val="0033669C"/>
    <w:rsid w:val="003366BE"/>
    <w:rsid w:val="00336708"/>
    <w:rsid w:val="00336794"/>
    <w:rsid w:val="0033685B"/>
    <w:rsid w:val="0033698B"/>
    <w:rsid w:val="003369A5"/>
    <w:rsid w:val="00336A32"/>
    <w:rsid w:val="00336AD3"/>
    <w:rsid w:val="00336AFA"/>
    <w:rsid w:val="00336C68"/>
    <w:rsid w:val="00336D05"/>
    <w:rsid w:val="00336DA8"/>
    <w:rsid w:val="00336DB4"/>
    <w:rsid w:val="00336E8B"/>
    <w:rsid w:val="00336FCD"/>
    <w:rsid w:val="00337152"/>
    <w:rsid w:val="003371A3"/>
    <w:rsid w:val="003371EA"/>
    <w:rsid w:val="003371F3"/>
    <w:rsid w:val="00337313"/>
    <w:rsid w:val="00337327"/>
    <w:rsid w:val="00337359"/>
    <w:rsid w:val="00337409"/>
    <w:rsid w:val="00337415"/>
    <w:rsid w:val="003374EA"/>
    <w:rsid w:val="00337519"/>
    <w:rsid w:val="00337704"/>
    <w:rsid w:val="00337743"/>
    <w:rsid w:val="00337863"/>
    <w:rsid w:val="003379FC"/>
    <w:rsid w:val="00337C48"/>
    <w:rsid w:val="00337D27"/>
    <w:rsid w:val="00337DA8"/>
    <w:rsid w:val="00337E2B"/>
    <w:rsid w:val="00337F89"/>
    <w:rsid w:val="00337FE6"/>
    <w:rsid w:val="0034000E"/>
    <w:rsid w:val="00340101"/>
    <w:rsid w:val="00340178"/>
    <w:rsid w:val="003401C3"/>
    <w:rsid w:val="003401E7"/>
    <w:rsid w:val="00340344"/>
    <w:rsid w:val="003403A1"/>
    <w:rsid w:val="003403D3"/>
    <w:rsid w:val="00340563"/>
    <w:rsid w:val="00340584"/>
    <w:rsid w:val="003406D6"/>
    <w:rsid w:val="00340925"/>
    <w:rsid w:val="00340943"/>
    <w:rsid w:val="00340A25"/>
    <w:rsid w:val="00340A26"/>
    <w:rsid w:val="00340A30"/>
    <w:rsid w:val="00340A7A"/>
    <w:rsid w:val="00340B3C"/>
    <w:rsid w:val="00340BD9"/>
    <w:rsid w:val="00340C3E"/>
    <w:rsid w:val="00340C9E"/>
    <w:rsid w:val="00340D69"/>
    <w:rsid w:val="00340DA3"/>
    <w:rsid w:val="00340E2B"/>
    <w:rsid w:val="00340F4E"/>
    <w:rsid w:val="00340F60"/>
    <w:rsid w:val="00340FA3"/>
    <w:rsid w:val="00340FF0"/>
    <w:rsid w:val="00341042"/>
    <w:rsid w:val="00341062"/>
    <w:rsid w:val="003410A2"/>
    <w:rsid w:val="003410DB"/>
    <w:rsid w:val="0034114D"/>
    <w:rsid w:val="0034116E"/>
    <w:rsid w:val="0034119B"/>
    <w:rsid w:val="003412C5"/>
    <w:rsid w:val="003412C9"/>
    <w:rsid w:val="0034131A"/>
    <w:rsid w:val="003413F3"/>
    <w:rsid w:val="00341428"/>
    <w:rsid w:val="003414B6"/>
    <w:rsid w:val="003415A8"/>
    <w:rsid w:val="0034162E"/>
    <w:rsid w:val="00341655"/>
    <w:rsid w:val="003416A7"/>
    <w:rsid w:val="0034175F"/>
    <w:rsid w:val="003418F5"/>
    <w:rsid w:val="0034194A"/>
    <w:rsid w:val="003419B3"/>
    <w:rsid w:val="003419DD"/>
    <w:rsid w:val="00341A5B"/>
    <w:rsid w:val="00341A85"/>
    <w:rsid w:val="00341AA2"/>
    <w:rsid w:val="00341C62"/>
    <w:rsid w:val="00341E00"/>
    <w:rsid w:val="00341E74"/>
    <w:rsid w:val="00341FE9"/>
    <w:rsid w:val="0034203F"/>
    <w:rsid w:val="0034204D"/>
    <w:rsid w:val="0034210B"/>
    <w:rsid w:val="003421D3"/>
    <w:rsid w:val="003422D8"/>
    <w:rsid w:val="003423E3"/>
    <w:rsid w:val="00342430"/>
    <w:rsid w:val="003424E2"/>
    <w:rsid w:val="0034250D"/>
    <w:rsid w:val="00342562"/>
    <w:rsid w:val="00342653"/>
    <w:rsid w:val="0034267E"/>
    <w:rsid w:val="00342796"/>
    <w:rsid w:val="003427BB"/>
    <w:rsid w:val="00342843"/>
    <w:rsid w:val="0034289D"/>
    <w:rsid w:val="003428E5"/>
    <w:rsid w:val="00342984"/>
    <w:rsid w:val="0034298D"/>
    <w:rsid w:val="00342AC5"/>
    <w:rsid w:val="00342AF5"/>
    <w:rsid w:val="00342B3D"/>
    <w:rsid w:val="00342B62"/>
    <w:rsid w:val="00342C12"/>
    <w:rsid w:val="00342C85"/>
    <w:rsid w:val="00342C90"/>
    <w:rsid w:val="00342CB6"/>
    <w:rsid w:val="00342D20"/>
    <w:rsid w:val="00342FDD"/>
    <w:rsid w:val="00343098"/>
    <w:rsid w:val="00343156"/>
    <w:rsid w:val="00343173"/>
    <w:rsid w:val="003431B7"/>
    <w:rsid w:val="00343354"/>
    <w:rsid w:val="0034338C"/>
    <w:rsid w:val="003433BD"/>
    <w:rsid w:val="00343455"/>
    <w:rsid w:val="00343490"/>
    <w:rsid w:val="003434BA"/>
    <w:rsid w:val="00343587"/>
    <w:rsid w:val="003435DD"/>
    <w:rsid w:val="0034362E"/>
    <w:rsid w:val="00343653"/>
    <w:rsid w:val="003436BA"/>
    <w:rsid w:val="003436CD"/>
    <w:rsid w:val="00343859"/>
    <w:rsid w:val="00343ADB"/>
    <w:rsid w:val="00343BA9"/>
    <w:rsid w:val="00343C5C"/>
    <w:rsid w:val="00343D78"/>
    <w:rsid w:val="00343DD9"/>
    <w:rsid w:val="00343EA2"/>
    <w:rsid w:val="00344032"/>
    <w:rsid w:val="00344037"/>
    <w:rsid w:val="00344073"/>
    <w:rsid w:val="003440BA"/>
    <w:rsid w:val="00344552"/>
    <w:rsid w:val="00344600"/>
    <w:rsid w:val="0034465C"/>
    <w:rsid w:val="00344679"/>
    <w:rsid w:val="00344777"/>
    <w:rsid w:val="0034478E"/>
    <w:rsid w:val="00344802"/>
    <w:rsid w:val="00344885"/>
    <w:rsid w:val="003448F6"/>
    <w:rsid w:val="003449C4"/>
    <w:rsid w:val="00344A24"/>
    <w:rsid w:val="00344A57"/>
    <w:rsid w:val="00344AA1"/>
    <w:rsid w:val="00344AFB"/>
    <w:rsid w:val="00344B2A"/>
    <w:rsid w:val="00344B5D"/>
    <w:rsid w:val="00344BD9"/>
    <w:rsid w:val="00344C05"/>
    <w:rsid w:val="00344CEA"/>
    <w:rsid w:val="00344CF0"/>
    <w:rsid w:val="00344D4D"/>
    <w:rsid w:val="00344D77"/>
    <w:rsid w:val="00344D85"/>
    <w:rsid w:val="00344DD3"/>
    <w:rsid w:val="00344DD4"/>
    <w:rsid w:val="00344DF8"/>
    <w:rsid w:val="00344E95"/>
    <w:rsid w:val="00344EDC"/>
    <w:rsid w:val="00344F41"/>
    <w:rsid w:val="00345030"/>
    <w:rsid w:val="00345056"/>
    <w:rsid w:val="003450B0"/>
    <w:rsid w:val="0034514A"/>
    <w:rsid w:val="00345190"/>
    <w:rsid w:val="003452BB"/>
    <w:rsid w:val="003453D6"/>
    <w:rsid w:val="003454B8"/>
    <w:rsid w:val="003454E6"/>
    <w:rsid w:val="00345512"/>
    <w:rsid w:val="00345559"/>
    <w:rsid w:val="003455C9"/>
    <w:rsid w:val="003456F8"/>
    <w:rsid w:val="0034570A"/>
    <w:rsid w:val="00345851"/>
    <w:rsid w:val="003458CA"/>
    <w:rsid w:val="0034593F"/>
    <w:rsid w:val="003459A7"/>
    <w:rsid w:val="00345CB9"/>
    <w:rsid w:val="00345E46"/>
    <w:rsid w:val="00345EE1"/>
    <w:rsid w:val="00345F14"/>
    <w:rsid w:val="00345F3C"/>
    <w:rsid w:val="00345FBB"/>
    <w:rsid w:val="00346052"/>
    <w:rsid w:val="00346080"/>
    <w:rsid w:val="003460B1"/>
    <w:rsid w:val="003460D8"/>
    <w:rsid w:val="003461CF"/>
    <w:rsid w:val="003461F2"/>
    <w:rsid w:val="00346263"/>
    <w:rsid w:val="00346451"/>
    <w:rsid w:val="003465F4"/>
    <w:rsid w:val="0034661F"/>
    <w:rsid w:val="003466CB"/>
    <w:rsid w:val="00346721"/>
    <w:rsid w:val="003467DC"/>
    <w:rsid w:val="0034685F"/>
    <w:rsid w:val="003468A2"/>
    <w:rsid w:val="003468A3"/>
    <w:rsid w:val="00346901"/>
    <w:rsid w:val="0034692F"/>
    <w:rsid w:val="003469CC"/>
    <w:rsid w:val="00346A53"/>
    <w:rsid w:val="00346A8B"/>
    <w:rsid w:val="00346AB3"/>
    <w:rsid w:val="00346B21"/>
    <w:rsid w:val="00346C23"/>
    <w:rsid w:val="00346D64"/>
    <w:rsid w:val="00346D7F"/>
    <w:rsid w:val="00346EED"/>
    <w:rsid w:val="00346F9B"/>
    <w:rsid w:val="00346FDC"/>
    <w:rsid w:val="00346FF7"/>
    <w:rsid w:val="00346FFF"/>
    <w:rsid w:val="0034701C"/>
    <w:rsid w:val="00347093"/>
    <w:rsid w:val="003471A8"/>
    <w:rsid w:val="003471E0"/>
    <w:rsid w:val="00347205"/>
    <w:rsid w:val="00347412"/>
    <w:rsid w:val="0034748E"/>
    <w:rsid w:val="0034751A"/>
    <w:rsid w:val="0034764E"/>
    <w:rsid w:val="00347818"/>
    <w:rsid w:val="00347890"/>
    <w:rsid w:val="00347921"/>
    <w:rsid w:val="00347924"/>
    <w:rsid w:val="00347A86"/>
    <w:rsid w:val="00347AD3"/>
    <w:rsid w:val="00347AE0"/>
    <w:rsid w:val="00347B53"/>
    <w:rsid w:val="00347BF8"/>
    <w:rsid w:val="00347C35"/>
    <w:rsid w:val="00347D5C"/>
    <w:rsid w:val="00347DE1"/>
    <w:rsid w:val="00347F96"/>
    <w:rsid w:val="00347FB6"/>
    <w:rsid w:val="0034F0D5"/>
    <w:rsid w:val="0034F891"/>
    <w:rsid w:val="0035008E"/>
    <w:rsid w:val="00350091"/>
    <w:rsid w:val="00350115"/>
    <w:rsid w:val="0035012C"/>
    <w:rsid w:val="0035018D"/>
    <w:rsid w:val="0035029E"/>
    <w:rsid w:val="003502DE"/>
    <w:rsid w:val="003503D5"/>
    <w:rsid w:val="003503E1"/>
    <w:rsid w:val="00350413"/>
    <w:rsid w:val="00350440"/>
    <w:rsid w:val="0035044E"/>
    <w:rsid w:val="0035064A"/>
    <w:rsid w:val="0035067F"/>
    <w:rsid w:val="00350692"/>
    <w:rsid w:val="003506B1"/>
    <w:rsid w:val="003506F0"/>
    <w:rsid w:val="00350745"/>
    <w:rsid w:val="003507CD"/>
    <w:rsid w:val="00350883"/>
    <w:rsid w:val="003508BD"/>
    <w:rsid w:val="0035090E"/>
    <w:rsid w:val="00350959"/>
    <w:rsid w:val="003509F8"/>
    <w:rsid w:val="00350A15"/>
    <w:rsid w:val="00350A19"/>
    <w:rsid w:val="00350A9F"/>
    <w:rsid w:val="00350AB6"/>
    <w:rsid w:val="00350AF6"/>
    <w:rsid w:val="00350B8D"/>
    <w:rsid w:val="00350DBF"/>
    <w:rsid w:val="00350EF4"/>
    <w:rsid w:val="00351092"/>
    <w:rsid w:val="003511C3"/>
    <w:rsid w:val="0035126F"/>
    <w:rsid w:val="00351281"/>
    <w:rsid w:val="003512BF"/>
    <w:rsid w:val="0035133C"/>
    <w:rsid w:val="003513D8"/>
    <w:rsid w:val="003514B4"/>
    <w:rsid w:val="003514D6"/>
    <w:rsid w:val="0035167C"/>
    <w:rsid w:val="003516BA"/>
    <w:rsid w:val="0035187E"/>
    <w:rsid w:val="003518A0"/>
    <w:rsid w:val="00351931"/>
    <w:rsid w:val="003519C4"/>
    <w:rsid w:val="00351A60"/>
    <w:rsid w:val="00351A6E"/>
    <w:rsid w:val="00351A95"/>
    <w:rsid w:val="00351C03"/>
    <w:rsid w:val="00351C09"/>
    <w:rsid w:val="00351C22"/>
    <w:rsid w:val="00351CF3"/>
    <w:rsid w:val="00351DFE"/>
    <w:rsid w:val="00351EAE"/>
    <w:rsid w:val="00351F20"/>
    <w:rsid w:val="00351F88"/>
    <w:rsid w:val="00351F97"/>
    <w:rsid w:val="0035202B"/>
    <w:rsid w:val="00352096"/>
    <w:rsid w:val="00352192"/>
    <w:rsid w:val="00352299"/>
    <w:rsid w:val="003522AD"/>
    <w:rsid w:val="003523BC"/>
    <w:rsid w:val="00352421"/>
    <w:rsid w:val="0035243D"/>
    <w:rsid w:val="00352446"/>
    <w:rsid w:val="0035244F"/>
    <w:rsid w:val="00352456"/>
    <w:rsid w:val="0035245D"/>
    <w:rsid w:val="003524F2"/>
    <w:rsid w:val="0035258C"/>
    <w:rsid w:val="00352711"/>
    <w:rsid w:val="0035274E"/>
    <w:rsid w:val="003528A4"/>
    <w:rsid w:val="00352A12"/>
    <w:rsid w:val="00352A72"/>
    <w:rsid w:val="00352AB6"/>
    <w:rsid w:val="00352B24"/>
    <w:rsid w:val="00352B27"/>
    <w:rsid w:val="00352B88"/>
    <w:rsid w:val="00352CAF"/>
    <w:rsid w:val="00352D4C"/>
    <w:rsid w:val="00352E3F"/>
    <w:rsid w:val="00352E7C"/>
    <w:rsid w:val="00352F2F"/>
    <w:rsid w:val="00352F52"/>
    <w:rsid w:val="00352FB1"/>
    <w:rsid w:val="00353111"/>
    <w:rsid w:val="00353192"/>
    <w:rsid w:val="0035319B"/>
    <w:rsid w:val="003531CE"/>
    <w:rsid w:val="00353244"/>
    <w:rsid w:val="00353502"/>
    <w:rsid w:val="0035357B"/>
    <w:rsid w:val="003535C1"/>
    <w:rsid w:val="00353673"/>
    <w:rsid w:val="003536F6"/>
    <w:rsid w:val="00353706"/>
    <w:rsid w:val="003537D3"/>
    <w:rsid w:val="003537FE"/>
    <w:rsid w:val="0035393E"/>
    <w:rsid w:val="00353947"/>
    <w:rsid w:val="0035398D"/>
    <w:rsid w:val="00353A23"/>
    <w:rsid w:val="00353B07"/>
    <w:rsid w:val="00353B18"/>
    <w:rsid w:val="00353C08"/>
    <w:rsid w:val="00353C3C"/>
    <w:rsid w:val="00353D15"/>
    <w:rsid w:val="00353E73"/>
    <w:rsid w:val="00353EBA"/>
    <w:rsid w:val="003540EE"/>
    <w:rsid w:val="00354187"/>
    <w:rsid w:val="00354200"/>
    <w:rsid w:val="00354208"/>
    <w:rsid w:val="00354356"/>
    <w:rsid w:val="00354424"/>
    <w:rsid w:val="00354448"/>
    <w:rsid w:val="0035445B"/>
    <w:rsid w:val="00354511"/>
    <w:rsid w:val="00354768"/>
    <w:rsid w:val="003547E0"/>
    <w:rsid w:val="00354892"/>
    <w:rsid w:val="003548C3"/>
    <w:rsid w:val="0035494B"/>
    <w:rsid w:val="003549B7"/>
    <w:rsid w:val="00354A26"/>
    <w:rsid w:val="00354A71"/>
    <w:rsid w:val="00354A73"/>
    <w:rsid w:val="00354AD3"/>
    <w:rsid w:val="00354BAA"/>
    <w:rsid w:val="003550FD"/>
    <w:rsid w:val="00355120"/>
    <w:rsid w:val="00355132"/>
    <w:rsid w:val="00355156"/>
    <w:rsid w:val="003551AB"/>
    <w:rsid w:val="003552CC"/>
    <w:rsid w:val="00355491"/>
    <w:rsid w:val="003555CF"/>
    <w:rsid w:val="0035561A"/>
    <w:rsid w:val="0035568A"/>
    <w:rsid w:val="00355692"/>
    <w:rsid w:val="003556D4"/>
    <w:rsid w:val="003556EF"/>
    <w:rsid w:val="00355728"/>
    <w:rsid w:val="003557C7"/>
    <w:rsid w:val="00355923"/>
    <w:rsid w:val="00355941"/>
    <w:rsid w:val="00355A50"/>
    <w:rsid w:val="00355ACC"/>
    <w:rsid w:val="00355BE2"/>
    <w:rsid w:val="00355BF9"/>
    <w:rsid w:val="00355C19"/>
    <w:rsid w:val="00355C1A"/>
    <w:rsid w:val="00355CAC"/>
    <w:rsid w:val="00355D11"/>
    <w:rsid w:val="00355D31"/>
    <w:rsid w:val="00355DA8"/>
    <w:rsid w:val="00355E41"/>
    <w:rsid w:val="00355EB3"/>
    <w:rsid w:val="0035606A"/>
    <w:rsid w:val="003560A6"/>
    <w:rsid w:val="003560AB"/>
    <w:rsid w:val="00356172"/>
    <w:rsid w:val="0035617E"/>
    <w:rsid w:val="0035624D"/>
    <w:rsid w:val="003562C8"/>
    <w:rsid w:val="003562CE"/>
    <w:rsid w:val="00356388"/>
    <w:rsid w:val="0035645E"/>
    <w:rsid w:val="0035646F"/>
    <w:rsid w:val="0035661C"/>
    <w:rsid w:val="003566CD"/>
    <w:rsid w:val="0035676A"/>
    <w:rsid w:val="003567D7"/>
    <w:rsid w:val="00356878"/>
    <w:rsid w:val="0035687F"/>
    <w:rsid w:val="0035688B"/>
    <w:rsid w:val="00356911"/>
    <w:rsid w:val="003569D6"/>
    <w:rsid w:val="00356A51"/>
    <w:rsid w:val="00356A84"/>
    <w:rsid w:val="00356A98"/>
    <w:rsid w:val="00356AB6"/>
    <w:rsid w:val="00356B4B"/>
    <w:rsid w:val="00356C0B"/>
    <w:rsid w:val="00356C65"/>
    <w:rsid w:val="00356DB6"/>
    <w:rsid w:val="00356E16"/>
    <w:rsid w:val="00356EC8"/>
    <w:rsid w:val="00356F2F"/>
    <w:rsid w:val="00356FF1"/>
    <w:rsid w:val="00357006"/>
    <w:rsid w:val="0035712D"/>
    <w:rsid w:val="003571CB"/>
    <w:rsid w:val="003571E2"/>
    <w:rsid w:val="00357238"/>
    <w:rsid w:val="0035730A"/>
    <w:rsid w:val="0035736B"/>
    <w:rsid w:val="003573A6"/>
    <w:rsid w:val="003573F2"/>
    <w:rsid w:val="00357412"/>
    <w:rsid w:val="0035749B"/>
    <w:rsid w:val="003575D6"/>
    <w:rsid w:val="00357604"/>
    <w:rsid w:val="00357679"/>
    <w:rsid w:val="003578AA"/>
    <w:rsid w:val="003578B9"/>
    <w:rsid w:val="003578C6"/>
    <w:rsid w:val="00357A4C"/>
    <w:rsid w:val="00357AAA"/>
    <w:rsid w:val="00357AE4"/>
    <w:rsid w:val="00357BA6"/>
    <w:rsid w:val="00357BDB"/>
    <w:rsid w:val="00357C17"/>
    <w:rsid w:val="00357C3D"/>
    <w:rsid w:val="00357D13"/>
    <w:rsid w:val="0036009E"/>
    <w:rsid w:val="003600A9"/>
    <w:rsid w:val="00360109"/>
    <w:rsid w:val="00360179"/>
    <w:rsid w:val="00360197"/>
    <w:rsid w:val="0036024D"/>
    <w:rsid w:val="003602A7"/>
    <w:rsid w:val="003603D6"/>
    <w:rsid w:val="003604D7"/>
    <w:rsid w:val="003604FE"/>
    <w:rsid w:val="00360584"/>
    <w:rsid w:val="00360599"/>
    <w:rsid w:val="003605E9"/>
    <w:rsid w:val="003605FE"/>
    <w:rsid w:val="003607C1"/>
    <w:rsid w:val="00360855"/>
    <w:rsid w:val="00360874"/>
    <w:rsid w:val="0036090B"/>
    <w:rsid w:val="0036090E"/>
    <w:rsid w:val="00360935"/>
    <w:rsid w:val="00360CDB"/>
    <w:rsid w:val="00360DEC"/>
    <w:rsid w:val="00360E48"/>
    <w:rsid w:val="00360EFE"/>
    <w:rsid w:val="00360F31"/>
    <w:rsid w:val="00360F37"/>
    <w:rsid w:val="00360FE2"/>
    <w:rsid w:val="00360FEF"/>
    <w:rsid w:val="003610A5"/>
    <w:rsid w:val="0036128C"/>
    <w:rsid w:val="0036135F"/>
    <w:rsid w:val="003613C1"/>
    <w:rsid w:val="003613C3"/>
    <w:rsid w:val="0036141E"/>
    <w:rsid w:val="00361464"/>
    <w:rsid w:val="003614A6"/>
    <w:rsid w:val="0036151A"/>
    <w:rsid w:val="00361536"/>
    <w:rsid w:val="0036155F"/>
    <w:rsid w:val="00361579"/>
    <w:rsid w:val="00361587"/>
    <w:rsid w:val="003615CC"/>
    <w:rsid w:val="003615D8"/>
    <w:rsid w:val="00361691"/>
    <w:rsid w:val="003616BC"/>
    <w:rsid w:val="003616DC"/>
    <w:rsid w:val="0036175D"/>
    <w:rsid w:val="0036180B"/>
    <w:rsid w:val="003618A5"/>
    <w:rsid w:val="003618BE"/>
    <w:rsid w:val="003618C7"/>
    <w:rsid w:val="00361959"/>
    <w:rsid w:val="00361A7D"/>
    <w:rsid w:val="00361AA7"/>
    <w:rsid w:val="00361CA1"/>
    <w:rsid w:val="00361DD3"/>
    <w:rsid w:val="00361DDE"/>
    <w:rsid w:val="00361F4A"/>
    <w:rsid w:val="00362028"/>
    <w:rsid w:val="00362051"/>
    <w:rsid w:val="003620B7"/>
    <w:rsid w:val="003620C3"/>
    <w:rsid w:val="00362144"/>
    <w:rsid w:val="00362184"/>
    <w:rsid w:val="003622E9"/>
    <w:rsid w:val="00362354"/>
    <w:rsid w:val="0036237F"/>
    <w:rsid w:val="003623B5"/>
    <w:rsid w:val="0036241E"/>
    <w:rsid w:val="00362493"/>
    <w:rsid w:val="003624C7"/>
    <w:rsid w:val="003624F8"/>
    <w:rsid w:val="00362511"/>
    <w:rsid w:val="00362590"/>
    <w:rsid w:val="003625D8"/>
    <w:rsid w:val="003625E7"/>
    <w:rsid w:val="00362636"/>
    <w:rsid w:val="00362661"/>
    <w:rsid w:val="003626D5"/>
    <w:rsid w:val="003626EB"/>
    <w:rsid w:val="003626F3"/>
    <w:rsid w:val="003627E3"/>
    <w:rsid w:val="0036285B"/>
    <w:rsid w:val="0036287B"/>
    <w:rsid w:val="00362899"/>
    <w:rsid w:val="0036289B"/>
    <w:rsid w:val="0036292D"/>
    <w:rsid w:val="00362941"/>
    <w:rsid w:val="00362A64"/>
    <w:rsid w:val="00362B2A"/>
    <w:rsid w:val="00362B7C"/>
    <w:rsid w:val="00362C23"/>
    <w:rsid w:val="00362C7A"/>
    <w:rsid w:val="00362CC2"/>
    <w:rsid w:val="00362E6B"/>
    <w:rsid w:val="00362F8B"/>
    <w:rsid w:val="00362F8C"/>
    <w:rsid w:val="00362FA9"/>
    <w:rsid w:val="00363028"/>
    <w:rsid w:val="00363208"/>
    <w:rsid w:val="003633A7"/>
    <w:rsid w:val="003633B5"/>
    <w:rsid w:val="0036346D"/>
    <w:rsid w:val="003634B9"/>
    <w:rsid w:val="00363551"/>
    <w:rsid w:val="003635C6"/>
    <w:rsid w:val="00363772"/>
    <w:rsid w:val="003637EB"/>
    <w:rsid w:val="00363910"/>
    <w:rsid w:val="00363931"/>
    <w:rsid w:val="00363A52"/>
    <w:rsid w:val="00363A70"/>
    <w:rsid w:val="00363B10"/>
    <w:rsid w:val="00363B30"/>
    <w:rsid w:val="00363BB5"/>
    <w:rsid w:val="00363BF2"/>
    <w:rsid w:val="00363C1D"/>
    <w:rsid w:val="00363DAE"/>
    <w:rsid w:val="00363E22"/>
    <w:rsid w:val="0036409A"/>
    <w:rsid w:val="00364318"/>
    <w:rsid w:val="00364414"/>
    <w:rsid w:val="003644D2"/>
    <w:rsid w:val="00364527"/>
    <w:rsid w:val="003645A6"/>
    <w:rsid w:val="003645D2"/>
    <w:rsid w:val="003647BB"/>
    <w:rsid w:val="003649D6"/>
    <w:rsid w:val="003649EA"/>
    <w:rsid w:val="00364ADC"/>
    <w:rsid w:val="00364AEB"/>
    <w:rsid w:val="00364B66"/>
    <w:rsid w:val="00364B90"/>
    <w:rsid w:val="00364C15"/>
    <w:rsid w:val="00364C9C"/>
    <w:rsid w:val="00364D12"/>
    <w:rsid w:val="00364E10"/>
    <w:rsid w:val="00364E72"/>
    <w:rsid w:val="00364EC8"/>
    <w:rsid w:val="00364EF0"/>
    <w:rsid w:val="00364F0C"/>
    <w:rsid w:val="00364F2B"/>
    <w:rsid w:val="00365017"/>
    <w:rsid w:val="003650B8"/>
    <w:rsid w:val="00365137"/>
    <w:rsid w:val="0036514D"/>
    <w:rsid w:val="00365178"/>
    <w:rsid w:val="003651AA"/>
    <w:rsid w:val="00365205"/>
    <w:rsid w:val="00365296"/>
    <w:rsid w:val="0036531B"/>
    <w:rsid w:val="00365376"/>
    <w:rsid w:val="003653ED"/>
    <w:rsid w:val="0036542C"/>
    <w:rsid w:val="0036547B"/>
    <w:rsid w:val="003656BF"/>
    <w:rsid w:val="00365705"/>
    <w:rsid w:val="00365808"/>
    <w:rsid w:val="0036584C"/>
    <w:rsid w:val="00365862"/>
    <w:rsid w:val="003658EA"/>
    <w:rsid w:val="00365B29"/>
    <w:rsid w:val="00365B4A"/>
    <w:rsid w:val="00365B78"/>
    <w:rsid w:val="00365C72"/>
    <w:rsid w:val="00365CFA"/>
    <w:rsid w:val="00365D38"/>
    <w:rsid w:val="00365D9A"/>
    <w:rsid w:val="00365DA8"/>
    <w:rsid w:val="00365E20"/>
    <w:rsid w:val="00365E4F"/>
    <w:rsid w:val="00365FDD"/>
    <w:rsid w:val="00366059"/>
    <w:rsid w:val="003660BA"/>
    <w:rsid w:val="0036619B"/>
    <w:rsid w:val="00366386"/>
    <w:rsid w:val="003663C0"/>
    <w:rsid w:val="003663CC"/>
    <w:rsid w:val="00366412"/>
    <w:rsid w:val="00366531"/>
    <w:rsid w:val="00366970"/>
    <w:rsid w:val="0036698E"/>
    <w:rsid w:val="00366AA9"/>
    <w:rsid w:val="00366AE8"/>
    <w:rsid w:val="00366B2C"/>
    <w:rsid w:val="00366C01"/>
    <w:rsid w:val="00366D0E"/>
    <w:rsid w:val="00366D50"/>
    <w:rsid w:val="00366DC9"/>
    <w:rsid w:val="00366F53"/>
    <w:rsid w:val="00366F56"/>
    <w:rsid w:val="00366F59"/>
    <w:rsid w:val="00366FC5"/>
    <w:rsid w:val="0036708E"/>
    <w:rsid w:val="00367159"/>
    <w:rsid w:val="003671BD"/>
    <w:rsid w:val="003671E8"/>
    <w:rsid w:val="003673BB"/>
    <w:rsid w:val="003673C0"/>
    <w:rsid w:val="0036742B"/>
    <w:rsid w:val="00367444"/>
    <w:rsid w:val="00367445"/>
    <w:rsid w:val="00367531"/>
    <w:rsid w:val="00367585"/>
    <w:rsid w:val="0036758C"/>
    <w:rsid w:val="00367655"/>
    <w:rsid w:val="003679DD"/>
    <w:rsid w:val="00367A17"/>
    <w:rsid w:val="00367A23"/>
    <w:rsid w:val="00367A9A"/>
    <w:rsid w:val="00367B2E"/>
    <w:rsid w:val="00367BB6"/>
    <w:rsid w:val="00367CA2"/>
    <w:rsid w:val="00367CE2"/>
    <w:rsid w:val="00367DD6"/>
    <w:rsid w:val="00367E04"/>
    <w:rsid w:val="00367E64"/>
    <w:rsid w:val="00367EE2"/>
    <w:rsid w:val="00370060"/>
    <w:rsid w:val="003700C4"/>
    <w:rsid w:val="00370240"/>
    <w:rsid w:val="00370278"/>
    <w:rsid w:val="00370304"/>
    <w:rsid w:val="0037036F"/>
    <w:rsid w:val="00370557"/>
    <w:rsid w:val="003705AF"/>
    <w:rsid w:val="003705B7"/>
    <w:rsid w:val="0037069A"/>
    <w:rsid w:val="003706A0"/>
    <w:rsid w:val="003706A8"/>
    <w:rsid w:val="003706C1"/>
    <w:rsid w:val="003706D5"/>
    <w:rsid w:val="003708B3"/>
    <w:rsid w:val="0037095B"/>
    <w:rsid w:val="00370B52"/>
    <w:rsid w:val="00370BE4"/>
    <w:rsid w:val="00370CD9"/>
    <w:rsid w:val="00370E46"/>
    <w:rsid w:val="00370E55"/>
    <w:rsid w:val="00371001"/>
    <w:rsid w:val="0037107D"/>
    <w:rsid w:val="00371092"/>
    <w:rsid w:val="003711BA"/>
    <w:rsid w:val="00371204"/>
    <w:rsid w:val="003713BE"/>
    <w:rsid w:val="003713C4"/>
    <w:rsid w:val="003713CD"/>
    <w:rsid w:val="00371420"/>
    <w:rsid w:val="0037146E"/>
    <w:rsid w:val="0037155B"/>
    <w:rsid w:val="00371626"/>
    <w:rsid w:val="00371719"/>
    <w:rsid w:val="00371762"/>
    <w:rsid w:val="003717A4"/>
    <w:rsid w:val="003718F5"/>
    <w:rsid w:val="00371937"/>
    <w:rsid w:val="003719C2"/>
    <w:rsid w:val="003719C6"/>
    <w:rsid w:val="00371A34"/>
    <w:rsid w:val="00371A47"/>
    <w:rsid w:val="00371A74"/>
    <w:rsid w:val="00371AEE"/>
    <w:rsid w:val="00371AF2"/>
    <w:rsid w:val="00371B96"/>
    <w:rsid w:val="00371CF7"/>
    <w:rsid w:val="00371D56"/>
    <w:rsid w:val="00371D71"/>
    <w:rsid w:val="00371DE2"/>
    <w:rsid w:val="00371E67"/>
    <w:rsid w:val="00371E73"/>
    <w:rsid w:val="00371EFA"/>
    <w:rsid w:val="00371F98"/>
    <w:rsid w:val="00372062"/>
    <w:rsid w:val="003720F2"/>
    <w:rsid w:val="00372184"/>
    <w:rsid w:val="003721B5"/>
    <w:rsid w:val="003721C6"/>
    <w:rsid w:val="0037231B"/>
    <w:rsid w:val="0037232E"/>
    <w:rsid w:val="003724A8"/>
    <w:rsid w:val="003725E4"/>
    <w:rsid w:val="00372763"/>
    <w:rsid w:val="003727A1"/>
    <w:rsid w:val="00372856"/>
    <w:rsid w:val="003729ED"/>
    <w:rsid w:val="00372B61"/>
    <w:rsid w:val="00372BC3"/>
    <w:rsid w:val="00372C87"/>
    <w:rsid w:val="00372CAD"/>
    <w:rsid w:val="00372CDF"/>
    <w:rsid w:val="00372D6E"/>
    <w:rsid w:val="00372D82"/>
    <w:rsid w:val="00372DEB"/>
    <w:rsid w:val="00372EDE"/>
    <w:rsid w:val="00372F48"/>
    <w:rsid w:val="00372FD2"/>
    <w:rsid w:val="00373034"/>
    <w:rsid w:val="0037304B"/>
    <w:rsid w:val="0037307F"/>
    <w:rsid w:val="003730D2"/>
    <w:rsid w:val="003730EE"/>
    <w:rsid w:val="00373181"/>
    <w:rsid w:val="0037323E"/>
    <w:rsid w:val="0037324F"/>
    <w:rsid w:val="003732EE"/>
    <w:rsid w:val="00373414"/>
    <w:rsid w:val="003734E8"/>
    <w:rsid w:val="0037356C"/>
    <w:rsid w:val="00373728"/>
    <w:rsid w:val="00373885"/>
    <w:rsid w:val="003739D9"/>
    <w:rsid w:val="00373A06"/>
    <w:rsid w:val="00373A0E"/>
    <w:rsid w:val="00373A4D"/>
    <w:rsid w:val="00373B67"/>
    <w:rsid w:val="00373BBE"/>
    <w:rsid w:val="00373E32"/>
    <w:rsid w:val="00373F51"/>
    <w:rsid w:val="00373F8D"/>
    <w:rsid w:val="00373FDE"/>
    <w:rsid w:val="00374001"/>
    <w:rsid w:val="0037407A"/>
    <w:rsid w:val="00374243"/>
    <w:rsid w:val="0037426E"/>
    <w:rsid w:val="0037427E"/>
    <w:rsid w:val="003744BC"/>
    <w:rsid w:val="003745FB"/>
    <w:rsid w:val="00374620"/>
    <w:rsid w:val="00374744"/>
    <w:rsid w:val="0037474B"/>
    <w:rsid w:val="00374753"/>
    <w:rsid w:val="003747DD"/>
    <w:rsid w:val="003747EA"/>
    <w:rsid w:val="0037480C"/>
    <w:rsid w:val="003748B5"/>
    <w:rsid w:val="003748B9"/>
    <w:rsid w:val="00374A46"/>
    <w:rsid w:val="00374A6B"/>
    <w:rsid w:val="00374B11"/>
    <w:rsid w:val="00374C92"/>
    <w:rsid w:val="00374C9A"/>
    <w:rsid w:val="00374D1A"/>
    <w:rsid w:val="00374E3B"/>
    <w:rsid w:val="00374EAB"/>
    <w:rsid w:val="00374F97"/>
    <w:rsid w:val="00375027"/>
    <w:rsid w:val="00375036"/>
    <w:rsid w:val="00375067"/>
    <w:rsid w:val="003751A4"/>
    <w:rsid w:val="003751DD"/>
    <w:rsid w:val="00375219"/>
    <w:rsid w:val="00375225"/>
    <w:rsid w:val="0037527C"/>
    <w:rsid w:val="00375353"/>
    <w:rsid w:val="003753F2"/>
    <w:rsid w:val="00375442"/>
    <w:rsid w:val="0037547A"/>
    <w:rsid w:val="0037548C"/>
    <w:rsid w:val="00375578"/>
    <w:rsid w:val="0037572A"/>
    <w:rsid w:val="00375830"/>
    <w:rsid w:val="00375896"/>
    <w:rsid w:val="00375A2A"/>
    <w:rsid w:val="00375AB5"/>
    <w:rsid w:val="00375B9B"/>
    <w:rsid w:val="00375C17"/>
    <w:rsid w:val="00375CA7"/>
    <w:rsid w:val="00375D4B"/>
    <w:rsid w:val="00375DBC"/>
    <w:rsid w:val="00375DC2"/>
    <w:rsid w:val="00375E4A"/>
    <w:rsid w:val="00375E9D"/>
    <w:rsid w:val="00375F28"/>
    <w:rsid w:val="00375FD0"/>
    <w:rsid w:val="00376017"/>
    <w:rsid w:val="003760C0"/>
    <w:rsid w:val="003760C8"/>
    <w:rsid w:val="0037610F"/>
    <w:rsid w:val="0037614E"/>
    <w:rsid w:val="00376183"/>
    <w:rsid w:val="00376288"/>
    <w:rsid w:val="003763D1"/>
    <w:rsid w:val="0037644A"/>
    <w:rsid w:val="0037650A"/>
    <w:rsid w:val="0037659B"/>
    <w:rsid w:val="003765D4"/>
    <w:rsid w:val="003765DB"/>
    <w:rsid w:val="003766DD"/>
    <w:rsid w:val="003766F2"/>
    <w:rsid w:val="003767E4"/>
    <w:rsid w:val="003768B2"/>
    <w:rsid w:val="003768DA"/>
    <w:rsid w:val="00376B69"/>
    <w:rsid w:val="00376B74"/>
    <w:rsid w:val="00376C04"/>
    <w:rsid w:val="00376CF2"/>
    <w:rsid w:val="00376D03"/>
    <w:rsid w:val="00376D59"/>
    <w:rsid w:val="00376D5D"/>
    <w:rsid w:val="00376F95"/>
    <w:rsid w:val="00377055"/>
    <w:rsid w:val="003770B7"/>
    <w:rsid w:val="003770B8"/>
    <w:rsid w:val="003770D3"/>
    <w:rsid w:val="0037724A"/>
    <w:rsid w:val="00377257"/>
    <w:rsid w:val="003772A0"/>
    <w:rsid w:val="00377449"/>
    <w:rsid w:val="0037748F"/>
    <w:rsid w:val="00377498"/>
    <w:rsid w:val="003774EE"/>
    <w:rsid w:val="003777F7"/>
    <w:rsid w:val="00377811"/>
    <w:rsid w:val="00377881"/>
    <w:rsid w:val="003779BE"/>
    <w:rsid w:val="003779F3"/>
    <w:rsid w:val="00377A0D"/>
    <w:rsid w:val="00377D21"/>
    <w:rsid w:val="00377D61"/>
    <w:rsid w:val="00377D8A"/>
    <w:rsid w:val="00377DC5"/>
    <w:rsid w:val="00377E2E"/>
    <w:rsid w:val="00377E30"/>
    <w:rsid w:val="003800BF"/>
    <w:rsid w:val="0038017A"/>
    <w:rsid w:val="003801A1"/>
    <w:rsid w:val="00380231"/>
    <w:rsid w:val="003802E9"/>
    <w:rsid w:val="00380344"/>
    <w:rsid w:val="00380389"/>
    <w:rsid w:val="003803BE"/>
    <w:rsid w:val="003804F9"/>
    <w:rsid w:val="00380775"/>
    <w:rsid w:val="00380962"/>
    <w:rsid w:val="00380A12"/>
    <w:rsid w:val="00380A32"/>
    <w:rsid w:val="00380A6E"/>
    <w:rsid w:val="00380B30"/>
    <w:rsid w:val="00380B5F"/>
    <w:rsid w:val="00380B7E"/>
    <w:rsid w:val="00380BD2"/>
    <w:rsid w:val="00380BE5"/>
    <w:rsid w:val="00380F3A"/>
    <w:rsid w:val="00380F86"/>
    <w:rsid w:val="00381032"/>
    <w:rsid w:val="003810C9"/>
    <w:rsid w:val="0038116E"/>
    <w:rsid w:val="003811F7"/>
    <w:rsid w:val="003812EE"/>
    <w:rsid w:val="00381317"/>
    <w:rsid w:val="00381414"/>
    <w:rsid w:val="00381516"/>
    <w:rsid w:val="003815CF"/>
    <w:rsid w:val="00381610"/>
    <w:rsid w:val="00381671"/>
    <w:rsid w:val="003816E1"/>
    <w:rsid w:val="00381802"/>
    <w:rsid w:val="00381954"/>
    <w:rsid w:val="0038198D"/>
    <w:rsid w:val="00381B22"/>
    <w:rsid w:val="00381C01"/>
    <w:rsid w:val="00381C56"/>
    <w:rsid w:val="00381CE8"/>
    <w:rsid w:val="00381DBC"/>
    <w:rsid w:val="0038201A"/>
    <w:rsid w:val="003820AF"/>
    <w:rsid w:val="0038212D"/>
    <w:rsid w:val="0038236B"/>
    <w:rsid w:val="003823F0"/>
    <w:rsid w:val="0038242F"/>
    <w:rsid w:val="00382494"/>
    <w:rsid w:val="003826AD"/>
    <w:rsid w:val="003826C0"/>
    <w:rsid w:val="003828E4"/>
    <w:rsid w:val="00382A97"/>
    <w:rsid w:val="00382AD0"/>
    <w:rsid w:val="00382B1B"/>
    <w:rsid w:val="00382B7D"/>
    <w:rsid w:val="00382B8F"/>
    <w:rsid w:val="00382BF5"/>
    <w:rsid w:val="00382C19"/>
    <w:rsid w:val="00382CA4"/>
    <w:rsid w:val="00382D06"/>
    <w:rsid w:val="00382D1C"/>
    <w:rsid w:val="00382DC4"/>
    <w:rsid w:val="00382ED0"/>
    <w:rsid w:val="00382ED6"/>
    <w:rsid w:val="00382FA9"/>
    <w:rsid w:val="00382FFF"/>
    <w:rsid w:val="00383000"/>
    <w:rsid w:val="00383054"/>
    <w:rsid w:val="0038305D"/>
    <w:rsid w:val="003830C0"/>
    <w:rsid w:val="0038333E"/>
    <w:rsid w:val="00383401"/>
    <w:rsid w:val="0038345B"/>
    <w:rsid w:val="003834D2"/>
    <w:rsid w:val="0038354C"/>
    <w:rsid w:val="00383637"/>
    <w:rsid w:val="003838B0"/>
    <w:rsid w:val="003838F8"/>
    <w:rsid w:val="00383A04"/>
    <w:rsid w:val="00383A9C"/>
    <w:rsid w:val="00383B1C"/>
    <w:rsid w:val="00383B95"/>
    <w:rsid w:val="00383C11"/>
    <w:rsid w:val="00383CB0"/>
    <w:rsid w:val="00383D42"/>
    <w:rsid w:val="00383D61"/>
    <w:rsid w:val="00383D84"/>
    <w:rsid w:val="00383DA5"/>
    <w:rsid w:val="00383DCC"/>
    <w:rsid w:val="00383FD9"/>
    <w:rsid w:val="003840D4"/>
    <w:rsid w:val="003840F9"/>
    <w:rsid w:val="00384192"/>
    <w:rsid w:val="00384197"/>
    <w:rsid w:val="00384215"/>
    <w:rsid w:val="003842BB"/>
    <w:rsid w:val="003842C3"/>
    <w:rsid w:val="0038450C"/>
    <w:rsid w:val="00384582"/>
    <w:rsid w:val="0038460E"/>
    <w:rsid w:val="003846E8"/>
    <w:rsid w:val="00384706"/>
    <w:rsid w:val="00384723"/>
    <w:rsid w:val="00384ADC"/>
    <w:rsid w:val="00384AFA"/>
    <w:rsid w:val="00384B60"/>
    <w:rsid w:val="00384C58"/>
    <w:rsid w:val="00384CF0"/>
    <w:rsid w:val="00384E3F"/>
    <w:rsid w:val="00384F7C"/>
    <w:rsid w:val="00384FB7"/>
    <w:rsid w:val="00385035"/>
    <w:rsid w:val="0038505E"/>
    <w:rsid w:val="0038507F"/>
    <w:rsid w:val="00385248"/>
    <w:rsid w:val="0038533E"/>
    <w:rsid w:val="003853CF"/>
    <w:rsid w:val="003854A2"/>
    <w:rsid w:val="003854B3"/>
    <w:rsid w:val="00385541"/>
    <w:rsid w:val="003855C9"/>
    <w:rsid w:val="003855EF"/>
    <w:rsid w:val="00385603"/>
    <w:rsid w:val="0038561E"/>
    <w:rsid w:val="003856F0"/>
    <w:rsid w:val="00385810"/>
    <w:rsid w:val="00385B99"/>
    <w:rsid w:val="00385BD1"/>
    <w:rsid w:val="00385CC3"/>
    <w:rsid w:val="00385D59"/>
    <w:rsid w:val="00385DB6"/>
    <w:rsid w:val="00385DDC"/>
    <w:rsid w:val="00385E88"/>
    <w:rsid w:val="00385F8D"/>
    <w:rsid w:val="00386092"/>
    <w:rsid w:val="00386220"/>
    <w:rsid w:val="00386225"/>
    <w:rsid w:val="00386233"/>
    <w:rsid w:val="0038626E"/>
    <w:rsid w:val="0038643B"/>
    <w:rsid w:val="00386606"/>
    <w:rsid w:val="00386625"/>
    <w:rsid w:val="00386641"/>
    <w:rsid w:val="003866AC"/>
    <w:rsid w:val="003866BD"/>
    <w:rsid w:val="0038672A"/>
    <w:rsid w:val="003868FD"/>
    <w:rsid w:val="00386922"/>
    <w:rsid w:val="003869A7"/>
    <w:rsid w:val="00386AC6"/>
    <w:rsid w:val="00386AF1"/>
    <w:rsid w:val="00386B08"/>
    <w:rsid w:val="00386B76"/>
    <w:rsid w:val="00386B98"/>
    <w:rsid w:val="00386BEC"/>
    <w:rsid w:val="00386C04"/>
    <w:rsid w:val="00386C70"/>
    <w:rsid w:val="00386D59"/>
    <w:rsid w:val="00386DF4"/>
    <w:rsid w:val="00386E02"/>
    <w:rsid w:val="00386EFD"/>
    <w:rsid w:val="00387001"/>
    <w:rsid w:val="0038713A"/>
    <w:rsid w:val="003872DA"/>
    <w:rsid w:val="003872E9"/>
    <w:rsid w:val="0038731E"/>
    <w:rsid w:val="003873DB"/>
    <w:rsid w:val="003874AD"/>
    <w:rsid w:val="003874DF"/>
    <w:rsid w:val="003874E4"/>
    <w:rsid w:val="003876C3"/>
    <w:rsid w:val="003876EC"/>
    <w:rsid w:val="003877F0"/>
    <w:rsid w:val="00387948"/>
    <w:rsid w:val="00387951"/>
    <w:rsid w:val="003879E4"/>
    <w:rsid w:val="00387A1E"/>
    <w:rsid w:val="00387A32"/>
    <w:rsid w:val="00387AFD"/>
    <w:rsid w:val="00387BA2"/>
    <w:rsid w:val="00387C8A"/>
    <w:rsid w:val="00387CB9"/>
    <w:rsid w:val="00387CBF"/>
    <w:rsid w:val="00387D2B"/>
    <w:rsid w:val="00387D4A"/>
    <w:rsid w:val="00390046"/>
    <w:rsid w:val="00390047"/>
    <w:rsid w:val="00390049"/>
    <w:rsid w:val="003900A5"/>
    <w:rsid w:val="003900EF"/>
    <w:rsid w:val="003901C3"/>
    <w:rsid w:val="00390236"/>
    <w:rsid w:val="00390237"/>
    <w:rsid w:val="003902DA"/>
    <w:rsid w:val="0039031D"/>
    <w:rsid w:val="00390359"/>
    <w:rsid w:val="0039035D"/>
    <w:rsid w:val="003903C1"/>
    <w:rsid w:val="00390444"/>
    <w:rsid w:val="0039044A"/>
    <w:rsid w:val="003905BD"/>
    <w:rsid w:val="003905F7"/>
    <w:rsid w:val="0039063E"/>
    <w:rsid w:val="00390760"/>
    <w:rsid w:val="003909D9"/>
    <w:rsid w:val="00390A8C"/>
    <w:rsid w:val="00390AE0"/>
    <w:rsid w:val="00390B80"/>
    <w:rsid w:val="00390BA3"/>
    <w:rsid w:val="00390BC9"/>
    <w:rsid w:val="00390D5E"/>
    <w:rsid w:val="00390F44"/>
    <w:rsid w:val="00390FFA"/>
    <w:rsid w:val="003910D7"/>
    <w:rsid w:val="0039130C"/>
    <w:rsid w:val="00391405"/>
    <w:rsid w:val="00391530"/>
    <w:rsid w:val="00391542"/>
    <w:rsid w:val="0039154D"/>
    <w:rsid w:val="003915A3"/>
    <w:rsid w:val="00391692"/>
    <w:rsid w:val="0039171E"/>
    <w:rsid w:val="003917B5"/>
    <w:rsid w:val="00391939"/>
    <w:rsid w:val="00391980"/>
    <w:rsid w:val="003919B9"/>
    <w:rsid w:val="00391A47"/>
    <w:rsid w:val="00391A4C"/>
    <w:rsid w:val="00391BBA"/>
    <w:rsid w:val="00391CFE"/>
    <w:rsid w:val="00391D61"/>
    <w:rsid w:val="00391E8B"/>
    <w:rsid w:val="00391EE4"/>
    <w:rsid w:val="00391EF2"/>
    <w:rsid w:val="00391FF7"/>
    <w:rsid w:val="00392028"/>
    <w:rsid w:val="0039206B"/>
    <w:rsid w:val="00392331"/>
    <w:rsid w:val="00392367"/>
    <w:rsid w:val="00392422"/>
    <w:rsid w:val="003924A6"/>
    <w:rsid w:val="003924C6"/>
    <w:rsid w:val="00392628"/>
    <w:rsid w:val="00392726"/>
    <w:rsid w:val="0039288E"/>
    <w:rsid w:val="00392905"/>
    <w:rsid w:val="00392908"/>
    <w:rsid w:val="00392964"/>
    <w:rsid w:val="00392994"/>
    <w:rsid w:val="003929E0"/>
    <w:rsid w:val="00392A5C"/>
    <w:rsid w:val="00392AC0"/>
    <w:rsid w:val="00392AE0"/>
    <w:rsid w:val="00392CA5"/>
    <w:rsid w:val="00392D80"/>
    <w:rsid w:val="00392E08"/>
    <w:rsid w:val="00392E26"/>
    <w:rsid w:val="00392E3F"/>
    <w:rsid w:val="00392E52"/>
    <w:rsid w:val="00392EDC"/>
    <w:rsid w:val="00392F70"/>
    <w:rsid w:val="00392FD7"/>
    <w:rsid w:val="0039303E"/>
    <w:rsid w:val="003930F0"/>
    <w:rsid w:val="00393171"/>
    <w:rsid w:val="00393283"/>
    <w:rsid w:val="003932D5"/>
    <w:rsid w:val="003932F6"/>
    <w:rsid w:val="003932FD"/>
    <w:rsid w:val="003933A9"/>
    <w:rsid w:val="003933E6"/>
    <w:rsid w:val="0039341D"/>
    <w:rsid w:val="003934EC"/>
    <w:rsid w:val="00393510"/>
    <w:rsid w:val="00393679"/>
    <w:rsid w:val="003937C7"/>
    <w:rsid w:val="003937DC"/>
    <w:rsid w:val="00393868"/>
    <w:rsid w:val="003938FA"/>
    <w:rsid w:val="00393977"/>
    <w:rsid w:val="00393984"/>
    <w:rsid w:val="003939EF"/>
    <w:rsid w:val="00393AE8"/>
    <w:rsid w:val="00393B42"/>
    <w:rsid w:val="00393B73"/>
    <w:rsid w:val="00393BC9"/>
    <w:rsid w:val="00393BE8"/>
    <w:rsid w:val="00393DA1"/>
    <w:rsid w:val="00393EF0"/>
    <w:rsid w:val="00394056"/>
    <w:rsid w:val="003940C4"/>
    <w:rsid w:val="003941B3"/>
    <w:rsid w:val="003941F5"/>
    <w:rsid w:val="00394329"/>
    <w:rsid w:val="0039433D"/>
    <w:rsid w:val="00394396"/>
    <w:rsid w:val="00394569"/>
    <w:rsid w:val="00394617"/>
    <w:rsid w:val="00394669"/>
    <w:rsid w:val="00394747"/>
    <w:rsid w:val="0039480F"/>
    <w:rsid w:val="00394909"/>
    <w:rsid w:val="0039498E"/>
    <w:rsid w:val="003949E8"/>
    <w:rsid w:val="003949EC"/>
    <w:rsid w:val="00394A72"/>
    <w:rsid w:val="00394B1B"/>
    <w:rsid w:val="00394B8A"/>
    <w:rsid w:val="00394C47"/>
    <w:rsid w:val="00394DD8"/>
    <w:rsid w:val="00394F38"/>
    <w:rsid w:val="00394F4E"/>
    <w:rsid w:val="00394F4F"/>
    <w:rsid w:val="00394F68"/>
    <w:rsid w:val="0039511D"/>
    <w:rsid w:val="00395163"/>
    <w:rsid w:val="00395326"/>
    <w:rsid w:val="0039544A"/>
    <w:rsid w:val="00395501"/>
    <w:rsid w:val="00395521"/>
    <w:rsid w:val="0039554F"/>
    <w:rsid w:val="003955EB"/>
    <w:rsid w:val="003956B8"/>
    <w:rsid w:val="00395774"/>
    <w:rsid w:val="003957B4"/>
    <w:rsid w:val="0039588C"/>
    <w:rsid w:val="00395970"/>
    <w:rsid w:val="00395A56"/>
    <w:rsid w:val="00395A5A"/>
    <w:rsid w:val="00395AFF"/>
    <w:rsid w:val="00395B0C"/>
    <w:rsid w:val="00395B28"/>
    <w:rsid w:val="00395C7C"/>
    <w:rsid w:val="00395DE0"/>
    <w:rsid w:val="00395DE9"/>
    <w:rsid w:val="00395F10"/>
    <w:rsid w:val="00395F43"/>
    <w:rsid w:val="00395F6D"/>
    <w:rsid w:val="00395FA8"/>
    <w:rsid w:val="00396023"/>
    <w:rsid w:val="003960AD"/>
    <w:rsid w:val="003960AE"/>
    <w:rsid w:val="003960DB"/>
    <w:rsid w:val="003961B7"/>
    <w:rsid w:val="0039630A"/>
    <w:rsid w:val="0039633F"/>
    <w:rsid w:val="0039638A"/>
    <w:rsid w:val="0039649C"/>
    <w:rsid w:val="003964B3"/>
    <w:rsid w:val="003964C3"/>
    <w:rsid w:val="00396551"/>
    <w:rsid w:val="00396570"/>
    <w:rsid w:val="00396597"/>
    <w:rsid w:val="0039668F"/>
    <w:rsid w:val="00396788"/>
    <w:rsid w:val="003967CA"/>
    <w:rsid w:val="003967D5"/>
    <w:rsid w:val="00396889"/>
    <w:rsid w:val="003968FC"/>
    <w:rsid w:val="00396925"/>
    <w:rsid w:val="00396A25"/>
    <w:rsid w:val="00396A30"/>
    <w:rsid w:val="00396AAD"/>
    <w:rsid w:val="00396ACE"/>
    <w:rsid w:val="00396B54"/>
    <w:rsid w:val="00396B8C"/>
    <w:rsid w:val="00396D31"/>
    <w:rsid w:val="00396DB4"/>
    <w:rsid w:val="00396E32"/>
    <w:rsid w:val="00396E70"/>
    <w:rsid w:val="00396F4E"/>
    <w:rsid w:val="00396FB5"/>
    <w:rsid w:val="0039705C"/>
    <w:rsid w:val="00397065"/>
    <w:rsid w:val="003970F4"/>
    <w:rsid w:val="003971F0"/>
    <w:rsid w:val="0039720F"/>
    <w:rsid w:val="003973BC"/>
    <w:rsid w:val="003973BD"/>
    <w:rsid w:val="00397438"/>
    <w:rsid w:val="00397456"/>
    <w:rsid w:val="00397486"/>
    <w:rsid w:val="0039757F"/>
    <w:rsid w:val="003975BA"/>
    <w:rsid w:val="00397656"/>
    <w:rsid w:val="00397713"/>
    <w:rsid w:val="003977DA"/>
    <w:rsid w:val="003978E4"/>
    <w:rsid w:val="00397981"/>
    <w:rsid w:val="003979B9"/>
    <w:rsid w:val="00397A4A"/>
    <w:rsid w:val="00397A64"/>
    <w:rsid w:val="00397AA3"/>
    <w:rsid w:val="00397AF5"/>
    <w:rsid w:val="00397BF7"/>
    <w:rsid w:val="00397C35"/>
    <w:rsid w:val="00397C41"/>
    <w:rsid w:val="00397C5B"/>
    <w:rsid w:val="00397CA4"/>
    <w:rsid w:val="00397CF7"/>
    <w:rsid w:val="00397D5E"/>
    <w:rsid w:val="00397EAC"/>
    <w:rsid w:val="00397EC3"/>
    <w:rsid w:val="00397F0A"/>
    <w:rsid w:val="00397F3B"/>
    <w:rsid w:val="00397F85"/>
    <w:rsid w:val="003A00DC"/>
    <w:rsid w:val="003A014C"/>
    <w:rsid w:val="003A01E9"/>
    <w:rsid w:val="003A0201"/>
    <w:rsid w:val="003A02CA"/>
    <w:rsid w:val="003A0390"/>
    <w:rsid w:val="003A0430"/>
    <w:rsid w:val="003A04C7"/>
    <w:rsid w:val="003A0527"/>
    <w:rsid w:val="003A0536"/>
    <w:rsid w:val="003A0575"/>
    <w:rsid w:val="003A06F8"/>
    <w:rsid w:val="003A06FF"/>
    <w:rsid w:val="003A0700"/>
    <w:rsid w:val="003A0734"/>
    <w:rsid w:val="003A073A"/>
    <w:rsid w:val="003A0795"/>
    <w:rsid w:val="003A0800"/>
    <w:rsid w:val="003A0843"/>
    <w:rsid w:val="003A0861"/>
    <w:rsid w:val="003A08C3"/>
    <w:rsid w:val="003A0A04"/>
    <w:rsid w:val="003A0A4F"/>
    <w:rsid w:val="003A0B47"/>
    <w:rsid w:val="003A0B55"/>
    <w:rsid w:val="003A0B5C"/>
    <w:rsid w:val="003A0BB4"/>
    <w:rsid w:val="003A0DE1"/>
    <w:rsid w:val="003A0DFB"/>
    <w:rsid w:val="003A0F08"/>
    <w:rsid w:val="003A0F3D"/>
    <w:rsid w:val="003A0F82"/>
    <w:rsid w:val="003A101D"/>
    <w:rsid w:val="003A1042"/>
    <w:rsid w:val="003A1128"/>
    <w:rsid w:val="003A132C"/>
    <w:rsid w:val="003A1378"/>
    <w:rsid w:val="003A14D2"/>
    <w:rsid w:val="003A1778"/>
    <w:rsid w:val="003A17F4"/>
    <w:rsid w:val="003A1809"/>
    <w:rsid w:val="003A18C8"/>
    <w:rsid w:val="003A1918"/>
    <w:rsid w:val="003A1998"/>
    <w:rsid w:val="003A19D9"/>
    <w:rsid w:val="003A1A33"/>
    <w:rsid w:val="003A1A99"/>
    <w:rsid w:val="003A1BFF"/>
    <w:rsid w:val="003A1C1A"/>
    <w:rsid w:val="003A1C61"/>
    <w:rsid w:val="003A1D06"/>
    <w:rsid w:val="003A1D5D"/>
    <w:rsid w:val="003A1D79"/>
    <w:rsid w:val="003A1DA2"/>
    <w:rsid w:val="003A1DEF"/>
    <w:rsid w:val="003A1E3A"/>
    <w:rsid w:val="003A1F0A"/>
    <w:rsid w:val="003A1F35"/>
    <w:rsid w:val="003A1F58"/>
    <w:rsid w:val="003A1F66"/>
    <w:rsid w:val="003A2006"/>
    <w:rsid w:val="003A2012"/>
    <w:rsid w:val="003A2016"/>
    <w:rsid w:val="003A2038"/>
    <w:rsid w:val="003A21D1"/>
    <w:rsid w:val="003A2232"/>
    <w:rsid w:val="003A22FD"/>
    <w:rsid w:val="003A24A5"/>
    <w:rsid w:val="003A25E5"/>
    <w:rsid w:val="003A264F"/>
    <w:rsid w:val="003A2672"/>
    <w:rsid w:val="003A26F1"/>
    <w:rsid w:val="003A270B"/>
    <w:rsid w:val="003A282A"/>
    <w:rsid w:val="003A2836"/>
    <w:rsid w:val="003A2878"/>
    <w:rsid w:val="003A28B6"/>
    <w:rsid w:val="003A2A1B"/>
    <w:rsid w:val="003A2AD3"/>
    <w:rsid w:val="003A2C2D"/>
    <w:rsid w:val="003A2D70"/>
    <w:rsid w:val="003A2DF9"/>
    <w:rsid w:val="003A2E79"/>
    <w:rsid w:val="003A2F90"/>
    <w:rsid w:val="003A2FA9"/>
    <w:rsid w:val="003A3112"/>
    <w:rsid w:val="003A3132"/>
    <w:rsid w:val="003A31E3"/>
    <w:rsid w:val="003A321C"/>
    <w:rsid w:val="003A3306"/>
    <w:rsid w:val="003A3324"/>
    <w:rsid w:val="003A3333"/>
    <w:rsid w:val="003A3385"/>
    <w:rsid w:val="003A33A6"/>
    <w:rsid w:val="003A3550"/>
    <w:rsid w:val="003A3559"/>
    <w:rsid w:val="003A3563"/>
    <w:rsid w:val="003A37D6"/>
    <w:rsid w:val="003A3AF4"/>
    <w:rsid w:val="003A3BC2"/>
    <w:rsid w:val="003A3BC6"/>
    <w:rsid w:val="003A3C1E"/>
    <w:rsid w:val="003A3C9D"/>
    <w:rsid w:val="003A3D07"/>
    <w:rsid w:val="003A3DA2"/>
    <w:rsid w:val="003A3E30"/>
    <w:rsid w:val="003A3E46"/>
    <w:rsid w:val="003A3E7A"/>
    <w:rsid w:val="003A3F1A"/>
    <w:rsid w:val="003A4035"/>
    <w:rsid w:val="003A4162"/>
    <w:rsid w:val="003A4166"/>
    <w:rsid w:val="003A4183"/>
    <w:rsid w:val="003A419A"/>
    <w:rsid w:val="003A41D9"/>
    <w:rsid w:val="003A41FB"/>
    <w:rsid w:val="003A41FC"/>
    <w:rsid w:val="003A4355"/>
    <w:rsid w:val="003A435D"/>
    <w:rsid w:val="003A43B0"/>
    <w:rsid w:val="003A43B1"/>
    <w:rsid w:val="003A442E"/>
    <w:rsid w:val="003A4484"/>
    <w:rsid w:val="003A4558"/>
    <w:rsid w:val="003A45D4"/>
    <w:rsid w:val="003A47E3"/>
    <w:rsid w:val="003A4870"/>
    <w:rsid w:val="003A492D"/>
    <w:rsid w:val="003A4930"/>
    <w:rsid w:val="003A495E"/>
    <w:rsid w:val="003A498B"/>
    <w:rsid w:val="003A4992"/>
    <w:rsid w:val="003A4ADE"/>
    <w:rsid w:val="003A4B03"/>
    <w:rsid w:val="003A4B43"/>
    <w:rsid w:val="003A4BF5"/>
    <w:rsid w:val="003A4CD7"/>
    <w:rsid w:val="003A4D1C"/>
    <w:rsid w:val="003A4D2B"/>
    <w:rsid w:val="003A4D98"/>
    <w:rsid w:val="003A4E27"/>
    <w:rsid w:val="003A4E35"/>
    <w:rsid w:val="003A4E5B"/>
    <w:rsid w:val="003A4F47"/>
    <w:rsid w:val="003A4FD8"/>
    <w:rsid w:val="003A5049"/>
    <w:rsid w:val="003A520C"/>
    <w:rsid w:val="003A5216"/>
    <w:rsid w:val="003A533C"/>
    <w:rsid w:val="003A53A1"/>
    <w:rsid w:val="003A53C1"/>
    <w:rsid w:val="003A53D2"/>
    <w:rsid w:val="003A5456"/>
    <w:rsid w:val="003A548D"/>
    <w:rsid w:val="003A5503"/>
    <w:rsid w:val="003A5533"/>
    <w:rsid w:val="003A55C3"/>
    <w:rsid w:val="003A5629"/>
    <w:rsid w:val="003A573A"/>
    <w:rsid w:val="003A5780"/>
    <w:rsid w:val="003A5797"/>
    <w:rsid w:val="003A5824"/>
    <w:rsid w:val="003A5867"/>
    <w:rsid w:val="003A58F2"/>
    <w:rsid w:val="003A5961"/>
    <w:rsid w:val="003A5982"/>
    <w:rsid w:val="003A5B89"/>
    <w:rsid w:val="003A5D65"/>
    <w:rsid w:val="003A5D82"/>
    <w:rsid w:val="003A5DAF"/>
    <w:rsid w:val="003A5E37"/>
    <w:rsid w:val="003A5E38"/>
    <w:rsid w:val="003A6021"/>
    <w:rsid w:val="003A609D"/>
    <w:rsid w:val="003A627D"/>
    <w:rsid w:val="003A639B"/>
    <w:rsid w:val="003A63A0"/>
    <w:rsid w:val="003A64CC"/>
    <w:rsid w:val="003A64F7"/>
    <w:rsid w:val="003A650D"/>
    <w:rsid w:val="003A6556"/>
    <w:rsid w:val="003A669B"/>
    <w:rsid w:val="003A66A2"/>
    <w:rsid w:val="003A66F8"/>
    <w:rsid w:val="003A6794"/>
    <w:rsid w:val="003A679E"/>
    <w:rsid w:val="003A67AE"/>
    <w:rsid w:val="003A6828"/>
    <w:rsid w:val="003A68AC"/>
    <w:rsid w:val="003A68DA"/>
    <w:rsid w:val="003A694E"/>
    <w:rsid w:val="003A6999"/>
    <w:rsid w:val="003A69CD"/>
    <w:rsid w:val="003A69E2"/>
    <w:rsid w:val="003A69F7"/>
    <w:rsid w:val="003A6A05"/>
    <w:rsid w:val="003A6A34"/>
    <w:rsid w:val="003A6BB8"/>
    <w:rsid w:val="003A6C5A"/>
    <w:rsid w:val="003A6C8B"/>
    <w:rsid w:val="003A6CA5"/>
    <w:rsid w:val="003A6F0C"/>
    <w:rsid w:val="003A7196"/>
    <w:rsid w:val="003A71AB"/>
    <w:rsid w:val="003A71C6"/>
    <w:rsid w:val="003A71EC"/>
    <w:rsid w:val="003A71FE"/>
    <w:rsid w:val="003A7265"/>
    <w:rsid w:val="003A72AD"/>
    <w:rsid w:val="003A72DF"/>
    <w:rsid w:val="003A737F"/>
    <w:rsid w:val="003A7418"/>
    <w:rsid w:val="003A745E"/>
    <w:rsid w:val="003A758A"/>
    <w:rsid w:val="003A767A"/>
    <w:rsid w:val="003A77D9"/>
    <w:rsid w:val="003A7871"/>
    <w:rsid w:val="003A78F0"/>
    <w:rsid w:val="003A79D6"/>
    <w:rsid w:val="003A7B01"/>
    <w:rsid w:val="003A7B1B"/>
    <w:rsid w:val="003A7B3E"/>
    <w:rsid w:val="003A7B40"/>
    <w:rsid w:val="003A7B8C"/>
    <w:rsid w:val="003A7CBA"/>
    <w:rsid w:val="003A7D58"/>
    <w:rsid w:val="003A7D7E"/>
    <w:rsid w:val="003A7DEB"/>
    <w:rsid w:val="003A7E17"/>
    <w:rsid w:val="003A7E28"/>
    <w:rsid w:val="003A7F65"/>
    <w:rsid w:val="003A7F79"/>
    <w:rsid w:val="003B0017"/>
    <w:rsid w:val="003B002B"/>
    <w:rsid w:val="003B00A7"/>
    <w:rsid w:val="003B00EA"/>
    <w:rsid w:val="003B01BF"/>
    <w:rsid w:val="003B01C6"/>
    <w:rsid w:val="003B0282"/>
    <w:rsid w:val="003B02BA"/>
    <w:rsid w:val="003B0302"/>
    <w:rsid w:val="003B030E"/>
    <w:rsid w:val="003B0318"/>
    <w:rsid w:val="003B0323"/>
    <w:rsid w:val="003B03FE"/>
    <w:rsid w:val="003B0488"/>
    <w:rsid w:val="003B052E"/>
    <w:rsid w:val="003B0595"/>
    <w:rsid w:val="003B06B6"/>
    <w:rsid w:val="003B06D2"/>
    <w:rsid w:val="003B0759"/>
    <w:rsid w:val="003B0776"/>
    <w:rsid w:val="003B07AE"/>
    <w:rsid w:val="003B07CF"/>
    <w:rsid w:val="003B0840"/>
    <w:rsid w:val="003B08D3"/>
    <w:rsid w:val="003B090C"/>
    <w:rsid w:val="003B0960"/>
    <w:rsid w:val="003B0A1C"/>
    <w:rsid w:val="003B0AFF"/>
    <w:rsid w:val="003B0CCE"/>
    <w:rsid w:val="003B0CF1"/>
    <w:rsid w:val="003B0D1F"/>
    <w:rsid w:val="003B0D28"/>
    <w:rsid w:val="003B0D43"/>
    <w:rsid w:val="003B0DE2"/>
    <w:rsid w:val="003B0DF8"/>
    <w:rsid w:val="003B0E0D"/>
    <w:rsid w:val="003B0EC5"/>
    <w:rsid w:val="003B0EC9"/>
    <w:rsid w:val="003B0EF6"/>
    <w:rsid w:val="003B0F57"/>
    <w:rsid w:val="003B0F99"/>
    <w:rsid w:val="003B0FE8"/>
    <w:rsid w:val="003B0FF1"/>
    <w:rsid w:val="003B106C"/>
    <w:rsid w:val="003B117C"/>
    <w:rsid w:val="003B11E5"/>
    <w:rsid w:val="003B127B"/>
    <w:rsid w:val="003B12EF"/>
    <w:rsid w:val="003B13E2"/>
    <w:rsid w:val="003B1430"/>
    <w:rsid w:val="003B1483"/>
    <w:rsid w:val="003B149C"/>
    <w:rsid w:val="003B1507"/>
    <w:rsid w:val="003B157E"/>
    <w:rsid w:val="003B158B"/>
    <w:rsid w:val="003B1596"/>
    <w:rsid w:val="003B15E9"/>
    <w:rsid w:val="003B162C"/>
    <w:rsid w:val="003B1655"/>
    <w:rsid w:val="003B16E5"/>
    <w:rsid w:val="003B1766"/>
    <w:rsid w:val="003B176A"/>
    <w:rsid w:val="003B17BC"/>
    <w:rsid w:val="003B17BF"/>
    <w:rsid w:val="003B182A"/>
    <w:rsid w:val="003B18F8"/>
    <w:rsid w:val="003B19E6"/>
    <w:rsid w:val="003B1A29"/>
    <w:rsid w:val="003B1A90"/>
    <w:rsid w:val="003B1AEE"/>
    <w:rsid w:val="003B1B40"/>
    <w:rsid w:val="003B1B9A"/>
    <w:rsid w:val="003B1D62"/>
    <w:rsid w:val="003B1DB2"/>
    <w:rsid w:val="003B1DE7"/>
    <w:rsid w:val="003B1EAA"/>
    <w:rsid w:val="003B1F00"/>
    <w:rsid w:val="003B1F82"/>
    <w:rsid w:val="003B1FF7"/>
    <w:rsid w:val="003B1FFC"/>
    <w:rsid w:val="003B20E1"/>
    <w:rsid w:val="003B2182"/>
    <w:rsid w:val="003B22C1"/>
    <w:rsid w:val="003B2374"/>
    <w:rsid w:val="003B23E9"/>
    <w:rsid w:val="003B24A8"/>
    <w:rsid w:val="003B24BE"/>
    <w:rsid w:val="003B25F0"/>
    <w:rsid w:val="003B2629"/>
    <w:rsid w:val="003B272C"/>
    <w:rsid w:val="003B2740"/>
    <w:rsid w:val="003B276E"/>
    <w:rsid w:val="003B27A8"/>
    <w:rsid w:val="003B27F3"/>
    <w:rsid w:val="003B298C"/>
    <w:rsid w:val="003B2A63"/>
    <w:rsid w:val="003B2AE4"/>
    <w:rsid w:val="003B2C20"/>
    <w:rsid w:val="003B2C60"/>
    <w:rsid w:val="003B2C94"/>
    <w:rsid w:val="003B2D1A"/>
    <w:rsid w:val="003B2ED4"/>
    <w:rsid w:val="003B2F07"/>
    <w:rsid w:val="003B306A"/>
    <w:rsid w:val="003B3090"/>
    <w:rsid w:val="003B30AB"/>
    <w:rsid w:val="003B311C"/>
    <w:rsid w:val="003B3207"/>
    <w:rsid w:val="003B3277"/>
    <w:rsid w:val="003B32BF"/>
    <w:rsid w:val="003B3363"/>
    <w:rsid w:val="003B337F"/>
    <w:rsid w:val="003B3511"/>
    <w:rsid w:val="003B36B4"/>
    <w:rsid w:val="003B36F7"/>
    <w:rsid w:val="003B3751"/>
    <w:rsid w:val="003B37E3"/>
    <w:rsid w:val="003B3867"/>
    <w:rsid w:val="003B388C"/>
    <w:rsid w:val="003B3895"/>
    <w:rsid w:val="003B38C8"/>
    <w:rsid w:val="003B3940"/>
    <w:rsid w:val="003B3A22"/>
    <w:rsid w:val="003B3A76"/>
    <w:rsid w:val="003B3B40"/>
    <w:rsid w:val="003B3B74"/>
    <w:rsid w:val="003B3C47"/>
    <w:rsid w:val="003B3C4A"/>
    <w:rsid w:val="003B3C6E"/>
    <w:rsid w:val="003B3CF8"/>
    <w:rsid w:val="003B3D3A"/>
    <w:rsid w:val="003B3D99"/>
    <w:rsid w:val="003B3E79"/>
    <w:rsid w:val="003B3EF7"/>
    <w:rsid w:val="003B3F05"/>
    <w:rsid w:val="003B3F51"/>
    <w:rsid w:val="003B403C"/>
    <w:rsid w:val="003B40DB"/>
    <w:rsid w:val="003B41BD"/>
    <w:rsid w:val="003B4467"/>
    <w:rsid w:val="003B446D"/>
    <w:rsid w:val="003B447B"/>
    <w:rsid w:val="003B454E"/>
    <w:rsid w:val="003B4597"/>
    <w:rsid w:val="003B45E3"/>
    <w:rsid w:val="003B461E"/>
    <w:rsid w:val="003B463F"/>
    <w:rsid w:val="003B49C3"/>
    <w:rsid w:val="003B49C8"/>
    <w:rsid w:val="003B49E0"/>
    <w:rsid w:val="003B4AB3"/>
    <w:rsid w:val="003B4ABF"/>
    <w:rsid w:val="003B4B31"/>
    <w:rsid w:val="003B4B7D"/>
    <w:rsid w:val="003B4B82"/>
    <w:rsid w:val="003B4BDD"/>
    <w:rsid w:val="003B4BE3"/>
    <w:rsid w:val="003B4C30"/>
    <w:rsid w:val="003B4C4D"/>
    <w:rsid w:val="003B4C6D"/>
    <w:rsid w:val="003B4C7C"/>
    <w:rsid w:val="003B4C90"/>
    <w:rsid w:val="003B4D46"/>
    <w:rsid w:val="003B4D4E"/>
    <w:rsid w:val="003B4D55"/>
    <w:rsid w:val="003B4D79"/>
    <w:rsid w:val="003B4E0F"/>
    <w:rsid w:val="003B4EA7"/>
    <w:rsid w:val="003B4EB6"/>
    <w:rsid w:val="003B4F76"/>
    <w:rsid w:val="003B4FBB"/>
    <w:rsid w:val="003B5041"/>
    <w:rsid w:val="003B5077"/>
    <w:rsid w:val="003B50E3"/>
    <w:rsid w:val="003B512F"/>
    <w:rsid w:val="003B526F"/>
    <w:rsid w:val="003B531B"/>
    <w:rsid w:val="003B5478"/>
    <w:rsid w:val="003B547A"/>
    <w:rsid w:val="003B54A8"/>
    <w:rsid w:val="003B55D8"/>
    <w:rsid w:val="003B5620"/>
    <w:rsid w:val="003B5688"/>
    <w:rsid w:val="003B5739"/>
    <w:rsid w:val="003B5755"/>
    <w:rsid w:val="003B575C"/>
    <w:rsid w:val="003B57B4"/>
    <w:rsid w:val="003B58FD"/>
    <w:rsid w:val="003B5929"/>
    <w:rsid w:val="003B596D"/>
    <w:rsid w:val="003B59B4"/>
    <w:rsid w:val="003B5D2F"/>
    <w:rsid w:val="003B5E05"/>
    <w:rsid w:val="003B5EA1"/>
    <w:rsid w:val="003B5EF2"/>
    <w:rsid w:val="003B5F09"/>
    <w:rsid w:val="003B5F0F"/>
    <w:rsid w:val="003B5F5C"/>
    <w:rsid w:val="003B61C8"/>
    <w:rsid w:val="003B6204"/>
    <w:rsid w:val="003B623E"/>
    <w:rsid w:val="003B62A8"/>
    <w:rsid w:val="003B6335"/>
    <w:rsid w:val="003B63DC"/>
    <w:rsid w:val="003B65A4"/>
    <w:rsid w:val="003B66FE"/>
    <w:rsid w:val="003B67D8"/>
    <w:rsid w:val="003B67E4"/>
    <w:rsid w:val="003B6808"/>
    <w:rsid w:val="003B6813"/>
    <w:rsid w:val="003B6891"/>
    <w:rsid w:val="003B68CB"/>
    <w:rsid w:val="003B68D6"/>
    <w:rsid w:val="003B699F"/>
    <w:rsid w:val="003B69CF"/>
    <w:rsid w:val="003B6B43"/>
    <w:rsid w:val="003B6C1A"/>
    <w:rsid w:val="003B6D03"/>
    <w:rsid w:val="003B6D65"/>
    <w:rsid w:val="003B6F59"/>
    <w:rsid w:val="003B7069"/>
    <w:rsid w:val="003B7103"/>
    <w:rsid w:val="003B727F"/>
    <w:rsid w:val="003B73D4"/>
    <w:rsid w:val="003B742D"/>
    <w:rsid w:val="003B7474"/>
    <w:rsid w:val="003B75F9"/>
    <w:rsid w:val="003B767C"/>
    <w:rsid w:val="003B77C5"/>
    <w:rsid w:val="003B780E"/>
    <w:rsid w:val="003B7871"/>
    <w:rsid w:val="003B792E"/>
    <w:rsid w:val="003B7984"/>
    <w:rsid w:val="003B7AED"/>
    <w:rsid w:val="003B7B46"/>
    <w:rsid w:val="003B7C11"/>
    <w:rsid w:val="003B7CF5"/>
    <w:rsid w:val="003B7E8A"/>
    <w:rsid w:val="003B7F47"/>
    <w:rsid w:val="003B7F61"/>
    <w:rsid w:val="003B7F6E"/>
    <w:rsid w:val="003B7F96"/>
    <w:rsid w:val="003B7FD1"/>
    <w:rsid w:val="003C0032"/>
    <w:rsid w:val="003C0305"/>
    <w:rsid w:val="003C0311"/>
    <w:rsid w:val="003C0339"/>
    <w:rsid w:val="003C0386"/>
    <w:rsid w:val="003C04A1"/>
    <w:rsid w:val="003C064E"/>
    <w:rsid w:val="003C067A"/>
    <w:rsid w:val="003C06BD"/>
    <w:rsid w:val="003C0705"/>
    <w:rsid w:val="003C07CC"/>
    <w:rsid w:val="003C08D2"/>
    <w:rsid w:val="003C09BC"/>
    <w:rsid w:val="003C0AD7"/>
    <w:rsid w:val="003C0C71"/>
    <w:rsid w:val="003C0DE5"/>
    <w:rsid w:val="003C0F09"/>
    <w:rsid w:val="003C0F13"/>
    <w:rsid w:val="003C0F48"/>
    <w:rsid w:val="003C0F52"/>
    <w:rsid w:val="003C0F60"/>
    <w:rsid w:val="003C0F61"/>
    <w:rsid w:val="003C0F7E"/>
    <w:rsid w:val="003C0FAF"/>
    <w:rsid w:val="003C10FE"/>
    <w:rsid w:val="003C110B"/>
    <w:rsid w:val="003C11E7"/>
    <w:rsid w:val="003C122D"/>
    <w:rsid w:val="003C1269"/>
    <w:rsid w:val="003C126F"/>
    <w:rsid w:val="003C12DF"/>
    <w:rsid w:val="003C13C1"/>
    <w:rsid w:val="003C1475"/>
    <w:rsid w:val="003C14BB"/>
    <w:rsid w:val="003C14E4"/>
    <w:rsid w:val="003C158D"/>
    <w:rsid w:val="003C193E"/>
    <w:rsid w:val="003C1978"/>
    <w:rsid w:val="003C19A7"/>
    <w:rsid w:val="003C1C19"/>
    <w:rsid w:val="003C1CE4"/>
    <w:rsid w:val="003C1FA4"/>
    <w:rsid w:val="003C1FC6"/>
    <w:rsid w:val="003C2195"/>
    <w:rsid w:val="003C2253"/>
    <w:rsid w:val="003C2321"/>
    <w:rsid w:val="003C23BE"/>
    <w:rsid w:val="003C23F9"/>
    <w:rsid w:val="003C24B2"/>
    <w:rsid w:val="003C266A"/>
    <w:rsid w:val="003C2743"/>
    <w:rsid w:val="003C282C"/>
    <w:rsid w:val="003C2976"/>
    <w:rsid w:val="003C29BB"/>
    <w:rsid w:val="003C2A02"/>
    <w:rsid w:val="003C2A24"/>
    <w:rsid w:val="003C2A56"/>
    <w:rsid w:val="003C2A7F"/>
    <w:rsid w:val="003C2ADB"/>
    <w:rsid w:val="003C2AF1"/>
    <w:rsid w:val="003C2BA4"/>
    <w:rsid w:val="003C2CE1"/>
    <w:rsid w:val="003C2D36"/>
    <w:rsid w:val="003C2D5F"/>
    <w:rsid w:val="003C2D8C"/>
    <w:rsid w:val="003C2E0B"/>
    <w:rsid w:val="003C2E9B"/>
    <w:rsid w:val="003C2ECF"/>
    <w:rsid w:val="003C2EEA"/>
    <w:rsid w:val="003C2F60"/>
    <w:rsid w:val="003C2FEE"/>
    <w:rsid w:val="003C2FFA"/>
    <w:rsid w:val="003C3082"/>
    <w:rsid w:val="003C319D"/>
    <w:rsid w:val="003C31B8"/>
    <w:rsid w:val="003C31E1"/>
    <w:rsid w:val="003C321F"/>
    <w:rsid w:val="003C325A"/>
    <w:rsid w:val="003C32C5"/>
    <w:rsid w:val="003C3373"/>
    <w:rsid w:val="003C3437"/>
    <w:rsid w:val="003C352E"/>
    <w:rsid w:val="003C3784"/>
    <w:rsid w:val="003C37B7"/>
    <w:rsid w:val="003C37D5"/>
    <w:rsid w:val="003C385D"/>
    <w:rsid w:val="003C38EE"/>
    <w:rsid w:val="003C3925"/>
    <w:rsid w:val="003C3940"/>
    <w:rsid w:val="003C39DC"/>
    <w:rsid w:val="003C3AB9"/>
    <w:rsid w:val="003C3B31"/>
    <w:rsid w:val="003C3B86"/>
    <w:rsid w:val="003C3CB7"/>
    <w:rsid w:val="003C3D1F"/>
    <w:rsid w:val="003C3DC4"/>
    <w:rsid w:val="003C3E3C"/>
    <w:rsid w:val="003C3F0B"/>
    <w:rsid w:val="003C3FB3"/>
    <w:rsid w:val="003C4018"/>
    <w:rsid w:val="003C41EA"/>
    <w:rsid w:val="003C422F"/>
    <w:rsid w:val="003C4231"/>
    <w:rsid w:val="003C4284"/>
    <w:rsid w:val="003C4494"/>
    <w:rsid w:val="003C455A"/>
    <w:rsid w:val="003C45AF"/>
    <w:rsid w:val="003C4615"/>
    <w:rsid w:val="003C466B"/>
    <w:rsid w:val="003C46E0"/>
    <w:rsid w:val="003C46EB"/>
    <w:rsid w:val="003C4817"/>
    <w:rsid w:val="003C4824"/>
    <w:rsid w:val="003C482F"/>
    <w:rsid w:val="003C4868"/>
    <w:rsid w:val="003C4A65"/>
    <w:rsid w:val="003C4A96"/>
    <w:rsid w:val="003C4AB4"/>
    <w:rsid w:val="003C4B2E"/>
    <w:rsid w:val="003C4B33"/>
    <w:rsid w:val="003C4BB3"/>
    <w:rsid w:val="003C4BEC"/>
    <w:rsid w:val="003C4BED"/>
    <w:rsid w:val="003C4C19"/>
    <w:rsid w:val="003C4D66"/>
    <w:rsid w:val="003C4F6B"/>
    <w:rsid w:val="003C4FF4"/>
    <w:rsid w:val="003C5027"/>
    <w:rsid w:val="003C50D8"/>
    <w:rsid w:val="003C50E9"/>
    <w:rsid w:val="003C51AC"/>
    <w:rsid w:val="003C5255"/>
    <w:rsid w:val="003C5283"/>
    <w:rsid w:val="003C542D"/>
    <w:rsid w:val="003C55FF"/>
    <w:rsid w:val="003C561F"/>
    <w:rsid w:val="003C5931"/>
    <w:rsid w:val="003C5AC6"/>
    <w:rsid w:val="003C5B67"/>
    <w:rsid w:val="003C5B7E"/>
    <w:rsid w:val="003C5C77"/>
    <w:rsid w:val="003C5CEC"/>
    <w:rsid w:val="003C5E0C"/>
    <w:rsid w:val="003C5E32"/>
    <w:rsid w:val="003C5E9B"/>
    <w:rsid w:val="003C5EEE"/>
    <w:rsid w:val="003C5FC0"/>
    <w:rsid w:val="003C60C1"/>
    <w:rsid w:val="003C6115"/>
    <w:rsid w:val="003C612A"/>
    <w:rsid w:val="003C6212"/>
    <w:rsid w:val="003C6239"/>
    <w:rsid w:val="003C62A7"/>
    <w:rsid w:val="003C6326"/>
    <w:rsid w:val="003C6398"/>
    <w:rsid w:val="003C642D"/>
    <w:rsid w:val="003C669E"/>
    <w:rsid w:val="003C66CD"/>
    <w:rsid w:val="003C6741"/>
    <w:rsid w:val="003C684D"/>
    <w:rsid w:val="003C68B6"/>
    <w:rsid w:val="003C68C4"/>
    <w:rsid w:val="003C693B"/>
    <w:rsid w:val="003C6A19"/>
    <w:rsid w:val="003C6B22"/>
    <w:rsid w:val="003C6C18"/>
    <w:rsid w:val="003C6C5E"/>
    <w:rsid w:val="003C6C7D"/>
    <w:rsid w:val="003C6C9F"/>
    <w:rsid w:val="003C6CE9"/>
    <w:rsid w:val="003C6D06"/>
    <w:rsid w:val="003C6D27"/>
    <w:rsid w:val="003C6E2D"/>
    <w:rsid w:val="003C6E3F"/>
    <w:rsid w:val="003C6E7B"/>
    <w:rsid w:val="003C6F04"/>
    <w:rsid w:val="003C6F0F"/>
    <w:rsid w:val="003C6F30"/>
    <w:rsid w:val="003C6FC8"/>
    <w:rsid w:val="003C6FF5"/>
    <w:rsid w:val="003C706D"/>
    <w:rsid w:val="003C7225"/>
    <w:rsid w:val="003C7331"/>
    <w:rsid w:val="003C7388"/>
    <w:rsid w:val="003C73C4"/>
    <w:rsid w:val="003C749B"/>
    <w:rsid w:val="003C74B2"/>
    <w:rsid w:val="003C74DF"/>
    <w:rsid w:val="003C75C9"/>
    <w:rsid w:val="003C75EE"/>
    <w:rsid w:val="003C7653"/>
    <w:rsid w:val="003C7676"/>
    <w:rsid w:val="003C767C"/>
    <w:rsid w:val="003C76CE"/>
    <w:rsid w:val="003C770C"/>
    <w:rsid w:val="003C77B7"/>
    <w:rsid w:val="003C77E7"/>
    <w:rsid w:val="003C7988"/>
    <w:rsid w:val="003C79F6"/>
    <w:rsid w:val="003C79F8"/>
    <w:rsid w:val="003C7C14"/>
    <w:rsid w:val="003C7C5C"/>
    <w:rsid w:val="003C7E14"/>
    <w:rsid w:val="003C7E4E"/>
    <w:rsid w:val="003C7E60"/>
    <w:rsid w:val="003C7E8F"/>
    <w:rsid w:val="003D0021"/>
    <w:rsid w:val="003D0056"/>
    <w:rsid w:val="003D00A5"/>
    <w:rsid w:val="003D00FC"/>
    <w:rsid w:val="003D0124"/>
    <w:rsid w:val="003D01B1"/>
    <w:rsid w:val="003D01E6"/>
    <w:rsid w:val="003D0366"/>
    <w:rsid w:val="003D039D"/>
    <w:rsid w:val="003D0418"/>
    <w:rsid w:val="003D0593"/>
    <w:rsid w:val="003D0597"/>
    <w:rsid w:val="003D0617"/>
    <w:rsid w:val="003D06E9"/>
    <w:rsid w:val="003D070D"/>
    <w:rsid w:val="003D07DC"/>
    <w:rsid w:val="003D0877"/>
    <w:rsid w:val="003D0975"/>
    <w:rsid w:val="003D0B40"/>
    <w:rsid w:val="003D0BE7"/>
    <w:rsid w:val="003D0EFF"/>
    <w:rsid w:val="003D0F64"/>
    <w:rsid w:val="003D1164"/>
    <w:rsid w:val="003D11D6"/>
    <w:rsid w:val="003D11F0"/>
    <w:rsid w:val="003D1276"/>
    <w:rsid w:val="003D139A"/>
    <w:rsid w:val="003D140F"/>
    <w:rsid w:val="003D1668"/>
    <w:rsid w:val="003D16D1"/>
    <w:rsid w:val="003D16F7"/>
    <w:rsid w:val="003D17C6"/>
    <w:rsid w:val="003D1863"/>
    <w:rsid w:val="003D1935"/>
    <w:rsid w:val="003D1963"/>
    <w:rsid w:val="003D19FD"/>
    <w:rsid w:val="003D1ABF"/>
    <w:rsid w:val="003D1AE5"/>
    <w:rsid w:val="003D1B91"/>
    <w:rsid w:val="003D1BE3"/>
    <w:rsid w:val="003D1C1A"/>
    <w:rsid w:val="003D1CA0"/>
    <w:rsid w:val="003D1D2D"/>
    <w:rsid w:val="003D1D46"/>
    <w:rsid w:val="003D1DB4"/>
    <w:rsid w:val="003D1E20"/>
    <w:rsid w:val="003D20FF"/>
    <w:rsid w:val="003D2326"/>
    <w:rsid w:val="003D2391"/>
    <w:rsid w:val="003D23B7"/>
    <w:rsid w:val="003D23E9"/>
    <w:rsid w:val="003D2568"/>
    <w:rsid w:val="003D261B"/>
    <w:rsid w:val="003D26FE"/>
    <w:rsid w:val="003D2703"/>
    <w:rsid w:val="003D271F"/>
    <w:rsid w:val="003D2763"/>
    <w:rsid w:val="003D27AD"/>
    <w:rsid w:val="003D2804"/>
    <w:rsid w:val="003D2852"/>
    <w:rsid w:val="003D287E"/>
    <w:rsid w:val="003D2982"/>
    <w:rsid w:val="003D2990"/>
    <w:rsid w:val="003D2A23"/>
    <w:rsid w:val="003D2BE7"/>
    <w:rsid w:val="003D2C14"/>
    <w:rsid w:val="003D2C2F"/>
    <w:rsid w:val="003D2CA2"/>
    <w:rsid w:val="003D2CBB"/>
    <w:rsid w:val="003D2CDC"/>
    <w:rsid w:val="003D2DCA"/>
    <w:rsid w:val="003D2E54"/>
    <w:rsid w:val="003D2E67"/>
    <w:rsid w:val="003D2E99"/>
    <w:rsid w:val="003D306B"/>
    <w:rsid w:val="003D30F1"/>
    <w:rsid w:val="003D316E"/>
    <w:rsid w:val="003D32A6"/>
    <w:rsid w:val="003D32FC"/>
    <w:rsid w:val="003D330F"/>
    <w:rsid w:val="003D3436"/>
    <w:rsid w:val="003D3449"/>
    <w:rsid w:val="003D35A4"/>
    <w:rsid w:val="003D36C9"/>
    <w:rsid w:val="003D3724"/>
    <w:rsid w:val="003D3800"/>
    <w:rsid w:val="003D3904"/>
    <w:rsid w:val="003D3915"/>
    <w:rsid w:val="003D3983"/>
    <w:rsid w:val="003D39DD"/>
    <w:rsid w:val="003D39FE"/>
    <w:rsid w:val="003D3A47"/>
    <w:rsid w:val="003D3A73"/>
    <w:rsid w:val="003D3A75"/>
    <w:rsid w:val="003D3A9C"/>
    <w:rsid w:val="003D3AE0"/>
    <w:rsid w:val="003D3B0A"/>
    <w:rsid w:val="003D3B2B"/>
    <w:rsid w:val="003D3B61"/>
    <w:rsid w:val="003D3B7E"/>
    <w:rsid w:val="003D3D50"/>
    <w:rsid w:val="003D3D6F"/>
    <w:rsid w:val="003D3EF5"/>
    <w:rsid w:val="003D4110"/>
    <w:rsid w:val="003D4118"/>
    <w:rsid w:val="003D418D"/>
    <w:rsid w:val="003D41AC"/>
    <w:rsid w:val="003D4345"/>
    <w:rsid w:val="003D4373"/>
    <w:rsid w:val="003D43CB"/>
    <w:rsid w:val="003D43F4"/>
    <w:rsid w:val="003D4413"/>
    <w:rsid w:val="003D45E8"/>
    <w:rsid w:val="003D476F"/>
    <w:rsid w:val="003D4839"/>
    <w:rsid w:val="003D486E"/>
    <w:rsid w:val="003D48C4"/>
    <w:rsid w:val="003D491B"/>
    <w:rsid w:val="003D4927"/>
    <w:rsid w:val="003D4958"/>
    <w:rsid w:val="003D4983"/>
    <w:rsid w:val="003D4998"/>
    <w:rsid w:val="003D49F4"/>
    <w:rsid w:val="003D49FA"/>
    <w:rsid w:val="003D4A59"/>
    <w:rsid w:val="003D4A8C"/>
    <w:rsid w:val="003D4B1B"/>
    <w:rsid w:val="003D4BAF"/>
    <w:rsid w:val="003D4C33"/>
    <w:rsid w:val="003D4C57"/>
    <w:rsid w:val="003D4D3F"/>
    <w:rsid w:val="003D4DB4"/>
    <w:rsid w:val="003D4DD1"/>
    <w:rsid w:val="003D4E8F"/>
    <w:rsid w:val="003D4ED9"/>
    <w:rsid w:val="003D4F22"/>
    <w:rsid w:val="003D4FA5"/>
    <w:rsid w:val="003D5204"/>
    <w:rsid w:val="003D5284"/>
    <w:rsid w:val="003D53C6"/>
    <w:rsid w:val="003D53DF"/>
    <w:rsid w:val="003D5553"/>
    <w:rsid w:val="003D56CA"/>
    <w:rsid w:val="003D5741"/>
    <w:rsid w:val="003D574D"/>
    <w:rsid w:val="003D57FC"/>
    <w:rsid w:val="003D597B"/>
    <w:rsid w:val="003D59BB"/>
    <w:rsid w:val="003D5A4A"/>
    <w:rsid w:val="003D5A79"/>
    <w:rsid w:val="003D5AF6"/>
    <w:rsid w:val="003D5B07"/>
    <w:rsid w:val="003D5B5A"/>
    <w:rsid w:val="003D5D68"/>
    <w:rsid w:val="003D5DD4"/>
    <w:rsid w:val="003D5E5C"/>
    <w:rsid w:val="003D5E68"/>
    <w:rsid w:val="003D5F17"/>
    <w:rsid w:val="003D5F32"/>
    <w:rsid w:val="003D5F78"/>
    <w:rsid w:val="003D5FA2"/>
    <w:rsid w:val="003D5FB0"/>
    <w:rsid w:val="003D5FF4"/>
    <w:rsid w:val="003D618B"/>
    <w:rsid w:val="003D636B"/>
    <w:rsid w:val="003D63A1"/>
    <w:rsid w:val="003D6423"/>
    <w:rsid w:val="003D643B"/>
    <w:rsid w:val="003D6498"/>
    <w:rsid w:val="003D64E0"/>
    <w:rsid w:val="003D6615"/>
    <w:rsid w:val="003D66DA"/>
    <w:rsid w:val="003D66FF"/>
    <w:rsid w:val="003D680D"/>
    <w:rsid w:val="003D6853"/>
    <w:rsid w:val="003D688C"/>
    <w:rsid w:val="003D6924"/>
    <w:rsid w:val="003D6B24"/>
    <w:rsid w:val="003D6B37"/>
    <w:rsid w:val="003D6C1E"/>
    <w:rsid w:val="003D6DF0"/>
    <w:rsid w:val="003D6F05"/>
    <w:rsid w:val="003D7002"/>
    <w:rsid w:val="003D7006"/>
    <w:rsid w:val="003D708C"/>
    <w:rsid w:val="003D7126"/>
    <w:rsid w:val="003D7144"/>
    <w:rsid w:val="003D718A"/>
    <w:rsid w:val="003D7203"/>
    <w:rsid w:val="003D72F4"/>
    <w:rsid w:val="003D7348"/>
    <w:rsid w:val="003D73AC"/>
    <w:rsid w:val="003D75C4"/>
    <w:rsid w:val="003D7646"/>
    <w:rsid w:val="003D76EA"/>
    <w:rsid w:val="003D775B"/>
    <w:rsid w:val="003D7782"/>
    <w:rsid w:val="003D778E"/>
    <w:rsid w:val="003D7819"/>
    <w:rsid w:val="003D787A"/>
    <w:rsid w:val="003D78D5"/>
    <w:rsid w:val="003D792A"/>
    <w:rsid w:val="003D79AA"/>
    <w:rsid w:val="003D7A17"/>
    <w:rsid w:val="003D7B43"/>
    <w:rsid w:val="003D7C2A"/>
    <w:rsid w:val="003D7C64"/>
    <w:rsid w:val="003D7D09"/>
    <w:rsid w:val="003D7DB5"/>
    <w:rsid w:val="003D7F4C"/>
    <w:rsid w:val="003E00C7"/>
    <w:rsid w:val="003E01BE"/>
    <w:rsid w:val="003E02D4"/>
    <w:rsid w:val="003E0361"/>
    <w:rsid w:val="003E0395"/>
    <w:rsid w:val="003E0475"/>
    <w:rsid w:val="003E0531"/>
    <w:rsid w:val="003E0664"/>
    <w:rsid w:val="003E066A"/>
    <w:rsid w:val="003E0749"/>
    <w:rsid w:val="003E07AB"/>
    <w:rsid w:val="003E07FA"/>
    <w:rsid w:val="003E082B"/>
    <w:rsid w:val="003E096C"/>
    <w:rsid w:val="003E09DA"/>
    <w:rsid w:val="003E0C56"/>
    <w:rsid w:val="003E0EB3"/>
    <w:rsid w:val="003E0EE1"/>
    <w:rsid w:val="003E0EF2"/>
    <w:rsid w:val="003E0F03"/>
    <w:rsid w:val="003E0F2B"/>
    <w:rsid w:val="003E0FC6"/>
    <w:rsid w:val="003E10A6"/>
    <w:rsid w:val="003E11C8"/>
    <w:rsid w:val="003E136A"/>
    <w:rsid w:val="003E13C5"/>
    <w:rsid w:val="003E14A8"/>
    <w:rsid w:val="003E14EA"/>
    <w:rsid w:val="003E1510"/>
    <w:rsid w:val="003E1512"/>
    <w:rsid w:val="003E1540"/>
    <w:rsid w:val="003E154B"/>
    <w:rsid w:val="003E15CF"/>
    <w:rsid w:val="003E164A"/>
    <w:rsid w:val="003E181D"/>
    <w:rsid w:val="003E1905"/>
    <w:rsid w:val="003E1929"/>
    <w:rsid w:val="003E19A4"/>
    <w:rsid w:val="003E1AA1"/>
    <w:rsid w:val="003E1AE5"/>
    <w:rsid w:val="003E1B6F"/>
    <w:rsid w:val="003E1C2B"/>
    <w:rsid w:val="003E1C7F"/>
    <w:rsid w:val="003E1D5E"/>
    <w:rsid w:val="003E1D70"/>
    <w:rsid w:val="003E1D7B"/>
    <w:rsid w:val="003E1EA2"/>
    <w:rsid w:val="003E1FD7"/>
    <w:rsid w:val="003E21FD"/>
    <w:rsid w:val="003E2374"/>
    <w:rsid w:val="003E2548"/>
    <w:rsid w:val="003E25E2"/>
    <w:rsid w:val="003E26A3"/>
    <w:rsid w:val="003E277B"/>
    <w:rsid w:val="003E27A9"/>
    <w:rsid w:val="003E27D8"/>
    <w:rsid w:val="003E280B"/>
    <w:rsid w:val="003E28B9"/>
    <w:rsid w:val="003E28D8"/>
    <w:rsid w:val="003E28FA"/>
    <w:rsid w:val="003E2AC3"/>
    <w:rsid w:val="003E2C44"/>
    <w:rsid w:val="003E2D5C"/>
    <w:rsid w:val="003E2D72"/>
    <w:rsid w:val="003E2D99"/>
    <w:rsid w:val="003E2E81"/>
    <w:rsid w:val="003E3023"/>
    <w:rsid w:val="003E3066"/>
    <w:rsid w:val="003E31C0"/>
    <w:rsid w:val="003E31D7"/>
    <w:rsid w:val="003E3294"/>
    <w:rsid w:val="003E32F7"/>
    <w:rsid w:val="003E3434"/>
    <w:rsid w:val="003E3446"/>
    <w:rsid w:val="003E3504"/>
    <w:rsid w:val="003E3512"/>
    <w:rsid w:val="003E3517"/>
    <w:rsid w:val="003E3586"/>
    <w:rsid w:val="003E35D8"/>
    <w:rsid w:val="003E35F6"/>
    <w:rsid w:val="003E3769"/>
    <w:rsid w:val="003E379A"/>
    <w:rsid w:val="003E379C"/>
    <w:rsid w:val="003E3A20"/>
    <w:rsid w:val="003E3B17"/>
    <w:rsid w:val="003E3B4D"/>
    <w:rsid w:val="003E3BCF"/>
    <w:rsid w:val="003E3C40"/>
    <w:rsid w:val="003E3C92"/>
    <w:rsid w:val="003E3D07"/>
    <w:rsid w:val="003E3D2C"/>
    <w:rsid w:val="003E3DD8"/>
    <w:rsid w:val="003E3E4C"/>
    <w:rsid w:val="003E3EF0"/>
    <w:rsid w:val="003E3F53"/>
    <w:rsid w:val="003E3F6F"/>
    <w:rsid w:val="003E3FCE"/>
    <w:rsid w:val="003E4040"/>
    <w:rsid w:val="003E4097"/>
    <w:rsid w:val="003E4147"/>
    <w:rsid w:val="003E42FC"/>
    <w:rsid w:val="003E4456"/>
    <w:rsid w:val="003E4499"/>
    <w:rsid w:val="003E4540"/>
    <w:rsid w:val="003E4566"/>
    <w:rsid w:val="003E457C"/>
    <w:rsid w:val="003E45C8"/>
    <w:rsid w:val="003E461A"/>
    <w:rsid w:val="003E4724"/>
    <w:rsid w:val="003E48A0"/>
    <w:rsid w:val="003E4982"/>
    <w:rsid w:val="003E4A97"/>
    <w:rsid w:val="003E4B40"/>
    <w:rsid w:val="003E4C7A"/>
    <w:rsid w:val="003E4DEE"/>
    <w:rsid w:val="003E4E68"/>
    <w:rsid w:val="003E4EE1"/>
    <w:rsid w:val="003E4F43"/>
    <w:rsid w:val="003E4F89"/>
    <w:rsid w:val="003E4F9E"/>
    <w:rsid w:val="003E4FD8"/>
    <w:rsid w:val="003E5054"/>
    <w:rsid w:val="003E511B"/>
    <w:rsid w:val="003E520C"/>
    <w:rsid w:val="003E5230"/>
    <w:rsid w:val="003E52C5"/>
    <w:rsid w:val="003E52EF"/>
    <w:rsid w:val="003E5330"/>
    <w:rsid w:val="003E5402"/>
    <w:rsid w:val="003E5415"/>
    <w:rsid w:val="003E5434"/>
    <w:rsid w:val="003E546B"/>
    <w:rsid w:val="003E5529"/>
    <w:rsid w:val="003E5862"/>
    <w:rsid w:val="003E58C4"/>
    <w:rsid w:val="003E591B"/>
    <w:rsid w:val="003E5928"/>
    <w:rsid w:val="003E595D"/>
    <w:rsid w:val="003E5AC5"/>
    <w:rsid w:val="003E5B1E"/>
    <w:rsid w:val="003E5BC8"/>
    <w:rsid w:val="003E5C17"/>
    <w:rsid w:val="003E5CBA"/>
    <w:rsid w:val="003E5D58"/>
    <w:rsid w:val="003E5E2C"/>
    <w:rsid w:val="003E5E61"/>
    <w:rsid w:val="003E5F27"/>
    <w:rsid w:val="003E608B"/>
    <w:rsid w:val="003E6105"/>
    <w:rsid w:val="003E6121"/>
    <w:rsid w:val="003E61BC"/>
    <w:rsid w:val="003E6237"/>
    <w:rsid w:val="003E6297"/>
    <w:rsid w:val="003E62CB"/>
    <w:rsid w:val="003E632F"/>
    <w:rsid w:val="003E63CD"/>
    <w:rsid w:val="003E6405"/>
    <w:rsid w:val="003E6433"/>
    <w:rsid w:val="003E6436"/>
    <w:rsid w:val="003E648A"/>
    <w:rsid w:val="003E64E0"/>
    <w:rsid w:val="003E65F5"/>
    <w:rsid w:val="003E664A"/>
    <w:rsid w:val="003E676B"/>
    <w:rsid w:val="003E6898"/>
    <w:rsid w:val="003E699A"/>
    <w:rsid w:val="003E6AB4"/>
    <w:rsid w:val="003E6AC4"/>
    <w:rsid w:val="003E6AD2"/>
    <w:rsid w:val="003E6B33"/>
    <w:rsid w:val="003E6B7D"/>
    <w:rsid w:val="003E6BF3"/>
    <w:rsid w:val="003E6C01"/>
    <w:rsid w:val="003E6C58"/>
    <w:rsid w:val="003E6CB6"/>
    <w:rsid w:val="003E6CDE"/>
    <w:rsid w:val="003E6DB8"/>
    <w:rsid w:val="003E6E44"/>
    <w:rsid w:val="003E6ED3"/>
    <w:rsid w:val="003E6ED7"/>
    <w:rsid w:val="003E6F02"/>
    <w:rsid w:val="003E6FA7"/>
    <w:rsid w:val="003E6FAA"/>
    <w:rsid w:val="003E6FB8"/>
    <w:rsid w:val="003E7001"/>
    <w:rsid w:val="003E70DE"/>
    <w:rsid w:val="003E71D2"/>
    <w:rsid w:val="003E7246"/>
    <w:rsid w:val="003E7292"/>
    <w:rsid w:val="003E72A2"/>
    <w:rsid w:val="003E72F6"/>
    <w:rsid w:val="003E730E"/>
    <w:rsid w:val="003E73A9"/>
    <w:rsid w:val="003E7424"/>
    <w:rsid w:val="003E749D"/>
    <w:rsid w:val="003E758B"/>
    <w:rsid w:val="003E7644"/>
    <w:rsid w:val="003E76C5"/>
    <w:rsid w:val="003E771D"/>
    <w:rsid w:val="003E7771"/>
    <w:rsid w:val="003E777F"/>
    <w:rsid w:val="003E7798"/>
    <w:rsid w:val="003E77B8"/>
    <w:rsid w:val="003E787B"/>
    <w:rsid w:val="003E78BA"/>
    <w:rsid w:val="003E78E8"/>
    <w:rsid w:val="003E7938"/>
    <w:rsid w:val="003E7A06"/>
    <w:rsid w:val="003E7A59"/>
    <w:rsid w:val="003E7B0F"/>
    <w:rsid w:val="003E7B9B"/>
    <w:rsid w:val="003E7EAB"/>
    <w:rsid w:val="003E7F47"/>
    <w:rsid w:val="003E7F6C"/>
    <w:rsid w:val="003E7F73"/>
    <w:rsid w:val="003E7F78"/>
    <w:rsid w:val="003E7FD9"/>
    <w:rsid w:val="003EB5FD"/>
    <w:rsid w:val="003F0207"/>
    <w:rsid w:val="003F021D"/>
    <w:rsid w:val="003F0336"/>
    <w:rsid w:val="003F035B"/>
    <w:rsid w:val="003F0365"/>
    <w:rsid w:val="003F0404"/>
    <w:rsid w:val="003F0417"/>
    <w:rsid w:val="003F042C"/>
    <w:rsid w:val="003F0524"/>
    <w:rsid w:val="003F05D1"/>
    <w:rsid w:val="003F05D7"/>
    <w:rsid w:val="003F064D"/>
    <w:rsid w:val="003F0665"/>
    <w:rsid w:val="003F06EA"/>
    <w:rsid w:val="003F06FF"/>
    <w:rsid w:val="003F0723"/>
    <w:rsid w:val="003F0884"/>
    <w:rsid w:val="003F0897"/>
    <w:rsid w:val="003F0942"/>
    <w:rsid w:val="003F0A00"/>
    <w:rsid w:val="003F0AB2"/>
    <w:rsid w:val="003F0B28"/>
    <w:rsid w:val="003F0B68"/>
    <w:rsid w:val="003F0BB7"/>
    <w:rsid w:val="003F0BD4"/>
    <w:rsid w:val="003F0D7D"/>
    <w:rsid w:val="003F0DD3"/>
    <w:rsid w:val="003F0E19"/>
    <w:rsid w:val="003F0E47"/>
    <w:rsid w:val="003F0E9A"/>
    <w:rsid w:val="003F0EDB"/>
    <w:rsid w:val="003F0EE4"/>
    <w:rsid w:val="003F0F70"/>
    <w:rsid w:val="003F0FF6"/>
    <w:rsid w:val="003F1066"/>
    <w:rsid w:val="003F129C"/>
    <w:rsid w:val="003F12A8"/>
    <w:rsid w:val="003F1322"/>
    <w:rsid w:val="003F142C"/>
    <w:rsid w:val="003F16A5"/>
    <w:rsid w:val="003F16DA"/>
    <w:rsid w:val="003F1A0F"/>
    <w:rsid w:val="003F1A13"/>
    <w:rsid w:val="003F1A34"/>
    <w:rsid w:val="003F1AE1"/>
    <w:rsid w:val="003F1B01"/>
    <w:rsid w:val="003F1B04"/>
    <w:rsid w:val="003F1BE3"/>
    <w:rsid w:val="003F1C7F"/>
    <w:rsid w:val="003F1CE1"/>
    <w:rsid w:val="003F1D1A"/>
    <w:rsid w:val="003F1E3F"/>
    <w:rsid w:val="003F1E4D"/>
    <w:rsid w:val="003F1F9F"/>
    <w:rsid w:val="003F200D"/>
    <w:rsid w:val="003F209F"/>
    <w:rsid w:val="003F2186"/>
    <w:rsid w:val="003F21ED"/>
    <w:rsid w:val="003F232F"/>
    <w:rsid w:val="003F2419"/>
    <w:rsid w:val="003F2586"/>
    <w:rsid w:val="003F25F7"/>
    <w:rsid w:val="003F26B5"/>
    <w:rsid w:val="003F270C"/>
    <w:rsid w:val="003F272B"/>
    <w:rsid w:val="003F28ED"/>
    <w:rsid w:val="003F2905"/>
    <w:rsid w:val="003F29BC"/>
    <w:rsid w:val="003F2A88"/>
    <w:rsid w:val="003F2AE3"/>
    <w:rsid w:val="003F2B4E"/>
    <w:rsid w:val="003F2BB7"/>
    <w:rsid w:val="003F2C1F"/>
    <w:rsid w:val="003F2D2D"/>
    <w:rsid w:val="003F2DFF"/>
    <w:rsid w:val="003F2F5C"/>
    <w:rsid w:val="003F301D"/>
    <w:rsid w:val="003F30A6"/>
    <w:rsid w:val="003F31C2"/>
    <w:rsid w:val="003F31C8"/>
    <w:rsid w:val="003F31EC"/>
    <w:rsid w:val="003F3263"/>
    <w:rsid w:val="003F3277"/>
    <w:rsid w:val="003F32A2"/>
    <w:rsid w:val="003F32B2"/>
    <w:rsid w:val="003F3312"/>
    <w:rsid w:val="003F3345"/>
    <w:rsid w:val="003F3392"/>
    <w:rsid w:val="003F3421"/>
    <w:rsid w:val="003F3462"/>
    <w:rsid w:val="003F3592"/>
    <w:rsid w:val="003F3629"/>
    <w:rsid w:val="003F364D"/>
    <w:rsid w:val="003F3653"/>
    <w:rsid w:val="003F368E"/>
    <w:rsid w:val="003F36C5"/>
    <w:rsid w:val="003F383C"/>
    <w:rsid w:val="003F3842"/>
    <w:rsid w:val="003F3A28"/>
    <w:rsid w:val="003F3A31"/>
    <w:rsid w:val="003F3A3D"/>
    <w:rsid w:val="003F3AAE"/>
    <w:rsid w:val="003F3B2F"/>
    <w:rsid w:val="003F3B3B"/>
    <w:rsid w:val="003F3BA3"/>
    <w:rsid w:val="003F3BF6"/>
    <w:rsid w:val="003F3C5B"/>
    <w:rsid w:val="003F3C8C"/>
    <w:rsid w:val="003F3DE9"/>
    <w:rsid w:val="003F3E22"/>
    <w:rsid w:val="003F3E43"/>
    <w:rsid w:val="003F3E7B"/>
    <w:rsid w:val="003F3EC5"/>
    <w:rsid w:val="003F4007"/>
    <w:rsid w:val="003F4038"/>
    <w:rsid w:val="003F404C"/>
    <w:rsid w:val="003F4135"/>
    <w:rsid w:val="003F4287"/>
    <w:rsid w:val="003F4300"/>
    <w:rsid w:val="003F4301"/>
    <w:rsid w:val="003F437F"/>
    <w:rsid w:val="003F4408"/>
    <w:rsid w:val="003F4418"/>
    <w:rsid w:val="003F443D"/>
    <w:rsid w:val="003F4481"/>
    <w:rsid w:val="003F4593"/>
    <w:rsid w:val="003F459A"/>
    <w:rsid w:val="003F4721"/>
    <w:rsid w:val="003F47F8"/>
    <w:rsid w:val="003F4838"/>
    <w:rsid w:val="003F4926"/>
    <w:rsid w:val="003F4968"/>
    <w:rsid w:val="003F4B94"/>
    <w:rsid w:val="003F4D94"/>
    <w:rsid w:val="003F4ED5"/>
    <w:rsid w:val="003F4F17"/>
    <w:rsid w:val="003F50A1"/>
    <w:rsid w:val="003F514F"/>
    <w:rsid w:val="003F521F"/>
    <w:rsid w:val="003F5307"/>
    <w:rsid w:val="003F533E"/>
    <w:rsid w:val="003F53A4"/>
    <w:rsid w:val="003F541B"/>
    <w:rsid w:val="003F548A"/>
    <w:rsid w:val="003F54A4"/>
    <w:rsid w:val="003F54E7"/>
    <w:rsid w:val="003F56CA"/>
    <w:rsid w:val="003F57F1"/>
    <w:rsid w:val="003F5814"/>
    <w:rsid w:val="003F5877"/>
    <w:rsid w:val="003F5893"/>
    <w:rsid w:val="003F590E"/>
    <w:rsid w:val="003F598E"/>
    <w:rsid w:val="003F5A95"/>
    <w:rsid w:val="003F5ABB"/>
    <w:rsid w:val="003F5AC5"/>
    <w:rsid w:val="003F5B15"/>
    <w:rsid w:val="003F5B20"/>
    <w:rsid w:val="003F5C29"/>
    <w:rsid w:val="003F5C31"/>
    <w:rsid w:val="003F5CA4"/>
    <w:rsid w:val="003F5CAF"/>
    <w:rsid w:val="003F5D33"/>
    <w:rsid w:val="003F5D90"/>
    <w:rsid w:val="003F5DFF"/>
    <w:rsid w:val="003F5EA4"/>
    <w:rsid w:val="003F5ECC"/>
    <w:rsid w:val="003F5F0E"/>
    <w:rsid w:val="003F5F9E"/>
    <w:rsid w:val="003F5FF2"/>
    <w:rsid w:val="003F6054"/>
    <w:rsid w:val="003F6110"/>
    <w:rsid w:val="003F6128"/>
    <w:rsid w:val="003F6161"/>
    <w:rsid w:val="003F617B"/>
    <w:rsid w:val="003F61FD"/>
    <w:rsid w:val="003F6226"/>
    <w:rsid w:val="003F626E"/>
    <w:rsid w:val="003F62A8"/>
    <w:rsid w:val="003F6440"/>
    <w:rsid w:val="003F6482"/>
    <w:rsid w:val="003F65DB"/>
    <w:rsid w:val="003F6763"/>
    <w:rsid w:val="003F6764"/>
    <w:rsid w:val="003F680F"/>
    <w:rsid w:val="003F6928"/>
    <w:rsid w:val="003F69BB"/>
    <w:rsid w:val="003F69CF"/>
    <w:rsid w:val="003F6A9A"/>
    <w:rsid w:val="003F6BAB"/>
    <w:rsid w:val="003F6BD7"/>
    <w:rsid w:val="003F6D07"/>
    <w:rsid w:val="003F6EE7"/>
    <w:rsid w:val="003F6FFC"/>
    <w:rsid w:val="003F70FB"/>
    <w:rsid w:val="003F7105"/>
    <w:rsid w:val="003F711D"/>
    <w:rsid w:val="003F723A"/>
    <w:rsid w:val="003F73BA"/>
    <w:rsid w:val="003F73D9"/>
    <w:rsid w:val="003F7489"/>
    <w:rsid w:val="003F7587"/>
    <w:rsid w:val="003F765C"/>
    <w:rsid w:val="003F76CB"/>
    <w:rsid w:val="003F7714"/>
    <w:rsid w:val="003F7729"/>
    <w:rsid w:val="003F7736"/>
    <w:rsid w:val="003F77A6"/>
    <w:rsid w:val="003F7851"/>
    <w:rsid w:val="003F7885"/>
    <w:rsid w:val="003F78E2"/>
    <w:rsid w:val="003F79DB"/>
    <w:rsid w:val="003F7A1C"/>
    <w:rsid w:val="003F7AA7"/>
    <w:rsid w:val="003F7B85"/>
    <w:rsid w:val="003F7BAD"/>
    <w:rsid w:val="003F7BB3"/>
    <w:rsid w:val="003F7CF2"/>
    <w:rsid w:val="003F7D82"/>
    <w:rsid w:val="003F7DF4"/>
    <w:rsid w:val="003F7E5A"/>
    <w:rsid w:val="003F7EDC"/>
    <w:rsid w:val="003F7F35"/>
    <w:rsid w:val="003F7F69"/>
    <w:rsid w:val="0040000F"/>
    <w:rsid w:val="004000A3"/>
    <w:rsid w:val="004001A4"/>
    <w:rsid w:val="0040020B"/>
    <w:rsid w:val="00400345"/>
    <w:rsid w:val="00400447"/>
    <w:rsid w:val="004004B0"/>
    <w:rsid w:val="0040055B"/>
    <w:rsid w:val="0040056A"/>
    <w:rsid w:val="00400604"/>
    <w:rsid w:val="0040067A"/>
    <w:rsid w:val="004006CE"/>
    <w:rsid w:val="0040084A"/>
    <w:rsid w:val="0040087B"/>
    <w:rsid w:val="00400A26"/>
    <w:rsid w:val="00400A4C"/>
    <w:rsid w:val="00400A93"/>
    <w:rsid w:val="00400AAE"/>
    <w:rsid w:val="00400D02"/>
    <w:rsid w:val="00400D1D"/>
    <w:rsid w:val="00400D6C"/>
    <w:rsid w:val="00400D8E"/>
    <w:rsid w:val="00400DEF"/>
    <w:rsid w:val="0040103E"/>
    <w:rsid w:val="004011AB"/>
    <w:rsid w:val="004012F6"/>
    <w:rsid w:val="004012FF"/>
    <w:rsid w:val="00401342"/>
    <w:rsid w:val="00401556"/>
    <w:rsid w:val="004015E6"/>
    <w:rsid w:val="004016DE"/>
    <w:rsid w:val="0040171A"/>
    <w:rsid w:val="0040172D"/>
    <w:rsid w:val="00401759"/>
    <w:rsid w:val="004017DB"/>
    <w:rsid w:val="00401860"/>
    <w:rsid w:val="00401884"/>
    <w:rsid w:val="004018D0"/>
    <w:rsid w:val="00401920"/>
    <w:rsid w:val="004019CA"/>
    <w:rsid w:val="004019D6"/>
    <w:rsid w:val="00401A1A"/>
    <w:rsid w:val="00401A31"/>
    <w:rsid w:val="00401ABC"/>
    <w:rsid w:val="00401BEA"/>
    <w:rsid w:val="00401C29"/>
    <w:rsid w:val="00401CCA"/>
    <w:rsid w:val="00401D2E"/>
    <w:rsid w:val="00401D43"/>
    <w:rsid w:val="00401E47"/>
    <w:rsid w:val="00401E5A"/>
    <w:rsid w:val="00402104"/>
    <w:rsid w:val="0040227F"/>
    <w:rsid w:val="0040229B"/>
    <w:rsid w:val="004022B8"/>
    <w:rsid w:val="0040237A"/>
    <w:rsid w:val="00402418"/>
    <w:rsid w:val="00402538"/>
    <w:rsid w:val="0040253F"/>
    <w:rsid w:val="00402590"/>
    <w:rsid w:val="00402669"/>
    <w:rsid w:val="00402671"/>
    <w:rsid w:val="004026BD"/>
    <w:rsid w:val="00402860"/>
    <w:rsid w:val="004028AE"/>
    <w:rsid w:val="004028EE"/>
    <w:rsid w:val="00402927"/>
    <w:rsid w:val="00402967"/>
    <w:rsid w:val="0040299A"/>
    <w:rsid w:val="00402A43"/>
    <w:rsid w:val="00402AFF"/>
    <w:rsid w:val="00402B4A"/>
    <w:rsid w:val="00402BB0"/>
    <w:rsid w:val="00402BD6"/>
    <w:rsid w:val="00402C21"/>
    <w:rsid w:val="00402C8F"/>
    <w:rsid w:val="00402D48"/>
    <w:rsid w:val="00402E76"/>
    <w:rsid w:val="00402E91"/>
    <w:rsid w:val="00402EC2"/>
    <w:rsid w:val="00402EEE"/>
    <w:rsid w:val="00402F88"/>
    <w:rsid w:val="00402FB0"/>
    <w:rsid w:val="00402FB3"/>
    <w:rsid w:val="0040302B"/>
    <w:rsid w:val="00403046"/>
    <w:rsid w:val="0040306F"/>
    <w:rsid w:val="00403085"/>
    <w:rsid w:val="0040329D"/>
    <w:rsid w:val="004032E2"/>
    <w:rsid w:val="004033A4"/>
    <w:rsid w:val="004033D9"/>
    <w:rsid w:val="0040348A"/>
    <w:rsid w:val="00403669"/>
    <w:rsid w:val="00403679"/>
    <w:rsid w:val="00403701"/>
    <w:rsid w:val="004037EC"/>
    <w:rsid w:val="00403816"/>
    <w:rsid w:val="004038CD"/>
    <w:rsid w:val="004039D1"/>
    <w:rsid w:val="004039ED"/>
    <w:rsid w:val="00403A7C"/>
    <w:rsid w:val="00403AB5"/>
    <w:rsid w:val="00403B98"/>
    <w:rsid w:val="00403BA3"/>
    <w:rsid w:val="00403BE0"/>
    <w:rsid w:val="00403C29"/>
    <w:rsid w:val="00403C67"/>
    <w:rsid w:val="00403E08"/>
    <w:rsid w:val="00403EF6"/>
    <w:rsid w:val="004040CD"/>
    <w:rsid w:val="0040419A"/>
    <w:rsid w:val="00404210"/>
    <w:rsid w:val="004042A8"/>
    <w:rsid w:val="004042D1"/>
    <w:rsid w:val="00404338"/>
    <w:rsid w:val="00404458"/>
    <w:rsid w:val="00404477"/>
    <w:rsid w:val="00404481"/>
    <w:rsid w:val="004044B5"/>
    <w:rsid w:val="004044FC"/>
    <w:rsid w:val="004045D6"/>
    <w:rsid w:val="004045E6"/>
    <w:rsid w:val="00404620"/>
    <w:rsid w:val="0040467F"/>
    <w:rsid w:val="00404690"/>
    <w:rsid w:val="0040469D"/>
    <w:rsid w:val="004046FF"/>
    <w:rsid w:val="004048B6"/>
    <w:rsid w:val="00404ADF"/>
    <w:rsid w:val="00404AEB"/>
    <w:rsid w:val="00404B10"/>
    <w:rsid w:val="00404D6A"/>
    <w:rsid w:val="00404D71"/>
    <w:rsid w:val="00404D7C"/>
    <w:rsid w:val="00404D8F"/>
    <w:rsid w:val="00404DC7"/>
    <w:rsid w:val="00404DCE"/>
    <w:rsid w:val="00404EF2"/>
    <w:rsid w:val="00404F66"/>
    <w:rsid w:val="00404F7B"/>
    <w:rsid w:val="0040506E"/>
    <w:rsid w:val="004050D1"/>
    <w:rsid w:val="0040531D"/>
    <w:rsid w:val="00405330"/>
    <w:rsid w:val="004053A5"/>
    <w:rsid w:val="004053B9"/>
    <w:rsid w:val="0040547A"/>
    <w:rsid w:val="00405540"/>
    <w:rsid w:val="004055B9"/>
    <w:rsid w:val="0040578F"/>
    <w:rsid w:val="0040588D"/>
    <w:rsid w:val="004058A1"/>
    <w:rsid w:val="0040593B"/>
    <w:rsid w:val="00405A61"/>
    <w:rsid w:val="00405A65"/>
    <w:rsid w:val="00405AC1"/>
    <w:rsid w:val="00405ADF"/>
    <w:rsid w:val="00405AFB"/>
    <w:rsid w:val="00405B7A"/>
    <w:rsid w:val="00405BEB"/>
    <w:rsid w:val="00405CB9"/>
    <w:rsid w:val="00405CC2"/>
    <w:rsid w:val="00405D5C"/>
    <w:rsid w:val="00405E47"/>
    <w:rsid w:val="00405F15"/>
    <w:rsid w:val="00405FD2"/>
    <w:rsid w:val="00406011"/>
    <w:rsid w:val="00406145"/>
    <w:rsid w:val="00406240"/>
    <w:rsid w:val="0040627D"/>
    <w:rsid w:val="00406361"/>
    <w:rsid w:val="00406423"/>
    <w:rsid w:val="0040653A"/>
    <w:rsid w:val="0040656F"/>
    <w:rsid w:val="004067E0"/>
    <w:rsid w:val="00406829"/>
    <w:rsid w:val="004069C8"/>
    <w:rsid w:val="004069E2"/>
    <w:rsid w:val="00406AC9"/>
    <w:rsid w:val="00406B13"/>
    <w:rsid w:val="00406B4F"/>
    <w:rsid w:val="00406BD6"/>
    <w:rsid w:val="00406C4A"/>
    <w:rsid w:val="00406C83"/>
    <w:rsid w:val="00406CC9"/>
    <w:rsid w:val="00406CF7"/>
    <w:rsid w:val="00406D21"/>
    <w:rsid w:val="00406D2A"/>
    <w:rsid w:val="00406D61"/>
    <w:rsid w:val="00406D8A"/>
    <w:rsid w:val="00406EDD"/>
    <w:rsid w:val="00406FA8"/>
    <w:rsid w:val="00407052"/>
    <w:rsid w:val="0040711F"/>
    <w:rsid w:val="0040717E"/>
    <w:rsid w:val="004071CB"/>
    <w:rsid w:val="004071E1"/>
    <w:rsid w:val="00407222"/>
    <w:rsid w:val="0040727B"/>
    <w:rsid w:val="00407364"/>
    <w:rsid w:val="00407541"/>
    <w:rsid w:val="00407593"/>
    <w:rsid w:val="004075C4"/>
    <w:rsid w:val="0040764F"/>
    <w:rsid w:val="004076C5"/>
    <w:rsid w:val="00407730"/>
    <w:rsid w:val="00407762"/>
    <w:rsid w:val="004077AD"/>
    <w:rsid w:val="004078F8"/>
    <w:rsid w:val="00407982"/>
    <w:rsid w:val="004079EA"/>
    <w:rsid w:val="00407A10"/>
    <w:rsid w:val="00407A27"/>
    <w:rsid w:val="00407C05"/>
    <w:rsid w:val="00407C18"/>
    <w:rsid w:val="00407C7A"/>
    <w:rsid w:val="00407C81"/>
    <w:rsid w:val="00407CF8"/>
    <w:rsid w:val="00407CFA"/>
    <w:rsid w:val="00407D04"/>
    <w:rsid w:val="00407D0E"/>
    <w:rsid w:val="00407D89"/>
    <w:rsid w:val="00407EDF"/>
    <w:rsid w:val="00407F53"/>
    <w:rsid w:val="00407FE3"/>
    <w:rsid w:val="0041000F"/>
    <w:rsid w:val="00410015"/>
    <w:rsid w:val="0041006C"/>
    <w:rsid w:val="00410167"/>
    <w:rsid w:val="00410228"/>
    <w:rsid w:val="00410278"/>
    <w:rsid w:val="0041028C"/>
    <w:rsid w:val="00410325"/>
    <w:rsid w:val="0041038E"/>
    <w:rsid w:val="004103A4"/>
    <w:rsid w:val="004103E9"/>
    <w:rsid w:val="004103FC"/>
    <w:rsid w:val="00410477"/>
    <w:rsid w:val="004105C9"/>
    <w:rsid w:val="00410789"/>
    <w:rsid w:val="004107CA"/>
    <w:rsid w:val="00410868"/>
    <w:rsid w:val="00410909"/>
    <w:rsid w:val="00410940"/>
    <w:rsid w:val="00410984"/>
    <w:rsid w:val="00410A29"/>
    <w:rsid w:val="00410A8D"/>
    <w:rsid w:val="00410A97"/>
    <w:rsid w:val="00410A98"/>
    <w:rsid w:val="00410B15"/>
    <w:rsid w:val="00410B44"/>
    <w:rsid w:val="00410C78"/>
    <w:rsid w:val="00410C83"/>
    <w:rsid w:val="00410C9F"/>
    <w:rsid w:val="00410D9D"/>
    <w:rsid w:val="00410DF5"/>
    <w:rsid w:val="00410E7F"/>
    <w:rsid w:val="00410E9D"/>
    <w:rsid w:val="00410EE0"/>
    <w:rsid w:val="00411177"/>
    <w:rsid w:val="0041122D"/>
    <w:rsid w:val="00411258"/>
    <w:rsid w:val="004112B4"/>
    <w:rsid w:val="00411407"/>
    <w:rsid w:val="0041148C"/>
    <w:rsid w:val="00411592"/>
    <w:rsid w:val="0041166C"/>
    <w:rsid w:val="0041170E"/>
    <w:rsid w:val="00411712"/>
    <w:rsid w:val="004118A1"/>
    <w:rsid w:val="00411960"/>
    <w:rsid w:val="00411B2B"/>
    <w:rsid w:val="00411B35"/>
    <w:rsid w:val="00411D27"/>
    <w:rsid w:val="00411D2F"/>
    <w:rsid w:val="00411DBA"/>
    <w:rsid w:val="00411EC1"/>
    <w:rsid w:val="00411F39"/>
    <w:rsid w:val="00411F8C"/>
    <w:rsid w:val="004120C2"/>
    <w:rsid w:val="00412144"/>
    <w:rsid w:val="004121CF"/>
    <w:rsid w:val="004121D9"/>
    <w:rsid w:val="0041229D"/>
    <w:rsid w:val="004122B6"/>
    <w:rsid w:val="00412324"/>
    <w:rsid w:val="004123BB"/>
    <w:rsid w:val="004123EF"/>
    <w:rsid w:val="004124B9"/>
    <w:rsid w:val="004124C1"/>
    <w:rsid w:val="0041254F"/>
    <w:rsid w:val="00412553"/>
    <w:rsid w:val="004125E1"/>
    <w:rsid w:val="004125FB"/>
    <w:rsid w:val="0041296E"/>
    <w:rsid w:val="004129AF"/>
    <w:rsid w:val="004129D4"/>
    <w:rsid w:val="004129EA"/>
    <w:rsid w:val="00412A60"/>
    <w:rsid w:val="00412AE3"/>
    <w:rsid w:val="00412BCE"/>
    <w:rsid w:val="00412C70"/>
    <w:rsid w:val="00412C79"/>
    <w:rsid w:val="00412CC1"/>
    <w:rsid w:val="00412D01"/>
    <w:rsid w:val="00412D80"/>
    <w:rsid w:val="00412EEF"/>
    <w:rsid w:val="00412F32"/>
    <w:rsid w:val="0041301B"/>
    <w:rsid w:val="004130A3"/>
    <w:rsid w:val="004130BA"/>
    <w:rsid w:val="004130EC"/>
    <w:rsid w:val="0041311E"/>
    <w:rsid w:val="00413378"/>
    <w:rsid w:val="004133C7"/>
    <w:rsid w:val="004133F7"/>
    <w:rsid w:val="00413453"/>
    <w:rsid w:val="0041361E"/>
    <w:rsid w:val="00413652"/>
    <w:rsid w:val="00413679"/>
    <w:rsid w:val="00413828"/>
    <w:rsid w:val="0041386F"/>
    <w:rsid w:val="00413924"/>
    <w:rsid w:val="00413989"/>
    <w:rsid w:val="004139A1"/>
    <w:rsid w:val="004139AB"/>
    <w:rsid w:val="004139D0"/>
    <w:rsid w:val="00413A16"/>
    <w:rsid w:val="00413A37"/>
    <w:rsid w:val="00413A93"/>
    <w:rsid w:val="00413AC7"/>
    <w:rsid w:val="00413AD8"/>
    <w:rsid w:val="00413AEF"/>
    <w:rsid w:val="00413C8B"/>
    <w:rsid w:val="00413D41"/>
    <w:rsid w:val="00413E18"/>
    <w:rsid w:val="004140B1"/>
    <w:rsid w:val="0041411D"/>
    <w:rsid w:val="00414130"/>
    <w:rsid w:val="0041420A"/>
    <w:rsid w:val="00414240"/>
    <w:rsid w:val="0041425C"/>
    <w:rsid w:val="00414278"/>
    <w:rsid w:val="004143BD"/>
    <w:rsid w:val="0041440E"/>
    <w:rsid w:val="0041446E"/>
    <w:rsid w:val="00414496"/>
    <w:rsid w:val="004144D3"/>
    <w:rsid w:val="004144EF"/>
    <w:rsid w:val="0041451A"/>
    <w:rsid w:val="00414549"/>
    <w:rsid w:val="00414575"/>
    <w:rsid w:val="00414578"/>
    <w:rsid w:val="004145E2"/>
    <w:rsid w:val="004145FA"/>
    <w:rsid w:val="004146BD"/>
    <w:rsid w:val="00414756"/>
    <w:rsid w:val="0041483F"/>
    <w:rsid w:val="004148C2"/>
    <w:rsid w:val="004148FE"/>
    <w:rsid w:val="00414946"/>
    <w:rsid w:val="00414A70"/>
    <w:rsid w:val="00414AAA"/>
    <w:rsid w:val="00414B4F"/>
    <w:rsid w:val="00414B8E"/>
    <w:rsid w:val="00414B92"/>
    <w:rsid w:val="00414BED"/>
    <w:rsid w:val="00414CC8"/>
    <w:rsid w:val="00414D3D"/>
    <w:rsid w:val="00415001"/>
    <w:rsid w:val="0041501F"/>
    <w:rsid w:val="00415087"/>
    <w:rsid w:val="00415096"/>
    <w:rsid w:val="004150E7"/>
    <w:rsid w:val="00415123"/>
    <w:rsid w:val="004151AB"/>
    <w:rsid w:val="0041528A"/>
    <w:rsid w:val="00415313"/>
    <w:rsid w:val="0041536C"/>
    <w:rsid w:val="0041554B"/>
    <w:rsid w:val="00415591"/>
    <w:rsid w:val="0041560B"/>
    <w:rsid w:val="00415620"/>
    <w:rsid w:val="00415694"/>
    <w:rsid w:val="004156F1"/>
    <w:rsid w:val="00415743"/>
    <w:rsid w:val="0041587B"/>
    <w:rsid w:val="0041591E"/>
    <w:rsid w:val="00415B3B"/>
    <w:rsid w:val="00415C19"/>
    <w:rsid w:val="00415C1A"/>
    <w:rsid w:val="00415CD5"/>
    <w:rsid w:val="00415CF2"/>
    <w:rsid w:val="00415E32"/>
    <w:rsid w:val="00415E69"/>
    <w:rsid w:val="00415F68"/>
    <w:rsid w:val="00415F6D"/>
    <w:rsid w:val="00415F8A"/>
    <w:rsid w:val="00415F98"/>
    <w:rsid w:val="0041600D"/>
    <w:rsid w:val="00416041"/>
    <w:rsid w:val="00416051"/>
    <w:rsid w:val="004161E7"/>
    <w:rsid w:val="00416559"/>
    <w:rsid w:val="004166E5"/>
    <w:rsid w:val="004166FA"/>
    <w:rsid w:val="00416A9D"/>
    <w:rsid w:val="00416AAC"/>
    <w:rsid w:val="00416B4B"/>
    <w:rsid w:val="00416BC6"/>
    <w:rsid w:val="00416D7B"/>
    <w:rsid w:val="00416DF0"/>
    <w:rsid w:val="00416DFC"/>
    <w:rsid w:val="00416E3E"/>
    <w:rsid w:val="00416E66"/>
    <w:rsid w:val="00416F20"/>
    <w:rsid w:val="00416F2D"/>
    <w:rsid w:val="00416FFD"/>
    <w:rsid w:val="00417012"/>
    <w:rsid w:val="0041710B"/>
    <w:rsid w:val="0041711D"/>
    <w:rsid w:val="00417174"/>
    <w:rsid w:val="0041719F"/>
    <w:rsid w:val="0041726B"/>
    <w:rsid w:val="00417270"/>
    <w:rsid w:val="00417312"/>
    <w:rsid w:val="00417315"/>
    <w:rsid w:val="0041731B"/>
    <w:rsid w:val="004173EC"/>
    <w:rsid w:val="00417443"/>
    <w:rsid w:val="004175C1"/>
    <w:rsid w:val="0041762D"/>
    <w:rsid w:val="0041790E"/>
    <w:rsid w:val="00417965"/>
    <w:rsid w:val="004179AD"/>
    <w:rsid w:val="00417A2F"/>
    <w:rsid w:val="00417AB1"/>
    <w:rsid w:val="00417B0D"/>
    <w:rsid w:val="00417B2B"/>
    <w:rsid w:val="00417B9F"/>
    <w:rsid w:val="00417BE9"/>
    <w:rsid w:val="00417C4E"/>
    <w:rsid w:val="00417D46"/>
    <w:rsid w:val="00417D5D"/>
    <w:rsid w:val="00417DD5"/>
    <w:rsid w:val="00417E3B"/>
    <w:rsid w:val="00417EAA"/>
    <w:rsid w:val="00417ED5"/>
    <w:rsid w:val="00417F28"/>
    <w:rsid w:val="00417FA9"/>
    <w:rsid w:val="00420085"/>
    <w:rsid w:val="0042008E"/>
    <w:rsid w:val="004200BF"/>
    <w:rsid w:val="0042011B"/>
    <w:rsid w:val="004201AD"/>
    <w:rsid w:val="0042041D"/>
    <w:rsid w:val="004204F6"/>
    <w:rsid w:val="0042050E"/>
    <w:rsid w:val="0042050F"/>
    <w:rsid w:val="0042059B"/>
    <w:rsid w:val="004205CB"/>
    <w:rsid w:val="004205E7"/>
    <w:rsid w:val="0042066F"/>
    <w:rsid w:val="00420AE5"/>
    <w:rsid w:val="00420C0E"/>
    <w:rsid w:val="00420D4C"/>
    <w:rsid w:val="00420D51"/>
    <w:rsid w:val="00420DB4"/>
    <w:rsid w:val="00420E27"/>
    <w:rsid w:val="00420E3D"/>
    <w:rsid w:val="00420FD9"/>
    <w:rsid w:val="00420FED"/>
    <w:rsid w:val="0042101B"/>
    <w:rsid w:val="0042107A"/>
    <w:rsid w:val="0042108A"/>
    <w:rsid w:val="004211AF"/>
    <w:rsid w:val="004211B3"/>
    <w:rsid w:val="0042120E"/>
    <w:rsid w:val="00421290"/>
    <w:rsid w:val="004212CB"/>
    <w:rsid w:val="004212DD"/>
    <w:rsid w:val="00421320"/>
    <w:rsid w:val="00421324"/>
    <w:rsid w:val="004213B9"/>
    <w:rsid w:val="00421433"/>
    <w:rsid w:val="00421494"/>
    <w:rsid w:val="00421589"/>
    <w:rsid w:val="0042158C"/>
    <w:rsid w:val="00421796"/>
    <w:rsid w:val="0042179E"/>
    <w:rsid w:val="004217DC"/>
    <w:rsid w:val="00421870"/>
    <w:rsid w:val="00421901"/>
    <w:rsid w:val="00421912"/>
    <w:rsid w:val="0042192C"/>
    <w:rsid w:val="00421989"/>
    <w:rsid w:val="0042199C"/>
    <w:rsid w:val="004219B3"/>
    <w:rsid w:val="004219BE"/>
    <w:rsid w:val="004219D1"/>
    <w:rsid w:val="00421A26"/>
    <w:rsid w:val="00421A9C"/>
    <w:rsid w:val="00421AF9"/>
    <w:rsid w:val="00421B41"/>
    <w:rsid w:val="00421BDE"/>
    <w:rsid w:val="00421CFA"/>
    <w:rsid w:val="00421D07"/>
    <w:rsid w:val="00421E23"/>
    <w:rsid w:val="00421F75"/>
    <w:rsid w:val="004220C2"/>
    <w:rsid w:val="004220D7"/>
    <w:rsid w:val="00422159"/>
    <w:rsid w:val="00422190"/>
    <w:rsid w:val="00422229"/>
    <w:rsid w:val="004222AD"/>
    <w:rsid w:val="0042244C"/>
    <w:rsid w:val="00422580"/>
    <w:rsid w:val="00422664"/>
    <w:rsid w:val="0042266F"/>
    <w:rsid w:val="00422787"/>
    <w:rsid w:val="00422A38"/>
    <w:rsid w:val="00422AB5"/>
    <w:rsid w:val="00422ACF"/>
    <w:rsid w:val="00422CEA"/>
    <w:rsid w:val="00422D7A"/>
    <w:rsid w:val="00422DB9"/>
    <w:rsid w:val="00422E50"/>
    <w:rsid w:val="00422E58"/>
    <w:rsid w:val="00423130"/>
    <w:rsid w:val="0042319B"/>
    <w:rsid w:val="004231B2"/>
    <w:rsid w:val="00423274"/>
    <w:rsid w:val="00423303"/>
    <w:rsid w:val="00423324"/>
    <w:rsid w:val="00423334"/>
    <w:rsid w:val="004233E1"/>
    <w:rsid w:val="004234FE"/>
    <w:rsid w:val="00423537"/>
    <w:rsid w:val="00423598"/>
    <w:rsid w:val="00423668"/>
    <w:rsid w:val="004236C2"/>
    <w:rsid w:val="004237CA"/>
    <w:rsid w:val="0042380B"/>
    <w:rsid w:val="0042380E"/>
    <w:rsid w:val="00423884"/>
    <w:rsid w:val="00423996"/>
    <w:rsid w:val="00423A2A"/>
    <w:rsid w:val="00423A83"/>
    <w:rsid w:val="00423B85"/>
    <w:rsid w:val="00423BC5"/>
    <w:rsid w:val="00423BED"/>
    <w:rsid w:val="00423CBE"/>
    <w:rsid w:val="00423CBF"/>
    <w:rsid w:val="00423CD4"/>
    <w:rsid w:val="00423CEB"/>
    <w:rsid w:val="00423E42"/>
    <w:rsid w:val="00423ECB"/>
    <w:rsid w:val="00423F95"/>
    <w:rsid w:val="00424085"/>
    <w:rsid w:val="00424124"/>
    <w:rsid w:val="0042413B"/>
    <w:rsid w:val="00424268"/>
    <w:rsid w:val="004245B2"/>
    <w:rsid w:val="00424625"/>
    <w:rsid w:val="0042462F"/>
    <w:rsid w:val="0042464C"/>
    <w:rsid w:val="004246E3"/>
    <w:rsid w:val="004246F8"/>
    <w:rsid w:val="0042471F"/>
    <w:rsid w:val="00424800"/>
    <w:rsid w:val="00424828"/>
    <w:rsid w:val="00424852"/>
    <w:rsid w:val="00424871"/>
    <w:rsid w:val="0042492C"/>
    <w:rsid w:val="00424998"/>
    <w:rsid w:val="004249CF"/>
    <w:rsid w:val="004249F8"/>
    <w:rsid w:val="00424A06"/>
    <w:rsid w:val="00424BC7"/>
    <w:rsid w:val="00424C62"/>
    <w:rsid w:val="00424CA3"/>
    <w:rsid w:val="00424E1F"/>
    <w:rsid w:val="00424E52"/>
    <w:rsid w:val="0042515A"/>
    <w:rsid w:val="00425237"/>
    <w:rsid w:val="00425372"/>
    <w:rsid w:val="004254B7"/>
    <w:rsid w:val="004254C6"/>
    <w:rsid w:val="004254D2"/>
    <w:rsid w:val="00425572"/>
    <w:rsid w:val="004255CA"/>
    <w:rsid w:val="00425863"/>
    <w:rsid w:val="004259F6"/>
    <w:rsid w:val="00425A91"/>
    <w:rsid w:val="00425BE3"/>
    <w:rsid w:val="00425C21"/>
    <w:rsid w:val="00425DC7"/>
    <w:rsid w:val="00425DEC"/>
    <w:rsid w:val="00425EB5"/>
    <w:rsid w:val="00425EE0"/>
    <w:rsid w:val="00425FCE"/>
    <w:rsid w:val="00426023"/>
    <w:rsid w:val="00426114"/>
    <w:rsid w:val="00426178"/>
    <w:rsid w:val="00426181"/>
    <w:rsid w:val="0042627F"/>
    <w:rsid w:val="00426335"/>
    <w:rsid w:val="00426434"/>
    <w:rsid w:val="00426510"/>
    <w:rsid w:val="0042652D"/>
    <w:rsid w:val="0042657C"/>
    <w:rsid w:val="004266C3"/>
    <w:rsid w:val="004267C9"/>
    <w:rsid w:val="00426832"/>
    <w:rsid w:val="00426887"/>
    <w:rsid w:val="0042692F"/>
    <w:rsid w:val="00426AAD"/>
    <w:rsid w:val="00426B37"/>
    <w:rsid w:val="00426BAD"/>
    <w:rsid w:val="00426BB2"/>
    <w:rsid w:val="00426BEB"/>
    <w:rsid w:val="00426C83"/>
    <w:rsid w:val="00426D61"/>
    <w:rsid w:val="00426E77"/>
    <w:rsid w:val="00426FC1"/>
    <w:rsid w:val="0042705F"/>
    <w:rsid w:val="00427129"/>
    <w:rsid w:val="004272E9"/>
    <w:rsid w:val="00427454"/>
    <w:rsid w:val="004274AB"/>
    <w:rsid w:val="004276D6"/>
    <w:rsid w:val="00427749"/>
    <w:rsid w:val="004277A7"/>
    <w:rsid w:val="0042786A"/>
    <w:rsid w:val="004278DC"/>
    <w:rsid w:val="00427979"/>
    <w:rsid w:val="0042797A"/>
    <w:rsid w:val="00427AE8"/>
    <w:rsid w:val="00427B40"/>
    <w:rsid w:val="00427C0D"/>
    <w:rsid w:val="00427C40"/>
    <w:rsid w:val="00427DE7"/>
    <w:rsid w:val="00427E6E"/>
    <w:rsid w:val="004301A1"/>
    <w:rsid w:val="004301B9"/>
    <w:rsid w:val="004301E9"/>
    <w:rsid w:val="00430316"/>
    <w:rsid w:val="0043038F"/>
    <w:rsid w:val="004303D3"/>
    <w:rsid w:val="004304AE"/>
    <w:rsid w:val="0043055D"/>
    <w:rsid w:val="004305FA"/>
    <w:rsid w:val="004306B2"/>
    <w:rsid w:val="0043071D"/>
    <w:rsid w:val="0043078C"/>
    <w:rsid w:val="004307B9"/>
    <w:rsid w:val="0043088F"/>
    <w:rsid w:val="0043092A"/>
    <w:rsid w:val="00430999"/>
    <w:rsid w:val="004309E2"/>
    <w:rsid w:val="00430A06"/>
    <w:rsid w:val="00430A56"/>
    <w:rsid w:val="00430BC1"/>
    <w:rsid w:val="00430BC4"/>
    <w:rsid w:val="00430BE0"/>
    <w:rsid w:val="00430C40"/>
    <w:rsid w:val="00430C66"/>
    <w:rsid w:val="00430D3E"/>
    <w:rsid w:val="00430D4E"/>
    <w:rsid w:val="00431023"/>
    <w:rsid w:val="0043104D"/>
    <w:rsid w:val="0043114E"/>
    <w:rsid w:val="004311F0"/>
    <w:rsid w:val="00431264"/>
    <w:rsid w:val="0043134E"/>
    <w:rsid w:val="0043137A"/>
    <w:rsid w:val="0043138C"/>
    <w:rsid w:val="00431453"/>
    <w:rsid w:val="004314B3"/>
    <w:rsid w:val="004314BC"/>
    <w:rsid w:val="004315C2"/>
    <w:rsid w:val="00431636"/>
    <w:rsid w:val="0043168E"/>
    <w:rsid w:val="0043172B"/>
    <w:rsid w:val="00431752"/>
    <w:rsid w:val="0043177D"/>
    <w:rsid w:val="00431882"/>
    <w:rsid w:val="00431964"/>
    <w:rsid w:val="004319BE"/>
    <w:rsid w:val="004319BF"/>
    <w:rsid w:val="00431A11"/>
    <w:rsid w:val="00431A53"/>
    <w:rsid w:val="00431A62"/>
    <w:rsid w:val="00431AFE"/>
    <w:rsid w:val="00431BE1"/>
    <w:rsid w:val="00431C82"/>
    <w:rsid w:val="00431C8F"/>
    <w:rsid w:val="00431CD2"/>
    <w:rsid w:val="00431D68"/>
    <w:rsid w:val="00431D82"/>
    <w:rsid w:val="00431DE3"/>
    <w:rsid w:val="00431DF1"/>
    <w:rsid w:val="00431E0A"/>
    <w:rsid w:val="00431E3A"/>
    <w:rsid w:val="00431FDB"/>
    <w:rsid w:val="00431FE8"/>
    <w:rsid w:val="00432002"/>
    <w:rsid w:val="00432147"/>
    <w:rsid w:val="0043217F"/>
    <w:rsid w:val="004321C1"/>
    <w:rsid w:val="00432278"/>
    <w:rsid w:val="00432307"/>
    <w:rsid w:val="004323E9"/>
    <w:rsid w:val="004323FB"/>
    <w:rsid w:val="0043245E"/>
    <w:rsid w:val="00432516"/>
    <w:rsid w:val="00432583"/>
    <w:rsid w:val="0043259A"/>
    <w:rsid w:val="004325E9"/>
    <w:rsid w:val="00432606"/>
    <w:rsid w:val="0043261C"/>
    <w:rsid w:val="00432785"/>
    <w:rsid w:val="004327B2"/>
    <w:rsid w:val="004327C2"/>
    <w:rsid w:val="00432988"/>
    <w:rsid w:val="00432AB5"/>
    <w:rsid w:val="00432B88"/>
    <w:rsid w:val="00432C75"/>
    <w:rsid w:val="00432CD2"/>
    <w:rsid w:val="00432CF8"/>
    <w:rsid w:val="00432D95"/>
    <w:rsid w:val="00432E80"/>
    <w:rsid w:val="00432F29"/>
    <w:rsid w:val="00432F45"/>
    <w:rsid w:val="004330CD"/>
    <w:rsid w:val="004330D7"/>
    <w:rsid w:val="0043313D"/>
    <w:rsid w:val="0043320D"/>
    <w:rsid w:val="00433333"/>
    <w:rsid w:val="0043337D"/>
    <w:rsid w:val="004333F9"/>
    <w:rsid w:val="00433413"/>
    <w:rsid w:val="00433538"/>
    <w:rsid w:val="004335C4"/>
    <w:rsid w:val="004335EE"/>
    <w:rsid w:val="004335F7"/>
    <w:rsid w:val="00433669"/>
    <w:rsid w:val="004336AB"/>
    <w:rsid w:val="0043371E"/>
    <w:rsid w:val="00433832"/>
    <w:rsid w:val="00433890"/>
    <w:rsid w:val="00433A17"/>
    <w:rsid w:val="00433A30"/>
    <w:rsid w:val="00433A58"/>
    <w:rsid w:val="00433A97"/>
    <w:rsid w:val="00433AF3"/>
    <w:rsid w:val="00433B77"/>
    <w:rsid w:val="00433BF2"/>
    <w:rsid w:val="00433CA7"/>
    <w:rsid w:val="00433CB8"/>
    <w:rsid w:val="00433CD3"/>
    <w:rsid w:val="00433DB1"/>
    <w:rsid w:val="00433E7D"/>
    <w:rsid w:val="00433F02"/>
    <w:rsid w:val="00433F09"/>
    <w:rsid w:val="00433FF2"/>
    <w:rsid w:val="004340B3"/>
    <w:rsid w:val="004340C6"/>
    <w:rsid w:val="00434117"/>
    <w:rsid w:val="0043441E"/>
    <w:rsid w:val="00434526"/>
    <w:rsid w:val="004345AC"/>
    <w:rsid w:val="00434691"/>
    <w:rsid w:val="00434698"/>
    <w:rsid w:val="004346FD"/>
    <w:rsid w:val="00434793"/>
    <w:rsid w:val="004347F3"/>
    <w:rsid w:val="004348FE"/>
    <w:rsid w:val="00434966"/>
    <w:rsid w:val="00434986"/>
    <w:rsid w:val="004349C4"/>
    <w:rsid w:val="00434A77"/>
    <w:rsid w:val="00434B45"/>
    <w:rsid w:val="00434BF9"/>
    <w:rsid w:val="00434C51"/>
    <w:rsid w:val="00434DF4"/>
    <w:rsid w:val="00434EE9"/>
    <w:rsid w:val="00434F35"/>
    <w:rsid w:val="00434F43"/>
    <w:rsid w:val="00434F8C"/>
    <w:rsid w:val="00434F97"/>
    <w:rsid w:val="0043507C"/>
    <w:rsid w:val="004350D8"/>
    <w:rsid w:val="004350E0"/>
    <w:rsid w:val="004352C7"/>
    <w:rsid w:val="00435388"/>
    <w:rsid w:val="004353A0"/>
    <w:rsid w:val="004353B0"/>
    <w:rsid w:val="00435432"/>
    <w:rsid w:val="0043554C"/>
    <w:rsid w:val="00435589"/>
    <w:rsid w:val="004355A5"/>
    <w:rsid w:val="004355EC"/>
    <w:rsid w:val="00435644"/>
    <w:rsid w:val="00435681"/>
    <w:rsid w:val="004357E6"/>
    <w:rsid w:val="0043582F"/>
    <w:rsid w:val="0043587E"/>
    <w:rsid w:val="00435995"/>
    <w:rsid w:val="00435A75"/>
    <w:rsid w:val="00435A78"/>
    <w:rsid w:val="00435AF7"/>
    <w:rsid w:val="00435D2F"/>
    <w:rsid w:val="00435E96"/>
    <w:rsid w:val="00435EF7"/>
    <w:rsid w:val="0043609C"/>
    <w:rsid w:val="004360FF"/>
    <w:rsid w:val="00436144"/>
    <w:rsid w:val="00436213"/>
    <w:rsid w:val="00436239"/>
    <w:rsid w:val="0043626B"/>
    <w:rsid w:val="00436274"/>
    <w:rsid w:val="00436511"/>
    <w:rsid w:val="00436571"/>
    <w:rsid w:val="0043657E"/>
    <w:rsid w:val="004365F2"/>
    <w:rsid w:val="00436621"/>
    <w:rsid w:val="00436643"/>
    <w:rsid w:val="004366CC"/>
    <w:rsid w:val="0043687C"/>
    <w:rsid w:val="004368B2"/>
    <w:rsid w:val="004369B3"/>
    <w:rsid w:val="004369FE"/>
    <w:rsid w:val="00436C42"/>
    <w:rsid w:val="00436C9C"/>
    <w:rsid w:val="00436E30"/>
    <w:rsid w:val="00436F71"/>
    <w:rsid w:val="004370FE"/>
    <w:rsid w:val="00437101"/>
    <w:rsid w:val="00437102"/>
    <w:rsid w:val="00437138"/>
    <w:rsid w:val="00437181"/>
    <w:rsid w:val="004372C4"/>
    <w:rsid w:val="004372F9"/>
    <w:rsid w:val="00437350"/>
    <w:rsid w:val="004373BE"/>
    <w:rsid w:val="00437409"/>
    <w:rsid w:val="00437463"/>
    <w:rsid w:val="00437479"/>
    <w:rsid w:val="004374B0"/>
    <w:rsid w:val="00437511"/>
    <w:rsid w:val="004375AD"/>
    <w:rsid w:val="004375D1"/>
    <w:rsid w:val="00437610"/>
    <w:rsid w:val="0043762F"/>
    <w:rsid w:val="00437662"/>
    <w:rsid w:val="004376EA"/>
    <w:rsid w:val="004377D6"/>
    <w:rsid w:val="0043781B"/>
    <w:rsid w:val="0043787D"/>
    <w:rsid w:val="0043788B"/>
    <w:rsid w:val="0043789D"/>
    <w:rsid w:val="004378BA"/>
    <w:rsid w:val="004378DD"/>
    <w:rsid w:val="004379FD"/>
    <w:rsid w:val="00437A1A"/>
    <w:rsid w:val="00437A25"/>
    <w:rsid w:val="00437A77"/>
    <w:rsid w:val="00437AA5"/>
    <w:rsid w:val="00437B34"/>
    <w:rsid w:val="00437B7A"/>
    <w:rsid w:val="00437BE2"/>
    <w:rsid w:val="00437C17"/>
    <w:rsid w:val="00437C36"/>
    <w:rsid w:val="00437D44"/>
    <w:rsid w:val="00437D98"/>
    <w:rsid w:val="00437E2E"/>
    <w:rsid w:val="00437E6F"/>
    <w:rsid w:val="00437EA5"/>
    <w:rsid w:val="00437EBC"/>
    <w:rsid w:val="00437ED3"/>
    <w:rsid w:val="00437F2F"/>
    <w:rsid w:val="00437F3E"/>
    <w:rsid w:val="00437FF1"/>
    <w:rsid w:val="0044004D"/>
    <w:rsid w:val="004400DB"/>
    <w:rsid w:val="00440189"/>
    <w:rsid w:val="00440195"/>
    <w:rsid w:val="004401E4"/>
    <w:rsid w:val="0044024B"/>
    <w:rsid w:val="0044024E"/>
    <w:rsid w:val="00440351"/>
    <w:rsid w:val="00440498"/>
    <w:rsid w:val="00440587"/>
    <w:rsid w:val="00440646"/>
    <w:rsid w:val="00440657"/>
    <w:rsid w:val="004406DE"/>
    <w:rsid w:val="0044072B"/>
    <w:rsid w:val="004407EC"/>
    <w:rsid w:val="00440801"/>
    <w:rsid w:val="0044089F"/>
    <w:rsid w:val="004408E7"/>
    <w:rsid w:val="004409A8"/>
    <w:rsid w:val="00440AAB"/>
    <w:rsid w:val="00440B35"/>
    <w:rsid w:val="00440BB5"/>
    <w:rsid w:val="00440BF3"/>
    <w:rsid w:val="00440C33"/>
    <w:rsid w:val="00440C66"/>
    <w:rsid w:val="00440D02"/>
    <w:rsid w:val="00440D95"/>
    <w:rsid w:val="00440D96"/>
    <w:rsid w:val="00440E21"/>
    <w:rsid w:val="00440E33"/>
    <w:rsid w:val="00440EE8"/>
    <w:rsid w:val="00440FBD"/>
    <w:rsid w:val="00440FD3"/>
    <w:rsid w:val="00441079"/>
    <w:rsid w:val="00441221"/>
    <w:rsid w:val="0044123B"/>
    <w:rsid w:val="0044142C"/>
    <w:rsid w:val="0044148B"/>
    <w:rsid w:val="004414BE"/>
    <w:rsid w:val="00441516"/>
    <w:rsid w:val="00441517"/>
    <w:rsid w:val="0044152F"/>
    <w:rsid w:val="004415CF"/>
    <w:rsid w:val="0044161E"/>
    <w:rsid w:val="004416DD"/>
    <w:rsid w:val="004416F6"/>
    <w:rsid w:val="0044170E"/>
    <w:rsid w:val="0044171A"/>
    <w:rsid w:val="0044178B"/>
    <w:rsid w:val="00441820"/>
    <w:rsid w:val="00441927"/>
    <w:rsid w:val="00441940"/>
    <w:rsid w:val="004419EE"/>
    <w:rsid w:val="00441B2F"/>
    <w:rsid w:val="00441CF4"/>
    <w:rsid w:val="00441D27"/>
    <w:rsid w:val="00441D31"/>
    <w:rsid w:val="00441D59"/>
    <w:rsid w:val="00441E25"/>
    <w:rsid w:val="00441E2E"/>
    <w:rsid w:val="00441F2D"/>
    <w:rsid w:val="00441F60"/>
    <w:rsid w:val="00442044"/>
    <w:rsid w:val="00442045"/>
    <w:rsid w:val="00442114"/>
    <w:rsid w:val="0044213D"/>
    <w:rsid w:val="004422C2"/>
    <w:rsid w:val="0044236E"/>
    <w:rsid w:val="004423B6"/>
    <w:rsid w:val="00442425"/>
    <w:rsid w:val="004424AD"/>
    <w:rsid w:val="00442563"/>
    <w:rsid w:val="004427D2"/>
    <w:rsid w:val="00442808"/>
    <w:rsid w:val="00442860"/>
    <w:rsid w:val="00442889"/>
    <w:rsid w:val="0044293D"/>
    <w:rsid w:val="0044299B"/>
    <w:rsid w:val="00442BDB"/>
    <w:rsid w:val="00442D70"/>
    <w:rsid w:val="00442D87"/>
    <w:rsid w:val="00442DE9"/>
    <w:rsid w:val="00442DF1"/>
    <w:rsid w:val="00442E47"/>
    <w:rsid w:val="00442E5C"/>
    <w:rsid w:val="00442E68"/>
    <w:rsid w:val="00442E9B"/>
    <w:rsid w:val="00442EDA"/>
    <w:rsid w:val="00442EEB"/>
    <w:rsid w:val="00442F0D"/>
    <w:rsid w:val="00442F70"/>
    <w:rsid w:val="00442FAC"/>
    <w:rsid w:val="00442FBD"/>
    <w:rsid w:val="00442FFD"/>
    <w:rsid w:val="0044309E"/>
    <w:rsid w:val="0044311E"/>
    <w:rsid w:val="00443147"/>
    <w:rsid w:val="004431C2"/>
    <w:rsid w:val="0044325C"/>
    <w:rsid w:val="00443274"/>
    <w:rsid w:val="004432E6"/>
    <w:rsid w:val="00443391"/>
    <w:rsid w:val="00443400"/>
    <w:rsid w:val="0044344B"/>
    <w:rsid w:val="0044352E"/>
    <w:rsid w:val="004435C2"/>
    <w:rsid w:val="00443603"/>
    <w:rsid w:val="00443647"/>
    <w:rsid w:val="00443683"/>
    <w:rsid w:val="004437B4"/>
    <w:rsid w:val="004437DD"/>
    <w:rsid w:val="00443801"/>
    <w:rsid w:val="0044382B"/>
    <w:rsid w:val="004438BE"/>
    <w:rsid w:val="004439F3"/>
    <w:rsid w:val="00443A52"/>
    <w:rsid w:val="00443A7C"/>
    <w:rsid w:val="00443B58"/>
    <w:rsid w:val="00443BF6"/>
    <w:rsid w:val="00443D3D"/>
    <w:rsid w:val="00443D4B"/>
    <w:rsid w:val="00443DF1"/>
    <w:rsid w:val="00443E07"/>
    <w:rsid w:val="00443E0D"/>
    <w:rsid w:val="00443E1D"/>
    <w:rsid w:val="00443E27"/>
    <w:rsid w:val="00443F41"/>
    <w:rsid w:val="00443F6B"/>
    <w:rsid w:val="00443FC0"/>
    <w:rsid w:val="00444032"/>
    <w:rsid w:val="004441BF"/>
    <w:rsid w:val="004441C0"/>
    <w:rsid w:val="00444392"/>
    <w:rsid w:val="004443DE"/>
    <w:rsid w:val="00444436"/>
    <w:rsid w:val="0044454F"/>
    <w:rsid w:val="0044464F"/>
    <w:rsid w:val="004446A8"/>
    <w:rsid w:val="004446E8"/>
    <w:rsid w:val="00444881"/>
    <w:rsid w:val="004448C8"/>
    <w:rsid w:val="004448F8"/>
    <w:rsid w:val="0044491C"/>
    <w:rsid w:val="0044492C"/>
    <w:rsid w:val="0044492E"/>
    <w:rsid w:val="004449F2"/>
    <w:rsid w:val="00444A42"/>
    <w:rsid w:val="00444B4A"/>
    <w:rsid w:val="00444B72"/>
    <w:rsid w:val="00444C68"/>
    <w:rsid w:val="00444C85"/>
    <w:rsid w:val="00444E10"/>
    <w:rsid w:val="00444E9E"/>
    <w:rsid w:val="00444EA6"/>
    <w:rsid w:val="00444FFB"/>
    <w:rsid w:val="0044506B"/>
    <w:rsid w:val="0044508E"/>
    <w:rsid w:val="004450C9"/>
    <w:rsid w:val="00445143"/>
    <w:rsid w:val="0044525E"/>
    <w:rsid w:val="004452AA"/>
    <w:rsid w:val="004452FA"/>
    <w:rsid w:val="0044535A"/>
    <w:rsid w:val="004453BF"/>
    <w:rsid w:val="004454D6"/>
    <w:rsid w:val="0044557C"/>
    <w:rsid w:val="004455B0"/>
    <w:rsid w:val="00445718"/>
    <w:rsid w:val="00445807"/>
    <w:rsid w:val="004458C8"/>
    <w:rsid w:val="00445978"/>
    <w:rsid w:val="00445ABA"/>
    <w:rsid w:val="00445CA2"/>
    <w:rsid w:val="00445D06"/>
    <w:rsid w:val="00445E1A"/>
    <w:rsid w:val="00445F6D"/>
    <w:rsid w:val="004460AD"/>
    <w:rsid w:val="0044625A"/>
    <w:rsid w:val="00446403"/>
    <w:rsid w:val="0044640F"/>
    <w:rsid w:val="00446429"/>
    <w:rsid w:val="00446446"/>
    <w:rsid w:val="00446462"/>
    <w:rsid w:val="0044655F"/>
    <w:rsid w:val="0044658D"/>
    <w:rsid w:val="00446625"/>
    <w:rsid w:val="004466A8"/>
    <w:rsid w:val="0044677A"/>
    <w:rsid w:val="00446893"/>
    <w:rsid w:val="0044692A"/>
    <w:rsid w:val="00446994"/>
    <w:rsid w:val="00446A89"/>
    <w:rsid w:val="00446AC1"/>
    <w:rsid w:val="00446B03"/>
    <w:rsid w:val="00446B3E"/>
    <w:rsid w:val="00446B8B"/>
    <w:rsid w:val="00446D23"/>
    <w:rsid w:val="00446DDF"/>
    <w:rsid w:val="00446E31"/>
    <w:rsid w:val="00446ED0"/>
    <w:rsid w:val="00446F2A"/>
    <w:rsid w:val="00446F9A"/>
    <w:rsid w:val="004470DE"/>
    <w:rsid w:val="0044712C"/>
    <w:rsid w:val="004471F8"/>
    <w:rsid w:val="00447325"/>
    <w:rsid w:val="0044737A"/>
    <w:rsid w:val="0044742D"/>
    <w:rsid w:val="00447447"/>
    <w:rsid w:val="0044756A"/>
    <w:rsid w:val="004475CC"/>
    <w:rsid w:val="0044767D"/>
    <w:rsid w:val="00447817"/>
    <w:rsid w:val="0044781F"/>
    <w:rsid w:val="0044794B"/>
    <w:rsid w:val="00447984"/>
    <w:rsid w:val="00447997"/>
    <w:rsid w:val="004479B5"/>
    <w:rsid w:val="00447A04"/>
    <w:rsid w:val="00447A5C"/>
    <w:rsid w:val="00447AD1"/>
    <w:rsid w:val="00447AFA"/>
    <w:rsid w:val="00447B02"/>
    <w:rsid w:val="00447C09"/>
    <w:rsid w:val="00447CA4"/>
    <w:rsid w:val="00447CDC"/>
    <w:rsid w:val="00447CEB"/>
    <w:rsid w:val="00447D3E"/>
    <w:rsid w:val="00447DA9"/>
    <w:rsid w:val="00447DBB"/>
    <w:rsid w:val="00447E14"/>
    <w:rsid w:val="00447E6E"/>
    <w:rsid w:val="00447F7D"/>
    <w:rsid w:val="00447F9E"/>
    <w:rsid w:val="00447FBD"/>
    <w:rsid w:val="0045000B"/>
    <w:rsid w:val="004500B1"/>
    <w:rsid w:val="004501EE"/>
    <w:rsid w:val="00450342"/>
    <w:rsid w:val="0045048C"/>
    <w:rsid w:val="004504A5"/>
    <w:rsid w:val="0045056E"/>
    <w:rsid w:val="004505C5"/>
    <w:rsid w:val="0045061C"/>
    <w:rsid w:val="004506AD"/>
    <w:rsid w:val="00450790"/>
    <w:rsid w:val="004507CC"/>
    <w:rsid w:val="004507CD"/>
    <w:rsid w:val="00450871"/>
    <w:rsid w:val="00450879"/>
    <w:rsid w:val="00450A3D"/>
    <w:rsid w:val="00450A58"/>
    <w:rsid w:val="00450B57"/>
    <w:rsid w:val="00450B69"/>
    <w:rsid w:val="00450B74"/>
    <w:rsid w:val="00450C70"/>
    <w:rsid w:val="00450CB4"/>
    <w:rsid w:val="00450CC2"/>
    <w:rsid w:val="00450D4D"/>
    <w:rsid w:val="00450DFB"/>
    <w:rsid w:val="00450E8D"/>
    <w:rsid w:val="00450F59"/>
    <w:rsid w:val="00450F84"/>
    <w:rsid w:val="00450F91"/>
    <w:rsid w:val="00450FA4"/>
    <w:rsid w:val="00450FCA"/>
    <w:rsid w:val="00451023"/>
    <w:rsid w:val="004510DE"/>
    <w:rsid w:val="00451107"/>
    <w:rsid w:val="0045111F"/>
    <w:rsid w:val="004512A0"/>
    <w:rsid w:val="0045132D"/>
    <w:rsid w:val="0045143C"/>
    <w:rsid w:val="0045145D"/>
    <w:rsid w:val="00451531"/>
    <w:rsid w:val="00451560"/>
    <w:rsid w:val="0045168B"/>
    <w:rsid w:val="004517B8"/>
    <w:rsid w:val="004517E3"/>
    <w:rsid w:val="00451916"/>
    <w:rsid w:val="00451BDD"/>
    <w:rsid w:val="00451C11"/>
    <w:rsid w:val="00451D8B"/>
    <w:rsid w:val="00451D8E"/>
    <w:rsid w:val="00451DAA"/>
    <w:rsid w:val="00451E92"/>
    <w:rsid w:val="00451EF3"/>
    <w:rsid w:val="00451F04"/>
    <w:rsid w:val="00451FC5"/>
    <w:rsid w:val="0045202E"/>
    <w:rsid w:val="004520F8"/>
    <w:rsid w:val="0045217C"/>
    <w:rsid w:val="00452251"/>
    <w:rsid w:val="00452271"/>
    <w:rsid w:val="00452328"/>
    <w:rsid w:val="00452433"/>
    <w:rsid w:val="004525A5"/>
    <w:rsid w:val="004527E0"/>
    <w:rsid w:val="00452983"/>
    <w:rsid w:val="004529BE"/>
    <w:rsid w:val="00452B5E"/>
    <w:rsid w:val="00452C3D"/>
    <w:rsid w:val="00452D4E"/>
    <w:rsid w:val="00452D92"/>
    <w:rsid w:val="00452E3C"/>
    <w:rsid w:val="00452FAA"/>
    <w:rsid w:val="00453008"/>
    <w:rsid w:val="00453087"/>
    <w:rsid w:val="0045308D"/>
    <w:rsid w:val="004530EE"/>
    <w:rsid w:val="00453118"/>
    <w:rsid w:val="00453147"/>
    <w:rsid w:val="004531CB"/>
    <w:rsid w:val="004531ED"/>
    <w:rsid w:val="0045322A"/>
    <w:rsid w:val="004533B5"/>
    <w:rsid w:val="00453403"/>
    <w:rsid w:val="00453404"/>
    <w:rsid w:val="00453420"/>
    <w:rsid w:val="004534C5"/>
    <w:rsid w:val="004534F1"/>
    <w:rsid w:val="004535CA"/>
    <w:rsid w:val="004537BE"/>
    <w:rsid w:val="00453949"/>
    <w:rsid w:val="004539EE"/>
    <w:rsid w:val="00453A02"/>
    <w:rsid w:val="00453A28"/>
    <w:rsid w:val="00453B69"/>
    <w:rsid w:val="00453C2D"/>
    <w:rsid w:val="00453D25"/>
    <w:rsid w:val="00453DDB"/>
    <w:rsid w:val="00453F1C"/>
    <w:rsid w:val="00454018"/>
    <w:rsid w:val="0045406A"/>
    <w:rsid w:val="00454089"/>
    <w:rsid w:val="004540B2"/>
    <w:rsid w:val="0045413C"/>
    <w:rsid w:val="00454148"/>
    <w:rsid w:val="00454211"/>
    <w:rsid w:val="0045426E"/>
    <w:rsid w:val="00454339"/>
    <w:rsid w:val="0045448F"/>
    <w:rsid w:val="0045449F"/>
    <w:rsid w:val="004544DE"/>
    <w:rsid w:val="00454533"/>
    <w:rsid w:val="00454537"/>
    <w:rsid w:val="00454542"/>
    <w:rsid w:val="00454559"/>
    <w:rsid w:val="0045458D"/>
    <w:rsid w:val="004545BE"/>
    <w:rsid w:val="004546EB"/>
    <w:rsid w:val="0045471D"/>
    <w:rsid w:val="004547DB"/>
    <w:rsid w:val="004547DD"/>
    <w:rsid w:val="00454835"/>
    <w:rsid w:val="0045483C"/>
    <w:rsid w:val="00454843"/>
    <w:rsid w:val="00454955"/>
    <w:rsid w:val="00454976"/>
    <w:rsid w:val="004549BF"/>
    <w:rsid w:val="004549E6"/>
    <w:rsid w:val="00454BB2"/>
    <w:rsid w:val="00454C66"/>
    <w:rsid w:val="00454C8E"/>
    <w:rsid w:val="00454D2C"/>
    <w:rsid w:val="00454D50"/>
    <w:rsid w:val="00454E6F"/>
    <w:rsid w:val="00454E7A"/>
    <w:rsid w:val="00454ECA"/>
    <w:rsid w:val="00454FC7"/>
    <w:rsid w:val="00454FF2"/>
    <w:rsid w:val="00455019"/>
    <w:rsid w:val="004550A1"/>
    <w:rsid w:val="004550DB"/>
    <w:rsid w:val="004550EA"/>
    <w:rsid w:val="0045510C"/>
    <w:rsid w:val="00455191"/>
    <w:rsid w:val="00455198"/>
    <w:rsid w:val="004551A7"/>
    <w:rsid w:val="004551AB"/>
    <w:rsid w:val="004551E4"/>
    <w:rsid w:val="00455262"/>
    <w:rsid w:val="004552D8"/>
    <w:rsid w:val="00455300"/>
    <w:rsid w:val="00455402"/>
    <w:rsid w:val="0045544B"/>
    <w:rsid w:val="00455589"/>
    <w:rsid w:val="004555A0"/>
    <w:rsid w:val="004556A3"/>
    <w:rsid w:val="004556EA"/>
    <w:rsid w:val="00455711"/>
    <w:rsid w:val="00455717"/>
    <w:rsid w:val="00455752"/>
    <w:rsid w:val="00455881"/>
    <w:rsid w:val="00455B43"/>
    <w:rsid w:val="00455B76"/>
    <w:rsid w:val="00455CC6"/>
    <w:rsid w:val="00455CCB"/>
    <w:rsid w:val="00455E9B"/>
    <w:rsid w:val="00455ECE"/>
    <w:rsid w:val="00455F35"/>
    <w:rsid w:val="00455F76"/>
    <w:rsid w:val="00456086"/>
    <w:rsid w:val="00456102"/>
    <w:rsid w:val="00456388"/>
    <w:rsid w:val="004563FD"/>
    <w:rsid w:val="00456617"/>
    <w:rsid w:val="0045670B"/>
    <w:rsid w:val="0045686C"/>
    <w:rsid w:val="004568E5"/>
    <w:rsid w:val="00456926"/>
    <w:rsid w:val="00456931"/>
    <w:rsid w:val="00456A2D"/>
    <w:rsid w:val="00456A2F"/>
    <w:rsid w:val="00456B31"/>
    <w:rsid w:val="00456BE0"/>
    <w:rsid w:val="00456C59"/>
    <w:rsid w:val="00456C9F"/>
    <w:rsid w:val="00456CE0"/>
    <w:rsid w:val="00456D3D"/>
    <w:rsid w:val="00456D99"/>
    <w:rsid w:val="00456D9C"/>
    <w:rsid w:val="00456DA4"/>
    <w:rsid w:val="00456F19"/>
    <w:rsid w:val="00456F31"/>
    <w:rsid w:val="00456FD4"/>
    <w:rsid w:val="0045704B"/>
    <w:rsid w:val="004570A4"/>
    <w:rsid w:val="004570FA"/>
    <w:rsid w:val="00457124"/>
    <w:rsid w:val="004571C0"/>
    <w:rsid w:val="00457249"/>
    <w:rsid w:val="00457300"/>
    <w:rsid w:val="0045739E"/>
    <w:rsid w:val="00457423"/>
    <w:rsid w:val="00457426"/>
    <w:rsid w:val="00457449"/>
    <w:rsid w:val="00457542"/>
    <w:rsid w:val="0045757A"/>
    <w:rsid w:val="00457601"/>
    <w:rsid w:val="0045769F"/>
    <w:rsid w:val="004577F9"/>
    <w:rsid w:val="00457890"/>
    <w:rsid w:val="004578C9"/>
    <w:rsid w:val="00457A16"/>
    <w:rsid w:val="00457A4D"/>
    <w:rsid w:val="00457B38"/>
    <w:rsid w:val="00457B5D"/>
    <w:rsid w:val="00457B62"/>
    <w:rsid w:val="00457C48"/>
    <w:rsid w:val="00457C7D"/>
    <w:rsid w:val="00457CE0"/>
    <w:rsid w:val="00457D10"/>
    <w:rsid w:val="00457D26"/>
    <w:rsid w:val="00457F06"/>
    <w:rsid w:val="00457F2D"/>
    <w:rsid w:val="00457F72"/>
    <w:rsid w:val="00460071"/>
    <w:rsid w:val="004600C1"/>
    <w:rsid w:val="004600FE"/>
    <w:rsid w:val="004601B5"/>
    <w:rsid w:val="004601DB"/>
    <w:rsid w:val="00460267"/>
    <w:rsid w:val="00460282"/>
    <w:rsid w:val="004602C0"/>
    <w:rsid w:val="004602D9"/>
    <w:rsid w:val="00460328"/>
    <w:rsid w:val="0046032A"/>
    <w:rsid w:val="004604C6"/>
    <w:rsid w:val="0046057A"/>
    <w:rsid w:val="00460626"/>
    <w:rsid w:val="0046077B"/>
    <w:rsid w:val="004607D5"/>
    <w:rsid w:val="004607F1"/>
    <w:rsid w:val="0046088E"/>
    <w:rsid w:val="004608B2"/>
    <w:rsid w:val="004608BF"/>
    <w:rsid w:val="004608D0"/>
    <w:rsid w:val="004608E2"/>
    <w:rsid w:val="004609FD"/>
    <w:rsid w:val="00460ACD"/>
    <w:rsid w:val="00460B4A"/>
    <w:rsid w:val="00460B6B"/>
    <w:rsid w:val="00460B89"/>
    <w:rsid w:val="00460C6F"/>
    <w:rsid w:val="00460CAF"/>
    <w:rsid w:val="00460CB2"/>
    <w:rsid w:val="00460D44"/>
    <w:rsid w:val="00460D46"/>
    <w:rsid w:val="00460D59"/>
    <w:rsid w:val="00460D69"/>
    <w:rsid w:val="00460D7C"/>
    <w:rsid w:val="00460E38"/>
    <w:rsid w:val="00460E4D"/>
    <w:rsid w:val="00460F8E"/>
    <w:rsid w:val="00460FFE"/>
    <w:rsid w:val="00461013"/>
    <w:rsid w:val="00461087"/>
    <w:rsid w:val="0046108B"/>
    <w:rsid w:val="004611B3"/>
    <w:rsid w:val="004612D9"/>
    <w:rsid w:val="004612DF"/>
    <w:rsid w:val="00461374"/>
    <w:rsid w:val="004613DC"/>
    <w:rsid w:val="0046142D"/>
    <w:rsid w:val="004614AF"/>
    <w:rsid w:val="00461526"/>
    <w:rsid w:val="0046157C"/>
    <w:rsid w:val="004615C8"/>
    <w:rsid w:val="004615DB"/>
    <w:rsid w:val="00461624"/>
    <w:rsid w:val="00461659"/>
    <w:rsid w:val="004616F6"/>
    <w:rsid w:val="00461752"/>
    <w:rsid w:val="0046187F"/>
    <w:rsid w:val="0046189E"/>
    <w:rsid w:val="0046192B"/>
    <w:rsid w:val="00461948"/>
    <w:rsid w:val="00461978"/>
    <w:rsid w:val="00461983"/>
    <w:rsid w:val="00461A2D"/>
    <w:rsid w:val="00461D0D"/>
    <w:rsid w:val="00461D40"/>
    <w:rsid w:val="00461D6D"/>
    <w:rsid w:val="00461D7E"/>
    <w:rsid w:val="00461D9B"/>
    <w:rsid w:val="00461EFC"/>
    <w:rsid w:val="00461F39"/>
    <w:rsid w:val="0046201B"/>
    <w:rsid w:val="0046210F"/>
    <w:rsid w:val="00462124"/>
    <w:rsid w:val="004621AC"/>
    <w:rsid w:val="0046224F"/>
    <w:rsid w:val="0046225F"/>
    <w:rsid w:val="004622C2"/>
    <w:rsid w:val="004622EF"/>
    <w:rsid w:val="00462387"/>
    <w:rsid w:val="004623E4"/>
    <w:rsid w:val="00462520"/>
    <w:rsid w:val="004625E1"/>
    <w:rsid w:val="00462621"/>
    <w:rsid w:val="004626B3"/>
    <w:rsid w:val="004627A3"/>
    <w:rsid w:val="00462818"/>
    <w:rsid w:val="004628D8"/>
    <w:rsid w:val="00462A9E"/>
    <w:rsid w:val="00462AC4"/>
    <w:rsid w:val="00462B0F"/>
    <w:rsid w:val="00462B8F"/>
    <w:rsid w:val="00462BB7"/>
    <w:rsid w:val="00462CBE"/>
    <w:rsid w:val="00462D8A"/>
    <w:rsid w:val="00462DBF"/>
    <w:rsid w:val="00462E97"/>
    <w:rsid w:val="00462F5C"/>
    <w:rsid w:val="00462F81"/>
    <w:rsid w:val="00462F82"/>
    <w:rsid w:val="00463058"/>
    <w:rsid w:val="00463152"/>
    <w:rsid w:val="00463210"/>
    <w:rsid w:val="00463228"/>
    <w:rsid w:val="004632DE"/>
    <w:rsid w:val="004633FF"/>
    <w:rsid w:val="00463461"/>
    <w:rsid w:val="004634C5"/>
    <w:rsid w:val="004634EB"/>
    <w:rsid w:val="004635C2"/>
    <w:rsid w:val="0046361D"/>
    <w:rsid w:val="00463671"/>
    <w:rsid w:val="00463779"/>
    <w:rsid w:val="004638E1"/>
    <w:rsid w:val="00463967"/>
    <w:rsid w:val="004639D6"/>
    <w:rsid w:val="00463A81"/>
    <w:rsid w:val="00463AF6"/>
    <w:rsid w:val="00463B16"/>
    <w:rsid w:val="00463B7F"/>
    <w:rsid w:val="00463BCC"/>
    <w:rsid w:val="00463C34"/>
    <w:rsid w:val="00463D38"/>
    <w:rsid w:val="00463D4D"/>
    <w:rsid w:val="00463DD9"/>
    <w:rsid w:val="00463E1F"/>
    <w:rsid w:val="00463ECE"/>
    <w:rsid w:val="00463FF3"/>
    <w:rsid w:val="00464021"/>
    <w:rsid w:val="00464032"/>
    <w:rsid w:val="0046409F"/>
    <w:rsid w:val="0046418B"/>
    <w:rsid w:val="0046421E"/>
    <w:rsid w:val="0046423E"/>
    <w:rsid w:val="00464256"/>
    <w:rsid w:val="0046439F"/>
    <w:rsid w:val="00464470"/>
    <w:rsid w:val="0046449E"/>
    <w:rsid w:val="004644F3"/>
    <w:rsid w:val="004645F8"/>
    <w:rsid w:val="0046469A"/>
    <w:rsid w:val="004647CB"/>
    <w:rsid w:val="0046482D"/>
    <w:rsid w:val="00464859"/>
    <w:rsid w:val="0046492C"/>
    <w:rsid w:val="00464958"/>
    <w:rsid w:val="00464A6D"/>
    <w:rsid w:val="00464A87"/>
    <w:rsid w:val="00464B0F"/>
    <w:rsid w:val="00464BB7"/>
    <w:rsid w:val="00464BCE"/>
    <w:rsid w:val="00464C23"/>
    <w:rsid w:val="00464CEB"/>
    <w:rsid w:val="00464D43"/>
    <w:rsid w:val="00464E4A"/>
    <w:rsid w:val="00464ECD"/>
    <w:rsid w:val="00464ED8"/>
    <w:rsid w:val="00464F69"/>
    <w:rsid w:val="004650D0"/>
    <w:rsid w:val="00465220"/>
    <w:rsid w:val="00465246"/>
    <w:rsid w:val="00465275"/>
    <w:rsid w:val="00465303"/>
    <w:rsid w:val="004654CB"/>
    <w:rsid w:val="0046560F"/>
    <w:rsid w:val="0046562D"/>
    <w:rsid w:val="00465658"/>
    <w:rsid w:val="004656C0"/>
    <w:rsid w:val="004656CE"/>
    <w:rsid w:val="00465742"/>
    <w:rsid w:val="0046590C"/>
    <w:rsid w:val="00465992"/>
    <w:rsid w:val="004659E6"/>
    <w:rsid w:val="00465A0D"/>
    <w:rsid w:val="00465A3A"/>
    <w:rsid w:val="00465B7F"/>
    <w:rsid w:val="00465BB5"/>
    <w:rsid w:val="00465BE9"/>
    <w:rsid w:val="00465C69"/>
    <w:rsid w:val="00465DD4"/>
    <w:rsid w:val="00465E10"/>
    <w:rsid w:val="00465E80"/>
    <w:rsid w:val="00465F18"/>
    <w:rsid w:val="0046606A"/>
    <w:rsid w:val="00466084"/>
    <w:rsid w:val="0046608B"/>
    <w:rsid w:val="00466120"/>
    <w:rsid w:val="00466132"/>
    <w:rsid w:val="00466240"/>
    <w:rsid w:val="0046629B"/>
    <w:rsid w:val="004662B4"/>
    <w:rsid w:val="004662CB"/>
    <w:rsid w:val="0046637C"/>
    <w:rsid w:val="004663BD"/>
    <w:rsid w:val="004663C8"/>
    <w:rsid w:val="00466403"/>
    <w:rsid w:val="00466412"/>
    <w:rsid w:val="0046651E"/>
    <w:rsid w:val="00466567"/>
    <w:rsid w:val="00466585"/>
    <w:rsid w:val="004665CC"/>
    <w:rsid w:val="004666AD"/>
    <w:rsid w:val="004666B8"/>
    <w:rsid w:val="004666DB"/>
    <w:rsid w:val="0046678F"/>
    <w:rsid w:val="00466813"/>
    <w:rsid w:val="0046689E"/>
    <w:rsid w:val="00466A70"/>
    <w:rsid w:val="00466A7B"/>
    <w:rsid w:val="00466AB0"/>
    <w:rsid w:val="00466BC2"/>
    <w:rsid w:val="00466D7B"/>
    <w:rsid w:val="00466DF0"/>
    <w:rsid w:val="00466E5A"/>
    <w:rsid w:val="00466E7F"/>
    <w:rsid w:val="00466F2D"/>
    <w:rsid w:val="00466F7C"/>
    <w:rsid w:val="00466FA5"/>
    <w:rsid w:val="00466FB5"/>
    <w:rsid w:val="00467043"/>
    <w:rsid w:val="004670A7"/>
    <w:rsid w:val="004670B8"/>
    <w:rsid w:val="004670F2"/>
    <w:rsid w:val="00467180"/>
    <w:rsid w:val="004671CB"/>
    <w:rsid w:val="0046733F"/>
    <w:rsid w:val="004674C6"/>
    <w:rsid w:val="004674E1"/>
    <w:rsid w:val="0046753F"/>
    <w:rsid w:val="00467590"/>
    <w:rsid w:val="004675F5"/>
    <w:rsid w:val="0046761C"/>
    <w:rsid w:val="0046772B"/>
    <w:rsid w:val="00467839"/>
    <w:rsid w:val="004678BB"/>
    <w:rsid w:val="004679F4"/>
    <w:rsid w:val="00467A04"/>
    <w:rsid w:val="00467A5E"/>
    <w:rsid w:val="00467BE2"/>
    <w:rsid w:val="00467C56"/>
    <w:rsid w:val="00467DCA"/>
    <w:rsid w:val="00467E26"/>
    <w:rsid w:val="00467E3B"/>
    <w:rsid w:val="00467E50"/>
    <w:rsid w:val="00467E8B"/>
    <w:rsid w:val="00467EC2"/>
    <w:rsid w:val="00467F08"/>
    <w:rsid w:val="00467F87"/>
    <w:rsid w:val="00467FCC"/>
    <w:rsid w:val="004700C1"/>
    <w:rsid w:val="00470120"/>
    <w:rsid w:val="004701E6"/>
    <w:rsid w:val="00470277"/>
    <w:rsid w:val="00470374"/>
    <w:rsid w:val="004703EA"/>
    <w:rsid w:val="0047050C"/>
    <w:rsid w:val="00470684"/>
    <w:rsid w:val="004706D0"/>
    <w:rsid w:val="004707D9"/>
    <w:rsid w:val="004707E0"/>
    <w:rsid w:val="00470870"/>
    <w:rsid w:val="00470A36"/>
    <w:rsid w:val="00470A45"/>
    <w:rsid w:val="00470B34"/>
    <w:rsid w:val="00470B50"/>
    <w:rsid w:val="00470B82"/>
    <w:rsid w:val="00470C1C"/>
    <w:rsid w:val="00470CA9"/>
    <w:rsid w:val="00470D56"/>
    <w:rsid w:val="00470E68"/>
    <w:rsid w:val="00470E9D"/>
    <w:rsid w:val="00470F52"/>
    <w:rsid w:val="00471052"/>
    <w:rsid w:val="00471264"/>
    <w:rsid w:val="004712FE"/>
    <w:rsid w:val="0047131B"/>
    <w:rsid w:val="00471464"/>
    <w:rsid w:val="004714A1"/>
    <w:rsid w:val="0047156A"/>
    <w:rsid w:val="004715AD"/>
    <w:rsid w:val="004715BD"/>
    <w:rsid w:val="0047163B"/>
    <w:rsid w:val="00471657"/>
    <w:rsid w:val="00471692"/>
    <w:rsid w:val="00471705"/>
    <w:rsid w:val="0047172C"/>
    <w:rsid w:val="0047175B"/>
    <w:rsid w:val="0047178E"/>
    <w:rsid w:val="00471795"/>
    <w:rsid w:val="004717EB"/>
    <w:rsid w:val="00471860"/>
    <w:rsid w:val="004718A5"/>
    <w:rsid w:val="0047197F"/>
    <w:rsid w:val="004719E2"/>
    <w:rsid w:val="00471A40"/>
    <w:rsid w:val="00471D67"/>
    <w:rsid w:val="00471E91"/>
    <w:rsid w:val="00471EB4"/>
    <w:rsid w:val="00471EC4"/>
    <w:rsid w:val="00471FB0"/>
    <w:rsid w:val="00471FF0"/>
    <w:rsid w:val="0047202F"/>
    <w:rsid w:val="00472067"/>
    <w:rsid w:val="00472099"/>
    <w:rsid w:val="004721A3"/>
    <w:rsid w:val="004721F2"/>
    <w:rsid w:val="00472249"/>
    <w:rsid w:val="004723C8"/>
    <w:rsid w:val="004724EA"/>
    <w:rsid w:val="0047251B"/>
    <w:rsid w:val="00472621"/>
    <w:rsid w:val="004726C5"/>
    <w:rsid w:val="0047276F"/>
    <w:rsid w:val="0047277D"/>
    <w:rsid w:val="00472885"/>
    <w:rsid w:val="00472916"/>
    <w:rsid w:val="00472996"/>
    <w:rsid w:val="004729BD"/>
    <w:rsid w:val="00472B96"/>
    <w:rsid w:val="00472B9C"/>
    <w:rsid w:val="00472BB9"/>
    <w:rsid w:val="00472C19"/>
    <w:rsid w:val="00472E7D"/>
    <w:rsid w:val="0047305C"/>
    <w:rsid w:val="004731BF"/>
    <w:rsid w:val="004731DA"/>
    <w:rsid w:val="004732C2"/>
    <w:rsid w:val="004732E7"/>
    <w:rsid w:val="0047347C"/>
    <w:rsid w:val="004734BA"/>
    <w:rsid w:val="004734FC"/>
    <w:rsid w:val="004736ED"/>
    <w:rsid w:val="0047385D"/>
    <w:rsid w:val="004738B5"/>
    <w:rsid w:val="00473985"/>
    <w:rsid w:val="00473995"/>
    <w:rsid w:val="00473AE8"/>
    <w:rsid w:val="00473B7D"/>
    <w:rsid w:val="00473CAE"/>
    <w:rsid w:val="00473CCF"/>
    <w:rsid w:val="00473CEE"/>
    <w:rsid w:val="00473E0A"/>
    <w:rsid w:val="00473EAC"/>
    <w:rsid w:val="004741A5"/>
    <w:rsid w:val="0047428D"/>
    <w:rsid w:val="004742F1"/>
    <w:rsid w:val="004743A8"/>
    <w:rsid w:val="004743D1"/>
    <w:rsid w:val="004744C3"/>
    <w:rsid w:val="004745D8"/>
    <w:rsid w:val="00474608"/>
    <w:rsid w:val="004747D8"/>
    <w:rsid w:val="004748BC"/>
    <w:rsid w:val="0047492D"/>
    <w:rsid w:val="004749AD"/>
    <w:rsid w:val="00474A81"/>
    <w:rsid w:val="00474B0C"/>
    <w:rsid w:val="00474B53"/>
    <w:rsid w:val="00474C31"/>
    <w:rsid w:val="00474C4B"/>
    <w:rsid w:val="00474C84"/>
    <w:rsid w:val="00474EC1"/>
    <w:rsid w:val="00474ECD"/>
    <w:rsid w:val="00475101"/>
    <w:rsid w:val="0047521D"/>
    <w:rsid w:val="004755DC"/>
    <w:rsid w:val="004756CF"/>
    <w:rsid w:val="0047576C"/>
    <w:rsid w:val="00475789"/>
    <w:rsid w:val="004757C9"/>
    <w:rsid w:val="00475877"/>
    <w:rsid w:val="00475903"/>
    <w:rsid w:val="0047590C"/>
    <w:rsid w:val="00475919"/>
    <w:rsid w:val="00475A19"/>
    <w:rsid w:val="00475A8A"/>
    <w:rsid w:val="00475AAE"/>
    <w:rsid w:val="00475C93"/>
    <w:rsid w:val="00475D06"/>
    <w:rsid w:val="00475D44"/>
    <w:rsid w:val="00475FD8"/>
    <w:rsid w:val="004760B8"/>
    <w:rsid w:val="00476105"/>
    <w:rsid w:val="004761F5"/>
    <w:rsid w:val="00476283"/>
    <w:rsid w:val="00476315"/>
    <w:rsid w:val="004763DE"/>
    <w:rsid w:val="0047643A"/>
    <w:rsid w:val="0047649D"/>
    <w:rsid w:val="00476541"/>
    <w:rsid w:val="0047657E"/>
    <w:rsid w:val="004765C3"/>
    <w:rsid w:val="004765CD"/>
    <w:rsid w:val="004765E5"/>
    <w:rsid w:val="004765E6"/>
    <w:rsid w:val="00476630"/>
    <w:rsid w:val="004767CD"/>
    <w:rsid w:val="004767DC"/>
    <w:rsid w:val="00476878"/>
    <w:rsid w:val="004768C3"/>
    <w:rsid w:val="00476A54"/>
    <w:rsid w:val="00476A84"/>
    <w:rsid w:val="00476BA3"/>
    <w:rsid w:val="00476BD1"/>
    <w:rsid w:val="00476CB3"/>
    <w:rsid w:val="00476CEA"/>
    <w:rsid w:val="00476CF0"/>
    <w:rsid w:val="00476E2C"/>
    <w:rsid w:val="00476E86"/>
    <w:rsid w:val="00476EEA"/>
    <w:rsid w:val="00476F32"/>
    <w:rsid w:val="00476F88"/>
    <w:rsid w:val="00476F96"/>
    <w:rsid w:val="00476FE0"/>
    <w:rsid w:val="00477111"/>
    <w:rsid w:val="004771E9"/>
    <w:rsid w:val="0047721E"/>
    <w:rsid w:val="00477294"/>
    <w:rsid w:val="0047738B"/>
    <w:rsid w:val="004773A6"/>
    <w:rsid w:val="0047745F"/>
    <w:rsid w:val="0047746F"/>
    <w:rsid w:val="004774EA"/>
    <w:rsid w:val="0047754D"/>
    <w:rsid w:val="00477672"/>
    <w:rsid w:val="004776A7"/>
    <w:rsid w:val="004776A8"/>
    <w:rsid w:val="00477721"/>
    <w:rsid w:val="0047773B"/>
    <w:rsid w:val="004777B5"/>
    <w:rsid w:val="00477848"/>
    <w:rsid w:val="004778F3"/>
    <w:rsid w:val="00477BF5"/>
    <w:rsid w:val="00477C7C"/>
    <w:rsid w:val="00477CFC"/>
    <w:rsid w:val="00477D17"/>
    <w:rsid w:val="00477D36"/>
    <w:rsid w:val="00477DA8"/>
    <w:rsid w:val="00477EBA"/>
    <w:rsid w:val="00477EE1"/>
    <w:rsid w:val="00477FAA"/>
    <w:rsid w:val="0048001A"/>
    <w:rsid w:val="00480058"/>
    <w:rsid w:val="004801C7"/>
    <w:rsid w:val="0048047D"/>
    <w:rsid w:val="004805FA"/>
    <w:rsid w:val="00480604"/>
    <w:rsid w:val="0048063E"/>
    <w:rsid w:val="004806CE"/>
    <w:rsid w:val="004806F0"/>
    <w:rsid w:val="0048071C"/>
    <w:rsid w:val="00480761"/>
    <w:rsid w:val="004807F6"/>
    <w:rsid w:val="004808B7"/>
    <w:rsid w:val="0048098C"/>
    <w:rsid w:val="00480A37"/>
    <w:rsid w:val="00480B0E"/>
    <w:rsid w:val="00480BEA"/>
    <w:rsid w:val="00480C1F"/>
    <w:rsid w:val="00480C70"/>
    <w:rsid w:val="00480CAC"/>
    <w:rsid w:val="00480CCA"/>
    <w:rsid w:val="00480DA3"/>
    <w:rsid w:val="00480E8D"/>
    <w:rsid w:val="00480F14"/>
    <w:rsid w:val="00480F6F"/>
    <w:rsid w:val="004810D4"/>
    <w:rsid w:val="00481244"/>
    <w:rsid w:val="004816A9"/>
    <w:rsid w:val="004817BB"/>
    <w:rsid w:val="004817E7"/>
    <w:rsid w:val="00481808"/>
    <w:rsid w:val="00481821"/>
    <w:rsid w:val="00481877"/>
    <w:rsid w:val="004818BD"/>
    <w:rsid w:val="004818E3"/>
    <w:rsid w:val="004819C6"/>
    <w:rsid w:val="00481A18"/>
    <w:rsid w:val="00481AE9"/>
    <w:rsid w:val="00481B84"/>
    <w:rsid w:val="00481BAB"/>
    <w:rsid w:val="00481C16"/>
    <w:rsid w:val="00481CBF"/>
    <w:rsid w:val="00481CDF"/>
    <w:rsid w:val="00481D40"/>
    <w:rsid w:val="00481E02"/>
    <w:rsid w:val="00481E8F"/>
    <w:rsid w:val="00481F87"/>
    <w:rsid w:val="0048204F"/>
    <w:rsid w:val="004821BA"/>
    <w:rsid w:val="004821E9"/>
    <w:rsid w:val="0048226A"/>
    <w:rsid w:val="0048234C"/>
    <w:rsid w:val="00482581"/>
    <w:rsid w:val="00482588"/>
    <w:rsid w:val="00482596"/>
    <w:rsid w:val="0048266F"/>
    <w:rsid w:val="004826DD"/>
    <w:rsid w:val="004826F4"/>
    <w:rsid w:val="00482775"/>
    <w:rsid w:val="004827B8"/>
    <w:rsid w:val="00482988"/>
    <w:rsid w:val="00482AE0"/>
    <w:rsid w:val="00482AF9"/>
    <w:rsid w:val="00482C8B"/>
    <w:rsid w:val="00482D71"/>
    <w:rsid w:val="00482D77"/>
    <w:rsid w:val="00482D8B"/>
    <w:rsid w:val="00482FCE"/>
    <w:rsid w:val="00483017"/>
    <w:rsid w:val="00483149"/>
    <w:rsid w:val="004831CF"/>
    <w:rsid w:val="004831DD"/>
    <w:rsid w:val="00483326"/>
    <w:rsid w:val="004833B5"/>
    <w:rsid w:val="00483425"/>
    <w:rsid w:val="00483452"/>
    <w:rsid w:val="004834D6"/>
    <w:rsid w:val="0048362B"/>
    <w:rsid w:val="004836AA"/>
    <w:rsid w:val="004836FE"/>
    <w:rsid w:val="00483739"/>
    <w:rsid w:val="00483804"/>
    <w:rsid w:val="004838B5"/>
    <w:rsid w:val="00483AB8"/>
    <w:rsid w:val="00483AD6"/>
    <w:rsid w:val="00483C03"/>
    <w:rsid w:val="00483C10"/>
    <w:rsid w:val="00483C8C"/>
    <w:rsid w:val="00483C98"/>
    <w:rsid w:val="00483CFF"/>
    <w:rsid w:val="00483D26"/>
    <w:rsid w:val="00483EA8"/>
    <w:rsid w:val="00483ECE"/>
    <w:rsid w:val="00483EDB"/>
    <w:rsid w:val="00483F05"/>
    <w:rsid w:val="00483F72"/>
    <w:rsid w:val="00483FDC"/>
    <w:rsid w:val="00484026"/>
    <w:rsid w:val="004840F9"/>
    <w:rsid w:val="00484104"/>
    <w:rsid w:val="00484176"/>
    <w:rsid w:val="004841BF"/>
    <w:rsid w:val="0048423E"/>
    <w:rsid w:val="004843BE"/>
    <w:rsid w:val="0048449E"/>
    <w:rsid w:val="00484819"/>
    <w:rsid w:val="00484890"/>
    <w:rsid w:val="004849CF"/>
    <w:rsid w:val="00484A16"/>
    <w:rsid w:val="00484A96"/>
    <w:rsid w:val="00484BD3"/>
    <w:rsid w:val="00484C73"/>
    <w:rsid w:val="00484CD2"/>
    <w:rsid w:val="00484D74"/>
    <w:rsid w:val="00484F37"/>
    <w:rsid w:val="00484F53"/>
    <w:rsid w:val="00484FE7"/>
    <w:rsid w:val="0048500D"/>
    <w:rsid w:val="0048508B"/>
    <w:rsid w:val="00485096"/>
    <w:rsid w:val="00485122"/>
    <w:rsid w:val="0048520F"/>
    <w:rsid w:val="00485272"/>
    <w:rsid w:val="004852DE"/>
    <w:rsid w:val="004852F3"/>
    <w:rsid w:val="00485322"/>
    <w:rsid w:val="004855CB"/>
    <w:rsid w:val="0048560E"/>
    <w:rsid w:val="00485651"/>
    <w:rsid w:val="004856CD"/>
    <w:rsid w:val="004856DF"/>
    <w:rsid w:val="004856FB"/>
    <w:rsid w:val="00485769"/>
    <w:rsid w:val="0048599A"/>
    <w:rsid w:val="004859CA"/>
    <w:rsid w:val="004859EB"/>
    <w:rsid w:val="00485A94"/>
    <w:rsid w:val="00485ACF"/>
    <w:rsid w:val="00485B46"/>
    <w:rsid w:val="00485D7A"/>
    <w:rsid w:val="00485F4C"/>
    <w:rsid w:val="00485FD7"/>
    <w:rsid w:val="00486198"/>
    <w:rsid w:val="0048637E"/>
    <w:rsid w:val="00486458"/>
    <w:rsid w:val="0048645E"/>
    <w:rsid w:val="00486583"/>
    <w:rsid w:val="00486588"/>
    <w:rsid w:val="00486589"/>
    <w:rsid w:val="004865A1"/>
    <w:rsid w:val="00486698"/>
    <w:rsid w:val="004866A8"/>
    <w:rsid w:val="004866AD"/>
    <w:rsid w:val="004866E7"/>
    <w:rsid w:val="0048673B"/>
    <w:rsid w:val="00486753"/>
    <w:rsid w:val="0048678D"/>
    <w:rsid w:val="0048682F"/>
    <w:rsid w:val="004868A5"/>
    <w:rsid w:val="004868F0"/>
    <w:rsid w:val="00486994"/>
    <w:rsid w:val="00486A09"/>
    <w:rsid w:val="00486A62"/>
    <w:rsid w:val="00486BBB"/>
    <w:rsid w:val="00486C36"/>
    <w:rsid w:val="00486C67"/>
    <w:rsid w:val="00486D56"/>
    <w:rsid w:val="00486D58"/>
    <w:rsid w:val="00486E10"/>
    <w:rsid w:val="00486E9D"/>
    <w:rsid w:val="00486EA8"/>
    <w:rsid w:val="00486EC6"/>
    <w:rsid w:val="00486EDE"/>
    <w:rsid w:val="00486EF8"/>
    <w:rsid w:val="00486F13"/>
    <w:rsid w:val="00486F26"/>
    <w:rsid w:val="00487069"/>
    <w:rsid w:val="004870CD"/>
    <w:rsid w:val="00487117"/>
    <w:rsid w:val="004871AB"/>
    <w:rsid w:val="00487207"/>
    <w:rsid w:val="00487237"/>
    <w:rsid w:val="00487356"/>
    <w:rsid w:val="00487357"/>
    <w:rsid w:val="004873ED"/>
    <w:rsid w:val="0048740B"/>
    <w:rsid w:val="00487461"/>
    <w:rsid w:val="004874C0"/>
    <w:rsid w:val="00487667"/>
    <w:rsid w:val="004877F3"/>
    <w:rsid w:val="004877FA"/>
    <w:rsid w:val="00487839"/>
    <w:rsid w:val="004878CE"/>
    <w:rsid w:val="00487A2F"/>
    <w:rsid w:val="00487A33"/>
    <w:rsid w:val="00487A7D"/>
    <w:rsid w:val="00487A88"/>
    <w:rsid w:val="00487C97"/>
    <w:rsid w:val="00487CC5"/>
    <w:rsid w:val="00487DD8"/>
    <w:rsid w:val="00487DEF"/>
    <w:rsid w:val="00487E4B"/>
    <w:rsid w:val="00487E74"/>
    <w:rsid w:val="00487E77"/>
    <w:rsid w:val="00487EA0"/>
    <w:rsid w:val="00490024"/>
    <w:rsid w:val="00490083"/>
    <w:rsid w:val="00490154"/>
    <w:rsid w:val="0049021A"/>
    <w:rsid w:val="00490284"/>
    <w:rsid w:val="004902A4"/>
    <w:rsid w:val="004902E6"/>
    <w:rsid w:val="004902FF"/>
    <w:rsid w:val="0049030D"/>
    <w:rsid w:val="0049031C"/>
    <w:rsid w:val="0049038B"/>
    <w:rsid w:val="004903F2"/>
    <w:rsid w:val="00490508"/>
    <w:rsid w:val="0049061B"/>
    <w:rsid w:val="00490671"/>
    <w:rsid w:val="004907D9"/>
    <w:rsid w:val="00490909"/>
    <w:rsid w:val="00490922"/>
    <w:rsid w:val="00490B41"/>
    <w:rsid w:val="00490B5D"/>
    <w:rsid w:val="00490C8E"/>
    <w:rsid w:val="00490CE8"/>
    <w:rsid w:val="00490D0D"/>
    <w:rsid w:val="00490D44"/>
    <w:rsid w:val="00490E07"/>
    <w:rsid w:val="00490E9F"/>
    <w:rsid w:val="00490EED"/>
    <w:rsid w:val="00490F94"/>
    <w:rsid w:val="00490FDF"/>
    <w:rsid w:val="00491210"/>
    <w:rsid w:val="004913C8"/>
    <w:rsid w:val="004913D2"/>
    <w:rsid w:val="00491589"/>
    <w:rsid w:val="00491594"/>
    <w:rsid w:val="004915C8"/>
    <w:rsid w:val="004916A0"/>
    <w:rsid w:val="00491728"/>
    <w:rsid w:val="00491748"/>
    <w:rsid w:val="004918BF"/>
    <w:rsid w:val="00491903"/>
    <w:rsid w:val="0049198B"/>
    <w:rsid w:val="00491A11"/>
    <w:rsid w:val="00491A55"/>
    <w:rsid w:val="00491ABF"/>
    <w:rsid w:val="00491BA2"/>
    <w:rsid w:val="00491BCC"/>
    <w:rsid w:val="00491E49"/>
    <w:rsid w:val="00491F98"/>
    <w:rsid w:val="0049203C"/>
    <w:rsid w:val="00492044"/>
    <w:rsid w:val="0049205C"/>
    <w:rsid w:val="00492183"/>
    <w:rsid w:val="004921A2"/>
    <w:rsid w:val="004921F6"/>
    <w:rsid w:val="00492243"/>
    <w:rsid w:val="0049233F"/>
    <w:rsid w:val="0049235D"/>
    <w:rsid w:val="0049246B"/>
    <w:rsid w:val="004924E7"/>
    <w:rsid w:val="004925BB"/>
    <w:rsid w:val="004925DB"/>
    <w:rsid w:val="004927BA"/>
    <w:rsid w:val="004927D4"/>
    <w:rsid w:val="00492801"/>
    <w:rsid w:val="0049282E"/>
    <w:rsid w:val="00492A00"/>
    <w:rsid w:val="00492AB4"/>
    <w:rsid w:val="00492B3E"/>
    <w:rsid w:val="00492BEA"/>
    <w:rsid w:val="00492C5A"/>
    <w:rsid w:val="00492C9D"/>
    <w:rsid w:val="00492CC4"/>
    <w:rsid w:val="00492EA0"/>
    <w:rsid w:val="00492F8A"/>
    <w:rsid w:val="00492FF3"/>
    <w:rsid w:val="0049301A"/>
    <w:rsid w:val="004930BD"/>
    <w:rsid w:val="00493148"/>
    <w:rsid w:val="0049316B"/>
    <w:rsid w:val="004931AD"/>
    <w:rsid w:val="0049324D"/>
    <w:rsid w:val="00493299"/>
    <w:rsid w:val="004933A7"/>
    <w:rsid w:val="004933D0"/>
    <w:rsid w:val="00493454"/>
    <w:rsid w:val="004934D1"/>
    <w:rsid w:val="00493572"/>
    <w:rsid w:val="004935A8"/>
    <w:rsid w:val="00493628"/>
    <w:rsid w:val="0049369C"/>
    <w:rsid w:val="004936C3"/>
    <w:rsid w:val="004937D9"/>
    <w:rsid w:val="004938D1"/>
    <w:rsid w:val="004939B1"/>
    <w:rsid w:val="004939D8"/>
    <w:rsid w:val="004939E4"/>
    <w:rsid w:val="00493B02"/>
    <w:rsid w:val="00493B2F"/>
    <w:rsid w:val="00493C1F"/>
    <w:rsid w:val="00493D29"/>
    <w:rsid w:val="00493D37"/>
    <w:rsid w:val="00493DCE"/>
    <w:rsid w:val="00493E52"/>
    <w:rsid w:val="00493F76"/>
    <w:rsid w:val="00493F82"/>
    <w:rsid w:val="00494038"/>
    <w:rsid w:val="004940B2"/>
    <w:rsid w:val="004941A4"/>
    <w:rsid w:val="00494450"/>
    <w:rsid w:val="00494478"/>
    <w:rsid w:val="00494534"/>
    <w:rsid w:val="00494550"/>
    <w:rsid w:val="0049458F"/>
    <w:rsid w:val="00494628"/>
    <w:rsid w:val="0049474F"/>
    <w:rsid w:val="00494900"/>
    <w:rsid w:val="00494955"/>
    <w:rsid w:val="0049497A"/>
    <w:rsid w:val="004949CE"/>
    <w:rsid w:val="00494ABE"/>
    <w:rsid w:val="00494ACA"/>
    <w:rsid w:val="00494B1B"/>
    <w:rsid w:val="00494B9A"/>
    <w:rsid w:val="00494CA3"/>
    <w:rsid w:val="00494CB0"/>
    <w:rsid w:val="00494D06"/>
    <w:rsid w:val="00494D32"/>
    <w:rsid w:val="00494D38"/>
    <w:rsid w:val="00494E52"/>
    <w:rsid w:val="00494E8A"/>
    <w:rsid w:val="00494F68"/>
    <w:rsid w:val="00494F6C"/>
    <w:rsid w:val="00495017"/>
    <w:rsid w:val="00495040"/>
    <w:rsid w:val="004951EB"/>
    <w:rsid w:val="0049539F"/>
    <w:rsid w:val="00495570"/>
    <w:rsid w:val="00495704"/>
    <w:rsid w:val="004957B4"/>
    <w:rsid w:val="00495821"/>
    <w:rsid w:val="004958FB"/>
    <w:rsid w:val="00495AFA"/>
    <w:rsid w:val="00495B57"/>
    <w:rsid w:val="00495BCB"/>
    <w:rsid w:val="00495BD0"/>
    <w:rsid w:val="00495BF3"/>
    <w:rsid w:val="00495C46"/>
    <w:rsid w:val="00495DB7"/>
    <w:rsid w:val="00495DE8"/>
    <w:rsid w:val="00495EC2"/>
    <w:rsid w:val="00495F81"/>
    <w:rsid w:val="00495FC4"/>
    <w:rsid w:val="004960E4"/>
    <w:rsid w:val="0049617C"/>
    <w:rsid w:val="004962B3"/>
    <w:rsid w:val="0049638D"/>
    <w:rsid w:val="004963BF"/>
    <w:rsid w:val="00496487"/>
    <w:rsid w:val="00496501"/>
    <w:rsid w:val="00496667"/>
    <w:rsid w:val="0049668C"/>
    <w:rsid w:val="0049674D"/>
    <w:rsid w:val="004967FC"/>
    <w:rsid w:val="00496976"/>
    <w:rsid w:val="0049697F"/>
    <w:rsid w:val="00496A24"/>
    <w:rsid w:val="00496AF8"/>
    <w:rsid w:val="00496C05"/>
    <w:rsid w:val="00496D47"/>
    <w:rsid w:val="00496E07"/>
    <w:rsid w:val="00496E41"/>
    <w:rsid w:val="00496F2F"/>
    <w:rsid w:val="00496F74"/>
    <w:rsid w:val="00496FAE"/>
    <w:rsid w:val="00496FAF"/>
    <w:rsid w:val="00497068"/>
    <w:rsid w:val="00497133"/>
    <w:rsid w:val="0049732C"/>
    <w:rsid w:val="0049733D"/>
    <w:rsid w:val="00497345"/>
    <w:rsid w:val="0049740F"/>
    <w:rsid w:val="00497597"/>
    <w:rsid w:val="004975E9"/>
    <w:rsid w:val="0049776B"/>
    <w:rsid w:val="00497792"/>
    <w:rsid w:val="00497860"/>
    <w:rsid w:val="00497901"/>
    <w:rsid w:val="00497982"/>
    <w:rsid w:val="0049798D"/>
    <w:rsid w:val="00497AF0"/>
    <w:rsid w:val="00497BF7"/>
    <w:rsid w:val="00497DF6"/>
    <w:rsid w:val="00497E28"/>
    <w:rsid w:val="00497E9E"/>
    <w:rsid w:val="00497EA4"/>
    <w:rsid w:val="00497FB2"/>
    <w:rsid w:val="004A021C"/>
    <w:rsid w:val="004A02B9"/>
    <w:rsid w:val="004A02E5"/>
    <w:rsid w:val="004A0382"/>
    <w:rsid w:val="004A040A"/>
    <w:rsid w:val="004A043C"/>
    <w:rsid w:val="004A063B"/>
    <w:rsid w:val="004A0756"/>
    <w:rsid w:val="004A0774"/>
    <w:rsid w:val="004A0792"/>
    <w:rsid w:val="004A0816"/>
    <w:rsid w:val="004A0884"/>
    <w:rsid w:val="004A08D1"/>
    <w:rsid w:val="004A0B39"/>
    <w:rsid w:val="004A0B8C"/>
    <w:rsid w:val="004A0B9C"/>
    <w:rsid w:val="004A0BAB"/>
    <w:rsid w:val="004A0C5E"/>
    <w:rsid w:val="004A0C78"/>
    <w:rsid w:val="004A0C94"/>
    <w:rsid w:val="004A0E88"/>
    <w:rsid w:val="004A0EE5"/>
    <w:rsid w:val="004A0F3F"/>
    <w:rsid w:val="004A1029"/>
    <w:rsid w:val="004A10BD"/>
    <w:rsid w:val="004A10EC"/>
    <w:rsid w:val="004A1197"/>
    <w:rsid w:val="004A1417"/>
    <w:rsid w:val="004A14BF"/>
    <w:rsid w:val="004A1577"/>
    <w:rsid w:val="004A158A"/>
    <w:rsid w:val="004A15E0"/>
    <w:rsid w:val="004A161A"/>
    <w:rsid w:val="004A1732"/>
    <w:rsid w:val="004A176D"/>
    <w:rsid w:val="004A17FF"/>
    <w:rsid w:val="004A181D"/>
    <w:rsid w:val="004A1829"/>
    <w:rsid w:val="004A1874"/>
    <w:rsid w:val="004A18E0"/>
    <w:rsid w:val="004A190E"/>
    <w:rsid w:val="004A1923"/>
    <w:rsid w:val="004A19E0"/>
    <w:rsid w:val="004A1C82"/>
    <w:rsid w:val="004A1CAA"/>
    <w:rsid w:val="004A1CDF"/>
    <w:rsid w:val="004A1DFC"/>
    <w:rsid w:val="004A1E01"/>
    <w:rsid w:val="004A1E10"/>
    <w:rsid w:val="004A1E41"/>
    <w:rsid w:val="004A1EAC"/>
    <w:rsid w:val="004A1FA1"/>
    <w:rsid w:val="004A1FBC"/>
    <w:rsid w:val="004A210E"/>
    <w:rsid w:val="004A217B"/>
    <w:rsid w:val="004A21BB"/>
    <w:rsid w:val="004A2240"/>
    <w:rsid w:val="004A2285"/>
    <w:rsid w:val="004A2321"/>
    <w:rsid w:val="004A2340"/>
    <w:rsid w:val="004A2360"/>
    <w:rsid w:val="004A2372"/>
    <w:rsid w:val="004A2380"/>
    <w:rsid w:val="004A23C8"/>
    <w:rsid w:val="004A23D8"/>
    <w:rsid w:val="004A2480"/>
    <w:rsid w:val="004A2486"/>
    <w:rsid w:val="004A2505"/>
    <w:rsid w:val="004A25D9"/>
    <w:rsid w:val="004A26AA"/>
    <w:rsid w:val="004A270E"/>
    <w:rsid w:val="004A276E"/>
    <w:rsid w:val="004A2949"/>
    <w:rsid w:val="004A2AD1"/>
    <w:rsid w:val="004A2B3F"/>
    <w:rsid w:val="004A2B5A"/>
    <w:rsid w:val="004A2C20"/>
    <w:rsid w:val="004A2C78"/>
    <w:rsid w:val="004A2C89"/>
    <w:rsid w:val="004A2D37"/>
    <w:rsid w:val="004A2D3F"/>
    <w:rsid w:val="004A2DF6"/>
    <w:rsid w:val="004A2E3C"/>
    <w:rsid w:val="004A2E82"/>
    <w:rsid w:val="004A2F47"/>
    <w:rsid w:val="004A2F65"/>
    <w:rsid w:val="004A2F6D"/>
    <w:rsid w:val="004A306C"/>
    <w:rsid w:val="004A330F"/>
    <w:rsid w:val="004A35D6"/>
    <w:rsid w:val="004A35DF"/>
    <w:rsid w:val="004A3625"/>
    <w:rsid w:val="004A373F"/>
    <w:rsid w:val="004A3760"/>
    <w:rsid w:val="004A37B0"/>
    <w:rsid w:val="004A383F"/>
    <w:rsid w:val="004A3871"/>
    <w:rsid w:val="004A3922"/>
    <w:rsid w:val="004A3987"/>
    <w:rsid w:val="004A3989"/>
    <w:rsid w:val="004A3A08"/>
    <w:rsid w:val="004A3A79"/>
    <w:rsid w:val="004A3AB6"/>
    <w:rsid w:val="004A3ADF"/>
    <w:rsid w:val="004A3B63"/>
    <w:rsid w:val="004A3B97"/>
    <w:rsid w:val="004A3C05"/>
    <w:rsid w:val="004A3D14"/>
    <w:rsid w:val="004A3DEA"/>
    <w:rsid w:val="004A3E63"/>
    <w:rsid w:val="004A3EF7"/>
    <w:rsid w:val="004A3F30"/>
    <w:rsid w:val="004A3FA2"/>
    <w:rsid w:val="004A40A2"/>
    <w:rsid w:val="004A41D3"/>
    <w:rsid w:val="004A42D7"/>
    <w:rsid w:val="004A43B5"/>
    <w:rsid w:val="004A43FE"/>
    <w:rsid w:val="004A460F"/>
    <w:rsid w:val="004A4684"/>
    <w:rsid w:val="004A4944"/>
    <w:rsid w:val="004A49ED"/>
    <w:rsid w:val="004A4A13"/>
    <w:rsid w:val="004A4B14"/>
    <w:rsid w:val="004A4C10"/>
    <w:rsid w:val="004A4C1B"/>
    <w:rsid w:val="004A4CD0"/>
    <w:rsid w:val="004A4DC4"/>
    <w:rsid w:val="004A4E7D"/>
    <w:rsid w:val="004A4EA2"/>
    <w:rsid w:val="004A4EE0"/>
    <w:rsid w:val="004A5003"/>
    <w:rsid w:val="004A5251"/>
    <w:rsid w:val="004A52BD"/>
    <w:rsid w:val="004A5352"/>
    <w:rsid w:val="004A5384"/>
    <w:rsid w:val="004A53D1"/>
    <w:rsid w:val="004A54B4"/>
    <w:rsid w:val="004A5565"/>
    <w:rsid w:val="004A5581"/>
    <w:rsid w:val="004A55AF"/>
    <w:rsid w:val="004A5625"/>
    <w:rsid w:val="004A56F7"/>
    <w:rsid w:val="004A5785"/>
    <w:rsid w:val="004A5856"/>
    <w:rsid w:val="004A589B"/>
    <w:rsid w:val="004A5946"/>
    <w:rsid w:val="004A59B5"/>
    <w:rsid w:val="004A59D2"/>
    <w:rsid w:val="004A5B91"/>
    <w:rsid w:val="004A5C4A"/>
    <w:rsid w:val="004A5C5F"/>
    <w:rsid w:val="004A5C6D"/>
    <w:rsid w:val="004A5C89"/>
    <w:rsid w:val="004A5C8F"/>
    <w:rsid w:val="004A5D6D"/>
    <w:rsid w:val="004A5D8E"/>
    <w:rsid w:val="004A5E44"/>
    <w:rsid w:val="004A5E81"/>
    <w:rsid w:val="004A5EC9"/>
    <w:rsid w:val="004A5F5F"/>
    <w:rsid w:val="004A5FA6"/>
    <w:rsid w:val="004A5FAB"/>
    <w:rsid w:val="004A60F8"/>
    <w:rsid w:val="004A617D"/>
    <w:rsid w:val="004A61FA"/>
    <w:rsid w:val="004A622B"/>
    <w:rsid w:val="004A623E"/>
    <w:rsid w:val="004A62FF"/>
    <w:rsid w:val="004A63AB"/>
    <w:rsid w:val="004A6517"/>
    <w:rsid w:val="004A6669"/>
    <w:rsid w:val="004A6819"/>
    <w:rsid w:val="004A684C"/>
    <w:rsid w:val="004A6919"/>
    <w:rsid w:val="004A6998"/>
    <w:rsid w:val="004A6A49"/>
    <w:rsid w:val="004A6B13"/>
    <w:rsid w:val="004A6CAA"/>
    <w:rsid w:val="004A6DF0"/>
    <w:rsid w:val="004A6EFB"/>
    <w:rsid w:val="004A6F09"/>
    <w:rsid w:val="004A6F8D"/>
    <w:rsid w:val="004A7031"/>
    <w:rsid w:val="004A7061"/>
    <w:rsid w:val="004A70D5"/>
    <w:rsid w:val="004A7117"/>
    <w:rsid w:val="004A71A4"/>
    <w:rsid w:val="004A71B8"/>
    <w:rsid w:val="004A7218"/>
    <w:rsid w:val="004A72C5"/>
    <w:rsid w:val="004A72EE"/>
    <w:rsid w:val="004A739E"/>
    <w:rsid w:val="004A73AA"/>
    <w:rsid w:val="004A73E1"/>
    <w:rsid w:val="004A73EF"/>
    <w:rsid w:val="004A7487"/>
    <w:rsid w:val="004A748A"/>
    <w:rsid w:val="004A75DA"/>
    <w:rsid w:val="004A76DD"/>
    <w:rsid w:val="004A76F6"/>
    <w:rsid w:val="004A7763"/>
    <w:rsid w:val="004A77BD"/>
    <w:rsid w:val="004A7927"/>
    <w:rsid w:val="004A796D"/>
    <w:rsid w:val="004A7A9E"/>
    <w:rsid w:val="004A7AAC"/>
    <w:rsid w:val="004A7AC9"/>
    <w:rsid w:val="004A7B4C"/>
    <w:rsid w:val="004A7B4D"/>
    <w:rsid w:val="004A7BDB"/>
    <w:rsid w:val="004A7BE3"/>
    <w:rsid w:val="004A7CC3"/>
    <w:rsid w:val="004A7D60"/>
    <w:rsid w:val="004A7DE2"/>
    <w:rsid w:val="004A7E75"/>
    <w:rsid w:val="004B0056"/>
    <w:rsid w:val="004B014E"/>
    <w:rsid w:val="004B0190"/>
    <w:rsid w:val="004B02CA"/>
    <w:rsid w:val="004B048A"/>
    <w:rsid w:val="004B0773"/>
    <w:rsid w:val="004B07D8"/>
    <w:rsid w:val="004B083D"/>
    <w:rsid w:val="004B085A"/>
    <w:rsid w:val="004B0899"/>
    <w:rsid w:val="004B0958"/>
    <w:rsid w:val="004B09C9"/>
    <w:rsid w:val="004B09D7"/>
    <w:rsid w:val="004B09F1"/>
    <w:rsid w:val="004B0B35"/>
    <w:rsid w:val="004B0B4C"/>
    <w:rsid w:val="004B0BB0"/>
    <w:rsid w:val="004B0C78"/>
    <w:rsid w:val="004B0CA4"/>
    <w:rsid w:val="004B0DA5"/>
    <w:rsid w:val="004B0DAD"/>
    <w:rsid w:val="004B0DCD"/>
    <w:rsid w:val="004B0E74"/>
    <w:rsid w:val="004B0E93"/>
    <w:rsid w:val="004B0EBE"/>
    <w:rsid w:val="004B0F29"/>
    <w:rsid w:val="004B0FB9"/>
    <w:rsid w:val="004B11FA"/>
    <w:rsid w:val="004B1230"/>
    <w:rsid w:val="004B13B2"/>
    <w:rsid w:val="004B143F"/>
    <w:rsid w:val="004B14AE"/>
    <w:rsid w:val="004B165D"/>
    <w:rsid w:val="004B172A"/>
    <w:rsid w:val="004B174F"/>
    <w:rsid w:val="004B17CC"/>
    <w:rsid w:val="004B189D"/>
    <w:rsid w:val="004B1977"/>
    <w:rsid w:val="004B197E"/>
    <w:rsid w:val="004B1992"/>
    <w:rsid w:val="004B19B1"/>
    <w:rsid w:val="004B19DC"/>
    <w:rsid w:val="004B1AA7"/>
    <w:rsid w:val="004B1B98"/>
    <w:rsid w:val="004B1C99"/>
    <w:rsid w:val="004B1CD5"/>
    <w:rsid w:val="004B1D14"/>
    <w:rsid w:val="004B1D67"/>
    <w:rsid w:val="004B1D81"/>
    <w:rsid w:val="004B1DB9"/>
    <w:rsid w:val="004B1E1E"/>
    <w:rsid w:val="004B1EBF"/>
    <w:rsid w:val="004B1F26"/>
    <w:rsid w:val="004B1FBE"/>
    <w:rsid w:val="004B207B"/>
    <w:rsid w:val="004B20B3"/>
    <w:rsid w:val="004B20B4"/>
    <w:rsid w:val="004B2121"/>
    <w:rsid w:val="004B21BE"/>
    <w:rsid w:val="004B2250"/>
    <w:rsid w:val="004B227C"/>
    <w:rsid w:val="004B22BC"/>
    <w:rsid w:val="004B2323"/>
    <w:rsid w:val="004B235C"/>
    <w:rsid w:val="004B248F"/>
    <w:rsid w:val="004B24D1"/>
    <w:rsid w:val="004B24DD"/>
    <w:rsid w:val="004B25D9"/>
    <w:rsid w:val="004B2677"/>
    <w:rsid w:val="004B27DC"/>
    <w:rsid w:val="004B27E6"/>
    <w:rsid w:val="004B28B2"/>
    <w:rsid w:val="004B2A9D"/>
    <w:rsid w:val="004B2B0C"/>
    <w:rsid w:val="004B2B55"/>
    <w:rsid w:val="004B2B58"/>
    <w:rsid w:val="004B2C08"/>
    <w:rsid w:val="004B2CFD"/>
    <w:rsid w:val="004B2D50"/>
    <w:rsid w:val="004B2DDC"/>
    <w:rsid w:val="004B2DFE"/>
    <w:rsid w:val="004B2FD5"/>
    <w:rsid w:val="004B2FEE"/>
    <w:rsid w:val="004B30D8"/>
    <w:rsid w:val="004B31ED"/>
    <w:rsid w:val="004B31F0"/>
    <w:rsid w:val="004B3299"/>
    <w:rsid w:val="004B334F"/>
    <w:rsid w:val="004B33D0"/>
    <w:rsid w:val="004B3479"/>
    <w:rsid w:val="004B357D"/>
    <w:rsid w:val="004B3613"/>
    <w:rsid w:val="004B37BC"/>
    <w:rsid w:val="004B37F9"/>
    <w:rsid w:val="004B3824"/>
    <w:rsid w:val="004B3850"/>
    <w:rsid w:val="004B3A38"/>
    <w:rsid w:val="004B3A8C"/>
    <w:rsid w:val="004B3BC8"/>
    <w:rsid w:val="004B3C71"/>
    <w:rsid w:val="004B3DC2"/>
    <w:rsid w:val="004B3E56"/>
    <w:rsid w:val="004B3F49"/>
    <w:rsid w:val="004B3F50"/>
    <w:rsid w:val="004B3FF4"/>
    <w:rsid w:val="004B4088"/>
    <w:rsid w:val="004B410F"/>
    <w:rsid w:val="004B4134"/>
    <w:rsid w:val="004B4253"/>
    <w:rsid w:val="004B42E4"/>
    <w:rsid w:val="004B44B1"/>
    <w:rsid w:val="004B44DE"/>
    <w:rsid w:val="004B4509"/>
    <w:rsid w:val="004B450F"/>
    <w:rsid w:val="004B464F"/>
    <w:rsid w:val="004B46D3"/>
    <w:rsid w:val="004B4826"/>
    <w:rsid w:val="004B4882"/>
    <w:rsid w:val="004B4888"/>
    <w:rsid w:val="004B48BE"/>
    <w:rsid w:val="004B48FF"/>
    <w:rsid w:val="004B493A"/>
    <w:rsid w:val="004B49E2"/>
    <w:rsid w:val="004B4A82"/>
    <w:rsid w:val="004B4ABC"/>
    <w:rsid w:val="004B4B77"/>
    <w:rsid w:val="004B4BCD"/>
    <w:rsid w:val="004B4C05"/>
    <w:rsid w:val="004B4C1D"/>
    <w:rsid w:val="004B4C2B"/>
    <w:rsid w:val="004B4CEC"/>
    <w:rsid w:val="004B4D2E"/>
    <w:rsid w:val="004B4D47"/>
    <w:rsid w:val="004B4D64"/>
    <w:rsid w:val="004B4D65"/>
    <w:rsid w:val="004B4DBB"/>
    <w:rsid w:val="004B4E19"/>
    <w:rsid w:val="004B4E81"/>
    <w:rsid w:val="004B501C"/>
    <w:rsid w:val="004B5051"/>
    <w:rsid w:val="004B51DD"/>
    <w:rsid w:val="004B524D"/>
    <w:rsid w:val="004B5269"/>
    <w:rsid w:val="004B537E"/>
    <w:rsid w:val="004B5395"/>
    <w:rsid w:val="004B548C"/>
    <w:rsid w:val="004B54A3"/>
    <w:rsid w:val="004B54F1"/>
    <w:rsid w:val="004B55E0"/>
    <w:rsid w:val="004B5633"/>
    <w:rsid w:val="004B5658"/>
    <w:rsid w:val="004B5732"/>
    <w:rsid w:val="004B59A8"/>
    <w:rsid w:val="004B5A2D"/>
    <w:rsid w:val="004B5C4E"/>
    <w:rsid w:val="004B5CE9"/>
    <w:rsid w:val="004B5D7A"/>
    <w:rsid w:val="004B5DEC"/>
    <w:rsid w:val="004B5E36"/>
    <w:rsid w:val="004B5EA0"/>
    <w:rsid w:val="004B60C8"/>
    <w:rsid w:val="004B6161"/>
    <w:rsid w:val="004B6165"/>
    <w:rsid w:val="004B62CD"/>
    <w:rsid w:val="004B62E7"/>
    <w:rsid w:val="004B6381"/>
    <w:rsid w:val="004B6395"/>
    <w:rsid w:val="004B63C1"/>
    <w:rsid w:val="004B63EE"/>
    <w:rsid w:val="004B6445"/>
    <w:rsid w:val="004B6449"/>
    <w:rsid w:val="004B646E"/>
    <w:rsid w:val="004B64CB"/>
    <w:rsid w:val="004B65C4"/>
    <w:rsid w:val="004B6745"/>
    <w:rsid w:val="004B67F0"/>
    <w:rsid w:val="004B67FA"/>
    <w:rsid w:val="004B6923"/>
    <w:rsid w:val="004B6965"/>
    <w:rsid w:val="004B6A71"/>
    <w:rsid w:val="004B6A73"/>
    <w:rsid w:val="004B6AB1"/>
    <w:rsid w:val="004B6B50"/>
    <w:rsid w:val="004B6BB9"/>
    <w:rsid w:val="004B6C35"/>
    <w:rsid w:val="004B6D2E"/>
    <w:rsid w:val="004B6D3A"/>
    <w:rsid w:val="004B6E3C"/>
    <w:rsid w:val="004B6EC1"/>
    <w:rsid w:val="004B6F51"/>
    <w:rsid w:val="004B6FC0"/>
    <w:rsid w:val="004B6FD0"/>
    <w:rsid w:val="004B7009"/>
    <w:rsid w:val="004B70B0"/>
    <w:rsid w:val="004B718E"/>
    <w:rsid w:val="004B727F"/>
    <w:rsid w:val="004B729D"/>
    <w:rsid w:val="004B72AA"/>
    <w:rsid w:val="004B72EA"/>
    <w:rsid w:val="004B7348"/>
    <w:rsid w:val="004B73B6"/>
    <w:rsid w:val="004B73FD"/>
    <w:rsid w:val="004B74A3"/>
    <w:rsid w:val="004B74D8"/>
    <w:rsid w:val="004B7507"/>
    <w:rsid w:val="004B7516"/>
    <w:rsid w:val="004B753E"/>
    <w:rsid w:val="004B7577"/>
    <w:rsid w:val="004B75A3"/>
    <w:rsid w:val="004B75A8"/>
    <w:rsid w:val="004B7634"/>
    <w:rsid w:val="004B7664"/>
    <w:rsid w:val="004B7708"/>
    <w:rsid w:val="004B772F"/>
    <w:rsid w:val="004B7772"/>
    <w:rsid w:val="004B780A"/>
    <w:rsid w:val="004B78C8"/>
    <w:rsid w:val="004B7A16"/>
    <w:rsid w:val="004B7A40"/>
    <w:rsid w:val="004B7AA6"/>
    <w:rsid w:val="004B7AF5"/>
    <w:rsid w:val="004B7B00"/>
    <w:rsid w:val="004B7C81"/>
    <w:rsid w:val="004B7F37"/>
    <w:rsid w:val="004B7F84"/>
    <w:rsid w:val="004B7FC3"/>
    <w:rsid w:val="004C0116"/>
    <w:rsid w:val="004C011F"/>
    <w:rsid w:val="004C0143"/>
    <w:rsid w:val="004C022C"/>
    <w:rsid w:val="004C0244"/>
    <w:rsid w:val="004C033B"/>
    <w:rsid w:val="004C03AF"/>
    <w:rsid w:val="004C0426"/>
    <w:rsid w:val="004C04D0"/>
    <w:rsid w:val="004C05D9"/>
    <w:rsid w:val="004C0672"/>
    <w:rsid w:val="004C067B"/>
    <w:rsid w:val="004C06C6"/>
    <w:rsid w:val="004C07C5"/>
    <w:rsid w:val="004C0856"/>
    <w:rsid w:val="004C089E"/>
    <w:rsid w:val="004C08C4"/>
    <w:rsid w:val="004C091C"/>
    <w:rsid w:val="004C0941"/>
    <w:rsid w:val="004C0ACD"/>
    <w:rsid w:val="004C0AF3"/>
    <w:rsid w:val="004C0B3A"/>
    <w:rsid w:val="004C0B64"/>
    <w:rsid w:val="004C0D32"/>
    <w:rsid w:val="004C0DC5"/>
    <w:rsid w:val="004C0E01"/>
    <w:rsid w:val="004C0E18"/>
    <w:rsid w:val="004C0F55"/>
    <w:rsid w:val="004C0FD4"/>
    <w:rsid w:val="004C0FF1"/>
    <w:rsid w:val="004C10C3"/>
    <w:rsid w:val="004C10F5"/>
    <w:rsid w:val="004C112B"/>
    <w:rsid w:val="004C11A4"/>
    <w:rsid w:val="004C122A"/>
    <w:rsid w:val="004C12B6"/>
    <w:rsid w:val="004C133C"/>
    <w:rsid w:val="004C13C6"/>
    <w:rsid w:val="004C141A"/>
    <w:rsid w:val="004C1434"/>
    <w:rsid w:val="004C144B"/>
    <w:rsid w:val="004C1454"/>
    <w:rsid w:val="004C14AD"/>
    <w:rsid w:val="004C14C5"/>
    <w:rsid w:val="004C1500"/>
    <w:rsid w:val="004C1541"/>
    <w:rsid w:val="004C1580"/>
    <w:rsid w:val="004C1582"/>
    <w:rsid w:val="004C15EC"/>
    <w:rsid w:val="004C1716"/>
    <w:rsid w:val="004C176A"/>
    <w:rsid w:val="004C177A"/>
    <w:rsid w:val="004C1947"/>
    <w:rsid w:val="004C19ED"/>
    <w:rsid w:val="004C1A55"/>
    <w:rsid w:val="004C1A65"/>
    <w:rsid w:val="004C1AB5"/>
    <w:rsid w:val="004C1AE2"/>
    <w:rsid w:val="004C1AEA"/>
    <w:rsid w:val="004C1C2A"/>
    <w:rsid w:val="004C1C8B"/>
    <w:rsid w:val="004C1C9C"/>
    <w:rsid w:val="004C1CEB"/>
    <w:rsid w:val="004C1D12"/>
    <w:rsid w:val="004C1D39"/>
    <w:rsid w:val="004C1DB3"/>
    <w:rsid w:val="004C1DFA"/>
    <w:rsid w:val="004C1F04"/>
    <w:rsid w:val="004C1F67"/>
    <w:rsid w:val="004C2100"/>
    <w:rsid w:val="004C2213"/>
    <w:rsid w:val="004C2292"/>
    <w:rsid w:val="004C2384"/>
    <w:rsid w:val="004C2499"/>
    <w:rsid w:val="004C24F5"/>
    <w:rsid w:val="004C25B2"/>
    <w:rsid w:val="004C261E"/>
    <w:rsid w:val="004C2647"/>
    <w:rsid w:val="004C2693"/>
    <w:rsid w:val="004C2696"/>
    <w:rsid w:val="004C2699"/>
    <w:rsid w:val="004C27FE"/>
    <w:rsid w:val="004C2894"/>
    <w:rsid w:val="004C28A1"/>
    <w:rsid w:val="004C2AB2"/>
    <w:rsid w:val="004C2BD4"/>
    <w:rsid w:val="004C2C4D"/>
    <w:rsid w:val="004C2D61"/>
    <w:rsid w:val="004C2D80"/>
    <w:rsid w:val="004C2DEC"/>
    <w:rsid w:val="004C2DF3"/>
    <w:rsid w:val="004C2EFB"/>
    <w:rsid w:val="004C312B"/>
    <w:rsid w:val="004C3167"/>
    <w:rsid w:val="004C3286"/>
    <w:rsid w:val="004C32B9"/>
    <w:rsid w:val="004C343C"/>
    <w:rsid w:val="004C3441"/>
    <w:rsid w:val="004C34D3"/>
    <w:rsid w:val="004C3527"/>
    <w:rsid w:val="004C35B5"/>
    <w:rsid w:val="004C3612"/>
    <w:rsid w:val="004C364A"/>
    <w:rsid w:val="004C3728"/>
    <w:rsid w:val="004C3733"/>
    <w:rsid w:val="004C3776"/>
    <w:rsid w:val="004C381D"/>
    <w:rsid w:val="004C392F"/>
    <w:rsid w:val="004C39EE"/>
    <w:rsid w:val="004C3A5F"/>
    <w:rsid w:val="004C3A61"/>
    <w:rsid w:val="004C3BB9"/>
    <w:rsid w:val="004C3D9A"/>
    <w:rsid w:val="004C3DCA"/>
    <w:rsid w:val="004C3E46"/>
    <w:rsid w:val="004C3E8F"/>
    <w:rsid w:val="004C3ED3"/>
    <w:rsid w:val="004C3EEE"/>
    <w:rsid w:val="004C3FBC"/>
    <w:rsid w:val="004C400F"/>
    <w:rsid w:val="004C404E"/>
    <w:rsid w:val="004C40F3"/>
    <w:rsid w:val="004C4110"/>
    <w:rsid w:val="004C4129"/>
    <w:rsid w:val="004C422A"/>
    <w:rsid w:val="004C4230"/>
    <w:rsid w:val="004C42B0"/>
    <w:rsid w:val="004C4312"/>
    <w:rsid w:val="004C4357"/>
    <w:rsid w:val="004C439F"/>
    <w:rsid w:val="004C43A3"/>
    <w:rsid w:val="004C45F8"/>
    <w:rsid w:val="004C478A"/>
    <w:rsid w:val="004C47E9"/>
    <w:rsid w:val="004C4919"/>
    <w:rsid w:val="004C493F"/>
    <w:rsid w:val="004C497D"/>
    <w:rsid w:val="004C49A2"/>
    <w:rsid w:val="004C4BA1"/>
    <w:rsid w:val="004C4C55"/>
    <w:rsid w:val="004C4C82"/>
    <w:rsid w:val="004C4E32"/>
    <w:rsid w:val="004C4E42"/>
    <w:rsid w:val="004C4ED6"/>
    <w:rsid w:val="004C4F08"/>
    <w:rsid w:val="004C507E"/>
    <w:rsid w:val="004C5083"/>
    <w:rsid w:val="004C50BB"/>
    <w:rsid w:val="004C50D7"/>
    <w:rsid w:val="004C51AB"/>
    <w:rsid w:val="004C525B"/>
    <w:rsid w:val="004C52C6"/>
    <w:rsid w:val="004C5311"/>
    <w:rsid w:val="004C5394"/>
    <w:rsid w:val="004C54EF"/>
    <w:rsid w:val="004C5521"/>
    <w:rsid w:val="004C553B"/>
    <w:rsid w:val="004C555F"/>
    <w:rsid w:val="004C5627"/>
    <w:rsid w:val="004C57A2"/>
    <w:rsid w:val="004C596C"/>
    <w:rsid w:val="004C59B8"/>
    <w:rsid w:val="004C5AA7"/>
    <w:rsid w:val="004C5B37"/>
    <w:rsid w:val="004C5C02"/>
    <w:rsid w:val="004C5C41"/>
    <w:rsid w:val="004C5D1A"/>
    <w:rsid w:val="004C6055"/>
    <w:rsid w:val="004C60E6"/>
    <w:rsid w:val="004C6116"/>
    <w:rsid w:val="004C632D"/>
    <w:rsid w:val="004C633E"/>
    <w:rsid w:val="004C6356"/>
    <w:rsid w:val="004C6364"/>
    <w:rsid w:val="004C638C"/>
    <w:rsid w:val="004C63EF"/>
    <w:rsid w:val="004C6439"/>
    <w:rsid w:val="004C646E"/>
    <w:rsid w:val="004C64D3"/>
    <w:rsid w:val="004C6514"/>
    <w:rsid w:val="004C6576"/>
    <w:rsid w:val="004C6592"/>
    <w:rsid w:val="004C6593"/>
    <w:rsid w:val="004C660A"/>
    <w:rsid w:val="004C66A0"/>
    <w:rsid w:val="004C67DB"/>
    <w:rsid w:val="004C67F9"/>
    <w:rsid w:val="004C6899"/>
    <w:rsid w:val="004C689B"/>
    <w:rsid w:val="004C6A3F"/>
    <w:rsid w:val="004C6A9D"/>
    <w:rsid w:val="004C6AFC"/>
    <w:rsid w:val="004C6B2A"/>
    <w:rsid w:val="004C6D15"/>
    <w:rsid w:val="004C6E8D"/>
    <w:rsid w:val="004C6F7C"/>
    <w:rsid w:val="004C6FDE"/>
    <w:rsid w:val="004C6FEC"/>
    <w:rsid w:val="004C7100"/>
    <w:rsid w:val="004C7123"/>
    <w:rsid w:val="004C71DE"/>
    <w:rsid w:val="004C7206"/>
    <w:rsid w:val="004C734F"/>
    <w:rsid w:val="004C7397"/>
    <w:rsid w:val="004C73CD"/>
    <w:rsid w:val="004C73FE"/>
    <w:rsid w:val="004C7447"/>
    <w:rsid w:val="004C765E"/>
    <w:rsid w:val="004C7678"/>
    <w:rsid w:val="004C7779"/>
    <w:rsid w:val="004C778A"/>
    <w:rsid w:val="004C786F"/>
    <w:rsid w:val="004C7931"/>
    <w:rsid w:val="004C7981"/>
    <w:rsid w:val="004C79CD"/>
    <w:rsid w:val="004C79D5"/>
    <w:rsid w:val="004C7A40"/>
    <w:rsid w:val="004C7A46"/>
    <w:rsid w:val="004C7ACD"/>
    <w:rsid w:val="004C7ACE"/>
    <w:rsid w:val="004C7B09"/>
    <w:rsid w:val="004C7D8D"/>
    <w:rsid w:val="004C7DDF"/>
    <w:rsid w:val="004C7F30"/>
    <w:rsid w:val="004C7F51"/>
    <w:rsid w:val="004C7F66"/>
    <w:rsid w:val="004D0002"/>
    <w:rsid w:val="004D01E5"/>
    <w:rsid w:val="004D0245"/>
    <w:rsid w:val="004D0292"/>
    <w:rsid w:val="004D035C"/>
    <w:rsid w:val="004D044B"/>
    <w:rsid w:val="004D046C"/>
    <w:rsid w:val="004D0500"/>
    <w:rsid w:val="004D0527"/>
    <w:rsid w:val="004D054F"/>
    <w:rsid w:val="004D0607"/>
    <w:rsid w:val="004D0612"/>
    <w:rsid w:val="004D0639"/>
    <w:rsid w:val="004D0652"/>
    <w:rsid w:val="004D08AB"/>
    <w:rsid w:val="004D0A36"/>
    <w:rsid w:val="004D0A6F"/>
    <w:rsid w:val="004D0B65"/>
    <w:rsid w:val="004D0B90"/>
    <w:rsid w:val="004D0BBF"/>
    <w:rsid w:val="004D0C54"/>
    <w:rsid w:val="004D0D42"/>
    <w:rsid w:val="004D0D7C"/>
    <w:rsid w:val="004D0F68"/>
    <w:rsid w:val="004D1053"/>
    <w:rsid w:val="004D10B7"/>
    <w:rsid w:val="004D118B"/>
    <w:rsid w:val="004D11CF"/>
    <w:rsid w:val="004D121A"/>
    <w:rsid w:val="004D126C"/>
    <w:rsid w:val="004D12E5"/>
    <w:rsid w:val="004D1317"/>
    <w:rsid w:val="004D1323"/>
    <w:rsid w:val="004D134A"/>
    <w:rsid w:val="004D136A"/>
    <w:rsid w:val="004D1393"/>
    <w:rsid w:val="004D13B2"/>
    <w:rsid w:val="004D13C6"/>
    <w:rsid w:val="004D13D2"/>
    <w:rsid w:val="004D1423"/>
    <w:rsid w:val="004D155E"/>
    <w:rsid w:val="004D15CA"/>
    <w:rsid w:val="004D165B"/>
    <w:rsid w:val="004D16BE"/>
    <w:rsid w:val="004D175F"/>
    <w:rsid w:val="004D17FA"/>
    <w:rsid w:val="004D17FF"/>
    <w:rsid w:val="004D18A5"/>
    <w:rsid w:val="004D1962"/>
    <w:rsid w:val="004D19B7"/>
    <w:rsid w:val="004D1A19"/>
    <w:rsid w:val="004D1A25"/>
    <w:rsid w:val="004D1A45"/>
    <w:rsid w:val="004D1AEA"/>
    <w:rsid w:val="004D1AF2"/>
    <w:rsid w:val="004D1C39"/>
    <w:rsid w:val="004D1C59"/>
    <w:rsid w:val="004D1CBF"/>
    <w:rsid w:val="004D1D18"/>
    <w:rsid w:val="004D1D1C"/>
    <w:rsid w:val="004D1D1F"/>
    <w:rsid w:val="004D1D26"/>
    <w:rsid w:val="004D1F1B"/>
    <w:rsid w:val="004D1F67"/>
    <w:rsid w:val="004D203A"/>
    <w:rsid w:val="004D20C9"/>
    <w:rsid w:val="004D21D9"/>
    <w:rsid w:val="004D22D2"/>
    <w:rsid w:val="004D25CE"/>
    <w:rsid w:val="004D25D2"/>
    <w:rsid w:val="004D25E9"/>
    <w:rsid w:val="004D2628"/>
    <w:rsid w:val="004D269C"/>
    <w:rsid w:val="004D2705"/>
    <w:rsid w:val="004D2729"/>
    <w:rsid w:val="004D27CB"/>
    <w:rsid w:val="004D2834"/>
    <w:rsid w:val="004D2948"/>
    <w:rsid w:val="004D296C"/>
    <w:rsid w:val="004D2A27"/>
    <w:rsid w:val="004D2A43"/>
    <w:rsid w:val="004D2AF2"/>
    <w:rsid w:val="004D2B6C"/>
    <w:rsid w:val="004D2C01"/>
    <w:rsid w:val="004D2C80"/>
    <w:rsid w:val="004D2CC1"/>
    <w:rsid w:val="004D2CE1"/>
    <w:rsid w:val="004D2F63"/>
    <w:rsid w:val="004D3243"/>
    <w:rsid w:val="004D3292"/>
    <w:rsid w:val="004D33DF"/>
    <w:rsid w:val="004D340D"/>
    <w:rsid w:val="004D3457"/>
    <w:rsid w:val="004D363D"/>
    <w:rsid w:val="004D3640"/>
    <w:rsid w:val="004D3644"/>
    <w:rsid w:val="004D367A"/>
    <w:rsid w:val="004D3694"/>
    <w:rsid w:val="004D3733"/>
    <w:rsid w:val="004D373E"/>
    <w:rsid w:val="004D3792"/>
    <w:rsid w:val="004D37D5"/>
    <w:rsid w:val="004D37EE"/>
    <w:rsid w:val="004D3854"/>
    <w:rsid w:val="004D3857"/>
    <w:rsid w:val="004D385B"/>
    <w:rsid w:val="004D3976"/>
    <w:rsid w:val="004D3A1E"/>
    <w:rsid w:val="004D3A48"/>
    <w:rsid w:val="004D3AD0"/>
    <w:rsid w:val="004D3CE6"/>
    <w:rsid w:val="004D3D31"/>
    <w:rsid w:val="004D3DD2"/>
    <w:rsid w:val="004D3DEB"/>
    <w:rsid w:val="004D3DEF"/>
    <w:rsid w:val="004D4083"/>
    <w:rsid w:val="004D42C6"/>
    <w:rsid w:val="004D43D2"/>
    <w:rsid w:val="004D4460"/>
    <w:rsid w:val="004D44FE"/>
    <w:rsid w:val="004D4506"/>
    <w:rsid w:val="004D450D"/>
    <w:rsid w:val="004D4525"/>
    <w:rsid w:val="004D4649"/>
    <w:rsid w:val="004D4654"/>
    <w:rsid w:val="004D4695"/>
    <w:rsid w:val="004D4716"/>
    <w:rsid w:val="004D4882"/>
    <w:rsid w:val="004D496D"/>
    <w:rsid w:val="004D496F"/>
    <w:rsid w:val="004D49F0"/>
    <w:rsid w:val="004D4A3C"/>
    <w:rsid w:val="004D4A94"/>
    <w:rsid w:val="004D4AFE"/>
    <w:rsid w:val="004D4B2D"/>
    <w:rsid w:val="004D4B7C"/>
    <w:rsid w:val="004D4C34"/>
    <w:rsid w:val="004D4C83"/>
    <w:rsid w:val="004D4D68"/>
    <w:rsid w:val="004D4DE1"/>
    <w:rsid w:val="004D4DEB"/>
    <w:rsid w:val="004D4E81"/>
    <w:rsid w:val="004D4FE1"/>
    <w:rsid w:val="004D50C9"/>
    <w:rsid w:val="004D51E2"/>
    <w:rsid w:val="004D5238"/>
    <w:rsid w:val="004D52B6"/>
    <w:rsid w:val="004D52C1"/>
    <w:rsid w:val="004D52F7"/>
    <w:rsid w:val="004D5301"/>
    <w:rsid w:val="004D5397"/>
    <w:rsid w:val="004D53DF"/>
    <w:rsid w:val="004D53E9"/>
    <w:rsid w:val="004D540D"/>
    <w:rsid w:val="004D5417"/>
    <w:rsid w:val="004D5489"/>
    <w:rsid w:val="004D562B"/>
    <w:rsid w:val="004D5635"/>
    <w:rsid w:val="004D5648"/>
    <w:rsid w:val="004D56A5"/>
    <w:rsid w:val="004D56AB"/>
    <w:rsid w:val="004D57CB"/>
    <w:rsid w:val="004D57F7"/>
    <w:rsid w:val="004D580A"/>
    <w:rsid w:val="004D5815"/>
    <w:rsid w:val="004D58B4"/>
    <w:rsid w:val="004D58CE"/>
    <w:rsid w:val="004D5973"/>
    <w:rsid w:val="004D59C4"/>
    <w:rsid w:val="004D59E2"/>
    <w:rsid w:val="004D5AC7"/>
    <w:rsid w:val="004D5C07"/>
    <w:rsid w:val="004D5C37"/>
    <w:rsid w:val="004D5C6D"/>
    <w:rsid w:val="004D5D19"/>
    <w:rsid w:val="004D5D9F"/>
    <w:rsid w:val="004D5EB9"/>
    <w:rsid w:val="004D5FD7"/>
    <w:rsid w:val="004D5FF4"/>
    <w:rsid w:val="004D6056"/>
    <w:rsid w:val="004D608B"/>
    <w:rsid w:val="004D60DF"/>
    <w:rsid w:val="004D610D"/>
    <w:rsid w:val="004D611D"/>
    <w:rsid w:val="004D6158"/>
    <w:rsid w:val="004D61EE"/>
    <w:rsid w:val="004D62D9"/>
    <w:rsid w:val="004D63A1"/>
    <w:rsid w:val="004D63E8"/>
    <w:rsid w:val="004D6594"/>
    <w:rsid w:val="004D65E0"/>
    <w:rsid w:val="004D6646"/>
    <w:rsid w:val="004D6833"/>
    <w:rsid w:val="004D6A33"/>
    <w:rsid w:val="004D6A9E"/>
    <w:rsid w:val="004D6B54"/>
    <w:rsid w:val="004D6B57"/>
    <w:rsid w:val="004D6B87"/>
    <w:rsid w:val="004D6B89"/>
    <w:rsid w:val="004D6B8E"/>
    <w:rsid w:val="004D6ED7"/>
    <w:rsid w:val="004D6F70"/>
    <w:rsid w:val="004D6F84"/>
    <w:rsid w:val="004D70C4"/>
    <w:rsid w:val="004D73E5"/>
    <w:rsid w:val="004D7491"/>
    <w:rsid w:val="004D74E0"/>
    <w:rsid w:val="004D753E"/>
    <w:rsid w:val="004D760E"/>
    <w:rsid w:val="004D7679"/>
    <w:rsid w:val="004D76BF"/>
    <w:rsid w:val="004D77FD"/>
    <w:rsid w:val="004D7862"/>
    <w:rsid w:val="004D7864"/>
    <w:rsid w:val="004D7892"/>
    <w:rsid w:val="004D795C"/>
    <w:rsid w:val="004D79A3"/>
    <w:rsid w:val="004D7B12"/>
    <w:rsid w:val="004D7B23"/>
    <w:rsid w:val="004D7B3D"/>
    <w:rsid w:val="004D7B64"/>
    <w:rsid w:val="004D7BCC"/>
    <w:rsid w:val="004D7BEC"/>
    <w:rsid w:val="004D7C94"/>
    <w:rsid w:val="004D7CEF"/>
    <w:rsid w:val="004D7F76"/>
    <w:rsid w:val="004D7FD5"/>
    <w:rsid w:val="004E0105"/>
    <w:rsid w:val="004E0134"/>
    <w:rsid w:val="004E018A"/>
    <w:rsid w:val="004E028A"/>
    <w:rsid w:val="004E02D4"/>
    <w:rsid w:val="004E0399"/>
    <w:rsid w:val="004E03AB"/>
    <w:rsid w:val="004E0433"/>
    <w:rsid w:val="004E0611"/>
    <w:rsid w:val="004E06FE"/>
    <w:rsid w:val="004E0711"/>
    <w:rsid w:val="004E07C5"/>
    <w:rsid w:val="004E07CB"/>
    <w:rsid w:val="004E07D1"/>
    <w:rsid w:val="004E0835"/>
    <w:rsid w:val="004E0882"/>
    <w:rsid w:val="004E08B0"/>
    <w:rsid w:val="004E08F7"/>
    <w:rsid w:val="004E0921"/>
    <w:rsid w:val="004E0951"/>
    <w:rsid w:val="004E0B04"/>
    <w:rsid w:val="004E0CAE"/>
    <w:rsid w:val="004E0CBB"/>
    <w:rsid w:val="004E0CE5"/>
    <w:rsid w:val="004E0EA0"/>
    <w:rsid w:val="004E0EE8"/>
    <w:rsid w:val="004E0F0D"/>
    <w:rsid w:val="004E1120"/>
    <w:rsid w:val="004E1145"/>
    <w:rsid w:val="004E11B0"/>
    <w:rsid w:val="004E1257"/>
    <w:rsid w:val="004E1299"/>
    <w:rsid w:val="004E12BD"/>
    <w:rsid w:val="004E12F4"/>
    <w:rsid w:val="004E1318"/>
    <w:rsid w:val="004E143A"/>
    <w:rsid w:val="004E145B"/>
    <w:rsid w:val="004E158F"/>
    <w:rsid w:val="004E171C"/>
    <w:rsid w:val="004E1721"/>
    <w:rsid w:val="004E18B4"/>
    <w:rsid w:val="004E19BD"/>
    <w:rsid w:val="004E1A64"/>
    <w:rsid w:val="004E1AA4"/>
    <w:rsid w:val="004E1DED"/>
    <w:rsid w:val="004E1F9D"/>
    <w:rsid w:val="004E2101"/>
    <w:rsid w:val="004E216D"/>
    <w:rsid w:val="004E2171"/>
    <w:rsid w:val="004E21EC"/>
    <w:rsid w:val="004E223C"/>
    <w:rsid w:val="004E2247"/>
    <w:rsid w:val="004E2292"/>
    <w:rsid w:val="004E2311"/>
    <w:rsid w:val="004E23B7"/>
    <w:rsid w:val="004E2540"/>
    <w:rsid w:val="004E25E0"/>
    <w:rsid w:val="004E25F2"/>
    <w:rsid w:val="004E2687"/>
    <w:rsid w:val="004E2733"/>
    <w:rsid w:val="004E2752"/>
    <w:rsid w:val="004E277F"/>
    <w:rsid w:val="004E28C2"/>
    <w:rsid w:val="004E28D8"/>
    <w:rsid w:val="004E291C"/>
    <w:rsid w:val="004E2948"/>
    <w:rsid w:val="004E2955"/>
    <w:rsid w:val="004E297C"/>
    <w:rsid w:val="004E29A2"/>
    <w:rsid w:val="004E29F0"/>
    <w:rsid w:val="004E2A2F"/>
    <w:rsid w:val="004E2B16"/>
    <w:rsid w:val="004E2BCC"/>
    <w:rsid w:val="004E2C63"/>
    <w:rsid w:val="004E2D8A"/>
    <w:rsid w:val="004E2DAF"/>
    <w:rsid w:val="004E2DE5"/>
    <w:rsid w:val="004E2F6C"/>
    <w:rsid w:val="004E2F90"/>
    <w:rsid w:val="004E31A7"/>
    <w:rsid w:val="004E31DF"/>
    <w:rsid w:val="004E320B"/>
    <w:rsid w:val="004E32EE"/>
    <w:rsid w:val="004E3481"/>
    <w:rsid w:val="004E34F2"/>
    <w:rsid w:val="004E355A"/>
    <w:rsid w:val="004E35E4"/>
    <w:rsid w:val="004E3633"/>
    <w:rsid w:val="004E367A"/>
    <w:rsid w:val="004E36E0"/>
    <w:rsid w:val="004E36FF"/>
    <w:rsid w:val="004E3722"/>
    <w:rsid w:val="004E3740"/>
    <w:rsid w:val="004E3752"/>
    <w:rsid w:val="004E375A"/>
    <w:rsid w:val="004E376A"/>
    <w:rsid w:val="004E37E4"/>
    <w:rsid w:val="004E3993"/>
    <w:rsid w:val="004E3BBE"/>
    <w:rsid w:val="004E3C09"/>
    <w:rsid w:val="004E3D7D"/>
    <w:rsid w:val="004E3DE5"/>
    <w:rsid w:val="004E3E21"/>
    <w:rsid w:val="004E3EFE"/>
    <w:rsid w:val="004E3F35"/>
    <w:rsid w:val="004E3F44"/>
    <w:rsid w:val="004E4054"/>
    <w:rsid w:val="004E4115"/>
    <w:rsid w:val="004E41C5"/>
    <w:rsid w:val="004E42A6"/>
    <w:rsid w:val="004E42DD"/>
    <w:rsid w:val="004E430C"/>
    <w:rsid w:val="004E45DF"/>
    <w:rsid w:val="004E466A"/>
    <w:rsid w:val="004E46BD"/>
    <w:rsid w:val="004E4798"/>
    <w:rsid w:val="004E47B9"/>
    <w:rsid w:val="004E488E"/>
    <w:rsid w:val="004E490C"/>
    <w:rsid w:val="004E4947"/>
    <w:rsid w:val="004E4AB6"/>
    <w:rsid w:val="004E4C20"/>
    <w:rsid w:val="004E4CA6"/>
    <w:rsid w:val="004E4D40"/>
    <w:rsid w:val="004E4DC3"/>
    <w:rsid w:val="004E4DF7"/>
    <w:rsid w:val="004E506A"/>
    <w:rsid w:val="004E5097"/>
    <w:rsid w:val="004E5259"/>
    <w:rsid w:val="004E52E3"/>
    <w:rsid w:val="004E5319"/>
    <w:rsid w:val="004E532D"/>
    <w:rsid w:val="004E5391"/>
    <w:rsid w:val="004E5528"/>
    <w:rsid w:val="004E5678"/>
    <w:rsid w:val="004E5775"/>
    <w:rsid w:val="004E5807"/>
    <w:rsid w:val="004E58E8"/>
    <w:rsid w:val="004E5932"/>
    <w:rsid w:val="004E5A04"/>
    <w:rsid w:val="004E5A37"/>
    <w:rsid w:val="004E5AC3"/>
    <w:rsid w:val="004E5B2C"/>
    <w:rsid w:val="004E5BE8"/>
    <w:rsid w:val="004E5D52"/>
    <w:rsid w:val="004E5D6C"/>
    <w:rsid w:val="004E5E12"/>
    <w:rsid w:val="004E5EF1"/>
    <w:rsid w:val="004E61E7"/>
    <w:rsid w:val="004E61EE"/>
    <w:rsid w:val="004E6222"/>
    <w:rsid w:val="004E622C"/>
    <w:rsid w:val="004E645E"/>
    <w:rsid w:val="004E64B0"/>
    <w:rsid w:val="004E651D"/>
    <w:rsid w:val="004E6704"/>
    <w:rsid w:val="004E6733"/>
    <w:rsid w:val="004E687D"/>
    <w:rsid w:val="004E69D5"/>
    <w:rsid w:val="004E6C0E"/>
    <w:rsid w:val="004E6C58"/>
    <w:rsid w:val="004E6C94"/>
    <w:rsid w:val="004E6D07"/>
    <w:rsid w:val="004E6D16"/>
    <w:rsid w:val="004E6D28"/>
    <w:rsid w:val="004E6F2F"/>
    <w:rsid w:val="004E6FE3"/>
    <w:rsid w:val="004E7244"/>
    <w:rsid w:val="004E72EE"/>
    <w:rsid w:val="004E736D"/>
    <w:rsid w:val="004E73A7"/>
    <w:rsid w:val="004E73B6"/>
    <w:rsid w:val="004E7425"/>
    <w:rsid w:val="004E7445"/>
    <w:rsid w:val="004E7470"/>
    <w:rsid w:val="004E747C"/>
    <w:rsid w:val="004E755D"/>
    <w:rsid w:val="004E763E"/>
    <w:rsid w:val="004E773B"/>
    <w:rsid w:val="004E78AE"/>
    <w:rsid w:val="004E78F6"/>
    <w:rsid w:val="004E7A00"/>
    <w:rsid w:val="004E7B07"/>
    <w:rsid w:val="004E7B0E"/>
    <w:rsid w:val="004E7B3E"/>
    <w:rsid w:val="004E7C7F"/>
    <w:rsid w:val="004E7CD6"/>
    <w:rsid w:val="004E7D8E"/>
    <w:rsid w:val="004E7E22"/>
    <w:rsid w:val="004E7E53"/>
    <w:rsid w:val="004E7E94"/>
    <w:rsid w:val="004E7EBD"/>
    <w:rsid w:val="004E7FA4"/>
    <w:rsid w:val="004E7FDC"/>
    <w:rsid w:val="004F0056"/>
    <w:rsid w:val="004F0147"/>
    <w:rsid w:val="004F016E"/>
    <w:rsid w:val="004F02B2"/>
    <w:rsid w:val="004F03BB"/>
    <w:rsid w:val="004F0494"/>
    <w:rsid w:val="004F04FF"/>
    <w:rsid w:val="004F0512"/>
    <w:rsid w:val="004F0644"/>
    <w:rsid w:val="004F06BF"/>
    <w:rsid w:val="004F06CD"/>
    <w:rsid w:val="004F06F5"/>
    <w:rsid w:val="004F074E"/>
    <w:rsid w:val="004F0750"/>
    <w:rsid w:val="004F07B1"/>
    <w:rsid w:val="004F0961"/>
    <w:rsid w:val="004F097A"/>
    <w:rsid w:val="004F097C"/>
    <w:rsid w:val="004F09BC"/>
    <w:rsid w:val="004F0A05"/>
    <w:rsid w:val="004F0A2F"/>
    <w:rsid w:val="004F0A95"/>
    <w:rsid w:val="004F0AD8"/>
    <w:rsid w:val="004F0BF0"/>
    <w:rsid w:val="004F0CBD"/>
    <w:rsid w:val="004F0D21"/>
    <w:rsid w:val="004F0F93"/>
    <w:rsid w:val="004F0FCF"/>
    <w:rsid w:val="004F10BC"/>
    <w:rsid w:val="004F10F2"/>
    <w:rsid w:val="004F116D"/>
    <w:rsid w:val="004F135B"/>
    <w:rsid w:val="004F13AC"/>
    <w:rsid w:val="004F13C3"/>
    <w:rsid w:val="004F14DB"/>
    <w:rsid w:val="004F15E4"/>
    <w:rsid w:val="004F1657"/>
    <w:rsid w:val="004F16AD"/>
    <w:rsid w:val="004F1741"/>
    <w:rsid w:val="004F1756"/>
    <w:rsid w:val="004F1893"/>
    <w:rsid w:val="004F18B1"/>
    <w:rsid w:val="004F18E8"/>
    <w:rsid w:val="004F191E"/>
    <w:rsid w:val="004F1975"/>
    <w:rsid w:val="004F1AAC"/>
    <w:rsid w:val="004F1B13"/>
    <w:rsid w:val="004F1B14"/>
    <w:rsid w:val="004F1B3B"/>
    <w:rsid w:val="004F1B3F"/>
    <w:rsid w:val="004F1BC2"/>
    <w:rsid w:val="004F1C08"/>
    <w:rsid w:val="004F1C9D"/>
    <w:rsid w:val="004F1F48"/>
    <w:rsid w:val="004F20C0"/>
    <w:rsid w:val="004F2181"/>
    <w:rsid w:val="004F21DE"/>
    <w:rsid w:val="004F227B"/>
    <w:rsid w:val="004F228E"/>
    <w:rsid w:val="004F2335"/>
    <w:rsid w:val="004F23F9"/>
    <w:rsid w:val="004F248B"/>
    <w:rsid w:val="004F2564"/>
    <w:rsid w:val="004F298A"/>
    <w:rsid w:val="004F2A2A"/>
    <w:rsid w:val="004F2A79"/>
    <w:rsid w:val="004F2AD0"/>
    <w:rsid w:val="004F2BD2"/>
    <w:rsid w:val="004F2C54"/>
    <w:rsid w:val="004F2CFD"/>
    <w:rsid w:val="004F2E50"/>
    <w:rsid w:val="004F2FB2"/>
    <w:rsid w:val="004F30FD"/>
    <w:rsid w:val="004F3100"/>
    <w:rsid w:val="004F311F"/>
    <w:rsid w:val="004F3137"/>
    <w:rsid w:val="004F33A7"/>
    <w:rsid w:val="004F355C"/>
    <w:rsid w:val="004F3571"/>
    <w:rsid w:val="004F359E"/>
    <w:rsid w:val="004F35F8"/>
    <w:rsid w:val="004F3637"/>
    <w:rsid w:val="004F3638"/>
    <w:rsid w:val="004F36E2"/>
    <w:rsid w:val="004F36E5"/>
    <w:rsid w:val="004F3704"/>
    <w:rsid w:val="004F3879"/>
    <w:rsid w:val="004F38E2"/>
    <w:rsid w:val="004F3923"/>
    <w:rsid w:val="004F392A"/>
    <w:rsid w:val="004F3942"/>
    <w:rsid w:val="004F39A2"/>
    <w:rsid w:val="004F39E8"/>
    <w:rsid w:val="004F3A39"/>
    <w:rsid w:val="004F3A4E"/>
    <w:rsid w:val="004F3A9E"/>
    <w:rsid w:val="004F3B10"/>
    <w:rsid w:val="004F3CB6"/>
    <w:rsid w:val="004F3D63"/>
    <w:rsid w:val="004F3DC9"/>
    <w:rsid w:val="004F3DCB"/>
    <w:rsid w:val="004F3DED"/>
    <w:rsid w:val="004F3DF5"/>
    <w:rsid w:val="004F3E3E"/>
    <w:rsid w:val="004F3E6E"/>
    <w:rsid w:val="004F3F70"/>
    <w:rsid w:val="004F3FFD"/>
    <w:rsid w:val="004F40EE"/>
    <w:rsid w:val="004F411B"/>
    <w:rsid w:val="004F4239"/>
    <w:rsid w:val="004F42D2"/>
    <w:rsid w:val="004F4346"/>
    <w:rsid w:val="004F43E6"/>
    <w:rsid w:val="004F4416"/>
    <w:rsid w:val="004F4495"/>
    <w:rsid w:val="004F4525"/>
    <w:rsid w:val="004F4691"/>
    <w:rsid w:val="004F47E7"/>
    <w:rsid w:val="004F484F"/>
    <w:rsid w:val="004F48AD"/>
    <w:rsid w:val="004F48CD"/>
    <w:rsid w:val="004F48D4"/>
    <w:rsid w:val="004F48DF"/>
    <w:rsid w:val="004F48FD"/>
    <w:rsid w:val="004F48FF"/>
    <w:rsid w:val="004F4963"/>
    <w:rsid w:val="004F49D4"/>
    <w:rsid w:val="004F4AA1"/>
    <w:rsid w:val="004F4AC8"/>
    <w:rsid w:val="004F4ADB"/>
    <w:rsid w:val="004F4AEA"/>
    <w:rsid w:val="004F4B26"/>
    <w:rsid w:val="004F4B4B"/>
    <w:rsid w:val="004F4C87"/>
    <w:rsid w:val="004F4CF7"/>
    <w:rsid w:val="004F4D53"/>
    <w:rsid w:val="004F4EA8"/>
    <w:rsid w:val="004F4F96"/>
    <w:rsid w:val="004F4FD6"/>
    <w:rsid w:val="004F503B"/>
    <w:rsid w:val="004F513B"/>
    <w:rsid w:val="004F514D"/>
    <w:rsid w:val="004F5154"/>
    <w:rsid w:val="004F5174"/>
    <w:rsid w:val="004F517C"/>
    <w:rsid w:val="004F5235"/>
    <w:rsid w:val="004F5278"/>
    <w:rsid w:val="004F52FB"/>
    <w:rsid w:val="004F5309"/>
    <w:rsid w:val="004F538D"/>
    <w:rsid w:val="004F53F5"/>
    <w:rsid w:val="004F53F6"/>
    <w:rsid w:val="004F5400"/>
    <w:rsid w:val="004F541F"/>
    <w:rsid w:val="004F57F2"/>
    <w:rsid w:val="004F5807"/>
    <w:rsid w:val="004F587A"/>
    <w:rsid w:val="004F5886"/>
    <w:rsid w:val="004F58C4"/>
    <w:rsid w:val="004F59E4"/>
    <w:rsid w:val="004F5BE6"/>
    <w:rsid w:val="004F5C3A"/>
    <w:rsid w:val="004F5C4E"/>
    <w:rsid w:val="004F5C8D"/>
    <w:rsid w:val="004F5CC4"/>
    <w:rsid w:val="004F5CE9"/>
    <w:rsid w:val="004F5CFE"/>
    <w:rsid w:val="004F5D7C"/>
    <w:rsid w:val="004F610A"/>
    <w:rsid w:val="004F615D"/>
    <w:rsid w:val="004F6176"/>
    <w:rsid w:val="004F61AC"/>
    <w:rsid w:val="004F6271"/>
    <w:rsid w:val="004F62C1"/>
    <w:rsid w:val="004F635B"/>
    <w:rsid w:val="004F6381"/>
    <w:rsid w:val="004F6407"/>
    <w:rsid w:val="004F640F"/>
    <w:rsid w:val="004F6414"/>
    <w:rsid w:val="004F648D"/>
    <w:rsid w:val="004F64DE"/>
    <w:rsid w:val="004F651F"/>
    <w:rsid w:val="004F653D"/>
    <w:rsid w:val="004F66D1"/>
    <w:rsid w:val="004F6739"/>
    <w:rsid w:val="004F6926"/>
    <w:rsid w:val="004F6AD6"/>
    <w:rsid w:val="004F6B3A"/>
    <w:rsid w:val="004F6BD9"/>
    <w:rsid w:val="004F6BFA"/>
    <w:rsid w:val="004F6D45"/>
    <w:rsid w:val="004F6D64"/>
    <w:rsid w:val="004F6E57"/>
    <w:rsid w:val="004F6EFC"/>
    <w:rsid w:val="004F6FBB"/>
    <w:rsid w:val="004F7004"/>
    <w:rsid w:val="004F7025"/>
    <w:rsid w:val="004F70F5"/>
    <w:rsid w:val="004F719C"/>
    <w:rsid w:val="004F7236"/>
    <w:rsid w:val="004F723F"/>
    <w:rsid w:val="004F727E"/>
    <w:rsid w:val="004F73CB"/>
    <w:rsid w:val="004F7418"/>
    <w:rsid w:val="004F74E9"/>
    <w:rsid w:val="004F781E"/>
    <w:rsid w:val="004F7851"/>
    <w:rsid w:val="004F789B"/>
    <w:rsid w:val="004F78F7"/>
    <w:rsid w:val="004F7996"/>
    <w:rsid w:val="004F79AD"/>
    <w:rsid w:val="004F7A81"/>
    <w:rsid w:val="004F7C58"/>
    <w:rsid w:val="004F7DA8"/>
    <w:rsid w:val="004F7ECF"/>
    <w:rsid w:val="004F7F31"/>
    <w:rsid w:val="004F7FD5"/>
    <w:rsid w:val="00500043"/>
    <w:rsid w:val="00500116"/>
    <w:rsid w:val="005001B9"/>
    <w:rsid w:val="005001DD"/>
    <w:rsid w:val="0050021B"/>
    <w:rsid w:val="00500274"/>
    <w:rsid w:val="005002C7"/>
    <w:rsid w:val="00500343"/>
    <w:rsid w:val="00500359"/>
    <w:rsid w:val="005003C0"/>
    <w:rsid w:val="0050041B"/>
    <w:rsid w:val="00500562"/>
    <w:rsid w:val="0050060E"/>
    <w:rsid w:val="00500615"/>
    <w:rsid w:val="00500650"/>
    <w:rsid w:val="00500677"/>
    <w:rsid w:val="005006BC"/>
    <w:rsid w:val="005006F3"/>
    <w:rsid w:val="00500718"/>
    <w:rsid w:val="0050073D"/>
    <w:rsid w:val="00500740"/>
    <w:rsid w:val="0050075A"/>
    <w:rsid w:val="005008F9"/>
    <w:rsid w:val="00500A23"/>
    <w:rsid w:val="00500A7D"/>
    <w:rsid w:val="00500A9D"/>
    <w:rsid w:val="00500B51"/>
    <w:rsid w:val="00500C10"/>
    <w:rsid w:val="00500EA8"/>
    <w:rsid w:val="00500EDE"/>
    <w:rsid w:val="00500EE4"/>
    <w:rsid w:val="00500F5F"/>
    <w:rsid w:val="00500FB2"/>
    <w:rsid w:val="0050101D"/>
    <w:rsid w:val="0050102C"/>
    <w:rsid w:val="005010DE"/>
    <w:rsid w:val="0050110A"/>
    <w:rsid w:val="0050114F"/>
    <w:rsid w:val="0050121B"/>
    <w:rsid w:val="00501229"/>
    <w:rsid w:val="005012D1"/>
    <w:rsid w:val="005012DB"/>
    <w:rsid w:val="005014E4"/>
    <w:rsid w:val="0050154E"/>
    <w:rsid w:val="00501600"/>
    <w:rsid w:val="00501681"/>
    <w:rsid w:val="0050176B"/>
    <w:rsid w:val="005017AF"/>
    <w:rsid w:val="00501826"/>
    <w:rsid w:val="00501A34"/>
    <w:rsid w:val="00501AA6"/>
    <w:rsid w:val="00501CE5"/>
    <w:rsid w:val="00501D64"/>
    <w:rsid w:val="00501E8C"/>
    <w:rsid w:val="00501E95"/>
    <w:rsid w:val="00501F7A"/>
    <w:rsid w:val="00502040"/>
    <w:rsid w:val="00502076"/>
    <w:rsid w:val="005021F4"/>
    <w:rsid w:val="0050225C"/>
    <w:rsid w:val="00502385"/>
    <w:rsid w:val="00502464"/>
    <w:rsid w:val="0050249E"/>
    <w:rsid w:val="005024C6"/>
    <w:rsid w:val="005024E0"/>
    <w:rsid w:val="0050252D"/>
    <w:rsid w:val="00502570"/>
    <w:rsid w:val="005025CD"/>
    <w:rsid w:val="005025D9"/>
    <w:rsid w:val="005026D1"/>
    <w:rsid w:val="0050272F"/>
    <w:rsid w:val="005027E7"/>
    <w:rsid w:val="00502832"/>
    <w:rsid w:val="005028FF"/>
    <w:rsid w:val="00502929"/>
    <w:rsid w:val="00502994"/>
    <w:rsid w:val="005029B4"/>
    <w:rsid w:val="00502B2F"/>
    <w:rsid w:val="00502B5F"/>
    <w:rsid w:val="00502BA8"/>
    <w:rsid w:val="00502BD4"/>
    <w:rsid w:val="00502C38"/>
    <w:rsid w:val="00502C7B"/>
    <w:rsid w:val="00502CB3"/>
    <w:rsid w:val="00502D45"/>
    <w:rsid w:val="00502DF1"/>
    <w:rsid w:val="0050305F"/>
    <w:rsid w:val="00503065"/>
    <w:rsid w:val="005030EA"/>
    <w:rsid w:val="00503111"/>
    <w:rsid w:val="0050317B"/>
    <w:rsid w:val="00503288"/>
    <w:rsid w:val="005032B4"/>
    <w:rsid w:val="0050347F"/>
    <w:rsid w:val="00503737"/>
    <w:rsid w:val="00503740"/>
    <w:rsid w:val="005037DF"/>
    <w:rsid w:val="00503849"/>
    <w:rsid w:val="00503878"/>
    <w:rsid w:val="0050390E"/>
    <w:rsid w:val="00503A63"/>
    <w:rsid w:val="00503B28"/>
    <w:rsid w:val="00503BDF"/>
    <w:rsid w:val="00503C4B"/>
    <w:rsid w:val="00503C6D"/>
    <w:rsid w:val="00503C7A"/>
    <w:rsid w:val="00503D8E"/>
    <w:rsid w:val="00503DD4"/>
    <w:rsid w:val="00503E18"/>
    <w:rsid w:val="00503E29"/>
    <w:rsid w:val="00503F47"/>
    <w:rsid w:val="0050428B"/>
    <w:rsid w:val="00504332"/>
    <w:rsid w:val="005043A1"/>
    <w:rsid w:val="0050440C"/>
    <w:rsid w:val="00504472"/>
    <w:rsid w:val="0050448B"/>
    <w:rsid w:val="0050449E"/>
    <w:rsid w:val="00504507"/>
    <w:rsid w:val="005045B5"/>
    <w:rsid w:val="00504776"/>
    <w:rsid w:val="00504818"/>
    <w:rsid w:val="00504821"/>
    <w:rsid w:val="005048B3"/>
    <w:rsid w:val="005049BE"/>
    <w:rsid w:val="00504A15"/>
    <w:rsid w:val="00504B84"/>
    <w:rsid w:val="00504BD3"/>
    <w:rsid w:val="00504C17"/>
    <w:rsid w:val="00504DD2"/>
    <w:rsid w:val="00504DF6"/>
    <w:rsid w:val="00504E12"/>
    <w:rsid w:val="00504E69"/>
    <w:rsid w:val="00504ECF"/>
    <w:rsid w:val="0050511D"/>
    <w:rsid w:val="0050526B"/>
    <w:rsid w:val="005052DE"/>
    <w:rsid w:val="005052F5"/>
    <w:rsid w:val="0050532D"/>
    <w:rsid w:val="00505416"/>
    <w:rsid w:val="00505534"/>
    <w:rsid w:val="005056A6"/>
    <w:rsid w:val="00505716"/>
    <w:rsid w:val="0050580B"/>
    <w:rsid w:val="00505848"/>
    <w:rsid w:val="00505870"/>
    <w:rsid w:val="005058B8"/>
    <w:rsid w:val="0050597B"/>
    <w:rsid w:val="005059AC"/>
    <w:rsid w:val="00505B60"/>
    <w:rsid w:val="00505BC6"/>
    <w:rsid w:val="00505D14"/>
    <w:rsid w:val="00505EB0"/>
    <w:rsid w:val="00505EE7"/>
    <w:rsid w:val="00505FED"/>
    <w:rsid w:val="005060CE"/>
    <w:rsid w:val="00506163"/>
    <w:rsid w:val="00506488"/>
    <w:rsid w:val="005065A6"/>
    <w:rsid w:val="00506648"/>
    <w:rsid w:val="0050665C"/>
    <w:rsid w:val="00506681"/>
    <w:rsid w:val="00506754"/>
    <w:rsid w:val="00506867"/>
    <w:rsid w:val="00506922"/>
    <w:rsid w:val="00506A76"/>
    <w:rsid w:val="00506A79"/>
    <w:rsid w:val="00506ABC"/>
    <w:rsid w:val="00506C30"/>
    <w:rsid w:val="00506CA6"/>
    <w:rsid w:val="00506CD4"/>
    <w:rsid w:val="00506CF7"/>
    <w:rsid w:val="00506D25"/>
    <w:rsid w:val="00506FD0"/>
    <w:rsid w:val="005070B5"/>
    <w:rsid w:val="00507163"/>
    <w:rsid w:val="0050725F"/>
    <w:rsid w:val="005072D5"/>
    <w:rsid w:val="005073E0"/>
    <w:rsid w:val="00507514"/>
    <w:rsid w:val="0050755D"/>
    <w:rsid w:val="0050765D"/>
    <w:rsid w:val="005077C4"/>
    <w:rsid w:val="0050796F"/>
    <w:rsid w:val="0050799B"/>
    <w:rsid w:val="005079C3"/>
    <w:rsid w:val="005079C5"/>
    <w:rsid w:val="005079E6"/>
    <w:rsid w:val="00507A9D"/>
    <w:rsid w:val="00507B1E"/>
    <w:rsid w:val="00507BF6"/>
    <w:rsid w:val="00507D3D"/>
    <w:rsid w:val="00507D65"/>
    <w:rsid w:val="00507DE9"/>
    <w:rsid w:val="00507E43"/>
    <w:rsid w:val="00507F14"/>
    <w:rsid w:val="00507F66"/>
    <w:rsid w:val="0051005E"/>
    <w:rsid w:val="005100A4"/>
    <w:rsid w:val="005101DA"/>
    <w:rsid w:val="005101E7"/>
    <w:rsid w:val="0051028F"/>
    <w:rsid w:val="005102A6"/>
    <w:rsid w:val="005102D4"/>
    <w:rsid w:val="00510464"/>
    <w:rsid w:val="005104D1"/>
    <w:rsid w:val="005105C5"/>
    <w:rsid w:val="005105C6"/>
    <w:rsid w:val="005108B8"/>
    <w:rsid w:val="0051095E"/>
    <w:rsid w:val="005109C9"/>
    <w:rsid w:val="005109DF"/>
    <w:rsid w:val="00510A85"/>
    <w:rsid w:val="00510AC4"/>
    <w:rsid w:val="00510B3A"/>
    <w:rsid w:val="00510B87"/>
    <w:rsid w:val="00510BA3"/>
    <w:rsid w:val="00510BCB"/>
    <w:rsid w:val="00510CAF"/>
    <w:rsid w:val="00510CC0"/>
    <w:rsid w:val="00510E0F"/>
    <w:rsid w:val="00510E74"/>
    <w:rsid w:val="00510F69"/>
    <w:rsid w:val="00510F8B"/>
    <w:rsid w:val="00510FEF"/>
    <w:rsid w:val="005110CA"/>
    <w:rsid w:val="005110CF"/>
    <w:rsid w:val="00511242"/>
    <w:rsid w:val="005112C2"/>
    <w:rsid w:val="00511354"/>
    <w:rsid w:val="005113CD"/>
    <w:rsid w:val="005114D4"/>
    <w:rsid w:val="005114DC"/>
    <w:rsid w:val="00511584"/>
    <w:rsid w:val="005115AF"/>
    <w:rsid w:val="005115FA"/>
    <w:rsid w:val="0051162D"/>
    <w:rsid w:val="00511753"/>
    <w:rsid w:val="00511812"/>
    <w:rsid w:val="00511815"/>
    <w:rsid w:val="00511848"/>
    <w:rsid w:val="00511953"/>
    <w:rsid w:val="0051198A"/>
    <w:rsid w:val="00511A10"/>
    <w:rsid w:val="00511A98"/>
    <w:rsid w:val="00511AF5"/>
    <w:rsid w:val="00511B98"/>
    <w:rsid w:val="00511BA1"/>
    <w:rsid w:val="00511CD5"/>
    <w:rsid w:val="00511DAB"/>
    <w:rsid w:val="00511DB6"/>
    <w:rsid w:val="00511DE4"/>
    <w:rsid w:val="00511E70"/>
    <w:rsid w:val="00511E84"/>
    <w:rsid w:val="00511E85"/>
    <w:rsid w:val="00511EC3"/>
    <w:rsid w:val="00511FE8"/>
    <w:rsid w:val="0051202F"/>
    <w:rsid w:val="0051211B"/>
    <w:rsid w:val="00512146"/>
    <w:rsid w:val="005121AB"/>
    <w:rsid w:val="005121BD"/>
    <w:rsid w:val="005121D0"/>
    <w:rsid w:val="0051232A"/>
    <w:rsid w:val="0051232E"/>
    <w:rsid w:val="00512352"/>
    <w:rsid w:val="00512365"/>
    <w:rsid w:val="00512435"/>
    <w:rsid w:val="0051249A"/>
    <w:rsid w:val="0051250F"/>
    <w:rsid w:val="00512528"/>
    <w:rsid w:val="005125D3"/>
    <w:rsid w:val="00512670"/>
    <w:rsid w:val="00512700"/>
    <w:rsid w:val="0051270C"/>
    <w:rsid w:val="0051279E"/>
    <w:rsid w:val="005127B3"/>
    <w:rsid w:val="005128B9"/>
    <w:rsid w:val="005128E4"/>
    <w:rsid w:val="005128FC"/>
    <w:rsid w:val="00512A2D"/>
    <w:rsid w:val="00512ABB"/>
    <w:rsid w:val="00512AC3"/>
    <w:rsid w:val="00512B80"/>
    <w:rsid w:val="00512BE3"/>
    <w:rsid w:val="00512C46"/>
    <w:rsid w:val="00512C74"/>
    <w:rsid w:val="00512CA1"/>
    <w:rsid w:val="00512D8C"/>
    <w:rsid w:val="00512F1A"/>
    <w:rsid w:val="00512F3F"/>
    <w:rsid w:val="00512F52"/>
    <w:rsid w:val="00512FE3"/>
    <w:rsid w:val="00513327"/>
    <w:rsid w:val="0051333F"/>
    <w:rsid w:val="0051339B"/>
    <w:rsid w:val="0051341E"/>
    <w:rsid w:val="00513456"/>
    <w:rsid w:val="00513479"/>
    <w:rsid w:val="0051348D"/>
    <w:rsid w:val="005134A6"/>
    <w:rsid w:val="00513559"/>
    <w:rsid w:val="005135A4"/>
    <w:rsid w:val="0051363E"/>
    <w:rsid w:val="0051364B"/>
    <w:rsid w:val="0051366E"/>
    <w:rsid w:val="005136C3"/>
    <w:rsid w:val="005136D4"/>
    <w:rsid w:val="00513773"/>
    <w:rsid w:val="005137EE"/>
    <w:rsid w:val="0051393B"/>
    <w:rsid w:val="00513A72"/>
    <w:rsid w:val="00513C52"/>
    <w:rsid w:val="00513CED"/>
    <w:rsid w:val="00513D53"/>
    <w:rsid w:val="00513D5D"/>
    <w:rsid w:val="00513EF0"/>
    <w:rsid w:val="0051406C"/>
    <w:rsid w:val="005140E8"/>
    <w:rsid w:val="005141E8"/>
    <w:rsid w:val="00514240"/>
    <w:rsid w:val="005142A0"/>
    <w:rsid w:val="005142ED"/>
    <w:rsid w:val="005143F6"/>
    <w:rsid w:val="00514438"/>
    <w:rsid w:val="005144EC"/>
    <w:rsid w:val="00514582"/>
    <w:rsid w:val="005145F2"/>
    <w:rsid w:val="0051461B"/>
    <w:rsid w:val="00514782"/>
    <w:rsid w:val="005148C0"/>
    <w:rsid w:val="00514903"/>
    <w:rsid w:val="00514A37"/>
    <w:rsid w:val="00514A4C"/>
    <w:rsid w:val="00514B62"/>
    <w:rsid w:val="00514C43"/>
    <w:rsid w:val="00514D23"/>
    <w:rsid w:val="00514D5D"/>
    <w:rsid w:val="00514DED"/>
    <w:rsid w:val="00514E08"/>
    <w:rsid w:val="00514EC4"/>
    <w:rsid w:val="00514F66"/>
    <w:rsid w:val="00514F85"/>
    <w:rsid w:val="00514FFD"/>
    <w:rsid w:val="00515122"/>
    <w:rsid w:val="0051518C"/>
    <w:rsid w:val="005151EF"/>
    <w:rsid w:val="00515278"/>
    <w:rsid w:val="005154BD"/>
    <w:rsid w:val="005154E4"/>
    <w:rsid w:val="005154F9"/>
    <w:rsid w:val="00515507"/>
    <w:rsid w:val="005156C7"/>
    <w:rsid w:val="005156DF"/>
    <w:rsid w:val="0051570C"/>
    <w:rsid w:val="005157DD"/>
    <w:rsid w:val="005158D3"/>
    <w:rsid w:val="005159D7"/>
    <w:rsid w:val="00515AEB"/>
    <w:rsid w:val="00515B41"/>
    <w:rsid w:val="00515C6C"/>
    <w:rsid w:val="00515CCE"/>
    <w:rsid w:val="00515D08"/>
    <w:rsid w:val="00515D55"/>
    <w:rsid w:val="00515E5C"/>
    <w:rsid w:val="00515EEE"/>
    <w:rsid w:val="0051604D"/>
    <w:rsid w:val="00516063"/>
    <w:rsid w:val="00516311"/>
    <w:rsid w:val="0051632A"/>
    <w:rsid w:val="0051632F"/>
    <w:rsid w:val="005163F2"/>
    <w:rsid w:val="00516428"/>
    <w:rsid w:val="005164C9"/>
    <w:rsid w:val="005164D7"/>
    <w:rsid w:val="0051653A"/>
    <w:rsid w:val="00516559"/>
    <w:rsid w:val="00516584"/>
    <w:rsid w:val="00516625"/>
    <w:rsid w:val="00516644"/>
    <w:rsid w:val="005166FC"/>
    <w:rsid w:val="005167B2"/>
    <w:rsid w:val="005167C7"/>
    <w:rsid w:val="0051690B"/>
    <w:rsid w:val="0051696E"/>
    <w:rsid w:val="00516975"/>
    <w:rsid w:val="005169B7"/>
    <w:rsid w:val="005169C2"/>
    <w:rsid w:val="00516C2D"/>
    <w:rsid w:val="00516E78"/>
    <w:rsid w:val="00516E90"/>
    <w:rsid w:val="00516E9D"/>
    <w:rsid w:val="00517007"/>
    <w:rsid w:val="0051700D"/>
    <w:rsid w:val="00517056"/>
    <w:rsid w:val="00517126"/>
    <w:rsid w:val="0051715F"/>
    <w:rsid w:val="00517315"/>
    <w:rsid w:val="00517351"/>
    <w:rsid w:val="005173BF"/>
    <w:rsid w:val="0051741B"/>
    <w:rsid w:val="00517429"/>
    <w:rsid w:val="0051743A"/>
    <w:rsid w:val="005174B9"/>
    <w:rsid w:val="005174F1"/>
    <w:rsid w:val="00517536"/>
    <w:rsid w:val="005175FD"/>
    <w:rsid w:val="00517626"/>
    <w:rsid w:val="005176A9"/>
    <w:rsid w:val="005176E9"/>
    <w:rsid w:val="00517751"/>
    <w:rsid w:val="00517865"/>
    <w:rsid w:val="0051797D"/>
    <w:rsid w:val="00517996"/>
    <w:rsid w:val="005179E0"/>
    <w:rsid w:val="00517ABC"/>
    <w:rsid w:val="00517B03"/>
    <w:rsid w:val="00517C1C"/>
    <w:rsid w:val="00517CB0"/>
    <w:rsid w:val="00517D52"/>
    <w:rsid w:val="00517D9C"/>
    <w:rsid w:val="00517E1A"/>
    <w:rsid w:val="00517F4E"/>
    <w:rsid w:val="00520054"/>
    <w:rsid w:val="005201EF"/>
    <w:rsid w:val="005202EC"/>
    <w:rsid w:val="0052031E"/>
    <w:rsid w:val="00520326"/>
    <w:rsid w:val="0052035E"/>
    <w:rsid w:val="005203BE"/>
    <w:rsid w:val="005203CA"/>
    <w:rsid w:val="0052043D"/>
    <w:rsid w:val="00520445"/>
    <w:rsid w:val="005204CA"/>
    <w:rsid w:val="005206D3"/>
    <w:rsid w:val="00520709"/>
    <w:rsid w:val="005207C1"/>
    <w:rsid w:val="005207DA"/>
    <w:rsid w:val="0052081E"/>
    <w:rsid w:val="005208F3"/>
    <w:rsid w:val="00520A76"/>
    <w:rsid w:val="00520ABA"/>
    <w:rsid w:val="00520C1D"/>
    <w:rsid w:val="00520CBE"/>
    <w:rsid w:val="00520CE6"/>
    <w:rsid w:val="00520D56"/>
    <w:rsid w:val="00520DF2"/>
    <w:rsid w:val="00520E67"/>
    <w:rsid w:val="00520F01"/>
    <w:rsid w:val="00520FF4"/>
    <w:rsid w:val="00521029"/>
    <w:rsid w:val="0052102E"/>
    <w:rsid w:val="0052108B"/>
    <w:rsid w:val="005210AE"/>
    <w:rsid w:val="00521152"/>
    <w:rsid w:val="0052127D"/>
    <w:rsid w:val="00521288"/>
    <w:rsid w:val="00521316"/>
    <w:rsid w:val="005215FD"/>
    <w:rsid w:val="00521661"/>
    <w:rsid w:val="005217C8"/>
    <w:rsid w:val="005218AF"/>
    <w:rsid w:val="005219E4"/>
    <w:rsid w:val="00521A7C"/>
    <w:rsid w:val="00521B7E"/>
    <w:rsid w:val="00521BE7"/>
    <w:rsid w:val="00521C6A"/>
    <w:rsid w:val="00521D07"/>
    <w:rsid w:val="00521F40"/>
    <w:rsid w:val="00522015"/>
    <w:rsid w:val="00522026"/>
    <w:rsid w:val="00522028"/>
    <w:rsid w:val="00522063"/>
    <w:rsid w:val="005220F1"/>
    <w:rsid w:val="00522102"/>
    <w:rsid w:val="00522163"/>
    <w:rsid w:val="005221AD"/>
    <w:rsid w:val="005221DD"/>
    <w:rsid w:val="005221E0"/>
    <w:rsid w:val="0052224D"/>
    <w:rsid w:val="0052225A"/>
    <w:rsid w:val="00522346"/>
    <w:rsid w:val="005223C8"/>
    <w:rsid w:val="005223C9"/>
    <w:rsid w:val="0052255F"/>
    <w:rsid w:val="00522589"/>
    <w:rsid w:val="005226AD"/>
    <w:rsid w:val="005226C5"/>
    <w:rsid w:val="0052276C"/>
    <w:rsid w:val="0052296C"/>
    <w:rsid w:val="00522986"/>
    <w:rsid w:val="00522A77"/>
    <w:rsid w:val="00522B6E"/>
    <w:rsid w:val="00522BC7"/>
    <w:rsid w:val="00522BFA"/>
    <w:rsid w:val="00522BFB"/>
    <w:rsid w:val="00522C1E"/>
    <w:rsid w:val="00522C4C"/>
    <w:rsid w:val="00522C58"/>
    <w:rsid w:val="00522C8E"/>
    <w:rsid w:val="00522CAA"/>
    <w:rsid w:val="00522CF5"/>
    <w:rsid w:val="00522E10"/>
    <w:rsid w:val="00522E84"/>
    <w:rsid w:val="00522EB6"/>
    <w:rsid w:val="00522F83"/>
    <w:rsid w:val="00522FF7"/>
    <w:rsid w:val="005230B1"/>
    <w:rsid w:val="00523245"/>
    <w:rsid w:val="005232B0"/>
    <w:rsid w:val="005232DB"/>
    <w:rsid w:val="005232EA"/>
    <w:rsid w:val="00523305"/>
    <w:rsid w:val="0052332C"/>
    <w:rsid w:val="005233FB"/>
    <w:rsid w:val="005235B5"/>
    <w:rsid w:val="005236DD"/>
    <w:rsid w:val="005236E5"/>
    <w:rsid w:val="0052377B"/>
    <w:rsid w:val="005237D7"/>
    <w:rsid w:val="00523A09"/>
    <w:rsid w:val="00523A0F"/>
    <w:rsid w:val="00523AB3"/>
    <w:rsid w:val="00523B32"/>
    <w:rsid w:val="00523BB7"/>
    <w:rsid w:val="00523CB3"/>
    <w:rsid w:val="00523CDC"/>
    <w:rsid w:val="00523CEE"/>
    <w:rsid w:val="00523D27"/>
    <w:rsid w:val="00523DA1"/>
    <w:rsid w:val="00523DB9"/>
    <w:rsid w:val="00523E81"/>
    <w:rsid w:val="00523F97"/>
    <w:rsid w:val="00524061"/>
    <w:rsid w:val="0052414B"/>
    <w:rsid w:val="00524260"/>
    <w:rsid w:val="0052429F"/>
    <w:rsid w:val="0052438E"/>
    <w:rsid w:val="005243C4"/>
    <w:rsid w:val="0052444C"/>
    <w:rsid w:val="005244D0"/>
    <w:rsid w:val="0052450C"/>
    <w:rsid w:val="00524554"/>
    <w:rsid w:val="005245BE"/>
    <w:rsid w:val="005245D9"/>
    <w:rsid w:val="00524662"/>
    <w:rsid w:val="005246F9"/>
    <w:rsid w:val="00524725"/>
    <w:rsid w:val="00524736"/>
    <w:rsid w:val="00524771"/>
    <w:rsid w:val="0052482C"/>
    <w:rsid w:val="00524903"/>
    <w:rsid w:val="00524969"/>
    <w:rsid w:val="005249DA"/>
    <w:rsid w:val="00524A01"/>
    <w:rsid w:val="00524A30"/>
    <w:rsid w:val="00524A6D"/>
    <w:rsid w:val="00524B19"/>
    <w:rsid w:val="00524B5E"/>
    <w:rsid w:val="00524B9C"/>
    <w:rsid w:val="00524BE9"/>
    <w:rsid w:val="00524C91"/>
    <w:rsid w:val="00524CE7"/>
    <w:rsid w:val="00524D04"/>
    <w:rsid w:val="00524D09"/>
    <w:rsid w:val="00524D0E"/>
    <w:rsid w:val="00524DF9"/>
    <w:rsid w:val="00524E15"/>
    <w:rsid w:val="00524E44"/>
    <w:rsid w:val="00524EA1"/>
    <w:rsid w:val="00524F33"/>
    <w:rsid w:val="00524F62"/>
    <w:rsid w:val="00524FBF"/>
    <w:rsid w:val="00524FC2"/>
    <w:rsid w:val="00524FCE"/>
    <w:rsid w:val="0052500A"/>
    <w:rsid w:val="00525037"/>
    <w:rsid w:val="00525046"/>
    <w:rsid w:val="00525084"/>
    <w:rsid w:val="0052512C"/>
    <w:rsid w:val="00525188"/>
    <w:rsid w:val="005252DC"/>
    <w:rsid w:val="0052531B"/>
    <w:rsid w:val="0052540F"/>
    <w:rsid w:val="0052542F"/>
    <w:rsid w:val="00525493"/>
    <w:rsid w:val="005254F0"/>
    <w:rsid w:val="0052551F"/>
    <w:rsid w:val="005255F9"/>
    <w:rsid w:val="00525620"/>
    <w:rsid w:val="005256AB"/>
    <w:rsid w:val="005256CC"/>
    <w:rsid w:val="00525739"/>
    <w:rsid w:val="00525780"/>
    <w:rsid w:val="00525892"/>
    <w:rsid w:val="005258C0"/>
    <w:rsid w:val="0052591D"/>
    <w:rsid w:val="00525950"/>
    <w:rsid w:val="00525B15"/>
    <w:rsid w:val="00525B39"/>
    <w:rsid w:val="00525B6B"/>
    <w:rsid w:val="00525BFC"/>
    <w:rsid w:val="00525C83"/>
    <w:rsid w:val="00525C9D"/>
    <w:rsid w:val="00525DB3"/>
    <w:rsid w:val="00525E3B"/>
    <w:rsid w:val="00525F60"/>
    <w:rsid w:val="00526027"/>
    <w:rsid w:val="00526094"/>
    <w:rsid w:val="00526122"/>
    <w:rsid w:val="00526162"/>
    <w:rsid w:val="0052616D"/>
    <w:rsid w:val="0052621A"/>
    <w:rsid w:val="00526374"/>
    <w:rsid w:val="005263EA"/>
    <w:rsid w:val="0052640F"/>
    <w:rsid w:val="00526572"/>
    <w:rsid w:val="00526604"/>
    <w:rsid w:val="00526720"/>
    <w:rsid w:val="00526810"/>
    <w:rsid w:val="00526811"/>
    <w:rsid w:val="005268C8"/>
    <w:rsid w:val="005268F5"/>
    <w:rsid w:val="005269AA"/>
    <w:rsid w:val="00526A24"/>
    <w:rsid w:val="00526A7C"/>
    <w:rsid w:val="00526AD6"/>
    <w:rsid w:val="00526B03"/>
    <w:rsid w:val="00526B18"/>
    <w:rsid w:val="00526D64"/>
    <w:rsid w:val="00526E19"/>
    <w:rsid w:val="00526E4D"/>
    <w:rsid w:val="00526EC1"/>
    <w:rsid w:val="00526F2F"/>
    <w:rsid w:val="00526F33"/>
    <w:rsid w:val="00526F55"/>
    <w:rsid w:val="00526F74"/>
    <w:rsid w:val="00526F7D"/>
    <w:rsid w:val="005270B7"/>
    <w:rsid w:val="005270EB"/>
    <w:rsid w:val="005272F1"/>
    <w:rsid w:val="0052733B"/>
    <w:rsid w:val="00527364"/>
    <w:rsid w:val="00527409"/>
    <w:rsid w:val="005274F1"/>
    <w:rsid w:val="00527552"/>
    <w:rsid w:val="005275BC"/>
    <w:rsid w:val="005275CF"/>
    <w:rsid w:val="005275EC"/>
    <w:rsid w:val="00527648"/>
    <w:rsid w:val="00527759"/>
    <w:rsid w:val="005277B1"/>
    <w:rsid w:val="005277EF"/>
    <w:rsid w:val="005277FB"/>
    <w:rsid w:val="0052780D"/>
    <w:rsid w:val="00527847"/>
    <w:rsid w:val="005278E3"/>
    <w:rsid w:val="0052798E"/>
    <w:rsid w:val="005279F4"/>
    <w:rsid w:val="00527B70"/>
    <w:rsid w:val="00527BFC"/>
    <w:rsid w:val="00527DC2"/>
    <w:rsid w:val="005300AB"/>
    <w:rsid w:val="005300BF"/>
    <w:rsid w:val="005300C6"/>
    <w:rsid w:val="0053020B"/>
    <w:rsid w:val="005302C6"/>
    <w:rsid w:val="0053048E"/>
    <w:rsid w:val="005304C9"/>
    <w:rsid w:val="005304EB"/>
    <w:rsid w:val="00530547"/>
    <w:rsid w:val="00530630"/>
    <w:rsid w:val="005306A3"/>
    <w:rsid w:val="005306FF"/>
    <w:rsid w:val="00530874"/>
    <w:rsid w:val="005308D4"/>
    <w:rsid w:val="005308E6"/>
    <w:rsid w:val="0053093D"/>
    <w:rsid w:val="00530A0F"/>
    <w:rsid w:val="00530B03"/>
    <w:rsid w:val="00530B46"/>
    <w:rsid w:val="00530B8E"/>
    <w:rsid w:val="00530BA8"/>
    <w:rsid w:val="00530CD4"/>
    <w:rsid w:val="00530CE7"/>
    <w:rsid w:val="00530D02"/>
    <w:rsid w:val="00530D3C"/>
    <w:rsid w:val="00530E1C"/>
    <w:rsid w:val="00530E2A"/>
    <w:rsid w:val="00530E31"/>
    <w:rsid w:val="00530EEF"/>
    <w:rsid w:val="00530F50"/>
    <w:rsid w:val="00530F67"/>
    <w:rsid w:val="00530FF6"/>
    <w:rsid w:val="00531034"/>
    <w:rsid w:val="00531256"/>
    <w:rsid w:val="005312AA"/>
    <w:rsid w:val="005312BE"/>
    <w:rsid w:val="00531387"/>
    <w:rsid w:val="0053145A"/>
    <w:rsid w:val="005314A8"/>
    <w:rsid w:val="005314AF"/>
    <w:rsid w:val="005315BF"/>
    <w:rsid w:val="005315C5"/>
    <w:rsid w:val="00531618"/>
    <w:rsid w:val="00531683"/>
    <w:rsid w:val="00531771"/>
    <w:rsid w:val="005317E5"/>
    <w:rsid w:val="00531806"/>
    <w:rsid w:val="0053180A"/>
    <w:rsid w:val="005318DC"/>
    <w:rsid w:val="005318F4"/>
    <w:rsid w:val="0053199F"/>
    <w:rsid w:val="00531A11"/>
    <w:rsid w:val="00531A44"/>
    <w:rsid w:val="00531AB5"/>
    <w:rsid w:val="00531B7B"/>
    <w:rsid w:val="00531B85"/>
    <w:rsid w:val="00531BF9"/>
    <w:rsid w:val="00531D0A"/>
    <w:rsid w:val="00531D9A"/>
    <w:rsid w:val="00531DCB"/>
    <w:rsid w:val="00531FF6"/>
    <w:rsid w:val="0053200B"/>
    <w:rsid w:val="0053203D"/>
    <w:rsid w:val="00532145"/>
    <w:rsid w:val="0053219C"/>
    <w:rsid w:val="00532269"/>
    <w:rsid w:val="0053226B"/>
    <w:rsid w:val="0053226E"/>
    <w:rsid w:val="0053235E"/>
    <w:rsid w:val="00532384"/>
    <w:rsid w:val="0053245E"/>
    <w:rsid w:val="005324F9"/>
    <w:rsid w:val="00532543"/>
    <w:rsid w:val="00532547"/>
    <w:rsid w:val="00532628"/>
    <w:rsid w:val="0053275C"/>
    <w:rsid w:val="005327A9"/>
    <w:rsid w:val="005327F7"/>
    <w:rsid w:val="0053280E"/>
    <w:rsid w:val="00532A2B"/>
    <w:rsid w:val="00532AD0"/>
    <w:rsid w:val="00532B04"/>
    <w:rsid w:val="00532B27"/>
    <w:rsid w:val="00532BF6"/>
    <w:rsid w:val="00532C20"/>
    <w:rsid w:val="00532DBD"/>
    <w:rsid w:val="00532E89"/>
    <w:rsid w:val="00532ED5"/>
    <w:rsid w:val="00532EE0"/>
    <w:rsid w:val="00532FC4"/>
    <w:rsid w:val="00532FCA"/>
    <w:rsid w:val="00532FCD"/>
    <w:rsid w:val="0053300B"/>
    <w:rsid w:val="005330ED"/>
    <w:rsid w:val="0053313A"/>
    <w:rsid w:val="0053316F"/>
    <w:rsid w:val="005331A3"/>
    <w:rsid w:val="005331B7"/>
    <w:rsid w:val="005331E5"/>
    <w:rsid w:val="0053320E"/>
    <w:rsid w:val="00533235"/>
    <w:rsid w:val="00533296"/>
    <w:rsid w:val="005332C5"/>
    <w:rsid w:val="005332D9"/>
    <w:rsid w:val="00533353"/>
    <w:rsid w:val="00533405"/>
    <w:rsid w:val="005336A2"/>
    <w:rsid w:val="00533741"/>
    <w:rsid w:val="005337F9"/>
    <w:rsid w:val="00533862"/>
    <w:rsid w:val="00533A42"/>
    <w:rsid w:val="00533A65"/>
    <w:rsid w:val="00533B28"/>
    <w:rsid w:val="00533B38"/>
    <w:rsid w:val="00533B91"/>
    <w:rsid w:val="00533BB7"/>
    <w:rsid w:val="00533C32"/>
    <w:rsid w:val="00533C7F"/>
    <w:rsid w:val="00533CBD"/>
    <w:rsid w:val="00533D32"/>
    <w:rsid w:val="00533D4D"/>
    <w:rsid w:val="00533D5E"/>
    <w:rsid w:val="00533D80"/>
    <w:rsid w:val="00533E15"/>
    <w:rsid w:val="00533EC7"/>
    <w:rsid w:val="00533FAA"/>
    <w:rsid w:val="00534003"/>
    <w:rsid w:val="00534117"/>
    <w:rsid w:val="00534160"/>
    <w:rsid w:val="005342AB"/>
    <w:rsid w:val="00534333"/>
    <w:rsid w:val="0053449A"/>
    <w:rsid w:val="005344EA"/>
    <w:rsid w:val="00534526"/>
    <w:rsid w:val="0053458F"/>
    <w:rsid w:val="00534616"/>
    <w:rsid w:val="0053463D"/>
    <w:rsid w:val="005346B4"/>
    <w:rsid w:val="005346C8"/>
    <w:rsid w:val="005346E5"/>
    <w:rsid w:val="00534748"/>
    <w:rsid w:val="005347AC"/>
    <w:rsid w:val="00534862"/>
    <w:rsid w:val="00534906"/>
    <w:rsid w:val="0053495F"/>
    <w:rsid w:val="00534996"/>
    <w:rsid w:val="00534A5D"/>
    <w:rsid w:val="00534B85"/>
    <w:rsid w:val="00534BA9"/>
    <w:rsid w:val="00534BEE"/>
    <w:rsid w:val="00534CA1"/>
    <w:rsid w:val="00534CD3"/>
    <w:rsid w:val="00534E8F"/>
    <w:rsid w:val="00534E92"/>
    <w:rsid w:val="00534F17"/>
    <w:rsid w:val="00534FD3"/>
    <w:rsid w:val="00534FED"/>
    <w:rsid w:val="00535004"/>
    <w:rsid w:val="0053506C"/>
    <w:rsid w:val="005351EC"/>
    <w:rsid w:val="005352F5"/>
    <w:rsid w:val="0053556D"/>
    <w:rsid w:val="005355D8"/>
    <w:rsid w:val="00535608"/>
    <w:rsid w:val="0053561F"/>
    <w:rsid w:val="00535694"/>
    <w:rsid w:val="00535725"/>
    <w:rsid w:val="0053585D"/>
    <w:rsid w:val="005359D1"/>
    <w:rsid w:val="00535B3A"/>
    <w:rsid w:val="00535BAE"/>
    <w:rsid w:val="00535C42"/>
    <w:rsid w:val="00535C5A"/>
    <w:rsid w:val="00535C63"/>
    <w:rsid w:val="00535DD4"/>
    <w:rsid w:val="00535E6C"/>
    <w:rsid w:val="00535E78"/>
    <w:rsid w:val="00535F28"/>
    <w:rsid w:val="00535F75"/>
    <w:rsid w:val="00535F9D"/>
    <w:rsid w:val="00536039"/>
    <w:rsid w:val="00536367"/>
    <w:rsid w:val="00536561"/>
    <w:rsid w:val="0053656D"/>
    <w:rsid w:val="005366C8"/>
    <w:rsid w:val="00536708"/>
    <w:rsid w:val="00536743"/>
    <w:rsid w:val="005368EC"/>
    <w:rsid w:val="00536900"/>
    <w:rsid w:val="005369DB"/>
    <w:rsid w:val="00536A56"/>
    <w:rsid w:val="00536B18"/>
    <w:rsid w:val="00536BC4"/>
    <w:rsid w:val="00536BD6"/>
    <w:rsid w:val="00536C8E"/>
    <w:rsid w:val="00536CA9"/>
    <w:rsid w:val="00536D60"/>
    <w:rsid w:val="00536DB8"/>
    <w:rsid w:val="00536E0C"/>
    <w:rsid w:val="00536E90"/>
    <w:rsid w:val="00536F55"/>
    <w:rsid w:val="0053701E"/>
    <w:rsid w:val="00537046"/>
    <w:rsid w:val="00537063"/>
    <w:rsid w:val="005370D0"/>
    <w:rsid w:val="00537168"/>
    <w:rsid w:val="0053716F"/>
    <w:rsid w:val="0053722B"/>
    <w:rsid w:val="0053726A"/>
    <w:rsid w:val="00537315"/>
    <w:rsid w:val="0053740F"/>
    <w:rsid w:val="00537436"/>
    <w:rsid w:val="0053743A"/>
    <w:rsid w:val="00537501"/>
    <w:rsid w:val="0053759E"/>
    <w:rsid w:val="005375D7"/>
    <w:rsid w:val="005375EA"/>
    <w:rsid w:val="005376A0"/>
    <w:rsid w:val="005376EE"/>
    <w:rsid w:val="00537782"/>
    <w:rsid w:val="00537798"/>
    <w:rsid w:val="005378B1"/>
    <w:rsid w:val="00537920"/>
    <w:rsid w:val="00537975"/>
    <w:rsid w:val="00537A98"/>
    <w:rsid w:val="00537B6B"/>
    <w:rsid w:val="00537BD3"/>
    <w:rsid w:val="00537BE4"/>
    <w:rsid w:val="00537BEE"/>
    <w:rsid w:val="00537C9F"/>
    <w:rsid w:val="00537D79"/>
    <w:rsid w:val="00537D80"/>
    <w:rsid w:val="00537DA7"/>
    <w:rsid w:val="00537DE4"/>
    <w:rsid w:val="00537E1D"/>
    <w:rsid w:val="00537E4E"/>
    <w:rsid w:val="00537E60"/>
    <w:rsid w:val="00537EC6"/>
    <w:rsid w:val="00537F68"/>
    <w:rsid w:val="00537FE7"/>
    <w:rsid w:val="0054005E"/>
    <w:rsid w:val="00540089"/>
    <w:rsid w:val="005400AB"/>
    <w:rsid w:val="0054010A"/>
    <w:rsid w:val="0054011B"/>
    <w:rsid w:val="005401B2"/>
    <w:rsid w:val="005401B5"/>
    <w:rsid w:val="005401D6"/>
    <w:rsid w:val="00540280"/>
    <w:rsid w:val="0054038F"/>
    <w:rsid w:val="00540622"/>
    <w:rsid w:val="0054065B"/>
    <w:rsid w:val="0054070C"/>
    <w:rsid w:val="00540742"/>
    <w:rsid w:val="00540800"/>
    <w:rsid w:val="005408E7"/>
    <w:rsid w:val="005408FF"/>
    <w:rsid w:val="00540981"/>
    <w:rsid w:val="005409AB"/>
    <w:rsid w:val="00540B2D"/>
    <w:rsid w:val="00540B5A"/>
    <w:rsid w:val="00540BDA"/>
    <w:rsid w:val="00540CBF"/>
    <w:rsid w:val="00540D2A"/>
    <w:rsid w:val="00540E85"/>
    <w:rsid w:val="00540EEC"/>
    <w:rsid w:val="00540F5E"/>
    <w:rsid w:val="00540FCB"/>
    <w:rsid w:val="00541007"/>
    <w:rsid w:val="0054104F"/>
    <w:rsid w:val="00541061"/>
    <w:rsid w:val="005411B3"/>
    <w:rsid w:val="005411C2"/>
    <w:rsid w:val="00541224"/>
    <w:rsid w:val="005413FD"/>
    <w:rsid w:val="005414B2"/>
    <w:rsid w:val="005414DB"/>
    <w:rsid w:val="00541514"/>
    <w:rsid w:val="00541534"/>
    <w:rsid w:val="0054155C"/>
    <w:rsid w:val="00541690"/>
    <w:rsid w:val="00541986"/>
    <w:rsid w:val="005419E5"/>
    <w:rsid w:val="00541A3B"/>
    <w:rsid w:val="00541A5E"/>
    <w:rsid w:val="00541B6B"/>
    <w:rsid w:val="00541B70"/>
    <w:rsid w:val="00541D26"/>
    <w:rsid w:val="00541D8B"/>
    <w:rsid w:val="00541DB7"/>
    <w:rsid w:val="00541E08"/>
    <w:rsid w:val="00541FE3"/>
    <w:rsid w:val="005420B0"/>
    <w:rsid w:val="0054210D"/>
    <w:rsid w:val="00542112"/>
    <w:rsid w:val="00542374"/>
    <w:rsid w:val="00542384"/>
    <w:rsid w:val="005424A5"/>
    <w:rsid w:val="005425B7"/>
    <w:rsid w:val="00542680"/>
    <w:rsid w:val="0054273A"/>
    <w:rsid w:val="00542770"/>
    <w:rsid w:val="00542793"/>
    <w:rsid w:val="00542855"/>
    <w:rsid w:val="0054288C"/>
    <w:rsid w:val="00542A7A"/>
    <w:rsid w:val="00542A7E"/>
    <w:rsid w:val="00542A8E"/>
    <w:rsid w:val="00542A92"/>
    <w:rsid w:val="00542AB5"/>
    <w:rsid w:val="00542BA0"/>
    <w:rsid w:val="00542BF3"/>
    <w:rsid w:val="00542C54"/>
    <w:rsid w:val="00542CAF"/>
    <w:rsid w:val="00542D17"/>
    <w:rsid w:val="00542F95"/>
    <w:rsid w:val="00542FBF"/>
    <w:rsid w:val="00543053"/>
    <w:rsid w:val="00543068"/>
    <w:rsid w:val="005430F5"/>
    <w:rsid w:val="005432A7"/>
    <w:rsid w:val="005432FE"/>
    <w:rsid w:val="00543327"/>
    <w:rsid w:val="0054335F"/>
    <w:rsid w:val="005435F5"/>
    <w:rsid w:val="005436C1"/>
    <w:rsid w:val="0054375E"/>
    <w:rsid w:val="005437B0"/>
    <w:rsid w:val="0054388D"/>
    <w:rsid w:val="005438A6"/>
    <w:rsid w:val="005438F4"/>
    <w:rsid w:val="005439FC"/>
    <w:rsid w:val="00543A69"/>
    <w:rsid w:val="00543BCB"/>
    <w:rsid w:val="00543C64"/>
    <w:rsid w:val="00543DDD"/>
    <w:rsid w:val="00543DE4"/>
    <w:rsid w:val="00543E8B"/>
    <w:rsid w:val="00543F43"/>
    <w:rsid w:val="00543FD3"/>
    <w:rsid w:val="005440E7"/>
    <w:rsid w:val="00544123"/>
    <w:rsid w:val="00544174"/>
    <w:rsid w:val="005441AD"/>
    <w:rsid w:val="005441AF"/>
    <w:rsid w:val="005441F4"/>
    <w:rsid w:val="0054420B"/>
    <w:rsid w:val="0054442C"/>
    <w:rsid w:val="00544444"/>
    <w:rsid w:val="005445EF"/>
    <w:rsid w:val="0054463E"/>
    <w:rsid w:val="005447BB"/>
    <w:rsid w:val="005447D1"/>
    <w:rsid w:val="00544849"/>
    <w:rsid w:val="005448B0"/>
    <w:rsid w:val="00544929"/>
    <w:rsid w:val="00544948"/>
    <w:rsid w:val="005449F5"/>
    <w:rsid w:val="00544A4A"/>
    <w:rsid w:val="00544B79"/>
    <w:rsid w:val="00544B8E"/>
    <w:rsid w:val="00544B97"/>
    <w:rsid w:val="00544BE5"/>
    <w:rsid w:val="00544C02"/>
    <w:rsid w:val="00544D2E"/>
    <w:rsid w:val="00544DF6"/>
    <w:rsid w:val="00544E1C"/>
    <w:rsid w:val="00544F73"/>
    <w:rsid w:val="00545011"/>
    <w:rsid w:val="00545071"/>
    <w:rsid w:val="00545097"/>
    <w:rsid w:val="00545107"/>
    <w:rsid w:val="00545379"/>
    <w:rsid w:val="005454D0"/>
    <w:rsid w:val="00545514"/>
    <w:rsid w:val="005455A3"/>
    <w:rsid w:val="005456FA"/>
    <w:rsid w:val="00545720"/>
    <w:rsid w:val="00545903"/>
    <w:rsid w:val="0054598A"/>
    <w:rsid w:val="005459B4"/>
    <w:rsid w:val="00545C3A"/>
    <w:rsid w:val="00545C46"/>
    <w:rsid w:val="00545C56"/>
    <w:rsid w:val="00545C90"/>
    <w:rsid w:val="00545C9F"/>
    <w:rsid w:val="00545CCA"/>
    <w:rsid w:val="00545CD1"/>
    <w:rsid w:val="00545D22"/>
    <w:rsid w:val="00545D26"/>
    <w:rsid w:val="00545D3A"/>
    <w:rsid w:val="00546048"/>
    <w:rsid w:val="005460ED"/>
    <w:rsid w:val="00546108"/>
    <w:rsid w:val="005461E2"/>
    <w:rsid w:val="005462C3"/>
    <w:rsid w:val="00546350"/>
    <w:rsid w:val="00546392"/>
    <w:rsid w:val="0054642E"/>
    <w:rsid w:val="00546490"/>
    <w:rsid w:val="005464A1"/>
    <w:rsid w:val="00546510"/>
    <w:rsid w:val="00546564"/>
    <w:rsid w:val="00546576"/>
    <w:rsid w:val="00546616"/>
    <w:rsid w:val="00546650"/>
    <w:rsid w:val="0054667B"/>
    <w:rsid w:val="00546683"/>
    <w:rsid w:val="005466D0"/>
    <w:rsid w:val="005466E2"/>
    <w:rsid w:val="00546745"/>
    <w:rsid w:val="00546853"/>
    <w:rsid w:val="00546897"/>
    <w:rsid w:val="005468BB"/>
    <w:rsid w:val="005469DC"/>
    <w:rsid w:val="00546A31"/>
    <w:rsid w:val="00546A65"/>
    <w:rsid w:val="00546BC3"/>
    <w:rsid w:val="00546BEC"/>
    <w:rsid w:val="00546D11"/>
    <w:rsid w:val="00546D61"/>
    <w:rsid w:val="00546DAA"/>
    <w:rsid w:val="00546DD8"/>
    <w:rsid w:val="005470E1"/>
    <w:rsid w:val="005470F3"/>
    <w:rsid w:val="0054714B"/>
    <w:rsid w:val="0054728E"/>
    <w:rsid w:val="0054744C"/>
    <w:rsid w:val="005474E0"/>
    <w:rsid w:val="00547517"/>
    <w:rsid w:val="005475B0"/>
    <w:rsid w:val="00547780"/>
    <w:rsid w:val="00547934"/>
    <w:rsid w:val="005479D1"/>
    <w:rsid w:val="00547A21"/>
    <w:rsid w:val="00547B39"/>
    <w:rsid w:val="00547BF2"/>
    <w:rsid w:val="00547CA3"/>
    <w:rsid w:val="00547DBC"/>
    <w:rsid w:val="00547DFF"/>
    <w:rsid w:val="00547E2E"/>
    <w:rsid w:val="00547E55"/>
    <w:rsid w:val="005500E6"/>
    <w:rsid w:val="0055038F"/>
    <w:rsid w:val="005503D1"/>
    <w:rsid w:val="005503E7"/>
    <w:rsid w:val="005504C9"/>
    <w:rsid w:val="0055052C"/>
    <w:rsid w:val="0055075A"/>
    <w:rsid w:val="005507A2"/>
    <w:rsid w:val="005507D8"/>
    <w:rsid w:val="005508AF"/>
    <w:rsid w:val="005508F1"/>
    <w:rsid w:val="00550934"/>
    <w:rsid w:val="005509A4"/>
    <w:rsid w:val="005509B9"/>
    <w:rsid w:val="005509C6"/>
    <w:rsid w:val="00550A1B"/>
    <w:rsid w:val="00550A48"/>
    <w:rsid w:val="00550A97"/>
    <w:rsid w:val="00550AF1"/>
    <w:rsid w:val="00550B0A"/>
    <w:rsid w:val="00550C28"/>
    <w:rsid w:val="00550C3E"/>
    <w:rsid w:val="00550E05"/>
    <w:rsid w:val="00550E9D"/>
    <w:rsid w:val="00550EA8"/>
    <w:rsid w:val="00550ECB"/>
    <w:rsid w:val="00551021"/>
    <w:rsid w:val="00551052"/>
    <w:rsid w:val="00551053"/>
    <w:rsid w:val="0055107A"/>
    <w:rsid w:val="00551099"/>
    <w:rsid w:val="005510BB"/>
    <w:rsid w:val="00551188"/>
    <w:rsid w:val="0055131F"/>
    <w:rsid w:val="00551391"/>
    <w:rsid w:val="005513EB"/>
    <w:rsid w:val="00551447"/>
    <w:rsid w:val="0055148B"/>
    <w:rsid w:val="005514A0"/>
    <w:rsid w:val="0055155D"/>
    <w:rsid w:val="005515A8"/>
    <w:rsid w:val="0055164B"/>
    <w:rsid w:val="0055165B"/>
    <w:rsid w:val="005516C6"/>
    <w:rsid w:val="005516FE"/>
    <w:rsid w:val="00551705"/>
    <w:rsid w:val="00551769"/>
    <w:rsid w:val="0055184C"/>
    <w:rsid w:val="00551890"/>
    <w:rsid w:val="005518E2"/>
    <w:rsid w:val="0055192A"/>
    <w:rsid w:val="00551A5A"/>
    <w:rsid w:val="00551ABA"/>
    <w:rsid w:val="00551B59"/>
    <w:rsid w:val="00551B8E"/>
    <w:rsid w:val="00551BA2"/>
    <w:rsid w:val="00551C63"/>
    <w:rsid w:val="00551DCA"/>
    <w:rsid w:val="00551EBB"/>
    <w:rsid w:val="00551F8C"/>
    <w:rsid w:val="0055211E"/>
    <w:rsid w:val="0055221F"/>
    <w:rsid w:val="005522C4"/>
    <w:rsid w:val="0055234C"/>
    <w:rsid w:val="0055235E"/>
    <w:rsid w:val="00552444"/>
    <w:rsid w:val="00552508"/>
    <w:rsid w:val="00552604"/>
    <w:rsid w:val="005526B2"/>
    <w:rsid w:val="00552911"/>
    <w:rsid w:val="00552935"/>
    <w:rsid w:val="00552937"/>
    <w:rsid w:val="00552960"/>
    <w:rsid w:val="00552A6F"/>
    <w:rsid w:val="00552B20"/>
    <w:rsid w:val="00552B83"/>
    <w:rsid w:val="00552C6B"/>
    <w:rsid w:val="00552DCC"/>
    <w:rsid w:val="00552DFB"/>
    <w:rsid w:val="00552E15"/>
    <w:rsid w:val="00552E3B"/>
    <w:rsid w:val="00552E7E"/>
    <w:rsid w:val="00552F00"/>
    <w:rsid w:val="00552F41"/>
    <w:rsid w:val="00552F47"/>
    <w:rsid w:val="00552FD0"/>
    <w:rsid w:val="005531B1"/>
    <w:rsid w:val="0055329F"/>
    <w:rsid w:val="00553502"/>
    <w:rsid w:val="0055350B"/>
    <w:rsid w:val="00553530"/>
    <w:rsid w:val="0055364C"/>
    <w:rsid w:val="0055375D"/>
    <w:rsid w:val="005537E4"/>
    <w:rsid w:val="005538D9"/>
    <w:rsid w:val="0055398E"/>
    <w:rsid w:val="005539B2"/>
    <w:rsid w:val="005539C2"/>
    <w:rsid w:val="005539E1"/>
    <w:rsid w:val="00553A07"/>
    <w:rsid w:val="00553C32"/>
    <w:rsid w:val="00553C47"/>
    <w:rsid w:val="00553C4D"/>
    <w:rsid w:val="00553C64"/>
    <w:rsid w:val="00553CA1"/>
    <w:rsid w:val="00553CBF"/>
    <w:rsid w:val="00553CD4"/>
    <w:rsid w:val="00553DF8"/>
    <w:rsid w:val="00553EBE"/>
    <w:rsid w:val="00553F2F"/>
    <w:rsid w:val="00553F77"/>
    <w:rsid w:val="00553FBD"/>
    <w:rsid w:val="005540C8"/>
    <w:rsid w:val="005540CC"/>
    <w:rsid w:val="00554119"/>
    <w:rsid w:val="00554121"/>
    <w:rsid w:val="0055412A"/>
    <w:rsid w:val="0055417F"/>
    <w:rsid w:val="005542A3"/>
    <w:rsid w:val="0055439B"/>
    <w:rsid w:val="00554407"/>
    <w:rsid w:val="00554413"/>
    <w:rsid w:val="005544B7"/>
    <w:rsid w:val="005544F0"/>
    <w:rsid w:val="0055459B"/>
    <w:rsid w:val="0055468B"/>
    <w:rsid w:val="005547DF"/>
    <w:rsid w:val="0055485A"/>
    <w:rsid w:val="0055486C"/>
    <w:rsid w:val="0055498C"/>
    <w:rsid w:val="005549A7"/>
    <w:rsid w:val="005549C2"/>
    <w:rsid w:val="005549C7"/>
    <w:rsid w:val="00554A03"/>
    <w:rsid w:val="00554A1D"/>
    <w:rsid w:val="00554B68"/>
    <w:rsid w:val="00554C10"/>
    <w:rsid w:val="00554C58"/>
    <w:rsid w:val="00554C5C"/>
    <w:rsid w:val="00554CA2"/>
    <w:rsid w:val="00554CA3"/>
    <w:rsid w:val="00554DB1"/>
    <w:rsid w:val="00554ED3"/>
    <w:rsid w:val="00554EE2"/>
    <w:rsid w:val="00554F75"/>
    <w:rsid w:val="00554FA6"/>
    <w:rsid w:val="00555055"/>
    <w:rsid w:val="005551C7"/>
    <w:rsid w:val="0055520C"/>
    <w:rsid w:val="005552FD"/>
    <w:rsid w:val="005553D7"/>
    <w:rsid w:val="005554BD"/>
    <w:rsid w:val="005554E5"/>
    <w:rsid w:val="00555579"/>
    <w:rsid w:val="0055557A"/>
    <w:rsid w:val="00555688"/>
    <w:rsid w:val="00555762"/>
    <w:rsid w:val="00555786"/>
    <w:rsid w:val="00555792"/>
    <w:rsid w:val="005557C1"/>
    <w:rsid w:val="0055590E"/>
    <w:rsid w:val="00555961"/>
    <w:rsid w:val="00555992"/>
    <w:rsid w:val="00555A73"/>
    <w:rsid w:val="00555AEC"/>
    <w:rsid w:val="00555B51"/>
    <w:rsid w:val="00555BEE"/>
    <w:rsid w:val="00555D5C"/>
    <w:rsid w:val="00555D64"/>
    <w:rsid w:val="00555D99"/>
    <w:rsid w:val="00555DF0"/>
    <w:rsid w:val="00555E0D"/>
    <w:rsid w:val="00555EA3"/>
    <w:rsid w:val="00555F2B"/>
    <w:rsid w:val="0055600A"/>
    <w:rsid w:val="0055601E"/>
    <w:rsid w:val="0055607C"/>
    <w:rsid w:val="005561BA"/>
    <w:rsid w:val="0055620F"/>
    <w:rsid w:val="005562DD"/>
    <w:rsid w:val="005562F0"/>
    <w:rsid w:val="0055630A"/>
    <w:rsid w:val="00556455"/>
    <w:rsid w:val="0055654D"/>
    <w:rsid w:val="005565D5"/>
    <w:rsid w:val="0055663C"/>
    <w:rsid w:val="005566FB"/>
    <w:rsid w:val="005567F6"/>
    <w:rsid w:val="005567FD"/>
    <w:rsid w:val="0055686C"/>
    <w:rsid w:val="005568B0"/>
    <w:rsid w:val="005568C6"/>
    <w:rsid w:val="00556C98"/>
    <w:rsid w:val="00556CC2"/>
    <w:rsid w:val="00556D14"/>
    <w:rsid w:val="00556E9B"/>
    <w:rsid w:val="00556EDB"/>
    <w:rsid w:val="00556F07"/>
    <w:rsid w:val="00556F4D"/>
    <w:rsid w:val="0055709B"/>
    <w:rsid w:val="005572ED"/>
    <w:rsid w:val="00557348"/>
    <w:rsid w:val="00557455"/>
    <w:rsid w:val="00557554"/>
    <w:rsid w:val="005575F5"/>
    <w:rsid w:val="00557685"/>
    <w:rsid w:val="005576E7"/>
    <w:rsid w:val="005576E8"/>
    <w:rsid w:val="0055777D"/>
    <w:rsid w:val="005577BB"/>
    <w:rsid w:val="005577CB"/>
    <w:rsid w:val="00557810"/>
    <w:rsid w:val="0055784A"/>
    <w:rsid w:val="0055786A"/>
    <w:rsid w:val="005578BB"/>
    <w:rsid w:val="005578EC"/>
    <w:rsid w:val="0055794A"/>
    <w:rsid w:val="00557BCB"/>
    <w:rsid w:val="00557C17"/>
    <w:rsid w:val="00557C8F"/>
    <w:rsid w:val="00557C9B"/>
    <w:rsid w:val="00557CD8"/>
    <w:rsid w:val="00557CF0"/>
    <w:rsid w:val="00557D44"/>
    <w:rsid w:val="00557E4B"/>
    <w:rsid w:val="00557E7C"/>
    <w:rsid w:val="00557E96"/>
    <w:rsid w:val="00557EA7"/>
    <w:rsid w:val="00557F39"/>
    <w:rsid w:val="00557FCB"/>
    <w:rsid w:val="0056002C"/>
    <w:rsid w:val="005600BA"/>
    <w:rsid w:val="00560129"/>
    <w:rsid w:val="0056020D"/>
    <w:rsid w:val="00560273"/>
    <w:rsid w:val="005602B9"/>
    <w:rsid w:val="0056030F"/>
    <w:rsid w:val="0056034F"/>
    <w:rsid w:val="00560392"/>
    <w:rsid w:val="005605DF"/>
    <w:rsid w:val="00560733"/>
    <w:rsid w:val="00560739"/>
    <w:rsid w:val="00560782"/>
    <w:rsid w:val="005607AF"/>
    <w:rsid w:val="00560B6A"/>
    <w:rsid w:val="00560BD3"/>
    <w:rsid w:val="00560E94"/>
    <w:rsid w:val="00560EAA"/>
    <w:rsid w:val="00560EF8"/>
    <w:rsid w:val="00560F65"/>
    <w:rsid w:val="00560FB0"/>
    <w:rsid w:val="005610DC"/>
    <w:rsid w:val="0056110F"/>
    <w:rsid w:val="005611F6"/>
    <w:rsid w:val="00561319"/>
    <w:rsid w:val="00561327"/>
    <w:rsid w:val="0056136A"/>
    <w:rsid w:val="0056154C"/>
    <w:rsid w:val="00561558"/>
    <w:rsid w:val="0056166B"/>
    <w:rsid w:val="00561775"/>
    <w:rsid w:val="00561844"/>
    <w:rsid w:val="00561873"/>
    <w:rsid w:val="005618EE"/>
    <w:rsid w:val="00561984"/>
    <w:rsid w:val="00561986"/>
    <w:rsid w:val="005619D8"/>
    <w:rsid w:val="005619E8"/>
    <w:rsid w:val="00561A44"/>
    <w:rsid w:val="00561A7B"/>
    <w:rsid w:val="00561AEE"/>
    <w:rsid w:val="00561B1C"/>
    <w:rsid w:val="00561C04"/>
    <w:rsid w:val="00561CFB"/>
    <w:rsid w:val="00561D94"/>
    <w:rsid w:val="00561E71"/>
    <w:rsid w:val="00561EBB"/>
    <w:rsid w:val="00561FF3"/>
    <w:rsid w:val="0056202A"/>
    <w:rsid w:val="00562066"/>
    <w:rsid w:val="005621A1"/>
    <w:rsid w:val="005623D1"/>
    <w:rsid w:val="005623D8"/>
    <w:rsid w:val="00562474"/>
    <w:rsid w:val="005624C7"/>
    <w:rsid w:val="00562686"/>
    <w:rsid w:val="0056286A"/>
    <w:rsid w:val="00562905"/>
    <w:rsid w:val="0056290C"/>
    <w:rsid w:val="005629E5"/>
    <w:rsid w:val="00562ACE"/>
    <w:rsid w:val="00562B65"/>
    <w:rsid w:val="00562B8A"/>
    <w:rsid w:val="00562BFF"/>
    <w:rsid w:val="00562C42"/>
    <w:rsid w:val="00562C74"/>
    <w:rsid w:val="00562DEF"/>
    <w:rsid w:val="00562EE1"/>
    <w:rsid w:val="00562FBA"/>
    <w:rsid w:val="0056301E"/>
    <w:rsid w:val="00563021"/>
    <w:rsid w:val="0056304B"/>
    <w:rsid w:val="005630AA"/>
    <w:rsid w:val="00563212"/>
    <w:rsid w:val="005632D9"/>
    <w:rsid w:val="00563341"/>
    <w:rsid w:val="00563388"/>
    <w:rsid w:val="0056338C"/>
    <w:rsid w:val="005634B9"/>
    <w:rsid w:val="0056352E"/>
    <w:rsid w:val="005635CA"/>
    <w:rsid w:val="00563601"/>
    <w:rsid w:val="0056365F"/>
    <w:rsid w:val="0056366D"/>
    <w:rsid w:val="00563695"/>
    <w:rsid w:val="00563910"/>
    <w:rsid w:val="005639DF"/>
    <w:rsid w:val="00563A19"/>
    <w:rsid w:val="00563AFF"/>
    <w:rsid w:val="00563B6D"/>
    <w:rsid w:val="00563C12"/>
    <w:rsid w:val="00563CBD"/>
    <w:rsid w:val="00563D05"/>
    <w:rsid w:val="00563D79"/>
    <w:rsid w:val="00563EAE"/>
    <w:rsid w:val="00563F1F"/>
    <w:rsid w:val="00563F71"/>
    <w:rsid w:val="00563FAC"/>
    <w:rsid w:val="00563FF3"/>
    <w:rsid w:val="0056409F"/>
    <w:rsid w:val="00564139"/>
    <w:rsid w:val="0056440F"/>
    <w:rsid w:val="0056449B"/>
    <w:rsid w:val="005644A8"/>
    <w:rsid w:val="00564638"/>
    <w:rsid w:val="0056476A"/>
    <w:rsid w:val="00564782"/>
    <w:rsid w:val="0056482C"/>
    <w:rsid w:val="00564893"/>
    <w:rsid w:val="005649A0"/>
    <w:rsid w:val="005649B3"/>
    <w:rsid w:val="00564CA4"/>
    <w:rsid w:val="00564D51"/>
    <w:rsid w:val="00564DC4"/>
    <w:rsid w:val="00564E8A"/>
    <w:rsid w:val="00564F22"/>
    <w:rsid w:val="00564F49"/>
    <w:rsid w:val="00565039"/>
    <w:rsid w:val="0056509A"/>
    <w:rsid w:val="005650A2"/>
    <w:rsid w:val="005650DC"/>
    <w:rsid w:val="0056515F"/>
    <w:rsid w:val="005651E0"/>
    <w:rsid w:val="005651FF"/>
    <w:rsid w:val="00565250"/>
    <w:rsid w:val="005652F3"/>
    <w:rsid w:val="00565399"/>
    <w:rsid w:val="005653A4"/>
    <w:rsid w:val="005653FB"/>
    <w:rsid w:val="005654BB"/>
    <w:rsid w:val="00565533"/>
    <w:rsid w:val="00565618"/>
    <w:rsid w:val="005656BC"/>
    <w:rsid w:val="00565719"/>
    <w:rsid w:val="005657F7"/>
    <w:rsid w:val="0056582D"/>
    <w:rsid w:val="005658D2"/>
    <w:rsid w:val="00565957"/>
    <w:rsid w:val="00565980"/>
    <w:rsid w:val="005659FB"/>
    <w:rsid w:val="00565AD6"/>
    <w:rsid w:val="00565BBE"/>
    <w:rsid w:val="00565BBF"/>
    <w:rsid w:val="00565BFB"/>
    <w:rsid w:val="00565C03"/>
    <w:rsid w:val="00565D7C"/>
    <w:rsid w:val="00565E3B"/>
    <w:rsid w:val="00565E91"/>
    <w:rsid w:val="00565EB6"/>
    <w:rsid w:val="00565ECC"/>
    <w:rsid w:val="00565F4C"/>
    <w:rsid w:val="00565F82"/>
    <w:rsid w:val="00565FE4"/>
    <w:rsid w:val="00566020"/>
    <w:rsid w:val="00566043"/>
    <w:rsid w:val="0056609F"/>
    <w:rsid w:val="005660E8"/>
    <w:rsid w:val="00566167"/>
    <w:rsid w:val="005661BF"/>
    <w:rsid w:val="005661F3"/>
    <w:rsid w:val="0056624D"/>
    <w:rsid w:val="005662E5"/>
    <w:rsid w:val="005664B5"/>
    <w:rsid w:val="005664BE"/>
    <w:rsid w:val="00566514"/>
    <w:rsid w:val="0056657D"/>
    <w:rsid w:val="00566611"/>
    <w:rsid w:val="00566640"/>
    <w:rsid w:val="0056665C"/>
    <w:rsid w:val="0056687C"/>
    <w:rsid w:val="0056687E"/>
    <w:rsid w:val="00566A01"/>
    <w:rsid w:val="00566A50"/>
    <w:rsid w:val="00566BF1"/>
    <w:rsid w:val="00566C86"/>
    <w:rsid w:val="00566CD1"/>
    <w:rsid w:val="00566CEF"/>
    <w:rsid w:val="00566D42"/>
    <w:rsid w:val="00566E00"/>
    <w:rsid w:val="00566EA4"/>
    <w:rsid w:val="00566EE4"/>
    <w:rsid w:val="00567108"/>
    <w:rsid w:val="005671D8"/>
    <w:rsid w:val="005671E8"/>
    <w:rsid w:val="00567230"/>
    <w:rsid w:val="00567237"/>
    <w:rsid w:val="0056723A"/>
    <w:rsid w:val="00567308"/>
    <w:rsid w:val="0056734A"/>
    <w:rsid w:val="00567398"/>
    <w:rsid w:val="005673B7"/>
    <w:rsid w:val="0056744C"/>
    <w:rsid w:val="00567464"/>
    <w:rsid w:val="0056746A"/>
    <w:rsid w:val="00567521"/>
    <w:rsid w:val="00567598"/>
    <w:rsid w:val="00567671"/>
    <w:rsid w:val="005676A9"/>
    <w:rsid w:val="005676AF"/>
    <w:rsid w:val="005676C7"/>
    <w:rsid w:val="005676D4"/>
    <w:rsid w:val="0056774E"/>
    <w:rsid w:val="0056776E"/>
    <w:rsid w:val="0056785D"/>
    <w:rsid w:val="005679D9"/>
    <w:rsid w:val="00567A1F"/>
    <w:rsid w:val="00567B96"/>
    <w:rsid w:val="00567C49"/>
    <w:rsid w:val="00567CAD"/>
    <w:rsid w:val="00567D88"/>
    <w:rsid w:val="00567EE9"/>
    <w:rsid w:val="0057015B"/>
    <w:rsid w:val="005703B8"/>
    <w:rsid w:val="005704F5"/>
    <w:rsid w:val="00570561"/>
    <w:rsid w:val="005705B0"/>
    <w:rsid w:val="00570615"/>
    <w:rsid w:val="005706DA"/>
    <w:rsid w:val="005707D7"/>
    <w:rsid w:val="005707D8"/>
    <w:rsid w:val="005707E4"/>
    <w:rsid w:val="005709D0"/>
    <w:rsid w:val="00570A03"/>
    <w:rsid w:val="00570AA4"/>
    <w:rsid w:val="00570B50"/>
    <w:rsid w:val="00570B8D"/>
    <w:rsid w:val="00570BCA"/>
    <w:rsid w:val="00570CDB"/>
    <w:rsid w:val="00570D09"/>
    <w:rsid w:val="00570D1F"/>
    <w:rsid w:val="00570DF7"/>
    <w:rsid w:val="00570EA9"/>
    <w:rsid w:val="00570EB2"/>
    <w:rsid w:val="0057113F"/>
    <w:rsid w:val="005711D3"/>
    <w:rsid w:val="005711DC"/>
    <w:rsid w:val="005711E8"/>
    <w:rsid w:val="0057122F"/>
    <w:rsid w:val="0057129E"/>
    <w:rsid w:val="005712A9"/>
    <w:rsid w:val="00571318"/>
    <w:rsid w:val="00571333"/>
    <w:rsid w:val="005713AD"/>
    <w:rsid w:val="00571472"/>
    <w:rsid w:val="00571507"/>
    <w:rsid w:val="0057154E"/>
    <w:rsid w:val="0057157F"/>
    <w:rsid w:val="005715FA"/>
    <w:rsid w:val="00571615"/>
    <w:rsid w:val="0057172E"/>
    <w:rsid w:val="00571743"/>
    <w:rsid w:val="00571816"/>
    <w:rsid w:val="00571827"/>
    <w:rsid w:val="0057185A"/>
    <w:rsid w:val="00571904"/>
    <w:rsid w:val="00571921"/>
    <w:rsid w:val="005719D9"/>
    <w:rsid w:val="005719F8"/>
    <w:rsid w:val="005719FB"/>
    <w:rsid w:val="005719FD"/>
    <w:rsid w:val="00571A6E"/>
    <w:rsid w:val="00571B33"/>
    <w:rsid w:val="00571B74"/>
    <w:rsid w:val="00571BD7"/>
    <w:rsid w:val="00571BD9"/>
    <w:rsid w:val="00571D15"/>
    <w:rsid w:val="00571DA3"/>
    <w:rsid w:val="00571DCE"/>
    <w:rsid w:val="00571EA3"/>
    <w:rsid w:val="00571F13"/>
    <w:rsid w:val="0057204C"/>
    <w:rsid w:val="005720F9"/>
    <w:rsid w:val="005721C2"/>
    <w:rsid w:val="005722F8"/>
    <w:rsid w:val="0057239E"/>
    <w:rsid w:val="005723A7"/>
    <w:rsid w:val="00572470"/>
    <w:rsid w:val="00572660"/>
    <w:rsid w:val="0057266C"/>
    <w:rsid w:val="00572670"/>
    <w:rsid w:val="005726DD"/>
    <w:rsid w:val="00572784"/>
    <w:rsid w:val="005727A3"/>
    <w:rsid w:val="005727D4"/>
    <w:rsid w:val="0057290A"/>
    <w:rsid w:val="0057294F"/>
    <w:rsid w:val="00572B2C"/>
    <w:rsid w:val="00572BD2"/>
    <w:rsid w:val="00572C0A"/>
    <w:rsid w:val="00572CA8"/>
    <w:rsid w:val="00572CC1"/>
    <w:rsid w:val="00572E5C"/>
    <w:rsid w:val="00572F6B"/>
    <w:rsid w:val="00572FD9"/>
    <w:rsid w:val="00572FE3"/>
    <w:rsid w:val="0057304E"/>
    <w:rsid w:val="005730F8"/>
    <w:rsid w:val="00573105"/>
    <w:rsid w:val="0057320B"/>
    <w:rsid w:val="0057331D"/>
    <w:rsid w:val="00573326"/>
    <w:rsid w:val="00573383"/>
    <w:rsid w:val="0057347C"/>
    <w:rsid w:val="00573529"/>
    <w:rsid w:val="0057366B"/>
    <w:rsid w:val="00573782"/>
    <w:rsid w:val="00573823"/>
    <w:rsid w:val="005738F9"/>
    <w:rsid w:val="00573922"/>
    <w:rsid w:val="00573A2D"/>
    <w:rsid w:val="00573A64"/>
    <w:rsid w:val="00573A7A"/>
    <w:rsid w:val="00573B09"/>
    <w:rsid w:val="00573B1B"/>
    <w:rsid w:val="00573B54"/>
    <w:rsid w:val="00573B93"/>
    <w:rsid w:val="00573BCA"/>
    <w:rsid w:val="00573BFA"/>
    <w:rsid w:val="00573C0C"/>
    <w:rsid w:val="00573C1B"/>
    <w:rsid w:val="00573CE9"/>
    <w:rsid w:val="00573D15"/>
    <w:rsid w:val="00573D2B"/>
    <w:rsid w:val="00573D4A"/>
    <w:rsid w:val="00573D85"/>
    <w:rsid w:val="00573DD6"/>
    <w:rsid w:val="00573DE0"/>
    <w:rsid w:val="00573E5B"/>
    <w:rsid w:val="00573ED7"/>
    <w:rsid w:val="00573F8B"/>
    <w:rsid w:val="00573FB5"/>
    <w:rsid w:val="00574034"/>
    <w:rsid w:val="00574077"/>
    <w:rsid w:val="0057407A"/>
    <w:rsid w:val="0057408A"/>
    <w:rsid w:val="005741C9"/>
    <w:rsid w:val="00574215"/>
    <w:rsid w:val="00574255"/>
    <w:rsid w:val="0057425E"/>
    <w:rsid w:val="00574311"/>
    <w:rsid w:val="00574349"/>
    <w:rsid w:val="0057444A"/>
    <w:rsid w:val="005744BE"/>
    <w:rsid w:val="005744FE"/>
    <w:rsid w:val="00574556"/>
    <w:rsid w:val="005745E3"/>
    <w:rsid w:val="00574604"/>
    <w:rsid w:val="005748EF"/>
    <w:rsid w:val="00574924"/>
    <w:rsid w:val="00574983"/>
    <w:rsid w:val="00574A86"/>
    <w:rsid w:val="00574B18"/>
    <w:rsid w:val="00574C79"/>
    <w:rsid w:val="00574C97"/>
    <w:rsid w:val="00574CEC"/>
    <w:rsid w:val="00574ECB"/>
    <w:rsid w:val="00575030"/>
    <w:rsid w:val="0057506C"/>
    <w:rsid w:val="0057515A"/>
    <w:rsid w:val="0057518D"/>
    <w:rsid w:val="00575222"/>
    <w:rsid w:val="00575240"/>
    <w:rsid w:val="00575251"/>
    <w:rsid w:val="00575319"/>
    <w:rsid w:val="0057537E"/>
    <w:rsid w:val="005753C3"/>
    <w:rsid w:val="00575407"/>
    <w:rsid w:val="00575475"/>
    <w:rsid w:val="005754E0"/>
    <w:rsid w:val="0057561B"/>
    <w:rsid w:val="005756C0"/>
    <w:rsid w:val="005756FA"/>
    <w:rsid w:val="00575822"/>
    <w:rsid w:val="0057583B"/>
    <w:rsid w:val="00575970"/>
    <w:rsid w:val="00575980"/>
    <w:rsid w:val="00575A02"/>
    <w:rsid w:val="00575A9F"/>
    <w:rsid w:val="00575B32"/>
    <w:rsid w:val="00575CA7"/>
    <w:rsid w:val="00575D35"/>
    <w:rsid w:val="00575D65"/>
    <w:rsid w:val="00575EE3"/>
    <w:rsid w:val="00575F57"/>
    <w:rsid w:val="00575F75"/>
    <w:rsid w:val="005760DF"/>
    <w:rsid w:val="005761EB"/>
    <w:rsid w:val="0057629B"/>
    <w:rsid w:val="005762C1"/>
    <w:rsid w:val="005763EC"/>
    <w:rsid w:val="00576620"/>
    <w:rsid w:val="0057662F"/>
    <w:rsid w:val="00576672"/>
    <w:rsid w:val="005766F9"/>
    <w:rsid w:val="00576770"/>
    <w:rsid w:val="0057683B"/>
    <w:rsid w:val="005768C1"/>
    <w:rsid w:val="00576AFC"/>
    <w:rsid w:val="00576B0C"/>
    <w:rsid w:val="00576B21"/>
    <w:rsid w:val="00576B69"/>
    <w:rsid w:val="00576B75"/>
    <w:rsid w:val="00576B84"/>
    <w:rsid w:val="00576B86"/>
    <w:rsid w:val="00576C2D"/>
    <w:rsid w:val="00576C63"/>
    <w:rsid w:val="00576D76"/>
    <w:rsid w:val="00576F53"/>
    <w:rsid w:val="00576F90"/>
    <w:rsid w:val="0057708D"/>
    <w:rsid w:val="005770C5"/>
    <w:rsid w:val="0057711F"/>
    <w:rsid w:val="005771F5"/>
    <w:rsid w:val="00577219"/>
    <w:rsid w:val="005772B0"/>
    <w:rsid w:val="0057732B"/>
    <w:rsid w:val="0057734C"/>
    <w:rsid w:val="0057747F"/>
    <w:rsid w:val="005774F3"/>
    <w:rsid w:val="005776AB"/>
    <w:rsid w:val="005777D7"/>
    <w:rsid w:val="00577876"/>
    <w:rsid w:val="005779EF"/>
    <w:rsid w:val="00577ADF"/>
    <w:rsid w:val="00577B91"/>
    <w:rsid w:val="00577BDB"/>
    <w:rsid w:val="00577BF6"/>
    <w:rsid w:val="00577C42"/>
    <w:rsid w:val="00577C77"/>
    <w:rsid w:val="00577D3B"/>
    <w:rsid w:val="00577D42"/>
    <w:rsid w:val="00577E85"/>
    <w:rsid w:val="00577F47"/>
    <w:rsid w:val="00577F59"/>
    <w:rsid w:val="00580004"/>
    <w:rsid w:val="00580098"/>
    <w:rsid w:val="005800EB"/>
    <w:rsid w:val="0058013B"/>
    <w:rsid w:val="005801CA"/>
    <w:rsid w:val="005801F0"/>
    <w:rsid w:val="00580362"/>
    <w:rsid w:val="005803B2"/>
    <w:rsid w:val="005803D8"/>
    <w:rsid w:val="00580437"/>
    <w:rsid w:val="0058043B"/>
    <w:rsid w:val="0058043D"/>
    <w:rsid w:val="00580662"/>
    <w:rsid w:val="005807AE"/>
    <w:rsid w:val="0058089D"/>
    <w:rsid w:val="005809FB"/>
    <w:rsid w:val="00580AEF"/>
    <w:rsid w:val="00580B2F"/>
    <w:rsid w:val="00580B37"/>
    <w:rsid w:val="00580BB1"/>
    <w:rsid w:val="00580BF9"/>
    <w:rsid w:val="00580CD8"/>
    <w:rsid w:val="00580CF4"/>
    <w:rsid w:val="005810D9"/>
    <w:rsid w:val="005810E6"/>
    <w:rsid w:val="00581114"/>
    <w:rsid w:val="005811B6"/>
    <w:rsid w:val="0058121A"/>
    <w:rsid w:val="0058128D"/>
    <w:rsid w:val="00581302"/>
    <w:rsid w:val="00581316"/>
    <w:rsid w:val="00581397"/>
    <w:rsid w:val="0058140F"/>
    <w:rsid w:val="00581466"/>
    <w:rsid w:val="00581496"/>
    <w:rsid w:val="0058149F"/>
    <w:rsid w:val="0058158B"/>
    <w:rsid w:val="0058160C"/>
    <w:rsid w:val="00581642"/>
    <w:rsid w:val="00581668"/>
    <w:rsid w:val="00581729"/>
    <w:rsid w:val="0058182A"/>
    <w:rsid w:val="005818F6"/>
    <w:rsid w:val="005819D0"/>
    <w:rsid w:val="005819F4"/>
    <w:rsid w:val="00581A06"/>
    <w:rsid w:val="00581BF0"/>
    <w:rsid w:val="00581CF8"/>
    <w:rsid w:val="00581D5E"/>
    <w:rsid w:val="00581E40"/>
    <w:rsid w:val="00581F03"/>
    <w:rsid w:val="00581FE1"/>
    <w:rsid w:val="00582038"/>
    <w:rsid w:val="0058209C"/>
    <w:rsid w:val="0058219A"/>
    <w:rsid w:val="00582264"/>
    <w:rsid w:val="00582553"/>
    <w:rsid w:val="00582567"/>
    <w:rsid w:val="00582571"/>
    <w:rsid w:val="0058259F"/>
    <w:rsid w:val="00582793"/>
    <w:rsid w:val="005829F7"/>
    <w:rsid w:val="00582A39"/>
    <w:rsid w:val="00582AD9"/>
    <w:rsid w:val="00582B21"/>
    <w:rsid w:val="00582BC7"/>
    <w:rsid w:val="00582C0B"/>
    <w:rsid w:val="00582C28"/>
    <w:rsid w:val="00582CFC"/>
    <w:rsid w:val="00582D56"/>
    <w:rsid w:val="00582E4F"/>
    <w:rsid w:val="00582F19"/>
    <w:rsid w:val="00582F7C"/>
    <w:rsid w:val="00583093"/>
    <w:rsid w:val="005830CD"/>
    <w:rsid w:val="005830FC"/>
    <w:rsid w:val="00583112"/>
    <w:rsid w:val="00583117"/>
    <w:rsid w:val="0058313A"/>
    <w:rsid w:val="0058313F"/>
    <w:rsid w:val="005831B9"/>
    <w:rsid w:val="00583353"/>
    <w:rsid w:val="005833BC"/>
    <w:rsid w:val="005833C4"/>
    <w:rsid w:val="005833F9"/>
    <w:rsid w:val="005834B0"/>
    <w:rsid w:val="005834D4"/>
    <w:rsid w:val="0058355A"/>
    <w:rsid w:val="005836A2"/>
    <w:rsid w:val="0058370B"/>
    <w:rsid w:val="00583710"/>
    <w:rsid w:val="005837E2"/>
    <w:rsid w:val="00583910"/>
    <w:rsid w:val="00583920"/>
    <w:rsid w:val="005839F7"/>
    <w:rsid w:val="00583B97"/>
    <w:rsid w:val="00583BBB"/>
    <w:rsid w:val="00583C30"/>
    <w:rsid w:val="00583C67"/>
    <w:rsid w:val="00583D9A"/>
    <w:rsid w:val="00583DFB"/>
    <w:rsid w:val="00583FF9"/>
    <w:rsid w:val="0058401E"/>
    <w:rsid w:val="0058412C"/>
    <w:rsid w:val="00584200"/>
    <w:rsid w:val="0058421D"/>
    <w:rsid w:val="00584226"/>
    <w:rsid w:val="00584246"/>
    <w:rsid w:val="005842F4"/>
    <w:rsid w:val="00584375"/>
    <w:rsid w:val="00584386"/>
    <w:rsid w:val="0058447C"/>
    <w:rsid w:val="005844D8"/>
    <w:rsid w:val="005844EA"/>
    <w:rsid w:val="00584539"/>
    <w:rsid w:val="005847D9"/>
    <w:rsid w:val="0058489B"/>
    <w:rsid w:val="005848FE"/>
    <w:rsid w:val="00584985"/>
    <w:rsid w:val="005849D6"/>
    <w:rsid w:val="00584BBC"/>
    <w:rsid w:val="00584C1D"/>
    <w:rsid w:val="00584C8C"/>
    <w:rsid w:val="00584D4C"/>
    <w:rsid w:val="00584D66"/>
    <w:rsid w:val="00584D75"/>
    <w:rsid w:val="00584D8D"/>
    <w:rsid w:val="00584DDB"/>
    <w:rsid w:val="00584E37"/>
    <w:rsid w:val="00584EAF"/>
    <w:rsid w:val="00584EB0"/>
    <w:rsid w:val="00584F12"/>
    <w:rsid w:val="00584F18"/>
    <w:rsid w:val="0058509F"/>
    <w:rsid w:val="005850A2"/>
    <w:rsid w:val="00585199"/>
    <w:rsid w:val="005851C8"/>
    <w:rsid w:val="0058523E"/>
    <w:rsid w:val="00585298"/>
    <w:rsid w:val="0058544A"/>
    <w:rsid w:val="00585492"/>
    <w:rsid w:val="005854E1"/>
    <w:rsid w:val="005854FD"/>
    <w:rsid w:val="00585549"/>
    <w:rsid w:val="005856B1"/>
    <w:rsid w:val="00585757"/>
    <w:rsid w:val="005858D2"/>
    <w:rsid w:val="0058592C"/>
    <w:rsid w:val="00585984"/>
    <w:rsid w:val="00585994"/>
    <w:rsid w:val="005859DB"/>
    <w:rsid w:val="00585AC2"/>
    <w:rsid w:val="00585B8C"/>
    <w:rsid w:val="00585C30"/>
    <w:rsid w:val="00585D57"/>
    <w:rsid w:val="00585D91"/>
    <w:rsid w:val="00585DFF"/>
    <w:rsid w:val="00585E53"/>
    <w:rsid w:val="00585F4A"/>
    <w:rsid w:val="00585FA2"/>
    <w:rsid w:val="00585FF2"/>
    <w:rsid w:val="00586078"/>
    <w:rsid w:val="005861B0"/>
    <w:rsid w:val="0058625B"/>
    <w:rsid w:val="005862C5"/>
    <w:rsid w:val="00586303"/>
    <w:rsid w:val="00586333"/>
    <w:rsid w:val="00586470"/>
    <w:rsid w:val="005864D1"/>
    <w:rsid w:val="0058654B"/>
    <w:rsid w:val="00586589"/>
    <w:rsid w:val="0058661B"/>
    <w:rsid w:val="005866C4"/>
    <w:rsid w:val="00586707"/>
    <w:rsid w:val="0058679C"/>
    <w:rsid w:val="005868E8"/>
    <w:rsid w:val="00586B1E"/>
    <w:rsid w:val="00586B63"/>
    <w:rsid w:val="00586C0F"/>
    <w:rsid w:val="00586EBC"/>
    <w:rsid w:val="005870A4"/>
    <w:rsid w:val="00587182"/>
    <w:rsid w:val="005871C8"/>
    <w:rsid w:val="00587225"/>
    <w:rsid w:val="00587337"/>
    <w:rsid w:val="005873CD"/>
    <w:rsid w:val="005873F2"/>
    <w:rsid w:val="00587520"/>
    <w:rsid w:val="00587532"/>
    <w:rsid w:val="00587551"/>
    <w:rsid w:val="005875FB"/>
    <w:rsid w:val="005876F4"/>
    <w:rsid w:val="005877F1"/>
    <w:rsid w:val="005878E3"/>
    <w:rsid w:val="00587A0E"/>
    <w:rsid w:val="00587C6A"/>
    <w:rsid w:val="00587CC5"/>
    <w:rsid w:val="00587CEA"/>
    <w:rsid w:val="00590003"/>
    <w:rsid w:val="0059000E"/>
    <w:rsid w:val="00590121"/>
    <w:rsid w:val="0059013E"/>
    <w:rsid w:val="005901B0"/>
    <w:rsid w:val="005901FE"/>
    <w:rsid w:val="00590232"/>
    <w:rsid w:val="005902E3"/>
    <w:rsid w:val="00590411"/>
    <w:rsid w:val="0059043B"/>
    <w:rsid w:val="00590506"/>
    <w:rsid w:val="00590507"/>
    <w:rsid w:val="005905D8"/>
    <w:rsid w:val="00590757"/>
    <w:rsid w:val="0059075A"/>
    <w:rsid w:val="0059088C"/>
    <w:rsid w:val="005909C2"/>
    <w:rsid w:val="00590AB3"/>
    <w:rsid w:val="00590B38"/>
    <w:rsid w:val="00590B44"/>
    <w:rsid w:val="00590BD0"/>
    <w:rsid w:val="00590BDA"/>
    <w:rsid w:val="00590C39"/>
    <w:rsid w:val="00590CD9"/>
    <w:rsid w:val="00590D28"/>
    <w:rsid w:val="00591009"/>
    <w:rsid w:val="005910AA"/>
    <w:rsid w:val="005910B2"/>
    <w:rsid w:val="005911A0"/>
    <w:rsid w:val="005911B0"/>
    <w:rsid w:val="005911E2"/>
    <w:rsid w:val="0059121A"/>
    <w:rsid w:val="0059122D"/>
    <w:rsid w:val="005912BD"/>
    <w:rsid w:val="00591450"/>
    <w:rsid w:val="0059150D"/>
    <w:rsid w:val="00591526"/>
    <w:rsid w:val="005915C8"/>
    <w:rsid w:val="00591604"/>
    <w:rsid w:val="00591630"/>
    <w:rsid w:val="005916C0"/>
    <w:rsid w:val="0059170C"/>
    <w:rsid w:val="0059195D"/>
    <w:rsid w:val="0059197A"/>
    <w:rsid w:val="005919A8"/>
    <w:rsid w:val="005919E2"/>
    <w:rsid w:val="00591AC3"/>
    <w:rsid w:val="00591B3E"/>
    <w:rsid w:val="00591BBB"/>
    <w:rsid w:val="00591C05"/>
    <w:rsid w:val="00591EE9"/>
    <w:rsid w:val="00591F82"/>
    <w:rsid w:val="00592016"/>
    <w:rsid w:val="00592044"/>
    <w:rsid w:val="0059208E"/>
    <w:rsid w:val="00592092"/>
    <w:rsid w:val="005920AF"/>
    <w:rsid w:val="005920DA"/>
    <w:rsid w:val="005920DE"/>
    <w:rsid w:val="0059218D"/>
    <w:rsid w:val="00592387"/>
    <w:rsid w:val="005923EE"/>
    <w:rsid w:val="0059243B"/>
    <w:rsid w:val="00592517"/>
    <w:rsid w:val="0059252D"/>
    <w:rsid w:val="00592562"/>
    <w:rsid w:val="005926BD"/>
    <w:rsid w:val="005927F3"/>
    <w:rsid w:val="00592834"/>
    <w:rsid w:val="00592880"/>
    <w:rsid w:val="00592A2C"/>
    <w:rsid w:val="00592A71"/>
    <w:rsid w:val="00592A79"/>
    <w:rsid w:val="00592AA6"/>
    <w:rsid w:val="00592ACE"/>
    <w:rsid w:val="00592AFC"/>
    <w:rsid w:val="00592B0A"/>
    <w:rsid w:val="00592B2D"/>
    <w:rsid w:val="00592B5C"/>
    <w:rsid w:val="00592B9D"/>
    <w:rsid w:val="00592C9D"/>
    <w:rsid w:val="00592CFC"/>
    <w:rsid w:val="00592D22"/>
    <w:rsid w:val="00592D91"/>
    <w:rsid w:val="00592E34"/>
    <w:rsid w:val="00592E8D"/>
    <w:rsid w:val="00592F68"/>
    <w:rsid w:val="00592FF3"/>
    <w:rsid w:val="00593019"/>
    <w:rsid w:val="0059306E"/>
    <w:rsid w:val="00593189"/>
    <w:rsid w:val="00593251"/>
    <w:rsid w:val="005932DC"/>
    <w:rsid w:val="005932F9"/>
    <w:rsid w:val="00593386"/>
    <w:rsid w:val="005933E7"/>
    <w:rsid w:val="005933FB"/>
    <w:rsid w:val="00593465"/>
    <w:rsid w:val="005934B8"/>
    <w:rsid w:val="005934C2"/>
    <w:rsid w:val="005935A9"/>
    <w:rsid w:val="0059361F"/>
    <w:rsid w:val="00593643"/>
    <w:rsid w:val="00593679"/>
    <w:rsid w:val="005936D4"/>
    <w:rsid w:val="005938A8"/>
    <w:rsid w:val="005938C2"/>
    <w:rsid w:val="005939DE"/>
    <w:rsid w:val="00593A49"/>
    <w:rsid w:val="00593AA4"/>
    <w:rsid w:val="00593B06"/>
    <w:rsid w:val="00593B8C"/>
    <w:rsid w:val="00593D2F"/>
    <w:rsid w:val="00593D4E"/>
    <w:rsid w:val="00593DD5"/>
    <w:rsid w:val="00593E93"/>
    <w:rsid w:val="00593EF9"/>
    <w:rsid w:val="00593F29"/>
    <w:rsid w:val="00593FD7"/>
    <w:rsid w:val="0059425E"/>
    <w:rsid w:val="00594372"/>
    <w:rsid w:val="005943A2"/>
    <w:rsid w:val="005943DF"/>
    <w:rsid w:val="005943EB"/>
    <w:rsid w:val="0059440B"/>
    <w:rsid w:val="00594483"/>
    <w:rsid w:val="005944DE"/>
    <w:rsid w:val="00594578"/>
    <w:rsid w:val="005945DB"/>
    <w:rsid w:val="0059461A"/>
    <w:rsid w:val="005946A8"/>
    <w:rsid w:val="005946AE"/>
    <w:rsid w:val="005947F2"/>
    <w:rsid w:val="00594891"/>
    <w:rsid w:val="005948EF"/>
    <w:rsid w:val="005948F2"/>
    <w:rsid w:val="00594997"/>
    <w:rsid w:val="005949E2"/>
    <w:rsid w:val="00594B3F"/>
    <w:rsid w:val="00594CE3"/>
    <w:rsid w:val="00594D3A"/>
    <w:rsid w:val="00594D9A"/>
    <w:rsid w:val="00594FE8"/>
    <w:rsid w:val="005950CC"/>
    <w:rsid w:val="0059512F"/>
    <w:rsid w:val="005951D1"/>
    <w:rsid w:val="005952A8"/>
    <w:rsid w:val="0059533B"/>
    <w:rsid w:val="00595441"/>
    <w:rsid w:val="0059547B"/>
    <w:rsid w:val="005955DB"/>
    <w:rsid w:val="00595671"/>
    <w:rsid w:val="005957C0"/>
    <w:rsid w:val="00595893"/>
    <w:rsid w:val="005958EF"/>
    <w:rsid w:val="00595B0E"/>
    <w:rsid w:val="00595B0F"/>
    <w:rsid w:val="00595BE7"/>
    <w:rsid w:val="00595BFA"/>
    <w:rsid w:val="00595CB0"/>
    <w:rsid w:val="00595CCB"/>
    <w:rsid w:val="00595D82"/>
    <w:rsid w:val="00595DBC"/>
    <w:rsid w:val="00595E99"/>
    <w:rsid w:val="00595EAF"/>
    <w:rsid w:val="00595FDB"/>
    <w:rsid w:val="00596072"/>
    <w:rsid w:val="005960A6"/>
    <w:rsid w:val="00596190"/>
    <w:rsid w:val="005961E4"/>
    <w:rsid w:val="0059622E"/>
    <w:rsid w:val="0059627D"/>
    <w:rsid w:val="0059629B"/>
    <w:rsid w:val="005962DB"/>
    <w:rsid w:val="005962EF"/>
    <w:rsid w:val="0059631E"/>
    <w:rsid w:val="005964DE"/>
    <w:rsid w:val="00596520"/>
    <w:rsid w:val="00596586"/>
    <w:rsid w:val="005966A2"/>
    <w:rsid w:val="005966BC"/>
    <w:rsid w:val="0059681B"/>
    <w:rsid w:val="00596864"/>
    <w:rsid w:val="00596981"/>
    <w:rsid w:val="005969C1"/>
    <w:rsid w:val="00596A18"/>
    <w:rsid w:val="00596AB4"/>
    <w:rsid w:val="00596B3E"/>
    <w:rsid w:val="00596CC9"/>
    <w:rsid w:val="00596D8B"/>
    <w:rsid w:val="00596DB9"/>
    <w:rsid w:val="00596DEE"/>
    <w:rsid w:val="00596E18"/>
    <w:rsid w:val="00596F95"/>
    <w:rsid w:val="00596FF8"/>
    <w:rsid w:val="00597020"/>
    <w:rsid w:val="00597033"/>
    <w:rsid w:val="005970D3"/>
    <w:rsid w:val="00597179"/>
    <w:rsid w:val="00597199"/>
    <w:rsid w:val="005971CF"/>
    <w:rsid w:val="00597213"/>
    <w:rsid w:val="005972F1"/>
    <w:rsid w:val="005973C3"/>
    <w:rsid w:val="005973E5"/>
    <w:rsid w:val="00597410"/>
    <w:rsid w:val="005976E4"/>
    <w:rsid w:val="00597769"/>
    <w:rsid w:val="005977DA"/>
    <w:rsid w:val="005979B1"/>
    <w:rsid w:val="00597A6A"/>
    <w:rsid w:val="00597A78"/>
    <w:rsid w:val="00597ABA"/>
    <w:rsid w:val="00597B8B"/>
    <w:rsid w:val="00597BCE"/>
    <w:rsid w:val="00597C42"/>
    <w:rsid w:val="00597D75"/>
    <w:rsid w:val="00597DBC"/>
    <w:rsid w:val="00597E78"/>
    <w:rsid w:val="00597EE9"/>
    <w:rsid w:val="005A0023"/>
    <w:rsid w:val="005A0047"/>
    <w:rsid w:val="005A0097"/>
    <w:rsid w:val="005A00D4"/>
    <w:rsid w:val="005A00FF"/>
    <w:rsid w:val="005A0126"/>
    <w:rsid w:val="005A014E"/>
    <w:rsid w:val="005A01C2"/>
    <w:rsid w:val="005A025D"/>
    <w:rsid w:val="005A02B0"/>
    <w:rsid w:val="005A02E4"/>
    <w:rsid w:val="005A0395"/>
    <w:rsid w:val="005A0444"/>
    <w:rsid w:val="005A0466"/>
    <w:rsid w:val="005A04AE"/>
    <w:rsid w:val="005A04D7"/>
    <w:rsid w:val="005A04FF"/>
    <w:rsid w:val="005A05B6"/>
    <w:rsid w:val="005A05E2"/>
    <w:rsid w:val="005A063A"/>
    <w:rsid w:val="005A0641"/>
    <w:rsid w:val="005A0646"/>
    <w:rsid w:val="005A0668"/>
    <w:rsid w:val="005A0674"/>
    <w:rsid w:val="005A06F1"/>
    <w:rsid w:val="005A072A"/>
    <w:rsid w:val="005A077A"/>
    <w:rsid w:val="005A08CA"/>
    <w:rsid w:val="005A095D"/>
    <w:rsid w:val="005A0AB0"/>
    <w:rsid w:val="005A0BAE"/>
    <w:rsid w:val="005A0BFB"/>
    <w:rsid w:val="005A0DBD"/>
    <w:rsid w:val="005A0E97"/>
    <w:rsid w:val="005A0F3E"/>
    <w:rsid w:val="005A0F4F"/>
    <w:rsid w:val="005A0FDE"/>
    <w:rsid w:val="005A1005"/>
    <w:rsid w:val="005A10D5"/>
    <w:rsid w:val="005A10E3"/>
    <w:rsid w:val="005A11AC"/>
    <w:rsid w:val="005A128A"/>
    <w:rsid w:val="005A13A1"/>
    <w:rsid w:val="005A1429"/>
    <w:rsid w:val="005A1483"/>
    <w:rsid w:val="005A16E0"/>
    <w:rsid w:val="005A170E"/>
    <w:rsid w:val="005A1736"/>
    <w:rsid w:val="005A17B3"/>
    <w:rsid w:val="005A1890"/>
    <w:rsid w:val="005A18E1"/>
    <w:rsid w:val="005A19E7"/>
    <w:rsid w:val="005A1A46"/>
    <w:rsid w:val="005A1A88"/>
    <w:rsid w:val="005A1B15"/>
    <w:rsid w:val="005A1B4F"/>
    <w:rsid w:val="005A1C2B"/>
    <w:rsid w:val="005A1CF4"/>
    <w:rsid w:val="005A1D1E"/>
    <w:rsid w:val="005A1ED1"/>
    <w:rsid w:val="005A1F0C"/>
    <w:rsid w:val="005A1F38"/>
    <w:rsid w:val="005A1F58"/>
    <w:rsid w:val="005A20DC"/>
    <w:rsid w:val="005A20F5"/>
    <w:rsid w:val="005A232C"/>
    <w:rsid w:val="005A236B"/>
    <w:rsid w:val="005A2407"/>
    <w:rsid w:val="005A25D5"/>
    <w:rsid w:val="005A26A8"/>
    <w:rsid w:val="005A2710"/>
    <w:rsid w:val="005A2751"/>
    <w:rsid w:val="005A28A7"/>
    <w:rsid w:val="005A2993"/>
    <w:rsid w:val="005A29C3"/>
    <w:rsid w:val="005A2A18"/>
    <w:rsid w:val="005A2A90"/>
    <w:rsid w:val="005A2B16"/>
    <w:rsid w:val="005A2C34"/>
    <w:rsid w:val="005A2D18"/>
    <w:rsid w:val="005A2D4A"/>
    <w:rsid w:val="005A2D68"/>
    <w:rsid w:val="005A2D92"/>
    <w:rsid w:val="005A2DA8"/>
    <w:rsid w:val="005A2DBB"/>
    <w:rsid w:val="005A2DD7"/>
    <w:rsid w:val="005A2E8B"/>
    <w:rsid w:val="005A2ECB"/>
    <w:rsid w:val="005A2EEA"/>
    <w:rsid w:val="005A30AF"/>
    <w:rsid w:val="005A3146"/>
    <w:rsid w:val="005A31F2"/>
    <w:rsid w:val="005A3302"/>
    <w:rsid w:val="005A33E9"/>
    <w:rsid w:val="005A33ED"/>
    <w:rsid w:val="005A349D"/>
    <w:rsid w:val="005A34AD"/>
    <w:rsid w:val="005A35AE"/>
    <w:rsid w:val="005A3689"/>
    <w:rsid w:val="005A37F9"/>
    <w:rsid w:val="005A3943"/>
    <w:rsid w:val="005A398C"/>
    <w:rsid w:val="005A39C3"/>
    <w:rsid w:val="005A39D7"/>
    <w:rsid w:val="005A3A28"/>
    <w:rsid w:val="005A3A51"/>
    <w:rsid w:val="005A3B0A"/>
    <w:rsid w:val="005A3B33"/>
    <w:rsid w:val="005A3B39"/>
    <w:rsid w:val="005A3B82"/>
    <w:rsid w:val="005A3BE3"/>
    <w:rsid w:val="005A3C35"/>
    <w:rsid w:val="005A3C42"/>
    <w:rsid w:val="005A3C52"/>
    <w:rsid w:val="005A3E4D"/>
    <w:rsid w:val="005A3F1C"/>
    <w:rsid w:val="005A3F55"/>
    <w:rsid w:val="005A4009"/>
    <w:rsid w:val="005A40DE"/>
    <w:rsid w:val="005A4148"/>
    <w:rsid w:val="005A42F2"/>
    <w:rsid w:val="005A43C3"/>
    <w:rsid w:val="005A4438"/>
    <w:rsid w:val="005A44AE"/>
    <w:rsid w:val="005A453A"/>
    <w:rsid w:val="005A4589"/>
    <w:rsid w:val="005A45BE"/>
    <w:rsid w:val="005A473C"/>
    <w:rsid w:val="005A47B8"/>
    <w:rsid w:val="005A4909"/>
    <w:rsid w:val="005A4966"/>
    <w:rsid w:val="005A4973"/>
    <w:rsid w:val="005A4988"/>
    <w:rsid w:val="005A4A23"/>
    <w:rsid w:val="005A4A4F"/>
    <w:rsid w:val="005A4AF1"/>
    <w:rsid w:val="005A4E4C"/>
    <w:rsid w:val="005A4E72"/>
    <w:rsid w:val="005A4F83"/>
    <w:rsid w:val="005A4FA6"/>
    <w:rsid w:val="005A4FB4"/>
    <w:rsid w:val="005A50E1"/>
    <w:rsid w:val="005A5297"/>
    <w:rsid w:val="005A52B7"/>
    <w:rsid w:val="005A547E"/>
    <w:rsid w:val="005A54B9"/>
    <w:rsid w:val="005A5575"/>
    <w:rsid w:val="005A55A4"/>
    <w:rsid w:val="005A56AF"/>
    <w:rsid w:val="005A5754"/>
    <w:rsid w:val="005A57D7"/>
    <w:rsid w:val="005A57E3"/>
    <w:rsid w:val="005A57EB"/>
    <w:rsid w:val="005A5926"/>
    <w:rsid w:val="005A5A64"/>
    <w:rsid w:val="005A5AC0"/>
    <w:rsid w:val="005A5C78"/>
    <w:rsid w:val="005A5D2A"/>
    <w:rsid w:val="005A5D62"/>
    <w:rsid w:val="005A5F8A"/>
    <w:rsid w:val="005A6030"/>
    <w:rsid w:val="005A6176"/>
    <w:rsid w:val="005A6282"/>
    <w:rsid w:val="005A6287"/>
    <w:rsid w:val="005A63A5"/>
    <w:rsid w:val="005A642A"/>
    <w:rsid w:val="005A642B"/>
    <w:rsid w:val="005A6436"/>
    <w:rsid w:val="005A64EF"/>
    <w:rsid w:val="005A64F8"/>
    <w:rsid w:val="005A667D"/>
    <w:rsid w:val="005A68C5"/>
    <w:rsid w:val="005A68CE"/>
    <w:rsid w:val="005A6950"/>
    <w:rsid w:val="005A6963"/>
    <w:rsid w:val="005A6968"/>
    <w:rsid w:val="005A69C5"/>
    <w:rsid w:val="005A6A13"/>
    <w:rsid w:val="005A6A16"/>
    <w:rsid w:val="005A6A59"/>
    <w:rsid w:val="005A6AF1"/>
    <w:rsid w:val="005A6B8F"/>
    <w:rsid w:val="005A6D8F"/>
    <w:rsid w:val="005A6EEB"/>
    <w:rsid w:val="005A6F27"/>
    <w:rsid w:val="005A6F4F"/>
    <w:rsid w:val="005A6F8C"/>
    <w:rsid w:val="005A703F"/>
    <w:rsid w:val="005A7106"/>
    <w:rsid w:val="005A71F9"/>
    <w:rsid w:val="005A7304"/>
    <w:rsid w:val="005A7313"/>
    <w:rsid w:val="005A739B"/>
    <w:rsid w:val="005A73D5"/>
    <w:rsid w:val="005A743C"/>
    <w:rsid w:val="005A7449"/>
    <w:rsid w:val="005A75B5"/>
    <w:rsid w:val="005A769B"/>
    <w:rsid w:val="005A7720"/>
    <w:rsid w:val="005A7736"/>
    <w:rsid w:val="005A778E"/>
    <w:rsid w:val="005A778F"/>
    <w:rsid w:val="005A77CC"/>
    <w:rsid w:val="005A7917"/>
    <w:rsid w:val="005A79F2"/>
    <w:rsid w:val="005A79FF"/>
    <w:rsid w:val="005A7AD6"/>
    <w:rsid w:val="005A7E5D"/>
    <w:rsid w:val="005B0099"/>
    <w:rsid w:val="005B00C1"/>
    <w:rsid w:val="005B012C"/>
    <w:rsid w:val="005B0147"/>
    <w:rsid w:val="005B022E"/>
    <w:rsid w:val="005B0238"/>
    <w:rsid w:val="005B0244"/>
    <w:rsid w:val="005B036D"/>
    <w:rsid w:val="005B0434"/>
    <w:rsid w:val="005B0477"/>
    <w:rsid w:val="005B04A8"/>
    <w:rsid w:val="005B05E9"/>
    <w:rsid w:val="005B05EF"/>
    <w:rsid w:val="005B0637"/>
    <w:rsid w:val="005B0656"/>
    <w:rsid w:val="005B065E"/>
    <w:rsid w:val="005B0955"/>
    <w:rsid w:val="005B0A45"/>
    <w:rsid w:val="005B0B31"/>
    <w:rsid w:val="005B0B49"/>
    <w:rsid w:val="005B0B80"/>
    <w:rsid w:val="005B0BCA"/>
    <w:rsid w:val="005B0BD1"/>
    <w:rsid w:val="005B0C8F"/>
    <w:rsid w:val="005B0CD6"/>
    <w:rsid w:val="005B0D06"/>
    <w:rsid w:val="005B0DD0"/>
    <w:rsid w:val="005B0E67"/>
    <w:rsid w:val="005B0EBA"/>
    <w:rsid w:val="005B0F18"/>
    <w:rsid w:val="005B0F48"/>
    <w:rsid w:val="005B0F76"/>
    <w:rsid w:val="005B0F89"/>
    <w:rsid w:val="005B130B"/>
    <w:rsid w:val="005B13F6"/>
    <w:rsid w:val="005B1474"/>
    <w:rsid w:val="005B1507"/>
    <w:rsid w:val="005B1631"/>
    <w:rsid w:val="005B1658"/>
    <w:rsid w:val="005B1748"/>
    <w:rsid w:val="005B18A3"/>
    <w:rsid w:val="005B196D"/>
    <w:rsid w:val="005B199D"/>
    <w:rsid w:val="005B19B6"/>
    <w:rsid w:val="005B1AF9"/>
    <w:rsid w:val="005B1B26"/>
    <w:rsid w:val="005B1B47"/>
    <w:rsid w:val="005B1C5F"/>
    <w:rsid w:val="005B1C64"/>
    <w:rsid w:val="005B1D53"/>
    <w:rsid w:val="005B1EE0"/>
    <w:rsid w:val="005B2001"/>
    <w:rsid w:val="005B2113"/>
    <w:rsid w:val="005B21C7"/>
    <w:rsid w:val="005B23C4"/>
    <w:rsid w:val="005B2752"/>
    <w:rsid w:val="005B2774"/>
    <w:rsid w:val="005B2971"/>
    <w:rsid w:val="005B2A12"/>
    <w:rsid w:val="005B2ACF"/>
    <w:rsid w:val="005B2B37"/>
    <w:rsid w:val="005B2B89"/>
    <w:rsid w:val="005B2BE7"/>
    <w:rsid w:val="005B2C53"/>
    <w:rsid w:val="005B2D0E"/>
    <w:rsid w:val="005B2FE4"/>
    <w:rsid w:val="005B2FEA"/>
    <w:rsid w:val="005B3066"/>
    <w:rsid w:val="005B3285"/>
    <w:rsid w:val="005B329E"/>
    <w:rsid w:val="005B33A8"/>
    <w:rsid w:val="005B33B4"/>
    <w:rsid w:val="005B346D"/>
    <w:rsid w:val="005B34C6"/>
    <w:rsid w:val="005B34CD"/>
    <w:rsid w:val="005B3581"/>
    <w:rsid w:val="005B3685"/>
    <w:rsid w:val="005B3764"/>
    <w:rsid w:val="005B37E8"/>
    <w:rsid w:val="005B3872"/>
    <w:rsid w:val="005B3879"/>
    <w:rsid w:val="005B3956"/>
    <w:rsid w:val="005B3A15"/>
    <w:rsid w:val="005B3A39"/>
    <w:rsid w:val="005B3B00"/>
    <w:rsid w:val="005B3B59"/>
    <w:rsid w:val="005B3CC3"/>
    <w:rsid w:val="005B3CEB"/>
    <w:rsid w:val="005B3D10"/>
    <w:rsid w:val="005B3D71"/>
    <w:rsid w:val="005B3F10"/>
    <w:rsid w:val="005B412F"/>
    <w:rsid w:val="005B41D8"/>
    <w:rsid w:val="005B429B"/>
    <w:rsid w:val="005B42B8"/>
    <w:rsid w:val="005B42EB"/>
    <w:rsid w:val="005B434E"/>
    <w:rsid w:val="005B43DF"/>
    <w:rsid w:val="005B4445"/>
    <w:rsid w:val="005B44C6"/>
    <w:rsid w:val="005B4540"/>
    <w:rsid w:val="005B4587"/>
    <w:rsid w:val="005B4599"/>
    <w:rsid w:val="005B462F"/>
    <w:rsid w:val="005B4685"/>
    <w:rsid w:val="005B46BB"/>
    <w:rsid w:val="005B470B"/>
    <w:rsid w:val="005B47B0"/>
    <w:rsid w:val="005B47D5"/>
    <w:rsid w:val="005B483A"/>
    <w:rsid w:val="005B4862"/>
    <w:rsid w:val="005B4944"/>
    <w:rsid w:val="005B4969"/>
    <w:rsid w:val="005B498F"/>
    <w:rsid w:val="005B49DE"/>
    <w:rsid w:val="005B4AA9"/>
    <w:rsid w:val="005B4AE0"/>
    <w:rsid w:val="005B4B89"/>
    <w:rsid w:val="005B4BC8"/>
    <w:rsid w:val="005B4C18"/>
    <w:rsid w:val="005B4CAD"/>
    <w:rsid w:val="005B4CBF"/>
    <w:rsid w:val="005B4CD4"/>
    <w:rsid w:val="005B4D7D"/>
    <w:rsid w:val="005B4E02"/>
    <w:rsid w:val="005B4E26"/>
    <w:rsid w:val="005B4E9D"/>
    <w:rsid w:val="005B4F46"/>
    <w:rsid w:val="005B4F6B"/>
    <w:rsid w:val="005B4FA3"/>
    <w:rsid w:val="005B507C"/>
    <w:rsid w:val="005B50A8"/>
    <w:rsid w:val="005B50EC"/>
    <w:rsid w:val="005B5112"/>
    <w:rsid w:val="005B5140"/>
    <w:rsid w:val="005B51E0"/>
    <w:rsid w:val="005B5390"/>
    <w:rsid w:val="005B55BF"/>
    <w:rsid w:val="005B56EA"/>
    <w:rsid w:val="005B5784"/>
    <w:rsid w:val="005B5796"/>
    <w:rsid w:val="005B5805"/>
    <w:rsid w:val="005B585A"/>
    <w:rsid w:val="005B590B"/>
    <w:rsid w:val="005B5A05"/>
    <w:rsid w:val="005B5A0B"/>
    <w:rsid w:val="005B5AAF"/>
    <w:rsid w:val="005B5AEF"/>
    <w:rsid w:val="005B5B5E"/>
    <w:rsid w:val="005B5B66"/>
    <w:rsid w:val="005B5C16"/>
    <w:rsid w:val="005B5CC6"/>
    <w:rsid w:val="005B5D32"/>
    <w:rsid w:val="005B5D56"/>
    <w:rsid w:val="005B5EA7"/>
    <w:rsid w:val="005B5F01"/>
    <w:rsid w:val="005B5F2A"/>
    <w:rsid w:val="005B5FFF"/>
    <w:rsid w:val="005B60B2"/>
    <w:rsid w:val="005B6185"/>
    <w:rsid w:val="005B61B1"/>
    <w:rsid w:val="005B6209"/>
    <w:rsid w:val="005B62D3"/>
    <w:rsid w:val="005B632E"/>
    <w:rsid w:val="005B6502"/>
    <w:rsid w:val="005B6517"/>
    <w:rsid w:val="005B659A"/>
    <w:rsid w:val="005B65D2"/>
    <w:rsid w:val="005B6679"/>
    <w:rsid w:val="005B66F8"/>
    <w:rsid w:val="005B6727"/>
    <w:rsid w:val="005B67C1"/>
    <w:rsid w:val="005B6A97"/>
    <w:rsid w:val="005B6B02"/>
    <w:rsid w:val="005B6B60"/>
    <w:rsid w:val="005B6DCB"/>
    <w:rsid w:val="005B6E83"/>
    <w:rsid w:val="005B6E91"/>
    <w:rsid w:val="005B6FD4"/>
    <w:rsid w:val="005B7092"/>
    <w:rsid w:val="005B70B0"/>
    <w:rsid w:val="005B7124"/>
    <w:rsid w:val="005B71DF"/>
    <w:rsid w:val="005B7209"/>
    <w:rsid w:val="005B72DB"/>
    <w:rsid w:val="005B739A"/>
    <w:rsid w:val="005B73DA"/>
    <w:rsid w:val="005B7403"/>
    <w:rsid w:val="005B7450"/>
    <w:rsid w:val="005B748C"/>
    <w:rsid w:val="005B74C6"/>
    <w:rsid w:val="005B763B"/>
    <w:rsid w:val="005B777D"/>
    <w:rsid w:val="005B77C6"/>
    <w:rsid w:val="005B783E"/>
    <w:rsid w:val="005B785A"/>
    <w:rsid w:val="005B792C"/>
    <w:rsid w:val="005B7A0B"/>
    <w:rsid w:val="005B7AC1"/>
    <w:rsid w:val="005B7AC5"/>
    <w:rsid w:val="005B7C2B"/>
    <w:rsid w:val="005B7C6F"/>
    <w:rsid w:val="005B7CEB"/>
    <w:rsid w:val="005B7D7F"/>
    <w:rsid w:val="005B7E34"/>
    <w:rsid w:val="005B7E97"/>
    <w:rsid w:val="005B7EFA"/>
    <w:rsid w:val="005B7F14"/>
    <w:rsid w:val="005C0014"/>
    <w:rsid w:val="005C002F"/>
    <w:rsid w:val="005C00B4"/>
    <w:rsid w:val="005C010A"/>
    <w:rsid w:val="005C01B5"/>
    <w:rsid w:val="005C01C6"/>
    <w:rsid w:val="005C02B3"/>
    <w:rsid w:val="005C0390"/>
    <w:rsid w:val="005C040F"/>
    <w:rsid w:val="005C04A6"/>
    <w:rsid w:val="005C04CA"/>
    <w:rsid w:val="005C04FB"/>
    <w:rsid w:val="005C0588"/>
    <w:rsid w:val="005C05F4"/>
    <w:rsid w:val="005C06F2"/>
    <w:rsid w:val="005C09EF"/>
    <w:rsid w:val="005C0A38"/>
    <w:rsid w:val="005C0B04"/>
    <w:rsid w:val="005C0B4D"/>
    <w:rsid w:val="005C0B86"/>
    <w:rsid w:val="005C0B9A"/>
    <w:rsid w:val="005C0C0E"/>
    <w:rsid w:val="005C0C16"/>
    <w:rsid w:val="005C0C32"/>
    <w:rsid w:val="005C0D0C"/>
    <w:rsid w:val="005C0D9A"/>
    <w:rsid w:val="005C0EA3"/>
    <w:rsid w:val="005C0F17"/>
    <w:rsid w:val="005C0F9D"/>
    <w:rsid w:val="005C1064"/>
    <w:rsid w:val="005C1079"/>
    <w:rsid w:val="005C124F"/>
    <w:rsid w:val="005C126F"/>
    <w:rsid w:val="005C1279"/>
    <w:rsid w:val="005C1378"/>
    <w:rsid w:val="005C1389"/>
    <w:rsid w:val="005C13E9"/>
    <w:rsid w:val="005C1467"/>
    <w:rsid w:val="005C154C"/>
    <w:rsid w:val="005C15DD"/>
    <w:rsid w:val="005C15EA"/>
    <w:rsid w:val="005C1678"/>
    <w:rsid w:val="005C1761"/>
    <w:rsid w:val="005C1861"/>
    <w:rsid w:val="005C1888"/>
    <w:rsid w:val="005C18A3"/>
    <w:rsid w:val="005C19A0"/>
    <w:rsid w:val="005C1B02"/>
    <w:rsid w:val="005C1C73"/>
    <w:rsid w:val="005C1D8A"/>
    <w:rsid w:val="005C1D8C"/>
    <w:rsid w:val="005C1E02"/>
    <w:rsid w:val="005C1E8F"/>
    <w:rsid w:val="005C1F0B"/>
    <w:rsid w:val="005C2088"/>
    <w:rsid w:val="005C218B"/>
    <w:rsid w:val="005C2310"/>
    <w:rsid w:val="005C2348"/>
    <w:rsid w:val="005C23D5"/>
    <w:rsid w:val="005C2456"/>
    <w:rsid w:val="005C24C3"/>
    <w:rsid w:val="005C2562"/>
    <w:rsid w:val="005C26F1"/>
    <w:rsid w:val="005C29B6"/>
    <w:rsid w:val="005C2A9A"/>
    <w:rsid w:val="005C2ACF"/>
    <w:rsid w:val="005C2B22"/>
    <w:rsid w:val="005C2C25"/>
    <w:rsid w:val="005C2C68"/>
    <w:rsid w:val="005C2CA9"/>
    <w:rsid w:val="005C2CC1"/>
    <w:rsid w:val="005C2D0F"/>
    <w:rsid w:val="005C2D78"/>
    <w:rsid w:val="005C2EC9"/>
    <w:rsid w:val="005C3191"/>
    <w:rsid w:val="005C31E6"/>
    <w:rsid w:val="005C338E"/>
    <w:rsid w:val="005C33EC"/>
    <w:rsid w:val="005C3424"/>
    <w:rsid w:val="005C3450"/>
    <w:rsid w:val="005C3480"/>
    <w:rsid w:val="005C34CE"/>
    <w:rsid w:val="005C34D8"/>
    <w:rsid w:val="005C3570"/>
    <w:rsid w:val="005C35FE"/>
    <w:rsid w:val="005C3604"/>
    <w:rsid w:val="005C389E"/>
    <w:rsid w:val="005C38F1"/>
    <w:rsid w:val="005C3973"/>
    <w:rsid w:val="005C3984"/>
    <w:rsid w:val="005C3996"/>
    <w:rsid w:val="005C39E3"/>
    <w:rsid w:val="005C3A4A"/>
    <w:rsid w:val="005C3B14"/>
    <w:rsid w:val="005C3B4F"/>
    <w:rsid w:val="005C3C33"/>
    <w:rsid w:val="005C3C7A"/>
    <w:rsid w:val="005C3DAD"/>
    <w:rsid w:val="005C3EB5"/>
    <w:rsid w:val="005C3F84"/>
    <w:rsid w:val="005C3FA3"/>
    <w:rsid w:val="005C3FC9"/>
    <w:rsid w:val="005C40C8"/>
    <w:rsid w:val="005C41B2"/>
    <w:rsid w:val="005C428B"/>
    <w:rsid w:val="005C4296"/>
    <w:rsid w:val="005C4297"/>
    <w:rsid w:val="005C42B3"/>
    <w:rsid w:val="005C43F9"/>
    <w:rsid w:val="005C4406"/>
    <w:rsid w:val="005C446E"/>
    <w:rsid w:val="005C4480"/>
    <w:rsid w:val="005C44F9"/>
    <w:rsid w:val="005C454C"/>
    <w:rsid w:val="005C459B"/>
    <w:rsid w:val="005C45E7"/>
    <w:rsid w:val="005C468A"/>
    <w:rsid w:val="005C4809"/>
    <w:rsid w:val="005C485B"/>
    <w:rsid w:val="005C48FD"/>
    <w:rsid w:val="005C492F"/>
    <w:rsid w:val="005C49AB"/>
    <w:rsid w:val="005C49B7"/>
    <w:rsid w:val="005C4A54"/>
    <w:rsid w:val="005C4A83"/>
    <w:rsid w:val="005C4AAD"/>
    <w:rsid w:val="005C4ACF"/>
    <w:rsid w:val="005C4C65"/>
    <w:rsid w:val="005C4D56"/>
    <w:rsid w:val="005C4F0C"/>
    <w:rsid w:val="005C4F52"/>
    <w:rsid w:val="005C5065"/>
    <w:rsid w:val="005C507E"/>
    <w:rsid w:val="005C5082"/>
    <w:rsid w:val="005C50B5"/>
    <w:rsid w:val="005C50E9"/>
    <w:rsid w:val="005C50FF"/>
    <w:rsid w:val="005C5176"/>
    <w:rsid w:val="005C52ED"/>
    <w:rsid w:val="005C5341"/>
    <w:rsid w:val="005C538D"/>
    <w:rsid w:val="005C53A4"/>
    <w:rsid w:val="005C54F2"/>
    <w:rsid w:val="005C55C7"/>
    <w:rsid w:val="005C55D5"/>
    <w:rsid w:val="005C5618"/>
    <w:rsid w:val="005C569C"/>
    <w:rsid w:val="005C56D1"/>
    <w:rsid w:val="005C5728"/>
    <w:rsid w:val="005C574C"/>
    <w:rsid w:val="005C575F"/>
    <w:rsid w:val="005C5880"/>
    <w:rsid w:val="005C5893"/>
    <w:rsid w:val="005C58BC"/>
    <w:rsid w:val="005C58F0"/>
    <w:rsid w:val="005C5935"/>
    <w:rsid w:val="005C5A6F"/>
    <w:rsid w:val="005C5B8A"/>
    <w:rsid w:val="005C5BDC"/>
    <w:rsid w:val="005C5C44"/>
    <w:rsid w:val="005C5C99"/>
    <w:rsid w:val="005C5D9D"/>
    <w:rsid w:val="005C5DC7"/>
    <w:rsid w:val="005C5F06"/>
    <w:rsid w:val="005C5FAF"/>
    <w:rsid w:val="005C60E1"/>
    <w:rsid w:val="005C6331"/>
    <w:rsid w:val="005C6386"/>
    <w:rsid w:val="005C656D"/>
    <w:rsid w:val="005C6630"/>
    <w:rsid w:val="005C678E"/>
    <w:rsid w:val="005C67EE"/>
    <w:rsid w:val="005C6817"/>
    <w:rsid w:val="005C6905"/>
    <w:rsid w:val="005C6A76"/>
    <w:rsid w:val="005C6ABA"/>
    <w:rsid w:val="005C6AD7"/>
    <w:rsid w:val="005C6B24"/>
    <w:rsid w:val="005C6B76"/>
    <w:rsid w:val="005C6C43"/>
    <w:rsid w:val="005C6D18"/>
    <w:rsid w:val="005C6DC2"/>
    <w:rsid w:val="005C6E5E"/>
    <w:rsid w:val="005C6EB1"/>
    <w:rsid w:val="005C6FCB"/>
    <w:rsid w:val="005C6FD0"/>
    <w:rsid w:val="005C71E8"/>
    <w:rsid w:val="005C7267"/>
    <w:rsid w:val="005C733C"/>
    <w:rsid w:val="005C735F"/>
    <w:rsid w:val="005C7469"/>
    <w:rsid w:val="005C74DF"/>
    <w:rsid w:val="005C7524"/>
    <w:rsid w:val="005C7548"/>
    <w:rsid w:val="005C76D8"/>
    <w:rsid w:val="005C776E"/>
    <w:rsid w:val="005C7843"/>
    <w:rsid w:val="005C7AF9"/>
    <w:rsid w:val="005C7AFB"/>
    <w:rsid w:val="005C7B55"/>
    <w:rsid w:val="005C7BE0"/>
    <w:rsid w:val="005C7C8F"/>
    <w:rsid w:val="005C7D67"/>
    <w:rsid w:val="005C7DFA"/>
    <w:rsid w:val="005C7E1D"/>
    <w:rsid w:val="005D00A6"/>
    <w:rsid w:val="005D014F"/>
    <w:rsid w:val="005D0159"/>
    <w:rsid w:val="005D01D1"/>
    <w:rsid w:val="005D022D"/>
    <w:rsid w:val="005D0277"/>
    <w:rsid w:val="005D02D0"/>
    <w:rsid w:val="005D0340"/>
    <w:rsid w:val="005D03A2"/>
    <w:rsid w:val="005D03ED"/>
    <w:rsid w:val="005D0450"/>
    <w:rsid w:val="005D047B"/>
    <w:rsid w:val="005D04A9"/>
    <w:rsid w:val="005D055B"/>
    <w:rsid w:val="005D059A"/>
    <w:rsid w:val="005D05F9"/>
    <w:rsid w:val="005D0623"/>
    <w:rsid w:val="005D06A3"/>
    <w:rsid w:val="005D073D"/>
    <w:rsid w:val="005D0890"/>
    <w:rsid w:val="005D0981"/>
    <w:rsid w:val="005D09DC"/>
    <w:rsid w:val="005D09F1"/>
    <w:rsid w:val="005D0BCC"/>
    <w:rsid w:val="005D0CA1"/>
    <w:rsid w:val="005D0CD8"/>
    <w:rsid w:val="005D0D8D"/>
    <w:rsid w:val="005D0DAB"/>
    <w:rsid w:val="005D0DE1"/>
    <w:rsid w:val="005D1079"/>
    <w:rsid w:val="005D10B3"/>
    <w:rsid w:val="005D12D6"/>
    <w:rsid w:val="005D139E"/>
    <w:rsid w:val="005D1554"/>
    <w:rsid w:val="005D1603"/>
    <w:rsid w:val="005D163C"/>
    <w:rsid w:val="005D1711"/>
    <w:rsid w:val="005D17CF"/>
    <w:rsid w:val="005D17E2"/>
    <w:rsid w:val="005D1934"/>
    <w:rsid w:val="005D1944"/>
    <w:rsid w:val="005D1948"/>
    <w:rsid w:val="005D1983"/>
    <w:rsid w:val="005D19FF"/>
    <w:rsid w:val="005D1A81"/>
    <w:rsid w:val="005D1AE8"/>
    <w:rsid w:val="005D1BB0"/>
    <w:rsid w:val="005D1BB2"/>
    <w:rsid w:val="005D1CD3"/>
    <w:rsid w:val="005D1DBA"/>
    <w:rsid w:val="005D1E1F"/>
    <w:rsid w:val="005D1E29"/>
    <w:rsid w:val="005D1EFE"/>
    <w:rsid w:val="005D1F59"/>
    <w:rsid w:val="005D1F7E"/>
    <w:rsid w:val="005D1FA2"/>
    <w:rsid w:val="005D209F"/>
    <w:rsid w:val="005D20D2"/>
    <w:rsid w:val="005D237D"/>
    <w:rsid w:val="005D23FC"/>
    <w:rsid w:val="005D2407"/>
    <w:rsid w:val="005D24D1"/>
    <w:rsid w:val="005D24E9"/>
    <w:rsid w:val="005D24FC"/>
    <w:rsid w:val="005D2507"/>
    <w:rsid w:val="005D2596"/>
    <w:rsid w:val="005D25B2"/>
    <w:rsid w:val="005D26A2"/>
    <w:rsid w:val="005D26E4"/>
    <w:rsid w:val="005D26EC"/>
    <w:rsid w:val="005D26F5"/>
    <w:rsid w:val="005D2725"/>
    <w:rsid w:val="005D2765"/>
    <w:rsid w:val="005D27EF"/>
    <w:rsid w:val="005D27F2"/>
    <w:rsid w:val="005D27F7"/>
    <w:rsid w:val="005D29BC"/>
    <w:rsid w:val="005D2A17"/>
    <w:rsid w:val="005D2B08"/>
    <w:rsid w:val="005D2B44"/>
    <w:rsid w:val="005D2B52"/>
    <w:rsid w:val="005D2B66"/>
    <w:rsid w:val="005D2B6F"/>
    <w:rsid w:val="005D2C48"/>
    <w:rsid w:val="005D2C88"/>
    <w:rsid w:val="005D2D35"/>
    <w:rsid w:val="005D2D44"/>
    <w:rsid w:val="005D2D46"/>
    <w:rsid w:val="005D2EA8"/>
    <w:rsid w:val="005D2F05"/>
    <w:rsid w:val="005D302E"/>
    <w:rsid w:val="005D30B4"/>
    <w:rsid w:val="005D3122"/>
    <w:rsid w:val="005D31F1"/>
    <w:rsid w:val="005D33AB"/>
    <w:rsid w:val="005D33F5"/>
    <w:rsid w:val="005D33F8"/>
    <w:rsid w:val="005D34E2"/>
    <w:rsid w:val="005D362E"/>
    <w:rsid w:val="005D3652"/>
    <w:rsid w:val="005D36A8"/>
    <w:rsid w:val="005D36DB"/>
    <w:rsid w:val="005D37B1"/>
    <w:rsid w:val="005D39D4"/>
    <w:rsid w:val="005D3A13"/>
    <w:rsid w:val="005D3A4F"/>
    <w:rsid w:val="005D3B51"/>
    <w:rsid w:val="005D3B59"/>
    <w:rsid w:val="005D3B98"/>
    <w:rsid w:val="005D3BD4"/>
    <w:rsid w:val="005D3C03"/>
    <w:rsid w:val="005D3C29"/>
    <w:rsid w:val="005D3CA5"/>
    <w:rsid w:val="005D3D4D"/>
    <w:rsid w:val="005D3E22"/>
    <w:rsid w:val="005D3E52"/>
    <w:rsid w:val="005D3E92"/>
    <w:rsid w:val="005D3F74"/>
    <w:rsid w:val="005D3F94"/>
    <w:rsid w:val="005D415A"/>
    <w:rsid w:val="005D438D"/>
    <w:rsid w:val="005D43ED"/>
    <w:rsid w:val="005D43FB"/>
    <w:rsid w:val="005D4466"/>
    <w:rsid w:val="005D449F"/>
    <w:rsid w:val="005D4530"/>
    <w:rsid w:val="005D45B9"/>
    <w:rsid w:val="005D45CA"/>
    <w:rsid w:val="005D45FA"/>
    <w:rsid w:val="005D476C"/>
    <w:rsid w:val="005D4774"/>
    <w:rsid w:val="005D47A9"/>
    <w:rsid w:val="005D4829"/>
    <w:rsid w:val="005D497F"/>
    <w:rsid w:val="005D4A80"/>
    <w:rsid w:val="005D4C01"/>
    <w:rsid w:val="005D4D3B"/>
    <w:rsid w:val="005D4DB6"/>
    <w:rsid w:val="005D4E6E"/>
    <w:rsid w:val="005D4E84"/>
    <w:rsid w:val="005D4EC1"/>
    <w:rsid w:val="005D4EE2"/>
    <w:rsid w:val="005D4F0C"/>
    <w:rsid w:val="005D5121"/>
    <w:rsid w:val="005D5175"/>
    <w:rsid w:val="005D517D"/>
    <w:rsid w:val="005D5414"/>
    <w:rsid w:val="005D5484"/>
    <w:rsid w:val="005D5491"/>
    <w:rsid w:val="005D5526"/>
    <w:rsid w:val="005D554C"/>
    <w:rsid w:val="005D5584"/>
    <w:rsid w:val="005D5678"/>
    <w:rsid w:val="005D56EC"/>
    <w:rsid w:val="005D5788"/>
    <w:rsid w:val="005D5864"/>
    <w:rsid w:val="005D5A9C"/>
    <w:rsid w:val="005D5AAF"/>
    <w:rsid w:val="005D5B0D"/>
    <w:rsid w:val="005D5B57"/>
    <w:rsid w:val="005D5CAF"/>
    <w:rsid w:val="005D5D0E"/>
    <w:rsid w:val="005D5D2C"/>
    <w:rsid w:val="005D5D31"/>
    <w:rsid w:val="005D5D7C"/>
    <w:rsid w:val="005D5E96"/>
    <w:rsid w:val="005D5ED0"/>
    <w:rsid w:val="005D5EE7"/>
    <w:rsid w:val="005D5F14"/>
    <w:rsid w:val="005D5FED"/>
    <w:rsid w:val="005D6033"/>
    <w:rsid w:val="005D60D2"/>
    <w:rsid w:val="005D6103"/>
    <w:rsid w:val="005D615F"/>
    <w:rsid w:val="005D61C8"/>
    <w:rsid w:val="005D61CC"/>
    <w:rsid w:val="005D61E4"/>
    <w:rsid w:val="005D61E7"/>
    <w:rsid w:val="005D626D"/>
    <w:rsid w:val="005D6273"/>
    <w:rsid w:val="005D62A7"/>
    <w:rsid w:val="005D62C8"/>
    <w:rsid w:val="005D636E"/>
    <w:rsid w:val="005D6466"/>
    <w:rsid w:val="005D656C"/>
    <w:rsid w:val="005D663B"/>
    <w:rsid w:val="005D667A"/>
    <w:rsid w:val="005D66F8"/>
    <w:rsid w:val="005D67BB"/>
    <w:rsid w:val="005D67EA"/>
    <w:rsid w:val="005D68A4"/>
    <w:rsid w:val="005D69ED"/>
    <w:rsid w:val="005D69EE"/>
    <w:rsid w:val="005D6AC5"/>
    <w:rsid w:val="005D6AF8"/>
    <w:rsid w:val="005D6B31"/>
    <w:rsid w:val="005D6C22"/>
    <w:rsid w:val="005D6C40"/>
    <w:rsid w:val="005D6CA6"/>
    <w:rsid w:val="005D6DE0"/>
    <w:rsid w:val="005D6DF8"/>
    <w:rsid w:val="005D6EE4"/>
    <w:rsid w:val="005D7018"/>
    <w:rsid w:val="005D71D3"/>
    <w:rsid w:val="005D7234"/>
    <w:rsid w:val="005D72CF"/>
    <w:rsid w:val="005D7304"/>
    <w:rsid w:val="005D73CD"/>
    <w:rsid w:val="005D74DD"/>
    <w:rsid w:val="005D7606"/>
    <w:rsid w:val="005D77F9"/>
    <w:rsid w:val="005D785F"/>
    <w:rsid w:val="005D78DF"/>
    <w:rsid w:val="005D797C"/>
    <w:rsid w:val="005D79C7"/>
    <w:rsid w:val="005D79F8"/>
    <w:rsid w:val="005D7BF8"/>
    <w:rsid w:val="005D7E05"/>
    <w:rsid w:val="005D7F68"/>
    <w:rsid w:val="005DAE45"/>
    <w:rsid w:val="005E013D"/>
    <w:rsid w:val="005E01BB"/>
    <w:rsid w:val="005E0264"/>
    <w:rsid w:val="005E0625"/>
    <w:rsid w:val="005E063B"/>
    <w:rsid w:val="005E0666"/>
    <w:rsid w:val="005E069C"/>
    <w:rsid w:val="005E06CF"/>
    <w:rsid w:val="005E0A6F"/>
    <w:rsid w:val="005E0A9A"/>
    <w:rsid w:val="005E0ACE"/>
    <w:rsid w:val="005E0ADC"/>
    <w:rsid w:val="005E0B68"/>
    <w:rsid w:val="005E0B8C"/>
    <w:rsid w:val="005E0C87"/>
    <w:rsid w:val="005E0CCC"/>
    <w:rsid w:val="005E0DCE"/>
    <w:rsid w:val="005E0F90"/>
    <w:rsid w:val="005E0FE6"/>
    <w:rsid w:val="005E106C"/>
    <w:rsid w:val="005E1074"/>
    <w:rsid w:val="005E1112"/>
    <w:rsid w:val="005E1192"/>
    <w:rsid w:val="005E124C"/>
    <w:rsid w:val="005E1250"/>
    <w:rsid w:val="005E12B8"/>
    <w:rsid w:val="005E12FB"/>
    <w:rsid w:val="005E13DA"/>
    <w:rsid w:val="005E157F"/>
    <w:rsid w:val="005E159E"/>
    <w:rsid w:val="005E15D9"/>
    <w:rsid w:val="005E160E"/>
    <w:rsid w:val="005E164B"/>
    <w:rsid w:val="005E16AB"/>
    <w:rsid w:val="005E173A"/>
    <w:rsid w:val="005E1797"/>
    <w:rsid w:val="005E1907"/>
    <w:rsid w:val="005E1A2B"/>
    <w:rsid w:val="005E1A7A"/>
    <w:rsid w:val="005E1AB3"/>
    <w:rsid w:val="005E1B23"/>
    <w:rsid w:val="005E1BCA"/>
    <w:rsid w:val="005E1C3E"/>
    <w:rsid w:val="005E1CF9"/>
    <w:rsid w:val="005E1D18"/>
    <w:rsid w:val="005E1D60"/>
    <w:rsid w:val="005E1E02"/>
    <w:rsid w:val="005E1E1E"/>
    <w:rsid w:val="005E1EC9"/>
    <w:rsid w:val="005E1F73"/>
    <w:rsid w:val="005E2010"/>
    <w:rsid w:val="005E21FD"/>
    <w:rsid w:val="005E22B0"/>
    <w:rsid w:val="005E2425"/>
    <w:rsid w:val="005E25EC"/>
    <w:rsid w:val="005E25ED"/>
    <w:rsid w:val="005E2651"/>
    <w:rsid w:val="005E26D1"/>
    <w:rsid w:val="005E270C"/>
    <w:rsid w:val="005E27C6"/>
    <w:rsid w:val="005E2849"/>
    <w:rsid w:val="005E284A"/>
    <w:rsid w:val="005E2886"/>
    <w:rsid w:val="005E28EE"/>
    <w:rsid w:val="005E2962"/>
    <w:rsid w:val="005E2BBA"/>
    <w:rsid w:val="005E2BEE"/>
    <w:rsid w:val="005E2C87"/>
    <w:rsid w:val="005E2CEA"/>
    <w:rsid w:val="005E2DB8"/>
    <w:rsid w:val="005E2E9B"/>
    <w:rsid w:val="005E2F2F"/>
    <w:rsid w:val="005E2F6E"/>
    <w:rsid w:val="005E2F91"/>
    <w:rsid w:val="005E3039"/>
    <w:rsid w:val="005E3092"/>
    <w:rsid w:val="005E30B4"/>
    <w:rsid w:val="005E3148"/>
    <w:rsid w:val="005E319E"/>
    <w:rsid w:val="005E3218"/>
    <w:rsid w:val="005E321A"/>
    <w:rsid w:val="005E3227"/>
    <w:rsid w:val="005E322E"/>
    <w:rsid w:val="005E323B"/>
    <w:rsid w:val="005E331D"/>
    <w:rsid w:val="005E3385"/>
    <w:rsid w:val="005E33CB"/>
    <w:rsid w:val="005E3435"/>
    <w:rsid w:val="005E3491"/>
    <w:rsid w:val="005E375D"/>
    <w:rsid w:val="005E37C7"/>
    <w:rsid w:val="005E3A6C"/>
    <w:rsid w:val="005E3AB0"/>
    <w:rsid w:val="005E3BDC"/>
    <w:rsid w:val="005E3CC2"/>
    <w:rsid w:val="005E3D41"/>
    <w:rsid w:val="005E3D70"/>
    <w:rsid w:val="005E3DF5"/>
    <w:rsid w:val="005E3E06"/>
    <w:rsid w:val="005E3E56"/>
    <w:rsid w:val="005E3E89"/>
    <w:rsid w:val="005E3ED8"/>
    <w:rsid w:val="005E3F44"/>
    <w:rsid w:val="005E3F83"/>
    <w:rsid w:val="005E3FC1"/>
    <w:rsid w:val="005E4159"/>
    <w:rsid w:val="005E4165"/>
    <w:rsid w:val="005E41CF"/>
    <w:rsid w:val="005E4293"/>
    <w:rsid w:val="005E4363"/>
    <w:rsid w:val="005E45BB"/>
    <w:rsid w:val="005E46D7"/>
    <w:rsid w:val="005E4717"/>
    <w:rsid w:val="005E47A9"/>
    <w:rsid w:val="005E48BC"/>
    <w:rsid w:val="005E49B6"/>
    <w:rsid w:val="005E4A8A"/>
    <w:rsid w:val="005E4B1D"/>
    <w:rsid w:val="005E4B1E"/>
    <w:rsid w:val="005E4B36"/>
    <w:rsid w:val="005E4BF2"/>
    <w:rsid w:val="005E4C5F"/>
    <w:rsid w:val="005E4CB9"/>
    <w:rsid w:val="005E4D8C"/>
    <w:rsid w:val="005E4E61"/>
    <w:rsid w:val="005E4F17"/>
    <w:rsid w:val="005E4F6B"/>
    <w:rsid w:val="005E4FC4"/>
    <w:rsid w:val="005E5024"/>
    <w:rsid w:val="005E50F8"/>
    <w:rsid w:val="005E55D3"/>
    <w:rsid w:val="005E5634"/>
    <w:rsid w:val="005E56F0"/>
    <w:rsid w:val="005E57C1"/>
    <w:rsid w:val="005E586F"/>
    <w:rsid w:val="005E5969"/>
    <w:rsid w:val="005E5993"/>
    <w:rsid w:val="005E59A6"/>
    <w:rsid w:val="005E59D0"/>
    <w:rsid w:val="005E5AB1"/>
    <w:rsid w:val="005E5D8A"/>
    <w:rsid w:val="005E5D8E"/>
    <w:rsid w:val="005E5E10"/>
    <w:rsid w:val="005E5E6E"/>
    <w:rsid w:val="005E606E"/>
    <w:rsid w:val="005E607C"/>
    <w:rsid w:val="005E6095"/>
    <w:rsid w:val="005E60D7"/>
    <w:rsid w:val="005E615B"/>
    <w:rsid w:val="005E6226"/>
    <w:rsid w:val="005E6247"/>
    <w:rsid w:val="005E62A6"/>
    <w:rsid w:val="005E6303"/>
    <w:rsid w:val="005E63A7"/>
    <w:rsid w:val="005E645C"/>
    <w:rsid w:val="005E6478"/>
    <w:rsid w:val="005E6484"/>
    <w:rsid w:val="005E64A9"/>
    <w:rsid w:val="005E6518"/>
    <w:rsid w:val="005E65AA"/>
    <w:rsid w:val="005E6609"/>
    <w:rsid w:val="005E668B"/>
    <w:rsid w:val="005E6719"/>
    <w:rsid w:val="005E6788"/>
    <w:rsid w:val="005E67F8"/>
    <w:rsid w:val="005E680C"/>
    <w:rsid w:val="005E6852"/>
    <w:rsid w:val="005E697A"/>
    <w:rsid w:val="005E6A66"/>
    <w:rsid w:val="005E6B5B"/>
    <w:rsid w:val="005E6B6D"/>
    <w:rsid w:val="005E6BD2"/>
    <w:rsid w:val="005E6BFF"/>
    <w:rsid w:val="005E6CD5"/>
    <w:rsid w:val="005E6D0A"/>
    <w:rsid w:val="005E6D44"/>
    <w:rsid w:val="005E6DBD"/>
    <w:rsid w:val="005E6DFF"/>
    <w:rsid w:val="005E6E2B"/>
    <w:rsid w:val="005E6FBD"/>
    <w:rsid w:val="005E70B7"/>
    <w:rsid w:val="005E70EC"/>
    <w:rsid w:val="005E713A"/>
    <w:rsid w:val="005E7344"/>
    <w:rsid w:val="005E73B6"/>
    <w:rsid w:val="005E755F"/>
    <w:rsid w:val="005E7569"/>
    <w:rsid w:val="005E76C5"/>
    <w:rsid w:val="005E76E6"/>
    <w:rsid w:val="005E775A"/>
    <w:rsid w:val="005E78A2"/>
    <w:rsid w:val="005E78C9"/>
    <w:rsid w:val="005E79B4"/>
    <w:rsid w:val="005E79F4"/>
    <w:rsid w:val="005E7ABD"/>
    <w:rsid w:val="005E7AFE"/>
    <w:rsid w:val="005E7B4D"/>
    <w:rsid w:val="005E7B8D"/>
    <w:rsid w:val="005E7BA5"/>
    <w:rsid w:val="005E7BE1"/>
    <w:rsid w:val="005E7C7A"/>
    <w:rsid w:val="005E7CDA"/>
    <w:rsid w:val="005E7E29"/>
    <w:rsid w:val="005E7E30"/>
    <w:rsid w:val="005E7E4C"/>
    <w:rsid w:val="005E7EC0"/>
    <w:rsid w:val="005E7F42"/>
    <w:rsid w:val="005E7FAC"/>
    <w:rsid w:val="005E80EF"/>
    <w:rsid w:val="005ECFF6"/>
    <w:rsid w:val="005F0137"/>
    <w:rsid w:val="005F018D"/>
    <w:rsid w:val="005F02C6"/>
    <w:rsid w:val="005F02E3"/>
    <w:rsid w:val="005F0358"/>
    <w:rsid w:val="005F0380"/>
    <w:rsid w:val="005F03B6"/>
    <w:rsid w:val="005F03BB"/>
    <w:rsid w:val="005F0645"/>
    <w:rsid w:val="005F064E"/>
    <w:rsid w:val="005F0703"/>
    <w:rsid w:val="005F0729"/>
    <w:rsid w:val="005F074A"/>
    <w:rsid w:val="005F0754"/>
    <w:rsid w:val="005F0755"/>
    <w:rsid w:val="005F081D"/>
    <w:rsid w:val="005F08AA"/>
    <w:rsid w:val="005F0935"/>
    <w:rsid w:val="005F0936"/>
    <w:rsid w:val="005F09FB"/>
    <w:rsid w:val="005F0AB3"/>
    <w:rsid w:val="005F0B3A"/>
    <w:rsid w:val="005F0B4C"/>
    <w:rsid w:val="005F0B65"/>
    <w:rsid w:val="005F0BC1"/>
    <w:rsid w:val="005F0CBA"/>
    <w:rsid w:val="005F0D53"/>
    <w:rsid w:val="005F0D73"/>
    <w:rsid w:val="005F0F07"/>
    <w:rsid w:val="005F0F24"/>
    <w:rsid w:val="005F0F9D"/>
    <w:rsid w:val="005F10C0"/>
    <w:rsid w:val="005F10E5"/>
    <w:rsid w:val="005F1102"/>
    <w:rsid w:val="005F1123"/>
    <w:rsid w:val="005F114A"/>
    <w:rsid w:val="005F11A9"/>
    <w:rsid w:val="005F1249"/>
    <w:rsid w:val="005F1272"/>
    <w:rsid w:val="005F12FB"/>
    <w:rsid w:val="005F1364"/>
    <w:rsid w:val="005F13A4"/>
    <w:rsid w:val="005F13A9"/>
    <w:rsid w:val="005F15E0"/>
    <w:rsid w:val="005F160D"/>
    <w:rsid w:val="005F16CE"/>
    <w:rsid w:val="005F16EA"/>
    <w:rsid w:val="005F1753"/>
    <w:rsid w:val="005F1761"/>
    <w:rsid w:val="005F1772"/>
    <w:rsid w:val="005F179F"/>
    <w:rsid w:val="005F19FE"/>
    <w:rsid w:val="005F1A2F"/>
    <w:rsid w:val="005F1AA0"/>
    <w:rsid w:val="005F1ABC"/>
    <w:rsid w:val="005F1ADF"/>
    <w:rsid w:val="005F1BFC"/>
    <w:rsid w:val="005F1D66"/>
    <w:rsid w:val="005F1E88"/>
    <w:rsid w:val="005F1F2C"/>
    <w:rsid w:val="005F1F70"/>
    <w:rsid w:val="005F1FBE"/>
    <w:rsid w:val="005F2101"/>
    <w:rsid w:val="005F2110"/>
    <w:rsid w:val="005F2148"/>
    <w:rsid w:val="005F2156"/>
    <w:rsid w:val="005F222B"/>
    <w:rsid w:val="005F225F"/>
    <w:rsid w:val="005F2320"/>
    <w:rsid w:val="005F2373"/>
    <w:rsid w:val="005F2388"/>
    <w:rsid w:val="005F23FD"/>
    <w:rsid w:val="005F2560"/>
    <w:rsid w:val="005F256F"/>
    <w:rsid w:val="005F25AB"/>
    <w:rsid w:val="005F25ED"/>
    <w:rsid w:val="005F2609"/>
    <w:rsid w:val="005F2610"/>
    <w:rsid w:val="005F2700"/>
    <w:rsid w:val="005F2771"/>
    <w:rsid w:val="005F2778"/>
    <w:rsid w:val="005F2879"/>
    <w:rsid w:val="005F2A92"/>
    <w:rsid w:val="005F2C07"/>
    <w:rsid w:val="005F2C77"/>
    <w:rsid w:val="005F2CF8"/>
    <w:rsid w:val="005F2DCD"/>
    <w:rsid w:val="005F2E08"/>
    <w:rsid w:val="005F2F2E"/>
    <w:rsid w:val="005F3088"/>
    <w:rsid w:val="005F30D8"/>
    <w:rsid w:val="005F3245"/>
    <w:rsid w:val="005F32B5"/>
    <w:rsid w:val="005F3369"/>
    <w:rsid w:val="005F33FF"/>
    <w:rsid w:val="005F3566"/>
    <w:rsid w:val="005F35FD"/>
    <w:rsid w:val="005F362E"/>
    <w:rsid w:val="005F36DC"/>
    <w:rsid w:val="005F37AB"/>
    <w:rsid w:val="005F38F3"/>
    <w:rsid w:val="005F3948"/>
    <w:rsid w:val="005F39AE"/>
    <w:rsid w:val="005F3A41"/>
    <w:rsid w:val="005F3B40"/>
    <w:rsid w:val="005F3D03"/>
    <w:rsid w:val="005F3D48"/>
    <w:rsid w:val="005F3D81"/>
    <w:rsid w:val="005F3EF2"/>
    <w:rsid w:val="005F3F6D"/>
    <w:rsid w:val="005F4024"/>
    <w:rsid w:val="005F407C"/>
    <w:rsid w:val="005F40E6"/>
    <w:rsid w:val="005F4128"/>
    <w:rsid w:val="005F4132"/>
    <w:rsid w:val="005F414A"/>
    <w:rsid w:val="005F4183"/>
    <w:rsid w:val="005F440B"/>
    <w:rsid w:val="005F446D"/>
    <w:rsid w:val="005F44ED"/>
    <w:rsid w:val="005F4544"/>
    <w:rsid w:val="005F454A"/>
    <w:rsid w:val="005F45C8"/>
    <w:rsid w:val="005F46AC"/>
    <w:rsid w:val="005F476B"/>
    <w:rsid w:val="005F47B3"/>
    <w:rsid w:val="005F47F4"/>
    <w:rsid w:val="005F483C"/>
    <w:rsid w:val="005F486C"/>
    <w:rsid w:val="005F4903"/>
    <w:rsid w:val="005F492A"/>
    <w:rsid w:val="005F4987"/>
    <w:rsid w:val="005F49E4"/>
    <w:rsid w:val="005F4A20"/>
    <w:rsid w:val="005F4C66"/>
    <w:rsid w:val="005F4C78"/>
    <w:rsid w:val="005F4CCA"/>
    <w:rsid w:val="005F4CF5"/>
    <w:rsid w:val="005F4D9C"/>
    <w:rsid w:val="005F4F16"/>
    <w:rsid w:val="005F4FE2"/>
    <w:rsid w:val="005F50D0"/>
    <w:rsid w:val="005F5151"/>
    <w:rsid w:val="005F516E"/>
    <w:rsid w:val="005F52D9"/>
    <w:rsid w:val="005F5457"/>
    <w:rsid w:val="005F55B2"/>
    <w:rsid w:val="005F562B"/>
    <w:rsid w:val="005F5723"/>
    <w:rsid w:val="005F573C"/>
    <w:rsid w:val="005F57C9"/>
    <w:rsid w:val="005F581D"/>
    <w:rsid w:val="005F58DF"/>
    <w:rsid w:val="005F5932"/>
    <w:rsid w:val="005F5A28"/>
    <w:rsid w:val="005F5AB6"/>
    <w:rsid w:val="005F5B01"/>
    <w:rsid w:val="005F5B49"/>
    <w:rsid w:val="005F5CF3"/>
    <w:rsid w:val="005F5E1F"/>
    <w:rsid w:val="005F5EDF"/>
    <w:rsid w:val="005F5F5A"/>
    <w:rsid w:val="005F6059"/>
    <w:rsid w:val="005F6073"/>
    <w:rsid w:val="005F6238"/>
    <w:rsid w:val="005F626D"/>
    <w:rsid w:val="005F648B"/>
    <w:rsid w:val="005F6660"/>
    <w:rsid w:val="005F66FC"/>
    <w:rsid w:val="005F673C"/>
    <w:rsid w:val="005F688A"/>
    <w:rsid w:val="005F68EF"/>
    <w:rsid w:val="005F6915"/>
    <w:rsid w:val="005F6929"/>
    <w:rsid w:val="005F692B"/>
    <w:rsid w:val="005F6AB1"/>
    <w:rsid w:val="005F6ADF"/>
    <w:rsid w:val="005F6B1A"/>
    <w:rsid w:val="005F6BD8"/>
    <w:rsid w:val="005F6C52"/>
    <w:rsid w:val="005F6C6A"/>
    <w:rsid w:val="005F6CB4"/>
    <w:rsid w:val="005F6DA7"/>
    <w:rsid w:val="005F6DD6"/>
    <w:rsid w:val="005F6DEF"/>
    <w:rsid w:val="005F6E10"/>
    <w:rsid w:val="005F6F06"/>
    <w:rsid w:val="005F700E"/>
    <w:rsid w:val="005F719C"/>
    <w:rsid w:val="005F7242"/>
    <w:rsid w:val="005F7337"/>
    <w:rsid w:val="005F74AD"/>
    <w:rsid w:val="005F7524"/>
    <w:rsid w:val="005F753A"/>
    <w:rsid w:val="005F75C0"/>
    <w:rsid w:val="005F76E3"/>
    <w:rsid w:val="005F776F"/>
    <w:rsid w:val="005F7779"/>
    <w:rsid w:val="005F77AD"/>
    <w:rsid w:val="005F789F"/>
    <w:rsid w:val="005F78B9"/>
    <w:rsid w:val="005F7A71"/>
    <w:rsid w:val="005F7B4D"/>
    <w:rsid w:val="005F7C34"/>
    <w:rsid w:val="005F7C47"/>
    <w:rsid w:val="005F7D1E"/>
    <w:rsid w:val="005F7DDE"/>
    <w:rsid w:val="006002FC"/>
    <w:rsid w:val="006003E4"/>
    <w:rsid w:val="0060044A"/>
    <w:rsid w:val="00600472"/>
    <w:rsid w:val="006004B6"/>
    <w:rsid w:val="006004CD"/>
    <w:rsid w:val="0060068C"/>
    <w:rsid w:val="006006BC"/>
    <w:rsid w:val="006006ED"/>
    <w:rsid w:val="006006F5"/>
    <w:rsid w:val="00600737"/>
    <w:rsid w:val="006007C2"/>
    <w:rsid w:val="006008FD"/>
    <w:rsid w:val="00600945"/>
    <w:rsid w:val="00600A22"/>
    <w:rsid w:val="00600AD2"/>
    <w:rsid w:val="00600B3C"/>
    <w:rsid w:val="00600B43"/>
    <w:rsid w:val="00600B93"/>
    <w:rsid w:val="00600BFF"/>
    <w:rsid w:val="00600C7C"/>
    <w:rsid w:val="00600D50"/>
    <w:rsid w:val="00600D8F"/>
    <w:rsid w:val="00600ED2"/>
    <w:rsid w:val="00600F31"/>
    <w:rsid w:val="00600F6E"/>
    <w:rsid w:val="00601023"/>
    <w:rsid w:val="00601084"/>
    <w:rsid w:val="00601115"/>
    <w:rsid w:val="0060115D"/>
    <w:rsid w:val="00601454"/>
    <w:rsid w:val="006014B3"/>
    <w:rsid w:val="006014C5"/>
    <w:rsid w:val="00601522"/>
    <w:rsid w:val="006016BE"/>
    <w:rsid w:val="006016D3"/>
    <w:rsid w:val="006016DD"/>
    <w:rsid w:val="006016FB"/>
    <w:rsid w:val="00601709"/>
    <w:rsid w:val="00601887"/>
    <w:rsid w:val="00601892"/>
    <w:rsid w:val="00601A20"/>
    <w:rsid w:val="00601B37"/>
    <w:rsid w:val="00601BF4"/>
    <w:rsid w:val="00601C64"/>
    <w:rsid w:val="00601CC1"/>
    <w:rsid w:val="00601CF1"/>
    <w:rsid w:val="00601D8B"/>
    <w:rsid w:val="00601EAD"/>
    <w:rsid w:val="00601EDB"/>
    <w:rsid w:val="00601FBA"/>
    <w:rsid w:val="006021DE"/>
    <w:rsid w:val="006021F6"/>
    <w:rsid w:val="0060228C"/>
    <w:rsid w:val="006022AB"/>
    <w:rsid w:val="00602322"/>
    <w:rsid w:val="00602328"/>
    <w:rsid w:val="00602454"/>
    <w:rsid w:val="00602490"/>
    <w:rsid w:val="006024CF"/>
    <w:rsid w:val="006025AA"/>
    <w:rsid w:val="006025FD"/>
    <w:rsid w:val="00602609"/>
    <w:rsid w:val="006026AC"/>
    <w:rsid w:val="006027EC"/>
    <w:rsid w:val="00602988"/>
    <w:rsid w:val="00602AA5"/>
    <w:rsid w:val="00602AD3"/>
    <w:rsid w:val="00602B05"/>
    <w:rsid w:val="00602C4E"/>
    <w:rsid w:val="00602D27"/>
    <w:rsid w:val="00602DFF"/>
    <w:rsid w:val="00602F94"/>
    <w:rsid w:val="00602FEC"/>
    <w:rsid w:val="00603022"/>
    <w:rsid w:val="0060304F"/>
    <w:rsid w:val="00603082"/>
    <w:rsid w:val="006030DF"/>
    <w:rsid w:val="00603171"/>
    <w:rsid w:val="0060328D"/>
    <w:rsid w:val="006032B1"/>
    <w:rsid w:val="006032C6"/>
    <w:rsid w:val="006034C2"/>
    <w:rsid w:val="00603775"/>
    <w:rsid w:val="00603794"/>
    <w:rsid w:val="006037DD"/>
    <w:rsid w:val="00603825"/>
    <w:rsid w:val="00603896"/>
    <w:rsid w:val="006038AB"/>
    <w:rsid w:val="00603946"/>
    <w:rsid w:val="006039A0"/>
    <w:rsid w:val="00603AC8"/>
    <w:rsid w:val="00603B1F"/>
    <w:rsid w:val="00603B2C"/>
    <w:rsid w:val="00603C16"/>
    <w:rsid w:val="00603CAD"/>
    <w:rsid w:val="00603D3A"/>
    <w:rsid w:val="00603D9D"/>
    <w:rsid w:val="00603EC3"/>
    <w:rsid w:val="00603ED7"/>
    <w:rsid w:val="00603FC5"/>
    <w:rsid w:val="00604076"/>
    <w:rsid w:val="006040D7"/>
    <w:rsid w:val="00604202"/>
    <w:rsid w:val="00604319"/>
    <w:rsid w:val="0060433B"/>
    <w:rsid w:val="006043DA"/>
    <w:rsid w:val="0060440F"/>
    <w:rsid w:val="00604433"/>
    <w:rsid w:val="006044FA"/>
    <w:rsid w:val="0060451F"/>
    <w:rsid w:val="00604596"/>
    <w:rsid w:val="006045B6"/>
    <w:rsid w:val="00604733"/>
    <w:rsid w:val="0060473E"/>
    <w:rsid w:val="00604751"/>
    <w:rsid w:val="00604818"/>
    <w:rsid w:val="006048FD"/>
    <w:rsid w:val="00604931"/>
    <w:rsid w:val="006049D5"/>
    <w:rsid w:val="00604A04"/>
    <w:rsid w:val="00604A1C"/>
    <w:rsid w:val="00604B45"/>
    <w:rsid w:val="00604B4C"/>
    <w:rsid w:val="00604B99"/>
    <w:rsid w:val="00604C0F"/>
    <w:rsid w:val="00604DB2"/>
    <w:rsid w:val="00604E9E"/>
    <w:rsid w:val="00604F03"/>
    <w:rsid w:val="00604FAC"/>
    <w:rsid w:val="0060509E"/>
    <w:rsid w:val="006050FC"/>
    <w:rsid w:val="00605147"/>
    <w:rsid w:val="006051E0"/>
    <w:rsid w:val="006052E0"/>
    <w:rsid w:val="006052EC"/>
    <w:rsid w:val="00605388"/>
    <w:rsid w:val="0060538B"/>
    <w:rsid w:val="00605479"/>
    <w:rsid w:val="006054C2"/>
    <w:rsid w:val="0060553A"/>
    <w:rsid w:val="0060554B"/>
    <w:rsid w:val="006055C3"/>
    <w:rsid w:val="00605620"/>
    <w:rsid w:val="0060571B"/>
    <w:rsid w:val="006057C4"/>
    <w:rsid w:val="0060588B"/>
    <w:rsid w:val="00605AA7"/>
    <w:rsid w:val="00605BA6"/>
    <w:rsid w:val="00605C4B"/>
    <w:rsid w:val="00605CC3"/>
    <w:rsid w:val="00605CEC"/>
    <w:rsid w:val="00605DD6"/>
    <w:rsid w:val="00605E55"/>
    <w:rsid w:val="00605E8A"/>
    <w:rsid w:val="00605E96"/>
    <w:rsid w:val="00605F60"/>
    <w:rsid w:val="00605F7B"/>
    <w:rsid w:val="00605FA2"/>
    <w:rsid w:val="0060611E"/>
    <w:rsid w:val="0060612D"/>
    <w:rsid w:val="0060617E"/>
    <w:rsid w:val="0060618F"/>
    <w:rsid w:val="0060621B"/>
    <w:rsid w:val="0060621F"/>
    <w:rsid w:val="0060627E"/>
    <w:rsid w:val="006062E1"/>
    <w:rsid w:val="00606313"/>
    <w:rsid w:val="006064B2"/>
    <w:rsid w:val="0060658D"/>
    <w:rsid w:val="00606672"/>
    <w:rsid w:val="006066BA"/>
    <w:rsid w:val="00606704"/>
    <w:rsid w:val="00606870"/>
    <w:rsid w:val="00606903"/>
    <w:rsid w:val="006069DD"/>
    <w:rsid w:val="00606B55"/>
    <w:rsid w:val="00606BA8"/>
    <w:rsid w:val="00606BF4"/>
    <w:rsid w:val="00606C0E"/>
    <w:rsid w:val="00606C10"/>
    <w:rsid w:val="00606C28"/>
    <w:rsid w:val="00606C6A"/>
    <w:rsid w:val="00606CD3"/>
    <w:rsid w:val="00606D12"/>
    <w:rsid w:val="00606D79"/>
    <w:rsid w:val="00606ED2"/>
    <w:rsid w:val="006070FA"/>
    <w:rsid w:val="006071B2"/>
    <w:rsid w:val="006071D5"/>
    <w:rsid w:val="00607223"/>
    <w:rsid w:val="00607234"/>
    <w:rsid w:val="00607382"/>
    <w:rsid w:val="0060739F"/>
    <w:rsid w:val="006073FB"/>
    <w:rsid w:val="00607581"/>
    <w:rsid w:val="006075BB"/>
    <w:rsid w:val="006075D3"/>
    <w:rsid w:val="0060764C"/>
    <w:rsid w:val="00607742"/>
    <w:rsid w:val="00607969"/>
    <w:rsid w:val="00607989"/>
    <w:rsid w:val="006079F3"/>
    <w:rsid w:val="00607A5B"/>
    <w:rsid w:val="00607ABC"/>
    <w:rsid w:val="00607AE2"/>
    <w:rsid w:val="00607B60"/>
    <w:rsid w:val="00607B6F"/>
    <w:rsid w:val="00607BA6"/>
    <w:rsid w:val="00607D41"/>
    <w:rsid w:val="00607DB6"/>
    <w:rsid w:val="00607E41"/>
    <w:rsid w:val="00607EDD"/>
    <w:rsid w:val="00607F37"/>
    <w:rsid w:val="00610016"/>
    <w:rsid w:val="00610069"/>
    <w:rsid w:val="006100C8"/>
    <w:rsid w:val="0061025B"/>
    <w:rsid w:val="00610271"/>
    <w:rsid w:val="006102EA"/>
    <w:rsid w:val="00610371"/>
    <w:rsid w:val="006103F5"/>
    <w:rsid w:val="006104A8"/>
    <w:rsid w:val="006104F3"/>
    <w:rsid w:val="00610537"/>
    <w:rsid w:val="0061054F"/>
    <w:rsid w:val="00610697"/>
    <w:rsid w:val="00610727"/>
    <w:rsid w:val="00610731"/>
    <w:rsid w:val="00610748"/>
    <w:rsid w:val="006107ED"/>
    <w:rsid w:val="00610903"/>
    <w:rsid w:val="00610927"/>
    <w:rsid w:val="00610ADD"/>
    <w:rsid w:val="00610AF8"/>
    <w:rsid w:val="00610B85"/>
    <w:rsid w:val="00610C64"/>
    <w:rsid w:val="00610DD7"/>
    <w:rsid w:val="00610E14"/>
    <w:rsid w:val="00610EB2"/>
    <w:rsid w:val="00610ED6"/>
    <w:rsid w:val="00610F66"/>
    <w:rsid w:val="00610FE8"/>
    <w:rsid w:val="0061111F"/>
    <w:rsid w:val="0061127B"/>
    <w:rsid w:val="00611395"/>
    <w:rsid w:val="006113BE"/>
    <w:rsid w:val="0061142D"/>
    <w:rsid w:val="00611431"/>
    <w:rsid w:val="006115B3"/>
    <w:rsid w:val="00611677"/>
    <w:rsid w:val="006117FA"/>
    <w:rsid w:val="006119B1"/>
    <w:rsid w:val="006119BC"/>
    <w:rsid w:val="006119DB"/>
    <w:rsid w:val="00611A11"/>
    <w:rsid w:val="00611A83"/>
    <w:rsid w:val="00611B0B"/>
    <w:rsid w:val="00611B32"/>
    <w:rsid w:val="00611B87"/>
    <w:rsid w:val="00611BA6"/>
    <w:rsid w:val="00611C6A"/>
    <w:rsid w:val="00611C6C"/>
    <w:rsid w:val="00611C82"/>
    <w:rsid w:val="00611EB1"/>
    <w:rsid w:val="00611F05"/>
    <w:rsid w:val="00611F0B"/>
    <w:rsid w:val="00611F6F"/>
    <w:rsid w:val="00611F71"/>
    <w:rsid w:val="006120A3"/>
    <w:rsid w:val="00612100"/>
    <w:rsid w:val="00612199"/>
    <w:rsid w:val="00612242"/>
    <w:rsid w:val="006122A4"/>
    <w:rsid w:val="006122BC"/>
    <w:rsid w:val="00612356"/>
    <w:rsid w:val="00612443"/>
    <w:rsid w:val="00612466"/>
    <w:rsid w:val="006124A3"/>
    <w:rsid w:val="006124D7"/>
    <w:rsid w:val="006124E7"/>
    <w:rsid w:val="00612529"/>
    <w:rsid w:val="0061266B"/>
    <w:rsid w:val="0061267A"/>
    <w:rsid w:val="006126B9"/>
    <w:rsid w:val="006126E3"/>
    <w:rsid w:val="006127D6"/>
    <w:rsid w:val="00612807"/>
    <w:rsid w:val="0061284D"/>
    <w:rsid w:val="00612953"/>
    <w:rsid w:val="0061295E"/>
    <w:rsid w:val="006129C4"/>
    <w:rsid w:val="00612A19"/>
    <w:rsid w:val="00612A35"/>
    <w:rsid w:val="00612B43"/>
    <w:rsid w:val="00612D1E"/>
    <w:rsid w:val="00612D2D"/>
    <w:rsid w:val="00612D3A"/>
    <w:rsid w:val="00612DA1"/>
    <w:rsid w:val="00612EC4"/>
    <w:rsid w:val="00612EF0"/>
    <w:rsid w:val="00612FAA"/>
    <w:rsid w:val="006130CA"/>
    <w:rsid w:val="0061320B"/>
    <w:rsid w:val="00613284"/>
    <w:rsid w:val="00613393"/>
    <w:rsid w:val="0061339C"/>
    <w:rsid w:val="006134BA"/>
    <w:rsid w:val="006134E6"/>
    <w:rsid w:val="006134F3"/>
    <w:rsid w:val="00613506"/>
    <w:rsid w:val="00613610"/>
    <w:rsid w:val="0061364D"/>
    <w:rsid w:val="006136BB"/>
    <w:rsid w:val="006136BD"/>
    <w:rsid w:val="00613723"/>
    <w:rsid w:val="00613759"/>
    <w:rsid w:val="006137A9"/>
    <w:rsid w:val="006138FB"/>
    <w:rsid w:val="006139AD"/>
    <w:rsid w:val="00613A91"/>
    <w:rsid w:val="00613ADC"/>
    <w:rsid w:val="00613B13"/>
    <w:rsid w:val="00613BA4"/>
    <w:rsid w:val="00613C71"/>
    <w:rsid w:val="00613CA7"/>
    <w:rsid w:val="00613E2A"/>
    <w:rsid w:val="00613E42"/>
    <w:rsid w:val="00613E8C"/>
    <w:rsid w:val="00613EB5"/>
    <w:rsid w:val="00613ED7"/>
    <w:rsid w:val="00613F43"/>
    <w:rsid w:val="00613F6C"/>
    <w:rsid w:val="0061406C"/>
    <w:rsid w:val="006140DF"/>
    <w:rsid w:val="006140FC"/>
    <w:rsid w:val="0061411D"/>
    <w:rsid w:val="0061444E"/>
    <w:rsid w:val="006145C4"/>
    <w:rsid w:val="006145E7"/>
    <w:rsid w:val="006146B0"/>
    <w:rsid w:val="00614747"/>
    <w:rsid w:val="0061474B"/>
    <w:rsid w:val="00614828"/>
    <w:rsid w:val="0061488F"/>
    <w:rsid w:val="006148B8"/>
    <w:rsid w:val="006148D1"/>
    <w:rsid w:val="006149E6"/>
    <w:rsid w:val="00614B59"/>
    <w:rsid w:val="00614BF9"/>
    <w:rsid w:val="00614C13"/>
    <w:rsid w:val="00614C15"/>
    <w:rsid w:val="00614C3E"/>
    <w:rsid w:val="00614D81"/>
    <w:rsid w:val="00614D83"/>
    <w:rsid w:val="00614D8C"/>
    <w:rsid w:val="00614D92"/>
    <w:rsid w:val="00614E56"/>
    <w:rsid w:val="00614EA2"/>
    <w:rsid w:val="00614F3D"/>
    <w:rsid w:val="00615023"/>
    <w:rsid w:val="00615046"/>
    <w:rsid w:val="00615079"/>
    <w:rsid w:val="006150A2"/>
    <w:rsid w:val="006151B7"/>
    <w:rsid w:val="0061520D"/>
    <w:rsid w:val="006152F8"/>
    <w:rsid w:val="00615387"/>
    <w:rsid w:val="0061548C"/>
    <w:rsid w:val="0061549C"/>
    <w:rsid w:val="006154BD"/>
    <w:rsid w:val="00615530"/>
    <w:rsid w:val="00615545"/>
    <w:rsid w:val="0061570F"/>
    <w:rsid w:val="0061573A"/>
    <w:rsid w:val="00615756"/>
    <w:rsid w:val="006157CF"/>
    <w:rsid w:val="0061583E"/>
    <w:rsid w:val="00615918"/>
    <w:rsid w:val="00615B47"/>
    <w:rsid w:val="00615B6C"/>
    <w:rsid w:val="00615CC5"/>
    <w:rsid w:val="00615D67"/>
    <w:rsid w:val="00615DF1"/>
    <w:rsid w:val="00615E76"/>
    <w:rsid w:val="00615EF1"/>
    <w:rsid w:val="00615F8D"/>
    <w:rsid w:val="00616085"/>
    <w:rsid w:val="00616109"/>
    <w:rsid w:val="006161A4"/>
    <w:rsid w:val="0061623E"/>
    <w:rsid w:val="00616276"/>
    <w:rsid w:val="00616418"/>
    <w:rsid w:val="0061644C"/>
    <w:rsid w:val="0061654F"/>
    <w:rsid w:val="00616560"/>
    <w:rsid w:val="006166C3"/>
    <w:rsid w:val="00616894"/>
    <w:rsid w:val="00616918"/>
    <w:rsid w:val="006169CD"/>
    <w:rsid w:val="00616AA7"/>
    <w:rsid w:val="00616ACF"/>
    <w:rsid w:val="00616AE3"/>
    <w:rsid w:val="00616B62"/>
    <w:rsid w:val="00616B67"/>
    <w:rsid w:val="00616B69"/>
    <w:rsid w:val="00616C1E"/>
    <w:rsid w:val="00616CC0"/>
    <w:rsid w:val="00616D36"/>
    <w:rsid w:val="00616D80"/>
    <w:rsid w:val="00617004"/>
    <w:rsid w:val="00617009"/>
    <w:rsid w:val="00617054"/>
    <w:rsid w:val="00617092"/>
    <w:rsid w:val="006171B0"/>
    <w:rsid w:val="006172A5"/>
    <w:rsid w:val="006172A7"/>
    <w:rsid w:val="006172EA"/>
    <w:rsid w:val="006173C5"/>
    <w:rsid w:val="00617479"/>
    <w:rsid w:val="0061758F"/>
    <w:rsid w:val="006175A1"/>
    <w:rsid w:val="006176DA"/>
    <w:rsid w:val="00617832"/>
    <w:rsid w:val="00617856"/>
    <w:rsid w:val="006178E0"/>
    <w:rsid w:val="006179A3"/>
    <w:rsid w:val="00617B37"/>
    <w:rsid w:val="00617C61"/>
    <w:rsid w:val="00617CC2"/>
    <w:rsid w:val="00617CD7"/>
    <w:rsid w:val="00617DBA"/>
    <w:rsid w:val="00617DF8"/>
    <w:rsid w:val="00617E31"/>
    <w:rsid w:val="00617EEE"/>
    <w:rsid w:val="00617EF1"/>
    <w:rsid w:val="0062003F"/>
    <w:rsid w:val="006201D9"/>
    <w:rsid w:val="0062028A"/>
    <w:rsid w:val="006203C5"/>
    <w:rsid w:val="006203D7"/>
    <w:rsid w:val="006203EF"/>
    <w:rsid w:val="006203F9"/>
    <w:rsid w:val="006204D6"/>
    <w:rsid w:val="006206C0"/>
    <w:rsid w:val="00620703"/>
    <w:rsid w:val="00620704"/>
    <w:rsid w:val="00620A03"/>
    <w:rsid w:val="00620A56"/>
    <w:rsid w:val="00620A5F"/>
    <w:rsid w:val="00620A83"/>
    <w:rsid w:val="00620C18"/>
    <w:rsid w:val="00620C44"/>
    <w:rsid w:val="00620CA4"/>
    <w:rsid w:val="00620D4D"/>
    <w:rsid w:val="00620E00"/>
    <w:rsid w:val="00620E42"/>
    <w:rsid w:val="00620E5E"/>
    <w:rsid w:val="00620F51"/>
    <w:rsid w:val="00621003"/>
    <w:rsid w:val="006211CB"/>
    <w:rsid w:val="00621200"/>
    <w:rsid w:val="00621224"/>
    <w:rsid w:val="0062124B"/>
    <w:rsid w:val="006212B6"/>
    <w:rsid w:val="006212D3"/>
    <w:rsid w:val="006212EE"/>
    <w:rsid w:val="00621380"/>
    <w:rsid w:val="00621405"/>
    <w:rsid w:val="0062141B"/>
    <w:rsid w:val="0062152C"/>
    <w:rsid w:val="0062156A"/>
    <w:rsid w:val="00621622"/>
    <w:rsid w:val="00621631"/>
    <w:rsid w:val="0062174F"/>
    <w:rsid w:val="0062178C"/>
    <w:rsid w:val="006217CC"/>
    <w:rsid w:val="00621804"/>
    <w:rsid w:val="00621805"/>
    <w:rsid w:val="00621830"/>
    <w:rsid w:val="00621854"/>
    <w:rsid w:val="0062185D"/>
    <w:rsid w:val="006218BF"/>
    <w:rsid w:val="00621911"/>
    <w:rsid w:val="00621926"/>
    <w:rsid w:val="006219F0"/>
    <w:rsid w:val="00621A1D"/>
    <w:rsid w:val="00621A31"/>
    <w:rsid w:val="00621AD1"/>
    <w:rsid w:val="00621B30"/>
    <w:rsid w:val="00621B4E"/>
    <w:rsid w:val="00621BC5"/>
    <w:rsid w:val="00621C0C"/>
    <w:rsid w:val="00621C57"/>
    <w:rsid w:val="00621C67"/>
    <w:rsid w:val="00621C90"/>
    <w:rsid w:val="00621CA4"/>
    <w:rsid w:val="00621D76"/>
    <w:rsid w:val="00621D8B"/>
    <w:rsid w:val="00621D99"/>
    <w:rsid w:val="00621DE6"/>
    <w:rsid w:val="00621E6C"/>
    <w:rsid w:val="00621FCA"/>
    <w:rsid w:val="0062206B"/>
    <w:rsid w:val="00622085"/>
    <w:rsid w:val="00622190"/>
    <w:rsid w:val="006221F4"/>
    <w:rsid w:val="00622330"/>
    <w:rsid w:val="00622342"/>
    <w:rsid w:val="00622359"/>
    <w:rsid w:val="006223BC"/>
    <w:rsid w:val="006223EE"/>
    <w:rsid w:val="0062246B"/>
    <w:rsid w:val="006224FD"/>
    <w:rsid w:val="0062254B"/>
    <w:rsid w:val="0062256E"/>
    <w:rsid w:val="00622578"/>
    <w:rsid w:val="006226AF"/>
    <w:rsid w:val="006226BD"/>
    <w:rsid w:val="006226E3"/>
    <w:rsid w:val="00622702"/>
    <w:rsid w:val="00622706"/>
    <w:rsid w:val="00622727"/>
    <w:rsid w:val="0062272B"/>
    <w:rsid w:val="00622797"/>
    <w:rsid w:val="00622965"/>
    <w:rsid w:val="006229F7"/>
    <w:rsid w:val="00622A25"/>
    <w:rsid w:val="00622A75"/>
    <w:rsid w:val="00622B29"/>
    <w:rsid w:val="00622B68"/>
    <w:rsid w:val="00622B79"/>
    <w:rsid w:val="00622B99"/>
    <w:rsid w:val="00622C4F"/>
    <w:rsid w:val="00622E36"/>
    <w:rsid w:val="00622EA8"/>
    <w:rsid w:val="00622FC4"/>
    <w:rsid w:val="00623121"/>
    <w:rsid w:val="00623163"/>
    <w:rsid w:val="006231F6"/>
    <w:rsid w:val="006232A1"/>
    <w:rsid w:val="006232AB"/>
    <w:rsid w:val="006232CA"/>
    <w:rsid w:val="006232D7"/>
    <w:rsid w:val="0062337E"/>
    <w:rsid w:val="00623391"/>
    <w:rsid w:val="006233EC"/>
    <w:rsid w:val="0062341A"/>
    <w:rsid w:val="00623423"/>
    <w:rsid w:val="00623513"/>
    <w:rsid w:val="00623564"/>
    <w:rsid w:val="006235DB"/>
    <w:rsid w:val="00623666"/>
    <w:rsid w:val="0062369A"/>
    <w:rsid w:val="006236C9"/>
    <w:rsid w:val="006237DA"/>
    <w:rsid w:val="006237ED"/>
    <w:rsid w:val="00623A1F"/>
    <w:rsid w:val="00623A5A"/>
    <w:rsid w:val="00623ADD"/>
    <w:rsid w:val="00623C91"/>
    <w:rsid w:val="00623CA3"/>
    <w:rsid w:val="00623D9D"/>
    <w:rsid w:val="00623EBE"/>
    <w:rsid w:val="00623F18"/>
    <w:rsid w:val="00623F20"/>
    <w:rsid w:val="00623F9B"/>
    <w:rsid w:val="006240E0"/>
    <w:rsid w:val="00624126"/>
    <w:rsid w:val="006242CA"/>
    <w:rsid w:val="00624327"/>
    <w:rsid w:val="006244C4"/>
    <w:rsid w:val="006244E4"/>
    <w:rsid w:val="006244F2"/>
    <w:rsid w:val="0062457F"/>
    <w:rsid w:val="006245D7"/>
    <w:rsid w:val="00624768"/>
    <w:rsid w:val="0062476A"/>
    <w:rsid w:val="00624814"/>
    <w:rsid w:val="00624850"/>
    <w:rsid w:val="0062487B"/>
    <w:rsid w:val="00624973"/>
    <w:rsid w:val="00624A02"/>
    <w:rsid w:val="00624AF3"/>
    <w:rsid w:val="00624B69"/>
    <w:rsid w:val="00624B92"/>
    <w:rsid w:val="00624BE0"/>
    <w:rsid w:val="00624D23"/>
    <w:rsid w:val="00624D40"/>
    <w:rsid w:val="00624D6D"/>
    <w:rsid w:val="00624D78"/>
    <w:rsid w:val="00624DBC"/>
    <w:rsid w:val="00624DE1"/>
    <w:rsid w:val="00624EE5"/>
    <w:rsid w:val="00624F83"/>
    <w:rsid w:val="00624F94"/>
    <w:rsid w:val="0062500F"/>
    <w:rsid w:val="0062505B"/>
    <w:rsid w:val="006250EB"/>
    <w:rsid w:val="00625183"/>
    <w:rsid w:val="0062518F"/>
    <w:rsid w:val="0062534A"/>
    <w:rsid w:val="00625374"/>
    <w:rsid w:val="00625393"/>
    <w:rsid w:val="006253CE"/>
    <w:rsid w:val="006254B0"/>
    <w:rsid w:val="00625636"/>
    <w:rsid w:val="0062563D"/>
    <w:rsid w:val="006256F6"/>
    <w:rsid w:val="0062571D"/>
    <w:rsid w:val="0062578A"/>
    <w:rsid w:val="006257BA"/>
    <w:rsid w:val="00625878"/>
    <w:rsid w:val="006258CC"/>
    <w:rsid w:val="006258FC"/>
    <w:rsid w:val="0062596B"/>
    <w:rsid w:val="006259C8"/>
    <w:rsid w:val="006259DA"/>
    <w:rsid w:val="00625C52"/>
    <w:rsid w:val="00625C9F"/>
    <w:rsid w:val="00625CA7"/>
    <w:rsid w:val="00625D0D"/>
    <w:rsid w:val="00625D80"/>
    <w:rsid w:val="00625D93"/>
    <w:rsid w:val="00625F03"/>
    <w:rsid w:val="00626091"/>
    <w:rsid w:val="006260B1"/>
    <w:rsid w:val="006260EF"/>
    <w:rsid w:val="00626375"/>
    <w:rsid w:val="006263D7"/>
    <w:rsid w:val="00626413"/>
    <w:rsid w:val="006265A5"/>
    <w:rsid w:val="006265A8"/>
    <w:rsid w:val="006265F2"/>
    <w:rsid w:val="0062665D"/>
    <w:rsid w:val="006266C9"/>
    <w:rsid w:val="00626721"/>
    <w:rsid w:val="00626793"/>
    <w:rsid w:val="00626843"/>
    <w:rsid w:val="00626920"/>
    <w:rsid w:val="006269A8"/>
    <w:rsid w:val="00626A58"/>
    <w:rsid w:val="00626AD9"/>
    <w:rsid w:val="00626D3E"/>
    <w:rsid w:val="00626E10"/>
    <w:rsid w:val="00626EB4"/>
    <w:rsid w:val="00626EE0"/>
    <w:rsid w:val="00627006"/>
    <w:rsid w:val="00627033"/>
    <w:rsid w:val="0062706D"/>
    <w:rsid w:val="006270A4"/>
    <w:rsid w:val="00627258"/>
    <w:rsid w:val="00627309"/>
    <w:rsid w:val="0062732E"/>
    <w:rsid w:val="006273A3"/>
    <w:rsid w:val="006273FB"/>
    <w:rsid w:val="006274C8"/>
    <w:rsid w:val="00627561"/>
    <w:rsid w:val="00627705"/>
    <w:rsid w:val="00627830"/>
    <w:rsid w:val="0062787F"/>
    <w:rsid w:val="006278B4"/>
    <w:rsid w:val="00627920"/>
    <w:rsid w:val="00627B23"/>
    <w:rsid w:val="00627B4D"/>
    <w:rsid w:val="00627BE4"/>
    <w:rsid w:val="00627CFE"/>
    <w:rsid w:val="00627D63"/>
    <w:rsid w:val="00627DB4"/>
    <w:rsid w:val="00627DBD"/>
    <w:rsid w:val="00627DE7"/>
    <w:rsid w:val="00627DF9"/>
    <w:rsid w:val="00627E50"/>
    <w:rsid w:val="0063003E"/>
    <w:rsid w:val="0063009D"/>
    <w:rsid w:val="0063019A"/>
    <w:rsid w:val="006301E1"/>
    <w:rsid w:val="00630268"/>
    <w:rsid w:val="0063031A"/>
    <w:rsid w:val="0063035D"/>
    <w:rsid w:val="0063049B"/>
    <w:rsid w:val="006304BD"/>
    <w:rsid w:val="0063054F"/>
    <w:rsid w:val="0063056E"/>
    <w:rsid w:val="006305F0"/>
    <w:rsid w:val="00630663"/>
    <w:rsid w:val="00630764"/>
    <w:rsid w:val="00630803"/>
    <w:rsid w:val="0063081E"/>
    <w:rsid w:val="00630852"/>
    <w:rsid w:val="006309DE"/>
    <w:rsid w:val="006309FA"/>
    <w:rsid w:val="00630B28"/>
    <w:rsid w:val="00630DF5"/>
    <w:rsid w:val="00630E9A"/>
    <w:rsid w:val="00630EEC"/>
    <w:rsid w:val="00630FA7"/>
    <w:rsid w:val="00631172"/>
    <w:rsid w:val="006311ED"/>
    <w:rsid w:val="00631280"/>
    <w:rsid w:val="006312EE"/>
    <w:rsid w:val="0063137E"/>
    <w:rsid w:val="006313AC"/>
    <w:rsid w:val="006313E6"/>
    <w:rsid w:val="00631480"/>
    <w:rsid w:val="006314FA"/>
    <w:rsid w:val="00631650"/>
    <w:rsid w:val="00631713"/>
    <w:rsid w:val="00631782"/>
    <w:rsid w:val="00631854"/>
    <w:rsid w:val="00631A71"/>
    <w:rsid w:val="00631AFB"/>
    <w:rsid w:val="00631B04"/>
    <w:rsid w:val="00631B6F"/>
    <w:rsid w:val="00631B97"/>
    <w:rsid w:val="00631CBC"/>
    <w:rsid w:val="00631DAA"/>
    <w:rsid w:val="00631E7E"/>
    <w:rsid w:val="00631ED7"/>
    <w:rsid w:val="00631F6B"/>
    <w:rsid w:val="00632101"/>
    <w:rsid w:val="006321C2"/>
    <w:rsid w:val="006322D4"/>
    <w:rsid w:val="006322F1"/>
    <w:rsid w:val="00632466"/>
    <w:rsid w:val="006324C9"/>
    <w:rsid w:val="00632571"/>
    <w:rsid w:val="00632680"/>
    <w:rsid w:val="0063275F"/>
    <w:rsid w:val="00632764"/>
    <w:rsid w:val="006327BD"/>
    <w:rsid w:val="006328A4"/>
    <w:rsid w:val="00632978"/>
    <w:rsid w:val="00632ADE"/>
    <w:rsid w:val="00632B7D"/>
    <w:rsid w:val="00632BAF"/>
    <w:rsid w:val="00632C87"/>
    <w:rsid w:val="00632E07"/>
    <w:rsid w:val="00632E9D"/>
    <w:rsid w:val="00632EB4"/>
    <w:rsid w:val="00632EE5"/>
    <w:rsid w:val="00632F03"/>
    <w:rsid w:val="00632F29"/>
    <w:rsid w:val="00633132"/>
    <w:rsid w:val="0063321F"/>
    <w:rsid w:val="00633433"/>
    <w:rsid w:val="0063343F"/>
    <w:rsid w:val="006334B5"/>
    <w:rsid w:val="006334DE"/>
    <w:rsid w:val="00633514"/>
    <w:rsid w:val="006335C0"/>
    <w:rsid w:val="006335FC"/>
    <w:rsid w:val="00633640"/>
    <w:rsid w:val="00633674"/>
    <w:rsid w:val="00633793"/>
    <w:rsid w:val="006337F1"/>
    <w:rsid w:val="00633857"/>
    <w:rsid w:val="00633981"/>
    <w:rsid w:val="006339EE"/>
    <w:rsid w:val="00633A3B"/>
    <w:rsid w:val="00633A7A"/>
    <w:rsid w:val="00633A97"/>
    <w:rsid w:val="00633AF6"/>
    <w:rsid w:val="00633B84"/>
    <w:rsid w:val="00633C3A"/>
    <w:rsid w:val="00633CA4"/>
    <w:rsid w:val="00633F07"/>
    <w:rsid w:val="00634044"/>
    <w:rsid w:val="00634047"/>
    <w:rsid w:val="0063405E"/>
    <w:rsid w:val="00634162"/>
    <w:rsid w:val="00634191"/>
    <w:rsid w:val="0063425C"/>
    <w:rsid w:val="0063428D"/>
    <w:rsid w:val="006342D0"/>
    <w:rsid w:val="0063433E"/>
    <w:rsid w:val="006343D7"/>
    <w:rsid w:val="00634465"/>
    <w:rsid w:val="0063448E"/>
    <w:rsid w:val="00634514"/>
    <w:rsid w:val="006345A1"/>
    <w:rsid w:val="006345CC"/>
    <w:rsid w:val="0063463E"/>
    <w:rsid w:val="00634641"/>
    <w:rsid w:val="0063464C"/>
    <w:rsid w:val="00634698"/>
    <w:rsid w:val="006346CC"/>
    <w:rsid w:val="006347AF"/>
    <w:rsid w:val="006347ED"/>
    <w:rsid w:val="00634A0E"/>
    <w:rsid w:val="00634A15"/>
    <w:rsid w:val="00634B79"/>
    <w:rsid w:val="00634B96"/>
    <w:rsid w:val="00634BBD"/>
    <w:rsid w:val="00634BD7"/>
    <w:rsid w:val="00634CB3"/>
    <w:rsid w:val="00634EA1"/>
    <w:rsid w:val="00634F0E"/>
    <w:rsid w:val="00634F93"/>
    <w:rsid w:val="0063515E"/>
    <w:rsid w:val="0063528A"/>
    <w:rsid w:val="0063538C"/>
    <w:rsid w:val="00635405"/>
    <w:rsid w:val="006354CB"/>
    <w:rsid w:val="006354E2"/>
    <w:rsid w:val="006355A3"/>
    <w:rsid w:val="006355B6"/>
    <w:rsid w:val="00635693"/>
    <w:rsid w:val="006356E0"/>
    <w:rsid w:val="00635822"/>
    <w:rsid w:val="0063582A"/>
    <w:rsid w:val="00635835"/>
    <w:rsid w:val="00635984"/>
    <w:rsid w:val="006359A7"/>
    <w:rsid w:val="006359DC"/>
    <w:rsid w:val="00635A96"/>
    <w:rsid w:val="00635B43"/>
    <w:rsid w:val="00635B79"/>
    <w:rsid w:val="00635B8A"/>
    <w:rsid w:val="00635CB1"/>
    <w:rsid w:val="00635E00"/>
    <w:rsid w:val="00635E19"/>
    <w:rsid w:val="00635EB1"/>
    <w:rsid w:val="00635EEB"/>
    <w:rsid w:val="00635EFD"/>
    <w:rsid w:val="00636021"/>
    <w:rsid w:val="00636134"/>
    <w:rsid w:val="006362DC"/>
    <w:rsid w:val="0063639E"/>
    <w:rsid w:val="0063641B"/>
    <w:rsid w:val="006364FE"/>
    <w:rsid w:val="00636584"/>
    <w:rsid w:val="0063658C"/>
    <w:rsid w:val="00636689"/>
    <w:rsid w:val="0063685F"/>
    <w:rsid w:val="00636884"/>
    <w:rsid w:val="00636A3F"/>
    <w:rsid w:val="00636AB4"/>
    <w:rsid w:val="00636AE7"/>
    <w:rsid w:val="00636B46"/>
    <w:rsid w:val="00636D2B"/>
    <w:rsid w:val="00636E27"/>
    <w:rsid w:val="00636F77"/>
    <w:rsid w:val="00637090"/>
    <w:rsid w:val="00637171"/>
    <w:rsid w:val="00637276"/>
    <w:rsid w:val="006372EC"/>
    <w:rsid w:val="0063738A"/>
    <w:rsid w:val="00637524"/>
    <w:rsid w:val="00637595"/>
    <w:rsid w:val="006376A5"/>
    <w:rsid w:val="006376E4"/>
    <w:rsid w:val="0063780D"/>
    <w:rsid w:val="006378A5"/>
    <w:rsid w:val="00637A46"/>
    <w:rsid w:val="00637AC1"/>
    <w:rsid w:val="00637CAF"/>
    <w:rsid w:val="00637CBE"/>
    <w:rsid w:val="00637D63"/>
    <w:rsid w:val="00637DF6"/>
    <w:rsid w:val="00637E0F"/>
    <w:rsid w:val="00637E76"/>
    <w:rsid w:val="00637F8C"/>
    <w:rsid w:val="00640023"/>
    <w:rsid w:val="0064003A"/>
    <w:rsid w:val="00640122"/>
    <w:rsid w:val="00640170"/>
    <w:rsid w:val="00640173"/>
    <w:rsid w:val="0064024C"/>
    <w:rsid w:val="0064026C"/>
    <w:rsid w:val="006402A2"/>
    <w:rsid w:val="006402F4"/>
    <w:rsid w:val="00640485"/>
    <w:rsid w:val="006404B2"/>
    <w:rsid w:val="00640511"/>
    <w:rsid w:val="00640519"/>
    <w:rsid w:val="006405AA"/>
    <w:rsid w:val="00640660"/>
    <w:rsid w:val="006407A2"/>
    <w:rsid w:val="006407F3"/>
    <w:rsid w:val="0064081A"/>
    <w:rsid w:val="0064086B"/>
    <w:rsid w:val="00640907"/>
    <w:rsid w:val="00640A4F"/>
    <w:rsid w:val="00640AA6"/>
    <w:rsid w:val="00640AB0"/>
    <w:rsid w:val="00640CB2"/>
    <w:rsid w:val="00640D2E"/>
    <w:rsid w:val="00640E1F"/>
    <w:rsid w:val="00640E5D"/>
    <w:rsid w:val="00640F11"/>
    <w:rsid w:val="00640F45"/>
    <w:rsid w:val="006410F8"/>
    <w:rsid w:val="006411F6"/>
    <w:rsid w:val="0064121C"/>
    <w:rsid w:val="00641238"/>
    <w:rsid w:val="00641492"/>
    <w:rsid w:val="006414E9"/>
    <w:rsid w:val="00641552"/>
    <w:rsid w:val="00641558"/>
    <w:rsid w:val="0064157F"/>
    <w:rsid w:val="00641628"/>
    <w:rsid w:val="006416DB"/>
    <w:rsid w:val="006416DE"/>
    <w:rsid w:val="006417B6"/>
    <w:rsid w:val="006417E5"/>
    <w:rsid w:val="006417EF"/>
    <w:rsid w:val="006417FB"/>
    <w:rsid w:val="00641876"/>
    <w:rsid w:val="006418BE"/>
    <w:rsid w:val="0064192B"/>
    <w:rsid w:val="00641B04"/>
    <w:rsid w:val="00641B23"/>
    <w:rsid w:val="00641BF0"/>
    <w:rsid w:val="00641C17"/>
    <w:rsid w:val="00641C19"/>
    <w:rsid w:val="00641C38"/>
    <w:rsid w:val="00641CB6"/>
    <w:rsid w:val="00641E21"/>
    <w:rsid w:val="00641F07"/>
    <w:rsid w:val="00641F3B"/>
    <w:rsid w:val="00641F5E"/>
    <w:rsid w:val="00641F62"/>
    <w:rsid w:val="00641FE8"/>
    <w:rsid w:val="00642014"/>
    <w:rsid w:val="0064203A"/>
    <w:rsid w:val="0064203C"/>
    <w:rsid w:val="006420AF"/>
    <w:rsid w:val="00642105"/>
    <w:rsid w:val="00642111"/>
    <w:rsid w:val="00642120"/>
    <w:rsid w:val="006421A3"/>
    <w:rsid w:val="0064243B"/>
    <w:rsid w:val="006424BD"/>
    <w:rsid w:val="0064263E"/>
    <w:rsid w:val="00642650"/>
    <w:rsid w:val="006426E3"/>
    <w:rsid w:val="00642807"/>
    <w:rsid w:val="006428E0"/>
    <w:rsid w:val="006428F5"/>
    <w:rsid w:val="00642ADE"/>
    <w:rsid w:val="00642AF4"/>
    <w:rsid w:val="00642B3A"/>
    <w:rsid w:val="00642B72"/>
    <w:rsid w:val="00642B98"/>
    <w:rsid w:val="00642E03"/>
    <w:rsid w:val="00642E08"/>
    <w:rsid w:val="00642E32"/>
    <w:rsid w:val="00642E6D"/>
    <w:rsid w:val="00642F0D"/>
    <w:rsid w:val="00642F7A"/>
    <w:rsid w:val="00642FB5"/>
    <w:rsid w:val="00642FD0"/>
    <w:rsid w:val="00643030"/>
    <w:rsid w:val="00643066"/>
    <w:rsid w:val="0064317D"/>
    <w:rsid w:val="0064326C"/>
    <w:rsid w:val="00643349"/>
    <w:rsid w:val="006433A0"/>
    <w:rsid w:val="006433D9"/>
    <w:rsid w:val="00643662"/>
    <w:rsid w:val="0064379B"/>
    <w:rsid w:val="0064382A"/>
    <w:rsid w:val="0064383A"/>
    <w:rsid w:val="00643898"/>
    <w:rsid w:val="0064392B"/>
    <w:rsid w:val="00643A4D"/>
    <w:rsid w:val="00643BAC"/>
    <w:rsid w:val="00643D6C"/>
    <w:rsid w:val="00643EAA"/>
    <w:rsid w:val="00643F2C"/>
    <w:rsid w:val="00643FCB"/>
    <w:rsid w:val="00643FE8"/>
    <w:rsid w:val="0064407F"/>
    <w:rsid w:val="006440BD"/>
    <w:rsid w:val="006441D3"/>
    <w:rsid w:val="006442A6"/>
    <w:rsid w:val="00644421"/>
    <w:rsid w:val="00644590"/>
    <w:rsid w:val="006445F9"/>
    <w:rsid w:val="00644785"/>
    <w:rsid w:val="0064478B"/>
    <w:rsid w:val="00644803"/>
    <w:rsid w:val="00644811"/>
    <w:rsid w:val="00644840"/>
    <w:rsid w:val="006448DA"/>
    <w:rsid w:val="00644935"/>
    <w:rsid w:val="0064496C"/>
    <w:rsid w:val="0064496E"/>
    <w:rsid w:val="006449D1"/>
    <w:rsid w:val="00644A11"/>
    <w:rsid w:val="00644A82"/>
    <w:rsid w:val="00644B33"/>
    <w:rsid w:val="00644B36"/>
    <w:rsid w:val="00644C71"/>
    <w:rsid w:val="00644E3E"/>
    <w:rsid w:val="00644EAA"/>
    <w:rsid w:val="00644F40"/>
    <w:rsid w:val="00645176"/>
    <w:rsid w:val="00645188"/>
    <w:rsid w:val="006452C2"/>
    <w:rsid w:val="00645390"/>
    <w:rsid w:val="00645433"/>
    <w:rsid w:val="00645456"/>
    <w:rsid w:val="0064545E"/>
    <w:rsid w:val="00645545"/>
    <w:rsid w:val="00645563"/>
    <w:rsid w:val="00645599"/>
    <w:rsid w:val="0064559A"/>
    <w:rsid w:val="00645823"/>
    <w:rsid w:val="006458A3"/>
    <w:rsid w:val="006458D5"/>
    <w:rsid w:val="006458FE"/>
    <w:rsid w:val="00645940"/>
    <w:rsid w:val="00645AB5"/>
    <w:rsid w:val="00645D63"/>
    <w:rsid w:val="00645DA0"/>
    <w:rsid w:val="00645DE9"/>
    <w:rsid w:val="00645EAE"/>
    <w:rsid w:val="00645EB4"/>
    <w:rsid w:val="00645EC4"/>
    <w:rsid w:val="00645F0D"/>
    <w:rsid w:val="00645F5B"/>
    <w:rsid w:val="00645FD9"/>
    <w:rsid w:val="0064603D"/>
    <w:rsid w:val="006460C8"/>
    <w:rsid w:val="00646217"/>
    <w:rsid w:val="00646275"/>
    <w:rsid w:val="006462A2"/>
    <w:rsid w:val="00646332"/>
    <w:rsid w:val="0064635D"/>
    <w:rsid w:val="00646383"/>
    <w:rsid w:val="00646390"/>
    <w:rsid w:val="00646444"/>
    <w:rsid w:val="006464CD"/>
    <w:rsid w:val="0064662B"/>
    <w:rsid w:val="006467D0"/>
    <w:rsid w:val="006467EB"/>
    <w:rsid w:val="006468CE"/>
    <w:rsid w:val="00646929"/>
    <w:rsid w:val="00646941"/>
    <w:rsid w:val="006469AD"/>
    <w:rsid w:val="00646A4C"/>
    <w:rsid w:val="00646B1F"/>
    <w:rsid w:val="00646B99"/>
    <w:rsid w:val="00646C50"/>
    <w:rsid w:val="00646CD0"/>
    <w:rsid w:val="00646DC7"/>
    <w:rsid w:val="00646E3E"/>
    <w:rsid w:val="00646F24"/>
    <w:rsid w:val="00646F30"/>
    <w:rsid w:val="00646FCC"/>
    <w:rsid w:val="006470E1"/>
    <w:rsid w:val="006470E8"/>
    <w:rsid w:val="00647107"/>
    <w:rsid w:val="006471A0"/>
    <w:rsid w:val="006471D6"/>
    <w:rsid w:val="006471EC"/>
    <w:rsid w:val="006474BD"/>
    <w:rsid w:val="0064764C"/>
    <w:rsid w:val="0064767B"/>
    <w:rsid w:val="006476D8"/>
    <w:rsid w:val="00647728"/>
    <w:rsid w:val="00647742"/>
    <w:rsid w:val="00647779"/>
    <w:rsid w:val="00647844"/>
    <w:rsid w:val="0064784F"/>
    <w:rsid w:val="006478C9"/>
    <w:rsid w:val="006478CC"/>
    <w:rsid w:val="00647A40"/>
    <w:rsid w:val="00647AC9"/>
    <w:rsid w:val="00647AF2"/>
    <w:rsid w:val="00647BA8"/>
    <w:rsid w:val="00647C05"/>
    <w:rsid w:val="00647C32"/>
    <w:rsid w:val="00647CEB"/>
    <w:rsid w:val="00647CF3"/>
    <w:rsid w:val="00647DEF"/>
    <w:rsid w:val="00647F62"/>
    <w:rsid w:val="00647FC4"/>
    <w:rsid w:val="0065008E"/>
    <w:rsid w:val="006500BD"/>
    <w:rsid w:val="00650191"/>
    <w:rsid w:val="0065031B"/>
    <w:rsid w:val="00650344"/>
    <w:rsid w:val="00650516"/>
    <w:rsid w:val="006505D9"/>
    <w:rsid w:val="006505DD"/>
    <w:rsid w:val="006505E6"/>
    <w:rsid w:val="00650613"/>
    <w:rsid w:val="0065066F"/>
    <w:rsid w:val="00650673"/>
    <w:rsid w:val="006506E8"/>
    <w:rsid w:val="0065072D"/>
    <w:rsid w:val="006507DF"/>
    <w:rsid w:val="00650851"/>
    <w:rsid w:val="006508AC"/>
    <w:rsid w:val="0065097C"/>
    <w:rsid w:val="00650B57"/>
    <w:rsid w:val="00650B96"/>
    <w:rsid w:val="00650C27"/>
    <w:rsid w:val="00650C67"/>
    <w:rsid w:val="00650C94"/>
    <w:rsid w:val="00650D90"/>
    <w:rsid w:val="00650DBC"/>
    <w:rsid w:val="00650EA6"/>
    <w:rsid w:val="00650F8F"/>
    <w:rsid w:val="00650F99"/>
    <w:rsid w:val="00650FC1"/>
    <w:rsid w:val="006510D6"/>
    <w:rsid w:val="00651281"/>
    <w:rsid w:val="006512D5"/>
    <w:rsid w:val="00651373"/>
    <w:rsid w:val="00651441"/>
    <w:rsid w:val="0065146F"/>
    <w:rsid w:val="006514A0"/>
    <w:rsid w:val="006514AC"/>
    <w:rsid w:val="00651539"/>
    <w:rsid w:val="006515BC"/>
    <w:rsid w:val="006516EA"/>
    <w:rsid w:val="0065178C"/>
    <w:rsid w:val="006518A8"/>
    <w:rsid w:val="006518C6"/>
    <w:rsid w:val="006518ED"/>
    <w:rsid w:val="00651978"/>
    <w:rsid w:val="006519C6"/>
    <w:rsid w:val="00651A39"/>
    <w:rsid w:val="00651A8F"/>
    <w:rsid w:val="00651AED"/>
    <w:rsid w:val="00651D6E"/>
    <w:rsid w:val="00651E36"/>
    <w:rsid w:val="00651E4F"/>
    <w:rsid w:val="00651E5F"/>
    <w:rsid w:val="00651E8F"/>
    <w:rsid w:val="00651ECD"/>
    <w:rsid w:val="00651F2C"/>
    <w:rsid w:val="00651F98"/>
    <w:rsid w:val="00651FD1"/>
    <w:rsid w:val="00652023"/>
    <w:rsid w:val="0065209E"/>
    <w:rsid w:val="00652115"/>
    <w:rsid w:val="00652266"/>
    <w:rsid w:val="006522B8"/>
    <w:rsid w:val="00652350"/>
    <w:rsid w:val="0065238B"/>
    <w:rsid w:val="006523C3"/>
    <w:rsid w:val="006523E1"/>
    <w:rsid w:val="0065240C"/>
    <w:rsid w:val="00652454"/>
    <w:rsid w:val="00652477"/>
    <w:rsid w:val="006525D8"/>
    <w:rsid w:val="00652663"/>
    <w:rsid w:val="0065268B"/>
    <w:rsid w:val="006526A3"/>
    <w:rsid w:val="006526AE"/>
    <w:rsid w:val="0065276F"/>
    <w:rsid w:val="006527FC"/>
    <w:rsid w:val="00652906"/>
    <w:rsid w:val="00652911"/>
    <w:rsid w:val="006529EB"/>
    <w:rsid w:val="00652A0F"/>
    <w:rsid w:val="00652A8A"/>
    <w:rsid w:val="00652B02"/>
    <w:rsid w:val="00652B20"/>
    <w:rsid w:val="00652C8C"/>
    <w:rsid w:val="00652D17"/>
    <w:rsid w:val="00652DBE"/>
    <w:rsid w:val="00652E34"/>
    <w:rsid w:val="00652E5C"/>
    <w:rsid w:val="00652E68"/>
    <w:rsid w:val="00652EB1"/>
    <w:rsid w:val="00652EE8"/>
    <w:rsid w:val="00652FA2"/>
    <w:rsid w:val="006530AA"/>
    <w:rsid w:val="006530C6"/>
    <w:rsid w:val="006530E2"/>
    <w:rsid w:val="00653139"/>
    <w:rsid w:val="00653171"/>
    <w:rsid w:val="00653176"/>
    <w:rsid w:val="00653288"/>
    <w:rsid w:val="006532F3"/>
    <w:rsid w:val="0065330E"/>
    <w:rsid w:val="0065339D"/>
    <w:rsid w:val="00653529"/>
    <w:rsid w:val="0065354B"/>
    <w:rsid w:val="006535D3"/>
    <w:rsid w:val="006535DC"/>
    <w:rsid w:val="00653634"/>
    <w:rsid w:val="0065368E"/>
    <w:rsid w:val="006536CE"/>
    <w:rsid w:val="006536E1"/>
    <w:rsid w:val="00653743"/>
    <w:rsid w:val="0065380E"/>
    <w:rsid w:val="0065382C"/>
    <w:rsid w:val="006538AA"/>
    <w:rsid w:val="006539A5"/>
    <w:rsid w:val="00653A0A"/>
    <w:rsid w:val="00653ABB"/>
    <w:rsid w:val="00653D85"/>
    <w:rsid w:val="00653D97"/>
    <w:rsid w:val="00653E73"/>
    <w:rsid w:val="00653F3E"/>
    <w:rsid w:val="00654000"/>
    <w:rsid w:val="00654023"/>
    <w:rsid w:val="00654027"/>
    <w:rsid w:val="006541C8"/>
    <w:rsid w:val="00654283"/>
    <w:rsid w:val="006542D4"/>
    <w:rsid w:val="0065434E"/>
    <w:rsid w:val="0065436F"/>
    <w:rsid w:val="006544F5"/>
    <w:rsid w:val="00654694"/>
    <w:rsid w:val="006546C3"/>
    <w:rsid w:val="006546E6"/>
    <w:rsid w:val="00654710"/>
    <w:rsid w:val="00654715"/>
    <w:rsid w:val="0065474D"/>
    <w:rsid w:val="006547CA"/>
    <w:rsid w:val="006549A1"/>
    <w:rsid w:val="006549C9"/>
    <w:rsid w:val="00654A8F"/>
    <w:rsid w:val="00654AA2"/>
    <w:rsid w:val="00654AF3"/>
    <w:rsid w:val="00654B05"/>
    <w:rsid w:val="00654C3A"/>
    <w:rsid w:val="00654D26"/>
    <w:rsid w:val="00654E2B"/>
    <w:rsid w:val="00654E4A"/>
    <w:rsid w:val="00654E77"/>
    <w:rsid w:val="00654EDE"/>
    <w:rsid w:val="00654F71"/>
    <w:rsid w:val="00654FE9"/>
    <w:rsid w:val="00654FF7"/>
    <w:rsid w:val="006550AE"/>
    <w:rsid w:val="00655145"/>
    <w:rsid w:val="00655190"/>
    <w:rsid w:val="006551C2"/>
    <w:rsid w:val="00655218"/>
    <w:rsid w:val="00655239"/>
    <w:rsid w:val="00655268"/>
    <w:rsid w:val="00655290"/>
    <w:rsid w:val="00655397"/>
    <w:rsid w:val="006553BC"/>
    <w:rsid w:val="006554CE"/>
    <w:rsid w:val="006554E5"/>
    <w:rsid w:val="00655632"/>
    <w:rsid w:val="00655634"/>
    <w:rsid w:val="00655797"/>
    <w:rsid w:val="0065588F"/>
    <w:rsid w:val="006558D4"/>
    <w:rsid w:val="00655B23"/>
    <w:rsid w:val="00655C42"/>
    <w:rsid w:val="00655C72"/>
    <w:rsid w:val="00655CB1"/>
    <w:rsid w:val="00655CD7"/>
    <w:rsid w:val="00655D6C"/>
    <w:rsid w:val="00655D9A"/>
    <w:rsid w:val="00655DE0"/>
    <w:rsid w:val="00655DE9"/>
    <w:rsid w:val="00655E0B"/>
    <w:rsid w:val="00655E40"/>
    <w:rsid w:val="006560B5"/>
    <w:rsid w:val="006560D7"/>
    <w:rsid w:val="00656102"/>
    <w:rsid w:val="00656131"/>
    <w:rsid w:val="006561B8"/>
    <w:rsid w:val="006561E4"/>
    <w:rsid w:val="00656255"/>
    <w:rsid w:val="00656288"/>
    <w:rsid w:val="00656307"/>
    <w:rsid w:val="006563B1"/>
    <w:rsid w:val="00656442"/>
    <w:rsid w:val="00656494"/>
    <w:rsid w:val="00656499"/>
    <w:rsid w:val="006564CF"/>
    <w:rsid w:val="006564DF"/>
    <w:rsid w:val="00656694"/>
    <w:rsid w:val="006566B0"/>
    <w:rsid w:val="006566B5"/>
    <w:rsid w:val="00656720"/>
    <w:rsid w:val="0065686F"/>
    <w:rsid w:val="0065698B"/>
    <w:rsid w:val="006569B5"/>
    <w:rsid w:val="00656B02"/>
    <w:rsid w:val="00656B13"/>
    <w:rsid w:val="00656B62"/>
    <w:rsid w:val="00656B95"/>
    <w:rsid w:val="00656C27"/>
    <w:rsid w:val="00656DBF"/>
    <w:rsid w:val="00656E23"/>
    <w:rsid w:val="00656E4A"/>
    <w:rsid w:val="00656EB7"/>
    <w:rsid w:val="00656EF3"/>
    <w:rsid w:val="00656FFD"/>
    <w:rsid w:val="00657006"/>
    <w:rsid w:val="0065708D"/>
    <w:rsid w:val="00657110"/>
    <w:rsid w:val="0065715B"/>
    <w:rsid w:val="006571D3"/>
    <w:rsid w:val="006571EC"/>
    <w:rsid w:val="00657238"/>
    <w:rsid w:val="006572D5"/>
    <w:rsid w:val="00657375"/>
    <w:rsid w:val="00657458"/>
    <w:rsid w:val="006575F8"/>
    <w:rsid w:val="0065782B"/>
    <w:rsid w:val="00657AD3"/>
    <w:rsid w:val="00657BD4"/>
    <w:rsid w:val="00657C43"/>
    <w:rsid w:val="00657CCE"/>
    <w:rsid w:val="00657CD9"/>
    <w:rsid w:val="00657D7B"/>
    <w:rsid w:val="00657D7C"/>
    <w:rsid w:val="00657D98"/>
    <w:rsid w:val="00657EB3"/>
    <w:rsid w:val="00657F32"/>
    <w:rsid w:val="00657F44"/>
    <w:rsid w:val="00657F65"/>
    <w:rsid w:val="00657FE2"/>
    <w:rsid w:val="0066009F"/>
    <w:rsid w:val="00660306"/>
    <w:rsid w:val="006603A5"/>
    <w:rsid w:val="006603E0"/>
    <w:rsid w:val="00660438"/>
    <w:rsid w:val="006604C5"/>
    <w:rsid w:val="0066068A"/>
    <w:rsid w:val="00660785"/>
    <w:rsid w:val="0066081B"/>
    <w:rsid w:val="00660820"/>
    <w:rsid w:val="00660845"/>
    <w:rsid w:val="0066086A"/>
    <w:rsid w:val="00660870"/>
    <w:rsid w:val="006608AA"/>
    <w:rsid w:val="006608FD"/>
    <w:rsid w:val="0066094E"/>
    <w:rsid w:val="00660A27"/>
    <w:rsid w:val="00660A35"/>
    <w:rsid w:val="00660A50"/>
    <w:rsid w:val="00660B2B"/>
    <w:rsid w:val="00660B63"/>
    <w:rsid w:val="00660BDE"/>
    <w:rsid w:val="00660C29"/>
    <w:rsid w:val="00660DF2"/>
    <w:rsid w:val="00660EA5"/>
    <w:rsid w:val="0066107B"/>
    <w:rsid w:val="00661125"/>
    <w:rsid w:val="00661210"/>
    <w:rsid w:val="006612EB"/>
    <w:rsid w:val="00661308"/>
    <w:rsid w:val="00661379"/>
    <w:rsid w:val="006615AB"/>
    <w:rsid w:val="00661689"/>
    <w:rsid w:val="00661853"/>
    <w:rsid w:val="006618AA"/>
    <w:rsid w:val="00661937"/>
    <w:rsid w:val="00661A5E"/>
    <w:rsid w:val="00661AA9"/>
    <w:rsid w:val="00661B58"/>
    <w:rsid w:val="00661B66"/>
    <w:rsid w:val="00661BCA"/>
    <w:rsid w:val="00661C22"/>
    <w:rsid w:val="00661D19"/>
    <w:rsid w:val="00661D21"/>
    <w:rsid w:val="00661D48"/>
    <w:rsid w:val="00661D4C"/>
    <w:rsid w:val="00661F5A"/>
    <w:rsid w:val="0066204D"/>
    <w:rsid w:val="00662050"/>
    <w:rsid w:val="00662140"/>
    <w:rsid w:val="006621CF"/>
    <w:rsid w:val="00662228"/>
    <w:rsid w:val="00662286"/>
    <w:rsid w:val="0066229E"/>
    <w:rsid w:val="006622AC"/>
    <w:rsid w:val="00662387"/>
    <w:rsid w:val="006623B4"/>
    <w:rsid w:val="0066242E"/>
    <w:rsid w:val="0066246B"/>
    <w:rsid w:val="006625A4"/>
    <w:rsid w:val="006626F1"/>
    <w:rsid w:val="0066270D"/>
    <w:rsid w:val="0066280A"/>
    <w:rsid w:val="00662827"/>
    <w:rsid w:val="00662860"/>
    <w:rsid w:val="00662956"/>
    <w:rsid w:val="00662979"/>
    <w:rsid w:val="00662A11"/>
    <w:rsid w:val="00662A6A"/>
    <w:rsid w:val="00662A7C"/>
    <w:rsid w:val="00662B01"/>
    <w:rsid w:val="00662B61"/>
    <w:rsid w:val="00662BE8"/>
    <w:rsid w:val="00662D99"/>
    <w:rsid w:val="00662E48"/>
    <w:rsid w:val="00662E91"/>
    <w:rsid w:val="00662EA1"/>
    <w:rsid w:val="00662F33"/>
    <w:rsid w:val="00662F93"/>
    <w:rsid w:val="00662FC5"/>
    <w:rsid w:val="006631F8"/>
    <w:rsid w:val="00663273"/>
    <w:rsid w:val="006632E9"/>
    <w:rsid w:val="006633B0"/>
    <w:rsid w:val="006633F9"/>
    <w:rsid w:val="0066342B"/>
    <w:rsid w:val="006636F4"/>
    <w:rsid w:val="00663769"/>
    <w:rsid w:val="00663781"/>
    <w:rsid w:val="006637A7"/>
    <w:rsid w:val="00663811"/>
    <w:rsid w:val="006638A7"/>
    <w:rsid w:val="00663954"/>
    <w:rsid w:val="00663983"/>
    <w:rsid w:val="0066399F"/>
    <w:rsid w:val="00663A13"/>
    <w:rsid w:val="00663A1C"/>
    <w:rsid w:val="00663A90"/>
    <w:rsid w:val="00663C2D"/>
    <w:rsid w:val="00663D1C"/>
    <w:rsid w:val="00663D35"/>
    <w:rsid w:val="00663DD0"/>
    <w:rsid w:val="00663EDB"/>
    <w:rsid w:val="00663EEE"/>
    <w:rsid w:val="00663F0A"/>
    <w:rsid w:val="00663F16"/>
    <w:rsid w:val="00663F45"/>
    <w:rsid w:val="00663F9A"/>
    <w:rsid w:val="00663FFC"/>
    <w:rsid w:val="006640A8"/>
    <w:rsid w:val="00664149"/>
    <w:rsid w:val="0066414B"/>
    <w:rsid w:val="006641CF"/>
    <w:rsid w:val="00664254"/>
    <w:rsid w:val="00664309"/>
    <w:rsid w:val="006643C7"/>
    <w:rsid w:val="006643E2"/>
    <w:rsid w:val="00664447"/>
    <w:rsid w:val="00664462"/>
    <w:rsid w:val="0066454B"/>
    <w:rsid w:val="0066461E"/>
    <w:rsid w:val="00664659"/>
    <w:rsid w:val="0066465F"/>
    <w:rsid w:val="00664678"/>
    <w:rsid w:val="006646C6"/>
    <w:rsid w:val="00664769"/>
    <w:rsid w:val="0066494C"/>
    <w:rsid w:val="00664A15"/>
    <w:rsid w:val="00664A7B"/>
    <w:rsid w:val="00664B17"/>
    <w:rsid w:val="00664C4F"/>
    <w:rsid w:val="00664CA9"/>
    <w:rsid w:val="00664CCD"/>
    <w:rsid w:val="00664E0D"/>
    <w:rsid w:val="00664E69"/>
    <w:rsid w:val="00664EF6"/>
    <w:rsid w:val="00664F0C"/>
    <w:rsid w:val="00664F0F"/>
    <w:rsid w:val="00664FA2"/>
    <w:rsid w:val="00664FB1"/>
    <w:rsid w:val="00665251"/>
    <w:rsid w:val="006652BD"/>
    <w:rsid w:val="006652D0"/>
    <w:rsid w:val="006653ED"/>
    <w:rsid w:val="006654CD"/>
    <w:rsid w:val="006654D8"/>
    <w:rsid w:val="00665537"/>
    <w:rsid w:val="006655A8"/>
    <w:rsid w:val="006656F4"/>
    <w:rsid w:val="00665740"/>
    <w:rsid w:val="00665821"/>
    <w:rsid w:val="006658CC"/>
    <w:rsid w:val="0066593A"/>
    <w:rsid w:val="00665967"/>
    <w:rsid w:val="0066596E"/>
    <w:rsid w:val="00665A68"/>
    <w:rsid w:val="00665BB1"/>
    <w:rsid w:val="00665C20"/>
    <w:rsid w:val="00665C77"/>
    <w:rsid w:val="00665D70"/>
    <w:rsid w:val="00665F3B"/>
    <w:rsid w:val="00665F64"/>
    <w:rsid w:val="00665F69"/>
    <w:rsid w:val="00665F9B"/>
    <w:rsid w:val="00665FAE"/>
    <w:rsid w:val="00666082"/>
    <w:rsid w:val="00666085"/>
    <w:rsid w:val="00666285"/>
    <w:rsid w:val="006663AB"/>
    <w:rsid w:val="0066649C"/>
    <w:rsid w:val="00666528"/>
    <w:rsid w:val="00666660"/>
    <w:rsid w:val="00666730"/>
    <w:rsid w:val="00666988"/>
    <w:rsid w:val="006669E0"/>
    <w:rsid w:val="00666B7F"/>
    <w:rsid w:val="00666BED"/>
    <w:rsid w:val="00666C55"/>
    <w:rsid w:val="00666E0F"/>
    <w:rsid w:val="00666E48"/>
    <w:rsid w:val="00666F2F"/>
    <w:rsid w:val="006671A0"/>
    <w:rsid w:val="006671F2"/>
    <w:rsid w:val="00667216"/>
    <w:rsid w:val="00667235"/>
    <w:rsid w:val="0066723F"/>
    <w:rsid w:val="00667242"/>
    <w:rsid w:val="00667296"/>
    <w:rsid w:val="006672EB"/>
    <w:rsid w:val="006673D6"/>
    <w:rsid w:val="006673DF"/>
    <w:rsid w:val="00667444"/>
    <w:rsid w:val="006675D9"/>
    <w:rsid w:val="006676BA"/>
    <w:rsid w:val="00667797"/>
    <w:rsid w:val="006677D3"/>
    <w:rsid w:val="006678C9"/>
    <w:rsid w:val="006678EB"/>
    <w:rsid w:val="00667AE5"/>
    <w:rsid w:val="00667B3E"/>
    <w:rsid w:val="00667B51"/>
    <w:rsid w:val="00667C28"/>
    <w:rsid w:val="00667D1B"/>
    <w:rsid w:val="00667D8B"/>
    <w:rsid w:val="00667D94"/>
    <w:rsid w:val="00667DBA"/>
    <w:rsid w:val="00667DC3"/>
    <w:rsid w:val="00667E83"/>
    <w:rsid w:val="00667E93"/>
    <w:rsid w:val="00667F5D"/>
    <w:rsid w:val="00670032"/>
    <w:rsid w:val="006700DB"/>
    <w:rsid w:val="00670198"/>
    <w:rsid w:val="006701AF"/>
    <w:rsid w:val="00670258"/>
    <w:rsid w:val="0067026D"/>
    <w:rsid w:val="00670283"/>
    <w:rsid w:val="00670306"/>
    <w:rsid w:val="00670496"/>
    <w:rsid w:val="006704B5"/>
    <w:rsid w:val="0067051E"/>
    <w:rsid w:val="0067072C"/>
    <w:rsid w:val="006708B8"/>
    <w:rsid w:val="00670939"/>
    <w:rsid w:val="00670985"/>
    <w:rsid w:val="00670A20"/>
    <w:rsid w:val="00670A5E"/>
    <w:rsid w:val="00670ADC"/>
    <w:rsid w:val="00670B62"/>
    <w:rsid w:val="00670BC9"/>
    <w:rsid w:val="00670C1F"/>
    <w:rsid w:val="00670D34"/>
    <w:rsid w:val="00670ED3"/>
    <w:rsid w:val="00670F24"/>
    <w:rsid w:val="00670F72"/>
    <w:rsid w:val="00670FB5"/>
    <w:rsid w:val="00670FD2"/>
    <w:rsid w:val="00670FD8"/>
    <w:rsid w:val="006710EE"/>
    <w:rsid w:val="00671240"/>
    <w:rsid w:val="00671381"/>
    <w:rsid w:val="00671426"/>
    <w:rsid w:val="006716CA"/>
    <w:rsid w:val="006717E2"/>
    <w:rsid w:val="0067184B"/>
    <w:rsid w:val="006718E3"/>
    <w:rsid w:val="00671989"/>
    <w:rsid w:val="00671A64"/>
    <w:rsid w:val="00671AA0"/>
    <w:rsid w:val="00671BCA"/>
    <w:rsid w:val="00671CA4"/>
    <w:rsid w:val="00671CAB"/>
    <w:rsid w:val="00671D27"/>
    <w:rsid w:val="00671FAF"/>
    <w:rsid w:val="00671FB0"/>
    <w:rsid w:val="006720E2"/>
    <w:rsid w:val="006720EF"/>
    <w:rsid w:val="006720FB"/>
    <w:rsid w:val="00672187"/>
    <w:rsid w:val="006721A0"/>
    <w:rsid w:val="006721A1"/>
    <w:rsid w:val="00672203"/>
    <w:rsid w:val="00672220"/>
    <w:rsid w:val="00672232"/>
    <w:rsid w:val="0067228C"/>
    <w:rsid w:val="006722B5"/>
    <w:rsid w:val="0067231E"/>
    <w:rsid w:val="00672398"/>
    <w:rsid w:val="0067250F"/>
    <w:rsid w:val="00672513"/>
    <w:rsid w:val="006725A0"/>
    <w:rsid w:val="00672647"/>
    <w:rsid w:val="0067289E"/>
    <w:rsid w:val="006728E1"/>
    <w:rsid w:val="006728ED"/>
    <w:rsid w:val="006729E9"/>
    <w:rsid w:val="00672A21"/>
    <w:rsid w:val="00672A32"/>
    <w:rsid w:val="00672B45"/>
    <w:rsid w:val="00672B7C"/>
    <w:rsid w:val="00672BC7"/>
    <w:rsid w:val="00672C1F"/>
    <w:rsid w:val="00672D68"/>
    <w:rsid w:val="00672DE3"/>
    <w:rsid w:val="00672E73"/>
    <w:rsid w:val="00672EDA"/>
    <w:rsid w:val="00672F38"/>
    <w:rsid w:val="00672FC2"/>
    <w:rsid w:val="006730E0"/>
    <w:rsid w:val="006731D8"/>
    <w:rsid w:val="00673210"/>
    <w:rsid w:val="006732D4"/>
    <w:rsid w:val="006733FB"/>
    <w:rsid w:val="006733FD"/>
    <w:rsid w:val="00673504"/>
    <w:rsid w:val="00673506"/>
    <w:rsid w:val="00673663"/>
    <w:rsid w:val="006736A1"/>
    <w:rsid w:val="006738CE"/>
    <w:rsid w:val="0067394E"/>
    <w:rsid w:val="006739AB"/>
    <w:rsid w:val="00673A9D"/>
    <w:rsid w:val="00673B62"/>
    <w:rsid w:val="00673BF5"/>
    <w:rsid w:val="00673C03"/>
    <w:rsid w:val="00673CD3"/>
    <w:rsid w:val="00673D5C"/>
    <w:rsid w:val="00673D72"/>
    <w:rsid w:val="00673DBF"/>
    <w:rsid w:val="00673EA1"/>
    <w:rsid w:val="00674008"/>
    <w:rsid w:val="0067401D"/>
    <w:rsid w:val="00674145"/>
    <w:rsid w:val="00674361"/>
    <w:rsid w:val="00674521"/>
    <w:rsid w:val="006745E6"/>
    <w:rsid w:val="0067461C"/>
    <w:rsid w:val="006746CD"/>
    <w:rsid w:val="006747FB"/>
    <w:rsid w:val="00674861"/>
    <w:rsid w:val="006749A3"/>
    <w:rsid w:val="006749DB"/>
    <w:rsid w:val="00674A03"/>
    <w:rsid w:val="00674B0C"/>
    <w:rsid w:val="00674B4E"/>
    <w:rsid w:val="00674BF1"/>
    <w:rsid w:val="00674CD5"/>
    <w:rsid w:val="00674E02"/>
    <w:rsid w:val="00674EC5"/>
    <w:rsid w:val="00674F62"/>
    <w:rsid w:val="00674FC6"/>
    <w:rsid w:val="00674FFF"/>
    <w:rsid w:val="00675004"/>
    <w:rsid w:val="0067519C"/>
    <w:rsid w:val="0067550D"/>
    <w:rsid w:val="0067568C"/>
    <w:rsid w:val="0067573C"/>
    <w:rsid w:val="006757F7"/>
    <w:rsid w:val="0067580D"/>
    <w:rsid w:val="00675902"/>
    <w:rsid w:val="0067595E"/>
    <w:rsid w:val="00675967"/>
    <w:rsid w:val="00675988"/>
    <w:rsid w:val="006759C8"/>
    <w:rsid w:val="00675A79"/>
    <w:rsid w:val="00675AC6"/>
    <w:rsid w:val="00675B3F"/>
    <w:rsid w:val="00675B5C"/>
    <w:rsid w:val="00675BCA"/>
    <w:rsid w:val="00675BDB"/>
    <w:rsid w:val="00675C1A"/>
    <w:rsid w:val="00675C45"/>
    <w:rsid w:val="00675CAB"/>
    <w:rsid w:val="00675CBA"/>
    <w:rsid w:val="00675DCC"/>
    <w:rsid w:val="00675DCE"/>
    <w:rsid w:val="00675DE6"/>
    <w:rsid w:val="00675E08"/>
    <w:rsid w:val="00675E35"/>
    <w:rsid w:val="00675EB6"/>
    <w:rsid w:val="00675ED4"/>
    <w:rsid w:val="00675F58"/>
    <w:rsid w:val="00675FDD"/>
    <w:rsid w:val="0067610D"/>
    <w:rsid w:val="006762BD"/>
    <w:rsid w:val="00676337"/>
    <w:rsid w:val="0067633E"/>
    <w:rsid w:val="00676340"/>
    <w:rsid w:val="00676431"/>
    <w:rsid w:val="006764EE"/>
    <w:rsid w:val="00676549"/>
    <w:rsid w:val="00676577"/>
    <w:rsid w:val="006765DE"/>
    <w:rsid w:val="0067667D"/>
    <w:rsid w:val="0067681A"/>
    <w:rsid w:val="0067685D"/>
    <w:rsid w:val="00676864"/>
    <w:rsid w:val="006769D6"/>
    <w:rsid w:val="00676AE2"/>
    <w:rsid w:val="00676B88"/>
    <w:rsid w:val="00676C4B"/>
    <w:rsid w:val="00676D2B"/>
    <w:rsid w:val="00676DAB"/>
    <w:rsid w:val="00676DB9"/>
    <w:rsid w:val="00676E5E"/>
    <w:rsid w:val="00676F73"/>
    <w:rsid w:val="0067705F"/>
    <w:rsid w:val="006770C7"/>
    <w:rsid w:val="006770F1"/>
    <w:rsid w:val="00677136"/>
    <w:rsid w:val="0067716B"/>
    <w:rsid w:val="00677192"/>
    <w:rsid w:val="00677211"/>
    <w:rsid w:val="006772EC"/>
    <w:rsid w:val="00677390"/>
    <w:rsid w:val="0067744E"/>
    <w:rsid w:val="00677486"/>
    <w:rsid w:val="00677489"/>
    <w:rsid w:val="006776AC"/>
    <w:rsid w:val="00677733"/>
    <w:rsid w:val="006777AE"/>
    <w:rsid w:val="00677882"/>
    <w:rsid w:val="00677901"/>
    <w:rsid w:val="00677A51"/>
    <w:rsid w:val="00677A9A"/>
    <w:rsid w:val="00677ADD"/>
    <w:rsid w:val="00677AE7"/>
    <w:rsid w:val="00677B2C"/>
    <w:rsid w:val="00677CC8"/>
    <w:rsid w:val="00677D2A"/>
    <w:rsid w:val="00677DCB"/>
    <w:rsid w:val="00677E68"/>
    <w:rsid w:val="00677E97"/>
    <w:rsid w:val="00677EE3"/>
    <w:rsid w:val="00680005"/>
    <w:rsid w:val="0068002C"/>
    <w:rsid w:val="006800DD"/>
    <w:rsid w:val="00680118"/>
    <w:rsid w:val="00680129"/>
    <w:rsid w:val="006802D3"/>
    <w:rsid w:val="006803A6"/>
    <w:rsid w:val="006803E0"/>
    <w:rsid w:val="00680405"/>
    <w:rsid w:val="00680435"/>
    <w:rsid w:val="00680460"/>
    <w:rsid w:val="006804CE"/>
    <w:rsid w:val="006804DF"/>
    <w:rsid w:val="006804EA"/>
    <w:rsid w:val="006804F8"/>
    <w:rsid w:val="006805DC"/>
    <w:rsid w:val="0068061D"/>
    <w:rsid w:val="0068062E"/>
    <w:rsid w:val="00680652"/>
    <w:rsid w:val="0068069D"/>
    <w:rsid w:val="006806BD"/>
    <w:rsid w:val="006806CF"/>
    <w:rsid w:val="006807E6"/>
    <w:rsid w:val="00680841"/>
    <w:rsid w:val="00680881"/>
    <w:rsid w:val="00680945"/>
    <w:rsid w:val="006809BD"/>
    <w:rsid w:val="006809CB"/>
    <w:rsid w:val="00680A33"/>
    <w:rsid w:val="00680AFB"/>
    <w:rsid w:val="00680B4B"/>
    <w:rsid w:val="00680BBF"/>
    <w:rsid w:val="00680BE0"/>
    <w:rsid w:val="00680C12"/>
    <w:rsid w:val="00680C49"/>
    <w:rsid w:val="00680C5D"/>
    <w:rsid w:val="00680CA5"/>
    <w:rsid w:val="00680CC0"/>
    <w:rsid w:val="00680D44"/>
    <w:rsid w:val="00680DD1"/>
    <w:rsid w:val="00680E47"/>
    <w:rsid w:val="00680FB3"/>
    <w:rsid w:val="00680FD1"/>
    <w:rsid w:val="00680FD4"/>
    <w:rsid w:val="00680FEA"/>
    <w:rsid w:val="0068102D"/>
    <w:rsid w:val="0068105F"/>
    <w:rsid w:val="006810BA"/>
    <w:rsid w:val="0068110A"/>
    <w:rsid w:val="00681121"/>
    <w:rsid w:val="00681142"/>
    <w:rsid w:val="0068117C"/>
    <w:rsid w:val="00681207"/>
    <w:rsid w:val="0068122B"/>
    <w:rsid w:val="006812B5"/>
    <w:rsid w:val="006812BD"/>
    <w:rsid w:val="0068138E"/>
    <w:rsid w:val="0068141D"/>
    <w:rsid w:val="0068149A"/>
    <w:rsid w:val="0068155C"/>
    <w:rsid w:val="00681626"/>
    <w:rsid w:val="0068162D"/>
    <w:rsid w:val="00681647"/>
    <w:rsid w:val="00681776"/>
    <w:rsid w:val="006817DD"/>
    <w:rsid w:val="00681869"/>
    <w:rsid w:val="006818B7"/>
    <w:rsid w:val="006818E2"/>
    <w:rsid w:val="006818F8"/>
    <w:rsid w:val="0068191F"/>
    <w:rsid w:val="00681976"/>
    <w:rsid w:val="006819CB"/>
    <w:rsid w:val="00681A00"/>
    <w:rsid w:val="00681A92"/>
    <w:rsid w:val="00681C68"/>
    <w:rsid w:val="00681C98"/>
    <w:rsid w:val="00681D85"/>
    <w:rsid w:val="00681DFC"/>
    <w:rsid w:val="00681FCB"/>
    <w:rsid w:val="00682097"/>
    <w:rsid w:val="006821DF"/>
    <w:rsid w:val="00682248"/>
    <w:rsid w:val="0068226C"/>
    <w:rsid w:val="00682415"/>
    <w:rsid w:val="0068249D"/>
    <w:rsid w:val="00682570"/>
    <w:rsid w:val="00682775"/>
    <w:rsid w:val="0068277B"/>
    <w:rsid w:val="00682786"/>
    <w:rsid w:val="0068281F"/>
    <w:rsid w:val="00682836"/>
    <w:rsid w:val="0068283D"/>
    <w:rsid w:val="0068291A"/>
    <w:rsid w:val="006829B1"/>
    <w:rsid w:val="00682C51"/>
    <w:rsid w:val="00682E15"/>
    <w:rsid w:val="00682EA6"/>
    <w:rsid w:val="00682F66"/>
    <w:rsid w:val="00683015"/>
    <w:rsid w:val="00683025"/>
    <w:rsid w:val="00683246"/>
    <w:rsid w:val="00683254"/>
    <w:rsid w:val="006832CC"/>
    <w:rsid w:val="00683397"/>
    <w:rsid w:val="006833D5"/>
    <w:rsid w:val="006833E3"/>
    <w:rsid w:val="006834A0"/>
    <w:rsid w:val="006835C8"/>
    <w:rsid w:val="006835F4"/>
    <w:rsid w:val="006836E4"/>
    <w:rsid w:val="00683728"/>
    <w:rsid w:val="00683779"/>
    <w:rsid w:val="0068378F"/>
    <w:rsid w:val="00683790"/>
    <w:rsid w:val="006838A5"/>
    <w:rsid w:val="00683900"/>
    <w:rsid w:val="0068392C"/>
    <w:rsid w:val="00683A20"/>
    <w:rsid w:val="00683A7F"/>
    <w:rsid w:val="00683AE5"/>
    <w:rsid w:val="00683BFE"/>
    <w:rsid w:val="00683C45"/>
    <w:rsid w:val="00683C97"/>
    <w:rsid w:val="00683CA7"/>
    <w:rsid w:val="00683E19"/>
    <w:rsid w:val="00683E2B"/>
    <w:rsid w:val="00683E79"/>
    <w:rsid w:val="00683EEE"/>
    <w:rsid w:val="00683F0A"/>
    <w:rsid w:val="00683F38"/>
    <w:rsid w:val="00684026"/>
    <w:rsid w:val="006841A9"/>
    <w:rsid w:val="006841CE"/>
    <w:rsid w:val="00684210"/>
    <w:rsid w:val="00684234"/>
    <w:rsid w:val="006842FA"/>
    <w:rsid w:val="006843B5"/>
    <w:rsid w:val="006843F5"/>
    <w:rsid w:val="00684662"/>
    <w:rsid w:val="006846A1"/>
    <w:rsid w:val="00684891"/>
    <w:rsid w:val="006848AF"/>
    <w:rsid w:val="006848C0"/>
    <w:rsid w:val="00684936"/>
    <w:rsid w:val="00684940"/>
    <w:rsid w:val="00684A55"/>
    <w:rsid w:val="00684A7F"/>
    <w:rsid w:val="00684AB5"/>
    <w:rsid w:val="00684B5F"/>
    <w:rsid w:val="00684DDE"/>
    <w:rsid w:val="00684E13"/>
    <w:rsid w:val="006850C6"/>
    <w:rsid w:val="00685143"/>
    <w:rsid w:val="006851D7"/>
    <w:rsid w:val="00685220"/>
    <w:rsid w:val="00685230"/>
    <w:rsid w:val="00685272"/>
    <w:rsid w:val="00685364"/>
    <w:rsid w:val="006853D7"/>
    <w:rsid w:val="006853E1"/>
    <w:rsid w:val="0068547F"/>
    <w:rsid w:val="00685491"/>
    <w:rsid w:val="006854B7"/>
    <w:rsid w:val="006856B8"/>
    <w:rsid w:val="006856FB"/>
    <w:rsid w:val="00685784"/>
    <w:rsid w:val="00685797"/>
    <w:rsid w:val="00685898"/>
    <w:rsid w:val="00685B11"/>
    <w:rsid w:val="00685D3D"/>
    <w:rsid w:val="00685E13"/>
    <w:rsid w:val="00685E4C"/>
    <w:rsid w:val="00685E97"/>
    <w:rsid w:val="00685F12"/>
    <w:rsid w:val="00685F16"/>
    <w:rsid w:val="00685F5F"/>
    <w:rsid w:val="00685FBB"/>
    <w:rsid w:val="0068601B"/>
    <w:rsid w:val="006860EC"/>
    <w:rsid w:val="00686140"/>
    <w:rsid w:val="006861E3"/>
    <w:rsid w:val="0068622E"/>
    <w:rsid w:val="0068626E"/>
    <w:rsid w:val="00686344"/>
    <w:rsid w:val="0068635A"/>
    <w:rsid w:val="00686403"/>
    <w:rsid w:val="00686438"/>
    <w:rsid w:val="00686586"/>
    <w:rsid w:val="006865A0"/>
    <w:rsid w:val="006866B3"/>
    <w:rsid w:val="006867BC"/>
    <w:rsid w:val="00686816"/>
    <w:rsid w:val="00686864"/>
    <w:rsid w:val="006868EF"/>
    <w:rsid w:val="00686A68"/>
    <w:rsid w:val="00686AA5"/>
    <w:rsid w:val="00686AE6"/>
    <w:rsid w:val="00686B0A"/>
    <w:rsid w:val="00686B73"/>
    <w:rsid w:val="00686C99"/>
    <w:rsid w:val="00686CFD"/>
    <w:rsid w:val="00686D15"/>
    <w:rsid w:val="00686D37"/>
    <w:rsid w:val="00686D8D"/>
    <w:rsid w:val="00686DD3"/>
    <w:rsid w:val="0068701E"/>
    <w:rsid w:val="00687037"/>
    <w:rsid w:val="0068709C"/>
    <w:rsid w:val="006870B8"/>
    <w:rsid w:val="00687153"/>
    <w:rsid w:val="0068718D"/>
    <w:rsid w:val="006871CE"/>
    <w:rsid w:val="0068735B"/>
    <w:rsid w:val="006874A3"/>
    <w:rsid w:val="00687563"/>
    <w:rsid w:val="006876F2"/>
    <w:rsid w:val="0068779D"/>
    <w:rsid w:val="006877B5"/>
    <w:rsid w:val="00687823"/>
    <w:rsid w:val="0068787E"/>
    <w:rsid w:val="006878AF"/>
    <w:rsid w:val="006879D3"/>
    <w:rsid w:val="00687B21"/>
    <w:rsid w:val="00687B22"/>
    <w:rsid w:val="00687B91"/>
    <w:rsid w:val="00687CF8"/>
    <w:rsid w:val="00687E4E"/>
    <w:rsid w:val="00687F8A"/>
    <w:rsid w:val="00687FC2"/>
    <w:rsid w:val="00690106"/>
    <w:rsid w:val="0069013C"/>
    <w:rsid w:val="0069030E"/>
    <w:rsid w:val="00690424"/>
    <w:rsid w:val="0069050D"/>
    <w:rsid w:val="0069059D"/>
    <w:rsid w:val="006905BB"/>
    <w:rsid w:val="00690660"/>
    <w:rsid w:val="0069071C"/>
    <w:rsid w:val="00690772"/>
    <w:rsid w:val="006908CB"/>
    <w:rsid w:val="006908E9"/>
    <w:rsid w:val="006909AB"/>
    <w:rsid w:val="00690A3D"/>
    <w:rsid w:val="00690B91"/>
    <w:rsid w:val="00690BF2"/>
    <w:rsid w:val="00690CCD"/>
    <w:rsid w:val="00690D51"/>
    <w:rsid w:val="00690D65"/>
    <w:rsid w:val="00690D94"/>
    <w:rsid w:val="00690DAA"/>
    <w:rsid w:val="00690E1A"/>
    <w:rsid w:val="00690EB7"/>
    <w:rsid w:val="00690EDD"/>
    <w:rsid w:val="00690F35"/>
    <w:rsid w:val="00690FA9"/>
    <w:rsid w:val="006911B1"/>
    <w:rsid w:val="006911C4"/>
    <w:rsid w:val="006911F3"/>
    <w:rsid w:val="00691205"/>
    <w:rsid w:val="00691213"/>
    <w:rsid w:val="00691396"/>
    <w:rsid w:val="0069139A"/>
    <w:rsid w:val="006913EB"/>
    <w:rsid w:val="00691441"/>
    <w:rsid w:val="006914C5"/>
    <w:rsid w:val="00691520"/>
    <w:rsid w:val="00691646"/>
    <w:rsid w:val="006916C5"/>
    <w:rsid w:val="0069171D"/>
    <w:rsid w:val="00691734"/>
    <w:rsid w:val="006917F4"/>
    <w:rsid w:val="0069183F"/>
    <w:rsid w:val="006918A3"/>
    <w:rsid w:val="006918FF"/>
    <w:rsid w:val="0069193E"/>
    <w:rsid w:val="00691A5C"/>
    <w:rsid w:val="00691A62"/>
    <w:rsid w:val="00691A80"/>
    <w:rsid w:val="00691ACA"/>
    <w:rsid w:val="00691B2F"/>
    <w:rsid w:val="00691B35"/>
    <w:rsid w:val="00691C2A"/>
    <w:rsid w:val="00691E12"/>
    <w:rsid w:val="00691E6A"/>
    <w:rsid w:val="00691EA0"/>
    <w:rsid w:val="00691EF2"/>
    <w:rsid w:val="00691F0E"/>
    <w:rsid w:val="00691F32"/>
    <w:rsid w:val="00691F4C"/>
    <w:rsid w:val="00691FAE"/>
    <w:rsid w:val="00692036"/>
    <w:rsid w:val="0069205A"/>
    <w:rsid w:val="00692128"/>
    <w:rsid w:val="0069213F"/>
    <w:rsid w:val="006921F4"/>
    <w:rsid w:val="006922E3"/>
    <w:rsid w:val="006923AB"/>
    <w:rsid w:val="006923E0"/>
    <w:rsid w:val="006923E3"/>
    <w:rsid w:val="006924B2"/>
    <w:rsid w:val="006926C0"/>
    <w:rsid w:val="0069274D"/>
    <w:rsid w:val="00692756"/>
    <w:rsid w:val="00692794"/>
    <w:rsid w:val="006927E5"/>
    <w:rsid w:val="00692859"/>
    <w:rsid w:val="006928D2"/>
    <w:rsid w:val="00692A51"/>
    <w:rsid w:val="00692D03"/>
    <w:rsid w:val="00692D71"/>
    <w:rsid w:val="00692D75"/>
    <w:rsid w:val="00692E60"/>
    <w:rsid w:val="00692EDA"/>
    <w:rsid w:val="00692EFC"/>
    <w:rsid w:val="00692F37"/>
    <w:rsid w:val="00692F41"/>
    <w:rsid w:val="00692FF0"/>
    <w:rsid w:val="0069306A"/>
    <w:rsid w:val="00693083"/>
    <w:rsid w:val="00693140"/>
    <w:rsid w:val="00693248"/>
    <w:rsid w:val="006932B9"/>
    <w:rsid w:val="00693378"/>
    <w:rsid w:val="0069338A"/>
    <w:rsid w:val="00693404"/>
    <w:rsid w:val="0069343E"/>
    <w:rsid w:val="006934A2"/>
    <w:rsid w:val="00693525"/>
    <w:rsid w:val="0069353B"/>
    <w:rsid w:val="00693577"/>
    <w:rsid w:val="0069358B"/>
    <w:rsid w:val="006935E4"/>
    <w:rsid w:val="006935FE"/>
    <w:rsid w:val="0069361D"/>
    <w:rsid w:val="00693685"/>
    <w:rsid w:val="00693701"/>
    <w:rsid w:val="006937E4"/>
    <w:rsid w:val="006939AE"/>
    <w:rsid w:val="00693A04"/>
    <w:rsid w:val="00693A0A"/>
    <w:rsid w:val="00693CCC"/>
    <w:rsid w:val="00693D05"/>
    <w:rsid w:val="00693DE0"/>
    <w:rsid w:val="00693DFA"/>
    <w:rsid w:val="00693E76"/>
    <w:rsid w:val="00693F94"/>
    <w:rsid w:val="00694016"/>
    <w:rsid w:val="00694046"/>
    <w:rsid w:val="00694125"/>
    <w:rsid w:val="0069417E"/>
    <w:rsid w:val="00694182"/>
    <w:rsid w:val="006941A5"/>
    <w:rsid w:val="006941B9"/>
    <w:rsid w:val="0069421C"/>
    <w:rsid w:val="00694290"/>
    <w:rsid w:val="006943B3"/>
    <w:rsid w:val="006943B5"/>
    <w:rsid w:val="006944D5"/>
    <w:rsid w:val="006944F4"/>
    <w:rsid w:val="0069451C"/>
    <w:rsid w:val="006945A9"/>
    <w:rsid w:val="00694733"/>
    <w:rsid w:val="006947BF"/>
    <w:rsid w:val="006948D6"/>
    <w:rsid w:val="00694904"/>
    <w:rsid w:val="006949F0"/>
    <w:rsid w:val="00694BE2"/>
    <w:rsid w:val="00694C35"/>
    <w:rsid w:val="00694C38"/>
    <w:rsid w:val="00694D2F"/>
    <w:rsid w:val="00694D52"/>
    <w:rsid w:val="00694D75"/>
    <w:rsid w:val="00694D89"/>
    <w:rsid w:val="00694DF9"/>
    <w:rsid w:val="00694E16"/>
    <w:rsid w:val="00694E5A"/>
    <w:rsid w:val="00694F0B"/>
    <w:rsid w:val="00695093"/>
    <w:rsid w:val="006950CD"/>
    <w:rsid w:val="00695134"/>
    <w:rsid w:val="00695181"/>
    <w:rsid w:val="0069522A"/>
    <w:rsid w:val="006952B3"/>
    <w:rsid w:val="00695316"/>
    <w:rsid w:val="00695435"/>
    <w:rsid w:val="006955C9"/>
    <w:rsid w:val="006955FF"/>
    <w:rsid w:val="00695639"/>
    <w:rsid w:val="00695785"/>
    <w:rsid w:val="0069578A"/>
    <w:rsid w:val="006957F2"/>
    <w:rsid w:val="006957FF"/>
    <w:rsid w:val="00695A62"/>
    <w:rsid w:val="00695A9D"/>
    <w:rsid w:val="00695ACA"/>
    <w:rsid w:val="00695AD2"/>
    <w:rsid w:val="00695AEE"/>
    <w:rsid w:val="00695BEA"/>
    <w:rsid w:val="00695BED"/>
    <w:rsid w:val="00695C05"/>
    <w:rsid w:val="00695CC5"/>
    <w:rsid w:val="00695D4D"/>
    <w:rsid w:val="00695DAE"/>
    <w:rsid w:val="00695DB1"/>
    <w:rsid w:val="00695DEB"/>
    <w:rsid w:val="00695E26"/>
    <w:rsid w:val="00695EC1"/>
    <w:rsid w:val="00695ED5"/>
    <w:rsid w:val="00695F94"/>
    <w:rsid w:val="00695FB2"/>
    <w:rsid w:val="0069602E"/>
    <w:rsid w:val="0069607E"/>
    <w:rsid w:val="0069610C"/>
    <w:rsid w:val="006961A3"/>
    <w:rsid w:val="006961CF"/>
    <w:rsid w:val="006963CF"/>
    <w:rsid w:val="0069641B"/>
    <w:rsid w:val="006964B0"/>
    <w:rsid w:val="0069659C"/>
    <w:rsid w:val="00696603"/>
    <w:rsid w:val="00696644"/>
    <w:rsid w:val="006967FA"/>
    <w:rsid w:val="006968B2"/>
    <w:rsid w:val="006968E5"/>
    <w:rsid w:val="00696911"/>
    <w:rsid w:val="006969EC"/>
    <w:rsid w:val="00696BEA"/>
    <w:rsid w:val="00696BEC"/>
    <w:rsid w:val="00696C0A"/>
    <w:rsid w:val="00696CE7"/>
    <w:rsid w:val="00696D43"/>
    <w:rsid w:val="00696DBA"/>
    <w:rsid w:val="00696E1C"/>
    <w:rsid w:val="00696E2B"/>
    <w:rsid w:val="00696EF1"/>
    <w:rsid w:val="00696F89"/>
    <w:rsid w:val="0069708F"/>
    <w:rsid w:val="006970C7"/>
    <w:rsid w:val="0069716D"/>
    <w:rsid w:val="0069718C"/>
    <w:rsid w:val="006971A0"/>
    <w:rsid w:val="006972F7"/>
    <w:rsid w:val="00697424"/>
    <w:rsid w:val="00697564"/>
    <w:rsid w:val="006975FC"/>
    <w:rsid w:val="00697673"/>
    <w:rsid w:val="00697714"/>
    <w:rsid w:val="00697824"/>
    <w:rsid w:val="006978C7"/>
    <w:rsid w:val="00697946"/>
    <w:rsid w:val="00697986"/>
    <w:rsid w:val="006979D5"/>
    <w:rsid w:val="00697A1E"/>
    <w:rsid w:val="00697AB0"/>
    <w:rsid w:val="00697BA8"/>
    <w:rsid w:val="00697BB3"/>
    <w:rsid w:val="00697BF6"/>
    <w:rsid w:val="00697C1C"/>
    <w:rsid w:val="00697CB2"/>
    <w:rsid w:val="00697E32"/>
    <w:rsid w:val="00697E87"/>
    <w:rsid w:val="00697EC4"/>
    <w:rsid w:val="006A009F"/>
    <w:rsid w:val="006A00B6"/>
    <w:rsid w:val="006A0127"/>
    <w:rsid w:val="006A01D1"/>
    <w:rsid w:val="006A021F"/>
    <w:rsid w:val="006A0389"/>
    <w:rsid w:val="006A03E1"/>
    <w:rsid w:val="006A04BD"/>
    <w:rsid w:val="006A055D"/>
    <w:rsid w:val="006A064B"/>
    <w:rsid w:val="006A071C"/>
    <w:rsid w:val="006A0776"/>
    <w:rsid w:val="006A0855"/>
    <w:rsid w:val="006A085A"/>
    <w:rsid w:val="006A08BB"/>
    <w:rsid w:val="006A0938"/>
    <w:rsid w:val="006A0A15"/>
    <w:rsid w:val="006A0A8D"/>
    <w:rsid w:val="006A0B6E"/>
    <w:rsid w:val="006A0BD6"/>
    <w:rsid w:val="006A0BF5"/>
    <w:rsid w:val="006A0C0E"/>
    <w:rsid w:val="006A0C2E"/>
    <w:rsid w:val="006A0C77"/>
    <w:rsid w:val="006A0D63"/>
    <w:rsid w:val="006A0DE4"/>
    <w:rsid w:val="006A0E6D"/>
    <w:rsid w:val="006A0F4D"/>
    <w:rsid w:val="006A0F8F"/>
    <w:rsid w:val="006A105E"/>
    <w:rsid w:val="006A1128"/>
    <w:rsid w:val="006A123F"/>
    <w:rsid w:val="006A15F3"/>
    <w:rsid w:val="006A15F8"/>
    <w:rsid w:val="006A1647"/>
    <w:rsid w:val="006A17E2"/>
    <w:rsid w:val="006A1818"/>
    <w:rsid w:val="006A1827"/>
    <w:rsid w:val="006A182E"/>
    <w:rsid w:val="006A19BB"/>
    <w:rsid w:val="006A1A27"/>
    <w:rsid w:val="006A1AA1"/>
    <w:rsid w:val="006A1B05"/>
    <w:rsid w:val="006A1B6E"/>
    <w:rsid w:val="006A1B8C"/>
    <w:rsid w:val="006A1B9F"/>
    <w:rsid w:val="006A1BE7"/>
    <w:rsid w:val="006A1C08"/>
    <w:rsid w:val="006A1D67"/>
    <w:rsid w:val="006A1F78"/>
    <w:rsid w:val="006A1FB5"/>
    <w:rsid w:val="006A214D"/>
    <w:rsid w:val="006A21DA"/>
    <w:rsid w:val="006A21DD"/>
    <w:rsid w:val="006A224B"/>
    <w:rsid w:val="006A2253"/>
    <w:rsid w:val="006A2400"/>
    <w:rsid w:val="006A250A"/>
    <w:rsid w:val="006A2584"/>
    <w:rsid w:val="006A2666"/>
    <w:rsid w:val="006A268C"/>
    <w:rsid w:val="006A2766"/>
    <w:rsid w:val="006A276B"/>
    <w:rsid w:val="006A2835"/>
    <w:rsid w:val="006A2910"/>
    <w:rsid w:val="006A2916"/>
    <w:rsid w:val="006A2929"/>
    <w:rsid w:val="006A295B"/>
    <w:rsid w:val="006A29DF"/>
    <w:rsid w:val="006A29FC"/>
    <w:rsid w:val="006A2A2C"/>
    <w:rsid w:val="006A2AA0"/>
    <w:rsid w:val="006A2AE6"/>
    <w:rsid w:val="006A2B4D"/>
    <w:rsid w:val="006A2D51"/>
    <w:rsid w:val="006A2E67"/>
    <w:rsid w:val="006A2EC8"/>
    <w:rsid w:val="006A2ED6"/>
    <w:rsid w:val="006A2F0E"/>
    <w:rsid w:val="006A2F80"/>
    <w:rsid w:val="006A3014"/>
    <w:rsid w:val="006A3030"/>
    <w:rsid w:val="006A3235"/>
    <w:rsid w:val="006A32C1"/>
    <w:rsid w:val="006A32CF"/>
    <w:rsid w:val="006A337F"/>
    <w:rsid w:val="006A33A8"/>
    <w:rsid w:val="006A3465"/>
    <w:rsid w:val="006A349B"/>
    <w:rsid w:val="006A35E7"/>
    <w:rsid w:val="006A3778"/>
    <w:rsid w:val="006A3792"/>
    <w:rsid w:val="006A37A7"/>
    <w:rsid w:val="006A3858"/>
    <w:rsid w:val="006A3AA1"/>
    <w:rsid w:val="006A3AF8"/>
    <w:rsid w:val="006A3C51"/>
    <w:rsid w:val="006A3C90"/>
    <w:rsid w:val="006A3CB1"/>
    <w:rsid w:val="006A3D28"/>
    <w:rsid w:val="006A3F59"/>
    <w:rsid w:val="006A3FCD"/>
    <w:rsid w:val="006A3FF8"/>
    <w:rsid w:val="006A404C"/>
    <w:rsid w:val="006A406E"/>
    <w:rsid w:val="006A40AD"/>
    <w:rsid w:val="006A40E1"/>
    <w:rsid w:val="006A4135"/>
    <w:rsid w:val="006A4155"/>
    <w:rsid w:val="006A421D"/>
    <w:rsid w:val="006A422D"/>
    <w:rsid w:val="006A422E"/>
    <w:rsid w:val="006A4296"/>
    <w:rsid w:val="006A4383"/>
    <w:rsid w:val="006A43E5"/>
    <w:rsid w:val="006A4773"/>
    <w:rsid w:val="006A4805"/>
    <w:rsid w:val="006A4822"/>
    <w:rsid w:val="006A4826"/>
    <w:rsid w:val="006A49DB"/>
    <w:rsid w:val="006A49EF"/>
    <w:rsid w:val="006A4A66"/>
    <w:rsid w:val="006A4B63"/>
    <w:rsid w:val="006A4BCA"/>
    <w:rsid w:val="006A4C4D"/>
    <w:rsid w:val="006A4D56"/>
    <w:rsid w:val="006A4D8C"/>
    <w:rsid w:val="006A4DC7"/>
    <w:rsid w:val="006A4DCE"/>
    <w:rsid w:val="006A4E78"/>
    <w:rsid w:val="006A4F40"/>
    <w:rsid w:val="006A4F8E"/>
    <w:rsid w:val="006A50D7"/>
    <w:rsid w:val="006A52C4"/>
    <w:rsid w:val="006A52D3"/>
    <w:rsid w:val="006A5322"/>
    <w:rsid w:val="006A538E"/>
    <w:rsid w:val="006A54AE"/>
    <w:rsid w:val="006A54B9"/>
    <w:rsid w:val="006A5713"/>
    <w:rsid w:val="006A5721"/>
    <w:rsid w:val="006A577A"/>
    <w:rsid w:val="006A59C2"/>
    <w:rsid w:val="006A5A85"/>
    <w:rsid w:val="006A5BDE"/>
    <w:rsid w:val="006A5C0C"/>
    <w:rsid w:val="006A5D58"/>
    <w:rsid w:val="006A5D69"/>
    <w:rsid w:val="006A5E0E"/>
    <w:rsid w:val="006A5E6F"/>
    <w:rsid w:val="006A5E93"/>
    <w:rsid w:val="006A5EB0"/>
    <w:rsid w:val="006A5F18"/>
    <w:rsid w:val="006A5F61"/>
    <w:rsid w:val="006A5F96"/>
    <w:rsid w:val="006A5FD7"/>
    <w:rsid w:val="006A5FEA"/>
    <w:rsid w:val="006A6063"/>
    <w:rsid w:val="006A6075"/>
    <w:rsid w:val="006A60DA"/>
    <w:rsid w:val="006A60F1"/>
    <w:rsid w:val="006A6128"/>
    <w:rsid w:val="006A6242"/>
    <w:rsid w:val="006A628E"/>
    <w:rsid w:val="006A62A2"/>
    <w:rsid w:val="006A62A5"/>
    <w:rsid w:val="006A62D3"/>
    <w:rsid w:val="006A62D6"/>
    <w:rsid w:val="006A6304"/>
    <w:rsid w:val="006A632B"/>
    <w:rsid w:val="006A6381"/>
    <w:rsid w:val="006A6481"/>
    <w:rsid w:val="006A6494"/>
    <w:rsid w:val="006A649F"/>
    <w:rsid w:val="006A6662"/>
    <w:rsid w:val="006A66C9"/>
    <w:rsid w:val="006A6730"/>
    <w:rsid w:val="006A6897"/>
    <w:rsid w:val="006A68F1"/>
    <w:rsid w:val="006A6991"/>
    <w:rsid w:val="006A69D3"/>
    <w:rsid w:val="006A69E6"/>
    <w:rsid w:val="006A69F7"/>
    <w:rsid w:val="006A6A1A"/>
    <w:rsid w:val="006A6A8B"/>
    <w:rsid w:val="006A6B01"/>
    <w:rsid w:val="006A6C0D"/>
    <w:rsid w:val="006A6DB9"/>
    <w:rsid w:val="006A6DD5"/>
    <w:rsid w:val="006A6E0A"/>
    <w:rsid w:val="006A6E4B"/>
    <w:rsid w:val="006A6EC7"/>
    <w:rsid w:val="006A6F72"/>
    <w:rsid w:val="006A7154"/>
    <w:rsid w:val="006A7338"/>
    <w:rsid w:val="006A734F"/>
    <w:rsid w:val="006A74C6"/>
    <w:rsid w:val="006A754F"/>
    <w:rsid w:val="006A755B"/>
    <w:rsid w:val="006A75C2"/>
    <w:rsid w:val="006A7631"/>
    <w:rsid w:val="006A763D"/>
    <w:rsid w:val="006A76D9"/>
    <w:rsid w:val="006A76DC"/>
    <w:rsid w:val="006A7819"/>
    <w:rsid w:val="006A782B"/>
    <w:rsid w:val="006A7884"/>
    <w:rsid w:val="006A78C1"/>
    <w:rsid w:val="006A7959"/>
    <w:rsid w:val="006A79F3"/>
    <w:rsid w:val="006A7A0A"/>
    <w:rsid w:val="006A7A93"/>
    <w:rsid w:val="006A7AB7"/>
    <w:rsid w:val="006A7B60"/>
    <w:rsid w:val="006A7BF1"/>
    <w:rsid w:val="006A7CA6"/>
    <w:rsid w:val="006A7D32"/>
    <w:rsid w:val="006A7D86"/>
    <w:rsid w:val="006A7E3F"/>
    <w:rsid w:val="006A7E45"/>
    <w:rsid w:val="006A7E77"/>
    <w:rsid w:val="006A7ED4"/>
    <w:rsid w:val="006A7F39"/>
    <w:rsid w:val="006A7F68"/>
    <w:rsid w:val="006B0172"/>
    <w:rsid w:val="006B020D"/>
    <w:rsid w:val="006B0212"/>
    <w:rsid w:val="006B025A"/>
    <w:rsid w:val="006B02FA"/>
    <w:rsid w:val="006B031D"/>
    <w:rsid w:val="006B036B"/>
    <w:rsid w:val="006B0411"/>
    <w:rsid w:val="006B0459"/>
    <w:rsid w:val="006B04EF"/>
    <w:rsid w:val="006B059E"/>
    <w:rsid w:val="006B0740"/>
    <w:rsid w:val="006B087E"/>
    <w:rsid w:val="006B0898"/>
    <w:rsid w:val="006B09CA"/>
    <w:rsid w:val="006B0AE4"/>
    <w:rsid w:val="006B0BF0"/>
    <w:rsid w:val="006B0E3D"/>
    <w:rsid w:val="006B0EEA"/>
    <w:rsid w:val="006B0F29"/>
    <w:rsid w:val="006B0FF4"/>
    <w:rsid w:val="006B1061"/>
    <w:rsid w:val="006B10A4"/>
    <w:rsid w:val="006B10B4"/>
    <w:rsid w:val="006B1201"/>
    <w:rsid w:val="006B13EC"/>
    <w:rsid w:val="006B1449"/>
    <w:rsid w:val="006B1459"/>
    <w:rsid w:val="006B145C"/>
    <w:rsid w:val="006B1491"/>
    <w:rsid w:val="006B14A5"/>
    <w:rsid w:val="006B14F2"/>
    <w:rsid w:val="006B1583"/>
    <w:rsid w:val="006B15BC"/>
    <w:rsid w:val="006B160A"/>
    <w:rsid w:val="006B1678"/>
    <w:rsid w:val="006B169A"/>
    <w:rsid w:val="006B1757"/>
    <w:rsid w:val="006B1779"/>
    <w:rsid w:val="006B1913"/>
    <w:rsid w:val="006B19B2"/>
    <w:rsid w:val="006B1ADE"/>
    <w:rsid w:val="006B1BE5"/>
    <w:rsid w:val="006B1BFB"/>
    <w:rsid w:val="006B1C49"/>
    <w:rsid w:val="006B1C5C"/>
    <w:rsid w:val="006B1C7D"/>
    <w:rsid w:val="006B1CE9"/>
    <w:rsid w:val="006B1CFF"/>
    <w:rsid w:val="006B1E50"/>
    <w:rsid w:val="006B1E7C"/>
    <w:rsid w:val="006B1F40"/>
    <w:rsid w:val="006B20AF"/>
    <w:rsid w:val="006B2258"/>
    <w:rsid w:val="006B2335"/>
    <w:rsid w:val="006B2452"/>
    <w:rsid w:val="006B2647"/>
    <w:rsid w:val="006B26A4"/>
    <w:rsid w:val="006B26AD"/>
    <w:rsid w:val="006B271E"/>
    <w:rsid w:val="006B2760"/>
    <w:rsid w:val="006B2787"/>
    <w:rsid w:val="006B27A3"/>
    <w:rsid w:val="006B27C3"/>
    <w:rsid w:val="006B2879"/>
    <w:rsid w:val="006B28AE"/>
    <w:rsid w:val="006B2913"/>
    <w:rsid w:val="006B2963"/>
    <w:rsid w:val="006B2985"/>
    <w:rsid w:val="006B29CF"/>
    <w:rsid w:val="006B2A08"/>
    <w:rsid w:val="006B2B54"/>
    <w:rsid w:val="006B2BEE"/>
    <w:rsid w:val="006B2D77"/>
    <w:rsid w:val="006B2D7B"/>
    <w:rsid w:val="006B2E41"/>
    <w:rsid w:val="006B2E58"/>
    <w:rsid w:val="006B2E9F"/>
    <w:rsid w:val="006B2EA3"/>
    <w:rsid w:val="006B2EBB"/>
    <w:rsid w:val="006B2F43"/>
    <w:rsid w:val="006B312E"/>
    <w:rsid w:val="006B3212"/>
    <w:rsid w:val="006B32AD"/>
    <w:rsid w:val="006B331D"/>
    <w:rsid w:val="006B336A"/>
    <w:rsid w:val="006B34BD"/>
    <w:rsid w:val="006B35F1"/>
    <w:rsid w:val="006B3620"/>
    <w:rsid w:val="006B36AB"/>
    <w:rsid w:val="006B36F2"/>
    <w:rsid w:val="006B376A"/>
    <w:rsid w:val="006B3798"/>
    <w:rsid w:val="006B37C3"/>
    <w:rsid w:val="006B37E3"/>
    <w:rsid w:val="006B38C9"/>
    <w:rsid w:val="006B3957"/>
    <w:rsid w:val="006B396D"/>
    <w:rsid w:val="006B39BD"/>
    <w:rsid w:val="006B3A5A"/>
    <w:rsid w:val="006B3BC5"/>
    <w:rsid w:val="006B3BF1"/>
    <w:rsid w:val="006B3D41"/>
    <w:rsid w:val="006B3D64"/>
    <w:rsid w:val="006B3DF8"/>
    <w:rsid w:val="006B3F22"/>
    <w:rsid w:val="006B400B"/>
    <w:rsid w:val="006B4064"/>
    <w:rsid w:val="006B4132"/>
    <w:rsid w:val="006B413E"/>
    <w:rsid w:val="006B41CD"/>
    <w:rsid w:val="006B4259"/>
    <w:rsid w:val="006B42C2"/>
    <w:rsid w:val="006B4449"/>
    <w:rsid w:val="006B4541"/>
    <w:rsid w:val="006B45E3"/>
    <w:rsid w:val="006B4643"/>
    <w:rsid w:val="006B46ED"/>
    <w:rsid w:val="006B4927"/>
    <w:rsid w:val="006B49B1"/>
    <w:rsid w:val="006B4A28"/>
    <w:rsid w:val="006B4B00"/>
    <w:rsid w:val="006B4B8A"/>
    <w:rsid w:val="006B4C77"/>
    <w:rsid w:val="006B4CFA"/>
    <w:rsid w:val="006B4D1D"/>
    <w:rsid w:val="006B4D36"/>
    <w:rsid w:val="006B4D3F"/>
    <w:rsid w:val="006B4D6F"/>
    <w:rsid w:val="006B4DAA"/>
    <w:rsid w:val="006B4E1C"/>
    <w:rsid w:val="006B4F7E"/>
    <w:rsid w:val="006B51FC"/>
    <w:rsid w:val="006B5284"/>
    <w:rsid w:val="006B53C7"/>
    <w:rsid w:val="006B5521"/>
    <w:rsid w:val="006B55FE"/>
    <w:rsid w:val="006B5618"/>
    <w:rsid w:val="006B5778"/>
    <w:rsid w:val="006B57E3"/>
    <w:rsid w:val="006B58B8"/>
    <w:rsid w:val="006B5A27"/>
    <w:rsid w:val="006B5AC9"/>
    <w:rsid w:val="006B5B63"/>
    <w:rsid w:val="006B5B9C"/>
    <w:rsid w:val="006B5BBB"/>
    <w:rsid w:val="006B5BCC"/>
    <w:rsid w:val="006B5C00"/>
    <w:rsid w:val="006B5C8B"/>
    <w:rsid w:val="006B5CA3"/>
    <w:rsid w:val="006B5D64"/>
    <w:rsid w:val="006B5D87"/>
    <w:rsid w:val="006B5DD8"/>
    <w:rsid w:val="006B5DDE"/>
    <w:rsid w:val="006B5DF4"/>
    <w:rsid w:val="006B5E9A"/>
    <w:rsid w:val="006B5EA5"/>
    <w:rsid w:val="006B5F4A"/>
    <w:rsid w:val="006B5FBA"/>
    <w:rsid w:val="006B6060"/>
    <w:rsid w:val="006B607B"/>
    <w:rsid w:val="006B6160"/>
    <w:rsid w:val="006B61C1"/>
    <w:rsid w:val="006B622F"/>
    <w:rsid w:val="006B624B"/>
    <w:rsid w:val="006B624F"/>
    <w:rsid w:val="006B62CB"/>
    <w:rsid w:val="006B63D4"/>
    <w:rsid w:val="006B6516"/>
    <w:rsid w:val="006B6548"/>
    <w:rsid w:val="006B65C7"/>
    <w:rsid w:val="006B67B0"/>
    <w:rsid w:val="006B67B9"/>
    <w:rsid w:val="006B67CD"/>
    <w:rsid w:val="006B68F2"/>
    <w:rsid w:val="006B6D11"/>
    <w:rsid w:val="006B6F33"/>
    <w:rsid w:val="006B7127"/>
    <w:rsid w:val="006B712C"/>
    <w:rsid w:val="006B71B0"/>
    <w:rsid w:val="006B7299"/>
    <w:rsid w:val="006B72F0"/>
    <w:rsid w:val="006B7396"/>
    <w:rsid w:val="006B73BD"/>
    <w:rsid w:val="006B73C0"/>
    <w:rsid w:val="006B7538"/>
    <w:rsid w:val="006B75E1"/>
    <w:rsid w:val="006B7873"/>
    <w:rsid w:val="006B7899"/>
    <w:rsid w:val="006B78B4"/>
    <w:rsid w:val="006B7918"/>
    <w:rsid w:val="006B793C"/>
    <w:rsid w:val="006B796C"/>
    <w:rsid w:val="006B79D4"/>
    <w:rsid w:val="006B79EC"/>
    <w:rsid w:val="006B7B02"/>
    <w:rsid w:val="006B7BF3"/>
    <w:rsid w:val="006B7C40"/>
    <w:rsid w:val="006B7C7B"/>
    <w:rsid w:val="006B7CC9"/>
    <w:rsid w:val="006B7D1C"/>
    <w:rsid w:val="006B7D6B"/>
    <w:rsid w:val="006B7DEE"/>
    <w:rsid w:val="006B7DFD"/>
    <w:rsid w:val="006B7E42"/>
    <w:rsid w:val="006B7EA0"/>
    <w:rsid w:val="006B7EDA"/>
    <w:rsid w:val="006B7F44"/>
    <w:rsid w:val="006B7FE9"/>
    <w:rsid w:val="006B7FF2"/>
    <w:rsid w:val="006B88E7"/>
    <w:rsid w:val="006C00E7"/>
    <w:rsid w:val="006C0121"/>
    <w:rsid w:val="006C01C2"/>
    <w:rsid w:val="006C021B"/>
    <w:rsid w:val="006C0335"/>
    <w:rsid w:val="006C03F2"/>
    <w:rsid w:val="006C04A9"/>
    <w:rsid w:val="006C0546"/>
    <w:rsid w:val="006C0557"/>
    <w:rsid w:val="006C0584"/>
    <w:rsid w:val="006C06A8"/>
    <w:rsid w:val="006C06EB"/>
    <w:rsid w:val="006C0718"/>
    <w:rsid w:val="006C07D4"/>
    <w:rsid w:val="006C0878"/>
    <w:rsid w:val="006C087A"/>
    <w:rsid w:val="006C0898"/>
    <w:rsid w:val="006C08F5"/>
    <w:rsid w:val="006C09CF"/>
    <w:rsid w:val="006C0AE2"/>
    <w:rsid w:val="006C0B49"/>
    <w:rsid w:val="006C0C56"/>
    <w:rsid w:val="006C0CED"/>
    <w:rsid w:val="006C0D6E"/>
    <w:rsid w:val="006C0E40"/>
    <w:rsid w:val="006C0E8D"/>
    <w:rsid w:val="006C0EDE"/>
    <w:rsid w:val="006C0F2E"/>
    <w:rsid w:val="006C0FBD"/>
    <w:rsid w:val="006C0FE6"/>
    <w:rsid w:val="006C1016"/>
    <w:rsid w:val="006C1063"/>
    <w:rsid w:val="006C118A"/>
    <w:rsid w:val="006C1283"/>
    <w:rsid w:val="006C1373"/>
    <w:rsid w:val="006C1388"/>
    <w:rsid w:val="006C13B9"/>
    <w:rsid w:val="006C13BA"/>
    <w:rsid w:val="006C16E1"/>
    <w:rsid w:val="006C16F4"/>
    <w:rsid w:val="006C175F"/>
    <w:rsid w:val="006C17DF"/>
    <w:rsid w:val="006C180A"/>
    <w:rsid w:val="006C1826"/>
    <w:rsid w:val="006C18D9"/>
    <w:rsid w:val="006C19B7"/>
    <w:rsid w:val="006C1A1D"/>
    <w:rsid w:val="006C1B58"/>
    <w:rsid w:val="006C1B6A"/>
    <w:rsid w:val="006C1B9E"/>
    <w:rsid w:val="006C1BEF"/>
    <w:rsid w:val="006C1CCF"/>
    <w:rsid w:val="006C1D91"/>
    <w:rsid w:val="006C1DC8"/>
    <w:rsid w:val="006C1E33"/>
    <w:rsid w:val="006C1E74"/>
    <w:rsid w:val="006C1E8E"/>
    <w:rsid w:val="006C1E92"/>
    <w:rsid w:val="006C1ECF"/>
    <w:rsid w:val="006C1F01"/>
    <w:rsid w:val="006C1FBB"/>
    <w:rsid w:val="006C1FC6"/>
    <w:rsid w:val="006C200C"/>
    <w:rsid w:val="006C205F"/>
    <w:rsid w:val="006C21F9"/>
    <w:rsid w:val="006C22A0"/>
    <w:rsid w:val="006C2512"/>
    <w:rsid w:val="006C254E"/>
    <w:rsid w:val="006C274A"/>
    <w:rsid w:val="006C283D"/>
    <w:rsid w:val="006C2850"/>
    <w:rsid w:val="006C28CD"/>
    <w:rsid w:val="006C2902"/>
    <w:rsid w:val="006C2918"/>
    <w:rsid w:val="006C2937"/>
    <w:rsid w:val="006C2974"/>
    <w:rsid w:val="006C2A90"/>
    <w:rsid w:val="006C2A92"/>
    <w:rsid w:val="006C2B2B"/>
    <w:rsid w:val="006C2C1B"/>
    <w:rsid w:val="006C2CD2"/>
    <w:rsid w:val="006C2CD3"/>
    <w:rsid w:val="006C2D19"/>
    <w:rsid w:val="006C2D5D"/>
    <w:rsid w:val="006C2DC9"/>
    <w:rsid w:val="006C2DCB"/>
    <w:rsid w:val="006C2DD8"/>
    <w:rsid w:val="006C2EB7"/>
    <w:rsid w:val="006C2EB9"/>
    <w:rsid w:val="006C2F18"/>
    <w:rsid w:val="006C2FFC"/>
    <w:rsid w:val="006C3065"/>
    <w:rsid w:val="006C30AB"/>
    <w:rsid w:val="006C30D7"/>
    <w:rsid w:val="006C30ED"/>
    <w:rsid w:val="006C326C"/>
    <w:rsid w:val="006C3270"/>
    <w:rsid w:val="006C32A5"/>
    <w:rsid w:val="006C32DD"/>
    <w:rsid w:val="006C33B5"/>
    <w:rsid w:val="006C34B9"/>
    <w:rsid w:val="006C34E2"/>
    <w:rsid w:val="006C3605"/>
    <w:rsid w:val="006C361E"/>
    <w:rsid w:val="006C368C"/>
    <w:rsid w:val="006C36E5"/>
    <w:rsid w:val="006C3700"/>
    <w:rsid w:val="006C3706"/>
    <w:rsid w:val="006C3787"/>
    <w:rsid w:val="006C37AB"/>
    <w:rsid w:val="006C37C6"/>
    <w:rsid w:val="006C388B"/>
    <w:rsid w:val="006C3A14"/>
    <w:rsid w:val="006C3AD1"/>
    <w:rsid w:val="006C3CAC"/>
    <w:rsid w:val="006C3CB7"/>
    <w:rsid w:val="006C3D00"/>
    <w:rsid w:val="006C3D47"/>
    <w:rsid w:val="006C3E1C"/>
    <w:rsid w:val="006C3E68"/>
    <w:rsid w:val="006C3E80"/>
    <w:rsid w:val="006C3F46"/>
    <w:rsid w:val="006C3F4D"/>
    <w:rsid w:val="006C4005"/>
    <w:rsid w:val="006C405D"/>
    <w:rsid w:val="006C40AC"/>
    <w:rsid w:val="006C4151"/>
    <w:rsid w:val="006C418B"/>
    <w:rsid w:val="006C431F"/>
    <w:rsid w:val="006C4341"/>
    <w:rsid w:val="006C448A"/>
    <w:rsid w:val="006C4532"/>
    <w:rsid w:val="006C4589"/>
    <w:rsid w:val="006C45CD"/>
    <w:rsid w:val="006C4667"/>
    <w:rsid w:val="006C478A"/>
    <w:rsid w:val="006C499A"/>
    <w:rsid w:val="006C4AE7"/>
    <w:rsid w:val="006C4CC5"/>
    <w:rsid w:val="006C4D40"/>
    <w:rsid w:val="006C4D8A"/>
    <w:rsid w:val="006C4DFF"/>
    <w:rsid w:val="006C4EB8"/>
    <w:rsid w:val="006C4F8F"/>
    <w:rsid w:val="006C4FAA"/>
    <w:rsid w:val="006C4FB7"/>
    <w:rsid w:val="006C4FC8"/>
    <w:rsid w:val="006C4FF8"/>
    <w:rsid w:val="006C4FFA"/>
    <w:rsid w:val="006C5171"/>
    <w:rsid w:val="006C5181"/>
    <w:rsid w:val="006C51AD"/>
    <w:rsid w:val="006C51F9"/>
    <w:rsid w:val="006C5223"/>
    <w:rsid w:val="006C5579"/>
    <w:rsid w:val="006C55C0"/>
    <w:rsid w:val="006C56E3"/>
    <w:rsid w:val="006C56F7"/>
    <w:rsid w:val="006C5768"/>
    <w:rsid w:val="006C57C4"/>
    <w:rsid w:val="006C58FE"/>
    <w:rsid w:val="006C59A4"/>
    <w:rsid w:val="006C59BF"/>
    <w:rsid w:val="006C5AFE"/>
    <w:rsid w:val="006C5B72"/>
    <w:rsid w:val="006C5BEB"/>
    <w:rsid w:val="006C5C59"/>
    <w:rsid w:val="006C5C64"/>
    <w:rsid w:val="006C5D42"/>
    <w:rsid w:val="006C5D72"/>
    <w:rsid w:val="006C5DC3"/>
    <w:rsid w:val="006C5E67"/>
    <w:rsid w:val="006C6107"/>
    <w:rsid w:val="006C620F"/>
    <w:rsid w:val="006C625B"/>
    <w:rsid w:val="006C63D4"/>
    <w:rsid w:val="006C6484"/>
    <w:rsid w:val="006C64B9"/>
    <w:rsid w:val="006C6588"/>
    <w:rsid w:val="006C65C5"/>
    <w:rsid w:val="006C6688"/>
    <w:rsid w:val="006C6815"/>
    <w:rsid w:val="006C6826"/>
    <w:rsid w:val="006C68DB"/>
    <w:rsid w:val="006C6AAF"/>
    <w:rsid w:val="006C6ABC"/>
    <w:rsid w:val="006C6B70"/>
    <w:rsid w:val="006C6B8E"/>
    <w:rsid w:val="006C6C99"/>
    <w:rsid w:val="006C6CEC"/>
    <w:rsid w:val="006C6DB7"/>
    <w:rsid w:val="006C6E63"/>
    <w:rsid w:val="006C6EA8"/>
    <w:rsid w:val="006C6EED"/>
    <w:rsid w:val="006C6F1A"/>
    <w:rsid w:val="006C6F42"/>
    <w:rsid w:val="006C6FF0"/>
    <w:rsid w:val="006C707F"/>
    <w:rsid w:val="006C7167"/>
    <w:rsid w:val="006C7192"/>
    <w:rsid w:val="006C71AF"/>
    <w:rsid w:val="006C7379"/>
    <w:rsid w:val="006C73CE"/>
    <w:rsid w:val="006C740D"/>
    <w:rsid w:val="006C7466"/>
    <w:rsid w:val="006C746C"/>
    <w:rsid w:val="006C747A"/>
    <w:rsid w:val="006C75AF"/>
    <w:rsid w:val="006C75BC"/>
    <w:rsid w:val="006C76F1"/>
    <w:rsid w:val="006C7711"/>
    <w:rsid w:val="006C771F"/>
    <w:rsid w:val="006C7779"/>
    <w:rsid w:val="006C77A3"/>
    <w:rsid w:val="006C784F"/>
    <w:rsid w:val="006C7A06"/>
    <w:rsid w:val="006C7A93"/>
    <w:rsid w:val="006C7B2B"/>
    <w:rsid w:val="006C7B47"/>
    <w:rsid w:val="006C7C35"/>
    <w:rsid w:val="006C7CE3"/>
    <w:rsid w:val="006C7D05"/>
    <w:rsid w:val="006C7DD7"/>
    <w:rsid w:val="006C7E22"/>
    <w:rsid w:val="006C7F39"/>
    <w:rsid w:val="006C7F3B"/>
    <w:rsid w:val="006C7F8B"/>
    <w:rsid w:val="006C7FA5"/>
    <w:rsid w:val="006D00E1"/>
    <w:rsid w:val="006D0173"/>
    <w:rsid w:val="006D0175"/>
    <w:rsid w:val="006D0235"/>
    <w:rsid w:val="006D02E7"/>
    <w:rsid w:val="006D033A"/>
    <w:rsid w:val="006D03E2"/>
    <w:rsid w:val="006D03FE"/>
    <w:rsid w:val="006D0427"/>
    <w:rsid w:val="006D0555"/>
    <w:rsid w:val="006D05B6"/>
    <w:rsid w:val="006D05C8"/>
    <w:rsid w:val="006D0727"/>
    <w:rsid w:val="006D0729"/>
    <w:rsid w:val="006D07E4"/>
    <w:rsid w:val="006D09F7"/>
    <w:rsid w:val="006D0A06"/>
    <w:rsid w:val="006D0A10"/>
    <w:rsid w:val="006D0ABD"/>
    <w:rsid w:val="006D0B5E"/>
    <w:rsid w:val="006D0B8A"/>
    <w:rsid w:val="006D0B92"/>
    <w:rsid w:val="006D0BA0"/>
    <w:rsid w:val="006D0C44"/>
    <w:rsid w:val="006D0C4D"/>
    <w:rsid w:val="006D0CB9"/>
    <w:rsid w:val="006D0CD7"/>
    <w:rsid w:val="006D0D36"/>
    <w:rsid w:val="006D0D62"/>
    <w:rsid w:val="006D0E95"/>
    <w:rsid w:val="006D0EE5"/>
    <w:rsid w:val="006D0F24"/>
    <w:rsid w:val="006D0F61"/>
    <w:rsid w:val="006D1070"/>
    <w:rsid w:val="006D10AD"/>
    <w:rsid w:val="006D10D8"/>
    <w:rsid w:val="006D1138"/>
    <w:rsid w:val="006D1164"/>
    <w:rsid w:val="006D124B"/>
    <w:rsid w:val="006D124E"/>
    <w:rsid w:val="006D129B"/>
    <w:rsid w:val="006D12B1"/>
    <w:rsid w:val="006D12E7"/>
    <w:rsid w:val="006D1359"/>
    <w:rsid w:val="006D1376"/>
    <w:rsid w:val="006D146A"/>
    <w:rsid w:val="006D14FC"/>
    <w:rsid w:val="006D1705"/>
    <w:rsid w:val="006D18BA"/>
    <w:rsid w:val="006D18CB"/>
    <w:rsid w:val="006D18FF"/>
    <w:rsid w:val="006D1967"/>
    <w:rsid w:val="006D1969"/>
    <w:rsid w:val="006D19A5"/>
    <w:rsid w:val="006D19E8"/>
    <w:rsid w:val="006D1A11"/>
    <w:rsid w:val="006D1B69"/>
    <w:rsid w:val="006D1B80"/>
    <w:rsid w:val="006D1C28"/>
    <w:rsid w:val="006D1D66"/>
    <w:rsid w:val="006D1F0E"/>
    <w:rsid w:val="006D20F3"/>
    <w:rsid w:val="006D223F"/>
    <w:rsid w:val="006D229E"/>
    <w:rsid w:val="006D2321"/>
    <w:rsid w:val="006D237F"/>
    <w:rsid w:val="006D23CF"/>
    <w:rsid w:val="006D2436"/>
    <w:rsid w:val="006D243D"/>
    <w:rsid w:val="006D2508"/>
    <w:rsid w:val="006D253B"/>
    <w:rsid w:val="006D258B"/>
    <w:rsid w:val="006D25BB"/>
    <w:rsid w:val="006D277A"/>
    <w:rsid w:val="006D2809"/>
    <w:rsid w:val="006D2817"/>
    <w:rsid w:val="006D281D"/>
    <w:rsid w:val="006D29AA"/>
    <w:rsid w:val="006D29FD"/>
    <w:rsid w:val="006D2AB8"/>
    <w:rsid w:val="006D2B03"/>
    <w:rsid w:val="006D2B57"/>
    <w:rsid w:val="006D2C3B"/>
    <w:rsid w:val="006D2CAF"/>
    <w:rsid w:val="006D2CBA"/>
    <w:rsid w:val="006D2D28"/>
    <w:rsid w:val="006D2DA2"/>
    <w:rsid w:val="006D2DD4"/>
    <w:rsid w:val="006D2E3A"/>
    <w:rsid w:val="006D2E99"/>
    <w:rsid w:val="006D2F6F"/>
    <w:rsid w:val="006D2FB1"/>
    <w:rsid w:val="006D3022"/>
    <w:rsid w:val="006D308A"/>
    <w:rsid w:val="006D3107"/>
    <w:rsid w:val="006D314A"/>
    <w:rsid w:val="006D3151"/>
    <w:rsid w:val="006D316C"/>
    <w:rsid w:val="006D327F"/>
    <w:rsid w:val="006D333B"/>
    <w:rsid w:val="006D33E8"/>
    <w:rsid w:val="006D343E"/>
    <w:rsid w:val="006D3489"/>
    <w:rsid w:val="006D3490"/>
    <w:rsid w:val="006D354A"/>
    <w:rsid w:val="006D36AD"/>
    <w:rsid w:val="006D36C8"/>
    <w:rsid w:val="006D36E6"/>
    <w:rsid w:val="006D3706"/>
    <w:rsid w:val="006D371A"/>
    <w:rsid w:val="006D37C5"/>
    <w:rsid w:val="006D384B"/>
    <w:rsid w:val="006D384E"/>
    <w:rsid w:val="006D398D"/>
    <w:rsid w:val="006D39F0"/>
    <w:rsid w:val="006D3A18"/>
    <w:rsid w:val="006D3ABB"/>
    <w:rsid w:val="006D3B4A"/>
    <w:rsid w:val="006D3BD3"/>
    <w:rsid w:val="006D3C5E"/>
    <w:rsid w:val="006D3CA8"/>
    <w:rsid w:val="006D3CF8"/>
    <w:rsid w:val="006D3D0F"/>
    <w:rsid w:val="006D3EA8"/>
    <w:rsid w:val="006D3F87"/>
    <w:rsid w:val="006D4004"/>
    <w:rsid w:val="006D40BD"/>
    <w:rsid w:val="006D42E5"/>
    <w:rsid w:val="006D430F"/>
    <w:rsid w:val="006D438C"/>
    <w:rsid w:val="006D447E"/>
    <w:rsid w:val="006D44E4"/>
    <w:rsid w:val="006D45A7"/>
    <w:rsid w:val="006D45BD"/>
    <w:rsid w:val="006D4665"/>
    <w:rsid w:val="006D46CC"/>
    <w:rsid w:val="006D46D8"/>
    <w:rsid w:val="006D47FA"/>
    <w:rsid w:val="006D4899"/>
    <w:rsid w:val="006D48A1"/>
    <w:rsid w:val="006D4960"/>
    <w:rsid w:val="006D4982"/>
    <w:rsid w:val="006D4996"/>
    <w:rsid w:val="006D49DE"/>
    <w:rsid w:val="006D4A60"/>
    <w:rsid w:val="006D4B42"/>
    <w:rsid w:val="006D4B4D"/>
    <w:rsid w:val="006D4CA7"/>
    <w:rsid w:val="006D4D20"/>
    <w:rsid w:val="006D4D87"/>
    <w:rsid w:val="006D4E8A"/>
    <w:rsid w:val="006D4FE8"/>
    <w:rsid w:val="006D50DD"/>
    <w:rsid w:val="006D511E"/>
    <w:rsid w:val="006D5196"/>
    <w:rsid w:val="006D52DF"/>
    <w:rsid w:val="006D53FB"/>
    <w:rsid w:val="006D5462"/>
    <w:rsid w:val="006D54D3"/>
    <w:rsid w:val="006D5572"/>
    <w:rsid w:val="006D55B8"/>
    <w:rsid w:val="006D55FC"/>
    <w:rsid w:val="006D56D6"/>
    <w:rsid w:val="006D576B"/>
    <w:rsid w:val="006D581C"/>
    <w:rsid w:val="006D58A3"/>
    <w:rsid w:val="006D58B7"/>
    <w:rsid w:val="006D59B4"/>
    <w:rsid w:val="006D5A69"/>
    <w:rsid w:val="006D5ACE"/>
    <w:rsid w:val="006D5B1D"/>
    <w:rsid w:val="006D5B53"/>
    <w:rsid w:val="006D5CA3"/>
    <w:rsid w:val="006D5D51"/>
    <w:rsid w:val="006D5D54"/>
    <w:rsid w:val="006D5DAB"/>
    <w:rsid w:val="006D5DCB"/>
    <w:rsid w:val="006D5DCD"/>
    <w:rsid w:val="006D5DDC"/>
    <w:rsid w:val="006D5EB4"/>
    <w:rsid w:val="006D5F38"/>
    <w:rsid w:val="006D5FBD"/>
    <w:rsid w:val="006D5FD4"/>
    <w:rsid w:val="006D5FF9"/>
    <w:rsid w:val="006D60B3"/>
    <w:rsid w:val="006D611B"/>
    <w:rsid w:val="006D613D"/>
    <w:rsid w:val="006D6186"/>
    <w:rsid w:val="006D6386"/>
    <w:rsid w:val="006D646D"/>
    <w:rsid w:val="006D6470"/>
    <w:rsid w:val="006D64F4"/>
    <w:rsid w:val="006D6654"/>
    <w:rsid w:val="006D66ED"/>
    <w:rsid w:val="006D6752"/>
    <w:rsid w:val="006D6807"/>
    <w:rsid w:val="006D6890"/>
    <w:rsid w:val="006D68C5"/>
    <w:rsid w:val="006D698F"/>
    <w:rsid w:val="006D69AE"/>
    <w:rsid w:val="006D6A20"/>
    <w:rsid w:val="006D6A3F"/>
    <w:rsid w:val="006D6B05"/>
    <w:rsid w:val="006D6BC9"/>
    <w:rsid w:val="006D6C44"/>
    <w:rsid w:val="006D6D4B"/>
    <w:rsid w:val="006D6D82"/>
    <w:rsid w:val="006D6DA8"/>
    <w:rsid w:val="006D6E5A"/>
    <w:rsid w:val="006D6EDE"/>
    <w:rsid w:val="006D6EE4"/>
    <w:rsid w:val="006D6F00"/>
    <w:rsid w:val="006D6F2B"/>
    <w:rsid w:val="006D6F34"/>
    <w:rsid w:val="006D6F94"/>
    <w:rsid w:val="006D6FA8"/>
    <w:rsid w:val="006D6FBC"/>
    <w:rsid w:val="006D7044"/>
    <w:rsid w:val="006D7045"/>
    <w:rsid w:val="006D71ED"/>
    <w:rsid w:val="006D7224"/>
    <w:rsid w:val="006D73B0"/>
    <w:rsid w:val="006D7502"/>
    <w:rsid w:val="006D7521"/>
    <w:rsid w:val="006D755D"/>
    <w:rsid w:val="006D76D2"/>
    <w:rsid w:val="006D7762"/>
    <w:rsid w:val="006D778D"/>
    <w:rsid w:val="006D77F5"/>
    <w:rsid w:val="006D7824"/>
    <w:rsid w:val="006D782E"/>
    <w:rsid w:val="006D7992"/>
    <w:rsid w:val="006D7B01"/>
    <w:rsid w:val="006D7BAC"/>
    <w:rsid w:val="006D7CB0"/>
    <w:rsid w:val="006D7CF2"/>
    <w:rsid w:val="006D7DFC"/>
    <w:rsid w:val="006D7E01"/>
    <w:rsid w:val="006D7E1D"/>
    <w:rsid w:val="006D7F0E"/>
    <w:rsid w:val="006D7FB8"/>
    <w:rsid w:val="006D7FD6"/>
    <w:rsid w:val="006DC4D1"/>
    <w:rsid w:val="006E002A"/>
    <w:rsid w:val="006E008C"/>
    <w:rsid w:val="006E0091"/>
    <w:rsid w:val="006E0137"/>
    <w:rsid w:val="006E01B2"/>
    <w:rsid w:val="006E0268"/>
    <w:rsid w:val="006E02E7"/>
    <w:rsid w:val="006E0338"/>
    <w:rsid w:val="006E0353"/>
    <w:rsid w:val="006E0356"/>
    <w:rsid w:val="006E0364"/>
    <w:rsid w:val="006E0381"/>
    <w:rsid w:val="006E03FF"/>
    <w:rsid w:val="006E0487"/>
    <w:rsid w:val="006E053A"/>
    <w:rsid w:val="006E05AD"/>
    <w:rsid w:val="006E063F"/>
    <w:rsid w:val="006E0709"/>
    <w:rsid w:val="006E0721"/>
    <w:rsid w:val="006E075B"/>
    <w:rsid w:val="006E075E"/>
    <w:rsid w:val="006E0893"/>
    <w:rsid w:val="006E09D9"/>
    <w:rsid w:val="006E0A61"/>
    <w:rsid w:val="006E0A71"/>
    <w:rsid w:val="006E0AD4"/>
    <w:rsid w:val="006E0B77"/>
    <w:rsid w:val="006E0B83"/>
    <w:rsid w:val="006E0BB4"/>
    <w:rsid w:val="006E0C15"/>
    <w:rsid w:val="006E0CCD"/>
    <w:rsid w:val="006E0CE2"/>
    <w:rsid w:val="006E0CFE"/>
    <w:rsid w:val="006E0D53"/>
    <w:rsid w:val="006E0DE6"/>
    <w:rsid w:val="006E0DF5"/>
    <w:rsid w:val="006E0F1F"/>
    <w:rsid w:val="006E0F41"/>
    <w:rsid w:val="006E0F7F"/>
    <w:rsid w:val="006E119A"/>
    <w:rsid w:val="006E11C8"/>
    <w:rsid w:val="006E1218"/>
    <w:rsid w:val="006E12F7"/>
    <w:rsid w:val="006E1323"/>
    <w:rsid w:val="006E1339"/>
    <w:rsid w:val="006E133B"/>
    <w:rsid w:val="006E1361"/>
    <w:rsid w:val="006E1574"/>
    <w:rsid w:val="006E157A"/>
    <w:rsid w:val="006E1794"/>
    <w:rsid w:val="006E17D7"/>
    <w:rsid w:val="006E17EE"/>
    <w:rsid w:val="006E18B4"/>
    <w:rsid w:val="006E18C0"/>
    <w:rsid w:val="006E18DE"/>
    <w:rsid w:val="006E19C7"/>
    <w:rsid w:val="006E1AD1"/>
    <w:rsid w:val="006E1AF3"/>
    <w:rsid w:val="006E1BC7"/>
    <w:rsid w:val="006E1BE7"/>
    <w:rsid w:val="006E1C1D"/>
    <w:rsid w:val="006E1E98"/>
    <w:rsid w:val="006E1FE4"/>
    <w:rsid w:val="006E2030"/>
    <w:rsid w:val="006E2092"/>
    <w:rsid w:val="006E2116"/>
    <w:rsid w:val="006E211E"/>
    <w:rsid w:val="006E22F8"/>
    <w:rsid w:val="006E2307"/>
    <w:rsid w:val="006E2471"/>
    <w:rsid w:val="006E2493"/>
    <w:rsid w:val="006E262F"/>
    <w:rsid w:val="006E28CA"/>
    <w:rsid w:val="006E28CE"/>
    <w:rsid w:val="006E28DB"/>
    <w:rsid w:val="006E2A27"/>
    <w:rsid w:val="006E2B72"/>
    <w:rsid w:val="006E2BB0"/>
    <w:rsid w:val="006E2C4F"/>
    <w:rsid w:val="006E2C62"/>
    <w:rsid w:val="006E2CD4"/>
    <w:rsid w:val="006E2D67"/>
    <w:rsid w:val="006E2DE8"/>
    <w:rsid w:val="006E2E75"/>
    <w:rsid w:val="006E2ED1"/>
    <w:rsid w:val="006E2FAA"/>
    <w:rsid w:val="006E300E"/>
    <w:rsid w:val="006E3038"/>
    <w:rsid w:val="006E30D6"/>
    <w:rsid w:val="006E31B6"/>
    <w:rsid w:val="006E31D8"/>
    <w:rsid w:val="006E3223"/>
    <w:rsid w:val="006E32B6"/>
    <w:rsid w:val="006E337A"/>
    <w:rsid w:val="006E3413"/>
    <w:rsid w:val="006E3474"/>
    <w:rsid w:val="006E34A7"/>
    <w:rsid w:val="006E3532"/>
    <w:rsid w:val="006E354B"/>
    <w:rsid w:val="006E367E"/>
    <w:rsid w:val="006E3768"/>
    <w:rsid w:val="006E37B8"/>
    <w:rsid w:val="006E38D5"/>
    <w:rsid w:val="006E3939"/>
    <w:rsid w:val="006E394B"/>
    <w:rsid w:val="006E3953"/>
    <w:rsid w:val="006E3A0B"/>
    <w:rsid w:val="006E3AC6"/>
    <w:rsid w:val="006E3AEC"/>
    <w:rsid w:val="006E3AFC"/>
    <w:rsid w:val="006E3B8D"/>
    <w:rsid w:val="006E3C30"/>
    <w:rsid w:val="006E3C94"/>
    <w:rsid w:val="006E3DBA"/>
    <w:rsid w:val="006E3F12"/>
    <w:rsid w:val="006E3F54"/>
    <w:rsid w:val="006E3F8C"/>
    <w:rsid w:val="006E4009"/>
    <w:rsid w:val="006E40B2"/>
    <w:rsid w:val="006E40B8"/>
    <w:rsid w:val="006E419F"/>
    <w:rsid w:val="006E445B"/>
    <w:rsid w:val="006E448B"/>
    <w:rsid w:val="006E44B7"/>
    <w:rsid w:val="006E4720"/>
    <w:rsid w:val="006E4744"/>
    <w:rsid w:val="006E4752"/>
    <w:rsid w:val="006E479A"/>
    <w:rsid w:val="006E48CC"/>
    <w:rsid w:val="006E49A5"/>
    <w:rsid w:val="006E49AD"/>
    <w:rsid w:val="006E49F8"/>
    <w:rsid w:val="006E4A56"/>
    <w:rsid w:val="006E4AC4"/>
    <w:rsid w:val="006E4B3B"/>
    <w:rsid w:val="006E4B45"/>
    <w:rsid w:val="006E4BDC"/>
    <w:rsid w:val="006E4C19"/>
    <w:rsid w:val="006E4C39"/>
    <w:rsid w:val="006E4C74"/>
    <w:rsid w:val="006E4DBE"/>
    <w:rsid w:val="006E4EA0"/>
    <w:rsid w:val="006E4EE8"/>
    <w:rsid w:val="006E4F20"/>
    <w:rsid w:val="006E4F42"/>
    <w:rsid w:val="006E4FF3"/>
    <w:rsid w:val="006E5149"/>
    <w:rsid w:val="006E519C"/>
    <w:rsid w:val="006E533B"/>
    <w:rsid w:val="006E5378"/>
    <w:rsid w:val="006E537C"/>
    <w:rsid w:val="006E5388"/>
    <w:rsid w:val="006E53C0"/>
    <w:rsid w:val="006E55CC"/>
    <w:rsid w:val="006E561C"/>
    <w:rsid w:val="006E5662"/>
    <w:rsid w:val="006E56CF"/>
    <w:rsid w:val="006E57A8"/>
    <w:rsid w:val="006E57D4"/>
    <w:rsid w:val="006E57D7"/>
    <w:rsid w:val="006E5809"/>
    <w:rsid w:val="006E5926"/>
    <w:rsid w:val="006E5972"/>
    <w:rsid w:val="006E5A01"/>
    <w:rsid w:val="006E5AB2"/>
    <w:rsid w:val="006E5B6C"/>
    <w:rsid w:val="006E5CEE"/>
    <w:rsid w:val="006E5D25"/>
    <w:rsid w:val="006E5D68"/>
    <w:rsid w:val="006E5DCA"/>
    <w:rsid w:val="006E5E2C"/>
    <w:rsid w:val="006E5F73"/>
    <w:rsid w:val="006E6055"/>
    <w:rsid w:val="006E6193"/>
    <w:rsid w:val="006E622B"/>
    <w:rsid w:val="006E625A"/>
    <w:rsid w:val="006E6370"/>
    <w:rsid w:val="006E63A3"/>
    <w:rsid w:val="006E643B"/>
    <w:rsid w:val="006E6653"/>
    <w:rsid w:val="006E6761"/>
    <w:rsid w:val="006E6763"/>
    <w:rsid w:val="006E68CD"/>
    <w:rsid w:val="006E6973"/>
    <w:rsid w:val="006E69BA"/>
    <w:rsid w:val="006E6A2C"/>
    <w:rsid w:val="006E6AAC"/>
    <w:rsid w:val="006E6B7E"/>
    <w:rsid w:val="006E6C3A"/>
    <w:rsid w:val="006E6CAB"/>
    <w:rsid w:val="006E6DA2"/>
    <w:rsid w:val="006E6DCC"/>
    <w:rsid w:val="006E6E17"/>
    <w:rsid w:val="006E6ED7"/>
    <w:rsid w:val="006E6F0B"/>
    <w:rsid w:val="006E6F51"/>
    <w:rsid w:val="006E6F92"/>
    <w:rsid w:val="006E703A"/>
    <w:rsid w:val="006E7053"/>
    <w:rsid w:val="006E706C"/>
    <w:rsid w:val="006E709B"/>
    <w:rsid w:val="006E70F8"/>
    <w:rsid w:val="006E7165"/>
    <w:rsid w:val="006E71B6"/>
    <w:rsid w:val="006E7216"/>
    <w:rsid w:val="006E7246"/>
    <w:rsid w:val="006E729C"/>
    <w:rsid w:val="006E7465"/>
    <w:rsid w:val="006E7481"/>
    <w:rsid w:val="006E7545"/>
    <w:rsid w:val="006E7579"/>
    <w:rsid w:val="006E759C"/>
    <w:rsid w:val="006E75E8"/>
    <w:rsid w:val="006E760D"/>
    <w:rsid w:val="006E761B"/>
    <w:rsid w:val="006E7633"/>
    <w:rsid w:val="006E76F1"/>
    <w:rsid w:val="006E779F"/>
    <w:rsid w:val="006E7872"/>
    <w:rsid w:val="006E78B6"/>
    <w:rsid w:val="006E78EE"/>
    <w:rsid w:val="006E78FA"/>
    <w:rsid w:val="006E7916"/>
    <w:rsid w:val="006E79CD"/>
    <w:rsid w:val="006E7A38"/>
    <w:rsid w:val="006E7AED"/>
    <w:rsid w:val="006E7B8F"/>
    <w:rsid w:val="006E7BB1"/>
    <w:rsid w:val="006E7CC1"/>
    <w:rsid w:val="006E7D05"/>
    <w:rsid w:val="006E7D7E"/>
    <w:rsid w:val="006E7D98"/>
    <w:rsid w:val="006E7DA4"/>
    <w:rsid w:val="006E7E41"/>
    <w:rsid w:val="006E7E6F"/>
    <w:rsid w:val="006E7E7F"/>
    <w:rsid w:val="006E7F29"/>
    <w:rsid w:val="006F00A9"/>
    <w:rsid w:val="006F0118"/>
    <w:rsid w:val="006F0130"/>
    <w:rsid w:val="006F022D"/>
    <w:rsid w:val="006F0235"/>
    <w:rsid w:val="006F0288"/>
    <w:rsid w:val="006F0297"/>
    <w:rsid w:val="006F029E"/>
    <w:rsid w:val="006F0316"/>
    <w:rsid w:val="006F0363"/>
    <w:rsid w:val="006F056F"/>
    <w:rsid w:val="006F0695"/>
    <w:rsid w:val="006F0750"/>
    <w:rsid w:val="006F07A5"/>
    <w:rsid w:val="006F07DB"/>
    <w:rsid w:val="006F08C2"/>
    <w:rsid w:val="006F09AC"/>
    <w:rsid w:val="006F09E3"/>
    <w:rsid w:val="006F0A0B"/>
    <w:rsid w:val="006F0A33"/>
    <w:rsid w:val="006F0B31"/>
    <w:rsid w:val="006F0CA2"/>
    <w:rsid w:val="006F0CEF"/>
    <w:rsid w:val="006F0D08"/>
    <w:rsid w:val="006F0D11"/>
    <w:rsid w:val="006F0D1F"/>
    <w:rsid w:val="006F0D48"/>
    <w:rsid w:val="006F0D74"/>
    <w:rsid w:val="006F0DA6"/>
    <w:rsid w:val="006F0ED1"/>
    <w:rsid w:val="006F0F04"/>
    <w:rsid w:val="006F0F38"/>
    <w:rsid w:val="006F107F"/>
    <w:rsid w:val="006F119A"/>
    <w:rsid w:val="006F1201"/>
    <w:rsid w:val="006F1284"/>
    <w:rsid w:val="006F136A"/>
    <w:rsid w:val="006F1377"/>
    <w:rsid w:val="006F14CD"/>
    <w:rsid w:val="006F155C"/>
    <w:rsid w:val="006F1601"/>
    <w:rsid w:val="006F1603"/>
    <w:rsid w:val="006F1642"/>
    <w:rsid w:val="006F17FF"/>
    <w:rsid w:val="006F1836"/>
    <w:rsid w:val="006F1916"/>
    <w:rsid w:val="006F1984"/>
    <w:rsid w:val="006F19E4"/>
    <w:rsid w:val="006F19E6"/>
    <w:rsid w:val="006F1A3D"/>
    <w:rsid w:val="006F1C23"/>
    <w:rsid w:val="006F1C3A"/>
    <w:rsid w:val="006F1C59"/>
    <w:rsid w:val="006F1D55"/>
    <w:rsid w:val="006F1E4F"/>
    <w:rsid w:val="006F1E9C"/>
    <w:rsid w:val="006F1ECD"/>
    <w:rsid w:val="006F1EEC"/>
    <w:rsid w:val="006F2008"/>
    <w:rsid w:val="006F2078"/>
    <w:rsid w:val="006F2086"/>
    <w:rsid w:val="006F20C5"/>
    <w:rsid w:val="006F20DE"/>
    <w:rsid w:val="006F2105"/>
    <w:rsid w:val="006F219D"/>
    <w:rsid w:val="006F2271"/>
    <w:rsid w:val="006F22E7"/>
    <w:rsid w:val="006F22FF"/>
    <w:rsid w:val="006F24E2"/>
    <w:rsid w:val="006F257B"/>
    <w:rsid w:val="006F2636"/>
    <w:rsid w:val="006F2717"/>
    <w:rsid w:val="006F2799"/>
    <w:rsid w:val="006F27B4"/>
    <w:rsid w:val="006F27CA"/>
    <w:rsid w:val="006F284E"/>
    <w:rsid w:val="006F28F4"/>
    <w:rsid w:val="006F2965"/>
    <w:rsid w:val="006F29F2"/>
    <w:rsid w:val="006F2AB1"/>
    <w:rsid w:val="006F2B8D"/>
    <w:rsid w:val="006F2BB0"/>
    <w:rsid w:val="006F2C7F"/>
    <w:rsid w:val="006F2D4C"/>
    <w:rsid w:val="006F2DE0"/>
    <w:rsid w:val="006F2EFE"/>
    <w:rsid w:val="006F2F16"/>
    <w:rsid w:val="006F2F2C"/>
    <w:rsid w:val="006F2F51"/>
    <w:rsid w:val="006F2FB4"/>
    <w:rsid w:val="006F2FF1"/>
    <w:rsid w:val="006F317C"/>
    <w:rsid w:val="006F31E6"/>
    <w:rsid w:val="006F322E"/>
    <w:rsid w:val="006F327C"/>
    <w:rsid w:val="006F33A6"/>
    <w:rsid w:val="006F3467"/>
    <w:rsid w:val="006F346D"/>
    <w:rsid w:val="006F347E"/>
    <w:rsid w:val="006F3534"/>
    <w:rsid w:val="006F3580"/>
    <w:rsid w:val="006F3658"/>
    <w:rsid w:val="006F36C1"/>
    <w:rsid w:val="006F36D7"/>
    <w:rsid w:val="006F378A"/>
    <w:rsid w:val="006F37DB"/>
    <w:rsid w:val="006F380F"/>
    <w:rsid w:val="006F3979"/>
    <w:rsid w:val="006F3A11"/>
    <w:rsid w:val="006F3C62"/>
    <w:rsid w:val="006F3CFF"/>
    <w:rsid w:val="006F3D38"/>
    <w:rsid w:val="006F3D68"/>
    <w:rsid w:val="006F3DD9"/>
    <w:rsid w:val="006F3E5A"/>
    <w:rsid w:val="006F3E94"/>
    <w:rsid w:val="006F3EF3"/>
    <w:rsid w:val="006F3F3A"/>
    <w:rsid w:val="006F414A"/>
    <w:rsid w:val="006F4177"/>
    <w:rsid w:val="006F4269"/>
    <w:rsid w:val="006F42B5"/>
    <w:rsid w:val="006F42FE"/>
    <w:rsid w:val="006F4351"/>
    <w:rsid w:val="006F4453"/>
    <w:rsid w:val="006F449D"/>
    <w:rsid w:val="006F4598"/>
    <w:rsid w:val="006F462B"/>
    <w:rsid w:val="006F4653"/>
    <w:rsid w:val="006F4667"/>
    <w:rsid w:val="006F493C"/>
    <w:rsid w:val="006F4966"/>
    <w:rsid w:val="006F49EE"/>
    <w:rsid w:val="006F4A63"/>
    <w:rsid w:val="006F4B79"/>
    <w:rsid w:val="006F4C3A"/>
    <w:rsid w:val="006F4CDD"/>
    <w:rsid w:val="006F4DD2"/>
    <w:rsid w:val="006F4DEB"/>
    <w:rsid w:val="006F4EB2"/>
    <w:rsid w:val="006F4F2C"/>
    <w:rsid w:val="006F5128"/>
    <w:rsid w:val="006F51CD"/>
    <w:rsid w:val="006F520A"/>
    <w:rsid w:val="006F5278"/>
    <w:rsid w:val="006F53D9"/>
    <w:rsid w:val="006F5470"/>
    <w:rsid w:val="006F54F5"/>
    <w:rsid w:val="006F5529"/>
    <w:rsid w:val="006F55B4"/>
    <w:rsid w:val="006F563E"/>
    <w:rsid w:val="006F576B"/>
    <w:rsid w:val="006F5911"/>
    <w:rsid w:val="006F59BA"/>
    <w:rsid w:val="006F5A61"/>
    <w:rsid w:val="006F5A79"/>
    <w:rsid w:val="006F5AE2"/>
    <w:rsid w:val="006F5B89"/>
    <w:rsid w:val="006F5BAC"/>
    <w:rsid w:val="006F5C99"/>
    <w:rsid w:val="006F5CBC"/>
    <w:rsid w:val="006F5CC0"/>
    <w:rsid w:val="006F5CFD"/>
    <w:rsid w:val="006F5D4B"/>
    <w:rsid w:val="006F5D4E"/>
    <w:rsid w:val="006F5DBA"/>
    <w:rsid w:val="006F5DDE"/>
    <w:rsid w:val="006F5E8B"/>
    <w:rsid w:val="006F5F75"/>
    <w:rsid w:val="006F6017"/>
    <w:rsid w:val="006F6050"/>
    <w:rsid w:val="006F60A5"/>
    <w:rsid w:val="006F60DB"/>
    <w:rsid w:val="006F6174"/>
    <w:rsid w:val="006F61D6"/>
    <w:rsid w:val="006F61D9"/>
    <w:rsid w:val="006F62FB"/>
    <w:rsid w:val="006F63AB"/>
    <w:rsid w:val="006F659D"/>
    <w:rsid w:val="006F65C1"/>
    <w:rsid w:val="006F6799"/>
    <w:rsid w:val="006F67EA"/>
    <w:rsid w:val="006F6B7F"/>
    <w:rsid w:val="006F6BED"/>
    <w:rsid w:val="006F6C50"/>
    <w:rsid w:val="006F6D02"/>
    <w:rsid w:val="006F6EB3"/>
    <w:rsid w:val="006F7111"/>
    <w:rsid w:val="006F7191"/>
    <w:rsid w:val="006F71FB"/>
    <w:rsid w:val="006F7319"/>
    <w:rsid w:val="006F7336"/>
    <w:rsid w:val="006F747F"/>
    <w:rsid w:val="006F752A"/>
    <w:rsid w:val="006F752E"/>
    <w:rsid w:val="006F7587"/>
    <w:rsid w:val="006F7650"/>
    <w:rsid w:val="006F777C"/>
    <w:rsid w:val="006F7824"/>
    <w:rsid w:val="006F7847"/>
    <w:rsid w:val="006F785B"/>
    <w:rsid w:val="006F78CF"/>
    <w:rsid w:val="006F794F"/>
    <w:rsid w:val="006F79F0"/>
    <w:rsid w:val="006F7A89"/>
    <w:rsid w:val="006F7BB0"/>
    <w:rsid w:val="006F7C2E"/>
    <w:rsid w:val="006F7C74"/>
    <w:rsid w:val="006F7DB7"/>
    <w:rsid w:val="006F7DDC"/>
    <w:rsid w:val="006F7EC8"/>
    <w:rsid w:val="006F7F95"/>
    <w:rsid w:val="006F7F96"/>
    <w:rsid w:val="006F7FE3"/>
    <w:rsid w:val="0070000C"/>
    <w:rsid w:val="00700058"/>
    <w:rsid w:val="0070007A"/>
    <w:rsid w:val="007000C9"/>
    <w:rsid w:val="007000D0"/>
    <w:rsid w:val="0070014C"/>
    <w:rsid w:val="00700158"/>
    <w:rsid w:val="00700197"/>
    <w:rsid w:val="00700238"/>
    <w:rsid w:val="0070035A"/>
    <w:rsid w:val="00700364"/>
    <w:rsid w:val="00700367"/>
    <w:rsid w:val="00700616"/>
    <w:rsid w:val="0070066E"/>
    <w:rsid w:val="007006C7"/>
    <w:rsid w:val="0070082F"/>
    <w:rsid w:val="00700866"/>
    <w:rsid w:val="00700896"/>
    <w:rsid w:val="007008AA"/>
    <w:rsid w:val="00700919"/>
    <w:rsid w:val="0070097C"/>
    <w:rsid w:val="007009EF"/>
    <w:rsid w:val="00700A64"/>
    <w:rsid w:val="00700A99"/>
    <w:rsid w:val="00700B22"/>
    <w:rsid w:val="00700C0B"/>
    <w:rsid w:val="00700C4B"/>
    <w:rsid w:val="00700C91"/>
    <w:rsid w:val="00700CFF"/>
    <w:rsid w:val="00700D57"/>
    <w:rsid w:val="00700DDA"/>
    <w:rsid w:val="00700F03"/>
    <w:rsid w:val="00700F2D"/>
    <w:rsid w:val="00700F82"/>
    <w:rsid w:val="00700FD2"/>
    <w:rsid w:val="007010A5"/>
    <w:rsid w:val="007011B3"/>
    <w:rsid w:val="00701330"/>
    <w:rsid w:val="00701475"/>
    <w:rsid w:val="00701646"/>
    <w:rsid w:val="007018E3"/>
    <w:rsid w:val="007019B1"/>
    <w:rsid w:val="00701A17"/>
    <w:rsid w:val="00701AF7"/>
    <w:rsid w:val="00701B27"/>
    <w:rsid w:val="00701B92"/>
    <w:rsid w:val="00701BF4"/>
    <w:rsid w:val="00701C7C"/>
    <w:rsid w:val="00701E46"/>
    <w:rsid w:val="00701F2E"/>
    <w:rsid w:val="00701FA7"/>
    <w:rsid w:val="00701FAC"/>
    <w:rsid w:val="00702018"/>
    <w:rsid w:val="00702079"/>
    <w:rsid w:val="007021E4"/>
    <w:rsid w:val="00702233"/>
    <w:rsid w:val="00702236"/>
    <w:rsid w:val="00702246"/>
    <w:rsid w:val="007023A5"/>
    <w:rsid w:val="007023B0"/>
    <w:rsid w:val="00702405"/>
    <w:rsid w:val="0070244D"/>
    <w:rsid w:val="0070251C"/>
    <w:rsid w:val="007025C3"/>
    <w:rsid w:val="00702711"/>
    <w:rsid w:val="00702789"/>
    <w:rsid w:val="007027EE"/>
    <w:rsid w:val="0070289B"/>
    <w:rsid w:val="007028A3"/>
    <w:rsid w:val="007028D7"/>
    <w:rsid w:val="007028E7"/>
    <w:rsid w:val="007028F0"/>
    <w:rsid w:val="00702902"/>
    <w:rsid w:val="00702993"/>
    <w:rsid w:val="00702A9E"/>
    <w:rsid w:val="00702AD2"/>
    <w:rsid w:val="00702AEA"/>
    <w:rsid w:val="00702AF5"/>
    <w:rsid w:val="00702B6F"/>
    <w:rsid w:val="00702BF0"/>
    <w:rsid w:val="00702C6E"/>
    <w:rsid w:val="00702CE1"/>
    <w:rsid w:val="00702CEE"/>
    <w:rsid w:val="00702D3B"/>
    <w:rsid w:val="00702D90"/>
    <w:rsid w:val="00702DAC"/>
    <w:rsid w:val="00702E02"/>
    <w:rsid w:val="00702E4F"/>
    <w:rsid w:val="00702E5F"/>
    <w:rsid w:val="00702E81"/>
    <w:rsid w:val="00702FC6"/>
    <w:rsid w:val="00703016"/>
    <w:rsid w:val="007030B0"/>
    <w:rsid w:val="0070314B"/>
    <w:rsid w:val="0070317A"/>
    <w:rsid w:val="007031B2"/>
    <w:rsid w:val="007033C6"/>
    <w:rsid w:val="0070342D"/>
    <w:rsid w:val="007034B1"/>
    <w:rsid w:val="0070384B"/>
    <w:rsid w:val="00703871"/>
    <w:rsid w:val="007038E7"/>
    <w:rsid w:val="007039AA"/>
    <w:rsid w:val="00703A00"/>
    <w:rsid w:val="00703A51"/>
    <w:rsid w:val="00703AE9"/>
    <w:rsid w:val="00703B62"/>
    <w:rsid w:val="00703CD3"/>
    <w:rsid w:val="00703D6C"/>
    <w:rsid w:val="00703DCF"/>
    <w:rsid w:val="00703E24"/>
    <w:rsid w:val="00703F12"/>
    <w:rsid w:val="00703F32"/>
    <w:rsid w:val="00703FFA"/>
    <w:rsid w:val="00704049"/>
    <w:rsid w:val="0070406C"/>
    <w:rsid w:val="007040AD"/>
    <w:rsid w:val="007040FA"/>
    <w:rsid w:val="007043E5"/>
    <w:rsid w:val="0070442C"/>
    <w:rsid w:val="0070443F"/>
    <w:rsid w:val="007045C4"/>
    <w:rsid w:val="007045CD"/>
    <w:rsid w:val="0070466C"/>
    <w:rsid w:val="00704710"/>
    <w:rsid w:val="0070479D"/>
    <w:rsid w:val="007047A8"/>
    <w:rsid w:val="007047CA"/>
    <w:rsid w:val="00704805"/>
    <w:rsid w:val="00704812"/>
    <w:rsid w:val="00704843"/>
    <w:rsid w:val="00704849"/>
    <w:rsid w:val="0070489A"/>
    <w:rsid w:val="00704992"/>
    <w:rsid w:val="007049F3"/>
    <w:rsid w:val="00704A0E"/>
    <w:rsid w:val="00704A97"/>
    <w:rsid w:val="00704AA7"/>
    <w:rsid w:val="00704AD4"/>
    <w:rsid w:val="00704AD6"/>
    <w:rsid w:val="00704AE6"/>
    <w:rsid w:val="00704B71"/>
    <w:rsid w:val="00704C47"/>
    <w:rsid w:val="00704CFC"/>
    <w:rsid w:val="00704D02"/>
    <w:rsid w:val="00704D10"/>
    <w:rsid w:val="00704E63"/>
    <w:rsid w:val="00704E64"/>
    <w:rsid w:val="00704EAA"/>
    <w:rsid w:val="00704ECD"/>
    <w:rsid w:val="00704F65"/>
    <w:rsid w:val="00704FAC"/>
    <w:rsid w:val="0070504B"/>
    <w:rsid w:val="007050C4"/>
    <w:rsid w:val="007051B6"/>
    <w:rsid w:val="007051E0"/>
    <w:rsid w:val="007051F0"/>
    <w:rsid w:val="007052C1"/>
    <w:rsid w:val="007052D8"/>
    <w:rsid w:val="00705451"/>
    <w:rsid w:val="007054A6"/>
    <w:rsid w:val="0070553A"/>
    <w:rsid w:val="00705560"/>
    <w:rsid w:val="00705663"/>
    <w:rsid w:val="0070568E"/>
    <w:rsid w:val="007056C2"/>
    <w:rsid w:val="007056ED"/>
    <w:rsid w:val="00705721"/>
    <w:rsid w:val="00705740"/>
    <w:rsid w:val="00705765"/>
    <w:rsid w:val="00705839"/>
    <w:rsid w:val="00705873"/>
    <w:rsid w:val="007058B5"/>
    <w:rsid w:val="007059B5"/>
    <w:rsid w:val="00705A1E"/>
    <w:rsid w:val="00705A61"/>
    <w:rsid w:val="00705AC8"/>
    <w:rsid w:val="00705C57"/>
    <w:rsid w:val="00705C8E"/>
    <w:rsid w:val="00705CD6"/>
    <w:rsid w:val="00705D34"/>
    <w:rsid w:val="00705DC2"/>
    <w:rsid w:val="00705E5D"/>
    <w:rsid w:val="00705E62"/>
    <w:rsid w:val="00705ED2"/>
    <w:rsid w:val="00705F0F"/>
    <w:rsid w:val="007060E8"/>
    <w:rsid w:val="0070613E"/>
    <w:rsid w:val="00706146"/>
    <w:rsid w:val="00706186"/>
    <w:rsid w:val="007061A8"/>
    <w:rsid w:val="007061C2"/>
    <w:rsid w:val="00706215"/>
    <w:rsid w:val="00706218"/>
    <w:rsid w:val="00706222"/>
    <w:rsid w:val="00706241"/>
    <w:rsid w:val="00706356"/>
    <w:rsid w:val="0070641A"/>
    <w:rsid w:val="0070649C"/>
    <w:rsid w:val="0070656A"/>
    <w:rsid w:val="0070658A"/>
    <w:rsid w:val="00706612"/>
    <w:rsid w:val="00706630"/>
    <w:rsid w:val="0070673F"/>
    <w:rsid w:val="00706864"/>
    <w:rsid w:val="00706871"/>
    <w:rsid w:val="00706A8C"/>
    <w:rsid w:val="00706AAB"/>
    <w:rsid w:val="00706ACC"/>
    <w:rsid w:val="00706AD7"/>
    <w:rsid w:val="00706AFD"/>
    <w:rsid w:val="00706C66"/>
    <w:rsid w:val="00706D62"/>
    <w:rsid w:val="00706D69"/>
    <w:rsid w:val="00706E1D"/>
    <w:rsid w:val="00706E23"/>
    <w:rsid w:val="00706E53"/>
    <w:rsid w:val="00706E8C"/>
    <w:rsid w:val="00706F6B"/>
    <w:rsid w:val="00706FDE"/>
    <w:rsid w:val="00706FFA"/>
    <w:rsid w:val="00707022"/>
    <w:rsid w:val="007070C7"/>
    <w:rsid w:val="00707291"/>
    <w:rsid w:val="00707421"/>
    <w:rsid w:val="00707470"/>
    <w:rsid w:val="00707484"/>
    <w:rsid w:val="007074EC"/>
    <w:rsid w:val="00707502"/>
    <w:rsid w:val="00707518"/>
    <w:rsid w:val="007076CE"/>
    <w:rsid w:val="007077D6"/>
    <w:rsid w:val="00707825"/>
    <w:rsid w:val="00707848"/>
    <w:rsid w:val="0070784B"/>
    <w:rsid w:val="007079B4"/>
    <w:rsid w:val="007079E4"/>
    <w:rsid w:val="00707B42"/>
    <w:rsid w:val="00707CFF"/>
    <w:rsid w:val="00707DAF"/>
    <w:rsid w:val="00707DE0"/>
    <w:rsid w:val="00707E13"/>
    <w:rsid w:val="00707E65"/>
    <w:rsid w:val="00707EFA"/>
    <w:rsid w:val="00710005"/>
    <w:rsid w:val="00710030"/>
    <w:rsid w:val="007100DE"/>
    <w:rsid w:val="007100E7"/>
    <w:rsid w:val="0071012A"/>
    <w:rsid w:val="00710157"/>
    <w:rsid w:val="007101F7"/>
    <w:rsid w:val="007102AF"/>
    <w:rsid w:val="007102B2"/>
    <w:rsid w:val="007104D0"/>
    <w:rsid w:val="007105D8"/>
    <w:rsid w:val="0071068A"/>
    <w:rsid w:val="007107E1"/>
    <w:rsid w:val="007108AA"/>
    <w:rsid w:val="0071098E"/>
    <w:rsid w:val="007109A8"/>
    <w:rsid w:val="00710BB9"/>
    <w:rsid w:val="00710BC4"/>
    <w:rsid w:val="00710C4F"/>
    <w:rsid w:val="00710CDE"/>
    <w:rsid w:val="00710D0D"/>
    <w:rsid w:val="00710E92"/>
    <w:rsid w:val="00710FC3"/>
    <w:rsid w:val="00711036"/>
    <w:rsid w:val="007110FD"/>
    <w:rsid w:val="00711156"/>
    <w:rsid w:val="007111C2"/>
    <w:rsid w:val="007112A1"/>
    <w:rsid w:val="007112D2"/>
    <w:rsid w:val="007112DA"/>
    <w:rsid w:val="0071130A"/>
    <w:rsid w:val="007113A3"/>
    <w:rsid w:val="007113BB"/>
    <w:rsid w:val="007113F8"/>
    <w:rsid w:val="0071146F"/>
    <w:rsid w:val="00711567"/>
    <w:rsid w:val="00711606"/>
    <w:rsid w:val="007116F8"/>
    <w:rsid w:val="0071172A"/>
    <w:rsid w:val="007117BA"/>
    <w:rsid w:val="007119B1"/>
    <w:rsid w:val="007119D0"/>
    <w:rsid w:val="007119DA"/>
    <w:rsid w:val="00711A49"/>
    <w:rsid w:val="00711A5E"/>
    <w:rsid w:val="00711B1A"/>
    <w:rsid w:val="00711B70"/>
    <w:rsid w:val="00711BB3"/>
    <w:rsid w:val="00711BD2"/>
    <w:rsid w:val="00711C35"/>
    <w:rsid w:val="00711D0C"/>
    <w:rsid w:val="00711D0F"/>
    <w:rsid w:val="00711D51"/>
    <w:rsid w:val="00711D91"/>
    <w:rsid w:val="00711D9A"/>
    <w:rsid w:val="00711E4C"/>
    <w:rsid w:val="00711E7D"/>
    <w:rsid w:val="00711F16"/>
    <w:rsid w:val="00711F92"/>
    <w:rsid w:val="00711F9B"/>
    <w:rsid w:val="00711FFD"/>
    <w:rsid w:val="0071205E"/>
    <w:rsid w:val="0071207B"/>
    <w:rsid w:val="0071213B"/>
    <w:rsid w:val="00712151"/>
    <w:rsid w:val="0071217E"/>
    <w:rsid w:val="007121EA"/>
    <w:rsid w:val="007121FA"/>
    <w:rsid w:val="007122AA"/>
    <w:rsid w:val="00712344"/>
    <w:rsid w:val="00712381"/>
    <w:rsid w:val="0071248E"/>
    <w:rsid w:val="007124C6"/>
    <w:rsid w:val="007124DC"/>
    <w:rsid w:val="00712530"/>
    <w:rsid w:val="0071253D"/>
    <w:rsid w:val="007126EA"/>
    <w:rsid w:val="00712710"/>
    <w:rsid w:val="00712729"/>
    <w:rsid w:val="00712734"/>
    <w:rsid w:val="0071284F"/>
    <w:rsid w:val="0071286F"/>
    <w:rsid w:val="007128F1"/>
    <w:rsid w:val="00712A70"/>
    <w:rsid w:val="00712A8F"/>
    <w:rsid w:val="00712AE1"/>
    <w:rsid w:val="00712BCE"/>
    <w:rsid w:val="00712D19"/>
    <w:rsid w:val="00712D23"/>
    <w:rsid w:val="00712EA6"/>
    <w:rsid w:val="00712EFB"/>
    <w:rsid w:val="00712F2E"/>
    <w:rsid w:val="00712FF0"/>
    <w:rsid w:val="00713054"/>
    <w:rsid w:val="00713062"/>
    <w:rsid w:val="007130DA"/>
    <w:rsid w:val="0071314B"/>
    <w:rsid w:val="00713184"/>
    <w:rsid w:val="00713202"/>
    <w:rsid w:val="007132E7"/>
    <w:rsid w:val="0071331C"/>
    <w:rsid w:val="00713347"/>
    <w:rsid w:val="00713354"/>
    <w:rsid w:val="007133DD"/>
    <w:rsid w:val="007134B8"/>
    <w:rsid w:val="007134F2"/>
    <w:rsid w:val="00713505"/>
    <w:rsid w:val="00713611"/>
    <w:rsid w:val="0071379B"/>
    <w:rsid w:val="0071398C"/>
    <w:rsid w:val="00713A30"/>
    <w:rsid w:val="00713A39"/>
    <w:rsid w:val="00713A78"/>
    <w:rsid w:val="00713BD7"/>
    <w:rsid w:val="00713C1E"/>
    <w:rsid w:val="00713C23"/>
    <w:rsid w:val="00713C2D"/>
    <w:rsid w:val="00713C4B"/>
    <w:rsid w:val="00713E15"/>
    <w:rsid w:val="00713E3E"/>
    <w:rsid w:val="00713FE9"/>
    <w:rsid w:val="00713FF3"/>
    <w:rsid w:val="00714040"/>
    <w:rsid w:val="0071408E"/>
    <w:rsid w:val="00714264"/>
    <w:rsid w:val="00714275"/>
    <w:rsid w:val="00714297"/>
    <w:rsid w:val="007143E2"/>
    <w:rsid w:val="007143F8"/>
    <w:rsid w:val="007143F9"/>
    <w:rsid w:val="0071443C"/>
    <w:rsid w:val="007144B5"/>
    <w:rsid w:val="00714604"/>
    <w:rsid w:val="0071470F"/>
    <w:rsid w:val="00714775"/>
    <w:rsid w:val="00714819"/>
    <w:rsid w:val="00714841"/>
    <w:rsid w:val="007148B6"/>
    <w:rsid w:val="0071491D"/>
    <w:rsid w:val="00714A1F"/>
    <w:rsid w:val="00714BB0"/>
    <w:rsid w:val="00714C46"/>
    <w:rsid w:val="00714D3A"/>
    <w:rsid w:val="00714E37"/>
    <w:rsid w:val="00714F17"/>
    <w:rsid w:val="00714F51"/>
    <w:rsid w:val="00714F69"/>
    <w:rsid w:val="0071505F"/>
    <w:rsid w:val="007150E6"/>
    <w:rsid w:val="007151E5"/>
    <w:rsid w:val="00715230"/>
    <w:rsid w:val="007153DE"/>
    <w:rsid w:val="00715444"/>
    <w:rsid w:val="00715566"/>
    <w:rsid w:val="0071559D"/>
    <w:rsid w:val="007155C2"/>
    <w:rsid w:val="0071566E"/>
    <w:rsid w:val="007156B2"/>
    <w:rsid w:val="007156CF"/>
    <w:rsid w:val="00715748"/>
    <w:rsid w:val="00715840"/>
    <w:rsid w:val="0071586A"/>
    <w:rsid w:val="007158B6"/>
    <w:rsid w:val="00715937"/>
    <w:rsid w:val="00715955"/>
    <w:rsid w:val="0071596D"/>
    <w:rsid w:val="007159F3"/>
    <w:rsid w:val="00715A75"/>
    <w:rsid w:val="00715B4B"/>
    <w:rsid w:val="00715B95"/>
    <w:rsid w:val="00715C99"/>
    <w:rsid w:val="0071608C"/>
    <w:rsid w:val="007160DA"/>
    <w:rsid w:val="007161A9"/>
    <w:rsid w:val="0071623A"/>
    <w:rsid w:val="00716274"/>
    <w:rsid w:val="007162E4"/>
    <w:rsid w:val="00716322"/>
    <w:rsid w:val="0071633C"/>
    <w:rsid w:val="0071635D"/>
    <w:rsid w:val="0071636C"/>
    <w:rsid w:val="00716399"/>
    <w:rsid w:val="007163A9"/>
    <w:rsid w:val="007163C9"/>
    <w:rsid w:val="007163DD"/>
    <w:rsid w:val="0071641D"/>
    <w:rsid w:val="007164AD"/>
    <w:rsid w:val="00716503"/>
    <w:rsid w:val="007165A0"/>
    <w:rsid w:val="00716633"/>
    <w:rsid w:val="0071665C"/>
    <w:rsid w:val="00716732"/>
    <w:rsid w:val="00716801"/>
    <w:rsid w:val="00716831"/>
    <w:rsid w:val="007168DC"/>
    <w:rsid w:val="00716A2D"/>
    <w:rsid w:val="00716B69"/>
    <w:rsid w:val="00716B85"/>
    <w:rsid w:val="00716C04"/>
    <w:rsid w:val="00716C81"/>
    <w:rsid w:val="00716D78"/>
    <w:rsid w:val="00716E19"/>
    <w:rsid w:val="00716E82"/>
    <w:rsid w:val="00716EBE"/>
    <w:rsid w:val="00716F15"/>
    <w:rsid w:val="00716F8A"/>
    <w:rsid w:val="007170BD"/>
    <w:rsid w:val="00717159"/>
    <w:rsid w:val="007171B8"/>
    <w:rsid w:val="0071720A"/>
    <w:rsid w:val="00717240"/>
    <w:rsid w:val="007172E9"/>
    <w:rsid w:val="00717451"/>
    <w:rsid w:val="00717467"/>
    <w:rsid w:val="00717592"/>
    <w:rsid w:val="00717798"/>
    <w:rsid w:val="00717929"/>
    <w:rsid w:val="007179B0"/>
    <w:rsid w:val="007179C1"/>
    <w:rsid w:val="00717A7B"/>
    <w:rsid w:val="00717B05"/>
    <w:rsid w:val="00717B53"/>
    <w:rsid w:val="00717B88"/>
    <w:rsid w:val="00717BC8"/>
    <w:rsid w:val="00717BE4"/>
    <w:rsid w:val="00717BEE"/>
    <w:rsid w:val="00717CAC"/>
    <w:rsid w:val="00717D2D"/>
    <w:rsid w:val="00717E44"/>
    <w:rsid w:val="00717E9D"/>
    <w:rsid w:val="00717EBA"/>
    <w:rsid w:val="00717F98"/>
    <w:rsid w:val="00717FA6"/>
    <w:rsid w:val="00717FE8"/>
    <w:rsid w:val="00720179"/>
    <w:rsid w:val="00720190"/>
    <w:rsid w:val="0072019A"/>
    <w:rsid w:val="00720215"/>
    <w:rsid w:val="0072024E"/>
    <w:rsid w:val="0072025B"/>
    <w:rsid w:val="0072033D"/>
    <w:rsid w:val="0072038B"/>
    <w:rsid w:val="007203A1"/>
    <w:rsid w:val="007205F1"/>
    <w:rsid w:val="00720698"/>
    <w:rsid w:val="00720741"/>
    <w:rsid w:val="007207D4"/>
    <w:rsid w:val="007207E5"/>
    <w:rsid w:val="0072081A"/>
    <w:rsid w:val="0072085F"/>
    <w:rsid w:val="00720860"/>
    <w:rsid w:val="007208AE"/>
    <w:rsid w:val="0072094F"/>
    <w:rsid w:val="0072095A"/>
    <w:rsid w:val="00720982"/>
    <w:rsid w:val="00720A70"/>
    <w:rsid w:val="00720B4E"/>
    <w:rsid w:val="00720B59"/>
    <w:rsid w:val="00720B86"/>
    <w:rsid w:val="00720BFF"/>
    <w:rsid w:val="00720C5B"/>
    <w:rsid w:val="00720C75"/>
    <w:rsid w:val="00720E16"/>
    <w:rsid w:val="00720EB3"/>
    <w:rsid w:val="00720FBB"/>
    <w:rsid w:val="00721138"/>
    <w:rsid w:val="0072113A"/>
    <w:rsid w:val="00721187"/>
    <w:rsid w:val="00721192"/>
    <w:rsid w:val="007211E9"/>
    <w:rsid w:val="007212DF"/>
    <w:rsid w:val="00721395"/>
    <w:rsid w:val="00721473"/>
    <w:rsid w:val="0072148E"/>
    <w:rsid w:val="00721548"/>
    <w:rsid w:val="0072155E"/>
    <w:rsid w:val="007216A2"/>
    <w:rsid w:val="007216C0"/>
    <w:rsid w:val="007216F9"/>
    <w:rsid w:val="0072173E"/>
    <w:rsid w:val="00721755"/>
    <w:rsid w:val="00721859"/>
    <w:rsid w:val="0072190C"/>
    <w:rsid w:val="0072195E"/>
    <w:rsid w:val="007219F2"/>
    <w:rsid w:val="00721A50"/>
    <w:rsid w:val="00721A92"/>
    <w:rsid w:val="00721B14"/>
    <w:rsid w:val="00721B88"/>
    <w:rsid w:val="00721CA2"/>
    <w:rsid w:val="00721D40"/>
    <w:rsid w:val="00721DB5"/>
    <w:rsid w:val="00721E0A"/>
    <w:rsid w:val="00721E54"/>
    <w:rsid w:val="00721E6B"/>
    <w:rsid w:val="00721EF6"/>
    <w:rsid w:val="00721F73"/>
    <w:rsid w:val="007220B4"/>
    <w:rsid w:val="00722105"/>
    <w:rsid w:val="007221C1"/>
    <w:rsid w:val="0072224A"/>
    <w:rsid w:val="0072230B"/>
    <w:rsid w:val="0072238E"/>
    <w:rsid w:val="007223D3"/>
    <w:rsid w:val="00722474"/>
    <w:rsid w:val="007225D1"/>
    <w:rsid w:val="007226BC"/>
    <w:rsid w:val="007226D9"/>
    <w:rsid w:val="00722903"/>
    <w:rsid w:val="00722978"/>
    <w:rsid w:val="007229EF"/>
    <w:rsid w:val="00722B63"/>
    <w:rsid w:val="00722B84"/>
    <w:rsid w:val="00722BD2"/>
    <w:rsid w:val="00722BF1"/>
    <w:rsid w:val="00722C4A"/>
    <w:rsid w:val="00722D60"/>
    <w:rsid w:val="00722D7E"/>
    <w:rsid w:val="00722E5E"/>
    <w:rsid w:val="00722F11"/>
    <w:rsid w:val="00722F71"/>
    <w:rsid w:val="00723021"/>
    <w:rsid w:val="0072302A"/>
    <w:rsid w:val="00723038"/>
    <w:rsid w:val="007230A1"/>
    <w:rsid w:val="00723126"/>
    <w:rsid w:val="007231AC"/>
    <w:rsid w:val="007231FE"/>
    <w:rsid w:val="0072326B"/>
    <w:rsid w:val="0072327A"/>
    <w:rsid w:val="00723321"/>
    <w:rsid w:val="0072340C"/>
    <w:rsid w:val="00723445"/>
    <w:rsid w:val="0072351D"/>
    <w:rsid w:val="007235FE"/>
    <w:rsid w:val="007236C0"/>
    <w:rsid w:val="00723748"/>
    <w:rsid w:val="007237A0"/>
    <w:rsid w:val="007237FE"/>
    <w:rsid w:val="00723898"/>
    <w:rsid w:val="007238E5"/>
    <w:rsid w:val="00723A06"/>
    <w:rsid w:val="00723BDF"/>
    <w:rsid w:val="00723C30"/>
    <w:rsid w:val="00723C3B"/>
    <w:rsid w:val="00723C53"/>
    <w:rsid w:val="00723E61"/>
    <w:rsid w:val="00723F23"/>
    <w:rsid w:val="00724045"/>
    <w:rsid w:val="007240BF"/>
    <w:rsid w:val="0072412A"/>
    <w:rsid w:val="007241BF"/>
    <w:rsid w:val="007241EF"/>
    <w:rsid w:val="0072427F"/>
    <w:rsid w:val="007242EC"/>
    <w:rsid w:val="007243BC"/>
    <w:rsid w:val="007243DC"/>
    <w:rsid w:val="00724438"/>
    <w:rsid w:val="0072444D"/>
    <w:rsid w:val="007245D5"/>
    <w:rsid w:val="0072467C"/>
    <w:rsid w:val="00724877"/>
    <w:rsid w:val="0072488A"/>
    <w:rsid w:val="007248E2"/>
    <w:rsid w:val="00724982"/>
    <w:rsid w:val="007249CC"/>
    <w:rsid w:val="00724A8F"/>
    <w:rsid w:val="00724B0D"/>
    <w:rsid w:val="00724B9E"/>
    <w:rsid w:val="00724C26"/>
    <w:rsid w:val="00724C4C"/>
    <w:rsid w:val="00724C7E"/>
    <w:rsid w:val="00724DE4"/>
    <w:rsid w:val="00724E20"/>
    <w:rsid w:val="00724E68"/>
    <w:rsid w:val="00724F58"/>
    <w:rsid w:val="00724FB7"/>
    <w:rsid w:val="00725099"/>
    <w:rsid w:val="00725139"/>
    <w:rsid w:val="0072519E"/>
    <w:rsid w:val="00725249"/>
    <w:rsid w:val="0072528E"/>
    <w:rsid w:val="007252BE"/>
    <w:rsid w:val="007252D8"/>
    <w:rsid w:val="0072541E"/>
    <w:rsid w:val="0072543E"/>
    <w:rsid w:val="00725455"/>
    <w:rsid w:val="00725620"/>
    <w:rsid w:val="007256EB"/>
    <w:rsid w:val="007257B5"/>
    <w:rsid w:val="007258E0"/>
    <w:rsid w:val="00725AA0"/>
    <w:rsid w:val="00725BB3"/>
    <w:rsid w:val="00725BF7"/>
    <w:rsid w:val="00725CAF"/>
    <w:rsid w:val="00725CDD"/>
    <w:rsid w:val="00725CF1"/>
    <w:rsid w:val="00725DB2"/>
    <w:rsid w:val="00725DBD"/>
    <w:rsid w:val="00725DCF"/>
    <w:rsid w:val="00725E72"/>
    <w:rsid w:val="00725EEA"/>
    <w:rsid w:val="00725F9D"/>
    <w:rsid w:val="00725FE8"/>
    <w:rsid w:val="007260C5"/>
    <w:rsid w:val="0072610F"/>
    <w:rsid w:val="00726115"/>
    <w:rsid w:val="00726229"/>
    <w:rsid w:val="0072634E"/>
    <w:rsid w:val="00726362"/>
    <w:rsid w:val="007263F7"/>
    <w:rsid w:val="007265B1"/>
    <w:rsid w:val="007265D0"/>
    <w:rsid w:val="0072660C"/>
    <w:rsid w:val="007266EE"/>
    <w:rsid w:val="00726745"/>
    <w:rsid w:val="007267F5"/>
    <w:rsid w:val="0072683F"/>
    <w:rsid w:val="0072685B"/>
    <w:rsid w:val="00726A22"/>
    <w:rsid w:val="00726A5C"/>
    <w:rsid w:val="00726A60"/>
    <w:rsid w:val="00726AC8"/>
    <w:rsid w:val="00726C82"/>
    <w:rsid w:val="00726D98"/>
    <w:rsid w:val="00726DEC"/>
    <w:rsid w:val="00726EB0"/>
    <w:rsid w:val="00726FA1"/>
    <w:rsid w:val="0072702E"/>
    <w:rsid w:val="0072708F"/>
    <w:rsid w:val="007270FD"/>
    <w:rsid w:val="00727128"/>
    <w:rsid w:val="00727159"/>
    <w:rsid w:val="007271B4"/>
    <w:rsid w:val="0072720A"/>
    <w:rsid w:val="00727218"/>
    <w:rsid w:val="00727307"/>
    <w:rsid w:val="007274FA"/>
    <w:rsid w:val="007276DE"/>
    <w:rsid w:val="00727721"/>
    <w:rsid w:val="0072772A"/>
    <w:rsid w:val="00727925"/>
    <w:rsid w:val="00727AAD"/>
    <w:rsid w:val="00727AEA"/>
    <w:rsid w:val="00727B5B"/>
    <w:rsid w:val="00727BED"/>
    <w:rsid w:val="00727C37"/>
    <w:rsid w:val="00727C54"/>
    <w:rsid w:val="00727D00"/>
    <w:rsid w:val="00727D6C"/>
    <w:rsid w:val="00727DBD"/>
    <w:rsid w:val="00727DC1"/>
    <w:rsid w:val="00727DE0"/>
    <w:rsid w:val="00727ECB"/>
    <w:rsid w:val="00727EF4"/>
    <w:rsid w:val="00727F32"/>
    <w:rsid w:val="00728F7E"/>
    <w:rsid w:val="0073004F"/>
    <w:rsid w:val="007301A5"/>
    <w:rsid w:val="007301A7"/>
    <w:rsid w:val="00730247"/>
    <w:rsid w:val="00730294"/>
    <w:rsid w:val="00730295"/>
    <w:rsid w:val="0073029B"/>
    <w:rsid w:val="0073034F"/>
    <w:rsid w:val="0073036D"/>
    <w:rsid w:val="0073039C"/>
    <w:rsid w:val="007303A9"/>
    <w:rsid w:val="007304A2"/>
    <w:rsid w:val="0073064B"/>
    <w:rsid w:val="00730814"/>
    <w:rsid w:val="00730850"/>
    <w:rsid w:val="007308C3"/>
    <w:rsid w:val="0073097E"/>
    <w:rsid w:val="007309A2"/>
    <w:rsid w:val="00730A1E"/>
    <w:rsid w:val="00730A22"/>
    <w:rsid w:val="00730A94"/>
    <w:rsid w:val="00730C26"/>
    <w:rsid w:val="00730D1A"/>
    <w:rsid w:val="00730D2F"/>
    <w:rsid w:val="00730D34"/>
    <w:rsid w:val="00730D8D"/>
    <w:rsid w:val="00730DDC"/>
    <w:rsid w:val="00730E02"/>
    <w:rsid w:val="00730E11"/>
    <w:rsid w:val="00730E6F"/>
    <w:rsid w:val="00730FC9"/>
    <w:rsid w:val="00730FD0"/>
    <w:rsid w:val="007310E8"/>
    <w:rsid w:val="00731154"/>
    <w:rsid w:val="007311EA"/>
    <w:rsid w:val="007312E5"/>
    <w:rsid w:val="007312F3"/>
    <w:rsid w:val="00731425"/>
    <w:rsid w:val="0073142D"/>
    <w:rsid w:val="0073145F"/>
    <w:rsid w:val="00731467"/>
    <w:rsid w:val="007314F0"/>
    <w:rsid w:val="0073158F"/>
    <w:rsid w:val="007315D8"/>
    <w:rsid w:val="007316E1"/>
    <w:rsid w:val="0073194F"/>
    <w:rsid w:val="00731966"/>
    <w:rsid w:val="00731A99"/>
    <w:rsid w:val="00731ADA"/>
    <w:rsid w:val="00731B31"/>
    <w:rsid w:val="00731B91"/>
    <w:rsid w:val="00731C00"/>
    <w:rsid w:val="00731C1F"/>
    <w:rsid w:val="00731C21"/>
    <w:rsid w:val="00731C49"/>
    <w:rsid w:val="00731C72"/>
    <w:rsid w:val="00731CA6"/>
    <w:rsid w:val="00731CFA"/>
    <w:rsid w:val="00731D8F"/>
    <w:rsid w:val="00731DD3"/>
    <w:rsid w:val="00731E5C"/>
    <w:rsid w:val="00731E6D"/>
    <w:rsid w:val="00731E8D"/>
    <w:rsid w:val="00731F2B"/>
    <w:rsid w:val="00731F6A"/>
    <w:rsid w:val="00732007"/>
    <w:rsid w:val="007320D0"/>
    <w:rsid w:val="007322EB"/>
    <w:rsid w:val="00732430"/>
    <w:rsid w:val="00732444"/>
    <w:rsid w:val="0073258B"/>
    <w:rsid w:val="007325A6"/>
    <w:rsid w:val="007326E9"/>
    <w:rsid w:val="0073272C"/>
    <w:rsid w:val="007327AA"/>
    <w:rsid w:val="007327CB"/>
    <w:rsid w:val="007327E6"/>
    <w:rsid w:val="007327F4"/>
    <w:rsid w:val="007327F9"/>
    <w:rsid w:val="007328C1"/>
    <w:rsid w:val="007328E8"/>
    <w:rsid w:val="00732A25"/>
    <w:rsid w:val="00732AC2"/>
    <w:rsid w:val="00732D20"/>
    <w:rsid w:val="00732D44"/>
    <w:rsid w:val="00732D90"/>
    <w:rsid w:val="00732D9C"/>
    <w:rsid w:val="00732E1C"/>
    <w:rsid w:val="00732E27"/>
    <w:rsid w:val="00732F01"/>
    <w:rsid w:val="00732F46"/>
    <w:rsid w:val="00733080"/>
    <w:rsid w:val="00733095"/>
    <w:rsid w:val="00733143"/>
    <w:rsid w:val="00733242"/>
    <w:rsid w:val="0073332D"/>
    <w:rsid w:val="00733357"/>
    <w:rsid w:val="00733391"/>
    <w:rsid w:val="007333EA"/>
    <w:rsid w:val="007335D2"/>
    <w:rsid w:val="00733658"/>
    <w:rsid w:val="0073371D"/>
    <w:rsid w:val="00733737"/>
    <w:rsid w:val="007337A5"/>
    <w:rsid w:val="00733837"/>
    <w:rsid w:val="00733A44"/>
    <w:rsid w:val="00733AD5"/>
    <w:rsid w:val="00733B77"/>
    <w:rsid w:val="00733BAF"/>
    <w:rsid w:val="00733C14"/>
    <w:rsid w:val="00733CA0"/>
    <w:rsid w:val="00733CD8"/>
    <w:rsid w:val="00733D4C"/>
    <w:rsid w:val="00733D7D"/>
    <w:rsid w:val="00733D9D"/>
    <w:rsid w:val="00733DC1"/>
    <w:rsid w:val="00733DF8"/>
    <w:rsid w:val="00733E31"/>
    <w:rsid w:val="00733E83"/>
    <w:rsid w:val="00733EF0"/>
    <w:rsid w:val="00733EF8"/>
    <w:rsid w:val="00733F06"/>
    <w:rsid w:val="00733F3E"/>
    <w:rsid w:val="00734045"/>
    <w:rsid w:val="00734098"/>
    <w:rsid w:val="00734134"/>
    <w:rsid w:val="00734221"/>
    <w:rsid w:val="00734226"/>
    <w:rsid w:val="00734295"/>
    <w:rsid w:val="0073431A"/>
    <w:rsid w:val="0073443B"/>
    <w:rsid w:val="0073445D"/>
    <w:rsid w:val="0073449B"/>
    <w:rsid w:val="007344E2"/>
    <w:rsid w:val="007344F7"/>
    <w:rsid w:val="00734670"/>
    <w:rsid w:val="0073475C"/>
    <w:rsid w:val="007347A7"/>
    <w:rsid w:val="007347B8"/>
    <w:rsid w:val="007347D8"/>
    <w:rsid w:val="007347F4"/>
    <w:rsid w:val="00734829"/>
    <w:rsid w:val="007349F3"/>
    <w:rsid w:val="00734A2B"/>
    <w:rsid w:val="00734A43"/>
    <w:rsid w:val="00734BF1"/>
    <w:rsid w:val="00734C22"/>
    <w:rsid w:val="00734C24"/>
    <w:rsid w:val="00734C49"/>
    <w:rsid w:val="00734C4E"/>
    <w:rsid w:val="00734F20"/>
    <w:rsid w:val="0073500A"/>
    <w:rsid w:val="00735012"/>
    <w:rsid w:val="00735082"/>
    <w:rsid w:val="00735254"/>
    <w:rsid w:val="0073528E"/>
    <w:rsid w:val="00735291"/>
    <w:rsid w:val="007352F6"/>
    <w:rsid w:val="007353C1"/>
    <w:rsid w:val="007353E6"/>
    <w:rsid w:val="0073541F"/>
    <w:rsid w:val="00735647"/>
    <w:rsid w:val="00735670"/>
    <w:rsid w:val="0073572A"/>
    <w:rsid w:val="00735789"/>
    <w:rsid w:val="007357A3"/>
    <w:rsid w:val="00735826"/>
    <w:rsid w:val="00735827"/>
    <w:rsid w:val="0073583F"/>
    <w:rsid w:val="0073584F"/>
    <w:rsid w:val="00735888"/>
    <w:rsid w:val="007358C4"/>
    <w:rsid w:val="00735938"/>
    <w:rsid w:val="007359FE"/>
    <w:rsid w:val="00735C11"/>
    <w:rsid w:val="00735C38"/>
    <w:rsid w:val="00735C79"/>
    <w:rsid w:val="00735CC5"/>
    <w:rsid w:val="00735CE5"/>
    <w:rsid w:val="00735E11"/>
    <w:rsid w:val="00735E44"/>
    <w:rsid w:val="00735EE8"/>
    <w:rsid w:val="007360A7"/>
    <w:rsid w:val="00736117"/>
    <w:rsid w:val="0073611B"/>
    <w:rsid w:val="007362B5"/>
    <w:rsid w:val="00736376"/>
    <w:rsid w:val="00736448"/>
    <w:rsid w:val="007364C2"/>
    <w:rsid w:val="0073655E"/>
    <w:rsid w:val="007365E5"/>
    <w:rsid w:val="007365EB"/>
    <w:rsid w:val="00736615"/>
    <w:rsid w:val="00736626"/>
    <w:rsid w:val="00736755"/>
    <w:rsid w:val="0073675D"/>
    <w:rsid w:val="007367B4"/>
    <w:rsid w:val="00736871"/>
    <w:rsid w:val="0073692C"/>
    <w:rsid w:val="00736939"/>
    <w:rsid w:val="00736A0A"/>
    <w:rsid w:val="00736BBC"/>
    <w:rsid w:val="00736C13"/>
    <w:rsid w:val="00736C3E"/>
    <w:rsid w:val="00736CF8"/>
    <w:rsid w:val="00736DC6"/>
    <w:rsid w:val="00736DCB"/>
    <w:rsid w:val="0073709C"/>
    <w:rsid w:val="007370C6"/>
    <w:rsid w:val="0073719B"/>
    <w:rsid w:val="007371B0"/>
    <w:rsid w:val="007371EF"/>
    <w:rsid w:val="007371F1"/>
    <w:rsid w:val="0073727B"/>
    <w:rsid w:val="00737298"/>
    <w:rsid w:val="00737314"/>
    <w:rsid w:val="00737352"/>
    <w:rsid w:val="007373A1"/>
    <w:rsid w:val="007374B8"/>
    <w:rsid w:val="0073756C"/>
    <w:rsid w:val="007375DF"/>
    <w:rsid w:val="00737628"/>
    <w:rsid w:val="0073762A"/>
    <w:rsid w:val="00737643"/>
    <w:rsid w:val="0073774E"/>
    <w:rsid w:val="0073779C"/>
    <w:rsid w:val="0073795D"/>
    <w:rsid w:val="00737998"/>
    <w:rsid w:val="00737A2D"/>
    <w:rsid w:val="00737BAE"/>
    <w:rsid w:val="00737BF6"/>
    <w:rsid w:val="00737C5E"/>
    <w:rsid w:val="00737DF9"/>
    <w:rsid w:val="00737FAE"/>
    <w:rsid w:val="0074001F"/>
    <w:rsid w:val="0074017E"/>
    <w:rsid w:val="00740197"/>
    <w:rsid w:val="007401AB"/>
    <w:rsid w:val="007401D6"/>
    <w:rsid w:val="007401EB"/>
    <w:rsid w:val="00740215"/>
    <w:rsid w:val="00740294"/>
    <w:rsid w:val="007403B9"/>
    <w:rsid w:val="007403ED"/>
    <w:rsid w:val="0074051A"/>
    <w:rsid w:val="00740732"/>
    <w:rsid w:val="00740805"/>
    <w:rsid w:val="00740890"/>
    <w:rsid w:val="0074092F"/>
    <w:rsid w:val="0074094B"/>
    <w:rsid w:val="00740A96"/>
    <w:rsid w:val="00740AC9"/>
    <w:rsid w:val="00740B55"/>
    <w:rsid w:val="00740C60"/>
    <w:rsid w:val="00740DEF"/>
    <w:rsid w:val="00740E01"/>
    <w:rsid w:val="00740F9C"/>
    <w:rsid w:val="00740FBB"/>
    <w:rsid w:val="0074101A"/>
    <w:rsid w:val="00741034"/>
    <w:rsid w:val="00741068"/>
    <w:rsid w:val="0074125A"/>
    <w:rsid w:val="0074128E"/>
    <w:rsid w:val="007412A1"/>
    <w:rsid w:val="007412B1"/>
    <w:rsid w:val="0074138D"/>
    <w:rsid w:val="00741418"/>
    <w:rsid w:val="00741449"/>
    <w:rsid w:val="00741660"/>
    <w:rsid w:val="007416AB"/>
    <w:rsid w:val="007416D4"/>
    <w:rsid w:val="007416F0"/>
    <w:rsid w:val="007417A5"/>
    <w:rsid w:val="00741832"/>
    <w:rsid w:val="0074184D"/>
    <w:rsid w:val="0074186F"/>
    <w:rsid w:val="0074187A"/>
    <w:rsid w:val="00741916"/>
    <w:rsid w:val="00741923"/>
    <w:rsid w:val="007419A3"/>
    <w:rsid w:val="00741A6D"/>
    <w:rsid w:val="00741BA6"/>
    <w:rsid w:val="00741D80"/>
    <w:rsid w:val="00741FAC"/>
    <w:rsid w:val="0074209B"/>
    <w:rsid w:val="007420DC"/>
    <w:rsid w:val="0074210E"/>
    <w:rsid w:val="007421B0"/>
    <w:rsid w:val="007421C7"/>
    <w:rsid w:val="00742227"/>
    <w:rsid w:val="0074233B"/>
    <w:rsid w:val="00742348"/>
    <w:rsid w:val="00742379"/>
    <w:rsid w:val="00742411"/>
    <w:rsid w:val="00742450"/>
    <w:rsid w:val="007425BD"/>
    <w:rsid w:val="007425F7"/>
    <w:rsid w:val="0074267C"/>
    <w:rsid w:val="007426B6"/>
    <w:rsid w:val="0074279B"/>
    <w:rsid w:val="00742803"/>
    <w:rsid w:val="00742806"/>
    <w:rsid w:val="0074284F"/>
    <w:rsid w:val="007428D5"/>
    <w:rsid w:val="007428F4"/>
    <w:rsid w:val="007429A8"/>
    <w:rsid w:val="00742B58"/>
    <w:rsid w:val="00742B78"/>
    <w:rsid w:val="00742BD3"/>
    <w:rsid w:val="00742C83"/>
    <w:rsid w:val="00742CD9"/>
    <w:rsid w:val="00742DC7"/>
    <w:rsid w:val="00742DDB"/>
    <w:rsid w:val="00742ECF"/>
    <w:rsid w:val="00742FEB"/>
    <w:rsid w:val="0074304B"/>
    <w:rsid w:val="007430CA"/>
    <w:rsid w:val="007430CC"/>
    <w:rsid w:val="007430F8"/>
    <w:rsid w:val="007431D3"/>
    <w:rsid w:val="007432D2"/>
    <w:rsid w:val="00743330"/>
    <w:rsid w:val="00743391"/>
    <w:rsid w:val="00743474"/>
    <w:rsid w:val="007434D2"/>
    <w:rsid w:val="00743532"/>
    <w:rsid w:val="00743557"/>
    <w:rsid w:val="0074356B"/>
    <w:rsid w:val="0074366A"/>
    <w:rsid w:val="00743706"/>
    <w:rsid w:val="00743707"/>
    <w:rsid w:val="0074373A"/>
    <w:rsid w:val="00743794"/>
    <w:rsid w:val="0074382D"/>
    <w:rsid w:val="00743A38"/>
    <w:rsid w:val="00743B6E"/>
    <w:rsid w:val="00743BDB"/>
    <w:rsid w:val="00743C3E"/>
    <w:rsid w:val="00743C85"/>
    <w:rsid w:val="00743D48"/>
    <w:rsid w:val="00743D7D"/>
    <w:rsid w:val="00743D84"/>
    <w:rsid w:val="00743F21"/>
    <w:rsid w:val="00744098"/>
    <w:rsid w:val="007440D7"/>
    <w:rsid w:val="00744125"/>
    <w:rsid w:val="00744129"/>
    <w:rsid w:val="00744283"/>
    <w:rsid w:val="007442D9"/>
    <w:rsid w:val="00744375"/>
    <w:rsid w:val="0074444D"/>
    <w:rsid w:val="00744468"/>
    <w:rsid w:val="007444C5"/>
    <w:rsid w:val="00744616"/>
    <w:rsid w:val="00744780"/>
    <w:rsid w:val="007447E9"/>
    <w:rsid w:val="00744891"/>
    <w:rsid w:val="0074499A"/>
    <w:rsid w:val="007449FF"/>
    <w:rsid w:val="00744AA9"/>
    <w:rsid w:val="00744AC3"/>
    <w:rsid w:val="00744BF2"/>
    <w:rsid w:val="00744C03"/>
    <w:rsid w:val="00744C57"/>
    <w:rsid w:val="00744C8B"/>
    <w:rsid w:val="00744EC3"/>
    <w:rsid w:val="00744F33"/>
    <w:rsid w:val="00744FB0"/>
    <w:rsid w:val="00744FC5"/>
    <w:rsid w:val="0074507C"/>
    <w:rsid w:val="007451F2"/>
    <w:rsid w:val="00745251"/>
    <w:rsid w:val="007452BB"/>
    <w:rsid w:val="007452EF"/>
    <w:rsid w:val="0074540C"/>
    <w:rsid w:val="00745523"/>
    <w:rsid w:val="007455DD"/>
    <w:rsid w:val="0074564A"/>
    <w:rsid w:val="00745657"/>
    <w:rsid w:val="00745658"/>
    <w:rsid w:val="007456BB"/>
    <w:rsid w:val="007456E6"/>
    <w:rsid w:val="007456EB"/>
    <w:rsid w:val="007457AB"/>
    <w:rsid w:val="00745849"/>
    <w:rsid w:val="00745869"/>
    <w:rsid w:val="007458EF"/>
    <w:rsid w:val="00745929"/>
    <w:rsid w:val="00745995"/>
    <w:rsid w:val="00745A2A"/>
    <w:rsid w:val="00745AC9"/>
    <w:rsid w:val="00745B0C"/>
    <w:rsid w:val="00745BCE"/>
    <w:rsid w:val="00745CF6"/>
    <w:rsid w:val="00745D1D"/>
    <w:rsid w:val="00745DCD"/>
    <w:rsid w:val="00746199"/>
    <w:rsid w:val="00746203"/>
    <w:rsid w:val="00746205"/>
    <w:rsid w:val="00746291"/>
    <w:rsid w:val="007462DE"/>
    <w:rsid w:val="007462EF"/>
    <w:rsid w:val="007463EA"/>
    <w:rsid w:val="00746414"/>
    <w:rsid w:val="00746519"/>
    <w:rsid w:val="0074654E"/>
    <w:rsid w:val="00746580"/>
    <w:rsid w:val="0074659E"/>
    <w:rsid w:val="007466E7"/>
    <w:rsid w:val="00746733"/>
    <w:rsid w:val="00746753"/>
    <w:rsid w:val="00746793"/>
    <w:rsid w:val="0074684E"/>
    <w:rsid w:val="007468A6"/>
    <w:rsid w:val="007469C3"/>
    <w:rsid w:val="00746A00"/>
    <w:rsid w:val="00746B5A"/>
    <w:rsid w:val="00746C51"/>
    <w:rsid w:val="00746D3A"/>
    <w:rsid w:val="00746DE6"/>
    <w:rsid w:val="00746F49"/>
    <w:rsid w:val="00746F87"/>
    <w:rsid w:val="00746FCA"/>
    <w:rsid w:val="00747011"/>
    <w:rsid w:val="0074701E"/>
    <w:rsid w:val="0074704D"/>
    <w:rsid w:val="0074706E"/>
    <w:rsid w:val="00747114"/>
    <w:rsid w:val="00747158"/>
    <w:rsid w:val="0074717A"/>
    <w:rsid w:val="00747302"/>
    <w:rsid w:val="00747364"/>
    <w:rsid w:val="007474A0"/>
    <w:rsid w:val="0074756A"/>
    <w:rsid w:val="0074771C"/>
    <w:rsid w:val="00747740"/>
    <w:rsid w:val="0074779C"/>
    <w:rsid w:val="007477AE"/>
    <w:rsid w:val="007477C8"/>
    <w:rsid w:val="00747849"/>
    <w:rsid w:val="007478EB"/>
    <w:rsid w:val="0074792A"/>
    <w:rsid w:val="00747957"/>
    <w:rsid w:val="00747A25"/>
    <w:rsid w:val="00747A33"/>
    <w:rsid w:val="00747CD4"/>
    <w:rsid w:val="00747D00"/>
    <w:rsid w:val="00747E40"/>
    <w:rsid w:val="00747E7B"/>
    <w:rsid w:val="00747ECE"/>
    <w:rsid w:val="00747F1F"/>
    <w:rsid w:val="00747F30"/>
    <w:rsid w:val="0075002B"/>
    <w:rsid w:val="007500F9"/>
    <w:rsid w:val="00750185"/>
    <w:rsid w:val="007501DE"/>
    <w:rsid w:val="007501F1"/>
    <w:rsid w:val="00750226"/>
    <w:rsid w:val="007502E7"/>
    <w:rsid w:val="00750361"/>
    <w:rsid w:val="007503FC"/>
    <w:rsid w:val="007504C7"/>
    <w:rsid w:val="00750515"/>
    <w:rsid w:val="0075059F"/>
    <w:rsid w:val="007505A8"/>
    <w:rsid w:val="007505B1"/>
    <w:rsid w:val="00750616"/>
    <w:rsid w:val="0075063F"/>
    <w:rsid w:val="0075065C"/>
    <w:rsid w:val="00750781"/>
    <w:rsid w:val="007507DC"/>
    <w:rsid w:val="0075089B"/>
    <w:rsid w:val="007508FE"/>
    <w:rsid w:val="00750C48"/>
    <w:rsid w:val="00750C4B"/>
    <w:rsid w:val="00750C9C"/>
    <w:rsid w:val="00750CD1"/>
    <w:rsid w:val="00750E3E"/>
    <w:rsid w:val="00750E4F"/>
    <w:rsid w:val="00750F5A"/>
    <w:rsid w:val="00750F66"/>
    <w:rsid w:val="007510EB"/>
    <w:rsid w:val="007510FE"/>
    <w:rsid w:val="00751101"/>
    <w:rsid w:val="00751161"/>
    <w:rsid w:val="007512F4"/>
    <w:rsid w:val="00751399"/>
    <w:rsid w:val="00751454"/>
    <w:rsid w:val="007514EF"/>
    <w:rsid w:val="00751541"/>
    <w:rsid w:val="00751597"/>
    <w:rsid w:val="007515B2"/>
    <w:rsid w:val="007515D6"/>
    <w:rsid w:val="007515D9"/>
    <w:rsid w:val="00751697"/>
    <w:rsid w:val="007518B8"/>
    <w:rsid w:val="00751923"/>
    <w:rsid w:val="007519B7"/>
    <w:rsid w:val="00751A62"/>
    <w:rsid w:val="00751AE1"/>
    <w:rsid w:val="00751AE5"/>
    <w:rsid w:val="00751B4B"/>
    <w:rsid w:val="00751C3E"/>
    <w:rsid w:val="00751CAE"/>
    <w:rsid w:val="00751D85"/>
    <w:rsid w:val="00751E72"/>
    <w:rsid w:val="00751EE3"/>
    <w:rsid w:val="00751FD0"/>
    <w:rsid w:val="00752028"/>
    <w:rsid w:val="007520D1"/>
    <w:rsid w:val="00752123"/>
    <w:rsid w:val="0075214D"/>
    <w:rsid w:val="007521B0"/>
    <w:rsid w:val="0075225B"/>
    <w:rsid w:val="00752285"/>
    <w:rsid w:val="007522F5"/>
    <w:rsid w:val="0075238C"/>
    <w:rsid w:val="007523E4"/>
    <w:rsid w:val="00752511"/>
    <w:rsid w:val="00752694"/>
    <w:rsid w:val="007527C6"/>
    <w:rsid w:val="00752917"/>
    <w:rsid w:val="00752959"/>
    <w:rsid w:val="007529BA"/>
    <w:rsid w:val="00752B76"/>
    <w:rsid w:val="00752B91"/>
    <w:rsid w:val="00752BA2"/>
    <w:rsid w:val="00752BBC"/>
    <w:rsid w:val="00752C33"/>
    <w:rsid w:val="00752C6C"/>
    <w:rsid w:val="00752C9F"/>
    <w:rsid w:val="00752E19"/>
    <w:rsid w:val="00752E1C"/>
    <w:rsid w:val="00752E3C"/>
    <w:rsid w:val="00752E83"/>
    <w:rsid w:val="00752F3D"/>
    <w:rsid w:val="00752FB1"/>
    <w:rsid w:val="007530BB"/>
    <w:rsid w:val="00753220"/>
    <w:rsid w:val="00753391"/>
    <w:rsid w:val="0075350F"/>
    <w:rsid w:val="0075358E"/>
    <w:rsid w:val="007535A9"/>
    <w:rsid w:val="007535B7"/>
    <w:rsid w:val="007535CF"/>
    <w:rsid w:val="00753688"/>
    <w:rsid w:val="007536B4"/>
    <w:rsid w:val="00753759"/>
    <w:rsid w:val="00753761"/>
    <w:rsid w:val="0075378D"/>
    <w:rsid w:val="007537CB"/>
    <w:rsid w:val="007538A3"/>
    <w:rsid w:val="00753916"/>
    <w:rsid w:val="007539DB"/>
    <w:rsid w:val="00753A8D"/>
    <w:rsid w:val="00753B3B"/>
    <w:rsid w:val="00753E66"/>
    <w:rsid w:val="00753EAE"/>
    <w:rsid w:val="00753EC3"/>
    <w:rsid w:val="007540FF"/>
    <w:rsid w:val="0075411D"/>
    <w:rsid w:val="00754170"/>
    <w:rsid w:val="007541DC"/>
    <w:rsid w:val="007541EF"/>
    <w:rsid w:val="00754380"/>
    <w:rsid w:val="00754442"/>
    <w:rsid w:val="007544B3"/>
    <w:rsid w:val="007545F4"/>
    <w:rsid w:val="00754756"/>
    <w:rsid w:val="0075476C"/>
    <w:rsid w:val="00754812"/>
    <w:rsid w:val="00754866"/>
    <w:rsid w:val="007548C9"/>
    <w:rsid w:val="0075499A"/>
    <w:rsid w:val="00754A41"/>
    <w:rsid w:val="00754A5F"/>
    <w:rsid w:val="00754A71"/>
    <w:rsid w:val="00754AEB"/>
    <w:rsid w:val="00754B18"/>
    <w:rsid w:val="00754B1D"/>
    <w:rsid w:val="00754CAE"/>
    <w:rsid w:val="00754CF7"/>
    <w:rsid w:val="00754CF9"/>
    <w:rsid w:val="00754DF8"/>
    <w:rsid w:val="00754E0A"/>
    <w:rsid w:val="00754E0E"/>
    <w:rsid w:val="00754F45"/>
    <w:rsid w:val="00755107"/>
    <w:rsid w:val="00755157"/>
    <w:rsid w:val="00755270"/>
    <w:rsid w:val="00755318"/>
    <w:rsid w:val="007553BC"/>
    <w:rsid w:val="007553FB"/>
    <w:rsid w:val="0075540E"/>
    <w:rsid w:val="00755604"/>
    <w:rsid w:val="00755649"/>
    <w:rsid w:val="0075567C"/>
    <w:rsid w:val="00755718"/>
    <w:rsid w:val="0075583E"/>
    <w:rsid w:val="00755843"/>
    <w:rsid w:val="007559B8"/>
    <w:rsid w:val="00755AE0"/>
    <w:rsid w:val="00755B6C"/>
    <w:rsid w:val="00755B70"/>
    <w:rsid w:val="00755D30"/>
    <w:rsid w:val="00755D74"/>
    <w:rsid w:val="00755DAB"/>
    <w:rsid w:val="00755DFF"/>
    <w:rsid w:val="007560CC"/>
    <w:rsid w:val="007560EC"/>
    <w:rsid w:val="0075615B"/>
    <w:rsid w:val="00756231"/>
    <w:rsid w:val="00756280"/>
    <w:rsid w:val="007563BE"/>
    <w:rsid w:val="007563E5"/>
    <w:rsid w:val="0075643F"/>
    <w:rsid w:val="00756475"/>
    <w:rsid w:val="0075652A"/>
    <w:rsid w:val="00756556"/>
    <w:rsid w:val="0075658E"/>
    <w:rsid w:val="007565A9"/>
    <w:rsid w:val="00756743"/>
    <w:rsid w:val="00756883"/>
    <w:rsid w:val="007568A1"/>
    <w:rsid w:val="00756A3A"/>
    <w:rsid w:val="00756A66"/>
    <w:rsid w:val="00756A7B"/>
    <w:rsid w:val="00756AC6"/>
    <w:rsid w:val="00756B37"/>
    <w:rsid w:val="00756B40"/>
    <w:rsid w:val="00756D1E"/>
    <w:rsid w:val="00756DF6"/>
    <w:rsid w:val="00756FA7"/>
    <w:rsid w:val="00757025"/>
    <w:rsid w:val="0075709A"/>
    <w:rsid w:val="007570AE"/>
    <w:rsid w:val="0075714C"/>
    <w:rsid w:val="00757150"/>
    <w:rsid w:val="007572A2"/>
    <w:rsid w:val="00757394"/>
    <w:rsid w:val="007573AB"/>
    <w:rsid w:val="0075749E"/>
    <w:rsid w:val="00757595"/>
    <w:rsid w:val="007576AE"/>
    <w:rsid w:val="007578B8"/>
    <w:rsid w:val="0075794B"/>
    <w:rsid w:val="00757AA2"/>
    <w:rsid w:val="00757AAD"/>
    <w:rsid w:val="00757AD0"/>
    <w:rsid w:val="00757AEC"/>
    <w:rsid w:val="00757B0D"/>
    <w:rsid w:val="00757B53"/>
    <w:rsid w:val="00757B76"/>
    <w:rsid w:val="00757B9C"/>
    <w:rsid w:val="00757D2C"/>
    <w:rsid w:val="00757DEC"/>
    <w:rsid w:val="00757DEE"/>
    <w:rsid w:val="00757E48"/>
    <w:rsid w:val="00757EAE"/>
    <w:rsid w:val="00757EDC"/>
    <w:rsid w:val="00757EFD"/>
    <w:rsid w:val="00757F56"/>
    <w:rsid w:val="00757FB7"/>
    <w:rsid w:val="00760163"/>
    <w:rsid w:val="00760253"/>
    <w:rsid w:val="00760288"/>
    <w:rsid w:val="00760381"/>
    <w:rsid w:val="0076040D"/>
    <w:rsid w:val="007605C7"/>
    <w:rsid w:val="007606D3"/>
    <w:rsid w:val="007606F1"/>
    <w:rsid w:val="007608B7"/>
    <w:rsid w:val="00760987"/>
    <w:rsid w:val="007609DB"/>
    <w:rsid w:val="00760A17"/>
    <w:rsid w:val="00760AA8"/>
    <w:rsid w:val="00760AE8"/>
    <w:rsid w:val="00760B0E"/>
    <w:rsid w:val="00760B43"/>
    <w:rsid w:val="00760BE9"/>
    <w:rsid w:val="00760CA1"/>
    <w:rsid w:val="00760D12"/>
    <w:rsid w:val="00760D97"/>
    <w:rsid w:val="00760DA3"/>
    <w:rsid w:val="00760DA4"/>
    <w:rsid w:val="00760DF8"/>
    <w:rsid w:val="00760E8B"/>
    <w:rsid w:val="00760EB8"/>
    <w:rsid w:val="00760F83"/>
    <w:rsid w:val="00761080"/>
    <w:rsid w:val="00761119"/>
    <w:rsid w:val="00761181"/>
    <w:rsid w:val="0076118E"/>
    <w:rsid w:val="00761266"/>
    <w:rsid w:val="007613FA"/>
    <w:rsid w:val="00761411"/>
    <w:rsid w:val="007615F3"/>
    <w:rsid w:val="0076165B"/>
    <w:rsid w:val="007616A4"/>
    <w:rsid w:val="007616BF"/>
    <w:rsid w:val="00761703"/>
    <w:rsid w:val="0076176E"/>
    <w:rsid w:val="0076190E"/>
    <w:rsid w:val="007619C8"/>
    <w:rsid w:val="00761A2B"/>
    <w:rsid w:val="00761AD4"/>
    <w:rsid w:val="00761AF2"/>
    <w:rsid w:val="00761C7D"/>
    <w:rsid w:val="00761CD3"/>
    <w:rsid w:val="00761D08"/>
    <w:rsid w:val="00761E37"/>
    <w:rsid w:val="00761ECE"/>
    <w:rsid w:val="00761EE5"/>
    <w:rsid w:val="00761FAC"/>
    <w:rsid w:val="0076215A"/>
    <w:rsid w:val="007621F5"/>
    <w:rsid w:val="00762255"/>
    <w:rsid w:val="0076232E"/>
    <w:rsid w:val="00762346"/>
    <w:rsid w:val="0076236A"/>
    <w:rsid w:val="007624E8"/>
    <w:rsid w:val="0076253A"/>
    <w:rsid w:val="007625EB"/>
    <w:rsid w:val="00762609"/>
    <w:rsid w:val="00762634"/>
    <w:rsid w:val="00762667"/>
    <w:rsid w:val="00762673"/>
    <w:rsid w:val="007626C0"/>
    <w:rsid w:val="0076270A"/>
    <w:rsid w:val="0076275D"/>
    <w:rsid w:val="0076277A"/>
    <w:rsid w:val="007627B5"/>
    <w:rsid w:val="00762929"/>
    <w:rsid w:val="007629BD"/>
    <w:rsid w:val="00762A81"/>
    <w:rsid w:val="00762AC8"/>
    <w:rsid w:val="00762B3E"/>
    <w:rsid w:val="00762B65"/>
    <w:rsid w:val="00762C2E"/>
    <w:rsid w:val="00762C9A"/>
    <w:rsid w:val="00762CB7"/>
    <w:rsid w:val="00762E76"/>
    <w:rsid w:val="00762ED8"/>
    <w:rsid w:val="00762EFF"/>
    <w:rsid w:val="00762FA8"/>
    <w:rsid w:val="00762FB6"/>
    <w:rsid w:val="00762FC5"/>
    <w:rsid w:val="00763013"/>
    <w:rsid w:val="00763072"/>
    <w:rsid w:val="00763131"/>
    <w:rsid w:val="00763133"/>
    <w:rsid w:val="0076316C"/>
    <w:rsid w:val="007631F6"/>
    <w:rsid w:val="00763225"/>
    <w:rsid w:val="00763390"/>
    <w:rsid w:val="007633AF"/>
    <w:rsid w:val="00763408"/>
    <w:rsid w:val="00763436"/>
    <w:rsid w:val="00763617"/>
    <w:rsid w:val="00763703"/>
    <w:rsid w:val="00763716"/>
    <w:rsid w:val="0076373C"/>
    <w:rsid w:val="00763787"/>
    <w:rsid w:val="00763916"/>
    <w:rsid w:val="00763975"/>
    <w:rsid w:val="00763B5F"/>
    <w:rsid w:val="00763C17"/>
    <w:rsid w:val="00763D09"/>
    <w:rsid w:val="00763D9B"/>
    <w:rsid w:val="00763DF5"/>
    <w:rsid w:val="00763E2C"/>
    <w:rsid w:val="00764026"/>
    <w:rsid w:val="00764097"/>
    <w:rsid w:val="007640D8"/>
    <w:rsid w:val="0076418E"/>
    <w:rsid w:val="00764195"/>
    <w:rsid w:val="007641CD"/>
    <w:rsid w:val="007641DF"/>
    <w:rsid w:val="0076421E"/>
    <w:rsid w:val="00764250"/>
    <w:rsid w:val="00764265"/>
    <w:rsid w:val="0076427F"/>
    <w:rsid w:val="0076443D"/>
    <w:rsid w:val="007644FB"/>
    <w:rsid w:val="0076451B"/>
    <w:rsid w:val="007645A2"/>
    <w:rsid w:val="007645CC"/>
    <w:rsid w:val="007645E4"/>
    <w:rsid w:val="00764727"/>
    <w:rsid w:val="0076476A"/>
    <w:rsid w:val="00764AAD"/>
    <w:rsid w:val="00764ABE"/>
    <w:rsid w:val="00764B32"/>
    <w:rsid w:val="00764BA8"/>
    <w:rsid w:val="00764BBA"/>
    <w:rsid w:val="00764BDD"/>
    <w:rsid w:val="00764BE2"/>
    <w:rsid w:val="00764BE4"/>
    <w:rsid w:val="00764C26"/>
    <w:rsid w:val="00764C2E"/>
    <w:rsid w:val="00764C8D"/>
    <w:rsid w:val="00764D7E"/>
    <w:rsid w:val="00764DC0"/>
    <w:rsid w:val="00764DF8"/>
    <w:rsid w:val="00764DFA"/>
    <w:rsid w:val="00764E33"/>
    <w:rsid w:val="00764F61"/>
    <w:rsid w:val="00764F68"/>
    <w:rsid w:val="00765038"/>
    <w:rsid w:val="0076503A"/>
    <w:rsid w:val="00765051"/>
    <w:rsid w:val="007650B0"/>
    <w:rsid w:val="007650E2"/>
    <w:rsid w:val="00765375"/>
    <w:rsid w:val="00765491"/>
    <w:rsid w:val="007654B5"/>
    <w:rsid w:val="00765532"/>
    <w:rsid w:val="00765570"/>
    <w:rsid w:val="0076559E"/>
    <w:rsid w:val="007655E1"/>
    <w:rsid w:val="00765743"/>
    <w:rsid w:val="007657E7"/>
    <w:rsid w:val="00765849"/>
    <w:rsid w:val="00765860"/>
    <w:rsid w:val="00765953"/>
    <w:rsid w:val="007659FB"/>
    <w:rsid w:val="00765A7B"/>
    <w:rsid w:val="00765A93"/>
    <w:rsid w:val="00765C36"/>
    <w:rsid w:val="00765CAE"/>
    <w:rsid w:val="00765E6C"/>
    <w:rsid w:val="00765E89"/>
    <w:rsid w:val="00765EE3"/>
    <w:rsid w:val="00765FC7"/>
    <w:rsid w:val="00765FF5"/>
    <w:rsid w:val="0076606B"/>
    <w:rsid w:val="00766091"/>
    <w:rsid w:val="00766094"/>
    <w:rsid w:val="007661BE"/>
    <w:rsid w:val="007662AE"/>
    <w:rsid w:val="0076642B"/>
    <w:rsid w:val="00766442"/>
    <w:rsid w:val="00766487"/>
    <w:rsid w:val="0076650A"/>
    <w:rsid w:val="00766539"/>
    <w:rsid w:val="007665A5"/>
    <w:rsid w:val="0076660B"/>
    <w:rsid w:val="0076664A"/>
    <w:rsid w:val="007666D9"/>
    <w:rsid w:val="007666F1"/>
    <w:rsid w:val="0076688D"/>
    <w:rsid w:val="00766930"/>
    <w:rsid w:val="00766934"/>
    <w:rsid w:val="00766957"/>
    <w:rsid w:val="007669B3"/>
    <w:rsid w:val="007669DF"/>
    <w:rsid w:val="00766A8A"/>
    <w:rsid w:val="00766B0F"/>
    <w:rsid w:val="00766C2F"/>
    <w:rsid w:val="00766D66"/>
    <w:rsid w:val="00766DFE"/>
    <w:rsid w:val="00766E0B"/>
    <w:rsid w:val="00766E75"/>
    <w:rsid w:val="00766E8A"/>
    <w:rsid w:val="0076701A"/>
    <w:rsid w:val="00767032"/>
    <w:rsid w:val="0076707F"/>
    <w:rsid w:val="00767127"/>
    <w:rsid w:val="007671EF"/>
    <w:rsid w:val="00767484"/>
    <w:rsid w:val="007674BC"/>
    <w:rsid w:val="007674E1"/>
    <w:rsid w:val="0076752F"/>
    <w:rsid w:val="007675ED"/>
    <w:rsid w:val="00767608"/>
    <w:rsid w:val="00767660"/>
    <w:rsid w:val="0076782E"/>
    <w:rsid w:val="007678F7"/>
    <w:rsid w:val="00767988"/>
    <w:rsid w:val="007679AC"/>
    <w:rsid w:val="007679BF"/>
    <w:rsid w:val="00767AF7"/>
    <w:rsid w:val="00767BF5"/>
    <w:rsid w:val="00767C11"/>
    <w:rsid w:val="00767D46"/>
    <w:rsid w:val="00767DB3"/>
    <w:rsid w:val="00767E0D"/>
    <w:rsid w:val="00767E62"/>
    <w:rsid w:val="00767F3A"/>
    <w:rsid w:val="00767F7D"/>
    <w:rsid w:val="00767F9B"/>
    <w:rsid w:val="0077002F"/>
    <w:rsid w:val="00770039"/>
    <w:rsid w:val="0077003B"/>
    <w:rsid w:val="00770040"/>
    <w:rsid w:val="00770120"/>
    <w:rsid w:val="00770382"/>
    <w:rsid w:val="007703DA"/>
    <w:rsid w:val="00770505"/>
    <w:rsid w:val="007706E4"/>
    <w:rsid w:val="00770870"/>
    <w:rsid w:val="00770875"/>
    <w:rsid w:val="0077096F"/>
    <w:rsid w:val="00770AAB"/>
    <w:rsid w:val="00770AF7"/>
    <w:rsid w:val="00770B2F"/>
    <w:rsid w:val="00770CC5"/>
    <w:rsid w:val="00770CE0"/>
    <w:rsid w:val="00770D24"/>
    <w:rsid w:val="00770D76"/>
    <w:rsid w:val="00770DDA"/>
    <w:rsid w:val="00770DF3"/>
    <w:rsid w:val="00770DF5"/>
    <w:rsid w:val="00770E92"/>
    <w:rsid w:val="007710C2"/>
    <w:rsid w:val="007711D6"/>
    <w:rsid w:val="0077129D"/>
    <w:rsid w:val="007712B0"/>
    <w:rsid w:val="007712C0"/>
    <w:rsid w:val="007712D0"/>
    <w:rsid w:val="00771429"/>
    <w:rsid w:val="007714A3"/>
    <w:rsid w:val="00771583"/>
    <w:rsid w:val="0077160B"/>
    <w:rsid w:val="00771629"/>
    <w:rsid w:val="0077163D"/>
    <w:rsid w:val="00771689"/>
    <w:rsid w:val="007716EE"/>
    <w:rsid w:val="007717B8"/>
    <w:rsid w:val="007718CF"/>
    <w:rsid w:val="00771ACE"/>
    <w:rsid w:val="00771BA3"/>
    <w:rsid w:val="00771CDE"/>
    <w:rsid w:val="00771E9A"/>
    <w:rsid w:val="00771F0B"/>
    <w:rsid w:val="00771F9D"/>
    <w:rsid w:val="00771FB9"/>
    <w:rsid w:val="00771FD8"/>
    <w:rsid w:val="0077209A"/>
    <w:rsid w:val="0077211F"/>
    <w:rsid w:val="007721CE"/>
    <w:rsid w:val="00772211"/>
    <w:rsid w:val="007723AE"/>
    <w:rsid w:val="007723D4"/>
    <w:rsid w:val="007723DB"/>
    <w:rsid w:val="007723E9"/>
    <w:rsid w:val="007725B3"/>
    <w:rsid w:val="007725F7"/>
    <w:rsid w:val="007725FE"/>
    <w:rsid w:val="00772659"/>
    <w:rsid w:val="00772681"/>
    <w:rsid w:val="007726CB"/>
    <w:rsid w:val="00772728"/>
    <w:rsid w:val="0077275C"/>
    <w:rsid w:val="007727E8"/>
    <w:rsid w:val="00772815"/>
    <w:rsid w:val="007728F3"/>
    <w:rsid w:val="0077292C"/>
    <w:rsid w:val="00772978"/>
    <w:rsid w:val="00772B25"/>
    <w:rsid w:val="00772BC6"/>
    <w:rsid w:val="00772C5E"/>
    <w:rsid w:val="00772D18"/>
    <w:rsid w:val="00772D39"/>
    <w:rsid w:val="00772E9F"/>
    <w:rsid w:val="00772EF2"/>
    <w:rsid w:val="00772FA1"/>
    <w:rsid w:val="00772FBC"/>
    <w:rsid w:val="007733E1"/>
    <w:rsid w:val="0077346D"/>
    <w:rsid w:val="0077351B"/>
    <w:rsid w:val="00773638"/>
    <w:rsid w:val="007736FB"/>
    <w:rsid w:val="0077370A"/>
    <w:rsid w:val="00773742"/>
    <w:rsid w:val="00773781"/>
    <w:rsid w:val="0077379A"/>
    <w:rsid w:val="007737A2"/>
    <w:rsid w:val="0077391C"/>
    <w:rsid w:val="0077398B"/>
    <w:rsid w:val="00773AF7"/>
    <w:rsid w:val="00773AFF"/>
    <w:rsid w:val="00773B15"/>
    <w:rsid w:val="00773B38"/>
    <w:rsid w:val="00773B50"/>
    <w:rsid w:val="00773BF4"/>
    <w:rsid w:val="00773BFF"/>
    <w:rsid w:val="00773C30"/>
    <w:rsid w:val="00773DE6"/>
    <w:rsid w:val="00773F39"/>
    <w:rsid w:val="00773FA2"/>
    <w:rsid w:val="0077401B"/>
    <w:rsid w:val="007740B5"/>
    <w:rsid w:val="007741A8"/>
    <w:rsid w:val="007741AB"/>
    <w:rsid w:val="00774244"/>
    <w:rsid w:val="00774262"/>
    <w:rsid w:val="007743B6"/>
    <w:rsid w:val="007743E3"/>
    <w:rsid w:val="007744AC"/>
    <w:rsid w:val="00774536"/>
    <w:rsid w:val="007745EE"/>
    <w:rsid w:val="007746DF"/>
    <w:rsid w:val="007747DE"/>
    <w:rsid w:val="0077487C"/>
    <w:rsid w:val="00774A8A"/>
    <w:rsid w:val="00774A8F"/>
    <w:rsid w:val="00774AE9"/>
    <w:rsid w:val="00774B59"/>
    <w:rsid w:val="00774C28"/>
    <w:rsid w:val="00774C34"/>
    <w:rsid w:val="00774CB4"/>
    <w:rsid w:val="00774CCA"/>
    <w:rsid w:val="00774D3E"/>
    <w:rsid w:val="00774DEF"/>
    <w:rsid w:val="00774EF6"/>
    <w:rsid w:val="00774F07"/>
    <w:rsid w:val="00774F0E"/>
    <w:rsid w:val="00774F14"/>
    <w:rsid w:val="00774F4E"/>
    <w:rsid w:val="007751C3"/>
    <w:rsid w:val="00775283"/>
    <w:rsid w:val="00775325"/>
    <w:rsid w:val="007754A9"/>
    <w:rsid w:val="007754DC"/>
    <w:rsid w:val="0077550D"/>
    <w:rsid w:val="00775534"/>
    <w:rsid w:val="0077557C"/>
    <w:rsid w:val="007755A7"/>
    <w:rsid w:val="007755D0"/>
    <w:rsid w:val="00775699"/>
    <w:rsid w:val="007756A6"/>
    <w:rsid w:val="00775773"/>
    <w:rsid w:val="007757DD"/>
    <w:rsid w:val="00775822"/>
    <w:rsid w:val="00775861"/>
    <w:rsid w:val="0077587D"/>
    <w:rsid w:val="0077589F"/>
    <w:rsid w:val="007758C0"/>
    <w:rsid w:val="007758F0"/>
    <w:rsid w:val="007758F9"/>
    <w:rsid w:val="00775A57"/>
    <w:rsid w:val="00775B6C"/>
    <w:rsid w:val="00775B75"/>
    <w:rsid w:val="00775B7A"/>
    <w:rsid w:val="00775B9C"/>
    <w:rsid w:val="00775C19"/>
    <w:rsid w:val="00775C97"/>
    <w:rsid w:val="00775D93"/>
    <w:rsid w:val="00775F09"/>
    <w:rsid w:val="00775F7A"/>
    <w:rsid w:val="00775FDB"/>
    <w:rsid w:val="00775FFC"/>
    <w:rsid w:val="0077605A"/>
    <w:rsid w:val="0077613C"/>
    <w:rsid w:val="0077615F"/>
    <w:rsid w:val="00776213"/>
    <w:rsid w:val="00776220"/>
    <w:rsid w:val="0077623D"/>
    <w:rsid w:val="007762F1"/>
    <w:rsid w:val="0077638A"/>
    <w:rsid w:val="00776441"/>
    <w:rsid w:val="00776443"/>
    <w:rsid w:val="0077648C"/>
    <w:rsid w:val="0077652E"/>
    <w:rsid w:val="007765F8"/>
    <w:rsid w:val="0077660C"/>
    <w:rsid w:val="007766EE"/>
    <w:rsid w:val="007767AA"/>
    <w:rsid w:val="007767B0"/>
    <w:rsid w:val="007767BF"/>
    <w:rsid w:val="00776876"/>
    <w:rsid w:val="0077694A"/>
    <w:rsid w:val="00776963"/>
    <w:rsid w:val="0077696A"/>
    <w:rsid w:val="00776A46"/>
    <w:rsid w:val="00776A86"/>
    <w:rsid w:val="00776B3D"/>
    <w:rsid w:val="00776B42"/>
    <w:rsid w:val="00776B57"/>
    <w:rsid w:val="00776C30"/>
    <w:rsid w:val="00776CB0"/>
    <w:rsid w:val="00776E10"/>
    <w:rsid w:val="00776ED5"/>
    <w:rsid w:val="00776F43"/>
    <w:rsid w:val="00777037"/>
    <w:rsid w:val="007771B0"/>
    <w:rsid w:val="0077729E"/>
    <w:rsid w:val="00777312"/>
    <w:rsid w:val="00777348"/>
    <w:rsid w:val="0077752D"/>
    <w:rsid w:val="00777658"/>
    <w:rsid w:val="00777663"/>
    <w:rsid w:val="007776F0"/>
    <w:rsid w:val="00777707"/>
    <w:rsid w:val="00777839"/>
    <w:rsid w:val="0077788C"/>
    <w:rsid w:val="00777976"/>
    <w:rsid w:val="007779B6"/>
    <w:rsid w:val="007779C9"/>
    <w:rsid w:val="00777A41"/>
    <w:rsid w:val="00777A43"/>
    <w:rsid w:val="00777AF5"/>
    <w:rsid w:val="00777B26"/>
    <w:rsid w:val="00777B2D"/>
    <w:rsid w:val="00777C3E"/>
    <w:rsid w:val="00777E4E"/>
    <w:rsid w:val="00777E6C"/>
    <w:rsid w:val="00777F21"/>
    <w:rsid w:val="00777F58"/>
    <w:rsid w:val="00777FE7"/>
    <w:rsid w:val="00777FF7"/>
    <w:rsid w:val="0078010C"/>
    <w:rsid w:val="007801E6"/>
    <w:rsid w:val="00780225"/>
    <w:rsid w:val="00780277"/>
    <w:rsid w:val="007802B7"/>
    <w:rsid w:val="00780419"/>
    <w:rsid w:val="00780500"/>
    <w:rsid w:val="00780689"/>
    <w:rsid w:val="007806D5"/>
    <w:rsid w:val="007808CD"/>
    <w:rsid w:val="0078095D"/>
    <w:rsid w:val="00780A25"/>
    <w:rsid w:val="00780A3B"/>
    <w:rsid w:val="00780B12"/>
    <w:rsid w:val="00780B83"/>
    <w:rsid w:val="00780C63"/>
    <w:rsid w:val="00780CA1"/>
    <w:rsid w:val="00780D7F"/>
    <w:rsid w:val="00780E0C"/>
    <w:rsid w:val="00780E15"/>
    <w:rsid w:val="00780E7B"/>
    <w:rsid w:val="00780EA1"/>
    <w:rsid w:val="00780EE6"/>
    <w:rsid w:val="00780F15"/>
    <w:rsid w:val="00780F65"/>
    <w:rsid w:val="00781064"/>
    <w:rsid w:val="0078109A"/>
    <w:rsid w:val="007811ED"/>
    <w:rsid w:val="00781234"/>
    <w:rsid w:val="00781266"/>
    <w:rsid w:val="0078133F"/>
    <w:rsid w:val="007813E2"/>
    <w:rsid w:val="00781418"/>
    <w:rsid w:val="007816BE"/>
    <w:rsid w:val="00781769"/>
    <w:rsid w:val="00781947"/>
    <w:rsid w:val="00781A3D"/>
    <w:rsid w:val="00781ACE"/>
    <w:rsid w:val="00781AD3"/>
    <w:rsid w:val="00781C42"/>
    <w:rsid w:val="00781C8B"/>
    <w:rsid w:val="00781ED4"/>
    <w:rsid w:val="00781FAE"/>
    <w:rsid w:val="00782071"/>
    <w:rsid w:val="0078209C"/>
    <w:rsid w:val="007820B1"/>
    <w:rsid w:val="007820E2"/>
    <w:rsid w:val="007821F7"/>
    <w:rsid w:val="0078226F"/>
    <w:rsid w:val="0078227A"/>
    <w:rsid w:val="0078244C"/>
    <w:rsid w:val="00782480"/>
    <w:rsid w:val="0078248C"/>
    <w:rsid w:val="007824F4"/>
    <w:rsid w:val="00782533"/>
    <w:rsid w:val="0078265C"/>
    <w:rsid w:val="00782661"/>
    <w:rsid w:val="0078280F"/>
    <w:rsid w:val="00782967"/>
    <w:rsid w:val="00782991"/>
    <w:rsid w:val="00782AD0"/>
    <w:rsid w:val="00782B87"/>
    <w:rsid w:val="00782B94"/>
    <w:rsid w:val="00782BB9"/>
    <w:rsid w:val="00782C69"/>
    <w:rsid w:val="00782D64"/>
    <w:rsid w:val="00782D8F"/>
    <w:rsid w:val="00782DEA"/>
    <w:rsid w:val="00782EC6"/>
    <w:rsid w:val="00782EFD"/>
    <w:rsid w:val="00782F07"/>
    <w:rsid w:val="00782F6D"/>
    <w:rsid w:val="00782FD4"/>
    <w:rsid w:val="00783026"/>
    <w:rsid w:val="00783039"/>
    <w:rsid w:val="007830F5"/>
    <w:rsid w:val="0078310C"/>
    <w:rsid w:val="0078315C"/>
    <w:rsid w:val="00783164"/>
    <w:rsid w:val="00783169"/>
    <w:rsid w:val="0078324D"/>
    <w:rsid w:val="0078326E"/>
    <w:rsid w:val="00783273"/>
    <w:rsid w:val="007832A9"/>
    <w:rsid w:val="00783395"/>
    <w:rsid w:val="0078341F"/>
    <w:rsid w:val="00783428"/>
    <w:rsid w:val="007834B4"/>
    <w:rsid w:val="007834B9"/>
    <w:rsid w:val="007834BE"/>
    <w:rsid w:val="007834D1"/>
    <w:rsid w:val="00783519"/>
    <w:rsid w:val="0078373F"/>
    <w:rsid w:val="007837E0"/>
    <w:rsid w:val="007838F0"/>
    <w:rsid w:val="00783961"/>
    <w:rsid w:val="00783969"/>
    <w:rsid w:val="00783AFD"/>
    <w:rsid w:val="00783B42"/>
    <w:rsid w:val="00783B66"/>
    <w:rsid w:val="00783C0A"/>
    <w:rsid w:val="00783D0E"/>
    <w:rsid w:val="00783D7F"/>
    <w:rsid w:val="00783DCE"/>
    <w:rsid w:val="00783E54"/>
    <w:rsid w:val="00783E70"/>
    <w:rsid w:val="00783ECC"/>
    <w:rsid w:val="00783F53"/>
    <w:rsid w:val="00784177"/>
    <w:rsid w:val="0078419F"/>
    <w:rsid w:val="00784228"/>
    <w:rsid w:val="007842D9"/>
    <w:rsid w:val="007842FC"/>
    <w:rsid w:val="00784356"/>
    <w:rsid w:val="007843DF"/>
    <w:rsid w:val="0078445D"/>
    <w:rsid w:val="00784486"/>
    <w:rsid w:val="007844A5"/>
    <w:rsid w:val="007844D7"/>
    <w:rsid w:val="00784561"/>
    <w:rsid w:val="00784596"/>
    <w:rsid w:val="00784660"/>
    <w:rsid w:val="0078469F"/>
    <w:rsid w:val="00784717"/>
    <w:rsid w:val="007847FE"/>
    <w:rsid w:val="0078498F"/>
    <w:rsid w:val="00784A04"/>
    <w:rsid w:val="00784A2F"/>
    <w:rsid w:val="00784AD2"/>
    <w:rsid w:val="00784AED"/>
    <w:rsid w:val="00784B67"/>
    <w:rsid w:val="00784BF8"/>
    <w:rsid w:val="00784DC5"/>
    <w:rsid w:val="00784DF7"/>
    <w:rsid w:val="00784F70"/>
    <w:rsid w:val="00784F96"/>
    <w:rsid w:val="00785022"/>
    <w:rsid w:val="0078511E"/>
    <w:rsid w:val="0078515A"/>
    <w:rsid w:val="007851DC"/>
    <w:rsid w:val="007852F0"/>
    <w:rsid w:val="00785319"/>
    <w:rsid w:val="007853DC"/>
    <w:rsid w:val="00785475"/>
    <w:rsid w:val="00785482"/>
    <w:rsid w:val="00785504"/>
    <w:rsid w:val="0078554E"/>
    <w:rsid w:val="00785582"/>
    <w:rsid w:val="00785729"/>
    <w:rsid w:val="00785890"/>
    <w:rsid w:val="00785895"/>
    <w:rsid w:val="007859B0"/>
    <w:rsid w:val="00785A32"/>
    <w:rsid w:val="00785AA5"/>
    <w:rsid w:val="00785B6C"/>
    <w:rsid w:val="00785BFE"/>
    <w:rsid w:val="00785C73"/>
    <w:rsid w:val="00785C78"/>
    <w:rsid w:val="00785CCA"/>
    <w:rsid w:val="00785FDC"/>
    <w:rsid w:val="0078605F"/>
    <w:rsid w:val="00786123"/>
    <w:rsid w:val="007862B0"/>
    <w:rsid w:val="0078638F"/>
    <w:rsid w:val="007863A1"/>
    <w:rsid w:val="007863F2"/>
    <w:rsid w:val="007863F9"/>
    <w:rsid w:val="007864EA"/>
    <w:rsid w:val="00786616"/>
    <w:rsid w:val="0078669A"/>
    <w:rsid w:val="0078669E"/>
    <w:rsid w:val="007866EA"/>
    <w:rsid w:val="007867EF"/>
    <w:rsid w:val="0078689E"/>
    <w:rsid w:val="00786921"/>
    <w:rsid w:val="00786948"/>
    <w:rsid w:val="0078698B"/>
    <w:rsid w:val="007869FD"/>
    <w:rsid w:val="00786A2E"/>
    <w:rsid w:val="00786AC1"/>
    <w:rsid w:val="00786B03"/>
    <w:rsid w:val="00786B21"/>
    <w:rsid w:val="00786C48"/>
    <w:rsid w:val="00786C7E"/>
    <w:rsid w:val="00786F34"/>
    <w:rsid w:val="00786F9F"/>
    <w:rsid w:val="00786FB1"/>
    <w:rsid w:val="00786FB2"/>
    <w:rsid w:val="00786FD8"/>
    <w:rsid w:val="0078708F"/>
    <w:rsid w:val="007870E8"/>
    <w:rsid w:val="007870F0"/>
    <w:rsid w:val="00787239"/>
    <w:rsid w:val="007872A6"/>
    <w:rsid w:val="007872C4"/>
    <w:rsid w:val="007872F6"/>
    <w:rsid w:val="007872FE"/>
    <w:rsid w:val="00787302"/>
    <w:rsid w:val="00787340"/>
    <w:rsid w:val="00787463"/>
    <w:rsid w:val="007874F5"/>
    <w:rsid w:val="0078756C"/>
    <w:rsid w:val="007875FB"/>
    <w:rsid w:val="00787615"/>
    <w:rsid w:val="00787629"/>
    <w:rsid w:val="00787ADB"/>
    <w:rsid w:val="00787B4B"/>
    <w:rsid w:val="00787B8B"/>
    <w:rsid w:val="00787BC6"/>
    <w:rsid w:val="00787E02"/>
    <w:rsid w:val="00787EDC"/>
    <w:rsid w:val="00787EF8"/>
    <w:rsid w:val="00787F30"/>
    <w:rsid w:val="00787FC9"/>
    <w:rsid w:val="00787FE9"/>
    <w:rsid w:val="00787FFC"/>
    <w:rsid w:val="0078FCCC"/>
    <w:rsid w:val="00790022"/>
    <w:rsid w:val="007900D1"/>
    <w:rsid w:val="007902F7"/>
    <w:rsid w:val="0079032D"/>
    <w:rsid w:val="0079040F"/>
    <w:rsid w:val="007904FC"/>
    <w:rsid w:val="007906CA"/>
    <w:rsid w:val="007907CD"/>
    <w:rsid w:val="007907E6"/>
    <w:rsid w:val="00790815"/>
    <w:rsid w:val="00790859"/>
    <w:rsid w:val="007908DB"/>
    <w:rsid w:val="0079093B"/>
    <w:rsid w:val="00790941"/>
    <w:rsid w:val="007909D9"/>
    <w:rsid w:val="007909DE"/>
    <w:rsid w:val="00790A8D"/>
    <w:rsid w:val="00790AC4"/>
    <w:rsid w:val="00790AC9"/>
    <w:rsid w:val="00790B9F"/>
    <w:rsid w:val="00790BC8"/>
    <w:rsid w:val="00790F0F"/>
    <w:rsid w:val="00790F42"/>
    <w:rsid w:val="00791065"/>
    <w:rsid w:val="00791119"/>
    <w:rsid w:val="007911C6"/>
    <w:rsid w:val="0079124B"/>
    <w:rsid w:val="0079129D"/>
    <w:rsid w:val="0079138A"/>
    <w:rsid w:val="007913B3"/>
    <w:rsid w:val="007913FB"/>
    <w:rsid w:val="00791472"/>
    <w:rsid w:val="0079149B"/>
    <w:rsid w:val="00791529"/>
    <w:rsid w:val="007915F4"/>
    <w:rsid w:val="0079164B"/>
    <w:rsid w:val="00791683"/>
    <w:rsid w:val="0079169F"/>
    <w:rsid w:val="00791737"/>
    <w:rsid w:val="0079177E"/>
    <w:rsid w:val="007917E8"/>
    <w:rsid w:val="0079183C"/>
    <w:rsid w:val="007918BD"/>
    <w:rsid w:val="0079191F"/>
    <w:rsid w:val="007919FB"/>
    <w:rsid w:val="00791A67"/>
    <w:rsid w:val="00791BD1"/>
    <w:rsid w:val="00791C29"/>
    <w:rsid w:val="00791C2C"/>
    <w:rsid w:val="00791C7F"/>
    <w:rsid w:val="00791CF2"/>
    <w:rsid w:val="00791D0B"/>
    <w:rsid w:val="00791D6D"/>
    <w:rsid w:val="00791D73"/>
    <w:rsid w:val="00791DAC"/>
    <w:rsid w:val="00791E3B"/>
    <w:rsid w:val="00792048"/>
    <w:rsid w:val="0079208E"/>
    <w:rsid w:val="0079209F"/>
    <w:rsid w:val="0079217A"/>
    <w:rsid w:val="0079219B"/>
    <w:rsid w:val="007921A6"/>
    <w:rsid w:val="00792292"/>
    <w:rsid w:val="00792323"/>
    <w:rsid w:val="0079234B"/>
    <w:rsid w:val="007925C5"/>
    <w:rsid w:val="007925D4"/>
    <w:rsid w:val="007925F6"/>
    <w:rsid w:val="00792656"/>
    <w:rsid w:val="007926DE"/>
    <w:rsid w:val="007927A7"/>
    <w:rsid w:val="007927EF"/>
    <w:rsid w:val="007928E2"/>
    <w:rsid w:val="007929EE"/>
    <w:rsid w:val="00792AF1"/>
    <w:rsid w:val="00792B88"/>
    <w:rsid w:val="00792DF6"/>
    <w:rsid w:val="00792F0A"/>
    <w:rsid w:val="00792F5C"/>
    <w:rsid w:val="007930EB"/>
    <w:rsid w:val="00793120"/>
    <w:rsid w:val="00793127"/>
    <w:rsid w:val="00793155"/>
    <w:rsid w:val="007931F9"/>
    <w:rsid w:val="00793209"/>
    <w:rsid w:val="007932B7"/>
    <w:rsid w:val="00793421"/>
    <w:rsid w:val="0079342C"/>
    <w:rsid w:val="0079346B"/>
    <w:rsid w:val="00793499"/>
    <w:rsid w:val="007935A4"/>
    <w:rsid w:val="007935E8"/>
    <w:rsid w:val="00793686"/>
    <w:rsid w:val="00793708"/>
    <w:rsid w:val="0079379B"/>
    <w:rsid w:val="00793867"/>
    <w:rsid w:val="0079389F"/>
    <w:rsid w:val="007938BF"/>
    <w:rsid w:val="0079393B"/>
    <w:rsid w:val="00793AD2"/>
    <w:rsid w:val="00793B40"/>
    <w:rsid w:val="00793BFA"/>
    <w:rsid w:val="00793C13"/>
    <w:rsid w:val="00793C1F"/>
    <w:rsid w:val="00793D6A"/>
    <w:rsid w:val="00793E10"/>
    <w:rsid w:val="00793E4D"/>
    <w:rsid w:val="00793FEE"/>
    <w:rsid w:val="00793FF8"/>
    <w:rsid w:val="0079407D"/>
    <w:rsid w:val="00794134"/>
    <w:rsid w:val="007942FB"/>
    <w:rsid w:val="007943C7"/>
    <w:rsid w:val="00794414"/>
    <w:rsid w:val="0079455E"/>
    <w:rsid w:val="007945A6"/>
    <w:rsid w:val="007945F5"/>
    <w:rsid w:val="00794644"/>
    <w:rsid w:val="007946E4"/>
    <w:rsid w:val="00794762"/>
    <w:rsid w:val="00794786"/>
    <w:rsid w:val="007948B5"/>
    <w:rsid w:val="007948CF"/>
    <w:rsid w:val="0079490A"/>
    <w:rsid w:val="00794951"/>
    <w:rsid w:val="007949A6"/>
    <w:rsid w:val="00794AF6"/>
    <w:rsid w:val="00794B0C"/>
    <w:rsid w:val="00794B54"/>
    <w:rsid w:val="00794BCB"/>
    <w:rsid w:val="00794C25"/>
    <w:rsid w:val="00794C94"/>
    <w:rsid w:val="00794EC6"/>
    <w:rsid w:val="00794EE2"/>
    <w:rsid w:val="00795021"/>
    <w:rsid w:val="0079503C"/>
    <w:rsid w:val="0079514D"/>
    <w:rsid w:val="00795183"/>
    <w:rsid w:val="00795385"/>
    <w:rsid w:val="007953DB"/>
    <w:rsid w:val="0079542A"/>
    <w:rsid w:val="0079542F"/>
    <w:rsid w:val="0079544F"/>
    <w:rsid w:val="00795493"/>
    <w:rsid w:val="007954E4"/>
    <w:rsid w:val="00795525"/>
    <w:rsid w:val="0079556E"/>
    <w:rsid w:val="0079558B"/>
    <w:rsid w:val="007955AC"/>
    <w:rsid w:val="007955D0"/>
    <w:rsid w:val="007955E1"/>
    <w:rsid w:val="0079560D"/>
    <w:rsid w:val="007956F3"/>
    <w:rsid w:val="00795721"/>
    <w:rsid w:val="00795743"/>
    <w:rsid w:val="007958DD"/>
    <w:rsid w:val="0079592F"/>
    <w:rsid w:val="00795957"/>
    <w:rsid w:val="0079597A"/>
    <w:rsid w:val="00795CA4"/>
    <w:rsid w:val="00795CFC"/>
    <w:rsid w:val="00795DD8"/>
    <w:rsid w:val="00795E1D"/>
    <w:rsid w:val="00795E43"/>
    <w:rsid w:val="00795E56"/>
    <w:rsid w:val="00795E5A"/>
    <w:rsid w:val="00795E86"/>
    <w:rsid w:val="00795F2D"/>
    <w:rsid w:val="00796010"/>
    <w:rsid w:val="00796068"/>
    <w:rsid w:val="007961B9"/>
    <w:rsid w:val="0079629E"/>
    <w:rsid w:val="0079630B"/>
    <w:rsid w:val="00796357"/>
    <w:rsid w:val="00796395"/>
    <w:rsid w:val="007963A0"/>
    <w:rsid w:val="00796405"/>
    <w:rsid w:val="007964EC"/>
    <w:rsid w:val="00796823"/>
    <w:rsid w:val="00796A01"/>
    <w:rsid w:val="00796B9D"/>
    <w:rsid w:val="00796BA4"/>
    <w:rsid w:val="00796BF6"/>
    <w:rsid w:val="00796C4B"/>
    <w:rsid w:val="00796D93"/>
    <w:rsid w:val="00796F15"/>
    <w:rsid w:val="00796F5E"/>
    <w:rsid w:val="00796F6D"/>
    <w:rsid w:val="00796FA7"/>
    <w:rsid w:val="0079700C"/>
    <w:rsid w:val="00797064"/>
    <w:rsid w:val="0079714E"/>
    <w:rsid w:val="007971A2"/>
    <w:rsid w:val="007972F0"/>
    <w:rsid w:val="00797312"/>
    <w:rsid w:val="00797324"/>
    <w:rsid w:val="007974DD"/>
    <w:rsid w:val="007975FE"/>
    <w:rsid w:val="00797667"/>
    <w:rsid w:val="00797692"/>
    <w:rsid w:val="00797866"/>
    <w:rsid w:val="007978A9"/>
    <w:rsid w:val="00797928"/>
    <w:rsid w:val="007979FE"/>
    <w:rsid w:val="00797A18"/>
    <w:rsid w:val="00797A76"/>
    <w:rsid w:val="00797B24"/>
    <w:rsid w:val="00797C6C"/>
    <w:rsid w:val="00797D54"/>
    <w:rsid w:val="00797D7E"/>
    <w:rsid w:val="00797DFE"/>
    <w:rsid w:val="00797EC8"/>
    <w:rsid w:val="00797ED1"/>
    <w:rsid w:val="00797EE2"/>
    <w:rsid w:val="00797F10"/>
    <w:rsid w:val="00797F34"/>
    <w:rsid w:val="00797FA3"/>
    <w:rsid w:val="0079C9BB"/>
    <w:rsid w:val="007A00C5"/>
    <w:rsid w:val="007A0223"/>
    <w:rsid w:val="007A03DC"/>
    <w:rsid w:val="007A04B0"/>
    <w:rsid w:val="007A05C7"/>
    <w:rsid w:val="007A0690"/>
    <w:rsid w:val="007A0744"/>
    <w:rsid w:val="007A07A1"/>
    <w:rsid w:val="007A0914"/>
    <w:rsid w:val="007A096B"/>
    <w:rsid w:val="007A0A08"/>
    <w:rsid w:val="007A0B23"/>
    <w:rsid w:val="007A0B99"/>
    <w:rsid w:val="007A0CE4"/>
    <w:rsid w:val="007A0D42"/>
    <w:rsid w:val="007A0D4A"/>
    <w:rsid w:val="007A0D86"/>
    <w:rsid w:val="007A0E41"/>
    <w:rsid w:val="007A0E71"/>
    <w:rsid w:val="007A0ED6"/>
    <w:rsid w:val="007A1042"/>
    <w:rsid w:val="007A1055"/>
    <w:rsid w:val="007A109B"/>
    <w:rsid w:val="007A10EB"/>
    <w:rsid w:val="007A1192"/>
    <w:rsid w:val="007A11CE"/>
    <w:rsid w:val="007A1243"/>
    <w:rsid w:val="007A1349"/>
    <w:rsid w:val="007A13CA"/>
    <w:rsid w:val="007A14DC"/>
    <w:rsid w:val="007A150E"/>
    <w:rsid w:val="007A1521"/>
    <w:rsid w:val="007A1602"/>
    <w:rsid w:val="007A1685"/>
    <w:rsid w:val="007A1812"/>
    <w:rsid w:val="007A1841"/>
    <w:rsid w:val="007A190D"/>
    <w:rsid w:val="007A1A55"/>
    <w:rsid w:val="007A1B81"/>
    <w:rsid w:val="007A1B8A"/>
    <w:rsid w:val="007A1CA8"/>
    <w:rsid w:val="007A1D4E"/>
    <w:rsid w:val="007A1D77"/>
    <w:rsid w:val="007A1DAE"/>
    <w:rsid w:val="007A1F5E"/>
    <w:rsid w:val="007A1FFD"/>
    <w:rsid w:val="007A2083"/>
    <w:rsid w:val="007A2095"/>
    <w:rsid w:val="007A2110"/>
    <w:rsid w:val="007A214B"/>
    <w:rsid w:val="007A2158"/>
    <w:rsid w:val="007A217D"/>
    <w:rsid w:val="007A229C"/>
    <w:rsid w:val="007A22E2"/>
    <w:rsid w:val="007A2584"/>
    <w:rsid w:val="007A25BD"/>
    <w:rsid w:val="007A2603"/>
    <w:rsid w:val="007A2644"/>
    <w:rsid w:val="007A2670"/>
    <w:rsid w:val="007A26A4"/>
    <w:rsid w:val="007A279F"/>
    <w:rsid w:val="007A2831"/>
    <w:rsid w:val="007A283E"/>
    <w:rsid w:val="007A288D"/>
    <w:rsid w:val="007A2AB6"/>
    <w:rsid w:val="007A2AFC"/>
    <w:rsid w:val="007A2BE0"/>
    <w:rsid w:val="007A2CD4"/>
    <w:rsid w:val="007A2CF2"/>
    <w:rsid w:val="007A2DC1"/>
    <w:rsid w:val="007A2E53"/>
    <w:rsid w:val="007A2ED0"/>
    <w:rsid w:val="007A2F10"/>
    <w:rsid w:val="007A2F97"/>
    <w:rsid w:val="007A2FAF"/>
    <w:rsid w:val="007A30DF"/>
    <w:rsid w:val="007A315F"/>
    <w:rsid w:val="007A3245"/>
    <w:rsid w:val="007A33B3"/>
    <w:rsid w:val="007A33BB"/>
    <w:rsid w:val="007A3550"/>
    <w:rsid w:val="007A36A0"/>
    <w:rsid w:val="007A36AB"/>
    <w:rsid w:val="007A3742"/>
    <w:rsid w:val="007A3798"/>
    <w:rsid w:val="007A3916"/>
    <w:rsid w:val="007A3964"/>
    <w:rsid w:val="007A39CA"/>
    <w:rsid w:val="007A3A1A"/>
    <w:rsid w:val="007A3A23"/>
    <w:rsid w:val="007A3A7C"/>
    <w:rsid w:val="007A3B01"/>
    <w:rsid w:val="007A3B38"/>
    <w:rsid w:val="007A3BAD"/>
    <w:rsid w:val="007A3BFA"/>
    <w:rsid w:val="007A3CB8"/>
    <w:rsid w:val="007A3D5B"/>
    <w:rsid w:val="007A3DFE"/>
    <w:rsid w:val="007A3E9D"/>
    <w:rsid w:val="007A404A"/>
    <w:rsid w:val="007A4059"/>
    <w:rsid w:val="007A4075"/>
    <w:rsid w:val="007A4097"/>
    <w:rsid w:val="007A40A6"/>
    <w:rsid w:val="007A412D"/>
    <w:rsid w:val="007A415D"/>
    <w:rsid w:val="007A4170"/>
    <w:rsid w:val="007A421B"/>
    <w:rsid w:val="007A4268"/>
    <w:rsid w:val="007A4332"/>
    <w:rsid w:val="007A43AC"/>
    <w:rsid w:val="007A43E5"/>
    <w:rsid w:val="007A4485"/>
    <w:rsid w:val="007A4509"/>
    <w:rsid w:val="007A4547"/>
    <w:rsid w:val="007A45B2"/>
    <w:rsid w:val="007A45CA"/>
    <w:rsid w:val="007A4683"/>
    <w:rsid w:val="007A46BE"/>
    <w:rsid w:val="007A47EA"/>
    <w:rsid w:val="007A49F1"/>
    <w:rsid w:val="007A4A4D"/>
    <w:rsid w:val="007A4A7F"/>
    <w:rsid w:val="007A4BD8"/>
    <w:rsid w:val="007A4C49"/>
    <w:rsid w:val="007A4C6A"/>
    <w:rsid w:val="007A4CDF"/>
    <w:rsid w:val="007A4CE6"/>
    <w:rsid w:val="007A4E2D"/>
    <w:rsid w:val="007A4E34"/>
    <w:rsid w:val="007A4E8E"/>
    <w:rsid w:val="007A4EAB"/>
    <w:rsid w:val="007A4ECB"/>
    <w:rsid w:val="007A4F48"/>
    <w:rsid w:val="007A4F9F"/>
    <w:rsid w:val="007A4FA3"/>
    <w:rsid w:val="007A4FB8"/>
    <w:rsid w:val="007A4FC2"/>
    <w:rsid w:val="007A50F1"/>
    <w:rsid w:val="007A5138"/>
    <w:rsid w:val="007A51FF"/>
    <w:rsid w:val="007A524A"/>
    <w:rsid w:val="007A524E"/>
    <w:rsid w:val="007A5295"/>
    <w:rsid w:val="007A5359"/>
    <w:rsid w:val="007A541C"/>
    <w:rsid w:val="007A5560"/>
    <w:rsid w:val="007A558A"/>
    <w:rsid w:val="007A5620"/>
    <w:rsid w:val="007A5680"/>
    <w:rsid w:val="007A57AC"/>
    <w:rsid w:val="007A57E7"/>
    <w:rsid w:val="007A58AC"/>
    <w:rsid w:val="007A58E4"/>
    <w:rsid w:val="007A58EA"/>
    <w:rsid w:val="007A59CB"/>
    <w:rsid w:val="007A5A67"/>
    <w:rsid w:val="007A5A69"/>
    <w:rsid w:val="007A5A6F"/>
    <w:rsid w:val="007A5AF6"/>
    <w:rsid w:val="007A5B34"/>
    <w:rsid w:val="007A5B64"/>
    <w:rsid w:val="007A5BB7"/>
    <w:rsid w:val="007A5DE3"/>
    <w:rsid w:val="007A5E2E"/>
    <w:rsid w:val="007A5FB2"/>
    <w:rsid w:val="007A605B"/>
    <w:rsid w:val="007A60A9"/>
    <w:rsid w:val="007A6114"/>
    <w:rsid w:val="007A619D"/>
    <w:rsid w:val="007A61B3"/>
    <w:rsid w:val="007A6218"/>
    <w:rsid w:val="007A6360"/>
    <w:rsid w:val="007A63B4"/>
    <w:rsid w:val="007A64A2"/>
    <w:rsid w:val="007A64BB"/>
    <w:rsid w:val="007A657D"/>
    <w:rsid w:val="007A657E"/>
    <w:rsid w:val="007A6661"/>
    <w:rsid w:val="007A6685"/>
    <w:rsid w:val="007A669A"/>
    <w:rsid w:val="007A66DC"/>
    <w:rsid w:val="007A6783"/>
    <w:rsid w:val="007A684E"/>
    <w:rsid w:val="007A6896"/>
    <w:rsid w:val="007A68D4"/>
    <w:rsid w:val="007A6927"/>
    <w:rsid w:val="007A697B"/>
    <w:rsid w:val="007A6ADD"/>
    <w:rsid w:val="007A6C06"/>
    <w:rsid w:val="007A6C3B"/>
    <w:rsid w:val="007A6CB7"/>
    <w:rsid w:val="007A6CFA"/>
    <w:rsid w:val="007A6D03"/>
    <w:rsid w:val="007A6ED4"/>
    <w:rsid w:val="007A7017"/>
    <w:rsid w:val="007A708F"/>
    <w:rsid w:val="007A70DA"/>
    <w:rsid w:val="007A712B"/>
    <w:rsid w:val="007A7177"/>
    <w:rsid w:val="007A71D6"/>
    <w:rsid w:val="007A71E6"/>
    <w:rsid w:val="007A71E9"/>
    <w:rsid w:val="007A7207"/>
    <w:rsid w:val="007A735A"/>
    <w:rsid w:val="007A739A"/>
    <w:rsid w:val="007A7403"/>
    <w:rsid w:val="007A7486"/>
    <w:rsid w:val="007A765C"/>
    <w:rsid w:val="007A765E"/>
    <w:rsid w:val="007A76D1"/>
    <w:rsid w:val="007A7786"/>
    <w:rsid w:val="007A7857"/>
    <w:rsid w:val="007A798B"/>
    <w:rsid w:val="007A7A1B"/>
    <w:rsid w:val="007A7AEF"/>
    <w:rsid w:val="007A7B53"/>
    <w:rsid w:val="007A7CEA"/>
    <w:rsid w:val="007A7D33"/>
    <w:rsid w:val="007A7D77"/>
    <w:rsid w:val="007A7DA9"/>
    <w:rsid w:val="007A7DDC"/>
    <w:rsid w:val="007A7DEC"/>
    <w:rsid w:val="007A7E06"/>
    <w:rsid w:val="007A7EB5"/>
    <w:rsid w:val="007A7EEC"/>
    <w:rsid w:val="007B008D"/>
    <w:rsid w:val="007B01AF"/>
    <w:rsid w:val="007B01EC"/>
    <w:rsid w:val="007B0277"/>
    <w:rsid w:val="007B032F"/>
    <w:rsid w:val="007B035E"/>
    <w:rsid w:val="007B0382"/>
    <w:rsid w:val="007B0430"/>
    <w:rsid w:val="007B0435"/>
    <w:rsid w:val="007B0492"/>
    <w:rsid w:val="007B04BE"/>
    <w:rsid w:val="007B04D9"/>
    <w:rsid w:val="007B04EC"/>
    <w:rsid w:val="007B054C"/>
    <w:rsid w:val="007B06E8"/>
    <w:rsid w:val="007B0755"/>
    <w:rsid w:val="007B0843"/>
    <w:rsid w:val="007B08E4"/>
    <w:rsid w:val="007B0907"/>
    <w:rsid w:val="007B0BB8"/>
    <w:rsid w:val="007B0BDC"/>
    <w:rsid w:val="007B0CB8"/>
    <w:rsid w:val="007B0D2B"/>
    <w:rsid w:val="007B0EBD"/>
    <w:rsid w:val="007B0FCB"/>
    <w:rsid w:val="007B0FD3"/>
    <w:rsid w:val="007B10B2"/>
    <w:rsid w:val="007B1107"/>
    <w:rsid w:val="007B11BB"/>
    <w:rsid w:val="007B1207"/>
    <w:rsid w:val="007B1224"/>
    <w:rsid w:val="007B1271"/>
    <w:rsid w:val="007B1345"/>
    <w:rsid w:val="007B134A"/>
    <w:rsid w:val="007B1379"/>
    <w:rsid w:val="007B1383"/>
    <w:rsid w:val="007B13D7"/>
    <w:rsid w:val="007B1529"/>
    <w:rsid w:val="007B1572"/>
    <w:rsid w:val="007B158F"/>
    <w:rsid w:val="007B168E"/>
    <w:rsid w:val="007B1819"/>
    <w:rsid w:val="007B187B"/>
    <w:rsid w:val="007B18C8"/>
    <w:rsid w:val="007B19DF"/>
    <w:rsid w:val="007B1B55"/>
    <w:rsid w:val="007B1B62"/>
    <w:rsid w:val="007B1B76"/>
    <w:rsid w:val="007B1DE4"/>
    <w:rsid w:val="007B1E20"/>
    <w:rsid w:val="007B1E24"/>
    <w:rsid w:val="007B20FB"/>
    <w:rsid w:val="007B2220"/>
    <w:rsid w:val="007B228B"/>
    <w:rsid w:val="007B22DD"/>
    <w:rsid w:val="007B23A4"/>
    <w:rsid w:val="007B23E8"/>
    <w:rsid w:val="007B2413"/>
    <w:rsid w:val="007B2438"/>
    <w:rsid w:val="007B2556"/>
    <w:rsid w:val="007B256C"/>
    <w:rsid w:val="007B25C5"/>
    <w:rsid w:val="007B2605"/>
    <w:rsid w:val="007B2695"/>
    <w:rsid w:val="007B26DC"/>
    <w:rsid w:val="007B26E8"/>
    <w:rsid w:val="007B2757"/>
    <w:rsid w:val="007B27C5"/>
    <w:rsid w:val="007B2823"/>
    <w:rsid w:val="007B2848"/>
    <w:rsid w:val="007B29C8"/>
    <w:rsid w:val="007B2A6E"/>
    <w:rsid w:val="007B2DE8"/>
    <w:rsid w:val="007B2E42"/>
    <w:rsid w:val="007B2E7B"/>
    <w:rsid w:val="007B2E99"/>
    <w:rsid w:val="007B2EDD"/>
    <w:rsid w:val="007B2FA6"/>
    <w:rsid w:val="007B2FDD"/>
    <w:rsid w:val="007B311C"/>
    <w:rsid w:val="007B31E0"/>
    <w:rsid w:val="007B3214"/>
    <w:rsid w:val="007B3236"/>
    <w:rsid w:val="007B3260"/>
    <w:rsid w:val="007B32A7"/>
    <w:rsid w:val="007B3338"/>
    <w:rsid w:val="007B3365"/>
    <w:rsid w:val="007B347C"/>
    <w:rsid w:val="007B34CF"/>
    <w:rsid w:val="007B35A1"/>
    <w:rsid w:val="007B35DB"/>
    <w:rsid w:val="007B366D"/>
    <w:rsid w:val="007B3834"/>
    <w:rsid w:val="007B3852"/>
    <w:rsid w:val="007B38B6"/>
    <w:rsid w:val="007B3948"/>
    <w:rsid w:val="007B395F"/>
    <w:rsid w:val="007B3991"/>
    <w:rsid w:val="007B3A2A"/>
    <w:rsid w:val="007B3AB3"/>
    <w:rsid w:val="007B3AF2"/>
    <w:rsid w:val="007B3C33"/>
    <w:rsid w:val="007B3C49"/>
    <w:rsid w:val="007B3C81"/>
    <w:rsid w:val="007B3D62"/>
    <w:rsid w:val="007B3DAE"/>
    <w:rsid w:val="007B3E53"/>
    <w:rsid w:val="007B3EC8"/>
    <w:rsid w:val="007B3F47"/>
    <w:rsid w:val="007B3F48"/>
    <w:rsid w:val="007B3F5D"/>
    <w:rsid w:val="007B3F6D"/>
    <w:rsid w:val="007B3F7E"/>
    <w:rsid w:val="007B3FAC"/>
    <w:rsid w:val="007B419B"/>
    <w:rsid w:val="007B41A9"/>
    <w:rsid w:val="007B43B2"/>
    <w:rsid w:val="007B4535"/>
    <w:rsid w:val="007B4605"/>
    <w:rsid w:val="007B4659"/>
    <w:rsid w:val="007B4675"/>
    <w:rsid w:val="007B46D5"/>
    <w:rsid w:val="007B46E5"/>
    <w:rsid w:val="007B46F0"/>
    <w:rsid w:val="007B4722"/>
    <w:rsid w:val="007B4798"/>
    <w:rsid w:val="007B47A2"/>
    <w:rsid w:val="007B47D8"/>
    <w:rsid w:val="007B47F4"/>
    <w:rsid w:val="007B483D"/>
    <w:rsid w:val="007B488F"/>
    <w:rsid w:val="007B4900"/>
    <w:rsid w:val="007B4962"/>
    <w:rsid w:val="007B4AD3"/>
    <w:rsid w:val="007B4BE1"/>
    <w:rsid w:val="007B4C40"/>
    <w:rsid w:val="007B4D78"/>
    <w:rsid w:val="007B4EBD"/>
    <w:rsid w:val="007B4F13"/>
    <w:rsid w:val="007B4F28"/>
    <w:rsid w:val="007B4FF0"/>
    <w:rsid w:val="007B4FF4"/>
    <w:rsid w:val="007B5104"/>
    <w:rsid w:val="007B5136"/>
    <w:rsid w:val="007B516E"/>
    <w:rsid w:val="007B51BC"/>
    <w:rsid w:val="007B5274"/>
    <w:rsid w:val="007B5463"/>
    <w:rsid w:val="007B5472"/>
    <w:rsid w:val="007B5589"/>
    <w:rsid w:val="007B5622"/>
    <w:rsid w:val="007B56FD"/>
    <w:rsid w:val="007B5866"/>
    <w:rsid w:val="007B5A70"/>
    <w:rsid w:val="007B5ACB"/>
    <w:rsid w:val="007B5B37"/>
    <w:rsid w:val="007B5CC5"/>
    <w:rsid w:val="007B5CEA"/>
    <w:rsid w:val="007B5CF1"/>
    <w:rsid w:val="007B5E25"/>
    <w:rsid w:val="007B5E73"/>
    <w:rsid w:val="007B5FFB"/>
    <w:rsid w:val="007B6023"/>
    <w:rsid w:val="007B62D0"/>
    <w:rsid w:val="007B630B"/>
    <w:rsid w:val="007B6374"/>
    <w:rsid w:val="007B6441"/>
    <w:rsid w:val="007B6485"/>
    <w:rsid w:val="007B64A7"/>
    <w:rsid w:val="007B6769"/>
    <w:rsid w:val="007B67BB"/>
    <w:rsid w:val="007B6884"/>
    <w:rsid w:val="007B688D"/>
    <w:rsid w:val="007B68E1"/>
    <w:rsid w:val="007B6916"/>
    <w:rsid w:val="007B6977"/>
    <w:rsid w:val="007B699E"/>
    <w:rsid w:val="007B69E5"/>
    <w:rsid w:val="007B6BC5"/>
    <w:rsid w:val="007B6C8F"/>
    <w:rsid w:val="007B6C93"/>
    <w:rsid w:val="007B6D13"/>
    <w:rsid w:val="007B6D1C"/>
    <w:rsid w:val="007B6D81"/>
    <w:rsid w:val="007B6D99"/>
    <w:rsid w:val="007B6E45"/>
    <w:rsid w:val="007B6F4E"/>
    <w:rsid w:val="007B6F52"/>
    <w:rsid w:val="007B6F53"/>
    <w:rsid w:val="007B6FA6"/>
    <w:rsid w:val="007B7044"/>
    <w:rsid w:val="007B70A6"/>
    <w:rsid w:val="007B70BF"/>
    <w:rsid w:val="007B70D5"/>
    <w:rsid w:val="007B718C"/>
    <w:rsid w:val="007B71EA"/>
    <w:rsid w:val="007B724B"/>
    <w:rsid w:val="007B726F"/>
    <w:rsid w:val="007B73B7"/>
    <w:rsid w:val="007B749A"/>
    <w:rsid w:val="007B75AF"/>
    <w:rsid w:val="007B77E2"/>
    <w:rsid w:val="007B7827"/>
    <w:rsid w:val="007B7A02"/>
    <w:rsid w:val="007B7A27"/>
    <w:rsid w:val="007B7A4B"/>
    <w:rsid w:val="007B7A64"/>
    <w:rsid w:val="007B7AFC"/>
    <w:rsid w:val="007B7BA0"/>
    <w:rsid w:val="007B7E76"/>
    <w:rsid w:val="007B7EDC"/>
    <w:rsid w:val="007B7F13"/>
    <w:rsid w:val="007B7FD1"/>
    <w:rsid w:val="007B9053"/>
    <w:rsid w:val="007C01F4"/>
    <w:rsid w:val="007C0267"/>
    <w:rsid w:val="007C0369"/>
    <w:rsid w:val="007C036E"/>
    <w:rsid w:val="007C0410"/>
    <w:rsid w:val="007C0515"/>
    <w:rsid w:val="007C053D"/>
    <w:rsid w:val="007C0613"/>
    <w:rsid w:val="007C06AC"/>
    <w:rsid w:val="007C0752"/>
    <w:rsid w:val="007C0800"/>
    <w:rsid w:val="007C080C"/>
    <w:rsid w:val="007C0838"/>
    <w:rsid w:val="007C0840"/>
    <w:rsid w:val="007C0B1C"/>
    <w:rsid w:val="007C0B9B"/>
    <w:rsid w:val="007C0BEF"/>
    <w:rsid w:val="007C0F05"/>
    <w:rsid w:val="007C0F66"/>
    <w:rsid w:val="007C0FB9"/>
    <w:rsid w:val="007C0FE7"/>
    <w:rsid w:val="007C0FFB"/>
    <w:rsid w:val="007C1024"/>
    <w:rsid w:val="007C1086"/>
    <w:rsid w:val="007C11A8"/>
    <w:rsid w:val="007C120D"/>
    <w:rsid w:val="007C1263"/>
    <w:rsid w:val="007C128C"/>
    <w:rsid w:val="007C139E"/>
    <w:rsid w:val="007C141C"/>
    <w:rsid w:val="007C1461"/>
    <w:rsid w:val="007C1581"/>
    <w:rsid w:val="007C1679"/>
    <w:rsid w:val="007C18BF"/>
    <w:rsid w:val="007C19EA"/>
    <w:rsid w:val="007C1A9F"/>
    <w:rsid w:val="007C1B2A"/>
    <w:rsid w:val="007C1B9D"/>
    <w:rsid w:val="007C1BF4"/>
    <w:rsid w:val="007C1C41"/>
    <w:rsid w:val="007C1C63"/>
    <w:rsid w:val="007C1D03"/>
    <w:rsid w:val="007C1DAC"/>
    <w:rsid w:val="007C1EF3"/>
    <w:rsid w:val="007C221D"/>
    <w:rsid w:val="007C22B5"/>
    <w:rsid w:val="007C2519"/>
    <w:rsid w:val="007C2543"/>
    <w:rsid w:val="007C2563"/>
    <w:rsid w:val="007C2594"/>
    <w:rsid w:val="007C25B5"/>
    <w:rsid w:val="007C2751"/>
    <w:rsid w:val="007C27F8"/>
    <w:rsid w:val="007C282C"/>
    <w:rsid w:val="007C2A56"/>
    <w:rsid w:val="007C2ABA"/>
    <w:rsid w:val="007C2AD8"/>
    <w:rsid w:val="007C2B9C"/>
    <w:rsid w:val="007C2CE4"/>
    <w:rsid w:val="007C2D4B"/>
    <w:rsid w:val="007C2E52"/>
    <w:rsid w:val="007C2E7C"/>
    <w:rsid w:val="007C2EAC"/>
    <w:rsid w:val="007C2F9E"/>
    <w:rsid w:val="007C2FE9"/>
    <w:rsid w:val="007C30BE"/>
    <w:rsid w:val="007C30D8"/>
    <w:rsid w:val="007C316F"/>
    <w:rsid w:val="007C31C4"/>
    <w:rsid w:val="007C31CD"/>
    <w:rsid w:val="007C31CF"/>
    <w:rsid w:val="007C31EF"/>
    <w:rsid w:val="007C325D"/>
    <w:rsid w:val="007C3296"/>
    <w:rsid w:val="007C3369"/>
    <w:rsid w:val="007C3382"/>
    <w:rsid w:val="007C33AC"/>
    <w:rsid w:val="007C33F0"/>
    <w:rsid w:val="007C343F"/>
    <w:rsid w:val="007C34D8"/>
    <w:rsid w:val="007C34E6"/>
    <w:rsid w:val="007C3526"/>
    <w:rsid w:val="007C3578"/>
    <w:rsid w:val="007C35AD"/>
    <w:rsid w:val="007C360A"/>
    <w:rsid w:val="007C3743"/>
    <w:rsid w:val="007C3890"/>
    <w:rsid w:val="007C39D3"/>
    <w:rsid w:val="007C3A1A"/>
    <w:rsid w:val="007C3AB8"/>
    <w:rsid w:val="007C3B90"/>
    <w:rsid w:val="007C3C46"/>
    <w:rsid w:val="007C3CE8"/>
    <w:rsid w:val="007C3CFB"/>
    <w:rsid w:val="007C3D00"/>
    <w:rsid w:val="007C3D4B"/>
    <w:rsid w:val="007C3EEB"/>
    <w:rsid w:val="007C408A"/>
    <w:rsid w:val="007C40B3"/>
    <w:rsid w:val="007C4111"/>
    <w:rsid w:val="007C412C"/>
    <w:rsid w:val="007C4137"/>
    <w:rsid w:val="007C4165"/>
    <w:rsid w:val="007C4192"/>
    <w:rsid w:val="007C43C1"/>
    <w:rsid w:val="007C44F7"/>
    <w:rsid w:val="007C456C"/>
    <w:rsid w:val="007C45B0"/>
    <w:rsid w:val="007C4600"/>
    <w:rsid w:val="007C464A"/>
    <w:rsid w:val="007C465F"/>
    <w:rsid w:val="007C4700"/>
    <w:rsid w:val="007C47FA"/>
    <w:rsid w:val="007C480A"/>
    <w:rsid w:val="007C487C"/>
    <w:rsid w:val="007C4895"/>
    <w:rsid w:val="007C4929"/>
    <w:rsid w:val="007C4B0C"/>
    <w:rsid w:val="007C4B11"/>
    <w:rsid w:val="007C4B26"/>
    <w:rsid w:val="007C4D70"/>
    <w:rsid w:val="007C4EFD"/>
    <w:rsid w:val="007C4F7E"/>
    <w:rsid w:val="007C4F9A"/>
    <w:rsid w:val="007C508A"/>
    <w:rsid w:val="007C50A0"/>
    <w:rsid w:val="007C5108"/>
    <w:rsid w:val="007C5134"/>
    <w:rsid w:val="007C51E0"/>
    <w:rsid w:val="007C526E"/>
    <w:rsid w:val="007C531E"/>
    <w:rsid w:val="007C546A"/>
    <w:rsid w:val="007C5473"/>
    <w:rsid w:val="007C54A3"/>
    <w:rsid w:val="007C5522"/>
    <w:rsid w:val="007C55B9"/>
    <w:rsid w:val="007C562E"/>
    <w:rsid w:val="007C5825"/>
    <w:rsid w:val="007C5878"/>
    <w:rsid w:val="007C58DB"/>
    <w:rsid w:val="007C58F4"/>
    <w:rsid w:val="007C5A02"/>
    <w:rsid w:val="007C5A28"/>
    <w:rsid w:val="007C5A63"/>
    <w:rsid w:val="007C5AF1"/>
    <w:rsid w:val="007C5C5B"/>
    <w:rsid w:val="007C5C8B"/>
    <w:rsid w:val="007C5CB2"/>
    <w:rsid w:val="007C5D1D"/>
    <w:rsid w:val="007C5D71"/>
    <w:rsid w:val="007C5F05"/>
    <w:rsid w:val="007C6131"/>
    <w:rsid w:val="007C6187"/>
    <w:rsid w:val="007C61A3"/>
    <w:rsid w:val="007C6220"/>
    <w:rsid w:val="007C6223"/>
    <w:rsid w:val="007C627F"/>
    <w:rsid w:val="007C62A4"/>
    <w:rsid w:val="007C64A5"/>
    <w:rsid w:val="007C64E5"/>
    <w:rsid w:val="007C6589"/>
    <w:rsid w:val="007C6648"/>
    <w:rsid w:val="007C66CE"/>
    <w:rsid w:val="007C676B"/>
    <w:rsid w:val="007C677A"/>
    <w:rsid w:val="007C6864"/>
    <w:rsid w:val="007C6939"/>
    <w:rsid w:val="007C6954"/>
    <w:rsid w:val="007C69C7"/>
    <w:rsid w:val="007C6B54"/>
    <w:rsid w:val="007C6C19"/>
    <w:rsid w:val="007C6CC7"/>
    <w:rsid w:val="007C6D74"/>
    <w:rsid w:val="007C6F13"/>
    <w:rsid w:val="007C6F9C"/>
    <w:rsid w:val="007C70AF"/>
    <w:rsid w:val="007C7148"/>
    <w:rsid w:val="007C727C"/>
    <w:rsid w:val="007C7281"/>
    <w:rsid w:val="007C72D0"/>
    <w:rsid w:val="007C7341"/>
    <w:rsid w:val="007C74CF"/>
    <w:rsid w:val="007C74D1"/>
    <w:rsid w:val="007C7597"/>
    <w:rsid w:val="007C75F7"/>
    <w:rsid w:val="007C7696"/>
    <w:rsid w:val="007C7886"/>
    <w:rsid w:val="007C7A60"/>
    <w:rsid w:val="007C7A87"/>
    <w:rsid w:val="007C7C9C"/>
    <w:rsid w:val="007C7D00"/>
    <w:rsid w:val="007C7D0D"/>
    <w:rsid w:val="007C7E68"/>
    <w:rsid w:val="007C7F1C"/>
    <w:rsid w:val="007C7F73"/>
    <w:rsid w:val="007C907D"/>
    <w:rsid w:val="007D01BB"/>
    <w:rsid w:val="007D0200"/>
    <w:rsid w:val="007D0267"/>
    <w:rsid w:val="007D030A"/>
    <w:rsid w:val="007D032F"/>
    <w:rsid w:val="007D03CD"/>
    <w:rsid w:val="007D03D9"/>
    <w:rsid w:val="007D0510"/>
    <w:rsid w:val="007D0533"/>
    <w:rsid w:val="007D0607"/>
    <w:rsid w:val="007D0614"/>
    <w:rsid w:val="007D064E"/>
    <w:rsid w:val="007D0659"/>
    <w:rsid w:val="007D06E2"/>
    <w:rsid w:val="007D080D"/>
    <w:rsid w:val="007D08DB"/>
    <w:rsid w:val="007D08F7"/>
    <w:rsid w:val="007D0A82"/>
    <w:rsid w:val="007D0AA0"/>
    <w:rsid w:val="007D0AE9"/>
    <w:rsid w:val="007D0BA2"/>
    <w:rsid w:val="007D0BCB"/>
    <w:rsid w:val="007D0BEE"/>
    <w:rsid w:val="007D0C38"/>
    <w:rsid w:val="007D0CF2"/>
    <w:rsid w:val="007D0E34"/>
    <w:rsid w:val="007D0EAC"/>
    <w:rsid w:val="007D0F52"/>
    <w:rsid w:val="007D0F65"/>
    <w:rsid w:val="007D0F82"/>
    <w:rsid w:val="007D0FE3"/>
    <w:rsid w:val="007D106A"/>
    <w:rsid w:val="007D1075"/>
    <w:rsid w:val="007D1090"/>
    <w:rsid w:val="007D121F"/>
    <w:rsid w:val="007D1221"/>
    <w:rsid w:val="007D123C"/>
    <w:rsid w:val="007D123E"/>
    <w:rsid w:val="007D1289"/>
    <w:rsid w:val="007D12EC"/>
    <w:rsid w:val="007D130F"/>
    <w:rsid w:val="007D1378"/>
    <w:rsid w:val="007D13A8"/>
    <w:rsid w:val="007D140F"/>
    <w:rsid w:val="007D155E"/>
    <w:rsid w:val="007D1563"/>
    <w:rsid w:val="007D1639"/>
    <w:rsid w:val="007D16C7"/>
    <w:rsid w:val="007D1763"/>
    <w:rsid w:val="007D17F4"/>
    <w:rsid w:val="007D186B"/>
    <w:rsid w:val="007D1A4A"/>
    <w:rsid w:val="007D1B1B"/>
    <w:rsid w:val="007D1B8A"/>
    <w:rsid w:val="007D1C12"/>
    <w:rsid w:val="007D1C52"/>
    <w:rsid w:val="007D1CCF"/>
    <w:rsid w:val="007D1D5C"/>
    <w:rsid w:val="007D1D61"/>
    <w:rsid w:val="007D1DF1"/>
    <w:rsid w:val="007D1E1F"/>
    <w:rsid w:val="007D1E32"/>
    <w:rsid w:val="007D1E6A"/>
    <w:rsid w:val="007D1E82"/>
    <w:rsid w:val="007D1F89"/>
    <w:rsid w:val="007D1FE8"/>
    <w:rsid w:val="007D202E"/>
    <w:rsid w:val="007D206F"/>
    <w:rsid w:val="007D22C8"/>
    <w:rsid w:val="007D23AF"/>
    <w:rsid w:val="007D23E8"/>
    <w:rsid w:val="007D272F"/>
    <w:rsid w:val="007D28C1"/>
    <w:rsid w:val="007D28DE"/>
    <w:rsid w:val="007D29A1"/>
    <w:rsid w:val="007D29E9"/>
    <w:rsid w:val="007D2AF0"/>
    <w:rsid w:val="007D2B30"/>
    <w:rsid w:val="007D2B5C"/>
    <w:rsid w:val="007D2D2F"/>
    <w:rsid w:val="007D2D6D"/>
    <w:rsid w:val="007D2DD4"/>
    <w:rsid w:val="007D2FEE"/>
    <w:rsid w:val="007D301C"/>
    <w:rsid w:val="007D308A"/>
    <w:rsid w:val="007D30AE"/>
    <w:rsid w:val="007D31A5"/>
    <w:rsid w:val="007D31B6"/>
    <w:rsid w:val="007D3467"/>
    <w:rsid w:val="007D349F"/>
    <w:rsid w:val="007D3594"/>
    <w:rsid w:val="007D35E1"/>
    <w:rsid w:val="007D35F2"/>
    <w:rsid w:val="007D35F6"/>
    <w:rsid w:val="007D3631"/>
    <w:rsid w:val="007D3723"/>
    <w:rsid w:val="007D390D"/>
    <w:rsid w:val="007D3AB1"/>
    <w:rsid w:val="007D3C05"/>
    <w:rsid w:val="007D3D64"/>
    <w:rsid w:val="007D3E12"/>
    <w:rsid w:val="007D3ED0"/>
    <w:rsid w:val="007D3F65"/>
    <w:rsid w:val="007D3FD2"/>
    <w:rsid w:val="007D40B6"/>
    <w:rsid w:val="007D40D6"/>
    <w:rsid w:val="007D40EB"/>
    <w:rsid w:val="007D40ED"/>
    <w:rsid w:val="007D415A"/>
    <w:rsid w:val="007D420E"/>
    <w:rsid w:val="007D42B9"/>
    <w:rsid w:val="007D43A9"/>
    <w:rsid w:val="007D43C7"/>
    <w:rsid w:val="007D4584"/>
    <w:rsid w:val="007D460D"/>
    <w:rsid w:val="007D46C1"/>
    <w:rsid w:val="007D46CD"/>
    <w:rsid w:val="007D471D"/>
    <w:rsid w:val="007D47AB"/>
    <w:rsid w:val="007D47C3"/>
    <w:rsid w:val="007D47D7"/>
    <w:rsid w:val="007D480F"/>
    <w:rsid w:val="007D4811"/>
    <w:rsid w:val="007D4915"/>
    <w:rsid w:val="007D4BB5"/>
    <w:rsid w:val="007D4C38"/>
    <w:rsid w:val="007D4ECB"/>
    <w:rsid w:val="007D4EEA"/>
    <w:rsid w:val="007D4EF2"/>
    <w:rsid w:val="007D4F12"/>
    <w:rsid w:val="007D4F86"/>
    <w:rsid w:val="007D5191"/>
    <w:rsid w:val="007D51AF"/>
    <w:rsid w:val="007D51E4"/>
    <w:rsid w:val="007D5250"/>
    <w:rsid w:val="007D5350"/>
    <w:rsid w:val="007D53D5"/>
    <w:rsid w:val="007D53F4"/>
    <w:rsid w:val="007D5599"/>
    <w:rsid w:val="007D55CE"/>
    <w:rsid w:val="007D55D1"/>
    <w:rsid w:val="007D5661"/>
    <w:rsid w:val="007D56DD"/>
    <w:rsid w:val="007D5746"/>
    <w:rsid w:val="007D5A5F"/>
    <w:rsid w:val="007D5A7C"/>
    <w:rsid w:val="007D5AAE"/>
    <w:rsid w:val="007D5B3F"/>
    <w:rsid w:val="007D5B89"/>
    <w:rsid w:val="007D5BE4"/>
    <w:rsid w:val="007D5C73"/>
    <w:rsid w:val="007D5CE5"/>
    <w:rsid w:val="007D5E8D"/>
    <w:rsid w:val="007D5E9A"/>
    <w:rsid w:val="007D5F07"/>
    <w:rsid w:val="007D5F46"/>
    <w:rsid w:val="007D606A"/>
    <w:rsid w:val="007D607C"/>
    <w:rsid w:val="007D625F"/>
    <w:rsid w:val="007D63C3"/>
    <w:rsid w:val="007D63FC"/>
    <w:rsid w:val="007D6400"/>
    <w:rsid w:val="007D645F"/>
    <w:rsid w:val="007D6499"/>
    <w:rsid w:val="007D64FD"/>
    <w:rsid w:val="007D6568"/>
    <w:rsid w:val="007D65A5"/>
    <w:rsid w:val="007D662D"/>
    <w:rsid w:val="007D66A2"/>
    <w:rsid w:val="007D679A"/>
    <w:rsid w:val="007D6983"/>
    <w:rsid w:val="007D6A14"/>
    <w:rsid w:val="007D6A7E"/>
    <w:rsid w:val="007D6A93"/>
    <w:rsid w:val="007D6AD1"/>
    <w:rsid w:val="007D6BF8"/>
    <w:rsid w:val="007D6C00"/>
    <w:rsid w:val="007D6C2A"/>
    <w:rsid w:val="007D6CBE"/>
    <w:rsid w:val="007D6D6F"/>
    <w:rsid w:val="007D6E0D"/>
    <w:rsid w:val="007D6F80"/>
    <w:rsid w:val="007D6F9A"/>
    <w:rsid w:val="007D6FB1"/>
    <w:rsid w:val="007D6FEC"/>
    <w:rsid w:val="007D701F"/>
    <w:rsid w:val="007D7125"/>
    <w:rsid w:val="007D71C4"/>
    <w:rsid w:val="007D71CB"/>
    <w:rsid w:val="007D7230"/>
    <w:rsid w:val="007D72BE"/>
    <w:rsid w:val="007D72C2"/>
    <w:rsid w:val="007D7393"/>
    <w:rsid w:val="007D7407"/>
    <w:rsid w:val="007D7436"/>
    <w:rsid w:val="007D766C"/>
    <w:rsid w:val="007D76A9"/>
    <w:rsid w:val="007D77BC"/>
    <w:rsid w:val="007D7834"/>
    <w:rsid w:val="007D7853"/>
    <w:rsid w:val="007D7869"/>
    <w:rsid w:val="007D78B8"/>
    <w:rsid w:val="007D7903"/>
    <w:rsid w:val="007D7B53"/>
    <w:rsid w:val="007D7C91"/>
    <w:rsid w:val="007D7CB0"/>
    <w:rsid w:val="007D7D8A"/>
    <w:rsid w:val="007D7E26"/>
    <w:rsid w:val="007D7E5B"/>
    <w:rsid w:val="007D7F47"/>
    <w:rsid w:val="007D7F90"/>
    <w:rsid w:val="007D7F91"/>
    <w:rsid w:val="007E023D"/>
    <w:rsid w:val="007E025C"/>
    <w:rsid w:val="007E03A0"/>
    <w:rsid w:val="007E0469"/>
    <w:rsid w:val="007E0643"/>
    <w:rsid w:val="007E0688"/>
    <w:rsid w:val="007E069B"/>
    <w:rsid w:val="007E06B9"/>
    <w:rsid w:val="007E0764"/>
    <w:rsid w:val="007E08AB"/>
    <w:rsid w:val="007E08C3"/>
    <w:rsid w:val="007E0975"/>
    <w:rsid w:val="007E0B6E"/>
    <w:rsid w:val="007E0B8B"/>
    <w:rsid w:val="007E0BB8"/>
    <w:rsid w:val="007E0C1A"/>
    <w:rsid w:val="007E0C25"/>
    <w:rsid w:val="007E0CBB"/>
    <w:rsid w:val="007E0CE9"/>
    <w:rsid w:val="007E0D04"/>
    <w:rsid w:val="007E0D55"/>
    <w:rsid w:val="007E0E92"/>
    <w:rsid w:val="007E0F79"/>
    <w:rsid w:val="007E105E"/>
    <w:rsid w:val="007E10CE"/>
    <w:rsid w:val="007E10E9"/>
    <w:rsid w:val="007E1269"/>
    <w:rsid w:val="007E1310"/>
    <w:rsid w:val="007E13A3"/>
    <w:rsid w:val="007E1449"/>
    <w:rsid w:val="007E1551"/>
    <w:rsid w:val="007E1608"/>
    <w:rsid w:val="007E1632"/>
    <w:rsid w:val="007E1706"/>
    <w:rsid w:val="007E1752"/>
    <w:rsid w:val="007E180A"/>
    <w:rsid w:val="007E18AC"/>
    <w:rsid w:val="007E1915"/>
    <w:rsid w:val="007E1949"/>
    <w:rsid w:val="007E197B"/>
    <w:rsid w:val="007E19A1"/>
    <w:rsid w:val="007E19F7"/>
    <w:rsid w:val="007E1B01"/>
    <w:rsid w:val="007E1B0D"/>
    <w:rsid w:val="007E1B81"/>
    <w:rsid w:val="007E1CB8"/>
    <w:rsid w:val="007E1D79"/>
    <w:rsid w:val="007E1D8D"/>
    <w:rsid w:val="007E1E2D"/>
    <w:rsid w:val="007E1FA7"/>
    <w:rsid w:val="007E1FBD"/>
    <w:rsid w:val="007E2078"/>
    <w:rsid w:val="007E2177"/>
    <w:rsid w:val="007E2197"/>
    <w:rsid w:val="007E220A"/>
    <w:rsid w:val="007E220C"/>
    <w:rsid w:val="007E2216"/>
    <w:rsid w:val="007E2266"/>
    <w:rsid w:val="007E2285"/>
    <w:rsid w:val="007E22B4"/>
    <w:rsid w:val="007E22E3"/>
    <w:rsid w:val="007E231F"/>
    <w:rsid w:val="007E233D"/>
    <w:rsid w:val="007E2378"/>
    <w:rsid w:val="007E24E2"/>
    <w:rsid w:val="007E2575"/>
    <w:rsid w:val="007E25CD"/>
    <w:rsid w:val="007E2614"/>
    <w:rsid w:val="007E267F"/>
    <w:rsid w:val="007E26FB"/>
    <w:rsid w:val="007E274F"/>
    <w:rsid w:val="007E2770"/>
    <w:rsid w:val="007E2839"/>
    <w:rsid w:val="007E2843"/>
    <w:rsid w:val="007E28B6"/>
    <w:rsid w:val="007E2909"/>
    <w:rsid w:val="007E2971"/>
    <w:rsid w:val="007E2A1A"/>
    <w:rsid w:val="007E2BCB"/>
    <w:rsid w:val="007E2C0D"/>
    <w:rsid w:val="007E2C25"/>
    <w:rsid w:val="007E2CEF"/>
    <w:rsid w:val="007E2D04"/>
    <w:rsid w:val="007E2D22"/>
    <w:rsid w:val="007E2E39"/>
    <w:rsid w:val="007E2E64"/>
    <w:rsid w:val="007E2FF3"/>
    <w:rsid w:val="007E301D"/>
    <w:rsid w:val="007E302C"/>
    <w:rsid w:val="007E3063"/>
    <w:rsid w:val="007E311B"/>
    <w:rsid w:val="007E318F"/>
    <w:rsid w:val="007E3275"/>
    <w:rsid w:val="007E337C"/>
    <w:rsid w:val="007E34F4"/>
    <w:rsid w:val="007E34FA"/>
    <w:rsid w:val="007E355C"/>
    <w:rsid w:val="007E35CA"/>
    <w:rsid w:val="007E369D"/>
    <w:rsid w:val="007E36C5"/>
    <w:rsid w:val="007E3748"/>
    <w:rsid w:val="007E3798"/>
    <w:rsid w:val="007E3834"/>
    <w:rsid w:val="007E3940"/>
    <w:rsid w:val="007E3A54"/>
    <w:rsid w:val="007E3AE6"/>
    <w:rsid w:val="007E3BB2"/>
    <w:rsid w:val="007E3C95"/>
    <w:rsid w:val="007E3DE7"/>
    <w:rsid w:val="007E3E3E"/>
    <w:rsid w:val="007E3E91"/>
    <w:rsid w:val="007E3F2D"/>
    <w:rsid w:val="007E3F83"/>
    <w:rsid w:val="007E4005"/>
    <w:rsid w:val="007E402F"/>
    <w:rsid w:val="007E4146"/>
    <w:rsid w:val="007E419F"/>
    <w:rsid w:val="007E41C2"/>
    <w:rsid w:val="007E41DF"/>
    <w:rsid w:val="007E430A"/>
    <w:rsid w:val="007E43BD"/>
    <w:rsid w:val="007E43F2"/>
    <w:rsid w:val="007E44A5"/>
    <w:rsid w:val="007E4621"/>
    <w:rsid w:val="007E4664"/>
    <w:rsid w:val="007E47B8"/>
    <w:rsid w:val="007E4805"/>
    <w:rsid w:val="007E4838"/>
    <w:rsid w:val="007E49BA"/>
    <w:rsid w:val="007E49EF"/>
    <w:rsid w:val="007E4A14"/>
    <w:rsid w:val="007E4AAD"/>
    <w:rsid w:val="007E4B07"/>
    <w:rsid w:val="007E4BAB"/>
    <w:rsid w:val="007E4BF7"/>
    <w:rsid w:val="007E4C29"/>
    <w:rsid w:val="007E4C80"/>
    <w:rsid w:val="007E4CB4"/>
    <w:rsid w:val="007E4CBD"/>
    <w:rsid w:val="007E4E96"/>
    <w:rsid w:val="007E4F00"/>
    <w:rsid w:val="007E4FA7"/>
    <w:rsid w:val="007E526D"/>
    <w:rsid w:val="007E52E3"/>
    <w:rsid w:val="007E5324"/>
    <w:rsid w:val="007E534F"/>
    <w:rsid w:val="007E5353"/>
    <w:rsid w:val="007E5381"/>
    <w:rsid w:val="007E54F7"/>
    <w:rsid w:val="007E554B"/>
    <w:rsid w:val="007E5557"/>
    <w:rsid w:val="007E566F"/>
    <w:rsid w:val="007E567E"/>
    <w:rsid w:val="007E5751"/>
    <w:rsid w:val="007E579B"/>
    <w:rsid w:val="007E57B2"/>
    <w:rsid w:val="007E586A"/>
    <w:rsid w:val="007E596C"/>
    <w:rsid w:val="007E5984"/>
    <w:rsid w:val="007E5A77"/>
    <w:rsid w:val="007E5ADE"/>
    <w:rsid w:val="007E5BBD"/>
    <w:rsid w:val="007E5C28"/>
    <w:rsid w:val="007E5D01"/>
    <w:rsid w:val="007E5D7E"/>
    <w:rsid w:val="007E5E66"/>
    <w:rsid w:val="007E5F05"/>
    <w:rsid w:val="007E5F4C"/>
    <w:rsid w:val="007E5F5B"/>
    <w:rsid w:val="007E6023"/>
    <w:rsid w:val="007E6087"/>
    <w:rsid w:val="007E60AD"/>
    <w:rsid w:val="007E60B4"/>
    <w:rsid w:val="007E60C9"/>
    <w:rsid w:val="007E6105"/>
    <w:rsid w:val="007E6173"/>
    <w:rsid w:val="007E6181"/>
    <w:rsid w:val="007E61AA"/>
    <w:rsid w:val="007E61B2"/>
    <w:rsid w:val="007E622C"/>
    <w:rsid w:val="007E62E6"/>
    <w:rsid w:val="007E6348"/>
    <w:rsid w:val="007E63E4"/>
    <w:rsid w:val="007E64CA"/>
    <w:rsid w:val="007E6535"/>
    <w:rsid w:val="007E6593"/>
    <w:rsid w:val="007E6595"/>
    <w:rsid w:val="007E6760"/>
    <w:rsid w:val="007E67FB"/>
    <w:rsid w:val="007E68A0"/>
    <w:rsid w:val="007E6938"/>
    <w:rsid w:val="007E6946"/>
    <w:rsid w:val="007E69A1"/>
    <w:rsid w:val="007E69CD"/>
    <w:rsid w:val="007E6B47"/>
    <w:rsid w:val="007E6BAB"/>
    <w:rsid w:val="007E6D4D"/>
    <w:rsid w:val="007E6D54"/>
    <w:rsid w:val="007E6D88"/>
    <w:rsid w:val="007E6DCB"/>
    <w:rsid w:val="007E6E4E"/>
    <w:rsid w:val="007E6F08"/>
    <w:rsid w:val="007E70BA"/>
    <w:rsid w:val="007E7142"/>
    <w:rsid w:val="007E71DA"/>
    <w:rsid w:val="007E7304"/>
    <w:rsid w:val="007E7396"/>
    <w:rsid w:val="007E74FC"/>
    <w:rsid w:val="007E7561"/>
    <w:rsid w:val="007E75B6"/>
    <w:rsid w:val="007E7616"/>
    <w:rsid w:val="007E7708"/>
    <w:rsid w:val="007E7745"/>
    <w:rsid w:val="007E77CE"/>
    <w:rsid w:val="007E7901"/>
    <w:rsid w:val="007E79BF"/>
    <w:rsid w:val="007E79E7"/>
    <w:rsid w:val="007E7A15"/>
    <w:rsid w:val="007E7A25"/>
    <w:rsid w:val="007E7A9D"/>
    <w:rsid w:val="007E7AEF"/>
    <w:rsid w:val="007E7B79"/>
    <w:rsid w:val="007E7C45"/>
    <w:rsid w:val="007E7D48"/>
    <w:rsid w:val="007E7F6C"/>
    <w:rsid w:val="007E7F71"/>
    <w:rsid w:val="007E7F8A"/>
    <w:rsid w:val="007E7F8C"/>
    <w:rsid w:val="007F00B6"/>
    <w:rsid w:val="007F00FD"/>
    <w:rsid w:val="007F0184"/>
    <w:rsid w:val="007F021A"/>
    <w:rsid w:val="007F0260"/>
    <w:rsid w:val="007F026A"/>
    <w:rsid w:val="007F0299"/>
    <w:rsid w:val="007F04DA"/>
    <w:rsid w:val="007F0699"/>
    <w:rsid w:val="007F07BE"/>
    <w:rsid w:val="007F0819"/>
    <w:rsid w:val="007F0A86"/>
    <w:rsid w:val="007F0B53"/>
    <w:rsid w:val="007F0B8B"/>
    <w:rsid w:val="007F0C03"/>
    <w:rsid w:val="007F0D4D"/>
    <w:rsid w:val="007F0FA3"/>
    <w:rsid w:val="007F0FD7"/>
    <w:rsid w:val="007F107C"/>
    <w:rsid w:val="007F10DC"/>
    <w:rsid w:val="007F10FC"/>
    <w:rsid w:val="007F111B"/>
    <w:rsid w:val="007F11C4"/>
    <w:rsid w:val="007F11E3"/>
    <w:rsid w:val="007F1343"/>
    <w:rsid w:val="007F13A1"/>
    <w:rsid w:val="007F13F0"/>
    <w:rsid w:val="007F14DC"/>
    <w:rsid w:val="007F159A"/>
    <w:rsid w:val="007F1622"/>
    <w:rsid w:val="007F1644"/>
    <w:rsid w:val="007F1771"/>
    <w:rsid w:val="007F17BD"/>
    <w:rsid w:val="007F17CD"/>
    <w:rsid w:val="007F183E"/>
    <w:rsid w:val="007F19C0"/>
    <w:rsid w:val="007F1A2A"/>
    <w:rsid w:val="007F1A2E"/>
    <w:rsid w:val="007F1A35"/>
    <w:rsid w:val="007F1A9D"/>
    <w:rsid w:val="007F1B3F"/>
    <w:rsid w:val="007F1B5C"/>
    <w:rsid w:val="007F1D94"/>
    <w:rsid w:val="007F1E3F"/>
    <w:rsid w:val="007F1E6B"/>
    <w:rsid w:val="007F2028"/>
    <w:rsid w:val="007F21B1"/>
    <w:rsid w:val="007F226A"/>
    <w:rsid w:val="007F22F1"/>
    <w:rsid w:val="007F2309"/>
    <w:rsid w:val="007F23F2"/>
    <w:rsid w:val="007F2464"/>
    <w:rsid w:val="007F2471"/>
    <w:rsid w:val="007F25D7"/>
    <w:rsid w:val="007F25E3"/>
    <w:rsid w:val="007F2659"/>
    <w:rsid w:val="007F268C"/>
    <w:rsid w:val="007F26CB"/>
    <w:rsid w:val="007F26DC"/>
    <w:rsid w:val="007F26F8"/>
    <w:rsid w:val="007F2781"/>
    <w:rsid w:val="007F2814"/>
    <w:rsid w:val="007F28CC"/>
    <w:rsid w:val="007F2959"/>
    <w:rsid w:val="007F2964"/>
    <w:rsid w:val="007F298F"/>
    <w:rsid w:val="007F2A74"/>
    <w:rsid w:val="007F2A8B"/>
    <w:rsid w:val="007F2B13"/>
    <w:rsid w:val="007F2BA5"/>
    <w:rsid w:val="007F2BE1"/>
    <w:rsid w:val="007F2CF4"/>
    <w:rsid w:val="007F2D24"/>
    <w:rsid w:val="007F2EB7"/>
    <w:rsid w:val="007F312C"/>
    <w:rsid w:val="007F31B1"/>
    <w:rsid w:val="007F323E"/>
    <w:rsid w:val="007F326D"/>
    <w:rsid w:val="007F3340"/>
    <w:rsid w:val="007F3491"/>
    <w:rsid w:val="007F352E"/>
    <w:rsid w:val="007F3597"/>
    <w:rsid w:val="007F35B7"/>
    <w:rsid w:val="007F374D"/>
    <w:rsid w:val="007F376E"/>
    <w:rsid w:val="007F3777"/>
    <w:rsid w:val="007F3780"/>
    <w:rsid w:val="007F37D1"/>
    <w:rsid w:val="007F3812"/>
    <w:rsid w:val="007F3852"/>
    <w:rsid w:val="007F3940"/>
    <w:rsid w:val="007F3980"/>
    <w:rsid w:val="007F39DC"/>
    <w:rsid w:val="007F39E9"/>
    <w:rsid w:val="007F3A73"/>
    <w:rsid w:val="007F3AA8"/>
    <w:rsid w:val="007F3AC0"/>
    <w:rsid w:val="007F3BA4"/>
    <w:rsid w:val="007F3BFA"/>
    <w:rsid w:val="007F3C33"/>
    <w:rsid w:val="007F3C3A"/>
    <w:rsid w:val="007F3C6C"/>
    <w:rsid w:val="007F3CDE"/>
    <w:rsid w:val="007F3D42"/>
    <w:rsid w:val="007F3DE0"/>
    <w:rsid w:val="007F3E23"/>
    <w:rsid w:val="007F3E64"/>
    <w:rsid w:val="007F3E74"/>
    <w:rsid w:val="007F3EBE"/>
    <w:rsid w:val="007F3EE8"/>
    <w:rsid w:val="007F3EF6"/>
    <w:rsid w:val="007F3F61"/>
    <w:rsid w:val="007F3FE5"/>
    <w:rsid w:val="007F4027"/>
    <w:rsid w:val="007F40B2"/>
    <w:rsid w:val="007F4114"/>
    <w:rsid w:val="007F4185"/>
    <w:rsid w:val="007F41A0"/>
    <w:rsid w:val="007F4266"/>
    <w:rsid w:val="007F43F7"/>
    <w:rsid w:val="007F4404"/>
    <w:rsid w:val="007F4475"/>
    <w:rsid w:val="007F4525"/>
    <w:rsid w:val="007F4576"/>
    <w:rsid w:val="007F4593"/>
    <w:rsid w:val="007F45B1"/>
    <w:rsid w:val="007F45DE"/>
    <w:rsid w:val="007F4660"/>
    <w:rsid w:val="007F479A"/>
    <w:rsid w:val="007F488E"/>
    <w:rsid w:val="007F4A2A"/>
    <w:rsid w:val="007F4A79"/>
    <w:rsid w:val="007F4B04"/>
    <w:rsid w:val="007F4EEE"/>
    <w:rsid w:val="007F4FC1"/>
    <w:rsid w:val="007F5072"/>
    <w:rsid w:val="007F50FB"/>
    <w:rsid w:val="007F51CB"/>
    <w:rsid w:val="007F5227"/>
    <w:rsid w:val="007F526D"/>
    <w:rsid w:val="007F5299"/>
    <w:rsid w:val="007F52D7"/>
    <w:rsid w:val="007F52E0"/>
    <w:rsid w:val="007F5549"/>
    <w:rsid w:val="007F5581"/>
    <w:rsid w:val="007F5590"/>
    <w:rsid w:val="007F56E8"/>
    <w:rsid w:val="007F5711"/>
    <w:rsid w:val="007F5829"/>
    <w:rsid w:val="007F5888"/>
    <w:rsid w:val="007F58E7"/>
    <w:rsid w:val="007F59D3"/>
    <w:rsid w:val="007F5BF0"/>
    <w:rsid w:val="007F5C9C"/>
    <w:rsid w:val="007F5CC7"/>
    <w:rsid w:val="007F5CEB"/>
    <w:rsid w:val="007F5DC4"/>
    <w:rsid w:val="007F5DC6"/>
    <w:rsid w:val="007F5DE1"/>
    <w:rsid w:val="007F5DE8"/>
    <w:rsid w:val="007F5ECF"/>
    <w:rsid w:val="007F5F12"/>
    <w:rsid w:val="007F5F2C"/>
    <w:rsid w:val="007F5F35"/>
    <w:rsid w:val="007F5F98"/>
    <w:rsid w:val="007F6000"/>
    <w:rsid w:val="007F60AB"/>
    <w:rsid w:val="007F62BF"/>
    <w:rsid w:val="007F62F5"/>
    <w:rsid w:val="007F65CD"/>
    <w:rsid w:val="007F6724"/>
    <w:rsid w:val="007F678F"/>
    <w:rsid w:val="007F67F0"/>
    <w:rsid w:val="007F6805"/>
    <w:rsid w:val="007F688E"/>
    <w:rsid w:val="007F6A09"/>
    <w:rsid w:val="007F6A99"/>
    <w:rsid w:val="007F6AE7"/>
    <w:rsid w:val="007F6B26"/>
    <w:rsid w:val="007F6B96"/>
    <w:rsid w:val="007F6BB3"/>
    <w:rsid w:val="007F6BDC"/>
    <w:rsid w:val="007F6C80"/>
    <w:rsid w:val="007F6C82"/>
    <w:rsid w:val="007F6FFC"/>
    <w:rsid w:val="007F7058"/>
    <w:rsid w:val="007F70C7"/>
    <w:rsid w:val="007F70DD"/>
    <w:rsid w:val="007F7138"/>
    <w:rsid w:val="007F71B6"/>
    <w:rsid w:val="007F7297"/>
    <w:rsid w:val="007F7348"/>
    <w:rsid w:val="007F734F"/>
    <w:rsid w:val="007F7374"/>
    <w:rsid w:val="007F73A8"/>
    <w:rsid w:val="007F7532"/>
    <w:rsid w:val="007F7556"/>
    <w:rsid w:val="007F756D"/>
    <w:rsid w:val="007F75E3"/>
    <w:rsid w:val="007F7681"/>
    <w:rsid w:val="007F785B"/>
    <w:rsid w:val="007F7872"/>
    <w:rsid w:val="007F78CE"/>
    <w:rsid w:val="007F7913"/>
    <w:rsid w:val="007F7935"/>
    <w:rsid w:val="007F7938"/>
    <w:rsid w:val="007F7993"/>
    <w:rsid w:val="007F7996"/>
    <w:rsid w:val="007F7AAF"/>
    <w:rsid w:val="007F7AE9"/>
    <w:rsid w:val="007F7B0B"/>
    <w:rsid w:val="007F7B0F"/>
    <w:rsid w:val="007F7B10"/>
    <w:rsid w:val="007F7B9E"/>
    <w:rsid w:val="007F7C4B"/>
    <w:rsid w:val="007F7C7C"/>
    <w:rsid w:val="007F7CD0"/>
    <w:rsid w:val="007F7D34"/>
    <w:rsid w:val="007F7D9F"/>
    <w:rsid w:val="007F7DB9"/>
    <w:rsid w:val="007F7E45"/>
    <w:rsid w:val="007F7EF9"/>
    <w:rsid w:val="007F7EFE"/>
    <w:rsid w:val="007F7FC1"/>
    <w:rsid w:val="007F7FF8"/>
    <w:rsid w:val="0080000D"/>
    <w:rsid w:val="0080001E"/>
    <w:rsid w:val="0080005D"/>
    <w:rsid w:val="008000FB"/>
    <w:rsid w:val="00800114"/>
    <w:rsid w:val="00800152"/>
    <w:rsid w:val="0080023E"/>
    <w:rsid w:val="00800284"/>
    <w:rsid w:val="0080028A"/>
    <w:rsid w:val="0080028D"/>
    <w:rsid w:val="008003BF"/>
    <w:rsid w:val="00800408"/>
    <w:rsid w:val="0080048A"/>
    <w:rsid w:val="00800515"/>
    <w:rsid w:val="0080055B"/>
    <w:rsid w:val="00800606"/>
    <w:rsid w:val="008006C7"/>
    <w:rsid w:val="0080073E"/>
    <w:rsid w:val="008007AB"/>
    <w:rsid w:val="008007F6"/>
    <w:rsid w:val="0080087D"/>
    <w:rsid w:val="008008E7"/>
    <w:rsid w:val="00800A31"/>
    <w:rsid w:val="00800A5E"/>
    <w:rsid w:val="00800B6C"/>
    <w:rsid w:val="00800C53"/>
    <w:rsid w:val="00800C9E"/>
    <w:rsid w:val="00800CC9"/>
    <w:rsid w:val="00800CE2"/>
    <w:rsid w:val="00800DBA"/>
    <w:rsid w:val="00800EF5"/>
    <w:rsid w:val="00800F6E"/>
    <w:rsid w:val="0080107A"/>
    <w:rsid w:val="00801110"/>
    <w:rsid w:val="00801157"/>
    <w:rsid w:val="00801447"/>
    <w:rsid w:val="008014DE"/>
    <w:rsid w:val="0080156C"/>
    <w:rsid w:val="0080157D"/>
    <w:rsid w:val="008015C0"/>
    <w:rsid w:val="00801603"/>
    <w:rsid w:val="00801689"/>
    <w:rsid w:val="00801694"/>
    <w:rsid w:val="0080169C"/>
    <w:rsid w:val="00801798"/>
    <w:rsid w:val="00801800"/>
    <w:rsid w:val="008018C4"/>
    <w:rsid w:val="008019E6"/>
    <w:rsid w:val="00801A25"/>
    <w:rsid w:val="00801BDC"/>
    <w:rsid w:val="00801C40"/>
    <w:rsid w:val="00801C6B"/>
    <w:rsid w:val="00801CE9"/>
    <w:rsid w:val="00801E15"/>
    <w:rsid w:val="00801E2B"/>
    <w:rsid w:val="00801ED0"/>
    <w:rsid w:val="00801EF8"/>
    <w:rsid w:val="00801EFF"/>
    <w:rsid w:val="00801F62"/>
    <w:rsid w:val="00802011"/>
    <w:rsid w:val="00802031"/>
    <w:rsid w:val="0080208C"/>
    <w:rsid w:val="008020E5"/>
    <w:rsid w:val="008021B9"/>
    <w:rsid w:val="00802217"/>
    <w:rsid w:val="00802337"/>
    <w:rsid w:val="00802361"/>
    <w:rsid w:val="00802382"/>
    <w:rsid w:val="00802395"/>
    <w:rsid w:val="00802398"/>
    <w:rsid w:val="008024C6"/>
    <w:rsid w:val="008024F2"/>
    <w:rsid w:val="00802531"/>
    <w:rsid w:val="0080253A"/>
    <w:rsid w:val="008025A5"/>
    <w:rsid w:val="00802600"/>
    <w:rsid w:val="0080274A"/>
    <w:rsid w:val="0080280D"/>
    <w:rsid w:val="00802822"/>
    <w:rsid w:val="008028BA"/>
    <w:rsid w:val="00802932"/>
    <w:rsid w:val="0080299D"/>
    <w:rsid w:val="008029F8"/>
    <w:rsid w:val="00802A1C"/>
    <w:rsid w:val="00802A49"/>
    <w:rsid w:val="00802A4B"/>
    <w:rsid w:val="00802B4F"/>
    <w:rsid w:val="00802B66"/>
    <w:rsid w:val="00802C2C"/>
    <w:rsid w:val="00802D65"/>
    <w:rsid w:val="00802E00"/>
    <w:rsid w:val="00802E43"/>
    <w:rsid w:val="0080324A"/>
    <w:rsid w:val="00803319"/>
    <w:rsid w:val="00803380"/>
    <w:rsid w:val="00803398"/>
    <w:rsid w:val="00803520"/>
    <w:rsid w:val="0080354F"/>
    <w:rsid w:val="0080360E"/>
    <w:rsid w:val="0080368D"/>
    <w:rsid w:val="008036B4"/>
    <w:rsid w:val="008036F7"/>
    <w:rsid w:val="008037EA"/>
    <w:rsid w:val="00803831"/>
    <w:rsid w:val="00803836"/>
    <w:rsid w:val="0080394C"/>
    <w:rsid w:val="00803A4B"/>
    <w:rsid w:val="00803C14"/>
    <w:rsid w:val="00803C64"/>
    <w:rsid w:val="00803CEB"/>
    <w:rsid w:val="00803CFB"/>
    <w:rsid w:val="00803D3A"/>
    <w:rsid w:val="00803D5F"/>
    <w:rsid w:val="00803D60"/>
    <w:rsid w:val="00803D9B"/>
    <w:rsid w:val="00803DCB"/>
    <w:rsid w:val="00803E81"/>
    <w:rsid w:val="00803ECE"/>
    <w:rsid w:val="00803F31"/>
    <w:rsid w:val="00803FC0"/>
    <w:rsid w:val="00804023"/>
    <w:rsid w:val="0080402E"/>
    <w:rsid w:val="00804049"/>
    <w:rsid w:val="00804065"/>
    <w:rsid w:val="008040E0"/>
    <w:rsid w:val="008041E2"/>
    <w:rsid w:val="008041FD"/>
    <w:rsid w:val="008042B8"/>
    <w:rsid w:val="008042E6"/>
    <w:rsid w:val="0080434C"/>
    <w:rsid w:val="00804381"/>
    <w:rsid w:val="00804382"/>
    <w:rsid w:val="008043CB"/>
    <w:rsid w:val="008043E6"/>
    <w:rsid w:val="008045F5"/>
    <w:rsid w:val="00804662"/>
    <w:rsid w:val="0080466C"/>
    <w:rsid w:val="008046FD"/>
    <w:rsid w:val="008047A7"/>
    <w:rsid w:val="008047FB"/>
    <w:rsid w:val="00804801"/>
    <w:rsid w:val="00804851"/>
    <w:rsid w:val="008048D0"/>
    <w:rsid w:val="00804956"/>
    <w:rsid w:val="008049D7"/>
    <w:rsid w:val="00804A10"/>
    <w:rsid w:val="00804AA3"/>
    <w:rsid w:val="00804B58"/>
    <w:rsid w:val="00804C32"/>
    <w:rsid w:val="00804C41"/>
    <w:rsid w:val="00804DA2"/>
    <w:rsid w:val="00804E8E"/>
    <w:rsid w:val="00804F4E"/>
    <w:rsid w:val="00804F9D"/>
    <w:rsid w:val="0080500E"/>
    <w:rsid w:val="00805068"/>
    <w:rsid w:val="00805090"/>
    <w:rsid w:val="00805105"/>
    <w:rsid w:val="0080514B"/>
    <w:rsid w:val="0080516E"/>
    <w:rsid w:val="00805176"/>
    <w:rsid w:val="0080529F"/>
    <w:rsid w:val="008052D5"/>
    <w:rsid w:val="008052FC"/>
    <w:rsid w:val="00805362"/>
    <w:rsid w:val="0080543E"/>
    <w:rsid w:val="0080547D"/>
    <w:rsid w:val="00805722"/>
    <w:rsid w:val="00805845"/>
    <w:rsid w:val="008058C0"/>
    <w:rsid w:val="008058D6"/>
    <w:rsid w:val="00805900"/>
    <w:rsid w:val="008059B4"/>
    <w:rsid w:val="008059B9"/>
    <w:rsid w:val="008059D8"/>
    <w:rsid w:val="00805AA3"/>
    <w:rsid w:val="00805B32"/>
    <w:rsid w:val="00805C64"/>
    <w:rsid w:val="00805CB1"/>
    <w:rsid w:val="00805D81"/>
    <w:rsid w:val="00805E41"/>
    <w:rsid w:val="00805E71"/>
    <w:rsid w:val="00805E85"/>
    <w:rsid w:val="00805FDA"/>
    <w:rsid w:val="00806063"/>
    <w:rsid w:val="00806097"/>
    <w:rsid w:val="008060FA"/>
    <w:rsid w:val="00806368"/>
    <w:rsid w:val="00806377"/>
    <w:rsid w:val="00806391"/>
    <w:rsid w:val="008063F7"/>
    <w:rsid w:val="00806453"/>
    <w:rsid w:val="00806528"/>
    <w:rsid w:val="008065E7"/>
    <w:rsid w:val="00806752"/>
    <w:rsid w:val="008067A7"/>
    <w:rsid w:val="008067E7"/>
    <w:rsid w:val="0080687C"/>
    <w:rsid w:val="00806922"/>
    <w:rsid w:val="008069DC"/>
    <w:rsid w:val="00806A51"/>
    <w:rsid w:val="00806A74"/>
    <w:rsid w:val="00806A77"/>
    <w:rsid w:val="00806A81"/>
    <w:rsid w:val="00806ACB"/>
    <w:rsid w:val="00806B87"/>
    <w:rsid w:val="00806BB4"/>
    <w:rsid w:val="00806BDE"/>
    <w:rsid w:val="00806C1A"/>
    <w:rsid w:val="00806CA6"/>
    <w:rsid w:val="00806CB1"/>
    <w:rsid w:val="00806D24"/>
    <w:rsid w:val="00806E0E"/>
    <w:rsid w:val="00806E33"/>
    <w:rsid w:val="00806E6C"/>
    <w:rsid w:val="00806EAC"/>
    <w:rsid w:val="0080710A"/>
    <w:rsid w:val="008071AC"/>
    <w:rsid w:val="00807289"/>
    <w:rsid w:val="00807317"/>
    <w:rsid w:val="00807340"/>
    <w:rsid w:val="0080735A"/>
    <w:rsid w:val="00807405"/>
    <w:rsid w:val="00807506"/>
    <w:rsid w:val="00807528"/>
    <w:rsid w:val="0080753B"/>
    <w:rsid w:val="00807599"/>
    <w:rsid w:val="008075E3"/>
    <w:rsid w:val="00807604"/>
    <w:rsid w:val="008076FB"/>
    <w:rsid w:val="0080774B"/>
    <w:rsid w:val="00807793"/>
    <w:rsid w:val="00807829"/>
    <w:rsid w:val="0080796E"/>
    <w:rsid w:val="00807A16"/>
    <w:rsid w:val="00807A4D"/>
    <w:rsid w:val="00807B0C"/>
    <w:rsid w:val="00807B0D"/>
    <w:rsid w:val="00807B0E"/>
    <w:rsid w:val="00807B61"/>
    <w:rsid w:val="00807C51"/>
    <w:rsid w:val="00807C5F"/>
    <w:rsid w:val="00807C8E"/>
    <w:rsid w:val="00807CAE"/>
    <w:rsid w:val="00807EC4"/>
    <w:rsid w:val="00807F7E"/>
    <w:rsid w:val="00807F89"/>
    <w:rsid w:val="00807FE3"/>
    <w:rsid w:val="0080A684"/>
    <w:rsid w:val="008100A3"/>
    <w:rsid w:val="008100A4"/>
    <w:rsid w:val="00810139"/>
    <w:rsid w:val="008101C0"/>
    <w:rsid w:val="008102D9"/>
    <w:rsid w:val="0081032D"/>
    <w:rsid w:val="00810387"/>
    <w:rsid w:val="008103B2"/>
    <w:rsid w:val="008103CE"/>
    <w:rsid w:val="00810465"/>
    <w:rsid w:val="0081048D"/>
    <w:rsid w:val="0081079E"/>
    <w:rsid w:val="008107CD"/>
    <w:rsid w:val="00810813"/>
    <w:rsid w:val="00810A1D"/>
    <w:rsid w:val="00810A37"/>
    <w:rsid w:val="00810AC9"/>
    <w:rsid w:val="00810B33"/>
    <w:rsid w:val="00810B67"/>
    <w:rsid w:val="00810CA0"/>
    <w:rsid w:val="00810CDD"/>
    <w:rsid w:val="00810E10"/>
    <w:rsid w:val="00810EA7"/>
    <w:rsid w:val="00810F34"/>
    <w:rsid w:val="0081108B"/>
    <w:rsid w:val="00811122"/>
    <w:rsid w:val="0081121C"/>
    <w:rsid w:val="00811360"/>
    <w:rsid w:val="00811414"/>
    <w:rsid w:val="008115D9"/>
    <w:rsid w:val="0081162D"/>
    <w:rsid w:val="0081165C"/>
    <w:rsid w:val="00811707"/>
    <w:rsid w:val="0081182E"/>
    <w:rsid w:val="0081187B"/>
    <w:rsid w:val="008118FA"/>
    <w:rsid w:val="00811948"/>
    <w:rsid w:val="00811A4C"/>
    <w:rsid w:val="00811B70"/>
    <w:rsid w:val="00811C54"/>
    <w:rsid w:val="00811E1B"/>
    <w:rsid w:val="00811FDD"/>
    <w:rsid w:val="00811FF6"/>
    <w:rsid w:val="00812019"/>
    <w:rsid w:val="008120E5"/>
    <w:rsid w:val="00812128"/>
    <w:rsid w:val="00812187"/>
    <w:rsid w:val="008122AD"/>
    <w:rsid w:val="00812351"/>
    <w:rsid w:val="0081241C"/>
    <w:rsid w:val="00812451"/>
    <w:rsid w:val="008124A4"/>
    <w:rsid w:val="008124EF"/>
    <w:rsid w:val="0081251F"/>
    <w:rsid w:val="008125AA"/>
    <w:rsid w:val="0081268F"/>
    <w:rsid w:val="008126F6"/>
    <w:rsid w:val="0081285C"/>
    <w:rsid w:val="008128B6"/>
    <w:rsid w:val="008128C4"/>
    <w:rsid w:val="008129E7"/>
    <w:rsid w:val="00812A23"/>
    <w:rsid w:val="00812B41"/>
    <w:rsid w:val="00812B85"/>
    <w:rsid w:val="00812C54"/>
    <w:rsid w:val="00812D7F"/>
    <w:rsid w:val="00812E5A"/>
    <w:rsid w:val="00812EDB"/>
    <w:rsid w:val="0081302C"/>
    <w:rsid w:val="00813067"/>
    <w:rsid w:val="008130DA"/>
    <w:rsid w:val="00813101"/>
    <w:rsid w:val="008131D3"/>
    <w:rsid w:val="008132D4"/>
    <w:rsid w:val="008132DA"/>
    <w:rsid w:val="008132DF"/>
    <w:rsid w:val="00813340"/>
    <w:rsid w:val="0081334E"/>
    <w:rsid w:val="008133E3"/>
    <w:rsid w:val="00813487"/>
    <w:rsid w:val="00813644"/>
    <w:rsid w:val="0081376E"/>
    <w:rsid w:val="008137A8"/>
    <w:rsid w:val="008138D7"/>
    <w:rsid w:val="008138F6"/>
    <w:rsid w:val="008139A9"/>
    <w:rsid w:val="008139FB"/>
    <w:rsid w:val="00813A28"/>
    <w:rsid w:val="00813A9A"/>
    <w:rsid w:val="00813AE6"/>
    <w:rsid w:val="00813BBC"/>
    <w:rsid w:val="00813CC2"/>
    <w:rsid w:val="00813D62"/>
    <w:rsid w:val="00813D7B"/>
    <w:rsid w:val="00813E46"/>
    <w:rsid w:val="00813E8A"/>
    <w:rsid w:val="00813E9E"/>
    <w:rsid w:val="00813EB8"/>
    <w:rsid w:val="00813F0D"/>
    <w:rsid w:val="00814005"/>
    <w:rsid w:val="00814146"/>
    <w:rsid w:val="008141D8"/>
    <w:rsid w:val="00814353"/>
    <w:rsid w:val="00814395"/>
    <w:rsid w:val="008144C1"/>
    <w:rsid w:val="0081450D"/>
    <w:rsid w:val="008145B4"/>
    <w:rsid w:val="008145BD"/>
    <w:rsid w:val="00814611"/>
    <w:rsid w:val="008148FF"/>
    <w:rsid w:val="008149A8"/>
    <w:rsid w:val="00814AD8"/>
    <w:rsid w:val="00814ADA"/>
    <w:rsid w:val="00814B17"/>
    <w:rsid w:val="00814BC1"/>
    <w:rsid w:val="00814C28"/>
    <w:rsid w:val="00814C2F"/>
    <w:rsid w:val="00814CD1"/>
    <w:rsid w:val="00814CF0"/>
    <w:rsid w:val="00814D24"/>
    <w:rsid w:val="00814E3F"/>
    <w:rsid w:val="0081503E"/>
    <w:rsid w:val="008150C5"/>
    <w:rsid w:val="008151CC"/>
    <w:rsid w:val="008151E1"/>
    <w:rsid w:val="00815274"/>
    <w:rsid w:val="0081529F"/>
    <w:rsid w:val="008153E2"/>
    <w:rsid w:val="00815425"/>
    <w:rsid w:val="00815587"/>
    <w:rsid w:val="0081558F"/>
    <w:rsid w:val="008156DF"/>
    <w:rsid w:val="0081582E"/>
    <w:rsid w:val="00815845"/>
    <w:rsid w:val="008158D1"/>
    <w:rsid w:val="008158E7"/>
    <w:rsid w:val="008159DD"/>
    <w:rsid w:val="00815A64"/>
    <w:rsid w:val="00815B1E"/>
    <w:rsid w:val="00815B2B"/>
    <w:rsid w:val="00815BCD"/>
    <w:rsid w:val="00815BFF"/>
    <w:rsid w:val="00815C28"/>
    <w:rsid w:val="00815C3D"/>
    <w:rsid w:val="00815DC4"/>
    <w:rsid w:val="00815DD8"/>
    <w:rsid w:val="00815DE2"/>
    <w:rsid w:val="00815F08"/>
    <w:rsid w:val="0081609F"/>
    <w:rsid w:val="008160E0"/>
    <w:rsid w:val="00816112"/>
    <w:rsid w:val="00816162"/>
    <w:rsid w:val="0081621E"/>
    <w:rsid w:val="00816273"/>
    <w:rsid w:val="008162CD"/>
    <w:rsid w:val="00816307"/>
    <w:rsid w:val="00816354"/>
    <w:rsid w:val="008163C8"/>
    <w:rsid w:val="008163D8"/>
    <w:rsid w:val="008164BC"/>
    <w:rsid w:val="008164C0"/>
    <w:rsid w:val="00816535"/>
    <w:rsid w:val="00816684"/>
    <w:rsid w:val="008166BB"/>
    <w:rsid w:val="0081672A"/>
    <w:rsid w:val="0081676B"/>
    <w:rsid w:val="00816774"/>
    <w:rsid w:val="0081678B"/>
    <w:rsid w:val="00816972"/>
    <w:rsid w:val="00816A90"/>
    <w:rsid w:val="00816C8D"/>
    <w:rsid w:val="00816D02"/>
    <w:rsid w:val="00816D25"/>
    <w:rsid w:val="00816D9A"/>
    <w:rsid w:val="00816E08"/>
    <w:rsid w:val="00816E59"/>
    <w:rsid w:val="00816E68"/>
    <w:rsid w:val="00816F4F"/>
    <w:rsid w:val="00816FBE"/>
    <w:rsid w:val="0081708C"/>
    <w:rsid w:val="00817146"/>
    <w:rsid w:val="008171C2"/>
    <w:rsid w:val="0081721D"/>
    <w:rsid w:val="008172D1"/>
    <w:rsid w:val="0081731C"/>
    <w:rsid w:val="008174AD"/>
    <w:rsid w:val="0081771C"/>
    <w:rsid w:val="00817720"/>
    <w:rsid w:val="00817763"/>
    <w:rsid w:val="008177CD"/>
    <w:rsid w:val="008178F9"/>
    <w:rsid w:val="00817A31"/>
    <w:rsid w:val="00817A41"/>
    <w:rsid w:val="00817AD8"/>
    <w:rsid w:val="00817B13"/>
    <w:rsid w:val="00817B79"/>
    <w:rsid w:val="00817C9E"/>
    <w:rsid w:val="00817CA5"/>
    <w:rsid w:val="00817D6E"/>
    <w:rsid w:val="00817E08"/>
    <w:rsid w:val="00817E1C"/>
    <w:rsid w:val="00817E21"/>
    <w:rsid w:val="00817FD2"/>
    <w:rsid w:val="00820032"/>
    <w:rsid w:val="008200F4"/>
    <w:rsid w:val="0082013D"/>
    <w:rsid w:val="008201F9"/>
    <w:rsid w:val="008204E3"/>
    <w:rsid w:val="0082052A"/>
    <w:rsid w:val="00820541"/>
    <w:rsid w:val="00820637"/>
    <w:rsid w:val="00820737"/>
    <w:rsid w:val="00820753"/>
    <w:rsid w:val="00820766"/>
    <w:rsid w:val="008207DA"/>
    <w:rsid w:val="00820812"/>
    <w:rsid w:val="00820881"/>
    <w:rsid w:val="008208EA"/>
    <w:rsid w:val="00820927"/>
    <w:rsid w:val="00820944"/>
    <w:rsid w:val="0082097D"/>
    <w:rsid w:val="008209F9"/>
    <w:rsid w:val="00820A0C"/>
    <w:rsid w:val="00820A5E"/>
    <w:rsid w:val="00820A7D"/>
    <w:rsid w:val="00820ACF"/>
    <w:rsid w:val="00820B13"/>
    <w:rsid w:val="00820B25"/>
    <w:rsid w:val="00820B41"/>
    <w:rsid w:val="00820C1F"/>
    <w:rsid w:val="00820C2E"/>
    <w:rsid w:val="00820C42"/>
    <w:rsid w:val="00820E84"/>
    <w:rsid w:val="00820E8F"/>
    <w:rsid w:val="00820EAC"/>
    <w:rsid w:val="008210D1"/>
    <w:rsid w:val="008210E1"/>
    <w:rsid w:val="008211A3"/>
    <w:rsid w:val="0082123F"/>
    <w:rsid w:val="00821248"/>
    <w:rsid w:val="00821362"/>
    <w:rsid w:val="00821372"/>
    <w:rsid w:val="008213C6"/>
    <w:rsid w:val="00821432"/>
    <w:rsid w:val="0082143D"/>
    <w:rsid w:val="0082144A"/>
    <w:rsid w:val="0082152B"/>
    <w:rsid w:val="0082161E"/>
    <w:rsid w:val="00821719"/>
    <w:rsid w:val="0082174E"/>
    <w:rsid w:val="0082177E"/>
    <w:rsid w:val="008219F1"/>
    <w:rsid w:val="00821A09"/>
    <w:rsid w:val="00821B2D"/>
    <w:rsid w:val="00821B4D"/>
    <w:rsid w:val="00821C54"/>
    <w:rsid w:val="00821C9B"/>
    <w:rsid w:val="00821CFB"/>
    <w:rsid w:val="00821D07"/>
    <w:rsid w:val="00821E93"/>
    <w:rsid w:val="00821FA3"/>
    <w:rsid w:val="00822023"/>
    <w:rsid w:val="00822100"/>
    <w:rsid w:val="00822102"/>
    <w:rsid w:val="00822156"/>
    <w:rsid w:val="008221A4"/>
    <w:rsid w:val="008221EE"/>
    <w:rsid w:val="008221FE"/>
    <w:rsid w:val="00822283"/>
    <w:rsid w:val="008222C8"/>
    <w:rsid w:val="00822445"/>
    <w:rsid w:val="0082244D"/>
    <w:rsid w:val="008224B9"/>
    <w:rsid w:val="0082268F"/>
    <w:rsid w:val="008227E6"/>
    <w:rsid w:val="0082284C"/>
    <w:rsid w:val="008228E6"/>
    <w:rsid w:val="00822946"/>
    <w:rsid w:val="00822AFF"/>
    <w:rsid w:val="00822B1C"/>
    <w:rsid w:val="00822C33"/>
    <w:rsid w:val="00822C53"/>
    <w:rsid w:val="00822C80"/>
    <w:rsid w:val="00822C96"/>
    <w:rsid w:val="00822D10"/>
    <w:rsid w:val="00822D89"/>
    <w:rsid w:val="00822D97"/>
    <w:rsid w:val="00822DCC"/>
    <w:rsid w:val="00822DDE"/>
    <w:rsid w:val="00822E0D"/>
    <w:rsid w:val="00822E79"/>
    <w:rsid w:val="00822E84"/>
    <w:rsid w:val="00822E97"/>
    <w:rsid w:val="00822F4D"/>
    <w:rsid w:val="00822F7A"/>
    <w:rsid w:val="00822F9F"/>
    <w:rsid w:val="00822FBA"/>
    <w:rsid w:val="00823006"/>
    <w:rsid w:val="008230BA"/>
    <w:rsid w:val="008231A0"/>
    <w:rsid w:val="008231A8"/>
    <w:rsid w:val="008231C6"/>
    <w:rsid w:val="008232A4"/>
    <w:rsid w:val="008232F6"/>
    <w:rsid w:val="00823375"/>
    <w:rsid w:val="00823388"/>
    <w:rsid w:val="008234EB"/>
    <w:rsid w:val="008235AE"/>
    <w:rsid w:val="0082363C"/>
    <w:rsid w:val="0082365B"/>
    <w:rsid w:val="00823661"/>
    <w:rsid w:val="008236C4"/>
    <w:rsid w:val="008236FC"/>
    <w:rsid w:val="008237C2"/>
    <w:rsid w:val="0082392F"/>
    <w:rsid w:val="008239D7"/>
    <w:rsid w:val="00823AE9"/>
    <w:rsid w:val="00823BB6"/>
    <w:rsid w:val="00823CF7"/>
    <w:rsid w:val="00823E3A"/>
    <w:rsid w:val="00823EA2"/>
    <w:rsid w:val="00823F17"/>
    <w:rsid w:val="00823FBF"/>
    <w:rsid w:val="00824453"/>
    <w:rsid w:val="00824486"/>
    <w:rsid w:val="00824522"/>
    <w:rsid w:val="0082463E"/>
    <w:rsid w:val="00824656"/>
    <w:rsid w:val="00824711"/>
    <w:rsid w:val="00824721"/>
    <w:rsid w:val="00824754"/>
    <w:rsid w:val="0082475E"/>
    <w:rsid w:val="00824760"/>
    <w:rsid w:val="008248A8"/>
    <w:rsid w:val="008248B5"/>
    <w:rsid w:val="008249BE"/>
    <w:rsid w:val="00824A68"/>
    <w:rsid w:val="00824B1A"/>
    <w:rsid w:val="00824B38"/>
    <w:rsid w:val="00824C1C"/>
    <w:rsid w:val="00824CA5"/>
    <w:rsid w:val="00824CB7"/>
    <w:rsid w:val="00824DDC"/>
    <w:rsid w:val="00824E5A"/>
    <w:rsid w:val="00824F5C"/>
    <w:rsid w:val="00824F88"/>
    <w:rsid w:val="00824FF1"/>
    <w:rsid w:val="008250E0"/>
    <w:rsid w:val="0082525C"/>
    <w:rsid w:val="0082525F"/>
    <w:rsid w:val="00825331"/>
    <w:rsid w:val="0082533D"/>
    <w:rsid w:val="00825394"/>
    <w:rsid w:val="00825395"/>
    <w:rsid w:val="008253CC"/>
    <w:rsid w:val="008253E6"/>
    <w:rsid w:val="00825504"/>
    <w:rsid w:val="00825551"/>
    <w:rsid w:val="0082555A"/>
    <w:rsid w:val="00825603"/>
    <w:rsid w:val="0082564D"/>
    <w:rsid w:val="0082570E"/>
    <w:rsid w:val="00825775"/>
    <w:rsid w:val="00825789"/>
    <w:rsid w:val="00825814"/>
    <w:rsid w:val="00825821"/>
    <w:rsid w:val="0082586C"/>
    <w:rsid w:val="00825887"/>
    <w:rsid w:val="00825915"/>
    <w:rsid w:val="0082592E"/>
    <w:rsid w:val="00825A14"/>
    <w:rsid w:val="00825B9A"/>
    <w:rsid w:val="00825BBF"/>
    <w:rsid w:val="00825C81"/>
    <w:rsid w:val="00825CDC"/>
    <w:rsid w:val="00825D01"/>
    <w:rsid w:val="00825D9E"/>
    <w:rsid w:val="00825E3A"/>
    <w:rsid w:val="00825E49"/>
    <w:rsid w:val="00825F35"/>
    <w:rsid w:val="00825FBC"/>
    <w:rsid w:val="00825FE2"/>
    <w:rsid w:val="00826071"/>
    <w:rsid w:val="008260E0"/>
    <w:rsid w:val="008260F3"/>
    <w:rsid w:val="00826123"/>
    <w:rsid w:val="00826168"/>
    <w:rsid w:val="00826209"/>
    <w:rsid w:val="00826215"/>
    <w:rsid w:val="00826346"/>
    <w:rsid w:val="008263E9"/>
    <w:rsid w:val="00826453"/>
    <w:rsid w:val="008264BE"/>
    <w:rsid w:val="0082665E"/>
    <w:rsid w:val="0082667C"/>
    <w:rsid w:val="00826739"/>
    <w:rsid w:val="0082673B"/>
    <w:rsid w:val="00826743"/>
    <w:rsid w:val="0082678E"/>
    <w:rsid w:val="00826791"/>
    <w:rsid w:val="008267AF"/>
    <w:rsid w:val="0082683B"/>
    <w:rsid w:val="008268BB"/>
    <w:rsid w:val="0082691D"/>
    <w:rsid w:val="008269BD"/>
    <w:rsid w:val="00826ADB"/>
    <w:rsid w:val="00826AEA"/>
    <w:rsid w:val="00826B2C"/>
    <w:rsid w:val="00826BB4"/>
    <w:rsid w:val="00826C07"/>
    <w:rsid w:val="00826D70"/>
    <w:rsid w:val="00826D9B"/>
    <w:rsid w:val="00826DAC"/>
    <w:rsid w:val="00826DAF"/>
    <w:rsid w:val="00827002"/>
    <w:rsid w:val="00827098"/>
    <w:rsid w:val="0082716A"/>
    <w:rsid w:val="008274BE"/>
    <w:rsid w:val="00827516"/>
    <w:rsid w:val="008275C4"/>
    <w:rsid w:val="008276CB"/>
    <w:rsid w:val="008277F9"/>
    <w:rsid w:val="00827847"/>
    <w:rsid w:val="0082799C"/>
    <w:rsid w:val="008279C8"/>
    <w:rsid w:val="00827A89"/>
    <w:rsid w:val="00827ABA"/>
    <w:rsid w:val="00827BAD"/>
    <w:rsid w:val="00827BB2"/>
    <w:rsid w:val="00827BDE"/>
    <w:rsid w:val="00827BF4"/>
    <w:rsid w:val="00827C3A"/>
    <w:rsid w:val="00827CDC"/>
    <w:rsid w:val="00827DB4"/>
    <w:rsid w:val="00827E50"/>
    <w:rsid w:val="00827FFA"/>
    <w:rsid w:val="008300DF"/>
    <w:rsid w:val="008300F5"/>
    <w:rsid w:val="008301CA"/>
    <w:rsid w:val="0083023B"/>
    <w:rsid w:val="0083029B"/>
    <w:rsid w:val="008302CC"/>
    <w:rsid w:val="00830305"/>
    <w:rsid w:val="00830347"/>
    <w:rsid w:val="00830368"/>
    <w:rsid w:val="00830445"/>
    <w:rsid w:val="0083048F"/>
    <w:rsid w:val="0083053F"/>
    <w:rsid w:val="00830558"/>
    <w:rsid w:val="0083056F"/>
    <w:rsid w:val="008305BE"/>
    <w:rsid w:val="008305E3"/>
    <w:rsid w:val="0083062A"/>
    <w:rsid w:val="00830709"/>
    <w:rsid w:val="00830737"/>
    <w:rsid w:val="00830778"/>
    <w:rsid w:val="008307DC"/>
    <w:rsid w:val="00830913"/>
    <w:rsid w:val="00830950"/>
    <w:rsid w:val="0083095D"/>
    <w:rsid w:val="008309E7"/>
    <w:rsid w:val="00830B74"/>
    <w:rsid w:val="00830C06"/>
    <w:rsid w:val="00830D54"/>
    <w:rsid w:val="00830E0E"/>
    <w:rsid w:val="00830ED9"/>
    <w:rsid w:val="00830EEC"/>
    <w:rsid w:val="00830EF3"/>
    <w:rsid w:val="00830F54"/>
    <w:rsid w:val="00830FFA"/>
    <w:rsid w:val="008310A5"/>
    <w:rsid w:val="008310C6"/>
    <w:rsid w:val="00831231"/>
    <w:rsid w:val="00831236"/>
    <w:rsid w:val="0083124B"/>
    <w:rsid w:val="00831308"/>
    <w:rsid w:val="0083133A"/>
    <w:rsid w:val="0083138A"/>
    <w:rsid w:val="008313E2"/>
    <w:rsid w:val="008316E0"/>
    <w:rsid w:val="008317CF"/>
    <w:rsid w:val="0083182A"/>
    <w:rsid w:val="0083192B"/>
    <w:rsid w:val="00831C19"/>
    <w:rsid w:val="00831C50"/>
    <w:rsid w:val="00831C5F"/>
    <w:rsid w:val="00831C7B"/>
    <w:rsid w:val="00831D42"/>
    <w:rsid w:val="00831DDB"/>
    <w:rsid w:val="00831E0C"/>
    <w:rsid w:val="00831E34"/>
    <w:rsid w:val="00831E74"/>
    <w:rsid w:val="00831E75"/>
    <w:rsid w:val="00831F1E"/>
    <w:rsid w:val="0083203C"/>
    <w:rsid w:val="00832048"/>
    <w:rsid w:val="008320F0"/>
    <w:rsid w:val="00832119"/>
    <w:rsid w:val="0083213F"/>
    <w:rsid w:val="00832150"/>
    <w:rsid w:val="008321C7"/>
    <w:rsid w:val="00832330"/>
    <w:rsid w:val="0083234A"/>
    <w:rsid w:val="0083243D"/>
    <w:rsid w:val="0083244D"/>
    <w:rsid w:val="00832480"/>
    <w:rsid w:val="008324B9"/>
    <w:rsid w:val="008324F8"/>
    <w:rsid w:val="00832614"/>
    <w:rsid w:val="00832617"/>
    <w:rsid w:val="0083261C"/>
    <w:rsid w:val="0083269A"/>
    <w:rsid w:val="008327E7"/>
    <w:rsid w:val="00832837"/>
    <w:rsid w:val="00832846"/>
    <w:rsid w:val="0083286F"/>
    <w:rsid w:val="008328BB"/>
    <w:rsid w:val="008328DC"/>
    <w:rsid w:val="008328F6"/>
    <w:rsid w:val="00832949"/>
    <w:rsid w:val="0083295F"/>
    <w:rsid w:val="008329D2"/>
    <w:rsid w:val="00832A79"/>
    <w:rsid w:val="00832AFC"/>
    <w:rsid w:val="00832B39"/>
    <w:rsid w:val="00832BAB"/>
    <w:rsid w:val="00832BB0"/>
    <w:rsid w:val="00832C15"/>
    <w:rsid w:val="00832CB1"/>
    <w:rsid w:val="00832D31"/>
    <w:rsid w:val="00832DF8"/>
    <w:rsid w:val="00832E3C"/>
    <w:rsid w:val="00832F1D"/>
    <w:rsid w:val="00832F42"/>
    <w:rsid w:val="00832F94"/>
    <w:rsid w:val="0083302D"/>
    <w:rsid w:val="0083311B"/>
    <w:rsid w:val="00833399"/>
    <w:rsid w:val="008333C0"/>
    <w:rsid w:val="008334D3"/>
    <w:rsid w:val="0083355D"/>
    <w:rsid w:val="0083355F"/>
    <w:rsid w:val="0083359E"/>
    <w:rsid w:val="008335B9"/>
    <w:rsid w:val="008335D9"/>
    <w:rsid w:val="008336B7"/>
    <w:rsid w:val="008336C2"/>
    <w:rsid w:val="008337EF"/>
    <w:rsid w:val="008337F2"/>
    <w:rsid w:val="00833875"/>
    <w:rsid w:val="00833877"/>
    <w:rsid w:val="008338A6"/>
    <w:rsid w:val="008338C1"/>
    <w:rsid w:val="008339CD"/>
    <w:rsid w:val="00833B6D"/>
    <w:rsid w:val="00833BD2"/>
    <w:rsid w:val="00833D10"/>
    <w:rsid w:val="00833D26"/>
    <w:rsid w:val="00833D62"/>
    <w:rsid w:val="00833E3C"/>
    <w:rsid w:val="00833E6F"/>
    <w:rsid w:val="00833ED2"/>
    <w:rsid w:val="00833EE3"/>
    <w:rsid w:val="00833F1A"/>
    <w:rsid w:val="00833F3F"/>
    <w:rsid w:val="00833F8A"/>
    <w:rsid w:val="0083402C"/>
    <w:rsid w:val="00834078"/>
    <w:rsid w:val="00834108"/>
    <w:rsid w:val="008341C3"/>
    <w:rsid w:val="008342E2"/>
    <w:rsid w:val="0083438F"/>
    <w:rsid w:val="008343BB"/>
    <w:rsid w:val="008343CE"/>
    <w:rsid w:val="008344D8"/>
    <w:rsid w:val="00834558"/>
    <w:rsid w:val="00834674"/>
    <w:rsid w:val="008346E8"/>
    <w:rsid w:val="00834721"/>
    <w:rsid w:val="00834776"/>
    <w:rsid w:val="008347B2"/>
    <w:rsid w:val="0083480E"/>
    <w:rsid w:val="00834877"/>
    <w:rsid w:val="008348C6"/>
    <w:rsid w:val="0083494C"/>
    <w:rsid w:val="00834AEE"/>
    <w:rsid w:val="00834C52"/>
    <w:rsid w:val="00834C9F"/>
    <w:rsid w:val="00834CEE"/>
    <w:rsid w:val="00834D22"/>
    <w:rsid w:val="00834E49"/>
    <w:rsid w:val="00834E5C"/>
    <w:rsid w:val="0083549F"/>
    <w:rsid w:val="008354D6"/>
    <w:rsid w:val="00835503"/>
    <w:rsid w:val="0083557A"/>
    <w:rsid w:val="008355BE"/>
    <w:rsid w:val="008355F4"/>
    <w:rsid w:val="0083560B"/>
    <w:rsid w:val="00835652"/>
    <w:rsid w:val="00835686"/>
    <w:rsid w:val="008356A7"/>
    <w:rsid w:val="0083570D"/>
    <w:rsid w:val="008357C0"/>
    <w:rsid w:val="0083580F"/>
    <w:rsid w:val="0083589E"/>
    <w:rsid w:val="008358C4"/>
    <w:rsid w:val="00835A27"/>
    <w:rsid w:val="00835AA3"/>
    <w:rsid w:val="00835BBB"/>
    <w:rsid w:val="00835CB1"/>
    <w:rsid w:val="00835E90"/>
    <w:rsid w:val="00835F30"/>
    <w:rsid w:val="008360E1"/>
    <w:rsid w:val="0083628F"/>
    <w:rsid w:val="00836292"/>
    <w:rsid w:val="008362FD"/>
    <w:rsid w:val="0083640E"/>
    <w:rsid w:val="00836521"/>
    <w:rsid w:val="00836549"/>
    <w:rsid w:val="00836601"/>
    <w:rsid w:val="00836673"/>
    <w:rsid w:val="00836690"/>
    <w:rsid w:val="008367FA"/>
    <w:rsid w:val="00836878"/>
    <w:rsid w:val="00836A79"/>
    <w:rsid w:val="00836AA8"/>
    <w:rsid w:val="00836C4C"/>
    <w:rsid w:val="00836C65"/>
    <w:rsid w:val="00836DAD"/>
    <w:rsid w:val="008370E3"/>
    <w:rsid w:val="008371D6"/>
    <w:rsid w:val="00837204"/>
    <w:rsid w:val="008372F0"/>
    <w:rsid w:val="00837383"/>
    <w:rsid w:val="008373B5"/>
    <w:rsid w:val="008373DA"/>
    <w:rsid w:val="00837477"/>
    <w:rsid w:val="008374B1"/>
    <w:rsid w:val="0083756B"/>
    <w:rsid w:val="00837681"/>
    <w:rsid w:val="008377EF"/>
    <w:rsid w:val="0083790C"/>
    <w:rsid w:val="0083797C"/>
    <w:rsid w:val="008379BC"/>
    <w:rsid w:val="00837AB0"/>
    <w:rsid w:val="00837AF3"/>
    <w:rsid w:val="00837B28"/>
    <w:rsid w:val="00837B4A"/>
    <w:rsid w:val="00837B75"/>
    <w:rsid w:val="00837BAB"/>
    <w:rsid w:val="00837C29"/>
    <w:rsid w:val="00837C5D"/>
    <w:rsid w:val="00837C77"/>
    <w:rsid w:val="00837CC0"/>
    <w:rsid w:val="00837D17"/>
    <w:rsid w:val="00837E97"/>
    <w:rsid w:val="00837F2C"/>
    <w:rsid w:val="00837FEF"/>
    <w:rsid w:val="00840164"/>
    <w:rsid w:val="0084017B"/>
    <w:rsid w:val="00840275"/>
    <w:rsid w:val="008402B0"/>
    <w:rsid w:val="008402CE"/>
    <w:rsid w:val="008403D4"/>
    <w:rsid w:val="00840439"/>
    <w:rsid w:val="008404A1"/>
    <w:rsid w:val="008404D7"/>
    <w:rsid w:val="00840545"/>
    <w:rsid w:val="00840560"/>
    <w:rsid w:val="00840573"/>
    <w:rsid w:val="008405D1"/>
    <w:rsid w:val="0084060A"/>
    <w:rsid w:val="00840676"/>
    <w:rsid w:val="008406B3"/>
    <w:rsid w:val="00840710"/>
    <w:rsid w:val="00840777"/>
    <w:rsid w:val="008408F0"/>
    <w:rsid w:val="008408FF"/>
    <w:rsid w:val="008409CB"/>
    <w:rsid w:val="00840A0F"/>
    <w:rsid w:val="00840ADF"/>
    <w:rsid w:val="00840B23"/>
    <w:rsid w:val="00840B31"/>
    <w:rsid w:val="00840B3E"/>
    <w:rsid w:val="00840C46"/>
    <w:rsid w:val="00840CAA"/>
    <w:rsid w:val="00840CDF"/>
    <w:rsid w:val="00840D89"/>
    <w:rsid w:val="00840D95"/>
    <w:rsid w:val="00840DAF"/>
    <w:rsid w:val="00840DCB"/>
    <w:rsid w:val="00840E37"/>
    <w:rsid w:val="00840E5F"/>
    <w:rsid w:val="00840E6A"/>
    <w:rsid w:val="00840F1B"/>
    <w:rsid w:val="00840F54"/>
    <w:rsid w:val="008410BF"/>
    <w:rsid w:val="008410DF"/>
    <w:rsid w:val="00841157"/>
    <w:rsid w:val="008411A2"/>
    <w:rsid w:val="008411BC"/>
    <w:rsid w:val="008413ED"/>
    <w:rsid w:val="008413FC"/>
    <w:rsid w:val="00841476"/>
    <w:rsid w:val="00841482"/>
    <w:rsid w:val="00841496"/>
    <w:rsid w:val="008414AE"/>
    <w:rsid w:val="0084150D"/>
    <w:rsid w:val="00841612"/>
    <w:rsid w:val="00841697"/>
    <w:rsid w:val="00841720"/>
    <w:rsid w:val="008417C7"/>
    <w:rsid w:val="008419F1"/>
    <w:rsid w:val="00841B11"/>
    <w:rsid w:val="00841C98"/>
    <w:rsid w:val="00841D66"/>
    <w:rsid w:val="00841DE8"/>
    <w:rsid w:val="00841E65"/>
    <w:rsid w:val="00841EC5"/>
    <w:rsid w:val="00841F82"/>
    <w:rsid w:val="00842050"/>
    <w:rsid w:val="008420AC"/>
    <w:rsid w:val="00842173"/>
    <w:rsid w:val="008421C1"/>
    <w:rsid w:val="008421D9"/>
    <w:rsid w:val="0084223E"/>
    <w:rsid w:val="00842345"/>
    <w:rsid w:val="00842389"/>
    <w:rsid w:val="008423D7"/>
    <w:rsid w:val="00842627"/>
    <w:rsid w:val="00842735"/>
    <w:rsid w:val="00842787"/>
    <w:rsid w:val="008427CA"/>
    <w:rsid w:val="008427E6"/>
    <w:rsid w:val="00842862"/>
    <w:rsid w:val="0084295F"/>
    <w:rsid w:val="00842A10"/>
    <w:rsid w:val="00842A35"/>
    <w:rsid w:val="00842AB2"/>
    <w:rsid w:val="00842B85"/>
    <w:rsid w:val="00842C1F"/>
    <w:rsid w:val="00842C2B"/>
    <w:rsid w:val="00842C2C"/>
    <w:rsid w:val="00842C78"/>
    <w:rsid w:val="00842C91"/>
    <w:rsid w:val="00842D56"/>
    <w:rsid w:val="008430E8"/>
    <w:rsid w:val="00843128"/>
    <w:rsid w:val="008431FD"/>
    <w:rsid w:val="00843210"/>
    <w:rsid w:val="00843261"/>
    <w:rsid w:val="008432B9"/>
    <w:rsid w:val="008433B3"/>
    <w:rsid w:val="008433BF"/>
    <w:rsid w:val="00843419"/>
    <w:rsid w:val="00843446"/>
    <w:rsid w:val="008434D6"/>
    <w:rsid w:val="00843554"/>
    <w:rsid w:val="00843560"/>
    <w:rsid w:val="008435B4"/>
    <w:rsid w:val="00843642"/>
    <w:rsid w:val="00843694"/>
    <w:rsid w:val="008436FB"/>
    <w:rsid w:val="008436FE"/>
    <w:rsid w:val="008437B3"/>
    <w:rsid w:val="0084381E"/>
    <w:rsid w:val="00843881"/>
    <w:rsid w:val="00843889"/>
    <w:rsid w:val="00843B54"/>
    <w:rsid w:val="00843B6E"/>
    <w:rsid w:val="00843BAE"/>
    <w:rsid w:val="00843CDA"/>
    <w:rsid w:val="00843CF6"/>
    <w:rsid w:val="00843D3F"/>
    <w:rsid w:val="00843E4A"/>
    <w:rsid w:val="00843EF1"/>
    <w:rsid w:val="00843FE8"/>
    <w:rsid w:val="00843FE9"/>
    <w:rsid w:val="0084408F"/>
    <w:rsid w:val="00844106"/>
    <w:rsid w:val="0084419C"/>
    <w:rsid w:val="008441A2"/>
    <w:rsid w:val="00844286"/>
    <w:rsid w:val="0084430E"/>
    <w:rsid w:val="00844313"/>
    <w:rsid w:val="00844348"/>
    <w:rsid w:val="008443B9"/>
    <w:rsid w:val="0084447A"/>
    <w:rsid w:val="00844570"/>
    <w:rsid w:val="00844580"/>
    <w:rsid w:val="00844633"/>
    <w:rsid w:val="00844748"/>
    <w:rsid w:val="008447B7"/>
    <w:rsid w:val="00844AB0"/>
    <w:rsid w:val="00844B45"/>
    <w:rsid w:val="00844BBA"/>
    <w:rsid w:val="00844C0B"/>
    <w:rsid w:val="00844CA4"/>
    <w:rsid w:val="00844CD1"/>
    <w:rsid w:val="00844E41"/>
    <w:rsid w:val="00844E61"/>
    <w:rsid w:val="008450B9"/>
    <w:rsid w:val="008450EF"/>
    <w:rsid w:val="00845154"/>
    <w:rsid w:val="0084522B"/>
    <w:rsid w:val="008452FD"/>
    <w:rsid w:val="00845418"/>
    <w:rsid w:val="008456E9"/>
    <w:rsid w:val="00845815"/>
    <w:rsid w:val="00845842"/>
    <w:rsid w:val="00845845"/>
    <w:rsid w:val="00845A2E"/>
    <w:rsid w:val="00845C1C"/>
    <w:rsid w:val="00845C9A"/>
    <w:rsid w:val="00845D17"/>
    <w:rsid w:val="00845DC4"/>
    <w:rsid w:val="00845E20"/>
    <w:rsid w:val="00845F2D"/>
    <w:rsid w:val="00845F33"/>
    <w:rsid w:val="00845F48"/>
    <w:rsid w:val="008460E3"/>
    <w:rsid w:val="00846135"/>
    <w:rsid w:val="008461DD"/>
    <w:rsid w:val="00846215"/>
    <w:rsid w:val="00846246"/>
    <w:rsid w:val="0084627E"/>
    <w:rsid w:val="00846326"/>
    <w:rsid w:val="0084632D"/>
    <w:rsid w:val="008463B4"/>
    <w:rsid w:val="008463F3"/>
    <w:rsid w:val="00846411"/>
    <w:rsid w:val="00846649"/>
    <w:rsid w:val="008466C6"/>
    <w:rsid w:val="0084677D"/>
    <w:rsid w:val="008467FF"/>
    <w:rsid w:val="008469A3"/>
    <w:rsid w:val="00846A5B"/>
    <w:rsid w:val="00846A6C"/>
    <w:rsid w:val="00846AAE"/>
    <w:rsid w:val="00846B12"/>
    <w:rsid w:val="00846BF1"/>
    <w:rsid w:val="00846C91"/>
    <w:rsid w:val="00846CE0"/>
    <w:rsid w:val="00846D22"/>
    <w:rsid w:val="00846DEE"/>
    <w:rsid w:val="00846EC4"/>
    <w:rsid w:val="00846EDC"/>
    <w:rsid w:val="00846F48"/>
    <w:rsid w:val="00846FD6"/>
    <w:rsid w:val="00846FEF"/>
    <w:rsid w:val="00847083"/>
    <w:rsid w:val="00847137"/>
    <w:rsid w:val="008471B4"/>
    <w:rsid w:val="0084727B"/>
    <w:rsid w:val="00847393"/>
    <w:rsid w:val="008473D1"/>
    <w:rsid w:val="008474AF"/>
    <w:rsid w:val="008474B3"/>
    <w:rsid w:val="008475FC"/>
    <w:rsid w:val="00847669"/>
    <w:rsid w:val="008476C4"/>
    <w:rsid w:val="008476D1"/>
    <w:rsid w:val="008476D9"/>
    <w:rsid w:val="008476ED"/>
    <w:rsid w:val="008476F2"/>
    <w:rsid w:val="00847778"/>
    <w:rsid w:val="008477B5"/>
    <w:rsid w:val="008477BF"/>
    <w:rsid w:val="008477D2"/>
    <w:rsid w:val="008477FF"/>
    <w:rsid w:val="00847848"/>
    <w:rsid w:val="00847863"/>
    <w:rsid w:val="00847865"/>
    <w:rsid w:val="008478A6"/>
    <w:rsid w:val="008478B0"/>
    <w:rsid w:val="008478C2"/>
    <w:rsid w:val="00847A32"/>
    <w:rsid w:val="00847AFF"/>
    <w:rsid w:val="00847B23"/>
    <w:rsid w:val="00847B3A"/>
    <w:rsid w:val="00847C26"/>
    <w:rsid w:val="00847CE9"/>
    <w:rsid w:val="00847D01"/>
    <w:rsid w:val="00847D13"/>
    <w:rsid w:val="00847DDA"/>
    <w:rsid w:val="00847DED"/>
    <w:rsid w:val="00847E1F"/>
    <w:rsid w:val="00847E9B"/>
    <w:rsid w:val="00847F32"/>
    <w:rsid w:val="00847F4D"/>
    <w:rsid w:val="00847F6A"/>
    <w:rsid w:val="00847FBF"/>
    <w:rsid w:val="008500ED"/>
    <w:rsid w:val="00850151"/>
    <w:rsid w:val="008501AE"/>
    <w:rsid w:val="008501EC"/>
    <w:rsid w:val="00850236"/>
    <w:rsid w:val="008502FC"/>
    <w:rsid w:val="008503C5"/>
    <w:rsid w:val="008504BB"/>
    <w:rsid w:val="00850515"/>
    <w:rsid w:val="0085053D"/>
    <w:rsid w:val="008505D4"/>
    <w:rsid w:val="00850623"/>
    <w:rsid w:val="00850637"/>
    <w:rsid w:val="008506F6"/>
    <w:rsid w:val="00850733"/>
    <w:rsid w:val="00850752"/>
    <w:rsid w:val="0085080D"/>
    <w:rsid w:val="00850825"/>
    <w:rsid w:val="00850891"/>
    <w:rsid w:val="00850989"/>
    <w:rsid w:val="008509CA"/>
    <w:rsid w:val="008509E2"/>
    <w:rsid w:val="00850A13"/>
    <w:rsid w:val="00850A1A"/>
    <w:rsid w:val="00850A23"/>
    <w:rsid w:val="00850A3B"/>
    <w:rsid w:val="00850A46"/>
    <w:rsid w:val="00850B13"/>
    <w:rsid w:val="00850BAA"/>
    <w:rsid w:val="00850BDD"/>
    <w:rsid w:val="00850C9C"/>
    <w:rsid w:val="00850CC6"/>
    <w:rsid w:val="00850DA2"/>
    <w:rsid w:val="00850DAB"/>
    <w:rsid w:val="00850E64"/>
    <w:rsid w:val="00850FF8"/>
    <w:rsid w:val="00850FFD"/>
    <w:rsid w:val="0085101D"/>
    <w:rsid w:val="00851092"/>
    <w:rsid w:val="008510C3"/>
    <w:rsid w:val="008510D9"/>
    <w:rsid w:val="008511DE"/>
    <w:rsid w:val="00851276"/>
    <w:rsid w:val="008512F9"/>
    <w:rsid w:val="0085150B"/>
    <w:rsid w:val="00851540"/>
    <w:rsid w:val="008515B5"/>
    <w:rsid w:val="008515CC"/>
    <w:rsid w:val="008515D1"/>
    <w:rsid w:val="008515ED"/>
    <w:rsid w:val="00851607"/>
    <w:rsid w:val="00851719"/>
    <w:rsid w:val="00851730"/>
    <w:rsid w:val="0085173E"/>
    <w:rsid w:val="0085174D"/>
    <w:rsid w:val="0085176C"/>
    <w:rsid w:val="00851774"/>
    <w:rsid w:val="0085193E"/>
    <w:rsid w:val="00851AAD"/>
    <w:rsid w:val="00851AB5"/>
    <w:rsid w:val="00851AC3"/>
    <w:rsid w:val="00851AC9"/>
    <w:rsid w:val="00851B75"/>
    <w:rsid w:val="00851CAE"/>
    <w:rsid w:val="00851CD7"/>
    <w:rsid w:val="00851DA1"/>
    <w:rsid w:val="00851DA3"/>
    <w:rsid w:val="00851F07"/>
    <w:rsid w:val="00851F0D"/>
    <w:rsid w:val="00851FA6"/>
    <w:rsid w:val="00851FDA"/>
    <w:rsid w:val="008522F4"/>
    <w:rsid w:val="00852328"/>
    <w:rsid w:val="0085240D"/>
    <w:rsid w:val="00852416"/>
    <w:rsid w:val="0085247E"/>
    <w:rsid w:val="008524A6"/>
    <w:rsid w:val="008524E9"/>
    <w:rsid w:val="008525C5"/>
    <w:rsid w:val="008525FA"/>
    <w:rsid w:val="00852644"/>
    <w:rsid w:val="008526F6"/>
    <w:rsid w:val="00852746"/>
    <w:rsid w:val="0085278F"/>
    <w:rsid w:val="008527BD"/>
    <w:rsid w:val="008527CF"/>
    <w:rsid w:val="008527EF"/>
    <w:rsid w:val="00852829"/>
    <w:rsid w:val="00852844"/>
    <w:rsid w:val="008528D3"/>
    <w:rsid w:val="00852951"/>
    <w:rsid w:val="00852B7C"/>
    <w:rsid w:val="00852BB3"/>
    <w:rsid w:val="00852BC9"/>
    <w:rsid w:val="00852C54"/>
    <w:rsid w:val="00852C58"/>
    <w:rsid w:val="00852C5C"/>
    <w:rsid w:val="00852D8E"/>
    <w:rsid w:val="00852EBE"/>
    <w:rsid w:val="00852EF1"/>
    <w:rsid w:val="00852F20"/>
    <w:rsid w:val="00852F61"/>
    <w:rsid w:val="00853033"/>
    <w:rsid w:val="0085309B"/>
    <w:rsid w:val="008530D1"/>
    <w:rsid w:val="008530E1"/>
    <w:rsid w:val="0085312F"/>
    <w:rsid w:val="00853145"/>
    <w:rsid w:val="00853222"/>
    <w:rsid w:val="008532BF"/>
    <w:rsid w:val="008532E9"/>
    <w:rsid w:val="00853710"/>
    <w:rsid w:val="0085383B"/>
    <w:rsid w:val="0085391F"/>
    <w:rsid w:val="00853978"/>
    <w:rsid w:val="00853994"/>
    <w:rsid w:val="008539AB"/>
    <w:rsid w:val="00853A5A"/>
    <w:rsid w:val="00853BAD"/>
    <w:rsid w:val="00853BBC"/>
    <w:rsid w:val="00853E91"/>
    <w:rsid w:val="00853F45"/>
    <w:rsid w:val="0085407D"/>
    <w:rsid w:val="0085421F"/>
    <w:rsid w:val="008542E8"/>
    <w:rsid w:val="008543C4"/>
    <w:rsid w:val="008543DB"/>
    <w:rsid w:val="008543DC"/>
    <w:rsid w:val="00854448"/>
    <w:rsid w:val="0085460C"/>
    <w:rsid w:val="00854661"/>
    <w:rsid w:val="00854685"/>
    <w:rsid w:val="008546E1"/>
    <w:rsid w:val="0085476A"/>
    <w:rsid w:val="008547D5"/>
    <w:rsid w:val="0085481A"/>
    <w:rsid w:val="00854877"/>
    <w:rsid w:val="0085489E"/>
    <w:rsid w:val="0085498A"/>
    <w:rsid w:val="008549CE"/>
    <w:rsid w:val="008549DE"/>
    <w:rsid w:val="00854A51"/>
    <w:rsid w:val="00854BB9"/>
    <w:rsid w:val="00854C81"/>
    <w:rsid w:val="00854CCC"/>
    <w:rsid w:val="00854CDD"/>
    <w:rsid w:val="00854DAA"/>
    <w:rsid w:val="00854DB7"/>
    <w:rsid w:val="00854E5E"/>
    <w:rsid w:val="00854E6E"/>
    <w:rsid w:val="00854E9E"/>
    <w:rsid w:val="00854F17"/>
    <w:rsid w:val="008551C5"/>
    <w:rsid w:val="008551D6"/>
    <w:rsid w:val="00855208"/>
    <w:rsid w:val="0085521F"/>
    <w:rsid w:val="0085529D"/>
    <w:rsid w:val="008552F3"/>
    <w:rsid w:val="0085534E"/>
    <w:rsid w:val="008553B4"/>
    <w:rsid w:val="00855510"/>
    <w:rsid w:val="00855511"/>
    <w:rsid w:val="008556C4"/>
    <w:rsid w:val="008556D9"/>
    <w:rsid w:val="008556F7"/>
    <w:rsid w:val="0085576E"/>
    <w:rsid w:val="0085577B"/>
    <w:rsid w:val="00855782"/>
    <w:rsid w:val="008557E4"/>
    <w:rsid w:val="00855895"/>
    <w:rsid w:val="00855910"/>
    <w:rsid w:val="008559A2"/>
    <w:rsid w:val="008559BF"/>
    <w:rsid w:val="008559CC"/>
    <w:rsid w:val="00855A38"/>
    <w:rsid w:val="00855A77"/>
    <w:rsid w:val="00855AA8"/>
    <w:rsid w:val="00855B36"/>
    <w:rsid w:val="00855B7E"/>
    <w:rsid w:val="00855C7E"/>
    <w:rsid w:val="00855C85"/>
    <w:rsid w:val="00855D02"/>
    <w:rsid w:val="00855D9C"/>
    <w:rsid w:val="00855DA2"/>
    <w:rsid w:val="00855E21"/>
    <w:rsid w:val="00855E63"/>
    <w:rsid w:val="00855F5C"/>
    <w:rsid w:val="00855F87"/>
    <w:rsid w:val="00855F8B"/>
    <w:rsid w:val="008561CB"/>
    <w:rsid w:val="00856225"/>
    <w:rsid w:val="008563D2"/>
    <w:rsid w:val="0085652A"/>
    <w:rsid w:val="008565F9"/>
    <w:rsid w:val="008566B9"/>
    <w:rsid w:val="008566BA"/>
    <w:rsid w:val="0085674A"/>
    <w:rsid w:val="0085681F"/>
    <w:rsid w:val="0085686B"/>
    <w:rsid w:val="00856898"/>
    <w:rsid w:val="00856950"/>
    <w:rsid w:val="00856968"/>
    <w:rsid w:val="00856987"/>
    <w:rsid w:val="00856991"/>
    <w:rsid w:val="008569E2"/>
    <w:rsid w:val="00856A79"/>
    <w:rsid w:val="00856BDF"/>
    <w:rsid w:val="00856E63"/>
    <w:rsid w:val="00856EB8"/>
    <w:rsid w:val="00856FE8"/>
    <w:rsid w:val="00857039"/>
    <w:rsid w:val="00857053"/>
    <w:rsid w:val="008570AE"/>
    <w:rsid w:val="008570C4"/>
    <w:rsid w:val="008571B9"/>
    <w:rsid w:val="008571FD"/>
    <w:rsid w:val="0085729A"/>
    <w:rsid w:val="0085729B"/>
    <w:rsid w:val="0085729C"/>
    <w:rsid w:val="0085729E"/>
    <w:rsid w:val="00857346"/>
    <w:rsid w:val="00857409"/>
    <w:rsid w:val="0085743D"/>
    <w:rsid w:val="008574D6"/>
    <w:rsid w:val="0085750B"/>
    <w:rsid w:val="00857552"/>
    <w:rsid w:val="00857570"/>
    <w:rsid w:val="00857572"/>
    <w:rsid w:val="0085757F"/>
    <w:rsid w:val="00857633"/>
    <w:rsid w:val="0085778A"/>
    <w:rsid w:val="008577EF"/>
    <w:rsid w:val="008578BC"/>
    <w:rsid w:val="0085793D"/>
    <w:rsid w:val="00857965"/>
    <w:rsid w:val="00857AA8"/>
    <w:rsid w:val="00857B4D"/>
    <w:rsid w:val="00857C69"/>
    <w:rsid w:val="00857DB6"/>
    <w:rsid w:val="00857F4A"/>
    <w:rsid w:val="00857F53"/>
    <w:rsid w:val="00857FAF"/>
    <w:rsid w:val="00857FC8"/>
    <w:rsid w:val="00860066"/>
    <w:rsid w:val="00860074"/>
    <w:rsid w:val="00860095"/>
    <w:rsid w:val="00860166"/>
    <w:rsid w:val="008601F7"/>
    <w:rsid w:val="00860231"/>
    <w:rsid w:val="008602C1"/>
    <w:rsid w:val="008603A9"/>
    <w:rsid w:val="008604BA"/>
    <w:rsid w:val="0086056B"/>
    <w:rsid w:val="0086076E"/>
    <w:rsid w:val="00860803"/>
    <w:rsid w:val="00860806"/>
    <w:rsid w:val="00860874"/>
    <w:rsid w:val="008608DB"/>
    <w:rsid w:val="00860904"/>
    <w:rsid w:val="00860940"/>
    <w:rsid w:val="008609B1"/>
    <w:rsid w:val="00860A12"/>
    <w:rsid w:val="00860C05"/>
    <w:rsid w:val="00860CC1"/>
    <w:rsid w:val="00860CCC"/>
    <w:rsid w:val="00860D0C"/>
    <w:rsid w:val="00860D3E"/>
    <w:rsid w:val="00860D76"/>
    <w:rsid w:val="00860D7A"/>
    <w:rsid w:val="00860DB0"/>
    <w:rsid w:val="00860E29"/>
    <w:rsid w:val="00860F82"/>
    <w:rsid w:val="00860FA5"/>
    <w:rsid w:val="00860FAD"/>
    <w:rsid w:val="00861068"/>
    <w:rsid w:val="0086115D"/>
    <w:rsid w:val="008612BB"/>
    <w:rsid w:val="0086146A"/>
    <w:rsid w:val="0086147E"/>
    <w:rsid w:val="00861571"/>
    <w:rsid w:val="008615B8"/>
    <w:rsid w:val="00861645"/>
    <w:rsid w:val="008618CE"/>
    <w:rsid w:val="00861989"/>
    <w:rsid w:val="00861A67"/>
    <w:rsid w:val="00861B32"/>
    <w:rsid w:val="00861B40"/>
    <w:rsid w:val="00861B56"/>
    <w:rsid w:val="00861BD8"/>
    <w:rsid w:val="00861C65"/>
    <w:rsid w:val="00861CC4"/>
    <w:rsid w:val="00861D00"/>
    <w:rsid w:val="00861DDB"/>
    <w:rsid w:val="00861E0F"/>
    <w:rsid w:val="00861EBE"/>
    <w:rsid w:val="00861F73"/>
    <w:rsid w:val="00861F8B"/>
    <w:rsid w:val="00861FC6"/>
    <w:rsid w:val="00861FD2"/>
    <w:rsid w:val="00862116"/>
    <w:rsid w:val="00862127"/>
    <w:rsid w:val="00862174"/>
    <w:rsid w:val="00862180"/>
    <w:rsid w:val="00862211"/>
    <w:rsid w:val="00862336"/>
    <w:rsid w:val="00862413"/>
    <w:rsid w:val="00862429"/>
    <w:rsid w:val="0086248B"/>
    <w:rsid w:val="008624B3"/>
    <w:rsid w:val="0086250A"/>
    <w:rsid w:val="0086263B"/>
    <w:rsid w:val="00862663"/>
    <w:rsid w:val="008626C8"/>
    <w:rsid w:val="008626CA"/>
    <w:rsid w:val="008626F6"/>
    <w:rsid w:val="0086274E"/>
    <w:rsid w:val="0086279C"/>
    <w:rsid w:val="00862834"/>
    <w:rsid w:val="0086286C"/>
    <w:rsid w:val="00862879"/>
    <w:rsid w:val="008628E3"/>
    <w:rsid w:val="00862903"/>
    <w:rsid w:val="00862925"/>
    <w:rsid w:val="00862943"/>
    <w:rsid w:val="00862964"/>
    <w:rsid w:val="008629FC"/>
    <w:rsid w:val="00862B1A"/>
    <w:rsid w:val="00862C77"/>
    <w:rsid w:val="00862C88"/>
    <w:rsid w:val="00862CBE"/>
    <w:rsid w:val="00862D62"/>
    <w:rsid w:val="00862E8A"/>
    <w:rsid w:val="00862E93"/>
    <w:rsid w:val="00862EE7"/>
    <w:rsid w:val="00862FE1"/>
    <w:rsid w:val="00863088"/>
    <w:rsid w:val="0086328A"/>
    <w:rsid w:val="008632DE"/>
    <w:rsid w:val="0086339A"/>
    <w:rsid w:val="008633F8"/>
    <w:rsid w:val="008634D2"/>
    <w:rsid w:val="0086356C"/>
    <w:rsid w:val="008635C7"/>
    <w:rsid w:val="008635FE"/>
    <w:rsid w:val="008637D1"/>
    <w:rsid w:val="00863808"/>
    <w:rsid w:val="0086380D"/>
    <w:rsid w:val="008638F6"/>
    <w:rsid w:val="008638FC"/>
    <w:rsid w:val="00863963"/>
    <w:rsid w:val="00863A90"/>
    <w:rsid w:val="00863A93"/>
    <w:rsid w:val="00863A9F"/>
    <w:rsid w:val="00863C1D"/>
    <w:rsid w:val="00863CAD"/>
    <w:rsid w:val="00863CDF"/>
    <w:rsid w:val="00863CFF"/>
    <w:rsid w:val="00863D4D"/>
    <w:rsid w:val="00863D4E"/>
    <w:rsid w:val="00863D8E"/>
    <w:rsid w:val="00863DA7"/>
    <w:rsid w:val="00863DF9"/>
    <w:rsid w:val="00863E28"/>
    <w:rsid w:val="00863E4E"/>
    <w:rsid w:val="0086401A"/>
    <w:rsid w:val="0086404E"/>
    <w:rsid w:val="008642B5"/>
    <w:rsid w:val="00864337"/>
    <w:rsid w:val="0086435B"/>
    <w:rsid w:val="008643C9"/>
    <w:rsid w:val="008643FE"/>
    <w:rsid w:val="00864443"/>
    <w:rsid w:val="008644AC"/>
    <w:rsid w:val="008644E3"/>
    <w:rsid w:val="00864577"/>
    <w:rsid w:val="008645D7"/>
    <w:rsid w:val="008647BD"/>
    <w:rsid w:val="00864859"/>
    <w:rsid w:val="0086485B"/>
    <w:rsid w:val="008649A6"/>
    <w:rsid w:val="00864A94"/>
    <w:rsid w:val="00864B46"/>
    <w:rsid w:val="00864C92"/>
    <w:rsid w:val="00864CFC"/>
    <w:rsid w:val="00864E7D"/>
    <w:rsid w:val="00864F51"/>
    <w:rsid w:val="00864F74"/>
    <w:rsid w:val="00864F82"/>
    <w:rsid w:val="0086501E"/>
    <w:rsid w:val="008650B9"/>
    <w:rsid w:val="008650CF"/>
    <w:rsid w:val="00865216"/>
    <w:rsid w:val="00865248"/>
    <w:rsid w:val="00865407"/>
    <w:rsid w:val="00865428"/>
    <w:rsid w:val="008654D6"/>
    <w:rsid w:val="0086551E"/>
    <w:rsid w:val="00865525"/>
    <w:rsid w:val="00865560"/>
    <w:rsid w:val="008655AD"/>
    <w:rsid w:val="00865610"/>
    <w:rsid w:val="00865649"/>
    <w:rsid w:val="008656D1"/>
    <w:rsid w:val="0086571E"/>
    <w:rsid w:val="0086572D"/>
    <w:rsid w:val="00865793"/>
    <w:rsid w:val="008657A5"/>
    <w:rsid w:val="008657BD"/>
    <w:rsid w:val="008658CA"/>
    <w:rsid w:val="00865951"/>
    <w:rsid w:val="00865BA6"/>
    <w:rsid w:val="00865C54"/>
    <w:rsid w:val="00865C6F"/>
    <w:rsid w:val="00865C7B"/>
    <w:rsid w:val="00865C7E"/>
    <w:rsid w:val="00865C97"/>
    <w:rsid w:val="00865CBB"/>
    <w:rsid w:val="00865CDC"/>
    <w:rsid w:val="00865D30"/>
    <w:rsid w:val="00865D7C"/>
    <w:rsid w:val="00865E91"/>
    <w:rsid w:val="00866063"/>
    <w:rsid w:val="0086614D"/>
    <w:rsid w:val="008661BA"/>
    <w:rsid w:val="008661D1"/>
    <w:rsid w:val="008661F8"/>
    <w:rsid w:val="008661FE"/>
    <w:rsid w:val="0086625F"/>
    <w:rsid w:val="008663A1"/>
    <w:rsid w:val="0086647C"/>
    <w:rsid w:val="00866621"/>
    <w:rsid w:val="00866660"/>
    <w:rsid w:val="008666CF"/>
    <w:rsid w:val="0086673C"/>
    <w:rsid w:val="008667D6"/>
    <w:rsid w:val="00866861"/>
    <w:rsid w:val="00866898"/>
    <w:rsid w:val="00866990"/>
    <w:rsid w:val="008669EB"/>
    <w:rsid w:val="00866A5C"/>
    <w:rsid w:val="00866CDC"/>
    <w:rsid w:val="00866D19"/>
    <w:rsid w:val="00866D70"/>
    <w:rsid w:val="00866D86"/>
    <w:rsid w:val="00866E2A"/>
    <w:rsid w:val="00866EF2"/>
    <w:rsid w:val="00866F65"/>
    <w:rsid w:val="008670C6"/>
    <w:rsid w:val="00867129"/>
    <w:rsid w:val="008671D6"/>
    <w:rsid w:val="00867231"/>
    <w:rsid w:val="00867319"/>
    <w:rsid w:val="008673D7"/>
    <w:rsid w:val="008673DB"/>
    <w:rsid w:val="0086751A"/>
    <w:rsid w:val="008677C8"/>
    <w:rsid w:val="008678CE"/>
    <w:rsid w:val="008678E7"/>
    <w:rsid w:val="00867909"/>
    <w:rsid w:val="00867930"/>
    <w:rsid w:val="00867944"/>
    <w:rsid w:val="00867950"/>
    <w:rsid w:val="00867958"/>
    <w:rsid w:val="00867979"/>
    <w:rsid w:val="00867AB2"/>
    <w:rsid w:val="00867AC5"/>
    <w:rsid w:val="00867BF8"/>
    <w:rsid w:val="00867CFE"/>
    <w:rsid w:val="00867D0F"/>
    <w:rsid w:val="00867D30"/>
    <w:rsid w:val="00867D6C"/>
    <w:rsid w:val="00867E04"/>
    <w:rsid w:val="00867F8E"/>
    <w:rsid w:val="00870016"/>
    <w:rsid w:val="008700BC"/>
    <w:rsid w:val="008701FB"/>
    <w:rsid w:val="008702ED"/>
    <w:rsid w:val="00870395"/>
    <w:rsid w:val="008703E6"/>
    <w:rsid w:val="008704F7"/>
    <w:rsid w:val="0087058A"/>
    <w:rsid w:val="00870601"/>
    <w:rsid w:val="0087066C"/>
    <w:rsid w:val="00870690"/>
    <w:rsid w:val="008706C4"/>
    <w:rsid w:val="008706DD"/>
    <w:rsid w:val="00870728"/>
    <w:rsid w:val="00870736"/>
    <w:rsid w:val="008707E9"/>
    <w:rsid w:val="0087098C"/>
    <w:rsid w:val="00870B4A"/>
    <w:rsid w:val="00870C41"/>
    <w:rsid w:val="00870CD4"/>
    <w:rsid w:val="00870CF8"/>
    <w:rsid w:val="00870D83"/>
    <w:rsid w:val="00870EC0"/>
    <w:rsid w:val="00870F0B"/>
    <w:rsid w:val="00870F95"/>
    <w:rsid w:val="0087118B"/>
    <w:rsid w:val="008711C2"/>
    <w:rsid w:val="0087121A"/>
    <w:rsid w:val="00871236"/>
    <w:rsid w:val="00871283"/>
    <w:rsid w:val="008712CE"/>
    <w:rsid w:val="00871418"/>
    <w:rsid w:val="0087146B"/>
    <w:rsid w:val="00871501"/>
    <w:rsid w:val="0087154C"/>
    <w:rsid w:val="008715C2"/>
    <w:rsid w:val="0087161B"/>
    <w:rsid w:val="00871738"/>
    <w:rsid w:val="00871763"/>
    <w:rsid w:val="0087180D"/>
    <w:rsid w:val="00871845"/>
    <w:rsid w:val="0087187B"/>
    <w:rsid w:val="00871894"/>
    <w:rsid w:val="008718C1"/>
    <w:rsid w:val="008718CC"/>
    <w:rsid w:val="008718E4"/>
    <w:rsid w:val="00871A83"/>
    <w:rsid w:val="00871AD0"/>
    <w:rsid w:val="00871AE8"/>
    <w:rsid w:val="00871B18"/>
    <w:rsid w:val="00871B6C"/>
    <w:rsid w:val="00871B73"/>
    <w:rsid w:val="00871C08"/>
    <w:rsid w:val="00871C13"/>
    <w:rsid w:val="00871CC7"/>
    <w:rsid w:val="00871CCE"/>
    <w:rsid w:val="00871CF5"/>
    <w:rsid w:val="00871D75"/>
    <w:rsid w:val="00871E18"/>
    <w:rsid w:val="00871E65"/>
    <w:rsid w:val="00871FD2"/>
    <w:rsid w:val="00871FE4"/>
    <w:rsid w:val="00871FFF"/>
    <w:rsid w:val="0087201F"/>
    <w:rsid w:val="0087203E"/>
    <w:rsid w:val="0087205E"/>
    <w:rsid w:val="00872073"/>
    <w:rsid w:val="008720B8"/>
    <w:rsid w:val="008720D8"/>
    <w:rsid w:val="00872326"/>
    <w:rsid w:val="008723CE"/>
    <w:rsid w:val="00872481"/>
    <w:rsid w:val="00872499"/>
    <w:rsid w:val="008724C1"/>
    <w:rsid w:val="00872510"/>
    <w:rsid w:val="00872580"/>
    <w:rsid w:val="00872621"/>
    <w:rsid w:val="00872632"/>
    <w:rsid w:val="0087274C"/>
    <w:rsid w:val="00872766"/>
    <w:rsid w:val="00872888"/>
    <w:rsid w:val="008728DE"/>
    <w:rsid w:val="008729EF"/>
    <w:rsid w:val="00872B17"/>
    <w:rsid w:val="00872B63"/>
    <w:rsid w:val="00872B75"/>
    <w:rsid w:val="00872B7C"/>
    <w:rsid w:val="00872BFC"/>
    <w:rsid w:val="00872C29"/>
    <w:rsid w:val="00872E0F"/>
    <w:rsid w:val="00872E60"/>
    <w:rsid w:val="00872EFE"/>
    <w:rsid w:val="00872F1F"/>
    <w:rsid w:val="00872F9B"/>
    <w:rsid w:val="00872F9E"/>
    <w:rsid w:val="00872FB6"/>
    <w:rsid w:val="00873044"/>
    <w:rsid w:val="00873211"/>
    <w:rsid w:val="008732A2"/>
    <w:rsid w:val="008732A6"/>
    <w:rsid w:val="008732F2"/>
    <w:rsid w:val="008734C9"/>
    <w:rsid w:val="008735FA"/>
    <w:rsid w:val="00873634"/>
    <w:rsid w:val="008736D3"/>
    <w:rsid w:val="008737C6"/>
    <w:rsid w:val="00873A5A"/>
    <w:rsid w:val="00873CCF"/>
    <w:rsid w:val="00873E0E"/>
    <w:rsid w:val="00873E11"/>
    <w:rsid w:val="00873E3B"/>
    <w:rsid w:val="00873E7A"/>
    <w:rsid w:val="00873EB1"/>
    <w:rsid w:val="00873FCF"/>
    <w:rsid w:val="008740ED"/>
    <w:rsid w:val="00874166"/>
    <w:rsid w:val="008741E2"/>
    <w:rsid w:val="00874221"/>
    <w:rsid w:val="00874244"/>
    <w:rsid w:val="008742C8"/>
    <w:rsid w:val="0087440A"/>
    <w:rsid w:val="00874526"/>
    <w:rsid w:val="008745BA"/>
    <w:rsid w:val="008745BB"/>
    <w:rsid w:val="008745C7"/>
    <w:rsid w:val="008745EA"/>
    <w:rsid w:val="00874635"/>
    <w:rsid w:val="0087463A"/>
    <w:rsid w:val="00874697"/>
    <w:rsid w:val="00874819"/>
    <w:rsid w:val="008748B5"/>
    <w:rsid w:val="008748FE"/>
    <w:rsid w:val="00874951"/>
    <w:rsid w:val="00874AD0"/>
    <w:rsid w:val="00874B3B"/>
    <w:rsid w:val="00874C8A"/>
    <w:rsid w:val="00874D19"/>
    <w:rsid w:val="00874D91"/>
    <w:rsid w:val="00874E86"/>
    <w:rsid w:val="00874F47"/>
    <w:rsid w:val="008751C0"/>
    <w:rsid w:val="00875259"/>
    <w:rsid w:val="008753DB"/>
    <w:rsid w:val="008753EC"/>
    <w:rsid w:val="0087543E"/>
    <w:rsid w:val="0087544F"/>
    <w:rsid w:val="008756B6"/>
    <w:rsid w:val="008756DD"/>
    <w:rsid w:val="0087575D"/>
    <w:rsid w:val="008757E7"/>
    <w:rsid w:val="00875844"/>
    <w:rsid w:val="00875879"/>
    <w:rsid w:val="00875882"/>
    <w:rsid w:val="008758CA"/>
    <w:rsid w:val="008758DC"/>
    <w:rsid w:val="00875927"/>
    <w:rsid w:val="0087595A"/>
    <w:rsid w:val="008759BC"/>
    <w:rsid w:val="00875A25"/>
    <w:rsid w:val="00875A7E"/>
    <w:rsid w:val="00875AD0"/>
    <w:rsid w:val="00875B05"/>
    <w:rsid w:val="00875B08"/>
    <w:rsid w:val="00875C86"/>
    <w:rsid w:val="00875E11"/>
    <w:rsid w:val="00875E24"/>
    <w:rsid w:val="00875E5B"/>
    <w:rsid w:val="00875EE0"/>
    <w:rsid w:val="00875EF7"/>
    <w:rsid w:val="00875F5C"/>
    <w:rsid w:val="00875F99"/>
    <w:rsid w:val="00876003"/>
    <w:rsid w:val="0087607D"/>
    <w:rsid w:val="008760CC"/>
    <w:rsid w:val="008761AA"/>
    <w:rsid w:val="008761E7"/>
    <w:rsid w:val="008761F2"/>
    <w:rsid w:val="0087621D"/>
    <w:rsid w:val="00876390"/>
    <w:rsid w:val="008763AE"/>
    <w:rsid w:val="008763FC"/>
    <w:rsid w:val="00876467"/>
    <w:rsid w:val="00876478"/>
    <w:rsid w:val="008764CA"/>
    <w:rsid w:val="00876519"/>
    <w:rsid w:val="00876561"/>
    <w:rsid w:val="0087682E"/>
    <w:rsid w:val="00876884"/>
    <w:rsid w:val="008768CD"/>
    <w:rsid w:val="00876944"/>
    <w:rsid w:val="008769A5"/>
    <w:rsid w:val="008769AD"/>
    <w:rsid w:val="008769B8"/>
    <w:rsid w:val="00876A3F"/>
    <w:rsid w:val="00876B00"/>
    <w:rsid w:val="00876BD5"/>
    <w:rsid w:val="00876C43"/>
    <w:rsid w:val="00876CDA"/>
    <w:rsid w:val="00876D9A"/>
    <w:rsid w:val="00876E51"/>
    <w:rsid w:val="00876E5A"/>
    <w:rsid w:val="00876FD5"/>
    <w:rsid w:val="0087700C"/>
    <w:rsid w:val="00877271"/>
    <w:rsid w:val="008772D9"/>
    <w:rsid w:val="008772DF"/>
    <w:rsid w:val="0087731A"/>
    <w:rsid w:val="00877334"/>
    <w:rsid w:val="008773D5"/>
    <w:rsid w:val="00877477"/>
    <w:rsid w:val="008774B5"/>
    <w:rsid w:val="008774D9"/>
    <w:rsid w:val="008774FC"/>
    <w:rsid w:val="00877606"/>
    <w:rsid w:val="0087769B"/>
    <w:rsid w:val="00877776"/>
    <w:rsid w:val="00877850"/>
    <w:rsid w:val="00877906"/>
    <w:rsid w:val="008779D9"/>
    <w:rsid w:val="00877B2A"/>
    <w:rsid w:val="00877B62"/>
    <w:rsid w:val="00877CF4"/>
    <w:rsid w:val="00877D06"/>
    <w:rsid w:val="00877EAE"/>
    <w:rsid w:val="00877F80"/>
    <w:rsid w:val="0087AE7D"/>
    <w:rsid w:val="0088001D"/>
    <w:rsid w:val="008800EB"/>
    <w:rsid w:val="0088014C"/>
    <w:rsid w:val="00880232"/>
    <w:rsid w:val="00880273"/>
    <w:rsid w:val="008802FF"/>
    <w:rsid w:val="00880367"/>
    <w:rsid w:val="008803A4"/>
    <w:rsid w:val="00880439"/>
    <w:rsid w:val="008804FA"/>
    <w:rsid w:val="00880507"/>
    <w:rsid w:val="0088053D"/>
    <w:rsid w:val="008805B6"/>
    <w:rsid w:val="008806A4"/>
    <w:rsid w:val="008806AE"/>
    <w:rsid w:val="00880762"/>
    <w:rsid w:val="008808C0"/>
    <w:rsid w:val="008809EE"/>
    <w:rsid w:val="00880A5B"/>
    <w:rsid w:val="00880AC2"/>
    <w:rsid w:val="00880AF2"/>
    <w:rsid w:val="00880BB6"/>
    <w:rsid w:val="00880C71"/>
    <w:rsid w:val="00880C85"/>
    <w:rsid w:val="00880CCF"/>
    <w:rsid w:val="00880E81"/>
    <w:rsid w:val="00880EBD"/>
    <w:rsid w:val="00880EE9"/>
    <w:rsid w:val="00880F1F"/>
    <w:rsid w:val="00880FAB"/>
    <w:rsid w:val="00880FC1"/>
    <w:rsid w:val="00880FC4"/>
    <w:rsid w:val="00881214"/>
    <w:rsid w:val="00881237"/>
    <w:rsid w:val="008812ED"/>
    <w:rsid w:val="00881315"/>
    <w:rsid w:val="00881340"/>
    <w:rsid w:val="0088136E"/>
    <w:rsid w:val="0088138F"/>
    <w:rsid w:val="00881493"/>
    <w:rsid w:val="008814D2"/>
    <w:rsid w:val="00881519"/>
    <w:rsid w:val="00881716"/>
    <w:rsid w:val="0088173F"/>
    <w:rsid w:val="008819E2"/>
    <w:rsid w:val="008819FD"/>
    <w:rsid w:val="00881A0B"/>
    <w:rsid w:val="00881A0F"/>
    <w:rsid w:val="00881A37"/>
    <w:rsid w:val="00881C72"/>
    <w:rsid w:val="00881CEA"/>
    <w:rsid w:val="00881D2D"/>
    <w:rsid w:val="00881D31"/>
    <w:rsid w:val="00881D59"/>
    <w:rsid w:val="00881E28"/>
    <w:rsid w:val="00881F0D"/>
    <w:rsid w:val="00881F6E"/>
    <w:rsid w:val="00881F89"/>
    <w:rsid w:val="00881F92"/>
    <w:rsid w:val="008822A4"/>
    <w:rsid w:val="008822B3"/>
    <w:rsid w:val="00882336"/>
    <w:rsid w:val="008823D9"/>
    <w:rsid w:val="00882458"/>
    <w:rsid w:val="0088248A"/>
    <w:rsid w:val="008824A3"/>
    <w:rsid w:val="0088255E"/>
    <w:rsid w:val="008825C5"/>
    <w:rsid w:val="00882654"/>
    <w:rsid w:val="0088270D"/>
    <w:rsid w:val="008827B9"/>
    <w:rsid w:val="008827F7"/>
    <w:rsid w:val="00882803"/>
    <w:rsid w:val="00882819"/>
    <w:rsid w:val="00882824"/>
    <w:rsid w:val="008828A4"/>
    <w:rsid w:val="00882939"/>
    <w:rsid w:val="0088298D"/>
    <w:rsid w:val="00882AC4"/>
    <w:rsid w:val="00882B6B"/>
    <w:rsid w:val="00882CBB"/>
    <w:rsid w:val="00882D01"/>
    <w:rsid w:val="00882D3A"/>
    <w:rsid w:val="00882D81"/>
    <w:rsid w:val="00882E68"/>
    <w:rsid w:val="00882F92"/>
    <w:rsid w:val="00882FBE"/>
    <w:rsid w:val="00882FE7"/>
    <w:rsid w:val="00883084"/>
    <w:rsid w:val="00883106"/>
    <w:rsid w:val="0088312C"/>
    <w:rsid w:val="0088322F"/>
    <w:rsid w:val="00883241"/>
    <w:rsid w:val="0088330F"/>
    <w:rsid w:val="0088337A"/>
    <w:rsid w:val="008835A8"/>
    <w:rsid w:val="00883703"/>
    <w:rsid w:val="008837DE"/>
    <w:rsid w:val="00883901"/>
    <w:rsid w:val="00883907"/>
    <w:rsid w:val="00883917"/>
    <w:rsid w:val="00883A14"/>
    <w:rsid w:val="00883A43"/>
    <w:rsid w:val="00883A70"/>
    <w:rsid w:val="00883BEA"/>
    <w:rsid w:val="00883C3A"/>
    <w:rsid w:val="00883C6D"/>
    <w:rsid w:val="00883D52"/>
    <w:rsid w:val="00883DAC"/>
    <w:rsid w:val="00883EA3"/>
    <w:rsid w:val="00883F3A"/>
    <w:rsid w:val="00883F98"/>
    <w:rsid w:val="00883FD1"/>
    <w:rsid w:val="00883FF4"/>
    <w:rsid w:val="0088405B"/>
    <w:rsid w:val="0088407F"/>
    <w:rsid w:val="0088416D"/>
    <w:rsid w:val="0088418A"/>
    <w:rsid w:val="008841A7"/>
    <w:rsid w:val="0088422A"/>
    <w:rsid w:val="00884244"/>
    <w:rsid w:val="00884291"/>
    <w:rsid w:val="008842D8"/>
    <w:rsid w:val="00884375"/>
    <w:rsid w:val="008844AD"/>
    <w:rsid w:val="00884521"/>
    <w:rsid w:val="0088453B"/>
    <w:rsid w:val="00884611"/>
    <w:rsid w:val="008846D3"/>
    <w:rsid w:val="0088472B"/>
    <w:rsid w:val="00884755"/>
    <w:rsid w:val="00884931"/>
    <w:rsid w:val="00884A18"/>
    <w:rsid w:val="00884A42"/>
    <w:rsid w:val="00884B39"/>
    <w:rsid w:val="00884CCB"/>
    <w:rsid w:val="00884DA2"/>
    <w:rsid w:val="00884E5A"/>
    <w:rsid w:val="00884ECC"/>
    <w:rsid w:val="00884F5A"/>
    <w:rsid w:val="00885098"/>
    <w:rsid w:val="008850DE"/>
    <w:rsid w:val="00885100"/>
    <w:rsid w:val="00885264"/>
    <w:rsid w:val="0088528B"/>
    <w:rsid w:val="008852B8"/>
    <w:rsid w:val="008853C7"/>
    <w:rsid w:val="008853EA"/>
    <w:rsid w:val="0088544E"/>
    <w:rsid w:val="008854C8"/>
    <w:rsid w:val="008854E9"/>
    <w:rsid w:val="008855B0"/>
    <w:rsid w:val="008855FF"/>
    <w:rsid w:val="0088560D"/>
    <w:rsid w:val="00885664"/>
    <w:rsid w:val="008856A5"/>
    <w:rsid w:val="008856B5"/>
    <w:rsid w:val="00885796"/>
    <w:rsid w:val="008857A7"/>
    <w:rsid w:val="008857AA"/>
    <w:rsid w:val="008857BD"/>
    <w:rsid w:val="008858B5"/>
    <w:rsid w:val="00885A12"/>
    <w:rsid w:val="00885AAC"/>
    <w:rsid w:val="00885AE4"/>
    <w:rsid w:val="00885BAE"/>
    <w:rsid w:val="00885C4E"/>
    <w:rsid w:val="00885C6C"/>
    <w:rsid w:val="00885CE1"/>
    <w:rsid w:val="00885F20"/>
    <w:rsid w:val="00885F35"/>
    <w:rsid w:val="00885F47"/>
    <w:rsid w:val="00885F7B"/>
    <w:rsid w:val="00885FF0"/>
    <w:rsid w:val="0088602F"/>
    <w:rsid w:val="0088618F"/>
    <w:rsid w:val="00886274"/>
    <w:rsid w:val="0088629E"/>
    <w:rsid w:val="0088632F"/>
    <w:rsid w:val="0088634B"/>
    <w:rsid w:val="00886423"/>
    <w:rsid w:val="008864A8"/>
    <w:rsid w:val="0088661C"/>
    <w:rsid w:val="00886682"/>
    <w:rsid w:val="00886687"/>
    <w:rsid w:val="0088672A"/>
    <w:rsid w:val="0088673E"/>
    <w:rsid w:val="0088676F"/>
    <w:rsid w:val="008867B6"/>
    <w:rsid w:val="008867E0"/>
    <w:rsid w:val="008867F7"/>
    <w:rsid w:val="0088681A"/>
    <w:rsid w:val="0088684A"/>
    <w:rsid w:val="00886862"/>
    <w:rsid w:val="008868BB"/>
    <w:rsid w:val="008868D7"/>
    <w:rsid w:val="00886919"/>
    <w:rsid w:val="00886934"/>
    <w:rsid w:val="0088695E"/>
    <w:rsid w:val="0088696A"/>
    <w:rsid w:val="00886A13"/>
    <w:rsid w:val="00886A26"/>
    <w:rsid w:val="00886A3B"/>
    <w:rsid w:val="00886A8F"/>
    <w:rsid w:val="00886BF3"/>
    <w:rsid w:val="00886C13"/>
    <w:rsid w:val="00886C4B"/>
    <w:rsid w:val="00886C8D"/>
    <w:rsid w:val="00886CBF"/>
    <w:rsid w:val="00886CE1"/>
    <w:rsid w:val="00886D55"/>
    <w:rsid w:val="00886DB9"/>
    <w:rsid w:val="00886E2E"/>
    <w:rsid w:val="00886ED1"/>
    <w:rsid w:val="00886F7C"/>
    <w:rsid w:val="00887050"/>
    <w:rsid w:val="00887131"/>
    <w:rsid w:val="00887132"/>
    <w:rsid w:val="00887192"/>
    <w:rsid w:val="0088731B"/>
    <w:rsid w:val="00887368"/>
    <w:rsid w:val="008873E0"/>
    <w:rsid w:val="008873EB"/>
    <w:rsid w:val="008874D3"/>
    <w:rsid w:val="00887518"/>
    <w:rsid w:val="00887542"/>
    <w:rsid w:val="00887629"/>
    <w:rsid w:val="00887694"/>
    <w:rsid w:val="0088771A"/>
    <w:rsid w:val="008878A7"/>
    <w:rsid w:val="00887964"/>
    <w:rsid w:val="00887979"/>
    <w:rsid w:val="00887986"/>
    <w:rsid w:val="00887AF5"/>
    <w:rsid w:val="00887D0F"/>
    <w:rsid w:val="00887D14"/>
    <w:rsid w:val="00887DAE"/>
    <w:rsid w:val="00887DB6"/>
    <w:rsid w:val="00887F00"/>
    <w:rsid w:val="00887F3F"/>
    <w:rsid w:val="00887F97"/>
    <w:rsid w:val="008900D7"/>
    <w:rsid w:val="008901A0"/>
    <w:rsid w:val="0089023E"/>
    <w:rsid w:val="00890294"/>
    <w:rsid w:val="008904CE"/>
    <w:rsid w:val="008905AB"/>
    <w:rsid w:val="008905E6"/>
    <w:rsid w:val="008905E8"/>
    <w:rsid w:val="00890607"/>
    <w:rsid w:val="008906CB"/>
    <w:rsid w:val="0089070C"/>
    <w:rsid w:val="00890711"/>
    <w:rsid w:val="00890744"/>
    <w:rsid w:val="008907DF"/>
    <w:rsid w:val="00890815"/>
    <w:rsid w:val="0089095A"/>
    <w:rsid w:val="008909C7"/>
    <w:rsid w:val="00890A0F"/>
    <w:rsid w:val="00890A58"/>
    <w:rsid w:val="00890A73"/>
    <w:rsid w:val="00890ACD"/>
    <w:rsid w:val="00890AD5"/>
    <w:rsid w:val="00890CF9"/>
    <w:rsid w:val="00890D7B"/>
    <w:rsid w:val="00890DCF"/>
    <w:rsid w:val="00890E2E"/>
    <w:rsid w:val="00890EC7"/>
    <w:rsid w:val="008910A5"/>
    <w:rsid w:val="008911C4"/>
    <w:rsid w:val="0089126F"/>
    <w:rsid w:val="00891272"/>
    <w:rsid w:val="008912BE"/>
    <w:rsid w:val="00891336"/>
    <w:rsid w:val="008913F8"/>
    <w:rsid w:val="008914D4"/>
    <w:rsid w:val="00891573"/>
    <w:rsid w:val="008915D2"/>
    <w:rsid w:val="0089164B"/>
    <w:rsid w:val="0089167C"/>
    <w:rsid w:val="0089167F"/>
    <w:rsid w:val="00891775"/>
    <w:rsid w:val="00891825"/>
    <w:rsid w:val="00891857"/>
    <w:rsid w:val="00891949"/>
    <w:rsid w:val="008919D5"/>
    <w:rsid w:val="00891A75"/>
    <w:rsid w:val="00891C37"/>
    <w:rsid w:val="00891C8E"/>
    <w:rsid w:val="00891EE4"/>
    <w:rsid w:val="0089210A"/>
    <w:rsid w:val="0089216B"/>
    <w:rsid w:val="0089218F"/>
    <w:rsid w:val="008921B7"/>
    <w:rsid w:val="008921C1"/>
    <w:rsid w:val="008921FA"/>
    <w:rsid w:val="008921FF"/>
    <w:rsid w:val="0089220E"/>
    <w:rsid w:val="008922CD"/>
    <w:rsid w:val="00892323"/>
    <w:rsid w:val="00892330"/>
    <w:rsid w:val="008923C5"/>
    <w:rsid w:val="00892515"/>
    <w:rsid w:val="00892546"/>
    <w:rsid w:val="00892560"/>
    <w:rsid w:val="0089278E"/>
    <w:rsid w:val="0089292B"/>
    <w:rsid w:val="00892A62"/>
    <w:rsid w:val="00892AA2"/>
    <w:rsid w:val="00892BE2"/>
    <w:rsid w:val="00892C1F"/>
    <w:rsid w:val="00892C5F"/>
    <w:rsid w:val="00892CAF"/>
    <w:rsid w:val="00892D06"/>
    <w:rsid w:val="00892D67"/>
    <w:rsid w:val="00892E99"/>
    <w:rsid w:val="00892E9B"/>
    <w:rsid w:val="00892F27"/>
    <w:rsid w:val="00892F9F"/>
    <w:rsid w:val="008930BA"/>
    <w:rsid w:val="008930CD"/>
    <w:rsid w:val="0089323F"/>
    <w:rsid w:val="00893368"/>
    <w:rsid w:val="00893390"/>
    <w:rsid w:val="008933D1"/>
    <w:rsid w:val="00893615"/>
    <w:rsid w:val="008936A9"/>
    <w:rsid w:val="008936EB"/>
    <w:rsid w:val="00893798"/>
    <w:rsid w:val="008937A6"/>
    <w:rsid w:val="008937F9"/>
    <w:rsid w:val="0089382C"/>
    <w:rsid w:val="00893836"/>
    <w:rsid w:val="008938F3"/>
    <w:rsid w:val="0089395F"/>
    <w:rsid w:val="008939C8"/>
    <w:rsid w:val="00893AFC"/>
    <w:rsid w:val="00893BBD"/>
    <w:rsid w:val="00893D1E"/>
    <w:rsid w:val="00893D59"/>
    <w:rsid w:val="00893DB3"/>
    <w:rsid w:val="00893E5F"/>
    <w:rsid w:val="00893EE8"/>
    <w:rsid w:val="00893EF8"/>
    <w:rsid w:val="00893F0D"/>
    <w:rsid w:val="00893F18"/>
    <w:rsid w:val="00893FF7"/>
    <w:rsid w:val="0089401B"/>
    <w:rsid w:val="0089401E"/>
    <w:rsid w:val="0089404D"/>
    <w:rsid w:val="008940B6"/>
    <w:rsid w:val="008940EB"/>
    <w:rsid w:val="0089419A"/>
    <w:rsid w:val="008941DB"/>
    <w:rsid w:val="008942C2"/>
    <w:rsid w:val="008943C7"/>
    <w:rsid w:val="00894497"/>
    <w:rsid w:val="008944CE"/>
    <w:rsid w:val="008944F8"/>
    <w:rsid w:val="00894538"/>
    <w:rsid w:val="008945EC"/>
    <w:rsid w:val="008946A6"/>
    <w:rsid w:val="00894765"/>
    <w:rsid w:val="00894967"/>
    <w:rsid w:val="008949C5"/>
    <w:rsid w:val="00894A00"/>
    <w:rsid w:val="00894A67"/>
    <w:rsid w:val="00894AA6"/>
    <w:rsid w:val="00894B76"/>
    <w:rsid w:val="00894BE4"/>
    <w:rsid w:val="00894CA5"/>
    <w:rsid w:val="00894CCA"/>
    <w:rsid w:val="00894D06"/>
    <w:rsid w:val="00894DD0"/>
    <w:rsid w:val="00894E76"/>
    <w:rsid w:val="00894E85"/>
    <w:rsid w:val="0089503C"/>
    <w:rsid w:val="008950C4"/>
    <w:rsid w:val="008950D7"/>
    <w:rsid w:val="008950D9"/>
    <w:rsid w:val="00895117"/>
    <w:rsid w:val="0089523A"/>
    <w:rsid w:val="008952E1"/>
    <w:rsid w:val="008952F0"/>
    <w:rsid w:val="00895396"/>
    <w:rsid w:val="008953BD"/>
    <w:rsid w:val="0089541A"/>
    <w:rsid w:val="00895480"/>
    <w:rsid w:val="0089548F"/>
    <w:rsid w:val="00895533"/>
    <w:rsid w:val="0089569A"/>
    <w:rsid w:val="0089569F"/>
    <w:rsid w:val="00895797"/>
    <w:rsid w:val="008957B6"/>
    <w:rsid w:val="00895806"/>
    <w:rsid w:val="008958EA"/>
    <w:rsid w:val="00895ACD"/>
    <w:rsid w:val="00895AE9"/>
    <w:rsid w:val="00895AF8"/>
    <w:rsid w:val="00895B7F"/>
    <w:rsid w:val="00895BE9"/>
    <w:rsid w:val="00895CF1"/>
    <w:rsid w:val="00895D2F"/>
    <w:rsid w:val="00895E53"/>
    <w:rsid w:val="00895F0B"/>
    <w:rsid w:val="00895F0D"/>
    <w:rsid w:val="00895F39"/>
    <w:rsid w:val="0089605F"/>
    <w:rsid w:val="00896155"/>
    <w:rsid w:val="0089618C"/>
    <w:rsid w:val="008962C4"/>
    <w:rsid w:val="008965B0"/>
    <w:rsid w:val="00896614"/>
    <w:rsid w:val="00896718"/>
    <w:rsid w:val="00896751"/>
    <w:rsid w:val="008967EF"/>
    <w:rsid w:val="0089688C"/>
    <w:rsid w:val="008969F3"/>
    <w:rsid w:val="00896A05"/>
    <w:rsid w:val="00896A3A"/>
    <w:rsid w:val="00896AAD"/>
    <w:rsid w:val="00896BB0"/>
    <w:rsid w:val="00896BC5"/>
    <w:rsid w:val="00896BD7"/>
    <w:rsid w:val="00896D2B"/>
    <w:rsid w:val="00896DC6"/>
    <w:rsid w:val="00896E55"/>
    <w:rsid w:val="00896F26"/>
    <w:rsid w:val="00896F6D"/>
    <w:rsid w:val="0089703C"/>
    <w:rsid w:val="0089708F"/>
    <w:rsid w:val="008971D0"/>
    <w:rsid w:val="0089727F"/>
    <w:rsid w:val="008972B4"/>
    <w:rsid w:val="00897307"/>
    <w:rsid w:val="0089736F"/>
    <w:rsid w:val="008973D7"/>
    <w:rsid w:val="0089746E"/>
    <w:rsid w:val="0089748E"/>
    <w:rsid w:val="00897524"/>
    <w:rsid w:val="00897535"/>
    <w:rsid w:val="00897597"/>
    <w:rsid w:val="0089759B"/>
    <w:rsid w:val="00897623"/>
    <w:rsid w:val="00897664"/>
    <w:rsid w:val="008976C4"/>
    <w:rsid w:val="008976EA"/>
    <w:rsid w:val="0089774E"/>
    <w:rsid w:val="008977B3"/>
    <w:rsid w:val="0089789D"/>
    <w:rsid w:val="0089790B"/>
    <w:rsid w:val="00897B0D"/>
    <w:rsid w:val="00897BB1"/>
    <w:rsid w:val="00897BB8"/>
    <w:rsid w:val="00897CB5"/>
    <w:rsid w:val="00897DBB"/>
    <w:rsid w:val="00897E56"/>
    <w:rsid w:val="00897E8D"/>
    <w:rsid w:val="008A008A"/>
    <w:rsid w:val="008A0212"/>
    <w:rsid w:val="008A033A"/>
    <w:rsid w:val="008A038E"/>
    <w:rsid w:val="008A044B"/>
    <w:rsid w:val="008A0451"/>
    <w:rsid w:val="008A056A"/>
    <w:rsid w:val="008A05A2"/>
    <w:rsid w:val="008A06D9"/>
    <w:rsid w:val="008A06F6"/>
    <w:rsid w:val="008A072B"/>
    <w:rsid w:val="008A093D"/>
    <w:rsid w:val="008A0A0F"/>
    <w:rsid w:val="008A0ABE"/>
    <w:rsid w:val="008A0C2E"/>
    <w:rsid w:val="008A0DA5"/>
    <w:rsid w:val="008A0FDA"/>
    <w:rsid w:val="008A10B3"/>
    <w:rsid w:val="008A10CB"/>
    <w:rsid w:val="008A1135"/>
    <w:rsid w:val="008A118F"/>
    <w:rsid w:val="008A1191"/>
    <w:rsid w:val="008A11C3"/>
    <w:rsid w:val="008A12F1"/>
    <w:rsid w:val="008A13A1"/>
    <w:rsid w:val="008A13C1"/>
    <w:rsid w:val="008A143F"/>
    <w:rsid w:val="008A144A"/>
    <w:rsid w:val="008A14DC"/>
    <w:rsid w:val="008A15B0"/>
    <w:rsid w:val="008A15CE"/>
    <w:rsid w:val="008A165D"/>
    <w:rsid w:val="008A1673"/>
    <w:rsid w:val="008A169C"/>
    <w:rsid w:val="008A16E2"/>
    <w:rsid w:val="008A1724"/>
    <w:rsid w:val="008A1876"/>
    <w:rsid w:val="008A1912"/>
    <w:rsid w:val="008A19CF"/>
    <w:rsid w:val="008A1BCF"/>
    <w:rsid w:val="008A1C11"/>
    <w:rsid w:val="008A1C26"/>
    <w:rsid w:val="008A1C50"/>
    <w:rsid w:val="008A1C85"/>
    <w:rsid w:val="008A1DAA"/>
    <w:rsid w:val="008A1DAD"/>
    <w:rsid w:val="008A1DD8"/>
    <w:rsid w:val="008A1E1F"/>
    <w:rsid w:val="008A1EE0"/>
    <w:rsid w:val="008A20CB"/>
    <w:rsid w:val="008A2139"/>
    <w:rsid w:val="008A2162"/>
    <w:rsid w:val="008A22E9"/>
    <w:rsid w:val="008A2344"/>
    <w:rsid w:val="008A24BF"/>
    <w:rsid w:val="008A24D8"/>
    <w:rsid w:val="008A25DE"/>
    <w:rsid w:val="008A25EB"/>
    <w:rsid w:val="008A2626"/>
    <w:rsid w:val="008A26E9"/>
    <w:rsid w:val="008A271C"/>
    <w:rsid w:val="008A27B8"/>
    <w:rsid w:val="008A2854"/>
    <w:rsid w:val="008A286F"/>
    <w:rsid w:val="008A2877"/>
    <w:rsid w:val="008A2892"/>
    <w:rsid w:val="008A28F4"/>
    <w:rsid w:val="008A28F8"/>
    <w:rsid w:val="008A2939"/>
    <w:rsid w:val="008A2983"/>
    <w:rsid w:val="008A299D"/>
    <w:rsid w:val="008A2B80"/>
    <w:rsid w:val="008A2C38"/>
    <w:rsid w:val="008A2C4F"/>
    <w:rsid w:val="008A2DF8"/>
    <w:rsid w:val="008A2E99"/>
    <w:rsid w:val="008A3010"/>
    <w:rsid w:val="008A3095"/>
    <w:rsid w:val="008A31D1"/>
    <w:rsid w:val="008A32B2"/>
    <w:rsid w:val="008A3318"/>
    <w:rsid w:val="008A3409"/>
    <w:rsid w:val="008A35FF"/>
    <w:rsid w:val="008A3767"/>
    <w:rsid w:val="008A37CC"/>
    <w:rsid w:val="008A37D5"/>
    <w:rsid w:val="008A37E9"/>
    <w:rsid w:val="008A3825"/>
    <w:rsid w:val="008A390F"/>
    <w:rsid w:val="008A39E2"/>
    <w:rsid w:val="008A39E6"/>
    <w:rsid w:val="008A39F6"/>
    <w:rsid w:val="008A3AA0"/>
    <w:rsid w:val="008A3B3E"/>
    <w:rsid w:val="008A3BED"/>
    <w:rsid w:val="008A3CDF"/>
    <w:rsid w:val="008A3E71"/>
    <w:rsid w:val="008A3F49"/>
    <w:rsid w:val="008A3FBB"/>
    <w:rsid w:val="008A3FF7"/>
    <w:rsid w:val="008A40A6"/>
    <w:rsid w:val="008A40C8"/>
    <w:rsid w:val="008A40D9"/>
    <w:rsid w:val="008A4121"/>
    <w:rsid w:val="008A412C"/>
    <w:rsid w:val="008A419C"/>
    <w:rsid w:val="008A4212"/>
    <w:rsid w:val="008A4215"/>
    <w:rsid w:val="008A42A5"/>
    <w:rsid w:val="008A4355"/>
    <w:rsid w:val="008A442F"/>
    <w:rsid w:val="008A4449"/>
    <w:rsid w:val="008A474D"/>
    <w:rsid w:val="008A47E0"/>
    <w:rsid w:val="008A4823"/>
    <w:rsid w:val="008A48C5"/>
    <w:rsid w:val="008A4974"/>
    <w:rsid w:val="008A49DE"/>
    <w:rsid w:val="008A4A8F"/>
    <w:rsid w:val="008A4B46"/>
    <w:rsid w:val="008A4BDE"/>
    <w:rsid w:val="008A4C22"/>
    <w:rsid w:val="008A4C36"/>
    <w:rsid w:val="008A4D22"/>
    <w:rsid w:val="008A4EA8"/>
    <w:rsid w:val="008A4F53"/>
    <w:rsid w:val="008A50C7"/>
    <w:rsid w:val="008A5135"/>
    <w:rsid w:val="008A5180"/>
    <w:rsid w:val="008A5406"/>
    <w:rsid w:val="008A5449"/>
    <w:rsid w:val="008A5454"/>
    <w:rsid w:val="008A546B"/>
    <w:rsid w:val="008A556B"/>
    <w:rsid w:val="008A557E"/>
    <w:rsid w:val="008A55C4"/>
    <w:rsid w:val="008A570B"/>
    <w:rsid w:val="008A57E6"/>
    <w:rsid w:val="008A582E"/>
    <w:rsid w:val="008A58E6"/>
    <w:rsid w:val="008A59A1"/>
    <w:rsid w:val="008A59FF"/>
    <w:rsid w:val="008A5AB6"/>
    <w:rsid w:val="008A5B18"/>
    <w:rsid w:val="008A5BCB"/>
    <w:rsid w:val="008A5BE0"/>
    <w:rsid w:val="008A5CC3"/>
    <w:rsid w:val="008A5D1E"/>
    <w:rsid w:val="008A5E69"/>
    <w:rsid w:val="008A5EEE"/>
    <w:rsid w:val="008A6123"/>
    <w:rsid w:val="008A6132"/>
    <w:rsid w:val="008A6172"/>
    <w:rsid w:val="008A621B"/>
    <w:rsid w:val="008A622C"/>
    <w:rsid w:val="008A6272"/>
    <w:rsid w:val="008A62FF"/>
    <w:rsid w:val="008A6332"/>
    <w:rsid w:val="008A655E"/>
    <w:rsid w:val="008A65F8"/>
    <w:rsid w:val="008A6618"/>
    <w:rsid w:val="008A6780"/>
    <w:rsid w:val="008A67A2"/>
    <w:rsid w:val="008A67D5"/>
    <w:rsid w:val="008A67EC"/>
    <w:rsid w:val="008A685F"/>
    <w:rsid w:val="008A68BB"/>
    <w:rsid w:val="008A6923"/>
    <w:rsid w:val="008A69F0"/>
    <w:rsid w:val="008A6AD3"/>
    <w:rsid w:val="008A6B42"/>
    <w:rsid w:val="008A6BBC"/>
    <w:rsid w:val="008A6BDD"/>
    <w:rsid w:val="008A6D1A"/>
    <w:rsid w:val="008A6EE6"/>
    <w:rsid w:val="008A6F18"/>
    <w:rsid w:val="008A6F84"/>
    <w:rsid w:val="008A7142"/>
    <w:rsid w:val="008A723A"/>
    <w:rsid w:val="008A723B"/>
    <w:rsid w:val="008A7356"/>
    <w:rsid w:val="008A7426"/>
    <w:rsid w:val="008A74A6"/>
    <w:rsid w:val="008A751B"/>
    <w:rsid w:val="008A75BC"/>
    <w:rsid w:val="008A7836"/>
    <w:rsid w:val="008A787B"/>
    <w:rsid w:val="008A78C1"/>
    <w:rsid w:val="008A7935"/>
    <w:rsid w:val="008A797B"/>
    <w:rsid w:val="008A7B39"/>
    <w:rsid w:val="008A7D1E"/>
    <w:rsid w:val="008A7D3F"/>
    <w:rsid w:val="008A7DC7"/>
    <w:rsid w:val="008A7E17"/>
    <w:rsid w:val="008A7EE1"/>
    <w:rsid w:val="008B0021"/>
    <w:rsid w:val="008B02AD"/>
    <w:rsid w:val="008B0312"/>
    <w:rsid w:val="008B0337"/>
    <w:rsid w:val="008B0385"/>
    <w:rsid w:val="008B0390"/>
    <w:rsid w:val="008B039B"/>
    <w:rsid w:val="008B04B6"/>
    <w:rsid w:val="008B04F0"/>
    <w:rsid w:val="008B0520"/>
    <w:rsid w:val="008B0822"/>
    <w:rsid w:val="008B086F"/>
    <w:rsid w:val="008B0878"/>
    <w:rsid w:val="008B0881"/>
    <w:rsid w:val="008B0943"/>
    <w:rsid w:val="008B099B"/>
    <w:rsid w:val="008B09CE"/>
    <w:rsid w:val="008B0A97"/>
    <w:rsid w:val="008B0AD0"/>
    <w:rsid w:val="008B0BAD"/>
    <w:rsid w:val="008B0BFF"/>
    <w:rsid w:val="008B0CD5"/>
    <w:rsid w:val="008B0ECC"/>
    <w:rsid w:val="008B0F09"/>
    <w:rsid w:val="008B0F91"/>
    <w:rsid w:val="008B0FAF"/>
    <w:rsid w:val="008B100F"/>
    <w:rsid w:val="008B112E"/>
    <w:rsid w:val="008B113E"/>
    <w:rsid w:val="008B118E"/>
    <w:rsid w:val="008B11DF"/>
    <w:rsid w:val="008B1236"/>
    <w:rsid w:val="008B1282"/>
    <w:rsid w:val="008B14E2"/>
    <w:rsid w:val="008B151C"/>
    <w:rsid w:val="008B1602"/>
    <w:rsid w:val="008B16C1"/>
    <w:rsid w:val="008B16F1"/>
    <w:rsid w:val="008B170E"/>
    <w:rsid w:val="008B178F"/>
    <w:rsid w:val="008B1806"/>
    <w:rsid w:val="008B18FB"/>
    <w:rsid w:val="008B195A"/>
    <w:rsid w:val="008B1968"/>
    <w:rsid w:val="008B19D6"/>
    <w:rsid w:val="008B19D7"/>
    <w:rsid w:val="008B1A75"/>
    <w:rsid w:val="008B1B5A"/>
    <w:rsid w:val="008B1C36"/>
    <w:rsid w:val="008B1CF3"/>
    <w:rsid w:val="008B1D08"/>
    <w:rsid w:val="008B1D46"/>
    <w:rsid w:val="008B1D75"/>
    <w:rsid w:val="008B1D7B"/>
    <w:rsid w:val="008B1EFC"/>
    <w:rsid w:val="008B20B0"/>
    <w:rsid w:val="008B2108"/>
    <w:rsid w:val="008B217F"/>
    <w:rsid w:val="008B223D"/>
    <w:rsid w:val="008B233F"/>
    <w:rsid w:val="008B234D"/>
    <w:rsid w:val="008B24C5"/>
    <w:rsid w:val="008B24DE"/>
    <w:rsid w:val="008B25C6"/>
    <w:rsid w:val="008B2609"/>
    <w:rsid w:val="008B262A"/>
    <w:rsid w:val="008B26B2"/>
    <w:rsid w:val="008B26F8"/>
    <w:rsid w:val="008B2713"/>
    <w:rsid w:val="008B2867"/>
    <w:rsid w:val="008B28E4"/>
    <w:rsid w:val="008B2A66"/>
    <w:rsid w:val="008B2A9F"/>
    <w:rsid w:val="008B2AB6"/>
    <w:rsid w:val="008B2AD1"/>
    <w:rsid w:val="008B2ADC"/>
    <w:rsid w:val="008B2AF7"/>
    <w:rsid w:val="008B2B71"/>
    <w:rsid w:val="008B2C14"/>
    <w:rsid w:val="008B2C7B"/>
    <w:rsid w:val="008B2C93"/>
    <w:rsid w:val="008B2D65"/>
    <w:rsid w:val="008B2DBF"/>
    <w:rsid w:val="008B2E15"/>
    <w:rsid w:val="008B2E59"/>
    <w:rsid w:val="008B2F8F"/>
    <w:rsid w:val="008B2FA9"/>
    <w:rsid w:val="008B30B2"/>
    <w:rsid w:val="008B30B4"/>
    <w:rsid w:val="008B31AB"/>
    <w:rsid w:val="008B31B2"/>
    <w:rsid w:val="008B32A4"/>
    <w:rsid w:val="008B3480"/>
    <w:rsid w:val="008B3550"/>
    <w:rsid w:val="008B35E4"/>
    <w:rsid w:val="008B366F"/>
    <w:rsid w:val="008B37F0"/>
    <w:rsid w:val="008B3994"/>
    <w:rsid w:val="008B3AA8"/>
    <w:rsid w:val="008B3AC6"/>
    <w:rsid w:val="008B3C5D"/>
    <w:rsid w:val="008B3CC9"/>
    <w:rsid w:val="008B3CE7"/>
    <w:rsid w:val="008B3D27"/>
    <w:rsid w:val="008B3D9F"/>
    <w:rsid w:val="008B3E06"/>
    <w:rsid w:val="008B3E07"/>
    <w:rsid w:val="008B40BC"/>
    <w:rsid w:val="008B40EC"/>
    <w:rsid w:val="008B4202"/>
    <w:rsid w:val="008B4207"/>
    <w:rsid w:val="008B4221"/>
    <w:rsid w:val="008B422B"/>
    <w:rsid w:val="008B425C"/>
    <w:rsid w:val="008B44A8"/>
    <w:rsid w:val="008B44CC"/>
    <w:rsid w:val="008B4525"/>
    <w:rsid w:val="008B45DF"/>
    <w:rsid w:val="008B46DF"/>
    <w:rsid w:val="008B47AA"/>
    <w:rsid w:val="008B4897"/>
    <w:rsid w:val="008B48F3"/>
    <w:rsid w:val="008B495C"/>
    <w:rsid w:val="008B4A08"/>
    <w:rsid w:val="008B4B7F"/>
    <w:rsid w:val="008B4DC1"/>
    <w:rsid w:val="008B4DFB"/>
    <w:rsid w:val="008B4EB4"/>
    <w:rsid w:val="008B4F12"/>
    <w:rsid w:val="008B4F2C"/>
    <w:rsid w:val="008B4F65"/>
    <w:rsid w:val="008B514A"/>
    <w:rsid w:val="008B5150"/>
    <w:rsid w:val="008B5292"/>
    <w:rsid w:val="008B52E2"/>
    <w:rsid w:val="008B536C"/>
    <w:rsid w:val="008B53DC"/>
    <w:rsid w:val="008B53F4"/>
    <w:rsid w:val="008B5440"/>
    <w:rsid w:val="008B546F"/>
    <w:rsid w:val="008B54F4"/>
    <w:rsid w:val="008B5545"/>
    <w:rsid w:val="008B5556"/>
    <w:rsid w:val="008B572F"/>
    <w:rsid w:val="008B575C"/>
    <w:rsid w:val="008B5899"/>
    <w:rsid w:val="008B5937"/>
    <w:rsid w:val="008B5A65"/>
    <w:rsid w:val="008B5A82"/>
    <w:rsid w:val="008B5B44"/>
    <w:rsid w:val="008B5CB7"/>
    <w:rsid w:val="008B5CD9"/>
    <w:rsid w:val="008B5D36"/>
    <w:rsid w:val="008B5D69"/>
    <w:rsid w:val="008B5E63"/>
    <w:rsid w:val="008B5F51"/>
    <w:rsid w:val="008B5FB3"/>
    <w:rsid w:val="008B60A3"/>
    <w:rsid w:val="008B6233"/>
    <w:rsid w:val="008B6240"/>
    <w:rsid w:val="008B62B3"/>
    <w:rsid w:val="008B6371"/>
    <w:rsid w:val="008B637F"/>
    <w:rsid w:val="008B63A4"/>
    <w:rsid w:val="008B6681"/>
    <w:rsid w:val="008B6754"/>
    <w:rsid w:val="008B6871"/>
    <w:rsid w:val="008B68E3"/>
    <w:rsid w:val="008B6917"/>
    <w:rsid w:val="008B6948"/>
    <w:rsid w:val="008B6A2D"/>
    <w:rsid w:val="008B6A2F"/>
    <w:rsid w:val="008B6A68"/>
    <w:rsid w:val="008B6BD4"/>
    <w:rsid w:val="008B6BE5"/>
    <w:rsid w:val="008B6C23"/>
    <w:rsid w:val="008B6C34"/>
    <w:rsid w:val="008B6D05"/>
    <w:rsid w:val="008B6D2A"/>
    <w:rsid w:val="008B6D68"/>
    <w:rsid w:val="008B6D69"/>
    <w:rsid w:val="008B6DCC"/>
    <w:rsid w:val="008B6EDD"/>
    <w:rsid w:val="008B6F5C"/>
    <w:rsid w:val="008B6F5E"/>
    <w:rsid w:val="008B6F62"/>
    <w:rsid w:val="008B6FF3"/>
    <w:rsid w:val="008B706C"/>
    <w:rsid w:val="008B7154"/>
    <w:rsid w:val="008B7157"/>
    <w:rsid w:val="008B71AA"/>
    <w:rsid w:val="008B71FA"/>
    <w:rsid w:val="008B7255"/>
    <w:rsid w:val="008B726E"/>
    <w:rsid w:val="008B72F9"/>
    <w:rsid w:val="008B730E"/>
    <w:rsid w:val="008B747B"/>
    <w:rsid w:val="008B755C"/>
    <w:rsid w:val="008B760F"/>
    <w:rsid w:val="008B76D1"/>
    <w:rsid w:val="008B76DF"/>
    <w:rsid w:val="008B77F2"/>
    <w:rsid w:val="008B7908"/>
    <w:rsid w:val="008B790B"/>
    <w:rsid w:val="008B79AE"/>
    <w:rsid w:val="008B79C3"/>
    <w:rsid w:val="008B79D4"/>
    <w:rsid w:val="008B7AA8"/>
    <w:rsid w:val="008B7B8F"/>
    <w:rsid w:val="008B7BE6"/>
    <w:rsid w:val="008B7D52"/>
    <w:rsid w:val="008B7DD2"/>
    <w:rsid w:val="008B7E3E"/>
    <w:rsid w:val="008B7E9B"/>
    <w:rsid w:val="008B7F68"/>
    <w:rsid w:val="008C000E"/>
    <w:rsid w:val="008C0036"/>
    <w:rsid w:val="008C011F"/>
    <w:rsid w:val="008C0178"/>
    <w:rsid w:val="008C027D"/>
    <w:rsid w:val="008C02A2"/>
    <w:rsid w:val="008C0339"/>
    <w:rsid w:val="008C043F"/>
    <w:rsid w:val="008C04EF"/>
    <w:rsid w:val="008C0599"/>
    <w:rsid w:val="008C0633"/>
    <w:rsid w:val="008C06B6"/>
    <w:rsid w:val="008C08EB"/>
    <w:rsid w:val="008C0921"/>
    <w:rsid w:val="008C0A97"/>
    <w:rsid w:val="008C0AE1"/>
    <w:rsid w:val="008C0AFC"/>
    <w:rsid w:val="008C0B83"/>
    <w:rsid w:val="008C0C95"/>
    <w:rsid w:val="008C0C9B"/>
    <w:rsid w:val="008C0E4E"/>
    <w:rsid w:val="008C0FAA"/>
    <w:rsid w:val="008C10C3"/>
    <w:rsid w:val="008C10F4"/>
    <w:rsid w:val="008C10FB"/>
    <w:rsid w:val="008C11E2"/>
    <w:rsid w:val="008C1212"/>
    <w:rsid w:val="008C127D"/>
    <w:rsid w:val="008C1281"/>
    <w:rsid w:val="008C13E9"/>
    <w:rsid w:val="008C14B5"/>
    <w:rsid w:val="008C14BC"/>
    <w:rsid w:val="008C14E8"/>
    <w:rsid w:val="008C1626"/>
    <w:rsid w:val="008C1674"/>
    <w:rsid w:val="008C16AE"/>
    <w:rsid w:val="008C17D3"/>
    <w:rsid w:val="008C185F"/>
    <w:rsid w:val="008C1899"/>
    <w:rsid w:val="008C18CC"/>
    <w:rsid w:val="008C1A57"/>
    <w:rsid w:val="008C1BB0"/>
    <w:rsid w:val="008C1CAF"/>
    <w:rsid w:val="008C1D22"/>
    <w:rsid w:val="008C1D81"/>
    <w:rsid w:val="008C1DEA"/>
    <w:rsid w:val="008C1E05"/>
    <w:rsid w:val="008C1E10"/>
    <w:rsid w:val="008C1E30"/>
    <w:rsid w:val="008C1E99"/>
    <w:rsid w:val="008C1E9B"/>
    <w:rsid w:val="008C1EBB"/>
    <w:rsid w:val="008C1F11"/>
    <w:rsid w:val="008C1FB9"/>
    <w:rsid w:val="008C200E"/>
    <w:rsid w:val="008C2118"/>
    <w:rsid w:val="008C214A"/>
    <w:rsid w:val="008C225C"/>
    <w:rsid w:val="008C2286"/>
    <w:rsid w:val="008C2305"/>
    <w:rsid w:val="008C239F"/>
    <w:rsid w:val="008C242D"/>
    <w:rsid w:val="008C2496"/>
    <w:rsid w:val="008C24EF"/>
    <w:rsid w:val="008C252A"/>
    <w:rsid w:val="008C25CD"/>
    <w:rsid w:val="008C2770"/>
    <w:rsid w:val="008C27F7"/>
    <w:rsid w:val="008C284D"/>
    <w:rsid w:val="008C2865"/>
    <w:rsid w:val="008C290A"/>
    <w:rsid w:val="008C2A64"/>
    <w:rsid w:val="008C2B1E"/>
    <w:rsid w:val="008C2C50"/>
    <w:rsid w:val="008C2D34"/>
    <w:rsid w:val="008C2D60"/>
    <w:rsid w:val="008C2DF7"/>
    <w:rsid w:val="008C2E61"/>
    <w:rsid w:val="008C2F24"/>
    <w:rsid w:val="008C2F2D"/>
    <w:rsid w:val="008C2F43"/>
    <w:rsid w:val="008C2FED"/>
    <w:rsid w:val="008C305C"/>
    <w:rsid w:val="008C322C"/>
    <w:rsid w:val="008C3257"/>
    <w:rsid w:val="008C342E"/>
    <w:rsid w:val="008C34DF"/>
    <w:rsid w:val="008C3507"/>
    <w:rsid w:val="008C3568"/>
    <w:rsid w:val="008C3596"/>
    <w:rsid w:val="008C3648"/>
    <w:rsid w:val="008C36DD"/>
    <w:rsid w:val="008C36EF"/>
    <w:rsid w:val="008C3729"/>
    <w:rsid w:val="008C372F"/>
    <w:rsid w:val="008C3823"/>
    <w:rsid w:val="008C383C"/>
    <w:rsid w:val="008C3860"/>
    <w:rsid w:val="008C386B"/>
    <w:rsid w:val="008C386C"/>
    <w:rsid w:val="008C3A22"/>
    <w:rsid w:val="008C3B6E"/>
    <w:rsid w:val="008C3C05"/>
    <w:rsid w:val="008C3C88"/>
    <w:rsid w:val="008C3C8B"/>
    <w:rsid w:val="008C3E81"/>
    <w:rsid w:val="008C3EAC"/>
    <w:rsid w:val="008C3FE3"/>
    <w:rsid w:val="008C414B"/>
    <w:rsid w:val="008C4226"/>
    <w:rsid w:val="008C42BC"/>
    <w:rsid w:val="008C436B"/>
    <w:rsid w:val="008C439E"/>
    <w:rsid w:val="008C44CC"/>
    <w:rsid w:val="008C44F8"/>
    <w:rsid w:val="008C4537"/>
    <w:rsid w:val="008C4657"/>
    <w:rsid w:val="008C46AA"/>
    <w:rsid w:val="008C472B"/>
    <w:rsid w:val="008C4795"/>
    <w:rsid w:val="008C4815"/>
    <w:rsid w:val="008C492F"/>
    <w:rsid w:val="008C4945"/>
    <w:rsid w:val="008C49B0"/>
    <w:rsid w:val="008C4B2C"/>
    <w:rsid w:val="008C4B48"/>
    <w:rsid w:val="008C4B6C"/>
    <w:rsid w:val="008C4B8D"/>
    <w:rsid w:val="008C4BD6"/>
    <w:rsid w:val="008C4C20"/>
    <w:rsid w:val="008C4C35"/>
    <w:rsid w:val="008C4C91"/>
    <w:rsid w:val="008C4E3E"/>
    <w:rsid w:val="008C4E81"/>
    <w:rsid w:val="008C4ED0"/>
    <w:rsid w:val="008C4F64"/>
    <w:rsid w:val="008C504C"/>
    <w:rsid w:val="008C5194"/>
    <w:rsid w:val="008C51AD"/>
    <w:rsid w:val="008C51BF"/>
    <w:rsid w:val="008C521C"/>
    <w:rsid w:val="008C52E9"/>
    <w:rsid w:val="008C52EB"/>
    <w:rsid w:val="008C534D"/>
    <w:rsid w:val="008C5370"/>
    <w:rsid w:val="008C537F"/>
    <w:rsid w:val="008C5395"/>
    <w:rsid w:val="008C53A3"/>
    <w:rsid w:val="008C549F"/>
    <w:rsid w:val="008C5533"/>
    <w:rsid w:val="008C5636"/>
    <w:rsid w:val="008C568B"/>
    <w:rsid w:val="008C584B"/>
    <w:rsid w:val="008C5862"/>
    <w:rsid w:val="008C595B"/>
    <w:rsid w:val="008C596A"/>
    <w:rsid w:val="008C5A4D"/>
    <w:rsid w:val="008C5AB2"/>
    <w:rsid w:val="008C5AD2"/>
    <w:rsid w:val="008C5B20"/>
    <w:rsid w:val="008C5B3A"/>
    <w:rsid w:val="008C5B81"/>
    <w:rsid w:val="008C5BEC"/>
    <w:rsid w:val="008C5CA7"/>
    <w:rsid w:val="008C5CB5"/>
    <w:rsid w:val="008C5D2C"/>
    <w:rsid w:val="008C5E95"/>
    <w:rsid w:val="008C5EB0"/>
    <w:rsid w:val="008C5F45"/>
    <w:rsid w:val="008C6097"/>
    <w:rsid w:val="008C6129"/>
    <w:rsid w:val="008C61F1"/>
    <w:rsid w:val="008C62EF"/>
    <w:rsid w:val="008C6301"/>
    <w:rsid w:val="008C648E"/>
    <w:rsid w:val="008C64C7"/>
    <w:rsid w:val="008C6564"/>
    <w:rsid w:val="008C6571"/>
    <w:rsid w:val="008C65A0"/>
    <w:rsid w:val="008C65BD"/>
    <w:rsid w:val="008C66AF"/>
    <w:rsid w:val="008C66F8"/>
    <w:rsid w:val="008C679F"/>
    <w:rsid w:val="008C6805"/>
    <w:rsid w:val="008C6898"/>
    <w:rsid w:val="008C68D7"/>
    <w:rsid w:val="008C68F9"/>
    <w:rsid w:val="008C6936"/>
    <w:rsid w:val="008C6998"/>
    <w:rsid w:val="008C6A0C"/>
    <w:rsid w:val="008C6A2B"/>
    <w:rsid w:val="008C6A4B"/>
    <w:rsid w:val="008C6BA0"/>
    <w:rsid w:val="008C6BA4"/>
    <w:rsid w:val="008C6BE8"/>
    <w:rsid w:val="008C6C13"/>
    <w:rsid w:val="008C6C73"/>
    <w:rsid w:val="008C6C81"/>
    <w:rsid w:val="008C6CAD"/>
    <w:rsid w:val="008C6D7A"/>
    <w:rsid w:val="008C6FF9"/>
    <w:rsid w:val="008C7234"/>
    <w:rsid w:val="008C73B9"/>
    <w:rsid w:val="008C743F"/>
    <w:rsid w:val="008C75B2"/>
    <w:rsid w:val="008C75CD"/>
    <w:rsid w:val="008C7696"/>
    <w:rsid w:val="008C76B3"/>
    <w:rsid w:val="008C76CC"/>
    <w:rsid w:val="008C7736"/>
    <w:rsid w:val="008C7784"/>
    <w:rsid w:val="008C7814"/>
    <w:rsid w:val="008C7935"/>
    <w:rsid w:val="008C7A50"/>
    <w:rsid w:val="008C7AE6"/>
    <w:rsid w:val="008C7AF3"/>
    <w:rsid w:val="008C7AF6"/>
    <w:rsid w:val="008C7B1F"/>
    <w:rsid w:val="008C7BF4"/>
    <w:rsid w:val="008C7C62"/>
    <w:rsid w:val="008C7CB5"/>
    <w:rsid w:val="008C7D1D"/>
    <w:rsid w:val="008C7DAA"/>
    <w:rsid w:val="008C7EDE"/>
    <w:rsid w:val="008C7F36"/>
    <w:rsid w:val="008C7F3D"/>
    <w:rsid w:val="008C7F88"/>
    <w:rsid w:val="008D002A"/>
    <w:rsid w:val="008D00C0"/>
    <w:rsid w:val="008D0119"/>
    <w:rsid w:val="008D0148"/>
    <w:rsid w:val="008D0155"/>
    <w:rsid w:val="008D025D"/>
    <w:rsid w:val="008D0280"/>
    <w:rsid w:val="008D02A4"/>
    <w:rsid w:val="008D02B6"/>
    <w:rsid w:val="008D0416"/>
    <w:rsid w:val="008D0574"/>
    <w:rsid w:val="008D06D0"/>
    <w:rsid w:val="008D06E4"/>
    <w:rsid w:val="008D0726"/>
    <w:rsid w:val="008D078B"/>
    <w:rsid w:val="008D079B"/>
    <w:rsid w:val="008D07C3"/>
    <w:rsid w:val="008D08A2"/>
    <w:rsid w:val="008D099F"/>
    <w:rsid w:val="008D09B7"/>
    <w:rsid w:val="008D0A36"/>
    <w:rsid w:val="008D0AA1"/>
    <w:rsid w:val="008D0C4C"/>
    <w:rsid w:val="008D0C88"/>
    <w:rsid w:val="008D0D0B"/>
    <w:rsid w:val="008D0EC0"/>
    <w:rsid w:val="008D0EF3"/>
    <w:rsid w:val="008D1043"/>
    <w:rsid w:val="008D10AB"/>
    <w:rsid w:val="008D10CC"/>
    <w:rsid w:val="008D1161"/>
    <w:rsid w:val="008D11F0"/>
    <w:rsid w:val="008D1503"/>
    <w:rsid w:val="008D17F2"/>
    <w:rsid w:val="008D180E"/>
    <w:rsid w:val="008D1889"/>
    <w:rsid w:val="008D189B"/>
    <w:rsid w:val="008D18BD"/>
    <w:rsid w:val="008D19F1"/>
    <w:rsid w:val="008D1A75"/>
    <w:rsid w:val="008D1ABF"/>
    <w:rsid w:val="008D1B0C"/>
    <w:rsid w:val="008D1B9C"/>
    <w:rsid w:val="008D1BC7"/>
    <w:rsid w:val="008D1BCC"/>
    <w:rsid w:val="008D1BF8"/>
    <w:rsid w:val="008D1C25"/>
    <w:rsid w:val="008D1CE1"/>
    <w:rsid w:val="008D1DEE"/>
    <w:rsid w:val="008D1E0D"/>
    <w:rsid w:val="008D1E34"/>
    <w:rsid w:val="008D1EFB"/>
    <w:rsid w:val="008D203E"/>
    <w:rsid w:val="008D2118"/>
    <w:rsid w:val="008D2294"/>
    <w:rsid w:val="008D22E7"/>
    <w:rsid w:val="008D234F"/>
    <w:rsid w:val="008D23E6"/>
    <w:rsid w:val="008D23F2"/>
    <w:rsid w:val="008D244B"/>
    <w:rsid w:val="008D247A"/>
    <w:rsid w:val="008D24DA"/>
    <w:rsid w:val="008D24ED"/>
    <w:rsid w:val="008D255C"/>
    <w:rsid w:val="008D2562"/>
    <w:rsid w:val="008D2594"/>
    <w:rsid w:val="008D25D7"/>
    <w:rsid w:val="008D276F"/>
    <w:rsid w:val="008D278D"/>
    <w:rsid w:val="008D282D"/>
    <w:rsid w:val="008D2837"/>
    <w:rsid w:val="008D2911"/>
    <w:rsid w:val="008D2976"/>
    <w:rsid w:val="008D2A20"/>
    <w:rsid w:val="008D2AFD"/>
    <w:rsid w:val="008D2B20"/>
    <w:rsid w:val="008D2B59"/>
    <w:rsid w:val="008D2BD1"/>
    <w:rsid w:val="008D2BF7"/>
    <w:rsid w:val="008D2CAF"/>
    <w:rsid w:val="008D2CF7"/>
    <w:rsid w:val="008D2D2A"/>
    <w:rsid w:val="008D2DAE"/>
    <w:rsid w:val="008D2E38"/>
    <w:rsid w:val="008D2EBE"/>
    <w:rsid w:val="008D2F2A"/>
    <w:rsid w:val="008D2F3C"/>
    <w:rsid w:val="008D3050"/>
    <w:rsid w:val="008D30BC"/>
    <w:rsid w:val="008D31CE"/>
    <w:rsid w:val="008D31D6"/>
    <w:rsid w:val="008D3371"/>
    <w:rsid w:val="008D35BC"/>
    <w:rsid w:val="008D35CE"/>
    <w:rsid w:val="008D35D9"/>
    <w:rsid w:val="008D361C"/>
    <w:rsid w:val="008D3752"/>
    <w:rsid w:val="008D3767"/>
    <w:rsid w:val="008D3840"/>
    <w:rsid w:val="008D3A81"/>
    <w:rsid w:val="008D3AE8"/>
    <w:rsid w:val="008D3B86"/>
    <w:rsid w:val="008D3D58"/>
    <w:rsid w:val="008D3D5B"/>
    <w:rsid w:val="008D3D7A"/>
    <w:rsid w:val="008D3DBB"/>
    <w:rsid w:val="008D3E2D"/>
    <w:rsid w:val="008D3F5E"/>
    <w:rsid w:val="008D3FA5"/>
    <w:rsid w:val="008D405D"/>
    <w:rsid w:val="008D406C"/>
    <w:rsid w:val="008D414C"/>
    <w:rsid w:val="008D426D"/>
    <w:rsid w:val="008D4274"/>
    <w:rsid w:val="008D4290"/>
    <w:rsid w:val="008D42BB"/>
    <w:rsid w:val="008D42CC"/>
    <w:rsid w:val="008D4366"/>
    <w:rsid w:val="008D437F"/>
    <w:rsid w:val="008D4457"/>
    <w:rsid w:val="008D4567"/>
    <w:rsid w:val="008D45DE"/>
    <w:rsid w:val="008D45FD"/>
    <w:rsid w:val="008D467F"/>
    <w:rsid w:val="008D4714"/>
    <w:rsid w:val="008D4763"/>
    <w:rsid w:val="008D47D8"/>
    <w:rsid w:val="008D48B7"/>
    <w:rsid w:val="008D4A01"/>
    <w:rsid w:val="008D4A5B"/>
    <w:rsid w:val="008D4B43"/>
    <w:rsid w:val="008D4BF9"/>
    <w:rsid w:val="008D4C93"/>
    <w:rsid w:val="008D4CA4"/>
    <w:rsid w:val="008D4D14"/>
    <w:rsid w:val="008D4D6F"/>
    <w:rsid w:val="008D4D8C"/>
    <w:rsid w:val="008D4EC6"/>
    <w:rsid w:val="008D4EF8"/>
    <w:rsid w:val="008D5117"/>
    <w:rsid w:val="008D5136"/>
    <w:rsid w:val="008D5152"/>
    <w:rsid w:val="008D5251"/>
    <w:rsid w:val="008D52DE"/>
    <w:rsid w:val="008D559D"/>
    <w:rsid w:val="008D55D1"/>
    <w:rsid w:val="008D5631"/>
    <w:rsid w:val="008D5690"/>
    <w:rsid w:val="008D572A"/>
    <w:rsid w:val="008D58C2"/>
    <w:rsid w:val="008D58FF"/>
    <w:rsid w:val="008D59AF"/>
    <w:rsid w:val="008D59E5"/>
    <w:rsid w:val="008D5B19"/>
    <w:rsid w:val="008D5B1A"/>
    <w:rsid w:val="008D5C22"/>
    <w:rsid w:val="008D5C54"/>
    <w:rsid w:val="008D5D49"/>
    <w:rsid w:val="008D5E14"/>
    <w:rsid w:val="008D5E3A"/>
    <w:rsid w:val="008D5E50"/>
    <w:rsid w:val="008D5E5C"/>
    <w:rsid w:val="008D5F81"/>
    <w:rsid w:val="008D5F83"/>
    <w:rsid w:val="008D5FBB"/>
    <w:rsid w:val="008D62E3"/>
    <w:rsid w:val="008D62F0"/>
    <w:rsid w:val="008D657A"/>
    <w:rsid w:val="008D66A2"/>
    <w:rsid w:val="008D6844"/>
    <w:rsid w:val="008D68DC"/>
    <w:rsid w:val="008D6979"/>
    <w:rsid w:val="008D6B18"/>
    <w:rsid w:val="008D6B42"/>
    <w:rsid w:val="008D6B5D"/>
    <w:rsid w:val="008D6B7D"/>
    <w:rsid w:val="008D6BE7"/>
    <w:rsid w:val="008D6CE5"/>
    <w:rsid w:val="008D6D0B"/>
    <w:rsid w:val="008D6D12"/>
    <w:rsid w:val="008D6E77"/>
    <w:rsid w:val="008D6E9A"/>
    <w:rsid w:val="008D6F5A"/>
    <w:rsid w:val="008D6FE9"/>
    <w:rsid w:val="008D7011"/>
    <w:rsid w:val="008D7017"/>
    <w:rsid w:val="008D705E"/>
    <w:rsid w:val="008D7067"/>
    <w:rsid w:val="008D70C9"/>
    <w:rsid w:val="008D71E2"/>
    <w:rsid w:val="008D72D3"/>
    <w:rsid w:val="008D748D"/>
    <w:rsid w:val="008D759F"/>
    <w:rsid w:val="008D75B5"/>
    <w:rsid w:val="008D75B9"/>
    <w:rsid w:val="008D7643"/>
    <w:rsid w:val="008D7693"/>
    <w:rsid w:val="008D7753"/>
    <w:rsid w:val="008D77C6"/>
    <w:rsid w:val="008D77CF"/>
    <w:rsid w:val="008D77F7"/>
    <w:rsid w:val="008D7982"/>
    <w:rsid w:val="008D799E"/>
    <w:rsid w:val="008D79C3"/>
    <w:rsid w:val="008D79DF"/>
    <w:rsid w:val="008D7B2E"/>
    <w:rsid w:val="008D7B6D"/>
    <w:rsid w:val="008D7D2E"/>
    <w:rsid w:val="008D7D57"/>
    <w:rsid w:val="008D7DDB"/>
    <w:rsid w:val="008D7E9A"/>
    <w:rsid w:val="008E0069"/>
    <w:rsid w:val="008E009A"/>
    <w:rsid w:val="008E00C4"/>
    <w:rsid w:val="008E00CE"/>
    <w:rsid w:val="008E01FB"/>
    <w:rsid w:val="008E022C"/>
    <w:rsid w:val="008E029E"/>
    <w:rsid w:val="008E0536"/>
    <w:rsid w:val="008E0607"/>
    <w:rsid w:val="008E060A"/>
    <w:rsid w:val="008E0642"/>
    <w:rsid w:val="008E064C"/>
    <w:rsid w:val="008E093C"/>
    <w:rsid w:val="008E09B4"/>
    <w:rsid w:val="008E09C9"/>
    <w:rsid w:val="008E0B3C"/>
    <w:rsid w:val="008E0BBB"/>
    <w:rsid w:val="008E0BE4"/>
    <w:rsid w:val="008E0C14"/>
    <w:rsid w:val="008E0CB0"/>
    <w:rsid w:val="008E0CB2"/>
    <w:rsid w:val="008E0D2E"/>
    <w:rsid w:val="008E0D41"/>
    <w:rsid w:val="008E0D4A"/>
    <w:rsid w:val="008E0EC1"/>
    <w:rsid w:val="008E0F0A"/>
    <w:rsid w:val="008E0F56"/>
    <w:rsid w:val="008E0FC7"/>
    <w:rsid w:val="008E1050"/>
    <w:rsid w:val="008E107F"/>
    <w:rsid w:val="008E1080"/>
    <w:rsid w:val="008E108F"/>
    <w:rsid w:val="008E1112"/>
    <w:rsid w:val="008E1251"/>
    <w:rsid w:val="008E12D3"/>
    <w:rsid w:val="008E1304"/>
    <w:rsid w:val="008E1362"/>
    <w:rsid w:val="008E137A"/>
    <w:rsid w:val="008E1390"/>
    <w:rsid w:val="008E1396"/>
    <w:rsid w:val="008E14B9"/>
    <w:rsid w:val="008E151D"/>
    <w:rsid w:val="008E1590"/>
    <w:rsid w:val="008E15FF"/>
    <w:rsid w:val="008E16C0"/>
    <w:rsid w:val="008E195E"/>
    <w:rsid w:val="008E1A79"/>
    <w:rsid w:val="008E1AA8"/>
    <w:rsid w:val="008E1AED"/>
    <w:rsid w:val="008E1B0D"/>
    <w:rsid w:val="008E1B90"/>
    <w:rsid w:val="008E1C56"/>
    <w:rsid w:val="008E1C5D"/>
    <w:rsid w:val="008E1DA8"/>
    <w:rsid w:val="008E1F54"/>
    <w:rsid w:val="008E2043"/>
    <w:rsid w:val="008E205A"/>
    <w:rsid w:val="008E20B7"/>
    <w:rsid w:val="008E20BA"/>
    <w:rsid w:val="008E20EB"/>
    <w:rsid w:val="008E2214"/>
    <w:rsid w:val="008E2269"/>
    <w:rsid w:val="008E22BE"/>
    <w:rsid w:val="008E23D9"/>
    <w:rsid w:val="008E241F"/>
    <w:rsid w:val="008E2455"/>
    <w:rsid w:val="008E2459"/>
    <w:rsid w:val="008E2531"/>
    <w:rsid w:val="008E25AD"/>
    <w:rsid w:val="008E25F2"/>
    <w:rsid w:val="008E264F"/>
    <w:rsid w:val="008E26B1"/>
    <w:rsid w:val="008E2732"/>
    <w:rsid w:val="008E2778"/>
    <w:rsid w:val="008E2783"/>
    <w:rsid w:val="008E27CB"/>
    <w:rsid w:val="008E2833"/>
    <w:rsid w:val="008E2930"/>
    <w:rsid w:val="008E295B"/>
    <w:rsid w:val="008E29FA"/>
    <w:rsid w:val="008E2A61"/>
    <w:rsid w:val="008E2B2D"/>
    <w:rsid w:val="008E2BE3"/>
    <w:rsid w:val="008E2C09"/>
    <w:rsid w:val="008E2C25"/>
    <w:rsid w:val="008E2CCF"/>
    <w:rsid w:val="008E2DB5"/>
    <w:rsid w:val="008E2E0B"/>
    <w:rsid w:val="008E2EA6"/>
    <w:rsid w:val="008E2EAA"/>
    <w:rsid w:val="008E2F89"/>
    <w:rsid w:val="008E2FF8"/>
    <w:rsid w:val="008E31ED"/>
    <w:rsid w:val="008E3307"/>
    <w:rsid w:val="008E3361"/>
    <w:rsid w:val="008E337D"/>
    <w:rsid w:val="008E340B"/>
    <w:rsid w:val="008E3415"/>
    <w:rsid w:val="008E3515"/>
    <w:rsid w:val="008E3614"/>
    <w:rsid w:val="008E371A"/>
    <w:rsid w:val="008E37F2"/>
    <w:rsid w:val="008E383E"/>
    <w:rsid w:val="008E39A5"/>
    <w:rsid w:val="008E3A60"/>
    <w:rsid w:val="008E3A98"/>
    <w:rsid w:val="008E3ADA"/>
    <w:rsid w:val="008E3C4E"/>
    <w:rsid w:val="008E3DB7"/>
    <w:rsid w:val="008E3DE1"/>
    <w:rsid w:val="008E3E63"/>
    <w:rsid w:val="008E3EAA"/>
    <w:rsid w:val="008E3F47"/>
    <w:rsid w:val="008E3F8B"/>
    <w:rsid w:val="008E42B0"/>
    <w:rsid w:val="008E4329"/>
    <w:rsid w:val="008E4382"/>
    <w:rsid w:val="008E43AF"/>
    <w:rsid w:val="008E43DD"/>
    <w:rsid w:val="008E44D3"/>
    <w:rsid w:val="008E457E"/>
    <w:rsid w:val="008E45A4"/>
    <w:rsid w:val="008E46EB"/>
    <w:rsid w:val="008E48EB"/>
    <w:rsid w:val="008E48F4"/>
    <w:rsid w:val="008E4A0C"/>
    <w:rsid w:val="008E4AF3"/>
    <w:rsid w:val="008E4B04"/>
    <w:rsid w:val="008E4B7E"/>
    <w:rsid w:val="008E4C1A"/>
    <w:rsid w:val="008E4D1D"/>
    <w:rsid w:val="008E4D3B"/>
    <w:rsid w:val="008E4E28"/>
    <w:rsid w:val="008E4E3B"/>
    <w:rsid w:val="008E4E4F"/>
    <w:rsid w:val="008E4F7E"/>
    <w:rsid w:val="008E504E"/>
    <w:rsid w:val="008E50B1"/>
    <w:rsid w:val="008E50DC"/>
    <w:rsid w:val="008E51A0"/>
    <w:rsid w:val="008E51D1"/>
    <w:rsid w:val="008E5251"/>
    <w:rsid w:val="008E52D8"/>
    <w:rsid w:val="008E53D6"/>
    <w:rsid w:val="008E5435"/>
    <w:rsid w:val="008E54A3"/>
    <w:rsid w:val="008E54BC"/>
    <w:rsid w:val="008E54FC"/>
    <w:rsid w:val="008E5620"/>
    <w:rsid w:val="008E5636"/>
    <w:rsid w:val="008E56D4"/>
    <w:rsid w:val="008E58D7"/>
    <w:rsid w:val="008E58EA"/>
    <w:rsid w:val="008E590F"/>
    <w:rsid w:val="008E5A0A"/>
    <w:rsid w:val="008E5A23"/>
    <w:rsid w:val="008E5C07"/>
    <w:rsid w:val="008E5DD6"/>
    <w:rsid w:val="008E5DE3"/>
    <w:rsid w:val="008E5F7C"/>
    <w:rsid w:val="008E6045"/>
    <w:rsid w:val="008E6070"/>
    <w:rsid w:val="008E6097"/>
    <w:rsid w:val="008E6316"/>
    <w:rsid w:val="008E63CA"/>
    <w:rsid w:val="008E6450"/>
    <w:rsid w:val="008E64AD"/>
    <w:rsid w:val="008E652A"/>
    <w:rsid w:val="008E6532"/>
    <w:rsid w:val="008E6680"/>
    <w:rsid w:val="008E6779"/>
    <w:rsid w:val="008E67F9"/>
    <w:rsid w:val="008E6869"/>
    <w:rsid w:val="008E69D6"/>
    <w:rsid w:val="008E6AED"/>
    <w:rsid w:val="008E6AFA"/>
    <w:rsid w:val="008E6BE8"/>
    <w:rsid w:val="008E6BF3"/>
    <w:rsid w:val="008E6C94"/>
    <w:rsid w:val="008E6DF7"/>
    <w:rsid w:val="008E6E60"/>
    <w:rsid w:val="008E6E91"/>
    <w:rsid w:val="008E6EA6"/>
    <w:rsid w:val="008E6F01"/>
    <w:rsid w:val="008E7044"/>
    <w:rsid w:val="008E70AA"/>
    <w:rsid w:val="008E7159"/>
    <w:rsid w:val="008E717E"/>
    <w:rsid w:val="008E71F9"/>
    <w:rsid w:val="008E72E1"/>
    <w:rsid w:val="008E7327"/>
    <w:rsid w:val="008E737E"/>
    <w:rsid w:val="008E7403"/>
    <w:rsid w:val="008E74E7"/>
    <w:rsid w:val="008E75C8"/>
    <w:rsid w:val="008E7651"/>
    <w:rsid w:val="008E76DC"/>
    <w:rsid w:val="008E7721"/>
    <w:rsid w:val="008E7778"/>
    <w:rsid w:val="008E77CF"/>
    <w:rsid w:val="008E78D0"/>
    <w:rsid w:val="008E7964"/>
    <w:rsid w:val="008E7B8F"/>
    <w:rsid w:val="008E7BC7"/>
    <w:rsid w:val="008E7CE4"/>
    <w:rsid w:val="008E7DBB"/>
    <w:rsid w:val="008E7EEC"/>
    <w:rsid w:val="008E7EF2"/>
    <w:rsid w:val="008F002A"/>
    <w:rsid w:val="008F0070"/>
    <w:rsid w:val="008F0087"/>
    <w:rsid w:val="008F00F4"/>
    <w:rsid w:val="008F011D"/>
    <w:rsid w:val="008F01C5"/>
    <w:rsid w:val="008F01CA"/>
    <w:rsid w:val="008F01E6"/>
    <w:rsid w:val="008F02F5"/>
    <w:rsid w:val="008F034F"/>
    <w:rsid w:val="008F03DD"/>
    <w:rsid w:val="008F040E"/>
    <w:rsid w:val="008F0450"/>
    <w:rsid w:val="008F04C1"/>
    <w:rsid w:val="008F057D"/>
    <w:rsid w:val="008F05C2"/>
    <w:rsid w:val="008F05CA"/>
    <w:rsid w:val="008F05E8"/>
    <w:rsid w:val="008F0685"/>
    <w:rsid w:val="008F06B7"/>
    <w:rsid w:val="008F0839"/>
    <w:rsid w:val="008F0890"/>
    <w:rsid w:val="008F09D4"/>
    <w:rsid w:val="008F0ACF"/>
    <w:rsid w:val="008F0AFB"/>
    <w:rsid w:val="008F0BFD"/>
    <w:rsid w:val="008F0DD7"/>
    <w:rsid w:val="008F0E56"/>
    <w:rsid w:val="008F0EC5"/>
    <w:rsid w:val="008F111C"/>
    <w:rsid w:val="008F1285"/>
    <w:rsid w:val="008F12A1"/>
    <w:rsid w:val="008F12B4"/>
    <w:rsid w:val="008F1323"/>
    <w:rsid w:val="008F138C"/>
    <w:rsid w:val="008F1500"/>
    <w:rsid w:val="008F15F1"/>
    <w:rsid w:val="008F1671"/>
    <w:rsid w:val="008F1675"/>
    <w:rsid w:val="008F1800"/>
    <w:rsid w:val="008F1833"/>
    <w:rsid w:val="008F18DF"/>
    <w:rsid w:val="008F19A1"/>
    <w:rsid w:val="008F19E0"/>
    <w:rsid w:val="008F1AD5"/>
    <w:rsid w:val="008F1B4B"/>
    <w:rsid w:val="008F1B56"/>
    <w:rsid w:val="008F1BF2"/>
    <w:rsid w:val="008F1C64"/>
    <w:rsid w:val="008F1C84"/>
    <w:rsid w:val="008F1D38"/>
    <w:rsid w:val="008F1D39"/>
    <w:rsid w:val="008F1D68"/>
    <w:rsid w:val="008F1E23"/>
    <w:rsid w:val="008F1E5E"/>
    <w:rsid w:val="008F1E7C"/>
    <w:rsid w:val="008F1EAA"/>
    <w:rsid w:val="008F1F0E"/>
    <w:rsid w:val="008F1F27"/>
    <w:rsid w:val="008F1FED"/>
    <w:rsid w:val="008F2020"/>
    <w:rsid w:val="008F2308"/>
    <w:rsid w:val="008F2339"/>
    <w:rsid w:val="008F234F"/>
    <w:rsid w:val="008F2360"/>
    <w:rsid w:val="008F23EE"/>
    <w:rsid w:val="008F2404"/>
    <w:rsid w:val="008F2468"/>
    <w:rsid w:val="008F2475"/>
    <w:rsid w:val="008F248F"/>
    <w:rsid w:val="008F24BF"/>
    <w:rsid w:val="008F2508"/>
    <w:rsid w:val="008F2529"/>
    <w:rsid w:val="008F253D"/>
    <w:rsid w:val="008F25FF"/>
    <w:rsid w:val="008F2718"/>
    <w:rsid w:val="008F2777"/>
    <w:rsid w:val="008F291C"/>
    <w:rsid w:val="008F297A"/>
    <w:rsid w:val="008F2ADB"/>
    <w:rsid w:val="008F2AFC"/>
    <w:rsid w:val="008F2BAD"/>
    <w:rsid w:val="008F2DE1"/>
    <w:rsid w:val="008F2F02"/>
    <w:rsid w:val="008F2F36"/>
    <w:rsid w:val="008F2F5E"/>
    <w:rsid w:val="008F2FF9"/>
    <w:rsid w:val="008F30CA"/>
    <w:rsid w:val="008F3115"/>
    <w:rsid w:val="008F3161"/>
    <w:rsid w:val="008F317E"/>
    <w:rsid w:val="008F32DE"/>
    <w:rsid w:val="008F338B"/>
    <w:rsid w:val="008F34E2"/>
    <w:rsid w:val="008F34F0"/>
    <w:rsid w:val="008F378A"/>
    <w:rsid w:val="008F38FB"/>
    <w:rsid w:val="008F398D"/>
    <w:rsid w:val="008F3997"/>
    <w:rsid w:val="008F3BDA"/>
    <w:rsid w:val="008F3C2E"/>
    <w:rsid w:val="008F3C52"/>
    <w:rsid w:val="008F3EF6"/>
    <w:rsid w:val="008F3F69"/>
    <w:rsid w:val="008F3F80"/>
    <w:rsid w:val="008F3FC6"/>
    <w:rsid w:val="008F4035"/>
    <w:rsid w:val="008F40B0"/>
    <w:rsid w:val="008F40CC"/>
    <w:rsid w:val="008F4125"/>
    <w:rsid w:val="008F41B2"/>
    <w:rsid w:val="008F4226"/>
    <w:rsid w:val="008F4244"/>
    <w:rsid w:val="008F44BD"/>
    <w:rsid w:val="008F452E"/>
    <w:rsid w:val="008F45AD"/>
    <w:rsid w:val="008F45C6"/>
    <w:rsid w:val="008F4632"/>
    <w:rsid w:val="008F466B"/>
    <w:rsid w:val="008F480A"/>
    <w:rsid w:val="008F490B"/>
    <w:rsid w:val="008F4A1E"/>
    <w:rsid w:val="008F4AD0"/>
    <w:rsid w:val="008F4ADA"/>
    <w:rsid w:val="008F4AF0"/>
    <w:rsid w:val="008F4B1C"/>
    <w:rsid w:val="008F4C1D"/>
    <w:rsid w:val="008F4C32"/>
    <w:rsid w:val="008F4E39"/>
    <w:rsid w:val="008F4F02"/>
    <w:rsid w:val="008F4FD1"/>
    <w:rsid w:val="008F50DC"/>
    <w:rsid w:val="008F510E"/>
    <w:rsid w:val="008F52FB"/>
    <w:rsid w:val="008F5366"/>
    <w:rsid w:val="008F5581"/>
    <w:rsid w:val="008F5646"/>
    <w:rsid w:val="008F5671"/>
    <w:rsid w:val="008F57DA"/>
    <w:rsid w:val="008F580C"/>
    <w:rsid w:val="008F591D"/>
    <w:rsid w:val="008F5950"/>
    <w:rsid w:val="008F5980"/>
    <w:rsid w:val="008F5A70"/>
    <w:rsid w:val="008F5A88"/>
    <w:rsid w:val="008F5B70"/>
    <w:rsid w:val="008F5B98"/>
    <w:rsid w:val="008F5C7D"/>
    <w:rsid w:val="008F5CC6"/>
    <w:rsid w:val="008F5D31"/>
    <w:rsid w:val="008F5DA2"/>
    <w:rsid w:val="008F5E57"/>
    <w:rsid w:val="008F5E99"/>
    <w:rsid w:val="008F5F57"/>
    <w:rsid w:val="008F600F"/>
    <w:rsid w:val="008F6014"/>
    <w:rsid w:val="008F60B5"/>
    <w:rsid w:val="008F610A"/>
    <w:rsid w:val="008F610F"/>
    <w:rsid w:val="008F6180"/>
    <w:rsid w:val="008F61A3"/>
    <w:rsid w:val="008F61B5"/>
    <w:rsid w:val="008F6227"/>
    <w:rsid w:val="008F62B8"/>
    <w:rsid w:val="008F64A3"/>
    <w:rsid w:val="008F65A6"/>
    <w:rsid w:val="008F66C1"/>
    <w:rsid w:val="008F6701"/>
    <w:rsid w:val="008F685C"/>
    <w:rsid w:val="008F694F"/>
    <w:rsid w:val="008F697C"/>
    <w:rsid w:val="008F6994"/>
    <w:rsid w:val="008F699A"/>
    <w:rsid w:val="008F6B63"/>
    <w:rsid w:val="008F6BA9"/>
    <w:rsid w:val="008F6BC3"/>
    <w:rsid w:val="008F6C44"/>
    <w:rsid w:val="008F6CCF"/>
    <w:rsid w:val="008F6CDE"/>
    <w:rsid w:val="008F6D15"/>
    <w:rsid w:val="008F6D3F"/>
    <w:rsid w:val="008F6DA6"/>
    <w:rsid w:val="008F6F67"/>
    <w:rsid w:val="008F7062"/>
    <w:rsid w:val="008F7123"/>
    <w:rsid w:val="008F71C1"/>
    <w:rsid w:val="008F7233"/>
    <w:rsid w:val="008F72C4"/>
    <w:rsid w:val="008F745D"/>
    <w:rsid w:val="008F7477"/>
    <w:rsid w:val="008F750B"/>
    <w:rsid w:val="008F751C"/>
    <w:rsid w:val="008F7531"/>
    <w:rsid w:val="008F7536"/>
    <w:rsid w:val="008F7542"/>
    <w:rsid w:val="008F7581"/>
    <w:rsid w:val="008F75CB"/>
    <w:rsid w:val="008F7607"/>
    <w:rsid w:val="008F7642"/>
    <w:rsid w:val="008F7803"/>
    <w:rsid w:val="008F78A1"/>
    <w:rsid w:val="008F7A1E"/>
    <w:rsid w:val="008F7A4B"/>
    <w:rsid w:val="008F7BA6"/>
    <w:rsid w:val="008F7C40"/>
    <w:rsid w:val="008F7C87"/>
    <w:rsid w:val="008F7CEC"/>
    <w:rsid w:val="008F7E57"/>
    <w:rsid w:val="008F7EDB"/>
    <w:rsid w:val="008F7F5F"/>
    <w:rsid w:val="008FAA38"/>
    <w:rsid w:val="009000AC"/>
    <w:rsid w:val="00900126"/>
    <w:rsid w:val="00900311"/>
    <w:rsid w:val="009003A5"/>
    <w:rsid w:val="00900430"/>
    <w:rsid w:val="0090049C"/>
    <w:rsid w:val="00900517"/>
    <w:rsid w:val="00900584"/>
    <w:rsid w:val="00900664"/>
    <w:rsid w:val="00900704"/>
    <w:rsid w:val="00900770"/>
    <w:rsid w:val="009007DD"/>
    <w:rsid w:val="0090087F"/>
    <w:rsid w:val="00900890"/>
    <w:rsid w:val="00900A0E"/>
    <w:rsid w:val="00900B0C"/>
    <w:rsid w:val="00900CB0"/>
    <w:rsid w:val="00900D39"/>
    <w:rsid w:val="00900DF2"/>
    <w:rsid w:val="00900E93"/>
    <w:rsid w:val="00900E98"/>
    <w:rsid w:val="00901085"/>
    <w:rsid w:val="00901092"/>
    <w:rsid w:val="0090118D"/>
    <w:rsid w:val="009011AB"/>
    <w:rsid w:val="009011FE"/>
    <w:rsid w:val="009012B7"/>
    <w:rsid w:val="00901433"/>
    <w:rsid w:val="00901563"/>
    <w:rsid w:val="009015B9"/>
    <w:rsid w:val="0090163A"/>
    <w:rsid w:val="0090163D"/>
    <w:rsid w:val="009016A5"/>
    <w:rsid w:val="00901855"/>
    <w:rsid w:val="00901BE6"/>
    <w:rsid w:val="00901C63"/>
    <w:rsid w:val="00901CCB"/>
    <w:rsid w:val="00901CFC"/>
    <w:rsid w:val="00901D48"/>
    <w:rsid w:val="00901D53"/>
    <w:rsid w:val="00901EC4"/>
    <w:rsid w:val="00901EEC"/>
    <w:rsid w:val="00901F24"/>
    <w:rsid w:val="00901F4C"/>
    <w:rsid w:val="00901F94"/>
    <w:rsid w:val="00901FB2"/>
    <w:rsid w:val="00901FDE"/>
    <w:rsid w:val="009021FC"/>
    <w:rsid w:val="0090221A"/>
    <w:rsid w:val="00902237"/>
    <w:rsid w:val="0090224A"/>
    <w:rsid w:val="00902300"/>
    <w:rsid w:val="00902309"/>
    <w:rsid w:val="00902395"/>
    <w:rsid w:val="009023AB"/>
    <w:rsid w:val="00902626"/>
    <w:rsid w:val="009026C3"/>
    <w:rsid w:val="009027E2"/>
    <w:rsid w:val="00902832"/>
    <w:rsid w:val="00902852"/>
    <w:rsid w:val="0090294A"/>
    <w:rsid w:val="009029A7"/>
    <w:rsid w:val="009029D6"/>
    <w:rsid w:val="00902A38"/>
    <w:rsid w:val="00902B90"/>
    <w:rsid w:val="00902BBA"/>
    <w:rsid w:val="00902BD2"/>
    <w:rsid w:val="00902D28"/>
    <w:rsid w:val="00902DFD"/>
    <w:rsid w:val="00902EBC"/>
    <w:rsid w:val="00902F00"/>
    <w:rsid w:val="00902F0C"/>
    <w:rsid w:val="00902F2A"/>
    <w:rsid w:val="00902F55"/>
    <w:rsid w:val="00902F5E"/>
    <w:rsid w:val="00902FD6"/>
    <w:rsid w:val="00903119"/>
    <w:rsid w:val="0090313C"/>
    <w:rsid w:val="009031A1"/>
    <w:rsid w:val="009032D5"/>
    <w:rsid w:val="0090332E"/>
    <w:rsid w:val="00903362"/>
    <w:rsid w:val="00903387"/>
    <w:rsid w:val="00903390"/>
    <w:rsid w:val="00903421"/>
    <w:rsid w:val="00903450"/>
    <w:rsid w:val="009034F0"/>
    <w:rsid w:val="0090351C"/>
    <w:rsid w:val="009037DF"/>
    <w:rsid w:val="0090381D"/>
    <w:rsid w:val="00903947"/>
    <w:rsid w:val="00903963"/>
    <w:rsid w:val="00903981"/>
    <w:rsid w:val="00903A5F"/>
    <w:rsid w:val="00903A80"/>
    <w:rsid w:val="00903AB9"/>
    <w:rsid w:val="00903B39"/>
    <w:rsid w:val="00903B6D"/>
    <w:rsid w:val="00903B8B"/>
    <w:rsid w:val="00903BC2"/>
    <w:rsid w:val="00903DC3"/>
    <w:rsid w:val="00903DC5"/>
    <w:rsid w:val="00903E0F"/>
    <w:rsid w:val="00903E24"/>
    <w:rsid w:val="00903E73"/>
    <w:rsid w:val="00903EFB"/>
    <w:rsid w:val="00903F66"/>
    <w:rsid w:val="00904000"/>
    <w:rsid w:val="0090403E"/>
    <w:rsid w:val="009040FC"/>
    <w:rsid w:val="009040FE"/>
    <w:rsid w:val="00904141"/>
    <w:rsid w:val="00904176"/>
    <w:rsid w:val="009041B1"/>
    <w:rsid w:val="00904228"/>
    <w:rsid w:val="00904320"/>
    <w:rsid w:val="00904379"/>
    <w:rsid w:val="009043A5"/>
    <w:rsid w:val="009043C1"/>
    <w:rsid w:val="00904492"/>
    <w:rsid w:val="009045D1"/>
    <w:rsid w:val="009046BE"/>
    <w:rsid w:val="00904764"/>
    <w:rsid w:val="00904889"/>
    <w:rsid w:val="00904917"/>
    <w:rsid w:val="00904A46"/>
    <w:rsid w:val="00904B35"/>
    <w:rsid w:val="00904BD2"/>
    <w:rsid w:val="00904C78"/>
    <w:rsid w:val="00904E40"/>
    <w:rsid w:val="00904EB4"/>
    <w:rsid w:val="00904F6C"/>
    <w:rsid w:val="0090511C"/>
    <w:rsid w:val="00905155"/>
    <w:rsid w:val="009051C8"/>
    <w:rsid w:val="0090526D"/>
    <w:rsid w:val="009053B3"/>
    <w:rsid w:val="009053C3"/>
    <w:rsid w:val="009053EE"/>
    <w:rsid w:val="009053F7"/>
    <w:rsid w:val="0090543A"/>
    <w:rsid w:val="00905547"/>
    <w:rsid w:val="009055CA"/>
    <w:rsid w:val="009055DA"/>
    <w:rsid w:val="00905617"/>
    <w:rsid w:val="0090562A"/>
    <w:rsid w:val="009056B2"/>
    <w:rsid w:val="009058C3"/>
    <w:rsid w:val="00905968"/>
    <w:rsid w:val="00905A13"/>
    <w:rsid w:val="00905A24"/>
    <w:rsid w:val="00905ACE"/>
    <w:rsid w:val="00905B26"/>
    <w:rsid w:val="00905BCD"/>
    <w:rsid w:val="00905BD3"/>
    <w:rsid w:val="00905E82"/>
    <w:rsid w:val="00905EB8"/>
    <w:rsid w:val="00905FB1"/>
    <w:rsid w:val="00906097"/>
    <w:rsid w:val="0090616E"/>
    <w:rsid w:val="009061D9"/>
    <w:rsid w:val="00906242"/>
    <w:rsid w:val="00906246"/>
    <w:rsid w:val="0090628E"/>
    <w:rsid w:val="009063B1"/>
    <w:rsid w:val="009063D6"/>
    <w:rsid w:val="00906493"/>
    <w:rsid w:val="009064AB"/>
    <w:rsid w:val="009064CC"/>
    <w:rsid w:val="009064D4"/>
    <w:rsid w:val="009064D9"/>
    <w:rsid w:val="009064E3"/>
    <w:rsid w:val="009065DF"/>
    <w:rsid w:val="009065F1"/>
    <w:rsid w:val="0090664C"/>
    <w:rsid w:val="009066A6"/>
    <w:rsid w:val="009067B7"/>
    <w:rsid w:val="0090681F"/>
    <w:rsid w:val="00906848"/>
    <w:rsid w:val="00906929"/>
    <w:rsid w:val="00906946"/>
    <w:rsid w:val="00906992"/>
    <w:rsid w:val="00906A37"/>
    <w:rsid w:val="00906A84"/>
    <w:rsid w:val="00906B4C"/>
    <w:rsid w:val="00906D34"/>
    <w:rsid w:val="00906D72"/>
    <w:rsid w:val="00906E02"/>
    <w:rsid w:val="00906E1F"/>
    <w:rsid w:val="00906E36"/>
    <w:rsid w:val="00906EB7"/>
    <w:rsid w:val="00906F38"/>
    <w:rsid w:val="00906F5C"/>
    <w:rsid w:val="0090700A"/>
    <w:rsid w:val="00907030"/>
    <w:rsid w:val="0090716A"/>
    <w:rsid w:val="0090720C"/>
    <w:rsid w:val="009072BB"/>
    <w:rsid w:val="00907317"/>
    <w:rsid w:val="0090731F"/>
    <w:rsid w:val="00907367"/>
    <w:rsid w:val="00907370"/>
    <w:rsid w:val="00907480"/>
    <w:rsid w:val="009074CF"/>
    <w:rsid w:val="0090763A"/>
    <w:rsid w:val="00907643"/>
    <w:rsid w:val="00907688"/>
    <w:rsid w:val="009076A0"/>
    <w:rsid w:val="00907711"/>
    <w:rsid w:val="0090776C"/>
    <w:rsid w:val="00907930"/>
    <w:rsid w:val="00907932"/>
    <w:rsid w:val="00907A87"/>
    <w:rsid w:val="00907AC5"/>
    <w:rsid w:val="00907ADC"/>
    <w:rsid w:val="00907B7D"/>
    <w:rsid w:val="00907C46"/>
    <w:rsid w:val="00907C75"/>
    <w:rsid w:val="00907C80"/>
    <w:rsid w:val="00907D72"/>
    <w:rsid w:val="00910006"/>
    <w:rsid w:val="0091000A"/>
    <w:rsid w:val="00910030"/>
    <w:rsid w:val="0091008C"/>
    <w:rsid w:val="00910096"/>
    <w:rsid w:val="009100C5"/>
    <w:rsid w:val="00910127"/>
    <w:rsid w:val="00910225"/>
    <w:rsid w:val="009102A8"/>
    <w:rsid w:val="00910300"/>
    <w:rsid w:val="00910389"/>
    <w:rsid w:val="00910417"/>
    <w:rsid w:val="0091052D"/>
    <w:rsid w:val="009105EF"/>
    <w:rsid w:val="00910635"/>
    <w:rsid w:val="009106E9"/>
    <w:rsid w:val="0091071B"/>
    <w:rsid w:val="009107B5"/>
    <w:rsid w:val="0091080D"/>
    <w:rsid w:val="0091090A"/>
    <w:rsid w:val="00910938"/>
    <w:rsid w:val="009109C8"/>
    <w:rsid w:val="00910A97"/>
    <w:rsid w:val="00910B5C"/>
    <w:rsid w:val="00910B73"/>
    <w:rsid w:val="00910BC5"/>
    <w:rsid w:val="00910BF2"/>
    <w:rsid w:val="00910D29"/>
    <w:rsid w:val="00910D39"/>
    <w:rsid w:val="00910D53"/>
    <w:rsid w:val="00910E7B"/>
    <w:rsid w:val="00910FBC"/>
    <w:rsid w:val="0091102A"/>
    <w:rsid w:val="00911122"/>
    <w:rsid w:val="00911127"/>
    <w:rsid w:val="009111EB"/>
    <w:rsid w:val="00911208"/>
    <w:rsid w:val="0091129A"/>
    <w:rsid w:val="009112B8"/>
    <w:rsid w:val="00911412"/>
    <w:rsid w:val="0091144E"/>
    <w:rsid w:val="0091145B"/>
    <w:rsid w:val="00911567"/>
    <w:rsid w:val="00911589"/>
    <w:rsid w:val="0091162B"/>
    <w:rsid w:val="009116A2"/>
    <w:rsid w:val="009117A9"/>
    <w:rsid w:val="009117BF"/>
    <w:rsid w:val="00911831"/>
    <w:rsid w:val="009119D9"/>
    <w:rsid w:val="009119FD"/>
    <w:rsid w:val="00911A16"/>
    <w:rsid w:val="00911A90"/>
    <w:rsid w:val="00911B59"/>
    <w:rsid w:val="00911CC6"/>
    <w:rsid w:val="00911CC9"/>
    <w:rsid w:val="00911D1F"/>
    <w:rsid w:val="00911DC6"/>
    <w:rsid w:val="00911E56"/>
    <w:rsid w:val="00911EE3"/>
    <w:rsid w:val="00911EEF"/>
    <w:rsid w:val="00911FAE"/>
    <w:rsid w:val="00912061"/>
    <w:rsid w:val="009120A6"/>
    <w:rsid w:val="0091212D"/>
    <w:rsid w:val="009122D3"/>
    <w:rsid w:val="0091233A"/>
    <w:rsid w:val="0091240E"/>
    <w:rsid w:val="009124DD"/>
    <w:rsid w:val="0091257A"/>
    <w:rsid w:val="00912597"/>
    <w:rsid w:val="009125D8"/>
    <w:rsid w:val="00912656"/>
    <w:rsid w:val="00912672"/>
    <w:rsid w:val="0091278D"/>
    <w:rsid w:val="009127AD"/>
    <w:rsid w:val="009128F7"/>
    <w:rsid w:val="00912929"/>
    <w:rsid w:val="009129C3"/>
    <w:rsid w:val="00912C13"/>
    <w:rsid w:val="00912C1C"/>
    <w:rsid w:val="00912D1F"/>
    <w:rsid w:val="00912D64"/>
    <w:rsid w:val="00912DD4"/>
    <w:rsid w:val="00912E2A"/>
    <w:rsid w:val="00912F66"/>
    <w:rsid w:val="009130B4"/>
    <w:rsid w:val="009132F6"/>
    <w:rsid w:val="009133BD"/>
    <w:rsid w:val="009133E0"/>
    <w:rsid w:val="009134E9"/>
    <w:rsid w:val="009134FE"/>
    <w:rsid w:val="00913537"/>
    <w:rsid w:val="00913596"/>
    <w:rsid w:val="00913786"/>
    <w:rsid w:val="00913846"/>
    <w:rsid w:val="00913941"/>
    <w:rsid w:val="009139CA"/>
    <w:rsid w:val="00913A5F"/>
    <w:rsid w:val="00913B22"/>
    <w:rsid w:val="00913B30"/>
    <w:rsid w:val="00913D80"/>
    <w:rsid w:val="00913D98"/>
    <w:rsid w:val="00913EC9"/>
    <w:rsid w:val="00913F7B"/>
    <w:rsid w:val="00914076"/>
    <w:rsid w:val="009141B4"/>
    <w:rsid w:val="009142F4"/>
    <w:rsid w:val="0091434A"/>
    <w:rsid w:val="00914418"/>
    <w:rsid w:val="00914494"/>
    <w:rsid w:val="009144E0"/>
    <w:rsid w:val="009145AF"/>
    <w:rsid w:val="00914634"/>
    <w:rsid w:val="009146C1"/>
    <w:rsid w:val="0091470A"/>
    <w:rsid w:val="00914754"/>
    <w:rsid w:val="00914771"/>
    <w:rsid w:val="00914788"/>
    <w:rsid w:val="00914789"/>
    <w:rsid w:val="00914799"/>
    <w:rsid w:val="009148AE"/>
    <w:rsid w:val="00914942"/>
    <w:rsid w:val="00914AD6"/>
    <w:rsid w:val="00914B25"/>
    <w:rsid w:val="00914BC5"/>
    <w:rsid w:val="00914BFF"/>
    <w:rsid w:val="00914C01"/>
    <w:rsid w:val="00914C9F"/>
    <w:rsid w:val="00914CFA"/>
    <w:rsid w:val="00914ED0"/>
    <w:rsid w:val="00914F00"/>
    <w:rsid w:val="00914F1F"/>
    <w:rsid w:val="00914F47"/>
    <w:rsid w:val="00914F83"/>
    <w:rsid w:val="00914FFC"/>
    <w:rsid w:val="00915094"/>
    <w:rsid w:val="009150EF"/>
    <w:rsid w:val="00915123"/>
    <w:rsid w:val="009151A8"/>
    <w:rsid w:val="009151F7"/>
    <w:rsid w:val="0091526C"/>
    <w:rsid w:val="0091531B"/>
    <w:rsid w:val="00915365"/>
    <w:rsid w:val="00915369"/>
    <w:rsid w:val="00915486"/>
    <w:rsid w:val="00915490"/>
    <w:rsid w:val="009155EB"/>
    <w:rsid w:val="00915600"/>
    <w:rsid w:val="0091565B"/>
    <w:rsid w:val="009156E7"/>
    <w:rsid w:val="00915747"/>
    <w:rsid w:val="009157AB"/>
    <w:rsid w:val="00915919"/>
    <w:rsid w:val="0091595B"/>
    <w:rsid w:val="00915A7E"/>
    <w:rsid w:val="00915BA7"/>
    <w:rsid w:val="00915C63"/>
    <w:rsid w:val="00915CFE"/>
    <w:rsid w:val="00915D37"/>
    <w:rsid w:val="00915E2F"/>
    <w:rsid w:val="00915ECB"/>
    <w:rsid w:val="00915F93"/>
    <w:rsid w:val="00915FD3"/>
    <w:rsid w:val="009161C2"/>
    <w:rsid w:val="009161DB"/>
    <w:rsid w:val="009161F3"/>
    <w:rsid w:val="0091630E"/>
    <w:rsid w:val="009164F1"/>
    <w:rsid w:val="00916538"/>
    <w:rsid w:val="0091658C"/>
    <w:rsid w:val="00916765"/>
    <w:rsid w:val="00916770"/>
    <w:rsid w:val="0091677A"/>
    <w:rsid w:val="00916976"/>
    <w:rsid w:val="009169E8"/>
    <w:rsid w:val="00916A04"/>
    <w:rsid w:val="00916AA5"/>
    <w:rsid w:val="00916BA4"/>
    <w:rsid w:val="00916BCB"/>
    <w:rsid w:val="00916BFB"/>
    <w:rsid w:val="00916C88"/>
    <w:rsid w:val="00916C8C"/>
    <w:rsid w:val="00916DA7"/>
    <w:rsid w:val="00916DC9"/>
    <w:rsid w:val="00916E11"/>
    <w:rsid w:val="00916E24"/>
    <w:rsid w:val="00916F11"/>
    <w:rsid w:val="00916FC2"/>
    <w:rsid w:val="00916FE1"/>
    <w:rsid w:val="009170E7"/>
    <w:rsid w:val="009171C7"/>
    <w:rsid w:val="00917236"/>
    <w:rsid w:val="00917326"/>
    <w:rsid w:val="0091735B"/>
    <w:rsid w:val="0091745A"/>
    <w:rsid w:val="0091746C"/>
    <w:rsid w:val="00917471"/>
    <w:rsid w:val="0091749F"/>
    <w:rsid w:val="0091751E"/>
    <w:rsid w:val="0091753D"/>
    <w:rsid w:val="00917599"/>
    <w:rsid w:val="00917698"/>
    <w:rsid w:val="009176C9"/>
    <w:rsid w:val="0091776C"/>
    <w:rsid w:val="00917906"/>
    <w:rsid w:val="00917926"/>
    <w:rsid w:val="0091798A"/>
    <w:rsid w:val="009179B6"/>
    <w:rsid w:val="009179E3"/>
    <w:rsid w:val="00917A54"/>
    <w:rsid w:val="00917ADA"/>
    <w:rsid w:val="00917B25"/>
    <w:rsid w:val="00917BED"/>
    <w:rsid w:val="00917C1D"/>
    <w:rsid w:val="00917CEE"/>
    <w:rsid w:val="00917E1B"/>
    <w:rsid w:val="00917E20"/>
    <w:rsid w:val="00917E62"/>
    <w:rsid w:val="00917E9B"/>
    <w:rsid w:val="00917EB3"/>
    <w:rsid w:val="00917EB4"/>
    <w:rsid w:val="00917F1D"/>
    <w:rsid w:val="0092011F"/>
    <w:rsid w:val="00920151"/>
    <w:rsid w:val="00920272"/>
    <w:rsid w:val="009203FF"/>
    <w:rsid w:val="00920463"/>
    <w:rsid w:val="0092055E"/>
    <w:rsid w:val="009205B3"/>
    <w:rsid w:val="0092061F"/>
    <w:rsid w:val="00920635"/>
    <w:rsid w:val="00920732"/>
    <w:rsid w:val="009208DC"/>
    <w:rsid w:val="0092091F"/>
    <w:rsid w:val="0092098D"/>
    <w:rsid w:val="009209BE"/>
    <w:rsid w:val="00920A08"/>
    <w:rsid w:val="00920A1C"/>
    <w:rsid w:val="00920B41"/>
    <w:rsid w:val="00920B5B"/>
    <w:rsid w:val="00920B89"/>
    <w:rsid w:val="00920BD3"/>
    <w:rsid w:val="00920BF2"/>
    <w:rsid w:val="00920C4C"/>
    <w:rsid w:val="00920C65"/>
    <w:rsid w:val="00920CDC"/>
    <w:rsid w:val="00920E52"/>
    <w:rsid w:val="00920FF9"/>
    <w:rsid w:val="00921016"/>
    <w:rsid w:val="00921080"/>
    <w:rsid w:val="009210B2"/>
    <w:rsid w:val="009210D8"/>
    <w:rsid w:val="00921188"/>
    <w:rsid w:val="009211F8"/>
    <w:rsid w:val="009212EB"/>
    <w:rsid w:val="00921327"/>
    <w:rsid w:val="00921390"/>
    <w:rsid w:val="00921437"/>
    <w:rsid w:val="0092152F"/>
    <w:rsid w:val="009215A8"/>
    <w:rsid w:val="00921756"/>
    <w:rsid w:val="009217FD"/>
    <w:rsid w:val="0092188B"/>
    <w:rsid w:val="00921901"/>
    <w:rsid w:val="00921904"/>
    <w:rsid w:val="009219CF"/>
    <w:rsid w:val="00921A47"/>
    <w:rsid w:val="00921B01"/>
    <w:rsid w:val="00921BB9"/>
    <w:rsid w:val="00921BDC"/>
    <w:rsid w:val="00921C55"/>
    <w:rsid w:val="00921D39"/>
    <w:rsid w:val="00921D8E"/>
    <w:rsid w:val="00921E2B"/>
    <w:rsid w:val="0092207A"/>
    <w:rsid w:val="00922088"/>
    <w:rsid w:val="00922090"/>
    <w:rsid w:val="009220DA"/>
    <w:rsid w:val="009220DB"/>
    <w:rsid w:val="009220DF"/>
    <w:rsid w:val="0092212B"/>
    <w:rsid w:val="0092222B"/>
    <w:rsid w:val="00922273"/>
    <w:rsid w:val="00922290"/>
    <w:rsid w:val="00922350"/>
    <w:rsid w:val="009223C0"/>
    <w:rsid w:val="009224A3"/>
    <w:rsid w:val="0092269D"/>
    <w:rsid w:val="0092286E"/>
    <w:rsid w:val="0092291F"/>
    <w:rsid w:val="00922B00"/>
    <w:rsid w:val="00922BE7"/>
    <w:rsid w:val="00922C2F"/>
    <w:rsid w:val="00922C3A"/>
    <w:rsid w:val="00922C60"/>
    <w:rsid w:val="00922C6B"/>
    <w:rsid w:val="00922D18"/>
    <w:rsid w:val="00922D55"/>
    <w:rsid w:val="00922DDB"/>
    <w:rsid w:val="00922DDE"/>
    <w:rsid w:val="00922EDC"/>
    <w:rsid w:val="00922F39"/>
    <w:rsid w:val="00922F80"/>
    <w:rsid w:val="009231A2"/>
    <w:rsid w:val="009231BC"/>
    <w:rsid w:val="0092340F"/>
    <w:rsid w:val="00923558"/>
    <w:rsid w:val="009235AB"/>
    <w:rsid w:val="00923679"/>
    <w:rsid w:val="0092371E"/>
    <w:rsid w:val="009237A1"/>
    <w:rsid w:val="009237AF"/>
    <w:rsid w:val="009237B8"/>
    <w:rsid w:val="00923884"/>
    <w:rsid w:val="0092388E"/>
    <w:rsid w:val="009238C0"/>
    <w:rsid w:val="0092390A"/>
    <w:rsid w:val="00923954"/>
    <w:rsid w:val="0092395F"/>
    <w:rsid w:val="0092399B"/>
    <w:rsid w:val="009239B7"/>
    <w:rsid w:val="009239F4"/>
    <w:rsid w:val="00923ACB"/>
    <w:rsid w:val="00923C77"/>
    <w:rsid w:val="00923C87"/>
    <w:rsid w:val="00923CF0"/>
    <w:rsid w:val="00923E6C"/>
    <w:rsid w:val="00923F40"/>
    <w:rsid w:val="00924010"/>
    <w:rsid w:val="00924058"/>
    <w:rsid w:val="009240EF"/>
    <w:rsid w:val="0092416B"/>
    <w:rsid w:val="00924172"/>
    <w:rsid w:val="0092426C"/>
    <w:rsid w:val="00924272"/>
    <w:rsid w:val="00924488"/>
    <w:rsid w:val="00924501"/>
    <w:rsid w:val="00924584"/>
    <w:rsid w:val="009245B3"/>
    <w:rsid w:val="0092464C"/>
    <w:rsid w:val="0092467C"/>
    <w:rsid w:val="009246F2"/>
    <w:rsid w:val="009247C9"/>
    <w:rsid w:val="0092482F"/>
    <w:rsid w:val="00924896"/>
    <w:rsid w:val="009248F2"/>
    <w:rsid w:val="0092494C"/>
    <w:rsid w:val="0092495F"/>
    <w:rsid w:val="00924960"/>
    <w:rsid w:val="00924A40"/>
    <w:rsid w:val="00924ACA"/>
    <w:rsid w:val="00924B4E"/>
    <w:rsid w:val="00924B70"/>
    <w:rsid w:val="00924B71"/>
    <w:rsid w:val="00924CCD"/>
    <w:rsid w:val="00924EFD"/>
    <w:rsid w:val="00924F24"/>
    <w:rsid w:val="00924F5A"/>
    <w:rsid w:val="00924F77"/>
    <w:rsid w:val="0092509C"/>
    <w:rsid w:val="00925103"/>
    <w:rsid w:val="00925106"/>
    <w:rsid w:val="0092512E"/>
    <w:rsid w:val="00925150"/>
    <w:rsid w:val="0092529B"/>
    <w:rsid w:val="009252C1"/>
    <w:rsid w:val="0092533D"/>
    <w:rsid w:val="009253CC"/>
    <w:rsid w:val="0092549C"/>
    <w:rsid w:val="009254FA"/>
    <w:rsid w:val="00925768"/>
    <w:rsid w:val="00925848"/>
    <w:rsid w:val="0092586F"/>
    <w:rsid w:val="009258BD"/>
    <w:rsid w:val="00925909"/>
    <w:rsid w:val="00925917"/>
    <w:rsid w:val="00925985"/>
    <w:rsid w:val="009259F3"/>
    <w:rsid w:val="00925AAD"/>
    <w:rsid w:val="00925B22"/>
    <w:rsid w:val="00925BA9"/>
    <w:rsid w:val="00925C0C"/>
    <w:rsid w:val="00925D12"/>
    <w:rsid w:val="00925FDC"/>
    <w:rsid w:val="00926064"/>
    <w:rsid w:val="0092609A"/>
    <w:rsid w:val="009260B5"/>
    <w:rsid w:val="00926121"/>
    <w:rsid w:val="009262D6"/>
    <w:rsid w:val="009264BD"/>
    <w:rsid w:val="0092656B"/>
    <w:rsid w:val="009265A4"/>
    <w:rsid w:val="00926730"/>
    <w:rsid w:val="00926774"/>
    <w:rsid w:val="009267F5"/>
    <w:rsid w:val="00926888"/>
    <w:rsid w:val="00926A61"/>
    <w:rsid w:val="00926AC3"/>
    <w:rsid w:val="00926B0F"/>
    <w:rsid w:val="00926B29"/>
    <w:rsid w:val="00926C12"/>
    <w:rsid w:val="00926E0B"/>
    <w:rsid w:val="00926EFA"/>
    <w:rsid w:val="00926EFB"/>
    <w:rsid w:val="009270BE"/>
    <w:rsid w:val="0092714F"/>
    <w:rsid w:val="00927154"/>
    <w:rsid w:val="0092721A"/>
    <w:rsid w:val="0092723A"/>
    <w:rsid w:val="009272C2"/>
    <w:rsid w:val="009272DD"/>
    <w:rsid w:val="00927310"/>
    <w:rsid w:val="0092732D"/>
    <w:rsid w:val="009273A9"/>
    <w:rsid w:val="009273D1"/>
    <w:rsid w:val="0092741A"/>
    <w:rsid w:val="0092741B"/>
    <w:rsid w:val="00927437"/>
    <w:rsid w:val="00927479"/>
    <w:rsid w:val="009274AF"/>
    <w:rsid w:val="009274D7"/>
    <w:rsid w:val="0092754A"/>
    <w:rsid w:val="00927575"/>
    <w:rsid w:val="00927580"/>
    <w:rsid w:val="009275AE"/>
    <w:rsid w:val="0092782B"/>
    <w:rsid w:val="00927873"/>
    <w:rsid w:val="00927890"/>
    <w:rsid w:val="009278B4"/>
    <w:rsid w:val="00927B35"/>
    <w:rsid w:val="00927B80"/>
    <w:rsid w:val="00927BB2"/>
    <w:rsid w:val="00927D06"/>
    <w:rsid w:val="00927FCD"/>
    <w:rsid w:val="00927FD1"/>
    <w:rsid w:val="009300F6"/>
    <w:rsid w:val="00930130"/>
    <w:rsid w:val="00930132"/>
    <w:rsid w:val="00930160"/>
    <w:rsid w:val="00930230"/>
    <w:rsid w:val="00930241"/>
    <w:rsid w:val="00930289"/>
    <w:rsid w:val="0093030A"/>
    <w:rsid w:val="00930360"/>
    <w:rsid w:val="009303C7"/>
    <w:rsid w:val="00930450"/>
    <w:rsid w:val="009304A3"/>
    <w:rsid w:val="009304E8"/>
    <w:rsid w:val="0093059B"/>
    <w:rsid w:val="00930687"/>
    <w:rsid w:val="00930783"/>
    <w:rsid w:val="009307E9"/>
    <w:rsid w:val="00930918"/>
    <w:rsid w:val="00930AA7"/>
    <w:rsid w:val="00930B1A"/>
    <w:rsid w:val="00930B52"/>
    <w:rsid w:val="00930B79"/>
    <w:rsid w:val="00930BAC"/>
    <w:rsid w:val="00930BC9"/>
    <w:rsid w:val="00930C38"/>
    <w:rsid w:val="00930D10"/>
    <w:rsid w:val="00930DD3"/>
    <w:rsid w:val="00930F72"/>
    <w:rsid w:val="00930FD6"/>
    <w:rsid w:val="0093101F"/>
    <w:rsid w:val="0093104F"/>
    <w:rsid w:val="00931062"/>
    <w:rsid w:val="00931089"/>
    <w:rsid w:val="009310AD"/>
    <w:rsid w:val="00931128"/>
    <w:rsid w:val="00931192"/>
    <w:rsid w:val="009311BE"/>
    <w:rsid w:val="009311C6"/>
    <w:rsid w:val="009312A2"/>
    <w:rsid w:val="009313E8"/>
    <w:rsid w:val="00931403"/>
    <w:rsid w:val="00931421"/>
    <w:rsid w:val="009314EC"/>
    <w:rsid w:val="009315AF"/>
    <w:rsid w:val="00931663"/>
    <w:rsid w:val="0093171F"/>
    <w:rsid w:val="00931852"/>
    <w:rsid w:val="009318BF"/>
    <w:rsid w:val="00931918"/>
    <w:rsid w:val="00931BC2"/>
    <w:rsid w:val="00931C49"/>
    <w:rsid w:val="00931C78"/>
    <w:rsid w:val="00931C97"/>
    <w:rsid w:val="00931CA2"/>
    <w:rsid w:val="00931D6E"/>
    <w:rsid w:val="00931DA4"/>
    <w:rsid w:val="00931DF9"/>
    <w:rsid w:val="00931E00"/>
    <w:rsid w:val="00931E65"/>
    <w:rsid w:val="00931F9A"/>
    <w:rsid w:val="0093200F"/>
    <w:rsid w:val="00932045"/>
    <w:rsid w:val="0093207E"/>
    <w:rsid w:val="0093209E"/>
    <w:rsid w:val="0093215D"/>
    <w:rsid w:val="00932297"/>
    <w:rsid w:val="00932304"/>
    <w:rsid w:val="009323A1"/>
    <w:rsid w:val="0093241A"/>
    <w:rsid w:val="009324B9"/>
    <w:rsid w:val="009324C9"/>
    <w:rsid w:val="00932507"/>
    <w:rsid w:val="00932579"/>
    <w:rsid w:val="009325AE"/>
    <w:rsid w:val="009325D2"/>
    <w:rsid w:val="00932674"/>
    <w:rsid w:val="00932709"/>
    <w:rsid w:val="00932713"/>
    <w:rsid w:val="0093274F"/>
    <w:rsid w:val="009327D4"/>
    <w:rsid w:val="00932863"/>
    <w:rsid w:val="009328DD"/>
    <w:rsid w:val="00932A4C"/>
    <w:rsid w:val="00932B0A"/>
    <w:rsid w:val="00932B25"/>
    <w:rsid w:val="00932C14"/>
    <w:rsid w:val="00932C92"/>
    <w:rsid w:val="00932D18"/>
    <w:rsid w:val="00932DCE"/>
    <w:rsid w:val="00932E67"/>
    <w:rsid w:val="00932E6D"/>
    <w:rsid w:val="00932E9A"/>
    <w:rsid w:val="00932F4B"/>
    <w:rsid w:val="00932FC1"/>
    <w:rsid w:val="00932FF1"/>
    <w:rsid w:val="00933088"/>
    <w:rsid w:val="009330D1"/>
    <w:rsid w:val="0093312B"/>
    <w:rsid w:val="00933282"/>
    <w:rsid w:val="00933298"/>
    <w:rsid w:val="009332BB"/>
    <w:rsid w:val="009332CF"/>
    <w:rsid w:val="009332D6"/>
    <w:rsid w:val="009332D9"/>
    <w:rsid w:val="00933334"/>
    <w:rsid w:val="009333F4"/>
    <w:rsid w:val="0093345F"/>
    <w:rsid w:val="0093347C"/>
    <w:rsid w:val="009334E9"/>
    <w:rsid w:val="0093350E"/>
    <w:rsid w:val="0093355B"/>
    <w:rsid w:val="0093358D"/>
    <w:rsid w:val="009335E7"/>
    <w:rsid w:val="009335F5"/>
    <w:rsid w:val="009336FA"/>
    <w:rsid w:val="0093374F"/>
    <w:rsid w:val="0093380A"/>
    <w:rsid w:val="0093393D"/>
    <w:rsid w:val="009339CF"/>
    <w:rsid w:val="00933A90"/>
    <w:rsid w:val="00933AA0"/>
    <w:rsid w:val="00933AC6"/>
    <w:rsid w:val="00933AE5"/>
    <w:rsid w:val="00933BFB"/>
    <w:rsid w:val="00933C09"/>
    <w:rsid w:val="00933C36"/>
    <w:rsid w:val="00933C65"/>
    <w:rsid w:val="00933C80"/>
    <w:rsid w:val="00933D7E"/>
    <w:rsid w:val="00933E1A"/>
    <w:rsid w:val="00933E97"/>
    <w:rsid w:val="00933F00"/>
    <w:rsid w:val="00933F2F"/>
    <w:rsid w:val="00933F7A"/>
    <w:rsid w:val="00934023"/>
    <w:rsid w:val="0093403F"/>
    <w:rsid w:val="009341F9"/>
    <w:rsid w:val="00934201"/>
    <w:rsid w:val="009342B4"/>
    <w:rsid w:val="009342D6"/>
    <w:rsid w:val="0093438E"/>
    <w:rsid w:val="00934399"/>
    <w:rsid w:val="009343BE"/>
    <w:rsid w:val="00934507"/>
    <w:rsid w:val="00934575"/>
    <w:rsid w:val="00934620"/>
    <w:rsid w:val="00934657"/>
    <w:rsid w:val="009348CB"/>
    <w:rsid w:val="009348ED"/>
    <w:rsid w:val="00934972"/>
    <w:rsid w:val="00934A1C"/>
    <w:rsid w:val="00934A7D"/>
    <w:rsid w:val="00934B47"/>
    <w:rsid w:val="00934C53"/>
    <w:rsid w:val="00934D5F"/>
    <w:rsid w:val="00934D86"/>
    <w:rsid w:val="00934ED3"/>
    <w:rsid w:val="00934EF2"/>
    <w:rsid w:val="00934F29"/>
    <w:rsid w:val="00934F50"/>
    <w:rsid w:val="00935054"/>
    <w:rsid w:val="00935151"/>
    <w:rsid w:val="0093524B"/>
    <w:rsid w:val="0093526B"/>
    <w:rsid w:val="009352AE"/>
    <w:rsid w:val="00935300"/>
    <w:rsid w:val="00935404"/>
    <w:rsid w:val="00935463"/>
    <w:rsid w:val="00935467"/>
    <w:rsid w:val="0093552D"/>
    <w:rsid w:val="00935675"/>
    <w:rsid w:val="00935774"/>
    <w:rsid w:val="009357AC"/>
    <w:rsid w:val="009357D3"/>
    <w:rsid w:val="0093585D"/>
    <w:rsid w:val="009358C3"/>
    <w:rsid w:val="00935948"/>
    <w:rsid w:val="00935975"/>
    <w:rsid w:val="009359DC"/>
    <w:rsid w:val="00935A3B"/>
    <w:rsid w:val="00935A3C"/>
    <w:rsid w:val="00935B0D"/>
    <w:rsid w:val="00935BFA"/>
    <w:rsid w:val="00935E00"/>
    <w:rsid w:val="00935E45"/>
    <w:rsid w:val="00935EBE"/>
    <w:rsid w:val="00935F41"/>
    <w:rsid w:val="009362DD"/>
    <w:rsid w:val="009363B6"/>
    <w:rsid w:val="00936430"/>
    <w:rsid w:val="00936576"/>
    <w:rsid w:val="00936580"/>
    <w:rsid w:val="009365EC"/>
    <w:rsid w:val="009365F3"/>
    <w:rsid w:val="00936889"/>
    <w:rsid w:val="009368B0"/>
    <w:rsid w:val="009368FF"/>
    <w:rsid w:val="009369EE"/>
    <w:rsid w:val="00936A80"/>
    <w:rsid w:val="00936B6D"/>
    <w:rsid w:val="00936B7D"/>
    <w:rsid w:val="00936BED"/>
    <w:rsid w:val="00936BF1"/>
    <w:rsid w:val="00936C6C"/>
    <w:rsid w:val="00936D04"/>
    <w:rsid w:val="00936D2D"/>
    <w:rsid w:val="00936D68"/>
    <w:rsid w:val="00936F76"/>
    <w:rsid w:val="00936F93"/>
    <w:rsid w:val="00936FD8"/>
    <w:rsid w:val="00937020"/>
    <w:rsid w:val="00937097"/>
    <w:rsid w:val="009370B1"/>
    <w:rsid w:val="0093714F"/>
    <w:rsid w:val="00937169"/>
    <w:rsid w:val="0093716E"/>
    <w:rsid w:val="0093732C"/>
    <w:rsid w:val="00937333"/>
    <w:rsid w:val="00937404"/>
    <w:rsid w:val="0093745D"/>
    <w:rsid w:val="0093745E"/>
    <w:rsid w:val="00937493"/>
    <w:rsid w:val="00937542"/>
    <w:rsid w:val="0093756E"/>
    <w:rsid w:val="009375B2"/>
    <w:rsid w:val="009375C6"/>
    <w:rsid w:val="00937635"/>
    <w:rsid w:val="00937691"/>
    <w:rsid w:val="009376F8"/>
    <w:rsid w:val="0093777D"/>
    <w:rsid w:val="00937793"/>
    <w:rsid w:val="0093788C"/>
    <w:rsid w:val="0093788E"/>
    <w:rsid w:val="009378C3"/>
    <w:rsid w:val="00937966"/>
    <w:rsid w:val="009379BB"/>
    <w:rsid w:val="00937A09"/>
    <w:rsid w:val="00937A26"/>
    <w:rsid w:val="00937A55"/>
    <w:rsid w:val="00937A70"/>
    <w:rsid w:val="00937C01"/>
    <w:rsid w:val="00937CA6"/>
    <w:rsid w:val="00937CAB"/>
    <w:rsid w:val="00937CB2"/>
    <w:rsid w:val="00937CF9"/>
    <w:rsid w:val="00937E00"/>
    <w:rsid w:val="00937EC2"/>
    <w:rsid w:val="009400DA"/>
    <w:rsid w:val="00940152"/>
    <w:rsid w:val="009401CA"/>
    <w:rsid w:val="009401D4"/>
    <w:rsid w:val="0094027C"/>
    <w:rsid w:val="0094033A"/>
    <w:rsid w:val="0094036B"/>
    <w:rsid w:val="00940401"/>
    <w:rsid w:val="009404B3"/>
    <w:rsid w:val="009404D1"/>
    <w:rsid w:val="009404E5"/>
    <w:rsid w:val="009404E9"/>
    <w:rsid w:val="00940537"/>
    <w:rsid w:val="0094061E"/>
    <w:rsid w:val="00940621"/>
    <w:rsid w:val="009406D8"/>
    <w:rsid w:val="009406D9"/>
    <w:rsid w:val="00940708"/>
    <w:rsid w:val="00940723"/>
    <w:rsid w:val="00940754"/>
    <w:rsid w:val="00940831"/>
    <w:rsid w:val="00940839"/>
    <w:rsid w:val="009408FF"/>
    <w:rsid w:val="00940A5B"/>
    <w:rsid w:val="00940A74"/>
    <w:rsid w:val="00940AD8"/>
    <w:rsid w:val="00940B11"/>
    <w:rsid w:val="00940B36"/>
    <w:rsid w:val="00940C0A"/>
    <w:rsid w:val="00940DCF"/>
    <w:rsid w:val="00940EFA"/>
    <w:rsid w:val="00941022"/>
    <w:rsid w:val="009410D3"/>
    <w:rsid w:val="009411E7"/>
    <w:rsid w:val="00941213"/>
    <w:rsid w:val="00941373"/>
    <w:rsid w:val="009413C6"/>
    <w:rsid w:val="0094146B"/>
    <w:rsid w:val="0094148B"/>
    <w:rsid w:val="009414CF"/>
    <w:rsid w:val="0094152C"/>
    <w:rsid w:val="009415E4"/>
    <w:rsid w:val="00941647"/>
    <w:rsid w:val="009416E0"/>
    <w:rsid w:val="0094173A"/>
    <w:rsid w:val="00941799"/>
    <w:rsid w:val="009417B8"/>
    <w:rsid w:val="009418DE"/>
    <w:rsid w:val="009418E7"/>
    <w:rsid w:val="00941918"/>
    <w:rsid w:val="009419EF"/>
    <w:rsid w:val="00941A4E"/>
    <w:rsid w:val="00941A9C"/>
    <w:rsid w:val="00941AC3"/>
    <w:rsid w:val="00941C17"/>
    <w:rsid w:val="00941D12"/>
    <w:rsid w:val="00941F17"/>
    <w:rsid w:val="00941F27"/>
    <w:rsid w:val="00941FB3"/>
    <w:rsid w:val="00942230"/>
    <w:rsid w:val="0094229B"/>
    <w:rsid w:val="00942302"/>
    <w:rsid w:val="00942396"/>
    <w:rsid w:val="00942597"/>
    <w:rsid w:val="009425A4"/>
    <w:rsid w:val="009425CA"/>
    <w:rsid w:val="009426B3"/>
    <w:rsid w:val="009427C0"/>
    <w:rsid w:val="0094288C"/>
    <w:rsid w:val="0094294D"/>
    <w:rsid w:val="0094299C"/>
    <w:rsid w:val="009429A9"/>
    <w:rsid w:val="00942A6E"/>
    <w:rsid w:val="00942A91"/>
    <w:rsid w:val="00942AED"/>
    <w:rsid w:val="00942B67"/>
    <w:rsid w:val="00942BCD"/>
    <w:rsid w:val="00942D03"/>
    <w:rsid w:val="00942D0A"/>
    <w:rsid w:val="00942DA9"/>
    <w:rsid w:val="00942DB2"/>
    <w:rsid w:val="00942DB9"/>
    <w:rsid w:val="00942E20"/>
    <w:rsid w:val="00942EEB"/>
    <w:rsid w:val="00942EF0"/>
    <w:rsid w:val="00942F42"/>
    <w:rsid w:val="00942F6A"/>
    <w:rsid w:val="0094301F"/>
    <w:rsid w:val="00943022"/>
    <w:rsid w:val="0094319E"/>
    <w:rsid w:val="00943249"/>
    <w:rsid w:val="009432C1"/>
    <w:rsid w:val="00943315"/>
    <w:rsid w:val="009433AF"/>
    <w:rsid w:val="009433FB"/>
    <w:rsid w:val="00943464"/>
    <w:rsid w:val="0094353C"/>
    <w:rsid w:val="0094358B"/>
    <w:rsid w:val="009435BD"/>
    <w:rsid w:val="0094368A"/>
    <w:rsid w:val="00943712"/>
    <w:rsid w:val="00943785"/>
    <w:rsid w:val="0094382D"/>
    <w:rsid w:val="00943A61"/>
    <w:rsid w:val="00943AB2"/>
    <w:rsid w:val="00943AE5"/>
    <w:rsid w:val="00943C2C"/>
    <w:rsid w:val="00943D8E"/>
    <w:rsid w:val="00943D91"/>
    <w:rsid w:val="00943DAF"/>
    <w:rsid w:val="00943DBA"/>
    <w:rsid w:val="00943DCA"/>
    <w:rsid w:val="00943DCE"/>
    <w:rsid w:val="00943DD3"/>
    <w:rsid w:val="00943E0A"/>
    <w:rsid w:val="00943EF9"/>
    <w:rsid w:val="00943F80"/>
    <w:rsid w:val="00943F92"/>
    <w:rsid w:val="00943FFA"/>
    <w:rsid w:val="00944026"/>
    <w:rsid w:val="0094402D"/>
    <w:rsid w:val="009440C8"/>
    <w:rsid w:val="009440D5"/>
    <w:rsid w:val="009440EB"/>
    <w:rsid w:val="00944262"/>
    <w:rsid w:val="00944288"/>
    <w:rsid w:val="00944296"/>
    <w:rsid w:val="009442A7"/>
    <w:rsid w:val="00944350"/>
    <w:rsid w:val="009443A2"/>
    <w:rsid w:val="00944464"/>
    <w:rsid w:val="009444A4"/>
    <w:rsid w:val="009444B3"/>
    <w:rsid w:val="009444E4"/>
    <w:rsid w:val="009444ED"/>
    <w:rsid w:val="009444F6"/>
    <w:rsid w:val="00944510"/>
    <w:rsid w:val="00944511"/>
    <w:rsid w:val="0094453D"/>
    <w:rsid w:val="009445C9"/>
    <w:rsid w:val="009445DE"/>
    <w:rsid w:val="00944668"/>
    <w:rsid w:val="009446B5"/>
    <w:rsid w:val="009446BD"/>
    <w:rsid w:val="009446F6"/>
    <w:rsid w:val="00944707"/>
    <w:rsid w:val="0094479C"/>
    <w:rsid w:val="009447AD"/>
    <w:rsid w:val="009447BF"/>
    <w:rsid w:val="009449F5"/>
    <w:rsid w:val="00944A5E"/>
    <w:rsid w:val="00944AD2"/>
    <w:rsid w:val="00944B58"/>
    <w:rsid w:val="00944BF8"/>
    <w:rsid w:val="00944C1F"/>
    <w:rsid w:val="00944C41"/>
    <w:rsid w:val="00944DFD"/>
    <w:rsid w:val="00944E18"/>
    <w:rsid w:val="00944F1E"/>
    <w:rsid w:val="00944F23"/>
    <w:rsid w:val="00944F82"/>
    <w:rsid w:val="00944FA7"/>
    <w:rsid w:val="009450D8"/>
    <w:rsid w:val="00945126"/>
    <w:rsid w:val="009451C9"/>
    <w:rsid w:val="009451EC"/>
    <w:rsid w:val="0094533C"/>
    <w:rsid w:val="009453FD"/>
    <w:rsid w:val="00945453"/>
    <w:rsid w:val="00945553"/>
    <w:rsid w:val="00945589"/>
    <w:rsid w:val="009455B8"/>
    <w:rsid w:val="009455B9"/>
    <w:rsid w:val="009456DA"/>
    <w:rsid w:val="009456F4"/>
    <w:rsid w:val="009456F9"/>
    <w:rsid w:val="00945736"/>
    <w:rsid w:val="00945A1D"/>
    <w:rsid w:val="00945A68"/>
    <w:rsid w:val="00945C98"/>
    <w:rsid w:val="00945E39"/>
    <w:rsid w:val="00945E50"/>
    <w:rsid w:val="00945E52"/>
    <w:rsid w:val="00945EB2"/>
    <w:rsid w:val="00945F0B"/>
    <w:rsid w:val="00946307"/>
    <w:rsid w:val="00946419"/>
    <w:rsid w:val="009464F3"/>
    <w:rsid w:val="00946558"/>
    <w:rsid w:val="009465A7"/>
    <w:rsid w:val="009465AE"/>
    <w:rsid w:val="00946666"/>
    <w:rsid w:val="009466AB"/>
    <w:rsid w:val="0094671F"/>
    <w:rsid w:val="00946733"/>
    <w:rsid w:val="00946752"/>
    <w:rsid w:val="00946774"/>
    <w:rsid w:val="009467DB"/>
    <w:rsid w:val="0094682F"/>
    <w:rsid w:val="00946960"/>
    <w:rsid w:val="00946AE0"/>
    <w:rsid w:val="00946AF3"/>
    <w:rsid w:val="00946B47"/>
    <w:rsid w:val="00946C7F"/>
    <w:rsid w:val="00946D11"/>
    <w:rsid w:val="00946E2C"/>
    <w:rsid w:val="00946F4F"/>
    <w:rsid w:val="00946F73"/>
    <w:rsid w:val="0094701A"/>
    <w:rsid w:val="009470F1"/>
    <w:rsid w:val="009470FA"/>
    <w:rsid w:val="00947197"/>
    <w:rsid w:val="00947306"/>
    <w:rsid w:val="00947353"/>
    <w:rsid w:val="0094747A"/>
    <w:rsid w:val="009474F1"/>
    <w:rsid w:val="00947514"/>
    <w:rsid w:val="00947747"/>
    <w:rsid w:val="0094776F"/>
    <w:rsid w:val="009477DC"/>
    <w:rsid w:val="00947887"/>
    <w:rsid w:val="0094792A"/>
    <w:rsid w:val="009479EF"/>
    <w:rsid w:val="00947A3E"/>
    <w:rsid w:val="00947B69"/>
    <w:rsid w:val="00947BFB"/>
    <w:rsid w:val="00947D0D"/>
    <w:rsid w:val="00947E75"/>
    <w:rsid w:val="00947E9D"/>
    <w:rsid w:val="00947EDD"/>
    <w:rsid w:val="00947F81"/>
    <w:rsid w:val="0095004D"/>
    <w:rsid w:val="00950086"/>
    <w:rsid w:val="0095012C"/>
    <w:rsid w:val="009503E9"/>
    <w:rsid w:val="0095062C"/>
    <w:rsid w:val="00950704"/>
    <w:rsid w:val="009507B7"/>
    <w:rsid w:val="009508F0"/>
    <w:rsid w:val="00950965"/>
    <w:rsid w:val="00950B34"/>
    <w:rsid w:val="00950C1F"/>
    <w:rsid w:val="00950C6B"/>
    <w:rsid w:val="00950C76"/>
    <w:rsid w:val="00950C93"/>
    <w:rsid w:val="00950DC6"/>
    <w:rsid w:val="00950E30"/>
    <w:rsid w:val="00950E5F"/>
    <w:rsid w:val="00950E86"/>
    <w:rsid w:val="00950FDB"/>
    <w:rsid w:val="0095112E"/>
    <w:rsid w:val="00951450"/>
    <w:rsid w:val="00951457"/>
    <w:rsid w:val="0095149A"/>
    <w:rsid w:val="009514BC"/>
    <w:rsid w:val="009514EF"/>
    <w:rsid w:val="0095160D"/>
    <w:rsid w:val="00951628"/>
    <w:rsid w:val="00951699"/>
    <w:rsid w:val="009517FC"/>
    <w:rsid w:val="00951996"/>
    <w:rsid w:val="00951A01"/>
    <w:rsid w:val="00951B13"/>
    <w:rsid w:val="00951B84"/>
    <w:rsid w:val="00951BEB"/>
    <w:rsid w:val="00951E77"/>
    <w:rsid w:val="0095203B"/>
    <w:rsid w:val="0095216D"/>
    <w:rsid w:val="00952186"/>
    <w:rsid w:val="00952278"/>
    <w:rsid w:val="009522F3"/>
    <w:rsid w:val="00952497"/>
    <w:rsid w:val="009524D1"/>
    <w:rsid w:val="00952514"/>
    <w:rsid w:val="0095251B"/>
    <w:rsid w:val="00952560"/>
    <w:rsid w:val="00952562"/>
    <w:rsid w:val="0095258D"/>
    <w:rsid w:val="009525D9"/>
    <w:rsid w:val="009526B7"/>
    <w:rsid w:val="009526C4"/>
    <w:rsid w:val="0095271C"/>
    <w:rsid w:val="00952738"/>
    <w:rsid w:val="00952780"/>
    <w:rsid w:val="009528C3"/>
    <w:rsid w:val="00952946"/>
    <w:rsid w:val="009529DA"/>
    <w:rsid w:val="00952A43"/>
    <w:rsid w:val="00952B68"/>
    <w:rsid w:val="00952B89"/>
    <w:rsid w:val="00952B99"/>
    <w:rsid w:val="00952C7A"/>
    <w:rsid w:val="00952CC6"/>
    <w:rsid w:val="00952D29"/>
    <w:rsid w:val="00952D4A"/>
    <w:rsid w:val="00952D6D"/>
    <w:rsid w:val="00952D81"/>
    <w:rsid w:val="00952E1C"/>
    <w:rsid w:val="00952E95"/>
    <w:rsid w:val="00952ED4"/>
    <w:rsid w:val="00952F58"/>
    <w:rsid w:val="00952F60"/>
    <w:rsid w:val="00952FFB"/>
    <w:rsid w:val="00953054"/>
    <w:rsid w:val="00953069"/>
    <w:rsid w:val="0095312C"/>
    <w:rsid w:val="00953195"/>
    <w:rsid w:val="00953196"/>
    <w:rsid w:val="009531FE"/>
    <w:rsid w:val="00953262"/>
    <w:rsid w:val="0095328B"/>
    <w:rsid w:val="00953334"/>
    <w:rsid w:val="00953396"/>
    <w:rsid w:val="00953418"/>
    <w:rsid w:val="0095351B"/>
    <w:rsid w:val="009535C5"/>
    <w:rsid w:val="00953712"/>
    <w:rsid w:val="0095385E"/>
    <w:rsid w:val="00953868"/>
    <w:rsid w:val="00953A27"/>
    <w:rsid w:val="00953A38"/>
    <w:rsid w:val="00953A8E"/>
    <w:rsid w:val="00953B85"/>
    <w:rsid w:val="00953BA5"/>
    <w:rsid w:val="00953C60"/>
    <w:rsid w:val="00953DF3"/>
    <w:rsid w:val="00953E0E"/>
    <w:rsid w:val="00953E0F"/>
    <w:rsid w:val="00953E22"/>
    <w:rsid w:val="00953E3C"/>
    <w:rsid w:val="00953EF1"/>
    <w:rsid w:val="00953EF4"/>
    <w:rsid w:val="00953F0E"/>
    <w:rsid w:val="00953F7F"/>
    <w:rsid w:val="00953FEE"/>
    <w:rsid w:val="0095405F"/>
    <w:rsid w:val="00954114"/>
    <w:rsid w:val="009541B9"/>
    <w:rsid w:val="009541E4"/>
    <w:rsid w:val="0095426E"/>
    <w:rsid w:val="0095428B"/>
    <w:rsid w:val="009542FF"/>
    <w:rsid w:val="00954318"/>
    <w:rsid w:val="00954461"/>
    <w:rsid w:val="00954471"/>
    <w:rsid w:val="009544AF"/>
    <w:rsid w:val="009544DA"/>
    <w:rsid w:val="0095451B"/>
    <w:rsid w:val="009545A6"/>
    <w:rsid w:val="009545E2"/>
    <w:rsid w:val="00954633"/>
    <w:rsid w:val="0095467B"/>
    <w:rsid w:val="009546D0"/>
    <w:rsid w:val="009549A9"/>
    <w:rsid w:val="00954AF7"/>
    <w:rsid w:val="00954AFF"/>
    <w:rsid w:val="00954B27"/>
    <w:rsid w:val="00954BDD"/>
    <w:rsid w:val="00954CCE"/>
    <w:rsid w:val="00954D4F"/>
    <w:rsid w:val="00954DE7"/>
    <w:rsid w:val="00954DFD"/>
    <w:rsid w:val="00954E81"/>
    <w:rsid w:val="00954E85"/>
    <w:rsid w:val="00954ECF"/>
    <w:rsid w:val="00954EDD"/>
    <w:rsid w:val="00954EF6"/>
    <w:rsid w:val="00954FC2"/>
    <w:rsid w:val="0095503D"/>
    <w:rsid w:val="00955075"/>
    <w:rsid w:val="009550AA"/>
    <w:rsid w:val="009552D1"/>
    <w:rsid w:val="00955474"/>
    <w:rsid w:val="009554FD"/>
    <w:rsid w:val="00955795"/>
    <w:rsid w:val="0095583B"/>
    <w:rsid w:val="00955AE7"/>
    <w:rsid w:val="00955BEE"/>
    <w:rsid w:val="00955CE5"/>
    <w:rsid w:val="00955D5A"/>
    <w:rsid w:val="00955DE9"/>
    <w:rsid w:val="00955E2E"/>
    <w:rsid w:val="00955FFB"/>
    <w:rsid w:val="00956026"/>
    <w:rsid w:val="009560CC"/>
    <w:rsid w:val="00956180"/>
    <w:rsid w:val="009562B4"/>
    <w:rsid w:val="0095639B"/>
    <w:rsid w:val="009563B6"/>
    <w:rsid w:val="00956521"/>
    <w:rsid w:val="00956530"/>
    <w:rsid w:val="00956552"/>
    <w:rsid w:val="0095659B"/>
    <w:rsid w:val="00956653"/>
    <w:rsid w:val="009566D6"/>
    <w:rsid w:val="00956732"/>
    <w:rsid w:val="009567BC"/>
    <w:rsid w:val="009567F8"/>
    <w:rsid w:val="009567FD"/>
    <w:rsid w:val="0095680D"/>
    <w:rsid w:val="009568C0"/>
    <w:rsid w:val="0095691A"/>
    <w:rsid w:val="009569CC"/>
    <w:rsid w:val="00956BD9"/>
    <w:rsid w:val="00956C52"/>
    <w:rsid w:val="00956CE4"/>
    <w:rsid w:val="00956CE9"/>
    <w:rsid w:val="00956E20"/>
    <w:rsid w:val="00956E2A"/>
    <w:rsid w:val="00956EA1"/>
    <w:rsid w:val="00956F66"/>
    <w:rsid w:val="0095702A"/>
    <w:rsid w:val="00957057"/>
    <w:rsid w:val="009570C8"/>
    <w:rsid w:val="009571A0"/>
    <w:rsid w:val="00957232"/>
    <w:rsid w:val="0095726A"/>
    <w:rsid w:val="0095735D"/>
    <w:rsid w:val="0095737C"/>
    <w:rsid w:val="009574DA"/>
    <w:rsid w:val="009574F3"/>
    <w:rsid w:val="0095751A"/>
    <w:rsid w:val="00957576"/>
    <w:rsid w:val="00957636"/>
    <w:rsid w:val="0095773A"/>
    <w:rsid w:val="009577A1"/>
    <w:rsid w:val="00957831"/>
    <w:rsid w:val="00957878"/>
    <w:rsid w:val="009578F4"/>
    <w:rsid w:val="00957985"/>
    <w:rsid w:val="009579D8"/>
    <w:rsid w:val="009579DC"/>
    <w:rsid w:val="00957A49"/>
    <w:rsid w:val="00957B02"/>
    <w:rsid w:val="00957B0C"/>
    <w:rsid w:val="00957B2B"/>
    <w:rsid w:val="00957B32"/>
    <w:rsid w:val="00957C99"/>
    <w:rsid w:val="00957CE0"/>
    <w:rsid w:val="00957D84"/>
    <w:rsid w:val="00957E13"/>
    <w:rsid w:val="00957E2B"/>
    <w:rsid w:val="00957E2D"/>
    <w:rsid w:val="00957E77"/>
    <w:rsid w:val="00957E78"/>
    <w:rsid w:val="00957EA4"/>
    <w:rsid w:val="00957EDD"/>
    <w:rsid w:val="00957F86"/>
    <w:rsid w:val="0095D3EA"/>
    <w:rsid w:val="0096017F"/>
    <w:rsid w:val="00960236"/>
    <w:rsid w:val="0096032B"/>
    <w:rsid w:val="0096037A"/>
    <w:rsid w:val="00960402"/>
    <w:rsid w:val="009605FD"/>
    <w:rsid w:val="00960675"/>
    <w:rsid w:val="009606CC"/>
    <w:rsid w:val="009606D0"/>
    <w:rsid w:val="00960725"/>
    <w:rsid w:val="009607F3"/>
    <w:rsid w:val="009607FF"/>
    <w:rsid w:val="0096081E"/>
    <w:rsid w:val="00960820"/>
    <w:rsid w:val="00960847"/>
    <w:rsid w:val="00960910"/>
    <w:rsid w:val="00960A84"/>
    <w:rsid w:val="00960AB2"/>
    <w:rsid w:val="00960AFF"/>
    <w:rsid w:val="00960C35"/>
    <w:rsid w:val="00960DB6"/>
    <w:rsid w:val="00960E9B"/>
    <w:rsid w:val="00960EE1"/>
    <w:rsid w:val="00960FE6"/>
    <w:rsid w:val="00961027"/>
    <w:rsid w:val="00961058"/>
    <w:rsid w:val="00961079"/>
    <w:rsid w:val="00961215"/>
    <w:rsid w:val="00961478"/>
    <w:rsid w:val="0096147E"/>
    <w:rsid w:val="009617AA"/>
    <w:rsid w:val="009617BB"/>
    <w:rsid w:val="00961813"/>
    <w:rsid w:val="0096199D"/>
    <w:rsid w:val="00961A4D"/>
    <w:rsid w:val="00961B87"/>
    <w:rsid w:val="00961BA6"/>
    <w:rsid w:val="00961D49"/>
    <w:rsid w:val="00961D8C"/>
    <w:rsid w:val="00961DE3"/>
    <w:rsid w:val="00961E09"/>
    <w:rsid w:val="00961F39"/>
    <w:rsid w:val="00961FE5"/>
    <w:rsid w:val="00962042"/>
    <w:rsid w:val="00962067"/>
    <w:rsid w:val="009621CC"/>
    <w:rsid w:val="009621CE"/>
    <w:rsid w:val="00962205"/>
    <w:rsid w:val="009622D9"/>
    <w:rsid w:val="00962309"/>
    <w:rsid w:val="00962391"/>
    <w:rsid w:val="00962488"/>
    <w:rsid w:val="00962515"/>
    <w:rsid w:val="00962522"/>
    <w:rsid w:val="009625E1"/>
    <w:rsid w:val="00962647"/>
    <w:rsid w:val="009626E7"/>
    <w:rsid w:val="0096276C"/>
    <w:rsid w:val="009627E4"/>
    <w:rsid w:val="0096283D"/>
    <w:rsid w:val="009628E7"/>
    <w:rsid w:val="009628F5"/>
    <w:rsid w:val="009628F7"/>
    <w:rsid w:val="00962910"/>
    <w:rsid w:val="00962AF1"/>
    <w:rsid w:val="00962BEF"/>
    <w:rsid w:val="00962C64"/>
    <w:rsid w:val="00962D57"/>
    <w:rsid w:val="00962E0E"/>
    <w:rsid w:val="00962E8F"/>
    <w:rsid w:val="00962EA7"/>
    <w:rsid w:val="00962EE5"/>
    <w:rsid w:val="00963031"/>
    <w:rsid w:val="00963087"/>
    <w:rsid w:val="00963096"/>
    <w:rsid w:val="009630E2"/>
    <w:rsid w:val="009630F5"/>
    <w:rsid w:val="00963114"/>
    <w:rsid w:val="00963155"/>
    <w:rsid w:val="009631D7"/>
    <w:rsid w:val="0096322E"/>
    <w:rsid w:val="0096335D"/>
    <w:rsid w:val="00963457"/>
    <w:rsid w:val="009634F1"/>
    <w:rsid w:val="0096371B"/>
    <w:rsid w:val="0096375B"/>
    <w:rsid w:val="009637EB"/>
    <w:rsid w:val="00963808"/>
    <w:rsid w:val="0096382F"/>
    <w:rsid w:val="0096389C"/>
    <w:rsid w:val="00963A0C"/>
    <w:rsid w:val="00963A32"/>
    <w:rsid w:val="00963B33"/>
    <w:rsid w:val="00963B3E"/>
    <w:rsid w:val="00963B45"/>
    <w:rsid w:val="00963C29"/>
    <w:rsid w:val="00963C41"/>
    <w:rsid w:val="00963CA0"/>
    <w:rsid w:val="00963CFB"/>
    <w:rsid w:val="00963D91"/>
    <w:rsid w:val="00963DB3"/>
    <w:rsid w:val="00963E2D"/>
    <w:rsid w:val="00963E6A"/>
    <w:rsid w:val="00963EA3"/>
    <w:rsid w:val="00963ED8"/>
    <w:rsid w:val="00963EF4"/>
    <w:rsid w:val="00963FC5"/>
    <w:rsid w:val="00964140"/>
    <w:rsid w:val="00964160"/>
    <w:rsid w:val="009642B5"/>
    <w:rsid w:val="009642CE"/>
    <w:rsid w:val="0096430D"/>
    <w:rsid w:val="0096444F"/>
    <w:rsid w:val="0096449E"/>
    <w:rsid w:val="009645F1"/>
    <w:rsid w:val="0096465F"/>
    <w:rsid w:val="009646EA"/>
    <w:rsid w:val="0096476C"/>
    <w:rsid w:val="00964865"/>
    <w:rsid w:val="009648E1"/>
    <w:rsid w:val="00964915"/>
    <w:rsid w:val="00964AD5"/>
    <w:rsid w:val="00964AD6"/>
    <w:rsid w:val="00964B32"/>
    <w:rsid w:val="00964BE0"/>
    <w:rsid w:val="00964C27"/>
    <w:rsid w:val="00964C44"/>
    <w:rsid w:val="00964CC5"/>
    <w:rsid w:val="00964D14"/>
    <w:rsid w:val="00964D16"/>
    <w:rsid w:val="00964D27"/>
    <w:rsid w:val="00964DD3"/>
    <w:rsid w:val="00964DD5"/>
    <w:rsid w:val="00964DD6"/>
    <w:rsid w:val="00964E0F"/>
    <w:rsid w:val="00964F28"/>
    <w:rsid w:val="00964FB5"/>
    <w:rsid w:val="00964FD0"/>
    <w:rsid w:val="009650B8"/>
    <w:rsid w:val="009650CA"/>
    <w:rsid w:val="0096514D"/>
    <w:rsid w:val="0096518E"/>
    <w:rsid w:val="00965308"/>
    <w:rsid w:val="00965360"/>
    <w:rsid w:val="009653A1"/>
    <w:rsid w:val="009653C1"/>
    <w:rsid w:val="00965455"/>
    <w:rsid w:val="009654D8"/>
    <w:rsid w:val="00965595"/>
    <w:rsid w:val="00965610"/>
    <w:rsid w:val="00965697"/>
    <w:rsid w:val="0096570B"/>
    <w:rsid w:val="00965765"/>
    <w:rsid w:val="009657A8"/>
    <w:rsid w:val="00965854"/>
    <w:rsid w:val="00965897"/>
    <w:rsid w:val="00965904"/>
    <w:rsid w:val="00965916"/>
    <w:rsid w:val="00965B8A"/>
    <w:rsid w:val="00965C30"/>
    <w:rsid w:val="00965D0F"/>
    <w:rsid w:val="00965EF0"/>
    <w:rsid w:val="00965EF8"/>
    <w:rsid w:val="00965F4F"/>
    <w:rsid w:val="00965FB7"/>
    <w:rsid w:val="00966190"/>
    <w:rsid w:val="0096619A"/>
    <w:rsid w:val="00966202"/>
    <w:rsid w:val="009662C6"/>
    <w:rsid w:val="0096635F"/>
    <w:rsid w:val="009663DE"/>
    <w:rsid w:val="0096640B"/>
    <w:rsid w:val="00966426"/>
    <w:rsid w:val="00966467"/>
    <w:rsid w:val="0096652A"/>
    <w:rsid w:val="00966637"/>
    <w:rsid w:val="0096676A"/>
    <w:rsid w:val="009667D5"/>
    <w:rsid w:val="009667E9"/>
    <w:rsid w:val="0096682D"/>
    <w:rsid w:val="00966941"/>
    <w:rsid w:val="00966AD5"/>
    <w:rsid w:val="00966B58"/>
    <w:rsid w:val="00966B8C"/>
    <w:rsid w:val="00966BB3"/>
    <w:rsid w:val="00966D2A"/>
    <w:rsid w:val="00966D6F"/>
    <w:rsid w:val="00966E0F"/>
    <w:rsid w:val="00966E34"/>
    <w:rsid w:val="00966F3C"/>
    <w:rsid w:val="00966F88"/>
    <w:rsid w:val="00967040"/>
    <w:rsid w:val="009673CB"/>
    <w:rsid w:val="009673F6"/>
    <w:rsid w:val="00967468"/>
    <w:rsid w:val="0096747A"/>
    <w:rsid w:val="0096748F"/>
    <w:rsid w:val="009674B0"/>
    <w:rsid w:val="009674C1"/>
    <w:rsid w:val="009674C4"/>
    <w:rsid w:val="009676BE"/>
    <w:rsid w:val="00967733"/>
    <w:rsid w:val="009678CF"/>
    <w:rsid w:val="0096791D"/>
    <w:rsid w:val="00967A0A"/>
    <w:rsid w:val="00967A6B"/>
    <w:rsid w:val="00967ADF"/>
    <w:rsid w:val="00967AF7"/>
    <w:rsid w:val="00967BFF"/>
    <w:rsid w:val="00967C52"/>
    <w:rsid w:val="00967C7F"/>
    <w:rsid w:val="00967CBD"/>
    <w:rsid w:val="00967CCD"/>
    <w:rsid w:val="00967DE1"/>
    <w:rsid w:val="00967E07"/>
    <w:rsid w:val="00967EEC"/>
    <w:rsid w:val="00967F08"/>
    <w:rsid w:val="00967FC8"/>
    <w:rsid w:val="00967FDC"/>
    <w:rsid w:val="00967FEE"/>
    <w:rsid w:val="00970071"/>
    <w:rsid w:val="0097008B"/>
    <w:rsid w:val="009700B1"/>
    <w:rsid w:val="009700BE"/>
    <w:rsid w:val="009700DB"/>
    <w:rsid w:val="009700E0"/>
    <w:rsid w:val="00970110"/>
    <w:rsid w:val="00970124"/>
    <w:rsid w:val="00970142"/>
    <w:rsid w:val="00970144"/>
    <w:rsid w:val="00970384"/>
    <w:rsid w:val="009703E3"/>
    <w:rsid w:val="009703EC"/>
    <w:rsid w:val="0097055F"/>
    <w:rsid w:val="009706BD"/>
    <w:rsid w:val="009707B1"/>
    <w:rsid w:val="0097083A"/>
    <w:rsid w:val="00970895"/>
    <w:rsid w:val="009708FF"/>
    <w:rsid w:val="00970B4A"/>
    <w:rsid w:val="00970C0B"/>
    <w:rsid w:val="00970CD3"/>
    <w:rsid w:val="00970CE3"/>
    <w:rsid w:val="00970D05"/>
    <w:rsid w:val="00970DC6"/>
    <w:rsid w:val="00970E99"/>
    <w:rsid w:val="00970F06"/>
    <w:rsid w:val="00970F16"/>
    <w:rsid w:val="00970FC4"/>
    <w:rsid w:val="00971013"/>
    <w:rsid w:val="0097114E"/>
    <w:rsid w:val="0097116F"/>
    <w:rsid w:val="0097123F"/>
    <w:rsid w:val="0097135D"/>
    <w:rsid w:val="009713AE"/>
    <w:rsid w:val="009713C7"/>
    <w:rsid w:val="009713FF"/>
    <w:rsid w:val="00971486"/>
    <w:rsid w:val="00971522"/>
    <w:rsid w:val="009715CC"/>
    <w:rsid w:val="0097160D"/>
    <w:rsid w:val="0097161A"/>
    <w:rsid w:val="0097165A"/>
    <w:rsid w:val="00971848"/>
    <w:rsid w:val="0097185F"/>
    <w:rsid w:val="009718E5"/>
    <w:rsid w:val="00971B04"/>
    <w:rsid w:val="00971C3D"/>
    <w:rsid w:val="00971C3F"/>
    <w:rsid w:val="00971D3C"/>
    <w:rsid w:val="00971DB1"/>
    <w:rsid w:val="00971DE3"/>
    <w:rsid w:val="00971F66"/>
    <w:rsid w:val="00972015"/>
    <w:rsid w:val="00972089"/>
    <w:rsid w:val="0097212F"/>
    <w:rsid w:val="0097214A"/>
    <w:rsid w:val="0097215B"/>
    <w:rsid w:val="00972181"/>
    <w:rsid w:val="00972195"/>
    <w:rsid w:val="009721B4"/>
    <w:rsid w:val="0097224D"/>
    <w:rsid w:val="00972264"/>
    <w:rsid w:val="00972580"/>
    <w:rsid w:val="00972609"/>
    <w:rsid w:val="0097268A"/>
    <w:rsid w:val="009726D1"/>
    <w:rsid w:val="009726D2"/>
    <w:rsid w:val="00972715"/>
    <w:rsid w:val="00972751"/>
    <w:rsid w:val="00972898"/>
    <w:rsid w:val="009728D3"/>
    <w:rsid w:val="009728F1"/>
    <w:rsid w:val="0097297A"/>
    <w:rsid w:val="00972A85"/>
    <w:rsid w:val="00972BE5"/>
    <w:rsid w:val="00972D06"/>
    <w:rsid w:val="00972D13"/>
    <w:rsid w:val="00972D89"/>
    <w:rsid w:val="00972D8A"/>
    <w:rsid w:val="00972E48"/>
    <w:rsid w:val="00972E87"/>
    <w:rsid w:val="00972F9C"/>
    <w:rsid w:val="00972FF3"/>
    <w:rsid w:val="00972FF5"/>
    <w:rsid w:val="00973046"/>
    <w:rsid w:val="00973147"/>
    <w:rsid w:val="0097324B"/>
    <w:rsid w:val="00973286"/>
    <w:rsid w:val="009732FE"/>
    <w:rsid w:val="00973373"/>
    <w:rsid w:val="0097343B"/>
    <w:rsid w:val="009734B4"/>
    <w:rsid w:val="009735E0"/>
    <w:rsid w:val="009735E5"/>
    <w:rsid w:val="00973761"/>
    <w:rsid w:val="0097382C"/>
    <w:rsid w:val="009738E7"/>
    <w:rsid w:val="00973905"/>
    <w:rsid w:val="00973922"/>
    <w:rsid w:val="00973953"/>
    <w:rsid w:val="0097395D"/>
    <w:rsid w:val="00973981"/>
    <w:rsid w:val="00973ABB"/>
    <w:rsid w:val="00973ABE"/>
    <w:rsid w:val="00973B15"/>
    <w:rsid w:val="00973B9B"/>
    <w:rsid w:val="00973BE7"/>
    <w:rsid w:val="00973C1B"/>
    <w:rsid w:val="00973C8A"/>
    <w:rsid w:val="00973CA0"/>
    <w:rsid w:val="00973CF2"/>
    <w:rsid w:val="00973D0B"/>
    <w:rsid w:val="00973D71"/>
    <w:rsid w:val="00973DCD"/>
    <w:rsid w:val="00973E2A"/>
    <w:rsid w:val="00973ED0"/>
    <w:rsid w:val="00973EDB"/>
    <w:rsid w:val="00973F9B"/>
    <w:rsid w:val="00974081"/>
    <w:rsid w:val="0097419F"/>
    <w:rsid w:val="00974296"/>
    <w:rsid w:val="009743D1"/>
    <w:rsid w:val="00974401"/>
    <w:rsid w:val="00974485"/>
    <w:rsid w:val="009744D7"/>
    <w:rsid w:val="009744F2"/>
    <w:rsid w:val="00974525"/>
    <w:rsid w:val="00974714"/>
    <w:rsid w:val="00974725"/>
    <w:rsid w:val="00974A04"/>
    <w:rsid w:val="00974AA3"/>
    <w:rsid w:val="00974AD8"/>
    <w:rsid w:val="00974AF8"/>
    <w:rsid w:val="00974C1D"/>
    <w:rsid w:val="00974C45"/>
    <w:rsid w:val="00974C9D"/>
    <w:rsid w:val="00974D96"/>
    <w:rsid w:val="00974DA4"/>
    <w:rsid w:val="00974DAF"/>
    <w:rsid w:val="00974DBF"/>
    <w:rsid w:val="00974E67"/>
    <w:rsid w:val="00975000"/>
    <w:rsid w:val="00975097"/>
    <w:rsid w:val="009750A5"/>
    <w:rsid w:val="009751F0"/>
    <w:rsid w:val="00975208"/>
    <w:rsid w:val="0097521D"/>
    <w:rsid w:val="00975244"/>
    <w:rsid w:val="009752D4"/>
    <w:rsid w:val="0097549F"/>
    <w:rsid w:val="00975565"/>
    <w:rsid w:val="009755D8"/>
    <w:rsid w:val="009755F4"/>
    <w:rsid w:val="0097567E"/>
    <w:rsid w:val="0097573F"/>
    <w:rsid w:val="009757E1"/>
    <w:rsid w:val="00975801"/>
    <w:rsid w:val="0097582B"/>
    <w:rsid w:val="0097595B"/>
    <w:rsid w:val="009759A9"/>
    <w:rsid w:val="00975AA2"/>
    <w:rsid w:val="00975AC0"/>
    <w:rsid w:val="00975AFD"/>
    <w:rsid w:val="00975CD6"/>
    <w:rsid w:val="00975D52"/>
    <w:rsid w:val="00975E7E"/>
    <w:rsid w:val="00975EFB"/>
    <w:rsid w:val="009760F0"/>
    <w:rsid w:val="0097610B"/>
    <w:rsid w:val="00976113"/>
    <w:rsid w:val="00976129"/>
    <w:rsid w:val="00976192"/>
    <w:rsid w:val="009761CA"/>
    <w:rsid w:val="009762A7"/>
    <w:rsid w:val="009762C8"/>
    <w:rsid w:val="00976324"/>
    <w:rsid w:val="00976387"/>
    <w:rsid w:val="009763AC"/>
    <w:rsid w:val="00976441"/>
    <w:rsid w:val="009764F7"/>
    <w:rsid w:val="00976509"/>
    <w:rsid w:val="0097650E"/>
    <w:rsid w:val="00976574"/>
    <w:rsid w:val="009765DF"/>
    <w:rsid w:val="00976621"/>
    <w:rsid w:val="00976633"/>
    <w:rsid w:val="00976701"/>
    <w:rsid w:val="00976838"/>
    <w:rsid w:val="0097687E"/>
    <w:rsid w:val="0097698D"/>
    <w:rsid w:val="009769B7"/>
    <w:rsid w:val="009769F6"/>
    <w:rsid w:val="009769FF"/>
    <w:rsid w:val="00976A56"/>
    <w:rsid w:val="00976AD3"/>
    <w:rsid w:val="00976ADC"/>
    <w:rsid w:val="00976AFD"/>
    <w:rsid w:val="00976B9A"/>
    <w:rsid w:val="00976F7F"/>
    <w:rsid w:val="00976F9B"/>
    <w:rsid w:val="00977006"/>
    <w:rsid w:val="00977057"/>
    <w:rsid w:val="009771EC"/>
    <w:rsid w:val="0097722E"/>
    <w:rsid w:val="009772B3"/>
    <w:rsid w:val="00977338"/>
    <w:rsid w:val="0097735F"/>
    <w:rsid w:val="00977478"/>
    <w:rsid w:val="00977495"/>
    <w:rsid w:val="009774C0"/>
    <w:rsid w:val="009774D4"/>
    <w:rsid w:val="00977590"/>
    <w:rsid w:val="009776FA"/>
    <w:rsid w:val="0097771C"/>
    <w:rsid w:val="0097775D"/>
    <w:rsid w:val="00977775"/>
    <w:rsid w:val="0097786B"/>
    <w:rsid w:val="0097787C"/>
    <w:rsid w:val="00977891"/>
    <w:rsid w:val="00977902"/>
    <w:rsid w:val="0097795E"/>
    <w:rsid w:val="00977A24"/>
    <w:rsid w:val="00977B9F"/>
    <w:rsid w:val="00977C06"/>
    <w:rsid w:val="00977C10"/>
    <w:rsid w:val="00977C60"/>
    <w:rsid w:val="00977EAC"/>
    <w:rsid w:val="00977F93"/>
    <w:rsid w:val="00977FD9"/>
    <w:rsid w:val="0097A490"/>
    <w:rsid w:val="0097D5F6"/>
    <w:rsid w:val="00980112"/>
    <w:rsid w:val="009801EC"/>
    <w:rsid w:val="00980246"/>
    <w:rsid w:val="00980274"/>
    <w:rsid w:val="00980458"/>
    <w:rsid w:val="00980490"/>
    <w:rsid w:val="00980496"/>
    <w:rsid w:val="0098051B"/>
    <w:rsid w:val="0098052F"/>
    <w:rsid w:val="00980549"/>
    <w:rsid w:val="009805B9"/>
    <w:rsid w:val="00980635"/>
    <w:rsid w:val="00980695"/>
    <w:rsid w:val="009806A0"/>
    <w:rsid w:val="009806C6"/>
    <w:rsid w:val="00980706"/>
    <w:rsid w:val="00980759"/>
    <w:rsid w:val="0098082A"/>
    <w:rsid w:val="00980945"/>
    <w:rsid w:val="00980A44"/>
    <w:rsid w:val="00980B41"/>
    <w:rsid w:val="00980BB7"/>
    <w:rsid w:val="00980C81"/>
    <w:rsid w:val="00980D55"/>
    <w:rsid w:val="00980D5E"/>
    <w:rsid w:val="00980DCE"/>
    <w:rsid w:val="00980E44"/>
    <w:rsid w:val="00980ED3"/>
    <w:rsid w:val="00980F09"/>
    <w:rsid w:val="00980FAC"/>
    <w:rsid w:val="00981063"/>
    <w:rsid w:val="0098106E"/>
    <w:rsid w:val="00981093"/>
    <w:rsid w:val="0098109D"/>
    <w:rsid w:val="009810B4"/>
    <w:rsid w:val="009810D3"/>
    <w:rsid w:val="009811EE"/>
    <w:rsid w:val="009813C9"/>
    <w:rsid w:val="00981405"/>
    <w:rsid w:val="009814A3"/>
    <w:rsid w:val="009814B8"/>
    <w:rsid w:val="00981554"/>
    <w:rsid w:val="00981645"/>
    <w:rsid w:val="009816B6"/>
    <w:rsid w:val="00981771"/>
    <w:rsid w:val="0098180F"/>
    <w:rsid w:val="00981931"/>
    <w:rsid w:val="00981987"/>
    <w:rsid w:val="009819D9"/>
    <w:rsid w:val="009819E6"/>
    <w:rsid w:val="00981B0C"/>
    <w:rsid w:val="00981B20"/>
    <w:rsid w:val="00981B40"/>
    <w:rsid w:val="00981B6C"/>
    <w:rsid w:val="00981B85"/>
    <w:rsid w:val="00981BE2"/>
    <w:rsid w:val="00981D02"/>
    <w:rsid w:val="00981D55"/>
    <w:rsid w:val="00981D67"/>
    <w:rsid w:val="00981DDE"/>
    <w:rsid w:val="00981DE6"/>
    <w:rsid w:val="00981E00"/>
    <w:rsid w:val="00981E1A"/>
    <w:rsid w:val="00981E9F"/>
    <w:rsid w:val="00981EBE"/>
    <w:rsid w:val="00982004"/>
    <w:rsid w:val="00982192"/>
    <w:rsid w:val="009821E1"/>
    <w:rsid w:val="009821F7"/>
    <w:rsid w:val="00982210"/>
    <w:rsid w:val="00982426"/>
    <w:rsid w:val="009824D8"/>
    <w:rsid w:val="00982537"/>
    <w:rsid w:val="00982637"/>
    <w:rsid w:val="009826B5"/>
    <w:rsid w:val="009826BB"/>
    <w:rsid w:val="0098275E"/>
    <w:rsid w:val="0098280A"/>
    <w:rsid w:val="00982830"/>
    <w:rsid w:val="00982844"/>
    <w:rsid w:val="00982858"/>
    <w:rsid w:val="009828D4"/>
    <w:rsid w:val="00982A07"/>
    <w:rsid w:val="00982A45"/>
    <w:rsid w:val="00982C01"/>
    <w:rsid w:val="00982CF8"/>
    <w:rsid w:val="00982E4A"/>
    <w:rsid w:val="00982EF1"/>
    <w:rsid w:val="00982F26"/>
    <w:rsid w:val="00982FE3"/>
    <w:rsid w:val="009830B7"/>
    <w:rsid w:val="009830C1"/>
    <w:rsid w:val="009830E4"/>
    <w:rsid w:val="0098310F"/>
    <w:rsid w:val="0098311F"/>
    <w:rsid w:val="009831C6"/>
    <w:rsid w:val="00983334"/>
    <w:rsid w:val="00983385"/>
    <w:rsid w:val="0098342A"/>
    <w:rsid w:val="0098343B"/>
    <w:rsid w:val="009834AB"/>
    <w:rsid w:val="00983577"/>
    <w:rsid w:val="0098357F"/>
    <w:rsid w:val="009835C6"/>
    <w:rsid w:val="009835D8"/>
    <w:rsid w:val="00983609"/>
    <w:rsid w:val="00983689"/>
    <w:rsid w:val="009837A0"/>
    <w:rsid w:val="0098381E"/>
    <w:rsid w:val="00983868"/>
    <w:rsid w:val="00983871"/>
    <w:rsid w:val="009838FC"/>
    <w:rsid w:val="009839B1"/>
    <w:rsid w:val="00983AB6"/>
    <w:rsid w:val="00983B0F"/>
    <w:rsid w:val="00983B16"/>
    <w:rsid w:val="00983B20"/>
    <w:rsid w:val="00983B92"/>
    <w:rsid w:val="00983C3B"/>
    <w:rsid w:val="00983C56"/>
    <w:rsid w:val="00983C68"/>
    <w:rsid w:val="00983CFB"/>
    <w:rsid w:val="00983D17"/>
    <w:rsid w:val="00983D44"/>
    <w:rsid w:val="00983D52"/>
    <w:rsid w:val="00983EFB"/>
    <w:rsid w:val="00983F0A"/>
    <w:rsid w:val="00983F11"/>
    <w:rsid w:val="00983F1F"/>
    <w:rsid w:val="00983FC1"/>
    <w:rsid w:val="009840B8"/>
    <w:rsid w:val="009841F7"/>
    <w:rsid w:val="009841FD"/>
    <w:rsid w:val="00984349"/>
    <w:rsid w:val="009843A9"/>
    <w:rsid w:val="009843FD"/>
    <w:rsid w:val="009844A3"/>
    <w:rsid w:val="00984623"/>
    <w:rsid w:val="00984641"/>
    <w:rsid w:val="00984709"/>
    <w:rsid w:val="009847F4"/>
    <w:rsid w:val="00984942"/>
    <w:rsid w:val="00984AB6"/>
    <w:rsid w:val="00984BAF"/>
    <w:rsid w:val="00984D99"/>
    <w:rsid w:val="00984DD2"/>
    <w:rsid w:val="00984DD9"/>
    <w:rsid w:val="00984E3F"/>
    <w:rsid w:val="00984E8E"/>
    <w:rsid w:val="00984ECF"/>
    <w:rsid w:val="00984F21"/>
    <w:rsid w:val="0098505D"/>
    <w:rsid w:val="009850F8"/>
    <w:rsid w:val="00985297"/>
    <w:rsid w:val="009852AC"/>
    <w:rsid w:val="00985305"/>
    <w:rsid w:val="00985336"/>
    <w:rsid w:val="00985357"/>
    <w:rsid w:val="0098536B"/>
    <w:rsid w:val="00985417"/>
    <w:rsid w:val="00985465"/>
    <w:rsid w:val="00985588"/>
    <w:rsid w:val="0098561C"/>
    <w:rsid w:val="00985665"/>
    <w:rsid w:val="00985685"/>
    <w:rsid w:val="00985698"/>
    <w:rsid w:val="009857EC"/>
    <w:rsid w:val="0098581D"/>
    <w:rsid w:val="00985885"/>
    <w:rsid w:val="00985B08"/>
    <w:rsid w:val="00985B30"/>
    <w:rsid w:val="00985B32"/>
    <w:rsid w:val="00985B7F"/>
    <w:rsid w:val="00985BD4"/>
    <w:rsid w:val="00985C16"/>
    <w:rsid w:val="00985C97"/>
    <w:rsid w:val="00985D04"/>
    <w:rsid w:val="00985D95"/>
    <w:rsid w:val="00985E46"/>
    <w:rsid w:val="00985ECC"/>
    <w:rsid w:val="00985F04"/>
    <w:rsid w:val="00985F5B"/>
    <w:rsid w:val="00985F6D"/>
    <w:rsid w:val="00986188"/>
    <w:rsid w:val="009861B3"/>
    <w:rsid w:val="0098622A"/>
    <w:rsid w:val="00986448"/>
    <w:rsid w:val="009864A0"/>
    <w:rsid w:val="009864AB"/>
    <w:rsid w:val="009864DD"/>
    <w:rsid w:val="00986542"/>
    <w:rsid w:val="009865B3"/>
    <w:rsid w:val="0098660F"/>
    <w:rsid w:val="0098664E"/>
    <w:rsid w:val="009866DC"/>
    <w:rsid w:val="0098674E"/>
    <w:rsid w:val="009867D4"/>
    <w:rsid w:val="00986811"/>
    <w:rsid w:val="0098682F"/>
    <w:rsid w:val="0098697A"/>
    <w:rsid w:val="00986987"/>
    <w:rsid w:val="009869E0"/>
    <w:rsid w:val="009869E5"/>
    <w:rsid w:val="00986A67"/>
    <w:rsid w:val="00986ADF"/>
    <w:rsid w:val="00986B5F"/>
    <w:rsid w:val="00986BF4"/>
    <w:rsid w:val="00986D4E"/>
    <w:rsid w:val="00986EAD"/>
    <w:rsid w:val="00986F05"/>
    <w:rsid w:val="00986F11"/>
    <w:rsid w:val="00986F8A"/>
    <w:rsid w:val="00987061"/>
    <w:rsid w:val="00987144"/>
    <w:rsid w:val="00987511"/>
    <w:rsid w:val="009875BD"/>
    <w:rsid w:val="0098762B"/>
    <w:rsid w:val="0098765C"/>
    <w:rsid w:val="009877C5"/>
    <w:rsid w:val="00987886"/>
    <w:rsid w:val="009878BB"/>
    <w:rsid w:val="009878CC"/>
    <w:rsid w:val="00987930"/>
    <w:rsid w:val="00987A7B"/>
    <w:rsid w:val="00987A92"/>
    <w:rsid w:val="00987AD5"/>
    <w:rsid w:val="00987C23"/>
    <w:rsid w:val="00987C64"/>
    <w:rsid w:val="00987C6F"/>
    <w:rsid w:val="00987C90"/>
    <w:rsid w:val="00987CED"/>
    <w:rsid w:val="00987D43"/>
    <w:rsid w:val="00987DD5"/>
    <w:rsid w:val="00987E6F"/>
    <w:rsid w:val="00987FA0"/>
    <w:rsid w:val="00987FBA"/>
    <w:rsid w:val="0098E72E"/>
    <w:rsid w:val="00990009"/>
    <w:rsid w:val="009900BA"/>
    <w:rsid w:val="009901F6"/>
    <w:rsid w:val="00990228"/>
    <w:rsid w:val="00990272"/>
    <w:rsid w:val="00990345"/>
    <w:rsid w:val="00990499"/>
    <w:rsid w:val="009904BA"/>
    <w:rsid w:val="009904D7"/>
    <w:rsid w:val="00990673"/>
    <w:rsid w:val="009906AC"/>
    <w:rsid w:val="009906BA"/>
    <w:rsid w:val="009906F1"/>
    <w:rsid w:val="0099077A"/>
    <w:rsid w:val="00990787"/>
    <w:rsid w:val="0099085B"/>
    <w:rsid w:val="0099086C"/>
    <w:rsid w:val="00990961"/>
    <w:rsid w:val="00990999"/>
    <w:rsid w:val="0099099B"/>
    <w:rsid w:val="009909A0"/>
    <w:rsid w:val="00990BA0"/>
    <w:rsid w:val="00990BA2"/>
    <w:rsid w:val="00990BB8"/>
    <w:rsid w:val="00990BF8"/>
    <w:rsid w:val="00990D5B"/>
    <w:rsid w:val="00990E62"/>
    <w:rsid w:val="00990E8C"/>
    <w:rsid w:val="00990F0C"/>
    <w:rsid w:val="00990FB8"/>
    <w:rsid w:val="00990FCE"/>
    <w:rsid w:val="009911CD"/>
    <w:rsid w:val="00991238"/>
    <w:rsid w:val="00991257"/>
    <w:rsid w:val="009912BE"/>
    <w:rsid w:val="00991319"/>
    <w:rsid w:val="009914B2"/>
    <w:rsid w:val="009914D7"/>
    <w:rsid w:val="009914E6"/>
    <w:rsid w:val="00991656"/>
    <w:rsid w:val="00991677"/>
    <w:rsid w:val="0099167F"/>
    <w:rsid w:val="009917B0"/>
    <w:rsid w:val="009917C8"/>
    <w:rsid w:val="00991802"/>
    <w:rsid w:val="00991805"/>
    <w:rsid w:val="0099187A"/>
    <w:rsid w:val="009918F6"/>
    <w:rsid w:val="0099192D"/>
    <w:rsid w:val="0099193A"/>
    <w:rsid w:val="009919F2"/>
    <w:rsid w:val="00991B82"/>
    <w:rsid w:val="00991BB3"/>
    <w:rsid w:val="00991CC4"/>
    <w:rsid w:val="00991E2D"/>
    <w:rsid w:val="00991E5F"/>
    <w:rsid w:val="00991EDA"/>
    <w:rsid w:val="00991F72"/>
    <w:rsid w:val="0099207D"/>
    <w:rsid w:val="0099208F"/>
    <w:rsid w:val="00992188"/>
    <w:rsid w:val="0099227E"/>
    <w:rsid w:val="009922F8"/>
    <w:rsid w:val="00992301"/>
    <w:rsid w:val="00992342"/>
    <w:rsid w:val="00992369"/>
    <w:rsid w:val="009923A5"/>
    <w:rsid w:val="009923B2"/>
    <w:rsid w:val="009924B6"/>
    <w:rsid w:val="0099251A"/>
    <w:rsid w:val="00992557"/>
    <w:rsid w:val="00992692"/>
    <w:rsid w:val="009926E0"/>
    <w:rsid w:val="00992716"/>
    <w:rsid w:val="0099275D"/>
    <w:rsid w:val="00992898"/>
    <w:rsid w:val="009928AD"/>
    <w:rsid w:val="00992982"/>
    <w:rsid w:val="00992A2A"/>
    <w:rsid w:val="00992A8F"/>
    <w:rsid w:val="00992B1F"/>
    <w:rsid w:val="00992B58"/>
    <w:rsid w:val="00992B6C"/>
    <w:rsid w:val="00992C43"/>
    <w:rsid w:val="00992DD5"/>
    <w:rsid w:val="00992E02"/>
    <w:rsid w:val="00992E7E"/>
    <w:rsid w:val="00993048"/>
    <w:rsid w:val="009930D9"/>
    <w:rsid w:val="00993167"/>
    <w:rsid w:val="009932B8"/>
    <w:rsid w:val="009933F9"/>
    <w:rsid w:val="0099343E"/>
    <w:rsid w:val="009934CB"/>
    <w:rsid w:val="00993501"/>
    <w:rsid w:val="0099358D"/>
    <w:rsid w:val="009935F1"/>
    <w:rsid w:val="00993627"/>
    <w:rsid w:val="0099365F"/>
    <w:rsid w:val="00993752"/>
    <w:rsid w:val="0099377A"/>
    <w:rsid w:val="009937C8"/>
    <w:rsid w:val="009938CA"/>
    <w:rsid w:val="00993931"/>
    <w:rsid w:val="009939DC"/>
    <w:rsid w:val="00993A0C"/>
    <w:rsid w:val="00993A70"/>
    <w:rsid w:val="00993B37"/>
    <w:rsid w:val="00993BE1"/>
    <w:rsid w:val="00993D6E"/>
    <w:rsid w:val="00993E41"/>
    <w:rsid w:val="00993F66"/>
    <w:rsid w:val="00993FB4"/>
    <w:rsid w:val="00993FB5"/>
    <w:rsid w:val="009940DD"/>
    <w:rsid w:val="0099411A"/>
    <w:rsid w:val="00994128"/>
    <w:rsid w:val="00994436"/>
    <w:rsid w:val="009945B4"/>
    <w:rsid w:val="0099470F"/>
    <w:rsid w:val="00994787"/>
    <w:rsid w:val="00994901"/>
    <w:rsid w:val="00994902"/>
    <w:rsid w:val="00994A6F"/>
    <w:rsid w:val="00994B03"/>
    <w:rsid w:val="00994B8A"/>
    <w:rsid w:val="00994C67"/>
    <w:rsid w:val="00994CD3"/>
    <w:rsid w:val="00994D54"/>
    <w:rsid w:val="00994D79"/>
    <w:rsid w:val="00994E0E"/>
    <w:rsid w:val="00994F5B"/>
    <w:rsid w:val="00995114"/>
    <w:rsid w:val="0099519A"/>
    <w:rsid w:val="009951CB"/>
    <w:rsid w:val="00995248"/>
    <w:rsid w:val="00995250"/>
    <w:rsid w:val="009952DC"/>
    <w:rsid w:val="009952EB"/>
    <w:rsid w:val="0099533A"/>
    <w:rsid w:val="009953BF"/>
    <w:rsid w:val="0099550C"/>
    <w:rsid w:val="00995530"/>
    <w:rsid w:val="00995692"/>
    <w:rsid w:val="009956BA"/>
    <w:rsid w:val="00995776"/>
    <w:rsid w:val="0099577E"/>
    <w:rsid w:val="009957C5"/>
    <w:rsid w:val="009957CD"/>
    <w:rsid w:val="009958C9"/>
    <w:rsid w:val="009958E3"/>
    <w:rsid w:val="0099593E"/>
    <w:rsid w:val="009959B1"/>
    <w:rsid w:val="00995A28"/>
    <w:rsid w:val="00995A29"/>
    <w:rsid w:val="00995ABF"/>
    <w:rsid w:val="00995B31"/>
    <w:rsid w:val="00995C05"/>
    <w:rsid w:val="00995D21"/>
    <w:rsid w:val="00995D85"/>
    <w:rsid w:val="00995DA0"/>
    <w:rsid w:val="00995E34"/>
    <w:rsid w:val="00995ED9"/>
    <w:rsid w:val="00995EE9"/>
    <w:rsid w:val="00995F35"/>
    <w:rsid w:val="00996133"/>
    <w:rsid w:val="00996314"/>
    <w:rsid w:val="0099637C"/>
    <w:rsid w:val="0099638F"/>
    <w:rsid w:val="009963B4"/>
    <w:rsid w:val="009964B4"/>
    <w:rsid w:val="009964BA"/>
    <w:rsid w:val="00996576"/>
    <w:rsid w:val="00996578"/>
    <w:rsid w:val="009965A9"/>
    <w:rsid w:val="009965CD"/>
    <w:rsid w:val="00996654"/>
    <w:rsid w:val="00996684"/>
    <w:rsid w:val="009966EC"/>
    <w:rsid w:val="0099672C"/>
    <w:rsid w:val="00996732"/>
    <w:rsid w:val="00996818"/>
    <w:rsid w:val="00996862"/>
    <w:rsid w:val="009968E9"/>
    <w:rsid w:val="009968FB"/>
    <w:rsid w:val="00996917"/>
    <w:rsid w:val="009969ED"/>
    <w:rsid w:val="00996A2F"/>
    <w:rsid w:val="00996A66"/>
    <w:rsid w:val="00996AA7"/>
    <w:rsid w:val="00996BD0"/>
    <w:rsid w:val="00996CFE"/>
    <w:rsid w:val="00996D48"/>
    <w:rsid w:val="00996D94"/>
    <w:rsid w:val="00996DDF"/>
    <w:rsid w:val="00996E1E"/>
    <w:rsid w:val="00996EA8"/>
    <w:rsid w:val="00997062"/>
    <w:rsid w:val="00997097"/>
    <w:rsid w:val="009971A5"/>
    <w:rsid w:val="009972E3"/>
    <w:rsid w:val="009972FA"/>
    <w:rsid w:val="009973BA"/>
    <w:rsid w:val="00997425"/>
    <w:rsid w:val="00997428"/>
    <w:rsid w:val="00997508"/>
    <w:rsid w:val="00997562"/>
    <w:rsid w:val="009975A1"/>
    <w:rsid w:val="009975B3"/>
    <w:rsid w:val="009976A4"/>
    <w:rsid w:val="009976EC"/>
    <w:rsid w:val="009978A6"/>
    <w:rsid w:val="00997940"/>
    <w:rsid w:val="0099799D"/>
    <w:rsid w:val="009979AD"/>
    <w:rsid w:val="009979F4"/>
    <w:rsid w:val="00997BF7"/>
    <w:rsid w:val="00997BFF"/>
    <w:rsid w:val="00997C06"/>
    <w:rsid w:val="00997D0A"/>
    <w:rsid w:val="00997D8A"/>
    <w:rsid w:val="00997DD1"/>
    <w:rsid w:val="00997ED0"/>
    <w:rsid w:val="00997F32"/>
    <w:rsid w:val="009A000A"/>
    <w:rsid w:val="009A008C"/>
    <w:rsid w:val="009A0093"/>
    <w:rsid w:val="009A0099"/>
    <w:rsid w:val="009A0167"/>
    <w:rsid w:val="009A0188"/>
    <w:rsid w:val="009A01ED"/>
    <w:rsid w:val="009A0224"/>
    <w:rsid w:val="009A0241"/>
    <w:rsid w:val="009A0330"/>
    <w:rsid w:val="009A0424"/>
    <w:rsid w:val="009A0474"/>
    <w:rsid w:val="009A047A"/>
    <w:rsid w:val="009A04EC"/>
    <w:rsid w:val="009A0510"/>
    <w:rsid w:val="009A074C"/>
    <w:rsid w:val="009A075F"/>
    <w:rsid w:val="009A07BF"/>
    <w:rsid w:val="009A08ED"/>
    <w:rsid w:val="009A08FA"/>
    <w:rsid w:val="009A0955"/>
    <w:rsid w:val="009A0996"/>
    <w:rsid w:val="009A09A2"/>
    <w:rsid w:val="009A0A3F"/>
    <w:rsid w:val="009A0A68"/>
    <w:rsid w:val="009A0A7B"/>
    <w:rsid w:val="009A0AF5"/>
    <w:rsid w:val="009A0B49"/>
    <w:rsid w:val="009A0BF8"/>
    <w:rsid w:val="009A0C3A"/>
    <w:rsid w:val="009A0C82"/>
    <w:rsid w:val="009A0CE2"/>
    <w:rsid w:val="009A0D76"/>
    <w:rsid w:val="009A0D84"/>
    <w:rsid w:val="009A0DF5"/>
    <w:rsid w:val="009A0E97"/>
    <w:rsid w:val="009A0F69"/>
    <w:rsid w:val="009A0F76"/>
    <w:rsid w:val="009A0FEB"/>
    <w:rsid w:val="009A102F"/>
    <w:rsid w:val="009A11E7"/>
    <w:rsid w:val="009A120D"/>
    <w:rsid w:val="009A1228"/>
    <w:rsid w:val="009A136D"/>
    <w:rsid w:val="009A13EA"/>
    <w:rsid w:val="009A13EC"/>
    <w:rsid w:val="009A1425"/>
    <w:rsid w:val="009A142D"/>
    <w:rsid w:val="009A14B3"/>
    <w:rsid w:val="009A1568"/>
    <w:rsid w:val="009A1572"/>
    <w:rsid w:val="009A15CC"/>
    <w:rsid w:val="009A15E9"/>
    <w:rsid w:val="009A173B"/>
    <w:rsid w:val="009A17C7"/>
    <w:rsid w:val="009A181B"/>
    <w:rsid w:val="009A18B9"/>
    <w:rsid w:val="009A18CD"/>
    <w:rsid w:val="009A194A"/>
    <w:rsid w:val="009A195A"/>
    <w:rsid w:val="009A1A23"/>
    <w:rsid w:val="009A1A6F"/>
    <w:rsid w:val="009A1B95"/>
    <w:rsid w:val="009A1BDD"/>
    <w:rsid w:val="009A1BDE"/>
    <w:rsid w:val="009A1BEF"/>
    <w:rsid w:val="009A1BF3"/>
    <w:rsid w:val="009A1D75"/>
    <w:rsid w:val="009A1E02"/>
    <w:rsid w:val="009A1F14"/>
    <w:rsid w:val="009A1F4B"/>
    <w:rsid w:val="009A2194"/>
    <w:rsid w:val="009A2198"/>
    <w:rsid w:val="009A22EF"/>
    <w:rsid w:val="009A23C6"/>
    <w:rsid w:val="009A23F4"/>
    <w:rsid w:val="009A23FC"/>
    <w:rsid w:val="009A2402"/>
    <w:rsid w:val="009A251D"/>
    <w:rsid w:val="009A252B"/>
    <w:rsid w:val="009A2541"/>
    <w:rsid w:val="009A2577"/>
    <w:rsid w:val="009A2592"/>
    <w:rsid w:val="009A25D6"/>
    <w:rsid w:val="009A25EA"/>
    <w:rsid w:val="009A26C0"/>
    <w:rsid w:val="009A26D7"/>
    <w:rsid w:val="009A27D8"/>
    <w:rsid w:val="009A2840"/>
    <w:rsid w:val="009A2963"/>
    <w:rsid w:val="009A297A"/>
    <w:rsid w:val="009A2B5A"/>
    <w:rsid w:val="009A2BC5"/>
    <w:rsid w:val="009A2BF2"/>
    <w:rsid w:val="009A2C6F"/>
    <w:rsid w:val="009A2CFC"/>
    <w:rsid w:val="009A2DBA"/>
    <w:rsid w:val="009A2EAB"/>
    <w:rsid w:val="009A2FE6"/>
    <w:rsid w:val="009A3052"/>
    <w:rsid w:val="009A3293"/>
    <w:rsid w:val="009A329E"/>
    <w:rsid w:val="009A32F0"/>
    <w:rsid w:val="009A3356"/>
    <w:rsid w:val="009A3467"/>
    <w:rsid w:val="009A34B8"/>
    <w:rsid w:val="009A358E"/>
    <w:rsid w:val="009A3712"/>
    <w:rsid w:val="009A3730"/>
    <w:rsid w:val="009A37F0"/>
    <w:rsid w:val="009A396E"/>
    <w:rsid w:val="009A39D8"/>
    <w:rsid w:val="009A3A09"/>
    <w:rsid w:val="009A3AB0"/>
    <w:rsid w:val="009A3B0A"/>
    <w:rsid w:val="009A3B99"/>
    <w:rsid w:val="009A3D2F"/>
    <w:rsid w:val="009A3D68"/>
    <w:rsid w:val="009A3DBD"/>
    <w:rsid w:val="009A3DC3"/>
    <w:rsid w:val="009A3DED"/>
    <w:rsid w:val="009A40AB"/>
    <w:rsid w:val="009A40F7"/>
    <w:rsid w:val="009A411A"/>
    <w:rsid w:val="009A411C"/>
    <w:rsid w:val="009A41EF"/>
    <w:rsid w:val="009A4209"/>
    <w:rsid w:val="009A4273"/>
    <w:rsid w:val="009A42E3"/>
    <w:rsid w:val="009A4315"/>
    <w:rsid w:val="009A4387"/>
    <w:rsid w:val="009A441E"/>
    <w:rsid w:val="009A44BA"/>
    <w:rsid w:val="009A464F"/>
    <w:rsid w:val="009A465A"/>
    <w:rsid w:val="009A476B"/>
    <w:rsid w:val="009A47A8"/>
    <w:rsid w:val="009A47EC"/>
    <w:rsid w:val="009A47F5"/>
    <w:rsid w:val="009A47F7"/>
    <w:rsid w:val="009A48A6"/>
    <w:rsid w:val="009A494B"/>
    <w:rsid w:val="009A49D8"/>
    <w:rsid w:val="009A4A2B"/>
    <w:rsid w:val="009A4A3D"/>
    <w:rsid w:val="009A4A8D"/>
    <w:rsid w:val="009A4B2E"/>
    <w:rsid w:val="009A4B43"/>
    <w:rsid w:val="009A4B53"/>
    <w:rsid w:val="009A4BAD"/>
    <w:rsid w:val="009A4C7E"/>
    <w:rsid w:val="009A4CD1"/>
    <w:rsid w:val="009A4D27"/>
    <w:rsid w:val="009A4D88"/>
    <w:rsid w:val="009A4DE7"/>
    <w:rsid w:val="009A4E2C"/>
    <w:rsid w:val="009A4E51"/>
    <w:rsid w:val="009A4EA9"/>
    <w:rsid w:val="009A4EE8"/>
    <w:rsid w:val="009A4F42"/>
    <w:rsid w:val="009A5053"/>
    <w:rsid w:val="009A5071"/>
    <w:rsid w:val="009A508D"/>
    <w:rsid w:val="009A51BE"/>
    <w:rsid w:val="009A51F5"/>
    <w:rsid w:val="009A51F9"/>
    <w:rsid w:val="009A5293"/>
    <w:rsid w:val="009A538A"/>
    <w:rsid w:val="009A539F"/>
    <w:rsid w:val="009A5433"/>
    <w:rsid w:val="009A555D"/>
    <w:rsid w:val="009A557C"/>
    <w:rsid w:val="009A55AA"/>
    <w:rsid w:val="009A5639"/>
    <w:rsid w:val="009A5648"/>
    <w:rsid w:val="009A569B"/>
    <w:rsid w:val="009A570E"/>
    <w:rsid w:val="009A57E5"/>
    <w:rsid w:val="009A5815"/>
    <w:rsid w:val="009A58B9"/>
    <w:rsid w:val="009A5903"/>
    <w:rsid w:val="009A592A"/>
    <w:rsid w:val="009A594E"/>
    <w:rsid w:val="009A5980"/>
    <w:rsid w:val="009A59DD"/>
    <w:rsid w:val="009A5C0C"/>
    <w:rsid w:val="009A5CEC"/>
    <w:rsid w:val="009A5CF5"/>
    <w:rsid w:val="009A5D99"/>
    <w:rsid w:val="009A5D9C"/>
    <w:rsid w:val="009A5D9F"/>
    <w:rsid w:val="009A5EBC"/>
    <w:rsid w:val="009A5EBD"/>
    <w:rsid w:val="009A5EEE"/>
    <w:rsid w:val="009A5F20"/>
    <w:rsid w:val="009A5F2B"/>
    <w:rsid w:val="009A60A2"/>
    <w:rsid w:val="009A613A"/>
    <w:rsid w:val="009A61C2"/>
    <w:rsid w:val="009A61F9"/>
    <w:rsid w:val="009A6271"/>
    <w:rsid w:val="009A6334"/>
    <w:rsid w:val="009A638B"/>
    <w:rsid w:val="009A64C6"/>
    <w:rsid w:val="009A64DB"/>
    <w:rsid w:val="009A6520"/>
    <w:rsid w:val="009A656C"/>
    <w:rsid w:val="009A659D"/>
    <w:rsid w:val="009A65F4"/>
    <w:rsid w:val="009A6602"/>
    <w:rsid w:val="009A66CD"/>
    <w:rsid w:val="009A672E"/>
    <w:rsid w:val="009A6778"/>
    <w:rsid w:val="009A6868"/>
    <w:rsid w:val="009A689D"/>
    <w:rsid w:val="009A68D4"/>
    <w:rsid w:val="009A6999"/>
    <w:rsid w:val="009A69DF"/>
    <w:rsid w:val="009A6AEC"/>
    <w:rsid w:val="009A6B5C"/>
    <w:rsid w:val="009A6B9E"/>
    <w:rsid w:val="009A6BCA"/>
    <w:rsid w:val="009A6BF0"/>
    <w:rsid w:val="009A6CF8"/>
    <w:rsid w:val="009A6D8E"/>
    <w:rsid w:val="009A6DA2"/>
    <w:rsid w:val="009A6FBF"/>
    <w:rsid w:val="009A6FCE"/>
    <w:rsid w:val="009A705A"/>
    <w:rsid w:val="009A71AA"/>
    <w:rsid w:val="009A7336"/>
    <w:rsid w:val="009A7367"/>
    <w:rsid w:val="009A7385"/>
    <w:rsid w:val="009A74D5"/>
    <w:rsid w:val="009A7546"/>
    <w:rsid w:val="009A7699"/>
    <w:rsid w:val="009A769F"/>
    <w:rsid w:val="009A7704"/>
    <w:rsid w:val="009A770E"/>
    <w:rsid w:val="009A7747"/>
    <w:rsid w:val="009A7789"/>
    <w:rsid w:val="009A77DD"/>
    <w:rsid w:val="009A786B"/>
    <w:rsid w:val="009A796F"/>
    <w:rsid w:val="009A7988"/>
    <w:rsid w:val="009A79D6"/>
    <w:rsid w:val="009A79D8"/>
    <w:rsid w:val="009A79FB"/>
    <w:rsid w:val="009A7ACD"/>
    <w:rsid w:val="009A7BB6"/>
    <w:rsid w:val="009A7BC8"/>
    <w:rsid w:val="009A7BE9"/>
    <w:rsid w:val="009A7D0F"/>
    <w:rsid w:val="009A7D87"/>
    <w:rsid w:val="009A7EA5"/>
    <w:rsid w:val="009AB00D"/>
    <w:rsid w:val="009B0034"/>
    <w:rsid w:val="009B005F"/>
    <w:rsid w:val="009B00E6"/>
    <w:rsid w:val="009B0142"/>
    <w:rsid w:val="009B0180"/>
    <w:rsid w:val="009B01F1"/>
    <w:rsid w:val="009B0208"/>
    <w:rsid w:val="009B025E"/>
    <w:rsid w:val="009B027F"/>
    <w:rsid w:val="009B02D6"/>
    <w:rsid w:val="009B0322"/>
    <w:rsid w:val="009B0361"/>
    <w:rsid w:val="009B0364"/>
    <w:rsid w:val="009B0372"/>
    <w:rsid w:val="009B03B3"/>
    <w:rsid w:val="009B0449"/>
    <w:rsid w:val="009B05F4"/>
    <w:rsid w:val="009B06AE"/>
    <w:rsid w:val="009B07C4"/>
    <w:rsid w:val="009B0839"/>
    <w:rsid w:val="009B08DB"/>
    <w:rsid w:val="009B08EA"/>
    <w:rsid w:val="009B093E"/>
    <w:rsid w:val="009B095E"/>
    <w:rsid w:val="009B09FA"/>
    <w:rsid w:val="009B0A76"/>
    <w:rsid w:val="009B0BAE"/>
    <w:rsid w:val="009B0BBB"/>
    <w:rsid w:val="009B0C9D"/>
    <w:rsid w:val="009B0E16"/>
    <w:rsid w:val="009B0FCD"/>
    <w:rsid w:val="009B0FD3"/>
    <w:rsid w:val="009B0FEB"/>
    <w:rsid w:val="009B1100"/>
    <w:rsid w:val="009B129C"/>
    <w:rsid w:val="009B12EE"/>
    <w:rsid w:val="009B1384"/>
    <w:rsid w:val="009B1394"/>
    <w:rsid w:val="009B1408"/>
    <w:rsid w:val="009B140B"/>
    <w:rsid w:val="009B1410"/>
    <w:rsid w:val="009B158E"/>
    <w:rsid w:val="009B159E"/>
    <w:rsid w:val="009B175C"/>
    <w:rsid w:val="009B1773"/>
    <w:rsid w:val="009B177B"/>
    <w:rsid w:val="009B1834"/>
    <w:rsid w:val="009B19F7"/>
    <w:rsid w:val="009B1A7C"/>
    <w:rsid w:val="009B1B4A"/>
    <w:rsid w:val="009B1BB6"/>
    <w:rsid w:val="009B1D86"/>
    <w:rsid w:val="009B1E02"/>
    <w:rsid w:val="009B1E1D"/>
    <w:rsid w:val="009B1E57"/>
    <w:rsid w:val="009B1F57"/>
    <w:rsid w:val="009B21CA"/>
    <w:rsid w:val="009B2274"/>
    <w:rsid w:val="009B2289"/>
    <w:rsid w:val="009B2317"/>
    <w:rsid w:val="009B2323"/>
    <w:rsid w:val="009B2363"/>
    <w:rsid w:val="009B2366"/>
    <w:rsid w:val="009B237A"/>
    <w:rsid w:val="009B239A"/>
    <w:rsid w:val="009B2476"/>
    <w:rsid w:val="009B2633"/>
    <w:rsid w:val="009B270A"/>
    <w:rsid w:val="009B281F"/>
    <w:rsid w:val="009B2827"/>
    <w:rsid w:val="009B28BE"/>
    <w:rsid w:val="009B28C5"/>
    <w:rsid w:val="009B28D4"/>
    <w:rsid w:val="009B2936"/>
    <w:rsid w:val="009B29B9"/>
    <w:rsid w:val="009B2A13"/>
    <w:rsid w:val="009B2A9B"/>
    <w:rsid w:val="009B2AB5"/>
    <w:rsid w:val="009B2B29"/>
    <w:rsid w:val="009B2B7A"/>
    <w:rsid w:val="009B2BE1"/>
    <w:rsid w:val="009B2C5A"/>
    <w:rsid w:val="009B2D1A"/>
    <w:rsid w:val="009B2EE5"/>
    <w:rsid w:val="009B2F42"/>
    <w:rsid w:val="009B2FA5"/>
    <w:rsid w:val="009B308F"/>
    <w:rsid w:val="009B310A"/>
    <w:rsid w:val="009B3603"/>
    <w:rsid w:val="009B3697"/>
    <w:rsid w:val="009B36F0"/>
    <w:rsid w:val="009B3716"/>
    <w:rsid w:val="009B379F"/>
    <w:rsid w:val="009B3B01"/>
    <w:rsid w:val="009B3B7C"/>
    <w:rsid w:val="009B3B8E"/>
    <w:rsid w:val="009B3C16"/>
    <w:rsid w:val="009B3CC6"/>
    <w:rsid w:val="009B3D63"/>
    <w:rsid w:val="009B3D7A"/>
    <w:rsid w:val="009B3D89"/>
    <w:rsid w:val="009B3DA2"/>
    <w:rsid w:val="009B3DD8"/>
    <w:rsid w:val="009B3EE0"/>
    <w:rsid w:val="009B3FB0"/>
    <w:rsid w:val="009B4009"/>
    <w:rsid w:val="009B402D"/>
    <w:rsid w:val="009B403E"/>
    <w:rsid w:val="009B40CB"/>
    <w:rsid w:val="009B4103"/>
    <w:rsid w:val="009B4138"/>
    <w:rsid w:val="009B419A"/>
    <w:rsid w:val="009B4212"/>
    <w:rsid w:val="009B4252"/>
    <w:rsid w:val="009B439A"/>
    <w:rsid w:val="009B44C9"/>
    <w:rsid w:val="009B4531"/>
    <w:rsid w:val="009B4535"/>
    <w:rsid w:val="009B4611"/>
    <w:rsid w:val="009B4763"/>
    <w:rsid w:val="009B47E9"/>
    <w:rsid w:val="009B4870"/>
    <w:rsid w:val="009B487E"/>
    <w:rsid w:val="009B48BA"/>
    <w:rsid w:val="009B4A6D"/>
    <w:rsid w:val="009B4CFC"/>
    <w:rsid w:val="009B4D26"/>
    <w:rsid w:val="009B4E6A"/>
    <w:rsid w:val="009B4EAE"/>
    <w:rsid w:val="009B4ECB"/>
    <w:rsid w:val="009B4FD5"/>
    <w:rsid w:val="009B5159"/>
    <w:rsid w:val="009B51EC"/>
    <w:rsid w:val="009B5255"/>
    <w:rsid w:val="009B5357"/>
    <w:rsid w:val="009B5406"/>
    <w:rsid w:val="009B5438"/>
    <w:rsid w:val="009B54E6"/>
    <w:rsid w:val="009B5563"/>
    <w:rsid w:val="009B5616"/>
    <w:rsid w:val="009B5618"/>
    <w:rsid w:val="009B5632"/>
    <w:rsid w:val="009B56E4"/>
    <w:rsid w:val="009B592C"/>
    <w:rsid w:val="009B59BD"/>
    <w:rsid w:val="009B59D4"/>
    <w:rsid w:val="009B5BAF"/>
    <w:rsid w:val="009B5BDD"/>
    <w:rsid w:val="009B5C0E"/>
    <w:rsid w:val="009B5D6E"/>
    <w:rsid w:val="009B5E55"/>
    <w:rsid w:val="009B5F56"/>
    <w:rsid w:val="009B5FBD"/>
    <w:rsid w:val="009B6008"/>
    <w:rsid w:val="009B60BC"/>
    <w:rsid w:val="009B6120"/>
    <w:rsid w:val="009B61FC"/>
    <w:rsid w:val="009B626A"/>
    <w:rsid w:val="009B6332"/>
    <w:rsid w:val="009B635F"/>
    <w:rsid w:val="009B643D"/>
    <w:rsid w:val="009B6536"/>
    <w:rsid w:val="009B6639"/>
    <w:rsid w:val="009B66ED"/>
    <w:rsid w:val="009B6731"/>
    <w:rsid w:val="009B67B4"/>
    <w:rsid w:val="009B67EE"/>
    <w:rsid w:val="009B6833"/>
    <w:rsid w:val="009B68ED"/>
    <w:rsid w:val="009B6A87"/>
    <w:rsid w:val="009B6AB0"/>
    <w:rsid w:val="009B6AFD"/>
    <w:rsid w:val="009B6C20"/>
    <w:rsid w:val="009B6CAF"/>
    <w:rsid w:val="009B6F0B"/>
    <w:rsid w:val="009B6F1E"/>
    <w:rsid w:val="009B6F2D"/>
    <w:rsid w:val="009B700E"/>
    <w:rsid w:val="009B7088"/>
    <w:rsid w:val="009B71DA"/>
    <w:rsid w:val="009B71F0"/>
    <w:rsid w:val="009B73A4"/>
    <w:rsid w:val="009B73EC"/>
    <w:rsid w:val="009B748B"/>
    <w:rsid w:val="009B7629"/>
    <w:rsid w:val="009B76BA"/>
    <w:rsid w:val="009B771B"/>
    <w:rsid w:val="009B771E"/>
    <w:rsid w:val="009B773C"/>
    <w:rsid w:val="009B775D"/>
    <w:rsid w:val="009B782B"/>
    <w:rsid w:val="009B794B"/>
    <w:rsid w:val="009B79C0"/>
    <w:rsid w:val="009B7A00"/>
    <w:rsid w:val="009B7A13"/>
    <w:rsid w:val="009B7ACB"/>
    <w:rsid w:val="009B7B04"/>
    <w:rsid w:val="009B7B0A"/>
    <w:rsid w:val="009B7B61"/>
    <w:rsid w:val="009B7C10"/>
    <w:rsid w:val="009B7C28"/>
    <w:rsid w:val="009B7C74"/>
    <w:rsid w:val="009B7C87"/>
    <w:rsid w:val="009B7CC8"/>
    <w:rsid w:val="009B7D02"/>
    <w:rsid w:val="009B7D4A"/>
    <w:rsid w:val="009B7E58"/>
    <w:rsid w:val="009B7EA4"/>
    <w:rsid w:val="009B7EFD"/>
    <w:rsid w:val="009B7F4C"/>
    <w:rsid w:val="009B7F5A"/>
    <w:rsid w:val="009B7F67"/>
    <w:rsid w:val="009B7FAC"/>
    <w:rsid w:val="009C004E"/>
    <w:rsid w:val="009C00A2"/>
    <w:rsid w:val="009C00B9"/>
    <w:rsid w:val="009C015B"/>
    <w:rsid w:val="009C01FF"/>
    <w:rsid w:val="009C020C"/>
    <w:rsid w:val="009C05BF"/>
    <w:rsid w:val="009C061E"/>
    <w:rsid w:val="009C0692"/>
    <w:rsid w:val="009C06CC"/>
    <w:rsid w:val="009C06DB"/>
    <w:rsid w:val="009C076C"/>
    <w:rsid w:val="009C0779"/>
    <w:rsid w:val="009C0821"/>
    <w:rsid w:val="009C09D8"/>
    <w:rsid w:val="009C09FD"/>
    <w:rsid w:val="009C0A61"/>
    <w:rsid w:val="009C0A65"/>
    <w:rsid w:val="009C0B72"/>
    <w:rsid w:val="009C0B88"/>
    <w:rsid w:val="009C0BA2"/>
    <w:rsid w:val="009C0BD9"/>
    <w:rsid w:val="009C0C07"/>
    <w:rsid w:val="009C0D0C"/>
    <w:rsid w:val="009C0DD1"/>
    <w:rsid w:val="009C0E7F"/>
    <w:rsid w:val="009C0F4E"/>
    <w:rsid w:val="009C0F90"/>
    <w:rsid w:val="009C0FB1"/>
    <w:rsid w:val="009C0FE2"/>
    <w:rsid w:val="009C0FF4"/>
    <w:rsid w:val="009C103B"/>
    <w:rsid w:val="009C104E"/>
    <w:rsid w:val="009C1125"/>
    <w:rsid w:val="009C1148"/>
    <w:rsid w:val="009C119A"/>
    <w:rsid w:val="009C11EF"/>
    <w:rsid w:val="009C12E7"/>
    <w:rsid w:val="009C1334"/>
    <w:rsid w:val="009C1335"/>
    <w:rsid w:val="009C13A9"/>
    <w:rsid w:val="009C13B3"/>
    <w:rsid w:val="009C1411"/>
    <w:rsid w:val="009C1413"/>
    <w:rsid w:val="009C142D"/>
    <w:rsid w:val="009C1598"/>
    <w:rsid w:val="009C16A2"/>
    <w:rsid w:val="009C18CC"/>
    <w:rsid w:val="009C18DF"/>
    <w:rsid w:val="009C19CE"/>
    <w:rsid w:val="009C1A3C"/>
    <w:rsid w:val="009C1B5B"/>
    <w:rsid w:val="009C1DBD"/>
    <w:rsid w:val="009C1E17"/>
    <w:rsid w:val="009C1E24"/>
    <w:rsid w:val="009C1E49"/>
    <w:rsid w:val="009C1E96"/>
    <w:rsid w:val="009C1EE8"/>
    <w:rsid w:val="009C1F6C"/>
    <w:rsid w:val="009C1FFE"/>
    <w:rsid w:val="009C2004"/>
    <w:rsid w:val="009C2077"/>
    <w:rsid w:val="009C207A"/>
    <w:rsid w:val="009C2081"/>
    <w:rsid w:val="009C20B4"/>
    <w:rsid w:val="009C2139"/>
    <w:rsid w:val="009C22A9"/>
    <w:rsid w:val="009C2329"/>
    <w:rsid w:val="009C247E"/>
    <w:rsid w:val="009C24E4"/>
    <w:rsid w:val="009C2565"/>
    <w:rsid w:val="009C2631"/>
    <w:rsid w:val="009C26EC"/>
    <w:rsid w:val="009C2782"/>
    <w:rsid w:val="009C27DC"/>
    <w:rsid w:val="009C2887"/>
    <w:rsid w:val="009C28AE"/>
    <w:rsid w:val="009C2902"/>
    <w:rsid w:val="009C2919"/>
    <w:rsid w:val="009C2952"/>
    <w:rsid w:val="009C2A11"/>
    <w:rsid w:val="009C2A76"/>
    <w:rsid w:val="009C2B84"/>
    <w:rsid w:val="009C2BB6"/>
    <w:rsid w:val="009C2C0A"/>
    <w:rsid w:val="009C2CA5"/>
    <w:rsid w:val="009C2CC3"/>
    <w:rsid w:val="009C2D26"/>
    <w:rsid w:val="009C2D50"/>
    <w:rsid w:val="009C2DDA"/>
    <w:rsid w:val="009C2E57"/>
    <w:rsid w:val="009C2E69"/>
    <w:rsid w:val="009C2F09"/>
    <w:rsid w:val="009C2FF1"/>
    <w:rsid w:val="009C311B"/>
    <w:rsid w:val="009C3161"/>
    <w:rsid w:val="009C31BD"/>
    <w:rsid w:val="009C320E"/>
    <w:rsid w:val="009C3236"/>
    <w:rsid w:val="009C3274"/>
    <w:rsid w:val="009C32F6"/>
    <w:rsid w:val="009C3396"/>
    <w:rsid w:val="009C341C"/>
    <w:rsid w:val="009C3583"/>
    <w:rsid w:val="009C35DF"/>
    <w:rsid w:val="009C36CC"/>
    <w:rsid w:val="009C36EA"/>
    <w:rsid w:val="009C37DE"/>
    <w:rsid w:val="009C38CE"/>
    <w:rsid w:val="009C3913"/>
    <w:rsid w:val="009C399E"/>
    <w:rsid w:val="009C39EB"/>
    <w:rsid w:val="009C3A19"/>
    <w:rsid w:val="009C3AA4"/>
    <w:rsid w:val="009C3AA9"/>
    <w:rsid w:val="009C3AC3"/>
    <w:rsid w:val="009C3B2E"/>
    <w:rsid w:val="009C3C41"/>
    <w:rsid w:val="009C3CE0"/>
    <w:rsid w:val="009C3D24"/>
    <w:rsid w:val="009C3D67"/>
    <w:rsid w:val="009C3DDD"/>
    <w:rsid w:val="009C3EF3"/>
    <w:rsid w:val="009C3F78"/>
    <w:rsid w:val="009C3FCD"/>
    <w:rsid w:val="009C4001"/>
    <w:rsid w:val="009C405C"/>
    <w:rsid w:val="009C4111"/>
    <w:rsid w:val="009C4180"/>
    <w:rsid w:val="009C427C"/>
    <w:rsid w:val="009C42E7"/>
    <w:rsid w:val="009C4342"/>
    <w:rsid w:val="009C43B8"/>
    <w:rsid w:val="009C43CB"/>
    <w:rsid w:val="009C442C"/>
    <w:rsid w:val="009C450D"/>
    <w:rsid w:val="009C459C"/>
    <w:rsid w:val="009C46DC"/>
    <w:rsid w:val="009C47EF"/>
    <w:rsid w:val="009C4803"/>
    <w:rsid w:val="009C4830"/>
    <w:rsid w:val="009C49B5"/>
    <w:rsid w:val="009C4A01"/>
    <w:rsid w:val="009C4A19"/>
    <w:rsid w:val="009C4C2A"/>
    <w:rsid w:val="009C4C72"/>
    <w:rsid w:val="009C4E0B"/>
    <w:rsid w:val="009C4ECF"/>
    <w:rsid w:val="009C4F06"/>
    <w:rsid w:val="009C4F35"/>
    <w:rsid w:val="009C4FAC"/>
    <w:rsid w:val="009C5037"/>
    <w:rsid w:val="009C50B0"/>
    <w:rsid w:val="009C50D6"/>
    <w:rsid w:val="009C516A"/>
    <w:rsid w:val="009C51D1"/>
    <w:rsid w:val="009C5252"/>
    <w:rsid w:val="009C5433"/>
    <w:rsid w:val="009C544F"/>
    <w:rsid w:val="009C547C"/>
    <w:rsid w:val="009C5535"/>
    <w:rsid w:val="009C565A"/>
    <w:rsid w:val="009C56F8"/>
    <w:rsid w:val="009C573E"/>
    <w:rsid w:val="009C57B0"/>
    <w:rsid w:val="009C57E7"/>
    <w:rsid w:val="009C5A7B"/>
    <w:rsid w:val="009C5AA2"/>
    <w:rsid w:val="009C5ADC"/>
    <w:rsid w:val="009C5BB7"/>
    <w:rsid w:val="009C5BC6"/>
    <w:rsid w:val="009C5C0D"/>
    <w:rsid w:val="009C5C2B"/>
    <w:rsid w:val="009C5C55"/>
    <w:rsid w:val="009C5CE7"/>
    <w:rsid w:val="009C5DB4"/>
    <w:rsid w:val="009C5DE6"/>
    <w:rsid w:val="009C5E2A"/>
    <w:rsid w:val="009C5ECB"/>
    <w:rsid w:val="009C5F3A"/>
    <w:rsid w:val="009C6015"/>
    <w:rsid w:val="009C6171"/>
    <w:rsid w:val="009C61D4"/>
    <w:rsid w:val="009C624D"/>
    <w:rsid w:val="009C6318"/>
    <w:rsid w:val="009C649F"/>
    <w:rsid w:val="009C6592"/>
    <w:rsid w:val="009C6598"/>
    <w:rsid w:val="009C65E5"/>
    <w:rsid w:val="009C664E"/>
    <w:rsid w:val="009C674F"/>
    <w:rsid w:val="009C67C0"/>
    <w:rsid w:val="009C6832"/>
    <w:rsid w:val="009C688A"/>
    <w:rsid w:val="009C6A31"/>
    <w:rsid w:val="009C6B05"/>
    <w:rsid w:val="009C6B91"/>
    <w:rsid w:val="009C6BFB"/>
    <w:rsid w:val="009C6C3A"/>
    <w:rsid w:val="009C6D12"/>
    <w:rsid w:val="009C6D8E"/>
    <w:rsid w:val="009C6DD8"/>
    <w:rsid w:val="009C6E01"/>
    <w:rsid w:val="009C6E5F"/>
    <w:rsid w:val="009C6FF7"/>
    <w:rsid w:val="009C70DD"/>
    <w:rsid w:val="009C7217"/>
    <w:rsid w:val="009C727B"/>
    <w:rsid w:val="009C74D1"/>
    <w:rsid w:val="009C75FB"/>
    <w:rsid w:val="009C76D7"/>
    <w:rsid w:val="009C7887"/>
    <w:rsid w:val="009C791A"/>
    <w:rsid w:val="009C7924"/>
    <w:rsid w:val="009C7A24"/>
    <w:rsid w:val="009C7A4C"/>
    <w:rsid w:val="009C7A98"/>
    <w:rsid w:val="009C7B51"/>
    <w:rsid w:val="009C7D44"/>
    <w:rsid w:val="009C7DE6"/>
    <w:rsid w:val="009C7E20"/>
    <w:rsid w:val="009C7F04"/>
    <w:rsid w:val="009C7F16"/>
    <w:rsid w:val="009C7F28"/>
    <w:rsid w:val="009C7FBD"/>
    <w:rsid w:val="009C7FC0"/>
    <w:rsid w:val="009C7FDA"/>
    <w:rsid w:val="009D00AE"/>
    <w:rsid w:val="009D01A0"/>
    <w:rsid w:val="009D01B2"/>
    <w:rsid w:val="009D02A3"/>
    <w:rsid w:val="009D0302"/>
    <w:rsid w:val="009D035B"/>
    <w:rsid w:val="009D0370"/>
    <w:rsid w:val="009D0474"/>
    <w:rsid w:val="009D05CC"/>
    <w:rsid w:val="009D05D2"/>
    <w:rsid w:val="009D06AE"/>
    <w:rsid w:val="009D074D"/>
    <w:rsid w:val="009D0765"/>
    <w:rsid w:val="009D0848"/>
    <w:rsid w:val="009D08E6"/>
    <w:rsid w:val="009D09BB"/>
    <w:rsid w:val="009D0A35"/>
    <w:rsid w:val="009D0B29"/>
    <w:rsid w:val="009D0BD9"/>
    <w:rsid w:val="009D0C00"/>
    <w:rsid w:val="009D0CA9"/>
    <w:rsid w:val="009D0CF7"/>
    <w:rsid w:val="009D0D24"/>
    <w:rsid w:val="009D0D36"/>
    <w:rsid w:val="009D0DCC"/>
    <w:rsid w:val="009D0F1E"/>
    <w:rsid w:val="009D0F84"/>
    <w:rsid w:val="009D100A"/>
    <w:rsid w:val="009D1140"/>
    <w:rsid w:val="009D1252"/>
    <w:rsid w:val="009D133C"/>
    <w:rsid w:val="009D1390"/>
    <w:rsid w:val="009D139E"/>
    <w:rsid w:val="009D149F"/>
    <w:rsid w:val="009D16B3"/>
    <w:rsid w:val="009D17DD"/>
    <w:rsid w:val="009D1865"/>
    <w:rsid w:val="009D18C3"/>
    <w:rsid w:val="009D18D8"/>
    <w:rsid w:val="009D1937"/>
    <w:rsid w:val="009D19A7"/>
    <w:rsid w:val="009D19C8"/>
    <w:rsid w:val="009D1B11"/>
    <w:rsid w:val="009D1B50"/>
    <w:rsid w:val="009D1B5E"/>
    <w:rsid w:val="009D1D0E"/>
    <w:rsid w:val="009D1D8B"/>
    <w:rsid w:val="009D1DB2"/>
    <w:rsid w:val="009D1E96"/>
    <w:rsid w:val="009D1ED9"/>
    <w:rsid w:val="009D1F93"/>
    <w:rsid w:val="009D1FA5"/>
    <w:rsid w:val="009D20CB"/>
    <w:rsid w:val="009D20CD"/>
    <w:rsid w:val="009D2254"/>
    <w:rsid w:val="009D2277"/>
    <w:rsid w:val="009D227E"/>
    <w:rsid w:val="009D22FA"/>
    <w:rsid w:val="009D23B3"/>
    <w:rsid w:val="009D23D9"/>
    <w:rsid w:val="009D23E7"/>
    <w:rsid w:val="009D2431"/>
    <w:rsid w:val="009D263C"/>
    <w:rsid w:val="009D28A0"/>
    <w:rsid w:val="009D28E1"/>
    <w:rsid w:val="009D28EF"/>
    <w:rsid w:val="009D29EB"/>
    <w:rsid w:val="009D2A38"/>
    <w:rsid w:val="009D2BEA"/>
    <w:rsid w:val="009D2CBB"/>
    <w:rsid w:val="009D2D56"/>
    <w:rsid w:val="009D2DBF"/>
    <w:rsid w:val="009D2DD0"/>
    <w:rsid w:val="009D2E8B"/>
    <w:rsid w:val="009D2F37"/>
    <w:rsid w:val="009D3044"/>
    <w:rsid w:val="009D30C4"/>
    <w:rsid w:val="009D31D8"/>
    <w:rsid w:val="009D3445"/>
    <w:rsid w:val="009D34FF"/>
    <w:rsid w:val="009D350D"/>
    <w:rsid w:val="009D3545"/>
    <w:rsid w:val="009D358B"/>
    <w:rsid w:val="009D363A"/>
    <w:rsid w:val="009D3669"/>
    <w:rsid w:val="009D3777"/>
    <w:rsid w:val="009D3799"/>
    <w:rsid w:val="009D3884"/>
    <w:rsid w:val="009D38BA"/>
    <w:rsid w:val="009D3969"/>
    <w:rsid w:val="009D3C5D"/>
    <w:rsid w:val="009D3C5E"/>
    <w:rsid w:val="009D3CAD"/>
    <w:rsid w:val="009D3DAD"/>
    <w:rsid w:val="009D3E06"/>
    <w:rsid w:val="009D3E35"/>
    <w:rsid w:val="009D3EDF"/>
    <w:rsid w:val="009D3F34"/>
    <w:rsid w:val="009D40AE"/>
    <w:rsid w:val="009D41E8"/>
    <w:rsid w:val="009D43CC"/>
    <w:rsid w:val="009D44C0"/>
    <w:rsid w:val="009D44DD"/>
    <w:rsid w:val="009D453D"/>
    <w:rsid w:val="009D45FD"/>
    <w:rsid w:val="009D4665"/>
    <w:rsid w:val="009D4675"/>
    <w:rsid w:val="009D4678"/>
    <w:rsid w:val="009D4731"/>
    <w:rsid w:val="009D4743"/>
    <w:rsid w:val="009D47BE"/>
    <w:rsid w:val="009D47E7"/>
    <w:rsid w:val="009D48F0"/>
    <w:rsid w:val="009D4A12"/>
    <w:rsid w:val="009D4BD4"/>
    <w:rsid w:val="009D4CE2"/>
    <w:rsid w:val="009D4D06"/>
    <w:rsid w:val="009D4F15"/>
    <w:rsid w:val="009D4F29"/>
    <w:rsid w:val="009D5042"/>
    <w:rsid w:val="009D5080"/>
    <w:rsid w:val="009D50BA"/>
    <w:rsid w:val="009D512D"/>
    <w:rsid w:val="009D5156"/>
    <w:rsid w:val="009D51EC"/>
    <w:rsid w:val="009D5223"/>
    <w:rsid w:val="009D5235"/>
    <w:rsid w:val="009D5240"/>
    <w:rsid w:val="009D52C3"/>
    <w:rsid w:val="009D52D7"/>
    <w:rsid w:val="009D537D"/>
    <w:rsid w:val="009D53E3"/>
    <w:rsid w:val="009D5486"/>
    <w:rsid w:val="009D5557"/>
    <w:rsid w:val="009D5576"/>
    <w:rsid w:val="009D55EE"/>
    <w:rsid w:val="009D56A4"/>
    <w:rsid w:val="009D5701"/>
    <w:rsid w:val="009D5746"/>
    <w:rsid w:val="009D58D5"/>
    <w:rsid w:val="009D5914"/>
    <w:rsid w:val="009D5980"/>
    <w:rsid w:val="009D59EC"/>
    <w:rsid w:val="009D5A35"/>
    <w:rsid w:val="009D5A54"/>
    <w:rsid w:val="009D5B1C"/>
    <w:rsid w:val="009D5BFD"/>
    <w:rsid w:val="009D5C0D"/>
    <w:rsid w:val="009D5CC7"/>
    <w:rsid w:val="009D5CD5"/>
    <w:rsid w:val="009D5CDE"/>
    <w:rsid w:val="009D5EA2"/>
    <w:rsid w:val="009D5ECE"/>
    <w:rsid w:val="009D5EFB"/>
    <w:rsid w:val="009D6083"/>
    <w:rsid w:val="009D6147"/>
    <w:rsid w:val="009D6240"/>
    <w:rsid w:val="009D631A"/>
    <w:rsid w:val="009D63AB"/>
    <w:rsid w:val="009D6498"/>
    <w:rsid w:val="009D6521"/>
    <w:rsid w:val="009D65FE"/>
    <w:rsid w:val="009D66A2"/>
    <w:rsid w:val="009D66D3"/>
    <w:rsid w:val="009D673E"/>
    <w:rsid w:val="009D680B"/>
    <w:rsid w:val="009D6867"/>
    <w:rsid w:val="009D6A17"/>
    <w:rsid w:val="009D6A7A"/>
    <w:rsid w:val="009D6AB9"/>
    <w:rsid w:val="009D6ABF"/>
    <w:rsid w:val="009D6B0C"/>
    <w:rsid w:val="009D6B6B"/>
    <w:rsid w:val="009D6B7B"/>
    <w:rsid w:val="009D6BE7"/>
    <w:rsid w:val="009D6CBF"/>
    <w:rsid w:val="009D6D4C"/>
    <w:rsid w:val="009D6E37"/>
    <w:rsid w:val="009D6EAE"/>
    <w:rsid w:val="009D6EB0"/>
    <w:rsid w:val="009D6F4B"/>
    <w:rsid w:val="009D70FF"/>
    <w:rsid w:val="009D7124"/>
    <w:rsid w:val="009D7335"/>
    <w:rsid w:val="009D73E0"/>
    <w:rsid w:val="009D7420"/>
    <w:rsid w:val="009D747C"/>
    <w:rsid w:val="009D74CD"/>
    <w:rsid w:val="009D74D1"/>
    <w:rsid w:val="009D752D"/>
    <w:rsid w:val="009D753B"/>
    <w:rsid w:val="009D7544"/>
    <w:rsid w:val="009D770A"/>
    <w:rsid w:val="009D7729"/>
    <w:rsid w:val="009D7776"/>
    <w:rsid w:val="009D77BD"/>
    <w:rsid w:val="009D77C0"/>
    <w:rsid w:val="009D77FB"/>
    <w:rsid w:val="009D7803"/>
    <w:rsid w:val="009D78DB"/>
    <w:rsid w:val="009D78E6"/>
    <w:rsid w:val="009D790B"/>
    <w:rsid w:val="009D79A2"/>
    <w:rsid w:val="009D7A62"/>
    <w:rsid w:val="009D7A77"/>
    <w:rsid w:val="009D7A8A"/>
    <w:rsid w:val="009D7ADB"/>
    <w:rsid w:val="009D7C47"/>
    <w:rsid w:val="009D7CCB"/>
    <w:rsid w:val="009D7CE8"/>
    <w:rsid w:val="009D7D38"/>
    <w:rsid w:val="009E0044"/>
    <w:rsid w:val="009E00D7"/>
    <w:rsid w:val="009E013E"/>
    <w:rsid w:val="009E014F"/>
    <w:rsid w:val="009E0192"/>
    <w:rsid w:val="009E0242"/>
    <w:rsid w:val="009E027E"/>
    <w:rsid w:val="009E035F"/>
    <w:rsid w:val="009E03B5"/>
    <w:rsid w:val="009E03CE"/>
    <w:rsid w:val="009E03EB"/>
    <w:rsid w:val="009E0420"/>
    <w:rsid w:val="009E04FB"/>
    <w:rsid w:val="009E0578"/>
    <w:rsid w:val="009E060E"/>
    <w:rsid w:val="009E06BA"/>
    <w:rsid w:val="009E0711"/>
    <w:rsid w:val="009E07E3"/>
    <w:rsid w:val="009E0828"/>
    <w:rsid w:val="009E08B0"/>
    <w:rsid w:val="009E0917"/>
    <w:rsid w:val="009E09F4"/>
    <w:rsid w:val="009E0A14"/>
    <w:rsid w:val="009E0B60"/>
    <w:rsid w:val="009E0BC9"/>
    <w:rsid w:val="009E0BDB"/>
    <w:rsid w:val="009E0D8A"/>
    <w:rsid w:val="009E0E6D"/>
    <w:rsid w:val="009E0ECD"/>
    <w:rsid w:val="009E0F37"/>
    <w:rsid w:val="009E1073"/>
    <w:rsid w:val="009E10F5"/>
    <w:rsid w:val="009E1179"/>
    <w:rsid w:val="009E1290"/>
    <w:rsid w:val="009E12F7"/>
    <w:rsid w:val="009E12FF"/>
    <w:rsid w:val="009E1684"/>
    <w:rsid w:val="009E179F"/>
    <w:rsid w:val="009E1818"/>
    <w:rsid w:val="009E197B"/>
    <w:rsid w:val="009E1A56"/>
    <w:rsid w:val="009E1B3B"/>
    <w:rsid w:val="009E1B70"/>
    <w:rsid w:val="009E1B7A"/>
    <w:rsid w:val="009E1B99"/>
    <w:rsid w:val="009E1BE7"/>
    <w:rsid w:val="009E1CA6"/>
    <w:rsid w:val="009E1D2A"/>
    <w:rsid w:val="009E1E39"/>
    <w:rsid w:val="009E1EB9"/>
    <w:rsid w:val="009E1EFB"/>
    <w:rsid w:val="009E1F64"/>
    <w:rsid w:val="009E1F79"/>
    <w:rsid w:val="009E1FDF"/>
    <w:rsid w:val="009E2024"/>
    <w:rsid w:val="009E20E4"/>
    <w:rsid w:val="009E2296"/>
    <w:rsid w:val="009E22BD"/>
    <w:rsid w:val="009E2303"/>
    <w:rsid w:val="009E2333"/>
    <w:rsid w:val="009E2372"/>
    <w:rsid w:val="009E24B4"/>
    <w:rsid w:val="009E2530"/>
    <w:rsid w:val="009E25EE"/>
    <w:rsid w:val="009E267A"/>
    <w:rsid w:val="009E26B2"/>
    <w:rsid w:val="009E2740"/>
    <w:rsid w:val="009E2754"/>
    <w:rsid w:val="009E2806"/>
    <w:rsid w:val="009E2991"/>
    <w:rsid w:val="009E29B1"/>
    <w:rsid w:val="009E2A09"/>
    <w:rsid w:val="009E2A2D"/>
    <w:rsid w:val="009E2ADD"/>
    <w:rsid w:val="009E2CAC"/>
    <w:rsid w:val="009E2CFE"/>
    <w:rsid w:val="009E2D6B"/>
    <w:rsid w:val="009E2E91"/>
    <w:rsid w:val="009E2F4D"/>
    <w:rsid w:val="009E3051"/>
    <w:rsid w:val="009E319D"/>
    <w:rsid w:val="009E323A"/>
    <w:rsid w:val="009E330D"/>
    <w:rsid w:val="009E3320"/>
    <w:rsid w:val="009E3332"/>
    <w:rsid w:val="009E3343"/>
    <w:rsid w:val="009E3412"/>
    <w:rsid w:val="009E341C"/>
    <w:rsid w:val="009E3467"/>
    <w:rsid w:val="009E34B8"/>
    <w:rsid w:val="009E34D4"/>
    <w:rsid w:val="009E354A"/>
    <w:rsid w:val="009E378B"/>
    <w:rsid w:val="009E37D8"/>
    <w:rsid w:val="009E3872"/>
    <w:rsid w:val="009E38AA"/>
    <w:rsid w:val="009E39A9"/>
    <w:rsid w:val="009E3A97"/>
    <w:rsid w:val="009E3BBA"/>
    <w:rsid w:val="009E3D1E"/>
    <w:rsid w:val="009E3D7E"/>
    <w:rsid w:val="009E3E2C"/>
    <w:rsid w:val="009E3EBB"/>
    <w:rsid w:val="009E4065"/>
    <w:rsid w:val="009E42CE"/>
    <w:rsid w:val="009E4374"/>
    <w:rsid w:val="009E441A"/>
    <w:rsid w:val="009E44A9"/>
    <w:rsid w:val="009E44B8"/>
    <w:rsid w:val="009E4538"/>
    <w:rsid w:val="009E45D1"/>
    <w:rsid w:val="009E46AD"/>
    <w:rsid w:val="009E46C8"/>
    <w:rsid w:val="009E47FA"/>
    <w:rsid w:val="009E4808"/>
    <w:rsid w:val="009E4878"/>
    <w:rsid w:val="009E49D8"/>
    <w:rsid w:val="009E4A30"/>
    <w:rsid w:val="009E4B1F"/>
    <w:rsid w:val="009E4CE7"/>
    <w:rsid w:val="009E4D3F"/>
    <w:rsid w:val="009E4DBA"/>
    <w:rsid w:val="009E4F19"/>
    <w:rsid w:val="009E4F53"/>
    <w:rsid w:val="009E501E"/>
    <w:rsid w:val="009E5038"/>
    <w:rsid w:val="009E50E3"/>
    <w:rsid w:val="009E5106"/>
    <w:rsid w:val="009E5154"/>
    <w:rsid w:val="009E517E"/>
    <w:rsid w:val="009E5197"/>
    <w:rsid w:val="009E51BA"/>
    <w:rsid w:val="009E51ED"/>
    <w:rsid w:val="009E5209"/>
    <w:rsid w:val="009E5271"/>
    <w:rsid w:val="009E52F8"/>
    <w:rsid w:val="009E5334"/>
    <w:rsid w:val="009E538E"/>
    <w:rsid w:val="009E5432"/>
    <w:rsid w:val="009E544F"/>
    <w:rsid w:val="009E5458"/>
    <w:rsid w:val="009E54AB"/>
    <w:rsid w:val="009E54D5"/>
    <w:rsid w:val="009E5525"/>
    <w:rsid w:val="009E558C"/>
    <w:rsid w:val="009E5653"/>
    <w:rsid w:val="009E565F"/>
    <w:rsid w:val="009E56F0"/>
    <w:rsid w:val="009E58D3"/>
    <w:rsid w:val="009E58F4"/>
    <w:rsid w:val="009E5957"/>
    <w:rsid w:val="009E5A22"/>
    <w:rsid w:val="009E5A54"/>
    <w:rsid w:val="009E5A87"/>
    <w:rsid w:val="009E5AE1"/>
    <w:rsid w:val="009E5CD0"/>
    <w:rsid w:val="009E5DED"/>
    <w:rsid w:val="009E5E10"/>
    <w:rsid w:val="009E5E56"/>
    <w:rsid w:val="009E5EBD"/>
    <w:rsid w:val="009E5F10"/>
    <w:rsid w:val="009E602B"/>
    <w:rsid w:val="009E6050"/>
    <w:rsid w:val="009E60CA"/>
    <w:rsid w:val="009E6174"/>
    <w:rsid w:val="009E622D"/>
    <w:rsid w:val="009E6265"/>
    <w:rsid w:val="009E6278"/>
    <w:rsid w:val="009E6290"/>
    <w:rsid w:val="009E62EC"/>
    <w:rsid w:val="009E6301"/>
    <w:rsid w:val="009E6355"/>
    <w:rsid w:val="009E63AC"/>
    <w:rsid w:val="009E642E"/>
    <w:rsid w:val="009E65BD"/>
    <w:rsid w:val="009E6627"/>
    <w:rsid w:val="009E6630"/>
    <w:rsid w:val="009E674D"/>
    <w:rsid w:val="009E6894"/>
    <w:rsid w:val="009E6919"/>
    <w:rsid w:val="009E6953"/>
    <w:rsid w:val="009E6996"/>
    <w:rsid w:val="009E6A13"/>
    <w:rsid w:val="009E6C1F"/>
    <w:rsid w:val="009E6C36"/>
    <w:rsid w:val="009E6D22"/>
    <w:rsid w:val="009E6DEC"/>
    <w:rsid w:val="009E6F0F"/>
    <w:rsid w:val="009E6FC0"/>
    <w:rsid w:val="009E6FF5"/>
    <w:rsid w:val="009E6FFA"/>
    <w:rsid w:val="009E70DE"/>
    <w:rsid w:val="009E7145"/>
    <w:rsid w:val="009E72F9"/>
    <w:rsid w:val="009E733D"/>
    <w:rsid w:val="009E7350"/>
    <w:rsid w:val="009E73FF"/>
    <w:rsid w:val="009E7409"/>
    <w:rsid w:val="009E7431"/>
    <w:rsid w:val="009E7453"/>
    <w:rsid w:val="009E755C"/>
    <w:rsid w:val="009E76CE"/>
    <w:rsid w:val="009E7822"/>
    <w:rsid w:val="009E7893"/>
    <w:rsid w:val="009E7917"/>
    <w:rsid w:val="009E79EB"/>
    <w:rsid w:val="009E7A40"/>
    <w:rsid w:val="009E7B32"/>
    <w:rsid w:val="009E7B63"/>
    <w:rsid w:val="009E7BE5"/>
    <w:rsid w:val="009E7C0D"/>
    <w:rsid w:val="009E7C8C"/>
    <w:rsid w:val="009E7CAA"/>
    <w:rsid w:val="009E7D47"/>
    <w:rsid w:val="009E7E11"/>
    <w:rsid w:val="009E7E4A"/>
    <w:rsid w:val="009E7E8A"/>
    <w:rsid w:val="009E7EAA"/>
    <w:rsid w:val="009E7F21"/>
    <w:rsid w:val="009E7F8E"/>
    <w:rsid w:val="009E7FB8"/>
    <w:rsid w:val="009F02EB"/>
    <w:rsid w:val="009F0362"/>
    <w:rsid w:val="009F036B"/>
    <w:rsid w:val="009F0376"/>
    <w:rsid w:val="009F054C"/>
    <w:rsid w:val="009F05D0"/>
    <w:rsid w:val="009F0613"/>
    <w:rsid w:val="009F0727"/>
    <w:rsid w:val="009F0731"/>
    <w:rsid w:val="009F076E"/>
    <w:rsid w:val="009F0776"/>
    <w:rsid w:val="009F07C1"/>
    <w:rsid w:val="009F083F"/>
    <w:rsid w:val="009F08ED"/>
    <w:rsid w:val="009F093E"/>
    <w:rsid w:val="009F0982"/>
    <w:rsid w:val="009F09BB"/>
    <w:rsid w:val="009F0A39"/>
    <w:rsid w:val="009F0AB8"/>
    <w:rsid w:val="009F0B4B"/>
    <w:rsid w:val="009F0C01"/>
    <w:rsid w:val="009F0C89"/>
    <w:rsid w:val="009F0CDE"/>
    <w:rsid w:val="009F0D50"/>
    <w:rsid w:val="009F0DBD"/>
    <w:rsid w:val="009F0E64"/>
    <w:rsid w:val="009F0EC5"/>
    <w:rsid w:val="009F0EE8"/>
    <w:rsid w:val="009F0FD3"/>
    <w:rsid w:val="009F1002"/>
    <w:rsid w:val="009F100D"/>
    <w:rsid w:val="009F11E6"/>
    <w:rsid w:val="009F1213"/>
    <w:rsid w:val="009F139A"/>
    <w:rsid w:val="009F1425"/>
    <w:rsid w:val="009F145A"/>
    <w:rsid w:val="009F1483"/>
    <w:rsid w:val="009F14A8"/>
    <w:rsid w:val="009F14D9"/>
    <w:rsid w:val="009F1723"/>
    <w:rsid w:val="009F17A7"/>
    <w:rsid w:val="009F17B3"/>
    <w:rsid w:val="009F184C"/>
    <w:rsid w:val="009F184E"/>
    <w:rsid w:val="009F194D"/>
    <w:rsid w:val="009F19F3"/>
    <w:rsid w:val="009F1A8C"/>
    <w:rsid w:val="009F1D72"/>
    <w:rsid w:val="009F1D74"/>
    <w:rsid w:val="009F1E1B"/>
    <w:rsid w:val="009F1ED2"/>
    <w:rsid w:val="009F1F5F"/>
    <w:rsid w:val="009F2140"/>
    <w:rsid w:val="009F22B2"/>
    <w:rsid w:val="009F2317"/>
    <w:rsid w:val="009F2422"/>
    <w:rsid w:val="009F243A"/>
    <w:rsid w:val="009F24CB"/>
    <w:rsid w:val="009F2522"/>
    <w:rsid w:val="009F257C"/>
    <w:rsid w:val="009F2730"/>
    <w:rsid w:val="009F2764"/>
    <w:rsid w:val="009F2767"/>
    <w:rsid w:val="009F27B9"/>
    <w:rsid w:val="009F27D9"/>
    <w:rsid w:val="009F280D"/>
    <w:rsid w:val="009F287C"/>
    <w:rsid w:val="009F2886"/>
    <w:rsid w:val="009F28F6"/>
    <w:rsid w:val="009F2A13"/>
    <w:rsid w:val="009F2A64"/>
    <w:rsid w:val="009F2B19"/>
    <w:rsid w:val="009F2B66"/>
    <w:rsid w:val="009F2DA0"/>
    <w:rsid w:val="009F2E0B"/>
    <w:rsid w:val="009F2FDA"/>
    <w:rsid w:val="009F2FF5"/>
    <w:rsid w:val="009F30A9"/>
    <w:rsid w:val="009F311C"/>
    <w:rsid w:val="009F31B9"/>
    <w:rsid w:val="009F33B4"/>
    <w:rsid w:val="009F33F4"/>
    <w:rsid w:val="009F33F8"/>
    <w:rsid w:val="009F367D"/>
    <w:rsid w:val="009F36AB"/>
    <w:rsid w:val="009F36E4"/>
    <w:rsid w:val="009F3705"/>
    <w:rsid w:val="009F37DA"/>
    <w:rsid w:val="009F3924"/>
    <w:rsid w:val="009F3928"/>
    <w:rsid w:val="009F3B40"/>
    <w:rsid w:val="009F3B5F"/>
    <w:rsid w:val="009F3CDC"/>
    <w:rsid w:val="009F3D49"/>
    <w:rsid w:val="009F3E11"/>
    <w:rsid w:val="009F410C"/>
    <w:rsid w:val="009F4190"/>
    <w:rsid w:val="009F41DC"/>
    <w:rsid w:val="009F4233"/>
    <w:rsid w:val="009F42B5"/>
    <w:rsid w:val="009F42C1"/>
    <w:rsid w:val="009F4408"/>
    <w:rsid w:val="009F449F"/>
    <w:rsid w:val="009F44AF"/>
    <w:rsid w:val="009F4521"/>
    <w:rsid w:val="009F456C"/>
    <w:rsid w:val="009F45E0"/>
    <w:rsid w:val="009F4693"/>
    <w:rsid w:val="009F46C3"/>
    <w:rsid w:val="009F46DA"/>
    <w:rsid w:val="009F48AF"/>
    <w:rsid w:val="009F48BB"/>
    <w:rsid w:val="009F48EB"/>
    <w:rsid w:val="009F49E0"/>
    <w:rsid w:val="009F49E3"/>
    <w:rsid w:val="009F4A84"/>
    <w:rsid w:val="009F4C1E"/>
    <w:rsid w:val="009F4C39"/>
    <w:rsid w:val="009F4D91"/>
    <w:rsid w:val="009F4ED3"/>
    <w:rsid w:val="009F4F76"/>
    <w:rsid w:val="009F5041"/>
    <w:rsid w:val="009F5083"/>
    <w:rsid w:val="009F50DC"/>
    <w:rsid w:val="009F510E"/>
    <w:rsid w:val="009F5146"/>
    <w:rsid w:val="009F517B"/>
    <w:rsid w:val="009F51F6"/>
    <w:rsid w:val="009F534B"/>
    <w:rsid w:val="009F53BB"/>
    <w:rsid w:val="009F53F9"/>
    <w:rsid w:val="009F55D1"/>
    <w:rsid w:val="009F5630"/>
    <w:rsid w:val="009F578F"/>
    <w:rsid w:val="009F5875"/>
    <w:rsid w:val="009F5968"/>
    <w:rsid w:val="009F596D"/>
    <w:rsid w:val="009F5985"/>
    <w:rsid w:val="009F5BB1"/>
    <w:rsid w:val="009F5C30"/>
    <w:rsid w:val="009F5D47"/>
    <w:rsid w:val="009F5E53"/>
    <w:rsid w:val="009F5E62"/>
    <w:rsid w:val="009F5F6A"/>
    <w:rsid w:val="009F6003"/>
    <w:rsid w:val="009F6096"/>
    <w:rsid w:val="009F60E5"/>
    <w:rsid w:val="009F60FC"/>
    <w:rsid w:val="009F6145"/>
    <w:rsid w:val="009F6173"/>
    <w:rsid w:val="009F6251"/>
    <w:rsid w:val="009F62BD"/>
    <w:rsid w:val="009F62F9"/>
    <w:rsid w:val="009F62FB"/>
    <w:rsid w:val="009F6334"/>
    <w:rsid w:val="009F6337"/>
    <w:rsid w:val="009F6377"/>
    <w:rsid w:val="009F65E3"/>
    <w:rsid w:val="009F664C"/>
    <w:rsid w:val="009F667F"/>
    <w:rsid w:val="009F668E"/>
    <w:rsid w:val="009F66DD"/>
    <w:rsid w:val="009F67EC"/>
    <w:rsid w:val="009F6802"/>
    <w:rsid w:val="009F68A0"/>
    <w:rsid w:val="009F68D5"/>
    <w:rsid w:val="009F699C"/>
    <w:rsid w:val="009F6B3B"/>
    <w:rsid w:val="009F6B7C"/>
    <w:rsid w:val="009F6C3D"/>
    <w:rsid w:val="009F6C57"/>
    <w:rsid w:val="009F6C85"/>
    <w:rsid w:val="009F6CB7"/>
    <w:rsid w:val="009F6D8B"/>
    <w:rsid w:val="009F6E10"/>
    <w:rsid w:val="009F6E34"/>
    <w:rsid w:val="009F6E3F"/>
    <w:rsid w:val="009F6E51"/>
    <w:rsid w:val="009F6EF6"/>
    <w:rsid w:val="009F6F40"/>
    <w:rsid w:val="009F702D"/>
    <w:rsid w:val="009F7038"/>
    <w:rsid w:val="009F706A"/>
    <w:rsid w:val="009F70E2"/>
    <w:rsid w:val="009F7177"/>
    <w:rsid w:val="009F76B5"/>
    <w:rsid w:val="009F7766"/>
    <w:rsid w:val="009F77E0"/>
    <w:rsid w:val="009F7890"/>
    <w:rsid w:val="009F7ACC"/>
    <w:rsid w:val="009F7B01"/>
    <w:rsid w:val="009F7B67"/>
    <w:rsid w:val="009F7C2A"/>
    <w:rsid w:val="009F7CA0"/>
    <w:rsid w:val="009F7CAB"/>
    <w:rsid w:val="009F7D3A"/>
    <w:rsid w:val="009F7E02"/>
    <w:rsid w:val="009F7EE0"/>
    <w:rsid w:val="009F7F57"/>
    <w:rsid w:val="009F7F67"/>
    <w:rsid w:val="009F7FED"/>
    <w:rsid w:val="00A0002A"/>
    <w:rsid w:val="00A0008E"/>
    <w:rsid w:val="00A00090"/>
    <w:rsid w:val="00A00152"/>
    <w:rsid w:val="00A001A7"/>
    <w:rsid w:val="00A001BC"/>
    <w:rsid w:val="00A001CB"/>
    <w:rsid w:val="00A001E5"/>
    <w:rsid w:val="00A001FB"/>
    <w:rsid w:val="00A0021B"/>
    <w:rsid w:val="00A0025C"/>
    <w:rsid w:val="00A003D7"/>
    <w:rsid w:val="00A003DF"/>
    <w:rsid w:val="00A004D2"/>
    <w:rsid w:val="00A00632"/>
    <w:rsid w:val="00A006A3"/>
    <w:rsid w:val="00A0079D"/>
    <w:rsid w:val="00A00832"/>
    <w:rsid w:val="00A0088D"/>
    <w:rsid w:val="00A008DB"/>
    <w:rsid w:val="00A008FC"/>
    <w:rsid w:val="00A00942"/>
    <w:rsid w:val="00A00969"/>
    <w:rsid w:val="00A00A21"/>
    <w:rsid w:val="00A00AB6"/>
    <w:rsid w:val="00A00B68"/>
    <w:rsid w:val="00A00BA8"/>
    <w:rsid w:val="00A00CC0"/>
    <w:rsid w:val="00A00D29"/>
    <w:rsid w:val="00A00DAC"/>
    <w:rsid w:val="00A00DEF"/>
    <w:rsid w:val="00A00E29"/>
    <w:rsid w:val="00A00F08"/>
    <w:rsid w:val="00A00FBF"/>
    <w:rsid w:val="00A01000"/>
    <w:rsid w:val="00A01013"/>
    <w:rsid w:val="00A01071"/>
    <w:rsid w:val="00A01133"/>
    <w:rsid w:val="00A0114B"/>
    <w:rsid w:val="00A01304"/>
    <w:rsid w:val="00A01318"/>
    <w:rsid w:val="00A01323"/>
    <w:rsid w:val="00A0140C"/>
    <w:rsid w:val="00A01432"/>
    <w:rsid w:val="00A01460"/>
    <w:rsid w:val="00A014B7"/>
    <w:rsid w:val="00A014B8"/>
    <w:rsid w:val="00A01565"/>
    <w:rsid w:val="00A015F8"/>
    <w:rsid w:val="00A01821"/>
    <w:rsid w:val="00A018D1"/>
    <w:rsid w:val="00A018D6"/>
    <w:rsid w:val="00A01906"/>
    <w:rsid w:val="00A019AC"/>
    <w:rsid w:val="00A019C1"/>
    <w:rsid w:val="00A019FD"/>
    <w:rsid w:val="00A01A00"/>
    <w:rsid w:val="00A01A01"/>
    <w:rsid w:val="00A01A2A"/>
    <w:rsid w:val="00A01A5D"/>
    <w:rsid w:val="00A01B32"/>
    <w:rsid w:val="00A01B38"/>
    <w:rsid w:val="00A01B64"/>
    <w:rsid w:val="00A01BD4"/>
    <w:rsid w:val="00A01C3B"/>
    <w:rsid w:val="00A01D25"/>
    <w:rsid w:val="00A01E64"/>
    <w:rsid w:val="00A01E79"/>
    <w:rsid w:val="00A01F26"/>
    <w:rsid w:val="00A01F56"/>
    <w:rsid w:val="00A01F5B"/>
    <w:rsid w:val="00A01F9B"/>
    <w:rsid w:val="00A0203A"/>
    <w:rsid w:val="00A02153"/>
    <w:rsid w:val="00A02216"/>
    <w:rsid w:val="00A02288"/>
    <w:rsid w:val="00A022C7"/>
    <w:rsid w:val="00A0231C"/>
    <w:rsid w:val="00A0235A"/>
    <w:rsid w:val="00A0238C"/>
    <w:rsid w:val="00A023F2"/>
    <w:rsid w:val="00A0243F"/>
    <w:rsid w:val="00A02467"/>
    <w:rsid w:val="00A024D5"/>
    <w:rsid w:val="00A025B3"/>
    <w:rsid w:val="00A02816"/>
    <w:rsid w:val="00A0282B"/>
    <w:rsid w:val="00A02841"/>
    <w:rsid w:val="00A029A3"/>
    <w:rsid w:val="00A029E7"/>
    <w:rsid w:val="00A02AFE"/>
    <w:rsid w:val="00A02B13"/>
    <w:rsid w:val="00A02B43"/>
    <w:rsid w:val="00A02BCB"/>
    <w:rsid w:val="00A02C82"/>
    <w:rsid w:val="00A02E87"/>
    <w:rsid w:val="00A02EB1"/>
    <w:rsid w:val="00A02F18"/>
    <w:rsid w:val="00A030C1"/>
    <w:rsid w:val="00A03158"/>
    <w:rsid w:val="00A031A1"/>
    <w:rsid w:val="00A03243"/>
    <w:rsid w:val="00A03265"/>
    <w:rsid w:val="00A0336C"/>
    <w:rsid w:val="00A0337F"/>
    <w:rsid w:val="00A03426"/>
    <w:rsid w:val="00A034A0"/>
    <w:rsid w:val="00A034D7"/>
    <w:rsid w:val="00A035FB"/>
    <w:rsid w:val="00A0371D"/>
    <w:rsid w:val="00A0376D"/>
    <w:rsid w:val="00A0377E"/>
    <w:rsid w:val="00A037C5"/>
    <w:rsid w:val="00A03802"/>
    <w:rsid w:val="00A03A20"/>
    <w:rsid w:val="00A03B5A"/>
    <w:rsid w:val="00A03BD9"/>
    <w:rsid w:val="00A03BE5"/>
    <w:rsid w:val="00A03C05"/>
    <w:rsid w:val="00A03C0D"/>
    <w:rsid w:val="00A03C6B"/>
    <w:rsid w:val="00A03C6D"/>
    <w:rsid w:val="00A03D58"/>
    <w:rsid w:val="00A03D6B"/>
    <w:rsid w:val="00A03E46"/>
    <w:rsid w:val="00A03EC4"/>
    <w:rsid w:val="00A03F5E"/>
    <w:rsid w:val="00A03FF6"/>
    <w:rsid w:val="00A04029"/>
    <w:rsid w:val="00A04084"/>
    <w:rsid w:val="00A0413F"/>
    <w:rsid w:val="00A0420C"/>
    <w:rsid w:val="00A042A3"/>
    <w:rsid w:val="00A0446B"/>
    <w:rsid w:val="00A0464D"/>
    <w:rsid w:val="00A0468F"/>
    <w:rsid w:val="00A046DD"/>
    <w:rsid w:val="00A0474B"/>
    <w:rsid w:val="00A04770"/>
    <w:rsid w:val="00A04830"/>
    <w:rsid w:val="00A04868"/>
    <w:rsid w:val="00A0486E"/>
    <w:rsid w:val="00A04888"/>
    <w:rsid w:val="00A048CE"/>
    <w:rsid w:val="00A0491F"/>
    <w:rsid w:val="00A04A5F"/>
    <w:rsid w:val="00A04C43"/>
    <w:rsid w:val="00A04D0C"/>
    <w:rsid w:val="00A04D30"/>
    <w:rsid w:val="00A04DB5"/>
    <w:rsid w:val="00A04F4B"/>
    <w:rsid w:val="00A04F4C"/>
    <w:rsid w:val="00A04F6D"/>
    <w:rsid w:val="00A04F76"/>
    <w:rsid w:val="00A04FA9"/>
    <w:rsid w:val="00A05038"/>
    <w:rsid w:val="00A050CE"/>
    <w:rsid w:val="00A05111"/>
    <w:rsid w:val="00A05155"/>
    <w:rsid w:val="00A051DA"/>
    <w:rsid w:val="00A05213"/>
    <w:rsid w:val="00A0522D"/>
    <w:rsid w:val="00A05257"/>
    <w:rsid w:val="00A052CA"/>
    <w:rsid w:val="00A053A7"/>
    <w:rsid w:val="00A053BD"/>
    <w:rsid w:val="00A05432"/>
    <w:rsid w:val="00A055D8"/>
    <w:rsid w:val="00A056A6"/>
    <w:rsid w:val="00A05852"/>
    <w:rsid w:val="00A05910"/>
    <w:rsid w:val="00A05946"/>
    <w:rsid w:val="00A05965"/>
    <w:rsid w:val="00A05A35"/>
    <w:rsid w:val="00A05A4B"/>
    <w:rsid w:val="00A05A78"/>
    <w:rsid w:val="00A05C08"/>
    <w:rsid w:val="00A05C5D"/>
    <w:rsid w:val="00A05D75"/>
    <w:rsid w:val="00A05DD2"/>
    <w:rsid w:val="00A05DDE"/>
    <w:rsid w:val="00A05DEF"/>
    <w:rsid w:val="00A05E8B"/>
    <w:rsid w:val="00A05F65"/>
    <w:rsid w:val="00A05F7F"/>
    <w:rsid w:val="00A06028"/>
    <w:rsid w:val="00A06048"/>
    <w:rsid w:val="00A0608B"/>
    <w:rsid w:val="00A06171"/>
    <w:rsid w:val="00A0619B"/>
    <w:rsid w:val="00A061CE"/>
    <w:rsid w:val="00A0620D"/>
    <w:rsid w:val="00A0626D"/>
    <w:rsid w:val="00A062D4"/>
    <w:rsid w:val="00A06328"/>
    <w:rsid w:val="00A06366"/>
    <w:rsid w:val="00A063FF"/>
    <w:rsid w:val="00A06454"/>
    <w:rsid w:val="00A06504"/>
    <w:rsid w:val="00A06521"/>
    <w:rsid w:val="00A065C6"/>
    <w:rsid w:val="00A0665A"/>
    <w:rsid w:val="00A0690D"/>
    <w:rsid w:val="00A0691A"/>
    <w:rsid w:val="00A069E5"/>
    <w:rsid w:val="00A06A51"/>
    <w:rsid w:val="00A06A56"/>
    <w:rsid w:val="00A06B0E"/>
    <w:rsid w:val="00A06B2C"/>
    <w:rsid w:val="00A06B2D"/>
    <w:rsid w:val="00A06BCC"/>
    <w:rsid w:val="00A06C8A"/>
    <w:rsid w:val="00A06CFC"/>
    <w:rsid w:val="00A06D28"/>
    <w:rsid w:val="00A06D6F"/>
    <w:rsid w:val="00A06D8F"/>
    <w:rsid w:val="00A06E18"/>
    <w:rsid w:val="00A06E29"/>
    <w:rsid w:val="00A06EBB"/>
    <w:rsid w:val="00A06F62"/>
    <w:rsid w:val="00A06FDF"/>
    <w:rsid w:val="00A070CF"/>
    <w:rsid w:val="00A070E1"/>
    <w:rsid w:val="00A0719B"/>
    <w:rsid w:val="00A071C3"/>
    <w:rsid w:val="00A0730C"/>
    <w:rsid w:val="00A07388"/>
    <w:rsid w:val="00A0739F"/>
    <w:rsid w:val="00A074AF"/>
    <w:rsid w:val="00A074D8"/>
    <w:rsid w:val="00A0769F"/>
    <w:rsid w:val="00A076D8"/>
    <w:rsid w:val="00A07788"/>
    <w:rsid w:val="00A077C1"/>
    <w:rsid w:val="00A077D1"/>
    <w:rsid w:val="00A079D8"/>
    <w:rsid w:val="00A079E6"/>
    <w:rsid w:val="00A07B17"/>
    <w:rsid w:val="00A07B59"/>
    <w:rsid w:val="00A07BFC"/>
    <w:rsid w:val="00A07CDD"/>
    <w:rsid w:val="00A07D89"/>
    <w:rsid w:val="00A07D8C"/>
    <w:rsid w:val="00A07EA4"/>
    <w:rsid w:val="00A07EFD"/>
    <w:rsid w:val="00A07F74"/>
    <w:rsid w:val="00A1001F"/>
    <w:rsid w:val="00A10073"/>
    <w:rsid w:val="00A1008D"/>
    <w:rsid w:val="00A1010B"/>
    <w:rsid w:val="00A10238"/>
    <w:rsid w:val="00A10257"/>
    <w:rsid w:val="00A10323"/>
    <w:rsid w:val="00A103FC"/>
    <w:rsid w:val="00A10446"/>
    <w:rsid w:val="00A105AE"/>
    <w:rsid w:val="00A105F7"/>
    <w:rsid w:val="00A10854"/>
    <w:rsid w:val="00A10872"/>
    <w:rsid w:val="00A108AD"/>
    <w:rsid w:val="00A108B6"/>
    <w:rsid w:val="00A10913"/>
    <w:rsid w:val="00A10CA2"/>
    <w:rsid w:val="00A10D9B"/>
    <w:rsid w:val="00A10DBB"/>
    <w:rsid w:val="00A10E00"/>
    <w:rsid w:val="00A10E26"/>
    <w:rsid w:val="00A10E83"/>
    <w:rsid w:val="00A10EC3"/>
    <w:rsid w:val="00A10ED0"/>
    <w:rsid w:val="00A10EDB"/>
    <w:rsid w:val="00A10F53"/>
    <w:rsid w:val="00A10FD2"/>
    <w:rsid w:val="00A11070"/>
    <w:rsid w:val="00A11103"/>
    <w:rsid w:val="00A1110C"/>
    <w:rsid w:val="00A11154"/>
    <w:rsid w:val="00A1118B"/>
    <w:rsid w:val="00A1120D"/>
    <w:rsid w:val="00A11223"/>
    <w:rsid w:val="00A112FF"/>
    <w:rsid w:val="00A11381"/>
    <w:rsid w:val="00A11382"/>
    <w:rsid w:val="00A11495"/>
    <w:rsid w:val="00A114AC"/>
    <w:rsid w:val="00A11613"/>
    <w:rsid w:val="00A11682"/>
    <w:rsid w:val="00A116BF"/>
    <w:rsid w:val="00A116E1"/>
    <w:rsid w:val="00A11748"/>
    <w:rsid w:val="00A117C9"/>
    <w:rsid w:val="00A11B14"/>
    <w:rsid w:val="00A11BC1"/>
    <w:rsid w:val="00A11BF7"/>
    <w:rsid w:val="00A11CB9"/>
    <w:rsid w:val="00A11CF6"/>
    <w:rsid w:val="00A11D4E"/>
    <w:rsid w:val="00A11EF7"/>
    <w:rsid w:val="00A12065"/>
    <w:rsid w:val="00A120A3"/>
    <w:rsid w:val="00A12139"/>
    <w:rsid w:val="00A121F4"/>
    <w:rsid w:val="00A123E3"/>
    <w:rsid w:val="00A124A2"/>
    <w:rsid w:val="00A12592"/>
    <w:rsid w:val="00A12599"/>
    <w:rsid w:val="00A12621"/>
    <w:rsid w:val="00A126FD"/>
    <w:rsid w:val="00A12786"/>
    <w:rsid w:val="00A12804"/>
    <w:rsid w:val="00A12A92"/>
    <w:rsid w:val="00A12AE8"/>
    <w:rsid w:val="00A12C00"/>
    <w:rsid w:val="00A12EC6"/>
    <w:rsid w:val="00A12EE2"/>
    <w:rsid w:val="00A12EE4"/>
    <w:rsid w:val="00A13010"/>
    <w:rsid w:val="00A13024"/>
    <w:rsid w:val="00A13075"/>
    <w:rsid w:val="00A13090"/>
    <w:rsid w:val="00A1309C"/>
    <w:rsid w:val="00A13102"/>
    <w:rsid w:val="00A13119"/>
    <w:rsid w:val="00A1313E"/>
    <w:rsid w:val="00A13257"/>
    <w:rsid w:val="00A1345C"/>
    <w:rsid w:val="00A134F0"/>
    <w:rsid w:val="00A13569"/>
    <w:rsid w:val="00A13721"/>
    <w:rsid w:val="00A1385B"/>
    <w:rsid w:val="00A138CF"/>
    <w:rsid w:val="00A138DC"/>
    <w:rsid w:val="00A13918"/>
    <w:rsid w:val="00A13ADF"/>
    <w:rsid w:val="00A13AE4"/>
    <w:rsid w:val="00A13B57"/>
    <w:rsid w:val="00A13B98"/>
    <w:rsid w:val="00A13CF2"/>
    <w:rsid w:val="00A13D35"/>
    <w:rsid w:val="00A13D71"/>
    <w:rsid w:val="00A13E4B"/>
    <w:rsid w:val="00A13E8C"/>
    <w:rsid w:val="00A13EF8"/>
    <w:rsid w:val="00A13F3C"/>
    <w:rsid w:val="00A13F9A"/>
    <w:rsid w:val="00A13FB3"/>
    <w:rsid w:val="00A13FDB"/>
    <w:rsid w:val="00A14053"/>
    <w:rsid w:val="00A14079"/>
    <w:rsid w:val="00A14143"/>
    <w:rsid w:val="00A14225"/>
    <w:rsid w:val="00A142FC"/>
    <w:rsid w:val="00A14376"/>
    <w:rsid w:val="00A1442A"/>
    <w:rsid w:val="00A1451D"/>
    <w:rsid w:val="00A14615"/>
    <w:rsid w:val="00A14771"/>
    <w:rsid w:val="00A147BF"/>
    <w:rsid w:val="00A147CB"/>
    <w:rsid w:val="00A1482E"/>
    <w:rsid w:val="00A1492F"/>
    <w:rsid w:val="00A14930"/>
    <w:rsid w:val="00A1493E"/>
    <w:rsid w:val="00A14962"/>
    <w:rsid w:val="00A14A01"/>
    <w:rsid w:val="00A14A6E"/>
    <w:rsid w:val="00A14B2D"/>
    <w:rsid w:val="00A14B55"/>
    <w:rsid w:val="00A14B89"/>
    <w:rsid w:val="00A14BD3"/>
    <w:rsid w:val="00A14DF6"/>
    <w:rsid w:val="00A14E30"/>
    <w:rsid w:val="00A14F01"/>
    <w:rsid w:val="00A14F67"/>
    <w:rsid w:val="00A14FDA"/>
    <w:rsid w:val="00A15090"/>
    <w:rsid w:val="00A15104"/>
    <w:rsid w:val="00A15162"/>
    <w:rsid w:val="00A1517F"/>
    <w:rsid w:val="00A151C4"/>
    <w:rsid w:val="00A151FD"/>
    <w:rsid w:val="00A15210"/>
    <w:rsid w:val="00A15240"/>
    <w:rsid w:val="00A152FC"/>
    <w:rsid w:val="00A15472"/>
    <w:rsid w:val="00A154AB"/>
    <w:rsid w:val="00A1552F"/>
    <w:rsid w:val="00A156B5"/>
    <w:rsid w:val="00A1578A"/>
    <w:rsid w:val="00A15AD8"/>
    <w:rsid w:val="00A15B3A"/>
    <w:rsid w:val="00A15BF6"/>
    <w:rsid w:val="00A15C90"/>
    <w:rsid w:val="00A15DD5"/>
    <w:rsid w:val="00A15DDD"/>
    <w:rsid w:val="00A15F3F"/>
    <w:rsid w:val="00A15F6A"/>
    <w:rsid w:val="00A160B9"/>
    <w:rsid w:val="00A160D5"/>
    <w:rsid w:val="00A160FE"/>
    <w:rsid w:val="00A16217"/>
    <w:rsid w:val="00A16330"/>
    <w:rsid w:val="00A16372"/>
    <w:rsid w:val="00A16403"/>
    <w:rsid w:val="00A16482"/>
    <w:rsid w:val="00A16488"/>
    <w:rsid w:val="00A1662A"/>
    <w:rsid w:val="00A16741"/>
    <w:rsid w:val="00A167C2"/>
    <w:rsid w:val="00A168E8"/>
    <w:rsid w:val="00A169DC"/>
    <w:rsid w:val="00A16AAD"/>
    <w:rsid w:val="00A16B4E"/>
    <w:rsid w:val="00A16C61"/>
    <w:rsid w:val="00A16D07"/>
    <w:rsid w:val="00A16D5B"/>
    <w:rsid w:val="00A16DDD"/>
    <w:rsid w:val="00A16E02"/>
    <w:rsid w:val="00A16F17"/>
    <w:rsid w:val="00A16FB0"/>
    <w:rsid w:val="00A16FB9"/>
    <w:rsid w:val="00A17062"/>
    <w:rsid w:val="00A170F7"/>
    <w:rsid w:val="00A1717E"/>
    <w:rsid w:val="00A17288"/>
    <w:rsid w:val="00A17302"/>
    <w:rsid w:val="00A17408"/>
    <w:rsid w:val="00A1740D"/>
    <w:rsid w:val="00A1771E"/>
    <w:rsid w:val="00A17745"/>
    <w:rsid w:val="00A177F0"/>
    <w:rsid w:val="00A17800"/>
    <w:rsid w:val="00A17836"/>
    <w:rsid w:val="00A1786F"/>
    <w:rsid w:val="00A178B5"/>
    <w:rsid w:val="00A17A6B"/>
    <w:rsid w:val="00A17ADA"/>
    <w:rsid w:val="00A17B87"/>
    <w:rsid w:val="00A17BDC"/>
    <w:rsid w:val="00A17BE9"/>
    <w:rsid w:val="00A17C2B"/>
    <w:rsid w:val="00A17C5B"/>
    <w:rsid w:val="00A17CD3"/>
    <w:rsid w:val="00A17DA3"/>
    <w:rsid w:val="00A17DC4"/>
    <w:rsid w:val="00A17E08"/>
    <w:rsid w:val="00A17E31"/>
    <w:rsid w:val="00A17ED4"/>
    <w:rsid w:val="00A17F05"/>
    <w:rsid w:val="00A17F63"/>
    <w:rsid w:val="00A20039"/>
    <w:rsid w:val="00A200C9"/>
    <w:rsid w:val="00A20231"/>
    <w:rsid w:val="00A20261"/>
    <w:rsid w:val="00A202A3"/>
    <w:rsid w:val="00A202C6"/>
    <w:rsid w:val="00A202F8"/>
    <w:rsid w:val="00A204C5"/>
    <w:rsid w:val="00A204F6"/>
    <w:rsid w:val="00A206D7"/>
    <w:rsid w:val="00A20817"/>
    <w:rsid w:val="00A2086A"/>
    <w:rsid w:val="00A2091E"/>
    <w:rsid w:val="00A20A1F"/>
    <w:rsid w:val="00A20AD3"/>
    <w:rsid w:val="00A20B00"/>
    <w:rsid w:val="00A20BF0"/>
    <w:rsid w:val="00A20C5E"/>
    <w:rsid w:val="00A20C64"/>
    <w:rsid w:val="00A20CC3"/>
    <w:rsid w:val="00A20CC6"/>
    <w:rsid w:val="00A20CDE"/>
    <w:rsid w:val="00A20D41"/>
    <w:rsid w:val="00A20DA6"/>
    <w:rsid w:val="00A20E37"/>
    <w:rsid w:val="00A20EC6"/>
    <w:rsid w:val="00A211E5"/>
    <w:rsid w:val="00A211FE"/>
    <w:rsid w:val="00A21287"/>
    <w:rsid w:val="00A213AC"/>
    <w:rsid w:val="00A213B7"/>
    <w:rsid w:val="00A213C7"/>
    <w:rsid w:val="00A21406"/>
    <w:rsid w:val="00A21489"/>
    <w:rsid w:val="00A21522"/>
    <w:rsid w:val="00A21763"/>
    <w:rsid w:val="00A217D7"/>
    <w:rsid w:val="00A21836"/>
    <w:rsid w:val="00A2189E"/>
    <w:rsid w:val="00A2191B"/>
    <w:rsid w:val="00A2195D"/>
    <w:rsid w:val="00A21A92"/>
    <w:rsid w:val="00A21ACB"/>
    <w:rsid w:val="00A21C7C"/>
    <w:rsid w:val="00A21C7D"/>
    <w:rsid w:val="00A21CC5"/>
    <w:rsid w:val="00A21D8D"/>
    <w:rsid w:val="00A21FDC"/>
    <w:rsid w:val="00A220E3"/>
    <w:rsid w:val="00A22124"/>
    <w:rsid w:val="00A22142"/>
    <w:rsid w:val="00A222A2"/>
    <w:rsid w:val="00A2233D"/>
    <w:rsid w:val="00A2235A"/>
    <w:rsid w:val="00A224B3"/>
    <w:rsid w:val="00A224BF"/>
    <w:rsid w:val="00A2259F"/>
    <w:rsid w:val="00A22653"/>
    <w:rsid w:val="00A226DA"/>
    <w:rsid w:val="00A22715"/>
    <w:rsid w:val="00A22725"/>
    <w:rsid w:val="00A227B2"/>
    <w:rsid w:val="00A227B6"/>
    <w:rsid w:val="00A227B9"/>
    <w:rsid w:val="00A2286E"/>
    <w:rsid w:val="00A22918"/>
    <w:rsid w:val="00A229A2"/>
    <w:rsid w:val="00A22A34"/>
    <w:rsid w:val="00A22A7F"/>
    <w:rsid w:val="00A22C70"/>
    <w:rsid w:val="00A22CD5"/>
    <w:rsid w:val="00A22CD7"/>
    <w:rsid w:val="00A22DF4"/>
    <w:rsid w:val="00A22F9C"/>
    <w:rsid w:val="00A23017"/>
    <w:rsid w:val="00A23020"/>
    <w:rsid w:val="00A23029"/>
    <w:rsid w:val="00A232A6"/>
    <w:rsid w:val="00A23389"/>
    <w:rsid w:val="00A2339C"/>
    <w:rsid w:val="00A233BD"/>
    <w:rsid w:val="00A233C2"/>
    <w:rsid w:val="00A233F9"/>
    <w:rsid w:val="00A2340E"/>
    <w:rsid w:val="00A236FE"/>
    <w:rsid w:val="00A2370D"/>
    <w:rsid w:val="00A23719"/>
    <w:rsid w:val="00A237BC"/>
    <w:rsid w:val="00A23850"/>
    <w:rsid w:val="00A238E1"/>
    <w:rsid w:val="00A2394C"/>
    <w:rsid w:val="00A239B0"/>
    <w:rsid w:val="00A239C0"/>
    <w:rsid w:val="00A239CB"/>
    <w:rsid w:val="00A23A48"/>
    <w:rsid w:val="00A23AC4"/>
    <w:rsid w:val="00A23B68"/>
    <w:rsid w:val="00A23C23"/>
    <w:rsid w:val="00A23DAA"/>
    <w:rsid w:val="00A23DC8"/>
    <w:rsid w:val="00A23E2F"/>
    <w:rsid w:val="00A23ECD"/>
    <w:rsid w:val="00A23F56"/>
    <w:rsid w:val="00A241A6"/>
    <w:rsid w:val="00A2425C"/>
    <w:rsid w:val="00A24299"/>
    <w:rsid w:val="00A24320"/>
    <w:rsid w:val="00A2449E"/>
    <w:rsid w:val="00A24515"/>
    <w:rsid w:val="00A245AF"/>
    <w:rsid w:val="00A245D1"/>
    <w:rsid w:val="00A2466E"/>
    <w:rsid w:val="00A248E0"/>
    <w:rsid w:val="00A249AD"/>
    <w:rsid w:val="00A24A26"/>
    <w:rsid w:val="00A24A74"/>
    <w:rsid w:val="00A24B28"/>
    <w:rsid w:val="00A24BDC"/>
    <w:rsid w:val="00A24C13"/>
    <w:rsid w:val="00A24C53"/>
    <w:rsid w:val="00A24CD6"/>
    <w:rsid w:val="00A24D69"/>
    <w:rsid w:val="00A24DE9"/>
    <w:rsid w:val="00A24EF4"/>
    <w:rsid w:val="00A24F02"/>
    <w:rsid w:val="00A24FBC"/>
    <w:rsid w:val="00A25030"/>
    <w:rsid w:val="00A2506E"/>
    <w:rsid w:val="00A250A9"/>
    <w:rsid w:val="00A25281"/>
    <w:rsid w:val="00A252FA"/>
    <w:rsid w:val="00A2532E"/>
    <w:rsid w:val="00A253DC"/>
    <w:rsid w:val="00A253FF"/>
    <w:rsid w:val="00A25479"/>
    <w:rsid w:val="00A25495"/>
    <w:rsid w:val="00A2552F"/>
    <w:rsid w:val="00A2553D"/>
    <w:rsid w:val="00A255D3"/>
    <w:rsid w:val="00A25635"/>
    <w:rsid w:val="00A25639"/>
    <w:rsid w:val="00A256C2"/>
    <w:rsid w:val="00A256D8"/>
    <w:rsid w:val="00A256E6"/>
    <w:rsid w:val="00A25722"/>
    <w:rsid w:val="00A257AC"/>
    <w:rsid w:val="00A257C7"/>
    <w:rsid w:val="00A257D2"/>
    <w:rsid w:val="00A258BC"/>
    <w:rsid w:val="00A2599A"/>
    <w:rsid w:val="00A259D1"/>
    <w:rsid w:val="00A25A5E"/>
    <w:rsid w:val="00A25C0A"/>
    <w:rsid w:val="00A25C31"/>
    <w:rsid w:val="00A25ED8"/>
    <w:rsid w:val="00A25EF1"/>
    <w:rsid w:val="00A25EFF"/>
    <w:rsid w:val="00A25F34"/>
    <w:rsid w:val="00A2608F"/>
    <w:rsid w:val="00A26214"/>
    <w:rsid w:val="00A2622F"/>
    <w:rsid w:val="00A26231"/>
    <w:rsid w:val="00A26302"/>
    <w:rsid w:val="00A2632F"/>
    <w:rsid w:val="00A26369"/>
    <w:rsid w:val="00A263E4"/>
    <w:rsid w:val="00A26401"/>
    <w:rsid w:val="00A264BA"/>
    <w:rsid w:val="00A264C3"/>
    <w:rsid w:val="00A264EC"/>
    <w:rsid w:val="00A26529"/>
    <w:rsid w:val="00A26565"/>
    <w:rsid w:val="00A2656A"/>
    <w:rsid w:val="00A2659F"/>
    <w:rsid w:val="00A265B1"/>
    <w:rsid w:val="00A26646"/>
    <w:rsid w:val="00A26741"/>
    <w:rsid w:val="00A26751"/>
    <w:rsid w:val="00A267DC"/>
    <w:rsid w:val="00A267FF"/>
    <w:rsid w:val="00A26871"/>
    <w:rsid w:val="00A268CD"/>
    <w:rsid w:val="00A268E6"/>
    <w:rsid w:val="00A269BE"/>
    <w:rsid w:val="00A269CD"/>
    <w:rsid w:val="00A26AD6"/>
    <w:rsid w:val="00A26B0C"/>
    <w:rsid w:val="00A26C3C"/>
    <w:rsid w:val="00A26C63"/>
    <w:rsid w:val="00A26CF5"/>
    <w:rsid w:val="00A26E1C"/>
    <w:rsid w:val="00A26EAC"/>
    <w:rsid w:val="00A26ECD"/>
    <w:rsid w:val="00A26EF5"/>
    <w:rsid w:val="00A26F9C"/>
    <w:rsid w:val="00A26FE1"/>
    <w:rsid w:val="00A27011"/>
    <w:rsid w:val="00A27063"/>
    <w:rsid w:val="00A27135"/>
    <w:rsid w:val="00A27256"/>
    <w:rsid w:val="00A272F4"/>
    <w:rsid w:val="00A2733F"/>
    <w:rsid w:val="00A27392"/>
    <w:rsid w:val="00A273BD"/>
    <w:rsid w:val="00A27410"/>
    <w:rsid w:val="00A274A9"/>
    <w:rsid w:val="00A274E2"/>
    <w:rsid w:val="00A275BA"/>
    <w:rsid w:val="00A275DF"/>
    <w:rsid w:val="00A2769E"/>
    <w:rsid w:val="00A276A5"/>
    <w:rsid w:val="00A277B1"/>
    <w:rsid w:val="00A278C1"/>
    <w:rsid w:val="00A279DC"/>
    <w:rsid w:val="00A27B3E"/>
    <w:rsid w:val="00A27B6B"/>
    <w:rsid w:val="00A27B84"/>
    <w:rsid w:val="00A27D65"/>
    <w:rsid w:val="00A27D6A"/>
    <w:rsid w:val="00A27E06"/>
    <w:rsid w:val="00A27EC5"/>
    <w:rsid w:val="00A27EFD"/>
    <w:rsid w:val="00A27F10"/>
    <w:rsid w:val="00A27FB8"/>
    <w:rsid w:val="00A3002B"/>
    <w:rsid w:val="00A3003B"/>
    <w:rsid w:val="00A300E4"/>
    <w:rsid w:val="00A3010E"/>
    <w:rsid w:val="00A301A9"/>
    <w:rsid w:val="00A3034A"/>
    <w:rsid w:val="00A30439"/>
    <w:rsid w:val="00A3064B"/>
    <w:rsid w:val="00A306E5"/>
    <w:rsid w:val="00A307CD"/>
    <w:rsid w:val="00A30A00"/>
    <w:rsid w:val="00A30A4E"/>
    <w:rsid w:val="00A30B1E"/>
    <w:rsid w:val="00A30B5A"/>
    <w:rsid w:val="00A30BA9"/>
    <w:rsid w:val="00A30BE7"/>
    <w:rsid w:val="00A30C1B"/>
    <w:rsid w:val="00A30C5A"/>
    <w:rsid w:val="00A30E5D"/>
    <w:rsid w:val="00A30E82"/>
    <w:rsid w:val="00A3111E"/>
    <w:rsid w:val="00A31267"/>
    <w:rsid w:val="00A3140F"/>
    <w:rsid w:val="00A3159E"/>
    <w:rsid w:val="00A315CA"/>
    <w:rsid w:val="00A317C8"/>
    <w:rsid w:val="00A31854"/>
    <w:rsid w:val="00A3187B"/>
    <w:rsid w:val="00A31881"/>
    <w:rsid w:val="00A318E7"/>
    <w:rsid w:val="00A318EA"/>
    <w:rsid w:val="00A31900"/>
    <w:rsid w:val="00A319E9"/>
    <w:rsid w:val="00A31A83"/>
    <w:rsid w:val="00A31ABE"/>
    <w:rsid w:val="00A31AF9"/>
    <w:rsid w:val="00A31B06"/>
    <w:rsid w:val="00A31CAE"/>
    <w:rsid w:val="00A31CD9"/>
    <w:rsid w:val="00A31DA3"/>
    <w:rsid w:val="00A31E7D"/>
    <w:rsid w:val="00A31F29"/>
    <w:rsid w:val="00A31F8B"/>
    <w:rsid w:val="00A3203D"/>
    <w:rsid w:val="00A32111"/>
    <w:rsid w:val="00A32275"/>
    <w:rsid w:val="00A32321"/>
    <w:rsid w:val="00A3237B"/>
    <w:rsid w:val="00A323F8"/>
    <w:rsid w:val="00A32435"/>
    <w:rsid w:val="00A3243C"/>
    <w:rsid w:val="00A32494"/>
    <w:rsid w:val="00A32530"/>
    <w:rsid w:val="00A32588"/>
    <w:rsid w:val="00A32589"/>
    <w:rsid w:val="00A325E3"/>
    <w:rsid w:val="00A32611"/>
    <w:rsid w:val="00A3262D"/>
    <w:rsid w:val="00A32735"/>
    <w:rsid w:val="00A32790"/>
    <w:rsid w:val="00A327CD"/>
    <w:rsid w:val="00A32813"/>
    <w:rsid w:val="00A32835"/>
    <w:rsid w:val="00A32840"/>
    <w:rsid w:val="00A3287F"/>
    <w:rsid w:val="00A3289D"/>
    <w:rsid w:val="00A328F1"/>
    <w:rsid w:val="00A329DA"/>
    <w:rsid w:val="00A329E2"/>
    <w:rsid w:val="00A32B9B"/>
    <w:rsid w:val="00A32C88"/>
    <w:rsid w:val="00A32D6A"/>
    <w:rsid w:val="00A32DBC"/>
    <w:rsid w:val="00A32DCC"/>
    <w:rsid w:val="00A32E3A"/>
    <w:rsid w:val="00A32FBA"/>
    <w:rsid w:val="00A32FED"/>
    <w:rsid w:val="00A330F2"/>
    <w:rsid w:val="00A33137"/>
    <w:rsid w:val="00A33150"/>
    <w:rsid w:val="00A33152"/>
    <w:rsid w:val="00A331B8"/>
    <w:rsid w:val="00A331FB"/>
    <w:rsid w:val="00A33218"/>
    <w:rsid w:val="00A332C2"/>
    <w:rsid w:val="00A33377"/>
    <w:rsid w:val="00A3338E"/>
    <w:rsid w:val="00A333E5"/>
    <w:rsid w:val="00A334B4"/>
    <w:rsid w:val="00A334DF"/>
    <w:rsid w:val="00A3358B"/>
    <w:rsid w:val="00A33667"/>
    <w:rsid w:val="00A33704"/>
    <w:rsid w:val="00A33706"/>
    <w:rsid w:val="00A33774"/>
    <w:rsid w:val="00A33794"/>
    <w:rsid w:val="00A337ED"/>
    <w:rsid w:val="00A3381E"/>
    <w:rsid w:val="00A339A0"/>
    <w:rsid w:val="00A339CC"/>
    <w:rsid w:val="00A33A3E"/>
    <w:rsid w:val="00A33BEB"/>
    <w:rsid w:val="00A33DF3"/>
    <w:rsid w:val="00A33DFE"/>
    <w:rsid w:val="00A33E02"/>
    <w:rsid w:val="00A33E08"/>
    <w:rsid w:val="00A33EA3"/>
    <w:rsid w:val="00A33F02"/>
    <w:rsid w:val="00A33F8E"/>
    <w:rsid w:val="00A3407A"/>
    <w:rsid w:val="00A3419A"/>
    <w:rsid w:val="00A341ED"/>
    <w:rsid w:val="00A3438D"/>
    <w:rsid w:val="00A3443D"/>
    <w:rsid w:val="00A3458A"/>
    <w:rsid w:val="00A345AB"/>
    <w:rsid w:val="00A345AC"/>
    <w:rsid w:val="00A346AB"/>
    <w:rsid w:val="00A3473C"/>
    <w:rsid w:val="00A34A4C"/>
    <w:rsid w:val="00A34AD0"/>
    <w:rsid w:val="00A34B9B"/>
    <w:rsid w:val="00A34C46"/>
    <w:rsid w:val="00A34C72"/>
    <w:rsid w:val="00A34C8C"/>
    <w:rsid w:val="00A34E08"/>
    <w:rsid w:val="00A34ED0"/>
    <w:rsid w:val="00A34EE8"/>
    <w:rsid w:val="00A34F74"/>
    <w:rsid w:val="00A35013"/>
    <w:rsid w:val="00A350A8"/>
    <w:rsid w:val="00A350AB"/>
    <w:rsid w:val="00A350C6"/>
    <w:rsid w:val="00A350F0"/>
    <w:rsid w:val="00A35143"/>
    <w:rsid w:val="00A35197"/>
    <w:rsid w:val="00A3523E"/>
    <w:rsid w:val="00A352B4"/>
    <w:rsid w:val="00A353C7"/>
    <w:rsid w:val="00A353C8"/>
    <w:rsid w:val="00A35444"/>
    <w:rsid w:val="00A3548E"/>
    <w:rsid w:val="00A355C1"/>
    <w:rsid w:val="00A355DD"/>
    <w:rsid w:val="00A35632"/>
    <w:rsid w:val="00A35665"/>
    <w:rsid w:val="00A3568C"/>
    <w:rsid w:val="00A356A9"/>
    <w:rsid w:val="00A35739"/>
    <w:rsid w:val="00A35771"/>
    <w:rsid w:val="00A35790"/>
    <w:rsid w:val="00A358DB"/>
    <w:rsid w:val="00A359A6"/>
    <w:rsid w:val="00A35A57"/>
    <w:rsid w:val="00A35A85"/>
    <w:rsid w:val="00A35A97"/>
    <w:rsid w:val="00A35B53"/>
    <w:rsid w:val="00A35BAA"/>
    <w:rsid w:val="00A35C24"/>
    <w:rsid w:val="00A35C2F"/>
    <w:rsid w:val="00A35C79"/>
    <w:rsid w:val="00A35DCC"/>
    <w:rsid w:val="00A35DD7"/>
    <w:rsid w:val="00A35E8E"/>
    <w:rsid w:val="00A35EC6"/>
    <w:rsid w:val="00A35EF4"/>
    <w:rsid w:val="00A35F86"/>
    <w:rsid w:val="00A35FF5"/>
    <w:rsid w:val="00A364DC"/>
    <w:rsid w:val="00A365DC"/>
    <w:rsid w:val="00A36776"/>
    <w:rsid w:val="00A367DD"/>
    <w:rsid w:val="00A367E8"/>
    <w:rsid w:val="00A36849"/>
    <w:rsid w:val="00A36883"/>
    <w:rsid w:val="00A36903"/>
    <w:rsid w:val="00A3697A"/>
    <w:rsid w:val="00A36A4F"/>
    <w:rsid w:val="00A36A74"/>
    <w:rsid w:val="00A36B84"/>
    <w:rsid w:val="00A36C42"/>
    <w:rsid w:val="00A36C52"/>
    <w:rsid w:val="00A36C85"/>
    <w:rsid w:val="00A36C9D"/>
    <w:rsid w:val="00A36D69"/>
    <w:rsid w:val="00A3709E"/>
    <w:rsid w:val="00A3724A"/>
    <w:rsid w:val="00A372E3"/>
    <w:rsid w:val="00A37320"/>
    <w:rsid w:val="00A373D0"/>
    <w:rsid w:val="00A37423"/>
    <w:rsid w:val="00A374C3"/>
    <w:rsid w:val="00A374F2"/>
    <w:rsid w:val="00A37508"/>
    <w:rsid w:val="00A37582"/>
    <w:rsid w:val="00A3770A"/>
    <w:rsid w:val="00A37801"/>
    <w:rsid w:val="00A37894"/>
    <w:rsid w:val="00A378D0"/>
    <w:rsid w:val="00A37A5F"/>
    <w:rsid w:val="00A37B02"/>
    <w:rsid w:val="00A37BE0"/>
    <w:rsid w:val="00A37C36"/>
    <w:rsid w:val="00A37C4A"/>
    <w:rsid w:val="00A37C4C"/>
    <w:rsid w:val="00A37C76"/>
    <w:rsid w:val="00A37CE3"/>
    <w:rsid w:val="00A37CEB"/>
    <w:rsid w:val="00A37D55"/>
    <w:rsid w:val="00A37D74"/>
    <w:rsid w:val="00A37DA8"/>
    <w:rsid w:val="00A37DAB"/>
    <w:rsid w:val="00A37F1F"/>
    <w:rsid w:val="00A40081"/>
    <w:rsid w:val="00A40278"/>
    <w:rsid w:val="00A402EE"/>
    <w:rsid w:val="00A40357"/>
    <w:rsid w:val="00A4043A"/>
    <w:rsid w:val="00A40449"/>
    <w:rsid w:val="00A4046F"/>
    <w:rsid w:val="00A404A7"/>
    <w:rsid w:val="00A40599"/>
    <w:rsid w:val="00A405A1"/>
    <w:rsid w:val="00A405F9"/>
    <w:rsid w:val="00A40682"/>
    <w:rsid w:val="00A4078F"/>
    <w:rsid w:val="00A4079A"/>
    <w:rsid w:val="00A4079D"/>
    <w:rsid w:val="00A40811"/>
    <w:rsid w:val="00A40844"/>
    <w:rsid w:val="00A40942"/>
    <w:rsid w:val="00A409A0"/>
    <w:rsid w:val="00A40A41"/>
    <w:rsid w:val="00A40B06"/>
    <w:rsid w:val="00A40C5F"/>
    <w:rsid w:val="00A40CC4"/>
    <w:rsid w:val="00A40CEF"/>
    <w:rsid w:val="00A40D44"/>
    <w:rsid w:val="00A40D8E"/>
    <w:rsid w:val="00A40DBB"/>
    <w:rsid w:val="00A40DDA"/>
    <w:rsid w:val="00A40FC8"/>
    <w:rsid w:val="00A40FC9"/>
    <w:rsid w:val="00A4101D"/>
    <w:rsid w:val="00A41095"/>
    <w:rsid w:val="00A410BB"/>
    <w:rsid w:val="00A410DA"/>
    <w:rsid w:val="00A41291"/>
    <w:rsid w:val="00A413DF"/>
    <w:rsid w:val="00A413F1"/>
    <w:rsid w:val="00A4140C"/>
    <w:rsid w:val="00A41438"/>
    <w:rsid w:val="00A41498"/>
    <w:rsid w:val="00A41517"/>
    <w:rsid w:val="00A41570"/>
    <w:rsid w:val="00A415E1"/>
    <w:rsid w:val="00A416DB"/>
    <w:rsid w:val="00A41781"/>
    <w:rsid w:val="00A417F3"/>
    <w:rsid w:val="00A41827"/>
    <w:rsid w:val="00A418C6"/>
    <w:rsid w:val="00A41918"/>
    <w:rsid w:val="00A419D7"/>
    <w:rsid w:val="00A41A20"/>
    <w:rsid w:val="00A41A4D"/>
    <w:rsid w:val="00A41CB1"/>
    <w:rsid w:val="00A41E76"/>
    <w:rsid w:val="00A41F25"/>
    <w:rsid w:val="00A41F26"/>
    <w:rsid w:val="00A41F2D"/>
    <w:rsid w:val="00A41F59"/>
    <w:rsid w:val="00A41F7E"/>
    <w:rsid w:val="00A42125"/>
    <w:rsid w:val="00A4219E"/>
    <w:rsid w:val="00A42270"/>
    <w:rsid w:val="00A422A6"/>
    <w:rsid w:val="00A423A5"/>
    <w:rsid w:val="00A424FA"/>
    <w:rsid w:val="00A42538"/>
    <w:rsid w:val="00A425A9"/>
    <w:rsid w:val="00A425DF"/>
    <w:rsid w:val="00A426FA"/>
    <w:rsid w:val="00A4279A"/>
    <w:rsid w:val="00A42994"/>
    <w:rsid w:val="00A42A18"/>
    <w:rsid w:val="00A42A90"/>
    <w:rsid w:val="00A42B69"/>
    <w:rsid w:val="00A42D0C"/>
    <w:rsid w:val="00A42DBD"/>
    <w:rsid w:val="00A42EB8"/>
    <w:rsid w:val="00A42F95"/>
    <w:rsid w:val="00A42FAF"/>
    <w:rsid w:val="00A43040"/>
    <w:rsid w:val="00A43065"/>
    <w:rsid w:val="00A430D0"/>
    <w:rsid w:val="00A431A2"/>
    <w:rsid w:val="00A431B2"/>
    <w:rsid w:val="00A432C5"/>
    <w:rsid w:val="00A4332A"/>
    <w:rsid w:val="00A43351"/>
    <w:rsid w:val="00A434B7"/>
    <w:rsid w:val="00A435F0"/>
    <w:rsid w:val="00A43625"/>
    <w:rsid w:val="00A436EA"/>
    <w:rsid w:val="00A43814"/>
    <w:rsid w:val="00A4383D"/>
    <w:rsid w:val="00A438A3"/>
    <w:rsid w:val="00A43A02"/>
    <w:rsid w:val="00A43A94"/>
    <w:rsid w:val="00A43AAB"/>
    <w:rsid w:val="00A43ADD"/>
    <w:rsid w:val="00A43AE3"/>
    <w:rsid w:val="00A43B07"/>
    <w:rsid w:val="00A43BB8"/>
    <w:rsid w:val="00A43BC6"/>
    <w:rsid w:val="00A43C3D"/>
    <w:rsid w:val="00A43C76"/>
    <w:rsid w:val="00A43C8D"/>
    <w:rsid w:val="00A43CAD"/>
    <w:rsid w:val="00A43CD6"/>
    <w:rsid w:val="00A43D83"/>
    <w:rsid w:val="00A43E8B"/>
    <w:rsid w:val="00A43E92"/>
    <w:rsid w:val="00A43F35"/>
    <w:rsid w:val="00A43F42"/>
    <w:rsid w:val="00A43F51"/>
    <w:rsid w:val="00A43FAB"/>
    <w:rsid w:val="00A44009"/>
    <w:rsid w:val="00A44126"/>
    <w:rsid w:val="00A441BC"/>
    <w:rsid w:val="00A44298"/>
    <w:rsid w:val="00A4431E"/>
    <w:rsid w:val="00A44398"/>
    <w:rsid w:val="00A44408"/>
    <w:rsid w:val="00A44675"/>
    <w:rsid w:val="00A4467F"/>
    <w:rsid w:val="00A446A7"/>
    <w:rsid w:val="00A446BB"/>
    <w:rsid w:val="00A44736"/>
    <w:rsid w:val="00A44755"/>
    <w:rsid w:val="00A44833"/>
    <w:rsid w:val="00A44880"/>
    <w:rsid w:val="00A448C9"/>
    <w:rsid w:val="00A448F0"/>
    <w:rsid w:val="00A44A53"/>
    <w:rsid w:val="00A44A5B"/>
    <w:rsid w:val="00A44A88"/>
    <w:rsid w:val="00A44B12"/>
    <w:rsid w:val="00A44C25"/>
    <w:rsid w:val="00A44CCF"/>
    <w:rsid w:val="00A44E85"/>
    <w:rsid w:val="00A44F81"/>
    <w:rsid w:val="00A44FD5"/>
    <w:rsid w:val="00A44FF3"/>
    <w:rsid w:val="00A44FF6"/>
    <w:rsid w:val="00A450AC"/>
    <w:rsid w:val="00A450F8"/>
    <w:rsid w:val="00A451F4"/>
    <w:rsid w:val="00A453F1"/>
    <w:rsid w:val="00A454D7"/>
    <w:rsid w:val="00A456A4"/>
    <w:rsid w:val="00A45929"/>
    <w:rsid w:val="00A459FE"/>
    <w:rsid w:val="00A45A13"/>
    <w:rsid w:val="00A45B18"/>
    <w:rsid w:val="00A45B3E"/>
    <w:rsid w:val="00A45B8D"/>
    <w:rsid w:val="00A45E1F"/>
    <w:rsid w:val="00A45E89"/>
    <w:rsid w:val="00A45F2F"/>
    <w:rsid w:val="00A45FFA"/>
    <w:rsid w:val="00A4622E"/>
    <w:rsid w:val="00A46277"/>
    <w:rsid w:val="00A462A0"/>
    <w:rsid w:val="00A463C2"/>
    <w:rsid w:val="00A463E5"/>
    <w:rsid w:val="00A46439"/>
    <w:rsid w:val="00A4658D"/>
    <w:rsid w:val="00A4665F"/>
    <w:rsid w:val="00A46765"/>
    <w:rsid w:val="00A468E4"/>
    <w:rsid w:val="00A4693F"/>
    <w:rsid w:val="00A4696B"/>
    <w:rsid w:val="00A469C9"/>
    <w:rsid w:val="00A46A9D"/>
    <w:rsid w:val="00A46AF2"/>
    <w:rsid w:val="00A46BD0"/>
    <w:rsid w:val="00A46C57"/>
    <w:rsid w:val="00A46C70"/>
    <w:rsid w:val="00A46D00"/>
    <w:rsid w:val="00A46DF5"/>
    <w:rsid w:val="00A46E5E"/>
    <w:rsid w:val="00A46EBB"/>
    <w:rsid w:val="00A46F5A"/>
    <w:rsid w:val="00A470C5"/>
    <w:rsid w:val="00A47104"/>
    <w:rsid w:val="00A47432"/>
    <w:rsid w:val="00A474AB"/>
    <w:rsid w:val="00A4755E"/>
    <w:rsid w:val="00A476E9"/>
    <w:rsid w:val="00A4770B"/>
    <w:rsid w:val="00A47774"/>
    <w:rsid w:val="00A478EF"/>
    <w:rsid w:val="00A47915"/>
    <w:rsid w:val="00A4797B"/>
    <w:rsid w:val="00A479C3"/>
    <w:rsid w:val="00A479C5"/>
    <w:rsid w:val="00A47A2B"/>
    <w:rsid w:val="00A47B5D"/>
    <w:rsid w:val="00A47B82"/>
    <w:rsid w:val="00A47B96"/>
    <w:rsid w:val="00A47D28"/>
    <w:rsid w:val="00A47D9E"/>
    <w:rsid w:val="00A47DAD"/>
    <w:rsid w:val="00A47DDA"/>
    <w:rsid w:val="00A47E4D"/>
    <w:rsid w:val="00A47ED4"/>
    <w:rsid w:val="00A47ED6"/>
    <w:rsid w:val="00A47F07"/>
    <w:rsid w:val="00A47F72"/>
    <w:rsid w:val="00A47F7A"/>
    <w:rsid w:val="00A47FB6"/>
    <w:rsid w:val="00A50017"/>
    <w:rsid w:val="00A50020"/>
    <w:rsid w:val="00A50026"/>
    <w:rsid w:val="00A50054"/>
    <w:rsid w:val="00A500D9"/>
    <w:rsid w:val="00A5011F"/>
    <w:rsid w:val="00A5025E"/>
    <w:rsid w:val="00A5028D"/>
    <w:rsid w:val="00A5041D"/>
    <w:rsid w:val="00A50467"/>
    <w:rsid w:val="00A50522"/>
    <w:rsid w:val="00A50530"/>
    <w:rsid w:val="00A50556"/>
    <w:rsid w:val="00A5055F"/>
    <w:rsid w:val="00A505B4"/>
    <w:rsid w:val="00A505E9"/>
    <w:rsid w:val="00A50639"/>
    <w:rsid w:val="00A50648"/>
    <w:rsid w:val="00A506E1"/>
    <w:rsid w:val="00A506EB"/>
    <w:rsid w:val="00A507C9"/>
    <w:rsid w:val="00A50890"/>
    <w:rsid w:val="00A508DE"/>
    <w:rsid w:val="00A50A12"/>
    <w:rsid w:val="00A50AA3"/>
    <w:rsid w:val="00A50B3E"/>
    <w:rsid w:val="00A50B6D"/>
    <w:rsid w:val="00A50CDA"/>
    <w:rsid w:val="00A50D05"/>
    <w:rsid w:val="00A50D11"/>
    <w:rsid w:val="00A50DA3"/>
    <w:rsid w:val="00A50DFE"/>
    <w:rsid w:val="00A50E05"/>
    <w:rsid w:val="00A50FD2"/>
    <w:rsid w:val="00A51079"/>
    <w:rsid w:val="00A511FD"/>
    <w:rsid w:val="00A51251"/>
    <w:rsid w:val="00A512BE"/>
    <w:rsid w:val="00A512C4"/>
    <w:rsid w:val="00A512EC"/>
    <w:rsid w:val="00A5134A"/>
    <w:rsid w:val="00A513DC"/>
    <w:rsid w:val="00A51415"/>
    <w:rsid w:val="00A5165C"/>
    <w:rsid w:val="00A516DD"/>
    <w:rsid w:val="00A51755"/>
    <w:rsid w:val="00A517CF"/>
    <w:rsid w:val="00A517D6"/>
    <w:rsid w:val="00A517F3"/>
    <w:rsid w:val="00A518A5"/>
    <w:rsid w:val="00A518B5"/>
    <w:rsid w:val="00A51914"/>
    <w:rsid w:val="00A51935"/>
    <w:rsid w:val="00A519E9"/>
    <w:rsid w:val="00A51A31"/>
    <w:rsid w:val="00A51AE8"/>
    <w:rsid w:val="00A51BD2"/>
    <w:rsid w:val="00A51BE5"/>
    <w:rsid w:val="00A51C0E"/>
    <w:rsid w:val="00A51C22"/>
    <w:rsid w:val="00A51D18"/>
    <w:rsid w:val="00A51D4C"/>
    <w:rsid w:val="00A51EF8"/>
    <w:rsid w:val="00A52079"/>
    <w:rsid w:val="00A520C2"/>
    <w:rsid w:val="00A520CB"/>
    <w:rsid w:val="00A520D3"/>
    <w:rsid w:val="00A520FE"/>
    <w:rsid w:val="00A52106"/>
    <w:rsid w:val="00A5212B"/>
    <w:rsid w:val="00A52282"/>
    <w:rsid w:val="00A5234A"/>
    <w:rsid w:val="00A52360"/>
    <w:rsid w:val="00A5246C"/>
    <w:rsid w:val="00A525CE"/>
    <w:rsid w:val="00A525D3"/>
    <w:rsid w:val="00A52602"/>
    <w:rsid w:val="00A52614"/>
    <w:rsid w:val="00A5266C"/>
    <w:rsid w:val="00A526AA"/>
    <w:rsid w:val="00A526C0"/>
    <w:rsid w:val="00A52714"/>
    <w:rsid w:val="00A5271B"/>
    <w:rsid w:val="00A527CE"/>
    <w:rsid w:val="00A5286A"/>
    <w:rsid w:val="00A528DD"/>
    <w:rsid w:val="00A52AB0"/>
    <w:rsid w:val="00A52B7E"/>
    <w:rsid w:val="00A52BEB"/>
    <w:rsid w:val="00A52D23"/>
    <w:rsid w:val="00A52EF8"/>
    <w:rsid w:val="00A52FFB"/>
    <w:rsid w:val="00A53040"/>
    <w:rsid w:val="00A530A9"/>
    <w:rsid w:val="00A530E7"/>
    <w:rsid w:val="00A53141"/>
    <w:rsid w:val="00A53167"/>
    <w:rsid w:val="00A531A3"/>
    <w:rsid w:val="00A53361"/>
    <w:rsid w:val="00A533B5"/>
    <w:rsid w:val="00A53498"/>
    <w:rsid w:val="00A53652"/>
    <w:rsid w:val="00A536A0"/>
    <w:rsid w:val="00A536B4"/>
    <w:rsid w:val="00A5374F"/>
    <w:rsid w:val="00A53789"/>
    <w:rsid w:val="00A53922"/>
    <w:rsid w:val="00A539E5"/>
    <w:rsid w:val="00A53A00"/>
    <w:rsid w:val="00A53A9C"/>
    <w:rsid w:val="00A53B2B"/>
    <w:rsid w:val="00A53C0C"/>
    <w:rsid w:val="00A53D00"/>
    <w:rsid w:val="00A53D38"/>
    <w:rsid w:val="00A53E4C"/>
    <w:rsid w:val="00A53E4D"/>
    <w:rsid w:val="00A53F16"/>
    <w:rsid w:val="00A53F91"/>
    <w:rsid w:val="00A53FA6"/>
    <w:rsid w:val="00A53FA7"/>
    <w:rsid w:val="00A541B1"/>
    <w:rsid w:val="00A54206"/>
    <w:rsid w:val="00A54248"/>
    <w:rsid w:val="00A5428E"/>
    <w:rsid w:val="00A543F9"/>
    <w:rsid w:val="00A5442C"/>
    <w:rsid w:val="00A545EF"/>
    <w:rsid w:val="00A54710"/>
    <w:rsid w:val="00A5473A"/>
    <w:rsid w:val="00A5475D"/>
    <w:rsid w:val="00A5479B"/>
    <w:rsid w:val="00A547A1"/>
    <w:rsid w:val="00A547E8"/>
    <w:rsid w:val="00A54854"/>
    <w:rsid w:val="00A548BD"/>
    <w:rsid w:val="00A54972"/>
    <w:rsid w:val="00A549E3"/>
    <w:rsid w:val="00A54A05"/>
    <w:rsid w:val="00A54A25"/>
    <w:rsid w:val="00A54A37"/>
    <w:rsid w:val="00A54AD0"/>
    <w:rsid w:val="00A54B6D"/>
    <w:rsid w:val="00A54BDE"/>
    <w:rsid w:val="00A54C20"/>
    <w:rsid w:val="00A54C24"/>
    <w:rsid w:val="00A54C52"/>
    <w:rsid w:val="00A54D7E"/>
    <w:rsid w:val="00A54D8B"/>
    <w:rsid w:val="00A54DC3"/>
    <w:rsid w:val="00A54EC2"/>
    <w:rsid w:val="00A55002"/>
    <w:rsid w:val="00A551C5"/>
    <w:rsid w:val="00A55260"/>
    <w:rsid w:val="00A55267"/>
    <w:rsid w:val="00A5533A"/>
    <w:rsid w:val="00A553AC"/>
    <w:rsid w:val="00A55449"/>
    <w:rsid w:val="00A554C4"/>
    <w:rsid w:val="00A55532"/>
    <w:rsid w:val="00A55543"/>
    <w:rsid w:val="00A5562E"/>
    <w:rsid w:val="00A5564C"/>
    <w:rsid w:val="00A556DD"/>
    <w:rsid w:val="00A55706"/>
    <w:rsid w:val="00A5571C"/>
    <w:rsid w:val="00A55743"/>
    <w:rsid w:val="00A557B4"/>
    <w:rsid w:val="00A557CD"/>
    <w:rsid w:val="00A557F2"/>
    <w:rsid w:val="00A558E2"/>
    <w:rsid w:val="00A559BA"/>
    <w:rsid w:val="00A559D1"/>
    <w:rsid w:val="00A55A02"/>
    <w:rsid w:val="00A55B07"/>
    <w:rsid w:val="00A55B44"/>
    <w:rsid w:val="00A55CDC"/>
    <w:rsid w:val="00A55E03"/>
    <w:rsid w:val="00A55E21"/>
    <w:rsid w:val="00A55E43"/>
    <w:rsid w:val="00A55EAA"/>
    <w:rsid w:val="00A55F71"/>
    <w:rsid w:val="00A5608F"/>
    <w:rsid w:val="00A56097"/>
    <w:rsid w:val="00A560F1"/>
    <w:rsid w:val="00A561E3"/>
    <w:rsid w:val="00A56227"/>
    <w:rsid w:val="00A56232"/>
    <w:rsid w:val="00A562A9"/>
    <w:rsid w:val="00A5633D"/>
    <w:rsid w:val="00A563BF"/>
    <w:rsid w:val="00A563D6"/>
    <w:rsid w:val="00A563F8"/>
    <w:rsid w:val="00A565B2"/>
    <w:rsid w:val="00A56661"/>
    <w:rsid w:val="00A56669"/>
    <w:rsid w:val="00A567A6"/>
    <w:rsid w:val="00A56801"/>
    <w:rsid w:val="00A568F7"/>
    <w:rsid w:val="00A56CFF"/>
    <w:rsid w:val="00A56D3D"/>
    <w:rsid w:val="00A56E0B"/>
    <w:rsid w:val="00A56E4E"/>
    <w:rsid w:val="00A56E7B"/>
    <w:rsid w:val="00A57083"/>
    <w:rsid w:val="00A57084"/>
    <w:rsid w:val="00A57155"/>
    <w:rsid w:val="00A572A4"/>
    <w:rsid w:val="00A57417"/>
    <w:rsid w:val="00A5745A"/>
    <w:rsid w:val="00A57538"/>
    <w:rsid w:val="00A57581"/>
    <w:rsid w:val="00A5764D"/>
    <w:rsid w:val="00A577D8"/>
    <w:rsid w:val="00A57843"/>
    <w:rsid w:val="00A57886"/>
    <w:rsid w:val="00A579F4"/>
    <w:rsid w:val="00A57A60"/>
    <w:rsid w:val="00A57BC5"/>
    <w:rsid w:val="00A57CEB"/>
    <w:rsid w:val="00A57EA1"/>
    <w:rsid w:val="00A57F43"/>
    <w:rsid w:val="00A57FBF"/>
    <w:rsid w:val="00A57FE0"/>
    <w:rsid w:val="00A5837B"/>
    <w:rsid w:val="00A60093"/>
    <w:rsid w:val="00A600DE"/>
    <w:rsid w:val="00A60202"/>
    <w:rsid w:val="00A60297"/>
    <w:rsid w:val="00A6032C"/>
    <w:rsid w:val="00A603B8"/>
    <w:rsid w:val="00A603CD"/>
    <w:rsid w:val="00A6042D"/>
    <w:rsid w:val="00A604E6"/>
    <w:rsid w:val="00A604FF"/>
    <w:rsid w:val="00A6050C"/>
    <w:rsid w:val="00A606C6"/>
    <w:rsid w:val="00A6079C"/>
    <w:rsid w:val="00A607B1"/>
    <w:rsid w:val="00A6080B"/>
    <w:rsid w:val="00A608F0"/>
    <w:rsid w:val="00A60900"/>
    <w:rsid w:val="00A6092C"/>
    <w:rsid w:val="00A6096F"/>
    <w:rsid w:val="00A60993"/>
    <w:rsid w:val="00A60A78"/>
    <w:rsid w:val="00A60A93"/>
    <w:rsid w:val="00A60B0D"/>
    <w:rsid w:val="00A60B30"/>
    <w:rsid w:val="00A60B57"/>
    <w:rsid w:val="00A60B89"/>
    <w:rsid w:val="00A60BFF"/>
    <w:rsid w:val="00A60CA5"/>
    <w:rsid w:val="00A60D54"/>
    <w:rsid w:val="00A60D85"/>
    <w:rsid w:val="00A60DEB"/>
    <w:rsid w:val="00A60DF8"/>
    <w:rsid w:val="00A60E9F"/>
    <w:rsid w:val="00A61003"/>
    <w:rsid w:val="00A6110D"/>
    <w:rsid w:val="00A6113D"/>
    <w:rsid w:val="00A611E5"/>
    <w:rsid w:val="00A611EE"/>
    <w:rsid w:val="00A61345"/>
    <w:rsid w:val="00A61370"/>
    <w:rsid w:val="00A61386"/>
    <w:rsid w:val="00A61610"/>
    <w:rsid w:val="00A616D9"/>
    <w:rsid w:val="00A61760"/>
    <w:rsid w:val="00A61857"/>
    <w:rsid w:val="00A618B4"/>
    <w:rsid w:val="00A618E2"/>
    <w:rsid w:val="00A61923"/>
    <w:rsid w:val="00A61958"/>
    <w:rsid w:val="00A61989"/>
    <w:rsid w:val="00A61995"/>
    <w:rsid w:val="00A61B56"/>
    <w:rsid w:val="00A61CDF"/>
    <w:rsid w:val="00A61CF3"/>
    <w:rsid w:val="00A61CF7"/>
    <w:rsid w:val="00A61DEC"/>
    <w:rsid w:val="00A61E5F"/>
    <w:rsid w:val="00A61EFD"/>
    <w:rsid w:val="00A62012"/>
    <w:rsid w:val="00A62086"/>
    <w:rsid w:val="00A6218E"/>
    <w:rsid w:val="00A6219E"/>
    <w:rsid w:val="00A62215"/>
    <w:rsid w:val="00A6229A"/>
    <w:rsid w:val="00A62327"/>
    <w:rsid w:val="00A62378"/>
    <w:rsid w:val="00A623A1"/>
    <w:rsid w:val="00A62417"/>
    <w:rsid w:val="00A6245F"/>
    <w:rsid w:val="00A62461"/>
    <w:rsid w:val="00A6246E"/>
    <w:rsid w:val="00A624CA"/>
    <w:rsid w:val="00A6267E"/>
    <w:rsid w:val="00A62741"/>
    <w:rsid w:val="00A6276D"/>
    <w:rsid w:val="00A627AF"/>
    <w:rsid w:val="00A6280C"/>
    <w:rsid w:val="00A62982"/>
    <w:rsid w:val="00A629C4"/>
    <w:rsid w:val="00A629D8"/>
    <w:rsid w:val="00A62AD0"/>
    <w:rsid w:val="00A62B6F"/>
    <w:rsid w:val="00A62B89"/>
    <w:rsid w:val="00A62BE3"/>
    <w:rsid w:val="00A62C19"/>
    <w:rsid w:val="00A62C82"/>
    <w:rsid w:val="00A62C9D"/>
    <w:rsid w:val="00A62FD7"/>
    <w:rsid w:val="00A63149"/>
    <w:rsid w:val="00A631B5"/>
    <w:rsid w:val="00A6323F"/>
    <w:rsid w:val="00A63242"/>
    <w:rsid w:val="00A63397"/>
    <w:rsid w:val="00A633A0"/>
    <w:rsid w:val="00A633CE"/>
    <w:rsid w:val="00A633EF"/>
    <w:rsid w:val="00A635AF"/>
    <w:rsid w:val="00A636F8"/>
    <w:rsid w:val="00A63712"/>
    <w:rsid w:val="00A63741"/>
    <w:rsid w:val="00A63746"/>
    <w:rsid w:val="00A6377E"/>
    <w:rsid w:val="00A637D3"/>
    <w:rsid w:val="00A63963"/>
    <w:rsid w:val="00A6396B"/>
    <w:rsid w:val="00A63A2A"/>
    <w:rsid w:val="00A63AA1"/>
    <w:rsid w:val="00A63AFE"/>
    <w:rsid w:val="00A63E53"/>
    <w:rsid w:val="00A63E63"/>
    <w:rsid w:val="00A63F4F"/>
    <w:rsid w:val="00A640BA"/>
    <w:rsid w:val="00A640DF"/>
    <w:rsid w:val="00A6421C"/>
    <w:rsid w:val="00A64364"/>
    <w:rsid w:val="00A64590"/>
    <w:rsid w:val="00A645A8"/>
    <w:rsid w:val="00A645C0"/>
    <w:rsid w:val="00A645C6"/>
    <w:rsid w:val="00A646D8"/>
    <w:rsid w:val="00A64751"/>
    <w:rsid w:val="00A647BA"/>
    <w:rsid w:val="00A648D8"/>
    <w:rsid w:val="00A64968"/>
    <w:rsid w:val="00A649C1"/>
    <w:rsid w:val="00A649EE"/>
    <w:rsid w:val="00A64A34"/>
    <w:rsid w:val="00A64C2D"/>
    <w:rsid w:val="00A64CEF"/>
    <w:rsid w:val="00A64DB7"/>
    <w:rsid w:val="00A64DF4"/>
    <w:rsid w:val="00A64E68"/>
    <w:rsid w:val="00A64EAA"/>
    <w:rsid w:val="00A64F04"/>
    <w:rsid w:val="00A650B7"/>
    <w:rsid w:val="00A65106"/>
    <w:rsid w:val="00A65244"/>
    <w:rsid w:val="00A65443"/>
    <w:rsid w:val="00A6545A"/>
    <w:rsid w:val="00A654B5"/>
    <w:rsid w:val="00A65549"/>
    <w:rsid w:val="00A6558C"/>
    <w:rsid w:val="00A655DC"/>
    <w:rsid w:val="00A655E0"/>
    <w:rsid w:val="00A6561B"/>
    <w:rsid w:val="00A6561E"/>
    <w:rsid w:val="00A656B9"/>
    <w:rsid w:val="00A657B5"/>
    <w:rsid w:val="00A6581F"/>
    <w:rsid w:val="00A6582E"/>
    <w:rsid w:val="00A65832"/>
    <w:rsid w:val="00A659AC"/>
    <w:rsid w:val="00A65A95"/>
    <w:rsid w:val="00A65AB0"/>
    <w:rsid w:val="00A65B1E"/>
    <w:rsid w:val="00A65BAD"/>
    <w:rsid w:val="00A65BC5"/>
    <w:rsid w:val="00A65BE6"/>
    <w:rsid w:val="00A65C59"/>
    <w:rsid w:val="00A65C5A"/>
    <w:rsid w:val="00A65C60"/>
    <w:rsid w:val="00A65CB0"/>
    <w:rsid w:val="00A65D00"/>
    <w:rsid w:val="00A65D06"/>
    <w:rsid w:val="00A65FAA"/>
    <w:rsid w:val="00A6612A"/>
    <w:rsid w:val="00A66138"/>
    <w:rsid w:val="00A662BA"/>
    <w:rsid w:val="00A6637B"/>
    <w:rsid w:val="00A66424"/>
    <w:rsid w:val="00A6648B"/>
    <w:rsid w:val="00A6649B"/>
    <w:rsid w:val="00A664B3"/>
    <w:rsid w:val="00A6665F"/>
    <w:rsid w:val="00A666BD"/>
    <w:rsid w:val="00A666CA"/>
    <w:rsid w:val="00A6699E"/>
    <w:rsid w:val="00A66A63"/>
    <w:rsid w:val="00A66BDA"/>
    <w:rsid w:val="00A66CE4"/>
    <w:rsid w:val="00A66D03"/>
    <w:rsid w:val="00A66D7D"/>
    <w:rsid w:val="00A66DFF"/>
    <w:rsid w:val="00A66E6E"/>
    <w:rsid w:val="00A66E80"/>
    <w:rsid w:val="00A66F0A"/>
    <w:rsid w:val="00A66F8F"/>
    <w:rsid w:val="00A6703E"/>
    <w:rsid w:val="00A670C5"/>
    <w:rsid w:val="00A67181"/>
    <w:rsid w:val="00A67184"/>
    <w:rsid w:val="00A671B7"/>
    <w:rsid w:val="00A6720B"/>
    <w:rsid w:val="00A67271"/>
    <w:rsid w:val="00A67283"/>
    <w:rsid w:val="00A673BE"/>
    <w:rsid w:val="00A673F6"/>
    <w:rsid w:val="00A67426"/>
    <w:rsid w:val="00A67455"/>
    <w:rsid w:val="00A674C5"/>
    <w:rsid w:val="00A67525"/>
    <w:rsid w:val="00A6757A"/>
    <w:rsid w:val="00A675B9"/>
    <w:rsid w:val="00A675BD"/>
    <w:rsid w:val="00A67644"/>
    <w:rsid w:val="00A6766C"/>
    <w:rsid w:val="00A67673"/>
    <w:rsid w:val="00A676C0"/>
    <w:rsid w:val="00A6771D"/>
    <w:rsid w:val="00A677AB"/>
    <w:rsid w:val="00A6781A"/>
    <w:rsid w:val="00A67835"/>
    <w:rsid w:val="00A67838"/>
    <w:rsid w:val="00A6786B"/>
    <w:rsid w:val="00A67873"/>
    <w:rsid w:val="00A67892"/>
    <w:rsid w:val="00A679AE"/>
    <w:rsid w:val="00A67AB5"/>
    <w:rsid w:val="00A67B50"/>
    <w:rsid w:val="00A67C0E"/>
    <w:rsid w:val="00A67D16"/>
    <w:rsid w:val="00A67D5E"/>
    <w:rsid w:val="00A67D66"/>
    <w:rsid w:val="00A67EB6"/>
    <w:rsid w:val="00A67EE1"/>
    <w:rsid w:val="00A67F47"/>
    <w:rsid w:val="00A67FE6"/>
    <w:rsid w:val="00A67FF8"/>
    <w:rsid w:val="00A700DC"/>
    <w:rsid w:val="00A70241"/>
    <w:rsid w:val="00A70385"/>
    <w:rsid w:val="00A703C3"/>
    <w:rsid w:val="00A70533"/>
    <w:rsid w:val="00A70639"/>
    <w:rsid w:val="00A707F0"/>
    <w:rsid w:val="00A708D9"/>
    <w:rsid w:val="00A7090D"/>
    <w:rsid w:val="00A709C9"/>
    <w:rsid w:val="00A70B0E"/>
    <w:rsid w:val="00A70BAD"/>
    <w:rsid w:val="00A70BD3"/>
    <w:rsid w:val="00A70C23"/>
    <w:rsid w:val="00A70C51"/>
    <w:rsid w:val="00A70C92"/>
    <w:rsid w:val="00A70C96"/>
    <w:rsid w:val="00A70C97"/>
    <w:rsid w:val="00A70CBA"/>
    <w:rsid w:val="00A70CC7"/>
    <w:rsid w:val="00A70D26"/>
    <w:rsid w:val="00A70D9F"/>
    <w:rsid w:val="00A70E3C"/>
    <w:rsid w:val="00A70F54"/>
    <w:rsid w:val="00A70F86"/>
    <w:rsid w:val="00A710A6"/>
    <w:rsid w:val="00A710E2"/>
    <w:rsid w:val="00A71112"/>
    <w:rsid w:val="00A712E2"/>
    <w:rsid w:val="00A7136A"/>
    <w:rsid w:val="00A71392"/>
    <w:rsid w:val="00A715FA"/>
    <w:rsid w:val="00A717B4"/>
    <w:rsid w:val="00A717EC"/>
    <w:rsid w:val="00A71871"/>
    <w:rsid w:val="00A718CE"/>
    <w:rsid w:val="00A719BC"/>
    <w:rsid w:val="00A71A09"/>
    <w:rsid w:val="00A71A12"/>
    <w:rsid w:val="00A71A87"/>
    <w:rsid w:val="00A71BAB"/>
    <w:rsid w:val="00A71BE2"/>
    <w:rsid w:val="00A71DFD"/>
    <w:rsid w:val="00A71FB1"/>
    <w:rsid w:val="00A721BA"/>
    <w:rsid w:val="00A72321"/>
    <w:rsid w:val="00A723E5"/>
    <w:rsid w:val="00A7240F"/>
    <w:rsid w:val="00A724C3"/>
    <w:rsid w:val="00A724C4"/>
    <w:rsid w:val="00A72501"/>
    <w:rsid w:val="00A7259C"/>
    <w:rsid w:val="00A72674"/>
    <w:rsid w:val="00A7268E"/>
    <w:rsid w:val="00A72755"/>
    <w:rsid w:val="00A727E5"/>
    <w:rsid w:val="00A727FC"/>
    <w:rsid w:val="00A72863"/>
    <w:rsid w:val="00A728C2"/>
    <w:rsid w:val="00A72918"/>
    <w:rsid w:val="00A729F3"/>
    <w:rsid w:val="00A72A91"/>
    <w:rsid w:val="00A72B45"/>
    <w:rsid w:val="00A72B5B"/>
    <w:rsid w:val="00A72DE9"/>
    <w:rsid w:val="00A72E5C"/>
    <w:rsid w:val="00A72E7A"/>
    <w:rsid w:val="00A72E9B"/>
    <w:rsid w:val="00A72F51"/>
    <w:rsid w:val="00A72FC1"/>
    <w:rsid w:val="00A731AA"/>
    <w:rsid w:val="00A732C9"/>
    <w:rsid w:val="00A732DF"/>
    <w:rsid w:val="00A7336C"/>
    <w:rsid w:val="00A73371"/>
    <w:rsid w:val="00A733CF"/>
    <w:rsid w:val="00A734D0"/>
    <w:rsid w:val="00A735C3"/>
    <w:rsid w:val="00A735C7"/>
    <w:rsid w:val="00A735F0"/>
    <w:rsid w:val="00A73606"/>
    <w:rsid w:val="00A73753"/>
    <w:rsid w:val="00A7382E"/>
    <w:rsid w:val="00A738A7"/>
    <w:rsid w:val="00A73975"/>
    <w:rsid w:val="00A739B1"/>
    <w:rsid w:val="00A739B9"/>
    <w:rsid w:val="00A73A4D"/>
    <w:rsid w:val="00A73BCD"/>
    <w:rsid w:val="00A73BCF"/>
    <w:rsid w:val="00A73C05"/>
    <w:rsid w:val="00A73CEF"/>
    <w:rsid w:val="00A73D18"/>
    <w:rsid w:val="00A73D44"/>
    <w:rsid w:val="00A73D45"/>
    <w:rsid w:val="00A73D70"/>
    <w:rsid w:val="00A73D7A"/>
    <w:rsid w:val="00A73E03"/>
    <w:rsid w:val="00A73E91"/>
    <w:rsid w:val="00A73F6E"/>
    <w:rsid w:val="00A73FF7"/>
    <w:rsid w:val="00A73FFB"/>
    <w:rsid w:val="00A740F8"/>
    <w:rsid w:val="00A74119"/>
    <w:rsid w:val="00A741A6"/>
    <w:rsid w:val="00A741B7"/>
    <w:rsid w:val="00A742DC"/>
    <w:rsid w:val="00A74472"/>
    <w:rsid w:val="00A74528"/>
    <w:rsid w:val="00A745CD"/>
    <w:rsid w:val="00A74642"/>
    <w:rsid w:val="00A74663"/>
    <w:rsid w:val="00A7469F"/>
    <w:rsid w:val="00A746F7"/>
    <w:rsid w:val="00A74716"/>
    <w:rsid w:val="00A749DD"/>
    <w:rsid w:val="00A74AD9"/>
    <w:rsid w:val="00A74B1B"/>
    <w:rsid w:val="00A74C7B"/>
    <w:rsid w:val="00A74C8A"/>
    <w:rsid w:val="00A74D63"/>
    <w:rsid w:val="00A74E73"/>
    <w:rsid w:val="00A74F07"/>
    <w:rsid w:val="00A74F6E"/>
    <w:rsid w:val="00A74FAB"/>
    <w:rsid w:val="00A74FE0"/>
    <w:rsid w:val="00A750D6"/>
    <w:rsid w:val="00A752A5"/>
    <w:rsid w:val="00A752EA"/>
    <w:rsid w:val="00A7556C"/>
    <w:rsid w:val="00A755A3"/>
    <w:rsid w:val="00A755FE"/>
    <w:rsid w:val="00A756FA"/>
    <w:rsid w:val="00A757E2"/>
    <w:rsid w:val="00A7584B"/>
    <w:rsid w:val="00A758A6"/>
    <w:rsid w:val="00A758DB"/>
    <w:rsid w:val="00A75945"/>
    <w:rsid w:val="00A759E3"/>
    <w:rsid w:val="00A75A46"/>
    <w:rsid w:val="00A75A52"/>
    <w:rsid w:val="00A75B3C"/>
    <w:rsid w:val="00A75B66"/>
    <w:rsid w:val="00A75C09"/>
    <w:rsid w:val="00A75D3A"/>
    <w:rsid w:val="00A75F74"/>
    <w:rsid w:val="00A76080"/>
    <w:rsid w:val="00A760DA"/>
    <w:rsid w:val="00A7614C"/>
    <w:rsid w:val="00A761E1"/>
    <w:rsid w:val="00A761EC"/>
    <w:rsid w:val="00A7620D"/>
    <w:rsid w:val="00A762B6"/>
    <w:rsid w:val="00A76353"/>
    <w:rsid w:val="00A7635C"/>
    <w:rsid w:val="00A7638D"/>
    <w:rsid w:val="00A765B4"/>
    <w:rsid w:val="00A7660A"/>
    <w:rsid w:val="00A767E1"/>
    <w:rsid w:val="00A768A7"/>
    <w:rsid w:val="00A768CF"/>
    <w:rsid w:val="00A76936"/>
    <w:rsid w:val="00A769D7"/>
    <w:rsid w:val="00A769E2"/>
    <w:rsid w:val="00A76A24"/>
    <w:rsid w:val="00A76A6E"/>
    <w:rsid w:val="00A76A7D"/>
    <w:rsid w:val="00A76AD1"/>
    <w:rsid w:val="00A76B2E"/>
    <w:rsid w:val="00A76B41"/>
    <w:rsid w:val="00A76B5E"/>
    <w:rsid w:val="00A76E05"/>
    <w:rsid w:val="00A76E0E"/>
    <w:rsid w:val="00A76F2C"/>
    <w:rsid w:val="00A76F2E"/>
    <w:rsid w:val="00A76FB3"/>
    <w:rsid w:val="00A76FBF"/>
    <w:rsid w:val="00A76FC4"/>
    <w:rsid w:val="00A76FE3"/>
    <w:rsid w:val="00A770BF"/>
    <w:rsid w:val="00A77162"/>
    <w:rsid w:val="00A7717F"/>
    <w:rsid w:val="00A771A2"/>
    <w:rsid w:val="00A7727C"/>
    <w:rsid w:val="00A7744F"/>
    <w:rsid w:val="00A774FE"/>
    <w:rsid w:val="00A77573"/>
    <w:rsid w:val="00A775B8"/>
    <w:rsid w:val="00A776C0"/>
    <w:rsid w:val="00A776DC"/>
    <w:rsid w:val="00A776E5"/>
    <w:rsid w:val="00A7773E"/>
    <w:rsid w:val="00A77857"/>
    <w:rsid w:val="00A77886"/>
    <w:rsid w:val="00A77905"/>
    <w:rsid w:val="00A77A65"/>
    <w:rsid w:val="00A77AFE"/>
    <w:rsid w:val="00A77B9A"/>
    <w:rsid w:val="00A77BF7"/>
    <w:rsid w:val="00A77C62"/>
    <w:rsid w:val="00A77CA7"/>
    <w:rsid w:val="00A77CB2"/>
    <w:rsid w:val="00A77CE8"/>
    <w:rsid w:val="00A77D07"/>
    <w:rsid w:val="00A77D9B"/>
    <w:rsid w:val="00A77F0F"/>
    <w:rsid w:val="00A7A8CB"/>
    <w:rsid w:val="00A8002D"/>
    <w:rsid w:val="00A8009E"/>
    <w:rsid w:val="00A800B5"/>
    <w:rsid w:val="00A800EF"/>
    <w:rsid w:val="00A801CE"/>
    <w:rsid w:val="00A801D6"/>
    <w:rsid w:val="00A801E9"/>
    <w:rsid w:val="00A801F7"/>
    <w:rsid w:val="00A80239"/>
    <w:rsid w:val="00A8025C"/>
    <w:rsid w:val="00A80267"/>
    <w:rsid w:val="00A802DB"/>
    <w:rsid w:val="00A80319"/>
    <w:rsid w:val="00A80376"/>
    <w:rsid w:val="00A8044F"/>
    <w:rsid w:val="00A804AC"/>
    <w:rsid w:val="00A80571"/>
    <w:rsid w:val="00A80604"/>
    <w:rsid w:val="00A807C4"/>
    <w:rsid w:val="00A8081B"/>
    <w:rsid w:val="00A808C2"/>
    <w:rsid w:val="00A80902"/>
    <w:rsid w:val="00A80926"/>
    <w:rsid w:val="00A80982"/>
    <w:rsid w:val="00A80B1C"/>
    <w:rsid w:val="00A80C58"/>
    <w:rsid w:val="00A80C89"/>
    <w:rsid w:val="00A80DDB"/>
    <w:rsid w:val="00A80E8A"/>
    <w:rsid w:val="00A80E9C"/>
    <w:rsid w:val="00A80F99"/>
    <w:rsid w:val="00A80FB4"/>
    <w:rsid w:val="00A80FEE"/>
    <w:rsid w:val="00A81003"/>
    <w:rsid w:val="00A81282"/>
    <w:rsid w:val="00A81295"/>
    <w:rsid w:val="00A812BE"/>
    <w:rsid w:val="00A8130A"/>
    <w:rsid w:val="00A81399"/>
    <w:rsid w:val="00A81456"/>
    <w:rsid w:val="00A8159E"/>
    <w:rsid w:val="00A815F4"/>
    <w:rsid w:val="00A8162B"/>
    <w:rsid w:val="00A81638"/>
    <w:rsid w:val="00A8165D"/>
    <w:rsid w:val="00A816A2"/>
    <w:rsid w:val="00A816D0"/>
    <w:rsid w:val="00A81772"/>
    <w:rsid w:val="00A81853"/>
    <w:rsid w:val="00A818DC"/>
    <w:rsid w:val="00A819F8"/>
    <w:rsid w:val="00A81A57"/>
    <w:rsid w:val="00A81ABE"/>
    <w:rsid w:val="00A81B2E"/>
    <w:rsid w:val="00A81B65"/>
    <w:rsid w:val="00A81C61"/>
    <w:rsid w:val="00A81D04"/>
    <w:rsid w:val="00A81D7F"/>
    <w:rsid w:val="00A81DD9"/>
    <w:rsid w:val="00A82052"/>
    <w:rsid w:val="00A82068"/>
    <w:rsid w:val="00A821FD"/>
    <w:rsid w:val="00A8231F"/>
    <w:rsid w:val="00A82440"/>
    <w:rsid w:val="00A8251D"/>
    <w:rsid w:val="00A8259F"/>
    <w:rsid w:val="00A825F8"/>
    <w:rsid w:val="00A82694"/>
    <w:rsid w:val="00A826D0"/>
    <w:rsid w:val="00A8275A"/>
    <w:rsid w:val="00A828E8"/>
    <w:rsid w:val="00A82943"/>
    <w:rsid w:val="00A82953"/>
    <w:rsid w:val="00A829B1"/>
    <w:rsid w:val="00A82A8F"/>
    <w:rsid w:val="00A82B08"/>
    <w:rsid w:val="00A82B64"/>
    <w:rsid w:val="00A82C67"/>
    <w:rsid w:val="00A82D33"/>
    <w:rsid w:val="00A82D74"/>
    <w:rsid w:val="00A82D82"/>
    <w:rsid w:val="00A82E44"/>
    <w:rsid w:val="00A82F27"/>
    <w:rsid w:val="00A83076"/>
    <w:rsid w:val="00A83105"/>
    <w:rsid w:val="00A83122"/>
    <w:rsid w:val="00A83144"/>
    <w:rsid w:val="00A8334D"/>
    <w:rsid w:val="00A83448"/>
    <w:rsid w:val="00A8375A"/>
    <w:rsid w:val="00A838E7"/>
    <w:rsid w:val="00A8397C"/>
    <w:rsid w:val="00A83998"/>
    <w:rsid w:val="00A83B4C"/>
    <w:rsid w:val="00A83E6C"/>
    <w:rsid w:val="00A83EBD"/>
    <w:rsid w:val="00A83F99"/>
    <w:rsid w:val="00A83FC8"/>
    <w:rsid w:val="00A83FD8"/>
    <w:rsid w:val="00A84022"/>
    <w:rsid w:val="00A84042"/>
    <w:rsid w:val="00A84055"/>
    <w:rsid w:val="00A840EA"/>
    <w:rsid w:val="00A841FF"/>
    <w:rsid w:val="00A84238"/>
    <w:rsid w:val="00A84284"/>
    <w:rsid w:val="00A842F1"/>
    <w:rsid w:val="00A84347"/>
    <w:rsid w:val="00A8435F"/>
    <w:rsid w:val="00A843D4"/>
    <w:rsid w:val="00A844AF"/>
    <w:rsid w:val="00A8456D"/>
    <w:rsid w:val="00A84578"/>
    <w:rsid w:val="00A845E0"/>
    <w:rsid w:val="00A847AC"/>
    <w:rsid w:val="00A8484F"/>
    <w:rsid w:val="00A84883"/>
    <w:rsid w:val="00A8497D"/>
    <w:rsid w:val="00A84A15"/>
    <w:rsid w:val="00A84A1E"/>
    <w:rsid w:val="00A84A38"/>
    <w:rsid w:val="00A84BF7"/>
    <w:rsid w:val="00A84BFE"/>
    <w:rsid w:val="00A84CC5"/>
    <w:rsid w:val="00A84CEB"/>
    <w:rsid w:val="00A84D8E"/>
    <w:rsid w:val="00A84F98"/>
    <w:rsid w:val="00A8504A"/>
    <w:rsid w:val="00A8523D"/>
    <w:rsid w:val="00A85296"/>
    <w:rsid w:val="00A852DE"/>
    <w:rsid w:val="00A853E6"/>
    <w:rsid w:val="00A85439"/>
    <w:rsid w:val="00A85482"/>
    <w:rsid w:val="00A85677"/>
    <w:rsid w:val="00A856D3"/>
    <w:rsid w:val="00A857EF"/>
    <w:rsid w:val="00A858C5"/>
    <w:rsid w:val="00A8590D"/>
    <w:rsid w:val="00A85A2A"/>
    <w:rsid w:val="00A85B39"/>
    <w:rsid w:val="00A85BCB"/>
    <w:rsid w:val="00A85E4C"/>
    <w:rsid w:val="00A85E69"/>
    <w:rsid w:val="00A85E7D"/>
    <w:rsid w:val="00A85F6F"/>
    <w:rsid w:val="00A85FA7"/>
    <w:rsid w:val="00A8605B"/>
    <w:rsid w:val="00A8610C"/>
    <w:rsid w:val="00A861B1"/>
    <w:rsid w:val="00A861CB"/>
    <w:rsid w:val="00A862ED"/>
    <w:rsid w:val="00A86323"/>
    <w:rsid w:val="00A86478"/>
    <w:rsid w:val="00A86546"/>
    <w:rsid w:val="00A8666B"/>
    <w:rsid w:val="00A86747"/>
    <w:rsid w:val="00A8677E"/>
    <w:rsid w:val="00A867BE"/>
    <w:rsid w:val="00A868BA"/>
    <w:rsid w:val="00A869D0"/>
    <w:rsid w:val="00A86A61"/>
    <w:rsid w:val="00A86A77"/>
    <w:rsid w:val="00A86AE9"/>
    <w:rsid w:val="00A86B27"/>
    <w:rsid w:val="00A86B2C"/>
    <w:rsid w:val="00A86C49"/>
    <w:rsid w:val="00A86C9B"/>
    <w:rsid w:val="00A86CEF"/>
    <w:rsid w:val="00A86E07"/>
    <w:rsid w:val="00A86F6B"/>
    <w:rsid w:val="00A86FB6"/>
    <w:rsid w:val="00A8716E"/>
    <w:rsid w:val="00A8717A"/>
    <w:rsid w:val="00A87186"/>
    <w:rsid w:val="00A872AA"/>
    <w:rsid w:val="00A872E9"/>
    <w:rsid w:val="00A87419"/>
    <w:rsid w:val="00A87421"/>
    <w:rsid w:val="00A87568"/>
    <w:rsid w:val="00A87637"/>
    <w:rsid w:val="00A87690"/>
    <w:rsid w:val="00A87712"/>
    <w:rsid w:val="00A8778B"/>
    <w:rsid w:val="00A878EB"/>
    <w:rsid w:val="00A87902"/>
    <w:rsid w:val="00A879A4"/>
    <w:rsid w:val="00A87ACB"/>
    <w:rsid w:val="00A87C27"/>
    <w:rsid w:val="00A87C4B"/>
    <w:rsid w:val="00A87DA3"/>
    <w:rsid w:val="00A87DAB"/>
    <w:rsid w:val="00A87DD8"/>
    <w:rsid w:val="00A87E42"/>
    <w:rsid w:val="00A87EF2"/>
    <w:rsid w:val="00A87F15"/>
    <w:rsid w:val="00A87F29"/>
    <w:rsid w:val="00A90013"/>
    <w:rsid w:val="00A90039"/>
    <w:rsid w:val="00A90044"/>
    <w:rsid w:val="00A90077"/>
    <w:rsid w:val="00A900A3"/>
    <w:rsid w:val="00A901B0"/>
    <w:rsid w:val="00A9021A"/>
    <w:rsid w:val="00A9024A"/>
    <w:rsid w:val="00A9024C"/>
    <w:rsid w:val="00A903A6"/>
    <w:rsid w:val="00A903CB"/>
    <w:rsid w:val="00A903F8"/>
    <w:rsid w:val="00A90488"/>
    <w:rsid w:val="00A904A2"/>
    <w:rsid w:val="00A90500"/>
    <w:rsid w:val="00A9054D"/>
    <w:rsid w:val="00A9061E"/>
    <w:rsid w:val="00A9067B"/>
    <w:rsid w:val="00A90741"/>
    <w:rsid w:val="00A90845"/>
    <w:rsid w:val="00A9091D"/>
    <w:rsid w:val="00A90937"/>
    <w:rsid w:val="00A90A82"/>
    <w:rsid w:val="00A90B06"/>
    <w:rsid w:val="00A90B4E"/>
    <w:rsid w:val="00A90B67"/>
    <w:rsid w:val="00A90BAD"/>
    <w:rsid w:val="00A90BCF"/>
    <w:rsid w:val="00A90C94"/>
    <w:rsid w:val="00A90D63"/>
    <w:rsid w:val="00A90D75"/>
    <w:rsid w:val="00A90DC4"/>
    <w:rsid w:val="00A90DFC"/>
    <w:rsid w:val="00A90E5F"/>
    <w:rsid w:val="00A90EF6"/>
    <w:rsid w:val="00A90F06"/>
    <w:rsid w:val="00A9103A"/>
    <w:rsid w:val="00A910A6"/>
    <w:rsid w:val="00A9123E"/>
    <w:rsid w:val="00A91312"/>
    <w:rsid w:val="00A9162F"/>
    <w:rsid w:val="00A91643"/>
    <w:rsid w:val="00A91652"/>
    <w:rsid w:val="00A9165A"/>
    <w:rsid w:val="00A916E9"/>
    <w:rsid w:val="00A917C9"/>
    <w:rsid w:val="00A917EC"/>
    <w:rsid w:val="00A91801"/>
    <w:rsid w:val="00A91862"/>
    <w:rsid w:val="00A9187E"/>
    <w:rsid w:val="00A9195B"/>
    <w:rsid w:val="00A91ACA"/>
    <w:rsid w:val="00A91BCC"/>
    <w:rsid w:val="00A91BCD"/>
    <w:rsid w:val="00A91C50"/>
    <w:rsid w:val="00A91CAB"/>
    <w:rsid w:val="00A91CB9"/>
    <w:rsid w:val="00A91D8A"/>
    <w:rsid w:val="00A91E72"/>
    <w:rsid w:val="00A91F00"/>
    <w:rsid w:val="00A91F41"/>
    <w:rsid w:val="00A91F95"/>
    <w:rsid w:val="00A91FAC"/>
    <w:rsid w:val="00A92011"/>
    <w:rsid w:val="00A9202C"/>
    <w:rsid w:val="00A9209A"/>
    <w:rsid w:val="00A9220B"/>
    <w:rsid w:val="00A92234"/>
    <w:rsid w:val="00A922A7"/>
    <w:rsid w:val="00A922E8"/>
    <w:rsid w:val="00A9231A"/>
    <w:rsid w:val="00A92459"/>
    <w:rsid w:val="00A9253F"/>
    <w:rsid w:val="00A92651"/>
    <w:rsid w:val="00A926CF"/>
    <w:rsid w:val="00A9295A"/>
    <w:rsid w:val="00A92A66"/>
    <w:rsid w:val="00A92AE6"/>
    <w:rsid w:val="00A92B66"/>
    <w:rsid w:val="00A92C5D"/>
    <w:rsid w:val="00A92C8C"/>
    <w:rsid w:val="00A92CD3"/>
    <w:rsid w:val="00A92CEC"/>
    <w:rsid w:val="00A92D13"/>
    <w:rsid w:val="00A92DC7"/>
    <w:rsid w:val="00A92EDE"/>
    <w:rsid w:val="00A92F95"/>
    <w:rsid w:val="00A93003"/>
    <w:rsid w:val="00A93062"/>
    <w:rsid w:val="00A930B7"/>
    <w:rsid w:val="00A9313D"/>
    <w:rsid w:val="00A931BE"/>
    <w:rsid w:val="00A93263"/>
    <w:rsid w:val="00A933A9"/>
    <w:rsid w:val="00A933D0"/>
    <w:rsid w:val="00A934B7"/>
    <w:rsid w:val="00A9361D"/>
    <w:rsid w:val="00A93664"/>
    <w:rsid w:val="00A936F0"/>
    <w:rsid w:val="00A93770"/>
    <w:rsid w:val="00A9378B"/>
    <w:rsid w:val="00A93826"/>
    <w:rsid w:val="00A938EB"/>
    <w:rsid w:val="00A93925"/>
    <w:rsid w:val="00A939AE"/>
    <w:rsid w:val="00A93A58"/>
    <w:rsid w:val="00A93C19"/>
    <w:rsid w:val="00A93CC6"/>
    <w:rsid w:val="00A93D9A"/>
    <w:rsid w:val="00A93DB5"/>
    <w:rsid w:val="00A93E2F"/>
    <w:rsid w:val="00A93E83"/>
    <w:rsid w:val="00A93EC6"/>
    <w:rsid w:val="00A93F6D"/>
    <w:rsid w:val="00A93F75"/>
    <w:rsid w:val="00A9403D"/>
    <w:rsid w:val="00A9404B"/>
    <w:rsid w:val="00A940A3"/>
    <w:rsid w:val="00A9434B"/>
    <w:rsid w:val="00A9440B"/>
    <w:rsid w:val="00A944C1"/>
    <w:rsid w:val="00A944E3"/>
    <w:rsid w:val="00A94561"/>
    <w:rsid w:val="00A94657"/>
    <w:rsid w:val="00A949B6"/>
    <w:rsid w:val="00A949BB"/>
    <w:rsid w:val="00A949DE"/>
    <w:rsid w:val="00A94A17"/>
    <w:rsid w:val="00A94B18"/>
    <w:rsid w:val="00A94C90"/>
    <w:rsid w:val="00A94D7E"/>
    <w:rsid w:val="00A94DA4"/>
    <w:rsid w:val="00A94E48"/>
    <w:rsid w:val="00A94EB1"/>
    <w:rsid w:val="00A950D1"/>
    <w:rsid w:val="00A951F8"/>
    <w:rsid w:val="00A951FF"/>
    <w:rsid w:val="00A95207"/>
    <w:rsid w:val="00A9531A"/>
    <w:rsid w:val="00A95360"/>
    <w:rsid w:val="00A95514"/>
    <w:rsid w:val="00A9555A"/>
    <w:rsid w:val="00A9555B"/>
    <w:rsid w:val="00A9565E"/>
    <w:rsid w:val="00A956BE"/>
    <w:rsid w:val="00A95728"/>
    <w:rsid w:val="00A95765"/>
    <w:rsid w:val="00A957AF"/>
    <w:rsid w:val="00A95828"/>
    <w:rsid w:val="00A9583E"/>
    <w:rsid w:val="00A9587C"/>
    <w:rsid w:val="00A958DE"/>
    <w:rsid w:val="00A9596C"/>
    <w:rsid w:val="00A959E1"/>
    <w:rsid w:val="00A95A76"/>
    <w:rsid w:val="00A95B37"/>
    <w:rsid w:val="00A95BFC"/>
    <w:rsid w:val="00A95C00"/>
    <w:rsid w:val="00A95C3B"/>
    <w:rsid w:val="00A95D90"/>
    <w:rsid w:val="00A95FBE"/>
    <w:rsid w:val="00A96128"/>
    <w:rsid w:val="00A96151"/>
    <w:rsid w:val="00A961F2"/>
    <w:rsid w:val="00A961FE"/>
    <w:rsid w:val="00A96202"/>
    <w:rsid w:val="00A96296"/>
    <w:rsid w:val="00A9632A"/>
    <w:rsid w:val="00A96369"/>
    <w:rsid w:val="00A963B9"/>
    <w:rsid w:val="00A963EA"/>
    <w:rsid w:val="00A96409"/>
    <w:rsid w:val="00A964D8"/>
    <w:rsid w:val="00A964D9"/>
    <w:rsid w:val="00A964E4"/>
    <w:rsid w:val="00A9658C"/>
    <w:rsid w:val="00A965B0"/>
    <w:rsid w:val="00A96660"/>
    <w:rsid w:val="00A96669"/>
    <w:rsid w:val="00A966F6"/>
    <w:rsid w:val="00A967F7"/>
    <w:rsid w:val="00A96828"/>
    <w:rsid w:val="00A96936"/>
    <w:rsid w:val="00A96941"/>
    <w:rsid w:val="00A96965"/>
    <w:rsid w:val="00A969E0"/>
    <w:rsid w:val="00A96A7E"/>
    <w:rsid w:val="00A96B11"/>
    <w:rsid w:val="00A96CD0"/>
    <w:rsid w:val="00A96CFB"/>
    <w:rsid w:val="00A96D19"/>
    <w:rsid w:val="00A96D7A"/>
    <w:rsid w:val="00A96DD9"/>
    <w:rsid w:val="00A96F15"/>
    <w:rsid w:val="00A96FA4"/>
    <w:rsid w:val="00A96FC2"/>
    <w:rsid w:val="00A97053"/>
    <w:rsid w:val="00A9721B"/>
    <w:rsid w:val="00A972B6"/>
    <w:rsid w:val="00A9730A"/>
    <w:rsid w:val="00A9736F"/>
    <w:rsid w:val="00A97455"/>
    <w:rsid w:val="00A97475"/>
    <w:rsid w:val="00A9747C"/>
    <w:rsid w:val="00A9748A"/>
    <w:rsid w:val="00A974C3"/>
    <w:rsid w:val="00A9751A"/>
    <w:rsid w:val="00A97696"/>
    <w:rsid w:val="00A976A7"/>
    <w:rsid w:val="00A976B1"/>
    <w:rsid w:val="00A976B6"/>
    <w:rsid w:val="00A9771E"/>
    <w:rsid w:val="00A977F5"/>
    <w:rsid w:val="00A97845"/>
    <w:rsid w:val="00A97965"/>
    <w:rsid w:val="00A97976"/>
    <w:rsid w:val="00A97B0D"/>
    <w:rsid w:val="00A97B34"/>
    <w:rsid w:val="00A97B72"/>
    <w:rsid w:val="00A97C6B"/>
    <w:rsid w:val="00A97D87"/>
    <w:rsid w:val="00A97E32"/>
    <w:rsid w:val="00A97F2C"/>
    <w:rsid w:val="00A97F39"/>
    <w:rsid w:val="00A97F76"/>
    <w:rsid w:val="00AA009F"/>
    <w:rsid w:val="00AA00DB"/>
    <w:rsid w:val="00AA0128"/>
    <w:rsid w:val="00AA017D"/>
    <w:rsid w:val="00AA0216"/>
    <w:rsid w:val="00AA0227"/>
    <w:rsid w:val="00AA02E4"/>
    <w:rsid w:val="00AA03D4"/>
    <w:rsid w:val="00AA0420"/>
    <w:rsid w:val="00AA0471"/>
    <w:rsid w:val="00AA0487"/>
    <w:rsid w:val="00AA05EB"/>
    <w:rsid w:val="00AA06D4"/>
    <w:rsid w:val="00AA071A"/>
    <w:rsid w:val="00AA0866"/>
    <w:rsid w:val="00AA08AF"/>
    <w:rsid w:val="00AA09B1"/>
    <w:rsid w:val="00AA0B1A"/>
    <w:rsid w:val="00AA0B2E"/>
    <w:rsid w:val="00AA0B86"/>
    <w:rsid w:val="00AA0CD1"/>
    <w:rsid w:val="00AA0DF2"/>
    <w:rsid w:val="00AA0E0F"/>
    <w:rsid w:val="00AA0EC5"/>
    <w:rsid w:val="00AA1045"/>
    <w:rsid w:val="00AA10AD"/>
    <w:rsid w:val="00AA1238"/>
    <w:rsid w:val="00AA1247"/>
    <w:rsid w:val="00AA1248"/>
    <w:rsid w:val="00AA1288"/>
    <w:rsid w:val="00AA12C8"/>
    <w:rsid w:val="00AA1338"/>
    <w:rsid w:val="00AA1405"/>
    <w:rsid w:val="00AA144C"/>
    <w:rsid w:val="00AA14E9"/>
    <w:rsid w:val="00AA1529"/>
    <w:rsid w:val="00AA15C7"/>
    <w:rsid w:val="00AA15F9"/>
    <w:rsid w:val="00AA160E"/>
    <w:rsid w:val="00AA1678"/>
    <w:rsid w:val="00AA1748"/>
    <w:rsid w:val="00AA17E9"/>
    <w:rsid w:val="00AA18F9"/>
    <w:rsid w:val="00AA1914"/>
    <w:rsid w:val="00AA1A01"/>
    <w:rsid w:val="00AA1A05"/>
    <w:rsid w:val="00AA1A79"/>
    <w:rsid w:val="00AA1B88"/>
    <w:rsid w:val="00AA1BF0"/>
    <w:rsid w:val="00AA1D87"/>
    <w:rsid w:val="00AA1DB7"/>
    <w:rsid w:val="00AA1DED"/>
    <w:rsid w:val="00AA1E01"/>
    <w:rsid w:val="00AA1E59"/>
    <w:rsid w:val="00AA1EE8"/>
    <w:rsid w:val="00AA21BD"/>
    <w:rsid w:val="00AA220B"/>
    <w:rsid w:val="00AA2252"/>
    <w:rsid w:val="00AA227C"/>
    <w:rsid w:val="00AA2426"/>
    <w:rsid w:val="00AA248C"/>
    <w:rsid w:val="00AA2527"/>
    <w:rsid w:val="00AA2557"/>
    <w:rsid w:val="00AA255B"/>
    <w:rsid w:val="00AA2574"/>
    <w:rsid w:val="00AA265B"/>
    <w:rsid w:val="00AA2728"/>
    <w:rsid w:val="00AA2876"/>
    <w:rsid w:val="00AA2921"/>
    <w:rsid w:val="00AA29AE"/>
    <w:rsid w:val="00AA2AEB"/>
    <w:rsid w:val="00AA2D2D"/>
    <w:rsid w:val="00AA2D6C"/>
    <w:rsid w:val="00AA2DDE"/>
    <w:rsid w:val="00AA2E3F"/>
    <w:rsid w:val="00AA2E64"/>
    <w:rsid w:val="00AA2EF1"/>
    <w:rsid w:val="00AA2F90"/>
    <w:rsid w:val="00AA2FC1"/>
    <w:rsid w:val="00AA2FC9"/>
    <w:rsid w:val="00AA3044"/>
    <w:rsid w:val="00AA317E"/>
    <w:rsid w:val="00AA31AC"/>
    <w:rsid w:val="00AA31F4"/>
    <w:rsid w:val="00AA32C1"/>
    <w:rsid w:val="00AA332C"/>
    <w:rsid w:val="00AA33A8"/>
    <w:rsid w:val="00AA33E1"/>
    <w:rsid w:val="00AA33E6"/>
    <w:rsid w:val="00AA3413"/>
    <w:rsid w:val="00AA3434"/>
    <w:rsid w:val="00AA3466"/>
    <w:rsid w:val="00AA34D2"/>
    <w:rsid w:val="00AA3527"/>
    <w:rsid w:val="00AA3582"/>
    <w:rsid w:val="00AA35E7"/>
    <w:rsid w:val="00AA362B"/>
    <w:rsid w:val="00AA3676"/>
    <w:rsid w:val="00AA367E"/>
    <w:rsid w:val="00AA37EA"/>
    <w:rsid w:val="00AA37EF"/>
    <w:rsid w:val="00AA37F2"/>
    <w:rsid w:val="00AA3823"/>
    <w:rsid w:val="00AA3895"/>
    <w:rsid w:val="00AA39F8"/>
    <w:rsid w:val="00AA3B70"/>
    <w:rsid w:val="00AA3BD2"/>
    <w:rsid w:val="00AA3C08"/>
    <w:rsid w:val="00AA3C2F"/>
    <w:rsid w:val="00AA3CD4"/>
    <w:rsid w:val="00AA3D39"/>
    <w:rsid w:val="00AA3D63"/>
    <w:rsid w:val="00AA3E7F"/>
    <w:rsid w:val="00AA3F75"/>
    <w:rsid w:val="00AA3FDB"/>
    <w:rsid w:val="00AA3FF3"/>
    <w:rsid w:val="00AA4062"/>
    <w:rsid w:val="00AA40F5"/>
    <w:rsid w:val="00AA4229"/>
    <w:rsid w:val="00AA427F"/>
    <w:rsid w:val="00AA429F"/>
    <w:rsid w:val="00AA4516"/>
    <w:rsid w:val="00AA46C0"/>
    <w:rsid w:val="00AA4704"/>
    <w:rsid w:val="00AA470C"/>
    <w:rsid w:val="00AA476C"/>
    <w:rsid w:val="00AA4779"/>
    <w:rsid w:val="00AA487A"/>
    <w:rsid w:val="00AA48B3"/>
    <w:rsid w:val="00AA4A43"/>
    <w:rsid w:val="00AA4A8C"/>
    <w:rsid w:val="00AA4AAB"/>
    <w:rsid w:val="00AA4B06"/>
    <w:rsid w:val="00AA4B26"/>
    <w:rsid w:val="00AA4C26"/>
    <w:rsid w:val="00AA4C55"/>
    <w:rsid w:val="00AA4CBC"/>
    <w:rsid w:val="00AA4CEB"/>
    <w:rsid w:val="00AA4D2F"/>
    <w:rsid w:val="00AA4E02"/>
    <w:rsid w:val="00AA4E06"/>
    <w:rsid w:val="00AA4F0C"/>
    <w:rsid w:val="00AA4F63"/>
    <w:rsid w:val="00AA50C4"/>
    <w:rsid w:val="00AA523A"/>
    <w:rsid w:val="00AA529D"/>
    <w:rsid w:val="00AA52F8"/>
    <w:rsid w:val="00AA5300"/>
    <w:rsid w:val="00AA534A"/>
    <w:rsid w:val="00AA5403"/>
    <w:rsid w:val="00AA5427"/>
    <w:rsid w:val="00AA54BA"/>
    <w:rsid w:val="00AA54C7"/>
    <w:rsid w:val="00AA552E"/>
    <w:rsid w:val="00AA5636"/>
    <w:rsid w:val="00AA5685"/>
    <w:rsid w:val="00AA5695"/>
    <w:rsid w:val="00AA56BB"/>
    <w:rsid w:val="00AA56E8"/>
    <w:rsid w:val="00AA56EB"/>
    <w:rsid w:val="00AA5791"/>
    <w:rsid w:val="00AA588C"/>
    <w:rsid w:val="00AA58B5"/>
    <w:rsid w:val="00AA5AD2"/>
    <w:rsid w:val="00AA5B8D"/>
    <w:rsid w:val="00AA5CD1"/>
    <w:rsid w:val="00AA5D85"/>
    <w:rsid w:val="00AA5DF4"/>
    <w:rsid w:val="00AA5DFB"/>
    <w:rsid w:val="00AA60A0"/>
    <w:rsid w:val="00AA611E"/>
    <w:rsid w:val="00AA62DA"/>
    <w:rsid w:val="00AA62EE"/>
    <w:rsid w:val="00AA6361"/>
    <w:rsid w:val="00AA6459"/>
    <w:rsid w:val="00AA64B2"/>
    <w:rsid w:val="00AA64CC"/>
    <w:rsid w:val="00AA65CA"/>
    <w:rsid w:val="00AA66B5"/>
    <w:rsid w:val="00AA66F3"/>
    <w:rsid w:val="00AA66FF"/>
    <w:rsid w:val="00AA679E"/>
    <w:rsid w:val="00AA6923"/>
    <w:rsid w:val="00AA6A4B"/>
    <w:rsid w:val="00AA6A81"/>
    <w:rsid w:val="00AA6C1D"/>
    <w:rsid w:val="00AA6C41"/>
    <w:rsid w:val="00AA6C58"/>
    <w:rsid w:val="00AA6CCE"/>
    <w:rsid w:val="00AA6DA0"/>
    <w:rsid w:val="00AA6DE9"/>
    <w:rsid w:val="00AA6E00"/>
    <w:rsid w:val="00AA6E23"/>
    <w:rsid w:val="00AA6FB6"/>
    <w:rsid w:val="00AA6FB7"/>
    <w:rsid w:val="00AA6FE0"/>
    <w:rsid w:val="00AA7028"/>
    <w:rsid w:val="00AA7070"/>
    <w:rsid w:val="00AA70D4"/>
    <w:rsid w:val="00AA710C"/>
    <w:rsid w:val="00AA7334"/>
    <w:rsid w:val="00AA73D1"/>
    <w:rsid w:val="00AA73D2"/>
    <w:rsid w:val="00AA743C"/>
    <w:rsid w:val="00AA7461"/>
    <w:rsid w:val="00AA7494"/>
    <w:rsid w:val="00AA74C1"/>
    <w:rsid w:val="00AA751A"/>
    <w:rsid w:val="00AA7523"/>
    <w:rsid w:val="00AA75E4"/>
    <w:rsid w:val="00AA766F"/>
    <w:rsid w:val="00AA7684"/>
    <w:rsid w:val="00AA773B"/>
    <w:rsid w:val="00AA7768"/>
    <w:rsid w:val="00AA77D8"/>
    <w:rsid w:val="00AA7805"/>
    <w:rsid w:val="00AA78BE"/>
    <w:rsid w:val="00AA7A4A"/>
    <w:rsid w:val="00AA7A5E"/>
    <w:rsid w:val="00AA7A66"/>
    <w:rsid w:val="00AA7ADB"/>
    <w:rsid w:val="00AA7B44"/>
    <w:rsid w:val="00AA7BAE"/>
    <w:rsid w:val="00AA7C27"/>
    <w:rsid w:val="00AA7C3A"/>
    <w:rsid w:val="00AA7C61"/>
    <w:rsid w:val="00AA7CF2"/>
    <w:rsid w:val="00AA7E09"/>
    <w:rsid w:val="00AA7EE6"/>
    <w:rsid w:val="00AB0062"/>
    <w:rsid w:val="00AB00CB"/>
    <w:rsid w:val="00AB0187"/>
    <w:rsid w:val="00AB01F8"/>
    <w:rsid w:val="00AB0210"/>
    <w:rsid w:val="00AB023D"/>
    <w:rsid w:val="00AB03AF"/>
    <w:rsid w:val="00AB03F5"/>
    <w:rsid w:val="00AB0693"/>
    <w:rsid w:val="00AB06E8"/>
    <w:rsid w:val="00AB0719"/>
    <w:rsid w:val="00AB077A"/>
    <w:rsid w:val="00AB07D7"/>
    <w:rsid w:val="00AB07EA"/>
    <w:rsid w:val="00AB08D1"/>
    <w:rsid w:val="00AB090E"/>
    <w:rsid w:val="00AB092C"/>
    <w:rsid w:val="00AB0941"/>
    <w:rsid w:val="00AB09D3"/>
    <w:rsid w:val="00AB0AC1"/>
    <w:rsid w:val="00AB0B00"/>
    <w:rsid w:val="00AB0C70"/>
    <w:rsid w:val="00AB0CA1"/>
    <w:rsid w:val="00AB0CA8"/>
    <w:rsid w:val="00AB0CE0"/>
    <w:rsid w:val="00AB0CEC"/>
    <w:rsid w:val="00AB0DCC"/>
    <w:rsid w:val="00AB0E58"/>
    <w:rsid w:val="00AB1022"/>
    <w:rsid w:val="00AB105F"/>
    <w:rsid w:val="00AB1178"/>
    <w:rsid w:val="00AB121A"/>
    <w:rsid w:val="00AB1437"/>
    <w:rsid w:val="00AB1463"/>
    <w:rsid w:val="00AB14BF"/>
    <w:rsid w:val="00AB1501"/>
    <w:rsid w:val="00AB15F0"/>
    <w:rsid w:val="00AB16CC"/>
    <w:rsid w:val="00AB17AA"/>
    <w:rsid w:val="00AB17E3"/>
    <w:rsid w:val="00AB192D"/>
    <w:rsid w:val="00AB1AAC"/>
    <w:rsid w:val="00AB1AF0"/>
    <w:rsid w:val="00AB1B29"/>
    <w:rsid w:val="00AB1B41"/>
    <w:rsid w:val="00AB1C0C"/>
    <w:rsid w:val="00AB1C25"/>
    <w:rsid w:val="00AB1C5A"/>
    <w:rsid w:val="00AB1E85"/>
    <w:rsid w:val="00AB1F3F"/>
    <w:rsid w:val="00AB1FC8"/>
    <w:rsid w:val="00AB20D3"/>
    <w:rsid w:val="00AB20F0"/>
    <w:rsid w:val="00AB21CC"/>
    <w:rsid w:val="00AB22C9"/>
    <w:rsid w:val="00AB22CD"/>
    <w:rsid w:val="00AB22F8"/>
    <w:rsid w:val="00AB232D"/>
    <w:rsid w:val="00AB2344"/>
    <w:rsid w:val="00AB2431"/>
    <w:rsid w:val="00AB2441"/>
    <w:rsid w:val="00AB25D4"/>
    <w:rsid w:val="00AB264C"/>
    <w:rsid w:val="00AB26E7"/>
    <w:rsid w:val="00AB2703"/>
    <w:rsid w:val="00AB28B5"/>
    <w:rsid w:val="00AB28C5"/>
    <w:rsid w:val="00AB28F2"/>
    <w:rsid w:val="00AB2A27"/>
    <w:rsid w:val="00AB2A9C"/>
    <w:rsid w:val="00AB2B07"/>
    <w:rsid w:val="00AB2BA3"/>
    <w:rsid w:val="00AB2BA9"/>
    <w:rsid w:val="00AB2C72"/>
    <w:rsid w:val="00AB2D16"/>
    <w:rsid w:val="00AB2E1B"/>
    <w:rsid w:val="00AB2E79"/>
    <w:rsid w:val="00AB2F45"/>
    <w:rsid w:val="00AB30F2"/>
    <w:rsid w:val="00AB3170"/>
    <w:rsid w:val="00AB31A4"/>
    <w:rsid w:val="00AB31DB"/>
    <w:rsid w:val="00AB322B"/>
    <w:rsid w:val="00AB32DC"/>
    <w:rsid w:val="00AB33A7"/>
    <w:rsid w:val="00AB33D0"/>
    <w:rsid w:val="00AB3410"/>
    <w:rsid w:val="00AB3447"/>
    <w:rsid w:val="00AB35CE"/>
    <w:rsid w:val="00AB35FC"/>
    <w:rsid w:val="00AB3625"/>
    <w:rsid w:val="00AB36FC"/>
    <w:rsid w:val="00AB3708"/>
    <w:rsid w:val="00AB3865"/>
    <w:rsid w:val="00AB38C7"/>
    <w:rsid w:val="00AB3957"/>
    <w:rsid w:val="00AB39A4"/>
    <w:rsid w:val="00AB3A64"/>
    <w:rsid w:val="00AB3A7C"/>
    <w:rsid w:val="00AB3B66"/>
    <w:rsid w:val="00AB3C1B"/>
    <w:rsid w:val="00AB3C1E"/>
    <w:rsid w:val="00AB3C71"/>
    <w:rsid w:val="00AB3CC6"/>
    <w:rsid w:val="00AB3CEB"/>
    <w:rsid w:val="00AB3D0A"/>
    <w:rsid w:val="00AB3D0B"/>
    <w:rsid w:val="00AB3D10"/>
    <w:rsid w:val="00AB3D2A"/>
    <w:rsid w:val="00AB3D3B"/>
    <w:rsid w:val="00AB3D92"/>
    <w:rsid w:val="00AB3D95"/>
    <w:rsid w:val="00AB3DC4"/>
    <w:rsid w:val="00AB3E52"/>
    <w:rsid w:val="00AB3E72"/>
    <w:rsid w:val="00AB3F87"/>
    <w:rsid w:val="00AB3FC1"/>
    <w:rsid w:val="00AB4059"/>
    <w:rsid w:val="00AB4073"/>
    <w:rsid w:val="00AB42C7"/>
    <w:rsid w:val="00AB43BF"/>
    <w:rsid w:val="00AB43E0"/>
    <w:rsid w:val="00AB43FC"/>
    <w:rsid w:val="00AB445B"/>
    <w:rsid w:val="00AB450D"/>
    <w:rsid w:val="00AB4534"/>
    <w:rsid w:val="00AB453E"/>
    <w:rsid w:val="00AB459F"/>
    <w:rsid w:val="00AB45D2"/>
    <w:rsid w:val="00AB45E5"/>
    <w:rsid w:val="00AB45EB"/>
    <w:rsid w:val="00AB4697"/>
    <w:rsid w:val="00AB469D"/>
    <w:rsid w:val="00AB4730"/>
    <w:rsid w:val="00AB47CF"/>
    <w:rsid w:val="00AB48FE"/>
    <w:rsid w:val="00AB492B"/>
    <w:rsid w:val="00AB4933"/>
    <w:rsid w:val="00AB4A9B"/>
    <w:rsid w:val="00AB4B53"/>
    <w:rsid w:val="00AB4BEF"/>
    <w:rsid w:val="00AB4C6B"/>
    <w:rsid w:val="00AB4CA4"/>
    <w:rsid w:val="00AB4D67"/>
    <w:rsid w:val="00AB4D96"/>
    <w:rsid w:val="00AB4E8F"/>
    <w:rsid w:val="00AB4FCD"/>
    <w:rsid w:val="00AB517A"/>
    <w:rsid w:val="00AB519F"/>
    <w:rsid w:val="00AB51B8"/>
    <w:rsid w:val="00AB51C8"/>
    <w:rsid w:val="00AB52BE"/>
    <w:rsid w:val="00AB5332"/>
    <w:rsid w:val="00AB54E7"/>
    <w:rsid w:val="00AB5513"/>
    <w:rsid w:val="00AB555E"/>
    <w:rsid w:val="00AB5564"/>
    <w:rsid w:val="00AB55BF"/>
    <w:rsid w:val="00AB5659"/>
    <w:rsid w:val="00AB579C"/>
    <w:rsid w:val="00AB5985"/>
    <w:rsid w:val="00AB598B"/>
    <w:rsid w:val="00AB5A40"/>
    <w:rsid w:val="00AB5AD2"/>
    <w:rsid w:val="00AB5C66"/>
    <w:rsid w:val="00AB5C8D"/>
    <w:rsid w:val="00AB5DA6"/>
    <w:rsid w:val="00AB5DDB"/>
    <w:rsid w:val="00AB5E7A"/>
    <w:rsid w:val="00AB5F37"/>
    <w:rsid w:val="00AB5F80"/>
    <w:rsid w:val="00AB60A7"/>
    <w:rsid w:val="00AB615F"/>
    <w:rsid w:val="00AB61EB"/>
    <w:rsid w:val="00AB6279"/>
    <w:rsid w:val="00AB62C6"/>
    <w:rsid w:val="00AB638C"/>
    <w:rsid w:val="00AB6444"/>
    <w:rsid w:val="00AB6604"/>
    <w:rsid w:val="00AB6637"/>
    <w:rsid w:val="00AB66BC"/>
    <w:rsid w:val="00AB6706"/>
    <w:rsid w:val="00AB6808"/>
    <w:rsid w:val="00AB6907"/>
    <w:rsid w:val="00AB6A2D"/>
    <w:rsid w:val="00AB6A41"/>
    <w:rsid w:val="00AB6A87"/>
    <w:rsid w:val="00AB6B76"/>
    <w:rsid w:val="00AB6DBF"/>
    <w:rsid w:val="00AB6E1C"/>
    <w:rsid w:val="00AB6F4B"/>
    <w:rsid w:val="00AB6FBF"/>
    <w:rsid w:val="00AB6FF4"/>
    <w:rsid w:val="00AB7050"/>
    <w:rsid w:val="00AB70BA"/>
    <w:rsid w:val="00AB70D3"/>
    <w:rsid w:val="00AB7194"/>
    <w:rsid w:val="00AB71AA"/>
    <w:rsid w:val="00AB737E"/>
    <w:rsid w:val="00AB7503"/>
    <w:rsid w:val="00AB750A"/>
    <w:rsid w:val="00AB7524"/>
    <w:rsid w:val="00AB75A9"/>
    <w:rsid w:val="00AB75E4"/>
    <w:rsid w:val="00AB779E"/>
    <w:rsid w:val="00AB77AB"/>
    <w:rsid w:val="00AB7875"/>
    <w:rsid w:val="00AB78D2"/>
    <w:rsid w:val="00AB7919"/>
    <w:rsid w:val="00AB7A35"/>
    <w:rsid w:val="00AB7A5E"/>
    <w:rsid w:val="00AB7AEF"/>
    <w:rsid w:val="00AB7C9F"/>
    <w:rsid w:val="00AB7D44"/>
    <w:rsid w:val="00AB7D5E"/>
    <w:rsid w:val="00AB7D73"/>
    <w:rsid w:val="00AB7D83"/>
    <w:rsid w:val="00AB7F06"/>
    <w:rsid w:val="00AB7FA0"/>
    <w:rsid w:val="00AC00A3"/>
    <w:rsid w:val="00AC00EB"/>
    <w:rsid w:val="00AC0116"/>
    <w:rsid w:val="00AC0121"/>
    <w:rsid w:val="00AC018F"/>
    <w:rsid w:val="00AC029C"/>
    <w:rsid w:val="00AC02A8"/>
    <w:rsid w:val="00AC02BF"/>
    <w:rsid w:val="00AC0340"/>
    <w:rsid w:val="00AC0347"/>
    <w:rsid w:val="00AC0603"/>
    <w:rsid w:val="00AC066C"/>
    <w:rsid w:val="00AC07C0"/>
    <w:rsid w:val="00AC07CC"/>
    <w:rsid w:val="00AC084E"/>
    <w:rsid w:val="00AC08AB"/>
    <w:rsid w:val="00AC0956"/>
    <w:rsid w:val="00AC09F3"/>
    <w:rsid w:val="00AC0AF4"/>
    <w:rsid w:val="00AC0B39"/>
    <w:rsid w:val="00AC0D79"/>
    <w:rsid w:val="00AC0E05"/>
    <w:rsid w:val="00AC0F08"/>
    <w:rsid w:val="00AC10C2"/>
    <w:rsid w:val="00AC10D9"/>
    <w:rsid w:val="00AC10EA"/>
    <w:rsid w:val="00AC1101"/>
    <w:rsid w:val="00AC1104"/>
    <w:rsid w:val="00AC1166"/>
    <w:rsid w:val="00AC134E"/>
    <w:rsid w:val="00AC13BB"/>
    <w:rsid w:val="00AC13D8"/>
    <w:rsid w:val="00AC13EB"/>
    <w:rsid w:val="00AC148F"/>
    <w:rsid w:val="00AC15F8"/>
    <w:rsid w:val="00AC1619"/>
    <w:rsid w:val="00AC1728"/>
    <w:rsid w:val="00AC1739"/>
    <w:rsid w:val="00AC17BB"/>
    <w:rsid w:val="00AC17D5"/>
    <w:rsid w:val="00AC1887"/>
    <w:rsid w:val="00AC1951"/>
    <w:rsid w:val="00AC1960"/>
    <w:rsid w:val="00AC197B"/>
    <w:rsid w:val="00AC1AAD"/>
    <w:rsid w:val="00AC1AB1"/>
    <w:rsid w:val="00AC1ACF"/>
    <w:rsid w:val="00AC1CE1"/>
    <w:rsid w:val="00AC1DB1"/>
    <w:rsid w:val="00AC1E05"/>
    <w:rsid w:val="00AC1F36"/>
    <w:rsid w:val="00AC1F9B"/>
    <w:rsid w:val="00AC1FBC"/>
    <w:rsid w:val="00AC21C8"/>
    <w:rsid w:val="00AC2276"/>
    <w:rsid w:val="00AC22F4"/>
    <w:rsid w:val="00AC2396"/>
    <w:rsid w:val="00AC25FE"/>
    <w:rsid w:val="00AC26F5"/>
    <w:rsid w:val="00AC2727"/>
    <w:rsid w:val="00AC27F1"/>
    <w:rsid w:val="00AC2891"/>
    <w:rsid w:val="00AC28D4"/>
    <w:rsid w:val="00AC28EC"/>
    <w:rsid w:val="00AC2970"/>
    <w:rsid w:val="00AC2A4E"/>
    <w:rsid w:val="00AC2B29"/>
    <w:rsid w:val="00AC2C30"/>
    <w:rsid w:val="00AC2C52"/>
    <w:rsid w:val="00AC2CA7"/>
    <w:rsid w:val="00AC2CEC"/>
    <w:rsid w:val="00AC2D19"/>
    <w:rsid w:val="00AC2D3B"/>
    <w:rsid w:val="00AC2D72"/>
    <w:rsid w:val="00AC2DEB"/>
    <w:rsid w:val="00AC30FF"/>
    <w:rsid w:val="00AC31F1"/>
    <w:rsid w:val="00AC31F7"/>
    <w:rsid w:val="00AC325C"/>
    <w:rsid w:val="00AC3268"/>
    <w:rsid w:val="00AC32DB"/>
    <w:rsid w:val="00AC3440"/>
    <w:rsid w:val="00AC3498"/>
    <w:rsid w:val="00AC351F"/>
    <w:rsid w:val="00AC358F"/>
    <w:rsid w:val="00AC35E6"/>
    <w:rsid w:val="00AC361E"/>
    <w:rsid w:val="00AC371B"/>
    <w:rsid w:val="00AC3869"/>
    <w:rsid w:val="00AC3B5D"/>
    <w:rsid w:val="00AC3CAE"/>
    <w:rsid w:val="00AC3CCF"/>
    <w:rsid w:val="00AC3D06"/>
    <w:rsid w:val="00AC3DEA"/>
    <w:rsid w:val="00AC3ED9"/>
    <w:rsid w:val="00AC3F6F"/>
    <w:rsid w:val="00AC3F9B"/>
    <w:rsid w:val="00AC4014"/>
    <w:rsid w:val="00AC40F6"/>
    <w:rsid w:val="00AC419A"/>
    <w:rsid w:val="00AC4245"/>
    <w:rsid w:val="00AC448A"/>
    <w:rsid w:val="00AC44A5"/>
    <w:rsid w:val="00AC46D3"/>
    <w:rsid w:val="00AC4703"/>
    <w:rsid w:val="00AC4743"/>
    <w:rsid w:val="00AC48F2"/>
    <w:rsid w:val="00AC49A9"/>
    <w:rsid w:val="00AC4B08"/>
    <w:rsid w:val="00AC4B78"/>
    <w:rsid w:val="00AC4BB8"/>
    <w:rsid w:val="00AC4BCC"/>
    <w:rsid w:val="00AC4BE7"/>
    <w:rsid w:val="00AC4C1E"/>
    <w:rsid w:val="00AC4D26"/>
    <w:rsid w:val="00AC4D61"/>
    <w:rsid w:val="00AC4DAE"/>
    <w:rsid w:val="00AC4E63"/>
    <w:rsid w:val="00AC4EAD"/>
    <w:rsid w:val="00AC4EC9"/>
    <w:rsid w:val="00AC4ED3"/>
    <w:rsid w:val="00AC4EE3"/>
    <w:rsid w:val="00AC4F00"/>
    <w:rsid w:val="00AC5063"/>
    <w:rsid w:val="00AC51EB"/>
    <w:rsid w:val="00AC51ED"/>
    <w:rsid w:val="00AC5392"/>
    <w:rsid w:val="00AC53D3"/>
    <w:rsid w:val="00AC54B8"/>
    <w:rsid w:val="00AC54BB"/>
    <w:rsid w:val="00AC54D9"/>
    <w:rsid w:val="00AC553A"/>
    <w:rsid w:val="00AC5542"/>
    <w:rsid w:val="00AC5653"/>
    <w:rsid w:val="00AC565A"/>
    <w:rsid w:val="00AC5675"/>
    <w:rsid w:val="00AC568D"/>
    <w:rsid w:val="00AC570C"/>
    <w:rsid w:val="00AC572C"/>
    <w:rsid w:val="00AC57FB"/>
    <w:rsid w:val="00AC5891"/>
    <w:rsid w:val="00AC58A9"/>
    <w:rsid w:val="00AC5A40"/>
    <w:rsid w:val="00AC5C57"/>
    <w:rsid w:val="00AC5F14"/>
    <w:rsid w:val="00AC5F38"/>
    <w:rsid w:val="00AC5F3D"/>
    <w:rsid w:val="00AC5FE1"/>
    <w:rsid w:val="00AC5FFE"/>
    <w:rsid w:val="00AC604C"/>
    <w:rsid w:val="00AC60A9"/>
    <w:rsid w:val="00AC6145"/>
    <w:rsid w:val="00AC6192"/>
    <w:rsid w:val="00AC6202"/>
    <w:rsid w:val="00AC62A4"/>
    <w:rsid w:val="00AC62C3"/>
    <w:rsid w:val="00AC6367"/>
    <w:rsid w:val="00AC6383"/>
    <w:rsid w:val="00AC64A4"/>
    <w:rsid w:val="00AC6524"/>
    <w:rsid w:val="00AC6548"/>
    <w:rsid w:val="00AC6559"/>
    <w:rsid w:val="00AC6642"/>
    <w:rsid w:val="00AC666C"/>
    <w:rsid w:val="00AC67BD"/>
    <w:rsid w:val="00AC67FC"/>
    <w:rsid w:val="00AC6878"/>
    <w:rsid w:val="00AC690F"/>
    <w:rsid w:val="00AC6945"/>
    <w:rsid w:val="00AC6A5F"/>
    <w:rsid w:val="00AC6BFC"/>
    <w:rsid w:val="00AC6CC7"/>
    <w:rsid w:val="00AC6D58"/>
    <w:rsid w:val="00AC6DE2"/>
    <w:rsid w:val="00AC6E39"/>
    <w:rsid w:val="00AC6E94"/>
    <w:rsid w:val="00AC70CB"/>
    <w:rsid w:val="00AC7170"/>
    <w:rsid w:val="00AC717B"/>
    <w:rsid w:val="00AC722A"/>
    <w:rsid w:val="00AC723F"/>
    <w:rsid w:val="00AC7371"/>
    <w:rsid w:val="00AC74D4"/>
    <w:rsid w:val="00AC756C"/>
    <w:rsid w:val="00AC7620"/>
    <w:rsid w:val="00AC7638"/>
    <w:rsid w:val="00AC7647"/>
    <w:rsid w:val="00AC7662"/>
    <w:rsid w:val="00AC7760"/>
    <w:rsid w:val="00AC7866"/>
    <w:rsid w:val="00AC7889"/>
    <w:rsid w:val="00AC7909"/>
    <w:rsid w:val="00AC7943"/>
    <w:rsid w:val="00AC7A06"/>
    <w:rsid w:val="00AC7A8C"/>
    <w:rsid w:val="00AC7B72"/>
    <w:rsid w:val="00AC7CD9"/>
    <w:rsid w:val="00AC7EA7"/>
    <w:rsid w:val="00AC7F1C"/>
    <w:rsid w:val="00AC7F54"/>
    <w:rsid w:val="00AC7FD3"/>
    <w:rsid w:val="00AD0025"/>
    <w:rsid w:val="00AD0103"/>
    <w:rsid w:val="00AD0115"/>
    <w:rsid w:val="00AD0154"/>
    <w:rsid w:val="00AD020E"/>
    <w:rsid w:val="00AD0210"/>
    <w:rsid w:val="00AD03B6"/>
    <w:rsid w:val="00AD043F"/>
    <w:rsid w:val="00AD04DE"/>
    <w:rsid w:val="00AD08D0"/>
    <w:rsid w:val="00AD0AC2"/>
    <w:rsid w:val="00AD0AEF"/>
    <w:rsid w:val="00AD0AF2"/>
    <w:rsid w:val="00AD0B2B"/>
    <w:rsid w:val="00AD0B58"/>
    <w:rsid w:val="00AD0B95"/>
    <w:rsid w:val="00AD0C0C"/>
    <w:rsid w:val="00AD0C3A"/>
    <w:rsid w:val="00AD0C3B"/>
    <w:rsid w:val="00AD0C63"/>
    <w:rsid w:val="00AD0D8E"/>
    <w:rsid w:val="00AD0DD8"/>
    <w:rsid w:val="00AD0E00"/>
    <w:rsid w:val="00AD0E19"/>
    <w:rsid w:val="00AD0EC2"/>
    <w:rsid w:val="00AD0EE5"/>
    <w:rsid w:val="00AD0F17"/>
    <w:rsid w:val="00AD1093"/>
    <w:rsid w:val="00AD11AF"/>
    <w:rsid w:val="00AD1210"/>
    <w:rsid w:val="00AD1263"/>
    <w:rsid w:val="00AD1442"/>
    <w:rsid w:val="00AD1465"/>
    <w:rsid w:val="00AD1471"/>
    <w:rsid w:val="00AD1543"/>
    <w:rsid w:val="00AD1644"/>
    <w:rsid w:val="00AD16AE"/>
    <w:rsid w:val="00AD16F2"/>
    <w:rsid w:val="00AD1720"/>
    <w:rsid w:val="00AD19BD"/>
    <w:rsid w:val="00AD1A37"/>
    <w:rsid w:val="00AD1A58"/>
    <w:rsid w:val="00AD1A5F"/>
    <w:rsid w:val="00AD1AF7"/>
    <w:rsid w:val="00AD1C8C"/>
    <w:rsid w:val="00AD1CC1"/>
    <w:rsid w:val="00AD1D03"/>
    <w:rsid w:val="00AD1D38"/>
    <w:rsid w:val="00AD1D3D"/>
    <w:rsid w:val="00AD1DC7"/>
    <w:rsid w:val="00AD1EC6"/>
    <w:rsid w:val="00AD1F18"/>
    <w:rsid w:val="00AD1F60"/>
    <w:rsid w:val="00AD1FB6"/>
    <w:rsid w:val="00AD1FBF"/>
    <w:rsid w:val="00AD1FC3"/>
    <w:rsid w:val="00AD209B"/>
    <w:rsid w:val="00AD20FF"/>
    <w:rsid w:val="00AD2197"/>
    <w:rsid w:val="00AD23C7"/>
    <w:rsid w:val="00AD262E"/>
    <w:rsid w:val="00AD2684"/>
    <w:rsid w:val="00AD26C7"/>
    <w:rsid w:val="00AD27EF"/>
    <w:rsid w:val="00AD283F"/>
    <w:rsid w:val="00AD289B"/>
    <w:rsid w:val="00AD296A"/>
    <w:rsid w:val="00AD299D"/>
    <w:rsid w:val="00AD2B0F"/>
    <w:rsid w:val="00AD2B1B"/>
    <w:rsid w:val="00AD2C20"/>
    <w:rsid w:val="00AD2C44"/>
    <w:rsid w:val="00AD2C9E"/>
    <w:rsid w:val="00AD2D0F"/>
    <w:rsid w:val="00AD2D94"/>
    <w:rsid w:val="00AD2E6A"/>
    <w:rsid w:val="00AD2F06"/>
    <w:rsid w:val="00AD2F77"/>
    <w:rsid w:val="00AD2F81"/>
    <w:rsid w:val="00AD3144"/>
    <w:rsid w:val="00AD3174"/>
    <w:rsid w:val="00AD31E5"/>
    <w:rsid w:val="00AD32B5"/>
    <w:rsid w:val="00AD32D9"/>
    <w:rsid w:val="00AD341A"/>
    <w:rsid w:val="00AD3569"/>
    <w:rsid w:val="00AD3582"/>
    <w:rsid w:val="00AD3589"/>
    <w:rsid w:val="00AD35E3"/>
    <w:rsid w:val="00AD35E8"/>
    <w:rsid w:val="00AD36EF"/>
    <w:rsid w:val="00AD37F5"/>
    <w:rsid w:val="00AD3824"/>
    <w:rsid w:val="00AD3838"/>
    <w:rsid w:val="00AD383A"/>
    <w:rsid w:val="00AD3869"/>
    <w:rsid w:val="00AD38D0"/>
    <w:rsid w:val="00AD394D"/>
    <w:rsid w:val="00AD3989"/>
    <w:rsid w:val="00AD39B0"/>
    <w:rsid w:val="00AD3C3B"/>
    <w:rsid w:val="00AD3C5D"/>
    <w:rsid w:val="00AD3CB7"/>
    <w:rsid w:val="00AD3D0D"/>
    <w:rsid w:val="00AD3E86"/>
    <w:rsid w:val="00AD3EBD"/>
    <w:rsid w:val="00AD3F1A"/>
    <w:rsid w:val="00AD3F3D"/>
    <w:rsid w:val="00AD4013"/>
    <w:rsid w:val="00AD4037"/>
    <w:rsid w:val="00AD4095"/>
    <w:rsid w:val="00AD40DE"/>
    <w:rsid w:val="00AD414D"/>
    <w:rsid w:val="00AD421F"/>
    <w:rsid w:val="00AD425A"/>
    <w:rsid w:val="00AD454F"/>
    <w:rsid w:val="00AD45FC"/>
    <w:rsid w:val="00AD4610"/>
    <w:rsid w:val="00AD4650"/>
    <w:rsid w:val="00AD48C1"/>
    <w:rsid w:val="00AD4933"/>
    <w:rsid w:val="00AD4A4A"/>
    <w:rsid w:val="00AD4BA9"/>
    <w:rsid w:val="00AD4BC2"/>
    <w:rsid w:val="00AD4C37"/>
    <w:rsid w:val="00AD4D4C"/>
    <w:rsid w:val="00AD4EC5"/>
    <w:rsid w:val="00AD52D7"/>
    <w:rsid w:val="00AD5379"/>
    <w:rsid w:val="00AD53F9"/>
    <w:rsid w:val="00AD5403"/>
    <w:rsid w:val="00AD542C"/>
    <w:rsid w:val="00AD5488"/>
    <w:rsid w:val="00AD550C"/>
    <w:rsid w:val="00AD5553"/>
    <w:rsid w:val="00AD569F"/>
    <w:rsid w:val="00AD57FA"/>
    <w:rsid w:val="00AD580A"/>
    <w:rsid w:val="00AD58C2"/>
    <w:rsid w:val="00AD595A"/>
    <w:rsid w:val="00AD59E8"/>
    <w:rsid w:val="00AD5A51"/>
    <w:rsid w:val="00AD5BCF"/>
    <w:rsid w:val="00AD5CEA"/>
    <w:rsid w:val="00AD5D17"/>
    <w:rsid w:val="00AD5DC8"/>
    <w:rsid w:val="00AD5DE1"/>
    <w:rsid w:val="00AD5E22"/>
    <w:rsid w:val="00AD5E2F"/>
    <w:rsid w:val="00AD5E6E"/>
    <w:rsid w:val="00AD5E85"/>
    <w:rsid w:val="00AD5EB4"/>
    <w:rsid w:val="00AD6114"/>
    <w:rsid w:val="00AD6148"/>
    <w:rsid w:val="00AD6162"/>
    <w:rsid w:val="00AD6198"/>
    <w:rsid w:val="00AD626C"/>
    <w:rsid w:val="00AD62BD"/>
    <w:rsid w:val="00AD6364"/>
    <w:rsid w:val="00AD6375"/>
    <w:rsid w:val="00AD637B"/>
    <w:rsid w:val="00AD6383"/>
    <w:rsid w:val="00AD63B7"/>
    <w:rsid w:val="00AD65E8"/>
    <w:rsid w:val="00AD661C"/>
    <w:rsid w:val="00AD6658"/>
    <w:rsid w:val="00AD6859"/>
    <w:rsid w:val="00AD68B3"/>
    <w:rsid w:val="00AD68BC"/>
    <w:rsid w:val="00AD69C6"/>
    <w:rsid w:val="00AD6A43"/>
    <w:rsid w:val="00AD6A65"/>
    <w:rsid w:val="00AD6A6B"/>
    <w:rsid w:val="00AD6AE3"/>
    <w:rsid w:val="00AD6B8C"/>
    <w:rsid w:val="00AD6CB8"/>
    <w:rsid w:val="00AD6D5F"/>
    <w:rsid w:val="00AD6DF0"/>
    <w:rsid w:val="00AD6FDD"/>
    <w:rsid w:val="00AD704D"/>
    <w:rsid w:val="00AD708E"/>
    <w:rsid w:val="00AD70F5"/>
    <w:rsid w:val="00AD71A3"/>
    <w:rsid w:val="00AD722C"/>
    <w:rsid w:val="00AD7266"/>
    <w:rsid w:val="00AD72A4"/>
    <w:rsid w:val="00AD7329"/>
    <w:rsid w:val="00AD73CA"/>
    <w:rsid w:val="00AD7404"/>
    <w:rsid w:val="00AD7452"/>
    <w:rsid w:val="00AD747D"/>
    <w:rsid w:val="00AD74EF"/>
    <w:rsid w:val="00AD75BB"/>
    <w:rsid w:val="00AD75C3"/>
    <w:rsid w:val="00AD7760"/>
    <w:rsid w:val="00AD77A2"/>
    <w:rsid w:val="00AD77D1"/>
    <w:rsid w:val="00AD78B5"/>
    <w:rsid w:val="00AD78CA"/>
    <w:rsid w:val="00AD78DB"/>
    <w:rsid w:val="00AD790F"/>
    <w:rsid w:val="00AD7918"/>
    <w:rsid w:val="00AD7A11"/>
    <w:rsid w:val="00AD7AFD"/>
    <w:rsid w:val="00AD7BAD"/>
    <w:rsid w:val="00AD7C31"/>
    <w:rsid w:val="00AD7CFB"/>
    <w:rsid w:val="00AD7D27"/>
    <w:rsid w:val="00AE0027"/>
    <w:rsid w:val="00AE006F"/>
    <w:rsid w:val="00AE0079"/>
    <w:rsid w:val="00AE00A7"/>
    <w:rsid w:val="00AE00B0"/>
    <w:rsid w:val="00AE00C4"/>
    <w:rsid w:val="00AE010D"/>
    <w:rsid w:val="00AE014E"/>
    <w:rsid w:val="00AE01BD"/>
    <w:rsid w:val="00AE029E"/>
    <w:rsid w:val="00AE02F1"/>
    <w:rsid w:val="00AE032D"/>
    <w:rsid w:val="00AE0389"/>
    <w:rsid w:val="00AE03CF"/>
    <w:rsid w:val="00AE04F0"/>
    <w:rsid w:val="00AE0510"/>
    <w:rsid w:val="00AE05E5"/>
    <w:rsid w:val="00AE078C"/>
    <w:rsid w:val="00AE07BB"/>
    <w:rsid w:val="00AE07C0"/>
    <w:rsid w:val="00AE07FA"/>
    <w:rsid w:val="00AE08FA"/>
    <w:rsid w:val="00AE091E"/>
    <w:rsid w:val="00AE0936"/>
    <w:rsid w:val="00AE0945"/>
    <w:rsid w:val="00AE09B6"/>
    <w:rsid w:val="00AE0B08"/>
    <w:rsid w:val="00AE0CB6"/>
    <w:rsid w:val="00AE0E13"/>
    <w:rsid w:val="00AE0E9A"/>
    <w:rsid w:val="00AE1084"/>
    <w:rsid w:val="00AE10A3"/>
    <w:rsid w:val="00AE10F7"/>
    <w:rsid w:val="00AE10F9"/>
    <w:rsid w:val="00AE12E9"/>
    <w:rsid w:val="00AE1309"/>
    <w:rsid w:val="00AE13AB"/>
    <w:rsid w:val="00AE1452"/>
    <w:rsid w:val="00AE14CF"/>
    <w:rsid w:val="00AE14DC"/>
    <w:rsid w:val="00AE150F"/>
    <w:rsid w:val="00AE152A"/>
    <w:rsid w:val="00AE15DC"/>
    <w:rsid w:val="00AE15DF"/>
    <w:rsid w:val="00AE160A"/>
    <w:rsid w:val="00AE1662"/>
    <w:rsid w:val="00AE16BB"/>
    <w:rsid w:val="00AE1703"/>
    <w:rsid w:val="00AE17C4"/>
    <w:rsid w:val="00AE17E4"/>
    <w:rsid w:val="00AE17FB"/>
    <w:rsid w:val="00AE180B"/>
    <w:rsid w:val="00AE18F2"/>
    <w:rsid w:val="00AE1A3F"/>
    <w:rsid w:val="00AE1AB4"/>
    <w:rsid w:val="00AE1C8C"/>
    <w:rsid w:val="00AE1D52"/>
    <w:rsid w:val="00AE1D83"/>
    <w:rsid w:val="00AE1DC5"/>
    <w:rsid w:val="00AE1E65"/>
    <w:rsid w:val="00AE1EA8"/>
    <w:rsid w:val="00AE1EBA"/>
    <w:rsid w:val="00AE1ED8"/>
    <w:rsid w:val="00AE1EE0"/>
    <w:rsid w:val="00AE1F41"/>
    <w:rsid w:val="00AE1FCE"/>
    <w:rsid w:val="00AE2057"/>
    <w:rsid w:val="00AE217F"/>
    <w:rsid w:val="00AE21F3"/>
    <w:rsid w:val="00AE2233"/>
    <w:rsid w:val="00AE233F"/>
    <w:rsid w:val="00AE2409"/>
    <w:rsid w:val="00AE247C"/>
    <w:rsid w:val="00AE24D6"/>
    <w:rsid w:val="00AE2521"/>
    <w:rsid w:val="00AE2571"/>
    <w:rsid w:val="00AE25A3"/>
    <w:rsid w:val="00AE2641"/>
    <w:rsid w:val="00AE2650"/>
    <w:rsid w:val="00AE26B4"/>
    <w:rsid w:val="00AE26FC"/>
    <w:rsid w:val="00AE277F"/>
    <w:rsid w:val="00AE27C7"/>
    <w:rsid w:val="00AE2978"/>
    <w:rsid w:val="00AE29AF"/>
    <w:rsid w:val="00AE29C4"/>
    <w:rsid w:val="00AE2ABA"/>
    <w:rsid w:val="00AE2AEC"/>
    <w:rsid w:val="00AE2B13"/>
    <w:rsid w:val="00AE2B1A"/>
    <w:rsid w:val="00AE2B91"/>
    <w:rsid w:val="00AE2C2F"/>
    <w:rsid w:val="00AE2CB8"/>
    <w:rsid w:val="00AE2D3A"/>
    <w:rsid w:val="00AE2D4F"/>
    <w:rsid w:val="00AE2D5B"/>
    <w:rsid w:val="00AE2DFA"/>
    <w:rsid w:val="00AE2EE5"/>
    <w:rsid w:val="00AE2EEC"/>
    <w:rsid w:val="00AE2F9B"/>
    <w:rsid w:val="00AE3057"/>
    <w:rsid w:val="00AE3150"/>
    <w:rsid w:val="00AE3173"/>
    <w:rsid w:val="00AE3252"/>
    <w:rsid w:val="00AE32A2"/>
    <w:rsid w:val="00AE32F7"/>
    <w:rsid w:val="00AE3507"/>
    <w:rsid w:val="00AE3528"/>
    <w:rsid w:val="00AE35D4"/>
    <w:rsid w:val="00AE3608"/>
    <w:rsid w:val="00AE372A"/>
    <w:rsid w:val="00AE37AA"/>
    <w:rsid w:val="00AE37B3"/>
    <w:rsid w:val="00AE391E"/>
    <w:rsid w:val="00AE3935"/>
    <w:rsid w:val="00AE3A23"/>
    <w:rsid w:val="00AE3A43"/>
    <w:rsid w:val="00AE3A8A"/>
    <w:rsid w:val="00AE3B1C"/>
    <w:rsid w:val="00AE3B91"/>
    <w:rsid w:val="00AE3B9B"/>
    <w:rsid w:val="00AE3C3C"/>
    <w:rsid w:val="00AE3D46"/>
    <w:rsid w:val="00AE3DF6"/>
    <w:rsid w:val="00AE3E49"/>
    <w:rsid w:val="00AE3E59"/>
    <w:rsid w:val="00AE3F24"/>
    <w:rsid w:val="00AE4016"/>
    <w:rsid w:val="00AE4021"/>
    <w:rsid w:val="00AE40A0"/>
    <w:rsid w:val="00AE4121"/>
    <w:rsid w:val="00AE4161"/>
    <w:rsid w:val="00AE41F7"/>
    <w:rsid w:val="00AE42BF"/>
    <w:rsid w:val="00AE42DC"/>
    <w:rsid w:val="00AE42EF"/>
    <w:rsid w:val="00AE4506"/>
    <w:rsid w:val="00AE4513"/>
    <w:rsid w:val="00AE479A"/>
    <w:rsid w:val="00AE482A"/>
    <w:rsid w:val="00AE49EC"/>
    <w:rsid w:val="00AE4AC6"/>
    <w:rsid w:val="00AE4B2D"/>
    <w:rsid w:val="00AE4C98"/>
    <w:rsid w:val="00AE4CAB"/>
    <w:rsid w:val="00AE4D0A"/>
    <w:rsid w:val="00AE4D5D"/>
    <w:rsid w:val="00AE4EB5"/>
    <w:rsid w:val="00AE4EDE"/>
    <w:rsid w:val="00AE4F7E"/>
    <w:rsid w:val="00AE5066"/>
    <w:rsid w:val="00AE5070"/>
    <w:rsid w:val="00AE507D"/>
    <w:rsid w:val="00AE5343"/>
    <w:rsid w:val="00AE5344"/>
    <w:rsid w:val="00AE543A"/>
    <w:rsid w:val="00AE546F"/>
    <w:rsid w:val="00AE54D4"/>
    <w:rsid w:val="00AE5550"/>
    <w:rsid w:val="00AE568D"/>
    <w:rsid w:val="00AE5763"/>
    <w:rsid w:val="00AE5821"/>
    <w:rsid w:val="00AE5841"/>
    <w:rsid w:val="00AE5847"/>
    <w:rsid w:val="00AE58E7"/>
    <w:rsid w:val="00AE594D"/>
    <w:rsid w:val="00AE59E1"/>
    <w:rsid w:val="00AE5B36"/>
    <w:rsid w:val="00AE5B93"/>
    <w:rsid w:val="00AE5BAE"/>
    <w:rsid w:val="00AE5C2C"/>
    <w:rsid w:val="00AE5E03"/>
    <w:rsid w:val="00AE5F2A"/>
    <w:rsid w:val="00AE6017"/>
    <w:rsid w:val="00AE6037"/>
    <w:rsid w:val="00AE603E"/>
    <w:rsid w:val="00AE61BC"/>
    <w:rsid w:val="00AE6270"/>
    <w:rsid w:val="00AE6371"/>
    <w:rsid w:val="00AE6393"/>
    <w:rsid w:val="00AE6451"/>
    <w:rsid w:val="00AE64BB"/>
    <w:rsid w:val="00AE65C4"/>
    <w:rsid w:val="00AE679B"/>
    <w:rsid w:val="00AE6919"/>
    <w:rsid w:val="00AE6920"/>
    <w:rsid w:val="00AE6B00"/>
    <w:rsid w:val="00AE6B0F"/>
    <w:rsid w:val="00AE6BA0"/>
    <w:rsid w:val="00AE6C25"/>
    <w:rsid w:val="00AE6C75"/>
    <w:rsid w:val="00AE6C88"/>
    <w:rsid w:val="00AE6CEE"/>
    <w:rsid w:val="00AE6D0F"/>
    <w:rsid w:val="00AE6FED"/>
    <w:rsid w:val="00AE6FF1"/>
    <w:rsid w:val="00AE7004"/>
    <w:rsid w:val="00AE7191"/>
    <w:rsid w:val="00AE7266"/>
    <w:rsid w:val="00AE72A1"/>
    <w:rsid w:val="00AE730E"/>
    <w:rsid w:val="00AE7316"/>
    <w:rsid w:val="00AE732A"/>
    <w:rsid w:val="00AE73AE"/>
    <w:rsid w:val="00AE73CA"/>
    <w:rsid w:val="00AE74E1"/>
    <w:rsid w:val="00AE759F"/>
    <w:rsid w:val="00AE764B"/>
    <w:rsid w:val="00AE7830"/>
    <w:rsid w:val="00AE787A"/>
    <w:rsid w:val="00AE78A3"/>
    <w:rsid w:val="00AE78D6"/>
    <w:rsid w:val="00AE7AA2"/>
    <w:rsid w:val="00AE7B38"/>
    <w:rsid w:val="00AE7B72"/>
    <w:rsid w:val="00AE7C01"/>
    <w:rsid w:val="00AE7D5E"/>
    <w:rsid w:val="00AE7E31"/>
    <w:rsid w:val="00AE7E5A"/>
    <w:rsid w:val="00AE7E93"/>
    <w:rsid w:val="00AF008D"/>
    <w:rsid w:val="00AF00EE"/>
    <w:rsid w:val="00AF01C1"/>
    <w:rsid w:val="00AF0330"/>
    <w:rsid w:val="00AF03B8"/>
    <w:rsid w:val="00AF0511"/>
    <w:rsid w:val="00AF0521"/>
    <w:rsid w:val="00AF05BB"/>
    <w:rsid w:val="00AF05CE"/>
    <w:rsid w:val="00AF0BC4"/>
    <w:rsid w:val="00AF0D22"/>
    <w:rsid w:val="00AF0D5C"/>
    <w:rsid w:val="00AF0D7C"/>
    <w:rsid w:val="00AF0DAD"/>
    <w:rsid w:val="00AF0DCF"/>
    <w:rsid w:val="00AF0E60"/>
    <w:rsid w:val="00AF0E8B"/>
    <w:rsid w:val="00AF0ECE"/>
    <w:rsid w:val="00AF0EFA"/>
    <w:rsid w:val="00AF0F93"/>
    <w:rsid w:val="00AF0FC1"/>
    <w:rsid w:val="00AF0FDA"/>
    <w:rsid w:val="00AF0FEF"/>
    <w:rsid w:val="00AF1024"/>
    <w:rsid w:val="00AF10BE"/>
    <w:rsid w:val="00AF130E"/>
    <w:rsid w:val="00AF13A7"/>
    <w:rsid w:val="00AF13F4"/>
    <w:rsid w:val="00AF141E"/>
    <w:rsid w:val="00AF14B0"/>
    <w:rsid w:val="00AF14F4"/>
    <w:rsid w:val="00AF17B4"/>
    <w:rsid w:val="00AF17D9"/>
    <w:rsid w:val="00AF187E"/>
    <w:rsid w:val="00AF18A4"/>
    <w:rsid w:val="00AF1BA6"/>
    <w:rsid w:val="00AF1CBB"/>
    <w:rsid w:val="00AF1E05"/>
    <w:rsid w:val="00AF1F14"/>
    <w:rsid w:val="00AF1F4A"/>
    <w:rsid w:val="00AF2010"/>
    <w:rsid w:val="00AF2021"/>
    <w:rsid w:val="00AF2084"/>
    <w:rsid w:val="00AF21A1"/>
    <w:rsid w:val="00AF2201"/>
    <w:rsid w:val="00AF220F"/>
    <w:rsid w:val="00AF2277"/>
    <w:rsid w:val="00AF2314"/>
    <w:rsid w:val="00AF23A3"/>
    <w:rsid w:val="00AF23B5"/>
    <w:rsid w:val="00AF2441"/>
    <w:rsid w:val="00AF2456"/>
    <w:rsid w:val="00AF2553"/>
    <w:rsid w:val="00AF255B"/>
    <w:rsid w:val="00AF25B2"/>
    <w:rsid w:val="00AF25DB"/>
    <w:rsid w:val="00AF25E2"/>
    <w:rsid w:val="00AF260F"/>
    <w:rsid w:val="00AF26DC"/>
    <w:rsid w:val="00AF2784"/>
    <w:rsid w:val="00AF27D1"/>
    <w:rsid w:val="00AF27EA"/>
    <w:rsid w:val="00AF2803"/>
    <w:rsid w:val="00AF29B1"/>
    <w:rsid w:val="00AF2A8A"/>
    <w:rsid w:val="00AF2B0D"/>
    <w:rsid w:val="00AF2B9A"/>
    <w:rsid w:val="00AF2BDA"/>
    <w:rsid w:val="00AF2C01"/>
    <w:rsid w:val="00AF2C4C"/>
    <w:rsid w:val="00AF2C78"/>
    <w:rsid w:val="00AF2D2B"/>
    <w:rsid w:val="00AF2D36"/>
    <w:rsid w:val="00AF2DA3"/>
    <w:rsid w:val="00AF2E20"/>
    <w:rsid w:val="00AF2E50"/>
    <w:rsid w:val="00AF2F0F"/>
    <w:rsid w:val="00AF2F50"/>
    <w:rsid w:val="00AF3153"/>
    <w:rsid w:val="00AF319F"/>
    <w:rsid w:val="00AF3219"/>
    <w:rsid w:val="00AF3422"/>
    <w:rsid w:val="00AF3484"/>
    <w:rsid w:val="00AF34C6"/>
    <w:rsid w:val="00AF34D4"/>
    <w:rsid w:val="00AF3566"/>
    <w:rsid w:val="00AF35F3"/>
    <w:rsid w:val="00AF3776"/>
    <w:rsid w:val="00AF378F"/>
    <w:rsid w:val="00AF380D"/>
    <w:rsid w:val="00AF3845"/>
    <w:rsid w:val="00AF3862"/>
    <w:rsid w:val="00AF38C4"/>
    <w:rsid w:val="00AF392B"/>
    <w:rsid w:val="00AF39A1"/>
    <w:rsid w:val="00AF39FB"/>
    <w:rsid w:val="00AF3AAB"/>
    <w:rsid w:val="00AF3B3D"/>
    <w:rsid w:val="00AF3B8E"/>
    <w:rsid w:val="00AF3BA5"/>
    <w:rsid w:val="00AF3C7D"/>
    <w:rsid w:val="00AF3CBB"/>
    <w:rsid w:val="00AF3D1D"/>
    <w:rsid w:val="00AF3D3B"/>
    <w:rsid w:val="00AF3D56"/>
    <w:rsid w:val="00AF3D64"/>
    <w:rsid w:val="00AF3DCB"/>
    <w:rsid w:val="00AF3EC4"/>
    <w:rsid w:val="00AF3EDF"/>
    <w:rsid w:val="00AF40CD"/>
    <w:rsid w:val="00AF40FB"/>
    <w:rsid w:val="00AF4120"/>
    <w:rsid w:val="00AF439A"/>
    <w:rsid w:val="00AF4426"/>
    <w:rsid w:val="00AF44B4"/>
    <w:rsid w:val="00AF457C"/>
    <w:rsid w:val="00AF45AF"/>
    <w:rsid w:val="00AF45CD"/>
    <w:rsid w:val="00AF4628"/>
    <w:rsid w:val="00AF4701"/>
    <w:rsid w:val="00AF47EC"/>
    <w:rsid w:val="00AF4833"/>
    <w:rsid w:val="00AF4848"/>
    <w:rsid w:val="00AF4884"/>
    <w:rsid w:val="00AF491C"/>
    <w:rsid w:val="00AF49B0"/>
    <w:rsid w:val="00AF49CC"/>
    <w:rsid w:val="00AF4B5F"/>
    <w:rsid w:val="00AF4CEF"/>
    <w:rsid w:val="00AF4EB7"/>
    <w:rsid w:val="00AF4F0B"/>
    <w:rsid w:val="00AF4F3C"/>
    <w:rsid w:val="00AF4F99"/>
    <w:rsid w:val="00AF5134"/>
    <w:rsid w:val="00AF52BF"/>
    <w:rsid w:val="00AF532F"/>
    <w:rsid w:val="00AF538A"/>
    <w:rsid w:val="00AF5429"/>
    <w:rsid w:val="00AF5448"/>
    <w:rsid w:val="00AF54A1"/>
    <w:rsid w:val="00AF54B8"/>
    <w:rsid w:val="00AF54E1"/>
    <w:rsid w:val="00AF5621"/>
    <w:rsid w:val="00AF5687"/>
    <w:rsid w:val="00AF56EC"/>
    <w:rsid w:val="00AF5706"/>
    <w:rsid w:val="00AF573C"/>
    <w:rsid w:val="00AF5771"/>
    <w:rsid w:val="00AF5964"/>
    <w:rsid w:val="00AF5B44"/>
    <w:rsid w:val="00AF5B66"/>
    <w:rsid w:val="00AF5B85"/>
    <w:rsid w:val="00AF5C44"/>
    <w:rsid w:val="00AF5DFF"/>
    <w:rsid w:val="00AF5E04"/>
    <w:rsid w:val="00AF5E57"/>
    <w:rsid w:val="00AF5EA9"/>
    <w:rsid w:val="00AF5ED1"/>
    <w:rsid w:val="00AF6013"/>
    <w:rsid w:val="00AF6080"/>
    <w:rsid w:val="00AF6119"/>
    <w:rsid w:val="00AF616E"/>
    <w:rsid w:val="00AF619C"/>
    <w:rsid w:val="00AF6382"/>
    <w:rsid w:val="00AF644C"/>
    <w:rsid w:val="00AF6484"/>
    <w:rsid w:val="00AF64BF"/>
    <w:rsid w:val="00AF66F9"/>
    <w:rsid w:val="00AF6714"/>
    <w:rsid w:val="00AF671B"/>
    <w:rsid w:val="00AF688F"/>
    <w:rsid w:val="00AF68BB"/>
    <w:rsid w:val="00AF6972"/>
    <w:rsid w:val="00AF69CF"/>
    <w:rsid w:val="00AF69F3"/>
    <w:rsid w:val="00AF6A42"/>
    <w:rsid w:val="00AF6A4E"/>
    <w:rsid w:val="00AF6A54"/>
    <w:rsid w:val="00AF6B36"/>
    <w:rsid w:val="00AF6B58"/>
    <w:rsid w:val="00AF6BE0"/>
    <w:rsid w:val="00AF6BE4"/>
    <w:rsid w:val="00AF6C02"/>
    <w:rsid w:val="00AF6D34"/>
    <w:rsid w:val="00AF6F1B"/>
    <w:rsid w:val="00AF6F28"/>
    <w:rsid w:val="00AF716E"/>
    <w:rsid w:val="00AF719C"/>
    <w:rsid w:val="00AF71AF"/>
    <w:rsid w:val="00AF71C0"/>
    <w:rsid w:val="00AF735B"/>
    <w:rsid w:val="00AF7379"/>
    <w:rsid w:val="00AF73A6"/>
    <w:rsid w:val="00AF7486"/>
    <w:rsid w:val="00AF74F5"/>
    <w:rsid w:val="00AF7573"/>
    <w:rsid w:val="00AF76A0"/>
    <w:rsid w:val="00AF77E5"/>
    <w:rsid w:val="00AF781F"/>
    <w:rsid w:val="00AF785D"/>
    <w:rsid w:val="00AF7888"/>
    <w:rsid w:val="00AF7946"/>
    <w:rsid w:val="00AF79EC"/>
    <w:rsid w:val="00AF7BAA"/>
    <w:rsid w:val="00AF7D63"/>
    <w:rsid w:val="00AF7DBC"/>
    <w:rsid w:val="00AF7F4C"/>
    <w:rsid w:val="00AF7FA6"/>
    <w:rsid w:val="00AF7FCB"/>
    <w:rsid w:val="00B0014E"/>
    <w:rsid w:val="00B001FF"/>
    <w:rsid w:val="00B00230"/>
    <w:rsid w:val="00B0031B"/>
    <w:rsid w:val="00B00367"/>
    <w:rsid w:val="00B0039B"/>
    <w:rsid w:val="00B004DB"/>
    <w:rsid w:val="00B004E7"/>
    <w:rsid w:val="00B0050C"/>
    <w:rsid w:val="00B0053D"/>
    <w:rsid w:val="00B0055E"/>
    <w:rsid w:val="00B00592"/>
    <w:rsid w:val="00B00697"/>
    <w:rsid w:val="00B006AF"/>
    <w:rsid w:val="00B00714"/>
    <w:rsid w:val="00B00750"/>
    <w:rsid w:val="00B00829"/>
    <w:rsid w:val="00B0084C"/>
    <w:rsid w:val="00B008A1"/>
    <w:rsid w:val="00B008A2"/>
    <w:rsid w:val="00B00947"/>
    <w:rsid w:val="00B0099A"/>
    <w:rsid w:val="00B009BF"/>
    <w:rsid w:val="00B00C6A"/>
    <w:rsid w:val="00B00D60"/>
    <w:rsid w:val="00B00DDD"/>
    <w:rsid w:val="00B00DE3"/>
    <w:rsid w:val="00B00F23"/>
    <w:rsid w:val="00B00FE2"/>
    <w:rsid w:val="00B01106"/>
    <w:rsid w:val="00B011A5"/>
    <w:rsid w:val="00B012A6"/>
    <w:rsid w:val="00B012C8"/>
    <w:rsid w:val="00B012ED"/>
    <w:rsid w:val="00B012F7"/>
    <w:rsid w:val="00B013D2"/>
    <w:rsid w:val="00B01428"/>
    <w:rsid w:val="00B014B9"/>
    <w:rsid w:val="00B0154A"/>
    <w:rsid w:val="00B015C9"/>
    <w:rsid w:val="00B015E4"/>
    <w:rsid w:val="00B01645"/>
    <w:rsid w:val="00B01653"/>
    <w:rsid w:val="00B017B1"/>
    <w:rsid w:val="00B017EB"/>
    <w:rsid w:val="00B0186C"/>
    <w:rsid w:val="00B018FA"/>
    <w:rsid w:val="00B01930"/>
    <w:rsid w:val="00B01A21"/>
    <w:rsid w:val="00B01A49"/>
    <w:rsid w:val="00B01B00"/>
    <w:rsid w:val="00B01B70"/>
    <w:rsid w:val="00B01B78"/>
    <w:rsid w:val="00B01E0D"/>
    <w:rsid w:val="00B01EB8"/>
    <w:rsid w:val="00B01F0B"/>
    <w:rsid w:val="00B02037"/>
    <w:rsid w:val="00B020B6"/>
    <w:rsid w:val="00B02162"/>
    <w:rsid w:val="00B021CE"/>
    <w:rsid w:val="00B022A5"/>
    <w:rsid w:val="00B02322"/>
    <w:rsid w:val="00B0250A"/>
    <w:rsid w:val="00B02543"/>
    <w:rsid w:val="00B025A8"/>
    <w:rsid w:val="00B025AC"/>
    <w:rsid w:val="00B0266B"/>
    <w:rsid w:val="00B02697"/>
    <w:rsid w:val="00B0269B"/>
    <w:rsid w:val="00B0270A"/>
    <w:rsid w:val="00B027AE"/>
    <w:rsid w:val="00B02867"/>
    <w:rsid w:val="00B0288E"/>
    <w:rsid w:val="00B028A9"/>
    <w:rsid w:val="00B028E1"/>
    <w:rsid w:val="00B02948"/>
    <w:rsid w:val="00B02A0C"/>
    <w:rsid w:val="00B02B5B"/>
    <w:rsid w:val="00B02BA6"/>
    <w:rsid w:val="00B02C69"/>
    <w:rsid w:val="00B02C85"/>
    <w:rsid w:val="00B02C8B"/>
    <w:rsid w:val="00B02D59"/>
    <w:rsid w:val="00B02DA8"/>
    <w:rsid w:val="00B02E8E"/>
    <w:rsid w:val="00B02ED6"/>
    <w:rsid w:val="00B02FE3"/>
    <w:rsid w:val="00B03091"/>
    <w:rsid w:val="00B030BF"/>
    <w:rsid w:val="00B030D5"/>
    <w:rsid w:val="00B030D6"/>
    <w:rsid w:val="00B0311E"/>
    <w:rsid w:val="00B03225"/>
    <w:rsid w:val="00B032C4"/>
    <w:rsid w:val="00B0330F"/>
    <w:rsid w:val="00B0334B"/>
    <w:rsid w:val="00B03391"/>
    <w:rsid w:val="00B034FC"/>
    <w:rsid w:val="00B03633"/>
    <w:rsid w:val="00B036CE"/>
    <w:rsid w:val="00B0370B"/>
    <w:rsid w:val="00B037EC"/>
    <w:rsid w:val="00B03846"/>
    <w:rsid w:val="00B038B9"/>
    <w:rsid w:val="00B0399B"/>
    <w:rsid w:val="00B039A3"/>
    <w:rsid w:val="00B03A8F"/>
    <w:rsid w:val="00B03B58"/>
    <w:rsid w:val="00B03B8B"/>
    <w:rsid w:val="00B03BBA"/>
    <w:rsid w:val="00B03CAA"/>
    <w:rsid w:val="00B03CAB"/>
    <w:rsid w:val="00B03D12"/>
    <w:rsid w:val="00B03D71"/>
    <w:rsid w:val="00B03E48"/>
    <w:rsid w:val="00B03E9D"/>
    <w:rsid w:val="00B03EE7"/>
    <w:rsid w:val="00B03F34"/>
    <w:rsid w:val="00B03F93"/>
    <w:rsid w:val="00B03FB8"/>
    <w:rsid w:val="00B04092"/>
    <w:rsid w:val="00B040A8"/>
    <w:rsid w:val="00B040BD"/>
    <w:rsid w:val="00B04199"/>
    <w:rsid w:val="00B041D1"/>
    <w:rsid w:val="00B04280"/>
    <w:rsid w:val="00B043BD"/>
    <w:rsid w:val="00B045F7"/>
    <w:rsid w:val="00B046C0"/>
    <w:rsid w:val="00B046F8"/>
    <w:rsid w:val="00B04700"/>
    <w:rsid w:val="00B047C9"/>
    <w:rsid w:val="00B04860"/>
    <w:rsid w:val="00B0488D"/>
    <w:rsid w:val="00B04894"/>
    <w:rsid w:val="00B048C0"/>
    <w:rsid w:val="00B049A5"/>
    <w:rsid w:val="00B04A15"/>
    <w:rsid w:val="00B04A5C"/>
    <w:rsid w:val="00B04AD9"/>
    <w:rsid w:val="00B04B9F"/>
    <w:rsid w:val="00B04BB2"/>
    <w:rsid w:val="00B04BC7"/>
    <w:rsid w:val="00B04C55"/>
    <w:rsid w:val="00B04C5E"/>
    <w:rsid w:val="00B04CA3"/>
    <w:rsid w:val="00B04DDA"/>
    <w:rsid w:val="00B04E73"/>
    <w:rsid w:val="00B04E97"/>
    <w:rsid w:val="00B04F0A"/>
    <w:rsid w:val="00B04F3D"/>
    <w:rsid w:val="00B04F8B"/>
    <w:rsid w:val="00B04FCB"/>
    <w:rsid w:val="00B05014"/>
    <w:rsid w:val="00B05031"/>
    <w:rsid w:val="00B05063"/>
    <w:rsid w:val="00B050A2"/>
    <w:rsid w:val="00B05228"/>
    <w:rsid w:val="00B0531B"/>
    <w:rsid w:val="00B05320"/>
    <w:rsid w:val="00B05408"/>
    <w:rsid w:val="00B05414"/>
    <w:rsid w:val="00B0541F"/>
    <w:rsid w:val="00B054CC"/>
    <w:rsid w:val="00B054D9"/>
    <w:rsid w:val="00B05521"/>
    <w:rsid w:val="00B05584"/>
    <w:rsid w:val="00B05673"/>
    <w:rsid w:val="00B056C0"/>
    <w:rsid w:val="00B05765"/>
    <w:rsid w:val="00B0576E"/>
    <w:rsid w:val="00B057AC"/>
    <w:rsid w:val="00B058C6"/>
    <w:rsid w:val="00B0597F"/>
    <w:rsid w:val="00B05990"/>
    <w:rsid w:val="00B05A01"/>
    <w:rsid w:val="00B05A58"/>
    <w:rsid w:val="00B05AA3"/>
    <w:rsid w:val="00B05AC5"/>
    <w:rsid w:val="00B05B02"/>
    <w:rsid w:val="00B05BAC"/>
    <w:rsid w:val="00B05BD4"/>
    <w:rsid w:val="00B05CD8"/>
    <w:rsid w:val="00B05CE9"/>
    <w:rsid w:val="00B05D29"/>
    <w:rsid w:val="00B05D73"/>
    <w:rsid w:val="00B05EFC"/>
    <w:rsid w:val="00B05FB5"/>
    <w:rsid w:val="00B05FFA"/>
    <w:rsid w:val="00B060D0"/>
    <w:rsid w:val="00B06145"/>
    <w:rsid w:val="00B063BD"/>
    <w:rsid w:val="00B06505"/>
    <w:rsid w:val="00B0651E"/>
    <w:rsid w:val="00B06579"/>
    <w:rsid w:val="00B06588"/>
    <w:rsid w:val="00B0667C"/>
    <w:rsid w:val="00B067C9"/>
    <w:rsid w:val="00B067F7"/>
    <w:rsid w:val="00B06957"/>
    <w:rsid w:val="00B06B9A"/>
    <w:rsid w:val="00B06CC8"/>
    <w:rsid w:val="00B06DD9"/>
    <w:rsid w:val="00B06E4F"/>
    <w:rsid w:val="00B06F97"/>
    <w:rsid w:val="00B07002"/>
    <w:rsid w:val="00B07094"/>
    <w:rsid w:val="00B0714A"/>
    <w:rsid w:val="00B0718C"/>
    <w:rsid w:val="00B073E2"/>
    <w:rsid w:val="00B0742A"/>
    <w:rsid w:val="00B07540"/>
    <w:rsid w:val="00B075F1"/>
    <w:rsid w:val="00B07718"/>
    <w:rsid w:val="00B077EA"/>
    <w:rsid w:val="00B07835"/>
    <w:rsid w:val="00B07895"/>
    <w:rsid w:val="00B0792B"/>
    <w:rsid w:val="00B07937"/>
    <w:rsid w:val="00B07970"/>
    <w:rsid w:val="00B079FF"/>
    <w:rsid w:val="00B07A29"/>
    <w:rsid w:val="00B07A8B"/>
    <w:rsid w:val="00B07AC7"/>
    <w:rsid w:val="00B07B0E"/>
    <w:rsid w:val="00B07B8A"/>
    <w:rsid w:val="00B07C9E"/>
    <w:rsid w:val="00B07CB8"/>
    <w:rsid w:val="00B07D7C"/>
    <w:rsid w:val="00B07DA1"/>
    <w:rsid w:val="00B07E17"/>
    <w:rsid w:val="00B07ED6"/>
    <w:rsid w:val="00B07EE6"/>
    <w:rsid w:val="00B10030"/>
    <w:rsid w:val="00B10095"/>
    <w:rsid w:val="00B10182"/>
    <w:rsid w:val="00B10185"/>
    <w:rsid w:val="00B101EC"/>
    <w:rsid w:val="00B10201"/>
    <w:rsid w:val="00B10215"/>
    <w:rsid w:val="00B1021A"/>
    <w:rsid w:val="00B10269"/>
    <w:rsid w:val="00B105FC"/>
    <w:rsid w:val="00B10601"/>
    <w:rsid w:val="00B1060A"/>
    <w:rsid w:val="00B10616"/>
    <w:rsid w:val="00B106B5"/>
    <w:rsid w:val="00B1075C"/>
    <w:rsid w:val="00B10813"/>
    <w:rsid w:val="00B108F3"/>
    <w:rsid w:val="00B109A4"/>
    <w:rsid w:val="00B109E5"/>
    <w:rsid w:val="00B10A59"/>
    <w:rsid w:val="00B10A6E"/>
    <w:rsid w:val="00B10A72"/>
    <w:rsid w:val="00B10A83"/>
    <w:rsid w:val="00B10B25"/>
    <w:rsid w:val="00B10D3E"/>
    <w:rsid w:val="00B10E89"/>
    <w:rsid w:val="00B10EC3"/>
    <w:rsid w:val="00B11175"/>
    <w:rsid w:val="00B1126E"/>
    <w:rsid w:val="00B11272"/>
    <w:rsid w:val="00B1134B"/>
    <w:rsid w:val="00B113D0"/>
    <w:rsid w:val="00B1146B"/>
    <w:rsid w:val="00B114A3"/>
    <w:rsid w:val="00B11532"/>
    <w:rsid w:val="00B1172A"/>
    <w:rsid w:val="00B11754"/>
    <w:rsid w:val="00B117B3"/>
    <w:rsid w:val="00B1187C"/>
    <w:rsid w:val="00B118D9"/>
    <w:rsid w:val="00B118DA"/>
    <w:rsid w:val="00B11908"/>
    <w:rsid w:val="00B11919"/>
    <w:rsid w:val="00B11957"/>
    <w:rsid w:val="00B11993"/>
    <w:rsid w:val="00B11C61"/>
    <w:rsid w:val="00B11DE8"/>
    <w:rsid w:val="00B11ECD"/>
    <w:rsid w:val="00B11FA9"/>
    <w:rsid w:val="00B11FB7"/>
    <w:rsid w:val="00B11FD2"/>
    <w:rsid w:val="00B1202B"/>
    <w:rsid w:val="00B121C3"/>
    <w:rsid w:val="00B121EF"/>
    <w:rsid w:val="00B123A1"/>
    <w:rsid w:val="00B123EF"/>
    <w:rsid w:val="00B1245F"/>
    <w:rsid w:val="00B124A2"/>
    <w:rsid w:val="00B1257F"/>
    <w:rsid w:val="00B1259C"/>
    <w:rsid w:val="00B125B7"/>
    <w:rsid w:val="00B125C3"/>
    <w:rsid w:val="00B125CA"/>
    <w:rsid w:val="00B125CC"/>
    <w:rsid w:val="00B126B4"/>
    <w:rsid w:val="00B1293B"/>
    <w:rsid w:val="00B12A1C"/>
    <w:rsid w:val="00B12AC8"/>
    <w:rsid w:val="00B12B59"/>
    <w:rsid w:val="00B12B69"/>
    <w:rsid w:val="00B12B82"/>
    <w:rsid w:val="00B12CBB"/>
    <w:rsid w:val="00B12D0C"/>
    <w:rsid w:val="00B12D51"/>
    <w:rsid w:val="00B12E22"/>
    <w:rsid w:val="00B12F6F"/>
    <w:rsid w:val="00B13027"/>
    <w:rsid w:val="00B13077"/>
    <w:rsid w:val="00B130D3"/>
    <w:rsid w:val="00B130F2"/>
    <w:rsid w:val="00B13112"/>
    <w:rsid w:val="00B13118"/>
    <w:rsid w:val="00B13262"/>
    <w:rsid w:val="00B1326D"/>
    <w:rsid w:val="00B132DB"/>
    <w:rsid w:val="00B133CA"/>
    <w:rsid w:val="00B13448"/>
    <w:rsid w:val="00B13451"/>
    <w:rsid w:val="00B1347B"/>
    <w:rsid w:val="00B134A2"/>
    <w:rsid w:val="00B136FA"/>
    <w:rsid w:val="00B13815"/>
    <w:rsid w:val="00B1383C"/>
    <w:rsid w:val="00B1399C"/>
    <w:rsid w:val="00B139F4"/>
    <w:rsid w:val="00B13AF5"/>
    <w:rsid w:val="00B13C16"/>
    <w:rsid w:val="00B13C1E"/>
    <w:rsid w:val="00B13CFF"/>
    <w:rsid w:val="00B13D07"/>
    <w:rsid w:val="00B13D55"/>
    <w:rsid w:val="00B13E00"/>
    <w:rsid w:val="00B13E13"/>
    <w:rsid w:val="00B13E25"/>
    <w:rsid w:val="00B13E9F"/>
    <w:rsid w:val="00B13F72"/>
    <w:rsid w:val="00B13F92"/>
    <w:rsid w:val="00B1415F"/>
    <w:rsid w:val="00B14212"/>
    <w:rsid w:val="00B1421D"/>
    <w:rsid w:val="00B14249"/>
    <w:rsid w:val="00B14352"/>
    <w:rsid w:val="00B143EC"/>
    <w:rsid w:val="00B143F4"/>
    <w:rsid w:val="00B14434"/>
    <w:rsid w:val="00B14539"/>
    <w:rsid w:val="00B145CF"/>
    <w:rsid w:val="00B1493E"/>
    <w:rsid w:val="00B14ACF"/>
    <w:rsid w:val="00B14C28"/>
    <w:rsid w:val="00B14C2F"/>
    <w:rsid w:val="00B14C36"/>
    <w:rsid w:val="00B14CB9"/>
    <w:rsid w:val="00B14D82"/>
    <w:rsid w:val="00B14D8B"/>
    <w:rsid w:val="00B14E00"/>
    <w:rsid w:val="00B14F90"/>
    <w:rsid w:val="00B15031"/>
    <w:rsid w:val="00B150EA"/>
    <w:rsid w:val="00B1516D"/>
    <w:rsid w:val="00B1526A"/>
    <w:rsid w:val="00B152CB"/>
    <w:rsid w:val="00B153B0"/>
    <w:rsid w:val="00B153D5"/>
    <w:rsid w:val="00B15486"/>
    <w:rsid w:val="00B154A5"/>
    <w:rsid w:val="00B15534"/>
    <w:rsid w:val="00B156E2"/>
    <w:rsid w:val="00B156EC"/>
    <w:rsid w:val="00B15708"/>
    <w:rsid w:val="00B1570B"/>
    <w:rsid w:val="00B15726"/>
    <w:rsid w:val="00B15741"/>
    <w:rsid w:val="00B15827"/>
    <w:rsid w:val="00B15841"/>
    <w:rsid w:val="00B158A1"/>
    <w:rsid w:val="00B158AD"/>
    <w:rsid w:val="00B158D4"/>
    <w:rsid w:val="00B15A0C"/>
    <w:rsid w:val="00B15B66"/>
    <w:rsid w:val="00B15BCF"/>
    <w:rsid w:val="00B15D47"/>
    <w:rsid w:val="00B15DCB"/>
    <w:rsid w:val="00B15DF7"/>
    <w:rsid w:val="00B15F38"/>
    <w:rsid w:val="00B15F4E"/>
    <w:rsid w:val="00B15FA0"/>
    <w:rsid w:val="00B15FF5"/>
    <w:rsid w:val="00B1602A"/>
    <w:rsid w:val="00B1605F"/>
    <w:rsid w:val="00B16104"/>
    <w:rsid w:val="00B1614A"/>
    <w:rsid w:val="00B161AA"/>
    <w:rsid w:val="00B161AC"/>
    <w:rsid w:val="00B16245"/>
    <w:rsid w:val="00B162F7"/>
    <w:rsid w:val="00B1631D"/>
    <w:rsid w:val="00B164C5"/>
    <w:rsid w:val="00B164DF"/>
    <w:rsid w:val="00B1653E"/>
    <w:rsid w:val="00B1656D"/>
    <w:rsid w:val="00B16646"/>
    <w:rsid w:val="00B166D4"/>
    <w:rsid w:val="00B166DB"/>
    <w:rsid w:val="00B1672C"/>
    <w:rsid w:val="00B16743"/>
    <w:rsid w:val="00B16978"/>
    <w:rsid w:val="00B16A4D"/>
    <w:rsid w:val="00B16B0F"/>
    <w:rsid w:val="00B16B49"/>
    <w:rsid w:val="00B16BCE"/>
    <w:rsid w:val="00B16C47"/>
    <w:rsid w:val="00B16CD6"/>
    <w:rsid w:val="00B16EDB"/>
    <w:rsid w:val="00B16F26"/>
    <w:rsid w:val="00B1700D"/>
    <w:rsid w:val="00B170CB"/>
    <w:rsid w:val="00B1710B"/>
    <w:rsid w:val="00B1711F"/>
    <w:rsid w:val="00B1713E"/>
    <w:rsid w:val="00B1717F"/>
    <w:rsid w:val="00B17191"/>
    <w:rsid w:val="00B171B0"/>
    <w:rsid w:val="00B1722F"/>
    <w:rsid w:val="00B17282"/>
    <w:rsid w:val="00B1728D"/>
    <w:rsid w:val="00B1734B"/>
    <w:rsid w:val="00B17384"/>
    <w:rsid w:val="00B173A3"/>
    <w:rsid w:val="00B1745A"/>
    <w:rsid w:val="00B17491"/>
    <w:rsid w:val="00B175B2"/>
    <w:rsid w:val="00B175EF"/>
    <w:rsid w:val="00B176A3"/>
    <w:rsid w:val="00B1778E"/>
    <w:rsid w:val="00B177ED"/>
    <w:rsid w:val="00B1781C"/>
    <w:rsid w:val="00B179E9"/>
    <w:rsid w:val="00B17A0B"/>
    <w:rsid w:val="00B17BD0"/>
    <w:rsid w:val="00B17BDD"/>
    <w:rsid w:val="00B17CC0"/>
    <w:rsid w:val="00B17D1D"/>
    <w:rsid w:val="00B17D7B"/>
    <w:rsid w:val="00B17E0B"/>
    <w:rsid w:val="00B17E49"/>
    <w:rsid w:val="00B17E67"/>
    <w:rsid w:val="00B17E86"/>
    <w:rsid w:val="00B17F55"/>
    <w:rsid w:val="00B17F89"/>
    <w:rsid w:val="00B20011"/>
    <w:rsid w:val="00B20060"/>
    <w:rsid w:val="00B2011B"/>
    <w:rsid w:val="00B20149"/>
    <w:rsid w:val="00B201B7"/>
    <w:rsid w:val="00B20204"/>
    <w:rsid w:val="00B2027B"/>
    <w:rsid w:val="00B202FD"/>
    <w:rsid w:val="00B2039F"/>
    <w:rsid w:val="00B20441"/>
    <w:rsid w:val="00B205E1"/>
    <w:rsid w:val="00B206C5"/>
    <w:rsid w:val="00B206EB"/>
    <w:rsid w:val="00B206EF"/>
    <w:rsid w:val="00B2073D"/>
    <w:rsid w:val="00B207F3"/>
    <w:rsid w:val="00B20808"/>
    <w:rsid w:val="00B20880"/>
    <w:rsid w:val="00B20890"/>
    <w:rsid w:val="00B2089C"/>
    <w:rsid w:val="00B208FE"/>
    <w:rsid w:val="00B209DB"/>
    <w:rsid w:val="00B20A04"/>
    <w:rsid w:val="00B20A2B"/>
    <w:rsid w:val="00B20A41"/>
    <w:rsid w:val="00B20B02"/>
    <w:rsid w:val="00B20BA0"/>
    <w:rsid w:val="00B20CF3"/>
    <w:rsid w:val="00B20D1B"/>
    <w:rsid w:val="00B20DBD"/>
    <w:rsid w:val="00B20E73"/>
    <w:rsid w:val="00B20E85"/>
    <w:rsid w:val="00B20EFB"/>
    <w:rsid w:val="00B20F34"/>
    <w:rsid w:val="00B212E5"/>
    <w:rsid w:val="00B21303"/>
    <w:rsid w:val="00B21342"/>
    <w:rsid w:val="00B213A7"/>
    <w:rsid w:val="00B213E2"/>
    <w:rsid w:val="00B213F7"/>
    <w:rsid w:val="00B2143B"/>
    <w:rsid w:val="00B2152A"/>
    <w:rsid w:val="00B2160A"/>
    <w:rsid w:val="00B21612"/>
    <w:rsid w:val="00B2165C"/>
    <w:rsid w:val="00B21670"/>
    <w:rsid w:val="00B21672"/>
    <w:rsid w:val="00B216DD"/>
    <w:rsid w:val="00B21777"/>
    <w:rsid w:val="00B21796"/>
    <w:rsid w:val="00B217AA"/>
    <w:rsid w:val="00B2195D"/>
    <w:rsid w:val="00B21A2D"/>
    <w:rsid w:val="00B21A88"/>
    <w:rsid w:val="00B21B67"/>
    <w:rsid w:val="00B21C57"/>
    <w:rsid w:val="00B21D73"/>
    <w:rsid w:val="00B21EE0"/>
    <w:rsid w:val="00B21F2F"/>
    <w:rsid w:val="00B21F61"/>
    <w:rsid w:val="00B21FC5"/>
    <w:rsid w:val="00B21FFF"/>
    <w:rsid w:val="00B2207E"/>
    <w:rsid w:val="00B22178"/>
    <w:rsid w:val="00B221A1"/>
    <w:rsid w:val="00B221D9"/>
    <w:rsid w:val="00B221E5"/>
    <w:rsid w:val="00B221FF"/>
    <w:rsid w:val="00B223D6"/>
    <w:rsid w:val="00B223E1"/>
    <w:rsid w:val="00B22405"/>
    <w:rsid w:val="00B2266A"/>
    <w:rsid w:val="00B22758"/>
    <w:rsid w:val="00B22773"/>
    <w:rsid w:val="00B227F0"/>
    <w:rsid w:val="00B2286B"/>
    <w:rsid w:val="00B228DD"/>
    <w:rsid w:val="00B2292B"/>
    <w:rsid w:val="00B2293E"/>
    <w:rsid w:val="00B22B9C"/>
    <w:rsid w:val="00B22BFF"/>
    <w:rsid w:val="00B22C4B"/>
    <w:rsid w:val="00B22CD9"/>
    <w:rsid w:val="00B22D11"/>
    <w:rsid w:val="00B22D48"/>
    <w:rsid w:val="00B22D61"/>
    <w:rsid w:val="00B22D9B"/>
    <w:rsid w:val="00B22E2D"/>
    <w:rsid w:val="00B22EB3"/>
    <w:rsid w:val="00B22EF1"/>
    <w:rsid w:val="00B22F66"/>
    <w:rsid w:val="00B22FD5"/>
    <w:rsid w:val="00B2301E"/>
    <w:rsid w:val="00B23060"/>
    <w:rsid w:val="00B230FC"/>
    <w:rsid w:val="00B2312C"/>
    <w:rsid w:val="00B233F7"/>
    <w:rsid w:val="00B235B6"/>
    <w:rsid w:val="00B235CF"/>
    <w:rsid w:val="00B236C0"/>
    <w:rsid w:val="00B23799"/>
    <w:rsid w:val="00B237B3"/>
    <w:rsid w:val="00B237EE"/>
    <w:rsid w:val="00B2388A"/>
    <w:rsid w:val="00B238C1"/>
    <w:rsid w:val="00B23949"/>
    <w:rsid w:val="00B2394F"/>
    <w:rsid w:val="00B23A2C"/>
    <w:rsid w:val="00B23B3F"/>
    <w:rsid w:val="00B23B4A"/>
    <w:rsid w:val="00B23B6C"/>
    <w:rsid w:val="00B23B70"/>
    <w:rsid w:val="00B23BDA"/>
    <w:rsid w:val="00B23C76"/>
    <w:rsid w:val="00B23D1B"/>
    <w:rsid w:val="00B23D69"/>
    <w:rsid w:val="00B23D90"/>
    <w:rsid w:val="00B23DB4"/>
    <w:rsid w:val="00B23DD1"/>
    <w:rsid w:val="00B23DDE"/>
    <w:rsid w:val="00B23E08"/>
    <w:rsid w:val="00B23E4F"/>
    <w:rsid w:val="00B23E87"/>
    <w:rsid w:val="00B23ECD"/>
    <w:rsid w:val="00B23F64"/>
    <w:rsid w:val="00B2412C"/>
    <w:rsid w:val="00B241C2"/>
    <w:rsid w:val="00B24236"/>
    <w:rsid w:val="00B2449A"/>
    <w:rsid w:val="00B2459D"/>
    <w:rsid w:val="00B245FD"/>
    <w:rsid w:val="00B24770"/>
    <w:rsid w:val="00B2487A"/>
    <w:rsid w:val="00B249E5"/>
    <w:rsid w:val="00B24A75"/>
    <w:rsid w:val="00B24AB9"/>
    <w:rsid w:val="00B24ACA"/>
    <w:rsid w:val="00B24B22"/>
    <w:rsid w:val="00B24B44"/>
    <w:rsid w:val="00B24B62"/>
    <w:rsid w:val="00B24B9A"/>
    <w:rsid w:val="00B24C02"/>
    <w:rsid w:val="00B24C0E"/>
    <w:rsid w:val="00B24D27"/>
    <w:rsid w:val="00B24D28"/>
    <w:rsid w:val="00B24D2A"/>
    <w:rsid w:val="00B24D34"/>
    <w:rsid w:val="00B24E2E"/>
    <w:rsid w:val="00B24EB9"/>
    <w:rsid w:val="00B24EED"/>
    <w:rsid w:val="00B24F52"/>
    <w:rsid w:val="00B24F7B"/>
    <w:rsid w:val="00B24F89"/>
    <w:rsid w:val="00B24FC3"/>
    <w:rsid w:val="00B25085"/>
    <w:rsid w:val="00B250A7"/>
    <w:rsid w:val="00B250F2"/>
    <w:rsid w:val="00B25166"/>
    <w:rsid w:val="00B25267"/>
    <w:rsid w:val="00B252CD"/>
    <w:rsid w:val="00B2538A"/>
    <w:rsid w:val="00B253C7"/>
    <w:rsid w:val="00B25474"/>
    <w:rsid w:val="00B25695"/>
    <w:rsid w:val="00B25736"/>
    <w:rsid w:val="00B2577C"/>
    <w:rsid w:val="00B257A0"/>
    <w:rsid w:val="00B2587D"/>
    <w:rsid w:val="00B25892"/>
    <w:rsid w:val="00B258CC"/>
    <w:rsid w:val="00B2596A"/>
    <w:rsid w:val="00B259A4"/>
    <w:rsid w:val="00B259F5"/>
    <w:rsid w:val="00B25B14"/>
    <w:rsid w:val="00B25B16"/>
    <w:rsid w:val="00B25BEF"/>
    <w:rsid w:val="00B25BFA"/>
    <w:rsid w:val="00B25C83"/>
    <w:rsid w:val="00B25C88"/>
    <w:rsid w:val="00B25D28"/>
    <w:rsid w:val="00B25F3C"/>
    <w:rsid w:val="00B25F6C"/>
    <w:rsid w:val="00B25F87"/>
    <w:rsid w:val="00B25FEC"/>
    <w:rsid w:val="00B25FF2"/>
    <w:rsid w:val="00B260DF"/>
    <w:rsid w:val="00B26206"/>
    <w:rsid w:val="00B26297"/>
    <w:rsid w:val="00B26323"/>
    <w:rsid w:val="00B26336"/>
    <w:rsid w:val="00B26384"/>
    <w:rsid w:val="00B263AC"/>
    <w:rsid w:val="00B263CA"/>
    <w:rsid w:val="00B2647B"/>
    <w:rsid w:val="00B26482"/>
    <w:rsid w:val="00B264F7"/>
    <w:rsid w:val="00B2664B"/>
    <w:rsid w:val="00B2683F"/>
    <w:rsid w:val="00B26902"/>
    <w:rsid w:val="00B26920"/>
    <w:rsid w:val="00B26A10"/>
    <w:rsid w:val="00B26A25"/>
    <w:rsid w:val="00B26B24"/>
    <w:rsid w:val="00B26B40"/>
    <w:rsid w:val="00B26B47"/>
    <w:rsid w:val="00B26B58"/>
    <w:rsid w:val="00B26BCB"/>
    <w:rsid w:val="00B26CF0"/>
    <w:rsid w:val="00B26DF7"/>
    <w:rsid w:val="00B26F26"/>
    <w:rsid w:val="00B26FA3"/>
    <w:rsid w:val="00B27043"/>
    <w:rsid w:val="00B270AC"/>
    <w:rsid w:val="00B270BE"/>
    <w:rsid w:val="00B27186"/>
    <w:rsid w:val="00B2718D"/>
    <w:rsid w:val="00B27567"/>
    <w:rsid w:val="00B2762E"/>
    <w:rsid w:val="00B2773E"/>
    <w:rsid w:val="00B2789C"/>
    <w:rsid w:val="00B2797B"/>
    <w:rsid w:val="00B2798B"/>
    <w:rsid w:val="00B27A52"/>
    <w:rsid w:val="00B27B5E"/>
    <w:rsid w:val="00B27BB8"/>
    <w:rsid w:val="00B27D72"/>
    <w:rsid w:val="00B30005"/>
    <w:rsid w:val="00B30044"/>
    <w:rsid w:val="00B30059"/>
    <w:rsid w:val="00B30208"/>
    <w:rsid w:val="00B30382"/>
    <w:rsid w:val="00B303C0"/>
    <w:rsid w:val="00B303F8"/>
    <w:rsid w:val="00B30400"/>
    <w:rsid w:val="00B3042E"/>
    <w:rsid w:val="00B30464"/>
    <w:rsid w:val="00B3049C"/>
    <w:rsid w:val="00B304AF"/>
    <w:rsid w:val="00B30512"/>
    <w:rsid w:val="00B30800"/>
    <w:rsid w:val="00B30806"/>
    <w:rsid w:val="00B308F9"/>
    <w:rsid w:val="00B3092A"/>
    <w:rsid w:val="00B30943"/>
    <w:rsid w:val="00B30AEB"/>
    <w:rsid w:val="00B30B48"/>
    <w:rsid w:val="00B30C09"/>
    <w:rsid w:val="00B30D5D"/>
    <w:rsid w:val="00B30F98"/>
    <w:rsid w:val="00B3100C"/>
    <w:rsid w:val="00B31032"/>
    <w:rsid w:val="00B310C5"/>
    <w:rsid w:val="00B310E4"/>
    <w:rsid w:val="00B311DE"/>
    <w:rsid w:val="00B31280"/>
    <w:rsid w:val="00B3136D"/>
    <w:rsid w:val="00B31383"/>
    <w:rsid w:val="00B313E4"/>
    <w:rsid w:val="00B314A2"/>
    <w:rsid w:val="00B31512"/>
    <w:rsid w:val="00B31561"/>
    <w:rsid w:val="00B315E6"/>
    <w:rsid w:val="00B31683"/>
    <w:rsid w:val="00B316FD"/>
    <w:rsid w:val="00B317AA"/>
    <w:rsid w:val="00B317AC"/>
    <w:rsid w:val="00B317DF"/>
    <w:rsid w:val="00B318BE"/>
    <w:rsid w:val="00B318D4"/>
    <w:rsid w:val="00B31908"/>
    <w:rsid w:val="00B319A2"/>
    <w:rsid w:val="00B31A20"/>
    <w:rsid w:val="00B31A9B"/>
    <w:rsid w:val="00B31AF0"/>
    <w:rsid w:val="00B31B69"/>
    <w:rsid w:val="00B31BCD"/>
    <w:rsid w:val="00B31BCE"/>
    <w:rsid w:val="00B31CFF"/>
    <w:rsid w:val="00B31D19"/>
    <w:rsid w:val="00B31DF0"/>
    <w:rsid w:val="00B31E7D"/>
    <w:rsid w:val="00B31E88"/>
    <w:rsid w:val="00B320D5"/>
    <w:rsid w:val="00B32168"/>
    <w:rsid w:val="00B322AE"/>
    <w:rsid w:val="00B32443"/>
    <w:rsid w:val="00B3251B"/>
    <w:rsid w:val="00B32523"/>
    <w:rsid w:val="00B325D7"/>
    <w:rsid w:val="00B325F6"/>
    <w:rsid w:val="00B32766"/>
    <w:rsid w:val="00B3278B"/>
    <w:rsid w:val="00B32814"/>
    <w:rsid w:val="00B329C4"/>
    <w:rsid w:val="00B32A47"/>
    <w:rsid w:val="00B32A6D"/>
    <w:rsid w:val="00B32AAA"/>
    <w:rsid w:val="00B32AED"/>
    <w:rsid w:val="00B32BAC"/>
    <w:rsid w:val="00B32C7F"/>
    <w:rsid w:val="00B32C90"/>
    <w:rsid w:val="00B32DE0"/>
    <w:rsid w:val="00B32DF5"/>
    <w:rsid w:val="00B32E71"/>
    <w:rsid w:val="00B32EED"/>
    <w:rsid w:val="00B32FE9"/>
    <w:rsid w:val="00B32FF1"/>
    <w:rsid w:val="00B33149"/>
    <w:rsid w:val="00B3315B"/>
    <w:rsid w:val="00B33234"/>
    <w:rsid w:val="00B33264"/>
    <w:rsid w:val="00B3329C"/>
    <w:rsid w:val="00B333C7"/>
    <w:rsid w:val="00B3357E"/>
    <w:rsid w:val="00B335BF"/>
    <w:rsid w:val="00B33675"/>
    <w:rsid w:val="00B336B9"/>
    <w:rsid w:val="00B3383B"/>
    <w:rsid w:val="00B3395D"/>
    <w:rsid w:val="00B339A7"/>
    <w:rsid w:val="00B33A2C"/>
    <w:rsid w:val="00B33AB1"/>
    <w:rsid w:val="00B33AD3"/>
    <w:rsid w:val="00B33BA0"/>
    <w:rsid w:val="00B33BDB"/>
    <w:rsid w:val="00B33C03"/>
    <w:rsid w:val="00B33C68"/>
    <w:rsid w:val="00B33CB1"/>
    <w:rsid w:val="00B33CCB"/>
    <w:rsid w:val="00B33CCD"/>
    <w:rsid w:val="00B33D99"/>
    <w:rsid w:val="00B33DF4"/>
    <w:rsid w:val="00B33E1A"/>
    <w:rsid w:val="00B33E35"/>
    <w:rsid w:val="00B33E51"/>
    <w:rsid w:val="00B33E5E"/>
    <w:rsid w:val="00B33EA2"/>
    <w:rsid w:val="00B33F31"/>
    <w:rsid w:val="00B33F3C"/>
    <w:rsid w:val="00B3405A"/>
    <w:rsid w:val="00B34078"/>
    <w:rsid w:val="00B3408D"/>
    <w:rsid w:val="00B34271"/>
    <w:rsid w:val="00B342BF"/>
    <w:rsid w:val="00B342D2"/>
    <w:rsid w:val="00B342D3"/>
    <w:rsid w:val="00B34409"/>
    <w:rsid w:val="00B34604"/>
    <w:rsid w:val="00B3463E"/>
    <w:rsid w:val="00B346EC"/>
    <w:rsid w:val="00B34893"/>
    <w:rsid w:val="00B34B59"/>
    <w:rsid w:val="00B34BDA"/>
    <w:rsid w:val="00B34C08"/>
    <w:rsid w:val="00B34CED"/>
    <w:rsid w:val="00B34DC8"/>
    <w:rsid w:val="00B34DCD"/>
    <w:rsid w:val="00B34E78"/>
    <w:rsid w:val="00B34EED"/>
    <w:rsid w:val="00B34F0C"/>
    <w:rsid w:val="00B34F41"/>
    <w:rsid w:val="00B35012"/>
    <w:rsid w:val="00B3513A"/>
    <w:rsid w:val="00B35150"/>
    <w:rsid w:val="00B35295"/>
    <w:rsid w:val="00B3538C"/>
    <w:rsid w:val="00B353B6"/>
    <w:rsid w:val="00B3549E"/>
    <w:rsid w:val="00B355C8"/>
    <w:rsid w:val="00B356EC"/>
    <w:rsid w:val="00B35772"/>
    <w:rsid w:val="00B357C6"/>
    <w:rsid w:val="00B3586B"/>
    <w:rsid w:val="00B358E1"/>
    <w:rsid w:val="00B359C8"/>
    <w:rsid w:val="00B35A02"/>
    <w:rsid w:val="00B35A39"/>
    <w:rsid w:val="00B35A56"/>
    <w:rsid w:val="00B35A6E"/>
    <w:rsid w:val="00B35A85"/>
    <w:rsid w:val="00B35AE2"/>
    <w:rsid w:val="00B35BBA"/>
    <w:rsid w:val="00B35CB3"/>
    <w:rsid w:val="00B35CC3"/>
    <w:rsid w:val="00B35CE5"/>
    <w:rsid w:val="00B35E06"/>
    <w:rsid w:val="00B35E08"/>
    <w:rsid w:val="00B35E53"/>
    <w:rsid w:val="00B36093"/>
    <w:rsid w:val="00B36100"/>
    <w:rsid w:val="00B36138"/>
    <w:rsid w:val="00B361E5"/>
    <w:rsid w:val="00B3625E"/>
    <w:rsid w:val="00B3632D"/>
    <w:rsid w:val="00B36360"/>
    <w:rsid w:val="00B3639D"/>
    <w:rsid w:val="00B36400"/>
    <w:rsid w:val="00B3640A"/>
    <w:rsid w:val="00B36716"/>
    <w:rsid w:val="00B3671D"/>
    <w:rsid w:val="00B3685E"/>
    <w:rsid w:val="00B36A2A"/>
    <w:rsid w:val="00B36A42"/>
    <w:rsid w:val="00B36AEA"/>
    <w:rsid w:val="00B36B03"/>
    <w:rsid w:val="00B36BC2"/>
    <w:rsid w:val="00B36C64"/>
    <w:rsid w:val="00B36D80"/>
    <w:rsid w:val="00B36E43"/>
    <w:rsid w:val="00B37053"/>
    <w:rsid w:val="00B37074"/>
    <w:rsid w:val="00B370D9"/>
    <w:rsid w:val="00B371C9"/>
    <w:rsid w:val="00B37288"/>
    <w:rsid w:val="00B37364"/>
    <w:rsid w:val="00B373E3"/>
    <w:rsid w:val="00B3757F"/>
    <w:rsid w:val="00B375C8"/>
    <w:rsid w:val="00B37641"/>
    <w:rsid w:val="00B377BA"/>
    <w:rsid w:val="00B3784C"/>
    <w:rsid w:val="00B37953"/>
    <w:rsid w:val="00B37999"/>
    <w:rsid w:val="00B379B7"/>
    <w:rsid w:val="00B379C7"/>
    <w:rsid w:val="00B37B49"/>
    <w:rsid w:val="00B37B59"/>
    <w:rsid w:val="00B37C49"/>
    <w:rsid w:val="00B37D3E"/>
    <w:rsid w:val="00B37DDC"/>
    <w:rsid w:val="00B37DF4"/>
    <w:rsid w:val="00B37E9B"/>
    <w:rsid w:val="00B37EE2"/>
    <w:rsid w:val="00B37F8B"/>
    <w:rsid w:val="00B400C5"/>
    <w:rsid w:val="00B4013B"/>
    <w:rsid w:val="00B40169"/>
    <w:rsid w:val="00B4020C"/>
    <w:rsid w:val="00B402A1"/>
    <w:rsid w:val="00B402FD"/>
    <w:rsid w:val="00B4038E"/>
    <w:rsid w:val="00B403A2"/>
    <w:rsid w:val="00B4043D"/>
    <w:rsid w:val="00B404AE"/>
    <w:rsid w:val="00B4098F"/>
    <w:rsid w:val="00B409F9"/>
    <w:rsid w:val="00B40A84"/>
    <w:rsid w:val="00B40B77"/>
    <w:rsid w:val="00B40BA8"/>
    <w:rsid w:val="00B40C20"/>
    <w:rsid w:val="00B40C95"/>
    <w:rsid w:val="00B40CA9"/>
    <w:rsid w:val="00B40CB4"/>
    <w:rsid w:val="00B40CE9"/>
    <w:rsid w:val="00B40DD9"/>
    <w:rsid w:val="00B40E21"/>
    <w:rsid w:val="00B40E5C"/>
    <w:rsid w:val="00B40F32"/>
    <w:rsid w:val="00B410D0"/>
    <w:rsid w:val="00B410D8"/>
    <w:rsid w:val="00B4119D"/>
    <w:rsid w:val="00B4122C"/>
    <w:rsid w:val="00B41295"/>
    <w:rsid w:val="00B412FB"/>
    <w:rsid w:val="00B41331"/>
    <w:rsid w:val="00B4133B"/>
    <w:rsid w:val="00B41460"/>
    <w:rsid w:val="00B41470"/>
    <w:rsid w:val="00B414A8"/>
    <w:rsid w:val="00B414F3"/>
    <w:rsid w:val="00B41538"/>
    <w:rsid w:val="00B41651"/>
    <w:rsid w:val="00B416AA"/>
    <w:rsid w:val="00B416DA"/>
    <w:rsid w:val="00B4176C"/>
    <w:rsid w:val="00B41771"/>
    <w:rsid w:val="00B417F3"/>
    <w:rsid w:val="00B41972"/>
    <w:rsid w:val="00B4199A"/>
    <w:rsid w:val="00B419A6"/>
    <w:rsid w:val="00B41A56"/>
    <w:rsid w:val="00B41A59"/>
    <w:rsid w:val="00B41B5D"/>
    <w:rsid w:val="00B41C15"/>
    <w:rsid w:val="00B41C51"/>
    <w:rsid w:val="00B41C9F"/>
    <w:rsid w:val="00B41D7D"/>
    <w:rsid w:val="00B41DC5"/>
    <w:rsid w:val="00B41E39"/>
    <w:rsid w:val="00B41EF0"/>
    <w:rsid w:val="00B41F50"/>
    <w:rsid w:val="00B41F75"/>
    <w:rsid w:val="00B41F77"/>
    <w:rsid w:val="00B41FF0"/>
    <w:rsid w:val="00B4203A"/>
    <w:rsid w:val="00B42098"/>
    <w:rsid w:val="00B421D8"/>
    <w:rsid w:val="00B421FE"/>
    <w:rsid w:val="00B4248A"/>
    <w:rsid w:val="00B424AE"/>
    <w:rsid w:val="00B426FA"/>
    <w:rsid w:val="00B4270C"/>
    <w:rsid w:val="00B42772"/>
    <w:rsid w:val="00B4280C"/>
    <w:rsid w:val="00B42893"/>
    <w:rsid w:val="00B428DB"/>
    <w:rsid w:val="00B42938"/>
    <w:rsid w:val="00B4294D"/>
    <w:rsid w:val="00B4299E"/>
    <w:rsid w:val="00B42AAE"/>
    <w:rsid w:val="00B42AC1"/>
    <w:rsid w:val="00B42AF0"/>
    <w:rsid w:val="00B42AF1"/>
    <w:rsid w:val="00B42C15"/>
    <w:rsid w:val="00B42CB7"/>
    <w:rsid w:val="00B42CE4"/>
    <w:rsid w:val="00B42D1C"/>
    <w:rsid w:val="00B42DC4"/>
    <w:rsid w:val="00B42F08"/>
    <w:rsid w:val="00B42F58"/>
    <w:rsid w:val="00B4305F"/>
    <w:rsid w:val="00B43082"/>
    <w:rsid w:val="00B430F6"/>
    <w:rsid w:val="00B4314D"/>
    <w:rsid w:val="00B43179"/>
    <w:rsid w:val="00B4320F"/>
    <w:rsid w:val="00B4321F"/>
    <w:rsid w:val="00B432BF"/>
    <w:rsid w:val="00B43378"/>
    <w:rsid w:val="00B43427"/>
    <w:rsid w:val="00B4346C"/>
    <w:rsid w:val="00B434B0"/>
    <w:rsid w:val="00B4351F"/>
    <w:rsid w:val="00B435D9"/>
    <w:rsid w:val="00B435DA"/>
    <w:rsid w:val="00B435FC"/>
    <w:rsid w:val="00B4383D"/>
    <w:rsid w:val="00B43869"/>
    <w:rsid w:val="00B4395E"/>
    <w:rsid w:val="00B439D4"/>
    <w:rsid w:val="00B439F9"/>
    <w:rsid w:val="00B43ADD"/>
    <w:rsid w:val="00B43B49"/>
    <w:rsid w:val="00B43BC3"/>
    <w:rsid w:val="00B43BE0"/>
    <w:rsid w:val="00B43D6B"/>
    <w:rsid w:val="00B43F22"/>
    <w:rsid w:val="00B440A2"/>
    <w:rsid w:val="00B442AD"/>
    <w:rsid w:val="00B4435A"/>
    <w:rsid w:val="00B44458"/>
    <w:rsid w:val="00B444F5"/>
    <w:rsid w:val="00B4458E"/>
    <w:rsid w:val="00B445B7"/>
    <w:rsid w:val="00B445B9"/>
    <w:rsid w:val="00B445EB"/>
    <w:rsid w:val="00B44604"/>
    <w:rsid w:val="00B44648"/>
    <w:rsid w:val="00B44749"/>
    <w:rsid w:val="00B447CF"/>
    <w:rsid w:val="00B4487F"/>
    <w:rsid w:val="00B44890"/>
    <w:rsid w:val="00B448B7"/>
    <w:rsid w:val="00B44B2C"/>
    <w:rsid w:val="00B44B4D"/>
    <w:rsid w:val="00B44C99"/>
    <w:rsid w:val="00B44CE7"/>
    <w:rsid w:val="00B44E19"/>
    <w:rsid w:val="00B44E28"/>
    <w:rsid w:val="00B44ECF"/>
    <w:rsid w:val="00B450CA"/>
    <w:rsid w:val="00B450F0"/>
    <w:rsid w:val="00B45298"/>
    <w:rsid w:val="00B452C9"/>
    <w:rsid w:val="00B452D0"/>
    <w:rsid w:val="00B4530B"/>
    <w:rsid w:val="00B45348"/>
    <w:rsid w:val="00B45356"/>
    <w:rsid w:val="00B453A2"/>
    <w:rsid w:val="00B45408"/>
    <w:rsid w:val="00B4540E"/>
    <w:rsid w:val="00B45517"/>
    <w:rsid w:val="00B455FE"/>
    <w:rsid w:val="00B45670"/>
    <w:rsid w:val="00B456B9"/>
    <w:rsid w:val="00B456D6"/>
    <w:rsid w:val="00B456FE"/>
    <w:rsid w:val="00B457D6"/>
    <w:rsid w:val="00B457FE"/>
    <w:rsid w:val="00B45858"/>
    <w:rsid w:val="00B4585E"/>
    <w:rsid w:val="00B4598C"/>
    <w:rsid w:val="00B45A2C"/>
    <w:rsid w:val="00B45A8D"/>
    <w:rsid w:val="00B45AA6"/>
    <w:rsid w:val="00B45B84"/>
    <w:rsid w:val="00B45B9F"/>
    <w:rsid w:val="00B45BCC"/>
    <w:rsid w:val="00B45D15"/>
    <w:rsid w:val="00B45D1B"/>
    <w:rsid w:val="00B45D3B"/>
    <w:rsid w:val="00B45D56"/>
    <w:rsid w:val="00B45D8A"/>
    <w:rsid w:val="00B45D8B"/>
    <w:rsid w:val="00B45DCF"/>
    <w:rsid w:val="00B45DE2"/>
    <w:rsid w:val="00B45DEB"/>
    <w:rsid w:val="00B45E23"/>
    <w:rsid w:val="00B45E93"/>
    <w:rsid w:val="00B45EA3"/>
    <w:rsid w:val="00B45ED3"/>
    <w:rsid w:val="00B45FC8"/>
    <w:rsid w:val="00B460AA"/>
    <w:rsid w:val="00B460FB"/>
    <w:rsid w:val="00B46121"/>
    <w:rsid w:val="00B46130"/>
    <w:rsid w:val="00B461BA"/>
    <w:rsid w:val="00B461D4"/>
    <w:rsid w:val="00B463AE"/>
    <w:rsid w:val="00B463DE"/>
    <w:rsid w:val="00B463F1"/>
    <w:rsid w:val="00B4649C"/>
    <w:rsid w:val="00B464AB"/>
    <w:rsid w:val="00B464D3"/>
    <w:rsid w:val="00B464E8"/>
    <w:rsid w:val="00B46533"/>
    <w:rsid w:val="00B4654B"/>
    <w:rsid w:val="00B465EB"/>
    <w:rsid w:val="00B465F4"/>
    <w:rsid w:val="00B46690"/>
    <w:rsid w:val="00B4675F"/>
    <w:rsid w:val="00B46781"/>
    <w:rsid w:val="00B467DC"/>
    <w:rsid w:val="00B4680D"/>
    <w:rsid w:val="00B4688A"/>
    <w:rsid w:val="00B46A37"/>
    <w:rsid w:val="00B46A6F"/>
    <w:rsid w:val="00B46A9B"/>
    <w:rsid w:val="00B46AB3"/>
    <w:rsid w:val="00B46C3B"/>
    <w:rsid w:val="00B46C57"/>
    <w:rsid w:val="00B46E99"/>
    <w:rsid w:val="00B46EBF"/>
    <w:rsid w:val="00B46F4B"/>
    <w:rsid w:val="00B47093"/>
    <w:rsid w:val="00B470B2"/>
    <w:rsid w:val="00B470DF"/>
    <w:rsid w:val="00B4714F"/>
    <w:rsid w:val="00B47198"/>
    <w:rsid w:val="00B471F5"/>
    <w:rsid w:val="00B47208"/>
    <w:rsid w:val="00B47245"/>
    <w:rsid w:val="00B47268"/>
    <w:rsid w:val="00B47385"/>
    <w:rsid w:val="00B474A4"/>
    <w:rsid w:val="00B47616"/>
    <w:rsid w:val="00B47663"/>
    <w:rsid w:val="00B4782B"/>
    <w:rsid w:val="00B4784A"/>
    <w:rsid w:val="00B47859"/>
    <w:rsid w:val="00B4798D"/>
    <w:rsid w:val="00B47AA2"/>
    <w:rsid w:val="00B47C9D"/>
    <w:rsid w:val="00B47CBD"/>
    <w:rsid w:val="00B47E55"/>
    <w:rsid w:val="00B50006"/>
    <w:rsid w:val="00B500B7"/>
    <w:rsid w:val="00B500C6"/>
    <w:rsid w:val="00B501E3"/>
    <w:rsid w:val="00B50271"/>
    <w:rsid w:val="00B502A2"/>
    <w:rsid w:val="00B50465"/>
    <w:rsid w:val="00B5052B"/>
    <w:rsid w:val="00B5056D"/>
    <w:rsid w:val="00B505B2"/>
    <w:rsid w:val="00B5065A"/>
    <w:rsid w:val="00B506B1"/>
    <w:rsid w:val="00B5081C"/>
    <w:rsid w:val="00B50841"/>
    <w:rsid w:val="00B50855"/>
    <w:rsid w:val="00B508C5"/>
    <w:rsid w:val="00B508D1"/>
    <w:rsid w:val="00B50947"/>
    <w:rsid w:val="00B50A0A"/>
    <w:rsid w:val="00B50A11"/>
    <w:rsid w:val="00B50BCF"/>
    <w:rsid w:val="00B50C32"/>
    <w:rsid w:val="00B50C4C"/>
    <w:rsid w:val="00B50D82"/>
    <w:rsid w:val="00B50E9E"/>
    <w:rsid w:val="00B50F37"/>
    <w:rsid w:val="00B511F8"/>
    <w:rsid w:val="00B5123A"/>
    <w:rsid w:val="00B51257"/>
    <w:rsid w:val="00B5126E"/>
    <w:rsid w:val="00B51330"/>
    <w:rsid w:val="00B51336"/>
    <w:rsid w:val="00B51338"/>
    <w:rsid w:val="00B5137C"/>
    <w:rsid w:val="00B513E0"/>
    <w:rsid w:val="00B513E4"/>
    <w:rsid w:val="00B5143D"/>
    <w:rsid w:val="00B51503"/>
    <w:rsid w:val="00B51576"/>
    <w:rsid w:val="00B51673"/>
    <w:rsid w:val="00B51690"/>
    <w:rsid w:val="00B516FB"/>
    <w:rsid w:val="00B51774"/>
    <w:rsid w:val="00B517B1"/>
    <w:rsid w:val="00B517EF"/>
    <w:rsid w:val="00B51853"/>
    <w:rsid w:val="00B519C7"/>
    <w:rsid w:val="00B51A16"/>
    <w:rsid w:val="00B51A21"/>
    <w:rsid w:val="00B51A5C"/>
    <w:rsid w:val="00B51A5F"/>
    <w:rsid w:val="00B51BF1"/>
    <w:rsid w:val="00B51C50"/>
    <w:rsid w:val="00B51CD8"/>
    <w:rsid w:val="00B51DAA"/>
    <w:rsid w:val="00B51DAD"/>
    <w:rsid w:val="00B51DC0"/>
    <w:rsid w:val="00B51DDC"/>
    <w:rsid w:val="00B51EAD"/>
    <w:rsid w:val="00B52030"/>
    <w:rsid w:val="00B52064"/>
    <w:rsid w:val="00B5206B"/>
    <w:rsid w:val="00B520A9"/>
    <w:rsid w:val="00B520CA"/>
    <w:rsid w:val="00B520D7"/>
    <w:rsid w:val="00B5210E"/>
    <w:rsid w:val="00B52123"/>
    <w:rsid w:val="00B5218D"/>
    <w:rsid w:val="00B5226F"/>
    <w:rsid w:val="00B52324"/>
    <w:rsid w:val="00B52581"/>
    <w:rsid w:val="00B52598"/>
    <w:rsid w:val="00B527B9"/>
    <w:rsid w:val="00B5287D"/>
    <w:rsid w:val="00B52A00"/>
    <w:rsid w:val="00B52A6C"/>
    <w:rsid w:val="00B52C29"/>
    <w:rsid w:val="00B52C34"/>
    <w:rsid w:val="00B52C62"/>
    <w:rsid w:val="00B52D0F"/>
    <w:rsid w:val="00B52D1E"/>
    <w:rsid w:val="00B52D60"/>
    <w:rsid w:val="00B52D8D"/>
    <w:rsid w:val="00B52E7C"/>
    <w:rsid w:val="00B52EC3"/>
    <w:rsid w:val="00B52ED3"/>
    <w:rsid w:val="00B52EDF"/>
    <w:rsid w:val="00B52F66"/>
    <w:rsid w:val="00B52FF8"/>
    <w:rsid w:val="00B530C9"/>
    <w:rsid w:val="00B531BB"/>
    <w:rsid w:val="00B531DB"/>
    <w:rsid w:val="00B53326"/>
    <w:rsid w:val="00B53353"/>
    <w:rsid w:val="00B533FE"/>
    <w:rsid w:val="00B534C7"/>
    <w:rsid w:val="00B535E6"/>
    <w:rsid w:val="00B537FE"/>
    <w:rsid w:val="00B538E1"/>
    <w:rsid w:val="00B538F7"/>
    <w:rsid w:val="00B5394F"/>
    <w:rsid w:val="00B539D9"/>
    <w:rsid w:val="00B53A96"/>
    <w:rsid w:val="00B53BB4"/>
    <w:rsid w:val="00B53BDF"/>
    <w:rsid w:val="00B53DDF"/>
    <w:rsid w:val="00B53DE9"/>
    <w:rsid w:val="00B53DFA"/>
    <w:rsid w:val="00B53E47"/>
    <w:rsid w:val="00B53E63"/>
    <w:rsid w:val="00B53F36"/>
    <w:rsid w:val="00B54101"/>
    <w:rsid w:val="00B541AC"/>
    <w:rsid w:val="00B542BC"/>
    <w:rsid w:val="00B5433C"/>
    <w:rsid w:val="00B54393"/>
    <w:rsid w:val="00B543B6"/>
    <w:rsid w:val="00B54445"/>
    <w:rsid w:val="00B54471"/>
    <w:rsid w:val="00B54727"/>
    <w:rsid w:val="00B54774"/>
    <w:rsid w:val="00B547FF"/>
    <w:rsid w:val="00B548A4"/>
    <w:rsid w:val="00B548EC"/>
    <w:rsid w:val="00B54BC9"/>
    <w:rsid w:val="00B54CD8"/>
    <w:rsid w:val="00B54CEA"/>
    <w:rsid w:val="00B54D5C"/>
    <w:rsid w:val="00B54E27"/>
    <w:rsid w:val="00B54EC0"/>
    <w:rsid w:val="00B54EC4"/>
    <w:rsid w:val="00B54F09"/>
    <w:rsid w:val="00B54F53"/>
    <w:rsid w:val="00B55138"/>
    <w:rsid w:val="00B55169"/>
    <w:rsid w:val="00B551A7"/>
    <w:rsid w:val="00B551AE"/>
    <w:rsid w:val="00B551AF"/>
    <w:rsid w:val="00B551E3"/>
    <w:rsid w:val="00B55237"/>
    <w:rsid w:val="00B55239"/>
    <w:rsid w:val="00B5528C"/>
    <w:rsid w:val="00B5546A"/>
    <w:rsid w:val="00B55476"/>
    <w:rsid w:val="00B554F6"/>
    <w:rsid w:val="00B55550"/>
    <w:rsid w:val="00B555B1"/>
    <w:rsid w:val="00B556DB"/>
    <w:rsid w:val="00B55740"/>
    <w:rsid w:val="00B557B5"/>
    <w:rsid w:val="00B557B9"/>
    <w:rsid w:val="00B557CC"/>
    <w:rsid w:val="00B55892"/>
    <w:rsid w:val="00B558F0"/>
    <w:rsid w:val="00B559EC"/>
    <w:rsid w:val="00B55AA2"/>
    <w:rsid w:val="00B55AE5"/>
    <w:rsid w:val="00B55C1E"/>
    <w:rsid w:val="00B55C72"/>
    <w:rsid w:val="00B55C7C"/>
    <w:rsid w:val="00B55DCD"/>
    <w:rsid w:val="00B55EA5"/>
    <w:rsid w:val="00B55EE4"/>
    <w:rsid w:val="00B55EEF"/>
    <w:rsid w:val="00B55F25"/>
    <w:rsid w:val="00B560BC"/>
    <w:rsid w:val="00B56110"/>
    <w:rsid w:val="00B56205"/>
    <w:rsid w:val="00B56308"/>
    <w:rsid w:val="00B563CD"/>
    <w:rsid w:val="00B563E0"/>
    <w:rsid w:val="00B56640"/>
    <w:rsid w:val="00B566BE"/>
    <w:rsid w:val="00B567F0"/>
    <w:rsid w:val="00B56816"/>
    <w:rsid w:val="00B56877"/>
    <w:rsid w:val="00B568DD"/>
    <w:rsid w:val="00B56919"/>
    <w:rsid w:val="00B569A7"/>
    <w:rsid w:val="00B569D7"/>
    <w:rsid w:val="00B56A6A"/>
    <w:rsid w:val="00B56B8F"/>
    <w:rsid w:val="00B56BFF"/>
    <w:rsid w:val="00B56C78"/>
    <w:rsid w:val="00B56D16"/>
    <w:rsid w:val="00B56DB1"/>
    <w:rsid w:val="00B56DCB"/>
    <w:rsid w:val="00B56EDF"/>
    <w:rsid w:val="00B56EFE"/>
    <w:rsid w:val="00B56FCE"/>
    <w:rsid w:val="00B56FED"/>
    <w:rsid w:val="00B571FB"/>
    <w:rsid w:val="00B57232"/>
    <w:rsid w:val="00B5726D"/>
    <w:rsid w:val="00B572BD"/>
    <w:rsid w:val="00B5732A"/>
    <w:rsid w:val="00B5739A"/>
    <w:rsid w:val="00B573C0"/>
    <w:rsid w:val="00B5743F"/>
    <w:rsid w:val="00B5748A"/>
    <w:rsid w:val="00B574AB"/>
    <w:rsid w:val="00B574AF"/>
    <w:rsid w:val="00B57593"/>
    <w:rsid w:val="00B57676"/>
    <w:rsid w:val="00B576B2"/>
    <w:rsid w:val="00B57827"/>
    <w:rsid w:val="00B5788F"/>
    <w:rsid w:val="00B5795A"/>
    <w:rsid w:val="00B579E1"/>
    <w:rsid w:val="00B57A07"/>
    <w:rsid w:val="00B57BA5"/>
    <w:rsid w:val="00B57BFC"/>
    <w:rsid w:val="00B57C39"/>
    <w:rsid w:val="00B57DEB"/>
    <w:rsid w:val="00B57E1C"/>
    <w:rsid w:val="00B57E4A"/>
    <w:rsid w:val="00B57E61"/>
    <w:rsid w:val="00B57EB7"/>
    <w:rsid w:val="00B57EDC"/>
    <w:rsid w:val="00B57F4E"/>
    <w:rsid w:val="00B60093"/>
    <w:rsid w:val="00B600E0"/>
    <w:rsid w:val="00B601C3"/>
    <w:rsid w:val="00B60295"/>
    <w:rsid w:val="00B6038B"/>
    <w:rsid w:val="00B604A7"/>
    <w:rsid w:val="00B6052C"/>
    <w:rsid w:val="00B60619"/>
    <w:rsid w:val="00B6075C"/>
    <w:rsid w:val="00B6081E"/>
    <w:rsid w:val="00B6087B"/>
    <w:rsid w:val="00B608CB"/>
    <w:rsid w:val="00B609AB"/>
    <w:rsid w:val="00B60A7D"/>
    <w:rsid w:val="00B60BD7"/>
    <w:rsid w:val="00B60BFD"/>
    <w:rsid w:val="00B60C37"/>
    <w:rsid w:val="00B60CF8"/>
    <w:rsid w:val="00B60D47"/>
    <w:rsid w:val="00B60E08"/>
    <w:rsid w:val="00B60E1A"/>
    <w:rsid w:val="00B60E1E"/>
    <w:rsid w:val="00B60E2F"/>
    <w:rsid w:val="00B60E51"/>
    <w:rsid w:val="00B60F86"/>
    <w:rsid w:val="00B60F8D"/>
    <w:rsid w:val="00B60FFE"/>
    <w:rsid w:val="00B611B6"/>
    <w:rsid w:val="00B6128B"/>
    <w:rsid w:val="00B61345"/>
    <w:rsid w:val="00B61370"/>
    <w:rsid w:val="00B61387"/>
    <w:rsid w:val="00B613C9"/>
    <w:rsid w:val="00B61435"/>
    <w:rsid w:val="00B61562"/>
    <w:rsid w:val="00B61694"/>
    <w:rsid w:val="00B6172C"/>
    <w:rsid w:val="00B617C5"/>
    <w:rsid w:val="00B617E1"/>
    <w:rsid w:val="00B61935"/>
    <w:rsid w:val="00B6197D"/>
    <w:rsid w:val="00B61A4C"/>
    <w:rsid w:val="00B61A58"/>
    <w:rsid w:val="00B61A68"/>
    <w:rsid w:val="00B61AB3"/>
    <w:rsid w:val="00B61ABF"/>
    <w:rsid w:val="00B61ADA"/>
    <w:rsid w:val="00B61B30"/>
    <w:rsid w:val="00B61C0D"/>
    <w:rsid w:val="00B61C6F"/>
    <w:rsid w:val="00B61D64"/>
    <w:rsid w:val="00B61E73"/>
    <w:rsid w:val="00B61EF3"/>
    <w:rsid w:val="00B61F2A"/>
    <w:rsid w:val="00B61FEB"/>
    <w:rsid w:val="00B61FFC"/>
    <w:rsid w:val="00B62009"/>
    <w:rsid w:val="00B6202F"/>
    <w:rsid w:val="00B62137"/>
    <w:rsid w:val="00B6213F"/>
    <w:rsid w:val="00B622A5"/>
    <w:rsid w:val="00B6231F"/>
    <w:rsid w:val="00B62324"/>
    <w:rsid w:val="00B62398"/>
    <w:rsid w:val="00B623DB"/>
    <w:rsid w:val="00B623EC"/>
    <w:rsid w:val="00B6250B"/>
    <w:rsid w:val="00B62535"/>
    <w:rsid w:val="00B62553"/>
    <w:rsid w:val="00B6261A"/>
    <w:rsid w:val="00B6265A"/>
    <w:rsid w:val="00B62700"/>
    <w:rsid w:val="00B62760"/>
    <w:rsid w:val="00B6282F"/>
    <w:rsid w:val="00B62848"/>
    <w:rsid w:val="00B628A7"/>
    <w:rsid w:val="00B628C3"/>
    <w:rsid w:val="00B62983"/>
    <w:rsid w:val="00B629DA"/>
    <w:rsid w:val="00B62A93"/>
    <w:rsid w:val="00B62B2C"/>
    <w:rsid w:val="00B62C26"/>
    <w:rsid w:val="00B62D5C"/>
    <w:rsid w:val="00B62DDA"/>
    <w:rsid w:val="00B62E08"/>
    <w:rsid w:val="00B62E26"/>
    <w:rsid w:val="00B62E5A"/>
    <w:rsid w:val="00B62E85"/>
    <w:rsid w:val="00B62F0C"/>
    <w:rsid w:val="00B63039"/>
    <w:rsid w:val="00B63044"/>
    <w:rsid w:val="00B63054"/>
    <w:rsid w:val="00B6317C"/>
    <w:rsid w:val="00B632A7"/>
    <w:rsid w:val="00B6332A"/>
    <w:rsid w:val="00B633F3"/>
    <w:rsid w:val="00B63466"/>
    <w:rsid w:val="00B635CD"/>
    <w:rsid w:val="00B63718"/>
    <w:rsid w:val="00B637AA"/>
    <w:rsid w:val="00B637E0"/>
    <w:rsid w:val="00B6387B"/>
    <w:rsid w:val="00B6398A"/>
    <w:rsid w:val="00B63A65"/>
    <w:rsid w:val="00B63ADA"/>
    <w:rsid w:val="00B63B38"/>
    <w:rsid w:val="00B63C71"/>
    <w:rsid w:val="00B63EEB"/>
    <w:rsid w:val="00B63F6E"/>
    <w:rsid w:val="00B63FB7"/>
    <w:rsid w:val="00B63FF6"/>
    <w:rsid w:val="00B6401F"/>
    <w:rsid w:val="00B64026"/>
    <w:rsid w:val="00B64050"/>
    <w:rsid w:val="00B641CA"/>
    <w:rsid w:val="00B641D0"/>
    <w:rsid w:val="00B641E6"/>
    <w:rsid w:val="00B642BE"/>
    <w:rsid w:val="00B64443"/>
    <w:rsid w:val="00B6445E"/>
    <w:rsid w:val="00B644BB"/>
    <w:rsid w:val="00B645D2"/>
    <w:rsid w:val="00B645E4"/>
    <w:rsid w:val="00B64665"/>
    <w:rsid w:val="00B6473B"/>
    <w:rsid w:val="00B6489E"/>
    <w:rsid w:val="00B64A94"/>
    <w:rsid w:val="00B64B11"/>
    <w:rsid w:val="00B64B1C"/>
    <w:rsid w:val="00B64B32"/>
    <w:rsid w:val="00B64B5A"/>
    <w:rsid w:val="00B64B95"/>
    <w:rsid w:val="00B64BAF"/>
    <w:rsid w:val="00B64C83"/>
    <w:rsid w:val="00B64CD7"/>
    <w:rsid w:val="00B64D39"/>
    <w:rsid w:val="00B64E1E"/>
    <w:rsid w:val="00B64E76"/>
    <w:rsid w:val="00B64ED6"/>
    <w:rsid w:val="00B64F60"/>
    <w:rsid w:val="00B64F80"/>
    <w:rsid w:val="00B65024"/>
    <w:rsid w:val="00B65071"/>
    <w:rsid w:val="00B650A1"/>
    <w:rsid w:val="00B650EA"/>
    <w:rsid w:val="00B65192"/>
    <w:rsid w:val="00B651BE"/>
    <w:rsid w:val="00B65256"/>
    <w:rsid w:val="00B65306"/>
    <w:rsid w:val="00B65347"/>
    <w:rsid w:val="00B65367"/>
    <w:rsid w:val="00B653EA"/>
    <w:rsid w:val="00B6545C"/>
    <w:rsid w:val="00B65538"/>
    <w:rsid w:val="00B65690"/>
    <w:rsid w:val="00B656CC"/>
    <w:rsid w:val="00B656D0"/>
    <w:rsid w:val="00B657A6"/>
    <w:rsid w:val="00B657CA"/>
    <w:rsid w:val="00B658BA"/>
    <w:rsid w:val="00B658F8"/>
    <w:rsid w:val="00B65A5D"/>
    <w:rsid w:val="00B65A60"/>
    <w:rsid w:val="00B65ABB"/>
    <w:rsid w:val="00B65B0A"/>
    <w:rsid w:val="00B65B38"/>
    <w:rsid w:val="00B65B6B"/>
    <w:rsid w:val="00B65BF5"/>
    <w:rsid w:val="00B65C5D"/>
    <w:rsid w:val="00B65CC1"/>
    <w:rsid w:val="00B65CEB"/>
    <w:rsid w:val="00B65DAA"/>
    <w:rsid w:val="00B65F74"/>
    <w:rsid w:val="00B65F89"/>
    <w:rsid w:val="00B6604F"/>
    <w:rsid w:val="00B66068"/>
    <w:rsid w:val="00B6609C"/>
    <w:rsid w:val="00B66147"/>
    <w:rsid w:val="00B66166"/>
    <w:rsid w:val="00B6618C"/>
    <w:rsid w:val="00B661AD"/>
    <w:rsid w:val="00B661CF"/>
    <w:rsid w:val="00B661D8"/>
    <w:rsid w:val="00B66255"/>
    <w:rsid w:val="00B6629A"/>
    <w:rsid w:val="00B663F1"/>
    <w:rsid w:val="00B663F8"/>
    <w:rsid w:val="00B66459"/>
    <w:rsid w:val="00B6653B"/>
    <w:rsid w:val="00B66543"/>
    <w:rsid w:val="00B66574"/>
    <w:rsid w:val="00B66692"/>
    <w:rsid w:val="00B66781"/>
    <w:rsid w:val="00B66795"/>
    <w:rsid w:val="00B667A6"/>
    <w:rsid w:val="00B667EE"/>
    <w:rsid w:val="00B66886"/>
    <w:rsid w:val="00B668FA"/>
    <w:rsid w:val="00B6694C"/>
    <w:rsid w:val="00B66A9D"/>
    <w:rsid w:val="00B66B42"/>
    <w:rsid w:val="00B66B99"/>
    <w:rsid w:val="00B66DB5"/>
    <w:rsid w:val="00B66E1E"/>
    <w:rsid w:val="00B66E21"/>
    <w:rsid w:val="00B66E63"/>
    <w:rsid w:val="00B6711C"/>
    <w:rsid w:val="00B671D5"/>
    <w:rsid w:val="00B67309"/>
    <w:rsid w:val="00B67411"/>
    <w:rsid w:val="00B674A0"/>
    <w:rsid w:val="00B67722"/>
    <w:rsid w:val="00B6773A"/>
    <w:rsid w:val="00B67748"/>
    <w:rsid w:val="00B677EF"/>
    <w:rsid w:val="00B678EC"/>
    <w:rsid w:val="00B6796C"/>
    <w:rsid w:val="00B67989"/>
    <w:rsid w:val="00B67992"/>
    <w:rsid w:val="00B679DE"/>
    <w:rsid w:val="00B67A16"/>
    <w:rsid w:val="00B67A1B"/>
    <w:rsid w:val="00B67A2B"/>
    <w:rsid w:val="00B67AB4"/>
    <w:rsid w:val="00B67B97"/>
    <w:rsid w:val="00B67BA9"/>
    <w:rsid w:val="00B67BE5"/>
    <w:rsid w:val="00B67CDC"/>
    <w:rsid w:val="00B67EC9"/>
    <w:rsid w:val="00B70029"/>
    <w:rsid w:val="00B7004F"/>
    <w:rsid w:val="00B70076"/>
    <w:rsid w:val="00B700B6"/>
    <w:rsid w:val="00B700E7"/>
    <w:rsid w:val="00B7017C"/>
    <w:rsid w:val="00B701C4"/>
    <w:rsid w:val="00B70310"/>
    <w:rsid w:val="00B70327"/>
    <w:rsid w:val="00B703C5"/>
    <w:rsid w:val="00B704CF"/>
    <w:rsid w:val="00B7051C"/>
    <w:rsid w:val="00B70558"/>
    <w:rsid w:val="00B7056E"/>
    <w:rsid w:val="00B70637"/>
    <w:rsid w:val="00B706DB"/>
    <w:rsid w:val="00B7078D"/>
    <w:rsid w:val="00B707A4"/>
    <w:rsid w:val="00B708C2"/>
    <w:rsid w:val="00B70925"/>
    <w:rsid w:val="00B709F0"/>
    <w:rsid w:val="00B70BB2"/>
    <w:rsid w:val="00B70BDA"/>
    <w:rsid w:val="00B70BE0"/>
    <w:rsid w:val="00B70D9E"/>
    <w:rsid w:val="00B70EE8"/>
    <w:rsid w:val="00B71180"/>
    <w:rsid w:val="00B71298"/>
    <w:rsid w:val="00B7131D"/>
    <w:rsid w:val="00B7139C"/>
    <w:rsid w:val="00B713F7"/>
    <w:rsid w:val="00B714F5"/>
    <w:rsid w:val="00B714F8"/>
    <w:rsid w:val="00B7151C"/>
    <w:rsid w:val="00B71943"/>
    <w:rsid w:val="00B7199A"/>
    <w:rsid w:val="00B719DB"/>
    <w:rsid w:val="00B71A08"/>
    <w:rsid w:val="00B71A44"/>
    <w:rsid w:val="00B71AD4"/>
    <w:rsid w:val="00B71BBD"/>
    <w:rsid w:val="00B71C2C"/>
    <w:rsid w:val="00B71C8F"/>
    <w:rsid w:val="00B71DED"/>
    <w:rsid w:val="00B71F60"/>
    <w:rsid w:val="00B71FA8"/>
    <w:rsid w:val="00B71FD8"/>
    <w:rsid w:val="00B72033"/>
    <w:rsid w:val="00B720D3"/>
    <w:rsid w:val="00B72118"/>
    <w:rsid w:val="00B72187"/>
    <w:rsid w:val="00B722D8"/>
    <w:rsid w:val="00B72392"/>
    <w:rsid w:val="00B72398"/>
    <w:rsid w:val="00B723AE"/>
    <w:rsid w:val="00B7241B"/>
    <w:rsid w:val="00B724CB"/>
    <w:rsid w:val="00B72564"/>
    <w:rsid w:val="00B7262F"/>
    <w:rsid w:val="00B72654"/>
    <w:rsid w:val="00B726AA"/>
    <w:rsid w:val="00B726B0"/>
    <w:rsid w:val="00B72751"/>
    <w:rsid w:val="00B7277C"/>
    <w:rsid w:val="00B72918"/>
    <w:rsid w:val="00B72945"/>
    <w:rsid w:val="00B729A6"/>
    <w:rsid w:val="00B729E5"/>
    <w:rsid w:val="00B72B1C"/>
    <w:rsid w:val="00B72CD9"/>
    <w:rsid w:val="00B72CDF"/>
    <w:rsid w:val="00B72E6A"/>
    <w:rsid w:val="00B72EFD"/>
    <w:rsid w:val="00B72F08"/>
    <w:rsid w:val="00B72FAE"/>
    <w:rsid w:val="00B72FC0"/>
    <w:rsid w:val="00B72FFD"/>
    <w:rsid w:val="00B730A7"/>
    <w:rsid w:val="00B7315D"/>
    <w:rsid w:val="00B731BF"/>
    <w:rsid w:val="00B73227"/>
    <w:rsid w:val="00B73261"/>
    <w:rsid w:val="00B732B8"/>
    <w:rsid w:val="00B732BE"/>
    <w:rsid w:val="00B7337C"/>
    <w:rsid w:val="00B7337E"/>
    <w:rsid w:val="00B73389"/>
    <w:rsid w:val="00B73459"/>
    <w:rsid w:val="00B734C8"/>
    <w:rsid w:val="00B734E5"/>
    <w:rsid w:val="00B734F1"/>
    <w:rsid w:val="00B734F8"/>
    <w:rsid w:val="00B73548"/>
    <w:rsid w:val="00B7355B"/>
    <w:rsid w:val="00B7361C"/>
    <w:rsid w:val="00B736AF"/>
    <w:rsid w:val="00B73782"/>
    <w:rsid w:val="00B73861"/>
    <w:rsid w:val="00B73872"/>
    <w:rsid w:val="00B73889"/>
    <w:rsid w:val="00B738F1"/>
    <w:rsid w:val="00B73957"/>
    <w:rsid w:val="00B73986"/>
    <w:rsid w:val="00B73C73"/>
    <w:rsid w:val="00B73DAC"/>
    <w:rsid w:val="00B73DD5"/>
    <w:rsid w:val="00B73DD8"/>
    <w:rsid w:val="00B73DDD"/>
    <w:rsid w:val="00B73E7F"/>
    <w:rsid w:val="00B73E90"/>
    <w:rsid w:val="00B73E92"/>
    <w:rsid w:val="00B73EE3"/>
    <w:rsid w:val="00B73F25"/>
    <w:rsid w:val="00B73F5C"/>
    <w:rsid w:val="00B74088"/>
    <w:rsid w:val="00B74166"/>
    <w:rsid w:val="00B741C9"/>
    <w:rsid w:val="00B741FB"/>
    <w:rsid w:val="00B7428F"/>
    <w:rsid w:val="00B7437A"/>
    <w:rsid w:val="00B74390"/>
    <w:rsid w:val="00B74411"/>
    <w:rsid w:val="00B7455B"/>
    <w:rsid w:val="00B74674"/>
    <w:rsid w:val="00B746D3"/>
    <w:rsid w:val="00B7471F"/>
    <w:rsid w:val="00B74810"/>
    <w:rsid w:val="00B74B49"/>
    <w:rsid w:val="00B74B61"/>
    <w:rsid w:val="00B74B78"/>
    <w:rsid w:val="00B74C07"/>
    <w:rsid w:val="00B74DE0"/>
    <w:rsid w:val="00B74E23"/>
    <w:rsid w:val="00B74E27"/>
    <w:rsid w:val="00B74EC1"/>
    <w:rsid w:val="00B74FCF"/>
    <w:rsid w:val="00B75136"/>
    <w:rsid w:val="00B75142"/>
    <w:rsid w:val="00B75201"/>
    <w:rsid w:val="00B75423"/>
    <w:rsid w:val="00B7544B"/>
    <w:rsid w:val="00B75514"/>
    <w:rsid w:val="00B7551A"/>
    <w:rsid w:val="00B75579"/>
    <w:rsid w:val="00B75638"/>
    <w:rsid w:val="00B757AF"/>
    <w:rsid w:val="00B75910"/>
    <w:rsid w:val="00B75999"/>
    <w:rsid w:val="00B759A8"/>
    <w:rsid w:val="00B759D2"/>
    <w:rsid w:val="00B759DB"/>
    <w:rsid w:val="00B75B0F"/>
    <w:rsid w:val="00B75B36"/>
    <w:rsid w:val="00B75BA8"/>
    <w:rsid w:val="00B75CA0"/>
    <w:rsid w:val="00B75CA2"/>
    <w:rsid w:val="00B75D31"/>
    <w:rsid w:val="00B75DA3"/>
    <w:rsid w:val="00B75E93"/>
    <w:rsid w:val="00B76015"/>
    <w:rsid w:val="00B760C5"/>
    <w:rsid w:val="00B76121"/>
    <w:rsid w:val="00B76236"/>
    <w:rsid w:val="00B7628E"/>
    <w:rsid w:val="00B762B0"/>
    <w:rsid w:val="00B76320"/>
    <w:rsid w:val="00B76326"/>
    <w:rsid w:val="00B764AE"/>
    <w:rsid w:val="00B764DE"/>
    <w:rsid w:val="00B764EB"/>
    <w:rsid w:val="00B765AD"/>
    <w:rsid w:val="00B76631"/>
    <w:rsid w:val="00B76693"/>
    <w:rsid w:val="00B766AA"/>
    <w:rsid w:val="00B76809"/>
    <w:rsid w:val="00B76857"/>
    <w:rsid w:val="00B7685E"/>
    <w:rsid w:val="00B76966"/>
    <w:rsid w:val="00B769F5"/>
    <w:rsid w:val="00B76AE1"/>
    <w:rsid w:val="00B76AE3"/>
    <w:rsid w:val="00B76B82"/>
    <w:rsid w:val="00B76B8B"/>
    <w:rsid w:val="00B76C06"/>
    <w:rsid w:val="00B76DB2"/>
    <w:rsid w:val="00B76DEA"/>
    <w:rsid w:val="00B76E5F"/>
    <w:rsid w:val="00B76ED7"/>
    <w:rsid w:val="00B76FCF"/>
    <w:rsid w:val="00B770A5"/>
    <w:rsid w:val="00B771B0"/>
    <w:rsid w:val="00B77251"/>
    <w:rsid w:val="00B772A2"/>
    <w:rsid w:val="00B772C2"/>
    <w:rsid w:val="00B77319"/>
    <w:rsid w:val="00B773EF"/>
    <w:rsid w:val="00B77432"/>
    <w:rsid w:val="00B774A2"/>
    <w:rsid w:val="00B77616"/>
    <w:rsid w:val="00B7770E"/>
    <w:rsid w:val="00B7775C"/>
    <w:rsid w:val="00B77928"/>
    <w:rsid w:val="00B77942"/>
    <w:rsid w:val="00B77A79"/>
    <w:rsid w:val="00B77B46"/>
    <w:rsid w:val="00B77B48"/>
    <w:rsid w:val="00B77B9A"/>
    <w:rsid w:val="00B77B9E"/>
    <w:rsid w:val="00B77C45"/>
    <w:rsid w:val="00B77CA3"/>
    <w:rsid w:val="00B77CA4"/>
    <w:rsid w:val="00B77ED5"/>
    <w:rsid w:val="00B77EEB"/>
    <w:rsid w:val="00B77EEC"/>
    <w:rsid w:val="00B77FA5"/>
    <w:rsid w:val="00B7EC66"/>
    <w:rsid w:val="00B80115"/>
    <w:rsid w:val="00B80157"/>
    <w:rsid w:val="00B8019F"/>
    <w:rsid w:val="00B80246"/>
    <w:rsid w:val="00B8037E"/>
    <w:rsid w:val="00B803F8"/>
    <w:rsid w:val="00B8041D"/>
    <w:rsid w:val="00B80580"/>
    <w:rsid w:val="00B8083D"/>
    <w:rsid w:val="00B808A3"/>
    <w:rsid w:val="00B80953"/>
    <w:rsid w:val="00B809EC"/>
    <w:rsid w:val="00B80A41"/>
    <w:rsid w:val="00B80C20"/>
    <w:rsid w:val="00B80C32"/>
    <w:rsid w:val="00B80C58"/>
    <w:rsid w:val="00B80D34"/>
    <w:rsid w:val="00B80DB6"/>
    <w:rsid w:val="00B80EA5"/>
    <w:rsid w:val="00B80EB1"/>
    <w:rsid w:val="00B80EC2"/>
    <w:rsid w:val="00B80FCC"/>
    <w:rsid w:val="00B81019"/>
    <w:rsid w:val="00B81028"/>
    <w:rsid w:val="00B81072"/>
    <w:rsid w:val="00B81089"/>
    <w:rsid w:val="00B812DB"/>
    <w:rsid w:val="00B812F0"/>
    <w:rsid w:val="00B81440"/>
    <w:rsid w:val="00B81611"/>
    <w:rsid w:val="00B81651"/>
    <w:rsid w:val="00B8175A"/>
    <w:rsid w:val="00B818DF"/>
    <w:rsid w:val="00B81968"/>
    <w:rsid w:val="00B8198A"/>
    <w:rsid w:val="00B819CF"/>
    <w:rsid w:val="00B81A3A"/>
    <w:rsid w:val="00B81A75"/>
    <w:rsid w:val="00B81B27"/>
    <w:rsid w:val="00B81B96"/>
    <w:rsid w:val="00B81BC7"/>
    <w:rsid w:val="00B81C3A"/>
    <w:rsid w:val="00B81CA9"/>
    <w:rsid w:val="00B81DF2"/>
    <w:rsid w:val="00B81E1A"/>
    <w:rsid w:val="00B81EF3"/>
    <w:rsid w:val="00B821DD"/>
    <w:rsid w:val="00B821FF"/>
    <w:rsid w:val="00B82242"/>
    <w:rsid w:val="00B822A9"/>
    <w:rsid w:val="00B8239C"/>
    <w:rsid w:val="00B82415"/>
    <w:rsid w:val="00B82583"/>
    <w:rsid w:val="00B82665"/>
    <w:rsid w:val="00B82673"/>
    <w:rsid w:val="00B82688"/>
    <w:rsid w:val="00B826F0"/>
    <w:rsid w:val="00B82758"/>
    <w:rsid w:val="00B82818"/>
    <w:rsid w:val="00B8283D"/>
    <w:rsid w:val="00B8288B"/>
    <w:rsid w:val="00B829D7"/>
    <w:rsid w:val="00B82A2D"/>
    <w:rsid w:val="00B82AA4"/>
    <w:rsid w:val="00B82AB6"/>
    <w:rsid w:val="00B82AE8"/>
    <w:rsid w:val="00B82B31"/>
    <w:rsid w:val="00B82D30"/>
    <w:rsid w:val="00B82D48"/>
    <w:rsid w:val="00B82D57"/>
    <w:rsid w:val="00B82DA9"/>
    <w:rsid w:val="00B82DBB"/>
    <w:rsid w:val="00B82DD2"/>
    <w:rsid w:val="00B82EB8"/>
    <w:rsid w:val="00B82EF0"/>
    <w:rsid w:val="00B82F66"/>
    <w:rsid w:val="00B83055"/>
    <w:rsid w:val="00B8312C"/>
    <w:rsid w:val="00B83133"/>
    <w:rsid w:val="00B831CE"/>
    <w:rsid w:val="00B831F2"/>
    <w:rsid w:val="00B83224"/>
    <w:rsid w:val="00B83251"/>
    <w:rsid w:val="00B832AB"/>
    <w:rsid w:val="00B8332E"/>
    <w:rsid w:val="00B8333F"/>
    <w:rsid w:val="00B83345"/>
    <w:rsid w:val="00B833C9"/>
    <w:rsid w:val="00B833DE"/>
    <w:rsid w:val="00B83471"/>
    <w:rsid w:val="00B8359E"/>
    <w:rsid w:val="00B835A6"/>
    <w:rsid w:val="00B835F3"/>
    <w:rsid w:val="00B83644"/>
    <w:rsid w:val="00B836B4"/>
    <w:rsid w:val="00B837F5"/>
    <w:rsid w:val="00B83807"/>
    <w:rsid w:val="00B839E5"/>
    <w:rsid w:val="00B83A43"/>
    <w:rsid w:val="00B83B53"/>
    <w:rsid w:val="00B83B75"/>
    <w:rsid w:val="00B83B8A"/>
    <w:rsid w:val="00B83BBF"/>
    <w:rsid w:val="00B83BC3"/>
    <w:rsid w:val="00B83BFF"/>
    <w:rsid w:val="00B83C12"/>
    <w:rsid w:val="00B83C56"/>
    <w:rsid w:val="00B83D3C"/>
    <w:rsid w:val="00B83F9D"/>
    <w:rsid w:val="00B8400B"/>
    <w:rsid w:val="00B840C4"/>
    <w:rsid w:val="00B84135"/>
    <w:rsid w:val="00B841A9"/>
    <w:rsid w:val="00B841B6"/>
    <w:rsid w:val="00B841FE"/>
    <w:rsid w:val="00B842B1"/>
    <w:rsid w:val="00B8432B"/>
    <w:rsid w:val="00B84380"/>
    <w:rsid w:val="00B84451"/>
    <w:rsid w:val="00B844CA"/>
    <w:rsid w:val="00B8458B"/>
    <w:rsid w:val="00B8459A"/>
    <w:rsid w:val="00B8459E"/>
    <w:rsid w:val="00B845BD"/>
    <w:rsid w:val="00B845C3"/>
    <w:rsid w:val="00B84807"/>
    <w:rsid w:val="00B84889"/>
    <w:rsid w:val="00B848F8"/>
    <w:rsid w:val="00B84952"/>
    <w:rsid w:val="00B84960"/>
    <w:rsid w:val="00B84AC6"/>
    <w:rsid w:val="00B84AEF"/>
    <w:rsid w:val="00B84BAC"/>
    <w:rsid w:val="00B84CCA"/>
    <w:rsid w:val="00B84D7E"/>
    <w:rsid w:val="00B84F31"/>
    <w:rsid w:val="00B84F35"/>
    <w:rsid w:val="00B84F62"/>
    <w:rsid w:val="00B84F78"/>
    <w:rsid w:val="00B84FB2"/>
    <w:rsid w:val="00B85041"/>
    <w:rsid w:val="00B8504F"/>
    <w:rsid w:val="00B85074"/>
    <w:rsid w:val="00B850E3"/>
    <w:rsid w:val="00B85105"/>
    <w:rsid w:val="00B85212"/>
    <w:rsid w:val="00B85309"/>
    <w:rsid w:val="00B854E1"/>
    <w:rsid w:val="00B85522"/>
    <w:rsid w:val="00B856F8"/>
    <w:rsid w:val="00B856FA"/>
    <w:rsid w:val="00B85712"/>
    <w:rsid w:val="00B8577B"/>
    <w:rsid w:val="00B857BB"/>
    <w:rsid w:val="00B8580D"/>
    <w:rsid w:val="00B85A43"/>
    <w:rsid w:val="00B85B77"/>
    <w:rsid w:val="00B85BFA"/>
    <w:rsid w:val="00B85D2A"/>
    <w:rsid w:val="00B85F00"/>
    <w:rsid w:val="00B85F5B"/>
    <w:rsid w:val="00B86025"/>
    <w:rsid w:val="00B861B6"/>
    <w:rsid w:val="00B861E3"/>
    <w:rsid w:val="00B861F7"/>
    <w:rsid w:val="00B862D7"/>
    <w:rsid w:val="00B86379"/>
    <w:rsid w:val="00B863D7"/>
    <w:rsid w:val="00B8642F"/>
    <w:rsid w:val="00B86499"/>
    <w:rsid w:val="00B86511"/>
    <w:rsid w:val="00B86525"/>
    <w:rsid w:val="00B86542"/>
    <w:rsid w:val="00B86581"/>
    <w:rsid w:val="00B8658C"/>
    <w:rsid w:val="00B86693"/>
    <w:rsid w:val="00B8675B"/>
    <w:rsid w:val="00B86808"/>
    <w:rsid w:val="00B86909"/>
    <w:rsid w:val="00B86918"/>
    <w:rsid w:val="00B869B5"/>
    <w:rsid w:val="00B869F0"/>
    <w:rsid w:val="00B86A1B"/>
    <w:rsid w:val="00B86AB8"/>
    <w:rsid w:val="00B86BD9"/>
    <w:rsid w:val="00B86E0C"/>
    <w:rsid w:val="00B86E4D"/>
    <w:rsid w:val="00B86EDC"/>
    <w:rsid w:val="00B86EDE"/>
    <w:rsid w:val="00B87015"/>
    <w:rsid w:val="00B8712A"/>
    <w:rsid w:val="00B87193"/>
    <w:rsid w:val="00B8721B"/>
    <w:rsid w:val="00B872CC"/>
    <w:rsid w:val="00B872F5"/>
    <w:rsid w:val="00B8730A"/>
    <w:rsid w:val="00B87345"/>
    <w:rsid w:val="00B87364"/>
    <w:rsid w:val="00B87388"/>
    <w:rsid w:val="00B87462"/>
    <w:rsid w:val="00B874BB"/>
    <w:rsid w:val="00B8753D"/>
    <w:rsid w:val="00B87574"/>
    <w:rsid w:val="00B87585"/>
    <w:rsid w:val="00B8761E"/>
    <w:rsid w:val="00B8765D"/>
    <w:rsid w:val="00B876F9"/>
    <w:rsid w:val="00B877D7"/>
    <w:rsid w:val="00B87827"/>
    <w:rsid w:val="00B878BA"/>
    <w:rsid w:val="00B878CA"/>
    <w:rsid w:val="00B87972"/>
    <w:rsid w:val="00B87A06"/>
    <w:rsid w:val="00B87B25"/>
    <w:rsid w:val="00B87BA9"/>
    <w:rsid w:val="00B87BD2"/>
    <w:rsid w:val="00B87C59"/>
    <w:rsid w:val="00B87C77"/>
    <w:rsid w:val="00B87CA6"/>
    <w:rsid w:val="00B87D41"/>
    <w:rsid w:val="00B87D88"/>
    <w:rsid w:val="00B87F9D"/>
    <w:rsid w:val="00B90101"/>
    <w:rsid w:val="00B90139"/>
    <w:rsid w:val="00B90229"/>
    <w:rsid w:val="00B9022B"/>
    <w:rsid w:val="00B9024A"/>
    <w:rsid w:val="00B902DD"/>
    <w:rsid w:val="00B90380"/>
    <w:rsid w:val="00B9048F"/>
    <w:rsid w:val="00B904CA"/>
    <w:rsid w:val="00B906B7"/>
    <w:rsid w:val="00B90709"/>
    <w:rsid w:val="00B90758"/>
    <w:rsid w:val="00B90827"/>
    <w:rsid w:val="00B90A5A"/>
    <w:rsid w:val="00B90A77"/>
    <w:rsid w:val="00B90B0D"/>
    <w:rsid w:val="00B90B50"/>
    <w:rsid w:val="00B90C4E"/>
    <w:rsid w:val="00B90CC8"/>
    <w:rsid w:val="00B90CFD"/>
    <w:rsid w:val="00B90D1E"/>
    <w:rsid w:val="00B90D35"/>
    <w:rsid w:val="00B90E47"/>
    <w:rsid w:val="00B90E83"/>
    <w:rsid w:val="00B90EA9"/>
    <w:rsid w:val="00B90EAA"/>
    <w:rsid w:val="00B90EC1"/>
    <w:rsid w:val="00B90FB3"/>
    <w:rsid w:val="00B91045"/>
    <w:rsid w:val="00B91071"/>
    <w:rsid w:val="00B9117A"/>
    <w:rsid w:val="00B9138B"/>
    <w:rsid w:val="00B9143D"/>
    <w:rsid w:val="00B9147B"/>
    <w:rsid w:val="00B91523"/>
    <w:rsid w:val="00B9159C"/>
    <w:rsid w:val="00B91714"/>
    <w:rsid w:val="00B91884"/>
    <w:rsid w:val="00B9188B"/>
    <w:rsid w:val="00B91917"/>
    <w:rsid w:val="00B919C2"/>
    <w:rsid w:val="00B919E3"/>
    <w:rsid w:val="00B919E4"/>
    <w:rsid w:val="00B91A97"/>
    <w:rsid w:val="00B91AF5"/>
    <w:rsid w:val="00B91B51"/>
    <w:rsid w:val="00B91B77"/>
    <w:rsid w:val="00B91C85"/>
    <w:rsid w:val="00B91DE2"/>
    <w:rsid w:val="00B91E11"/>
    <w:rsid w:val="00B91E76"/>
    <w:rsid w:val="00B91E85"/>
    <w:rsid w:val="00B91ED3"/>
    <w:rsid w:val="00B91FCE"/>
    <w:rsid w:val="00B9201E"/>
    <w:rsid w:val="00B92143"/>
    <w:rsid w:val="00B92198"/>
    <w:rsid w:val="00B9224F"/>
    <w:rsid w:val="00B9255C"/>
    <w:rsid w:val="00B925C1"/>
    <w:rsid w:val="00B92643"/>
    <w:rsid w:val="00B926CF"/>
    <w:rsid w:val="00B92729"/>
    <w:rsid w:val="00B92841"/>
    <w:rsid w:val="00B928DE"/>
    <w:rsid w:val="00B9290E"/>
    <w:rsid w:val="00B92A2A"/>
    <w:rsid w:val="00B92A33"/>
    <w:rsid w:val="00B92B06"/>
    <w:rsid w:val="00B92B4C"/>
    <w:rsid w:val="00B92BC8"/>
    <w:rsid w:val="00B92C76"/>
    <w:rsid w:val="00B92CF9"/>
    <w:rsid w:val="00B92DD9"/>
    <w:rsid w:val="00B92E37"/>
    <w:rsid w:val="00B93023"/>
    <w:rsid w:val="00B9307E"/>
    <w:rsid w:val="00B9309D"/>
    <w:rsid w:val="00B930EF"/>
    <w:rsid w:val="00B93121"/>
    <w:rsid w:val="00B9315E"/>
    <w:rsid w:val="00B93195"/>
    <w:rsid w:val="00B9323B"/>
    <w:rsid w:val="00B9324F"/>
    <w:rsid w:val="00B933A6"/>
    <w:rsid w:val="00B933CA"/>
    <w:rsid w:val="00B93471"/>
    <w:rsid w:val="00B9357D"/>
    <w:rsid w:val="00B9367D"/>
    <w:rsid w:val="00B936CA"/>
    <w:rsid w:val="00B936DD"/>
    <w:rsid w:val="00B936E6"/>
    <w:rsid w:val="00B93710"/>
    <w:rsid w:val="00B93755"/>
    <w:rsid w:val="00B937BF"/>
    <w:rsid w:val="00B937CB"/>
    <w:rsid w:val="00B93803"/>
    <w:rsid w:val="00B93811"/>
    <w:rsid w:val="00B93820"/>
    <w:rsid w:val="00B938FD"/>
    <w:rsid w:val="00B93958"/>
    <w:rsid w:val="00B939A4"/>
    <w:rsid w:val="00B93AB4"/>
    <w:rsid w:val="00B93B1A"/>
    <w:rsid w:val="00B93B50"/>
    <w:rsid w:val="00B93B76"/>
    <w:rsid w:val="00B93B7A"/>
    <w:rsid w:val="00B93C03"/>
    <w:rsid w:val="00B93C66"/>
    <w:rsid w:val="00B93D25"/>
    <w:rsid w:val="00B93D4D"/>
    <w:rsid w:val="00B93E66"/>
    <w:rsid w:val="00B93EE0"/>
    <w:rsid w:val="00B93FB7"/>
    <w:rsid w:val="00B93FFE"/>
    <w:rsid w:val="00B94057"/>
    <w:rsid w:val="00B94237"/>
    <w:rsid w:val="00B9426B"/>
    <w:rsid w:val="00B942E7"/>
    <w:rsid w:val="00B9433F"/>
    <w:rsid w:val="00B943AD"/>
    <w:rsid w:val="00B9447F"/>
    <w:rsid w:val="00B94495"/>
    <w:rsid w:val="00B945D5"/>
    <w:rsid w:val="00B946A3"/>
    <w:rsid w:val="00B946AF"/>
    <w:rsid w:val="00B946ED"/>
    <w:rsid w:val="00B947E1"/>
    <w:rsid w:val="00B947FB"/>
    <w:rsid w:val="00B948B6"/>
    <w:rsid w:val="00B948C7"/>
    <w:rsid w:val="00B949AD"/>
    <w:rsid w:val="00B94A80"/>
    <w:rsid w:val="00B94AB3"/>
    <w:rsid w:val="00B94C02"/>
    <w:rsid w:val="00B94C51"/>
    <w:rsid w:val="00B94CA1"/>
    <w:rsid w:val="00B94D1C"/>
    <w:rsid w:val="00B94DB0"/>
    <w:rsid w:val="00B94DCB"/>
    <w:rsid w:val="00B94DD4"/>
    <w:rsid w:val="00B94E17"/>
    <w:rsid w:val="00B95027"/>
    <w:rsid w:val="00B95088"/>
    <w:rsid w:val="00B9509B"/>
    <w:rsid w:val="00B950AD"/>
    <w:rsid w:val="00B950E5"/>
    <w:rsid w:val="00B9516C"/>
    <w:rsid w:val="00B95177"/>
    <w:rsid w:val="00B95181"/>
    <w:rsid w:val="00B951EA"/>
    <w:rsid w:val="00B9522A"/>
    <w:rsid w:val="00B953FE"/>
    <w:rsid w:val="00B95455"/>
    <w:rsid w:val="00B954A6"/>
    <w:rsid w:val="00B954A9"/>
    <w:rsid w:val="00B954E8"/>
    <w:rsid w:val="00B95597"/>
    <w:rsid w:val="00B955A7"/>
    <w:rsid w:val="00B95671"/>
    <w:rsid w:val="00B9568B"/>
    <w:rsid w:val="00B95767"/>
    <w:rsid w:val="00B95771"/>
    <w:rsid w:val="00B957A3"/>
    <w:rsid w:val="00B957E3"/>
    <w:rsid w:val="00B95842"/>
    <w:rsid w:val="00B959E6"/>
    <w:rsid w:val="00B95A4C"/>
    <w:rsid w:val="00B95AC3"/>
    <w:rsid w:val="00B95B3B"/>
    <w:rsid w:val="00B95B4B"/>
    <w:rsid w:val="00B95BC8"/>
    <w:rsid w:val="00B95D1B"/>
    <w:rsid w:val="00B95D8C"/>
    <w:rsid w:val="00B95E07"/>
    <w:rsid w:val="00B95E24"/>
    <w:rsid w:val="00B95E53"/>
    <w:rsid w:val="00B95F8A"/>
    <w:rsid w:val="00B960F5"/>
    <w:rsid w:val="00B9612E"/>
    <w:rsid w:val="00B9630D"/>
    <w:rsid w:val="00B96361"/>
    <w:rsid w:val="00B963B1"/>
    <w:rsid w:val="00B963F6"/>
    <w:rsid w:val="00B9643B"/>
    <w:rsid w:val="00B964EF"/>
    <w:rsid w:val="00B96614"/>
    <w:rsid w:val="00B9665B"/>
    <w:rsid w:val="00B96701"/>
    <w:rsid w:val="00B96742"/>
    <w:rsid w:val="00B96748"/>
    <w:rsid w:val="00B9675E"/>
    <w:rsid w:val="00B9679F"/>
    <w:rsid w:val="00B96879"/>
    <w:rsid w:val="00B968DB"/>
    <w:rsid w:val="00B96934"/>
    <w:rsid w:val="00B96A68"/>
    <w:rsid w:val="00B96A95"/>
    <w:rsid w:val="00B96ABE"/>
    <w:rsid w:val="00B96B20"/>
    <w:rsid w:val="00B96BAC"/>
    <w:rsid w:val="00B96CFA"/>
    <w:rsid w:val="00B96E0A"/>
    <w:rsid w:val="00B96E20"/>
    <w:rsid w:val="00B96E71"/>
    <w:rsid w:val="00B96E95"/>
    <w:rsid w:val="00B96EBF"/>
    <w:rsid w:val="00B96ECD"/>
    <w:rsid w:val="00B97028"/>
    <w:rsid w:val="00B970AB"/>
    <w:rsid w:val="00B97204"/>
    <w:rsid w:val="00B9725C"/>
    <w:rsid w:val="00B973A5"/>
    <w:rsid w:val="00B97472"/>
    <w:rsid w:val="00B975E1"/>
    <w:rsid w:val="00B975E9"/>
    <w:rsid w:val="00B97609"/>
    <w:rsid w:val="00B9767B"/>
    <w:rsid w:val="00B9778F"/>
    <w:rsid w:val="00B97812"/>
    <w:rsid w:val="00B97825"/>
    <w:rsid w:val="00B97889"/>
    <w:rsid w:val="00B978FF"/>
    <w:rsid w:val="00B97946"/>
    <w:rsid w:val="00B97957"/>
    <w:rsid w:val="00B97976"/>
    <w:rsid w:val="00B979CB"/>
    <w:rsid w:val="00B97A0B"/>
    <w:rsid w:val="00B97A67"/>
    <w:rsid w:val="00B97B33"/>
    <w:rsid w:val="00B97B60"/>
    <w:rsid w:val="00B97BC2"/>
    <w:rsid w:val="00B97DAF"/>
    <w:rsid w:val="00B97E44"/>
    <w:rsid w:val="00B97F03"/>
    <w:rsid w:val="00B97FD6"/>
    <w:rsid w:val="00BA0027"/>
    <w:rsid w:val="00BA0033"/>
    <w:rsid w:val="00BA003E"/>
    <w:rsid w:val="00BA008F"/>
    <w:rsid w:val="00BA013E"/>
    <w:rsid w:val="00BA017E"/>
    <w:rsid w:val="00BA02E0"/>
    <w:rsid w:val="00BA0383"/>
    <w:rsid w:val="00BA0479"/>
    <w:rsid w:val="00BA06B8"/>
    <w:rsid w:val="00BA075A"/>
    <w:rsid w:val="00BA0794"/>
    <w:rsid w:val="00BA0916"/>
    <w:rsid w:val="00BA09B4"/>
    <w:rsid w:val="00BA09F2"/>
    <w:rsid w:val="00BA0ABD"/>
    <w:rsid w:val="00BA0B9C"/>
    <w:rsid w:val="00BA0BF8"/>
    <w:rsid w:val="00BA0CC4"/>
    <w:rsid w:val="00BA0DA6"/>
    <w:rsid w:val="00BA0DAD"/>
    <w:rsid w:val="00BA0DB2"/>
    <w:rsid w:val="00BA0E7B"/>
    <w:rsid w:val="00BA0EA4"/>
    <w:rsid w:val="00BA0EFD"/>
    <w:rsid w:val="00BA11BB"/>
    <w:rsid w:val="00BA1240"/>
    <w:rsid w:val="00BA127E"/>
    <w:rsid w:val="00BA138E"/>
    <w:rsid w:val="00BA13D4"/>
    <w:rsid w:val="00BA1439"/>
    <w:rsid w:val="00BA14A9"/>
    <w:rsid w:val="00BA1578"/>
    <w:rsid w:val="00BA1669"/>
    <w:rsid w:val="00BA16CC"/>
    <w:rsid w:val="00BA1711"/>
    <w:rsid w:val="00BA1773"/>
    <w:rsid w:val="00BA1854"/>
    <w:rsid w:val="00BA1856"/>
    <w:rsid w:val="00BA1981"/>
    <w:rsid w:val="00BA1A11"/>
    <w:rsid w:val="00BA1A19"/>
    <w:rsid w:val="00BA1CAF"/>
    <w:rsid w:val="00BA1D70"/>
    <w:rsid w:val="00BA1E53"/>
    <w:rsid w:val="00BA1FA8"/>
    <w:rsid w:val="00BA1FD1"/>
    <w:rsid w:val="00BA2058"/>
    <w:rsid w:val="00BA20A9"/>
    <w:rsid w:val="00BA2134"/>
    <w:rsid w:val="00BA216E"/>
    <w:rsid w:val="00BA22AF"/>
    <w:rsid w:val="00BA2329"/>
    <w:rsid w:val="00BA2336"/>
    <w:rsid w:val="00BA2391"/>
    <w:rsid w:val="00BA23EF"/>
    <w:rsid w:val="00BA242D"/>
    <w:rsid w:val="00BA24BC"/>
    <w:rsid w:val="00BA24DA"/>
    <w:rsid w:val="00BA24FB"/>
    <w:rsid w:val="00BA2513"/>
    <w:rsid w:val="00BA2535"/>
    <w:rsid w:val="00BA25B8"/>
    <w:rsid w:val="00BA25DE"/>
    <w:rsid w:val="00BA272E"/>
    <w:rsid w:val="00BA2763"/>
    <w:rsid w:val="00BA2771"/>
    <w:rsid w:val="00BA27BE"/>
    <w:rsid w:val="00BA2836"/>
    <w:rsid w:val="00BA29C0"/>
    <w:rsid w:val="00BA2A04"/>
    <w:rsid w:val="00BA2A97"/>
    <w:rsid w:val="00BA2B9A"/>
    <w:rsid w:val="00BA2BF4"/>
    <w:rsid w:val="00BA2C10"/>
    <w:rsid w:val="00BA2DF6"/>
    <w:rsid w:val="00BA2E17"/>
    <w:rsid w:val="00BA2FDA"/>
    <w:rsid w:val="00BA3056"/>
    <w:rsid w:val="00BA305B"/>
    <w:rsid w:val="00BA307B"/>
    <w:rsid w:val="00BA3112"/>
    <w:rsid w:val="00BA3168"/>
    <w:rsid w:val="00BA319B"/>
    <w:rsid w:val="00BA31F5"/>
    <w:rsid w:val="00BA33BA"/>
    <w:rsid w:val="00BA33D6"/>
    <w:rsid w:val="00BA34A6"/>
    <w:rsid w:val="00BA34AC"/>
    <w:rsid w:val="00BA34B9"/>
    <w:rsid w:val="00BA34D7"/>
    <w:rsid w:val="00BA34EB"/>
    <w:rsid w:val="00BA3519"/>
    <w:rsid w:val="00BA354F"/>
    <w:rsid w:val="00BA3752"/>
    <w:rsid w:val="00BA384B"/>
    <w:rsid w:val="00BA38BE"/>
    <w:rsid w:val="00BA38DB"/>
    <w:rsid w:val="00BA3A17"/>
    <w:rsid w:val="00BA3A23"/>
    <w:rsid w:val="00BA3B77"/>
    <w:rsid w:val="00BA3B8E"/>
    <w:rsid w:val="00BA3BE4"/>
    <w:rsid w:val="00BA3CB0"/>
    <w:rsid w:val="00BA3D6D"/>
    <w:rsid w:val="00BA3E05"/>
    <w:rsid w:val="00BA3E9E"/>
    <w:rsid w:val="00BA3ECE"/>
    <w:rsid w:val="00BA3F83"/>
    <w:rsid w:val="00BA3F96"/>
    <w:rsid w:val="00BA3FAE"/>
    <w:rsid w:val="00BA3FB6"/>
    <w:rsid w:val="00BA3FD7"/>
    <w:rsid w:val="00BA4069"/>
    <w:rsid w:val="00BA410C"/>
    <w:rsid w:val="00BA41E1"/>
    <w:rsid w:val="00BA41FE"/>
    <w:rsid w:val="00BA4273"/>
    <w:rsid w:val="00BA42CE"/>
    <w:rsid w:val="00BA4434"/>
    <w:rsid w:val="00BA445F"/>
    <w:rsid w:val="00BA4466"/>
    <w:rsid w:val="00BA4596"/>
    <w:rsid w:val="00BA45A9"/>
    <w:rsid w:val="00BA462E"/>
    <w:rsid w:val="00BA465B"/>
    <w:rsid w:val="00BA46CE"/>
    <w:rsid w:val="00BA4817"/>
    <w:rsid w:val="00BA4863"/>
    <w:rsid w:val="00BA48A3"/>
    <w:rsid w:val="00BA48FF"/>
    <w:rsid w:val="00BA4AD3"/>
    <w:rsid w:val="00BA4BE8"/>
    <w:rsid w:val="00BA4C79"/>
    <w:rsid w:val="00BA4DDB"/>
    <w:rsid w:val="00BA4DF9"/>
    <w:rsid w:val="00BA4E21"/>
    <w:rsid w:val="00BA4EC7"/>
    <w:rsid w:val="00BA4F89"/>
    <w:rsid w:val="00BA4FBA"/>
    <w:rsid w:val="00BA4FC1"/>
    <w:rsid w:val="00BA5164"/>
    <w:rsid w:val="00BA518B"/>
    <w:rsid w:val="00BA5231"/>
    <w:rsid w:val="00BA532B"/>
    <w:rsid w:val="00BA53E5"/>
    <w:rsid w:val="00BA544A"/>
    <w:rsid w:val="00BA54AD"/>
    <w:rsid w:val="00BA564D"/>
    <w:rsid w:val="00BA568C"/>
    <w:rsid w:val="00BA56B9"/>
    <w:rsid w:val="00BA578C"/>
    <w:rsid w:val="00BA582C"/>
    <w:rsid w:val="00BA5870"/>
    <w:rsid w:val="00BA5947"/>
    <w:rsid w:val="00BA599C"/>
    <w:rsid w:val="00BA5B3B"/>
    <w:rsid w:val="00BA5B8C"/>
    <w:rsid w:val="00BA5BA0"/>
    <w:rsid w:val="00BA5C1D"/>
    <w:rsid w:val="00BA5CA3"/>
    <w:rsid w:val="00BA5CEC"/>
    <w:rsid w:val="00BA5DA1"/>
    <w:rsid w:val="00BA5DD2"/>
    <w:rsid w:val="00BA5E30"/>
    <w:rsid w:val="00BA5E80"/>
    <w:rsid w:val="00BA5F2B"/>
    <w:rsid w:val="00BA5F37"/>
    <w:rsid w:val="00BA602F"/>
    <w:rsid w:val="00BA621F"/>
    <w:rsid w:val="00BA62A8"/>
    <w:rsid w:val="00BA635A"/>
    <w:rsid w:val="00BA65BE"/>
    <w:rsid w:val="00BA68A9"/>
    <w:rsid w:val="00BA68DE"/>
    <w:rsid w:val="00BA691B"/>
    <w:rsid w:val="00BA6920"/>
    <w:rsid w:val="00BA6977"/>
    <w:rsid w:val="00BA698A"/>
    <w:rsid w:val="00BA69BF"/>
    <w:rsid w:val="00BA69CC"/>
    <w:rsid w:val="00BA6A2E"/>
    <w:rsid w:val="00BA6C3D"/>
    <w:rsid w:val="00BA6CFC"/>
    <w:rsid w:val="00BA6D42"/>
    <w:rsid w:val="00BA6DAD"/>
    <w:rsid w:val="00BA6DD9"/>
    <w:rsid w:val="00BA6E05"/>
    <w:rsid w:val="00BA6E33"/>
    <w:rsid w:val="00BA71C5"/>
    <w:rsid w:val="00BA7203"/>
    <w:rsid w:val="00BA7215"/>
    <w:rsid w:val="00BA7246"/>
    <w:rsid w:val="00BA724F"/>
    <w:rsid w:val="00BA7267"/>
    <w:rsid w:val="00BA726A"/>
    <w:rsid w:val="00BA72B2"/>
    <w:rsid w:val="00BA73AC"/>
    <w:rsid w:val="00BA73F6"/>
    <w:rsid w:val="00BA74AA"/>
    <w:rsid w:val="00BA7532"/>
    <w:rsid w:val="00BA75F0"/>
    <w:rsid w:val="00BA7657"/>
    <w:rsid w:val="00BA76BD"/>
    <w:rsid w:val="00BA77D3"/>
    <w:rsid w:val="00BA793E"/>
    <w:rsid w:val="00BA79A2"/>
    <w:rsid w:val="00BA79C8"/>
    <w:rsid w:val="00BA7AB4"/>
    <w:rsid w:val="00BA7AFD"/>
    <w:rsid w:val="00BA7BB4"/>
    <w:rsid w:val="00BA7C5E"/>
    <w:rsid w:val="00BA7C89"/>
    <w:rsid w:val="00BA7CF8"/>
    <w:rsid w:val="00BA7D2D"/>
    <w:rsid w:val="00BA7DA7"/>
    <w:rsid w:val="00BA7E11"/>
    <w:rsid w:val="00BA7F43"/>
    <w:rsid w:val="00BA7FCB"/>
    <w:rsid w:val="00BB00B2"/>
    <w:rsid w:val="00BB01DC"/>
    <w:rsid w:val="00BB0292"/>
    <w:rsid w:val="00BB0315"/>
    <w:rsid w:val="00BB0378"/>
    <w:rsid w:val="00BB03EB"/>
    <w:rsid w:val="00BB04B2"/>
    <w:rsid w:val="00BB06CE"/>
    <w:rsid w:val="00BB07CC"/>
    <w:rsid w:val="00BB0805"/>
    <w:rsid w:val="00BB0823"/>
    <w:rsid w:val="00BB08A2"/>
    <w:rsid w:val="00BB0960"/>
    <w:rsid w:val="00BB0A01"/>
    <w:rsid w:val="00BB0BDE"/>
    <w:rsid w:val="00BB0CCC"/>
    <w:rsid w:val="00BB0D3D"/>
    <w:rsid w:val="00BB0D56"/>
    <w:rsid w:val="00BB1095"/>
    <w:rsid w:val="00BB1333"/>
    <w:rsid w:val="00BB13C6"/>
    <w:rsid w:val="00BB1415"/>
    <w:rsid w:val="00BB14E4"/>
    <w:rsid w:val="00BB15B6"/>
    <w:rsid w:val="00BB1607"/>
    <w:rsid w:val="00BB168A"/>
    <w:rsid w:val="00BB16A2"/>
    <w:rsid w:val="00BB16DF"/>
    <w:rsid w:val="00BB1715"/>
    <w:rsid w:val="00BB174F"/>
    <w:rsid w:val="00BB17BB"/>
    <w:rsid w:val="00BB1902"/>
    <w:rsid w:val="00BB199D"/>
    <w:rsid w:val="00BB19D2"/>
    <w:rsid w:val="00BB1A2D"/>
    <w:rsid w:val="00BB1A8D"/>
    <w:rsid w:val="00BB1AF8"/>
    <w:rsid w:val="00BB1BC7"/>
    <w:rsid w:val="00BB1C01"/>
    <w:rsid w:val="00BB1C0A"/>
    <w:rsid w:val="00BB1E4C"/>
    <w:rsid w:val="00BB1E5A"/>
    <w:rsid w:val="00BB1F4F"/>
    <w:rsid w:val="00BB1F56"/>
    <w:rsid w:val="00BB2131"/>
    <w:rsid w:val="00BB2190"/>
    <w:rsid w:val="00BB220B"/>
    <w:rsid w:val="00BB2268"/>
    <w:rsid w:val="00BB22D4"/>
    <w:rsid w:val="00BB22DE"/>
    <w:rsid w:val="00BB233C"/>
    <w:rsid w:val="00BB2367"/>
    <w:rsid w:val="00BB2382"/>
    <w:rsid w:val="00BB249D"/>
    <w:rsid w:val="00BB251C"/>
    <w:rsid w:val="00BB2606"/>
    <w:rsid w:val="00BB260B"/>
    <w:rsid w:val="00BB26AC"/>
    <w:rsid w:val="00BB26EB"/>
    <w:rsid w:val="00BB26F1"/>
    <w:rsid w:val="00BB2849"/>
    <w:rsid w:val="00BB2871"/>
    <w:rsid w:val="00BB291C"/>
    <w:rsid w:val="00BB29EC"/>
    <w:rsid w:val="00BB2A23"/>
    <w:rsid w:val="00BB2A3A"/>
    <w:rsid w:val="00BB2ADA"/>
    <w:rsid w:val="00BB2B0E"/>
    <w:rsid w:val="00BB2B1D"/>
    <w:rsid w:val="00BB2C01"/>
    <w:rsid w:val="00BB2C04"/>
    <w:rsid w:val="00BB2E8D"/>
    <w:rsid w:val="00BB304F"/>
    <w:rsid w:val="00BB30DA"/>
    <w:rsid w:val="00BB3268"/>
    <w:rsid w:val="00BB3347"/>
    <w:rsid w:val="00BB342F"/>
    <w:rsid w:val="00BB34B1"/>
    <w:rsid w:val="00BB3551"/>
    <w:rsid w:val="00BB358F"/>
    <w:rsid w:val="00BB3646"/>
    <w:rsid w:val="00BB367D"/>
    <w:rsid w:val="00BB3835"/>
    <w:rsid w:val="00BB39AB"/>
    <w:rsid w:val="00BB39BA"/>
    <w:rsid w:val="00BB39C2"/>
    <w:rsid w:val="00BB3A6F"/>
    <w:rsid w:val="00BB3B12"/>
    <w:rsid w:val="00BB3B7D"/>
    <w:rsid w:val="00BB3D08"/>
    <w:rsid w:val="00BB3E28"/>
    <w:rsid w:val="00BB3E72"/>
    <w:rsid w:val="00BB3EC5"/>
    <w:rsid w:val="00BB3F35"/>
    <w:rsid w:val="00BB40B1"/>
    <w:rsid w:val="00BB410D"/>
    <w:rsid w:val="00BB418A"/>
    <w:rsid w:val="00BB426B"/>
    <w:rsid w:val="00BB42BD"/>
    <w:rsid w:val="00BB44E9"/>
    <w:rsid w:val="00BB455C"/>
    <w:rsid w:val="00BB4631"/>
    <w:rsid w:val="00BB4639"/>
    <w:rsid w:val="00BB467D"/>
    <w:rsid w:val="00BB46B5"/>
    <w:rsid w:val="00BB4821"/>
    <w:rsid w:val="00BB4953"/>
    <w:rsid w:val="00BB49D4"/>
    <w:rsid w:val="00BB4A2E"/>
    <w:rsid w:val="00BB4B27"/>
    <w:rsid w:val="00BB4B2C"/>
    <w:rsid w:val="00BB4C89"/>
    <w:rsid w:val="00BB4CBE"/>
    <w:rsid w:val="00BB4D62"/>
    <w:rsid w:val="00BB4D7F"/>
    <w:rsid w:val="00BB4DBC"/>
    <w:rsid w:val="00BB4E44"/>
    <w:rsid w:val="00BB4E50"/>
    <w:rsid w:val="00BB4F2F"/>
    <w:rsid w:val="00BB4F50"/>
    <w:rsid w:val="00BB505A"/>
    <w:rsid w:val="00BB5171"/>
    <w:rsid w:val="00BB539B"/>
    <w:rsid w:val="00BB5439"/>
    <w:rsid w:val="00BB558D"/>
    <w:rsid w:val="00BB5750"/>
    <w:rsid w:val="00BB57AA"/>
    <w:rsid w:val="00BB57FE"/>
    <w:rsid w:val="00BB5817"/>
    <w:rsid w:val="00BB5959"/>
    <w:rsid w:val="00BB59BF"/>
    <w:rsid w:val="00BB59D9"/>
    <w:rsid w:val="00BB59EE"/>
    <w:rsid w:val="00BB59F5"/>
    <w:rsid w:val="00BB5AA4"/>
    <w:rsid w:val="00BB5B3E"/>
    <w:rsid w:val="00BB5B5E"/>
    <w:rsid w:val="00BB5BC1"/>
    <w:rsid w:val="00BB5C0B"/>
    <w:rsid w:val="00BB5C45"/>
    <w:rsid w:val="00BB5DCB"/>
    <w:rsid w:val="00BB5EE6"/>
    <w:rsid w:val="00BB5F61"/>
    <w:rsid w:val="00BB6081"/>
    <w:rsid w:val="00BB60FE"/>
    <w:rsid w:val="00BB6157"/>
    <w:rsid w:val="00BB6186"/>
    <w:rsid w:val="00BB61CE"/>
    <w:rsid w:val="00BB6273"/>
    <w:rsid w:val="00BB64E4"/>
    <w:rsid w:val="00BB6502"/>
    <w:rsid w:val="00BB656C"/>
    <w:rsid w:val="00BB66B2"/>
    <w:rsid w:val="00BB67F5"/>
    <w:rsid w:val="00BB6834"/>
    <w:rsid w:val="00BB6846"/>
    <w:rsid w:val="00BB69D8"/>
    <w:rsid w:val="00BB6A44"/>
    <w:rsid w:val="00BB6A66"/>
    <w:rsid w:val="00BB6B6B"/>
    <w:rsid w:val="00BB6C37"/>
    <w:rsid w:val="00BB6CFF"/>
    <w:rsid w:val="00BB6DB5"/>
    <w:rsid w:val="00BB6F46"/>
    <w:rsid w:val="00BB7022"/>
    <w:rsid w:val="00BB70B0"/>
    <w:rsid w:val="00BB7147"/>
    <w:rsid w:val="00BB714B"/>
    <w:rsid w:val="00BB7197"/>
    <w:rsid w:val="00BB71F1"/>
    <w:rsid w:val="00BB726B"/>
    <w:rsid w:val="00BB727C"/>
    <w:rsid w:val="00BB7451"/>
    <w:rsid w:val="00BB7468"/>
    <w:rsid w:val="00BB74AD"/>
    <w:rsid w:val="00BB7538"/>
    <w:rsid w:val="00BB754B"/>
    <w:rsid w:val="00BB781A"/>
    <w:rsid w:val="00BB7A8B"/>
    <w:rsid w:val="00BB7AB2"/>
    <w:rsid w:val="00BB7BC9"/>
    <w:rsid w:val="00BB7BD9"/>
    <w:rsid w:val="00BB7F83"/>
    <w:rsid w:val="00BB7FA3"/>
    <w:rsid w:val="00BC002F"/>
    <w:rsid w:val="00BC007F"/>
    <w:rsid w:val="00BC012D"/>
    <w:rsid w:val="00BC0188"/>
    <w:rsid w:val="00BC0250"/>
    <w:rsid w:val="00BC02A4"/>
    <w:rsid w:val="00BC0340"/>
    <w:rsid w:val="00BC0359"/>
    <w:rsid w:val="00BC03BC"/>
    <w:rsid w:val="00BC053D"/>
    <w:rsid w:val="00BC0551"/>
    <w:rsid w:val="00BC0554"/>
    <w:rsid w:val="00BC058F"/>
    <w:rsid w:val="00BC05BD"/>
    <w:rsid w:val="00BC060B"/>
    <w:rsid w:val="00BC0611"/>
    <w:rsid w:val="00BC0623"/>
    <w:rsid w:val="00BC0832"/>
    <w:rsid w:val="00BC0A67"/>
    <w:rsid w:val="00BC0B40"/>
    <w:rsid w:val="00BC0C60"/>
    <w:rsid w:val="00BC0C8E"/>
    <w:rsid w:val="00BC0C93"/>
    <w:rsid w:val="00BC0CC8"/>
    <w:rsid w:val="00BC0E3A"/>
    <w:rsid w:val="00BC0FEC"/>
    <w:rsid w:val="00BC132E"/>
    <w:rsid w:val="00BC13F4"/>
    <w:rsid w:val="00BC150E"/>
    <w:rsid w:val="00BC16C6"/>
    <w:rsid w:val="00BC16C9"/>
    <w:rsid w:val="00BC177A"/>
    <w:rsid w:val="00BC1987"/>
    <w:rsid w:val="00BC1AAC"/>
    <w:rsid w:val="00BC1B7D"/>
    <w:rsid w:val="00BC1B87"/>
    <w:rsid w:val="00BC1BA2"/>
    <w:rsid w:val="00BC1BC6"/>
    <w:rsid w:val="00BC1BCB"/>
    <w:rsid w:val="00BC1C13"/>
    <w:rsid w:val="00BC1C1A"/>
    <w:rsid w:val="00BC1C54"/>
    <w:rsid w:val="00BC1D3F"/>
    <w:rsid w:val="00BC1E89"/>
    <w:rsid w:val="00BC1F78"/>
    <w:rsid w:val="00BC1FA3"/>
    <w:rsid w:val="00BC1FDE"/>
    <w:rsid w:val="00BC1FE0"/>
    <w:rsid w:val="00BC207F"/>
    <w:rsid w:val="00BC2157"/>
    <w:rsid w:val="00BC21C9"/>
    <w:rsid w:val="00BC21CB"/>
    <w:rsid w:val="00BC2345"/>
    <w:rsid w:val="00BC251F"/>
    <w:rsid w:val="00BC2547"/>
    <w:rsid w:val="00BC2666"/>
    <w:rsid w:val="00BC26BE"/>
    <w:rsid w:val="00BC277B"/>
    <w:rsid w:val="00BC27D8"/>
    <w:rsid w:val="00BC27EF"/>
    <w:rsid w:val="00BC2858"/>
    <w:rsid w:val="00BC288C"/>
    <w:rsid w:val="00BC292E"/>
    <w:rsid w:val="00BC2972"/>
    <w:rsid w:val="00BC2A03"/>
    <w:rsid w:val="00BC2A04"/>
    <w:rsid w:val="00BC2A78"/>
    <w:rsid w:val="00BC2AA6"/>
    <w:rsid w:val="00BC2AB5"/>
    <w:rsid w:val="00BC2BA4"/>
    <w:rsid w:val="00BC2C08"/>
    <w:rsid w:val="00BC2C16"/>
    <w:rsid w:val="00BC2CB5"/>
    <w:rsid w:val="00BC2CBA"/>
    <w:rsid w:val="00BC2CFD"/>
    <w:rsid w:val="00BC2D9B"/>
    <w:rsid w:val="00BC2DE2"/>
    <w:rsid w:val="00BC2E38"/>
    <w:rsid w:val="00BC2ED7"/>
    <w:rsid w:val="00BC2EF1"/>
    <w:rsid w:val="00BC2F51"/>
    <w:rsid w:val="00BC2FCA"/>
    <w:rsid w:val="00BC301F"/>
    <w:rsid w:val="00BC30CA"/>
    <w:rsid w:val="00BC317E"/>
    <w:rsid w:val="00BC3181"/>
    <w:rsid w:val="00BC31C4"/>
    <w:rsid w:val="00BC3386"/>
    <w:rsid w:val="00BC3396"/>
    <w:rsid w:val="00BC33A2"/>
    <w:rsid w:val="00BC33D1"/>
    <w:rsid w:val="00BC33E7"/>
    <w:rsid w:val="00BC34C8"/>
    <w:rsid w:val="00BC34F3"/>
    <w:rsid w:val="00BC365D"/>
    <w:rsid w:val="00BC380B"/>
    <w:rsid w:val="00BC3905"/>
    <w:rsid w:val="00BC39E1"/>
    <w:rsid w:val="00BC3CCC"/>
    <w:rsid w:val="00BC3DC5"/>
    <w:rsid w:val="00BC402D"/>
    <w:rsid w:val="00BC4063"/>
    <w:rsid w:val="00BC40E0"/>
    <w:rsid w:val="00BC40EE"/>
    <w:rsid w:val="00BC4153"/>
    <w:rsid w:val="00BC41D2"/>
    <w:rsid w:val="00BC41F7"/>
    <w:rsid w:val="00BC42EF"/>
    <w:rsid w:val="00BC4305"/>
    <w:rsid w:val="00BC43C1"/>
    <w:rsid w:val="00BC4437"/>
    <w:rsid w:val="00BC4567"/>
    <w:rsid w:val="00BC4585"/>
    <w:rsid w:val="00BC45A8"/>
    <w:rsid w:val="00BC4638"/>
    <w:rsid w:val="00BC46B4"/>
    <w:rsid w:val="00BC46E9"/>
    <w:rsid w:val="00BC46F1"/>
    <w:rsid w:val="00BC47C0"/>
    <w:rsid w:val="00BC4917"/>
    <w:rsid w:val="00BC494A"/>
    <w:rsid w:val="00BC49D4"/>
    <w:rsid w:val="00BC49E8"/>
    <w:rsid w:val="00BC4A5B"/>
    <w:rsid w:val="00BC4ACD"/>
    <w:rsid w:val="00BC4B30"/>
    <w:rsid w:val="00BC4BE8"/>
    <w:rsid w:val="00BC4C62"/>
    <w:rsid w:val="00BC4C8F"/>
    <w:rsid w:val="00BC4D29"/>
    <w:rsid w:val="00BC4D3A"/>
    <w:rsid w:val="00BC4DBB"/>
    <w:rsid w:val="00BC4EFB"/>
    <w:rsid w:val="00BC4F52"/>
    <w:rsid w:val="00BC4F6D"/>
    <w:rsid w:val="00BC501A"/>
    <w:rsid w:val="00BC50EB"/>
    <w:rsid w:val="00BC515F"/>
    <w:rsid w:val="00BC5164"/>
    <w:rsid w:val="00BC5284"/>
    <w:rsid w:val="00BC5310"/>
    <w:rsid w:val="00BC5347"/>
    <w:rsid w:val="00BC53B2"/>
    <w:rsid w:val="00BC5419"/>
    <w:rsid w:val="00BC541A"/>
    <w:rsid w:val="00BC5542"/>
    <w:rsid w:val="00BC557C"/>
    <w:rsid w:val="00BC5588"/>
    <w:rsid w:val="00BC558F"/>
    <w:rsid w:val="00BC55A5"/>
    <w:rsid w:val="00BC56D2"/>
    <w:rsid w:val="00BC57B8"/>
    <w:rsid w:val="00BC588E"/>
    <w:rsid w:val="00BC5927"/>
    <w:rsid w:val="00BC5967"/>
    <w:rsid w:val="00BC59CC"/>
    <w:rsid w:val="00BC5A28"/>
    <w:rsid w:val="00BC5B99"/>
    <w:rsid w:val="00BC5C30"/>
    <w:rsid w:val="00BC5CD2"/>
    <w:rsid w:val="00BC5D1B"/>
    <w:rsid w:val="00BC5DCC"/>
    <w:rsid w:val="00BC5DD7"/>
    <w:rsid w:val="00BC5E04"/>
    <w:rsid w:val="00BC5EF4"/>
    <w:rsid w:val="00BC5F00"/>
    <w:rsid w:val="00BC5F78"/>
    <w:rsid w:val="00BC6007"/>
    <w:rsid w:val="00BC6015"/>
    <w:rsid w:val="00BC6076"/>
    <w:rsid w:val="00BC60D4"/>
    <w:rsid w:val="00BC610A"/>
    <w:rsid w:val="00BC61C0"/>
    <w:rsid w:val="00BC62CB"/>
    <w:rsid w:val="00BC6371"/>
    <w:rsid w:val="00BC637F"/>
    <w:rsid w:val="00BC63B4"/>
    <w:rsid w:val="00BC63D3"/>
    <w:rsid w:val="00BC6510"/>
    <w:rsid w:val="00BC6556"/>
    <w:rsid w:val="00BC6744"/>
    <w:rsid w:val="00BC680E"/>
    <w:rsid w:val="00BC681C"/>
    <w:rsid w:val="00BC6927"/>
    <w:rsid w:val="00BC699C"/>
    <w:rsid w:val="00BC69AC"/>
    <w:rsid w:val="00BC69BE"/>
    <w:rsid w:val="00BC69FB"/>
    <w:rsid w:val="00BC6C27"/>
    <w:rsid w:val="00BC6C7E"/>
    <w:rsid w:val="00BC6D2E"/>
    <w:rsid w:val="00BC6D9A"/>
    <w:rsid w:val="00BC6E2D"/>
    <w:rsid w:val="00BC6E4B"/>
    <w:rsid w:val="00BC6EA8"/>
    <w:rsid w:val="00BC6EBF"/>
    <w:rsid w:val="00BC6ED0"/>
    <w:rsid w:val="00BC6F28"/>
    <w:rsid w:val="00BC6FAA"/>
    <w:rsid w:val="00BC720C"/>
    <w:rsid w:val="00BC7239"/>
    <w:rsid w:val="00BC723F"/>
    <w:rsid w:val="00BC7253"/>
    <w:rsid w:val="00BC731D"/>
    <w:rsid w:val="00BC7341"/>
    <w:rsid w:val="00BC7382"/>
    <w:rsid w:val="00BC739B"/>
    <w:rsid w:val="00BC74AD"/>
    <w:rsid w:val="00BC762B"/>
    <w:rsid w:val="00BC765D"/>
    <w:rsid w:val="00BC76FB"/>
    <w:rsid w:val="00BC7813"/>
    <w:rsid w:val="00BC792A"/>
    <w:rsid w:val="00BC7942"/>
    <w:rsid w:val="00BC79A6"/>
    <w:rsid w:val="00BC7D65"/>
    <w:rsid w:val="00BC7D7C"/>
    <w:rsid w:val="00BC7E09"/>
    <w:rsid w:val="00BD0019"/>
    <w:rsid w:val="00BD00D2"/>
    <w:rsid w:val="00BD00D4"/>
    <w:rsid w:val="00BD0140"/>
    <w:rsid w:val="00BD014F"/>
    <w:rsid w:val="00BD024C"/>
    <w:rsid w:val="00BD0254"/>
    <w:rsid w:val="00BD0390"/>
    <w:rsid w:val="00BD0483"/>
    <w:rsid w:val="00BD0527"/>
    <w:rsid w:val="00BD0550"/>
    <w:rsid w:val="00BD058F"/>
    <w:rsid w:val="00BD05D1"/>
    <w:rsid w:val="00BD05EA"/>
    <w:rsid w:val="00BD0695"/>
    <w:rsid w:val="00BD06D9"/>
    <w:rsid w:val="00BD080E"/>
    <w:rsid w:val="00BD0834"/>
    <w:rsid w:val="00BD0835"/>
    <w:rsid w:val="00BD0895"/>
    <w:rsid w:val="00BD08A2"/>
    <w:rsid w:val="00BD08B9"/>
    <w:rsid w:val="00BD0949"/>
    <w:rsid w:val="00BD0982"/>
    <w:rsid w:val="00BD09DC"/>
    <w:rsid w:val="00BD09F8"/>
    <w:rsid w:val="00BD0B3B"/>
    <w:rsid w:val="00BD0CE0"/>
    <w:rsid w:val="00BD0E7B"/>
    <w:rsid w:val="00BD0E7D"/>
    <w:rsid w:val="00BD0E83"/>
    <w:rsid w:val="00BD0F2B"/>
    <w:rsid w:val="00BD1013"/>
    <w:rsid w:val="00BD115A"/>
    <w:rsid w:val="00BD11A4"/>
    <w:rsid w:val="00BD11BD"/>
    <w:rsid w:val="00BD11EF"/>
    <w:rsid w:val="00BD12BB"/>
    <w:rsid w:val="00BD1353"/>
    <w:rsid w:val="00BD13E7"/>
    <w:rsid w:val="00BD1471"/>
    <w:rsid w:val="00BD1531"/>
    <w:rsid w:val="00BD15A6"/>
    <w:rsid w:val="00BD15DF"/>
    <w:rsid w:val="00BD1643"/>
    <w:rsid w:val="00BD16C2"/>
    <w:rsid w:val="00BD16FB"/>
    <w:rsid w:val="00BD171E"/>
    <w:rsid w:val="00BD1720"/>
    <w:rsid w:val="00BD1824"/>
    <w:rsid w:val="00BD18B5"/>
    <w:rsid w:val="00BD1A0C"/>
    <w:rsid w:val="00BD1AA8"/>
    <w:rsid w:val="00BD1ACC"/>
    <w:rsid w:val="00BD1C1D"/>
    <w:rsid w:val="00BD1C4F"/>
    <w:rsid w:val="00BD1D0D"/>
    <w:rsid w:val="00BD1D83"/>
    <w:rsid w:val="00BD1D8D"/>
    <w:rsid w:val="00BD1D9F"/>
    <w:rsid w:val="00BD1DBB"/>
    <w:rsid w:val="00BD1DE1"/>
    <w:rsid w:val="00BD1E01"/>
    <w:rsid w:val="00BD1F15"/>
    <w:rsid w:val="00BD1F87"/>
    <w:rsid w:val="00BD1FB5"/>
    <w:rsid w:val="00BD2020"/>
    <w:rsid w:val="00BD205F"/>
    <w:rsid w:val="00BD2064"/>
    <w:rsid w:val="00BD2089"/>
    <w:rsid w:val="00BD20AD"/>
    <w:rsid w:val="00BD20DE"/>
    <w:rsid w:val="00BD2128"/>
    <w:rsid w:val="00BD21A8"/>
    <w:rsid w:val="00BD2258"/>
    <w:rsid w:val="00BD2264"/>
    <w:rsid w:val="00BD228A"/>
    <w:rsid w:val="00BD2300"/>
    <w:rsid w:val="00BD24A3"/>
    <w:rsid w:val="00BD25A5"/>
    <w:rsid w:val="00BD25F3"/>
    <w:rsid w:val="00BD2610"/>
    <w:rsid w:val="00BD268B"/>
    <w:rsid w:val="00BD268E"/>
    <w:rsid w:val="00BD27E6"/>
    <w:rsid w:val="00BD2864"/>
    <w:rsid w:val="00BD2896"/>
    <w:rsid w:val="00BD29CF"/>
    <w:rsid w:val="00BD29F0"/>
    <w:rsid w:val="00BD2A9D"/>
    <w:rsid w:val="00BD2B09"/>
    <w:rsid w:val="00BD2C31"/>
    <w:rsid w:val="00BD2D14"/>
    <w:rsid w:val="00BD2D24"/>
    <w:rsid w:val="00BD2D31"/>
    <w:rsid w:val="00BD2D3B"/>
    <w:rsid w:val="00BD2D41"/>
    <w:rsid w:val="00BD2ED8"/>
    <w:rsid w:val="00BD2EEF"/>
    <w:rsid w:val="00BD2F5E"/>
    <w:rsid w:val="00BD2FE7"/>
    <w:rsid w:val="00BD30CC"/>
    <w:rsid w:val="00BD3259"/>
    <w:rsid w:val="00BD328B"/>
    <w:rsid w:val="00BD32F2"/>
    <w:rsid w:val="00BD3335"/>
    <w:rsid w:val="00BD333D"/>
    <w:rsid w:val="00BD3529"/>
    <w:rsid w:val="00BD3576"/>
    <w:rsid w:val="00BD3585"/>
    <w:rsid w:val="00BD3656"/>
    <w:rsid w:val="00BD36E1"/>
    <w:rsid w:val="00BD3808"/>
    <w:rsid w:val="00BD38F9"/>
    <w:rsid w:val="00BD39C5"/>
    <w:rsid w:val="00BD39D9"/>
    <w:rsid w:val="00BD3A3D"/>
    <w:rsid w:val="00BD3A56"/>
    <w:rsid w:val="00BD3A5C"/>
    <w:rsid w:val="00BD3BCF"/>
    <w:rsid w:val="00BD3C7C"/>
    <w:rsid w:val="00BD3CBD"/>
    <w:rsid w:val="00BD3D43"/>
    <w:rsid w:val="00BD3E33"/>
    <w:rsid w:val="00BD3F15"/>
    <w:rsid w:val="00BD3F6A"/>
    <w:rsid w:val="00BD3F7B"/>
    <w:rsid w:val="00BD40F3"/>
    <w:rsid w:val="00BD4196"/>
    <w:rsid w:val="00BD4222"/>
    <w:rsid w:val="00BD4224"/>
    <w:rsid w:val="00BD425A"/>
    <w:rsid w:val="00BD42B2"/>
    <w:rsid w:val="00BD43BF"/>
    <w:rsid w:val="00BD4485"/>
    <w:rsid w:val="00BD44D9"/>
    <w:rsid w:val="00BD4505"/>
    <w:rsid w:val="00BD471B"/>
    <w:rsid w:val="00BD4726"/>
    <w:rsid w:val="00BD4AF7"/>
    <w:rsid w:val="00BD4BCC"/>
    <w:rsid w:val="00BD4BDD"/>
    <w:rsid w:val="00BD4BFD"/>
    <w:rsid w:val="00BD4D17"/>
    <w:rsid w:val="00BD4E43"/>
    <w:rsid w:val="00BD4EE5"/>
    <w:rsid w:val="00BD4F3C"/>
    <w:rsid w:val="00BD4F90"/>
    <w:rsid w:val="00BD4FD8"/>
    <w:rsid w:val="00BD50DA"/>
    <w:rsid w:val="00BD5126"/>
    <w:rsid w:val="00BD51E5"/>
    <w:rsid w:val="00BD52BE"/>
    <w:rsid w:val="00BD537B"/>
    <w:rsid w:val="00BD547E"/>
    <w:rsid w:val="00BD54B1"/>
    <w:rsid w:val="00BD54BD"/>
    <w:rsid w:val="00BD552F"/>
    <w:rsid w:val="00BD5555"/>
    <w:rsid w:val="00BD5624"/>
    <w:rsid w:val="00BD56A5"/>
    <w:rsid w:val="00BD56AC"/>
    <w:rsid w:val="00BD592A"/>
    <w:rsid w:val="00BD597E"/>
    <w:rsid w:val="00BD5993"/>
    <w:rsid w:val="00BD59AD"/>
    <w:rsid w:val="00BD5A04"/>
    <w:rsid w:val="00BD5A3E"/>
    <w:rsid w:val="00BD5ACC"/>
    <w:rsid w:val="00BD5B63"/>
    <w:rsid w:val="00BD5BA0"/>
    <w:rsid w:val="00BD5BBC"/>
    <w:rsid w:val="00BD5BC2"/>
    <w:rsid w:val="00BD5C16"/>
    <w:rsid w:val="00BD5C30"/>
    <w:rsid w:val="00BD5DF4"/>
    <w:rsid w:val="00BD5F4F"/>
    <w:rsid w:val="00BD5F96"/>
    <w:rsid w:val="00BD5FC2"/>
    <w:rsid w:val="00BD60E6"/>
    <w:rsid w:val="00BD60FC"/>
    <w:rsid w:val="00BD6197"/>
    <w:rsid w:val="00BD61CE"/>
    <w:rsid w:val="00BD622A"/>
    <w:rsid w:val="00BD624A"/>
    <w:rsid w:val="00BD6259"/>
    <w:rsid w:val="00BD634B"/>
    <w:rsid w:val="00BD635E"/>
    <w:rsid w:val="00BD63DC"/>
    <w:rsid w:val="00BD6426"/>
    <w:rsid w:val="00BD6464"/>
    <w:rsid w:val="00BD6478"/>
    <w:rsid w:val="00BD64FA"/>
    <w:rsid w:val="00BD657E"/>
    <w:rsid w:val="00BD65A3"/>
    <w:rsid w:val="00BD65A7"/>
    <w:rsid w:val="00BD67A3"/>
    <w:rsid w:val="00BD67E1"/>
    <w:rsid w:val="00BD6815"/>
    <w:rsid w:val="00BD6821"/>
    <w:rsid w:val="00BD6886"/>
    <w:rsid w:val="00BD68BF"/>
    <w:rsid w:val="00BD6904"/>
    <w:rsid w:val="00BD6946"/>
    <w:rsid w:val="00BD6974"/>
    <w:rsid w:val="00BD69C7"/>
    <w:rsid w:val="00BD69E9"/>
    <w:rsid w:val="00BD69F1"/>
    <w:rsid w:val="00BD6A0D"/>
    <w:rsid w:val="00BD6A15"/>
    <w:rsid w:val="00BD6A5E"/>
    <w:rsid w:val="00BD6A9F"/>
    <w:rsid w:val="00BD6B48"/>
    <w:rsid w:val="00BD6BA0"/>
    <w:rsid w:val="00BD6CC0"/>
    <w:rsid w:val="00BD6D6A"/>
    <w:rsid w:val="00BD6DFC"/>
    <w:rsid w:val="00BD6E09"/>
    <w:rsid w:val="00BD6E70"/>
    <w:rsid w:val="00BD6FB8"/>
    <w:rsid w:val="00BD6FDF"/>
    <w:rsid w:val="00BD7078"/>
    <w:rsid w:val="00BD70D4"/>
    <w:rsid w:val="00BD70E2"/>
    <w:rsid w:val="00BD7238"/>
    <w:rsid w:val="00BD7292"/>
    <w:rsid w:val="00BD72F5"/>
    <w:rsid w:val="00BD7307"/>
    <w:rsid w:val="00BD7489"/>
    <w:rsid w:val="00BD78F6"/>
    <w:rsid w:val="00BD78F9"/>
    <w:rsid w:val="00BD791F"/>
    <w:rsid w:val="00BD7955"/>
    <w:rsid w:val="00BD795C"/>
    <w:rsid w:val="00BD799A"/>
    <w:rsid w:val="00BD7A68"/>
    <w:rsid w:val="00BD7B30"/>
    <w:rsid w:val="00BD7B7C"/>
    <w:rsid w:val="00BD7C68"/>
    <w:rsid w:val="00BD7C9F"/>
    <w:rsid w:val="00BD7D04"/>
    <w:rsid w:val="00BD7F4C"/>
    <w:rsid w:val="00BD7F64"/>
    <w:rsid w:val="00BD7F69"/>
    <w:rsid w:val="00BD7F6B"/>
    <w:rsid w:val="00BD7FB6"/>
    <w:rsid w:val="00BE0128"/>
    <w:rsid w:val="00BE01BC"/>
    <w:rsid w:val="00BE01F3"/>
    <w:rsid w:val="00BE0234"/>
    <w:rsid w:val="00BE0241"/>
    <w:rsid w:val="00BE049C"/>
    <w:rsid w:val="00BE05C7"/>
    <w:rsid w:val="00BE0646"/>
    <w:rsid w:val="00BE0689"/>
    <w:rsid w:val="00BE06AE"/>
    <w:rsid w:val="00BE079A"/>
    <w:rsid w:val="00BE087F"/>
    <w:rsid w:val="00BE08DF"/>
    <w:rsid w:val="00BE0978"/>
    <w:rsid w:val="00BE09AF"/>
    <w:rsid w:val="00BE0AD8"/>
    <w:rsid w:val="00BE0BD9"/>
    <w:rsid w:val="00BE0D17"/>
    <w:rsid w:val="00BE0D9B"/>
    <w:rsid w:val="00BE0DD1"/>
    <w:rsid w:val="00BE0E20"/>
    <w:rsid w:val="00BE0F28"/>
    <w:rsid w:val="00BE0F3B"/>
    <w:rsid w:val="00BE0FD5"/>
    <w:rsid w:val="00BE0FE4"/>
    <w:rsid w:val="00BE1005"/>
    <w:rsid w:val="00BE1021"/>
    <w:rsid w:val="00BE1030"/>
    <w:rsid w:val="00BE1114"/>
    <w:rsid w:val="00BE1163"/>
    <w:rsid w:val="00BE12D1"/>
    <w:rsid w:val="00BE131C"/>
    <w:rsid w:val="00BE1360"/>
    <w:rsid w:val="00BE1435"/>
    <w:rsid w:val="00BE1437"/>
    <w:rsid w:val="00BE1454"/>
    <w:rsid w:val="00BE1505"/>
    <w:rsid w:val="00BE15A6"/>
    <w:rsid w:val="00BE16A8"/>
    <w:rsid w:val="00BE16DE"/>
    <w:rsid w:val="00BE16FE"/>
    <w:rsid w:val="00BE182C"/>
    <w:rsid w:val="00BE1865"/>
    <w:rsid w:val="00BE18E9"/>
    <w:rsid w:val="00BE1905"/>
    <w:rsid w:val="00BE195A"/>
    <w:rsid w:val="00BE199E"/>
    <w:rsid w:val="00BE1ACD"/>
    <w:rsid w:val="00BE1BE1"/>
    <w:rsid w:val="00BE1C00"/>
    <w:rsid w:val="00BE1C83"/>
    <w:rsid w:val="00BE1D11"/>
    <w:rsid w:val="00BE1E2E"/>
    <w:rsid w:val="00BE1E9A"/>
    <w:rsid w:val="00BE1F2E"/>
    <w:rsid w:val="00BE2100"/>
    <w:rsid w:val="00BE215D"/>
    <w:rsid w:val="00BE21F0"/>
    <w:rsid w:val="00BE228F"/>
    <w:rsid w:val="00BE22E7"/>
    <w:rsid w:val="00BE24E3"/>
    <w:rsid w:val="00BE2564"/>
    <w:rsid w:val="00BE25BC"/>
    <w:rsid w:val="00BE2622"/>
    <w:rsid w:val="00BE273C"/>
    <w:rsid w:val="00BE278A"/>
    <w:rsid w:val="00BE27E2"/>
    <w:rsid w:val="00BE27FB"/>
    <w:rsid w:val="00BE282F"/>
    <w:rsid w:val="00BE2A71"/>
    <w:rsid w:val="00BE2B12"/>
    <w:rsid w:val="00BE2B37"/>
    <w:rsid w:val="00BE2BBB"/>
    <w:rsid w:val="00BE2BCD"/>
    <w:rsid w:val="00BE2BFA"/>
    <w:rsid w:val="00BE2C0B"/>
    <w:rsid w:val="00BE2CA3"/>
    <w:rsid w:val="00BE2D1D"/>
    <w:rsid w:val="00BE2DB4"/>
    <w:rsid w:val="00BE2E48"/>
    <w:rsid w:val="00BE2E4B"/>
    <w:rsid w:val="00BE2EAC"/>
    <w:rsid w:val="00BE2FF8"/>
    <w:rsid w:val="00BE308A"/>
    <w:rsid w:val="00BE30A1"/>
    <w:rsid w:val="00BE30AE"/>
    <w:rsid w:val="00BE30CB"/>
    <w:rsid w:val="00BE30FA"/>
    <w:rsid w:val="00BE3114"/>
    <w:rsid w:val="00BE317C"/>
    <w:rsid w:val="00BE3361"/>
    <w:rsid w:val="00BE33DD"/>
    <w:rsid w:val="00BE340F"/>
    <w:rsid w:val="00BE3536"/>
    <w:rsid w:val="00BE3541"/>
    <w:rsid w:val="00BE3597"/>
    <w:rsid w:val="00BE361A"/>
    <w:rsid w:val="00BE37A7"/>
    <w:rsid w:val="00BE387F"/>
    <w:rsid w:val="00BE38BA"/>
    <w:rsid w:val="00BE39AD"/>
    <w:rsid w:val="00BE39D2"/>
    <w:rsid w:val="00BE3C17"/>
    <w:rsid w:val="00BE3C1E"/>
    <w:rsid w:val="00BE3C70"/>
    <w:rsid w:val="00BE3CD8"/>
    <w:rsid w:val="00BE3D62"/>
    <w:rsid w:val="00BE3DE6"/>
    <w:rsid w:val="00BE3E1E"/>
    <w:rsid w:val="00BE3E31"/>
    <w:rsid w:val="00BE3EF7"/>
    <w:rsid w:val="00BE3F60"/>
    <w:rsid w:val="00BE3F98"/>
    <w:rsid w:val="00BE3FA8"/>
    <w:rsid w:val="00BE4099"/>
    <w:rsid w:val="00BE40D3"/>
    <w:rsid w:val="00BE4104"/>
    <w:rsid w:val="00BE4147"/>
    <w:rsid w:val="00BE4192"/>
    <w:rsid w:val="00BE420F"/>
    <w:rsid w:val="00BE4224"/>
    <w:rsid w:val="00BE42F8"/>
    <w:rsid w:val="00BE4382"/>
    <w:rsid w:val="00BE4395"/>
    <w:rsid w:val="00BE4480"/>
    <w:rsid w:val="00BE44C7"/>
    <w:rsid w:val="00BE4603"/>
    <w:rsid w:val="00BE4679"/>
    <w:rsid w:val="00BE47A3"/>
    <w:rsid w:val="00BE48C9"/>
    <w:rsid w:val="00BE49AE"/>
    <w:rsid w:val="00BE4A03"/>
    <w:rsid w:val="00BE4B2D"/>
    <w:rsid w:val="00BE4B50"/>
    <w:rsid w:val="00BE4C00"/>
    <w:rsid w:val="00BE4D59"/>
    <w:rsid w:val="00BE4DF4"/>
    <w:rsid w:val="00BE4E3A"/>
    <w:rsid w:val="00BE4E6B"/>
    <w:rsid w:val="00BE4EA4"/>
    <w:rsid w:val="00BE4ECE"/>
    <w:rsid w:val="00BE4F42"/>
    <w:rsid w:val="00BE4F45"/>
    <w:rsid w:val="00BE4FAE"/>
    <w:rsid w:val="00BE504A"/>
    <w:rsid w:val="00BE5073"/>
    <w:rsid w:val="00BE511A"/>
    <w:rsid w:val="00BE5123"/>
    <w:rsid w:val="00BE51DA"/>
    <w:rsid w:val="00BE524E"/>
    <w:rsid w:val="00BE526A"/>
    <w:rsid w:val="00BE52A7"/>
    <w:rsid w:val="00BE5378"/>
    <w:rsid w:val="00BE5405"/>
    <w:rsid w:val="00BE5434"/>
    <w:rsid w:val="00BE5438"/>
    <w:rsid w:val="00BE5491"/>
    <w:rsid w:val="00BE54EB"/>
    <w:rsid w:val="00BE5511"/>
    <w:rsid w:val="00BE5716"/>
    <w:rsid w:val="00BE57B8"/>
    <w:rsid w:val="00BE5808"/>
    <w:rsid w:val="00BE58D9"/>
    <w:rsid w:val="00BE5907"/>
    <w:rsid w:val="00BE590A"/>
    <w:rsid w:val="00BE5942"/>
    <w:rsid w:val="00BE5954"/>
    <w:rsid w:val="00BE59B1"/>
    <w:rsid w:val="00BE5C33"/>
    <w:rsid w:val="00BE5CE4"/>
    <w:rsid w:val="00BE5CF0"/>
    <w:rsid w:val="00BE5E56"/>
    <w:rsid w:val="00BE5ED9"/>
    <w:rsid w:val="00BE5F98"/>
    <w:rsid w:val="00BE601E"/>
    <w:rsid w:val="00BE60AE"/>
    <w:rsid w:val="00BE6163"/>
    <w:rsid w:val="00BE6171"/>
    <w:rsid w:val="00BE6493"/>
    <w:rsid w:val="00BE64E8"/>
    <w:rsid w:val="00BE6557"/>
    <w:rsid w:val="00BE655F"/>
    <w:rsid w:val="00BE6569"/>
    <w:rsid w:val="00BE6589"/>
    <w:rsid w:val="00BE66A4"/>
    <w:rsid w:val="00BE66B9"/>
    <w:rsid w:val="00BE66C7"/>
    <w:rsid w:val="00BE66D6"/>
    <w:rsid w:val="00BE672B"/>
    <w:rsid w:val="00BE6799"/>
    <w:rsid w:val="00BE6849"/>
    <w:rsid w:val="00BE69CB"/>
    <w:rsid w:val="00BE6AA3"/>
    <w:rsid w:val="00BE6AFB"/>
    <w:rsid w:val="00BE6B0C"/>
    <w:rsid w:val="00BE6B1A"/>
    <w:rsid w:val="00BE6B68"/>
    <w:rsid w:val="00BE6C0A"/>
    <w:rsid w:val="00BE6C80"/>
    <w:rsid w:val="00BE6D4F"/>
    <w:rsid w:val="00BE6E0E"/>
    <w:rsid w:val="00BE6FFD"/>
    <w:rsid w:val="00BE705F"/>
    <w:rsid w:val="00BE706E"/>
    <w:rsid w:val="00BE7148"/>
    <w:rsid w:val="00BE723E"/>
    <w:rsid w:val="00BE7393"/>
    <w:rsid w:val="00BE7460"/>
    <w:rsid w:val="00BE74CC"/>
    <w:rsid w:val="00BE74D0"/>
    <w:rsid w:val="00BE752B"/>
    <w:rsid w:val="00BE7541"/>
    <w:rsid w:val="00BE7567"/>
    <w:rsid w:val="00BE75C7"/>
    <w:rsid w:val="00BE7679"/>
    <w:rsid w:val="00BE769B"/>
    <w:rsid w:val="00BE76B3"/>
    <w:rsid w:val="00BE779A"/>
    <w:rsid w:val="00BE77C6"/>
    <w:rsid w:val="00BE78AC"/>
    <w:rsid w:val="00BE795D"/>
    <w:rsid w:val="00BE798D"/>
    <w:rsid w:val="00BE79F8"/>
    <w:rsid w:val="00BE7A98"/>
    <w:rsid w:val="00BE7B40"/>
    <w:rsid w:val="00BE7B7D"/>
    <w:rsid w:val="00BE7BCB"/>
    <w:rsid w:val="00BE7CA3"/>
    <w:rsid w:val="00BE7E14"/>
    <w:rsid w:val="00BE7E89"/>
    <w:rsid w:val="00BE7E94"/>
    <w:rsid w:val="00BE7FA8"/>
    <w:rsid w:val="00BF0249"/>
    <w:rsid w:val="00BF02BC"/>
    <w:rsid w:val="00BF02D3"/>
    <w:rsid w:val="00BF033D"/>
    <w:rsid w:val="00BF0396"/>
    <w:rsid w:val="00BF03D3"/>
    <w:rsid w:val="00BF0417"/>
    <w:rsid w:val="00BF041F"/>
    <w:rsid w:val="00BF05C1"/>
    <w:rsid w:val="00BF0612"/>
    <w:rsid w:val="00BF0681"/>
    <w:rsid w:val="00BF06EE"/>
    <w:rsid w:val="00BF085B"/>
    <w:rsid w:val="00BF0905"/>
    <w:rsid w:val="00BF0909"/>
    <w:rsid w:val="00BF095D"/>
    <w:rsid w:val="00BF095E"/>
    <w:rsid w:val="00BF09A6"/>
    <w:rsid w:val="00BF09EF"/>
    <w:rsid w:val="00BF0A3E"/>
    <w:rsid w:val="00BF0A9F"/>
    <w:rsid w:val="00BF0AA3"/>
    <w:rsid w:val="00BF0B4C"/>
    <w:rsid w:val="00BF0B9B"/>
    <w:rsid w:val="00BF0DB1"/>
    <w:rsid w:val="00BF0F1D"/>
    <w:rsid w:val="00BF0F96"/>
    <w:rsid w:val="00BF0F99"/>
    <w:rsid w:val="00BF0FF6"/>
    <w:rsid w:val="00BF1002"/>
    <w:rsid w:val="00BF1016"/>
    <w:rsid w:val="00BF1020"/>
    <w:rsid w:val="00BF10E7"/>
    <w:rsid w:val="00BF118F"/>
    <w:rsid w:val="00BF11DA"/>
    <w:rsid w:val="00BF11E4"/>
    <w:rsid w:val="00BF1272"/>
    <w:rsid w:val="00BF13D0"/>
    <w:rsid w:val="00BF13F9"/>
    <w:rsid w:val="00BF1433"/>
    <w:rsid w:val="00BF15FB"/>
    <w:rsid w:val="00BF1646"/>
    <w:rsid w:val="00BF16AA"/>
    <w:rsid w:val="00BF16B9"/>
    <w:rsid w:val="00BF18C1"/>
    <w:rsid w:val="00BF1914"/>
    <w:rsid w:val="00BF1957"/>
    <w:rsid w:val="00BF1A48"/>
    <w:rsid w:val="00BF1AAA"/>
    <w:rsid w:val="00BF1BE7"/>
    <w:rsid w:val="00BF1C3D"/>
    <w:rsid w:val="00BF1C86"/>
    <w:rsid w:val="00BF1D12"/>
    <w:rsid w:val="00BF1D52"/>
    <w:rsid w:val="00BF1FED"/>
    <w:rsid w:val="00BF2002"/>
    <w:rsid w:val="00BF2146"/>
    <w:rsid w:val="00BF216D"/>
    <w:rsid w:val="00BF221C"/>
    <w:rsid w:val="00BF23B1"/>
    <w:rsid w:val="00BF2415"/>
    <w:rsid w:val="00BF2562"/>
    <w:rsid w:val="00BF2685"/>
    <w:rsid w:val="00BF26C4"/>
    <w:rsid w:val="00BF26D1"/>
    <w:rsid w:val="00BF270A"/>
    <w:rsid w:val="00BF27EC"/>
    <w:rsid w:val="00BF2843"/>
    <w:rsid w:val="00BF2996"/>
    <w:rsid w:val="00BF2A0E"/>
    <w:rsid w:val="00BF2A39"/>
    <w:rsid w:val="00BF2AD2"/>
    <w:rsid w:val="00BF2BB2"/>
    <w:rsid w:val="00BF2C4B"/>
    <w:rsid w:val="00BF2C4F"/>
    <w:rsid w:val="00BF2E35"/>
    <w:rsid w:val="00BF2F29"/>
    <w:rsid w:val="00BF2F82"/>
    <w:rsid w:val="00BF2FE3"/>
    <w:rsid w:val="00BF3016"/>
    <w:rsid w:val="00BF3076"/>
    <w:rsid w:val="00BF30D8"/>
    <w:rsid w:val="00BF30DD"/>
    <w:rsid w:val="00BF3158"/>
    <w:rsid w:val="00BF31AB"/>
    <w:rsid w:val="00BF31E6"/>
    <w:rsid w:val="00BF32D5"/>
    <w:rsid w:val="00BF32EF"/>
    <w:rsid w:val="00BF3300"/>
    <w:rsid w:val="00BF3393"/>
    <w:rsid w:val="00BF33A7"/>
    <w:rsid w:val="00BF34AE"/>
    <w:rsid w:val="00BF35DC"/>
    <w:rsid w:val="00BF36C5"/>
    <w:rsid w:val="00BF3729"/>
    <w:rsid w:val="00BF3822"/>
    <w:rsid w:val="00BF385D"/>
    <w:rsid w:val="00BF3955"/>
    <w:rsid w:val="00BF3A7B"/>
    <w:rsid w:val="00BF3AC2"/>
    <w:rsid w:val="00BF3B04"/>
    <w:rsid w:val="00BF3BBF"/>
    <w:rsid w:val="00BF3CC5"/>
    <w:rsid w:val="00BF3CDA"/>
    <w:rsid w:val="00BF3D50"/>
    <w:rsid w:val="00BF3D51"/>
    <w:rsid w:val="00BF3DC8"/>
    <w:rsid w:val="00BF3DF4"/>
    <w:rsid w:val="00BF40A9"/>
    <w:rsid w:val="00BF4118"/>
    <w:rsid w:val="00BF4182"/>
    <w:rsid w:val="00BF41AA"/>
    <w:rsid w:val="00BF4313"/>
    <w:rsid w:val="00BF434A"/>
    <w:rsid w:val="00BF4392"/>
    <w:rsid w:val="00BF43EA"/>
    <w:rsid w:val="00BF440E"/>
    <w:rsid w:val="00BF4429"/>
    <w:rsid w:val="00BF4498"/>
    <w:rsid w:val="00BF466C"/>
    <w:rsid w:val="00BF46A1"/>
    <w:rsid w:val="00BF46C3"/>
    <w:rsid w:val="00BF4771"/>
    <w:rsid w:val="00BF4783"/>
    <w:rsid w:val="00BF47A1"/>
    <w:rsid w:val="00BF4834"/>
    <w:rsid w:val="00BF49A8"/>
    <w:rsid w:val="00BF4A4F"/>
    <w:rsid w:val="00BF4A7E"/>
    <w:rsid w:val="00BF4BA2"/>
    <w:rsid w:val="00BF4BBD"/>
    <w:rsid w:val="00BF4BCB"/>
    <w:rsid w:val="00BF4BF5"/>
    <w:rsid w:val="00BF4C03"/>
    <w:rsid w:val="00BF4C1D"/>
    <w:rsid w:val="00BF4E29"/>
    <w:rsid w:val="00BF4E93"/>
    <w:rsid w:val="00BF4F9A"/>
    <w:rsid w:val="00BF503B"/>
    <w:rsid w:val="00BF507C"/>
    <w:rsid w:val="00BF5116"/>
    <w:rsid w:val="00BF5123"/>
    <w:rsid w:val="00BF5155"/>
    <w:rsid w:val="00BF5167"/>
    <w:rsid w:val="00BF53D8"/>
    <w:rsid w:val="00BF5563"/>
    <w:rsid w:val="00BF5633"/>
    <w:rsid w:val="00BF5643"/>
    <w:rsid w:val="00BF56D3"/>
    <w:rsid w:val="00BF570D"/>
    <w:rsid w:val="00BF575E"/>
    <w:rsid w:val="00BF5878"/>
    <w:rsid w:val="00BF59CD"/>
    <w:rsid w:val="00BF5A01"/>
    <w:rsid w:val="00BF5B65"/>
    <w:rsid w:val="00BF5BF3"/>
    <w:rsid w:val="00BF5C1B"/>
    <w:rsid w:val="00BF5C1C"/>
    <w:rsid w:val="00BF5CD5"/>
    <w:rsid w:val="00BF5E6B"/>
    <w:rsid w:val="00BF6015"/>
    <w:rsid w:val="00BF601B"/>
    <w:rsid w:val="00BF60D0"/>
    <w:rsid w:val="00BF615E"/>
    <w:rsid w:val="00BF623B"/>
    <w:rsid w:val="00BF634B"/>
    <w:rsid w:val="00BF6385"/>
    <w:rsid w:val="00BF65CF"/>
    <w:rsid w:val="00BF65DE"/>
    <w:rsid w:val="00BF65F3"/>
    <w:rsid w:val="00BF66B2"/>
    <w:rsid w:val="00BF66ED"/>
    <w:rsid w:val="00BF6783"/>
    <w:rsid w:val="00BF67C4"/>
    <w:rsid w:val="00BF67D1"/>
    <w:rsid w:val="00BF686E"/>
    <w:rsid w:val="00BF69A9"/>
    <w:rsid w:val="00BF69CD"/>
    <w:rsid w:val="00BF6CFF"/>
    <w:rsid w:val="00BF6DB9"/>
    <w:rsid w:val="00BF6DDA"/>
    <w:rsid w:val="00BF6F59"/>
    <w:rsid w:val="00BF6F69"/>
    <w:rsid w:val="00BF7011"/>
    <w:rsid w:val="00BF70F3"/>
    <w:rsid w:val="00BF714C"/>
    <w:rsid w:val="00BF717B"/>
    <w:rsid w:val="00BF71D1"/>
    <w:rsid w:val="00BF7352"/>
    <w:rsid w:val="00BF73CD"/>
    <w:rsid w:val="00BF7511"/>
    <w:rsid w:val="00BF7529"/>
    <w:rsid w:val="00BF75D4"/>
    <w:rsid w:val="00BF75F3"/>
    <w:rsid w:val="00BF7674"/>
    <w:rsid w:val="00BF7763"/>
    <w:rsid w:val="00BF7917"/>
    <w:rsid w:val="00BF79CB"/>
    <w:rsid w:val="00BF79D9"/>
    <w:rsid w:val="00BF7AD3"/>
    <w:rsid w:val="00BF7AFF"/>
    <w:rsid w:val="00BF7B2F"/>
    <w:rsid w:val="00BF7BA7"/>
    <w:rsid w:val="00BF7BC9"/>
    <w:rsid w:val="00BF7C53"/>
    <w:rsid w:val="00BF7CCE"/>
    <w:rsid w:val="00BF7CD7"/>
    <w:rsid w:val="00BF7CE1"/>
    <w:rsid w:val="00BF7D55"/>
    <w:rsid w:val="00BF7E0C"/>
    <w:rsid w:val="00BF7EE6"/>
    <w:rsid w:val="00BF7FC0"/>
    <w:rsid w:val="00BFFA43"/>
    <w:rsid w:val="00C000D5"/>
    <w:rsid w:val="00C00136"/>
    <w:rsid w:val="00C001BE"/>
    <w:rsid w:val="00C0020C"/>
    <w:rsid w:val="00C0026A"/>
    <w:rsid w:val="00C002B6"/>
    <w:rsid w:val="00C00392"/>
    <w:rsid w:val="00C003A9"/>
    <w:rsid w:val="00C003CF"/>
    <w:rsid w:val="00C0041B"/>
    <w:rsid w:val="00C004CB"/>
    <w:rsid w:val="00C00529"/>
    <w:rsid w:val="00C00609"/>
    <w:rsid w:val="00C006C0"/>
    <w:rsid w:val="00C00712"/>
    <w:rsid w:val="00C0071F"/>
    <w:rsid w:val="00C00796"/>
    <w:rsid w:val="00C007BF"/>
    <w:rsid w:val="00C007CB"/>
    <w:rsid w:val="00C007D6"/>
    <w:rsid w:val="00C007F5"/>
    <w:rsid w:val="00C00817"/>
    <w:rsid w:val="00C00834"/>
    <w:rsid w:val="00C00A9E"/>
    <w:rsid w:val="00C00AB7"/>
    <w:rsid w:val="00C00AC2"/>
    <w:rsid w:val="00C00B8A"/>
    <w:rsid w:val="00C00BE3"/>
    <w:rsid w:val="00C00C07"/>
    <w:rsid w:val="00C00C6F"/>
    <w:rsid w:val="00C00CCF"/>
    <w:rsid w:val="00C00D0B"/>
    <w:rsid w:val="00C00D83"/>
    <w:rsid w:val="00C00E29"/>
    <w:rsid w:val="00C00E7C"/>
    <w:rsid w:val="00C00E9C"/>
    <w:rsid w:val="00C00F0B"/>
    <w:rsid w:val="00C00FDD"/>
    <w:rsid w:val="00C00FF7"/>
    <w:rsid w:val="00C01015"/>
    <w:rsid w:val="00C0102E"/>
    <w:rsid w:val="00C011E3"/>
    <w:rsid w:val="00C012DF"/>
    <w:rsid w:val="00C0135F"/>
    <w:rsid w:val="00C0136E"/>
    <w:rsid w:val="00C013E1"/>
    <w:rsid w:val="00C01430"/>
    <w:rsid w:val="00C01439"/>
    <w:rsid w:val="00C01445"/>
    <w:rsid w:val="00C014D3"/>
    <w:rsid w:val="00C014EE"/>
    <w:rsid w:val="00C01646"/>
    <w:rsid w:val="00C01654"/>
    <w:rsid w:val="00C0176C"/>
    <w:rsid w:val="00C0186A"/>
    <w:rsid w:val="00C01884"/>
    <w:rsid w:val="00C0190E"/>
    <w:rsid w:val="00C01A9E"/>
    <w:rsid w:val="00C01B07"/>
    <w:rsid w:val="00C01B48"/>
    <w:rsid w:val="00C01C4A"/>
    <w:rsid w:val="00C01CE1"/>
    <w:rsid w:val="00C01D00"/>
    <w:rsid w:val="00C01D80"/>
    <w:rsid w:val="00C01EEE"/>
    <w:rsid w:val="00C01F00"/>
    <w:rsid w:val="00C01F84"/>
    <w:rsid w:val="00C02000"/>
    <w:rsid w:val="00C0203A"/>
    <w:rsid w:val="00C02056"/>
    <w:rsid w:val="00C020B6"/>
    <w:rsid w:val="00C020F1"/>
    <w:rsid w:val="00C02138"/>
    <w:rsid w:val="00C02191"/>
    <w:rsid w:val="00C021AB"/>
    <w:rsid w:val="00C0234E"/>
    <w:rsid w:val="00C02404"/>
    <w:rsid w:val="00C02433"/>
    <w:rsid w:val="00C024ED"/>
    <w:rsid w:val="00C025D9"/>
    <w:rsid w:val="00C02624"/>
    <w:rsid w:val="00C02633"/>
    <w:rsid w:val="00C0263F"/>
    <w:rsid w:val="00C02684"/>
    <w:rsid w:val="00C026E0"/>
    <w:rsid w:val="00C0286C"/>
    <w:rsid w:val="00C028BC"/>
    <w:rsid w:val="00C028E9"/>
    <w:rsid w:val="00C028FB"/>
    <w:rsid w:val="00C02A0C"/>
    <w:rsid w:val="00C02A29"/>
    <w:rsid w:val="00C02C71"/>
    <w:rsid w:val="00C02C85"/>
    <w:rsid w:val="00C02CA0"/>
    <w:rsid w:val="00C02CCE"/>
    <w:rsid w:val="00C02CE9"/>
    <w:rsid w:val="00C02D7B"/>
    <w:rsid w:val="00C02E04"/>
    <w:rsid w:val="00C02EA7"/>
    <w:rsid w:val="00C02EEC"/>
    <w:rsid w:val="00C02F64"/>
    <w:rsid w:val="00C03045"/>
    <w:rsid w:val="00C031BA"/>
    <w:rsid w:val="00C0329B"/>
    <w:rsid w:val="00C032AC"/>
    <w:rsid w:val="00C03325"/>
    <w:rsid w:val="00C0334C"/>
    <w:rsid w:val="00C033E8"/>
    <w:rsid w:val="00C03451"/>
    <w:rsid w:val="00C0346E"/>
    <w:rsid w:val="00C03562"/>
    <w:rsid w:val="00C03590"/>
    <w:rsid w:val="00C035AA"/>
    <w:rsid w:val="00C03647"/>
    <w:rsid w:val="00C0364D"/>
    <w:rsid w:val="00C03677"/>
    <w:rsid w:val="00C03714"/>
    <w:rsid w:val="00C03764"/>
    <w:rsid w:val="00C03949"/>
    <w:rsid w:val="00C0394B"/>
    <w:rsid w:val="00C03971"/>
    <w:rsid w:val="00C039EC"/>
    <w:rsid w:val="00C03A7D"/>
    <w:rsid w:val="00C03AE4"/>
    <w:rsid w:val="00C03B42"/>
    <w:rsid w:val="00C03C05"/>
    <w:rsid w:val="00C03D22"/>
    <w:rsid w:val="00C03DFE"/>
    <w:rsid w:val="00C03ECA"/>
    <w:rsid w:val="00C03EFB"/>
    <w:rsid w:val="00C03F36"/>
    <w:rsid w:val="00C03F45"/>
    <w:rsid w:val="00C03F94"/>
    <w:rsid w:val="00C0405D"/>
    <w:rsid w:val="00C040B8"/>
    <w:rsid w:val="00C040CC"/>
    <w:rsid w:val="00C0419C"/>
    <w:rsid w:val="00C041CA"/>
    <w:rsid w:val="00C041F7"/>
    <w:rsid w:val="00C0424B"/>
    <w:rsid w:val="00C04320"/>
    <w:rsid w:val="00C043B3"/>
    <w:rsid w:val="00C04493"/>
    <w:rsid w:val="00C0456F"/>
    <w:rsid w:val="00C04583"/>
    <w:rsid w:val="00C04593"/>
    <w:rsid w:val="00C045FA"/>
    <w:rsid w:val="00C046FE"/>
    <w:rsid w:val="00C04810"/>
    <w:rsid w:val="00C048A8"/>
    <w:rsid w:val="00C04B19"/>
    <w:rsid w:val="00C04B1F"/>
    <w:rsid w:val="00C04B73"/>
    <w:rsid w:val="00C04B94"/>
    <w:rsid w:val="00C04C76"/>
    <w:rsid w:val="00C04D7E"/>
    <w:rsid w:val="00C04DA8"/>
    <w:rsid w:val="00C04E0C"/>
    <w:rsid w:val="00C04E62"/>
    <w:rsid w:val="00C04ED0"/>
    <w:rsid w:val="00C04FED"/>
    <w:rsid w:val="00C05089"/>
    <w:rsid w:val="00C050FD"/>
    <w:rsid w:val="00C051B1"/>
    <w:rsid w:val="00C052E0"/>
    <w:rsid w:val="00C0540C"/>
    <w:rsid w:val="00C05540"/>
    <w:rsid w:val="00C055BD"/>
    <w:rsid w:val="00C05619"/>
    <w:rsid w:val="00C0562F"/>
    <w:rsid w:val="00C056F6"/>
    <w:rsid w:val="00C05762"/>
    <w:rsid w:val="00C057BE"/>
    <w:rsid w:val="00C0580F"/>
    <w:rsid w:val="00C058CF"/>
    <w:rsid w:val="00C058E4"/>
    <w:rsid w:val="00C0594E"/>
    <w:rsid w:val="00C05A44"/>
    <w:rsid w:val="00C05AC7"/>
    <w:rsid w:val="00C05C14"/>
    <w:rsid w:val="00C05CD4"/>
    <w:rsid w:val="00C05DE0"/>
    <w:rsid w:val="00C05E14"/>
    <w:rsid w:val="00C05E68"/>
    <w:rsid w:val="00C05EDA"/>
    <w:rsid w:val="00C05EE5"/>
    <w:rsid w:val="00C05F39"/>
    <w:rsid w:val="00C060A8"/>
    <w:rsid w:val="00C06109"/>
    <w:rsid w:val="00C061FA"/>
    <w:rsid w:val="00C0632B"/>
    <w:rsid w:val="00C0636A"/>
    <w:rsid w:val="00C06389"/>
    <w:rsid w:val="00C06449"/>
    <w:rsid w:val="00C0659C"/>
    <w:rsid w:val="00C065B7"/>
    <w:rsid w:val="00C065C6"/>
    <w:rsid w:val="00C065EB"/>
    <w:rsid w:val="00C06675"/>
    <w:rsid w:val="00C06715"/>
    <w:rsid w:val="00C067BF"/>
    <w:rsid w:val="00C067DA"/>
    <w:rsid w:val="00C06A39"/>
    <w:rsid w:val="00C06A5C"/>
    <w:rsid w:val="00C06B11"/>
    <w:rsid w:val="00C06B62"/>
    <w:rsid w:val="00C06CF9"/>
    <w:rsid w:val="00C06E29"/>
    <w:rsid w:val="00C06EBB"/>
    <w:rsid w:val="00C06ED8"/>
    <w:rsid w:val="00C06F47"/>
    <w:rsid w:val="00C06FD4"/>
    <w:rsid w:val="00C070B5"/>
    <w:rsid w:val="00C07171"/>
    <w:rsid w:val="00C071E9"/>
    <w:rsid w:val="00C07272"/>
    <w:rsid w:val="00C07337"/>
    <w:rsid w:val="00C07362"/>
    <w:rsid w:val="00C0736F"/>
    <w:rsid w:val="00C07451"/>
    <w:rsid w:val="00C0752B"/>
    <w:rsid w:val="00C07711"/>
    <w:rsid w:val="00C07728"/>
    <w:rsid w:val="00C07736"/>
    <w:rsid w:val="00C07758"/>
    <w:rsid w:val="00C0781C"/>
    <w:rsid w:val="00C07833"/>
    <w:rsid w:val="00C07915"/>
    <w:rsid w:val="00C07945"/>
    <w:rsid w:val="00C07AB7"/>
    <w:rsid w:val="00C07AD7"/>
    <w:rsid w:val="00C07BA8"/>
    <w:rsid w:val="00C07BC7"/>
    <w:rsid w:val="00C07C9E"/>
    <w:rsid w:val="00C07CDA"/>
    <w:rsid w:val="00C07DCB"/>
    <w:rsid w:val="00C07DCF"/>
    <w:rsid w:val="00C07E72"/>
    <w:rsid w:val="00C0B9FC"/>
    <w:rsid w:val="00C10077"/>
    <w:rsid w:val="00C1008D"/>
    <w:rsid w:val="00C1014A"/>
    <w:rsid w:val="00C10189"/>
    <w:rsid w:val="00C10240"/>
    <w:rsid w:val="00C10354"/>
    <w:rsid w:val="00C10368"/>
    <w:rsid w:val="00C1039C"/>
    <w:rsid w:val="00C10485"/>
    <w:rsid w:val="00C104F5"/>
    <w:rsid w:val="00C1052D"/>
    <w:rsid w:val="00C10737"/>
    <w:rsid w:val="00C1074C"/>
    <w:rsid w:val="00C10751"/>
    <w:rsid w:val="00C107BD"/>
    <w:rsid w:val="00C107EC"/>
    <w:rsid w:val="00C10A38"/>
    <w:rsid w:val="00C10A3B"/>
    <w:rsid w:val="00C10A40"/>
    <w:rsid w:val="00C10B6B"/>
    <w:rsid w:val="00C10B7B"/>
    <w:rsid w:val="00C10B9D"/>
    <w:rsid w:val="00C10C63"/>
    <w:rsid w:val="00C10C72"/>
    <w:rsid w:val="00C10DCE"/>
    <w:rsid w:val="00C10E13"/>
    <w:rsid w:val="00C10E6F"/>
    <w:rsid w:val="00C10F01"/>
    <w:rsid w:val="00C10F25"/>
    <w:rsid w:val="00C10F41"/>
    <w:rsid w:val="00C10F80"/>
    <w:rsid w:val="00C10FA1"/>
    <w:rsid w:val="00C11008"/>
    <w:rsid w:val="00C110A5"/>
    <w:rsid w:val="00C110F1"/>
    <w:rsid w:val="00C111CC"/>
    <w:rsid w:val="00C11266"/>
    <w:rsid w:val="00C1128E"/>
    <w:rsid w:val="00C11305"/>
    <w:rsid w:val="00C1158D"/>
    <w:rsid w:val="00C115BE"/>
    <w:rsid w:val="00C1172C"/>
    <w:rsid w:val="00C117FA"/>
    <w:rsid w:val="00C11800"/>
    <w:rsid w:val="00C1183C"/>
    <w:rsid w:val="00C11843"/>
    <w:rsid w:val="00C1196A"/>
    <w:rsid w:val="00C11A12"/>
    <w:rsid w:val="00C11A31"/>
    <w:rsid w:val="00C11B78"/>
    <w:rsid w:val="00C11C04"/>
    <w:rsid w:val="00C11E17"/>
    <w:rsid w:val="00C11F17"/>
    <w:rsid w:val="00C1203D"/>
    <w:rsid w:val="00C1205B"/>
    <w:rsid w:val="00C120F8"/>
    <w:rsid w:val="00C121D8"/>
    <w:rsid w:val="00C122D4"/>
    <w:rsid w:val="00C12396"/>
    <w:rsid w:val="00C123FC"/>
    <w:rsid w:val="00C124AC"/>
    <w:rsid w:val="00C124CE"/>
    <w:rsid w:val="00C12618"/>
    <w:rsid w:val="00C1267E"/>
    <w:rsid w:val="00C126C2"/>
    <w:rsid w:val="00C127F2"/>
    <w:rsid w:val="00C12967"/>
    <w:rsid w:val="00C12995"/>
    <w:rsid w:val="00C12998"/>
    <w:rsid w:val="00C129B4"/>
    <w:rsid w:val="00C12A35"/>
    <w:rsid w:val="00C12AA1"/>
    <w:rsid w:val="00C12AFF"/>
    <w:rsid w:val="00C12C0E"/>
    <w:rsid w:val="00C12C6A"/>
    <w:rsid w:val="00C12C75"/>
    <w:rsid w:val="00C12DC5"/>
    <w:rsid w:val="00C12F2C"/>
    <w:rsid w:val="00C12F8A"/>
    <w:rsid w:val="00C12F8C"/>
    <w:rsid w:val="00C12FB3"/>
    <w:rsid w:val="00C12FEF"/>
    <w:rsid w:val="00C13028"/>
    <w:rsid w:val="00C13148"/>
    <w:rsid w:val="00C13165"/>
    <w:rsid w:val="00C1317A"/>
    <w:rsid w:val="00C1319F"/>
    <w:rsid w:val="00C13232"/>
    <w:rsid w:val="00C1336A"/>
    <w:rsid w:val="00C13428"/>
    <w:rsid w:val="00C13681"/>
    <w:rsid w:val="00C136E8"/>
    <w:rsid w:val="00C13759"/>
    <w:rsid w:val="00C13842"/>
    <w:rsid w:val="00C1388B"/>
    <w:rsid w:val="00C13A6D"/>
    <w:rsid w:val="00C13B79"/>
    <w:rsid w:val="00C13BC0"/>
    <w:rsid w:val="00C13C6D"/>
    <w:rsid w:val="00C13DA6"/>
    <w:rsid w:val="00C13E2A"/>
    <w:rsid w:val="00C13E76"/>
    <w:rsid w:val="00C13FF9"/>
    <w:rsid w:val="00C140BA"/>
    <w:rsid w:val="00C14212"/>
    <w:rsid w:val="00C143A1"/>
    <w:rsid w:val="00C1449D"/>
    <w:rsid w:val="00C144A7"/>
    <w:rsid w:val="00C14531"/>
    <w:rsid w:val="00C14540"/>
    <w:rsid w:val="00C1455F"/>
    <w:rsid w:val="00C14919"/>
    <w:rsid w:val="00C1497E"/>
    <w:rsid w:val="00C1498B"/>
    <w:rsid w:val="00C149B3"/>
    <w:rsid w:val="00C149E2"/>
    <w:rsid w:val="00C14A5C"/>
    <w:rsid w:val="00C14B40"/>
    <w:rsid w:val="00C14B91"/>
    <w:rsid w:val="00C14CE2"/>
    <w:rsid w:val="00C14D8A"/>
    <w:rsid w:val="00C14DB5"/>
    <w:rsid w:val="00C14E10"/>
    <w:rsid w:val="00C14E28"/>
    <w:rsid w:val="00C14ED2"/>
    <w:rsid w:val="00C14EEF"/>
    <w:rsid w:val="00C14F05"/>
    <w:rsid w:val="00C14FBB"/>
    <w:rsid w:val="00C15039"/>
    <w:rsid w:val="00C15050"/>
    <w:rsid w:val="00C150E8"/>
    <w:rsid w:val="00C15189"/>
    <w:rsid w:val="00C151B1"/>
    <w:rsid w:val="00C15224"/>
    <w:rsid w:val="00C15417"/>
    <w:rsid w:val="00C1543D"/>
    <w:rsid w:val="00C15590"/>
    <w:rsid w:val="00C157D7"/>
    <w:rsid w:val="00C15805"/>
    <w:rsid w:val="00C15818"/>
    <w:rsid w:val="00C15886"/>
    <w:rsid w:val="00C158B6"/>
    <w:rsid w:val="00C158DA"/>
    <w:rsid w:val="00C158F3"/>
    <w:rsid w:val="00C15922"/>
    <w:rsid w:val="00C15945"/>
    <w:rsid w:val="00C15976"/>
    <w:rsid w:val="00C15ACB"/>
    <w:rsid w:val="00C15B1A"/>
    <w:rsid w:val="00C15BA4"/>
    <w:rsid w:val="00C15C50"/>
    <w:rsid w:val="00C15C90"/>
    <w:rsid w:val="00C15CD3"/>
    <w:rsid w:val="00C15D5F"/>
    <w:rsid w:val="00C15DA8"/>
    <w:rsid w:val="00C15DE3"/>
    <w:rsid w:val="00C15ED3"/>
    <w:rsid w:val="00C15FFD"/>
    <w:rsid w:val="00C1604A"/>
    <w:rsid w:val="00C1605B"/>
    <w:rsid w:val="00C160DE"/>
    <w:rsid w:val="00C1614B"/>
    <w:rsid w:val="00C1619E"/>
    <w:rsid w:val="00C1629F"/>
    <w:rsid w:val="00C162B1"/>
    <w:rsid w:val="00C16300"/>
    <w:rsid w:val="00C1659C"/>
    <w:rsid w:val="00C1662E"/>
    <w:rsid w:val="00C166B8"/>
    <w:rsid w:val="00C166E7"/>
    <w:rsid w:val="00C16716"/>
    <w:rsid w:val="00C167C6"/>
    <w:rsid w:val="00C167E6"/>
    <w:rsid w:val="00C169A7"/>
    <w:rsid w:val="00C16B99"/>
    <w:rsid w:val="00C16BBA"/>
    <w:rsid w:val="00C16C0B"/>
    <w:rsid w:val="00C16C94"/>
    <w:rsid w:val="00C16CBB"/>
    <w:rsid w:val="00C16CC5"/>
    <w:rsid w:val="00C16D68"/>
    <w:rsid w:val="00C16D7B"/>
    <w:rsid w:val="00C16EDB"/>
    <w:rsid w:val="00C16F0D"/>
    <w:rsid w:val="00C16F3C"/>
    <w:rsid w:val="00C17069"/>
    <w:rsid w:val="00C17076"/>
    <w:rsid w:val="00C1707F"/>
    <w:rsid w:val="00C1709D"/>
    <w:rsid w:val="00C170C1"/>
    <w:rsid w:val="00C17122"/>
    <w:rsid w:val="00C1723B"/>
    <w:rsid w:val="00C17265"/>
    <w:rsid w:val="00C17292"/>
    <w:rsid w:val="00C172D4"/>
    <w:rsid w:val="00C1735E"/>
    <w:rsid w:val="00C17434"/>
    <w:rsid w:val="00C174B5"/>
    <w:rsid w:val="00C174E6"/>
    <w:rsid w:val="00C17610"/>
    <w:rsid w:val="00C1772D"/>
    <w:rsid w:val="00C17772"/>
    <w:rsid w:val="00C17845"/>
    <w:rsid w:val="00C1788E"/>
    <w:rsid w:val="00C17A8E"/>
    <w:rsid w:val="00C17ADC"/>
    <w:rsid w:val="00C17B38"/>
    <w:rsid w:val="00C17B79"/>
    <w:rsid w:val="00C17BBE"/>
    <w:rsid w:val="00C17C04"/>
    <w:rsid w:val="00C17C6C"/>
    <w:rsid w:val="00C17CD1"/>
    <w:rsid w:val="00C17DC1"/>
    <w:rsid w:val="00C17DF6"/>
    <w:rsid w:val="00C17F10"/>
    <w:rsid w:val="00C20165"/>
    <w:rsid w:val="00C20179"/>
    <w:rsid w:val="00C20240"/>
    <w:rsid w:val="00C203C0"/>
    <w:rsid w:val="00C20427"/>
    <w:rsid w:val="00C20454"/>
    <w:rsid w:val="00C204C3"/>
    <w:rsid w:val="00C204D7"/>
    <w:rsid w:val="00C204E7"/>
    <w:rsid w:val="00C20538"/>
    <w:rsid w:val="00C2061A"/>
    <w:rsid w:val="00C20681"/>
    <w:rsid w:val="00C20710"/>
    <w:rsid w:val="00C20853"/>
    <w:rsid w:val="00C208C2"/>
    <w:rsid w:val="00C208DB"/>
    <w:rsid w:val="00C2091E"/>
    <w:rsid w:val="00C20922"/>
    <w:rsid w:val="00C20934"/>
    <w:rsid w:val="00C20977"/>
    <w:rsid w:val="00C20992"/>
    <w:rsid w:val="00C20A0E"/>
    <w:rsid w:val="00C20A86"/>
    <w:rsid w:val="00C20B14"/>
    <w:rsid w:val="00C20B44"/>
    <w:rsid w:val="00C20C07"/>
    <w:rsid w:val="00C20D78"/>
    <w:rsid w:val="00C20D8B"/>
    <w:rsid w:val="00C20D9D"/>
    <w:rsid w:val="00C20E0C"/>
    <w:rsid w:val="00C20E3C"/>
    <w:rsid w:val="00C20E8C"/>
    <w:rsid w:val="00C20EB0"/>
    <w:rsid w:val="00C20EB6"/>
    <w:rsid w:val="00C20F47"/>
    <w:rsid w:val="00C21026"/>
    <w:rsid w:val="00C210BB"/>
    <w:rsid w:val="00C21182"/>
    <w:rsid w:val="00C211C1"/>
    <w:rsid w:val="00C21425"/>
    <w:rsid w:val="00C21449"/>
    <w:rsid w:val="00C214B9"/>
    <w:rsid w:val="00C21529"/>
    <w:rsid w:val="00C21581"/>
    <w:rsid w:val="00C215A7"/>
    <w:rsid w:val="00C21622"/>
    <w:rsid w:val="00C21635"/>
    <w:rsid w:val="00C216CE"/>
    <w:rsid w:val="00C2172F"/>
    <w:rsid w:val="00C21868"/>
    <w:rsid w:val="00C21871"/>
    <w:rsid w:val="00C21893"/>
    <w:rsid w:val="00C218B5"/>
    <w:rsid w:val="00C21A09"/>
    <w:rsid w:val="00C21ACE"/>
    <w:rsid w:val="00C21AF2"/>
    <w:rsid w:val="00C21B7D"/>
    <w:rsid w:val="00C21BA0"/>
    <w:rsid w:val="00C21C3D"/>
    <w:rsid w:val="00C21D0B"/>
    <w:rsid w:val="00C21DD3"/>
    <w:rsid w:val="00C21E0C"/>
    <w:rsid w:val="00C21E2C"/>
    <w:rsid w:val="00C21ECC"/>
    <w:rsid w:val="00C21F10"/>
    <w:rsid w:val="00C21F73"/>
    <w:rsid w:val="00C2200E"/>
    <w:rsid w:val="00C22090"/>
    <w:rsid w:val="00C22314"/>
    <w:rsid w:val="00C22354"/>
    <w:rsid w:val="00C22362"/>
    <w:rsid w:val="00C22442"/>
    <w:rsid w:val="00C2249A"/>
    <w:rsid w:val="00C2251F"/>
    <w:rsid w:val="00C22568"/>
    <w:rsid w:val="00C2257E"/>
    <w:rsid w:val="00C225A6"/>
    <w:rsid w:val="00C225EC"/>
    <w:rsid w:val="00C2267F"/>
    <w:rsid w:val="00C226F3"/>
    <w:rsid w:val="00C22704"/>
    <w:rsid w:val="00C22733"/>
    <w:rsid w:val="00C227BA"/>
    <w:rsid w:val="00C22869"/>
    <w:rsid w:val="00C22872"/>
    <w:rsid w:val="00C2289F"/>
    <w:rsid w:val="00C2298F"/>
    <w:rsid w:val="00C22A98"/>
    <w:rsid w:val="00C22B04"/>
    <w:rsid w:val="00C22B26"/>
    <w:rsid w:val="00C22B45"/>
    <w:rsid w:val="00C22C44"/>
    <w:rsid w:val="00C22C65"/>
    <w:rsid w:val="00C22E0C"/>
    <w:rsid w:val="00C22E2F"/>
    <w:rsid w:val="00C22EB7"/>
    <w:rsid w:val="00C22EDE"/>
    <w:rsid w:val="00C2302B"/>
    <w:rsid w:val="00C230AE"/>
    <w:rsid w:val="00C230B5"/>
    <w:rsid w:val="00C23159"/>
    <w:rsid w:val="00C2316C"/>
    <w:rsid w:val="00C23191"/>
    <w:rsid w:val="00C232AB"/>
    <w:rsid w:val="00C232C8"/>
    <w:rsid w:val="00C232FB"/>
    <w:rsid w:val="00C233AF"/>
    <w:rsid w:val="00C234A1"/>
    <w:rsid w:val="00C234B3"/>
    <w:rsid w:val="00C234CE"/>
    <w:rsid w:val="00C234D3"/>
    <w:rsid w:val="00C234F1"/>
    <w:rsid w:val="00C23515"/>
    <w:rsid w:val="00C23590"/>
    <w:rsid w:val="00C2362D"/>
    <w:rsid w:val="00C236F4"/>
    <w:rsid w:val="00C23751"/>
    <w:rsid w:val="00C237BD"/>
    <w:rsid w:val="00C23960"/>
    <w:rsid w:val="00C2399B"/>
    <w:rsid w:val="00C23A1C"/>
    <w:rsid w:val="00C23ABE"/>
    <w:rsid w:val="00C23B2F"/>
    <w:rsid w:val="00C23B92"/>
    <w:rsid w:val="00C23C17"/>
    <w:rsid w:val="00C23C64"/>
    <w:rsid w:val="00C23CD3"/>
    <w:rsid w:val="00C23D0A"/>
    <w:rsid w:val="00C23DA4"/>
    <w:rsid w:val="00C23DC8"/>
    <w:rsid w:val="00C23E68"/>
    <w:rsid w:val="00C23F50"/>
    <w:rsid w:val="00C2407B"/>
    <w:rsid w:val="00C240B9"/>
    <w:rsid w:val="00C24175"/>
    <w:rsid w:val="00C2427B"/>
    <w:rsid w:val="00C24302"/>
    <w:rsid w:val="00C243B2"/>
    <w:rsid w:val="00C243C5"/>
    <w:rsid w:val="00C24416"/>
    <w:rsid w:val="00C244F0"/>
    <w:rsid w:val="00C245C4"/>
    <w:rsid w:val="00C245CB"/>
    <w:rsid w:val="00C245FE"/>
    <w:rsid w:val="00C2469C"/>
    <w:rsid w:val="00C246B2"/>
    <w:rsid w:val="00C246CA"/>
    <w:rsid w:val="00C246F0"/>
    <w:rsid w:val="00C24717"/>
    <w:rsid w:val="00C248D0"/>
    <w:rsid w:val="00C248E0"/>
    <w:rsid w:val="00C248ED"/>
    <w:rsid w:val="00C24BAB"/>
    <w:rsid w:val="00C24BFB"/>
    <w:rsid w:val="00C24C02"/>
    <w:rsid w:val="00C24C77"/>
    <w:rsid w:val="00C24C7B"/>
    <w:rsid w:val="00C24D61"/>
    <w:rsid w:val="00C24D81"/>
    <w:rsid w:val="00C24D8C"/>
    <w:rsid w:val="00C24F68"/>
    <w:rsid w:val="00C250A9"/>
    <w:rsid w:val="00C25237"/>
    <w:rsid w:val="00C25247"/>
    <w:rsid w:val="00C25319"/>
    <w:rsid w:val="00C254BF"/>
    <w:rsid w:val="00C2555F"/>
    <w:rsid w:val="00C25888"/>
    <w:rsid w:val="00C258F4"/>
    <w:rsid w:val="00C2590F"/>
    <w:rsid w:val="00C25A35"/>
    <w:rsid w:val="00C25B7C"/>
    <w:rsid w:val="00C25B81"/>
    <w:rsid w:val="00C25CAF"/>
    <w:rsid w:val="00C25CEB"/>
    <w:rsid w:val="00C25D27"/>
    <w:rsid w:val="00C25D37"/>
    <w:rsid w:val="00C25D89"/>
    <w:rsid w:val="00C25DFF"/>
    <w:rsid w:val="00C25EFF"/>
    <w:rsid w:val="00C25F05"/>
    <w:rsid w:val="00C260AE"/>
    <w:rsid w:val="00C260FF"/>
    <w:rsid w:val="00C2612F"/>
    <w:rsid w:val="00C261EF"/>
    <w:rsid w:val="00C262C5"/>
    <w:rsid w:val="00C262C7"/>
    <w:rsid w:val="00C262F8"/>
    <w:rsid w:val="00C2636B"/>
    <w:rsid w:val="00C26370"/>
    <w:rsid w:val="00C2647D"/>
    <w:rsid w:val="00C26647"/>
    <w:rsid w:val="00C2672C"/>
    <w:rsid w:val="00C267BF"/>
    <w:rsid w:val="00C2692D"/>
    <w:rsid w:val="00C2694A"/>
    <w:rsid w:val="00C26A1D"/>
    <w:rsid w:val="00C26AF3"/>
    <w:rsid w:val="00C26C43"/>
    <w:rsid w:val="00C26CFC"/>
    <w:rsid w:val="00C26D4C"/>
    <w:rsid w:val="00C26D86"/>
    <w:rsid w:val="00C26E18"/>
    <w:rsid w:val="00C26EC8"/>
    <w:rsid w:val="00C26EDB"/>
    <w:rsid w:val="00C26F6A"/>
    <w:rsid w:val="00C27024"/>
    <w:rsid w:val="00C27045"/>
    <w:rsid w:val="00C27110"/>
    <w:rsid w:val="00C27140"/>
    <w:rsid w:val="00C27160"/>
    <w:rsid w:val="00C27195"/>
    <w:rsid w:val="00C271CA"/>
    <w:rsid w:val="00C2723D"/>
    <w:rsid w:val="00C27244"/>
    <w:rsid w:val="00C27313"/>
    <w:rsid w:val="00C2737B"/>
    <w:rsid w:val="00C27440"/>
    <w:rsid w:val="00C27481"/>
    <w:rsid w:val="00C2749E"/>
    <w:rsid w:val="00C27534"/>
    <w:rsid w:val="00C27690"/>
    <w:rsid w:val="00C2777C"/>
    <w:rsid w:val="00C279CB"/>
    <w:rsid w:val="00C27A7B"/>
    <w:rsid w:val="00C27A86"/>
    <w:rsid w:val="00C27A98"/>
    <w:rsid w:val="00C27B5B"/>
    <w:rsid w:val="00C27C19"/>
    <w:rsid w:val="00C27C66"/>
    <w:rsid w:val="00C27E61"/>
    <w:rsid w:val="00C27EDC"/>
    <w:rsid w:val="00C27F92"/>
    <w:rsid w:val="00C3002A"/>
    <w:rsid w:val="00C300B0"/>
    <w:rsid w:val="00C300E8"/>
    <w:rsid w:val="00C3020E"/>
    <w:rsid w:val="00C3020F"/>
    <w:rsid w:val="00C30341"/>
    <w:rsid w:val="00C30361"/>
    <w:rsid w:val="00C3045D"/>
    <w:rsid w:val="00C3059E"/>
    <w:rsid w:val="00C308BF"/>
    <w:rsid w:val="00C308DC"/>
    <w:rsid w:val="00C308E2"/>
    <w:rsid w:val="00C30942"/>
    <w:rsid w:val="00C309C2"/>
    <w:rsid w:val="00C30A43"/>
    <w:rsid w:val="00C30AA5"/>
    <w:rsid w:val="00C30C0B"/>
    <w:rsid w:val="00C30C72"/>
    <w:rsid w:val="00C30CC1"/>
    <w:rsid w:val="00C30CF8"/>
    <w:rsid w:val="00C30E02"/>
    <w:rsid w:val="00C30E56"/>
    <w:rsid w:val="00C30E60"/>
    <w:rsid w:val="00C3102F"/>
    <w:rsid w:val="00C310D3"/>
    <w:rsid w:val="00C3115E"/>
    <w:rsid w:val="00C31235"/>
    <w:rsid w:val="00C312CA"/>
    <w:rsid w:val="00C313E3"/>
    <w:rsid w:val="00C3141E"/>
    <w:rsid w:val="00C3142B"/>
    <w:rsid w:val="00C31561"/>
    <w:rsid w:val="00C315B4"/>
    <w:rsid w:val="00C315D5"/>
    <w:rsid w:val="00C315E0"/>
    <w:rsid w:val="00C31679"/>
    <w:rsid w:val="00C31705"/>
    <w:rsid w:val="00C3173A"/>
    <w:rsid w:val="00C31764"/>
    <w:rsid w:val="00C317E1"/>
    <w:rsid w:val="00C31823"/>
    <w:rsid w:val="00C31B95"/>
    <w:rsid w:val="00C31EDC"/>
    <w:rsid w:val="00C31EEE"/>
    <w:rsid w:val="00C31F08"/>
    <w:rsid w:val="00C31F60"/>
    <w:rsid w:val="00C31F97"/>
    <w:rsid w:val="00C32077"/>
    <w:rsid w:val="00C320A1"/>
    <w:rsid w:val="00C3211E"/>
    <w:rsid w:val="00C32127"/>
    <w:rsid w:val="00C32150"/>
    <w:rsid w:val="00C3218B"/>
    <w:rsid w:val="00C322D0"/>
    <w:rsid w:val="00C322F8"/>
    <w:rsid w:val="00C32316"/>
    <w:rsid w:val="00C32452"/>
    <w:rsid w:val="00C32473"/>
    <w:rsid w:val="00C3254F"/>
    <w:rsid w:val="00C32590"/>
    <w:rsid w:val="00C32665"/>
    <w:rsid w:val="00C3268D"/>
    <w:rsid w:val="00C326C6"/>
    <w:rsid w:val="00C326E8"/>
    <w:rsid w:val="00C3284F"/>
    <w:rsid w:val="00C32878"/>
    <w:rsid w:val="00C329D4"/>
    <w:rsid w:val="00C32A23"/>
    <w:rsid w:val="00C32AD0"/>
    <w:rsid w:val="00C32B1A"/>
    <w:rsid w:val="00C32B4D"/>
    <w:rsid w:val="00C32CFC"/>
    <w:rsid w:val="00C32EF1"/>
    <w:rsid w:val="00C32F59"/>
    <w:rsid w:val="00C32F6F"/>
    <w:rsid w:val="00C33097"/>
    <w:rsid w:val="00C330FA"/>
    <w:rsid w:val="00C33118"/>
    <w:rsid w:val="00C3314D"/>
    <w:rsid w:val="00C3326E"/>
    <w:rsid w:val="00C33391"/>
    <w:rsid w:val="00C333AF"/>
    <w:rsid w:val="00C33497"/>
    <w:rsid w:val="00C334EA"/>
    <w:rsid w:val="00C33509"/>
    <w:rsid w:val="00C33531"/>
    <w:rsid w:val="00C3353D"/>
    <w:rsid w:val="00C336E1"/>
    <w:rsid w:val="00C33890"/>
    <w:rsid w:val="00C338BE"/>
    <w:rsid w:val="00C339A4"/>
    <w:rsid w:val="00C33AAF"/>
    <w:rsid w:val="00C33B01"/>
    <w:rsid w:val="00C33B60"/>
    <w:rsid w:val="00C33C67"/>
    <w:rsid w:val="00C33D2A"/>
    <w:rsid w:val="00C33D44"/>
    <w:rsid w:val="00C33D82"/>
    <w:rsid w:val="00C33DAE"/>
    <w:rsid w:val="00C33EE5"/>
    <w:rsid w:val="00C33FB5"/>
    <w:rsid w:val="00C33FCF"/>
    <w:rsid w:val="00C341C3"/>
    <w:rsid w:val="00C341DF"/>
    <w:rsid w:val="00C342A0"/>
    <w:rsid w:val="00C342E8"/>
    <w:rsid w:val="00C34353"/>
    <w:rsid w:val="00C34373"/>
    <w:rsid w:val="00C3439E"/>
    <w:rsid w:val="00C343F6"/>
    <w:rsid w:val="00C34447"/>
    <w:rsid w:val="00C345BF"/>
    <w:rsid w:val="00C34707"/>
    <w:rsid w:val="00C347CD"/>
    <w:rsid w:val="00C34813"/>
    <w:rsid w:val="00C34815"/>
    <w:rsid w:val="00C34882"/>
    <w:rsid w:val="00C34933"/>
    <w:rsid w:val="00C34944"/>
    <w:rsid w:val="00C34A09"/>
    <w:rsid w:val="00C34A8A"/>
    <w:rsid w:val="00C34AB7"/>
    <w:rsid w:val="00C34B4A"/>
    <w:rsid w:val="00C34B62"/>
    <w:rsid w:val="00C34B7C"/>
    <w:rsid w:val="00C34C1F"/>
    <w:rsid w:val="00C34D81"/>
    <w:rsid w:val="00C34F3F"/>
    <w:rsid w:val="00C34FCC"/>
    <w:rsid w:val="00C350BC"/>
    <w:rsid w:val="00C351AB"/>
    <w:rsid w:val="00C35228"/>
    <w:rsid w:val="00C35241"/>
    <w:rsid w:val="00C352E3"/>
    <w:rsid w:val="00C3530F"/>
    <w:rsid w:val="00C3540A"/>
    <w:rsid w:val="00C354CE"/>
    <w:rsid w:val="00C3557B"/>
    <w:rsid w:val="00C355AB"/>
    <w:rsid w:val="00C356D0"/>
    <w:rsid w:val="00C3575E"/>
    <w:rsid w:val="00C357D0"/>
    <w:rsid w:val="00C35849"/>
    <w:rsid w:val="00C35B07"/>
    <w:rsid w:val="00C35B80"/>
    <w:rsid w:val="00C35C49"/>
    <w:rsid w:val="00C35D95"/>
    <w:rsid w:val="00C35F06"/>
    <w:rsid w:val="00C35F27"/>
    <w:rsid w:val="00C3601D"/>
    <w:rsid w:val="00C3611F"/>
    <w:rsid w:val="00C36132"/>
    <w:rsid w:val="00C36196"/>
    <w:rsid w:val="00C361A6"/>
    <w:rsid w:val="00C361A9"/>
    <w:rsid w:val="00C3632B"/>
    <w:rsid w:val="00C3648C"/>
    <w:rsid w:val="00C364F3"/>
    <w:rsid w:val="00C364F6"/>
    <w:rsid w:val="00C36534"/>
    <w:rsid w:val="00C36555"/>
    <w:rsid w:val="00C365AC"/>
    <w:rsid w:val="00C365C7"/>
    <w:rsid w:val="00C365DF"/>
    <w:rsid w:val="00C3667C"/>
    <w:rsid w:val="00C3667E"/>
    <w:rsid w:val="00C366DC"/>
    <w:rsid w:val="00C3675E"/>
    <w:rsid w:val="00C367B2"/>
    <w:rsid w:val="00C36840"/>
    <w:rsid w:val="00C36893"/>
    <w:rsid w:val="00C368EE"/>
    <w:rsid w:val="00C36911"/>
    <w:rsid w:val="00C36925"/>
    <w:rsid w:val="00C369A5"/>
    <w:rsid w:val="00C369B2"/>
    <w:rsid w:val="00C36A89"/>
    <w:rsid w:val="00C36CF5"/>
    <w:rsid w:val="00C36D28"/>
    <w:rsid w:val="00C36E08"/>
    <w:rsid w:val="00C36E5E"/>
    <w:rsid w:val="00C36EA2"/>
    <w:rsid w:val="00C36EF9"/>
    <w:rsid w:val="00C36F00"/>
    <w:rsid w:val="00C36F96"/>
    <w:rsid w:val="00C3704C"/>
    <w:rsid w:val="00C37135"/>
    <w:rsid w:val="00C371F4"/>
    <w:rsid w:val="00C372BD"/>
    <w:rsid w:val="00C37361"/>
    <w:rsid w:val="00C37371"/>
    <w:rsid w:val="00C3738C"/>
    <w:rsid w:val="00C373A8"/>
    <w:rsid w:val="00C373CC"/>
    <w:rsid w:val="00C37401"/>
    <w:rsid w:val="00C37432"/>
    <w:rsid w:val="00C3756D"/>
    <w:rsid w:val="00C375CF"/>
    <w:rsid w:val="00C376F8"/>
    <w:rsid w:val="00C37749"/>
    <w:rsid w:val="00C377D2"/>
    <w:rsid w:val="00C377ED"/>
    <w:rsid w:val="00C37827"/>
    <w:rsid w:val="00C378CA"/>
    <w:rsid w:val="00C378CC"/>
    <w:rsid w:val="00C37A60"/>
    <w:rsid w:val="00C37AFF"/>
    <w:rsid w:val="00C37C2D"/>
    <w:rsid w:val="00C37C3B"/>
    <w:rsid w:val="00C37D25"/>
    <w:rsid w:val="00C37D35"/>
    <w:rsid w:val="00C37DCB"/>
    <w:rsid w:val="00C37EF3"/>
    <w:rsid w:val="00C37F8F"/>
    <w:rsid w:val="00C40135"/>
    <w:rsid w:val="00C4016D"/>
    <w:rsid w:val="00C401AF"/>
    <w:rsid w:val="00C401E9"/>
    <w:rsid w:val="00C4020F"/>
    <w:rsid w:val="00C40297"/>
    <w:rsid w:val="00C402B9"/>
    <w:rsid w:val="00C4031D"/>
    <w:rsid w:val="00C4034A"/>
    <w:rsid w:val="00C40364"/>
    <w:rsid w:val="00C40437"/>
    <w:rsid w:val="00C40439"/>
    <w:rsid w:val="00C40475"/>
    <w:rsid w:val="00C40505"/>
    <w:rsid w:val="00C405AF"/>
    <w:rsid w:val="00C405C4"/>
    <w:rsid w:val="00C4071F"/>
    <w:rsid w:val="00C40755"/>
    <w:rsid w:val="00C407E8"/>
    <w:rsid w:val="00C407F8"/>
    <w:rsid w:val="00C408BC"/>
    <w:rsid w:val="00C408CD"/>
    <w:rsid w:val="00C408DE"/>
    <w:rsid w:val="00C40935"/>
    <w:rsid w:val="00C40A00"/>
    <w:rsid w:val="00C40A16"/>
    <w:rsid w:val="00C40A40"/>
    <w:rsid w:val="00C40B49"/>
    <w:rsid w:val="00C40B4F"/>
    <w:rsid w:val="00C40D28"/>
    <w:rsid w:val="00C40E37"/>
    <w:rsid w:val="00C40E6E"/>
    <w:rsid w:val="00C40E77"/>
    <w:rsid w:val="00C40ECB"/>
    <w:rsid w:val="00C40F40"/>
    <w:rsid w:val="00C40F74"/>
    <w:rsid w:val="00C410CE"/>
    <w:rsid w:val="00C411D1"/>
    <w:rsid w:val="00C41258"/>
    <w:rsid w:val="00C41267"/>
    <w:rsid w:val="00C412C4"/>
    <w:rsid w:val="00C41349"/>
    <w:rsid w:val="00C414A1"/>
    <w:rsid w:val="00C41650"/>
    <w:rsid w:val="00C41816"/>
    <w:rsid w:val="00C418FF"/>
    <w:rsid w:val="00C41901"/>
    <w:rsid w:val="00C41930"/>
    <w:rsid w:val="00C41949"/>
    <w:rsid w:val="00C41995"/>
    <w:rsid w:val="00C419A4"/>
    <w:rsid w:val="00C419B7"/>
    <w:rsid w:val="00C419CC"/>
    <w:rsid w:val="00C41B08"/>
    <w:rsid w:val="00C41B0E"/>
    <w:rsid w:val="00C41B23"/>
    <w:rsid w:val="00C41B86"/>
    <w:rsid w:val="00C41BC6"/>
    <w:rsid w:val="00C41CD0"/>
    <w:rsid w:val="00C41E8F"/>
    <w:rsid w:val="00C41E98"/>
    <w:rsid w:val="00C41EBA"/>
    <w:rsid w:val="00C41EDB"/>
    <w:rsid w:val="00C41F2E"/>
    <w:rsid w:val="00C41FD2"/>
    <w:rsid w:val="00C41FF0"/>
    <w:rsid w:val="00C42018"/>
    <w:rsid w:val="00C4203B"/>
    <w:rsid w:val="00C42139"/>
    <w:rsid w:val="00C421C1"/>
    <w:rsid w:val="00C4223C"/>
    <w:rsid w:val="00C422F8"/>
    <w:rsid w:val="00C42450"/>
    <w:rsid w:val="00C4249F"/>
    <w:rsid w:val="00C4252E"/>
    <w:rsid w:val="00C42558"/>
    <w:rsid w:val="00C42594"/>
    <w:rsid w:val="00C42651"/>
    <w:rsid w:val="00C426A8"/>
    <w:rsid w:val="00C426EA"/>
    <w:rsid w:val="00C427D9"/>
    <w:rsid w:val="00C428AF"/>
    <w:rsid w:val="00C42931"/>
    <w:rsid w:val="00C42947"/>
    <w:rsid w:val="00C429CF"/>
    <w:rsid w:val="00C42A80"/>
    <w:rsid w:val="00C42ABD"/>
    <w:rsid w:val="00C42C9D"/>
    <w:rsid w:val="00C42D33"/>
    <w:rsid w:val="00C42E14"/>
    <w:rsid w:val="00C43011"/>
    <w:rsid w:val="00C43013"/>
    <w:rsid w:val="00C43064"/>
    <w:rsid w:val="00C43082"/>
    <w:rsid w:val="00C430C5"/>
    <w:rsid w:val="00C430C9"/>
    <w:rsid w:val="00C430DF"/>
    <w:rsid w:val="00C4314A"/>
    <w:rsid w:val="00C43156"/>
    <w:rsid w:val="00C43177"/>
    <w:rsid w:val="00C431BA"/>
    <w:rsid w:val="00C431F5"/>
    <w:rsid w:val="00C43233"/>
    <w:rsid w:val="00C433B2"/>
    <w:rsid w:val="00C4342D"/>
    <w:rsid w:val="00C43531"/>
    <w:rsid w:val="00C4369A"/>
    <w:rsid w:val="00C436AF"/>
    <w:rsid w:val="00C43719"/>
    <w:rsid w:val="00C4381E"/>
    <w:rsid w:val="00C439AE"/>
    <w:rsid w:val="00C43A1A"/>
    <w:rsid w:val="00C43A42"/>
    <w:rsid w:val="00C43A5B"/>
    <w:rsid w:val="00C43A85"/>
    <w:rsid w:val="00C43A93"/>
    <w:rsid w:val="00C43B48"/>
    <w:rsid w:val="00C43BA4"/>
    <w:rsid w:val="00C43BDE"/>
    <w:rsid w:val="00C43EA2"/>
    <w:rsid w:val="00C43ED5"/>
    <w:rsid w:val="00C43F33"/>
    <w:rsid w:val="00C43FF7"/>
    <w:rsid w:val="00C4400F"/>
    <w:rsid w:val="00C440AF"/>
    <w:rsid w:val="00C440BE"/>
    <w:rsid w:val="00C440CF"/>
    <w:rsid w:val="00C44115"/>
    <w:rsid w:val="00C441B1"/>
    <w:rsid w:val="00C4427E"/>
    <w:rsid w:val="00C442D2"/>
    <w:rsid w:val="00C44452"/>
    <w:rsid w:val="00C4445C"/>
    <w:rsid w:val="00C4456D"/>
    <w:rsid w:val="00C44590"/>
    <w:rsid w:val="00C445C5"/>
    <w:rsid w:val="00C445DF"/>
    <w:rsid w:val="00C4462C"/>
    <w:rsid w:val="00C44915"/>
    <w:rsid w:val="00C4493C"/>
    <w:rsid w:val="00C44A1E"/>
    <w:rsid w:val="00C44A88"/>
    <w:rsid w:val="00C44A8B"/>
    <w:rsid w:val="00C44B46"/>
    <w:rsid w:val="00C44BEE"/>
    <w:rsid w:val="00C44BFE"/>
    <w:rsid w:val="00C44D96"/>
    <w:rsid w:val="00C44DD9"/>
    <w:rsid w:val="00C44F89"/>
    <w:rsid w:val="00C45102"/>
    <w:rsid w:val="00C4511D"/>
    <w:rsid w:val="00C45190"/>
    <w:rsid w:val="00C45291"/>
    <w:rsid w:val="00C452D9"/>
    <w:rsid w:val="00C45460"/>
    <w:rsid w:val="00C45513"/>
    <w:rsid w:val="00C455DB"/>
    <w:rsid w:val="00C455DF"/>
    <w:rsid w:val="00C456B9"/>
    <w:rsid w:val="00C457C3"/>
    <w:rsid w:val="00C45941"/>
    <w:rsid w:val="00C45990"/>
    <w:rsid w:val="00C459F7"/>
    <w:rsid w:val="00C45A73"/>
    <w:rsid w:val="00C45B02"/>
    <w:rsid w:val="00C45B78"/>
    <w:rsid w:val="00C45C13"/>
    <w:rsid w:val="00C45D2A"/>
    <w:rsid w:val="00C45D8C"/>
    <w:rsid w:val="00C45E1B"/>
    <w:rsid w:val="00C45ED8"/>
    <w:rsid w:val="00C45F45"/>
    <w:rsid w:val="00C45F54"/>
    <w:rsid w:val="00C46060"/>
    <w:rsid w:val="00C46196"/>
    <w:rsid w:val="00C461F8"/>
    <w:rsid w:val="00C46255"/>
    <w:rsid w:val="00C4650A"/>
    <w:rsid w:val="00C46605"/>
    <w:rsid w:val="00C4660F"/>
    <w:rsid w:val="00C4668A"/>
    <w:rsid w:val="00C4676A"/>
    <w:rsid w:val="00C467CE"/>
    <w:rsid w:val="00C46873"/>
    <w:rsid w:val="00C4695B"/>
    <w:rsid w:val="00C46A41"/>
    <w:rsid w:val="00C46A52"/>
    <w:rsid w:val="00C46A81"/>
    <w:rsid w:val="00C46B0B"/>
    <w:rsid w:val="00C46BCE"/>
    <w:rsid w:val="00C46BEC"/>
    <w:rsid w:val="00C46C1A"/>
    <w:rsid w:val="00C46C2F"/>
    <w:rsid w:val="00C46D20"/>
    <w:rsid w:val="00C46E2F"/>
    <w:rsid w:val="00C46F73"/>
    <w:rsid w:val="00C46F87"/>
    <w:rsid w:val="00C47105"/>
    <w:rsid w:val="00C47112"/>
    <w:rsid w:val="00C47124"/>
    <w:rsid w:val="00C47156"/>
    <w:rsid w:val="00C47160"/>
    <w:rsid w:val="00C471C3"/>
    <w:rsid w:val="00C472E4"/>
    <w:rsid w:val="00C4731C"/>
    <w:rsid w:val="00C47361"/>
    <w:rsid w:val="00C473F7"/>
    <w:rsid w:val="00C47404"/>
    <w:rsid w:val="00C4743F"/>
    <w:rsid w:val="00C4752D"/>
    <w:rsid w:val="00C4761C"/>
    <w:rsid w:val="00C47763"/>
    <w:rsid w:val="00C477B3"/>
    <w:rsid w:val="00C477CB"/>
    <w:rsid w:val="00C4787C"/>
    <w:rsid w:val="00C4792F"/>
    <w:rsid w:val="00C47A1F"/>
    <w:rsid w:val="00C47AAD"/>
    <w:rsid w:val="00C47B10"/>
    <w:rsid w:val="00C47BE1"/>
    <w:rsid w:val="00C47C0B"/>
    <w:rsid w:val="00C47CA0"/>
    <w:rsid w:val="00C47CDB"/>
    <w:rsid w:val="00C47D16"/>
    <w:rsid w:val="00C47E09"/>
    <w:rsid w:val="00C47E4B"/>
    <w:rsid w:val="00C47E5F"/>
    <w:rsid w:val="00C47F4E"/>
    <w:rsid w:val="00C47FAA"/>
    <w:rsid w:val="00C47FBA"/>
    <w:rsid w:val="00C50072"/>
    <w:rsid w:val="00C501B9"/>
    <w:rsid w:val="00C50246"/>
    <w:rsid w:val="00C502B4"/>
    <w:rsid w:val="00C506B2"/>
    <w:rsid w:val="00C50781"/>
    <w:rsid w:val="00C507B4"/>
    <w:rsid w:val="00C507C1"/>
    <w:rsid w:val="00C5080C"/>
    <w:rsid w:val="00C50849"/>
    <w:rsid w:val="00C50853"/>
    <w:rsid w:val="00C50875"/>
    <w:rsid w:val="00C509A7"/>
    <w:rsid w:val="00C50A19"/>
    <w:rsid w:val="00C50A68"/>
    <w:rsid w:val="00C50B47"/>
    <w:rsid w:val="00C50C9C"/>
    <w:rsid w:val="00C50CAA"/>
    <w:rsid w:val="00C50CC6"/>
    <w:rsid w:val="00C50CEE"/>
    <w:rsid w:val="00C50D7D"/>
    <w:rsid w:val="00C50EAB"/>
    <w:rsid w:val="00C50EE8"/>
    <w:rsid w:val="00C50F27"/>
    <w:rsid w:val="00C51194"/>
    <w:rsid w:val="00C511C5"/>
    <w:rsid w:val="00C5126C"/>
    <w:rsid w:val="00C51294"/>
    <w:rsid w:val="00C512E6"/>
    <w:rsid w:val="00C51317"/>
    <w:rsid w:val="00C5134F"/>
    <w:rsid w:val="00C513F8"/>
    <w:rsid w:val="00C5145A"/>
    <w:rsid w:val="00C515DD"/>
    <w:rsid w:val="00C5167C"/>
    <w:rsid w:val="00C516E6"/>
    <w:rsid w:val="00C516F6"/>
    <w:rsid w:val="00C51756"/>
    <w:rsid w:val="00C517F5"/>
    <w:rsid w:val="00C51935"/>
    <w:rsid w:val="00C5196A"/>
    <w:rsid w:val="00C51AAA"/>
    <w:rsid w:val="00C51B2C"/>
    <w:rsid w:val="00C51BE9"/>
    <w:rsid w:val="00C51CA2"/>
    <w:rsid w:val="00C51CBA"/>
    <w:rsid w:val="00C51D05"/>
    <w:rsid w:val="00C51D57"/>
    <w:rsid w:val="00C51E0D"/>
    <w:rsid w:val="00C51F33"/>
    <w:rsid w:val="00C51F81"/>
    <w:rsid w:val="00C52133"/>
    <w:rsid w:val="00C52194"/>
    <w:rsid w:val="00C521B0"/>
    <w:rsid w:val="00C5226F"/>
    <w:rsid w:val="00C5230F"/>
    <w:rsid w:val="00C5233C"/>
    <w:rsid w:val="00C5239E"/>
    <w:rsid w:val="00C52418"/>
    <w:rsid w:val="00C524E6"/>
    <w:rsid w:val="00C524EC"/>
    <w:rsid w:val="00C52513"/>
    <w:rsid w:val="00C52589"/>
    <w:rsid w:val="00C525FC"/>
    <w:rsid w:val="00C5269A"/>
    <w:rsid w:val="00C526A0"/>
    <w:rsid w:val="00C526AC"/>
    <w:rsid w:val="00C52728"/>
    <w:rsid w:val="00C5273C"/>
    <w:rsid w:val="00C52995"/>
    <w:rsid w:val="00C52996"/>
    <w:rsid w:val="00C52A00"/>
    <w:rsid w:val="00C52A3D"/>
    <w:rsid w:val="00C52B68"/>
    <w:rsid w:val="00C52BFC"/>
    <w:rsid w:val="00C52D34"/>
    <w:rsid w:val="00C52D4A"/>
    <w:rsid w:val="00C52DA8"/>
    <w:rsid w:val="00C52E12"/>
    <w:rsid w:val="00C52E1F"/>
    <w:rsid w:val="00C52E33"/>
    <w:rsid w:val="00C52EAC"/>
    <w:rsid w:val="00C53003"/>
    <w:rsid w:val="00C53064"/>
    <w:rsid w:val="00C53075"/>
    <w:rsid w:val="00C531A3"/>
    <w:rsid w:val="00C531F8"/>
    <w:rsid w:val="00C53274"/>
    <w:rsid w:val="00C53359"/>
    <w:rsid w:val="00C534D1"/>
    <w:rsid w:val="00C53612"/>
    <w:rsid w:val="00C53626"/>
    <w:rsid w:val="00C53644"/>
    <w:rsid w:val="00C5368B"/>
    <w:rsid w:val="00C53741"/>
    <w:rsid w:val="00C53764"/>
    <w:rsid w:val="00C5379D"/>
    <w:rsid w:val="00C537FA"/>
    <w:rsid w:val="00C53870"/>
    <w:rsid w:val="00C538C2"/>
    <w:rsid w:val="00C5398F"/>
    <w:rsid w:val="00C539DC"/>
    <w:rsid w:val="00C53A29"/>
    <w:rsid w:val="00C53A4E"/>
    <w:rsid w:val="00C53AEB"/>
    <w:rsid w:val="00C53B20"/>
    <w:rsid w:val="00C53B46"/>
    <w:rsid w:val="00C53BF9"/>
    <w:rsid w:val="00C53C4B"/>
    <w:rsid w:val="00C53C52"/>
    <w:rsid w:val="00C53C7F"/>
    <w:rsid w:val="00C53CE9"/>
    <w:rsid w:val="00C53D09"/>
    <w:rsid w:val="00C53D1F"/>
    <w:rsid w:val="00C53D72"/>
    <w:rsid w:val="00C53E33"/>
    <w:rsid w:val="00C53E47"/>
    <w:rsid w:val="00C53ED5"/>
    <w:rsid w:val="00C53EFA"/>
    <w:rsid w:val="00C53FDB"/>
    <w:rsid w:val="00C5411F"/>
    <w:rsid w:val="00C54323"/>
    <w:rsid w:val="00C54385"/>
    <w:rsid w:val="00C54406"/>
    <w:rsid w:val="00C5440C"/>
    <w:rsid w:val="00C5447A"/>
    <w:rsid w:val="00C544FB"/>
    <w:rsid w:val="00C5456D"/>
    <w:rsid w:val="00C545A0"/>
    <w:rsid w:val="00C545F8"/>
    <w:rsid w:val="00C5471F"/>
    <w:rsid w:val="00C54735"/>
    <w:rsid w:val="00C5478E"/>
    <w:rsid w:val="00C54794"/>
    <w:rsid w:val="00C54823"/>
    <w:rsid w:val="00C548DB"/>
    <w:rsid w:val="00C54907"/>
    <w:rsid w:val="00C5491C"/>
    <w:rsid w:val="00C54932"/>
    <w:rsid w:val="00C5495C"/>
    <w:rsid w:val="00C549B2"/>
    <w:rsid w:val="00C54A0F"/>
    <w:rsid w:val="00C54AA6"/>
    <w:rsid w:val="00C54AD5"/>
    <w:rsid w:val="00C54AE4"/>
    <w:rsid w:val="00C54B74"/>
    <w:rsid w:val="00C54BFE"/>
    <w:rsid w:val="00C54C3A"/>
    <w:rsid w:val="00C54D30"/>
    <w:rsid w:val="00C54D36"/>
    <w:rsid w:val="00C54DE3"/>
    <w:rsid w:val="00C54E18"/>
    <w:rsid w:val="00C54EBC"/>
    <w:rsid w:val="00C5502F"/>
    <w:rsid w:val="00C550DB"/>
    <w:rsid w:val="00C550E7"/>
    <w:rsid w:val="00C5512E"/>
    <w:rsid w:val="00C55312"/>
    <w:rsid w:val="00C5541D"/>
    <w:rsid w:val="00C55422"/>
    <w:rsid w:val="00C554A1"/>
    <w:rsid w:val="00C55574"/>
    <w:rsid w:val="00C555A7"/>
    <w:rsid w:val="00C55606"/>
    <w:rsid w:val="00C556AC"/>
    <w:rsid w:val="00C558C8"/>
    <w:rsid w:val="00C558ED"/>
    <w:rsid w:val="00C55908"/>
    <w:rsid w:val="00C559E9"/>
    <w:rsid w:val="00C55AE9"/>
    <w:rsid w:val="00C55AF4"/>
    <w:rsid w:val="00C55BCB"/>
    <w:rsid w:val="00C55D22"/>
    <w:rsid w:val="00C55E0E"/>
    <w:rsid w:val="00C55F55"/>
    <w:rsid w:val="00C55F94"/>
    <w:rsid w:val="00C55FCA"/>
    <w:rsid w:val="00C56058"/>
    <w:rsid w:val="00C56123"/>
    <w:rsid w:val="00C56178"/>
    <w:rsid w:val="00C56192"/>
    <w:rsid w:val="00C562FE"/>
    <w:rsid w:val="00C5637C"/>
    <w:rsid w:val="00C56382"/>
    <w:rsid w:val="00C56409"/>
    <w:rsid w:val="00C564CB"/>
    <w:rsid w:val="00C564DE"/>
    <w:rsid w:val="00C5651B"/>
    <w:rsid w:val="00C565C7"/>
    <w:rsid w:val="00C5682C"/>
    <w:rsid w:val="00C568A7"/>
    <w:rsid w:val="00C568B1"/>
    <w:rsid w:val="00C56920"/>
    <w:rsid w:val="00C56990"/>
    <w:rsid w:val="00C56A4D"/>
    <w:rsid w:val="00C56CE5"/>
    <w:rsid w:val="00C56D0E"/>
    <w:rsid w:val="00C56D47"/>
    <w:rsid w:val="00C56D86"/>
    <w:rsid w:val="00C56D97"/>
    <w:rsid w:val="00C56E0C"/>
    <w:rsid w:val="00C56E28"/>
    <w:rsid w:val="00C56E54"/>
    <w:rsid w:val="00C5701B"/>
    <w:rsid w:val="00C570C8"/>
    <w:rsid w:val="00C57170"/>
    <w:rsid w:val="00C572B1"/>
    <w:rsid w:val="00C572CB"/>
    <w:rsid w:val="00C572EF"/>
    <w:rsid w:val="00C57306"/>
    <w:rsid w:val="00C5737C"/>
    <w:rsid w:val="00C573BE"/>
    <w:rsid w:val="00C573DD"/>
    <w:rsid w:val="00C57439"/>
    <w:rsid w:val="00C5754E"/>
    <w:rsid w:val="00C575A5"/>
    <w:rsid w:val="00C575F1"/>
    <w:rsid w:val="00C5760B"/>
    <w:rsid w:val="00C57622"/>
    <w:rsid w:val="00C57677"/>
    <w:rsid w:val="00C576F5"/>
    <w:rsid w:val="00C5770E"/>
    <w:rsid w:val="00C57729"/>
    <w:rsid w:val="00C577B4"/>
    <w:rsid w:val="00C578CB"/>
    <w:rsid w:val="00C578D9"/>
    <w:rsid w:val="00C57908"/>
    <w:rsid w:val="00C57937"/>
    <w:rsid w:val="00C579C0"/>
    <w:rsid w:val="00C579E9"/>
    <w:rsid w:val="00C579FD"/>
    <w:rsid w:val="00C57A13"/>
    <w:rsid w:val="00C57A49"/>
    <w:rsid w:val="00C57AA3"/>
    <w:rsid w:val="00C57B02"/>
    <w:rsid w:val="00C57B6F"/>
    <w:rsid w:val="00C57C77"/>
    <w:rsid w:val="00C57C99"/>
    <w:rsid w:val="00C57CC1"/>
    <w:rsid w:val="00C57D2A"/>
    <w:rsid w:val="00C57D49"/>
    <w:rsid w:val="00C57EB3"/>
    <w:rsid w:val="00C57EDF"/>
    <w:rsid w:val="00C57F19"/>
    <w:rsid w:val="00C57F7C"/>
    <w:rsid w:val="00C60048"/>
    <w:rsid w:val="00C6006A"/>
    <w:rsid w:val="00C6008C"/>
    <w:rsid w:val="00C600A1"/>
    <w:rsid w:val="00C600EE"/>
    <w:rsid w:val="00C6010F"/>
    <w:rsid w:val="00C6019B"/>
    <w:rsid w:val="00C6019D"/>
    <w:rsid w:val="00C60217"/>
    <w:rsid w:val="00C6025E"/>
    <w:rsid w:val="00C6027A"/>
    <w:rsid w:val="00C60388"/>
    <w:rsid w:val="00C60423"/>
    <w:rsid w:val="00C60430"/>
    <w:rsid w:val="00C60451"/>
    <w:rsid w:val="00C6059E"/>
    <w:rsid w:val="00C606B7"/>
    <w:rsid w:val="00C6081C"/>
    <w:rsid w:val="00C6084B"/>
    <w:rsid w:val="00C60897"/>
    <w:rsid w:val="00C608D3"/>
    <w:rsid w:val="00C60912"/>
    <w:rsid w:val="00C60979"/>
    <w:rsid w:val="00C609EF"/>
    <w:rsid w:val="00C60B24"/>
    <w:rsid w:val="00C60B62"/>
    <w:rsid w:val="00C60CA8"/>
    <w:rsid w:val="00C60D75"/>
    <w:rsid w:val="00C60DB7"/>
    <w:rsid w:val="00C60E76"/>
    <w:rsid w:val="00C60F0B"/>
    <w:rsid w:val="00C60F26"/>
    <w:rsid w:val="00C60FAA"/>
    <w:rsid w:val="00C61021"/>
    <w:rsid w:val="00C61060"/>
    <w:rsid w:val="00C610D7"/>
    <w:rsid w:val="00C61149"/>
    <w:rsid w:val="00C61175"/>
    <w:rsid w:val="00C611BF"/>
    <w:rsid w:val="00C6129A"/>
    <w:rsid w:val="00C612BF"/>
    <w:rsid w:val="00C612D1"/>
    <w:rsid w:val="00C613F3"/>
    <w:rsid w:val="00C6150C"/>
    <w:rsid w:val="00C6154C"/>
    <w:rsid w:val="00C615EF"/>
    <w:rsid w:val="00C616AF"/>
    <w:rsid w:val="00C617B0"/>
    <w:rsid w:val="00C618FB"/>
    <w:rsid w:val="00C6193E"/>
    <w:rsid w:val="00C619FB"/>
    <w:rsid w:val="00C61ACB"/>
    <w:rsid w:val="00C61B54"/>
    <w:rsid w:val="00C61C7D"/>
    <w:rsid w:val="00C61C90"/>
    <w:rsid w:val="00C61D4B"/>
    <w:rsid w:val="00C61D50"/>
    <w:rsid w:val="00C61D90"/>
    <w:rsid w:val="00C61EE3"/>
    <w:rsid w:val="00C61FF2"/>
    <w:rsid w:val="00C62240"/>
    <w:rsid w:val="00C6229F"/>
    <w:rsid w:val="00C622D6"/>
    <w:rsid w:val="00C624B9"/>
    <w:rsid w:val="00C624CE"/>
    <w:rsid w:val="00C624F7"/>
    <w:rsid w:val="00C6256E"/>
    <w:rsid w:val="00C625B8"/>
    <w:rsid w:val="00C626AC"/>
    <w:rsid w:val="00C626F0"/>
    <w:rsid w:val="00C629E4"/>
    <w:rsid w:val="00C629E6"/>
    <w:rsid w:val="00C62AF2"/>
    <w:rsid w:val="00C62BA4"/>
    <w:rsid w:val="00C62D16"/>
    <w:rsid w:val="00C62DBB"/>
    <w:rsid w:val="00C62E0B"/>
    <w:rsid w:val="00C62E66"/>
    <w:rsid w:val="00C62F5C"/>
    <w:rsid w:val="00C62F84"/>
    <w:rsid w:val="00C62F89"/>
    <w:rsid w:val="00C62F96"/>
    <w:rsid w:val="00C62FE8"/>
    <w:rsid w:val="00C62FE9"/>
    <w:rsid w:val="00C630AB"/>
    <w:rsid w:val="00C63154"/>
    <w:rsid w:val="00C63191"/>
    <w:rsid w:val="00C631A4"/>
    <w:rsid w:val="00C63238"/>
    <w:rsid w:val="00C6323A"/>
    <w:rsid w:val="00C63386"/>
    <w:rsid w:val="00C633D1"/>
    <w:rsid w:val="00C63407"/>
    <w:rsid w:val="00C63414"/>
    <w:rsid w:val="00C63436"/>
    <w:rsid w:val="00C63632"/>
    <w:rsid w:val="00C63697"/>
    <w:rsid w:val="00C636BC"/>
    <w:rsid w:val="00C637E7"/>
    <w:rsid w:val="00C638F6"/>
    <w:rsid w:val="00C63933"/>
    <w:rsid w:val="00C63940"/>
    <w:rsid w:val="00C6397A"/>
    <w:rsid w:val="00C63984"/>
    <w:rsid w:val="00C639AE"/>
    <w:rsid w:val="00C63A4B"/>
    <w:rsid w:val="00C63B56"/>
    <w:rsid w:val="00C63B58"/>
    <w:rsid w:val="00C63B94"/>
    <w:rsid w:val="00C63BA0"/>
    <w:rsid w:val="00C63BCC"/>
    <w:rsid w:val="00C63BD7"/>
    <w:rsid w:val="00C63C90"/>
    <w:rsid w:val="00C63CCF"/>
    <w:rsid w:val="00C63D86"/>
    <w:rsid w:val="00C63DB3"/>
    <w:rsid w:val="00C63E06"/>
    <w:rsid w:val="00C63F70"/>
    <w:rsid w:val="00C641B8"/>
    <w:rsid w:val="00C641C3"/>
    <w:rsid w:val="00C6429D"/>
    <w:rsid w:val="00C642D2"/>
    <w:rsid w:val="00C643DD"/>
    <w:rsid w:val="00C64400"/>
    <w:rsid w:val="00C644D9"/>
    <w:rsid w:val="00C645B9"/>
    <w:rsid w:val="00C64639"/>
    <w:rsid w:val="00C64660"/>
    <w:rsid w:val="00C64663"/>
    <w:rsid w:val="00C6466B"/>
    <w:rsid w:val="00C646A7"/>
    <w:rsid w:val="00C64723"/>
    <w:rsid w:val="00C64761"/>
    <w:rsid w:val="00C64771"/>
    <w:rsid w:val="00C647E2"/>
    <w:rsid w:val="00C647F3"/>
    <w:rsid w:val="00C64A65"/>
    <w:rsid w:val="00C64B55"/>
    <w:rsid w:val="00C64CB5"/>
    <w:rsid w:val="00C64CB6"/>
    <w:rsid w:val="00C64D77"/>
    <w:rsid w:val="00C64EBD"/>
    <w:rsid w:val="00C64F7A"/>
    <w:rsid w:val="00C64FAE"/>
    <w:rsid w:val="00C64FB6"/>
    <w:rsid w:val="00C65091"/>
    <w:rsid w:val="00C65097"/>
    <w:rsid w:val="00C6514A"/>
    <w:rsid w:val="00C651C7"/>
    <w:rsid w:val="00C65276"/>
    <w:rsid w:val="00C652B9"/>
    <w:rsid w:val="00C65467"/>
    <w:rsid w:val="00C6548F"/>
    <w:rsid w:val="00C655C2"/>
    <w:rsid w:val="00C655E8"/>
    <w:rsid w:val="00C659AB"/>
    <w:rsid w:val="00C659D4"/>
    <w:rsid w:val="00C65A2C"/>
    <w:rsid w:val="00C65A59"/>
    <w:rsid w:val="00C65AD5"/>
    <w:rsid w:val="00C65B91"/>
    <w:rsid w:val="00C65C1F"/>
    <w:rsid w:val="00C65C93"/>
    <w:rsid w:val="00C65CF8"/>
    <w:rsid w:val="00C65F4E"/>
    <w:rsid w:val="00C65F9E"/>
    <w:rsid w:val="00C65FB0"/>
    <w:rsid w:val="00C65FEE"/>
    <w:rsid w:val="00C66069"/>
    <w:rsid w:val="00C660C4"/>
    <w:rsid w:val="00C660D3"/>
    <w:rsid w:val="00C6612E"/>
    <w:rsid w:val="00C6617B"/>
    <w:rsid w:val="00C6621F"/>
    <w:rsid w:val="00C6622A"/>
    <w:rsid w:val="00C66235"/>
    <w:rsid w:val="00C66255"/>
    <w:rsid w:val="00C663A0"/>
    <w:rsid w:val="00C663B1"/>
    <w:rsid w:val="00C664DF"/>
    <w:rsid w:val="00C66532"/>
    <w:rsid w:val="00C66549"/>
    <w:rsid w:val="00C6658A"/>
    <w:rsid w:val="00C665A2"/>
    <w:rsid w:val="00C665DF"/>
    <w:rsid w:val="00C6664F"/>
    <w:rsid w:val="00C6669C"/>
    <w:rsid w:val="00C666C7"/>
    <w:rsid w:val="00C666F6"/>
    <w:rsid w:val="00C66781"/>
    <w:rsid w:val="00C6688C"/>
    <w:rsid w:val="00C668BA"/>
    <w:rsid w:val="00C6694F"/>
    <w:rsid w:val="00C66955"/>
    <w:rsid w:val="00C66B00"/>
    <w:rsid w:val="00C66B0E"/>
    <w:rsid w:val="00C66B4F"/>
    <w:rsid w:val="00C66D4E"/>
    <w:rsid w:val="00C66D89"/>
    <w:rsid w:val="00C66D8E"/>
    <w:rsid w:val="00C66DDD"/>
    <w:rsid w:val="00C66EED"/>
    <w:rsid w:val="00C66F48"/>
    <w:rsid w:val="00C66F4F"/>
    <w:rsid w:val="00C66F56"/>
    <w:rsid w:val="00C66F5E"/>
    <w:rsid w:val="00C6703C"/>
    <w:rsid w:val="00C670E9"/>
    <w:rsid w:val="00C670F5"/>
    <w:rsid w:val="00C671E6"/>
    <w:rsid w:val="00C671F3"/>
    <w:rsid w:val="00C67228"/>
    <w:rsid w:val="00C6722A"/>
    <w:rsid w:val="00C67285"/>
    <w:rsid w:val="00C672BC"/>
    <w:rsid w:val="00C67379"/>
    <w:rsid w:val="00C67390"/>
    <w:rsid w:val="00C67449"/>
    <w:rsid w:val="00C67476"/>
    <w:rsid w:val="00C6763D"/>
    <w:rsid w:val="00C676AB"/>
    <w:rsid w:val="00C676AD"/>
    <w:rsid w:val="00C676AE"/>
    <w:rsid w:val="00C676B3"/>
    <w:rsid w:val="00C6773A"/>
    <w:rsid w:val="00C67766"/>
    <w:rsid w:val="00C677EE"/>
    <w:rsid w:val="00C67826"/>
    <w:rsid w:val="00C67875"/>
    <w:rsid w:val="00C67885"/>
    <w:rsid w:val="00C678E4"/>
    <w:rsid w:val="00C6790F"/>
    <w:rsid w:val="00C6795A"/>
    <w:rsid w:val="00C67A55"/>
    <w:rsid w:val="00C67AE7"/>
    <w:rsid w:val="00C67B07"/>
    <w:rsid w:val="00C67B72"/>
    <w:rsid w:val="00C67BAB"/>
    <w:rsid w:val="00C67BDD"/>
    <w:rsid w:val="00C67BFD"/>
    <w:rsid w:val="00C67C02"/>
    <w:rsid w:val="00C67C60"/>
    <w:rsid w:val="00C67CA0"/>
    <w:rsid w:val="00C67CE3"/>
    <w:rsid w:val="00C67D6F"/>
    <w:rsid w:val="00C67E31"/>
    <w:rsid w:val="00C67E33"/>
    <w:rsid w:val="00C67EED"/>
    <w:rsid w:val="00C67EFC"/>
    <w:rsid w:val="00C67F22"/>
    <w:rsid w:val="00C67FC8"/>
    <w:rsid w:val="00C70031"/>
    <w:rsid w:val="00C7004C"/>
    <w:rsid w:val="00C700A6"/>
    <w:rsid w:val="00C700BE"/>
    <w:rsid w:val="00C701B1"/>
    <w:rsid w:val="00C701DF"/>
    <w:rsid w:val="00C7035C"/>
    <w:rsid w:val="00C704C7"/>
    <w:rsid w:val="00C704E1"/>
    <w:rsid w:val="00C7053C"/>
    <w:rsid w:val="00C7058C"/>
    <w:rsid w:val="00C7067B"/>
    <w:rsid w:val="00C70818"/>
    <w:rsid w:val="00C7082D"/>
    <w:rsid w:val="00C709CF"/>
    <w:rsid w:val="00C70A0E"/>
    <w:rsid w:val="00C70A5D"/>
    <w:rsid w:val="00C70A8D"/>
    <w:rsid w:val="00C70B59"/>
    <w:rsid w:val="00C70BB3"/>
    <w:rsid w:val="00C70C4E"/>
    <w:rsid w:val="00C70C79"/>
    <w:rsid w:val="00C70DC0"/>
    <w:rsid w:val="00C70DEC"/>
    <w:rsid w:val="00C70DFC"/>
    <w:rsid w:val="00C70F0A"/>
    <w:rsid w:val="00C70F72"/>
    <w:rsid w:val="00C70FC1"/>
    <w:rsid w:val="00C7101D"/>
    <w:rsid w:val="00C710B4"/>
    <w:rsid w:val="00C71112"/>
    <w:rsid w:val="00C711C2"/>
    <w:rsid w:val="00C711C6"/>
    <w:rsid w:val="00C7144A"/>
    <w:rsid w:val="00C7147E"/>
    <w:rsid w:val="00C71486"/>
    <w:rsid w:val="00C714A0"/>
    <w:rsid w:val="00C71594"/>
    <w:rsid w:val="00C71795"/>
    <w:rsid w:val="00C71846"/>
    <w:rsid w:val="00C71883"/>
    <w:rsid w:val="00C718A9"/>
    <w:rsid w:val="00C718CA"/>
    <w:rsid w:val="00C719F8"/>
    <w:rsid w:val="00C71A76"/>
    <w:rsid w:val="00C71B73"/>
    <w:rsid w:val="00C71B7F"/>
    <w:rsid w:val="00C71E26"/>
    <w:rsid w:val="00C71EDC"/>
    <w:rsid w:val="00C72300"/>
    <w:rsid w:val="00C7243C"/>
    <w:rsid w:val="00C7252B"/>
    <w:rsid w:val="00C72563"/>
    <w:rsid w:val="00C7256F"/>
    <w:rsid w:val="00C725E5"/>
    <w:rsid w:val="00C725F9"/>
    <w:rsid w:val="00C72617"/>
    <w:rsid w:val="00C72746"/>
    <w:rsid w:val="00C7275C"/>
    <w:rsid w:val="00C727CE"/>
    <w:rsid w:val="00C727F5"/>
    <w:rsid w:val="00C72944"/>
    <w:rsid w:val="00C729CA"/>
    <w:rsid w:val="00C729EF"/>
    <w:rsid w:val="00C72AC0"/>
    <w:rsid w:val="00C72B45"/>
    <w:rsid w:val="00C72B7D"/>
    <w:rsid w:val="00C72BB0"/>
    <w:rsid w:val="00C72CA7"/>
    <w:rsid w:val="00C72ECB"/>
    <w:rsid w:val="00C72F64"/>
    <w:rsid w:val="00C73174"/>
    <w:rsid w:val="00C731A9"/>
    <w:rsid w:val="00C731E0"/>
    <w:rsid w:val="00C732CA"/>
    <w:rsid w:val="00C732F0"/>
    <w:rsid w:val="00C734A2"/>
    <w:rsid w:val="00C7350D"/>
    <w:rsid w:val="00C73632"/>
    <w:rsid w:val="00C73638"/>
    <w:rsid w:val="00C7376E"/>
    <w:rsid w:val="00C7379E"/>
    <w:rsid w:val="00C737AC"/>
    <w:rsid w:val="00C737C6"/>
    <w:rsid w:val="00C7381C"/>
    <w:rsid w:val="00C738CE"/>
    <w:rsid w:val="00C73901"/>
    <w:rsid w:val="00C7399E"/>
    <w:rsid w:val="00C739ED"/>
    <w:rsid w:val="00C73A1E"/>
    <w:rsid w:val="00C73AAF"/>
    <w:rsid w:val="00C73D43"/>
    <w:rsid w:val="00C73D6F"/>
    <w:rsid w:val="00C73DC2"/>
    <w:rsid w:val="00C73E16"/>
    <w:rsid w:val="00C73E56"/>
    <w:rsid w:val="00C73E77"/>
    <w:rsid w:val="00C73EEB"/>
    <w:rsid w:val="00C73EF1"/>
    <w:rsid w:val="00C73F08"/>
    <w:rsid w:val="00C73F5C"/>
    <w:rsid w:val="00C73F81"/>
    <w:rsid w:val="00C73FC2"/>
    <w:rsid w:val="00C740B7"/>
    <w:rsid w:val="00C740F9"/>
    <w:rsid w:val="00C742B7"/>
    <w:rsid w:val="00C74364"/>
    <w:rsid w:val="00C74385"/>
    <w:rsid w:val="00C74443"/>
    <w:rsid w:val="00C744C5"/>
    <w:rsid w:val="00C748AC"/>
    <w:rsid w:val="00C748F5"/>
    <w:rsid w:val="00C749D9"/>
    <w:rsid w:val="00C74A95"/>
    <w:rsid w:val="00C74AC3"/>
    <w:rsid w:val="00C74CBC"/>
    <w:rsid w:val="00C74CCF"/>
    <w:rsid w:val="00C74CE7"/>
    <w:rsid w:val="00C74D0E"/>
    <w:rsid w:val="00C74DA4"/>
    <w:rsid w:val="00C74DCF"/>
    <w:rsid w:val="00C74F18"/>
    <w:rsid w:val="00C74FD8"/>
    <w:rsid w:val="00C75067"/>
    <w:rsid w:val="00C7516B"/>
    <w:rsid w:val="00C75211"/>
    <w:rsid w:val="00C75256"/>
    <w:rsid w:val="00C752CA"/>
    <w:rsid w:val="00C753C1"/>
    <w:rsid w:val="00C753C5"/>
    <w:rsid w:val="00C75476"/>
    <w:rsid w:val="00C754BA"/>
    <w:rsid w:val="00C754BF"/>
    <w:rsid w:val="00C7557C"/>
    <w:rsid w:val="00C755DA"/>
    <w:rsid w:val="00C756CD"/>
    <w:rsid w:val="00C756F3"/>
    <w:rsid w:val="00C75786"/>
    <w:rsid w:val="00C75953"/>
    <w:rsid w:val="00C75A0B"/>
    <w:rsid w:val="00C75A25"/>
    <w:rsid w:val="00C75A5F"/>
    <w:rsid w:val="00C75A70"/>
    <w:rsid w:val="00C75B0E"/>
    <w:rsid w:val="00C75B1A"/>
    <w:rsid w:val="00C75BF6"/>
    <w:rsid w:val="00C75C7D"/>
    <w:rsid w:val="00C75DC6"/>
    <w:rsid w:val="00C75E0D"/>
    <w:rsid w:val="00C75E26"/>
    <w:rsid w:val="00C75E93"/>
    <w:rsid w:val="00C75EE2"/>
    <w:rsid w:val="00C7605E"/>
    <w:rsid w:val="00C7613C"/>
    <w:rsid w:val="00C761BB"/>
    <w:rsid w:val="00C761F1"/>
    <w:rsid w:val="00C7623B"/>
    <w:rsid w:val="00C76251"/>
    <w:rsid w:val="00C763EB"/>
    <w:rsid w:val="00C764CE"/>
    <w:rsid w:val="00C76517"/>
    <w:rsid w:val="00C76599"/>
    <w:rsid w:val="00C765BD"/>
    <w:rsid w:val="00C76612"/>
    <w:rsid w:val="00C76756"/>
    <w:rsid w:val="00C767B3"/>
    <w:rsid w:val="00C76800"/>
    <w:rsid w:val="00C76885"/>
    <w:rsid w:val="00C768FB"/>
    <w:rsid w:val="00C7693A"/>
    <w:rsid w:val="00C76A62"/>
    <w:rsid w:val="00C76B20"/>
    <w:rsid w:val="00C76B27"/>
    <w:rsid w:val="00C76B68"/>
    <w:rsid w:val="00C76C4F"/>
    <w:rsid w:val="00C76CAC"/>
    <w:rsid w:val="00C76D5C"/>
    <w:rsid w:val="00C76DB9"/>
    <w:rsid w:val="00C76DD3"/>
    <w:rsid w:val="00C76F35"/>
    <w:rsid w:val="00C76F6C"/>
    <w:rsid w:val="00C76F7B"/>
    <w:rsid w:val="00C76FD6"/>
    <w:rsid w:val="00C77139"/>
    <w:rsid w:val="00C77159"/>
    <w:rsid w:val="00C77230"/>
    <w:rsid w:val="00C773AD"/>
    <w:rsid w:val="00C77499"/>
    <w:rsid w:val="00C774E1"/>
    <w:rsid w:val="00C774FE"/>
    <w:rsid w:val="00C77523"/>
    <w:rsid w:val="00C775D4"/>
    <w:rsid w:val="00C775E5"/>
    <w:rsid w:val="00C775E6"/>
    <w:rsid w:val="00C7763A"/>
    <w:rsid w:val="00C7764B"/>
    <w:rsid w:val="00C77660"/>
    <w:rsid w:val="00C77725"/>
    <w:rsid w:val="00C77780"/>
    <w:rsid w:val="00C777A2"/>
    <w:rsid w:val="00C7783F"/>
    <w:rsid w:val="00C779B7"/>
    <w:rsid w:val="00C779F1"/>
    <w:rsid w:val="00C77B1C"/>
    <w:rsid w:val="00C77B41"/>
    <w:rsid w:val="00C77CA1"/>
    <w:rsid w:val="00C77D90"/>
    <w:rsid w:val="00C77E2E"/>
    <w:rsid w:val="00C77EA6"/>
    <w:rsid w:val="00C77EF1"/>
    <w:rsid w:val="00C77EF2"/>
    <w:rsid w:val="00C77F77"/>
    <w:rsid w:val="00C801BA"/>
    <w:rsid w:val="00C802CA"/>
    <w:rsid w:val="00C802F5"/>
    <w:rsid w:val="00C80331"/>
    <w:rsid w:val="00C80336"/>
    <w:rsid w:val="00C8050A"/>
    <w:rsid w:val="00C80510"/>
    <w:rsid w:val="00C8052F"/>
    <w:rsid w:val="00C80539"/>
    <w:rsid w:val="00C80615"/>
    <w:rsid w:val="00C8064A"/>
    <w:rsid w:val="00C80840"/>
    <w:rsid w:val="00C808E6"/>
    <w:rsid w:val="00C80985"/>
    <w:rsid w:val="00C809DB"/>
    <w:rsid w:val="00C80A41"/>
    <w:rsid w:val="00C80A70"/>
    <w:rsid w:val="00C80A7E"/>
    <w:rsid w:val="00C80B0E"/>
    <w:rsid w:val="00C80B84"/>
    <w:rsid w:val="00C80BD0"/>
    <w:rsid w:val="00C80CE5"/>
    <w:rsid w:val="00C80EE2"/>
    <w:rsid w:val="00C80EE5"/>
    <w:rsid w:val="00C80FDE"/>
    <w:rsid w:val="00C8105E"/>
    <w:rsid w:val="00C81097"/>
    <w:rsid w:val="00C8118B"/>
    <w:rsid w:val="00C8123B"/>
    <w:rsid w:val="00C81423"/>
    <w:rsid w:val="00C815E2"/>
    <w:rsid w:val="00C815ED"/>
    <w:rsid w:val="00C8161B"/>
    <w:rsid w:val="00C8167A"/>
    <w:rsid w:val="00C81761"/>
    <w:rsid w:val="00C81815"/>
    <w:rsid w:val="00C81863"/>
    <w:rsid w:val="00C81876"/>
    <w:rsid w:val="00C8188D"/>
    <w:rsid w:val="00C818DF"/>
    <w:rsid w:val="00C81901"/>
    <w:rsid w:val="00C81939"/>
    <w:rsid w:val="00C81976"/>
    <w:rsid w:val="00C81B45"/>
    <w:rsid w:val="00C81BBE"/>
    <w:rsid w:val="00C81C46"/>
    <w:rsid w:val="00C81D00"/>
    <w:rsid w:val="00C81E13"/>
    <w:rsid w:val="00C81E5C"/>
    <w:rsid w:val="00C81ED7"/>
    <w:rsid w:val="00C81EDB"/>
    <w:rsid w:val="00C81F48"/>
    <w:rsid w:val="00C8203D"/>
    <w:rsid w:val="00C821EF"/>
    <w:rsid w:val="00C82279"/>
    <w:rsid w:val="00C82354"/>
    <w:rsid w:val="00C823C4"/>
    <w:rsid w:val="00C82405"/>
    <w:rsid w:val="00C82457"/>
    <w:rsid w:val="00C82479"/>
    <w:rsid w:val="00C8251E"/>
    <w:rsid w:val="00C82592"/>
    <w:rsid w:val="00C825F0"/>
    <w:rsid w:val="00C8260C"/>
    <w:rsid w:val="00C82746"/>
    <w:rsid w:val="00C827A3"/>
    <w:rsid w:val="00C82833"/>
    <w:rsid w:val="00C828BF"/>
    <w:rsid w:val="00C828C4"/>
    <w:rsid w:val="00C828F8"/>
    <w:rsid w:val="00C829E5"/>
    <w:rsid w:val="00C82A15"/>
    <w:rsid w:val="00C82A1B"/>
    <w:rsid w:val="00C82A38"/>
    <w:rsid w:val="00C82A6B"/>
    <w:rsid w:val="00C82B70"/>
    <w:rsid w:val="00C82C34"/>
    <w:rsid w:val="00C82CC4"/>
    <w:rsid w:val="00C82DC0"/>
    <w:rsid w:val="00C82FBC"/>
    <w:rsid w:val="00C83034"/>
    <w:rsid w:val="00C83139"/>
    <w:rsid w:val="00C83142"/>
    <w:rsid w:val="00C831EE"/>
    <w:rsid w:val="00C83201"/>
    <w:rsid w:val="00C83233"/>
    <w:rsid w:val="00C832CC"/>
    <w:rsid w:val="00C8330F"/>
    <w:rsid w:val="00C83444"/>
    <w:rsid w:val="00C835C0"/>
    <w:rsid w:val="00C835F3"/>
    <w:rsid w:val="00C8363B"/>
    <w:rsid w:val="00C836A5"/>
    <w:rsid w:val="00C836A9"/>
    <w:rsid w:val="00C83701"/>
    <w:rsid w:val="00C83852"/>
    <w:rsid w:val="00C8386A"/>
    <w:rsid w:val="00C83873"/>
    <w:rsid w:val="00C83905"/>
    <w:rsid w:val="00C8393D"/>
    <w:rsid w:val="00C839AF"/>
    <w:rsid w:val="00C839D8"/>
    <w:rsid w:val="00C83BFD"/>
    <w:rsid w:val="00C83C26"/>
    <w:rsid w:val="00C83D12"/>
    <w:rsid w:val="00C83D52"/>
    <w:rsid w:val="00C83D90"/>
    <w:rsid w:val="00C83DD3"/>
    <w:rsid w:val="00C83E46"/>
    <w:rsid w:val="00C83F04"/>
    <w:rsid w:val="00C83F60"/>
    <w:rsid w:val="00C83FA1"/>
    <w:rsid w:val="00C83FF4"/>
    <w:rsid w:val="00C84053"/>
    <w:rsid w:val="00C84084"/>
    <w:rsid w:val="00C840F7"/>
    <w:rsid w:val="00C84153"/>
    <w:rsid w:val="00C84168"/>
    <w:rsid w:val="00C8416A"/>
    <w:rsid w:val="00C84172"/>
    <w:rsid w:val="00C8423A"/>
    <w:rsid w:val="00C843B4"/>
    <w:rsid w:val="00C84437"/>
    <w:rsid w:val="00C84478"/>
    <w:rsid w:val="00C8454E"/>
    <w:rsid w:val="00C845F4"/>
    <w:rsid w:val="00C8485E"/>
    <w:rsid w:val="00C84894"/>
    <w:rsid w:val="00C848E6"/>
    <w:rsid w:val="00C84974"/>
    <w:rsid w:val="00C849A2"/>
    <w:rsid w:val="00C849F0"/>
    <w:rsid w:val="00C84AC3"/>
    <w:rsid w:val="00C84AC6"/>
    <w:rsid w:val="00C84B1A"/>
    <w:rsid w:val="00C84B3B"/>
    <w:rsid w:val="00C84B4F"/>
    <w:rsid w:val="00C84BE4"/>
    <w:rsid w:val="00C84D7C"/>
    <w:rsid w:val="00C84DCC"/>
    <w:rsid w:val="00C84E64"/>
    <w:rsid w:val="00C84ED1"/>
    <w:rsid w:val="00C84EF5"/>
    <w:rsid w:val="00C85079"/>
    <w:rsid w:val="00C850DE"/>
    <w:rsid w:val="00C851E3"/>
    <w:rsid w:val="00C8554D"/>
    <w:rsid w:val="00C85557"/>
    <w:rsid w:val="00C85641"/>
    <w:rsid w:val="00C8577B"/>
    <w:rsid w:val="00C8588A"/>
    <w:rsid w:val="00C85C66"/>
    <w:rsid w:val="00C85C79"/>
    <w:rsid w:val="00C85D33"/>
    <w:rsid w:val="00C85DB7"/>
    <w:rsid w:val="00C85E43"/>
    <w:rsid w:val="00C85E69"/>
    <w:rsid w:val="00C85E6A"/>
    <w:rsid w:val="00C85E82"/>
    <w:rsid w:val="00C85EF0"/>
    <w:rsid w:val="00C85F50"/>
    <w:rsid w:val="00C860DB"/>
    <w:rsid w:val="00C8614B"/>
    <w:rsid w:val="00C8616F"/>
    <w:rsid w:val="00C86186"/>
    <w:rsid w:val="00C86419"/>
    <w:rsid w:val="00C86430"/>
    <w:rsid w:val="00C8649F"/>
    <w:rsid w:val="00C864A2"/>
    <w:rsid w:val="00C864D5"/>
    <w:rsid w:val="00C8651B"/>
    <w:rsid w:val="00C8657B"/>
    <w:rsid w:val="00C865C0"/>
    <w:rsid w:val="00C865E0"/>
    <w:rsid w:val="00C8660E"/>
    <w:rsid w:val="00C86618"/>
    <w:rsid w:val="00C8662A"/>
    <w:rsid w:val="00C8668A"/>
    <w:rsid w:val="00C86850"/>
    <w:rsid w:val="00C868BA"/>
    <w:rsid w:val="00C86924"/>
    <w:rsid w:val="00C8692E"/>
    <w:rsid w:val="00C8698E"/>
    <w:rsid w:val="00C86AC8"/>
    <w:rsid w:val="00C86BD4"/>
    <w:rsid w:val="00C86C24"/>
    <w:rsid w:val="00C86C79"/>
    <w:rsid w:val="00C86C86"/>
    <w:rsid w:val="00C86CD7"/>
    <w:rsid w:val="00C86D6F"/>
    <w:rsid w:val="00C86D92"/>
    <w:rsid w:val="00C86DC6"/>
    <w:rsid w:val="00C86E86"/>
    <w:rsid w:val="00C86F01"/>
    <w:rsid w:val="00C86F86"/>
    <w:rsid w:val="00C87047"/>
    <w:rsid w:val="00C87207"/>
    <w:rsid w:val="00C87279"/>
    <w:rsid w:val="00C872B8"/>
    <w:rsid w:val="00C872F3"/>
    <w:rsid w:val="00C872FF"/>
    <w:rsid w:val="00C87374"/>
    <w:rsid w:val="00C87380"/>
    <w:rsid w:val="00C873F2"/>
    <w:rsid w:val="00C87440"/>
    <w:rsid w:val="00C874A2"/>
    <w:rsid w:val="00C874C0"/>
    <w:rsid w:val="00C874FD"/>
    <w:rsid w:val="00C8754F"/>
    <w:rsid w:val="00C87583"/>
    <w:rsid w:val="00C875AB"/>
    <w:rsid w:val="00C8762F"/>
    <w:rsid w:val="00C87744"/>
    <w:rsid w:val="00C877C5"/>
    <w:rsid w:val="00C8783B"/>
    <w:rsid w:val="00C87980"/>
    <w:rsid w:val="00C87AAC"/>
    <w:rsid w:val="00C87B23"/>
    <w:rsid w:val="00C87B45"/>
    <w:rsid w:val="00C87B86"/>
    <w:rsid w:val="00C87B96"/>
    <w:rsid w:val="00C87BB6"/>
    <w:rsid w:val="00C87BD9"/>
    <w:rsid w:val="00C87C5E"/>
    <w:rsid w:val="00C87C6F"/>
    <w:rsid w:val="00C87D12"/>
    <w:rsid w:val="00C87D40"/>
    <w:rsid w:val="00C87D41"/>
    <w:rsid w:val="00C87DAD"/>
    <w:rsid w:val="00C87E80"/>
    <w:rsid w:val="00C87F5F"/>
    <w:rsid w:val="00C87FE0"/>
    <w:rsid w:val="00C8CCEB"/>
    <w:rsid w:val="00C90068"/>
    <w:rsid w:val="00C900EB"/>
    <w:rsid w:val="00C9013F"/>
    <w:rsid w:val="00C90140"/>
    <w:rsid w:val="00C90162"/>
    <w:rsid w:val="00C903DC"/>
    <w:rsid w:val="00C9051A"/>
    <w:rsid w:val="00C90570"/>
    <w:rsid w:val="00C90637"/>
    <w:rsid w:val="00C906BF"/>
    <w:rsid w:val="00C907C6"/>
    <w:rsid w:val="00C90964"/>
    <w:rsid w:val="00C90AB3"/>
    <w:rsid w:val="00C90ACC"/>
    <w:rsid w:val="00C90B03"/>
    <w:rsid w:val="00C90D8B"/>
    <w:rsid w:val="00C90E04"/>
    <w:rsid w:val="00C90E21"/>
    <w:rsid w:val="00C90ED9"/>
    <w:rsid w:val="00C90F08"/>
    <w:rsid w:val="00C910B5"/>
    <w:rsid w:val="00C911A1"/>
    <w:rsid w:val="00C912C4"/>
    <w:rsid w:val="00C91440"/>
    <w:rsid w:val="00C91506"/>
    <w:rsid w:val="00C9161B"/>
    <w:rsid w:val="00C91646"/>
    <w:rsid w:val="00C9169C"/>
    <w:rsid w:val="00C9171F"/>
    <w:rsid w:val="00C91778"/>
    <w:rsid w:val="00C917B5"/>
    <w:rsid w:val="00C91847"/>
    <w:rsid w:val="00C918DA"/>
    <w:rsid w:val="00C91915"/>
    <w:rsid w:val="00C919F3"/>
    <w:rsid w:val="00C91A2A"/>
    <w:rsid w:val="00C91A2E"/>
    <w:rsid w:val="00C91A54"/>
    <w:rsid w:val="00C91A5C"/>
    <w:rsid w:val="00C91AEC"/>
    <w:rsid w:val="00C91B09"/>
    <w:rsid w:val="00C91B80"/>
    <w:rsid w:val="00C91BB1"/>
    <w:rsid w:val="00C91BDC"/>
    <w:rsid w:val="00C91C15"/>
    <w:rsid w:val="00C91CE0"/>
    <w:rsid w:val="00C91D3D"/>
    <w:rsid w:val="00C91D61"/>
    <w:rsid w:val="00C91D7B"/>
    <w:rsid w:val="00C91E14"/>
    <w:rsid w:val="00C91FEA"/>
    <w:rsid w:val="00C91FFB"/>
    <w:rsid w:val="00C920D8"/>
    <w:rsid w:val="00C9214E"/>
    <w:rsid w:val="00C9219B"/>
    <w:rsid w:val="00C921BE"/>
    <w:rsid w:val="00C921E9"/>
    <w:rsid w:val="00C922BD"/>
    <w:rsid w:val="00C922FB"/>
    <w:rsid w:val="00C92361"/>
    <w:rsid w:val="00C92528"/>
    <w:rsid w:val="00C9253E"/>
    <w:rsid w:val="00C925B6"/>
    <w:rsid w:val="00C925FA"/>
    <w:rsid w:val="00C92601"/>
    <w:rsid w:val="00C926A2"/>
    <w:rsid w:val="00C926C7"/>
    <w:rsid w:val="00C927FE"/>
    <w:rsid w:val="00C9298B"/>
    <w:rsid w:val="00C92B22"/>
    <w:rsid w:val="00C92B98"/>
    <w:rsid w:val="00C92BDF"/>
    <w:rsid w:val="00C92C89"/>
    <w:rsid w:val="00C92CA3"/>
    <w:rsid w:val="00C92E57"/>
    <w:rsid w:val="00C92E7A"/>
    <w:rsid w:val="00C92ED7"/>
    <w:rsid w:val="00C92F37"/>
    <w:rsid w:val="00C930F8"/>
    <w:rsid w:val="00C93127"/>
    <w:rsid w:val="00C931A9"/>
    <w:rsid w:val="00C932D9"/>
    <w:rsid w:val="00C93301"/>
    <w:rsid w:val="00C93304"/>
    <w:rsid w:val="00C93337"/>
    <w:rsid w:val="00C93345"/>
    <w:rsid w:val="00C93450"/>
    <w:rsid w:val="00C935F7"/>
    <w:rsid w:val="00C93786"/>
    <w:rsid w:val="00C9390D"/>
    <w:rsid w:val="00C9396D"/>
    <w:rsid w:val="00C9398B"/>
    <w:rsid w:val="00C93C0A"/>
    <w:rsid w:val="00C93C72"/>
    <w:rsid w:val="00C93CD1"/>
    <w:rsid w:val="00C93DE9"/>
    <w:rsid w:val="00C93E1C"/>
    <w:rsid w:val="00C93EB0"/>
    <w:rsid w:val="00C93F95"/>
    <w:rsid w:val="00C93FF5"/>
    <w:rsid w:val="00C94078"/>
    <w:rsid w:val="00C940D4"/>
    <w:rsid w:val="00C94145"/>
    <w:rsid w:val="00C941A3"/>
    <w:rsid w:val="00C94200"/>
    <w:rsid w:val="00C9422D"/>
    <w:rsid w:val="00C9425C"/>
    <w:rsid w:val="00C944AC"/>
    <w:rsid w:val="00C94555"/>
    <w:rsid w:val="00C94557"/>
    <w:rsid w:val="00C94580"/>
    <w:rsid w:val="00C945BE"/>
    <w:rsid w:val="00C945D3"/>
    <w:rsid w:val="00C945EF"/>
    <w:rsid w:val="00C94617"/>
    <w:rsid w:val="00C9470D"/>
    <w:rsid w:val="00C94794"/>
    <w:rsid w:val="00C947C6"/>
    <w:rsid w:val="00C94802"/>
    <w:rsid w:val="00C948A0"/>
    <w:rsid w:val="00C94911"/>
    <w:rsid w:val="00C94934"/>
    <w:rsid w:val="00C949DB"/>
    <w:rsid w:val="00C94A37"/>
    <w:rsid w:val="00C94AC8"/>
    <w:rsid w:val="00C94B71"/>
    <w:rsid w:val="00C94BE5"/>
    <w:rsid w:val="00C94BF8"/>
    <w:rsid w:val="00C94D7A"/>
    <w:rsid w:val="00C94DAE"/>
    <w:rsid w:val="00C94EE4"/>
    <w:rsid w:val="00C9509A"/>
    <w:rsid w:val="00C950FA"/>
    <w:rsid w:val="00C952CA"/>
    <w:rsid w:val="00C952E5"/>
    <w:rsid w:val="00C95311"/>
    <w:rsid w:val="00C9535C"/>
    <w:rsid w:val="00C954FF"/>
    <w:rsid w:val="00C9551F"/>
    <w:rsid w:val="00C955CE"/>
    <w:rsid w:val="00C95772"/>
    <w:rsid w:val="00C958EE"/>
    <w:rsid w:val="00C958EF"/>
    <w:rsid w:val="00C95913"/>
    <w:rsid w:val="00C95931"/>
    <w:rsid w:val="00C95A24"/>
    <w:rsid w:val="00C95AB9"/>
    <w:rsid w:val="00C95ACF"/>
    <w:rsid w:val="00C95E7E"/>
    <w:rsid w:val="00C95E7F"/>
    <w:rsid w:val="00C95E81"/>
    <w:rsid w:val="00C95ED8"/>
    <w:rsid w:val="00C95EE0"/>
    <w:rsid w:val="00C96022"/>
    <w:rsid w:val="00C9606C"/>
    <w:rsid w:val="00C96148"/>
    <w:rsid w:val="00C961A0"/>
    <w:rsid w:val="00C961AA"/>
    <w:rsid w:val="00C9622D"/>
    <w:rsid w:val="00C96298"/>
    <w:rsid w:val="00C96365"/>
    <w:rsid w:val="00C9643E"/>
    <w:rsid w:val="00C96482"/>
    <w:rsid w:val="00C964CF"/>
    <w:rsid w:val="00C96525"/>
    <w:rsid w:val="00C96593"/>
    <w:rsid w:val="00C965BB"/>
    <w:rsid w:val="00C966A2"/>
    <w:rsid w:val="00C9675C"/>
    <w:rsid w:val="00C96815"/>
    <w:rsid w:val="00C9685F"/>
    <w:rsid w:val="00C968C0"/>
    <w:rsid w:val="00C969BE"/>
    <w:rsid w:val="00C969DD"/>
    <w:rsid w:val="00C96A35"/>
    <w:rsid w:val="00C96B53"/>
    <w:rsid w:val="00C96F6A"/>
    <w:rsid w:val="00C96F9B"/>
    <w:rsid w:val="00C97025"/>
    <w:rsid w:val="00C9704B"/>
    <w:rsid w:val="00C9707A"/>
    <w:rsid w:val="00C9711F"/>
    <w:rsid w:val="00C9713B"/>
    <w:rsid w:val="00C971FB"/>
    <w:rsid w:val="00C971FF"/>
    <w:rsid w:val="00C97397"/>
    <w:rsid w:val="00C973C0"/>
    <w:rsid w:val="00C973DE"/>
    <w:rsid w:val="00C9754A"/>
    <w:rsid w:val="00C97601"/>
    <w:rsid w:val="00C97788"/>
    <w:rsid w:val="00C97789"/>
    <w:rsid w:val="00C97827"/>
    <w:rsid w:val="00C979DB"/>
    <w:rsid w:val="00C97A9F"/>
    <w:rsid w:val="00C97AD7"/>
    <w:rsid w:val="00C97B1D"/>
    <w:rsid w:val="00C97B7E"/>
    <w:rsid w:val="00C97B81"/>
    <w:rsid w:val="00C97BAD"/>
    <w:rsid w:val="00C97BCB"/>
    <w:rsid w:val="00C97CD7"/>
    <w:rsid w:val="00C97DBF"/>
    <w:rsid w:val="00C97E17"/>
    <w:rsid w:val="00C97E3E"/>
    <w:rsid w:val="00C97FA3"/>
    <w:rsid w:val="00C98D3B"/>
    <w:rsid w:val="00CA001C"/>
    <w:rsid w:val="00CA0095"/>
    <w:rsid w:val="00CA0217"/>
    <w:rsid w:val="00CA027D"/>
    <w:rsid w:val="00CA02C7"/>
    <w:rsid w:val="00CA0331"/>
    <w:rsid w:val="00CA0381"/>
    <w:rsid w:val="00CA03EE"/>
    <w:rsid w:val="00CA041F"/>
    <w:rsid w:val="00CA04B9"/>
    <w:rsid w:val="00CA04FC"/>
    <w:rsid w:val="00CA0515"/>
    <w:rsid w:val="00CA0529"/>
    <w:rsid w:val="00CA0700"/>
    <w:rsid w:val="00CA0720"/>
    <w:rsid w:val="00CA080F"/>
    <w:rsid w:val="00CA0879"/>
    <w:rsid w:val="00CA09D1"/>
    <w:rsid w:val="00CA09F5"/>
    <w:rsid w:val="00CA0A2D"/>
    <w:rsid w:val="00CA0A86"/>
    <w:rsid w:val="00CA0B2A"/>
    <w:rsid w:val="00CA0B34"/>
    <w:rsid w:val="00CA0C02"/>
    <w:rsid w:val="00CA0C46"/>
    <w:rsid w:val="00CA0C86"/>
    <w:rsid w:val="00CA0CC5"/>
    <w:rsid w:val="00CA0D0B"/>
    <w:rsid w:val="00CA0D93"/>
    <w:rsid w:val="00CA0DA8"/>
    <w:rsid w:val="00CA0DF6"/>
    <w:rsid w:val="00CA1001"/>
    <w:rsid w:val="00CA106F"/>
    <w:rsid w:val="00CA10A3"/>
    <w:rsid w:val="00CA1173"/>
    <w:rsid w:val="00CA11FE"/>
    <w:rsid w:val="00CA127C"/>
    <w:rsid w:val="00CA140C"/>
    <w:rsid w:val="00CA1425"/>
    <w:rsid w:val="00CA1548"/>
    <w:rsid w:val="00CA159C"/>
    <w:rsid w:val="00CA1673"/>
    <w:rsid w:val="00CA16DB"/>
    <w:rsid w:val="00CA17F5"/>
    <w:rsid w:val="00CA180F"/>
    <w:rsid w:val="00CA182D"/>
    <w:rsid w:val="00CA18AE"/>
    <w:rsid w:val="00CA195A"/>
    <w:rsid w:val="00CA1A1E"/>
    <w:rsid w:val="00CA1ABC"/>
    <w:rsid w:val="00CA1B37"/>
    <w:rsid w:val="00CA1C3D"/>
    <w:rsid w:val="00CA1DD5"/>
    <w:rsid w:val="00CA1EA1"/>
    <w:rsid w:val="00CA1FEE"/>
    <w:rsid w:val="00CA201D"/>
    <w:rsid w:val="00CA207F"/>
    <w:rsid w:val="00CA20BF"/>
    <w:rsid w:val="00CA20CC"/>
    <w:rsid w:val="00CA2155"/>
    <w:rsid w:val="00CA2167"/>
    <w:rsid w:val="00CA21B9"/>
    <w:rsid w:val="00CA2255"/>
    <w:rsid w:val="00CA22FB"/>
    <w:rsid w:val="00CA2409"/>
    <w:rsid w:val="00CA2676"/>
    <w:rsid w:val="00CA26EF"/>
    <w:rsid w:val="00CA2716"/>
    <w:rsid w:val="00CA27C1"/>
    <w:rsid w:val="00CA27F1"/>
    <w:rsid w:val="00CA2893"/>
    <w:rsid w:val="00CA2904"/>
    <w:rsid w:val="00CA2913"/>
    <w:rsid w:val="00CA2984"/>
    <w:rsid w:val="00CA2997"/>
    <w:rsid w:val="00CA2A89"/>
    <w:rsid w:val="00CA2AC9"/>
    <w:rsid w:val="00CA2B22"/>
    <w:rsid w:val="00CA2B7F"/>
    <w:rsid w:val="00CA2C59"/>
    <w:rsid w:val="00CA2DC3"/>
    <w:rsid w:val="00CA2E29"/>
    <w:rsid w:val="00CA2E80"/>
    <w:rsid w:val="00CA2EED"/>
    <w:rsid w:val="00CA305B"/>
    <w:rsid w:val="00CA308B"/>
    <w:rsid w:val="00CA309A"/>
    <w:rsid w:val="00CA30DA"/>
    <w:rsid w:val="00CA3228"/>
    <w:rsid w:val="00CA32DA"/>
    <w:rsid w:val="00CA34AB"/>
    <w:rsid w:val="00CA3515"/>
    <w:rsid w:val="00CA360F"/>
    <w:rsid w:val="00CA3626"/>
    <w:rsid w:val="00CA3665"/>
    <w:rsid w:val="00CA36F4"/>
    <w:rsid w:val="00CA3775"/>
    <w:rsid w:val="00CA3819"/>
    <w:rsid w:val="00CA388C"/>
    <w:rsid w:val="00CA3B0A"/>
    <w:rsid w:val="00CA3CB8"/>
    <w:rsid w:val="00CA3D03"/>
    <w:rsid w:val="00CA3F90"/>
    <w:rsid w:val="00CA4026"/>
    <w:rsid w:val="00CA4072"/>
    <w:rsid w:val="00CA4114"/>
    <w:rsid w:val="00CA4165"/>
    <w:rsid w:val="00CA4195"/>
    <w:rsid w:val="00CA41FD"/>
    <w:rsid w:val="00CA42BF"/>
    <w:rsid w:val="00CA42E1"/>
    <w:rsid w:val="00CA433A"/>
    <w:rsid w:val="00CA4437"/>
    <w:rsid w:val="00CA4576"/>
    <w:rsid w:val="00CA4577"/>
    <w:rsid w:val="00CA4789"/>
    <w:rsid w:val="00CA4831"/>
    <w:rsid w:val="00CA484F"/>
    <w:rsid w:val="00CA4874"/>
    <w:rsid w:val="00CA495B"/>
    <w:rsid w:val="00CA4A44"/>
    <w:rsid w:val="00CA4ABE"/>
    <w:rsid w:val="00CA4CDF"/>
    <w:rsid w:val="00CA4D3B"/>
    <w:rsid w:val="00CA4D71"/>
    <w:rsid w:val="00CA4E52"/>
    <w:rsid w:val="00CA4EAF"/>
    <w:rsid w:val="00CA4F38"/>
    <w:rsid w:val="00CA4FA9"/>
    <w:rsid w:val="00CA4FED"/>
    <w:rsid w:val="00CA4FFD"/>
    <w:rsid w:val="00CA5014"/>
    <w:rsid w:val="00CA50F4"/>
    <w:rsid w:val="00CA50F9"/>
    <w:rsid w:val="00CA51C0"/>
    <w:rsid w:val="00CA51CA"/>
    <w:rsid w:val="00CA5219"/>
    <w:rsid w:val="00CA52D2"/>
    <w:rsid w:val="00CA52E2"/>
    <w:rsid w:val="00CA52F1"/>
    <w:rsid w:val="00CA5496"/>
    <w:rsid w:val="00CA571D"/>
    <w:rsid w:val="00CA57DC"/>
    <w:rsid w:val="00CA57FE"/>
    <w:rsid w:val="00CA580F"/>
    <w:rsid w:val="00CA5852"/>
    <w:rsid w:val="00CA58D3"/>
    <w:rsid w:val="00CA5908"/>
    <w:rsid w:val="00CA594D"/>
    <w:rsid w:val="00CA5994"/>
    <w:rsid w:val="00CA5AD0"/>
    <w:rsid w:val="00CA5AED"/>
    <w:rsid w:val="00CA5B29"/>
    <w:rsid w:val="00CA5BB8"/>
    <w:rsid w:val="00CA5CB1"/>
    <w:rsid w:val="00CA5D12"/>
    <w:rsid w:val="00CA5DBA"/>
    <w:rsid w:val="00CA5DD1"/>
    <w:rsid w:val="00CA5E8A"/>
    <w:rsid w:val="00CA60D1"/>
    <w:rsid w:val="00CA60F6"/>
    <w:rsid w:val="00CA6184"/>
    <w:rsid w:val="00CA61B4"/>
    <w:rsid w:val="00CA6248"/>
    <w:rsid w:val="00CA63DE"/>
    <w:rsid w:val="00CA6608"/>
    <w:rsid w:val="00CA666D"/>
    <w:rsid w:val="00CA6723"/>
    <w:rsid w:val="00CA675B"/>
    <w:rsid w:val="00CA67B2"/>
    <w:rsid w:val="00CA67B3"/>
    <w:rsid w:val="00CA67B6"/>
    <w:rsid w:val="00CA67BC"/>
    <w:rsid w:val="00CA67F2"/>
    <w:rsid w:val="00CA6873"/>
    <w:rsid w:val="00CA6905"/>
    <w:rsid w:val="00CA692C"/>
    <w:rsid w:val="00CA69EA"/>
    <w:rsid w:val="00CA6A4C"/>
    <w:rsid w:val="00CA6B02"/>
    <w:rsid w:val="00CA6B1D"/>
    <w:rsid w:val="00CA6B5E"/>
    <w:rsid w:val="00CA6C29"/>
    <w:rsid w:val="00CA6D40"/>
    <w:rsid w:val="00CA6D5B"/>
    <w:rsid w:val="00CA6DA4"/>
    <w:rsid w:val="00CA6DC4"/>
    <w:rsid w:val="00CA6DC7"/>
    <w:rsid w:val="00CA6E03"/>
    <w:rsid w:val="00CA6E09"/>
    <w:rsid w:val="00CA6EA3"/>
    <w:rsid w:val="00CA6EB7"/>
    <w:rsid w:val="00CA6FCD"/>
    <w:rsid w:val="00CA7027"/>
    <w:rsid w:val="00CA715C"/>
    <w:rsid w:val="00CA71AB"/>
    <w:rsid w:val="00CA7267"/>
    <w:rsid w:val="00CA728B"/>
    <w:rsid w:val="00CA72FA"/>
    <w:rsid w:val="00CA7380"/>
    <w:rsid w:val="00CA741F"/>
    <w:rsid w:val="00CA7454"/>
    <w:rsid w:val="00CA747D"/>
    <w:rsid w:val="00CA752E"/>
    <w:rsid w:val="00CA757B"/>
    <w:rsid w:val="00CA75DA"/>
    <w:rsid w:val="00CA7719"/>
    <w:rsid w:val="00CA7771"/>
    <w:rsid w:val="00CA77D1"/>
    <w:rsid w:val="00CA79C4"/>
    <w:rsid w:val="00CA7AAD"/>
    <w:rsid w:val="00CA7AF7"/>
    <w:rsid w:val="00CA7BBA"/>
    <w:rsid w:val="00CA7C65"/>
    <w:rsid w:val="00CA7D70"/>
    <w:rsid w:val="00CA7D9E"/>
    <w:rsid w:val="00CA7DE7"/>
    <w:rsid w:val="00CA7E63"/>
    <w:rsid w:val="00CA7FA4"/>
    <w:rsid w:val="00CB019E"/>
    <w:rsid w:val="00CB0240"/>
    <w:rsid w:val="00CB0274"/>
    <w:rsid w:val="00CB0382"/>
    <w:rsid w:val="00CB048A"/>
    <w:rsid w:val="00CB048D"/>
    <w:rsid w:val="00CB050B"/>
    <w:rsid w:val="00CB0541"/>
    <w:rsid w:val="00CB0684"/>
    <w:rsid w:val="00CB0797"/>
    <w:rsid w:val="00CB07E1"/>
    <w:rsid w:val="00CB080D"/>
    <w:rsid w:val="00CB08CA"/>
    <w:rsid w:val="00CB08CF"/>
    <w:rsid w:val="00CB08FC"/>
    <w:rsid w:val="00CB0950"/>
    <w:rsid w:val="00CB097D"/>
    <w:rsid w:val="00CB0AB9"/>
    <w:rsid w:val="00CB0ABF"/>
    <w:rsid w:val="00CB0AED"/>
    <w:rsid w:val="00CB0B31"/>
    <w:rsid w:val="00CB0B84"/>
    <w:rsid w:val="00CB0CDC"/>
    <w:rsid w:val="00CB0D04"/>
    <w:rsid w:val="00CB0DAE"/>
    <w:rsid w:val="00CB0DF5"/>
    <w:rsid w:val="00CB0E44"/>
    <w:rsid w:val="00CB0ED7"/>
    <w:rsid w:val="00CB103A"/>
    <w:rsid w:val="00CB10F4"/>
    <w:rsid w:val="00CB1143"/>
    <w:rsid w:val="00CB12E6"/>
    <w:rsid w:val="00CB1529"/>
    <w:rsid w:val="00CB1576"/>
    <w:rsid w:val="00CB15A8"/>
    <w:rsid w:val="00CB1603"/>
    <w:rsid w:val="00CB16A2"/>
    <w:rsid w:val="00CB16E1"/>
    <w:rsid w:val="00CB16E4"/>
    <w:rsid w:val="00CB189B"/>
    <w:rsid w:val="00CB1920"/>
    <w:rsid w:val="00CB1A06"/>
    <w:rsid w:val="00CB1B12"/>
    <w:rsid w:val="00CB1BA4"/>
    <w:rsid w:val="00CB1C99"/>
    <w:rsid w:val="00CB1CEA"/>
    <w:rsid w:val="00CB1CF5"/>
    <w:rsid w:val="00CB1DA2"/>
    <w:rsid w:val="00CB1DF0"/>
    <w:rsid w:val="00CB1E5F"/>
    <w:rsid w:val="00CB1EA2"/>
    <w:rsid w:val="00CB1F3E"/>
    <w:rsid w:val="00CB1F65"/>
    <w:rsid w:val="00CB2042"/>
    <w:rsid w:val="00CB21EB"/>
    <w:rsid w:val="00CB2283"/>
    <w:rsid w:val="00CB23C5"/>
    <w:rsid w:val="00CB23E2"/>
    <w:rsid w:val="00CB240C"/>
    <w:rsid w:val="00CB249C"/>
    <w:rsid w:val="00CB24A8"/>
    <w:rsid w:val="00CB24C8"/>
    <w:rsid w:val="00CB2557"/>
    <w:rsid w:val="00CB25B2"/>
    <w:rsid w:val="00CB25C6"/>
    <w:rsid w:val="00CB25EA"/>
    <w:rsid w:val="00CB281C"/>
    <w:rsid w:val="00CB2846"/>
    <w:rsid w:val="00CB2B38"/>
    <w:rsid w:val="00CB2BB4"/>
    <w:rsid w:val="00CB2BC2"/>
    <w:rsid w:val="00CB2C94"/>
    <w:rsid w:val="00CB2E34"/>
    <w:rsid w:val="00CB2E9A"/>
    <w:rsid w:val="00CB2FEA"/>
    <w:rsid w:val="00CB3020"/>
    <w:rsid w:val="00CB311A"/>
    <w:rsid w:val="00CB3402"/>
    <w:rsid w:val="00CB35B1"/>
    <w:rsid w:val="00CB3696"/>
    <w:rsid w:val="00CB36F0"/>
    <w:rsid w:val="00CB37C0"/>
    <w:rsid w:val="00CB392A"/>
    <w:rsid w:val="00CB3A33"/>
    <w:rsid w:val="00CB3ADE"/>
    <w:rsid w:val="00CB3B68"/>
    <w:rsid w:val="00CB3BC0"/>
    <w:rsid w:val="00CB3BF5"/>
    <w:rsid w:val="00CB3CF1"/>
    <w:rsid w:val="00CB3D28"/>
    <w:rsid w:val="00CB3D2B"/>
    <w:rsid w:val="00CB401B"/>
    <w:rsid w:val="00CB40B4"/>
    <w:rsid w:val="00CB41C3"/>
    <w:rsid w:val="00CB435C"/>
    <w:rsid w:val="00CB44E0"/>
    <w:rsid w:val="00CB4613"/>
    <w:rsid w:val="00CB4685"/>
    <w:rsid w:val="00CB46FB"/>
    <w:rsid w:val="00CB4761"/>
    <w:rsid w:val="00CB480F"/>
    <w:rsid w:val="00CB4847"/>
    <w:rsid w:val="00CB48EE"/>
    <w:rsid w:val="00CB49C9"/>
    <w:rsid w:val="00CB4A00"/>
    <w:rsid w:val="00CB4A2A"/>
    <w:rsid w:val="00CB4A3D"/>
    <w:rsid w:val="00CB4A55"/>
    <w:rsid w:val="00CB4A93"/>
    <w:rsid w:val="00CB4AD5"/>
    <w:rsid w:val="00CB4B63"/>
    <w:rsid w:val="00CB4C15"/>
    <w:rsid w:val="00CB4DBF"/>
    <w:rsid w:val="00CB5009"/>
    <w:rsid w:val="00CB50B9"/>
    <w:rsid w:val="00CB51D2"/>
    <w:rsid w:val="00CB5214"/>
    <w:rsid w:val="00CB521B"/>
    <w:rsid w:val="00CB523D"/>
    <w:rsid w:val="00CB5281"/>
    <w:rsid w:val="00CB52E9"/>
    <w:rsid w:val="00CB53D4"/>
    <w:rsid w:val="00CB5459"/>
    <w:rsid w:val="00CB54C1"/>
    <w:rsid w:val="00CB552C"/>
    <w:rsid w:val="00CB55EE"/>
    <w:rsid w:val="00CB5626"/>
    <w:rsid w:val="00CB5687"/>
    <w:rsid w:val="00CB573D"/>
    <w:rsid w:val="00CB5743"/>
    <w:rsid w:val="00CB579B"/>
    <w:rsid w:val="00CB57E8"/>
    <w:rsid w:val="00CB583F"/>
    <w:rsid w:val="00CB5874"/>
    <w:rsid w:val="00CB58A7"/>
    <w:rsid w:val="00CB58DA"/>
    <w:rsid w:val="00CB5A02"/>
    <w:rsid w:val="00CB5A1D"/>
    <w:rsid w:val="00CB5A49"/>
    <w:rsid w:val="00CB5A8E"/>
    <w:rsid w:val="00CB5ABE"/>
    <w:rsid w:val="00CB5ADE"/>
    <w:rsid w:val="00CB5B2B"/>
    <w:rsid w:val="00CB5BEE"/>
    <w:rsid w:val="00CB5C9F"/>
    <w:rsid w:val="00CB5D18"/>
    <w:rsid w:val="00CB5E2F"/>
    <w:rsid w:val="00CB5E35"/>
    <w:rsid w:val="00CB5EBE"/>
    <w:rsid w:val="00CB5F23"/>
    <w:rsid w:val="00CB6004"/>
    <w:rsid w:val="00CB6074"/>
    <w:rsid w:val="00CB6199"/>
    <w:rsid w:val="00CB62C0"/>
    <w:rsid w:val="00CB6358"/>
    <w:rsid w:val="00CB642A"/>
    <w:rsid w:val="00CB6651"/>
    <w:rsid w:val="00CB6674"/>
    <w:rsid w:val="00CB6779"/>
    <w:rsid w:val="00CB682D"/>
    <w:rsid w:val="00CB685F"/>
    <w:rsid w:val="00CB68D1"/>
    <w:rsid w:val="00CB6A61"/>
    <w:rsid w:val="00CB6BA5"/>
    <w:rsid w:val="00CB6D91"/>
    <w:rsid w:val="00CB6F35"/>
    <w:rsid w:val="00CB6F89"/>
    <w:rsid w:val="00CB705E"/>
    <w:rsid w:val="00CB70B7"/>
    <w:rsid w:val="00CB70C7"/>
    <w:rsid w:val="00CB70E5"/>
    <w:rsid w:val="00CB710C"/>
    <w:rsid w:val="00CB71E3"/>
    <w:rsid w:val="00CB71F1"/>
    <w:rsid w:val="00CB731E"/>
    <w:rsid w:val="00CB7328"/>
    <w:rsid w:val="00CB7445"/>
    <w:rsid w:val="00CB7446"/>
    <w:rsid w:val="00CB74F7"/>
    <w:rsid w:val="00CB754D"/>
    <w:rsid w:val="00CB762A"/>
    <w:rsid w:val="00CB76B7"/>
    <w:rsid w:val="00CB76EB"/>
    <w:rsid w:val="00CB76FE"/>
    <w:rsid w:val="00CB7767"/>
    <w:rsid w:val="00CB780D"/>
    <w:rsid w:val="00CB78DD"/>
    <w:rsid w:val="00CB78E4"/>
    <w:rsid w:val="00CB7941"/>
    <w:rsid w:val="00CB7A8A"/>
    <w:rsid w:val="00CB7BBE"/>
    <w:rsid w:val="00CB7C42"/>
    <w:rsid w:val="00CB7C96"/>
    <w:rsid w:val="00CB7D8B"/>
    <w:rsid w:val="00CB7DC7"/>
    <w:rsid w:val="00CB7E07"/>
    <w:rsid w:val="00CB7E5F"/>
    <w:rsid w:val="00CB7EBE"/>
    <w:rsid w:val="00CB7F07"/>
    <w:rsid w:val="00CB7F8C"/>
    <w:rsid w:val="00CC012C"/>
    <w:rsid w:val="00CC01B9"/>
    <w:rsid w:val="00CC02A7"/>
    <w:rsid w:val="00CC02E9"/>
    <w:rsid w:val="00CC03BE"/>
    <w:rsid w:val="00CC0459"/>
    <w:rsid w:val="00CC04A8"/>
    <w:rsid w:val="00CC04C8"/>
    <w:rsid w:val="00CC0618"/>
    <w:rsid w:val="00CC07B7"/>
    <w:rsid w:val="00CC0853"/>
    <w:rsid w:val="00CC09C8"/>
    <w:rsid w:val="00CC0AA2"/>
    <w:rsid w:val="00CC0C65"/>
    <w:rsid w:val="00CC0D25"/>
    <w:rsid w:val="00CC0D3A"/>
    <w:rsid w:val="00CC0D48"/>
    <w:rsid w:val="00CC0D67"/>
    <w:rsid w:val="00CC0DF4"/>
    <w:rsid w:val="00CC0E74"/>
    <w:rsid w:val="00CC0E8C"/>
    <w:rsid w:val="00CC0FAA"/>
    <w:rsid w:val="00CC10CD"/>
    <w:rsid w:val="00CC1119"/>
    <w:rsid w:val="00CC11FA"/>
    <w:rsid w:val="00CC137E"/>
    <w:rsid w:val="00CC14D5"/>
    <w:rsid w:val="00CC1559"/>
    <w:rsid w:val="00CC1588"/>
    <w:rsid w:val="00CC1785"/>
    <w:rsid w:val="00CC17A5"/>
    <w:rsid w:val="00CC1853"/>
    <w:rsid w:val="00CC1916"/>
    <w:rsid w:val="00CC1A35"/>
    <w:rsid w:val="00CC1A91"/>
    <w:rsid w:val="00CC1AD3"/>
    <w:rsid w:val="00CC1BCB"/>
    <w:rsid w:val="00CC1CB4"/>
    <w:rsid w:val="00CC1CBC"/>
    <w:rsid w:val="00CC1CDA"/>
    <w:rsid w:val="00CC1D88"/>
    <w:rsid w:val="00CC1DE5"/>
    <w:rsid w:val="00CC1E24"/>
    <w:rsid w:val="00CC1EE7"/>
    <w:rsid w:val="00CC1F23"/>
    <w:rsid w:val="00CC1F63"/>
    <w:rsid w:val="00CC1F82"/>
    <w:rsid w:val="00CC1FD3"/>
    <w:rsid w:val="00CC1FD6"/>
    <w:rsid w:val="00CC2036"/>
    <w:rsid w:val="00CC20CC"/>
    <w:rsid w:val="00CC211B"/>
    <w:rsid w:val="00CC215C"/>
    <w:rsid w:val="00CC21CD"/>
    <w:rsid w:val="00CC223D"/>
    <w:rsid w:val="00CC2409"/>
    <w:rsid w:val="00CC2426"/>
    <w:rsid w:val="00CC2535"/>
    <w:rsid w:val="00CC26ED"/>
    <w:rsid w:val="00CC27DD"/>
    <w:rsid w:val="00CC2845"/>
    <w:rsid w:val="00CC286F"/>
    <w:rsid w:val="00CC28B0"/>
    <w:rsid w:val="00CC2961"/>
    <w:rsid w:val="00CC29D7"/>
    <w:rsid w:val="00CC2A52"/>
    <w:rsid w:val="00CC2AB7"/>
    <w:rsid w:val="00CC2B59"/>
    <w:rsid w:val="00CC2B85"/>
    <w:rsid w:val="00CC2D0C"/>
    <w:rsid w:val="00CC2D75"/>
    <w:rsid w:val="00CC2E99"/>
    <w:rsid w:val="00CC2F87"/>
    <w:rsid w:val="00CC2FDF"/>
    <w:rsid w:val="00CC3183"/>
    <w:rsid w:val="00CC337E"/>
    <w:rsid w:val="00CC354D"/>
    <w:rsid w:val="00CC35A2"/>
    <w:rsid w:val="00CC35B0"/>
    <w:rsid w:val="00CC367C"/>
    <w:rsid w:val="00CC394F"/>
    <w:rsid w:val="00CC3998"/>
    <w:rsid w:val="00CC3AEB"/>
    <w:rsid w:val="00CC3BB8"/>
    <w:rsid w:val="00CC3DF3"/>
    <w:rsid w:val="00CC3EB2"/>
    <w:rsid w:val="00CC3ECF"/>
    <w:rsid w:val="00CC3F33"/>
    <w:rsid w:val="00CC3F77"/>
    <w:rsid w:val="00CC3FC4"/>
    <w:rsid w:val="00CC3FCC"/>
    <w:rsid w:val="00CC4018"/>
    <w:rsid w:val="00CC4085"/>
    <w:rsid w:val="00CC41BE"/>
    <w:rsid w:val="00CC4289"/>
    <w:rsid w:val="00CC42FE"/>
    <w:rsid w:val="00CC43B9"/>
    <w:rsid w:val="00CC43C9"/>
    <w:rsid w:val="00CC44BE"/>
    <w:rsid w:val="00CC4567"/>
    <w:rsid w:val="00CC4622"/>
    <w:rsid w:val="00CC4703"/>
    <w:rsid w:val="00CC4740"/>
    <w:rsid w:val="00CC47B6"/>
    <w:rsid w:val="00CC499F"/>
    <w:rsid w:val="00CC49C0"/>
    <w:rsid w:val="00CC4A39"/>
    <w:rsid w:val="00CC4E6A"/>
    <w:rsid w:val="00CC4EA4"/>
    <w:rsid w:val="00CC4FF0"/>
    <w:rsid w:val="00CC507D"/>
    <w:rsid w:val="00CC52C6"/>
    <w:rsid w:val="00CC5318"/>
    <w:rsid w:val="00CC538C"/>
    <w:rsid w:val="00CC53A3"/>
    <w:rsid w:val="00CC53BA"/>
    <w:rsid w:val="00CC53D8"/>
    <w:rsid w:val="00CC5451"/>
    <w:rsid w:val="00CC5570"/>
    <w:rsid w:val="00CC5586"/>
    <w:rsid w:val="00CC5605"/>
    <w:rsid w:val="00CC5643"/>
    <w:rsid w:val="00CC5673"/>
    <w:rsid w:val="00CC574F"/>
    <w:rsid w:val="00CC578B"/>
    <w:rsid w:val="00CC57E6"/>
    <w:rsid w:val="00CC5819"/>
    <w:rsid w:val="00CC5873"/>
    <w:rsid w:val="00CC58A9"/>
    <w:rsid w:val="00CC58F1"/>
    <w:rsid w:val="00CC5958"/>
    <w:rsid w:val="00CC5A10"/>
    <w:rsid w:val="00CC5A40"/>
    <w:rsid w:val="00CC5AD5"/>
    <w:rsid w:val="00CC5AEF"/>
    <w:rsid w:val="00CC5AF9"/>
    <w:rsid w:val="00CC5B02"/>
    <w:rsid w:val="00CC5B0D"/>
    <w:rsid w:val="00CC5C18"/>
    <w:rsid w:val="00CC5C3C"/>
    <w:rsid w:val="00CC5C7A"/>
    <w:rsid w:val="00CC5C8E"/>
    <w:rsid w:val="00CC5D47"/>
    <w:rsid w:val="00CC5D7E"/>
    <w:rsid w:val="00CC5DBD"/>
    <w:rsid w:val="00CC5E91"/>
    <w:rsid w:val="00CC5FC1"/>
    <w:rsid w:val="00CC601C"/>
    <w:rsid w:val="00CC607A"/>
    <w:rsid w:val="00CC607B"/>
    <w:rsid w:val="00CC60C9"/>
    <w:rsid w:val="00CC6163"/>
    <w:rsid w:val="00CC617E"/>
    <w:rsid w:val="00CC61A3"/>
    <w:rsid w:val="00CC620B"/>
    <w:rsid w:val="00CC63C9"/>
    <w:rsid w:val="00CC63EE"/>
    <w:rsid w:val="00CC640B"/>
    <w:rsid w:val="00CC6474"/>
    <w:rsid w:val="00CC6553"/>
    <w:rsid w:val="00CC6560"/>
    <w:rsid w:val="00CC65DB"/>
    <w:rsid w:val="00CC65EF"/>
    <w:rsid w:val="00CC660D"/>
    <w:rsid w:val="00CC6699"/>
    <w:rsid w:val="00CC66A6"/>
    <w:rsid w:val="00CC66EF"/>
    <w:rsid w:val="00CC6791"/>
    <w:rsid w:val="00CC67AE"/>
    <w:rsid w:val="00CC6881"/>
    <w:rsid w:val="00CC6898"/>
    <w:rsid w:val="00CC693A"/>
    <w:rsid w:val="00CC695F"/>
    <w:rsid w:val="00CC6992"/>
    <w:rsid w:val="00CC69E7"/>
    <w:rsid w:val="00CC6AA0"/>
    <w:rsid w:val="00CC6C79"/>
    <w:rsid w:val="00CC6CAA"/>
    <w:rsid w:val="00CC6D9E"/>
    <w:rsid w:val="00CC6DD9"/>
    <w:rsid w:val="00CC6DFA"/>
    <w:rsid w:val="00CC6EFB"/>
    <w:rsid w:val="00CC709E"/>
    <w:rsid w:val="00CC70C4"/>
    <w:rsid w:val="00CC70E0"/>
    <w:rsid w:val="00CC7153"/>
    <w:rsid w:val="00CC7174"/>
    <w:rsid w:val="00CC7194"/>
    <w:rsid w:val="00CC72B5"/>
    <w:rsid w:val="00CC72B8"/>
    <w:rsid w:val="00CC7335"/>
    <w:rsid w:val="00CC7377"/>
    <w:rsid w:val="00CC73C5"/>
    <w:rsid w:val="00CC73F7"/>
    <w:rsid w:val="00CC743D"/>
    <w:rsid w:val="00CC74A5"/>
    <w:rsid w:val="00CC74F1"/>
    <w:rsid w:val="00CC751E"/>
    <w:rsid w:val="00CC7610"/>
    <w:rsid w:val="00CC772E"/>
    <w:rsid w:val="00CC7828"/>
    <w:rsid w:val="00CC786B"/>
    <w:rsid w:val="00CC78A5"/>
    <w:rsid w:val="00CC78B7"/>
    <w:rsid w:val="00CC792C"/>
    <w:rsid w:val="00CC79A8"/>
    <w:rsid w:val="00CC79B8"/>
    <w:rsid w:val="00CC7A0C"/>
    <w:rsid w:val="00CC7A50"/>
    <w:rsid w:val="00CC7B66"/>
    <w:rsid w:val="00CC7B7C"/>
    <w:rsid w:val="00CC7BDD"/>
    <w:rsid w:val="00CC7C24"/>
    <w:rsid w:val="00CC7E90"/>
    <w:rsid w:val="00CC7F21"/>
    <w:rsid w:val="00CC7FAE"/>
    <w:rsid w:val="00CD001A"/>
    <w:rsid w:val="00CD00DB"/>
    <w:rsid w:val="00CD0190"/>
    <w:rsid w:val="00CD028A"/>
    <w:rsid w:val="00CD0448"/>
    <w:rsid w:val="00CD04E4"/>
    <w:rsid w:val="00CD0507"/>
    <w:rsid w:val="00CD063E"/>
    <w:rsid w:val="00CD07E8"/>
    <w:rsid w:val="00CD0828"/>
    <w:rsid w:val="00CD082A"/>
    <w:rsid w:val="00CD0962"/>
    <w:rsid w:val="00CD0999"/>
    <w:rsid w:val="00CD0B3F"/>
    <w:rsid w:val="00CD0C6C"/>
    <w:rsid w:val="00CD0D78"/>
    <w:rsid w:val="00CD0DD5"/>
    <w:rsid w:val="00CD0DF8"/>
    <w:rsid w:val="00CD0EF2"/>
    <w:rsid w:val="00CD105E"/>
    <w:rsid w:val="00CD1134"/>
    <w:rsid w:val="00CD11E7"/>
    <w:rsid w:val="00CD124F"/>
    <w:rsid w:val="00CD1375"/>
    <w:rsid w:val="00CD13C2"/>
    <w:rsid w:val="00CD13E9"/>
    <w:rsid w:val="00CD189B"/>
    <w:rsid w:val="00CD18C6"/>
    <w:rsid w:val="00CD18DB"/>
    <w:rsid w:val="00CD1994"/>
    <w:rsid w:val="00CD1A02"/>
    <w:rsid w:val="00CD1A3F"/>
    <w:rsid w:val="00CD1A51"/>
    <w:rsid w:val="00CD1AA9"/>
    <w:rsid w:val="00CD1B69"/>
    <w:rsid w:val="00CD1D92"/>
    <w:rsid w:val="00CD1DCD"/>
    <w:rsid w:val="00CD1F58"/>
    <w:rsid w:val="00CD1F8A"/>
    <w:rsid w:val="00CD2099"/>
    <w:rsid w:val="00CD2121"/>
    <w:rsid w:val="00CD21E5"/>
    <w:rsid w:val="00CD22E9"/>
    <w:rsid w:val="00CD2313"/>
    <w:rsid w:val="00CD234D"/>
    <w:rsid w:val="00CD237B"/>
    <w:rsid w:val="00CD23EC"/>
    <w:rsid w:val="00CD24D3"/>
    <w:rsid w:val="00CD2555"/>
    <w:rsid w:val="00CD2689"/>
    <w:rsid w:val="00CD26CA"/>
    <w:rsid w:val="00CD26CC"/>
    <w:rsid w:val="00CD2723"/>
    <w:rsid w:val="00CD273E"/>
    <w:rsid w:val="00CD283A"/>
    <w:rsid w:val="00CD28C4"/>
    <w:rsid w:val="00CD2909"/>
    <w:rsid w:val="00CD2949"/>
    <w:rsid w:val="00CD29D4"/>
    <w:rsid w:val="00CD29E8"/>
    <w:rsid w:val="00CD2BB5"/>
    <w:rsid w:val="00CD2BF3"/>
    <w:rsid w:val="00CD2C0F"/>
    <w:rsid w:val="00CD2C3E"/>
    <w:rsid w:val="00CD2CD0"/>
    <w:rsid w:val="00CD2DA3"/>
    <w:rsid w:val="00CD2DB7"/>
    <w:rsid w:val="00CD300E"/>
    <w:rsid w:val="00CD3034"/>
    <w:rsid w:val="00CD3048"/>
    <w:rsid w:val="00CD305D"/>
    <w:rsid w:val="00CD30F1"/>
    <w:rsid w:val="00CD315D"/>
    <w:rsid w:val="00CD31F2"/>
    <w:rsid w:val="00CD32A5"/>
    <w:rsid w:val="00CD3382"/>
    <w:rsid w:val="00CD344F"/>
    <w:rsid w:val="00CD34B7"/>
    <w:rsid w:val="00CD3621"/>
    <w:rsid w:val="00CD3732"/>
    <w:rsid w:val="00CD3744"/>
    <w:rsid w:val="00CD3766"/>
    <w:rsid w:val="00CD3AA4"/>
    <w:rsid w:val="00CD3AC3"/>
    <w:rsid w:val="00CD3B22"/>
    <w:rsid w:val="00CD3B78"/>
    <w:rsid w:val="00CD3BA8"/>
    <w:rsid w:val="00CD3BFA"/>
    <w:rsid w:val="00CD3C01"/>
    <w:rsid w:val="00CD3C95"/>
    <w:rsid w:val="00CD3CE8"/>
    <w:rsid w:val="00CD3D56"/>
    <w:rsid w:val="00CD3DAE"/>
    <w:rsid w:val="00CD3DCD"/>
    <w:rsid w:val="00CD3FE1"/>
    <w:rsid w:val="00CD4000"/>
    <w:rsid w:val="00CD409E"/>
    <w:rsid w:val="00CD40C4"/>
    <w:rsid w:val="00CD40CB"/>
    <w:rsid w:val="00CD4263"/>
    <w:rsid w:val="00CD4580"/>
    <w:rsid w:val="00CD4629"/>
    <w:rsid w:val="00CD4661"/>
    <w:rsid w:val="00CD47C2"/>
    <w:rsid w:val="00CD482D"/>
    <w:rsid w:val="00CD49A6"/>
    <w:rsid w:val="00CD4A4D"/>
    <w:rsid w:val="00CD4AB3"/>
    <w:rsid w:val="00CD4BE8"/>
    <w:rsid w:val="00CD4C83"/>
    <w:rsid w:val="00CD4C86"/>
    <w:rsid w:val="00CD4D95"/>
    <w:rsid w:val="00CD4DAA"/>
    <w:rsid w:val="00CD4E62"/>
    <w:rsid w:val="00CD4F2B"/>
    <w:rsid w:val="00CD4F4C"/>
    <w:rsid w:val="00CD4F6B"/>
    <w:rsid w:val="00CD5099"/>
    <w:rsid w:val="00CD512D"/>
    <w:rsid w:val="00CD5131"/>
    <w:rsid w:val="00CD5148"/>
    <w:rsid w:val="00CD528A"/>
    <w:rsid w:val="00CD5358"/>
    <w:rsid w:val="00CD5444"/>
    <w:rsid w:val="00CD54B9"/>
    <w:rsid w:val="00CD5553"/>
    <w:rsid w:val="00CD55AA"/>
    <w:rsid w:val="00CD56B4"/>
    <w:rsid w:val="00CD56D4"/>
    <w:rsid w:val="00CD5746"/>
    <w:rsid w:val="00CD57AF"/>
    <w:rsid w:val="00CD5891"/>
    <w:rsid w:val="00CD595F"/>
    <w:rsid w:val="00CD5A98"/>
    <w:rsid w:val="00CD5B19"/>
    <w:rsid w:val="00CD5B54"/>
    <w:rsid w:val="00CD5B59"/>
    <w:rsid w:val="00CD5B85"/>
    <w:rsid w:val="00CD5D16"/>
    <w:rsid w:val="00CD5D48"/>
    <w:rsid w:val="00CD5D81"/>
    <w:rsid w:val="00CD5DE3"/>
    <w:rsid w:val="00CD5DF8"/>
    <w:rsid w:val="00CD5E92"/>
    <w:rsid w:val="00CD5EE7"/>
    <w:rsid w:val="00CD5FD1"/>
    <w:rsid w:val="00CD601C"/>
    <w:rsid w:val="00CD609E"/>
    <w:rsid w:val="00CD618F"/>
    <w:rsid w:val="00CD61B1"/>
    <w:rsid w:val="00CD6204"/>
    <w:rsid w:val="00CD62FA"/>
    <w:rsid w:val="00CD62FB"/>
    <w:rsid w:val="00CD62FF"/>
    <w:rsid w:val="00CD6300"/>
    <w:rsid w:val="00CD6350"/>
    <w:rsid w:val="00CD6481"/>
    <w:rsid w:val="00CD64CE"/>
    <w:rsid w:val="00CD6510"/>
    <w:rsid w:val="00CD6524"/>
    <w:rsid w:val="00CD652F"/>
    <w:rsid w:val="00CD6562"/>
    <w:rsid w:val="00CD65B1"/>
    <w:rsid w:val="00CD65C1"/>
    <w:rsid w:val="00CD662B"/>
    <w:rsid w:val="00CD668B"/>
    <w:rsid w:val="00CD66BD"/>
    <w:rsid w:val="00CD6731"/>
    <w:rsid w:val="00CD683B"/>
    <w:rsid w:val="00CD6855"/>
    <w:rsid w:val="00CD68B1"/>
    <w:rsid w:val="00CD694B"/>
    <w:rsid w:val="00CD6952"/>
    <w:rsid w:val="00CD6982"/>
    <w:rsid w:val="00CD6A68"/>
    <w:rsid w:val="00CD6B1F"/>
    <w:rsid w:val="00CD6B2B"/>
    <w:rsid w:val="00CD6B4A"/>
    <w:rsid w:val="00CD6BB6"/>
    <w:rsid w:val="00CD6E48"/>
    <w:rsid w:val="00CD6E79"/>
    <w:rsid w:val="00CD6EA1"/>
    <w:rsid w:val="00CD6EE8"/>
    <w:rsid w:val="00CD6F40"/>
    <w:rsid w:val="00CD6F83"/>
    <w:rsid w:val="00CD6F85"/>
    <w:rsid w:val="00CD6FE1"/>
    <w:rsid w:val="00CD7008"/>
    <w:rsid w:val="00CD7036"/>
    <w:rsid w:val="00CD7288"/>
    <w:rsid w:val="00CD73E4"/>
    <w:rsid w:val="00CD74AA"/>
    <w:rsid w:val="00CD76B1"/>
    <w:rsid w:val="00CD77CA"/>
    <w:rsid w:val="00CD780D"/>
    <w:rsid w:val="00CD7848"/>
    <w:rsid w:val="00CD7865"/>
    <w:rsid w:val="00CD7878"/>
    <w:rsid w:val="00CD7A01"/>
    <w:rsid w:val="00CD7B05"/>
    <w:rsid w:val="00CD7B42"/>
    <w:rsid w:val="00CD7C6E"/>
    <w:rsid w:val="00CD7CBB"/>
    <w:rsid w:val="00CD7D0B"/>
    <w:rsid w:val="00CD7DE3"/>
    <w:rsid w:val="00CD7E00"/>
    <w:rsid w:val="00CD7F2D"/>
    <w:rsid w:val="00CD7FA7"/>
    <w:rsid w:val="00CD7FD5"/>
    <w:rsid w:val="00CE00BB"/>
    <w:rsid w:val="00CE0124"/>
    <w:rsid w:val="00CE0178"/>
    <w:rsid w:val="00CE01B2"/>
    <w:rsid w:val="00CE043D"/>
    <w:rsid w:val="00CE04C8"/>
    <w:rsid w:val="00CE04F1"/>
    <w:rsid w:val="00CE050C"/>
    <w:rsid w:val="00CE05C6"/>
    <w:rsid w:val="00CE0623"/>
    <w:rsid w:val="00CE0646"/>
    <w:rsid w:val="00CE068F"/>
    <w:rsid w:val="00CE06EF"/>
    <w:rsid w:val="00CE075A"/>
    <w:rsid w:val="00CE077C"/>
    <w:rsid w:val="00CE07BF"/>
    <w:rsid w:val="00CE08A5"/>
    <w:rsid w:val="00CE0935"/>
    <w:rsid w:val="00CE0A3C"/>
    <w:rsid w:val="00CE0A82"/>
    <w:rsid w:val="00CE0AD4"/>
    <w:rsid w:val="00CE0C1F"/>
    <w:rsid w:val="00CE0C6C"/>
    <w:rsid w:val="00CE0C75"/>
    <w:rsid w:val="00CE0CD2"/>
    <w:rsid w:val="00CE0CEA"/>
    <w:rsid w:val="00CE0D98"/>
    <w:rsid w:val="00CE0DCB"/>
    <w:rsid w:val="00CE0DE6"/>
    <w:rsid w:val="00CE0E2D"/>
    <w:rsid w:val="00CE0E6A"/>
    <w:rsid w:val="00CE0F05"/>
    <w:rsid w:val="00CE0F93"/>
    <w:rsid w:val="00CE1076"/>
    <w:rsid w:val="00CE1079"/>
    <w:rsid w:val="00CE1127"/>
    <w:rsid w:val="00CE1206"/>
    <w:rsid w:val="00CE120F"/>
    <w:rsid w:val="00CE1283"/>
    <w:rsid w:val="00CE130E"/>
    <w:rsid w:val="00CE155F"/>
    <w:rsid w:val="00CE158D"/>
    <w:rsid w:val="00CE15C8"/>
    <w:rsid w:val="00CE15FB"/>
    <w:rsid w:val="00CE16C1"/>
    <w:rsid w:val="00CE1716"/>
    <w:rsid w:val="00CE176C"/>
    <w:rsid w:val="00CE177C"/>
    <w:rsid w:val="00CE17DE"/>
    <w:rsid w:val="00CE18CD"/>
    <w:rsid w:val="00CE190F"/>
    <w:rsid w:val="00CE1971"/>
    <w:rsid w:val="00CE1A20"/>
    <w:rsid w:val="00CE1A9C"/>
    <w:rsid w:val="00CE1AC4"/>
    <w:rsid w:val="00CE1AFF"/>
    <w:rsid w:val="00CE1BC3"/>
    <w:rsid w:val="00CE1C3F"/>
    <w:rsid w:val="00CE1C81"/>
    <w:rsid w:val="00CE1DCE"/>
    <w:rsid w:val="00CE1DF2"/>
    <w:rsid w:val="00CE1E61"/>
    <w:rsid w:val="00CE2078"/>
    <w:rsid w:val="00CE2168"/>
    <w:rsid w:val="00CE227C"/>
    <w:rsid w:val="00CE22C9"/>
    <w:rsid w:val="00CE22CD"/>
    <w:rsid w:val="00CE22E0"/>
    <w:rsid w:val="00CE22E1"/>
    <w:rsid w:val="00CE22EF"/>
    <w:rsid w:val="00CE230F"/>
    <w:rsid w:val="00CE2318"/>
    <w:rsid w:val="00CE2331"/>
    <w:rsid w:val="00CE235E"/>
    <w:rsid w:val="00CE242F"/>
    <w:rsid w:val="00CE2478"/>
    <w:rsid w:val="00CE25E1"/>
    <w:rsid w:val="00CE25E8"/>
    <w:rsid w:val="00CE2666"/>
    <w:rsid w:val="00CE2668"/>
    <w:rsid w:val="00CE2780"/>
    <w:rsid w:val="00CE2795"/>
    <w:rsid w:val="00CE2840"/>
    <w:rsid w:val="00CE285E"/>
    <w:rsid w:val="00CE286E"/>
    <w:rsid w:val="00CE28B7"/>
    <w:rsid w:val="00CE2919"/>
    <w:rsid w:val="00CE2935"/>
    <w:rsid w:val="00CE2ADC"/>
    <w:rsid w:val="00CE2CE9"/>
    <w:rsid w:val="00CE2CFC"/>
    <w:rsid w:val="00CE2D0B"/>
    <w:rsid w:val="00CE2D9F"/>
    <w:rsid w:val="00CE2EB3"/>
    <w:rsid w:val="00CE2F70"/>
    <w:rsid w:val="00CE2FE2"/>
    <w:rsid w:val="00CE2FE8"/>
    <w:rsid w:val="00CE3004"/>
    <w:rsid w:val="00CE3115"/>
    <w:rsid w:val="00CE3148"/>
    <w:rsid w:val="00CE3187"/>
    <w:rsid w:val="00CE31C8"/>
    <w:rsid w:val="00CE31EF"/>
    <w:rsid w:val="00CE32CF"/>
    <w:rsid w:val="00CE345B"/>
    <w:rsid w:val="00CE34B4"/>
    <w:rsid w:val="00CE3537"/>
    <w:rsid w:val="00CE3648"/>
    <w:rsid w:val="00CE378A"/>
    <w:rsid w:val="00CE37DB"/>
    <w:rsid w:val="00CE3876"/>
    <w:rsid w:val="00CE38B1"/>
    <w:rsid w:val="00CE3A0F"/>
    <w:rsid w:val="00CE3BF5"/>
    <w:rsid w:val="00CE3C59"/>
    <w:rsid w:val="00CE3DBF"/>
    <w:rsid w:val="00CE3DFE"/>
    <w:rsid w:val="00CE3E96"/>
    <w:rsid w:val="00CE3F13"/>
    <w:rsid w:val="00CE3F41"/>
    <w:rsid w:val="00CE4009"/>
    <w:rsid w:val="00CE401D"/>
    <w:rsid w:val="00CE4048"/>
    <w:rsid w:val="00CE40CC"/>
    <w:rsid w:val="00CE426B"/>
    <w:rsid w:val="00CE42E3"/>
    <w:rsid w:val="00CE440C"/>
    <w:rsid w:val="00CE459E"/>
    <w:rsid w:val="00CE45B8"/>
    <w:rsid w:val="00CE45C9"/>
    <w:rsid w:val="00CE45EF"/>
    <w:rsid w:val="00CE4686"/>
    <w:rsid w:val="00CE46F2"/>
    <w:rsid w:val="00CE4840"/>
    <w:rsid w:val="00CE48BB"/>
    <w:rsid w:val="00CE4945"/>
    <w:rsid w:val="00CE49C3"/>
    <w:rsid w:val="00CE49F8"/>
    <w:rsid w:val="00CE4A78"/>
    <w:rsid w:val="00CE4AB5"/>
    <w:rsid w:val="00CE4C25"/>
    <w:rsid w:val="00CE4C41"/>
    <w:rsid w:val="00CE4C62"/>
    <w:rsid w:val="00CE4CAA"/>
    <w:rsid w:val="00CE4CDD"/>
    <w:rsid w:val="00CE4DD3"/>
    <w:rsid w:val="00CE4DFF"/>
    <w:rsid w:val="00CE4EEA"/>
    <w:rsid w:val="00CE5063"/>
    <w:rsid w:val="00CE507A"/>
    <w:rsid w:val="00CE51A5"/>
    <w:rsid w:val="00CE51E9"/>
    <w:rsid w:val="00CE528F"/>
    <w:rsid w:val="00CE5491"/>
    <w:rsid w:val="00CE54BB"/>
    <w:rsid w:val="00CE54C3"/>
    <w:rsid w:val="00CE55D2"/>
    <w:rsid w:val="00CE55E6"/>
    <w:rsid w:val="00CE56CC"/>
    <w:rsid w:val="00CE56DB"/>
    <w:rsid w:val="00CE56E0"/>
    <w:rsid w:val="00CE56F8"/>
    <w:rsid w:val="00CE574A"/>
    <w:rsid w:val="00CE588D"/>
    <w:rsid w:val="00CE591A"/>
    <w:rsid w:val="00CE59DE"/>
    <w:rsid w:val="00CE5A01"/>
    <w:rsid w:val="00CE5A99"/>
    <w:rsid w:val="00CE5B68"/>
    <w:rsid w:val="00CE5CAB"/>
    <w:rsid w:val="00CE5CF7"/>
    <w:rsid w:val="00CE5D48"/>
    <w:rsid w:val="00CE5D51"/>
    <w:rsid w:val="00CE6175"/>
    <w:rsid w:val="00CE61B2"/>
    <w:rsid w:val="00CE633E"/>
    <w:rsid w:val="00CE6388"/>
    <w:rsid w:val="00CE6420"/>
    <w:rsid w:val="00CE64DE"/>
    <w:rsid w:val="00CE666A"/>
    <w:rsid w:val="00CE666E"/>
    <w:rsid w:val="00CE6739"/>
    <w:rsid w:val="00CE674C"/>
    <w:rsid w:val="00CE67C8"/>
    <w:rsid w:val="00CE6823"/>
    <w:rsid w:val="00CE690A"/>
    <w:rsid w:val="00CE6A18"/>
    <w:rsid w:val="00CE6A83"/>
    <w:rsid w:val="00CE6AB6"/>
    <w:rsid w:val="00CE6B52"/>
    <w:rsid w:val="00CE6B6B"/>
    <w:rsid w:val="00CE6B81"/>
    <w:rsid w:val="00CE6BFA"/>
    <w:rsid w:val="00CE6CF8"/>
    <w:rsid w:val="00CE6DAF"/>
    <w:rsid w:val="00CE6E53"/>
    <w:rsid w:val="00CE6ECA"/>
    <w:rsid w:val="00CE6F78"/>
    <w:rsid w:val="00CE7069"/>
    <w:rsid w:val="00CE7108"/>
    <w:rsid w:val="00CE7145"/>
    <w:rsid w:val="00CE7185"/>
    <w:rsid w:val="00CE7232"/>
    <w:rsid w:val="00CE72CD"/>
    <w:rsid w:val="00CE7335"/>
    <w:rsid w:val="00CE73D0"/>
    <w:rsid w:val="00CE73FA"/>
    <w:rsid w:val="00CE7443"/>
    <w:rsid w:val="00CE746A"/>
    <w:rsid w:val="00CE7659"/>
    <w:rsid w:val="00CE765D"/>
    <w:rsid w:val="00CE76F0"/>
    <w:rsid w:val="00CE77B3"/>
    <w:rsid w:val="00CE78C3"/>
    <w:rsid w:val="00CE79B6"/>
    <w:rsid w:val="00CE7A48"/>
    <w:rsid w:val="00CE7C05"/>
    <w:rsid w:val="00CE7D95"/>
    <w:rsid w:val="00CE7EC1"/>
    <w:rsid w:val="00CE7F55"/>
    <w:rsid w:val="00CF0087"/>
    <w:rsid w:val="00CF00D8"/>
    <w:rsid w:val="00CF012E"/>
    <w:rsid w:val="00CF022C"/>
    <w:rsid w:val="00CF023A"/>
    <w:rsid w:val="00CF0251"/>
    <w:rsid w:val="00CF028A"/>
    <w:rsid w:val="00CF030A"/>
    <w:rsid w:val="00CF04B7"/>
    <w:rsid w:val="00CF04EB"/>
    <w:rsid w:val="00CF051A"/>
    <w:rsid w:val="00CF0550"/>
    <w:rsid w:val="00CF06AB"/>
    <w:rsid w:val="00CF06C9"/>
    <w:rsid w:val="00CF06EF"/>
    <w:rsid w:val="00CF0773"/>
    <w:rsid w:val="00CF0775"/>
    <w:rsid w:val="00CF07CC"/>
    <w:rsid w:val="00CF0822"/>
    <w:rsid w:val="00CF0BAA"/>
    <w:rsid w:val="00CF0BC0"/>
    <w:rsid w:val="00CF0BEB"/>
    <w:rsid w:val="00CF0C18"/>
    <w:rsid w:val="00CF0C4A"/>
    <w:rsid w:val="00CF0C51"/>
    <w:rsid w:val="00CF0C55"/>
    <w:rsid w:val="00CF0C8D"/>
    <w:rsid w:val="00CF0D1A"/>
    <w:rsid w:val="00CF0D31"/>
    <w:rsid w:val="00CF0D63"/>
    <w:rsid w:val="00CF0DE7"/>
    <w:rsid w:val="00CF0E35"/>
    <w:rsid w:val="00CF0E55"/>
    <w:rsid w:val="00CF0EE3"/>
    <w:rsid w:val="00CF0FD3"/>
    <w:rsid w:val="00CF1098"/>
    <w:rsid w:val="00CF10DB"/>
    <w:rsid w:val="00CF10FA"/>
    <w:rsid w:val="00CF1199"/>
    <w:rsid w:val="00CF11B0"/>
    <w:rsid w:val="00CF11BC"/>
    <w:rsid w:val="00CF1270"/>
    <w:rsid w:val="00CF130D"/>
    <w:rsid w:val="00CF13F2"/>
    <w:rsid w:val="00CF1479"/>
    <w:rsid w:val="00CF1553"/>
    <w:rsid w:val="00CF159F"/>
    <w:rsid w:val="00CF161B"/>
    <w:rsid w:val="00CF166D"/>
    <w:rsid w:val="00CF168F"/>
    <w:rsid w:val="00CF17D4"/>
    <w:rsid w:val="00CF17FD"/>
    <w:rsid w:val="00CF18B0"/>
    <w:rsid w:val="00CF1919"/>
    <w:rsid w:val="00CF197A"/>
    <w:rsid w:val="00CF19B9"/>
    <w:rsid w:val="00CF1A3D"/>
    <w:rsid w:val="00CF1A56"/>
    <w:rsid w:val="00CF1B38"/>
    <w:rsid w:val="00CF1CC2"/>
    <w:rsid w:val="00CF1D52"/>
    <w:rsid w:val="00CF1DA2"/>
    <w:rsid w:val="00CF1E2F"/>
    <w:rsid w:val="00CF1ED9"/>
    <w:rsid w:val="00CF2059"/>
    <w:rsid w:val="00CF2100"/>
    <w:rsid w:val="00CF2344"/>
    <w:rsid w:val="00CF23CB"/>
    <w:rsid w:val="00CF23E9"/>
    <w:rsid w:val="00CF23EF"/>
    <w:rsid w:val="00CF240A"/>
    <w:rsid w:val="00CF241C"/>
    <w:rsid w:val="00CF25BF"/>
    <w:rsid w:val="00CF269A"/>
    <w:rsid w:val="00CF269C"/>
    <w:rsid w:val="00CF27FC"/>
    <w:rsid w:val="00CF2827"/>
    <w:rsid w:val="00CF282B"/>
    <w:rsid w:val="00CF2914"/>
    <w:rsid w:val="00CF2A0E"/>
    <w:rsid w:val="00CF2A50"/>
    <w:rsid w:val="00CF2A6E"/>
    <w:rsid w:val="00CF2B27"/>
    <w:rsid w:val="00CF2C74"/>
    <w:rsid w:val="00CF2C8E"/>
    <w:rsid w:val="00CF2E34"/>
    <w:rsid w:val="00CF2ED7"/>
    <w:rsid w:val="00CF2F1E"/>
    <w:rsid w:val="00CF2F70"/>
    <w:rsid w:val="00CF2F7D"/>
    <w:rsid w:val="00CF30DE"/>
    <w:rsid w:val="00CF315B"/>
    <w:rsid w:val="00CF3183"/>
    <w:rsid w:val="00CF31FF"/>
    <w:rsid w:val="00CF324F"/>
    <w:rsid w:val="00CF3267"/>
    <w:rsid w:val="00CF328E"/>
    <w:rsid w:val="00CF32BC"/>
    <w:rsid w:val="00CF33A2"/>
    <w:rsid w:val="00CF33B1"/>
    <w:rsid w:val="00CF33F8"/>
    <w:rsid w:val="00CF3400"/>
    <w:rsid w:val="00CF3488"/>
    <w:rsid w:val="00CF35C1"/>
    <w:rsid w:val="00CF3661"/>
    <w:rsid w:val="00CF36A3"/>
    <w:rsid w:val="00CF377B"/>
    <w:rsid w:val="00CF3814"/>
    <w:rsid w:val="00CF38F0"/>
    <w:rsid w:val="00CF399C"/>
    <w:rsid w:val="00CF39A5"/>
    <w:rsid w:val="00CF39BF"/>
    <w:rsid w:val="00CF39F9"/>
    <w:rsid w:val="00CF3A6D"/>
    <w:rsid w:val="00CF3A88"/>
    <w:rsid w:val="00CF3E21"/>
    <w:rsid w:val="00CF3E80"/>
    <w:rsid w:val="00CF416C"/>
    <w:rsid w:val="00CF4223"/>
    <w:rsid w:val="00CF4340"/>
    <w:rsid w:val="00CF43D4"/>
    <w:rsid w:val="00CF4438"/>
    <w:rsid w:val="00CF443F"/>
    <w:rsid w:val="00CF44D4"/>
    <w:rsid w:val="00CF45E0"/>
    <w:rsid w:val="00CF4623"/>
    <w:rsid w:val="00CF46A6"/>
    <w:rsid w:val="00CF46F3"/>
    <w:rsid w:val="00CF48E4"/>
    <w:rsid w:val="00CF491C"/>
    <w:rsid w:val="00CF4945"/>
    <w:rsid w:val="00CF49C6"/>
    <w:rsid w:val="00CF4AE4"/>
    <w:rsid w:val="00CF4B3B"/>
    <w:rsid w:val="00CF4BA0"/>
    <w:rsid w:val="00CF4BA5"/>
    <w:rsid w:val="00CF4C2D"/>
    <w:rsid w:val="00CF4CFD"/>
    <w:rsid w:val="00CF4D92"/>
    <w:rsid w:val="00CF4DA3"/>
    <w:rsid w:val="00CF4DC7"/>
    <w:rsid w:val="00CF4F28"/>
    <w:rsid w:val="00CF4F84"/>
    <w:rsid w:val="00CF50A3"/>
    <w:rsid w:val="00CF5225"/>
    <w:rsid w:val="00CF537C"/>
    <w:rsid w:val="00CF551B"/>
    <w:rsid w:val="00CF5608"/>
    <w:rsid w:val="00CF571D"/>
    <w:rsid w:val="00CF574B"/>
    <w:rsid w:val="00CF578F"/>
    <w:rsid w:val="00CF58C2"/>
    <w:rsid w:val="00CF5922"/>
    <w:rsid w:val="00CF5A65"/>
    <w:rsid w:val="00CF5AE8"/>
    <w:rsid w:val="00CF5B0E"/>
    <w:rsid w:val="00CF5B16"/>
    <w:rsid w:val="00CF5B6E"/>
    <w:rsid w:val="00CF5CDC"/>
    <w:rsid w:val="00CF5D31"/>
    <w:rsid w:val="00CF5DE5"/>
    <w:rsid w:val="00CF5F04"/>
    <w:rsid w:val="00CF5FCB"/>
    <w:rsid w:val="00CF605D"/>
    <w:rsid w:val="00CF611E"/>
    <w:rsid w:val="00CF6194"/>
    <w:rsid w:val="00CF61A4"/>
    <w:rsid w:val="00CF62BA"/>
    <w:rsid w:val="00CF6387"/>
    <w:rsid w:val="00CF639C"/>
    <w:rsid w:val="00CF63EC"/>
    <w:rsid w:val="00CF6450"/>
    <w:rsid w:val="00CF6488"/>
    <w:rsid w:val="00CF654C"/>
    <w:rsid w:val="00CF65F8"/>
    <w:rsid w:val="00CF667D"/>
    <w:rsid w:val="00CF670F"/>
    <w:rsid w:val="00CF677A"/>
    <w:rsid w:val="00CF67C6"/>
    <w:rsid w:val="00CF680E"/>
    <w:rsid w:val="00CF682B"/>
    <w:rsid w:val="00CF686F"/>
    <w:rsid w:val="00CF69B3"/>
    <w:rsid w:val="00CF69B8"/>
    <w:rsid w:val="00CF6C0F"/>
    <w:rsid w:val="00CF6C96"/>
    <w:rsid w:val="00CF6CE9"/>
    <w:rsid w:val="00CF6CF0"/>
    <w:rsid w:val="00CF6D6D"/>
    <w:rsid w:val="00CF6DC7"/>
    <w:rsid w:val="00CF6E57"/>
    <w:rsid w:val="00CF6E60"/>
    <w:rsid w:val="00CF6E99"/>
    <w:rsid w:val="00CF6F90"/>
    <w:rsid w:val="00CF6FFF"/>
    <w:rsid w:val="00CF7036"/>
    <w:rsid w:val="00CF713F"/>
    <w:rsid w:val="00CF7153"/>
    <w:rsid w:val="00CF7198"/>
    <w:rsid w:val="00CF726C"/>
    <w:rsid w:val="00CF727D"/>
    <w:rsid w:val="00CF744B"/>
    <w:rsid w:val="00CF74EA"/>
    <w:rsid w:val="00CF74F4"/>
    <w:rsid w:val="00CF754A"/>
    <w:rsid w:val="00CF76FC"/>
    <w:rsid w:val="00CF774A"/>
    <w:rsid w:val="00CF776C"/>
    <w:rsid w:val="00CF77D5"/>
    <w:rsid w:val="00CF782D"/>
    <w:rsid w:val="00CF785A"/>
    <w:rsid w:val="00CF78C2"/>
    <w:rsid w:val="00CF7962"/>
    <w:rsid w:val="00CF79DB"/>
    <w:rsid w:val="00CF7A9F"/>
    <w:rsid w:val="00CF7AA6"/>
    <w:rsid w:val="00CF7AD9"/>
    <w:rsid w:val="00CF7AF4"/>
    <w:rsid w:val="00CF7D6E"/>
    <w:rsid w:val="00CF7D7A"/>
    <w:rsid w:val="00CF7D89"/>
    <w:rsid w:val="00CF7E99"/>
    <w:rsid w:val="00CF7F4C"/>
    <w:rsid w:val="00CF7F8E"/>
    <w:rsid w:val="00CF7F94"/>
    <w:rsid w:val="00CF87E3"/>
    <w:rsid w:val="00CFBC48"/>
    <w:rsid w:val="00D00023"/>
    <w:rsid w:val="00D000B9"/>
    <w:rsid w:val="00D000EC"/>
    <w:rsid w:val="00D001C0"/>
    <w:rsid w:val="00D0022F"/>
    <w:rsid w:val="00D002A6"/>
    <w:rsid w:val="00D0042F"/>
    <w:rsid w:val="00D0045F"/>
    <w:rsid w:val="00D00464"/>
    <w:rsid w:val="00D0048B"/>
    <w:rsid w:val="00D00493"/>
    <w:rsid w:val="00D004C4"/>
    <w:rsid w:val="00D0054C"/>
    <w:rsid w:val="00D00568"/>
    <w:rsid w:val="00D0056E"/>
    <w:rsid w:val="00D005A8"/>
    <w:rsid w:val="00D005AF"/>
    <w:rsid w:val="00D006A0"/>
    <w:rsid w:val="00D00710"/>
    <w:rsid w:val="00D00819"/>
    <w:rsid w:val="00D00877"/>
    <w:rsid w:val="00D00881"/>
    <w:rsid w:val="00D0093A"/>
    <w:rsid w:val="00D0093E"/>
    <w:rsid w:val="00D0094A"/>
    <w:rsid w:val="00D00958"/>
    <w:rsid w:val="00D00B7E"/>
    <w:rsid w:val="00D00B80"/>
    <w:rsid w:val="00D00BB1"/>
    <w:rsid w:val="00D00C25"/>
    <w:rsid w:val="00D00D01"/>
    <w:rsid w:val="00D00D7D"/>
    <w:rsid w:val="00D00E55"/>
    <w:rsid w:val="00D00F61"/>
    <w:rsid w:val="00D00FF1"/>
    <w:rsid w:val="00D0102D"/>
    <w:rsid w:val="00D01031"/>
    <w:rsid w:val="00D01130"/>
    <w:rsid w:val="00D01219"/>
    <w:rsid w:val="00D01368"/>
    <w:rsid w:val="00D0148C"/>
    <w:rsid w:val="00D0150A"/>
    <w:rsid w:val="00D01557"/>
    <w:rsid w:val="00D01772"/>
    <w:rsid w:val="00D01780"/>
    <w:rsid w:val="00D017AE"/>
    <w:rsid w:val="00D01847"/>
    <w:rsid w:val="00D0187B"/>
    <w:rsid w:val="00D01A7D"/>
    <w:rsid w:val="00D01AFB"/>
    <w:rsid w:val="00D01B4C"/>
    <w:rsid w:val="00D01B55"/>
    <w:rsid w:val="00D01C31"/>
    <w:rsid w:val="00D01C5B"/>
    <w:rsid w:val="00D01E7C"/>
    <w:rsid w:val="00D01EF0"/>
    <w:rsid w:val="00D02060"/>
    <w:rsid w:val="00D0209F"/>
    <w:rsid w:val="00D020EE"/>
    <w:rsid w:val="00D02100"/>
    <w:rsid w:val="00D022A9"/>
    <w:rsid w:val="00D023B1"/>
    <w:rsid w:val="00D023D4"/>
    <w:rsid w:val="00D024A9"/>
    <w:rsid w:val="00D024EA"/>
    <w:rsid w:val="00D025CC"/>
    <w:rsid w:val="00D025F7"/>
    <w:rsid w:val="00D02618"/>
    <w:rsid w:val="00D0263A"/>
    <w:rsid w:val="00D02661"/>
    <w:rsid w:val="00D0266A"/>
    <w:rsid w:val="00D02732"/>
    <w:rsid w:val="00D027C8"/>
    <w:rsid w:val="00D027E0"/>
    <w:rsid w:val="00D027E4"/>
    <w:rsid w:val="00D028D5"/>
    <w:rsid w:val="00D02964"/>
    <w:rsid w:val="00D02985"/>
    <w:rsid w:val="00D02A97"/>
    <w:rsid w:val="00D02AF0"/>
    <w:rsid w:val="00D02B3A"/>
    <w:rsid w:val="00D02B9F"/>
    <w:rsid w:val="00D02BBA"/>
    <w:rsid w:val="00D02BC0"/>
    <w:rsid w:val="00D02BCD"/>
    <w:rsid w:val="00D02C1F"/>
    <w:rsid w:val="00D02C33"/>
    <w:rsid w:val="00D02C81"/>
    <w:rsid w:val="00D02D5D"/>
    <w:rsid w:val="00D02D73"/>
    <w:rsid w:val="00D02E1D"/>
    <w:rsid w:val="00D02E51"/>
    <w:rsid w:val="00D02ECC"/>
    <w:rsid w:val="00D02ED0"/>
    <w:rsid w:val="00D02EF6"/>
    <w:rsid w:val="00D02F65"/>
    <w:rsid w:val="00D0300C"/>
    <w:rsid w:val="00D03110"/>
    <w:rsid w:val="00D03115"/>
    <w:rsid w:val="00D035DD"/>
    <w:rsid w:val="00D0366A"/>
    <w:rsid w:val="00D03684"/>
    <w:rsid w:val="00D03810"/>
    <w:rsid w:val="00D03866"/>
    <w:rsid w:val="00D038C2"/>
    <w:rsid w:val="00D0390D"/>
    <w:rsid w:val="00D03998"/>
    <w:rsid w:val="00D039A2"/>
    <w:rsid w:val="00D03A46"/>
    <w:rsid w:val="00D03A88"/>
    <w:rsid w:val="00D03C66"/>
    <w:rsid w:val="00D03C6C"/>
    <w:rsid w:val="00D03C84"/>
    <w:rsid w:val="00D03CC5"/>
    <w:rsid w:val="00D03CCB"/>
    <w:rsid w:val="00D03D1F"/>
    <w:rsid w:val="00D03D2C"/>
    <w:rsid w:val="00D03D5C"/>
    <w:rsid w:val="00D03DBD"/>
    <w:rsid w:val="00D03DDA"/>
    <w:rsid w:val="00D03DFF"/>
    <w:rsid w:val="00D03E76"/>
    <w:rsid w:val="00D03E8D"/>
    <w:rsid w:val="00D03FCB"/>
    <w:rsid w:val="00D03FDA"/>
    <w:rsid w:val="00D03FF4"/>
    <w:rsid w:val="00D0400C"/>
    <w:rsid w:val="00D040C9"/>
    <w:rsid w:val="00D0412E"/>
    <w:rsid w:val="00D04173"/>
    <w:rsid w:val="00D041ED"/>
    <w:rsid w:val="00D0421B"/>
    <w:rsid w:val="00D04268"/>
    <w:rsid w:val="00D04398"/>
    <w:rsid w:val="00D043DE"/>
    <w:rsid w:val="00D044B6"/>
    <w:rsid w:val="00D04542"/>
    <w:rsid w:val="00D04626"/>
    <w:rsid w:val="00D0464D"/>
    <w:rsid w:val="00D04701"/>
    <w:rsid w:val="00D047C2"/>
    <w:rsid w:val="00D04917"/>
    <w:rsid w:val="00D0493D"/>
    <w:rsid w:val="00D04957"/>
    <w:rsid w:val="00D04971"/>
    <w:rsid w:val="00D049D8"/>
    <w:rsid w:val="00D049DD"/>
    <w:rsid w:val="00D04A67"/>
    <w:rsid w:val="00D04B56"/>
    <w:rsid w:val="00D04C05"/>
    <w:rsid w:val="00D04C43"/>
    <w:rsid w:val="00D04C73"/>
    <w:rsid w:val="00D04CE9"/>
    <w:rsid w:val="00D04CEF"/>
    <w:rsid w:val="00D04CFC"/>
    <w:rsid w:val="00D04DB3"/>
    <w:rsid w:val="00D05053"/>
    <w:rsid w:val="00D0532E"/>
    <w:rsid w:val="00D05330"/>
    <w:rsid w:val="00D0540C"/>
    <w:rsid w:val="00D0547B"/>
    <w:rsid w:val="00D055FA"/>
    <w:rsid w:val="00D05618"/>
    <w:rsid w:val="00D05722"/>
    <w:rsid w:val="00D05879"/>
    <w:rsid w:val="00D058DD"/>
    <w:rsid w:val="00D05951"/>
    <w:rsid w:val="00D05991"/>
    <w:rsid w:val="00D05A37"/>
    <w:rsid w:val="00D05AAE"/>
    <w:rsid w:val="00D05B27"/>
    <w:rsid w:val="00D05B5F"/>
    <w:rsid w:val="00D05BD8"/>
    <w:rsid w:val="00D05BE6"/>
    <w:rsid w:val="00D05C3B"/>
    <w:rsid w:val="00D05C5E"/>
    <w:rsid w:val="00D05D42"/>
    <w:rsid w:val="00D05DB9"/>
    <w:rsid w:val="00D05E9D"/>
    <w:rsid w:val="00D05F15"/>
    <w:rsid w:val="00D05F39"/>
    <w:rsid w:val="00D05F5E"/>
    <w:rsid w:val="00D06050"/>
    <w:rsid w:val="00D060CD"/>
    <w:rsid w:val="00D061EA"/>
    <w:rsid w:val="00D06269"/>
    <w:rsid w:val="00D0638C"/>
    <w:rsid w:val="00D06399"/>
    <w:rsid w:val="00D0653C"/>
    <w:rsid w:val="00D06550"/>
    <w:rsid w:val="00D06566"/>
    <w:rsid w:val="00D0656C"/>
    <w:rsid w:val="00D065CE"/>
    <w:rsid w:val="00D065EF"/>
    <w:rsid w:val="00D06658"/>
    <w:rsid w:val="00D066A8"/>
    <w:rsid w:val="00D06711"/>
    <w:rsid w:val="00D06757"/>
    <w:rsid w:val="00D06860"/>
    <w:rsid w:val="00D068D0"/>
    <w:rsid w:val="00D0699F"/>
    <w:rsid w:val="00D069C6"/>
    <w:rsid w:val="00D06A3C"/>
    <w:rsid w:val="00D06ACA"/>
    <w:rsid w:val="00D06BD3"/>
    <w:rsid w:val="00D06C69"/>
    <w:rsid w:val="00D06CDD"/>
    <w:rsid w:val="00D06D3B"/>
    <w:rsid w:val="00D06D4E"/>
    <w:rsid w:val="00D06E57"/>
    <w:rsid w:val="00D06E70"/>
    <w:rsid w:val="00D06FA6"/>
    <w:rsid w:val="00D070EF"/>
    <w:rsid w:val="00D071A4"/>
    <w:rsid w:val="00D072F9"/>
    <w:rsid w:val="00D074A3"/>
    <w:rsid w:val="00D07534"/>
    <w:rsid w:val="00D07535"/>
    <w:rsid w:val="00D075FE"/>
    <w:rsid w:val="00D0762F"/>
    <w:rsid w:val="00D076A6"/>
    <w:rsid w:val="00D07775"/>
    <w:rsid w:val="00D07784"/>
    <w:rsid w:val="00D07785"/>
    <w:rsid w:val="00D0779B"/>
    <w:rsid w:val="00D077AA"/>
    <w:rsid w:val="00D077E3"/>
    <w:rsid w:val="00D077EC"/>
    <w:rsid w:val="00D078A2"/>
    <w:rsid w:val="00D078C8"/>
    <w:rsid w:val="00D078F9"/>
    <w:rsid w:val="00D07A0C"/>
    <w:rsid w:val="00D07A7C"/>
    <w:rsid w:val="00D07AA2"/>
    <w:rsid w:val="00D07C02"/>
    <w:rsid w:val="00D07C9E"/>
    <w:rsid w:val="00D07CA9"/>
    <w:rsid w:val="00D07FC8"/>
    <w:rsid w:val="00D100A8"/>
    <w:rsid w:val="00D100D3"/>
    <w:rsid w:val="00D1011C"/>
    <w:rsid w:val="00D10138"/>
    <w:rsid w:val="00D1018D"/>
    <w:rsid w:val="00D10205"/>
    <w:rsid w:val="00D10386"/>
    <w:rsid w:val="00D1044E"/>
    <w:rsid w:val="00D10468"/>
    <w:rsid w:val="00D10491"/>
    <w:rsid w:val="00D1051E"/>
    <w:rsid w:val="00D10643"/>
    <w:rsid w:val="00D10763"/>
    <w:rsid w:val="00D10993"/>
    <w:rsid w:val="00D109B3"/>
    <w:rsid w:val="00D109D5"/>
    <w:rsid w:val="00D10A14"/>
    <w:rsid w:val="00D10AEE"/>
    <w:rsid w:val="00D10BFF"/>
    <w:rsid w:val="00D10C09"/>
    <w:rsid w:val="00D10C2D"/>
    <w:rsid w:val="00D10CF1"/>
    <w:rsid w:val="00D10D34"/>
    <w:rsid w:val="00D10D74"/>
    <w:rsid w:val="00D10D80"/>
    <w:rsid w:val="00D10DEA"/>
    <w:rsid w:val="00D10E65"/>
    <w:rsid w:val="00D10E66"/>
    <w:rsid w:val="00D10EFA"/>
    <w:rsid w:val="00D10EFB"/>
    <w:rsid w:val="00D10F3F"/>
    <w:rsid w:val="00D1111C"/>
    <w:rsid w:val="00D11145"/>
    <w:rsid w:val="00D111B8"/>
    <w:rsid w:val="00D1131A"/>
    <w:rsid w:val="00D1163E"/>
    <w:rsid w:val="00D116BB"/>
    <w:rsid w:val="00D116C3"/>
    <w:rsid w:val="00D116EE"/>
    <w:rsid w:val="00D11A5B"/>
    <w:rsid w:val="00D11A78"/>
    <w:rsid w:val="00D11AD2"/>
    <w:rsid w:val="00D11AEA"/>
    <w:rsid w:val="00D11AF3"/>
    <w:rsid w:val="00D11B10"/>
    <w:rsid w:val="00D11BB8"/>
    <w:rsid w:val="00D11C22"/>
    <w:rsid w:val="00D11C8D"/>
    <w:rsid w:val="00D11CB0"/>
    <w:rsid w:val="00D11D56"/>
    <w:rsid w:val="00D11E1B"/>
    <w:rsid w:val="00D11E8B"/>
    <w:rsid w:val="00D11F3B"/>
    <w:rsid w:val="00D11F8A"/>
    <w:rsid w:val="00D11FB9"/>
    <w:rsid w:val="00D12029"/>
    <w:rsid w:val="00D1203C"/>
    <w:rsid w:val="00D120D0"/>
    <w:rsid w:val="00D12128"/>
    <w:rsid w:val="00D1227A"/>
    <w:rsid w:val="00D122A1"/>
    <w:rsid w:val="00D12373"/>
    <w:rsid w:val="00D123E6"/>
    <w:rsid w:val="00D12404"/>
    <w:rsid w:val="00D1243D"/>
    <w:rsid w:val="00D12631"/>
    <w:rsid w:val="00D12696"/>
    <w:rsid w:val="00D12A43"/>
    <w:rsid w:val="00D12AD1"/>
    <w:rsid w:val="00D12B41"/>
    <w:rsid w:val="00D12B9B"/>
    <w:rsid w:val="00D12BBD"/>
    <w:rsid w:val="00D12BC2"/>
    <w:rsid w:val="00D12C0B"/>
    <w:rsid w:val="00D12C1D"/>
    <w:rsid w:val="00D12CCF"/>
    <w:rsid w:val="00D12DFA"/>
    <w:rsid w:val="00D12EA3"/>
    <w:rsid w:val="00D12FE4"/>
    <w:rsid w:val="00D1301F"/>
    <w:rsid w:val="00D130D8"/>
    <w:rsid w:val="00D132AF"/>
    <w:rsid w:val="00D1330C"/>
    <w:rsid w:val="00D1333F"/>
    <w:rsid w:val="00D133A3"/>
    <w:rsid w:val="00D1342D"/>
    <w:rsid w:val="00D13527"/>
    <w:rsid w:val="00D13555"/>
    <w:rsid w:val="00D1362C"/>
    <w:rsid w:val="00D1369E"/>
    <w:rsid w:val="00D136D7"/>
    <w:rsid w:val="00D13757"/>
    <w:rsid w:val="00D13856"/>
    <w:rsid w:val="00D13952"/>
    <w:rsid w:val="00D1398C"/>
    <w:rsid w:val="00D13BD9"/>
    <w:rsid w:val="00D13C8A"/>
    <w:rsid w:val="00D13D02"/>
    <w:rsid w:val="00D13D73"/>
    <w:rsid w:val="00D13E4E"/>
    <w:rsid w:val="00D13E9A"/>
    <w:rsid w:val="00D1410B"/>
    <w:rsid w:val="00D14194"/>
    <w:rsid w:val="00D141F3"/>
    <w:rsid w:val="00D142A3"/>
    <w:rsid w:val="00D142E8"/>
    <w:rsid w:val="00D1446F"/>
    <w:rsid w:val="00D14474"/>
    <w:rsid w:val="00D145A2"/>
    <w:rsid w:val="00D145C0"/>
    <w:rsid w:val="00D14613"/>
    <w:rsid w:val="00D1463D"/>
    <w:rsid w:val="00D1465B"/>
    <w:rsid w:val="00D146AF"/>
    <w:rsid w:val="00D14762"/>
    <w:rsid w:val="00D147E7"/>
    <w:rsid w:val="00D147FD"/>
    <w:rsid w:val="00D14844"/>
    <w:rsid w:val="00D148F3"/>
    <w:rsid w:val="00D14A20"/>
    <w:rsid w:val="00D14AC7"/>
    <w:rsid w:val="00D14ADC"/>
    <w:rsid w:val="00D14C6B"/>
    <w:rsid w:val="00D14CF8"/>
    <w:rsid w:val="00D14E1A"/>
    <w:rsid w:val="00D14EB1"/>
    <w:rsid w:val="00D1506D"/>
    <w:rsid w:val="00D15138"/>
    <w:rsid w:val="00D15153"/>
    <w:rsid w:val="00D151E6"/>
    <w:rsid w:val="00D15358"/>
    <w:rsid w:val="00D153D2"/>
    <w:rsid w:val="00D154C2"/>
    <w:rsid w:val="00D15524"/>
    <w:rsid w:val="00D155DA"/>
    <w:rsid w:val="00D15830"/>
    <w:rsid w:val="00D15832"/>
    <w:rsid w:val="00D1587B"/>
    <w:rsid w:val="00D15885"/>
    <w:rsid w:val="00D158F6"/>
    <w:rsid w:val="00D159B9"/>
    <w:rsid w:val="00D15A6A"/>
    <w:rsid w:val="00D15AA7"/>
    <w:rsid w:val="00D15AD1"/>
    <w:rsid w:val="00D15B69"/>
    <w:rsid w:val="00D15BC6"/>
    <w:rsid w:val="00D15BD2"/>
    <w:rsid w:val="00D15BE8"/>
    <w:rsid w:val="00D15C95"/>
    <w:rsid w:val="00D15CC2"/>
    <w:rsid w:val="00D15CD3"/>
    <w:rsid w:val="00D15D1B"/>
    <w:rsid w:val="00D15D1F"/>
    <w:rsid w:val="00D15D52"/>
    <w:rsid w:val="00D15DAD"/>
    <w:rsid w:val="00D15DD7"/>
    <w:rsid w:val="00D15E16"/>
    <w:rsid w:val="00D15EE4"/>
    <w:rsid w:val="00D16192"/>
    <w:rsid w:val="00D162FC"/>
    <w:rsid w:val="00D163EA"/>
    <w:rsid w:val="00D1647E"/>
    <w:rsid w:val="00D164D5"/>
    <w:rsid w:val="00D164E9"/>
    <w:rsid w:val="00D16578"/>
    <w:rsid w:val="00D1660B"/>
    <w:rsid w:val="00D16684"/>
    <w:rsid w:val="00D1668E"/>
    <w:rsid w:val="00D16753"/>
    <w:rsid w:val="00D1678F"/>
    <w:rsid w:val="00D16794"/>
    <w:rsid w:val="00D1680B"/>
    <w:rsid w:val="00D16894"/>
    <w:rsid w:val="00D16908"/>
    <w:rsid w:val="00D1691F"/>
    <w:rsid w:val="00D16967"/>
    <w:rsid w:val="00D1698D"/>
    <w:rsid w:val="00D169C7"/>
    <w:rsid w:val="00D169DE"/>
    <w:rsid w:val="00D169EA"/>
    <w:rsid w:val="00D16C1B"/>
    <w:rsid w:val="00D16C3F"/>
    <w:rsid w:val="00D16D59"/>
    <w:rsid w:val="00D16DE6"/>
    <w:rsid w:val="00D16ED2"/>
    <w:rsid w:val="00D16F5C"/>
    <w:rsid w:val="00D16F8C"/>
    <w:rsid w:val="00D16FDA"/>
    <w:rsid w:val="00D170D0"/>
    <w:rsid w:val="00D170E4"/>
    <w:rsid w:val="00D171B1"/>
    <w:rsid w:val="00D171F1"/>
    <w:rsid w:val="00D171F3"/>
    <w:rsid w:val="00D17243"/>
    <w:rsid w:val="00D172A8"/>
    <w:rsid w:val="00D173C4"/>
    <w:rsid w:val="00D17405"/>
    <w:rsid w:val="00D1752F"/>
    <w:rsid w:val="00D17543"/>
    <w:rsid w:val="00D1758B"/>
    <w:rsid w:val="00D175A1"/>
    <w:rsid w:val="00D17643"/>
    <w:rsid w:val="00D17757"/>
    <w:rsid w:val="00D17843"/>
    <w:rsid w:val="00D1786C"/>
    <w:rsid w:val="00D178D5"/>
    <w:rsid w:val="00D1791D"/>
    <w:rsid w:val="00D17984"/>
    <w:rsid w:val="00D17ABF"/>
    <w:rsid w:val="00D17B9E"/>
    <w:rsid w:val="00D17CF7"/>
    <w:rsid w:val="00D17D03"/>
    <w:rsid w:val="00D17D39"/>
    <w:rsid w:val="00D17D68"/>
    <w:rsid w:val="00D17D88"/>
    <w:rsid w:val="00D17E35"/>
    <w:rsid w:val="00D17FD3"/>
    <w:rsid w:val="00D1F4D3"/>
    <w:rsid w:val="00D20024"/>
    <w:rsid w:val="00D2005C"/>
    <w:rsid w:val="00D20093"/>
    <w:rsid w:val="00D200B2"/>
    <w:rsid w:val="00D20154"/>
    <w:rsid w:val="00D20253"/>
    <w:rsid w:val="00D203B9"/>
    <w:rsid w:val="00D20499"/>
    <w:rsid w:val="00D20566"/>
    <w:rsid w:val="00D20591"/>
    <w:rsid w:val="00D206AF"/>
    <w:rsid w:val="00D206F3"/>
    <w:rsid w:val="00D20839"/>
    <w:rsid w:val="00D208A5"/>
    <w:rsid w:val="00D20923"/>
    <w:rsid w:val="00D2093A"/>
    <w:rsid w:val="00D20974"/>
    <w:rsid w:val="00D20A02"/>
    <w:rsid w:val="00D20A66"/>
    <w:rsid w:val="00D20BCF"/>
    <w:rsid w:val="00D20C69"/>
    <w:rsid w:val="00D20C6B"/>
    <w:rsid w:val="00D20D97"/>
    <w:rsid w:val="00D20E91"/>
    <w:rsid w:val="00D20FD1"/>
    <w:rsid w:val="00D21157"/>
    <w:rsid w:val="00D21176"/>
    <w:rsid w:val="00D211C7"/>
    <w:rsid w:val="00D212E6"/>
    <w:rsid w:val="00D21335"/>
    <w:rsid w:val="00D21338"/>
    <w:rsid w:val="00D213FF"/>
    <w:rsid w:val="00D215FE"/>
    <w:rsid w:val="00D215FF"/>
    <w:rsid w:val="00D2161E"/>
    <w:rsid w:val="00D21628"/>
    <w:rsid w:val="00D2168B"/>
    <w:rsid w:val="00D216A4"/>
    <w:rsid w:val="00D216E9"/>
    <w:rsid w:val="00D216EA"/>
    <w:rsid w:val="00D21750"/>
    <w:rsid w:val="00D217A0"/>
    <w:rsid w:val="00D217AA"/>
    <w:rsid w:val="00D217C2"/>
    <w:rsid w:val="00D217E5"/>
    <w:rsid w:val="00D2186C"/>
    <w:rsid w:val="00D21896"/>
    <w:rsid w:val="00D218F2"/>
    <w:rsid w:val="00D21A35"/>
    <w:rsid w:val="00D21A6F"/>
    <w:rsid w:val="00D21B54"/>
    <w:rsid w:val="00D21D65"/>
    <w:rsid w:val="00D21D6E"/>
    <w:rsid w:val="00D2205E"/>
    <w:rsid w:val="00D2211E"/>
    <w:rsid w:val="00D22137"/>
    <w:rsid w:val="00D22145"/>
    <w:rsid w:val="00D22173"/>
    <w:rsid w:val="00D2229A"/>
    <w:rsid w:val="00D222D0"/>
    <w:rsid w:val="00D22313"/>
    <w:rsid w:val="00D22351"/>
    <w:rsid w:val="00D224FE"/>
    <w:rsid w:val="00D2250A"/>
    <w:rsid w:val="00D22557"/>
    <w:rsid w:val="00D227F7"/>
    <w:rsid w:val="00D228FA"/>
    <w:rsid w:val="00D229A4"/>
    <w:rsid w:val="00D22A05"/>
    <w:rsid w:val="00D22A71"/>
    <w:rsid w:val="00D22B30"/>
    <w:rsid w:val="00D22CE4"/>
    <w:rsid w:val="00D22D1C"/>
    <w:rsid w:val="00D22DBB"/>
    <w:rsid w:val="00D22EF1"/>
    <w:rsid w:val="00D22FD2"/>
    <w:rsid w:val="00D22FE8"/>
    <w:rsid w:val="00D23080"/>
    <w:rsid w:val="00D230AD"/>
    <w:rsid w:val="00D23137"/>
    <w:rsid w:val="00D231B6"/>
    <w:rsid w:val="00D23247"/>
    <w:rsid w:val="00D2328B"/>
    <w:rsid w:val="00D232CB"/>
    <w:rsid w:val="00D23353"/>
    <w:rsid w:val="00D233D5"/>
    <w:rsid w:val="00D233E7"/>
    <w:rsid w:val="00D234E4"/>
    <w:rsid w:val="00D23702"/>
    <w:rsid w:val="00D2375C"/>
    <w:rsid w:val="00D23781"/>
    <w:rsid w:val="00D237F3"/>
    <w:rsid w:val="00D23910"/>
    <w:rsid w:val="00D2393B"/>
    <w:rsid w:val="00D23966"/>
    <w:rsid w:val="00D2399B"/>
    <w:rsid w:val="00D239A7"/>
    <w:rsid w:val="00D23B05"/>
    <w:rsid w:val="00D23BCA"/>
    <w:rsid w:val="00D23C2A"/>
    <w:rsid w:val="00D23C39"/>
    <w:rsid w:val="00D23C5D"/>
    <w:rsid w:val="00D23C90"/>
    <w:rsid w:val="00D23D4E"/>
    <w:rsid w:val="00D23EE2"/>
    <w:rsid w:val="00D23F0D"/>
    <w:rsid w:val="00D23F8D"/>
    <w:rsid w:val="00D23FDB"/>
    <w:rsid w:val="00D24099"/>
    <w:rsid w:val="00D24148"/>
    <w:rsid w:val="00D24237"/>
    <w:rsid w:val="00D242CD"/>
    <w:rsid w:val="00D242FA"/>
    <w:rsid w:val="00D2440C"/>
    <w:rsid w:val="00D24423"/>
    <w:rsid w:val="00D24490"/>
    <w:rsid w:val="00D24505"/>
    <w:rsid w:val="00D24551"/>
    <w:rsid w:val="00D245FE"/>
    <w:rsid w:val="00D2472F"/>
    <w:rsid w:val="00D24774"/>
    <w:rsid w:val="00D2478E"/>
    <w:rsid w:val="00D2479C"/>
    <w:rsid w:val="00D24809"/>
    <w:rsid w:val="00D2490B"/>
    <w:rsid w:val="00D2494A"/>
    <w:rsid w:val="00D24962"/>
    <w:rsid w:val="00D24965"/>
    <w:rsid w:val="00D249CC"/>
    <w:rsid w:val="00D24ADD"/>
    <w:rsid w:val="00D24B39"/>
    <w:rsid w:val="00D24B79"/>
    <w:rsid w:val="00D24BBA"/>
    <w:rsid w:val="00D24C99"/>
    <w:rsid w:val="00D24CCD"/>
    <w:rsid w:val="00D24DE7"/>
    <w:rsid w:val="00D24E2C"/>
    <w:rsid w:val="00D24E6C"/>
    <w:rsid w:val="00D24E76"/>
    <w:rsid w:val="00D24E82"/>
    <w:rsid w:val="00D24EA0"/>
    <w:rsid w:val="00D24F02"/>
    <w:rsid w:val="00D250B0"/>
    <w:rsid w:val="00D250E1"/>
    <w:rsid w:val="00D251CD"/>
    <w:rsid w:val="00D252C4"/>
    <w:rsid w:val="00D253A9"/>
    <w:rsid w:val="00D254FB"/>
    <w:rsid w:val="00D2553F"/>
    <w:rsid w:val="00D25605"/>
    <w:rsid w:val="00D25665"/>
    <w:rsid w:val="00D2569B"/>
    <w:rsid w:val="00D256A8"/>
    <w:rsid w:val="00D2573B"/>
    <w:rsid w:val="00D257C5"/>
    <w:rsid w:val="00D25816"/>
    <w:rsid w:val="00D25821"/>
    <w:rsid w:val="00D2588F"/>
    <w:rsid w:val="00D25922"/>
    <w:rsid w:val="00D2592C"/>
    <w:rsid w:val="00D25A78"/>
    <w:rsid w:val="00D25A8B"/>
    <w:rsid w:val="00D25BD3"/>
    <w:rsid w:val="00D25CC4"/>
    <w:rsid w:val="00D25E1C"/>
    <w:rsid w:val="00D25FC8"/>
    <w:rsid w:val="00D25FFA"/>
    <w:rsid w:val="00D26006"/>
    <w:rsid w:val="00D26100"/>
    <w:rsid w:val="00D26140"/>
    <w:rsid w:val="00D262D9"/>
    <w:rsid w:val="00D262E5"/>
    <w:rsid w:val="00D26313"/>
    <w:rsid w:val="00D263C4"/>
    <w:rsid w:val="00D26439"/>
    <w:rsid w:val="00D2655D"/>
    <w:rsid w:val="00D265A8"/>
    <w:rsid w:val="00D2663D"/>
    <w:rsid w:val="00D26688"/>
    <w:rsid w:val="00D26836"/>
    <w:rsid w:val="00D26926"/>
    <w:rsid w:val="00D269F7"/>
    <w:rsid w:val="00D26A2A"/>
    <w:rsid w:val="00D26A68"/>
    <w:rsid w:val="00D26BAB"/>
    <w:rsid w:val="00D26BBB"/>
    <w:rsid w:val="00D26D79"/>
    <w:rsid w:val="00D26DD3"/>
    <w:rsid w:val="00D26E3D"/>
    <w:rsid w:val="00D26EDE"/>
    <w:rsid w:val="00D26F0C"/>
    <w:rsid w:val="00D26F18"/>
    <w:rsid w:val="00D26F5C"/>
    <w:rsid w:val="00D26F84"/>
    <w:rsid w:val="00D270BC"/>
    <w:rsid w:val="00D271FC"/>
    <w:rsid w:val="00D2722F"/>
    <w:rsid w:val="00D2729D"/>
    <w:rsid w:val="00D27466"/>
    <w:rsid w:val="00D27571"/>
    <w:rsid w:val="00D2765A"/>
    <w:rsid w:val="00D27685"/>
    <w:rsid w:val="00D277B6"/>
    <w:rsid w:val="00D277E4"/>
    <w:rsid w:val="00D27898"/>
    <w:rsid w:val="00D27953"/>
    <w:rsid w:val="00D27A53"/>
    <w:rsid w:val="00D27B1B"/>
    <w:rsid w:val="00D27BAD"/>
    <w:rsid w:val="00D27C54"/>
    <w:rsid w:val="00D27C61"/>
    <w:rsid w:val="00D27D64"/>
    <w:rsid w:val="00D27DA0"/>
    <w:rsid w:val="00D27E3E"/>
    <w:rsid w:val="00D27EE9"/>
    <w:rsid w:val="00D3001C"/>
    <w:rsid w:val="00D300E8"/>
    <w:rsid w:val="00D30410"/>
    <w:rsid w:val="00D30428"/>
    <w:rsid w:val="00D3053C"/>
    <w:rsid w:val="00D3059B"/>
    <w:rsid w:val="00D3059F"/>
    <w:rsid w:val="00D305ED"/>
    <w:rsid w:val="00D30603"/>
    <w:rsid w:val="00D3062E"/>
    <w:rsid w:val="00D30771"/>
    <w:rsid w:val="00D30781"/>
    <w:rsid w:val="00D30784"/>
    <w:rsid w:val="00D307BB"/>
    <w:rsid w:val="00D30966"/>
    <w:rsid w:val="00D309AD"/>
    <w:rsid w:val="00D30A0F"/>
    <w:rsid w:val="00D30A30"/>
    <w:rsid w:val="00D30A61"/>
    <w:rsid w:val="00D30A65"/>
    <w:rsid w:val="00D30A9B"/>
    <w:rsid w:val="00D30AD3"/>
    <w:rsid w:val="00D30ADC"/>
    <w:rsid w:val="00D30AE3"/>
    <w:rsid w:val="00D30C2D"/>
    <w:rsid w:val="00D30C75"/>
    <w:rsid w:val="00D30D92"/>
    <w:rsid w:val="00D30F44"/>
    <w:rsid w:val="00D3109B"/>
    <w:rsid w:val="00D313EC"/>
    <w:rsid w:val="00D31473"/>
    <w:rsid w:val="00D316F0"/>
    <w:rsid w:val="00D317C8"/>
    <w:rsid w:val="00D317D0"/>
    <w:rsid w:val="00D318D3"/>
    <w:rsid w:val="00D318D6"/>
    <w:rsid w:val="00D31913"/>
    <w:rsid w:val="00D31950"/>
    <w:rsid w:val="00D31955"/>
    <w:rsid w:val="00D31A8B"/>
    <w:rsid w:val="00D31AC3"/>
    <w:rsid w:val="00D31BC5"/>
    <w:rsid w:val="00D31C3A"/>
    <w:rsid w:val="00D31CDC"/>
    <w:rsid w:val="00D31CF6"/>
    <w:rsid w:val="00D31F1B"/>
    <w:rsid w:val="00D31F67"/>
    <w:rsid w:val="00D320FC"/>
    <w:rsid w:val="00D32129"/>
    <w:rsid w:val="00D3215D"/>
    <w:rsid w:val="00D3219E"/>
    <w:rsid w:val="00D32277"/>
    <w:rsid w:val="00D323B1"/>
    <w:rsid w:val="00D32418"/>
    <w:rsid w:val="00D32422"/>
    <w:rsid w:val="00D32489"/>
    <w:rsid w:val="00D324F1"/>
    <w:rsid w:val="00D32508"/>
    <w:rsid w:val="00D325BC"/>
    <w:rsid w:val="00D326C9"/>
    <w:rsid w:val="00D3284C"/>
    <w:rsid w:val="00D328F2"/>
    <w:rsid w:val="00D32A6B"/>
    <w:rsid w:val="00D32A81"/>
    <w:rsid w:val="00D32C3B"/>
    <w:rsid w:val="00D32DF6"/>
    <w:rsid w:val="00D32EB5"/>
    <w:rsid w:val="00D33039"/>
    <w:rsid w:val="00D330BB"/>
    <w:rsid w:val="00D33101"/>
    <w:rsid w:val="00D3315C"/>
    <w:rsid w:val="00D3320B"/>
    <w:rsid w:val="00D332A4"/>
    <w:rsid w:val="00D332CA"/>
    <w:rsid w:val="00D33395"/>
    <w:rsid w:val="00D333A2"/>
    <w:rsid w:val="00D333BC"/>
    <w:rsid w:val="00D33429"/>
    <w:rsid w:val="00D33539"/>
    <w:rsid w:val="00D335A5"/>
    <w:rsid w:val="00D33658"/>
    <w:rsid w:val="00D33692"/>
    <w:rsid w:val="00D33694"/>
    <w:rsid w:val="00D33709"/>
    <w:rsid w:val="00D33793"/>
    <w:rsid w:val="00D33979"/>
    <w:rsid w:val="00D339A5"/>
    <w:rsid w:val="00D339A7"/>
    <w:rsid w:val="00D33A11"/>
    <w:rsid w:val="00D33A5E"/>
    <w:rsid w:val="00D33AB0"/>
    <w:rsid w:val="00D33C83"/>
    <w:rsid w:val="00D33CE0"/>
    <w:rsid w:val="00D33DBE"/>
    <w:rsid w:val="00D33ED2"/>
    <w:rsid w:val="00D33F72"/>
    <w:rsid w:val="00D33F92"/>
    <w:rsid w:val="00D34044"/>
    <w:rsid w:val="00D341BD"/>
    <w:rsid w:val="00D3427E"/>
    <w:rsid w:val="00D342A3"/>
    <w:rsid w:val="00D34344"/>
    <w:rsid w:val="00D343DC"/>
    <w:rsid w:val="00D34405"/>
    <w:rsid w:val="00D34487"/>
    <w:rsid w:val="00D344C3"/>
    <w:rsid w:val="00D34560"/>
    <w:rsid w:val="00D34600"/>
    <w:rsid w:val="00D34650"/>
    <w:rsid w:val="00D34778"/>
    <w:rsid w:val="00D34828"/>
    <w:rsid w:val="00D34848"/>
    <w:rsid w:val="00D34850"/>
    <w:rsid w:val="00D34887"/>
    <w:rsid w:val="00D34AD6"/>
    <w:rsid w:val="00D34B01"/>
    <w:rsid w:val="00D34B29"/>
    <w:rsid w:val="00D34BB4"/>
    <w:rsid w:val="00D34CD5"/>
    <w:rsid w:val="00D34CEE"/>
    <w:rsid w:val="00D34D98"/>
    <w:rsid w:val="00D34FC8"/>
    <w:rsid w:val="00D35095"/>
    <w:rsid w:val="00D350BF"/>
    <w:rsid w:val="00D350E6"/>
    <w:rsid w:val="00D3518A"/>
    <w:rsid w:val="00D352A4"/>
    <w:rsid w:val="00D353EB"/>
    <w:rsid w:val="00D354BD"/>
    <w:rsid w:val="00D354E8"/>
    <w:rsid w:val="00D35645"/>
    <w:rsid w:val="00D356E8"/>
    <w:rsid w:val="00D35714"/>
    <w:rsid w:val="00D357C1"/>
    <w:rsid w:val="00D357F1"/>
    <w:rsid w:val="00D3582A"/>
    <w:rsid w:val="00D358E2"/>
    <w:rsid w:val="00D35962"/>
    <w:rsid w:val="00D359EF"/>
    <w:rsid w:val="00D35A20"/>
    <w:rsid w:val="00D35B0C"/>
    <w:rsid w:val="00D35B34"/>
    <w:rsid w:val="00D35B59"/>
    <w:rsid w:val="00D35BD2"/>
    <w:rsid w:val="00D35D2D"/>
    <w:rsid w:val="00D35D37"/>
    <w:rsid w:val="00D35E01"/>
    <w:rsid w:val="00D35EDE"/>
    <w:rsid w:val="00D35F50"/>
    <w:rsid w:val="00D3600E"/>
    <w:rsid w:val="00D36052"/>
    <w:rsid w:val="00D3614B"/>
    <w:rsid w:val="00D361B0"/>
    <w:rsid w:val="00D361BC"/>
    <w:rsid w:val="00D3622D"/>
    <w:rsid w:val="00D36318"/>
    <w:rsid w:val="00D3631C"/>
    <w:rsid w:val="00D3631D"/>
    <w:rsid w:val="00D363C1"/>
    <w:rsid w:val="00D36467"/>
    <w:rsid w:val="00D36469"/>
    <w:rsid w:val="00D3646A"/>
    <w:rsid w:val="00D36471"/>
    <w:rsid w:val="00D364FD"/>
    <w:rsid w:val="00D365C7"/>
    <w:rsid w:val="00D36630"/>
    <w:rsid w:val="00D367B3"/>
    <w:rsid w:val="00D3683E"/>
    <w:rsid w:val="00D36841"/>
    <w:rsid w:val="00D36A19"/>
    <w:rsid w:val="00D36B10"/>
    <w:rsid w:val="00D36B94"/>
    <w:rsid w:val="00D36CF9"/>
    <w:rsid w:val="00D36D9C"/>
    <w:rsid w:val="00D36EA2"/>
    <w:rsid w:val="00D36F9E"/>
    <w:rsid w:val="00D3706C"/>
    <w:rsid w:val="00D371B5"/>
    <w:rsid w:val="00D371F9"/>
    <w:rsid w:val="00D37223"/>
    <w:rsid w:val="00D37243"/>
    <w:rsid w:val="00D372ED"/>
    <w:rsid w:val="00D37535"/>
    <w:rsid w:val="00D37592"/>
    <w:rsid w:val="00D375F6"/>
    <w:rsid w:val="00D3764D"/>
    <w:rsid w:val="00D376CF"/>
    <w:rsid w:val="00D376F0"/>
    <w:rsid w:val="00D377A5"/>
    <w:rsid w:val="00D377EC"/>
    <w:rsid w:val="00D37885"/>
    <w:rsid w:val="00D3788B"/>
    <w:rsid w:val="00D37903"/>
    <w:rsid w:val="00D37B00"/>
    <w:rsid w:val="00D37B31"/>
    <w:rsid w:val="00D37BCE"/>
    <w:rsid w:val="00D37C41"/>
    <w:rsid w:val="00D37C82"/>
    <w:rsid w:val="00D37CD7"/>
    <w:rsid w:val="00D37D39"/>
    <w:rsid w:val="00D37DD6"/>
    <w:rsid w:val="00D37E08"/>
    <w:rsid w:val="00D37E1E"/>
    <w:rsid w:val="00D37E2C"/>
    <w:rsid w:val="00D37F18"/>
    <w:rsid w:val="00D37F65"/>
    <w:rsid w:val="00D37F94"/>
    <w:rsid w:val="00D37FA1"/>
    <w:rsid w:val="00D37FCB"/>
    <w:rsid w:val="00D40095"/>
    <w:rsid w:val="00D401D9"/>
    <w:rsid w:val="00D40237"/>
    <w:rsid w:val="00D40370"/>
    <w:rsid w:val="00D40398"/>
    <w:rsid w:val="00D403AA"/>
    <w:rsid w:val="00D4040B"/>
    <w:rsid w:val="00D40583"/>
    <w:rsid w:val="00D40611"/>
    <w:rsid w:val="00D4063A"/>
    <w:rsid w:val="00D4070A"/>
    <w:rsid w:val="00D4078B"/>
    <w:rsid w:val="00D407CB"/>
    <w:rsid w:val="00D407DC"/>
    <w:rsid w:val="00D40A23"/>
    <w:rsid w:val="00D40A9B"/>
    <w:rsid w:val="00D40A9D"/>
    <w:rsid w:val="00D40AAE"/>
    <w:rsid w:val="00D40B1E"/>
    <w:rsid w:val="00D40B6F"/>
    <w:rsid w:val="00D40BDE"/>
    <w:rsid w:val="00D40C2B"/>
    <w:rsid w:val="00D40CBF"/>
    <w:rsid w:val="00D40D63"/>
    <w:rsid w:val="00D40E0C"/>
    <w:rsid w:val="00D40EA5"/>
    <w:rsid w:val="00D40F71"/>
    <w:rsid w:val="00D410E9"/>
    <w:rsid w:val="00D4110C"/>
    <w:rsid w:val="00D41156"/>
    <w:rsid w:val="00D41180"/>
    <w:rsid w:val="00D411E6"/>
    <w:rsid w:val="00D411F5"/>
    <w:rsid w:val="00D41201"/>
    <w:rsid w:val="00D4124E"/>
    <w:rsid w:val="00D4126A"/>
    <w:rsid w:val="00D41322"/>
    <w:rsid w:val="00D413D3"/>
    <w:rsid w:val="00D4163E"/>
    <w:rsid w:val="00D416A3"/>
    <w:rsid w:val="00D416D1"/>
    <w:rsid w:val="00D4172B"/>
    <w:rsid w:val="00D41745"/>
    <w:rsid w:val="00D417E3"/>
    <w:rsid w:val="00D41861"/>
    <w:rsid w:val="00D418D4"/>
    <w:rsid w:val="00D41AD0"/>
    <w:rsid w:val="00D41B9A"/>
    <w:rsid w:val="00D41C60"/>
    <w:rsid w:val="00D41D07"/>
    <w:rsid w:val="00D41DC2"/>
    <w:rsid w:val="00D41E20"/>
    <w:rsid w:val="00D41E98"/>
    <w:rsid w:val="00D41FB6"/>
    <w:rsid w:val="00D42013"/>
    <w:rsid w:val="00D4208B"/>
    <w:rsid w:val="00D42097"/>
    <w:rsid w:val="00D421B7"/>
    <w:rsid w:val="00D421ED"/>
    <w:rsid w:val="00D422D3"/>
    <w:rsid w:val="00D423A7"/>
    <w:rsid w:val="00D423AE"/>
    <w:rsid w:val="00D4240C"/>
    <w:rsid w:val="00D42420"/>
    <w:rsid w:val="00D42656"/>
    <w:rsid w:val="00D426BC"/>
    <w:rsid w:val="00D426E3"/>
    <w:rsid w:val="00D427F6"/>
    <w:rsid w:val="00D42816"/>
    <w:rsid w:val="00D4282C"/>
    <w:rsid w:val="00D42846"/>
    <w:rsid w:val="00D42906"/>
    <w:rsid w:val="00D42B16"/>
    <w:rsid w:val="00D42B69"/>
    <w:rsid w:val="00D42BE1"/>
    <w:rsid w:val="00D42C03"/>
    <w:rsid w:val="00D42C50"/>
    <w:rsid w:val="00D42C6B"/>
    <w:rsid w:val="00D42C92"/>
    <w:rsid w:val="00D42D15"/>
    <w:rsid w:val="00D42DFD"/>
    <w:rsid w:val="00D42E2F"/>
    <w:rsid w:val="00D42EF3"/>
    <w:rsid w:val="00D42F1A"/>
    <w:rsid w:val="00D42FAE"/>
    <w:rsid w:val="00D42FB0"/>
    <w:rsid w:val="00D42FC7"/>
    <w:rsid w:val="00D43025"/>
    <w:rsid w:val="00D430A3"/>
    <w:rsid w:val="00D430C4"/>
    <w:rsid w:val="00D4310F"/>
    <w:rsid w:val="00D431D1"/>
    <w:rsid w:val="00D4355F"/>
    <w:rsid w:val="00D4364C"/>
    <w:rsid w:val="00D4366F"/>
    <w:rsid w:val="00D4369B"/>
    <w:rsid w:val="00D436A4"/>
    <w:rsid w:val="00D4375C"/>
    <w:rsid w:val="00D4391D"/>
    <w:rsid w:val="00D43995"/>
    <w:rsid w:val="00D4399F"/>
    <w:rsid w:val="00D43A28"/>
    <w:rsid w:val="00D43A3A"/>
    <w:rsid w:val="00D43A8F"/>
    <w:rsid w:val="00D43B61"/>
    <w:rsid w:val="00D43C8D"/>
    <w:rsid w:val="00D43D14"/>
    <w:rsid w:val="00D43D18"/>
    <w:rsid w:val="00D43D81"/>
    <w:rsid w:val="00D43DA5"/>
    <w:rsid w:val="00D43DD4"/>
    <w:rsid w:val="00D43DD7"/>
    <w:rsid w:val="00D43DE7"/>
    <w:rsid w:val="00D43F4B"/>
    <w:rsid w:val="00D440CA"/>
    <w:rsid w:val="00D44132"/>
    <w:rsid w:val="00D4413F"/>
    <w:rsid w:val="00D4415B"/>
    <w:rsid w:val="00D44190"/>
    <w:rsid w:val="00D44212"/>
    <w:rsid w:val="00D44429"/>
    <w:rsid w:val="00D44457"/>
    <w:rsid w:val="00D4447C"/>
    <w:rsid w:val="00D44508"/>
    <w:rsid w:val="00D44541"/>
    <w:rsid w:val="00D44554"/>
    <w:rsid w:val="00D44576"/>
    <w:rsid w:val="00D445A8"/>
    <w:rsid w:val="00D445AF"/>
    <w:rsid w:val="00D4466D"/>
    <w:rsid w:val="00D44781"/>
    <w:rsid w:val="00D4487A"/>
    <w:rsid w:val="00D4494F"/>
    <w:rsid w:val="00D44A9E"/>
    <w:rsid w:val="00D44B64"/>
    <w:rsid w:val="00D44BE4"/>
    <w:rsid w:val="00D44C5D"/>
    <w:rsid w:val="00D44CEA"/>
    <w:rsid w:val="00D44D44"/>
    <w:rsid w:val="00D44DCF"/>
    <w:rsid w:val="00D44DDE"/>
    <w:rsid w:val="00D44ECD"/>
    <w:rsid w:val="00D44FAF"/>
    <w:rsid w:val="00D450D3"/>
    <w:rsid w:val="00D45112"/>
    <w:rsid w:val="00D45114"/>
    <w:rsid w:val="00D451A5"/>
    <w:rsid w:val="00D451DB"/>
    <w:rsid w:val="00D4526B"/>
    <w:rsid w:val="00D4550E"/>
    <w:rsid w:val="00D45583"/>
    <w:rsid w:val="00D455D1"/>
    <w:rsid w:val="00D4562D"/>
    <w:rsid w:val="00D4570E"/>
    <w:rsid w:val="00D4577D"/>
    <w:rsid w:val="00D457A3"/>
    <w:rsid w:val="00D457D1"/>
    <w:rsid w:val="00D45852"/>
    <w:rsid w:val="00D45883"/>
    <w:rsid w:val="00D45884"/>
    <w:rsid w:val="00D45888"/>
    <w:rsid w:val="00D45935"/>
    <w:rsid w:val="00D45A7A"/>
    <w:rsid w:val="00D45ADA"/>
    <w:rsid w:val="00D45AE2"/>
    <w:rsid w:val="00D45B2B"/>
    <w:rsid w:val="00D45C16"/>
    <w:rsid w:val="00D45C55"/>
    <w:rsid w:val="00D45D8C"/>
    <w:rsid w:val="00D45DD4"/>
    <w:rsid w:val="00D45E85"/>
    <w:rsid w:val="00D45E9B"/>
    <w:rsid w:val="00D46045"/>
    <w:rsid w:val="00D4604A"/>
    <w:rsid w:val="00D46067"/>
    <w:rsid w:val="00D46178"/>
    <w:rsid w:val="00D461D6"/>
    <w:rsid w:val="00D462D3"/>
    <w:rsid w:val="00D463C9"/>
    <w:rsid w:val="00D46458"/>
    <w:rsid w:val="00D4648D"/>
    <w:rsid w:val="00D4664A"/>
    <w:rsid w:val="00D4678E"/>
    <w:rsid w:val="00D467B1"/>
    <w:rsid w:val="00D46894"/>
    <w:rsid w:val="00D468F3"/>
    <w:rsid w:val="00D468F9"/>
    <w:rsid w:val="00D46915"/>
    <w:rsid w:val="00D469D1"/>
    <w:rsid w:val="00D46A12"/>
    <w:rsid w:val="00D46AA6"/>
    <w:rsid w:val="00D46C42"/>
    <w:rsid w:val="00D46C82"/>
    <w:rsid w:val="00D46CB4"/>
    <w:rsid w:val="00D46D73"/>
    <w:rsid w:val="00D46DA1"/>
    <w:rsid w:val="00D46E2F"/>
    <w:rsid w:val="00D46F88"/>
    <w:rsid w:val="00D46F8F"/>
    <w:rsid w:val="00D46FFF"/>
    <w:rsid w:val="00D47214"/>
    <w:rsid w:val="00D47239"/>
    <w:rsid w:val="00D4724C"/>
    <w:rsid w:val="00D4734C"/>
    <w:rsid w:val="00D47366"/>
    <w:rsid w:val="00D47369"/>
    <w:rsid w:val="00D4736A"/>
    <w:rsid w:val="00D47397"/>
    <w:rsid w:val="00D473A3"/>
    <w:rsid w:val="00D474BF"/>
    <w:rsid w:val="00D47558"/>
    <w:rsid w:val="00D476C0"/>
    <w:rsid w:val="00D47716"/>
    <w:rsid w:val="00D477B1"/>
    <w:rsid w:val="00D47914"/>
    <w:rsid w:val="00D47A0D"/>
    <w:rsid w:val="00D47A7A"/>
    <w:rsid w:val="00D47AE1"/>
    <w:rsid w:val="00D47B9F"/>
    <w:rsid w:val="00D47CEB"/>
    <w:rsid w:val="00D47DE2"/>
    <w:rsid w:val="00D47E57"/>
    <w:rsid w:val="00D47F59"/>
    <w:rsid w:val="00D4D05C"/>
    <w:rsid w:val="00D50096"/>
    <w:rsid w:val="00D500CA"/>
    <w:rsid w:val="00D501AB"/>
    <w:rsid w:val="00D5036E"/>
    <w:rsid w:val="00D5039D"/>
    <w:rsid w:val="00D50411"/>
    <w:rsid w:val="00D5043B"/>
    <w:rsid w:val="00D504E8"/>
    <w:rsid w:val="00D504EC"/>
    <w:rsid w:val="00D5054A"/>
    <w:rsid w:val="00D505B8"/>
    <w:rsid w:val="00D505E8"/>
    <w:rsid w:val="00D50637"/>
    <w:rsid w:val="00D50661"/>
    <w:rsid w:val="00D506B3"/>
    <w:rsid w:val="00D50761"/>
    <w:rsid w:val="00D507D4"/>
    <w:rsid w:val="00D50883"/>
    <w:rsid w:val="00D50A9F"/>
    <w:rsid w:val="00D50B46"/>
    <w:rsid w:val="00D50BE7"/>
    <w:rsid w:val="00D50D2F"/>
    <w:rsid w:val="00D50DB5"/>
    <w:rsid w:val="00D50E0A"/>
    <w:rsid w:val="00D50E3E"/>
    <w:rsid w:val="00D50E96"/>
    <w:rsid w:val="00D50EDC"/>
    <w:rsid w:val="00D5107B"/>
    <w:rsid w:val="00D51183"/>
    <w:rsid w:val="00D51197"/>
    <w:rsid w:val="00D511E4"/>
    <w:rsid w:val="00D51249"/>
    <w:rsid w:val="00D513A5"/>
    <w:rsid w:val="00D513F7"/>
    <w:rsid w:val="00D514D1"/>
    <w:rsid w:val="00D514EF"/>
    <w:rsid w:val="00D5161A"/>
    <w:rsid w:val="00D5180A"/>
    <w:rsid w:val="00D51879"/>
    <w:rsid w:val="00D51A16"/>
    <w:rsid w:val="00D51A7F"/>
    <w:rsid w:val="00D51B5E"/>
    <w:rsid w:val="00D51D46"/>
    <w:rsid w:val="00D51EB6"/>
    <w:rsid w:val="00D51EC3"/>
    <w:rsid w:val="00D51F56"/>
    <w:rsid w:val="00D51FA6"/>
    <w:rsid w:val="00D52088"/>
    <w:rsid w:val="00D5208B"/>
    <w:rsid w:val="00D5217E"/>
    <w:rsid w:val="00D522A2"/>
    <w:rsid w:val="00D524D5"/>
    <w:rsid w:val="00D52534"/>
    <w:rsid w:val="00D52599"/>
    <w:rsid w:val="00D525EA"/>
    <w:rsid w:val="00D525EC"/>
    <w:rsid w:val="00D525FD"/>
    <w:rsid w:val="00D526BC"/>
    <w:rsid w:val="00D526E6"/>
    <w:rsid w:val="00D52817"/>
    <w:rsid w:val="00D528E3"/>
    <w:rsid w:val="00D52A19"/>
    <w:rsid w:val="00D52B33"/>
    <w:rsid w:val="00D52BB0"/>
    <w:rsid w:val="00D52BB1"/>
    <w:rsid w:val="00D52BD5"/>
    <w:rsid w:val="00D52BFB"/>
    <w:rsid w:val="00D52CD6"/>
    <w:rsid w:val="00D52DD0"/>
    <w:rsid w:val="00D5303C"/>
    <w:rsid w:val="00D5306F"/>
    <w:rsid w:val="00D53233"/>
    <w:rsid w:val="00D53279"/>
    <w:rsid w:val="00D5331D"/>
    <w:rsid w:val="00D533B6"/>
    <w:rsid w:val="00D53458"/>
    <w:rsid w:val="00D5346E"/>
    <w:rsid w:val="00D53505"/>
    <w:rsid w:val="00D5357B"/>
    <w:rsid w:val="00D53598"/>
    <w:rsid w:val="00D536D6"/>
    <w:rsid w:val="00D5375C"/>
    <w:rsid w:val="00D53761"/>
    <w:rsid w:val="00D537A6"/>
    <w:rsid w:val="00D5389C"/>
    <w:rsid w:val="00D538AF"/>
    <w:rsid w:val="00D53A49"/>
    <w:rsid w:val="00D53AE9"/>
    <w:rsid w:val="00D53BC6"/>
    <w:rsid w:val="00D53CEE"/>
    <w:rsid w:val="00D53E76"/>
    <w:rsid w:val="00D53E86"/>
    <w:rsid w:val="00D53FDC"/>
    <w:rsid w:val="00D540C0"/>
    <w:rsid w:val="00D540E1"/>
    <w:rsid w:val="00D54171"/>
    <w:rsid w:val="00D541EE"/>
    <w:rsid w:val="00D5420B"/>
    <w:rsid w:val="00D54238"/>
    <w:rsid w:val="00D54257"/>
    <w:rsid w:val="00D5444C"/>
    <w:rsid w:val="00D544D1"/>
    <w:rsid w:val="00D54625"/>
    <w:rsid w:val="00D546DE"/>
    <w:rsid w:val="00D5485B"/>
    <w:rsid w:val="00D54916"/>
    <w:rsid w:val="00D54AE6"/>
    <w:rsid w:val="00D54B13"/>
    <w:rsid w:val="00D54B95"/>
    <w:rsid w:val="00D54C52"/>
    <w:rsid w:val="00D54C65"/>
    <w:rsid w:val="00D54CC5"/>
    <w:rsid w:val="00D54D0F"/>
    <w:rsid w:val="00D54DC2"/>
    <w:rsid w:val="00D54E25"/>
    <w:rsid w:val="00D54EAE"/>
    <w:rsid w:val="00D54F2F"/>
    <w:rsid w:val="00D54F3B"/>
    <w:rsid w:val="00D54F64"/>
    <w:rsid w:val="00D54FB7"/>
    <w:rsid w:val="00D54FF4"/>
    <w:rsid w:val="00D55018"/>
    <w:rsid w:val="00D5506D"/>
    <w:rsid w:val="00D5523E"/>
    <w:rsid w:val="00D55240"/>
    <w:rsid w:val="00D5524D"/>
    <w:rsid w:val="00D5525A"/>
    <w:rsid w:val="00D55343"/>
    <w:rsid w:val="00D55352"/>
    <w:rsid w:val="00D55384"/>
    <w:rsid w:val="00D553B3"/>
    <w:rsid w:val="00D55492"/>
    <w:rsid w:val="00D55544"/>
    <w:rsid w:val="00D5560F"/>
    <w:rsid w:val="00D55773"/>
    <w:rsid w:val="00D557A0"/>
    <w:rsid w:val="00D5582F"/>
    <w:rsid w:val="00D5589A"/>
    <w:rsid w:val="00D55956"/>
    <w:rsid w:val="00D55AEF"/>
    <w:rsid w:val="00D55BA6"/>
    <w:rsid w:val="00D55BD3"/>
    <w:rsid w:val="00D55C36"/>
    <w:rsid w:val="00D55C81"/>
    <w:rsid w:val="00D55DBF"/>
    <w:rsid w:val="00D55DE0"/>
    <w:rsid w:val="00D55E7C"/>
    <w:rsid w:val="00D55F00"/>
    <w:rsid w:val="00D55F4A"/>
    <w:rsid w:val="00D55F50"/>
    <w:rsid w:val="00D55F9C"/>
    <w:rsid w:val="00D55FF9"/>
    <w:rsid w:val="00D560FF"/>
    <w:rsid w:val="00D561AF"/>
    <w:rsid w:val="00D561B8"/>
    <w:rsid w:val="00D561B9"/>
    <w:rsid w:val="00D561DB"/>
    <w:rsid w:val="00D561F6"/>
    <w:rsid w:val="00D56231"/>
    <w:rsid w:val="00D56318"/>
    <w:rsid w:val="00D5637D"/>
    <w:rsid w:val="00D5638A"/>
    <w:rsid w:val="00D56419"/>
    <w:rsid w:val="00D564BE"/>
    <w:rsid w:val="00D56669"/>
    <w:rsid w:val="00D56680"/>
    <w:rsid w:val="00D5674E"/>
    <w:rsid w:val="00D567B0"/>
    <w:rsid w:val="00D567CF"/>
    <w:rsid w:val="00D5698A"/>
    <w:rsid w:val="00D56B33"/>
    <w:rsid w:val="00D56B53"/>
    <w:rsid w:val="00D56BBA"/>
    <w:rsid w:val="00D56BE3"/>
    <w:rsid w:val="00D56C11"/>
    <w:rsid w:val="00D56C18"/>
    <w:rsid w:val="00D56D6B"/>
    <w:rsid w:val="00D56E98"/>
    <w:rsid w:val="00D56EE3"/>
    <w:rsid w:val="00D56F21"/>
    <w:rsid w:val="00D57034"/>
    <w:rsid w:val="00D570C6"/>
    <w:rsid w:val="00D570E3"/>
    <w:rsid w:val="00D5711C"/>
    <w:rsid w:val="00D5717C"/>
    <w:rsid w:val="00D571B8"/>
    <w:rsid w:val="00D5731C"/>
    <w:rsid w:val="00D575C0"/>
    <w:rsid w:val="00D575E0"/>
    <w:rsid w:val="00D5760F"/>
    <w:rsid w:val="00D57623"/>
    <w:rsid w:val="00D57665"/>
    <w:rsid w:val="00D57671"/>
    <w:rsid w:val="00D57718"/>
    <w:rsid w:val="00D57744"/>
    <w:rsid w:val="00D577CF"/>
    <w:rsid w:val="00D5786E"/>
    <w:rsid w:val="00D578A6"/>
    <w:rsid w:val="00D579DF"/>
    <w:rsid w:val="00D57A13"/>
    <w:rsid w:val="00D57AA2"/>
    <w:rsid w:val="00D57B19"/>
    <w:rsid w:val="00D57B5C"/>
    <w:rsid w:val="00D57B78"/>
    <w:rsid w:val="00D57B89"/>
    <w:rsid w:val="00D57C1C"/>
    <w:rsid w:val="00D57C46"/>
    <w:rsid w:val="00D57DA2"/>
    <w:rsid w:val="00D57EE8"/>
    <w:rsid w:val="00D57F9B"/>
    <w:rsid w:val="00D601D8"/>
    <w:rsid w:val="00D601E6"/>
    <w:rsid w:val="00D6021A"/>
    <w:rsid w:val="00D60220"/>
    <w:rsid w:val="00D60227"/>
    <w:rsid w:val="00D604F2"/>
    <w:rsid w:val="00D6057F"/>
    <w:rsid w:val="00D60596"/>
    <w:rsid w:val="00D605D7"/>
    <w:rsid w:val="00D6063D"/>
    <w:rsid w:val="00D60656"/>
    <w:rsid w:val="00D60734"/>
    <w:rsid w:val="00D60750"/>
    <w:rsid w:val="00D607FA"/>
    <w:rsid w:val="00D608BC"/>
    <w:rsid w:val="00D60909"/>
    <w:rsid w:val="00D6094B"/>
    <w:rsid w:val="00D60983"/>
    <w:rsid w:val="00D609FB"/>
    <w:rsid w:val="00D60A36"/>
    <w:rsid w:val="00D60A49"/>
    <w:rsid w:val="00D60A5E"/>
    <w:rsid w:val="00D60AA6"/>
    <w:rsid w:val="00D60AAD"/>
    <w:rsid w:val="00D60B28"/>
    <w:rsid w:val="00D60B29"/>
    <w:rsid w:val="00D60BA9"/>
    <w:rsid w:val="00D60C83"/>
    <w:rsid w:val="00D60E37"/>
    <w:rsid w:val="00D60E8E"/>
    <w:rsid w:val="00D60EFD"/>
    <w:rsid w:val="00D60F07"/>
    <w:rsid w:val="00D60F2C"/>
    <w:rsid w:val="00D60FFD"/>
    <w:rsid w:val="00D61028"/>
    <w:rsid w:val="00D610C9"/>
    <w:rsid w:val="00D61187"/>
    <w:rsid w:val="00D6137C"/>
    <w:rsid w:val="00D6143F"/>
    <w:rsid w:val="00D615CA"/>
    <w:rsid w:val="00D61654"/>
    <w:rsid w:val="00D616BC"/>
    <w:rsid w:val="00D616DA"/>
    <w:rsid w:val="00D617BB"/>
    <w:rsid w:val="00D617D0"/>
    <w:rsid w:val="00D617F8"/>
    <w:rsid w:val="00D61816"/>
    <w:rsid w:val="00D619A3"/>
    <w:rsid w:val="00D61A38"/>
    <w:rsid w:val="00D61A56"/>
    <w:rsid w:val="00D61A80"/>
    <w:rsid w:val="00D61AA2"/>
    <w:rsid w:val="00D61B4C"/>
    <w:rsid w:val="00D61B63"/>
    <w:rsid w:val="00D61B6D"/>
    <w:rsid w:val="00D61C0C"/>
    <w:rsid w:val="00D61C39"/>
    <w:rsid w:val="00D61C85"/>
    <w:rsid w:val="00D61CCD"/>
    <w:rsid w:val="00D61DD0"/>
    <w:rsid w:val="00D61DEC"/>
    <w:rsid w:val="00D61DF5"/>
    <w:rsid w:val="00D61E2E"/>
    <w:rsid w:val="00D61E4E"/>
    <w:rsid w:val="00D61E6C"/>
    <w:rsid w:val="00D61E89"/>
    <w:rsid w:val="00D61EBF"/>
    <w:rsid w:val="00D61F58"/>
    <w:rsid w:val="00D6209A"/>
    <w:rsid w:val="00D620C7"/>
    <w:rsid w:val="00D6210C"/>
    <w:rsid w:val="00D6211B"/>
    <w:rsid w:val="00D6216E"/>
    <w:rsid w:val="00D621C9"/>
    <w:rsid w:val="00D62203"/>
    <w:rsid w:val="00D62232"/>
    <w:rsid w:val="00D62252"/>
    <w:rsid w:val="00D6225D"/>
    <w:rsid w:val="00D62343"/>
    <w:rsid w:val="00D62441"/>
    <w:rsid w:val="00D6247D"/>
    <w:rsid w:val="00D62488"/>
    <w:rsid w:val="00D624A1"/>
    <w:rsid w:val="00D6250E"/>
    <w:rsid w:val="00D62547"/>
    <w:rsid w:val="00D6257C"/>
    <w:rsid w:val="00D625D0"/>
    <w:rsid w:val="00D6267B"/>
    <w:rsid w:val="00D626CF"/>
    <w:rsid w:val="00D627EF"/>
    <w:rsid w:val="00D6285B"/>
    <w:rsid w:val="00D629F8"/>
    <w:rsid w:val="00D62AD3"/>
    <w:rsid w:val="00D62C0A"/>
    <w:rsid w:val="00D62C76"/>
    <w:rsid w:val="00D62CD4"/>
    <w:rsid w:val="00D62DAF"/>
    <w:rsid w:val="00D62FCC"/>
    <w:rsid w:val="00D630BC"/>
    <w:rsid w:val="00D631FF"/>
    <w:rsid w:val="00D632DE"/>
    <w:rsid w:val="00D6330A"/>
    <w:rsid w:val="00D633CA"/>
    <w:rsid w:val="00D634E5"/>
    <w:rsid w:val="00D6377C"/>
    <w:rsid w:val="00D63857"/>
    <w:rsid w:val="00D638A2"/>
    <w:rsid w:val="00D638E2"/>
    <w:rsid w:val="00D6399E"/>
    <w:rsid w:val="00D63C0E"/>
    <w:rsid w:val="00D63CFA"/>
    <w:rsid w:val="00D63D5E"/>
    <w:rsid w:val="00D63DF3"/>
    <w:rsid w:val="00D640E3"/>
    <w:rsid w:val="00D6424E"/>
    <w:rsid w:val="00D6433D"/>
    <w:rsid w:val="00D6445E"/>
    <w:rsid w:val="00D644E6"/>
    <w:rsid w:val="00D64601"/>
    <w:rsid w:val="00D64610"/>
    <w:rsid w:val="00D6464B"/>
    <w:rsid w:val="00D64677"/>
    <w:rsid w:val="00D646FB"/>
    <w:rsid w:val="00D646FD"/>
    <w:rsid w:val="00D6474C"/>
    <w:rsid w:val="00D6476E"/>
    <w:rsid w:val="00D6479A"/>
    <w:rsid w:val="00D647B0"/>
    <w:rsid w:val="00D647D1"/>
    <w:rsid w:val="00D6485D"/>
    <w:rsid w:val="00D6486A"/>
    <w:rsid w:val="00D64875"/>
    <w:rsid w:val="00D648BC"/>
    <w:rsid w:val="00D649E0"/>
    <w:rsid w:val="00D649FC"/>
    <w:rsid w:val="00D64A02"/>
    <w:rsid w:val="00D64A2B"/>
    <w:rsid w:val="00D64A77"/>
    <w:rsid w:val="00D64C98"/>
    <w:rsid w:val="00D64C9E"/>
    <w:rsid w:val="00D64D09"/>
    <w:rsid w:val="00D64E18"/>
    <w:rsid w:val="00D64E38"/>
    <w:rsid w:val="00D64E9F"/>
    <w:rsid w:val="00D64FAE"/>
    <w:rsid w:val="00D650EC"/>
    <w:rsid w:val="00D650FD"/>
    <w:rsid w:val="00D65194"/>
    <w:rsid w:val="00D6534D"/>
    <w:rsid w:val="00D653CA"/>
    <w:rsid w:val="00D653D1"/>
    <w:rsid w:val="00D6543B"/>
    <w:rsid w:val="00D654FA"/>
    <w:rsid w:val="00D6550D"/>
    <w:rsid w:val="00D65539"/>
    <w:rsid w:val="00D6560F"/>
    <w:rsid w:val="00D657B5"/>
    <w:rsid w:val="00D657F5"/>
    <w:rsid w:val="00D658C2"/>
    <w:rsid w:val="00D65AC0"/>
    <w:rsid w:val="00D65BD4"/>
    <w:rsid w:val="00D65BE8"/>
    <w:rsid w:val="00D65C03"/>
    <w:rsid w:val="00D65C79"/>
    <w:rsid w:val="00D65CD1"/>
    <w:rsid w:val="00D65D4C"/>
    <w:rsid w:val="00D65DB6"/>
    <w:rsid w:val="00D65E8E"/>
    <w:rsid w:val="00D65E96"/>
    <w:rsid w:val="00D65EEB"/>
    <w:rsid w:val="00D65F11"/>
    <w:rsid w:val="00D65FC2"/>
    <w:rsid w:val="00D65FCD"/>
    <w:rsid w:val="00D65FE1"/>
    <w:rsid w:val="00D66010"/>
    <w:rsid w:val="00D66049"/>
    <w:rsid w:val="00D663D3"/>
    <w:rsid w:val="00D66440"/>
    <w:rsid w:val="00D66483"/>
    <w:rsid w:val="00D664F8"/>
    <w:rsid w:val="00D6655F"/>
    <w:rsid w:val="00D665D7"/>
    <w:rsid w:val="00D666BF"/>
    <w:rsid w:val="00D66732"/>
    <w:rsid w:val="00D667E2"/>
    <w:rsid w:val="00D66808"/>
    <w:rsid w:val="00D66823"/>
    <w:rsid w:val="00D6685D"/>
    <w:rsid w:val="00D668E0"/>
    <w:rsid w:val="00D668E6"/>
    <w:rsid w:val="00D6698B"/>
    <w:rsid w:val="00D669C3"/>
    <w:rsid w:val="00D66A22"/>
    <w:rsid w:val="00D66A85"/>
    <w:rsid w:val="00D66AAF"/>
    <w:rsid w:val="00D66C80"/>
    <w:rsid w:val="00D66D18"/>
    <w:rsid w:val="00D66DD3"/>
    <w:rsid w:val="00D66EBD"/>
    <w:rsid w:val="00D66F1F"/>
    <w:rsid w:val="00D66F53"/>
    <w:rsid w:val="00D67099"/>
    <w:rsid w:val="00D670ED"/>
    <w:rsid w:val="00D671D2"/>
    <w:rsid w:val="00D67256"/>
    <w:rsid w:val="00D67399"/>
    <w:rsid w:val="00D674DE"/>
    <w:rsid w:val="00D6766F"/>
    <w:rsid w:val="00D67690"/>
    <w:rsid w:val="00D676EE"/>
    <w:rsid w:val="00D676FF"/>
    <w:rsid w:val="00D67700"/>
    <w:rsid w:val="00D67848"/>
    <w:rsid w:val="00D678DF"/>
    <w:rsid w:val="00D67943"/>
    <w:rsid w:val="00D67AC9"/>
    <w:rsid w:val="00D67B6B"/>
    <w:rsid w:val="00D67C56"/>
    <w:rsid w:val="00D67F25"/>
    <w:rsid w:val="00D67FFE"/>
    <w:rsid w:val="00D70043"/>
    <w:rsid w:val="00D70074"/>
    <w:rsid w:val="00D70081"/>
    <w:rsid w:val="00D700CF"/>
    <w:rsid w:val="00D700EB"/>
    <w:rsid w:val="00D701AE"/>
    <w:rsid w:val="00D702CB"/>
    <w:rsid w:val="00D7042F"/>
    <w:rsid w:val="00D7057E"/>
    <w:rsid w:val="00D705B0"/>
    <w:rsid w:val="00D70856"/>
    <w:rsid w:val="00D709E0"/>
    <w:rsid w:val="00D70A2B"/>
    <w:rsid w:val="00D70AB4"/>
    <w:rsid w:val="00D70AD8"/>
    <w:rsid w:val="00D70BB9"/>
    <w:rsid w:val="00D70C0C"/>
    <w:rsid w:val="00D70C6D"/>
    <w:rsid w:val="00D70C9D"/>
    <w:rsid w:val="00D70CF8"/>
    <w:rsid w:val="00D70D47"/>
    <w:rsid w:val="00D70E00"/>
    <w:rsid w:val="00D70E0A"/>
    <w:rsid w:val="00D70E11"/>
    <w:rsid w:val="00D70E7F"/>
    <w:rsid w:val="00D70EDD"/>
    <w:rsid w:val="00D70F7D"/>
    <w:rsid w:val="00D71165"/>
    <w:rsid w:val="00D71188"/>
    <w:rsid w:val="00D711BA"/>
    <w:rsid w:val="00D711D8"/>
    <w:rsid w:val="00D71263"/>
    <w:rsid w:val="00D714C3"/>
    <w:rsid w:val="00D7150F"/>
    <w:rsid w:val="00D715A9"/>
    <w:rsid w:val="00D715BB"/>
    <w:rsid w:val="00D716A2"/>
    <w:rsid w:val="00D7175F"/>
    <w:rsid w:val="00D717C6"/>
    <w:rsid w:val="00D71909"/>
    <w:rsid w:val="00D7197E"/>
    <w:rsid w:val="00D71AB9"/>
    <w:rsid w:val="00D71C2A"/>
    <w:rsid w:val="00D71C5A"/>
    <w:rsid w:val="00D71CCD"/>
    <w:rsid w:val="00D71CCE"/>
    <w:rsid w:val="00D71DCF"/>
    <w:rsid w:val="00D71E0B"/>
    <w:rsid w:val="00D71E84"/>
    <w:rsid w:val="00D71FB6"/>
    <w:rsid w:val="00D72039"/>
    <w:rsid w:val="00D72172"/>
    <w:rsid w:val="00D721EB"/>
    <w:rsid w:val="00D7228B"/>
    <w:rsid w:val="00D72312"/>
    <w:rsid w:val="00D72349"/>
    <w:rsid w:val="00D72426"/>
    <w:rsid w:val="00D72472"/>
    <w:rsid w:val="00D724CC"/>
    <w:rsid w:val="00D7255A"/>
    <w:rsid w:val="00D72654"/>
    <w:rsid w:val="00D72703"/>
    <w:rsid w:val="00D72726"/>
    <w:rsid w:val="00D72775"/>
    <w:rsid w:val="00D72825"/>
    <w:rsid w:val="00D72864"/>
    <w:rsid w:val="00D72911"/>
    <w:rsid w:val="00D7295F"/>
    <w:rsid w:val="00D72994"/>
    <w:rsid w:val="00D72A49"/>
    <w:rsid w:val="00D72B01"/>
    <w:rsid w:val="00D72C0F"/>
    <w:rsid w:val="00D72C66"/>
    <w:rsid w:val="00D72CB1"/>
    <w:rsid w:val="00D72D4E"/>
    <w:rsid w:val="00D72DC0"/>
    <w:rsid w:val="00D72DF6"/>
    <w:rsid w:val="00D72E0D"/>
    <w:rsid w:val="00D72E1D"/>
    <w:rsid w:val="00D72E49"/>
    <w:rsid w:val="00D72E78"/>
    <w:rsid w:val="00D72EAC"/>
    <w:rsid w:val="00D72F42"/>
    <w:rsid w:val="00D73035"/>
    <w:rsid w:val="00D730D4"/>
    <w:rsid w:val="00D73264"/>
    <w:rsid w:val="00D73295"/>
    <w:rsid w:val="00D73343"/>
    <w:rsid w:val="00D73349"/>
    <w:rsid w:val="00D733DC"/>
    <w:rsid w:val="00D7341E"/>
    <w:rsid w:val="00D7356C"/>
    <w:rsid w:val="00D735AC"/>
    <w:rsid w:val="00D735AD"/>
    <w:rsid w:val="00D735F0"/>
    <w:rsid w:val="00D7366F"/>
    <w:rsid w:val="00D736CA"/>
    <w:rsid w:val="00D73717"/>
    <w:rsid w:val="00D73814"/>
    <w:rsid w:val="00D73856"/>
    <w:rsid w:val="00D7396C"/>
    <w:rsid w:val="00D739C8"/>
    <w:rsid w:val="00D73A09"/>
    <w:rsid w:val="00D73A14"/>
    <w:rsid w:val="00D73A1F"/>
    <w:rsid w:val="00D73B78"/>
    <w:rsid w:val="00D73B79"/>
    <w:rsid w:val="00D73C13"/>
    <w:rsid w:val="00D73CD8"/>
    <w:rsid w:val="00D73E6C"/>
    <w:rsid w:val="00D73EA0"/>
    <w:rsid w:val="00D74079"/>
    <w:rsid w:val="00D7407C"/>
    <w:rsid w:val="00D74083"/>
    <w:rsid w:val="00D740C2"/>
    <w:rsid w:val="00D740F3"/>
    <w:rsid w:val="00D7418A"/>
    <w:rsid w:val="00D741C6"/>
    <w:rsid w:val="00D74238"/>
    <w:rsid w:val="00D74334"/>
    <w:rsid w:val="00D743E5"/>
    <w:rsid w:val="00D74423"/>
    <w:rsid w:val="00D7448A"/>
    <w:rsid w:val="00D7452B"/>
    <w:rsid w:val="00D74550"/>
    <w:rsid w:val="00D74569"/>
    <w:rsid w:val="00D7457E"/>
    <w:rsid w:val="00D745FF"/>
    <w:rsid w:val="00D74631"/>
    <w:rsid w:val="00D74637"/>
    <w:rsid w:val="00D746F4"/>
    <w:rsid w:val="00D746FE"/>
    <w:rsid w:val="00D7475B"/>
    <w:rsid w:val="00D747A6"/>
    <w:rsid w:val="00D7483F"/>
    <w:rsid w:val="00D748D6"/>
    <w:rsid w:val="00D74932"/>
    <w:rsid w:val="00D74AEF"/>
    <w:rsid w:val="00D74B1A"/>
    <w:rsid w:val="00D74B39"/>
    <w:rsid w:val="00D74BDE"/>
    <w:rsid w:val="00D74C20"/>
    <w:rsid w:val="00D74CFD"/>
    <w:rsid w:val="00D74D62"/>
    <w:rsid w:val="00D74D85"/>
    <w:rsid w:val="00D74D88"/>
    <w:rsid w:val="00D74DA8"/>
    <w:rsid w:val="00D74DE8"/>
    <w:rsid w:val="00D74F20"/>
    <w:rsid w:val="00D74F4E"/>
    <w:rsid w:val="00D74F53"/>
    <w:rsid w:val="00D74F97"/>
    <w:rsid w:val="00D7505F"/>
    <w:rsid w:val="00D750DB"/>
    <w:rsid w:val="00D7514E"/>
    <w:rsid w:val="00D7537A"/>
    <w:rsid w:val="00D75382"/>
    <w:rsid w:val="00D753C9"/>
    <w:rsid w:val="00D753D0"/>
    <w:rsid w:val="00D7541B"/>
    <w:rsid w:val="00D7547D"/>
    <w:rsid w:val="00D75531"/>
    <w:rsid w:val="00D7554A"/>
    <w:rsid w:val="00D755CD"/>
    <w:rsid w:val="00D75623"/>
    <w:rsid w:val="00D7576B"/>
    <w:rsid w:val="00D7576F"/>
    <w:rsid w:val="00D758CE"/>
    <w:rsid w:val="00D7591B"/>
    <w:rsid w:val="00D7597C"/>
    <w:rsid w:val="00D75A8F"/>
    <w:rsid w:val="00D75C4E"/>
    <w:rsid w:val="00D75C70"/>
    <w:rsid w:val="00D75CA8"/>
    <w:rsid w:val="00D75CE3"/>
    <w:rsid w:val="00D75CFA"/>
    <w:rsid w:val="00D75D0F"/>
    <w:rsid w:val="00D75E79"/>
    <w:rsid w:val="00D75EB2"/>
    <w:rsid w:val="00D75EF0"/>
    <w:rsid w:val="00D75FF4"/>
    <w:rsid w:val="00D7600C"/>
    <w:rsid w:val="00D76051"/>
    <w:rsid w:val="00D7611C"/>
    <w:rsid w:val="00D76123"/>
    <w:rsid w:val="00D76141"/>
    <w:rsid w:val="00D76200"/>
    <w:rsid w:val="00D762B2"/>
    <w:rsid w:val="00D762CA"/>
    <w:rsid w:val="00D76309"/>
    <w:rsid w:val="00D7632C"/>
    <w:rsid w:val="00D7635C"/>
    <w:rsid w:val="00D76361"/>
    <w:rsid w:val="00D7638B"/>
    <w:rsid w:val="00D763E1"/>
    <w:rsid w:val="00D7659B"/>
    <w:rsid w:val="00D765C1"/>
    <w:rsid w:val="00D766C4"/>
    <w:rsid w:val="00D7684F"/>
    <w:rsid w:val="00D76910"/>
    <w:rsid w:val="00D76975"/>
    <w:rsid w:val="00D76ABA"/>
    <w:rsid w:val="00D76AE1"/>
    <w:rsid w:val="00D76B14"/>
    <w:rsid w:val="00D76C94"/>
    <w:rsid w:val="00D76CA0"/>
    <w:rsid w:val="00D76CD1"/>
    <w:rsid w:val="00D76D72"/>
    <w:rsid w:val="00D76D8A"/>
    <w:rsid w:val="00D76DFC"/>
    <w:rsid w:val="00D76DFD"/>
    <w:rsid w:val="00D76EAE"/>
    <w:rsid w:val="00D76EB2"/>
    <w:rsid w:val="00D77044"/>
    <w:rsid w:val="00D77399"/>
    <w:rsid w:val="00D77462"/>
    <w:rsid w:val="00D77474"/>
    <w:rsid w:val="00D77580"/>
    <w:rsid w:val="00D776A1"/>
    <w:rsid w:val="00D77742"/>
    <w:rsid w:val="00D777FF"/>
    <w:rsid w:val="00D77844"/>
    <w:rsid w:val="00D7784A"/>
    <w:rsid w:val="00D7785E"/>
    <w:rsid w:val="00D77A40"/>
    <w:rsid w:val="00D77A69"/>
    <w:rsid w:val="00D77B59"/>
    <w:rsid w:val="00D77B72"/>
    <w:rsid w:val="00D77C39"/>
    <w:rsid w:val="00D77CC7"/>
    <w:rsid w:val="00D77D94"/>
    <w:rsid w:val="00D77D9F"/>
    <w:rsid w:val="00D77DB7"/>
    <w:rsid w:val="00D77DCC"/>
    <w:rsid w:val="00D77E45"/>
    <w:rsid w:val="00D77E4C"/>
    <w:rsid w:val="00D77E88"/>
    <w:rsid w:val="00D77ED2"/>
    <w:rsid w:val="00D77F13"/>
    <w:rsid w:val="00D77FB6"/>
    <w:rsid w:val="00D80044"/>
    <w:rsid w:val="00D8014A"/>
    <w:rsid w:val="00D80222"/>
    <w:rsid w:val="00D80236"/>
    <w:rsid w:val="00D80266"/>
    <w:rsid w:val="00D804A1"/>
    <w:rsid w:val="00D804B3"/>
    <w:rsid w:val="00D8058F"/>
    <w:rsid w:val="00D805E0"/>
    <w:rsid w:val="00D8067A"/>
    <w:rsid w:val="00D806A3"/>
    <w:rsid w:val="00D806B8"/>
    <w:rsid w:val="00D80825"/>
    <w:rsid w:val="00D808AA"/>
    <w:rsid w:val="00D809C0"/>
    <w:rsid w:val="00D80A57"/>
    <w:rsid w:val="00D80AB2"/>
    <w:rsid w:val="00D80B0C"/>
    <w:rsid w:val="00D80B69"/>
    <w:rsid w:val="00D80EA4"/>
    <w:rsid w:val="00D80F27"/>
    <w:rsid w:val="00D80F75"/>
    <w:rsid w:val="00D81017"/>
    <w:rsid w:val="00D810E3"/>
    <w:rsid w:val="00D810F2"/>
    <w:rsid w:val="00D8115B"/>
    <w:rsid w:val="00D811AF"/>
    <w:rsid w:val="00D8127B"/>
    <w:rsid w:val="00D8128D"/>
    <w:rsid w:val="00D81292"/>
    <w:rsid w:val="00D813D3"/>
    <w:rsid w:val="00D8155D"/>
    <w:rsid w:val="00D815B2"/>
    <w:rsid w:val="00D8161B"/>
    <w:rsid w:val="00D816F0"/>
    <w:rsid w:val="00D816FC"/>
    <w:rsid w:val="00D817FA"/>
    <w:rsid w:val="00D81838"/>
    <w:rsid w:val="00D8186E"/>
    <w:rsid w:val="00D818FF"/>
    <w:rsid w:val="00D81905"/>
    <w:rsid w:val="00D81920"/>
    <w:rsid w:val="00D81A25"/>
    <w:rsid w:val="00D81AE5"/>
    <w:rsid w:val="00D81BBC"/>
    <w:rsid w:val="00D81BE2"/>
    <w:rsid w:val="00D81C57"/>
    <w:rsid w:val="00D81C88"/>
    <w:rsid w:val="00D81DEA"/>
    <w:rsid w:val="00D81E63"/>
    <w:rsid w:val="00D81EC5"/>
    <w:rsid w:val="00D8205B"/>
    <w:rsid w:val="00D82080"/>
    <w:rsid w:val="00D820C3"/>
    <w:rsid w:val="00D820D5"/>
    <w:rsid w:val="00D82185"/>
    <w:rsid w:val="00D821B6"/>
    <w:rsid w:val="00D821F8"/>
    <w:rsid w:val="00D82227"/>
    <w:rsid w:val="00D82248"/>
    <w:rsid w:val="00D822C2"/>
    <w:rsid w:val="00D82327"/>
    <w:rsid w:val="00D82388"/>
    <w:rsid w:val="00D8242A"/>
    <w:rsid w:val="00D8247D"/>
    <w:rsid w:val="00D82529"/>
    <w:rsid w:val="00D82576"/>
    <w:rsid w:val="00D825F0"/>
    <w:rsid w:val="00D82753"/>
    <w:rsid w:val="00D828E5"/>
    <w:rsid w:val="00D82B4E"/>
    <w:rsid w:val="00D82BBB"/>
    <w:rsid w:val="00D82BCA"/>
    <w:rsid w:val="00D82C65"/>
    <w:rsid w:val="00D82CFD"/>
    <w:rsid w:val="00D82D5A"/>
    <w:rsid w:val="00D82DC5"/>
    <w:rsid w:val="00D82DF8"/>
    <w:rsid w:val="00D82E1A"/>
    <w:rsid w:val="00D82E9E"/>
    <w:rsid w:val="00D82EE9"/>
    <w:rsid w:val="00D82FEC"/>
    <w:rsid w:val="00D830DE"/>
    <w:rsid w:val="00D83156"/>
    <w:rsid w:val="00D83196"/>
    <w:rsid w:val="00D832B8"/>
    <w:rsid w:val="00D833E9"/>
    <w:rsid w:val="00D8342A"/>
    <w:rsid w:val="00D834F6"/>
    <w:rsid w:val="00D836F4"/>
    <w:rsid w:val="00D8370A"/>
    <w:rsid w:val="00D83726"/>
    <w:rsid w:val="00D83975"/>
    <w:rsid w:val="00D839E4"/>
    <w:rsid w:val="00D83B27"/>
    <w:rsid w:val="00D83B8A"/>
    <w:rsid w:val="00D83BAD"/>
    <w:rsid w:val="00D83C78"/>
    <w:rsid w:val="00D83D7B"/>
    <w:rsid w:val="00D83DF6"/>
    <w:rsid w:val="00D83E47"/>
    <w:rsid w:val="00D83EE5"/>
    <w:rsid w:val="00D8412A"/>
    <w:rsid w:val="00D84184"/>
    <w:rsid w:val="00D84187"/>
    <w:rsid w:val="00D8434F"/>
    <w:rsid w:val="00D8437D"/>
    <w:rsid w:val="00D84386"/>
    <w:rsid w:val="00D845B3"/>
    <w:rsid w:val="00D845EB"/>
    <w:rsid w:val="00D8462B"/>
    <w:rsid w:val="00D846AB"/>
    <w:rsid w:val="00D846D9"/>
    <w:rsid w:val="00D84700"/>
    <w:rsid w:val="00D84703"/>
    <w:rsid w:val="00D8478C"/>
    <w:rsid w:val="00D847B0"/>
    <w:rsid w:val="00D847B3"/>
    <w:rsid w:val="00D84834"/>
    <w:rsid w:val="00D8498C"/>
    <w:rsid w:val="00D84AAD"/>
    <w:rsid w:val="00D84CD3"/>
    <w:rsid w:val="00D84CFB"/>
    <w:rsid w:val="00D84D23"/>
    <w:rsid w:val="00D84D92"/>
    <w:rsid w:val="00D84E22"/>
    <w:rsid w:val="00D84E6A"/>
    <w:rsid w:val="00D84F86"/>
    <w:rsid w:val="00D84FCC"/>
    <w:rsid w:val="00D8503F"/>
    <w:rsid w:val="00D85053"/>
    <w:rsid w:val="00D850DD"/>
    <w:rsid w:val="00D851A7"/>
    <w:rsid w:val="00D853CD"/>
    <w:rsid w:val="00D85452"/>
    <w:rsid w:val="00D854C0"/>
    <w:rsid w:val="00D85544"/>
    <w:rsid w:val="00D8568C"/>
    <w:rsid w:val="00D856DF"/>
    <w:rsid w:val="00D85830"/>
    <w:rsid w:val="00D85860"/>
    <w:rsid w:val="00D858EA"/>
    <w:rsid w:val="00D859BA"/>
    <w:rsid w:val="00D85B6A"/>
    <w:rsid w:val="00D85B79"/>
    <w:rsid w:val="00D85D77"/>
    <w:rsid w:val="00D85E93"/>
    <w:rsid w:val="00D86069"/>
    <w:rsid w:val="00D860AB"/>
    <w:rsid w:val="00D860C9"/>
    <w:rsid w:val="00D860EC"/>
    <w:rsid w:val="00D86165"/>
    <w:rsid w:val="00D861FB"/>
    <w:rsid w:val="00D86238"/>
    <w:rsid w:val="00D8625D"/>
    <w:rsid w:val="00D86291"/>
    <w:rsid w:val="00D863E6"/>
    <w:rsid w:val="00D863FA"/>
    <w:rsid w:val="00D8642A"/>
    <w:rsid w:val="00D8643B"/>
    <w:rsid w:val="00D86446"/>
    <w:rsid w:val="00D8667D"/>
    <w:rsid w:val="00D86683"/>
    <w:rsid w:val="00D86686"/>
    <w:rsid w:val="00D866BB"/>
    <w:rsid w:val="00D86700"/>
    <w:rsid w:val="00D86793"/>
    <w:rsid w:val="00D8679F"/>
    <w:rsid w:val="00D86B8C"/>
    <w:rsid w:val="00D86BCD"/>
    <w:rsid w:val="00D86C88"/>
    <w:rsid w:val="00D86D15"/>
    <w:rsid w:val="00D86D40"/>
    <w:rsid w:val="00D86D97"/>
    <w:rsid w:val="00D86DF1"/>
    <w:rsid w:val="00D86E0C"/>
    <w:rsid w:val="00D86FAA"/>
    <w:rsid w:val="00D870BD"/>
    <w:rsid w:val="00D8715D"/>
    <w:rsid w:val="00D871E1"/>
    <w:rsid w:val="00D8723D"/>
    <w:rsid w:val="00D87242"/>
    <w:rsid w:val="00D87272"/>
    <w:rsid w:val="00D8749F"/>
    <w:rsid w:val="00D874FD"/>
    <w:rsid w:val="00D87500"/>
    <w:rsid w:val="00D87520"/>
    <w:rsid w:val="00D87731"/>
    <w:rsid w:val="00D877D0"/>
    <w:rsid w:val="00D878B2"/>
    <w:rsid w:val="00D878BF"/>
    <w:rsid w:val="00D878C7"/>
    <w:rsid w:val="00D87929"/>
    <w:rsid w:val="00D87A45"/>
    <w:rsid w:val="00D87A97"/>
    <w:rsid w:val="00D87ADA"/>
    <w:rsid w:val="00D87AFE"/>
    <w:rsid w:val="00D87B28"/>
    <w:rsid w:val="00D87C4F"/>
    <w:rsid w:val="00D87C78"/>
    <w:rsid w:val="00D87DD2"/>
    <w:rsid w:val="00D87E4C"/>
    <w:rsid w:val="00D87F01"/>
    <w:rsid w:val="00D87F84"/>
    <w:rsid w:val="00D87FCD"/>
    <w:rsid w:val="00D900FD"/>
    <w:rsid w:val="00D90214"/>
    <w:rsid w:val="00D90280"/>
    <w:rsid w:val="00D90376"/>
    <w:rsid w:val="00D904B1"/>
    <w:rsid w:val="00D90616"/>
    <w:rsid w:val="00D906FD"/>
    <w:rsid w:val="00D9088E"/>
    <w:rsid w:val="00D9089F"/>
    <w:rsid w:val="00D90935"/>
    <w:rsid w:val="00D90A6B"/>
    <w:rsid w:val="00D90ACF"/>
    <w:rsid w:val="00D90AD1"/>
    <w:rsid w:val="00D90C97"/>
    <w:rsid w:val="00D90D27"/>
    <w:rsid w:val="00D90DB2"/>
    <w:rsid w:val="00D90DCE"/>
    <w:rsid w:val="00D90F6A"/>
    <w:rsid w:val="00D90F72"/>
    <w:rsid w:val="00D90FFD"/>
    <w:rsid w:val="00D910ED"/>
    <w:rsid w:val="00D91150"/>
    <w:rsid w:val="00D911E5"/>
    <w:rsid w:val="00D91297"/>
    <w:rsid w:val="00D91435"/>
    <w:rsid w:val="00D91461"/>
    <w:rsid w:val="00D9147F"/>
    <w:rsid w:val="00D91512"/>
    <w:rsid w:val="00D91537"/>
    <w:rsid w:val="00D915B0"/>
    <w:rsid w:val="00D91668"/>
    <w:rsid w:val="00D917B9"/>
    <w:rsid w:val="00D91827"/>
    <w:rsid w:val="00D91854"/>
    <w:rsid w:val="00D918B4"/>
    <w:rsid w:val="00D918DC"/>
    <w:rsid w:val="00D9197C"/>
    <w:rsid w:val="00D919F7"/>
    <w:rsid w:val="00D91A16"/>
    <w:rsid w:val="00D91A7A"/>
    <w:rsid w:val="00D91B01"/>
    <w:rsid w:val="00D91B16"/>
    <w:rsid w:val="00D91B2C"/>
    <w:rsid w:val="00D91B67"/>
    <w:rsid w:val="00D91BD1"/>
    <w:rsid w:val="00D91C92"/>
    <w:rsid w:val="00D91CC5"/>
    <w:rsid w:val="00D91DAB"/>
    <w:rsid w:val="00D91DFA"/>
    <w:rsid w:val="00D91EAB"/>
    <w:rsid w:val="00D91F2D"/>
    <w:rsid w:val="00D91F98"/>
    <w:rsid w:val="00D921A0"/>
    <w:rsid w:val="00D9223D"/>
    <w:rsid w:val="00D92287"/>
    <w:rsid w:val="00D9240F"/>
    <w:rsid w:val="00D924DD"/>
    <w:rsid w:val="00D924F4"/>
    <w:rsid w:val="00D9250B"/>
    <w:rsid w:val="00D92538"/>
    <w:rsid w:val="00D92584"/>
    <w:rsid w:val="00D925A2"/>
    <w:rsid w:val="00D925B7"/>
    <w:rsid w:val="00D925F4"/>
    <w:rsid w:val="00D9274D"/>
    <w:rsid w:val="00D9289D"/>
    <w:rsid w:val="00D92B26"/>
    <w:rsid w:val="00D92D39"/>
    <w:rsid w:val="00D92D76"/>
    <w:rsid w:val="00D92F0A"/>
    <w:rsid w:val="00D92F92"/>
    <w:rsid w:val="00D92FAE"/>
    <w:rsid w:val="00D92FE6"/>
    <w:rsid w:val="00D92FFC"/>
    <w:rsid w:val="00D9303C"/>
    <w:rsid w:val="00D93070"/>
    <w:rsid w:val="00D930BA"/>
    <w:rsid w:val="00D93124"/>
    <w:rsid w:val="00D93343"/>
    <w:rsid w:val="00D934E6"/>
    <w:rsid w:val="00D934E8"/>
    <w:rsid w:val="00D934E9"/>
    <w:rsid w:val="00D93555"/>
    <w:rsid w:val="00D935E2"/>
    <w:rsid w:val="00D935F6"/>
    <w:rsid w:val="00D936A6"/>
    <w:rsid w:val="00D93770"/>
    <w:rsid w:val="00D9379A"/>
    <w:rsid w:val="00D937F6"/>
    <w:rsid w:val="00D93AC7"/>
    <w:rsid w:val="00D93ACE"/>
    <w:rsid w:val="00D93B9C"/>
    <w:rsid w:val="00D93BBC"/>
    <w:rsid w:val="00D93BC7"/>
    <w:rsid w:val="00D93C31"/>
    <w:rsid w:val="00D93D91"/>
    <w:rsid w:val="00D93DC0"/>
    <w:rsid w:val="00D93DCB"/>
    <w:rsid w:val="00D93E58"/>
    <w:rsid w:val="00D93E64"/>
    <w:rsid w:val="00D9404C"/>
    <w:rsid w:val="00D942E5"/>
    <w:rsid w:val="00D943BF"/>
    <w:rsid w:val="00D94453"/>
    <w:rsid w:val="00D944A9"/>
    <w:rsid w:val="00D944C5"/>
    <w:rsid w:val="00D9450D"/>
    <w:rsid w:val="00D94675"/>
    <w:rsid w:val="00D9474A"/>
    <w:rsid w:val="00D94843"/>
    <w:rsid w:val="00D9485E"/>
    <w:rsid w:val="00D9485F"/>
    <w:rsid w:val="00D94867"/>
    <w:rsid w:val="00D9496C"/>
    <w:rsid w:val="00D949A0"/>
    <w:rsid w:val="00D949A2"/>
    <w:rsid w:val="00D94A37"/>
    <w:rsid w:val="00D94AD1"/>
    <w:rsid w:val="00D94CAF"/>
    <w:rsid w:val="00D94CBF"/>
    <w:rsid w:val="00D94E2D"/>
    <w:rsid w:val="00D94EB4"/>
    <w:rsid w:val="00D94F09"/>
    <w:rsid w:val="00D94F77"/>
    <w:rsid w:val="00D9515C"/>
    <w:rsid w:val="00D9517A"/>
    <w:rsid w:val="00D951D1"/>
    <w:rsid w:val="00D95214"/>
    <w:rsid w:val="00D9525D"/>
    <w:rsid w:val="00D95274"/>
    <w:rsid w:val="00D95316"/>
    <w:rsid w:val="00D95329"/>
    <w:rsid w:val="00D9538D"/>
    <w:rsid w:val="00D953B3"/>
    <w:rsid w:val="00D953D3"/>
    <w:rsid w:val="00D9540D"/>
    <w:rsid w:val="00D95435"/>
    <w:rsid w:val="00D9544C"/>
    <w:rsid w:val="00D95468"/>
    <w:rsid w:val="00D954EA"/>
    <w:rsid w:val="00D95516"/>
    <w:rsid w:val="00D95563"/>
    <w:rsid w:val="00D955C9"/>
    <w:rsid w:val="00D956F4"/>
    <w:rsid w:val="00D959A9"/>
    <w:rsid w:val="00D95A74"/>
    <w:rsid w:val="00D95D12"/>
    <w:rsid w:val="00D95D49"/>
    <w:rsid w:val="00D95DEC"/>
    <w:rsid w:val="00D95EAC"/>
    <w:rsid w:val="00D95F70"/>
    <w:rsid w:val="00D96010"/>
    <w:rsid w:val="00D9605B"/>
    <w:rsid w:val="00D96069"/>
    <w:rsid w:val="00D960A0"/>
    <w:rsid w:val="00D96189"/>
    <w:rsid w:val="00D962B1"/>
    <w:rsid w:val="00D9644C"/>
    <w:rsid w:val="00D96456"/>
    <w:rsid w:val="00D964B4"/>
    <w:rsid w:val="00D9656B"/>
    <w:rsid w:val="00D9657F"/>
    <w:rsid w:val="00D96637"/>
    <w:rsid w:val="00D96675"/>
    <w:rsid w:val="00D9673A"/>
    <w:rsid w:val="00D96875"/>
    <w:rsid w:val="00D968A3"/>
    <w:rsid w:val="00D968FF"/>
    <w:rsid w:val="00D969E2"/>
    <w:rsid w:val="00D96A8D"/>
    <w:rsid w:val="00D96A8E"/>
    <w:rsid w:val="00D96B36"/>
    <w:rsid w:val="00D96BAF"/>
    <w:rsid w:val="00D96D4C"/>
    <w:rsid w:val="00D96D66"/>
    <w:rsid w:val="00D96DA7"/>
    <w:rsid w:val="00D96DF1"/>
    <w:rsid w:val="00D96E84"/>
    <w:rsid w:val="00D970B8"/>
    <w:rsid w:val="00D970E3"/>
    <w:rsid w:val="00D97188"/>
    <w:rsid w:val="00D97230"/>
    <w:rsid w:val="00D9724A"/>
    <w:rsid w:val="00D97317"/>
    <w:rsid w:val="00D97353"/>
    <w:rsid w:val="00D973FE"/>
    <w:rsid w:val="00D97455"/>
    <w:rsid w:val="00D974A8"/>
    <w:rsid w:val="00D97520"/>
    <w:rsid w:val="00D9752A"/>
    <w:rsid w:val="00D97588"/>
    <w:rsid w:val="00D975A0"/>
    <w:rsid w:val="00D975B7"/>
    <w:rsid w:val="00D975B8"/>
    <w:rsid w:val="00D975C7"/>
    <w:rsid w:val="00D975D1"/>
    <w:rsid w:val="00D97689"/>
    <w:rsid w:val="00D978D3"/>
    <w:rsid w:val="00D978F6"/>
    <w:rsid w:val="00D9791B"/>
    <w:rsid w:val="00D97991"/>
    <w:rsid w:val="00D979E3"/>
    <w:rsid w:val="00D97A7E"/>
    <w:rsid w:val="00D97A90"/>
    <w:rsid w:val="00D97B3F"/>
    <w:rsid w:val="00D97C11"/>
    <w:rsid w:val="00D97C1A"/>
    <w:rsid w:val="00D97DCD"/>
    <w:rsid w:val="00D97E6F"/>
    <w:rsid w:val="00D97EFB"/>
    <w:rsid w:val="00D97FE4"/>
    <w:rsid w:val="00DA00A9"/>
    <w:rsid w:val="00DA0113"/>
    <w:rsid w:val="00DA01EE"/>
    <w:rsid w:val="00DA01F8"/>
    <w:rsid w:val="00DA02F3"/>
    <w:rsid w:val="00DA0358"/>
    <w:rsid w:val="00DA0446"/>
    <w:rsid w:val="00DA0487"/>
    <w:rsid w:val="00DA06B7"/>
    <w:rsid w:val="00DA0740"/>
    <w:rsid w:val="00DA081F"/>
    <w:rsid w:val="00DA08F8"/>
    <w:rsid w:val="00DA094A"/>
    <w:rsid w:val="00DA0B23"/>
    <w:rsid w:val="00DA0B40"/>
    <w:rsid w:val="00DA0CAF"/>
    <w:rsid w:val="00DA0D46"/>
    <w:rsid w:val="00DA0EB5"/>
    <w:rsid w:val="00DA0EE2"/>
    <w:rsid w:val="00DA0FF6"/>
    <w:rsid w:val="00DA10AB"/>
    <w:rsid w:val="00DA10F1"/>
    <w:rsid w:val="00DA1122"/>
    <w:rsid w:val="00DA11D0"/>
    <w:rsid w:val="00DA14D3"/>
    <w:rsid w:val="00DA1619"/>
    <w:rsid w:val="00DA16A5"/>
    <w:rsid w:val="00DA1775"/>
    <w:rsid w:val="00DA1836"/>
    <w:rsid w:val="00DA1837"/>
    <w:rsid w:val="00DA196C"/>
    <w:rsid w:val="00DA1A07"/>
    <w:rsid w:val="00DA1A3B"/>
    <w:rsid w:val="00DA1A78"/>
    <w:rsid w:val="00DA1B35"/>
    <w:rsid w:val="00DA1BD3"/>
    <w:rsid w:val="00DA1BF1"/>
    <w:rsid w:val="00DA1CA5"/>
    <w:rsid w:val="00DA1CC4"/>
    <w:rsid w:val="00DA1CDB"/>
    <w:rsid w:val="00DA1E22"/>
    <w:rsid w:val="00DA1EC0"/>
    <w:rsid w:val="00DA1FA4"/>
    <w:rsid w:val="00DA2030"/>
    <w:rsid w:val="00DA20FF"/>
    <w:rsid w:val="00DA249D"/>
    <w:rsid w:val="00DA249E"/>
    <w:rsid w:val="00DA24E4"/>
    <w:rsid w:val="00DA24FF"/>
    <w:rsid w:val="00DA2580"/>
    <w:rsid w:val="00DA2727"/>
    <w:rsid w:val="00DA2840"/>
    <w:rsid w:val="00DA286A"/>
    <w:rsid w:val="00DA29AA"/>
    <w:rsid w:val="00DA2B3E"/>
    <w:rsid w:val="00DA2B91"/>
    <w:rsid w:val="00DA2C56"/>
    <w:rsid w:val="00DA2CFA"/>
    <w:rsid w:val="00DA2D82"/>
    <w:rsid w:val="00DA2E23"/>
    <w:rsid w:val="00DA2F3C"/>
    <w:rsid w:val="00DA2FE8"/>
    <w:rsid w:val="00DA30B7"/>
    <w:rsid w:val="00DA3210"/>
    <w:rsid w:val="00DA3213"/>
    <w:rsid w:val="00DA3236"/>
    <w:rsid w:val="00DA3323"/>
    <w:rsid w:val="00DA337E"/>
    <w:rsid w:val="00DA33AA"/>
    <w:rsid w:val="00DA33AC"/>
    <w:rsid w:val="00DA3400"/>
    <w:rsid w:val="00DA3632"/>
    <w:rsid w:val="00DA3681"/>
    <w:rsid w:val="00DA374E"/>
    <w:rsid w:val="00DA37BB"/>
    <w:rsid w:val="00DA38EF"/>
    <w:rsid w:val="00DA3971"/>
    <w:rsid w:val="00DA39D5"/>
    <w:rsid w:val="00DA3A3B"/>
    <w:rsid w:val="00DA3A7B"/>
    <w:rsid w:val="00DA3AA5"/>
    <w:rsid w:val="00DA3B66"/>
    <w:rsid w:val="00DA3C53"/>
    <w:rsid w:val="00DA3D27"/>
    <w:rsid w:val="00DA3D3F"/>
    <w:rsid w:val="00DA3E24"/>
    <w:rsid w:val="00DA3E58"/>
    <w:rsid w:val="00DA3E6B"/>
    <w:rsid w:val="00DA3EF0"/>
    <w:rsid w:val="00DA3EFA"/>
    <w:rsid w:val="00DA4006"/>
    <w:rsid w:val="00DA4043"/>
    <w:rsid w:val="00DA4075"/>
    <w:rsid w:val="00DA4109"/>
    <w:rsid w:val="00DA415B"/>
    <w:rsid w:val="00DA4188"/>
    <w:rsid w:val="00DA41ED"/>
    <w:rsid w:val="00DA421E"/>
    <w:rsid w:val="00DA426D"/>
    <w:rsid w:val="00DA4299"/>
    <w:rsid w:val="00DA42C3"/>
    <w:rsid w:val="00DA4319"/>
    <w:rsid w:val="00DA4438"/>
    <w:rsid w:val="00DA4559"/>
    <w:rsid w:val="00DA4606"/>
    <w:rsid w:val="00DA462A"/>
    <w:rsid w:val="00DA473B"/>
    <w:rsid w:val="00DA47FA"/>
    <w:rsid w:val="00DA482A"/>
    <w:rsid w:val="00DA49F7"/>
    <w:rsid w:val="00DA49FA"/>
    <w:rsid w:val="00DA4BA6"/>
    <w:rsid w:val="00DA4BDA"/>
    <w:rsid w:val="00DA4C10"/>
    <w:rsid w:val="00DA4C7F"/>
    <w:rsid w:val="00DA4CC1"/>
    <w:rsid w:val="00DA4CD5"/>
    <w:rsid w:val="00DA4D0A"/>
    <w:rsid w:val="00DA4D41"/>
    <w:rsid w:val="00DA4D54"/>
    <w:rsid w:val="00DA4DC0"/>
    <w:rsid w:val="00DA4EEE"/>
    <w:rsid w:val="00DA4F79"/>
    <w:rsid w:val="00DA5071"/>
    <w:rsid w:val="00DA5124"/>
    <w:rsid w:val="00DA5172"/>
    <w:rsid w:val="00DA51D0"/>
    <w:rsid w:val="00DA5201"/>
    <w:rsid w:val="00DA524E"/>
    <w:rsid w:val="00DA525A"/>
    <w:rsid w:val="00DA528B"/>
    <w:rsid w:val="00DA5321"/>
    <w:rsid w:val="00DA5322"/>
    <w:rsid w:val="00DA533A"/>
    <w:rsid w:val="00DA53D0"/>
    <w:rsid w:val="00DA5456"/>
    <w:rsid w:val="00DA549B"/>
    <w:rsid w:val="00DA54CC"/>
    <w:rsid w:val="00DA555B"/>
    <w:rsid w:val="00DA55F4"/>
    <w:rsid w:val="00DA5726"/>
    <w:rsid w:val="00DA5755"/>
    <w:rsid w:val="00DA575B"/>
    <w:rsid w:val="00DA5816"/>
    <w:rsid w:val="00DA58A5"/>
    <w:rsid w:val="00DA58D0"/>
    <w:rsid w:val="00DA58F1"/>
    <w:rsid w:val="00DA5A87"/>
    <w:rsid w:val="00DA5AF1"/>
    <w:rsid w:val="00DA5B37"/>
    <w:rsid w:val="00DA5B73"/>
    <w:rsid w:val="00DA5C69"/>
    <w:rsid w:val="00DA5E75"/>
    <w:rsid w:val="00DA5E77"/>
    <w:rsid w:val="00DA5F42"/>
    <w:rsid w:val="00DA6018"/>
    <w:rsid w:val="00DA6085"/>
    <w:rsid w:val="00DA60EA"/>
    <w:rsid w:val="00DA64B4"/>
    <w:rsid w:val="00DA65ED"/>
    <w:rsid w:val="00DA6643"/>
    <w:rsid w:val="00DA6659"/>
    <w:rsid w:val="00DA6663"/>
    <w:rsid w:val="00DA66D9"/>
    <w:rsid w:val="00DA688C"/>
    <w:rsid w:val="00DA69C6"/>
    <w:rsid w:val="00DA69E3"/>
    <w:rsid w:val="00DA6ACD"/>
    <w:rsid w:val="00DA6B99"/>
    <w:rsid w:val="00DA6BB9"/>
    <w:rsid w:val="00DA6BD3"/>
    <w:rsid w:val="00DA6C04"/>
    <w:rsid w:val="00DA6C7D"/>
    <w:rsid w:val="00DA6C94"/>
    <w:rsid w:val="00DA6D5A"/>
    <w:rsid w:val="00DA6EA1"/>
    <w:rsid w:val="00DA6EBD"/>
    <w:rsid w:val="00DA6F15"/>
    <w:rsid w:val="00DA6FF0"/>
    <w:rsid w:val="00DA719C"/>
    <w:rsid w:val="00DA71AE"/>
    <w:rsid w:val="00DA71B4"/>
    <w:rsid w:val="00DA72B3"/>
    <w:rsid w:val="00DA72FC"/>
    <w:rsid w:val="00DA735E"/>
    <w:rsid w:val="00DA73A1"/>
    <w:rsid w:val="00DA73C4"/>
    <w:rsid w:val="00DA743D"/>
    <w:rsid w:val="00DA7484"/>
    <w:rsid w:val="00DA75E3"/>
    <w:rsid w:val="00DA75F8"/>
    <w:rsid w:val="00DA75FE"/>
    <w:rsid w:val="00DA7663"/>
    <w:rsid w:val="00DA779A"/>
    <w:rsid w:val="00DA77AE"/>
    <w:rsid w:val="00DA782E"/>
    <w:rsid w:val="00DA78E1"/>
    <w:rsid w:val="00DA7993"/>
    <w:rsid w:val="00DA7B04"/>
    <w:rsid w:val="00DA7B38"/>
    <w:rsid w:val="00DA7C54"/>
    <w:rsid w:val="00DA7C86"/>
    <w:rsid w:val="00DA7DD0"/>
    <w:rsid w:val="00DA7E00"/>
    <w:rsid w:val="00DA7F1D"/>
    <w:rsid w:val="00DA7FEA"/>
    <w:rsid w:val="00DA7FEB"/>
    <w:rsid w:val="00DB002D"/>
    <w:rsid w:val="00DB0087"/>
    <w:rsid w:val="00DB0099"/>
    <w:rsid w:val="00DB009E"/>
    <w:rsid w:val="00DB0129"/>
    <w:rsid w:val="00DB02F3"/>
    <w:rsid w:val="00DB0331"/>
    <w:rsid w:val="00DB0345"/>
    <w:rsid w:val="00DB03AF"/>
    <w:rsid w:val="00DB0496"/>
    <w:rsid w:val="00DB0497"/>
    <w:rsid w:val="00DB0565"/>
    <w:rsid w:val="00DB0733"/>
    <w:rsid w:val="00DB0768"/>
    <w:rsid w:val="00DB079E"/>
    <w:rsid w:val="00DB07C9"/>
    <w:rsid w:val="00DB0821"/>
    <w:rsid w:val="00DB0AC4"/>
    <w:rsid w:val="00DB0B08"/>
    <w:rsid w:val="00DB0CD9"/>
    <w:rsid w:val="00DB0E26"/>
    <w:rsid w:val="00DB0EAC"/>
    <w:rsid w:val="00DB0F10"/>
    <w:rsid w:val="00DB0F23"/>
    <w:rsid w:val="00DB0FC8"/>
    <w:rsid w:val="00DB0FE0"/>
    <w:rsid w:val="00DB101E"/>
    <w:rsid w:val="00DB1095"/>
    <w:rsid w:val="00DB10B0"/>
    <w:rsid w:val="00DB10B5"/>
    <w:rsid w:val="00DB10E4"/>
    <w:rsid w:val="00DB117A"/>
    <w:rsid w:val="00DB1288"/>
    <w:rsid w:val="00DB12B6"/>
    <w:rsid w:val="00DB133D"/>
    <w:rsid w:val="00DB1406"/>
    <w:rsid w:val="00DB1408"/>
    <w:rsid w:val="00DB1468"/>
    <w:rsid w:val="00DB14A3"/>
    <w:rsid w:val="00DB1522"/>
    <w:rsid w:val="00DB1540"/>
    <w:rsid w:val="00DB15D9"/>
    <w:rsid w:val="00DB161C"/>
    <w:rsid w:val="00DB1654"/>
    <w:rsid w:val="00DB1710"/>
    <w:rsid w:val="00DB18E9"/>
    <w:rsid w:val="00DB1956"/>
    <w:rsid w:val="00DB19FA"/>
    <w:rsid w:val="00DB1ABB"/>
    <w:rsid w:val="00DB1B6A"/>
    <w:rsid w:val="00DB1B6C"/>
    <w:rsid w:val="00DB1B6D"/>
    <w:rsid w:val="00DB1BDD"/>
    <w:rsid w:val="00DB1C48"/>
    <w:rsid w:val="00DB1C4C"/>
    <w:rsid w:val="00DB1C7F"/>
    <w:rsid w:val="00DB1D97"/>
    <w:rsid w:val="00DB1DF2"/>
    <w:rsid w:val="00DB1E7D"/>
    <w:rsid w:val="00DB1ED2"/>
    <w:rsid w:val="00DB1F2A"/>
    <w:rsid w:val="00DB1FBC"/>
    <w:rsid w:val="00DB211E"/>
    <w:rsid w:val="00DB2161"/>
    <w:rsid w:val="00DB2201"/>
    <w:rsid w:val="00DB224C"/>
    <w:rsid w:val="00DB22A9"/>
    <w:rsid w:val="00DB234B"/>
    <w:rsid w:val="00DB234F"/>
    <w:rsid w:val="00DB23EF"/>
    <w:rsid w:val="00DB243E"/>
    <w:rsid w:val="00DB2505"/>
    <w:rsid w:val="00DB250A"/>
    <w:rsid w:val="00DB261E"/>
    <w:rsid w:val="00DB2661"/>
    <w:rsid w:val="00DB26C9"/>
    <w:rsid w:val="00DB26EC"/>
    <w:rsid w:val="00DB2898"/>
    <w:rsid w:val="00DB289D"/>
    <w:rsid w:val="00DB28C5"/>
    <w:rsid w:val="00DB28F5"/>
    <w:rsid w:val="00DB2970"/>
    <w:rsid w:val="00DB29C4"/>
    <w:rsid w:val="00DB2A01"/>
    <w:rsid w:val="00DB2A21"/>
    <w:rsid w:val="00DB2B09"/>
    <w:rsid w:val="00DB2B0C"/>
    <w:rsid w:val="00DB2C61"/>
    <w:rsid w:val="00DB2CC9"/>
    <w:rsid w:val="00DB2DBF"/>
    <w:rsid w:val="00DB2F5C"/>
    <w:rsid w:val="00DB2FCA"/>
    <w:rsid w:val="00DB300B"/>
    <w:rsid w:val="00DB313E"/>
    <w:rsid w:val="00DB32C1"/>
    <w:rsid w:val="00DB3393"/>
    <w:rsid w:val="00DB33FB"/>
    <w:rsid w:val="00DB340A"/>
    <w:rsid w:val="00DB3442"/>
    <w:rsid w:val="00DB3480"/>
    <w:rsid w:val="00DB35C6"/>
    <w:rsid w:val="00DB35D0"/>
    <w:rsid w:val="00DB3667"/>
    <w:rsid w:val="00DB3714"/>
    <w:rsid w:val="00DB371B"/>
    <w:rsid w:val="00DB37BE"/>
    <w:rsid w:val="00DB392B"/>
    <w:rsid w:val="00DB3953"/>
    <w:rsid w:val="00DB3987"/>
    <w:rsid w:val="00DB3A06"/>
    <w:rsid w:val="00DB3C46"/>
    <w:rsid w:val="00DB3C4F"/>
    <w:rsid w:val="00DB3C8A"/>
    <w:rsid w:val="00DB3C9E"/>
    <w:rsid w:val="00DB3EA3"/>
    <w:rsid w:val="00DB3F5A"/>
    <w:rsid w:val="00DB3F9A"/>
    <w:rsid w:val="00DB4016"/>
    <w:rsid w:val="00DB40E6"/>
    <w:rsid w:val="00DB4169"/>
    <w:rsid w:val="00DB4205"/>
    <w:rsid w:val="00DB4228"/>
    <w:rsid w:val="00DB4249"/>
    <w:rsid w:val="00DB42A9"/>
    <w:rsid w:val="00DB42F6"/>
    <w:rsid w:val="00DB432C"/>
    <w:rsid w:val="00DB4350"/>
    <w:rsid w:val="00DB43DC"/>
    <w:rsid w:val="00DB4456"/>
    <w:rsid w:val="00DB44CD"/>
    <w:rsid w:val="00DB4565"/>
    <w:rsid w:val="00DB460B"/>
    <w:rsid w:val="00DB462B"/>
    <w:rsid w:val="00DB4688"/>
    <w:rsid w:val="00DB46E6"/>
    <w:rsid w:val="00DB4707"/>
    <w:rsid w:val="00DB472E"/>
    <w:rsid w:val="00DB47EC"/>
    <w:rsid w:val="00DB48F7"/>
    <w:rsid w:val="00DB4A01"/>
    <w:rsid w:val="00DB4C4D"/>
    <w:rsid w:val="00DB4C87"/>
    <w:rsid w:val="00DB4CE3"/>
    <w:rsid w:val="00DB4F22"/>
    <w:rsid w:val="00DB4F48"/>
    <w:rsid w:val="00DB4F96"/>
    <w:rsid w:val="00DB5038"/>
    <w:rsid w:val="00DB50AF"/>
    <w:rsid w:val="00DB517D"/>
    <w:rsid w:val="00DB518E"/>
    <w:rsid w:val="00DB51F3"/>
    <w:rsid w:val="00DB52A4"/>
    <w:rsid w:val="00DB5387"/>
    <w:rsid w:val="00DB53B4"/>
    <w:rsid w:val="00DB53ED"/>
    <w:rsid w:val="00DB5421"/>
    <w:rsid w:val="00DB5443"/>
    <w:rsid w:val="00DB5477"/>
    <w:rsid w:val="00DB54B6"/>
    <w:rsid w:val="00DB5565"/>
    <w:rsid w:val="00DB56A9"/>
    <w:rsid w:val="00DB56FA"/>
    <w:rsid w:val="00DB5710"/>
    <w:rsid w:val="00DB572F"/>
    <w:rsid w:val="00DB5852"/>
    <w:rsid w:val="00DB599F"/>
    <w:rsid w:val="00DB59E8"/>
    <w:rsid w:val="00DB5A78"/>
    <w:rsid w:val="00DB5AF9"/>
    <w:rsid w:val="00DB5B05"/>
    <w:rsid w:val="00DB5B2D"/>
    <w:rsid w:val="00DB5B4D"/>
    <w:rsid w:val="00DB5B89"/>
    <w:rsid w:val="00DB5BFA"/>
    <w:rsid w:val="00DB5C68"/>
    <w:rsid w:val="00DB5DDF"/>
    <w:rsid w:val="00DB5DF0"/>
    <w:rsid w:val="00DB5E7C"/>
    <w:rsid w:val="00DB5E92"/>
    <w:rsid w:val="00DB6116"/>
    <w:rsid w:val="00DB6181"/>
    <w:rsid w:val="00DB61DF"/>
    <w:rsid w:val="00DB6263"/>
    <w:rsid w:val="00DB62DE"/>
    <w:rsid w:val="00DB632A"/>
    <w:rsid w:val="00DB638F"/>
    <w:rsid w:val="00DB65EB"/>
    <w:rsid w:val="00DB6695"/>
    <w:rsid w:val="00DB688D"/>
    <w:rsid w:val="00DB692F"/>
    <w:rsid w:val="00DB6B1F"/>
    <w:rsid w:val="00DB6B25"/>
    <w:rsid w:val="00DB6B6A"/>
    <w:rsid w:val="00DB6B83"/>
    <w:rsid w:val="00DB6BD5"/>
    <w:rsid w:val="00DB6C1B"/>
    <w:rsid w:val="00DB6C6E"/>
    <w:rsid w:val="00DB6E0D"/>
    <w:rsid w:val="00DB6E3A"/>
    <w:rsid w:val="00DB6F66"/>
    <w:rsid w:val="00DB7034"/>
    <w:rsid w:val="00DB7072"/>
    <w:rsid w:val="00DB7218"/>
    <w:rsid w:val="00DB729A"/>
    <w:rsid w:val="00DB739B"/>
    <w:rsid w:val="00DB7458"/>
    <w:rsid w:val="00DB746E"/>
    <w:rsid w:val="00DB75DF"/>
    <w:rsid w:val="00DB764F"/>
    <w:rsid w:val="00DB7695"/>
    <w:rsid w:val="00DB76A2"/>
    <w:rsid w:val="00DB774E"/>
    <w:rsid w:val="00DB778D"/>
    <w:rsid w:val="00DB7843"/>
    <w:rsid w:val="00DB78E9"/>
    <w:rsid w:val="00DB7CF9"/>
    <w:rsid w:val="00DB7E11"/>
    <w:rsid w:val="00DBE796"/>
    <w:rsid w:val="00DC001D"/>
    <w:rsid w:val="00DC0048"/>
    <w:rsid w:val="00DC009D"/>
    <w:rsid w:val="00DC01BD"/>
    <w:rsid w:val="00DC027D"/>
    <w:rsid w:val="00DC02A4"/>
    <w:rsid w:val="00DC0533"/>
    <w:rsid w:val="00DC05FB"/>
    <w:rsid w:val="00DC065A"/>
    <w:rsid w:val="00DC0670"/>
    <w:rsid w:val="00DC067D"/>
    <w:rsid w:val="00DC06FA"/>
    <w:rsid w:val="00DC0755"/>
    <w:rsid w:val="00DC0780"/>
    <w:rsid w:val="00DC078B"/>
    <w:rsid w:val="00DC096A"/>
    <w:rsid w:val="00DC0990"/>
    <w:rsid w:val="00DC09FF"/>
    <w:rsid w:val="00DC0B7B"/>
    <w:rsid w:val="00DC0C69"/>
    <w:rsid w:val="00DC0EB0"/>
    <w:rsid w:val="00DC0EF2"/>
    <w:rsid w:val="00DC1049"/>
    <w:rsid w:val="00DC1073"/>
    <w:rsid w:val="00DC10E4"/>
    <w:rsid w:val="00DC10EC"/>
    <w:rsid w:val="00DC1213"/>
    <w:rsid w:val="00DC12F1"/>
    <w:rsid w:val="00DC131D"/>
    <w:rsid w:val="00DC1351"/>
    <w:rsid w:val="00DC13A7"/>
    <w:rsid w:val="00DC13D3"/>
    <w:rsid w:val="00DC148E"/>
    <w:rsid w:val="00DC1499"/>
    <w:rsid w:val="00DC14CA"/>
    <w:rsid w:val="00DC14E0"/>
    <w:rsid w:val="00DC1620"/>
    <w:rsid w:val="00DC1642"/>
    <w:rsid w:val="00DC170E"/>
    <w:rsid w:val="00DC1754"/>
    <w:rsid w:val="00DC1813"/>
    <w:rsid w:val="00DC185B"/>
    <w:rsid w:val="00DC1869"/>
    <w:rsid w:val="00DC18F7"/>
    <w:rsid w:val="00DC19AE"/>
    <w:rsid w:val="00DC1BC6"/>
    <w:rsid w:val="00DC1C4C"/>
    <w:rsid w:val="00DC1D1D"/>
    <w:rsid w:val="00DC1D8D"/>
    <w:rsid w:val="00DC1DED"/>
    <w:rsid w:val="00DC1E1F"/>
    <w:rsid w:val="00DC1ECC"/>
    <w:rsid w:val="00DC1F4E"/>
    <w:rsid w:val="00DC2032"/>
    <w:rsid w:val="00DC2090"/>
    <w:rsid w:val="00DC2184"/>
    <w:rsid w:val="00DC218F"/>
    <w:rsid w:val="00DC2219"/>
    <w:rsid w:val="00DC22B3"/>
    <w:rsid w:val="00DC23BE"/>
    <w:rsid w:val="00DC244E"/>
    <w:rsid w:val="00DC24EE"/>
    <w:rsid w:val="00DC2509"/>
    <w:rsid w:val="00DC25C1"/>
    <w:rsid w:val="00DC268B"/>
    <w:rsid w:val="00DC270B"/>
    <w:rsid w:val="00DC27FF"/>
    <w:rsid w:val="00DC2828"/>
    <w:rsid w:val="00DC2864"/>
    <w:rsid w:val="00DC2866"/>
    <w:rsid w:val="00DC2A90"/>
    <w:rsid w:val="00DC2AA7"/>
    <w:rsid w:val="00DC2BC2"/>
    <w:rsid w:val="00DC2C69"/>
    <w:rsid w:val="00DC2C6E"/>
    <w:rsid w:val="00DC2E21"/>
    <w:rsid w:val="00DC2F3A"/>
    <w:rsid w:val="00DC2FE2"/>
    <w:rsid w:val="00DC30D2"/>
    <w:rsid w:val="00DC3125"/>
    <w:rsid w:val="00DC316C"/>
    <w:rsid w:val="00DC31F4"/>
    <w:rsid w:val="00DC329A"/>
    <w:rsid w:val="00DC3376"/>
    <w:rsid w:val="00DC3592"/>
    <w:rsid w:val="00DC35C1"/>
    <w:rsid w:val="00DC364A"/>
    <w:rsid w:val="00DC36EB"/>
    <w:rsid w:val="00DC37EC"/>
    <w:rsid w:val="00DC382D"/>
    <w:rsid w:val="00DC3993"/>
    <w:rsid w:val="00DC39A3"/>
    <w:rsid w:val="00DC39E1"/>
    <w:rsid w:val="00DC3A37"/>
    <w:rsid w:val="00DC3A79"/>
    <w:rsid w:val="00DC3AEC"/>
    <w:rsid w:val="00DC3B2B"/>
    <w:rsid w:val="00DC3D9D"/>
    <w:rsid w:val="00DC3E58"/>
    <w:rsid w:val="00DC402D"/>
    <w:rsid w:val="00DC4049"/>
    <w:rsid w:val="00DC40C9"/>
    <w:rsid w:val="00DC40CD"/>
    <w:rsid w:val="00DC425C"/>
    <w:rsid w:val="00DC444C"/>
    <w:rsid w:val="00DC4472"/>
    <w:rsid w:val="00DC44A1"/>
    <w:rsid w:val="00DC450F"/>
    <w:rsid w:val="00DC45E0"/>
    <w:rsid w:val="00DC469A"/>
    <w:rsid w:val="00DC4761"/>
    <w:rsid w:val="00DC47AA"/>
    <w:rsid w:val="00DC47FC"/>
    <w:rsid w:val="00DC47FE"/>
    <w:rsid w:val="00DC481E"/>
    <w:rsid w:val="00DC491F"/>
    <w:rsid w:val="00DC4995"/>
    <w:rsid w:val="00DC4AFB"/>
    <w:rsid w:val="00DC4B9E"/>
    <w:rsid w:val="00DC4BB1"/>
    <w:rsid w:val="00DC4E17"/>
    <w:rsid w:val="00DC4E9B"/>
    <w:rsid w:val="00DC4F09"/>
    <w:rsid w:val="00DC4F63"/>
    <w:rsid w:val="00DC5092"/>
    <w:rsid w:val="00DC509F"/>
    <w:rsid w:val="00DC514E"/>
    <w:rsid w:val="00DC5325"/>
    <w:rsid w:val="00DC5346"/>
    <w:rsid w:val="00DC538E"/>
    <w:rsid w:val="00DC53A8"/>
    <w:rsid w:val="00DC53D3"/>
    <w:rsid w:val="00DC5458"/>
    <w:rsid w:val="00DC54B0"/>
    <w:rsid w:val="00DC54C4"/>
    <w:rsid w:val="00DC55FA"/>
    <w:rsid w:val="00DC55FE"/>
    <w:rsid w:val="00DC5639"/>
    <w:rsid w:val="00DC56C6"/>
    <w:rsid w:val="00DC56EE"/>
    <w:rsid w:val="00DC570B"/>
    <w:rsid w:val="00DC5740"/>
    <w:rsid w:val="00DC5801"/>
    <w:rsid w:val="00DC5838"/>
    <w:rsid w:val="00DC589C"/>
    <w:rsid w:val="00DC592E"/>
    <w:rsid w:val="00DC59EB"/>
    <w:rsid w:val="00DC5A2A"/>
    <w:rsid w:val="00DC5B48"/>
    <w:rsid w:val="00DC5BA2"/>
    <w:rsid w:val="00DC5C1A"/>
    <w:rsid w:val="00DC5C8D"/>
    <w:rsid w:val="00DC5CB9"/>
    <w:rsid w:val="00DC5D28"/>
    <w:rsid w:val="00DC5DD1"/>
    <w:rsid w:val="00DC5FA2"/>
    <w:rsid w:val="00DC603D"/>
    <w:rsid w:val="00DC60A8"/>
    <w:rsid w:val="00DC612A"/>
    <w:rsid w:val="00DC612F"/>
    <w:rsid w:val="00DC61B7"/>
    <w:rsid w:val="00DC621B"/>
    <w:rsid w:val="00DC6276"/>
    <w:rsid w:val="00DC62A8"/>
    <w:rsid w:val="00DC63C5"/>
    <w:rsid w:val="00DC6424"/>
    <w:rsid w:val="00DC6439"/>
    <w:rsid w:val="00DC6452"/>
    <w:rsid w:val="00DC64B0"/>
    <w:rsid w:val="00DC64CA"/>
    <w:rsid w:val="00DC652A"/>
    <w:rsid w:val="00DC65D3"/>
    <w:rsid w:val="00DC6662"/>
    <w:rsid w:val="00DC6758"/>
    <w:rsid w:val="00DC6772"/>
    <w:rsid w:val="00DC67BF"/>
    <w:rsid w:val="00DC69DF"/>
    <w:rsid w:val="00DC6A73"/>
    <w:rsid w:val="00DC6B47"/>
    <w:rsid w:val="00DC6B95"/>
    <w:rsid w:val="00DC6BC9"/>
    <w:rsid w:val="00DC6C3C"/>
    <w:rsid w:val="00DC6D37"/>
    <w:rsid w:val="00DC6DAA"/>
    <w:rsid w:val="00DC6E1B"/>
    <w:rsid w:val="00DC6FDB"/>
    <w:rsid w:val="00DC6FE8"/>
    <w:rsid w:val="00DC724D"/>
    <w:rsid w:val="00DC7271"/>
    <w:rsid w:val="00DC73EC"/>
    <w:rsid w:val="00DC74A3"/>
    <w:rsid w:val="00DC74D6"/>
    <w:rsid w:val="00DC75F0"/>
    <w:rsid w:val="00DC7796"/>
    <w:rsid w:val="00DC78A9"/>
    <w:rsid w:val="00DC78EC"/>
    <w:rsid w:val="00DC7A3A"/>
    <w:rsid w:val="00DC7C56"/>
    <w:rsid w:val="00DC7CCC"/>
    <w:rsid w:val="00DC7DB9"/>
    <w:rsid w:val="00DC7DCD"/>
    <w:rsid w:val="00DC7FA8"/>
    <w:rsid w:val="00DC7FC6"/>
    <w:rsid w:val="00DC7FCE"/>
    <w:rsid w:val="00DD0246"/>
    <w:rsid w:val="00DD024E"/>
    <w:rsid w:val="00DD0288"/>
    <w:rsid w:val="00DD02FE"/>
    <w:rsid w:val="00DD0312"/>
    <w:rsid w:val="00DD0417"/>
    <w:rsid w:val="00DD041D"/>
    <w:rsid w:val="00DD055D"/>
    <w:rsid w:val="00DD064D"/>
    <w:rsid w:val="00DD066B"/>
    <w:rsid w:val="00DD079E"/>
    <w:rsid w:val="00DD0800"/>
    <w:rsid w:val="00DD0854"/>
    <w:rsid w:val="00DD086C"/>
    <w:rsid w:val="00DD08E2"/>
    <w:rsid w:val="00DD08F1"/>
    <w:rsid w:val="00DD09B0"/>
    <w:rsid w:val="00DD09B8"/>
    <w:rsid w:val="00DD0A1B"/>
    <w:rsid w:val="00DD0AA0"/>
    <w:rsid w:val="00DD0AD2"/>
    <w:rsid w:val="00DD0B00"/>
    <w:rsid w:val="00DD0BCE"/>
    <w:rsid w:val="00DD0CD9"/>
    <w:rsid w:val="00DD0D2B"/>
    <w:rsid w:val="00DD0E6B"/>
    <w:rsid w:val="00DD0ECB"/>
    <w:rsid w:val="00DD1073"/>
    <w:rsid w:val="00DD10CE"/>
    <w:rsid w:val="00DD1187"/>
    <w:rsid w:val="00DD11CE"/>
    <w:rsid w:val="00DD1261"/>
    <w:rsid w:val="00DD12AB"/>
    <w:rsid w:val="00DD12DA"/>
    <w:rsid w:val="00DD12DB"/>
    <w:rsid w:val="00DD13D7"/>
    <w:rsid w:val="00DD14A8"/>
    <w:rsid w:val="00DD14E3"/>
    <w:rsid w:val="00DD1598"/>
    <w:rsid w:val="00DD15F6"/>
    <w:rsid w:val="00DD1647"/>
    <w:rsid w:val="00DD166A"/>
    <w:rsid w:val="00DD16F3"/>
    <w:rsid w:val="00DD16FA"/>
    <w:rsid w:val="00DD16FE"/>
    <w:rsid w:val="00DD189E"/>
    <w:rsid w:val="00DD19A5"/>
    <w:rsid w:val="00DD1C81"/>
    <w:rsid w:val="00DD1D7E"/>
    <w:rsid w:val="00DD1D7F"/>
    <w:rsid w:val="00DD1FC8"/>
    <w:rsid w:val="00DD209B"/>
    <w:rsid w:val="00DD2124"/>
    <w:rsid w:val="00DD2159"/>
    <w:rsid w:val="00DD21B1"/>
    <w:rsid w:val="00DD21F9"/>
    <w:rsid w:val="00DD21FD"/>
    <w:rsid w:val="00DD23BE"/>
    <w:rsid w:val="00DD2443"/>
    <w:rsid w:val="00DD246F"/>
    <w:rsid w:val="00DD2473"/>
    <w:rsid w:val="00DD247A"/>
    <w:rsid w:val="00DD24D0"/>
    <w:rsid w:val="00DD2515"/>
    <w:rsid w:val="00DD2558"/>
    <w:rsid w:val="00DD2619"/>
    <w:rsid w:val="00DD26B1"/>
    <w:rsid w:val="00DD27F1"/>
    <w:rsid w:val="00DD285A"/>
    <w:rsid w:val="00DD294E"/>
    <w:rsid w:val="00DD29A8"/>
    <w:rsid w:val="00DD2A1D"/>
    <w:rsid w:val="00DD2AAC"/>
    <w:rsid w:val="00DD2AE6"/>
    <w:rsid w:val="00DD2BBB"/>
    <w:rsid w:val="00DD2BD9"/>
    <w:rsid w:val="00DD2C89"/>
    <w:rsid w:val="00DD2CA5"/>
    <w:rsid w:val="00DD2D09"/>
    <w:rsid w:val="00DD2D38"/>
    <w:rsid w:val="00DD2DAC"/>
    <w:rsid w:val="00DD2E2C"/>
    <w:rsid w:val="00DD2E39"/>
    <w:rsid w:val="00DD2F10"/>
    <w:rsid w:val="00DD2F56"/>
    <w:rsid w:val="00DD2FC5"/>
    <w:rsid w:val="00DD2FE8"/>
    <w:rsid w:val="00DD3062"/>
    <w:rsid w:val="00DD3165"/>
    <w:rsid w:val="00DD31F8"/>
    <w:rsid w:val="00DD3215"/>
    <w:rsid w:val="00DD337D"/>
    <w:rsid w:val="00DD33D4"/>
    <w:rsid w:val="00DD34C9"/>
    <w:rsid w:val="00DD3519"/>
    <w:rsid w:val="00DD357F"/>
    <w:rsid w:val="00DD3625"/>
    <w:rsid w:val="00DD364F"/>
    <w:rsid w:val="00DD3694"/>
    <w:rsid w:val="00DD3713"/>
    <w:rsid w:val="00DD371F"/>
    <w:rsid w:val="00DD37A2"/>
    <w:rsid w:val="00DD3854"/>
    <w:rsid w:val="00DD38F7"/>
    <w:rsid w:val="00DD395E"/>
    <w:rsid w:val="00DD39C2"/>
    <w:rsid w:val="00DD3A5E"/>
    <w:rsid w:val="00DD3AA9"/>
    <w:rsid w:val="00DD3B72"/>
    <w:rsid w:val="00DD3BE5"/>
    <w:rsid w:val="00DD3C01"/>
    <w:rsid w:val="00DD3C6D"/>
    <w:rsid w:val="00DD3D42"/>
    <w:rsid w:val="00DD3D7B"/>
    <w:rsid w:val="00DD3D7E"/>
    <w:rsid w:val="00DD3DDE"/>
    <w:rsid w:val="00DD3FAD"/>
    <w:rsid w:val="00DD4008"/>
    <w:rsid w:val="00DD403B"/>
    <w:rsid w:val="00DD4046"/>
    <w:rsid w:val="00DD423E"/>
    <w:rsid w:val="00DD42F8"/>
    <w:rsid w:val="00DD4306"/>
    <w:rsid w:val="00DD4387"/>
    <w:rsid w:val="00DD43CA"/>
    <w:rsid w:val="00DD4499"/>
    <w:rsid w:val="00DD44F3"/>
    <w:rsid w:val="00DD45A3"/>
    <w:rsid w:val="00DD468F"/>
    <w:rsid w:val="00DD47FA"/>
    <w:rsid w:val="00DD4899"/>
    <w:rsid w:val="00DD48BD"/>
    <w:rsid w:val="00DD48EC"/>
    <w:rsid w:val="00DD4A2F"/>
    <w:rsid w:val="00DD4A72"/>
    <w:rsid w:val="00DD4A88"/>
    <w:rsid w:val="00DD4A9B"/>
    <w:rsid w:val="00DD4B5B"/>
    <w:rsid w:val="00DD4C1B"/>
    <w:rsid w:val="00DD4D26"/>
    <w:rsid w:val="00DD4E05"/>
    <w:rsid w:val="00DD4F75"/>
    <w:rsid w:val="00DD5044"/>
    <w:rsid w:val="00DD50C3"/>
    <w:rsid w:val="00DD50ED"/>
    <w:rsid w:val="00DD519F"/>
    <w:rsid w:val="00DD51C6"/>
    <w:rsid w:val="00DD5217"/>
    <w:rsid w:val="00DD5238"/>
    <w:rsid w:val="00DD525C"/>
    <w:rsid w:val="00DD53D4"/>
    <w:rsid w:val="00DD5404"/>
    <w:rsid w:val="00DD5414"/>
    <w:rsid w:val="00DD5436"/>
    <w:rsid w:val="00DD5491"/>
    <w:rsid w:val="00DD5511"/>
    <w:rsid w:val="00DD5541"/>
    <w:rsid w:val="00DD566D"/>
    <w:rsid w:val="00DD5822"/>
    <w:rsid w:val="00DD58B6"/>
    <w:rsid w:val="00DD5914"/>
    <w:rsid w:val="00DD5B43"/>
    <w:rsid w:val="00DD5B5B"/>
    <w:rsid w:val="00DD5BC7"/>
    <w:rsid w:val="00DD5BD5"/>
    <w:rsid w:val="00DD5C0A"/>
    <w:rsid w:val="00DD5C31"/>
    <w:rsid w:val="00DD5C8D"/>
    <w:rsid w:val="00DD5CC4"/>
    <w:rsid w:val="00DD5D82"/>
    <w:rsid w:val="00DD5DF3"/>
    <w:rsid w:val="00DD5E2E"/>
    <w:rsid w:val="00DD5EB5"/>
    <w:rsid w:val="00DD6029"/>
    <w:rsid w:val="00DD602F"/>
    <w:rsid w:val="00DD6129"/>
    <w:rsid w:val="00DD61E2"/>
    <w:rsid w:val="00DD6202"/>
    <w:rsid w:val="00DD632E"/>
    <w:rsid w:val="00DD6391"/>
    <w:rsid w:val="00DD647A"/>
    <w:rsid w:val="00DD64CB"/>
    <w:rsid w:val="00DD65AB"/>
    <w:rsid w:val="00DD6640"/>
    <w:rsid w:val="00DD667F"/>
    <w:rsid w:val="00DD668E"/>
    <w:rsid w:val="00DD66BE"/>
    <w:rsid w:val="00DD68D8"/>
    <w:rsid w:val="00DD6AB2"/>
    <w:rsid w:val="00DD6BBB"/>
    <w:rsid w:val="00DD6CFD"/>
    <w:rsid w:val="00DD6D0F"/>
    <w:rsid w:val="00DD6D22"/>
    <w:rsid w:val="00DD6DBD"/>
    <w:rsid w:val="00DD6F19"/>
    <w:rsid w:val="00DD6F1D"/>
    <w:rsid w:val="00DD6F26"/>
    <w:rsid w:val="00DD6FAB"/>
    <w:rsid w:val="00DD70D1"/>
    <w:rsid w:val="00DD70F7"/>
    <w:rsid w:val="00DD7195"/>
    <w:rsid w:val="00DD71F3"/>
    <w:rsid w:val="00DD7310"/>
    <w:rsid w:val="00DD7368"/>
    <w:rsid w:val="00DD751F"/>
    <w:rsid w:val="00DD759B"/>
    <w:rsid w:val="00DD76AA"/>
    <w:rsid w:val="00DD76AF"/>
    <w:rsid w:val="00DD76BA"/>
    <w:rsid w:val="00DD787D"/>
    <w:rsid w:val="00DD7940"/>
    <w:rsid w:val="00DD79CB"/>
    <w:rsid w:val="00DD7AB9"/>
    <w:rsid w:val="00DD7B52"/>
    <w:rsid w:val="00DD7C28"/>
    <w:rsid w:val="00DD7C49"/>
    <w:rsid w:val="00DD7F6D"/>
    <w:rsid w:val="00DD7FAA"/>
    <w:rsid w:val="00DE000D"/>
    <w:rsid w:val="00DE0021"/>
    <w:rsid w:val="00DE00AD"/>
    <w:rsid w:val="00DE0283"/>
    <w:rsid w:val="00DE030F"/>
    <w:rsid w:val="00DE0315"/>
    <w:rsid w:val="00DE0435"/>
    <w:rsid w:val="00DE0450"/>
    <w:rsid w:val="00DE046C"/>
    <w:rsid w:val="00DE050B"/>
    <w:rsid w:val="00DE0671"/>
    <w:rsid w:val="00DE06AC"/>
    <w:rsid w:val="00DE0727"/>
    <w:rsid w:val="00DE0732"/>
    <w:rsid w:val="00DE0748"/>
    <w:rsid w:val="00DE098C"/>
    <w:rsid w:val="00DE09E6"/>
    <w:rsid w:val="00DE0B22"/>
    <w:rsid w:val="00DE0B5B"/>
    <w:rsid w:val="00DE0B62"/>
    <w:rsid w:val="00DE0C82"/>
    <w:rsid w:val="00DE0DAA"/>
    <w:rsid w:val="00DE0DAE"/>
    <w:rsid w:val="00DE0DDF"/>
    <w:rsid w:val="00DE0E8D"/>
    <w:rsid w:val="00DE0F24"/>
    <w:rsid w:val="00DE0FB7"/>
    <w:rsid w:val="00DE0FF6"/>
    <w:rsid w:val="00DE1118"/>
    <w:rsid w:val="00DE11F2"/>
    <w:rsid w:val="00DE1276"/>
    <w:rsid w:val="00DE132A"/>
    <w:rsid w:val="00DE13D4"/>
    <w:rsid w:val="00DE14F6"/>
    <w:rsid w:val="00DE15B0"/>
    <w:rsid w:val="00DE1640"/>
    <w:rsid w:val="00DE16B7"/>
    <w:rsid w:val="00DE1770"/>
    <w:rsid w:val="00DE1857"/>
    <w:rsid w:val="00DE18CB"/>
    <w:rsid w:val="00DE1AA6"/>
    <w:rsid w:val="00DE1AE1"/>
    <w:rsid w:val="00DE1AF0"/>
    <w:rsid w:val="00DE1B28"/>
    <w:rsid w:val="00DE1C6D"/>
    <w:rsid w:val="00DE1CF8"/>
    <w:rsid w:val="00DE1D3F"/>
    <w:rsid w:val="00DE1D56"/>
    <w:rsid w:val="00DE1FAB"/>
    <w:rsid w:val="00DE201C"/>
    <w:rsid w:val="00DE20F0"/>
    <w:rsid w:val="00DE212C"/>
    <w:rsid w:val="00DE219D"/>
    <w:rsid w:val="00DE21A9"/>
    <w:rsid w:val="00DE2235"/>
    <w:rsid w:val="00DE23A1"/>
    <w:rsid w:val="00DE257D"/>
    <w:rsid w:val="00DE2583"/>
    <w:rsid w:val="00DE2659"/>
    <w:rsid w:val="00DE26AD"/>
    <w:rsid w:val="00DE2704"/>
    <w:rsid w:val="00DE2738"/>
    <w:rsid w:val="00DE2767"/>
    <w:rsid w:val="00DE27A4"/>
    <w:rsid w:val="00DE27BD"/>
    <w:rsid w:val="00DE27EE"/>
    <w:rsid w:val="00DE2883"/>
    <w:rsid w:val="00DE28C0"/>
    <w:rsid w:val="00DE296E"/>
    <w:rsid w:val="00DE29AA"/>
    <w:rsid w:val="00DE2A14"/>
    <w:rsid w:val="00DE2AEB"/>
    <w:rsid w:val="00DE2B84"/>
    <w:rsid w:val="00DE2BC4"/>
    <w:rsid w:val="00DE2BC8"/>
    <w:rsid w:val="00DE2CAD"/>
    <w:rsid w:val="00DE2CC3"/>
    <w:rsid w:val="00DE2E30"/>
    <w:rsid w:val="00DE2E61"/>
    <w:rsid w:val="00DE2E88"/>
    <w:rsid w:val="00DE2EA8"/>
    <w:rsid w:val="00DE2F1A"/>
    <w:rsid w:val="00DE2F4C"/>
    <w:rsid w:val="00DE302D"/>
    <w:rsid w:val="00DE318F"/>
    <w:rsid w:val="00DE3245"/>
    <w:rsid w:val="00DE3296"/>
    <w:rsid w:val="00DE3370"/>
    <w:rsid w:val="00DE3375"/>
    <w:rsid w:val="00DE33D1"/>
    <w:rsid w:val="00DE33DB"/>
    <w:rsid w:val="00DE34FA"/>
    <w:rsid w:val="00DE3590"/>
    <w:rsid w:val="00DE35B7"/>
    <w:rsid w:val="00DE3617"/>
    <w:rsid w:val="00DE3626"/>
    <w:rsid w:val="00DE36C5"/>
    <w:rsid w:val="00DE36DE"/>
    <w:rsid w:val="00DE37FB"/>
    <w:rsid w:val="00DE385A"/>
    <w:rsid w:val="00DE38C6"/>
    <w:rsid w:val="00DE38DB"/>
    <w:rsid w:val="00DE3949"/>
    <w:rsid w:val="00DE39AA"/>
    <w:rsid w:val="00DE3BA7"/>
    <w:rsid w:val="00DE3CAC"/>
    <w:rsid w:val="00DE3D3C"/>
    <w:rsid w:val="00DE3DCC"/>
    <w:rsid w:val="00DE3DEC"/>
    <w:rsid w:val="00DE3EAA"/>
    <w:rsid w:val="00DE3ECD"/>
    <w:rsid w:val="00DE3F3C"/>
    <w:rsid w:val="00DE4275"/>
    <w:rsid w:val="00DE432F"/>
    <w:rsid w:val="00DE43D5"/>
    <w:rsid w:val="00DE4471"/>
    <w:rsid w:val="00DE44EE"/>
    <w:rsid w:val="00DE459D"/>
    <w:rsid w:val="00DE45E0"/>
    <w:rsid w:val="00DE464C"/>
    <w:rsid w:val="00DE46C6"/>
    <w:rsid w:val="00DE477C"/>
    <w:rsid w:val="00DE4787"/>
    <w:rsid w:val="00DE4840"/>
    <w:rsid w:val="00DE4929"/>
    <w:rsid w:val="00DE49A2"/>
    <w:rsid w:val="00DE49AB"/>
    <w:rsid w:val="00DE49E6"/>
    <w:rsid w:val="00DE49F8"/>
    <w:rsid w:val="00DE4A3F"/>
    <w:rsid w:val="00DE4A50"/>
    <w:rsid w:val="00DE4AC9"/>
    <w:rsid w:val="00DE4B63"/>
    <w:rsid w:val="00DE4B77"/>
    <w:rsid w:val="00DE4C75"/>
    <w:rsid w:val="00DE4D63"/>
    <w:rsid w:val="00DE4DBA"/>
    <w:rsid w:val="00DE4E9B"/>
    <w:rsid w:val="00DE4EA0"/>
    <w:rsid w:val="00DE4F93"/>
    <w:rsid w:val="00DE51C6"/>
    <w:rsid w:val="00DE5281"/>
    <w:rsid w:val="00DE52FA"/>
    <w:rsid w:val="00DE53C5"/>
    <w:rsid w:val="00DE53C7"/>
    <w:rsid w:val="00DE54C1"/>
    <w:rsid w:val="00DE5549"/>
    <w:rsid w:val="00DE5561"/>
    <w:rsid w:val="00DE56B2"/>
    <w:rsid w:val="00DE56D5"/>
    <w:rsid w:val="00DE583D"/>
    <w:rsid w:val="00DE585A"/>
    <w:rsid w:val="00DE5868"/>
    <w:rsid w:val="00DE59A9"/>
    <w:rsid w:val="00DE5A4A"/>
    <w:rsid w:val="00DE5A88"/>
    <w:rsid w:val="00DE5AC5"/>
    <w:rsid w:val="00DE5B7D"/>
    <w:rsid w:val="00DE5C0B"/>
    <w:rsid w:val="00DE5C0D"/>
    <w:rsid w:val="00DE5D39"/>
    <w:rsid w:val="00DE5DBA"/>
    <w:rsid w:val="00DE5DDD"/>
    <w:rsid w:val="00DE5E0E"/>
    <w:rsid w:val="00DE6046"/>
    <w:rsid w:val="00DE60D1"/>
    <w:rsid w:val="00DE6115"/>
    <w:rsid w:val="00DE645A"/>
    <w:rsid w:val="00DE64F8"/>
    <w:rsid w:val="00DE6505"/>
    <w:rsid w:val="00DE6552"/>
    <w:rsid w:val="00DE6661"/>
    <w:rsid w:val="00DE6749"/>
    <w:rsid w:val="00DE6941"/>
    <w:rsid w:val="00DE69A1"/>
    <w:rsid w:val="00DE69A2"/>
    <w:rsid w:val="00DE6ABD"/>
    <w:rsid w:val="00DE6AF1"/>
    <w:rsid w:val="00DE6B1F"/>
    <w:rsid w:val="00DE6B62"/>
    <w:rsid w:val="00DE6D00"/>
    <w:rsid w:val="00DE6D15"/>
    <w:rsid w:val="00DE6D16"/>
    <w:rsid w:val="00DE6DE4"/>
    <w:rsid w:val="00DE6E2E"/>
    <w:rsid w:val="00DE6E42"/>
    <w:rsid w:val="00DE6ED8"/>
    <w:rsid w:val="00DE6F38"/>
    <w:rsid w:val="00DE6F62"/>
    <w:rsid w:val="00DE6F85"/>
    <w:rsid w:val="00DE6FEA"/>
    <w:rsid w:val="00DE723F"/>
    <w:rsid w:val="00DE72CB"/>
    <w:rsid w:val="00DE7322"/>
    <w:rsid w:val="00DE7493"/>
    <w:rsid w:val="00DE7504"/>
    <w:rsid w:val="00DE750D"/>
    <w:rsid w:val="00DE7533"/>
    <w:rsid w:val="00DE756D"/>
    <w:rsid w:val="00DE757D"/>
    <w:rsid w:val="00DE768A"/>
    <w:rsid w:val="00DE76ED"/>
    <w:rsid w:val="00DE76FA"/>
    <w:rsid w:val="00DE77D6"/>
    <w:rsid w:val="00DE787D"/>
    <w:rsid w:val="00DE78A6"/>
    <w:rsid w:val="00DE78D0"/>
    <w:rsid w:val="00DE790D"/>
    <w:rsid w:val="00DE794B"/>
    <w:rsid w:val="00DE7B5A"/>
    <w:rsid w:val="00DE7B8D"/>
    <w:rsid w:val="00DE7C8E"/>
    <w:rsid w:val="00DE7C94"/>
    <w:rsid w:val="00DE7D6C"/>
    <w:rsid w:val="00DE7D6F"/>
    <w:rsid w:val="00DE7D82"/>
    <w:rsid w:val="00DE7E9F"/>
    <w:rsid w:val="00DE7EFA"/>
    <w:rsid w:val="00DE7F3B"/>
    <w:rsid w:val="00DE7FA4"/>
    <w:rsid w:val="00DF0017"/>
    <w:rsid w:val="00DF01E4"/>
    <w:rsid w:val="00DF020C"/>
    <w:rsid w:val="00DF0360"/>
    <w:rsid w:val="00DF071B"/>
    <w:rsid w:val="00DF074E"/>
    <w:rsid w:val="00DF075B"/>
    <w:rsid w:val="00DF08FE"/>
    <w:rsid w:val="00DF09D9"/>
    <w:rsid w:val="00DF0B0D"/>
    <w:rsid w:val="00DF0B17"/>
    <w:rsid w:val="00DF0B42"/>
    <w:rsid w:val="00DF0B69"/>
    <w:rsid w:val="00DF0C4C"/>
    <w:rsid w:val="00DF0D31"/>
    <w:rsid w:val="00DF0E5A"/>
    <w:rsid w:val="00DF0E63"/>
    <w:rsid w:val="00DF102B"/>
    <w:rsid w:val="00DF1057"/>
    <w:rsid w:val="00DF10A5"/>
    <w:rsid w:val="00DF128C"/>
    <w:rsid w:val="00DF12A0"/>
    <w:rsid w:val="00DF12C1"/>
    <w:rsid w:val="00DF13B8"/>
    <w:rsid w:val="00DF13BB"/>
    <w:rsid w:val="00DF1411"/>
    <w:rsid w:val="00DF1473"/>
    <w:rsid w:val="00DF15A2"/>
    <w:rsid w:val="00DF1656"/>
    <w:rsid w:val="00DF168E"/>
    <w:rsid w:val="00DF16E9"/>
    <w:rsid w:val="00DF1718"/>
    <w:rsid w:val="00DF1764"/>
    <w:rsid w:val="00DF17CD"/>
    <w:rsid w:val="00DF17D6"/>
    <w:rsid w:val="00DF184C"/>
    <w:rsid w:val="00DF1892"/>
    <w:rsid w:val="00DF1A00"/>
    <w:rsid w:val="00DF1CBB"/>
    <w:rsid w:val="00DF1CD4"/>
    <w:rsid w:val="00DF1E0C"/>
    <w:rsid w:val="00DF1F99"/>
    <w:rsid w:val="00DF1FE0"/>
    <w:rsid w:val="00DF2048"/>
    <w:rsid w:val="00DF206E"/>
    <w:rsid w:val="00DF21BF"/>
    <w:rsid w:val="00DF21EE"/>
    <w:rsid w:val="00DF21FA"/>
    <w:rsid w:val="00DF223C"/>
    <w:rsid w:val="00DF22CC"/>
    <w:rsid w:val="00DF22E7"/>
    <w:rsid w:val="00DF22ED"/>
    <w:rsid w:val="00DF2311"/>
    <w:rsid w:val="00DF2355"/>
    <w:rsid w:val="00DF2391"/>
    <w:rsid w:val="00DF23DA"/>
    <w:rsid w:val="00DF25E8"/>
    <w:rsid w:val="00DF2691"/>
    <w:rsid w:val="00DF271A"/>
    <w:rsid w:val="00DF2741"/>
    <w:rsid w:val="00DF27A0"/>
    <w:rsid w:val="00DF27B2"/>
    <w:rsid w:val="00DF2826"/>
    <w:rsid w:val="00DF2949"/>
    <w:rsid w:val="00DF2A99"/>
    <w:rsid w:val="00DF2ACA"/>
    <w:rsid w:val="00DF2AF6"/>
    <w:rsid w:val="00DF2B3B"/>
    <w:rsid w:val="00DF2C10"/>
    <w:rsid w:val="00DF2C3F"/>
    <w:rsid w:val="00DF2D27"/>
    <w:rsid w:val="00DF2DC9"/>
    <w:rsid w:val="00DF2DE0"/>
    <w:rsid w:val="00DF2E13"/>
    <w:rsid w:val="00DF2E81"/>
    <w:rsid w:val="00DF2EF6"/>
    <w:rsid w:val="00DF2FF6"/>
    <w:rsid w:val="00DF30CB"/>
    <w:rsid w:val="00DF3130"/>
    <w:rsid w:val="00DF3198"/>
    <w:rsid w:val="00DF3213"/>
    <w:rsid w:val="00DF3242"/>
    <w:rsid w:val="00DF34F7"/>
    <w:rsid w:val="00DF3525"/>
    <w:rsid w:val="00DF3616"/>
    <w:rsid w:val="00DF3770"/>
    <w:rsid w:val="00DF3791"/>
    <w:rsid w:val="00DF3892"/>
    <w:rsid w:val="00DF3900"/>
    <w:rsid w:val="00DF39E1"/>
    <w:rsid w:val="00DF3A19"/>
    <w:rsid w:val="00DF3ABF"/>
    <w:rsid w:val="00DF3B27"/>
    <w:rsid w:val="00DF3C4D"/>
    <w:rsid w:val="00DF3CBA"/>
    <w:rsid w:val="00DF3CDD"/>
    <w:rsid w:val="00DF3D08"/>
    <w:rsid w:val="00DF3D27"/>
    <w:rsid w:val="00DF3D28"/>
    <w:rsid w:val="00DF3D94"/>
    <w:rsid w:val="00DF3D99"/>
    <w:rsid w:val="00DF3E13"/>
    <w:rsid w:val="00DF3E24"/>
    <w:rsid w:val="00DF3E4B"/>
    <w:rsid w:val="00DF3F5E"/>
    <w:rsid w:val="00DF3F84"/>
    <w:rsid w:val="00DF4033"/>
    <w:rsid w:val="00DF4043"/>
    <w:rsid w:val="00DF4164"/>
    <w:rsid w:val="00DF417B"/>
    <w:rsid w:val="00DF41BE"/>
    <w:rsid w:val="00DF4302"/>
    <w:rsid w:val="00DF44DE"/>
    <w:rsid w:val="00DF44E3"/>
    <w:rsid w:val="00DF4503"/>
    <w:rsid w:val="00DF4567"/>
    <w:rsid w:val="00DF45EC"/>
    <w:rsid w:val="00DF4628"/>
    <w:rsid w:val="00DF463E"/>
    <w:rsid w:val="00DF4657"/>
    <w:rsid w:val="00DF4677"/>
    <w:rsid w:val="00DF47AF"/>
    <w:rsid w:val="00DF486F"/>
    <w:rsid w:val="00DF48C7"/>
    <w:rsid w:val="00DF491C"/>
    <w:rsid w:val="00DF492B"/>
    <w:rsid w:val="00DF4939"/>
    <w:rsid w:val="00DF499E"/>
    <w:rsid w:val="00DF49EE"/>
    <w:rsid w:val="00DF4ACD"/>
    <w:rsid w:val="00DF4B1F"/>
    <w:rsid w:val="00DF4B75"/>
    <w:rsid w:val="00DF4BB6"/>
    <w:rsid w:val="00DF4C00"/>
    <w:rsid w:val="00DF4EB7"/>
    <w:rsid w:val="00DF523B"/>
    <w:rsid w:val="00DF5271"/>
    <w:rsid w:val="00DF5336"/>
    <w:rsid w:val="00DF533E"/>
    <w:rsid w:val="00DF53FC"/>
    <w:rsid w:val="00DF5433"/>
    <w:rsid w:val="00DF54CB"/>
    <w:rsid w:val="00DF55C2"/>
    <w:rsid w:val="00DF560D"/>
    <w:rsid w:val="00DF562E"/>
    <w:rsid w:val="00DF56FF"/>
    <w:rsid w:val="00DF57C9"/>
    <w:rsid w:val="00DF5A58"/>
    <w:rsid w:val="00DF5A7C"/>
    <w:rsid w:val="00DF5B21"/>
    <w:rsid w:val="00DF5B33"/>
    <w:rsid w:val="00DF5B63"/>
    <w:rsid w:val="00DF5B86"/>
    <w:rsid w:val="00DF5C48"/>
    <w:rsid w:val="00DF5C72"/>
    <w:rsid w:val="00DF5E5E"/>
    <w:rsid w:val="00DF5F0D"/>
    <w:rsid w:val="00DF5F31"/>
    <w:rsid w:val="00DF6009"/>
    <w:rsid w:val="00DF60E3"/>
    <w:rsid w:val="00DF6199"/>
    <w:rsid w:val="00DF61B9"/>
    <w:rsid w:val="00DF61C5"/>
    <w:rsid w:val="00DF622F"/>
    <w:rsid w:val="00DF6409"/>
    <w:rsid w:val="00DF64F7"/>
    <w:rsid w:val="00DF6559"/>
    <w:rsid w:val="00DF6628"/>
    <w:rsid w:val="00DF6666"/>
    <w:rsid w:val="00DF668F"/>
    <w:rsid w:val="00DF677D"/>
    <w:rsid w:val="00DF682E"/>
    <w:rsid w:val="00DF6A17"/>
    <w:rsid w:val="00DF6AA1"/>
    <w:rsid w:val="00DF6AB8"/>
    <w:rsid w:val="00DF6B82"/>
    <w:rsid w:val="00DF6BFB"/>
    <w:rsid w:val="00DF6C14"/>
    <w:rsid w:val="00DF6CC1"/>
    <w:rsid w:val="00DF6DB3"/>
    <w:rsid w:val="00DF6E19"/>
    <w:rsid w:val="00DF6E4F"/>
    <w:rsid w:val="00DF6FB6"/>
    <w:rsid w:val="00DF70C1"/>
    <w:rsid w:val="00DF70C2"/>
    <w:rsid w:val="00DF714B"/>
    <w:rsid w:val="00DF7255"/>
    <w:rsid w:val="00DF727F"/>
    <w:rsid w:val="00DF72CC"/>
    <w:rsid w:val="00DF7365"/>
    <w:rsid w:val="00DF73C7"/>
    <w:rsid w:val="00DF73E1"/>
    <w:rsid w:val="00DF74BB"/>
    <w:rsid w:val="00DF7550"/>
    <w:rsid w:val="00DF7571"/>
    <w:rsid w:val="00DF763A"/>
    <w:rsid w:val="00DF7942"/>
    <w:rsid w:val="00DF7A0A"/>
    <w:rsid w:val="00DF7AEB"/>
    <w:rsid w:val="00DF7AEF"/>
    <w:rsid w:val="00DF7AF8"/>
    <w:rsid w:val="00DF7B7F"/>
    <w:rsid w:val="00DF7E0B"/>
    <w:rsid w:val="00DF7E57"/>
    <w:rsid w:val="00DF7F86"/>
    <w:rsid w:val="00DF7FAA"/>
    <w:rsid w:val="00DF7FBC"/>
    <w:rsid w:val="00DF7FE2"/>
    <w:rsid w:val="00E00017"/>
    <w:rsid w:val="00E00033"/>
    <w:rsid w:val="00E00133"/>
    <w:rsid w:val="00E00182"/>
    <w:rsid w:val="00E001D6"/>
    <w:rsid w:val="00E00223"/>
    <w:rsid w:val="00E00264"/>
    <w:rsid w:val="00E00288"/>
    <w:rsid w:val="00E002B6"/>
    <w:rsid w:val="00E0030C"/>
    <w:rsid w:val="00E003A3"/>
    <w:rsid w:val="00E00451"/>
    <w:rsid w:val="00E004A9"/>
    <w:rsid w:val="00E004C4"/>
    <w:rsid w:val="00E004DC"/>
    <w:rsid w:val="00E00602"/>
    <w:rsid w:val="00E00645"/>
    <w:rsid w:val="00E00736"/>
    <w:rsid w:val="00E00785"/>
    <w:rsid w:val="00E00818"/>
    <w:rsid w:val="00E0089B"/>
    <w:rsid w:val="00E008A8"/>
    <w:rsid w:val="00E008D6"/>
    <w:rsid w:val="00E00A17"/>
    <w:rsid w:val="00E00A60"/>
    <w:rsid w:val="00E00A64"/>
    <w:rsid w:val="00E00AAB"/>
    <w:rsid w:val="00E00B90"/>
    <w:rsid w:val="00E00C22"/>
    <w:rsid w:val="00E00D20"/>
    <w:rsid w:val="00E00DB2"/>
    <w:rsid w:val="00E00DE2"/>
    <w:rsid w:val="00E00F8F"/>
    <w:rsid w:val="00E00F9D"/>
    <w:rsid w:val="00E00FA6"/>
    <w:rsid w:val="00E00FB6"/>
    <w:rsid w:val="00E00FBE"/>
    <w:rsid w:val="00E01110"/>
    <w:rsid w:val="00E011AD"/>
    <w:rsid w:val="00E011CB"/>
    <w:rsid w:val="00E011F8"/>
    <w:rsid w:val="00E012B8"/>
    <w:rsid w:val="00E013A2"/>
    <w:rsid w:val="00E0156D"/>
    <w:rsid w:val="00E01611"/>
    <w:rsid w:val="00E01612"/>
    <w:rsid w:val="00E01659"/>
    <w:rsid w:val="00E0167A"/>
    <w:rsid w:val="00E0167F"/>
    <w:rsid w:val="00E016F5"/>
    <w:rsid w:val="00E017B6"/>
    <w:rsid w:val="00E017BB"/>
    <w:rsid w:val="00E017BF"/>
    <w:rsid w:val="00E0186D"/>
    <w:rsid w:val="00E01952"/>
    <w:rsid w:val="00E01966"/>
    <w:rsid w:val="00E019C7"/>
    <w:rsid w:val="00E019E1"/>
    <w:rsid w:val="00E01A0B"/>
    <w:rsid w:val="00E01AB8"/>
    <w:rsid w:val="00E01C20"/>
    <w:rsid w:val="00E01D2C"/>
    <w:rsid w:val="00E01E11"/>
    <w:rsid w:val="00E01EA0"/>
    <w:rsid w:val="00E01EA9"/>
    <w:rsid w:val="00E02027"/>
    <w:rsid w:val="00E02065"/>
    <w:rsid w:val="00E020EE"/>
    <w:rsid w:val="00E0210C"/>
    <w:rsid w:val="00E02248"/>
    <w:rsid w:val="00E02270"/>
    <w:rsid w:val="00E0229F"/>
    <w:rsid w:val="00E02335"/>
    <w:rsid w:val="00E02406"/>
    <w:rsid w:val="00E024E1"/>
    <w:rsid w:val="00E024ED"/>
    <w:rsid w:val="00E0251B"/>
    <w:rsid w:val="00E02555"/>
    <w:rsid w:val="00E025D2"/>
    <w:rsid w:val="00E02619"/>
    <w:rsid w:val="00E027AF"/>
    <w:rsid w:val="00E027E9"/>
    <w:rsid w:val="00E028E1"/>
    <w:rsid w:val="00E028FA"/>
    <w:rsid w:val="00E02A1D"/>
    <w:rsid w:val="00E02A2E"/>
    <w:rsid w:val="00E02AB0"/>
    <w:rsid w:val="00E02AD8"/>
    <w:rsid w:val="00E02B2A"/>
    <w:rsid w:val="00E02C38"/>
    <w:rsid w:val="00E02C3B"/>
    <w:rsid w:val="00E02C7D"/>
    <w:rsid w:val="00E02E7A"/>
    <w:rsid w:val="00E02E83"/>
    <w:rsid w:val="00E02EAF"/>
    <w:rsid w:val="00E02F25"/>
    <w:rsid w:val="00E02FD9"/>
    <w:rsid w:val="00E030DE"/>
    <w:rsid w:val="00E031FC"/>
    <w:rsid w:val="00E03313"/>
    <w:rsid w:val="00E03376"/>
    <w:rsid w:val="00E0337E"/>
    <w:rsid w:val="00E033C9"/>
    <w:rsid w:val="00E034AD"/>
    <w:rsid w:val="00E03560"/>
    <w:rsid w:val="00E03610"/>
    <w:rsid w:val="00E03680"/>
    <w:rsid w:val="00E036BE"/>
    <w:rsid w:val="00E036D6"/>
    <w:rsid w:val="00E03733"/>
    <w:rsid w:val="00E03756"/>
    <w:rsid w:val="00E037F5"/>
    <w:rsid w:val="00E038A2"/>
    <w:rsid w:val="00E038A3"/>
    <w:rsid w:val="00E038AA"/>
    <w:rsid w:val="00E038B1"/>
    <w:rsid w:val="00E03A93"/>
    <w:rsid w:val="00E03A96"/>
    <w:rsid w:val="00E03AC4"/>
    <w:rsid w:val="00E03ADB"/>
    <w:rsid w:val="00E03B2D"/>
    <w:rsid w:val="00E03B6A"/>
    <w:rsid w:val="00E03B8E"/>
    <w:rsid w:val="00E03C8F"/>
    <w:rsid w:val="00E03D51"/>
    <w:rsid w:val="00E03F3D"/>
    <w:rsid w:val="00E03FA4"/>
    <w:rsid w:val="00E040C3"/>
    <w:rsid w:val="00E040D0"/>
    <w:rsid w:val="00E04174"/>
    <w:rsid w:val="00E0418E"/>
    <w:rsid w:val="00E04198"/>
    <w:rsid w:val="00E041BC"/>
    <w:rsid w:val="00E041CC"/>
    <w:rsid w:val="00E04261"/>
    <w:rsid w:val="00E042A2"/>
    <w:rsid w:val="00E04359"/>
    <w:rsid w:val="00E04432"/>
    <w:rsid w:val="00E0458A"/>
    <w:rsid w:val="00E0473A"/>
    <w:rsid w:val="00E0485C"/>
    <w:rsid w:val="00E04874"/>
    <w:rsid w:val="00E04889"/>
    <w:rsid w:val="00E0497C"/>
    <w:rsid w:val="00E049DC"/>
    <w:rsid w:val="00E04A77"/>
    <w:rsid w:val="00E04BC4"/>
    <w:rsid w:val="00E04D2C"/>
    <w:rsid w:val="00E04D6F"/>
    <w:rsid w:val="00E04D8C"/>
    <w:rsid w:val="00E05121"/>
    <w:rsid w:val="00E05146"/>
    <w:rsid w:val="00E05207"/>
    <w:rsid w:val="00E05209"/>
    <w:rsid w:val="00E0527C"/>
    <w:rsid w:val="00E053CD"/>
    <w:rsid w:val="00E05661"/>
    <w:rsid w:val="00E057FB"/>
    <w:rsid w:val="00E058A6"/>
    <w:rsid w:val="00E058CB"/>
    <w:rsid w:val="00E05946"/>
    <w:rsid w:val="00E059CE"/>
    <w:rsid w:val="00E05A4F"/>
    <w:rsid w:val="00E05BEF"/>
    <w:rsid w:val="00E05C46"/>
    <w:rsid w:val="00E05CF0"/>
    <w:rsid w:val="00E05D27"/>
    <w:rsid w:val="00E05DF2"/>
    <w:rsid w:val="00E05E07"/>
    <w:rsid w:val="00E05FD2"/>
    <w:rsid w:val="00E06057"/>
    <w:rsid w:val="00E0607D"/>
    <w:rsid w:val="00E06111"/>
    <w:rsid w:val="00E0621B"/>
    <w:rsid w:val="00E06358"/>
    <w:rsid w:val="00E064FB"/>
    <w:rsid w:val="00E065B9"/>
    <w:rsid w:val="00E065ED"/>
    <w:rsid w:val="00E0660C"/>
    <w:rsid w:val="00E06684"/>
    <w:rsid w:val="00E066D5"/>
    <w:rsid w:val="00E067FC"/>
    <w:rsid w:val="00E068A5"/>
    <w:rsid w:val="00E06917"/>
    <w:rsid w:val="00E06951"/>
    <w:rsid w:val="00E06983"/>
    <w:rsid w:val="00E069A7"/>
    <w:rsid w:val="00E06B4D"/>
    <w:rsid w:val="00E06CBA"/>
    <w:rsid w:val="00E06CDB"/>
    <w:rsid w:val="00E06D4C"/>
    <w:rsid w:val="00E06E03"/>
    <w:rsid w:val="00E06ED0"/>
    <w:rsid w:val="00E06F0D"/>
    <w:rsid w:val="00E06FD5"/>
    <w:rsid w:val="00E06FF5"/>
    <w:rsid w:val="00E0700C"/>
    <w:rsid w:val="00E0702A"/>
    <w:rsid w:val="00E070AE"/>
    <w:rsid w:val="00E070B7"/>
    <w:rsid w:val="00E070D8"/>
    <w:rsid w:val="00E071F4"/>
    <w:rsid w:val="00E072AA"/>
    <w:rsid w:val="00E0731C"/>
    <w:rsid w:val="00E073DE"/>
    <w:rsid w:val="00E07467"/>
    <w:rsid w:val="00E07634"/>
    <w:rsid w:val="00E07852"/>
    <w:rsid w:val="00E0787F"/>
    <w:rsid w:val="00E07A0D"/>
    <w:rsid w:val="00E07A19"/>
    <w:rsid w:val="00E07A2C"/>
    <w:rsid w:val="00E07AC8"/>
    <w:rsid w:val="00E07ADC"/>
    <w:rsid w:val="00E07C23"/>
    <w:rsid w:val="00E07C67"/>
    <w:rsid w:val="00E07C6C"/>
    <w:rsid w:val="00E07D63"/>
    <w:rsid w:val="00E07E40"/>
    <w:rsid w:val="00E100C3"/>
    <w:rsid w:val="00E100D2"/>
    <w:rsid w:val="00E1020D"/>
    <w:rsid w:val="00E1033A"/>
    <w:rsid w:val="00E104ED"/>
    <w:rsid w:val="00E10581"/>
    <w:rsid w:val="00E105BE"/>
    <w:rsid w:val="00E1063A"/>
    <w:rsid w:val="00E107E3"/>
    <w:rsid w:val="00E10864"/>
    <w:rsid w:val="00E108A1"/>
    <w:rsid w:val="00E108FA"/>
    <w:rsid w:val="00E10937"/>
    <w:rsid w:val="00E10A77"/>
    <w:rsid w:val="00E10ADF"/>
    <w:rsid w:val="00E10BC0"/>
    <w:rsid w:val="00E10BDD"/>
    <w:rsid w:val="00E10C21"/>
    <w:rsid w:val="00E10C59"/>
    <w:rsid w:val="00E10CF5"/>
    <w:rsid w:val="00E10D6C"/>
    <w:rsid w:val="00E10E1C"/>
    <w:rsid w:val="00E10E3A"/>
    <w:rsid w:val="00E10EF7"/>
    <w:rsid w:val="00E10F2E"/>
    <w:rsid w:val="00E10F92"/>
    <w:rsid w:val="00E10FEC"/>
    <w:rsid w:val="00E11079"/>
    <w:rsid w:val="00E110A9"/>
    <w:rsid w:val="00E1116F"/>
    <w:rsid w:val="00E11303"/>
    <w:rsid w:val="00E11389"/>
    <w:rsid w:val="00E117D7"/>
    <w:rsid w:val="00E11900"/>
    <w:rsid w:val="00E11AA0"/>
    <w:rsid w:val="00E11B0F"/>
    <w:rsid w:val="00E11BFD"/>
    <w:rsid w:val="00E11C0C"/>
    <w:rsid w:val="00E11C0F"/>
    <w:rsid w:val="00E11D4E"/>
    <w:rsid w:val="00E11D75"/>
    <w:rsid w:val="00E11DFE"/>
    <w:rsid w:val="00E11E5A"/>
    <w:rsid w:val="00E11F4D"/>
    <w:rsid w:val="00E11FA1"/>
    <w:rsid w:val="00E11FB2"/>
    <w:rsid w:val="00E11FDC"/>
    <w:rsid w:val="00E1200A"/>
    <w:rsid w:val="00E12087"/>
    <w:rsid w:val="00E12092"/>
    <w:rsid w:val="00E12096"/>
    <w:rsid w:val="00E1214C"/>
    <w:rsid w:val="00E121C8"/>
    <w:rsid w:val="00E12212"/>
    <w:rsid w:val="00E12286"/>
    <w:rsid w:val="00E12290"/>
    <w:rsid w:val="00E12371"/>
    <w:rsid w:val="00E1238F"/>
    <w:rsid w:val="00E12411"/>
    <w:rsid w:val="00E12421"/>
    <w:rsid w:val="00E1245B"/>
    <w:rsid w:val="00E124FD"/>
    <w:rsid w:val="00E1250D"/>
    <w:rsid w:val="00E1252F"/>
    <w:rsid w:val="00E1258D"/>
    <w:rsid w:val="00E125B3"/>
    <w:rsid w:val="00E125CF"/>
    <w:rsid w:val="00E12612"/>
    <w:rsid w:val="00E126AB"/>
    <w:rsid w:val="00E12734"/>
    <w:rsid w:val="00E127B2"/>
    <w:rsid w:val="00E12843"/>
    <w:rsid w:val="00E1294C"/>
    <w:rsid w:val="00E12B42"/>
    <w:rsid w:val="00E12BF0"/>
    <w:rsid w:val="00E12CC9"/>
    <w:rsid w:val="00E12D35"/>
    <w:rsid w:val="00E12D65"/>
    <w:rsid w:val="00E12D89"/>
    <w:rsid w:val="00E12D96"/>
    <w:rsid w:val="00E12E13"/>
    <w:rsid w:val="00E12E84"/>
    <w:rsid w:val="00E12F27"/>
    <w:rsid w:val="00E13016"/>
    <w:rsid w:val="00E13058"/>
    <w:rsid w:val="00E131AF"/>
    <w:rsid w:val="00E1324C"/>
    <w:rsid w:val="00E132B8"/>
    <w:rsid w:val="00E133A0"/>
    <w:rsid w:val="00E13490"/>
    <w:rsid w:val="00E13501"/>
    <w:rsid w:val="00E1358C"/>
    <w:rsid w:val="00E13641"/>
    <w:rsid w:val="00E13694"/>
    <w:rsid w:val="00E136C2"/>
    <w:rsid w:val="00E136E0"/>
    <w:rsid w:val="00E1371B"/>
    <w:rsid w:val="00E1372D"/>
    <w:rsid w:val="00E137FE"/>
    <w:rsid w:val="00E1389F"/>
    <w:rsid w:val="00E138A5"/>
    <w:rsid w:val="00E13945"/>
    <w:rsid w:val="00E13A54"/>
    <w:rsid w:val="00E13A7D"/>
    <w:rsid w:val="00E13B51"/>
    <w:rsid w:val="00E13BD5"/>
    <w:rsid w:val="00E13C1B"/>
    <w:rsid w:val="00E13C3B"/>
    <w:rsid w:val="00E13C62"/>
    <w:rsid w:val="00E13DDB"/>
    <w:rsid w:val="00E13E8A"/>
    <w:rsid w:val="00E13E8F"/>
    <w:rsid w:val="00E13F26"/>
    <w:rsid w:val="00E13F96"/>
    <w:rsid w:val="00E13FA2"/>
    <w:rsid w:val="00E13FB4"/>
    <w:rsid w:val="00E13FD7"/>
    <w:rsid w:val="00E14028"/>
    <w:rsid w:val="00E14052"/>
    <w:rsid w:val="00E140A3"/>
    <w:rsid w:val="00E140AC"/>
    <w:rsid w:val="00E1423E"/>
    <w:rsid w:val="00E14272"/>
    <w:rsid w:val="00E14376"/>
    <w:rsid w:val="00E14480"/>
    <w:rsid w:val="00E144D5"/>
    <w:rsid w:val="00E145FA"/>
    <w:rsid w:val="00E146B9"/>
    <w:rsid w:val="00E146BE"/>
    <w:rsid w:val="00E147FE"/>
    <w:rsid w:val="00E1480D"/>
    <w:rsid w:val="00E14822"/>
    <w:rsid w:val="00E14873"/>
    <w:rsid w:val="00E14909"/>
    <w:rsid w:val="00E149A9"/>
    <w:rsid w:val="00E149D8"/>
    <w:rsid w:val="00E14A36"/>
    <w:rsid w:val="00E14AAB"/>
    <w:rsid w:val="00E14B1C"/>
    <w:rsid w:val="00E14B44"/>
    <w:rsid w:val="00E14B56"/>
    <w:rsid w:val="00E14BDC"/>
    <w:rsid w:val="00E14C7C"/>
    <w:rsid w:val="00E14DA0"/>
    <w:rsid w:val="00E14E3B"/>
    <w:rsid w:val="00E14EEA"/>
    <w:rsid w:val="00E14EFA"/>
    <w:rsid w:val="00E14F19"/>
    <w:rsid w:val="00E14F44"/>
    <w:rsid w:val="00E14F9A"/>
    <w:rsid w:val="00E15011"/>
    <w:rsid w:val="00E1503F"/>
    <w:rsid w:val="00E15082"/>
    <w:rsid w:val="00E1516C"/>
    <w:rsid w:val="00E1516F"/>
    <w:rsid w:val="00E151D6"/>
    <w:rsid w:val="00E151E3"/>
    <w:rsid w:val="00E1524E"/>
    <w:rsid w:val="00E15558"/>
    <w:rsid w:val="00E155DB"/>
    <w:rsid w:val="00E1563E"/>
    <w:rsid w:val="00E15686"/>
    <w:rsid w:val="00E156D7"/>
    <w:rsid w:val="00E15746"/>
    <w:rsid w:val="00E15755"/>
    <w:rsid w:val="00E1580C"/>
    <w:rsid w:val="00E1589B"/>
    <w:rsid w:val="00E15905"/>
    <w:rsid w:val="00E15945"/>
    <w:rsid w:val="00E159CB"/>
    <w:rsid w:val="00E159CE"/>
    <w:rsid w:val="00E15A7C"/>
    <w:rsid w:val="00E15B13"/>
    <w:rsid w:val="00E15B3E"/>
    <w:rsid w:val="00E15BAB"/>
    <w:rsid w:val="00E15F73"/>
    <w:rsid w:val="00E1612C"/>
    <w:rsid w:val="00E16192"/>
    <w:rsid w:val="00E161E5"/>
    <w:rsid w:val="00E162E5"/>
    <w:rsid w:val="00E162F9"/>
    <w:rsid w:val="00E16448"/>
    <w:rsid w:val="00E164D0"/>
    <w:rsid w:val="00E16632"/>
    <w:rsid w:val="00E166C4"/>
    <w:rsid w:val="00E16750"/>
    <w:rsid w:val="00E1676C"/>
    <w:rsid w:val="00E167E1"/>
    <w:rsid w:val="00E16833"/>
    <w:rsid w:val="00E1683F"/>
    <w:rsid w:val="00E168C1"/>
    <w:rsid w:val="00E169BA"/>
    <w:rsid w:val="00E16A10"/>
    <w:rsid w:val="00E16B52"/>
    <w:rsid w:val="00E16B8F"/>
    <w:rsid w:val="00E16CF8"/>
    <w:rsid w:val="00E16D09"/>
    <w:rsid w:val="00E16D9C"/>
    <w:rsid w:val="00E16DD5"/>
    <w:rsid w:val="00E16DE5"/>
    <w:rsid w:val="00E16E07"/>
    <w:rsid w:val="00E16E0C"/>
    <w:rsid w:val="00E16E21"/>
    <w:rsid w:val="00E16EA3"/>
    <w:rsid w:val="00E16EA7"/>
    <w:rsid w:val="00E16EBF"/>
    <w:rsid w:val="00E16EF5"/>
    <w:rsid w:val="00E16F9A"/>
    <w:rsid w:val="00E17052"/>
    <w:rsid w:val="00E170E1"/>
    <w:rsid w:val="00E17102"/>
    <w:rsid w:val="00E171D6"/>
    <w:rsid w:val="00E17303"/>
    <w:rsid w:val="00E1738D"/>
    <w:rsid w:val="00E17517"/>
    <w:rsid w:val="00E17632"/>
    <w:rsid w:val="00E17686"/>
    <w:rsid w:val="00E176BD"/>
    <w:rsid w:val="00E17788"/>
    <w:rsid w:val="00E1780B"/>
    <w:rsid w:val="00E17837"/>
    <w:rsid w:val="00E17846"/>
    <w:rsid w:val="00E178B6"/>
    <w:rsid w:val="00E1791E"/>
    <w:rsid w:val="00E17A23"/>
    <w:rsid w:val="00E17AC4"/>
    <w:rsid w:val="00E17E3D"/>
    <w:rsid w:val="00E17E5F"/>
    <w:rsid w:val="00E17E6A"/>
    <w:rsid w:val="00E17F55"/>
    <w:rsid w:val="00E201DA"/>
    <w:rsid w:val="00E2025F"/>
    <w:rsid w:val="00E202D6"/>
    <w:rsid w:val="00E203CB"/>
    <w:rsid w:val="00E203CF"/>
    <w:rsid w:val="00E20472"/>
    <w:rsid w:val="00E204AD"/>
    <w:rsid w:val="00E204E2"/>
    <w:rsid w:val="00E204F5"/>
    <w:rsid w:val="00E20553"/>
    <w:rsid w:val="00E2059D"/>
    <w:rsid w:val="00E206A8"/>
    <w:rsid w:val="00E206AA"/>
    <w:rsid w:val="00E207C8"/>
    <w:rsid w:val="00E207D1"/>
    <w:rsid w:val="00E207DB"/>
    <w:rsid w:val="00E20981"/>
    <w:rsid w:val="00E209AC"/>
    <w:rsid w:val="00E20A0A"/>
    <w:rsid w:val="00E20A15"/>
    <w:rsid w:val="00E20B4D"/>
    <w:rsid w:val="00E20D00"/>
    <w:rsid w:val="00E20D53"/>
    <w:rsid w:val="00E20D84"/>
    <w:rsid w:val="00E20DB7"/>
    <w:rsid w:val="00E20E5E"/>
    <w:rsid w:val="00E20ECD"/>
    <w:rsid w:val="00E211AB"/>
    <w:rsid w:val="00E211E7"/>
    <w:rsid w:val="00E21260"/>
    <w:rsid w:val="00E2136B"/>
    <w:rsid w:val="00E213CA"/>
    <w:rsid w:val="00E21523"/>
    <w:rsid w:val="00E21562"/>
    <w:rsid w:val="00E2157D"/>
    <w:rsid w:val="00E215F9"/>
    <w:rsid w:val="00E21624"/>
    <w:rsid w:val="00E21645"/>
    <w:rsid w:val="00E216FC"/>
    <w:rsid w:val="00E21700"/>
    <w:rsid w:val="00E21756"/>
    <w:rsid w:val="00E2188C"/>
    <w:rsid w:val="00E218A1"/>
    <w:rsid w:val="00E218EE"/>
    <w:rsid w:val="00E219CB"/>
    <w:rsid w:val="00E219ED"/>
    <w:rsid w:val="00E21A25"/>
    <w:rsid w:val="00E21A43"/>
    <w:rsid w:val="00E21A98"/>
    <w:rsid w:val="00E21AC2"/>
    <w:rsid w:val="00E21B7B"/>
    <w:rsid w:val="00E21B7D"/>
    <w:rsid w:val="00E21C63"/>
    <w:rsid w:val="00E21E17"/>
    <w:rsid w:val="00E21FBE"/>
    <w:rsid w:val="00E21FC4"/>
    <w:rsid w:val="00E220F8"/>
    <w:rsid w:val="00E22149"/>
    <w:rsid w:val="00E2214F"/>
    <w:rsid w:val="00E221B6"/>
    <w:rsid w:val="00E221DC"/>
    <w:rsid w:val="00E22201"/>
    <w:rsid w:val="00E2221F"/>
    <w:rsid w:val="00E222EF"/>
    <w:rsid w:val="00E2233F"/>
    <w:rsid w:val="00E22434"/>
    <w:rsid w:val="00E22437"/>
    <w:rsid w:val="00E22463"/>
    <w:rsid w:val="00E22531"/>
    <w:rsid w:val="00E22667"/>
    <w:rsid w:val="00E22739"/>
    <w:rsid w:val="00E2277A"/>
    <w:rsid w:val="00E22903"/>
    <w:rsid w:val="00E2292F"/>
    <w:rsid w:val="00E22A8C"/>
    <w:rsid w:val="00E22AA9"/>
    <w:rsid w:val="00E22B0E"/>
    <w:rsid w:val="00E22C82"/>
    <w:rsid w:val="00E22C94"/>
    <w:rsid w:val="00E22EA6"/>
    <w:rsid w:val="00E22FFB"/>
    <w:rsid w:val="00E230CF"/>
    <w:rsid w:val="00E2323E"/>
    <w:rsid w:val="00E23260"/>
    <w:rsid w:val="00E23262"/>
    <w:rsid w:val="00E23282"/>
    <w:rsid w:val="00E232D2"/>
    <w:rsid w:val="00E232ED"/>
    <w:rsid w:val="00E23368"/>
    <w:rsid w:val="00E23462"/>
    <w:rsid w:val="00E23474"/>
    <w:rsid w:val="00E23735"/>
    <w:rsid w:val="00E23755"/>
    <w:rsid w:val="00E23919"/>
    <w:rsid w:val="00E2393C"/>
    <w:rsid w:val="00E23977"/>
    <w:rsid w:val="00E23AAC"/>
    <w:rsid w:val="00E23B15"/>
    <w:rsid w:val="00E23B73"/>
    <w:rsid w:val="00E23B86"/>
    <w:rsid w:val="00E23BDB"/>
    <w:rsid w:val="00E23CFB"/>
    <w:rsid w:val="00E23DD5"/>
    <w:rsid w:val="00E23E53"/>
    <w:rsid w:val="00E23F45"/>
    <w:rsid w:val="00E240AF"/>
    <w:rsid w:val="00E2416A"/>
    <w:rsid w:val="00E241AE"/>
    <w:rsid w:val="00E241B0"/>
    <w:rsid w:val="00E242B0"/>
    <w:rsid w:val="00E242F5"/>
    <w:rsid w:val="00E243F1"/>
    <w:rsid w:val="00E2451B"/>
    <w:rsid w:val="00E248A7"/>
    <w:rsid w:val="00E248D2"/>
    <w:rsid w:val="00E24A19"/>
    <w:rsid w:val="00E24A66"/>
    <w:rsid w:val="00E24AA5"/>
    <w:rsid w:val="00E24AD8"/>
    <w:rsid w:val="00E24B2A"/>
    <w:rsid w:val="00E24C2C"/>
    <w:rsid w:val="00E24C47"/>
    <w:rsid w:val="00E24D0A"/>
    <w:rsid w:val="00E24D2D"/>
    <w:rsid w:val="00E24D65"/>
    <w:rsid w:val="00E24E36"/>
    <w:rsid w:val="00E24F12"/>
    <w:rsid w:val="00E24F35"/>
    <w:rsid w:val="00E24F9A"/>
    <w:rsid w:val="00E24F9F"/>
    <w:rsid w:val="00E2508E"/>
    <w:rsid w:val="00E25112"/>
    <w:rsid w:val="00E25125"/>
    <w:rsid w:val="00E25138"/>
    <w:rsid w:val="00E25206"/>
    <w:rsid w:val="00E25271"/>
    <w:rsid w:val="00E252DB"/>
    <w:rsid w:val="00E2545F"/>
    <w:rsid w:val="00E254D5"/>
    <w:rsid w:val="00E25623"/>
    <w:rsid w:val="00E256E4"/>
    <w:rsid w:val="00E25700"/>
    <w:rsid w:val="00E2593F"/>
    <w:rsid w:val="00E259AF"/>
    <w:rsid w:val="00E25A74"/>
    <w:rsid w:val="00E25A7D"/>
    <w:rsid w:val="00E25B7B"/>
    <w:rsid w:val="00E25BFA"/>
    <w:rsid w:val="00E25C3A"/>
    <w:rsid w:val="00E25E2B"/>
    <w:rsid w:val="00E25E40"/>
    <w:rsid w:val="00E25E5B"/>
    <w:rsid w:val="00E25F0B"/>
    <w:rsid w:val="00E25F35"/>
    <w:rsid w:val="00E25FA3"/>
    <w:rsid w:val="00E26016"/>
    <w:rsid w:val="00E260B0"/>
    <w:rsid w:val="00E260F4"/>
    <w:rsid w:val="00E262BA"/>
    <w:rsid w:val="00E262C5"/>
    <w:rsid w:val="00E26339"/>
    <w:rsid w:val="00E26343"/>
    <w:rsid w:val="00E263C3"/>
    <w:rsid w:val="00E263E4"/>
    <w:rsid w:val="00E2649A"/>
    <w:rsid w:val="00E26571"/>
    <w:rsid w:val="00E265BB"/>
    <w:rsid w:val="00E265C3"/>
    <w:rsid w:val="00E2663D"/>
    <w:rsid w:val="00E266AB"/>
    <w:rsid w:val="00E26911"/>
    <w:rsid w:val="00E26A00"/>
    <w:rsid w:val="00E26A8F"/>
    <w:rsid w:val="00E26B09"/>
    <w:rsid w:val="00E26B26"/>
    <w:rsid w:val="00E26BA6"/>
    <w:rsid w:val="00E26BE6"/>
    <w:rsid w:val="00E26C0B"/>
    <w:rsid w:val="00E26C50"/>
    <w:rsid w:val="00E26D6F"/>
    <w:rsid w:val="00E26DA7"/>
    <w:rsid w:val="00E26DDA"/>
    <w:rsid w:val="00E26E1F"/>
    <w:rsid w:val="00E26E56"/>
    <w:rsid w:val="00E26EE8"/>
    <w:rsid w:val="00E26F29"/>
    <w:rsid w:val="00E26F4E"/>
    <w:rsid w:val="00E26FD0"/>
    <w:rsid w:val="00E27044"/>
    <w:rsid w:val="00E27056"/>
    <w:rsid w:val="00E270F3"/>
    <w:rsid w:val="00E2722B"/>
    <w:rsid w:val="00E272D4"/>
    <w:rsid w:val="00E272EA"/>
    <w:rsid w:val="00E27492"/>
    <w:rsid w:val="00E274A4"/>
    <w:rsid w:val="00E274ED"/>
    <w:rsid w:val="00E275A7"/>
    <w:rsid w:val="00E27632"/>
    <w:rsid w:val="00E27703"/>
    <w:rsid w:val="00E2771F"/>
    <w:rsid w:val="00E277E9"/>
    <w:rsid w:val="00E27893"/>
    <w:rsid w:val="00E27935"/>
    <w:rsid w:val="00E279BD"/>
    <w:rsid w:val="00E27A19"/>
    <w:rsid w:val="00E27AB9"/>
    <w:rsid w:val="00E27B3B"/>
    <w:rsid w:val="00E27B8F"/>
    <w:rsid w:val="00E27BF3"/>
    <w:rsid w:val="00E27DEA"/>
    <w:rsid w:val="00E27E12"/>
    <w:rsid w:val="00E27E15"/>
    <w:rsid w:val="00E27E74"/>
    <w:rsid w:val="00E27FAD"/>
    <w:rsid w:val="00E27FB3"/>
    <w:rsid w:val="00E2AC28"/>
    <w:rsid w:val="00E300BA"/>
    <w:rsid w:val="00E301E3"/>
    <w:rsid w:val="00E30272"/>
    <w:rsid w:val="00E303FC"/>
    <w:rsid w:val="00E30438"/>
    <w:rsid w:val="00E305C5"/>
    <w:rsid w:val="00E30633"/>
    <w:rsid w:val="00E306E3"/>
    <w:rsid w:val="00E3078F"/>
    <w:rsid w:val="00E3081F"/>
    <w:rsid w:val="00E30851"/>
    <w:rsid w:val="00E308B2"/>
    <w:rsid w:val="00E30AA8"/>
    <w:rsid w:val="00E30AE0"/>
    <w:rsid w:val="00E30B08"/>
    <w:rsid w:val="00E30BEB"/>
    <w:rsid w:val="00E30C23"/>
    <w:rsid w:val="00E30C75"/>
    <w:rsid w:val="00E30D23"/>
    <w:rsid w:val="00E30D78"/>
    <w:rsid w:val="00E30E32"/>
    <w:rsid w:val="00E30FA6"/>
    <w:rsid w:val="00E30FB4"/>
    <w:rsid w:val="00E3102D"/>
    <w:rsid w:val="00E3114A"/>
    <w:rsid w:val="00E3115A"/>
    <w:rsid w:val="00E313EB"/>
    <w:rsid w:val="00E314D0"/>
    <w:rsid w:val="00E3151E"/>
    <w:rsid w:val="00E31606"/>
    <w:rsid w:val="00E31613"/>
    <w:rsid w:val="00E31685"/>
    <w:rsid w:val="00E31708"/>
    <w:rsid w:val="00E31821"/>
    <w:rsid w:val="00E31871"/>
    <w:rsid w:val="00E31899"/>
    <w:rsid w:val="00E318B5"/>
    <w:rsid w:val="00E3196E"/>
    <w:rsid w:val="00E31A10"/>
    <w:rsid w:val="00E31A3C"/>
    <w:rsid w:val="00E31A43"/>
    <w:rsid w:val="00E31AD6"/>
    <w:rsid w:val="00E31B06"/>
    <w:rsid w:val="00E31B5F"/>
    <w:rsid w:val="00E31BB8"/>
    <w:rsid w:val="00E31BFC"/>
    <w:rsid w:val="00E31C8C"/>
    <w:rsid w:val="00E31CBE"/>
    <w:rsid w:val="00E31CC5"/>
    <w:rsid w:val="00E31D51"/>
    <w:rsid w:val="00E31D8B"/>
    <w:rsid w:val="00E31DCD"/>
    <w:rsid w:val="00E31DF2"/>
    <w:rsid w:val="00E31EB9"/>
    <w:rsid w:val="00E31F5C"/>
    <w:rsid w:val="00E31FE1"/>
    <w:rsid w:val="00E320B5"/>
    <w:rsid w:val="00E320F3"/>
    <w:rsid w:val="00E32143"/>
    <w:rsid w:val="00E32384"/>
    <w:rsid w:val="00E32421"/>
    <w:rsid w:val="00E3257F"/>
    <w:rsid w:val="00E32582"/>
    <w:rsid w:val="00E325F2"/>
    <w:rsid w:val="00E326A2"/>
    <w:rsid w:val="00E3277C"/>
    <w:rsid w:val="00E3279F"/>
    <w:rsid w:val="00E329C7"/>
    <w:rsid w:val="00E32A5D"/>
    <w:rsid w:val="00E32A8E"/>
    <w:rsid w:val="00E32ACE"/>
    <w:rsid w:val="00E32AE2"/>
    <w:rsid w:val="00E32D66"/>
    <w:rsid w:val="00E32E09"/>
    <w:rsid w:val="00E32F1C"/>
    <w:rsid w:val="00E32F61"/>
    <w:rsid w:val="00E32F84"/>
    <w:rsid w:val="00E32FB5"/>
    <w:rsid w:val="00E33067"/>
    <w:rsid w:val="00E3308E"/>
    <w:rsid w:val="00E33138"/>
    <w:rsid w:val="00E331CA"/>
    <w:rsid w:val="00E33229"/>
    <w:rsid w:val="00E3322A"/>
    <w:rsid w:val="00E332E7"/>
    <w:rsid w:val="00E33316"/>
    <w:rsid w:val="00E33339"/>
    <w:rsid w:val="00E33344"/>
    <w:rsid w:val="00E3344B"/>
    <w:rsid w:val="00E335C4"/>
    <w:rsid w:val="00E33868"/>
    <w:rsid w:val="00E33919"/>
    <w:rsid w:val="00E33969"/>
    <w:rsid w:val="00E33994"/>
    <w:rsid w:val="00E33996"/>
    <w:rsid w:val="00E3399D"/>
    <w:rsid w:val="00E339AB"/>
    <w:rsid w:val="00E33A7B"/>
    <w:rsid w:val="00E33BCD"/>
    <w:rsid w:val="00E33C78"/>
    <w:rsid w:val="00E33CB2"/>
    <w:rsid w:val="00E33D97"/>
    <w:rsid w:val="00E33DF1"/>
    <w:rsid w:val="00E33DFA"/>
    <w:rsid w:val="00E33EB5"/>
    <w:rsid w:val="00E33EEC"/>
    <w:rsid w:val="00E33F2C"/>
    <w:rsid w:val="00E3409C"/>
    <w:rsid w:val="00E340C8"/>
    <w:rsid w:val="00E341A5"/>
    <w:rsid w:val="00E34234"/>
    <w:rsid w:val="00E3424D"/>
    <w:rsid w:val="00E3424F"/>
    <w:rsid w:val="00E3437C"/>
    <w:rsid w:val="00E343B8"/>
    <w:rsid w:val="00E34537"/>
    <w:rsid w:val="00E345D6"/>
    <w:rsid w:val="00E34801"/>
    <w:rsid w:val="00E3490A"/>
    <w:rsid w:val="00E3495B"/>
    <w:rsid w:val="00E349B1"/>
    <w:rsid w:val="00E349D2"/>
    <w:rsid w:val="00E34C06"/>
    <w:rsid w:val="00E34D99"/>
    <w:rsid w:val="00E34DF5"/>
    <w:rsid w:val="00E34F1F"/>
    <w:rsid w:val="00E35049"/>
    <w:rsid w:val="00E35229"/>
    <w:rsid w:val="00E3527C"/>
    <w:rsid w:val="00E35382"/>
    <w:rsid w:val="00E35392"/>
    <w:rsid w:val="00E35440"/>
    <w:rsid w:val="00E3544E"/>
    <w:rsid w:val="00E354C4"/>
    <w:rsid w:val="00E354DC"/>
    <w:rsid w:val="00E3552A"/>
    <w:rsid w:val="00E3559D"/>
    <w:rsid w:val="00E355AE"/>
    <w:rsid w:val="00E355E4"/>
    <w:rsid w:val="00E35700"/>
    <w:rsid w:val="00E3582B"/>
    <w:rsid w:val="00E3590B"/>
    <w:rsid w:val="00E3590C"/>
    <w:rsid w:val="00E35950"/>
    <w:rsid w:val="00E35999"/>
    <w:rsid w:val="00E35B5F"/>
    <w:rsid w:val="00E35B64"/>
    <w:rsid w:val="00E35C62"/>
    <w:rsid w:val="00E35CCA"/>
    <w:rsid w:val="00E35D1F"/>
    <w:rsid w:val="00E35E2F"/>
    <w:rsid w:val="00E35EEA"/>
    <w:rsid w:val="00E35F53"/>
    <w:rsid w:val="00E35FA7"/>
    <w:rsid w:val="00E362EC"/>
    <w:rsid w:val="00E3630D"/>
    <w:rsid w:val="00E36315"/>
    <w:rsid w:val="00E36444"/>
    <w:rsid w:val="00E36475"/>
    <w:rsid w:val="00E3659E"/>
    <w:rsid w:val="00E3661B"/>
    <w:rsid w:val="00E3662C"/>
    <w:rsid w:val="00E36667"/>
    <w:rsid w:val="00E36673"/>
    <w:rsid w:val="00E36697"/>
    <w:rsid w:val="00E366C1"/>
    <w:rsid w:val="00E36761"/>
    <w:rsid w:val="00E367A4"/>
    <w:rsid w:val="00E367B4"/>
    <w:rsid w:val="00E36916"/>
    <w:rsid w:val="00E36917"/>
    <w:rsid w:val="00E36932"/>
    <w:rsid w:val="00E3693A"/>
    <w:rsid w:val="00E3695A"/>
    <w:rsid w:val="00E36984"/>
    <w:rsid w:val="00E36994"/>
    <w:rsid w:val="00E369AA"/>
    <w:rsid w:val="00E36AF2"/>
    <w:rsid w:val="00E36B1D"/>
    <w:rsid w:val="00E36B28"/>
    <w:rsid w:val="00E36B3C"/>
    <w:rsid w:val="00E36B71"/>
    <w:rsid w:val="00E36B89"/>
    <w:rsid w:val="00E36B8C"/>
    <w:rsid w:val="00E36BC7"/>
    <w:rsid w:val="00E36C9E"/>
    <w:rsid w:val="00E36CA7"/>
    <w:rsid w:val="00E36ED1"/>
    <w:rsid w:val="00E36F6C"/>
    <w:rsid w:val="00E3701A"/>
    <w:rsid w:val="00E370B9"/>
    <w:rsid w:val="00E370DC"/>
    <w:rsid w:val="00E3721C"/>
    <w:rsid w:val="00E3727C"/>
    <w:rsid w:val="00E3730D"/>
    <w:rsid w:val="00E373DD"/>
    <w:rsid w:val="00E3740D"/>
    <w:rsid w:val="00E37462"/>
    <w:rsid w:val="00E37472"/>
    <w:rsid w:val="00E374C4"/>
    <w:rsid w:val="00E374F6"/>
    <w:rsid w:val="00E3759E"/>
    <w:rsid w:val="00E37635"/>
    <w:rsid w:val="00E376BA"/>
    <w:rsid w:val="00E376CA"/>
    <w:rsid w:val="00E376FA"/>
    <w:rsid w:val="00E377B4"/>
    <w:rsid w:val="00E377CE"/>
    <w:rsid w:val="00E378B9"/>
    <w:rsid w:val="00E378E6"/>
    <w:rsid w:val="00E379CC"/>
    <w:rsid w:val="00E37A3E"/>
    <w:rsid w:val="00E37AC5"/>
    <w:rsid w:val="00E37AD8"/>
    <w:rsid w:val="00E37AF3"/>
    <w:rsid w:val="00E37C6A"/>
    <w:rsid w:val="00E37D2B"/>
    <w:rsid w:val="00E37DB0"/>
    <w:rsid w:val="00E37E4A"/>
    <w:rsid w:val="00E37ED3"/>
    <w:rsid w:val="00E40052"/>
    <w:rsid w:val="00E400B6"/>
    <w:rsid w:val="00E400F4"/>
    <w:rsid w:val="00E400F5"/>
    <w:rsid w:val="00E4017B"/>
    <w:rsid w:val="00E401AC"/>
    <w:rsid w:val="00E4023B"/>
    <w:rsid w:val="00E40282"/>
    <w:rsid w:val="00E40288"/>
    <w:rsid w:val="00E4028D"/>
    <w:rsid w:val="00E40290"/>
    <w:rsid w:val="00E403BE"/>
    <w:rsid w:val="00E40427"/>
    <w:rsid w:val="00E4044B"/>
    <w:rsid w:val="00E404DE"/>
    <w:rsid w:val="00E4050A"/>
    <w:rsid w:val="00E406E1"/>
    <w:rsid w:val="00E4081F"/>
    <w:rsid w:val="00E4088B"/>
    <w:rsid w:val="00E408C7"/>
    <w:rsid w:val="00E4095E"/>
    <w:rsid w:val="00E40AE4"/>
    <w:rsid w:val="00E40DAB"/>
    <w:rsid w:val="00E40E63"/>
    <w:rsid w:val="00E40E82"/>
    <w:rsid w:val="00E40EAB"/>
    <w:rsid w:val="00E40F5D"/>
    <w:rsid w:val="00E40FF8"/>
    <w:rsid w:val="00E41017"/>
    <w:rsid w:val="00E41056"/>
    <w:rsid w:val="00E41247"/>
    <w:rsid w:val="00E4136C"/>
    <w:rsid w:val="00E4141D"/>
    <w:rsid w:val="00E4145E"/>
    <w:rsid w:val="00E41499"/>
    <w:rsid w:val="00E415A0"/>
    <w:rsid w:val="00E415B7"/>
    <w:rsid w:val="00E415E8"/>
    <w:rsid w:val="00E41641"/>
    <w:rsid w:val="00E417BC"/>
    <w:rsid w:val="00E417BD"/>
    <w:rsid w:val="00E417E3"/>
    <w:rsid w:val="00E4187B"/>
    <w:rsid w:val="00E41911"/>
    <w:rsid w:val="00E419A7"/>
    <w:rsid w:val="00E41AF0"/>
    <w:rsid w:val="00E41BBD"/>
    <w:rsid w:val="00E41C18"/>
    <w:rsid w:val="00E41CFC"/>
    <w:rsid w:val="00E41D34"/>
    <w:rsid w:val="00E41D4D"/>
    <w:rsid w:val="00E41D77"/>
    <w:rsid w:val="00E41D84"/>
    <w:rsid w:val="00E41E49"/>
    <w:rsid w:val="00E41F4F"/>
    <w:rsid w:val="00E41FAC"/>
    <w:rsid w:val="00E42140"/>
    <w:rsid w:val="00E42225"/>
    <w:rsid w:val="00E4223B"/>
    <w:rsid w:val="00E42315"/>
    <w:rsid w:val="00E42341"/>
    <w:rsid w:val="00E4244B"/>
    <w:rsid w:val="00E424EA"/>
    <w:rsid w:val="00E42516"/>
    <w:rsid w:val="00E42540"/>
    <w:rsid w:val="00E42638"/>
    <w:rsid w:val="00E42780"/>
    <w:rsid w:val="00E427A4"/>
    <w:rsid w:val="00E4280F"/>
    <w:rsid w:val="00E42869"/>
    <w:rsid w:val="00E42975"/>
    <w:rsid w:val="00E429D7"/>
    <w:rsid w:val="00E42A47"/>
    <w:rsid w:val="00E42A5F"/>
    <w:rsid w:val="00E42A74"/>
    <w:rsid w:val="00E42A81"/>
    <w:rsid w:val="00E42B4F"/>
    <w:rsid w:val="00E42B73"/>
    <w:rsid w:val="00E42B7E"/>
    <w:rsid w:val="00E42B8D"/>
    <w:rsid w:val="00E42CE3"/>
    <w:rsid w:val="00E42EB4"/>
    <w:rsid w:val="00E42EBB"/>
    <w:rsid w:val="00E42F03"/>
    <w:rsid w:val="00E42F78"/>
    <w:rsid w:val="00E42F9B"/>
    <w:rsid w:val="00E4307A"/>
    <w:rsid w:val="00E43082"/>
    <w:rsid w:val="00E4314C"/>
    <w:rsid w:val="00E4319D"/>
    <w:rsid w:val="00E431E3"/>
    <w:rsid w:val="00E431FA"/>
    <w:rsid w:val="00E43347"/>
    <w:rsid w:val="00E433C5"/>
    <w:rsid w:val="00E43490"/>
    <w:rsid w:val="00E43839"/>
    <w:rsid w:val="00E43944"/>
    <w:rsid w:val="00E43948"/>
    <w:rsid w:val="00E439AA"/>
    <w:rsid w:val="00E43A65"/>
    <w:rsid w:val="00E43A9D"/>
    <w:rsid w:val="00E43B1F"/>
    <w:rsid w:val="00E43B32"/>
    <w:rsid w:val="00E43B71"/>
    <w:rsid w:val="00E43BC4"/>
    <w:rsid w:val="00E43C1E"/>
    <w:rsid w:val="00E43C1F"/>
    <w:rsid w:val="00E43D7C"/>
    <w:rsid w:val="00E43DEF"/>
    <w:rsid w:val="00E43E28"/>
    <w:rsid w:val="00E43EE0"/>
    <w:rsid w:val="00E43F36"/>
    <w:rsid w:val="00E441A8"/>
    <w:rsid w:val="00E44234"/>
    <w:rsid w:val="00E44264"/>
    <w:rsid w:val="00E4432D"/>
    <w:rsid w:val="00E44338"/>
    <w:rsid w:val="00E4438D"/>
    <w:rsid w:val="00E444BD"/>
    <w:rsid w:val="00E444E2"/>
    <w:rsid w:val="00E44558"/>
    <w:rsid w:val="00E4469C"/>
    <w:rsid w:val="00E44715"/>
    <w:rsid w:val="00E4471F"/>
    <w:rsid w:val="00E44756"/>
    <w:rsid w:val="00E447F1"/>
    <w:rsid w:val="00E448AD"/>
    <w:rsid w:val="00E449A7"/>
    <w:rsid w:val="00E449DF"/>
    <w:rsid w:val="00E44A7E"/>
    <w:rsid w:val="00E44AE2"/>
    <w:rsid w:val="00E44BCF"/>
    <w:rsid w:val="00E44BFD"/>
    <w:rsid w:val="00E44C7A"/>
    <w:rsid w:val="00E44D40"/>
    <w:rsid w:val="00E44E22"/>
    <w:rsid w:val="00E44EBD"/>
    <w:rsid w:val="00E44FB0"/>
    <w:rsid w:val="00E45079"/>
    <w:rsid w:val="00E4507F"/>
    <w:rsid w:val="00E450DF"/>
    <w:rsid w:val="00E4520B"/>
    <w:rsid w:val="00E45219"/>
    <w:rsid w:val="00E4522B"/>
    <w:rsid w:val="00E45282"/>
    <w:rsid w:val="00E4528F"/>
    <w:rsid w:val="00E452A0"/>
    <w:rsid w:val="00E452F4"/>
    <w:rsid w:val="00E452F8"/>
    <w:rsid w:val="00E453FF"/>
    <w:rsid w:val="00E45442"/>
    <w:rsid w:val="00E45473"/>
    <w:rsid w:val="00E45491"/>
    <w:rsid w:val="00E4554D"/>
    <w:rsid w:val="00E45604"/>
    <w:rsid w:val="00E4571A"/>
    <w:rsid w:val="00E45903"/>
    <w:rsid w:val="00E459A9"/>
    <w:rsid w:val="00E459FD"/>
    <w:rsid w:val="00E45A49"/>
    <w:rsid w:val="00E45A68"/>
    <w:rsid w:val="00E45ADA"/>
    <w:rsid w:val="00E45AF3"/>
    <w:rsid w:val="00E45B2C"/>
    <w:rsid w:val="00E45C80"/>
    <w:rsid w:val="00E45DCA"/>
    <w:rsid w:val="00E45E4E"/>
    <w:rsid w:val="00E45FAF"/>
    <w:rsid w:val="00E46064"/>
    <w:rsid w:val="00E46087"/>
    <w:rsid w:val="00E4611D"/>
    <w:rsid w:val="00E461F4"/>
    <w:rsid w:val="00E46276"/>
    <w:rsid w:val="00E46342"/>
    <w:rsid w:val="00E4639B"/>
    <w:rsid w:val="00E463B1"/>
    <w:rsid w:val="00E46405"/>
    <w:rsid w:val="00E4640E"/>
    <w:rsid w:val="00E464BB"/>
    <w:rsid w:val="00E464D7"/>
    <w:rsid w:val="00E466D5"/>
    <w:rsid w:val="00E4677C"/>
    <w:rsid w:val="00E468B5"/>
    <w:rsid w:val="00E468FE"/>
    <w:rsid w:val="00E46985"/>
    <w:rsid w:val="00E46AB2"/>
    <w:rsid w:val="00E46B29"/>
    <w:rsid w:val="00E46B92"/>
    <w:rsid w:val="00E46BB7"/>
    <w:rsid w:val="00E46C12"/>
    <w:rsid w:val="00E46C61"/>
    <w:rsid w:val="00E46C7C"/>
    <w:rsid w:val="00E46C8B"/>
    <w:rsid w:val="00E46C9B"/>
    <w:rsid w:val="00E46CFA"/>
    <w:rsid w:val="00E46D5E"/>
    <w:rsid w:val="00E46DDC"/>
    <w:rsid w:val="00E46E81"/>
    <w:rsid w:val="00E46E83"/>
    <w:rsid w:val="00E46F11"/>
    <w:rsid w:val="00E4717D"/>
    <w:rsid w:val="00E472AF"/>
    <w:rsid w:val="00E4739B"/>
    <w:rsid w:val="00E47403"/>
    <w:rsid w:val="00E474A5"/>
    <w:rsid w:val="00E47549"/>
    <w:rsid w:val="00E476AB"/>
    <w:rsid w:val="00E47868"/>
    <w:rsid w:val="00E47955"/>
    <w:rsid w:val="00E47964"/>
    <w:rsid w:val="00E47A64"/>
    <w:rsid w:val="00E47A96"/>
    <w:rsid w:val="00E47AC2"/>
    <w:rsid w:val="00E47AD6"/>
    <w:rsid w:val="00E47B92"/>
    <w:rsid w:val="00E47D76"/>
    <w:rsid w:val="00E47DBC"/>
    <w:rsid w:val="00E47DD8"/>
    <w:rsid w:val="00E47F1A"/>
    <w:rsid w:val="00E47F2A"/>
    <w:rsid w:val="00E47F84"/>
    <w:rsid w:val="00E50090"/>
    <w:rsid w:val="00E500DB"/>
    <w:rsid w:val="00E50130"/>
    <w:rsid w:val="00E50135"/>
    <w:rsid w:val="00E50139"/>
    <w:rsid w:val="00E50242"/>
    <w:rsid w:val="00E502E4"/>
    <w:rsid w:val="00E50323"/>
    <w:rsid w:val="00E50358"/>
    <w:rsid w:val="00E5038B"/>
    <w:rsid w:val="00E503B7"/>
    <w:rsid w:val="00E503E5"/>
    <w:rsid w:val="00E50449"/>
    <w:rsid w:val="00E504B0"/>
    <w:rsid w:val="00E505F7"/>
    <w:rsid w:val="00E5063B"/>
    <w:rsid w:val="00E507EA"/>
    <w:rsid w:val="00E5088E"/>
    <w:rsid w:val="00E508BA"/>
    <w:rsid w:val="00E5099A"/>
    <w:rsid w:val="00E50A19"/>
    <w:rsid w:val="00E50A90"/>
    <w:rsid w:val="00E50C11"/>
    <w:rsid w:val="00E50CC2"/>
    <w:rsid w:val="00E50E1C"/>
    <w:rsid w:val="00E50E75"/>
    <w:rsid w:val="00E50EB2"/>
    <w:rsid w:val="00E50EBB"/>
    <w:rsid w:val="00E50EE2"/>
    <w:rsid w:val="00E50F1E"/>
    <w:rsid w:val="00E50FBB"/>
    <w:rsid w:val="00E5102E"/>
    <w:rsid w:val="00E51048"/>
    <w:rsid w:val="00E51091"/>
    <w:rsid w:val="00E510AC"/>
    <w:rsid w:val="00E51144"/>
    <w:rsid w:val="00E51205"/>
    <w:rsid w:val="00E5125B"/>
    <w:rsid w:val="00E5129C"/>
    <w:rsid w:val="00E512A4"/>
    <w:rsid w:val="00E512FB"/>
    <w:rsid w:val="00E512FD"/>
    <w:rsid w:val="00E51302"/>
    <w:rsid w:val="00E513A1"/>
    <w:rsid w:val="00E513B7"/>
    <w:rsid w:val="00E513C2"/>
    <w:rsid w:val="00E513E9"/>
    <w:rsid w:val="00E5143E"/>
    <w:rsid w:val="00E5144A"/>
    <w:rsid w:val="00E51461"/>
    <w:rsid w:val="00E51575"/>
    <w:rsid w:val="00E51613"/>
    <w:rsid w:val="00E51614"/>
    <w:rsid w:val="00E51629"/>
    <w:rsid w:val="00E516F7"/>
    <w:rsid w:val="00E51777"/>
    <w:rsid w:val="00E518C0"/>
    <w:rsid w:val="00E519EE"/>
    <w:rsid w:val="00E51A37"/>
    <w:rsid w:val="00E51BA4"/>
    <w:rsid w:val="00E51BD0"/>
    <w:rsid w:val="00E51C09"/>
    <w:rsid w:val="00E51C7F"/>
    <w:rsid w:val="00E51C8E"/>
    <w:rsid w:val="00E51D9E"/>
    <w:rsid w:val="00E51DE0"/>
    <w:rsid w:val="00E51E43"/>
    <w:rsid w:val="00E51EB9"/>
    <w:rsid w:val="00E51F58"/>
    <w:rsid w:val="00E51FE5"/>
    <w:rsid w:val="00E51FEA"/>
    <w:rsid w:val="00E520D1"/>
    <w:rsid w:val="00E520FF"/>
    <w:rsid w:val="00E52129"/>
    <w:rsid w:val="00E52189"/>
    <w:rsid w:val="00E5219B"/>
    <w:rsid w:val="00E52219"/>
    <w:rsid w:val="00E522B7"/>
    <w:rsid w:val="00E52342"/>
    <w:rsid w:val="00E5235C"/>
    <w:rsid w:val="00E5236D"/>
    <w:rsid w:val="00E5238B"/>
    <w:rsid w:val="00E524CB"/>
    <w:rsid w:val="00E524D9"/>
    <w:rsid w:val="00E5251F"/>
    <w:rsid w:val="00E52523"/>
    <w:rsid w:val="00E5268D"/>
    <w:rsid w:val="00E52778"/>
    <w:rsid w:val="00E5279A"/>
    <w:rsid w:val="00E52842"/>
    <w:rsid w:val="00E5287A"/>
    <w:rsid w:val="00E52A6D"/>
    <w:rsid w:val="00E52A79"/>
    <w:rsid w:val="00E52B9A"/>
    <w:rsid w:val="00E52BC1"/>
    <w:rsid w:val="00E52D53"/>
    <w:rsid w:val="00E52D8A"/>
    <w:rsid w:val="00E52DA7"/>
    <w:rsid w:val="00E52DD9"/>
    <w:rsid w:val="00E52E3B"/>
    <w:rsid w:val="00E52E85"/>
    <w:rsid w:val="00E52E89"/>
    <w:rsid w:val="00E52F36"/>
    <w:rsid w:val="00E52F74"/>
    <w:rsid w:val="00E52FF1"/>
    <w:rsid w:val="00E52FF3"/>
    <w:rsid w:val="00E53216"/>
    <w:rsid w:val="00E53272"/>
    <w:rsid w:val="00E532C6"/>
    <w:rsid w:val="00E532EE"/>
    <w:rsid w:val="00E53375"/>
    <w:rsid w:val="00E533DF"/>
    <w:rsid w:val="00E534D8"/>
    <w:rsid w:val="00E53507"/>
    <w:rsid w:val="00E53596"/>
    <w:rsid w:val="00E5373C"/>
    <w:rsid w:val="00E5374E"/>
    <w:rsid w:val="00E53865"/>
    <w:rsid w:val="00E53877"/>
    <w:rsid w:val="00E538D0"/>
    <w:rsid w:val="00E53945"/>
    <w:rsid w:val="00E5398A"/>
    <w:rsid w:val="00E53A5F"/>
    <w:rsid w:val="00E53A96"/>
    <w:rsid w:val="00E53BB0"/>
    <w:rsid w:val="00E53C0D"/>
    <w:rsid w:val="00E53CEA"/>
    <w:rsid w:val="00E53D2F"/>
    <w:rsid w:val="00E53D6D"/>
    <w:rsid w:val="00E53D84"/>
    <w:rsid w:val="00E53D89"/>
    <w:rsid w:val="00E53E0A"/>
    <w:rsid w:val="00E53EDA"/>
    <w:rsid w:val="00E53F24"/>
    <w:rsid w:val="00E53F87"/>
    <w:rsid w:val="00E54015"/>
    <w:rsid w:val="00E54068"/>
    <w:rsid w:val="00E540F0"/>
    <w:rsid w:val="00E5416D"/>
    <w:rsid w:val="00E54187"/>
    <w:rsid w:val="00E541AB"/>
    <w:rsid w:val="00E541B1"/>
    <w:rsid w:val="00E541E4"/>
    <w:rsid w:val="00E541E8"/>
    <w:rsid w:val="00E5428D"/>
    <w:rsid w:val="00E54292"/>
    <w:rsid w:val="00E54330"/>
    <w:rsid w:val="00E54383"/>
    <w:rsid w:val="00E543F3"/>
    <w:rsid w:val="00E5447C"/>
    <w:rsid w:val="00E54610"/>
    <w:rsid w:val="00E546FA"/>
    <w:rsid w:val="00E54775"/>
    <w:rsid w:val="00E547AC"/>
    <w:rsid w:val="00E54929"/>
    <w:rsid w:val="00E54CA5"/>
    <w:rsid w:val="00E54CBF"/>
    <w:rsid w:val="00E54D3A"/>
    <w:rsid w:val="00E54DF3"/>
    <w:rsid w:val="00E54E02"/>
    <w:rsid w:val="00E54F86"/>
    <w:rsid w:val="00E55036"/>
    <w:rsid w:val="00E550E3"/>
    <w:rsid w:val="00E5528A"/>
    <w:rsid w:val="00E552A7"/>
    <w:rsid w:val="00E55386"/>
    <w:rsid w:val="00E554F2"/>
    <w:rsid w:val="00E555CA"/>
    <w:rsid w:val="00E55658"/>
    <w:rsid w:val="00E5568A"/>
    <w:rsid w:val="00E55761"/>
    <w:rsid w:val="00E557F7"/>
    <w:rsid w:val="00E557FE"/>
    <w:rsid w:val="00E55800"/>
    <w:rsid w:val="00E55849"/>
    <w:rsid w:val="00E5590F"/>
    <w:rsid w:val="00E5592A"/>
    <w:rsid w:val="00E559F5"/>
    <w:rsid w:val="00E559FE"/>
    <w:rsid w:val="00E55A1B"/>
    <w:rsid w:val="00E55B26"/>
    <w:rsid w:val="00E55B3D"/>
    <w:rsid w:val="00E55B68"/>
    <w:rsid w:val="00E55BA0"/>
    <w:rsid w:val="00E55BB0"/>
    <w:rsid w:val="00E55BDA"/>
    <w:rsid w:val="00E55CCD"/>
    <w:rsid w:val="00E55D42"/>
    <w:rsid w:val="00E55D53"/>
    <w:rsid w:val="00E55D85"/>
    <w:rsid w:val="00E55DE5"/>
    <w:rsid w:val="00E55DED"/>
    <w:rsid w:val="00E55E30"/>
    <w:rsid w:val="00E55E51"/>
    <w:rsid w:val="00E55F8B"/>
    <w:rsid w:val="00E56094"/>
    <w:rsid w:val="00E5612D"/>
    <w:rsid w:val="00E5623A"/>
    <w:rsid w:val="00E56255"/>
    <w:rsid w:val="00E562EF"/>
    <w:rsid w:val="00E562F8"/>
    <w:rsid w:val="00E56372"/>
    <w:rsid w:val="00E563E0"/>
    <w:rsid w:val="00E56452"/>
    <w:rsid w:val="00E56547"/>
    <w:rsid w:val="00E566EA"/>
    <w:rsid w:val="00E567C0"/>
    <w:rsid w:val="00E567D9"/>
    <w:rsid w:val="00E568A3"/>
    <w:rsid w:val="00E568D2"/>
    <w:rsid w:val="00E56965"/>
    <w:rsid w:val="00E569B4"/>
    <w:rsid w:val="00E569FB"/>
    <w:rsid w:val="00E56AB5"/>
    <w:rsid w:val="00E56B68"/>
    <w:rsid w:val="00E56BA2"/>
    <w:rsid w:val="00E56C4C"/>
    <w:rsid w:val="00E56C8D"/>
    <w:rsid w:val="00E56CC0"/>
    <w:rsid w:val="00E56CC7"/>
    <w:rsid w:val="00E56D5A"/>
    <w:rsid w:val="00E56D9F"/>
    <w:rsid w:val="00E56E28"/>
    <w:rsid w:val="00E56E95"/>
    <w:rsid w:val="00E56FDB"/>
    <w:rsid w:val="00E57066"/>
    <w:rsid w:val="00E57089"/>
    <w:rsid w:val="00E570FF"/>
    <w:rsid w:val="00E5720D"/>
    <w:rsid w:val="00E57291"/>
    <w:rsid w:val="00E57326"/>
    <w:rsid w:val="00E573AC"/>
    <w:rsid w:val="00E573D3"/>
    <w:rsid w:val="00E57468"/>
    <w:rsid w:val="00E57595"/>
    <w:rsid w:val="00E575B1"/>
    <w:rsid w:val="00E576A7"/>
    <w:rsid w:val="00E577D2"/>
    <w:rsid w:val="00E57804"/>
    <w:rsid w:val="00E57855"/>
    <w:rsid w:val="00E578C9"/>
    <w:rsid w:val="00E5792C"/>
    <w:rsid w:val="00E57975"/>
    <w:rsid w:val="00E57B11"/>
    <w:rsid w:val="00E57CDD"/>
    <w:rsid w:val="00E57D34"/>
    <w:rsid w:val="00E57D61"/>
    <w:rsid w:val="00E57EC6"/>
    <w:rsid w:val="00E57F1A"/>
    <w:rsid w:val="00E60161"/>
    <w:rsid w:val="00E60285"/>
    <w:rsid w:val="00E60358"/>
    <w:rsid w:val="00E6036B"/>
    <w:rsid w:val="00E6037E"/>
    <w:rsid w:val="00E60389"/>
    <w:rsid w:val="00E603CD"/>
    <w:rsid w:val="00E60497"/>
    <w:rsid w:val="00E60502"/>
    <w:rsid w:val="00E607BA"/>
    <w:rsid w:val="00E6083B"/>
    <w:rsid w:val="00E608C4"/>
    <w:rsid w:val="00E60927"/>
    <w:rsid w:val="00E609B6"/>
    <w:rsid w:val="00E609C2"/>
    <w:rsid w:val="00E60AD1"/>
    <w:rsid w:val="00E60B91"/>
    <w:rsid w:val="00E60B94"/>
    <w:rsid w:val="00E60C1C"/>
    <w:rsid w:val="00E60D84"/>
    <w:rsid w:val="00E60DCC"/>
    <w:rsid w:val="00E60E61"/>
    <w:rsid w:val="00E610DA"/>
    <w:rsid w:val="00E61158"/>
    <w:rsid w:val="00E611DC"/>
    <w:rsid w:val="00E611E4"/>
    <w:rsid w:val="00E6124F"/>
    <w:rsid w:val="00E612FB"/>
    <w:rsid w:val="00E61315"/>
    <w:rsid w:val="00E61326"/>
    <w:rsid w:val="00E61331"/>
    <w:rsid w:val="00E613AC"/>
    <w:rsid w:val="00E61402"/>
    <w:rsid w:val="00E61483"/>
    <w:rsid w:val="00E61555"/>
    <w:rsid w:val="00E615FE"/>
    <w:rsid w:val="00E6163A"/>
    <w:rsid w:val="00E61692"/>
    <w:rsid w:val="00E61896"/>
    <w:rsid w:val="00E6192A"/>
    <w:rsid w:val="00E61AA6"/>
    <w:rsid w:val="00E61CD0"/>
    <w:rsid w:val="00E61D29"/>
    <w:rsid w:val="00E61D40"/>
    <w:rsid w:val="00E61DF5"/>
    <w:rsid w:val="00E61E06"/>
    <w:rsid w:val="00E6207C"/>
    <w:rsid w:val="00E620C4"/>
    <w:rsid w:val="00E620DB"/>
    <w:rsid w:val="00E6212D"/>
    <w:rsid w:val="00E62186"/>
    <w:rsid w:val="00E622AC"/>
    <w:rsid w:val="00E6230A"/>
    <w:rsid w:val="00E624C2"/>
    <w:rsid w:val="00E624FF"/>
    <w:rsid w:val="00E6253D"/>
    <w:rsid w:val="00E62557"/>
    <w:rsid w:val="00E625AD"/>
    <w:rsid w:val="00E62686"/>
    <w:rsid w:val="00E626AE"/>
    <w:rsid w:val="00E627F8"/>
    <w:rsid w:val="00E628FD"/>
    <w:rsid w:val="00E62AD8"/>
    <w:rsid w:val="00E62BBC"/>
    <w:rsid w:val="00E62BC6"/>
    <w:rsid w:val="00E62D3C"/>
    <w:rsid w:val="00E62D41"/>
    <w:rsid w:val="00E62F0C"/>
    <w:rsid w:val="00E62FFA"/>
    <w:rsid w:val="00E6302A"/>
    <w:rsid w:val="00E63083"/>
    <w:rsid w:val="00E63120"/>
    <w:rsid w:val="00E6312A"/>
    <w:rsid w:val="00E63157"/>
    <w:rsid w:val="00E6318F"/>
    <w:rsid w:val="00E63239"/>
    <w:rsid w:val="00E63288"/>
    <w:rsid w:val="00E632B3"/>
    <w:rsid w:val="00E63534"/>
    <w:rsid w:val="00E63587"/>
    <w:rsid w:val="00E636B6"/>
    <w:rsid w:val="00E6371B"/>
    <w:rsid w:val="00E6386D"/>
    <w:rsid w:val="00E63895"/>
    <w:rsid w:val="00E63957"/>
    <w:rsid w:val="00E6396D"/>
    <w:rsid w:val="00E639DF"/>
    <w:rsid w:val="00E63A48"/>
    <w:rsid w:val="00E63A5A"/>
    <w:rsid w:val="00E63A8E"/>
    <w:rsid w:val="00E63AC9"/>
    <w:rsid w:val="00E63B0A"/>
    <w:rsid w:val="00E63B2F"/>
    <w:rsid w:val="00E63BED"/>
    <w:rsid w:val="00E63C65"/>
    <w:rsid w:val="00E63C71"/>
    <w:rsid w:val="00E63E05"/>
    <w:rsid w:val="00E63E5B"/>
    <w:rsid w:val="00E63E9B"/>
    <w:rsid w:val="00E6410C"/>
    <w:rsid w:val="00E6426E"/>
    <w:rsid w:val="00E64272"/>
    <w:rsid w:val="00E642EA"/>
    <w:rsid w:val="00E64339"/>
    <w:rsid w:val="00E64381"/>
    <w:rsid w:val="00E643D6"/>
    <w:rsid w:val="00E6442A"/>
    <w:rsid w:val="00E64452"/>
    <w:rsid w:val="00E64515"/>
    <w:rsid w:val="00E64555"/>
    <w:rsid w:val="00E64558"/>
    <w:rsid w:val="00E6458B"/>
    <w:rsid w:val="00E645A6"/>
    <w:rsid w:val="00E645D0"/>
    <w:rsid w:val="00E64739"/>
    <w:rsid w:val="00E64773"/>
    <w:rsid w:val="00E64785"/>
    <w:rsid w:val="00E64866"/>
    <w:rsid w:val="00E64991"/>
    <w:rsid w:val="00E64ACA"/>
    <w:rsid w:val="00E64B27"/>
    <w:rsid w:val="00E64CC0"/>
    <w:rsid w:val="00E64CE4"/>
    <w:rsid w:val="00E64D20"/>
    <w:rsid w:val="00E64D22"/>
    <w:rsid w:val="00E64D61"/>
    <w:rsid w:val="00E64E79"/>
    <w:rsid w:val="00E64E80"/>
    <w:rsid w:val="00E64EC8"/>
    <w:rsid w:val="00E64F10"/>
    <w:rsid w:val="00E64F43"/>
    <w:rsid w:val="00E64FF5"/>
    <w:rsid w:val="00E65072"/>
    <w:rsid w:val="00E650C2"/>
    <w:rsid w:val="00E6510E"/>
    <w:rsid w:val="00E6536C"/>
    <w:rsid w:val="00E653D2"/>
    <w:rsid w:val="00E6549F"/>
    <w:rsid w:val="00E6552B"/>
    <w:rsid w:val="00E65765"/>
    <w:rsid w:val="00E657BE"/>
    <w:rsid w:val="00E65A35"/>
    <w:rsid w:val="00E65A9D"/>
    <w:rsid w:val="00E65D3E"/>
    <w:rsid w:val="00E65DB8"/>
    <w:rsid w:val="00E65F0A"/>
    <w:rsid w:val="00E65F5B"/>
    <w:rsid w:val="00E65FB2"/>
    <w:rsid w:val="00E6601C"/>
    <w:rsid w:val="00E6604D"/>
    <w:rsid w:val="00E66110"/>
    <w:rsid w:val="00E66112"/>
    <w:rsid w:val="00E66140"/>
    <w:rsid w:val="00E6619E"/>
    <w:rsid w:val="00E66259"/>
    <w:rsid w:val="00E66356"/>
    <w:rsid w:val="00E663B8"/>
    <w:rsid w:val="00E664C8"/>
    <w:rsid w:val="00E664F7"/>
    <w:rsid w:val="00E66500"/>
    <w:rsid w:val="00E6652C"/>
    <w:rsid w:val="00E66564"/>
    <w:rsid w:val="00E665E1"/>
    <w:rsid w:val="00E6660A"/>
    <w:rsid w:val="00E66616"/>
    <w:rsid w:val="00E66710"/>
    <w:rsid w:val="00E66798"/>
    <w:rsid w:val="00E6693F"/>
    <w:rsid w:val="00E6699A"/>
    <w:rsid w:val="00E669AD"/>
    <w:rsid w:val="00E669C8"/>
    <w:rsid w:val="00E66A05"/>
    <w:rsid w:val="00E66A2E"/>
    <w:rsid w:val="00E66A67"/>
    <w:rsid w:val="00E66BCA"/>
    <w:rsid w:val="00E66BE9"/>
    <w:rsid w:val="00E66CED"/>
    <w:rsid w:val="00E66D15"/>
    <w:rsid w:val="00E66D6F"/>
    <w:rsid w:val="00E66DCA"/>
    <w:rsid w:val="00E66FEB"/>
    <w:rsid w:val="00E66FF1"/>
    <w:rsid w:val="00E67081"/>
    <w:rsid w:val="00E6716F"/>
    <w:rsid w:val="00E671F6"/>
    <w:rsid w:val="00E673A4"/>
    <w:rsid w:val="00E6752A"/>
    <w:rsid w:val="00E67566"/>
    <w:rsid w:val="00E675AF"/>
    <w:rsid w:val="00E67752"/>
    <w:rsid w:val="00E67829"/>
    <w:rsid w:val="00E67872"/>
    <w:rsid w:val="00E67922"/>
    <w:rsid w:val="00E6792D"/>
    <w:rsid w:val="00E6797C"/>
    <w:rsid w:val="00E67A1C"/>
    <w:rsid w:val="00E67A76"/>
    <w:rsid w:val="00E67AAB"/>
    <w:rsid w:val="00E67B33"/>
    <w:rsid w:val="00E67B7F"/>
    <w:rsid w:val="00E67C5C"/>
    <w:rsid w:val="00E67CB7"/>
    <w:rsid w:val="00E67D5C"/>
    <w:rsid w:val="00E67D91"/>
    <w:rsid w:val="00E67E05"/>
    <w:rsid w:val="00E67E54"/>
    <w:rsid w:val="00E67F14"/>
    <w:rsid w:val="00E67F1E"/>
    <w:rsid w:val="00E67F4D"/>
    <w:rsid w:val="00E67F5C"/>
    <w:rsid w:val="00E6A300"/>
    <w:rsid w:val="00E6D5CB"/>
    <w:rsid w:val="00E7000A"/>
    <w:rsid w:val="00E70089"/>
    <w:rsid w:val="00E700C9"/>
    <w:rsid w:val="00E7013E"/>
    <w:rsid w:val="00E70154"/>
    <w:rsid w:val="00E70252"/>
    <w:rsid w:val="00E7026B"/>
    <w:rsid w:val="00E7041F"/>
    <w:rsid w:val="00E705E2"/>
    <w:rsid w:val="00E7060D"/>
    <w:rsid w:val="00E70663"/>
    <w:rsid w:val="00E70673"/>
    <w:rsid w:val="00E706F4"/>
    <w:rsid w:val="00E7079E"/>
    <w:rsid w:val="00E708AF"/>
    <w:rsid w:val="00E7091E"/>
    <w:rsid w:val="00E70976"/>
    <w:rsid w:val="00E7098B"/>
    <w:rsid w:val="00E70A52"/>
    <w:rsid w:val="00E70AAE"/>
    <w:rsid w:val="00E70B1F"/>
    <w:rsid w:val="00E70BA3"/>
    <w:rsid w:val="00E70BE0"/>
    <w:rsid w:val="00E70BE3"/>
    <w:rsid w:val="00E70C30"/>
    <w:rsid w:val="00E70D2A"/>
    <w:rsid w:val="00E70D38"/>
    <w:rsid w:val="00E70DF5"/>
    <w:rsid w:val="00E70E1F"/>
    <w:rsid w:val="00E70E30"/>
    <w:rsid w:val="00E70E63"/>
    <w:rsid w:val="00E70ECE"/>
    <w:rsid w:val="00E70F61"/>
    <w:rsid w:val="00E70F68"/>
    <w:rsid w:val="00E71046"/>
    <w:rsid w:val="00E71138"/>
    <w:rsid w:val="00E711AB"/>
    <w:rsid w:val="00E7122C"/>
    <w:rsid w:val="00E71318"/>
    <w:rsid w:val="00E713B8"/>
    <w:rsid w:val="00E71542"/>
    <w:rsid w:val="00E71594"/>
    <w:rsid w:val="00E7159D"/>
    <w:rsid w:val="00E71708"/>
    <w:rsid w:val="00E71858"/>
    <w:rsid w:val="00E718EE"/>
    <w:rsid w:val="00E7191F"/>
    <w:rsid w:val="00E7199C"/>
    <w:rsid w:val="00E719AE"/>
    <w:rsid w:val="00E71A35"/>
    <w:rsid w:val="00E71B50"/>
    <w:rsid w:val="00E71BF5"/>
    <w:rsid w:val="00E71C3B"/>
    <w:rsid w:val="00E71C9A"/>
    <w:rsid w:val="00E71DB7"/>
    <w:rsid w:val="00E71F07"/>
    <w:rsid w:val="00E71F66"/>
    <w:rsid w:val="00E72050"/>
    <w:rsid w:val="00E722E6"/>
    <w:rsid w:val="00E723BF"/>
    <w:rsid w:val="00E723E2"/>
    <w:rsid w:val="00E72404"/>
    <w:rsid w:val="00E72431"/>
    <w:rsid w:val="00E72702"/>
    <w:rsid w:val="00E727A6"/>
    <w:rsid w:val="00E72814"/>
    <w:rsid w:val="00E7286F"/>
    <w:rsid w:val="00E7290C"/>
    <w:rsid w:val="00E72917"/>
    <w:rsid w:val="00E72A1F"/>
    <w:rsid w:val="00E72AD3"/>
    <w:rsid w:val="00E72B69"/>
    <w:rsid w:val="00E72BA4"/>
    <w:rsid w:val="00E72C1F"/>
    <w:rsid w:val="00E72CCF"/>
    <w:rsid w:val="00E72D29"/>
    <w:rsid w:val="00E72E52"/>
    <w:rsid w:val="00E72E60"/>
    <w:rsid w:val="00E72E6D"/>
    <w:rsid w:val="00E72E96"/>
    <w:rsid w:val="00E72EB8"/>
    <w:rsid w:val="00E72EC9"/>
    <w:rsid w:val="00E72F03"/>
    <w:rsid w:val="00E72F12"/>
    <w:rsid w:val="00E72F2F"/>
    <w:rsid w:val="00E72F5E"/>
    <w:rsid w:val="00E72F81"/>
    <w:rsid w:val="00E73040"/>
    <w:rsid w:val="00E73088"/>
    <w:rsid w:val="00E730BD"/>
    <w:rsid w:val="00E730E2"/>
    <w:rsid w:val="00E73134"/>
    <w:rsid w:val="00E73150"/>
    <w:rsid w:val="00E731CE"/>
    <w:rsid w:val="00E73259"/>
    <w:rsid w:val="00E733F4"/>
    <w:rsid w:val="00E734A0"/>
    <w:rsid w:val="00E734F1"/>
    <w:rsid w:val="00E73700"/>
    <w:rsid w:val="00E7374B"/>
    <w:rsid w:val="00E7382B"/>
    <w:rsid w:val="00E73866"/>
    <w:rsid w:val="00E738E9"/>
    <w:rsid w:val="00E738F5"/>
    <w:rsid w:val="00E739AF"/>
    <w:rsid w:val="00E739D6"/>
    <w:rsid w:val="00E73A53"/>
    <w:rsid w:val="00E73B39"/>
    <w:rsid w:val="00E73B4A"/>
    <w:rsid w:val="00E73B52"/>
    <w:rsid w:val="00E73BFF"/>
    <w:rsid w:val="00E73CE4"/>
    <w:rsid w:val="00E73D30"/>
    <w:rsid w:val="00E73D54"/>
    <w:rsid w:val="00E73D7B"/>
    <w:rsid w:val="00E73F67"/>
    <w:rsid w:val="00E73FD0"/>
    <w:rsid w:val="00E740D7"/>
    <w:rsid w:val="00E740F5"/>
    <w:rsid w:val="00E7412E"/>
    <w:rsid w:val="00E741C6"/>
    <w:rsid w:val="00E741F6"/>
    <w:rsid w:val="00E7421B"/>
    <w:rsid w:val="00E74294"/>
    <w:rsid w:val="00E74299"/>
    <w:rsid w:val="00E7430C"/>
    <w:rsid w:val="00E7442D"/>
    <w:rsid w:val="00E7443B"/>
    <w:rsid w:val="00E7448A"/>
    <w:rsid w:val="00E744B3"/>
    <w:rsid w:val="00E7451D"/>
    <w:rsid w:val="00E74563"/>
    <w:rsid w:val="00E745AA"/>
    <w:rsid w:val="00E7469A"/>
    <w:rsid w:val="00E747E9"/>
    <w:rsid w:val="00E74826"/>
    <w:rsid w:val="00E7482B"/>
    <w:rsid w:val="00E74869"/>
    <w:rsid w:val="00E748EE"/>
    <w:rsid w:val="00E74939"/>
    <w:rsid w:val="00E7499E"/>
    <w:rsid w:val="00E74A7E"/>
    <w:rsid w:val="00E74AA4"/>
    <w:rsid w:val="00E74CC1"/>
    <w:rsid w:val="00E74D10"/>
    <w:rsid w:val="00E74D65"/>
    <w:rsid w:val="00E74D67"/>
    <w:rsid w:val="00E74D78"/>
    <w:rsid w:val="00E74E22"/>
    <w:rsid w:val="00E74E86"/>
    <w:rsid w:val="00E74F45"/>
    <w:rsid w:val="00E750C1"/>
    <w:rsid w:val="00E75128"/>
    <w:rsid w:val="00E75194"/>
    <w:rsid w:val="00E751AF"/>
    <w:rsid w:val="00E751DD"/>
    <w:rsid w:val="00E75230"/>
    <w:rsid w:val="00E753CA"/>
    <w:rsid w:val="00E753F5"/>
    <w:rsid w:val="00E75462"/>
    <w:rsid w:val="00E75628"/>
    <w:rsid w:val="00E7564C"/>
    <w:rsid w:val="00E75669"/>
    <w:rsid w:val="00E756B7"/>
    <w:rsid w:val="00E75712"/>
    <w:rsid w:val="00E7573C"/>
    <w:rsid w:val="00E757E1"/>
    <w:rsid w:val="00E7589D"/>
    <w:rsid w:val="00E758FB"/>
    <w:rsid w:val="00E7591A"/>
    <w:rsid w:val="00E75944"/>
    <w:rsid w:val="00E75977"/>
    <w:rsid w:val="00E759E3"/>
    <w:rsid w:val="00E75A96"/>
    <w:rsid w:val="00E75AB1"/>
    <w:rsid w:val="00E75B79"/>
    <w:rsid w:val="00E75BAA"/>
    <w:rsid w:val="00E75C1E"/>
    <w:rsid w:val="00E75C72"/>
    <w:rsid w:val="00E75CEB"/>
    <w:rsid w:val="00E75CF1"/>
    <w:rsid w:val="00E75D8F"/>
    <w:rsid w:val="00E75D91"/>
    <w:rsid w:val="00E75DB3"/>
    <w:rsid w:val="00E75DFC"/>
    <w:rsid w:val="00E75E3B"/>
    <w:rsid w:val="00E75E3C"/>
    <w:rsid w:val="00E75E46"/>
    <w:rsid w:val="00E75E8C"/>
    <w:rsid w:val="00E75FFA"/>
    <w:rsid w:val="00E760EB"/>
    <w:rsid w:val="00E76106"/>
    <w:rsid w:val="00E761AA"/>
    <w:rsid w:val="00E761CA"/>
    <w:rsid w:val="00E762CB"/>
    <w:rsid w:val="00E762DB"/>
    <w:rsid w:val="00E76365"/>
    <w:rsid w:val="00E763AC"/>
    <w:rsid w:val="00E763B0"/>
    <w:rsid w:val="00E763C7"/>
    <w:rsid w:val="00E76408"/>
    <w:rsid w:val="00E76425"/>
    <w:rsid w:val="00E76473"/>
    <w:rsid w:val="00E764BC"/>
    <w:rsid w:val="00E76533"/>
    <w:rsid w:val="00E7657D"/>
    <w:rsid w:val="00E765F9"/>
    <w:rsid w:val="00E76647"/>
    <w:rsid w:val="00E76653"/>
    <w:rsid w:val="00E7674E"/>
    <w:rsid w:val="00E767A9"/>
    <w:rsid w:val="00E768DD"/>
    <w:rsid w:val="00E76969"/>
    <w:rsid w:val="00E769CD"/>
    <w:rsid w:val="00E76B51"/>
    <w:rsid w:val="00E76C1A"/>
    <w:rsid w:val="00E76C7E"/>
    <w:rsid w:val="00E76D69"/>
    <w:rsid w:val="00E76D7E"/>
    <w:rsid w:val="00E76DA2"/>
    <w:rsid w:val="00E76DB3"/>
    <w:rsid w:val="00E76DCA"/>
    <w:rsid w:val="00E76E37"/>
    <w:rsid w:val="00E76E94"/>
    <w:rsid w:val="00E76F20"/>
    <w:rsid w:val="00E770F6"/>
    <w:rsid w:val="00E7719D"/>
    <w:rsid w:val="00E771E0"/>
    <w:rsid w:val="00E77215"/>
    <w:rsid w:val="00E7726F"/>
    <w:rsid w:val="00E772F9"/>
    <w:rsid w:val="00E774B5"/>
    <w:rsid w:val="00E774DC"/>
    <w:rsid w:val="00E774FA"/>
    <w:rsid w:val="00E77537"/>
    <w:rsid w:val="00E77543"/>
    <w:rsid w:val="00E775D4"/>
    <w:rsid w:val="00E7760C"/>
    <w:rsid w:val="00E776D9"/>
    <w:rsid w:val="00E77759"/>
    <w:rsid w:val="00E7781D"/>
    <w:rsid w:val="00E778C6"/>
    <w:rsid w:val="00E77962"/>
    <w:rsid w:val="00E77988"/>
    <w:rsid w:val="00E779A7"/>
    <w:rsid w:val="00E77A5C"/>
    <w:rsid w:val="00E77DC4"/>
    <w:rsid w:val="00E77DC7"/>
    <w:rsid w:val="00E77E5A"/>
    <w:rsid w:val="00E77E68"/>
    <w:rsid w:val="00E77F28"/>
    <w:rsid w:val="00E77F6B"/>
    <w:rsid w:val="00E7DF21"/>
    <w:rsid w:val="00E80029"/>
    <w:rsid w:val="00E800DC"/>
    <w:rsid w:val="00E8010F"/>
    <w:rsid w:val="00E80286"/>
    <w:rsid w:val="00E802FA"/>
    <w:rsid w:val="00E803C6"/>
    <w:rsid w:val="00E8040D"/>
    <w:rsid w:val="00E804AF"/>
    <w:rsid w:val="00E804F0"/>
    <w:rsid w:val="00E805BB"/>
    <w:rsid w:val="00E805D6"/>
    <w:rsid w:val="00E8060E"/>
    <w:rsid w:val="00E80657"/>
    <w:rsid w:val="00E80677"/>
    <w:rsid w:val="00E8067E"/>
    <w:rsid w:val="00E80691"/>
    <w:rsid w:val="00E806AA"/>
    <w:rsid w:val="00E80876"/>
    <w:rsid w:val="00E8088B"/>
    <w:rsid w:val="00E80930"/>
    <w:rsid w:val="00E8094E"/>
    <w:rsid w:val="00E80962"/>
    <w:rsid w:val="00E80968"/>
    <w:rsid w:val="00E80A78"/>
    <w:rsid w:val="00E80A8A"/>
    <w:rsid w:val="00E80B7F"/>
    <w:rsid w:val="00E80BC9"/>
    <w:rsid w:val="00E80BED"/>
    <w:rsid w:val="00E80BFB"/>
    <w:rsid w:val="00E80CBC"/>
    <w:rsid w:val="00E80E5C"/>
    <w:rsid w:val="00E80F0E"/>
    <w:rsid w:val="00E80FF2"/>
    <w:rsid w:val="00E8103A"/>
    <w:rsid w:val="00E810D6"/>
    <w:rsid w:val="00E8114E"/>
    <w:rsid w:val="00E81171"/>
    <w:rsid w:val="00E81175"/>
    <w:rsid w:val="00E811BB"/>
    <w:rsid w:val="00E811EA"/>
    <w:rsid w:val="00E813DF"/>
    <w:rsid w:val="00E814C5"/>
    <w:rsid w:val="00E81543"/>
    <w:rsid w:val="00E815D1"/>
    <w:rsid w:val="00E81601"/>
    <w:rsid w:val="00E81786"/>
    <w:rsid w:val="00E8178E"/>
    <w:rsid w:val="00E817D3"/>
    <w:rsid w:val="00E8182F"/>
    <w:rsid w:val="00E818EF"/>
    <w:rsid w:val="00E8191C"/>
    <w:rsid w:val="00E81966"/>
    <w:rsid w:val="00E819F4"/>
    <w:rsid w:val="00E81A98"/>
    <w:rsid w:val="00E81BC1"/>
    <w:rsid w:val="00E81BF3"/>
    <w:rsid w:val="00E81C22"/>
    <w:rsid w:val="00E81C3B"/>
    <w:rsid w:val="00E81DAB"/>
    <w:rsid w:val="00E81ECF"/>
    <w:rsid w:val="00E81F95"/>
    <w:rsid w:val="00E81FFF"/>
    <w:rsid w:val="00E82064"/>
    <w:rsid w:val="00E82131"/>
    <w:rsid w:val="00E82136"/>
    <w:rsid w:val="00E82289"/>
    <w:rsid w:val="00E82312"/>
    <w:rsid w:val="00E8239F"/>
    <w:rsid w:val="00E823BF"/>
    <w:rsid w:val="00E82430"/>
    <w:rsid w:val="00E824C7"/>
    <w:rsid w:val="00E824ED"/>
    <w:rsid w:val="00E82515"/>
    <w:rsid w:val="00E82614"/>
    <w:rsid w:val="00E8275A"/>
    <w:rsid w:val="00E8275C"/>
    <w:rsid w:val="00E8283A"/>
    <w:rsid w:val="00E82931"/>
    <w:rsid w:val="00E82AC1"/>
    <w:rsid w:val="00E82B3C"/>
    <w:rsid w:val="00E82BA5"/>
    <w:rsid w:val="00E82BD2"/>
    <w:rsid w:val="00E82C17"/>
    <w:rsid w:val="00E82CE5"/>
    <w:rsid w:val="00E82CF8"/>
    <w:rsid w:val="00E82D39"/>
    <w:rsid w:val="00E82DE8"/>
    <w:rsid w:val="00E82E1D"/>
    <w:rsid w:val="00E82E52"/>
    <w:rsid w:val="00E82EDA"/>
    <w:rsid w:val="00E82EF0"/>
    <w:rsid w:val="00E82F7C"/>
    <w:rsid w:val="00E8303C"/>
    <w:rsid w:val="00E83070"/>
    <w:rsid w:val="00E830C3"/>
    <w:rsid w:val="00E830D5"/>
    <w:rsid w:val="00E83155"/>
    <w:rsid w:val="00E83168"/>
    <w:rsid w:val="00E83230"/>
    <w:rsid w:val="00E83245"/>
    <w:rsid w:val="00E83328"/>
    <w:rsid w:val="00E833BB"/>
    <w:rsid w:val="00E83429"/>
    <w:rsid w:val="00E8352D"/>
    <w:rsid w:val="00E8353D"/>
    <w:rsid w:val="00E83606"/>
    <w:rsid w:val="00E8367B"/>
    <w:rsid w:val="00E8382E"/>
    <w:rsid w:val="00E83844"/>
    <w:rsid w:val="00E838F7"/>
    <w:rsid w:val="00E839A0"/>
    <w:rsid w:val="00E839A8"/>
    <w:rsid w:val="00E83A1B"/>
    <w:rsid w:val="00E83B21"/>
    <w:rsid w:val="00E83B89"/>
    <w:rsid w:val="00E83BDD"/>
    <w:rsid w:val="00E83C27"/>
    <w:rsid w:val="00E83C4D"/>
    <w:rsid w:val="00E83C68"/>
    <w:rsid w:val="00E83E5F"/>
    <w:rsid w:val="00E83E8B"/>
    <w:rsid w:val="00E83E91"/>
    <w:rsid w:val="00E83E97"/>
    <w:rsid w:val="00E84072"/>
    <w:rsid w:val="00E8412E"/>
    <w:rsid w:val="00E84248"/>
    <w:rsid w:val="00E8428B"/>
    <w:rsid w:val="00E84331"/>
    <w:rsid w:val="00E84364"/>
    <w:rsid w:val="00E843E1"/>
    <w:rsid w:val="00E845A8"/>
    <w:rsid w:val="00E846CA"/>
    <w:rsid w:val="00E846E4"/>
    <w:rsid w:val="00E847E9"/>
    <w:rsid w:val="00E8480D"/>
    <w:rsid w:val="00E8492D"/>
    <w:rsid w:val="00E8493C"/>
    <w:rsid w:val="00E84994"/>
    <w:rsid w:val="00E849E2"/>
    <w:rsid w:val="00E84A4D"/>
    <w:rsid w:val="00E84A6B"/>
    <w:rsid w:val="00E84AA0"/>
    <w:rsid w:val="00E84AF0"/>
    <w:rsid w:val="00E84B26"/>
    <w:rsid w:val="00E84B40"/>
    <w:rsid w:val="00E84B52"/>
    <w:rsid w:val="00E84C50"/>
    <w:rsid w:val="00E84C6B"/>
    <w:rsid w:val="00E84C91"/>
    <w:rsid w:val="00E84D1B"/>
    <w:rsid w:val="00E84EE6"/>
    <w:rsid w:val="00E84F5F"/>
    <w:rsid w:val="00E84F91"/>
    <w:rsid w:val="00E8517E"/>
    <w:rsid w:val="00E851F6"/>
    <w:rsid w:val="00E85259"/>
    <w:rsid w:val="00E852E1"/>
    <w:rsid w:val="00E85312"/>
    <w:rsid w:val="00E853E0"/>
    <w:rsid w:val="00E85497"/>
    <w:rsid w:val="00E8557C"/>
    <w:rsid w:val="00E855B2"/>
    <w:rsid w:val="00E855F4"/>
    <w:rsid w:val="00E8571E"/>
    <w:rsid w:val="00E8572C"/>
    <w:rsid w:val="00E85758"/>
    <w:rsid w:val="00E8592C"/>
    <w:rsid w:val="00E859A0"/>
    <w:rsid w:val="00E85A14"/>
    <w:rsid w:val="00E85A3C"/>
    <w:rsid w:val="00E85C2A"/>
    <w:rsid w:val="00E85CFD"/>
    <w:rsid w:val="00E85D96"/>
    <w:rsid w:val="00E85F6C"/>
    <w:rsid w:val="00E86278"/>
    <w:rsid w:val="00E8650F"/>
    <w:rsid w:val="00E8653B"/>
    <w:rsid w:val="00E865A8"/>
    <w:rsid w:val="00E8664D"/>
    <w:rsid w:val="00E8668E"/>
    <w:rsid w:val="00E868CA"/>
    <w:rsid w:val="00E868CC"/>
    <w:rsid w:val="00E868D5"/>
    <w:rsid w:val="00E868DE"/>
    <w:rsid w:val="00E86988"/>
    <w:rsid w:val="00E869D3"/>
    <w:rsid w:val="00E869E4"/>
    <w:rsid w:val="00E86B75"/>
    <w:rsid w:val="00E86C9B"/>
    <w:rsid w:val="00E86CBE"/>
    <w:rsid w:val="00E86D66"/>
    <w:rsid w:val="00E86DA7"/>
    <w:rsid w:val="00E86E7A"/>
    <w:rsid w:val="00E86F47"/>
    <w:rsid w:val="00E871B5"/>
    <w:rsid w:val="00E871DC"/>
    <w:rsid w:val="00E871E7"/>
    <w:rsid w:val="00E872D7"/>
    <w:rsid w:val="00E87342"/>
    <w:rsid w:val="00E87353"/>
    <w:rsid w:val="00E873E4"/>
    <w:rsid w:val="00E874E6"/>
    <w:rsid w:val="00E87570"/>
    <w:rsid w:val="00E875D3"/>
    <w:rsid w:val="00E876A5"/>
    <w:rsid w:val="00E87789"/>
    <w:rsid w:val="00E87883"/>
    <w:rsid w:val="00E8792B"/>
    <w:rsid w:val="00E879ED"/>
    <w:rsid w:val="00E87C60"/>
    <w:rsid w:val="00E87CC2"/>
    <w:rsid w:val="00E87D2D"/>
    <w:rsid w:val="00E87DCD"/>
    <w:rsid w:val="00E87DF9"/>
    <w:rsid w:val="00E87E0D"/>
    <w:rsid w:val="00E87ECE"/>
    <w:rsid w:val="00E87F78"/>
    <w:rsid w:val="00E87FCD"/>
    <w:rsid w:val="00E8FE5D"/>
    <w:rsid w:val="00E90028"/>
    <w:rsid w:val="00E900EC"/>
    <w:rsid w:val="00E90110"/>
    <w:rsid w:val="00E9012E"/>
    <w:rsid w:val="00E901B5"/>
    <w:rsid w:val="00E90283"/>
    <w:rsid w:val="00E9039F"/>
    <w:rsid w:val="00E9040D"/>
    <w:rsid w:val="00E90428"/>
    <w:rsid w:val="00E9043A"/>
    <w:rsid w:val="00E90494"/>
    <w:rsid w:val="00E904E5"/>
    <w:rsid w:val="00E90508"/>
    <w:rsid w:val="00E9056A"/>
    <w:rsid w:val="00E905DB"/>
    <w:rsid w:val="00E90608"/>
    <w:rsid w:val="00E90610"/>
    <w:rsid w:val="00E906F6"/>
    <w:rsid w:val="00E9083B"/>
    <w:rsid w:val="00E908A7"/>
    <w:rsid w:val="00E908CD"/>
    <w:rsid w:val="00E90B4A"/>
    <w:rsid w:val="00E90CA4"/>
    <w:rsid w:val="00E90D47"/>
    <w:rsid w:val="00E90DE5"/>
    <w:rsid w:val="00E90E25"/>
    <w:rsid w:val="00E90E27"/>
    <w:rsid w:val="00E90E2B"/>
    <w:rsid w:val="00E90E5E"/>
    <w:rsid w:val="00E90E6A"/>
    <w:rsid w:val="00E90F41"/>
    <w:rsid w:val="00E90F9E"/>
    <w:rsid w:val="00E90FDC"/>
    <w:rsid w:val="00E91007"/>
    <w:rsid w:val="00E9109F"/>
    <w:rsid w:val="00E910C1"/>
    <w:rsid w:val="00E9116E"/>
    <w:rsid w:val="00E912A1"/>
    <w:rsid w:val="00E912EE"/>
    <w:rsid w:val="00E913FF"/>
    <w:rsid w:val="00E91464"/>
    <w:rsid w:val="00E91491"/>
    <w:rsid w:val="00E914BF"/>
    <w:rsid w:val="00E91568"/>
    <w:rsid w:val="00E916BE"/>
    <w:rsid w:val="00E91715"/>
    <w:rsid w:val="00E9171E"/>
    <w:rsid w:val="00E917F7"/>
    <w:rsid w:val="00E9180D"/>
    <w:rsid w:val="00E91852"/>
    <w:rsid w:val="00E9186B"/>
    <w:rsid w:val="00E918B2"/>
    <w:rsid w:val="00E918BE"/>
    <w:rsid w:val="00E918E0"/>
    <w:rsid w:val="00E91910"/>
    <w:rsid w:val="00E91920"/>
    <w:rsid w:val="00E91964"/>
    <w:rsid w:val="00E91982"/>
    <w:rsid w:val="00E91A78"/>
    <w:rsid w:val="00E91A9D"/>
    <w:rsid w:val="00E91AB7"/>
    <w:rsid w:val="00E91B52"/>
    <w:rsid w:val="00E91B6D"/>
    <w:rsid w:val="00E91BE9"/>
    <w:rsid w:val="00E91C2A"/>
    <w:rsid w:val="00E91C2B"/>
    <w:rsid w:val="00E91CDA"/>
    <w:rsid w:val="00E91CDB"/>
    <w:rsid w:val="00E91D8F"/>
    <w:rsid w:val="00E91DA5"/>
    <w:rsid w:val="00E91DFD"/>
    <w:rsid w:val="00E91E70"/>
    <w:rsid w:val="00E91FB9"/>
    <w:rsid w:val="00E91FF4"/>
    <w:rsid w:val="00E91FF7"/>
    <w:rsid w:val="00E921D6"/>
    <w:rsid w:val="00E921D8"/>
    <w:rsid w:val="00E92262"/>
    <w:rsid w:val="00E9226A"/>
    <w:rsid w:val="00E922A9"/>
    <w:rsid w:val="00E923B9"/>
    <w:rsid w:val="00E923D7"/>
    <w:rsid w:val="00E92460"/>
    <w:rsid w:val="00E9249F"/>
    <w:rsid w:val="00E925BD"/>
    <w:rsid w:val="00E92688"/>
    <w:rsid w:val="00E9270D"/>
    <w:rsid w:val="00E92769"/>
    <w:rsid w:val="00E92895"/>
    <w:rsid w:val="00E928A4"/>
    <w:rsid w:val="00E92903"/>
    <w:rsid w:val="00E9293B"/>
    <w:rsid w:val="00E92942"/>
    <w:rsid w:val="00E9299A"/>
    <w:rsid w:val="00E92A68"/>
    <w:rsid w:val="00E92A89"/>
    <w:rsid w:val="00E92AFF"/>
    <w:rsid w:val="00E92B03"/>
    <w:rsid w:val="00E92B49"/>
    <w:rsid w:val="00E92B51"/>
    <w:rsid w:val="00E92BCE"/>
    <w:rsid w:val="00E92C19"/>
    <w:rsid w:val="00E92C99"/>
    <w:rsid w:val="00E92D14"/>
    <w:rsid w:val="00E92EB8"/>
    <w:rsid w:val="00E92EF2"/>
    <w:rsid w:val="00E92FBE"/>
    <w:rsid w:val="00E93082"/>
    <w:rsid w:val="00E930DE"/>
    <w:rsid w:val="00E9317C"/>
    <w:rsid w:val="00E93196"/>
    <w:rsid w:val="00E93204"/>
    <w:rsid w:val="00E933D3"/>
    <w:rsid w:val="00E934FF"/>
    <w:rsid w:val="00E93512"/>
    <w:rsid w:val="00E93551"/>
    <w:rsid w:val="00E93643"/>
    <w:rsid w:val="00E936C2"/>
    <w:rsid w:val="00E936EB"/>
    <w:rsid w:val="00E9377C"/>
    <w:rsid w:val="00E937ED"/>
    <w:rsid w:val="00E937F9"/>
    <w:rsid w:val="00E93909"/>
    <w:rsid w:val="00E93927"/>
    <w:rsid w:val="00E9394D"/>
    <w:rsid w:val="00E939C0"/>
    <w:rsid w:val="00E93A0A"/>
    <w:rsid w:val="00E93A29"/>
    <w:rsid w:val="00E93A85"/>
    <w:rsid w:val="00E93AF4"/>
    <w:rsid w:val="00E93B8F"/>
    <w:rsid w:val="00E93C01"/>
    <w:rsid w:val="00E93C31"/>
    <w:rsid w:val="00E93C46"/>
    <w:rsid w:val="00E93CF0"/>
    <w:rsid w:val="00E93DB9"/>
    <w:rsid w:val="00E93E9A"/>
    <w:rsid w:val="00E93F2A"/>
    <w:rsid w:val="00E93F7C"/>
    <w:rsid w:val="00E93F9B"/>
    <w:rsid w:val="00E94047"/>
    <w:rsid w:val="00E94180"/>
    <w:rsid w:val="00E941AA"/>
    <w:rsid w:val="00E941BA"/>
    <w:rsid w:val="00E9428C"/>
    <w:rsid w:val="00E9432F"/>
    <w:rsid w:val="00E9440F"/>
    <w:rsid w:val="00E94417"/>
    <w:rsid w:val="00E9450A"/>
    <w:rsid w:val="00E9459B"/>
    <w:rsid w:val="00E947DA"/>
    <w:rsid w:val="00E9482C"/>
    <w:rsid w:val="00E9490E"/>
    <w:rsid w:val="00E94938"/>
    <w:rsid w:val="00E949AD"/>
    <w:rsid w:val="00E94A48"/>
    <w:rsid w:val="00E94B32"/>
    <w:rsid w:val="00E94B3C"/>
    <w:rsid w:val="00E94B49"/>
    <w:rsid w:val="00E94C57"/>
    <w:rsid w:val="00E94C82"/>
    <w:rsid w:val="00E94D3F"/>
    <w:rsid w:val="00E94D9E"/>
    <w:rsid w:val="00E94DBB"/>
    <w:rsid w:val="00E94ECD"/>
    <w:rsid w:val="00E94F33"/>
    <w:rsid w:val="00E95028"/>
    <w:rsid w:val="00E950F7"/>
    <w:rsid w:val="00E95346"/>
    <w:rsid w:val="00E953E9"/>
    <w:rsid w:val="00E954B7"/>
    <w:rsid w:val="00E9552F"/>
    <w:rsid w:val="00E95553"/>
    <w:rsid w:val="00E9556A"/>
    <w:rsid w:val="00E95696"/>
    <w:rsid w:val="00E95708"/>
    <w:rsid w:val="00E9575F"/>
    <w:rsid w:val="00E95799"/>
    <w:rsid w:val="00E957F0"/>
    <w:rsid w:val="00E95831"/>
    <w:rsid w:val="00E95888"/>
    <w:rsid w:val="00E95A5B"/>
    <w:rsid w:val="00E95B09"/>
    <w:rsid w:val="00E95B52"/>
    <w:rsid w:val="00E95B83"/>
    <w:rsid w:val="00E95C1B"/>
    <w:rsid w:val="00E95C2E"/>
    <w:rsid w:val="00E95CD2"/>
    <w:rsid w:val="00E95CEF"/>
    <w:rsid w:val="00E95DF2"/>
    <w:rsid w:val="00E95E53"/>
    <w:rsid w:val="00E95EEA"/>
    <w:rsid w:val="00E95F09"/>
    <w:rsid w:val="00E96011"/>
    <w:rsid w:val="00E9607E"/>
    <w:rsid w:val="00E960E1"/>
    <w:rsid w:val="00E96102"/>
    <w:rsid w:val="00E9610E"/>
    <w:rsid w:val="00E961B5"/>
    <w:rsid w:val="00E961CF"/>
    <w:rsid w:val="00E96252"/>
    <w:rsid w:val="00E9636C"/>
    <w:rsid w:val="00E964AE"/>
    <w:rsid w:val="00E96522"/>
    <w:rsid w:val="00E96579"/>
    <w:rsid w:val="00E966BF"/>
    <w:rsid w:val="00E967E7"/>
    <w:rsid w:val="00E96833"/>
    <w:rsid w:val="00E969F6"/>
    <w:rsid w:val="00E96AD7"/>
    <w:rsid w:val="00E96B0B"/>
    <w:rsid w:val="00E96B94"/>
    <w:rsid w:val="00E96C47"/>
    <w:rsid w:val="00E96CAD"/>
    <w:rsid w:val="00E96CC0"/>
    <w:rsid w:val="00E96CF5"/>
    <w:rsid w:val="00E96DCC"/>
    <w:rsid w:val="00E96E20"/>
    <w:rsid w:val="00E96E50"/>
    <w:rsid w:val="00E96E8C"/>
    <w:rsid w:val="00E96FCB"/>
    <w:rsid w:val="00E970A5"/>
    <w:rsid w:val="00E97164"/>
    <w:rsid w:val="00E971A4"/>
    <w:rsid w:val="00E971E1"/>
    <w:rsid w:val="00E97246"/>
    <w:rsid w:val="00E97266"/>
    <w:rsid w:val="00E9727B"/>
    <w:rsid w:val="00E97345"/>
    <w:rsid w:val="00E97348"/>
    <w:rsid w:val="00E9740B"/>
    <w:rsid w:val="00E97495"/>
    <w:rsid w:val="00E9749C"/>
    <w:rsid w:val="00E974EE"/>
    <w:rsid w:val="00E9752A"/>
    <w:rsid w:val="00E97633"/>
    <w:rsid w:val="00E9778A"/>
    <w:rsid w:val="00E97799"/>
    <w:rsid w:val="00E978A2"/>
    <w:rsid w:val="00E978B3"/>
    <w:rsid w:val="00E97993"/>
    <w:rsid w:val="00E97995"/>
    <w:rsid w:val="00E979AA"/>
    <w:rsid w:val="00E979B2"/>
    <w:rsid w:val="00E979E7"/>
    <w:rsid w:val="00E97A1E"/>
    <w:rsid w:val="00E97ADC"/>
    <w:rsid w:val="00E97AF7"/>
    <w:rsid w:val="00E97C12"/>
    <w:rsid w:val="00E97C7F"/>
    <w:rsid w:val="00E97CDC"/>
    <w:rsid w:val="00E97CFB"/>
    <w:rsid w:val="00E97D1C"/>
    <w:rsid w:val="00E97D26"/>
    <w:rsid w:val="00E97D57"/>
    <w:rsid w:val="00E97E1A"/>
    <w:rsid w:val="00E97E1F"/>
    <w:rsid w:val="00E97F9C"/>
    <w:rsid w:val="00EA006F"/>
    <w:rsid w:val="00EA0166"/>
    <w:rsid w:val="00EA019C"/>
    <w:rsid w:val="00EA02A1"/>
    <w:rsid w:val="00EA03FE"/>
    <w:rsid w:val="00EA0421"/>
    <w:rsid w:val="00EA04E7"/>
    <w:rsid w:val="00EA0524"/>
    <w:rsid w:val="00EA052F"/>
    <w:rsid w:val="00EA0588"/>
    <w:rsid w:val="00EA063E"/>
    <w:rsid w:val="00EA06CE"/>
    <w:rsid w:val="00EA07B5"/>
    <w:rsid w:val="00EA09B7"/>
    <w:rsid w:val="00EA09FD"/>
    <w:rsid w:val="00EA0B1E"/>
    <w:rsid w:val="00EA0B33"/>
    <w:rsid w:val="00EA0BCA"/>
    <w:rsid w:val="00EA0CA5"/>
    <w:rsid w:val="00EA0CAC"/>
    <w:rsid w:val="00EA0D74"/>
    <w:rsid w:val="00EA0FB5"/>
    <w:rsid w:val="00EA1151"/>
    <w:rsid w:val="00EA119D"/>
    <w:rsid w:val="00EA11B4"/>
    <w:rsid w:val="00EA1292"/>
    <w:rsid w:val="00EA12DB"/>
    <w:rsid w:val="00EA12FA"/>
    <w:rsid w:val="00EA15DA"/>
    <w:rsid w:val="00EA161F"/>
    <w:rsid w:val="00EA1650"/>
    <w:rsid w:val="00EA16C0"/>
    <w:rsid w:val="00EA1757"/>
    <w:rsid w:val="00EA17AF"/>
    <w:rsid w:val="00EA17E4"/>
    <w:rsid w:val="00EA188A"/>
    <w:rsid w:val="00EA18BC"/>
    <w:rsid w:val="00EA191D"/>
    <w:rsid w:val="00EA1964"/>
    <w:rsid w:val="00EA19AB"/>
    <w:rsid w:val="00EA1A69"/>
    <w:rsid w:val="00EA1ACA"/>
    <w:rsid w:val="00EA1AE1"/>
    <w:rsid w:val="00EA1AF1"/>
    <w:rsid w:val="00EA1B2F"/>
    <w:rsid w:val="00EA1BB6"/>
    <w:rsid w:val="00EA1CBB"/>
    <w:rsid w:val="00EA1D3A"/>
    <w:rsid w:val="00EA1E1A"/>
    <w:rsid w:val="00EA1E98"/>
    <w:rsid w:val="00EA1F1D"/>
    <w:rsid w:val="00EA1FB9"/>
    <w:rsid w:val="00EA204A"/>
    <w:rsid w:val="00EA2102"/>
    <w:rsid w:val="00EA2161"/>
    <w:rsid w:val="00EA2236"/>
    <w:rsid w:val="00EA225C"/>
    <w:rsid w:val="00EA227A"/>
    <w:rsid w:val="00EA22BF"/>
    <w:rsid w:val="00EA22E4"/>
    <w:rsid w:val="00EA22E8"/>
    <w:rsid w:val="00EA24C3"/>
    <w:rsid w:val="00EA26BB"/>
    <w:rsid w:val="00EA270F"/>
    <w:rsid w:val="00EA275B"/>
    <w:rsid w:val="00EA27E0"/>
    <w:rsid w:val="00EA28C7"/>
    <w:rsid w:val="00EA28EB"/>
    <w:rsid w:val="00EA28F4"/>
    <w:rsid w:val="00EA29B4"/>
    <w:rsid w:val="00EA29DD"/>
    <w:rsid w:val="00EA29E4"/>
    <w:rsid w:val="00EA2A2B"/>
    <w:rsid w:val="00EA2A58"/>
    <w:rsid w:val="00EA2AA2"/>
    <w:rsid w:val="00EA2B5C"/>
    <w:rsid w:val="00EA2B98"/>
    <w:rsid w:val="00EA2C3A"/>
    <w:rsid w:val="00EA2C8A"/>
    <w:rsid w:val="00EA2EF4"/>
    <w:rsid w:val="00EA2F09"/>
    <w:rsid w:val="00EA2F18"/>
    <w:rsid w:val="00EA2F91"/>
    <w:rsid w:val="00EA3052"/>
    <w:rsid w:val="00EA309E"/>
    <w:rsid w:val="00EA3149"/>
    <w:rsid w:val="00EA31A7"/>
    <w:rsid w:val="00EA321B"/>
    <w:rsid w:val="00EA329E"/>
    <w:rsid w:val="00EA32BA"/>
    <w:rsid w:val="00EA32BB"/>
    <w:rsid w:val="00EA3330"/>
    <w:rsid w:val="00EA3376"/>
    <w:rsid w:val="00EA33AB"/>
    <w:rsid w:val="00EA3471"/>
    <w:rsid w:val="00EA34DB"/>
    <w:rsid w:val="00EA362E"/>
    <w:rsid w:val="00EA3638"/>
    <w:rsid w:val="00EA3689"/>
    <w:rsid w:val="00EA36B9"/>
    <w:rsid w:val="00EA379F"/>
    <w:rsid w:val="00EA388D"/>
    <w:rsid w:val="00EA389F"/>
    <w:rsid w:val="00EA392B"/>
    <w:rsid w:val="00EA3973"/>
    <w:rsid w:val="00EA3976"/>
    <w:rsid w:val="00EA3B4B"/>
    <w:rsid w:val="00EA3BD7"/>
    <w:rsid w:val="00EA3C3B"/>
    <w:rsid w:val="00EA3C55"/>
    <w:rsid w:val="00EA3D63"/>
    <w:rsid w:val="00EA3DF8"/>
    <w:rsid w:val="00EA3E44"/>
    <w:rsid w:val="00EA3E46"/>
    <w:rsid w:val="00EA3EA2"/>
    <w:rsid w:val="00EA3FB7"/>
    <w:rsid w:val="00EA407E"/>
    <w:rsid w:val="00EA40EB"/>
    <w:rsid w:val="00EA4221"/>
    <w:rsid w:val="00EA4243"/>
    <w:rsid w:val="00EA42AE"/>
    <w:rsid w:val="00EA42B4"/>
    <w:rsid w:val="00EA434B"/>
    <w:rsid w:val="00EA44C2"/>
    <w:rsid w:val="00EA4600"/>
    <w:rsid w:val="00EA4669"/>
    <w:rsid w:val="00EA4795"/>
    <w:rsid w:val="00EA47E2"/>
    <w:rsid w:val="00EA488B"/>
    <w:rsid w:val="00EA49D3"/>
    <w:rsid w:val="00EA4A60"/>
    <w:rsid w:val="00EA4BBC"/>
    <w:rsid w:val="00EA4BF4"/>
    <w:rsid w:val="00EA4C9C"/>
    <w:rsid w:val="00EA4D01"/>
    <w:rsid w:val="00EA4D13"/>
    <w:rsid w:val="00EA4D21"/>
    <w:rsid w:val="00EA4DA7"/>
    <w:rsid w:val="00EA4E08"/>
    <w:rsid w:val="00EA4E0D"/>
    <w:rsid w:val="00EA4E8C"/>
    <w:rsid w:val="00EA4EA1"/>
    <w:rsid w:val="00EA4ED3"/>
    <w:rsid w:val="00EA4EDB"/>
    <w:rsid w:val="00EA4FF8"/>
    <w:rsid w:val="00EA50CA"/>
    <w:rsid w:val="00EA50D7"/>
    <w:rsid w:val="00EA50F3"/>
    <w:rsid w:val="00EA51BB"/>
    <w:rsid w:val="00EA51EC"/>
    <w:rsid w:val="00EA5200"/>
    <w:rsid w:val="00EA5205"/>
    <w:rsid w:val="00EA527C"/>
    <w:rsid w:val="00EA5294"/>
    <w:rsid w:val="00EA52BF"/>
    <w:rsid w:val="00EA5448"/>
    <w:rsid w:val="00EA545B"/>
    <w:rsid w:val="00EA5504"/>
    <w:rsid w:val="00EA56D5"/>
    <w:rsid w:val="00EA56F9"/>
    <w:rsid w:val="00EA57B8"/>
    <w:rsid w:val="00EA5890"/>
    <w:rsid w:val="00EA592E"/>
    <w:rsid w:val="00EA59D4"/>
    <w:rsid w:val="00EA5A34"/>
    <w:rsid w:val="00EA5C41"/>
    <w:rsid w:val="00EA5C74"/>
    <w:rsid w:val="00EA5E62"/>
    <w:rsid w:val="00EA5E68"/>
    <w:rsid w:val="00EA5EBC"/>
    <w:rsid w:val="00EA6032"/>
    <w:rsid w:val="00EA60C0"/>
    <w:rsid w:val="00EA612A"/>
    <w:rsid w:val="00EA6183"/>
    <w:rsid w:val="00EA621E"/>
    <w:rsid w:val="00EA6290"/>
    <w:rsid w:val="00EA62C7"/>
    <w:rsid w:val="00EA6367"/>
    <w:rsid w:val="00EA6386"/>
    <w:rsid w:val="00EA6438"/>
    <w:rsid w:val="00EA644E"/>
    <w:rsid w:val="00EA6451"/>
    <w:rsid w:val="00EA649E"/>
    <w:rsid w:val="00EA651D"/>
    <w:rsid w:val="00EA67E5"/>
    <w:rsid w:val="00EA68A3"/>
    <w:rsid w:val="00EA68A6"/>
    <w:rsid w:val="00EA693E"/>
    <w:rsid w:val="00EA6B0A"/>
    <w:rsid w:val="00EA6B18"/>
    <w:rsid w:val="00EA6B7B"/>
    <w:rsid w:val="00EA6BEA"/>
    <w:rsid w:val="00EA6C22"/>
    <w:rsid w:val="00EA6C28"/>
    <w:rsid w:val="00EA6C80"/>
    <w:rsid w:val="00EA6C8B"/>
    <w:rsid w:val="00EA6D37"/>
    <w:rsid w:val="00EA6DF6"/>
    <w:rsid w:val="00EA6EE5"/>
    <w:rsid w:val="00EA6F3A"/>
    <w:rsid w:val="00EA6F7C"/>
    <w:rsid w:val="00EA70A1"/>
    <w:rsid w:val="00EA7117"/>
    <w:rsid w:val="00EA7355"/>
    <w:rsid w:val="00EA73F2"/>
    <w:rsid w:val="00EA7433"/>
    <w:rsid w:val="00EA750E"/>
    <w:rsid w:val="00EA75E3"/>
    <w:rsid w:val="00EA7631"/>
    <w:rsid w:val="00EA773A"/>
    <w:rsid w:val="00EA77D3"/>
    <w:rsid w:val="00EA7837"/>
    <w:rsid w:val="00EA7940"/>
    <w:rsid w:val="00EA7B15"/>
    <w:rsid w:val="00EA7B20"/>
    <w:rsid w:val="00EA7B4D"/>
    <w:rsid w:val="00EA7BD4"/>
    <w:rsid w:val="00EA7C13"/>
    <w:rsid w:val="00EA7CD0"/>
    <w:rsid w:val="00EA7D97"/>
    <w:rsid w:val="00EA7DB3"/>
    <w:rsid w:val="00EA7DE9"/>
    <w:rsid w:val="00EA7E4B"/>
    <w:rsid w:val="00EA7E85"/>
    <w:rsid w:val="00EA7EB8"/>
    <w:rsid w:val="00EA7ED1"/>
    <w:rsid w:val="00EA7F92"/>
    <w:rsid w:val="00EA7FBF"/>
    <w:rsid w:val="00EB002F"/>
    <w:rsid w:val="00EB0119"/>
    <w:rsid w:val="00EB0183"/>
    <w:rsid w:val="00EB026E"/>
    <w:rsid w:val="00EB0503"/>
    <w:rsid w:val="00EB0556"/>
    <w:rsid w:val="00EB05B7"/>
    <w:rsid w:val="00EB05B8"/>
    <w:rsid w:val="00EB05BD"/>
    <w:rsid w:val="00EB064D"/>
    <w:rsid w:val="00EB06D9"/>
    <w:rsid w:val="00EB0711"/>
    <w:rsid w:val="00EB0720"/>
    <w:rsid w:val="00EB078A"/>
    <w:rsid w:val="00EB0980"/>
    <w:rsid w:val="00EB09A0"/>
    <w:rsid w:val="00EB0A40"/>
    <w:rsid w:val="00EB0B1E"/>
    <w:rsid w:val="00EB0B2B"/>
    <w:rsid w:val="00EB0C91"/>
    <w:rsid w:val="00EB0D59"/>
    <w:rsid w:val="00EB0DD8"/>
    <w:rsid w:val="00EB0E75"/>
    <w:rsid w:val="00EB0F6A"/>
    <w:rsid w:val="00EB0FF4"/>
    <w:rsid w:val="00EB100F"/>
    <w:rsid w:val="00EB1013"/>
    <w:rsid w:val="00EB1042"/>
    <w:rsid w:val="00EB105F"/>
    <w:rsid w:val="00EB11DE"/>
    <w:rsid w:val="00EB1355"/>
    <w:rsid w:val="00EB1389"/>
    <w:rsid w:val="00EB139B"/>
    <w:rsid w:val="00EB13D7"/>
    <w:rsid w:val="00EB13F5"/>
    <w:rsid w:val="00EB1587"/>
    <w:rsid w:val="00EB15F7"/>
    <w:rsid w:val="00EB1655"/>
    <w:rsid w:val="00EB1795"/>
    <w:rsid w:val="00EB1817"/>
    <w:rsid w:val="00EB1884"/>
    <w:rsid w:val="00EB18A4"/>
    <w:rsid w:val="00EB18B0"/>
    <w:rsid w:val="00EB18FF"/>
    <w:rsid w:val="00EB1A5D"/>
    <w:rsid w:val="00EB1A62"/>
    <w:rsid w:val="00EB1A83"/>
    <w:rsid w:val="00EB1AE5"/>
    <w:rsid w:val="00EB1AFA"/>
    <w:rsid w:val="00EB1B80"/>
    <w:rsid w:val="00EB1C04"/>
    <w:rsid w:val="00EB1C08"/>
    <w:rsid w:val="00EB1C3C"/>
    <w:rsid w:val="00EB1C56"/>
    <w:rsid w:val="00EB1C58"/>
    <w:rsid w:val="00EB1CF5"/>
    <w:rsid w:val="00EB1E7A"/>
    <w:rsid w:val="00EB1EB4"/>
    <w:rsid w:val="00EB1F49"/>
    <w:rsid w:val="00EB1F58"/>
    <w:rsid w:val="00EB1FC6"/>
    <w:rsid w:val="00EB1FDF"/>
    <w:rsid w:val="00EB2012"/>
    <w:rsid w:val="00EB2015"/>
    <w:rsid w:val="00EB204D"/>
    <w:rsid w:val="00EB20CE"/>
    <w:rsid w:val="00EB20D6"/>
    <w:rsid w:val="00EB210C"/>
    <w:rsid w:val="00EB2204"/>
    <w:rsid w:val="00EB223D"/>
    <w:rsid w:val="00EB234F"/>
    <w:rsid w:val="00EB238B"/>
    <w:rsid w:val="00EB2393"/>
    <w:rsid w:val="00EB23CF"/>
    <w:rsid w:val="00EB2418"/>
    <w:rsid w:val="00EB24E3"/>
    <w:rsid w:val="00EB24EF"/>
    <w:rsid w:val="00EB25CF"/>
    <w:rsid w:val="00EB25D9"/>
    <w:rsid w:val="00EB26FB"/>
    <w:rsid w:val="00EB2727"/>
    <w:rsid w:val="00EB273A"/>
    <w:rsid w:val="00EB276E"/>
    <w:rsid w:val="00EB2913"/>
    <w:rsid w:val="00EB2A6B"/>
    <w:rsid w:val="00EB2B96"/>
    <w:rsid w:val="00EB2D41"/>
    <w:rsid w:val="00EB2DC9"/>
    <w:rsid w:val="00EB2F17"/>
    <w:rsid w:val="00EB2F22"/>
    <w:rsid w:val="00EB2F32"/>
    <w:rsid w:val="00EB2FBF"/>
    <w:rsid w:val="00EB2FC2"/>
    <w:rsid w:val="00EB3029"/>
    <w:rsid w:val="00EB3126"/>
    <w:rsid w:val="00EB3140"/>
    <w:rsid w:val="00EB31F6"/>
    <w:rsid w:val="00EB32A0"/>
    <w:rsid w:val="00EB32BD"/>
    <w:rsid w:val="00EB32F7"/>
    <w:rsid w:val="00EB32FD"/>
    <w:rsid w:val="00EB33BA"/>
    <w:rsid w:val="00EB33D6"/>
    <w:rsid w:val="00EB33F2"/>
    <w:rsid w:val="00EB3447"/>
    <w:rsid w:val="00EB34D5"/>
    <w:rsid w:val="00EB36B4"/>
    <w:rsid w:val="00EB36D3"/>
    <w:rsid w:val="00EB3772"/>
    <w:rsid w:val="00EB3935"/>
    <w:rsid w:val="00EB398F"/>
    <w:rsid w:val="00EB3A88"/>
    <w:rsid w:val="00EB3A94"/>
    <w:rsid w:val="00EB3AFB"/>
    <w:rsid w:val="00EB3B9B"/>
    <w:rsid w:val="00EB3BB0"/>
    <w:rsid w:val="00EB3CB2"/>
    <w:rsid w:val="00EB3E3A"/>
    <w:rsid w:val="00EB3EE7"/>
    <w:rsid w:val="00EB3F45"/>
    <w:rsid w:val="00EB3F5D"/>
    <w:rsid w:val="00EB3F80"/>
    <w:rsid w:val="00EB3FE9"/>
    <w:rsid w:val="00EB4026"/>
    <w:rsid w:val="00EB40B5"/>
    <w:rsid w:val="00EB42BC"/>
    <w:rsid w:val="00EB4480"/>
    <w:rsid w:val="00EB448A"/>
    <w:rsid w:val="00EB453F"/>
    <w:rsid w:val="00EB45AA"/>
    <w:rsid w:val="00EB4617"/>
    <w:rsid w:val="00EB4659"/>
    <w:rsid w:val="00EB47FA"/>
    <w:rsid w:val="00EB4844"/>
    <w:rsid w:val="00EB4922"/>
    <w:rsid w:val="00EB495B"/>
    <w:rsid w:val="00EB49CE"/>
    <w:rsid w:val="00EB49FB"/>
    <w:rsid w:val="00EB4ADA"/>
    <w:rsid w:val="00EB4BE3"/>
    <w:rsid w:val="00EB4C35"/>
    <w:rsid w:val="00EB4C78"/>
    <w:rsid w:val="00EB4C8E"/>
    <w:rsid w:val="00EB4D13"/>
    <w:rsid w:val="00EB4E19"/>
    <w:rsid w:val="00EB4EE9"/>
    <w:rsid w:val="00EB4F36"/>
    <w:rsid w:val="00EB4F46"/>
    <w:rsid w:val="00EB504D"/>
    <w:rsid w:val="00EB50F9"/>
    <w:rsid w:val="00EB517C"/>
    <w:rsid w:val="00EB5207"/>
    <w:rsid w:val="00EB5224"/>
    <w:rsid w:val="00EB523D"/>
    <w:rsid w:val="00EB5469"/>
    <w:rsid w:val="00EB5564"/>
    <w:rsid w:val="00EB55E0"/>
    <w:rsid w:val="00EB55F9"/>
    <w:rsid w:val="00EB5678"/>
    <w:rsid w:val="00EB5752"/>
    <w:rsid w:val="00EB58BC"/>
    <w:rsid w:val="00EB5931"/>
    <w:rsid w:val="00EB5A8B"/>
    <w:rsid w:val="00EB5ACE"/>
    <w:rsid w:val="00EB5AF0"/>
    <w:rsid w:val="00EB5B7D"/>
    <w:rsid w:val="00EB5BB5"/>
    <w:rsid w:val="00EB5C64"/>
    <w:rsid w:val="00EB5C90"/>
    <w:rsid w:val="00EB5CDB"/>
    <w:rsid w:val="00EB5CE8"/>
    <w:rsid w:val="00EB5D13"/>
    <w:rsid w:val="00EB5D97"/>
    <w:rsid w:val="00EB5DD9"/>
    <w:rsid w:val="00EB5DF0"/>
    <w:rsid w:val="00EB5F3E"/>
    <w:rsid w:val="00EB5F45"/>
    <w:rsid w:val="00EB6000"/>
    <w:rsid w:val="00EB6084"/>
    <w:rsid w:val="00EB6178"/>
    <w:rsid w:val="00EB61B8"/>
    <w:rsid w:val="00EB61C0"/>
    <w:rsid w:val="00EB620A"/>
    <w:rsid w:val="00EB6292"/>
    <w:rsid w:val="00EB62E2"/>
    <w:rsid w:val="00EB62F1"/>
    <w:rsid w:val="00EB6387"/>
    <w:rsid w:val="00EB6422"/>
    <w:rsid w:val="00EB64BC"/>
    <w:rsid w:val="00EB64F1"/>
    <w:rsid w:val="00EB653A"/>
    <w:rsid w:val="00EB65A7"/>
    <w:rsid w:val="00EB6684"/>
    <w:rsid w:val="00EB6695"/>
    <w:rsid w:val="00EB6706"/>
    <w:rsid w:val="00EB6729"/>
    <w:rsid w:val="00EB673D"/>
    <w:rsid w:val="00EB68E0"/>
    <w:rsid w:val="00EB68F8"/>
    <w:rsid w:val="00EB69AD"/>
    <w:rsid w:val="00EB6A63"/>
    <w:rsid w:val="00EB6B25"/>
    <w:rsid w:val="00EB6B42"/>
    <w:rsid w:val="00EB6C2D"/>
    <w:rsid w:val="00EB6D1C"/>
    <w:rsid w:val="00EB6D2B"/>
    <w:rsid w:val="00EB6D60"/>
    <w:rsid w:val="00EB6DA7"/>
    <w:rsid w:val="00EB6DAD"/>
    <w:rsid w:val="00EB6DD6"/>
    <w:rsid w:val="00EB6E69"/>
    <w:rsid w:val="00EB6F2B"/>
    <w:rsid w:val="00EB6F95"/>
    <w:rsid w:val="00EB6F96"/>
    <w:rsid w:val="00EB702D"/>
    <w:rsid w:val="00EB70E4"/>
    <w:rsid w:val="00EB70F8"/>
    <w:rsid w:val="00EB7150"/>
    <w:rsid w:val="00EB7241"/>
    <w:rsid w:val="00EB7263"/>
    <w:rsid w:val="00EB729B"/>
    <w:rsid w:val="00EB72A4"/>
    <w:rsid w:val="00EB74C0"/>
    <w:rsid w:val="00EB75E9"/>
    <w:rsid w:val="00EB787E"/>
    <w:rsid w:val="00EB78CD"/>
    <w:rsid w:val="00EB794D"/>
    <w:rsid w:val="00EB79B6"/>
    <w:rsid w:val="00EB7A5F"/>
    <w:rsid w:val="00EB7B6D"/>
    <w:rsid w:val="00EB7C20"/>
    <w:rsid w:val="00EB7C62"/>
    <w:rsid w:val="00EB7CB1"/>
    <w:rsid w:val="00EB7CEE"/>
    <w:rsid w:val="00EB7D4D"/>
    <w:rsid w:val="00EB7D63"/>
    <w:rsid w:val="00EB7E49"/>
    <w:rsid w:val="00EB7F0D"/>
    <w:rsid w:val="00EB7FAA"/>
    <w:rsid w:val="00EC0030"/>
    <w:rsid w:val="00EC013F"/>
    <w:rsid w:val="00EC038B"/>
    <w:rsid w:val="00EC0496"/>
    <w:rsid w:val="00EC04AB"/>
    <w:rsid w:val="00EC059C"/>
    <w:rsid w:val="00EC0797"/>
    <w:rsid w:val="00EC085F"/>
    <w:rsid w:val="00EC08E9"/>
    <w:rsid w:val="00EC08F8"/>
    <w:rsid w:val="00EC0922"/>
    <w:rsid w:val="00EC0A1D"/>
    <w:rsid w:val="00EC0A72"/>
    <w:rsid w:val="00EC0B88"/>
    <w:rsid w:val="00EC0C16"/>
    <w:rsid w:val="00EC0D72"/>
    <w:rsid w:val="00EC0D81"/>
    <w:rsid w:val="00EC0D87"/>
    <w:rsid w:val="00EC0DC6"/>
    <w:rsid w:val="00EC0E6C"/>
    <w:rsid w:val="00EC0F85"/>
    <w:rsid w:val="00EC0FCA"/>
    <w:rsid w:val="00EC1002"/>
    <w:rsid w:val="00EC1004"/>
    <w:rsid w:val="00EC1060"/>
    <w:rsid w:val="00EC10AA"/>
    <w:rsid w:val="00EC10D8"/>
    <w:rsid w:val="00EC11F4"/>
    <w:rsid w:val="00EC1340"/>
    <w:rsid w:val="00EC13B5"/>
    <w:rsid w:val="00EC14B7"/>
    <w:rsid w:val="00EC1529"/>
    <w:rsid w:val="00EC1605"/>
    <w:rsid w:val="00EC1683"/>
    <w:rsid w:val="00EC1724"/>
    <w:rsid w:val="00EC17BE"/>
    <w:rsid w:val="00EC1807"/>
    <w:rsid w:val="00EC18AB"/>
    <w:rsid w:val="00EC18B1"/>
    <w:rsid w:val="00EC1AB2"/>
    <w:rsid w:val="00EC1AC8"/>
    <w:rsid w:val="00EC1BB0"/>
    <w:rsid w:val="00EC1BC6"/>
    <w:rsid w:val="00EC1BC8"/>
    <w:rsid w:val="00EC1CD8"/>
    <w:rsid w:val="00EC1D42"/>
    <w:rsid w:val="00EC1DB4"/>
    <w:rsid w:val="00EC1FA8"/>
    <w:rsid w:val="00EC1FAA"/>
    <w:rsid w:val="00EC2031"/>
    <w:rsid w:val="00EC2035"/>
    <w:rsid w:val="00EC206C"/>
    <w:rsid w:val="00EC2138"/>
    <w:rsid w:val="00EC2210"/>
    <w:rsid w:val="00EC2226"/>
    <w:rsid w:val="00EC2228"/>
    <w:rsid w:val="00EC236F"/>
    <w:rsid w:val="00EC23DA"/>
    <w:rsid w:val="00EC23E4"/>
    <w:rsid w:val="00EC2426"/>
    <w:rsid w:val="00EC242E"/>
    <w:rsid w:val="00EC2465"/>
    <w:rsid w:val="00EC2485"/>
    <w:rsid w:val="00EC25E2"/>
    <w:rsid w:val="00EC262D"/>
    <w:rsid w:val="00EC265F"/>
    <w:rsid w:val="00EC269F"/>
    <w:rsid w:val="00EC2717"/>
    <w:rsid w:val="00EC2749"/>
    <w:rsid w:val="00EC2755"/>
    <w:rsid w:val="00EC28D7"/>
    <w:rsid w:val="00EC2959"/>
    <w:rsid w:val="00EC29AB"/>
    <w:rsid w:val="00EC29B2"/>
    <w:rsid w:val="00EC2A01"/>
    <w:rsid w:val="00EC2AC8"/>
    <w:rsid w:val="00EC2BC4"/>
    <w:rsid w:val="00EC2D30"/>
    <w:rsid w:val="00EC2D8F"/>
    <w:rsid w:val="00EC2DAF"/>
    <w:rsid w:val="00EC2E33"/>
    <w:rsid w:val="00EC2EEC"/>
    <w:rsid w:val="00EC3077"/>
    <w:rsid w:val="00EC3185"/>
    <w:rsid w:val="00EC31DB"/>
    <w:rsid w:val="00EC31E7"/>
    <w:rsid w:val="00EC3213"/>
    <w:rsid w:val="00EC3306"/>
    <w:rsid w:val="00EC3470"/>
    <w:rsid w:val="00EC3557"/>
    <w:rsid w:val="00EC3607"/>
    <w:rsid w:val="00EC36BC"/>
    <w:rsid w:val="00EC372A"/>
    <w:rsid w:val="00EC376C"/>
    <w:rsid w:val="00EC37D1"/>
    <w:rsid w:val="00EC3A99"/>
    <w:rsid w:val="00EC3B69"/>
    <w:rsid w:val="00EC3BBB"/>
    <w:rsid w:val="00EC3EFD"/>
    <w:rsid w:val="00EC3F71"/>
    <w:rsid w:val="00EC3FC1"/>
    <w:rsid w:val="00EC3FF3"/>
    <w:rsid w:val="00EC4103"/>
    <w:rsid w:val="00EC4130"/>
    <w:rsid w:val="00EC41AC"/>
    <w:rsid w:val="00EC41BC"/>
    <w:rsid w:val="00EC41D7"/>
    <w:rsid w:val="00EC41E3"/>
    <w:rsid w:val="00EC42A7"/>
    <w:rsid w:val="00EC42DA"/>
    <w:rsid w:val="00EC4311"/>
    <w:rsid w:val="00EC4317"/>
    <w:rsid w:val="00EC43D6"/>
    <w:rsid w:val="00EC43E5"/>
    <w:rsid w:val="00EC4455"/>
    <w:rsid w:val="00EC4534"/>
    <w:rsid w:val="00EC459D"/>
    <w:rsid w:val="00EC45E4"/>
    <w:rsid w:val="00EC46A6"/>
    <w:rsid w:val="00EC46FE"/>
    <w:rsid w:val="00EC47B8"/>
    <w:rsid w:val="00EC488D"/>
    <w:rsid w:val="00EC49B1"/>
    <w:rsid w:val="00EC49B7"/>
    <w:rsid w:val="00EC49F8"/>
    <w:rsid w:val="00EC4AE2"/>
    <w:rsid w:val="00EC4B79"/>
    <w:rsid w:val="00EC4BE0"/>
    <w:rsid w:val="00EC4CE2"/>
    <w:rsid w:val="00EC4E33"/>
    <w:rsid w:val="00EC4F24"/>
    <w:rsid w:val="00EC4F55"/>
    <w:rsid w:val="00EC4F72"/>
    <w:rsid w:val="00EC4F7D"/>
    <w:rsid w:val="00EC4FE4"/>
    <w:rsid w:val="00EC506D"/>
    <w:rsid w:val="00EC5078"/>
    <w:rsid w:val="00EC51DA"/>
    <w:rsid w:val="00EC51FB"/>
    <w:rsid w:val="00EC52CF"/>
    <w:rsid w:val="00EC52E8"/>
    <w:rsid w:val="00EC5304"/>
    <w:rsid w:val="00EC5328"/>
    <w:rsid w:val="00EC532A"/>
    <w:rsid w:val="00EC54B7"/>
    <w:rsid w:val="00EC5512"/>
    <w:rsid w:val="00EC553A"/>
    <w:rsid w:val="00EC553C"/>
    <w:rsid w:val="00EC5572"/>
    <w:rsid w:val="00EC56A7"/>
    <w:rsid w:val="00EC572B"/>
    <w:rsid w:val="00EC5764"/>
    <w:rsid w:val="00EC5769"/>
    <w:rsid w:val="00EC57C5"/>
    <w:rsid w:val="00EC57D5"/>
    <w:rsid w:val="00EC581C"/>
    <w:rsid w:val="00EC5863"/>
    <w:rsid w:val="00EC59B4"/>
    <w:rsid w:val="00EC59BA"/>
    <w:rsid w:val="00EC5A29"/>
    <w:rsid w:val="00EC5A6E"/>
    <w:rsid w:val="00EC5BB1"/>
    <w:rsid w:val="00EC5C0D"/>
    <w:rsid w:val="00EC5DE1"/>
    <w:rsid w:val="00EC601F"/>
    <w:rsid w:val="00EC6344"/>
    <w:rsid w:val="00EC63A8"/>
    <w:rsid w:val="00EC63DA"/>
    <w:rsid w:val="00EC6438"/>
    <w:rsid w:val="00EC643A"/>
    <w:rsid w:val="00EC6450"/>
    <w:rsid w:val="00EC64C8"/>
    <w:rsid w:val="00EC6553"/>
    <w:rsid w:val="00EC6575"/>
    <w:rsid w:val="00EC6601"/>
    <w:rsid w:val="00EC669E"/>
    <w:rsid w:val="00EC6787"/>
    <w:rsid w:val="00EC67C1"/>
    <w:rsid w:val="00EC6981"/>
    <w:rsid w:val="00EC69E4"/>
    <w:rsid w:val="00EC69F7"/>
    <w:rsid w:val="00EC6AB6"/>
    <w:rsid w:val="00EC6AC2"/>
    <w:rsid w:val="00EC6B32"/>
    <w:rsid w:val="00EC6BF9"/>
    <w:rsid w:val="00EC6C05"/>
    <w:rsid w:val="00EC6D63"/>
    <w:rsid w:val="00EC6DD3"/>
    <w:rsid w:val="00EC6EA4"/>
    <w:rsid w:val="00EC6EF4"/>
    <w:rsid w:val="00EC6F6A"/>
    <w:rsid w:val="00EC7006"/>
    <w:rsid w:val="00EC719D"/>
    <w:rsid w:val="00EC71FB"/>
    <w:rsid w:val="00EC72B2"/>
    <w:rsid w:val="00EC72DC"/>
    <w:rsid w:val="00EC7338"/>
    <w:rsid w:val="00EC735D"/>
    <w:rsid w:val="00EC7391"/>
    <w:rsid w:val="00EC7480"/>
    <w:rsid w:val="00EC751D"/>
    <w:rsid w:val="00EC75E2"/>
    <w:rsid w:val="00EC75F8"/>
    <w:rsid w:val="00EC7665"/>
    <w:rsid w:val="00EC7702"/>
    <w:rsid w:val="00EC774F"/>
    <w:rsid w:val="00EC7805"/>
    <w:rsid w:val="00EC78F8"/>
    <w:rsid w:val="00EC798F"/>
    <w:rsid w:val="00EC79A0"/>
    <w:rsid w:val="00EC79F0"/>
    <w:rsid w:val="00EC7A17"/>
    <w:rsid w:val="00EC7C4F"/>
    <w:rsid w:val="00EC7CA4"/>
    <w:rsid w:val="00EC7CCA"/>
    <w:rsid w:val="00EC7E5B"/>
    <w:rsid w:val="00EC7F25"/>
    <w:rsid w:val="00EC7F26"/>
    <w:rsid w:val="00EC7F61"/>
    <w:rsid w:val="00ED01B7"/>
    <w:rsid w:val="00ED01C8"/>
    <w:rsid w:val="00ED033D"/>
    <w:rsid w:val="00ED040C"/>
    <w:rsid w:val="00ED0453"/>
    <w:rsid w:val="00ED046A"/>
    <w:rsid w:val="00ED04FF"/>
    <w:rsid w:val="00ED0638"/>
    <w:rsid w:val="00ED0663"/>
    <w:rsid w:val="00ED07CE"/>
    <w:rsid w:val="00ED0869"/>
    <w:rsid w:val="00ED08FB"/>
    <w:rsid w:val="00ED0907"/>
    <w:rsid w:val="00ED0BB5"/>
    <w:rsid w:val="00ED0BF3"/>
    <w:rsid w:val="00ED0C2E"/>
    <w:rsid w:val="00ED0C81"/>
    <w:rsid w:val="00ED0C9C"/>
    <w:rsid w:val="00ED0D0B"/>
    <w:rsid w:val="00ED0D5B"/>
    <w:rsid w:val="00ED0F50"/>
    <w:rsid w:val="00ED0F5C"/>
    <w:rsid w:val="00ED0F8F"/>
    <w:rsid w:val="00ED1089"/>
    <w:rsid w:val="00ED10AF"/>
    <w:rsid w:val="00ED1147"/>
    <w:rsid w:val="00ED1197"/>
    <w:rsid w:val="00ED1221"/>
    <w:rsid w:val="00ED12AB"/>
    <w:rsid w:val="00ED12CC"/>
    <w:rsid w:val="00ED1381"/>
    <w:rsid w:val="00ED13C8"/>
    <w:rsid w:val="00ED148A"/>
    <w:rsid w:val="00ED17CA"/>
    <w:rsid w:val="00ED18DA"/>
    <w:rsid w:val="00ED19B1"/>
    <w:rsid w:val="00ED1A03"/>
    <w:rsid w:val="00ED1BF4"/>
    <w:rsid w:val="00ED1C7D"/>
    <w:rsid w:val="00ED1C89"/>
    <w:rsid w:val="00ED1CA7"/>
    <w:rsid w:val="00ED1CA9"/>
    <w:rsid w:val="00ED1CDF"/>
    <w:rsid w:val="00ED1CF5"/>
    <w:rsid w:val="00ED1D3E"/>
    <w:rsid w:val="00ED1D4C"/>
    <w:rsid w:val="00ED1E2A"/>
    <w:rsid w:val="00ED208B"/>
    <w:rsid w:val="00ED20E8"/>
    <w:rsid w:val="00ED211E"/>
    <w:rsid w:val="00ED21B4"/>
    <w:rsid w:val="00ED2208"/>
    <w:rsid w:val="00ED2307"/>
    <w:rsid w:val="00ED23AE"/>
    <w:rsid w:val="00ED23D6"/>
    <w:rsid w:val="00ED2462"/>
    <w:rsid w:val="00ED24E6"/>
    <w:rsid w:val="00ED2560"/>
    <w:rsid w:val="00ED25DC"/>
    <w:rsid w:val="00ED260E"/>
    <w:rsid w:val="00ED261C"/>
    <w:rsid w:val="00ED266B"/>
    <w:rsid w:val="00ED267A"/>
    <w:rsid w:val="00ED26E5"/>
    <w:rsid w:val="00ED26FB"/>
    <w:rsid w:val="00ED281E"/>
    <w:rsid w:val="00ED2825"/>
    <w:rsid w:val="00ED2883"/>
    <w:rsid w:val="00ED28B5"/>
    <w:rsid w:val="00ED28D2"/>
    <w:rsid w:val="00ED28E4"/>
    <w:rsid w:val="00ED2927"/>
    <w:rsid w:val="00ED2931"/>
    <w:rsid w:val="00ED29DF"/>
    <w:rsid w:val="00ED2AC0"/>
    <w:rsid w:val="00ED2BC8"/>
    <w:rsid w:val="00ED2BCA"/>
    <w:rsid w:val="00ED2C13"/>
    <w:rsid w:val="00ED2C90"/>
    <w:rsid w:val="00ED2D1F"/>
    <w:rsid w:val="00ED2D7A"/>
    <w:rsid w:val="00ED2E40"/>
    <w:rsid w:val="00ED2F28"/>
    <w:rsid w:val="00ED2F7B"/>
    <w:rsid w:val="00ED2FF0"/>
    <w:rsid w:val="00ED318A"/>
    <w:rsid w:val="00ED322E"/>
    <w:rsid w:val="00ED3287"/>
    <w:rsid w:val="00ED33A3"/>
    <w:rsid w:val="00ED344C"/>
    <w:rsid w:val="00ED34D4"/>
    <w:rsid w:val="00ED3530"/>
    <w:rsid w:val="00ED3607"/>
    <w:rsid w:val="00ED364F"/>
    <w:rsid w:val="00ED365C"/>
    <w:rsid w:val="00ED367B"/>
    <w:rsid w:val="00ED3A62"/>
    <w:rsid w:val="00ED3A97"/>
    <w:rsid w:val="00ED3B4F"/>
    <w:rsid w:val="00ED3C12"/>
    <w:rsid w:val="00ED3E88"/>
    <w:rsid w:val="00ED3F20"/>
    <w:rsid w:val="00ED3F4D"/>
    <w:rsid w:val="00ED4001"/>
    <w:rsid w:val="00ED41C9"/>
    <w:rsid w:val="00ED42C2"/>
    <w:rsid w:val="00ED4303"/>
    <w:rsid w:val="00ED43C2"/>
    <w:rsid w:val="00ED43CD"/>
    <w:rsid w:val="00ED44AB"/>
    <w:rsid w:val="00ED4516"/>
    <w:rsid w:val="00ED4566"/>
    <w:rsid w:val="00ED464D"/>
    <w:rsid w:val="00ED4663"/>
    <w:rsid w:val="00ED46A9"/>
    <w:rsid w:val="00ED46F3"/>
    <w:rsid w:val="00ED471D"/>
    <w:rsid w:val="00ED472F"/>
    <w:rsid w:val="00ED47AC"/>
    <w:rsid w:val="00ED4836"/>
    <w:rsid w:val="00ED4A2D"/>
    <w:rsid w:val="00ED4A47"/>
    <w:rsid w:val="00ED4AB7"/>
    <w:rsid w:val="00ED4B1D"/>
    <w:rsid w:val="00ED4B4C"/>
    <w:rsid w:val="00ED4BD0"/>
    <w:rsid w:val="00ED4CB7"/>
    <w:rsid w:val="00ED4CBE"/>
    <w:rsid w:val="00ED4FA6"/>
    <w:rsid w:val="00ED512B"/>
    <w:rsid w:val="00ED514E"/>
    <w:rsid w:val="00ED5183"/>
    <w:rsid w:val="00ED5200"/>
    <w:rsid w:val="00ED526C"/>
    <w:rsid w:val="00ED52AF"/>
    <w:rsid w:val="00ED5412"/>
    <w:rsid w:val="00ED5453"/>
    <w:rsid w:val="00ED54E7"/>
    <w:rsid w:val="00ED552C"/>
    <w:rsid w:val="00ED5603"/>
    <w:rsid w:val="00ED56B3"/>
    <w:rsid w:val="00ED56FD"/>
    <w:rsid w:val="00ED573E"/>
    <w:rsid w:val="00ED5894"/>
    <w:rsid w:val="00ED59FA"/>
    <w:rsid w:val="00ED5A59"/>
    <w:rsid w:val="00ED5A7E"/>
    <w:rsid w:val="00ED5AF5"/>
    <w:rsid w:val="00ED5B00"/>
    <w:rsid w:val="00ED5B4F"/>
    <w:rsid w:val="00ED5B58"/>
    <w:rsid w:val="00ED5BAC"/>
    <w:rsid w:val="00ED5BCE"/>
    <w:rsid w:val="00ED5BDC"/>
    <w:rsid w:val="00ED5DDD"/>
    <w:rsid w:val="00ED5E3B"/>
    <w:rsid w:val="00ED5F40"/>
    <w:rsid w:val="00ED5F43"/>
    <w:rsid w:val="00ED5F9A"/>
    <w:rsid w:val="00ED6094"/>
    <w:rsid w:val="00ED60C2"/>
    <w:rsid w:val="00ED6100"/>
    <w:rsid w:val="00ED61D0"/>
    <w:rsid w:val="00ED6225"/>
    <w:rsid w:val="00ED62BD"/>
    <w:rsid w:val="00ED62FE"/>
    <w:rsid w:val="00ED6327"/>
    <w:rsid w:val="00ED6348"/>
    <w:rsid w:val="00ED640B"/>
    <w:rsid w:val="00ED65F0"/>
    <w:rsid w:val="00ED6654"/>
    <w:rsid w:val="00ED6677"/>
    <w:rsid w:val="00ED6688"/>
    <w:rsid w:val="00ED668D"/>
    <w:rsid w:val="00ED66E3"/>
    <w:rsid w:val="00ED675B"/>
    <w:rsid w:val="00ED6771"/>
    <w:rsid w:val="00ED68EA"/>
    <w:rsid w:val="00ED68F1"/>
    <w:rsid w:val="00ED68F7"/>
    <w:rsid w:val="00ED6952"/>
    <w:rsid w:val="00ED6A05"/>
    <w:rsid w:val="00ED6AC5"/>
    <w:rsid w:val="00ED6BD7"/>
    <w:rsid w:val="00ED6D29"/>
    <w:rsid w:val="00ED6D63"/>
    <w:rsid w:val="00ED6DD7"/>
    <w:rsid w:val="00ED6DF6"/>
    <w:rsid w:val="00ED6E83"/>
    <w:rsid w:val="00ED6EC4"/>
    <w:rsid w:val="00ED6ED8"/>
    <w:rsid w:val="00ED6F49"/>
    <w:rsid w:val="00ED6FEE"/>
    <w:rsid w:val="00ED7064"/>
    <w:rsid w:val="00ED70C7"/>
    <w:rsid w:val="00ED7138"/>
    <w:rsid w:val="00ED714D"/>
    <w:rsid w:val="00ED71A1"/>
    <w:rsid w:val="00ED71A3"/>
    <w:rsid w:val="00ED71C3"/>
    <w:rsid w:val="00ED72AE"/>
    <w:rsid w:val="00ED72EA"/>
    <w:rsid w:val="00ED734E"/>
    <w:rsid w:val="00ED73BD"/>
    <w:rsid w:val="00ED73D8"/>
    <w:rsid w:val="00ED7450"/>
    <w:rsid w:val="00ED74D4"/>
    <w:rsid w:val="00ED74DD"/>
    <w:rsid w:val="00ED75F3"/>
    <w:rsid w:val="00ED763D"/>
    <w:rsid w:val="00ED76C2"/>
    <w:rsid w:val="00ED774D"/>
    <w:rsid w:val="00ED7752"/>
    <w:rsid w:val="00ED787F"/>
    <w:rsid w:val="00ED7886"/>
    <w:rsid w:val="00ED78A2"/>
    <w:rsid w:val="00ED78C5"/>
    <w:rsid w:val="00ED78F9"/>
    <w:rsid w:val="00ED7991"/>
    <w:rsid w:val="00ED79ED"/>
    <w:rsid w:val="00ED7A2B"/>
    <w:rsid w:val="00ED7AF4"/>
    <w:rsid w:val="00ED7B8F"/>
    <w:rsid w:val="00ED7B9B"/>
    <w:rsid w:val="00ED7BA7"/>
    <w:rsid w:val="00ED7BF5"/>
    <w:rsid w:val="00ED7C32"/>
    <w:rsid w:val="00ED7CCD"/>
    <w:rsid w:val="00ED7DBA"/>
    <w:rsid w:val="00ED7E96"/>
    <w:rsid w:val="00ED7EA7"/>
    <w:rsid w:val="00ED7F16"/>
    <w:rsid w:val="00ED7F1C"/>
    <w:rsid w:val="00ED7F2E"/>
    <w:rsid w:val="00ED7F4A"/>
    <w:rsid w:val="00ED7F7D"/>
    <w:rsid w:val="00ED7F9E"/>
    <w:rsid w:val="00ED7FBD"/>
    <w:rsid w:val="00EE005D"/>
    <w:rsid w:val="00EE0110"/>
    <w:rsid w:val="00EE0165"/>
    <w:rsid w:val="00EE01AD"/>
    <w:rsid w:val="00EE020F"/>
    <w:rsid w:val="00EE026F"/>
    <w:rsid w:val="00EE029C"/>
    <w:rsid w:val="00EE033E"/>
    <w:rsid w:val="00EE0343"/>
    <w:rsid w:val="00EE0415"/>
    <w:rsid w:val="00EE046B"/>
    <w:rsid w:val="00EE04B5"/>
    <w:rsid w:val="00EE052A"/>
    <w:rsid w:val="00EE0645"/>
    <w:rsid w:val="00EE0737"/>
    <w:rsid w:val="00EE073A"/>
    <w:rsid w:val="00EE0762"/>
    <w:rsid w:val="00EE089E"/>
    <w:rsid w:val="00EE08A7"/>
    <w:rsid w:val="00EE08B4"/>
    <w:rsid w:val="00EE0974"/>
    <w:rsid w:val="00EE0AA4"/>
    <w:rsid w:val="00EE0CDF"/>
    <w:rsid w:val="00EE0D2F"/>
    <w:rsid w:val="00EE0D7E"/>
    <w:rsid w:val="00EE0E0F"/>
    <w:rsid w:val="00EE0E48"/>
    <w:rsid w:val="00EE0E6C"/>
    <w:rsid w:val="00EE10F6"/>
    <w:rsid w:val="00EE1243"/>
    <w:rsid w:val="00EE12BD"/>
    <w:rsid w:val="00EE1306"/>
    <w:rsid w:val="00EE131D"/>
    <w:rsid w:val="00EE13CB"/>
    <w:rsid w:val="00EE1477"/>
    <w:rsid w:val="00EE1594"/>
    <w:rsid w:val="00EE15DF"/>
    <w:rsid w:val="00EE164D"/>
    <w:rsid w:val="00EE164E"/>
    <w:rsid w:val="00EE16DC"/>
    <w:rsid w:val="00EE170A"/>
    <w:rsid w:val="00EE1710"/>
    <w:rsid w:val="00EE1764"/>
    <w:rsid w:val="00EE17C8"/>
    <w:rsid w:val="00EE19CB"/>
    <w:rsid w:val="00EE19FD"/>
    <w:rsid w:val="00EE1A27"/>
    <w:rsid w:val="00EE1A2C"/>
    <w:rsid w:val="00EE1BC1"/>
    <w:rsid w:val="00EE1CBC"/>
    <w:rsid w:val="00EE1CD4"/>
    <w:rsid w:val="00EE1CD9"/>
    <w:rsid w:val="00EE1E83"/>
    <w:rsid w:val="00EE1E9D"/>
    <w:rsid w:val="00EE1ED9"/>
    <w:rsid w:val="00EE202C"/>
    <w:rsid w:val="00EE20D4"/>
    <w:rsid w:val="00EE2155"/>
    <w:rsid w:val="00EE2182"/>
    <w:rsid w:val="00EE21D3"/>
    <w:rsid w:val="00EE21E2"/>
    <w:rsid w:val="00EE2283"/>
    <w:rsid w:val="00EE22B7"/>
    <w:rsid w:val="00EE24EB"/>
    <w:rsid w:val="00EE24F2"/>
    <w:rsid w:val="00EE2577"/>
    <w:rsid w:val="00EE25FB"/>
    <w:rsid w:val="00EE2793"/>
    <w:rsid w:val="00EE27A2"/>
    <w:rsid w:val="00EE27DB"/>
    <w:rsid w:val="00EE2826"/>
    <w:rsid w:val="00EE2907"/>
    <w:rsid w:val="00EE291E"/>
    <w:rsid w:val="00EE29DD"/>
    <w:rsid w:val="00EE2A2E"/>
    <w:rsid w:val="00EE2ADD"/>
    <w:rsid w:val="00EE2B2F"/>
    <w:rsid w:val="00EE2B3A"/>
    <w:rsid w:val="00EE2BB0"/>
    <w:rsid w:val="00EE2D0F"/>
    <w:rsid w:val="00EE2DB8"/>
    <w:rsid w:val="00EE2DF6"/>
    <w:rsid w:val="00EE2E16"/>
    <w:rsid w:val="00EE312B"/>
    <w:rsid w:val="00EE330A"/>
    <w:rsid w:val="00EE3389"/>
    <w:rsid w:val="00EE3422"/>
    <w:rsid w:val="00EE3426"/>
    <w:rsid w:val="00EE36CC"/>
    <w:rsid w:val="00EE3810"/>
    <w:rsid w:val="00EE38F9"/>
    <w:rsid w:val="00EE3917"/>
    <w:rsid w:val="00EE3963"/>
    <w:rsid w:val="00EE3A40"/>
    <w:rsid w:val="00EE3B3D"/>
    <w:rsid w:val="00EE3DAE"/>
    <w:rsid w:val="00EE3DDB"/>
    <w:rsid w:val="00EE3DF7"/>
    <w:rsid w:val="00EE3F95"/>
    <w:rsid w:val="00EE4021"/>
    <w:rsid w:val="00EE4073"/>
    <w:rsid w:val="00EE407F"/>
    <w:rsid w:val="00EE4080"/>
    <w:rsid w:val="00EE40DC"/>
    <w:rsid w:val="00EE414A"/>
    <w:rsid w:val="00EE42E2"/>
    <w:rsid w:val="00EE42E4"/>
    <w:rsid w:val="00EE435B"/>
    <w:rsid w:val="00EE43B5"/>
    <w:rsid w:val="00EE446D"/>
    <w:rsid w:val="00EE44B0"/>
    <w:rsid w:val="00EE44FD"/>
    <w:rsid w:val="00EE45A4"/>
    <w:rsid w:val="00EE460B"/>
    <w:rsid w:val="00EE4657"/>
    <w:rsid w:val="00EE46D9"/>
    <w:rsid w:val="00EE46EC"/>
    <w:rsid w:val="00EE4722"/>
    <w:rsid w:val="00EE48B2"/>
    <w:rsid w:val="00EE492D"/>
    <w:rsid w:val="00EE494D"/>
    <w:rsid w:val="00EE4965"/>
    <w:rsid w:val="00EE49BD"/>
    <w:rsid w:val="00EE4A31"/>
    <w:rsid w:val="00EE4AC6"/>
    <w:rsid w:val="00EE4BBF"/>
    <w:rsid w:val="00EE4C33"/>
    <w:rsid w:val="00EE4CB9"/>
    <w:rsid w:val="00EE4CDC"/>
    <w:rsid w:val="00EE4CEE"/>
    <w:rsid w:val="00EE4D27"/>
    <w:rsid w:val="00EE4D31"/>
    <w:rsid w:val="00EE4D4D"/>
    <w:rsid w:val="00EE4E18"/>
    <w:rsid w:val="00EE4E5B"/>
    <w:rsid w:val="00EE4EF4"/>
    <w:rsid w:val="00EE4F62"/>
    <w:rsid w:val="00EE5019"/>
    <w:rsid w:val="00EE5078"/>
    <w:rsid w:val="00EE52A6"/>
    <w:rsid w:val="00EE52B7"/>
    <w:rsid w:val="00EE5369"/>
    <w:rsid w:val="00EE53C1"/>
    <w:rsid w:val="00EE5437"/>
    <w:rsid w:val="00EE545C"/>
    <w:rsid w:val="00EE5476"/>
    <w:rsid w:val="00EE54F2"/>
    <w:rsid w:val="00EE55C3"/>
    <w:rsid w:val="00EE5767"/>
    <w:rsid w:val="00EE5790"/>
    <w:rsid w:val="00EE5794"/>
    <w:rsid w:val="00EE580A"/>
    <w:rsid w:val="00EE5823"/>
    <w:rsid w:val="00EE5847"/>
    <w:rsid w:val="00EE591D"/>
    <w:rsid w:val="00EE5922"/>
    <w:rsid w:val="00EE592C"/>
    <w:rsid w:val="00EE5A99"/>
    <w:rsid w:val="00EE5C59"/>
    <w:rsid w:val="00EE5CE1"/>
    <w:rsid w:val="00EE5D5A"/>
    <w:rsid w:val="00EE5E0D"/>
    <w:rsid w:val="00EE5EE6"/>
    <w:rsid w:val="00EE5EF4"/>
    <w:rsid w:val="00EE5F81"/>
    <w:rsid w:val="00EE5FCF"/>
    <w:rsid w:val="00EE5FFB"/>
    <w:rsid w:val="00EE61CC"/>
    <w:rsid w:val="00EE6242"/>
    <w:rsid w:val="00EE6267"/>
    <w:rsid w:val="00EE6365"/>
    <w:rsid w:val="00EE63E0"/>
    <w:rsid w:val="00EE63EF"/>
    <w:rsid w:val="00EE6427"/>
    <w:rsid w:val="00EE650F"/>
    <w:rsid w:val="00EE655A"/>
    <w:rsid w:val="00EE6591"/>
    <w:rsid w:val="00EE6679"/>
    <w:rsid w:val="00EE6698"/>
    <w:rsid w:val="00EE677A"/>
    <w:rsid w:val="00EE6799"/>
    <w:rsid w:val="00EE680E"/>
    <w:rsid w:val="00EE6859"/>
    <w:rsid w:val="00EE68B2"/>
    <w:rsid w:val="00EE68EC"/>
    <w:rsid w:val="00EE69B2"/>
    <w:rsid w:val="00EE69DD"/>
    <w:rsid w:val="00EE6A64"/>
    <w:rsid w:val="00EE6DA5"/>
    <w:rsid w:val="00EE6E2D"/>
    <w:rsid w:val="00EE6E32"/>
    <w:rsid w:val="00EE6E33"/>
    <w:rsid w:val="00EE6E3D"/>
    <w:rsid w:val="00EE6E70"/>
    <w:rsid w:val="00EE6EAE"/>
    <w:rsid w:val="00EE6F29"/>
    <w:rsid w:val="00EE70B1"/>
    <w:rsid w:val="00EE70CA"/>
    <w:rsid w:val="00EE70E7"/>
    <w:rsid w:val="00EE712E"/>
    <w:rsid w:val="00EE719A"/>
    <w:rsid w:val="00EE7253"/>
    <w:rsid w:val="00EE72C6"/>
    <w:rsid w:val="00EE72EF"/>
    <w:rsid w:val="00EE7328"/>
    <w:rsid w:val="00EE735B"/>
    <w:rsid w:val="00EE73F6"/>
    <w:rsid w:val="00EE7463"/>
    <w:rsid w:val="00EE746B"/>
    <w:rsid w:val="00EE74CC"/>
    <w:rsid w:val="00EE762B"/>
    <w:rsid w:val="00EE76CE"/>
    <w:rsid w:val="00EE7745"/>
    <w:rsid w:val="00EE7831"/>
    <w:rsid w:val="00EE790E"/>
    <w:rsid w:val="00EE7914"/>
    <w:rsid w:val="00EE79F0"/>
    <w:rsid w:val="00EE7A2E"/>
    <w:rsid w:val="00EE7AED"/>
    <w:rsid w:val="00EE7BF4"/>
    <w:rsid w:val="00EE7CAA"/>
    <w:rsid w:val="00EE7CBD"/>
    <w:rsid w:val="00EE7DC2"/>
    <w:rsid w:val="00EE7FA7"/>
    <w:rsid w:val="00EE7FAD"/>
    <w:rsid w:val="00EF012B"/>
    <w:rsid w:val="00EF0141"/>
    <w:rsid w:val="00EF0263"/>
    <w:rsid w:val="00EF0305"/>
    <w:rsid w:val="00EF036F"/>
    <w:rsid w:val="00EF0397"/>
    <w:rsid w:val="00EF03DF"/>
    <w:rsid w:val="00EF04A3"/>
    <w:rsid w:val="00EF0564"/>
    <w:rsid w:val="00EF05BD"/>
    <w:rsid w:val="00EF060D"/>
    <w:rsid w:val="00EF062F"/>
    <w:rsid w:val="00EF066F"/>
    <w:rsid w:val="00EF06C4"/>
    <w:rsid w:val="00EF080C"/>
    <w:rsid w:val="00EF0856"/>
    <w:rsid w:val="00EF09D7"/>
    <w:rsid w:val="00EF0A0B"/>
    <w:rsid w:val="00EF0C31"/>
    <w:rsid w:val="00EF0CBA"/>
    <w:rsid w:val="00EF0CFB"/>
    <w:rsid w:val="00EF0D8D"/>
    <w:rsid w:val="00EF0F1D"/>
    <w:rsid w:val="00EF101D"/>
    <w:rsid w:val="00EF1077"/>
    <w:rsid w:val="00EF10CC"/>
    <w:rsid w:val="00EF10F6"/>
    <w:rsid w:val="00EF110A"/>
    <w:rsid w:val="00EF111B"/>
    <w:rsid w:val="00EF11B5"/>
    <w:rsid w:val="00EF1208"/>
    <w:rsid w:val="00EF12D9"/>
    <w:rsid w:val="00EF1428"/>
    <w:rsid w:val="00EF149C"/>
    <w:rsid w:val="00EF14EF"/>
    <w:rsid w:val="00EF161B"/>
    <w:rsid w:val="00EF1658"/>
    <w:rsid w:val="00EF1672"/>
    <w:rsid w:val="00EF16B1"/>
    <w:rsid w:val="00EF17C2"/>
    <w:rsid w:val="00EF1861"/>
    <w:rsid w:val="00EF190D"/>
    <w:rsid w:val="00EF1927"/>
    <w:rsid w:val="00EF192F"/>
    <w:rsid w:val="00EF1994"/>
    <w:rsid w:val="00EF19A8"/>
    <w:rsid w:val="00EF19D1"/>
    <w:rsid w:val="00EF1AB4"/>
    <w:rsid w:val="00EF1C6E"/>
    <w:rsid w:val="00EF1E51"/>
    <w:rsid w:val="00EF1EE2"/>
    <w:rsid w:val="00EF1F8C"/>
    <w:rsid w:val="00EF1F99"/>
    <w:rsid w:val="00EF1FF5"/>
    <w:rsid w:val="00EF20D8"/>
    <w:rsid w:val="00EF213E"/>
    <w:rsid w:val="00EF21B8"/>
    <w:rsid w:val="00EF23EA"/>
    <w:rsid w:val="00EF256F"/>
    <w:rsid w:val="00EF25F6"/>
    <w:rsid w:val="00EF2619"/>
    <w:rsid w:val="00EF2658"/>
    <w:rsid w:val="00EF2664"/>
    <w:rsid w:val="00EF2772"/>
    <w:rsid w:val="00EF28F2"/>
    <w:rsid w:val="00EF2BBD"/>
    <w:rsid w:val="00EF2BCE"/>
    <w:rsid w:val="00EF2BDC"/>
    <w:rsid w:val="00EF2C06"/>
    <w:rsid w:val="00EF2C10"/>
    <w:rsid w:val="00EF2D16"/>
    <w:rsid w:val="00EF2E12"/>
    <w:rsid w:val="00EF2EB4"/>
    <w:rsid w:val="00EF30DB"/>
    <w:rsid w:val="00EF3159"/>
    <w:rsid w:val="00EF323C"/>
    <w:rsid w:val="00EF327B"/>
    <w:rsid w:val="00EF347E"/>
    <w:rsid w:val="00EF34F1"/>
    <w:rsid w:val="00EF350A"/>
    <w:rsid w:val="00EF3523"/>
    <w:rsid w:val="00EF3566"/>
    <w:rsid w:val="00EF35A2"/>
    <w:rsid w:val="00EF37EA"/>
    <w:rsid w:val="00EF38ED"/>
    <w:rsid w:val="00EF3A37"/>
    <w:rsid w:val="00EF3A71"/>
    <w:rsid w:val="00EF3B32"/>
    <w:rsid w:val="00EF3BB1"/>
    <w:rsid w:val="00EF3C09"/>
    <w:rsid w:val="00EF3C59"/>
    <w:rsid w:val="00EF3D7D"/>
    <w:rsid w:val="00EF3DF3"/>
    <w:rsid w:val="00EF3E0D"/>
    <w:rsid w:val="00EF3EAA"/>
    <w:rsid w:val="00EF3EC7"/>
    <w:rsid w:val="00EF3ED9"/>
    <w:rsid w:val="00EF3EDB"/>
    <w:rsid w:val="00EF3F02"/>
    <w:rsid w:val="00EF404C"/>
    <w:rsid w:val="00EF409A"/>
    <w:rsid w:val="00EF4217"/>
    <w:rsid w:val="00EF427D"/>
    <w:rsid w:val="00EF4329"/>
    <w:rsid w:val="00EF43D8"/>
    <w:rsid w:val="00EF43E1"/>
    <w:rsid w:val="00EF44AD"/>
    <w:rsid w:val="00EF44BF"/>
    <w:rsid w:val="00EF453B"/>
    <w:rsid w:val="00EF458A"/>
    <w:rsid w:val="00EF45BB"/>
    <w:rsid w:val="00EF45F6"/>
    <w:rsid w:val="00EF4615"/>
    <w:rsid w:val="00EF4686"/>
    <w:rsid w:val="00EF46D8"/>
    <w:rsid w:val="00EF475D"/>
    <w:rsid w:val="00EF4773"/>
    <w:rsid w:val="00EF487D"/>
    <w:rsid w:val="00EF4894"/>
    <w:rsid w:val="00EF48D0"/>
    <w:rsid w:val="00EF48F6"/>
    <w:rsid w:val="00EF4A72"/>
    <w:rsid w:val="00EF4B9E"/>
    <w:rsid w:val="00EF4C26"/>
    <w:rsid w:val="00EF4D63"/>
    <w:rsid w:val="00EF4D90"/>
    <w:rsid w:val="00EF4DB5"/>
    <w:rsid w:val="00EF4E5B"/>
    <w:rsid w:val="00EF4EB9"/>
    <w:rsid w:val="00EF4EC9"/>
    <w:rsid w:val="00EF4EF7"/>
    <w:rsid w:val="00EF4FEB"/>
    <w:rsid w:val="00EF5143"/>
    <w:rsid w:val="00EF51EC"/>
    <w:rsid w:val="00EF53F0"/>
    <w:rsid w:val="00EF5412"/>
    <w:rsid w:val="00EF5501"/>
    <w:rsid w:val="00EF550E"/>
    <w:rsid w:val="00EF5528"/>
    <w:rsid w:val="00EF55A1"/>
    <w:rsid w:val="00EF55C9"/>
    <w:rsid w:val="00EF55DD"/>
    <w:rsid w:val="00EF55F6"/>
    <w:rsid w:val="00EF56B4"/>
    <w:rsid w:val="00EF5732"/>
    <w:rsid w:val="00EF58C5"/>
    <w:rsid w:val="00EF593E"/>
    <w:rsid w:val="00EF5A69"/>
    <w:rsid w:val="00EF5B18"/>
    <w:rsid w:val="00EF5DCA"/>
    <w:rsid w:val="00EF5EB9"/>
    <w:rsid w:val="00EF5EF1"/>
    <w:rsid w:val="00EF6048"/>
    <w:rsid w:val="00EF60B2"/>
    <w:rsid w:val="00EF6140"/>
    <w:rsid w:val="00EF614B"/>
    <w:rsid w:val="00EF6169"/>
    <w:rsid w:val="00EF61D4"/>
    <w:rsid w:val="00EF62C9"/>
    <w:rsid w:val="00EF6322"/>
    <w:rsid w:val="00EF6341"/>
    <w:rsid w:val="00EF6510"/>
    <w:rsid w:val="00EF6574"/>
    <w:rsid w:val="00EF65BA"/>
    <w:rsid w:val="00EF6659"/>
    <w:rsid w:val="00EF6721"/>
    <w:rsid w:val="00EF6787"/>
    <w:rsid w:val="00EF67DC"/>
    <w:rsid w:val="00EF67F6"/>
    <w:rsid w:val="00EF68F7"/>
    <w:rsid w:val="00EF693D"/>
    <w:rsid w:val="00EF69FC"/>
    <w:rsid w:val="00EF6A8F"/>
    <w:rsid w:val="00EF6B91"/>
    <w:rsid w:val="00EF6CB9"/>
    <w:rsid w:val="00EF6DCB"/>
    <w:rsid w:val="00EF6DCF"/>
    <w:rsid w:val="00EF6DF2"/>
    <w:rsid w:val="00EF6E2B"/>
    <w:rsid w:val="00EF6E57"/>
    <w:rsid w:val="00EF6E5B"/>
    <w:rsid w:val="00EF6E67"/>
    <w:rsid w:val="00EF6EF7"/>
    <w:rsid w:val="00EF6F2C"/>
    <w:rsid w:val="00EF6F7A"/>
    <w:rsid w:val="00EF6FC7"/>
    <w:rsid w:val="00EF7074"/>
    <w:rsid w:val="00EF70DF"/>
    <w:rsid w:val="00EF70E4"/>
    <w:rsid w:val="00EF70F7"/>
    <w:rsid w:val="00EF71CB"/>
    <w:rsid w:val="00EF727E"/>
    <w:rsid w:val="00EF72E6"/>
    <w:rsid w:val="00EF72FE"/>
    <w:rsid w:val="00EF7348"/>
    <w:rsid w:val="00EF736E"/>
    <w:rsid w:val="00EF7372"/>
    <w:rsid w:val="00EF74CA"/>
    <w:rsid w:val="00EF7599"/>
    <w:rsid w:val="00EF7607"/>
    <w:rsid w:val="00EF7642"/>
    <w:rsid w:val="00EF76C3"/>
    <w:rsid w:val="00EF7704"/>
    <w:rsid w:val="00EF7716"/>
    <w:rsid w:val="00EF775A"/>
    <w:rsid w:val="00EF7797"/>
    <w:rsid w:val="00EF7874"/>
    <w:rsid w:val="00EF787B"/>
    <w:rsid w:val="00EF7897"/>
    <w:rsid w:val="00EF78CA"/>
    <w:rsid w:val="00EF795A"/>
    <w:rsid w:val="00EF797A"/>
    <w:rsid w:val="00EF7B01"/>
    <w:rsid w:val="00EF7C4E"/>
    <w:rsid w:val="00EF7DBB"/>
    <w:rsid w:val="00EF7EED"/>
    <w:rsid w:val="00EF7EF7"/>
    <w:rsid w:val="00EFEE37"/>
    <w:rsid w:val="00F00014"/>
    <w:rsid w:val="00F00036"/>
    <w:rsid w:val="00F0003C"/>
    <w:rsid w:val="00F00114"/>
    <w:rsid w:val="00F0015A"/>
    <w:rsid w:val="00F00176"/>
    <w:rsid w:val="00F001E0"/>
    <w:rsid w:val="00F0028F"/>
    <w:rsid w:val="00F002CA"/>
    <w:rsid w:val="00F002D4"/>
    <w:rsid w:val="00F00302"/>
    <w:rsid w:val="00F0037C"/>
    <w:rsid w:val="00F003C4"/>
    <w:rsid w:val="00F0051E"/>
    <w:rsid w:val="00F0053C"/>
    <w:rsid w:val="00F0054E"/>
    <w:rsid w:val="00F0061F"/>
    <w:rsid w:val="00F006ED"/>
    <w:rsid w:val="00F0091C"/>
    <w:rsid w:val="00F00A09"/>
    <w:rsid w:val="00F00B3A"/>
    <w:rsid w:val="00F00E4B"/>
    <w:rsid w:val="00F00F1C"/>
    <w:rsid w:val="00F00F93"/>
    <w:rsid w:val="00F01037"/>
    <w:rsid w:val="00F010F3"/>
    <w:rsid w:val="00F01166"/>
    <w:rsid w:val="00F01167"/>
    <w:rsid w:val="00F0125A"/>
    <w:rsid w:val="00F0128C"/>
    <w:rsid w:val="00F013E1"/>
    <w:rsid w:val="00F01478"/>
    <w:rsid w:val="00F015F5"/>
    <w:rsid w:val="00F0161E"/>
    <w:rsid w:val="00F0161F"/>
    <w:rsid w:val="00F0168E"/>
    <w:rsid w:val="00F016D5"/>
    <w:rsid w:val="00F016D8"/>
    <w:rsid w:val="00F01787"/>
    <w:rsid w:val="00F01A87"/>
    <w:rsid w:val="00F01BF9"/>
    <w:rsid w:val="00F01C2B"/>
    <w:rsid w:val="00F01DD6"/>
    <w:rsid w:val="00F01EC5"/>
    <w:rsid w:val="00F01ED7"/>
    <w:rsid w:val="00F01F50"/>
    <w:rsid w:val="00F02059"/>
    <w:rsid w:val="00F020C6"/>
    <w:rsid w:val="00F02140"/>
    <w:rsid w:val="00F0243E"/>
    <w:rsid w:val="00F024F6"/>
    <w:rsid w:val="00F02584"/>
    <w:rsid w:val="00F02609"/>
    <w:rsid w:val="00F02679"/>
    <w:rsid w:val="00F026D7"/>
    <w:rsid w:val="00F02767"/>
    <w:rsid w:val="00F027EF"/>
    <w:rsid w:val="00F02816"/>
    <w:rsid w:val="00F0286D"/>
    <w:rsid w:val="00F02891"/>
    <w:rsid w:val="00F02A38"/>
    <w:rsid w:val="00F02A43"/>
    <w:rsid w:val="00F02B31"/>
    <w:rsid w:val="00F02BF2"/>
    <w:rsid w:val="00F02C02"/>
    <w:rsid w:val="00F02C4F"/>
    <w:rsid w:val="00F02CD4"/>
    <w:rsid w:val="00F02DEC"/>
    <w:rsid w:val="00F02DFB"/>
    <w:rsid w:val="00F02F32"/>
    <w:rsid w:val="00F02FDF"/>
    <w:rsid w:val="00F030DF"/>
    <w:rsid w:val="00F03177"/>
    <w:rsid w:val="00F031E8"/>
    <w:rsid w:val="00F03226"/>
    <w:rsid w:val="00F03353"/>
    <w:rsid w:val="00F0335B"/>
    <w:rsid w:val="00F03362"/>
    <w:rsid w:val="00F033BE"/>
    <w:rsid w:val="00F03413"/>
    <w:rsid w:val="00F03460"/>
    <w:rsid w:val="00F0356E"/>
    <w:rsid w:val="00F035F4"/>
    <w:rsid w:val="00F03794"/>
    <w:rsid w:val="00F037CB"/>
    <w:rsid w:val="00F03804"/>
    <w:rsid w:val="00F03922"/>
    <w:rsid w:val="00F03992"/>
    <w:rsid w:val="00F03A51"/>
    <w:rsid w:val="00F03B05"/>
    <w:rsid w:val="00F03BD3"/>
    <w:rsid w:val="00F03BEA"/>
    <w:rsid w:val="00F03BEC"/>
    <w:rsid w:val="00F03D63"/>
    <w:rsid w:val="00F03D97"/>
    <w:rsid w:val="00F03DD5"/>
    <w:rsid w:val="00F03E60"/>
    <w:rsid w:val="00F03EA9"/>
    <w:rsid w:val="00F03FC5"/>
    <w:rsid w:val="00F04009"/>
    <w:rsid w:val="00F0401B"/>
    <w:rsid w:val="00F04055"/>
    <w:rsid w:val="00F0407E"/>
    <w:rsid w:val="00F041AC"/>
    <w:rsid w:val="00F041C1"/>
    <w:rsid w:val="00F04241"/>
    <w:rsid w:val="00F04261"/>
    <w:rsid w:val="00F042B5"/>
    <w:rsid w:val="00F04533"/>
    <w:rsid w:val="00F046DB"/>
    <w:rsid w:val="00F04782"/>
    <w:rsid w:val="00F047A4"/>
    <w:rsid w:val="00F04891"/>
    <w:rsid w:val="00F048C0"/>
    <w:rsid w:val="00F048F3"/>
    <w:rsid w:val="00F04999"/>
    <w:rsid w:val="00F049DE"/>
    <w:rsid w:val="00F04C30"/>
    <w:rsid w:val="00F04C47"/>
    <w:rsid w:val="00F04C83"/>
    <w:rsid w:val="00F04C86"/>
    <w:rsid w:val="00F04CA6"/>
    <w:rsid w:val="00F04E36"/>
    <w:rsid w:val="00F04E49"/>
    <w:rsid w:val="00F04F40"/>
    <w:rsid w:val="00F04F6C"/>
    <w:rsid w:val="00F0504E"/>
    <w:rsid w:val="00F05052"/>
    <w:rsid w:val="00F050C8"/>
    <w:rsid w:val="00F050D7"/>
    <w:rsid w:val="00F050EE"/>
    <w:rsid w:val="00F05247"/>
    <w:rsid w:val="00F053BE"/>
    <w:rsid w:val="00F053D1"/>
    <w:rsid w:val="00F0549E"/>
    <w:rsid w:val="00F054A3"/>
    <w:rsid w:val="00F05690"/>
    <w:rsid w:val="00F05709"/>
    <w:rsid w:val="00F0571E"/>
    <w:rsid w:val="00F05847"/>
    <w:rsid w:val="00F05965"/>
    <w:rsid w:val="00F05D38"/>
    <w:rsid w:val="00F05DAD"/>
    <w:rsid w:val="00F05E46"/>
    <w:rsid w:val="00F05EE3"/>
    <w:rsid w:val="00F05EED"/>
    <w:rsid w:val="00F05F33"/>
    <w:rsid w:val="00F06018"/>
    <w:rsid w:val="00F0606E"/>
    <w:rsid w:val="00F06074"/>
    <w:rsid w:val="00F060CE"/>
    <w:rsid w:val="00F060F6"/>
    <w:rsid w:val="00F06183"/>
    <w:rsid w:val="00F06306"/>
    <w:rsid w:val="00F0634D"/>
    <w:rsid w:val="00F063CF"/>
    <w:rsid w:val="00F0640F"/>
    <w:rsid w:val="00F06424"/>
    <w:rsid w:val="00F06475"/>
    <w:rsid w:val="00F06494"/>
    <w:rsid w:val="00F0649F"/>
    <w:rsid w:val="00F06509"/>
    <w:rsid w:val="00F0652D"/>
    <w:rsid w:val="00F06530"/>
    <w:rsid w:val="00F06536"/>
    <w:rsid w:val="00F065A2"/>
    <w:rsid w:val="00F066D3"/>
    <w:rsid w:val="00F066D7"/>
    <w:rsid w:val="00F0673B"/>
    <w:rsid w:val="00F068D9"/>
    <w:rsid w:val="00F06904"/>
    <w:rsid w:val="00F06B26"/>
    <w:rsid w:val="00F06B8C"/>
    <w:rsid w:val="00F06C00"/>
    <w:rsid w:val="00F06CD6"/>
    <w:rsid w:val="00F06CFD"/>
    <w:rsid w:val="00F06D2A"/>
    <w:rsid w:val="00F06D60"/>
    <w:rsid w:val="00F06DCC"/>
    <w:rsid w:val="00F06E5B"/>
    <w:rsid w:val="00F06E7A"/>
    <w:rsid w:val="00F06F11"/>
    <w:rsid w:val="00F06F22"/>
    <w:rsid w:val="00F06FB3"/>
    <w:rsid w:val="00F06FC9"/>
    <w:rsid w:val="00F06FDA"/>
    <w:rsid w:val="00F0700A"/>
    <w:rsid w:val="00F07037"/>
    <w:rsid w:val="00F07124"/>
    <w:rsid w:val="00F07173"/>
    <w:rsid w:val="00F071AE"/>
    <w:rsid w:val="00F071C8"/>
    <w:rsid w:val="00F07234"/>
    <w:rsid w:val="00F0723C"/>
    <w:rsid w:val="00F07399"/>
    <w:rsid w:val="00F07410"/>
    <w:rsid w:val="00F0744A"/>
    <w:rsid w:val="00F074CE"/>
    <w:rsid w:val="00F07535"/>
    <w:rsid w:val="00F0764E"/>
    <w:rsid w:val="00F0774C"/>
    <w:rsid w:val="00F0777E"/>
    <w:rsid w:val="00F0794B"/>
    <w:rsid w:val="00F07B3B"/>
    <w:rsid w:val="00F07B3E"/>
    <w:rsid w:val="00F07B4B"/>
    <w:rsid w:val="00F07C0E"/>
    <w:rsid w:val="00F07C12"/>
    <w:rsid w:val="00F07C7C"/>
    <w:rsid w:val="00F07C9C"/>
    <w:rsid w:val="00F07CB1"/>
    <w:rsid w:val="00F07D1A"/>
    <w:rsid w:val="00F07DCD"/>
    <w:rsid w:val="00F07DF5"/>
    <w:rsid w:val="00F07EB0"/>
    <w:rsid w:val="00F07FD3"/>
    <w:rsid w:val="00F10120"/>
    <w:rsid w:val="00F102B4"/>
    <w:rsid w:val="00F102EB"/>
    <w:rsid w:val="00F10305"/>
    <w:rsid w:val="00F10350"/>
    <w:rsid w:val="00F1037A"/>
    <w:rsid w:val="00F10388"/>
    <w:rsid w:val="00F105E3"/>
    <w:rsid w:val="00F10715"/>
    <w:rsid w:val="00F10747"/>
    <w:rsid w:val="00F107AD"/>
    <w:rsid w:val="00F1085A"/>
    <w:rsid w:val="00F10895"/>
    <w:rsid w:val="00F108AB"/>
    <w:rsid w:val="00F108C0"/>
    <w:rsid w:val="00F108EA"/>
    <w:rsid w:val="00F10917"/>
    <w:rsid w:val="00F10980"/>
    <w:rsid w:val="00F10990"/>
    <w:rsid w:val="00F10A6E"/>
    <w:rsid w:val="00F10B76"/>
    <w:rsid w:val="00F10BBA"/>
    <w:rsid w:val="00F10C57"/>
    <w:rsid w:val="00F10D11"/>
    <w:rsid w:val="00F10D26"/>
    <w:rsid w:val="00F10D31"/>
    <w:rsid w:val="00F10D58"/>
    <w:rsid w:val="00F10DA8"/>
    <w:rsid w:val="00F10E09"/>
    <w:rsid w:val="00F10F13"/>
    <w:rsid w:val="00F10F5B"/>
    <w:rsid w:val="00F10F6D"/>
    <w:rsid w:val="00F110A2"/>
    <w:rsid w:val="00F11142"/>
    <w:rsid w:val="00F11283"/>
    <w:rsid w:val="00F1139E"/>
    <w:rsid w:val="00F1143B"/>
    <w:rsid w:val="00F114D1"/>
    <w:rsid w:val="00F115B4"/>
    <w:rsid w:val="00F115D8"/>
    <w:rsid w:val="00F11600"/>
    <w:rsid w:val="00F11885"/>
    <w:rsid w:val="00F11897"/>
    <w:rsid w:val="00F1199E"/>
    <w:rsid w:val="00F119B2"/>
    <w:rsid w:val="00F119FD"/>
    <w:rsid w:val="00F11A23"/>
    <w:rsid w:val="00F11A29"/>
    <w:rsid w:val="00F11A39"/>
    <w:rsid w:val="00F11B01"/>
    <w:rsid w:val="00F11C01"/>
    <w:rsid w:val="00F11C12"/>
    <w:rsid w:val="00F11D9A"/>
    <w:rsid w:val="00F11E17"/>
    <w:rsid w:val="00F11F6E"/>
    <w:rsid w:val="00F11FDE"/>
    <w:rsid w:val="00F12079"/>
    <w:rsid w:val="00F12089"/>
    <w:rsid w:val="00F120B7"/>
    <w:rsid w:val="00F1211F"/>
    <w:rsid w:val="00F1213E"/>
    <w:rsid w:val="00F12220"/>
    <w:rsid w:val="00F12270"/>
    <w:rsid w:val="00F1230E"/>
    <w:rsid w:val="00F1246D"/>
    <w:rsid w:val="00F124E0"/>
    <w:rsid w:val="00F126B6"/>
    <w:rsid w:val="00F12712"/>
    <w:rsid w:val="00F1282F"/>
    <w:rsid w:val="00F12855"/>
    <w:rsid w:val="00F128F2"/>
    <w:rsid w:val="00F12B23"/>
    <w:rsid w:val="00F12B73"/>
    <w:rsid w:val="00F12C20"/>
    <w:rsid w:val="00F12C86"/>
    <w:rsid w:val="00F12C95"/>
    <w:rsid w:val="00F12D14"/>
    <w:rsid w:val="00F12DBD"/>
    <w:rsid w:val="00F12E50"/>
    <w:rsid w:val="00F12E9A"/>
    <w:rsid w:val="00F12ED8"/>
    <w:rsid w:val="00F12F76"/>
    <w:rsid w:val="00F12FEC"/>
    <w:rsid w:val="00F13043"/>
    <w:rsid w:val="00F13352"/>
    <w:rsid w:val="00F13474"/>
    <w:rsid w:val="00F13584"/>
    <w:rsid w:val="00F13592"/>
    <w:rsid w:val="00F1361D"/>
    <w:rsid w:val="00F13786"/>
    <w:rsid w:val="00F13793"/>
    <w:rsid w:val="00F137D1"/>
    <w:rsid w:val="00F137F2"/>
    <w:rsid w:val="00F1387F"/>
    <w:rsid w:val="00F13883"/>
    <w:rsid w:val="00F13884"/>
    <w:rsid w:val="00F1388C"/>
    <w:rsid w:val="00F13970"/>
    <w:rsid w:val="00F139C9"/>
    <w:rsid w:val="00F13A8D"/>
    <w:rsid w:val="00F13A97"/>
    <w:rsid w:val="00F13AB5"/>
    <w:rsid w:val="00F13C27"/>
    <w:rsid w:val="00F13DFB"/>
    <w:rsid w:val="00F13E11"/>
    <w:rsid w:val="00F13E5E"/>
    <w:rsid w:val="00F13F75"/>
    <w:rsid w:val="00F14010"/>
    <w:rsid w:val="00F1409B"/>
    <w:rsid w:val="00F142CB"/>
    <w:rsid w:val="00F14309"/>
    <w:rsid w:val="00F14378"/>
    <w:rsid w:val="00F14411"/>
    <w:rsid w:val="00F1443D"/>
    <w:rsid w:val="00F1444E"/>
    <w:rsid w:val="00F145EE"/>
    <w:rsid w:val="00F1476C"/>
    <w:rsid w:val="00F147A3"/>
    <w:rsid w:val="00F14866"/>
    <w:rsid w:val="00F14921"/>
    <w:rsid w:val="00F149AD"/>
    <w:rsid w:val="00F14A48"/>
    <w:rsid w:val="00F14B63"/>
    <w:rsid w:val="00F14B6F"/>
    <w:rsid w:val="00F14BA2"/>
    <w:rsid w:val="00F14C81"/>
    <w:rsid w:val="00F14D41"/>
    <w:rsid w:val="00F14D89"/>
    <w:rsid w:val="00F14E4F"/>
    <w:rsid w:val="00F14EDD"/>
    <w:rsid w:val="00F14F07"/>
    <w:rsid w:val="00F14F0E"/>
    <w:rsid w:val="00F1502A"/>
    <w:rsid w:val="00F1514A"/>
    <w:rsid w:val="00F1515E"/>
    <w:rsid w:val="00F15228"/>
    <w:rsid w:val="00F1534A"/>
    <w:rsid w:val="00F1535A"/>
    <w:rsid w:val="00F153ED"/>
    <w:rsid w:val="00F155E8"/>
    <w:rsid w:val="00F1562F"/>
    <w:rsid w:val="00F156AA"/>
    <w:rsid w:val="00F1574E"/>
    <w:rsid w:val="00F15757"/>
    <w:rsid w:val="00F15838"/>
    <w:rsid w:val="00F15863"/>
    <w:rsid w:val="00F15917"/>
    <w:rsid w:val="00F15952"/>
    <w:rsid w:val="00F1595D"/>
    <w:rsid w:val="00F15A02"/>
    <w:rsid w:val="00F15A85"/>
    <w:rsid w:val="00F15AAF"/>
    <w:rsid w:val="00F15C0F"/>
    <w:rsid w:val="00F15C15"/>
    <w:rsid w:val="00F15CA0"/>
    <w:rsid w:val="00F15D3D"/>
    <w:rsid w:val="00F15DAF"/>
    <w:rsid w:val="00F15E72"/>
    <w:rsid w:val="00F15ED2"/>
    <w:rsid w:val="00F15F93"/>
    <w:rsid w:val="00F1610E"/>
    <w:rsid w:val="00F16115"/>
    <w:rsid w:val="00F1615E"/>
    <w:rsid w:val="00F1617B"/>
    <w:rsid w:val="00F161CD"/>
    <w:rsid w:val="00F161EA"/>
    <w:rsid w:val="00F162B9"/>
    <w:rsid w:val="00F16488"/>
    <w:rsid w:val="00F164A1"/>
    <w:rsid w:val="00F16671"/>
    <w:rsid w:val="00F16784"/>
    <w:rsid w:val="00F16AD0"/>
    <w:rsid w:val="00F16BBC"/>
    <w:rsid w:val="00F16BD4"/>
    <w:rsid w:val="00F16BF8"/>
    <w:rsid w:val="00F16C47"/>
    <w:rsid w:val="00F16CB8"/>
    <w:rsid w:val="00F16CD9"/>
    <w:rsid w:val="00F16D33"/>
    <w:rsid w:val="00F16D40"/>
    <w:rsid w:val="00F17049"/>
    <w:rsid w:val="00F170C8"/>
    <w:rsid w:val="00F17174"/>
    <w:rsid w:val="00F171B0"/>
    <w:rsid w:val="00F171B9"/>
    <w:rsid w:val="00F17468"/>
    <w:rsid w:val="00F174CD"/>
    <w:rsid w:val="00F174E1"/>
    <w:rsid w:val="00F1751F"/>
    <w:rsid w:val="00F175F2"/>
    <w:rsid w:val="00F17689"/>
    <w:rsid w:val="00F176C7"/>
    <w:rsid w:val="00F17800"/>
    <w:rsid w:val="00F17879"/>
    <w:rsid w:val="00F178EC"/>
    <w:rsid w:val="00F179CE"/>
    <w:rsid w:val="00F179DB"/>
    <w:rsid w:val="00F17BF0"/>
    <w:rsid w:val="00F17C5C"/>
    <w:rsid w:val="00F17DA2"/>
    <w:rsid w:val="00F17DE4"/>
    <w:rsid w:val="00F17F09"/>
    <w:rsid w:val="00F17FE5"/>
    <w:rsid w:val="00F1B2FE"/>
    <w:rsid w:val="00F2005C"/>
    <w:rsid w:val="00F2005F"/>
    <w:rsid w:val="00F20095"/>
    <w:rsid w:val="00F200B3"/>
    <w:rsid w:val="00F2012F"/>
    <w:rsid w:val="00F20329"/>
    <w:rsid w:val="00F203CB"/>
    <w:rsid w:val="00F204A8"/>
    <w:rsid w:val="00F2051E"/>
    <w:rsid w:val="00F20542"/>
    <w:rsid w:val="00F2055E"/>
    <w:rsid w:val="00F205D2"/>
    <w:rsid w:val="00F20688"/>
    <w:rsid w:val="00F206F5"/>
    <w:rsid w:val="00F20813"/>
    <w:rsid w:val="00F2083F"/>
    <w:rsid w:val="00F20892"/>
    <w:rsid w:val="00F208F2"/>
    <w:rsid w:val="00F20937"/>
    <w:rsid w:val="00F2093D"/>
    <w:rsid w:val="00F20958"/>
    <w:rsid w:val="00F20AEE"/>
    <w:rsid w:val="00F20C85"/>
    <w:rsid w:val="00F20C8A"/>
    <w:rsid w:val="00F20CD2"/>
    <w:rsid w:val="00F20DD4"/>
    <w:rsid w:val="00F20EC4"/>
    <w:rsid w:val="00F20F4B"/>
    <w:rsid w:val="00F20F5B"/>
    <w:rsid w:val="00F213A8"/>
    <w:rsid w:val="00F21409"/>
    <w:rsid w:val="00F2157F"/>
    <w:rsid w:val="00F21617"/>
    <w:rsid w:val="00F217D1"/>
    <w:rsid w:val="00F2181F"/>
    <w:rsid w:val="00F218CF"/>
    <w:rsid w:val="00F2190E"/>
    <w:rsid w:val="00F21A3A"/>
    <w:rsid w:val="00F21A5C"/>
    <w:rsid w:val="00F21AB2"/>
    <w:rsid w:val="00F21AFB"/>
    <w:rsid w:val="00F21BF6"/>
    <w:rsid w:val="00F21E42"/>
    <w:rsid w:val="00F21F1B"/>
    <w:rsid w:val="00F21F98"/>
    <w:rsid w:val="00F22087"/>
    <w:rsid w:val="00F220EC"/>
    <w:rsid w:val="00F22167"/>
    <w:rsid w:val="00F221D2"/>
    <w:rsid w:val="00F221E8"/>
    <w:rsid w:val="00F2224D"/>
    <w:rsid w:val="00F22286"/>
    <w:rsid w:val="00F22296"/>
    <w:rsid w:val="00F222F0"/>
    <w:rsid w:val="00F22304"/>
    <w:rsid w:val="00F22336"/>
    <w:rsid w:val="00F2233E"/>
    <w:rsid w:val="00F2242B"/>
    <w:rsid w:val="00F2249A"/>
    <w:rsid w:val="00F22604"/>
    <w:rsid w:val="00F22696"/>
    <w:rsid w:val="00F2275B"/>
    <w:rsid w:val="00F22793"/>
    <w:rsid w:val="00F22805"/>
    <w:rsid w:val="00F22812"/>
    <w:rsid w:val="00F22840"/>
    <w:rsid w:val="00F2284E"/>
    <w:rsid w:val="00F228B3"/>
    <w:rsid w:val="00F22967"/>
    <w:rsid w:val="00F22A9C"/>
    <w:rsid w:val="00F22AF8"/>
    <w:rsid w:val="00F22B9A"/>
    <w:rsid w:val="00F22BA9"/>
    <w:rsid w:val="00F22BAE"/>
    <w:rsid w:val="00F22CD2"/>
    <w:rsid w:val="00F22CEC"/>
    <w:rsid w:val="00F22F66"/>
    <w:rsid w:val="00F22FA8"/>
    <w:rsid w:val="00F22FAE"/>
    <w:rsid w:val="00F22FC1"/>
    <w:rsid w:val="00F22FC2"/>
    <w:rsid w:val="00F22FFE"/>
    <w:rsid w:val="00F23097"/>
    <w:rsid w:val="00F230E8"/>
    <w:rsid w:val="00F2312C"/>
    <w:rsid w:val="00F23214"/>
    <w:rsid w:val="00F232B3"/>
    <w:rsid w:val="00F232F5"/>
    <w:rsid w:val="00F23319"/>
    <w:rsid w:val="00F23383"/>
    <w:rsid w:val="00F2338E"/>
    <w:rsid w:val="00F23392"/>
    <w:rsid w:val="00F23467"/>
    <w:rsid w:val="00F235A1"/>
    <w:rsid w:val="00F23733"/>
    <w:rsid w:val="00F237CB"/>
    <w:rsid w:val="00F239A6"/>
    <w:rsid w:val="00F239DA"/>
    <w:rsid w:val="00F23A3B"/>
    <w:rsid w:val="00F23B2F"/>
    <w:rsid w:val="00F23BC7"/>
    <w:rsid w:val="00F23CC8"/>
    <w:rsid w:val="00F23D33"/>
    <w:rsid w:val="00F23E0A"/>
    <w:rsid w:val="00F23F98"/>
    <w:rsid w:val="00F23FBF"/>
    <w:rsid w:val="00F2417C"/>
    <w:rsid w:val="00F241DB"/>
    <w:rsid w:val="00F24230"/>
    <w:rsid w:val="00F24237"/>
    <w:rsid w:val="00F2435B"/>
    <w:rsid w:val="00F24382"/>
    <w:rsid w:val="00F24433"/>
    <w:rsid w:val="00F24436"/>
    <w:rsid w:val="00F2444D"/>
    <w:rsid w:val="00F2445C"/>
    <w:rsid w:val="00F244A1"/>
    <w:rsid w:val="00F2459D"/>
    <w:rsid w:val="00F24629"/>
    <w:rsid w:val="00F2468E"/>
    <w:rsid w:val="00F246DB"/>
    <w:rsid w:val="00F246E3"/>
    <w:rsid w:val="00F247C2"/>
    <w:rsid w:val="00F24978"/>
    <w:rsid w:val="00F24A1F"/>
    <w:rsid w:val="00F24BBD"/>
    <w:rsid w:val="00F24D87"/>
    <w:rsid w:val="00F24DD6"/>
    <w:rsid w:val="00F24E08"/>
    <w:rsid w:val="00F24F0D"/>
    <w:rsid w:val="00F24F2B"/>
    <w:rsid w:val="00F24FBD"/>
    <w:rsid w:val="00F25036"/>
    <w:rsid w:val="00F250FC"/>
    <w:rsid w:val="00F251A5"/>
    <w:rsid w:val="00F25204"/>
    <w:rsid w:val="00F25260"/>
    <w:rsid w:val="00F252DF"/>
    <w:rsid w:val="00F25369"/>
    <w:rsid w:val="00F2541B"/>
    <w:rsid w:val="00F254C9"/>
    <w:rsid w:val="00F25640"/>
    <w:rsid w:val="00F257A6"/>
    <w:rsid w:val="00F257D7"/>
    <w:rsid w:val="00F258C3"/>
    <w:rsid w:val="00F258CF"/>
    <w:rsid w:val="00F25913"/>
    <w:rsid w:val="00F25A1B"/>
    <w:rsid w:val="00F25A63"/>
    <w:rsid w:val="00F25AFB"/>
    <w:rsid w:val="00F25B07"/>
    <w:rsid w:val="00F25B4C"/>
    <w:rsid w:val="00F25BD7"/>
    <w:rsid w:val="00F25BF6"/>
    <w:rsid w:val="00F25C37"/>
    <w:rsid w:val="00F25C60"/>
    <w:rsid w:val="00F25E0E"/>
    <w:rsid w:val="00F25EA4"/>
    <w:rsid w:val="00F25EEA"/>
    <w:rsid w:val="00F26057"/>
    <w:rsid w:val="00F260C2"/>
    <w:rsid w:val="00F260F0"/>
    <w:rsid w:val="00F260F9"/>
    <w:rsid w:val="00F26112"/>
    <w:rsid w:val="00F26119"/>
    <w:rsid w:val="00F26151"/>
    <w:rsid w:val="00F26179"/>
    <w:rsid w:val="00F26219"/>
    <w:rsid w:val="00F26233"/>
    <w:rsid w:val="00F2623B"/>
    <w:rsid w:val="00F263D3"/>
    <w:rsid w:val="00F26662"/>
    <w:rsid w:val="00F26663"/>
    <w:rsid w:val="00F26675"/>
    <w:rsid w:val="00F26687"/>
    <w:rsid w:val="00F26754"/>
    <w:rsid w:val="00F267FB"/>
    <w:rsid w:val="00F2685B"/>
    <w:rsid w:val="00F268DE"/>
    <w:rsid w:val="00F268E7"/>
    <w:rsid w:val="00F26920"/>
    <w:rsid w:val="00F26966"/>
    <w:rsid w:val="00F2696C"/>
    <w:rsid w:val="00F26A0F"/>
    <w:rsid w:val="00F26A40"/>
    <w:rsid w:val="00F26A41"/>
    <w:rsid w:val="00F26AA2"/>
    <w:rsid w:val="00F26B15"/>
    <w:rsid w:val="00F26D1F"/>
    <w:rsid w:val="00F26D34"/>
    <w:rsid w:val="00F26D38"/>
    <w:rsid w:val="00F26DAD"/>
    <w:rsid w:val="00F26DC2"/>
    <w:rsid w:val="00F26F24"/>
    <w:rsid w:val="00F27097"/>
    <w:rsid w:val="00F270D7"/>
    <w:rsid w:val="00F27105"/>
    <w:rsid w:val="00F271D1"/>
    <w:rsid w:val="00F2724A"/>
    <w:rsid w:val="00F27338"/>
    <w:rsid w:val="00F2735B"/>
    <w:rsid w:val="00F2739F"/>
    <w:rsid w:val="00F275D8"/>
    <w:rsid w:val="00F27720"/>
    <w:rsid w:val="00F277D3"/>
    <w:rsid w:val="00F27921"/>
    <w:rsid w:val="00F279D2"/>
    <w:rsid w:val="00F279E0"/>
    <w:rsid w:val="00F279FC"/>
    <w:rsid w:val="00F27ABB"/>
    <w:rsid w:val="00F27B81"/>
    <w:rsid w:val="00F27BA1"/>
    <w:rsid w:val="00F27C04"/>
    <w:rsid w:val="00F27C97"/>
    <w:rsid w:val="00F27C9B"/>
    <w:rsid w:val="00F27CC5"/>
    <w:rsid w:val="00F27CE7"/>
    <w:rsid w:val="00F27EB8"/>
    <w:rsid w:val="00F27EBA"/>
    <w:rsid w:val="00F27F51"/>
    <w:rsid w:val="00F27F6D"/>
    <w:rsid w:val="00F30044"/>
    <w:rsid w:val="00F30045"/>
    <w:rsid w:val="00F300CC"/>
    <w:rsid w:val="00F3018A"/>
    <w:rsid w:val="00F301BE"/>
    <w:rsid w:val="00F301C3"/>
    <w:rsid w:val="00F301E0"/>
    <w:rsid w:val="00F30204"/>
    <w:rsid w:val="00F303BA"/>
    <w:rsid w:val="00F30464"/>
    <w:rsid w:val="00F30698"/>
    <w:rsid w:val="00F30740"/>
    <w:rsid w:val="00F30766"/>
    <w:rsid w:val="00F307C7"/>
    <w:rsid w:val="00F3083A"/>
    <w:rsid w:val="00F3095F"/>
    <w:rsid w:val="00F30981"/>
    <w:rsid w:val="00F309AD"/>
    <w:rsid w:val="00F30A10"/>
    <w:rsid w:val="00F30A93"/>
    <w:rsid w:val="00F30AAD"/>
    <w:rsid w:val="00F30BB2"/>
    <w:rsid w:val="00F30D2C"/>
    <w:rsid w:val="00F30E15"/>
    <w:rsid w:val="00F30E3C"/>
    <w:rsid w:val="00F30E98"/>
    <w:rsid w:val="00F30EB7"/>
    <w:rsid w:val="00F30FB2"/>
    <w:rsid w:val="00F30FBE"/>
    <w:rsid w:val="00F3103D"/>
    <w:rsid w:val="00F31063"/>
    <w:rsid w:val="00F3111D"/>
    <w:rsid w:val="00F31150"/>
    <w:rsid w:val="00F311E6"/>
    <w:rsid w:val="00F31219"/>
    <w:rsid w:val="00F31319"/>
    <w:rsid w:val="00F3149D"/>
    <w:rsid w:val="00F314BC"/>
    <w:rsid w:val="00F314CD"/>
    <w:rsid w:val="00F315AC"/>
    <w:rsid w:val="00F31602"/>
    <w:rsid w:val="00F31607"/>
    <w:rsid w:val="00F3160A"/>
    <w:rsid w:val="00F31670"/>
    <w:rsid w:val="00F3185C"/>
    <w:rsid w:val="00F31952"/>
    <w:rsid w:val="00F319D8"/>
    <w:rsid w:val="00F31A6C"/>
    <w:rsid w:val="00F31B06"/>
    <w:rsid w:val="00F31B21"/>
    <w:rsid w:val="00F31BDC"/>
    <w:rsid w:val="00F31BF9"/>
    <w:rsid w:val="00F31C79"/>
    <w:rsid w:val="00F31D4F"/>
    <w:rsid w:val="00F31E4C"/>
    <w:rsid w:val="00F31F58"/>
    <w:rsid w:val="00F31F96"/>
    <w:rsid w:val="00F32024"/>
    <w:rsid w:val="00F32080"/>
    <w:rsid w:val="00F320A6"/>
    <w:rsid w:val="00F320B7"/>
    <w:rsid w:val="00F320DC"/>
    <w:rsid w:val="00F320DE"/>
    <w:rsid w:val="00F320FF"/>
    <w:rsid w:val="00F32221"/>
    <w:rsid w:val="00F32226"/>
    <w:rsid w:val="00F322AA"/>
    <w:rsid w:val="00F323EA"/>
    <w:rsid w:val="00F32514"/>
    <w:rsid w:val="00F32551"/>
    <w:rsid w:val="00F3272E"/>
    <w:rsid w:val="00F327C8"/>
    <w:rsid w:val="00F3288A"/>
    <w:rsid w:val="00F328FB"/>
    <w:rsid w:val="00F32905"/>
    <w:rsid w:val="00F32971"/>
    <w:rsid w:val="00F329DD"/>
    <w:rsid w:val="00F32A7B"/>
    <w:rsid w:val="00F32B84"/>
    <w:rsid w:val="00F32C7F"/>
    <w:rsid w:val="00F32CA7"/>
    <w:rsid w:val="00F32D97"/>
    <w:rsid w:val="00F32DA9"/>
    <w:rsid w:val="00F32E0C"/>
    <w:rsid w:val="00F32ECE"/>
    <w:rsid w:val="00F32EF0"/>
    <w:rsid w:val="00F32F0D"/>
    <w:rsid w:val="00F33133"/>
    <w:rsid w:val="00F33217"/>
    <w:rsid w:val="00F332B6"/>
    <w:rsid w:val="00F332CB"/>
    <w:rsid w:val="00F33312"/>
    <w:rsid w:val="00F33363"/>
    <w:rsid w:val="00F33413"/>
    <w:rsid w:val="00F3341D"/>
    <w:rsid w:val="00F33542"/>
    <w:rsid w:val="00F335D8"/>
    <w:rsid w:val="00F3361F"/>
    <w:rsid w:val="00F33677"/>
    <w:rsid w:val="00F33742"/>
    <w:rsid w:val="00F33801"/>
    <w:rsid w:val="00F338CE"/>
    <w:rsid w:val="00F338DC"/>
    <w:rsid w:val="00F33906"/>
    <w:rsid w:val="00F3391F"/>
    <w:rsid w:val="00F33936"/>
    <w:rsid w:val="00F3399A"/>
    <w:rsid w:val="00F33A05"/>
    <w:rsid w:val="00F33A0C"/>
    <w:rsid w:val="00F33A84"/>
    <w:rsid w:val="00F33ACA"/>
    <w:rsid w:val="00F33ADD"/>
    <w:rsid w:val="00F33B17"/>
    <w:rsid w:val="00F33B8B"/>
    <w:rsid w:val="00F33CD5"/>
    <w:rsid w:val="00F33D3B"/>
    <w:rsid w:val="00F33DAD"/>
    <w:rsid w:val="00F34039"/>
    <w:rsid w:val="00F34146"/>
    <w:rsid w:val="00F341B7"/>
    <w:rsid w:val="00F342CF"/>
    <w:rsid w:val="00F3435A"/>
    <w:rsid w:val="00F34417"/>
    <w:rsid w:val="00F3449E"/>
    <w:rsid w:val="00F344CE"/>
    <w:rsid w:val="00F344F0"/>
    <w:rsid w:val="00F3458A"/>
    <w:rsid w:val="00F345AD"/>
    <w:rsid w:val="00F345E1"/>
    <w:rsid w:val="00F34616"/>
    <w:rsid w:val="00F34720"/>
    <w:rsid w:val="00F34732"/>
    <w:rsid w:val="00F3486B"/>
    <w:rsid w:val="00F3492F"/>
    <w:rsid w:val="00F34A5A"/>
    <w:rsid w:val="00F34A69"/>
    <w:rsid w:val="00F34B0C"/>
    <w:rsid w:val="00F34BF1"/>
    <w:rsid w:val="00F34C0F"/>
    <w:rsid w:val="00F34CDC"/>
    <w:rsid w:val="00F34D50"/>
    <w:rsid w:val="00F34DC7"/>
    <w:rsid w:val="00F34E1B"/>
    <w:rsid w:val="00F34E39"/>
    <w:rsid w:val="00F34EAE"/>
    <w:rsid w:val="00F34EFF"/>
    <w:rsid w:val="00F34F1A"/>
    <w:rsid w:val="00F3501E"/>
    <w:rsid w:val="00F35028"/>
    <w:rsid w:val="00F35314"/>
    <w:rsid w:val="00F35323"/>
    <w:rsid w:val="00F35388"/>
    <w:rsid w:val="00F353DF"/>
    <w:rsid w:val="00F354DA"/>
    <w:rsid w:val="00F354ED"/>
    <w:rsid w:val="00F35505"/>
    <w:rsid w:val="00F3558E"/>
    <w:rsid w:val="00F355AD"/>
    <w:rsid w:val="00F35691"/>
    <w:rsid w:val="00F35695"/>
    <w:rsid w:val="00F356CF"/>
    <w:rsid w:val="00F3573A"/>
    <w:rsid w:val="00F357C1"/>
    <w:rsid w:val="00F35807"/>
    <w:rsid w:val="00F3581E"/>
    <w:rsid w:val="00F35903"/>
    <w:rsid w:val="00F35948"/>
    <w:rsid w:val="00F3596A"/>
    <w:rsid w:val="00F35AC4"/>
    <w:rsid w:val="00F35ACF"/>
    <w:rsid w:val="00F35D5A"/>
    <w:rsid w:val="00F35E16"/>
    <w:rsid w:val="00F35ED6"/>
    <w:rsid w:val="00F35F86"/>
    <w:rsid w:val="00F36044"/>
    <w:rsid w:val="00F360A1"/>
    <w:rsid w:val="00F361CD"/>
    <w:rsid w:val="00F36225"/>
    <w:rsid w:val="00F3622D"/>
    <w:rsid w:val="00F3624D"/>
    <w:rsid w:val="00F36352"/>
    <w:rsid w:val="00F36361"/>
    <w:rsid w:val="00F363AD"/>
    <w:rsid w:val="00F363AE"/>
    <w:rsid w:val="00F36413"/>
    <w:rsid w:val="00F366B4"/>
    <w:rsid w:val="00F366BE"/>
    <w:rsid w:val="00F3670E"/>
    <w:rsid w:val="00F36740"/>
    <w:rsid w:val="00F367C1"/>
    <w:rsid w:val="00F36920"/>
    <w:rsid w:val="00F3693E"/>
    <w:rsid w:val="00F36ABC"/>
    <w:rsid w:val="00F36ABF"/>
    <w:rsid w:val="00F36AFC"/>
    <w:rsid w:val="00F36C4B"/>
    <w:rsid w:val="00F36CB0"/>
    <w:rsid w:val="00F36D1B"/>
    <w:rsid w:val="00F36D8E"/>
    <w:rsid w:val="00F36DCF"/>
    <w:rsid w:val="00F36EC0"/>
    <w:rsid w:val="00F36EE0"/>
    <w:rsid w:val="00F36F74"/>
    <w:rsid w:val="00F36FDE"/>
    <w:rsid w:val="00F37083"/>
    <w:rsid w:val="00F371BC"/>
    <w:rsid w:val="00F37248"/>
    <w:rsid w:val="00F37260"/>
    <w:rsid w:val="00F3731A"/>
    <w:rsid w:val="00F3734B"/>
    <w:rsid w:val="00F37408"/>
    <w:rsid w:val="00F3748A"/>
    <w:rsid w:val="00F376C7"/>
    <w:rsid w:val="00F37704"/>
    <w:rsid w:val="00F37777"/>
    <w:rsid w:val="00F377CD"/>
    <w:rsid w:val="00F37805"/>
    <w:rsid w:val="00F37A77"/>
    <w:rsid w:val="00F37AA8"/>
    <w:rsid w:val="00F37B21"/>
    <w:rsid w:val="00F37B35"/>
    <w:rsid w:val="00F37B8D"/>
    <w:rsid w:val="00F37BA9"/>
    <w:rsid w:val="00F37BF9"/>
    <w:rsid w:val="00F37CE6"/>
    <w:rsid w:val="00F37E06"/>
    <w:rsid w:val="00F37F12"/>
    <w:rsid w:val="00F37F4C"/>
    <w:rsid w:val="00F37F8D"/>
    <w:rsid w:val="00F37FB3"/>
    <w:rsid w:val="00F37FC5"/>
    <w:rsid w:val="00F37FDC"/>
    <w:rsid w:val="00F37FFB"/>
    <w:rsid w:val="00F4005C"/>
    <w:rsid w:val="00F40106"/>
    <w:rsid w:val="00F401A5"/>
    <w:rsid w:val="00F40206"/>
    <w:rsid w:val="00F4030E"/>
    <w:rsid w:val="00F4032B"/>
    <w:rsid w:val="00F40348"/>
    <w:rsid w:val="00F403C7"/>
    <w:rsid w:val="00F403FB"/>
    <w:rsid w:val="00F4046B"/>
    <w:rsid w:val="00F4055D"/>
    <w:rsid w:val="00F4062C"/>
    <w:rsid w:val="00F40650"/>
    <w:rsid w:val="00F407A1"/>
    <w:rsid w:val="00F40830"/>
    <w:rsid w:val="00F408EB"/>
    <w:rsid w:val="00F409BF"/>
    <w:rsid w:val="00F40A28"/>
    <w:rsid w:val="00F40BF4"/>
    <w:rsid w:val="00F40C55"/>
    <w:rsid w:val="00F40CBB"/>
    <w:rsid w:val="00F40CDD"/>
    <w:rsid w:val="00F40D21"/>
    <w:rsid w:val="00F40DB6"/>
    <w:rsid w:val="00F40E3D"/>
    <w:rsid w:val="00F40EA4"/>
    <w:rsid w:val="00F40F27"/>
    <w:rsid w:val="00F410F9"/>
    <w:rsid w:val="00F41170"/>
    <w:rsid w:val="00F41270"/>
    <w:rsid w:val="00F412C8"/>
    <w:rsid w:val="00F413B3"/>
    <w:rsid w:val="00F413F1"/>
    <w:rsid w:val="00F413F9"/>
    <w:rsid w:val="00F41428"/>
    <w:rsid w:val="00F415E0"/>
    <w:rsid w:val="00F4161F"/>
    <w:rsid w:val="00F4167A"/>
    <w:rsid w:val="00F41723"/>
    <w:rsid w:val="00F417BD"/>
    <w:rsid w:val="00F417D9"/>
    <w:rsid w:val="00F417EE"/>
    <w:rsid w:val="00F41844"/>
    <w:rsid w:val="00F41846"/>
    <w:rsid w:val="00F418C1"/>
    <w:rsid w:val="00F41904"/>
    <w:rsid w:val="00F41B14"/>
    <w:rsid w:val="00F41B16"/>
    <w:rsid w:val="00F41CD2"/>
    <w:rsid w:val="00F41D30"/>
    <w:rsid w:val="00F41E11"/>
    <w:rsid w:val="00F41E7E"/>
    <w:rsid w:val="00F41E99"/>
    <w:rsid w:val="00F41F01"/>
    <w:rsid w:val="00F41F08"/>
    <w:rsid w:val="00F4205D"/>
    <w:rsid w:val="00F420DA"/>
    <w:rsid w:val="00F422E2"/>
    <w:rsid w:val="00F42333"/>
    <w:rsid w:val="00F4237F"/>
    <w:rsid w:val="00F42450"/>
    <w:rsid w:val="00F42458"/>
    <w:rsid w:val="00F42538"/>
    <w:rsid w:val="00F42563"/>
    <w:rsid w:val="00F425BD"/>
    <w:rsid w:val="00F42701"/>
    <w:rsid w:val="00F4275F"/>
    <w:rsid w:val="00F427E4"/>
    <w:rsid w:val="00F42898"/>
    <w:rsid w:val="00F428E5"/>
    <w:rsid w:val="00F429D5"/>
    <w:rsid w:val="00F42B10"/>
    <w:rsid w:val="00F42B3C"/>
    <w:rsid w:val="00F42BDC"/>
    <w:rsid w:val="00F42BFD"/>
    <w:rsid w:val="00F42C1D"/>
    <w:rsid w:val="00F42DE1"/>
    <w:rsid w:val="00F42E21"/>
    <w:rsid w:val="00F42ED3"/>
    <w:rsid w:val="00F42EDF"/>
    <w:rsid w:val="00F42EE5"/>
    <w:rsid w:val="00F42F01"/>
    <w:rsid w:val="00F42F10"/>
    <w:rsid w:val="00F42F22"/>
    <w:rsid w:val="00F42F29"/>
    <w:rsid w:val="00F42F39"/>
    <w:rsid w:val="00F42F74"/>
    <w:rsid w:val="00F42F83"/>
    <w:rsid w:val="00F42F90"/>
    <w:rsid w:val="00F4310D"/>
    <w:rsid w:val="00F431C4"/>
    <w:rsid w:val="00F432F1"/>
    <w:rsid w:val="00F4337A"/>
    <w:rsid w:val="00F434CF"/>
    <w:rsid w:val="00F434E5"/>
    <w:rsid w:val="00F43521"/>
    <w:rsid w:val="00F43575"/>
    <w:rsid w:val="00F436AA"/>
    <w:rsid w:val="00F436F8"/>
    <w:rsid w:val="00F43773"/>
    <w:rsid w:val="00F43803"/>
    <w:rsid w:val="00F4382A"/>
    <w:rsid w:val="00F43880"/>
    <w:rsid w:val="00F4397D"/>
    <w:rsid w:val="00F43A10"/>
    <w:rsid w:val="00F43A5C"/>
    <w:rsid w:val="00F43AB0"/>
    <w:rsid w:val="00F43ACB"/>
    <w:rsid w:val="00F43B39"/>
    <w:rsid w:val="00F43C0A"/>
    <w:rsid w:val="00F43C0F"/>
    <w:rsid w:val="00F43CB0"/>
    <w:rsid w:val="00F43CE9"/>
    <w:rsid w:val="00F43D50"/>
    <w:rsid w:val="00F43DC0"/>
    <w:rsid w:val="00F43DD1"/>
    <w:rsid w:val="00F43E07"/>
    <w:rsid w:val="00F43EAA"/>
    <w:rsid w:val="00F43F90"/>
    <w:rsid w:val="00F43FD6"/>
    <w:rsid w:val="00F4402D"/>
    <w:rsid w:val="00F44096"/>
    <w:rsid w:val="00F440DE"/>
    <w:rsid w:val="00F440F9"/>
    <w:rsid w:val="00F44118"/>
    <w:rsid w:val="00F4415D"/>
    <w:rsid w:val="00F441AE"/>
    <w:rsid w:val="00F44313"/>
    <w:rsid w:val="00F44382"/>
    <w:rsid w:val="00F44635"/>
    <w:rsid w:val="00F4467D"/>
    <w:rsid w:val="00F446D5"/>
    <w:rsid w:val="00F4473B"/>
    <w:rsid w:val="00F44789"/>
    <w:rsid w:val="00F447E2"/>
    <w:rsid w:val="00F449C1"/>
    <w:rsid w:val="00F44AF7"/>
    <w:rsid w:val="00F44C26"/>
    <w:rsid w:val="00F44C70"/>
    <w:rsid w:val="00F44C8F"/>
    <w:rsid w:val="00F44CCA"/>
    <w:rsid w:val="00F44D10"/>
    <w:rsid w:val="00F44D40"/>
    <w:rsid w:val="00F44D59"/>
    <w:rsid w:val="00F44D80"/>
    <w:rsid w:val="00F44EA9"/>
    <w:rsid w:val="00F45079"/>
    <w:rsid w:val="00F4508A"/>
    <w:rsid w:val="00F45271"/>
    <w:rsid w:val="00F4529C"/>
    <w:rsid w:val="00F45346"/>
    <w:rsid w:val="00F4538F"/>
    <w:rsid w:val="00F45447"/>
    <w:rsid w:val="00F4556C"/>
    <w:rsid w:val="00F45590"/>
    <w:rsid w:val="00F4561A"/>
    <w:rsid w:val="00F45621"/>
    <w:rsid w:val="00F456BC"/>
    <w:rsid w:val="00F45758"/>
    <w:rsid w:val="00F45832"/>
    <w:rsid w:val="00F458EF"/>
    <w:rsid w:val="00F45994"/>
    <w:rsid w:val="00F45AD5"/>
    <w:rsid w:val="00F45B4A"/>
    <w:rsid w:val="00F45BAB"/>
    <w:rsid w:val="00F45CAA"/>
    <w:rsid w:val="00F45D11"/>
    <w:rsid w:val="00F45D3C"/>
    <w:rsid w:val="00F45D7F"/>
    <w:rsid w:val="00F45EA6"/>
    <w:rsid w:val="00F45EE8"/>
    <w:rsid w:val="00F46119"/>
    <w:rsid w:val="00F4612E"/>
    <w:rsid w:val="00F462F7"/>
    <w:rsid w:val="00F463A1"/>
    <w:rsid w:val="00F46438"/>
    <w:rsid w:val="00F464C1"/>
    <w:rsid w:val="00F4657B"/>
    <w:rsid w:val="00F465FF"/>
    <w:rsid w:val="00F4668C"/>
    <w:rsid w:val="00F46736"/>
    <w:rsid w:val="00F4678E"/>
    <w:rsid w:val="00F467F9"/>
    <w:rsid w:val="00F4683B"/>
    <w:rsid w:val="00F4691D"/>
    <w:rsid w:val="00F4692A"/>
    <w:rsid w:val="00F469B9"/>
    <w:rsid w:val="00F46A76"/>
    <w:rsid w:val="00F46AB2"/>
    <w:rsid w:val="00F46C04"/>
    <w:rsid w:val="00F46C4F"/>
    <w:rsid w:val="00F46C87"/>
    <w:rsid w:val="00F46DB9"/>
    <w:rsid w:val="00F46DC3"/>
    <w:rsid w:val="00F46DE6"/>
    <w:rsid w:val="00F46DF9"/>
    <w:rsid w:val="00F46E00"/>
    <w:rsid w:val="00F46E7C"/>
    <w:rsid w:val="00F46F1B"/>
    <w:rsid w:val="00F46FC7"/>
    <w:rsid w:val="00F46FEE"/>
    <w:rsid w:val="00F47132"/>
    <w:rsid w:val="00F471A3"/>
    <w:rsid w:val="00F471D5"/>
    <w:rsid w:val="00F47282"/>
    <w:rsid w:val="00F472B1"/>
    <w:rsid w:val="00F47306"/>
    <w:rsid w:val="00F473BA"/>
    <w:rsid w:val="00F47452"/>
    <w:rsid w:val="00F4745B"/>
    <w:rsid w:val="00F4748E"/>
    <w:rsid w:val="00F474CD"/>
    <w:rsid w:val="00F47553"/>
    <w:rsid w:val="00F475D3"/>
    <w:rsid w:val="00F477B8"/>
    <w:rsid w:val="00F477F9"/>
    <w:rsid w:val="00F478BA"/>
    <w:rsid w:val="00F47902"/>
    <w:rsid w:val="00F47908"/>
    <w:rsid w:val="00F47933"/>
    <w:rsid w:val="00F479E3"/>
    <w:rsid w:val="00F479E7"/>
    <w:rsid w:val="00F47AA3"/>
    <w:rsid w:val="00F47AE5"/>
    <w:rsid w:val="00F47DE9"/>
    <w:rsid w:val="00F47E39"/>
    <w:rsid w:val="00F47E48"/>
    <w:rsid w:val="00F47E82"/>
    <w:rsid w:val="00F47EBA"/>
    <w:rsid w:val="00F47EE7"/>
    <w:rsid w:val="00F47FB9"/>
    <w:rsid w:val="00F47FE6"/>
    <w:rsid w:val="00F4A891"/>
    <w:rsid w:val="00F500D1"/>
    <w:rsid w:val="00F501DA"/>
    <w:rsid w:val="00F502C5"/>
    <w:rsid w:val="00F50492"/>
    <w:rsid w:val="00F5058A"/>
    <w:rsid w:val="00F505F6"/>
    <w:rsid w:val="00F50655"/>
    <w:rsid w:val="00F506C1"/>
    <w:rsid w:val="00F506CB"/>
    <w:rsid w:val="00F506FF"/>
    <w:rsid w:val="00F50766"/>
    <w:rsid w:val="00F507F2"/>
    <w:rsid w:val="00F50825"/>
    <w:rsid w:val="00F5083E"/>
    <w:rsid w:val="00F508B3"/>
    <w:rsid w:val="00F50980"/>
    <w:rsid w:val="00F50A59"/>
    <w:rsid w:val="00F50A9E"/>
    <w:rsid w:val="00F50B95"/>
    <w:rsid w:val="00F50CAE"/>
    <w:rsid w:val="00F50D8D"/>
    <w:rsid w:val="00F50EA1"/>
    <w:rsid w:val="00F50FCB"/>
    <w:rsid w:val="00F5122A"/>
    <w:rsid w:val="00F51245"/>
    <w:rsid w:val="00F512EF"/>
    <w:rsid w:val="00F51478"/>
    <w:rsid w:val="00F5147A"/>
    <w:rsid w:val="00F5147E"/>
    <w:rsid w:val="00F515AC"/>
    <w:rsid w:val="00F515DD"/>
    <w:rsid w:val="00F515EA"/>
    <w:rsid w:val="00F517D3"/>
    <w:rsid w:val="00F517FA"/>
    <w:rsid w:val="00F51892"/>
    <w:rsid w:val="00F5194D"/>
    <w:rsid w:val="00F51AE7"/>
    <w:rsid w:val="00F51D9E"/>
    <w:rsid w:val="00F51DDA"/>
    <w:rsid w:val="00F51FAE"/>
    <w:rsid w:val="00F5205A"/>
    <w:rsid w:val="00F52080"/>
    <w:rsid w:val="00F52448"/>
    <w:rsid w:val="00F52491"/>
    <w:rsid w:val="00F52543"/>
    <w:rsid w:val="00F5259E"/>
    <w:rsid w:val="00F52655"/>
    <w:rsid w:val="00F526AF"/>
    <w:rsid w:val="00F52763"/>
    <w:rsid w:val="00F5278F"/>
    <w:rsid w:val="00F527CC"/>
    <w:rsid w:val="00F527F4"/>
    <w:rsid w:val="00F528B2"/>
    <w:rsid w:val="00F528DF"/>
    <w:rsid w:val="00F528EB"/>
    <w:rsid w:val="00F529B5"/>
    <w:rsid w:val="00F52A18"/>
    <w:rsid w:val="00F52A74"/>
    <w:rsid w:val="00F52CA5"/>
    <w:rsid w:val="00F52CC0"/>
    <w:rsid w:val="00F52DCF"/>
    <w:rsid w:val="00F52EB2"/>
    <w:rsid w:val="00F52EDC"/>
    <w:rsid w:val="00F52F26"/>
    <w:rsid w:val="00F53046"/>
    <w:rsid w:val="00F530B4"/>
    <w:rsid w:val="00F5311B"/>
    <w:rsid w:val="00F532AB"/>
    <w:rsid w:val="00F5339B"/>
    <w:rsid w:val="00F533C4"/>
    <w:rsid w:val="00F53545"/>
    <w:rsid w:val="00F53548"/>
    <w:rsid w:val="00F535EA"/>
    <w:rsid w:val="00F53616"/>
    <w:rsid w:val="00F536E9"/>
    <w:rsid w:val="00F5379B"/>
    <w:rsid w:val="00F537D0"/>
    <w:rsid w:val="00F537F2"/>
    <w:rsid w:val="00F5380F"/>
    <w:rsid w:val="00F53842"/>
    <w:rsid w:val="00F538E8"/>
    <w:rsid w:val="00F539D5"/>
    <w:rsid w:val="00F539E6"/>
    <w:rsid w:val="00F539EA"/>
    <w:rsid w:val="00F53A62"/>
    <w:rsid w:val="00F53B47"/>
    <w:rsid w:val="00F53B90"/>
    <w:rsid w:val="00F53C82"/>
    <w:rsid w:val="00F53D91"/>
    <w:rsid w:val="00F53E80"/>
    <w:rsid w:val="00F53EAA"/>
    <w:rsid w:val="00F53EEF"/>
    <w:rsid w:val="00F53FED"/>
    <w:rsid w:val="00F54067"/>
    <w:rsid w:val="00F54077"/>
    <w:rsid w:val="00F54120"/>
    <w:rsid w:val="00F54129"/>
    <w:rsid w:val="00F54263"/>
    <w:rsid w:val="00F54285"/>
    <w:rsid w:val="00F542B5"/>
    <w:rsid w:val="00F5434B"/>
    <w:rsid w:val="00F543A9"/>
    <w:rsid w:val="00F543ED"/>
    <w:rsid w:val="00F54419"/>
    <w:rsid w:val="00F5452C"/>
    <w:rsid w:val="00F54569"/>
    <w:rsid w:val="00F54625"/>
    <w:rsid w:val="00F547A4"/>
    <w:rsid w:val="00F547CE"/>
    <w:rsid w:val="00F54955"/>
    <w:rsid w:val="00F5497C"/>
    <w:rsid w:val="00F54AA5"/>
    <w:rsid w:val="00F54CD8"/>
    <w:rsid w:val="00F54DA3"/>
    <w:rsid w:val="00F54DE6"/>
    <w:rsid w:val="00F54ECB"/>
    <w:rsid w:val="00F54FF1"/>
    <w:rsid w:val="00F550CF"/>
    <w:rsid w:val="00F5510F"/>
    <w:rsid w:val="00F55158"/>
    <w:rsid w:val="00F5517B"/>
    <w:rsid w:val="00F552A5"/>
    <w:rsid w:val="00F55317"/>
    <w:rsid w:val="00F5538D"/>
    <w:rsid w:val="00F55431"/>
    <w:rsid w:val="00F554D9"/>
    <w:rsid w:val="00F554EF"/>
    <w:rsid w:val="00F554FE"/>
    <w:rsid w:val="00F5555E"/>
    <w:rsid w:val="00F55565"/>
    <w:rsid w:val="00F5558D"/>
    <w:rsid w:val="00F556CB"/>
    <w:rsid w:val="00F557F5"/>
    <w:rsid w:val="00F55825"/>
    <w:rsid w:val="00F55AF9"/>
    <w:rsid w:val="00F55BB4"/>
    <w:rsid w:val="00F55C39"/>
    <w:rsid w:val="00F55CB0"/>
    <w:rsid w:val="00F55CB3"/>
    <w:rsid w:val="00F55CBD"/>
    <w:rsid w:val="00F55D4C"/>
    <w:rsid w:val="00F55D58"/>
    <w:rsid w:val="00F55E22"/>
    <w:rsid w:val="00F55E32"/>
    <w:rsid w:val="00F5609E"/>
    <w:rsid w:val="00F560F6"/>
    <w:rsid w:val="00F560FD"/>
    <w:rsid w:val="00F56182"/>
    <w:rsid w:val="00F563C6"/>
    <w:rsid w:val="00F56467"/>
    <w:rsid w:val="00F5648E"/>
    <w:rsid w:val="00F564DC"/>
    <w:rsid w:val="00F5652E"/>
    <w:rsid w:val="00F56662"/>
    <w:rsid w:val="00F566D1"/>
    <w:rsid w:val="00F566FE"/>
    <w:rsid w:val="00F567BB"/>
    <w:rsid w:val="00F5683D"/>
    <w:rsid w:val="00F569B8"/>
    <w:rsid w:val="00F56A2D"/>
    <w:rsid w:val="00F56A39"/>
    <w:rsid w:val="00F56A49"/>
    <w:rsid w:val="00F56A6F"/>
    <w:rsid w:val="00F56AD4"/>
    <w:rsid w:val="00F56B23"/>
    <w:rsid w:val="00F56B45"/>
    <w:rsid w:val="00F56B6C"/>
    <w:rsid w:val="00F56C7D"/>
    <w:rsid w:val="00F56CC4"/>
    <w:rsid w:val="00F56D0D"/>
    <w:rsid w:val="00F56D4D"/>
    <w:rsid w:val="00F56E81"/>
    <w:rsid w:val="00F56F47"/>
    <w:rsid w:val="00F56FBE"/>
    <w:rsid w:val="00F57005"/>
    <w:rsid w:val="00F5700F"/>
    <w:rsid w:val="00F57019"/>
    <w:rsid w:val="00F570DE"/>
    <w:rsid w:val="00F57115"/>
    <w:rsid w:val="00F5729B"/>
    <w:rsid w:val="00F572C9"/>
    <w:rsid w:val="00F572D6"/>
    <w:rsid w:val="00F5730B"/>
    <w:rsid w:val="00F57317"/>
    <w:rsid w:val="00F57325"/>
    <w:rsid w:val="00F57350"/>
    <w:rsid w:val="00F57427"/>
    <w:rsid w:val="00F57432"/>
    <w:rsid w:val="00F5749B"/>
    <w:rsid w:val="00F574C6"/>
    <w:rsid w:val="00F574CA"/>
    <w:rsid w:val="00F576A7"/>
    <w:rsid w:val="00F5771E"/>
    <w:rsid w:val="00F57838"/>
    <w:rsid w:val="00F578CB"/>
    <w:rsid w:val="00F578F8"/>
    <w:rsid w:val="00F57909"/>
    <w:rsid w:val="00F57988"/>
    <w:rsid w:val="00F579AE"/>
    <w:rsid w:val="00F57A30"/>
    <w:rsid w:val="00F57A33"/>
    <w:rsid w:val="00F57AE9"/>
    <w:rsid w:val="00F57B70"/>
    <w:rsid w:val="00F57B9C"/>
    <w:rsid w:val="00F57CDF"/>
    <w:rsid w:val="00F57D9E"/>
    <w:rsid w:val="00F57DB1"/>
    <w:rsid w:val="00F57E6D"/>
    <w:rsid w:val="00F57EBB"/>
    <w:rsid w:val="00F57ED2"/>
    <w:rsid w:val="00F6003F"/>
    <w:rsid w:val="00F60062"/>
    <w:rsid w:val="00F6009E"/>
    <w:rsid w:val="00F60282"/>
    <w:rsid w:val="00F60294"/>
    <w:rsid w:val="00F60297"/>
    <w:rsid w:val="00F602E2"/>
    <w:rsid w:val="00F6051D"/>
    <w:rsid w:val="00F6060E"/>
    <w:rsid w:val="00F60777"/>
    <w:rsid w:val="00F60896"/>
    <w:rsid w:val="00F60963"/>
    <w:rsid w:val="00F60996"/>
    <w:rsid w:val="00F60A21"/>
    <w:rsid w:val="00F60A4A"/>
    <w:rsid w:val="00F60B0C"/>
    <w:rsid w:val="00F60B34"/>
    <w:rsid w:val="00F60B37"/>
    <w:rsid w:val="00F60B60"/>
    <w:rsid w:val="00F60D33"/>
    <w:rsid w:val="00F60DB9"/>
    <w:rsid w:val="00F60E2D"/>
    <w:rsid w:val="00F60EE2"/>
    <w:rsid w:val="00F60FE5"/>
    <w:rsid w:val="00F61012"/>
    <w:rsid w:val="00F6101F"/>
    <w:rsid w:val="00F61056"/>
    <w:rsid w:val="00F61121"/>
    <w:rsid w:val="00F611BA"/>
    <w:rsid w:val="00F611CE"/>
    <w:rsid w:val="00F6133D"/>
    <w:rsid w:val="00F613FB"/>
    <w:rsid w:val="00F61460"/>
    <w:rsid w:val="00F61466"/>
    <w:rsid w:val="00F614FD"/>
    <w:rsid w:val="00F61557"/>
    <w:rsid w:val="00F61584"/>
    <w:rsid w:val="00F61664"/>
    <w:rsid w:val="00F61783"/>
    <w:rsid w:val="00F617C5"/>
    <w:rsid w:val="00F61899"/>
    <w:rsid w:val="00F6193A"/>
    <w:rsid w:val="00F61984"/>
    <w:rsid w:val="00F619F1"/>
    <w:rsid w:val="00F61A42"/>
    <w:rsid w:val="00F61A53"/>
    <w:rsid w:val="00F61B40"/>
    <w:rsid w:val="00F61B6B"/>
    <w:rsid w:val="00F61CA2"/>
    <w:rsid w:val="00F61CEB"/>
    <w:rsid w:val="00F61D3D"/>
    <w:rsid w:val="00F61D8B"/>
    <w:rsid w:val="00F61E13"/>
    <w:rsid w:val="00F61E90"/>
    <w:rsid w:val="00F61F1C"/>
    <w:rsid w:val="00F62067"/>
    <w:rsid w:val="00F62261"/>
    <w:rsid w:val="00F62267"/>
    <w:rsid w:val="00F6247E"/>
    <w:rsid w:val="00F62522"/>
    <w:rsid w:val="00F62575"/>
    <w:rsid w:val="00F62598"/>
    <w:rsid w:val="00F625A5"/>
    <w:rsid w:val="00F625B5"/>
    <w:rsid w:val="00F62630"/>
    <w:rsid w:val="00F62661"/>
    <w:rsid w:val="00F6275E"/>
    <w:rsid w:val="00F62784"/>
    <w:rsid w:val="00F62920"/>
    <w:rsid w:val="00F6297E"/>
    <w:rsid w:val="00F62991"/>
    <w:rsid w:val="00F62995"/>
    <w:rsid w:val="00F62B6F"/>
    <w:rsid w:val="00F62BC6"/>
    <w:rsid w:val="00F62C6A"/>
    <w:rsid w:val="00F62C99"/>
    <w:rsid w:val="00F62F5B"/>
    <w:rsid w:val="00F62F95"/>
    <w:rsid w:val="00F63022"/>
    <w:rsid w:val="00F63076"/>
    <w:rsid w:val="00F63156"/>
    <w:rsid w:val="00F631BE"/>
    <w:rsid w:val="00F6324F"/>
    <w:rsid w:val="00F6329C"/>
    <w:rsid w:val="00F632E1"/>
    <w:rsid w:val="00F6330E"/>
    <w:rsid w:val="00F63336"/>
    <w:rsid w:val="00F63396"/>
    <w:rsid w:val="00F633E6"/>
    <w:rsid w:val="00F6356D"/>
    <w:rsid w:val="00F63588"/>
    <w:rsid w:val="00F635BE"/>
    <w:rsid w:val="00F635D9"/>
    <w:rsid w:val="00F635ED"/>
    <w:rsid w:val="00F6369D"/>
    <w:rsid w:val="00F636CC"/>
    <w:rsid w:val="00F63729"/>
    <w:rsid w:val="00F637AF"/>
    <w:rsid w:val="00F637C6"/>
    <w:rsid w:val="00F6382B"/>
    <w:rsid w:val="00F63905"/>
    <w:rsid w:val="00F63914"/>
    <w:rsid w:val="00F63A47"/>
    <w:rsid w:val="00F63AFA"/>
    <w:rsid w:val="00F63B0C"/>
    <w:rsid w:val="00F63BC1"/>
    <w:rsid w:val="00F63C75"/>
    <w:rsid w:val="00F63C8D"/>
    <w:rsid w:val="00F63CED"/>
    <w:rsid w:val="00F63DE7"/>
    <w:rsid w:val="00F63E5F"/>
    <w:rsid w:val="00F63E75"/>
    <w:rsid w:val="00F63E98"/>
    <w:rsid w:val="00F63F37"/>
    <w:rsid w:val="00F63F4E"/>
    <w:rsid w:val="00F6403A"/>
    <w:rsid w:val="00F640F5"/>
    <w:rsid w:val="00F640FF"/>
    <w:rsid w:val="00F64130"/>
    <w:rsid w:val="00F641CC"/>
    <w:rsid w:val="00F641EF"/>
    <w:rsid w:val="00F6435A"/>
    <w:rsid w:val="00F64383"/>
    <w:rsid w:val="00F64516"/>
    <w:rsid w:val="00F6454B"/>
    <w:rsid w:val="00F64571"/>
    <w:rsid w:val="00F645E1"/>
    <w:rsid w:val="00F64628"/>
    <w:rsid w:val="00F648BF"/>
    <w:rsid w:val="00F6493B"/>
    <w:rsid w:val="00F649A2"/>
    <w:rsid w:val="00F64A29"/>
    <w:rsid w:val="00F64A34"/>
    <w:rsid w:val="00F64ADC"/>
    <w:rsid w:val="00F64B0E"/>
    <w:rsid w:val="00F64B5C"/>
    <w:rsid w:val="00F64B79"/>
    <w:rsid w:val="00F64C03"/>
    <w:rsid w:val="00F64C6A"/>
    <w:rsid w:val="00F64CB6"/>
    <w:rsid w:val="00F64CD7"/>
    <w:rsid w:val="00F64D4B"/>
    <w:rsid w:val="00F64DC3"/>
    <w:rsid w:val="00F64DCD"/>
    <w:rsid w:val="00F64E48"/>
    <w:rsid w:val="00F64EEA"/>
    <w:rsid w:val="00F64F0C"/>
    <w:rsid w:val="00F64F64"/>
    <w:rsid w:val="00F6502E"/>
    <w:rsid w:val="00F65088"/>
    <w:rsid w:val="00F650B5"/>
    <w:rsid w:val="00F650DA"/>
    <w:rsid w:val="00F65123"/>
    <w:rsid w:val="00F65179"/>
    <w:rsid w:val="00F65270"/>
    <w:rsid w:val="00F652EB"/>
    <w:rsid w:val="00F654E1"/>
    <w:rsid w:val="00F65596"/>
    <w:rsid w:val="00F655E1"/>
    <w:rsid w:val="00F65657"/>
    <w:rsid w:val="00F6571A"/>
    <w:rsid w:val="00F657A9"/>
    <w:rsid w:val="00F6581F"/>
    <w:rsid w:val="00F65959"/>
    <w:rsid w:val="00F65991"/>
    <w:rsid w:val="00F6599B"/>
    <w:rsid w:val="00F65ADD"/>
    <w:rsid w:val="00F65B24"/>
    <w:rsid w:val="00F65B4F"/>
    <w:rsid w:val="00F65C30"/>
    <w:rsid w:val="00F65C57"/>
    <w:rsid w:val="00F65CC4"/>
    <w:rsid w:val="00F65D21"/>
    <w:rsid w:val="00F65D35"/>
    <w:rsid w:val="00F65DFC"/>
    <w:rsid w:val="00F65E7A"/>
    <w:rsid w:val="00F65F0C"/>
    <w:rsid w:val="00F65FCB"/>
    <w:rsid w:val="00F66054"/>
    <w:rsid w:val="00F66167"/>
    <w:rsid w:val="00F66305"/>
    <w:rsid w:val="00F6636B"/>
    <w:rsid w:val="00F6646B"/>
    <w:rsid w:val="00F664C0"/>
    <w:rsid w:val="00F66512"/>
    <w:rsid w:val="00F66580"/>
    <w:rsid w:val="00F66739"/>
    <w:rsid w:val="00F667E7"/>
    <w:rsid w:val="00F667F7"/>
    <w:rsid w:val="00F66817"/>
    <w:rsid w:val="00F6683C"/>
    <w:rsid w:val="00F66928"/>
    <w:rsid w:val="00F66986"/>
    <w:rsid w:val="00F669BB"/>
    <w:rsid w:val="00F66AC1"/>
    <w:rsid w:val="00F66B60"/>
    <w:rsid w:val="00F66B77"/>
    <w:rsid w:val="00F66B8B"/>
    <w:rsid w:val="00F66C00"/>
    <w:rsid w:val="00F66CA2"/>
    <w:rsid w:val="00F66CAC"/>
    <w:rsid w:val="00F66CBB"/>
    <w:rsid w:val="00F66D8B"/>
    <w:rsid w:val="00F66E1A"/>
    <w:rsid w:val="00F66EC7"/>
    <w:rsid w:val="00F66F0E"/>
    <w:rsid w:val="00F66F8F"/>
    <w:rsid w:val="00F67011"/>
    <w:rsid w:val="00F671C5"/>
    <w:rsid w:val="00F67236"/>
    <w:rsid w:val="00F67238"/>
    <w:rsid w:val="00F67244"/>
    <w:rsid w:val="00F6728A"/>
    <w:rsid w:val="00F672C3"/>
    <w:rsid w:val="00F672E4"/>
    <w:rsid w:val="00F672FA"/>
    <w:rsid w:val="00F673FC"/>
    <w:rsid w:val="00F67480"/>
    <w:rsid w:val="00F674E2"/>
    <w:rsid w:val="00F67552"/>
    <w:rsid w:val="00F67628"/>
    <w:rsid w:val="00F6773C"/>
    <w:rsid w:val="00F67740"/>
    <w:rsid w:val="00F67891"/>
    <w:rsid w:val="00F67913"/>
    <w:rsid w:val="00F67922"/>
    <w:rsid w:val="00F6792D"/>
    <w:rsid w:val="00F67A9F"/>
    <w:rsid w:val="00F67AC4"/>
    <w:rsid w:val="00F67B23"/>
    <w:rsid w:val="00F67B9F"/>
    <w:rsid w:val="00F67C72"/>
    <w:rsid w:val="00F67D13"/>
    <w:rsid w:val="00F67D24"/>
    <w:rsid w:val="00F67D3D"/>
    <w:rsid w:val="00F67D42"/>
    <w:rsid w:val="00F67D84"/>
    <w:rsid w:val="00F67DBB"/>
    <w:rsid w:val="00F67DC5"/>
    <w:rsid w:val="00F67E0E"/>
    <w:rsid w:val="00F67E5B"/>
    <w:rsid w:val="00F67F81"/>
    <w:rsid w:val="00F6D977"/>
    <w:rsid w:val="00F7002F"/>
    <w:rsid w:val="00F700CD"/>
    <w:rsid w:val="00F7032D"/>
    <w:rsid w:val="00F70393"/>
    <w:rsid w:val="00F703C2"/>
    <w:rsid w:val="00F70592"/>
    <w:rsid w:val="00F70664"/>
    <w:rsid w:val="00F70731"/>
    <w:rsid w:val="00F70876"/>
    <w:rsid w:val="00F7091C"/>
    <w:rsid w:val="00F70929"/>
    <w:rsid w:val="00F709AB"/>
    <w:rsid w:val="00F70ABE"/>
    <w:rsid w:val="00F70AD1"/>
    <w:rsid w:val="00F70B9E"/>
    <w:rsid w:val="00F70BB5"/>
    <w:rsid w:val="00F70C98"/>
    <w:rsid w:val="00F70D71"/>
    <w:rsid w:val="00F70E4D"/>
    <w:rsid w:val="00F70E8F"/>
    <w:rsid w:val="00F70E98"/>
    <w:rsid w:val="00F70EEB"/>
    <w:rsid w:val="00F70EFF"/>
    <w:rsid w:val="00F70F27"/>
    <w:rsid w:val="00F71125"/>
    <w:rsid w:val="00F71222"/>
    <w:rsid w:val="00F71332"/>
    <w:rsid w:val="00F71443"/>
    <w:rsid w:val="00F714E1"/>
    <w:rsid w:val="00F715AF"/>
    <w:rsid w:val="00F715B9"/>
    <w:rsid w:val="00F715BF"/>
    <w:rsid w:val="00F716AF"/>
    <w:rsid w:val="00F716D3"/>
    <w:rsid w:val="00F716E6"/>
    <w:rsid w:val="00F71787"/>
    <w:rsid w:val="00F71839"/>
    <w:rsid w:val="00F71854"/>
    <w:rsid w:val="00F71855"/>
    <w:rsid w:val="00F71886"/>
    <w:rsid w:val="00F719C9"/>
    <w:rsid w:val="00F719D5"/>
    <w:rsid w:val="00F71A01"/>
    <w:rsid w:val="00F71AB5"/>
    <w:rsid w:val="00F71B65"/>
    <w:rsid w:val="00F71CAF"/>
    <w:rsid w:val="00F71D00"/>
    <w:rsid w:val="00F71D5C"/>
    <w:rsid w:val="00F71DCF"/>
    <w:rsid w:val="00F71F2E"/>
    <w:rsid w:val="00F71F9B"/>
    <w:rsid w:val="00F720A4"/>
    <w:rsid w:val="00F72147"/>
    <w:rsid w:val="00F721AE"/>
    <w:rsid w:val="00F723BF"/>
    <w:rsid w:val="00F72442"/>
    <w:rsid w:val="00F724A5"/>
    <w:rsid w:val="00F72512"/>
    <w:rsid w:val="00F725B7"/>
    <w:rsid w:val="00F725C3"/>
    <w:rsid w:val="00F725E7"/>
    <w:rsid w:val="00F7268B"/>
    <w:rsid w:val="00F72696"/>
    <w:rsid w:val="00F72716"/>
    <w:rsid w:val="00F7273B"/>
    <w:rsid w:val="00F72833"/>
    <w:rsid w:val="00F729EB"/>
    <w:rsid w:val="00F72A83"/>
    <w:rsid w:val="00F72A94"/>
    <w:rsid w:val="00F72AC5"/>
    <w:rsid w:val="00F72B2E"/>
    <w:rsid w:val="00F72B58"/>
    <w:rsid w:val="00F72C07"/>
    <w:rsid w:val="00F72C0E"/>
    <w:rsid w:val="00F72C25"/>
    <w:rsid w:val="00F72D66"/>
    <w:rsid w:val="00F72E57"/>
    <w:rsid w:val="00F72E62"/>
    <w:rsid w:val="00F72E8A"/>
    <w:rsid w:val="00F72E9C"/>
    <w:rsid w:val="00F72EAC"/>
    <w:rsid w:val="00F72EFC"/>
    <w:rsid w:val="00F72FC0"/>
    <w:rsid w:val="00F72FC9"/>
    <w:rsid w:val="00F730DF"/>
    <w:rsid w:val="00F73174"/>
    <w:rsid w:val="00F7317C"/>
    <w:rsid w:val="00F731E2"/>
    <w:rsid w:val="00F73324"/>
    <w:rsid w:val="00F7340C"/>
    <w:rsid w:val="00F73479"/>
    <w:rsid w:val="00F73488"/>
    <w:rsid w:val="00F7349E"/>
    <w:rsid w:val="00F7350C"/>
    <w:rsid w:val="00F7352E"/>
    <w:rsid w:val="00F735B3"/>
    <w:rsid w:val="00F735E1"/>
    <w:rsid w:val="00F7361A"/>
    <w:rsid w:val="00F73639"/>
    <w:rsid w:val="00F7364A"/>
    <w:rsid w:val="00F73669"/>
    <w:rsid w:val="00F73681"/>
    <w:rsid w:val="00F736A8"/>
    <w:rsid w:val="00F7376A"/>
    <w:rsid w:val="00F737A0"/>
    <w:rsid w:val="00F73873"/>
    <w:rsid w:val="00F73936"/>
    <w:rsid w:val="00F739BE"/>
    <w:rsid w:val="00F73B87"/>
    <w:rsid w:val="00F73C35"/>
    <w:rsid w:val="00F73C3C"/>
    <w:rsid w:val="00F73C54"/>
    <w:rsid w:val="00F73C86"/>
    <w:rsid w:val="00F73C90"/>
    <w:rsid w:val="00F73E23"/>
    <w:rsid w:val="00F73ED5"/>
    <w:rsid w:val="00F73F29"/>
    <w:rsid w:val="00F74015"/>
    <w:rsid w:val="00F74095"/>
    <w:rsid w:val="00F7412B"/>
    <w:rsid w:val="00F74267"/>
    <w:rsid w:val="00F742F4"/>
    <w:rsid w:val="00F743D7"/>
    <w:rsid w:val="00F743EE"/>
    <w:rsid w:val="00F743F6"/>
    <w:rsid w:val="00F744C0"/>
    <w:rsid w:val="00F7451B"/>
    <w:rsid w:val="00F7454B"/>
    <w:rsid w:val="00F746F7"/>
    <w:rsid w:val="00F74774"/>
    <w:rsid w:val="00F747A2"/>
    <w:rsid w:val="00F747DC"/>
    <w:rsid w:val="00F74815"/>
    <w:rsid w:val="00F74945"/>
    <w:rsid w:val="00F74A0A"/>
    <w:rsid w:val="00F74A16"/>
    <w:rsid w:val="00F74A6F"/>
    <w:rsid w:val="00F74C52"/>
    <w:rsid w:val="00F74DC8"/>
    <w:rsid w:val="00F74E57"/>
    <w:rsid w:val="00F74EEA"/>
    <w:rsid w:val="00F7509D"/>
    <w:rsid w:val="00F7509E"/>
    <w:rsid w:val="00F7518C"/>
    <w:rsid w:val="00F751DE"/>
    <w:rsid w:val="00F75296"/>
    <w:rsid w:val="00F752C6"/>
    <w:rsid w:val="00F752FB"/>
    <w:rsid w:val="00F7530A"/>
    <w:rsid w:val="00F753B8"/>
    <w:rsid w:val="00F75487"/>
    <w:rsid w:val="00F755F8"/>
    <w:rsid w:val="00F75630"/>
    <w:rsid w:val="00F758B7"/>
    <w:rsid w:val="00F7590A"/>
    <w:rsid w:val="00F75A22"/>
    <w:rsid w:val="00F75B37"/>
    <w:rsid w:val="00F75B8F"/>
    <w:rsid w:val="00F75BAB"/>
    <w:rsid w:val="00F75C57"/>
    <w:rsid w:val="00F75C90"/>
    <w:rsid w:val="00F75D1E"/>
    <w:rsid w:val="00F75F76"/>
    <w:rsid w:val="00F75F8A"/>
    <w:rsid w:val="00F75FF3"/>
    <w:rsid w:val="00F76089"/>
    <w:rsid w:val="00F76199"/>
    <w:rsid w:val="00F76292"/>
    <w:rsid w:val="00F76419"/>
    <w:rsid w:val="00F76461"/>
    <w:rsid w:val="00F765A4"/>
    <w:rsid w:val="00F765B7"/>
    <w:rsid w:val="00F765C5"/>
    <w:rsid w:val="00F765D7"/>
    <w:rsid w:val="00F765DC"/>
    <w:rsid w:val="00F7661F"/>
    <w:rsid w:val="00F766E5"/>
    <w:rsid w:val="00F767C4"/>
    <w:rsid w:val="00F76865"/>
    <w:rsid w:val="00F768A3"/>
    <w:rsid w:val="00F768AB"/>
    <w:rsid w:val="00F76BA0"/>
    <w:rsid w:val="00F76BAD"/>
    <w:rsid w:val="00F76C4B"/>
    <w:rsid w:val="00F76C9A"/>
    <w:rsid w:val="00F76CBD"/>
    <w:rsid w:val="00F76D34"/>
    <w:rsid w:val="00F76EC5"/>
    <w:rsid w:val="00F76F5A"/>
    <w:rsid w:val="00F76F6F"/>
    <w:rsid w:val="00F7705E"/>
    <w:rsid w:val="00F770F4"/>
    <w:rsid w:val="00F77126"/>
    <w:rsid w:val="00F77170"/>
    <w:rsid w:val="00F771F8"/>
    <w:rsid w:val="00F7731E"/>
    <w:rsid w:val="00F7734F"/>
    <w:rsid w:val="00F77389"/>
    <w:rsid w:val="00F7738C"/>
    <w:rsid w:val="00F773DF"/>
    <w:rsid w:val="00F773FD"/>
    <w:rsid w:val="00F773FE"/>
    <w:rsid w:val="00F774AB"/>
    <w:rsid w:val="00F774B3"/>
    <w:rsid w:val="00F774F8"/>
    <w:rsid w:val="00F7750B"/>
    <w:rsid w:val="00F775A4"/>
    <w:rsid w:val="00F775A6"/>
    <w:rsid w:val="00F7764C"/>
    <w:rsid w:val="00F77652"/>
    <w:rsid w:val="00F7767C"/>
    <w:rsid w:val="00F7770C"/>
    <w:rsid w:val="00F77777"/>
    <w:rsid w:val="00F777B8"/>
    <w:rsid w:val="00F77899"/>
    <w:rsid w:val="00F7796F"/>
    <w:rsid w:val="00F779C9"/>
    <w:rsid w:val="00F77A2D"/>
    <w:rsid w:val="00F77A6F"/>
    <w:rsid w:val="00F77BE6"/>
    <w:rsid w:val="00F77CA8"/>
    <w:rsid w:val="00F77D0D"/>
    <w:rsid w:val="00F77D84"/>
    <w:rsid w:val="00F77E32"/>
    <w:rsid w:val="00F77EA5"/>
    <w:rsid w:val="00F77F9F"/>
    <w:rsid w:val="00F77FA9"/>
    <w:rsid w:val="00F80040"/>
    <w:rsid w:val="00F801A1"/>
    <w:rsid w:val="00F80272"/>
    <w:rsid w:val="00F80274"/>
    <w:rsid w:val="00F8032D"/>
    <w:rsid w:val="00F8035A"/>
    <w:rsid w:val="00F803BE"/>
    <w:rsid w:val="00F80482"/>
    <w:rsid w:val="00F80555"/>
    <w:rsid w:val="00F805ED"/>
    <w:rsid w:val="00F80624"/>
    <w:rsid w:val="00F80682"/>
    <w:rsid w:val="00F806D5"/>
    <w:rsid w:val="00F8072F"/>
    <w:rsid w:val="00F807A6"/>
    <w:rsid w:val="00F807BD"/>
    <w:rsid w:val="00F8084D"/>
    <w:rsid w:val="00F80867"/>
    <w:rsid w:val="00F80892"/>
    <w:rsid w:val="00F808A4"/>
    <w:rsid w:val="00F80A39"/>
    <w:rsid w:val="00F80AE8"/>
    <w:rsid w:val="00F80B2A"/>
    <w:rsid w:val="00F80B68"/>
    <w:rsid w:val="00F80B6C"/>
    <w:rsid w:val="00F80C69"/>
    <w:rsid w:val="00F80D47"/>
    <w:rsid w:val="00F80E7D"/>
    <w:rsid w:val="00F80F12"/>
    <w:rsid w:val="00F80F6E"/>
    <w:rsid w:val="00F80FE2"/>
    <w:rsid w:val="00F80FE5"/>
    <w:rsid w:val="00F81043"/>
    <w:rsid w:val="00F8109C"/>
    <w:rsid w:val="00F81129"/>
    <w:rsid w:val="00F81202"/>
    <w:rsid w:val="00F8120F"/>
    <w:rsid w:val="00F812D3"/>
    <w:rsid w:val="00F812F2"/>
    <w:rsid w:val="00F812F7"/>
    <w:rsid w:val="00F8135A"/>
    <w:rsid w:val="00F8136C"/>
    <w:rsid w:val="00F8143E"/>
    <w:rsid w:val="00F8156E"/>
    <w:rsid w:val="00F81586"/>
    <w:rsid w:val="00F8163C"/>
    <w:rsid w:val="00F81911"/>
    <w:rsid w:val="00F81932"/>
    <w:rsid w:val="00F81A8F"/>
    <w:rsid w:val="00F81B1A"/>
    <w:rsid w:val="00F81B4C"/>
    <w:rsid w:val="00F81B6B"/>
    <w:rsid w:val="00F81B95"/>
    <w:rsid w:val="00F81C3D"/>
    <w:rsid w:val="00F81C88"/>
    <w:rsid w:val="00F81D2D"/>
    <w:rsid w:val="00F81D86"/>
    <w:rsid w:val="00F81EFB"/>
    <w:rsid w:val="00F81FA6"/>
    <w:rsid w:val="00F82004"/>
    <w:rsid w:val="00F8202C"/>
    <w:rsid w:val="00F82142"/>
    <w:rsid w:val="00F8215D"/>
    <w:rsid w:val="00F82285"/>
    <w:rsid w:val="00F822EE"/>
    <w:rsid w:val="00F823A6"/>
    <w:rsid w:val="00F823FC"/>
    <w:rsid w:val="00F82436"/>
    <w:rsid w:val="00F8245C"/>
    <w:rsid w:val="00F82566"/>
    <w:rsid w:val="00F82584"/>
    <w:rsid w:val="00F82588"/>
    <w:rsid w:val="00F825B5"/>
    <w:rsid w:val="00F8269D"/>
    <w:rsid w:val="00F826B6"/>
    <w:rsid w:val="00F82731"/>
    <w:rsid w:val="00F8282A"/>
    <w:rsid w:val="00F828CA"/>
    <w:rsid w:val="00F828CD"/>
    <w:rsid w:val="00F828FF"/>
    <w:rsid w:val="00F8291A"/>
    <w:rsid w:val="00F82AE1"/>
    <w:rsid w:val="00F82B81"/>
    <w:rsid w:val="00F82C05"/>
    <w:rsid w:val="00F82CAF"/>
    <w:rsid w:val="00F82E58"/>
    <w:rsid w:val="00F82F20"/>
    <w:rsid w:val="00F830D2"/>
    <w:rsid w:val="00F8310C"/>
    <w:rsid w:val="00F8313E"/>
    <w:rsid w:val="00F8319A"/>
    <w:rsid w:val="00F831A2"/>
    <w:rsid w:val="00F832B6"/>
    <w:rsid w:val="00F83349"/>
    <w:rsid w:val="00F8349F"/>
    <w:rsid w:val="00F834C4"/>
    <w:rsid w:val="00F834C5"/>
    <w:rsid w:val="00F8356C"/>
    <w:rsid w:val="00F83648"/>
    <w:rsid w:val="00F83667"/>
    <w:rsid w:val="00F8369B"/>
    <w:rsid w:val="00F8388F"/>
    <w:rsid w:val="00F838A0"/>
    <w:rsid w:val="00F838A1"/>
    <w:rsid w:val="00F83A4E"/>
    <w:rsid w:val="00F83A51"/>
    <w:rsid w:val="00F83ADF"/>
    <w:rsid w:val="00F83EDC"/>
    <w:rsid w:val="00F83F2B"/>
    <w:rsid w:val="00F8415A"/>
    <w:rsid w:val="00F84276"/>
    <w:rsid w:val="00F84322"/>
    <w:rsid w:val="00F84383"/>
    <w:rsid w:val="00F843F1"/>
    <w:rsid w:val="00F844E2"/>
    <w:rsid w:val="00F845E5"/>
    <w:rsid w:val="00F845F8"/>
    <w:rsid w:val="00F84626"/>
    <w:rsid w:val="00F846C8"/>
    <w:rsid w:val="00F84830"/>
    <w:rsid w:val="00F848D4"/>
    <w:rsid w:val="00F84903"/>
    <w:rsid w:val="00F8495A"/>
    <w:rsid w:val="00F84A3D"/>
    <w:rsid w:val="00F84A49"/>
    <w:rsid w:val="00F84AE8"/>
    <w:rsid w:val="00F84BF6"/>
    <w:rsid w:val="00F84C6C"/>
    <w:rsid w:val="00F84E54"/>
    <w:rsid w:val="00F84EE5"/>
    <w:rsid w:val="00F84F5B"/>
    <w:rsid w:val="00F84FA3"/>
    <w:rsid w:val="00F84FA8"/>
    <w:rsid w:val="00F8508D"/>
    <w:rsid w:val="00F850F0"/>
    <w:rsid w:val="00F8527A"/>
    <w:rsid w:val="00F8540C"/>
    <w:rsid w:val="00F85509"/>
    <w:rsid w:val="00F85513"/>
    <w:rsid w:val="00F85700"/>
    <w:rsid w:val="00F857B4"/>
    <w:rsid w:val="00F857D0"/>
    <w:rsid w:val="00F85803"/>
    <w:rsid w:val="00F8589E"/>
    <w:rsid w:val="00F85905"/>
    <w:rsid w:val="00F85921"/>
    <w:rsid w:val="00F85952"/>
    <w:rsid w:val="00F85988"/>
    <w:rsid w:val="00F859CA"/>
    <w:rsid w:val="00F85A6C"/>
    <w:rsid w:val="00F85AC7"/>
    <w:rsid w:val="00F85AFB"/>
    <w:rsid w:val="00F85B96"/>
    <w:rsid w:val="00F85BC7"/>
    <w:rsid w:val="00F85C21"/>
    <w:rsid w:val="00F85E03"/>
    <w:rsid w:val="00F85EA9"/>
    <w:rsid w:val="00F85F4A"/>
    <w:rsid w:val="00F85FB7"/>
    <w:rsid w:val="00F85FD8"/>
    <w:rsid w:val="00F86000"/>
    <w:rsid w:val="00F8604D"/>
    <w:rsid w:val="00F8605E"/>
    <w:rsid w:val="00F861A9"/>
    <w:rsid w:val="00F86242"/>
    <w:rsid w:val="00F8628A"/>
    <w:rsid w:val="00F863C2"/>
    <w:rsid w:val="00F863C5"/>
    <w:rsid w:val="00F8642B"/>
    <w:rsid w:val="00F86440"/>
    <w:rsid w:val="00F86494"/>
    <w:rsid w:val="00F86520"/>
    <w:rsid w:val="00F86539"/>
    <w:rsid w:val="00F8654B"/>
    <w:rsid w:val="00F86637"/>
    <w:rsid w:val="00F86695"/>
    <w:rsid w:val="00F866A9"/>
    <w:rsid w:val="00F866C2"/>
    <w:rsid w:val="00F86730"/>
    <w:rsid w:val="00F86898"/>
    <w:rsid w:val="00F868C6"/>
    <w:rsid w:val="00F8692F"/>
    <w:rsid w:val="00F86997"/>
    <w:rsid w:val="00F86A27"/>
    <w:rsid w:val="00F86A44"/>
    <w:rsid w:val="00F86A80"/>
    <w:rsid w:val="00F86B36"/>
    <w:rsid w:val="00F86B67"/>
    <w:rsid w:val="00F86CC2"/>
    <w:rsid w:val="00F86D01"/>
    <w:rsid w:val="00F86E09"/>
    <w:rsid w:val="00F86E24"/>
    <w:rsid w:val="00F86E98"/>
    <w:rsid w:val="00F86F10"/>
    <w:rsid w:val="00F86F7B"/>
    <w:rsid w:val="00F86FB3"/>
    <w:rsid w:val="00F8702B"/>
    <w:rsid w:val="00F871E1"/>
    <w:rsid w:val="00F87252"/>
    <w:rsid w:val="00F87256"/>
    <w:rsid w:val="00F8734F"/>
    <w:rsid w:val="00F8767E"/>
    <w:rsid w:val="00F8779E"/>
    <w:rsid w:val="00F877DA"/>
    <w:rsid w:val="00F878CB"/>
    <w:rsid w:val="00F878D1"/>
    <w:rsid w:val="00F8799D"/>
    <w:rsid w:val="00F87A4E"/>
    <w:rsid w:val="00F87AFB"/>
    <w:rsid w:val="00F87D4D"/>
    <w:rsid w:val="00F87D8D"/>
    <w:rsid w:val="00F87DB0"/>
    <w:rsid w:val="00F87F56"/>
    <w:rsid w:val="00F87F8C"/>
    <w:rsid w:val="00F87FBE"/>
    <w:rsid w:val="00F90051"/>
    <w:rsid w:val="00F9014F"/>
    <w:rsid w:val="00F90191"/>
    <w:rsid w:val="00F901BE"/>
    <w:rsid w:val="00F9027C"/>
    <w:rsid w:val="00F902F4"/>
    <w:rsid w:val="00F902F6"/>
    <w:rsid w:val="00F90344"/>
    <w:rsid w:val="00F90372"/>
    <w:rsid w:val="00F903D3"/>
    <w:rsid w:val="00F904D4"/>
    <w:rsid w:val="00F90554"/>
    <w:rsid w:val="00F90564"/>
    <w:rsid w:val="00F905B0"/>
    <w:rsid w:val="00F905F4"/>
    <w:rsid w:val="00F9060A"/>
    <w:rsid w:val="00F9066C"/>
    <w:rsid w:val="00F90682"/>
    <w:rsid w:val="00F906B8"/>
    <w:rsid w:val="00F906F2"/>
    <w:rsid w:val="00F9073E"/>
    <w:rsid w:val="00F90747"/>
    <w:rsid w:val="00F9074B"/>
    <w:rsid w:val="00F907B2"/>
    <w:rsid w:val="00F90813"/>
    <w:rsid w:val="00F90943"/>
    <w:rsid w:val="00F90986"/>
    <w:rsid w:val="00F909A0"/>
    <w:rsid w:val="00F90ADD"/>
    <w:rsid w:val="00F90B26"/>
    <w:rsid w:val="00F90BCD"/>
    <w:rsid w:val="00F90BEF"/>
    <w:rsid w:val="00F90C4C"/>
    <w:rsid w:val="00F90D0A"/>
    <w:rsid w:val="00F90D97"/>
    <w:rsid w:val="00F90E30"/>
    <w:rsid w:val="00F911C8"/>
    <w:rsid w:val="00F91215"/>
    <w:rsid w:val="00F91278"/>
    <w:rsid w:val="00F912A7"/>
    <w:rsid w:val="00F9135C"/>
    <w:rsid w:val="00F91367"/>
    <w:rsid w:val="00F9137A"/>
    <w:rsid w:val="00F91390"/>
    <w:rsid w:val="00F913B9"/>
    <w:rsid w:val="00F913F9"/>
    <w:rsid w:val="00F9149C"/>
    <w:rsid w:val="00F9151D"/>
    <w:rsid w:val="00F91568"/>
    <w:rsid w:val="00F915C5"/>
    <w:rsid w:val="00F915CC"/>
    <w:rsid w:val="00F917D3"/>
    <w:rsid w:val="00F918F7"/>
    <w:rsid w:val="00F91998"/>
    <w:rsid w:val="00F91A05"/>
    <w:rsid w:val="00F91B03"/>
    <w:rsid w:val="00F91B0C"/>
    <w:rsid w:val="00F91B79"/>
    <w:rsid w:val="00F91BF7"/>
    <w:rsid w:val="00F91C22"/>
    <w:rsid w:val="00F91C54"/>
    <w:rsid w:val="00F91D22"/>
    <w:rsid w:val="00F91D5E"/>
    <w:rsid w:val="00F91DB1"/>
    <w:rsid w:val="00F91DCC"/>
    <w:rsid w:val="00F91FAB"/>
    <w:rsid w:val="00F92019"/>
    <w:rsid w:val="00F92026"/>
    <w:rsid w:val="00F92099"/>
    <w:rsid w:val="00F920B0"/>
    <w:rsid w:val="00F92181"/>
    <w:rsid w:val="00F922E5"/>
    <w:rsid w:val="00F923BD"/>
    <w:rsid w:val="00F923DB"/>
    <w:rsid w:val="00F92443"/>
    <w:rsid w:val="00F92471"/>
    <w:rsid w:val="00F924F9"/>
    <w:rsid w:val="00F92551"/>
    <w:rsid w:val="00F92557"/>
    <w:rsid w:val="00F9257A"/>
    <w:rsid w:val="00F926B7"/>
    <w:rsid w:val="00F926C2"/>
    <w:rsid w:val="00F926D0"/>
    <w:rsid w:val="00F92868"/>
    <w:rsid w:val="00F928D4"/>
    <w:rsid w:val="00F92923"/>
    <w:rsid w:val="00F929E8"/>
    <w:rsid w:val="00F92A5F"/>
    <w:rsid w:val="00F92AFD"/>
    <w:rsid w:val="00F92B02"/>
    <w:rsid w:val="00F92BFD"/>
    <w:rsid w:val="00F92C38"/>
    <w:rsid w:val="00F92C5B"/>
    <w:rsid w:val="00F92C6D"/>
    <w:rsid w:val="00F92D3D"/>
    <w:rsid w:val="00F92DBC"/>
    <w:rsid w:val="00F92E2E"/>
    <w:rsid w:val="00F92F20"/>
    <w:rsid w:val="00F93023"/>
    <w:rsid w:val="00F9304F"/>
    <w:rsid w:val="00F9306A"/>
    <w:rsid w:val="00F93090"/>
    <w:rsid w:val="00F93107"/>
    <w:rsid w:val="00F931E8"/>
    <w:rsid w:val="00F93220"/>
    <w:rsid w:val="00F93350"/>
    <w:rsid w:val="00F933D9"/>
    <w:rsid w:val="00F93548"/>
    <w:rsid w:val="00F9355E"/>
    <w:rsid w:val="00F935AC"/>
    <w:rsid w:val="00F93669"/>
    <w:rsid w:val="00F93A0B"/>
    <w:rsid w:val="00F93A5D"/>
    <w:rsid w:val="00F93A8B"/>
    <w:rsid w:val="00F93AA3"/>
    <w:rsid w:val="00F93B1B"/>
    <w:rsid w:val="00F93C5B"/>
    <w:rsid w:val="00F93C82"/>
    <w:rsid w:val="00F93CDE"/>
    <w:rsid w:val="00F93E73"/>
    <w:rsid w:val="00F93E8F"/>
    <w:rsid w:val="00F93FD2"/>
    <w:rsid w:val="00F9403E"/>
    <w:rsid w:val="00F940F4"/>
    <w:rsid w:val="00F94118"/>
    <w:rsid w:val="00F9411F"/>
    <w:rsid w:val="00F941E2"/>
    <w:rsid w:val="00F94234"/>
    <w:rsid w:val="00F9423C"/>
    <w:rsid w:val="00F9423F"/>
    <w:rsid w:val="00F94245"/>
    <w:rsid w:val="00F94375"/>
    <w:rsid w:val="00F9466D"/>
    <w:rsid w:val="00F946DF"/>
    <w:rsid w:val="00F946F1"/>
    <w:rsid w:val="00F94781"/>
    <w:rsid w:val="00F94788"/>
    <w:rsid w:val="00F947D2"/>
    <w:rsid w:val="00F94800"/>
    <w:rsid w:val="00F949A6"/>
    <w:rsid w:val="00F94A2A"/>
    <w:rsid w:val="00F94B32"/>
    <w:rsid w:val="00F94B8F"/>
    <w:rsid w:val="00F94BB9"/>
    <w:rsid w:val="00F94BFF"/>
    <w:rsid w:val="00F94C0C"/>
    <w:rsid w:val="00F94E48"/>
    <w:rsid w:val="00F94E4B"/>
    <w:rsid w:val="00F94F0A"/>
    <w:rsid w:val="00F94F6F"/>
    <w:rsid w:val="00F950F5"/>
    <w:rsid w:val="00F95159"/>
    <w:rsid w:val="00F951F9"/>
    <w:rsid w:val="00F9526C"/>
    <w:rsid w:val="00F95449"/>
    <w:rsid w:val="00F955A2"/>
    <w:rsid w:val="00F955A9"/>
    <w:rsid w:val="00F955CB"/>
    <w:rsid w:val="00F95781"/>
    <w:rsid w:val="00F957D6"/>
    <w:rsid w:val="00F95920"/>
    <w:rsid w:val="00F95945"/>
    <w:rsid w:val="00F959A2"/>
    <w:rsid w:val="00F959A4"/>
    <w:rsid w:val="00F95A8F"/>
    <w:rsid w:val="00F95AA6"/>
    <w:rsid w:val="00F95B3D"/>
    <w:rsid w:val="00F95C35"/>
    <w:rsid w:val="00F95C9A"/>
    <w:rsid w:val="00F95D20"/>
    <w:rsid w:val="00F95D5E"/>
    <w:rsid w:val="00F95D91"/>
    <w:rsid w:val="00F95F58"/>
    <w:rsid w:val="00F95FCC"/>
    <w:rsid w:val="00F9606F"/>
    <w:rsid w:val="00F9607C"/>
    <w:rsid w:val="00F961A1"/>
    <w:rsid w:val="00F9622A"/>
    <w:rsid w:val="00F9628F"/>
    <w:rsid w:val="00F962A1"/>
    <w:rsid w:val="00F962B5"/>
    <w:rsid w:val="00F963F8"/>
    <w:rsid w:val="00F964D3"/>
    <w:rsid w:val="00F9665D"/>
    <w:rsid w:val="00F96662"/>
    <w:rsid w:val="00F96678"/>
    <w:rsid w:val="00F966DE"/>
    <w:rsid w:val="00F96722"/>
    <w:rsid w:val="00F96913"/>
    <w:rsid w:val="00F96ADF"/>
    <w:rsid w:val="00F96B66"/>
    <w:rsid w:val="00F96C7B"/>
    <w:rsid w:val="00F96E40"/>
    <w:rsid w:val="00F97074"/>
    <w:rsid w:val="00F971C4"/>
    <w:rsid w:val="00F97217"/>
    <w:rsid w:val="00F9725C"/>
    <w:rsid w:val="00F9730F"/>
    <w:rsid w:val="00F973CE"/>
    <w:rsid w:val="00F97597"/>
    <w:rsid w:val="00F975F3"/>
    <w:rsid w:val="00F97663"/>
    <w:rsid w:val="00F97694"/>
    <w:rsid w:val="00F976EB"/>
    <w:rsid w:val="00F97771"/>
    <w:rsid w:val="00F977A5"/>
    <w:rsid w:val="00F977BB"/>
    <w:rsid w:val="00F977C3"/>
    <w:rsid w:val="00F97844"/>
    <w:rsid w:val="00F978B9"/>
    <w:rsid w:val="00F978D6"/>
    <w:rsid w:val="00F97935"/>
    <w:rsid w:val="00F97970"/>
    <w:rsid w:val="00F979D1"/>
    <w:rsid w:val="00F97BA4"/>
    <w:rsid w:val="00F97D7B"/>
    <w:rsid w:val="00F97DB6"/>
    <w:rsid w:val="00F97EB5"/>
    <w:rsid w:val="00F97EE2"/>
    <w:rsid w:val="00F97F8F"/>
    <w:rsid w:val="00F97FDC"/>
    <w:rsid w:val="00FA00F6"/>
    <w:rsid w:val="00FA015D"/>
    <w:rsid w:val="00FA0185"/>
    <w:rsid w:val="00FA01F4"/>
    <w:rsid w:val="00FA032C"/>
    <w:rsid w:val="00FA035D"/>
    <w:rsid w:val="00FA04A9"/>
    <w:rsid w:val="00FA05BD"/>
    <w:rsid w:val="00FA0613"/>
    <w:rsid w:val="00FA06B9"/>
    <w:rsid w:val="00FA06CF"/>
    <w:rsid w:val="00FA0784"/>
    <w:rsid w:val="00FA07D7"/>
    <w:rsid w:val="00FA0928"/>
    <w:rsid w:val="00FA0933"/>
    <w:rsid w:val="00FA0954"/>
    <w:rsid w:val="00FA0A03"/>
    <w:rsid w:val="00FA0A79"/>
    <w:rsid w:val="00FA0AA1"/>
    <w:rsid w:val="00FA0B7F"/>
    <w:rsid w:val="00FA0C24"/>
    <w:rsid w:val="00FA0DDA"/>
    <w:rsid w:val="00FA109A"/>
    <w:rsid w:val="00FA1151"/>
    <w:rsid w:val="00FA1192"/>
    <w:rsid w:val="00FA12A9"/>
    <w:rsid w:val="00FA12BC"/>
    <w:rsid w:val="00FA131A"/>
    <w:rsid w:val="00FA132E"/>
    <w:rsid w:val="00FA134F"/>
    <w:rsid w:val="00FA13D3"/>
    <w:rsid w:val="00FA1415"/>
    <w:rsid w:val="00FA1455"/>
    <w:rsid w:val="00FA149C"/>
    <w:rsid w:val="00FA150A"/>
    <w:rsid w:val="00FA15BF"/>
    <w:rsid w:val="00FA1648"/>
    <w:rsid w:val="00FA1689"/>
    <w:rsid w:val="00FA170D"/>
    <w:rsid w:val="00FA17EA"/>
    <w:rsid w:val="00FA182A"/>
    <w:rsid w:val="00FA18DB"/>
    <w:rsid w:val="00FA1916"/>
    <w:rsid w:val="00FA1934"/>
    <w:rsid w:val="00FA198D"/>
    <w:rsid w:val="00FA1991"/>
    <w:rsid w:val="00FA1A6A"/>
    <w:rsid w:val="00FA1AC3"/>
    <w:rsid w:val="00FA1AE8"/>
    <w:rsid w:val="00FA1BD9"/>
    <w:rsid w:val="00FA1C16"/>
    <w:rsid w:val="00FA1C29"/>
    <w:rsid w:val="00FA1C6F"/>
    <w:rsid w:val="00FA1CC2"/>
    <w:rsid w:val="00FA1DEA"/>
    <w:rsid w:val="00FA1E2A"/>
    <w:rsid w:val="00FA1E8E"/>
    <w:rsid w:val="00FA1F04"/>
    <w:rsid w:val="00FA1F3A"/>
    <w:rsid w:val="00FA1F67"/>
    <w:rsid w:val="00FA1F84"/>
    <w:rsid w:val="00FA1FC8"/>
    <w:rsid w:val="00FA20FD"/>
    <w:rsid w:val="00FA220F"/>
    <w:rsid w:val="00FA22B0"/>
    <w:rsid w:val="00FA2392"/>
    <w:rsid w:val="00FA23E2"/>
    <w:rsid w:val="00FA2410"/>
    <w:rsid w:val="00FA24C9"/>
    <w:rsid w:val="00FA24F6"/>
    <w:rsid w:val="00FA25A1"/>
    <w:rsid w:val="00FA25A2"/>
    <w:rsid w:val="00FA25C3"/>
    <w:rsid w:val="00FA25F7"/>
    <w:rsid w:val="00FA2673"/>
    <w:rsid w:val="00FA26A9"/>
    <w:rsid w:val="00FA2712"/>
    <w:rsid w:val="00FA2723"/>
    <w:rsid w:val="00FA2777"/>
    <w:rsid w:val="00FA278B"/>
    <w:rsid w:val="00FA28D5"/>
    <w:rsid w:val="00FA2988"/>
    <w:rsid w:val="00FA29B9"/>
    <w:rsid w:val="00FA2A74"/>
    <w:rsid w:val="00FA2A91"/>
    <w:rsid w:val="00FA2AA5"/>
    <w:rsid w:val="00FA2AFC"/>
    <w:rsid w:val="00FA2BAF"/>
    <w:rsid w:val="00FA2CB7"/>
    <w:rsid w:val="00FA2E20"/>
    <w:rsid w:val="00FA2E50"/>
    <w:rsid w:val="00FA2E56"/>
    <w:rsid w:val="00FA2E62"/>
    <w:rsid w:val="00FA2EE8"/>
    <w:rsid w:val="00FA2F18"/>
    <w:rsid w:val="00FA2F9A"/>
    <w:rsid w:val="00FA3206"/>
    <w:rsid w:val="00FA3345"/>
    <w:rsid w:val="00FA341C"/>
    <w:rsid w:val="00FA344C"/>
    <w:rsid w:val="00FA35DF"/>
    <w:rsid w:val="00FA3662"/>
    <w:rsid w:val="00FA36B8"/>
    <w:rsid w:val="00FA37DA"/>
    <w:rsid w:val="00FA39C7"/>
    <w:rsid w:val="00FA39E0"/>
    <w:rsid w:val="00FA3B17"/>
    <w:rsid w:val="00FA3B7B"/>
    <w:rsid w:val="00FA3BB4"/>
    <w:rsid w:val="00FA3BBC"/>
    <w:rsid w:val="00FA3BD4"/>
    <w:rsid w:val="00FA3C3D"/>
    <w:rsid w:val="00FA3C74"/>
    <w:rsid w:val="00FA3CAD"/>
    <w:rsid w:val="00FA3CF5"/>
    <w:rsid w:val="00FA3D1B"/>
    <w:rsid w:val="00FA3ECB"/>
    <w:rsid w:val="00FA3F1B"/>
    <w:rsid w:val="00FA3F9A"/>
    <w:rsid w:val="00FA3FB6"/>
    <w:rsid w:val="00FA4019"/>
    <w:rsid w:val="00FA408D"/>
    <w:rsid w:val="00FA40D4"/>
    <w:rsid w:val="00FA41BA"/>
    <w:rsid w:val="00FA41D7"/>
    <w:rsid w:val="00FA42B9"/>
    <w:rsid w:val="00FA4336"/>
    <w:rsid w:val="00FA4382"/>
    <w:rsid w:val="00FA43C2"/>
    <w:rsid w:val="00FA4433"/>
    <w:rsid w:val="00FA44B2"/>
    <w:rsid w:val="00FA484C"/>
    <w:rsid w:val="00FA48EC"/>
    <w:rsid w:val="00FA499C"/>
    <w:rsid w:val="00FA4A4B"/>
    <w:rsid w:val="00FA4A5F"/>
    <w:rsid w:val="00FA4A70"/>
    <w:rsid w:val="00FA4A86"/>
    <w:rsid w:val="00FA4A8D"/>
    <w:rsid w:val="00FA4ACD"/>
    <w:rsid w:val="00FA4B3B"/>
    <w:rsid w:val="00FA4CC3"/>
    <w:rsid w:val="00FA4CDF"/>
    <w:rsid w:val="00FA4DBA"/>
    <w:rsid w:val="00FA4DC8"/>
    <w:rsid w:val="00FA4E55"/>
    <w:rsid w:val="00FA4E57"/>
    <w:rsid w:val="00FA4EC8"/>
    <w:rsid w:val="00FA4EFD"/>
    <w:rsid w:val="00FA4F2C"/>
    <w:rsid w:val="00FA5079"/>
    <w:rsid w:val="00FA50D8"/>
    <w:rsid w:val="00FA5112"/>
    <w:rsid w:val="00FA5164"/>
    <w:rsid w:val="00FA51AD"/>
    <w:rsid w:val="00FA51E1"/>
    <w:rsid w:val="00FA51EF"/>
    <w:rsid w:val="00FA520C"/>
    <w:rsid w:val="00FA526D"/>
    <w:rsid w:val="00FA52AF"/>
    <w:rsid w:val="00FA52E2"/>
    <w:rsid w:val="00FA5330"/>
    <w:rsid w:val="00FA537D"/>
    <w:rsid w:val="00FA5398"/>
    <w:rsid w:val="00FA5498"/>
    <w:rsid w:val="00FA5726"/>
    <w:rsid w:val="00FA573D"/>
    <w:rsid w:val="00FA58A0"/>
    <w:rsid w:val="00FA58BA"/>
    <w:rsid w:val="00FA592A"/>
    <w:rsid w:val="00FA59C6"/>
    <w:rsid w:val="00FA5A6F"/>
    <w:rsid w:val="00FA5B1B"/>
    <w:rsid w:val="00FA5BF9"/>
    <w:rsid w:val="00FA5C04"/>
    <w:rsid w:val="00FA5C1D"/>
    <w:rsid w:val="00FA5C33"/>
    <w:rsid w:val="00FA5CB0"/>
    <w:rsid w:val="00FA5CF5"/>
    <w:rsid w:val="00FA5D15"/>
    <w:rsid w:val="00FA5D29"/>
    <w:rsid w:val="00FA5FB7"/>
    <w:rsid w:val="00FA60A9"/>
    <w:rsid w:val="00FA61FE"/>
    <w:rsid w:val="00FA6258"/>
    <w:rsid w:val="00FA62A1"/>
    <w:rsid w:val="00FA6397"/>
    <w:rsid w:val="00FA64BE"/>
    <w:rsid w:val="00FA65B9"/>
    <w:rsid w:val="00FA6601"/>
    <w:rsid w:val="00FA668C"/>
    <w:rsid w:val="00FA669C"/>
    <w:rsid w:val="00FA66C5"/>
    <w:rsid w:val="00FA6758"/>
    <w:rsid w:val="00FA68B7"/>
    <w:rsid w:val="00FA6977"/>
    <w:rsid w:val="00FA6B11"/>
    <w:rsid w:val="00FA6D0E"/>
    <w:rsid w:val="00FA6D46"/>
    <w:rsid w:val="00FA6D5B"/>
    <w:rsid w:val="00FA6DC2"/>
    <w:rsid w:val="00FA6DE0"/>
    <w:rsid w:val="00FA6E8B"/>
    <w:rsid w:val="00FA6F44"/>
    <w:rsid w:val="00FA6F9F"/>
    <w:rsid w:val="00FA6FB9"/>
    <w:rsid w:val="00FA6FF1"/>
    <w:rsid w:val="00FA70B5"/>
    <w:rsid w:val="00FA70C2"/>
    <w:rsid w:val="00FA7208"/>
    <w:rsid w:val="00FA735B"/>
    <w:rsid w:val="00FA73C5"/>
    <w:rsid w:val="00FA73E2"/>
    <w:rsid w:val="00FA766F"/>
    <w:rsid w:val="00FA7753"/>
    <w:rsid w:val="00FA77C6"/>
    <w:rsid w:val="00FA7831"/>
    <w:rsid w:val="00FA78D1"/>
    <w:rsid w:val="00FA79E6"/>
    <w:rsid w:val="00FA7A1D"/>
    <w:rsid w:val="00FA7A20"/>
    <w:rsid w:val="00FA7A3E"/>
    <w:rsid w:val="00FA7A45"/>
    <w:rsid w:val="00FA7A63"/>
    <w:rsid w:val="00FA7A74"/>
    <w:rsid w:val="00FA7B24"/>
    <w:rsid w:val="00FA7B8C"/>
    <w:rsid w:val="00FA7B8F"/>
    <w:rsid w:val="00FA7BF6"/>
    <w:rsid w:val="00FA7BF9"/>
    <w:rsid w:val="00FA7C31"/>
    <w:rsid w:val="00FA7CE2"/>
    <w:rsid w:val="00FA7E22"/>
    <w:rsid w:val="00FA7F11"/>
    <w:rsid w:val="00FA7F2F"/>
    <w:rsid w:val="00FA7FCF"/>
    <w:rsid w:val="00FA9415"/>
    <w:rsid w:val="00FAD5BB"/>
    <w:rsid w:val="00FB0101"/>
    <w:rsid w:val="00FB016D"/>
    <w:rsid w:val="00FB0171"/>
    <w:rsid w:val="00FB01FC"/>
    <w:rsid w:val="00FB0351"/>
    <w:rsid w:val="00FB03B3"/>
    <w:rsid w:val="00FB0465"/>
    <w:rsid w:val="00FB0576"/>
    <w:rsid w:val="00FB0585"/>
    <w:rsid w:val="00FB05F9"/>
    <w:rsid w:val="00FB0642"/>
    <w:rsid w:val="00FB0689"/>
    <w:rsid w:val="00FB0779"/>
    <w:rsid w:val="00FB079F"/>
    <w:rsid w:val="00FB07C3"/>
    <w:rsid w:val="00FB09BF"/>
    <w:rsid w:val="00FB09E1"/>
    <w:rsid w:val="00FB0A3A"/>
    <w:rsid w:val="00FB0A51"/>
    <w:rsid w:val="00FB0AB6"/>
    <w:rsid w:val="00FB0ABD"/>
    <w:rsid w:val="00FB0AC2"/>
    <w:rsid w:val="00FB0ACE"/>
    <w:rsid w:val="00FB0BBA"/>
    <w:rsid w:val="00FB0DCE"/>
    <w:rsid w:val="00FB0DE1"/>
    <w:rsid w:val="00FB1003"/>
    <w:rsid w:val="00FB1082"/>
    <w:rsid w:val="00FB1173"/>
    <w:rsid w:val="00FB11E4"/>
    <w:rsid w:val="00FB1272"/>
    <w:rsid w:val="00FB1293"/>
    <w:rsid w:val="00FB134F"/>
    <w:rsid w:val="00FB146B"/>
    <w:rsid w:val="00FB14A2"/>
    <w:rsid w:val="00FB1532"/>
    <w:rsid w:val="00FB155A"/>
    <w:rsid w:val="00FB15F4"/>
    <w:rsid w:val="00FB164F"/>
    <w:rsid w:val="00FB169F"/>
    <w:rsid w:val="00FB17BA"/>
    <w:rsid w:val="00FB1812"/>
    <w:rsid w:val="00FB1863"/>
    <w:rsid w:val="00FB190A"/>
    <w:rsid w:val="00FB1917"/>
    <w:rsid w:val="00FB1940"/>
    <w:rsid w:val="00FB19F3"/>
    <w:rsid w:val="00FB1A22"/>
    <w:rsid w:val="00FB1AF0"/>
    <w:rsid w:val="00FB1BE4"/>
    <w:rsid w:val="00FB1C2B"/>
    <w:rsid w:val="00FB1D80"/>
    <w:rsid w:val="00FB1EA2"/>
    <w:rsid w:val="00FB2014"/>
    <w:rsid w:val="00FB20AD"/>
    <w:rsid w:val="00FB2106"/>
    <w:rsid w:val="00FB2112"/>
    <w:rsid w:val="00FB21B9"/>
    <w:rsid w:val="00FB2231"/>
    <w:rsid w:val="00FB2241"/>
    <w:rsid w:val="00FB2291"/>
    <w:rsid w:val="00FB2307"/>
    <w:rsid w:val="00FB2360"/>
    <w:rsid w:val="00FB23DA"/>
    <w:rsid w:val="00FB247A"/>
    <w:rsid w:val="00FB253A"/>
    <w:rsid w:val="00FB25DC"/>
    <w:rsid w:val="00FB2671"/>
    <w:rsid w:val="00FB26C4"/>
    <w:rsid w:val="00FB2746"/>
    <w:rsid w:val="00FB28D9"/>
    <w:rsid w:val="00FB2943"/>
    <w:rsid w:val="00FB2991"/>
    <w:rsid w:val="00FB2A40"/>
    <w:rsid w:val="00FB2A62"/>
    <w:rsid w:val="00FB2B64"/>
    <w:rsid w:val="00FB2BC4"/>
    <w:rsid w:val="00FB2C44"/>
    <w:rsid w:val="00FB2CCB"/>
    <w:rsid w:val="00FB2CE0"/>
    <w:rsid w:val="00FB2D02"/>
    <w:rsid w:val="00FB2D97"/>
    <w:rsid w:val="00FB2FF0"/>
    <w:rsid w:val="00FB3041"/>
    <w:rsid w:val="00FB30D3"/>
    <w:rsid w:val="00FB30F1"/>
    <w:rsid w:val="00FB3138"/>
    <w:rsid w:val="00FB3361"/>
    <w:rsid w:val="00FB3451"/>
    <w:rsid w:val="00FB348E"/>
    <w:rsid w:val="00FB34D7"/>
    <w:rsid w:val="00FB3522"/>
    <w:rsid w:val="00FB3595"/>
    <w:rsid w:val="00FB3687"/>
    <w:rsid w:val="00FB368A"/>
    <w:rsid w:val="00FB36A0"/>
    <w:rsid w:val="00FB3736"/>
    <w:rsid w:val="00FB37AD"/>
    <w:rsid w:val="00FB37D5"/>
    <w:rsid w:val="00FB3904"/>
    <w:rsid w:val="00FB39DF"/>
    <w:rsid w:val="00FB3AD9"/>
    <w:rsid w:val="00FB3B6C"/>
    <w:rsid w:val="00FB3BF3"/>
    <w:rsid w:val="00FB3CB0"/>
    <w:rsid w:val="00FB3CF4"/>
    <w:rsid w:val="00FB3DE3"/>
    <w:rsid w:val="00FB3E7E"/>
    <w:rsid w:val="00FB3F63"/>
    <w:rsid w:val="00FB3F7F"/>
    <w:rsid w:val="00FB3F85"/>
    <w:rsid w:val="00FB3FAA"/>
    <w:rsid w:val="00FB402C"/>
    <w:rsid w:val="00FB4064"/>
    <w:rsid w:val="00FB409B"/>
    <w:rsid w:val="00FB41A3"/>
    <w:rsid w:val="00FB4208"/>
    <w:rsid w:val="00FB4256"/>
    <w:rsid w:val="00FB4410"/>
    <w:rsid w:val="00FB441C"/>
    <w:rsid w:val="00FB449B"/>
    <w:rsid w:val="00FB456B"/>
    <w:rsid w:val="00FB46C6"/>
    <w:rsid w:val="00FB471A"/>
    <w:rsid w:val="00FB47E6"/>
    <w:rsid w:val="00FB481A"/>
    <w:rsid w:val="00FB487E"/>
    <w:rsid w:val="00FB48C9"/>
    <w:rsid w:val="00FB48F1"/>
    <w:rsid w:val="00FB4AA8"/>
    <w:rsid w:val="00FB4AE8"/>
    <w:rsid w:val="00FB4B7E"/>
    <w:rsid w:val="00FB4C64"/>
    <w:rsid w:val="00FB4CED"/>
    <w:rsid w:val="00FB4CFB"/>
    <w:rsid w:val="00FB4D28"/>
    <w:rsid w:val="00FB4D82"/>
    <w:rsid w:val="00FB4E0F"/>
    <w:rsid w:val="00FB4E4C"/>
    <w:rsid w:val="00FB4E63"/>
    <w:rsid w:val="00FB4FA0"/>
    <w:rsid w:val="00FB4FDD"/>
    <w:rsid w:val="00FB5123"/>
    <w:rsid w:val="00FB5261"/>
    <w:rsid w:val="00FB5311"/>
    <w:rsid w:val="00FB5393"/>
    <w:rsid w:val="00FB53AA"/>
    <w:rsid w:val="00FB548A"/>
    <w:rsid w:val="00FB54B6"/>
    <w:rsid w:val="00FB54FA"/>
    <w:rsid w:val="00FB5718"/>
    <w:rsid w:val="00FB578D"/>
    <w:rsid w:val="00FB5793"/>
    <w:rsid w:val="00FB589B"/>
    <w:rsid w:val="00FB5996"/>
    <w:rsid w:val="00FB59FE"/>
    <w:rsid w:val="00FB5A30"/>
    <w:rsid w:val="00FB5B31"/>
    <w:rsid w:val="00FB5B85"/>
    <w:rsid w:val="00FB5C44"/>
    <w:rsid w:val="00FB5C68"/>
    <w:rsid w:val="00FB5CAC"/>
    <w:rsid w:val="00FB5DD0"/>
    <w:rsid w:val="00FB5E49"/>
    <w:rsid w:val="00FB5EB7"/>
    <w:rsid w:val="00FB5F0C"/>
    <w:rsid w:val="00FB60AE"/>
    <w:rsid w:val="00FB6113"/>
    <w:rsid w:val="00FB611D"/>
    <w:rsid w:val="00FB6161"/>
    <w:rsid w:val="00FB61FD"/>
    <w:rsid w:val="00FB6209"/>
    <w:rsid w:val="00FB635B"/>
    <w:rsid w:val="00FB63DB"/>
    <w:rsid w:val="00FB63FF"/>
    <w:rsid w:val="00FB650C"/>
    <w:rsid w:val="00FB67A4"/>
    <w:rsid w:val="00FB67FD"/>
    <w:rsid w:val="00FB69FA"/>
    <w:rsid w:val="00FB6A67"/>
    <w:rsid w:val="00FB6B6E"/>
    <w:rsid w:val="00FB6C9C"/>
    <w:rsid w:val="00FB6D90"/>
    <w:rsid w:val="00FB6E42"/>
    <w:rsid w:val="00FB6E75"/>
    <w:rsid w:val="00FB6F5C"/>
    <w:rsid w:val="00FB6FA2"/>
    <w:rsid w:val="00FB7080"/>
    <w:rsid w:val="00FB708D"/>
    <w:rsid w:val="00FB70DA"/>
    <w:rsid w:val="00FB7121"/>
    <w:rsid w:val="00FB717C"/>
    <w:rsid w:val="00FB725E"/>
    <w:rsid w:val="00FB726E"/>
    <w:rsid w:val="00FB7271"/>
    <w:rsid w:val="00FB737F"/>
    <w:rsid w:val="00FB75C6"/>
    <w:rsid w:val="00FB75EB"/>
    <w:rsid w:val="00FB76E3"/>
    <w:rsid w:val="00FB77AC"/>
    <w:rsid w:val="00FB77F7"/>
    <w:rsid w:val="00FB7853"/>
    <w:rsid w:val="00FB78F9"/>
    <w:rsid w:val="00FB7902"/>
    <w:rsid w:val="00FB7931"/>
    <w:rsid w:val="00FB79A9"/>
    <w:rsid w:val="00FB79CC"/>
    <w:rsid w:val="00FB7A22"/>
    <w:rsid w:val="00FB7B85"/>
    <w:rsid w:val="00FB7BF9"/>
    <w:rsid w:val="00FB7C4D"/>
    <w:rsid w:val="00FB7C9B"/>
    <w:rsid w:val="00FB7CA1"/>
    <w:rsid w:val="00FB7D23"/>
    <w:rsid w:val="00FB7D4A"/>
    <w:rsid w:val="00FB7DE8"/>
    <w:rsid w:val="00FB7E04"/>
    <w:rsid w:val="00FB7E43"/>
    <w:rsid w:val="00FB7E4F"/>
    <w:rsid w:val="00FB7E9E"/>
    <w:rsid w:val="00FB7FF9"/>
    <w:rsid w:val="00FC00D6"/>
    <w:rsid w:val="00FC015B"/>
    <w:rsid w:val="00FC01DD"/>
    <w:rsid w:val="00FC0235"/>
    <w:rsid w:val="00FC025F"/>
    <w:rsid w:val="00FC0274"/>
    <w:rsid w:val="00FC029A"/>
    <w:rsid w:val="00FC02BA"/>
    <w:rsid w:val="00FC02F1"/>
    <w:rsid w:val="00FC0394"/>
    <w:rsid w:val="00FC03D3"/>
    <w:rsid w:val="00FC0404"/>
    <w:rsid w:val="00FC0589"/>
    <w:rsid w:val="00FC07A4"/>
    <w:rsid w:val="00FC07F9"/>
    <w:rsid w:val="00FC086E"/>
    <w:rsid w:val="00FC0920"/>
    <w:rsid w:val="00FC0940"/>
    <w:rsid w:val="00FC096C"/>
    <w:rsid w:val="00FC0972"/>
    <w:rsid w:val="00FC0AA4"/>
    <w:rsid w:val="00FC0EAC"/>
    <w:rsid w:val="00FC0FA4"/>
    <w:rsid w:val="00FC10D8"/>
    <w:rsid w:val="00FC129D"/>
    <w:rsid w:val="00FC139A"/>
    <w:rsid w:val="00FC14C1"/>
    <w:rsid w:val="00FC14F7"/>
    <w:rsid w:val="00FC153E"/>
    <w:rsid w:val="00FC155A"/>
    <w:rsid w:val="00FC1566"/>
    <w:rsid w:val="00FC159B"/>
    <w:rsid w:val="00FC1618"/>
    <w:rsid w:val="00FC1850"/>
    <w:rsid w:val="00FC1945"/>
    <w:rsid w:val="00FC19A9"/>
    <w:rsid w:val="00FC19C6"/>
    <w:rsid w:val="00FC1A1E"/>
    <w:rsid w:val="00FC1A3C"/>
    <w:rsid w:val="00FC1A71"/>
    <w:rsid w:val="00FC1A76"/>
    <w:rsid w:val="00FC1B23"/>
    <w:rsid w:val="00FC1B2A"/>
    <w:rsid w:val="00FC1B9F"/>
    <w:rsid w:val="00FC1BDC"/>
    <w:rsid w:val="00FC1C86"/>
    <w:rsid w:val="00FC1C8C"/>
    <w:rsid w:val="00FC1CF3"/>
    <w:rsid w:val="00FC1D2C"/>
    <w:rsid w:val="00FC1EF2"/>
    <w:rsid w:val="00FC1FF8"/>
    <w:rsid w:val="00FC2042"/>
    <w:rsid w:val="00FC2126"/>
    <w:rsid w:val="00FC218F"/>
    <w:rsid w:val="00FC21BB"/>
    <w:rsid w:val="00FC2241"/>
    <w:rsid w:val="00FC232E"/>
    <w:rsid w:val="00FC2363"/>
    <w:rsid w:val="00FC2725"/>
    <w:rsid w:val="00FC28D2"/>
    <w:rsid w:val="00FC2A6D"/>
    <w:rsid w:val="00FC2ACE"/>
    <w:rsid w:val="00FC2AD4"/>
    <w:rsid w:val="00FC2B15"/>
    <w:rsid w:val="00FC2B26"/>
    <w:rsid w:val="00FC2BB3"/>
    <w:rsid w:val="00FC2C3F"/>
    <w:rsid w:val="00FC2E05"/>
    <w:rsid w:val="00FC2E7C"/>
    <w:rsid w:val="00FC2E87"/>
    <w:rsid w:val="00FC2FC0"/>
    <w:rsid w:val="00FC30DC"/>
    <w:rsid w:val="00FC30F0"/>
    <w:rsid w:val="00FC31BE"/>
    <w:rsid w:val="00FC31C6"/>
    <w:rsid w:val="00FC32F7"/>
    <w:rsid w:val="00FC338F"/>
    <w:rsid w:val="00FC346C"/>
    <w:rsid w:val="00FC3492"/>
    <w:rsid w:val="00FC34DC"/>
    <w:rsid w:val="00FC3602"/>
    <w:rsid w:val="00FC3740"/>
    <w:rsid w:val="00FC3882"/>
    <w:rsid w:val="00FC3898"/>
    <w:rsid w:val="00FC38E4"/>
    <w:rsid w:val="00FC3A2E"/>
    <w:rsid w:val="00FC3A71"/>
    <w:rsid w:val="00FC3A74"/>
    <w:rsid w:val="00FC3ABC"/>
    <w:rsid w:val="00FC3B4E"/>
    <w:rsid w:val="00FC3D69"/>
    <w:rsid w:val="00FC3DAD"/>
    <w:rsid w:val="00FC3E46"/>
    <w:rsid w:val="00FC3EFA"/>
    <w:rsid w:val="00FC3F06"/>
    <w:rsid w:val="00FC41BB"/>
    <w:rsid w:val="00FC41FB"/>
    <w:rsid w:val="00FC42DA"/>
    <w:rsid w:val="00FC438A"/>
    <w:rsid w:val="00FC43C0"/>
    <w:rsid w:val="00FC43C4"/>
    <w:rsid w:val="00FC4459"/>
    <w:rsid w:val="00FC4474"/>
    <w:rsid w:val="00FC449D"/>
    <w:rsid w:val="00FC454C"/>
    <w:rsid w:val="00FC4565"/>
    <w:rsid w:val="00FC46A9"/>
    <w:rsid w:val="00FC4817"/>
    <w:rsid w:val="00FC4964"/>
    <w:rsid w:val="00FC4A2E"/>
    <w:rsid w:val="00FC4A4A"/>
    <w:rsid w:val="00FC4ABC"/>
    <w:rsid w:val="00FC4ADE"/>
    <w:rsid w:val="00FC4B8B"/>
    <w:rsid w:val="00FC4BD3"/>
    <w:rsid w:val="00FC4CA6"/>
    <w:rsid w:val="00FC4D53"/>
    <w:rsid w:val="00FC4E11"/>
    <w:rsid w:val="00FC4E13"/>
    <w:rsid w:val="00FC4E7A"/>
    <w:rsid w:val="00FC4F73"/>
    <w:rsid w:val="00FC518F"/>
    <w:rsid w:val="00FC524D"/>
    <w:rsid w:val="00FC53AA"/>
    <w:rsid w:val="00FC53AF"/>
    <w:rsid w:val="00FC53B2"/>
    <w:rsid w:val="00FC53B7"/>
    <w:rsid w:val="00FC53F9"/>
    <w:rsid w:val="00FC5425"/>
    <w:rsid w:val="00FC546C"/>
    <w:rsid w:val="00FC54A7"/>
    <w:rsid w:val="00FC5512"/>
    <w:rsid w:val="00FC563B"/>
    <w:rsid w:val="00FC5739"/>
    <w:rsid w:val="00FC5770"/>
    <w:rsid w:val="00FC5835"/>
    <w:rsid w:val="00FC58AC"/>
    <w:rsid w:val="00FC598F"/>
    <w:rsid w:val="00FC59AB"/>
    <w:rsid w:val="00FC59B1"/>
    <w:rsid w:val="00FC5A34"/>
    <w:rsid w:val="00FC5A39"/>
    <w:rsid w:val="00FC5C4C"/>
    <w:rsid w:val="00FC5C5D"/>
    <w:rsid w:val="00FC5C62"/>
    <w:rsid w:val="00FC5C88"/>
    <w:rsid w:val="00FC5CC1"/>
    <w:rsid w:val="00FC5CE9"/>
    <w:rsid w:val="00FC5D62"/>
    <w:rsid w:val="00FC5EBE"/>
    <w:rsid w:val="00FC5EF5"/>
    <w:rsid w:val="00FC5F7D"/>
    <w:rsid w:val="00FC5F8F"/>
    <w:rsid w:val="00FC5FBF"/>
    <w:rsid w:val="00FC609D"/>
    <w:rsid w:val="00FC6180"/>
    <w:rsid w:val="00FC62BC"/>
    <w:rsid w:val="00FC630A"/>
    <w:rsid w:val="00FC6362"/>
    <w:rsid w:val="00FC6395"/>
    <w:rsid w:val="00FC63FE"/>
    <w:rsid w:val="00FC642F"/>
    <w:rsid w:val="00FC6483"/>
    <w:rsid w:val="00FC64A1"/>
    <w:rsid w:val="00FC6564"/>
    <w:rsid w:val="00FC65EA"/>
    <w:rsid w:val="00FC661E"/>
    <w:rsid w:val="00FC662C"/>
    <w:rsid w:val="00FC6637"/>
    <w:rsid w:val="00FC666B"/>
    <w:rsid w:val="00FC66F6"/>
    <w:rsid w:val="00FC68B7"/>
    <w:rsid w:val="00FC6926"/>
    <w:rsid w:val="00FC6ACE"/>
    <w:rsid w:val="00FC6B4B"/>
    <w:rsid w:val="00FC6BF5"/>
    <w:rsid w:val="00FC6CB5"/>
    <w:rsid w:val="00FC6DD3"/>
    <w:rsid w:val="00FC6DDA"/>
    <w:rsid w:val="00FC6E64"/>
    <w:rsid w:val="00FC6ECC"/>
    <w:rsid w:val="00FC6F35"/>
    <w:rsid w:val="00FC6FAE"/>
    <w:rsid w:val="00FC7005"/>
    <w:rsid w:val="00FC7053"/>
    <w:rsid w:val="00FC7069"/>
    <w:rsid w:val="00FC70FB"/>
    <w:rsid w:val="00FC7147"/>
    <w:rsid w:val="00FC74B4"/>
    <w:rsid w:val="00FC74FB"/>
    <w:rsid w:val="00FC7589"/>
    <w:rsid w:val="00FC762C"/>
    <w:rsid w:val="00FC764C"/>
    <w:rsid w:val="00FC7685"/>
    <w:rsid w:val="00FC76C1"/>
    <w:rsid w:val="00FC7726"/>
    <w:rsid w:val="00FC77AB"/>
    <w:rsid w:val="00FC77FC"/>
    <w:rsid w:val="00FC7900"/>
    <w:rsid w:val="00FC7911"/>
    <w:rsid w:val="00FC7A25"/>
    <w:rsid w:val="00FC7B13"/>
    <w:rsid w:val="00FC7BC0"/>
    <w:rsid w:val="00FC7E14"/>
    <w:rsid w:val="00FC7E5B"/>
    <w:rsid w:val="00FC7EF8"/>
    <w:rsid w:val="00FC7FEB"/>
    <w:rsid w:val="00FD0032"/>
    <w:rsid w:val="00FD003A"/>
    <w:rsid w:val="00FD008A"/>
    <w:rsid w:val="00FD0117"/>
    <w:rsid w:val="00FD01A8"/>
    <w:rsid w:val="00FD01C9"/>
    <w:rsid w:val="00FD0272"/>
    <w:rsid w:val="00FD02BA"/>
    <w:rsid w:val="00FD02F2"/>
    <w:rsid w:val="00FD0310"/>
    <w:rsid w:val="00FD0335"/>
    <w:rsid w:val="00FD047F"/>
    <w:rsid w:val="00FD054C"/>
    <w:rsid w:val="00FD080E"/>
    <w:rsid w:val="00FD082A"/>
    <w:rsid w:val="00FD085B"/>
    <w:rsid w:val="00FD0891"/>
    <w:rsid w:val="00FD08D7"/>
    <w:rsid w:val="00FD0B43"/>
    <w:rsid w:val="00FD0B51"/>
    <w:rsid w:val="00FD0BC1"/>
    <w:rsid w:val="00FD0C15"/>
    <w:rsid w:val="00FD0DB9"/>
    <w:rsid w:val="00FD0DD7"/>
    <w:rsid w:val="00FD0E12"/>
    <w:rsid w:val="00FD0ED5"/>
    <w:rsid w:val="00FD0ED6"/>
    <w:rsid w:val="00FD0FD1"/>
    <w:rsid w:val="00FD0FFC"/>
    <w:rsid w:val="00FD1055"/>
    <w:rsid w:val="00FD10E8"/>
    <w:rsid w:val="00FD1129"/>
    <w:rsid w:val="00FD1160"/>
    <w:rsid w:val="00FD12A6"/>
    <w:rsid w:val="00FD1330"/>
    <w:rsid w:val="00FD13AA"/>
    <w:rsid w:val="00FD1689"/>
    <w:rsid w:val="00FD168C"/>
    <w:rsid w:val="00FD16A5"/>
    <w:rsid w:val="00FD1745"/>
    <w:rsid w:val="00FD17FD"/>
    <w:rsid w:val="00FD184E"/>
    <w:rsid w:val="00FD1859"/>
    <w:rsid w:val="00FD185D"/>
    <w:rsid w:val="00FD18B9"/>
    <w:rsid w:val="00FD19CE"/>
    <w:rsid w:val="00FD19DD"/>
    <w:rsid w:val="00FD1C95"/>
    <w:rsid w:val="00FD1CB3"/>
    <w:rsid w:val="00FD1CDC"/>
    <w:rsid w:val="00FD1D02"/>
    <w:rsid w:val="00FD1D40"/>
    <w:rsid w:val="00FD1DA8"/>
    <w:rsid w:val="00FD1DB5"/>
    <w:rsid w:val="00FD1DD3"/>
    <w:rsid w:val="00FD1DDB"/>
    <w:rsid w:val="00FD1E16"/>
    <w:rsid w:val="00FD1E1A"/>
    <w:rsid w:val="00FD1E53"/>
    <w:rsid w:val="00FD1E91"/>
    <w:rsid w:val="00FD1E94"/>
    <w:rsid w:val="00FD20C8"/>
    <w:rsid w:val="00FD2121"/>
    <w:rsid w:val="00FD224B"/>
    <w:rsid w:val="00FD228A"/>
    <w:rsid w:val="00FD22D8"/>
    <w:rsid w:val="00FD22DB"/>
    <w:rsid w:val="00FD232C"/>
    <w:rsid w:val="00FD241B"/>
    <w:rsid w:val="00FD2436"/>
    <w:rsid w:val="00FD2471"/>
    <w:rsid w:val="00FD2478"/>
    <w:rsid w:val="00FD257E"/>
    <w:rsid w:val="00FD258E"/>
    <w:rsid w:val="00FD25D1"/>
    <w:rsid w:val="00FD25D5"/>
    <w:rsid w:val="00FD2600"/>
    <w:rsid w:val="00FD27B4"/>
    <w:rsid w:val="00FD27C6"/>
    <w:rsid w:val="00FD28FC"/>
    <w:rsid w:val="00FD2ABE"/>
    <w:rsid w:val="00FD2CBD"/>
    <w:rsid w:val="00FD2DF7"/>
    <w:rsid w:val="00FD2E12"/>
    <w:rsid w:val="00FD2E9A"/>
    <w:rsid w:val="00FD2EDE"/>
    <w:rsid w:val="00FD3045"/>
    <w:rsid w:val="00FD305E"/>
    <w:rsid w:val="00FD316D"/>
    <w:rsid w:val="00FD32A1"/>
    <w:rsid w:val="00FD330C"/>
    <w:rsid w:val="00FD3421"/>
    <w:rsid w:val="00FD3447"/>
    <w:rsid w:val="00FD3448"/>
    <w:rsid w:val="00FD35EA"/>
    <w:rsid w:val="00FD35F4"/>
    <w:rsid w:val="00FD3739"/>
    <w:rsid w:val="00FD37F0"/>
    <w:rsid w:val="00FD3962"/>
    <w:rsid w:val="00FD396D"/>
    <w:rsid w:val="00FD39C9"/>
    <w:rsid w:val="00FD3CE9"/>
    <w:rsid w:val="00FD3D5D"/>
    <w:rsid w:val="00FD4079"/>
    <w:rsid w:val="00FD40C2"/>
    <w:rsid w:val="00FD4109"/>
    <w:rsid w:val="00FD4383"/>
    <w:rsid w:val="00FD4443"/>
    <w:rsid w:val="00FD4506"/>
    <w:rsid w:val="00FD4604"/>
    <w:rsid w:val="00FD4613"/>
    <w:rsid w:val="00FD475F"/>
    <w:rsid w:val="00FD4865"/>
    <w:rsid w:val="00FD492F"/>
    <w:rsid w:val="00FD497D"/>
    <w:rsid w:val="00FD49D3"/>
    <w:rsid w:val="00FD4A2F"/>
    <w:rsid w:val="00FD4AD7"/>
    <w:rsid w:val="00FD4B53"/>
    <w:rsid w:val="00FD4BA3"/>
    <w:rsid w:val="00FD4BB9"/>
    <w:rsid w:val="00FD4BC9"/>
    <w:rsid w:val="00FD4BD5"/>
    <w:rsid w:val="00FD4D22"/>
    <w:rsid w:val="00FD4E2B"/>
    <w:rsid w:val="00FD4EFE"/>
    <w:rsid w:val="00FD4FB2"/>
    <w:rsid w:val="00FD52A1"/>
    <w:rsid w:val="00FD52D8"/>
    <w:rsid w:val="00FD5319"/>
    <w:rsid w:val="00FD5340"/>
    <w:rsid w:val="00FD53A9"/>
    <w:rsid w:val="00FD543B"/>
    <w:rsid w:val="00FD5503"/>
    <w:rsid w:val="00FD5587"/>
    <w:rsid w:val="00FD56A8"/>
    <w:rsid w:val="00FD56BB"/>
    <w:rsid w:val="00FD5732"/>
    <w:rsid w:val="00FD5826"/>
    <w:rsid w:val="00FD58FD"/>
    <w:rsid w:val="00FD5A02"/>
    <w:rsid w:val="00FD5A0F"/>
    <w:rsid w:val="00FD5A29"/>
    <w:rsid w:val="00FD5AB2"/>
    <w:rsid w:val="00FD5B2D"/>
    <w:rsid w:val="00FD5B3C"/>
    <w:rsid w:val="00FD5C0F"/>
    <w:rsid w:val="00FD5C30"/>
    <w:rsid w:val="00FD5E24"/>
    <w:rsid w:val="00FD5E39"/>
    <w:rsid w:val="00FD5EA4"/>
    <w:rsid w:val="00FD5EA9"/>
    <w:rsid w:val="00FD5EEE"/>
    <w:rsid w:val="00FD5F58"/>
    <w:rsid w:val="00FD613C"/>
    <w:rsid w:val="00FD61FE"/>
    <w:rsid w:val="00FD6289"/>
    <w:rsid w:val="00FD62B4"/>
    <w:rsid w:val="00FD63A3"/>
    <w:rsid w:val="00FD63EB"/>
    <w:rsid w:val="00FD656B"/>
    <w:rsid w:val="00FD658A"/>
    <w:rsid w:val="00FD65BA"/>
    <w:rsid w:val="00FD65FD"/>
    <w:rsid w:val="00FD671C"/>
    <w:rsid w:val="00FD67BB"/>
    <w:rsid w:val="00FD67E8"/>
    <w:rsid w:val="00FD686A"/>
    <w:rsid w:val="00FD6879"/>
    <w:rsid w:val="00FD697C"/>
    <w:rsid w:val="00FD69FC"/>
    <w:rsid w:val="00FD6A97"/>
    <w:rsid w:val="00FD6AB5"/>
    <w:rsid w:val="00FD6AE1"/>
    <w:rsid w:val="00FD6B46"/>
    <w:rsid w:val="00FD6B53"/>
    <w:rsid w:val="00FD6D47"/>
    <w:rsid w:val="00FD6E03"/>
    <w:rsid w:val="00FD6EEF"/>
    <w:rsid w:val="00FD6EFB"/>
    <w:rsid w:val="00FD6F33"/>
    <w:rsid w:val="00FD6F3D"/>
    <w:rsid w:val="00FD6F4E"/>
    <w:rsid w:val="00FD6F89"/>
    <w:rsid w:val="00FD704F"/>
    <w:rsid w:val="00FD708F"/>
    <w:rsid w:val="00FD7184"/>
    <w:rsid w:val="00FD719D"/>
    <w:rsid w:val="00FD71FB"/>
    <w:rsid w:val="00FD729B"/>
    <w:rsid w:val="00FD7304"/>
    <w:rsid w:val="00FD7392"/>
    <w:rsid w:val="00FD73D6"/>
    <w:rsid w:val="00FD74A6"/>
    <w:rsid w:val="00FD74DD"/>
    <w:rsid w:val="00FD757D"/>
    <w:rsid w:val="00FD76DF"/>
    <w:rsid w:val="00FD76F7"/>
    <w:rsid w:val="00FD771E"/>
    <w:rsid w:val="00FD777C"/>
    <w:rsid w:val="00FD7962"/>
    <w:rsid w:val="00FD79F9"/>
    <w:rsid w:val="00FD7B71"/>
    <w:rsid w:val="00FD7BBB"/>
    <w:rsid w:val="00FD7BCF"/>
    <w:rsid w:val="00FD7C53"/>
    <w:rsid w:val="00FD7C82"/>
    <w:rsid w:val="00FD7D13"/>
    <w:rsid w:val="00FD7D40"/>
    <w:rsid w:val="00FD7D7F"/>
    <w:rsid w:val="00FD7E70"/>
    <w:rsid w:val="00FD7EB1"/>
    <w:rsid w:val="00FD7EB6"/>
    <w:rsid w:val="00FD7F5F"/>
    <w:rsid w:val="00FD7FAC"/>
    <w:rsid w:val="00FE0016"/>
    <w:rsid w:val="00FE0080"/>
    <w:rsid w:val="00FE00EC"/>
    <w:rsid w:val="00FE012C"/>
    <w:rsid w:val="00FE019D"/>
    <w:rsid w:val="00FE0257"/>
    <w:rsid w:val="00FE027C"/>
    <w:rsid w:val="00FE02C8"/>
    <w:rsid w:val="00FE0309"/>
    <w:rsid w:val="00FE049C"/>
    <w:rsid w:val="00FE04AB"/>
    <w:rsid w:val="00FE0537"/>
    <w:rsid w:val="00FE060B"/>
    <w:rsid w:val="00FE0722"/>
    <w:rsid w:val="00FE0763"/>
    <w:rsid w:val="00FE082C"/>
    <w:rsid w:val="00FE0857"/>
    <w:rsid w:val="00FE0A00"/>
    <w:rsid w:val="00FE0A83"/>
    <w:rsid w:val="00FE0B2F"/>
    <w:rsid w:val="00FE0BE0"/>
    <w:rsid w:val="00FE0BFC"/>
    <w:rsid w:val="00FE0C11"/>
    <w:rsid w:val="00FE0C64"/>
    <w:rsid w:val="00FE0CE7"/>
    <w:rsid w:val="00FE0E3F"/>
    <w:rsid w:val="00FE0F32"/>
    <w:rsid w:val="00FE0F47"/>
    <w:rsid w:val="00FE10B1"/>
    <w:rsid w:val="00FE118C"/>
    <w:rsid w:val="00FE11DD"/>
    <w:rsid w:val="00FE1248"/>
    <w:rsid w:val="00FE12AE"/>
    <w:rsid w:val="00FE12F8"/>
    <w:rsid w:val="00FE1590"/>
    <w:rsid w:val="00FE15A1"/>
    <w:rsid w:val="00FE1606"/>
    <w:rsid w:val="00FE168E"/>
    <w:rsid w:val="00FE1708"/>
    <w:rsid w:val="00FE17A3"/>
    <w:rsid w:val="00FE18F7"/>
    <w:rsid w:val="00FE192A"/>
    <w:rsid w:val="00FE1A30"/>
    <w:rsid w:val="00FE1AC8"/>
    <w:rsid w:val="00FE1B43"/>
    <w:rsid w:val="00FE1B45"/>
    <w:rsid w:val="00FE1B51"/>
    <w:rsid w:val="00FE1C09"/>
    <w:rsid w:val="00FE1DD3"/>
    <w:rsid w:val="00FE1E78"/>
    <w:rsid w:val="00FE20B2"/>
    <w:rsid w:val="00FE20C2"/>
    <w:rsid w:val="00FE211C"/>
    <w:rsid w:val="00FE218C"/>
    <w:rsid w:val="00FE21DF"/>
    <w:rsid w:val="00FE2295"/>
    <w:rsid w:val="00FE22A0"/>
    <w:rsid w:val="00FE24E3"/>
    <w:rsid w:val="00FE25A0"/>
    <w:rsid w:val="00FE26B3"/>
    <w:rsid w:val="00FE26C7"/>
    <w:rsid w:val="00FE26EA"/>
    <w:rsid w:val="00FE27B1"/>
    <w:rsid w:val="00FE2A87"/>
    <w:rsid w:val="00FE2BC7"/>
    <w:rsid w:val="00FE2BFA"/>
    <w:rsid w:val="00FE2DBA"/>
    <w:rsid w:val="00FE2E04"/>
    <w:rsid w:val="00FE2E3A"/>
    <w:rsid w:val="00FE2E99"/>
    <w:rsid w:val="00FE307A"/>
    <w:rsid w:val="00FE313B"/>
    <w:rsid w:val="00FE31D2"/>
    <w:rsid w:val="00FE329B"/>
    <w:rsid w:val="00FE3307"/>
    <w:rsid w:val="00FE3310"/>
    <w:rsid w:val="00FE33A3"/>
    <w:rsid w:val="00FE34EB"/>
    <w:rsid w:val="00FE3557"/>
    <w:rsid w:val="00FE3567"/>
    <w:rsid w:val="00FE357D"/>
    <w:rsid w:val="00FE358E"/>
    <w:rsid w:val="00FE35BD"/>
    <w:rsid w:val="00FE37F6"/>
    <w:rsid w:val="00FE3832"/>
    <w:rsid w:val="00FE3852"/>
    <w:rsid w:val="00FE3882"/>
    <w:rsid w:val="00FE38BB"/>
    <w:rsid w:val="00FE394D"/>
    <w:rsid w:val="00FE39AD"/>
    <w:rsid w:val="00FE3B1D"/>
    <w:rsid w:val="00FE3B57"/>
    <w:rsid w:val="00FE3C12"/>
    <w:rsid w:val="00FE3D1A"/>
    <w:rsid w:val="00FE3D94"/>
    <w:rsid w:val="00FE3E3D"/>
    <w:rsid w:val="00FE3EC7"/>
    <w:rsid w:val="00FE3FA6"/>
    <w:rsid w:val="00FE3FC9"/>
    <w:rsid w:val="00FE4058"/>
    <w:rsid w:val="00FE40B9"/>
    <w:rsid w:val="00FE4182"/>
    <w:rsid w:val="00FE4229"/>
    <w:rsid w:val="00FE42D4"/>
    <w:rsid w:val="00FE43C4"/>
    <w:rsid w:val="00FE45E4"/>
    <w:rsid w:val="00FE46A3"/>
    <w:rsid w:val="00FE46E1"/>
    <w:rsid w:val="00FE4703"/>
    <w:rsid w:val="00FE4731"/>
    <w:rsid w:val="00FE4742"/>
    <w:rsid w:val="00FE478A"/>
    <w:rsid w:val="00FE48EF"/>
    <w:rsid w:val="00FE4923"/>
    <w:rsid w:val="00FE4974"/>
    <w:rsid w:val="00FE4A75"/>
    <w:rsid w:val="00FE4BE1"/>
    <w:rsid w:val="00FE4C27"/>
    <w:rsid w:val="00FE4CEA"/>
    <w:rsid w:val="00FE4D10"/>
    <w:rsid w:val="00FE4D1B"/>
    <w:rsid w:val="00FE4D91"/>
    <w:rsid w:val="00FE4DBB"/>
    <w:rsid w:val="00FE4E23"/>
    <w:rsid w:val="00FE4F9D"/>
    <w:rsid w:val="00FE505F"/>
    <w:rsid w:val="00FE508A"/>
    <w:rsid w:val="00FE5165"/>
    <w:rsid w:val="00FE5184"/>
    <w:rsid w:val="00FE5248"/>
    <w:rsid w:val="00FE5277"/>
    <w:rsid w:val="00FE52BD"/>
    <w:rsid w:val="00FE5414"/>
    <w:rsid w:val="00FE5535"/>
    <w:rsid w:val="00FE558E"/>
    <w:rsid w:val="00FE5647"/>
    <w:rsid w:val="00FE5662"/>
    <w:rsid w:val="00FE56B7"/>
    <w:rsid w:val="00FE5750"/>
    <w:rsid w:val="00FE5757"/>
    <w:rsid w:val="00FE57B8"/>
    <w:rsid w:val="00FE58EE"/>
    <w:rsid w:val="00FE58FA"/>
    <w:rsid w:val="00FE59BE"/>
    <w:rsid w:val="00FE5A07"/>
    <w:rsid w:val="00FE5A31"/>
    <w:rsid w:val="00FE5AA0"/>
    <w:rsid w:val="00FE5B64"/>
    <w:rsid w:val="00FE5BA7"/>
    <w:rsid w:val="00FE5BD7"/>
    <w:rsid w:val="00FE5C1D"/>
    <w:rsid w:val="00FE5C94"/>
    <w:rsid w:val="00FE5CBA"/>
    <w:rsid w:val="00FE5D95"/>
    <w:rsid w:val="00FE5DDC"/>
    <w:rsid w:val="00FE5E9A"/>
    <w:rsid w:val="00FE5EDA"/>
    <w:rsid w:val="00FE5F03"/>
    <w:rsid w:val="00FE5F44"/>
    <w:rsid w:val="00FE5FD2"/>
    <w:rsid w:val="00FE603F"/>
    <w:rsid w:val="00FE623C"/>
    <w:rsid w:val="00FE6511"/>
    <w:rsid w:val="00FE65F3"/>
    <w:rsid w:val="00FE6748"/>
    <w:rsid w:val="00FE6761"/>
    <w:rsid w:val="00FE680A"/>
    <w:rsid w:val="00FE6901"/>
    <w:rsid w:val="00FE6958"/>
    <w:rsid w:val="00FE6B19"/>
    <w:rsid w:val="00FE6B2A"/>
    <w:rsid w:val="00FE6BCD"/>
    <w:rsid w:val="00FE6C04"/>
    <w:rsid w:val="00FE6CE6"/>
    <w:rsid w:val="00FE6D34"/>
    <w:rsid w:val="00FE6F09"/>
    <w:rsid w:val="00FE6F49"/>
    <w:rsid w:val="00FE6F53"/>
    <w:rsid w:val="00FE6F5E"/>
    <w:rsid w:val="00FE6FD3"/>
    <w:rsid w:val="00FE7138"/>
    <w:rsid w:val="00FE7214"/>
    <w:rsid w:val="00FE732B"/>
    <w:rsid w:val="00FE73C0"/>
    <w:rsid w:val="00FE73F0"/>
    <w:rsid w:val="00FE740F"/>
    <w:rsid w:val="00FE74B9"/>
    <w:rsid w:val="00FE7561"/>
    <w:rsid w:val="00FE7744"/>
    <w:rsid w:val="00FE7760"/>
    <w:rsid w:val="00FE7769"/>
    <w:rsid w:val="00FE778B"/>
    <w:rsid w:val="00FE77BD"/>
    <w:rsid w:val="00FE7814"/>
    <w:rsid w:val="00FE7912"/>
    <w:rsid w:val="00FE7931"/>
    <w:rsid w:val="00FE79F4"/>
    <w:rsid w:val="00FE7A11"/>
    <w:rsid w:val="00FE7A7F"/>
    <w:rsid w:val="00FE7B76"/>
    <w:rsid w:val="00FE7B86"/>
    <w:rsid w:val="00FE7BF2"/>
    <w:rsid w:val="00FE7D95"/>
    <w:rsid w:val="00FE7DA6"/>
    <w:rsid w:val="00FE7DC8"/>
    <w:rsid w:val="00FE7E34"/>
    <w:rsid w:val="00FE7EBF"/>
    <w:rsid w:val="00FE7F14"/>
    <w:rsid w:val="00FE7F3C"/>
    <w:rsid w:val="00FF0026"/>
    <w:rsid w:val="00FF002D"/>
    <w:rsid w:val="00FF003A"/>
    <w:rsid w:val="00FF015A"/>
    <w:rsid w:val="00FF017A"/>
    <w:rsid w:val="00FF018F"/>
    <w:rsid w:val="00FF023C"/>
    <w:rsid w:val="00FF0345"/>
    <w:rsid w:val="00FF03E8"/>
    <w:rsid w:val="00FF03F5"/>
    <w:rsid w:val="00FF0434"/>
    <w:rsid w:val="00FF066F"/>
    <w:rsid w:val="00FF06D9"/>
    <w:rsid w:val="00FF0834"/>
    <w:rsid w:val="00FF085F"/>
    <w:rsid w:val="00FF08DE"/>
    <w:rsid w:val="00FF0AA9"/>
    <w:rsid w:val="00FF0B14"/>
    <w:rsid w:val="00FF0B5F"/>
    <w:rsid w:val="00FF0C1C"/>
    <w:rsid w:val="00FF0C24"/>
    <w:rsid w:val="00FF0CB6"/>
    <w:rsid w:val="00FF0D18"/>
    <w:rsid w:val="00FF0EF4"/>
    <w:rsid w:val="00FF0F86"/>
    <w:rsid w:val="00FF10E8"/>
    <w:rsid w:val="00FF10EA"/>
    <w:rsid w:val="00FF114F"/>
    <w:rsid w:val="00FF120D"/>
    <w:rsid w:val="00FF121C"/>
    <w:rsid w:val="00FF1220"/>
    <w:rsid w:val="00FF122B"/>
    <w:rsid w:val="00FF1244"/>
    <w:rsid w:val="00FF12CF"/>
    <w:rsid w:val="00FF1398"/>
    <w:rsid w:val="00FF1484"/>
    <w:rsid w:val="00FF14F3"/>
    <w:rsid w:val="00FF15CB"/>
    <w:rsid w:val="00FF1731"/>
    <w:rsid w:val="00FF1778"/>
    <w:rsid w:val="00FF1792"/>
    <w:rsid w:val="00FF1854"/>
    <w:rsid w:val="00FF19CA"/>
    <w:rsid w:val="00FF1A4B"/>
    <w:rsid w:val="00FF1BB5"/>
    <w:rsid w:val="00FF1C89"/>
    <w:rsid w:val="00FF1CAF"/>
    <w:rsid w:val="00FF1D4B"/>
    <w:rsid w:val="00FF1D64"/>
    <w:rsid w:val="00FF1D73"/>
    <w:rsid w:val="00FF1D9C"/>
    <w:rsid w:val="00FF1E37"/>
    <w:rsid w:val="00FF1E70"/>
    <w:rsid w:val="00FF1ED7"/>
    <w:rsid w:val="00FF1FC0"/>
    <w:rsid w:val="00FF1FEF"/>
    <w:rsid w:val="00FF21D6"/>
    <w:rsid w:val="00FF22E1"/>
    <w:rsid w:val="00FF22F9"/>
    <w:rsid w:val="00FF23D7"/>
    <w:rsid w:val="00FF2491"/>
    <w:rsid w:val="00FF24DC"/>
    <w:rsid w:val="00FF251D"/>
    <w:rsid w:val="00FF254E"/>
    <w:rsid w:val="00FF2593"/>
    <w:rsid w:val="00FF265A"/>
    <w:rsid w:val="00FF265C"/>
    <w:rsid w:val="00FF2774"/>
    <w:rsid w:val="00FF27C7"/>
    <w:rsid w:val="00FF28AA"/>
    <w:rsid w:val="00FF28AE"/>
    <w:rsid w:val="00FF2911"/>
    <w:rsid w:val="00FF2974"/>
    <w:rsid w:val="00FF299A"/>
    <w:rsid w:val="00FF2AF0"/>
    <w:rsid w:val="00FF2BA5"/>
    <w:rsid w:val="00FF2BA8"/>
    <w:rsid w:val="00FF2C71"/>
    <w:rsid w:val="00FF2C80"/>
    <w:rsid w:val="00FF2CEE"/>
    <w:rsid w:val="00FF2D5F"/>
    <w:rsid w:val="00FF2DD5"/>
    <w:rsid w:val="00FF2DFA"/>
    <w:rsid w:val="00FF2F0C"/>
    <w:rsid w:val="00FF2F75"/>
    <w:rsid w:val="00FF3031"/>
    <w:rsid w:val="00FF309E"/>
    <w:rsid w:val="00FF30A4"/>
    <w:rsid w:val="00FF30D6"/>
    <w:rsid w:val="00FF3104"/>
    <w:rsid w:val="00FF31B3"/>
    <w:rsid w:val="00FF320F"/>
    <w:rsid w:val="00FF32A6"/>
    <w:rsid w:val="00FF32B9"/>
    <w:rsid w:val="00FF344D"/>
    <w:rsid w:val="00FF34E5"/>
    <w:rsid w:val="00FF352A"/>
    <w:rsid w:val="00FF357E"/>
    <w:rsid w:val="00FF3602"/>
    <w:rsid w:val="00FF365A"/>
    <w:rsid w:val="00FF377B"/>
    <w:rsid w:val="00FF38CB"/>
    <w:rsid w:val="00FF38DF"/>
    <w:rsid w:val="00FF38FB"/>
    <w:rsid w:val="00FF398B"/>
    <w:rsid w:val="00FF3A43"/>
    <w:rsid w:val="00FF3A83"/>
    <w:rsid w:val="00FF3CB5"/>
    <w:rsid w:val="00FF3CE2"/>
    <w:rsid w:val="00FF3E5C"/>
    <w:rsid w:val="00FF3EAE"/>
    <w:rsid w:val="00FF3FBC"/>
    <w:rsid w:val="00FF3FBD"/>
    <w:rsid w:val="00FF3FFF"/>
    <w:rsid w:val="00FF4003"/>
    <w:rsid w:val="00FF406A"/>
    <w:rsid w:val="00FF4094"/>
    <w:rsid w:val="00FF412B"/>
    <w:rsid w:val="00FF414A"/>
    <w:rsid w:val="00FF4222"/>
    <w:rsid w:val="00FF42BB"/>
    <w:rsid w:val="00FF4321"/>
    <w:rsid w:val="00FF43A5"/>
    <w:rsid w:val="00FF4499"/>
    <w:rsid w:val="00FF44F1"/>
    <w:rsid w:val="00FF4537"/>
    <w:rsid w:val="00FF4556"/>
    <w:rsid w:val="00FF4726"/>
    <w:rsid w:val="00FF472A"/>
    <w:rsid w:val="00FF4832"/>
    <w:rsid w:val="00FF4888"/>
    <w:rsid w:val="00FF48AA"/>
    <w:rsid w:val="00FF4A7F"/>
    <w:rsid w:val="00FF4B3B"/>
    <w:rsid w:val="00FF4B66"/>
    <w:rsid w:val="00FF4BD6"/>
    <w:rsid w:val="00FF4CAE"/>
    <w:rsid w:val="00FF4DE6"/>
    <w:rsid w:val="00FF4FD0"/>
    <w:rsid w:val="00FF4FD5"/>
    <w:rsid w:val="00FF5045"/>
    <w:rsid w:val="00FF507D"/>
    <w:rsid w:val="00FF51BC"/>
    <w:rsid w:val="00FF5200"/>
    <w:rsid w:val="00FF52A6"/>
    <w:rsid w:val="00FF52C5"/>
    <w:rsid w:val="00FF53A1"/>
    <w:rsid w:val="00FF5430"/>
    <w:rsid w:val="00FF548F"/>
    <w:rsid w:val="00FF54B1"/>
    <w:rsid w:val="00FF553E"/>
    <w:rsid w:val="00FF5564"/>
    <w:rsid w:val="00FF5588"/>
    <w:rsid w:val="00FF55B1"/>
    <w:rsid w:val="00FF55B2"/>
    <w:rsid w:val="00FF561E"/>
    <w:rsid w:val="00FF5657"/>
    <w:rsid w:val="00FF5691"/>
    <w:rsid w:val="00FF5920"/>
    <w:rsid w:val="00FF5AE3"/>
    <w:rsid w:val="00FF5D5C"/>
    <w:rsid w:val="00FF5E86"/>
    <w:rsid w:val="00FF5F31"/>
    <w:rsid w:val="00FF5F61"/>
    <w:rsid w:val="00FF5F77"/>
    <w:rsid w:val="00FF5F7F"/>
    <w:rsid w:val="00FF5FC6"/>
    <w:rsid w:val="00FF6095"/>
    <w:rsid w:val="00FF60E1"/>
    <w:rsid w:val="00FF6132"/>
    <w:rsid w:val="00FF632F"/>
    <w:rsid w:val="00FF6335"/>
    <w:rsid w:val="00FF635A"/>
    <w:rsid w:val="00FF6362"/>
    <w:rsid w:val="00FF6371"/>
    <w:rsid w:val="00FF63A3"/>
    <w:rsid w:val="00FF6430"/>
    <w:rsid w:val="00FF646A"/>
    <w:rsid w:val="00FF6475"/>
    <w:rsid w:val="00FF64DA"/>
    <w:rsid w:val="00FF65A5"/>
    <w:rsid w:val="00FF65C3"/>
    <w:rsid w:val="00FF6624"/>
    <w:rsid w:val="00FF6834"/>
    <w:rsid w:val="00FF68C8"/>
    <w:rsid w:val="00FF695D"/>
    <w:rsid w:val="00FF6AC9"/>
    <w:rsid w:val="00FF6B5D"/>
    <w:rsid w:val="00FF6C22"/>
    <w:rsid w:val="00FF6CEC"/>
    <w:rsid w:val="00FF6D39"/>
    <w:rsid w:val="00FF6DEE"/>
    <w:rsid w:val="00FF6EB4"/>
    <w:rsid w:val="00FF6EEE"/>
    <w:rsid w:val="00FF6F53"/>
    <w:rsid w:val="00FF7033"/>
    <w:rsid w:val="00FF713D"/>
    <w:rsid w:val="00FF71B3"/>
    <w:rsid w:val="00FF7276"/>
    <w:rsid w:val="00FF7319"/>
    <w:rsid w:val="00FF74B8"/>
    <w:rsid w:val="00FF7551"/>
    <w:rsid w:val="00FF7622"/>
    <w:rsid w:val="00FF7687"/>
    <w:rsid w:val="00FF771F"/>
    <w:rsid w:val="00FF773C"/>
    <w:rsid w:val="00FF774F"/>
    <w:rsid w:val="00FF77AA"/>
    <w:rsid w:val="00FF7878"/>
    <w:rsid w:val="00FF78AC"/>
    <w:rsid w:val="00FF7903"/>
    <w:rsid w:val="00FF79CD"/>
    <w:rsid w:val="00FF7A64"/>
    <w:rsid w:val="00FF7B04"/>
    <w:rsid w:val="00FF7BFC"/>
    <w:rsid w:val="00FF7C92"/>
    <w:rsid w:val="00FF7D0E"/>
    <w:rsid w:val="00FF7DDD"/>
    <w:rsid w:val="00FF7F11"/>
    <w:rsid w:val="01003C78"/>
    <w:rsid w:val="0102D8E2"/>
    <w:rsid w:val="010434BB"/>
    <w:rsid w:val="010438EB"/>
    <w:rsid w:val="0104D59F"/>
    <w:rsid w:val="01055165"/>
    <w:rsid w:val="0107E34F"/>
    <w:rsid w:val="010A1288"/>
    <w:rsid w:val="010AC070"/>
    <w:rsid w:val="010DE9A2"/>
    <w:rsid w:val="01123078"/>
    <w:rsid w:val="01127199"/>
    <w:rsid w:val="0115779E"/>
    <w:rsid w:val="01162083"/>
    <w:rsid w:val="0116A6AC"/>
    <w:rsid w:val="011A5521"/>
    <w:rsid w:val="011FF56A"/>
    <w:rsid w:val="0121BA3A"/>
    <w:rsid w:val="01228223"/>
    <w:rsid w:val="0123CE56"/>
    <w:rsid w:val="0133A975"/>
    <w:rsid w:val="01397AC2"/>
    <w:rsid w:val="013AB188"/>
    <w:rsid w:val="013C2C32"/>
    <w:rsid w:val="013D5A5D"/>
    <w:rsid w:val="013E2B3D"/>
    <w:rsid w:val="014126DA"/>
    <w:rsid w:val="014466CF"/>
    <w:rsid w:val="014467C3"/>
    <w:rsid w:val="01456924"/>
    <w:rsid w:val="01465430"/>
    <w:rsid w:val="01472487"/>
    <w:rsid w:val="014AC740"/>
    <w:rsid w:val="014C6030"/>
    <w:rsid w:val="014C8B57"/>
    <w:rsid w:val="0150327B"/>
    <w:rsid w:val="01516743"/>
    <w:rsid w:val="01587CF1"/>
    <w:rsid w:val="015A3F07"/>
    <w:rsid w:val="0160CBCE"/>
    <w:rsid w:val="016150F8"/>
    <w:rsid w:val="01636164"/>
    <w:rsid w:val="0166807A"/>
    <w:rsid w:val="01669800"/>
    <w:rsid w:val="0169A4EC"/>
    <w:rsid w:val="016D9880"/>
    <w:rsid w:val="01789372"/>
    <w:rsid w:val="0178EFC5"/>
    <w:rsid w:val="017BCA13"/>
    <w:rsid w:val="0181E71D"/>
    <w:rsid w:val="018471EE"/>
    <w:rsid w:val="01862A85"/>
    <w:rsid w:val="018B2326"/>
    <w:rsid w:val="018D39BB"/>
    <w:rsid w:val="018E610B"/>
    <w:rsid w:val="01916492"/>
    <w:rsid w:val="0193FB16"/>
    <w:rsid w:val="0194C851"/>
    <w:rsid w:val="0198A13F"/>
    <w:rsid w:val="01990F70"/>
    <w:rsid w:val="01A468F4"/>
    <w:rsid w:val="01A650A0"/>
    <w:rsid w:val="01A7AB7C"/>
    <w:rsid w:val="01AE7BD3"/>
    <w:rsid w:val="01AEC56B"/>
    <w:rsid w:val="01B22A37"/>
    <w:rsid w:val="01B55097"/>
    <w:rsid w:val="01B5FDE0"/>
    <w:rsid w:val="01B96DAC"/>
    <w:rsid w:val="01BD51BC"/>
    <w:rsid w:val="01CA11A4"/>
    <w:rsid w:val="01CAC3D7"/>
    <w:rsid w:val="01CD3AE3"/>
    <w:rsid w:val="01D03A3A"/>
    <w:rsid w:val="01D69C0F"/>
    <w:rsid w:val="01DBA22B"/>
    <w:rsid w:val="01DFC783"/>
    <w:rsid w:val="01E0D809"/>
    <w:rsid w:val="01E4AEEE"/>
    <w:rsid w:val="01E7CBF7"/>
    <w:rsid w:val="01E7E392"/>
    <w:rsid w:val="01EC6CF9"/>
    <w:rsid w:val="01ED5413"/>
    <w:rsid w:val="01EDA566"/>
    <w:rsid w:val="01FB070C"/>
    <w:rsid w:val="01FB72B0"/>
    <w:rsid w:val="02016AB0"/>
    <w:rsid w:val="0203F2C0"/>
    <w:rsid w:val="0207683A"/>
    <w:rsid w:val="0209214A"/>
    <w:rsid w:val="0209568B"/>
    <w:rsid w:val="020A0224"/>
    <w:rsid w:val="020BB44C"/>
    <w:rsid w:val="020D10C2"/>
    <w:rsid w:val="02100F0E"/>
    <w:rsid w:val="02119DFE"/>
    <w:rsid w:val="0212F0CA"/>
    <w:rsid w:val="02158909"/>
    <w:rsid w:val="0216CC64"/>
    <w:rsid w:val="02173D76"/>
    <w:rsid w:val="0220D4B2"/>
    <w:rsid w:val="0227293B"/>
    <w:rsid w:val="022A1919"/>
    <w:rsid w:val="022B4530"/>
    <w:rsid w:val="022EADCC"/>
    <w:rsid w:val="02335523"/>
    <w:rsid w:val="02433070"/>
    <w:rsid w:val="02462585"/>
    <w:rsid w:val="024D6FC7"/>
    <w:rsid w:val="02503849"/>
    <w:rsid w:val="02534C28"/>
    <w:rsid w:val="02537163"/>
    <w:rsid w:val="02560B95"/>
    <w:rsid w:val="025C4245"/>
    <w:rsid w:val="025CBD2C"/>
    <w:rsid w:val="025DE34B"/>
    <w:rsid w:val="02613126"/>
    <w:rsid w:val="02635FA8"/>
    <w:rsid w:val="026471AB"/>
    <w:rsid w:val="02658755"/>
    <w:rsid w:val="0265F438"/>
    <w:rsid w:val="026A7DB3"/>
    <w:rsid w:val="026AD074"/>
    <w:rsid w:val="026DD0C7"/>
    <w:rsid w:val="026EF6C5"/>
    <w:rsid w:val="027243E8"/>
    <w:rsid w:val="0274912A"/>
    <w:rsid w:val="02815114"/>
    <w:rsid w:val="02829613"/>
    <w:rsid w:val="0282E200"/>
    <w:rsid w:val="028318D2"/>
    <w:rsid w:val="028543E7"/>
    <w:rsid w:val="028B01CD"/>
    <w:rsid w:val="028E37E1"/>
    <w:rsid w:val="0294475C"/>
    <w:rsid w:val="0298F924"/>
    <w:rsid w:val="0299B9D3"/>
    <w:rsid w:val="029BBFFC"/>
    <w:rsid w:val="029BD822"/>
    <w:rsid w:val="029D2600"/>
    <w:rsid w:val="02A0BB7C"/>
    <w:rsid w:val="02A7DD67"/>
    <w:rsid w:val="02AD3380"/>
    <w:rsid w:val="02AD51F4"/>
    <w:rsid w:val="02B036EE"/>
    <w:rsid w:val="02B9A87B"/>
    <w:rsid w:val="02BB118F"/>
    <w:rsid w:val="02BB70E0"/>
    <w:rsid w:val="02C04DB3"/>
    <w:rsid w:val="02C1854F"/>
    <w:rsid w:val="02CAED28"/>
    <w:rsid w:val="02CDAA8C"/>
    <w:rsid w:val="02CF96E5"/>
    <w:rsid w:val="02D0CFEA"/>
    <w:rsid w:val="02D20930"/>
    <w:rsid w:val="02D48CDB"/>
    <w:rsid w:val="02D87B9C"/>
    <w:rsid w:val="02DF8EC1"/>
    <w:rsid w:val="02E3F7C3"/>
    <w:rsid w:val="02E49B71"/>
    <w:rsid w:val="02E58D64"/>
    <w:rsid w:val="02E84F60"/>
    <w:rsid w:val="02E88C97"/>
    <w:rsid w:val="02ED0396"/>
    <w:rsid w:val="02ED65CF"/>
    <w:rsid w:val="02EDA11C"/>
    <w:rsid w:val="02EFC4FC"/>
    <w:rsid w:val="02F895B8"/>
    <w:rsid w:val="02F9E794"/>
    <w:rsid w:val="02FB9344"/>
    <w:rsid w:val="02FC3F98"/>
    <w:rsid w:val="02FF89DC"/>
    <w:rsid w:val="0305AA58"/>
    <w:rsid w:val="03073270"/>
    <w:rsid w:val="030977A9"/>
    <w:rsid w:val="030BAF13"/>
    <w:rsid w:val="030D6A9A"/>
    <w:rsid w:val="030EFDC9"/>
    <w:rsid w:val="031398F1"/>
    <w:rsid w:val="0314C1A7"/>
    <w:rsid w:val="0316B492"/>
    <w:rsid w:val="03199316"/>
    <w:rsid w:val="031B06AF"/>
    <w:rsid w:val="031D873B"/>
    <w:rsid w:val="031E5E25"/>
    <w:rsid w:val="031E7249"/>
    <w:rsid w:val="0320D4EA"/>
    <w:rsid w:val="03254690"/>
    <w:rsid w:val="03300B37"/>
    <w:rsid w:val="03312298"/>
    <w:rsid w:val="033252B5"/>
    <w:rsid w:val="0333B4AE"/>
    <w:rsid w:val="03344DDB"/>
    <w:rsid w:val="033450DA"/>
    <w:rsid w:val="0339406A"/>
    <w:rsid w:val="033B33AC"/>
    <w:rsid w:val="033C0414"/>
    <w:rsid w:val="033F0E9C"/>
    <w:rsid w:val="0341973B"/>
    <w:rsid w:val="03435CEA"/>
    <w:rsid w:val="034653D4"/>
    <w:rsid w:val="03496F5F"/>
    <w:rsid w:val="03497617"/>
    <w:rsid w:val="034B53B5"/>
    <w:rsid w:val="034C3D65"/>
    <w:rsid w:val="034D9379"/>
    <w:rsid w:val="034FABD6"/>
    <w:rsid w:val="035041F3"/>
    <w:rsid w:val="0353B2C9"/>
    <w:rsid w:val="035B7F46"/>
    <w:rsid w:val="03645FF2"/>
    <w:rsid w:val="0364E187"/>
    <w:rsid w:val="0364E981"/>
    <w:rsid w:val="036559E7"/>
    <w:rsid w:val="036AA9A1"/>
    <w:rsid w:val="036B2D9E"/>
    <w:rsid w:val="037194A8"/>
    <w:rsid w:val="0372DA09"/>
    <w:rsid w:val="03738EC3"/>
    <w:rsid w:val="03745043"/>
    <w:rsid w:val="037485C3"/>
    <w:rsid w:val="0375929F"/>
    <w:rsid w:val="03782A98"/>
    <w:rsid w:val="03861A16"/>
    <w:rsid w:val="03873A33"/>
    <w:rsid w:val="038D382E"/>
    <w:rsid w:val="03913F5B"/>
    <w:rsid w:val="03941D12"/>
    <w:rsid w:val="039B919E"/>
    <w:rsid w:val="039CFC84"/>
    <w:rsid w:val="03A0BD73"/>
    <w:rsid w:val="03A64508"/>
    <w:rsid w:val="03A6D8DA"/>
    <w:rsid w:val="03A926B3"/>
    <w:rsid w:val="03B2B6C8"/>
    <w:rsid w:val="03B30C54"/>
    <w:rsid w:val="03B752EB"/>
    <w:rsid w:val="03B7B813"/>
    <w:rsid w:val="03BAE002"/>
    <w:rsid w:val="03BB6153"/>
    <w:rsid w:val="03BC9A58"/>
    <w:rsid w:val="03BFA3BB"/>
    <w:rsid w:val="03C29161"/>
    <w:rsid w:val="03C43012"/>
    <w:rsid w:val="03C69FB5"/>
    <w:rsid w:val="03C9A57A"/>
    <w:rsid w:val="03CB8516"/>
    <w:rsid w:val="03D808B4"/>
    <w:rsid w:val="03D9445E"/>
    <w:rsid w:val="03DA7A99"/>
    <w:rsid w:val="03DB7D12"/>
    <w:rsid w:val="03DEB3CB"/>
    <w:rsid w:val="03DF2CA2"/>
    <w:rsid w:val="03E0A13C"/>
    <w:rsid w:val="03E29409"/>
    <w:rsid w:val="03E2C9E1"/>
    <w:rsid w:val="03E5D791"/>
    <w:rsid w:val="03E96718"/>
    <w:rsid w:val="03EA0013"/>
    <w:rsid w:val="03ECA2C5"/>
    <w:rsid w:val="03EF50DC"/>
    <w:rsid w:val="03EF93D6"/>
    <w:rsid w:val="03F16E94"/>
    <w:rsid w:val="03F1A6F9"/>
    <w:rsid w:val="03F234DB"/>
    <w:rsid w:val="03F3D6D8"/>
    <w:rsid w:val="03F66EC0"/>
    <w:rsid w:val="03FA0476"/>
    <w:rsid w:val="03FA78D6"/>
    <w:rsid w:val="03FDF73F"/>
    <w:rsid w:val="04028E48"/>
    <w:rsid w:val="04032481"/>
    <w:rsid w:val="0404D11A"/>
    <w:rsid w:val="040B4EEE"/>
    <w:rsid w:val="040F5F93"/>
    <w:rsid w:val="04103E25"/>
    <w:rsid w:val="0410C5F0"/>
    <w:rsid w:val="0412EBF7"/>
    <w:rsid w:val="0415D3AD"/>
    <w:rsid w:val="0418F978"/>
    <w:rsid w:val="042325C1"/>
    <w:rsid w:val="04241D0A"/>
    <w:rsid w:val="0425EFA0"/>
    <w:rsid w:val="0426745E"/>
    <w:rsid w:val="0427F620"/>
    <w:rsid w:val="0427FB34"/>
    <w:rsid w:val="0428F8F7"/>
    <w:rsid w:val="0429AD57"/>
    <w:rsid w:val="04308036"/>
    <w:rsid w:val="0433447E"/>
    <w:rsid w:val="04342431"/>
    <w:rsid w:val="0435C913"/>
    <w:rsid w:val="043663DD"/>
    <w:rsid w:val="043A1083"/>
    <w:rsid w:val="043B3433"/>
    <w:rsid w:val="043D354A"/>
    <w:rsid w:val="0444D673"/>
    <w:rsid w:val="04485B99"/>
    <w:rsid w:val="0448833B"/>
    <w:rsid w:val="044C945D"/>
    <w:rsid w:val="044ED313"/>
    <w:rsid w:val="045043DB"/>
    <w:rsid w:val="0450ED40"/>
    <w:rsid w:val="0455FE56"/>
    <w:rsid w:val="045DE8E6"/>
    <w:rsid w:val="045E0515"/>
    <w:rsid w:val="045FA481"/>
    <w:rsid w:val="0461DB58"/>
    <w:rsid w:val="0462AB4D"/>
    <w:rsid w:val="046324C4"/>
    <w:rsid w:val="04646CC6"/>
    <w:rsid w:val="04679611"/>
    <w:rsid w:val="0467C8E1"/>
    <w:rsid w:val="046B7D7F"/>
    <w:rsid w:val="046E6EFE"/>
    <w:rsid w:val="046EE64D"/>
    <w:rsid w:val="046FFA4C"/>
    <w:rsid w:val="04716015"/>
    <w:rsid w:val="0475CA90"/>
    <w:rsid w:val="0475FFEC"/>
    <w:rsid w:val="04783389"/>
    <w:rsid w:val="047C40C8"/>
    <w:rsid w:val="048904C5"/>
    <w:rsid w:val="0489333A"/>
    <w:rsid w:val="048A0136"/>
    <w:rsid w:val="048B455B"/>
    <w:rsid w:val="048FC569"/>
    <w:rsid w:val="04903FE2"/>
    <w:rsid w:val="04914BCB"/>
    <w:rsid w:val="04918A37"/>
    <w:rsid w:val="049270FC"/>
    <w:rsid w:val="049AC474"/>
    <w:rsid w:val="049B5EB0"/>
    <w:rsid w:val="049CCF61"/>
    <w:rsid w:val="04A1B9F6"/>
    <w:rsid w:val="04A483B4"/>
    <w:rsid w:val="04A5023F"/>
    <w:rsid w:val="04A5DE82"/>
    <w:rsid w:val="04A74F04"/>
    <w:rsid w:val="04AC485B"/>
    <w:rsid w:val="04AD019B"/>
    <w:rsid w:val="04B154F4"/>
    <w:rsid w:val="04B1AE96"/>
    <w:rsid w:val="04B30FE4"/>
    <w:rsid w:val="04B57AD1"/>
    <w:rsid w:val="04B59B84"/>
    <w:rsid w:val="04B8096F"/>
    <w:rsid w:val="04BBD4EA"/>
    <w:rsid w:val="04BCD9E5"/>
    <w:rsid w:val="04C75F9D"/>
    <w:rsid w:val="04CDEDBD"/>
    <w:rsid w:val="04D1ABC1"/>
    <w:rsid w:val="04D2C07D"/>
    <w:rsid w:val="04D2EF1C"/>
    <w:rsid w:val="04D982B8"/>
    <w:rsid w:val="04DE5292"/>
    <w:rsid w:val="04E21126"/>
    <w:rsid w:val="04E47BFC"/>
    <w:rsid w:val="04EF61CD"/>
    <w:rsid w:val="04F00596"/>
    <w:rsid w:val="04F11914"/>
    <w:rsid w:val="04F3A8BC"/>
    <w:rsid w:val="04F4BC53"/>
    <w:rsid w:val="04F78A8D"/>
    <w:rsid w:val="04F9CFCD"/>
    <w:rsid w:val="04FAC094"/>
    <w:rsid w:val="04FD70CE"/>
    <w:rsid w:val="05003AD9"/>
    <w:rsid w:val="05018A77"/>
    <w:rsid w:val="05091A24"/>
    <w:rsid w:val="05094F92"/>
    <w:rsid w:val="0509C9CC"/>
    <w:rsid w:val="050B710C"/>
    <w:rsid w:val="051252F9"/>
    <w:rsid w:val="05131EEF"/>
    <w:rsid w:val="05147F48"/>
    <w:rsid w:val="05183DD2"/>
    <w:rsid w:val="0518E8FE"/>
    <w:rsid w:val="051954F4"/>
    <w:rsid w:val="051F2EBF"/>
    <w:rsid w:val="0524C1DC"/>
    <w:rsid w:val="0525B42F"/>
    <w:rsid w:val="05262D9E"/>
    <w:rsid w:val="052824B4"/>
    <w:rsid w:val="05327334"/>
    <w:rsid w:val="05340733"/>
    <w:rsid w:val="05342607"/>
    <w:rsid w:val="05350D67"/>
    <w:rsid w:val="0535CCEC"/>
    <w:rsid w:val="053A1B8F"/>
    <w:rsid w:val="053BE6E4"/>
    <w:rsid w:val="053D5E83"/>
    <w:rsid w:val="053FF2D7"/>
    <w:rsid w:val="05437BA4"/>
    <w:rsid w:val="054794CC"/>
    <w:rsid w:val="054B928C"/>
    <w:rsid w:val="054BB633"/>
    <w:rsid w:val="054DBB9F"/>
    <w:rsid w:val="054F8DE1"/>
    <w:rsid w:val="055078FB"/>
    <w:rsid w:val="0552E88F"/>
    <w:rsid w:val="0556746F"/>
    <w:rsid w:val="0558EC7B"/>
    <w:rsid w:val="055AEB53"/>
    <w:rsid w:val="055BC286"/>
    <w:rsid w:val="055ECC0A"/>
    <w:rsid w:val="055F375B"/>
    <w:rsid w:val="056101CC"/>
    <w:rsid w:val="056AFF7F"/>
    <w:rsid w:val="056B8686"/>
    <w:rsid w:val="056BFE7B"/>
    <w:rsid w:val="056C0D5A"/>
    <w:rsid w:val="056C3A09"/>
    <w:rsid w:val="056E6FFA"/>
    <w:rsid w:val="05716FF3"/>
    <w:rsid w:val="05763C45"/>
    <w:rsid w:val="05786D74"/>
    <w:rsid w:val="0579A085"/>
    <w:rsid w:val="057A1D5D"/>
    <w:rsid w:val="057AC735"/>
    <w:rsid w:val="057D1616"/>
    <w:rsid w:val="058416A2"/>
    <w:rsid w:val="05859069"/>
    <w:rsid w:val="058BB611"/>
    <w:rsid w:val="058CC7A3"/>
    <w:rsid w:val="058EAB53"/>
    <w:rsid w:val="059405B9"/>
    <w:rsid w:val="0594A671"/>
    <w:rsid w:val="059DFE23"/>
    <w:rsid w:val="05A1146A"/>
    <w:rsid w:val="05A38D5F"/>
    <w:rsid w:val="05A5E366"/>
    <w:rsid w:val="05A92DF7"/>
    <w:rsid w:val="05A9882F"/>
    <w:rsid w:val="05AABF3E"/>
    <w:rsid w:val="05AD3AE8"/>
    <w:rsid w:val="05B4355A"/>
    <w:rsid w:val="05B4CBDB"/>
    <w:rsid w:val="05B6DBF5"/>
    <w:rsid w:val="05B983C5"/>
    <w:rsid w:val="05B992D1"/>
    <w:rsid w:val="05BAEC53"/>
    <w:rsid w:val="05BB4495"/>
    <w:rsid w:val="05BBC7EF"/>
    <w:rsid w:val="05C1419B"/>
    <w:rsid w:val="05C43D3A"/>
    <w:rsid w:val="05C62AB5"/>
    <w:rsid w:val="05C67C70"/>
    <w:rsid w:val="05C84762"/>
    <w:rsid w:val="05CD18B2"/>
    <w:rsid w:val="05CF184C"/>
    <w:rsid w:val="05CF71C8"/>
    <w:rsid w:val="05D35E24"/>
    <w:rsid w:val="05D42056"/>
    <w:rsid w:val="05D4B96C"/>
    <w:rsid w:val="05D5BEF1"/>
    <w:rsid w:val="05D6E4D1"/>
    <w:rsid w:val="05D83E59"/>
    <w:rsid w:val="05DBBB51"/>
    <w:rsid w:val="05DFBE54"/>
    <w:rsid w:val="05E001AA"/>
    <w:rsid w:val="05E024F2"/>
    <w:rsid w:val="05E5A087"/>
    <w:rsid w:val="05E6E603"/>
    <w:rsid w:val="05EA2500"/>
    <w:rsid w:val="05ECFFD9"/>
    <w:rsid w:val="05F0EA36"/>
    <w:rsid w:val="05F1D43C"/>
    <w:rsid w:val="05F58295"/>
    <w:rsid w:val="05FE3CA8"/>
    <w:rsid w:val="0600822F"/>
    <w:rsid w:val="0600DD08"/>
    <w:rsid w:val="060343CE"/>
    <w:rsid w:val="0604E311"/>
    <w:rsid w:val="0608654B"/>
    <w:rsid w:val="0608F417"/>
    <w:rsid w:val="0609F1CA"/>
    <w:rsid w:val="060B6428"/>
    <w:rsid w:val="060C5EB1"/>
    <w:rsid w:val="060FA9B1"/>
    <w:rsid w:val="0617E605"/>
    <w:rsid w:val="0620E401"/>
    <w:rsid w:val="062182E4"/>
    <w:rsid w:val="0627BB10"/>
    <w:rsid w:val="0630E7D1"/>
    <w:rsid w:val="06315A62"/>
    <w:rsid w:val="06320A98"/>
    <w:rsid w:val="06327BF1"/>
    <w:rsid w:val="06333406"/>
    <w:rsid w:val="0639E4B9"/>
    <w:rsid w:val="063C080B"/>
    <w:rsid w:val="0645F33B"/>
    <w:rsid w:val="064615C6"/>
    <w:rsid w:val="0647CF32"/>
    <w:rsid w:val="064888C8"/>
    <w:rsid w:val="064C1140"/>
    <w:rsid w:val="064E0041"/>
    <w:rsid w:val="06509DAF"/>
    <w:rsid w:val="0652BEA4"/>
    <w:rsid w:val="06530220"/>
    <w:rsid w:val="065367F6"/>
    <w:rsid w:val="065782F3"/>
    <w:rsid w:val="065B4B41"/>
    <w:rsid w:val="065CBCC0"/>
    <w:rsid w:val="065D5241"/>
    <w:rsid w:val="06643084"/>
    <w:rsid w:val="066BB326"/>
    <w:rsid w:val="066C4951"/>
    <w:rsid w:val="066E9776"/>
    <w:rsid w:val="066EDB35"/>
    <w:rsid w:val="06722138"/>
    <w:rsid w:val="0672D0EB"/>
    <w:rsid w:val="067572FE"/>
    <w:rsid w:val="06761437"/>
    <w:rsid w:val="06791ABF"/>
    <w:rsid w:val="06791FF9"/>
    <w:rsid w:val="068B8346"/>
    <w:rsid w:val="068CF418"/>
    <w:rsid w:val="068E43B1"/>
    <w:rsid w:val="0690B6A3"/>
    <w:rsid w:val="0692BE0F"/>
    <w:rsid w:val="0694B550"/>
    <w:rsid w:val="069A52E2"/>
    <w:rsid w:val="069BFF56"/>
    <w:rsid w:val="069C4B54"/>
    <w:rsid w:val="069E88E5"/>
    <w:rsid w:val="06A05FED"/>
    <w:rsid w:val="06A0D21E"/>
    <w:rsid w:val="06A0E1D5"/>
    <w:rsid w:val="06A391CD"/>
    <w:rsid w:val="06A584E1"/>
    <w:rsid w:val="06A91AFD"/>
    <w:rsid w:val="06AD61B8"/>
    <w:rsid w:val="06AF7FB4"/>
    <w:rsid w:val="06AF9415"/>
    <w:rsid w:val="06B69DEF"/>
    <w:rsid w:val="06B994F2"/>
    <w:rsid w:val="06BAEE59"/>
    <w:rsid w:val="06BB5796"/>
    <w:rsid w:val="06BE09B0"/>
    <w:rsid w:val="06C13FEF"/>
    <w:rsid w:val="06C27F9C"/>
    <w:rsid w:val="06C94300"/>
    <w:rsid w:val="06CA0C27"/>
    <w:rsid w:val="06D08985"/>
    <w:rsid w:val="06D2853F"/>
    <w:rsid w:val="06D39A54"/>
    <w:rsid w:val="06D7B06B"/>
    <w:rsid w:val="06D7D17C"/>
    <w:rsid w:val="06DF4F57"/>
    <w:rsid w:val="06E02797"/>
    <w:rsid w:val="06E28FFE"/>
    <w:rsid w:val="06ECAA77"/>
    <w:rsid w:val="06EF521D"/>
    <w:rsid w:val="06F0906A"/>
    <w:rsid w:val="06F0B6E0"/>
    <w:rsid w:val="06F43593"/>
    <w:rsid w:val="06F998AA"/>
    <w:rsid w:val="06FC5493"/>
    <w:rsid w:val="06FDF2F5"/>
    <w:rsid w:val="06FF40B8"/>
    <w:rsid w:val="06FF932F"/>
    <w:rsid w:val="0700924B"/>
    <w:rsid w:val="07047788"/>
    <w:rsid w:val="0705FAB9"/>
    <w:rsid w:val="0706998D"/>
    <w:rsid w:val="07072F81"/>
    <w:rsid w:val="070903B7"/>
    <w:rsid w:val="070A9D15"/>
    <w:rsid w:val="071307BE"/>
    <w:rsid w:val="0713D14A"/>
    <w:rsid w:val="0713FBF0"/>
    <w:rsid w:val="0717BB93"/>
    <w:rsid w:val="0718AE83"/>
    <w:rsid w:val="071D0A34"/>
    <w:rsid w:val="071E0E45"/>
    <w:rsid w:val="071FFDB6"/>
    <w:rsid w:val="0729C60A"/>
    <w:rsid w:val="072B419D"/>
    <w:rsid w:val="0731C458"/>
    <w:rsid w:val="0734767E"/>
    <w:rsid w:val="073A8C9B"/>
    <w:rsid w:val="073C80B0"/>
    <w:rsid w:val="073E0EAF"/>
    <w:rsid w:val="074195C1"/>
    <w:rsid w:val="0743164E"/>
    <w:rsid w:val="0745F393"/>
    <w:rsid w:val="074B2835"/>
    <w:rsid w:val="074C8A7E"/>
    <w:rsid w:val="0754FF93"/>
    <w:rsid w:val="07585708"/>
    <w:rsid w:val="075C961B"/>
    <w:rsid w:val="07617DF3"/>
    <w:rsid w:val="0761A7B3"/>
    <w:rsid w:val="07650D63"/>
    <w:rsid w:val="07662C2F"/>
    <w:rsid w:val="0768ADDC"/>
    <w:rsid w:val="076916E1"/>
    <w:rsid w:val="0769FF2B"/>
    <w:rsid w:val="076A274E"/>
    <w:rsid w:val="076A29F3"/>
    <w:rsid w:val="076DF356"/>
    <w:rsid w:val="076E990F"/>
    <w:rsid w:val="0770B613"/>
    <w:rsid w:val="0774CD2E"/>
    <w:rsid w:val="07762570"/>
    <w:rsid w:val="0777956C"/>
    <w:rsid w:val="0777C6A4"/>
    <w:rsid w:val="077A1EF7"/>
    <w:rsid w:val="077ED973"/>
    <w:rsid w:val="0782D209"/>
    <w:rsid w:val="0784A678"/>
    <w:rsid w:val="078AECFC"/>
    <w:rsid w:val="078E0325"/>
    <w:rsid w:val="079016EE"/>
    <w:rsid w:val="0791765E"/>
    <w:rsid w:val="0793AD64"/>
    <w:rsid w:val="07963C82"/>
    <w:rsid w:val="0796D95F"/>
    <w:rsid w:val="079C0746"/>
    <w:rsid w:val="079F868E"/>
    <w:rsid w:val="07A08EE3"/>
    <w:rsid w:val="07A20CEA"/>
    <w:rsid w:val="07A25EAF"/>
    <w:rsid w:val="07A3433B"/>
    <w:rsid w:val="07A3F0B1"/>
    <w:rsid w:val="07A59BFB"/>
    <w:rsid w:val="07A5D2C2"/>
    <w:rsid w:val="07A80467"/>
    <w:rsid w:val="07A88AB3"/>
    <w:rsid w:val="07A8AAFB"/>
    <w:rsid w:val="07AE2678"/>
    <w:rsid w:val="07B0F242"/>
    <w:rsid w:val="07B3D50D"/>
    <w:rsid w:val="07B3E42B"/>
    <w:rsid w:val="07BE7BE3"/>
    <w:rsid w:val="07BE906F"/>
    <w:rsid w:val="07BE9BF7"/>
    <w:rsid w:val="07BEA9D2"/>
    <w:rsid w:val="07BFB7BF"/>
    <w:rsid w:val="07BFDCB5"/>
    <w:rsid w:val="07C08D20"/>
    <w:rsid w:val="07C145F1"/>
    <w:rsid w:val="07CD84D7"/>
    <w:rsid w:val="07CFE24B"/>
    <w:rsid w:val="07D1300D"/>
    <w:rsid w:val="07D4A107"/>
    <w:rsid w:val="07D4B972"/>
    <w:rsid w:val="07D52F9F"/>
    <w:rsid w:val="07D6142B"/>
    <w:rsid w:val="07D69299"/>
    <w:rsid w:val="07DA6E21"/>
    <w:rsid w:val="07DEFD45"/>
    <w:rsid w:val="07E267C4"/>
    <w:rsid w:val="07E44E62"/>
    <w:rsid w:val="07E7B61B"/>
    <w:rsid w:val="07EB6720"/>
    <w:rsid w:val="07EC6666"/>
    <w:rsid w:val="07EC79AD"/>
    <w:rsid w:val="07ED5E15"/>
    <w:rsid w:val="07EDF631"/>
    <w:rsid w:val="07F3A36D"/>
    <w:rsid w:val="07F3FD74"/>
    <w:rsid w:val="07F93790"/>
    <w:rsid w:val="07FDA28F"/>
    <w:rsid w:val="07FDB7E8"/>
    <w:rsid w:val="07FE202E"/>
    <w:rsid w:val="08014247"/>
    <w:rsid w:val="08026C11"/>
    <w:rsid w:val="08035992"/>
    <w:rsid w:val="0805DB24"/>
    <w:rsid w:val="080659B3"/>
    <w:rsid w:val="0809E1A1"/>
    <w:rsid w:val="080ACBD6"/>
    <w:rsid w:val="080EFCAE"/>
    <w:rsid w:val="0813EECD"/>
    <w:rsid w:val="0817910C"/>
    <w:rsid w:val="08199E1A"/>
    <w:rsid w:val="081A6247"/>
    <w:rsid w:val="081CB2DD"/>
    <w:rsid w:val="081F8843"/>
    <w:rsid w:val="0823B1F4"/>
    <w:rsid w:val="08264B45"/>
    <w:rsid w:val="082B0721"/>
    <w:rsid w:val="082CAC75"/>
    <w:rsid w:val="082DD47D"/>
    <w:rsid w:val="082F36A6"/>
    <w:rsid w:val="08312706"/>
    <w:rsid w:val="08330433"/>
    <w:rsid w:val="0838ED18"/>
    <w:rsid w:val="083B0980"/>
    <w:rsid w:val="083B8BC2"/>
    <w:rsid w:val="083FE627"/>
    <w:rsid w:val="08409368"/>
    <w:rsid w:val="0841A599"/>
    <w:rsid w:val="0847C2BB"/>
    <w:rsid w:val="084A3B39"/>
    <w:rsid w:val="084E1B5F"/>
    <w:rsid w:val="084F6246"/>
    <w:rsid w:val="0853F074"/>
    <w:rsid w:val="0856DA05"/>
    <w:rsid w:val="085995B1"/>
    <w:rsid w:val="085B18F2"/>
    <w:rsid w:val="085EAAE8"/>
    <w:rsid w:val="085F7FE0"/>
    <w:rsid w:val="08603119"/>
    <w:rsid w:val="0860D429"/>
    <w:rsid w:val="08650069"/>
    <w:rsid w:val="086571A5"/>
    <w:rsid w:val="086B0AA2"/>
    <w:rsid w:val="086BBF6F"/>
    <w:rsid w:val="086CAC3B"/>
    <w:rsid w:val="086D7F92"/>
    <w:rsid w:val="086EFE1F"/>
    <w:rsid w:val="0872F319"/>
    <w:rsid w:val="08740D68"/>
    <w:rsid w:val="0875EC76"/>
    <w:rsid w:val="087607B4"/>
    <w:rsid w:val="087A29DD"/>
    <w:rsid w:val="087DA163"/>
    <w:rsid w:val="087EFF5B"/>
    <w:rsid w:val="087F64D3"/>
    <w:rsid w:val="087F7AE0"/>
    <w:rsid w:val="088365FF"/>
    <w:rsid w:val="088AC4B7"/>
    <w:rsid w:val="088DE127"/>
    <w:rsid w:val="08939A82"/>
    <w:rsid w:val="0893E7C5"/>
    <w:rsid w:val="0894931C"/>
    <w:rsid w:val="08970796"/>
    <w:rsid w:val="08975DB0"/>
    <w:rsid w:val="0897640B"/>
    <w:rsid w:val="0897A670"/>
    <w:rsid w:val="0897B93D"/>
    <w:rsid w:val="089EB69A"/>
    <w:rsid w:val="08A50DC3"/>
    <w:rsid w:val="08AA8523"/>
    <w:rsid w:val="08AAEAC3"/>
    <w:rsid w:val="08ACB15B"/>
    <w:rsid w:val="08B06288"/>
    <w:rsid w:val="08B0F9F9"/>
    <w:rsid w:val="08B12660"/>
    <w:rsid w:val="08B206CC"/>
    <w:rsid w:val="08BBCA2B"/>
    <w:rsid w:val="08BFAE06"/>
    <w:rsid w:val="08C158B0"/>
    <w:rsid w:val="08CDCEDA"/>
    <w:rsid w:val="08D7B526"/>
    <w:rsid w:val="08D9C08C"/>
    <w:rsid w:val="08D9C9FB"/>
    <w:rsid w:val="08DC65BB"/>
    <w:rsid w:val="08DF64A3"/>
    <w:rsid w:val="08E1CBD1"/>
    <w:rsid w:val="08E67F26"/>
    <w:rsid w:val="08E79722"/>
    <w:rsid w:val="08E7CA6C"/>
    <w:rsid w:val="08E8391A"/>
    <w:rsid w:val="08EA212A"/>
    <w:rsid w:val="08EA7C69"/>
    <w:rsid w:val="08EC87CA"/>
    <w:rsid w:val="08EE72FA"/>
    <w:rsid w:val="08F2B38B"/>
    <w:rsid w:val="08F5ABD7"/>
    <w:rsid w:val="08FB1BCB"/>
    <w:rsid w:val="08FC2FE6"/>
    <w:rsid w:val="0902DBAB"/>
    <w:rsid w:val="0903355C"/>
    <w:rsid w:val="090445E5"/>
    <w:rsid w:val="090AFC0B"/>
    <w:rsid w:val="090B3651"/>
    <w:rsid w:val="09117ACC"/>
    <w:rsid w:val="0912DD0C"/>
    <w:rsid w:val="0914E219"/>
    <w:rsid w:val="091501DC"/>
    <w:rsid w:val="09169680"/>
    <w:rsid w:val="091896AE"/>
    <w:rsid w:val="0919DE63"/>
    <w:rsid w:val="091A96B2"/>
    <w:rsid w:val="091B43CC"/>
    <w:rsid w:val="09201A42"/>
    <w:rsid w:val="0920AE17"/>
    <w:rsid w:val="092133BA"/>
    <w:rsid w:val="092402F1"/>
    <w:rsid w:val="0924B11D"/>
    <w:rsid w:val="0925785A"/>
    <w:rsid w:val="09269B6F"/>
    <w:rsid w:val="092836B8"/>
    <w:rsid w:val="092851B0"/>
    <w:rsid w:val="0929CE63"/>
    <w:rsid w:val="092D4563"/>
    <w:rsid w:val="092D6EF2"/>
    <w:rsid w:val="092E6FBE"/>
    <w:rsid w:val="092E8818"/>
    <w:rsid w:val="092F385F"/>
    <w:rsid w:val="09349472"/>
    <w:rsid w:val="09378391"/>
    <w:rsid w:val="093ACE51"/>
    <w:rsid w:val="093E1CB7"/>
    <w:rsid w:val="09413981"/>
    <w:rsid w:val="0943EC49"/>
    <w:rsid w:val="094D0A5F"/>
    <w:rsid w:val="094F5BCC"/>
    <w:rsid w:val="09512354"/>
    <w:rsid w:val="09660570"/>
    <w:rsid w:val="096741A4"/>
    <w:rsid w:val="09705A83"/>
    <w:rsid w:val="09748347"/>
    <w:rsid w:val="09797BF0"/>
    <w:rsid w:val="09798083"/>
    <w:rsid w:val="097BA16F"/>
    <w:rsid w:val="0984740F"/>
    <w:rsid w:val="0984F350"/>
    <w:rsid w:val="0989BAD7"/>
    <w:rsid w:val="098C8813"/>
    <w:rsid w:val="098D01AC"/>
    <w:rsid w:val="099016ED"/>
    <w:rsid w:val="099475C9"/>
    <w:rsid w:val="09958C9F"/>
    <w:rsid w:val="099972F0"/>
    <w:rsid w:val="099983FD"/>
    <w:rsid w:val="099B9453"/>
    <w:rsid w:val="099C3A0B"/>
    <w:rsid w:val="099C97B2"/>
    <w:rsid w:val="099C9A73"/>
    <w:rsid w:val="099FCF15"/>
    <w:rsid w:val="09A37FD9"/>
    <w:rsid w:val="09A57756"/>
    <w:rsid w:val="09AD2E03"/>
    <w:rsid w:val="09B0620C"/>
    <w:rsid w:val="09B0C48B"/>
    <w:rsid w:val="09B3CCC0"/>
    <w:rsid w:val="09B49CD1"/>
    <w:rsid w:val="09B6A138"/>
    <w:rsid w:val="09B71A88"/>
    <w:rsid w:val="09BD11F3"/>
    <w:rsid w:val="09C117E3"/>
    <w:rsid w:val="09C1B864"/>
    <w:rsid w:val="09C285E0"/>
    <w:rsid w:val="09C74CB0"/>
    <w:rsid w:val="09C977BF"/>
    <w:rsid w:val="09CA839E"/>
    <w:rsid w:val="09CE2620"/>
    <w:rsid w:val="09D52D02"/>
    <w:rsid w:val="09DAF3D5"/>
    <w:rsid w:val="09DFBB81"/>
    <w:rsid w:val="09E08145"/>
    <w:rsid w:val="09E1159C"/>
    <w:rsid w:val="09E3795C"/>
    <w:rsid w:val="09E65044"/>
    <w:rsid w:val="09E873F1"/>
    <w:rsid w:val="09E911FC"/>
    <w:rsid w:val="09EA059D"/>
    <w:rsid w:val="09EB3E8B"/>
    <w:rsid w:val="09EF7DAD"/>
    <w:rsid w:val="09EFB0D4"/>
    <w:rsid w:val="09F3FEE6"/>
    <w:rsid w:val="09F5DDC9"/>
    <w:rsid w:val="09F7D982"/>
    <w:rsid w:val="09F83B77"/>
    <w:rsid w:val="09FBAAF9"/>
    <w:rsid w:val="09FBBE23"/>
    <w:rsid w:val="09FC9747"/>
    <w:rsid w:val="09FDAC52"/>
    <w:rsid w:val="09FE4FE2"/>
    <w:rsid w:val="09FFF24B"/>
    <w:rsid w:val="0A03A8F5"/>
    <w:rsid w:val="0A0D25F1"/>
    <w:rsid w:val="0A108AA1"/>
    <w:rsid w:val="0A15331F"/>
    <w:rsid w:val="0A15DD13"/>
    <w:rsid w:val="0A178010"/>
    <w:rsid w:val="0A20D191"/>
    <w:rsid w:val="0A2D3619"/>
    <w:rsid w:val="0A32E646"/>
    <w:rsid w:val="0A3BB28A"/>
    <w:rsid w:val="0A3CFCA0"/>
    <w:rsid w:val="0A3F3D09"/>
    <w:rsid w:val="0A3FA30E"/>
    <w:rsid w:val="0A4482A0"/>
    <w:rsid w:val="0A4765BD"/>
    <w:rsid w:val="0A4A6C8C"/>
    <w:rsid w:val="0A500C3D"/>
    <w:rsid w:val="0A5B400D"/>
    <w:rsid w:val="0A5FD887"/>
    <w:rsid w:val="0A64A0F5"/>
    <w:rsid w:val="0A6779FA"/>
    <w:rsid w:val="0A696FE3"/>
    <w:rsid w:val="0A6E2EA0"/>
    <w:rsid w:val="0A6E403F"/>
    <w:rsid w:val="0A702FF8"/>
    <w:rsid w:val="0A736192"/>
    <w:rsid w:val="0A755BB1"/>
    <w:rsid w:val="0A798BD3"/>
    <w:rsid w:val="0A7AD2F3"/>
    <w:rsid w:val="0A7CF651"/>
    <w:rsid w:val="0A7F79BA"/>
    <w:rsid w:val="0A83CC2E"/>
    <w:rsid w:val="0A86D2A0"/>
    <w:rsid w:val="0A875E34"/>
    <w:rsid w:val="0A87913D"/>
    <w:rsid w:val="0A8B699C"/>
    <w:rsid w:val="0A8DD316"/>
    <w:rsid w:val="0A8DF59D"/>
    <w:rsid w:val="0A8E7A5C"/>
    <w:rsid w:val="0A8ED8E0"/>
    <w:rsid w:val="0A8FEF91"/>
    <w:rsid w:val="0A9050C4"/>
    <w:rsid w:val="0A917C38"/>
    <w:rsid w:val="0A954D63"/>
    <w:rsid w:val="0AA05EFF"/>
    <w:rsid w:val="0AA28E12"/>
    <w:rsid w:val="0AAB3D97"/>
    <w:rsid w:val="0AAF1AAC"/>
    <w:rsid w:val="0AB17674"/>
    <w:rsid w:val="0AB69F4C"/>
    <w:rsid w:val="0AB7035D"/>
    <w:rsid w:val="0AB93081"/>
    <w:rsid w:val="0AB97A28"/>
    <w:rsid w:val="0ABC2E92"/>
    <w:rsid w:val="0AC0A21D"/>
    <w:rsid w:val="0AC1A71A"/>
    <w:rsid w:val="0AC22374"/>
    <w:rsid w:val="0AC3A2D0"/>
    <w:rsid w:val="0AC9323E"/>
    <w:rsid w:val="0ACACFC3"/>
    <w:rsid w:val="0ACBEE7A"/>
    <w:rsid w:val="0ACF949C"/>
    <w:rsid w:val="0ACFB9C9"/>
    <w:rsid w:val="0AD28FB5"/>
    <w:rsid w:val="0AD44693"/>
    <w:rsid w:val="0AD46F23"/>
    <w:rsid w:val="0ADC560B"/>
    <w:rsid w:val="0ADEE687"/>
    <w:rsid w:val="0AE7F1E5"/>
    <w:rsid w:val="0AEC6356"/>
    <w:rsid w:val="0AEC66D7"/>
    <w:rsid w:val="0AED11D9"/>
    <w:rsid w:val="0AEF111E"/>
    <w:rsid w:val="0AF01D06"/>
    <w:rsid w:val="0AF262E0"/>
    <w:rsid w:val="0AF690AC"/>
    <w:rsid w:val="0AF6BB2D"/>
    <w:rsid w:val="0AF7E63B"/>
    <w:rsid w:val="0AF96BDF"/>
    <w:rsid w:val="0AFA7A6E"/>
    <w:rsid w:val="0AFB40EB"/>
    <w:rsid w:val="0AFC260F"/>
    <w:rsid w:val="0AFD2D0C"/>
    <w:rsid w:val="0B013E99"/>
    <w:rsid w:val="0B01BB77"/>
    <w:rsid w:val="0B02D440"/>
    <w:rsid w:val="0B09B855"/>
    <w:rsid w:val="0B0D16B3"/>
    <w:rsid w:val="0B121FD0"/>
    <w:rsid w:val="0B139BAA"/>
    <w:rsid w:val="0B13BAE2"/>
    <w:rsid w:val="0B164BC6"/>
    <w:rsid w:val="0B164EE0"/>
    <w:rsid w:val="0B17514D"/>
    <w:rsid w:val="0B18A9C3"/>
    <w:rsid w:val="0B1AFA81"/>
    <w:rsid w:val="0B1D66CD"/>
    <w:rsid w:val="0B1F514C"/>
    <w:rsid w:val="0B213FF8"/>
    <w:rsid w:val="0B22EF5D"/>
    <w:rsid w:val="0B276BC9"/>
    <w:rsid w:val="0B2B36E4"/>
    <w:rsid w:val="0B341C01"/>
    <w:rsid w:val="0B36B341"/>
    <w:rsid w:val="0B3B4832"/>
    <w:rsid w:val="0B3C9813"/>
    <w:rsid w:val="0B3D0889"/>
    <w:rsid w:val="0B3DA74A"/>
    <w:rsid w:val="0B44B7DB"/>
    <w:rsid w:val="0B455C78"/>
    <w:rsid w:val="0B459E0E"/>
    <w:rsid w:val="0B46BD0C"/>
    <w:rsid w:val="0B4AE607"/>
    <w:rsid w:val="0B4B26DB"/>
    <w:rsid w:val="0B4CCB85"/>
    <w:rsid w:val="0B58E09B"/>
    <w:rsid w:val="0B5C31FD"/>
    <w:rsid w:val="0B5CCA1D"/>
    <w:rsid w:val="0B5E1C6A"/>
    <w:rsid w:val="0B5E3A20"/>
    <w:rsid w:val="0B5EA270"/>
    <w:rsid w:val="0B5F7C11"/>
    <w:rsid w:val="0B5F8B85"/>
    <w:rsid w:val="0B5FC881"/>
    <w:rsid w:val="0B607507"/>
    <w:rsid w:val="0B66AF75"/>
    <w:rsid w:val="0B67CA14"/>
    <w:rsid w:val="0B73904F"/>
    <w:rsid w:val="0B75E3A3"/>
    <w:rsid w:val="0B77D5BC"/>
    <w:rsid w:val="0B7F804C"/>
    <w:rsid w:val="0B808B5C"/>
    <w:rsid w:val="0B80F639"/>
    <w:rsid w:val="0B80F801"/>
    <w:rsid w:val="0B877468"/>
    <w:rsid w:val="0B883830"/>
    <w:rsid w:val="0B8E33CE"/>
    <w:rsid w:val="0B8E6852"/>
    <w:rsid w:val="0B8EE918"/>
    <w:rsid w:val="0B8F6FB6"/>
    <w:rsid w:val="0B91254B"/>
    <w:rsid w:val="0B983CD5"/>
    <w:rsid w:val="0B9BC3CB"/>
    <w:rsid w:val="0B9C9C1A"/>
    <w:rsid w:val="0B9D62A4"/>
    <w:rsid w:val="0B9EC097"/>
    <w:rsid w:val="0BA31C3F"/>
    <w:rsid w:val="0BA3CDA3"/>
    <w:rsid w:val="0BA466EF"/>
    <w:rsid w:val="0BA81401"/>
    <w:rsid w:val="0BB9B577"/>
    <w:rsid w:val="0BBACF57"/>
    <w:rsid w:val="0BBEA2BD"/>
    <w:rsid w:val="0BC03C78"/>
    <w:rsid w:val="0BC78E31"/>
    <w:rsid w:val="0BCDE729"/>
    <w:rsid w:val="0BD004D0"/>
    <w:rsid w:val="0BD53904"/>
    <w:rsid w:val="0BD6C133"/>
    <w:rsid w:val="0BDACBD3"/>
    <w:rsid w:val="0BDBA2BB"/>
    <w:rsid w:val="0BDCB154"/>
    <w:rsid w:val="0BDFE1C7"/>
    <w:rsid w:val="0BE0C1E9"/>
    <w:rsid w:val="0BE1C03B"/>
    <w:rsid w:val="0BE4B060"/>
    <w:rsid w:val="0BEEA891"/>
    <w:rsid w:val="0BF19B36"/>
    <w:rsid w:val="0BF19D1D"/>
    <w:rsid w:val="0BF1D5ED"/>
    <w:rsid w:val="0BF33309"/>
    <w:rsid w:val="0BF34459"/>
    <w:rsid w:val="0BF358EF"/>
    <w:rsid w:val="0BF4657D"/>
    <w:rsid w:val="0BF858A7"/>
    <w:rsid w:val="0BF8CB94"/>
    <w:rsid w:val="0BF90012"/>
    <w:rsid w:val="0BFA2720"/>
    <w:rsid w:val="0BFDA126"/>
    <w:rsid w:val="0C009774"/>
    <w:rsid w:val="0C013F39"/>
    <w:rsid w:val="0C0203C4"/>
    <w:rsid w:val="0C068224"/>
    <w:rsid w:val="0C0B7670"/>
    <w:rsid w:val="0C0F6E65"/>
    <w:rsid w:val="0C11F01B"/>
    <w:rsid w:val="0C136E91"/>
    <w:rsid w:val="0C1490DC"/>
    <w:rsid w:val="0C1506E4"/>
    <w:rsid w:val="0C15D505"/>
    <w:rsid w:val="0C17BB6B"/>
    <w:rsid w:val="0C18D5F2"/>
    <w:rsid w:val="0C1C63F3"/>
    <w:rsid w:val="0C1CC490"/>
    <w:rsid w:val="0C258597"/>
    <w:rsid w:val="0C261FC9"/>
    <w:rsid w:val="0C281107"/>
    <w:rsid w:val="0C2F0C1A"/>
    <w:rsid w:val="0C2F4EAB"/>
    <w:rsid w:val="0C321CD9"/>
    <w:rsid w:val="0C35CB8C"/>
    <w:rsid w:val="0C367255"/>
    <w:rsid w:val="0C367C75"/>
    <w:rsid w:val="0C3681CA"/>
    <w:rsid w:val="0C3BA673"/>
    <w:rsid w:val="0C3D9751"/>
    <w:rsid w:val="0C3DF88A"/>
    <w:rsid w:val="0C41437C"/>
    <w:rsid w:val="0C44E199"/>
    <w:rsid w:val="0C45B0DB"/>
    <w:rsid w:val="0C465A9F"/>
    <w:rsid w:val="0C48E235"/>
    <w:rsid w:val="0C495C6A"/>
    <w:rsid w:val="0C49C2B9"/>
    <w:rsid w:val="0C4AB55C"/>
    <w:rsid w:val="0C4B92EF"/>
    <w:rsid w:val="0C4BF630"/>
    <w:rsid w:val="0C5A5382"/>
    <w:rsid w:val="0C5A602A"/>
    <w:rsid w:val="0C5D5F22"/>
    <w:rsid w:val="0C6A5E66"/>
    <w:rsid w:val="0C6CCE43"/>
    <w:rsid w:val="0C717C8F"/>
    <w:rsid w:val="0C71D5C0"/>
    <w:rsid w:val="0C71F624"/>
    <w:rsid w:val="0C79D520"/>
    <w:rsid w:val="0C7E0587"/>
    <w:rsid w:val="0C7F4AC8"/>
    <w:rsid w:val="0C88EF27"/>
    <w:rsid w:val="0C8BB5FD"/>
    <w:rsid w:val="0C8F64AF"/>
    <w:rsid w:val="0C8F9168"/>
    <w:rsid w:val="0C921D80"/>
    <w:rsid w:val="0C9A708F"/>
    <w:rsid w:val="0C9C3B9A"/>
    <w:rsid w:val="0C9C8CD1"/>
    <w:rsid w:val="0CA0E46A"/>
    <w:rsid w:val="0CA4DC6A"/>
    <w:rsid w:val="0CA968FB"/>
    <w:rsid w:val="0CAC8694"/>
    <w:rsid w:val="0CAD1CB5"/>
    <w:rsid w:val="0CB6E20C"/>
    <w:rsid w:val="0CBBBB6A"/>
    <w:rsid w:val="0CC158F2"/>
    <w:rsid w:val="0CC7DAF1"/>
    <w:rsid w:val="0CC9353F"/>
    <w:rsid w:val="0CC982D3"/>
    <w:rsid w:val="0CCD2FD0"/>
    <w:rsid w:val="0CD13FC2"/>
    <w:rsid w:val="0CD53E3D"/>
    <w:rsid w:val="0CD6971B"/>
    <w:rsid w:val="0CDA170F"/>
    <w:rsid w:val="0CDDC878"/>
    <w:rsid w:val="0CDF24FD"/>
    <w:rsid w:val="0CE185B7"/>
    <w:rsid w:val="0CE6FCF9"/>
    <w:rsid w:val="0CE7B3F4"/>
    <w:rsid w:val="0CE7DC40"/>
    <w:rsid w:val="0CE9E23D"/>
    <w:rsid w:val="0CEE6F54"/>
    <w:rsid w:val="0CF01FC9"/>
    <w:rsid w:val="0CF0CF88"/>
    <w:rsid w:val="0CF30B91"/>
    <w:rsid w:val="0CF34A89"/>
    <w:rsid w:val="0CF45FFA"/>
    <w:rsid w:val="0CF4B722"/>
    <w:rsid w:val="0CF98B85"/>
    <w:rsid w:val="0CF9B93C"/>
    <w:rsid w:val="0CFDA70D"/>
    <w:rsid w:val="0D03DB7A"/>
    <w:rsid w:val="0D073857"/>
    <w:rsid w:val="0D0755B5"/>
    <w:rsid w:val="0D0760D1"/>
    <w:rsid w:val="0D07B86A"/>
    <w:rsid w:val="0D0820EB"/>
    <w:rsid w:val="0D0D4A87"/>
    <w:rsid w:val="0D0F7E06"/>
    <w:rsid w:val="0D150C35"/>
    <w:rsid w:val="0D17EB31"/>
    <w:rsid w:val="0D20D72A"/>
    <w:rsid w:val="0D23073B"/>
    <w:rsid w:val="0D237C0D"/>
    <w:rsid w:val="0D255730"/>
    <w:rsid w:val="0D29F3BF"/>
    <w:rsid w:val="0D2AC84B"/>
    <w:rsid w:val="0D2B843F"/>
    <w:rsid w:val="0D328B13"/>
    <w:rsid w:val="0D33514E"/>
    <w:rsid w:val="0D3843C8"/>
    <w:rsid w:val="0D389694"/>
    <w:rsid w:val="0D3B4F73"/>
    <w:rsid w:val="0D3BE560"/>
    <w:rsid w:val="0D4005C1"/>
    <w:rsid w:val="0D42C84A"/>
    <w:rsid w:val="0D45D518"/>
    <w:rsid w:val="0D4CC3AC"/>
    <w:rsid w:val="0D518F03"/>
    <w:rsid w:val="0D58BB00"/>
    <w:rsid w:val="0D593AF3"/>
    <w:rsid w:val="0D5C7807"/>
    <w:rsid w:val="0D5CADDF"/>
    <w:rsid w:val="0D5D9A86"/>
    <w:rsid w:val="0D608485"/>
    <w:rsid w:val="0D678AAD"/>
    <w:rsid w:val="0D69AD74"/>
    <w:rsid w:val="0D6BE190"/>
    <w:rsid w:val="0D70212C"/>
    <w:rsid w:val="0D714723"/>
    <w:rsid w:val="0D72A692"/>
    <w:rsid w:val="0D7711E8"/>
    <w:rsid w:val="0D77848F"/>
    <w:rsid w:val="0D80B20B"/>
    <w:rsid w:val="0D82BDA8"/>
    <w:rsid w:val="0D840C77"/>
    <w:rsid w:val="0D856A24"/>
    <w:rsid w:val="0D8B3DD4"/>
    <w:rsid w:val="0D90135E"/>
    <w:rsid w:val="0D9062AE"/>
    <w:rsid w:val="0D916218"/>
    <w:rsid w:val="0D91D9A2"/>
    <w:rsid w:val="0D94F358"/>
    <w:rsid w:val="0D98AFBC"/>
    <w:rsid w:val="0D9E9D3F"/>
    <w:rsid w:val="0DA505A4"/>
    <w:rsid w:val="0DA73145"/>
    <w:rsid w:val="0DAC2559"/>
    <w:rsid w:val="0DAE22D9"/>
    <w:rsid w:val="0DAF8831"/>
    <w:rsid w:val="0DB0B3F7"/>
    <w:rsid w:val="0DB37A64"/>
    <w:rsid w:val="0DB4D607"/>
    <w:rsid w:val="0DB80524"/>
    <w:rsid w:val="0DBB0845"/>
    <w:rsid w:val="0DBCA8BB"/>
    <w:rsid w:val="0DBD95AC"/>
    <w:rsid w:val="0DBEEC27"/>
    <w:rsid w:val="0DC11F14"/>
    <w:rsid w:val="0DC2A221"/>
    <w:rsid w:val="0DC4921E"/>
    <w:rsid w:val="0DC6584F"/>
    <w:rsid w:val="0DC7DCF7"/>
    <w:rsid w:val="0DC91358"/>
    <w:rsid w:val="0DCAAE1C"/>
    <w:rsid w:val="0DCAE70F"/>
    <w:rsid w:val="0DCE0E48"/>
    <w:rsid w:val="0DD3A897"/>
    <w:rsid w:val="0DD8651B"/>
    <w:rsid w:val="0DD87C47"/>
    <w:rsid w:val="0DDB6790"/>
    <w:rsid w:val="0DDC5B4A"/>
    <w:rsid w:val="0DDD1516"/>
    <w:rsid w:val="0DDED13F"/>
    <w:rsid w:val="0DDFF4BD"/>
    <w:rsid w:val="0DE1321A"/>
    <w:rsid w:val="0DE2C229"/>
    <w:rsid w:val="0DE3EDEB"/>
    <w:rsid w:val="0DE71B80"/>
    <w:rsid w:val="0DE75EB7"/>
    <w:rsid w:val="0DE79DB3"/>
    <w:rsid w:val="0DEC8CE1"/>
    <w:rsid w:val="0DEEBBA0"/>
    <w:rsid w:val="0DF6B6FD"/>
    <w:rsid w:val="0DF79C5E"/>
    <w:rsid w:val="0DF971EE"/>
    <w:rsid w:val="0DFA1498"/>
    <w:rsid w:val="0DFAB921"/>
    <w:rsid w:val="0DFF6098"/>
    <w:rsid w:val="0E04C0C7"/>
    <w:rsid w:val="0E07C146"/>
    <w:rsid w:val="0E09DAF1"/>
    <w:rsid w:val="0E0CB388"/>
    <w:rsid w:val="0E0CB8C5"/>
    <w:rsid w:val="0E0FCA1B"/>
    <w:rsid w:val="0E1A05CA"/>
    <w:rsid w:val="0E1C2163"/>
    <w:rsid w:val="0E1D86E0"/>
    <w:rsid w:val="0E1EC42F"/>
    <w:rsid w:val="0E1FBFB4"/>
    <w:rsid w:val="0E23D505"/>
    <w:rsid w:val="0E252C84"/>
    <w:rsid w:val="0E25854C"/>
    <w:rsid w:val="0E27F189"/>
    <w:rsid w:val="0E29EE5E"/>
    <w:rsid w:val="0E2A8BA8"/>
    <w:rsid w:val="0E3707E7"/>
    <w:rsid w:val="0E3A7CA1"/>
    <w:rsid w:val="0E425103"/>
    <w:rsid w:val="0E4827D5"/>
    <w:rsid w:val="0E4AE2FF"/>
    <w:rsid w:val="0E5226B1"/>
    <w:rsid w:val="0E529466"/>
    <w:rsid w:val="0E52BCA3"/>
    <w:rsid w:val="0E560027"/>
    <w:rsid w:val="0E596021"/>
    <w:rsid w:val="0E5A5FB5"/>
    <w:rsid w:val="0E5C5863"/>
    <w:rsid w:val="0E5C875F"/>
    <w:rsid w:val="0E610672"/>
    <w:rsid w:val="0E61D01E"/>
    <w:rsid w:val="0E626D2E"/>
    <w:rsid w:val="0E660BC9"/>
    <w:rsid w:val="0E6CB2AD"/>
    <w:rsid w:val="0E6D9467"/>
    <w:rsid w:val="0E6E9CAA"/>
    <w:rsid w:val="0E6F55B7"/>
    <w:rsid w:val="0E6F6AF6"/>
    <w:rsid w:val="0E6F6DF5"/>
    <w:rsid w:val="0E72D317"/>
    <w:rsid w:val="0E7317FB"/>
    <w:rsid w:val="0E73F500"/>
    <w:rsid w:val="0E74CCA8"/>
    <w:rsid w:val="0E750531"/>
    <w:rsid w:val="0E7610BD"/>
    <w:rsid w:val="0E77783C"/>
    <w:rsid w:val="0E7892B7"/>
    <w:rsid w:val="0E8122A7"/>
    <w:rsid w:val="0E818240"/>
    <w:rsid w:val="0E82F71F"/>
    <w:rsid w:val="0E8AA133"/>
    <w:rsid w:val="0E8B3C3C"/>
    <w:rsid w:val="0E8FE3AA"/>
    <w:rsid w:val="0E91DC10"/>
    <w:rsid w:val="0E9354E5"/>
    <w:rsid w:val="0E96B8E5"/>
    <w:rsid w:val="0E991186"/>
    <w:rsid w:val="0E9B7EDB"/>
    <w:rsid w:val="0E9C091F"/>
    <w:rsid w:val="0E9D2F38"/>
    <w:rsid w:val="0E9EF225"/>
    <w:rsid w:val="0E9FED01"/>
    <w:rsid w:val="0EA33636"/>
    <w:rsid w:val="0EA3DD38"/>
    <w:rsid w:val="0EA48DF4"/>
    <w:rsid w:val="0EA561D3"/>
    <w:rsid w:val="0EA6D266"/>
    <w:rsid w:val="0EA95307"/>
    <w:rsid w:val="0EABB04D"/>
    <w:rsid w:val="0EAD3A87"/>
    <w:rsid w:val="0EAD6C8D"/>
    <w:rsid w:val="0EAEEB44"/>
    <w:rsid w:val="0EB347BE"/>
    <w:rsid w:val="0EB98F21"/>
    <w:rsid w:val="0EC02C09"/>
    <w:rsid w:val="0EC11596"/>
    <w:rsid w:val="0EC25D97"/>
    <w:rsid w:val="0EC504E8"/>
    <w:rsid w:val="0EC5AD9C"/>
    <w:rsid w:val="0EC5ED97"/>
    <w:rsid w:val="0EC6CE8A"/>
    <w:rsid w:val="0EC75EFF"/>
    <w:rsid w:val="0ECD8065"/>
    <w:rsid w:val="0ECE7539"/>
    <w:rsid w:val="0ED149FF"/>
    <w:rsid w:val="0ED202C5"/>
    <w:rsid w:val="0ED242A3"/>
    <w:rsid w:val="0EDBE737"/>
    <w:rsid w:val="0EDBE982"/>
    <w:rsid w:val="0EDC96F0"/>
    <w:rsid w:val="0EE2074D"/>
    <w:rsid w:val="0EE4A340"/>
    <w:rsid w:val="0EE535E1"/>
    <w:rsid w:val="0EE5D411"/>
    <w:rsid w:val="0EEA2769"/>
    <w:rsid w:val="0EEA5F93"/>
    <w:rsid w:val="0EEAB5BD"/>
    <w:rsid w:val="0EED1B24"/>
    <w:rsid w:val="0EEF583C"/>
    <w:rsid w:val="0EF31BDE"/>
    <w:rsid w:val="0EF3C4BA"/>
    <w:rsid w:val="0EF47D11"/>
    <w:rsid w:val="0EF4C65F"/>
    <w:rsid w:val="0EF723BC"/>
    <w:rsid w:val="0F0236EF"/>
    <w:rsid w:val="0F046960"/>
    <w:rsid w:val="0F056933"/>
    <w:rsid w:val="0F0678EE"/>
    <w:rsid w:val="0F080865"/>
    <w:rsid w:val="0F088BD0"/>
    <w:rsid w:val="0F0F15AA"/>
    <w:rsid w:val="0F1226F9"/>
    <w:rsid w:val="0F133141"/>
    <w:rsid w:val="0F137264"/>
    <w:rsid w:val="0F17ECFD"/>
    <w:rsid w:val="0F189046"/>
    <w:rsid w:val="0F199968"/>
    <w:rsid w:val="0F19B049"/>
    <w:rsid w:val="0F21A3C7"/>
    <w:rsid w:val="0F21BD28"/>
    <w:rsid w:val="0F236786"/>
    <w:rsid w:val="0F23F651"/>
    <w:rsid w:val="0F257B8B"/>
    <w:rsid w:val="0F2718D6"/>
    <w:rsid w:val="0F2B9129"/>
    <w:rsid w:val="0F2D456F"/>
    <w:rsid w:val="0F39E8F4"/>
    <w:rsid w:val="0F3C65E8"/>
    <w:rsid w:val="0F3E870A"/>
    <w:rsid w:val="0F40234F"/>
    <w:rsid w:val="0F45497A"/>
    <w:rsid w:val="0F477EA9"/>
    <w:rsid w:val="0F510800"/>
    <w:rsid w:val="0F554749"/>
    <w:rsid w:val="0F556301"/>
    <w:rsid w:val="0F558D3D"/>
    <w:rsid w:val="0F5784ED"/>
    <w:rsid w:val="0F5A7BA6"/>
    <w:rsid w:val="0F5C3177"/>
    <w:rsid w:val="0F5C9A1E"/>
    <w:rsid w:val="0F5E320D"/>
    <w:rsid w:val="0F5FEE19"/>
    <w:rsid w:val="0F614504"/>
    <w:rsid w:val="0F6214FF"/>
    <w:rsid w:val="0F6A2A0A"/>
    <w:rsid w:val="0F73A79C"/>
    <w:rsid w:val="0F7401CB"/>
    <w:rsid w:val="0F767D31"/>
    <w:rsid w:val="0F788C99"/>
    <w:rsid w:val="0F78B1F7"/>
    <w:rsid w:val="0F7BCFFE"/>
    <w:rsid w:val="0F7CF6B7"/>
    <w:rsid w:val="0F7DC3EF"/>
    <w:rsid w:val="0F7E051C"/>
    <w:rsid w:val="0F83061C"/>
    <w:rsid w:val="0F86D6DD"/>
    <w:rsid w:val="0F89A5A9"/>
    <w:rsid w:val="0F8AE49C"/>
    <w:rsid w:val="0F8CCE98"/>
    <w:rsid w:val="0F8D16A1"/>
    <w:rsid w:val="0F8DDBA2"/>
    <w:rsid w:val="0F8E18BC"/>
    <w:rsid w:val="0F8E74D9"/>
    <w:rsid w:val="0F92AF7D"/>
    <w:rsid w:val="0F92EACA"/>
    <w:rsid w:val="0F984AA3"/>
    <w:rsid w:val="0F990D1E"/>
    <w:rsid w:val="0F9D1405"/>
    <w:rsid w:val="0F9D7321"/>
    <w:rsid w:val="0F9DCC37"/>
    <w:rsid w:val="0FA17FA0"/>
    <w:rsid w:val="0FA5AC37"/>
    <w:rsid w:val="0FA750D1"/>
    <w:rsid w:val="0FA9733C"/>
    <w:rsid w:val="0FA9F9CC"/>
    <w:rsid w:val="0FAC95E3"/>
    <w:rsid w:val="0FAD5676"/>
    <w:rsid w:val="0FAE5510"/>
    <w:rsid w:val="0FB20AAC"/>
    <w:rsid w:val="0FB24AB4"/>
    <w:rsid w:val="0FB2710F"/>
    <w:rsid w:val="0FB3E47A"/>
    <w:rsid w:val="0FB4FCAB"/>
    <w:rsid w:val="0FB5506A"/>
    <w:rsid w:val="0FB7D1DB"/>
    <w:rsid w:val="0FB84752"/>
    <w:rsid w:val="0FB91D09"/>
    <w:rsid w:val="0FBB2560"/>
    <w:rsid w:val="0FBDCA46"/>
    <w:rsid w:val="0FC1151E"/>
    <w:rsid w:val="0FC12848"/>
    <w:rsid w:val="0FC4F703"/>
    <w:rsid w:val="0FC57D2C"/>
    <w:rsid w:val="0FC5E75D"/>
    <w:rsid w:val="0FC5EAD2"/>
    <w:rsid w:val="0FCB3BBD"/>
    <w:rsid w:val="0FCDA306"/>
    <w:rsid w:val="0FCE9166"/>
    <w:rsid w:val="0FCE93EB"/>
    <w:rsid w:val="0FCF44C6"/>
    <w:rsid w:val="0FD28930"/>
    <w:rsid w:val="0FD3C36A"/>
    <w:rsid w:val="0FD3F4F7"/>
    <w:rsid w:val="0FD56E74"/>
    <w:rsid w:val="0FD7F603"/>
    <w:rsid w:val="0FD91433"/>
    <w:rsid w:val="0FDA164C"/>
    <w:rsid w:val="0FE920FD"/>
    <w:rsid w:val="0FEA9A53"/>
    <w:rsid w:val="0FEE34D7"/>
    <w:rsid w:val="0FF03DD7"/>
    <w:rsid w:val="0FF0DC3E"/>
    <w:rsid w:val="0FFC05FE"/>
    <w:rsid w:val="0FFC29CA"/>
    <w:rsid w:val="0FFE6539"/>
    <w:rsid w:val="1006F615"/>
    <w:rsid w:val="10071A6D"/>
    <w:rsid w:val="10083A19"/>
    <w:rsid w:val="100B1173"/>
    <w:rsid w:val="100E0EC0"/>
    <w:rsid w:val="100F9A48"/>
    <w:rsid w:val="1010EE18"/>
    <w:rsid w:val="10147868"/>
    <w:rsid w:val="101499E7"/>
    <w:rsid w:val="101500A5"/>
    <w:rsid w:val="10163E72"/>
    <w:rsid w:val="10186364"/>
    <w:rsid w:val="10191BE6"/>
    <w:rsid w:val="101AB823"/>
    <w:rsid w:val="101B0E71"/>
    <w:rsid w:val="1020C242"/>
    <w:rsid w:val="1022C019"/>
    <w:rsid w:val="10237421"/>
    <w:rsid w:val="1023CC9A"/>
    <w:rsid w:val="10250957"/>
    <w:rsid w:val="1025C2B7"/>
    <w:rsid w:val="1028BF59"/>
    <w:rsid w:val="102940CA"/>
    <w:rsid w:val="10298756"/>
    <w:rsid w:val="102A6FFF"/>
    <w:rsid w:val="102ACCAB"/>
    <w:rsid w:val="102CF893"/>
    <w:rsid w:val="10303E32"/>
    <w:rsid w:val="1037031B"/>
    <w:rsid w:val="103EB686"/>
    <w:rsid w:val="103F28AA"/>
    <w:rsid w:val="103F416B"/>
    <w:rsid w:val="10411E54"/>
    <w:rsid w:val="1049615F"/>
    <w:rsid w:val="10499A02"/>
    <w:rsid w:val="1050D6E8"/>
    <w:rsid w:val="10513536"/>
    <w:rsid w:val="1051EAD5"/>
    <w:rsid w:val="1051EF61"/>
    <w:rsid w:val="10520F59"/>
    <w:rsid w:val="105857B0"/>
    <w:rsid w:val="1059853B"/>
    <w:rsid w:val="105BC967"/>
    <w:rsid w:val="105CCFB0"/>
    <w:rsid w:val="10647F58"/>
    <w:rsid w:val="106BBC63"/>
    <w:rsid w:val="106F5102"/>
    <w:rsid w:val="107321B8"/>
    <w:rsid w:val="1075E68D"/>
    <w:rsid w:val="107687A0"/>
    <w:rsid w:val="107F31B4"/>
    <w:rsid w:val="107FBC5B"/>
    <w:rsid w:val="1081CFD4"/>
    <w:rsid w:val="10954B59"/>
    <w:rsid w:val="109D0B0F"/>
    <w:rsid w:val="10A26A29"/>
    <w:rsid w:val="10A54AC6"/>
    <w:rsid w:val="10A7F448"/>
    <w:rsid w:val="10A83484"/>
    <w:rsid w:val="10AEDAAD"/>
    <w:rsid w:val="10B025FE"/>
    <w:rsid w:val="10B0A17B"/>
    <w:rsid w:val="10B20723"/>
    <w:rsid w:val="10B3446F"/>
    <w:rsid w:val="10B534B3"/>
    <w:rsid w:val="10B7D053"/>
    <w:rsid w:val="10B81BC6"/>
    <w:rsid w:val="10B8DBC6"/>
    <w:rsid w:val="10BBBF93"/>
    <w:rsid w:val="10BE4197"/>
    <w:rsid w:val="10BEB113"/>
    <w:rsid w:val="10BF3037"/>
    <w:rsid w:val="10C2EAC0"/>
    <w:rsid w:val="10CAD369"/>
    <w:rsid w:val="10CD554B"/>
    <w:rsid w:val="10CE3BCB"/>
    <w:rsid w:val="10CEEE97"/>
    <w:rsid w:val="10CF55DF"/>
    <w:rsid w:val="10D16D00"/>
    <w:rsid w:val="10D27D85"/>
    <w:rsid w:val="10D3BFAB"/>
    <w:rsid w:val="10D4F54A"/>
    <w:rsid w:val="10D67D81"/>
    <w:rsid w:val="10D8FF61"/>
    <w:rsid w:val="10DA12A6"/>
    <w:rsid w:val="10DD633A"/>
    <w:rsid w:val="10DF331A"/>
    <w:rsid w:val="10E3BEA6"/>
    <w:rsid w:val="10E485C7"/>
    <w:rsid w:val="10EB7C51"/>
    <w:rsid w:val="10EF0965"/>
    <w:rsid w:val="10EF388E"/>
    <w:rsid w:val="10F13477"/>
    <w:rsid w:val="10F32F53"/>
    <w:rsid w:val="10F37666"/>
    <w:rsid w:val="10F470C6"/>
    <w:rsid w:val="10F95D87"/>
    <w:rsid w:val="10FAC18D"/>
    <w:rsid w:val="10FDF137"/>
    <w:rsid w:val="10FF23B5"/>
    <w:rsid w:val="10FF8059"/>
    <w:rsid w:val="11027E5A"/>
    <w:rsid w:val="1102D2FA"/>
    <w:rsid w:val="11059492"/>
    <w:rsid w:val="1108CEFF"/>
    <w:rsid w:val="1109B854"/>
    <w:rsid w:val="110AA6EA"/>
    <w:rsid w:val="110D0EBD"/>
    <w:rsid w:val="110E093D"/>
    <w:rsid w:val="1111721B"/>
    <w:rsid w:val="1115870E"/>
    <w:rsid w:val="111AC875"/>
    <w:rsid w:val="1123D6D2"/>
    <w:rsid w:val="1123E094"/>
    <w:rsid w:val="1129FDD1"/>
    <w:rsid w:val="112B559F"/>
    <w:rsid w:val="112E0F68"/>
    <w:rsid w:val="11306F56"/>
    <w:rsid w:val="1131D65B"/>
    <w:rsid w:val="11372634"/>
    <w:rsid w:val="113BC9D7"/>
    <w:rsid w:val="113F46B3"/>
    <w:rsid w:val="114031D2"/>
    <w:rsid w:val="11452698"/>
    <w:rsid w:val="11455B96"/>
    <w:rsid w:val="11471E87"/>
    <w:rsid w:val="114ED29D"/>
    <w:rsid w:val="1156B313"/>
    <w:rsid w:val="115C4A49"/>
    <w:rsid w:val="115C5ED4"/>
    <w:rsid w:val="11608466"/>
    <w:rsid w:val="11609805"/>
    <w:rsid w:val="11609C31"/>
    <w:rsid w:val="11618199"/>
    <w:rsid w:val="1163ADC9"/>
    <w:rsid w:val="11695003"/>
    <w:rsid w:val="116B06C9"/>
    <w:rsid w:val="116E8DD1"/>
    <w:rsid w:val="11706416"/>
    <w:rsid w:val="117206D7"/>
    <w:rsid w:val="1172BF80"/>
    <w:rsid w:val="1175BE0D"/>
    <w:rsid w:val="117CD0EB"/>
    <w:rsid w:val="11812FCB"/>
    <w:rsid w:val="11840527"/>
    <w:rsid w:val="11841230"/>
    <w:rsid w:val="118737CF"/>
    <w:rsid w:val="118D87E0"/>
    <w:rsid w:val="118E1350"/>
    <w:rsid w:val="1191625F"/>
    <w:rsid w:val="11932697"/>
    <w:rsid w:val="119BC63B"/>
    <w:rsid w:val="119CFC5A"/>
    <w:rsid w:val="119D3DF1"/>
    <w:rsid w:val="119E45F4"/>
    <w:rsid w:val="119E7853"/>
    <w:rsid w:val="11A03200"/>
    <w:rsid w:val="11A04498"/>
    <w:rsid w:val="11A72680"/>
    <w:rsid w:val="11A9A4C7"/>
    <w:rsid w:val="11ABB41C"/>
    <w:rsid w:val="11B271D6"/>
    <w:rsid w:val="11B4A460"/>
    <w:rsid w:val="11B5D318"/>
    <w:rsid w:val="11B66EA9"/>
    <w:rsid w:val="11BCEDDA"/>
    <w:rsid w:val="11BE88D1"/>
    <w:rsid w:val="11C0E0FA"/>
    <w:rsid w:val="11C25110"/>
    <w:rsid w:val="11C2B153"/>
    <w:rsid w:val="11C357B7"/>
    <w:rsid w:val="11C64C05"/>
    <w:rsid w:val="11C97E99"/>
    <w:rsid w:val="11CB1394"/>
    <w:rsid w:val="11D93B07"/>
    <w:rsid w:val="11DDB784"/>
    <w:rsid w:val="11DFA0F1"/>
    <w:rsid w:val="11E198AC"/>
    <w:rsid w:val="11E2B4DE"/>
    <w:rsid w:val="11E3B235"/>
    <w:rsid w:val="11E4BC4F"/>
    <w:rsid w:val="11E5BC44"/>
    <w:rsid w:val="11E6064D"/>
    <w:rsid w:val="11E8AF00"/>
    <w:rsid w:val="11EE4E72"/>
    <w:rsid w:val="11EF915A"/>
    <w:rsid w:val="11F479B1"/>
    <w:rsid w:val="11F53B8F"/>
    <w:rsid w:val="11F6F96E"/>
    <w:rsid w:val="11FBCDF6"/>
    <w:rsid w:val="12066AE8"/>
    <w:rsid w:val="120B1D34"/>
    <w:rsid w:val="12114372"/>
    <w:rsid w:val="12155806"/>
    <w:rsid w:val="1219F301"/>
    <w:rsid w:val="121B78AD"/>
    <w:rsid w:val="121D308B"/>
    <w:rsid w:val="121E45F0"/>
    <w:rsid w:val="121FA38F"/>
    <w:rsid w:val="12201F22"/>
    <w:rsid w:val="1221C0C9"/>
    <w:rsid w:val="1224864B"/>
    <w:rsid w:val="1228151D"/>
    <w:rsid w:val="1229ABEE"/>
    <w:rsid w:val="122DB986"/>
    <w:rsid w:val="122E2C79"/>
    <w:rsid w:val="12326CA6"/>
    <w:rsid w:val="123310BC"/>
    <w:rsid w:val="1235D6F0"/>
    <w:rsid w:val="1236E1DD"/>
    <w:rsid w:val="12372312"/>
    <w:rsid w:val="1237AEBF"/>
    <w:rsid w:val="1239A4A7"/>
    <w:rsid w:val="123B0C93"/>
    <w:rsid w:val="123B96F0"/>
    <w:rsid w:val="123F7E39"/>
    <w:rsid w:val="1246BEB7"/>
    <w:rsid w:val="1247DEDF"/>
    <w:rsid w:val="124A2B10"/>
    <w:rsid w:val="12516769"/>
    <w:rsid w:val="12535209"/>
    <w:rsid w:val="1253B441"/>
    <w:rsid w:val="125548C0"/>
    <w:rsid w:val="1257306C"/>
    <w:rsid w:val="1259DCF7"/>
    <w:rsid w:val="125BC16E"/>
    <w:rsid w:val="125D406C"/>
    <w:rsid w:val="1263186B"/>
    <w:rsid w:val="1268282B"/>
    <w:rsid w:val="126A22E4"/>
    <w:rsid w:val="126CD71C"/>
    <w:rsid w:val="126DC42D"/>
    <w:rsid w:val="1278E2DC"/>
    <w:rsid w:val="12795699"/>
    <w:rsid w:val="127F5EEF"/>
    <w:rsid w:val="12821FF0"/>
    <w:rsid w:val="1283F5BF"/>
    <w:rsid w:val="128C7B27"/>
    <w:rsid w:val="128F45F3"/>
    <w:rsid w:val="129278BF"/>
    <w:rsid w:val="12929746"/>
    <w:rsid w:val="1296CC5E"/>
    <w:rsid w:val="1296DAAE"/>
    <w:rsid w:val="1297204B"/>
    <w:rsid w:val="1297E6A7"/>
    <w:rsid w:val="129A512F"/>
    <w:rsid w:val="129A8C8A"/>
    <w:rsid w:val="129F0910"/>
    <w:rsid w:val="129F2004"/>
    <w:rsid w:val="12A0ACA6"/>
    <w:rsid w:val="12A746F8"/>
    <w:rsid w:val="12A93203"/>
    <w:rsid w:val="12AB0F94"/>
    <w:rsid w:val="12ACD72E"/>
    <w:rsid w:val="12B1897C"/>
    <w:rsid w:val="12B524BC"/>
    <w:rsid w:val="12BED960"/>
    <w:rsid w:val="12C26E83"/>
    <w:rsid w:val="12C8E0A0"/>
    <w:rsid w:val="12D51B70"/>
    <w:rsid w:val="12DA8E94"/>
    <w:rsid w:val="12DB44A9"/>
    <w:rsid w:val="12DD9824"/>
    <w:rsid w:val="12DE2700"/>
    <w:rsid w:val="12DFC92A"/>
    <w:rsid w:val="12E0C4C9"/>
    <w:rsid w:val="12E1D9F0"/>
    <w:rsid w:val="12EA9E7C"/>
    <w:rsid w:val="12EFF4B5"/>
    <w:rsid w:val="12F51382"/>
    <w:rsid w:val="12F5EBA3"/>
    <w:rsid w:val="12FA0482"/>
    <w:rsid w:val="12FB1C5E"/>
    <w:rsid w:val="13007C37"/>
    <w:rsid w:val="13014E2C"/>
    <w:rsid w:val="1302885B"/>
    <w:rsid w:val="1307E144"/>
    <w:rsid w:val="1307FAF6"/>
    <w:rsid w:val="130AC059"/>
    <w:rsid w:val="130C3477"/>
    <w:rsid w:val="130C746C"/>
    <w:rsid w:val="130DC82F"/>
    <w:rsid w:val="130DFBAD"/>
    <w:rsid w:val="130F14EA"/>
    <w:rsid w:val="1310084C"/>
    <w:rsid w:val="13142180"/>
    <w:rsid w:val="131D03CB"/>
    <w:rsid w:val="13230160"/>
    <w:rsid w:val="1326B40E"/>
    <w:rsid w:val="132A153B"/>
    <w:rsid w:val="13322CB4"/>
    <w:rsid w:val="13339965"/>
    <w:rsid w:val="1333CA8C"/>
    <w:rsid w:val="1333EA8C"/>
    <w:rsid w:val="1333FE84"/>
    <w:rsid w:val="13371E3A"/>
    <w:rsid w:val="1337935A"/>
    <w:rsid w:val="133A47C2"/>
    <w:rsid w:val="133A8643"/>
    <w:rsid w:val="133BD18C"/>
    <w:rsid w:val="13408CF9"/>
    <w:rsid w:val="1341ACA8"/>
    <w:rsid w:val="1341F7F7"/>
    <w:rsid w:val="1341FCF3"/>
    <w:rsid w:val="13424C56"/>
    <w:rsid w:val="13426640"/>
    <w:rsid w:val="1344D8F5"/>
    <w:rsid w:val="1346471A"/>
    <w:rsid w:val="134DE78A"/>
    <w:rsid w:val="134E2D07"/>
    <w:rsid w:val="13524EC3"/>
    <w:rsid w:val="13544313"/>
    <w:rsid w:val="135657B4"/>
    <w:rsid w:val="1356C5AB"/>
    <w:rsid w:val="135745A1"/>
    <w:rsid w:val="13575842"/>
    <w:rsid w:val="1358CD38"/>
    <w:rsid w:val="135B4BF5"/>
    <w:rsid w:val="135FDB3A"/>
    <w:rsid w:val="1361782A"/>
    <w:rsid w:val="1362A19B"/>
    <w:rsid w:val="1365A9F9"/>
    <w:rsid w:val="136A9833"/>
    <w:rsid w:val="136DEE77"/>
    <w:rsid w:val="136E3AC4"/>
    <w:rsid w:val="1370A917"/>
    <w:rsid w:val="13727EB5"/>
    <w:rsid w:val="13798359"/>
    <w:rsid w:val="137C8595"/>
    <w:rsid w:val="137DC83F"/>
    <w:rsid w:val="13815119"/>
    <w:rsid w:val="13862523"/>
    <w:rsid w:val="138805AA"/>
    <w:rsid w:val="13891E0F"/>
    <w:rsid w:val="138AD189"/>
    <w:rsid w:val="138F9BAF"/>
    <w:rsid w:val="1393A79B"/>
    <w:rsid w:val="13959CD2"/>
    <w:rsid w:val="13A0066B"/>
    <w:rsid w:val="13A0855D"/>
    <w:rsid w:val="13A1151C"/>
    <w:rsid w:val="13A27EAE"/>
    <w:rsid w:val="13A394F7"/>
    <w:rsid w:val="13A47DF2"/>
    <w:rsid w:val="13AB3E79"/>
    <w:rsid w:val="13ABCFD7"/>
    <w:rsid w:val="13AC1FB4"/>
    <w:rsid w:val="13AC2EBA"/>
    <w:rsid w:val="13B2C240"/>
    <w:rsid w:val="13B31BBD"/>
    <w:rsid w:val="13B5450F"/>
    <w:rsid w:val="13B60C42"/>
    <w:rsid w:val="13B6149E"/>
    <w:rsid w:val="13BCF5C3"/>
    <w:rsid w:val="13BD5D36"/>
    <w:rsid w:val="13C643BF"/>
    <w:rsid w:val="13C7889A"/>
    <w:rsid w:val="13C79732"/>
    <w:rsid w:val="13C8EDE9"/>
    <w:rsid w:val="13CFDBE2"/>
    <w:rsid w:val="13D1B57A"/>
    <w:rsid w:val="13D22840"/>
    <w:rsid w:val="13D5AE77"/>
    <w:rsid w:val="13DEC7F4"/>
    <w:rsid w:val="13DF8D70"/>
    <w:rsid w:val="13E2D2FE"/>
    <w:rsid w:val="13E423D4"/>
    <w:rsid w:val="13E61D0A"/>
    <w:rsid w:val="13E79B44"/>
    <w:rsid w:val="13F0ADD3"/>
    <w:rsid w:val="13F21DE4"/>
    <w:rsid w:val="13F58B9D"/>
    <w:rsid w:val="13FB0D6F"/>
    <w:rsid w:val="13FC4D44"/>
    <w:rsid w:val="13FE404E"/>
    <w:rsid w:val="1400582A"/>
    <w:rsid w:val="14014B72"/>
    <w:rsid w:val="1401EC3D"/>
    <w:rsid w:val="1404208C"/>
    <w:rsid w:val="1405617D"/>
    <w:rsid w:val="140DCA13"/>
    <w:rsid w:val="140F0202"/>
    <w:rsid w:val="141097CC"/>
    <w:rsid w:val="141409B0"/>
    <w:rsid w:val="1416D92F"/>
    <w:rsid w:val="141943EA"/>
    <w:rsid w:val="1420CBE9"/>
    <w:rsid w:val="14229B57"/>
    <w:rsid w:val="14234104"/>
    <w:rsid w:val="1424256A"/>
    <w:rsid w:val="1424657F"/>
    <w:rsid w:val="1424967C"/>
    <w:rsid w:val="14262C9D"/>
    <w:rsid w:val="1428348B"/>
    <w:rsid w:val="1429DA2E"/>
    <w:rsid w:val="142A8D5A"/>
    <w:rsid w:val="143364C5"/>
    <w:rsid w:val="14337CE2"/>
    <w:rsid w:val="14356336"/>
    <w:rsid w:val="14393FCA"/>
    <w:rsid w:val="143B01D4"/>
    <w:rsid w:val="143F873A"/>
    <w:rsid w:val="1443A97A"/>
    <w:rsid w:val="144458E2"/>
    <w:rsid w:val="1444A4C3"/>
    <w:rsid w:val="14460065"/>
    <w:rsid w:val="144652CD"/>
    <w:rsid w:val="1447EB14"/>
    <w:rsid w:val="144B5347"/>
    <w:rsid w:val="144B97A8"/>
    <w:rsid w:val="144B985E"/>
    <w:rsid w:val="144E8558"/>
    <w:rsid w:val="14502CA7"/>
    <w:rsid w:val="1451B1A2"/>
    <w:rsid w:val="1456F752"/>
    <w:rsid w:val="14618BED"/>
    <w:rsid w:val="14633B1F"/>
    <w:rsid w:val="14692E13"/>
    <w:rsid w:val="146A2810"/>
    <w:rsid w:val="146B0084"/>
    <w:rsid w:val="147035A2"/>
    <w:rsid w:val="14715017"/>
    <w:rsid w:val="147C9E2F"/>
    <w:rsid w:val="14858D69"/>
    <w:rsid w:val="14876245"/>
    <w:rsid w:val="148A4AFD"/>
    <w:rsid w:val="148ADA9B"/>
    <w:rsid w:val="148C848A"/>
    <w:rsid w:val="1497FF70"/>
    <w:rsid w:val="1499E439"/>
    <w:rsid w:val="149D3818"/>
    <w:rsid w:val="149D8824"/>
    <w:rsid w:val="14A03C5E"/>
    <w:rsid w:val="14A17998"/>
    <w:rsid w:val="14A6110F"/>
    <w:rsid w:val="14A95717"/>
    <w:rsid w:val="14AB8E4F"/>
    <w:rsid w:val="14AE5132"/>
    <w:rsid w:val="14B31876"/>
    <w:rsid w:val="14B9581F"/>
    <w:rsid w:val="14BCCC1B"/>
    <w:rsid w:val="14BE0175"/>
    <w:rsid w:val="14C18022"/>
    <w:rsid w:val="14C46707"/>
    <w:rsid w:val="14C505A3"/>
    <w:rsid w:val="14C787E8"/>
    <w:rsid w:val="14D620E3"/>
    <w:rsid w:val="14DA9A34"/>
    <w:rsid w:val="14DD8B37"/>
    <w:rsid w:val="14DE3FCD"/>
    <w:rsid w:val="14E031A7"/>
    <w:rsid w:val="14E1C6D2"/>
    <w:rsid w:val="14E30B6B"/>
    <w:rsid w:val="14E45F3B"/>
    <w:rsid w:val="14E62B7C"/>
    <w:rsid w:val="14E9B677"/>
    <w:rsid w:val="14EC9BE4"/>
    <w:rsid w:val="14EF5E52"/>
    <w:rsid w:val="14F16014"/>
    <w:rsid w:val="14F44EE4"/>
    <w:rsid w:val="14F462AF"/>
    <w:rsid w:val="14FA7DC0"/>
    <w:rsid w:val="14FB3BAC"/>
    <w:rsid w:val="14FBF6B3"/>
    <w:rsid w:val="14FC4BF7"/>
    <w:rsid w:val="14FF33FF"/>
    <w:rsid w:val="150AEE4F"/>
    <w:rsid w:val="150B12C3"/>
    <w:rsid w:val="150CD29F"/>
    <w:rsid w:val="15174772"/>
    <w:rsid w:val="1519AC49"/>
    <w:rsid w:val="151AEF21"/>
    <w:rsid w:val="151B1B67"/>
    <w:rsid w:val="151CCC7E"/>
    <w:rsid w:val="151D9EA7"/>
    <w:rsid w:val="151F4E0B"/>
    <w:rsid w:val="15214744"/>
    <w:rsid w:val="15243232"/>
    <w:rsid w:val="15285719"/>
    <w:rsid w:val="15286281"/>
    <w:rsid w:val="152EAD07"/>
    <w:rsid w:val="152ECD17"/>
    <w:rsid w:val="1535C3C1"/>
    <w:rsid w:val="1540679C"/>
    <w:rsid w:val="154118D7"/>
    <w:rsid w:val="1548E637"/>
    <w:rsid w:val="154A5AC9"/>
    <w:rsid w:val="154C9BC1"/>
    <w:rsid w:val="154ECDF4"/>
    <w:rsid w:val="15566FA3"/>
    <w:rsid w:val="155A0A03"/>
    <w:rsid w:val="155A6635"/>
    <w:rsid w:val="155B148B"/>
    <w:rsid w:val="155BB1D0"/>
    <w:rsid w:val="155D41D1"/>
    <w:rsid w:val="1560B97C"/>
    <w:rsid w:val="156274B5"/>
    <w:rsid w:val="1562BB64"/>
    <w:rsid w:val="15653D2C"/>
    <w:rsid w:val="156B3CFF"/>
    <w:rsid w:val="156E4FEF"/>
    <w:rsid w:val="156F1ACE"/>
    <w:rsid w:val="15724E62"/>
    <w:rsid w:val="157461F4"/>
    <w:rsid w:val="157489E0"/>
    <w:rsid w:val="157CDE23"/>
    <w:rsid w:val="157FFABD"/>
    <w:rsid w:val="15853EE4"/>
    <w:rsid w:val="15881FD5"/>
    <w:rsid w:val="1589DD75"/>
    <w:rsid w:val="158CEF9B"/>
    <w:rsid w:val="158EB133"/>
    <w:rsid w:val="158FB6B5"/>
    <w:rsid w:val="15991EEE"/>
    <w:rsid w:val="159E1E5E"/>
    <w:rsid w:val="159F0A8F"/>
    <w:rsid w:val="15A650F1"/>
    <w:rsid w:val="15AD3C75"/>
    <w:rsid w:val="15B018E7"/>
    <w:rsid w:val="15BCB159"/>
    <w:rsid w:val="15BFCCD5"/>
    <w:rsid w:val="15C27628"/>
    <w:rsid w:val="15C3605B"/>
    <w:rsid w:val="15C4401D"/>
    <w:rsid w:val="15C63879"/>
    <w:rsid w:val="15C660AC"/>
    <w:rsid w:val="15CE2EA5"/>
    <w:rsid w:val="15CEC13A"/>
    <w:rsid w:val="15CEEB84"/>
    <w:rsid w:val="15D22C52"/>
    <w:rsid w:val="15D338BB"/>
    <w:rsid w:val="15E21D41"/>
    <w:rsid w:val="15E23E41"/>
    <w:rsid w:val="15E3F597"/>
    <w:rsid w:val="15E587C2"/>
    <w:rsid w:val="15E6532D"/>
    <w:rsid w:val="15E688CC"/>
    <w:rsid w:val="15E6D5EE"/>
    <w:rsid w:val="15EA9552"/>
    <w:rsid w:val="15EB0CBF"/>
    <w:rsid w:val="15ECBD93"/>
    <w:rsid w:val="15EE2060"/>
    <w:rsid w:val="15F2F702"/>
    <w:rsid w:val="15F51231"/>
    <w:rsid w:val="15F9E318"/>
    <w:rsid w:val="15FD531C"/>
    <w:rsid w:val="15FF7B8A"/>
    <w:rsid w:val="1603C658"/>
    <w:rsid w:val="1603DEDF"/>
    <w:rsid w:val="1604B047"/>
    <w:rsid w:val="16080D32"/>
    <w:rsid w:val="16087E96"/>
    <w:rsid w:val="160A59E7"/>
    <w:rsid w:val="160B7C6A"/>
    <w:rsid w:val="160C0BD6"/>
    <w:rsid w:val="160D285B"/>
    <w:rsid w:val="161A0FFC"/>
    <w:rsid w:val="161D29AA"/>
    <w:rsid w:val="16205DC7"/>
    <w:rsid w:val="1620CDD0"/>
    <w:rsid w:val="162620EF"/>
    <w:rsid w:val="162A9ED1"/>
    <w:rsid w:val="162BE356"/>
    <w:rsid w:val="162D6F4C"/>
    <w:rsid w:val="162E953E"/>
    <w:rsid w:val="16302BB9"/>
    <w:rsid w:val="16322973"/>
    <w:rsid w:val="1633C82D"/>
    <w:rsid w:val="1634DB8F"/>
    <w:rsid w:val="16389310"/>
    <w:rsid w:val="163A2E96"/>
    <w:rsid w:val="163AA839"/>
    <w:rsid w:val="163C90CC"/>
    <w:rsid w:val="163DFA41"/>
    <w:rsid w:val="16486A4E"/>
    <w:rsid w:val="164D2D54"/>
    <w:rsid w:val="1652197E"/>
    <w:rsid w:val="16552880"/>
    <w:rsid w:val="165923A0"/>
    <w:rsid w:val="165B2BF7"/>
    <w:rsid w:val="165FD649"/>
    <w:rsid w:val="16606B5C"/>
    <w:rsid w:val="1662802D"/>
    <w:rsid w:val="166283E0"/>
    <w:rsid w:val="1662C3A9"/>
    <w:rsid w:val="1663D76A"/>
    <w:rsid w:val="166693EE"/>
    <w:rsid w:val="1668BC23"/>
    <w:rsid w:val="166B6B4E"/>
    <w:rsid w:val="166F0F59"/>
    <w:rsid w:val="166F6874"/>
    <w:rsid w:val="16765619"/>
    <w:rsid w:val="1679E3E3"/>
    <w:rsid w:val="167C7BC2"/>
    <w:rsid w:val="1684BD58"/>
    <w:rsid w:val="16855BB0"/>
    <w:rsid w:val="1686D3C0"/>
    <w:rsid w:val="16871B4E"/>
    <w:rsid w:val="168BA540"/>
    <w:rsid w:val="16927429"/>
    <w:rsid w:val="1694F0A2"/>
    <w:rsid w:val="16956FE1"/>
    <w:rsid w:val="16969859"/>
    <w:rsid w:val="1697C3F2"/>
    <w:rsid w:val="1697EDE5"/>
    <w:rsid w:val="169CB111"/>
    <w:rsid w:val="169D592F"/>
    <w:rsid w:val="169DDB0B"/>
    <w:rsid w:val="169DF2B4"/>
    <w:rsid w:val="169F1595"/>
    <w:rsid w:val="16A01637"/>
    <w:rsid w:val="16A359D2"/>
    <w:rsid w:val="16A3658B"/>
    <w:rsid w:val="16A5A596"/>
    <w:rsid w:val="16A79F47"/>
    <w:rsid w:val="16AA8BB6"/>
    <w:rsid w:val="16AC7E58"/>
    <w:rsid w:val="16ACA354"/>
    <w:rsid w:val="16B29188"/>
    <w:rsid w:val="16BB0223"/>
    <w:rsid w:val="16BB1C6D"/>
    <w:rsid w:val="16BBB101"/>
    <w:rsid w:val="16BC1A0E"/>
    <w:rsid w:val="16BD09D0"/>
    <w:rsid w:val="16BE8617"/>
    <w:rsid w:val="16BF23BF"/>
    <w:rsid w:val="16BFA4BD"/>
    <w:rsid w:val="16C1D587"/>
    <w:rsid w:val="16C329DD"/>
    <w:rsid w:val="16C3F79B"/>
    <w:rsid w:val="16C72A19"/>
    <w:rsid w:val="16C82DA4"/>
    <w:rsid w:val="16CAD282"/>
    <w:rsid w:val="16CBFE17"/>
    <w:rsid w:val="16CC859B"/>
    <w:rsid w:val="16D48F69"/>
    <w:rsid w:val="16D71F3F"/>
    <w:rsid w:val="16DECC6F"/>
    <w:rsid w:val="16DF371B"/>
    <w:rsid w:val="16E643A3"/>
    <w:rsid w:val="16E8F0CF"/>
    <w:rsid w:val="16EA92FC"/>
    <w:rsid w:val="16ED2450"/>
    <w:rsid w:val="16EE6CCB"/>
    <w:rsid w:val="16F33DD3"/>
    <w:rsid w:val="16F4A2DA"/>
    <w:rsid w:val="16F4DF7A"/>
    <w:rsid w:val="16F5CB4E"/>
    <w:rsid w:val="16FC8DCA"/>
    <w:rsid w:val="16FD2BDC"/>
    <w:rsid w:val="16FDFA85"/>
    <w:rsid w:val="16FE5238"/>
    <w:rsid w:val="16FF7054"/>
    <w:rsid w:val="1704A43E"/>
    <w:rsid w:val="1705CCD8"/>
    <w:rsid w:val="170AE87B"/>
    <w:rsid w:val="170F65CF"/>
    <w:rsid w:val="1711D3E6"/>
    <w:rsid w:val="1712C025"/>
    <w:rsid w:val="1717C55F"/>
    <w:rsid w:val="1718100B"/>
    <w:rsid w:val="171A2AF3"/>
    <w:rsid w:val="1720C2E8"/>
    <w:rsid w:val="17219F15"/>
    <w:rsid w:val="17224B6C"/>
    <w:rsid w:val="1728E7C6"/>
    <w:rsid w:val="172A3C3C"/>
    <w:rsid w:val="172BB858"/>
    <w:rsid w:val="172DDADB"/>
    <w:rsid w:val="17311BB8"/>
    <w:rsid w:val="17334621"/>
    <w:rsid w:val="173659F3"/>
    <w:rsid w:val="173A2EE2"/>
    <w:rsid w:val="173BB428"/>
    <w:rsid w:val="173CB837"/>
    <w:rsid w:val="173CE6AC"/>
    <w:rsid w:val="173EC5BE"/>
    <w:rsid w:val="173F3A58"/>
    <w:rsid w:val="1744B97D"/>
    <w:rsid w:val="17461C1E"/>
    <w:rsid w:val="174635A3"/>
    <w:rsid w:val="17491F90"/>
    <w:rsid w:val="174D0095"/>
    <w:rsid w:val="1751ABDA"/>
    <w:rsid w:val="1756CEBE"/>
    <w:rsid w:val="1756D8FA"/>
    <w:rsid w:val="1757260D"/>
    <w:rsid w:val="175830A9"/>
    <w:rsid w:val="1761C354"/>
    <w:rsid w:val="1768F06B"/>
    <w:rsid w:val="176BD161"/>
    <w:rsid w:val="176D8C06"/>
    <w:rsid w:val="1771FB8A"/>
    <w:rsid w:val="177C2B53"/>
    <w:rsid w:val="177F26BD"/>
    <w:rsid w:val="177F7D71"/>
    <w:rsid w:val="1781634C"/>
    <w:rsid w:val="1784A8BA"/>
    <w:rsid w:val="1784EB17"/>
    <w:rsid w:val="1787A97C"/>
    <w:rsid w:val="178E2626"/>
    <w:rsid w:val="17913833"/>
    <w:rsid w:val="1792DB8A"/>
    <w:rsid w:val="17932815"/>
    <w:rsid w:val="17947FE8"/>
    <w:rsid w:val="17955CAC"/>
    <w:rsid w:val="179B4BEB"/>
    <w:rsid w:val="179DA265"/>
    <w:rsid w:val="179E02A9"/>
    <w:rsid w:val="17A3A0E6"/>
    <w:rsid w:val="17A3E83F"/>
    <w:rsid w:val="17AA8525"/>
    <w:rsid w:val="17AE0205"/>
    <w:rsid w:val="17B3BC5A"/>
    <w:rsid w:val="17B44DC4"/>
    <w:rsid w:val="17B4ACDC"/>
    <w:rsid w:val="17B5E44B"/>
    <w:rsid w:val="17BE0AA9"/>
    <w:rsid w:val="17C1BC16"/>
    <w:rsid w:val="17C24D40"/>
    <w:rsid w:val="17C2A4B7"/>
    <w:rsid w:val="17C75692"/>
    <w:rsid w:val="17C78E9E"/>
    <w:rsid w:val="17C7C1FA"/>
    <w:rsid w:val="17CEE996"/>
    <w:rsid w:val="17D10BE8"/>
    <w:rsid w:val="17D1F44A"/>
    <w:rsid w:val="17D254A2"/>
    <w:rsid w:val="17D3BF01"/>
    <w:rsid w:val="17D48059"/>
    <w:rsid w:val="17D51304"/>
    <w:rsid w:val="17D8B143"/>
    <w:rsid w:val="17DCE44E"/>
    <w:rsid w:val="17E467E2"/>
    <w:rsid w:val="17E55347"/>
    <w:rsid w:val="17E669D3"/>
    <w:rsid w:val="17EF2278"/>
    <w:rsid w:val="17EF8B07"/>
    <w:rsid w:val="17F18BA7"/>
    <w:rsid w:val="17F2625C"/>
    <w:rsid w:val="17F266B6"/>
    <w:rsid w:val="17F3EB1D"/>
    <w:rsid w:val="17F844B5"/>
    <w:rsid w:val="17FDEB4D"/>
    <w:rsid w:val="18022FFF"/>
    <w:rsid w:val="180651AC"/>
    <w:rsid w:val="18077FC9"/>
    <w:rsid w:val="180D61FB"/>
    <w:rsid w:val="180EC850"/>
    <w:rsid w:val="18111E67"/>
    <w:rsid w:val="18113BF8"/>
    <w:rsid w:val="181291CB"/>
    <w:rsid w:val="181B5D0F"/>
    <w:rsid w:val="181CBA53"/>
    <w:rsid w:val="182592FA"/>
    <w:rsid w:val="18291AA4"/>
    <w:rsid w:val="182AAB93"/>
    <w:rsid w:val="182EC377"/>
    <w:rsid w:val="182F80E1"/>
    <w:rsid w:val="1837822A"/>
    <w:rsid w:val="1839B3FE"/>
    <w:rsid w:val="183FD4C2"/>
    <w:rsid w:val="1840BA5D"/>
    <w:rsid w:val="18411A06"/>
    <w:rsid w:val="1841AB78"/>
    <w:rsid w:val="1843A9CF"/>
    <w:rsid w:val="184C5F70"/>
    <w:rsid w:val="184D8419"/>
    <w:rsid w:val="1850C71B"/>
    <w:rsid w:val="185159D9"/>
    <w:rsid w:val="185209A3"/>
    <w:rsid w:val="18592853"/>
    <w:rsid w:val="18594EAB"/>
    <w:rsid w:val="185C0EA9"/>
    <w:rsid w:val="185F4781"/>
    <w:rsid w:val="186B92A4"/>
    <w:rsid w:val="18728831"/>
    <w:rsid w:val="18739C67"/>
    <w:rsid w:val="1877B7BA"/>
    <w:rsid w:val="187CAA8D"/>
    <w:rsid w:val="187E573E"/>
    <w:rsid w:val="187F4960"/>
    <w:rsid w:val="188121F0"/>
    <w:rsid w:val="188374F1"/>
    <w:rsid w:val="188637E1"/>
    <w:rsid w:val="18872158"/>
    <w:rsid w:val="1887C10D"/>
    <w:rsid w:val="1888109A"/>
    <w:rsid w:val="188832B4"/>
    <w:rsid w:val="188882AE"/>
    <w:rsid w:val="188896A9"/>
    <w:rsid w:val="1888B8A7"/>
    <w:rsid w:val="18896E4F"/>
    <w:rsid w:val="188D560E"/>
    <w:rsid w:val="18903499"/>
    <w:rsid w:val="1891D490"/>
    <w:rsid w:val="189212A7"/>
    <w:rsid w:val="1894DC9E"/>
    <w:rsid w:val="189956D7"/>
    <w:rsid w:val="189F752C"/>
    <w:rsid w:val="18A009F1"/>
    <w:rsid w:val="18A1A599"/>
    <w:rsid w:val="18A20930"/>
    <w:rsid w:val="18A5E7A6"/>
    <w:rsid w:val="18A6B948"/>
    <w:rsid w:val="18A6EB8C"/>
    <w:rsid w:val="18A7DFDC"/>
    <w:rsid w:val="18ABB121"/>
    <w:rsid w:val="18AC45C8"/>
    <w:rsid w:val="18AEA969"/>
    <w:rsid w:val="18AF8AFF"/>
    <w:rsid w:val="18B09F3B"/>
    <w:rsid w:val="18BAC160"/>
    <w:rsid w:val="18BBA1F2"/>
    <w:rsid w:val="18BCE107"/>
    <w:rsid w:val="18BFC84B"/>
    <w:rsid w:val="18C18B34"/>
    <w:rsid w:val="18C4D99A"/>
    <w:rsid w:val="18C556A3"/>
    <w:rsid w:val="18C705D9"/>
    <w:rsid w:val="18C78C7D"/>
    <w:rsid w:val="18CA1814"/>
    <w:rsid w:val="18CE816E"/>
    <w:rsid w:val="18D043E4"/>
    <w:rsid w:val="18D27004"/>
    <w:rsid w:val="18D56814"/>
    <w:rsid w:val="18D8354D"/>
    <w:rsid w:val="18DC489C"/>
    <w:rsid w:val="18DD9A29"/>
    <w:rsid w:val="18E00277"/>
    <w:rsid w:val="18E3AB91"/>
    <w:rsid w:val="18E4F23C"/>
    <w:rsid w:val="18ECB066"/>
    <w:rsid w:val="18ED399F"/>
    <w:rsid w:val="18EFB9F1"/>
    <w:rsid w:val="18F47AD4"/>
    <w:rsid w:val="18FE91D6"/>
    <w:rsid w:val="18FFF3D2"/>
    <w:rsid w:val="1900F0F9"/>
    <w:rsid w:val="19013672"/>
    <w:rsid w:val="190159A9"/>
    <w:rsid w:val="190245DD"/>
    <w:rsid w:val="1909392C"/>
    <w:rsid w:val="191B50FC"/>
    <w:rsid w:val="191C9ECF"/>
    <w:rsid w:val="191DE727"/>
    <w:rsid w:val="19200EAA"/>
    <w:rsid w:val="19205B31"/>
    <w:rsid w:val="19219C13"/>
    <w:rsid w:val="19257282"/>
    <w:rsid w:val="192605D2"/>
    <w:rsid w:val="1927215D"/>
    <w:rsid w:val="1929FE79"/>
    <w:rsid w:val="192AB530"/>
    <w:rsid w:val="192C7156"/>
    <w:rsid w:val="192D1771"/>
    <w:rsid w:val="1930C70F"/>
    <w:rsid w:val="1930E149"/>
    <w:rsid w:val="193374C7"/>
    <w:rsid w:val="193777B2"/>
    <w:rsid w:val="19378D94"/>
    <w:rsid w:val="193BFA16"/>
    <w:rsid w:val="193EA5EC"/>
    <w:rsid w:val="19439CA4"/>
    <w:rsid w:val="19443280"/>
    <w:rsid w:val="19446EBD"/>
    <w:rsid w:val="1946A7F5"/>
    <w:rsid w:val="1947C848"/>
    <w:rsid w:val="194801C3"/>
    <w:rsid w:val="194A9269"/>
    <w:rsid w:val="194CFC75"/>
    <w:rsid w:val="1950A92F"/>
    <w:rsid w:val="1950B80C"/>
    <w:rsid w:val="1952A0E5"/>
    <w:rsid w:val="19563B1E"/>
    <w:rsid w:val="1958A657"/>
    <w:rsid w:val="195AC0C1"/>
    <w:rsid w:val="195FBB3B"/>
    <w:rsid w:val="19671BBF"/>
    <w:rsid w:val="19676BC3"/>
    <w:rsid w:val="196CDAEC"/>
    <w:rsid w:val="19723126"/>
    <w:rsid w:val="1974AED4"/>
    <w:rsid w:val="1974C22F"/>
    <w:rsid w:val="1977AAC4"/>
    <w:rsid w:val="19788FF5"/>
    <w:rsid w:val="1979D4CF"/>
    <w:rsid w:val="197A819A"/>
    <w:rsid w:val="197A90C2"/>
    <w:rsid w:val="197B19E9"/>
    <w:rsid w:val="197B4D7D"/>
    <w:rsid w:val="197C9BF2"/>
    <w:rsid w:val="19804D40"/>
    <w:rsid w:val="19868333"/>
    <w:rsid w:val="1988FE37"/>
    <w:rsid w:val="198C1F22"/>
    <w:rsid w:val="198D48CE"/>
    <w:rsid w:val="19917298"/>
    <w:rsid w:val="1993A2C2"/>
    <w:rsid w:val="19948E55"/>
    <w:rsid w:val="19958433"/>
    <w:rsid w:val="199815CB"/>
    <w:rsid w:val="199A2C1D"/>
    <w:rsid w:val="199B9587"/>
    <w:rsid w:val="19A05BEB"/>
    <w:rsid w:val="19A38802"/>
    <w:rsid w:val="19AA62B2"/>
    <w:rsid w:val="19AB9720"/>
    <w:rsid w:val="19ACE56F"/>
    <w:rsid w:val="19BAE82A"/>
    <w:rsid w:val="19BB1FB9"/>
    <w:rsid w:val="19BF716C"/>
    <w:rsid w:val="19C22269"/>
    <w:rsid w:val="19C3CDC1"/>
    <w:rsid w:val="19C54133"/>
    <w:rsid w:val="19C6FCEE"/>
    <w:rsid w:val="19C72E59"/>
    <w:rsid w:val="19C96754"/>
    <w:rsid w:val="19CAD2B7"/>
    <w:rsid w:val="19CFD23B"/>
    <w:rsid w:val="19D15691"/>
    <w:rsid w:val="19D6E42B"/>
    <w:rsid w:val="19DB5A71"/>
    <w:rsid w:val="19DBE898"/>
    <w:rsid w:val="19DE9608"/>
    <w:rsid w:val="19E03EE5"/>
    <w:rsid w:val="19E08E77"/>
    <w:rsid w:val="19E1EBE0"/>
    <w:rsid w:val="19E35491"/>
    <w:rsid w:val="19E92D87"/>
    <w:rsid w:val="19ECAA95"/>
    <w:rsid w:val="19EE0B2A"/>
    <w:rsid w:val="19F1B62D"/>
    <w:rsid w:val="19F435C7"/>
    <w:rsid w:val="19F4608D"/>
    <w:rsid w:val="19F62320"/>
    <w:rsid w:val="19FD0995"/>
    <w:rsid w:val="19FD2363"/>
    <w:rsid w:val="19FD7B6C"/>
    <w:rsid w:val="19FE3B14"/>
    <w:rsid w:val="1A00B7DC"/>
    <w:rsid w:val="1A00D85C"/>
    <w:rsid w:val="1A015471"/>
    <w:rsid w:val="1A047C7D"/>
    <w:rsid w:val="1A05AC65"/>
    <w:rsid w:val="1A08693D"/>
    <w:rsid w:val="1A0A1BB7"/>
    <w:rsid w:val="1A0EC9DE"/>
    <w:rsid w:val="1A10A1BE"/>
    <w:rsid w:val="1A121CFF"/>
    <w:rsid w:val="1A12EC35"/>
    <w:rsid w:val="1A135497"/>
    <w:rsid w:val="1A1A1C14"/>
    <w:rsid w:val="1A1A5CD2"/>
    <w:rsid w:val="1A1FBDC2"/>
    <w:rsid w:val="1A2259BC"/>
    <w:rsid w:val="1A2350D1"/>
    <w:rsid w:val="1A283BA2"/>
    <w:rsid w:val="1A288EF7"/>
    <w:rsid w:val="1A2B055C"/>
    <w:rsid w:val="1A2D60DD"/>
    <w:rsid w:val="1A33FAD9"/>
    <w:rsid w:val="1A38343E"/>
    <w:rsid w:val="1A3C4567"/>
    <w:rsid w:val="1A3D07E5"/>
    <w:rsid w:val="1A3E0842"/>
    <w:rsid w:val="1A3E7E1D"/>
    <w:rsid w:val="1A41D4E8"/>
    <w:rsid w:val="1A42B182"/>
    <w:rsid w:val="1A4319B1"/>
    <w:rsid w:val="1A4A7EAD"/>
    <w:rsid w:val="1A4BCC46"/>
    <w:rsid w:val="1A4CD01D"/>
    <w:rsid w:val="1A512D68"/>
    <w:rsid w:val="1A521482"/>
    <w:rsid w:val="1A52612A"/>
    <w:rsid w:val="1A5544CC"/>
    <w:rsid w:val="1A5B8CB1"/>
    <w:rsid w:val="1A5C931E"/>
    <w:rsid w:val="1A5CA665"/>
    <w:rsid w:val="1A5DBFEA"/>
    <w:rsid w:val="1A5E5B72"/>
    <w:rsid w:val="1A657EF9"/>
    <w:rsid w:val="1A6BB8B7"/>
    <w:rsid w:val="1A6CBE2E"/>
    <w:rsid w:val="1A72EAF2"/>
    <w:rsid w:val="1A785563"/>
    <w:rsid w:val="1A78556B"/>
    <w:rsid w:val="1A799120"/>
    <w:rsid w:val="1A7A40D8"/>
    <w:rsid w:val="1A7F3BEA"/>
    <w:rsid w:val="1A8264E9"/>
    <w:rsid w:val="1A8320A6"/>
    <w:rsid w:val="1A91627E"/>
    <w:rsid w:val="1A91BD86"/>
    <w:rsid w:val="1A9400A2"/>
    <w:rsid w:val="1A94604C"/>
    <w:rsid w:val="1A95E0A5"/>
    <w:rsid w:val="1A973A03"/>
    <w:rsid w:val="1A99B115"/>
    <w:rsid w:val="1A9BB00E"/>
    <w:rsid w:val="1A9F5289"/>
    <w:rsid w:val="1AA02407"/>
    <w:rsid w:val="1AA0D260"/>
    <w:rsid w:val="1AA18905"/>
    <w:rsid w:val="1AA742C7"/>
    <w:rsid w:val="1AAD287A"/>
    <w:rsid w:val="1AB063C3"/>
    <w:rsid w:val="1AB4206B"/>
    <w:rsid w:val="1AB7A6C3"/>
    <w:rsid w:val="1AB8519E"/>
    <w:rsid w:val="1AB9A640"/>
    <w:rsid w:val="1ABA7F72"/>
    <w:rsid w:val="1AC06F60"/>
    <w:rsid w:val="1AC33432"/>
    <w:rsid w:val="1AC6BCCD"/>
    <w:rsid w:val="1AC828C1"/>
    <w:rsid w:val="1AC893B4"/>
    <w:rsid w:val="1AC940CD"/>
    <w:rsid w:val="1ACD7A58"/>
    <w:rsid w:val="1AD39189"/>
    <w:rsid w:val="1AD4692B"/>
    <w:rsid w:val="1AD5E2D6"/>
    <w:rsid w:val="1AD83132"/>
    <w:rsid w:val="1ADBE451"/>
    <w:rsid w:val="1ADC50E1"/>
    <w:rsid w:val="1ADDDF04"/>
    <w:rsid w:val="1ADE9314"/>
    <w:rsid w:val="1ADF86AA"/>
    <w:rsid w:val="1AE46077"/>
    <w:rsid w:val="1AE534E5"/>
    <w:rsid w:val="1AE7921B"/>
    <w:rsid w:val="1AECC347"/>
    <w:rsid w:val="1AEDFEBC"/>
    <w:rsid w:val="1AF3498A"/>
    <w:rsid w:val="1AF8F54D"/>
    <w:rsid w:val="1AFA34E0"/>
    <w:rsid w:val="1AFF3BBA"/>
    <w:rsid w:val="1AFFCCE3"/>
    <w:rsid w:val="1B00F132"/>
    <w:rsid w:val="1B07E35C"/>
    <w:rsid w:val="1B08EC76"/>
    <w:rsid w:val="1B0D8021"/>
    <w:rsid w:val="1B10A7C3"/>
    <w:rsid w:val="1B12CB6A"/>
    <w:rsid w:val="1B14C6A3"/>
    <w:rsid w:val="1B1E76FB"/>
    <w:rsid w:val="1B23E4FD"/>
    <w:rsid w:val="1B24F7D1"/>
    <w:rsid w:val="1B25D0A1"/>
    <w:rsid w:val="1B27F54E"/>
    <w:rsid w:val="1B2DA13E"/>
    <w:rsid w:val="1B2E3D30"/>
    <w:rsid w:val="1B36958D"/>
    <w:rsid w:val="1B369F45"/>
    <w:rsid w:val="1B38A25A"/>
    <w:rsid w:val="1B3A56A9"/>
    <w:rsid w:val="1B3B0949"/>
    <w:rsid w:val="1B3C48E1"/>
    <w:rsid w:val="1B41F046"/>
    <w:rsid w:val="1B425409"/>
    <w:rsid w:val="1B46A0F0"/>
    <w:rsid w:val="1B47A9C7"/>
    <w:rsid w:val="1B4AC8BC"/>
    <w:rsid w:val="1B4B10A3"/>
    <w:rsid w:val="1B4E32B5"/>
    <w:rsid w:val="1B4F6960"/>
    <w:rsid w:val="1B524CEF"/>
    <w:rsid w:val="1B53ADFF"/>
    <w:rsid w:val="1B56125B"/>
    <w:rsid w:val="1B569AFD"/>
    <w:rsid w:val="1B57C0D5"/>
    <w:rsid w:val="1B582C63"/>
    <w:rsid w:val="1B583186"/>
    <w:rsid w:val="1B595D9A"/>
    <w:rsid w:val="1B5E4328"/>
    <w:rsid w:val="1B5F78CC"/>
    <w:rsid w:val="1B605B53"/>
    <w:rsid w:val="1B60F01D"/>
    <w:rsid w:val="1B617E33"/>
    <w:rsid w:val="1B620F24"/>
    <w:rsid w:val="1B6970DC"/>
    <w:rsid w:val="1B71B592"/>
    <w:rsid w:val="1B7306CB"/>
    <w:rsid w:val="1B75A49B"/>
    <w:rsid w:val="1B75B34D"/>
    <w:rsid w:val="1B771B37"/>
    <w:rsid w:val="1B7D416F"/>
    <w:rsid w:val="1B7E4CEB"/>
    <w:rsid w:val="1B8637DB"/>
    <w:rsid w:val="1B8B9E1C"/>
    <w:rsid w:val="1B8DA78D"/>
    <w:rsid w:val="1B8FC7E4"/>
    <w:rsid w:val="1B90D6F8"/>
    <w:rsid w:val="1B92D36E"/>
    <w:rsid w:val="1B971CA0"/>
    <w:rsid w:val="1B9E0173"/>
    <w:rsid w:val="1BA0926D"/>
    <w:rsid w:val="1BA27367"/>
    <w:rsid w:val="1BA8113E"/>
    <w:rsid w:val="1BABD098"/>
    <w:rsid w:val="1BAD69C3"/>
    <w:rsid w:val="1BB2EF16"/>
    <w:rsid w:val="1BB32481"/>
    <w:rsid w:val="1BB353D7"/>
    <w:rsid w:val="1BB75333"/>
    <w:rsid w:val="1BB8640F"/>
    <w:rsid w:val="1BB8B05D"/>
    <w:rsid w:val="1BBEC21A"/>
    <w:rsid w:val="1BBF439C"/>
    <w:rsid w:val="1BBFBEC1"/>
    <w:rsid w:val="1BBFDA59"/>
    <w:rsid w:val="1BC2A753"/>
    <w:rsid w:val="1BC4C38F"/>
    <w:rsid w:val="1BC5FA3F"/>
    <w:rsid w:val="1BC72B61"/>
    <w:rsid w:val="1BC8BC77"/>
    <w:rsid w:val="1BCAB0D8"/>
    <w:rsid w:val="1BCC432F"/>
    <w:rsid w:val="1BD2CC0D"/>
    <w:rsid w:val="1BD40262"/>
    <w:rsid w:val="1BD4429E"/>
    <w:rsid w:val="1BD68B1E"/>
    <w:rsid w:val="1BD8841E"/>
    <w:rsid w:val="1BD8F55D"/>
    <w:rsid w:val="1BD9FA2A"/>
    <w:rsid w:val="1BDC3C03"/>
    <w:rsid w:val="1BDF2152"/>
    <w:rsid w:val="1BE1B8B0"/>
    <w:rsid w:val="1BE6AAEF"/>
    <w:rsid w:val="1BE8299F"/>
    <w:rsid w:val="1BEAA954"/>
    <w:rsid w:val="1BEAD9D2"/>
    <w:rsid w:val="1BEB6DC1"/>
    <w:rsid w:val="1BED03AD"/>
    <w:rsid w:val="1BEE1D1D"/>
    <w:rsid w:val="1BEFB4DB"/>
    <w:rsid w:val="1BF1353E"/>
    <w:rsid w:val="1BF22CDC"/>
    <w:rsid w:val="1BFAFF27"/>
    <w:rsid w:val="1BFFB39B"/>
    <w:rsid w:val="1C0821DB"/>
    <w:rsid w:val="1C0AB617"/>
    <w:rsid w:val="1C130CB9"/>
    <w:rsid w:val="1C1470E4"/>
    <w:rsid w:val="1C14DCD9"/>
    <w:rsid w:val="1C1AC552"/>
    <w:rsid w:val="1C1F1776"/>
    <w:rsid w:val="1C1FCB74"/>
    <w:rsid w:val="1C234CD7"/>
    <w:rsid w:val="1C24F592"/>
    <w:rsid w:val="1C2601B1"/>
    <w:rsid w:val="1C2ACEAE"/>
    <w:rsid w:val="1C2BAD34"/>
    <w:rsid w:val="1C2BC795"/>
    <w:rsid w:val="1C2BE354"/>
    <w:rsid w:val="1C2EE6CD"/>
    <w:rsid w:val="1C304B4B"/>
    <w:rsid w:val="1C34E2C4"/>
    <w:rsid w:val="1C371108"/>
    <w:rsid w:val="1C38226F"/>
    <w:rsid w:val="1C3C699F"/>
    <w:rsid w:val="1C3DA966"/>
    <w:rsid w:val="1C4080E5"/>
    <w:rsid w:val="1C41B47F"/>
    <w:rsid w:val="1C4262BC"/>
    <w:rsid w:val="1C48C732"/>
    <w:rsid w:val="1C4A1BBE"/>
    <w:rsid w:val="1C4CC2CC"/>
    <w:rsid w:val="1C4ECC44"/>
    <w:rsid w:val="1C4FF038"/>
    <w:rsid w:val="1C50333E"/>
    <w:rsid w:val="1C521E0C"/>
    <w:rsid w:val="1C56E106"/>
    <w:rsid w:val="1C5D005B"/>
    <w:rsid w:val="1C614D6B"/>
    <w:rsid w:val="1C66D1CC"/>
    <w:rsid w:val="1C67B10B"/>
    <w:rsid w:val="1C6A2CD6"/>
    <w:rsid w:val="1C6DCF84"/>
    <w:rsid w:val="1C6F9A29"/>
    <w:rsid w:val="1C707F6D"/>
    <w:rsid w:val="1C72D4D7"/>
    <w:rsid w:val="1C74E15A"/>
    <w:rsid w:val="1C756A23"/>
    <w:rsid w:val="1C7702B2"/>
    <w:rsid w:val="1C78F286"/>
    <w:rsid w:val="1C7A7E74"/>
    <w:rsid w:val="1C7AD221"/>
    <w:rsid w:val="1C7C8E33"/>
    <w:rsid w:val="1C7E1E62"/>
    <w:rsid w:val="1C7F7A55"/>
    <w:rsid w:val="1C840832"/>
    <w:rsid w:val="1C866FFE"/>
    <w:rsid w:val="1C8736F7"/>
    <w:rsid w:val="1C882BCD"/>
    <w:rsid w:val="1C8C67DA"/>
    <w:rsid w:val="1C8E0305"/>
    <w:rsid w:val="1C8FB755"/>
    <w:rsid w:val="1C9E711B"/>
    <w:rsid w:val="1CA22F99"/>
    <w:rsid w:val="1CA2E7FA"/>
    <w:rsid w:val="1CA44516"/>
    <w:rsid w:val="1CA4D18F"/>
    <w:rsid w:val="1CA54D5B"/>
    <w:rsid w:val="1CA75A93"/>
    <w:rsid w:val="1CACBAA9"/>
    <w:rsid w:val="1CACD8B7"/>
    <w:rsid w:val="1CAD91E1"/>
    <w:rsid w:val="1CB061A1"/>
    <w:rsid w:val="1CB17591"/>
    <w:rsid w:val="1CBF9A3B"/>
    <w:rsid w:val="1CC197A0"/>
    <w:rsid w:val="1CC55285"/>
    <w:rsid w:val="1CC75468"/>
    <w:rsid w:val="1CC98B61"/>
    <w:rsid w:val="1CCA38A8"/>
    <w:rsid w:val="1CCE03AC"/>
    <w:rsid w:val="1CD354DD"/>
    <w:rsid w:val="1CD6D371"/>
    <w:rsid w:val="1CD89D3F"/>
    <w:rsid w:val="1CD9EDF1"/>
    <w:rsid w:val="1CDA0D3F"/>
    <w:rsid w:val="1CDBF192"/>
    <w:rsid w:val="1CDC1A9F"/>
    <w:rsid w:val="1CDF298F"/>
    <w:rsid w:val="1CDF7A8D"/>
    <w:rsid w:val="1CE73AFC"/>
    <w:rsid w:val="1CE7FD49"/>
    <w:rsid w:val="1CEC5DE9"/>
    <w:rsid w:val="1CF3768E"/>
    <w:rsid w:val="1CF5DB56"/>
    <w:rsid w:val="1CF6392C"/>
    <w:rsid w:val="1CF84D84"/>
    <w:rsid w:val="1CF88890"/>
    <w:rsid w:val="1CF9E99D"/>
    <w:rsid w:val="1CFA2044"/>
    <w:rsid w:val="1CFBE9A4"/>
    <w:rsid w:val="1CFF2E0B"/>
    <w:rsid w:val="1CFF9021"/>
    <w:rsid w:val="1D0655EF"/>
    <w:rsid w:val="1D09D5A6"/>
    <w:rsid w:val="1D0B2904"/>
    <w:rsid w:val="1D0CDB59"/>
    <w:rsid w:val="1D120245"/>
    <w:rsid w:val="1D1691E0"/>
    <w:rsid w:val="1D17579F"/>
    <w:rsid w:val="1D195BC8"/>
    <w:rsid w:val="1D1973F5"/>
    <w:rsid w:val="1D19F177"/>
    <w:rsid w:val="1D1D1D38"/>
    <w:rsid w:val="1D225F64"/>
    <w:rsid w:val="1D267031"/>
    <w:rsid w:val="1D26D932"/>
    <w:rsid w:val="1D2E9CAB"/>
    <w:rsid w:val="1D3140EF"/>
    <w:rsid w:val="1D31E6A9"/>
    <w:rsid w:val="1D3291B7"/>
    <w:rsid w:val="1D32E061"/>
    <w:rsid w:val="1D35E11B"/>
    <w:rsid w:val="1D375B6E"/>
    <w:rsid w:val="1D3CC446"/>
    <w:rsid w:val="1D4515AD"/>
    <w:rsid w:val="1D471E10"/>
    <w:rsid w:val="1D477F7D"/>
    <w:rsid w:val="1D4AABE1"/>
    <w:rsid w:val="1D4BA530"/>
    <w:rsid w:val="1D54548F"/>
    <w:rsid w:val="1D566D97"/>
    <w:rsid w:val="1D5A927B"/>
    <w:rsid w:val="1D5EEF00"/>
    <w:rsid w:val="1D5FBDAF"/>
    <w:rsid w:val="1D608417"/>
    <w:rsid w:val="1D619ED7"/>
    <w:rsid w:val="1D673412"/>
    <w:rsid w:val="1D69823B"/>
    <w:rsid w:val="1D6BEF4A"/>
    <w:rsid w:val="1D6C1BA7"/>
    <w:rsid w:val="1D6CDB9C"/>
    <w:rsid w:val="1D6D579E"/>
    <w:rsid w:val="1D6E325E"/>
    <w:rsid w:val="1D7329D0"/>
    <w:rsid w:val="1D7CA625"/>
    <w:rsid w:val="1D7EC9BA"/>
    <w:rsid w:val="1D7FF9DC"/>
    <w:rsid w:val="1D80D611"/>
    <w:rsid w:val="1D835F78"/>
    <w:rsid w:val="1D8496E6"/>
    <w:rsid w:val="1D88BA40"/>
    <w:rsid w:val="1D8DAF39"/>
    <w:rsid w:val="1D8FC9D0"/>
    <w:rsid w:val="1D904DFB"/>
    <w:rsid w:val="1D985081"/>
    <w:rsid w:val="1D9929CC"/>
    <w:rsid w:val="1D9CA233"/>
    <w:rsid w:val="1D9E96CA"/>
    <w:rsid w:val="1DA5E532"/>
    <w:rsid w:val="1DA7D660"/>
    <w:rsid w:val="1DA7E213"/>
    <w:rsid w:val="1DAE77F2"/>
    <w:rsid w:val="1DB06AC7"/>
    <w:rsid w:val="1DB642BE"/>
    <w:rsid w:val="1DBD20A3"/>
    <w:rsid w:val="1DC11866"/>
    <w:rsid w:val="1DC1471D"/>
    <w:rsid w:val="1DC538BD"/>
    <w:rsid w:val="1DCA9B04"/>
    <w:rsid w:val="1DCA9DC4"/>
    <w:rsid w:val="1DCB577F"/>
    <w:rsid w:val="1DD1D525"/>
    <w:rsid w:val="1DD23315"/>
    <w:rsid w:val="1DD5BBC7"/>
    <w:rsid w:val="1DDF65B2"/>
    <w:rsid w:val="1DE2532C"/>
    <w:rsid w:val="1DE4EE90"/>
    <w:rsid w:val="1DE59EB9"/>
    <w:rsid w:val="1DE5D4E5"/>
    <w:rsid w:val="1DE70D74"/>
    <w:rsid w:val="1DE7CC4E"/>
    <w:rsid w:val="1DE86A66"/>
    <w:rsid w:val="1DEB30B6"/>
    <w:rsid w:val="1DF58E8E"/>
    <w:rsid w:val="1DF657D9"/>
    <w:rsid w:val="1DFD2244"/>
    <w:rsid w:val="1E00F33C"/>
    <w:rsid w:val="1E06DA70"/>
    <w:rsid w:val="1E088BD2"/>
    <w:rsid w:val="1E09A3F8"/>
    <w:rsid w:val="1E0DB8A4"/>
    <w:rsid w:val="1E10645A"/>
    <w:rsid w:val="1E11D7D2"/>
    <w:rsid w:val="1E159121"/>
    <w:rsid w:val="1E16882F"/>
    <w:rsid w:val="1E1962C5"/>
    <w:rsid w:val="1E1BED25"/>
    <w:rsid w:val="1E229B1C"/>
    <w:rsid w:val="1E27FD24"/>
    <w:rsid w:val="1E2C899D"/>
    <w:rsid w:val="1E3971AA"/>
    <w:rsid w:val="1E39D612"/>
    <w:rsid w:val="1E3CD897"/>
    <w:rsid w:val="1E3D547D"/>
    <w:rsid w:val="1E3E1F1D"/>
    <w:rsid w:val="1E3E7A6A"/>
    <w:rsid w:val="1E3FFDE1"/>
    <w:rsid w:val="1E4097B9"/>
    <w:rsid w:val="1E43041B"/>
    <w:rsid w:val="1E4367CA"/>
    <w:rsid w:val="1E4705E6"/>
    <w:rsid w:val="1E486C97"/>
    <w:rsid w:val="1E4C1D7D"/>
    <w:rsid w:val="1E5115A4"/>
    <w:rsid w:val="1E5337B4"/>
    <w:rsid w:val="1E568B3B"/>
    <w:rsid w:val="1E57A8D3"/>
    <w:rsid w:val="1E57C42C"/>
    <w:rsid w:val="1E61E0C4"/>
    <w:rsid w:val="1E6F5D64"/>
    <w:rsid w:val="1E707714"/>
    <w:rsid w:val="1E74D356"/>
    <w:rsid w:val="1E761E92"/>
    <w:rsid w:val="1E766F2A"/>
    <w:rsid w:val="1E77B492"/>
    <w:rsid w:val="1E7926B3"/>
    <w:rsid w:val="1E7C1FD2"/>
    <w:rsid w:val="1E7DBFB1"/>
    <w:rsid w:val="1E849916"/>
    <w:rsid w:val="1E853D39"/>
    <w:rsid w:val="1E856BF5"/>
    <w:rsid w:val="1E884BF9"/>
    <w:rsid w:val="1E8D383F"/>
    <w:rsid w:val="1E90C69E"/>
    <w:rsid w:val="1E98C96C"/>
    <w:rsid w:val="1E9958EC"/>
    <w:rsid w:val="1EA07636"/>
    <w:rsid w:val="1EA57605"/>
    <w:rsid w:val="1EAAF1D9"/>
    <w:rsid w:val="1EAF1017"/>
    <w:rsid w:val="1EB065BC"/>
    <w:rsid w:val="1EB09AA9"/>
    <w:rsid w:val="1EB235F6"/>
    <w:rsid w:val="1EB25FD2"/>
    <w:rsid w:val="1EB2956E"/>
    <w:rsid w:val="1EC22DF8"/>
    <w:rsid w:val="1EC2D3D5"/>
    <w:rsid w:val="1EC34ADE"/>
    <w:rsid w:val="1EC71244"/>
    <w:rsid w:val="1EC768A6"/>
    <w:rsid w:val="1ECB088C"/>
    <w:rsid w:val="1ECC606B"/>
    <w:rsid w:val="1ED5A345"/>
    <w:rsid w:val="1ED6D1A2"/>
    <w:rsid w:val="1ED8EE9E"/>
    <w:rsid w:val="1EDBED24"/>
    <w:rsid w:val="1EDDC669"/>
    <w:rsid w:val="1EDF0FCE"/>
    <w:rsid w:val="1EE3133B"/>
    <w:rsid w:val="1EE973F9"/>
    <w:rsid w:val="1EEB642D"/>
    <w:rsid w:val="1EEC764E"/>
    <w:rsid w:val="1EECBC16"/>
    <w:rsid w:val="1EF3AC2E"/>
    <w:rsid w:val="1EF7A26A"/>
    <w:rsid w:val="1EF8CDB9"/>
    <w:rsid w:val="1EF92D62"/>
    <w:rsid w:val="1F0076EA"/>
    <w:rsid w:val="1F02717E"/>
    <w:rsid w:val="1F05D1F4"/>
    <w:rsid w:val="1F05F26E"/>
    <w:rsid w:val="1F0A5084"/>
    <w:rsid w:val="1F0C4E66"/>
    <w:rsid w:val="1F1228E2"/>
    <w:rsid w:val="1F1AE441"/>
    <w:rsid w:val="1F2130FF"/>
    <w:rsid w:val="1F2373F7"/>
    <w:rsid w:val="1F2473FC"/>
    <w:rsid w:val="1F25FBF8"/>
    <w:rsid w:val="1F265746"/>
    <w:rsid w:val="1F283EB5"/>
    <w:rsid w:val="1F2EC60D"/>
    <w:rsid w:val="1F347265"/>
    <w:rsid w:val="1F3C4459"/>
    <w:rsid w:val="1F3C6344"/>
    <w:rsid w:val="1F3D642C"/>
    <w:rsid w:val="1F45DAC8"/>
    <w:rsid w:val="1F489AF1"/>
    <w:rsid w:val="1F4AE242"/>
    <w:rsid w:val="1F4B17BE"/>
    <w:rsid w:val="1F4D4B9D"/>
    <w:rsid w:val="1F4D6149"/>
    <w:rsid w:val="1F530536"/>
    <w:rsid w:val="1F551AE2"/>
    <w:rsid w:val="1F611036"/>
    <w:rsid w:val="1F613BE0"/>
    <w:rsid w:val="1F61CE73"/>
    <w:rsid w:val="1F62BFCA"/>
    <w:rsid w:val="1F6E6AE7"/>
    <w:rsid w:val="1F7A4AB8"/>
    <w:rsid w:val="1F7BB670"/>
    <w:rsid w:val="1F880506"/>
    <w:rsid w:val="1F88926E"/>
    <w:rsid w:val="1F897D31"/>
    <w:rsid w:val="1F8D31E5"/>
    <w:rsid w:val="1F9BD96A"/>
    <w:rsid w:val="1F9BDCCC"/>
    <w:rsid w:val="1F9C9BB6"/>
    <w:rsid w:val="1FA4950B"/>
    <w:rsid w:val="1FA6F5E2"/>
    <w:rsid w:val="1FA700C6"/>
    <w:rsid w:val="1FA973CA"/>
    <w:rsid w:val="1FAB0571"/>
    <w:rsid w:val="1FABD227"/>
    <w:rsid w:val="1FACE0EE"/>
    <w:rsid w:val="1FAFA506"/>
    <w:rsid w:val="1FBFBBA9"/>
    <w:rsid w:val="1FC859FE"/>
    <w:rsid w:val="1FCFEFB7"/>
    <w:rsid w:val="1FD19CD0"/>
    <w:rsid w:val="1FD45179"/>
    <w:rsid w:val="1FD6E57A"/>
    <w:rsid w:val="1FD95BCC"/>
    <w:rsid w:val="1FDAF99B"/>
    <w:rsid w:val="1FE3C7C9"/>
    <w:rsid w:val="1FE7E6C8"/>
    <w:rsid w:val="1FEF62AB"/>
    <w:rsid w:val="1FF345B8"/>
    <w:rsid w:val="1FF67881"/>
    <w:rsid w:val="1FF88A28"/>
    <w:rsid w:val="1FF88AAB"/>
    <w:rsid w:val="2006E353"/>
    <w:rsid w:val="2009DBC6"/>
    <w:rsid w:val="200F43B5"/>
    <w:rsid w:val="2012C986"/>
    <w:rsid w:val="2013A983"/>
    <w:rsid w:val="20145809"/>
    <w:rsid w:val="2019AC2A"/>
    <w:rsid w:val="201B0BD6"/>
    <w:rsid w:val="201CC42B"/>
    <w:rsid w:val="201D6FF2"/>
    <w:rsid w:val="2024D0D6"/>
    <w:rsid w:val="20294EB9"/>
    <w:rsid w:val="2032FFEB"/>
    <w:rsid w:val="2034772C"/>
    <w:rsid w:val="203577E6"/>
    <w:rsid w:val="203955AA"/>
    <w:rsid w:val="203BA457"/>
    <w:rsid w:val="203D5069"/>
    <w:rsid w:val="2041200A"/>
    <w:rsid w:val="204234E6"/>
    <w:rsid w:val="2044CAA3"/>
    <w:rsid w:val="2044F422"/>
    <w:rsid w:val="2047850D"/>
    <w:rsid w:val="2048D165"/>
    <w:rsid w:val="2049A99E"/>
    <w:rsid w:val="204A3BDA"/>
    <w:rsid w:val="204C86F3"/>
    <w:rsid w:val="20501C30"/>
    <w:rsid w:val="20542069"/>
    <w:rsid w:val="2055212A"/>
    <w:rsid w:val="205776AB"/>
    <w:rsid w:val="205F109D"/>
    <w:rsid w:val="20651131"/>
    <w:rsid w:val="2069BFEE"/>
    <w:rsid w:val="2069FE29"/>
    <w:rsid w:val="206F7013"/>
    <w:rsid w:val="206FB3F4"/>
    <w:rsid w:val="20700E97"/>
    <w:rsid w:val="20738FEA"/>
    <w:rsid w:val="2076EA71"/>
    <w:rsid w:val="207E0896"/>
    <w:rsid w:val="20829C89"/>
    <w:rsid w:val="20853E67"/>
    <w:rsid w:val="2086902D"/>
    <w:rsid w:val="20874F07"/>
    <w:rsid w:val="208900CC"/>
    <w:rsid w:val="209353B6"/>
    <w:rsid w:val="2094492A"/>
    <w:rsid w:val="209AA0E5"/>
    <w:rsid w:val="209B8064"/>
    <w:rsid w:val="209F50BE"/>
    <w:rsid w:val="20A1E19A"/>
    <w:rsid w:val="20AA3ADD"/>
    <w:rsid w:val="20AB5E68"/>
    <w:rsid w:val="20B1EC05"/>
    <w:rsid w:val="20B5477E"/>
    <w:rsid w:val="20B71CC2"/>
    <w:rsid w:val="20B87248"/>
    <w:rsid w:val="20BB0EC6"/>
    <w:rsid w:val="20BEEDC2"/>
    <w:rsid w:val="20BF69FF"/>
    <w:rsid w:val="20C78C62"/>
    <w:rsid w:val="20C8E22A"/>
    <w:rsid w:val="20CABD02"/>
    <w:rsid w:val="20D1033D"/>
    <w:rsid w:val="20D1943C"/>
    <w:rsid w:val="20DA12B4"/>
    <w:rsid w:val="20DCAD49"/>
    <w:rsid w:val="20E1B79E"/>
    <w:rsid w:val="20E3BB69"/>
    <w:rsid w:val="20E4828B"/>
    <w:rsid w:val="20E4D620"/>
    <w:rsid w:val="20E74F48"/>
    <w:rsid w:val="20E7D4BD"/>
    <w:rsid w:val="20E82B4C"/>
    <w:rsid w:val="20EAEDEA"/>
    <w:rsid w:val="20F0E097"/>
    <w:rsid w:val="20F31305"/>
    <w:rsid w:val="20F3694C"/>
    <w:rsid w:val="20F39B9A"/>
    <w:rsid w:val="20F4FD45"/>
    <w:rsid w:val="20F61498"/>
    <w:rsid w:val="20F70E09"/>
    <w:rsid w:val="20F97B6A"/>
    <w:rsid w:val="21097E7B"/>
    <w:rsid w:val="210AD71D"/>
    <w:rsid w:val="210BAB8A"/>
    <w:rsid w:val="210CD00D"/>
    <w:rsid w:val="210D0953"/>
    <w:rsid w:val="210EBD35"/>
    <w:rsid w:val="210F8121"/>
    <w:rsid w:val="21111777"/>
    <w:rsid w:val="21198105"/>
    <w:rsid w:val="211F8150"/>
    <w:rsid w:val="2121EDBB"/>
    <w:rsid w:val="212408E9"/>
    <w:rsid w:val="21260C8B"/>
    <w:rsid w:val="21268A33"/>
    <w:rsid w:val="21270AA4"/>
    <w:rsid w:val="212A4CE7"/>
    <w:rsid w:val="212A50D6"/>
    <w:rsid w:val="212CCB60"/>
    <w:rsid w:val="212E6CE9"/>
    <w:rsid w:val="212EB787"/>
    <w:rsid w:val="212ECD74"/>
    <w:rsid w:val="2130FA17"/>
    <w:rsid w:val="213B3D2C"/>
    <w:rsid w:val="2141C661"/>
    <w:rsid w:val="2141F208"/>
    <w:rsid w:val="21452978"/>
    <w:rsid w:val="2145B931"/>
    <w:rsid w:val="21471723"/>
    <w:rsid w:val="214AC207"/>
    <w:rsid w:val="214FDB8D"/>
    <w:rsid w:val="2151ABC0"/>
    <w:rsid w:val="21530275"/>
    <w:rsid w:val="2153523C"/>
    <w:rsid w:val="2158267C"/>
    <w:rsid w:val="215977C1"/>
    <w:rsid w:val="2159FD39"/>
    <w:rsid w:val="215F6ED0"/>
    <w:rsid w:val="21602150"/>
    <w:rsid w:val="216103F2"/>
    <w:rsid w:val="21621F87"/>
    <w:rsid w:val="21637285"/>
    <w:rsid w:val="21667228"/>
    <w:rsid w:val="216877B0"/>
    <w:rsid w:val="216B663A"/>
    <w:rsid w:val="216BA7EE"/>
    <w:rsid w:val="21759D78"/>
    <w:rsid w:val="21766372"/>
    <w:rsid w:val="21834A5F"/>
    <w:rsid w:val="21843D88"/>
    <w:rsid w:val="2184D15A"/>
    <w:rsid w:val="218B595C"/>
    <w:rsid w:val="218D0971"/>
    <w:rsid w:val="21920145"/>
    <w:rsid w:val="219408A3"/>
    <w:rsid w:val="21997C94"/>
    <w:rsid w:val="21A1A336"/>
    <w:rsid w:val="21A25FCA"/>
    <w:rsid w:val="21A3A40B"/>
    <w:rsid w:val="21A47203"/>
    <w:rsid w:val="21A6380B"/>
    <w:rsid w:val="21A87BD4"/>
    <w:rsid w:val="21AFA4DF"/>
    <w:rsid w:val="21B487A0"/>
    <w:rsid w:val="21B4DF27"/>
    <w:rsid w:val="21BC757A"/>
    <w:rsid w:val="21BC8B0E"/>
    <w:rsid w:val="21BD39A7"/>
    <w:rsid w:val="21BDB0D1"/>
    <w:rsid w:val="21C1AB00"/>
    <w:rsid w:val="21C56C79"/>
    <w:rsid w:val="21C6CB31"/>
    <w:rsid w:val="21C6E9A2"/>
    <w:rsid w:val="21CE2185"/>
    <w:rsid w:val="21D5E1FC"/>
    <w:rsid w:val="21D6348B"/>
    <w:rsid w:val="21D7CB5D"/>
    <w:rsid w:val="21D9FBB1"/>
    <w:rsid w:val="21DAAECE"/>
    <w:rsid w:val="21DB8030"/>
    <w:rsid w:val="21E20012"/>
    <w:rsid w:val="21E35CC7"/>
    <w:rsid w:val="21E682AE"/>
    <w:rsid w:val="21EB3EDB"/>
    <w:rsid w:val="21F3CE68"/>
    <w:rsid w:val="21F9699D"/>
    <w:rsid w:val="22021B53"/>
    <w:rsid w:val="2205874B"/>
    <w:rsid w:val="2206C412"/>
    <w:rsid w:val="22073024"/>
    <w:rsid w:val="220795EF"/>
    <w:rsid w:val="220BE7D7"/>
    <w:rsid w:val="220C2EB4"/>
    <w:rsid w:val="220ED40C"/>
    <w:rsid w:val="2216D1D5"/>
    <w:rsid w:val="221AF48D"/>
    <w:rsid w:val="221EA1DB"/>
    <w:rsid w:val="2220D70E"/>
    <w:rsid w:val="22214EB5"/>
    <w:rsid w:val="22257B1B"/>
    <w:rsid w:val="222C8945"/>
    <w:rsid w:val="22323EEB"/>
    <w:rsid w:val="2234A6EE"/>
    <w:rsid w:val="223A06D1"/>
    <w:rsid w:val="223FAFE8"/>
    <w:rsid w:val="22438338"/>
    <w:rsid w:val="224525CF"/>
    <w:rsid w:val="224537C4"/>
    <w:rsid w:val="2246CC13"/>
    <w:rsid w:val="224AB396"/>
    <w:rsid w:val="224B588B"/>
    <w:rsid w:val="224BA63A"/>
    <w:rsid w:val="224CF7A1"/>
    <w:rsid w:val="224F81BF"/>
    <w:rsid w:val="2254411A"/>
    <w:rsid w:val="22572CB9"/>
    <w:rsid w:val="22582224"/>
    <w:rsid w:val="225AA541"/>
    <w:rsid w:val="2260384C"/>
    <w:rsid w:val="2260469C"/>
    <w:rsid w:val="2260A796"/>
    <w:rsid w:val="2278CFAC"/>
    <w:rsid w:val="22840605"/>
    <w:rsid w:val="22845364"/>
    <w:rsid w:val="228495C6"/>
    <w:rsid w:val="228607D3"/>
    <w:rsid w:val="2287D7ED"/>
    <w:rsid w:val="2288603F"/>
    <w:rsid w:val="228ADEDB"/>
    <w:rsid w:val="22903D6A"/>
    <w:rsid w:val="22905D3B"/>
    <w:rsid w:val="2290713E"/>
    <w:rsid w:val="22944668"/>
    <w:rsid w:val="2294D7CF"/>
    <w:rsid w:val="2295688A"/>
    <w:rsid w:val="2296C433"/>
    <w:rsid w:val="229A2E4D"/>
    <w:rsid w:val="229D25E3"/>
    <w:rsid w:val="229E0551"/>
    <w:rsid w:val="229F216F"/>
    <w:rsid w:val="229F497A"/>
    <w:rsid w:val="22A021F2"/>
    <w:rsid w:val="22A29F9C"/>
    <w:rsid w:val="22A8C474"/>
    <w:rsid w:val="22A98A6C"/>
    <w:rsid w:val="22AB6409"/>
    <w:rsid w:val="22AF0533"/>
    <w:rsid w:val="22AF7FC0"/>
    <w:rsid w:val="22B5D518"/>
    <w:rsid w:val="22B916C3"/>
    <w:rsid w:val="22BA7302"/>
    <w:rsid w:val="22BC7D8A"/>
    <w:rsid w:val="22BF5CA4"/>
    <w:rsid w:val="22C0AECF"/>
    <w:rsid w:val="22C12718"/>
    <w:rsid w:val="22C70646"/>
    <w:rsid w:val="22C79087"/>
    <w:rsid w:val="22C7CDDC"/>
    <w:rsid w:val="22CA607C"/>
    <w:rsid w:val="22CEBBF9"/>
    <w:rsid w:val="22D2619F"/>
    <w:rsid w:val="22D4D4EF"/>
    <w:rsid w:val="22D5AC93"/>
    <w:rsid w:val="22D73E23"/>
    <w:rsid w:val="22DA5FC9"/>
    <w:rsid w:val="22DE5DFF"/>
    <w:rsid w:val="22E0234B"/>
    <w:rsid w:val="22E1D8C9"/>
    <w:rsid w:val="22E57D05"/>
    <w:rsid w:val="22E5E4A7"/>
    <w:rsid w:val="22E69E36"/>
    <w:rsid w:val="22EA738C"/>
    <w:rsid w:val="22F26DF3"/>
    <w:rsid w:val="22F8E696"/>
    <w:rsid w:val="22FD0D60"/>
    <w:rsid w:val="22FD477C"/>
    <w:rsid w:val="2300556B"/>
    <w:rsid w:val="23024BBE"/>
    <w:rsid w:val="23026348"/>
    <w:rsid w:val="23026D47"/>
    <w:rsid w:val="2302E99B"/>
    <w:rsid w:val="23032D5D"/>
    <w:rsid w:val="23035CFF"/>
    <w:rsid w:val="2303CB1C"/>
    <w:rsid w:val="230AEF8B"/>
    <w:rsid w:val="230D1215"/>
    <w:rsid w:val="230E04C7"/>
    <w:rsid w:val="230E564C"/>
    <w:rsid w:val="23115C0C"/>
    <w:rsid w:val="2314EE56"/>
    <w:rsid w:val="23168C34"/>
    <w:rsid w:val="23197D58"/>
    <w:rsid w:val="231DA947"/>
    <w:rsid w:val="231E12DC"/>
    <w:rsid w:val="231EC1CA"/>
    <w:rsid w:val="23261E54"/>
    <w:rsid w:val="23262725"/>
    <w:rsid w:val="2326E312"/>
    <w:rsid w:val="232CFDFE"/>
    <w:rsid w:val="23305A35"/>
    <w:rsid w:val="2330AEB3"/>
    <w:rsid w:val="23317325"/>
    <w:rsid w:val="23322674"/>
    <w:rsid w:val="233428AA"/>
    <w:rsid w:val="23346C30"/>
    <w:rsid w:val="2334968D"/>
    <w:rsid w:val="233906FC"/>
    <w:rsid w:val="233991FD"/>
    <w:rsid w:val="233C2F98"/>
    <w:rsid w:val="233F73BF"/>
    <w:rsid w:val="2342346A"/>
    <w:rsid w:val="2342A490"/>
    <w:rsid w:val="2342CC6B"/>
    <w:rsid w:val="23456F96"/>
    <w:rsid w:val="234BE48F"/>
    <w:rsid w:val="234E15A0"/>
    <w:rsid w:val="234F1DD4"/>
    <w:rsid w:val="234FD202"/>
    <w:rsid w:val="2352A224"/>
    <w:rsid w:val="2352CB9C"/>
    <w:rsid w:val="235397DC"/>
    <w:rsid w:val="23587F56"/>
    <w:rsid w:val="23588C64"/>
    <w:rsid w:val="2358DCFF"/>
    <w:rsid w:val="235F7E7F"/>
    <w:rsid w:val="235FCECA"/>
    <w:rsid w:val="235FCF6A"/>
    <w:rsid w:val="2365779D"/>
    <w:rsid w:val="236B9D8B"/>
    <w:rsid w:val="236EB7EC"/>
    <w:rsid w:val="236ED1CF"/>
    <w:rsid w:val="236F78C7"/>
    <w:rsid w:val="237506C8"/>
    <w:rsid w:val="2378742F"/>
    <w:rsid w:val="237C46B3"/>
    <w:rsid w:val="237CD41A"/>
    <w:rsid w:val="2380B667"/>
    <w:rsid w:val="2385919E"/>
    <w:rsid w:val="238C9844"/>
    <w:rsid w:val="238F8DBE"/>
    <w:rsid w:val="238FCE63"/>
    <w:rsid w:val="2392B8A6"/>
    <w:rsid w:val="23951CB1"/>
    <w:rsid w:val="2395829D"/>
    <w:rsid w:val="2396CCE7"/>
    <w:rsid w:val="2399BFED"/>
    <w:rsid w:val="239B308F"/>
    <w:rsid w:val="239BA657"/>
    <w:rsid w:val="239CBCD3"/>
    <w:rsid w:val="239E043D"/>
    <w:rsid w:val="23A0D8BA"/>
    <w:rsid w:val="23A30CD9"/>
    <w:rsid w:val="23A5F57B"/>
    <w:rsid w:val="23A69CA7"/>
    <w:rsid w:val="23A79212"/>
    <w:rsid w:val="23ADC12D"/>
    <w:rsid w:val="23AFF18F"/>
    <w:rsid w:val="23B0219E"/>
    <w:rsid w:val="23B407D9"/>
    <w:rsid w:val="23B64FD2"/>
    <w:rsid w:val="23BA6C6F"/>
    <w:rsid w:val="23BF7732"/>
    <w:rsid w:val="23C34CDB"/>
    <w:rsid w:val="23C99208"/>
    <w:rsid w:val="23CAE443"/>
    <w:rsid w:val="23CBB1AE"/>
    <w:rsid w:val="23CC0A5F"/>
    <w:rsid w:val="23CCCA4D"/>
    <w:rsid w:val="23D8D72C"/>
    <w:rsid w:val="23D8F8C7"/>
    <w:rsid w:val="23DA99EF"/>
    <w:rsid w:val="23DD757B"/>
    <w:rsid w:val="23E1B50A"/>
    <w:rsid w:val="23E7477A"/>
    <w:rsid w:val="23E941DC"/>
    <w:rsid w:val="23ECCF6D"/>
    <w:rsid w:val="23ECD664"/>
    <w:rsid w:val="23F1966C"/>
    <w:rsid w:val="23F4151E"/>
    <w:rsid w:val="23F506E6"/>
    <w:rsid w:val="23F76C37"/>
    <w:rsid w:val="23F84E01"/>
    <w:rsid w:val="23FEFEE5"/>
    <w:rsid w:val="24011A7F"/>
    <w:rsid w:val="24025CF7"/>
    <w:rsid w:val="2402AFC5"/>
    <w:rsid w:val="240335CF"/>
    <w:rsid w:val="2403F6A3"/>
    <w:rsid w:val="24041B4C"/>
    <w:rsid w:val="240F36B2"/>
    <w:rsid w:val="2412BF30"/>
    <w:rsid w:val="2414D01D"/>
    <w:rsid w:val="24161B34"/>
    <w:rsid w:val="2416A7FB"/>
    <w:rsid w:val="241864E8"/>
    <w:rsid w:val="241B9B5E"/>
    <w:rsid w:val="241DC24D"/>
    <w:rsid w:val="2420B361"/>
    <w:rsid w:val="2423D14D"/>
    <w:rsid w:val="24355CF0"/>
    <w:rsid w:val="243940A0"/>
    <w:rsid w:val="2439AB97"/>
    <w:rsid w:val="243C5EB2"/>
    <w:rsid w:val="243C7FB8"/>
    <w:rsid w:val="2440A550"/>
    <w:rsid w:val="2440B8AA"/>
    <w:rsid w:val="24426736"/>
    <w:rsid w:val="2445109A"/>
    <w:rsid w:val="24452B55"/>
    <w:rsid w:val="24453AEB"/>
    <w:rsid w:val="2445E528"/>
    <w:rsid w:val="2447D797"/>
    <w:rsid w:val="2449ED16"/>
    <w:rsid w:val="244B4D87"/>
    <w:rsid w:val="244D4900"/>
    <w:rsid w:val="244E8248"/>
    <w:rsid w:val="245099D3"/>
    <w:rsid w:val="2450CF6C"/>
    <w:rsid w:val="2452C772"/>
    <w:rsid w:val="2454FC19"/>
    <w:rsid w:val="24557587"/>
    <w:rsid w:val="2457746A"/>
    <w:rsid w:val="245790C6"/>
    <w:rsid w:val="245B53A9"/>
    <w:rsid w:val="245F1891"/>
    <w:rsid w:val="2462A627"/>
    <w:rsid w:val="24641A2E"/>
    <w:rsid w:val="246809EC"/>
    <w:rsid w:val="246B87EF"/>
    <w:rsid w:val="246BD1B1"/>
    <w:rsid w:val="246BF2EB"/>
    <w:rsid w:val="246D2CEC"/>
    <w:rsid w:val="246E6A81"/>
    <w:rsid w:val="2476F9D3"/>
    <w:rsid w:val="247755F3"/>
    <w:rsid w:val="247A7FB2"/>
    <w:rsid w:val="247FA132"/>
    <w:rsid w:val="24811428"/>
    <w:rsid w:val="248192AE"/>
    <w:rsid w:val="2482E37E"/>
    <w:rsid w:val="248520FA"/>
    <w:rsid w:val="24906249"/>
    <w:rsid w:val="24911009"/>
    <w:rsid w:val="249E9CD7"/>
    <w:rsid w:val="24A29885"/>
    <w:rsid w:val="24AC4F92"/>
    <w:rsid w:val="24ADA14C"/>
    <w:rsid w:val="24B1EBC1"/>
    <w:rsid w:val="24B6780A"/>
    <w:rsid w:val="24B8A1BE"/>
    <w:rsid w:val="24B9775C"/>
    <w:rsid w:val="24BBBAC5"/>
    <w:rsid w:val="24C281EF"/>
    <w:rsid w:val="24C387A5"/>
    <w:rsid w:val="24C63692"/>
    <w:rsid w:val="24CC7A38"/>
    <w:rsid w:val="24CD914C"/>
    <w:rsid w:val="24CDDE39"/>
    <w:rsid w:val="24D1B760"/>
    <w:rsid w:val="24D662E5"/>
    <w:rsid w:val="24D7EFE8"/>
    <w:rsid w:val="24D9479F"/>
    <w:rsid w:val="24DA21F8"/>
    <w:rsid w:val="24DAB0E2"/>
    <w:rsid w:val="24DC2B19"/>
    <w:rsid w:val="24DE0E8C"/>
    <w:rsid w:val="24E27333"/>
    <w:rsid w:val="24E96F7C"/>
    <w:rsid w:val="24ED6B94"/>
    <w:rsid w:val="24EE6F19"/>
    <w:rsid w:val="24EF026B"/>
    <w:rsid w:val="24EFE8EE"/>
    <w:rsid w:val="24F85735"/>
    <w:rsid w:val="25038ECF"/>
    <w:rsid w:val="2503C4B3"/>
    <w:rsid w:val="2503E07B"/>
    <w:rsid w:val="2505B7F2"/>
    <w:rsid w:val="250B00FB"/>
    <w:rsid w:val="25114D27"/>
    <w:rsid w:val="25186545"/>
    <w:rsid w:val="25195109"/>
    <w:rsid w:val="251D51A8"/>
    <w:rsid w:val="251D5C70"/>
    <w:rsid w:val="251E9645"/>
    <w:rsid w:val="251FB2B2"/>
    <w:rsid w:val="2521AC04"/>
    <w:rsid w:val="2522F5AF"/>
    <w:rsid w:val="252692B0"/>
    <w:rsid w:val="252708BE"/>
    <w:rsid w:val="252A3B87"/>
    <w:rsid w:val="252FE11C"/>
    <w:rsid w:val="2535642F"/>
    <w:rsid w:val="2539037C"/>
    <w:rsid w:val="2539FD92"/>
    <w:rsid w:val="253B095B"/>
    <w:rsid w:val="25406409"/>
    <w:rsid w:val="255126A4"/>
    <w:rsid w:val="2555C713"/>
    <w:rsid w:val="2555CF92"/>
    <w:rsid w:val="2556B6F0"/>
    <w:rsid w:val="2557C4FA"/>
    <w:rsid w:val="255A1EEB"/>
    <w:rsid w:val="255A5AFF"/>
    <w:rsid w:val="25606081"/>
    <w:rsid w:val="256972E0"/>
    <w:rsid w:val="256C8793"/>
    <w:rsid w:val="2574E5A4"/>
    <w:rsid w:val="25756102"/>
    <w:rsid w:val="2575E75F"/>
    <w:rsid w:val="257CB06B"/>
    <w:rsid w:val="2581460D"/>
    <w:rsid w:val="25836ACE"/>
    <w:rsid w:val="2584F5CD"/>
    <w:rsid w:val="25856238"/>
    <w:rsid w:val="25877663"/>
    <w:rsid w:val="2587D0A6"/>
    <w:rsid w:val="2588C8A1"/>
    <w:rsid w:val="258AB30F"/>
    <w:rsid w:val="258BD3D1"/>
    <w:rsid w:val="258EC48E"/>
    <w:rsid w:val="258F52D6"/>
    <w:rsid w:val="2594C729"/>
    <w:rsid w:val="259682F9"/>
    <w:rsid w:val="259E33DD"/>
    <w:rsid w:val="25A36D64"/>
    <w:rsid w:val="25A4EAAD"/>
    <w:rsid w:val="25A4F4F8"/>
    <w:rsid w:val="25A66FD6"/>
    <w:rsid w:val="25A6BF84"/>
    <w:rsid w:val="25A7019A"/>
    <w:rsid w:val="25A73581"/>
    <w:rsid w:val="25AA6834"/>
    <w:rsid w:val="25AA7DF9"/>
    <w:rsid w:val="25AD3D3B"/>
    <w:rsid w:val="25AD6AD5"/>
    <w:rsid w:val="25AE1CF2"/>
    <w:rsid w:val="25B87C55"/>
    <w:rsid w:val="25BA97B8"/>
    <w:rsid w:val="25BDE453"/>
    <w:rsid w:val="25BF1242"/>
    <w:rsid w:val="25BFA207"/>
    <w:rsid w:val="25BFD5D2"/>
    <w:rsid w:val="25C256CD"/>
    <w:rsid w:val="25C4C0AD"/>
    <w:rsid w:val="25C5FC54"/>
    <w:rsid w:val="25CA1487"/>
    <w:rsid w:val="25CBAFFF"/>
    <w:rsid w:val="25CC45BE"/>
    <w:rsid w:val="25CCBB59"/>
    <w:rsid w:val="25CEDB00"/>
    <w:rsid w:val="25D186C9"/>
    <w:rsid w:val="25D5D82B"/>
    <w:rsid w:val="25E1052E"/>
    <w:rsid w:val="25E2DCCD"/>
    <w:rsid w:val="25E3650C"/>
    <w:rsid w:val="25E3C66E"/>
    <w:rsid w:val="25E68977"/>
    <w:rsid w:val="25E865D7"/>
    <w:rsid w:val="25EAAC54"/>
    <w:rsid w:val="25F1E6F7"/>
    <w:rsid w:val="25F38ADC"/>
    <w:rsid w:val="25F41692"/>
    <w:rsid w:val="25F4CB3D"/>
    <w:rsid w:val="25F931BA"/>
    <w:rsid w:val="25FB362B"/>
    <w:rsid w:val="25FB98B7"/>
    <w:rsid w:val="25FD9DA7"/>
    <w:rsid w:val="25FE5BC0"/>
    <w:rsid w:val="25FF4BBC"/>
    <w:rsid w:val="26016AAC"/>
    <w:rsid w:val="260224F5"/>
    <w:rsid w:val="2602AA89"/>
    <w:rsid w:val="2604C4C1"/>
    <w:rsid w:val="2604D10A"/>
    <w:rsid w:val="2606FFD0"/>
    <w:rsid w:val="260C3D33"/>
    <w:rsid w:val="26117A78"/>
    <w:rsid w:val="2615E864"/>
    <w:rsid w:val="26169BE3"/>
    <w:rsid w:val="2618A0AA"/>
    <w:rsid w:val="261A55A3"/>
    <w:rsid w:val="261A7635"/>
    <w:rsid w:val="261F25A3"/>
    <w:rsid w:val="2620F15B"/>
    <w:rsid w:val="26234068"/>
    <w:rsid w:val="26290AEE"/>
    <w:rsid w:val="262A36AC"/>
    <w:rsid w:val="262EBDC6"/>
    <w:rsid w:val="2630084E"/>
    <w:rsid w:val="2630BE63"/>
    <w:rsid w:val="26334A20"/>
    <w:rsid w:val="26349EB2"/>
    <w:rsid w:val="2634FF1D"/>
    <w:rsid w:val="26367AC2"/>
    <w:rsid w:val="26370B03"/>
    <w:rsid w:val="263B9D8F"/>
    <w:rsid w:val="263FC4AC"/>
    <w:rsid w:val="263FC831"/>
    <w:rsid w:val="26464B4E"/>
    <w:rsid w:val="26486662"/>
    <w:rsid w:val="2648B483"/>
    <w:rsid w:val="264A8A00"/>
    <w:rsid w:val="264ECE4F"/>
    <w:rsid w:val="264EED17"/>
    <w:rsid w:val="264F2B46"/>
    <w:rsid w:val="264F8AF1"/>
    <w:rsid w:val="26511BD6"/>
    <w:rsid w:val="2652BAE8"/>
    <w:rsid w:val="26540270"/>
    <w:rsid w:val="26547DA7"/>
    <w:rsid w:val="265C8BCB"/>
    <w:rsid w:val="265F40FF"/>
    <w:rsid w:val="265FC9A9"/>
    <w:rsid w:val="26638B51"/>
    <w:rsid w:val="2668342A"/>
    <w:rsid w:val="266D1554"/>
    <w:rsid w:val="266E5F4B"/>
    <w:rsid w:val="267874BD"/>
    <w:rsid w:val="2679D27D"/>
    <w:rsid w:val="2679EE42"/>
    <w:rsid w:val="267C8D46"/>
    <w:rsid w:val="26850693"/>
    <w:rsid w:val="268EFCCF"/>
    <w:rsid w:val="268F07F2"/>
    <w:rsid w:val="26926993"/>
    <w:rsid w:val="26938709"/>
    <w:rsid w:val="26985F04"/>
    <w:rsid w:val="2698C2DF"/>
    <w:rsid w:val="269CDF5B"/>
    <w:rsid w:val="269E0657"/>
    <w:rsid w:val="26A0B40F"/>
    <w:rsid w:val="26A35C49"/>
    <w:rsid w:val="26A96267"/>
    <w:rsid w:val="26AACE89"/>
    <w:rsid w:val="26AB0319"/>
    <w:rsid w:val="26AED621"/>
    <w:rsid w:val="26B0848F"/>
    <w:rsid w:val="26B09D61"/>
    <w:rsid w:val="26B3EBF4"/>
    <w:rsid w:val="26B90F7F"/>
    <w:rsid w:val="26BA68EC"/>
    <w:rsid w:val="26BDAFAD"/>
    <w:rsid w:val="26BEA6EA"/>
    <w:rsid w:val="26BEC610"/>
    <w:rsid w:val="26BEF241"/>
    <w:rsid w:val="26C14CCF"/>
    <w:rsid w:val="26C67826"/>
    <w:rsid w:val="26CB7BA5"/>
    <w:rsid w:val="26CDFE22"/>
    <w:rsid w:val="26D00C77"/>
    <w:rsid w:val="26D2C283"/>
    <w:rsid w:val="26D39436"/>
    <w:rsid w:val="26D916C9"/>
    <w:rsid w:val="26DD1B81"/>
    <w:rsid w:val="26DEEFEB"/>
    <w:rsid w:val="26DF3A34"/>
    <w:rsid w:val="26E1AAFF"/>
    <w:rsid w:val="26E2F491"/>
    <w:rsid w:val="26E4BFF1"/>
    <w:rsid w:val="26E63E9C"/>
    <w:rsid w:val="26E8D830"/>
    <w:rsid w:val="26EC9BFF"/>
    <w:rsid w:val="26EDBE4C"/>
    <w:rsid w:val="26F02A57"/>
    <w:rsid w:val="26F201F3"/>
    <w:rsid w:val="26F25B06"/>
    <w:rsid w:val="26F4F039"/>
    <w:rsid w:val="26F7B5A8"/>
    <w:rsid w:val="26F80ADA"/>
    <w:rsid w:val="26F92B9F"/>
    <w:rsid w:val="26FA8A37"/>
    <w:rsid w:val="26FB33C9"/>
    <w:rsid w:val="26FB7319"/>
    <w:rsid w:val="26FCC5EE"/>
    <w:rsid w:val="27008B4A"/>
    <w:rsid w:val="27018B32"/>
    <w:rsid w:val="2701E22E"/>
    <w:rsid w:val="27033BAF"/>
    <w:rsid w:val="2705BF9B"/>
    <w:rsid w:val="270E8EED"/>
    <w:rsid w:val="270F516A"/>
    <w:rsid w:val="270F7CB9"/>
    <w:rsid w:val="27121DF6"/>
    <w:rsid w:val="2712234E"/>
    <w:rsid w:val="27151D92"/>
    <w:rsid w:val="271594EB"/>
    <w:rsid w:val="271608B2"/>
    <w:rsid w:val="27187831"/>
    <w:rsid w:val="271C5BC3"/>
    <w:rsid w:val="27251869"/>
    <w:rsid w:val="2726DA38"/>
    <w:rsid w:val="272A0981"/>
    <w:rsid w:val="272BCC38"/>
    <w:rsid w:val="272DCFFC"/>
    <w:rsid w:val="27334247"/>
    <w:rsid w:val="27336D71"/>
    <w:rsid w:val="2734F706"/>
    <w:rsid w:val="273831D8"/>
    <w:rsid w:val="273A7DD4"/>
    <w:rsid w:val="274A53C8"/>
    <w:rsid w:val="274ABE6F"/>
    <w:rsid w:val="274BCEB7"/>
    <w:rsid w:val="27505570"/>
    <w:rsid w:val="2752C495"/>
    <w:rsid w:val="275B3898"/>
    <w:rsid w:val="27631FB8"/>
    <w:rsid w:val="2765F40B"/>
    <w:rsid w:val="27686771"/>
    <w:rsid w:val="276D139A"/>
    <w:rsid w:val="27704208"/>
    <w:rsid w:val="2770CD52"/>
    <w:rsid w:val="277323E2"/>
    <w:rsid w:val="27741C7D"/>
    <w:rsid w:val="27741CAD"/>
    <w:rsid w:val="277F4167"/>
    <w:rsid w:val="27800C73"/>
    <w:rsid w:val="278019E4"/>
    <w:rsid w:val="2783C4E0"/>
    <w:rsid w:val="27843471"/>
    <w:rsid w:val="2789DF72"/>
    <w:rsid w:val="27919D9D"/>
    <w:rsid w:val="2791D5F9"/>
    <w:rsid w:val="27944546"/>
    <w:rsid w:val="279491C5"/>
    <w:rsid w:val="279E9A35"/>
    <w:rsid w:val="27A1D56D"/>
    <w:rsid w:val="27A3FB09"/>
    <w:rsid w:val="27A70E78"/>
    <w:rsid w:val="27A7470B"/>
    <w:rsid w:val="27A9B1FF"/>
    <w:rsid w:val="27B415AC"/>
    <w:rsid w:val="27BA4386"/>
    <w:rsid w:val="27BD20E4"/>
    <w:rsid w:val="27BD2D21"/>
    <w:rsid w:val="27C2194B"/>
    <w:rsid w:val="27C24562"/>
    <w:rsid w:val="27C51CBE"/>
    <w:rsid w:val="27C6F08D"/>
    <w:rsid w:val="27CBD8AF"/>
    <w:rsid w:val="27CCCA76"/>
    <w:rsid w:val="27D07FD6"/>
    <w:rsid w:val="27D75A05"/>
    <w:rsid w:val="27DC7C80"/>
    <w:rsid w:val="27DD54A2"/>
    <w:rsid w:val="27EAEB98"/>
    <w:rsid w:val="27EEBB89"/>
    <w:rsid w:val="27F1AD49"/>
    <w:rsid w:val="27FA6B1A"/>
    <w:rsid w:val="27FA92D0"/>
    <w:rsid w:val="280595F3"/>
    <w:rsid w:val="28066FF8"/>
    <w:rsid w:val="280FCCDF"/>
    <w:rsid w:val="28106494"/>
    <w:rsid w:val="2812FB74"/>
    <w:rsid w:val="2814CD01"/>
    <w:rsid w:val="281850DD"/>
    <w:rsid w:val="2819EA95"/>
    <w:rsid w:val="2819FD37"/>
    <w:rsid w:val="281DD5B9"/>
    <w:rsid w:val="281E17FF"/>
    <w:rsid w:val="2822DCD4"/>
    <w:rsid w:val="282361DE"/>
    <w:rsid w:val="28242473"/>
    <w:rsid w:val="2826C6C4"/>
    <w:rsid w:val="283233DF"/>
    <w:rsid w:val="28327F1E"/>
    <w:rsid w:val="283B14D7"/>
    <w:rsid w:val="283D7E73"/>
    <w:rsid w:val="283EEB20"/>
    <w:rsid w:val="2842C8DE"/>
    <w:rsid w:val="2848CCBD"/>
    <w:rsid w:val="284F9E5B"/>
    <w:rsid w:val="28521F7F"/>
    <w:rsid w:val="2855228F"/>
    <w:rsid w:val="2855FF43"/>
    <w:rsid w:val="28581780"/>
    <w:rsid w:val="285A4C52"/>
    <w:rsid w:val="28617D87"/>
    <w:rsid w:val="2862F722"/>
    <w:rsid w:val="2864959C"/>
    <w:rsid w:val="2864B07C"/>
    <w:rsid w:val="286620F8"/>
    <w:rsid w:val="286B6133"/>
    <w:rsid w:val="286FC71A"/>
    <w:rsid w:val="28741A45"/>
    <w:rsid w:val="2876BDBE"/>
    <w:rsid w:val="2882522C"/>
    <w:rsid w:val="2882EDB4"/>
    <w:rsid w:val="2884BF67"/>
    <w:rsid w:val="288AD0CC"/>
    <w:rsid w:val="289173E7"/>
    <w:rsid w:val="2891D7BA"/>
    <w:rsid w:val="2892838E"/>
    <w:rsid w:val="2897A493"/>
    <w:rsid w:val="2897C0DE"/>
    <w:rsid w:val="2899BA5C"/>
    <w:rsid w:val="289AF267"/>
    <w:rsid w:val="289F037B"/>
    <w:rsid w:val="28A4E27C"/>
    <w:rsid w:val="28A532A8"/>
    <w:rsid w:val="28A82CE7"/>
    <w:rsid w:val="28AEC459"/>
    <w:rsid w:val="28B84684"/>
    <w:rsid w:val="28B96BDC"/>
    <w:rsid w:val="28BAAB46"/>
    <w:rsid w:val="28BC0806"/>
    <w:rsid w:val="28BC90E8"/>
    <w:rsid w:val="28C78556"/>
    <w:rsid w:val="28C851ED"/>
    <w:rsid w:val="28C9C023"/>
    <w:rsid w:val="28CC6465"/>
    <w:rsid w:val="28CECA4D"/>
    <w:rsid w:val="28D010DE"/>
    <w:rsid w:val="28D16F1E"/>
    <w:rsid w:val="28D48A55"/>
    <w:rsid w:val="28D790D7"/>
    <w:rsid w:val="28D9823C"/>
    <w:rsid w:val="28DC8B7A"/>
    <w:rsid w:val="28E310A7"/>
    <w:rsid w:val="28E41452"/>
    <w:rsid w:val="28E76405"/>
    <w:rsid w:val="28E9EFDC"/>
    <w:rsid w:val="28EA2633"/>
    <w:rsid w:val="28EBD7C6"/>
    <w:rsid w:val="28ED43FC"/>
    <w:rsid w:val="28F180EE"/>
    <w:rsid w:val="28F75F00"/>
    <w:rsid w:val="28FB20FA"/>
    <w:rsid w:val="28FBED78"/>
    <w:rsid w:val="28FD949E"/>
    <w:rsid w:val="290000FB"/>
    <w:rsid w:val="29002D35"/>
    <w:rsid w:val="2900D430"/>
    <w:rsid w:val="29015022"/>
    <w:rsid w:val="2916F591"/>
    <w:rsid w:val="291A0CB7"/>
    <w:rsid w:val="291FEAE8"/>
    <w:rsid w:val="29207186"/>
    <w:rsid w:val="29207579"/>
    <w:rsid w:val="2923853A"/>
    <w:rsid w:val="2923A1A2"/>
    <w:rsid w:val="2924180E"/>
    <w:rsid w:val="2924B64E"/>
    <w:rsid w:val="29253E21"/>
    <w:rsid w:val="292571D0"/>
    <w:rsid w:val="29278126"/>
    <w:rsid w:val="29318912"/>
    <w:rsid w:val="29332C16"/>
    <w:rsid w:val="2937CA74"/>
    <w:rsid w:val="2937D6F2"/>
    <w:rsid w:val="293CA90F"/>
    <w:rsid w:val="293CEC61"/>
    <w:rsid w:val="294031A5"/>
    <w:rsid w:val="2944EE73"/>
    <w:rsid w:val="29457764"/>
    <w:rsid w:val="294A176E"/>
    <w:rsid w:val="29504252"/>
    <w:rsid w:val="2951DD3E"/>
    <w:rsid w:val="2953D1FD"/>
    <w:rsid w:val="29556782"/>
    <w:rsid w:val="2957204B"/>
    <w:rsid w:val="29575241"/>
    <w:rsid w:val="295797E7"/>
    <w:rsid w:val="2958C7E5"/>
    <w:rsid w:val="295B4A1D"/>
    <w:rsid w:val="2960CD0F"/>
    <w:rsid w:val="2963D2C2"/>
    <w:rsid w:val="29641839"/>
    <w:rsid w:val="29689C5F"/>
    <w:rsid w:val="296D799D"/>
    <w:rsid w:val="297463A8"/>
    <w:rsid w:val="29765B8A"/>
    <w:rsid w:val="29773AE8"/>
    <w:rsid w:val="297E8877"/>
    <w:rsid w:val="29833006"/>
    <w:rsid w:val="29888013"/>
    <w:rsid w:val="29897A3F"/>
    <w:rsid w:val="298A9B54"/>
    <w:rsid w:val="298F0F08"/>
    <w:rsid w:val="298F5430"/>
    <w:rsid w:val="298F8AB1"/>
    <w:rsid w:val="299061C0"/>
    <w:rsid w:val="299546D6"/>
    <w:rsid w:val="29958B3C"/>
    <w:rsid w:val="29980D57"/>
    <w:rsid w:val="299889EE"/>
    <w:rsid w:val="299ED88D"/>
    <w:rsid w:val="29A39B0B"/>
    <w:rsid w:val="29A8BE51"/>
    <w:rsid w:val="29A9955C"/>
    <w:rsid w:val="29BE6730"/>
    <w:rsid w:val="29C1C969"/>
    <w:rsid w:val="29C1E9AA"/>
    <w:rsid w:val="29C511F6"/>
    <w:rsid w:val="29C6C5F3"/>
    <w:rsid w:val="29C74083"/>
    <w:rsid w:val="29CFE400"/>
    <w:rsid w:val="29D0525A"/>
    <w:rsid w:val="29D0992B"/>
    <w:rsid w:val="29D2D3E8"/>
    <w:rsid w:val="29D4BD70"/>
    <w:rsid w:val="29D6C581"/>
    <w:rsid w:val="29D8D79D"/>
    <w:rsid w:val="29DBAE1E"/>
    <w:rsid w:val="29DC1473"/>
    <w:rsid w:val="29DC9A92"/>
    <w:rsid w:val="29DCA6DA"/>
    <w:rsid w:val="29E3F475"/>
    <w:rsid w:val="29EBDBAF"/>
    <w:rsid w:val="29F2993D"/>
    <w:rsid w:val="29F339A9"/>
    <w:rsid w:val="29F4669C"/>
    <w:rsid w:val="29F9BA13"/>
    <w:rsid w:val="29FB1EAB"/>
    <w:rsid w:val="29FC4158"/>
    <w:rsid w:val="29FEABA0"/>
    <w:rsid w:val="2A03C156"/>
    <w:rsid w:val="2A05B6BE"/>
    <w:rsid w:val="2A0AD4C1"/>
    <w:rsid w:val="2A0CE754"/>
    <w:rsid w:val="2A10E08F"/>
    <w:rsid w:val="2A112717"/>
    <w:rsid w:val="2A16C719"/>
    <w:rsid w:val="2A1EF75D"/>
    <w:rsid w:val="2A23A5AD"/>
    <w:rsid w:val="2A26EB18"/>
    <w:rsid w:val="2A27AFC1"/>
    <w:rsid w:val="2A2C163D"/>
    <w:rsid w:val="2A2DFE17"/>
    <w:rsid w:val="2A2E4528"/>
    <w:rsid w:val="2A30092A"/>
    <w:rsid w:val="2A30B42B"/>
    <w:rsid w:val="2A357333"/>
    <w:rsid w:val="2A38DB45"/>
    <w:rsid w:val="2A3A9732"/>
    <w:rsid w:val="2A3C0800"/>
    <w:rsid w:val="2A446208"/>
    <w:rsid w:val="2A4663BE"/>
    <w:rsid w:val="2A48496D"/>
    <w:rsid w:val="2A4AC104"/>
    <w:rsid w:val="2A4E807F"/>
    <w:rsid w:val="2A4E965B"/>
    <w:rsid w:val="2A54876B"/>
    <w:rsid w:val="2A570E53"/>
    <w:rsid w:val="2A57BBAA"/>
    <w:rsid w:val="2A593D65"/>
    <w:rsid w:val="2A5F92A3"/>
    <w:rsid w:val="2A639FC1"/>
    <w:rsid w:val="2A668BD8"/>
    <w:rsid w:val="2A680524"/>
    <w:rsid w:val="2A6B8905"/>
    <w:rsid w:val="2A6BE03E"/>
    <w:rsid w:val="2A6D0BC5"/>
    <w:rsid w:val="2A6EC791"/>
    <w:rsid w:val="2A6FEC00"/>
    <w:rsid w:val="2A73F4AC"/>
    <w:rsid w:val="2A7646CF"/>
    <w:rsid w:val="2A76BBC2"/>
    <w:rsid w:val="2A7AF309"/>
    <w:rsid w:val="2A7E805D"/>
    <w:rsid w:val="2A801810"/>
    <w:rsid w:val="2A80BEF7"/>
    <w:rsid w:val="2A86DEC1"/>
    <w:rsid w:val="2A880562"/>
    <w:rsid w:val="2A8823DB"/>
    <w:rsid w:val="2A8A8021"/>
    <w:rsid w:val="2A8B8B8A"/>
    <w:rsid w:val="2A8B9E1E"/>
    <w:rsid w:val="2A8D2B5F"/>
    <w:rsid w:val="2A94EFF9"/>
    <w:rsid w:val="2A960469"/>
    <w:rsid w:val="2A9BA4D3"/>
    <w:rsid w:val="2A9C339D"/>
    <w:rsid w:val="2AA1252B"/>
    <w:rsid w:val="2AA676F6"/>
    <w:rsid w:val="2AA7104E"/>
    <w:rsid w:val="2AAE15F4"/>
    <w:rsid w:val="2AAEB15B"/>
    <w:rsid w:val="2AAFEB9A"/>
    <w:rsid w:val="2AB45F50"/>
    <w:rsid w:val="2AB6F37F"/>
    <w:rsid w:val="2ABDD54C"/>
    <w:rsid w:val="2ABF1E8C"/>
    <w:rsid w:val="2AC0EF50"/>
    <w:rsid w:val="2AC1AABD"/>
    <w:rsid w:val="2AC29DFD"/>
    <w:rsid w:val="2AC490FE"/>
    <w:rsid w:val="2AC854C0"/>
    <w:rsid w:val="2AC935A5"/>
    <w:rsid w:val="2ACE2F60"/>
    <w:rsid w:val="2ACECEA5"/>
    <w:rsid w:val="2AD17D5F"/>
    <w:rsid w:val="2AD50C86"/>
    <w:rsid w:val="2AD93007"/>
    <w:rsid w:val="2ADA2AF0"/>
    <w:rsid w:val="2ADCC536"/>
    <w:rsid w:val="2ADCC943"/>
    <w:rsid w:val="2ADE6A8C"/>
    <w:rsid w:val="2AE135E2"/>
    <w:rsid w:val="2AE924E9"/>
    <w:rsid w:val="2AEA24A5"/>
    <w:rsid w:val="2AEA4ACB"/>
    <w:rsid w:val="2AEB4D22"/>
    <w:rsid w:val="2AEEB864"/>
    <w:rsid w:val="2AF16EFD"/>
    <w:rsid w:val="2AF36BC8"/>
    <w:rsid w:val="2AF7928C"/>
    <w:rsid w:val="2AFB0E14"/>
    <w:rsid w:val="2AFEA749"/>
    <w:rsid w:val="2B036D48"/>
    <w:rsid w:val="2B0573A4"/>
    <w:rsid w:val="2B064FE7"/>
    <w:rsid w:val="2B10644F"/>
    <w:rsid w:val="2B10A3FF"/>
    <w:rsid w:val="2B11C288"/>
    <w:rsid w:val="2B156760"/>
    <w:rsid w:val="2B22C4E3"/>
    <w:rsid w:val="2B23B371"/>
    <w:rsid w:val="2B257A2B"/>
    <w:rsid w:val="2B281BF1"/>
    <w:rsid w:val="2B289A7E"/>
    <w:rsid w:val="2B289F57"/>
    <w:rsid w:val="2B2A49C9"/>
    <w:rsid w:val="2B2A9F6D"/>
    <w:rsid w:val="2B2E6C07"/>
    <w:rsid w:val="2B3669F9"/>
    <w:rsid w:val="2B369497"/>
    <w:rsid w:val="2B3ABF4E"/>
    <w:rsid w:val="2B3C05E1"/>
    <w:rsid w:val="2B400212"/>
    <w:rsid w:val="2B400A32"/>
    <w:rsid w:val="2B40D415"/>
    <w:rsid w:val="2B445C99"/>
    <w:rsid w:val="2B473F61"/>
    <w:rsid w:val="2B4B29E9"/>
    <w:rsid w:val="2B4C26D2"/>
    <w:rsid w:val="2B4D6C57"/>
    <w:rsid w:val="2B4DB4EA"/>
    <w:rsid w:val="2B4DBA20"/>
    <w:rsid w:val="2B5026B7"/>
    <w:rsid w:val="2B50E422"/>
    <w:rsid w:val="2B527117"/>
    <w:rsid w:val="2B53C8A3"/>
    <w:rsid w:val="2B546C04"/>
    <w:rsid w:val="2B588982"/>
    <w:rsid w:val="2B5CBB1B"/>
    <w:rsid w:val="2B5ECD43"/>
    <w:rsid w:val="2B61D415"/>
    <w:rsid w:val="2B6233B5"/>
    <w:rsid w:val="2B696595"/>
    <w:rsid w:val="2B6B436C"/>
    <w:rsid w:val="2B6E3B68"/>
    <w:rsid w:val="2B6E7B98"/>
    <w:rsid w:val="2B72C0C3"/>
    <w:rsid w:val="2B7396C3"/>
    <w:rsid w:val="2B755B78"/>
    <w:rsid w:val="2B7D299A"/>
    <w:rsid w:val="2B7F1307"/>
    <w:rsid w:val="2B821F73"/>
    <w:rsid w:val="2B82BE49"/>
    <w:rsid w:val="2B82D21A"/>
    <w:rsid w:val="2B82D55E"/>
    <w:rsid w:val="2B8642EF"/>
    <w:rsid w:val="2B86708A"/>
    <w:rsid w:val="2B87E9B6"/>
    <w:rsid w:val="2B8810FC"/>
    <w:rsid w:val="2B8C1352"/>
    <w:rsid w:val="2B94A8C4"/>
    <w:rsid w:val="2B9AF13A"/>
    <w:rsid w:val="2B9EC1A3"/>
    <w:rsid w:val="2BA2106F"/>
    <w:rsid w:val="2BA71D0D"/>
    <w:rsid w:val="2BAB1EBD"/>
    <w:rsid w:val="2BAB4C50"/>
    <w:rsid w:val="2BABB47B"/>
    <w:rsid w:val="2BB7105A"/>
    <w:rsid w:val="2BB881BB"/>
    <w:rsid w:val="2BB925C6"/>
    <w:rsid w:val="2BB96565"/>
    <w:rsid w:val="2BBAB781"/>
    <w:rsid w:val="2BBBDAEB"/>
    <w:rsid w:val="2BBE5536"/>
    <w:rsid w:val="2BC1AEBE"/>
    <w:rsid w:val="2BC3ABE2"/>
    <w:rsid w:val="2BCAAE42"/>
    <w:rsid w:val="2BCFA51A"/>
    <w:rsid w:val="2BD0F466"/>
    <w:rsid w:val="2BD70583"/>
    <w:rsid w:val="2BD7F531"/>
    <w:rsid w:val="2BD9BEF9"/>
    <w:rsid w:val="2BDA894B"/>
    <w:rsid w:val="2BDABBD0"/>
    <w:rsid w:val="2BDB1C50"/>
    <w:rsid w:val="2BDB8CA6"/>
    <w:rsid w:val="2BDEC3DA"/>
    <w:rsid w:val="2BE05E32"/>
    <w:rsid w:val="2BE43EEE"/>
    <w:rsid w:val="2BE6CE12"/>
    <w:rsid w:val="2BE9B3AD"/>
    <w:rsid w:val="2BEA5BBF"/>
    <w:rsid w:val="2BEE2EEB"/>
    <w:rsid w:val="2BF194A7"/>
    <w:rsid w:val="2BF8C080"/>
    <w:rsid w:val="2BF8FC6B"/>
    <w:rsid w:val="2BFE1D29"/>
    <w:rsid w:val="2BFF8598"/>
    <w:rsid w:val="2BFFB3F8"/>
    <w:rsid w:val="2C034674"/>
    <w:rsid w:val="2C0408AD"/>
    <w:rsid w:val="2C041A46"/>
    <w:rsid w:val="2C06740C"/>
    <w:rsid w:val="2C0928D1"/>
    <w:rsid w:val="2C0DA3B7"/>
    <w:rsid w:val="2C0E1FDD"/>
    <w:rsid w:val="2C0E9768"/>
    <w:rsid w:val="2C14BA36"/>
    <w:rsid w:val="2C15232D"/>
    <w:rsid w:val="2C167DC4"/>
    <w:rsid w:val="2C1A4443"/>
    <w:rsid w:val="2C245C1C"/>
    <w:rsid w:val="2C28DED4"/>
    <w:rsid w:val="2C2C215F"/>
    <w:rsid w:val="2C2CF347"/>
    <w:rsid w:val="2C2D8C4F"/>
    <w:rsid w:val="2C30A48F"/>
    <w:rsid w:val="2C33CCE9"/>
    <w:rsid w:val="2C3480A3"/>
    <w:rsid w:val="2C37520A"/>
    <w:rsid w:val="2C377BF8"/>
    <w:rsid w:val="2C38FC50"/>
    <w:rsid w:val="2C3C3BD4"/>
    <w:rsid w:val="2C3CA937"/>
    <w:rsid w:val="2C40AA5C"/>
    <w:rsid w:val="2C431CE8"/>
    <w:rsid w:val="2C484FB4"/>
    <w:rsid w:val="2C4A0BAB"/>
    <w:rsid w:val="2C4C0215"/>
    <w:rsid w:val="2C4CFD13"/>
    <w:rsid w:val="2C52AE74"/>
    <w:rsid w:val="2C539465"/>
    <w:rsid w:val="2C5C134E"/>
    <w:rsid w:val="2C5D0E00"/>
    <w:rsid w:val="2C5EE570"/>
    <w:rsid w:val="2C6181B3"/>
    <w:rsid w:val="2C643DBA"/>
    <w:rsid w:val="2C6453B8"/>
    <w:rsid w:val="2C6AE2D5"/>
    <w:rsid w:val="2C6F4F6E"/>
    <w:rsid w:val="2C73DBA0"/>
    <w:rsid w:val="2C78447A"/>
    <w:rsid w:val="2C7C4881"/>
    <w:rsid w:val="2C7F7A34"/>
    <w:rsid w:val="2C815EC6"/>
    <w:rsid w:val="2C876926"/>
    <w:rsid w:val="2C87A776"/>
    <w:rsid w:val="2C899727"/>
    <w:rsid w:val="2C8F74A1"/>
    <w:rsid w:val="2C8FDD4A"/>
    <w:rsid w:val="2C900D87"/>
    <w:rsid w:val="2C905DC8"/>
    <w:rsid w:val="2C90B21C"/>
    <w:rsid w:val="2C9120A4"/>
    <w:rsid w:val="2C91C11B"/>
    <w:rsid w:val="2C929967"/>
    <w:rsid w:val="2C92D393"/>
    <w:rsid w:val="2C95887B"/>
    <w:rsid w:val="2C95E3CE"/>
    <w:rsid w:val="2C9DDBE3"/>
    <w:rsid w:val="2C9E7787"/>
    <w:rsid w:val="2C9EEAEB"/>
    <w:rsid w:val="2CA00985"/>
    <w:rsid w:val="2CAB8B9B"/>
    <w:rsid w:val="2CAED434"/>
    <w:rsid w:val="2CB31D9B"/>
    <w:rsid w:val="2CB51A7A"/>
    <w:rsid w:val="2CB84763"/>
    <w:rsid w:val="2CC53857"/>
    <w:rsid w:val="2CC547F5"/>
    <w:rsid w:val="2CC873CB"/>
    <w:rsid w:val="2CCC11C0"/>
    <w:rsid w:val="2CCC57B7"/>
    <w:rsid w:val="2CCE5B64"/>
    <w:rsid w:val="2CCF86E1"/>
    <w:rsid w:val="2CD058BC"/>
    <w:rsid w:val="2CD0EDC6"/>
    <w:rsid w:val="2CD313EC"/>
    <w:rsid w:val="2CD7A852"/>
    <w:rsid w:val="2CD9E434"/>
    <w:rsid w:val="2CDA0F99"/>
    <w:rsid w:val="2CDA531B"/>
    <w:rsid w:val="2CDB70A8"/>
    <w:rsid w:val="2CDEC479"/>
    <w:rsid w:val="2CDFE677"/>
    <w:rsid w:val="2CE5E611"/>
    <w:rsid w:val="2CEC50FC"/>
    <w:rsid w:val="2CED2F8D"/>
    <w:rsid w:val="2CEE3116"/>
    <w:rsid w:val="2CF20000"/>
    <w:rsid w:val="2CF34305"/>
    <w:rsid w:val="2CF377AE"/>
    <w:rsid w:val="2CF69BD9"/>
    <w:rsid w:val="2CF7CBA0"/>
    <w:rsid w:val="2CF8805B"/>
    <w:rsid w:val="2CFA2683"/>
    <w:rsid w:val="2CFC9865"/>
    <w:rsid w:val="2CFEF0C6"/>
    <w:rsid w:val="2D00BA4F"/>
    <w:rsid w:val="2D0462AE"/>
    <w:rsid w:val="2D07A088"/>
    <w:rsid w:val="2D07E9B1"/>
    <w:rsid w:val="2D0D3F26"/>
    <w:rsid w:val="2D0DD733"/>
    <w:rsid w:val="2D0F927A"/>
    <w:rsid w:val="2D100AB0"/>
    <w:rsid w:val="2D1015A6"/>
    <w:rsid w:val="2D132E5F"/>
    <w:rsid w:val="2D13D270"/>
    <w:rsid w:val="2D14321E"/>
    <w:rsid w:val="2D16591F"/>
    <w:rsid w:val="2D1E41DC"/>
    <w:rsid w:val="2D23D9A9"/>
    <w:rsid w:val="2D2AD539"/>
    <w:rsid w:val="2D36EF38"/>
    <w:rsid w:val="2D36F120"/>
    <w:rsid w:val="2D384C0A"/>
    <w:rsid w:val="2D3A6DA6"/>
    <w:rsid w:val="2D42CBB4"/>
    <w:rsid w:val="2D488A94"/>
    <w:rsid w:val="2D4BB946"/>
    <w:rsid w:val="2D542355"/>
    <w:rsid w:val="2D553C7D"/>
    <w:rsid w:val="2D58384C"/>
    <w:rsid w:val="2D5B33EC"/>
    <w:rsid w:val="2D5E6875"/>
    <w:rsid w:val="2D6156A2"/>
    <w:rsid w:val="2D621326"/>
    <w:rsid w:val="2D6475A8"/>
    <w:rsid w:val="2D655B3D"/>
    <w:rsid w:val="2D674A48"/>
    <w:rsid w:val="2D6A940F"/>
    <w:rsid w:val="2D735F17"/>
    <w:rsid w:val="2D7463BF"/>
    <w:rsid w:val="2D756C94"/>
    <w:rsid w:val="2D790E24"/>
    <w:rsid w:val="2D7C9E9D"/>
    <w:rsid w:val="2D80D010"/>
    <w:rsid w:val="2D817F8B"/>
    <w:rsid w:val="2D820C57"/>
    <w:rsid w:val="2D8426EA"/>
    <w:rsid w:val="2D8653AA"/>
    <w:rsid w:val="2D8A5F69"/>
    <w:rsid w:val="2D8D90FB"/>
    <w:rsid w:val="2D905AD9"/>
    <w:rsid w:val="2D996F31"/>
    <w:rsid w:val="2D9BD1EC"/>
    <w:rsid w:val="2D9BD730"/>
    <w:rsid w:val="2D9C7D59"/>
    <w:rsid w:val="2DA1E93A"/>
    <w:rsid w:val="2DA823B5"/>
    <w:rsid w:val="2DAF7116"/>
    <w:rsid w:val="2DAFC315"/>
    <w:rsid w:val="2DAFE567"/>
    <w:rsid w:val="2DB1C657"/>
    <w:rsid w:val="2DB461CB"/>
    <w:rsid w:val="2DB72601"/>
    <w:rsid w:val="2DB7B62E"/>
    <w:rsid w:val="2DB96DDF"/>
    <w:rsid w:val="2DBB2D8F"/>
    <w:rsid w:val="2DBB8253"/>
    <w:rsid w:val="2DC013BF"/>
    <w:rsid w:val="2DC31F71"/>
    <w:rsid w:val="2DC3B2F9"/>
    <w:rsid w:val="2DC559FC"/>
    <w:rsid w:val="2DC787D3"/>
    <w:rsid w:val="2DC80434"/>
    <w:rsid w:val="2DC9A002"/>
    <w:rsid w:val="2DD41201"/>
    <w:rsid w:val="2DD9E7EA"/>
    <w:rsid w:val="2DDA781E"/>
    <w:rsid w:val="2DDEF485"/>
    <w:rsid w:val="2DE0DEB5"/>
    <w:rsid w:val="2DE36337"/>
    <w:rsid w:val="2DE3BDE3"/>
    <w:rsid w:val="2DE4864B"/>
    <w:rsid w:val="2DEACE4A"/>
    <w:rsid w:val="2DF067A1"/>
    <w:rsid w:val="2DF2DA60"/>
    <w:rsid w:val="2DF320B0"/>
    <w:rsid w:val="2DF3589E"/>
    <w:rsid w:val="2DF5F1AE"/>
    <w:rsid w:val="2DF71AFE"/>
    <w:rsid w:val="2DF792DD"/>
    <w:rsid w:val="2DF7CA6A"/>
    <w:rsid w:val="2DFCC3BC"/>
    <w:rsid w:val="2DFD5832"/>
    <w:rsid w:val="2DFDE381"/>
    <w:rsid w:val="2DFDFA3F"/>
    <w:rsid w:val="2DFE616C"/>
    <w:rsid w:val="2E00770C"/>
    <w:rsid w:val="2E018DAB"/>
    <w:rsid w:val="2E06F44B"/>
    <w:rsid w:val="2E0A3203"/>
    <w:rsid w:val="2E0A8664"/>
    <w:rsid w:val="2E0C85B7"/>
    <w:rsid w:val="2E100E6B"/>
    <w:rsid w:val="2E10F437"/>
    <w:rsid w:val="2E146D2E"/>
    <w:rsid w:val="2E1791E5"/>
    <w:rsid w:val="2E1AF665"/>
    <w:rsid w:val="2E1BA8E0"/>
    <w:rsid w:val="2E1D16E3"/>
    <w:rsid w:val="2E1EC1E8"/>
    <w:rsid w:val="2E22DE09"/>
    <w:rsid w:val="2E27F1B6"/>
    <w:rsid w:val="2E2803A3"/>
    <w:rsid w:val="2E289207"/>
    <w:rsid w:val="2E28A615"/>
    <w:rsid w:val="2E2A93CD"/>
    <w:rsid w:val="2E2AF8DD"/>
    <w:rsid w:val="2E324E69"/>
    <w:rsid w:val="2E335DDF"/>
    <w:rsid w:val="2E37FB79"/>
    <w:rsid w:val="2E39FF36"/>
    <w:rsid w:val="2E3E5C05"/>
    <w:rsid w:val="2E49FAF3"/>
    <w:rsid w:val="2E4A9C66"/>
    <w:rsid w:val="2E4C4DC7"/>
    <w:rsid w:val="2E4E84AB"/>
    <w:rsid w:val="2E54FDDC"/>
    <w:rsid w:val="2E5B9EF3"/>
    <w:rsid w:val="2E5ED675"/>
    <w:rsid w:val="2E606547"/>
    <w:rsid w:val="2E61E68B"/>
    <w:rsid w:val="2E62060F"/>
    <w:rsid w:val="2E62B817"/>
    <w:rsid w:val="2E666A48"/>
    <w:rsid w:val="2E673CE0"/>
    <w:rsid w:val="2E6A52E4"/>
    <w:rsid w:val="2E72F8DC"/>
    <w:rsid w:val="2E7329EB"/>
    <w:rsid w:val="2E73F135"/>
    <w:rsid w:val="2E748A64"/>
    <w:rsid w:val="2E75F87F"/>
    <w:rsid w:val="2E7D3B5F"/>
    <w:rsid w:val="2E7E4BB5"/>
    <w:rsid w:val="2E87C644"/>
    <w:rsid w:val="2E89381A"/>
    <w:rsid w:val="2E8CA7E1"/>
    <w:rsid w:val="2E8FE4CA"/>
    <w:rsid w:val="2E938A3C"/>
    <w:rsid w:val="2E94B618"/>
    <w:rsid w:val="2E95F6E4"/>
    <w:rsid w:val="2E985B98"/>
    <w:rsid w:val="2E9AA27F"/>
    <w:rsid w:val="2E9D631A"/>
    <w:rsid w:val="2E9F4729"/>
    <w:rsid w:val="2EA053DB"/>
    <w:rsid w:val="2EA237A9"/>
    <w:rsid w:val="2EA5CE41"/>
    <w:rsid w:val="2EA69E69"/>
    <w:rsid w:val="2EAA3758"/>
    <w:rsid w:val="2EACA3EE"/>
    <w:rsid w:val="2EAEADB1"/>
    <w:rsid w:val="2EB52AC9"/>
    <w:rsid w:val="2EB5CC02"/>
    <w:rsid w:val="2EB8BB10"/>
    <w:rsid w:val="2EBDDF97"/>
    <w:rsid w:val="2EC0B0C0"/>
    <w:rsid w:val="2EC2DBD2"/>
    <w:rsid w:val="2EC36245"/>
    <w:rsid w:val="2EC3C47B"/>
    <w:rsid w:val="2EC47935"/>
    <w:rsid w:val="2ECBBB3E"/>
    <w:rsid w:val="2ED458EF"/>
    <w:rsid w:val="2ED4BFCC"/>
    <w:rsid w:val="2EDA8069"/>
    <w:rsid w:val="2EDE201C"/>
    <w:rsid w:val="2EE109D3"/>
    <w:rsid w:val="2EE2C966"/>
    <w:rsid w:val="2EE465E4"/>
    <w:rsid w:val="2EE8BF69"/>
    <w:rsid w:val="2EEAAD81"/>
    <w:rsid w:val="2EF01E76"/>
    <w:rsid w:val="2EF2666D"/>
    <w:rsid w:val="2EF328C4"/>
    <w:rsid w:val="2EF54162"/>
    <w:rsid w:val="2EF77416"/>
    <w:rsid w:val="2EFDCE8F"/>
    <w:rsid w:val="2EFE2694"/>
    <w:rsid w:val="2F03662A"/>
    <w:rsid w:val="2F06DBDA"/>
    <w:rsid w:val="2F0A1703"/>
    <w:rsid w:val="2F0C6EE7"/>
    <w:rsid w:val="2F10CCA7"/>
    <w:rsid w:val="2F11F548"/>
    <w:rsid w:val="2F12D2B9"/>
    <w:rsid w:val="2F1402FC"/>
    <w:rsid w:val="2F14090B"/>
    <w:rsid w:val="2F1EE24C"/>
    <w:rsid w:val="2F210D39"/>
    <w:rsid w:val="2F246E8E"/>
    <w:rsid w:val="2F271DCE"/>
    <w:rsid w:val="2F290648"/>
    <w:rsid w:val="2F295CAA"/>
    <w:rsid w:val="2F296CFA"/>
    <w:rsid w:val="2F3601A6"/>
    <w:rsid w:val="2F37BAB9"/>
    <w:rsid w:val="2F3ADC6C"/>
    <w:rsid w:val="2F3F8645"/>
    <w:rsid w:val="2F44C731"/>
    <w:rsid w:val="2F461D98"/>
    <w:rsid w:val="2F46CF39"/>
    <w:rsid w:val="2F47F85C"/>
    <w:rsid w:val="2F483DDF"/>
    <w:rsid w:val="2F484683"/>
    <w:rsid w:val="2F495440"/>
    <w:rsid w:val="2F4F4D00"/>
    <w:rsid w:val="2F4F8E0F"/>
    <w:rsid w:val="2F54B9C0"/>
    <w:rsid w:val="2F5553D5"/>
    <w:rsid w:val="2F5565AD"/>
    <w:rsid w:val="2F59A89C"/>
    <w:rsid w:val="2F5B6760"/>
    <w:rsid w:val="2F5C95B1"/>
    <w:rsid w:val="2F5FF6CA"/>
    <w:rsid w:val="2F6397B9"/>
    <w:rsid w:val="2F656EBE"/>
    <w:rsid w:val="2F670434"/>
    <w:rsid w:val="2F682BF5"/>
    <w:rsid w:val="2F697134"/>
    <w:rsid w:val="2F6A78EC"/>
    <w:rsid w:val="2F70DFC4"/>
    <w:rsid w:val="2F712982"/>
    <w:rsid w:val="2F7306D4"/>
    <w:rsid w:val="2F731FE8"/>
    <w:rsid w:val="2F741269"/>
    <w:rsid w:val="2F74DFE4"/>
    <w:rsid w:val="2F757C52"/>
    <w:rsid w:val="2F75E6F6"/>
    <w:rsid w:val="2F76E88D"/>
    <w:rsid w:val="2F7AA928"/>
    <w:rsid w:val="2F7C4F15"/>
    <w:rsid w:val="2F7C8CEC"/>
    <w:rsid w:val="2F7CF745"/>
    <w:rsid w:val="2F80A805"/>
    <w:rsid w:val="2F821E26"/>
    <w:rsid w:val="2F84628C"/>
    <w:rsid w:val="2F89E346"/>
    <w:rsid w:val="2F914E86"/>
    <w:rsid w:val="2F921E66"/>
    <w:rsid w:val="2F928D1F"/>
    <w:rsid w:val="2F95AB73"/>
    <w:rsid w:val="2F980341"/>
    <w:rsid w:val="2F9CFEF8"/>
    <w:rsid w:val="2F9EC23B"/>
    <w:rsid w:val="2FA2047A"/>
    <w:rsid w:val="2FA47D8D"/>
    <w:rsid w:val="2FA7FEC9"/>
    <w:rsid w:val="2FA82B3C"/>
    <w:rsid w:val="2FAB46C3"/>
    <w:rsid w:val="2FACC7F2"/>
    <w:rsid w:val="2FB16744"/>
    <w:rsid w:val="2FB93EA8"/>
    <w:rsid w:val="2FC1DA16"/>
    <w:rsid w:val="2FC35AAB"/>
    <w:rsid w:val="2FC84A2E"/>
    <w:rsid w:val="2FC9048B"/>
    <w:rsid w:val="2FD524A1"/>
    <w:rsid w:val="2FD6C980"/>
    <w:rsid w:val="2FDDC830"/>
    <w:rsid w:val="2FDE17D7"/>
    <w:rsid w:val="2FDE358D"/>
    <w:rsid w:val="2FE012C7"/>
    <w:rsid w:val="2FE08B67"/>
    <w:rsid w:val="2FE82D66"/>
    <w:rsid w:val="2FEA975B"/>
    <w:rsid w:val="2FEB616F"/>
    <w:rsid w:val="2FEB83CA"/>
    <w:rsid w:val="2FEB95C9"/>
    <w:rsid w:val="2FF4D183"/>
    <w:rsid w:val="2FFF87E0"/>
    <w:rsid w:val="30006900"/>
    <w:rsid w:val="3004CCC0"/>
    <w:rsid w:val="300940B6"/>
    <w:rsid w:val="300B239B"/>
    <w:rsid w:val="300BF2DF"/>
    <w:rsid w:val="300F224F"/>
    <w:rsid w:val="3010EB7F"/>
    <w:rsid w:val="30117063"/>
    <w:rsid w:val="30120D0C"/>
    <w:rsid w:val="3012E230"/>
    <w:rsid w:val="3015C041"/>
    <w:rsid w:val="3018ACAF"/>
    <w:rsid w:val="301C043C"/>
    <w:rsid w:val="30205755"/>
    <w:rsid w:val="30217FB4"/>
    <w:rsid w:val="3021FE1D"/>
    <w:rsid w:val="302624F8"/>
    <w:rsid w:val="302769CB"/>
    <w:rsid w:val="30289883"/>
    <w:rsid w:val="302AF412"/>
    <w:rsid w:val="302DFFC5"/>
    <w:rsid w:val="30300D54"/>
    <w:rsid w:val="3030DC5C"/>
    <w:rsid w:val="3030FABD"/>
    <w:rsid w:val="3031CE19"/>
    <w:rsid w:val="3032ABCF"/>
    <w:rsid w:val="30330383"/>
    <w:rsid w:val="3033DA99"/>
    <w:rsid w:val="30340304"/>
    <w:rsid w:val="30366798"/>
    <w:rsid w:val="3038FED9"/>
    <w:rsid w:val="30397954"/>
    <w:rsid w:val="303B5DC7"/>
    <w:rsid w:val="303F46B6"/>
    <w:rsid w:val="3040ED2E"/>
    <w:rsid w:val="30416274"/>
    <w:rsid w:val="3042D17F"/>
    <w:rsid w:val="3044FB56"/>
    <w:rsid w:val="30494BDD"/>
    <w:rsid w:val="304A7191"/>
    <w:rsid w:val="304C1335"/>
    <w:rsid w:val="30541E3B"/>
    <w:rsid w:val="30551B39"/>
    <w:rsid w:val="3058D918"/>
    <w:rsid w:val="305AFBA2"/>
    <w:rsid w:val="305BA4EA"/>
    <w:rsid w:val="305EB2FB"/>
    <w:rsid w:val="306014D2"/>
    <w:rsid w:val="30629DAB"/>
    <w:rsid w:val="30696BDA"/>
    <w:rsid w:val="306B12F2"/>
    <w:rsid w:val="30725BE4"/>
    <w:rsid w:val="307856D3"/>
    <w:rsid w:val="3078D342"/>
    <w:rsid w:val="307B99C8"/>
    <w:rsid w:val="307D824C"/>
    <w:rsid w:val="307E28CB"/>
    <w:rsid w:val="307E4DDC"/>
    <w:rsid w:val="30811419"/>
    <w:rsid w:val="3088B4FA"/>
    <w:rsid w:val="308B707D"/>
    <w:rsid w:val="3091D54E"/>
    <w:rsid w:val="309336E4"/>
    <w:rsid w:val="3095B275"/>
    <w:rsid w:val="3095D7D1"/>
    <w:rsid w:val="30983354"/>
    <w:rsid w:val="30993C4A"/>
    <w:rsid w:val="309D53F6"/>
    <w:rsid w:val="30A1D93C"/>
    <w:rsid w:val="30A39A8C"/>
    <w:rsid w:val="30A8303A"/>
    <w:rsid w:val="30A890B9"/>
    <w:rsid w:val="30AED66C"/>
    <w:rsid w:val="30B4A71B"/>
    <w:rsid w:val="30B6AC1B"/>
    <w:rsid w:val="30B914AE"/>
    <w:rsid w:val="30BCC947"/>
    <w:rsid w:val="30BD27C2"/>
    <w:rsid w:val="30C3C502"/>
    <w:rsid w:val="30C6A2FE"/>
    <w:rsid w:val="30C78609"/>
    <w:rsid w:val="30C89D8F"/>
    <w:rsid w:val="30CAD734"/>
    <w:rsid w:val="30CC830A"/>
    <w:rsid w:val="30D779D0"/>
    <w:rsid w:val="30D7F8D8"/>
    <w:rsid w:val="30D8DCF4"/>
    <w:rsid w:val="30DA9E09"/>
    <w:rsid w:val="30DAFDC1"/>
    <w:rsid w:val="30DB398A"/>
    <w:rsid w:val="30DB75DF"/>
    <w:rsid w:val="30E1D33B"/>
    <w:rsid w:val="30E53623"/>
    <w:rsid w:val="30F4410E"/>
    <w:rsid w:val="30F5BF94"/>
    <w:rsid w:val="30F7AAEA"/>
    <w:rsid w:val="30FA9007"/>
    <w:rsid w:val="30FA99DA"/>
    <w:rsid w:val="30FE65FE"/>
    <w:rsid w:val="30FE6F27"/>
    <w:rsid w:val="31007770"/>
    <w:rsid w:val="3103E275"/>
    <w:rsid w:val="31056DE0"/>
    <w:rsid w:val="3106A8F6"/>
    <w:rsid w:val="3106B62E"/>
    <w:rsid w:val="310976DD"/>
    <w:rsid w:val="31109972"/>
    <w:rsid w:val="311FEC9B"/>
    <w:rsid w:val="3128EA40"/>
    <w:rsid w:val="312C0203"/>
    <w:rsid w:val="312E2466"/>
    <w:rsid w:val="31302E33"/>
    <w:rsid w:val="3130ACBB"/>
    <w:rsid w:val="31320F89"/>
    <w:rsid w:val="31343FD2"/>
    <w:rsid w:val="3134C012"/>
    <w:rsid w:val="3135B282"/>
    <w:rsid w:val="313DB695"/>
    <w:rsid w:val="31412C57"/>
    <w:rsid w:val="314179DA"/>
    <w:rsid w:val="31436425"/>
    <w:rsid w:val="3145F461"/>
    <w:rsid w:val="314638E4"/>
    <w:rsid w:val="3158CED2"/>
    <w:rsid w:val="315B0848"/>
    <w:rsid w:val="315BFFA5"/>
    <w:rsid w:val="315FF00A"/>
    <w:rsid w:val="3164E5B5"/>
    <w:rsid w:val="316FEBC7"/>
    <w:rsid w:val="317006CF"/>
    <w:rsid w:val="31763127"/>
    <w:rsid w:val="317C5A4A"/>
    <w:rsid w:val="317F1432"/>
    <w:rsid w:val="317F7464"/>
    <w:rsid w:val="3180E7CC"/>
    <w:rsid w:val="31812C67"/>
    <w:rsid w:val="31894089"/>
    <w:rsid w:val="3189E6C2"/>
    <w:rsid w:val="318A9141"/>
    <w:rsid w:val="318B29EC"/>
    <w:rsid w:val="318C9E9E"/>
    <w:rsid w:val="31982278"/>
    <w:rsid w:val="31992CD1"/>
    <w:rsid w:val="319F1BC8"/>
    <w:rsid w:val="31A2EE06"/>
    <w:rsid w:val="31A35D85"/>
    <w:rsid w:val="31A604C8"/>
    <w:rsid w:val="31A6EF29"/>
    <w:rsid w:val="31A8F0AC"/>
    <w:rsid w:val="31A90912"/>
    <w:rsid w:val="31AB3733"/>
    <w:rsid w:val="31AC7CA6"/>
    <w:rsid w:val="31B5D50C"/>
    <w:rsid w:val="31BD3960"/>
    <w:rsid w:val="31BED6B0"/>
    <w:rsid w:val="31BF9DC8"/>
    <w:rsid w:val="31C76DAD"/>
    <w:rsid w:val="31C8612D"/>
    <w:rsid w:val="31CA50BF"/>
    <w:rsid w:val="31CDB2B0"/>
    <w:rsid w:val="31CF3F70"/>
    <w:rsid w:val="31D18A79"/>
    <w:rsid w:val="31D25018"/>
    <w:rsid w:val="31D41771"/>
    <w:rsid w:val="31D69D0F"/>
    <w:rsid w:val="31D6D76C"/>
    <w:rsid w:val="31DB1AAB"/>
    <w:rsid w:val="31DB491C"/>
    <w:rsid w:val="31DED17A"/>
    <w:rsid w:val="31E047BD"/>
    <w:rsid w:val="31E5370E"/>
    <w:rsid w:val="31E7A57B"/>
    <w:rsid w:val="31E86CCC"/>
    <w:rsid w:val="31EE78C5"/>
    <w:rsid w:val="31F27C26"/>
    <w:rsid w:val="31F53A50"/>
    <w:rsid w:val="31F5B742"/>
    <w:rsid w:val="31FA482F"/>
    <w:rsid w:val="31FB7614"/>
    <w:rsid w:val="3208A224"/>
    <w:rsid w:val="320A8153"/>
    <w:rsid w:val="320D37CB"/>
    <w:rsid w:val="320D7F79"/>
    <w:rsid w:val="3210678C"/>
    <w:rsid w:val="3212F445"/>
    <w:rsid w:val="3215AF48"/>
    <w:rsid w:val="321F66F4"/>
    <w:rsid w:val="32209078"/>
    <w:rsid w:val="32281F9F"/>
    <w:rsid w:val="322E3EB5"/>
    <w:rsid w:val="322F4CA2"/>
    <w:rsid w:val="32398FF7"/>
    <w:rsid w:val="323BB084"/>
    <w:rsid w:val="32407FE3"/>
    <w:rsid w:val="324CC095"/>
    <w:rsid w:val="324E4DB9"/>
    <w:rsid w:val="324E6616"/>
    <w:rsid w:val="32500825"/>
    <w:rsid w:val="325585A4"/>
    <w:rsid w:val="32568A4C"/>
    <w:rsid w:val="32583C87"/>
    <w:rsid w:val="3259E53C"/>
    <w:rsid w:val="325AE550"/>
    <w:rsid w:val="325C631A"/>
    <w:rsid w:val="325E82D4"/>
    <w:rsid w:val="32602788"/>
    <w:rsid w:val="3260A70A"/>
    <w:rsid w:val="3260B5A6"/>
    <w:rsid w:val="3262A684"/>
    <w:rsid w:val="3267F92E"/>
    <w:rsid w:val="32726658"/>
    <w:rsid w:val="32740A0B"/>
    <w:rsid w:val="32796C45"/>
    <w:rsid w:val="327DED39"/>
    <w:rsid w:val="327EB8D0"/>
    <w:rsid w:val="327F4902"/>
    <w:rsid w:val="32809B43"/>
    <w:rsid w:val="32824ED8"/>
    <w:rsid w:val="328422A0"/>
    <w:rsid w:val="328518E9"/>
    <w:rsid w:val="32912EA5"/>
    <w:rsid w:val="3291D130"/>
    <w:rsid w:val="3297B2C7"/>
    <w:rsid w:val="329B3430"/>
    <w:rsid w:val="329C2CE5"/>
    <w:rsid w:val="329CA853"/>
    <w:rsid w:val="329FC1B2"/>
    <w:rsid w:val="32A1EE81"/>
    <w:rsid w:val="32AA76C6"/>
    <w:rsid w:val="32AC1EBC"/>
    <w:rsid w:val="32AF042F"/>
    <w:rsid w:val="32B40005"/>
    <w:rsid w:val="32B82182"/>
    <w:rsid w:val="32B85317"/>
    <w:rsid w:val="32BB0920"/>
    <w:rsid w:val="32BCA6CE"/>
    <w:rsid w:val="32BCD23B"/>
    <w:rsid w:val="32BDF103"/>
    <w:rsid w:val="32BF8860"/>
    <w:rsid w:val="32BFE200"/>
    <w:rsid w:val="32BFE406"/>
    <w:rsid w:val="32C0B006"/>
    <w:rsid w:val="32C41117"/>
    <w:rsid w:val="32C6284E"/>
    <w:rsid w:val="32C9D519"/>
    <w:rsid w:val="32D154A4"/>
    <w:rsid w:val="32DDD5D2"/>
    <w:rsid w:val="32E272AA"/>
    <w:rsid w:val="32E2B4F6"/>
    <w:rsid w:val="32E64230"/>
    <w:rsid w:val="32E85E31"/>
    <w:rsid w:val="32E9606D"/>
    <w:rsid w:val="32F406C5"/>
    <w:rsid w:val="32FA9B20"/>
    <w:rsid w:val="32FAA2F7"/>
    <w:rsid w:val="32FB15BB"/>
    <w:rsid w:val="32FD4EEA"/>
    <w:rsid w:val="330606AF"/>
    <w:rsid w:val="331836CC"/>
    <w:rsid w:val="3319731B"/>
    <w:rsid w:val="331A7E4A"/>
    <w:rsid w:val="331D73F9"/>
    <w:rsid w:val="331EA5B2"/>
    <w:rsid w:val="331FCB6C"/>
    <w:rsid w:val="3321A4FB"/>
    <w:rsid w:val="3326B70B"/>
    <w:rsid w:val="33294B51"/>
    <w:rsid w:val="332B3682"/>
    <w:rsid w:val="332BECE8"/>
    <w:rsid w:val="332D8BCA"/>
    <w:rsid w:val="332F3B2A"/>
    <w:rsid w:val="332F9D56"/>
    <w:rsid w:val="33304F61"/>
    <w:rsid w:val="33333737"/>
    <w:rsid w:val="333A23C8"/>
    <w:rsid w:val="333D29FC"/>
    <w:rsid w:val="334063AF"/>
    <w:rsid w:val="33417DDD"/>
    <w:rsid w:val="3345EF21"/>
    <w:rsid w:val="33461991"/>
    <w:rsid w:val="334A5E96"/>
    <w:rsid w:val="334B3A92"/>
    <w:rsid w:val="334D2B72"/>
    <w:rsid w:val="334E825F"/>
    <w:rsid w:val="33520857"/>
    <w:rsid w:val="33593628"/>
    <w:rsid w:val="335A2413"/>
    <w:rsid w:val="335E3FBA"/>
    <w:rsid w:val="335E5D8D"/>
    <w:rsid w:val="335F865B"/>
    <w:rsid w:val="33604A01"/>
    <w:rsid w:val="3364BA0E"/>
    <w:rsid w:val="33696807"/>
    <w:rsid w:val="336DF9AE"/>
    <w:rsid w:val="336F19BF"/>
    <w:rsid w:val="33701356"/>
    <w:rsid w:val="33742C0E"/>
    <w:rsid w:val="33752CE1"/>
    <w:rsid w:val="3379B52D"/>
    <w:rsid w:val="337BE25F"/>
    <w:rsid w:val="33814F98"/>
    <w:rsid w:val="33831051"/>
    <w:rsid w:val="33864119"/>
    <w:rsid w:val="338BAD18"/>
    <w:rsid w:val="338D46A4"/>
    <w:rsid w:val="338DAFF1"/>
    <w:rsid w:val="338DC6CD"/>
    <w:rsid w:val="339116A8"/>
    <w:rsid w:val="3393C02B"/>
    <w:rsid w:val="33969C57"/>
    <w:rsid w:val="33981C5B"/>
    <w:rsid w:val="339BB64C"/>
    <w:rsid w:val="339D4918"/>
    <w:rsid w:val="339F8F35"/>
    <w:rsid w:val="33A0B9AD"/>
    <w:rsid w:val="33A26318"/>
    <w:rsid w:val="33A659FB"/>
    <w:rsid w:val="33B40FE5"/>
    <w:rsid w:val="33B5FDB4"/>
    <w:rsid w:val="33B8A6AF"/>
    <w:rsid w:val="33B996B7"/>
    <w:rsid w:val="33BE1273"/>
    <w:rsid w:val="33C1D32A"/>
    <w:rsid w:val="33C342F7"/>
    <w:rsid w:val="33C46B61"/>
    <w:rsid w:val="33C7BEAB"/>
    <w:rsid w:val="33C994BE"/>
    <w:rsid w:val="33CC6234"/>
    <w:rsid w:val="33CD477D"/>
    <w:rsid w:val="33CE23A8"/>
    <w:rsid w:val="33CEC41A"/>
    <w:rsid w:val="33D2001E"/>
    <w:rsid w:val="33D23311"/>
    <w:rsid w:val="33D57B9D"/>
    <w:rsid w:val="33D73664"/>
    <w:rsid w:val="33D76BB5"/>
    <w:rsid w:val="33DB7E50"/>
    <w:rsid w:val="33E19965"/>
    <w:rsid w:val="33E58E8D"/>
    <w:rsid w:val="33E6949C"/>
    <w:rsid w:val="33E92996"/>
    <w:rsid w:val="33EB6BD7"/>
    <w:rsid w:val="33EC05DA"/>
    <w:rsid w:val="33EC3BC5"/>
    <w:rsid w:val="33ECA6B4"/>
    <w:rsid w:val="33ED9A1F"/>
    <w:rsid w:val="33F14A39"/>
    <w:rsid w:val="33F5E87F"/>
    <w:rsid w:val="33F6FC77"/>
    <w:rsid w:val="33F9ABD3"/>
    <w:rsid w:val="340216BC"/>
    <w:rsid w:val="3402B4EE"/>
    <w:rsid w:val="3406DFBD"/>
    <w:rsid w:val="340A90B8"/>
    <w:rsid w:val="340AFCA7"/>
    <w:rsid w:val="340C91F7"/>
    <w:rsid w:val="34115C58"/>
    <w:rsid w:val="34150444"/>
    <w:rsid w:val="3419CCA1"/>
    <w:rsid w:val="341A3671"/>
    <w:rsid w:val="34243BCB"/>
    <w:rsid w:val="34249684"/>
    <w:rsid w:val="342A2FE3"/>
    <w:rsid w:val="342B9EA8"/>
    <w:rsid w:val="342BA35A"/>
    <w:rsid w:val="342D6AF7"/>
    <w:rsid w:val="3430CE97"/>
    <w:rsid w:val="343171A7"/>
    <w:rsid w:val="3431E488"/>
    <w:rsid w:val="34327D29"/>
    <w:rsid w:val="3434F365"/>
    <w:rsid w:val="343D7D56"/>
    <w:rsid w:val="3451854B"/>
    <w:rsid w:val="3455216D"/>
    <w:rsid w:val="34563E31"/>
    <w:rsid w:val="345992E5"/>
    <w:rsid w:val="345DF470"/>
    <w:rsid w:val="3460ACA8"/>
    <w:rsid w:val="3465A61D"/>
    <w:rsid w:val="3465C661"/>
    <w:rsid w:val="3467EDDD"/>
    <w:rsid w:val="3468329F"/>
    <w:rsid w:val="3468BE95"/>
    <w:rsid w:val="3469413C"/>
    <w:rsid w:val="346B5825"/>
    <w:rsid w:val="346E9908"/>
    <w:rsid w:val="347BB5AE"/>
    <w:rsid w:val="347DA443"/>
    <w:rsid w:val="347FC66A"/>
    <w:rsid w:val="348143C2"/>
    <w:rsid w:val="3482DDAC"/>
    <w:rsid w:val="3482E310"/>
    <w:rsid w:val="34891916"/>
    <w:rsid w:val="348E7D05"/>
    <w:rsid w:val="34993195"/>
    <w:rsid w:val="349B1E58"/>
    <w:rsid w:val="349B49D6"/>
    <w:rsid w:val="349EA210"/>
    <w:rsid w:val="34A03EEA"/>
    <w:rsid w:val="34A3CA72"/>
    <w:rsid w:val="34A51E5D"/>
    <w:rsid w:val="34AC9C55"/>
    <w:rsid w:val="34AF644F"/>
    <w:rsid w:val="34B13149"/>
    <w:rsid w:val="34B9D1FE"/>
    <w:rsid w:val="34BE5392"/>
    <w:rsid w:val="34BE7D59"/>
    <w:rsid w:val="34C1C471"/>
    <w:rsid w:val="34CC029E"/>
    <w:rsid w:val="34D015B7"/>
    <w:rsid w:val="34D4F730"/>
    <w:rsid w:val="34D82803"/>
    <w:rsid w:val="34D99468"/>
    <w:rsid w:val="34DD38C2"/>
    <w:rsid w:val="34DDAAF5"/>
    <w:rsid w:val="34E07DAF"/>
    <w:rsid w:val="34E3F926"/>
    <w:rsid w:val="34E54640"/>
    <w:rsid w:val="34E5F5D1"/>
    <w:rsid w:val="34E83C54"/>
    <w:rsid w:val="34E91905"/>
    <w:rsid w:val="34EA3025"/>
    <w:rsid w:val="34F47A07"/>
    <w:rsid w:val="34FAEBB5"/>
    <w:rsid w:val="34FBA1A7"/>
    <w:rsid w:val="34FF471A"/>
    <w:rsid w:val="34FFB5D2"/>
    <w:rsid w:val="3501BD2A"/>
    <w:rsid w:val="3502E4F1"/>
    <w:rsid w:val="35055684"/>
    <w:rsid w:val="3505A3E3"/>
    <w:rsid w:val="350A9C11"/>
    <w:rsid w:val="350AED76"/>
    <w:rsid w:val="3514ED0E"/>
    <w:rsid w:val="351A4C00"/>
    <w:rsid w:val="351E11C9"/>
    <w:rsid w:val="351E83F2"/>
    <w:rsid w:val="35233CF5"/>
    <w:rsid w:val="3524D10C"/>
    <w:rsid w:val="3527B530"/>
    <w:rsid w:val="3529BF7C"/>
    <w:rsid w:val="3529DE7C"/>
    <w:rsid w:val="352D26B3"/>
    <w:rsid w:val="352D420B"/>
    <w:rsid w:val="352E1108"/>
    <w:rsid w:val="352E2944"/>
    <w:rsid w:val="352FAA23"/>
    <w:rsid w:val="35301033"/>
    <w:rsid w:val="3531E5DA"/>
    <w:rsid w:val="35331581"/>
    <w:rsid w:val="353C85C8"/>
    <w:rsid w:val="353FA281"/>
    <w:rsid w:val="3540B5AA"/>
    <w:rsid w:val="3543CF63"/>
    <w:rsid w:val="35451B6A"/>
    <w:rsid w:val="3548F0FA"/>
    <w:rsid w:val="354D96DB"/>
    <w:rsid w:val="3550DAE8"/>
    <w:rsid w:val="35528CA9"/>
    <w:rsid w:val="3553E867"/>
    <w:rsid w:val="3555AB96"/>
    <w:rsid w:val="3557045B"/>
    <w:rsid w:val="3557F6B2"/>
    <w:rsid w:val="3559F75A"/>
    <w:rsid w:val="355B1499"/>
    <w:rsid w:val="35623746"/>
    <w:rsid w:val="3562FEAD"/>
    <w:rsid w:val="3563C692"/>
    <w:rsid w:val="35662523"/>
    <w:rsid w:val="3567A191"/>
    <w:rsid w:val="356AE194"/>
    <w:rsid w:val="356FB86E"/>
    <w:rsid w:val="3572672A"/>
    <w:rsid w:val="3573FD95"/>
    <w:rsid w:val="35753676"/>
    <w:rsid w:val="357B8D7D"/>
    <w:rsid w:val="357C7103"/>
    <w:rsid w:val="3581B5C4"/>
    <w:rsid w:val="35843ECF"/>
    <w:rsid w:val="358468C6"/>
    <w:rsid w:val="35849ACE"/>
    <w:rsid w:val="35861E06"/>
    <w:rsid w:val="358B4D45"/>
    <w:rsid w:val="358B63CE"/>
    <w:rsid w:val="358BB705"/>
    <w:rsid w:val="3593397E"/>
    <w:rsid w:val="3596B8F1"/>
    <w:rsid w:val="3597A5E3"/>
    <w:rsid w:val="35998E0D"/>
    <w:rsid w:val="359ACF2E"/>
    <w:rsid w:val="35A172D0"/>
    <w:rsid w:val="35A55636"/>
    <w:rsid w:val="35AAB351"/>
    <w:rsid w:val="35AE0D34"/>
    <w:rsid w:val="35B05D6C"/>
    <w:rsid w:val="35B16564"/>
    <w:rsid w:val="35B2D879"/>
    <w:rsid w:val="35B49149"/>
    <w:rsid w:val="35B7D875"/>
    <w:rsid w:val="35BABBB2"/>
    <w:rsid w:val="35BE6116"/>
    <w:rsid w:val="35C0B701"/>
    <w:rsid w:val="35C63D96"/>
    <w:rsid w:val="35C8A016"/>
    <w:rsid w:val="35C92B97"/>
    <w:rsid w:val="35CC750A"/>
    <w:rsid w:val="35CC8575"/>
    <w:rsid w:val="35CF756E"/>
    <w:rsid w:val="35D1D653"/>
    <w:rsid w:val="35D23F81"/>
    <w:rsid w:val="35D33691"/>
    <w:rsid w:val="35D3E70F"/>
    <w:rsid w:val="35D40861"/>
    <w:rsid w:val="35DA6A7C"/>
    <w:rsid w:val="35DC2E2F"/>
    <w:rsid w:val="35DC4412"/>
    <w:rsid w:val="35DC6390"/>
    <w:rsid w:val="35DD0426"/>
    <w:rsid w:val="35E020F9"/>
    <w:rsid w:val="35F330AA"/>
    <w:rsid w:val="35F61B87"/>
    <w:rsid w:val="35F76DA2"/>
    <w:rsid w:val="35FBAAB5"/>
    <w:rsid w:val="35FBEF76"/>
    <w:rsid w:val="35FFFE25"/>
    <w:rsid w:val="36022E48"/>
    <w:rsid w:val="3604732E"/>
    <w:rsid w:val="3604FC40"/>
    <w:rsid w:val="36099516"/>
    <w:rsid w:val="360A1A32"/>
    <w:rsid w:val="360E0FA4"/>
    <w:rsid w:val="360EE048"/>
    <w:rsid w:val="360F150F"/>
    <w:rsid w:val="36128504"/>
    <w:rsid w:val="3614F56E"/>
    <w:rsid w:val="36183B2A"/>
    <w:rsid w:val="361C2891"/>
    <w:rsid w:val="361DB478"/>
    <w:rsid w:val="361E6F8A"/>
    <w:rsid w:val="361EEFF7"/>
    <w:rsid w:val="3626CC0F"/>
    <w:rsid w:val="36295495"/>
    <w:rsid w:val="362AA4FE"/>
    <w:rsid w:val="362BCE50"/>
    <w:rsid w:val="3630458D"/>
    <w:rsid w:val="3635C5F8"/>
    <w:rsid w:val="363791B4"/>
    <w:rsid w:val="3637E08D"/>
    <w:rsid w:val="363890CE"/>
    <w:rsid w:val="363C62F5"/>
    <w:rsid w:val="363D425A"/>
    <w:rsid w:val="363D61A6"/>
    <w:rsid w:val="363D8395"/>
    <w:rsid w:val="36429648"/>
    <w:rsid w:val="36443575"/>
    <w:rsid w:val="364DAA04"/>
    <w:rsid w:val="364EE749"/>
    <w:rsid w:val="364EF201"/>
    <w:rsid w:val="364FAF76"/>
    <w:rsid w:val="3650E4E8"/>
    <w:rsid w:val="365136CB"/>
    <w:rsid w:val="36569B9D"/>
    <w:rsid w:val="36585087"/>
    <w:rsid w:val="365981F0"/>
    <w:rsid w:val="365C23F7"/>
    <w:rsid w:val="366194A1"/>
    <w:rsid w:val="3661AED2"/>
    <w:rsid w:val="36637A9D"/>
    <w:rsid w:val="36667035"/>
    <w:rsid w:val="36682528"/>
    <w:rsid w:val="366C8F75"/>
    <w:rsid w:val="366CBEB2"/>
    <w:rsid w:val="366DD607"/>
    <w:rsid w:val="366E3EF4"/>
    <w:rsid w:val="367435C3"/>
    <w:rsid w:val="367520E5"/>
    <w:rsid w:val="3678239D"/>
    <w:rsid w:val="36811028"/>
    <w:rsid w:val="36828A00"/>
    <w:rsid w:val="36834ACF"/>
    <w:rsid w:val="3688B648"/>
    <w:rsid w:val="3689E2A7"/>
    <w:rsid w:val="368AB37C"/>
    <w:rsid w:val="368CDBCD"/>
    <w:rsid w:val="36919F60"/>
    <w:rsid w:val="36924EF0"/>
    <w:rsid w:val="36939024"/>
    <w:rsid w:val="3695969E"/>
    <w:rsid w:val="3696D114"/>
    <w:rsid w:val="369AC11B"/>
    <w:rsid w:val="369EADE6"/>
    <w:rsid w:val="36A03E8F"/>
    <w:rsid w:val="36A28558"/>
    <w:rsid w:val="36A35886"/>
    <w:rsid w:val="36A92CFA"/>
    <w:rsid w:val="36AB001A"/>
    <w:rsid w:val="36AB3518"/>
    <w:rsid w:val="36ACFE32"/>
    <w:rsid w:val="36B1780A"/>
    <w:rsid w:val="36B56D96"/>
    <w:rsid w:val="36B56E3C"/>
    <w:rsid w:val="36B5953F"/>
    <w:rsid w:val="36B7D8A0"/>
    <w:rsid w:val="36B9DF5E"/>
    <w:rsid w:val="36BC9585"/>
    <w:rsid w:val="36C714C3"/>
    <w:rsid w:val="36C7A917"/>
    <w:rsid w:val="36CAEBFF"/>
    <w:rsid w:val="36CB11DB"/>
    <w:rsid w:val="36D0023E"/>
    <w:rsid w:val="36D2388D"/>
    <w:rsid w:val="36D67811"/>
    <w:rsid w:val="36D7BFF9"/>
    <w:rsid w:val="36D92270"/>
    <w:rsid w:val="36D9CA81"/>
    <w:rsid w:val="36DAFCB3"/>
    <w:rsid w:val="36DC2C45"/>
    <w:rsid w:val="36DD8CAE"/>
    <w:rsid w:val="36DDFE66"/>
    <w:rsid w:val="36DEA6BD"/>
    <w:rsid w:val="36E218C9"/>
    <w:rsid w:val="36E2730E"/>
    <w:rsid w:val="36EAF1DC"/>
    <w:rsid w:val="36F33AF4"/>
    <w:rsid w:val="36F43966"/>
    <w:rsid w:val="36F630F9"/>
    <w:rsid w:val="36F8CAD2"/>
    <w:rsid w:val="36F9340B"/>
    <w:rsid w:val="36FB7223"/>
    <w:rsid w:val="36FF00EF"/>
    <w:rsid w:val="36FFC8D8"/>
    <w:rsid w:val="3700A25A"/>
    <w:rsid w:val="3702E023"/>
    <w:rsid w:val="3704C1B4"/>
    <w:rsid w:val="370FBB95"/>
    <w:rsid w:val="370FFDE7"/>
    <w:rsid w:val="3712A5C6"/>
    <w:rsid w:val="3714787F"/>
    <w:rsid w:val="37151237"/>
    <w:rsid w:val="3717FB76"/>
    <w:rsid w:val="371C1B97"/>
    <w:rsid w:val="371C2D59"/>
    <w:rsid w:val="371CB8BA"/>
    <w:rsid w:val="371D5FC3"/>
    <w:rsid w:val="371EC0CA"/>
    <w:rsid w:val="371FCF21"/>
    <w:rsid w:val="3724F097"/>
    <w:rsid w:val="37255FBD"/>
    <w:rsid w:val="37260D9E"/>
    <w:rsid w:val="3726DB60"/>
    <w:rsid w:val="37270512"/>
    <w:rsid w:val="372AD08C"/>
    <w:rsid w:val="372D7C1A"/>
    <w:rsid w:val="372EDE00"/>
    <w:rsid w:val="37319714"/>
    <w:rsid w:val="37337148"/>
    <w:rsid w:val="37373A7B"/>
    <w:rsid w:val="3737C956"/>
    <w:rsid w:val="373B3197"/>
    <w:rsid w:val="373C524D"/>
    <w:rsid w:val="3743BF2E"/>
    <w:rsid w:val="3744AE68"/>
    <w:rsid w:val="3746F0E2"/>
    <w:rsid w:val="3749664D"/>
    <w:rsid w:val="37497B1A"/>
    <w:rsid w:val="374F3DCD"/>
    <w:rsid w:val="37541DDC"/>
    <w:rsid w:val="3754BB72"/>
    <w:rsid w:val="375670E6"/>
    <w:rsid w:val="3759C4B9"/>
    <w:rsid w:val="37601A19"/>
    <w:rsid w:val="37692060"/>
    <w:rsid w:val="376D3ECC"/>
    <w:rsid w:val="3775CF77"/>
    <w:rsid w:val="3778D393"/>
    <w:rsid w:val="37794B83"/>
    <w:rsid w:val="37797B80"/>
    <w:rsid w:val="377B55D0"/>
    <w:rsid w:val="377B82DA"/>
    <w:rsid w:val="377BB894"/>
    <w:rsid w:val="378041D4"/>
    <w:rsid w:val="37814557"/>
    <w:rsid w:val="378F0EB1"/>
    <w:rsid w:val="37904F12"/>
    <w:rsid w:val="37941AEE"/>
    <w:rsid w:val="379577CA"/>
    <w:rsid w:val="3796F4E5"/>
    <w:rsid w:val="3799BE84"/>
    <w:rsid w:val="379D6FD4"/>
    <w:rsid w:val="379D789D"/>
    <w:rsid w:val="37A0BF18"/>
    <w:rsid w:val="37A4B428"/>
    <w:rsid w:val="37A7D89B"/>
    <w:rsid w:val="37A91DE1"/>
    <w:rsid w:val="37A9D420"/>
    <w:rsid w:val="37ABF9DF"/>
    <w:rsid w:val="37AD58A7"/>
    <w:rsid w:val="37AECEBC"/>
    <w:rsid w:val="37AED9F2"/>
    <w:rsid w:val="37B0571D"/>
    <w:rsid w:val="37B3505E"/>
    <w:rsid w:val="37B53A74"/>
    <w:rsid w:val="37B6106C"/>
    <w:rsid w:val="37B6AD35"/>
    <w:rsid w:val="37BD50B4"/>
    <w:rsid w:val="37CE655F"/>
    <w:rsid w:val="37D03101"/>
    <w:rsid w:val="37D2698E"/>
    <w:rsid w:val="37D3A885"/>
    <w:rsid w:val="37D8CC91"/>
    <w:rsid w:val="37DBDDB7"/>
    <w:rsid w:val="37DEF808"/>
    <w:rsid w:val="37DF5C18"/>
    <w:rsid w:val="37E0F2D6"/>
    <w:rsid w:val="37E58817"/>
    <w:rsid w:val="37E61F52"/>
    <w:rsid w:val="37E6A39F"/>
    <w:rsid w:val="37E6F047"/>
    <w:rsid w:val="37E73B6B"/>
    <w:rsid w:val="37EA700C"/>
    <w:rsid w:val="37EABC27"/>
    <w:rsid w:val="37EC2C6F"/>
    <w:rsid w:val="37ECDB4E"/>
    <w:rsid w:val="37EEBBC4"/>
    <w:rsid w:val="37EF58DC"/>
    <w:rsid w:val="37F17DB0"/>
    <w:rsid w:val="37F1FF42"/>
    <w:rsid w:val="37F31E5E"/>
    <w:rsid w:val="37F3365D"/>
    <w:rsid w:val="37F52877"/>
    <w:rsid w:val="37F695AF"/>
    <w:rsid w:val="37F6E4F7"/>
    <w:rsid w:val="37FCBC39"/>
    <w:rsid w:val="37FD1807"/>
    <w:rsid w:val="37FDA26A"/>
    <w:rsid w:val="37FEA372"/>
    <w:rsid w:val="37FFF90F"/>
    <w:rsid w:val="3802C0A8"/>
    <w:rsid w:val="3803A910"/>
    <w:rsid w:val="38041553"/>
    <w:rsid w:val="3807C28D"/>
    <w:rsid w:val="38082217"/>
    <w:rsid w:val="380A036E"/>
    <w:rsid w:val="380AFB30"/>
    <w:rsid w:val="380BB352"/>
    <w:rsid w:val="380E4C0C"/>
    <w:rsid w:val="380E4CFE"/>
    <w:rsid w:val="38141B90"/>
    <w:rsid w:val="3815F94D"/>
    <w:rsid w:val="38176C3B"/>
    <w:rsid w:val="3818DDAE"/>
    <w:rsid w:val="38201FCB"/>
    <w:rsid w:val="38228643"/>
    <w:rsid w:val="3822ADD2"/>
    <w:rsid w:val="382348A8"/>
    <w:rsid w:val="38253CD1"/>
    <w:rsid w:val="3828FF05"/>
    <w:rsid w:val="382A2B64"/>
    <w:rsid w:val="382FFDD3"/>
    <w:rsid w:val="383023A9"/>
    <w:rsid w:val="3833B34B"/>
    <w:rsid w:val="383440AB"/>
    <w:rsid w:val="383497F4"/>
    <w:rsid w:val="38352F8A"/>
    <w:rsid w:val="38370467"/>
    <w:rsid w:val="38390BB4"/>
    <w:rsid w:val="383A9FE7"/>
    <w:rsid w:val="383DDC4F"/>
    <w:rsid w:val="3848605D"/>
    <w:rsid w:val="384AA389"/>
    <w:rsid w:val="384B2E3A"/>
    <w:rsid w:val="384B7A52"/>
    <w:rsid w:val="384DC703"/>
    <w:rsid w:val="384E0D01"/>
    <w:rsid w:val="385750C3"/>
    <w:rsid w:val="38656BF4"/>
    <w:rsid w:val="386659CF"/>
    <w:rsid w:val="386A4EAD"/>
    <w:rsid w:val="386F5263"/>
    <w:rsid w:val="3870BA3B"/>
    <w:rsid w:val="387491CF"/>
    <w:rsid w:val="38749DC1"/>
    <w:rsid w:val="387F5476"/>
    <w:rsid w:val="388503F5"/>
    <w:rsid w:val="388BA820"/>
    <w:rsid w:val="388C1A22"/>
    <w:rsid w:val="388E9E4E"/>
    <w:rsid w:val="388FB7CF"/>
    <w:rsid w:val="3890FCEB"/>
    <w:rsid w:val="38910CCD"/>
    <w:rsid w:val="38951D25"/>
    <w:rsid w:val="38972D4F"/>
    <w:rsid w:val="3898C6D3"/>
    <w:rsid w:val="389E7A03"/>
    <w:rsid w:val="38A24615"/>
    <w:rsid w:val="38ABDBE5"/>
    <w:rsid w:val="38AEC300"/>
    <w:rsid w:val="38AF4E53"/>
    <w:rsid w:val="38AF9972"/>
    <w:rsid w:val="38B292C4"/>
    <w:rsid w:val="38B3E426"/>
    <w:rsid w:val="38B4179E"/>
    <w:rsid w:val="38B42FF5"/>
    <w:rsid w:val="38B56679"/>
    <w:rsid w:val="38B8D322"/>
    <w:rsid w:val="38C01C48"/>
    <w:rsid w:val="38C3F5DB"/>
    <w:rsid w:val="38CAC9BD"/>
    <w:rsid w:val="38CB6BE8"/>
    <w:rsid w:val="38CBA7D2"/>
    <w:rsid w:val="38D3E051"/>
    <w:rsid w:val="38D5CBC8"/>
    <w:rsid w:val="38D86B01"/>
    <w:rsid w:val="38DF9105"/>
    <w:rsid w:val="38E5F29A"/>
    <w:rsid w:val="38E6E14F"/>
    <w:rsid w:val="38E99E16"/>
    <w:rsid w:val="38EEAF70"/>
    <w:rsid w:val="38EFB834"/>
    <w:rsid w:val="38F80475"/>
    <w:rsid w:val="39090ABE"/>
    <w:rsid w:val="3909FF88"/>
    <w:rsid w:val="390F3AC4"/>
    <w:rsid w:val="390FB7FD"/>
    <w:rsid w:val="3912865F"/>
    <w:rsid w:val="391439BE"/>
    <w:rsid w:val="3917775A"/>
    <w:rsid w:val="3920008C"/>
    <w:rsid w:val="392454B5"/>
    <w:rsid w:val="392F0308"/>
    <w:rsid w:val="392FAFAE"/>
    <w:rsid w:val="3930DBBD"/>
    <w:rsid w:val="3931AE06"/>
    <w:rsid w:val="3932BF33"/>
    <w:rsid w:val="3933BA40"/>
    <w:rsid w:val="393407E0"/>
    <w:rsid w:val="3935566D"/>
    <w:rsid w:val="3937B236"/>
    <w:rsid w:val="393D8EF9"/>
    <w:rsid w:val="39429330"/>
    <w:rsid w:val="39434FB0"/>
    <w:rsid w:val="3946B5C8"/>
    <w:rsid w:val="39485736"/>
    <w:rsid w:val="39527832"/>
    <w:rsid w:val="3958DE1C"/>
    <w:rsid w:val="3961F1BF"/>
    <w:rsid w:val="39633445"/>
    <w:rsid w:val="3963D94B"/>
    <w:rsid w:val="3964344B"/>
    <w:rsid w:val="3965F211"/>
    <w:rsid w:val="39671E3D"/>
    <w:rsid w:val="3968F0B0"/>
    <w:rsid w:val="396CBD17"/>
    <w:rsid w:val="396E70FA"/>
    <w:rsid w:val="396FC343"/>
    <w:rsid w:val="3970226A"/>
    <w:rsid w:val="3970CDF2"/>
    <w:rsid w:val="3971EF90"/>
    <w:rsid w:val="397987AC"/>
    <w:rsid w:val="397E664C"/>
    <w:rsid w:val="397EA369"/>
    <w:rsid w:val="397F772D"/>
    <w:rsid w:val="39816EE4"/>
    <w:rsid w:val="39845BD2"/>
    <w:rsid w:val="3988B229"/>
    <w:rsid w:val="398BA49D"/>
    <w:rsid w:val="398C65D9"/>
    <w:rsid w:val="3991D846"/>
    <w:rsid w:val="39944E5A"/>
    <w:rsid w:val="3995C61D"/>
    <w:rsid w:val="39965A55"/>
    <w:rsid w:val="3997CDAF"/>
    <w:rsid w:val="399AE9F2"/>
    <w:rsid w:val="399E4603"/>
    <w:rsid w:val="399E7693"/>
    <w:rsid w:val="399E7BB3"/>
    <w:rsid w:val="39A6C207"/>
    <w:rsid w:val="39A80CED"/>
    <w:rsid w:val="39A827A5"/>
    <w:rsid w:val="39A9DE5F"/>
    <w:rsid w:val="39A9ED43"/>
    <w:rsid w:val="39B0250D"/>
    <w:rsid w:val="39B280D6"/>
    <w:rsid w:val="39B29876"/>
    <w:rsid w:val="39B51160"/>
    <w:rsid w:val="39B7B88D"/>
    <w:rsid w:val="39BC9CFB"/>
    <w:rsid w:val="39C94C97"/>
    <w:rsid w:val="39CB02B6"/>
    <w:rsid w:val="39CCAA96"/>
    <w:rsid w:val="39D1B7F3"/>
    <w:rsid w:val="39D404E3"/>
    <w:rsid w:val="39D522E3"/>
    <w:rsid w:val="39D79725"/>
    <w:rsid w:val="39D82E59"/>
    <w:rsid w:val="39D95290"/>
    <w:rsid w:val="39DCBD98"/>
    <w:rsid w:val="39DEF2BB"/>
    <w:rsid w:val="39E09103"/>
    <w:rsid w:val="39E0E899"/>
    <w:rsid w:val="39E2A665"/>
    <w:rsid w:val="39E3CA85"/>
    <w:rsid w:val="39E47AFE"/>
    <w:rsid w:val="39E8C9C0"/>
    <w:rsid w:val="39E9974D"/>
    <w:rsid w:val="39F09528"/>
    <w:rsid w:val="39F24438"/>
    <w:rsid w:val="39F2BB03"/>
    <w:rsid w:val="39F37314"/>
    <w:rsid w:val="39F3F79D"/>
    <w:rsid w:val="39F430AF"/>
    <w:rsid w:val="39F84BB1"/>
    <w:rsid w:val="39F8C8A6"/>
    <w:rsid w:val="39FB3306"/>
    <w:rsid w:val="39FFD6E3"/>
    <w:rsid w:val="3A0040F7"/>
    <w:rsid w:val="3A020137"/>
    <w:rsid w:val="3A020424"/>
    <w:rsid w:val="3A03CE28"/>
    <w:rsid w:val="3A043A8A"/>
    <w:rsid w:val="3A0574E5"/>
    <w:rsid w:val="3A09A7E1"/>
    <w:rsid w:val="3A108D4F"/>
    <w:rsid w:val="3A11ECB3"/>
    <w:rsid w:val="3A124589"/>
    <w:rsid w:val="3A12E472"/>
    <w:rsid w:val="3A191858"/>
    <w:rsid w:val="3A1AB18C"/>
    <w:rsid w:val="3A1BF6E3"/>
    <w:rsid w:val="3A1D1F19"/>
    <w:rsid w:val="3A1DC573"/>
    <w:rsid w:val="3A1E0F13"/>
    <w:rsid w:val="3A204F2A"/>
    <w:rsid w:val="3A20CD2A"/>
    <w:rsid w:val="3A218ED3"/>
    <w:rsid w:val="3A24A964"/>
    <w:rsid w:val="3A28200B"/>
    <w:rsid w:val="3A28BDC2"/>
    <w:rsid w:val="3A2AE6A2"/>
    <w:rsid w:val="3A2D2951"/>
    <w:rsid w:val="3A37F286"/>
    <w:rsid w:val="3A3AA46B"/>
    <w:rsid w:val="3A3C9128"/>
    <w:rsid w:val="3A3D3294"/>
    <w:rsid w:val="3A3EBF18"/>
    <w:rsid w:val="3A450285"/>
    <w:rsid w:val="3A461AC0"/>
    <w:rsid w:val="3A4771B8"/>
    <w:rsid w:val="3A499178"/>
    <w:rsid w:val="3A4A787D"/>
    <w:rsid w:val="3A4A9285"/>
    <w:rsid w:val="3A4B8DB5"/>
    <w:rsid w:val="3A4BC39B"/>
    <w:rsid w:val="3A4DF4A7"/>
    <w:rsid w:val="3A4E12B9"/>
    <w:rsid w:val="3A4E4612"/>
    <w:rsid w:val="3A548B31"/>
    <w:rsid w:val="3A563717"/>
    <w:rsid w:val="3A59F673"/>
    <w:rsid w:val="3A5AEB7F"/>
    <w:rsid w:val="3A5E6750"/>
    <w:rsid w:val="3A5F01D7"/>
    <w:rsid w:val="3A5FFDF5"/>
    <w:rsid w:val="3A610058"/>
    <w:rsid w:val="3A62A43F"/>
    <w:rsid w:val="3A633575"/>
    <w:rsid w:val="3A699ECA"/>
    <w:rsid w:val="3A6A2813"/>
    <w:rsid w:val="3A6DA2EF"/>
    <w:rsid w:val="3A7084EB"/>
    <w:rsid w:val="3A7314C3"/>
    <w:rsid w:val="3A77EC5B"/>
    <w:rsid w:val="3A787CDC"/>
    <w:rsid w:val="3A78D80E"/>
    <w:rsid w:val="3A7B3AA0"/>
    <w:rsid w:val="3A7B6338"/>
    <w:rsid w:val="3A7DFE5D"/>
    <w:rsid w:val="3A828F95"/>
    <w:rsid w:val="3A85D89D"/>
    <w:rsid w:val="3A8A08B1"/>
    <w:rsid w:val="3A8E5F94"/>
    <w:rsid w:val="3A8EA045"/>
    <w:rsid w:val="3A9030ED"/>
    <w:rsid w:val="3A9041F1"/>
    <w:rsid w:val="3A95E344"/>
    <w:rsid w:val="3A9A9EAB"/>
    <w:rsid w:val="3A9ED723"/>
    <w:rsid w:val="3AA055CA"/>
    <w:rsid w:val="3AA06374"/>
    <w:rsid w:val="3AA4CC14"/>
    <w:rsid w:val="3AA57590"/>
    <w:rsid w:val="3AA7AECE"/>
    <w:rsid w:val="3AA86908"/>
    <w:rsid w:val="3AAA0C16"/>
    <w:rsid w:val="3AAC4D88"/>
    <w:rsid w:val="3AB17E63"/>
    <w:rsid w:val="3AB30CDF"/>
    <w:rsid w:val="3AB59DBE"/>
    <w:rsid w:val="3AB5D4CC"/>
    <w:rsid w:val="3AB63768"/>
    <w:rsid w:val="3AB64902"/>
    <w:rsid w:val="3ABAEBA8"/>
    <w:rsid w:val="3ABF63B0"/>
    <w:rsid w:val="3AC39C1A"/>
    <w:rsid w:val="3AC79503"/>
    <w:rsid w:val="3AD18810"/>
    <w:rsid w:val="3AD2C03C"/>
    <w:rsid w:val="3AD6F7A6"/>
    <w:rsid w:val="3AD93D6D"/>
    <w:rsid w:val="3AD9D5EB"/>
    <w:rsid w:val="3ADAA989"/>
    <w:rsid w:val="3ADC045A"/>
    <w:rsid w:val="3ADC0506"/>
    <w:rsid w:val="3ADD08B5"/>
    <w:rsid w:val="3ADE3CDB"/>
    <w:rsid w:val="3AE197E8"/>
    <w:rsid w:val="3AE59276"/>
    <w:rsid w:val="3AE67210"/>
    <w:rsid w:val="3AEB527C"/>
    <w:rsid w:val="3AF22E1E"/>
    <w:rsid w:val="3AF2FD65"/>
    <w:rsid w:val="3AF42725"/>
    <w:rsid w:val="3AF69E3B"/>
    <w:rsid w:val="3AF8A87C"/>
    <w:rsid w:val="3B00B491"/>
    <w:rsid w:val="3B0236FF"/>
    <w:rsid w:val="3B04629A"/>
    <w:rsid w:val="3B066B1C"/>
    <w:rsid w:val="3B06C3C5"/>
    <w:rsid w:val="3B0891E1"/>
    <w:rsid w:val="3B0B44FE"/>
    <w:rsid w:val="3B0ED398"/>
    <w:rsid w:val="3B107CEA"/>
    <w:rsid w:val="3B1675A0"/>
    <w:rsid w:val="3B18268A"/>
    <w:rsid w:val="3B1E433C"/>
    <w:rsid w:val="3B267564"/>
    <w:rsid w:val="3B281697"/>
    <w:rsid w:val="3B2C2127"/>
    <w:rsid w:val="3B2D5D44"/>
    <w:rsid w:val="3B31E52E"/>
    <w:rsid w:val="3B3440F5"/>
    <w:rsid w:val="3B359F80"/>
    <w:rsid w:val="3B377DC9"/>
    <w:rsid w:val="3B38BF2F"/>
    <w:rsid w:val="3B3A5717"/>
    <w:rsid w:val="3B3A6697"/>
    <w:rsid w:val="3B3F359E"/>
    <w:rsid w:val="3B40A6F1"/>
    <w:rsid w:val="3B410746"/>
    <w:rsid w:val="3B4196A5"/>
    <w:rsid w:val="3B41F514"/>
    <w:rsid w:val="3B445355"/>
    <w:rsid w:val="3B49C7C9"/>
    <w:rsid w:val="3B5138A4"/>
    <w:rsid w:val="3B576D96"/>
    <w:rsid w:val="3B596EF6"/>
    <w:rsid w:val="3B59B30C"/>
    <w:rsid w:val="3B5E0CCE"/>
    <w:rsid w:val="3B6FF580"/>
    <w:rsid w:val="3B71CB68"/>
    <w:rsid w:val="3B7403E5"/>
    <w:rsid w:val="3B748410"/>
    <w:rsid w:val="3B75141E"/>
    <w:rsid w:val="3B75C5BC"/>
    <w:rsid w:val="3B761B71"/>
    <w:rsid w:val="3B790BB0"/>
    <w:rsid w:val="3B7E71B0"/>
    <w:rsid w:val="3B7EF8AC"/>
    <w:rsid w:val="3B7F9BD8"/>
    <w:rsid w:val="3B7FF7AC"/>
    <w:rsid w:val="3B80F134"/>
    <w:rsid w:val="3B86585E"/>
    <w:rsid w:val="3B86BBA2"/>
    <w:rsid w:val="3B879B36"/>
    <w:rsid w:val="3B882965"/>
    <w:rsid w:val="3B8FA3F3"/>
    <w:rsid w:val="3B909E49"/>
    <w:rsid w:val="3B923FE8"/>
    <w:rsid w:val="3B945F5E"/>
    <w:rsid w:val="3B9A41EE"/>
    <w:rsid w:val="3B9A8C36"/>
    <w:rsid w:val="3B9AFF55"/>
    <w:rsid w:val="3B9B3D7C"/>
    <w:rsid w:val="3BA2EB71"/>
    <w:rsid w:val="3BA44406"/>
    <w:rsid w:val="3BA5ADB6"/>
    <w:rsid w:val="3BB5F6B6"/>
    <w:rsid w:val="3BB77601"/>
    <w:rsid w:val="3BB8BFAE"/>
    <w:rsid w:val="3BBAED3C"/>
    <w:rsid w:val="3BBB4855"/>
    <w:rsid w:val="3BC058E0"/>
    <w:rsid w:val="3BCA175E"/>
    <w:rsid w:val="3BCA965A"/>
    <w:rsid w:val="3BCB1D25"/>
    <w:rsid w:val="3BCB28B8"/>
    <w:rsid w:val="3BCCAF7A"/>
    <w:rsid w:val="3BCDDAA9"/>
    <w:rsid w:val="3BD1D47C"/>
    <w:rsid w:val="3BE19292"/>
    <w:rsid w:val="3BE7C6E9"/>
    <w:rsid w:val="3BF28C82"/>
    <w:rsid w:val="3BF4C584"/>
    <w:rsid w:val="3BF6EA16"/>
    <w:rsid w:val="3BF7F369"/>
    <w:rsid w:val="3BFAE445"/>
    <w:rsid w:val="3BFDE3CC"/>
    <w:rsid w:val="3C08D875"/>
    <w:rsid w:val="3C095875"/>
    <w:rsid w:val="3C09BEE5"/>
    <w:rsid w:val="3C0ADAA2"/>
    <w:rsid w:val="3C130ABE"/>
    <w:rsid w:val="3C13F010"/>
    <w:rsid w:val="3C191385"/>
    <w:rsid w:val="3C198035"/>
    <w:rsid w:val="3C23DF4E"/>
    <w:rsid w:val="3C264F92"/>
    <w:rsid w:val="3C27F35E"/>
    <w:rsid w:val="3C2C963E"/>
    <w:rsid w:val="3C373700"/>
    <w:rsid w:val="3C3CACC2"/>
    <w:rsid w:val="3C3F7F4E"/>
    <w:rsid w:val="3C41FD2C"/>
    <w:rsid w:val="3C439384"/>
    <w:rsid w:val="3C446ED3"/>
    <w:rsid w:val="3C517AD5"/>
    <w:rsid w:val="3C5761F4"/>
    <w:rsid w:val="3C591A84"/>
    <w:rsid w:val="3C5DD52C"/>
    <w:rsid w:val="3C5EA401"/>
    <w:rsid w:val="3C614DFD"/>
    <w:rsid w:val="3C6AB2FF"/>
    <w:rsid w:val="3C6BF269"/>
    <w:rsid w:val="3C6E38A2"/>
    <w:rsid w:val="3C6FFD7D"/>
    <w:rsid w:val="3C715BD7"/>
    <w:rsid w:val="3C7188E3"/>
    <w:rsid w:val="3C73EE6B"/>
    <w:rsid w:val="3C758561"/>
    <w:rsid w:val="3C786B0A"/>
    <w:rsid w:val="3C78ECF7"/>
    <w:rsid w:val="3C7BC97D"/>
    <w:rsid w:val="3C7BF4A3"/>
    <w:rsid w:val="3C7CE42C"/>
    <w:rsid w:val="3C7DA559"/>
    <w:rsid w:val="3C853AD6"/>
    <w:rsid w:val="3C867AA5"/>
    <w:rsid w:val="3C884CA1"/>
    <w:rsid w:val="3C9408EA"/>
    <w:rsid w:val="3C94DC8E"/>
    <w:rsid w:val="3C95AC5A"/>
    <w:rsid w:val="3C9824C3"/>
    <w:rsid w:val="3CA159DF"/>
    <w:rsid w:val="3CA8D658"/>
    <w:rsid w:val="3CAA042E"/>
    <w:rsid w:val="3CB0E7D5"/>
    <w:rsid w:val="3CB4DAB6"/>
    <w:rsid w:val="3CB61CBB"/>
    <w:rsid w:val="3CB85F34"/>
    <w:rsid w:val="3CBA758E"/>
    <w:rsid w:val="3CBC5523"/>
    <w:rsid w:val="3CBDD7B7"/>
    <w:rsid w:val="3CBF3A9E"/>
    <w:rsid w:val="3CC19BDA"/>
    <w:rsid w:val="3CC2DFC1"/>
    <w:rsid w:val="3CC5C666"/>
    <w:rsid w:val="3CC6506E"/>
    <w:rsid w:val="3CC6796F"/>
    <w:rsid w:val="3CC69A0B"/>
    <w:rsid w:val="3CCA314E"/>
    <w:rsid w:val="3CCF90E8"/>
    <w:rsid w:val="3CD23A0B"/>
    <w:rsid w:val="3CD33BE5"/>
    <w:rsid w:val="3CD8FBA1"/>
    <w:rsid w:val="3CE3BB03"/>
    <w:rsid w:val="3CE5E315"/>
    <w:rsid w:val="3CE92945"/>
    <w:rsid w:val="3CEEAB30"/>
    <w:rsid w:val="3CF0176E"/>
    <w:rsid w:val="3CFA08A7"/>
    <w:rsid w:val="3D018386"/>
    <w:rsid w:val="3D03B877"/>
    <w:rsid w:val="3D077C83"/>
    <w:rsid w:val="3D1070A0"/>
    <w:rsid w:val="3D14D98E"/>
    <w:rsid w:val="3D17A7DE"/>
    <w:rsid w:val="3D1E1B78"/>
    <w:rsid w:val="3D1F080B"/>
    <w:rsid w:val="3D2156CC"/>
    <w:rsid w:val="3D21EE40"/>
    <w:rsid w:val="3D22369B"/>
    <w:rsid w:val="3D2E882C"/>
    <w:rsid w:val="3D2EEEAB"/>
    <w:rsid w:val="3D360319"/>
    <w:rsid w:val="3D38DEFC"/>
    <w:rsid w:val="3D3964F6"/>
    <w:rsid w:val="3D3CE156"/>
    <w:rsid w:val="3D429721"/>
    <w:rsid w:val="3D43CC16"/>
    <w:rsid w:val="3D4645BA"/>
    <w:rsid w:val="3D47814A"/>
    <w:rsid w:val="3D4A1B29"/>
    <w:rsid w:val="3D4B724B"/>
    <w:rsid w:val="3D4E15AD"/>
    <w:rsid w:val="3D53805C"/>
    <w:rsid w:val="3D56CE18"/>
    <w:rsid w:val="3D5939F4"/>
    <w:rsid w:val="3D5ABA0E"/>
    <w:rsid w:val="3D5C2DB1"/>
    <w:rsid w:val="3D5EA806"/>
    <w:rsid w:val="3D619A0D"/>
    <w:rsid w:val="3D672F56"/>
    <w:rsid w:val="3D6A27A4"/>
    <w:rsid w:val="3D6BB015"/>
    <w:rsid w:val="3D6C45CA"/>
    <w:rsid w:val="3D6CFB73"/>
    <w:rsid w:val="3D6E1825"/>
    <w:rsid w:val="3D71F7B3"/>
    <w:rsid w:val="3D72F06F"/>
    <w:rsid w:val="3D7657E3"/>
    <w:rsid w:val="3D7A5587"/>
    <w:rsid w:val="3D7A777C"/>
    <w:rsid w:val="3D7C8895"/>
    <w:rsid w:val="3D7F84BD"/>
    <w:rsid w:val="3D821CBF"/>
    <w:rsid w:val="3D84D872"/>
    <w:rsid w:val="3D8787C9"/>
    <w:rsid w:val="3D8A757E"/>
    <w:rsid w:val="3D9C13F6"/>
    <w:rsid w:val="3D9C8CF8"/>
    <w:rsid w:val="3DA01D57"/>
    <w:rsid w:val="3DA0E03D"/>
    <w:rsid w:val="3DA219AF"/>
    <w:rsid w:val="3DA28C9D"/>
    <w:rsid w:val="3DA29BF8"/>
    <w:rsid w:val="3DA684F5"/>
    <w:rsid w:val="3DA723B8"/>
    <w:rsid w:val="3DA9F24C"/>
    <w:rsid w:val="3DADDC9F"/>
    <w:rsid w:val="3DBA84ED"/>
    <w:rsid w:val="3DC0555B"/>
    <w:rsid w:val="3DC0CDA5"/>
    <w:rsid w:val="3DC15C44"/>
    <w:rsid w:val="3DC2C7EB"/>
    <w:rsid w:val="3DC2F562"/>
    <w:rsid w:val="3DC677B8"/>
    <w:rsid w:val="3DC88061"/>
    <w:rsid w:val="3DCD15C6"/>
    <w:rsid w:val="3DCF1667"/>
    <w:rsid w:val="3DD019F3"/>
    <w:rsid w:val="3DD41822"/>
    <w:rsid w:val="3DD44F0F"/>
    <w:rsid w:val="3DD5CDAE"/>
    <w:rsid w:val="3DD93616"/>
    <w:rsid w:val="3DDAEDEE"/>
    <w:rsid w:val="3DDC4FD9"/>
    <w:rsid w:val="3DDD117C"/>
    <w:rsid w:val="3DDE5FAC"/>
    <w:rsid w:val="3DE1D84E"/>
    <w:rsid w:val="3DE28D9F"/>
    <w:rsid w:val="3DE307F6"/>
    <w:rsid w:val="3DE426A5"/>
    <w:rsid w:val="3DE56CB0"/>
    <w:rsid w:val="3DE59E3C"/>
    <w:rsid w:val="3DE9AD17"/>
    <w:rsid w:val="3DEC7D47"/>
    <w:rsid w:val="3DEE9BDE"/>
    <w:rsid w:val="3DF1C3D8"/>
    <w:rsid w:val="3DF6676C"/>
    <w:rsid w:val="3DF69122"/>
    <w:rsid w:val="3DF7AFB6"/>
    <w:rsid w:val="3DFCF537"/>
    <w:rsid w:val="3DFEB3BB"/>
    <w:rsid w:val="3DFEE433"/>
    <w:rsid w:val="3E00FC3A"/>
    <w:rsid w:val="3E02AB2E"/>
    <w:rsid w:val="3E08AAD8"/>
    <w:rsid w:val="3E0D5332"/>
    <w:rsid w:val="3E0E1E6A"/>
    <w:rsid w:val="3E0ECB43"/>
    <w:rsid w:val="3E0F65C9"/>
    <w:rsid w:val="3E0FD5BC"/>
    <w:rsid w:val="3E1116E8"/>
    <w:rsid w:val="3E1A4E63"/>
    <w:rsid w:val="3E1AF87D"/>
    <w:rsid w:val="3E1B4E9B"/>
    <w:rsid w:val="3E233EDC"/>
    <w:rsid w:val="3E25F32B"/>
    <w:rsid w:val="3E2A3B16"/>
    <w:rsid w:val="3E2B9391"/>
    <w:rsid w:val="3E2CD9B3"/>
    <w:rsid w:val="3E2E888D"/>
    <w:rsid w:val="3E2FA90C"/>
    <w:rsid w:val="3E34F07E"/>
    <w:rsid w:val="3E352519"/>
    <w:rsid w:val="3E386D47"/>
    <w:rsid w:val="3E3A0CAF"/>
    <w:rsid w:val="3E3B1DDA"/>
    <w:rsid w:val="3E3E1CEB"/>
    <w:rsid w:val="3E3FB500"/>
    <w:rsid w:val="3E436F71"/>
    <w:rsid w:val="3E4683F7"/>
    <w:rsid w:val="3E469473"/>
    <w:rsid w:val="3E47A942"/>
    <w:rsid w:val="3E47C151"/>
    <w:rsid w:val="3E4A953E"/>
    <w:rsid w:val="3E4AE529"/>
    <w:rsid w:val="3E4F7CAD"/>
    <w:rsid w:val="3E4FBD9F"/>
    <w:rsid w:val="3E58A77D"/>
    <w:rsid w:val="3E5A94D8"/>
    <w:rsid w:val="3E5BFC4F"/>
    <w:rsid w:val="3E5CADC3"/>
    <w:rsid w:val="3E6491C1"/>
    <w:rsid w:val="3E66B58C"/>
    <w:rsid w:val="3E66C1F4"/>
    <w:rsid w:val="3E677A62"/>
    <w:rsid w:val="3E68215F"/>
    <w:rsid w:val="3E6ABE03"/>
    <w:rsid w:val="3E6B0179"/>
    <w:rsid w:val="3E6D14C5"/>
    <w:rsid w:val="3E6DD5E6"/>
    <w:rsid w:val="3E722261"/>
    <w:rsid w:val="3E769E6A"/>
    <w:rsid w:val="3E789FCB"/>
    <w:rsid w:val="3E831D04"/>
    <w:rsid w:val="3E8537B6"/>
    <w:rsid w:val="3E85E54B"/>
    <w:rsid w:val="3E86E533"/>
    <w:rsid w:val="3E8AD8F8"/>
    <w:rsid w:val="3E8D6338"/>
    <w:rsid w:val="3E8DEE0E"/>
    <w:rsid w:val="3E8EDF93"/>
    <w:rsid w:val="3E907608"/>
    <w:rsid w:val="3E90F1EF"/>
    <w:rsid w:val="3E9C1594"/>
    <w:rsid w:val="3E9D945D"/>
    <w:rsid w:val="3E9E34F7"/>
    <w:rsid w:val="3E9E78E3"/>
    <w:rsid w:val="3E9F09F8"/>
    <w:rsid w:val="3EA82021"/>
    <w:rsid w:val="3EA92EA1"/>
    <w:rsid w:val="3EA96186"/>
    <w:rsid w:val="3EA9BE92"/>
    <w:rsid w:val="3EAC1792"/>
    <w:rsid w:val="3EAF3BE7"/>
    <w:rsid w:val="3EB06D2F"/>
    <w:rsid w:val="3EB5705A"/>
    <w:rsid w:val="3EB7DBE7"/>
    <w:rsid w:val="3EBBAD2E"/>
    <w:rsid w:val="3EC6D45E"/>
    <w:rsid w:val="3ECC30B9"/>
    <w:rsid w:val="3ED1FBC7"/>
    <w:rsid w:val="3ED2B649"/>
    <w:rsid w:val="3ED8AACC"/>
    <w:rsid w:val="3ED9581E"/>
    <w:rsid w:val="3ED9E7CF"/>
    <w:rsid w:val="3ED9F840"/>
    <w:rsid w:val="3EDACD97"/>
    <w:rsid w:val="3EDFFE79"/>
    <w:rsid w:val="3EE11D70"/>
    <w:rsid w:val="3EE2D72C"/>
    <w:rsid w:val="3EE39F2B"/>
    <w:rsid w:val="3EE548D1"/>
    <w:rsid w:val="3EE98FC0"/>
    <w:rsid w:val="3EED9D6D"/>
    <w:rsid w:val="3EF45425"/>
    <w:rsid w:val="3EF6A993"/>
    <w:rsid w:val="3EF70808"/>
    <w:rsid w:val="3EF9FE4A"/>
    <w:rsid w:val="3EFC73C1"/>
    <w:rsid w:val="3F012AD6"/>
    <w:rsid w:val="3F06D3AB"/>
    <w:rsid w:val="3F102B03"/>
    <w:rsid w:val="3F10B045"/>
    <w:rsid w:val="3F173DB7"/>
    <w:rsid w:val="3F1ABCC0"/>
    <w:rsid w:val="3F1E9C6A"/>
    <w:rsid w:val="3F2044B8"/>
    <w:rsid w:val="3F2E22EE"/>
    <w:rsid w:val="3F2E71D0"/>
    <w:rsid w:val="3F2F1011"/>
    <w:rsid w:val="3F32372B"/>
    <w:rsid w:val="3F346B32"/>
    <w:rsid w:val="3F38621D"/>
    <w:rsid w:val="3F38A5EE"/>
    <w:rsid w:val="3F39B758"/>
    <w:rsid w:val="3F3CAE99"/>
    <w:rsid w:val="3F3DAFFA"/>
    <w:rsid w:val="3F43C232"/>
    <w:rsid w:val="3F46D014"/>
    <w:rsid w:val="3F4A70D5"/>
    <w:rsid w:val="3F4F1611"/>
    <w:rsid w:val="3F52EB0C"/>
    <w:rsid w:val="3F5518E2"/>
    <w:rsid w:val="3F55F77B"/>
    <w:rsid w:val="3F5815D1"/>
    <w:rsid w:val="3F58C389"/>
    <w:rsid w:val="3F5919A0"/>
    <w:rsid w:val="3F5A5442"/>
    <w:rsid w:val="3F5B6D29"/>
    <w:rsid w:val="3F5D6A6A"/>
    <w:rsid w:val="3F677F4A"/>
    <w:rsid w:val="3F6B36B2"/>
    <w:rsid w:val="3F6C10D8"/>
    <w:rsid w:val="3F6C6D79"/>
    <w:rsid w:val="3F6F0A15"/>
    <w:rsid w:val="3F7082AE"/>
    <w:rsid w:val="3F73B36B"/>
    <w:rsid w:val="3F77BD3D"/>
    <w:rsid w:val="3F80B133"/>
    <w:rsid w:val="3F827BA2"/>
    <w:rsid w:val="3F84EE23"/>
    <w:rsid w:val="3F8678D3"/>
    <w:rsid w:val="3F86BB2C"/>
    <w:rsid w:val="3F870EE0"/>
    <w:rsid w:val="3F8CBE8F"/>
    <w:rsid w:val="3F8DBE0F"/>
    <w:rsid w:val="3F8E855B"/>
    <w:rsid w:val="3F948B45"/>
    <w:rsid w:val="3F966CBB"/>
    <w:rsid w:val="3F99D987"/>
    <w:rsid w:val="3F9E169F"/>
    <w:rsid w:val="3FA16022"/>
    <w:rsid w:val="3FA203A2"/>
    <w:rsid w:val="3FA30E4F"/>
    <w:rsid w:val="3FA47168"/>
    <w:rsid w:val="3FA587BC"/>
    <w:rsid w:val="3FA6FCA9"/>
    <w:rsid w:val="3FAB3A62"/>
    <w:rsid w:val="3FAC5AE2"/>
    <w:rsid w:val="3FAEED9A"/>
    <w:rsid w:val="3FB3B159"/>
    <w:rsid w:val="3FBB0DBC"/>
    <w:rsid w:val="3FBCD474"/>
    <w:rsid w:val="3FBEAFB6"/>
    <w:rsid w:val="3FC04DB1"/>
    <w:rsid w:val="3FC3AAEB"/>
    <w:rsid w:val="3FC86595"/>
    <w:rsid w:val="3FDA3161"/>
    <w:rsid w:val="3FDB4FB7"/>
    <w:rsid w:val="3FE13804"/>
    <w:rsid w:val="3FE46E7A"/>
    <w:rsid w:val="3FE56E30"/>
    <w:rsid w:val="3FE845F3"/>
    <w:rsid w:val="3FEB2591"/>
    <w:rsid w:val="3FEC7758"/>
    <w:rsid w:val="3FEF0BD7"/>
    <w:rsid w:val="3FF1695A"/>
    <w:rsid w:val="3FF25762"/>
    <w:rsid w:val="3FF3C651"/>
    <w:rsid w:val="3FF70E82"/>
    <w:rsid w:val="3FFC8BC2"/>
    <w:rsid w:val="400083A9"/>
    <w:rsid w:val="4002CFAE"/>
    <w:rsid w:val="4003151E"/>
    <w:rsid w:val="400645B8"/>
    <w:rsid w:val="4007BE22"/>
    <w:rsid w:val="40099EE9"/>
    <w:rsid w:val="400CAD0B"/>
    <w:rsid w:val="400EBEFC"/>
    <w:rsid w:val="40137938"/>
    <w:rsid w:val="40169F1E"/>
    <w:rsid w:val="401BB25F"/>
    <w:rsid w:val="401C21FF"/>
    <w:rsid w:val="4024C141"/>
    <w:rsid w:val="40291B2C"/>
    <w:rsid w:val="4030F251"/>
    <w:rsid w:val="40332BDE"/>
    <w:rsid w:val="40345555"/>
    <w:rsid w:val="403DC4D3"/>
    <w:rsid w:val="4040D147"/>
    <w:rsid w:val="4043DEF1"/>
    <w:rsid w:val="4045C200"/>
    <w:rsid w:val="40498C3B"/>
    <w:rsid w:val="404DB689"/>
    <w:rsid w:val="404F7762"/>
    <w:rsid w:val="40514FD0"/>
    <w:rsid w:val="40538393"/>
    <w:rsid w:val="405488E9"/>
    <w:rsid w:val="40569A78"/>
    <w:rsid w:val="405928D0"/>
    <w:rsid w:val="405F655F"/>
    <w:rsid w:val="4062A3C3"/>
    <w:rsid w:val="40658D7E"/>
    <w:rsid w:val="4067765E"/>
    <w:rsid w:val="4067D9C9"/>
    <w:rsid w:val="4068CDF6"/>
    <w:rsid w:val="406BBFD1"/>
    <w:rsid w:val="406DC075"/>
    <w:rsid w:val="406E7655"/>
    <w:rsid w:val="4073E076"/>
    <w:rsid w:val="40758664"/>
    <w:rsid w:val="407679B4"/>
    <w:rsid w:val="407905C3"/>
    <w:rsid w:val="407AA61E"/>
    <w:rsid w:val="40835136"/>
    <w:rsid w:val="40874914"/>
    <w:rsid w:val="40885F1D"/>
    <w:rsid w:val="408A7C07"/>
    <w:rsid w:val="408FAA45"/>
    <w:rsid w:val="4096D9DB"/>
    <w:rsid w:val="40979960"/>
    <w:rsid w:val="40A00D5F"/>
    <w:rsid w:val="40A01CD4"/>
    <w:rsid w:val="40A17380"/>
    <w:rsid w:val="40A39209"/>
    <w:rsid w:val="40A99875"/>
    <w:rsid w:val="40ABD0B5"/>
    <w:rsid w:val="40ACA08A"/>
    <w:rsid w:val="40AE93E0"/>
    <w:rsid w:val="40AEDE0D"/>
    <w:rsid w:val="40B3E49A"/>
    <w:rsid w:val="40C1356B"/>
    <w:rsid w:val="40C28FBE"/>
    <w:rsid w:val="40C4C76E"/>
    <w:rsid w:val="40C7C827"/>
    <w:rsid w:val="40C8288D"/>
    <w:rsid w:val="40CBD084"/>
    <w:rsid w:val="40CD8DB9"/>
    <w:rsid w:val="40CF9762"/>
    <w:rsid w:val="40D09210"/>
    <w:rsid w:val="40D0BEFE"/>
    <w:rsid w:val="40D2BC88"/>
    <w:rsid w:val="40D454AD"/>
    <w:rsid w:val="40DB2997"/>
    <w:rsid w:val="40DC864C"/>
    <w:rsid w:val="40DE2204"/>
    <w:rsid w:val="40DF441C"/>
    <w:rsid w:val="40E037A9"/>
    <w:rsid w:val="40E68294"/>
    <w:rsid w:val="40E7310B"/>
    <w:rsid w:val="40E75954"/>
    <w:rsid w:val="40E872F4"/>
    <w:rsid w:val="40EC0BFE"/>
    <w:rsid w:val="40F3B4F5"/>
    <w:rsid w:val="40F4BC2B"/>
    <w:rsid w:val="4100509C"/>
    <w:rsid w:val="41005691"/>
    <w:rsid w:val="4100FED2"/>
    <w:rsid w:val="410119BA"/>
    <w:rsid w:val="4101BAC1"/>
    <w:rsid w:val="4102958A"/>
    <w:rsid w:val="41035B5C"/>
    <w:rsid w:val="4108F503"/>
    <w:rsid w:val="410FFBD3"/>
    <w:rsid w:val="41130B96"/>
    <w:rsid w:val="411498B4"/>
    <w:rsid w:val="41161C5D"/>
    <w:rsid w:val="4116E3DE"/>
    <w:rsid w:val="41170780"/>
    <w:rsid w:val="41175653"/>
    <w:rsid w:val="411AE798"/>
    <w:rsid w:val="411B2F57"/>
    <w:rsid w:val="411C46F9"/>
    <w:rsid w:val="411CAB03"/>
    <w:rsid w:val="411D1767"/>
    <w:rsid w:val="411F82D1"/>
    <w:rsid w:val="411FFFFD"/>
    <w:rsid w:val="412664DB"/>
    <w:rsid w:val="41274D3C"/>
    <w:rsid w:val="412862C6"/>
    <w:rsid w:val="4129325F"/>
    <w:rsid w:val="4129558B"/>
    <w:rsid w:val="412AF181"/>
    <w:rsid w:val="412DA6ED"/>
    <w:rsid w:val="41313145"/>
    <w:rsid w:val="413514F1"/>
    <w:rsid w:val="413A2310"/>
    <w:rsid w:val="413B8AA7"/>
    <w:rsid w:val="413F3C6B"/>
    <w:rsid w:val="41406B0C"/>
    <w:rsid w:val="4144D7F3"/>
    <w:rsid w:val="41472A41"/>
    <w:rsid w:val="4149398D"/>
    <w:rsid w:val="4149AB99"/>
    <w:rsid w:val="4149BB78"/>
    <w:rsid w:val="414D9228"/>
    <w:rsid w:val="414E9627"/>
    <w:rsid w:val="414F708F"/>
    <w:rsid w:val="41540690"/>
    <w:rsid w:val="41553058"/>
    <w:rsid w:val="4156F5B6"/>
    <w:rsid w:val="415C1781"/>
    <w:rsid w:val="4161527E"/>
    <w:rsid w:val="4161DD28"/>
    <w:rsid w:val="4169ABF4"/>
    <w:rsid w:val="416AAF0A"/>
    <w:rsid w:val="416DC2B6"/>
    <w:rsid w:val="416EC7F5"/>
    <w:rsid w:val="416F4E99"/>
    <w:rsid w:val="4170E0C0"/>
    <w:rsid w:val="41777196"/>
    <w:rsid w:val="4178DA99"/>
    <w:rsid w:val="417F0620"/>
    <w:rsid w:val="418371A0"/>
    <w:rsid w:val="418615C2"/>
    <w:rsid w:val="41888322"/>
    <w:rsid w:val="418B4FE9"/>
    <w:rsid w:val="418B50AF"/>
    <w:rsid w:val="418F43E5"/>
    <w:rsid w:val="418FD5D5"/>
    <w:rsid w:val="41906B35"/>
    <w:rsid w:val="41926946"/>
    <w:rsid w:val="41935FBE"/>
    <w:rsid w:val="419688B1"/>
    <w:rsid w:val="4196FC7C"/>
    <w:rsid w:val="419764D3"/>
    <w:rsid w:val="4198721A"/>
    <w:rsid w:val="419DF8A2"/>
    <w:rsid w:val="419F03FD"/>
    <w:rsid w:val="41A015C5"/>
    <w:rsid w:val="41A09F7F"/>
    <w:rsid w:val="41A58337"/>
    <w:rsid w:val="41A5FFD9"/>
    <w:rsid w:val="41AAE7D4"/>
    <w:rsid w:val="41ABC168"/>
    <w:rsid w:val="41B0A0F1"/>
    <w:rsid w:val="41B0E8CF"/>
    <w:rsid w:val="41B58512"/>
    <w:rsid w:val="41B8D1D3"/>
    <w:rsid w:val="41B97572"/>
    <w:rsid w:val="41BDE53D"/>
    <w:rsid w:val="41C024F5"/>
    <w:rsid w:val="41CC0982"/>
    <w:rsid w:val="41CD08BF"/>
    <w:rsid w:val="41CDB1DA"/>
    <w:rsid w:val="41D333F7"/>
    <w:rsid w:val="41D5CEC2"/>
    <w:rsid w:val="41DB8187"/>
    <w:rsid w:val="41E2E011"/>
    <w:rsid w:val="41E3F2C6"/>
    <w:rsid w:val="41E63DBF"/>
    <w:rsid w:val="41E7F67D"/>
    <w:rsid w:val="41EBA74B"/>
    <w:rsid w:val="41F328AD"/>
    <w:rsid w:val="41F39A86"/>
    <w:rsid w:val="41F4AE5F"/>
    <w:rsid w:val="41F94BEB"/>
    <w:rsid w:val="41FA88CC"/>
    <w:rsid w:val="41FC8128"/>
    <w:rsid w:val="420529C6"/>
    <w:rsid w:val="4206294D"/>
    <w:rsid w:val="4208D7E8"/>
    <w:rsid w:val="42142611"/>
    <w:rsid w:val="42161C9B"/>
    <w:rsid w:val="421A2A5C"/>
    <w:rsid w:val="421B7F3D"/>
    <w:rsid w:val="421EF249"/>
    <w:rsid w:val="4220A145"/>
    <w:rsid w:val="4222C373"/>
    <w:rsid w:val="4225C65A"/>
    <w:rsid w:val="4226914E"/>
    <w:rsid w:val="422760C9"/>
    <w:rsid w:val="4231D8FE"/>
    <w:rsid w:val="42368D84"/>
    <w:rsid w:val="4236AA01"/>
    <w:rsid w:val="42391325"/>
    <w:rsid w:val="423999C8"/>
    <w:rsid w:val="423B69C4"/>
    <w:rsid w:val="42409492"/>
    <w:rsid w:val="42414EC0"/>
    <w:rsid w:val="4242AA11"/>
    <w:rsid w:val="4245CC5E"/>
    <w:rsid w:val="4246E489"/>
    <w:rsid w:val="4247451B"/>
    <w:rsid w:val="4247D6F6"/>
    <w:rsid w:val="4247F82E"/>
    <w:rsid w:val="424873CF"/>
    <w:rsid w:val="4248D2BD"/>
    <w:rsid w:val="42499D8A"/>
    <w:rsid w:val="42511609"/>
    <w:rsid w:val="42511B92"/>
    <w:rsid w:val="4255376D"/>
    <w:rsid w:val="4255E898"/>
    <w:rsid w:val="4257290E"/>
    <w:rsid w:val="42585B86"/>
    <w:rsid w:val="42645698"/>
    <w:rsid w:val="42655C4B"/>
    <w:rsid w:val="4266CEB6"/>
    <w:rsid w:val="4268F685"/>
    <w:rsid w:val="426A7690"/>
    <w:rsid w:val="426B9D43"/>
    <w:rsid w:val="426D37D1"/>
    <w:rsid w:val="4273C61D"/>
    <w:rsid w:val="4276CBFE"/>
    <w:rsid w:val="4278C72E"/>
    <w:rsid w:val="427A8C89"/>
    <w:rsid w:val="427B5E2F"/>
    <w:rsid w:val="427EA7E2"/>
    <w:rsid w:val="42805B40"/>
    <w:rsid w:val="42848F38"/>
    <w:rsid w:val="428534AF"/>
    <w:rsid w:val="42898FEE"/>
    <w:rsid w:val="428D7418"/>
    <w:rsid w:val="428F9271"/>
    <w:rsid w:val="428FA24F"/>
    <w:rsid w:val="428FB82C"/>
    <w:rsid w:val="429001FA"/>
    <w:rsid w:val="42934888"/>
    <w:rsid w:val="4293A367"/>
    <w:rsid w:val="4293A8B5"/>
    <w:rsid w:val="4293B664"/>
    <w:rsid w:val="429AB1BD"/>
    <w:rsid w:val="429AC3C6"/>
    <w:rsid w:val="429B31E8"/>
    <w:rsid w:val="429CC96C"/>
    <w:rsid w:val="429F151B"/>
    <w:rsid w:val="42A600B7"/>
    <w:rsid w:val="42A985F3"/>
    <w:rsid w:val="42AFFF77"/>
    <w:rsid w:val="42B78409"/>
    <w:rsid w:val="42BCC0A9"/>
    <w:rsid w:val="42BDD1EB"/>
    <w:rsid w:val="42C406E4"/>
    <w:rsid w:val="42C59055"/>
    <w:rsid w:val="42C6F62F"/>
    <w:rsid w:val="42C80CD6"/>
    <w:rsid w:val="42CE15CC"/>
    <w:rsid w:val="42CED330"/>
    <w:rsid w:val="42D03CEB"/>
    <w:rsid w:val="42D29D26"/>
    <w:rsid w:val="42D2A67B"/>
    <w:rsid w:val="42DCBB77"/>
    <w:rsid w:val="42DD7479"/>
    <w:rsid w:val="42E06E4D"/>
    <w:rsid w:val="42E0E549"/>
    <w:rsid w:val="42EA46F6"/>
    <w:rsid w:val="42EC0A31"/>
    <w:rsid w:val="42ED155B"/>
    <w:rsid w:val="42F531D5"/>
    <w:rsid w:val="42FB120A"/>
    <w:rsid w:val="42FB20A3"/>
    <w:rsid w:val="42FB979B"/>
    <w:rsid w:val="42FC4942"/>
    <w:rsid w:val="4301599C"/>
    <w:rsid w:val="430418FB"/>
    <w:rsid w:val="43045FBA"/>
    <w:rsid w:val="43079E16"/>
    <w:rsid w:val="430A7F20"/>
    <w:rsid w:val="43107277"/>
    <w:rsid w:val="431730BC"/>
    <w:rsid w:val="4317A2D5"/>
    <w:rsid w:val="4317D4FB"/>
    <w:rsid w:val="431875AA"/>
    <w:rsid w:val="4319CB30"/>
    <w:rsid w:val="4323E7AC"/>
    <w:rsid w:val="4328AFC1"/>
    <w:rsid w:val="43307067"/>
    <w:rsid w:val="4332E42B"/>
    <w:rsid w:val="4333A6A8"/>
    <w:rsid w:val="433481FA"/>
    <w:rsid w:val="433C0FBD"/>
    <w:rsid w:val="433C8FDA"/>
    <w:rsid w:val="43419C18"/>
    <w:rsid w:val="43467433"/>
    <w:rsid w:val="4348CF9A"/>
    <w:rsid w:val="4349433C"/>
    <w:rsid w:val="435186FD"/>
    <w:rsid w:val="43528F47"/>
    <w:rsid w:val="4355BC97"/>
    <w:rsid w:val="4357BB26"/>
    <w:rsid w:val="435A1EE2"/>
    <w:rsid w:val="435F919E"/>
    <w:rsid w:val="4366B3DD"/>
    <w:rsid w:val="436CA32C"/>
    <w:rsid w:val="43741EFB"/>
    <w:rsid w:val="43766C1B"/>
    <w:rsid w:val="43769751"/>
    <w:rsid w:val="437CE147"/>
    <w:rsid w:val="438544E6"/>
    <w:rsid w:val="438649D3"/>
    <w:rsid w:val="4386D0DD"/>
    <w:rsid w:val="438A3766"/>
    <w:rsid w:val="438B0F4F"/>
    <w:rsid w:val="439043FF"/>
    <w:rsid w:val="4392342F"/>
    <w:rsid w:val="43983C40"/>
    <w:rsid w:val="4398D51B"/>
    <w:rsid w:val="439E16E9"/>
    <w:rsid w:val="439F1A74"/>
    <w:rsid w:val="439FA58B"/>
    <w:rsid w:val="43A2357F"/>
    <w:rsid w:val="43A27841"/>
    <w:rsid w:val="43A677E9"/>
    <w:rsid w:val="43B099CE"/>
    <w:rsid w:val="43B16995"/>
    <w:rsid w:val="43B1D569"/>
    <w:rsid w:val="43B2C507"/>
    <w:rsid w:val="43B43270"/>
    <w:rsid w:val="43B5565E"/>
    <w:rsid w:val="43B66E40"/>
    <w:rsid w:val="43B712AB"/>
    <w:rsid w:val="43BA7D88"/>
    <w:rsid w:val="43BB8DBA"/>
    <w:rsid w:val="43BCCE9F"/>
    <w:rsid w:val="43C149B6"/>
    <w:rsid w:val="43C35FC1"/>
    <w:rsid w:val="43C86A47"/>
    <w:rsid w:val="43C8BC5E"/>
    <w:rsid w:val="43CC8060"/>
    <w:rsid w:val="43D0B914"/>
    <w:rsid w:val="43DA2E07"/>
    <w:rsid w:val="43E3A129"/>
    <w:rsid w:val="43E3F3D9"/>
    <w:rsid w:val="43E44FE5"/>
    <w:rsid w:val="43E5C03C"/>
    <w:rsid w:val="43E65A71"/>
    <w:rsid w:val="43EB59C0"/>
    <w:rsid w:val="43EC91C2"/>
    <w:rsid w:val="43ED3A36"/>
    <w:rsid w:val="43F0A1D3"/>
    <w:rsid w:val="43F350C5"/>
    <w:rsid w:val="43FB7229"/>
    <w:rsid w:val="43FBF6B5"/>
    <w:rsid w:val="43FEF1C3"/>
    <w:rsid w:val="43FFFCC6"/>
    <w:rsid w:val="4400D627"/>
    <w:rsid w:val="4402C835"/>
    <w:rsid w:val="44052E5C"/>
    <w:rsid w:val="4405B3E4"/>
    <w:rsid w:val="4406AA90"/>
    <w:rsid w:val="440F8CF2"/>
    <w:rsid w:val="44142B40"/>
    <w:rsid w:val="4415549F"/>
    <w:rsid w:val="44195BBA"/>
    <w:rsid w:val="441CF3A9"/>
    <w:rsid w:val="441FE5F4"/>
    <w:rsid w:val="44201FAC"/>
    <w:rsid w:val="4421EED3"/>
    <w:rsid w:val="4423E512"/>
    <w:rsid w:val="44256C33"/>
    <w:rsid w:val="4426F7A7"/>
    <w:rsid w:val="4427BF44"/>
    <w:rsid w:val="4428A50E"/>
    <w:rsid w:val="442B9F09"/>
    <w:rsid w:val="442DAAEA"/>
    <w:rsid w:val="442DD34A"/>
    <w:rsid w:val="443156B2"/>
    <w:rsid w:val="4434C650"/>
    <w:rsid w:val="44361020"/>
    <w:rsid w:val="44378CAF"/>
    <w:rsid w:val="4438B261"/>
    <w:rsid w:val="443A21F2"/>
    <w:rsid w:val="443C12BF"/>
    <w:rsid w:val="44415EF6"/>
    <w:rsid w:val="44416382"/>
    <w:rsid w:val="44419C38"/>
    <w:rsid w:val="4441D620"/>
    <w:rsid w:val="4441DA93"/>
    <w:rsid w:val="4442E63F"/>
    <w:rsid w:val="44479C95"/>
    <w:rsid w:val="4449AC5E"/>
    <w:rsid w:val="4449B485"/>
    <w:rsid w:val="444A2F05"/>
    <w:rsid w:val="444C5DB4"/>
    <w:rsid w:val="444F1DE7"/>
    <w:rsid w:val="445135A1"/>
    <w:rsid w:val="44515681"/>
    <w:rsid w:val="4458CB14"/>
    <w:rsid w:val="4459EB67"/>
    <w:rsid w:val="445C7295"/>
    <w:rsid w:val="445CCE03"/>
    <w:rsid w:val="445F4DDF"/>
    <w:rsid w:val="4467A3C9"/>
    <w:rsid w:val="44686899"/>
    <w:rsid w:val="44723F5E"/>
    <w:rsid w:val="4472AC23"/>
    <w:rsid w:val="4478C853"/>
    <w:rsid w:val="447E5A16"/>
    <w:rsid w:val="447E7DAD"/>
    <w:rsid w:val="447F61C8"/>
    <w:rsid w:val="447FF0C2"/>
    <w:rsid w:val="44839A53"/>
    <w:rsid w:val="4483FE4C"/>
    <w:rsid w:val="4487AF4C"/>
    <w:rsid w:val="4489EFC3"/>
    <w:rsid w:val="448BA984"/>
    <w:rsid w:val="448C36C2"/>
    <w:rsid w:val="448C9A40"/>
    <w:rsid w:val="4490CA7F"/>
    <w:rsid w:val="4490D404"/>
    <w:rsid w:val="4491926D"/>
    <w:rsid w:val="4494471F"/>
    <w:rsid w:val="4499AD3A"/>
    <w:rsid w:val="449DC83C"/>
    <w:rsid w:val="44A28728"/>
    <w:rsid w:val="44A8E3B5"/>
    <w:rsid w:val="44AA8410"/>
    <w:rsid w:val="44AAD6DB"/>
    <w:rsid w:val="44AC6C3B"/>
    <w:rsid w:val="44AE3AE8"/>
    <w:rsid w:val="44B0270A"/>
    <w:rsid w:val="44B2DEAE"/>
    <w:rsid w:val="44B4C827"/>
    <w:rsid w:val="44B4F0BF"/>
    <w:rsid w:val="44B4FC84"/>
    <w:rsid w:val="44BEBA14"/>
    <w:rsid w:val="44BF17E4"/>
    <w:rsid w:val="44BFD5D4"/>
    <w:rsid w:val="44C08DB4"/>
    <w:rsid w:val="44C3078F"/>
    <w:rsid w:val="44CB6061"/>
    <w:rsid w:val="44CCECAF"/>
    <w:rsid w:val="44CDD17C"/>
    <w:rsid w:val="44CDE8E0"/>
    <w:rsid w:val="44CE7E63"/>
    <w:rsid w:val="44D04E10"/>
    <w:rsid w:val="44D0C07F"/>
    <w:rsid w:val="44D3D61B"/>
    <w:rsid w:val="44D59456"/>
    <w:rsid w:val="44D6EEA5"/>
    <w:rsid w:val="44D8F3EC"/>
    <w:rsid w:val="44DAA023"/>
    <w:rsid w:val="44DD9666"/>
    <w:rsid w:val="44DE730F"/>
    <w:rsid w:val="44E4CB47"/>
    <w:rsid w:val="44E63701"/>
    <w:rsid w:val="44E6759C"/>
    <w:rsid w:val="44E74954"/>
    <w:rsid w:val="44EF778E"/>
    <w:rsid w:val="44F3C3A2"/>
    <w:rsid w:val="44F5A858"/>
    <w:rsid w:val="44FA6491"/>
    <w:rsid w:val="44FC37C7"/>
    <w:rsid w:val="44FF9D48"/>
    <w:rsid w:val="45028213"/>
    <w:rsid w:val="45040BA8"/>
    <w:rsid w:val="45064669"/>
    <w:rsid w:val="4507DD93"/>
    <w:rsid w:val="450A0F19"/>
    <w:rsid w:val="450DF7D5"/>
    <w:rsid w:val="451BFC9A"/>
    <w:rsid w:val="451F3BC6"/>
    <w:rsid w:val="451F9E51"/>
    <w:rsid w:val="4521A605"/>
    <w:rsid w:val="4522BDE4"/>
    <w:rsid w:val="4527B4AB"/>
    <w:rsid w:val="452B563D"/>
    <w:rsid w:val="452CFCE2"/>
    <w:rsid w:val="4537F8BA"/>
    <w:rsid w:val="45392FC9"/>
    <w:rsid w:val="453A11B0"/>
    <w:rsid w:val="453D65F5"/>
    <w:rsid w:val="454095C0"/>
    <w:rsid w:val="45434EAB"/>
    <w:rsid w:val="45483333"/>
    <w:rsid w:val="4549E859"/>
    <w:rsid w:val="454E8C5A"/>
    <w:rsid w:val="454F0503"/>
    <w:rsid w:val="45540F5F"/>
    <w:rsid w:val="45564DE9"/>
    <w:rsid w:val="45599C89"/>
    <w:rsid w:val="4560FD7D"/>
    <w:rsid w:val="45612A7D"/>
    <w:rsid w:val="4565A55E"/>
    <w:rsid w:val="45675105"/>
    <w:rsid w:val="4568864A"/>
    <w:rsid w:val="45693E6B"/>
    <w:rsid w:val="4569A1D8"/>
    <w:rsid w:val="456D7E5F"/>
    <w:rsid w:val="456DBBC3"/>
    <w:rsid w:val="456E5383"/>
    <w:rsid w:val="4573C513"/>
    <w:rsid w:val="4575D4DC"/>
    <w:rsid w:val="45760357"/>
    <w:rsid w:val="4576BFCB"/>
    <w:rsid w:val="457D95F2"/>
    <w:rsid w:val="4585EBB6"/>
    <w:rsid w:val="45902ED7"/>
    <w:rsid w:val="45905E46"/>
    <w:rsid w:val="45952C7F"/>
    <w:rsid w:val="4595EB34"/>
    <w:rsid w:val="4596FB98"/>
    <w:rsid w:val="4597F5F5"/>
    <w:rsid w:val="4598AFD8"/>
    <w:rsid w:val="4598D692"/>
    <w:rsid w:val="459958C7"/>
    <w:rsid w:val="459A3FBE"/>
    <w:rsid w:val="459A8EB7"/>
    <w:rsid w:val="459C1122"/>
    <w:rsid w:val="459CB53A"/>
    <w:rsid w:val="459E1E51"/>
    <w:rsid w:val="45A1A286"/>
    <w:rsid w:val="45A3B64F"/>
    <w:rsid w:val="45A74A9E"/>
    <w:rsid w:val="45A867D0"/>
    <w:rsid w:val="45A98A7B"/>
    <w:rsid w:val="45B41202"/>
    <w:rsid w:val="45BDB955"/>
    <w:rsid w:val="45BEE7AB"/>
    <w:rsid w:val="45C18937"/>
    <w:rsid w:val="45C1C138"/>
    <w:rsid w:val="45C21639"/>
    <w:rsid w:val="45CBD9EA"/>
    <w:rsid w:val="45CD369B"/>
    <w:rsid w:val="45CE1B32"/>
    <w:rsid w:val="45D651CF"/>
    <w:rsid w:val="45DDA179"/>
    <w:rsid w:val="45E01598"/>
    <w:rsid w:val="45E0430F"/>
    <w:rsid w:val="45E0C089"/>
    <w:rsid w:val="45E25652"/>
    <w:rsid w:val="45E4A91F"/>
    <w:rsid w:val="45E7F0B4"/>
    <w:rsid w:val="45E9F360"/>
    <w:rsid w:val="45EA6342"/>
    <w:rsid w:val="45EC7AEA"/>
    <w:rsid w:val="45ECF988"/>
    <w:rsid w:val="45ED5971"/>
    <w:rsid w:val="45EE966A"/>
    <w:rsid w:val="45F42FC6"/>
    <w:rsid w:val="45F4FC88"/>
    <w:rsid w:val="45F63C3A"/>
    <w:rsid w:val="45F6A2D6"/>
    <w:rsid w:val="45FA281B"/>
    <w:rsid w:val="45FF3BA6"/>
    <w:rsid w:val="45FF5C78"/>
    <w:rsid w:val="4602C2F2"/>
    <w:rsid w:val="4602EBC7"/>
    <w:rsid w:val="4605E62C"/>
    <w:rsid w:val="4607F98A"/>
    <w:rsid w:val="4608B196"/>
    <w:rsid w:val="4608B73D"/>
    <w:rsid w:val="460B07DD"/>
    <w:rsid w:val="460E41F7"/>
    <w:rsid w:val="460FF174"/>
    <w:rsid w:val="4610233D"/>
    <w:rsid w:val="461380C7"/>
    <w:rsid w:val="46141840"/>
    <w:rsid w:val="461464A3"/>
    <w:rsid w:val="46146800"/>
    <w:rsid w:val="46158217"/>
    <w:rsid w:val="461BB8F1"/>
    <w:rsid w:val="461E13C6"/>
    <w:rsid w:val="461E4DD3"/>
    <w:rsid w:val="461F3510"/>
    <w:rsid w:val="4620624C"/>
    <w:rsid w:val="462124A8"/>
    <w:rsid w:val="46228643"/>
    <w:rsid w:val="46235441"/>
    <w:rsid w:val="4624E453"/>
    <w:rsid w:val="462CC0C9"/>
    <w:rsid w:val="462F50CD"/>
    <w:rsid w:val="4638901F"/>
    <w:rsid w:val="463D2DF9"/>
    <w:rsid w:val="463D3363"/>
    <w:rsid w:val="463D5485"/>
    <w:rsid w:val="463E6C53"/>
    <w:rsid w:val="463F44F8"/>
    <w:rsid w:val="4640C4E2"/>
    <w:rsid w:val="46454B15"/>
    <w:rsid w:val="4647C1AF"/>
    <w:rsid w:val="464A431A"/>
    <w:rsid w:val="464CA4F7"/>
    <w:rsid w:val="4653BF89"/>
    <w:rsid w:val="46545AF8"/>
    <w:rsid w:val="46559E6E"/>
    <w:rsid w:val="46573EB9"/>
    <w:rsid w:val="4657F583"/>
    <w:rsid w:val="4658279D"/>
    <w:rsid w:val="465C8D8C"/>
    <w:rsid w:val="4672D1CC"/>
    <w:rsid w:val="46792BEB"/>
    <w:rsid w:val="4679B211"/>
    <w:rsid w:val="467D4556"/>
    <w:rsid w:val="46806B17"/>
    <w:rsid w:val="468262E9"/>
    <w:rsid w:val="468B02DE"/>
    <w:rsid w:val="468B3688"/>
    <w:rsid w:val="468C9180"/>
    <w:rsid w:val="468D8292"/>
    <w:rsid w:val="468E2085"/>
    <w:rsid w:val="468F6F04"/>
    <w:rsid w:val="4690494E"/>
    <w:rsid w:val="4692276D"/>
    <w:rsid w:val="469D2538"/>
    <w:rsid w:val="46A828EC"/>
    <w:rsid w:val="46AB2E69"/>
    <w:rsid w:val="46ABDC0A"/>
    <w:rsid w:val="46AE301C"/>
    <w:rsid w:val="46AED7DE"/>
    <w:rsid w:val="46B18BA4"/>
    <w:rsid w:val="46B24FFF"/>
    <w:rsid w:val="46B39D9E"/>
    <w:rsid w:val="46B8CDBF"/>
    <w:rsid w:val="46B8FEC3"/>
    <w:rsid w:val="46BA0F32"/>
    <w:rsid w:val="46BA518B"/>
    <w:rsid w:val="46BB89F3"/>
    <w:rsid w:val="46C01473"/>
    <w:rsid w:val="46C68E33"/>
    <w:rsid w:val="46C9DA39"/>
    <w:rsid w:val="46CDA932"/>
    <w:rsid w:val="46D4D3C5"/>
    <w:rsid w:val="46D4EB9C"/>
    <w:rsid w:val="46DBD818"/>
    <w:rsid w:val="46DD7803"/>
    <w:rsid w:val="46DEB72E"/>
    <w:rsid w:val="46E0538F"/>
    <w:rsid w:val="46E0E15A"/>
    <w:rsid w:val="46E1A10F"/>
    <w:rsid w:val="46EB744D"/>
    <w:rsid w:val="46EF7DAB"/>
    <w:rsid w:val="46F3CBDC"/>
    <w:rsid w:val="46F7045D"/>
    <w:rsid w:val="46FA87BB"/>
    <w:rsid w:val="46FF61CE"/>
    <w:rsid w:val="47002030"/>
    <w:rsid w:val="470176CD"/>
    <w:rsid w:val="470248D9"/>
    <w:rsid w:val="47051D41"/>
    <w:rsid w:val="4709C244"/>
    <w:rsid w:val="470B403B"/>
    <w:rsid w:val="470C56C0"/>
    <w:rsid w:val="471445A0"/>
    <w:rsid w:val="471469AC"/>
    <w:rsid w:val="47157748"/>
    <w:rsid w:val="4715B6C2"/>
    <w:rsid w:val="471893D6"/>
    <w:rsid w:val="471A548F"/>
    <w:rsid w:val="47201614"/>
    <w:rsid w:val="47270C38"/>
    <w:rsid w:val="472D109F"/>
    <w:rsid w:val="473402BC"/>
    <w:rsid w:val="473A021E"/>
    <w:rsid w:val="47478E49"/>
    <w:rsid w:val="4749FE48"/>
    <w:rsid w:val="474AB481"/>
    <w:rsid w:val="4752EA62"/>
    <w:rsid w:val="4754493D"/>
    <w:rsid w:val="475698BE"/>
    <w:rsid w:val="475B70C0"/>
    <w:rsid w:val="475DF55E"/>
    <w:rsid w:val="475F651E"/>
    <w:rsid w:val="4766B8E2"/>
    <w:rsid w:val="476D81FA"/>
    <w:rsid w:val="476EF86E"/>
    <w:rsid w:val="47730EBF"/>
    <w:rsid w:val="47733663"/>
    <w:rsid w:val="47739E83"/>
    <w:rsid w:val="477643D0"/>
    <w:rsid w:val="477C2EA8"/>
    <w:rsid w:val="477C8911"/>
    <w:rsid w:val="4780DD5E"/>
    <w:rsid w:val="4783A3BC"/>
    <w:rsid w:val="4794B404"/>
    <w:rsid w:val="47957019"/>
    <w:rsid w:val="4795F198"/>
    <w:rsid w:val="47985882"/>
    <w:rsid w:val="479880B6"/>
    <w:rsid w:val="4798D07A"/>
    <w:rsid w:val="479ABACC"/>
    <w:rsid w:val="479BB635"/>
    <w:rsid w:val="479FEE71"/>
    <w:rsid w:val="47A11033"/>
    <w:rsid w:val="47A17819"/>
    <w:rsid w:val="47A2EDBD"/>
    <w:rsid w:val="47A4A2BF"/>
    <w:rsid w:val="47A54046"/>
    <w:rsid w:val="47AA0D07"/>
    <w:rsid w:val="47AC061E"/>
    <w:rsid w:val="47AED988"/>
    <w:rsid w:val="47B0B551"/>
    <w:rsid w:val="47B15278"/>
    <w:rsid w:val="47B2B3FD"/>
    <w:rsid w:val="47B466B1"/>
    <w:rsid w:val="47B87B57"/>
    <w:rsid w:val="47BBDC11"/>
    <w:rsid w:val="47C239A8"/>
    <w:rsid w:val="47C5A83A"/>
    <w:rsid w:val="47C9422A"/>
    <w:rsid w:val="47CAE136"/>
    <w:rsid w:val="47CD9F8C"/>
    <w:rsid w:val="47D07341"/>
    <w:rsid w:val="47D63BD1"/>
    <w:rsid w:val="47D9140F"/>
    <w:rsid w:val="47DB6AF1"/>
    <w:rsid w:val="47DC081B"/>
    <w:rsid w:val="47E0DADC"/>
    <w:rsid w:val="47E2AD46"/>
    <w:rsid w:val="47E36262"/>
    <w:rsid w:val="47E36436"/>
    <w:rsid w:val="47E799AB"/>
    <w:rsid w:val="47EA49A1"/>
    <w:rsid w:val="47EB1F75"/>
    <w:rsid w:val="47EB479F"/>
    <w:rsid w:val="47EB62D7"/>
    <w:rsid w:val="47ED99D8"/>
    <w:rsid w:val="47F2A4AD"/>
    <w:rsid w:val="47F359EE"/>
    <w:rsid w:val="47F6C13C"/>
    <w:rsid w:val="47FA1AF9"/>
    <w:rsid w:val="47FA2D40"/>
    <w:rsid w:val="47FD8095"/>
    <w:rsid w:val="48067577"/>
    <w:rsid w:val="4809F441"/>
    <w:rsid w:val="48115664"/>
    <w:rsid w:val="48143D40"/>
    <w:rsid w:val="4814A6FF"/>
    <w:rsid w:val="4818A772"/>
    <w:rsid w:val="481C8ED2"/>
    <w:rsid w:val="481D2328"/>
    <w:rsid w:val="481F5EC0"/>
    <w:rsid w:val="482429A5"/>
    <w:rsid w:val="4825A39B"/>
    <w:rsid w:val="48290608"/>
    <w:rsid w:val="482958BA"/>
    <w:rsid w:val="482ACD51"/>
    <w:rsid w:val="482C65B8"/>
    <w:rsid w:val="4830EE08"/>
    <w:rsid w:val="4836BE8E"/>
    <w:rsid w:val="4836DF4C"/>
    <w:rsid w:val="48386724"/>
    <w:rsid w:val="48389A1C"/>
    <w:rsid w:val="4839A8B6"/>
    <w:rsid w:val="483BAE5E"/>
    <w:rsid w:val="483FCD8C"/>
    <w:rsid w:val="48409873"/>
    <w:rsid w:val="4841C21D"/>
    <w:rsid w:val="4843C066"/>
    <w:rsid w:val="484871F3"/>
    <w:rsid w:val="484BD6BE"/>
    <w:rsid w:val="484D6E77"/>
    <w:rsid w:val="484E8F98"/>
    <w:rsid w:val="4851360F"/>
    <w:rsid w:val="4851E6E9"/>
    <w:rsid w:val="48526607"/>
    <w:rsid w:val="48546A15"/>
    <w:rsid w:val="48587486"/>
    <w:rsid w:val="485D69B7"/>
    <w:rsid w:val="486138D3"/>
    <w:rsid w:val="48619D38"/>
    <w:rsid w:val="48621478"/>
    <w:rsid w:val="4866B8FD"/>
    <w:rsid w:val="486F38BB"/>
    <w:rsid w:val="487AB96D"/>
    <w:rsid w:val="487BF590"/>
    <w:rsid w:val="487EE88D"/>
    <w:rsid w:val="48816F9B"/>
    <w:rsid w:val="488959D7"/>
    <w:rsid w:val="4892FBB2"/>
    <w:rsid w:val="4894E918"/>
    <w:rsid w:val="48958BB3"/>
    <w:rsid w:val="4895AB4D"/>
    <w:rsid w:val="4897B3E2"/>
    <w:rsid w:val="489A44A9"/>
    <w:rsid w:val="489D5062"/>
    <w:rsid w:val="489D71AD"/>
    <w:rsid w:val="489E510D"/>
    <w:rsid w:val="48A27980"/>
    <w:rsid w:val="48AC6056"/>
    <w:rsid w:val="48AE5393"/>
    <w:rsid w:val="48AEBF12"/>
    <w:rsid w:val="48B02DFA"/>
    <w:rsid w:val="48B8A602"/>
    <w:rsid w:val="48BB11B6"/>
    <w:rsid w:val="48BBB05E"/>
    <w:rsid w:val="48C223C0"/>
    <w:rsid w:val="48C3A1CB"/>
    <w:rsid w:val="48C5C705"/>
    <w:rsid w:val="48C8B7F0"/>
    <w:rsid w:val="48C8D515"/>
    <w:rsid w:val="48C929A0"/>
    <w:rsid w:val="48CB6DB7"/>
    <w:rsid w:val="48CF2EA4"/>
    <w:rsid w:val="48D4E5DB"/>
    <w:rsid w:val="48D5FCAB"/>
    <w:rsid w:val="48D80068"/>
    <w:rsid w:val="48D89717"/>
    <w:rsid w:val="48D99F75"/>
    <w:rsid w:val="48DBE9F4"/>
    <w:rsid w:val="48DC1DD2"/>
    <w:rsid w:val="48DC97AB"/>
    <w:rsid w:val="48DCCC4B"/>
    <w:rsid w:val="48E5FADD"/>
    <w:rsid w:val="48EAA4D1"/>
    <w:rsid w:val="48ED5C58"/>
    <w:rsid w:val="48F85EE5"/>
    <w:rsid w:val="48FCF465"/>
    <w:rsid w:val="48FF3315"/>
    <w:rsid w:val="4901ACEC"/>
    <w:rsid w:val="49059AB8"/>
    <w:rsid w:val="49068357"/>
    <w:rsid w:val="4906DCEF"/>
    <w:rsid w:val="490A18C7"/>
    <w:rsid w:val="490A9DEA"/>
    <w:rsid w:val="490ABE55"/>
    <w:rsid w:val="490AD77D"/>
    <w:rsid w:val="491567CD"/>
    <w:rsid w:val="4915681B"/>
    <w:rsid w:val="491709A5"/>
    <w:rsid w:val="4917B735"/>
    <w:rsid w:val="491EA73B"/>
    <w:rsid w:val="491FE692"/>
    <w:rsid w:val="49202768"/>
    <w:rsid w:val="49223972"/>
    <w:rsid w:val="4924693D"/>
    <w:rsid w:val="49253DA9"/>
    <w:rsid w:val="49277EFC"/>
    <w:rsid w:val="492B3CA7"/>
    <w:rsid w:val="492CAB1B"/>
    <w:rsid w:val="4930AD01"/>
    <w:rsid w:val="49318B03"/>
    <w:rsid w:val="4936311E"/>
    <w:rsid w:val="493653E0"/>
    <w:rsid w:val="4937D326"/>
    <w:rsid w:val="49391D61"/>
    <w:rsid w:val="493DE99F"/>
    <w:rsid w:val="49443846"/>
    <w:rsid w:val="49488B92"/>
    <w:rsid w:val="494D59FD"/>
    <w:rsid w:val="49509FA1"/>
    <w:rsid w:val="4952AE27"/>
    <w:rsid w:val="4955EC6A"/>
    <w:rsid w:val="49574E3E"/>
    <w:rsid w:val="495B2836"/>
    <w:rsid w:val="495BD56B"/>
    <w:rsid w:val="4961789B"/>
    <w:rsid w:val="4963E333"/>
    <w:rsid w:val="496BB351"/>
    <w:rsid w:val="496C36A8"/>
    <w:rsid w:val="496CEB2E"/>
    <w:rsid w:val="496E1242"/>
    <w:rsid w:val="49716E3A"/>
    <w:rsid w:val="49769273"/>
    <w:rsid w:val="4976A08F"/>
    <w:rsid w:val="497E7B14"/>
    <w:rsid w:val="49821215"/>
    <w:rsid w:val="49824BFC"/>
    <w:rsid w:val="4982A9FA"/>
    <w:rsid w:val="498A9708"/>
    <w:rsid w:val="49928907"/>
    <w:rsid w:val="4993599E"/>
    <w:rsid w:val="49954CD9"/>
    <w:rsid w:val="4995673F"/>
    <w:rsid w:val="499623E5"/>
    <w:rsid w:val="499963DF"/>
    <w:rsid w:val="499D963F"/>
    <w:rsid w:val="499E0926"/>
    <w:rsid w:val="49A210D6"/>
    <w:rsid w:val="49A3305A"/>
    <w:rsid w:val="49A4F845"/>
    <w:rsid w:val="49A55646"/>
    <w:rsid w:val="49A8FAE7"/>
    <w:rsid w:val="49B01BEE"/>
    <w:rsid w:val="49B0CB21"/>
    <w:rsid w:val="49B5AB06"/>
    <w:rsid w:val="49B5C1D3"/>
    <w:rsid w:val="49BB7069"/>
    <w:rsid w:val="49BCC27D"/>
    <w:rsid w:val="49C7ED30"/>
    <w:rsid w:val="49CB1569"/>
    <w:rsid w:val="49CB403E"/>
    <w:rsid w:val="49CE2E37"/>
    <w:rsid w:val="49D3E83E"/>
    <w:rsid w:val="49D5F336"/>
    <w:rsid w:val="49DA1A04"/>
    <w:rsid w:val="49DB379B"/>
    <w:rsid w:val="49DBCEA7"/>
    <w:rsid w:val="49E26FBB"/>
    <w:rsid w:val="49E2B3EA"/>
    <w:rsid w:val="49E2E4B8"/>
    <w:rsid w:val="49E74613"/>
    <w:rsid w:val="49EADFBD"/>
    <w:rsid w:val="49F0B7BC"/>
    <w:rsid w:val="49F55661"/>
    <w:rsid w:val="49F95DFF"/>
    <w:rsid w:val="49FE65F5"/>
    <w:rsid w:val="4A030E6E"/>
    <w:rsid w:val="4A06A635"/>
    <w:rsid w:val="4A09D2C7"/>
    <w:rsid w:val="4A09ED3E"/>
    <w:rsid w:val="4A0ABEF5"/>
    <w:rsid w:val="4A0FA08D"/>
    <w:rsid w:val="4A117EB2"/>
    <w:rsid w:val="4A124CB7"/>
    <w:rsid w:val="4A129DA7"/>
    <w:rsid w:val="4A152909"/>
    <w:rsid w:val="4A186F8E"/>
    <w:rsid w:val="4A18EC73"/>
    <w:rsid w:val="4A1C81DC"/>
    <w:rsid w:val="4A1DF292"/>
    <w:rsid w:val="4A1EDEEE"/>
    <w:rsid w:val="4A1F9400"/>
    <w:rsid w:val="4A20E775"/>
    <w:rsid w:val="4A22F51A"/>
    <w:rsid w:val="4A2588BE"/>
    <w:rsid w:val="4A260174"/>
    <w:rsid w:val="4A27D4C5"/>
    <w:rsid w:val="4A285F13"/>
    <w:rsid w:val="4A292302"/>
    <w:rsid w:val="4A30E805"/>
    <w:rsid w:val="4A3A20A2"/>
    <w:rsid w:val="4A3D058D"/>
    <w:rsid w:val="4A3EFD3D"/>
    <w:rsid w:val="4A405D24"/>
    <w:rsid w:val="4A42E769"/>
    <w:rsid w:val="4A438181"/>
    <w:rsid w:val="4A468334"/>
    <w:rsid w:val="4A4778BB"/>
    <w:rsid w:val="4A480CA2"/>
    <w:rsid w:val="4A48FBB0"/>
    <w:rsid w:val="4A4AD044"/>
    <w:rsid w:val="4A4C239C"/>
    <w:rsid w:val="4A4D9A82"/>
    <w:rsid w:val="4A4DE56C"/>
    <w:rsid w:val="4A549A2F"/>
    <w:rsid w:val="4A554682"/>
    <w:rsid w:val="4A58D88F"/>
    <w:rsid w:val="4A59998D"/>
    <w:rsid w:val="4A59E0EA"/>
    <w:rsid w:val="4A5BA716"/>
    <w:rsid w:val="4A5F3AFB"/>
    <w:rsid w:val="4A627AB9"/>
    <w:rsid w:val="4A6E5263"/>
    <w:rsid w:val="4A73E11E"/>
    <w:rsid w:val="4A748D72"/>
    <w:rsid w:val="4A751C87"/>
    <w:rsid w:val="4A75CF71"/>
    <w:rsid w:val="4A794996"/>
    <w:rsid w:val="4A79A2B9"/>
    <w:rsid w:val="4A7A1DCA"/>
    <w:rsid w:val="4A7AF22C"/>
    <w:rsid w:val="4A7CDB8E"/>
    <w:rsid w:val="4A7E5875"/>
    <w:rsid w:val="4A7EB775"/>
    <w:rsid w:val="4A7F50D2"/>
    <w:rsid w:val="4A82F51A"/>
    <w:rsid w:val="4A850B58"/>
    <w:rsid w:val="4A887E20"/>
    <w:rsid w:val="4A8A02EC"/>
    <w:rsid w:val="4A8B30BF"/>
    <w:rsid w:val="4A8BD141"/>
    <w:rsid w:val="4A8E60E8"/>
    <w:rsid w:val="4A8F3857"/>
    <w:rsid w:val="4A955D64"/>
    <w:rsid w:val="4A9676AD"/>
    <w:rsid w:val="4A96A8F9"/>
    <w:rsid w:val="4A982864"/>
    <w:rsid w:val="4A9A3FFD"/>
    <w:rsid w:val="4A9CD346"/>
    <w:rsid w:val="4A9E70F4"/>
    <w:rsid w:val="4AA49A4A"/>
    <w:rsid w:val="4AA7E4FD"/>
    <w:rsid w:val="4AA86F0D"/>
    <w:rsid w:val="4AA99BEC"/>
    <w:rsid w:val="4AAB3B89"/>
    <w:rsid w:val="4AAC219D"/>
    <w:rsid w:val="4AAD1EF3"/>
    <w:rsid w:val="4AAEE605"/>
    <w:rsid w:val="4AB25A87"/>
    <w:rsid w:val="4AB30009"/>
    <w:rsid w:val="4AB3180C"/>
    <w:rsid w:val="4AB48580"/>
    <w:rsid w:val="4AB54BDE"/>
    <w:rsid w:val="4AB5D867"/>
    <w:rsid w:val="4AB6EC48"/>
    <w:rsid w:val="4AB78F2B"/>
    <w:rsid w:val="4AB962D8"/>
    <w:rsid w:val="4AB985A6"/>
    <w:rsid w:val="4ABD2359"/>
    <w:rsid w:val="4ABFCA54"/>
    <w:rsid w:val="4ACCBDCA"/>
    <w:rsid w:val="4AD392C0"/>
    <w:rsid w:val="4AD60F05"/>
    <w:rsid w:val="4AD7EA18"/>
    <w:rsid w:val="4AD9E902"/>
    <w:rsid w:val="4ADED07F"/>
    <w:rsid w:val="4AE17DBB"/>
    <w:rsid w:val="4AE3E6A0"/>
    <w:rsid w:val="4AE4D400"/>
    <w:rsid w:val="4AE579A5"/>
    <w:rsid w:val="4AE7C684"/>
    <w:rsid w:val="4AE83EFA"/>
    <w:rsid w:val="4AE91047"/>
    <w:rsid w:val="4AE9C09F"/>
    <w:rsid w:val="4AEA21F6"/>
    <w:rsid w:val="4AEB5EFE"/>
    <w:rsid w:val="4AEE9CF2"/>
    <w:rsid w:val="4AF09966"/>
    <w:rsid w:val="4AF6FAF3"/>
    <w:rsid w:val="4AF798AC"/>
    <w:rsid w:val="4AF87D27"/>
    <w:rsid w:val="4AF8C9F9"/>
    <w:rsid w:val="4AF93C50"/>
    <w:rsid w:val="4AFA0AC3"/>
    <w:rsid w:val="4AFAB447"/>
    <w:rsid w:val="4AFF676C"/>
    <w:rsid w:val="4B01D35C"/>
    <w:rsid w:val="4B0B68E8"/>
    <w:rsid w:val="4B16A581"/>
    <w:rsid w:val="4B193239"/>
    <w:rsid w:val="4B1987C3"/>
    <w:rsid w:val="4B1C1C95"/>
    <w:rsid w:val="4B1D1E91"/>
    <w:rsid w:val="4B1ECC4D"/>
    <w:rsid w:val="4B205151"/>
    <w:rsid w:val="4B22AA11"/>
    <w:rsid w:val="4B250125"/>
    <w:rsid w:val="4B2589C9"/>
    <w:rsid w:val="4B26447A"/>
    <w:rsid w:val="4B296C1E"/>
    <w:rsid w:val="4B2CD343"/>
    <w:rsid w:val="4B3C3239"/>
    <w:rsid w:val="4B3CF81F"/>
    <w:rsid w:val="4B3E5736"/>
    <w:rsid w:val="4B442CCA"/>
    <w:rsid w:val="4B484600"/>
    <w:rsid w:val="4B4A349F"/>
    <w:rsid w:val="4B51AC7B"/>
    <w:rsid w:val="4B531027"/>
    <w:rsid w:val="4B537F8C"/>
    <w:rsid w:val="4B543AC4"/>
    <w:rsid w:val="4B5A99E9"/>
    <w:rsid w:val="4B63E0EC"/>
    <w:rsid w:val="4B6414CC"/>
    <w:rsid w:val="4B675300"/>
    <w:rsid w:val="4B6A980B"/>
    <w:rsid w:val="4B6C20B7"/>
    <w:rsid w:val="4B70AE10"/>
    <w:rsid w:val="4B713A96"/>
    <w:rsid w:val="4B75FAF4"/>
    <w:rsid w:val="4B782213"/>
    <w:rsid w:val="4B7A4072"/>
    <w:rsid w:val="4B7B8368"/>
    <w:rsid w:val="4B7E7E6D"/>
    <w:rsid w:val="4B80132D"/>
    <w:rsid w:val="4B807BBC"/>
    <w:rsid w:val="4B80B541"/>
    <w:rsid w:val="4B87B472"/>
    <w:rsid w:val="4B88D6B4"/>
    <w:rsid w:val="4B8AD754"/>
    <w:rsid w:val="4B8BCE45"/>
    <w:rsid w:val="4B8E2BEC"/>
    <w:rsid w:val="4B9539F6"/>
    <w:rsid w:val="4B957EB0"/>
    <w:rsid w:val="4B9706A4"/>
    <w:rsid w:val="4B974281"/>
    <w:rsid w:val="4B97C563"/>
    <w:rsid w:val="4B984A7D"/>
    <w:rsid w:val="4B99E723"/>
    <w:rsid w:val="4B9A29F6"/>
    <w:rsid w:val="4B9B8D65"/>
    <w:rsid w:val="4B9C5C77"/>
    <w:rsid w:val="4B9CADAA"/>
    <w:rsid w:val="4B9E8BF8"/>
    <w:rsid w:val="4BA1539F"/>
    <w:rsid w:val="4BA20F8C"/>
    <w:rsid w:val="4BA7C0F2"/>
    <w:rsid w:val="4BACBEB7"/>
    <w:rsid w:val="4BACC7C9"/>
    <w:rsid w:val="4BADD86F"/>
    <w:rsid w:val="4BB443F2"/>
    <w:rsid w:val="4BB8DCC5"/>
    <w:rsid w:val="4BBD4F3F"/>
    <w:rsid w:val="4BBF3721"/>
    <w:rsid w:val="4BBFFD67"/>
    <w:rsid w:val="4BC24210"/>
    <w:rsid w:val="4BC283A5"/>
    <w:rsid w:val="4BC5EB84"/>
    <w:rsid w:val="4BC9B9D7"/>
    <w:rsid w:val="4BCD73FF"/>
    <w:rsid w:val="4BCDFEC6"/>
    <w:rsid w:val="4BD0F027"/>
    <w:rsid w:val="4BD12A23"/>
    <w:rsid w:val="4BD15347"/>
    <w:rsid w:val="4BD2CB54"/>
    <w:rsid w:val="4BD5C100"/>
    <w:rsid w:val="4BD8A43C"/>
    <w:rsid w:val="4BD9663E"/>
    <w:rsid w:val="4BDB8F20"/>
    <w:rsid w:val="4BDF19E6"/>
    <w:rsid w:val="4BE0AF2B"/>
    <w:rsid w:val="4BE6CB90"/>
    <w:rsid w:val="4BEB980D"/>
    <w:rsid w:val="4BEB9E8B"/>
    <w:rsid w:val="4BF8645B"/>
    <w:rsid w:val="4BFA04FA"/>
    <w:rsid w:val="4BFABAEE"/>
    <w:rsid w:val="4BFBD0BD"/>
    <w:rsid w:val="4BFD6289"/>
    <w:rsid w:val="4C00000F"/>
    <w:rsid w:val="4C00B55F"/>
    <w:rsid w:val="4C05BDF1"/>
    <w:rsid w:val="4C05E3C7"/>
    <w:rsid w:val="4C0673EA"/>
    <w:rsid w:val="4C067523"/>
    <w:rsid w:val="4C089C76"/>
    <w:rsid w:val="4C0D436E"/>
    <w:rsid w:val="4C0D4BCA"/>
    <w:rsid w:val="4C0DA550"/>
    <w:rsid w:val="4C0DF820"/>
    <w:rsid w:val="4C0E11F9"/>
    <w:rsid w:val="4C131D43"/>
    <w:rsid w:val="4C19E72B"/>
    <w:rsid w:val="4C1F7CCE"/>
    <w:rsid w:val="4C206318"/>
    <w:rsid w:val="4C20D740"/>
    <w:rsid w:val="4C227FC9"/>
    <w:rsid w:val="4C252987"/>
    <w:rsid w:val="4C256744"/>
    <w:rsid w:val="4C274FAF"/>
    <w:rsid w:val="4C276EC6"/>
    <w:rsid w:val="4C27DD1D"/>
    <w:rsid w:val="4C300BAF"/>
    <w:rsid w:val="4C31BE55"/>
    <w:rsid w:val="4C357499"/>
    <w:rsid w:val="4C371C7A"/>
    <w:rsid w:val="4C38457E"/>
    <w:rsid w:val="4C38C1B2"/>
    <w:rsid w:val="4C39BA9E"/>
    <w:rsid w:val="4C3F1864"/>
    <w:rsid w:val="4C445CC7"/>
    <w:rsid w:val="4C447467"/>
    <w:rsid w:val="4C493A96"/>
    <w:rsid w:val="4C498817"/>
    <w:rsid w:val="4C49BBDB"/>
    <w:rsid w:val="4C4C424A"/>
    <w:rsid w:val="4C4CDA87"/>
    <w:rsid w:val="4C4E0018"/>
    <w:rsid w:val="4C4FA33C"/>
    <w:rsid w:val="4C5336FC"/>
    <w:rsid w:val="4C56271C"/>
    <w:rsid w:val="4C5697DF"/>
    <w:rsid w:val="4C56F9E3"/>
    <w:rsid w:val="4C583D81"/>
    <w:rsid w:val="4C593137"/>
    <w:rsid w:val="4C5ACF68"/>
    <w:rsid w:val="4C5D5BE0"/>
    <w:rsid w:val="4C5FB2D0"/>
    <w:rsid w:val="4C6909B9"/>
    <w:rsid w:val="4C695EA4"/>
    <w:rsid w:val="4C6961BC"/>
    <w:rsid w:val="4C6AF1EA"/>
    <w:rsid w:val="4C6B4DC7"/>
    <w:rsid w:val="4C6E9557"/>
    <w:rsid w:val="4C6EC083"/>
    <w:rsid w:val="4C6ED36E"/>
    <w:rsid w:val="4C6EE233"/>
    <w:rsid w:val="4C711D51"/>
    <w:rsid w:val="4C71C5DC"/>
    <w:rsid w:val="4C7CA701"/>
    <w:rsid w:val="4C861539"/>
    <w:rsid w:val="4C872386"/>
    <w:rsid w:val="4C8A4CCB"/>
    <w:rsid w:val="4C8DDF43"/>
    <w:rsid w:val="4C8E88F3"/>
    <w:rsid w:val="4C8FEA5E"/>
    <w:rsid w:val="4C9102BC"/>
    <w:rsid w:val="4C936DED"/>
    <w:rsid w:val="4C9370BC"/>
    <w:rsid w:val="4C9483A8"/>
    <w:rsid w:val="4C94B66A"/>
    <w:rsid w:val="4C978E84"/>
    <w:rsid w:val="4C9A15C8"/>
    <w:rsid w:val="4C9BFA5C"/>
    <w:rsid w:val="4C9C5447"/>
    <w:rsid w:val="4CA1384C"/>
    <w:rsid w:val="4CA14A21"/>
    <w:rsid w:val="4CA15B8B"/>
    <w:rsid w:val="4CA3E399"/>
    <w:rsid w:val="4CA69C78"/>
    <w:rsid w:val="4CA7FEEB"/>
    <w:rsid w:val="4CA9A06A"/>
    <w:rsid w:val="4CAD1F3A"/>
    <w:rsid w:val="4CADAAAE"/>
    <w:rsid w:val="4CADFDBD"/>
    <w:rsid w:val="4CB19241"/>
    <w:rsid w:val="4CB5AADB"/>
    <w:rsid w:val="4CB69FA9"/>
    <w:rsid w:val="4CBA568F"/>
    <w:rsid w:val="4CBFF4A1"/>
    <w:rsid w:val="4CC08A76"/>
    <w:rsid w:val="4CC2C557"/>
    <w:rsid w:val="4CC527F9"/>
    <w:rsid w:val="4CC87085"/>
    <w:rsid w:val="4CCA43A3"/>
    <w:rsid w:val="4CD256FB"/>
    <w:rsid w:val="4CD651A4"/>
    <w:rsid w:val="4CD6CBC5"/>
    <w:rsid w:val="4CDC52A7"/>
    <w:rsid w:val="4CE596EC"/>
    <w:rsid w:val="4CF1390C"/>
    <w:rsid w:val="4CF2D9F5"/>
    <w:rsid w:val="4D01289C"/>
    <w:rsid w:val="4D03D9CA"/>
    <w:rsid w:val="4D064FB9"/>
    <w:rsid w:val="4D06F867"/>
    <w:rsid w:val="4D09FFBA"/>
    <w:rsid w:val="4D0B262C"/>
    <w:rsid w:val="4D0E8C5C"/>
    <w:rsid w:val="4D11AD19"/>
    <w:rsid w:val="4D1625FB"/>
    <w:rsid w:val="4D17CCD6"/>
    <w:rsid w:val="4D1C3646"/>
    <w:rsid w:val="4D234AF3"/>
    <w:rsid w:val="4D2412DA"/>
    <w:rsid w:val="4D27FD2B"/>
    <w:rsid w:val="4D29FB3B"/>
    <w:rsid w:val="4D2E888D"/>
    <w:rsid w:val="4D2E8D70"/>
    <w:rsid w:val="4D2F796B"/>
    <w:rsid w:val="4D32B050"/>
    <w:rsid w:val="4D34ED3B"/>
    <w:rsid w:val="4D392204"/>
    <w:rsid w:val="4D3A0567"/>
    <w:rsid w:val="4D3AE363"/>
    <w:rsid w:val="4D441B5A"/>
    <w:rsid w:val="4D46AA76"/>
    <w:rsid w:val="4D472936"/>
    <w:rsid w:val="4D478BE3"/>
    <w:rsid w:val="4D4AF52B"/>
    <w:rsid w:val="4D4B4481"/>
    <w:rsid w:val="4D4E8DCC"/>
    <w:rsid w:val="4D4FC034"/>
    <w:rsid w:val="4D4FC228"/>
    <w:rsid w:val="4D5057C7"/>
    <w:rsid w:val="4D56A05C"/>
    <w:rsid w:val="4D580ED0"/>
    <w:rsid w:val="4D5B2EBD"/>
    <w:rsid w:val="4D5C4DBA"/>
    <w:rsid w:val="4D5FD384"/>
    <w:rsid w:val="4D601AD5"/>
    <w:rsid w:val="4D616DEB"/>
    <w:rsid w:val="4D631A0E"/>
    <w:rsid w:val="4D64BC13"/>
    <w:rsid w:val="4D650318"/>
    <w:rsid w:val="4D664E5A"/>
    <w:rsid w:val="4D6A3B68"/>
    <w:rsid w:val="4D6BBCD6"/>
    <w:rsid w:val="4D73B59E"/>
    <w:rsid w:val="4D74EC2D"/>
    <w:rsid w:val="4D7DF191"/>
    <w:rsid w:val="4D7F4E42"/>
    <w:rsid w:val="4D803130"/>
    <w:rsid w:val="4D83AAF9"/>
    <w:rsid w:val="4D8572EC"/>
    <w:rsid w:val="4D86AEFA"/>
    <w:rsid w:val="4D86BE77"/>
    <w:rsid w:val="4D87FC38"/>
    <w:rsid w:val="4D880D57"/>
    <w:rsid w:val="4D90345E"/>
    <w:rsid w:val="4D9BB166"/>
    <w:rsid w:val="4D9C2FD5"/>
    <w:rsid w:val="4DA034A1"/>
    <w:rsid w:val="4DA15DD0"/>
    <w:rsid w:val="4DA99945"/>
    <w:rsid w:val="4DAD0EC6"/>
    <w:rsid w:val="4DAF373B"/>
    <w:rsid w:val="4DB0D49D"/>
    <w:rsid w:val="4DB2D702"/>
    <w:rsid w:val="4DB4B34C"/>
    <w:rsid w:val="4DB4DDF4"/>
    <w:rsid w:val="4DB5D854"/>
    <w:rsid w:val="4DB9B16F"/>
    <w:rsid w:val="4DBFD731"/>
    <w:rsid w:val="4DC2962B"/>
    <w:rsid w:val="4DCD0B77"/>
    <w:rsid w:val="4DD4FE84"/>
    <w:rsid w:val="4DD71519"/>
    <w:rsid w:val="4DD78D5C"/>
    <w:rsid w:val="4DD7BEBA"/>
    <w:rsid w:val="4DD8510E"/>
    <w:rsid w:val="4DDCCBFD"/>
    <w:rsid w:val="4DDD3595"/>
    <w:rsid w:val="4DF1D211"/>
    <w:rsid w:val="4DF68889"/>
    <w:rsid w:val="4DF78078"/>
    <w:rsid w:val="4DF9A0DF"/>
    <w:rsid w:val="4E068DD0"/>
    <w:rsid w:val="4E0707CC"/>
    <w:rsid w:val="4E0B54A8"/>
    <w:rsid w:val="4E0C2BC6"/>
    <w:rsid w:val="4E0DB637"/>
    <w:rsid w:val="4E13A342"/>
    <w:rsid w:val="4E1B1A48"/>
    <w:rsid w:val="4E1CCE67"/>
    <w:rsid w:val="4E1E13F5"/>
    <w:rsid w:val="4E1E35ED"/>
    <w:rsid w:val="4E1E9971"/>
    <w:rsid w:val="4E1EC265"/>
    <w:rsid w:val="4E237D2D"/>
    <w:rsid w:val="4E23A264"/>
    <w:rsid w:val="4E2B5B4B"/>
    <w:rsid w:val="4E2DA2C6"/>
    <w:rsid w:val="4E318418"/>
    <w:rsid w:val="4E34016F"/>
    <w:rsid w:val="4E35A452"/>
    <w:rsid w:val="4E3EB81E"/>
    <w:rsid w:val="4E4523C4"/>
    <w:rsid w:val="4E490C58"/>
    <w:rsid w:val="4E49D2F8"/>
    <w:rsid w:val="4E4D00BC"/>
    <w:rsid w:val="4E4FCF6C"/>
    <w:rsid w:val="4E500EA2"/>
    <w:rsid w:val="4E50355D"/>
    <w:rsid w:val="4E545FF1"/>
    <w:rsid w:val="4E55C5E0"/>
    <w:rsid w:val="4E57E71C"/>
    <w:rsid w:val="4E5A8793"/>
    <w:rsid w:val="4E5D160F"/>
    <w:rsid w:val="4E610AC1"/>
    <w:rsid w:val="4E636CA5"/>
    <w:rsid w:val="4E63C4B9"/>
    <w:rsid w:val="4E665D98"/>
    <w:rsid w:val="4E6753DC"/>
    <w:rsid w:val="4E692C33"/>
    <w:rsid w:val="4E6A65D4"/>
    <w:rsid w:val="4E6AC026"/>
    <w:rsid w:val="4E6C48B7"/>
    <w:rsid w:val="4E847818"/>
    <w:rsid w:val="4E85FDE4"/>
    <w:rsid w:val="4E868B6C"/>
    <w:rsid w:val="4E8C700E"/>
    <w:rsid w:val="4E917075"/>
    <w:rsid w:val="4E9C3895"/>
    <w:rsid w:val="4E9E32A7"/>
    <w:rsid w:val="4EA19E8D"/>
    <w:rsid w:val="4EA8A0E7"/>
    <w:rsid w:val="4EA91A04"/>
    <w:rsid w:val="4EAF3A23"/>
    <w:rsid w:val="4EB2F17E"/>
    <w:rsid w:val="4EB3CBE1"/>
    <w:rsid w:val="4EB82306"/>
    <w:rsid w:val="4EBA3AB1"/>
    <w:rsid w:val="4EBAA6F5"/>
    <w:rsid w:val="4EBB89F2"/>
    <w:rsid w:val="4EC1B3B9"/>
    <w:rsid w:val="4EC6A20F"/>
    <w:rsid w:val="4ECA2BFE"/>
    <w:rsid w:val="4ECB8918"/>
    <w:rsid w:val="4ECDAF24"/>
    <w:rsid w:val="4ED13EEA"/>
    <w:rsid w:val="4ED35DF4"/>
    <w:rsid w:val="4ED545E9"/>
    <w:rsid w:val="4ED968CB"/>
    <w:rsid w:val="4ED98AAF"/>
    <w:rsid w:val="4EE16993"/>
    <w:rsid w:val="4EE2F337"/>
    <w:rsid w:val="4EE6B2BD"/>
    <w:rsid w:val="4EEB9289"/>
    <w:rsid w:val="4EED5A84"/>
    <w:rsid w:val="4EEF7505"/>
    <w:rsid w:val="4EF0B50B"/>
    <w:rsid w:val="4EF1E4B8"/>
    <w:rsid w:val="4EF28A3A"/>
    <w:rsid w:val="4EF41C46"/>
    <w:rsid w:val="4EF9951D"/>
    <w:rsid w:val="4EFACB5E"/>
    <w:rsid w:val="4EFBA526"/>
    <w:rsid w:val="4EFBD46B"/>
    <w:rsid w:val="4F065120"/>
    <w:rsid w:val="4F088DF3"/>
    <w:rsid w:val="4F0C67E2"/>
    <w:rsid w:val="4F0F6588"/>
    <w:rsid w:val="4F14693A"/>
    <w:rsid w:val="4F1E1D49"/>
    <w:rsid w:val="4F211F01"/>
    <w:rsid w:val="4F23224D"/>
    <w:rsid w:val="4F24AAAD"/>
    <w:rsid w:val="4F261601"/>
    <w:rsid w:val="4F2C9F60"/>
    <w:rsid w:val="4F2D24B6"/>
    <w:rsid w:val="4F327D00"/>
    <w:rsid w:val="4F336066"/>
    <w:rsid w:val="4F34B4D5"/>
    <w:rsid w:val="4F368B88"/>
    <w:rsid w:val="4F381E6B"/>
    <w:rsid w:val="4F3A2CB8"/>
    <w:rsid w:val="4F4345F1"/>
    <w:rsid w:val="4F443FB7"/>
    <w:rsid w:val="4F45C603"/>
    <w:rsid w:val="4F514E34"/>
    <w:rsid w:val="4F51C7BB"/>
    <w:rsid w:val="4F51F5AE"/>
    <w:rsid w:val="4F5921E8"/>
    <w:rsid w:val="4F5AEECE"/>
    <w:rsid w:val="4F5BE006"/>
    <w:rsid w:val="4F6160F4"/>
    <w:rsid w:val="4F61C02F"/>
    <w:rsid w:val="4F61F0B6"/>
    <w:rsid w:val="4F6AA1A7"/>
    <w:rsid w:val="4F6B5B62"/>
    <w:rsid w:val="4F714BA9"/>
    <w:rsid w:val="4F7151E2"/>
    <w:rsid w:val="4F72396C"/>
    <w:rsid w:val="4F754EEC"/>
    <w:rsid w:val="4F769E9D"/>
    <w:rsid w:val="4F77B518"/>
    <w:rsid w:val="4F7A81D2"/>
    <w:rsid w:val="4F7B0F56"/>
    <w:rsid w:val="4F81D1D7"/>
    <w:rsid w:val="4F84EEF5"/>
    <w:rsid w:val="4F857921"/>
    <w:rsid w:val="4F89549B"/>
    <w:rsid w:val="4F8F85DD"/>
    <w:rsid w:val="4F928AE3"/>
    <w:rsid w:val="4F99B866"/>
    <w:rsid w:val="4F9BB9A1"/>
    <w:rsid w:val="4FA2CE99"/>
    <w:rsid w:val="4FA385C8"/>
    <w:rsid w:val="4FA522AD"/>
    <w:rsid w:val="4FA989A9"/>
    <w:rsid w:val="4FAAF33B"/>
    <w:rsid w:val="4FAFDF6E"/>
    <w:rsid w:val="4FBA90A4"/>
    <w:rsid w:val="4FBB356C"/>
    <w:rsid w:val="4FBFC812"/>
    <w:rsid w:val="4FC0E8E6"/>
    <w:rsid w:val="4FC1A7B2"/>
    <w:rsid w:val="4FC563A9"/>
    <w:rsid w:val="4FC5FB76"/>
    <w:rsid w:val="4FC792D3"/>
    <w:rsid w:val="4FCA0EBC"/>
    <w:rsid w:val="4FCA5467"/>
    <w:rsid w:val="4FD08833"/>
    <w:rsid w:val="4FD14326"/>
    <w:rsid w:val="4FD15EAD"/>
    <w:rsid w:val="4FD3955F"/>
    <w:rsid w:val="4FD62E03"/>
    <w:rsid w:val="4FD8205D"/>
    <w:rsid w:val="4FD9CFF9"/>
    <w:rsid w:val="4FDAC97F"/>
    <w:rsid w:val="4FDB836F"/>
    <w:rsid w:val="4FDC10C6"/>
    <w:rsid w:val="4FDF26F4"/>
    <w:rsid w:val="4FDFC755"/>
    <w:rsid w:val="4FE57068"/>
    <w:rsid w:val="4FE869D3"/>
    <w:rsid w:val="4FE9CA76"/>
    <w:rsid w:val="4FEF85F3"/>
    <w:rsid w:val="4FEFBC35"/>
    <w:rsid w:val="4FF8B638"/>
    <w:rsid w:val="4FFCB76C"/>
    <w:rsid w:val="50014878"/>
    <w:rsid w:val="50022DF9"/>
    <w:rsid w:val="5002A636"/>
    <w:rsid w:val="500EEC83"/>
    <w:rsid w:val="501040E8"/>
    <w:rsid w:val="5011FE50"/>
    <w:rsid w:val="50122168"/>
    <w:rsid w:val="5014776A"/>
    <w:rsid w:val="5019FF6A"/>
    <w:rsid w:val="501AE5F8"/>
    <w:rsid w:val="501F9B64"/>
    <w:rsid w:val="502338A8"/>
    <w:rsid w:val="50235DB2"/>
    <w:rsid w:val="5025625C"/>
    <w:rsid w:val="5028B8AF"/>
    <w:rsid w:val="502E14BA"/>
    <w:rsid w:val="502EE68B"/>
    <w:rsid w:val="502F054C"/>
    <w:rsid w:val="50305D8F"/>
    <w:rsid w:val="50325859"/>
    <w:rsid w:val="5033EBC3"/>
    <w:rsid w:val="503644DF"/>
    <w:rsid w:val="50371D08"/>
    <w:rsid w:val="50373F5E"/>
    <w:rsid w:val="50388265"/>
    <w:rsid w:val="5038E892"/>
    <w:rsid w:val="503A0E90"/>
    <w:rsid w:val="503E5117"/>
    <w:rsid w:val="503EA6E2"/>
    <w:rsid w:val="50404FEB"/>
    <w:rsid w:val="5040A0F4"/>
    <w:rsid w:val="50451731"/>
    <w:rsid w:val="504579BE"/>
    <w:rsid w:val="5046E054"/>
    <w:rsid w:val="504795B7"/>
    <w:rsid w:val="504B1A34"/>
    <w:rsid w:val="504B4CA4"/>
    <w:rsid w:val="504BB408"/>
    <w:rsid w:val="504BCD71"/>
    <w:rsid w:val="505BB52F"/>
    <w:rsid w:val="505D889D"/>
    <w:rsid w:val="5060D773"/>
    <w:rsid w:val="5061AA16"/>
    <w:rsid w:val="50647DAA"/>
    <w:rsid w:val="5065611F"/>
    <w:rsid w:val="5065FE05"/>
    <w:rsid w:val="5067B6F1"/>
    <w:rsid w:val="50692727"/>
    <w:rsid w:val="506DBCD7"/>
    <w:rsid w:val="506EAD80"/>
    <w:rsid w:val="50708453"/>
    <w:rsid w:val="5071C4F6"/>
    <w:rsid w:val="5071CF73"/>
    <w:rsid w:val="5073EC1E"/>
    <w:rsid w:val="507D517F"/>
    <w:rsid w:val="507DE285"/>
    <w:rsid w:val="507ED45F"/>
    <w:rsid w:val="507F43BB"/>
    <w:rsid w:val="50840F50"/>
    <w:rsid w:val="50850F2C"/>
    <w:rsid w:val="50858F4A"/>
    <w:rsid w:val="5085D397"/>
    <w:rsid w:val="5088DAD3"/>
    <w:rsid w:val="5089077A"/>
    <w:rsid w:val="508A5016"/>
    <w:rsid w:val="508EC9C8"/>
    <w:rsid w:val="50921CDA"/>
    <w:rsid w:val="50948F7A"/>
    <w:rsid w:val="5094DA78"/>
    <w:rsid w:val="5095906B"/>
    <w:rsid w:val="5095FFAA"/>
    <w:rsid w:val="509926C5"/>
    <w:rsid w:val="50996DB9"/>
    <w:rsid w:val="5099EDD5"/>
    <w:rsid w:val="509F480B"/>
    <w:rsid w:val="50A2051D"/>
    <w:rsid w:val="50A5FCD3"/>
    <w:rsid w:val="50A92029"/>
    <w:rsid w:val="50AB9CC5"/>
    <w:rsid w:val="50B02750"/>
    <w:rsid w:val="50B45C15"/>
    <w:rsid w:val="50BB00AA"/>
    <w:rsid w:val="50BE21B7"/>
    <w:rsid w:val="50BEB726"/>
    <w:rsid w:val="50C7A9C5"/>
    <w:rsid w:val="50C96A9C"/>
    <w:rsid w:val="50CCFA4E"/>
    <w:rsid w:val="50D113E7"/>
    <w:rsid w:val="50D7A740"/>
    <w:rsid w:val="50DA6EB7"/>
    <w:rsid w:val="50DAF9F3"/>
    <w:rsid w:val="50DCD14D"/>
    <w:rsid w:val="50DFE366"/>
    <w:rsid w:val="50E0FC8E"/>
    <w:rsid w:val="50E20981"/>
    <w:rsid w:val="50E495C2"/>
    <w:rsid w:val="50EE0A04"/>
    <w:rsid w:val="50EEDDB1"/>
    <w:rsid w:val="50EF5E93"/>
    <w:rsid w:val="50F0B5E1"/>
    <w:rsid w:val="50F1E723"/>
    <w:rsid w:val="50F47BD4"/>
    <w:rsid w:val="50FA0B76"/>
    <w:rsid w:val="50FA1751"/>
    <w:rsid w:val="50FB5961"/>
    <w:rsid w:val="50FF7A3F"/>
    <w:rsid w:val="510092E3"/>
    <w:rsid w:val="51019715"/>
    <w:rsid w:val="510224CF"/>
    <w:rsid w:val="510417B2"/>
    <w:rsid w:val="5104729E"/>
    <w:rsid w:val="510C4B38"/>
    <w:rsid w:val="510FB0CC"/>
    <w:rsid w:val="51113D86"/>
    <w:rsid w:val="5111927B"/>
    <w:rsid w:val="51132F31"/>
    <w:rsid w:val="5114B38A"/>
    <w:rsid w:val="511BA502"/>
    <w:rsid w:val="511C09E4"/>
    <w:rsid w:val="511CADB7"/>
    <w:rsid w:val="511D6276"/>
    <w:rsid w:val="51201F0C"/>
    <w:rsid w:val="512BA49A"/>
    <w:rsid w:val="5133900E"/>
    <w:rsid w:val="51348899"/>
    <w:rsid w:val="513636AD"/>
    <w:rsid w:val="513B049E"/>
    <w:rsid w:val="513C4D1C"/>
    <w:rsid w:val="5142D4FB"/>
    <w:rsid w:val="5143D370"/>
    <w:rsid w:val="5145F223"/>
    <w:rsid w:val="51481D44"/>
    <w:rsid w:val="5149A23E"/>
    <w:rsid w:val="5149CF02"/>
    <w:rsid w:val="514B00E0"/>
    <w:rsid w:val="514B668D"/>
    <w:rsid w:val="514D4175"/>
    <w:rsid w:val="51556691"/>
    <w:rsid w:val="51575CCD"/>
    <w:rsid w:val="51576AC1"/>
    <w:rsid w:val="51625A14"/>
    <w:rsid w:val="5163E0D9"/>
    <w:rsid w:val="5164796D"/>
    <w:rsid w:val="5164D749"/>
    <w:rsid w:val="516579CB"/>
    <w:rsid w:val="51685F3E"/>
    <w:rsid w:val="5169BCBC"/>
    <w:rsid w:val="516CAE51"/>
    <w:rsid w:val="516EEECC"/>
    <w:rsid w:val="51707CE0"/>
    <w:rsid w:val="517093AD"/>
    <w:rsid w:val="5171BF24"/>
    <w:rsid w:val="51769864"/>
    <w:rsid w:val="517C32A9"/>
    <w:rsid w:val="517D1D7C"/>
    <w:rsid w:val="517E6DD7"/>
    <w:rsid w:val="5187A210"/>
    <w:rsid w:val="51889A64"/>
    <w:rsid w:val="518F2AC5"/>
    <w:rsid w:val="519151F9"/>
    <w:rsid w:val="51937E63"/>
    <w:rsid w:val="5195FE89"/>
    <w:rsid w:val="51971807"/>
    <w:rsid w:val="51996E80"/>
    <w:rsid w:val="519BDAEE"/>
    <w:rsid w:val="51A05C14"/>
    <w:rsid w:val="51A34ABB"/>
    <w:rsid w:val="51A50DA0"/>
    <w:rsid w:val="51A5A598"/>
    <w:rsid w:val="51A7EB3E"/>
    <w:rsid w:val="51A9E379"/>
    <w:rsid w:val="51ACD354"/>
    <w:rsid w:val="51AE13A4"/>
    <w:rsid w:val="51B13C2C"/>
    <w:rsid w:val="51B89DEE"/>
    <w:rsid w:val="51BBE6A5"/>
    <w:rsid w:val="51BFB552"/>
    <w:rsid w:val="51C482D6"/>
    <w:rsid w:val="51C4CEAC"/>
    <w:rsid w:val="51CAA08A"/>
    <w:rsid w:val="51CFE110"/>
    <w:rsid w:val="51D11D10"/>
    <w:rsid w:val="51D1A15A"/>
    <w:rsid w:val="51D1E3DF"/>
    <w:rsid w:val="51D34F9F"/>
    <w:rsid w:val="51D4C83A"/>
    <w:rsid w:val="51D8F2DE"/>
    <w:rsid w:val="51D9689E"/>
    <w:rsid w:val="51E3019E"/>
    <w:rsid w:val="51E36CCE"/>
    <w:rsid w:val="51E3A043"/>
    <w:rsid w:val="51E3ABAF"/>
    <w:rsid w:val="51E6BC16"/>
    <w:rsid w:val="51E9344F"/>
    <w:rsid w:val="51EA94ED"/>
    <w:rsid w:val="51EF2484"/>
    <w:rsid w:val="51EF33AA"/>
    <w:rsid w:val="51F04D90"/>
    <w:rsid w:val="51F409F1"/>
    <w:rsid w:val="51F8CCAD"/>
    <w:rsid w:val="520AAE26"/>
    <w:rsid w:val="520ADDDD"/>
    <w:rsid w:val="520AE4E7"/>
    <w:rsid w:val="520D71D1"/>
    <w:rsid w:val="520DB160"/>
    <w:rsid w:val="5210B2B4"/>
    <w:rsid w:val="52115BCF"/>
    <w:rsid w:val="5217DCC2"/>
    <w:rsid w:val="5217DE20"/>
    <w:rsid w:val="521E4DBA"/>
    <w:rsid w:val="521E8571"/>
    <w:rsid w:val="522568AF"/>
    <w:rsid w:val="522A4F8C"/>
    <w:rsid w:val="522AD7FC"/>
    <w:rsid w:val="522B7D94"/>
    <w:rsid w:val="522C1E06"/>
    <w:rsid w:val="522D780C"/>
    <w:rsid w:val="522DD1E9"/>
    <w:rsid w:val="522F3091"/>
    <w:rsid w:val="522F88F8"/>
    <w:rsid w:val="5232624A"/>
    <w:rsid w:val="52326C4E"/>
    <w:rsid w:val="523C1F7A"/>
    <w:rsid w:val="523E1E96"/>
    <w:rsid w:val="523F5A1F"/>
    <w:rsid w:val="524174C6"/>
    <w:rsid w:val="52422D12"/>
    <w:rsid w:val="52423818"/>
    <w:rsid w:val="5247F401"/>
    <w:rsid w:val="524CCE5B"/>
    <w:rsid w:val="52573721"/>
    <w:rsid w:val="525ACE46"/>
    <w:rsid w:val="525BDF92"/>
    <w:rsid w:val="5261AF46"/>
    <w:rsid w:val="526309E7"/>
    <w:rsid w:val="5264B951"/>
    <w:rsid w:val="52665048"/>
    <w:rsid w:val="52699F58"/>
    <w:rsid w:val="526C7D22"/>
    <w:rsid w:val="526D73DD"/>
    <w:rsid w:val="5270DECB"/>
    <w:rsid w:val="5272ABA7"/>
    <w:rsid w:val="52769EA8"/>
    <w:rsid w:val="52774EA2"/>
    <w:rsid w:val="52776E48"/>
    <w:rsid w:val="527AA388"/>
    <w:rsid w:val="527DF7C0"/>
    <w:rsid w:val="52818AA5"/>
    <w:rsid w:val="52857BCD"/>
    <w:rsid w:val="528DCD94"/>
    <w:rsid w:val="52912D61"/>
    <w:rsid w:val="5294A940"/>
    <w:rsid w:val="529844BD"/>
    <w:rsid w:val="529AEA56"/>
    <w:rsid w:val="529C777C"/>
    <w:rsid w:val="52A34DAD"/>
    <w:rsid w:val="52A59429"/>
    <w:rsid w:val="52AF9C38"/>
    <w:rsid w:val="52B2267E"/>
    <w:rsid w:val="52B253B2"/>
    <w:rsid w:val="52B35219"/>
    <w:rsid w:val="52B38634"/>
    <w:rsid w:val="52C0042A"/>
    <w:rsid w:val="52C0D168"/>
    <w:rsid w:val="52C1D450"/>
    <w:rsid w:val="52C30336"/>
    <w:rsid w:val="52C44384"/>
    <w:rsid w:val="52C79E13"/>
    <w:rsid w:val="52C93928"/>
    <w:rsid w:val="52C9456D"/>
    <w:rsid w:val="52D1D52E"/>
    <w:rsid w:val="52D816E7"/>
    <w:rsid w:val="52DA0306"/>
    <w:rsid w:val="52DF5C8A"/>
    <w:rsid w:val="52ED72A4"/>
    <w:rsid w:val="52F0F7DD"/>
    <w:rsid w:val="52F44D7C"/>
    <w:rsid w:val="52F85336"/>
    <w:rsid w:val="52F923D8"/>
    <w:rsid w:val="52FAB823"/>
    <w:rsid w:val="5303F86A"/>
    <w:rsid w:val="530986EA"/>
    <w:rsid w:val="530A2701"/>
    <w:rsid w:val="530A895A"/>
    <w:rsid w:val="530C795A"/>
    <w:rsid w:val="530E4114"/>
    <w:rsid w:val="530FA21E"/>
    <w:rsid w:val="5311DBEB"/>
    <w:rsid w:val="5312A41B"/>
    <w:rsid w:val="531470D6"/>
    <w:rsid w:val="5314B4CC"/>
    <w:rsid w:val="53163A89"/>
    <w:rsid w:val="5316B99E"/>
    <w:rsid w:val="53204AB5"/>
    <w:rsid w:val="532F9C2E"/>
    <w:rsid w:val="53384507"/>
    <w:rsid w:val="533D319D"/>
    <w:rsid w:val="533EAC4A"/>
    <w:rsid w:val="5341887D"/>
    <w:rsid w:val="53483514"/>
    <w:rsid w:val="534A142F"/>
    <w:rsid w:val="535313C5"/>
    <w:rsid w:val="5353F145"/>
    <w:rsid w:val="5353F84C"/>
    <w:rsid w:val="53564148"/>
    <w:rsid w:val="535EF2A8"/>
    <w:rsid w:val="53621B79"/>
    <w:rsid w:val="536816B7"/>
    <w:rsid w:val="53688E08"/>
    <w:rsid w:val="536A0A78"/>
    <w:rsid w:val="536A4E10"/>
    <w:rsid w:val="536E989F"/>
    <w:rsid w:val="537023EB"/>
    <w:rsid w:val="5372A2A2"/>
    <w:rsid w:val="5375C27C"/>
    <w:rsid w:val="5377C41F"/>
    <w:rsid w:val="53799B44"/>
    <w:rsid w:val="537BF1A2"/>
    <w:rsid w:val="537CBB22"/>
    <w:rsid w:val="53880E19"/>
    <w:rsid w:val="53893071"/>
    <w:rsid w:val="538ABB50"/>
    <w:rsid w:val="538DDAFA"/>
    <w:rsid w:val="53904F72"/>
    <w:rsid w:val="539381F9"/>
    <w:rsid w:val="5396715B"/>
    <w:rsid w:val="53974E2B"/>
    <w:rsid w:val="539B471C"/>
    <w:rsid w:val="539C18C5"/>
    <w:rsid w:val="539D9323"/>
    <w:rsid w:val="539F06EB"/>
    <w:rsid w:val="539F75DF"/>
    <w:rsid w:val="53A00F04"/>
    <w:rsid w:val="53A44086"/>
    <w:rsid w:val="53A56A24"/>
    <w:rsid w:val="53A65E1D"/>
    <w:rsid w:val="53A79579"/>
    <w:rsid w:val="53AD37DD"/>
    <w:rsid w:val="53B53AEA"/>
    <w:rsid w:val="53B5CEB8"/>
    <w:rsid w:val="53B5CFB8"/>
    <w:rsid w:val="53BB74E3"/>
    <w:rsid w:val="53C26F44"/>
    <w:rsid w:val="53CADFE6"/>
    <w:rsid w:val="53CF162C"/>
    <w:rsid w:val="53D23F81"/>
    <w:rsid w:val="53D68BFE"/>
    <w:rsid w:val="53D6A1A2"/>
    <w:rsid w:val="53DDE334"/>
    <w:rsid w:val="53E8B22A"/>
    <w:rsid w:val="53E9581B"/>
    <w:rsid w:val="53EC1B09"/>
    <w:rsid w:val="53EEA26C"/>
    <w:rsid w:val="53F3A6F8"/>
    <w:rsid w:val="53F65390"/>
    <w:rsid w:val="53F668D6"/>
    <w:rsid w:val="540AA75C"/>
    <w:rsid w:val="540ABFB1"/>
    <w:rsid w:val="540E9407"/>
    <w:rsid w:val="540EABD0"/>
    <w:rsid w:val="540F81C1"/>
    <w:rsid w:val="5410855E"/>
    <w:rsid w:val="5410CE6A"/>
    <w:rsid w:val="5415E83E"/>
    <w:rsid w:val="5417BCFB"/>
    <w:rsid w:val="541B6E7E"/>
    <w:rsid w:val="541FE7C1"/>
    <w:rsid w:val="542531E1"/>
    <w:rsid w:val="5428BAE7"/>
    <w:rsid w:val="542F3299"/>
    <w:rsid w:val="5430AD1F"/>
    <w:rsid w:val="5433212B"/>
    <w:rsid w:val="543DD66E"/>
    <w:rsid w:val="5449A6A3"/>
    <w:rsid w:val="544A7EE1"/>
    <w:rsid w:val="544A9F67"/>
    <w:rsid w:val="5450E200"/>
    <w:rsid w:val="54565FEC"/>
    <w:rsid w:val="54598AFA"/>
    <w:rsid w:val="545CDC97"/>
    <w:rsid w:val="545D5EB0"/>
    <w:rsid w:val="545E2969"/>
    <w:rsid w:val="545E6EDF"/>
    <w:rsid w:val="5463166C"/>
    <w:rsid w:val="54671CDB"/>
    <w:rsid w:val="54706366"/>
    <w:rsid w:val="5474D8F2"/>
    <w:rsid w:val="547D1AD1"/>
    <w:rsid w:val="548089CD"/>
    <w:rsid w:val="5480B7F4"/>
    <w:rsid w:val="5482D0B7"/>
    <w:rsid w:val="5482FE2D"/>
    <w:rsid w:val="5483D450"/>
    <w:rsid w:val="5484E41A"/>
    <w:rsid w:val="54855606"/>
    <w:rsid w:val="54910BC5"/>
    <w:rsid w:val="5491ECE4"/>
    <w:rsid w:val="5497898D"/>
    <w:rsid w:val="549D9988"/>
    <w:rsid w:val="54A51CE8"/>
    <w:rsid w:val="54A550FD"/>
    <w:rsid w:val="54A9F9B0"/>
    <w:rsid w:val="54ACA206"/>
    <w:rsid w:val="54AD49F3"/>
    <w:rsid w:val="54ADEFCF"/>
    <w:rsid w:val="54B0A3A0"/>
    <w:rsid w:val="54B1415D"/>
    <w:rsid w:val="54B1C403"/>
    <w:rsid w:val="54B38914"/>
    <w:rsid w:val="54B4FB7D"/>
    <w:rsid w:val="54B5B09B"/>
    <w:rsid w:val="54B688CE"/>
    <w:rsid w:val="54B82A01"/>
    <w:rsid w:val="54B986E8"/>
    <w:rsid w:val="54BD4A6C"/>
    <w:rsid w:val="54BD9B20"/>
    <w:rsid w:val="54BFECDE"/>
    <w:rsid w:val="54C1AA06"/>
    <w:rsid w:val="54C1C36A"/>
    <w:rsid w:val="54C2983E"/>
    <w:rsid w:val="54C6949A"/>
    <w:rsid w:val="54C6CC00"/>
    <w:rsid w:val="54C9C9F6"/>
    <w:rsid w:val="54CAF3B4"/>
    <w:rsid w:val="54CFC3F7"/>
    <w:rsid w:val="54CFE81E"/>
    <w:rsid w:val="54D2A896"/>
    <w:rsid w:val="54D39D7F"/>
    <w:rsid w:val="54D452D6"/>
    <w:rsid w:val="54D94FB9"/>
    <w:rsid w:val="54DCA099"/>
    <w:rsid w:val="54DDBD1C"/>
    <w:rsid w:val="54DE727E"/>
    <w:rsid w:val="54DFE081"/>
    <w:rsid w:val="54E3E0CA"/>
    <w:rsid w:val="54E9E552"/>
    <w:rsid w:val="54EC99DA"/>
    <w:rsid w:val="54EDAA82"/>
    <w:rsid w:val="54F1119F"/>
    <w:rsid w:val="54F13818"/>
    <w:rsid w:val="54F90582"/>
    <w:rsid w:val="54FE62FC"/>
    <w:rsid w:val="54FEA7C9"/>
    <w:rsid w:val="5500EC0A"/>
    <w:rsid w:val="5501FD0E"/>
    <w:rsid w:val="5509D788"/>
    <w:rsid w:val="550BBD1B"/>
    <w:rsid w:val="55178807"/>
    <w:rsid w:val="5517B8DF"/>
    <w:rsid w:val="551821B8"/>
    <w:rsid w:val="5519D513"/>
    <w:rsid w:val="551DEA42"/>
    <w:rsid w:val="551E9A41"/>
    <w:rsid w:val="55224C1F"/>
    <w:rsid w:val="55238DE7"/>
    <w:rsid w:val="55256589"/>
    <w:rsid w:val="55287BE1"/>
    <w:rsid w:val="552A0F7C"/>
    <w:rsid w:val="5533D645"/>
    <w:rsid w:val="55354B2D"/>
    <w:rsid w:val="55379833"/>
    <w:rsid w:val="553E00AD"/>
    <w:rsid w:val="5542AEA1"/>
    <w:rsid w:val="5549CAB5"/>
    <w:rsid w:val="554A6ECC"/>
    <w:rsid w:val="554D9B1A"/>
    <w:rsid w:val="554DDD67"/>
    <w:rsid w:val="5551E70A"/>
    <w:rsid w:val="55530C3A"/>
    <w:rsid w:val="555453A4"/>
    <w:rsid w:val="5555D4AA"/>
    <w:rsid w:val="5556DC9E"/>
    <w:rsid w:val="55579C2B"/>
    <w:rsid w:val="555ACDDB"/>
    <w:rsid w:val="5560CE4F"/>
    <w:rsid w:val="55620151"/>
    <w:rsid w:val="556CC5AA"/>
    <w:rsid w:val="5574725A"/>
    <w:rsid w:val="55768739"/>
    <w:rsid w:val="5577B31D"/>
    <w:rsid w:val="557B7C9C"/>
    <w:rsid w:val="557C90D3"/>
    <w:rsid w:val="557E6D29"/>
    <w:rsid w:val="557F5AC8"/>
    <w:rsid w:val="5581D307"/>
    <w:rsid w:val="55821A90"/>
    <w:rsid w:val="5582BEA6"/>
    <w:rsid w:val="5583E289"/>
    <w:rsid w:val="55868342"/>
    <w:rsid w:val="558C3FB8"/>
    <w:rsid w:val="558E054D"/>
    <w:rsid w:val="558F1CC0"/>
    <w:rsid w:val="55908589"/>
    <w:rsid w:val="559149FD"/>
    <w:rsid w:val="55967CDD"/>
    <w:rsid w:val="55999C32"/>
    <w:rsid w:val="559D8DEB"/>
    <w:rsid w:val="55A378BC"/>
    <w:rsid w:val="55A3AFD2"/>
    <w:rsid w:val="55AE4236"/>
    <w:rsid w:val="55B130C1"/>
    <w:rsid w:val="55BA7CAD"/>
    <w:rsid w:val="55BA7CBD"/>
    <w:rsid w:val="55BB4F54"/>
    <w:rsid w:val="55BC164F"/>
    <w:rsid w:val="55C9243A"/>
    <w:rsid w:val="55C94F27"/>
    <w:rsid w:val="55CA631F"/>
    <w:rsid w:val="55CE479D"/>
    <w:rsid w:val="55D3D4E5"/>
    <w:rsid w:val="55D7E218"/>
    <w:rsid w:val="55D84C9E"/>
    <w:rsid w:val="55DA20E7"/>
    <w:rsid w:val="55DDD731"/>
    <w:rsid w:val="55E08C45"/>
    <w:rsid w:val="55E28A6C"/>
    <w:rsid w:val="55E28B07"/>
    <w:rsid w:val="55E5905C"/>
    <w:rsid w:val="55E88970"/>
    <w:rsid w:val="55E94D07"/>
    <w:rsid w:val="55EC18EF"/>
    <w:rsid w:val="55F18E42"/>
    <w:rsid w:val="55F1C3DE"/>
    <w:rsid w:val="55F3021C"/>
    <w:rsid w:val="55F44685"/>
    <w:rsid w:val="55F59FCE"/>
    <w:rsid w:val="55F6428D"/>
    <w:rsid w:val="55FBCEC2"/>
    <w:rsid w:val="55FC377E"/>
    <w:rsid w:val="55FCE42C"/>
    <w:rsid w:val="5601B466"/>
    <w:rsid w:val="560301D1"/>
    <w:rsid w:val="56030493"/>
    <w:rsid w:val="560495B4"/>
    <w:rsid w:val="5606C402"/>
    <w:rsid w:val="5606CD33"/>
    <w:rsid w:val="56083938"/>
    <w:rsid w:val="5608BC65"/>
    <w:rsid w:val="560A4859"/>
    <w:rsid w:val="560C194C"/>
    <w:rsid w:val="560E23BD"/>
    <w:rsid w:val="56114EF4"/>
    <w:rsid w:val="5611B08B"/>
    <w:rsid w:val="5616CC99"/>
    <w:rsid w:val="56192819"/>
    <w:rsid w:val="561C7A27"/>
    <w:rsid w:val="56266408"/>
    <w:rsid w:val="562694F0"/>
    <w:rsid w:val="5628BCEF"/>
    <w:rsid w:val="562DCC68"/>
    <w:rsid w:val="56353CFA"/>
    <w:rsid w:val="5636CF11"/>
    <w:rsid w:val="563C651D"/>
    <w:rsid w:val="564116D8"/>
    <w:rsid w:val="56427E94"/>
    <w:rsid w:val="564FB320"/>
    <w:rsid w:val="5653C119"/>
    <w:rsid w:val="565A04AA"/>
    <w:rsid w:val="565B1BE7"/>
    <w:rsid w:val="5661364D"/>
    <w:rsid w:val="5662AC03"/>
    <w:rsid w:val="5664DEC8"/>
    <w:rsid w:val="56687A61"/>
    <w:rsid w:val="56759DEB"/>
    <w:rsid w:val="56764452"/>
    <w:rsid w:val="56776F4C"/>
    <w:rsid w:val="5677A78C"/>
    <w:rsid w:val="56787973"/>
    <w:rsid w:val="567AEF68"/>
    <w:rsid w:val="567B4E0A"/>
    <w:rsid w:val="567E836D"/>
    <w:rsid w:val="567E8892"/>
    <w:rsid w:val="567FD487"/>
    <w:rsid w:val="568093DE"/>
    <w:rsid w:val="56863D46"/>
    <w:rsid w:val="56895257"/>
    <w:rsid w:val="569170D5"/>
    <w:rsid w:val="5691F40A"/>
    <w:rsid w:val="56921D3B"/>
    <w:rsid w:val="5694F39B"/>
    <w:rsid w:val="56956937"/>
    <w:rsid w:val="5695B07D"/>
    <w:rsid w:val="56993A18"/>
    <w:rsid w:val="56A16C3F"/>
    <w:rsid w:val="56A25D71"/>
    <w:rsid w:val="56A4BA65"/>
    <w:rsid w:val="56A73C05"/>
    <w:rsid w:val="56AA2548"/>
    <w:rsid w:val="56AE00D3"/>
    <w:rsid w:val="56B3008F"/>
    <w:rsid w:val="56B342FE"/>
    <w:rsid w:val="56B4F67F"/>
    <w:rsid w:val="56B8F5EA"/>
    <w:rsid w:val="56BF6E3F"/>
    <w:rsid w:val="56C09883"/>
    <w:rsid w:val="56C12D9D"/>
    <w:rsid w:val="56C452F0"/>
    <w:rsid w:val="56C936A7"/>
    <w:rsid w:val="56CB5B65"/>
    <w:rsid w:val="56D4E113"/>
    <w:rsid w:val="56D8EE98"/>
    <w:rsid w:val="56E7BB26"/>
    <w:rsid w:val="56EC1FC4"/>
    <w:rsid w:val="56F1D679"/>
    <w:rsid w:val="56F378BB"/>
    <w:rsid w:val="56F5D926"/>
    <w:rsid w:val="56F95D83"/>
    <w:rsid w:val="56FA405B"/>
    <w:rsid w:val="57008993"/>
    <w:rsid w:val="5705D14A"/>
    <w:rsid w:val="570B099D"/>
    <w:rsid w:val="570C5341"/>
    <w:rsid w:val="570C8865"/>
    <w:rsid w:val="570E8C05"/>
    <w:rsid w:val="570ED5BF"/>
    <w:rsid w:val="57100306"/>
    <w:rsid w:val="57120CE5"/>
    <w:rsid w:val="57132D26"/>
    <w:rsid w:val="571492AA"/>
    <w:rsid w:val="57152E5A"/>
    <w:rsid w:val="571BBEBE"/>
    <w:rsid w:val="572179FF"/>
    <w:rsid w:val="57286349"/>
    <w:rsid w:val="572DF0D6"/>
    <w:rsid w:val="57316F7D"/>
    <w:rsid w:val="573392DC"/>
    <w:rsid w:val="573CCF79"/>
    <w:rsid w:val="573F84F2"/>
    <w:rsid w:val="5741BF7E"/>
    <w:rsid w:val="574AB42B"/>
    <w:rsid w:val="574C2727"/>
    <w:rsid w:val="574DD642"/>
    <w:rsid w:val="574EB105"/>
    <w:rsid w:val="575160E8"/>
    <w:rsid w:val="5751A751"/>
    <w:rsid w:val="5751AE12"/>
    <w:rsid w:val="5758F59C"/>
    <w:rsid w:val="575A0776"/>
    <w:rsid w:val="575A8AD3"/>
    <w:rsid w:val="575B319B"/>
    <w:rsid w:val="575BF17E"/>
    <w:rsid w:val="5763A0DF"/>
    <w:rsid w:val="576422F4"/>
    <w:rsid w:val="57659FCF"/>
    <w:rsid w:val="5766DD41"/>
    <w:rsid w:val="57673C1E"/>
    <w:rsid w:val="576EDF71"/>
    <w:rsid w:val="5770DCAB"/>
    <w:rsid w:val="577239B3"/>
    <w:rsid w:val="5772DF41"/>
    <w:rsid w:val="5775ADE1"/>
    <w:rsid w:val="57792FD9"/>
    <w:rsid w:val="577930EC"/>
    <w:rsid w:val="577A1812"/>
    <w:rsid w:val="577B6D70"/>
    <w:rsid w:val="577E90C5"/>
    <w:rsid w:val="5785FE7B"/>
    <w:rsid w:val="5786487B"/>
    <w:rsid w:val="578A7E97"/>
    <w:rsid w:val="578F51FD"/>
    <w:rsid w:val="57916FFB"/>
    <w:rsid w:val="5792A00F"/>
    <w:rsid w:val="57954FC6"/>
    <w:rsid w:val="579632F9"/>
    <w:rsid w:val="579E7628"/>
    <w:rsid w:val="57A07253"/>
    <w:rsid w:val="57A9018E"/>
    <w:rsid w:val="57AE1188"/>
    <w:rsid w:val="57B75AD3"/>
    <w:rsid w:val="57B89D54"/>
    <w:rsid w:val="57BD2B94"/>
    <w:rsid w:val="57BD423D"/>
    <w:rsid w:val="57C41B90"/>
    <w:rsid w:val="57C86FC4"/>
    <w:rsid w:val="57CCFFE5"/>
    <w:rsid w:val="57CDF757"/>
    <w:rsid w:val="57CEA30D"/>
    <w:rsid w:val="57CEB9A3"/>
    <w:rsid w:val="57CFB1B6"/>
    <w:rsid w:val="57D04252"/>
    <w:rsid w:val="57D1849C"/>
    <w:rsid w:val="57D3F771"/>
    <w:rsid w:val="57D4CD7F"/>
    <w:rsid w:val="57D5C18D"/>
    <w:rsid w:val="57E0D6B2"/>
    <w:rsid w:val="57E0EAB4"/>
    <w:rsid w:val="57E3BC51"/>
    <w:rsid w:val="57E5C752"/>
    <w:rsid w:val="57EB9591"/>
    <w:rsid w:val="57EC9A6F"/>
    <w:rsid w:val="57EDCCC3"/>
    <w:rsid w:val="57EE0745"/>
    <w:rsid w:val="57F16659"/>
    <w:rsid w:val="57F580EF"/>
    <w:rsid w:val="57F8BD25"/>
    <w:rsid w:val="57F9F6ED"/>
    <w:rsid w:val="57FA3F53"/>
    <w:rsid w:val="57FED73D"/>
    <w:rsid w:val="58006F01"/>
    <w:rsid w:val="58035DB7"/>
    <w:rsid w:val="580391ED"/>
    <w:rsid w:val="5804C03E"/>
    <w:rsid w:val="58074C2C"/>
    <w:rsid w:val="5809AC50"/>
    <w:rsid w:val="580ECA83"/>
    <w:rsid w:val="580FBA67"/>
    <w:rsid w:val="58103A06"/>
    <w:rsid w:val="581798A7"/>
    <w:rsid w:val="58181A51"/>
    <w:rsid w:val="581967E7"/>
    <w:rsid w:val="581AFD2B"/>
    <w:rsid w:val="581C3AFC"/>
    <w:rsid w:val="581EA03C"/>
    <w:rsid w:val="5822B0AD"/>
    <w:rsid w:val="58280DBA"/>
    <w:rsid w:val="58283706"/>
    <w:rsid w:val="58296263"/>
    <w:rsid w:val="582966FD"/>
    <w:rsid w:val="582AF46B"/>
    <w:rsid w:val="583283F3"/>
    <w:rsid w:val="583499D6"/>
    <w:rsid w:val="5834FB98"/>
    <w:rsid w:val="58374B90"/>
    <w:rsid w:val="583B46A7"/>
    <w:rsid w:val="5841AA74"/>
    <w:rsid w:val="5844CCDA"/>
    <w:rsid w:val="584BDFE4"/>
    <w:rsid w:val="584C70DB"/>
    <w:rsid w:val="584F6A34"/>
    <w:rsid w:val="5850FB21"/>
    <w:rsid w:val="58522A08"/>
    <w:rsid w:val="585916D6"/>
    <w:rsid w:val="5859781C"/>
    <w:rsid w:val="585A15AD"/>
    <w:rsid w:val="585CDA9E"/>
    <w:rsid w:val="585E6EAB"/>
    <w:rsid w:val="58604962"/>
    <w:rsid w:val="5862ADF8"/>
    <w:rsid w:val="58636C0E"/>
    <w:rsid w:val="58682C14"/>
    <w:rsid w:val="58699AB3"/>
    <w:rsid w:val="586A5001"/>
    <w:rsid w:val="586FE1BE"/>
    <w:rsid w:val="58747CE4"/>
    <w:rsid w:val="5874E24E"/>
    <w:rsid w:val="58755569"/>
    <w:rsid w:val="5888097C"/>
    <w:rsid w:val="588823BA"/>
    <w:rsid w:val="588827DC"/>
    <w:rsid w:val="588A2D84"/>
    <w:rsid w:val="588AB8AC"/>
    <w:rsid w:val="588AFDB9"/>
    <w:rsid w:val="588C3932"/>
    <w:rsid w:val="589181C9"/>
    <w:rsid w:val="589292F9"/>
    <w:rsid w:val="58948DA6"/>
    <w:rsid w:val="5897546F"/>
    <w:rsid w:val="589E0518"/>
    <w:rsid w:val="589FD2D2"/>
    <w:rsid w:val="58A0D29F"/>
    <w:rsid w:val="58A33094"/>
    <w:rsid w:val="58A464CA"/>
    <w:rsid w:val="58A9B0A6"/>
    <w:rsid w:val="58AE3443"/>
    <w:rsid w:val="58AE4149"/>
    <w:rsid w:val="58B0B245"/>
    <w:rsid w:val="58B0C114"/>
    <w:rsid w:val="58B10EEA"/>
    <w:rsid w:val="58B539B6"/>
    <w:rsid w:val="58B72C20"/>
    <w:rsid w:val="58BCB4AD"/>
    <w:rsid w:val="58C0C3B4"/>
    <w:rsid w:val="58C3EE5B"/>
    <w:rsid w:val="58C54887"/>
    <w:rsid w:val="58C6B67E"/>
    <w:rsid w:val="58CAED41"/>
    <w:rsid w:val="58CBE77E"/>
    <w:rsid w:val="58CD4CFC"/>
    <w:rsid w:val="58CE17A7"/>
    <w:rsid w:val="58D3EA61"/>
    <w:rsid w:val="58D63FF8"/>
    <w:rsid w:val="58E011BD"/>
    <w:rsid w:val="58E0918E"/>
    <w:rsid w:val="58E23CA2"/>
    <w:rsid w:val="58E2E53B"/>
    <w:rsid w:val="58EB5093"/>
    <w:rsid w:val="58EBD856"/>
    <w:rsid w:val="58F1C801"/>
    <w:rsid w:val="58F48827"/>
    <w:rsid w:val="58F824A0"/>
    <w:rsid w:val="58F8D039"/>
    <w:rsid w:val="58F90F08"/>
    <w:rsid w:val="58FDE804"/>
    <w:rsid w:val="58FDEB0D"/>
    <w:rsid w:val="58FF5495"/>
    <w:rsid w:val="58FFF355"/>
    <w:rsid w:val="5902D173"/>
    <w:rsid w:val="5905E84B"/>
    <w:rsid w:val="590B8909"/>
    <w:rsid w:val="590C68CC"/>
    <w:rsid w:val="590CB438"/>
    <w:rsid w:val="590DC13E"/>
    <w:rsid w:val="590E04D7"/>
    <w:rsid w:val="59183F1D"/>
    <w:rsid w:val="591B37E1"/>
    <w:rsid w:val="591D311E"/>
    <w:rsid w:val="591E2BFE"/>
    <w:rsid w:val="591E4E65"/>
    <w:rsid w:val="591EAD9D"/>
    <w:rsid w:val="5923EA8F"/>
    <w:rsid w:val="5924D1E0"/>
    <w:rsid w:val="5925A289"/>
    <w:rsid w:val="5929613E"/>
    <w:rsid w:val="5929CA05"/>
    <w:rsid w:val="592DC002"/>
    <w:rsid w:val="592F87BB"/>
    <w:rsid w:val="59309FA3"/>
    <w:rsid w:val="59312E9E"/>
    <w:rsid w:val="5931ABF7"/>
    <w:rsid w:val="59336DAC"/>
    <w:rsid w:val="593907C0"/>
    <w:rsid w:val="593BD824"/>
    <w:rsid w:val="593CBAB9"/>
    <w:rsid w:val="593DBFAE"/>
    <w:rsid w:val="5941638A"/>
    <w:rsid w:val="59428A94"/>
    <w:rsid w:val="5942E761"/>
    <w:rsid w:val="5942FE03"/>
    <w:rsid w:val="59431C1E"/>
    <w:rsid w:val="5949BA80"/>
    <w:rsid w:val="594F9C53"/>
    <w:rsid w:val="59574EC8"/>
    <w:rsid w:val="59597E21"/>
    <w:rsid w:val="595A052A"/>
    <w:rsid w:val="595D96D6"/>
    <w:rsid w:val="5961BD5C"/>
    <w:rsid w:val="5965F13A"/>
    <w:rsid w:val="5966E18F"/>
    <w:rsid w:val="59687D73"/>
    <w:rsid w:val="596B76D3"/>
    <w:rsid w:val="596DEDEB"/>
    <w:rsid w:val="5970982C"/>
    <w:rsid w:val="597405DF"/>
    <w:rsid w:val="597599A1"/>
    <w:rsid w:val="5976ECE2"/>
    <w:rsid w:val="5979AF8E"/>
    <w:rsid w:val="5979D6FD"/>
    <w:rsid w:val="597E51C9"/>
    <w:rsid w:val="5981B6E3"/>
    <w:rsid w:val="59883C2C"/>
    <w:rsid w:val="598AE1F0"/>
    <w:rsid w:val="598CCED3"/>
    <w:rsid w:val="598EE035"/>
    <w:rsid w:val="5997AE2E"/>
    <w:rsid w:val="599962A3"/>
    <w:rsid w:val="599FA29B"/>
    <w:rsid w:val="59A0E8EE"/>
    <w:rsid w:val="59A22F46"/>
    <w:rsid w:val="59A40ABA"/>
    <w:rsid w:val="59A498D8"/>
    <w:rsid w:val="59A8AA62"/>
    <w:rsid w:val="59AA8778"/>
    <w:rsid w:val="59B0A2ED"/>
    <w:rsid w:val="59B2B851"/>
    <w:rsid w:val="59B6D5A9"/>
    <w:rsid w:val="59B995D2"/>
    <w:rsid w:val="59BADC59"/>
    <w:rsid w:val="59BCF87B"/>
    <w:rsid w:val="59C08DFB"/>
    <w:rsid w:val="59C38595"/>
    <w:rsid w:val="59C4ACBB"/>
    <w:rsid w:val="59C7371C"/>
    <w:rsid w:val="59C8A881"/>
    <w:rsid w:val="59D1C7DF"/>
    <w:rsid w:val="59D4C3DE"/>
    <w:rsid w:val="59D6FB6E"/>
    <w:rsid w:val="59DC2A9A"/>
    <w:rsid w:val="59DF00C8"/>
    <w:rsid w:val="59DF6196"/>
    <w:rsid w:val="59E10F24"/>
    <w:rsid w:val="59E1A491"/>
    <w:rsid w:val="59E2E031"/>
    <w:rsid w:val="59E47838"/>
    <w:rsid w:val="59E692F6"/>
    <w:rsid w:val="59E73055"/>
    <w:rsid w:val="59E8267B"/>
    <w:rsid w:val="59EA7C12"/>
    <w:rsid w:val="59F808A3"/>
    <w:rsid w:val="59FC886E"/>
    <w:rsid w:val="59FEC225"/>
    <w:rsid w:val="59FF14FF"/>
    <w:rsid w:val="5A054507"/>
    <w:rsid w:val="5A07A6B5"/>
    <w:rsid w:val="5A07FB68"/>
    <w:rsid w:val="5A0FBFAC"/>
    <w:rsid w:val="5A10373B"/>
    <w:rsid w:val="5A12327F"/>
    <w:rsid w:val="5A141B56"/>
    <w:rsid w:val="5A183D5C"/>
    <w:rsid w:val="5A1F2BC6"/>
    <w:rsid w:val="5A2BA19D"/>
    <w:rsid w:val="5A2CBC86"/>
    <w:rsid w:val="5A2F06A7"/>
    <w:rsid w:val="5A314F0B"/>
    <w:rsid w:val="5A359365"/>
    <w:rsid w:val="5A3691D8"/>
    <w:rsid w:val="5A3D0E25"/>
    <w:rsid w:val="5A3DE2A0"/>
    <w:rsid w:val="5A3F4922"/>
    <w:rsid w:val="5A3FB507"/>
    <w:rsid w:val="5A42A5ED"/>
    <w:rsid w:val="5A42D5E6"/>
    <w:rsid w:val="5A43BE2C"/>
    <w:rsid w:val="5A44D87D"/>
    <w:rsid w:val="5A471910"/>
    <w:rsid w:val="5A47D6ED"/>
    <w:rsid w:val="5A480F5A"/>
    <w:rsid w:val="5A48F36C"/>
    <w:rsid w:val="5A502DE4"/>
    <w:rsid w:val="5A50E3C2"/>
    <w:rsid w:val="5A5236FB"/>
    <w:rsid w:val="5A561F3D"/>
    <w:rsid w:val="5A5FF229"/>
    <w:rsid w:val="5A61575D"/>
    <w:rsid w:val="5A650D65"/>
    <w:rsid w:val="5A6910EE"/>
    <w:rsid w:val="5A6B789C"/>
    <w:rsid w:val="5A72C917"/>
    <w:rsid w:val="5A78E7CC"/>
    <w:rsid w:val="5A7CDF5F"/>
    <w:rsid w:val="5A7D40E6"/>
    <w:rsid w:val="5A8518C3"/>
    <w:rsid w:val="5A8A5959"/>
    <w:rsid w:val="5A8B0E1E"/>
    <w:rsid w:val="5A8D8A8E"/>
    <w:rsid w:val="5A90EC17"/>
    <w:rsid w:val="5A9219D1"/>
    <w:rsid w:val="5A95E924"/>
    <w:rsid w:val="5A96E8CC"/>
    <w:rsid w:val="5A9D64E2"/>
    <w:rsid w:val="5A9D7B68"/>
    <w:rsid w:val="5A9E5DCE"/>
    <w:rsid w:val="5AA03A02"/>
    <w:rsid w:val="5AA1C4F0"/>
    <w:rsid w:val="5AA472AC"/>
    <w:rsid w:val="5AAE2286"/>
    <w:rsid w:val="5AAF8E9E"/>
    <w:rsid w:val="5ABB0CC3"/>
    <w:rsid w:val="5ABE5FB1"/>
    <w:rsid w:val="5ABF244A"/>
    <w:rsid w:val="5AC78760"/>
    <w:rsid w:val="5AC8835F"/>
    <w:rsid w:val="5ACC73AD"/>
    <w:rsid w:val="5ACCC855"/>
    <w:rsid w:val="5ACD7B57"/>
    <w:rsid w:val="5AD4DB48"/>
    <w:rsid w:val="5AD53C20"/>
    <w:rsid w:val="5ADA26E7"/>
    <w:rsid w:val="5ADE946C"/>
    <w:rsid w:val="5ADF1681"/>
    <w:rsid w:val="5ADF51E9"/>
    <w:rsid w:val="5AE122CA"/>
    <w:rsid w:val="5AE2EEF7"/>
    <w:rsid w:val="5AE6FF78"/>
    <w:rsid w:val="5AEA95D1"/>
    <w:rsid w:val="5AEB2F0D"/>
    <w:rsid w:val="5AF6CC9D"/>
    <w:rsid w:val="5AF8BAD2"/>
    <w:rsid w:val="5AFC1A68"/>
    <w:rsid w:val="5AFF3CCC"/>
    <w:rsid w:val="5B0470E1"/>
    <w:rsid w:val="5B0A5A2E"/>
    <w:rsid w:val="5B110025"/>
    <w:rsid w:val="5B12DE11"/>
    <w:rsid w:val="5B18FEC0"/>
    <w:rsid w:val="5B1D0812"/>
    <w:rsid w:val="5B1D6EFE"/>
    <w:rsid w:val="5B1EAA29"/>
    <w:rsid w:val="5B23DA39"/>
    <w:rsid w:val="5B269B47"/>
    <w:rsid w:val="5B280612"/>
    <w:rsid w:val="5B281EBF"/>
    <w:rsid w:val="5B302CF2"/>
    <w:rsid w:val="5B3477EF"/>
    <w:rsid w:val="5B385C18"/>
    <w:rsid w:val="5B386088"/>
    <w:rsid w:val="5B3A2749"/>
    <w:rsid w:val="5B3C9375"/>
    <w:rsid w:val="5B3CCF81"/>
    <w:rsid w:val="5B3CF95F"/>
    <w:rsid w:val="5B3E7382"/>
    <w:rsid w:val="5B3F111D"/>
    <w:rsid w:val="5B40A6FE"/>
    <w:rsid w:val="5B421F3C"/>
    <w:rsid w:val="5B4490E7"/>
    <w:rsid w:val="5B44E0A0"/>
    <w:rsid w:val="5B46F36C"/>
    <w:rsid w:val="5B4C604A"/>
    <w:rsid w:val="5B4C734E"/>
    <w:rsid w:val="5B4CCE26"/>
    <w:rsid w:val="5B4E3636"/>
    <w:rsid w:val="5B4FFB2C"/>
    <w:rsid w:val="5B53C726"/>
    <w:rsid w:val="5B54C518"/>
    <w:rsid w:val="5B550EFA"/>
    <w:rsid w:val="5B592A7A"/>
    <w:rsid w:val="5B5A25E4"/>
    <w:rsid w:val="5B622506"/>
    <w:rsid w:val="5B635D69"/>
    <w:rsid w:val="5B67FEAF"/>
    <w:rsid w:val="5B6855A7"/>
    <w:rsid w:val="5B68F330"/>
    <w:rsid w:val="5B693066"/>
    <w:rsid w:val="5B696315"/>
    <w:rsid w:val="5B6A43DB"/>
    <w:rsid w:val="5B6B96B6"/>
    <w:rsid w:val="5B702D35"/>
    <w:rsid w:val="5B729595"/>
    <w:rsid w:val="5B732110"/>
    <w:rsid w:val="5B7C38E2"/>
    <w:rsid w:val="5B7C787F"/>
    <w:rsid w:val="5B8368CD"/>
    <w:rsid w:val="5B847685"/>
    <w:rsid w:val="5B859A6A"/>
    <w:rsid w:val="5B860A99"/>
    <w:rsid w:val="5B880F5F"/>
    <w:rsid w:val="5B89D0CD"/>
    <w:rsid w:val="5B8AF110"/>
    <w:rsid w:val="5B8C2DFF"/>
    <w:rsid w:val="5B8CA498"/>
    <w:rsid w:val="5B8CDDF1"/>
    <w:rsid w:val="5B8DFD10"/>
    <w:rsid w:val="5B8E80FD"/>
    <w:rsid w:val="5B8F7ECD"/>
    <w:rsid w:val="5B941CE6"/>
    <w:rsid w:val="5B98D083"/>
    <w:rsid w:val="5B996BD0"/>
    <w:rsid w:val="5B997278"/>
    <w:rsid w:val="5B9CAFF7"/>
    <w:rsid w:val="5B9EAA3E"/>
    <w:rsid w:val="5BA0B8D9"/>
    <w:rsid w:val="5BA18D25"/>
    <w:rsid w:val="5BA1929D"/>
    <w:rsid w:val="5BA9590A"/>
    <w:rsid w:val="5BAB4D57"/>
    <w:rsid w:val="5BB113F6"/>
    <w:rsid w:val="5BB1EFF9"/>
    <w:rsid w:val="5BB56C6D"/>
    <w:rsid w:val="5BB5FB20"/>
    <w:rsid w:val="5BB6D1D8"/>
    <w:rsid w:val="5BBCC175"/>
    <w:rsid w:val="5BBFB34B"/>
    <w:rsid w:val="5BC354C2"/>
    <w:rsid w:val="5BC5E734"/>
    <w:rsid w:val="5BC7A050"/>
    <w:rsid w:val="5BC93DA2"/>
    <w:rsid w:val="5BCA4AAD"/>
    <w:rsid w:val="5BCAB74E"/>
    <w:rsid w:val="5BCAC11E"/>
    <w:rsid w:val="5BCDFDFA"/>
    <w:rsid w:val="5BCFF92A"/>
    <w:rsid w:val="5BD02B67"/>
    <w:rsid w:val="5BD09D0D"/>
    <w:rsid w:val="5BD27457"/>
    <w:rsid w:val="5BD3AC51"/>
    <w:rsid w:val="5BD68C07"/>
    <w:rsid w:val="5BD72B03"/>
    <w:rsid w:val="5BD79D12"/>
    <w:rsid w:val="5BD890FA"/>
    <w:rsid w:val="5BD9BBD3"/>
    <w:rsid w:val="5BE96E05"/>
    <w:rsid w:val="5BE9DC3C"/>
    <w:rsid w:val="5BEBE390"/>
    <w:rsid w:val="5BEDAE02"/>
    <w:rsid w:val="5BEF2C0B"/>
    <w:rsid w:val="5BF142F2"/>
    <w:rsid w:val="5BF60DB9"/>
    <w:rsid w:val="5BFA4412"/>
    <w:rsid w:val="5C03B334"/>
    <w:rsid w:val="5C0A4252"/>
    <w:rsid w:val="5C0A5C6C"/>
    <w:rsid w:val="5C0CAFCD"/>
    <w:rsid w:val="5C0CD789"/>
    <w:rsid w:val="5C128660"/>
    <w:rsid w:val="5C12BA40"/>
    <w:rsid w:val="5C14832D"/>
    <w:rsid w:val="5C1A0086"/>
    <w:rsid w:val="5C1B2E79"/>
    <w:rsid w:val="5C1B7C28"/>
    <w:rsid w:val="5C1B84F2"/>
    <w:rsid w:val="5C219FC2"/>
    <w:rsid w:val="5C2467D6"/>
    <w:rsid w:val="5C26043E"/>
    <w:rsid w:val="5C2A341B"/>
    <w:rsid w:val="5C2A9713"/>
    <w:rsid w:val="5C2B54F0"/>
    <w:rsid w:val="5C2C7F15"/>
    <w:rsid w:val="5C2CF862"/>
    <w:rsid w:val="5C30C1F6"/>
    <w:rsid w:val="5C3587DF"/>
    <w:rsid w:val="5C35D0EF"/>
    <w:rsid w:val="5C36707F"/>
    <w:rsid w:val="5C36A89B"/>
    <w:rsid w:val="5C3F33C9"/>
    <w:rsid w:val="5C40F208"/>
    <w:rsid w:val="5C42ACE9"/>
    <w:rsid w:val="5C42C8CC"/>
    <w:rsid w:val="5C468E73"/>
    <w:rsid w:val="5C4B2339"/>
    <w:rsid w:val="5C4B7429"/>
    <w:rsid w:val="5C4CB73D"/>
    <w:rsid w:val="5C510647"/>
    <w:rsid w:val="5C522845"/>
    <w:rsid w:val="5C54089B"/>
    <w:rsid w:val="5C56C48E"/>
    <w:rsid w:val="5C5D634A"/>
    <w:rsid w:val="5C5EE748"/>
    <w:rsid w:val="5C6069A1"/>
    <w:rsid w:val="5C6169DB"/>
    <w:rsid w:val="5C627138"/>
    <w:rsid w:val="5C6360B8"/>
    <w:rsid w:val="5C63DF44"/>
    <w:rsid w:val="5C64DC5F"/>
    <w:rsid w:val="5C666F65"/>
    <w:rsid w:val="5C70CDF9"/>
    <w:rsid w:val="5C754388"/>
    <w:rsid w:val="5C76D7E2"/>
    <w:rsid w:val="5C791979"/>
    <w:rsid w:val="5C83A4E1"/>
    <w:rsid w:val="5C843AE0"/>
    <w:rsid w:val="5C851FC9"/>
    <w:rsid w:val="5C88AB55"/>
    <w:rsid w:val="5C88E3D7"/>
    <w:rsid w:val="5C8A8C63"/>
    <w:rsid w:val="5C8BD1B8"/>
    <w:rsid w:val="5C8BEA4F"/>
    <w:rsid w:val="5C8E583B"/>
    <w:rsid w:val="5C8E704B"/>
    <w:rsid w:val="5C90C90D"/>
    <w:rsid w:val="5C953E71"/>
    <w:rsid w:val="5C954394"/>
    <w:rsid w:val="5C9A7832"/>
    <w:rsid w:val="5C9B16BA"/>
    <w:rsid w:val="5C9C041A"/>
    <w:rsid w:val="5CA5106E"/>
    <w:rsid w:val="5CA5AE37"/>
    <w:rsid w:val="5CA8142D"/>
    <w:rsid w:val="5CA9B22C"/>
    <w:rsid w:val="5CAB8B33"/>
    <w:rsid w:val="5CADA08A"/>
    <w:rsid w:val="5CAFCE7D"/>
    <w:rsid w:val="5CB07AF0"/>
    <w:rsid w:val="5CB474B0"/>
    <w:rsid w:val="5CB4A159"/>
    <w:rsid w:val="5CB72024"/>
    <w:rsid w:val="5CB877E9"/>
    <w:rsid w:val="5CB8E800"/>
    <w:rsid w:val="5CBAA826"/>
    <w:rsid w:val="5CBC4342"/>
    <w:rsid w:val="5CBC7702"/>
    <w:rsid w:val="5CBD1DDF"/>
    <w:rsid w:val="5CBD4C0E"/>
    <w:rsid w:val="5CC16458"/>
    <w:rsid w:val="5CC16E6C"/>
    <w:rsid w:val="5CC1D8F2"/>
    <w:rsid w:val="5CC4C4EA"/>
    <w:rsid w:val="5CC9521D"/>
    <w:rsid w:val="5CCC1169"/>
    <w:rsid w:val="5CCCB418"/>
    <w:rsid w:val="5CD37D5A"/>
    <w:rsid w:val="5CD89AA6"/>
    <w:rsid w:val="5CDD6377"/>
    <w:rsid w:val="5CE06BFD"/>
    <w:rsid w:val="5CE14244"/>
    <w:rsid w:val="5CE1D246"/>
    <w:rsid w:val="5CE557A1"/>
    <w:rsid w:val="5CE5AE39"/>
    <w:rsid w:val="5CE9BB12"/>
    <w:rsid w:val="5CEB4502"/>
    <w:rsid w:val="5CEEB06C"/>
    <w:rsid w:val="5CEF0EDF"/>
    <w:rsid w:val="5CEFB6D0"/>
    <w:rsid w:val="5CF342FF"/>
    <w:rsid w:val="5CF49539"/>
    <w:rsid w:val="5CF59FE5"/>
    <w:rsid w:val="5CF6F6EC"/>
    <w:rsid w:val="5CF863BE"/>
    <w:rsid w:val="5CF8673D"/>
    <w:rsid w:val="5CFA5FA8"/>
    <w:rsid w:val="5CFD10AC"/>
    <w:rsid w:val="5D0249BC"/>
    <w:rsid w:val="5D02B8C5"/>
    <w:rsid w:val="5D04141D"/>
    <w:rsid w:val="5D12F9CF"/>
    <w:rsid w:val="5D144B85"/>
    <w:rsid w:val="5D146AD1"/>
    <w:rsid w:val="5D19367E"/>
    <w:rsid w:val="5D198403"/>
    <w:rsid w:val="5D1F918E"/>
    <w:rsid w:val="5D248FDB"/>
    <w:rsid w:val="5D25FD21"/>
    <w:rsid w:val="5D263035"/>
    <w:rsid w:val="5D29292D"/>
    <w:rsid w:val="5D29FD2E"/>
    <w:rsid w:val="5D2B59EF"/>
    <w:rsid w:val="5D2BB3FD"/>
    <w:rsid w:val="5D2BC108"/>
    <w:rsid w:val="5D2E0783"/>
    <w:rsid w:val="5D2FED22"/>
    <w:rsid w:val="5D311CD5"/>
    <w:rsid w:val="5D334A69"/>
    <w:rsid w:val="5D354AF4"/>
    <w:rsid w:val="5D39EEE4"/>
    <w:rsid w:val="5D3B7F54"/>
    <w:rsid w:val="5D3B97ED"/>
    <w:rsid w:val="5D403B7D"/>
    <w:rsid w:val="5D45BB6C"/>
    <w:rsid w:val="5D47F098"/>
    <w:rsid w:val="5D488B05"/>
    <w:rsid w:val="5D4EC123"/>
    <w:rsid w:val="5D5017E2"/>
    <w:rsid w:val="5D51DC49"/>
    <w:rsid w:val="5D5745CF"/>
    <w:rsid w:val="5D58FD75"/>
    <w:rsid w:val="5D60A715"/>
    <w:rsid w:val="5D61EEE5"/>
    <w:rsid w:val="5D6B4FB6"/>
    <w:rsid w:val="5D6C2AD4"/>
    <w:rsid w:val="5D6C7F85"/>
    <w:rsid w:val="5D6DF7AF"/>
    <w:rsid w:val="5D6F2450"/>
    <w:rsid w:val="5D711928"/>
    <w:rsid w:val="5D712709"/>
    <w:rsid w:val="5D73F229"/>
    <w:rsid w:val="5D74A26B"/>
    <w:rsid w:val="5D76F03E"/>
    <w:rsid w:val="5D7B4740"/>
    <w:rsid w:val="5D7DC913"/>
    <w:rsid w:val="5D7EDB12"/>
    <w:rsid w:val="5D7F0321"/>
    <w:rsid w:val="5D7FA6BD"/>
    <w:rsid w:val="5D8194FF"/>
    <w:rsid w:val="5D8522F5"/>
    <w:rsid w:val="5D89739F"/>
    <w:rsid w:val="5D8B4D47"/>
    <w:rsid w:val="5D8D0F7D"/>
    <w:rsid w:val="5D8E01D8"/>
    <w:rsid w:val="5D915BF5"/>
    <w:rsid w:val="5D91D866"/>
    <w:rsid w:val="5D93CCF1"/>
    <w:rsid w:val="5D957CD8"/>
    <w:rsid w:val="5D9676BC"/>
    <w:rsid w:val="5D97C05A"/>
    <w:rsid w:val="5D99BD8C"/>
    <w:rsid w:val="5DA0E3FA"/>
    <w:rsid w:val="5DA24C27"/>
    <w:rsid w:val="5DA54C54"/>
    <w:rsid w:val="5DA5B1A4"/>
    <w:rsid w:val="5DA8AFFE"/>
    <w:rsid w:val="5DA8C6FF"/>
    <w:rsid w:val="5DA99DC1"/>
    <w:rsid w:val="5DAB8902"/>
    <w:rsid w:val="5DAE0D0E"/>
    <w:rsid w:val="5DB5151C"/>
    <w:rsid w:val="5DB627CD"/>
    <w:rsid w:val="5DB90B04"/>
    <w:rsid w:val="5DB98562"/>
    <w:rsid w:val="5DBB25DC"/>
    <w:rsid w:val="5DBCB985"/>
    <w:rsid w:val="5DBF9A4D"/>
    <w:rsid w:val="5DC5E4F3"/>
    <w:rsid w:val="5DC65A40"/>
    <w:rsid w:val="5DCD8656"/>
    <w:rsid w:val="5DD41086"/>
    <w:rsid w:val="5DDE7C10"/>
    <w:rsid w:val="5DDE96DD"/>
    <w:rsid w:val="5DE122CE"/>
    <w:rsid w:val="5DE8F486"/>
    <w:rsid w:val="5DEA3D6D"/>
    <w:rsid w:val="5DEA3EEE"/>
    <w:rsid w:val="5DEB0125"/>
    <w:rsid w:val="5DEB5E0F"/>
    <w:rsid w:val="5DF11B4D"/>
    <w:rsid w:val="5DF2D895"/>
    <w:rsid w:val="5DF47667"/>
    <w:rsid w:val="5DF4D187"/>
    <w:rsid w:val="5DFAAE4B"/>
    <w:rsid w:val="5DFB2973"/>
    <w:rsid w:val="5DFEA92D"/>
    <w:rsid w:val="5DFF7A47"/>
    <w:rsid w:val="5E0146DA"/>
    <w:rsid w:val="5E01E3C0"/>
    <w:rsid w:val="5E0ABF24"/>
    <w:rsid w:val="5E0D03DF"/>
    <w:rsid w:val="5E0F5E75"/>
    <w:rsid w:val="5E0F8ED7"/>
    <w:rsid w:val="5E0F903F"/>
    <w:rsid w:val="5E143655"/>
    <w:rsid w:val="5E199E22"/>
    <w:rsid w:val="5E1B2B40"/>
    <w:rsid w:val="5E1B6784"/>
    <w:rsid w:val="5E1D1206"/>
    <w:rsid w:val="5E28D51A"/>
    <w:rsid w:val="5E2A770F"/>
    <w:rsid w:val="5E2DCC58"/>
    <w:rsid w:val="5E2EE2D7"/>
    <w:rsid w:val="5E2F9CF5"/>
    <w:rsid w:val="5E30238E"/>
    <w:rsid w:val="5E30F4A7"/>
    <w:rsid w:val="5E322A06"/>
    <w:rsid w:val="5E33BAA6"/>
    <w:rsid w:val="5E34898D"/>
    <w:rsid w:val="5E365E14"/>
    <w:rsid w:val="5E372FCD"/>
    <w:rsid w:val="5E389B41"/>
    <w:rsid w:val="5E39D14F"/>
    <w:rsid w:val="5E3AF2D3"/>
    <w:rsid w:val="5E3F24FF"/>
    <w:rsid w:val="5E4451A8"/>
    <w:rsid w:val="5E47AC3F"/>
    <w:rsid w:val="5E49DF1E"/>
    <w:rsid w:val="5E4B4280"/>
    <w:rsid w:val="5E502368"/>
    <w:rsid w:val="5E53A637"/>
    <w:rsid w:val="5E589F75"/>
    <w:rsid w:val="5E592197"/>
    <w:rsid w:val="5E592D74"/>
    <w:rsid w:val="5E5ADE0D"/>
    <w:rsid w:val="5E5B46D1"/>
    <w:rsid w:val="5E67378D"/>
    <w:rsid w:val="5E67DAAA"/>
    <w:rsid w:val="5E6A274B"/>
    <w:rsid w:val="5E6E1EFC"/>
    <w:rsid w:val="5E70BE62"/>
    <w:rsid w:val="5E794C26"/>
    <w:rsid w:val="5E799932"/>
    <w:rsid w:val="5E7AA3FE"/>
    <w:rsid w:val="5E7BBC62"/>
    <w:rsid w:val="5E7CED26"/>
    <w:rsid w:val="5E7ECE59"/>
    <w:rsid w:val="5E807CBE"/>
    <w:rsid w:val="5E86AD2B"/>
    <w:rsid w:val="5E87F2BC"/>
    <w:rsid w:val="5E87FE3A"/>
    <w:rsid w:val="5E8A909E"/>
    <w:rsid w:val="5E903900"/>
    <w:rsid w:val="5E971602"/>
    <w:rsid w:val="5E981479"/>
    <w:rsid w:val="5E98F28C"/>
    <w:rsid w:val="5E9E4249"/>
    <w:rsid w:val="5EA0FF44"/>
    <w:rsid w:val="5EA40678"/>
    <w:rsid w:val="5EABABE7"/>
    <w:rsid w:val="5EAE1E1A"/>
    <w:rsid w:val="5EAE5770"/>
    <w:rsid w:val="5EAFA03A"/>
    <w:rsid w:val="5EB40BBA"/>
    <w:rsid w:val="5EB5CF25"/>
    <w:rsid w:val="5EB8BCB5"/>
    <w:rsid w:val="5EBE929F"/>
    <w:rsid w:val="5EBE9BDB"/>
    <w:rsid w:val="5EC35C97"/>
    <w:rsid w:val="5ECF7393"/>
    <w:rsid w:val="5ED0D8BF"/>
    <w:rsid w:val="5ED4243C"/>
    <w:rsid w:val="5ED4F4CD"/>
    <w:rsid w:val="5ED68726"/>
    <w:rsid w:val="5ED6D64B"/>
    <w:rsid w:val="5EDAF967"/>
    <w:rsid w:val="5EDF17B9"/>
    <w:rsid w:val="5EE43DE6"/>
    <w:rsid w:val="5EE6CCD8"/>
    <w:rsid w:val="5EE787EF"/>
    <w:rsid w:val="5EEA5CC3"/>
    <w:rsid w:val="5EEA9D10"/>
    <w:rsid w:val="5EEC7B2E"/>
    <w:rsid w:val="5EEDD438"/>
    <w:rsid w:val="5EF1D821"/>
    <w:rsid w:val="5EF99506"/>
    <w:rsid w:val="5EF99943"/>
    <w:rsid w:val="5EF9F168"/>
    <w:rsid w:val="5EFA88E0"/>
    <w:rsid w:val="5EFDC6DE"/>
    <w:rsid w:val="5EFE0068"/>
    <w:rsid w:val="5F053636"/>
    <w:rsid w:val="5F089487"/>
    <w:rsid w:val="5F0B6A28"/>
    <w:rsid w:val="5F0C066D"/>
    <w:rsid w:val="5F0D3A09"/>
    <w:rsid w:val="5F13A232"/>
    <w:rsid w:val="5F13AA33"/>
    <w:rsid w:val="5F1B43B9"/>
    <w:rsid w:val="5F1BF9A4"/>
    <w:rsid w:val="5F1C1266"/>
    <w:rsid w:val="5F28AAEC"/>
    <w:rsid w:val="5F29D84E"/>
    <w:rsid w:val="5F2FE9DA"/>
    <w:rsid w:val="5F32ED0A"/>
    <w:rsid w:val="5F3DAABD"/>
    <w:rsid w:val="5F3FDCD2"/>
    <w:rsid w:val="5F46F8AA"/>
    <w:rsid w:val="5F4772A3"/>
    <w:rsid w:val="5F499079"/>
    <w:rsid w:val="5F4D101B"/>
    <w:rsid w:val="5F4DDB1A"/>
    <w:rsid w:val="5F52020A"/>
    <w:rsid w:val="5F55F613"/>
    <w:rsid w:val="5F617CC8"/>
    <w:rsid w:val="5F61B554"/>
    <w:rsid w:val="5F630AB6"/>
    <w:rsid w:val="5F634B3D"/>
    <w:rsid w:val="5F695F90"/>
    <w:rsid w:val="5F74B179"/>
    <w:rsid w:val="5F7564AB"/>
    <w:rsid w:val="5F783D2D"/>
    <w:rsid w:val="5F7B5C57"/>
    <w:rsid w:val="5F7E56C8"/>
    <w:rsid w:val="5F85C52D"/>
    <w:rsid w:val="5F8B2E3D"/>
    <w:rsid w:val="5F8D8FE9"/>
    <w:rsid w:val="5F8D961D"/>
    <w:rsid w:val="5F8FD1EB"/>
    <w:rsid w:val="5F8FDC40"/>
    <w:rsid w:val="5F8FE288"/>
    <w:rsid w:val="5F95B76E"/>
    <w:rsid w:val="5F978F96"/>
    <w:rsid w:val="5F9EC04C"/>
    <w:rsid w:val="5FAAF06D"/>
    <w:rsid w:val="5FADC23B"/>
    <w:rsid w:val="5FB1F59C"/>
    <w:rsid w:val="5FB48626"/>
    <w:rsid w:val="5FB573E9"/>
    <w:rsid w:val="5FB680F5"/>
    <w:rsid w:val="5FB78A6A"/>
    <w:rsid w:val="5FB8005D"/>
    <w:rsid w:val="5FB83204"/>
    <w:rsid w:val="5FB873D1"/>
    <w:rsid w:val="5FB9A992"/>
    <w:rsid w:val="5FBC8B8A"/>
    <w:rsid w:val="5FC21ABA"/>
    <w:rsid w:val="5FC2D497"/>
    <w:rsid w:val="5FC30BBC"/>
    <w:rsid w:val="5FC58861"/>
    <w:rsid w:val="5FC752B0"/>
    <w:rsid w:val="5FCA69F7"/>
    <w:rsid w:val="5FCBAFEC"/>
    <w:rsid w:val="5FD139DC"/>
    <w:rsid w:val="5FD50CAB"/>
    <w:rsid w:val="5FD780FE"/>
    <w:rsid w:val="5FD7F119"/>
    <w:rsid w:val="5FDCAEA8"/>
    <w:rsid w:val="5FDF7172"/>
    <w:rsid w:val="5FE55906"/>
    <w:rsid w:val="5FE5E329"/>
    <w:rsid w:val="5FE681F9"/>
    <w:rsid w:val="5FE9AF5A"/>
    <w:rsid w:val="5FE9E99C"/>
    <w:rsid w:val="5FECE3A8"/>
    <w:rsid w:val="5FEDDECE"/>
    <w:rsid w:val="5FEE4D27"/>
    <w:rsid w:val="5FEECB6F"/>
    <w:rsid w:val="5FEEE1BE"/>
    <w:rsid w:val="5FEF85E6"/>
    <w:rsid w:val="5FEFFB0B"/>
    <w:rsid w:val="5FF3AD8F"/>
    <w:rsid w:val="5FF42D86"/>
    <w:rsid w:val="5FF8840F"/>
    <w:rsid w:val="5FF8A684"/>
    <w:rsid w:val="5FF93C53"/>
    <w:rsid w:val="5FFBC7C6"/>
    <w:rsid w:val="5FFBD936"/>
    <w:rsid w:val="5FFD0ED6"/>
    <w:rsid w:val="6000361F"/>
    <w:rsid w:val="60046409"/>
    <w:rsid w:val="600A40E6"/>
    <w:rsid w:val="600AAAFB"/>
    <w:rsid w:val="600CC7CA"/>
    <w:rsid w:val="600FB2AF"/>
    <w:rsid w:val="6016D255"/>
    <w:rsid w:val="601D0B8B"/>
    <w:rsid w:val="601FA8DF"/>
    <w:rsid w:val="60246065"/>
    <w:rsid w:val="60293B12"/>
    <w:rsid w:val="60392F7F"/>
    <w:rsid w:val="603ECA2B"/>
    <w:rsid w:val="6041BB01"/>
    <w:rsid w:val="6049A841"/>
    <w:rsid w:val="6049B906"/>
    <w:rsid w:val="604ADEEB"/>
    <w:rsid w:val="604C7F4B"/>
    <w:rsid w:val="6051E664"/>
    <w:rsid w:val="60533F12"/>
    <w:rsid w:val="605B080F"/>
    <w:rsid w:val="605B3C91"/>
    <w:rsid w:val="60609CE9"/>
    <w:rsid w:val="606205AB"/>
    <w:rsid w:val="606700CB"/>
    <w:rsid w:val="606B071B"/>
    <w:rsid w:val="606E5420"/>
    <w:rsid w:val="607029D6"/>
    <w:rsid w:val="607463DF"/>
    <w:rsid w:val="60765CC2"/>
    <w:rsid w:val="6076F13C"/>
    <w:rsid w:val="607A2C8F"/>
    <w:rsid w:val="607D7A34"/>
    <w:rsid w:val="6082F874"/>
    <w:rsid w:val="60836FB7"/>
    <w:rsid w:val="6083CF08"/>
    <w:rsid w:val="6086621C"/>
    <w:rsid w:val="6087BF42"/>
    <w:rsid w:val="6092AE8D"/>
    <w:rsid w:val="6095701E"/>
    <w:rsid w:val="6098326D"/>
    <w:rsid w:val="60A2D80F"/>
    <w:rsid w:val="60A5EAA3"/>
    <w:rsid w:val="60A7C999"/>
    <w:rsid w:val="60A94AF8"/>
    <w:rsid w:val="60B1AF2F"/>
    <w:rsid w:val="60B5707C"/>
    <w:rsid w:val="60BAB86F"/>
    <w:rsid w:val="60BC2B4F"/>
    <w:rsid w:val="60BEAA51"/>
    <w:rsid w:val="60C040B7"/>
    <w:rsid w:val="60C63A1E"/>
    <w:rsid w:val="60C77B9D"/>
    <w:rsid w:val="60CD5637"/>
    <w:rsid w:val="60CD697E"/>
    <w:rsid w:val="60CE1CAB"/>
    <w:rsid w:val="60CF5403"/>
    <w:rsid w:val="60D7D0C5"/>
    <w:rsid w:val="60D83689"/>
    <w:rsid w:val="60DF2999"/>
    <w:rsid w:val="60E521D6"/>
    <w:rsid w:val="60EB1405"/>
    <w:rsid w:val="60EE17A1"/>
    <w:rsid w:val="60F2A599"/>
    <w:rsid w:val="60F38D1C"/>
    <w:rsid w:val="60F4531C"/>
    <w:rsid w:val="60F77A9C"/>
    <w:rsid w:val="60F842EA"/>
    <w:rsid w:val="60F962B3"/>
    <w:rsid w:val="60FB4154"/>
    <w:rsid w:val="60FEB7B2"/>
    <w:rsid w:val="6103F48E"/>
    <w:rsid w:val="6108636B"/>
    <w:rsid w:val="610F5F75"/>
    <w:rsid w:val="6115C1B7"/>
    <w:rsid w:val="611C3F71"/>
    <w:rsid w:val="611E9E95"/>
    <w:rsid w:val="6124BE46"/>
    <w:rsid w:val="612E901E"/>
    <w:rsid w:val="612FC702"/>
    <w:rsid w:val="6132F01C"/>
    <w:rsid w:val="61359132"/>
    <w:rsid w:val="61393225"/>
    <w:rsid w:val="613C543E"/>
    <w:rsid w:val="613CA009"/>
    <w:rsid w:val="613DC3C8"/>
    <w:rsid w:val="6141B962"/>
    <w:rsid w:val="6142E7DF"/>
    <w:rsid w:val="6144456D"/>
    <w:rsid w:val="61449FCB"/>
    <w:rsid w:val="6146E397"/>
    <w:rsid w:val="614E5331"/>
    <w:rsid w:val="61539556"/>
    <w:rsid w:val="6154F4FB"/>
    <w:rsid w:val="61551502"/>
    <w:rsid w:val="6155302B"/>
    <w:rsid w:val="615C74BC"/>
    <w:rsid w:val="615E9A17"/>
    <w:rsid w:val="6160A4AC"/>
    <w:rsid w:val="6160BC09"/>
    <w:rsid w:val="6160E757"/>
    <w:rsid w:val="61687CFB"/>
    <w:rsid w:val="616A064D"/>
    <w:rsid w:val="616A752A"/>
    <w:rsid w:val="616BAE0E"/>
    <w:rsid w:val="616CB529"/>
    <w:rsid w:val="616F421B"/>
    <w:rsid w:val="6172745E"/>
    <w:rsid w:val="61742100"/>
    <w:rsid w:val="6174898E"/>
    <w:rsid w:val="6178E2E8"/>
    <w:rsid w:val="617BE7A0"/>
    <w:rsid w:val="618E0283"/>
    <w:rsid w:val="618FF001"/>
    <w:rsid w:val="61906F14"/>
    <w:rsid w:val="61939C7A"/>
    <w:rsid w:val="6194B6D9"/>
    <w:rsid w:val="61955BB4"/>
    <w:rsid w:val="6198FE57"/>
    <w:rsid w:val="619EE577"/>
    <w:rsid w:val="61AAE3D6"/>
    <w:rsid w:val="61AC9669"/>
    <w:rsid w:val="61AD301C"/>
    <w:rsid w:val="61ADF0B1"/>
    <w:rsid w:val="61AE6FDA"/>
    <w:rsid w:val="61AEC605"/>
    <w:rsid w:val="61B1B7FB"/>
    <w:rsid w:val="61B1CA45"/>
    <w:rsid w:val="61B70304"/>
    <w:rsid w:val="61BD1ECA"/>
    <w:rsid w:val="61BF251B"/>
    <w:rsid w:val="61C34704"/>
    <w:rsid w:val="61CCFDDE"/>
    <w:rsid w:val="61CFDDD0"/>
    <w:rsid w:val="61D011E6"/>
    <w:rsid w:val="61D4FBC8"/>
    <w:rsid w:val="61D53B69"/>
    <w:rsid w:val="61DB7D6A"/>
    <w:rsid w:val="61E0E3B9"/>
    <w:rsid w:val="61E740FC"/>
    <w:rsid w:val="61EAE279"/>
    <w:rsid w:val="61F4E26E"/>
    <w:rsid w:val="62006959"/>
    <w:rsid w:val="62028DDC"/>
    <w:rsid w:val="62040093"/>
    <w:rsid w:val="62050961"/>
    <w:rsid w:val="620E5126"/>
    <w:rsid w:val="620F5024"/>
    <w:rsid w:val="620F8616"/>
    <w:rsid w:val="6211BE91"/>
    <w:rsid w:val="6211C534"/>
    <w:rsid w:val="621315EF"/>
    <w:rsid w:val="6215E9E1"/>
    <w:rsid w:val="621A238E"/>
    <w:rsid w:val="621AECC4"/>
    <w:rsid w:val="621C0AA2"/>
    <w:rsid w:val="621C1428"/>
    <w:rsid w:val="621C966B"/>
    <w:rsid w:val="62278483"/>
    <w:rsid w:val="6228FAC4"/>
    <w:rsid w:val="622F6299"/>
    <w:rsid w:val="6236A9EC"/>
    <w:rsid w:val="623C6EEA"/>
    <w:rsid w:val="6243A9EF"/>
    <w:rsid w:val="62494396"/>
    <w:rsid w:val="624EC089"/>
    <w:rsid w:val="6252E241"/>
    <w:rsid w:val="6253B578"/>
    <w:rsid w:val="625709B8"/>
    <w:rsid w:val="625A5D47"/>
    <w:rsid w:val="625BBAB1"/>
    <w:rsid w:val="625CECE8"/>
    <w:rsid w:val="625DB9DF"/>
    <w:rsid w:val="625FB196"/>
    <w:rsid w:val="62637F1D"/>
    <w:rsid w:val="6264F937"/>
    <w:rsid w:val="626811E1"/>
    <w:rsid w:val="626B9191"/>
    <w:rsid w:val="626ECCBB"/>
    <w:rsid w:val="626FB66A"/>
    <w:rsid w:val="6270156B"/>
    <w:rsid w:val="6272483E"/>
    <w:rsid w:val="6272EE5C"/>
    <w:rsid w:val="62768D77"/>
    <w:rsid w:val="627B4C85"/>
    <w:rsid w:val="627C0EFC"/>
    <w:rsid w:val="62830428"/>
    <w:rsid w:val="628741CD"/>
    <w:rsid w:val="62878E1C"/>
    <w:rsid w:val="62883D5A"/>
    <w:rsid w:val="628B5C1B"/>
    <w:rsid w:val="628DBBB4"/>
    <w:rsid w:val="628FAEE5"/>
    <w:rsid w:val="629069F0"/>
    <w:rsid w:val="6292484F"/>
    <w:rsid w:val="6295E934"/>
    <w:rsid w:val="62989CF4"/>
    <w:rsid w:val="629A090F"/>
    <w:rsid w:val="62A436EF"/>
    <w:rsid w:val="62A6F9F1"/>
    <w:rsid w:val="62B04947"/>
    <w:rsid w:val="62B38D05"/>
    <w:rsid w:val="62B43E9A"/>
    <w:rsid w:val="62B6F3A8"/>
    <w:rsid w:val="62B9B092"/>
    <w:rsid w:val="62BCDEC5"/>
    <w:rsid w:val="62BF602C"/>
    <w:rsid w:val="62C6F281"/>
    <w:rsid w:val="62C9242C"/>
    <w:rsid w:val="62C9FBE4"/>
    <w:rsid w:val="62CA7456"/>
    <w:rsid w:val="62D03A89"/>
    <w:rsid w:val="62D30A9E"/>
    <w:rsid w:val="62D33A40"/>
    <w:rsid w:val="62D3CFA4"/>
    <w:rsid w:val="62D5A6F4"/>
    <w:rsid w:val="62D95D50"/>
    <w:rsid w:val="62DA97C7"/>
    <w:rsid w:val="62DE1D78"/>
    <w:rsid w:val="62E164DF"/>
    <w:rsid w:val="62E51ECF"/>
    <w:rsid w:val="62E8CB61"/>
    <w:rsid w:val="62EF2335"/>
    <w:rsid w:val="62F75A30"/>
    <w:rsid w:val="62F94E55"/>
    <w:rsid w:val="62FC47B7"/>
    <w:rsid w:val="62FD8B47"/>
    <w:rsid w:val="630290FB"/>
    <w:rsid w:val="6304267E"/>
    <w:rsid w:val="630446B4"/>
    <w:rsid w:val="63048AF1"/>
    <w:rsid w:val="6305E62B"/>
    <w:rsid w:val="630882A7"/>
    <w:rsid w:val="630CD938"/>
    <w:rsid w:val="630CE79F"/>
    <w:rsid w:val="630DD17D"/>
    <w:rsid w:val="630E158B"/>
    <w:rsid w:val="630EDD0C"/>
    <w:rsid w:val="6311275A"/>
    <w:rsid w:val="63113492"/>
    <w:rsid w:val="63177D0A"/>
    <w:rsid w:val="6319B20D"/>
    <w:rsid w:val="631FB254"/>
    <w:rsid w:val="632356A6"/>
    <w:rsid w:val="6323D6AB"/>
    <w:rsid w:val="632762BF"/>
    <w:rsid w:val="632DD551"/>
    <w:rsid w:val="633032BB"/>
    <w:rsid w:val="633105B6"/>
    <w:rsid w:val="63344475"/>
    <w:rsid w:val="6339B8A3"/>
    <w:rsid w:val="633D2D4F"/>
    <w:rsid w:val="633F0C36"/>
    <w:rsid w:val="63436DFD"/>
    <w:rsid w:val="6346D97E"/>
    <w:rsid w:val="63487A40"/>
    <w:rsid w:val="634A8D7C"/>
    <w:rsid w:val="634B0A13"/>
    <w:rsid w:val="634E2773"/>
    <w:rsid w:val="634FE6F7"/>
    <w:rsid w:val="635701CB"/>
    <w:rsid w:val="6357F3D7"/>
    <w:rsid w:val="635CE8C6"/>
    <w:rsid w:val="635EAEEC"/>
    <w:rsid w:val="6361BE53"/>
    <w:rsid w:val="6367C4B4"/>
    <w:rsid w:val="636BEC5C"/>
    <w:rsid w:val="636CBC59"/>
    <w:rsid w:val="636E1DC8"/>
    <w:rsid w:val="6378F583"/>
    <w:rsid w:val="637B9515"/>
    <w:rsid w:val="637C38F0"/>
    <w:rsid w:val="637EADAF"/>
    <w:rsid w:val="6383241E"/>
    <w:rsid w:val="6384ABC0"/>
    <w:rsid w:val="6385E9AB"/>
    <w:rsid w:val="638CB3AF"/>
    <w:rsid w:val="638D5540"/>
    <w:rsid w:val="638DEE4D"/>
    <w:rsid w:val="6395B4FF"/>
    <w:rsid w:val="63969C5E"/>
    <w:rsid w:val="639A3E41"/>
    <w:rsid w:val="639A7F6B"/>
    <w:rsid w:val="639C6893"/>
    <w:rsid w:val="639C73CA"/>
    <w:rsid w:val="639D2621"/>
    <w:rsid w:val="63A2DADD"/>
    <w:rsid w:val="63A692CE"/>
    <w:rsid w:val="63AB47DB"/>
    <w:rsid w:val="63B0BBCF"/>
    <w:rsid w:val="63B1EC12"/>
    <w:rsid w:val="63BB6DC6"/>
    <w:rsid w:val="63BD0C1E"/>
    <w:rsid w:val="63BE5B21"/>
    <w:rsid w:val="63C87B85"/>
    <w:rsid w:val="63CCDCBE"/>
    <w:rsid w:val="63CE9052"/>
    <w:rsid w:val="63CF9089"/>
    <w:rsid w:val="63CFBD79"/>
    <w:rsid w:val="63CFD66F"/>
    <w:rsid w:val="63D67BD0"/>
    <w:rsid w:val="63D71862"/>
    <w:rsid w:val="63D8385E"/>
    <w:rsid w:val="63D89ED3"/>
    <w:rsid w:val="63DB7AB8"/>
    <w:rsid w:val="63DCDE08"/>
    <w:rsid w:val="63DCE3B4"/>
    <w:rsid w:val="63DD8DB5"/>
    <w:rsid w:val="63DDEC22"/>
    <w:rsid w:val="63E7CE8A"/>
    <w:rsid w:val="63EA4304"/>
    <w:rsid w:val="63EE9FC5"/>
    <w:rsid w:val="63EF8074"/>
    <w:rsid w:val="63F11580"/>
    <w:rsid w:val="63F5FB86"/>
    <w:rsid w:val="63FD3444"/>
    <w:rsid w:val="63FE3899"/>
    <w:rsid w:val="63FFD6EF"/>
    <w:rsid w:val="6404BC62"/>
    <w:rsid w:val="64050FAC"/>
    <w:rsid w:val="640C441C"/>
    <w:rsid w:val="640C68EA"/>
    <w:rsid w:val="640D45E1"/>
    <w:rsid w:val="640E8871"/>
    <w:rsid w:val="640FD3FA"/>
    <w:rsid w:val="64167C4B"/>
    <w:rsid w:val="64169FE9"/>
    <w:rsid w:val="64185034"/>
    <w:rsid w:val="641BD478"/>
    <w:rsid w:val="641FB71F"/>
    <w:rsid w:val="641FE6BB"/>
    <w:rsid w:val="6424E246"/>
    <w:rsid w:val="642AA7EA"/>
    <w:rsid w:val="642E033A"/>
    <w:rsid w:val="643409EC"/>
    <w:rsid w:val="64378CC0"/>
    <w:rsid w:val="643A223C"/>
    <w:rsid w:val="643D4489"/>
    <w:rsid w:val="643EC98D"/>
    <w:rsid w:val="644046CF"/>
    <w:rsid w:val="64429790"/>
    <w:rsid w:val="6444BEB0"/>
    <w:rsid w:val="6445676B"/>
    <w:rsid w:val="644DE936"/>
    <w:rsid w:val="644EB877"/>
    <w:rsid w:val="64537474"/>
    <w:rsid w:val="64564417"/>
    <w:rsid w:val="645C07CF"/>
    <w:rsid w:val="645DC291"/>
    <w:rsid w:val="646660A6"/>
    <w:rsid w:val="646817AF"/>
    <w:rsid w:val="64683F21"/>
    <w:rsid w:val="6468A265"/>
    <w:rsid w:val="6469AECB"/>
    <w:rsid w:val="64702824"/>
    <w:rsid w:val="64710FA2"/>
    <w:rsid w:val="64794750"/>
    <w:rsid w:val="647A26BE"/>
    <w:rsid w:val="647A68E3"/>
    <w:rsid w:val="647AB905"/>
    <w:rsid w:val="647AE51C"/>
    <w:rsid w:val="6480B6B1"/>
    <w:rsid w:val="648360F4"/>
    <w:rsid w:val="64863D5E"/>
    <w:rsid w:val="6486F3F1"/>
    <w:rsid w:val="6487BEA6"/>
    <w:rsid w:val="648B2301"/>
    <w:rsid w:val="64902C7B"/>
    <w:rsid w:val="6490F72F"/>
    <w:rsid w:val="64992B79"/>
    <w:rsid w:val="649AEC95"/>
    <w:rsid w:val="64A38DAE"/>
    <w:rsid w:val="64A8FA00"/>
    <w:rsid w:val="64A9F1CC"/>
    <w:rsid w:val="64AA1887"/>
    <w:rsid w:val="64AC5FC8"/>
    <w:rsid w:val="64AD1B32"/>
    <w:rsid w:val="64AE3012"/>
    <w:rsid w:val="64B288BC"/>
    <w:rsid w:val="64B529A4"/>
    <w:rsid w:val="64B92492"/>
    <w:rsid w:val="64BF6FA7"/>
    <w:rsid w:val="64C1B6F6"/>
    <w:rsid w:val="64C20DDB"/>
    <w:rsid w:val="64C3F8EB"/>
    <w:rsid w:val="64C903D0"/>
    <w:rsid w:val="64CE072E"/>
    <w:rsid w:val="64D1B1EB"/>
    <w:rsid w:val="64D2BE38"/>
    <w:rsid w:val="64D38473"/>
    <w:rsid w:val="64D4499A"/>
    <w:rsid w:val="64D5D372"/>
    <w:rsid w:val="64D7B4E5"/>
    <w:rsid w:val="64DEE32F"/>
    <w:rsid w:val="64E04792"/>
    <w:rsid w:val="64E06840"/>
    <w:rsid w:val="64E13E63"/>
    <w:rsid w:val="64E5958D"/>
    <w:rsid w:val="64E6E0C6"/>
    <w:rsid w:val="64E7DDB8"/>
    <w:rsid w:val="64EA7F0A"/>
    <w:rsid w:val="64EAD3DB"/>
    <w:rsid w:val="64EFEA7C"/>
    <w:rsid w:val="64F08494"/>
    <w:rsid w:val="64F13BDB"/>
    <w:rsid w:val="64F46CBD"/>
    <w:rsid w:val="64F5ED0E"/>
    <w:rsid w:val="64FAFF15"/>
    <w:rsid w:val="64FBD171"/>
    <w:rsid w:val="64FC0224"/>
    <w:rsid w:val="64FF00A5"/>
    <w:rsid w:val="64FF4309"/>
    <w:rsid w:val="6500F6A8"/>
    <w:rsid w:val="650D58B8"/>
    <w:rsid w:val="650DB823"/>
    <w:rsid w:val="650F9A90"/>
    <w:rsid w:val="65177D6B"/>
    <w:rsid w:val="6517E0A2"/>
    <w:rsid w:val="652AD981"/>
    <w:rsid w:val="652B4071"/>
    <w:rsid w:val="652BB09B"/>
    <w:rsid w:val="652EA269"/>
    <w:rsid w:val="652FC1E2"/>
    <w:rsid w:val="6539303D"/>
    <w:rsid w:val="65396E94"/>
    <w:rsid w:val="653B674A"/>
    <w:rsid w:val="653CEAA2"/>
    <w:rsid w:val="653E5675"/>
    <w:rsid w:val="653FF7CD"/>
    <w:rsid w:val="65419304"/>
    <w:rsid w:val="654383A6"/>
    <w:rsid w:val="6544D7CD"/>
    <w:rsid w:val="65457ACF"/>
    <w:rsid w:val="654AB60B"/>
    <w:rsid w:val="654BB5A4"/>
    <w:rsid w:val="65505E05"/>
    <w:rsid w:val="6552ACA9"/>
    <w:rsid w:val="6552B6EE"/>
    <w:rsid w:val="6554A3F3"/>
    <w:rsid w:val="6559C8B3"/>
    <w:rsid w:val="655A611F"/>
    <w:rsid w:val="655B2770"/>
    <w:rsid w:val="6560D6BA"/>
    <w:rsid w:val="656352A4"/>
    <w:rsid w:val="6566F3E9"/>
    <w:rsid w:val="65691F86"/>
    <w:rsid w:val="656923BF"/>
    <w:rsid w:val="6569A225"/>
    <w:rsid w:val="656D75E7"/>
    <w:rsid w:val="656E4106"/>
    <w:rsid w:val="6570FD4C"/>
    <w:rsid w:val="6575328D"/>
    <w:rsid w:val="65759FDB"/>
    <w:rsid w:val="657BA3DD"/>
    <w:rsid w:val="657E3162"/>
    <w:rsid w:val="657E7ED2"/>
    <w:rsid w:val="65802DA7"/>
    <w:rsid w:val="658090C3"/>
    <w:rsid w:val="658343BE"/>
    <w:rsid w:val="6583962E"/>
    <w:rsid w:val="658400A0"/>
    <w:rsid w:val="6585C5AC"/>
    <w:rsid w:val="658A166E"/>
    <w:rsid w:val="658B6300"/>
    <w:rsid w:val="658FE641"/>
    <w:rsid w:val="659717D6"/>
    <w:rsid w:val="65981655"/>
    <w:rsid w:val="659865BD"/>
    <w:rsid w:val="659C6965"/>
    <w:rsid w:val="65A1328C"/>
    <w:rsid w:val="65A1357F"/>
    <w:rsid w:val="65A22E08"/>
    <w:rsid w:val="65A28DF3"/>
    <w:rsid w:val="65A60E17"/>
    <w:rsid w:val="65A75117"/>
    <w:rsid w:val="65A8D59F"/>
    <w:rsid w:val="65ABE75C"/>
    <w:rsid w:val="65AD682B"/>
    <w:rsid w:val="65B0BEEA"/>
    <w:rsid w:val="65B25050"/>
    <w:rsid w:val="65B8FBD0"/>
    <w:rsid w:val="65B9B67A"/>
    <w:rsid w:val="65C2DE63"/>
    <w:rsid w:val="65C31896"/>
    <w:rsid w:val="65C64AA8"/>
    <w:rsid w:val="65C79AD2"/>
    <w:rsid w:val="65CAA563"/>
    <w:rsid w:val="65CB2E26"/>
    <w:rsid w:val="65CBE38D"/>
    <w:rsid w:val="65CD618B"/>
    <w:rsid w:val="65D07236"/>
    <w:rsid w:val="65D09C19"/>
    <w:rsid w:val="65D7D685"/>
    <w:rsid w:val="65DF226B"/>
    <w:rsid w:val="65DF85D9"/>
    <w:rsid w:val="65E787CE"/>
    <w:rsid w:val="65E92298"/>
    <w:rsid w:val="65F06122"/>
    <w:rsid w:val="65F06EDA"/>
    <w:rsid w:val="65F43F08"/>
    <w:rsid w:val="65F4BA77"/>
    <w:rsid w:val="65F662BB"/>
    <w:rsid w:val="65F66D86"/>
    <w:rsid w:val="65F682DB"/>
    <w:rsid w:val="65F910EC"/>
    <w:rsid w:val="65FA3802"/>
    <w:rsid w:val="65FD25B1"/>
    <w:rsid w:val="660D47AF"/>
    <w:rsid w:val="660E7314"/>
    <w:rsid w:val="66111F83"/>
    <w:rsid w:val="6614F6FE"/>
    <w:rsid w:val="661520FD"/>
    <w:rsid w:val="66160A55"/>
    <w:rsid w:val="6617BB3F"/>
    <w:rsid w:val="661B913C"/>
    <w:rsid w:val="661C6DEF"/>
    <w:rsid w:val="661EFA03"/>
    <w:rsid w:val="6620137B"/>
    <w:rsid w:val="66205210"/>
    <w:rsid w:val="66206C23"/>
    <w:rsid w:val="6622502E"/>
    <w:rsid w:val="66236697"/>
    <w:rsid w:val="662AB933"/>
    <w:rsid w:val="662FBDCD"/>
    <w:rsid w:val="6630EDB3"/>
    <w:rsid w:val="6633D714"/>
    <w:rsid w:val="66382BBE"/>
    <w:rsid w:val="663D1453"/>
    <w:rsid w:val="663D3F3F"/>
    <w:rsid w:val="66437DFE"/>
    <w:rsid w:val="66489A07"/>
    <w:rsid w:val="664A8A41"/>
    <w:rsid w:val="665B11EA"/>
    <w:rsid w:val="665F1A96"/>
    <w:rsid w:val="6663F0FB"/>
    <w:rsid w:val="666A349A"/>
    <w:rsid w:val="666B8B66"/>
    <w:rsid w:val="666D0772"/>
    <w:rsid w:val="667015BB"/>
    <w:rsid w:val="66714CF4"/>
    <w:rsid w:val="6674DD5E"/>
    <w:rsid w:val="66752CEB"/>
    <w:rsid w:val="66767ABB"/>
    <w:rsid w:val="66791C2A"/>
    <w:rsid w:val="667D25F7"/>
    <w:rsid w:val="667DD9C0"/>
    <w:rsid w:val="667FD8A6"/>
    <w:rsid w:val="6680B1A1"/>
    <w:rsid w:val="66886490"/>
    <w:rsid w:val="668CE978"/>
    <w:rsid w:val="668D9FEF"/>
    <w:rsid w:val="668ED44C"/>
    <w:rsid w:val="6693E35B"/>
    <w:rsid w:val="6695B3AF"/>
    <w:rsid w:val="66969781"/>
    <w:rsid w:val="669F85A1"/>
    <w:rsid w:val="669F907B"/>
    <w:rsid w:val="66A24C65"/>
    <w:rsid w:val="66A49EA7"/>
    <w:rsid w:val="66A4F68C"/>
    <w:rsid w:val="66A5D072"/>
    <w:rsid w:val="66A7DB1A"/>
    <w:rsid w:val="66ABDAA5"/>
    <w:rsid w:val="66ADE3D5"/>
    <w:rsid w:val="66B1F765"/>
    <w:rsid w:val="66B34DF9"/>
    <w:rsid w:val="66B5A908"/>
    <w:rsid w:val="66B99F67"/>
    <w:rsid w:val="66BC6C87"/>
    <w:rsid w:val="66C1A175"/>
    <w:rsid w:val="66C2B1A6"/>
    <w:rsid w:val="66C32B41"/>
    <w:rsid w:val="66C815C6"/>
    <w:rsid w:val="66CBBE9F"/>
    <w:rsid w:val="66CDB30A"/>
    <w:rsid w:val="66CFC496"/>
    <w:rsid w:val="66D65952"/>
    <w:rsid w:val="66D8ABFC"/>
    <w:rsid w:val="66D92155"/>
    <w:rsid w:val="66DC9699"/>
    <w:rsid w:val="66DDC69F"/>
    <w:rsid w:val="66E52B59"/>
    <w:rsid w:val="66E7A668"/>
    <w:rsid w:val="66E7F9AB"/>
    <w:rsid w:val="66E9C4E1"/>
    <w:rsid w:val="66EBCC55"/>
    <w:rsid w:val="66EDF726"/>
    <w:rsid w:val="66F00391"/>
    <w:rsid w:val="66F07BCA"/>
    <w:rsid w:val="66F09889"/>
    <w:rsid w:val="66F0B5F8"/>
    <w:rsid w:val="66F4DC47"/>
    <w:rsid w:val="66F6C02A"/>
    <w:rsid w:val="66F98CBA"/>
    <w:rsid w:val="670128A3"/>
    <w:rsid w:val="67063095"/>
    <w:rsid w:val="670903D1"/>
    <w:rsid w:val="670C968F"/>
    <w:rsid w:val="670CCF89"/>
    <w:rsid w:val="670F314C"/>
    <w:rsid w:val="670F81F4"/>
    <w:rsid w:val="67110271"/>
    <w:rsid w:val="671416A6"/>
    <w:rsid w:val="6726D6C1"/>
    <w:rsid w:val="6727D627"/>
    <w:rsid w:val="67290ADF"/>
    <w:rsid w:val="6730CB9E"/>
    <w:rsid w:val="6731E7D0"/>
    <w:rsid w:val="67326B8C"/>
    <w:rsid w:val="6734B0AD"/>
    <w:rsid w:val="673B0316"/>
    <w:rsid w:val="673BAFF6"/>
    <w:rsid w:val="673BB730"/>
    <w:rsid w:val="674834F2"/>
    <w:rsid w:val="674DEE90"/>
    <w:rsid w:val="674F9E6D"/>
    <w:rsid w:val="6751E8EE"/>
    <w:rsid w:val="6751FF1D"/>
    <w:rsid w:val="6755F14F"/>
    <w:rsid w:val="675885E5"/>
    <w:rsid w:val="6758FA54"/>
    <w:rsid w:val="675B8285"/>
    <w:rsid w:val="675BD0A7"/>
    <w:rsid w:val="675E8616"/>
    <w:rsid w:val="67602B9E"/>
    <w:rsid w:val="676222FF"/>
    <w:rsid w:val="676E60A5"/>
    <w:rsid w:val="676EF10A"/>
    <w:rsid w:val="677247E8"/>
    <w:rsid w:val="677410AF"/>
    <w:rsid w:val="67753593"/>
    <w:rsid w:val="67808A0C"/>
    <w:rsid w:val="67809055"/>
    <w:rsid w:val="6785E4F9"/>
    <w:rsid w:val="678B73F2"/>
    <w:rsid w:val="679417EF"/>
    <w:rsid w:val="6795A94B"/>
    <w:rsid w:val="679A7CDA"/>
    <w:rsid w:val="679AB5C3"/>
    <w:rsid w:val="679AD21C"/>
    <w:rsid w:val="679E0202"/>
    <w:rsid w:val="67A16658"/>
    <w:rsid w:val="67A5774C"/>
    <w:rsid w:val="67A8B398"/>
    <w:rsid w:val="67AA5CB6"/>
    <w:rsid w:val="67AA5D74"/>
    <w:rsid w:val="67B64E15"/>
    <w:rsid w:val="67B6E573"/>
    <w:rsid w:val="67B8CC15"/>
    <w:rsid w:val="67B9430A"/>
    <w:rsid w:val="67B9813A"/>
    <w:rsid w:val="67BCFACD"/>
    <w:rsid w:val="67BED6A8"/>
    <w:rsid w:val="67C1EC64"/>
    <w:rsid w:val="67C2B67D"/>
    <w:rsid w:val="67C2F1A3"/>
    <w:rsid w:val="67C70FE4"/>
    <w:rsid w:val="67C7681D"/>
    <w:rsid w:val="67C9C5F7"/>
    <w:rsid w:val="67CDC0DA"/>
    <w:rsid w:val="67CE8B8A"/>
    <w:rsid w:val="67D467FE"/>
    <w:rsid w:val="67D4B9BB"/>
    <w:rsid w:val="67D4EA68"/>
    <w:rsid w:val="67D511F7"/>
    <w:rsid w:val="67DF1BF6"/>
    <w:rsid w:val="67E140C0"/>
    <w:rsid w:val="67E4987D"/>
    <w:rsid w:val="67E4FF9B"/>
    <w:rsid w:val="67E6D7F5"/>
    <w:rsid w:val="67E9DA57"/>
    <w:rsid w:val="67ED81DF"/>
    <w:rsid w:val="67EF5333"/>
    <w:rsid w:val="67EFAF76"/>
    <w:rsid w:val="67F1934C"/>
    <w:rsid w:val="67FCE29C"/>
    <w:rsid w:val="67FCF2A3"/>
    <w:rsid w:val="67FFDD39"/>
    <w:rsid w:val="68021A14"/>
    <w:rsid w:val="680247B2"/>
    <w:rsid w:val="68039C15"/>
    <w:rsid w:val="680683C3"/>
    <w:rsid w:val="68077E7D"/>
    <w:rsid w:val="6807F209"/>
    <w:rsid w:val="680841A9"/>
    <w:rsid w:val="6809194D"/>
    <w:rsid w:val="680EC5BD"/>
    <w:rsid w:val="6811B8C8"/>
    <w:rsid w:val="6814ED55"/>
    <w:rsid w:val="68183B93"/>
    <w:rsid w:val="6819114D"/>
    <w:rsid w:val="681E6125"/>
    <w:rsid w:val="68214D05"/>
    <w:rsid w:val="682153B4"/>
    <w:rsid w:val="682A9EC8"/>
    <w:rsid w:val="682F547F"/>
    <w:rsid w:val="682F824D"/>
    <w:rsid w:val="682FD39D"/>
    <w:rsid w:val="68355A83"/>
    <w:rsid w:val="6835C5AE"/>
    <w:rsid w:val="68380E91"/>
    <w:rsid w:val="683AB1A9"/>
    <w:rsid w:val="683BC8D9"/>
    <w:rsid w:val="683D5FDC"/>
    <w:rsid w:val="683D7880"/>
    <w:rsid w:val="6844E31E"/>
    <w:rsid w:val="684F6501"/>
    <w:rsid w:val="68520CDD"/>
    <w:rsid w:val="685283D7"/>
    <w:rsid w:val="6852BFAD"/>
    <w:rsid w:val="6854CBEB"/>
    <w:rsid w:val="6855D2E7"/>
    <w:rsid w:val="68587151"/>
    <w:rsid w:val="685B6DB8"/>
    <w:rsid w:val="685CEA9E"/>
    <w:rsid w:val="685F6D73"/>
    <w:rsid w:val="686091E6"/>
    <w:rsid w:val="68648903"/>
    <w:rsid w:val="686A0D74"/>
    <w:rsid w:val="686B7E2B"/>
    <w:rsid w:val="686BA745"/>
    <w:rsid w:val="6873415C"/>
    <w:rsid w:val="6873FFB2"/>
    <w:rsid w:val="6879099B"/>
    <w:rsid w:val="6879F50C"/>
    <w:rsid w:val="687B2C4A"/>
    <w:rsid w:val="687CAB70"/>
    <w:rsid w:val="688B8207"/>
    <w:rsid w:val="688C69E1"/>
    <w:rsid w:val="688DDFB4"/>
    <w:rsid w:val="688FA002"/>
    <w:rsid w:val="68918913"/>
    <w:rsid w:val="68998868"/>
    <w:rsid w:val="689A41A2"/>
    <w:rsid w:val="68A61DA6"/>
    <w:rsid w:val="68A73556"/>
    <w:rsid w:val="68AAE457"/>
    <w:rsid w:val="68ABFF2B"/>
    <w:rsid w:val="68AC5ADE"/>
    <w:rsid w:val="68AC5EC9"/>
    <w:rsid w:val="68B2FD09"/>
    <w:rsid w:val="68B3A117"/>
    <w:rsid w:val="68B48206"/>
    <w:rsid w:val="68BC3F3D"/>
    <w:rsid w:val="68BE3EF0"/>
    <w:rsid w:val="68BF54EB"/>
    <w:rsid w:val="68C59A88"/>
    <w:rsid w:val="68CC5D11"/>
    <w:rsid w:val="68CDB230"/>
    <w:rsid w:val="68CDC8AA"/>
    <w:rsid w:val="68CDCE73"/>
    <w:rsid w:val="68D02779"/>
    <w:rsid w:val="68D061FF"/>
    <w:rsid w:val="68D2E43A"/>
    <w:rsid w:val="68D513D0"/>
    <w:rsid w:val="68D90D32"/>
    <w:rsid w:val="68DAF247"/>
    <w:rsid w:val="68DB1F39"/>
    <w:rsid w:val="68DDC7AA"/>
    <w:rsid w:val="68E0D96D"/>
    <w:rsid w:val="68E3AFFC"/>
    <w:rsid w:val="68E5430A"/>
    <w:rsid w:val="68EC3527"/>
    <w:rsid w:val="68EC7516"/>
    <w:rsid w:val="68F1077A"/>
    <w:rsid w:val="68F38427"/>
    <w:rsid w:val="68F41CC4"/>
    <w:rsid w:val="6901DD10"/>
    <w:rsid w:val="690680F8"/>
    <w:rsid w:val="6908C16E"/>
    <w:rsid w:val="690CCC70"/>
    <w:rsid w:val="690D68A3"/>
    <w:rsid w:val="691154A4"/>
    <w:rsid w:val="691201E2"/>
    <w:rsid w:val="69131358"/>
    <w:rsid w:val="69140D2B"/>
    <w:rsid w:val="691A8CC3"/>
    <w:rsid w:val="691BD437"/>
    <w:rsid w:val="691BEA02"/>
    <w:rsid w:val="691D00E2"/>
    <w:rsid w:val="691DC5DA"/>
    <w:rsid w:val="691E27D9"/>
    <w:rsid w:val="691F40A3"/>
    <w:rsid w:val="69226168"/>
    <w:rsid w:val="6924A898"/>
    <w:rsid w:val="692BECC9"/>
    <w:rsid w:val="692C1F7B"/>
    <w:rsid w:val="692C61E4"/>
    <w:rsid w:val="692EDCD7"/>
    <w:rsid w:val="69324DD0"/>
    <w:rsid w:val="6932B49C"/>
    <w:rsid w:val="6935410C"/>
    <w:rsid w:val="693A6C5E"/>
    <w:rsid w:val="693CA0DF"/>
    <w:rsid w:val="693EAD98"/>
    <w:rsid w:val="693ED2DE"/>
    <w:rsid w:val="6942BCC6"/>
    <w:rsid w:val="694A3483"/>
    <w:rsid w:val="694A5619"/>
    <w:rsid w:val="694B3E3B"/>
    <w:rsid w:val="694F61BB"/>
    <w:rsid w:val="69552AED"/>
    <w:rsid w:val="69553F67"/>
    <w:rsid w:val="6955CAB8"/>
    <w:rsid w:val="6958181C"/>
    <w:rsid w:val="695AA8E1"/>
    <w:rsid w:val="695CA030"/>
    <w:rsid w:val="695F0C4F"/>
    <w:rsid w:val="696068F9"/>
    <w:rsid w:val="696202ED"/>
    <w:rsid w:val="696857BA"/>
    <w:rsid w:val="696C3788"/>
    <w:rsid w:val="696C7133"/>
    <w:rsid w:val="696DD7BE"/>
    <w:rsid w:val="696EB5D5"/>
    <w:rsid w:val="69746D59"/>
    <w:rsid w:val="6974C2CE"/>
    <w:rsid w:val="69758E5D"/>
    <w:rsid w:val="697DC0C4"/>
    <w:rsid w:val="697F6658"/>
    <w:rsid w:val="697FCBCD"/>
    <w:rsid w:val="69806345"/>
    <w:rsid w:val="69833EC7"/>
    <w:rsid w:val="698653B8"/>
    <w:rsid w:val="6986E2F8"/>
    <w:rsid w:val="698B1611"/>
    <w:rsid w:val="698B932F"/>
    <w:rsid w:val="698C67B7"/>
    <w:rsid w:val="698FF99F"/>
    <w:rsid w:val="699026C1"/>
    <w:rsid w:val="6992EA94"/>
    <w:rsid w:val="69974FE8"/>
    <w:rsid w:val="6997E7FC"/>
    <w:rsid w:val="6998DF52"/>
    <w:rsid w:val="699ADD15"/>
    <w:rsid w:val="69A1045C"/>
    <w:rsid w:val="69A2F365"/>
    <w:rsid w:val="69A3BBEF"/>
    <w:rsid w:val="69A64C51"/>
    <w:rsid w:val="69AA0C7F"/>
    <w:rsid w:val="69AB636B"/>
    <w:rsid w:val="69B74CC5"/>
    <w:rsid w:val="69B848E5"/>
    <w:rsid w:val="69BB1960"/>
    <w:rsid w:val="69BFA6CC"/>
    <w:rsid w:val="69C6AF88"/>
    <w:rsid w:val="69CAD857"/>
    <w:rsid w:val="69CAEAAE"/>
    <w:rsid w:val="69CB9457"/>
    <w:rsid w:val="69CBB867"/>
    <w:rsid w:val="69CF1657"/>
    <w:rsid w:val="69CF1D64"/>
    <w:rsid w:val="69D52283"/>
    <w:rsid w:val="69D56D78"/>
    <w:rsid w:val="69DD1427"/>
    <w:rsid w:val="69E049BA"/>
    <w:rsid w:val="69E129FF"/>
    <w:rsid w:val="69E56C6D"/>
    <w:rsid w:val="69EE9F9A"/>
    <w:rsid w:val="69EEF6DB"/>
    <w:rsid w:val="69F135F1"/>
    <w:rsid w:val="69F73D92"/>
    <w:rsid w:val="69FFC73F"/>
    <w:rsid w:val="6A06539A"/>
    <w:rsid w:val="6A08C785"/>
    <w:rsid w:val="6A0E23D7"/>
    <w:rsid w:val="6A0EB405"/>
    <w:rsid w:val="6A1253B4"/>
    <w:rsid w:val="6A139FEB"/>
    <w:rsid w:val="6A171BBE"/>
    <w:rsid w:val="6A1D198F"/>
    <w:rsid w:val="6A1FEC0A"/>
    <w:rsid w:val="6A23ED14"/>
    <w:rsid w:val="6A2A7022"/>
    <w:rsid w:val="6A2DBA7F"/>
    <w:rsid w:val="6A2EAD44"/>
    <w:rsid w:val="6A2FBE7F"/>
    <w:rsid w:val="6A31B23C"/>
    <w:rsid w:val="6A322CA2"/>
    <w:rsid w:val="6A363DA1"/>
    <w:rsid w:val="6A39E62E"/>
    <w:rsid w:val="6A3CC188"/>
    <w:rsid w:val="6A40636E"/>
    <w:rsid w:val="6A413FFF"/>
    <w:rsid w:val="6A4207A3"/>
    <w:rsid w:val="6A448869"/>
    <w:rsid w:val="6A539A24"/>
    <w:rsid w:val="6A58E738"/>
    <w:rsid w:val="6A5BA564"/>
    <w:rsid w:val="6A5E86B8"/>
    <w:rsid w:val="6A5F2B02"/>
    <w:rsid w:val="6A61ECFF"/>
    <w:rsid w:val="6A65E76F"/>
    <w:rsid w:val="6A667930"/>
    <w:rsid w:val="6A67CFCE"/>
    <w:rsid w:val="6A6DCEA6"/>
    <w:rsid w:val="6A79B53C"/>
    <w:rsid w:val="6A7A2095"/>
    <w:rsid w:val="6A7B0DD6"/>
    <w:rsid w:val="6A8033C2"/>
    <w:rsid w:val="6A80E580"/>
    <w:rsid w:val="6A81136B"/>
    <w:rsid w:val="6A813F99"/>
    <w:rsid w:val="6A859ABA"/>
    <w:rsid w:val="6A8C285E"/>
    <w:rsid w:val="6A8E6279"/>
    <w:rsid w:val="6A8FC107"/>
    <w:rsid w:val="6A914ED3"/>
    <w:rsid w:val="6A92E07E"/>
    <w:rsid w:val="6A989E27"/>
    <w:rsid w:val="6A9AB3F8"/>
    <w:rsid w:val="6A9C10FB"/>
    <w:rsid w:val="6A9CA47A"/>
    <w:rsid w:val="6A9EF5C4"/>
    <w:rsid w:val="6AA666C9"/>
    <w:rsid w:val="6AA8B8EC"/>
    <w:rsid w:val="6AA91CA8"/>
    <w:rsid w:val="6AAAACA6"/>
    <w:rsid w:val="6AAD24AB"/>
    <w:rsid w:val="6AAE0499"/>
    <w:rsid w:val="6AB10004"/>
    <w:rsid w:val="6AB352D8"/>
    <w:rsid w:val="6AB3CCED"/>
    <w:rsid w:val="6AB4684A"/>
    <w:rsid w:val="6AB5A697"/>
    <w:rsid w:val="6ABB5BBA"/>
    <w:rsid w:val="6ABCD590"/>
    <w:rsid w:val="6ABCEDC1"/>
    <w:rsid w:val="6ABD9DC7"/>
    <w:rsid w:val="6ABE6AE8"/>
    <w:rsid w:val="6ABF99A1"/>
    <w:rsid w:val="6AC01AB3"/>
    <w:rsid w:val="6AC47720"/>
    <w:rsid w:val="6AC48AA9"/>
    <w:rsid w:val="6ACB2FD0"/>
    <w:rsid w:val="6ACDFDBC"/>
    <w:rsid w:val="6AD2A2F8"/>
    <w:rsid w:val="6AD2D7DC"/>
    <w:rsid w:val="6AE259AA"/>
    <w:rsid w:val="6AE3021E"/>
    <w:rsid w:val="6AE3E537"/>
    <w:rsid w:val="6AE54EB5"/>
    <w:rsid w:val="6AE89516"/>
    <w:rsid w:val="6AE9DD4B"/>
    <w:rsid w:val="6AEA291E"/>
    <w:rsid w:val="6AEB9C1A"/>
    <w:rsid w:val="6AECCCC5"/>
    <w:rsid w:val="6AEED68B"/>
    <w:rsid w:val="6AF09922"/>
    <w:rsid w:val="6AF36CE2"/>
    <w:rsid w:val="6AF425E6"/>
    <w:rsid w:val="6AF848A6"/>
    <w:rsid w:val="6AFE071B"/>
    <w:rsid w:val="6AFE13C0"/>
    <w:rsid w:val="6B042110"/>
    <w:rsid w:val="6B05034A"/>
    <w:rsid w:val="6B077407"/>
    <w:rsid w:val="6B0AE4AE"/>
    <w:rsid w:val="6B0D5287"/>
    <w:rsid w:val="6B0E6F56"/>
    <w:rsid w:val="6B11D5B0"/>
    <w:rsid w:val="6B1B6E89"/>
    <w:rsid w:val="6B1DE37A"/>
    <w:rsid w:val="6B21A900"/>
    <w:rsid w:val="6B2318E8"/>
    <w:rsid w:val="6B25475C"/>
    <w:rsid w:val="6B273759"/>
    <w:rsid w:val="6B2E592A"/>
    <w:rsid w:val="6B2EF2A7"/>
    <w:rsid w:val="6B30D63B"/>
    <w:rsid w:val="6B36A12B"/>
    <w:rsid w:val="6B3A97B6"/>
    <w:rsid w:val="6B49C993"/>
    <w:rsid w:val="6B4B9784"/>
    <w:rsid w:val="6B4F6A1C"/>
    <w:rsid w:val="6B51D81B"/>
    <w:rsid w:val="6B55A00E"/>
    <w:rsid w:val="6B5DA629"/>
    <w:rsid w:val="6B5E08C6"/>
    <w:rsid w:val="6B600316"/>
    <w:rsid w:val="6B62F0EC"/>
    <w:rsid w:val="6B63A98A"/>
    <w:rsid w:val="6B650363"/>
    <w:rsid w:val="6B6635DA"/>
    <w:rsid w:val="6B6C1389"/>
    <w:rsid w:val="6B6D880F"/>
    <w:rsid w:val="6B6DD042"/>
    <w:rsid w:val="6B6DEA98"/>
    <w:rsid w:val="6B6F28F3"/>
    <w:rsid w:val="6B702BEC"/>
    <w:rsid w:val="6B731DB8"/>
    <w:rsid w:val="6B74229F"/>
    <w:rsid w:val="6B79503A"/>
    <w:rsid w:val="6B7DCD79"/>
    <w:rsid w:val="6B80603C"/>
    <w:rsid w:val="6B8257C3"/>
    <w:rsid w:val="6B830E2C"/>
    <w:rsid w:val="6B87046F"/>
    <w:rsid w:val="6B8770E2"/>
    <w:rsid w:val="6B8955B1"/>
    <w:rsid w:val="6B8CD127"/>
    <w:rsid w:val="6B9214B9"/>
    <w:rsid w:val="6B92D002"/>
    <w:rsid w:val="6B962AD0"/>
    <w:rsid w:val="6B9657B4"/>
    <w:rsid w:val="6B981AFB"/>
    <w:rsid w:val="6B9CEDD3"/>
    <w:rsid w:val="6BA4671B"/>
    <w:rsid w:val="6BA5ED81"/>
    <w:rsid w:val="6BA78A5A"/>
    <w:rsid w:val="6BAAC7B8"/>
    <w:rsid w:val="6BABBA3C"/>
    <w:rsid w:val="6BAF33C2"/>
    <w:rsid w:val="6BB066F0"/>
    <w:rsid w:val="6BB11701"/>
    <w:rsid w:val="6BB18314"/>
    <w:rsid w:val="6BB29EED"/>
    <w:rsid w:val="6BB329E4"/>
    <w:rsid w:val="6BB3A8E1"/>
    <w:rsid w:val="6BB7E861"/>
    <w:rsid w:val="6BBB6FCB"/>
    <w:rsid w:val="6BBCCFC6"/>
    <w:rsid w:val="6BBE702B"/>
    <w:rsid w:val="6BC1EE91"/>
    <w:rsid w:val="6BC73571"/>
    <w:rsid w:val="6BC929D5"/>
    <w:rsid w:val="6BC92DF6"/>
    <w:rsid w:val="6BCB170D"/>
    <w:rsid w:val="6BCB40D4"/>
    <w:rsid w:val="6BCE3A31"/>
    <w:rsid w:val="6BCF57F4"/>
    <w:rsid w:val="6BCF72DB"/>
    <w:rsid w:val="6BD26ABC"/>
    <w:rsid w:val="6BD2EFBF"/>
    <w:rsid w:val="6BD31A60"/>
    <w:rsid w:val="6BD9DFFA"/>
    <w:rsid w:val="6BDDA439"/>
    <w:rsid w:val="6BE002AB"/>
    <w:rsid w:val="6BE0D1C9"/>
    <w:rsid w:val="6BE1FB1D"/>
    <w:rsid w:val="6BE2AC82"/>
    <w:rsid w:val="6BE79697"/>
    <w:rsid w:val="6BEE56D3"/>
    <w:rsid w:val="6BF02CEC"/>
    <w:rsid w:val="6BF9F2D3"/>
    <w:rsid w:val="6BFA92D7"/>
    <w:rsid w:val="6BFBB6A0"/>
    <w:rsid w:val="6BFC37B7"/>
    <w:rsid w:val="6BFEEAF1"/>
    <w:rsid w:val="6BFF6529"/>
    <w:rsid w:val="6C0E52ED"/>
    <w:rsid w:val="6C0F659C"/>
    <w:rsid w:val="6C168E72"/>
    <w:rsid w:val="6C17C7CE"/>
    <w:rsid w:val="6C191C16"/>
    <w:rsid w:val="6C1F2282"/>
    <w:rsid w:val="6C1FCC81"/>
    <w:rsid w:val="6C220A1A"/>
    <w:rsid w:val="6C23C5A5"/>
    <w:rsid w:val="6C24BA3E"/>
    <w:rsid w:val="6C270511"/>
    <w:rsid w:val="6C2FC2AF"/>
    <w:rsid w:val="6C309095"/>
    <w:rsid w:val="6C365FCA"/>
    <w:rsid w:val="6C3725A4"/>
    <w:rsid w:val="6C3C3F58"/>
    <w:rsid w:val="6C42EEE3"/>
    <w:rsid w:val="6C4354E8"/>
    <w:rsid w:val="6C43827C"/>
    <w:rsid w:val="6C44043D"/>
    <w:rsid w:val="6C459C8C"/>
    <w:rsid w:val="6C472621"/>
    <w:rsid w:val="6C4AC6A7"/>
    <w:rsid w:val="6C56192A"/>
    <w:rsid w:val="6C581B6E"/>
    <w:rsid w:val="6C5D185C"/>
    <w:rsid w:val="6C617152"/>
    <w:rsid w:val="6C629C03"/>
    <w:rsid w:val="6C690517"/>
    <w:rsid w:val="6C6F9D6B"/>
    <w:rsid w:val="6C70F057"/>
    <w:rsid w:val="6C710E0A"/>
    <w:rsid w:val="6C756374"/>
    <w:rsid w:val="6C76DFF4"/>
    <w:rsid w:val="6C7793E5"/>
    <w:rsid w:val="6C783776"/>
    <w:rsid w:val="6C81986B"/>
    <w:rsid w:val="6C822A75"/>
    <w:rsid w:val="6C850744"/>
    <w:rsid w:val="6C85393A"/>
    <w:rsid w:val="6C856C5B"/>
    <w:rsid w:val="6C85743A"/>
    <w:rsid w:val="6C8B7EAE"/>
    <w:rsid w:val="6C8FC000"/>
    <w:rsid w:val="6C90C30B"/>
    <w:rsid w:val="6C9F271B"/>
    <w:rsid w:val="6C9F99F0"/>
    <w:rsid w:val="6CA3854C"/>
    <w:rsid w:val="6CA4CC1D"/>
    <w:rsid w:val="6CA6F527"/>
    <w:rsid w:val="6CB209F0"/>
    <w:rsid w:val="6CB38275"/>
    <w:rsid w:val="6CB3DF4F"/>
    <w:rsid w:val="6CB6885B"/>
    <w:rsid w:val="6CBD67EA"/>
    <w:rsid w:val="6CC57625"/>
    <w:rsid w:val="6CC5A95F"/>
    <w:rsid w:val="6CC624B7"/>
    <w:rsid w:val="6CD10110"/>
    <w:rsid w:val="6CD4DCF6"/>
    <w:rsid w:val="6CD5AFED"/>
    <w:rsid w:val="6CD861D0"/>
    <w:rsid w:val="6CDB598A"/>
    <w:rsid w:val="6CDF6669"/>
    <w:rsid w:val="6CE50666"/>
    <w:rsid w:val="6CE644FD"/>
    <w:rsid w:val="6CE79125"/>
    <w:rsid w:val="6CE9DBBD"/>
    <w:rsid w:val="6CEA578C"/>
    <w:rsid w:val="6CEC7DCA"/>
    <w:rsid w:val="6CEF0E88"/>
    <w:rsid w:val="6CEF1E51"/>
    <w:rsid w:val="6CF05142"/>
    <w:rsid w:val="6CF26BC1"/>
    <w:rsid w:val="6CF5FB04"/>
    <w:rsid w:val="6D0C8937"/>
    <w:rsid w:val="6D0C8CB4"/>
    <w:rsid w:val="6D122BD0"/>
    <w:rsid w:val="6D15286C"/>
    <w:rsid w:val="6D1563DE"/>
    <w:rsid w:val="6D1A30A3"/>
    <w:rsid w:val="6D24433A"/>
    <w:rsid w:val="6D25B0E2"/>
    <w:rsid w:val="6D286199"/>
    <w:rsid w:val="6D2BF3F8"/>
    <w:rsid w:val="6D2CA7A2"/>
    <w:rsid w:val="6D2F8917"/>
    <w:rsid w:val="6D303F49"/>
    <w:rsid w:val="6D320A4E"/>
    <w:rsid w:val="6D33C4E8"/>
    <w:rsid w:val="6D365A8F"/>
    <w:rsid w:val="6D38B865"/>
    <w:rsid w:val="6D3BE42D"/>
    <w:rsid w:val="6D3E076C"/>
    <w:rsid w:val="6D40D3EF"/>
    <w:rsid w:val="6D425471"/>
    <w:rsid w:val="6D425916"/>
    <w:rsid w:val="6D42D58D"/>
    <w:rsid w:val="6D45A6F0"/>
    <w:rsid w:val="6D540B7A"/>
    <w:rsid w:val="6D549569"/>
    <w:rsid w:val="6D54A8D5"/>
    <w:rsid w:val="6D559323"/>
    <w:rsid w:val="6D55A0AA"/>
    <w:rsid w:val="6D56D290"/>
    <w:rsid w:val="6D57A84D"/>
    <w:rsid w:val="6D58B907"/>
    <w:rsid w:val="6D598F26"/>
    <w:rsid w:val="6D5A9E38"/>
    <w:rsid w:val="6D5C9816"/>
    <w:rsid w:val="6D5E1FB7"/>
    <w:rsid w:val="6D5FE8E2"/>
    <w:rsid w:val="6D6510BA"/>
    <w:rsid w:val="6D66264A"/>
    <w:rsid w:val="6D669146"/>
    <w:rsid w:val="6D675C23"/>
    <w:rsid w:val="6D6797F2"/>
    <w:rsid w:val="6D687CD8"/>
    <w:rsid w:val="6D7447C0"/>
    <w:rsid w:val="6D7565CA"/>
    <w:rsid w:val="6D7CA22A"/>
    <w:rsid w:val="6D7E3915"/>
    <w:rsid w:val="6D834E66"/>
    <w:rsid w:val="6D8EBFA1"/>
    <w:rsid w:val="6D9029E9"/>
    <w:rsid w:val="6D946089"/>
    <w:rsid w:val="6D95046F"/>
    <w:rsid w:val="6D96973F"/>
    <w:rsid w:val="6D9A22D8"/>
    <w:rsid w:val="6D9E8750"/>
    <w:rsid w:val="6DA024DD"/>
    <w:rsid w:val="6DA0703A"/>
    <w:rsid w:val="6DA412D0"/>
    <w:rsid w:val="6DA83A57"/>
    <w:rsid w:val="6DA9BD12"/>
    <w:rsid w:val="6DA9F09E"/>
    <w:rsid w:val="6DAC2830"/>
    <w:rsid w:val="6DAC8844"/>
    <w:rsid w:val="6DB41B05"/>
    <w:rsid w:val="6DBA5FCF"/>
    <w:rsid w:val="6DBB38D7"/>
    <w:rsid w:val="6DBD9C37"/>
    <w:rsid w:val="6DBDC182"/>
    <w:rsid w:val="6DC12A4C"/>
    <w:rsid w:val="6DC52FE8"/>
    <w:rsid w:val="6DC54CE7"/>
    <w:rsid w:val="6DC5D939"/>
    <w:rsid w:val="6DCC658E"/>
    <w:rsid w:val="6DCFF846"/>
    <w:rsid w:val="6DD609B4"/>
    <w:rsid w:val="6DD87984"/>
    <w:rsid w:val="6DD8C613"/>
    <w:rsid w:val="6DE28D89"/>
    <w:rsid w:val="6DE32714"/>
    <w:rsid w:val="6DE3BD23"/>
    <w:rsid w:val="6DE4DE53"/>
    <w:rsid w:val="6DE9D434"/>
    <w:rsid w:val="6DEB095E"/>
    <w:rsid w:val="6DEBC5D4"/>
    <w:rsid w:val="6DEEC473"/>
    <w:rsid w:val="6DEFBAF0"/>
    <w:rsid w:val="6DF5DA87"/>
    <w:rsid w:val="6DF93EC2"/>
    <w:rsid w:val="6DFB7DF1"/>
    <w:rsid w:val="6DFDB8B4"/>
    <w:rsid w:val="6DFDD726"/>
    <w:rsid w:val="6DFE7900"/>
    <w:rsid w:val="6E0064B4"/>
    <w:rsid w:val="6E0A35F4"/>
    <w:rsid w:val="6E0D302D"/>
    <w:rsid w:val="6E1139F2"/>
    <w:rsid w:val="6E15698B"/>
    <w:rsid w:val="6E16DFA1"/>
    <w:rsid w:val="6E182DAE"/>
    <w:rsid w:val="6E18E226"/>
    <w:rsid w:val="6E1B45CA"/>
    <w:rsid w:val="6E1DDDEA"/>
    <w:rsid w:val="6E21E217"/>
    <w:rsid w:val="6E2342D5"/>
    <w:rsid w:val="6E24275B"/>
    <w:rsid w:val="6E24F636"/>
    <w:rsid w:val="6E271D28"/>
    <w:rsid w:val="6E27369E"/>
    <w:rsid w:val="6E277EEB"/>
    <w:rsid w:val="6E319CA7"/>
    <w:rsid w:val="6E327C22"/>
    <w:rsid w:val="6E3427A3"/>
    <w:rsid w:val="6E361D3E"/>
    <w:rsid w:val="6E36954D"/>
    <w:rsid w:val="6E3B7CFD"/>
    <w:rsid w:val="6E3E3399"/>
    <w:rsid w:val="6E3F9082"/>
    <w:rsid w:val="6E4081E6"/>
    <w:rsid w:val="6E41D4A6"/>
    <w:rsid w:val="6E44779B"/>
    <w:rsid w:val="6E454BD0"/>
    <w:rsid w:val="6E457259"/>
    <w:rsid w:val="6E46C309"/>
    <w:rsid w:val="6E47BFD1"/>
    <w:rsid w:val="6E482270"/>
    <w:rsid w:val="6E4AE6B2"/>
    <w:rsid w:val="6E4E5CEF"/>
    <w:rsid w:val="6E52DBBD"/>
    <w:rsid w:val="6E537541"/>
    <w:rsid w:val="6E56936C"/>
    <w:rsid w:val="6E58EB9F"/>
    <w:rsid w:val="6E59493D"/>
    <w:rsid w:val="6E5A7E49"/>
    <w:rsid w:val="6E5AF965"/>
    <w:rsid w:val="6E5C33D7"/>
    <w:rsid w:val="6E681C4F"/>
    <w:rsid w:val="6E692CB4"/>
    <w:rsid w:val="6E6B257F"/>
    <w:rsid w:val="6E6B3709"/>
    <w:rsid w:val="6E6F4607"/>
    <w:rsid w:val="6E71DABB"/>
    <w:rsid w:val="6E726E71"/>
    <w:rsid w:val="6E73C270"/>
    <w:rsid w:val="6E74B408"/>
    <w:rsid w:val="6E7512BF"/>
    <w:rsid w:val="6E791466"/>
    <w:rsid w:val="6E7C2753"/>
    <w:rsid w:val="6E88B602"/>
    <w:rsid w:val="6E8B8C8B"/>
    <w:rsid w:val="6E8BE100"/>
    <w:rsid w:val="6E932CC5"/>
    <w:rsid w:val="6E9E0DE4"/>
    <w:rsid w:val="6EA0C157"/>
    <w:rsid w:val="6EA1CA61"/>
    <w:rsid w:val="6EA200D8"/>
    <w:rsid w:val="6EA35278"/>
    <w:rsid w:val="6EA66E04"/>
    <w:rsid w:val="6EA8F45E"/>
    <w:rsid w:val="6EABC4E1"/>
    <w:rsid w:val="6EAD6FEB"/>
    <w:rsid w:val="6EAD7F03"/>
    <w:rsid w:val="6EB09703"/>
    <w:rsid w:val="6EB4E152"/>
    <w:rsid w:val="6EBA8A80"/>
    <w:rsid w:val="6EBF0E02"/>
    <w:rsid w:val="6EC105C4"/>
    <w:rsid w:val="6EC4947E"/>
    <w:rsid w:val="6EC54501"/>
    <w:rsid w:val="6EC5C404"/>
    <w:rsid w:val="6EC5D67D"/>
    <w:rsid w:val="6EC768BF"/>
    <w:rsid w:val="6EC77262"/>
    <w:rsid w:val="6EC8812E"/>
    <w:rsid w:val="6EC8855E"/>
    <w:rsid w:val="6ED77CFC"/>
    <w:rsid w:val="6ED8426D"/>
    <w:rsid w:val="6EDB8BA1"/>
    <w:rsid w:val="6EE6E5D1"/>
    <w:rsid w:val="6EE9BD3D"/>
    <w:rsid w:val="6EF414B9"/>
    <w:rsid w:val="6EF5DDB3"/>
    <w:rsid w:val="6EF8F5FA"/>
    <w:rsid w:val="6EFDD660"/>
    <w:rsid w:val="6EFE4B8F"/>
    <w:rsid w:val="6EFF8EB7"/>
    <w:rsid w:val="6F0814E8"/>
    <w:rsid w:val="6F09BD70"/>
    <w:rsid w:val="6F0B573D"/>
    <w:rsid w:val="6F0D138E"/>
    <w:rsid w:val="6F12D21D"/>
    <w:rsid w:val="6F130ACC"/>
    <w:rsid w:val="6F142DE8"/>
    <w:rsid w:val="6F17A8B2"/>
    <w:rsid w:val="6F1D48BD"/>
    <w:rsid w:val="6F1E25BF"/>
    <w:rsid w:val="6F1F6D64"/>
    <w:rsid w:val="6F1FF05D"/>
    <w:rsid w:val="6F218397"/>
    <w:rsid w:val="6F21CA36"/>
    <w:rsid w:val="6F2686D7"/>
    <w:rsid w:val="6F283AA2"/>
    <w:rsid w:val="6F28898F"/>
    <w:rsid w:val="6F293702"/>
    <w:rsid w:val="6F299B57"/>
    <w:rsid w:val="6F2A05DE"/>
    <w:rsid w:val="6F2D1591"/>
    <w:rsid w:val="6F2DDE9A"/>
    <w:rsid w:val="6F3006D5"/>
    <w:rsid w:val="6F30FE0D"/>
    <w:rsid w:val="6F3267F8"/>
    <w:rsid w:val="6F369898"/>
    <w:rsid w:val="6F38F8C5"/>
    <w:rsid w:val="6F3AC6BB"/>
    <w:rsid w:val="6F3D75AE"/>
    <w:rsid w:val="6F3DF5AB"/>
    <w:rsid w:val="6F3E158F"/>
    <w:rsid w:val="6F4383B9"/>
    <w:rsid w:val="6F45442F"/>
    <w:rsid w:val="6F45A1A4"/>
    <w:rsid w:val="6F4687AB"/>
    <w:rsid w:val="6F46C27B"/>
    <w:rsid w:val="6F47C57B"/>
    <w:rsid w:val="6F48C93C"/>
    <w:rsid w:val="6F4A5289"/>
    <w:rsid w:val="6F5107D6"/>
    <w:rsid w:val="6F546E66"/>
    <w:rsid w:val="6F549834"/>
    <w:rsid w:val="6F5830F2"/>
    <w:rsid w:val="6F586027"/>
    <w:rsid w:val="6F5A89B8"/>
    <w:rsid w:val="6F5BD2BA"/>
    <w:rsid w:val="6F604BF1"/>
    <w:rsid w:val="6F62C587"/>
    <w:rsid w:val="6F6514D8"/>
    <w:rsid w:val="6F6B6C26"/>
    <w:rsid w:val="6F6DD105"/>
    <w:rsid w:val="6F6E8A85"/>
    <w:rsid w:val="6F72DAF8"/>
    <w:rsid w:val="6F76FCD7"/>
    <w:rsid w:val="6F7891CB"/>
    <w:rsid w:val="6F7A7F5B"/>
    <w:rsid w:val="6F7A83BF"/>
    <w:rsid w:val="6F7AA784"/>
    <w:rsid w:val="6F7C8EFD"/>
    <w:rsid w:val="6F80212F"/>
    <w:rsid w:val="6F812AD4"/>
    <w:rsid w:val="6F845C3E"/>
    <w:rsid w:val="6F85BA90"/>
    <w:rsid w:val="6F8B1E6E"/>
    <w:rsid w:val="6F92DB8D"/>
    <w:rsid w:val="6F94D774"/>
    <w:rsid w:val="6F9A7431"/>
    <w:rsid w:val="6F9C030B"/>
    <w:rsid w:val="6F9D32CF"/>
    <w:rsid w:val="6FA20DC2"/>
    <w:rsid w:val="6FA324C1"/>
    <w:rsid w:val="6FA6CE80"/>
    <w:rsid w:val="6FA84937"/>
    <w:rsid w:val="6FAAAC7D"/>
    <w:rsid w:val="6FAB7AB1"/>
    <w:rsid w:val="6FB1B630"/>
    <w:rsid w:val="6FB29732"/>
    <w:rsid w:val="6FB3B81E"/>
    <w:rsid w:val="6FB3C3BB"/>
    <w:rsid w:val="6FB3CCA0"/>
    <w:rsid w:val="6FB4A722"/>
    <w:rsid w:val="6FB79F5F"/>
    <w:rsid w:val="6FB9C63F"/>
    <w:rsid w:val="6FBC96C9"/>
    <w:rsid w:val="6FBD569A"/>
    <w:rsid w:val="6FBF133F"/>
    <w:rsid w:val="6FC033AA"/>
    <w:rsid w:val="6FC08267"/>
    <w:rsid w:val="6FC20D4D"/>
    <w:rsid w:val="6FC3F7D4"/>
    <w:rsid w:val="6FCA9E2D"/>
    <w:rsid w:val="6FCDA63D"/>
    <w:rsid w:val="6FCECF61"/>
    <w:rsid w:val="6FCF711B"/>
    <w:rsid w:val="6FD5E13E"/>
    <w:rsid w:val="6FD83CFC"/>
    <w:rsid w:val="6FD8D433"/>
    <w:rsid w:val="6FD92422"/>
    <w:rsid w:val="6FDAFEC7"/>
    <w:rsid w:val="6FDB38CB"/>
    <w:rsid w:val="6FDD24F3"/>
    <w:rsid w:val="6FDE15B0"/>
    <w:rsid w:val="6FDE1E72"/>
    <w:rsid w:val="6FDEDEFB"/>
    <w:rsid w:val="6FE091D3"/>
    <w:rsid w:val="6FE23697"/>
    <w:rsid w:val="6FE716D1"/>
    <w:rsid w:val="6FEB7531"/>
    <w:rsid w:val="6FF2E637"/>
    <w:rsid w:val="6FFADD47"/>
    <w:rsid w:val="6FFFE976"/>
    <w:rsid w:val="70015E02"/>
    <w:rsid w:val="70027334"/>
    <w:rsid w:val="70080930"/>
    <w:rsid w:val="700CD464"/>
    <w:rsid w:val="700D08F4"/>
    <w:rsid w:val="700E19FB"/>
    <w:rsid w:val="700E4965"/>
    <w:rsid w:val="7010A34C"/>
    <w:rsid w:val="701486FA"/>
    <w:rsid w:val="7015B056"/>
    <w:rsid w:val="7016AED7"/>
    <w:rsid w:val="70197967"/>
    <w:rsid w:val="701A0EA0"/>
    <w:rsid w:val="701A6812"/>
    <w:rsid w:val="701CE946"/>
    <w:rsid w:val="701D701A"/>
    <w:rsid w:val="701F00A3"/>
    <w:rsid w:val="702509B4"/>
    <w:rsid w:val="7025A1DF"/>
    <w:rsid w:val="702D1F5F"/>
    <w:rsid w:val="702D6CAC"/>
    <w:rsid w:val="70301C52"/>
    <w:rsid w:val="7032C0DF"/>
    <w:rsid w:val="7038C408"/>
    <w:rsid w:val="7038F93D"/>
    <w:rsid w:val="7039866D"/>
    <w:rsid w:val="703B2A49"/>
    <w:rsid w:val="703DDFEA"/>
    <w:rsid w:val="7041587A"/>
    <w:rsid w:val="70443D7A"/>
    <w:rsid w:val="7045A118"/>
    <w:rsid w:val="70471C5D"/>
    <w:rsid w:val="70481F29"/>
    <w:rsid w:val="70491A1B"/>
    <w:rsid w:val="70492BCB"/>
    <w:rsid w:val="704E3C56"/>
    <w:rsid w:val="7050CC0D"/>
    <w:rsid w:val="7050D8CE"/>
    <w:rsid w:val="705100AD"/>
    <w:rsid w:val="70575B72"/>
    <w:rsid w:val="70593A04"/>
    <w:rsid w:val="705E3B1E"/>
    <w:rsid w:val="7060BD79"/>
    <w:rsid w:val="7060D7D5"/>
    <w:rsid w:val="7064C72F"/>
    <w:rsid w:val="70677DD7"/>
    <w:rsid w:val="706A8E48"/>
    <w:rsid w:val="706B4508"/>
    <w:rsid w:val="706C00B8"/>
    <w:rsid w:val="706E7FE1"/>
    <w:rsid w:val="7070E5B4"/>
    <w:rsid w:val="7071418B"/>
    <w:rsid w:val="7072B73A"/>
    <w:rsid w:val="70754175"/>
    <w:rsid w:val="70765866"/>
    <w:rsid w:val="70784CCA"/>
    <w:rsid w:val="7078E9E1"/>
    <w:rsid w:val="7079C7A4"/>
    <w:rsid w:val="708616FD"/>
    <w:rsid w:val="708B58F3"/>
    <w:rsid w:val="708B6DD2"/>
    <w:rsid w:val="708CDC76"/>
    <w:rsid w:val="70901105"/>
    <w:rsid w:val="7097E48B"/>
    <w:rsid w:val="709840EF"/>
    <w:rsid w:val="709C7B5A"/>
    <w:rsid w:val="70A39A4B"/>
    <w:rsid w:val="70A56A12"/>
    <w:rsid w:val="70A98FE4"/>
    <w:rsid w:val="70ABA8BE"/>
    <w:rsid w:val="70AF925C"/>
    <w:rsid w:val="70B30EC9"/>
    <w:rsid w:val="70B4C374"/>
    <w:rsid w:val="70B69DEB"/>
    <w:rsid w:val="70B7351D"/>
    <w:rsid w:val="70B88CBF"/>
    <w:rsid w:val="70B88D7C"/>
    <w:rsid w:val="70BAF72F"/>
    <w:rsid w:val="70BC273A"/>
    <w:rsid w:val="70C4EDD5"/>
    <w:rsid w:val="70CE81B0"/>
    <w:rsid w:val="70CF30B6"/>
    <w:rsid w:val="70CFC853"/>
    <w:rsid w:val="70DC105C"/>
    <w:rsid w:val="70DDCCC6"/>
    <w:rsid w:val="70DF56E4"/>
    <w:rsid w:val="70E6965B"/>
    <w:rsid w:val="70E6B52B"/>
    <w:rsid w:val="70EA7700"/>
    <w:rsid w:val="70EA813E"/>
    <w:rsid w:val="70EAE076"/>
    <w:rsid w:val="70F1439A"/>
    <w:rsid w:val="7101611E"/>
    <w:rsid w:val="71026F4A"/>
    <w:rsid w:val="71076F8D"/>
    <w:rsid w:val="7107C35F"/>
    <w:rsid w:val="710A84A6"/>
    <w:rsid w:val="710E1617"/>
    <w:rsid w:val="710FC24C"/>
    <w:rsid w:val="71101595"/>
    <w:rsid w:val="71159AB0"/>
    <w:rsid w:val="71183D6C"/>
    <w:rsid w:val="7119735A"/>
    <w:rsid w:val="711BA1C1"/>
    <w:rsid w:val="711DCF7E"/>
    <w:rsid w:val="711DDDEC"/>
    <w:rsid w:val="7121580C"/>
    <w:rsid w:val="7122F0AA"/>
    <w:rsid w:val="712506AE"/>
    <w:rsid w:val="712A2B4A"/>
    <w:rsid w:val="712CD9AB"/>
    <w:rsid w:val="71336230"/>
    <w:rsid w:val="71341408"/>
    <w:rsid w:val="713F99AD"/>
    <w:rsid w:val="714052B0"/>
    <w:rsid w:val="7146044F"/>
    <w:rsid w:val="714C4145"/>
    <w:rsid w:val="714DCFB1"/>
    <w:rsid w:val="714E31AB"/>
    <w:rsid w:val="714ED773"/>
    <w:rsid w:val="7150BA1B"/>
    <w:rsid w:val="7150CC48"/>
    <w:rsid w:val="7151C399"/>
    <w:rsid w:val="71522079"/>
    <w:rsid w:val="71539DA1"/>
    <w:rsid w:val="7153B62C"/>
    <w:rsid w:val="715948CF"/>
    <w:rsid w:val="715EBD93"/>
    <w:rsid w:val="7167AB50"/>
    <w:rsid w:val="716D68F3"/>
    <w:rsid w:val="716D8A97"/>
    <w:rsid w:val="71731E91"/>
    <w:rsid w:val="7175F679"/>
    <w:rsid w:val="71776117"/>
    <w:rsid w:val="717AE34B"/>
    <w:rsid w:val="717F31E2"/>
    <w:rsid w:val="71868D89"/>
    <w:rsid w:val="71892B15"/>
    <w:rsid w:val="718E1774"/>
    <w:rsid w:val="71927350"/>
    <w:rsid w:val="7193A2F1"/>
    <w:rsid w:val="7198759A"/>
    <w:rsid w:val="7199BE77"/>
    <w:rsid w:val="719C41EF"/>
    <w:rsid w:val="719CD6FC"/>
    <w:rsid w:val="719E5C72"/>
    <w:rsid w:val="719F00DA"/>
    <w:rsid w:val="719F463B"/>
    <w:rsid w:val="71A2713A"/>
    <w:rsid w:val="71A3DA93"/>
    <w:rsid w:val="71A63CA8"/>
    <w:rsid w:val="71A6D1B0"/>
    <w:rsid w:val="71A7BF8A"/>
    <w:rsid w:val="71B4E2E2"/>
    <w:rsid w:val="71B6A41C"/>
    <w:rsid w:val="71B96623"/>
    <w:rsid w:val="71C557D4"/>
    <w:rsid w:val="71C6AC0E"/>
    <w:rsid w:val="71C82F78"/>
    <w:rsid w:val="71D02AD7"/>
    <w:rsid w:val="71D4D969"/>
    <w:rsid w:val="71D593D0"/>
    <w:rsid w:val="71DA61DD"/>
    <w:rsid w:val="71DF3743"/>
    <w:rsid w:val="71E7ED9E"/>
    <w:rsid w:val="71ED8F77"/>
    <w:rsid w:val="71EDE6F8"/>
    <w:rsid w:val="71EE132A"/>
    <w:rsid w:val="71EE229A"/>
    <w:rsid w:val="71F2A041"/>
    <w:rsid w:val="71F56A73"/>
    <w:rsid w:val="71F7537C"/>
    <w:rsid w:val="71FE3CF8"/>
    <w:rsid w:val="7201071F"/>
    <w:rsid w:val="7201F95B"/>
    <w:rsid w:val="72045635"/>
    <w:rsid w:val="72068017"/>
    <w:rsid w:val="720B2662"/>
    <w:rsid w:val="72105D36"/>
    <w:rsid w:val="7211F97E"/>
    <w:rsid w:val="721661B0"/>
    <w:rsid w:val="72179BDC"/>
    <w:rsid w:val="721876D3"/>
    <w:rsid w:val="721CFCB0"/>
    <w:rsid w:val="721FDC8E"/>
    <w:rsid w:val="722528FD"/>
    <w:rsid w:val="722ABB61"/>
    <w:rsid w:val="722D4041"/>
    <w:rsid w:val="722F7917"/>
    <w:rsid w:val="7237BF44"/>
    <w:rsid w:val="723B0791"/>
    <w:rsid w:val="723FD12A"/>
    <w:rsid w:val="724241C9"/>
    <w:rsid w:val="72443412"/>
    <w:rsid w:val="7246166C"/>
    <w:rsid w:val="724858CF"/>
    <w:rsid w:val="724A177B"/>
    <w:rsid w:val="724B1DA6"/>
    <w:rsid w:val="724C0AFD"/>
    <w:rsid w:val="7252EB55"/>
    <w:rsid w:val="7254F324"/>
    <w:rsid w:val="7256019D"/>
    <w:rsid w:val="7257C5B5"/>
    <w:rsid w:val="725B7D8D"/>
    <w:rsid w:val="7260300F"/>
    <w:rsid w:val="7263EBC8"/>
    <w:rsid w:val="72675355"/>
    <w:rsid w:val="72679149"/>
    <w:rsid w:val="72692675"/>
    <w:rsid w:val="7269BF55"/>
    <w:rsid w:val="726D522F"/>
    <w:rsid w:val="7272EED6"/>
    <w:rsid w:val="72744DC9"/>
    <w:rsid w:val="727743AD"/>
    <w:rsid w:val="72776FD8"/>
    <w:rsid w:val="727D3B0A"/>
    <w:rsid w:val="727FAAB0"/>
    <w:rsid w:val="7280A5FA"/>
    <w:rsid w:val="72824160"/>
    <w:rsid w:val="72842E53"/>
    <w:rsid w:val="72864B8E"/>
    <w:rsid w:val="728685C8"/>
    <w:rsid w:val="7287674C"/>
    <w:rsid w:val="72890A7A"/>
    <w:rsid w:val="728B07B9"/>
    <w:rsid w:val="72979A0B"/>
    <w:rsid w:val="72983097"/>
    <w:rsid w:val="729F2835"/>
    <w:rsid w:val="72A24F98"/>
    <w:rsid w:val="72A5310A"/>
    <w:rsid w:val="72A8BF49"/>
    <w:rsid w:val="72AAA2E8"/>
    <w:rsid w:val="72AF4295"/>
    <w:rsid w:val="72AFBAC9"/>
    <w:rsid w:val="72B3B2D3"/>
    <w:rsid w:val="72B59A54"/>
    <w:rsid w:val="72B919D6"/>
    <w:rsid w:val="72BC9217"/>
    <w:rsid w:val="72BE0078"/>
    <w:rsid w:val="72BE47DF"/>
    <w:rsid w:val="72C2BAC0"/>
    <w:rsid w:val="72C9A51A"/>
    <w:rsid w:val="72CC5160"/>
    <w:rsid w:val="72CF96EF"/>
    <w:rsid w:val="72D2D9BF"/>
    <w:rsid w:val="72D53167"/>
    <w:rsid w:val="72D5A1A6"/>
    <w:rsid w:val="72D786F5"/>
    <w:rsid w:val="72D7F4BB"/>
    <w:rsid w:val="72DF41DC"/>
    <w:rsid w:val="72E18638"/>
    <w:rsid w:val="72E27C63"/>
    <w:rsid w:val="72E6E5B5"/>
    <w:rsid w:val="72ED7026"/>
    <w:rsid w:val="72F14F8D"/>
    <w:rsid w:val="72F1C974"/>
    <w:rsid w:val="72F413DF"/>
    <w:rsid w:val="72FF9429"/>
    <w:rsid w:val="73001E87"/>
    <w:rsid w:val="73021ACD"/>
    <w:rsid w:val="73037BB1"/>
    <w:rsid w:val="7305D91C"/>
    <w:rsid w:val="73073648"/>
    <w:rsid w:val="73077BC6"/>
    <w:rsid w:val="7307B5C5"/>
    <w:rsid w:val="7307BEB9"/>
    <w:rsid w:val="7309DBF5"/>
    <w:rsid w:val="730D5D23"/>
    <w:rsid w:val="730E89E0"/>
    <w:rsid w:val="7311DC0B"/>
    <w:rsid w:val="7312A203"/>
    <w:rsid w:val="7317E423"/>
    <w:rsid w:val="731B9B54"/>
    <w:rsid w:val="731DCD58"/>
    <w:rsid w:val="73201BF3"/>
    <w:rsid w:val="7323679E"/>
    <w:rsid w:val="7323F2D2"/>
    <w:rsid w:val="73291CE8"/>
    <w:rsid w:val="732D2CB7"/>
    <w:rsid w:val="732E1B53"/>
    <w:rsid w:val="73302036"/>
    <w:rsid w:val="7338E15E"/>
    <w:rsid w:val="733A2B08"/>
    <w:rsid w:val="733EAD6A"/>
    <w:rsid w:val="733ED5BF"/>
    <w:rsid w:val="734216B2"/>
    <w:rsid w:val="73431111"/>
    <w:rsid w:val="734B7DB6"/>
    <w:rsid w:val="734DB60E"/>
    <w:rsid w:val="734DDE2B"/>
    <w:rsid w:val="73540128"/>
    <w:rsid w:val="7357EAE4"/>
    <w:rsid w:val="735E72D4"/>
    <w:rsid w:val="736297B3"/>
    <w:rsid w:val="73679E19"/>
    <w:rsid w:val="736C1698"/>
    <w:rsid w:val="736D306A"/>
    <w:rsid w:val="73700616"/>
    <w:rsid w:val="737513E6"/>
    <w:rsid w:val="7379C399"/>
    <w:rsid w:val="737C6597"/>
    <w:rsid w:val="737E5B83"/>
    <w:rsid w:val="737FE843"/>
    <w:rsid w:val="73814F57"/>
    <w:rsid w:val="738C9FDA"/>
    <w:rsid w:val="738CF846"/>
    <w:rsid w:val="73930B3E"/>
    <w:rsid w:val="73986807"/>
    <w:rsid w:val="739910A0"/>
    <w:rsid w:val="7399EA6E"/>
    <w:rsid w:val="739F702A"/>
    <w:rsid w:val="73A33C07"/>
    <w:rsid w:val="73A47B6A"/>
    <w:rsid w:val="73A6BDEC"/>
    <w:rsid w:val="73A6EC80"/>
    <w:rsid w:val="73A8B45F"/>
    <w:rsid w:val="73ADD80B"/>
    <w:rsid w:val="73B313C4"/>
    <w:rsid w:val="73BA3B42"/>
    <w:rsid w:val="73BB4426"/>
    <w:rsid w:val="73BC6881"/>
    <w:rsid w:val="73BE6B6C"/>
    <w:rsid w:val="73BFB477"/>
    <w:rsid w:val="73BFD972"/>
    <w:rsid w:val="73C0B78F"/>
    <w:rsid w:val="73C1AB87"/>
    <w:rsid w:val="73CE9D81"/>
    <w:rsid w:val="73CF46EA"/>
    <w:rsid w:val="73CF52A0"/>
    <w:rsid w:val="73D40D3B"/>
    <w:rsid w:val="73D51A50"/>
    <w:rsid w:val="73D787E1"/>
    <w:rsid w:val="73DBDC04"/>
    <w:rsid w:val="73E18027"/>
    <w:rsid w:val="73E1FF98"/>
    <w:rsid w:val="73E25D11"/>
    <w:rsid w:val="73E96128"/>
    <w:rsid w:val="73E9E5EC"/>
    <w:rsid w:val="73ECC582"/>
    <w:rsid w:val="73EE44CD"/>
    <w:rsid w:val="73EED516"/>
    <w:rsid w:val="73F16CFC"/>
    <w:rsid w:val="73F7B0A4"/>
    <w:rsid w:val="73F7DF8C"/>
    <w:rsid w:val="73F8CBA1"/>
    <w:rsid w:val="73F9B9CE"/>
    <w:rsid w:val="73FD03F9"/>
    <w:rsid w:val="73FD2A51"/>
    <w:rsid w:val="73FE49A5"/>
    <w:rsid w:val="73FE5DB8"/>
    <w:rsid w:val="73FFA6FF"/>
    <w:rsid w:val="7401AD50"/>
    <w:rsid w:val="7404B22D"/>
    <w:rsid w:val="7406954B"/>
    <w:rsid w:val="7410A9CD"/>
    <w:rsid w:val="7413CA0B"/>
    <w:rsid w:val="7419F272"/>
    <w:rsid w:val="74212EE4"/>
    <w:rsid w:val="7422315A"/>
    <w:rsid w:val="74244A98"/>
    <w:rsid w:val="74258DC3"/>
    <w:rsid w:val="7425A2ED"/>
    <w:rsid w:val="7426A725"/>
    <w:rsid w:val="742CD466"/>
    <w:rsid w:val="7430C1CD"/>
    <w:rsid w:val="743A79DB"/>
    <w:rsid w:val="743AA8A8"/>
    <w:rsid w:val="743E40C1"/>
    <w:rsid w:val="743EF634"/>
    <w:rsid w:val="744508D1"/>
    <w:rsid w:val="74458111"/>
    <w:rsid w:val="744676CE"/>
    <w:rsid w:val="744A9459"/>
    <w:rsid w:val="744B4DEF"/>
    <w:rsid w:val="74549AFE"/>
    <w:rsid w:val="7457DBE4"/>
    <w:rsid w:val="74588314"/>
    <w:rsid w:val="74603DC9"/>
    <w:rsid w:val="7462F2C0"/>
    <w:rsid w:val="74668490"/>
    <w:rsid w:val="74681805"/>
    <w:rsid w:val="74686D62"/>
    <w:rsid w:val="746956E9"/>
    <w:rsid w:val="746A0E43"/>
    <w:rsid w:val="746A341A"/>
    <w:rsid w:val="746FC846"/>
    <w:rsid w:val="747DB693"/>
    <w:rsid w:val="7487404D"/>
    <w:rsid w:val="7489539E"/>
    <w:rsid w:val="7489A4C6"/>
    <w:rsid w:val="748B0A64"/>
    <w:rsid w:val="7493E8DF"/>
    <w:rsid w:val="749595C2"/>
    <w:rsid w:val="749A2BA3"/>
    <w:rsid w:val="74A0E226"/>
    <w:rsid w:val="74A2A5E9"/>
    <w:rsid w:val="74A36CBE"/>
    <w:rsid w:val="74A37BF2"/>
    <w:rsid w:val="74A62813"/>
    <w:rsid w:val="74AB8528"/>
    <w:rsid w:val="74B07F09"/>
    <w:rsid w:val="74B39495"/>
    <w:rsid w:val="74B68F0F"/>
    <w:rsid w:val="74B732F3"/>
    <w:rsid w:val="74B9A7E9"/>
    <w:rsid w:val="74BE0DED"/>
    <w:rsid w:val="74BEFE19"/>
    <w:rsid w:val="74C1C160"/>
    <w:rsid w:val="74C3F172"/>
    <w:rsid w:val="74C591D5"/>
    <w:rsid w:val="74C91470"/>
    <w:rsid w:val="74CADD3B"/>
    <w:rsid w:val="74CDDE21"/>
    <w:rsid w:val="74CE8E49"/>
    <w:rsid w:val="74D359EF"/>
    <w:rsid w:val="74D790A4"/>
    <w:rsid w:val="74E37EC9"/>
    <w:rsid w:val="74EA2907"/>
    <w:rsid w:val="74EDA01B"/>
    <w:rsid w:val="74EF146C"/>
    <w:rsid w:val="74F5D743"/>
    <w:rsid w:val="74F76D55"/>
    <w:rsid w:val="74F8995F"/>
    <w:rsid w:val="74FC1AAA"/>
    <w:rsid w:val="74FD9B2F"/>
    <w:rsid w:val="74FDD048"/>
    <w:rsid w:val="74FE384F"/>
    <w:rsid w:val="750CD1FD"/>
    <w:rsid w:val="750E3F21"/>
    <w:rsid w:val="750EC7DD"/>
    <w:rsid w:val="751047EE"/>
    <w:rsid w:val="7517418A"/>
    <w:rsid w:val="751DBC88"/>
    <w:rsid w:val="751E5DC5"/>
    <w:rsid w:val="751FB720"/>
    <w:rsid w:val="751FC1BF"/>
    <w:rsid w:val="7520B206"/>
    <w:rsid w:val="75235275"/>
    <w:rsid w:val="7524498C"/>
    <w:rsid w:val="75258F9D"/>
    <w:rsid w:val="752A3F20"/>
    <w:rsid w:val="752B3492"/>
    <w:rsid w:val="752C50E4"/>
    <w:rsid w:val="7533472A"/>
    <w:rsid w:val="753463E5"/>
    <w:rsid w:val="75387BB4"/>
    <w:rsid w:val="753BB264"/>
    <w:rsid w:val="753BF114"/>
    <w:rsid w:val="754307B9"/>
    <w:rsid w:val="754B6027"/>
    <w:rsid w:val="754B9B30"/>
    <w:rsid w:val="754D7F38"/>
    <w:rsid w:val="754FB899"/>
    <w:rsid w:val="7550BE0A"/>
    <w:rsid w:val="7550D348"/>
    <w:rsid w:val="755AB879"/>
    <w:rsid w:val="7561B613"/>
    <w:rsid w:val="7563800F"/>
    <w:rsid w:val="7563AE7B"/>
    <w:rsid w:val="7564083D"/>
    <w:rsid w:val="756718D9"/>
    <w:rsid w:val="756C466E"/>
    <w:rsid w:val="756EE99A"/>
    <w:rsid w:val="7578FAEA"/>
    <w:rsid w:val="757AE92B"/>
    <w:rsid w:val="757B59DE"/>
    <w:rsid w:val="757CD873"/>
    <w:rsid w:val="757F0614"/>
    <w:rsid w:val="757F08DB"/>
    <w:rsid w:val="757F9E92"/>
    <w:rsid w:val="7582F78B"/>
    <w:rsid w:val="75830D5A"/>
    <w:rsid w:val="75884FAD"/>
    <w:rsid w:val="758CD11B"/>
    <w:rsid w:val="758EB848"/>
    <w:rsid w:val="7590CFA3"/>
    <w:rsid w:val="75945765"/>
    <w:rsid w:val="7596BE6D"/>
    <w:rsid w:val="759C417F"/>
    <w:rsid w:val="759DA03E"/>
    <w:rsid w:val="759DE555"/>
    <w:rsid w:val="759E0266"/>
    <w:rsid w:val="759F320B"/>
    <w:rsid w:val="75A1D3D9"/>
    <w:rsid w:val="75A22920"/>
    <w:rsid w:val="75A2A7BF"/>
    <w:rsid w:val="75A2B792"/>
    <w:rsid w:val="75A36A29"/>
    <w:rsid w:val="75A435C5"/>
    <w:rsid w:val="75A544D4"/>
    <w:rsid w:val="75A5E652"/>
    <w:rsid w:val="75A65DC1"/>
    <w:rsid w:val="75AC7701"/>
    <w:rsid w:val="75AD89AA"/>
    <w:rsid w:val="75B272E7"/>
    <w:rsid w:val="75B2FF01"/>
    <w:rsid w:val="75BADDF1"/>
    <w:rsid w:val="75BB58B5"/>
    <w:rsid w:val="75BC09D5"/>
    <w:rsid w:val="75C3A6BF"/>
    <w:rsid w:val="75C83DC6"/>
    <w:rsid w:val="75C83FBF"/>
    <w:rsid w:val="75CB9E76"/>
    <w:rsid w:val="75CF10D3"/>
    <w:rsid w:val="75D38711"/>
    <w:rsid w:val="75D44DA7"/>
    <w:rsid w:val="75D53BC9"/>
    <w:rsid w:val="75D61FDE"/>
    <w:rsid w:val="75DC1F2C"/>
    <w:rsid w:val="75DF4B14"/>
    <w:rsid w:val="75DF6189"/>
    <w:rsid w:val="75E0682D"/>
    <w:rsid w:val="75E1FA47"/>
    <w:rsid w:val="75E84939"/>
    <w:rsid w:val="75F61E50"/>
    <w:rsid w:val="75F7BF82"/>
    <w:rsid w:val="75FCAC75"/>
    <w:rsid w:val="75FE2024"/>
    <w:rsid w:val="75FE4024"/>
    <w:rsid w:val="75FFD8FB"/>
    <w:rsid w:val="7601630E"/>
    <w:rsid w:val="760184C0"/>
    <w:rsid w:val="76049795"/>
    <w:rsid w:val="760B640A"/>
    <w:rsid w:val="760C1956"/>
    <w:rsid w:val="760D5488"/>
    <w:rsid w:val="760E2458"/>
    <w:rsid w:val="76116F98"/>
    <w:rsid w:val="7612C8E3"/>
    <w:rsid w:val="76185B80"/>
    <w:rsid w:val="761A4885"/>
    <w:rsid w:val="761DF661"/>
    <w:rsid w:val="761FD2C9"/>
    <w:rsid w:val="7621EDA1"/>
    <w:rsid w:val="7622D7F8"/>
    <w:rsid w:val="7629BB26"/>
    <w:rsid w:val="7633CFCE"/>
    <w:rsid w:val="7634C471"/>
    <w:rsid w:val="76365C99"/>
    <w:rsid w:val="763CEFB1"/>
    <w:rsid w:val="763DAA6A"/>
    <w:rsid w:val="7641F742"/>
    <w:rsid w:val="764564C5"/>
    <w:rsid w:val="7649F5EA"/>
    <w:rsid w:val="764A2D96"/>
    <w:rsid w:val="764A91B5"/>
    <w:rsid w:val="764AE041"/>
    <w:rsid w:val="7650D6FE"/>
    <w:rsid w:val="7651A418"/>
    <w:rsid w:val="765283E5"/>
    <w:rsid w:val="7656D38B"/>
    <w:rsid w:val="7657446E"/>
    <w:rsid w:val="7658A08C"/>
    <w:rsid w:val="765B63EE"/>
    <w:rsid w:val="765F7867"/>
    <w:rsid w:val="765F7DAE"/>
    <w:rsid w:val="765F9E39"/>
    <w:rsid w:val="766048C3"/>
    <w:rsid w:val="7662AE75"/>
    <w:rsid w:val="7665A783"/>
    <w:rsid w:val="7668F829"/>
    <w:rsid w:val="766B267A"/>
    <w:rsid w:val="766B83BF"/>
    <w:rsid w:val="766E4348"/>
    <w:rsid w:val="766FDA9C"/>
    <w:rsid w:val="767223B7"/>
    <w:rsid w:val="7672CABF"/>
    <w:rsid w:val="76768969"/>
    <w:rsid w:val="76798A72"/>
    <w:rsid w:val="76819D0C"/>
    <w:rsid w:val="76850B90"/>
    <w:rsid w:val="7686A92B"/>
    <w:rsid w:val="768A9F76"/>
    <w:rsid w:val="768C6F74"/>
    <w:rsid w:val="768D7D58"/>
    <w:rsid w:val="768F1D3F"/>
    <w:rsid w:val="76970800"/>
    <w:rsid w:val="769A8931"/>
    <w:rsid w:val="769BF05C"/>
    <w:rsid w:val="769D65BD"/>
    <w:rsid w:val="769F9178"/>
    <w:rsid w:val="76A0C8FF"/>
    <w:rsid w:val="76A4971B"/>
    <w:rsid w:val="76AF7F6E"/>
    <w:rsid w:val="76B18257"/>
    <w:rsid w:val="76B1BAE5"/>
    <w:rsid w:val="76B23CC3"/>
    <w:rsid w:val="76B3104F"/>
    <w:rsid w:val="76B38346"/>
    <w:rsid w:val="76B5AA7F"/>
    <w:rsid w:val="76B6A33A"/>
    <w:rsid w:val="76BAFED7"/>
    <w:rsid w:val="76BF3763"/>
    <w:rsid w:val="76C59D98"/>
    <w:rsid w:val="76C6898F"/>
    <w:rsid w:val="76C8E6B9"/>
    <w:rsid w:val="76C91ED8"/>
    <w:rsid w:val="76D0B608"/>
    <w:rsid w:val="76D2C5E9"/>
    <w:rsid w:val="76D2DEDA"/>
    <w:rsid w:val="76D38ABA"/>
    <w:rsid w:val="76D89EA4"/>
    <w:rsid w:val="76D9655E"/>
    <w:rsid w:val="76D9D924"/>
    <w:rsid w:val="76DC0603"/>
    <w:rsid w:val="76DDE1EE"/>
    <w:rsid w:val="76DE4CD3"/>
    <w:rsid w:val="76E5C5FA"/>
    <w:rsid w:val="76E5FF91"/>
    <w:rsid w:val="76E7616C"/>
    <w:rsid w:val="76ECD503"/>
    <w:rsid w:val="76ED2AE2"/>
    <w:rsid w:val="76EDD2BB"/>
    <w:rsid w:val="76F04AA0"/>
    <w:rsid w:val="76F156BB"/>
    <w:rsid w:val="76F2A254"/>
    <w:rsid w:val="76F633F9"/>
    <w:rsid w:val="77011CB5"/>
    <w:rsid w:val="77027F0B"/>
    <w:rsid w:val="7703B4BD"/>
    <w:rsid w:val="77066217"/>
    <w:rsid w:val="7706A1DD"/>
    <w:rsid w:val="770A216E"/>
    <w:rsid w:val="770A7FF7"/>
    <w:rsid w:val="770A8003"/>
    <w:rsid w:val="770DDA28"/>
    <w:rsid w:val="770F72F9"/>
    <w:rsid w:val="771255A6"/>
    <w:rsid w:val="7712917B"/>
    <w:rsid w:val="7712EBA6"/>
    <w:rsid w:val="77185189"/>
    <w:rsid w:val="771984E2"/>
    <w:rsid w:val="771C33A4"/>
    <w:rsid w:val="771D9BC3"/>
    <w:rsid w:val="77207914"/>
    <w:rsid w:val="7722DDF7"/>
    <w:rsid w:val="772588E5"/>
    <w:rsid w:val="7725B2D3"/>
    <w:rsid w:val="7726666B"/>
    <w:rsid w:val="7728860E"/>
    <w:rsid w:val="7729FA86"/>
    <w:rsid w:val="772B80A7"/>
    <w:rsid w:val="772B9312"/>
    <w:rsid w:val="772D4423"/>
    <w:rsid w:val="7737C06B"/>
    <w:rsid w:val="7738346B"/>
    <w:rsid w:val="7738C5C7"/>
    <w:rsid w:val="773EF958"/>
    <w:rsid w:val="7740A738"/>
    <w:rsid w:val="7749246D"/>
    <w:rsid w:val="774F6A69"/>
    <w:rsid w:val="77547759"/>
    <w:rsid w:val="7757998B"/>
    <w:rsid w:val="7758BB5C"/>
    <w:rsid w:val="7759C2C2"/>
    <w:rsid w:val="7761FB39"/>
    <w:rsid w:val="7762EDED"/>
    <w:rsid w:val="776825D4"/>
    <w:rsid w:val="776D0010"/>
    <w:rsid w:val="776D97D3"/>
    <w:rsid w:val="776E1D63"/>
    <w:rsid w:val="776F4D69"/>
    <w:rsid w:val="776F7AC3"/>
    <w:rsid w:val="776FA790"/>
    <w:rsid w:val="77735F44"/>
    <w:rsid w:val="7776500A"/>
    <w:rsid w:val="777AD6E8"/>
    <w:rsid w:val="777BB3F6"/>
    <w:rsid w:val="7780B3A2"/>
    <w:rsid w:val="7783A8AA"/>
    <w:rsid w:val="7784A830"/>
    <w:rsid w:val="7784F452"/>
    <w:rsid w:val="77854C55"/>
    <w:rsid w:val="7787433C"/>
    <w:rsid w:val="778A2804"/>
    <w:rsid w:val="77922918"/>
    <w:rsid w:val="7798F81A"/>
    <w:rsid w:val="77A07A94"/>
    <w:rsid w:val="77A6865E"/>
    <w:rsid w:val="77AB524D"/>
    <w:rsid w:val="77AC4CFE"/>
    <w:rsid w:val="77AD90A1"/>
    <w:rsid w:val="77B0B32D"/>
    <w:rsid w:val="77B6024F"/>
    <w:rsid w:val="77B655E2"/>
    <w:rsid w:val="77B8A601"/>
    <w:rsid w:val="77B99A9B"/>
    <w:rsid w:val="77C2AE24"/>
    <w:rsid w:val="77C33075"/>
    <w:rsid w:val="77C33C4C"/>
    <w:rsid w:val="77C6E16D"/>
    <w:rsid w:val="77CB4FB8"/>
    <w:rsid w:val="77CB6F49"/>
    <w:rsid w:val="77D5EC23"/>
    <w:rsid w:val="77D6DB9A"/>
    <w:rsid w:val="77D6DDEA"/>
    <w:rsid w:val="77D938EE"/>
    <w:rsid w:val="77D95AA6"/>
    <w:rsid w:val="77D9D010"/>
    <w:rsid w:val="77DF824D"/>
    <w:rsid w:val="77E1E85D"/>
    <w:rsid w:val="77E32FC1"/>
    <w:rsid w:val="77E43BE8"/>
    <w:rsid w:val="77E6F307"/>
    <w:rsid w:val="77E956C1"/>
    <w:rsid w:val="77EAFD60"/>
    <w:rsid w:val="77EE0E0E"/>
    <w:rsid w:val="77F98F93"/>
    <w:rsid w:val="77FBAA52"/>
    <w:rsid w:val="77FD2A61"/>
    <w:rsid w:val="77FDA8F0"/>
    <w:rsid w:val="780023C9"/>
    <w:rsid w:val="7801A273"/>
    <w:rsid w:val="78049B74"/>
    <w:rsid w:val="78052BC7"/>
    <w:rsid w:val="78052CD4"/>
    <w:rsid w:val="78079069"/>
    <w:rsid w:val="78081772"/>
    <w:rsid w:val="7809B175"/>
    <w:rsid w:val="7809DEFB"/>
    <w:rsid w:val="780A00B9"/>
    <w:rsid w:val="780E1663"/>
    <w:rsid w:val="78160512"/>
    <w:rsid w:val="7816549F"/>
    <w:rsid w:val="7816A120"/>
    <w:rsid w:val="78170479"/>
    <w:rsid w:val="781ECD53"/>
    <w:rsid w:val="7820E6F6"/>
    <w:rsid w:val="78211F52"/>
    <w:rsid w:val="7824A516"/>
    <w:rsid w:val="782596B6"/>
    <w:rsid w:val="78264AFE"/>
    <w:rsid w:val="78272E5E"/>
    <w:rsid w:val="7827DB6B"/>
    <w:rsid w:val="782B565B"/>
    <w:rsid w:val="782BA857"/>
    <w:rsid w:val="782BDDB2"/>
    <w:rsid w:val="782FC625"/>
    <w:rsid w:val="783337CD"/>
    <w:rsid w:val="7833D39D"/>
    <w:rsid w:val="78399414"/>
    <w:rsid w:val="783FC533"/>
    <w:rsid w:val="7841F3A3"/>
    <w:rsid w:val="78474EA4"/>
    <w:rsid w:val="7847B7ED"/>
    <w:rsid w:val="784B2322"/>
    <w:rsid w:val="784CDC9F"/>
    <w:rsid w:val="784D4CD0"/>
    <w:rsid w:val="784D728E"/>
    <w:rsid w:val="784FD8AA"/>
    <w:rsid w:val="7851F520"/>
    <w:rsid w:val="785466C3"/>
    <w:rsid w:val="7855ADCE"/>
    <w:rsid w:val="785642C1"/>
    <w:rsid w:val="78592834"/>
    <w:rsid w:val="785AA61D"/>
    <w:rsid w:val="785B54E5"/>
    <w:rsid w:val="785D77F4"/>
    <w:rsid w:val="78646023"/>
    <w:rsid w:val="78682B33"/>
    <w:rsid w:val="78688CEC"/>
    <w:rsid w:val="7868D9EA"/>
    <w:rsid w:val="786C63CD"/>
    <w:rsid w:val="786CE9B8"/>
    <w:rsid w:val="786F8402"/>
    <w:rsid w:val="786F8F32"/>
    <w:rsid w:val="787116C3"/>
    <w:rsid w:val="7871A602"/>
    <w:rsid w:val="7871FD7E"/>
    <w:rsid w:val="7873322A"/>
    <w:rsid w:val="7875A31D"/>
    <w:rsid w:val="7878F0AC"/>
    <w:rsid w:val="787D7525"/>
    <w:rsid w:val="787FA656"/>
    <w:rsid w:val="787FF9E0"/>
    <w:rsid w:val="788A4E36"/>
    <w:rsid w:val="788D33A9"/>
    <w:rsid w:val="788DA26F"/>
    <w:rsid w:val="78996E1F"/>
    <w:rsid w:val="78997CEA"/>
    <w:rsid w:val="789A45E5"/>
    <w:rsid w:val="789CAC4A"/>
    <w:rsid w:val="789D1F02"/>
    <w:rsid w:val="789E6822"/>
    <w:rsid w:val="78A3E8ED"/>
    <w:rsid w:val="78A50DEC"/>
    <w:rsid w:val="78A7D0DC"/>
    <w:rsid w:val="78AB5C8B"/>
    <w:rsid w:val="78AE9952"/>
    <w:rsid w:val="78B45FC0"/>
    <w:rsid w:val="78B4BCA7"/>
    <w:rsid w:val="78B952CE"/>
    <w:rsid w:val="78BF54D1"/>
    <w:rsid w:val="78C4005A"/>
    <w:rsid w:val="78C638CB"/>
    <w:rsid w:val="78D01022"/>
    <w:rsid w:val="78D13E5F"/>
    <w:rsid w:val="78D87B65"/>
    <w:rsid w:val="78D8FEEA"/>
    <w:rsid w:val="78D90A2C"/>
    <w:rsid w:val="78DB36C7"/>
    <w:rsid w:val="78E0DD71"/>
    <w:rsid w:val="78E94583"/>
    <w:rsid w:val="78F2619F"/>
    <w:rsid w:val="78F59941"/>
    <w:rsid w:val="78F662A9"/>
    <w:rsid w:val="78FA6481"/>
    <w:rsid w:val="78FE0FC4"/>
    <w:rsid w:val="790934D9"/>
    <w:rsid w:val="790AFF62"/>
    <w:rsid w:val="790B5676"/>
    <w:rsid w:val="7911B554"/>
    <w:rsid w:val="79130B65"/>
    <w:rsid w:val="7913751A"/>
    <w:rsid w:val="79158D6B"/>
    <w:rsid w:val="791631A3"/>
    <w:rsid w:val="79176149"/>
    <w:rsid w:val="79207135"/>
    <w:rsid w:val="7923F5E4"/>
    <w:rsid w:val="79240447"/>
    <w:rsid w:val="79261E00"/>
    <w:rsid w:val="792AFA1D"/>
    <w:rsid w:val="792C7488"/>
    <w:rsid w:val="792C86B2"/>
    <w:rsid w:val="7931C5C6"/>
    <w:rsid w:val="79374D3F"/>
    <w:rsid w:val="793BD8B4"/>
    <w:rsid w:val="793EFF18"/>
    <w:rsid w:val="79439F52"/>
    <w:rsid w:val="7944A2E3"/>
    <w:rsid w:val="7948D020"/>
    <w:rsid w:val="794E7995"/>
    <w:rsid w:val="795006AB"/>
    <w:rsid w:val="79517E8A"/>
    <w:rsid w:val="7953D5A1"/>
    <w:rsid w:val="7958ADCC"/>
    <w:rsid w:val="795E9FA7"/>
    <w:rsid w:val="795F93EF"/>
    <w:rsid w:val="795FB3EB"/>
    <w:rsid w:val="79635C62"/>
    <w:rsid w:val="796577AA"/>
    <w:rsid w:val="796698CB"/>
    <w:rsid w:val="796A07A6"/>
    <w:rsid w:val="796AC88C"/>
    <w:rsid w:val="79726918"/>
    <w:rsid w:val="797CFEC7"/>
    <w:rsid w:val="7981C08E"/>
    <w:rsid w:val="7983B3B6"/>
    <w:rsid w:val="7983BD6B"/>
    <w:rsid w:val="79850E30"/>
    <w:rsid w:val="7986FC81"/>
    <w:rsid w:val="79895000"/>
    <w:rsid w:val="7989F34F"/>
    <w:rsid w:val="798F7F4E"/>
    <w:rsid w:val="7991D7D4"/>
    <w:rsid w:val="79938EBD"/>
    <w:rsid w:val="79942887"/>
    <w:rsid w:val="79943322"/>
    <w:rsid w:val="799E7A2E"/>
    <w:rsid w:val="79A18CFF"/>
    <w:rsid w:val="79A2EAA7"/>
    <w:rsid w:val="79A43EEA"/>
    <w:rsid w:val="79A4E35B"/>
    <w:rsid w:val="79A71DDB"/>
    <w:rsid w:val="79A87C78"/>
    <w:rsid w:val="79AA8DB0"/>
    <w:rsid w:val="79AB34F8"/>
    <w:rsid w:val="79ACDFB6"/>
    <w:rsid w:val="79AEE4FD"/>
    <w:rsid w:val="79B5196A"/>
    <w:rsid w:val="79B69514"/>
    <w:rsid w:val="79B8475F"/>
    <w:rsid w:val="79B94C28"/>
    <w:rsid w:val="79BE0306"/>
    <w:rsid w:val="79BE9911"/>
    <w:rsid w:val="79C1A1B0"/>
    <w:rsid w:val="79C1CA53"/>
    <w:rsid w:val="79CC0A82"/>
    <w:rsid w:val="79CC82F6"/>
    <w:rsid w:val="79CE4C4B"/>
    <w:rsid w:val="79CF6A22"/>
    <w:rsid w:val="79D20659"/>
    <w:rsid w:val="79E92A1E"/>
    <w:rsid w:val="79EC2A5F"/>
    <w:rsid w:val="79F3EECF"/>
    <w:rsid w:val="79F5C726"/>
    <w:rsid w:val="79FC39CA"/>
    <w:rsid w:val="79FC7AE0"/>
    <w:rsid w:val="7A08E3B6"/>
    <w:rsid w:val="7A0AFFD6"/>
    <w:rsid w:val="7A1328AD"/>
    <w:rsid w:val="7A17BBDC"/>
    <w:rsid w:val="7A17C6C6"/>
    <w:rsid w:val="7A1903A8"/>
    <w:rsid w:val="7A1DAB73"/>
    <w:rsid w:val="7A1E3A1C"/>
    <w:rsid w:val="7A226E33"/>
    <w:rsid w:val="7A22D63A"/>
    <w:rsid w:val="7A30D60E"/>
    <w:rsid w:val="7A30E04F"/>
    <w:rsid w:val="7A316ED1"/>
    <w:rsid w:val="7A32BFFD"/>
    <w:rsid w:val="7A36F5E7"/>
    <w:rsid w:val="7A3931FA"/>
    <w:rsid w:val="7A4408E6"/>
    <w:rsid w:val="7A44F429"/>
    <w:rsid w:val="7A4AC32B"/>
    <w:rsid w:val="7A543A39"/>
    <w:rsid w:val="7A570026"/>
    <w:rsid w:val="7A58281E"/>
    <w:rsid w:val="7A5B2532"/>
    <w:rsid w:val="7A5C4786"/>
    <w:rsid w:val="7A5DAC91"/>
    <w:rsid w:val="7A5DF09D"/>
    <w:rsid w:val="7A661A7D"/>
    <w:rsid w:val="7A66EBC2"/>
    <w:rsid w:val="7A68222B"/>
    <w:rsid w:val="7A690D65"/>
    <w:rsid w:val="7A69141A"/>
    <w:rsid w:val="7A6CB654"/>
    <w:rsid w:val="7A6DFDE5"/>
    <w:rsid w:val="7A6F18C1"/>
    <w:rsid w:val="7A6FFB09"/>
    <w:rsid w:val="7A744CC4"/>
    <w:rsid w:val="7A760248"/>
    <w:rsid w:val="7A772B81"/>
    <w:rsid w:val="7A77F87B"/>
    <w:rsid w:val="7A781C4F"/>
    <w:rsid w:val="7A782539"/>
    <w:rsid w:val="7A78DC8F"/>
    <w:rsid w:val="7A7D3DE8"/>
    <w:rsid w:val="7A804BC0"/>
    <w:rsid w:val="7A8398A1"/>
    <w:rsid w:val="7A88CC88"/>
    <w:rsid w:val="7A898ABB"/>
    <w:rsid w:val="7A8A3AC8"/>
    <w:rsid w:val="7A912161"/>
    <w:rsid w:val="7A914D64"/>
    <w:rsid w:val="7A941802"/>
    <w:rsid w:val="7A960902"/>
    <w:rsid w:val="7A98F8E6"/>
    <w:rsid w:val="7A9AB720"/>
    <w:rsid w:val="7A9CE8C4"/>
    <w:rsid w:val="7A9D385B"/>
    <w:rsid w:val="7AA5DAB4"/>
    <w:rsid w:val="7AA71523"/>
    <w:rsid w:val="7AACA035"/>
    <w:rsid w:val="7AAD430A"/>
    <w:rsid w:val="7AADDBF3"/>
    <w:rsid w:val="7AAE2B5E"/>
    <w:rsid w:val="7AB0F79E"/>
    <w:rsid w:val="7AB1963D"/>
    <w:rsid w:val="7AB5D333"/>
    <w:rsid w:val="7AB8224A"/>
    <w:rsid w:val="7AB95693"/>
    <w:rsid w:val="7ABB182E"/>
    <w:rsid w:val="7ABCD952"/>
    <w:rsid w:val="7AC0D41F"/>
    <w:rsid w:val="7AC34B79"/>
    <w:rsid w:val="7AC35941"/>
    <w:rsid w:val="7ACEBAF9"/>
    <w:rsid w:val="7AD1A3AB"/>
    <w:rsid w:val="7AD1F1CE"/>
    <w:rsid w:val="7AD7BF31"/>
    <w:rsid w:val="7AD7F4C1"/>
    <w:rsid w:val="7AD99B3A"/>
    <w:rsid w:val="7ADD4B03"/>
    <w:rsid w:val="7AE08188"/>
    <w:rsid w:val="7AE58116"/>
    <w:rsid w:val="7AE5A6BF"/>
    <w:rsid w:val="7AE5F1F2"/>
    <w:rsid w:val="7AEA7441"/>
    <w:rsid w:val="7AECE951"/>
    <w:rsid w:val="7AEF521D"/>
    <w:rsid w:val="7AF36BAB"/>
    <w:rsid w:val="7AFAA86A"/>
    <w:rsid w:val="7B00A175"/>
    <w:rsid w:val="7B00CBA4"/>
    <w:rsid w:val="7B01A9D3"/>
    <w:rsid w:val="7B02BEA2"/>
    <w:rsid w:val="7B07FE3C"/>
    <w:rsid w:val="7B0A92C0"/>
    <w:rsid w:val="7B0B1915"/>
    <w:rsid w:val="7B0B3E61"/>
    <w:rsid w:val="7B0CE593"/>
    <w:rsid w:val="7B0EFB19"/>
    <w:rsid w:val="7B0F0E6E"/>
    <w:rsid w:val="7B13A77D"/>
    <w:rsid w:val="7B1A23C1"/>
    <w:rsid w:val="7B22B1B9"/>
    <w:rsid w:val="7B2759DC"/>
    <w:rsid w:val="7B2843DE"/>
    <w:rsid w:val="7B2865CD"/>
    <w:rsid w:val="7B287C01"/>
    <w:rsid w:val="7B2CE819"/>
    <w:rsid w:val="7B2DB9C0"/>
    <w:rsid w:val="7B2F3AF4"/>
    <w:rsid w:val="7B2FF545"/>
    <w:rsid w:val="7B30B24E"/>
    <w:rsid w:val="7B329AC8"/>
    <w:rsid w:val="7B335DA6"/>
    <w:rsid w:val="7B3569B8"/>
    <w:rsid w:val="7B383380"/>
    <w:rsid w:val="7B38E3A5"/>
    <w:rsid w:val="7B3DEB3D"/>
    <w:rsid w:val="7B40019D"/>
    <w:rsid w:val="7B42893B"/>
    <w:rsid w:val="7B4454D5"/>
    <w:rsid w:val="7B44EBD2"/>
    <w:rsid w:val="7B453F95"/>
    <w:rsid w:val="7B45A68C"/>
    <w:rsid w:val="7B4795C7"/>
    <w:rsid w:val="7B48A336"/>
    <w:rsid w:val="7B490EDE"/>
    <w:rsid w:val="7B4D37A2"/>
    <w:rsid w:val="7B4EC1D8"/>
    <w:rsid w:val="7B4F4F35"/>
    <w:rsid w:val="7B50B6C8"/>
    <w:rsid w:val="7B56F4DF"/>
    <w:rsid w:val="7B59830E"/>
    <w:rsid w:val="7B59873F"/>
    <w:rsid w:val="7B5C45D8"/>
    <w:rsid w:val="7B5C5C54"/>
    <w:rsid w:val="7B5C62E2"/>
    <w:rsid w:val="7B5CF229"/>
    <w:rsid w:val="7B5D6DB5"/>
    <w:rsid w:val="7B5E97B7"/>
    <w:rsid w:val="7B5F20FD"/>
    <w:rsid w:val="7B666D13"/>
    <w:rsid w:val="7B672688"/>
    <w:rsid w:val="7B6A74C8"/>
    <w:rsid w:val="7B6C6642"/>
    <w:rsid w:val="7B6FB1BE"/>
    <w:rsid w:val="7B707FE4"/>
    <w:rsid w:val="7B71C6C9"/>
    <w:rsid w:val="7B728D95"/>
    <w:rsid w:val="7B7554C9"/>
    <w:rsid w:val="7B75754F"/>
    <w:rsid w:val="7B7744AE"/>
    <w:rsid w:val="7B779B4F"/>
    <w:rsid w:val="7B7844CF"/>
    <w:rsid w:val="7B7AF2E7"/>
    <w:rsid w:val="7B7CB5D6"/>
    <w:rsid w:val="7B810AA3"/>
    <w:rsid w:val="7B8125E5"/>
    <w:rsid w:val="7B84A072"/>
    <w:rsid w:val="7B8567A3"/>
    <w:rsid w:val="7B85FFFA"/>
    <w:rsid w:val="7B894901"/>
    <w:rsid w:val="7B8990F2"/>
    <w:rsid w:val="7B941A8C"/>
    <w:rsid w:val="7B993B20"/>
    <w:rsid w:val="7BB5F226"/>
    <w:rsid w:val="7BB69AA4"/>
    <w:rsid w:val="7BB76A45"/>
    <w:rsid w:val="7BBC2E43"/>
    <w:rsid w:val="7BBD2ADF"/>
    <w:rsid w:val="7BBF1B6E"/>
    <w:rsid w:val="7BC2042E"/>
    <w:rsid w:val="7BC5BC0B"/>
    <w:rsid w:val="7BC6E2A7"/>
    <w:rsid w:val="7BC83A28"/>
    <w:rsid w:val="7BC9DB97"/>
    <w:rsid w:val="7BCB7B0C"/>
    <w:rsid w:val="7BCCBA3C"/>
    <w:rsid w:val="7BD44699"/>
    <w:rsid w:val="7BD4B96F"/>
    <w:rsid w:val="7BD6D6BB"/>
    <w:rsid w:val="7BD75416"/>
    <w:rsid w:val="7BDC3739"/>
    <w:rsid w:val="7BDC3E79"/>
    <w:rsid w:val="7BE49204"/>
    <w:rsid w:val="7BE7E18E"/>
    <w:rsid w:val="7BEB5E70"/>
    <w:rsid w:val="7BEE5FC4"/>
    <w:rsid w:val="7BEFFC91"/>
    <w:rsid w:val="7BF1067A"/>
    <w:rsid w:val="7BF13317"/>
    <w:rsid w:val="7BF1C1DF"/>
    <w:rsid w:val="7BF46D7A"/>
    <w:rsid w:val="7BF4CE58"/>
    <w:rsid w:val="7BFCDF51"/>
    <w:rsid w:val="7BFFF538"/>
    <w:rsid w:val="7C0060EF"/>
    <w:rsid w:val="7C035676"/>
    <w:rsid w:val="7C06A49D"/>
    <w:rsid w:val="7C07A9C7"/>
    <w:rsid w:val="7C0C6823"/>
    <w:rsid w:val="7C118435"/>
    <w:rsid w:val="7C11F5DF"/>
    <w:rsid w:val="7C134337"/>
    <w:rsid w:val="7C1A312B"/>
    <w:rsid w:val="7C1C6067"/>
    <w:rsid w:val="7C1F7C91"/>
    <w:rsid w:val="7C261078"/>
    <w:rsid w:val="7C2640A5"/>
    <w:rsid w:val="7C2D43AA"/>
    <w:rsid w:val="7C2E036B"/>
    <w:rsid w:val="7C2FC05F"/>
    <w:rsid w:val="7C2FE492"/>
    <w:rsid w:val="7C315484"/>
    <w:rsid w:val="7C3299B3"/>
    <w:rsid w:val="7C38E97F"/>
    <w:rsid w:val="7C39620E"/>
    <w:rsid w:val="7C3A3D1A"/>
    <w:rsid w:val="7C3B05C0"/>
    <w:rsid w:val="7C3B3678"/>
    <w:rsid w:val="7C3EB164"/>
    <w:rsid w:val="7C45851E"/>
    <w:rsid w:val="7C466D12"/>
    <w:rsid w:val="7C48164B"/>
    <w:rsid w:val="7C490C49"/>
    <w:rsid w:val="7C4954E6"/>
    <w:rsid w:val="7C4A53AE"/>
    <w:rsid w:val="7C4ACDDC"/>
    <w:rsid w:val="7C4AE0B7"/>
    <w:rsid w:val="7C4B76B3"/>
    <w:rsid w:val="7C4C0AFD"/>
    <w:rsid w:val="7C58D04B"/>
    <w:rsid w:val="7C59C46C"/>
    <w:rsid w:val="7C5A8E87"/>
    <w:rsid w:val="7C602F47"/>
    <w:rsid w:val="7C627066"/>
    <w:rsid w:val="7C629ADF"/>
    <w:rsid w:val="7C664B33"/>
    <w:rsid w:val="7C682A15"/>
    <w:rsid w:val="7C684A2A"/>
    <w:rsid w:val="7C7070CD"/>
    <w:rsid w:val="7C74CC6E"/>
    <w:rsid w:val="7C780E45"/>
    <w:rsid w:val="7C789AB6"/>
    <w:rsid w:val="7C797369"/>
    <w:rsid w:val="7C7B1AAF"/>
    <w:rsid w:val="7C7B3DFE"/>
    <w:rsid w:val="7C7CA245"/>
    <w:rsid w:val="7C837F7B"/>
    <w:rsid w:val="7C838D72"/>
    <w:rsid w:val="7C85686D"/>
    <w:rsid w:val="7C8656B4"/>
    <w:rsid w:val="7C8B3807"/>
    <w:rsid w:val="7C909641"/>
    <w:rsid w:val="7C92C6F9"/>
    <w:rsid w:val="7C94777D"/>
    <w:rsid w:val="7C98BA95"/>
    <w:rsid w:val="7C9D35DB"/>
    <w:rsid w:val="7CA4DECC"/>
    <w:rsid w:val="7CA50BA1"/>
    <w:rsid w:val="7CA5FF8E"/>
    <w:rsid w:val="7CA670A4"/>
    <w:rsid w:val="7CAE069C"/>
    <w:rsid w:val="7CAE48D5"/>
    <w:rsid w:val="7CB10A74"/>
    <w:rsid w:val="7CB144E3"/>
    <w:rsid w:val="7CB1EBEE"/>
    <w:rsid w:val="7CBA8858"/>
    <w:rsid w:val="7CBD6135"/>
    <w:rsid w:val="7CBF5357"/>
    <w:rsid w:val="7CBFFC0B"/>
    <w:rsid w:val="7CC25B6B"/>
    <w:rsid w:val="7CC4EFCC"/>
    <w:rsid w:val="7CCADDF7"/>
    <w:rsid w:val="7CD2AD51"/>
    <w:rsid w:val="7CD8B2D0"/>
    <w:rsid w:val="7CD8FBA1"/>
    <w:rsid w:val="7CDA29B5"/>
    <w:rsid w:val="7CE0154B"/>
    <w:rsid w:val="7CE3CCD3"/>
    <w:rsid w:val="7CE59166"/>
    <w:rsid w:val="7CE66555"/>
    <w:rsid w:val="7CE67350"/>
    <w:rsid w:val="7CE6ED4F"/>
    <w:rsid w:val="7CED7314"/>
    <w:rsid w:val="7CED835D"/>
    <w:rsid w:val="7CEE85BC"/>
    <w:rsid w:val="7CF8CA70"/>
    <w:rsid w:val="7CF9787A"/>
    <w:rsid w:val="7CF99B50"/>
    <w:rsid w:val="7CFA7E5D"/>
    <w:rsid w:val="7CFDC6CD"/>
    <w:rsid w:val="7CFE98A5"/>
    <w:rsid w:val="7D05086F"/>
    <w:rsid w:val="7D05E92A"/>
    <w:rsid w:val="7D06C765"/>
    <w:rsid w:val="7D0E63B2"/>
    <w:rsid w:val="7D10923C"/>
    <w:rsid w:val="7D122FC1"/>
    <w:rsid w:val="7D123BF0"/>
    <w:rsid w:val="7D17C55E"/>
    <w:rsid w:val="7D1C62F2"/>
    <w:rsid w:val="7D1DDE68"/>
    <w:rsid w:val="7D1E89D1"/>
    <w:rsid w:val="7D22CD95"/>
    <w:rsid w:val="7D25FDB9"/>
    <w:rsid w:val="7D29C378"/>
    <w:rsid w:val="7D29F2FB"/>
    <w:rsid w:val="7D2E676C"/>
    <w:rsid w:val="7D2EBFAC"/>
    <w:rsid w:val="7D32C5E7"/>
    <w:rsid w:val="7D34106C"/>
    <w:rsid w:val="7D36A017"/>
    <w:rsid w:val="7D36DF37"/>
    <w:rsid w:val="7D373C9B"/>
    <w:rsid w:val="7D39A88C"/>
    <w:rsid w:val="7D3A6ABB"/>
    <w:rsid w:val="7D3B92E6"/>
    <w:rsid w:val="7D3C7788"/>
    <w:rsid w:val="7D3D2A89"/>
    <w:rsid w:val="7D3FDE40"/>
    <w:rsid w:val="7D427DDD"/>
    <w:rsid w:val="7D489CFA"/>
    <w:rsid w:val="7D4A6CC9"/>
    <w:rsid w:val="7D4A8013"/>
    <w:rsid w:val="7D4C2DB3"/>
    <w:rsid w:val="7D50A4FA"/>
    <w:rsid w:val="7D51370A"/>
    <w:rsid w:val="7D53DE7A"/>
    <w:rsid w:val="7D57D238"/>
    <w:rsid w:val="7D5FEB5F"/>
    <w:rsid w:val="7D64FBBE"/>
    <w:rsid w:val="7D66F3BC"/>
    <w:rsid w:val="7D66F4FC"/>
    <w:rsid w:val="7D6C5481"/>
    <w:rsid w:val="7D6CE751"/>
    <w:rsid w:val="7D6EB56B"/>
    <w:rsid w:val="7D73128F"/>
    <w:rsid w:val="7D752C01"/>
    <w:rsid w:val="7D78C714"/>
    <w:rsid w:val="7D78F0CC"/>
    <w:rsid w:val="7D7960CD"/>
    <w:rsid w:val="7D7D1BEE"/>
    <w:rsid w:val="7D7FA782"/>
    <w:rsid w:val="7D804730"/>
    <w:rsid w:val="7D825AFF"/>
    <w:rsid w:val="7D83CFE4"/>
    <w:rsid w:val="7D845F56"/>
    <w:rsid w:val="7D85F449"/>
    <w:rsid w:val="7D88C5A6"/>
    <w:rsid w:val="7D8D030A"/>
    <w:rsid w:val="7D908EB8"/>
    <w:rsid w:val="7D912594"/>
    <w:rsid w:val="7D93B621"/>
    <w:rsid w:val="7D97157B"/>
    <w:rsid w:val="7D972B14"/>
    <w:rsid w:val="7DA189F2"/>
    <w:rsid w:val="7DA834EC"/>
    <w:rsid w:val="7DA917B8"/>
    <w:rsid w:val="7DAA9734"/>
    <w:rsid w:val="7DAD9FC8"/>
    <w:rsid w:val="7DAE8B8E"/>
    <w:rsid w:val="7DB025C5"/>
    <w:rsid w:val="7DB158EB"/>
    <w:rsid w:val="7DB55120"/>
    <w:rsid w:val="7DB5DFE3"/>
    <w:rsid w:val="7DBA254E"/>
    <w:rsid w:val="7DBEF678"/>
    <w:rsid w:val="7DC54D70"/>
    <w:rsid w:val="7DC7739E"/>
    <w:rsid w:val="7DCC3ACB"/>
    <w:rsid w:val="7DD2F8C1"/>
    <w:rsid w:val="7DD41058"/>
    <w:rsid w:val="7DD7C9FE"/>
    <w:rsid w:val="7DDC7290"/>
    <w:rsid w:val="7DDF5B08"/>
    <w:rsid w:val="7DE1C2EF"/>
    <w:rsid w:val="7DE3A426"/>
    <w:rsid w:val="7DE5BA60"/>
    <w:rsid w:val="7DE6FF9E"/>
    <w:rsid w:val="7DE9B350"/>
    <w:rsid w:val="7DEE8AB4"/>
    <w:rsid w:val="7DF12A99"/>
    <w:rsid w:val="7DF1E182"/>
    <w:rsid w:val="7DF2658F"/>
    <w:rsid w:val="7DF34F52"/>
    <w:rsid w:val="7DF92A19"/>
    <w:rsid w:val="7DFEC21F"/>
    <w:rsid w:val="7E01D6F7"/>
    <w:rsid w:val="7E067892"/>
    <w:rsid w:val="7E077F91"/>
    <w:rsid w:val="7E085B36"/>
    <w:rsid w:val="7E09C010"/>
    <w:rsid w:val="7E0C68FE"/>
    <w:rsid w:val="7E0D4E04"/>
    <w:rsid w:val="7E0E65A9"/>
    <w:rsid w:val="7E118A0A"/>
    <w:rsid w:val="7E124446"/>
    <w:rsid w:val="7E141F11"/>
    <w:rsid w:val="7E16BC94"/>
    <w:rsid w:val="7E1C4256"/>
    <w:rsid w:val="7E1EA37A"/>
    <w:rsid w:val="7E21921A"/>
    <w:rsid w:val="7E2320E3"/>
    <w:rsid w:val="7E234AD3"/>
    <w:rsid w:val="7E24B27F"/>
    <w:rsid w:val="7E24D58A"/>
    <w:rsid w:val="7E250B52"/>
    <w:rsid w:val="7E27F87A"/>
    <w:rsid w:val="7E2872B2"/>
    <w:rsid w:val="7E2BDECA"/>
    <w:rsid w:val="7E2EC37B"/>
    <w:rsid w:val="7E33A8D1"/>
    <w:rsid w:val="7E34E3D9"/>
    <w:rsid w:val="7E39BADF"/>
    <w:rsid w:val="7E3F32D3"/>
    <w:rsid w:val="7E41F64C"/>
    <w:rsid w:val="7E47C49F"/>
    <w:rsid w:val="7E48E5E9"/>
    <w:rsid w:val="7E4AD6D1"/>
    <w:rsid w:val="7E4C1739"/>
    <w:rsid w:val="7E4C297C"/>
    <w:rsid w:val="7E4D6553"/>
    <w:rsid w:val="7E527B37"/>
    <w:rsid w:val="7E535EB1"/>
    <w:rsid w:val="7E537B4F"/>
    <w:rsid w:val="7E545DA9"/>
    <w:rsid w:val="7E55AFA9"/>
    <w:rsid w:val="7E5A3111"/>
    <w:rsid w:val="7E5B4111"/>
    <w:rsid w:val="7E63B6BF"/>
    <w:rsid w:val="7E63BE09"/>
    <w:rsid w:val="7E661ACB"/>
    <w:rsid w:val="7E6AC990"/>
    <w:rsid w:val="7E6DBD40"/>
    <w:rsid w:val="7E6EE0F3"/>
    <w:rsid w:val="7E72F4CF"/>
    <w:rsid w:val="7E79DB86"/>
    <w:rsid w:val="7E7C2A7A"/>
    <w:rsid w:val="7E7E1DB5"/>
    <w:rsid w:val="7E8143E8"/>
    <w:rsid w:val="7E83EC08"/>
    <w:rsid w:val="7E85F6F1"/>
    <w:rsid w:val="7E8778DE"/>
    <w:rsid w:val="7E8C79F3"/>
    <w:rsid w:val="7E8CBCDD"/>
    <w:rsid w:val="7E931733"/>
    <w:rsid w:val="7E9738B3"/>
    <w:rsid w:val="7EA36373"/>
    <w:rsid w:val="7EA3A46B"/>
    <w:rsid w:val="7EA43EB4"/>
    <w:rsid w:val="7EA48440"/>
    <w:rsid w:val="7EA5673E"/>
    <w:rsid w:val="7EA62EF4"/>
    <w:rsid w:val="7EA7134A"/>
    <w:rsid w:val="7EAD7135"/>
    <w:rsid w:val="7EAF295A"/>
    <w:rsid w:val="7EAFCDBB"/>
    <w:rsid w:val="7EB884C5"/>
    <w:rsid w:val="7EBBAD8E"/>
    <w:rsid w:val="7EBEED71"/>
    <w:rsid w:val="7EC39DE0"/>
    <w:rsid w:val="7EC8B529"/>
    <w:rsid w:val="7EC9B033"/>
    <w:rsid w:val="7ECA0B86"/>
    <w:rsid w:val="7ECA4F6A"/>
    <w:rsid w:val="7ECC82E2"/>
    <w:rsid w:val="7ECC9F6F"/>
    <w:rsid w:val="7ECCD438"/>
    <w:rsid w:val="7ED0B964"/>
    <w:rsid w:val="7ED1744C"/>
    <w:rsid w:val="7ED58995"/>
    <w:rsid w:val="7EDDD37E"/>
    <w:rsid w:val="7EE1ED3C"/>
    <w:rsid w:val="7EE433C2"/>
    <w:rsid w:val="7EE59D7B"/>
    <w:rsid w:val="7EE5CEB9"/>
    <w:rsid w:val="7EE8AFF7"/>
    <w:rsid w:val="7EEA564E"/>
    <w:rsid w:val="7EEB4E3C"/>
    <w:rsid w:val="7F012D33"/>
    <w:rsid w:val="7F01F63C"/>
    <w:rsid w:val="7F05026C"/>
    <w:rsid w:val="7F09923E"/>
    <w:rsid w:val="7F11AE4B"/>
    <w:rsid w:val="7F131B5F"/>
    <w:rsid w:val="7F13A2EB"/>
    <w:rsid w:val="7F157298"/>
    <w:rsid w:val="7F16E13E"/>
    <w:rsid w:val="7F17EA14"/>
    <w:rsid w:val="7F28E2CC"/>
    <w:rsid w:val="7F2AAEB2"/>
    <w:rsid w:val="7F2AB398"/>
    <w:rsid w:val="7F2B600A"/>
    <w:rsid w:val="7F2D1110"/>
    <w:rsid w:val="7F2E7B76"/>
    <w:rsid w:val="7F37954B"/>
    <w:rsid w:val="7F3B4463"/>
    <w:rsid w:val="7F3D0474"/>
    <w:rsid w:val="7F3E0E47"/>
    <w:rsid w:val="7F43FCC3"/>
    <w:rsid w:val="7F4649AA"/>
    <w:rsid w:val="7F47F107"/>
    <w:rsid w:val="7F4950FA"/>
    <w:rsid w:val="7F4FE905"/>
    <w:rsid w:val="7F5004D5"/>
    <w:rsid w:val="7F54D90C"/>
    <w:rsid w:val="7F5579E6"/>
    <w:rsid w:val="7F5647F8"/>
    <w:rsid w:val="7F580251"/>
    <w:rsid w:val="7F5C2F50"/>
    <w:rsid w:val="7F6268ED"/>
    <w:rsid w:val="7F683D63"/>
    <w:rsid w:val="7F6AAB82"/>
    <w:rsid w:val="7F6B948D"/>
    <w:rsid w:val="7F7428B5"/>
    <w:rsid w:val="7F74EA06"/>
    <w:rsid w:val="7F788412"/>
    <w:rsid w:val="7F7D23AE"/>
    <w:rsid w:val="7F7F342B"/>
    <w:rsid w:val="7F8109EE"/>
    <w:rsid w:val="7F850AC6"/>
    <w:rsid w:val="7F897404"/>
    <w:rsid w:val="7F89F8B3"/>
    <w:rsid w:val="7F8EACCF"/>
    <w:rsid w:val="7F8F4C34"/>
    <w:rsid w:val="7F906C67"/>
    <w:rsid w:val="7F9339EB"/>
    <w:rsid w:val="7F937FEA"/>
    <w:rsid w:val="7F93A3DD"/>
    <w:rsid w:val="7F93E7BC"/>
    <w:rsid w:val="7F9866F4"/>
    <w:rsid w:val="7F9969B9"/>
    <w:rsid w:val="7FA00463"/>
    <w:rsid w:val="7FA10E96"/>
    <w:rsid w:val="7FA3A637"/>
    <w:rsid w:val="7FA41098"/>
    <w:rsid w:val="7FA7F5DE"/>
    <w:rsid w:val="7FA96D7B"/>
    <w:rsid w:val="7FAACD29"/>
    <w:rsid w:val="7FACC7CB"/>
    <w:rsid w:val="7FAE0C79"/>
    <w:rsid w:val="7FAF81B0"/>
    <w:rsid w:val="7FB52F76"/>
    <w:rsid w:val="7FBE206E"/>
    <w:rsid w:val="7FC6B538"/>
    <w:rsid w:val="7FC92A29"/>
    <w:rsid w:val="7FCA8841"/>
    <w:rsid w:val="7FCAAA59"/>
    <w:rsid w:val="7FD1BA9B"/>
    <w:rsid w:val="7FD433F3"/>
    <w:rsid w:val="7FD5F71B"/>
    <w:rsid w:val="7FD8539B"/>
    <w:rsid w:val="7FD9466D"/>
    <w:rsid w:val="7FDD6B32"/>
    <w:rsid w:val="7FE1E9D0"/>
    <w:rsid w:val="7FE47BF7"/>
    <w:rsid w:val="7FE727F0"/>
    <w:rsid w:val="7FE8A15E"/>
    <w:rsid w:val="7FEBC93A"/>
    <w:rsid w:val="7FF0B076"/>
    <w:rsid w:val="7FF4494F"/>
    <w:rsid w:val="7FF499FF"/>
    <w:rsid w:val="7FF4B842"/>
    <w:rsid w:val="7FF92593"/>
    <w:rsid w:val="7FF9E1D7"/>
    <w:rsid w:val="7FFA3E02"/>
    <w:rsid w:val="7FFBA7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3B12D53"/>
  <w15:chartTrackingRefBased/>
  <w15:docId w15:val="{A130DD3C-2D84-44B4-AE7F-4D9CB6381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5"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 w:unhideWhenUsed="1"/>
    <w:lsdException w:name="envelope return" w:semiHidden="1" w:uiPriority="9"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iPriority="5" w:unhideWhenUsed="1"/>
    <w:lsdException w:name="endnote reference" w:semiHidden="1" w:uiPriority="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qFormat="1"/>
    <w:lsdException w:name="List Number" w:semiHidden="1" w:uiPriority="2"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99"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99" w:unhideWhenUsed="1"/>
    <w:lsdException w:name="Title" w:uiPriority="10" w:qFormat="1"/>
    <w:lsdException w:name="Closing" w:semiHidden="1" w:uiPriority="9" w:unhideWhenUsed="1"/>
    <w:lsdException w:name="Signature" w:semiHidden="1" w:uiPriority="5"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iPriority="9" w:unhideWhenUsed="1"/>
    <w:lsdException w:name="List Continue 2" w:semiHidden="1" w:uiPriority="9" w:unhideWhenUsed="1"/>
    <w:lsdException w:name="List Continue 3" w:semiHidden="1" w:uiPriority="9" w:unhideWhenUsed="1"/>
    <w:lsdException w:name="List Continue 4" w:semiHidden="1" w:uiPriority="9" w:unhideWhenUsed="1"/>
    <w:lsdException w:name="List Continue 5" w:semiHidden="1" w:uiPriority="9" w:unhideWhenUsed="1"/>
    <w:lsdException w:name="Message Header" w:semiHidden="1" w:uiPriority="3" w:unhideWhenUsed="1"/>
    <w:lsdException w:name="Subtitle" w:uiPriority="11" w:qFormat="1"/>
    <w:lsdException w:name="Salutation" w:semiHidden="1" w:uiPriority="5" w:unhideWhenUsed="1"/>
    <w:lsdException w:name="Date" w:semiHidden="1" w:uiPriority="9" w:unhideWhenUsed="1"/>
    <w:lsdException w:name="Body Text First Indent" w:semiHidden="1" w:uiPriority="99" w:unhideWhenUsed="1"/>
    <w:lsdException w:name="Body Text First Indent 2" w:semiHidden="1" w:uiPriority="99" w:unhideWhenUsed="1"/>
    <w:lsdException w:name="Note Heading" w:semiHidden="1" w:uiPriority="5"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 w:unhideWhenUsed="1"/>
    <w:lsdException w:name="Plain Text" w:semiHidden="1" w:uiPriority="99" w:unhideWhenUsed="1"/>
    <w:lsdException w:name="E-mail Signature" w:semiHidden="1" w:uiPriority="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9"/>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A36"/>
  </w:style>
  <w:style w:type="paragraph" w:styleId="Heading1">
    <w:name w:val="heading 1"/>
    <w:aliases w:val="MOVE Heading 1,Title 1,head1,Headline 1,cover1,intoduction,Chapter Hdg,Section,PDS TITLE,Oscar Faber 1,L1,New Section,PA Chapter,heading a,Outline1,Halcrow 1,Kapittel,Large Bold,Numbered - 1,heading 1,Chapter,Chapter head,CH,. (1.0),Do Not Use"/>
    <w:basedOn w:val="Normal"/>
    <w:next w:val="Text1"/>
    <w:link w:val="Heading1Char"/>
    <w:uiPriority w:val="2"/>
    <w:qFormat/>
    <w:rsid w:val="006B087E"/>
    <w:pPr>
      <w:keepNext/>
      <w:tabs>
        <w:tab w:val="num" w:pos="480"/>
        <w:tab w:val="num" w:pos="1191"/>
      </w:tabs>
      <w:spacing w:before="240" w:after="240" w:line="240" w:lineRule="auto"/>
      <w:ind w:left="1191" w:hanging="709"/>
      <w:jc w:val="both"/>
      <w:outlineLvl w:val="0"/>
    </w:pPr>
    <w:rPr>
      <w:rFonts w:ascii="Times" w:eastAsia="Times" w:hAnsi="Times" w:cs="Times"/>
      <w:b/>
      <w:smallCaps/>
      <w:sz w:val="24"/>
      <w:szCs w:val="20"/>
    </w:rPr>
  </w:style>
  <w:style w:type="paragraph" w:styleId="Heading2">
    <w:name w:val="heading 2"/>
    <w:aliases w:val="MOVE Heading 2,1.1 titel,Kop 2:paragraaf,Headline 2,h2,2,headi,heading2,h21,h22,21,H2,l2,kopregel 2,Dossier Head 2,-E Überschrift 2,(SubSection),Heading 2*"/>
    <w:basedOn w:val="Normal"/>
    <w:next w:val="Text2"/>
    <w:link w:val="Heading2Char"/>
    <w:uiPriority w:val="2"/>
    <w:qFormat/>
    <w:rsid w:val="006B087E"/>
    <w:pPr>
      <w:keepNext/>
      <w:tabs>
        <w:tab w:val="num" w:pos="1200"/>
        <w:tab w:val="num" w:pos="1899"/>
      </w:tabs>
      <w:spacing w:after="240" w:line="240" w:lineRule="auto"/>
      <w:ind w:left="1899" w:hanging="708"/>
      <w:jc w:val="both"/>
      <w:outlineLvl w:val="1"/>
    </w:pPr>
    <w:rPr>
      <w:rFonts w:ascii="Times" w:eastAsia="Times" w:hAnsi="Times" w:cs="Times"/>
      <w:b/>
      <w:sz w:val="24"/>
      <w:szCs w:val="20"/>
    </w:rPr>
  </w:style>
  <w:style w:type="paragraph" w:styleId="Heading3">
    <w:name w:val="heading 3"/>
    <w:aliases w:val="MOVE Heading 3,Title 3,1.1.1 titel,Kop 3:subparagraaf + Justified,Left:  0 cm,First line.....,Kop 3:subparagraaf,H3,H31,Headline 3,h3,h31,h32,-E Überschrift 3"/>
    <w:basedOn w:val="Normal"/>
    <w:next w:val="Normal"/>
    <w:link w:val="Heading3Char"/>
    <w:uiPriority w:val="2"/>
    <w:qFormat/>
    <w:rsid w:val="006B087E"/>
    <w:pPr>
      <w:keepNext/>
      <w:tabs>
        <w:tab w:val="num" w:pos="1920"/>
        <w:tab w:val="num" w:pos="2608"/>
      </w:tabs>
      <w:spacing w:after="240" w:line="240" w:lineRule="auto"/>
      <w:ind w:left="2608" w:hanging="709"/>
      <w:jc w:val="both"/>
      <w:outlineLvl w:val="2"/>
    </w:pPr>
    <w:rPr>
      <w:rFonts w:ascii="Times" w:eastAsia="Times" w:hAnsi="Times" w:cs="Times"/>
      <w:i/>
      <w:sz w:val="24"/>
      <w:szCs w:val="20"/>
    </w:rPr>
  </w:style>
  <w:style w:type="paragraph" w:styleId="Heading4">
    <w:name w:val="heading 4"/>
    <w:aliases w:val="MOVE Heading 4,Title 4,H4,Ignore,Numbered 4"/>
    <w:basedOn w:val="Normal"/>
    <w:next w:val="Normal"/>
    <w:link w:val="Heading4Char"/>
    <w:uiPriority w:val="2"/>
    <w:qFormat/>
    <w:rsid w:val="006B087E"/>
    <w:pPr>
      <w:keepNext/>
      <w:tabs>
        <w:tab w:val="num" w:pos="1920"/>
        <w:tab w:val="num" w:pos="3317"/>
      </w:tabs>
      <w:spacing w:after="240" w:line="240" w:lineRule="auto"/>
      <w:ind w:left="3317" w:hanging="709"/>
      <w:jc w:val="both"/>
      <w:outlineLvl w:val="3"/>
    </w:pPr>
    <w:rPr>
      <w:rFonts w:ascii="Times" w:eastAsia="Times" w:hAnsi="Times" w:cs="Times"/>
      <w:sz w:val="24"/>
      <w:szCs w:val="20"/>
    </w:rPr>
  </w:style>
  <w:style w:type="paragraph" w:styleId="Heading5">
    <w:name w:val="heading 5"/>
    <w:basedOn w:val="Normal"/>
    <w:next w:val="Normal"/>
    <w:link w:val="Heading5Char"/>
    <w:uiPriority w:val="9"/>
    <w:rsid w:val="008A3FF7"/>
    <w:pPr>
      <w:keepNext/>
      <w:keepLines/>
      <w:numPr>
        <w:ilvl w:val="4"/>
        <w:numId w:val="11"/>
      </w:numPr>
      <w:spacing w:before="40" w:after="0"/>
      <w:outlineLvl w:val="4"/>
    </w:pPr>
    <w:rPr>
      <w:rFonts w:ascii="Liberation Serif" w:eastAsia="NSimSun" w:hAnsi="Liberation Serif" w:cs="Liberation Serif"/>
      <w:color w:val="CE3A1C"/>
    </w:rPr>
  </w:style>
  <w:style w:type="paragraph" w:styleId="Heading6">
    <w:name w:val="heading 6"/>
    <w:basedOn w:val="Normal"/>
    <w:next w:val="Normal"/>
    <w:link w:val="Heading6Char"/>
    <w:uiPriority w:val="9"/>
    <w:rsid w:val="008A3FF7"/>
    <w:pPr>
      <w:keepNext/>
      <w:keepLines/>
      <w:numPr>
        <w:ilvl w:val="5"/>
        <w:numId w:val="11"/>
      </w:numPr>
      <w:spacing w:before="40" w:after="0"/>
      <w:outlineLvl w:val="5"/>
    </w:pPr>
    <w:rPr>
      <w:rFonts w:ascii="Liberation Serif" w:eastAsia="NSimSun" w:hAnsi="Liberation Serif" w:cs="Liberation Serif"/>
      <w:color w:val="892713"/>
    </w:rPr>
  </w:style>
  <w:style w:type="paragraph" w:styleId="Heading7">
    <w:name w:val="heading 7"/>
    <w:basedOn w:val="Normal"/>
    <w:next w:val="Normal"/>
    <w:link w:val="Heading7Char"/>
    <w:uiPriority w:val="9"/>
    <w:rsid w:val="008A3FF7"/>
    <w:pPr>
      <w:keepNext/>
      <w:keepLines/>
      <w:numPr>
        <w:ilvl w:val="6"/>
        <w:numId w:val="11"/>
      </w:numPr>
      <w:spacing w:before="40" w:after="0"/>
      <w:outlineLvl w:val="6"/>
    </w:pPr>
    <w:rPr>
      <w:rFonts w:ascii="Liberation Serif" w:eastAsia="NSimSun" w:hAnsi="Liberation Serif" w:cs="Liberation Serif"/>
      <w:i/>
      <w:iCs/>
      <w:color w:val="892713"/>
    </w:rPr>
  </w:style>
  <w:style w:type="paragraph" w:styleId="Heading8">
    <w:name w:val="heading 8"/>
    <w:basedOn w:val="Normal"/>
    <w:next w:val="Normal"/>
    <w:link w:val="Heading8Char"/>
    <w:uiPriority w:val="9"/>
    <w:qFormat/>
    <w:rsid w:val="008A3FF7"/>
    <w:pPr>
      <w:keepNext/>
      <w:keepLines/>
      <w:numPr>
        <w:ilvl w:val="7"/>
        <w:numId w:val="11"/>
      </w:numPr>
      <w:spacing w:before="40" w:after="0"/>
      <w:outlineLvl w:val="7"/>
    </w:pPr>
    <w:rPr>
      <w:rFonts w:ascii="Liberation Serif" w:eastAsia="NSimSun" w:hAnsi="Liberation Serif" w:cs="Liberation Serif"/>
      <w:color w:val="272727"/>
      <w:sz w:val="21"/>
      <w:szCs w:val="21"/>
    </w:rPr>
  </w:style>
  <w:style w:type="paragraph" w:styleId="Heading9">
    <w:name w:val="heading 9"/>
    <w:basedOn w:val="Normal"/>
    <w:next w:val="Normal"/>
    <w:link w:val="Heading9Char"/>
    <w:uiPriority w:val="99"/>
    <w:qFormat/>
    <w:rsid w:val="008A3FF7"/>
    <w:pPr>
      <w:keepNext/>
      <w:keepLines/>
      <w:numPr>
        <w:ilvl w:val="8"/>
        <w:numId w:val="11"/>
      </w:numPr>
      <w:spacing w:before="40" w:after="0"/>
      <w:outlineLvl w:val="8"/>
    </w:pPr>
    <w:rPr>
      <w:rFonts w:ascii="Liberation Serif" w:eastAsia="NSimSun" w:hAnsi="Liberation Serif" w:cs="Liberation Serif"/>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rsid w:val="006B087E"/>
    <w:pPr>
      <w:spacing w:after="240" w:line="240" w:lineRule="auto"/>
      <w:ind w:left="482"/>
      <w:jc w:val="both"/>
    </w:pPr>
    <w:rPr>
      <w:rFonts w:ascii="Times" w:eastAsia="Times" w:hAnsi="Times" w:cs="Times"/>
      <w:sz w:val="24"/>
      <w:szCs w:val="20"/>
    </w:rPr>
  </w:style>
  <w:style w:type="character" w:customStyle="1" w:styleId="Heading1Char">
    <w:name w:val="Heading 1 Char"/>
    <w:aliases w:val="MOVE Heading 1 Char,Title 1 Char,head1 Char,Headline 1 Char,cover1 Char,intoduction Char,Chapter Hdg Char,Section Char,PDS TITLE Char,Oscar Faber 1 Char,L1 Char,New Section Char,PA Chapter Char,heading a Char,Outline1 Char,Halcrow 1 Char"/>
    <w:basedOn w:val="DefaultParagraphFont"/>
    <w:link w:val="Heading1"/>
    <w:uiPriority w:val="2"/>
    <w:rsid w:val="006B087E"/>
    <w:rPr>
      <w:rFonts w:ascii="Times" w:eastAsia="Times" w:hAnsi="Times" w:cs="Times"/>
      <w:b/>
      <w:smallCaps/>
      <w:sz w:val="24"/>
      <w:szCs w:val="20"/>
    </w:rPr>
  </w:style>
  <w:style w:type="paragraph" w:customStyle="1" w:styleId="Text2">
    <w:name w:val="Text 2"/>
    <w:basedOn w:val="Normal"/>
    <w:rsid w:val="006B087E"/>
    <w:pPr>
      <w:tabs>
        <w:tab w:val="left" w:pos="2302"/>
      </w:tabs>
      <w:spacing w:after="240" w:line="240" w:lineRule="auto"/>
      <w:ind w:left="1202"/>
      <w:jc w:val="both"/>
    </w:pPr>
    <w:rPr>
      <w:rFonts w:ascii="Times" w:eastAsia="Times" w:hAnsi="Times" w:cs="Times"/>
      <w:sz w:val="24"/>
      <w:szCs w:val="20"/>
    </w:rPr>
  </w:style>
  <w:style w:type="character" w:customStyle="1" w:styleId="Heading2Char">
    <w:name w:val="Heading 2 Char"/>
    <w:aliases w:val="MOVE Heading 2 Char,1.1 titel Char,Kop 2:paragraaf Char,Headline 2 Char,h2 Char,2 Char,headi Char,heading2 Char,h21 Char,h22 Char,21 Char,H2 Char,l2 Char,kopregel 2 Char,Dossier Head 2 Char,-E Überschrift 2 Char,(SubSection) Char"/>
    <w:basedOn w:val="DefaultParagraphFont"/>
    <w:link w:val="Heading2"/>
    <w:uiPriority w:val="2"/>
    <w:rsid w:val="006B087E"/>
    <w:rPr>
      <w:rFonts w:ascii="Times" w:eastAsia="Times" w:hAnsi="Times" w:cs="Times"/>
      <w:b/>
      <w:sz w:val="24"/>
      <w:szCs w:val="20"/>
    </w:rPr>
  </w:style>
  <w:style w:type="character" w:customStyle="1" w:styleId="Heading3Char">
    <w:name w:val="Heading 3 Char"/>
    <w:aliases w:val="MOVE Heading 3 Char,Title 3 Char,1.1.1 titel Char,Kop 3:subparagraaf + Justified Char,Left:  0 cm Char,First line..... Char,Kop 3:subparagraaf Char,H3 Char,H31 Char,Headline 3 Char,h3 Char,h31 Char,h32 Char,-E Überschrift 3 Char"/>
    <w:basedOn w:val="DefaultParagraphFont"/>
    <w:link w:val="Heading3"/>
    <w:uiPriority w:val="2"/>
    <w:rsid w:val="006B087E"/>
    <w:rPr>
      <w:rFonts w:ascii="Times" w:eastAsia="Times" w:hAnsi="Times" w:cs="Times"/>
      <w:i/>
      <w:sz w:val="24"/>
      <w:szCs w:val="20"/>
    </w:rPr>
  </w:style>
  <w:style w:type="character" w:customStyle="1" w:styleId="Heading4Char">
    <w:name w:val="Heading 4 Char"/>
    <w:aliases w:val="MOVE Heading 4 Char,Title 4 Char,H4 Char,Ignore Char,Numbered 4 Char"/>
    <w:basedOn w:val="DefaultParagraphFont"/>
    <w:link w:val="Heading4"/>
    <w:uiPriority w:val="2"/>
    <w:rsid w:val="006B087E"/>
    <w:rPr>
      <w:rFonts w:ascii="Times" w:eastAsia="Times" w:hAnsi="Times" w:cs="Times"/>
      <w:sz w:val="24"/>
      <w:szCs w:val="20"/>
    </w:rPr>
  </w:style>
  <w:style w:type="character" w:customStyle="1" w:styleId="Marker">
    <w:name w:val="Marker"/>
    <w:basedOn w:val="DefaultParagraphFont"/>
    <w:rsid w:val="006B087E"/>
    <w:rPr>
      <w:color w:val="0000FF"/>
      <w:shd w:val="clear" w:color="auto" w:fill="auto"/>
    </w:rPr>
  </w:style>
  <w:style w:type="paragraph" w:customStyle="1" w:styleId="Pagedecouverture">
    <w:name w:val="Page de couverture"/>
    <w:basedOn w:val="Normal"/>
    <w:next w:val="Normal"/>
    <w:rsid w:val="006B087E"/>
    <w:pPr>
      <w:spacing w:after="0" w:line="240" w:lineRule="auto"/>
      <w:jc w:val="both"/>
    </w:pPr>
    <w:rPr>
      <w:rFonts w:ascii="Times" w:hAnsi="Times" w:cs="Times"/>
      <w:sz w:val="24"/>
    </w:rPr>
  </w:style>
  <w:style w:type="paragraph" w:styleId="Header">
    <w:name w:val="header"/>
    <w:aliases w:val="hd,hd1,hd2,hd3,hd4,hd11,hd21,hd31,hd5,hd12,hd22,hd32,hd6,hd13,hd23,hd33,hd7,hd14,hd24,hd34,hd8,hd15,hd25,hd35,Cover Page,ContentsHeader,and Footer"/>
    <w:basedOn w:val="Normal"/>
    <w:link w:val="HeaderChar"/>
    <w:uiPriority w:val="99"/>
    <w:unhideWhenUsed/>
    <w:rsid w:val="006B087E"/>
    <w:pPr>
      <w:tabs>
        <w:tab w:val="center" w:pos="4535"/>
        <w:tab w:val="right" w:pos="9071"/>
      </w:tabs>
      <w:spacing w:after="120" w:line="240" w:lineRule="auto"/>
      <w:jc w:val="both"/>
    </w:pPr>
    <w:rPr>
      <w:rFonts w:ascii="Times" w:hAnsi="Times" w:cs="Times"/>
      <w:sz w:val="24"/>
    </w:rPr>
  </w:style>
  <w:style w:type="character" w:customStyle="1" w:styleId="HeaderChar">
    <w:name w:val="Header Char"/>
    <w:aliases w:val="hd Char,hd1 Char,hd2 Char,hd3 Char,hd4 Char,hd11 Char,hd21 Char,hd31 Char,hd5 Char,hd12 Char,hd22 Char,hd32 Char,hd6 Char,hd13 Char,hd23 Char,hd33 Char,hd7 Char,hd14 Char,hd24 Char,hd34 Char,hd8 Char,hd15 Char,hd25 Char,hd35 Char"/>
    <w:basedOn w:val="DefaultParagraphFont"/>
    <w:link w:val="Header"/>
    <w:uiPriority w:val="99"/>
    <w:rsid w:val="006B087E"/>
    <w:rPr>
      <w:rFonts w:ascii="Times" w:hAnsi="Times" w:cs="Times"/>
      <w:sz w:val="24"/>
    </w:rPr>
  </w:style>
  <w:style w:type="paragraph" w:styleId="Footer">
    <w:name w:val="footer"/>
    <w:basedOn w:val="Normal"/>
    <w:link w:val="FooterChar"/>
    <w:uiPriority w:val="99"/>
    <w:unhideWhenUsed/>
    <w:rsid w:val="006B087E"/>
    <w:pPr>
      <w:tabs>
        <w:tab w:val="center" w:pos="4535"/>
        <w:tab w:val="right" w:pos="9071"/>
        <w:tab w:val="right" w:pos="9921"/>
      </w:tabs>
      <w:spacing w:before="360" w:after="0" w:line="240" w:lineRule="auto"/>
      <w:ind w:left="-850" w:right="-850"/>
    </w:pPr>
    <w:rPr>
      <w:rFonts w:ascii="Times" w:hAnsi="Times" w:cs="Times"/>
      <w:sz w:val="24"/>
    </w:rPr>
  </w:style>
  <w:style w:type="character" w:customStyle="1" w:styleId="FooterChar">
    <w:name w:val="Footer Char"/>
    <w:basedOn w:val="DefaultParagraphFont"/>
    <w:link w:val="Footer"/>
    <w:uiPriority w:val="99"/>
    <w:rsid w:val="006B087E"/>
    <w:rPr>
      <w:rFonts w:ascii="Times" w:hAnsi="Times" w:cs="Times"/>
      <w:sz w:val="24"/>
    </w:rPr>
  </w:style>
  <w:style w:type="paragraph" w:customStyle="1" w:styleId="FooterCoverPage">
    <w:name w:val="Footer Cover Page"/>
    <w:basedOn w:val="Normal"/>
    <w:link w:val="FooterCoverPageChar"/>
    <w:rsid w:val="006B087E"/>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6B087E"/>
    <w:rPr>
      <w:rFonts w:ascii="Times New Roman" w:hAnsi="Times New Roman" w:cs="Times New Roman"/>
      <w:sz w:val="24"/>
    </w:rPr>
  </w:style>
  <w:style w:type="paragraph" w:customStyle="1" w:styleId="HeaderCoverPage">
    <w:name w:val="Header Cover Page"/>
    <w:basedOn w:val="Normal"/>
    <w:link w:val="HeaderCoverPageChar"/>
    <w:rsid w:val="006B087E"/>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6B087E"/>
    <w:rPr>
      <w:rFonts w:ascii="Times New Roman" w:hAnsi="Times New Roman" w:cs="Times New Roman"/>
      <w:sz w:val="24"/>
    </w:rPr>
  </w:style>
  <w:style w:type="paragraph" w:styleId="ListBullet">
    <w:name w:val="List Bullet"/>
    <w:aliases w:val="UL,Bullet Point EU,Bullet Point EU 2,EU Style Bullet,OM List Bullet"/>
    <w:basedOn w:val="Normal"/>
    <w:link w:val="ListBulletChar"/>
    <w:qFormat/>
    <w:rsid w:val="006B087E"/>
    <w:pPr>
      <w:numPr>
        <w:numId w:val="5"/>
      </w:numPr>
      <w:spacing w:after="240" w:line="240" w:lineRule="auto"/>
      <w:jc w:val="both"/>
    </w:pPr>
    <w:rPr>
      <w:rFonts w:ascii="Times" w:eastAsia="Times" w:hAnsi="Times" w:cs="Times"/>
      <w:sz w:val="24"/>
      <w:szCs w:val="20"/>
    </w:rPr>
  </w:style>
  <w:style w:type="paragraph" w:customStyle="1" w:styleId="ListDash1">
    <w:name w:val="List Dash 1"/>
    <w:basedOn w:val="Text1"/>
    <w:rsid w:val="006B087E"/>
    <w:pPr>
      <w:numPr>
        <w:numId w:val="6"/>
      </w:numPr>
    </w:pPr>
  </w:style>
  <w:style w:type="table" w:styleId="TableGrid">
    <w:name w:val="Table Grid"/>
    <w:aliases w:val="Document Table,CV1,Deloitte,Table Format 1,HTG,TabelEcorys,Tabela Renova,Table Grid IDEA,Standard table format,CV table,Simple table,simple table,NEAbijlage Char,NEA4 Char,12u Char2,ADVICE 4 Char2,Kop 4 Char Char1,12u Char Char1"/>
    <w:basedOn w:val="TableNormal"/>
    <w:uiPriority w:val="39"/>
    <w:qFormat/>
    <w:rsid w:val="006B087E"/>
    <w:pPr>
      <w:spacing w:after="0" w:line="240" w:lineRule="auto"/>
    </w:pPr>
    <w:rPr>
      <w:rFonts w:ascii="Times" w:eastAsia="Times" w:hAnsi="Times" w:cs="Times"/>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rsid w:val="006B087E"/>
    <w:pPr>
      <w:keepNext/>
      <w:spacing w:after="480" w:line="240" w:lineRule="auto"/>
      <w:jc w:val="center"/>
    </w:pPr>
    <w:rPr>
      <w:rFonts w:ascii="Times" w:eastAsia="Times" w:hAnsi="Times" w:cs="Times"/>
      <w:b/>
      <w:sz w:val="32"/>
      <w:szCs w:val="20"/>
    </w:rPr>
  </w:style>
  <w:style w:type="character" w:customStyle="1" w:styleId="AnnexTitleChar">
    <w:name w:val="Annex Title Char"/>
    <w:basedOn w:val="DefaultParagraphFont"/>
    <w:link w:val="AnnexTitle"/>
    <w:rsid w:val="006B087E"/>
    <w:rPr>
      <w:rFonts w:ascii="Times" w:eastAsia="Times" w:hAnsi="Times" w:cs="Times"/>
      <w:b/>
      <w:sz w:val="32"/>
      <w:szCs w:val="20"/>
    </w:rPr>
  </w:style>
  <w:style w:type="table" w:customStyle="1" w:styleId="CV11">
    <w:name w:val="CV11"/>
    <w:basedOn w:val="TableNormal"/>
    <w:next w:val="TableGrid"/>
    <w:uiPriority w:val="39"/>
    <w:rsid w:val="006B087E"/>
    <w:pPr>
      <w:spacing w:after="0" w:line="240" w:lineRule="auto"/>
    </w:pPr>
    <w:rPr>
      <w:rFonts w:ascii="Times" w:eastAsia="Times" w:hAnsi="Times" w:cs="Times"/>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6B087E"/>
    <w:pPr>
      <w:spacing w:after="0" w:line="240" w:lineRule="auto"/>
    </w:pPr>
    <w:rPr>
      <w:rFonts w:ascii="Times" w:eastAsia="Times" w:hAnsi="Times" w:cs="Times"/>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6B087E"/>
    <w:pPr>
      <w:spacing w:after="0" w:line="240" w:lineRule="auto"/>
    </w:pPr>
    <w:rPr>
      <w:rFonts w:ascii="Times" w:eastAsia="Times" w:hAnsi="Times" w:cs="Times"/>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EC10AA"/>
    <w:pPr>
      <w:tabs>
        <w:tab w:val="right" w:leader="dot" w:pos="8640"/>
      </w:tabs>
      <w:spacing w:before="120" w:after="120" w:line="240" w:lineRule="auto"/>
      <w:ind w:left="482" w:right="720" w:hanging="482"/>
      <w:jc w:val="both"/>
    </w:pPr>
    <w:rPr>
      <w:rFonts w:ascii="Times" w:eastAsia="Times" w:hAnsi="Times" w:cs="Times"/>
      <w:caps/>
      <w:szCs w:val="20"/>
    </w:rPr>
  </w:style>
  <w:style w:type="paragraph" w:styleId="TOC2">
    <w:name w:val="toc 2"/>
    <w:basedOn w:val="Normal"/>
    <w:next w:val="Normal"/>
    <w:uiPriority w:val="39"/>
    <w:rsid w:val="00EC10AA"/>
    <w:pPr>
      <w:tabs>
        <w:tab w:val="right" w:leader="dot" w:pos="8640"/>
      </w:tabs>
      <w:spacing w:before="60" w:after="60" w:line="240" w:lineRule="auto"/>
      <w:ind w:left="1077" w:right="720" w:hanging="595"/>
      <w:jc w:val="both"/>
    </w:pPr>
    <w:rPr>
      <w:rFonts w:ascii="Times" w:eastAsia="Times" w:hAnsi="Times" w:cs="Times"/>
      <w:szCs w:val="20"/>
    </w:rPr>
  </w:style>
  <w:style w:type="paragraph" w:styleId="TOCHeading">
    <w:name w:val="TOC Heading"/>
    <w:basedOn w:val="Normal"/>
    <w:next w:val="Normal"/>
    <w:uiPriority w:val="39"/>
    <w:qFormat/>
    <w:rsid w:val="006B087E"/>
    <w:pPr>
      <w:keepNext/>
      <w:spacing w:before="240" w:after="240" w:line="240" w:lineRule="auto"/>
      <w:jc w:val="center"/>
    </w:pPr>
    <w:rPr>
      <w:rFonts w:ascii="Times" w:eastAsia="Times" w:hAnsi="Times" w:cs="Times"/>
      <w:b/>
      <w:sz w:val="24"/>
      <w:szCs w:val="20"/>
    </w:rPr>
  </w:style>
  <w:style w:type="character" w:styleId="Hyperlink">
    <w:name w:val="Hyperlink"/>
    <w:basedOn w:val="DefaultParagraphFont"/>
    <w:uiPriority w:val="99"/>
    <w:unhideWhenUsed/>
    <w:qFormat/>
    <w:rsid w:val="006B087E"/>
    <w:rPr>
      <w:color w:val="0000FF" w:themeColor="hyperlink"/>
      <w:u w:val="single"/>
    </w:rPr>
  </w:style>
  <w:style w:type="paragraph" w:styleId="BalloonText">
    <w:name w:val="Balloon Text"/>
    <w:basedOn w:val="Normal"/>
    <w:link w:val="BalloonTextChar"/>
    <w:uiPriority w:val="99"/>
    <w:unhideWhenUsed/>
    <w:rsid w:val="006B087E"/>
    <w:pPr>
      <w:spacing w:after="0" w:line="240" w:lineRule="auto"/>
    </w:pPr>
    <w:rPr>
      <w:rFonts w:ascii="Lucida Sans" w:hAnsi="Lucida Sans" w:cs="Lucida Sans"/>
      <w:sz w:val="16"/>
      <w:szCs w:val="16"/>
    </w:rPr>
  </w:style>
  <w:style w:type="character" w:customStyle="1" w:styleId="BalloonTextChar">
    <w:name w:val="Balloon Text Char"/>
    <w:basedOn w:val="DefaultParagraphFont"/>
    <w:link w:val="BalloonText"/>
    <w:uiPriority w:val="99"/>
    <w:rsid w:val="006B087E"/>
    <w:rPr>
      <w:rFonts w:ascii="Lucida Sans" w:hAnsi="Lucida Sans" w:cs="Lucida Sans"/>
      <w:sz w:val="16"/>
      <w:szCs w:val="16"/>
    </w:rPr>
  </w:style>
  <w:style w:type="paragraph" w:customStyle="1" w:styleId="Declassification">
    <w:name w:val="Declassification"/>
    <w:basedOn w:val="Normal"/>
    <w:next w:val="Normal"/>
    <w:rsid w:val="006B087E"/>
    <w:pPr>
      <w:spacing w:after="0" w:line="240" w:lineRule="auto"/>
      <w:jc w:val="both"/>
    </w:pPr>
    <w:rPr>
      <w:rFonts w:ascii="Times" w:hAnsi="Times" w:cs="Times"/>
      <w:sz w:val="24"/>
    </w:rPr>
  </w:style>
  <w:style w:type="paragraph" w:customStyle="1" w:styleId="HeaderLandscape">
    <w:name w:val="HeaderLandscape"/>
    <w:basedOn w:val="Normal"/>
    <w:rsid w:val="006B087E"/>
    <w:pPr>
      <w:tabs>
        <w:tab w:val="center" w:pos="7285"/>
        <w:tab w:val="right" w:pos="14003"/>
      </w:tabs>
      <w:spacing w:after="120" w:line="240" w:lineRule="auto"/>
      <w:jc w:val="both"/>
    </w:pPr>
    <w:rPr>
      <w:rFonts w:ascii="Times" w:hAnsi="Times" w:cs="Times"/>
      <w:sz w:val="24"/>
    </w:rPr>
  </w:style>
  <w:style w:type="paragraph" w:customStyle="1" w:styleId="HeaderSensitivity">
    <w:name w:val="Header Sensitivity"/>
    <w:basedOn w:val="Normal"/>
    <w:rsid w:val="006B087E"/>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rsid w:val="006B087E"/>
    <w:pPr>
      <w:tabs>
        <w:tab w:val="center" w:pos="7285"/>
        <w:tab w:val="center" w:pos="10913"/>
        <w:tab w:val="right" w:pos="15137"/>
      </w:tabs>
      <w:spacing w:before="360" w:after="0" w:line="240" w:lineRule="auto"/>
      <w:ind w:left="-567" w:right="-567"/>
    </w:pPr>
    <w:rPr>
      <w:rFonts w:ascii="Times" w:hAnsi="Times" w:cs="Times"/>
      <w:sz w:val="24"/>
    </w:rPr>
  </w:style>
  <w:style w:type="paragraph" w:customStyle="1" w:styleId="FooterSensitivity">
    <w:name w:val="Footer Sensitivity"/>
    <w:basedOn w:val="Normal"/>
    <w:rsid w:val="006B087E"/>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link w:val="HeaderSensitivityRightChar"/>
    <w:rsid w:val="0004718C"/>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6B087E"/>
    <w:rPr>
      <w:rFonts w:ascii="Times New Roman" w:hAnsi="Times New Roman" w:cs="Times New Roman"/>
      <w:sz w:val="28"/>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rsid w:val="0065588F"/>
    <w:pPr>
      <w:spacing w:after="240" w:line="240" w:lineRule="auto"/>
      <w:ind w:left="357" w:hanging="357"/>
      <w:jc w:val="both"/>
    </w:pPr>
    <w:rPr>
      <w:rFonts w:ascii="Times" w:eastAsia="Times" w:hAnsi="Times" w:cs="Times"/>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sid w:val="0065588F"/>
    <w:rPr>
      <w:rFonts w:ascii="Times" w:eastAsia="Times" w:hAnsi="Times" w:cs="Times"/>
      <w:sz w:val="20"/>
      <w:szCs w:val="20"/>
      <w:lang w:eastAsia="en-GB"/>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link w:val="FootnotesymbolCharCharCharChar"/>
    <w:uiPriority w:val="99"/>
    <w:qFormat/>
    <w:rsid w:val="0065588F"/>
    <w:rPr>
      <w:vertAlign w:val="superscript"/>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uiPriority w:val="99"/>
    <w:rsid w:val="0065588F"/>
    <w:pPr>
      <w:spacing w:after="160" w:line="240" w:lineRule="exact"/>
    </w:pPr>
    <w:rPr>
      <w:vertAlign w:val="superscript"/>
    </w:rPr>
  </w:style>
  <w:style w:type="paragraph" w:customStyle="1" w:styleId="Default">
    <w:name w:val="Default"/>
    <w:link w:val="DefaultChar2"/>
    <w:rsid w:val="0065588F"/>
    <w:pPr>
      <w:autoSpaceDE w:val="0"/>
      <w:autoSpaceDN w:val="0"/>
      <w:adjustRightInd w:val="0"/>
      <w:spacing w:after="0" w:line="240" w:lineRule="auto"/>
    </w:pPr>
    <w:rPr>
      <w:rFonts w:ascii="Times" w:hAnsi="Times" w:cs="Times"/>
      <w:color w:val="000000"/>
      <w:sz w:val="24"/>
      <w:szCs w:val="24"/>
      <w:lang w:val="fr-BE"/>
    </w:rPr>
  </w:style>
  <w:style w:type="character" w:styleId="CommentReference">
    <w:name w:val="annotation reference"/>
    <w:basedOn w:val="DefaultParagraphFont"/>
    <w:uiPriority w:val="99"/>
    <w:unhideWhenUsed/>
    <w:rsid w:val="0065588F"/>
    <w:rPr>
      <w:sz w:val="16"/>
      <w:szCs w:val="16"/>
    </w:rPr>
  </w:style>
  <w:style w:type="paragraph" w:styleId="CommentText">
    <w:name w:val="annotation text"/>
    <w:aliases w:val="Char2"/>
    <w:basedOn w:val="Normal"/>
    <w:link w:val="CommentTextChar"/>
    <w:uiPriority w:val="99"/>
    <w:unhideWhenUsed/>
    <w:rsid w:val="0065588F"/>
    <w:pPr>
      <w:spacing w:line="240" w:lineRule="auto"/>
    </w:pPr>
    <w:rPr>
      <w:sz w:val="20"/>
      <w:szCs w:val="20"/>
    </w:rPr>
  </w:style>
  <w:style w:type="character" w:customStyle="1" w:styleId="CommentTextChar">
    <w:name w:val="Comment Text Char"/>
    <w:aliases w:val="Char2 Char"/>
    <w:basedOn w:val="DefaultParagraphFont"/>
    <w:link w:val="CommentText"/>
    <w:uiPriority w:val="99"/>
    <w:rsid w:val="0065588F"/>
    <w:rPr>
      <w:sz w:val="20"/>
      <w:szCs w:val="20"/>
    </w:rPr>
  </w:style>
  <w:style w:type="paragraph" w:styleId="NormalWeb">
    <w:name w:val="Normal (Web)"/>
    <w:basedOn w:val="Normal"/>
    <w:uiPriority w:val="99"/>
    <w:unhideWhenUsed/>
    <w:rsid w:val="0071641D"/>
    <w:pPr>
      <w:spacing w:before="100" w:beforeAutospacing="1" w:after="100" w:afterAutospacing="1" w:line="240" w:lineRule="auto"/>
    </w:pPr>
    <w:rPr>
      <w:rFonts w:ascii="Times" w:eastAsia="Times" w:hAnsi="Times" w:cs="Times"/>
      <w:sz w:val="24"/>
      <w:szCs w:val="24"/>
      <w:lang w:val="fr-BE" w:eastAsia="fr-BE"/>
    </w:rPr>
  </w:style>
  <w:style w:type="paragraph" w:styleId="BodyText">
    <w:name w:val="Body Text"/>
    <w:basedOn w:val="Normal"/>
    <w:link w:val="BodyTextChar"/>
    <w:qFormat/>
    <w:rsid w:val="00FC31C6"/>
    <w:pPr>
      <w:spacing w:after="120" w:line="240" w:lineRule="auto"/>
      <w:jc w:val="both"/>
    </w:pPr>
    <w:rPr>
      <w:rFonts w:ascii="Times" w:hAnsi="Times"/>
      <w:kern w:val="18"/>
      <w:sz w:val="24"/>
    </w:rPr>
  </w:style>
  <w:style w:type="character" w:customStyle="1" w:styleId="BodyTextChar">
    <w:name w:val="Body Text Char"/>
    <w:basedOn w:val="DefaultParagraphFont"/>
    <w:link w:val="BodyText"/>
    <w:rsid w:val="00FC31C6"/>
    <w:rPr>
      <w:rFonts w:ascii="Times" w:hAnsi="Times"/>
      <w:kern w:val="18"/>
      <w:sz w:val="24"/>
    </w:rPr>
  </w:style>
  <w:style w:type="character" w:customStyle="1" w:styleId="acopre">
    <w:name w:val="acopre"/>
    <w:basedOn w:val="DefaultParagraphFont"/>
    <w:rsid w:val="00FC31C6"/>
  </w:style>
  <w:style w:type="paragraph" w:styleId="ListParagraph">
    <w:name w:val="List Paragraph"/>
    <w:aliases w:val="Bullet List Paragraph,List Paragraph1,Elenco a colori - Colore 11,Fiche List Paragraph,Conclusion de partie,Dot pt,No Spacing1,List Paragraph Char Char Char,Indicator Text,Numbered Para 1,Bullet Points,MAIN CONTENT,List Paragraph12,L"/>
    <w:basedOn w:val="Normal"/>
    <w:link w:val="ListParagraphChar"/>
    <w:uiPriority w:val="34"/>
    <w:qFormat/>
    <w:rsid w:val="007E4C29"/>
    <w:pPr>
      <w:spacing w:after="0" w:line="240" w:lineRule="auto"/>
      <w:ind w:left="720"/>
      <w:contextualSpacing/>
    </w:pPr>
    <w:rPr>
      <w:rFonts w:ascii="Times" w:eastAsia="Times" w:hAnsi="Times" w:cs="Times"/>
      <w:sz w:val="24"/>
      <w:szCs w:val="24"/>
      <w:lang w:eastAsia="en-GB"/>
    </w:rPr>
  </w:style>
  <w:style w:type="character" w:customStyle="1" w:styleId="ListParagraphChar">
    <w:name w:val="List Paragraph Char"/>
    <w:aliases w:val="Bullet List Paragraph Char,List Paragraph1 Char,Elenco a colori - Colore 11 Char,Fiche List Paragraph Char,Conclusion de partie Char,Dot pt Char,No Spacing1 Char,List Paragraph Char Char Char Char,Indicator Text Char,L Char"/>
    <w:link w:val="ListParagraph"/>
    <w:uiPriority w:val="34"/>
    <w:qFormat/>
    <w:locked/>
    <w:rsid w:val="007E4C29"/>
    <w:rPr>
      <w:rFonts w:ascii="Times" w:eastAsia="Times" w:hAnsi="Times" w:cs="Times"/>
      <w:sz w:val="24"/>
      <w:szCs w:val="24"/>
      <w:lang w:eastAsia="en-GB"/>
    </w:rPr>
  </w:style>
  <w:style w:type="character" w:styleId="FollowedHyperlink">
    <w:name w:val="FollowedHyperlink"/>
    <w:basedOn w:val="DefaultParagraphFont"/>
    <w:uiPriority w:val="99"/>
    <w:unhideWhenUsed/>
    <w:rsid w:val="00185D97"/>
    <w:rPr>
      <w:color w:val="800080" w:themeColor="followedHyperlink"/>
      <w:u w:val="single"/>
    </w:rPr>
  </w:style>
  <w:style w:type="paragraph" w:styleId="TOC3">
    <w:name w:val="toc 3"/>
    <w:basedOn w:val="CarCarCar"/>
    <w:next w:val="Normal"/>
    <w:autoRedefine/>
    <w:uiPriority w:val="39"/>
    <w:unhideWhenUsed/>
    <w:rsid w:val="00C76A62"/>
    <w:pPr>
      <w:tabs>
        <w:tab w:val="left" w:pos="1320"/>
        <w:tab w:val="right" w:leader="dot" w:pos="8505"/>
        <w:tab w:val="right" w:leader="dot" w:pos="8931"/>
        <w:tab w:val="right" w:leader="dot" w:pos="9016"/>
      </w:tabs>
      <w:spacing w:before="60" w:after="60" w:line="240" w:lineRule="auto"/>
      <w:ind w:left="1276" w:right="521" w:hanging="567"/>
      <w:jc w:val="both"/>
    </w:pPr>
    <w:rPr>
      <w:rFonts w:ascii="Times" w:hAnsi="Times"/>
      <w:sz w:val="22"/>
    </w:rPr>
  </w:style>
  <w:style w:type="table" w:customStyle="1" w:styleId="CV14">
    <w:name w:val="CV14"/>
    <w:basedOn w:val="TableNormal"/>
    <w:next w:val="TableGrid"/>
    <w:uiPriority w:val="39"/>
    <w:rsid w:val="00B93195"/>
    <w:pPr>
      <w:spacing w:after="0" w:line="240" w:lineRule="auto"/>
    </w:pPr>
    <w:rPr>
      <w:rFonts w:ascii="Times" w:eastAsia="Times" w:hAnsi="Times" w:cs="Times"/>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unhideWhenUsed/>
    <w:rsid w:val="00087876"/>
    <w:rPr>
      <w:b/>
      <w:bCs/>
    </w:rPr>
  </w:style>
  <w:style w:type="character" w:customStyle="1" w:styleId="CommentSubjectChar">
    <w:name w:val="Comment Subject Char"/>
    <w:basedOn w:val="CommentTextChar"/>
    <w:link w:val="CommentSubject"/>
    <w:uiPriority w:val="99"/>
    <w:rsid w:val="00087876"/>
    <w:rPr>
      <w:b/>
      <w:bCs/>
      <w:sz w:val="20"/>
      <w:szCs w:val="20"/>
    </w:rPr>
  </w:style>
  <w:style w:type="paragraph" w:styleId="Revision">
    <w:name w:val="Revision"/>
    <w:hidden/>
    <w:uiPriority w:val="99"/>
    <w:semiHidden/>
    <w:rsid w:val="00087876"/>
    <w:pPr>
      <w:spacing w:after="0" w:line="240" w:lineRule="auto"/>
    </w:pPr>
  </w:style>
  <w:style w:type="table" w:customStyle="1" w:styleId="CV111">
    <w:name w:val="CV111"/>
    <w:basedOn w:val="TableNormal"/>
    <w:next w:val="TableGrid"/>
    <w:uiPriority w:val="39"/>
    <w:rsid w:val="00A024D5"/>
    <w:pPr>
      <w:spacing w:after="0" w:line="240" w:lineRule="auto"/>
    </w:pPr>
    <w:rPr>
      <w:rFonts w:ascii="Times" w:eastAsia="Times" w:hAnsi="Times" w:cs="Times"/>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0E392B"/>
  </w:style>
  <w:style w:type="paragraph" w:styleId="Caption">
    <w:name w:val="caption"/>
    <w:aliases w:val="GFRC caption,Caption PSP,Caption - Centre Graphic,Char Char Char,Caption1 Char Char Char Char Char Char Char Char,Caption1 Char Char Char Char Char Char Char Char Tegn Tegn Tegn Tegn Tegn,C,Coffey Caption,Char Car, Char Char Char,TF,Ch1,Cha"/>
    <w:basedOn w:val="BodyText"/>
    <w:next w:val="BodyText"/>
    <w:qFormat/>
    <w:rsid w:val="00A54B6D"/>
    <w:pPr>
      <w:keepNext/>
      <w:keepLines/>
      <w:spacing w:before="180"/>
      <w:jc w:val="center"/>
    </w:pPr>
    <w:rPr>
      <w:rFonts w:ascii="Liberation Serif" w:hAnsi="Liberation Serif"/>
      <w:b/>
      <w:iCs/>
      <w:color w:val="4F81BD" w:themeColor="accent1"/>
      <w:sz w:val="20"/>
      <w:szCs w:val="18"/>
    </w:rPr>
  </w:style>
  <w:style w:type="character" w:styleId="Strong">
    <w:name w:val="Strong"/>
    <w:basedOn w:val="DefaultParagraphFont"/>
    <w:uiPriority w:val="22"/>
    <w:qFormat/>
    <w:rsid w:val="00154A60"/>
    <w:rPr>
      <w:b/>
      <w:bCs/>
    </w:rPr>
  </w:style>
  <w:style w:type="paragraph" w:customStyle="1" w:styleId="Normal1">
    <w:name w:val="Normal1"/>
    <w:basedOn w:val="Normal"/>
    <w:rsid w:val="00C41258"/>
    <w:pPr>
      <w:spacing w:before="100" w:beforeAutospacing="1" w:after="100" w:afterAutospacing="1" w:line="240" w:lineRule="auto"/>
    </w:pPr>
    <w:rPr>
      <w:rFonts w:ascii="Times" w:eastAsia="Times" w:hAnsi="Times" w:cs="Times"/>
      <w:sz w:val="24"/>
      <w:szCs w:val="24"/>
      <w:lang w:eastAsia="en-GB"/>
    </w:rPr>
  </w:style>
  <w:style w:type="table" w:customStyle="1" w:styleId="CV15">
    <w:name w:val="CV15"/>
    <w:basedOn w:val="TableNormal"/>
    <w:next w:val="TableGrid"/>
    <w:uiPriority w:val="39"/>
    <w:rsid w:val="00B049A5"/>
    <w:pPr>
      <w:spacing w:after="0" w:line="240" w:lineRule="auto"/>
    </w:pPr>
    <w:rPr>
      <w:rFonts w:ascii="Times" w:eastAsia="Times" w:hAnsi="Times" w:cs="Times"/>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1">
    <w:name w:val="CV151"/>
    <w:basedOn w:val="TableNormal"/>
    <w:next w:val="TableGrid"/>
    <w:uiPriority w:val="39"/>
    <w:rsid w:val="00B8765D"/>
    <w:pPr>
      <w:spacing w:after="0" w:line="240" w:lineRule="auto"/>
    </w:pPr>
    <w:rPr>
      <w:rFonts w:ascii="Times" w:eastAsia="Times" w:hAnsi="Times" w:cs="Times"/>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
    <w:name w:val="CV16"/>
    <w:basedOn w:val="TableNormal"/>
    <w:next w:val="TableGrid"/>
    <w:uiPriority w:val="39"/>
    <w:rsid w:val="00CA2E29"/>
    <w:pPr>
      <w:spacing w:after="0" w:line="240" w:lineRule="auto"/>
    </w:pPr>
    <w:rPr>
      <w:rFonts w:ascii="Times" w:eastAsia="Times" w:hAnsi="Times" w:cs="Times"/>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4776A8"/>
    <w:pPr>
      <w:spacing w:after="160" w:line="240" w:lineRule="exact"/>
      <w:jc w:val="both"/>
    </w:pPr>
    <w:rPr>
      <w:rFonts w:ascii="Liberation Serif" w:eastAsia="Times" w:hAnsi="Liberation Serif" w:cs="Times"/>
      <w:b/>
      <w:sz w:val="20"/>
      <w:szCs w:val="20"/>
      <w:vertAlign w:val="superscript"/>
      <w:lang w:eastAsia="en-GB"/>
    </w:rPr>
  </w:style>
  <w:style w:type="character" w:customStyle="1" w:styleId="UnresolvedMention2">
    <w:name w:val="Unresolved Mention2"/>
    <w:basedOn w:val="DefaultParagraphFont"/>
    <w:uiPriority w:val="99"/>
    <w:semiHidden/>
    <w:unhideWhenUsed/>
    <w:rsid w:val="00DA1122"/>
    <w:rPr>
      <w:color w:val="605E5C"/>
      <w:shd w:val="clear" w:color="auto" w:fill="E1DFDD"/>
    </w:rPr>
  </w:style>
  <w:style w:type="character" w:customStyle="1" w:styleId="UnresolvedMention1">
    <w:name w:val="Unresolved Mention1"/>
    <w:basedOn w:val="DefaultParagraphFont"/>
    <w:uiPriority w:val="99"/>
    <w:semiHidden/>
    <w:unhideWhenUsed/>
    <w:rsid w:val="00FF7878"/>
    <w:rPr>
      <w:color w:val="605E5C"/>
      <w:shd w:val="clear" w:color="auto" w:fill="E1DFDD"/>
    </w:rPr>
  </w:style>
  <w:style w:type="character" w:customStyle="1" w:styleId="UnresolvedMention3">
    <w:name w:val="Unresolved Mention3"/>
    <w:basedOn w:val="DefaultParagraphFont"/>
    <w:uiPriority w:val="99"/>
    <w:semiHidden/>
    <w:unhideWhenUsed/>
    <w:rsid w:val="003323A3"/>
    <w:rPr>
      <w:color w:val="605E5C"/>
      <w:shd w:val="clear" w:color="auto" w:fill="E1DFDD"/>
    </w:rPr>
  </w:style>
  <w:style w:type="character" w:customStyle="1" w:styleId="normaltextrun">
    <w:name w:val="normaltextrun"/>
    <w:basedOn w:val="DefaultParagraphFont"/>
    <w:rsid w:val="00F33DAD"/>
  </w:style>
  <w:style w:type="paragraph" w:customStyle="1" w:styleId="Point0letter">
    <w:name w:val="Point 0 (letter)"/>
    <w:basedOn w:val="Normal"/>
    <w:uiPriority w:val="99"/>
    <w:rsid w:val="00234FF7"/>
    <w:pPr>
      <w:tabs>
        <w:tab w:val="num" w:pos="850"/>
      </w:tabs>
      <w:spacing w:before="120" w:after="120" w:line="240" w:lineRule="auto"/>
      <w:ind w:left="850" w:hanging="850"/>
      <w:jc w:val="both"/>
    </w:pPr>
    <w:rPr>
      <w:rFonts w:ascii="Times" w:hAnsi="Times" w:cs="Times"/>
      <w:sz w:val="24"/>
    </w:rPr>
  </w:style>
  <w:style w:type="paragraph" w:customStyle="1" w:styleId="LegalNumPar">
    <w:name w:val="LegalNumPar"/>
    <w:basedOn w:val="Normal"/>
    <w:rsid w:val="000D2AC5"/>
    <w:pPr>
      <w:numPr>
        <w:numId w:val="7"/>
      </w:numPr>
      <w:spacing w:line="360" w:lineRule="auto"/>
    </w:pPr>
    <w:rPr>
      <w:sz w:val="24"/>
    </w:rPr>
  </w:style>
  <w:style w:type="paragraph" w:customStyle="1" w:styleId="LegalNumPar2">
    <w:name w:val="LegalNumPar2"/>
    <w:basedOn w:val="Normal"/>
    <w:rsid w:val="000D2AC5"/>
    <w:pPr>
      <w:numPr>
        <w:ilvl w:val="1"/>
        <w:numId w:val="7"/>
      </w:numPr>
      <w:spacing w:line="360" w:lineRule="auto"/>
    </w:pPr>
    <w:rPr>
      <w:sz w:val="24"/>
    </w:rPr>
  </w:style>
  <w:style w:type="paragraph" w:customStyle="1" w:styleId="LegalNumPar3">
    <w:name w:val="LegalNumPar3"/>
    <w:basedOn w:val="Normal"/>
    <w:rsid w:val="000D2AC5"/>
    <w:pPr>
      <w:numPr>
        <w:ilvl w:val="2"/>
        <w:numId w:val="7"/>
      </w:numPr>
      <w:spacing w:line="360" w:lineRule="auto"/>
    </w:pPr>
    <w:rPr>
      <w:sz w:val="24"/>
    </w:rPr>
  </w:style>
  <w:style w:type="paragraph" w:styleId="NoSpacing">
    <w:name w:val="No Spacing"/>
    <w:link w:val="NoSpacingChar"/>
    <w:uiPriority w:val="1"/>
    <w:qFormat/>
    <w:rsid w:val="00D77A69"/>
    <w:pPr>
      <w:spacing w:after="0" w:line="240" w:lineRule="auto"/>
    </w:pPr>
  </w:style>
  <w:style w:type="character" w:customStyle="1" w:styleId="highlight">
    <w:name w:val="highlight"/>
    <w:basedOn w:val="DefaultParagraphFont"/>
    <w:rsid w:val="0083048F"/>
  </w:style>
  <w:style w:type="character" w:customStyle="1" w:styleId="footnotereference0">
    <w:name w:val="footnotereference"/>
    <w:basedOn w:val="DefaultParagraphFont"/>
    <w:rsid w:val="0083048F"/>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qFormat/>
    <w:rsid w:val="0083048F"/>
    <w:pPr>
      <w:spacing w:before="60" w:after="160" w:line="240" w:lineRule="exact"/>
      <w:jc w:val="both"/>
    </w:pPr>
    <w:rPr>
      <w:rFonts w:ascii="Times" w:eastAsia="Times" w:hAnsi="Times" w:cs="Times"/>
      <w:sz w:val="24"/>
      <w:szCs w:val="20"/>
      <w:vertAlign w:val="superscript"/>
      <w:lang w:eastAsia="en-GB"/>
    </w:rPr>
  </w:style>
  <w:style w:type="paragraph" w:styleId="TOC4">
    <w:name w:val="toc 4"/>
    <w:basedOn w:val="Normal"/>
    <w:next w:val="Normal"/>
    <w:link w:val="TOC4Char"/>
    <w:autoRedefine/>
    <w:uiPriority w:val="39"/>
    <w:unhideWhenUsed/>
    <w:rsid w:val="0077370A"/>
    <w:pPr>
      <w:tabs>
        <w:tab w:val="right" w:leader="dot" w:pos="8931"/>
        <w:tab w:val="right" w:leader="dot" w:pos="9016"/>
      </w:tabs>
      <w:spacing w:before="60" w:after="60" w:line="240" w:lineRule="auto"/>
      <w:ind w:left="1843" w:right="521" w:hanging="850"/>
    </w:pPr>
    <w:rPr>
      <w:rFonts w:eastAsiaTheme="minorEastAsia"/>
      <w:lang w:val="fr-BE" w:eastAsia="fr-BE"/>
    </w:rPr>
  </w:style>
  <w:style w:type="paragraph" w:styleId="TOC5">
    <w:name w:val="toc 5"/>
    <w:basedOn w:val="Normal"/>
    <w:next w:val="Normal"/>
    <w:autoRedefine/>
    <w:uiPriority w:val="39"/>
    <w:unhideWhenUsed/>
    <w:rsid w:val="0077370A"/>
    <w:pPr>
      <w:tabs>
        <w:tab w:val="left" w:pos="2268"/>
        <w:tab w:val="right" w:leader="dot" w:pos="8931"/>
      </w:tabs>
      <w:spacing w:before="60" w:after="60" w:line="240" w:lineRule="auto"/>
      <w:ind w:left="1276" w:right="521"/>
    </w:pPr>
    <w:rPr>
      <w:rFonts w:eastAsiaTheme="minorEastAsia"/>
      <w:lang w:val="fr-BE" w:eastAsia="fr-BE"/>
    </w:rPr>
  </w:style>
  <w:style w:type="paragraph" w:styleId="TOC6">
    <w:name w:val="toc 6"/>
    <w:basedOn w:val="Normal"/>
    <w:next w:val="Normal"/>
    <w:autoRedefine/>
    <w:uiPriority w:val="39"/>
    <w:unhideWhenUsed/>
    <w:rsid w:val="0083048F"/>
    <w:pPr>
      <w:spacing w:after="100" w:line="259" w:lineRule="auto"/>
      <w:ind w:left="1100"/>
    </w:pPr>
    <w:rPr>
      <w:rFonts w:eastAsiaTheme="minorEastAsia"/>
      <w:lang w:val="fr-BE" w:eastAsia="fr-BE"/>
    </w:rPr>
  </w:style>
  <w:style w:type="paragraph" w:styleId="TOC7">
    <w:name w:val="toc 7"/>
    <w:basedOn w:val="Normal"/>
    <w:next w:val="Normal"/>
    <w:autoRedefine/>
    <w:uiPriority w:val="39"/>
    <w:unhideWhenUsed/>
    <w:rsid w:val="0083048F"/>
    <w:pPr>
      <w:spacing w:after="100" w:line="259" w:lineRule="auto"/>
      <w:ind w:left="1320"/>
    </w:pPr>
    <w:rPr>
      <w:rFonts w:eastAsiaTheme="minorEastAsia"/>
      <w:lang w:val="fr-BE" w:eastAsia="fr-BE"/>
    </w:rPr>
  </w:style>
  <w:style w:type="paragraph" w:styleId="TOC8">
    <w:name w:val="toc 8"/>
    <w:basedOn w:val="Normal"/>
    <w:next w:val="Normal"/>
    <w:autoRedefine/>
    <w:uiPriority w:val="39"/>
    <w:unhideWhenUsed/>
    <w:rsid w:val="0083048F"/>
    <w:pPr>
      <w:spacing w:after="100" w:line="259" w:lineRule="auto"/>
      <w:ind w:left="1540"/>
    </w:pPr>
    <w:rPr>
      <w:rFonts w:eastAsiaTheme="minorEastAsia"/>
      <w:lang w:val="fr-BE" w:eastAsia="fr-BE"/>
    </w:rPr>
  </w:style>
  <w:style w:type="paragraph" w:styleId="TOC9">
    <w:name w:val="toc 9"/>
    <w:basedOn w:val="Normal"/>
    <w:next w:val="Normal"/>
    <w:autoRedefine/>
    <w:uiPriority w:val="39"/>
    <w:unhideWhenUsed/>
    <w:rsid w:val="0083048F"/>
    <w:pPr>
      <w:spacing w:after="100" w:line="259" w:lineRule="auto"/>
      <w:ind w:left="1760"/>
    </w:pPr>
    <w:rPr>
      <w:rFonts w:eastAsiaTheme="minorEastAsia"/>
      <w:lang w:val="fr-BE" w:eastAsia="fr-BE"/>
    </w:rPr>
  </w:style>
  <w:style w:type="paragraph" w:customStyle="1" w:styleId="Source">
    <w:name w:val="Source"/>
    <w:basedOn w:val="BodyText"/>
    <w:next w:val="BodyText"/>
    <w:link w:val="SourceChar"/>
    <w:uiPriority w:val="11"/>
    <w:qFormat/>
    <w:rsid w:val="0083048F"/>
    <w:pPr>
      <w:spacing w:after="240"/>
      <w:jc w:val="center"/>
    </w:pPr>
    <w:rPr>
      <w:rFonts w:ascii="Liberation Serif" w:hAnsi="Liberation Serif"/>
      <w:sz w:val="17"/>
      <w:szCs w:val="17"/>
      <w:u w:val="single"/>
    </w:rPr>
  </w:style>
  <w:style w:type="character" w:customStyle="1" w:styleId="SourceChar">
    <w:name w:val="Source Char"/>
    <w:basedOn w:val="BodyTextChar"/>
    <w:link w:val="Source"/>
    <w:uiPriority w:val="11"/>
    <w:rsid w:val="0083048F"/>
    <w:rPr>
      <w:rFonts w:ascii="Liberation Serif" w:hAnsi="Liberation Serif"/>
      <w:kern w:val="18"/>
      <w:sz w:val="17"/>
      <w:szCs w:val="17"/>
      <w:u w:val="single"/>
    </w:rPr>
  </w:style>
  <w:style w:type="character" w:styleId="Emphasis">
    <w:name w:val="Emphasis"/>
    <w:basedOn w:val="DefaultParagraphFont"/>
    <w:uiPriority w:val="20"/>
    <w:qFormat/>
    <w:rsid w:val="0083048F"/>
    <w:rPr>
      <w:i/>
      <w:iCs/>
    </w:rPr>
  </w:style>
  <w:style w:type="character" w:customStyle="1" w:styleId="FootnoteCharacters">
    <w:name w:val="Footnote Characters"/>
    <w:qFormat/>
    <w:rsid w:val="0083048F"/>
    <w:rPr>
      <w:vertAlign w:val="superscript"/>
    </w:rPr>
  </w:style>
  <w:style w:type="character" w:customStyle="1" w:styleId="FootnoteAnchor">
    <w:name w:val="Footnote Anchor"/>
    <w:rsid w:val="0083048F"/>
    <w:rPr>
      <w:vertAlign w:val="superscript"/>
    </w:rPr>
  </w:style>
  <w:style w:type="paragraph" w:customStyle="1" w:styleId="paragraph">
    <w:name w:val="paragraph"/>
    <w:basedOn w:val="Normal"/>
    <w:rsid w:val="0083048F"/>
    <w:pPr>
      <w:spacing w:before="100" w:beforeAutospacing="1" w:after="100" w:afterAutospacing="1" w:line="240" w:lineRule="auto"/>
    </w:pPr>
    <w:rPr>
      <w:rFonts w:ascii="Times" w:eastAsia="Times" w:hAnsi="Times" w:cs="Times"/>
      <w:sz w:val="24"/>
      <w:szCs w:val="24"/>
      <w:lang w:val="fr-BE" w:eastAsia="fr-BE"/>
    </w:rPr>
  </w:style>
  <w:style w:type="character" w:customStyle="1" w:styleId="eop">
    <w:name w:val="eop"/>
    <w:basedOn w:val="DefaultParagraphFont"/>
    <w:rsid w:val="0083048F"/>
  </w:style>
  <w:style w:type="paragraph" w:customStyle="1" w:styleId="box461018">
    <w:name w:val="box_461018"/>
    <w:basedOn w:val="Normal"/>
    <w:rsid w:val="0083048F"/>
    <w:pPr>
      <w:spacing w:before="100" w:beforeAutospacing="1" w:after="100" w:afterAutospacing="1" w:line="240" w:lineRule="auto"/>
    </w:pPr>
    <w:rPr>
      <w:rFonts w:ascii="Times" w:eastAsia="Times" w:hAnsi="Times" w:cs="Times"/>
      <w:sz w:val="24"/>
      <w:szCs w:val="24"/>
      <w:lang w:val="hr-HR" w:eastAsia="hr-HR"/>
    </w:rPr>
  </w:style>
  <w:style w:type="character" w:customStyle="1" w:styleId="findhit">
    <w:name w:val="findhit"/>
    <w:basedOn w:val="DefaultParagraphFont"/>
    <w:rsid w:val="0083048F"/>
  </w:style>
  <w:style w:type="table" w:customStyle="1" w:styleId="TableGrid1">
    <w:name w:val="Table Grid1"/>
    <w:basedOn w:val="TableNormal"/>
    <w:next w:val="TableGrid"/>
    <w:uiPriority w:val="39"/>
    <w:rsid w:val="008304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304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3048F"/>
    <w:pPr>
      <w:spacing w:after="0" w:line="240" w:lineRule="auto"/>
    </w:pPr>
    <w:rPr>
      <w:rFonts w:ascii="Times" w:eastAsia="Times" w:hAnsi="Times" w:cs="Times"/>
      <w:sz w:val="24"/>
      <w:szCs w:val="20"/>
      <w:lang w:eastAsia="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dfootnote">
    <w:name w:val="sdfootnote"/>
    <w:basedOn w:val="Normal"/>
    <w:rsid w:val="0083048F"/>
    <w:pPr>
      <w:spacing w:before="100" w:beforeAutospacing="1" w:after="0" w:line="240" w:lineRule="auto"/>
    </w:pPr>
    <w:rPr>
      <w:rFonts w:ascii="Times" w:eastAsia="Times" w:hAnsi="Times" w:cs="Times"/>
      <w:sz w:val="20"/>
      <w:szCs w:val="20"/>
      <w:lang w:eastAsia="en-GB"/>
    </w:rPr>
  </w:style>
  <w:style w:type="paragraph" w:customStyle="1" w:styleId="Standard">
    <w:name w:val="Standard"/>
    <w:rsid w:val="0083048F"/>
    <w:pPr>
      <w:suppressAutoHyphens/>
      <w:autoSpaceDN w:val="0"/>
      <w:spacing w:after="0" w:line="240" w:lineRule="auto"/>
    </w:pPr>
    <w:rPr>
      <w:rFonts w:ascii="Courier New" w:eastAsia="Verdana" w:hAnsi="Courier New" w:cs="SimSun"/>
      <w:kern w:val="3"/>
      <w:sz w:val="24"/>
      <w:szCs w:val="24"/>
      <w:lang w:eastAsia="zh-CN" w:bidi="hi-IN"/>
    </w:rPr>
  </w:style>
  <w:style w:type="paragraph" w:customStyle="1" w:styleId="TableContents">
    <w:name w:val="Table Contents"/>
    <w:basedOn w:val="Standard"/>
    <w:uiPriority w:val="99"/>
    <w:rsid w:val="0083048F"/>
    <w:pPr>
      <w:widowControl w:val="0"/>
      <w:suppressLineNumbers/>
    </w:pPr>
  </w:style>
  <w:style w:type="paragraph" w:customStyle="1" w:styleId="BodyText1">
    <w:name w:val="Body Text1"/>
    <w:basedOn w:val="Normal"/>
    <w:link w:val="BodytextChar0"/>
    <w:qFormat/>
    <w:rsid w:val="008A3FF7"/>
    <w:pPr>
      <w:spacing w:before="120" w:after="120" w:line="240" w:lineRule="auto"/>
      <w:jc w:val="both"/>
    </w:pPr>
    <w:rPr>
      <w:rFonts w:ascii="Liberation Serif" w:eastAsia="Times" w:hAnsi="Liberation Serif" w:cs="Times"/>
      <w:szCs w:val="20"/>
    </w:rPr>
  </w:style>
  <w:style w:type="character" w:customStyle="1" w:styleId="BodytextChar0">
    <w:name w:val="Body text Char"/>
    <w:link w:val="BodyText1"/>
    <w:rsid w:val="008A3FF7"/>
    <w:rPr>
      <w:rFonts w:ascii="Liberation Serif" w:eastAsia="Times" w:hAnsi="Liberation Serif" w:cs="Times"/>
      <w:szCs w:val="20"/>
    </w:rPr>
  </w:style>
  <w:style w:type="paragraph" w:customStyle="1" w:styleId="bullet1">
    <w:name w:val="bullet 1"/>
    <w:basedOn w:val="BodyText1"/>
    <w:link w:val="bullet1Char"/>
    <w:qFormat/>
    <w:rsid w:val="008A3FF7"/>
    <w:rPr>
      <w:szCs w:val="24"/>
    </w:rPr>
  </w:style>
  <w:style w:type="character" w:customStyle="1" w:styleId="Text1Char">
    <w:name w:val="Text 1 Char"/>
    <w:basedOn w:val="DefaultParagraphFont"/>
    <w:link w:val="Text1"/>
    <w:locked/>
    <w:rsid w:val="008A3FF7"/>
    <w:rPr>
      <w:rFonts w:ascii="Times" w:eastAsia="Times" w:hAnsi="Times" w:cs="Times"/>
      <w:sz w:val="24"/>
      <w:szCs w:val="20"/>
    </w:rPr>
  </w:style>
  <w:style w:type="character" w:customStyle="1" w:styleId="Heading5Char">
    <w:name w:val="Heading 5 Char"/>
    <w:basedOn w:val="DefaultParagraphFont"/>
    <w:link w:val="Heading5"/>
    <w:uiPriority w:val="9"/>
    <w:rsid w:val="008A3FF7"/>
    <w:rPr>
      <w:rFonts w:ascii="Liberation Serif" w:eastAsia="NSimSun" w:hAnsi="Liberation Serif" w:cs="Liberation Serif"/>
      <w:color w:val="CE3A1C"/>
    </w:rPr>
  </w:style>
  <w:style w:type="character" w:customStyle="1" w:styleId="Heading6Char">
    <w:name w:val="Heading 6 Char"/>
    <w:basedOn w:val="DefaultParagraphFont"/>
    <w:link w:val="Heading6"/>
    <w:uiPriority w:val="9"/>
    <w:rsid w:val="008A3FF7"/>
    <w:rPr>
      <w:rFonts w:ascii="Liberation Serif" w:eastAsia="NSimSun" w:hAnsi="Liberation Serif" w:cs="Liberation Serif"/>
      <w:color w:val="892713"/>
    </w:rPr>
  </w:style>
  <w:style w:type="character" w:customStyle="1" w:styleId="Heading7Char">
    <w:name w:val="Heading 7 Char"/>
    <w:basedOn w:val="DefaultParagraphFont"/>
    <w:link w:val="Heading7"/>
    <w:uiPriority w:val="9"/>
    <w:rsid w:val="008A3FF7"/>
    <w:rPr>
      <w:rFonts w:ascii="Liberation Serif" w:eastAsia="NSimSun" w:hAnsi="Liberation Serif" w:cs="Liberation Serif"/>
      <w:i/>
      <w:iCs/>
      <w:color w:val="892713"/>
    </w:rPr>
  </w:style>
  <w:style w:type="character" w:customStyle="1" w:styleId="Heading8Char">
    <w:name w:val="Heading 8 Char"/>
    <w:basedOn w:val="DefaultParagraphFont"/>
    <w:link w:val="Heading8"/>
    <w:uiPriority w:val="9"/>
    <w:rsid w:val="008A3FF7"/>
    <w:rPr>
      <w:rFonts w:ascii="Liberation Serif" w:eastAsia="NSimSun" w:hAnsi="Liberation Serif" w:cs="Liberation Serif"/>
      <w:color w:val="272727"/>
      <w:sz w:val="21"/>
      <w:szCs w:val="21"/>
    </w:rPr>
  </w:style>
  <w:style w:type="character" w:customStyle="1" w:styleId="Heading9Char">
    <w:name w:val="Heading 9 Char"/>
    <w:basedOn w:val="DefaultParagraphFont"/>
    <w:link w:val="Heading9"/>
    <w:uiPriority w:val="99"/>
    <w:rsid w:val="008A3FF7"/>
    <w:rPr>
      <w:rFonts w:ascii="Liberation Serif" w:eastAsia="NSimSun" w:hAnsi="Liberation Serif" w:cs="Liberation Serif"/>
      <w:i/>
      <w:iCs/>
      <w:color w:val="272727"/>
      <w:sz w:val="21"/>
      <w:szCs w:val="21"/>
    </w:rPr>
  </w:style>
  <w:style w:type="paragraph" w:customStyle="1" w:styleId="Text3">
    <w:name w:val="Text 3"/>
    <w:basedOn w:val="Normal"/>
    <w:rsid w:val="008A3FF7"/>
    <w:pPr>
      <w:tabs>
        <w:tab w:val="left" w:pos="2302"/>
      </w:tabs>
      <w:spacing w:after="240" w:line="240" w:lineRule="auto"/>
      <w:ind w:left="1202"/>
      <w:jc w:val="both"/>
    </w:pPr>
    <w:rPr>
      <w:rFonts w:ascii="Times" w:eastAsia="Times" w:hAnsi="Times" w:cs="Times"/>
      <w:sz w:val="24"/>
      <w:szCs w:val="20"/>
      <w:lang w:val="fr-FR"/>
    </w:rPr>
  </w:style>
  <w:style w:type="paragraph" w:customStyle="1" w:styleId="Text4">
    <w:name w:val="Text 4"/>
    <w:basedOn w:val="Normal"/>
    <w:rsid w:val="008A3FF7"/>
    <w:pPr>
      <w:tabs>
        <w:tab w:val="left" w:pos="2302"/>
      </w:tabs>
      <w:spacing w:after="240" w:line="240" w:lineRule="auto"/>
      <w:ind w:left="1202"/>
      <w:jc w:val="both"/>
    </w:pPr>
    <w:rPr>
      <w:rFonts w:ascii="Times" w:eastAsia="Times" w:hAnsi="Times" w:cs="Times"/>
      <w:sz w:val="24"/>
      <w:szCs w:val="20"/>
      <w:lang w:val="fr-FR"/>
    </w:rPr>
  </w:style>
  <w:style w:type="paragraph" w:customStyle="1" w:styleId="Address">
    <w:name w:val="Address"/>
    <w:basedOn w:val="Normal"/>
    <w:uiPriority w:val="99"/>
    <w:rsid w:val="008A3FF7"/>
    <w:pPr>
      <w:spacing w:after="0" w:line="240" w:lineRule="auto"/>
    </w:pPr>
    <w:rPr>
      <w:rFonts w:ascii="Times" w:eastAsia="Times" w:hAnsi="Times" w:cs="Times"/>
      <w:sz w:val="24"/>
      <w:szCs w:val="20"/>
      <w:lang w:val="fr-FR"/>
    </w:rPr>
  </w:style>
  <w:style w:type="paragraph" w:customStyle="1" w:styleId="AddressTL">
    <w:name w:val="AddressTL"/>
    <w:basedOn w:val="Normal"/>
    <w:next w:val="Normal"/>
    <w:rsid w:val="008A3FF7"/>
    <w:pPr>
      <w:spacing w:after="720" w:line="240" w:lineRule="auto"/>
    </w:pPr>
    <w:rPr>
      <w:rFonts w:ascii="Times" w:eastAsia="Times" w:hAnsi="Times" w:cs="Times"/>
      <w:sz w:val="24"/>
      <w:szCs w:val="20"/>
      <w:lang w:val="fr-FR"/>
    </w:rPr>
  </w:style>
  <w:style w:type="paragraph" w:customStyle="1" w:styleId="AddressTR">
    <w:name w:val="AddressTR"/>
    <w:basedOn w:val="Normal"/>
    <w:next w:val="Normal"/>
    <w:rsid w:val="008A3FF7"/>
    <w:pPr>
      <w:spacing w:after="720" w:line="240" w:lineRule="auto"/>
      <w:ind w:left="5103"/>
    </w:pPr>
    <w:rPr>
      <w:rFonts w:ascii="Times" w:eastAsia="Times" w:hAnsi="Times" w:cs="Times"/>
      <w:sz w:val="24"/>
      <w:szCs w:val="20"/>
      <w:lang w:val="fr-FR"/>
    </w:rPr>
  </w:style>
  <w:style w:type="paragraph" w:styleId="BlockText">
    <w:name w:val="Block Text"/>
    <w:basedOn w:val="Normal"/>
    <w:uiPriority w:val="99"/>
    <w:rsid w:val="008A3FF7"/>
    <w:pPr>
      <w:spacing w:after="120" w:line="240" w:lineRule="auto"/>
      <w:ind w:left="1440" w:right="1440"/>
      <w:jc w:val="both"/>
    </w:pPr>
    <w:rPr>
      <w:rFonts w:ascii="Times" w:eastAsia="Times" w:hAnsi="Times" w:cs="Times"/>
      <w:sz w:val="24"/>
      <w:szCs w:val="20"/>
      <w:lang w:val="fr-FR"/>
    </w:rPr>
  </w:style>
  <w:style w:type="paragraph" w:styleId="BodyText2">
    <w:name w:val="Body Text 2"/>
    <w:basedOn w:val="Normal"/>
    <w:link w:val="BodyText2Char"/>
    <w:rsid w:val="008A3FF7"/>
    <w:pPr>
      <w:spacing w:after="120" w:line="480" w:lineRule="auto"/>
      <w:jc w:val="both"/>
    </w:pPr>
    <w:rPr>
      <w:rFonts w:ascii="Times" w:eastAsia="Times" w:hAnsi="Times" w:cs="Times"/>
      <w:sz w:val="24"/>
      <w:szCs w:val="20"/>
      <w:lang w:val="fr-FR"/>
    </w:rPr>
  </w:style>
  <w:style w:type="character" w:customStyle="1" w:styleId="BodyText2Char">
    <w:name w:val="Body Text 2 Char"/>
    <w:basedOn w:val="DefaultParagraphFont"/>
    <w:link w:val="BodyText2"/>
    <w:rsid w:val="008A3FF7"/>
    <w:rPr>
      <w:rFonts w:ascii="Times" w:eastAsia="Times" w:hAnsi="Times" w:cs="Times"/>
      <w:sz w:val="24"/>
      <w:szCs w:val="20"/>
      <w:lang w:val="fr-FR"/>
    </w:rPr>
  </w:style>
  <w:style w:type="paragraph" w:styleId="BodyText3">
    <w:name w:val="Body Text 3"/>
    <w:basedOn w:val="Normal"/>
    <w:link w:val="BodyText3Char"/>
    <w:uiPriority w:val="99"/>
    <w:rsid w:val="008A3FF7"/>
    <w:pPr>
      <w:spacing w:after="120" w:line="240" w:lineRule="auto"/>
      <w:jc w:val="both"/>
    </w:pPr>
    <w:rPr>
      <w:rFonts w:ascii="Times" w:eastAsia="Times" w:hAnsi="Times" w:cs="Times"/>
      <w:sz w:val="16"/>
      <w:szCs w:val="20"/>
      <w:lang w:val="fr-FR"/>
    </w:rPr>
  </w:style>
  <w:style w:type="character" w:customStyle="1" w:styleId="BodyText3Char">
    <w:name w:val="Body Text 3 Char"/>
    <w:basedOn w:val="DefaultParagraphFont"/>
    <w:link w:val="BodyText3"/>
    <w:uiPriority w:val="99"/>
    <w:rsid w:val="008A3FF7"/>
    <w:rPr>
      <w:rFonts w:ascii="Times" w:eastAsia="Times" w:hAnsi="Times" w:cs="Times"/>
      <w:sz w:val="16"/>
      <w:szCs w:val="20"/>
      <w:lang w:val="fr-FR"/>
    </w:rPr>
  </w:style>
  <w:style w:type="paragraph" w:styleId="BodyTextFirstIndent">
    <w:name w:val="Body Text First Indent"/>
    <w:basedOn w:val="BodyText"/>
    <w:link w:val="BodyTextFirstIndentChar"/>
    <w:uiPriority w:val="99"/>
    <w:rsid w:val="008A3FF7"/>
    <w:pPr>
      <w:ind w:firstLine="210"/>
    </w:pPr>
    <w:rPr>
      <w:rFonts w:eastAsia="Times New Roman" w:cs="Times New Roman"/>
      <w:kern w:val="0"/>
      <w:szCs w:val="20"/>
      <w:lang w:val="fr-FR"/>
    </w:rPr>
  </w:style>
  <w:style w:type="character" w:customStyle="1" w:styleId="BodyTextFirstIndentChar">
    <w:name w:val="Body Text First Indent Char"/>
    <w:basedOn w:val="BodyTextChar"/>
    <w:link w:val="BodyTextFirstIndent"/>
    <w:uiPriority w:val="99"/>
    <w:rsid w:val="008A3FF7"/>
    <w:rPr>
      <w:rFonts w:ascii="Times New Roman" w:eastAsia="Times New Roman" w:hAnsi="Times New Roman" w:cs="Times New Roman"/>
      <w:kern w:val="18"/>
      <w:sz w:val="24"/>
      <w:szCs w:val="20"/>
      <w:lang w:val="fr-FR"/>
    </w:rPr>
  </w:style>
  <w:style w:type="paragraph" w:styleId="BodyTextIndent">
    <w:name w:val="Body Text Indent"/>
    <w:basedOn w:val="Normal"/>
    <w:link w:val="BodyTextIndentChar"/>
    <w:uiPriority w:val="99"/>
    <w:rsid w:val="008A3FF7"/>
    <w:pPr>
      <w:spacing w:after="120" w:line="240" w:lineRule="auto"/>
      <w:ind w:left="283"/>
      <w:jc w:val="both"/>
    </w:pPr>
    <w:rPr>
      <w:rFonts w:ascii="Times" w:eastAsia="Times" w:hAnsi="Times" w:cs="Times"/>
      <w:sz w:val="24"/>
      <w:szCs w:val="20"/>
      <w:lang w:val="fr-FR"/>
    </w:rPr>
  </w:style>
  <w:style w:type="character" w:customStyle="1" w:styleId="BodyTextIndentChar">
    <w:name w:val="Body Text Indent Char"/>
    <w:basedOn w:val="DefaultParagraphFont"/>
    <w:link w:val="BodyTextIndent"/>
    <w:uiPriority w:val="99"/>
    <w:rsid w:val="008A3FF7"/>
    <w:rPr>
      <w:rFonts w:ascii="Times" w:eastAsia="Times" w:hAnsi="Times" w:cs="Times"/>
      <w:sz w:val="24"/>
      <w:szCs w:val="20"/>
      <w:lang w:val="fr-FR"/>
    </w:rPr>
  </w:style>
  <w:style w:type="paragraph" w:styleId="BodyTextFirstIndent2">
    <w:name w:val="Body Text First Indent 2"/>
    <w:basedOn w:val="BodyTextIndent"/>
    <w:link w:val="BodyTextFirstIndent2Char"/>
    <w:uiPriority w:val="99"/>
    <w:rsid w:val="008A3FF7"/>
    <w:pPr>
      <w:ind w:firstLine="210"/>
    </w:pPr>
  </w:style>
  <w:style w:type="character" w:customStyle="1" w:styleId="BodyTextFirstIndent2Char">
    <w:name w:val="Body Text First Indent 2 Char"/>
    <w:basedOn w:val="BodyTextIndentChar"/>
    <w:link w:val="BodyTextFirstIndent2"/>
    <w:uiPriority w:val="99"/>
    <w:rsid w:val="008A3FF7"/>
    <w:rPr>
      <w:rFonts w:ascii="Times New Roman" w:eastAsia="Times New Roman" w:hAnsi="Times New Roman" w:cs="Times New Roman"/>
      <w:sz w:val="24"/>
      <w:szCs w:val="20"/>
      <w:lang w:val="fr-FR"/>
    </w:rPr>
  </w:style>
  <w:style w:type="paragraph" w:styleId="BodyTextIndent2">
    <w:name w:val="Body Text Indent 2"/>
    <w:basedOn w:val="Normal"/>
    <w:link w:val="BodyTextIndent2Char"/>
    <w:rsid w:val="008A3FF7"/>
    <w:pPr>
      <w:spacing w:after="120" w:line="480" w:lineRule="auto"/>
      <w:ind w:left="283"/>
      <w:jc w:val="both"/>
    </w:pPr>
    <w:rPr>
      <w:rFonts w:ascii="Times" w:eastAsia="Times" w:hAnsi="Times" w:cs="Times"/>
      <w:sz w:val="24"/>
      <w:szCs w:val="20"/>
      <w:lang w:val="fr-FR"/>
    </w:rPr>
  </w:style>
  <w:style w:type="character" w:customStyle="1" w:styleId="BodyTextIndent2Char">
    <w:name w:val="Body Text Indent 2 Char"/>
    <w:basedOn w:val="DefaultParagraphFont"/>
    <w:link w:val="BodyTextIndent2"/>
    <w:rsid w:val="008A3FF7"/>
    <w:rPr>
      <w:rFonts w:ascii="Times" w:eastAsia="Times" w:hAnsi="Times" w:cs="Times"/>
      <w:sz w:val="24"/>
      <w:szCs w:val="20"/>
      <w:lang w:val="fr-FR"/>
    </w:rPr>
  </w:style>
  <w:style w:type="paragraph" w:styleId="BodyTextIndent3">
    <w:name w:val="Body Text Indent 3"/>
    <w:basedOn w:val="Normal"/>
    <w:link w:val="BodyTextIndent3Char"/>
    <w:uiPriority w:val="99"/>
    <w:rsid w:val="008A3FF7"/>
    <w:pPr>
      <w:spacing w:after="120" w:line="240" w:lineRule="auto"/>
      <w:ind w:left="283"/>
      <w:jc w:val="both"/>
    </w:pPr>
    <w:rPr>
      <w:rFonts w:ascii="Times" w:eastAsia="Times" w:hAnsi="Times" w:cs="Times"/>
      <w:sz w:val="16"/>
      <w:szCs w:val="20"/>
      <w:lang w:val="fr-FR"/>
    </w:rPr>
  </w:style>
  <w:style w:type="character" w:customStyle="1" w:styleId="BodyTextIndent3Char">
    <w:name w:val="Body Text Indent 3 Char"/>
    <w:basedOn w:val="DefaultParagraphFont"/>
    <w:link w:val="BodyTextIndent3"/>
    <w:uiPriority w:val="99"/>
    <w:rsid w:val="008A3FF7"/>
    <w:rPr>
      <w:rFonts w:ascii="Times" w:eastAsia="Times" w:hAnsi="Times" w:cs="Times"/>
      <w:sz w:val="16"/>
      <w:szCs w:val="20"/>
      <w:lang w:val="fr-FR"/>
    </w:rPr>
  </w:style>
  <w:style w:type="paragraph" w:customStyle="1" w:styleId="ChapterTitle">
    <w:name w:val="ChapterTitle"/>
    <w:basedOn w:val="Normal"/>
    <w:next w:val="SectionTitle"/>
    <w:rsid w:val="008A3FF7"/>
    <w:pPr>
      <w:keepNext/>
      <w:spacing w:after="480" w:line="240" w:lineRule="auto"/>
      <w:jc w:val="center"/>
    </w:pPr>
    <w:rPr>
      <w:rFonts w:ascii="Times" w:eastAsia="Times" w:hAnsi="Times" w:cs="Times"/>
      <w:b/>
      <w:sz w:val="32"/>
      <w:szCs w:val="20"/>
      <w:lang w:val="fr-FR"/>
    </w:rPr>
  </w:style>
  <w:style w:type="paragraph" w:customStyle="1" w:styleId="SectionTitle">
    <w:name w:val="SectionTitle"/>
    <w:basedOn w:val="Normal"/>
    <w:next w:val="Heading1"/>
    <w:rsid w:val="008A3FF7"/>
    <w:pPr>
      <w:keepNext/>
      <w:spacing w:after="480" w:line="240" w:lineRule="auto"/>
      <w:jc w:val="center"/>
    </w:pPr>
    <w:rPr>
      <w:rFonts w:ascii="Times" w:eastAsia="Times" w:hAnsi="Times" w:cs="Times"/>
      <w:b/>
      <w:smallCaps/>
      <w:sz w:val="28"/>
      <w:szCs w:val="20"/>
      <w:lang w:val="fr-FR"/>
    </w:rPr>
  </w:style>
  <w:style w:type="paragraph" w:styleId="Closing">
    <w:name w:val="Closing"/>
    <w:basedOn w:val="Normal"/>
    <w:link w:val="ClosingChar"/>
    <w:uiPriority w:val="9"/>
    <w:rsid w:val="008A3FF7"/>
    <w:pPr>
      <w:spacing w:after="240" w:line="240" w:lineRule="auto"/>
      <w:ind w:left="4252"/>
      <w:jc w:val="both"/>
    </w:pPr>
    <w:rPr>
      <w:rFonts w:ascii="Times" w:eastAsia="Times" w:hAnsi="Times" w:cs="Times"/>
      <w:sz w:val="24"/>
      <w:szCs w:val="20"/>
      <w:lang w:val="fr-FR"/>
    </w:rPr>
  </w:style>
  <w:style w:type="character" w:customStyle="1" w:styleId="ClosingChar">
    <w:name w:val="Closing Char"/>
    <w:basedOn w:val="DefaultParagraphFont"/>
    <w:link w:val="Closing"/>
    <w:uiPriority w:val="9"/>
    <w:rsid w:val="008A3FF7"/>
    <w:rPr>
      <w:rFonts w:ascii="Times" w:eastAsia="Times" w:hAnsi="Times" w:cs="Times"/>
      <w:sz w:val="24"/>
      <w:szCs w:val="20"/>
      <w:lang w:val="fr-FR"/>
    </w:rPr>
  </w:style>
  <w:style w:type="paragraph" w:styleId="Date">
    <w:name w:val="Date"/>
    <w:basedOn w:val="Normal"/>
    <w:next w:val="References"/>
    <w:link w:val="DateChar"/>
    <w:uiPriority w:val="9"/>
    <w:rsid w:val="008A3FF7"/>
    <w:pPr>
      <w:spacing w:after="0" w:line="240" w:lineRule="auto"/>
      <w:ind w:left="5103" w:right="-567"/>
    </w:pPr>
    <w:rPr>
      <w:rFonts w:ascii="Times" w:eastAsia="Times" w:hAnsi="Times" w:cs="Times"/>
      <w:sz w:val="24"/>
      <w:szCs w:val="20"/>
      <w:lang w:val="fr-FR"/>
    </w:rPr>
  </w:style>
  <w:style w:type="character" w:customStyle="1" w:styleId="DateChar">
    <w:name w:val="Date Char"/>
    <w:basedOn w:val="DefaultParagraphFont"/>
    <w:link w:val="Date"/>
    <w:uiPriority w:val="9"/>
    <w:rsid w:val="008A3FF7"/>
    <w:rPr>
      <w:rFonts w:ascii="Times" w:eastAsia="Times" w:hAnsi="Times" w:cs="Times"/>
      <w:sz w:val="24"/>
      <w:szCs w:val="20"/>
      <w:lang w:val="fr-FR"/>
    </w:rPr>
  </w:style>
  <w:style w:type="paragraph" w:customStyle="1" w:styleId="References">
    <w:name w:val="References"/>
    <w:basedOn w:val="Normal"/>
    <w:next w:val="AddressTR"/>
    <w:rsid w:val="008A3FF7"/>
    <w:pPr>
      <w:spacing w:after="240" w:line="240" w:lineRule="auto"/>
      <w:ind w:left="5103"/>
    </w:pPr>
    <w:rPr>
      <w:rFonts w:ascii="Times" w:eastAsia="Times" w:hAnsi="Times" w:cs="Times"/>
      <w:sz w:val="20"/>
      <w:szCs w:val="20"/>
      <w:lang w:val="fr-FR"/>
    </w:rPr>
  </w:style>
  <w:style w:type="paragraph" w:styleId="DocumentMap">
    <w:name w:val="Document Map"/>
    <w:basedOn w:val="Normal"/>
    <w:link w:val="DocumentMapChar"/>
    <w:uiPriority w:val="9"/>
    <w:semiHidden/>
    <w:rsid w:val="008A3FF7"/>
    <w:pPr>
      <w:shd w:val="clear" w:color="auto" w:fill="000080"/>
      <w:spacing w:after="240" w:line="240" w:lineRule="auto"/>
      <w:jc w:val="both"/>
    </w:pPr>
    <w:rPr>
      <w:rFonts w:ascii="Lucida Sans" w:eastAsia="Times" w:hAnsi="Lucida Sans" w:cs="Times"/>
      <w:sz w:val="24"/>
      <w:szCs w:val="20"/>
      <w:lang w:val="fr-FR"/>
    </w:rPr>
  </w:style>
  <w:style w:type="character" w:customStyle="1" w:styleId="DocumentMapChar">
    <w:name w:val="Document Map Char"/>
    <w:basedOn w:val="DefaultParagraphFont"/>
    <w:link w:val="DocumentMap"/>
    <w:uiPriority w:val="9"/>
    <w:semiHidden/>
    <w:rsid w:val="008A3FF7"/>
    <w:rPr>
      <w:rFonts w:ascii="Lucida Sans" w:eastAsia="Times" w:hAnsi="Lucida Sans" w:cs="Times"/>
      <w:sz w:val="24"/>
      <w:szCs w:val="20"/>
      <w:shd w:val="clear" w:color="auto" w:fill="000080"/>
      <w:lang w:val="fr-FR"/>
    </w:rPr>
  </w:style>
  <w:style w:type="paragraph" w:customStyle="1" w:styleId="DoubSign">
    <w:name w:val="DoubSign"/>
    <w:basedOn w:val="Normal"/>
    <w:next w:val="Enclosures"/>
    <w:rsid w:val="008A3FF7"/>
    <w:pPr>
      <w:tabs>
        <w:tab w:val="left" w:pos="5103"/>
      </w:tabs>
      <w:spacing w:before="1200" w:after="0" w:line="240" w:lineRule="auto"/>
    </w:pPr>
    <w:rPr>
      <w:rFonts w:ascii="Times" w:eastAsia="Times" w:hAnsi="Times" w:cs="Times"/>
      <w:sz w:val="24"/>
      <w:szCs w:val="20"/>
      <w:lang w:val="fr-FR"/>
    </w:rPr>
  </w:style>
  <w:style w:type="paragraph" w:customStyle="1" w:styleId="Enclosures">
    <w:name w:val="Enclosures"/>
    <w:basedOn w:val="Normal"/>
    <w:rsid w:val="008A3FF7"/>
    <w:pPr>
      <w:keepNext/>
      <w:keepLines/>
      <w:tabs>
        <w:tab w:val="left" w:pos="5642"/>
      </w:tabs>
      <w:spacing w:before="480" w:after="0" w:line="240" w:lineRule="auto"/>
      <w:ind w:left="1191" w:hanging="1191"/>
    </w:pPr>
    <w:rPr>
      <w:rFonts w:ascii="Times" w:eastAsia="Times" w:hAnsi="Times" w:cs="Times"/>
      <w:sz w:val="24"/>
      <w:szCs w:val="20"/>
      <w:lang w:val="fr-FR"/>
    </w:rPr>
  </w:style>
  <w:style w:type="paragraph" w:styleId="EndnoteText">
    <w:name w:val="endnote text"/>
    <w:basedOn w:val="Normal"/>
    <w:link w:val="EndnoteTextChar"/>
    <w:uiPriority w:val="99"/>
    <w:semiHidden/>
    <w:rsid w:val="008A3FF7"/>
    <w:pPr>
      <w:spacing w:after="240" w:line="240" w:lineRule="auto"/>
      <w:jc w:val="both"/>
    </w:pPr>
    <w:rPr>
      <w:rFonts w:ascii="Times" w:eastAsia="Times" w:hAnsi="Times" w:cs="Times"/>
      <w:sz w:val="20"/>
      <w:szCs w:val="20"/>
      <w:lang w:val="fr-FR"/>
    </w:rPr>
  </w:style>
  <w:style w:type="character" w:customStyle="1" w:styleId="EndnoteTextChar">
    <w:name w:val="Endnote Text Char"/>
    <w:basedOn w:val="DefaultParagraphFont"/>
    <w:link w:val="EndnoteText"/>
    <w:uiPriority w:val="99"/>
    <w:semiHidden/>
    <w:rsid w:val="008A3FF7"/>
    <w:rPr>
      <w:rFonts w:ascii="Times" w:eastAsia="Times" w:hAnsi="Times" w:cs="Times"/>
      <w:sz w:val="20"/>
      <w:szCs w:val="20"/>
      <w:lang w:val="fr-FR"/>
    </w:rPr>
  </w:style>
  <w:style w:type="paragraph" w:styleId="EnvelopeAddress">
    <w:name w:val="envelope address"/>
    <w:basedOn w:val="Normal"/>
    <w:uiPriority w:val="9"/>
    <w:rsid w:val="008A3FF7"/>
    <w:pPr>
      <w:framePr w:w="7920" w:h="1980" w:hRule="exact" w:hSpace="180" w:wrap="auto" w:hAnchor="page" w:xAlign="center" w:yAlign="bottom"/>
      <w:spacing w:after="0" w:line="240" w:lineRule="auto"/>
      <w:jc w:val="both"/>
    </w:pPr>
    <w:rPr>
      <w:rFonts w:ascii="Times" w:eastAsia="Times" w:hAnsi="Times" w:cs="Times"/>
      <w:sz w:val="24"/>
      <w:szCs w:val="20"/>
      <w:lang w:val="fr-FR"/>
    </w:rPr>
  </w:style>
  <w:style w:type="paragraph" w:styleId="EnvelopeReturn">
    <w:name w:val="envelope return"/>
    <w:basedOn w:val="Normal"/>
    <w:uiPriority w:val="9"/>
    <w:rsid w:val="008A3FF7"/>
    <w:pPr>
      <w:spacing w:after="0" w:line="240" w:lineRule="auto"/>
      <w:jc w:val="both"/>
    </w:pPr>
    <w:rPr>
      <w:rFonts w:ascii="Times" w:eastAsia="Times" w:hAnsi="Times" w:cs="Times"/>
      <w:sz w:val="20"/>
      <w:szCs w:val="20"/>
      <w:lang w:val="fr-FR"/>
    </w:rPr>
  </w:style>
  <w:style w:type="paragraph" w:styleId="Index1">
    <w:name w:val="index 1"/>
    <w:basedOn w:val="Normal"/>
    <w:next w:val="Normal"/>
    <w:autoRedefine/>
    <w:uiPriority w:val="99"/>
    <w:semiHidden/>
    <w:rsid w:val="008A3FF7"/>
    <w:pPr>
      <w:spacing w:after="240" w:line="240" w:lineRule="auto"/>
      <w:ind w:left="240" w:hanging="240"/>
      <w:jc w:val="both"/>
    </w:pPr>
    <w:rPr>
      <w:rFonts w:ascii="Times" w:eastAsia="Times" w:hAnsi="Times" w:cs="Times"/>
      <w:sz w:val="24"/>
      <w:szCs w:val="20"/>
      <w:lang w:val="fr-FR"/>
    </w:rPr>
  </w:style>
  <w:style w:type="paragraph" w:styleId="Index2">
    <w:name w:val="index 2"/>
    <w:basedOn w:val="Normal"/>
    <w:next w:val="Normal"/>
    <w:autoRedefine/>
    <w:semiHidden/>
    <w:rsid w:val="008A3FF7"/>
    <w:pPr>
      <w:spacing w:after="240" w:line="240" w:lineRule="auto"/>
      <w:ind w:left="480" w:hanging="240"/>
      <w:jc w:val="both"/>
    </w:pPr>
    <w:rPr>
      <w:rFonts w:ascii="Times" w:eastAsia="Times" w:hAnsi="Times" w:cs="Times"/>
      <w:sz w:val="24"/>
      <w:szCs w:val="20"/>
      <w:lang w:val="fr-FR"/>
    </w:rPr>
  </w:style>
  <w:style w:type="paragraph" w:styleId="Index3">
    <w:name w:val="index 3"/>
    <w:basedOn w:val="Normal"/>
    <w:next w:val="Normal"/>
    <w:autoRedefine/>
    <w:semiHidden/>
    <w:rsid w:val="008A3FF7"/>
    <w:pPr>
      <w:spacing w:after="240" w:line="240" w:lineRule="auto"/>
      <w:ind w:left="720" w:hanging="240"/>
      <w:jc w:val="both"/>
    </w:pPr>
    <w:rPr>
      <w:rFonts w:ascii="Times" w:eastAsia="Times" w:hAnsi="Times" w:cs="Times"/>
      <w:sz w:val="24"/>
      <w:szCs w:val="20"/>
      <w:lang w:val="fr-FR"/>
    </w:rPr>
  </w:style>
  <w:style w:type="paragraph" w:styleId="Index4">
    <w:name w:val="index 4"/>
    <w:basedOn w:val="Normal"/>
    <w:next w:val="Normal"/>
    <w:autoRedefine/>
    <w:semiHidden/>
    <w:rsid w:val="008A3FF7"/>
    <w:pPr>
      <w:spacing w:after="240" w:line="240" w:lineRule="auto"/>
      <w:ind w:left="960" w:hanging="240"/>
      <w:jc w:val="both"/>
    </w:pPr>
    <w:rPr>
      <w:rFonts w:ascii="Times" w:eastAsia="Times" w:hAnsi="Times" w:cs="Times"/>
      <w:sz w:val="24"/>
      <w:szCs w:val="20"/>
      <w:lang w:val="fr-FR"/>
    </w:rPr>
  </w:style>
  <w:style w:type="paragraph" w:styleId="Index5">
    <w:name w:val="index 5"/>
    <w:basedOn w:val="Normal"/>
    <w:next w:val="Normal"/>
    <w:autoRedefine/>
    <w:semiHidden/>
    <w:rsid w:val="008A3FF7"/>
    <w:pPr>
      <w:spacing w:after="240" w:line="240" w:lineRule="auto"/>
      <w:ind w:left="1200" w:hanging="240"/>
      <w:jc w:val="both"/>
    </w:pPr>
    <w:rPr>
      <w:rFonts w:ascii="Times" w:eastAsia="Times" w:hAnsi="Times" w:cs="Times"/>
      <w:sz w:val="24"/>
      <w:szCs w:val="20"/>
      <w:lang w:val="fr-FR"/>
    </w:rPr>
  </w:style>
  <w:style w:type="paragraph" w:styleId="Index6">
    <w:name w:val="index 6"/>
    <w:basedOn w:val="Normal"/>
    <w:next w:val="Normal"/>
    <w:autoRedefine/>
    <w:semiHidden/>
    <w:rsid w:val="008A3FF7"/>
    <w:pPr>
      <w:spacing w:after="240" w:line="240" w:lineRule="auto"/>
      <w:ind w:left="1440" w:hanging="240"/>
      <w:jc w:val="both"/>
    </w:pPr>
    <w:rPr>
      <w:rFonts w:ascii="Times" w:eastAsia="Times" w:hAnsi="Times" w:cs="Times"/>
      <w:sz w:val="24"/>
      <w:szCs w:val="20"/>
      <w:lang w:val="fr-FR"/>
    </w:rPr>
  </w:style>
  <w:style w:type="paragraph" w:styleId="Index7">
    <w:name w:val="index 7"/>
    <w:basedOn w:val="Normal"/>
    <w:next w:val="Normal"/>
    <w:autoRedefine/>
    <w:semiHidden/>
    <w:rsid w:val="008A3FF7"/>
    <w:pPr>
      <w:spacing w:after="240" w:line="240" w:lineRule="auto"/>
      <w:ind w:left="1680" w:hanging="240"/>
      <w:jc w:val="both"/>
    </w:pPr>
    <w:rPr>
      <w:rFonts w:ascii="Times" w:eastAsia="Times" w:hAnsi="Times" w:cs="Times"/>
      <w:sz w:val="24"/>
      <w:szCs w:val="20"/>
      <w:lang w:val="fr-FR"/>
    </w:rPr>
  </w:style>
  <w:style w:type="paragraph" w:styleId="Index8">
    <w:name w:val="index 8"/>
    <w:basedOn w:val="Normal"/>
    <w:next w:val="Normal"/>
    <w:autoRedefine/>
    <w:semiHidden/>
    <w:rsid w:val="008A3FF7"/>
    <w:pPr>
      <w:spacing w:after="240" w:line="240" w:lineRule="auto"/>
      <w:ind w:left="1920" w:hanging="240"/>
      <w:jc w:val="both"/>
    </w:pPr>
    <w:rPr>
      <w:rFonts w:ascii="Times" w:eastAsia="Times" w:hAnsi="Times" w:cs="Times"/>
      <w:sz w:val="24"/>
      <w:szCs w:val="20"/>
      <w:lang w:val="fr-FR"/>
    </w:rPr>
  </w:style>
  <w:style w:type="paragraph" w:styleId="Index9">
    <w:name w:val="index 9"/>
    <w:basedOn w:val="Normal"/>
    <w:next w:val="Normal"/>
    <w:autoRedefine/>
    <w:semiHidden/>
    <w:rsid w:val="008A3FF7"/>
    <w:pPr>
      <w:spacing w:after="240" w:line="240" w:lineRule="auto"/>
      <w:ind w:left="2160" w:hanging="240"/>
      <w:jc w:val="both"/>
    </w:pPr>
    <w:rPr>
      <w:rFonts w:ascii="Times" w:eastAsia="Times" w:hAnsi="Times" w:cs="Times"/>
      <w:sz w:val="24"/>
      <w:szCs w:val="20"/>
      <w:lang w:val="fr-FR"/>
    </w:rPr>
  </w:style>
  <w:style w:type="paragraph" w:styleId="IndexHeading">
    <w:name w:val="index heading"/>
    <w:basedOn w:val="Normal"/>
    <w:next w:val="Index1"/>
    <w:semiHidden/>
    <w:rsid w:val="008A3FF7"/>
    <w:pPr>
      <w:spacing w:after="240" w:line="240" w:lineRule="auto"/>
      <w:jc w:val="both"/>
    </w:pPr>
    <w:rPr>
      <w:rFonts w:ascii="Liberation Serif" w:eastAsia="Times" w:hAnsi="Liberation Serif" w:cs="Times"/>
      <w:b/>
      <w:sz w:val="24"/>
      <w:szCs w:val="20"/>
      <w:lang w:val="fr-FR"/>
    </w:rPr>
  </w:style>
  <w:style w:type="paragraph" w:styleId="List">
    <w:name w:val="List"/>
    <w:basedOn w:val="Normal"/>
    <w:uiPriority w:val="99"/>
    <w:rsid w:val="008A3FF7"/>
    <w:pPr>
      <w:spacing w:after="240" w:line="240" w:lineRule="auto"/>
      <w:ind w:left="283" w:hanging="283"/>
      <w:jc w:val="both"/>
    </w:pPr>
    <w:rPr>
      <w:rFonts w:ascii="Times" w:eastAsia="Times" w:hAnsi="Times" w:cs="Times"/>
      <w:sz w:val="24"/>
      <w:szCs w:val="20"/>
      <w:lang w:val="fr-FR"/>
    </w:rPr>
  </w:style>
  <w:style w:type="paragraph" w:styleId="List2">
    <w:name w:val="List 2"/>
    <w:basedOn w:val="Normal"/>
    <w:uiPriority w:val="99"/>
    <w:rsid w:val="008A3FF7"/>
    <w:pPr>
      <w:spacing w:after="240" w:line="240" w:lineRule="auto"/>
      <w:ind w:left="566" w:hanging="283"/>
      <w:jc w:val="both"/>
    </w:pPr>
    <w:rPr>
      <w:rFonts w:ascii="Times" w:eastAsia="Times" w:hAnsi="Times" w:cs="Times"/>
      <w:sz w:val="24"/>
      <w:szCs w:val="20"/>
      <w:lang w:val="fr-FR"/>
    </w:rPr>
  </w:style>
  <w:style w:type="paragraph" w:styleId="List3">
    <w:name w:val="List 3"/>
    <w:basedOn w:val="Normal"/>
    <w:uiPriority w:val="99"/>
    <w:rsid w:val="008A3FF7"/>
    <w:pPr>
      <w:spacing w:after="240" w:line="240" w:lineRule="auto"/>
      <w:ind w:left="849" w:hanging="283"/>
      <w:jc w:val="both"/>
    </w:pPr>
    <w:rPr>
      <w:rFonts w:ascii="Times" w:eastAsia="Times" w:hAnsi="Times" w:cs="Times"/>
      <w:sz w:val="24"/>
      <w:szCs w:val="20"/>
      <w:lang w:val="fr-FR"/>
    </w:rPr>
  </w:style>
  <w:style w:type="paragraph" w:styleId="List4">
    <w:name w:val="List 4"/>
    <w:basedOn w:val="Normal"/>
    <w:uiPriority w:val="99"/>
    <w:rsid w:val="008A3FF7"/>
    <w:pPr>
      <w:spacing w:after="240" w:line="240" w:lineRule="auto"/>
      <w:ind w:left="1132" w:hanging="283"/>
      <w:jc w:val="both"/>
    </w:pPr>
    <w:rPr>
      <w:rFonts w:ascii="Times" w:eastAsia="Times" w:hAnsi="Times" w:cs="Times"/>
      <w:sz w:val="24"/>
      <w:szCs w:val="20"/>
      <w:lang w:val="fr-FR"/>
    </w:rPr>
  </w:style>
  <w:style w:type="paragraph" w:styleId="List5">
    <w:name w:val="List 5"/>
    <w:basedOn w:val="Normal"/>
    <w:uiPriority w:val="99"/>
    <w:rsid w:val="008A3FF7"/>
    <w:pPr>
      <w:spacing w:after="240" w:line="240" w:lineRule="auto"/>
      <w:ind w:left="1415" w:hanging="283"/>
      <w:jc w:val="both"/>
    </w:pPr>
    <w:rPr>
      <w:rFonts w:ascii="Times" w:eastAsia="Times" w:hAnsi="Times" w:cs="Times"/>
      <w:sz w:val="24"/>
      <w:szCs w:val="20"/>
      <w:lang w:val="fr-FR"/>
    </w:rPr>
  </w:style>
  <w:style w:type="paragraph" w:styleId="ListBullet2">
    <w:name w:val="List Bullet 2"/>
    <w:basedOn w:val="Text2"/>
    <w:uiPriority w:val="4"/>
    <w:rsid w:val="008A3FF7"/>
    <w:pPr>
      <w:tabs>
        <w:tab w:val="clear" w:pos="2302"/>
        <w:tab w:val="num" w:pos="1485"/>
      </w:tabs>
      <w:ind w:left="1485" w:hanging="283"/>
    </w:pPr>
    <w:rPr>
      <w:lang w:val="fr-FR"/>
    </w:rPr>
  </w:style>
  <w:style w:type="paragraph" w:styleId="ListBullet3">
    <w:name w:val="List Bullet 3"/>
    <w:basedOn w:val="Text3"/>
    <w:uiPriority w:val="4"/>
    <w:rsid w:val="008A3FF7"/>
    <w:pPr>
      <w:tabs>
        <w:tab w:val="clear" w:pos="2302"/>
        <w:tab w:val="num" w:pos="1485"/>
      </w:tabs>
      <w:ind w:left="1485" w:hanging="283"/>
    </w:pPr>
  </w:style>
  <w:style w:type="paragraph" w:styleId="ListBullet4">
    <w:name w:val="List Bullet 4"/>
    <w:basedOn w:val="Text4"/>
    <w:uiPriority w:val="4"/>
    <w:rsid w:val="008A3FF7"/>
    <w:pPr>
      <w:tabs>
        <w:tab w:val="clear" w:pos="2302"/>
        <w:tab w:val="num" w:pos="1485"/>
      </w:tabs>
      <w:ind w:left="1485" w:hanging="283"/>
    </w:pPr>
  </w:style>
  <w:style w:type="paragraph" w:styleId="ListBullet5">
    <w:name w:val="List Bullet 5"/>
    <w:basedOn w:val="Normal"/>
    <w:autoRedefine/>
    <w:uiPriority w:val="99"/>
    <w:rsid w:val="008A3FF7"/>
    <w:pPr>
      <w:numPr>
        <w:numId w:val="9"/>
      </w:numPr>
      <w:tabs>
        <w:tab w:val="num" w:pos="288"/>
      </w:tabs>
      <w:spacing w:after="240" w:line="240" w:lineRule="auto"/>
      <w:jc w:val="both"/>
    </w:pPr>
    <w:rPr>
      <w:rFonts w:ascii="Times" w:eastAsia="Times" w:hAnsi="Times" w:cs="Times"/>
      <w:sz w:val="24"/>
      <w:szCs w:val="20"/>
      <w:lang w:val="fr-FR"/>
    </w:rPr>
  </w:style>
  <w:style w:type="paragraph" w:styleId="ListContinue">
    <w:name w:val="List Continue"/>
    <w:basedOn w:val="Normal"/>
    <w:uiPriority w:val="9"/>
    <w:rsid w:val="008A3FF7"/>
    <w:pPr>
      <w:spacing w:after="120" w:line="240" w:lineRule="auto"/>
      <w:ind w:left="283"/>
      <w:jc w:val="both"/>
    </w:pPr>
    <w:rPr>
      <w:rFonts w:ascii="Times" w:eastAsia="Times" w:hAnsi="Times" w:cs="Times"/>
      <w:sz w:val="24"/>
      <w:szCs w:val="20"/>
      <w:lang w:val="fr-FR"/>
    </w:rPr>
  </w:style>
  <w:style w:type="paragraph" w:styleId="ListContinue2">
    <w:name w:val="List Continue 2"/>
    <w:basedOn w:val="Normal"/>
    <w:uiPriority w:val="9"/>
    <w:rsid w:val="008A3FF7"/>
    <w:pPr>
      <w:spacing w:after="120" w:line="240" w:lineRule="auto"/>
      <w:ind w:left="566"/>
      <w:jc w:val="both"/>
    </w:pPr>
    <w:rPr>
      <w:rFonts w:ascii="Times" w:eastAsia="Times" w:hAnsi="Times" w:cs="Times"/>
      <w:sz w:val="24"/>
      <w:szCs w:val="20"/>
      <w:lang w:val="fr-FR"/>
    </w:rPr>
  </w:style>
  <w:style w:type="paragraph" w:styleId="ListContinue3">
    <w:name w:val="List Continue 3"/>
    <w:basedOn w:val="Normal"/>
    <w:uiPriority w:val="9"/>
    <w:rsid w:val="008A3FF7"/>
    <w:pPr>
      <w:spacing w:after="120" w:line="240" w:lineRule="auto"/>
      <w:ind w:left="849"/>
      <w:jc w:val="both"/>
    </w:pPr>
    <w:rPr>
      <w:rFonts w:ascii="Times" w:eastAsia="Times" w:hAnsi="Times" w:cs="Times"/>
      <w:sz w:val="24"/>
      <w:szCs w:val="20"/>
      <w:lang w:val="fr-FR"/>
    </w:rPr>
  </w:style>
  <w:style w:type="paragraph" w:styleId="ListContinue4">
    <w:name w:val="List Continue 4"/>
    <w:basedOn w:val="Normal"/>
    <w:uiPriority w:val="9"/>
    <w:rsid w:val="008A3FF7"/>
    <w:pPr>
      <w:spacing w:after="120" w:line="240" w:lineRule="auto"/>
      <w:ind w:left="1132"/>
      <w:jc w:val="both"/>
    </w:pPr>
    <w:rPr>
      <w:rFonts w:ascii="Times" w:eastAsia="Times" w:hAnsi="Times" w:cs="Times"/>
      <w:sz w:val="24"/>
      <w:szCs w:val="20"/>
      <w:lang w:val="fr-FR"/>
    </w:rPr>
  </w:style>
  <w:style w:type="paragraph" w:styleId="ListContinue5">
    <w:name w:val="List Continue 5"/>
    <w:basedOn w:val="Normal"/>
    <w:uiPriority w:val="9"/>
    <w:rsid w:val="008A3FF7"/>
    <w:pPr>
      <w:spacing w:after="120" w:line="240" w:lineRule="auto"/>
      <w:ind w:left="1415"/>
      <w:jc w:val="both"/>
    </w:pPr>
    <w:rPr>
      <w:rFonts w:ascii="Times" w:eastAsia="Times" w:hAnsi="Times" w:cs="Times"/>
      <w:sz w:val="24"/>
      <w:szCs w:val="20"/>
      <w:lang w:val="fr-FR"/>
    </w:rPr>
  </w:style>
  <w:style w:type="paragraph" w:styleId="ListNumber">
    <w:name w:val="List Number"/>
    <w:basedOn w:val="Normal"/>
    <w:uiPriority w:val="2"/>
    <w:rsid w:val="008A3FF7"/>
    <w:pPr>
      <w:tabs>
        <w:tab w:val="num" w:pos="709"/>
      </w:tabs>
      <w:spacing w:after="240" w:line="240" w:lineRule="auto"/>
      <w:ind w:left="709" w:hanging="709"/>
      <w:jc w:val="both"/>
    </w:pPr>
    <w:rPr>
      <w:rFonts w:ascii="Times" w:eastAsia="Times" w:hAnsi="Times" w:cs="Times"/>
      <w:sz w:val="24"/>
      <w:szCs w:val="20"/>
      <w:lang w:val="fr-FR"/>
    </w:rPr>
  </w:style>
  <w:style w:type="paragraph" w:styleId="ListNumber2">
    <w:name w:val="List Number 2"/>
    <w:basedOn w:val="Text2"/>
    <w:uiPriority w:val="3"/>
    <w:rsid w:val="008A3FF7"/>
    <w:pPr>
      <w:tabs>
        <w:tab w:val="clear" w:pos="2302"/>
        <w:tab w:val="num" w:pos="643"/>
        <w:tab w:val="num" w:pos="1911"/>
      </w:tabs>
      <w:ind w:left="1911" w:hanging="709"/>
    </w:pPr>
    <w:rPr>
      <w:lang w:val="fr-FR"/>
    </w:rPr>
  </w:style>
  <w:style w:type="paragraph" w:styleId="ListNumber3">
    <w:name w:val="List Number 3"/>
    <w:basedOn w:val="Text3"/>
    <w:uiPriority w:val="3"/>
    <w:rsid w:val="008A3FF7"/>
    <w:pPr>
      <w:tabs>
        <w:tab w:val="clear" w:pos="2302"/>
        <w:tab w:val="num" w:pos="926"/>
        <w:tab w:val="num" w:pos="1911"/>
      </w:tabs>
      <w:ind w:left="1911" w:hanging="709"/>
    </w:pPr>
  </w:style>
  <w:style w:type="paragraph" w:styleId="ListNumber4">
    <w:name w:val="List Number 4"/>
    <w:basedOn w:val="Text4"/>
    <w:uiPriority w:val="3"/>
    <w:rsid w:val="008A3FF7"/>
    <w:pPr>
      <w:tabs>
        <w:tab w:val="clear" w:pos="2302"/>
        <w:tab w:val="num" w:pos="1209"/>
        <w:tab w:val="num" w:pos="1911"/>
      </w:tabs>
      <w:ind w:left="1911" w:hanging="709"/>
    </w:pPr>
  </w:style>
  <w:style w:type="paragraph" w:styleId="ListNumber5">
    <w:name w:val="List Number 5"/>
    <w:basedOn w:val="Normal"/>
    <w:uiPriority w:val="99"/>
    <w:rsid w:val="008A3FF7"/>
    <w:pPr>
      <w:tabs>
        <w:tab w:val="num" w:pos="1080"/>
        <w:tab w:val="num" w:pos="1492"/>
      </w:tabs>
      <w:spacing w:after="240" w:line="240" w:lineRule="auto"/>
      <w:ind w:left="1492" w:hanging="360"/>
      <w:jc w:val="both"/>
    </w:pPr>
    <w:rPr>
      <w:rFonts w:ascii="Times" w:eastAsia="Times" w:hAnsi="Times" w:cs="Times"/>
      <w:sz w:val="24"/>
      <w:szCs w:val="20"/>
      <w:lang w:val="fr-FR"/>
    </w:rPr>
  </w:style>
  <w:style w:type="paragraph" w:styleId="MacroText">
    <w:name w:val="macro"/>
    <w:link w:val="MacroTextChar"/>
    <w:semiHidden/>
    <w:rsid w:val="008A3FF7"/>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Mangal" w:eastAsia="Times" w:hAnsi="Mangal" w:cs="Times"/>
      <w:sz w:val="20"/>
      <w:szCs w:val="20"/>
    </w:rPr>
  </w:style>
  <w:style w:type="character" w:customStyle="1" w:styleId="MacroTextChar">
    <w:name w:val="Macro Text Char"/>
    <w:basedOn w:val="DefaultParagraphFont"/>
    <w:link w:val="MacroText"/>
    <w:semiHidden/>
    <w:rsid w:val="008A3FF7"/>
    <w:rPr>
      <w:rFonts w:ascii="Mangal" w:eastAsia="Times" w:hAnsi="Mangal" w:cs="Times"/>
      <w:sz w:val="20"/>
      <w:szCs w:val="20"/>
    </w:rPr>
  </w:style>
  <w:style w:type="paragraph" w:styleId="MessageHeader">
    <w:name w:val="Message Header"/>
    <w:basedOn w:val="Normal"/>
    <w:link w:val="MessageHeaderChar"/>
    <w:uiPriority w:val="3"/>
    <w:rsid w:val="008A3FF7"/>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Liberation Serif" w:eastAsia="Times" w:hAnsi="Liberation Serif" w:cs="Times"/>
      <w:sz w:val="24"/>
      <w:szCs w:val="20"/>
      <w:lang w:val="fr-FR"/>
    </w:rPr>
  </w:style>
  <w:style w:type="character" w:customStyle="1" w:styleId="MessageHeaderChar">
    <w:name w:val="Message Header Char"/>
    <w:basedOn w:val="DefaultParagraphFont"/>
    <w:link w:val="MessageHeader"/>
    <w:uiPriority w:val="3"/>
    <w:rsid w:val="008A3FF7"/>
    <w:rPr>
      <w:rFonts w:ascii="Liberation Serif" w:eastAsia="Times" w:hAnsi="Liberation Serif" w:cs="Times"/>
      <w:sz w:val="24"/>
      <w:szCs w:val="20"/>
      <w:shd w:val="pct20" w:color="auto" w:fill="auto"/>
      <w:lang w:val="fr-FR"/>
    </w:rPr>
  </w:style>
  <w:style w:type="paragraph" w:styleId="NormalIndent">
    <w:name w:val="Normal Indent"/>
    <w:basedOn w:val="Normal"/>
    <w:link w:val="NormalIndentChar"/>
    <w:uiPriority w:val="5"/>
    <w:rsid w:val="008A3FF7"/>
    <w:pPr>
      <w:spacing w:after="240" w:line="240" w:lineRule="auto"/>
      <w:ind w:left="720"/>
      <w:jc w:val="both"/>
    </w:pPr>
    <w:rPr>
      <w:rFonts w:ascii="Times" w:eastAsia="Times" w:hAnsi="Times" w:cs="Times"/>
      <w:sz w:val="24"/>
      <w:szCs w:val="20"/>
      <w:lang w:val="fr-FR"/>
    </w:rPr>
  </w:style>
  <w:style w:type="paragraph" w:styleId="NoteHeading">
    <w:name w:val="Note Heading"/>
    <w:basedOn w:val="Normal"/>
    <w:next w:val="Normal"/>
    <w:link w:val="NoteHeadingChar"/>
    <w:uiPriority w:val="5"/>
    <w:rsid w:val="008A3FF7"/>
    <w:pPr>
      <w:spacing w:after="240" w:line="240" w:lineRule="auto"/>
      <w:jc w:val="both"/>
    </w:pPr>
    <w:rPr>
      <w:rFonts w:ascii="Times" w:eastAsia="Times" w:hAnsi="Times" w:cs="Times"/>
      <w:sz w:val="24"/>
      <w:szCs w:val="20"/>
      <w:lang w:val="fr-FR"/>
    </w:rPr>
  </w:style>
  <w:style w:type="character" w:customStyle="1" w:styleId="NoteHeadingChar">
    <w:name w:val="Note Heading Char"/>
    <w:basedOn w:val="DefaultParagraphFont"/>
    <w:link w:val="NoteHeading"/>
    <w:uiPriority w:val="5"/>
    <w:rsid w:val="008A3FF7"/>
    <w:rPr>
      <w:rFonts w:ascii="Times" w:eastAsia="Times" w:hAnsi="Times" w:cs="Times"/>
      <w:sz w:val="24"/>
      <w:szCs w:val="20"/>
      <w:lang w:val="fr-FR"/>
    </w:rPr>
  </w:style>
  <w:style w:type="paragraph" w:customStyle="1" w:styleId="NoteHead">
    <w:name w:val="NoteHead"/>
    <w:basedOn w:val="Normal"/>
    <w:next w:val="Subject"/>
    <w:rsid w:val="008A3FF7"/>
    <w:pPr>
      <w:spacing w:before="720" w:after="720" w:line="240" w:lineRule="auto"/>
      <w:jc w:val="center"/>
    </w:pPr>
    <w:rPr>
      <w:rFonts w:ascii="Times" w:eastAsia="Times" w:hAnsi="Times" w:cs="Times"/>
      <w:b/>
      <w:smallCaps/>
      <w:sz w:val="24"/>
      <w:szCs w:val="20"/>
      <w:lang w:val="fr-FR"/>
    </w:rPr>
  </w:style>
  <w:style w:type="paragraph" w:customStyle="1" w:styleId="Subject">
    <w:name w:val="Subject"/>
    <w:basedOn w:val="Normal"/>
    <w:next w:val="Normal"/>
    <w:rsid w:val="008A3FF7"/>
    <w:pPr>
      <w:spacing w:after="480" w:line="240" w:lineRule="auto"/>
      <w:ind w:left="1531" w:hanging="1531"/>
    </w:pPr>
    <w:rPr>
      <w:rFonts w:ascii="Times" w:eastAsia="Times" w:hAnsi="Times" w:cs="Times"/>
      <w:b/>
      <w:sz w:val="24"/>
      <w:szCs w:val="20"/>
      <w:lang w:val="fr-FR"/>
    </w:rPr>
  </w:style>
  <w:style w:type="paragraph" w:customStyle="1" w:styleId="NoteList">
    <w:name w:val="NoteList"/>
    <w:basedOn w:val="Normal"/>
    <w:next w:val="Subject"/>
    <w:rsid w:val="008A3FF7"/>
    <w:pPr>
      <w:tabs>
        <w:tab w:val="left" w:pos="5823"/>
      </w:tabs>
      <w:spacing w:before="720" w:after="720" w:line="240" w:lineRule="auto"/>
      <w:ind w:left="5104" w:hanging="3119"/>
    </w:pPr>
    <w:rPr>
      <w:rFonts w:ascii="Times" w:eastAsia="Times" w:hAnsi="Times" w:cs="Times"/>
      <w:b/>
      <w:smallCaps/>
      <w:sz w:val="24"/>
      <w:szCs w:val="20"/>
      <w:lang w:val="fr-FR"/>
    </w:rPr>
  </w:style>
  <w:style w:type="paragraph" w:customStyle="1" w:styleId="NumPar1">
    <w:name w:val="NumPar 1"/>
    <w:basedOn w:val="Heading1"/>
    <w:next w:val="Text1"/>
    <w:rsid w:val="008A3FF7"/>
  </w:style>
  <w:style w:type="paragraph" w:customStyle="1" w:styleId="NumPar2">
    <w:name w:val="NumPar 2"/>
    <w:basedOn w:val="Heading2"/>
    <w:next w:val="Text2"/>
    <w:rsid w:val="008A3FF7"/>
  </w:style>
  <w:style w:type="paragraph" w:customStyle="1" w:styleId="NumPar3">
    <w:name w:val="NumPar 3"/>
    <w:basedOn w:val="Heading3"/>
    <w:next w:val="Text3"/>
    <w:rsid w:val="008A3FF7"/>
  </w:style>
  <w:style w:type="paragraph" w:customStyle="1" w:styleId="NumPar4">
    <w:name w:val="NumPar 4"/>
    <w:basedOn w:val="Heading4"/>
    <w:next w:val="Text4"/>
    <w:rsid w:val="008A3FF7"/>
  </w:style>
  <w:style w:type="paragraph" w:customStyle="1" w:styleId="PartTitle">
    <w:name w:val="PartTitle"/>
    <w:basedOn w:val="Normal"/>
    <w:next w:val="ChapterTitle"/>
    <w:rsid w:val="008A3FF7"/>
    <w:pPr>
      <w:keepNext/>
      <w:pageBreakBefore/>
      <w:spacing w:after="480" w:line="240" w:lineRule="auto"/>
      <w:jc w:val="center"/>
    </w:pPr>
    <w:rPr>
      <w:rFonts w:ascii="Times" w:eastAsia="Times" w:hAnsi="Times" w:cs="Times"/>
      <w:b/>
      <w:sz w:val="36"/>
      <w:szCs w:val="20"/>
      <w:lang w:val="fr-FR"/>
    </w:rPr>
  </w:style>
  <w:style w:type="paragraph" w:styleId="PlainText">
    <w:name w:val="Plain Text"/>
    <w:basedOn w:val="Normal"/>
    <w:link w:val="PlainTextChar"/>
    <w:uiPriority w:val="99"/>
    <w:rsid w:val="008A3FF7"/>
    <w:pPr>
      <w:spacing w:after="240" w:line="240" w:lineRule="auto"/>
      <w:jc w:val="both"/>
    </w:pPr>
    <w:rPr>
      <w:rFonts w:ascii="Mangal" w:eastAsia="Times" w:hAnsi="Mangal" w:cs="Times"/>
      <w:sz w:val="20"/>
      <w:szCs w:val="20"/>
      <w:lang w:val="fr-FR"/>
    </w:rPr>
  </w:style>
  <w:style w:type="character" w:customStyle="1" w:styleId="PlainTextChar">
    <w:name w:val="Plain Text Char"/>
    <w:basedOn w:val="DefaultParagraphFont"/>
    <w:link w:val="PlainText"/>
    <w:uiPriority w:val="99"/>
    <w:rsid w:val="008A3FF7"/>
    <w:rPr>
      <w:rFonts w:ascii="Mangal" w:eastAsia="Times" w:hAnsi="Mangal" w:cs="Times"/>
      <w:sz w:val="20"/>
      <w:szCs w:val="20"/>
      <w:lang w:val="fr-FR"/>
    </w:rPr>
  </w:style>
  <w:style w:type="paragraph" w:styleId="Salutation">
    <w:name w:val="Salutation"/>
    <w:basedOn w:val="Normal"/>
    <w:next w:val="Normal"/>
    <w:link w:val="SalutationChar"/>
    <w:uiPriority w:val="5"/>
    <w:rsid w:val="008A3FF7"/>
    <w:pPr>
      <w:spacing w:after="240" w:line="240" w:lineRule="auto"/>
      <w:jc w:val="both"/>
    </w:pPr>
    <w:rPr>
      <w:rFonts w:ascii="Times" w:eastAsia="Times" w:hAnsi="Times" w:cs="Times"/>
      <w:sz w:val="24"/>
      <w:szCs w:val="20"/>
      <w:lang w:val="fr-FR"/>
    </w:rPr>
  </w:style>
  <w:style w:type="character" w:customStyle="1" w:styleId="SalutationChar">
    <w:name w:val="Salutation Char"/>
    <w:basedOn w:val="DefaultParagraphFont"/>
    <w:link w:val="Salutation"/>
    <w:uiPriority w:val="5"/>
    <w:rsid w:val="008A3FF7"/>
    <w:rPr>
      <w:rFonts w:ascii="Times" w:eastAsia="Times" w:hAnsi="Times" w:cs="Times"/>
      <w:sz w:val="24"/>
      <w:szCs w:val="20"/>
      <w:lang w:val="fr-FR"/>
    </w:rPr>
  </w:style>
  <w:style w:type="paragraph" w:styleId="Signature">
    <w:name w:val="Signature"/>
    <w:basedOn w:val="Normal"/>
    <w:next w:val="Enclosures"/>
    <w:link w:val="SignatureChar"/>
    <w:uiPriority w:val="5"/>
    <w:rsid w:val="008A3FF7"/>
    <w:pPr>
      <w:tabs>
        <w:tab w:val="left" w:pos="5103"/>
      </w:tabs>
      <w:spacing w:before="1200" w:after="0" w:line="240" w:lineRule="auto"/>
      <w:ind w:left="5103"/>
      <w:jc w:val="center"/>
    </w:pPr>
    <w:rPr>
      <w:rFonts w:ascii="Times" w:eastAsia="Times" w:hAnsi="Times" w:cs="Times"/>
      <w:sz w:val="24"/>
      <w:szCs w:val="20"/>
      <w:lang w:val="fr-FR"/>
    </w:rPr>
  </w:style>
  <w:style w:type="character" w:customStyle="1" w:styleId="SignatureChar">
    <w:name w:val="Signature Char"/>
    <w:basedOn w:val="DefaultParagraphFont"/>
    <w:link w:val="Signature"/>
    <w:uiPriority w:val="5"/>
    <w:rsid w:val="008A3FF7"/>
    <w:rPr>
      <w:rFonts w:ascii="Times" w:eastAsia="Times" w:hAnsi="Times" w:cs="Times"/>
      <w:sz w:val="24"/>
      <w:szCs w:val="20"/>
      <w:lang w:val="fr-FR"/>
    </w:rPr>
  </w:style>
  <w:style w:type="paragraph" w:styleId="Subtitle">
    <w:name w:val="Subtitle"/>
    <w:basedOn w:val="Normal"/>
    <w:link w:val="SubtitleChar"/>
    <w:uiPriority w:val="11"/>
    <w:qFormat/>
    <w:rsid w:val="008A3FF7"/>
    <w:pPr>
      <w:spacing w:after="60" w:line="240" w:lineRule="auto"/>
      <w:jc w:val="center"/>
      <w:outlineLvl w:val="1"/>
    </w:pPr>
    <w:rPr>
      <w:rFonts w:ascii="Liberation Serif" w:eastAsia="Times" w:hAnsi="Liberation Serif" w:cs="Times"/>
      <w:sz w:val="24"/>
      <w:szCs w:val="20"/>
      <w:lang w:val="fr-FR"/>
    </w:rPr>
  </w:style>
  <w:style w:type="character" w:customStyle="1" w:styleId="SubtitleChar">
    <w:name w:val="Subtitle Char"/>
    <w:basedOn w:val="DefaultParagraphFont"/>
    <w:link w:val="Subtitle"/>
    <w:uiPriority w:val="11"/>
    <w:rsid w:val="008A3FF7"/>
    <w:rPr>
      <w:rFonts w:ascii="Liberation Serif" w:eastAsia="Times" w:hAnsi="Liberation Serif" w:cs="Times"/>
      <w:sz w:val="24"/>
      <w:szCs w:val="20"/>
      <w:lang w:val="fr-FR"/>
    </w:rPr>
  </w:style>
  <w:style w:type="paragraph" w:customStyle="1" w:styleId="SubTitle1">
    <w:name w:val="SubTitle 1"/>
    <w:basedOn w:val="Normal"/>
    <w:next w:val="SubTitle2"/>
    <w:rsid w:val="008A3FF7"/>
    <w:pPr>
      <w:spacing w:after="240" w:line="240" w:lineRule="auto"/>
      <w:jc w:val="center"/>
    </w:pPr>
    <w:rPr>
      <w:rFonts w:ascii="Times" w:eastAsia="Times" w:hAnsi="Times" w:cs="Times"/>
      <w:b/>
      <w:sz w:val="40"/>
      <w:szCs w:val="20"/>
      <w:lang w:val="fr-FR"/>
    </w:rPr>
  </w:style>
  <w:style w:type="paragraph" w:customStyle="1" w:styleId="SubTitle2">
    <w:name w:val="SubTitle 2"/>
    <w:basedOn w:val="Normal"/>
    <w:rsid w:val="008A3FF7"/>
    <w:pPr>
      <w:spacing w:after="240" w:line="240" w:lineRule="auto"/>
      <w:jc w:val="center"/>
    </w:pPr>
    <w:rPr>
      <w:rFonts w:ascii="Times" w:eastAsia="Times" w:hAnsi="Times" w:cs="Times"/>
      <w:b/>
      <w:sz w:val="32"/>
      <w:szCs w:val="20"/>
      <w:lang w:val="fr-FR"/>
    </w:rPr>
  </w:style>
  <w:style w:type="paragraph" w:styleId="TableofAuthorities">
    <w:name w:val="table of authorities"/>
    <w:basedOn w:val="Normal"/>
    <w:next w:val="Normal"/>
    <w:semiHidden/>
    <w:rsid w:val="008A3FF7"/>
    <w:pPr>
      <w:spacing w:after="240" w:line="240" w:lineRule="auto"/>
      <w:ind w:left="240" w:hanging="240"/>
      <w:jc w:val="both"/>
    </w:pPr>
    <w:rPr>
      <w:rFonts w:ascii="Times" w:eastAsia="Times" w:hAnsi="Times" w:cs="Times"/>
      <w:sz w:val="24"/>
      <w:szCs w:val="20"/>
      <w:lang w:val="fr-FR"/>
    </w:rPr>
  </w:style>
  <w:style w:type="paragraph" w:styleId="TableofFigures">
    <w:name w:val="table of figures"/>
    <w:basedOn w:val="Normal"/>
    <w:next w:val="Normal"/>
    <w:uiPriority w:val="99"/>
    <w:rsid w:val="008A3FF7"/>
    <w:pPr>
      <w:spacing w:before="120" w:after="120" w:line="240" w:lineRule="auto"/>
      <w:ind w:left="482" w:hanging="482"/>
      <w:jc w:val="both"/>
    </w:pPr>
    <w:rPr>
      <w:rFonts w:ascii="Liberation Serif" w:eastAsia="Times" w:hAnsi="Liberation Serif" w:cs="Times"/>
      <w:sz w:val="24"/>
      <w:szCs w:val="20"/>
      <w:lang w:val="fr-FR"/>
    </w:rPr>
  </w:style>
  <w:style w:type="paragraph" w:styleId="Title">
    <w:name w:val="Title"/>
    <w:aliases w:val="Titre page couverture"/>
    <w:basedOn w:val="Normal"/>
    <w:next w:val="SubTitle1"/>
    <w:link w:val="TitleChar"/>
    <w:uiPriority w:val="10"/>
    <w:qFormat/>
    <w:rsid w:val="008A3FF7"/>
    <w:pPr>
      <w:spacing w:after="480" w:line="240" w:lineRule="auto"/>
      <w:jc w:val="center"/>
    </w:pPr>
    <w:rPr>
      <w:rFonts w:ascii="Times" w:eastAsia="Times" w:hAnsi="Times" w:cs="Times"/>
      <w:b/>
      <w:kern w:val="28"/>
      <w:sz w:val="48"/>
      <w:szCs w:val="20"/>
      <w:lang w:val="fr-FR"/>
    </w:rPr>
  </w:style>
  <w:style w:type="character" w:customStyle="1" w:styleId="TitleChar">
    <w:name w:val="Title Char"/>
    <w:aliases w:val="Titre page couverture Char"/>
    <w:basedOn w:val="DefaultParagraphFont"/>
    <w:link w:val="Title"/>
    <w:uiPriority w:val="10"/>
    <w:rsid w:val="008A3FF7"/>
    <w:rPr>
      <w:rFonts w:ascii="Times" w:eastAsia="Times" w:hAnsi="Times" w:cs="Times"/>
      <w:b/>
      <w:kern w:val="28"/>
      <w:sz w:val="48"/>
      <w:szCs w:val="20"/>
      <w:lang w:val="fr-FR"/>
    </w:rPr>
  </w:style>
  <w:style w:type="paragraph" w:styleId="TOAHeading">
    <w:name w:val="toa heading"/>
    <w:basedOn w:val="Normal"/>
    <w:next w:val="Normal"/>
    <w:semiHidden/>
    <w:rsid w:val="008A3FF7"/>
    <w:pPr>
      <w:spacing w:before="120" w:after="240" w:line="240" w:lineRule="auto"/>
      <w:jc w:val="both"/>
    </w:pPr>
    <w:rPr>
      <w:rFonts w:ascii="Liberation Serif" w:eastAsia="Times" w:hAnsi="Liberation Serif" w:cs="Times"/>
      <w:b/>
      <w:sz w:val="24"/>
      <w:szCs w:val="20"/>
      <w:lang w:val="fr-FR"/>
    </w:rPr>
  </w:style>
  <w:style w:type="paragraph" w:customStyle="1" w:styleId="YReferences">
    <w:name w:val="YReferences"/>
    <w:basedOn w:val="Normal"/>
    <w:next w:val="Normal"/>
    <w:rsid w:val="008A3FF7"/>
    <w:pPr>
      <w:spacing w:after="480" w:line="240" w:lineRule="auto"/>
      <w:ind w:left="1531" w:hanging="1531"/>
      <w:jc w:val="both"/>
    </w:pPr>
    <w:rPr>
      <w:rFonts w:ascii="Times" w:eastAsia="Times" w:hAnsi="Times" w:cs="Times"/>
      <w:sz w:val="24"/>
      <w:szCs w:val="20"/>
      <w:lang w:val="fr-FR"/>
    </w:rPr>
  </w:style>
  <w:style w:type="paragraph" w:customStyle="1" w:styleId="ListBullet1">
    <w:name w:val="List Bullet 1"/>
    <w:basedOn w:val="Text1"/>
    <w:uiPriority w:val="99"/>
    <w:rsid w:val="008A3FF7"/>
    <w:pPr>
      <w:ind w:left="0"/>
    </w:pPr>
    <w:rPr>
      <w:lang w:val="fr-FR"/>
    </w:rPr>
  </w:style>
  <w:style w:type="paragraph" w:customStyle="1" w:styleId="ListDash">
    <w:name w:val="List Dash"/>
    <w:basedOn w:val="Normal"/>
    <w:uiPriority w:val="99"/>
    <w:rsid w:val="008A3FF7"/>
    <w:pPr>
      <w:numPr>
        <w:numId w:val="10"/>
      </w:numPr>
      <w:tabs>
        <w:tab w:val="num" w:pos="1911"/>
      </w:tabs>
      <w:spacing w:after="240" w:line="240" w:lineRule="auto"/>
      <w:jc w:val="both"/>
    </w:pPr>
    <w:rPr>
      <w:rFonts w:ascii="Times" w:eastAsia="Times" w:hAnsi="Times" w:cs="Times"/>
      <w:sz w:val="24"/>
      <w:szCs w:val="20"/>
      <w:lang w:val="fr-FR"/>
    </w:rPr>
  </w:style>
  <w:style w:type="paragraph" w:customStyle="1" w:styleId="ListDash2">
    <w:name w:val="List Dash 2"/>
    <w:basedOn w:val="Text2"/>
    <w:rsid w:val="008A3FF7"/>
    <w:pPr>
      <w:tabs>
        <w:tab w:val="clear" w:pos="2302"/>
        <w:tab w:val="num" w:pos="1485"/>
      </w:tabs>
      <w:ind w:left="1485" w:hanging="283"/>
    </w:pPr>
    <w:rPr>
      <w:lang w:val="fr-FR"/>
    </w:rPr>
  </w:style>
  <w:style w:type="paragraph" w:customStyle="1" w:styleId="ListDash3">
    <w:name w:val="List Dash 3"/>
    <w:basedOn w:val="Text3"/>
    <w:rsid w:val="008A3FF7"/>
    <w:pPr>
      <w:tabs>
        <w:tab w:val="clear" w:pos="2302"/>
        <w:tab w:val="num" w:pos="1492"/>
      </w:tabs>
      <w:ind w:left="1492" w:hanging="360"/>
    </w:pPr>
  </w:style>
  <w:style w:type="paragraph" w:customStyle="1" w:styleId="ListDash4">
    <w:name w:val="List Dash 4"/>
    <w:basedOn w:val="Text4"/>
    <w:rsid w:val="008A3FF7"/>
    <w:pPr>
      <w:tabs>
        <w:tab w:val="clear" w:pos="2302"/>
        <w:tab w:val="num" w:pos="1485"/>
      </w:tabs>
      <w:spacing w:after="200" w:line="276" w:lineRule="auto"/>
      <w:ind w:left="1485" w:hanging="283"/>
      <w:jc w:val="left"/>
    </w:pPr>
    <w:rPr>
      <w:rFonts w:ascii="Liberation Serif" w:eastAsia="Liberation Serif" w:hAnsi="Liberation Serif" w:cs="Liberation Serif"/>
      <w:sz w:val="22"/>
      <w:szCs w:val="22"/>
      <w:lang w:val="en-GB"/>
    </w:rPr>
  </w:style>
  <w:style w:type="paragraph" w:customStyle="1" w:styleId="ListNumberLevel2">
    <w:name w:val="List Number (Level 2)"/>
    <w:basedOn w:val="Normal"/>
    <w:rsid w:val="008A3FF7"/>
    <w:pPr>
      <w:tabs>
        <w:tab w:val="num" w:pos="1417"/>
      </w:tabs>
      <w:spacing w:after="240" w:line="240" w:lineRule="auto"/>
      <w:ind w:left="1417" w:hanging="708"/>
      <w:jc w:val="both"/>
    </w:pPr>
    <w:rPr>
      <w:rFonts w:ascii="Times" w:eastAsia="Times" w:hAnsi="Times" w:cs="Times"/>
      <w:sz w:val="24"/>
      <w:szCs w:val="20"/>
      <w:lang w:val="fr-FR"/>
    </w:rPr>
  </w:style>
  <w:style w:type="paragraph" w:customStyle="1" w:styleId="ListNumberLevel3">
    <w:name w:val="List Number (Level 3)"/>
    <w:basedOn w:val="Normal"/>
    <w:rsid w:val="008A3FF7"/>
    <w:pPr>
      <w:tabs>
        <w:tab w:val="num" w:pos="2126"/>
      </w:tabs>
      <w:spacing w:after="240" w:line="240" w:lineRule="auto"/>
      <w:ind w:left="2126" w:hanging="709"/>
      <w:jc w:val="both"/>
    </w:pPr>
    <w:rPr>
      <w:rFonts w:ascii="Times" w:eastAsia="Times" w:hAnsi="Times" w:cs="Times"/>
      <w:sz w:val="24"/>
      <w:szCs w:val="20"/>
      <w:lang w:val="fr-FR"/>
    </w:rPr>
  </w:style>
  <w:style w:type="paragraph" w:customStyle="1" w:styleId="ListNumberLevel4">
    <w:name w:val="List Number (Level 4)"/>
    <w:basedOn w:val="Normal"/>
    <w:rsid w:val="008A3FF7"/>
    <w:pPr>
      <w:tabs>
        <w:tab w:val="num" w:pos="2835"/>
      </w:tabs>
      <w:spacing w:after="240" w:line="240" w:lineRule="auto"/>
      <w:ind w:left="2835" w:hanging="709"/>
      <w:jc w:val="both"/>
    </w:pPr>
    <w:rPr>
      <w:rFonts w:ascii="Times" w:eastAsia="Times" w:hAnsi="Times" w:cs="Times"/>
      <w:sz w:val="24"/>
      <w:szCs w:val="20"/>
      <w:lang w:val="fr-FR"/>
    </w:rPr>
  </w:style>
  <w:style w:type="paragraph" w:customStyle="1" w:styleId="ListNumber1">
    <w:name w:val="List Number 1"/>
    <w:basedOn w:val="Text1"/>
    <w:rsid w:val="008A3FF7"/>
    <w:pPr>
      <w:numPr>
        <w:numId w:val="11"/>
      </w:numPr>
    </w:pPr>
    <w:rPr>
      <w:lang w:val="fr-FR"/>
    </w:rPr>
  </w:style>
  <w:style w:type="paragraph" w:customStyle="1" w:styleId="ListNumber1Level2">
    <w:name w:val="List Number 1 (Level 2)"/>
    <w:basedOn w:val="Text1"/>
    <w:rsid w:val="008A3FF7"/>
    <w:pPr>
      <w:numPr>
        <w:ilvl w:val="1"/>
        <w:numId w:val="11"/>
      </w:numPr>
    </w:pPr>
    <w:rPr>
      <w:lang w:val="fr-FR"/>
    </w:rPr>
  </w:style>
  <w:style w:type="paragraph" w:customStyle="1" w:styleId="ListNumber1Level3">
    <w:name w:val="List Number 1 (Level 3)"/>
    <w:basedOn w:val="Text1"/>
    <w:rsid w:val="008A3FF7"/>
    <w:pPr>
      <w:numPr>
        <w:ilvl w:val="2"/>
        <w:numId w:val="11"/>
      </w:numPr>
    </w:pPr>
    <w:rPr>
      <w:lang w:val="fr-FR"/>
    </w:rPr>
  </w:style>
  <w:style w:type="paragraph" w:customStyle="1" w:styleId="ListNumber1Level4">
    <w:name w:val="List Number 1 (Level 4)"/>
    <w:basedOn w:val="Text1"/>
    <w:rsid w:val="008A3FF7"/>
    <w:pPr>
      <w:numPr>
        <w:ilvl w:val="3"/>
        <w:numId w:val="11"/>
      </w:numPr>
    </w:pPr>
    <w:rPr>
      <w:lang w:val="fr-FR"/>
    </w:rPr>
  </w:style>
  <w:style w:type="paragraph" w:customStyle="1" w:styleId="ListNumber2Level2">
    <w:name w:val="List Number 2 (Level 2)"/>
    <w:basedOn w:val="Text2"/>
    <w:rsid w:val="008A3FF7"/>
    <w:pPr>
      <w:tabs>
        <w:tab w:val="clear" w:pos="2302"/>
        <w:tab w:val="num" w:pos="2619"/>
      </w:tabs>
      <w:ind w:left="2619" w:hanging="708"/>
    </w:pPr>
    <w:rPr>
      <w:lang w:val="fr-FR"/>
    </w:rPr>
  </w:style>
  <w:style w:type="paragraph" w:customStyle="1" w:styleId="ListNumber2Level3">
    <w:name w:val="List Number 2 (Level 3)"/>
    <w:basedOn w:val="Text2"/>
    <w:rsid w:val="008A3FF7"/>
    <w:pPr>
      <w:tabs>
        <w:tab w:val="clear" w:pos="2302"/>
        <w:tab w:val="num" w:pos="3328"/>
      </w:tabs>
      <w:ind w:left="3328" w:hanging="709"/>
    </w:pPr>
    <w:rPr>
      <w:lang w:val="fr-FR"/>
    </w:rPr>
  </w:style>
  <w:style w:type="paragraph" w:customStyle="1" w:styleId="ListNumber2Level4">
    <w:name w:val="List Number 2 (Level 4)"/>
    <w:basedOn w:val="Text2"/>
    <w:rsid w:val="008A3FF7"/>
    <w:pPr>
      <w:tabs>
        <w:tab w:val="clear" w:pos="2302"/>
        <w:tab w:val="num" w:pos="4037"/>
      </w:tabs>
      <w:ind w:left="4037" w:hanging="709"/>
    </w:pPr>
    <w:rPr>
      <w:lang w:val="fr-FR"/>
    </w:rPr>
  </w:style>
  <w:style w:type="paragraph" w:customStyle="1" w:styleId="ListNumber3Level2">
    <w:name w:val="List Number 3 (Level 2)"/>
    <w:basedOn w:val="Text3"/>
    <w:rsid w:val="008A3FF7"/>
    <w:pPr>
      <w:tabs>
        <w:tab w:val="clear" w:pos="2302"/>
        <w:tab w:val="num" w:pos="2619"/>
      </w:tabs>
      <w:ind w:left="2619" w:hanging="708"/>
    </w:pPr>
  </w:style>
  <w:style w:type="paragraph" w:customStyle="1" w:styleId="ListNumber3Level3">
    <w:name w:val="List Number 3 (Level 3)"/>
    <w:basedOn w:val="Text3"/>
    <w:rsid w:val="008A3FF7"/>
    <w:pPr>
      <w:tabs>
        <w:tab w:val="clear" w:pos="2302"/>
        <w:tab w:val="num" w:pos="3328"/>
      </w:tabs>
      <w:ind w:left="3328" w:hanging="709"/>
    </w:pPr>
  </w:style>
  <w:style w:type="paragraph" w:customStyle="1" w:styleId="ListNumber3Level4">
    <w:name w:val="List Number 3 (Level 4)"/>
    <w:basedOn w:val="Text3"/>
    <w:rsid w:val="008A3FF7"/>
    <w:pPr>
      <w:tabs>
        <w:tab w:val="clear" w:pos="2302"/>
        <w:tab w:val="num" w:pos="4037"/>
      </w:tabs>
      <w:ind w:left="4037" w:hanging="709"/>
    </w:pPr>
  </w:style>
  <w:style w:type="paragraph" w:customStyle="1" w:styleId="ListNumber4Level2">
    <w:name w:val="List Number 4 (Level 2)"/>
    <w:basedOn w:val="Text4"/>
    <w:rsid w:val="008A3FF7"/>
    <w:pPr>
      <w:tabs>
        <w:tab w:val="clear" w:pos="2302"/>
        <w:tab w:val="num" w:pos="2619"/>
      </w:tabs>
      <w:spacing w:after="200" w:line="276" w:lineRule="auto"/>
      <w:ind w:left="2619" w:hanging="708"/>
      <w:jc w:val="left"/>
    </w:pPr>
    <w:rPr>
      <w:rFonts w:ascii="Liberation Serif" w:eastAsia="Liberation Serif" w:hAnsi="Liberation Serif" w:cs="Liberation Serif"/>
      <w:sz w:val="22"/>
      <w:szCs w:val="22"/>
      <w:lang w:val="en-GB"/>
    </w:rPr>
  </w:style>
  <w:style w:type="paragraph" w:customStyle="1" w:styleId="ListNumber4Level3">
    <w:name w:val="List Number 4 (Level 3)"/>
    <w:basedOn w:val="Text4"/>
    <w:rsid w:val="008A3FF7"/>
    <w:pPr>
      <w:tabs>
        <w:tab w:val="clear" w:pos="2302"/>
        <w:tab w:val="num" w:pos="3328"/>
      </w:tabs>
      <w:spacing w:after="200" w:line="276" w:lineRule="auto"/>
      <w:ind w:left="3328" w:hanging="709"/>
      <w:jc w:val="left"/>
    </w:pPr>
    <w:rPr>
      <w:rFonts w:ascii="Liberation Serif" w:eastAsia="Liberation Serif" w:hAnsi="Liberation Serif" w:cs="Liberation Serif"/>
      <w:sz w:val="22"/>
      <w:szCs w:val="22"/>
      <w:lang w:val="en-GB"/>
    </w:rPr>
  </w:style>
  <w:style w:type="paragraph" w:customStyle="1" w:styleId="ListNumber4Level4">
    <w:name w:val="List Number 4 (Level 4)"/>
    <w:basedOn w:val="Text4"/>
    <w:rsid w:val="008A3FF7"/>
    <w:pPr>
      <w:tabs>
        <w:tab w:val="clear" w:pos="2302"/>
        <w:tab w:val="num" w:pos="4037"/>
      </w:tabs>
      <w:spacing w:after="200" w:line="276" w:lineRule="auto"/>
      <w:ind w:left="4037" w:hanging="709"/>
      <w:jc w:val="left"/>
    </w:pPr>
    <w:rPr>
      <w:rFonts w:ascii="Liberation Serif" w:eastAsia="Liberation Serif" w:hAnsi="Liberation Serif" w:cs="Liberation Serif"/>
      <w:sz w:val="22"/>
      <w:szCs w:val="22"/>
      <w:lang w:val="en-GB"/>
    </w:rPr>
  </w:style>
  <w:style w:type="paragraph" w:customStyle="1" w:styleId="TOCHeading1">
    <w:name w:val="TOC Heading1"/>
    <w:basedOn w:val="Normal"/>
    <w:next w:val="Normal"/>
    <w:rsid w:val="008A3FF7"/>
    <w:pPr>
      <w:keepNext/>
      <w:spacing w:before="240" w:after="240" w:line="240" w:lineRule="auto"/>
      <w:jc w:val="center"/>
    </w:pPr>
    <w:rPr>
      <w:rFonts w:ascii="Times" w:eastAsia="Times" w:hAnsi="Times" w:cs="Times"/>
      <w:b/>
      <w:sz w:val="24"/>
      <w:szCs w:val="20"/>
      <w:lang w:val="fr-FR"/>
    </w:rPr>
  </w:style>
  <w:style w:type="paragraph" w:customStyle="1" w:styleId="Contact">
    <w:name w:val="Contact"/>
    <w:basedOn w:val="Normal"/>
    <w:next w:val="Normal"/>
    <w:rsid w:val="008A3FF7"/>
    <w:pPr>
      <w:spacing w:after="480" w:line="240" w:lineRule="auto"/>
      <w:ind w:left="567" w:hanging="567"/>
    </w:pPr>
    <w:rPr>
      <w:rFonts w:ascii="Times" w:eastAsia="Times" w:hAnsi="Times" w:cs="Times"/>
      <w:sz w:val="24"/>
      <w:szCs w:val="20"/>
      <w:lang w:val="fr-FR"/>
    </w:rPr>
  </w:style>
  <w:style w:type="paragraph" w:customStyle="1" w:styleId="ZCom">
    <w:name w:val="Z_Com"/>
    <w:basedOn w:val="Normal"/>
    <w:next w:val="ZDGName"/>
    <w:rsid w:val="008A3FF7"/>
    <w:pPr>
      <w:widowControl w:val="0"/>
      <w:autoSpaceDE w:val="0"/>
      <w:autoSpaceDN w:val="0"/>
      <w:spacing w:after="0" w:line="240" w:lineRule="auto"/>
      <w:ind w:right="85"/>
      <w:jc w:val="both"/>
    </w:pPr>
    <w:rPr>
      <w:rFonts w:ascii="Liberation Serif" w:eastAsia="Times" w:hAnsi="Liberation Serif" w:cs="Liberation Serif"/>
      <w:sz w:val="24"/>
      <w:szCs w:val="24"/>
      <w:lang w:val="fr-FR" w:eastAsia="en-GB"/>
    </w:rPr>
  </w:style>
  <w:style w:type="paragraph" w:customStyle="1" w:styleId="ZDGName">
    <w:name w:val="Z_DGName"/>
    <w:basedOn w:val="Normal"/>
    <w:rsid w:val="008A3FF7"/>
    <w:pPr>
      <w:widowControl w:val="0"/>
      <w:autoSpaceDE w:val="0"/>
      <w:autoSpaceDN w:val="0"/>
      <w:spacing w:after="0" w:line="240" w:lineRule="auto"/>
      <w:ind w:right="85"/>
    </w:pPr>
    <w:rPr>
      <w:rFonts w:ascii="Liberation Serif" w:eastAsia="Times" w:hAnsi="Liberation Serif" w:cs="Liberation Serif"/>
      <w:sz w:val="16"/>
      <w:szCs w:val="16"/>
      <w:lang w:val="fr-FR" w:eastAsia="en-GB"/>
    </w:rPr>
  </w:style>
  <w:style w:type="table" w:styleId="ColorfulGrid-Accent3">
    <w:name w:val="Colorful Grid Accent 3"/>
    <w:basedOn w:val="TableNormal"/>
    <w:uiPriority w:val="69"/>
    <w:rsid w:val="008A3FF7"/>
    <w:pPr>
      <w:spacing w:after="0" w:line="240" w:lineRule="auto"/>
    </w:pPr>
    <w:rPr>
      <w:rFonts w:ascii="Arial MT Std Light" w:eastAsia="Times" w:hAnsi="Arial MT Std Light" w:cs="Times"/>
      <w:sz w:val="18"/>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rsid w:val="008A3FF7"/>
    <w:pPr>
      <w:spacing w:after="240" w:line="240" w:lineRule="auto"/>
      <w:jc w:val="center"/>
    </w:pPr>
    <w:rPr>
      <w:rFonts w:ascii="Arial MT Std Light" w:eastAsia="Times" w:hAnsi="Arial MT Std Light" w:cs="Times"/>
      <w:b/>
      <w:sz w:val="52"/>
      <w:szCs w:val="20"/>
      <w:lang w:val="fr-FR"/>
    </w:rPr>
  </w:style>
  <w:style w:type="paragraph" w:customStyle="1" w:styleId="Footerapproval">
    <w:name w:val="Footer approval"/>
    <w:basedOn w:val="Footer"/>
    <w:link w:val="ApprovalfooterChar"/>
    <w:rsid w:val="008A3FF7"/>
    <w:pPr>
      <w:tabs>
        <w:tab w:val="clear" w:pos="4535"/>
        <w:tab w:val="clear" w:pos="9071"/>
        <w:tab w:val="clear" w:pos="9921"/>
        <w:tab w:val="left" w:pos="6804"/>
      </w:tabs>
      <w:spacing w:before="0"/>
      <w:ind w:left="0" w:right="-567"/>
    </w:pPr>
    <w:rPr>
      <w:rFonts w:ascii="Arial MT Std Light" w:eastAsia="Times" w:hAnsi="Arial MT Std Light"/>
      <w:sz w:val="13"/>
      <w:szCs w:val="20"/>
      <w:lang w:val="fr-BE"/>
    </w:rPr>
  </w:style>
  <w:style w:type="character" w:customStyle="1" w:styleId="DocumentTitleChar">
    <w:name w:val="Document Title Char"/>
    <w:link w:val="DocumentTitle"/>
    <w:rsid w:val="008A3FF7"/>
    <w:rPr>
      <w:rFonts w:ascii="Arial MT Std Light" w:eastAsia="Times" w:hAnsi="Arial MT Std Light" w:cs="Times"/>
      <w:b/>
      <w:sz w:val="52"/>
      <w:szCs w:val="20"/>
      <w:lang w:val="fr-FR"/>
    </w:rPr>
  </w:style>
  <w:style w:type="paragraph" w:customStyle="1" w:styleId="FooterDate">
    <w:name w:val="Footer Date"/>
    <w:basedOn w:val="Footer"/>
    <w:link w:val="FooterDateChar"/>
    <w:rsid w:val="008A3FF7"/>
    <w:pPr>
      <w:tabs>
        <w:tab w:val="clear" w:pos="4535"/>
        <w:tab w:val="clear" w:pos="9071"/>
        <w:tab w:val="clear" w:pos="9921"/>
        <w:tab w:val="right" w:pos="9240"/>
      </w:tabs>
      <w:spacing w:before="0"/>
      <w:ind w:left="0" w:right="-567"/>
    </w:pPr>
    <w:rPr>
      <w:rFonts w:ascii="Arial MT Std Light" w:eastAsia="Times" w:hAnsi="Arial MT Std Light"/>
      <w:sz w:val="16"/>
      <w:szCs w:val="20"/>
      <w:lang w:val="it-IT"/>
    </w:rPr>
  </w:style>
  <w:style w:type="character" w:customStyle="1" w:styleId="ApprovalfooterChar">
    <w:name w:val="Approval_footer Char"/>
    <w:basedOn w:val="FooterChar"/>
    <w:link w:val="Footerapproval"/>
    <w:rsid w:val="008A3FF7"/>
    <w:rPr>
      <w:rFonts w:ascii="Arial MT Std Light" w:eastAsia="Times" w:hAnsi="Arial MT Std Light" w:cs="Times"/>
      <w:sz w:val="13"/>
      <w:szCs w:val="20"/>
      <w:lang w:val="fr-BE"/>
    </w:rPr>
  </w:style>
  <w:style w:type="paragraph" w:customStyle="1" w:styleId="PageNumber1">
    <w:name w:val="Page Number1"/>
    <w:basedOn w:val="Footer"/>
    <w:link w:val="PagenumberChar"/>
    <w:rsid w:val="008A3FF7"/>
    <w:pPr>
      <w:tabs>
        <w:tab w:val="clear" w:pos="4535"/>
        <w:tab w:val="clear" w:pos="9071"/>
        <w:tab w:val="clear" w:pos="9921"/>
        <w:tab w:val="right" w:pos="9240"/>
      </w:tabs>
      <w:spacing w:before="0"/>
      <w:ind w:left="0" w:right="-622"/>
    </w:pPr>
    <w:rPr>
      <w:rFonts w:ascii="Arial MT Std Light" w:eastAsia="Times" w:hAnsi="Arial MT Std Light"/>
      <w:sz w:val="16"/>
      <w:szCs w:val="20"/>
      <w:lang w:val="fr-BE"/>
    </w:rPr>
  </w:style>
  <w:style w:type="character" w:customStyle="1" w:styleId="FooterDateChar">
    <w:name w:val="Footer Date Char"/>
    <w:link w:val="FooterDate"/>
    <w:rsid w:val="008A3FF7"/>
    <w:rPr>
      <w:rFonts w:ascii="Arial MT Std Light" w:eastAsia="Times" w:hAnsi="Arial MT Std Light" w:cs="Times"/>
      <w:sz w:val="16"/>
      <w:szCs w:val="20"/>
      <w:lang w:val="it-IT"/>
    </w:rPr>
  </w:style>
  <w:style w:type="character" w:customStyle="1" w:styleId="PagenumberChar">
    <w:name w:val="Page number Char"/>
    <w:link w:val="PageNumber1"/>
    <w:rsid w:val="008A3FF7"/>
    <w:rPr>
      <w:rFonts w:ascii="Arial MT Std Light" w:eastAsia="Times" w:hAnsi="Arial MT Std Light" w:cs="Times"/>
      <w:sz w:val="16"/>
      <w:szCs w:val="20"/>
      <w:lang w:val="fr-BE"/>
    </w:rPr>
  </w:style>
  <w:style w:type="paragraph" w:customStyle="1" w:styleId="DocumentSubtitle">
    <w:name w:val="Document Subtitle"/>
    <w:basedOn w:val="DocumentTitle"/>
    <w:link w:val="DocumentSubtitleChar"/>
    <w:rsid w:val="008A3FF7"/>
    <w:rPr>
      <w:b w:val="0"/>
      <w:sz w:val="32"/>
      <w:szCs w:val="36"/>
      <w:lang w:val="en-GB"/>
    </w:rPr>
  </w:style>
  <w:style w:type="paragraph" w:customStyle="1" w:styleId="HeaderTitle">
    <w:name w:val="Header Title"/>
    <w:basedOn w:val="Normal"/>
    <w:link w:val="HeaderTitleChar"/>
    <w:rsid w:val="008A3FF7"/>
    <w:pPr>
      <w:spacing w:after="240" w:line="240" w:lineRule="auto"/>
      <w:jc w:val="center"/>
    </w:pPr>
    <w:rPr>
      <w:rFonts w:ascii="Arial MT Std Light" w:eastAsia="Times" w:hAnsi="Arial MT Std Light" w:cs="Times"/>
      <w:b/>
      <w:color w:val="808080"/>
      <w:sz w:val="18"/>
      <w:szCs w:val="18"/>
      <w:lang w:val="fr-FR"/>
    </w:rPr>
  </w:style>
  <w:style w:type="character" w:customStyle="1" w:styleId="DocumentSubtitleChar">
    <w:name w:val="Document Subtitle Char"/>
    <w:link w:val="DocumentSubtitle"/>
    <w:rsid w:val="008A3FF7"/>
    <w:rPr>
      <w:rFonts w:ascii="Verdana" w:eastAsia="Times New Roman" w:hAnsi="Verdana" w:cs="Times New Roman"/>
      <w:sz w:val="32"/>
      <w:szCs w:val="36"/>
    </w:rPr>
  </w:style>
  <w:style w:type="paragraph" w:customStyle="1" w:styleId="Bulletpoint1">
    <w:name w:val="Bullet point1"/>
    <w:basedOn w:val="NormalIndent"/>
    <w:link w:val="Bulletpoint1Char"/>
    <w:autoRedefine/>
    <w:rsid w:val="008A3FF7"/>
    <w:pPr>
      <w:numPr>
        <w:numId w:val="12"/>
      </w:numPr>
      <w:spacing w:after="120"/>
      <w:jc w:val="left"/>
    </w:pPr>
    <w:rPr>
      <w:rFonts w:ascii="Liberation Serif" w:hAnsi="Liberation Serif"/>
    </w:rPr>
  </w:style>
  <w:style w:type="character" w:customStyle="1" w:styleId="HeaderTitleChar">
    <w:name w:val="Header Title Char"/>
    <w:link w:val="HeaderTitle"/>
    <w:rsid w:val="008A3FF7"/>
    <w:rPr>
      <w:rFonts w:ascii="Arial MT Std Light" w:eastAsia="Times" w:hAnsi="Arial MT Std Light" w:cs="Times"/>
      <w:b/>
      <w:color w:val="808080"/>
      <w:sz w:val="18"/>
      <w:szCs w:val="18"/>
      <w:lang w:val="fr-FR"/>
    </w:rPr>
  </w:style>
  <w:style w:type="paragraph" w:customStyle="1" w:styleId="Heading">
    <w:name w:val="Heading"/>
    <w:basedOn w:val="TOC1"/>
    <w:link w:val="HeadingChar"/>
    <w:rsid w:val="008A3FF7"/>
    <w:pPr>
      <w:tabs>
        <w:tab w:val="clear" w:pos="8640"/>
      </w:tabs>
      <w:spacing w:before="0" w:after="240"/>
      <w:ind w:left="0" w:right="0" w:firstLine="0"/>
      <w:jc w:val="center"/>
    </w:pPr>
    <w:rPr>
      <w:rFonts w:ascii="Liberation Serif" w:eastAsia="Liberation Serif" w:hAnsi="Liberation Serif" w:cs="Liberation Serif"/>
      <w:caps w:val="0"/>
      <w:kern w:val="18"/>
      <w:sz w:val="17"/>
      <w:szCs w:val="17"/>
      <w:u w:val="single"/>
    </w:rPr>
  </w:style>
  <w:style w:type="character" w:customStyle="1" w:styleId="NormalIndentChar">
    <w:name w:val="Normal Indent Char"/>
    <w:link w:val="NormalIndent"/>
    <w:uiPriority w:val="5"/>
    <w:rsid w:val="008A3FF7"/>
    <w:rPr>
      <w:rFonts w:ascii="Times" w:eastAsia="Times" w:hAnsi="Times" w:cs="Times"/>
      <w:sz w:val="24"/>
      <w:szCs w:val="20"/>
      <w:lang w:val="fr-FR"/>
    </w:rPr>
  </w:style>
  <w:style w:type="character" w:customStyle="1" w:styleId="Bulletpoint1Char">
    <w:name w:val="Bullet point1 Char"/>
    <w:basedOn w:val="NormalIndentChar"/>
    <w:link w:val="Bulletpoint1"/>
    <w:rsid w:val="008A3FF7"/>
    <w:rPr>
      <w:rFonts w:ascii="Liberation Serif" w:eastAsia="Times" w:hAnsi="Liberation Serif" w:cs="Times"/>
      <w:sz w:val="24"/>
      <w:szCs w:val="20"/>
      <w:lang w:val="fr-FR"/>
    </w:rPr>
  </w:style>
  <w:style w:type="paragraph" w:customStyle="1" w:styleId="BulletPoint2">
    <w:name w:val="Bullet Point 2"/>
    <w:basedOn w:val="NormalIndent"/>
    <w:link w:val="BulletPoint2Char"/>
    <w:rsid w:val="008A3FF7"/>
    <w:pPr>
      <w:spacing w:after="120"/>
      <w:ind w:left="1080" w:hanging="360"/>
      <w:jc w:val="left"/>
    </w:pPr>
    <w:rPr>
      <w:rFonts w:ascii="Arial MT Std Light" w:hAnsi="Arial MT Std Light"/>
      <w:sz w:val="18"/>
    </w:rPr>
  </w:style>
  <w:style w:type="character" w:customStyle="1" w:styleId="HeadingChar">
    <w:name w:val="Heading Char"/>
    <w:link w:val="Heading"/>
    <w:rsid w:val="008A3FF7"/>
    <w:rPr>
      <w:rFonts w:ascii="Liberation Serif" w:eastAsia="Liberation Serif" w:hAnsi="Liberation Serif" w:cs="Liberation Serif"/>
      <w:kern w:val="18"/>
      <w:sz w:val="17"/>
      <w:szCs w:val="17"/>
      <w:u w:val="single"/>
    </w:rPr>
  </w:style>
  <w:style w:type="character" w:customStyle="1" w:styleId="BulletPoint2Char">
    <w:name w:val="Bullet Point 2 Char"/>
    <w:link w:val="BulletPoint2"/>
    <w:rsid w:val="008A3FF7"/>
    <w:rPr>
      <w:rFonts w:ascii="Arial MT Std Light" w:eastAsia="Times" w:hAnsi="Arial MT Std Light" w:cs="Times"/>
      <w:sz w:val="18"/>
      <w:szCs w:val="20"/>
      <w:lang w:val="fr-FR"/>
    </w:rPr>
  </w:style>
  <w:style w:type="paragraph" w:customStyle="1" w:styleId="Heading20">
    <w:name w:val="Heading2"/>
    <w:basedOn w:val="Title2"/>
    <w:link w:val="Heading2Char0"/>
    <w:rsid w:val="008A3FF7"/>
    <w:pPr>
      <w:numPr>
        <w:numId w:val="0"/>
      </w:numPr>
    </w:pPr>
    <w:rPr>
      <w:rFonts w:ascii="Liberation Serif" w:hAnsi="Liberation Serif" w:cs="Liberation Serif"/>
      <w:b/>
      <w:i/>
      <w:color w:val="0C4DA2"/>
      <w:sz w:val="20"/>
      <w:lang w:val="en-GB"/>
    </w:rPr>
  </w:style>
  <w:style w:type="table" w:customStyle="1" w:styleId="12uCharChar11">
    <w:name w:val="12u Char Char11"/>
    <w:basedOn w:val="TableNormal"/>
    <w:next w:val="TableGrid"/>
    <w:uiPriority w:val="39"/>
    <w:qFormat/>
    <w:rsid w:val="008A3FF7"/>
    <w:pPr>
      <w:spacing w:after="0" w:line="240" w:lineRule="auto"/>
    </w:pPr>
    <w:rPr>
      <w:rFonts w:ascii="Arial MT Std Light" w:eastAsia="Times" w:hAnsi="Arial MT Std Light" w:cs="Times"/>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sid w:val="008A3FF7"/>
    <w:rPr>
      <w:rFonts w:ascii="Liberation Serif" w:eastAsia="Times" w:hAnsi="Liberation Serif" w:cs="Liberation Serif"/>
      <w:b/>
      <w:i/>
      <w:color w:val="0C4DA2"/>
      <w:sz w:val="20"/>
      <w:szCs w:val="20"/>
    </w:rPr>
  </w:style>
  <w:style w:type="table" w:customStyle="1" w:styleId="Style1">
    <w:name w:val="Style1"/>
    <w:basedOn w:val="TableNormal"/>
    <w:rsid w:val="008A3FF7"/>
    <w:pPr>
      <w:spacing w:after="0" w:line="240" w:lineRule="auto"/>
    </w:pPr>
    <w:rPr>
      <w:rFonts w:ascii="Times" w:eastAsia="Times" w:hAnsi="Times" w:cs="Times"/>
      <w:sz w:val="20"/>
      <w:szCs w:val="20"/>
      <w:lang w:val="nl-BE" w:eastAsia="nl-BE"/>
    </w:rPr>
    <w:tblPr/>
  </w:style>
  <w:style w:type="table" w:styleId="TableElegant">
    <w:name w:val="Table Elegant"/>
    <w:basedOn w:val="TableNormal"/>
    <w:rsid w:val="008A3FF7"/>
    <w:pPr>
      <w:spacing w:after="240" w:line="240" w:lineRule="auto"/>
      <w:jc w:val="both"/>
    </w:pPr>
    <w:rPr>
      <w:rFonts w:ascii="Times" w:eastAsia="Times" w:hAnsi="Times" w:cs="Times"/>
      <w:sz w:val="20"/>
      <w:szCs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Text1"/>
    <w:link w:val="FooterDocumentChar"/>
    <w:rsid w:val="008A3FF7"/>
    <w:pPr>
      <w:spacing w:after="0"/>
    </w:pPr>
    <w:rPr>
      <w:i/>
      <w:sz w:val="13"/>
      <w:lang w:val="en-US"/>
    </w:rPr>
  </w:style>
  <w:style w:type="character" w:customStyle="1" w:styleId="FooterDocumentChar">
    <w:name w:val="Footer Document Char"/>
    <w:link w:val="FooterDocument"/>
    <w:rsid w:val="008A3FF7"/>
    <w:rPr>
      <w:rFonts w:ascii="Arial" w:eastAsia="Times New Roman" w:hAnsi="Arial" w:cs="Times New Roman"/>
      <w:i/>
      <w:sz w:val="13"/>
      <w:szCs w:val="20"/>
      <w:lang w:val="en-US"/>
    </w:rPr>
  </w:style>
  <w:style w:type="paragraph" w:customStyle="1" w:styleId="Title2">
    <w:name w:val="Title 2"/>
    <w:basedOn w:val="Normal"/>
    <w:rsid w:val="008A3FF7"/>
    <w:pPr>
      <w:numPr>
        <w:numId w:val="13"/>
      </w:numPr>
      <w:spacing w:after="240" w:line="240" w:lineRule="auto"/>
      <w:jc w:val="both"/>
    </w:pPr>
    <w:rPr>
      <w:rFonts w:ascii="Times" w:eastAsia="Times" w:hAnsi="Times" w:cs="Times"/>
      <w:sz w:val="24"/>
      <w:szCs w:val="20"/>
      <w:lang w:val="fr-FR"/>
    </w:rPr>
  </w:style>
  <w:style w:type="paragraph" w:customStyle="1" w:styleId="Subtitle0">
    <w:name w:val="Subtitle_"/>
    <w:basedOn w:val="TOC2"/>
    <w:link w:val="SubtitleChar0"/>
    <w:rsid w:val="008A3FF7"/>
    <w:pPr>
      <w:tabs>
        <w:tab w:val="clear" w:pos="8640"/>
      </w:tabs>
      <w:spacing w:before="0" w:after="200" w:line="276" w:lineRule="auto"/>
      <w:ind w:left="0" w:right="0" w:firstLine="0"/>
      <w:jc w:val="left"/>
    </w:pPr>
    <w:rPr>
      <w:rFonts w:ascii="Liberation Serif" w:eastAsia="Liberation Serif" w:hAnsi="Liberation Serif" w:cs="Liberation Serif"/>
      <w:color w:val="0C4DA2"/>
      <w:sz w:val="20"/>
    </w:rPr>
  </w:style>
  <w:style w:type="character" w:customStyle="1" w:styleId="SubtitleChar0">
    <w:name w:val="Subtitle_ Char"/>
    <w:basedOn w:val="Heading2Char0"/>
    <w:link w:val="Subtitle0"/>
    <w:rsid w:val="008A3FF7"/>
    <w:rPr>
      <w:rFonts w:ascii="Liberation Serif" w:eastAsia="Liberation Serif" w:hAnsi="Liberation Serif" w:cs="Liberation Serif"/>
      <w:b w:val="0"/>
      <w:i w:val="0"/>
      <w:color w:val="0C4DA2"/>
      <w:sz w:val="20"/>
      <w:szCs w:val="20"/>
    </w:rPr>
  </w:style>
  <w:style w:type="paragraph" w:customStyle="1" w:styleId="HeadingBody">
    <w:name w:val="Heading Body"/>
    <w:basedOn w:val="Normal"/>
    <w:link w:val="HeadingBodyChar"/>
    <w:rsid w:val="008A3FF7"/>
    <w:pPr>
      <w:spacing w:after="120" w:line="240" w:lineRule="auto"/>
      <w:jc w:val="both"/>
    </w:pPr>
    <w:rPr>
      <w:rFonts w:ascii="Arial MT Std Light" w:eastAsia="Times" w:hAnsi="Arial MT Std Light" w:cs="Times"/>
      <w:b/>
      <w:sz w:val="20"/>
      <w:szCs w:val="18"/>
    </w:rPr>
  </w:style>
  <w:style w:type="paragraph" w:customStyle="1" w:styleId="Titlepublication">
    <w:name w:val="Title publication"/>
    <w:basedOn w:val="Normal"/>
    <w:link w:val="TitlepublicationChar"/>
    <w:rsid w:val="008A3FF7"/>
    <w:pPr>
      <w:spacing w:after="240" w:line="240" w:lineRule="auto"/>
      <w:jc w:val="center"/>
    </w:pPr>
    <w:rPr>
      <w:rFonts w:ascii="Arial MT Std Light" w:eastAsia="Times" w:hAnsi="Arial MT Std Light" w:cs="Times"/>
      <w:b/>
      <w:color w:val="FF0000"/>
      <w:sz w:val="52"/>
      <w:szCs w:val="52"/>
    </w:rPr>
  </w:style>
  <w:style w:type="character" w:customStyle="1" w:styleId="HeadingBodyChar">
    <w:name w:val="Heading Body Char"/>
    <w:basedOn w:val="DefaultParagraphFont"/>
    <w:link w:val="HeadingBody"/>
    <w:rsid w:val="008A3FF7"/>
    <w:rPr>
      <w:rFonts w:ascii="Arial MT Std Light" w:eastAsia="Times" w:hAnsi="Arial MT Std Light" w:cs="Times"/>
      <w:b/>
      <w:sz w:val="20"/>
      <w:szCs w:val="18"/>
    </w:rPr>
  </w:style>
  <w:style w:type="paragraph" w:customStyle="1" w:styleId="Subtitlepublication">
    <w:name w:val="Subtitle publication"/>
    <w:basedOn w:val="Normal"/>
    <w:link w:val="SubtitlepublicationChar"/>
    <w:qFormat/>
    <w:rsid w:val="008A3FF7"/>
    <w:pPr>
      <w:spacing w:after="240" w:line="240" w:lineRule="auto"/>
      <w:jc w:val="center"/>
    </w:pPr>
    <w:rPr>
      <w:rFonts w:ascii="Arial MT Std Light" w:eastAsia="Times" w:hAnsi="Arial MT Std Light" w:cs="Times"/>
      <w:b/>
      <w:i/>
      <w:color w:val="FF0000"/>
      <w:sz w:val="32"/>
      <w:szCs w:val="20"/>
    </w:rPr>
  </w:style>
  <w:style w:type="character" w:customStyle="1" w:styleId="TitlepublicationChar">
    <w:name w:val="Title publication Char"/>
    <w:basedOn w:val="DefaultParagraphFont"/>
    <w:link w:val="Titlepublication"/>
    <w:rsid w:val="008A3FF7"/>
    <w:rPr>
      <w:rFonts w:ascii="Arial MT Std Light" w:eastAsia="Times" w:hAnsi="Arial MT Std Light" w:cs="Times"/>
      <w:b/>
      <w:color w:val="FF0000"/>
      <w:sz w:val="52"/>
      <w:szCs w:val="52"/>
    </w:rPr>
  </w:style>
  <w:style w:type="paragraph" w:customStyle="1" w:styleId="Editorname">
    <w:name w:val="Editor name"/>
    <w:basedOn w:val="Normal"/>
    <w:link w:val="EditornameChar"/>
    <w:rsid w:val="008A3FF7"/>
    <w:pPr>
      <w:spacing w:after="240" w:line="240" w:lineRule="auto"/>
      <w:jc w:val="center"/>
    </w:pPr>
    <w:rPr>
      <w:rFonts w:ascii="Arial MT Std Light" w:eastAsia="Times" w:hAnsi="Arial MT Std Light" w:cs="Times"/>
      <w:color w:val="FF0000"/>
      <w:sz w:val="24"/>
      <w:szCs w:val="20"/>
    </w:rPr>
  </w:style>
  <w:style w:type="character" w:customStyle="1" w:styleId="SubtitlepublicationChar">
    <w:name w:val="Subtitle publication Char"/>
    <w:basedOn w:val="DefaultParagraphFont"/>
    <w:link w:val="Subtitlepublication"/>
    <w:rsid w:val="008A3FF7"/>
    <w:rPr>
      <w:rFonts w:ascii="Arial MT Std Light" w:eastAsia="Times" w:hAnsi="Arial MT Std Light" w:cs="Times"/>
      <w:b/>
      <w:i/>
      <w:color w:val="FF0000"/>
      <w:sz w:val="32"/>
      <w:szCs w:val="20"/>
    </w:rPr>
  </w:style>
  <w:style w:type="paragraph" w:customStyle="1" w:styleId="Backcoversummary">
    <w:name w:val="Backcover_summary"/>
    <w:basedOn w:val="Normal"/>
    <w:link w:val="BackcoversummaryChar"/>
    <w:qFormat/>
    <w:rsid w:val="008A3FF7"/>
    <w:pPr>
      <w:spacing w:after="240" w:line="240" w:lineRule="auto"/>
      <w:jc w:val="both"/>
    </w:pPr>
    <w:rPr>
      <w:rFonts w:ascii="Arial MT Std Light" w:eastAsia="Times" w:hAnsi="Arial MT Std Light" w:cs="Times"/>
      <w:color w:val="FF0000"/>
      <w:sz w:val="24"/>
      <w:szCs w:val="20"/>
    </w:rPr>
  </w:style>
  <w:style w:type="character" w:customStyle="1" w:styleId="EditornameChar">
    <w:name w:val="Editor name Char"/>
    <w:basedOn w:val="DefaultParagraphFont"/>
    <w:link w:val="Editorname"/>
    <w:rsid w:val="008A3FF7"/>
    <w:rPr>
      <w:rFonts w:ascii="Arial MT Std Light" w:eastAsia="Times" w:hAnsi="Arial MT Std Light" w:cs="Times"/>
      <w:color w:val="FF0000"/>
      <w:sz w:val="24"/>
      <w:szCs w:val="20"/>
    </w:rPr>
  </w:style>
  <w:style w:type="paragraph" w:customStyle="1" w:styleId="Backcovercategory">
    <w:name w:val="Backcover_category"/>
    <w:basedOn w:val="Normal"/>
    <w:link w:val="BackcovercategoryChar"/>
    <w:qFormat/>
    <w:rsid w:val="008A3FF7"/>
    <w:pPr>
      <w:spacing w:after="240" w:line="240" w:lineRule="auto"/>
      <w:ind w:right="28"/>
      <w:jc w:val="both"/>
    </w:pPr>
    <w:rPr>
      <w:rFonts w:ascii="Arial MT Std Light" w:eastAsia="Times" w:hAnsi="Arial MT Std Light" w:cs="Times"/>
      <w:i/>
      <w:color w:val="FF0000"/>
      <w:sz w:val="18"/>
      <w:szCs w:val="20"/>
    </w:rPr>
  </w:style>
  <w:style w:type="character" w:customStyle="1" w:styleId="BackcoversummaryChar">
    <w:name w:val="Backcover_summary Char"/>
    <w:basedOn w:val="DefaultParagraphFont"/>
    <w:link w:val="Backcoversummary"/>
    <w:rsid w:val="008A3FF7"/>
    <w:rPr>
      <w:rFonts w:ascii="Arial MT Std Light" w:eastAsia="Times" w:hAnsi="Arial MT Std Light" w:cs="Times"/>
      <w:color w:val="FF0000"/>
      <w:sz w:val="24"/>
      <w:szCs w:val="20"/>
    </w:rPr>
  </w:style>
  <w:style w:type="character" w:customStyle="1" w:styleId="BackcovercategoryChar">
    <w:name w:val="Backcover_category Char"/>
    <w:basedOn w:val="DefaultParagraphFont"/>
    <w:link w:val="Backcovercategory"/>
    <w:rsid w:val="008A3FF7"/>
    <w:rPr>
      <w:rFonts w:ascii="Arial MT Std Light" w:eastAsia="Times" w:hAnsi="Arial MT Std Light" w:cs="Times"/>
      <w:i/>
      <w:color w:val="FF0000"/>
      <w:sz w:val="18"/>
      <w:szCs w:val="20"/>
    </w:rPr>
  </w:style>
  <w:style w:type="table" w:styleId="TableGrid10">
    <w:name w:val="Table Grid 1"/>
    <w:basedOn w:val="TableNormal"/>
    <w:rsid w:val="008A3FF7"/>
    <w:pPr>
      <w:spacing w:after="240" w:line="240" w:lineRule="auto"/>
      <w:jc w:val="both"/>
    </w:pPr>
    <w:rPr>
      <w:rFonts w:ascii="Times" w:eastAsia="Times" w:hAnsi="Times" w:cs="Times"/>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itle20">
    <w:name w:val="title 2"/>
    <w:basedOn w:val="Normal"/>
    <w:link w:val="title2Char"/>
    <w:rsid w:val="008A3FF7"/>
    <w:pPr>
      <w:spacing w:after="240" w:line="240" w:lineRule="auto"/>
    </w:pPr>
    <w:rPr>
      <w:rFonts w:ascii="Liberation Serif" w:eastAsia="Times" w:hAnsi="Liberation Serif" w:cs="Liberation Serif"/>
      <w:color w:val="0C4DA2"/>
      <w:sz w:val="36"/>
      <w:szCs w:val="36"/>
      <w:lang w:val="fr-FR"/>
    </w:rPr>
  </w:style>
  <w:style w:type="paragraph" w:customStyle="1" w:styleId="Title0">
    <w:name w:val="Title 0"/>
    <w:basedOn w:val="Heading"/>
    <w:link w:val="Title0Char"/>
    <w:rsid w:val="008A3FF7"/>
    <w:pPr>
      <w:widowControl w:val="0"/>
      <w:tabs>
        <w:tab w:val="left" w:pos="480"/>
        <w:tab w:val="right" w:leader="dot" w:pos="8778"/>
      </w:tabs>
      <w:autoSpaceDE w:val="0"/>
      <w:autoSpaceDN w:val="0"/>
      <w:adjustRightInd w:val="0"/>
      <w:spacing w:after="0"/>
      <w:jc w:val="both"/>
      <w:outlineLvl w:val="0"/>
    </w:pPr>
    <w:rPr>
      <w:rFonts w:eastAsia="Times New Roman"/>
      <w:bCs/>
      <w:noProof/>
      <w:color w:val="0C4DA2"/>
      <w:kern w:val="0"/>
      <w:sz w:val="32"/>
      <w:szCs w:val="32"/>
      <w:u w:val="none"/>
      <w:lang w:val="en-IE"/>
    </w:rPr>
  </w:style>
  <w:style w:type="character" w:customStyle="1" w:styleId="title2Char">
    <w:name w:val="title 2 Char"/>
    <w:basedOn w:val="DefaultParagraphFont"/>
    <w:link w:val="title20"/>
    <w:rsid w:val="008A3FF7"/>
    <w:rPr>
      <w:rFonts w:ascii="Liberation Serif" w:eastAsia="Times" w:hAnsi="Liberation Serif" w:cs="Liberation Serif"/>
      <w:color w:val="0C4DA2"/>
      <w:sz w:val="36"/>
      <w:szCs w:val="36"/>
      <w:lang w:val="fr-FR"/>
    </w:rPr>
  </w:style>
  <w:style w:type="character" w:customStyle="1" w:styleId="Title0Char">
    <w:name w:val="Title 0 Char"/>
    <w:link w:val="Title0"/>
    <w:rsid w:val="008A3FF7"/>
    <w:rPr>
      <w:rFonts w:ascii="Arial" w:eastAsia="Times New Roman" w:hAnsi="Arial" w:cs="Arial"/>
      <w:bCs/>
      <w:noProof/>
      <w:color w:val="0C4DA2"/>
      <w:sz w:val="32"/>
      <w:szCs w:val="32"/>
      <w:lang w:val="en-IE"/>
    </w:rPr>
  </w:style>
  <w:style w:type="paragraph" w:customStyle="1" w:styleId="Briefingtext">
    <w:name w:val="Briefing text"/>
    <w:basedOn w:val="Normal"/>
    <w:link w:val="BriefingtextChar"/>
    <w:rsid w:val="008A3FF7"/>
    <w:pPr>
      <w:spacing w:after="240" w:line="240" w:lineRule="auto"/>
      <w:jc w:val="both"/>
    </w:pPr>
    <w:rPr>
      <w:rFonts w:ascii="Liberation Serif" w:eastAsia="Times" w:hAnsi="Liberation Serif" w:cs="Liberation Serif"/>
      <w:szCs w:val="24"/>
    </w:rPr>
  </w:style>
  <w:style w:type="character" w:customStyle="1" w:styleId="BriefingtextChar">
    <w:name w:val="Briefing text Char"/>
    <w:link w:val="Briefingtext"/>
    <w:rsid w:val="008A3FF7"/>
    <w:rPr>
      <w:rFonts w:ascii="Liberation Serif" w:eastAsia="Times" w:hAnsi="Liberation Serif" w:cs="Liberation Serif"/>
      <w:szCs w:val="24"/>
    </w:rPr>
  </w:style>
  <w:style w:type="paragraph" w:customStyle="1" w:styleId="Briefingheading1">
    <w:name w:val="Briefing heading 1"/>
    <w:basedOn w:val="Briefingtext"/>
    <w:next w:val="Briefingtext"/>
    <w:link w:val="Briefingheading1Char"/>
    <w:rsid w:val="008A3FF7"/>
    <w:pPr>
      <w:keepNext/>
      <w:spacing w:before="240"/>
    </w:pPr>
    <w:rPr>
      <w:b/>
      <w:sz w:val="24"/>
      <w:u w:val="single"/>
    </w:rPr>
  </w:style>
  <w:style w:type="paragraph" w:customStyle="1" w:styleId="Title1">
    <w:name w:val="Title_1"/>
    <w:basedOn w:val="Briefingheading1"/>
    <w:link w:val="Title1Char"/>
    <w:rsid w:val="008A3FF7"/>
    <w:pPr>
      <w:tabs>
        <w:tab w:val="num" w:pos="1911"/>
      </w:tabs>
      <w:spacing w:before="120" w:after="360"/>
      <w:ind w:left="1911" w:hanging="709"/>
      <w:outlineLvl w:val="1"/>
    </w:pPr>
    <w:rPr>
      <w:rFonts w:cs="Times New Roman"/>
      <w:b w:val="0"/>
      <w:color w:val="325BAA"/>
      <w:sz w:val="36"/>
      <w:szCs w:val="36"/>
      <w:u w:val="none"/>
    </w:rPr>
  </w:style>
  <w:style w:type="paragraph" w:customStyle="1" w:styleId="title3">
    <w:name w:val="title_3"/>
    <w:basedOn w:val="Briefingheading1"/>
    <w:next w:val="BodyText1"/>
    <w:link w:val="title3Char"/>
    <w:rsid w:val="008A3FF7"/>
    <w:pPr>
      <w:tabs>
        <w:tab w:val="num" w:pos="3328"/>
      </w:tabs>
      <w:ind w:left="3328" w:hanging="709"/>
      <w:outlineLvl w:val="2"/>
    </w:pPr>
    <w:rPr>
      <w:rFonts w:cs="Times New Roman"/>
      <w:b w:val="0"/>
      <w:color w:val="325BAA"/>
      <w:sz w:val="28"/>
      <w:szCs w:val="28"/>
      <w:u w:val="none"/>
    </w:rPr>
  </w:style>
  <w:style w:type="character" w:customStyle="1" w:styleId="Briefingheading1Char">
    <w:name w:val="Briefing heading 1 Char"/>
    <w:link w:val="Briefingheading1"/>
    <w:rsid w:val="008A3FF7"/>
    <w:rPr>
      <w:rFonts w:ascii="Arial" w:eastAsia="Times New Roman" w:hAnsi="Arial" w:cs="Arial"/>
      <w:b/>
      <w:sz w:val="24"/>
      <w:szCs w:val="24"/>
      <w:u w:val="single"/>
    </w:rPr>
  </w:style>
  <w:style w:type="character" w:customStyle="1" w:styleId="Title1Char">
    <w:name w:val="Title_1 Char"/>
    <w:link w:val="Title1"/>
    <w:rsid w:val="008A3FF7"/>
    <w:rPr>
      <w:rFonts w:ascii="Arial" w:eastAsia="Times New Roman" w:hAnsi="Arial" w:cs="Times New Roman"/>
      <w:color w:val="325BAA"/>
      <w:sz w:val="36"/>
      <w:szCs w:val="36"/>
    </w:rPr>
  </w:style>
  <w:style w:type="character" w:customStyle="1" w:styleId="title3Char">
    <w:name w:val="title_3 Char"/>
    <w:link w:val="title3"/>
    <w:rsid w:val="008A3FF7"/>
    <w:rPr>
      <w:rFonts w:ascii="Arial" w:eastAsia="Times New Roman" w:hAnsi="Arial" w:cs="Times New Roman"/>
      <w:color w:val="325BAA"/>
      <w:sz w:val="28"/>
      <w:szCs w:val="28"/>
    </w:rPr>
  </w:style>
  <w:style w:type="character" w:customStyle="1" w:styleId="bullet1Char">
    <w:name w:val="bullet 1 Char"/>
    <w:basedOn w:val="BodytextChar0"/>
    <w:link w:val="bullet1"/>
    <w:rsid w:val="008A3FF7"/>
    <w:rPr>
      <w:rFonts w:ascii="Liberation Serif" w:eastAsia="Times" w:hAnsi="Liberation Serif" w:cs="Times"/>
      <w:szCs w:val="24"/>
    </w:rPr>
  </w:style>
  <w:style w:type="paragraph" w:customStyle="1" w:styleId="Boxtitle">
    <w:name w:val="Box title"/>
    <w:basedOn w:val="Normal"/>
    <w:link w:val="BoxtitleChar"/>
    <w:qFormat/>
    <w:rsid w:val="008A3FF7"/>
    <w:pPr>
      <w:spacing w:line="240" w:lineRule="auto"/>
      <w:ind w:right="143"/>
      <w:jc w:val="both"/>
    </w:pPr>
    <w:rPr>
      <w:rFonts w:ascii="Liberation Serif" w:eastAsia="Times" w:hAnsi="Liberation Serif" w:cs="Liberation Serif"/>
      <w:b/>
      <w:color w:val="0C4DA2"/>
      <w:sz w:val="24"/>
      <w:szCs w:val="20"/>
    </w:rPr>
  </w:style>
  <w:style w:type="character" w:customStyle="1" w:styleId="BoxtitleChar">
    <w:name w:val="Box title Char"/>
    <w:basedOn w:val="DefaultParagraphFont"/>
    <w:link w:val="Boxtitle"/>
    <w:rsid w:val="008A3FF7"/>
    <w:rPr>
      <w:rFonts w:ascii="Liberation Serif" w:eastAsia="Times" w:hAnsi="Liberation Serif" w:cs="Liberation Serif"/>
      <w:b/>
      <w:color w:val="0C4DA2"/>
      <w:sz w:val="24"/>
      <w:szCs w:val="20"/>
    </w:rPr>
  </w:style>
  <w:style w:type="character" w:customStyle="1" w:styleId="TabletexttitleChar">
    <w:name w:val="Table text title Char"/>
    <w:basedOn w:val="DefaultParagraphFont"/>
    <w:link w:val="Tabletexttitle"/>
    <w:locked/>
    <w:rsid w:val="008A3FF7"/>
    <w:rPr>
      <w:rFonts w:ascii="Liberation Serif" w:hAnsi="Liberation Serif"/>
      <w:b/>
      <w:color w:val="FFFFFF"/>
      <w:szCs w:val="18"/>
    </w:rPr>
  </w:style>
  <w:style w:type="paragraph" w:customStyle="1" w:styleId="Tabletexttitle">
    <w:name w:val="Table text title"/>
    <w:basedOn w:val="Normal"/>
    <w:link w:val="TabletexttitleChar"/>
    <w:rsid w:val="008A3FF7"/>
    <w:pPr>
      <w:framePr w:vSpace="68" w:wrap="around" w:vAnchor="text" w:hAnchor="margin" w:y="200"/>
      <w:tabs>
        <w:tab w:val="left" w:pos="990"/>
      </w:tabs>
      <w:spacing w:after="0" w:line="240" w:lineRule="auto"/>
      <w:suppressOverlap/>
    </w:pPr>
    <w:rPr>
      <w:rFonts w:ascii="Liberation Serif" w:hAnsi="Liberation Serif"/>
      <w:b/>
      <w:color w:val="FFFFFF"/>
      <w:szCs w:val="18"/>
    </w:rPr>
  </w:style>
  <w:style w:type="character" w:customStyle="1" w:styleId="TabletextChar">
    <w:name w:val="Table_text Char"/>
    <w:basedOn w:val="DefaultParagraphFont"/>
    <w:link w:val="Tabletext"/>
    <w:locked/>
    <w:rsid w:val="008A3FF7"/>
    <w:rPr>
      <w:rFonts w:ascii="Liberation Serif" w:hAnsi="Liberation Serif"/>
      <w:sz w:val="18"/>
      <w:szCs w:val="17"/>
    </w:rPr>
  </w:style>
  <w:style w:type="paragraph" w:customStyle="1" w:styleId="Tabletext">
    <w:name w:val="Table_text"/>
    <w:basedOn w:val="Normal"/>
    <w:link w:val="TabletextChar"/>
    <w:rsid w:val="008A3FF7"/>
    <w:pPr>
      <w:framePr w:vSpace="68" w:wrap="around" w:vAnchor="text" w:hAnchor="margin" w:y="200"/>
      <w:spacing w:after="0" w:line="240" w:lineRule="auto"/>
      <w:suppressOverlap/>
      <w:jc w:val="both"/>
    </w:pPr>
    <w:rPr>
      <w:rFonts w:ascii="Liberation Serif" w:hAnsi="Liberation Serif"/>
      <w:sz w:val="18"/>
      <w:szCs w:val="17"/>
    </w:rPr>
  </w:style>
  <w:style w:type="paragraph" w:customStyle="1" w:styleId="Figure">
    <w:name w:val="Figure"/>
    <w:basedOn w:val="Normal"/>
    <w:link w:val="FigureChar"/>
    <w:qFormat/>
    <w:rsid w:val="008A3FF7"/>
    <w:pPr>
      <w:spacing w:before="120" w:after="120" w:line="240" w:lineRule="auto"/>
      <w:jc w:val="center"/>
    </w:pPr>
    <w:rPr>
      <w:rFonts w:ascii="Liberation Serif" w:eastAsia="Times" w:hAnsi="Liberation Serif" w:cs="Times"/>
      <w:i/>
      <w:sz w:val="16"/>
      <w:szCs w:val="14"/>
      <w:lang w:eastAsia="nl-BE"/>
    </w:rPr>
  </w:style>
  <w:style w:type="character" w:customStyle="1" w:styleId="FigureChar">
    <w:name w:val="Figure Char"/>
    <w:basedOn w:val="DefaultParagraphFont"/>
    <w:link w:val="Figure"/>
    <w:rsid w:val="008A3FF7"/>
    <w:rPr>
      <w:rFonts w:ascii="Liberation Serif" w:eastAsia="Times" w:hAnsi="Liberation Serif" w:cs="Times"/>
      <w:i/>
      <w:sz w:val="16"/>
      <w:szCs w:val="14"/>
      <w:lang w:eastAsia="nl-BE"/>
    </w:rPr>
  </w:style>
  <w:style w:type="paragraph" w:customStyle="1" w:styleId="Bullets2">
    <w:name w:val="Bullets 2"/>
    <w:basedOn w:val="BodyText1"/>
    <w:link w:val="Bullets2Char"/>
    <w:qFormat/>
    <w:rsid w:val="008A3FF7"/>
    <w:pPr>
      <w:ind w:left="720" w:hanging="360"/>
    </w:pPr>
    <w:rPr>
      <w:lang w:val="it-IT"/>
    </w:rPr>
  </w:style>
  <w:style w:type="paragraph" w:customStyle="1" w:styleId="Subtitle10">
    <w:name w:val="Subtitle 1"/>
    <w:basedOn w:val="BodyText1"/>
    <w:link w:val="Subtitle1Char"/>
    <w:qFormat/>
    <w:rsid w:val="008A3FF7"/>
    <w:pPr>
      <w:spacing w:before="240" w:after="240"/>
    </w:pPr>
    <w:rPr>
      <w:i/>
      <w:color w:val="0C4DA2"/>
      <w:sz w:val="24"/>
      <w:szCs w:val="24"/>
    </w:rPr>
  </w:style>
  <w:style w:type="character" w:customStyle="1" w:styleId="Bullets2Char">
    <w:name w:val="Bullets 2 Char"/>
    <w:basedOn w:val="BodytextChar0"/>
    <w:link w:val="Bullets2"/>
    <w:rsid w:val="008A3FF7"/>
    <w:rPr>
      <w:rFonts w:ascii="Liberation Serif" w:eastAsia="Times" w:hAnsi="Liberation Serif" w:cs="Times"/>
      <w:szCs w:val="20"/>
      <w:lang w:val="it-IT"/>
    </w:rPr>
  </w:style>
  <w:style w:type="paragraph" w:customStyle="1" w:styleId="tabletitle">
    <w:name w:val="table title"/>
    <w:basedOn w:val="BodyText1"/>
    <w:link w:val="tabletitleChar"/>
    <w:qFormat/>
    <w:rsid w:val="008A3FF7"/>
    <w:pPr>
      <w:keepNext/>
    </w:pPr>
    <w:rPr>
      <w:b/>
      <w:color w:val="0C4DA2"/>
    </w:rPr>
  </w:style>
  <w:style w:type="character" w:customStyle="1" w:styleId="Subtitle1Char">
    <w:name w:val="Subtitle 1 Char"/>
    <w:basedOn w:val="BodytextChar0"/>
    <w:link w:val="Subtitle10"/>
    <w:rsid w:val="008A3FF7"/>
    <w:rPr>
      <w:rFonts w:ascii="Arial" w:eastAsia="Times New Roman" w:hAnsi="Arial" w:cs="Times New Roman"/>
      <w:i/>
      <w:color w:val="0C4DA2"/>
      <w:sz w:val="24"/>
      <w:szCs w:val="24"/>
    </w:rPr>
  </w:style>
  <w:style w:type="paragraph" w:customStyle="1" w:styleId="Tablesubtitle">
    <w:name w:val="Table subtitle"/>
    <w:basedOn w:val="tabletitle"/>
    <w:link w:val="TablesubtitleChar"/>
    <w:rsid w:val="008A3FF7"/>
    <w:rPr>
      <w:b w:val="0"/>
      <w:i/>
    </w:rPr>
  </w:style>
  <w:style w:type="character" w:customStyle="1" w:styleId="tabletitleChar">
    <w:name w:val="table title Char"/>
    <w:basedOn w:val="BodytextChar0"/>
    <w:link w:val="tabletitle"/>
    <w:rsid w:val="008A3FF7"/>
    <w:rPr>
      <w:rFonts w:ascii="Arial" w:eastAsia="Times New Roman" w:hAnsi="Arial" w:cs="Times New Roman"/>
      <w:b/>
      <w:color w:val="0C4DA2"/>
      <w:szCs w:val="20"/>
    </w:rPr>
  </w:style>
  <w:style w:type="paragraph" w:customStyle="1" w:styleId="Subtitle20">
    <w:name w:val="Subtitle 2"/>
    <w:basedOn w:val="Subtitle10"/>
    <w:link w:val="Subtitle2Char"/>
    <w:qFormat/>
    <w:rsid w:val="008A3FF7"/>
    <w:rPr>
      <w:i w:val="0"/>
    </w:rPr>
  </w:style>
  <w:style w:type="character" w:customStyle="1" w:styleId="TablesubtitleChar">
    <w:name w:val="Table subtitle Char"/>
    <w:basedOn w:val="tabletitleChar"/>
    <w:link w:val="Tablesubtitle"/>
    <w:rsid w:val="008A3FF7"/>
    <w:rPr>
      <w:rFonts w:ascii="Arial" w:eastAsia="Times New Roman" w:hAnsi="Arial" w:cs="Times New Roman"/>
      <w:b w:val="0"/>
      <w:i/>
      <w:color w:val="0C4DA2"/>
      <w:szCs w:val="20"/>
    </w:rPr>
  </w:style>
  <w:style w:type="character" w:customStyle="1" w:styleId="Subtitle2Char">
    <w:name w:val="Subtitle 2 Char"/>
    <w:basedOn w:val="Subtitle1Char"/>
    <w:link w:val="Subtitle20"/>
    <w:rsid w:val="008A3FF7"/>
    <w:rPr>
      <w:rFonts w:ascii="Arial" w:eastAsia="Times New Roman" w:hAnsi="Arial" w:cs="Times New Roman"/>
      <w:i w:val="0"/>
      <w:color w:val="0C4DA2"/>
      <w:sz w:val="24"/>
      <w:szCs w:val="24"/>
    </w:rPr>
  </w:style>
  <w:style w:type="paragraph" w:customStyle="1" w:styleId="RTDBody">
    <w:name w:val="RTD Body"/>
    <w:basedOn w:val="Normal"/>
    <w:link w:val="RTDBodyChar"/>
    <w:rsid w:val="008A3FF7"/>
    <w:pPr>
      <w:spacing w:after="240" w:line="240" w:lineRule="auto"/>
      <w:jc w:val="both"/>
    </w:pPr>
    <w:rPr>
      <w:rFonts w:ascii="Arial MT Std Light" w:eastAsia="Times" w:hAnsi="Arial MT Std Light" w:cs="Times"/>
      <w:sz w:val="20"/>
      <w:szCs w:val="18"/>
      <w:lang w:val="it-IT" w:eastAsia="nl-BE"/>
    </w:rPr>
  </w:style>
  <w:style w:type="character" w:customStyle="1" w:styleId="RTDBodyChar">
    <w:name w:val="RTD Body Char"/>
    <w:link w:val="RTDBody"/>
    <w:rsid w:val="008A3FF7"/>
    <w:rPr>
      <w:rFonts w:ascii="Arial MT Std Light" w:eastAsia="Times" w:hAnsi="Arial MT Std Light" w:cs="Times"/>
      <w:sz w:val="20"/>
      <w:szCs w:val="18"/>
      <w:lang w:val="it-IT" w:eastAsia="nl-BE"/>
    </w:rPr>
  </w:style>
  <w:style w:type="paragraph" w:customStyle="1" w:styleId="Title21">
    <w:name w:val="Title_2"/>
    <w:basedOn w:val="ListParagraph"/>
    <w:link w:val="Title2Char0"/>
    <w:rsid w:val="008A3FF7"/>
    <w:pPr>
      <w:tabs>
        <w:tab w:val="num" w:pos="2619"/>
      </w:tabs>
      <w:spacing w:after="360"/>
      <w:ind w:left="2619" w:hanging="708"/>
      <w:jc w:val="both"/>
    </w:pPr>
    <w:rPr>
      <w:rFonts w:ascii="Liberation Serif" w:hAnsi="Liberation Serif"/>
      <w:color w:val="325BAA"/>
      <w:sz w:val="32"/>
      <w:szCs w:val="32"/>
      <w:lang w:eastAsia="en-US"/>
    </w:rPr>
  </w:style>
  <w:style w:type="paragraph" w:customStyle="1" w:styleId="Numberslist">
    <w:name w:val="Numbers list"/>
    <w:basedOn w:val="BodyText1"/>
    <w:link w:val="NumberslistChar"/>
    <w:rsid w:val="008A3FF7"/>
  </w:style>
  <w:style w:type="character" w:customStyle="1" w:styleId="Title2Char0">
    <w:name w:val="Title_2 Char"/>
    <w:basedOn w:val="DefaultParagraphFont"/>
    <w:link w:val="Title21"/>
    <w:rsid w:val="008A3FF7"/>
    <w:rPr>
      <w:rFonts w:ascii="Liberation Serif" w:eastAsia="Times" w:hAnsi="Liberation Serif" w:cs="Times"/>
      <w:color w:val="325BAA"/>
      <w:sz w:val="32"/>
      <w:szCs w:val="32"/>
    </w:rPr>
  </w:style>
  <w:style w:type="paragraph" w:customStyle="1" w:styleId="Footnote">
    <w:name w:val="Footnote"/>
    <w:basedOn w:val="FootnoteText"/>
    <w:link w:val="FootnoteChar"/>
    <w:rsid w:val="008A3FF7"/>
    <w:pPr>
      <w:spacing w:after="0"/>
      <w:ind w:left="0" w:firstLine="0"/>
    </w:pPr>
    <w:rPr>
      <w:rFonts w:ascii="Liberation Serif" w:hAnsi="Liberation Serif" w:cs="Liberation Serif"/>
      <w:sz w:val="16"/>
      <w:szCs w:val="16"/>
      <w:lang w:eastAsia="en-US"/>
    </w:rPr>
  </w:style>
  <w:style w:type="character" w:customStyle="1" w:styleId="NumberslistChar">
    <w:name w:val="Numbers list Char"/>
    <w:basedOn w:val="BodytextChar0"/>
    <w:link w:val="Numberslist"/>
    <w:rsid w:val="008A3FF7"/>
    <w:rPr>
      <w:rFonts w:ascii="Arial" w:eastAsia="Times New Roman" w:hAnsi="Arial" w:cs="Times New Roman"/>
      <w:szCs w:val="20"/>
    </w:rPr>
  </w:style>
  <w:style w:type="character" w:customStyle="1" w:styleId="FootnoteChar">
    <w:name w:val="Footnote Char"/>
    <w:basedOn w:val="DefaultParagraphFont"/>
    <w:link w:val="Footnote"/>
    <w:rsid w:val="008A3FF7"/>
    <w:rPr>
      <w:rFonts w:ascii="Liberation Serif" w:eastAsia="Times" w:hAnsi="Liberation Serif" w:cs="Liberation Serif"/>
      <w:sz w:val="16"/>
      <w:szCs w:val="16"/>
    </w:rPr>
  </w:style>
  <w:style w:type="table" w:customStyle="1" w:styleId="TableCustom">
    <w:name w:val="Table Custom"/>
    <w:basedOn w:val="TableNormal"/>
    <w:uiPriority w:val="99"/>
    <w:rsid w:val="008A3FF7"/>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F5C3B9"/>
        <w:insideV w:val="single" w:sz="4" w:space="0" w:color="F5C3B9"/>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paragraph" w:customStyle="1" w:styleId="Bullet">
    <w:name w:val="Bullet"/>
    <w:basedOn w:val="ListBullet"/>
    <w:link w:val="BulletChar"/>
    <w:uiPriority w:val="1"/>
    <w:qFormat/>
    <w:rsid w:val="008A3FF7"/>
    <w:pPr>
      <w:numPr>
        <w:numId w:val="0"/>
      </w:numPr>
      <w:spacing w:after="80" w:line="260" w:lineRule="exact"/>
      <w:ind w:left="360" w:hanging="360"/>
    </w:pPr>
    <w:rPr>
      <w:rFonts w:ascii="Liberation Serif" w:eastAsia="NSimSun" w:hAnsi="Liberation Serif" w:cs="Liberation Serif"/>
      <w:sz w:val="20"/>
      <w:szCs w:val="24"/>
    </w:rPr>
  </w:style>
  <w:style w:type="character" w:customStyle="1" w:styleId="BulletChar">
    <w:name w:val="Bullet Char"/>
    <w:basedOn w:val="DefaultParagraphFont"/>
    <w:link w:val="Bullet"/>
    <w:uiPriority w:val="1"/>
    <w:rsid w:val="008A3FF7"/>
    <w:rPr>
      <w:rFonts w:ascii="Liberation Serif" w:eastAsia="NSimSun" w:hAnsi="Liberation Serif" w:cs="Liberation Serif"/>
      <w:sz w:val="20"/>
      <w:szCs w:val="24"/>
    </w:rPr>
  </w:style>
  <w:style w:type="numbering" w:customStyle="1" w:styleId="Headings">
    <w:name w:val="Headings"/>
    <w:rsid w:val="008A3FF7"/>
    <w:pPr>
      <w:numPr>
        <w:numId w:val="32"/>
      </w:numPr>
    </w:pPr>
  </w:style>
  <w:style w:type="paragraph" w:customStyle="1" w:styleId="CoffeyParagraph">
    <w:name w:val="Coffey Paragraph"/>
    <w:basedOn w:val="Normal"/>
    <w:link w:val="CoffeyParagraphChar"/>
    <w:qFormat/>
    <w:rsid w:val="008A3FF7"/>
    <w:pPr>
      <w:spacing w:after="120" w:line="260" w:lineRule="atLeast"/>
      <w:jc w:val="both"/>
    </w:pPr>
    <w:rPr>
      <w:rFonts w:ascii="Liberation Serif" w:eastAsia="Symbol" w:hAnsi="Liberation Serif" w:cs="Times"/>
      <w:sz w:val="20"/>
      <w:szCs w:val="24"/>
    </w:rPr>
  </w:style>
  <w:style w:type="character" w:customStyle="1" w:styleId="CoffeyParagraphChar">
    <w:name w:val="Coffey Paragraph Char"/>
    <w:link w:val="CoffeyParagraph"/>
    <w:rsid w:val="008A3FF7"/>
    <w:rPr>
      <w:rFonts w:ascii="Liberation Serif" w:eastAsia="Symbol" w:hAnsi="Liberation Serif" w:cs="Times"/>
      <w:sz w:val="20"/>
      <w:szCs w:val="24"/>
    </w:rPr>
  </w:style>
  <w:style w:type="paragraph" w:customStyle="1" w:styleId="EuropassSectionDetails">
    <w:name w:val="Europass_SectionDetails"/>
    <w:basedOn w:val="Normal"/>
    <w:uiPriority w:val="99"/>
    <w:rsid w:val="008A3FF7"/>
    <w:pPr>
      <w:widowControl w:val="0"/>
      <w:suppressLineNumbers/>
      <w:suppressAutoHyphens/>
      <w:autoSpaceDE w:val="0"/>
      <w:spacing w:before="28" w:after="56" w:line="100" w:lineRule="atLeast"/>
    </w:pPr>
    <w:rPr>
      <w:rFonts w:ascii="Liberation Serif" w:eastAsia="Cambria" w:hAnsi="Liberation Serif" w:cs="TT18At00"/>
      <w:color w:val="3F3A38"/>
      <w:spacing w:val="-6"/>
      <w:kern w:val="1"/>
      <w:sz w:val="18"/>
      <w:szCs w:val="24"/>
      <w:lang w:eastAsia="zh-CN" w:bidi="hi-IN"/>
    </w:rPr>
  </w:style>
  <w:style w:type="paragraph" w:customStyle="1" w:styleId="Bodycopy">
    <w:name w:val="Body copy"/>
    <w:basedOn w:val="Normal"/>
    <w:link w:val="BodycopyChar"/>
    <w:rsid w:val="008A3FF7"/>
    <w:pPr>
      <w:spacing w:after="240" w:line="280" w:lineRule="exact"/>
      <w:jc w:val="both"/>
    </w:pPr>
    <w:rPr>
      <w:rFonts w:ascii="Symbol" w:eastAsia="Arial" w:hAnsi="Symbol" w:cs="Times"/>
      <w:color w:val="000000"/>
      <w:szCs w:val="20"/>
    </w:rPr>
  </w:style>
  <w:style w:type="character" w:customStyle="1" w:styleId="BodycopyChar">
    <w:name w:val="Body copy Char"/>
    <w:basedOn w:val="DefaultParagraphFont"/>
    <w:link w:val="Bodycopy"/>
    <w:rsid w:val="008A3FF7"/>
    <w:rPr>
      <w:rFonts w:ascii="Symbol" w:eastAsia="Arial" w:hAnsi="Symbol" w:cs="Times"/>
      <w:color w:val="000000"/>
      <w:szCs w:val="20"/>
    </w:rPr>
  </w:style>
  <w:style w:type="paragraph" w:customStyle="1" w:styleId="NormalBodyText">
    <w:name w:val="Normal Body Text"/>
    <w:basedOn w:val="Normal"/>
    <w:link w:val="NormalBodyTextChar"/>
    <w:rsid w:val="008A3FF7"/>
    <w:pPr>
      <w:spacing w:after="240" w:line="288" w:lineRule="auto"/>
    </w:pPr>
    <w:rPr>
      <w:rFonts w:ascii="OpenSymbol" w:eastAsia="Times" w:hAnsi="OpenSymbol" w:cs="Liberation Serif"/>
      <w:color w:val="3E3D40"/>
      <w:sz w:val="20"/>
      <w:szCs w:val="20"/>
      <w:lang w:eastAsia="en-GB"/>
    </w:rPr>
  </w:style>
  <w:style w:type="paragraph" w:customStyle="1" w:styleId="NumberedListLevel1">
    <w:name w:val="NumberedListLevel1"/>
    <w:basedOn w:val="Normal"/>
    <w:rsid w:val="008A3FF7"/>
    <w:pPr>
      <w:tabs>
        <w:tab w:val="num" w:pos="504"/>
      </w:tabs>
      <w:spacing w:after="240" w:line="288" w:lineRule="auto"/>
      <w:ind w:left="567" w:hanging="360"/>
    </w:pPr>
    <w:rPr>
      <w:rFonts w:ascii="OpenSymbol" w:eastAsia="Times" w:hAnsi="OpenSymbol" w:cs="Liberation Serif"/>
      <w:color w:val="3E3D40"/>
      <w:sz w:val="20"/>
      <w:szCs w:val="20"/>
      <w:lang w:eastAsia="en-GB"/>
    </w:rPr>
  </w:style>
  <w:style w:type="paragraph" w:customStyle="1" w:styleId="NumberedListLev2">
    <w:name w:val="NumberedListLev2"/>
    <w:basedOn w:val="ListParagraph"/>
    <w:rsid w:val="008A3FF7"/>
    <w:pPr>
      <w:tabs>
        <w:tab w:val="num" w:pos="2160"/>
      </w:tabs>
      <w:spacing w:before="120" w:after="240" w:line="288" w:lineRule="auto"/>
      <w:ind w:left="851" w:hanging="284"/>
      <w:contextualSpacing w:val="0"/>
    </w:pPr>
    <w:rPr>
      <w:rFonts w:ascii="OpenSymbol" w:hAnsi="OpenSymbol" w:cs="Liberation Serif"/>
      <w:color w:val="3E3D40"/>
      <w:sz w:val="20"/>
      <w:szCs w:val="20"/>
    </w:rPr>
  </w:style>
  <w:style w:type="character" w:styleId="PageNumber">
    <w:name w:val="page number"/>
    <w:basedOn w:val="DefaultParagraphFont"/>
    <w:uiPriority w:val="5"/>
    <w:semiHidden/>
    <w:rsid w:val="008A3FF7"/>
  </w:style>
  <w:style w:type="character" w:styleId="IntenseEmphasis">
    <w:name w:val="Intense Emphasis"/>
    <w:basedOn w:val="DefaultParagraphFont"/>
    <w:uiPriority w:val="21"/>
    <w:qFormat/>
    <w:rsid w:val="008A3FF7"/>
    <w:rPr>
      <w:b/>
      <w:i/>
      <w:iCs/>
      <w:sz w:val="18"/>
      <w:lang w:val="en-GB"/>
    </w:rPr>
  </w:style>
  <w:style w:type="paragraph" w:customStyle="1" w:styleId="TableNoSpacing">
    <w:name w:val="Table No Spacing"/>
    <w:basedOn w:val="Normal"/>
    <w:uiPriority w:val="6"/>
    <w:rsid w:val="008A3FF7"/>
    <w:pPr>
      <w:spacing w:after="0" w:line="260" w:lineRule="exact"/>
      <w:jc w:val="both"/>
    </w:pPr>
    <w:rPr>
      <w:rFonts w:ascii="Liberation Serif" w:eastAsia="NSimSun" w:hAnsi="Liberation Serif"/>
      <w:sz w:val="20"/>
      <w:szCs w:val="24"/>
    </w:rPr>
  </w:style>
  <w:style w:type="paragraph" w:customStyle="1" w:styleId="TableBullet">
    <w:name w:val="Table Bullet"/>
    <w:basedOn w:val="ListBullet"/>
    <w:uiPriority w:val="6"/>
    <w:rsid w:val="008A3FF7"/>
    <w:pPr>
      <w:numPr>
        <w:numId w:val="0"/>
      </w:numPr>
      <w:tabs>
        <w:tab w:val="num" w:pos="288"/>
        <w:tab w:val="num" w:pos="794"/>
      </w:tabs>
      <w:spacing w:after="0" w:line="260" w:lineRule="exact"/>
      <w:ind w:left="288" w:hanging="216"/>
    </w:pPr>
    <w:rPr>
      <w:rFonts w:ascii="Liberation Serif" w:eastAsia="NSimSun" w:hAnsi="Liberation Serif" w:cs="Liberation Serif"/>
      <w:sz w:val="20"/>
      <w:szCs w:val="24"/>
    </w:rPr>
  </w:style>
  <w:style w:type="paragraph" w:customStyle="1" w:styleId="TableBullet2">
    <w:name w:val="Table Bullet 2"/>
    <w:basedOn w:val="ListBullet2"/>
    <w:uiPriority w:val="6"/>
    <w:rsid w:val="008A3FF7"/>
    <w:pPr>
      <w:tabs>
        <w:tab w:val="clear" w:pos="1485"/>
        <w:tab w:val="num" w:pos="504"/>
      </w:tabs>
      <w:spacing w:after="200" w:line="276" w:lineRule="auto"/>
      <w:ind w:left="720" w:hanging="360"/>
      <w:jc w:val="left"/>
    </w:pPr>
    <w:rPr>
      <w:rFonts w:ascii="Liberation Serif" w:eastAsia="Liberation Serif" w:hAnsi="Liberation Serif" w:cs="Liberation Serif"/>
      <w:sz w:val="22"/>
      <w:szCs w:val="22"/>
      <w:lang w:val="en-GB"/>
    </w:rPr>
  </w:style>
  <w:style w:type="character" w:styleId="SubtleEmphasis">
    <w:name w:val="Subtle Emphasis"/>
    <w:basedOn w:val="DefaultParagraphFont"/>
    <w:uiPriority w:val="3"/>
    <w:rsid w:val="008A3FF7"/>
    <w:rPr>
      <w:i/>
      <w:iCs/>
      <w:color w:val="auto"/>
    </w:rPr>
  </w:style>
  <w:style w:type="character" w:customStyle="1" w:styleId="StrongBlue">
    <w:name w:val="Strong Blue"/>
    <w:basedOn w:val="Strong"/>
    <w:uiPriority w:val="2"/>
    <w:rsid w:val="008A3FF7"/>
    <w:rPr>
      <w:b/>
      <w:bCs/>
      <w:color w:val="003478"/>
      <w:sz w:val="18"/>
    </w:rPr>
  </w:style>
  <w:style w:type="character" w:customStyle="1" w:styleId="Captionintense">
    <w:name w:val="Caption intense"/>
    <w:basedOn w:val="IntenseEmphasis"/>
    <w:uiPriority w:val="3"/>
    <w:rsid w:val="008A3FF7"/>
    <w:rPr>
      <w:b/>
      <w:i/>
      <w:iCs/>
      <w:sz w:val="18"/>
      <w:lang w:val="en-GB"/>
    </w:rPr>
  </w:style>
  <w:style w:type="paragraph" w:customStyle="1" w:styleId="CoverSheetTitle">
    <w:name w:val="Cover Sheet Title"/>
    <w:basedOn w:val="Normal"/>
    <w:uiPriority w:val="99"/>
    <w:rsid w:val="008A3FF7"/>
    <w:pPr>
      <w:spacing w:after="120" w:line="240" w:lineRule="auto"/>
      <w:jc w:val="both"/>
    </w:pPr>
    <w:rPr>
      <w:rFonts w:ascii="Liberation Serif" w:eastAsia="NSimSun" w:hAnsi="Liberation Serif"/>
      <w:b/>
      <w:color w:val="003478"/>
      <w:sz w:val="48"/>
      <w:szCs w:val="56"/>
    </w:rPr>
  </w:style>
  <w:style w:type="character" w:customStyle="1" w:styleId="NoSpacingChar">
    <w:name w:val="No Spacing Char"/>
    <w:basedOn w:val="DefaultParagraphFont"/>
    <w:link w:val="NoSpacing"/>
    <w:uiPriority w:val="1"/>
    <w:rsid w:val="008A3FF7"/>
  </w:style>
  <w:style w:type="paragraph" w:customStyle="1" w:styleId="Bibliography1">
    <w:name w:val="Bibliography1"/>
    <w:basedOn w:val="Normal"/>
    <w:next w:val="Normal"/>
    <w:uiPriority w:val="40"/>
    <w:unhideWhenUsed/>
    <w:rsid w:val="008A3FF7"/>
    <w:pPr>
      <w:spacing w:after="120" w:line="260" w:lineRule="exact"/>
      <w:jc w:val="both"/>
    </w:pPr>
    <w:rPr>
      <w:rFonts w:ascii="Liberation Serif" w:eastAsia="NSimSun" w:hAnsi="Liberation Serif"/>
      <w:sz w:val="20"/>
      <w:szCs w:val="24"/>
    </w:rPr>
  </w:style>
  <w:style w:type="paragraph" w:customStyle="1" w:styleId="AppendixHeading">
    <w:name w:val="Appendix Heading"/>
    <w:basedOn w:val="Heading1"/>
    <w:next w:val="Normal"/>
    <w:uiPriority w:val="41"/>
    <w:qFormat/>
    <w:rsid w:val="008A3FF7"/>
  </w:style>
  <w:style w:type="paragraph" w:customStyle="1" w:styleId="Sous-titre1">
    <w:name w:val="Sous-titre1"/>
    <w:basedOn w:val="Normal"/>
    <w:uiPriority w:val="99"/>
    <w:rsid w:val="008A3FF7"/>
    <w:pPr>
      <w:spacing w:after="1200" w:line="240" w:lineRule="auto"/>
      <w:jc w:val="both"/>
    </w:pPr>
    <w:rPr>
      <w:rFonts w:ascii="Liberation Serif" w:eastAsia="NSimSun" w:hAnsi="Liberation Serif"/>
      <w:color w:val="605340"/>
      <w:szCs w:val="24"/>
      <w:lang w:val="en-CA"/>
    </w:rPr>
  </w:style>
  <w:style w:type="character" w:customStyle="1" w:styleId="CommentTextChar1">
    <w:name w:val="Comment Text Char1"/>
    <w:aliases w:val="Char2 Char1"/>
    <w:basedOn w:val="DefaultParagraphFont"/>
    <w:uiPriority w:val="99"/>
    <w:rsid w:val="008A3FF7"/>
    <w:rPr>
      <w:lang w:val="fr-FR" w:eastAsia="en-US"/>
    </w:rPr>
  </w:style>
  <w:style w:type="paragraph" w:customStyle="1" w:styleId="Firstline">
    <w:name w:val="First line"/>
    <w:basedOn w:val="Normal"/>
    <w:next w:val="Normal"/>
    <w:link w:val="FirstlineChar"/>
    <w:autoRedefine/>
    <w:rsid w:val="008A3FF7"/>
    <w:pPr>
      <w:spacing w:before="120" w:after="160" w:line="259" w:lineRule="auto"/>
      <w:jc w:val="both"/>
    </w:pPr>
    <w:rPr>
      <w:rFonts w:ascii="Symbol" w:eastAsia="NSimSun" w:hAnsi="Symbol" w:cs="Liberation Serif"/>
      <w:sz w:val="24"/>
      <w:szCs w:val="24"/>
    </w:rPr>
  </w:style>
  <w:style w:type="character" w:customStyle="1" w:styleId="FirstlineChar">
    <w:name w:val="First line Char"/>
    <w:basedOn w:val="DefaultParagraphFont"/>
    <w:link w:val="Firstline"/>
    <w:rsid w:val="008A3FF7"/>
    <w:rPr>
      <w:rFonts w:ascii="Symbol" w:eastAsia="NSimSun" w:hAnsi="Symbol" w:cs="Liberation Serif"/>
      <w:sz w:val="24"/>
      <w:szCs w:val="24"/>
    </w:rPr>
  </w:style>
  <w:style w:type="paragraph" w:customStyle="1" w:styleId="GFRCCoffeyParagraph">
    <w:name w:val="GFRC Coffey Paragraph"/>
    <w:basedOn w:val="Normal"/>
    <w:link w:val="GFRCCoffeyParagraphChar"/>
    <w:rsid w:val="008A3FF7"/>
    <w:pPr>
      <w:spacing w:after="120" w:line="240" w:lineRule="auto"/>
      <w:jc w:val="both"/>
    </w:pPr>
    <w:rPr>
      <w:rFonts w:ascii="Symbol" w:eastAsia="Symbol" w:hAnsi="Symbol" w:cs="Times"/>
      <w:sz w:val="24"/>
      <w:szCs w:val="24"/>
    </w:rPr>
  </w:style>
  <w:style w:type="paragraph" w:customStyle="1" w:styleId="GFRCCoffeyBullet1">
    <w:name w:val="GFRC Coffey Bullet 1"/>
    <w:basedOn w:val="Normal"/>
    <w:uiPriority w:val="99"/>
    <w:rsid w:val="008A3FF7"/>
    <w:pPr>
      <w:numPr>
        <w:numId w:val="16"/>
      </w:numPr>
      <w:spacing w:before="77" w:after="113" w:line="250" w:lineRule="exact"/>
    </w:pPr>
    <w:rPr>
      <w:rFonts w:eastAsia="Calibri" w:cs="Times New Roman"/>
      <w:sz w:val="24"/>
      <w:szCs w:val="24"/>
    </w:rPr>
  </w:style>
  <w:style w:type="paragraph" w:customStyle="1" w:styleId="CoffeyBullet2">
    <w:name w:val="Coffey Bullet 2"/>
    <w:basedOn w:val="GFRCCoffeyBullet1"/>
    <w:rsid w:val="008A3FF7"/>
    <w:pPr>
      <w:ind w:left="1134"/>
    </w:pPr>
  </w:style>
  <w:style w:type="paragraph" w:customStyle="1" w:styleId="GRFCCoffeyHeading1Blue">
    <w:name w:val="GRFC Coffey Heading 1 Blue"/>
    <w:basedOn w:val="Normal"/>
    <w:next w:val="GFRCCoffeyParagraph"/>
    <w:uiPriority w:val="99"/>
    <w:rsid w:val="008A3FF7"/>
    <w:pPr>
      <w:keepNext/>
      <w:numPr>
        <w:numId w:val="15"/>
      </w:numPr>
      <w:spacing w:after="313" w:line="240" w:lineRule="auto"/>
      <w:ind w:left="709"/>
      <w:jc w:val="both"/>
    </w:pPr>
    <w:rPr>
      <w:rFonts w:ascii="Symbol" w:eastAsia="Symbol" w:hAnsi="Symbol" w:cs="Times"/>
      <w:color w:val="049CD5"/>
      <w:sz w:val="48"/>
      <w:szCs w:val="24"/>
    </w:rPr>
  </w:style>
  <w:style w:type="paragraph" w:customStyle="1" w:styleId="CoffeyHeading2Black">
    <w:name w:val="Coffey Heading 2 Black"/>
    <w:basedOn w:val="GRFCCoffeyHeading1Blue"/>
    <w:next w:val="GFRCCoffeyParagraph"/>
    <w:uiPriority w:val="99"/>
    <w:rsid w:val="008A3FF7"/>
    <w:pPr>
      <w:numPr>
        <w:ilvl w:val="1"/>
      </w:numPr>
      <w:spacing w:before="277" w:after="113"/>
    </w:pPr>
    <w:rPr>
      <w:sz w:val="28"/>
      <w:szCs w:val="28"/>
    </w:rPr>
  </w:style>
  <w:style w:type="paragraph" w:customStyle="1" w:styleId="CoffeyHeading3Black">
    <w:name w:val="Coffey Heading 3 Black"/>
    <w:basedOn w:val="CoffeyHeading2Black"/>
    <w:next w:val="GFRCCoffeyParagraph"/>
    <w:uiPriority w:val="99"/>
    <w:rsid w:val="008A3FF7"/>
    <w:pPr>
      <w:numPr>
        <w:ilvl w:val="2"/>
      </w:numPr>
      <w:spacing w:before="77"/>
    </w:pPr>
    <w:rPr>
      <w:b/>
      <w:sz w:val="20"/>
      <w:szCs w:val="20"/>
    </w:rPr>
  </w:style>
  <w:style w:type="character" w:customStyle="1" w:styleId="GFRCCoffeyParagraphChar">
    <w:name w:val="GFRC Coffey Paragraph Char"/>
    <w:link w:val="GFRCCoffeyParagraph"/>
    <w:rsid w:val="008A3FF7"/>
    <w:rPr>
      <w:rFonts w:ascii="Symbol" w:eastAsia="Symbol" w:hAnsi="Symbol" w:cs="Times"/>
      <w:sz w:val="24"/>
      <w:szCs w:val="24"/>
    </w:rPr>
  </w:style>
  <w:style w:type="character" w:customStyle="1" w:styleId="apple-converted-space">
    <w:name w:val="apple-converted-space"/>
    <w:basedOn w:val="DefaultParagraphFont"/>
    <w:rsid w:val="008A3FF7"/>
  </w:style>
  <w:style w:type="paragraph" w:customStyle="1" w:styleId="BulletPSP">
    <w:name w:val="Bullet PSP"/>
    <w:basedOn w:val="Normal"/>
    <w:link w:val="BulletPSPChar"/>
    <w:uiPriority w:val="99"/>
    <w:rsid w:val="008A3FF7"/>
    <w:pPr>
      <w:spacing w:before="120" w:after="160" w:line="259" w:lineRule="auto"/>
      <w:ind w:left="569" w:hanging="360"/>
      <w:contextualSpacing/>
      <w:jc w:val="both"/>
    </w:pPr>
    <w:rPr>
      <w:rFonts w:ascii="Symbol" w:eastAsia="NSimSun" w:hAnsi="Symbol"/>
      <w:color w:val="000000"/>
      <w:sz w:val="24"/>
    </w:rPr>
  </w:style>
  <w:style w:type="paragraph" w:customStyle="1" w:styleId="CoffeyFooter">
    <w:name w:val="Coffey Footer"/>
    <w:basedOn w:val="Normal"/>
    <w:uiPriority w:val="99"/>
    <w:qFormat/>
    <w:rsid w:val="008A3FF7"/>
    <w:pPr>
      <w:tabs>
        <w:tab w:val="right" w:pos="7938"/>
      </w:tabs>
      <w:spacing w:after="0" w:line="240" w:lineRule="auto"/>
      <w:ind w:right="-2"/>
    </w:pPr>
    <w:rPr>
      <w:rFonts w:ascii="Liberation Serif" w:eastAsia="Arial Narrow" w:hAnsi="Liberation Serif" w:cs="Times"/>
      <w:caps/>
      <w:sz w:val="18"/>
      <w:szCs w:val="24"/>
    </w:rPr>
  </w:style>
  <w:style w:type="paragraph" w:customStyle="1" w:styleId="CoffeyBullet1">
    <w:name w:val="Coffey Bullet 1"/>
    <w:basedOn w:val="Normal"/>
    <w:link w:val="CoffeyBullet1Char"/>
    <w:rsid w:val="008A3FF7"/>
    <w:pPr>
      <w:spacing w:before="77" w:after="113" w:line="250" w:lineRule="exact"/>
      <w:ind w:left="720" w:hanging="360"/>
    </w:pPr>
    <w:rPr>
      <w:rFonts w:ascii="Liberation Serif" w:eastAsia="Symbol" w:hAnsi="Liberation Serif" w:cs="Times"/>
      <w:sz w:val="20"/>
      <w:szCs w:val="24"/>
    </w:rPr>
  </w:style>
  <w:style w:type="paragraph" w:customStyle="1" w:styleId="CoffeyHeading1Blue">
    <w:name w:val="Coffey Heading 1 Blue"/>
    <w:basedOn w:val="Normal"/>
    <w:next w:val="CoffeyParagraph"/>
    <w:uiPriority w:val="99"/>
    <w:qFormat/>
    <w:rsid w:val="008A3FF7"/>
    <w:pPr>
      <w:keepNext/>
      <w:spacing w:after="313"/>
      <w:ind w:left="432" w:hanging="432"/>
      <w:jc w:val="both"/>
    </w:pPr>
    <w:rPr>
      <w:rFonts w:ascii="Liberation Serif" w:eastAsia="Symbol" w:hAnsi="Liberation Serif" w:cs="Times"/>
      <w:color w:val="049CD5"/>
      <w:sz w:val="48"/>
      <w:szCs w:val="24"/>
    </w:rPr>
  </w:style>
  <w:style w:type="character" w:customStyle="1" w:styleId="BulletPSPChar">
    <w:name w:val="Bullet PSP Char"/>
    <w:basedOn w:val="DefaultParagraphFont"/>
    <w:link w:val="BulletPSP"/>
    <w:uiPriority w:val="99"/>
    <w:rsid w:val="008A3FF7"/>
    <w:rPr>
      <w:rFonts w:ascii="Symbol" w:eastAsia="NSimSun" w:hAnsi="Symbol"/>
      <w:color w:val="000000"/>
      <w:sz w:val="24"/>
    </w:rPr>
  </w:style>
  <w:style w:type="table" w:customStyle="1" w:styleId="Table1-PSPbrand">
    <w:name w:val="Table 1 - PSP brand"/>
    <w:basedOn w:val="TableNormal"/>
    <w:rsid w:val="008A3FF7"/>
    <w:pPr>
      <w:spacing w:after="0" w:line="240" w:lineRule="auto"/>
    </w:pPr>
    <w:rPr>
      <w:rFonts w:ascii="Symbol" w:eastAsia="Symbol" w:hAnsi="Symbol" w:cs="Times"/>
      <w:sz w:val="24"/>
      <w:lang w:val="nl-NL" w:eastAsia="en-GB"/>
    </w:rPr>
    <w:tblPr>
      <w:tblStyleRowBandSize w:val="1"/>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cPr>
      <w:shd w:val="clear" w:color="auto" w:fill="FFFFFF"/>
    </w:tcPr>
    <w:tblStylePr w:type="firstRow">
      <w:rPr>
        <w:b/>
        <w:color w:val="E76C53"/>
      </w:rPr>
      <w:tblPr/>
      <w:tcPr>
        <w:shd w:val="clear" w:color="auto" w:fill="000000"/>
      </w:tcPr>
    </w:tblStylePr>
    <w:tblStylePr w:type="band2Horz">
      <w:tblPr/>
      <w:tcPr>
        <w:shd w:val="clear" w:color="auto" w:fill="DDD9C3"/>
      </w:tcPr>
    </w:tblStylePr>
  </w:style>
  <w:style w:type="character" w:customStyle="1" w:styleId="ListBulletChar">
    <w:name w:val="List Bullet Char"/>
    <w:aliases w:val="UL Char,Bullet Point EU Char,Bullet Point EU 2 Char,EU Style Bullet Char,OM List Bullet Char"/>
    <w:basedOn w:val="DefaultParagraphFont"/>
    <w:link w:val="ListBullet"/>
    <w:rsid w:val="008A3FF7"/>
    <w:rPr>
      <w:rFonts w:ascii="Times" w:eastAsia="Times" w:hAnsi="Times" w:cs="Times"/>
      <w:sz w:val="24"/>
      <w:szCs w:val="20"/>
    </w:rPr>
  </w:style>
  <w:style w:type="paragraph" w:customStyle="1" w:styleId="Bullet20">
    <w:name w:val="Bullet2"/>
    <w:basedOn w:val="ListBullet"/>
    <w:link w:val="Bullet2Char"/>
    <w:uiPriority w:val="1"/>
    <w:qFormat/>
    <w:rsid w:val="008A3FF7"/>
    <w:pPr>
      <w:numPr>
        <w:numId w:val="0"/>
      </w:numPr>
      <w:spacing w:after="60" w:line="260" w:lineRule="exact"/>
    </w:pPr>
    <w:rPr>
      <w:rFonts w:ascii="MS Mincho" w:eastAsia="NSimSun" w:hAnsi="MS Mincho" w:cs="MS Mincho"/>
      <w:szCs w:val="24"/>
    </w:rPr>
  </w:style>
  <w:style w:type="paragraph" w:customStyle="1" w:styleId="xl24">
    <w:name w:val="xl24"/>
    <w:basedOn w:val="Normal"/>
    <w:uiPriority w:val="99"/>
    <w:rsid w:val="008A3FF7"/>
    <w:pPr>
      <w:pBdr>
        <w:left w:val="single" w:sz="4" w:space="0" w:color="auto"/>
        <w:bottom w:val="single" w:sz="4" w:space="0" w:color="auto"/>
      </w:pBdr>
      <w:spacing w:before="100" w:beforeAutospacing="1" w:after="100" w:afterAutospacing="1" w:line="240" w:lineRule="auto"/>
    </w:pPr>
    <w:rPr>
      <w:rFonts w:ascii="Times" w:eastAsia="Times" w:hAnsi="Times" w:cs="Times"/>
      <w:sz w:val="24"/>
      <w:szCs w:val="24"/>
    </w:rPr>
  </w:style>
  <w:style w:type="character" w:customStyle="1" w:styleId="Bullet2Char">
    <w:name w:val="Bullet2 Char"/>
    <w:basedOn w:val="ListBulletChar"/>
    <w:link w:val="Bullet20"/>
    <w:uiPriority w:val="1"/>
    <w:rsid w:val="008A3FF7"/>
    <w:rPr>
      <w:rFonts w:ascii="MS Mincho" w:eastAsia="NSimSun" w:hAnsi="MS Mincho" w:cs="MS Mincho"/>
      <w:sz w:val="24"/>
      <w:szCs w:val="24"/>
    </w:rPr>
  </w:style>
  <w:style w:type="character" w:customStyle="1" w:styleId="msoins0">
    <w:name w:val="msoins"/>
    <w:rsid w:val="008A3FF7"/>
    <w:rPr>
      <w:rFonts w:cs="Times New Roman"/>
    </w:rPr>
  </w:style>
  <w:style w:type="paragraph" w:customStyle="1" w:styleId="TableText0">
    <w:name w:val="Table Text"/>
    <w:basedOn w:val="Normal"/>
    <w:link w:val="TableTextChar0"/>
    <w:autoRedefine/>
    <w:uiPriority w:val="4"/>
    <w:rsid w:val="008A3FF7"/>
    <w:pPr>
      <w:framePr w:hSpace="180" w:wrap="around" w:vAnchor="text" w:hAnchor="text" w:y="1"/>
      <w:spacing w:before="120" w:after="120" w:line="300" w:lineRule="atLeast"/>
    </w:pPr>
    <w:rPr>
      <w:rFonts w:ascii="Liberation Serif" w:eastAsia="Arial" w:hAnsi="Liberation Serif" w:cs="Liberation Serif"/>
      <w:b/>
      <w:sz w:val="18"/>
      <w:szCs w:val="18"/>
    </w:rPr>
  </w:style>
  <w:style w:type="character" w:customStyle="1" w:styleId="TableTextChar0">
    <w:name w:val="Table Text Char"/>
    <w:basedOn w:val="DefaultParagraphFont"/>
    <w:link w:val="TableText0"/>
    <w:uiPriority w:val="4"/>
    <w:rsid w:val="008A3FF7"/>
    <w:rPr>
      <w:rFonts w:ascii="Liberation Serif" w:eastAsia="Arial" w:hAnsi="Liberation Serif" w:cs="Liberation Serif"/>
      <w:b/>
      <w:sz w:val="18"/>
      <w:szCs w:val="18"/>
    </w:rPr>
  </w:style>
  <w:style w:type="table" w:customStyle="1" w:styleId="MainEUtablestyle-Alternative">
    <w:name w:val="Main EU table style - Alternative"/>
    <w:basedOn w:val="TableNormal"/>
    <w:uiPriority w:val="99"/>
    <w:rsid w:val="008A3FF7"/>
    <w:pPr>
      <w:spacing w:after="120"/>
      <w:jc w:val="both"/>
    </w:pPr>
    <w:rPr>
      <w:rFonts w:ascii="Liberation Serif" w:eastAsia="Symbol" w:hAnsi="Liberation Serif" w:cs="Times"/>
      <w:sz w:val="18"/>
      <w:szCs w:val="20"/>
    </w:rPr>
    <w:tblPr>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E76C53"/>
      </w:tcPr>
    </w:tblStylePr>
  </w:style>
  <w:style w:type="paragraph" w:customStyle="1" w:styleId="CoffeyParagraphBlue">
    <w:name w:val="Coffey Paragraph Blue"/>
    <w:basedOn w:val="CoffeyParagraph"/>
    <w:next w:val="CoffeyParagraph"/>
    <w:uiPriority w:val="99"/>
    <w:qFormat/>
    <w:rsid w:val="008A3FF7"/>
    <w:pPr>
      <w:spacing w:after="200" w:line="276" w:lineRule="auto"/>
      <w:jc w:val="left"/>
    </w:pPr>
    <w:rPr>
      <w:rFonts w:eastAsia="Arial" w:cs="Arial"/>
      <w:sz w:val="22"/>
      <w:szCs w:val="22"/>
    </w:rPr>
  </w:style>
  <w:style w:type="table" w:styleId="MediumShading1-Accent5">
    <w:name w:val="Medium Shading 1 Accent 5"/>
    <w:basedOn w:val="TableNormal"/>
    <w:uiPriority w:val="63"/>
    <w:rsid w:val="008A3FF7"/>
    <w:pPr>
      <w:spacing w:after="0" w:line="240" w:lineRule="auto"/>
    </w:pPr>
    <w:rPr>
      <w:rFonts w:ascii="Times" w:eastAsia="Symbol" w:hAnsi="Times" w:cs="Times"/>
      <w:sz w:val="20"/>
      <w:szCs w:val="20"/>
      <w:lang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ListTable412">
    <w:name w:val="List Table 412"/>
    <w:basedOn w:val="TableNormal"/>
    <w:uiPriority w:val="49"/>
    <w:rsid w:val="008A3FF7"/>
    <w:pPr>
      <w:spacing w:after="0" w:line="240" w:lineRule="auto"/>
    </w:pPr>
    <w:rPr>
      <w:rFonts w:ascii="Symbol" w:eastAsia="NSimSun" w:hAnsi="Symbol"/>
      <w:sz w:val="24"/>
    </w:rPr>
    <w:tblPr>
      <w:tblStyleRowBandSize w:val="1"/>
      <w:tblStyleColBandSize w:val="1"/>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paragraph" w:customStyle="1" w:styleId="CoffeyParagraphList">
    <w:name w:val="Coffey Paragraph List"/>
    <w:basedOn w:val="CoffeyParagraph"/>
    <w:rsid w:val="008A3FF7"/>
    <w:pPr>
      <w:tabs>
        <w:tab w:val="num" w:pos="284"/>
        <w:tab w:val="left" w:pos="709"/>
      </w:tabs>
      <w:spacing w:before="77" w:after="113" w:line="250" w:lineRule="atLeast"/>
      <w:ind w:left="720"/>
      <w:jc w:val="left"/>
    </w:pPr>
    <w:rPr>
      <w:rFonts w:eastAsia="Times New Roman"/>
    </w:rPr>
  </w:style>
  <w:style w:type="table" w:customStyle="1" w:styleId="CoffeyTable1">
    <w:name w:val="Coffey Table 1"/>
    <w:basedOn w:val="TableGrid"/>
    <w:uiPriority w:val="99"/>
    <w:rsid w:val="008A3FF7"/>
    <w:rPr>
      <w:rFonts w:ascii="Liberation Serif" w:hAnsi="Liberation Serif"/>
      <w:sz w:val="18"/>
    </w:rPr>
    <w:tblPr/>
    <w:tcPr>
      <w:shd w:val="clear" w:color="auto" w:fill="FFFFFF"/>
    </w:tcPr>
    <w:tblStylePr w:type="firstRow">
      <w:pPr>
        <w:jc w:val="left"/>
      </w:pPr>
      <w:rPr>
        <w:rFonts w:ascii="Arial" w:hAnsi="Arial"/>
        <w:color w:val="FFFFFF"/>
        <w:sz w:val="20"/>
      </w:rPr>
      <w:tblPr/>
      <w:tcPr>
        <w:shd w:val="clear" w:color="auto" w:fill="FFC000"/>
      </w:tcPr>
    </w:tblStylePr>
  </w:style>
  <w:style w:type="character" w:customStyle="1" w:styleId="ListLabel15">
    <w:name w:val="ListLabel 15"/>
    <w:rsid w:val="008A3FF7"/>
    <w:rPr>
      <w:rFonts w:cs="OpenSymbol"/>
    </w:rPr>
  </w:style>
  <w:style w:type="table" w:customStyle="1" w:styleId="TableGrid11">
    <w:name w:val="Table Grid11"/>
    <w:basedOn w:val="TableNormal"/>
    <w:next w:val="TableGrid"/>
    <w:rsid w:val="008A3FF7"/>
    <w:pPr>
      <w:spacing w:after="0" w:line="240" w:lineRule="auto"/>
    </w:pPr>
    <w:rPr>
      <w:rFonts w:ascii="Times" w:eastAsia="Times" w:hAnsi="Times" w:cs="Times"/>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ffeyHeader">
    <w:name w:val="Coffey Header"/>
    <w:basedOn w:val="Normal"/>
    <w:uiPriority w:val="99"/>
    <w:qFormat/>
    <w:rsid w:val="008A3FF7"/>
    <w:pPr>
      <w:spacing w:after="0" w:line="240" w:lineRule="auto"/>
      <w:ind w:right="-2"/>
      <w:jc w:val="both"/>
    </w:pPr>
    <w:rPr>
      <w:rFonts w:ascii="Liberation Serif" w:eastAsia="Arial Narrow" w:hAnsi="Liberation Serif"/>
      <w:caps/>
      <w:sz w:val="18"/>
      <w:szCs w:val="24"/>
    </w:rPr>
  </w:style>
  <w:style w:type="paragraph" w:customStyle="1" w:styleId="CoffeyTitle0Blue">
    <w:name w:val="Coffey Title 0 Blue"/>
    <w:basedOn w:val="CoffeyParagraph"/>
    <w:next w:val="CoffeyParagraph"/>
    <w:link w:val="CoffeyTitle0BlueChar"/>
    <w:uiPriority w:val="99"/>
    <w:qFormat/>
    <w:rsid w:val="008A3FF7"/>
    <w:pPr>
      <w:keepNext/>
      <w:spacing w:after="313" w:line="250" w:lineRule="atLeast"/>
    </w:pPr>
    <w:rPr>
      <w:rFonts w:eastAsia="SimSun" w:cs="Arial"/>
      <w:color w:val="049CD5"/>
      <w:sz w:val="48"/>
      <w:lang w:val="en-US"/>
    </w:rPr>
  </w:style>
  <w:style w:type="paragraph" w:customStyle="1" w:styleId="CoffeyTitle1Blue">
    <w:name w:val="Coffey Title 1 Blue"/>
    <w:basedOn w:val="CoffeyParagraph"/>
    <w:next w:val="CoffeyParagraph"/>
    <w:uiPriority w:val="99"/>
    <w:qFormat/>
    <w:rsid w:val="008A3FF7"/>
    <w:pPr>
      <w:keepNext/>
      <w:spacing w:before="277" w:line="250" w:lineRule="atLeast"/>
    </w:pPr>
    <w:rPr>
      <w:rFonts w:eastAsia="SimSun" w:cs="Arial"/>
      <w:color w:val="049CD5"/>
      <w:sz w:val="28"/>
      <w:lang w:val="en-US"/>
    </w:rPr>
  </w:style>
  <w:style w:type="paragraph" w:customStyle="1" w:styleId="CoffeyTitle2Blue">
    <w:name w:val="Coffey Title 2 Blue"/>
    <w:basedOn w:val="CoffeyParagraph"/>
    <w:next w:val="CoffeyParagraph"/>
    <w:rsid w:val="008A3FF7"/>
    <w:pPr>
      <w:keepNext/>
      <w:spacing w:line="250" w:lineRule="atLeast"/>
    </w:pPr>
    <w:rPr>
      <w:rFonts w:eastAsia="SimSun" w:cs="Arial"/>
      <w:b/>
      <w:color w:val="049CD5"/>
      <w:lang w:val="en-US"/>
    </w:rPr>
  </w:style>
  <w:style w:type="table" w:customStyle="1" w:styleId="TableGrid21">
    <w:name w:val="Table Grid21"/>
    <w:basedOn w:val="TableNormal"/>
    <w:next w:val="TableGrid"/>
    <w:rsid w:val="008A3FF7"/>
    <w:pPr>
      <w:spacing w:after="0" w:line="240" w:lineRule="auto"/>
    </w:pPr>
    <w:rPr>
      <w:rFonts w:ascii="Times" w:eastAsia="Symbol" w:hAnsi="Times" w:cs="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ffeyParagraphWhite">
    <w:name w:val="Coffey Paragraph White"/>
    <w:basedOn w:val="CoffeyParagraph"/>
    <w:autoRedefine/>
    <w:uiPriority w:val="99"/>
    <w:qFormat/>
    <w:rsid w:val="008A3FF7"/>
    <w:pPr>
      <w:spacing w:line="250" w:lineRule="atLeast"/>
    </w:pPr>
    <w:rPr>
      <w:rFonts w:eastAsia="SimSun" w:cs="Arial"/>
      <w:b/>
      <w:color w:val="FFFFFF"/>
      <w:sz w:val="18"/>
      <w:szCs w:val="18"/>
      <w:lang w:val="en-US"/>
    </w:rPr>
  </w:style>
  <w:style w:type="paragraph" w:customStyle="1" w:styleId="CoffeyTitleWhite">
    <w:name w:val="Coffey Title White"/>
    <w:basedOn w:val="CoffeyParagraphWhite"/>
    <w:next w:val="CoffeyParagraphWhite"/>
    <w:uiPriority w:val="99"/>
    <w:qFormat/>
    <w:rsid w:val="008A3FF7"/>
    <w:pPr>
      <w:keepNext/>
    </w:pPr>
    <w:rPr>
      <w:b w:val="0"/>
      <w:sz w:val="28"/>
    </w:rPr>
  </w:style>
  <w:style w:type="table" w:customStyle="1" w:styleId="ColorfulGrid-Accent51">
    <w:name w:val="Colorful Grid - Accent 51"/>
    <w:basedOn w:val="TableNormal"/>
    <w:next w:val="ColorfulGrid-Accent5"/>
    <w:uiPriority w:val="73"/>
    <w:rsid w:val="008A3FF7"/>
    <w:pPr>
      <w:spacing w:after="0" w:line="240" w:lineRule="auto"/>
    </w:pPr>
    <w:rPr>
      <w:rFonts w:ascii="Times" w:eastAsia="Symbol" w:hAnsi="Times" w:cs="Times"/>
      <w:color w:val="000000"/>
      <w:sz w:val="20"/>
      <w:szCs w:val="20"/>
    </w:rPr>
    <w:tblPr>
      <w:tblStyleRowBandSize w:val="1"/>
      <w:tblStyleColBandSize w:val="1"/>
      <w:tblBorders>
        <w:insideH w:val="single" w:sz="4" w:space="0" w:color="FFFFFF"/>
      </w:tblBorders>
    </w:tblPr>
    <w:tcPr>
      <w:shd w:val="clear" w:color="auto" w:fill="EAEEF0"/>
    </w:tcPr>
    <w:tblStylePr w:type="firstRow">
      <w:rPr>
        <w:b/>
        <w:bCs/>
      </w:rPr>
      <w:tblPr/>
      <w:tcPr>
        <w:shd w:val="clear" w:color="auto" w:fill="D5DDE1"/>
      </w:tcPr>
    </w:tblStylePr>
    <w:tblStylePr w:type="lastRow">
      <w:rPr>
        <w:b/>
        <w:bCs/>
        <w:color w:val="000000"/>
      </w:rPr>
      <w:tblPr/>
      <w:tcPr>
        <w:shd w:val="clear" w:color="auto" w:fill="D5DDE1"/>
      </w:tcPr>
    </w:tblStylePr>
    <w:tblStylePr w:type="firstCol">
      <w:rPr>
        <w:color w:val="FFFFFF"/>
      </w:rPr>
      <w:tblPr/>
      <w:tcPr>
        <w:shd w:val="clear" w:color="auto" w:fill="678292"/>
      </w:tcPr>
    </w:tblStylePr>
    <w:tblStylePr w:type="lastCol">
      <w:rPr>
        <w:color w:val="FFFFFF"/>
      </w:rPr>
      <w:tblPr/>
      <w:tcPr>
        <w:shd w:val="clear" w:color="auto" w:fill="678292"/>
      </w:tcPr>
    </w:tblStylePr>
    <w:tblStylePr w:type="band1Vert">
      <w:tblPr/>
      <w:tcPr>
        <w:shd w:val="clear" w:color="auto" w:fill="CBD5DA"/>
      </w:tcPr>
    </w:tblStylePr>
    <w:tblStylePr w:type="band1Horz">
      <w:tblPr/>
      <w:tcPr>
        <w:shd w:val="clear" w:color="auto" w:fill="CBD5DA"/>
      </w:tcPr>
    </w:tblStylePr>
  </w:style>
  <w:style w:type="table" w:customStyle="1" w:styleId="MediumGrid1-Accent51">
    <w:name w:val="Medium Grid 1 - Accent 51"/>
    <w:basedOn w:val="TableNormal"/>
    <w:next w:val="MediumGrid1-Accent5"/>
    <w:uiPriority w:val="67"/>
    <w:rsid w:val="008A3FF7"/>
    <w:pPr>
      <w:spacing w:after="0" w:line="240" w:lineRule="auto"/>
    </w:pPr>
    <w:rPr>
      <w:rFonts w:ascii="Times" w:eastAsia="Symbol" w:hAnsi="Times" w:cs="Times"/>
      <w:sz w:val="20"/>
      <w:szCs w:val="20"/>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insideV w:val="single" w:sz="8" w:space="0" w:color="B1C0C8"/>
      </w:tblBorders>
    </w:tblPr>
    <w:tcPr>
      <w:shd w:val="clear" w:color="auto" w:fill="E5EAED"/>
    </w:tcPr>
    <w:tblStylePr w:type="firstRow">
      <w:rPr>
        <w:b/>
        <w:bCs/>
      </w:rPr>
    </w:tblStylePr>
    <w:tblStylePr w:type="lastRow">
      <w:rPr>
        <w:b/>
        <w:bCs/>
      </w:rPr>
      <w:tblPr/>
      <w:tcPr>
        <w:tcBorders>
          <w:top w:val="single" w:sz="18" w:space="0" w:color="B1C0C8"/>
        </w:tcBorders>
      </w:tcPr>
    </w:tblStylePr>
    <w:tblStylePr w:type="firstCol">
      <w:rPr>
        <w:b/>
        <w:bCs/>
      </w:rPr>
    </w:tblStylePr>
    <w:tblStylePr w:type="lastCol">
      <w:rPr>
        <w:b/>
        <w:bCs/>
      </w:rPr>
    </w:tblStylePr>
    <w:tblStylePr w:type="band1Vert">
      <w:tblPr/>
      <w:tcPr>
        <w:shd w:val="clear" w:color="auto" w:fill="CBD5DA"/>
      </w:tcPr>
    </w:tblStylePr>
    <w:tblStylePr w:type="band1Horz">
      <w:tblPr/>
      <w:tcPr>
        <w:shd w:val="clear" w:color="auto" w:fill="CBD5DA"/>
      </w:tcPr>
    </w:tblStylePr>
  </w:style>
  <w:style w:type="paragraph" w:customStyle="1" w:styleId="CoffeyTitle3Black">
    <w:name w:val="Coffey Title 3 Black"/>
    <w:basedOn w:val="CoffeyTitle2Blue"/>
    <w:next w:val="CoffeyParagraph"/>
    <w:uiPriority w:val="99"/>
    <w:qFormat/>
    <w:rsid w:val="008A3FF7"/>
    <w:rPr>
      <w:color w:val="auto"/>
    </w:rPr>
  </w:style>
  <w:style w:type="table" w:customStyle="1" w:styleId="ColorfulList1">
    <w:name w:val="Colorful List1"/>
    <w:basedOn w:val="TableNormal"/>
    <w:next w:val="ColorfulList"/>
    <w:uiPriority w:val="72"/>
    <w:rsid w:val="008A3FF7"/>
    <w:pPr>
      <w:spacing w:after="0" w:line="240" w:lineRule="auto"/>
    </w:pPr>
    <w:rPr>
      <w:rFonts w:ascii="Times" w:eastAsia="Symbol" w:hAnsi="Times" w:cs="Times"/>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Accent11">
    <w:name w:val="Light Grid - Accent 11"/>
    <w:basedOn w:val="TableNormal"/>
    <w:next w:val="LightGrid-Accent1"/>
    <w:uiPriority w:val="62"/>
    <w:rsid w:val="008A3FF7"/>
    <w:pPr>
      <w:spacing w:after="0" w:line="240" w:lineRule="auto"/>
    </w:pPr>
    <w:rPr>
      <w:rFonts w:ascii="Times" w:eastAsia="Symbol" w:hAnsi="Times" w:cs="Times"/>
      <w:sz w:val="20"/>
      <w:szCs w:val="20"/>
    </w:rPr>
    <w:tblPr>
      <w:tblStyleRowBandSize w:val="1"/>
      <w:tblStyleColBandSize w:val="1"/>
      <w:tblBorders>
        <w:top w:val="single" w:sz="8" w:space="0" w:color="4FAA5F"/>
        <w:left w:val="single" w:sz="8" w:space="0" w:color="4FAA5F"/>
        <w:bottom w:val="single" w:sz="8" w:space="0" w:color="4FAA5F"/>
        <w:right w:val="single" w:sz="8" w:space="0" w:color="4FAA5F"/>
        <w:insideH w:val="single" w:sz="8" w:space="0" w:color="4FAA5F"/>
        <w:insideV w:val="single" w:sz="8" w:space="0" w:color="4FAA5F"/>
      </w:tblBorders>
    </w:tblPr>
    <w:tblStylePr w:type="firstRow">
      <w:pPr>
        <w:spacing w:before="0" w:after="0" w:line="240" w:lineRule="auto"/>
      </w:pPr>
      <w:rPr>
        <w:rFonts w:ascii="Segoe Script" w:eastAsia="SimSun" w:hAnsi="Segoe Script" w:cs="Times New Roman"/>
        <w:b/>
        <w:bCs/>
      </w:rPr>
      <w:tblPr/>
      <w:tcPr>
        <w:tcBorders>
          <w:top w:val="single" w:sz="8" w:space="0" w:color="4FAA5F"/>
          <w:left w:val="single" w:sz="8" w:space="0" w:color="4FAA5F"/>
          <w:bottom w:val="single" w:sz="18" w:space="0" w:color="4FAA5F"/>
          <w:right w:val="single" w:sz="8" w:space="0" w:color="4FAA5F"/>
          <w:insideH w:val="nil"/>
          <w:insideV w:val="single" w:sz="8" w:space="0" w:color="4FAA5F"/>
        </w:tcBorders>
      </w:tcPr>
    </w:tblStylePr>
    <w:tblStylePr w:type="lastRow">
      <w:pPr>
        <w:spacing w:before="0" w:after="0" w:line="240" w:lineRule="auto"/>
      </w:pPr>
      <w:rPr>
        <w:rFonts w:ascii="Segoe Script" w:eastAsia="SimSun" w:hAnsi="Segoe Script" w:cs="Times New Roman"/>
        <w:b/>
        <w:bCs/>
      </w:rPr>
      <w:tblPr/>
      <w:tcPr>
        <w:tcBorders>
          <w:top w:val="double" w:sz="6" w:space="0" w:color="4FAA5F"/>
          <w:left w:val="single" w:sz="8" w:space="0" w:color="4FAA5F"/>
          <w:bottom w:val="single" w:sz="8" w:space="0" w:color="4FAA5F"/>
          <w:right w:val="single" w:sz="8" w:space="0" w:color="4FAA5F"/>
          <w:insideH w:val="nil"/>
          <w:insideV w:val="single" w:sz="8" w:space="0" w:color="4FAA5F"/>
        </w:tcBorders>
      </w:tcPr>
    </w:tblStylePr>
    <w:tblStylePr w:type="firstCol">
      <w:rPr>
        <w:rFonts w:ascii="Segoe Script" w:eastAsia="SimSun" w:hAnsi="Segoe Script" w:cs="Times New Roman"/>
        <w:b/>
        <w:bCs/>
      </w:rPr>
    </w:tblStylePr>
    <w:tblStylePr w:type="lastCol">
      <w:rPr>
        <w:rFonts w:ascii="Segoe Script" w:eastAsia="SimSun" w:hAnsi="Segoe Script" w:cs="Times New Roman"/>
        <w:b/>
        <w:bCs/>
      </w:rPr>
      <w:tblPr/>
      <w:tcPr>
        <w:tcBorders>
          <w:top w:val="single" w:sz="8" w:space="0" w:color="4FAA5F"/>
          <w:left w:val="single" w:sz="8" w:space="0" w:color="4FAA5F"/>
          <w:bottom w:val="single" w:sz="8" w:space="0" w:color="4FAA5F"/>
          <w:right w:val="single" w:sz="8" w:space="0" w:color="4FAA5F"/>
        </w:tcBorders>
      </w:tcPr>
    </w:tblStylePr>
    <w:tblStylePr w:type="band1Vert">
      <w:tblPr/>
      <w:tcPr>
        <w:tcBorders>
          <w:top w:val="single" w:sz="8" w:space="0" w:color="4FAA5F"/>
          <w:left w:val="single" w:sz="8" w:space="0" w:color="4FAA5F"/>
          <w:bottom w:val="single" w:sz="8" w:space="0" w:color="4FAA5F"/>
          <w:right w:val="single" w:sz="8" w:space="0" w:color="4FAA5F"/>
        </w:tcBorders>
        <w:shd w:val="clear" w:color="auto" w:fill="D2EAD6"/>
      </w:tcPr>
    </w:tblStylePr>
    <w:tblStylePr w:type="band1Horz">
      <w:tblPr/>
      <w:tcPr>
        <w:tcBorders>
          <w:top w:val="single" w:sz="8" w:space="0" w:color="4FAA5F"/>
          <w:left w:val="single" w:sz="8" w:space="0" w:color="4FAA5F"/>
          <w:bottom w:val="single" w:sz="8" w:space="0" w:color="4FAA5F"/>
          <w:right w:val="single" w:sz="8" w:space="0" w:color="4FAA5F"/>
          <w:insideV w:val="single" w:sz="8" w:space="0" w:color="4FAA5F"/>
        </w:tcBorders>
        <w:shd w:val="clear" w:color="auto" w:fill="D2EAD6"/>
      </w:tcPr>
    </w:tblStylePr>
    <w:tblStylePr w:type="band2Horz">
      <w:tblPr/>
      <w:tcPr>
        <w:tcBorders>
          <w:top w:val="single" w:sz="8" w:space="0" w:color="4FAA5F"/>
          <w:left w:val="single" w:sz="8" w:space="0" w:color="4FAA5F"/>
          <w:bottom w:val="single" w:sz="8" w:space="0" w:color="4FAA5F"/>
          <w:right w:val="single" w:sz="8" w:space="0" w:color="4FAA5F"/>
          <w:insideV w:val="single" w:sz="8" w:space="0" w:color="4FAA5F"/>
        </w:tcBorders>
      </w:tcPr>
    </w:tblStylePr>
  </w:style>
  <w:style w:type="table" w:customStyle="1" w:styleId="MediumShading1-Accent11">
    <w:name w:val="Medium Shading 1 - Accent 11"/>
    <w:basedOn w:val="TableNormal"/>
    <w:next w:val="MediumShading1-Accent1"/>
    <w:uiPriority w:val="63"/>
    <w:rsid w:val="008A3FF7"/>
    <w:pPr>
      <w:spacing w:after="0" w:line="240" w:lineRule="auto"/>
    </w:pPr>
    <w:rPr>
      <w:rFonts w:ascii="Times" w:eastAsia="Symbol" w:hAnsi="Times" w:cs="Times"/>
      <w:sz w:val="20"/>
      <w:szCs w:val="20"/>
    </w:rPr>
    <w:tblPr>
      <w:tblStyleRowBandSize w:val="1"/>
      <w:tblStyleColBandSize w:val="1"/>
      <w:tblBorders>
        <w:top w:val="single" w:sz="8" w:space="0" w:color="79C185"/>
        <w:left w:val="single" w:sz="8" w:space="0" w:color="79C185"/>
        <w:bottom w:val="single" w:sz="8" w:space="0" w:color="79C185"/>
        <w:right w:val="single" w:sz="8" w:space="0" w:color="79C185"/>
        <w:insideH w:val="single" w:sz="8" w:space="0" w:color="79C185"/>
      </w:tblBorders>
    </w:tblPr>
    <w:tblStylePr w:type="firstRow">
      <w:pPr>
        <w:spacing w:before="0" w:after="0" w:line="240" w:lineRule="auto"/>
      </w:pPr>
      <w:rPr>
        <w:b/>
        <w:bCs/>
        <w:color w:val="FFFFFF"/>
      </w:rPr>
      <w:tblPr/>
      <w:tcPr>
        <w:tcBorders>
          <w:top w:val="single" w:sz="8" w:space="0" w:color="79C185"/>
          <w:left w:val="single" w:sz="8" w:space="0" w:color="79C185"/>
          <w:bottom w:val="single" w:sz="8" w:space="0" w:color="79C185"/>
          <w:right w:val="single" w:sz="8" w:space="0" w:color="79C185"/>
          <w:insideH w:val="nil"/>
          <w:insideV w:val="nil"/>
        </w:tcBorders>
        <w:shd w:val="clear" w:color="auto" w:fill="4FAA5F"/>
      </w:tcPr>
    </w:tblStylePr>
    <w:tblStylePr w:type="lastRow">
      <w:pPr>
        <w:spacing w:before="0" w:after="0" w:line="240" w:lineRule="auto"/>
      </w:pPr>
      <w:rPr>
        <w:b/>
        <w:bCs/>
      </w:rPr>
      <w:tblPr/>
      <w:tcPr>
        <w:tcBorders>
          <w:top w:val="double" w:sz="6" w:space="0" w:color="79C185"/>
          <w:left w:val="single" w:sz="8" w:space="0" w:color="79C185"/>
          <w:bottom w:val="single" w:sz="8" w:space="0" w:color="79C185"/>
          <w:right w:val="single" w:sz="8" w:space="0" w:color="79C185"/>
          <w:insideH w:val="nil"/>
          <w:insideV w:val="nil"/>
        </w:tcBorders>
      </w:tcPr>
    </w:tblStylePr>
    <w:tblStylePr w:type="firstCol">
      <w:rPr>
        <w:b/>
        <w:bCs/>
      </w:rPr>
    </w:tblStylePr>
    <w:tblStylePr w:type="lastCol">
      <w:rPr>
        <w:b/>
        <w:bCs/>
      </w:rPr>
    </w:tblStylePr>
    <w:tblStylePr w:type="band1Vert">
      <w:tblPr/>
      <w:tcPr>
        <w:shd w:val="clear" w:color="auto" w:fill="D2EAD6"/>
      </w:tcPr>
    </w:tblStylePr>
    <w:tblStylePr w:type="band1Horz">
      <w:tblPr/>
      <w:tcPr>
        <w:tcBorders>
          <w:insideH w:val="nil"/>
          <w:insideV w:val="nil"/>
        </w:tcBorders>
        <w:shd w:val="clear" w:color="auto" w:fill="D2EAD6"/>
      </w:tcPr>
    </w:tblStylePr>
    <w:tblStylePr w:type="band2Horz">
      <w:tblPr/>
      <w:tcPr>
        <w:tcBorders>
          <w:insideH w:val="nil"/>
          <w:insideV w:val="nil"/>
        </w:tcBorders>
      </w:tcPr>
    </w:tblStylePr>
  </w:style>
  <w:style w:type="table" w:customStyle="1" w:styleId="ColorfulList-Accent11">
    <w:name w:val="Colorful List - Accent 11"/>
    <w:basedOn w:val="TableNormal"/>
    <w:next w:val="ColorfulList-Accent1"/>
    <w:uiPriority w:val="72"/>
    <w:rsid w:val="008A3FF7"/>
    <w:pPr>
      <w:spacing w:after="0" w:line="240" w:lineRule="auto"/>
    </w:pPr>
    <w:rPr>
      <w:rFonts w:ascii="Times" w:eastAsia="Symbol" w:hAnsi="Times" w:cs="Times"/>
      <w:color w:val="000000"/>
      <w:sz w:val="20"/>
      <w:szCs w:val="20"/>
    </w:rPr>
    <w:tblPr>
      <w:tblStyleRowBandSize w:val="1"/>
      <w:tblStyleColBandSize w:val="1"/>
    </w:tblPr>
    <w:tcPr>
      <w:shd w:val="clear" w:color="auto" w:fill="EDF7EF"/>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D6"/>
      </w:tcPr>
    </w:tblStylePr>
    <w:tblStylePr w:type="band1Horz">
      <w:tblPr/>
      <w:tcPr>
        <w:shd w:val="clear" w:color="auto" w:fill="DBEEDE"/>
      </w:tcPr>
    </w:tblStylePr>
  </w:style>
  <w:style w:type="paragraph" w:customStyle="1" w:styleId="CoffeyTitleBlack">
    <w:name w:val="Coffey Title Black"/>
    <w:basedOn w:val="CoffeyTitle0Blue"/>
    <w:link w:val="CoffeyTitleBlackChar"/>
    <w:rsid w:val="008A3FF7"/>
    <w:rPr>
      <w:color w:val="000000"/>
      <w:sz w:val="56"/>
      <w:szCs w:val="56"/>
    </w:rPr>
  </w:style>
  <w:style w:type="character" w:customStyle="1" w:styleId="CoffeyTitleBlackChar">
    <w:name w:val="Coffey Title Black Char"/>
    <w:basedOn w:val="DefaultParagraphFont"/>
    <w:link w:val="CoffeyTitleBlack"/>
    <w:rsid w:val="008A3FF7"/>
    <w:rPr>
      <w:rFonts w:ascii="Arial" w:eastAsia="SimSun" w:hAnsi="Arial" w:cs="Arial"/>
      <w:color w:val="000000"/>
      <w:sz w:val="56"/>
      <w:szCs w:val="56"/>
      <w:lang w:val="en-US"/>
    </w:rPr>
  </w:style>
  <w:style w:type="table" w:customStyle="1" w:styleId="CoffeyTable11">
    <w:name w:val="Coffey Table 11"/>
    <w:basedOn w:val="TableGrid"/>
    <w:uiPriority w:val="99"/>
    <w:rsid w:val="008A3FF7"/>
    <w:rPr>
      <w:rFonts w:ascii="Liberation Serif" w:eastAsia="Symbol" w:hAnsi="Liberation Serif"/>
      <w:sz w:val="18"/>
      <w:lang w:eastAsia="en-US"/>
    </w:rPr>
    <w:tblPr/>
    <w:tcPr>
      <w:shd w:val="clear" w:color="auto" w:fill="FFFFFF"/>
    </w:tcPr>
    <w:tblStylePr w:type="firstRow">
      <w:pPr>
        <w:jc w:val="left"/>
      </w:pPr>
      <w:rPr>
        <w:rFonts w:ascii="Arial" w:hAnsi="Arial"/>
        <w:color w:val="FFFFFF"/>
        <w:sz w:val="20"/>
      </w:rPr>
      <w:tblPr/>
      <w:tcPr>
        <w:shd w:val="clear" w:color="auto" w:fill="049CD5"/>
      </w:tcPr>
    </w:tblStylePr>
  </w:style>
  <w:style w:type="table" w:customStyle="1" w:styleId="MediumShading1-Accent51">
    <w:name w:val="Medium Shading 1 - Accent 51"/>
    <w:basedOn w:val="TableNormal"/>
    <w:next w:val="MediumShading1-Accent5"/>
    <w:uiPriority w:val="63"/>
    <w:rsid w:val="008A3FF7"/>
    <w:pPr>
      <w:spacing w:after="0" w:line="240" w:lineRule="auto"/>
    </w:pPr>
    <w:rPr>
      <w:rFonts w:ascii="Times" w:eastAsia="Symbol" w:hAnsi="Times" w:cs="Times"/>
      <w:sz w:val="20"/>
      <w:szCs w:val="20"/>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paragraph" w:customStyle="1" w:styleId="CoffeySubtitle">
    <w:name w:val="Coffey Subtitle"/>
    <w:basedOn w:val="CoffeyParagraph"/>
    <w:link w:val="CoffeySubtitleChar"/>
    <w:rsid w:val="008A3FF7"/>
    <w:pPr>
      <w:spacing w:line="250" w:lineRule="atLeast"/>
    </w:pPr>
    <w:rPr>
      <w:rFonts w:eastAsia="SimSun" w:cs="Arial"/>
    </w:rPr>
  </w:style>
  <w:style w:type="character" w:customStyle="1" w:styleId="CoffeySubtitleChar">
    <w:name w:val="Coffey Subtitle Char"/>
    <w:basedOn w:val="CoffeyParagraphChar"/>
    <w:link w:val="CoffeySubtitle"/>
    <w:rsid w:val="008A3FF7"/>
    <w:rPr>
      <w:rFonts w:ascii="Arial" w:eastAsia="SimSun" w:hAnsi="Arial" w:cs="Arial"/>
      <w:sz w:val="20"/>
      <w:szCs w:val="24"/>
    </w:rPr>
  </w:style>
  <w:style w:type="table" w:customStyle="1" w:styleId="TableCustom1">
    <w:name w:val="Table Custom1"/>
    <w:basedOn w:val="TableNormal"/>
    <w:uiPriority w:val="99"/>
    <w:rsid w:val="008A3FF7"/>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B7DDBE"/>
        <w:insideV w:val="single" w:sz="4" w:space="0" w:color="B7DDBE"/>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ColorfulGrid-Accent52">
    <w:name w:val="Colorful Grid - Accent 52"/>
    <w:basedOn w:val="TableNormal"/>
    <w:next w:val="ColorfulGrid-Accent5"/>
    <w:uiPriority w:val="73"/>
    <w:unhideWhenUsed/>
    <w:rsid w:val="008A3FF7"/>
    <w:pPr>
      <w:spacing w:after="0" w:line="240" w:lineRule="auto"/>
    </w:pPr>
    <w:rPr>
      <w:rFonts w:eastAsia="MS PGothic"/>
      <w:color w:val="000000"/>
      <w:sz w:val="24"/>
      <w:szCs w:val="24"/>
      <w:lang w:val="en-US"/>
    </w:rPr>
    <w:tblPr>
      <w:tblStyleRowBandSize w:val="1"/>
      <w:tblStyleColBandSize w:val="1"/>
      <w:tblBorders>
        <w:insideH w:val="single" w:sz="4" w:space="0" w:color="FFFFFF"/>
      </w:tblBorders>
    </w:tblPr>
    <w:tcPr>
      <w:shd w:val="clear" w:color="auto" w:fill="DAF3F8"/>
    </w:tcPr>
    <w:tblStylePr w:type="firstRow">
      <w:rPr>
        <w:b/>
        <w:bCs/>
      </w:rPr>
      <w:tblPr/>
      <w:tcPr>
        <w:shd w:val="clear" w:color="auto" w:fill="B6E7F1"/>
      </w:tcPr>
    </w:tblStylePr>
    <w:tblStylePr w:type="lastRow">
      <w:rPr>
        <w:b/>
        <w:bCs/>
        <w:color w:val="000000"/>
      </w:rPr>
      <w:tblPr/>
      <w:tcPr>
        <w:shd w:val="clear" w:color="auto" w:fill="B6E7F1"/>
      </w:tcPr>
    </w:tblStylePr>
    <w:tblStylePr w:type="firstCol">
      <w:rPr>
        <w:color w:val="FFFFFF"/>
      </w:rPr>
      <w:tblPr/>
      <w:tcPr>
        <w:shd w:val="clear" w:color="auto" w:fill="22A1BB"/>
      </w:tcPr>
    </w:tblStylePr>
    <w:tblStylePr w:type="lastCol">
      <w:rPr>
        <w:color w:val="FFFFFF"/>
      </w:rPr>
      <w:tblPr/>
      <w:tcPr>
        <w:shd w:val="clear" w:color="auto" w:fill="22A1BB"/>
      </w:tcPr>
    </w:tblStylePr>
    <w:tblStylePr w:type="band1Vert">
      <w:tblPr/>
      <w:tcPr>
        <w:shd w:val="clear" w:color="auto" w:fill="A5E1EE"/>
      </w:tcPr>
    </w:tblStylePr>
    <w:tblStylePr w:type="band1Horz">
      <w:tblPr/>
      <w:tcPr>
        <w:shd w:val="clear" w:color="auto" w:fill="A5E1EE"/>
      </w:tcPr>
    </w:tblStylePr>
  </w:style>
  <w:style w:type="table" w:customStyle="1" w:styleId="MediumGrid1-Accent52">
    <w:name w:val="Medium Grid 1 - Accent 52"/>
    <w:basedOn w:val="TableNormal"/>
    <w:next w:val="MediumGrid1-Accent5"/>
    <w:uiPriority w:val="67"/>
    <w:unhideWhenUsed/>
    <w:rsid w:val="008A3FF7"/>
    <w:pPr>
      <w:spacing w:after="0" w:line="240" w:lineRule="auto"/>
    </w:pPr>
    <w:rPr>
      <w:rFonts w:eastAsia="MS PGothic"/>
      <w:sz w:val="24"/>
      <w:szCs w:val="24"/>
      <w:lang w:val="en-US"/>
    </w:rPr>
    <w:tblPr>
      <w:tblStyleRowBandSize w:val="1"/>
      <w:tblStyleColBandSize w:val="1"/>
      <w:tblBorders>
        <w:top w:val="single" w:sz="8" w:space="0" w:color="78D3E6"/>
        <w:left w:val="single" w:sz="8" w:space="0" w:color="78D3E6"/>
        <w:bottom w:val="single" w:sz="8" w:space="0" w:color="78D3E6"/>
        <w:right w:val="single" w:sz="8" w:space="0" w:color="78D3E6"/>
        <w:insideH w:val="single" w:sz="8" w:space="0" w:color="78D3E6"/>
        <w:insideV w:val="single" w:sz="8" w:space="0" w:color="78D3E6"/>
      </w:tblBorders>
    </w:tblPr>
    <w:tcPr>
      <w:shd w:val="clear" w:color="auto" w:fill="D2F0F6"/>
    </w:tcPr>
    <w:tblStylePr w:type="firstRow">
      <w:rPr>
        <w:b/>
        <w:bCs/>
      </w:rPr>
    </w:tblStylePr>
    <w:tblStylePr w:type="lastRow">
      <w:rPr>
        <w:b/>
        <w:bCs/>
      </w:rPr>
      <w:tblPr/>
      <w:tcPr>
        <w:tcBorders>
          <w:top w:val="single" w:sz="18" w:space="0" w:color="78D3E6"/>
        </w:tcBorders>
      </w:tcPr>
    </w:tblStylePr>
    <w:tblStylePr w:type="firstCol">
      <w:rPr>
        <w:b/>
        <w:bCs/>
      </w:rPr>
    </w:tblStylePr>
    <w:tblStylePr w:type="lastCol">
      <w:rPr>
        <w:b/>
        <w:bCs/>
      </w:rPr>
    </w:tblStylePr>
    <w:tblStylePr w:type="band1Vert">
      <w:tblPr/>
      <w:tcPr>
        <w:shd w:val="clear" w:color="auto" w:fill="A5E1EE"/>
      </w:tcPr>
    </w:tblStylePr>
    <w:tblStylePr w:type="band1Horz">
      <w:tblPr/>
      <w:tcPr>
        <w:shd w:val="clear" w:color="auto" w:fill="A5E1EE"/>
      </w:tcPr>
    </w:tblStylePr>
  </w:style>
  <w:style w:type="table" w:customStyle="1" w:styleId="ColorfulList2">
    <w:name w:val="Colorful List2"/>
    <w:basedOn w:val="TableNormal"/>
    <w:next w:val="ColorfulList"/>
    <w:uiPriority w:val="72"/>
    <w:unhideWhenUsed/>
    <w:rsid w:val="008A3FF7"/>
    <w:pPr>
      <w:spacing w:after="0" w:line="240" w:lineRule="auto"/>
    </w:pPr>
    <w:rPr>
      <w:rFonts w:eastAsia="MS PGothic"/>
      <w:color w:val="000000"/>
      <w:sz w:val="24"/>
      <w:szCs w:val="24"/>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Accent12">
    <w:name w:val="Light Grid - Accent 12"/>
    <w:basedOn w:val="TableNormal"/>
    <w:next w:val="LightGrid-Accent1"/>
    <w:uiPriority w:val="62"/>
    <w:unhideWhenUsed/>
    <w:rsid w:val="008A3FF7"/>
    <w:pPr>
      <w:spacing w:after="0" w:line="240" w:lineRule="auto"/>
    </w:pPr>
    <w:rPr>
      <w:rFonts w:eastAsia="MS PGothic"/>
      <w:sz w:val="24"/>
      <w:szCs w:val="24"/>
      <w:lang w:val="en-US"/>
    </w:rPr>
    <w:tblPr>
      <w:tblStyleRowBandSize w:val="1"/>
      <w:tblStyleColBandSize w:val="1"/>
      <w:tblBorders>
        <w:top w:val="single" w:sz="8" w:space="0" w:color="E76C53"/>
        <w:left w:val="single" w:sz="8" w:space="0" w:color="E76C53"/>
        <w:bottom w:val="single" w:sz="8" w:space="0" w:color="E76C53"/>
        <w:right w:val="single" w:sz="8" w:space="0" w:color="E76C53"/>
        <w:insideH w:val="single" w:sz="8" w:space="0" w:color="E76C53"/>
        <w:insideV w:val="single" w:sz="8" w:space="0" w:color="E76C53"/>
      </w:tblBorders>
    </w:tblPr>
    <w:tblStylePr w:type="firstRow">
      <w:pPr>
        <w:spacing w:before="0" w:after="0" w:line="240" w:lineRule="auto"/>
      </w:pPr>
      <w:rPr>
        <w:rFonts w:ascii="Arial" w:eastAsia="@MingLiU_HKSCS-ExtB" w:hAnsi="Arial" w:cs="Arial"/>
        <w:b/>
        <w:bCs/>
      </w:rPr>
      <w:tblPr/>
      <w:tcPr>
        <w:tcBorders>
          <w:top w:val="single" w:sz="8" w:space="0" w:color="E76C53"/>
          <w:left w:val="single" w:sz="8" w:space="0" w:color="E76C53"/>
          <w:bottom w:val="single" w:sz="18" w:space="0" w:color="E76C53"/>
          <w:right w:val="single" w:sz="8" w:space="0" w:color="E76C53"/>
          <w:insideH w:val="nil"/>
          <w:insideV w:val="single" w:sz="8" w:space="0" w:color="E76C53"/>
        </w:tcBorders>
      </w:tcPr>
    </w:tblStylePr>
    <w:tblStylePr w:type="lastRow">
      <w:pPr>
        <w:spacing w:before="0" w:after="0" w:line="240" w:lineRule="auto"/>
      </w:pPr>
      <w:rPr>
        <w:rFonts w:ascii="Arial" w:eastAsia="@MingLiU_HKSCS-ExtB" w:hAnsi="Arial" w:cs="Arial"/>
        <w:b/>
        <w:bCs/>
      </w:rPr>
      <w:tblPr/>
      <w:tcPr>
        <w:tcBorders>
          <w:top w:val="double" w:sz="6" w:space="0" w:color="E76C53"/>
          <w:left w:val="single" w:sz="8" w:space="0" w:color="E76C53"/>
          <w:bottom w:val="single" w:sz="8" w:space="0" w:color="E76C53"/>
          <w:right w:val="single" w:sz="8" w:space="0" w:color="E76C53"/>
          <w:insideH w:val="nil"/>
          <w:insideV w:val="single" w:sz="8" w:space="0" w:color="E76C53"/>
        </w:tcBorders>
      </w:tcPr>
    </w:tblStylePr>
    <w:tblStylePr w:type="firstCol">
      <w:rPr>
        <w:rFonts w:ascii="Arial" w:eastAsia="@MingLiU_HKSCS-ExtB" w:hAnsi="Arial" w:cs="Arial"/>
        <w:b/>
        <w:bCs/>
      </w:rPr>
    </w:tblStylePr>
    <w:tblStylePr w:type="lastCol">
      <w:rPr>
        <w:rFonts w:ascii="Arial" w:eastAsia="@MingLiU_HKSCS-ExtB" w:hAnsi="Arial" w:cs="Arial"/>
        <w:b/>
        <w:bCs/>
      </w:rPr>
      <w:tblPr/>
      <w:tcPr>
        <w:tcBorders>
          <w:top w:val="single" w:sz="8" w:space="0" w:color="E76C53"/>
          <w:left w:val="single" w:sz="8" w:space="0" w:color="E76C53"/>
          <w:bottom w:val="single" w:sz="8" w:space="0" w:color="E76C53"/>
          <w:right w:val="single" w:sz="8" w:space="0" w:color="E76C53"/>
        </w:tcBorders>
      </w:tcPr>
    </w:tblStylePr>
    <w:tblStylePr w:type="band1Vert">
      <w:tblPr/>
      <w:tcPr>
        <w:tcBorders>
          <w:top w:val="single" w:sz="8" w:space="0" w:color="E76C53"/>
          <w:left w:val="single" w:sz="8" w:space="0" w:color="E76C53"/>
          <w:bottom w:val="single" w:sz="8" w:space="0" w:color="E76C53"/>
          <w:right w:val="single" w:sz="8" w:space="0" w:color="E76C53"/>
        </w:tcBorders>
        <w:shd w:val="clear" w:color="auto" w:fill="F9DAD4"/>
      </w:tcPr>
    </w:tblStylePr>
    <w:tblStylePr w:type="band1Horz">
      <w:tblPr/>
      <w:tcPr>
        <w:tcBorders>
          <w:top w:val="single" w:sz="8" w:space="0" w:color="E76C53"/>
          <w:left w:val="single" w:sz="8" w:space="0" w:color="E76C53"/>
          <w:bottom w:val="single" w:sz="8" w:space="0" w:color="E76C53"/>
          <w:right w:val="single" w:sz="8" w:space="0" w:color="E76C53"/>
          <w:insideV w:val="single" w:sz="8" w:space="0" w:color="E76C53"/>
        </w:tcBorders>
        <w:shd w:val="clear" w:color="auto" w:fill="F9DAD4"/>
      </w:tcPr>
    </w:tblStylePr>
    <w:tblStylePr w:type="band2Horz">
      <w:tblPr/>
      <w:tcPr>
        <w:tcBorders>
          <w:top w:val="single" w:sz="8" w:space="0" w:color="E76C53"/>
          <w:left w:val="single" w:sz="8" w:space="0" w:color="E76C53"/>
          <w:bottom w:val="single" w:sz="8" w:space="0" w:color="E76C53"/>
          <w:right w:val="single" w:sz="8" w:space="0" w:color="E76C53"/>
          <w:insideV w:val="single" w:sz="8" w:space="0" w:color="E76C53"/>
        </w:tcBorders>
      </w:tcPr>
    </w:tblStylePr>
  </w:style>
  <w:style w:type="table" w:customStyle="1" w:styleId="MediumShading1-Accent12">
    <w:name w:val="Medium Shading 1 - Accent 12"/>
    <w:basedOn w:val="TableNormal"/>
    <w:next w:val="MediumShading1-Accent1"/>
    <w:uiPriority w:val="63"/>
    <w:unhideWhenUsed/>
    <w:rsid w:val="008A3FF7"/>
    <w:pPr>
      <w:spacing w:after="0" w:line="240" w:lineRule="auto"/>
    </w:pPr>
    <w:rPr>
      <w:rFonts w:eastAsia="MS PGothic"/>
      <w:sz w:val="24"/>
      <w:szCs w:val="24"/>
      <w:lang w:val="en-US"/>
    </w:rPr>
    <w:tblPr>
      <w:tblStyleRowBandSize w:val="1"/>
      <w:tblStyleColBandSize w:val="1"/>
      <w:tblBorders>
        <w:top w:val="single" w:sz="8" w:space="0" w:color="ED907E"/>
        <w:left w:val="single" w:sz="8" w:space="0" w:color="ED907E"/>
        <w:bottom w:val="single" w:sz="8" w:space="0" w:color="ED907E"/>
        <w:right w:val="single" w:sz="8" w:space="0" w:color="ED907E"/>
        <w:insideH w:val="single" w:sz="8" w:space="0" w:color="ED907E"/>
      </w:tblBorders>
    </w:tblPr>
    <w:tblStylePr w:type="firstRow">
      <w:pPr>
        <w:spacing w:before="0" w:after="0" w:line="240" w:lineRule="auto"/>
      </w:pPr>
      <w:rPr>
        <w:b/>
        <w:bCs/>
        <w:color w:val="FFFFFF"/>
      </w:rPr>
      <w:tblPr/>
      <w:tcPr>
        <w:tcBorders>
          <w:top w:val="single" w:sz="8" w:space="0" w:color="ED907E"/>
          <w:left w:val="single" w:sz="8" w:space="0" w:color="ED907E"/>
          <w:bottom w:val="single" w:sz="8" w:space="0" w:color="ED907E"/>
          <w:right w:val="single" w:sz="8" w:space="0" w:color="ED907E"/>
          <w:insideH w:val="nil"/>
          <w:insideV w:val="nil"/>
        </w:tcBorders>
        <w:shd w:val="clear" w:color="auto" w:fill="E76C53"/>
      </w:tcPr>
    </w:tblStylePr>
    <w:tblStylePr w:type="lastRow">
      <w:pPr>
        <w:spacing w:before="0" w:after="0" w:line="240" w:lineRule="auto"/>
      </w:pPr>
      <w:rPr>
        <w:b/>
        <w:bCs/>
      </w:rPr>
      <w:tblPr/>
      <w:tcPr>
        <w:tcBorders>
          <w:top w:val="double" w:sz="6" w:space="0" w:color="ED907E"/>
          <w:left w:val="single" w:sz="8" w:space="0" w:color="ED907E"/>
          <w:bottom w:val="single" w:sz="8" w:space="0" w:color="ED907E"/>
          <w:right w:val="single" w:sz="8" w:space="0" w:color="ED907E"/>
          <w:insideH w:val="nil"/>
          <w:insideV w:val="nil"/>
        </w:tcBorders>
      </w:tcPr>
    </w:tblStylePr>
    <w:tblStylePr w:type="firstCol">
      <w:rPr>
        <w:b/>
        <w:bCs/>
      </w:rPr>
    </w:tblStylePr>
    <w:tblStylePr w:type="lastCol">
      <w:rPr>
        <w:b/>
        <w:bCs/>
      </w:rPr>
    </w:tblStylePr>
    <w:tblStylePr w:type="band1Vert">
      <w:tblPr/>
      <w:tcPr>
        <w:shd w:val="clear" w:color="auto" w:fill="F9DAD4"/>
      </w:tcPr>
    </w:tblStylePr>
    <w:tblStylePr w:type="band1Horz">
      <w:tblPr/>
      <w:tcPr>
        <w:tcBorders>
          <w:insideH w:val="nil"/>
          <w:insideV w:val="nil"/>
        </w:tcBorders>
        <w:shd w:val="clear" w:color="auto" w:fill="F9DAD4"/>
      </w:tcPr>
    </w:tblStylePr>
    <w:tblStylePr w:type="band2Horz">
      <w:tblPr/>
      <w:tcPr>
        <w:tcBorders>
          <w:insideH w:val="nil"/>
          <w:insideV w:val="nil"/>
        </w:tcBorders>
      </w:tcPr>
    </w:tblStylePr>
  </w:style>
  <w:style w:type="table" w:customStyle="1" w:styleId="ColorfulList-Accent12">
    <w:name w:val="Colorful List - Accent 12"/>
    <w:basedOn w:val="TableNormal"/>
    <w:next w:val="ColorfulList-Accent1"/>
    <w:uiPriority w:val="72"/>
    <w:unhideWhenUsed/>
    <w:rsid w:val="008A3FF7"/>
    <w:pPr>
      <w:spacing w:after="0" w:line="240" w:lineRule="auto"/>
    </w:pPr>
    <w:rPr>
      <w:rFonts w:eastAsia="MS PGothic"/>
      <w:color w:val="000000"/>
      <w:sz w:val="24"/>
      <w:szCs w:val="24"/>
      <w:lang w:val="en-US"/>
    </w:rPr>
    <w:tblPr>
      <w:tblStyleRowBandSize w:val="1"/>
      <w:tblStyleColBandSize w:val="1"/>
    </w:tblPr>
    <w:tcPr>
      <w:shd w:val="clear" w:color="auto" w:fill="FCF0EE"/>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AD4"/>
      </w:tcPr>
    </w:tblStylePr>
    <w:tblStylePr w:type="band1Horz">
      <w:tblPr/>
      <w:tcPr>
        <w:shd w:val="clear" w:color="auto" w:fill="FAE1DC"/>
      </w:tcPr>
    </w:tblStylePr>
  </w:style>
  <w:style w:type="paragraph" w:customStyle="1" w:styleId="OiaeaeiYiio2">
    <w:name w:val="O?ia eaeiYiio 2"/>
    <w:basedOn w:val="Normal"/>
    <w:uiPriority w:val="99"/>
    <w:rsid w:val="008A3FF7"/>
    <w:pPr>
      <w:widowControl w:val="0"/>
      <w:spacing w:after="0" w:line="240" w:lineRule="auto"/>
      <w:jc w:val="right"/>
    </w:pPr>
    <w:rPr>
      <w:rFonts w:ascii="Times" w:eastAsia="Times" w:hAnsi="Times" w:cs="Times"/>
      <w:i/>
      <w:sz w:val="16"/>
      <w:szCs w:val="20"/>
      <w:lang w:eastAsia="it-IT"/>
    </w:rPr>
  </w:style>
  <w:style w:type="paragraph" w:customStyle="1" w:styleId="CVNormal">
    <w:name w:val="CV Normal"/>
    <w:basedOn w:val="Normal"/>
    <w:link w:val="CVNormalCarattere"/>
    <w:rsid w:val="008A3FF7"/>
    <w:pPr>
      <w:suppressAutoHyphens/>
      <w:spacing w:after="0" w:line="240" w:lineRule="auto"/>
      <w:ind w:left="113" w:right="113"/>
    </w:pPr>
    <w:rPr>
      <w:rFonts w:ascii="Garamond" w:eastAsia="Arial (TT)" w:hAnsi="Garamond" w:cs="Times"/>
      <w:sz w:val="20"/>
      <w:szCs w:val="20"/>
      <w:lang w:eastAsia="ar-SA"/>
    </w:rPr>
  </w:style>
  <w:style w:type="character" w:customStyle="1" w:styleId="CVNormalCarattere">
    <w:name w:val="CV Normal Carattere"/>
    <w:link w:val="CVNormal"/>
    <w:rsid w:val="008A3FF7"/>
    <w:rPr>
      <w:rFonts w:ascii="Garamond" w:eastAsia="Arial (TT)" w:hAnsi="Garamond" w:cs="Times"/>
      <w:sz w:val="20"/>
      <w:szCs w:val="20"/>
      <w:lang w:eastAsia="ar-SA"/>
    </w:rPr>
  </w:style>
  <w:style w:type="paragraph" w:customStyle="1" w:styleId="CVNormal-FirstLine">
    <w:name w:val="CV Normal - First Line"/>
    <w:basedOn w:val="Normal"/>
    <w:next w:val="Normal"/>
    <w:uiPriority w:val="99"/>
    <w:rsid w:val="008A3FF7"/>
    <w:pPr>
      <w:suppressAutoHyphens/>
      <w:spacing w:before="74" w:after="0" w:line="240" w:lineRule="auto"/>
      <w:ind w:left="113" w:right="113"/>
    </w:pPr>
    <w:rPr>
      <w:rFonts w:ascii="Garamond" w:eastAsia="Times" w:hAnsi="Garamond" w:cs="Times"/>
      <w:sz w:val="20"/>
      <w:szCs w:val="20"/>
      <w:lang w:eastAsia="ar-SA"/>
    </w:rPr>
  </w:style>
  <w:style w:type="character" w:customStyle="1" w:styleId="CVNormalChar">
    <w:name w:val="CV Normal Char"/>
    <w:locked/>
    <w:rsid w:val="008A3FF7"/>
    <w:rPr>
      <w:rFonts w:ascii="Garamond" w:hAnsi="Garamond"/>
      <w:lang w:eastAsia="ar-SA"/>
    </w:rPr>
  </w:style>
  <w:style w:type="paragraph" w:customStyle="1" w:styleId="europass5fbulleted5flist">
    <w:name w:val="europass_5f_bulleted_5f_list"/>
    <w:basedOn w:val="Normal"/>
    <w:uiPriority w:val="99"/>
    <w:rsid w:val="008A3FF7"/>
    <w:pPr>
      <w:widowControl w:val="0"/>
      <w:suppressLineNumbers/>
      <w:suppressAutoHyphens/>
      <w:spacing w:before="28" w:after="56" w:line="100" w:lineRule="atLeast"/>
    </w:pPr>
    <w:rPr>
      <w:rFonts w:ascii="Liberation Serif" w:eastAsia="Cambria" w:hAnsi="Liberation Serif" w:cs="TT18At00"/>
      <w:color w:val="3F3A38"/>
      <w:spacing w:val="-6"/>
      <w:kern w:val="1"/>
      <w:sz w:val="18"/>
      <w:szCs w:val="24"/>
      <w:lang w:eastAsia="zh-CN" w:bidi="hi-IN"/>
    </w:rPr>
  </w:style>
  <w:style w:type="paragraph" w:customStyle="1" w:styleId="ECVSectionBullet">
    <w:name w:val="_ECV_SectionBullet"/>
    <w:basedOn w:val="Normal"/>
    <w:uiPriority w:val="99"/>
    <w:rsid w:val="008A3FF7"/>
    <w:pPr>
      <w:widowControl w:val="0"/>
      <w:suppressLineNumbers/>
      <w:suppressAutoHyphens/>
      <w:autoSpaceDE w:val="0"/>
      <w:spacing w:after="0" w:line="100" w:lineRule="atLeast"/>
    </w:pPr>
    <w:rPr>
      <w:rFonts w:ascii="Liberation Serif" w:eastAsia="Cambria" w:hAnsi="Liberation Serif" w:cs="TT18At00"/>
      <w:color w:val="3F3A38"/>
      <w:spacing w:val="-6"/>
      <w:kern w:val="1"/>
      <w:sz w:val="18"/>
      <w:szCs w:val="24"/>
      <w:lang w:eastAsia="zh-CN" w:bidi="hi-IN"/>
    </w:rPr>
  </w:style>
  <w:style w:type="character" w:customStyle="1" w:styleId="CoffeyTitle0BlueChar">
    <w:name w:val="Coffey Title 0 Blue Char"/>
    <w:link w:val="CoffeyTitle0Blue"/>
    <w:uiPriority w:val="99"/>
    <w:rsid w:val="008A3FF7"/>
    <w:rPr>
      <w:rFonts w:ascii="Arial" w:eastAsia="SimSun" w:hAnsi="Arial" w:cs="Arial"/>
      <w:color w:val="049CD5"/>
      <w:sz w:val="48"/>
      <w:szCs w:val="24"/>
      <w:lang w:val="en-US"/>
    </w:rPr>
  </w:style>
  <w:style w:type="paragraph" w:customStyle="1" w:styleId="FlyPage">
    <w:name w:val="FlyPage"/>
    <w:basedOn w:val="Normal"/>
    <w:rsid w:val="008A3FF7"/>
    <w:pPr>
      <w:spacing w:after="0" w:line="360" w:lineRule="auto"/>
    </w:pPr>
    <w:rPr>
      <w:rFonts w:ascii="Liberation Serif" w:eastAsia="Symbol" w:hAnsi="Liberation Serif" w:cs="Times"/>
      <w:color w:val="FFFFFF"/>
      <w:sz w:val="20"/>
      <w:szCs w:val="24"/>
    </w:rPr>
  </w:style>
  <w:style w:type="paragraph" w:customStyle="1" w:styleId="Body">
    <w:name w:val="Body"/>
    <w:basedOn w:val="BodyText"/>
    <w:link w:val="BodyChar1"/>
    <w:rsid w:val="008A3FF7"/>
    <w:pPr>
      <w:tabs>
        <w:tab w:val="left" w:pos="-3119"/>
        <w:tab w:val="right" w:leader="dot" w:pos="9021"/>
      </w:tabs>
      <w:spacing w:before="120" w:line="260" w:lineRule="exact"/>
    </w:pPr>
    <w:rPr>
      <w:rFonts w:eastAsia="Times" w:cs="Times New Roman"/>
      <w:kern w:val="0"/>
      <w:sz w:val="22"/>
      <w:szCs w:val="20"/>
      <w:lang w:eastAsia="nl-BE"/>
    </w:rPr>
  </w:style>
  <w:style w:type="character" w:customStyle="1" w:styleId="BodyChar1">
    <w:name w:val="Body Char1"/>
    <w:basedOn w:val="DefaultParagraphFont"/>
    <w:link w:val="Body"/>
    <w:locked/>
    <w:rsid w:val="008A3FF7"/>
    <w:rPr>
      <w:rFonts w:ascii="Times New Roman" w:eastAsia="Times" w:hAnsi="Times New Roman" w:cs="Times New Roman"/>
      <w:szCs w:val="20"/>
      <w:lang w:eastAsia="nl-BE"/>
    </w:rPr>
  </w:style>
  <w:style w:type="character" w:customStyle="1" w:styleId="FootnoteTextChar4">
    <w:name w:val="Footnote Text Char4"/>
    <w:aliases w:val="Footnote Text Char1 Char1,Schriftart: 9 pt Char1,Schriftart: 10 pt Char1,Schriftart: 8 pt Char1,WB-Fußnotentext Char1,Reference Char1,Fußnote Char1,Footnote Text Char2 Char1,Footnote Text Char Char1 Char1,Ch Char1,o Char"/>
    <w:basedOn w:val="DefaultParagraphFont"/>
    <w:locked/>
    <w:rsid w:val="008A3FF7"/>
    <w:rPr>
      <w:rFonts w:ascii="Times" w:hAnsi="Times" w:cs="Times"/>
      <w:lang w:val="nl-BE" w:eastAsia="nl-BE"/>
    </w:rPr>
  </w:style>
  <w:style w:type="character" w:customStyle="1" w:styleId="DefaultChar2">
    <w:name w:val="Default Char2"/>
    <w:link w:val="Default"/>
    <w:locked/>
    <w:rsid w:val="008A3FF7"/>
    <w:rPr>
      <w:rFonts w:ascii="Times" w:hAnsi="Times" w:cs="Times"/>
      <w:color w:val="000000"/>
      <w:sz w:val="24"/>
      <w:szCs w:val="24"/>
      <w:lang w:val="fr-BE"/>
    </w:rPr>
  </w:style>
  <w:style w:type="numbering" w:customStyle="1" w:styleId="BulletEU">
    <w:name w:val="Bullet EU"/>
    <w:uiPriority w:val="99"/>
    <w:rsid w:val="008A3FF7"/>
    <w:pPr>
      <w:numPr>
        <w:numId w:val="20"/>
      </w:numPr>
    </w:pPr>
  </w:style>
  <w:style w:type="paragraph" w:customStyle="1" w:styleId="table-text">
    <w:name w:val="table-text"/>
    <w:basedOn w:val="Normal"/>
    <w:rsid w:val="008A3FF7"/>
    <w:pPr>
      <w:spacing w:after="0" w:line="280" w:lineRule="atLeast"/>
      <w:jc w:val="both"/>
    </w:pPr>
    <w:rPr>
      <w:rFonts w:ascii="Liberation Serif" w:hAnsi="Liberation Serif" w:cs="Liberation Serif"/>
      <w:sz w:val="16"/>
      <w:szCs w:val="16"/>
      <w:lang w:eastAsia="nl-NL"/>
    </w:rPr>
  </w:style>
  <w:style w:type="paragraph" w:customStyle="1" w:styleId="StyleLatinArialJustified">
    <w:name w:val="Style (Latin) Arial Justified"/>
    <w:basedOn w:val="Normal"/>
    <w:uiPriority w:val="99"/>
    <w:rsid w:val="008A3FF7"/>
    <w:pPr>
      <w:spacing w:after="240" w:line="240" w:lineRule="auto"/>
      <w:jc w:val="both"/>
    </w:pPr>
    <w:rPr>
      <w:rFonts w:ascii="Liberation Serif" w:eastAsia="Times" w:hAnsi="Liberation Serif" w:cs="Times"/>
      <w:szCs w:val="20"/>
    </w:rPr>
  </w:style>
  <w:style w:type="paragraph" w:customStyle="1" w:styleId="StyleListBulletLatinArialJustified">
    <w:name w:val="Style List Bullet + (Latin) Arial Justified"/>
    <w:basedOn w:val="ListBullet"/>
    <w:uiPriority w:val="99"/>
    <w:rsid w:val="008A3FF7"/>
    <w:pPr>
      <w:numPr>
        <w:numId w:val="0"/>
      </w:numPr>
      <w:tabs>
        <w:tab w:val="num" w:pos="720"/>
      </w:tabs>
      <w:ind w:left="720" w:hanging="360"/>
    </w:pPr>
    <w:rPr>
      <w:rFonts w:ascii="Liberation Serif" w:hAnsi="Liberation Serif"/>
      <w:sz w:val="22"/>
    </w:rPr>
  </w:style>
  <w:style w:type="paragraph" w:customStyle="1" w:styleId="Bulletslevel1">
    <w:name w:val="Bullets level 1"/>
    <w:basedOn w:val="ListBullet"/>
    <w:rsid w:val="008A3FF7"/>
    <w:pPr>
      <w:numPr>
        <w:numId w:val="0"/>
      </w:numPr>
      <w:tabs>
        <w:tab w:val="left" w:pos="170"/>
        <w:tab w:val="num" w:pos="284"/>
        <w:tab w:val="num" w:pos="850"/>
      </w:tabs>
      <w:spacing w:after="120" w:line="300" w:lineRule="atLeast"/>
      <w:ind w:left="284" w:hanging="284"/>
      <w:contextualSpacing/>
    </w:pPr>
    <w:rPr>
      <w:rFonts w:ascii="Symbol" w:eastAsia="Arial" w:hAnsi="Symbol"/>
      <w:bCs/>
      <w:color w:val="000000"/>
      <w:sz w:val="22"/>
      <w:szCs w:val="22"/>
    </w:rPr>
  </w:style>
  <w:style w:type="paragraph" w:customStyle="1" w:styleId="BulletsProposal">
    <w:name w:val="Bullets Proposal"/>
    <w:basedOn w:val="ListParagraph"/>
    <w:link w:val="BulletsProposalChar"/>
    <w:rsid w:val="008A3FF7"/>
    <w:pPr>
      <w:spacing w:before="120" w:after="120" w:line="240" w:lineRule="exact"/>
      <w:ind w:left="0" w:hanging="360"/>
      <w:contextualSpacing w:val="0"/>
      <w:jc w:val="both"/>
    </w:pPr>
    <w:rPr>
      <w:rFonts w:eastAsia="MS Mincho"/>
      <w:color w:val="000000"/>
      <w:sz w:val="22"/>
      <w:szCs w:val="20"/>
      <w:lang w:eastAsia="en-US" w:bidi="en-US"/>
    </w:rPr>
  </w:style>
  <w:style w:type="character" w:customStyle="1" w:styleId="BulletsProposalChar">
    <w:name w:val="Bullets Proposal Char"/>
    <w:link w:val="BulletsProposal"/>
    <w:rsid w:val="008A3FF7"/>
    <w:rPr>
      <w:rFonts w:ascii="Times New Roman" w:eastAsia="MS Mincho" w:hAnsi="Times New Roman" w:cs="Times New Roman"/>
      <w:color w:val="000000"/>
      <w:szCs w:val="20"/>
      <w:lang w:bidi="en-US"/>
    </w:rPr>
  </w:style>
  <w:style w:type="paragraph" w:customStyle="1" w:styleId="AnnexChapterHeading">
    <w:name w:val="Annex Chapter Heading"/>
    <w:basedOn w:val="Heading1"/>
    <w:next w:val="Firstline"/>
    <w:link w:val="AnnexChapterHeadingChar"/>
    <w:autoRedefine/>
    <w:rsid w:val="008A3FF7"/>
    <w:pPr>
      <w:tabs>
        <w:tab w:val="clear" w:pos="480"/>
        <w:tab w:val="num" w:pos="504"/>
      </w:tabs>
      <w:ind w:left="0" w:firstLine="0"/>
    </w:pPr>
  </w:style>
  <w:style w:type="character" w:customStyle="1" w:styleId="AnnexChapterHeadingChar">
    <w:name w:val="Annex Chapter Heading Char"/>
    <w:basedOn w:val="Heading1Char"/>
    <w:link w:val="AnnexChapterHeading"/>
    <w:rsid w:val="008A3FF7"/>
    <w:rPr>
      <w:rFonts w:ascii="Times New Roman" w:eastAsia="Times New Roman" w:hAnsi="Times New Roman" w:cs="Times New Roman"/>
      <w:b/>
      <w:smallCaps/>
      <w:sz w:val="24"/>
      <w:szCs w:val="20"/>
    </w:rPr>
  </w:style>
  <w:style w:type="table" w:customStyle="1" w:styleId="Credential1">
    <w:name w:val="Credential1"/>
    <w:basedOn w:val="TableNormal"/>
    <w:next w:val="MediumShading2-Accent1"/>
    <w:uiPriority w:val="64"/>
    <w:rsid w:val="008A3FF7"/>
    <w:pPr>
      <w:spacing w:after="0" w:line="240" w:lineRule="auto"/>
    </w:pPr>
    <w:rPr>
      <w:rFonts w:ascii="Symbol" w:eastAsia="Symbol" w:hAnsi="Symbol" w:cs="Times"/>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
    <w:name w:val="Credential2"/>
    <w:basedOn w:val="TableNormal"/>
    <w:next w:val="MediumShading2-Accent1"/>
    <w:uiPriority w:val="64"/>
    <w:rsid w:val="008A3FF7"/>
    <w:pPr>
      <w:spacing w:after="0" w:line="240" w:lineRule="auto"/>
    </w:pPr>
    <w:rPr>
      <w:rFonts w:ascii="Symbol" w:eastAsia="Symbol" w:hAnsi="Symbol" w:cs="Times"/>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
    <w:name w:val="Credential3"/>
    <w:basedOn w:val="TableNormal"/>
    <w:next w:val="MediumShading2-Accent1"/>
    <w:uiPriority w:val="64"/>
    <w:rsid w:val="008A3FF7"/>
    <w:pPr>
      <w:spacing w:after="0" w:line="240" w:lineRule="auto"/>
    </w:pPr>
    <w:rPr>
      <w:rFonts w:ascii="Symbol" w:eastAsia="Symbol" w:hAnsi="Symbol" w:cs="Times"/>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
    <w:name w:val="Credential4"/>
    <w:basedOn w:val="TableNormal"/>
    <w:next w:val="MediumShading2-Accent1"/>
    <w:uiPriority w:val="64"/>
    <w:rsid w:val="008A3FF7"/>
    <w:pPr>
      <w:spacing w:after="0" w:line="240" w:lineRule="auto"/>
    </w:pPr>
    <w:rPr>
      <w:rFonts w:ascii="Symbol" w:eastAsia="Symbol" w:hAnsi="Symbol" w:cs="Times"/>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
    <w:name w:val="Credential5"/>
    <w:basedOn w:val="TableNormal"/>
    <w:next w:val="MediumShading2-Accent1"/>
    <w:uiPriority w:val="64"/>
    <w:rsid w:val="008A3FF7"/>
    <w:pPr>
      <w:spacing w:after="0" w:line="240" w:lineRule="auto"/>
    </w:pPr>
    <w:rPr>
      <w:rFonts w:ascii="Symbol" w:eastAsia="Symbol" w:hAnsi="Symbol" w:cs="Times"/>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
    <w:name w:val="Credential6"/>
    <w:basedOn w:val="TableNormal"/>
    <w:next w:val="MediumShading2-Accent1"/>
    <w:uiPriority w:val="64"/>
    <w:rsid w:val="008A3FF7"/>
    <w:pPr>
      <w:spacing w:after="0" w:line="240" w:lineRule="auto"/>
    </w:pPr>
    <w:rPr>
      <w:rFonts w:ascii="Symbol" w:eastAsia="Symbol" w:hAnsi="Symbol" w:cs="Times"/>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MediumShading2-Accent11">
    <w:name w:val="Medium Shading 2 - Accent 11"/>
    <w:basedOn w:val="TableNormal"/>
    <w:next w:val="MediumShading2-Accent1"/>
    <w:uiPriority w:val="64"/>
    <w:rsid w:val="008A3FF7"/>
    <w:pPr>
      <w:spacing w:after="0" w:line="240" w:lineRule="auto"/>
    </w:pPr>
    <w:rPr>
      <w:rFonts w:ascii="Times" w:eastAsia="Symbol" w:hAnsi="Times" w:cs="Times"/>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76C5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76C53"/>
      </w:tcPr>
    </w:tblStylePr>
    <w:tblStylePr w:type="lastCol">
      <w:rPr>
        <w:b/>
        <w:bCs/>
        <w:color w:val="FFFFFF"/>
      </w:rPr>
      <w:tblPr/>
      <w:tcPr>
        <w:tcBorders>
          <w:left w:val="nil"/>
          <w:right w:val="nil"/>
          <w:insideH w:val="nil"/>
          <w:insideV w:val="nil"/>
        </w:tcBorders>
        <w:shd w:val="clear" w:color="auto" w:fill="E76C5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StyleLatinArialJustifiedBefore144pt">
    <w:name w:val="Style (Latin) Arial Justified Before:  14.4 pt"/>
    <w:basedOn w:val="Normal"/>
    <w:uiPriority w:val="99"/>
    <w:rsid w:val="008A3FF7"/>
    <w:pPr>
      <w:spacing w:before="288" w:after="240" w:line="240" w:lineRule="auto"/>
      <w:jc w:val="both"/>
    </w:pPr>
    <w:rPr>
      <w:rFonts w:ascii="Liberation Serif" w:eastAsia="Times" w:hAnsi="Liberation Serif" w:cs="Times"/>
      <w:szCs w:val="20"/>
    </w:rPr>
  </w:style>
  <w:style w:type="paragraph" w:customStyle="1" w:styleId="Mainbody">
    <w:name w:val="Main body"/>
    <w:basedOn w:val="Normal"/>
    <w:link w:val="MainbodyChar"/>
    <w:uiPriority w:val="99"/>
    <w:rsid w:val="008A3FF7"/>
    <w:pPr>
      <w:spacing w:beforeLines="120" w:after="240" w:line="240" w:lineRule="auto"/>
      <w:jc w:val="both"/>
    </w:pPr>
    <w:rPr>
      <w:rFonts w:ascii="Liberation Serif" w:eastAsia="Cambria" w:hAnsi="Liberation Serif" w:cs="Liberation Serif"/>
      <w:szCs w:val="20"/>
    </w:rPr>
  </w:style>
  <w:style w:type="character" w:customStyle="1" w:styleId="MainbodyChar">
    <w:name w:val="Main body Char"/>
    <w:basedOn w:val="DefaultParagraphFont"/>
    <w:link w:val="Mainbody"/>
    <w:uiPriority w:val="99"/>
    <w:locked/>
    <w:rsid w:val="008A3FF7"/>
    <w:rPr>
      <w:rFonts w:ascii="Liberation Serif" w:eastAsia="Cambria" w:hAnsi="Liberation Serif" w:cs="Liberation Serif"/>
      <w:szCs w:val="20"/>
    </w:rPr>
  </w:style>
  <w:style w:type="character" w:customStyle="1" w:styleId="StyleLatinArial">
    <w:name w:val="Style (Latin) Arial"/>
    <w:basedOn w:val="DefaultParagraphFont"/>
    <w:uiPriority w:val="99"/>
    <w:rsid w:val="008A3FF7"/>
    <w:rPr>
      <w:rFonts w:ascii="Liberation Serif" w:hAnsi="Liberation Serif" w:cs="Times"/>
    </w:rPr>
  </w:style>
  <w:style w:type="character" w:customStyle="1" w:styleId="NormalBodyTextChar">
    <w:name w:val="Normal Body Text Char"/>
    <w:basedOn w:val="DefaultParagraphFont"/>
    <w:link w:val="NormalBodyText"/>
    <w:rsid w:val="008A3FF7"/>
    <w:rPr>
      <w:rFonts w:ascii="OpenSymbol" w:eastAsia="Times" w:hAnsi="OpenSymbol" w:cs="Liberation Serif"/>
      <w:color w:val="3E3D40"/>
      <w:sz w:val="20"/>
      <w:szCs w:val="20"/>
      <w:lang w:eastAsia="en-GB"/>
    </w:rPr>
  </w:style>
  <w:style w:type="paragraph" w:customStyle="1" w:styleId="ECVSubSectionHeading">
    <w:name w:val="_ECV_SubSectionHeading"/>
    <w:basedOn w:val="Normal"/>
    <w:uiPriority w:val="99"/>
    <w:rsid w:val="008A3FF7"/>
    <w:pPr>
      <w:widowControl w:val="0"/>
      <w:suppressLineNumbers/>
      <w:suppressAutoHyphens/>
      <w:spacing w:after="0" w:line="100" w:lineRule="atLeast"/>
    </w:pPr>
    <w:rPr>
      <w:rFonts w:ascii="Liberation Serif" w:eastAsia="Cambria" w:hAnsi="Liberation Serif" w:cs="TT18At00"/>
      <w:color w:val="0E4194"/>
      <w:spacing w:val="-6"/>
      <w:kern w:val="1"/>
      <w:szCs w:val="24"/>
      <w:lang w:eastAsia="zh-CN" w:bidi="hi-IN"/>
    </w:rPr>
  </w:style>
  <w:style w:type="paragraph" w:customStyle="1" w:styleId="ECVOrganisationDetails">
    <w:name w:val="_ECV_OrganisationDetails"/>
    <w:basedOn w:val="Normal"/>
    <w:uiPriority w:val="99"/>
    <w:rsid w:val="008A3FF7"/>
    <w:pPr>
      <w:widowControl w:val="0"/>
      <w:suppressLineNumbers/>
      <w:suppressAutoHyphens/>
      <w:autoSpaceDE w:val="0"/>
      <w:spacing w:before="57" w:after="85" w:line="100" w:lineRule="atLeast"/>
    </w:pPr>
    <w:rPr>
      <w:rFonts w:ascii="Liberation Serif" w:eastAsia="Gill Sans MT" w:hAnsi="Liberation Serif" w:cs="Gill Sans MT"/>
      <w:color w:val="3F3A38"/>
      <w:spacing w:val="-6"/>
      <w:kern w:val="1"/>
      <w:sz w:val="18"/>
      <w:szCs w:val="18"/>
      <w:lang w:eastAsia="zh-CN" w:bidi="hi-IN"/>
    </w:rPr>
  </w:style>
  <w:style w:type="table" w:customStyle="1" w:styleId="LightList-Accent11">
    <w:name w:val="Light List - Accent 11"/>
    <w:basedOn w:val="TableNormal"/>
    <w:uiPriority w:val="99"/>
    <w:rsid w:val="008A3FF7"/>
    <w:pPr>
      <w:spacing w:after="0" w:line="240" w:lineRule="auto"/>
    </w:pPr>
    <w:rPr>
      <w:rFonts w:ascii="Times" w:eastAsia="Times" w:hAnsi="Times" w:cs="Times"/>
      <w:sz w:val="20"/>
      <w:szCs w:val="20"/>
      <w:lang w:val="da-DK" w:eastAsia="da-DK"/>
    </w:rPr>
    <w:tblPr>
      <w:tblStyleRowBandSize w:val="1"/>
      <w:tblStyleColBandSize w:val="1"/>
      <w:tblBorders>
        <w:top w:val="single" w:sz="8" w:space="0" w:color="E76C53"/>
        <w:left w:val="single" w:sz="8" w:space="0" w:color="E76C53"/>
        <w:bottom w:val="single" w:sz="8" w:space="0" w:color="E76C53"/>
        <w:right w:val="single" w:sz="8" w:space="0" w:color="E76C53"/>
      </w:tblBorders>
    </w:tblPr>
    <w:tblStylePr w:type="firstRow">
      <w:pPr>
        <w:spacing w:before="0" w:after="0" w:line="240" w:lineRule="auto"/>
      </w:pPr>
      <w:rPr>
        <w:b/>
        <w:bCs/>
        <w:color w:val="FFFFFF"/>
      </w:rPr>
      <w:tblPr/>
      <w:tcPr>
        <w:shd w:val="clear" w:color="auto" w:fill="E76C53"/>
      </w:tcPr>
    </w:tblStylePr>
    <w:tblStylePr w:type="lastRow">
      <w:pPr>
        <w:spacing w:before="0" w:after="0" w:line="240" w:lineRule="auto"/>
      </w:pPr>
      <w:rPr>
        <w:b/>
        <w:bCs/>
      </w:rPr>
      <w:tblPr/>
      <w:tcPr>
        <w:tcBorders>
          <w:top w:val="double" w:sz="6" w:space="0" w:color="E76C53"/>
          <w:left w:val="single" w:sz="8" w:space="0" w:color="E76C53"/>
          <w:bottom w:val="single" w:sz="8" w:space="0" w:color="E76C53"/>
          <w:right w:val="single" w:sz="8" w:space="0" w:color="E76C53"/>
        </w:tcBorders>
      </w:tcPr>
    </w:tblStylePr>
    <w:tblStylePr w:type="firstCol">
      <w:rPr>
        <w:b/>
        <w:bCs/>
      </w:rPr>
    </w:tblStylePr>
    <w:tblStylePr w:type="lastCol">
      <w:rPr>
        <w:b/>
        <w:bCs/>
      </w:rPr>
    </w:tblStylePr>
    <w:tblStylePr w:type="band1Vert">
      <w:tblPr/>
      <w:tcPr>
        <w:tcBorders>
          <w:top w:val="single" w:sz="8" w:space="0" w:color="E76C53"/>
          <w:left w:val="single" w:sz="8" w:space="0" w:color="E76C53"/>
          <w:bottom w:val="single" w:sz="8" w:space="0" w:color="E76C53"/>
          <w:right w:val="single" w:sz="8" w:space="0" w:color="E76C53"/>
        </w:tcBorders>
      </w:tcPr>
    </w:tblStylePr>
    <w:tblStylePr w:type="band1Horz">
      <w:tblPr/>
      <w:tcPr>
        <w:tcBorders>
          <w:top w:val="single" w:sz="8" w:space="0" w:color="E76C53"/>
          <w:left w:val="single" w:sz="8" w:space="0" w:color="E76C53"/>
          <w:bottom w:val="single" w:sz="8" w:space="0" w:color="E76C53"/>
          <w:right w:val="single" w:sz="8" w:space="0" w:color="E76C53"/>
        </w:tcBorders>
      </w:tcPr>
    </w:tblStylePr>
  </w:style>
  <w:style w:type="table" w:customStyle="1" w:styleId="LightList-Accent12">
    <w:name w:val="Light List - Accent 12"/>
    <w:basedOn w:val="TableNormal"/>
    <w:uiPriority w:val="61"/>
    <w:rsid w:val="008A3FF7"/>
    <w:pPr>
      <w:spacing w:after="0" w:line="240" w:lineRule="auto"/>
    </w:pPr>
    <w:rPr>
      <w:rFonts w:ascii="Symbol" w:eastAsia="Symbol" w:hAnsi="Symbol" w:cs="Times"/>
      <w:sz w:val="20"/>
      <w:szCs w:val="20"/>
      <w:lang w:eastAsia="en-GB"/>
    </w:rPr>
    <w:tblPr>
      <w:tblStyleRowBandSize w:val="1"/>
      <w:tblStyleColBandSize w:val="1"/>
      <w:tblBorders>
        <w:top w:val="single" w:sz="8" w:space="0" w:color="E76C53"/>
        <w:left w:val="single" w:sz="8" w:space="0" w:color="E76C53"/>
        <w:bottom w:val="single" w:sz="8" w:space="0" w:color="E76C53"/>
        <w:right w:val="single" w:sz="8" w:space="0" w:color="E76C53"/>
      </w:tblBorders>
    </w:tblPr>
    <w:tblStylePr w:type="firstRow">
      <w:pPr>
        <w:spacing w:before="0" w:after="0" w:line="240" w:lineRule="auto"/>
      </w:pPr>
      <w:rPr>
        <w:b/>
        <w:bCs/>
        <w:color w:val="FFFFFF"/>
      </w:rPr>
      <w:tblPr/>
      <w:tcPr>
        <w:shd w:val="clear" w:color="auto" w:fill="E76C53"/>
      </w:tcPr>
    </w:tblStylePr>
    <w:tblStylePr w:type="lastRow">
      <w:pPr>
        <w:spacing w:before="0" w:after="0" w:line="240" w:lineRule="auto"/>
      </w:pPr>
      <w:rPr>
        <w:b/>
        <w:bCs/>
      </w:rPr>
      <w:tblPr/>
      <w:tcPr>
        <w:tcBorders>
          <w:top w:val="double" w:sz="6" w:space="0" w:color="E76C53"/>
          <w:left w:val="single" w:sz="8" w:space="0" w:color="E76C53"/>
          <w:bottom w:val="single" w:sz="8" w:space="0" w:color="E76C53"/>
          <w:right w:val="single" w:sz="8" w:space="0" w:color="E76C53"/>
        </w:tcBorders>
      </w:tcPr>
    </w:tblStylePr>
    <w:tblStylePr w:type="firstCol">
      <w:rPr>
        <w:b/>
        <w:bCs/>
      </w:rPr>
    </w:tblStylePr>
    <w:tblStylePr w:type="lastCol">
      <w:rPr>
        <w:b/>
        <w:bCs/>
      </w:rPr>
    </w:tblStylePr>
    <w:tblStylePr w:type="band1Vert">
      <w:tblPr/>
      <w:tcPr>
        <w:tcBorders>
          <w:top w:val="single" w:sz="8" w:space="0" w:color="E76C53"/>
          <w:left w:val="single" w:sz="8" w:space="0" w:color="E76C53"/>
          <w:bottom w:val="single" w:sz="8" w:space="0" w:color="E76C53"/>
          <w:right w:val="single" w:sz="8" w:space="0" w:color="E76C53"/>
        </w:tcBorders>
      </w:tcPr>
    </w:tblStylePr>
    <w:tblStylePr w:type="band1Horz">
      <w:tblPr/>
      <w:tcPr>
        <w:tcBorders>
          <w:top w:val="single" w:sz="8" w:space="0" w:color="E76C53"/>
          <w:left w:val="single" w:sz="8" w:space="0" w:color="E76C53"/>
          <w:bottom w:val="single" w:sz="8" w:space="0" w:color="E76C53"/>
          <w:right w:val="single" w:sz="8" w:space="0" w:color="E76C53"/>
        </w:tcBorders>
      </w:tcPr>
    </w:tblStylePr>
  </w:style>
  <w:style w:type="character" w:styleId="EndnoteReference">
    <w:name w:val="endnote reference"/>
    <w:basedOn w:val="DefaultParagraphFont"/>
    <w:uiPriority w:val="9"/>
    <w:semiHidden/>
    <w:unhideWhenUsed/>
    <w:rsid w:val="008A3FF7"/>
    <w:rPr>
      <w:rFonts w:ascii="Arial MT Std Light" w:hAnsi="Arial MT Std Light"/>
      <w:sz w:val="13"/>
      <w:vertAlign w:val="superscript"/>
    </w:rPr>
  </w:style>
  <w:style w:type="character" w:styleId="HTMLAcronym">
    <w:name w:val="HTML Acronym"/>
    <w:basedOn w:val="DefaultParagraphFont"/>
    <w:uiPriority w:val="99"/>
    <w:semiHidden/>
    <w:rsid w:val="008A3FF7"/>
  </w:style>
  <w:style w:type="paragraph" w:styleId="HTMLAddress">
    <w:name w:val="HTML Address"/>
    <w:basedOn w:val="Normal"/>
    <w:link w:val="HTMLAddressChar"/>
    <w:uiPriority w:val="99"/>
    <w:semiHidden/>
    <w:rsid w:val="008A3FF7"/>
    <w:pPr>
      <w:spacing w:after="0" w:line="240" w:lineRule="atLeast"/>
    </w:pPr>
    <w:rPr>
      <w:rFonts w:ascii="Arial MT Std Light" w:eastAsia="Times" w:hAnsi="Arial MT Std Light" w:cs="Times"/>
      <w:i/>
      <w:iCs/>
      <w:sz w:val="18"/>
      <w:szCs w:val="24"/>
      <w:lang w:eastAsia="da-DK"/>
    </w:rPr>
  </w:style>
  <w:style w:type="character" w:customStyle="1" w:styleId="HTMLAddressChar">
    <w:name w:val="HTML Address Char"/>
    <w:basedOn w:val="DefaultParagraphFont"/>
    <w:link w:val="HTMLAddress"/>
    <w:uiPriority w:val="99"/>
    <w:semiHidden/>
    <w:rsid w:val="008A3FF7"/>
    <w:rPr>
      <w:rFonts w:ascii="Arial MT Std Light" w:eastAsia="Times" w:hAnsi="Arial MT Std Light" w:cs="Times"/>
      <w:i/>
      <w:iCs/>
      <w:sz w:val="18"/>
      <w:szCs w:val="24"/>
      <w:lang w:eastAsia="da-DK"/>
    </w:rPr>
  </w:style>
  <w:style w:type="character" w:styleId="HTMLCite">
    <w:name w:val="HTML Cite"/>
    <w:basedOn w:val="DefaultParagraphFont"/>
    <w:uiPriority w:val="99"/>
    <w:semiHidden/>
    <w:rsid w:val="008A3FF7"/>
    <w:rPr>
      <w:i/>
      <w:iCs/>
    </w:rPr>
  </w:style>
  <w:style w:type="character" w:styleId="HTMLCode">
    <w:name w:val="HTML Code"/>
    <w:basedOn w:val="DefaultParagraphFont"/>
    <w:uiPriority w:val="99"/>
    <w:semiHidden/>
    <w:rsid w:val="008A3FF7"/>
    <w:rPr>
      <w:rFonts w:ascii="Mangal" w:hAnsi="Mangal" w:cs="Mangal"/>
      <w:sz w:val="20"/>
      <w:szCs w:val="20"/>
    </w:rPr>
  </w:style>
  <w:style w:type="character" w:styleId="HTMLDefinition">
    <w:name w:val="HTML Definition"/>
    <w:basedOn w:val="DefaultParagraphFont"/>
    <w:uiPriority w:val="99"/>
    <w:semiHidden/>
    <w:rsid w:val="008A3FF7"/>
    <w:rPr>
      <w:i/>
      <w:iCs/>
    </w:rPr>
  </w:style>
  <w:style w:type="character" w:styleId="HTMLKeyboard">
    <w:name w:val="HTML Keyboard"/>
    <w:basedOn w:val="DefaultParagraphFont"/>
    <w:uiPriority w:val="99"/>
    <w:semiHidden/>
    <w:rsid w:val="008A3FF7"/>
    <w:rPr>
      <w:rFonts w:ascii="Mangal" w:hAnsi="Mangal" w:cs="Mangal"/>
      <w:sz w:val="20"/>
      <w:szCs w:val="20"/>
    </w:rPr>
  </w:style>
  <w:style w:type="paragraph" w:styleId="HTMLPreformatted">
    <w:name w:val="HTML Preformatted"/>
    <w:basedOn w:val="Normal"/>
    <w:link w:val="HTMLPreformattedChar"/>
    <w:uiPriority w:val="99"/>
    <w:semiHidden/>
    <w:rsid w:val="008A3FF7"/>
    <w:pPr>
      <w:spacing w:after="0" w:line="240" w:lineRule="atLeast"/>
    </w:pPr>
    <w:rPr>
      <w:rFonts w:ascii="Mangal" w:eastAsia="Times" w:hAnsi="Mangal" w:cs="Mangal"/>
      <w:sz w:val="20"/>
      <w:szCs w:val="20"/>
      <w:lang w:eastAsia="da-DK"/>
    </w:rPr>
  </w:style>
  <w:style w:type="character" w:customStyle="1" w:styleId="HTMLPreformattedChar">
    <w:name w:val="HTML Preformatted Char"/>
    <w:basedOn w:val="DefaultParagraphFont"/>
    <w:link w:val="HTMLPreformatted"/>
    <w:uiPriority w:val="99"/>
    <w:semiHidden/>
    <w:rsid w:val="008A3FF7"/>
    <w:rPr>
      <w:rFonts w:ascii="Mangal" w:eastAsia="Times" w:hAnsi="Mangal" w:cs="Mangal"/>
      <w:sz w:val="20"/>
      <w:szCs w:val="20"/>
      <w:lang w:eastAsia="da-DK"/>
    </w:rPr>
  </w:style>
  <w:style w:type="character" w:styleId="HTMLSample">
    <w:name w:val="HTML Sample"/>
    <w:basedOn w:val="DefaultParagraphFont"/>
    <w:uiPriority w:val="99"/>
    <w:semiHidden/>
    <w:rsid w:val="008A3FF7"/>
    <w:rPr>
      <w:rFonts w:ascii="Mangal" w:hAnsi="Mangal" w:cs="Mangal"/>
    </w:rPr>
  </w:style>
  <w:style w:type="character" w:styleId="HTMLTypewriter">
    <w:name w:val="HTML Typewriter"/>
    <w:basedOn w:val="DefaultParagraphFont"/>
    <w:uiPriority w:val="99"/>
    <w:semiHidden/>
    <w:rsid w:val="008A3FF7"/>
    <w:rPr>
      <w:rFonts w:ascii="Mangal" w:hAnsi="Mangal" w:cs="Mangal"/>
      <w:sz w:val="20"/>
      <w:szCs w:val="20"/>
    </w:rPr>
  </w:style>
  <w:style w:type="character" w:styleId="HTMLVariable">
    <w:name w:val="HTML Variable"/>
    <w:basedOn w:val="DefaultParagraphFont"/>
    <w:uiPriority w:val="99"/>
    <w:semiHidden/>
    <w:rsid w:val="008A3FF7"/>
    <w:rPr>
      <w:i/>
      <w:iCs/>
    </w:rPr>
  </w:style>
  <w:style w:type="character" w:styleId="LineNumber">
    <w:name w:val="line number"/>
    <w:basedOn w:val="DefaultParagraphFont"/>
    <w:uiPriority w:val="99"/>
    <w:rsid w:val="008A3FF7"/>
  </w:style>
  <w:style w:type="table" w:styleId="Table3Deffects1">
    <w:name w:val="Table 3D effects 1"/>
    <w:basedOn w:val="TableNormal"/>
    <w:semiHidden/>
    <w:rsid w:val="008A3FF7"/>
    <w:pPr>
      <w:spacing w:after="0" w:line="260" w:lineRule="atLeast"/>
    </w:pPr>
    <w:rPr>
      <w:rFonts w:ascii="Times" w:eastAsia="Times" w:hAnsi="Times" w:cs="Times"/>
      <w:sz w:val="20"/>
      <w:szCs w:val="20"/>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3FF7"/>
    <w:pPr>
      <w:spacing w:after="0" w:line="260" w:lineRule="atLeast"/>
    </w:pPr>
    <w:rPr>
      <w:rFonts w:ascii="Times" w:eastAsia="Times" w:hAnsi="Times" w:cs="Times"/>
      <w:sz w:val="20"/>
      <w:szCs w:val="20"/>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3FF7"/>
    <w:pPr>
      <w:spacing w:after="0" w:line="260" w:lineRule="atLeast"/>
    </w:pPr>
    <w:rPr>
      <w:rFonts w:ascii="Times" w:eastAsia="Times" w:hAnsi="Times" w:cs="Times"/>
      <w:sz w:val="20"/>
      <w:szCs w:val="20"/>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3FF7"/>
    <w:pPr>
      <w:spacing w:after="0" w:line="260" w:lineRule="atLeast"/>
    </w:pPr>
    <w:rPr>
      <w:rFonts w:ascii="Times" w:eastAsia="Times" w:hAnsi="Times" w:cs="Times"/>
      <w:sz w:val="20"/>
      <w:szCs w:val="20"/>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3FF7"/>
    <w:pPr>
      <w:spacing w:after="0" w:line="260" w:lineRule="atLeast"/>
    </w:pPr>
    <w:rPr>
      <w:rFonts w:ascii="Times" w:eastAsia="Times" w:hAnsi="Times" w:cs="Times"/>
      <w:sz w:val="20"/>
      <w:szCs w:val="20"/>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3FF7"/>
    <w:pPr>
      <w:spacing w:after="0" w:line="260" w:lineRule="atLeast"/>
    </w:pPr>
    <w:rPr>
      <w:rFonts w:ascii="Times" w:eastAsia="Times" w:hAnsi="Times" w:cs="Times"/>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3FF7"/>
    <w:pPr>
      <w:spacing w:after="0" w:line="260" w:lineRule="atLeast"/>
    </w:pPr>
    <w:rPr>
      <w:rFonts w:ascii="Times" w:eastAsia="Times" w:hAnsi="Times" w:cs="Times"/>
      <w:sz w:val="20"/>
      <w:szCs w:val="20"/>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3FF7"/>
    <w:pPr>
      <w:spacing w:after="0" w:line="260" w:lineRule="atLeast"/>
    </w:pPr>
    <w:rPr>
      <w:rFonts w:ascii="Times" w:eastAsia="Times" w:hAnsi="Times" w:cs="Times"/>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3FF7"/>
    <w:pPr>
      <w:spacing w:after="0" w:line="260" w:lineRule="atLeast"/>
    </w:pPr>
    <w:rPr>
      <w:rFonts w:ascii="Times" w:eastAsia="Times" w:hAnsi="Times" w:cs="Times"/>
      <w:sz w:val="20"/>
      <w:szCs w:val="20"/>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3FF7"/>
    <w:pPr>
      <w:spacing w:after="0" w:line="260" w:lineRule="atLeast"/>
    </w:pPr>
    <w:rPr>
      <w:rFonts w:ascii="Times" w:eastAsia="Times" w:hAnsi="Times" w:cs="Times"/>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3FF7"/>
    <w:pPr>
      <w:spacing w:after="0" w:line="260" w:lineRule="atLeast"/>
    </w:pPr>
    <w:rPr>
      <w:rFonts w:ascii="Times" w:eastAsia="Times" w:hAnsi="Times" w:cs="Times"/>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3FF7"/>
    <w:pPr>
      <w:spacing w:after="0" w:line="260" w:lineRule="atLeast"/>
    </w:pPr>
    <w:rPr>
      <w:rFonts w:ascii="Times" w:eastAsia="Times" w:hAnsi="Times" w:cs="Times"/>
      <w:b/>
      <w:bCs/>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3FF7"/>
    <w:pPr>
      <w:spacing w:after="0" w:line="260" w:lineRule="atLeast"/>
    </w:pPr>
    <w:rPr>
      <w:rFonts w:ascii="Times" w:eastAsia="Times" w:hAnsi="Times" w:cs="Times"/>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3FF7"/>
    <w:pPr>
      <w:spacing w:after="0" w:line="260" w:lineRule="atLeast"/>
    </w:pPr>
    <w:rPr>
      <w:rFonts w:ascii="Times" w:eastAsia="Times" w:hAnsi="Times" w:cs="Times"/>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3FF7"/>
    <w:pPr>
      <w:spacing w:after="0" w:line="260" w:lineRule="atLeast"/>
    </w:pPr>
    <w:rPr>
      <w:rFonts w:ascii="Times" w:eastAsia="Times" w:hAnsi="Times" w:cs="Times"/>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3FF7"/>
    <w:pPr>
      <w:spacing w:after="0" w:line="260" w:lineRule="atLeast"/>
    </w:pPr>
    <w:rPr>
      <w:rFonts w:ascii="Times" w:eastAsia="Times" w:hAnsi="Times" w:cs="Times"/>
      <w:sz w:val="20"/>
      <w:szCs w:val="20"/>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20">
    <w:name w:val="Table Grid 2"/>
    <w:basedOn w:val="TableNormal"/>
    <w:semiHidden/>
    <w:rsid w:val="008A3FF7"/>
    <w:pPr>
      <w:spacing w:after="0" w:line="260" w:lineRule="atLeast"/>
    </w:pPr>
    <w:rPr>
      <w:rFonts w:ascii="Times" w:eastAsia="Times" w:hAnsi="Times" w:cs="Times"/>
      <w:sz w:val="20"/>
      <w:szCs w:val="20"/>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3FF7"/>
    <w:pPr>
      <w:spacing w:after="0" w:line="260" w:lineRule="atLeast"/>
    </w:pPr>
    <w:rPr>
      <w:rFonts w:ascii="Times" w:eastAsia="Times" w:hAnsi="Times" w:cs="Times"/>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3FF7"/>
    <w:pPr>
      <w:spacing w:after="0" w:line="260" w:lineRule="atLeast"/>
    </w:pPr>
    <w:rPr>
      <w:rFonts w:ascii="Times" w:eastAsia="Times" w:hAnsi="Times" w:cs="Times"/>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3FF7"/>
    <w:pPr>
      <w:spacing w:after="0" w:line="260" w:lineRule="atLeast"/>
    </w:pPr>
    <w:rPr>
      <w:rFonts w:ascii="Times" w:eastAsia="Times" w:hAnsi="Times" w:cs="Time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3FF7"/>
    <w:pPr>
      <w:spacing w:after="0" w:line="260" w:lineRule="atLeast"/>
    </w:pPr>
    <w:rPr>
      <w:rFonts w:ascii="Times" w:eastAsia="Times" w:hAnsi="Times" w:cs="Times"/>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3FF7"/>
    <w:pPr>
      <w:spacing w:after="0" w:line="260" w:lineRule="atLeast"/>
    </w:pPr>
    <w:rPr>
      <w:rFonts w:ascii="Times" w:eastAsia="Times" w:hAnsi="Times" w:cs="Times"/>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3FF7"/>
    <w:pPr>
      <w:spacing w:after="0" w:line="260" w:lineRule="atLeast"/>
    </w:pPr>
    <w:rPr>
      <w:rFonts w:ascii="Times" w:eastAsia="Times" w:hAnsi="Times" w:cs="Times"/>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3FF7"/>
    <w:pPr>
      <w:spacing w:after="0" w:line="260" w:lineRule="atLeast"/>
    </w:pPr>
    <w:rPr>
      <w:rFonts w:ascii="Times" w:eastAsia="Times" w:hAnsi="Times" w:cs="Times"/>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3FF7"/>
    <w:pPr>
      <w:spacing w:after="0" w:line="260" w:lineRule="atLeast"/>
    </w:pPr>
    <w:rPr>
      <w:rFonts w:ascii="Times" w:eastAsia="Times" w:hAnsi="Times" w:cs="Times"/>
      <w:sz w:val="20"/>
      <w:szCs w:val="20"/>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3FF7"/>
    <w:pPr>
      <w:spacing w:after="0" w:line="260" w:lineRule="atLeast"/>
    </w:pPr>
    <w:rPr>
      <w:rFonts w:ascii="Times" w:eastAsia="Times" w:hAnsi="Times" w:cs="Times"/>
      <w:sz w:val="20"/>
      <w:szCs w:val="20"/>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3FF7"/>
    <w:pPr>
      <w:spacing w:after="0" w:line="260" w:lineRule="atLeast"/>
    </w:pPr>
    <w:rPr>
      <w:rFonts w:ascii="Times" w:eastAsia="Times" w:hAnsi="Times" w:cs="Time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3FF7"/>
    <w:pPr>
      <w:spacing w:after="0" w:line="260" w:lineRule="atLeast"/>
    </w:pPr>
    <w:rPr>
      <w:rFonts w:ascii="Times" w:eastAsia="Times" w:hAnsi="Times" w:cs="Times"/>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3FF7"/>
    <w:pPr>
      <w:spacing w:after="0" w:line="260" w:lineRule="atLeast"/>
    </w:pPr>
    <w:rPr>
      <w:rFonts w:ascii="Times" w:eastAsia="Times" w:hAnsi="Times" w:cs="Times"/>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3FF7"/>
    <w:pPr>
      <w:spacing w:after="0" w:line="260" w:lineRule="atLeast"/>
    </w:pPr>
    <w:rPr>
      <w:rFonts w:ascii="Times" w:eastAsia="Times" w:hAnsi="Times" w:cs="Times"/>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3FF7"/>
    <w:pPr>
      <w:spacing w:after="0" w:line="260" w:lineRule="atLeast"/>
    </w:pPr>
    <w:rPr>
      <w:rFonts w:ascii="Times" w:eastAsia="Times" w:hAnsi="Times" w:cs="Times"/>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3FF7"/>
    <w:pPr>
      <w:spacing w:after="0" w:line="260" w:lineRule="atLeast"/>
    </w:pPr>
    <w:rPr>
      <w:rFonts w:ascii="Times" w:eastAsia="Times" w:hAnsi="Times" w:cs="Times"/>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3FF7"/>
    <w:pPr>
      <w:spacing w:after="0" w:line="260" w:lineRule="atLeast"/>
    </w:pPr>
    <w:rPr>
      <w:rFonts w:ascii="Times" w:eastAsia="Times" w:hAnsi="Times" w:cs="Times"/>
      <w:sz w:val="20"/>
      <w:szCs w:val="20"/>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3FF7"/>
    <w:pPr>
      <w:spacing w:after="0" w:line="260" w:lineRule="atLeast"/>
    </w:pPr>
    <w:rPr>
      <w:rFonts w:ascii="Times" w:eastAsia="Times" w:hAnsi="Times" w:cs="Times"/>
      <w:sz w:val="20"/>
      <w:szCs w:val="20"/>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3FF7"/>
    <w:pPr>
      <w:spacing w:after="0" w:line="260" w:lineRule="atLeast"/>
    </w:pPr>
    <w:rPr>
      <w:rFonts w:ascii="Times" w:eastAsia="Times" w:hAnsi="Times" w:cs="Times"/>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3FF7"/>
    <w:pPr>
      <w:spacing w:after="0" w:line="260" w:lineRule="atLeast"/>
    </w:pPr>
    <w:rPr>
      <w:rFonts w:ascii="Times" w:eastAsia="Times" w:hAnsi="Times" w:cs="Times"/>
      <w:sz w:val="20"/>
      <w:szCs w:val="20"/>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3FF7"/>
    <w:pPr>
      <w:spacing w:after="0" w:line="260" w:lineRule="atLeast"/>
    </w:pPr>
    <w:rPr>
      <w:rFonts w:ascii="Times" w:eastAsia="Times" w:hAnsi="Times" w:cs="Times"/>
      <w:sz w:val="20"/>
      <w:szCs w:val="20"/>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3FF7"/>
    <w:pPr>
      <w:spacing w:after="0" w:line="260" w:lineRule="atLeast"/>
    </w:pPr>
    <w:rPr>
      <w:rFonts w:ascii="Times" w:eastAsia="Times" w:hAnsi="Times" w:cs="Times"/>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3FF7"/>
    <w:pPr>
      <w:spacing w:after="0" w:line="260" w:lineRule="atLeast"/>
    </w:pPr>
    <w:rPr>
      <w:rFonts w:ascii="Times" w:eastAsia="Times" w:hAnsi="Times" w:cs="Times"/>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3FF7"/>
    <w:pPr>
      <w:spacing w:after="0" w:line="260" w:lineRule="atLeast"/>
    </w:pPr>
    <w:rPr>
      <w:rFonts w:ascii="Times" w:eastAsia="Times" w:hAnsi="Times" w:cs="Times"/>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3FF7"/>
    <w:pPr>
      <w:spacing w:after="0" w:line="260" w:lineRule="atLeast"/>
    </w:pPr>
    <w:rPr>
      <w:rFonts w:ascii="Times" w:eastAsia="Times" w:hAnsi="Times" w:cs="Times"/>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semiHidden/>
    <w:rsid w:val="008A3FF7"/>
    <w:pPr>
      <w:numPr>
        <w:numId w:val="16"/>
      </w:numPr>
    </w:pPr>
  </w:style>
  <w:style w:type="numbering" w:styleId="1ai">
    <w:name w:val="Outline List 1"/>
    <w:basedOn w:val="NoList"/>
    <w:semiHidden/>
    <w:rsid w:val="008A3FF7"/>
    <w:pPr>
      <w:numPr>
        <w:numId w:val="17"/>
      </w:numPr>
    </w:pPr>
  </w:style>
  <w:style w:type="numbering" w:styleId="ArticleSection">
    <w:name w:val="Outline List 3"/>
    <w:basedOn w:val="NoList"/>
    <w:semiHidden/>
    <w:rsid w:val="008A3FF7"/>
    <w:pPr>
      <w:numPr>
        <w:numId w:val="18"/>
      </w:numPr>
    </w:pPr>
  </w:style>
  <w:style w:type="paragraph" w:styleId="E-mailSignature">
    <w:name w:val="E-mail Signature"/>
    <w:basedOn w:val="Normal"/>
    <w:link w:val="E-mailSignatureChar"/>
    <w:uiPriority w:val="9"/>
    <w:semiHidden/>
    <w:rsid w:val="008A3FF7"/>
    <w:pPr>
      <w:spacing w:after="0" w:line="240" w:lineRule="atLeast"/>
    </w:pPr>
    <w:rPr>
      <w:rFonts w:ascii="Arial MT Std Light" w:eastAsia="Times" w:hAnsi="Arial MT Std Light" w:cs="Times"/>
      <w:sz w:val="18"/>
      <w:szCs w:val="24"/>
      <w:lang w:eastAsia="da-DK"/>
    </w:rPr>
  </w:style>
  <w:style w:type="character" w:customStyle="1" w:styleId="E-mailSignatureChar">
    <w:name w:val="E-mail Signature Char"/>
    <w:basedOn w:val="DefaultParagraphFont"/>
    <w:link w:val="E-mailSignature"/>
    <w:uiPriority w:val="9"/>
    <w:semiHidden/>
    <w:rsid w:val="008A3FF7"/>
    <w:rPr>
      <w:rFonts w:ascii="Arial MT Std Light" w:eastAsia="Times" w:hAnsi="Arial MT Std Light" w:cs="Times"/>
      <w:sz w:val="18"/>
      <w:szCs w:val="24"/>
      <w:lang w:eastAsia="da-DK"/>
    </w:rPr>
  </w:style>
  <w:style w:type="paragraph" w:customStyle="1" w:styleId="Normal-Intentedfor">
    <w:name w:val="Normal - Intented for"/>
    <w:basedOn w:val="Normal-Documentdatatext"/>
    <w:uiPriority w:val="3"/>
    <w:semiHidden/>
    <w:rsid w:val="008A3FF7"/>
  </w:style>
  <w:style w:type="paragraph" w:customStyle="1" w:styleId="Normal-TOCHeading">
    <w:name w:val="Normal - TOC Heading"/>
    <w:basedOn w:val="Normal"/>
    <w:next w:val="Normal"/>
    <w:uiPriority w:val="5"/>
    <w:semiHidden/>
    <w:rsid w:val="008A3FF7"/>
    <w:pPr>
      <w:spacing w:after="240" w:line="280" w:lineRule="atLeast"/>
    </w:pPr>
    <w:rPr>
      <w:rFonts w:ascii="Arial MT Std Light" w:eastAsia="Times" w:hAnsi="Arial MT Std Light" w:cs="Times"/>
      <w:b/>
      <w:caps/>
      <w:color w:val="009DE0"/>
      <w:szCs w:val="24"/>
      <w:lang w:eastAsia="da-DK"/>
    </w:rPr>
  </w:style>
  <w:style w:type="paragraph" w:customStyle="1" w:styleId="Normal-Headnote">
    <w:name w:val="Normal - Head note"/>
    <w:basedOn w:val="Normal"/>
    <w:uiPriority w:val="3"/>
    <w:semiHidden/>
    <w:rsid w:val="008A3FF7"/>
    <w:pPr>
      <w:spacing w:after="0" w:line="270" w:lineRule="atLeast"/>
      <w:ind w:left="624"/>
    </w:pPr>
    <w:rPr>
      <w:rFonts w:ascii="Arial MT Std Light" w:eastAsia="Times" w:hAnsi="Arial MT Std Light" w:cs="Times"/>
      <w:b/>
      <w:color w:val="4D4D4D"/>
      <w:sz w:val="21"/>
      <w:szCs w:val="24"/>
      <w:lang w:eastAsia="da-DK"/>
    </w:rPr>
  </w:style>
  <w:style w:type="paragraph" w:customStyle="1" w:styleId="Template">
    <w:name w:val="Template"/>
    <w:link w:val="TemplateChar"/>
    <w:uiPriority w:val="3"/>
    <w:semiHidden/>
    <w:rsid w:val="008A3FF7"/>
    <w:pPr>
      <w:tabs>
        <w:tab w:val="left" w:pos="198"/>
      </w:tabs>
      <w:spacing w:after="0" w:line="200" w:lineRule="atLeast"/>
    </w:pPr>
    <w:rPr>
      <w:rFonts w:ascii="Arial MT Std Light" w:eastAsia="Times" w:hAnsi="Arial MT Std Light" w:cs="Times"/>
      <w:noProof/>
      <w:sz w:val="14"/>
      <w:szCs w:val="24"/>
      <w:lang w:eastAsia="da-DK"/>
    </w:rPr>
  </w:style>
  <w:style w:type="paragraph" w:customStyle="1" w:styleId="Template-Adresse">
    <w:name w:val="Template - Adresse"/>
    <w:basedOn w:val="Template"/>
    <w:uiPriority w:val="3"/>
    <w:semiHidden/>
    <w:rsid w:val="008A3FF7"/>
  </w:style>
  <w:style w:type="paragraph" w:customStyle="1" w:styleId="Normal-FrontpageHeading1">
    <w:name w:val="Normal - Frontpage Heading 1"/>
    <w:basedOn w:val="Normal"/>
    <w:link w:val="Normal-FrontpageHeading1Char"/>
    <w:uiPriority w:val="3"/>
    <w:semiHidden/>
    <w:rsid w:val="008A3FF7"/>
    <w:pPr>
      <w:spacing w:after="0" w:line="720" w:lineRule="atLeast"/>
    </w:pPr>
    <w:rPr>
      <w:rFonts w:ascii="Arial MT Std Light" w:eastAsia="Times" w:hAnsi="Arial MT Std Light" w:cs="Times"/>
      <w:b/>
      <w:caps/>
      <w:color w:val="4D4D4D"/>
      <w:sz w:val="60"/>
      <w:szCs w:val="24"/>
      <w:lang w:eastAsia="da-DK"/>
    </w:rPr>
  </w:style>
  <w:style w:type="paragraph" w:customStyle="1" w:styleId="Normal-FrontpageHeading2">
    <w:name w:val="Normal - Frontpage Heading 2"/>
    <w:basedOn w:val="Normal-FrontpageHeading1"/>
    <w:link w:val="Normal-FrontpageHeading2Char"/>
    <w:uiPriority w:val="3"/>
    <w:semiHidden/>
    <w:rsid w:val="008A3FF7"/>
    <w:rPr>
      <w:color w:val="009DE0"/>
    </w:rPr>
  </w:style>
  <w:style w:type="paragraph" w:customStyle="1" w:styleId="Normal-Documentdataleadtext">
    <w:name w:val="Normal - Document data leadtext"/>
    <w:basedOn w:val="Normal"/>
    <w:uiPriority w:val="4"/>
    <w:semiHidden/>
    <w:rsid w:val="008A3FF7"/>
    <w:pPr>
      <w:spacing w:after="0" w:line="240" w:lineRule="atLeast"/>
    </w:pPr>
    <w:rPr>
      <w:rFonts w:ascii="Arial MT Std Light" w:eastAsia="Times" w:hAnsi="Arial MT Std Light" w:cs="Times"/>
      <w:sz w:val="14"/>
      <w:szCs w:val="24"/>
      <w:lang w:eastAsia="da-DK"/>
    </w:rPr>
  </w:style>
  <w:style w:type="paragraph" w:customStyle="1" w:styleId="Normal-Documentdatatext">
    <w:name w:val="Normal - Document data text"/>
    <w:basedOn w:val="Normal"/>
    <w:uiPriority w:val="3"/>
    <w:semiHidden/>
    <w:rsid w:val="008A3FF7"/>
    <w:pPr>
      <w:spacing w:after="0" w:line="240" w:lineRule="atLeast"/>
    </w:pPr>
    <w:rPr>
      <w:rFonts w:ascii="Arial MT Std Light" w:eastAsia="Times" w:hAnsi="Arial MT Std Light" w:cs="Times"/>
      <w:b/>
      <w:sz w:val="18"/>
      <w:szCs w:val="24"/>
      <w:lang w:eastAsia="da-DK"/>
    </w:rPr>
  </w:style>
  <w:style w:type="paragraph" w:customStyle="1" w:styleId="Template-ReftoFrontpageheading1">
    <w:name w:val="Template - Ref to Frontpage heading 1"/>
    <w:basedOn w:val="Template"/>
    <w:link w:val="Template-ReftoFrontpageheading1Char"/>
    <w:uiPriority w:val="3"/>
    <w:semiHidden/>
    <w:rsid w:val="008A3FF7"/>
    <w:pPr>
      <w:spacing w:line="280" w:lineRule="atLeast"/>
    </w:pPr>
    <w:rPr>
      <w:b/>
      <w:caps/>
      <w:color w:val="009DE0"/>
    </w:rPr>
  </w:style>
  <w:style w:type="paragraph" w:customStyle="1" w:styleId="Normal-FactBoxHeading1-White">
    <w:name w:val="Normal - Fact Box Heading 1 -  White"/>
    <w:basedOn w:val="Normal"/>
    <w:next w:val="Normal-FactBoxHeading2-Black"/>
    <w:uiPriority w:val="99"/>
    <w:rsid w:val="008A3FF7"/>
    <w:pPr>
      <w:spacing w:after="0" w:line="320" w:lineRule="atLeast"/>
    </w:pPr>
    <w:rPr>
      <w:rFonts w:ascii="Arial MT Std Light" w:eastAsia="Times" w:hAnsi="Arial MT Std Light" w:cs="Times"/>
      <w:b/>
      <w:caps/>
      <w:color w:val="FFFFFF"/>
      <w:sz w:val="30"/>
      <w:szCs w:val="24"/>
      <w:lang w:eastAsia="da-DK"/>
    </w:rPr>
  </w:style>
  <w:style w:type="paragraph" w:customStyle="1" w:styleId="Normal-FactBoxHeading1-Black">
    <w:name w:val="Normal - Fact Box Heading 1 - Black"/>
    <w:basedOn w:val="Normal"/>
    <w:uiPriority w:val="3"/>
    <w:semiHidden/>
    <w:rsid w:val="008A3FF7"/>
    <w:pPr>
      <w:spacing w:after="160" w:line="240" w:lineRule="atLeast"/>
    </w:pPr>
    <w:rPr>
      <w:rFonts w:ascii="Arial MT Std Light" w:eastAsia="Times" w:hAnsi="Arial MT Std Light" w:cs="Times"/>
      <w:b/>
      <w:caps/>
      <w:szCs w:val="24"/>
      <w:lang w:eastAsia="da-DK"/>
    </w:rPr>
  </w:style>
  <w:style w:type="paragraph" w:customStyle="1" w:styleId="Normal-FactBoxHeading2-White">
    <w:name w:val="Normal - Fact Box Heading 2 - White"/>
    <w:basedOn w:val="Normal"/>
    <w:next w:val="Normal-FactBoxBodytext-White"/>
    <w:rsid w:val="008A3FF7"/>
    <w:pPr>
      <w:spacing w:after="100" w:line="220" w:lineRule="atLeast"/>
    </w:pPr>
    <w:rPr>
      <w:rFonts w:ascii="Arial MT Std Light" w:eastAsia="Times" w:hAnsi="Arial MT Std Light" w:cs="Times"/>
      <w:b/>
      <w:color w:val="FFFFFF"/>
      <w:sz w:val="18"/>
      <w:szCs w:val="24"/>
      <w:lang w:eastAsia="da-DK"/>
    </w:rPr>
  </w:style>
  <w:style w:type="paragraph" w:customStyle="1" w:styleId="Normal-FactBoxHeading2-Black">
    <w:name w:val="Normal - Fact Box Heading 2 - Black"/>
    <w:basedOn w:val="Normal"/>
    <w:next w:val="Normal-FactBoxBodytext-Black"/>
    <w:uiPriority w:val="3"/>
    <w:semiHidden/>
    <w:rsid w:val="008A3FF7"/>
    <w:pPr>
      <w:spacing w:after="0" w:line="220" w:lineRule="atLeast"/>
    </w:pPr>
    <w:rPr>
      <w:rFonts w:ascii="Arial MT Std Light" w:eastAsia="Times" w:hAnsi="Arial MT Std Light" w:cs="Times"/>
      <w:b/>
      <w:sz w:val="18"/>
      <w:szCs w:val="24"/>
      <w:lang w:eastAsia="da-DK"/>
    </w:rPr>
  </w:style>
  <w:style w:type="paragraph" w:customStyle="1" w:styleId="Normal-FactBoxBodytext-White">
    <w:name w:val="Normal - Fact Box Body text - White"/>
    <w:basedOn w:val="Normal"/>
    <w:rsid w:val="008A3FF7"/>
    <w:pPr>
      <w:spacing w:after="0" w:line="280" w:lineRule="atLeast"/>
    </w:pPr>
    <w:rPr>
      <w:rFonts w:ascii="Arial MT Std Light" w:eastAsia="Times" w:hAnsi="Arial MT Std Light" w:cs="Times"/>
      <w:color w:val="FFFFFF"/>
      <w:sz w:val="18"/>
      <w:szCs w:val="24"/>
      <w:lang w:eastAsia="da-DK"/>
    </w:rPr>
  </w:style>
  <w:style w:type="paragraph" w:customStyle="1" w:styleId="Normal-FactBoxBodytext-Black">
    <w:name w:val="Normal - Fact Box Body text - Black"/>
    <w:basedOn w:val="Normal"/>
    <w:uiPriority w:val="3"/>
    <w:semiHidden/>
    <w:rsid w:val="008A3FF7"/>
    <w:pPr>
      <w:spacing w:after="0" w:line="220" w:lineRule="atLeast"/>
    </w:pPr>
    <w:rPr>
      <w:rFonts w:ascii="Arial MT Std Light" w:eastAsia="Times" w:hAnsi="Arial MT Std Light" w:cs="Times"/>
      <w:sz w:val="18"/>
      <w:szCs w:val="24"/>
      <w:lang w:eastAsia="da-DK"/>
    </w:rPr>
  </w:style>
  <w:style w:type="character" w:customStyle="1" w:styleId="Normal-FrontpageHeading1Char">
    <w:name w:val="Normal - Frontpage Heading 1 Char"/>
    <w:basedOn w:val="DefaultParagraphFont"/>
    <w:link w:val="Normal-FrontpageHeading1"/>
    <w:uiPriority w:val="3"/>
    <w:semiHidden/>
    <w:rsid w:val="008A3FF7"/>
    <w:rPr>
      <w:rFonts w:ascii="Arial MT Std Light" w:eastAsia="Times" w:hAnsi="Arial MT Std Light" w:cs="Times"/>
      <w:b/>
      <w:caps/>
      <w:color w:val="4D4D4D"/>
      <w:sz w:val="60"/>
      <w:szCs w:val="24"/>
      <w:lang w:eastAsia="da-DK"/>
    </w:rPr>
  </w:style>
  <w:style w:type="paragraph" w:customStyle="1" w:styleId="NoteHeading1">
    <w:name w:val="Note Heading1"/>
    <w:basedOn w:val="Normal"/>
    <w:uiPriority w:val="3"/>
    <w:rsid w:val="008A3FF7"/>
    <w:pPr>
      <w:spacing w:after="100" w:line="170" w:lineRule="atLeast"/>
    </w:pPr>
    <w:rPr>
      <w:rFonts w:ascii="Arial MT Std Light" w:eastAsia="Times" w:hAnsi="Arial MT Std Light" w:cs="Times"/>
      <w:b/>
      <w:color w:val="009DE0"/>
      <w:sz w:val="15"/>
      <w:szCs w:val="24"/>
      <w:lang w:eastAsia="da-DK"/>
    </w:rPr>
  </w:style>
  <w:style w:type="paragraph" w:customStyle="1" w:styleId="Note">
    <w:name w:val="Note"/>
    <w:basedOn w:val="Normal"/>
    <w:uiPriority w:val="3"/>
    <w:rsid w:val="008A3FF7"/>
    <w:pPr>
      <w:spacing w:after="0" w:line="170" w:lineRule="atLeast"/>
    </w:pPr>
    <w:rPr>
      <w:rFonts w:ascii="Arial MT Std Light" w:eastAsia="Times" w:hAnsi="Arial MT Std Light" w:cs="Times"/>
      <w:sz w:val="15"/>
      <w:szCs w:val="24"/>
      <w:lang w:eastAsia="da-DK"/>
    </w:rPr>
  </w:style>
  <w:style w:type="paragraph" w:customStyle="1" w:styleId="Caption-Text">
    <w:name w:val="Caption - Text"/>
    <w:basedOn w:val="Normal"/>
    <w:uiPriority w:val="3"/>
    <w:rsid w:val="008A3FF7"/>
    <w:pPr>
      <w:spacing w:after="0" w:line="170" w:lineRule="atLeast"/>
    </w:pPr>
    <w:rPr>
      <w:rFonts w:ascii="Arial MT Std Light" w:eastAsia="Times" w:hAnsi="Arial MT Std Light" w:cs="Times"/>
      <w:sz w:val="13"/>
      <w:szCs w:val="24"/>
      <w:lang w:eastAsia="da-DK"/>
    </w:rPr>
  </w:style>
  <w:style w:type="paragraph" w:customStyle="1" w:styleId="Normal-LeadingAfterCaption">
    <w:name w:val="Normal - Leading After Caption"/>
    <w:basedOn w:val="Normal"/>
    <w:uiPriority w:val="3"/>
    <w:semiHidden/>
    <w:rsid w:val="008A3FF7"/>
    <w:pPr>
      <w:framePr w:wrap="around" w:vAnchor="text" w:hAnchor="page" w:x="8818" w:y="1"/>
      <w:spacing w:after="0" w:line="100" w:lineRule="exact"/>
      <w:suppressOverlap/>
    </w:pPr>
    <w:rPr>
      <w:rFonts w:ascii="Arial MT Std Light" w:eastAsia="Times" w:hAnsi="Arial MT Std Light" w:cs="Times"/>
      <w:sz w:val="10"/>
      <w:szCs w:val="24"/>
      <w:lang w:val="it-IT" w:eastAsia="da-DK"/>
    </w:rPr>
  </w:style>
  <w:style w:type="paragraph" w:customStyle="1" w:styleId="Template-ReftoFrontpageheading2">
    <w:name w:val="Template - Ref to Frontpage heading 2"/>
    <w:basedOn w:val="Template-ReftoFrontpageheading1"/>
    <w:link w:val="Template-ReftoFrontpageheading2Char"/>
    <w:uiPriority w:val="3"/>
    <w:semiHidden/>
    <w:rsid w:val="008A3FF7"/>
  </w:style>
  <w:style w:type="paragraph" w:customStyle="1" w:styleId="Normal-RevisionData">
    <w:name w:val="Normal - Revision Data"/>
    <w:basedOn w:val="Normal"/>
    <w:uiPriority w:val="5"/>
    <w:semiHidden/>
    <w:rsid w:val="008A3FF7"/>
    <w:pPr>
      <w:spacing w:after="0" w:line="240" w:lineRule="atLeast"/>
    </w:pPr>
    <w:rPr>
      <w:rFonts w:ascii="Arial MT Std Light" w:eastAsia="Times" w:hAnsi="Arial MT Std Light" w:cs="Times"/>
      <w:sz w:val="14"/>
      <w:szCs w:val="24"/>
      <w:lang w:eastAsia="da-DK"/>
    </w:rPr>
  </w:style>
  <w:style w:type="paragraph" w:customStyle="1" w:styleId="Normal-RevisionDataText">
    <w:name w:val="Normal - Revision Data Text"/>
    <w:basedOn w:val="Normal"/>
    <w:uiPriority w:val="5"/>
    <w:semiHidden/>
    <w:rsid w:val="008A3FF7"/>
    <w:pPr>
      <w:spacing w:after="0" w:line="240" w:lineRule="atLeast"/>
    </w:pPr>
    <w:rPr>
      <w:rFonts w:ascii="Arial MT Std Light" w:eastAsia="Times" w:hAnsi="Arial MT Std Light" w:cs="Times"/>
      <w:b/>
      <w:sz w:val="18"/>
      <w:szCs w:val="24"/>
      <w:lang w:eastAsia="da-DK"/>
    </w:rPr>
  </w:style>
  <w:style w:type="character" w:customStyle="1" w:styleId="Normal-FrontpageHeading2Char">
    <w:name w:val="Normal - Frontpage Heading 2 Char"/>
    <w:basedOn w:val="Normal-FrontpageHeading1Char"/>
    <w:link w:val="Normal-FrontpageHeading2"/>
    <w:uiPriority w:val="3"/>
    <w:semiHidden/>
    <w:rsid w:val="008A3FF7"/>
    <w:rPr>
      <w:rFonts w:ascii="Verdana" w:eastAsia="Times New Roman" w:hAnsi="Verdana" w:cs="Times New Roman"/>
      <w:b/>
      <w:caps/>
      <w:color w:val="009DE0"/>
      <w:sz w:val="60"/>
      <w:szCs w:val="24"/>
      <w:lang w:eastAsia="da-DK"/>
    </w:rPr>
  </w:style>
  <w:style w:type="character" w:customStyle="1" w:styleId="TemplateChar">
    <w:name w:val="Template Char"/>
    <w:basedOn w:val="DefaultParagraphFont"/>
    <w:link w:val="Template"/>
    <w:uiPriority w:val="3"/>
    <w:semiHidden/>
    <w:rsid w:val="008A3FF7"/>
    <w:rPr>
      <w:rFonts w:ascii="Arial MT Std Light" w:eastAsia="Times" w:hAnsi="Arial MT Std Light" w:cs="Times"/>
      <w:noProof/>
      <w:sz w:val="14"/>
      <w:szCs w:val="24"/>
      <w:lang w:eastAsia="da-DK"/>
    </w:rPr>
  </w:style>
  <w:style w:type="character" w:customStyle="1" w:styleId="Template-ReftoFrontpageheading1Char">
    <w:name w:val="Template - Ref to Frontpage heading 1 Char"/>
    <w:basedOn w:val="TemplateChar"/>
    <w:link w:val="Template-ReftoFrontpageheading1"/>
    <w:uiPriority w:val="3"/>
    <w:semiHidden/>
    <w:rsid w:val="008A3FF7"/>
    <w:rPr>
      <w:rFonts w:ascii="Verdana" w:eastAsia="Times New Roman" w:hAnsi="Verdana" w:cs="Times New Roman"/>
      <w:b/>
      <w:caps/>
      <w:noProof/>
      <w:color w:val="009DE0"/>
      <w:sz w:val="14"/>
      <w:szCs w:val="24"/>
      <w:lang w:eastAsia="da-DK"/>
    </w:rPr>
  </w:style>
  <w:style w:type="character" w:customStyle="1" w:styleId="Template-ReftoFrontpageheading2Char">
    <w:name w:val="Template - Ref to Frontpage heading 2 Char"/>
    <w:basedOn w:val="Template-ReftoFrontpageheading1Char"/>
    <w:link w:val="Template-ReftoFrontpageheading2"/>
    <w:uiPriority w:val="3"/>
    <w:semiHidden/>
    <w:rsid w:val="008A3FF7"/>
    <w:rPr>
      <w:rFonts w:ascii="Verdana" w:eastAsia="Times New Roman" w:hAnsi="Verdana" w:cs="Times New Roman"/>
      <w:b/>
      <w:caps/>
      <w:noProof/>
      <w:color w:val="009DE0"/>
      <w:sz w:val="14"/>
      <w:szCs w:val="24"/>
      <w:lang w:eastAsia="da-DK"/>
    </w:rPr>
  </w:style>
  <w:style w:type="paragraph" w:customStyle="1" w:styleId="Template-Stylerefheader">
    <w:name w:val="Template - Styleref header"/>
    <w:basedOn w:val="Header"/>
    <w:uiPriority w:val="3"/>
    <w:semiHidden/>
    <w:rsid w:val="008A3FF7"/>
    <w:pPr>
      <w:tabs>
        <w:tab w:val="clear" w:pos="4535"/>
        <w:tab w:val="clear" w:pos="9071"/>
        <w:tab w:val="right" w:pos="8901"/>
      </w:tabs>
      <w:spacing w:after="0" w:line="160" w:lineRule="atLeast"/>
      <w:jc w:val="left"/>
    </w:pPr>
    <w:rPr>
      <w:rFonts w:ascii="Arial MT Std Light" w:eastAsia="Times" w:hAnsi="Arial MT Std Light"/>
      <w:caps/>
      <w:spacing w:val="4"/>
      <w:sz w:val="13"/>
      <w:szCs w:val="24"/>
      <w:lang w:val="da-DK" w:eastAsia="da-DK"/>
    </w:rPr>
  </w:style>
  <w:style w:type="paragraph" w:customStyle="1" w:styleId="Normal-Ref">
    <w:name w:val="Normal - Ref"/>
    <w:basedOn w:val="Normal"/>
    <w:uiPriority w:val="99"/>
    <w:semiHidden/>
    <w:rsid w:val="008A3FF7"/>
    <w:pPr>
      <w:spacing w:after="0" w:line="240" w:lineRule="atLeast"/>
    </w:pPr>
    <w:rPr>
      <w:rFonts w:ascii="Arial MT Std Light" w:eastAsia="Times" w:hAnsi="Arial MT Std Light" w:cs="Times"/>
      <w:sz w:val="18"/>
      <w:szCs w:val="24"/>
      <w:lang w:eastAsia="da-DK"/>
    </w:rPr>
  </w:style>
  <w:style w:type="paragraph" w:customStyle="1" w:styleId="Normal-Optional1">
    <w:name w:val="Normal - Optional 1"/>
    <w:basedOn w:val="Normal-RevisionDataText"/>
    <w:uiPriority w:val="5"/>
    <w:semiHidden/>
    <w:rsid w:val="008A3FF7"/>
  </w:style>
  <w:style w:type="paragraph" w:customStyle="1" w:styleId="Normal-Optional2">
    <w:name w:val="Normal - Optional 2"/>
    <w:basedOn w:val="Normal-RevisionDataText"/>
    <w:uiPriority w:val="5"/>
    <w:semiHidden/>
    <w:rsid w:val="008A3FF7"/>
  </w:style>
  <w:style w:type="paragraph" w:customStyle="1" w:styleId="Normal-SupplementTOC1">
    <w:name w:val="Normal - Supplement TOC1"/>
    <w:basedOn w:val="Normal"/>
    <w:next w:val="Normal-SupplementsTOC2"/>
    <w:uiPriority w:val="5"/>
    <w:semiHidden/>
    <w:rsid w:val="008A3FF7"/>
    <w:pPr>
      <w:spacing w:after="0" w:line="240" w:lineRule="atLeast"/>
    </w:pPr>
    <w:rPr>
      <w:rFonts w:ascii="Arial MT Std Light" w:eastAsia="Times" w:hAnsi="Arial MT Std Light" w:cs="Times"/>
      <w:b/>
      <w:sz w:val="18"/>
      <w:szCs w:val="24"/>
      <w:lang w:eastAsia="da-DK"/>
    </w:rPr>
  </w:style>
  <w:style w:type="paragraph" w:customStyle="1" w:styleId="Normal-SupplementsTOC2">
    <w:name w:val="Normal - Supplements TOC2"/>
    <w:basedOn w:val="Normal"/>
    <w:uiPriority w:val="5"/>
    <w:semiHidden/>
    <w:rsid w:val="008A3FF7"/>
    <w:pPr>
      <w:spacing w:after="0" w:line="240" w:lineRule="atLeast"/>
    </w:pPr>
    <w:rPr>
      <w:rFonts w:ascii="Arial MT Std Light" w:eastAsia="Times" w:hAnsi="Arial MT Std Light" w:cs="Times"/>
      <w:sz w:val="18"/>
      <w:szCs w:val="24"/>
      <w:lang w:eastAsia="da-DK"/>
    </w:rPr>
  </w:style>
  <w:style w:type="paragraph" w:customStyle="1" w:styleId="Normal-Bullet">
    <w:name w:val="Normal - Bullet"/>
    <w:basedOn w:val="Normal"/>
    <w:uiPriority w:val="3"/>
    <w:semiHidden/>
    <w:qFormat/>
    <w:rsid w:val="008A3FF7"/>
    <w:pPr>
      <w:spacing w:after="0" w:line="240" w:lineRule="atLeast"/>
      <w:ind w:left="569" w:hanging="283"/>
    </w:pPr>
    <w:rPr>
      <w:rFonts w:ascii="Arial MT Std Light" w:eastAsia="Times" w:hAnsi="Arial MT Std Light" w:cs="Times"/>
      <w:sz w:val="18"/>
      <w:szCs w:val="24"/>
      <w:lang w:eastAsia="da-DK"/>
    </w:rPr>
  </w:style>
  <w:style w:type="paragraph" w:customStyle="1" w:styleId="Normal-Numbering">
    <w:name w:val="Normal - Numbering"/>
    <w:basedOn w:val="Normal-Bullet"/>
    <w:uiPriority w:val="3"/>
    <w:semiHidden/>
    <w:qFormat/>
    <w:rsid w:val="008A3FF7"/>
    <w:pPr>
      <w:tabs>
        <w:tab w:val="num" w:pos="794"/>
      </w:tabs>
      <w:ind w:left="360" w:hanging="360"/>
    </w:pPr>
  </w:style>
  <w:style w:type="paragraph" w:customStyle="1" w:styleId="Normal-SupplementNumber">
    <w:name w:val="Normal - Supplement Number"/>
    <w:basedOn w:val="Normal"/>
    <w:next w:val="Normal-Supplementtitle"/>
    <w:uiPriority w:val="5"/>
    <w:semiHidden/>
    <w:qFormat/>
    <w:rsid w:val="008A3FF7"/>
    <w:pPr>
      <w:tabs>
        <w:tab w:val="num" w:pos="1209"/>
      </w:tabs>
      <w:spacing w:before="2560" w:after="0" w:line="280" w:lineRule="exact"/>
      <w:outlineLvl w:val="6"/>
    </w:pPr>
    <w:rPr>
      <w:rFonts w:ascii="Arial MT Std Light" w:eastAsia="Times" w:hAnsi="Arial MT Std Light" w:cs="Times"/>
      <w:b/>
      <w:caps/>
      <w:color w:val="009DE0"/>
      <w:szCs w:val="24"/>
      <w:lang w:eastAsia="da-DK"/>
    </w:rPr>
  </w:style>
  <w:style w:type="paragraph" w:customStyle="1" w:styleId="Normal-Supplementtitle">
    <w:name w:val="Normal - Supplement title"/>
    <w:basedOn w:val="Normal-SupplementNumber"/>
    <w:next w:val="Normal"/>
    <w:uiPriority w:val="5"/>
    <w:semiHidden/>
    <w:qFormat/>
    <w:rsid w:val="008A3FF7"/>
    <w:pPr>
      <w:tabs>
        <w:tab w:val="clear" w:pos="1209"/>
      </w:tabs>
      <w:spacing w:before="0"/>
      <w:outlineLvl w:val="7"/>
    </w:pPr>
  </w:style>
  <w:style w:type="paragraph" w:customStyle="1" w:styleId="Normal-Optional1leadtext">
    <w:name w:val="Normal - Optional 1 leadtext"/>
    <w:basedOn w:val="Normal-Documentdataleadtext"/>
    <w:uiPriority w:val="99"/>
    <w:semiHidden/>
    <w:rsid w:val="008A3FF7"/>
  </w:style>
  <w:style w:type="paragraph" w:customStyle="1" w:styleId="Normal-Optional2leadtext">
    <w:name w:val="Normal - Optional 2 leadtext"/>
    <w:basedOn w:val="Normal-Optional1leadtext"/>
    <w:uiPriority w:val="5"/>
    <w:semiHidden/>
    <w:rsid w:val="008A3FF7"/>
  </w:style>
  <w:style w:type="character" w:customStyle="1" w:styleId="TOC4Char">
    <w:name w:val="TOC 4 Char"/>
    <w:basedOn w:val="DefaultParagraphFont"/>
    <w:link w:val="TOC4"/>
    <w:uiPriority w:val="39"/>
    <w:rsid w:val="007D4BB5"/>
    <w:rPr>
      <w:rFonts w:eastAsiaTheme="minorEastAsia"/>
      <w:lang w:val="fr-BE" w:eastAsia="fr-BE"/>
    </w:rPr>
  </w:style>
  <w:style w:type="paragraph" w:customStyle="1" w:styleId="H1-NOTTOC">
    <w:name w:val="H1 - NOT TOC"/>
    <w:basedOn w:val="Heading1"/>
    <w:next w:val="Normal"/>
    <w:uiPriority w:val="2"/>
    <w:rsid w:val="008A3FF7"/>
    <w:pPr>
      <w:numPr>
        <w:numId w:val="19"/>
      </w:numPr>
      <w:spacing w:before="0" w:after="360" w:line="360" w:lineRule="exact"/>
      <w:jc w:val="left"/>
      <w:outlineLvl w:val="9"/>
    </w:pPr>
    <w:rPr>
      <w:rFonts w:ascii="Arial MT Std Light" w:hAnsi="Arial MT Std Light" w:cs="Liberation Serif"/>
      <w:b w:val="0"/>
      <w:bCs/>
      <w:caps/>
      <w:color w:val="009DE0"/>
      <w:sz w:val="28"/>
      <w:szCs w:val="32"/>
      <w:lang w:eastAsia="da-DK"/>
    </w:rPr>
  </w:style>
  <w:style w:type="paragraph" w:customStyle="1" w:styleId="H2-NOTTOC">
    <w:name w:val="H2 - NOT TOC"/>
    <w:basedOn w:val="Heading2"/>
    <w:next w:val="Normal"/>
    <w:uiPriority w:val="2"/>
    <w:rsid w:val="008A3FF7"/>
    <w:pPr>
      <w:tabs>
        <w:tab w:val="clear" w:pos="1200"/>
      </w:tabs>
      <w:spacing w:before="240" w:after="0" w:line="240" w:lineRule="atLeast"/>
      <w:ind w:left="1200" w:hanging="720"/>
      <w:jc w:val="left"/>
      <w:outlineLvl w:val="9"/>
    </w:pPr>
    <w:rPr>
      <w:rFonts w:ascii="Arial MT Std Light" w:hAnsi="Arial MT Std Light" w:cs="Liberation Serif"/>
      <w:b w:val="0"/>
      <w:bCs/>
      <w:iCs/>
      <w:color w:val="0C4DA2"/>
      <w:sz w:val="18"/>
      <w:szCs w:val="28"/>
      <w:lang w:eastAsia="da-DK"/>
    </w:rPr>
  </w:style>
  <w:style w:type="paragraph" w:customStyle="1" w:styleId="H3-NOTTOC">
    <w:name w:val="H3 - NOT TOC"/>
    <w:basedOn w:val="Heading3"/>
    <w:next w:val="Normal"/>
    <w:uiPriority w:val="2"/>
    <w:rsid w:val="008A3FF7"/>
    <w:pPr>
      <w:tabs>
        <w:tab w:val="clear" w:pos="1920"/>
      </w:tabs>
      <w:spacing w:before="240" w:after="0" w:line="240" w:lineRule="atLeast"/>
      <w:ind w:left="1920" w:hanging="720"/>
      <w:jc w:val="left"/>
      <w:outlineLvl w:val="9"/>
    </w:pPr>
    <w:rPr>
      <w:rFonts w:ascii="Arial MT Std Light" w:hAnsi="Arial MT Std Light" w:cs="Liberation Serif"/>
      <w:bCs/>
      <w:color w:val="0C4DA2"/>
      <w:sz w:val="17"/>
      <w:szCs w:val="26"/>
      <w:lang w:eastAsia="da-DK"/>
    </w:rPr>
  </w:style>
  <w:style w:type="paragraph" w:customStyle="1" w:styleId="H4-NOTTOC">
    <w:name w:val="H4 - NOT TOC"/>
    <w:basedOn w:val="Heading4"/>
    <w:next w:val="Normal"/>
    <w:uiPriority w:val="2"/>
    <w:rsid w:val="008A3FF7"/>
    <w:pPr>
      <w:tabs>
        <w:tab w:val="clear" w:pos="1920"/>
      </w:tabs>
      <w:spacing w:before="240" w:after="0" w:line="240" w:lineRule="atLeast"/>
      <w:ind w:left="1920" w:hanging="720"/>
      <w:jc w:val="left"/>
      <w:outlineLvl w:val="9"/>
    </w:pPr>
    <w:rPr>
      <w:rFonts w:ascii="Arial MT Std Light" w:hAnsi="Arial MT Std Light"/>
      <w:bCs/>
      <w:color w:val="0C4DA2"/>
      <w:sz w:val="17"/>
      <w:szCs w:val="28"/>
      <w:lang w:eastAsia="da-DK"/>
    </w:rPr>
  </w:style>
  <w:style w:type="paragraph" w:customStyle="1" w:styleId="Normal-Revleadtext">
    <w:name w:val="Normal - Rev lead text"/>
    <w:basedOn w:val="Normal-RevisionData"/>
    <w:uiPriority w:val="5"/>
    <w:semiHidden/>
    <w:rsid w:val="008A3FF7"/>
    <w:pPr>
      <w:spacing w:after="120"/>
    </w:pPr>
  </w:style>
  <w:style w:type="paragraph" w:customStyle="1" w:styleId="Normal-TOCHeadingSupplements">
    <w:name w:val="Normal - TOC Heading Supplements"/>
    <w:basedOn w:val="Normal-TOCHeading"/>
    <w:uiPriority w:val="5"/>
    <w:semiHidden/>
    <w:rsid w:val="008A3FF7"/>
  </w:style>
  <w:style w:type="paragraph" w:customStyle="1" w:styleId="Footer-NotIndent">
    <w:name w:val="Footer - Not Indent"/>
    <w:basedOn w:val="Footer"/>
    <w:uiPriority w:val="9"/>
    <w:semiHidden/>
    <w:rsid w:val="008A3FF7"/>
    <w:pPr>
      <w:tabs>
        <w:tab w:val="clear" w:pos="4535"/>
        <w:tab w:val="clear" w:pos="9071"/>
        <w:tab w:val="clear" w:pos="9921"/>
        <w:tab w:val="right" w:pos="9509"/>
      </w:tabs>
      <w:spacing w:before="0" w:line="210" w:lineRule="atLeast"/>
      <w:ind w:left="0" w:right="0"/>
    </w:pPr>
    <w:rPr>
      <w:rFonts w:ascii="Arial MT Std Light" w:eastAsia="Times" w:hAnsi="Arial MT Std Light"/>
      <w:sz w:val="13"/>
      <w:szCs w:val="24"/>
      <w:lang w:eastAsia="da-DK"/>
    </w:rPr>
  </w:style>
  <w:style w:type="paragraph" w:customStyle="1" w:styleId="Heading11">
    <w:name w:val="Heading 11"/>
    <w:basedOn w:val="Normal"/>
    <w:uiPriority w:val="99"/>
    <w:semiHidden/>
    <w:rsid w:val="008A3FF7"/>
    <w:pPr>
      <w:spacing w:after="0" w:line="240" w:lineRule="atLeast"/>
    </w:pPr>
    <w:rPr>
      <w:rFonts w:ascii="Arial MT Std Light" w:eastAsia="Times" w:hAnsi="Arial MT Std Light" w:cs="Times"/>
      <w:sz w:val="18"/>
      <w:szCs w:val="24"/>
      <w:lang w:eastAsia="da-DK"/>
    </w:rPr>
  </w:style>
  <w:style w:type="paragraph" w:customStyle="1" w:styleId="Heading21">
    <w:name w:val="Heading 21"/>
    <w:basedOn w:val="Normal"/>
    <w:uiPriority w:val="99"/>
    <w:semiHidden/>
    <w:rsid w:val="008A3FF7"/>
    <w:pPr>
      <w:spacing w:after="0" w:line="240" w:lineRule="atLeast"/>
    </w:pPr>
    <w:rPr>
      <w:rFonts w:ascii="Arial MT Std Light" w:eastAsia="Times" w:hAnsi="Arial MT Std Light" w:cs="Times"/>
      <w:sz w:val="18"/>
      <w:szCs w:val="24"/>
      <w:lang w:eastAsia="da-DK"/>
    </w:rPr>
  </w:style>
  <w:style w:type="paragraph" w:customStyle="1" w:styleId="Heading31">
    <w:name w:val="Heading 31"/>
    <w:basedOn w:val="Normal"/>
    <w:uiPriority w:val="99"/>
    <w:semiHidden/>
    <w:rsid w:val="008A3FF7"/>
    <w:pPr>
      <w:spacing w:after="0" w:line="240" w:lineRule="atLeast"/>
    </w:pPr>
    <w:rPr>
      <w:rFonts w:ascii="Arial MT Std Light" w:eastAsia="Times" w:hAnsi="Arial MT Std Light" w:cs="Times"/>
      <w:sz w:val="18"/>
      <w:szCs w:val="24"/>
      <w:lang w:eastAsia="da-DK"/>
    </w:rPr>
  </w:style>
  <w:style w:type="paragraph" w:customStyle="1" w:styleId="Heading41">
    <w:name w:val="Heading 41"/>
    <w:basedOn w:val="Normal"/>
    <w:uiPriority w:val="99"/>
    <w:semiHidden/>
    <w:rsid w:val="008A3FF7"/>
    <w:pPr>
      <w:spacing w:after="0" w:line="240" w:lineRule="atLeast"/>
    </w:pPr>
    <w:rPr>
      <w:rFonts w:ascii="Arial MT Std Light" w:eastAsia="Times" w:hAnsi="Arial MT Std Light" w:cs="Times"/>
      <w:sz w:val="18"/>
      <w:szCs w:val="24"/>
      <w:lang w:eastAsia="da-DK"/>
    </w:rPr>
  </w:style>
  <w:style w:type="paragraph" w:customStyle="1" w:styleId="Heading51">
    <w:name w:val="Heading 51"/>
    <w:basedOn w:val="Normal"/>
    <w:uiPriority w:val="99"/>
    <w:semiHidden/>
    <w:rsid w:val="008A3FF7"/>
    <w:pPr>
      <w:spacing w:after="0" w:line="240" w:lineRule="atLeast"/>
    </w:pPr>
    <w:rPr>
      <w:rFonts w:ascii="Arial MT Std Light" w:eastAsia="Times" w:hAnsi="Arial MT Std Light" w:cs="Times"/>
      <w:sz w:val="18"/>
      <w:szCs w:val="24"/>
      <w:lang w:eastAsia="da-DK"/>
    </w:rPr>
  </w:style>
  <w:style w:type="paragraph" w:customStyle="1" w:styleId="Heading61">
    <w:name w:val="Heading 61"/>
    <w:basedOn w:val="Normal"/>
    <w:uiPriority w:val="99"/>
    <w:semiHidden/>
    <w:rsid w:val="008A3FF7"/>
    <w:pPr>
      <w:spacing w:after="0" w:line="240" w:lineRule="atLeast"/>
    </w:pPr>
    <w:rPr>
      <w:rFonts w:ascii="Arial MT Std Light" w:eastAsia="Times" w:hAnsi="Arial MT Std Light" w:cs="Times"/>
      <w:sz w:val="18"/>
      <w:szCs w:val="24"/>
      <w:lang w:eastAsia="da-DK"/>
    </w:rPr>
  </w:style>
  <w:style w:type="paragraph" w:customStyle="1" w:styleId="Heading71">
    <w:name w:val="Heading 71"/>
    <w:basedOn w:val="Normal"/>
    <w:uiPriority w:val="99"/>
    <w:semiHidden/>
    <w:rsid w:val="008A3FF7"/>
    <w:pPr>
      <w:spacing w:after="0" w:line="240" w:lineRule="atLeast"/>
    </w:pPr>
    <w:rPr>
      <w:rFonts w:ascii="Arial MT Std Light" w:eastAsia="Times" w:hAnsi="Arial MT Std Light" w:cs="Times"/>
      <w:sz w:val="18"/>
      <w:szCs w:val="24"/>
      <w:lang w:eastAsia="da-DK"/>
    </w:rPr>
  </w:style>
  <w:style w:type="paragraph" w:customStyle="1" w:styleId="Heading81">
    <w:name w:val="Heading 81"/>
    <w:basedOn w:val="Normal"/>
    <w:uiPriority w:val="99"/>
    <w:semiHidden/>
    <w:rsid w:val="008A3FF7"/>
    <w:pPr>
      <w:spacing w:after="0" w:line="240" w:lineRule="atLeast"/>
    </w:pPr>
    <w:rPr>
      <w:rFonts w:ascii="Arial MT Std Light" w:eastAsia="Times" w:hAnsi="Arial MT Std Light" w:cs="Times"/>
      <w:sz w:val="18"/>
      <w:szCs w:val="24"/>
      <w:lang w:eastAsia="da-DK"/>
    </w:rPr>
  </w:style>
  <w:style w:type="paragraph" w:customStyle="1" w:styleId="Heading91">
    <w:name w:val="Heading 91"/>
    <w:basedOn w:val="Normal"/>
    <w:uiPriority w:val="99"/>
    <w:semiHidden/>
    <w:rsid w:val="008A3FF7"/>
    <w:pPr>
      <w:spacing w:after="0" w:line="240" w:lineRule="atLeast"/>
    </w:pPr>
    <w:rPr>
      <w:rFonts w:ascii="Arial MT Std Light" w:eastAsia="Times" w:hAnsi="Arial MT Std Light" w:cs="Times"/>
      <w:sz w:val="18"/>
      <w:szCs w:val="24"/>
      <w:lang w:eastAsia="da-DK"/>
    </w:rPr>
  </w:style>
  <w:style w:type="paragraph" w:customStyle="1" w:styleId="H1-Spacebefore">
    <w:name w:val="H1 - Space before"/>
    <w:basedOn w:val="Heading1"/>
    <w:next w:val="Normal"/>
    <w:uiPriority w:val="2"/>
    <w:rsid w:val="008A3FF7"/>
    <w:pPr>
      <w:tabs>
        <w:tab w:val="clear" w:pos="480"/>
        <w:tab w:val="num" w:pos="0"/>
        <w:tab w:val="num" w:pos="1485"/>
      </w:tabs>
      <w:spacing w:before="2840" w:after="230" w:line="360" w:lineRule="atLeast"/>
      <w:ind w:left="432" w:hanging="624"/>
      <w:jc w:val="left"/>
    </w:pPr>
    <w:rPr>
      <w:rFonts w:ascii="Arial MT Std Light" w:hAnsi="Arial MT Std Light" w:cs="Liberation Serif"/>
      <w:b w:val="0"/>
      <w:bCs/>
      <w:caps/>
      <w:color w:val="009DE0"/>
      <w:sz w:val="28"/>
      <w:szCs w:val="32"/>
      <w:lang w:eastAsia="da-DK"/>
    </w:rPr>
  </w:style>
  <w:style w:type="numbering" w:customStyle="1" w:styleId="list-bullet-color">
    <w:name w:val="list-bullet-color"/>
    <w:rsid w:val="008A3FF7"/>
    <w:pPr>
      <w:numPr>
        <w:numId w:val="19"/>
      </w:numPr>
    </w:pPr>
  </w:style>
  <w:style w:type="character" w:customStyle="1" w:styleId="A6">
    <w:name w:val="A6"/>
    <w:uiPriority w:val="99"/>
    <w:rsid w:val="008A3FF7"/>
    <w:rPr>
      <w:color w:val="000000"/>
      <w:sz w:val="18"/>
    </w:rPr>
  </w:style>
  <w:style w:type="table" w:customStyle="1" w:styleId="LightShading-Accent11">
    <w:name w:val="Light Shading - Accent 11"/>
    <w:basedOn w:val="TableNormal"/>
    <w:uiPriority w:val="60"/>
    <w:rsid w:val="008A3FF7"/>
    <w:pPr>
      <w:spacing w:after="0" w:line="240" w:lineRule="auto"/>
    </w:pPr>
    <w:rPr>
      <w:rFonts w:ascii="Times" w:eastAsia="Times" w:hAnsi="Times" w:cs="Times"/>
      <w:color w:val="CE3A1C"/>
      <w:sz w:val="20"/>
      <w:szCs w:val="20"/>
      <w:lang w:val="da-DK" w:eastAsia="da-DK"/>
    </w:rPr>
    <w:tblPr>
      <w:tblStyleRowBandSize w:val="1"/>
      <w:tblStyleColBandSize w:val="1"/>
      <w:tblBorders>
        <w:top w:val="single" w:sz="8" w:space="0" w:color="E76C53"/>
        <w:bottom w:val="single" w:sz="8" w:space="0" w:color="E76C53"/>
      </w:tblBorders>
    </w:tblPr>
    <w:tblStylePr w:type="firstRow">
      <w:pPr>
        <w:spacing w:before="0" w:after="0" w:line="240" w:lineRule="auto"/>
      </w:pPr>
      <w:rPr>
        <w:b/>
        <w:bCs/>
      </w:rPr>
      <w:tblPr/>
      <w:tcPr>
        <w:tcBorders>
          <w:top w:val="single" w:sz="8" w:space="0" w:color="E76C53"/>
          <w:left w:val="nil"/>
          <w:bottom w:val="single" w:sz="8" w:space="0" w:color="E76C53"/>
          <w:right w:val="nil"/>
          <w:insideH w:val="nil"/>
          <w:insideV w:val="nil"/>
        </w:tcBorders>
      </w:tcPr>
    </w:tblStylePr>
    <w:tblStylePr w:type="lastRow">
      <w:pPr>
        <w:spacing w:before="0" w:after="0" w:line="240" w:lineRule="auto"/>
      </w:pPr>
      <w:rPr>
        <w:b/>
        <w:bCs/>
      </w:rPr>
      <w:tblPr/>
      <w:tcPr>
        <w:tcBorders>
          <w:top w:val="single" w:sz="8" w:space="0" w:color="E76C53"/>
          <w:left w:val="nil"/>
          <w:bottom w:val="single" w:sz="8" w:space="0" w:color="E76C5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AD4"/>
      </w:tcPr>
    </w:tblStylePr>
    <w:tblStylePr w:type="band1Horz">
      <w:tblPr/>
      <w:tcPr>
        <w:tcBorders>
          <w:left w:val="nil"/>
          <w:right w:val="nil"/>
          <w:insideH w:val="nil"/>
          <w:insideV w:val="nil"/>
        </w:tcBorders>
        <w:shd w:val="clear" w:color="auto" w:fill="F9DAD4"/>
      </w:tcPr>
    </w:tblStylePr>
  </w:style>
  <w:style w:type="paragraph" w:styleId="IntenseQuote">
    <w:name w:val="Intense Quote"/>
    <w:basedOn w:val="Normal"/>
    <w:next w:val="Normal"/>
    <w:link w:val="IntenseQuoteChar"/>
    <w:uiPriority w:val="30"/>
    <w:qFormat/>
    <w:rsid w:val="008A3FF7"/>
    <w:pPr>
      <w:pBdr>
        <w:bottom w:val="single" w:sz="4" w:space="4" w:color="4F81BD"/>
      </w:pBdr>
      <w:spacing w:before="200" w:after="280"/>
      <w:ind w:left="936" w:right="936"/>
    </w:pPr>
    <w:rPr>
      <w:rFonts w:ascii="Symbol" w:eastAsia="Arial (TT)" w:hAnsi="Symbol" w:cs="Times"/>
      <w:b/>
      <w:bCs/>
      <w:i/>
      <w:iCs/>
      <w:color w:val="4F81BD"/>
      <w:lang w:val="en-US" w:eastAsia="ja-JP"/>
    </w:rPr>
  </w:style>
  <w:style w:type="character" w:customStyle="1" w:styleId="IntenseQuoteChar">
    <w:name w:val="Intense Quote Char"/>
    <w:basedOn w:val="DefaultParagraphFont"/>
    <w:link w:val="IntenseQuote"/>
    <w:uiPriority w:val="30"/>
    <w:rsid w:val="008A3FF7"/>
    <w:rPr>
      <w:rFonts w:ascii="Symbol" w:eastAsia="Arial (TT)" w:hAnsi="Symbol" w:cs="Times"/>
      <w:b/>
      <w:bCs/>
      <w:i/>
      <w:iCs/>
      <w:color w:val="4F81BD"/>
      <w:lang w:val="en-US" w:eastAsia="ja-JP"/>
    </w:rPr>
  </w:style>
  <w:style w:type="paragraph" w:customStyle="1" w:styleId="StyleHeading2berschrift2Anhangberschrift2Anhang1berschr">
    <w:name w:val="Style Heading 2Überschrift 2 AnhangÜberschrift 2 Anhang1Überschr..."/>
    <w:basedOn w:val="Heading2"/>
    <w:autoRedefine/>
    <w:rsid w:val="008A3FF7"/>
    <w:pPr>
      <w:tabs>
        <w:tab w:val="clear" w:pos="1200"/>
      </w:tabs>
      <w:spacing w:before="240" w:after="360"/>
      <w:ind w:left="0" w:firstLine="0"/>
    </w:pPr>
    <w:rPr>
      <w:rFonts w:ascii="Liberation Serif" w:hAnsi="Liberation Serif" w:cs="Liberation Serif"/>
      <w:b w:val="0"/>
      <w:color w:val="0C4DA2"/>
      <w:sz w:val="32"/>
      <w:szCs w:val="24"/>
    </w:rPr>
  </w:style>
  <w:style w:type="paragraph" w:customStyle="1" w:styleId="text-close">
    <w:name w:val="text-close"/>
    <w:basedOn w:val="Normal"/>
    <w:rsid w:val="008A3FF7"/>
    <w:pPr>
      <w:spacing w:before="90" w:after="30" w:line="240" w:lineRule="atLeast"/>
    </w:pPr>
    <w:rPr>
      <w:rFonts w:ascii="Liberation Serif" w:eastAsia="Times" w:hAnsi="Liberation Serif" w:cs="Liberation Serif"/>
      <w:color w:val="000000"/>
      <w:sz w:val="18"/>
      <w:szCs w:val="18"/>
      <w:lang w:eastAsia="en-GB"/>
    </w:rPr>
  </w:style>
  <w:style w:type="paragraph" w:customStyle="1" w:styleId="CarCarCar">
    <w:name w:val="Car Car Car"/>
    <w:basedOn w:val="Normal"/>
    <w:rsid w:val="008A3FF7"/>
    <w:pPr>
      <w:spacing w:after="160" w:line="240" w:lineRule="exact"/>
    </w:pPr>
    <w:rPr>
      <w:rFonts w:ascii="Arial MT Std Light" w:eastAsia="Times" w:hAnsi="Arial MT Std Light" w:cs="Times"/>
      <w:sz w:val="20"/>
      <w:szCs w:val="20"/>
      <w:lang w:val="nl-BE"/>
    </w:rPr>
  </w:style>
  <w:style w:type="character" w:customStyle="1" w:styleId="matrixheaderfooterChar">
    <w:name w:val="matrix_header/footer Char"/>
    <w:basedOn w:val="DefaultParagraphFont"/>
    <w:rsid w:val="008A3FF7"/>
    <w:rPr>
      <w:rFonts w:ascii="Liberation Serif" w:hAnsi="Liberation Serif" w:cs="Liberation Serif" w:hint="default"/>
      <w:color w:val="000000"/>
      <w:sz w:val="16"/>
      <w:lang w:val="en-GB" w:eastAsia="en-US" w:bidi="ar-SA"/>
    </w:rPr>
  </w:style>
  <w:style w:type="paragraph" w:customStyle="1" w:styleId="CarCarCar1">
    <w:name w:val="Car Car Car1"/>
    <w:basedOn w:val="Normal"/>
    <w:rsid w:val="008A3FF7"/>
    <w:pPr>
      <w:spacing w:after="160" w:line="240" w:lineRule="exact"/>
    </w:pPr>
    <w:rPr>
      <w:rFonts w:ascii="Arial MT Std Light" w:eastAsia="Times" w:hAnsi="Arial MT Std Light" w:cs="Times"/>
      <w:sz w:val="20"/>
      <w:szCs w:val="20"/>
      <w:lang w:val="nl-BE"/>
    </w:rPr>
  </w:style>
  <w:style w:type="character" w:customStyle="1" w:styleId="BodyTextCharCharCharCharCharChar">
    <w:name w:val="Body Text Char Char Char Char Char Char"/>
    <w:aliases w:val="Body Text Char Char Char Char Char Char Char Char"/>
    <w:rsid w:val="008A3FF7"/>
    <w:rPr>
      <w:rFonts w:ascii="EUAlbertina" w:hAnsi="EUAlbertina"/>
      <w:sz w:val="24"/>
      <w:lang w:val="en-GB" w:eastAsia="en-GB" w:bidi="ar-SA"/>
    </w:rPr>
  </w:style>
  <w:style w:type="character" w:customStyle="1" w:styleId="st1">
    <w:name w:val="st1"/>
    <w:basedOn w:val="DefaultParagraphFont"/>
    <w:rsid w:val="008A3FF7"/>
  </w:style>
  <w:style w:type="paragraph" w:customStyle="1" w:styleId="BodyCopy0">
    <w:name w:val="Body Copy"/>
    <w:link w:val="BodyCopyChar0"/>
    <w:rsid w:val="008A3FF7"/>
    <w:pPr>
      <w:suppressAutoHyphens/>
      <w:autoSpaceDE w:val="0"/>
      <w:autoSpaceDN w:val="0"/>
      <w:adjustRightInd w:val="0"/>
      <w:spacing w:before="117" w:after="153" w:line="270" w:lineRule="atLeast"/>
      <w:textAlignment w:val="center"/>
    </w:pPr>
    <w:rPr>
      <w:rFonts w:ascii="Liberation Serif" w:eastAsia="Times" w:hAnsi="Liberation Serif" w:cs="Optima"/>
      <w:color w:val="000000"/>
      <w:sz w:val="20"/>
      <w:szCs w:val="20"/>
    </w:rPr>
  </w:style>
  <w:style w:type="character" w:customStyle="1" w:styleId="BodyCopyChar0">
    <w:name w:val="Body Copy Char"/>
    <w:basedOn w:val="DefaultParagraphFont"/>
    <w:link w:val="BodyCopy0"/>
    <w:rsid w:val="008A3FF7"/>
    <w:rPr>
      <w:rFonts w:ascii="Liberation Serif" w:eastAsia="Times" w:hAnsi="Liberation Serif" w:cs="Optima"/>
      <w:color w:val="000000"/>
      <w:sz w:val="20"/>
      <w:szCs w:val="20"/>
    </w:rPr>
  </w:style>
  <w:style w:type="table" w:customStyle="1" w:styleId="GridTable5Dark-Accent11">
    <w:name w:val="Grid Table 5 Dark - Accent 11"/>
    <w:basedOn w:val="TableNormal"/>
    <w:uiPriority w:val="50"/>
    <w:rsid w:val="008A3FF7"/>
    <w:pPr>
      <w:spacing w:after="0" w:line="240" w:lineRule="auto"/>
    </w:pPr>
    <w:rPr>
      <w:rFonts w:ascii="Times" w:eastAsia="Symbol" w:hAnsi="Times" w:cs="Times"/>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AE1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76C53"/>
      </w:tcPr>
    </w:tblStylePr>
    <w:tblStylePr w:type="lastRow">
      <w:rPr>
        <w:b/>
        <w:bCs/>
        <w:color w:val="000000"/>
      </w:rPr>
      <w:tblPr/>
      <w:tcPr>
        <w:tcBorders>
          <w:left w:val="single" w:sz="4" w:space="0" w:color="FFFFFF"/>
          <w:bottom w:val="single" w:sz="4" w:space="0" w:color="FFFFFF"/>
          <w:right w:val="single" w:sz="4" w:space="0" w:color="FFFFFF"/>
          <w:insideH w:val="nil"/>
          <w:insideV w:val="nil"/>
        </w:tcBorders>
        <w:shd w:val="clear" w:color="auto" w:fill="E76C5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76C5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76C53"/>
      </w:tcPr>
    </w:tblStylePr>
    <w:tblStylePr w:type="band1Vert">
      <w:tblPr/>
      <w:tcPr>
        <w:shd w:val="clear" w:color="auto" w:fill="F5C3B9"/>
      </w:tcPr>
    </w:tblStylePr>
    <w:tblStylePr w:type="band1Horz">
      <w:tblPr/>
      <w:tcPr>
        <w:shd w:val="clear" w:color="auto" w:fill="F5C3B9"/>
      </w:tcPr>
    </w:tblStylePr>
  </w:style>
  <w:style w:type="paragraph" w:customStyle="1" w:styleId="BodyBullets">
    <w:name w:val="Body Bullets"/>
    <w:basedOn w:val="Normal"/>
    <w:uiPriority w:val="99"/>
    <w:qFormat/>
    <w:rsid w:val="008A3FF7"/>
    <w:pPr>
      <w:tabs>
        <w:tab w:val="num" w:pos="284"/>
      </w:tabs>
      <w:suppressAutoHyphens/>
      <w:spacing w:before="120" w:after="120" w:line="240" w:lineRule="exact"/>
      <w:ind w:left="720" w:hanging="284"/>
      <w:jc w:val="both"/>
    </w:pPr>
    <w:rPr>
      <w:rFonts w:ascii="Arial MT Std Light" w:hAnsi="Arial MT Std Light" w:cs="Liberation Serif"/>
      <w:kern w:val="12"/>
      <w:sz w:val="20"/>
      <w:szCs w:val="20"/>
    </w:rPr>
  </w:style>
  <w:style w:type="paragraph" w:customStyle="1" w:styleId="bodytekst">
    <w:name w:val="bodytekst"/>
    <w:basedOn w:val="Normal"/>
    <w:link w:val="bodytekstChar"/>
    <w:rsid w:val="008A3FF7"/>
    <w:pPr>
      <w:spacing w:after="0" w:line="260" w:lineRule="atLeast"/>
    </w:pPr>
    <w:rPr>
      <w:rFonts w:ascii="Arial MT Std Light" w:eastAsia="Times" w:hAnsi="Arial MT Std Light" w:cs="Times"/>
      <w:spacing w:val="6"/>
      <w:sz w:val="17"/>
      <w:szCs w:val="17"/>
      <w:lang w:val="nl-NL"/>
    </w:rPr>
  </w:style>
  <w:style w:type="character" w:customStyle="1" w:styleId="bodytekstChar">
    <w:name w:val="bodytekst Char"/>
    <w:link w:val="bodytekst"/>
    <w:rsid w:val="008A3FF7"/>
    <w:rPr>
      <w:rFonts w:ascii="Arial MT Std Light" w:eastAsia="Times" w:hAnsi="Arial MT Std Light" w:cs="Times"/>
      <w:spacing w:val="6"/>
      <w:sz w:val="17"/>
      <w:szCs w:val="17"/>
      <w:lang w:val="nl-NL"/>
    </w:rPr>
  </w:style>
  <w:style w:type="numbering" w:customStyle="1" w:styleId="LEMinorBulletList">
    <w:name w:val="LE Minor Bullet List"/>
    <w:basedOn w:val="NoList"/>
    <w:uiPriority w:val="99"/>
    <w:rsid w:val="008A3FF7"/>
    <w:pPr>
      <w:numPr>
        <w:numId w:val="34"/>
      </w:numPr>
    </w:pPr>
  </w:style>
  <w:style w:type="paragraph" w:customStyle="1" w:styleId="LEMinorBulletText">
    <w:name w:val="LE Minor Bullet Text"/>
    <w:basedOn w:val="Normal"/>
    <w:rsid w:val="008A3FF7"/>
    <w:pPr>
      <w:tabs>
        <w:tab w:val="num" w:pos="794"/>
      </w:tabs>
      <w:spacing w:before="60" w:after="60" w:line="240" w:lineRule="auto"/>
      <w:ind w:left="720" w:hanging="360"/>
      <w:jc w:val="both"/>
    </w:pPr>
    <w:rPr>
      <w:rFonts w:ascii="Symbol" w:eastAsia="Times" w:hAnsi="Symbol" w:cs="Times"/>
    </w:rPr>
  </w:style>
  <w:style w:type="paragraph" w:customStyle="1" w:styleId="ColumnHeading">
    <w:name w:val="Column Heading"/>
    <w:uiPriority w:val="99"/>
    <w:rsid w:val="008A3FF7"/>
    <w:pPr>
      <w:spacing w:after="0" w:line="240" w:lineRule="auto"/>
    </w:pPr>
    <w:rPr>
      <w:rFonts w:ascii="Liberation Serif" w:eastAsia="Times" w:hAnsi="Liberation Serif" w:cs="Times"/>
      <w:b/>
      <w:sz w:val="18"/>
      <w:szCs w:val="16"/>
      <w:lang w:eastAsia="en-GB"/>
    </w:rPr>
  </w:style>
  <w:style w:type="table" w:customStyle="1" w:styleId="LightList-Accent13">
    <w:name w:val="Light List - Accent 13"/>
    <w:basedOn w:val="TableNormal"/>
    <w:next w:val="LightList-Accent1"/>
    <w:uiPriority w:val="61"/>
    <w:rsid w:val="008A3FF7"/>
    <w:pPr>
      <w:spacing w:after="0" w:line="240" w:lineRule="auto"/>
    </w:pPr>
    <w:rPr>
      <w:rFonts w:ascii="Arial MT Std Light" w:eastAsia="Times" w:hAnsi="Arial MT Std Light" w:cs="Times"/>
      <w:sz w:val="18"/>
      <w:szCs w:val="18"/>
      <w:lang w:val="da-DK" w:eastAsia="da-DK"/>
    </w:rPr>
    <w:tblPr>
      <w:tblStyleRowBandSize w:val="1"/>
      <w:tblStyleColBandSize w:val="1"/>
      <w:tblBorders>
        <w:top w:val="single" w:sz="8" w:space="0" w:color="E76C53"/>
        <w:left w:val="single" w:sz="8" w:space="0" w:color="E76C53"/>
        <w:bottom w:val="single" w:sz="8" w:space="0" w:color="E76C53"/>
        <w:right w:val="single" w:sz="8" w:space="0" w:color="E76C53"/>
      </w:tblBorders>
    </w:tblPr>
    <w:tblStylePr w:type="firstRow">
      <w:pPr>
        <w:spacing w:before="0" w:after="0" w:line="240" w:lineRule="auto"/>
      </w:pPr>
      <w:rPr>
        <w:b/>
        <w:bCs/>
        <w:color w:val="FFFFFF"/>
      </w:rPr>
      <w:tblPr/>
      <w:tcPr>
        <w:shd w:val="clear" w:color="auto" w:fill="E76C53"/>
      </w:tcPr>
    </w:tblStylePr>
    <w:tblStylePr w:type="lastRow">
      <w:pPr>
        <w:spacing w:before="0" w:after="0" w:line="240" w:lineRule="auto"/>
      </w:pPr>
      <w:rPr>
        <w:b/>
        <w:bCs/>
      </w:rPr>
      <w:tblPr/>
      <w:tcPr>
        <w:tcBorders>
          <w:top w:val="double" w:sz="6" w:space="0" w:color="E76C53"/>
          <w:left w:val="single" w:sz="8" w:space="0" w:color="E76C53"/>
          <w:bottom w:val="single" w:sz="8" w:space="0" w:color="E76C53"/>
          <w:right w:val="single" w:sz="8" w:space="0" w:color="E76C53"/>
        </w:tcBorders>
      </w:tcPr>
    </w:tblStylePr>
    <w:tblStylePr w:type="firstCol">
      <w:rPr>
        <w:b/>
        <w:bCs/>
      </w:rPr>
    </w:tblStylePr>
    <w:tblStylePr w:type="lastCol">
      <w:rPr>
        <w:b/>
        <w:bCs/>
      </w:rPr>
    </w:tblStylePr>
    <w:tblStylePr w:type="band1Vert">
      <w:tblPr/>
      <w:tcPr>
        <w:tcBorders>
          <w:top w:val="single" w:sz="8" w:space="0" w:color="E76C53"/>
          <w:left w:val="single" w:sz="8" w:space="0" w:color="E76C53"/>
          <w:bottom w:val="single" w:sz="8" w:space="0" w:color="E76C53"/>
          <w:right w:val="single" w:sz="8" w:space="0" w:color="E76C53"/>
        </w:tcBorders>
      </w:tcPr>
    </w:tblStylePr>
    <w:tblStylePr w:type="band1Horz">
      <w:tblPr/>
      <w:tcPr>
        <w:tcBorders>
          <w:top w:val="single" w:sz="8" w:space="0" w:color="E76C53"/>
          <w:left w:val="single" w:sz="8" w:space="0" w:color="E76C53"/>
          <w:bottom w:val="single" w:sz="8" w:space="0" w:color="E76C53"/>
          <w:right w:val="single" w:sz="8" w:space="0" w:color="E76C53"/>
        </w:tcBorders>
      </w:tcPr>
    </w:tblStylePr>
  </w:style>
  <w:style w:type="table" w:customStyle="1" w:styleId="LightList-Accent31">
    <w:name w:val="Light List - Accent 31"/>
    <w:basedOn w:val="TableNormal"/>
    <w:next w:val="LightList-Accent3"/>
    <w:uiPriority w:val="61"/>
    <w:rsid w:val="008A3FF7"/>
    <w:pPr>
      <w:spacing w:after="0" w:line="240" w:lineRule="auto"/>
    </w:pPr>
    <w:rPr>
      <w:rFonts w:ascii="Arial" w:eastAsia="Arial" w:hAnsi="Arial" w:cs="Times"/>
      <w:sz w:val="20"/>
      <w:szCs w:val="20"/>
      <w:lang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table" w:customStyle="1" w:styleId="LightList-Accent32">
    <w:name w:val="Light List - Accent 32"/>
    <w:basedOn w:val="TableNormal"/>
    <w:next w:val="LightList-Accent3"/>
    <w:uiPriority w:val="61"/>
    <w:semiHidden/>
    <w:unhideWhenUsed/>
    <w:rsid w:val="008A3FF7"/>
    <w:pPr>
      <w:spacing w:after="0" w:line="240" w:lineRule="auto"/>
    </w:pPr>
    <w:rPr>
      <w:rFonts w:ascii="Times" w:eastAsia="Symbol" w:hAnsi="Times" w:cs="Times"/>
      <w:sz w:val="20"/>
      <w:szCs w:val="20"/>
      <w:lang w:eastAsia="en-GB"/>
    </w:rPr>
    <w:tblPr>
      <w:tblStyleRowBandSize w:val="1"/>
      <w:tblStyleColBandSize w:val="1"/>
      <w:tblBorders>
        <w:top w:val="single" w:sz="8" w:space="0" w:color="ED8D2F"/>
        <w:left w:val="single" w:sz="8" w:space="0" w:color="ED8D2F"/>
        <w:bottom w:val="single" w:sz="8" w:space="0" w:color="ED8D2F"/>
        <w:right w:val="single" w:sz="8" w:space="0" w:color="ED8D2F"/>
      </w:tblBorders>
    </w:tblPr>
    <w:tblStylePr w:type="firstRow">
      <w:pPr>
        <w:spacing w:before="0" w:after="0" w:line="240" w:lineRule="auto"/>
      </w:pPr>
      <w:rPr>
        <w:b/>
        <w:bCs/>
        <w:color w:val="FFFFFF"/>
      </w:rPr>
      <w:tblPr/>
      <w:tcPr>
        <w:shd w:val="clear" w:color="auto" w:fill="ED8D2F"/>
      </w:tcPr>
    </w:tblStylePr>
    <w:tblStylePr w:type="lastRow">
      <w:pPr>
        <w:spacing w:before="0" w:after="0" w:line="240" w:lineRule="auto"/>
      </w:pPr>
      <w:rPr>
        <w:b/>
        <w:bCs/>
      </w:rPr>
      <w:tblPr/>
      <w:tcPr>
        <w:tcBorders>
          <w:top w:val="double" w:sz="6" w:space="0" w:color="ED8D2F"/>
          <w:left w:val="single" w:sz="8" w:space="0" w:color="ED8D2F"/>
          <w:bottom w:val="single" w:sz="8" w:space="0" w:color="ED8D2F"/>
          <w:right w:val="single" w:sz="8" w:space="0" w:color="ED8D2F"/>
        </w:tcBorders>
      </w:tcPr>
    </w:tblStylePr>
    <w:tblStylePr w:type="firstCol">
      <w:rPr>
        <w:b/>
        <w:bCs/>
      </w:rPr>
    </w:tblStylePr>
    <w:tblStylePr w:type="lastCol">
      <w:rPr>
        <w:b/>
        <w:bCs/>
      </w:rPr>
    </w:tblStylePr>
    <w:tblStylePr w:type="band1Vert">
      <w:tblPr/>
      <w:tcPr>
        <w:tcBorders>
          <w:top w:val="single" w:sz="8" w:space="0" w:color="ED8D2F"/>
          <w:left w:val="single" w:sz="8" w:space="0" w:color="ED8D2F"/>
          <w:bottom w:val="single" w:sz="8" w:space="0" w:color="ED8D2F"/>
          <w:right w:val="single" w:sz="8" w:space="0" w:color="ED8D2F"/>
        </w:tcBorders>
      </w:tcPr>
    </w:tblStylePr>
    <w:tblStylePr w:type="band1Horz">
      <w:tblPr/>
      <w:tcPr>
        <w:tcBorders>
          <w:top w:val="single" w:sz="8" w:space="0" w:color="ED8D2F"/>
          <w:left w:val="single" w:sz="8" w:space="0" w:color="ED8D2F"/>
          <w:bottom w:val="single" w:sz="8" w:space="0" w:color="ED8D2F"/>
          <w:right w:val="single" w:sz="8" w:space="0" w:color="ED8D2F"/>
        </w:tcBorders>
      </w:tcPr>
    </w:tblStylePr>
  </w:style>
  <w:style w:type="table" w:customStyle="1" w:styleId="LightList-Accent121">
    <w:name w:val="Light List - Accent 121"/>
    <w:uiPriority w:val="61"/>
    <w:rsid w:val="008A3FF7"/>
    <w:pPr>
      <w:spacing w:after="0" w:line="240" w:lineRule="auto"/>
    </w:pPr>
    <w:rPr>
      <w:rFonts w:ascii="Symbol" w:eastAsia="Symbol" w:hAnsi="Symbol" w:cs="Times"/>
      <w:sz w:val="20"/>
      <w:szCs w:val="20"/>
      <w:lang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eGrid50">
    <w:name w:val="Table Grid5"/>
    <w:basedOn w:val="TableNormal"/>
    <w:next w:val="TableGrid"/>
    <w:uiPriority w:val="39"/>
    <w:rsid w:val="008A3FF7"/>
    <w:pPr>
      <w:spacing w:after="0" w:line="240" w:lineRule="auto"/>
    </w:pPr>
    <w:rPr>
      <w:rFonts w:ascii="Symbol" w:eastAsia="Symbol" w:hAnsi="Symbol"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niPage1027">
    <w:name w:val="OmniPage #1027"/>
    <w:rsid w:val="008A3FF7"/>
    <w:pPr>
      <w:tabs>
        <w:tab w:val="left" w:pos="50"/>
        <w:tab w:val="right" w:pos="8165"/>
      </w:tabs>
      <w:spacing w:after="0" w:line="232" w:lineRule="exact"/>
    </w:pPr>
    <w:rPr>
      <w:rFonts w:ascii="Liberation Serif" w:eastAsia="Times" w:hAnsi="Liberation Serif" w:cs="Times"/>
      <w:sz w:val="20"/>
      <w:szCs w:val="20"/>
      <w:lang w:val="en-US" w:eastAsia="ko-KR"/>
    </w:rPr>
  </w:style>
  <w:style w:type="character" w:customStyle="1" w:styleId="BodyEEChar">
    <w:name w:val="Body EE Char"/>
    <w:basedOn w:val="DefaultParagraphFont"/>
    <w:link w:val="BodyEE"/>
    <w:qFormat/>
    <w:locked/>
    <w:rsid w:val="008A3FF7"/>
    <w:rPr>
      <w:rFonts w:ascii="Segoe UI" w:eastAsia="Segoe UI" w:hAnsi="Segoe UI"/>
      <w:color w:val="38383A"/>
      <w:szCs w:val="60"/>
    </w:rPr>
  </w:style>
  <w:style w:type="paragraph" w:customStyle="1" w:styleId="BodyEE">
    <w:name w:val="Body EE"/>
    <w:basedOn w:val="Normal"/>
    <w:link w:val="BodyEEChar"/>
    <w:rsid w:val="008A3FF7"/>
    <w:pPr>
      <w:spacing w:after="120" w:line="264" w:lineRule="auto"/>
      <w:jc w:val="both"/>
    </w:pPr>
    <w:rPr>
      <w:rFonts w:ascii="Segoe UI" w:eastAsia="Segoe UI" w:hAnsi="Segoe UI"/>
      <w:color w:val="38383A"/>
      <w:szCs w:val="60"/>
    </w:rPr>
  </w:style>
  <w:style w:type="paragraph" w:customStyle="1" w:styleId="Bulletlevel1">
    <w:name w:val="Bullet level 1"/>
    <w:basedOn w:val="Normal"/>
    <w:link w:val="Bulletlevel1Char"/>
    <w:rsid w:val="008A3FF7"/>
    <w:pPr>
      <w:suppressAutoHyphens/>
      <w:autoSpaceDE w:val="0"/>
      <w:autoSpaceDN w:val="0"/>
      <w:adjustRightInd w:val="0"/>
      <w:spacing w:after="120" w:line="264" w:lineRule="auto"/>
      <w:ind w:left="720" w:hanging="360"/>
      <w:contextualSpacing/>
      <w:jc w:val="both"/>
      <w:textAlignment w:val="center"/>
    </w:pPr>
    <w:rPr>
      <w:rFonts w:cs="Calibri"/>
      <w:color w:val="0C4DA2"/>
      <w:szCs w:val="18"/>
    </w:rPr>
  </w:style>
  <w:style w:type="character" w:customStyle="1" w:styleId="Bulletlevel1Char">
    <w:name w:val="Bullet level 1 Char"/>
    <w:basedOn w:val="DefaultParagraphFont"/>
    <w:link w:val="Bulletlevel1"/>
    <w:rsid w:val="008A3FF7"/>
    <w:rPr>
      <w:rFonts w:cs="Calibri"/>
      <w:color w:val="0C4DA2"/>
      <w:szCs w:val="18"/>
    </w:rPr>
  </w:style>
  <w:style w:type="paragraph" w:customStyle="1" w:styleId="EmphasisPurple">
    <w:name w:val="Emphasis Purple"/>
    <w:basedOn w:val="BodyEE"/>
    <w:link w:val="EmphasisPurpleChar"/>
    <w:rsid w:val="008A3FF7"/>
    <w:rPr>
      <w:color w:val="E76C53"/>
    </w:rPr>
  </w:style>
  <w:style w:type="character" w:customStyle="1" w:styleId="EmphasisPurpleChar">
    <w:name w:val="Emphasis Purple Char"/>
    <w:basedOn w:val="BodyEEChar"/>
    <w:link w:val="EmphasisPurple"/>
    <w:rsid w:val="008A3FF7"/>
    <w:rPr>
      <w:rFonts w:ascii="Gill Sans MT" w:eastAsia="Gill Sans MT" w:hAnsi="Gill Sans MT"/>
      <w:color w:val="E76C53"/>
      <w:szCs w:val="60"/>
    </w:rPr>
  </w:style>
  <w:style w:type="numbering" w:customStyle="1" w:styleId="Listbullets">
    <w:name w:val="List bullets"/>
    <w:basedOn w:val="NoList"/>
    <w:uiPriority w:val="99"/>
    <w:rsid w:val="008A3FF7"/>
    <w:pPr>
      <w:numPr>
        <w:numId w:val="21"/>
      </w:numPr>
    </w:pPr>
  </w:style>
  <w:style w:type="paragraph" w:customStyle="1" w:styleId="OAbullettext">
    <w:name w:val="OA bullet text"/>
    <w:basedOn w:val="Normal"/>
    <w:uiPriority w:val="99"/>
    <w:qFormat/>
    <w:rsid w:val="008A3FF7"/>
    <w:pPr>
      <w:tabs>
        <w:tab w:val="num" w:pos="794"/>
      </w:tabs>
      <w:spacing w:before="30" w:after="30" w:line="240" w:lineRule="auto"/>
      <w:ind w:left="794" w:hanging="363"/>
      <w:jc w:val="both"/>
    </w:pPr>
    <w:rPr>
      <w:rFonts w:eastAsia="MS PGothic"/>
      <w:color w:val="EEECE1"/>
      <w:sz w:val="20"/>
      <w:szCs w:val="24"/>
    </w:rPr>
  </w:style>
  <w:style w:type="table" w:customStyle="1" w:styleId="ListTable3-Accent51">
    <w:name w:val="List Table 3 - Accent 51"/>
    <w:basedOn w:val="TableNormal"/>
    <w:uiPriority w:val="48"/>
    <w:rsid w:val="008A3FF7"/>
    <w:pPr>
      <w:spacing w:after="0" w:line="240" w:lineRule="auto"/>
    </w:pPr>
    <w:tblPr>
      <w:tblStyleRowBandSize w:val="1"/>
      <w:tblStyleColBandSize w:val="1"/>
      <w:tblBorders>
        <w:top w:val="single" w:sz="4" w:space="0" w:color="4BC5DE"/>
        <w:left w:val="single" w:sz="4" w:space="0" w:color="4BC5DE"/>
        <w:bottom w:val="single" w:sz="4" w:space="0" w:color="4BC5DE"/>
        <w:right w:val="single" w:sz="4" w:space="0" w:color="4BC5DE"/>
      </w:tblBorders>
    </w:tblPr>
    <w:tblStylePr w:type="firstRow">
      <w:rPr>
        <w:b/>
        <w:bCs/>
        <w:color w:val="FFFFFF"/>
      </w:rPr>
      <w:tblPr/>
      <w:tcPr>
        <w:shd w:val="clear" w:color="auto" w:fill="4BC5DE"/>
      </w:tcPr>
    </w:tblStylePr>
    <w:tblStylePr w:type="lastRow">
      <w:rPr>
        <w:b/>
        <w:bCs/>
      </w:rPr>
      <w:tblPr/>
      <w:tcPr>
        <w:tcBorders>
          <w:top w:val="double" w:sz="4" w:space="0" w:color="4BC5D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C5DE"/>
          <w:right w:val="single" w:sz="4" w:space="0" w:color="4BC5DE"/>
        </w:tcBorders>
      </w:tcPr>
    </w:tblStylePr>
    <w:tblStylePr w:type="band1Horz">
      <w:tblPr/>
      <w:tcPr>
        <w:tcBorders>
          <w:top w:val="single" w:sz="4" w:space="0" w:color="4BC5DE"/>
          <w:bottom w:val="single" w:sz="4" w:space="0" w:color="4BC5D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C5DE"/>
          <w:left w:val="nil"/>
        </w:tcBorders>
      </w:tcPr>
    </w:tblStylePr>
    <w:tblStylePr w:type="swCell">
      <w:tblPr/>
      <w:tcPr>
        <w:tcBorders>
          <w:top w:val="double" w:sz="4" w:space="0" w:color="4BC5DE"/>
          <w:right w:val="nil"/>
        </w:tcBorders>
      </w:tcPr>
    </w:tblStylePr>
  </w:style>
  <w:style w:type="paragraph" w:customStyle="1" w:styleId="msonormal0">
    <w:name w:val="msonormal"/>
    <w:basedOn w:val="Normal"/>
    <w:rsid w:val="008A3FF7"/>
    <w:pPr>
      <w:spacing w:before="100" w:beforeAutospacing="1" w:after="100" w:afterAutospacing="1" w:line="260" w:lineRule="exact"/>
      <w:jc w:val="both"/>
    </w:pPr>
    <w:rPr>
      <w:rFonts w:ascii="Arial" w:eastAsia="NSimSun" w:hAnsi="Arial" w:cs="Times"/>
      <w:sz w:val="20"/>
      <w:szCs w:val="20"/>
    </w:rPr>
  </w:style>
  <w:style w:type="character" w:customStyle="1" w:styleId="HeaderChar1">
    <w:name w:val="Header Char1"/>
    <w:aliases w:val="hd Char1,hd1 Char1,hd2 Char1,hd3 Char1,hd4 Char1,hd11 Char1,hd21 Char1,hd31 Char1,hd5 Char1,hd12 Char1,hd22 Char1,hd32 Char1,hd6 Char1,hd13 Char1,hd23 Char1,hd33 Char1,hd7 Char1,hd14 Char1,hd24 Char1,hd34 Char1,hd8 Char1,hd15 Char1"/>
    <w:basedOn w:val="DefaultParagraphFont"/>
    <w:semiHidden/>
    <w:rsid w:val="008A3FF7"/>
    <w:rPr>
      <w:rFonts w:ascii="Liberation Serif" w:hAnsi="Liberation Serif"/>
      <w:sz w:val="20"/>
      <w:lang w:val="en-GB"/>
    </w:rPr>
  </w:style>
  <w:style w:type="character" w:customStyle="1" w:styleId="TitleChar1">
    <w:name w:val="Title Char1"/>
    <w:aliases w:val="Titre page couverture Char1"/>
    <w:basedOn w:val="DefaultParagraphFont"/>
    <w:uiPriority w:val="10"/>
    <w:rsid w:val="008A3FF7"/>
    <w:rPr>
      <w:rFonts w:ascii="Liberation Serif" w:eastAsia="NSimSun" w:hAnsi="Liberation Serif" w:cs="Liberation Serif"/>
      <w:spacing w:val="-10"/>
      <w:kern w:val="28"/>
      <w:sz w:val="56"/>
      <w:szCs w:val="56"/>
      <w:lang w:val="en-GB"/>
    </w:rPr>
  </w:style>
  <w:style w:type="character" w:customStyle="1" w:styleId="CoffeyBullet1Char">
    <w:name w:val="Coffey Bullet 1 Char"/>
    <w:basedOn w:val="DefaultParagraphFont"/>
    <w:link w:val="CoffeyBullet1"/>
    <w:locked/>
    <w:rsid w:val="008A3FF7"/>
    <w:rPr>
      <w:rFonts w:ascii="Liberation Serif" w:eastAsia="Symbol" w:hAnsi="Liberation Serif" w:cs="Times"/>
      <w:sz w:val="20"/>
      <w:szCs w:val="24"/>
    </w:rPr>
  </w:style>
  <w:style w:type="character" w:customStyle="1" w:styleId="EAparagraphChar">
    <w:name w:val="EA paragraph Char"/>
    <w:basedOn w:val="CoffeyParagraphChar"/>
    <w:link w:val="EAparagraph"/>
    <w:locked/>
    <w:rsid w:val="008A3FF7"/>
    <w:rPr>
      <w:rFonts w:ascii="Arial" w:eastAsia="Calibri" w:hAnsi="Arial" w:cs="Times New Roman"/>
      <w:sz w:val="20"/>
      <w:szCs w:val="24"/>
      <w:lang w:eastAsia="en-GB"/>
    </w:rPr>
  </w:style>
  <w:style w:type="paragraph" w:customStyle="1" w:styleId="EAparagraph">
    <w:name w:val="EA paragraph"/>
    <w:basedOn w:val="CoffeyParagraph"/>
    <w:link w:val="EAparagraphChar"/>
    <w:rsid w:val="008A3FF7"/>
    <w:pPr>
      <w:spacing w:after="0" w:line="240" w:lineRule="exact"/>
    </w:pPr>
    <w:rPr>
      <w:lang w:eastAsia="en-GB"/>
    </w:rPr>
  </w:style>
  <w:style w:type="paragraph" w:customStyle="1" w:styleId="RARPHeading1">
    <w:name w:val="RARP_Heading 1"/>
    <w:basedOn w:val="Heading1"/>
    <w:uiPriority w:val="1"/>
    <w:rsid w:val="008A3FF7"/>
    <w:pPr>
      <w:keepLines/>
      <w:pBdr>
        <w:bottom w:val="single" w:sz="18" w:space="5" w:color="1E858B"/>
      </w:pBdr>
      <w:tabs>
        <w:tab w:val="clear" w:pos="480"/>
        <w:tab w:val="left" w:pos="426"/>
      </w:tabs>
      <w:spacing w:after="120" w:line="280" w:lineRule="exact"/>
      <w:ind w:left="720" w:hanging="360"/>
      <w:jc w:val="left"/>
    </w:pPr>
    <w:rPr>
      <w:rFonts w:ascii="Liberation Serif" w:eastAsia="NSimSun" w:hAnsi="Liberation Serif" w:cs="Liberation Serif"/>
      <w:b w:val="0"/>
      <w:bCs/>
      <w:caps/>
      <w:color w:val="003478"/>
      <w:sz w:val="28"/>
      <w:szCs w:val="32"/>
    </w:rPr>
  </w:style>
  <w:style w:type="paragraph" w:customStyle="1" w:styleId="RARPHeading2">
    <w:name w:val="RARP_Heading 2"/>
    <w:basedOn w:val="RARPHeading1"/>
    <w:uiPriority w:val="1"/>
    <w:rsid w:val="008A3FF7"/>
    <w:pPr>
      <w:pBdr>
        <w:bottom w:val="none" w:sz="0" w:space="0" w:color="auto"/>
      </w:pBdr>
      <w:tabs>
        <w:tab w:val="clear" w:pos="1191"/>
      </w:tabs>
      <w:ind w:left="1440"/>
    </w:pPr>
    <w:rPr>
      <w:caps w:val="0"/>
    </w:rPr>
  </w:style>
  <w:style w:type="character" w:customStyle="1" w:styleId="RARPHeading3Char">
    <w:name w:val="RARP_Heading 3 Char"/>
    <w:basedOn w:val="DefaultParagraphFont"/>
    <w:link w:val="RARPHeading3"/>
    <w:uiPriority w:val="1"/>
    <w:locked/>
    <w:rsid w:val="008A3FF7"/>
    <w:rPr>
      <w:rFonts w:ascii="Arial" w:eastAsia="MS PGothic" w:hAnsi="Arial" w:cs="Arial"/>
      <w:bCs/>
      <w:smallCaps/>
      <w:color w:val="EB6E08"/>
    </w:rPr>
  </w:style>
  <w:style w:type="paragraph" w:customStyle="1" w:styleId="RARPHeading3">
    <w:name w:val="RARP_Heading 3"/>
    <w:basedOn w:val="RARPHeading2"/>
    <w:link w:val="RARPHeading3Char"/>
    <w:uiPriority w:val="1"/>
    <w:rsid w:val="008A3FF7"/>
    <w:pPr>
      <w:ind w:left="2160" w:hanging="180"/>
    </w:pPr>
    <w:rPr>
      <w:color w:val="EB6E08"/>
      <w:sz w:val="22"/>
      <w:szCs w:val="22"/>
    </w:rPr>
  </w:style>
  <w:style w:type="character" w:customStyle="1" w:styleId="EAHead1Char">
    <w:name w:val="EA Head1 Char"/>
    <w:basedOn w:val="DefaultParagraphFont"/>
    <w:link w:val="EAHead1"/>
    <w:locked/>
    <w:rsid w:val="008A3FF7"/>
    <w:rPr>
      <w:rFonts w:eastAsia="Calibri"/>
      <w:b/>
      <w:color w:val="800000"/>
      <w:sz w:val="32"/>
      <w:szCs w:val="32"/>
    </w:rPr>
  </w:style>
  <w:style w:type="paragraph" w:customStyle="1" w:styleId="EAHead1">
    <w:name w:val="EA Head1"/>
    <w:basedOn w:val="CoffeyHeading1Blue"/>
    <w:link w:val="EAHead1Char"/>
    <w:rsid w:val="008A3FF7"/>
    <w:pPr>
      <w:spacing w:before="120"/>
      <w:ind w:left="360" w:hanging="360"/>
    </w:pPr>
    <w:rPr>
      <w:rFonts w:asciiTheme="minorHAnsi" w:hAnsiTheme="minorHAnsi" w:cstheme="minorBidi"/>
      <w:b/>
      <w:color w:val="800000"/>
      <w:sz w:val="32"/>
      <w:szCs w:val="32"/>
    </w:rPr>
  </w:style>
  <w:style w:type="paragraph" w:customStyle="1" w:styleId="ECVLeftHeading">
    <w:name w:val="_ECV_LeftHeading"/>
    <w:basedOn w:val="Normal"/>
    <w:uiPriority w:val="99"/>
    <w:rsid w:val="008A3FF7"/>
    <w:pPr>
      <w:widowControl w:val="0"/>
      <w:suppressLineNumbers/>
      <w:suppressAutoHyphens/>
      <w:spacing w:after="0" w:line="240" w:lineRule="auto"/>
      <w:ind w:right="283"/>
      <w:jc w:val="right"/>
    </w:pPr>
    <w:rPr>
      <w:rFonts w:ascii="Liberation Serif" w:eastAsia="Cambria" w:hAnsi="Liberation Serif" w:cs="TT18At00"/>
      <w:caps/>
      <w:color w:val="0E4194"/>
      <w:spacing w:val="-6"/>
      <w:kern w:val="2"/>
      <w:sz w:val="18"/>
      <w:szCs w:val="24"/>
      <w:lang w:eastAsia="zh-CN" w:bidi="hi-IN"/>
    </w:rPr>
  </w:style>
  <w:style w:type="paragraph" w:customStyle="1" w:styleId="ECVNameField">
    <w:name w:val="_ECV_NameField"/>
    <w:basedOn w:val="Normal"/>
    <w:uiPriority w:val="99"/>
    <w:rsid w:val="008A3FF7"/>
    <w:pPr>
      <w:widowControl w:val="0"/>
      <w:suppressLineNumbers/>
      <w:suppressAutoHyphens/>
      <w:spacing w:after="0" w:line="100" w:lineRule="exact"/>
    </w:pPr>
    <w:rPr>
      <w:rFonts w:ascii="Liberation Serif" w:eastAsia="Cambria" w:hAnsi="Liberation Serif" w:cs="TT18At00"/>
      <w:color w:val="3F3A38"/>
      <w:spacing w:val="-6"/>
      <w:kern w:val="2"/>
      <w:sz w:val="26"/>
      <w:szCs w:val="18"/>
      <w:lang w:eastAsia="zh-CN" w:bidi="hi-IN"/>
    </w:rPr>
  </w:style>
  <w:style w:type="paragraph" w:customStyle="1" w:styleId="ECVSectionDetails">
    <w:name w:val="_ECV_SectionDetails"/>
    <w:basedOn w:val="Normal"/>
    <w:uiPriority w:val="99"/>
    <w:rsid w:val="008A3FF7"/>
    <w:pPr>
      <w:widowControl w:val="0"/>
      <w:suppressLineNumbers/>
      <w:suppressAutoHyphens/>
      <w:autoSpaceDE w:val="0"/>
      <w:spacing w:before="28" w:after="0" w:line="100" w:lineRule="exact"/>
    </w:pPr>
    <w:rPr>
      <w:rFonts w:ascii="Liberation Serif" w:eastAsia="Cambria" w:hAnsi="Liberation Serif" w:cs="TT18At00"/>
      <w:color w:val="3F3A38"/>
      <w:spacing w:val="-6"/>
      <w:kern w:val="2"/>
      <w:sz w:val="18"/>
      <w:szCs w:val="24"/>
      <w:lang w:eastAsia="zh-CN" w:bidi="hi-IN"/>
    </w:rPr>
  </w:style>
  <w:style w:type="paragraph" w:customStyle="1" w:styleId="ECVDate">
    <w:name w:val="_ECV_Date"/>
    <w:basedOn w:val="ECVLeftHeading"/>
    <w:uiPriority w:val="99"/>
    <w:rsid w:val="008A3FF7"/>
    <w:pPr>
      <w:spacing w:before="28" w:line="100" w:lineRule="exact"/>
    </w:pPr>
    <w:rPr>
      <w:caps w:val="0"/>
    </w:rPr>
  </w:style>
  <w:style w:type="paragraph" w:customStyle="1" w:styleId="ECVLeftDetails">
    <w:name w:val="_ECV_LeftDetails"/>
    <w:basedOn w:val="ECVLeftHeading"/>
    <w:uiPriority w:val="99"/>
    <w:rsid w:val="008A3FF7"/>
    <w:pPr>
      <w:spacing w:before="23"/>
    </w:pPr>
    <w:rPr>
      <w:caps w:val="0"/>
    </w:rPr>
  </w:style>
  <w:style w:type="paragraph" w:customStyle="1" w:styleId="ECVText">
    <w:name w:val="_ECV_Text"/>
    <w:basedOn w:val="BodyText"/>
    <w:uiPriority w:val="99"/>
    <w:rsid w:val="008A3FF7"/>
    <w:pPr>
      <w:widowControl w:val="0"/>
      <w:suppressAutoHyphens/>
      <w:spacing w:after="0" w:line="100" w:lineRule="exact"/>
      <w:jc w:val="left"/>
    </w:pPr>
    <w:rPr>
      <w:rFonts w:ascii="Liberation Serif" w:eastAsia="Cambria" w:hAnsi="Liberation Serif" w:cs="TT18At00"/>
      <w:color w:val="3F3A38"/>
      <w:spacing w:val="-6"/>
      <w:kern w:val="2"/>
      <w:sz w:val="16"/>
      <w:szCs w:val="24"/>
      <w:lang w:eastAsia="zh-CN" w:bidi="hi-IN"/>
    </w:rPr>
  </w:style>
  <w:style w:type="paragraph" w:customStyle="1" w:styleId="ECVPersonalInfoHeading">
    <w:name w:val="_ECV_PersonalInfoHeading"/>
    <w:basedOn w:val="ECVLeftHeading"/>
    <w:uiPriority w:val="99"/>
    <w:rsid w:val="008A3FF7"/>
    <w:pPr>
      <w:spacing w:before="57"/>
    </w:pPr>
  </w:style>
  <w:style w:type="paragraph" w:customStyle="1" w:styleId="ECVGenderRow">
    <w:name w:val="_ECV_GenderRow"/>
    <w:basedOn w:val="Normal"/>
    <w:uiPriority w:val="99"/>
    <w:rsid w:val="008A3FF7"/>
    <w:pPr>
      <w:widowControl w:val="0"/>
      <w:suppressAutoHyphens/>
      <w:spacing w:before="85" w:after="0" w:line="240" w:lineRule="auto"/>
    </w:pPr>
    <w:rPr>
      <w:rFonts w:ascii="Liberation Serif" w:eastAsia="Cambria" w:hAnsi="Liberation Serif" w:cs="TT18At00"/>
      <w:color w:val="1593CB"/>
      <w:spacing w:val="-6"/>
      <w:kern w:val="2"/>
      <w:sz w:val="16"/>
      <w:szCs w:val="24"/>
      <w:lang w:eastAsia="zh-CN" w:bidi="hi-IN"/>
    </w:rPr>
  </w:style>
  <w:style w:type="paragraph" w:customStyle="1" w:styleId="ECVBlueBox">
    <w:name w:val="_ECV_BlueBox"/>
    <w:basedOn w:val="Normal"/>
    <w:uiPriority w:val="99"/>
    <w:rsid w:val="008A3FF7"/>
    <w:pPr>
      <w:widowControl w:val="0"/>
      <w:suppressLineNumbers/>
      <w:suppressAutoHyphens/>
      <w:spacing w:after="0" w:line="240" w:lineRule="auto"/>
      <w:jc w:val="right"/>
    </w:pPr>
    <w:rPr>
      <w:rFonts w:ascii="Liberation Serif" w:eastAsia="Cambria" w:hAnsi="Liberation Serif" w:cs="TT18At00"/>
      <w:color w:val="402C24"/>
      <w:kern w:val="2"/>
      <w:sz w:val="8"/>
      <w:szCs w:val="10"/>
      <w:lang w:eastAsia="zh-CN" w:bidi="hi-IN"/>
    </w:rPr>
  </w:style>
  <w:style w:type="paragraph" w:customStyle="1" w:styleId="ECVRightColumn">
    <w:name w:val="_ECV_RightColumn"/>
    <w:basedOn w:val="Normal"/>
    <w:uiPriority w:val="99"/>
    <w:rsid w:val="008A3FF7"/>
    <w:pPr>
      <w:widowControl w:val="0"/>
      <w:suppressLineNumbers/>
      <w:suppressAutoHyphens/>
      <w:spacing w:before="62" w:after="0" w:line="240" w:lineRule="auto"/>
    </w:pPr>
    <w:rPr>
      <w:rFonts w:ascii="Liberation Serif" w:eastAsia="Cambria" w:hAnsi="Liberation Serif" w:cs="TT18At00"/>
      <w:color w:val="404040"/>
      <w:spacing w:val="-6"/>
      <w:kern w:val="2"/>
      <w:sz w:val="16"/>
      <w:szCs w:val="24"/>
      <w:lang w:eastAsia="hi-IN" w:bidi="hi-IN"/>
    </w:rPr>
  </w:style>
  <w:style w:type="paragraph" w:customStyle="1" w:styleId="ECVRightHeading">
    <w:name w:val="_ECV_RightHeading"/>
    <w:basedOn w:val="ECVNameField"/>
    <w:uiPriority w:val="99"/>
    <w:rsid w:val="008A3FF7"/>
    <w:pPr>
      <w:spacing w:before="62"/>
      <w:jc w:val="right"/>
    </w:pPr>
    <w:rPr>
      <w:color w:val="1593CB"/>
      <w:sz w:val="15"/>
      <w:lang w:eastAsia="hi-IN"/>
    </w:rPr>
  </w:style>
  <w:style w:type="paragraph" w:customStyle="1" w:styleId="ECVLanguageHeading">
    <w:name w:val="_ECV_LanguageHeading"/>
    <w:basedOn w:val="ECVRightColumn"/>
    <w:uiPriority w:val="99"/>
    <w:rsid w:val="008A3FF7"/>
    <w:pPr>
      <w:spacing w:before="0"/>
      <w:jc w:val="center"/>
    </w:pPr>
    <w:rPr>
      <w:caps/>
      <w:color w:val="0E4194"/>
      <w:sz w:val="14"/>
    </w:rPr>
  </w:style>
  <w:style w:type="paragraph" w:customStyle="1" w:styleId="ECVLanguageSubHeading">
    <w:name w:val="_ECV_LanguageSubHeading"/>
    <w:basedOn w:val="ECVLanguageHeading"/>
    <w:uiPriority w:val="99"/>
    <w:rsid w:val="008A3FF7"/>
    <w:pPr>
      <w:spacing w:line="100" w:lineRule="exact"/>
    </w:pPr>
    <w:rPr>
      <w:caps w:val="0"/>
      <w:sz w:val="16"/>
    </w:rPr>
  </w:style>
  <w:style w:type="paragraph" w:customStyle="1" w:styleId="ECVLanguageLevel">
    <w:name w:val="_ECV_LanguageLevel"/>
    <w:basedOn w:val="ECVSectionDetails"/>
    <w:uiPriority w:val="99"/>
    <w:rsid w:val="008A3FF7"/>
    <w:pPr>
      <w:jc w:val="center"/>
    </w:pPr>
    <w:rPr>
      <w:caps/>
      <w:lang w:eastAsia="hi-IN"/>
    </w:rPr>
  </w:style>
  <w:style w:type="paragraph" w:customStyle="1" w:styleId="ECVLanguageExplanation">
    <w:name w:val="_ECV_LanguageExplanation"/>
    <w:basedOn w:val="Normal"/>
    <w:uiPriority w:val="99"/>
    <w:rsid w:val="008A3FF7"/>
    <w:pPr>
      <w:widowControl w:val="0"/>
      <w:suppressAutoHyphens/>
      <w:autoSpaceDE w:val="0"/>
      <w:spacing w:after="0" w:line="100" w:lineRule="exact"/>
    </w:pPr>
    <w:rPr>
      <w:rFonts w:ascii="Liberation Serif" w:eastAsia="Cambria" w:hAnsi="Liberation Serif" w:cs="TT18At00"/>
      <w:color w:val="0E4194"/>
      <w:spacing w:val="-6"/>
      <w:kern w:val="2"/>
      <w:sz w:val="15"/>
      <w:szCs w:val="24"/>
      <w:lang w:eastAsia="hi-IN" w:bidi="hi-IN"/>
    </w:rPr>
  </w:style>
  <w:style w:type="paragraph" w:customStyle="1" w:styleId="ECVLanguageName">
    <w:name w:val="_ECV_LanguageName"/>
    <w:basedOn w:val="Normal"/>
    <w:uiPriority w:val="99"/>
    <w:rsid w:val="008A3FF7"/>
    <w:pPr>
      <w:widowControl w:val="0"/>
      <w:suppressLineNumbers/>
      <w:suppressAutoHyphens/>
      <w:spacing w:after="0" w:line="100" w:lineRule="exact"/>
      <w:ind w:right="283"/>
      <w:jc w:val="right"/>
    </w:pPr>
    <w:rPr>
      <w:rFonts w:ascii="Liberation Serif" w:eastAsia="Cambria" w:hAnsi="Liberation Serif" w:cs="TT18At00"/>
      <w:color w:val="3F3A38"/>
      <w:spacing w:val="-6"/>
      <w:kern w:val="2"/>
      <w:sz w:val="18"/>
      <w:szCs w:val="24"/>
      <w:lang w:eastAsia="hi-IN" w:bidi="hi-IN"/>
    </w:rPr>
  </w:style>
  <w:style w:type="paragraph" w:customStyle="1" w:styleId="ECVBusinessSectorRow">
    <w:name w:val="_ECV_BusinessSectorRow"/>
    <w:basedOn w:val="Normal"/>
    <w:uiPriority w:val="99"/>
    <w:rsid w:val="008A3FF7"/>
    <w:pPr>
      <w:widowControl w:val="0"/>
      <w:suppressAutoHyphens/>
      <w:spacing w:after="0" w:line="240" w:lineRule="auto"/>
    </w:pPr>
    <w:rPr>
      <w:rFonts w:ascii="Liberation Serif" w:eastAsia="Cambria" w:hAnsi="Liberation Serif" w:cs="TT18At00"/>
      <w:color w:val="3F3A38"/>
      <w:spacing w:val="-6"/>
      <w:kern w:val="2"/>
      <w:sz w:val="16"/>
      <w:szCs w:val="24"/>
      <w:lang w:eastAsia="hi-IN" w:bidi="hi-IN"/>
    </w:rPr>
  </w:style>
  <w:style w:type="paragraph" w:customStyle="1" w:styleId="ECVLanguageCertificate">
    <w:name w:val="_ECV_LanguageCertificate"/>
    <w:basedOn w:val="ECVRightColumn"/>
    <w:uiPriority w:val="99"/>
    <w:rsid w:val="008A3FF7"/>
    <w:pPr>
      <w:spacing w:before="0" w:line="100" w:lineRule="exact"/>
      <w:ind w:right="283"/>
      <w:jc w:val="center"/>
    </w:pPr>
    <w:rPr>
      <w:color w:val="3F3A38"/>
      <w:lang w:eastAsia="zh-CN"/>
    </w:rPr>
  </w:style>
  <w:style w:type="paragraph" w:customStyle="1" w:styleId="ECVContactDetails1">
    <w:name w:val="_ECV_ContactDetails1"/>
    <w:basedOn w:val="ECVNameField"/>
    <w:uiPriority w:val="99"/>
    <w:rsid w:val="008A3FF7"/>
    <w:rPr>
      <w:kern w:val="0"/>
      <w:sz w:val="18"/>
    </w:rPr>
  </w:style>
  <w:style w:type="paragraph" w:customStyle="1" w:styleId="OABodyText">
    <w:name w:val="OA Body Text"/>
    <w:basedOn w:val="Normal"/>
    <w:uiPriority w:val="99"/>
    <w:rsid w:val="008A3FF7"/>
    <w:pPr>
      <w:spacing w:before="120" w:after="120"/>
      <w:jc w:val="both"/>
    </w:pPr>
    <w:rPr>
      <w:rFonts w:eastAsia="MS PGothic"/>
      <w:bCs/>
      <w:color w:val="EEECE1"/>
      <w:sz w:val="20"/>
      <w:szCs w:val="20"/>
    </w:rPr>
  </w:style>
  <w:style w:type="paragraph" w:customStyle="1" w:styleId="CM1">
    <w:name w:val="CM1"/>
    <w:basedOn w:val="Default"/>
    <w:next w:val="Default"/>
    <w:uiPriority w:val="99"/>
    <w:rsid w:val="008A3FF7"/>
    <w:rPr>
      <w:rFonts w:ascii="MS Gothic" w:eastAsia="NSimSun" w:hAnsi="MS Gothic" w:cs="Liberation Serif"/>
      <w:color w:val="auto"/>
      <w:lang w:val="en-GB"/>
    </w:rPr>
  </w:style>
  <w:style w:type="paragraph" w:customStyle="1" w:styleId="CM3">
    <w:name w:val="CM3"/>
    <w:basedOn w:val="Default"/>
    <w:next w:val="Default"/>
    <w:uiPriority w:val="99"/>
    <w:rsid w:val="008A3FF7"/>
    <w:rPr>
      <w:rFonts w:ascii="MS Gothic" w:eastAsia="NSimSun" w:hAnsi="MS Gothic" w:cs="Liberation Serif"/>
      <w:color w:val="auto"/>
      <w:lang w:val="en-GB"/>
    </w:rPr>
  </w:style>
  <w:style w:type="paragraph" w:customStyle="1" w:styleId="CM4">
    <w:name w:val="CM4"/>
    <w:basedOn w:val="Default"/>
    <w:next w:val="Default"/>
    <w:uiPriority w:val="99"/>
    <w:rsid w:val="008A3FF7"/>
    <w:rPr>
      <w:rFonts w:ascii="MS Gothic" w:eastAsia="NSimSun" w:hAnsi="MS Gothic" w:cs="Liberation Serif"/>
      <w:color w:val="auto"/>
      <w:lang w:val="en-GB"/>
    </w:rPr>
  </w:style>
  <w:style w:type="paragraph" w:customStyle="1" w:styleId="Point0number">
    <w:name w:val="Point 0 (number)"/>
    <w:basedOn w:val="Normal"/>
    <w:uiPriority w:val="99"/>
    <w:rsid w:val="008A3FF7"/>
    <w:pPr>
      <w:spacing w:before="120" w:after="120" w:line="240" w:lineRule="auto"/>
      <w:ind w:left="1080" w:hanging="720"/>
      <w:jc w:val="both"/>
    </w:pPr>
    <w:rPr>
      <w:rFonts w:ascii="Times" w:eastAsia="Times" w:hAnsi="Times" w:cs="Times"/>
      <w:sz w:val="24"/>
      <w:szCs w:val="24"/>
    </w:rPr>
  </w:style>
  <w:style w:type="paragraph" w:customStyle="1" w:styleId="Point1number">
    <w:name w:val="Point 1 (number)"/>
    <w:basedOn w:val="Normal"/>
    <w:uiPriority w:val="99"/>
    <w:rsid w:val="008A3FF7"/>
    <w:pPr>
      <w:spacing w:before="120" w:after="120" w:line="240" w:lineRule="auto"/>
      <w:ind w:left="2160" w:hanging="180"/>
      <w:jc w:val="both"/>
    </w:pPr>
    <w:rPr>
      <w:rFonts w:ascii="Times" w:eastAsia="Times" w:hAnsi="Times" w:cs="Times"/>
      <w:sz w:val="24"/>
      <w:szCs w:val="24"/>
    </w:rPr>
  </w:style>
  <w:style w:type="paragraph" w:customStyle="1" w:styleId="Point2number">
    <w:name w:val="Point 2 (number)"/>
    <w:basedOn w:val="Normal"/>
    <w:uiPriority w:val="99"/>
    <w:rsid w:val="008A3FF7"/>
    <w:pPr>
      <w:spacing w:before="120" w:after="120" w:line="240" w:lineRule="auto"/>
      <w:ind w:left="3600" w:hanging="360"/>
      <w:jc w:val="both"/>
    </w:pPr>
    <w:rPr>
      <w:rFonts w:ascii="Times" w:eastAsia="Times" w:hAnsi="Times" w:cs="Times"/>
      <w:sz w:val="24"/>
      <w:szCs w:val="24"/>
    </w:rPr>
  </w:style>
  <w:style w:type="paragraph" w:customStyle="1" w:styleId="Point3number">
    <w:name w:val="Point 3 (number)"/>
    <w:basedOn w:val="Normal"/>
    <w:uiPriority w:val="99"/>
    <w:rsid w:val="008A3FF7"/>
    <w:pPr>
      <w:spacing w:before="120" w:after="120" w:line="240" w:lineRule="auto"/>
      <w:ind w:left="5040" w:hanging="360"/>
      <w:jc w:val="both"/>
    </w:pPr>
    <w:rPr>
      <w:rFonts w:ascii="Times" w:eastAsia="Times" w:hAnsi="Times" w:cs="Times"/>
      <w:sz w:val="24"/>
      <w:szCs w:val="24"/>
    </w:rPr>
  </w:style>
  <w:style w:type="paragraph" w:customStyle="1" w:styleId="Point1letter">
    <w:name w:val="Point 1 (letter)"/>
    <w:basedOn w:val="Normal"/>
    <w:uiPriority w:val="99"/>
    <w:rsid w:val="008A3FF7"/>
    <w:pPr>
      <w:spacing w:before="120" w:after="120" w:line="240" w:lineRule="auto"/>
      <w:ind w:left="2880" w:hanging="360"/>
      <w:jc w:val="both"/>
    </w:pPr>
    <w:rPr>
      <w:rFonts w:ascii="Times" w:eastAsia="Times" w:hAnsi="Times" w:cs="Times"/>
      <w:sz w:val="24"/>
      <w:szCs w:val="24"/>
    </w:rPr>
  </w:style>
  <w:style w:type="paragraph" w:customStyle="1" w:styleId="Point2letter">
    <w:name w:val="Point 2 (letter)"/>
    <w:basedOn w:val="Normal"/>
    <w:uiPriority w:val="99"/>
    <w:rsid w:val="008A3FF7"/>
    <w:pPr>
      <w:spacing w:before="120" w:after="120" w:line="240" w:lineRule="auto"/>
      <w:ind w:left="4320" w:hanging="180"/>
      <w:jc w:val="both"/>
    </w:pPr>
    <w:rPr>
      <w:rFonts w:ascii="Times" w:eastAsia="Times" w:hAnsi="Times" w:cs="Times"/>
      <w:sz w:val="24"/>
      <w:szCs w:val="24"/>
    </w:rPr>
  </w:style>
  <w:style w:type="paragraph" w:customStyle="1" w:styleId="Point3letter">
    <w:name w:val="Point 3 (letter)"/>
    <w:basedOn w:val="Normal"/>
    <w:uiPriority w:val="99"/>
    <w:rsid w:val="008A3FF7"/>
    <w:pPr>
      <w:spacing w:before="120" w:after="120" w:line="240" w:lineRule="auto"/>
      <w:ind w:left="5760" w:hanging="360"/>
      <w:jc w:val="both"/>
    </w:pPr>
    <w:rPr>
      <w:rFonts w:ascii="Times" w:eastAsia="Times" w:hAnsi="Times" w:cs="Times"/>
      <w:sz w:val="24"/>
      <w:szCs w:val="24"/>
    </w:rPr>
  </w:style>
  <w:style w:type="paragraph" w:customStyle="1" w:styleId="Point4letter">
    <w:name w:val="Point 4 (letter)"/>
    <w:basedOn w:val="Normal"/>
    <w:uiPriority w:val="99"/>
    <w:rsid w:val="008A3FF7"/>
    <w:pPr>
      <w:spacing w:before="120" w:after="120" w:line="240" w:lineRule="auto"/>
      <w:ind w:left="6480" w:hanging="180"/>
      <w:jc w:val="both"/>
    </w:pPr>
    <w:rPr>
      <w:rFonts w:ascii="Times" w:eastAsia="Times" w:hAnsi="Times" w:cs="Times"/>
      <w:sz w:val="24"/>
      <w:szCs w:val="24"/>
    </w:rPr>
  </w:style>
  <w:style w:type="paragraph" w:customStyle="1" w:styleId="Bullet10">
    <w:name w:val="Bullet 1"/>
    <w:aliases w:val="Bullet1"/>
    <w:basedOn w:val="Normal"/>
    <w:link w:val="Bullet1Char0"/>
    <w:uiPriority w:val="1"/>
    <w:qFormat/>
    <w:rsid w:val="008A3FF7"/>
    <w:pPr>
      <w:tabs>
        <w:tab w:val="num" w:pos="1417"/>
      </w:tabs>
      <w:spacing w:before="120" w:after="120" w:line="240" w:lineRule="auto"/>
      <w:ind w:left="720" w:hanging="360"/>
      <w:jc w:val="both"/>
    </w:pPr>
    <w:rPr>
      <w:rFonts w:ascii="Times" w:eastAsia="Times" w:hAnsi="Times" w:cs="Times"/>
      <w:sz w:val="24"/>
      <w:szCs w:val="24"/>
    </w:rPr>
  </w:style>
  <w:style w:type="paragraph" w:customStyle="1" w:styleId="CVTitle">
    <w:name w:val="CV Title"/>
    <w:basedOn w:val="Normal"/>
    <w:uiPriority w:val="99"/>
    <w:rsid w:val="008A3FF7"/>
    <w:pPr>
      <w:suppressAutoHyphens/>
      <w:spacing w:after="0" w:line="240" w:lineRule="auto"/>
      <w:ind w:left="113" w:right="113"/>
      <w:jc w:val="right"/>
    </w:pPr>
    <w:rPr>
      <w:rFonts w:ascii="Garamond" w:eastAsia="Times" w:hAnsi="Garamond" w:cs="Times"/>
      <w:b/>
      <w:bCs/>
      <w:spacing w:val="10"/>
      <w:sz w:val="28"/>
      <w:szCs w:val="20"/>
      <w:lang w:val="fr-FR" w:eastAsia="ar-SA"/>
    </w:rPr>
  </w:style>
  <w:style w:type="paragraph" w:customStyle="1" w:styleId="CVHeading1">
    <w:name w:val="CV Heading 1"/>
    <w:basedOn w:val="Normal"/>
    <w:next w:val="Normal"/>
    <w:uiPriority w:val="99"/>
    <w:rsid w:val="008A3FF7"/>
    <w:pPr>
      <w:suppressAutoHyphens/>
      <w:spacing w:before="74" w:after="0" w:line="240" w:lineRule="auto"/>
      <w:ind w:left="113" w:right="113"/>
      <w:jc w:val="right"/>
    </w:pPr>
    <w:rPr>
      <w:rFonts w:ascii="Garamond" w:eastAsia="Times" w:hAnsi="Garamond" w:cs="Times"/>
      <w:b/>
      <w:sz w:val="24"/>
      <w:szCs w:val="20"/>
      <w:lang w:val="en-US" w:eastAsia="ar-SA"/>
    </w:rPr>
  </w:style>
  <w:style w:type="paragraph" w:customStyle="1" w:styleId="CVHeading2">
    <w:name w:val="CV Heading 2"/>
    <w:basedOn w:val="CVHeading1"/>
    <w:next w:val="Normal"/>
    <w:uiPriority w:val="99"/>
    <w:rsid w:val="008A3FF7"/>
    <w:pPr>
      <w:spacing w:before="0"/>
    </w:pPr>
    <w:rPr>
      <w:b w:val="0"/>
      <w:sz w:val="22"/>
    </w:rPr>
  </w:style>
  <w:style w:type="paragraph" w:customStyle="1" w:styleId="CVHeading2-FirstLine">
    <w:name w:val="CV Heading 2 - First Line"/>
    <w:basedOn w:val="CVHeading2"/>
    <w:next w:val="CVHeading2"/>
    <w:uiPriority w:val="99"/>
    <w:rsid w:val="008A3FF7"/>
    <w:pPr>
      <w:spacing w:before="74"/>
    </w:pPr>
  </w:style>
  <w:style w:type="paragraph" w:customStyle="1" w:styleId="CVHeading3">
    <w:name w:val="CV Heading 3"/>
    <w:basedOn w:val="Normal"/>
    <w:next w:val="Normal"/>
    <w:uiPriority w:val="99"/>
    <w:rsid w:val="008A3FF7"/>
    <w:pPr>
      <w:suppressAutoHyphens/>
      <w:spacing w:after="0" w:line="240" w:lineRule="auto"/>
      <w:ind w:left="113" w:right="113"/>
      <w:jc w:val="right"/>
    </w:pPr>
    <w:rPr>
      <w:rFonts w:ascii="Garamond" w:eastAsia="Times" w:hAnsi="Garamond" w:cs="Times"/>
      <w:sz w:val="20"/>
      <w:szCs w:val="20"/>
      <w:lang w:val="en-US" w:eastAsia="ar-SA"/>
    </w:rPr>
  </w:style>
  <w:style w:type="paragraph" w:customStyle="1" w:styleId="CVHeading3-FirstLine">
    <w:name w:val="CV Heading 3 - First Line"/>
    <w:basedOn w:val="CVHeading3"/>
    <w:next w:val="CVHeading3"/>
    <w:uiPriority w:val="99"/>
    <w:rsid w:val="008A3FF7"/>
    <w:pPr>
      <w:spacing w:before="74"/>
    </w:pPr>
  </w:style>
  <w:style w:type="paragraph" w:customStyle="1" w:styleId="LevelAssessment-Code">
    <w:name w:val="Level Assessment - Code"/>
    <w:basedOn w:val="Normal"/>
    <w:next w:val="LevelAssessment-Description"/>
    <w:uiPriority w:val="99"/>
    <w:rsid w:val="008A3FF7"/>
    <w:pPr>
      <w:suppressAutoHyphens/>
      <w:spacing w:after="0" w:line="240" w:lineRule="auto"/>
      <w:ind w:left="28"/>
      <w:jc w:val="center"/>
    </w:pPr>
    <w:rPr>
      <w:rFonts w:ascii="Garamond" w:eastAsia="Times" w:hAnsi="Garamond" w:cs="Times"/>
      <w:sz w:val="18"/>
      <w:szCs w:val="20"/>
      <w:lang w:val="en-US" w:eastAsia="ar-SA"/>
    </w:rPr>
  </w:style>
  <w:style w:type="paragraph" w:customStyle="1" w:styleId="CVHeadingLanguage">
    <w:name w:val="CV Heading Language"/>
    <w:basedOn w:val="CVHeading2"/>
    <w:next w:val="LevelAssessment-Code"/>
    <w:uiPriority w:val="99"/>
    <w:rsid w:val="008A3FF7"/>
    <w:rPr>
      <w:b/>
    </w:rPr>
  </w:style>
  <w:style w:type="paragraph" w:customStyle="1" w:styleId="LevelAssessment-Description">
    <w:name w:val="Level Assessment - Description"/>
    <w:basedOn w:val="LevelAssessment-Code"/>
    <w:next w:val="LevelAssessment-Code"/>
    <w:uiPriority w:val="99"/>
    <w:rsid w:val="008A3FF7"/>
  </w:style>
  <w:style w:type="paragraph" w:customStyle="1" w:styleId="CVHeadingLevel">
    <w:name w:val="CV Heading Level"/>
    <w:basedOn w:val="CVHeading3"/>
    <w:next w:val="Normal"/>
    <w:uiPriority w:val="99"/>
    <w:rsid w:val="008A3FF7"/>
    <w:rPr>
      <w:i/>
    </w:rPr>
  </w:style>
  <w:style w:type="paragraph" w:customStyle="1" w:styleId="LevelAssessment-Heading1">
    <w:name w:val="Level Assessment - Heading 1"/>
    <w:basedOn w:val="LevelAssessment-Code"/>
    <w:uiPriority w:val="99"/>
    <w:rsid w:val="008A3FF7"/>
    <w:pPr>
      <w:ind w:left="57" w:right="57"/>
    </w:pPr>
    <w:rPr>
      <w:b/>
      <w:sz w:val="22"/>
    </w:rPr>
  </w:style>
  <w:style w:type="paragraph" w:customStyle="1" w:styleId="LevelAssessment-Heading2">
    <w:name w:val="Level Assessment - Heading 2"/>
    <w:basedOn w:val="Normal"/>
    <w:uiPriority w:val="99"/>
    <w:rsid w:val="008A3FF7"/>
    <w:pPr>
      <w:suppressAutoHyphens/>
      <w:spacing w:after="0" w:line="240" w:lineRule="auto"/>
      <w:ind w:left="57" w:right="57"/>
      <w:jc w:val="center"/>
    </w:pPr>
    <w:rPr>
      <w:rFonts w:ascii="Garamond" w:eastAsia="Times" w:hAnsi="Garamond" w:cs="Times"/>
      <w:sz w:val="18"/>
      <w:szCs w:val="20"/>
      <w:lang w:val="en-US" w:eastAsia="ar-SA"/>
    </w:rPr>
  </w:style>
  <w:style w:type="paragraph" w:customStyle="1" w:styleId="LevelAssessment-Note">
    <w:name w:val="Level Assessment - Note"/>
    <w:basedOn w:val="LevelAssessment-Code"/>
    <w:uiPriority w:val="99"/>
    <w:rsid w:val="008A3FF7"/>
    <w:pPr>
      <w:ind w:left="113"/>
      <w:jc w:val="left"/>
    </w:pPr>
    <w:rPr>
      <w:i/>
    </w:rPr>
  </w:style>
  <w:style w:type="paragraph" w:customStyle="1" w:styleId="CVMajor-FirstLine">
    <w:name w:val="CV Major - First Line"/>
    <w:basedOn w:val="Normal"/>
    <w:next w:val="Normal"/>
    <w:uiPriority w:val="99"/>
    <w:rsid w:val="008A3FF7"/>
    <w:pPr>
      <w:suppressAutoHyphens/>
      <w:spacing w:before="74" w:after="0" w:line="240" w:lineRule="auto"/>
      <w:ind w:left="113" w:right="113"/>
    </w:pPr>
    <w:rPr>
      <w:rFonts w:ascii="Garamond" w:eastAsia="Times" w:hAnsi="Garamond" w:cs="Times"/>
      <w:b/>
      <w:sz w:val="24"/>
      <w:szCs w:val="20"/>
      <w:lang w:val="en-US" w:eastAsia="ar-SA"/>
    </w:rPr>
  </w:style>
  <w:style w:type="paragraph" w:customStyle="1" w:styleId="CVMedium-FirstLine">
    <w:name w:val="CV Medium - First Line"/>
    <w:basedOn w:val="Normal"/>
    <w:next w:val="Normal"/>
    <w:uiPriority w:val="99"/>
    <w:rsid w:val="008A3FF7"/>
    <w:pPr>
      <w:suppressAutoHyphens/>
      <w:spacing w:before="74" w:after="0" w:line="240" w:lineRule="auto"/>
      <w:ind w:left="113" w:right="113"/>
    </w:pPr>
    <w:rPr>
      <w:rFonts w:ascii="Garamond" w:eastAsia="Times" w:hAnsi="Garamond" w:cs="Times"/>
      <w:b/>
      <w:szCs w:val="20"/>
      <w:lang w:val="en-US" w:eastAsia="ar-SA"/>
    </w:rPr>
  </w:style>
  <w:style w:type="paragraph" w:customStyle="1" w:styleId="CVSpacer">
    <w:name w:val="CV Spacer"/>
    <w:basedOn w:val="CVNormal"/>
    <w:uiPriority w:val="99"/>
    <w:rsid w:val="008A3FF7"/>
    <w:rPr>
      <w:rFonts w:eastAsia="Times New Roman"/>
      <w:sz w:val="4"/>
      <w:lang w:val="en-US"/>
    </w:rPr>
  </w:style>
  <w:style w:type="paragraph" w:customStyle="1" w:styleId="xxmsonormal">
    <w:name w:val="x_xmsonormal"/>
    <w:basedOn w:val="Normal"/>
    <w:uiPriority w:val="99"/>
    <w:rsid w:val="008A3FF7"/>
    <w:pPr>
      <w:spacing w:after="0" w:line="240" w:lineRule="auto"/>
    </w:pPr>
    <w:rPr>
      <w:rFonts w:ascii="Symbol" w:hAnsi="Symbol" w:cs="Symbol"/>
      <w:lang w:val="fr-FR" w:eastAsia="fr-FR"/>
    </w:rPr>
  </w:style>
  <w:style w:type="paragraph" w:customStyle="1" w:styleId="TableHeading">
    <w:name w:val="Table Heading"/>
    <w:basedOn w:val="TableContents"/>
    <w:uiPriority w:val="99"/>
    <w:rsid w:val="008A3FF7"/>
    <w:pPr>
      <w:widowControl/>
      <w:autoSpaceDN/>
      <w:spacing w:after="120"/>
      <w:jc w:val="center"/>
    </w:pPr>
    <w:rPr>
      <w:rFonts w:ascii="Garamond" w:eastAsia="Times" w:hAnsi="Garamond" w:cs="Times"/>
      <w:b/>
      <w:bCs/>
      <w:i/>
      <w:iCs/>
      <w:kern w:val="0"/>
      <w:sz w:val="20"/>
      <w:szCs w:val="20"/>
      <w:lang w:val="en-US" w:eastAsia="ar-SA" w:bidi="ar-SA"/>
    </w:rPr>
  </w:style>
  <w:style w:type="paragraph" w:customStyle="1" w:styleId="SmallGap">
    <w:name w:val="Small Gap"/>
    <w:basedOn w:val="Normal"/>
    <w:next w:val="Normal"/>
    <w:uiPriority w:val="99"/>
    <w:rsid w:val="008A3FF7"/>
    <w:pPr>
      <w:suppressAutoHyphens/>
      <w:spacing w:after="0" w:line="240" w:lineRule="auto"/>
    </w:pPr>
    <w:rPr>
      <w:rFonts w:ascii="Garamond" w:eastAsia="Times" w:hAnsi="Garamond" w:cs="Times"/>
      <w:sz w:val="10"/>
      <w:szCs w:val="20"/>
      <w:lang w:val="en-US" w:eastAsia="ar-SA"/>
    </w:rPr>
  </w:style>
  <w:style w:type="paragraph" w:customStyle="1" w:styleId="CVMajor">
    <w:name w:val="CV Major"/>
    <w:basedOn w:val="Normal"/>
    <w:uiPriority w:val="99"/>
    <w:rsid w:val="008A3FF7"/>
    <w:pPr>
      <w:suppressAutoHyphens/>
      <w:spacing w:after="0" w:line="240" w:lineRule="auto"/>
      <w:ind w:left="113" w:right="113"/>
    </w:pPr>
    <w:rPr>
      <w:rFonts w:ascii="Garamond" w:eastAsia="Times" w:hAnsi="Garamond" w:cs="Times"/>
      <w:b/>
      <w:sz w:val="24"/>
      <w:szCs w:val="20"/>
      <w:lang w:val="en-US" w:eastAsia="ar-SA"/>
    </w:rPr>
  </w:style>
  <w:style w:type="paragraph" w:customStyle="1" w:styleId="CVMedium">
    <w:name w:val="CV Medium"/>
    <w:basedOn w:val="CVMajor"/>
    <w:uiPriority w:val="99"/>
    <w:rsid w:val="008A3FF7"/>
    <w:rPr>
      <w:sz w:val="22"/>
    </w:rPr>
  </w:style>
  <w:style w:type="paragraph" w:customStyle="1" w:styleId="CVFooterLeft">
    <w:name w:val="CV Footer Left"/>
    <w:basedOn w:val="Normal"/>
    <w:uiPriority w:val="99"/>
    <w:rsid w:val="008A3FF7"/>
    <w:pPr>
      <w:suppressAutoHyphens/>
      <w:spacing w:after="0" w:line="240" w:lineRule="auto"/>
      <w:ind w:firstLine="360"/>
      <w:jc w:val="right"/>
    </w:pPr>
    <w:rPr>
      <w:rFonts w:ascii="Garamond" w:eastAsia="Times" w:hAnsi="Garamond" w:cs="Times"/>
      <w:bCs/>
      <w:sz w:val="16"/>
      <w:szCs w:val="20"/>
      <w:lang w:val="en-US" w:eastAsia="ar-SA"/>
    </w:rPr>
  </w:style>
  <w:style w:type="paragraph" w:customStyle="1" w:styleId="CVFooterRight">
    <w:name w:val="CV Footer Right"/>
    <w:basedOn w:val="Normal"/>
    <w:uiPriority w:val="99"/>
    <w:rsid w:val="008A3FF7"/>
    <w:pPr>
      <w:suppressAutoHyphens/>
      <w:spacing w:after="0" w:line="240" w:lineRule="auto"/>
    </w:pPr>
    <w:rPr>
      <w:rFonts w:ascii="Garamond" w:eastAsia="Times" w:hAnsi="Garamond" w:cs="Times"/>
      <w:bCs/>
      <w:sz w:val="16"/>
      <w:szCs w:val="20"/>
      <w:lang w:val="de-DE" w:eastAsia="ar-SA"/>
    </w:rPr>
  </w:style>
  <w:style w:type="paragraph" w:customStyle="1" w:styleId="Eaoaeaa">
    <w:name w:val="Eaoae?aa"/>
    <w:basedOn w:val="Normal"/>
    <w:rsid w:val="008A3FF7"/>
    <w:pPr>
      <w:widowControl w:val="0"/>
      <w:tabs>
        <w:tab w:val="center" w:pos="4153"/>
        <w:tab w:val="right" w:pos="8306"/>
      </w:tabs>
      <w:spacing w:after="0" w:line="240" w:lineRule="auto"/>
    </w:pPr>
    <w:rPr>
      <w:rFonts w:ascii="Times" w:eastAsia="Times" w:hAnsi="Times" w:cs="Times"/>
      <w:sz w:val="20"/>
      <w:szCs w:val="20"/>
      <w:lang w:val="en-US" w:eastAsia="en-GB"/>
    </w:rPr>
  </w:style>
  <w:style w:type="paragraph" w:customStyle="1" w:styleId="Aaoeeu">
    <w:name w:val="Aaoeeu"/>
    <w:uiPriority w:val="99"/>
    <w:rsid w:val="008A3FF7"/>
    <w:pPr>
      <w:widowControl w:val="0"/>
      <w:spacing w:after="0" w:line="240" w:lineRule="auto"/>
    </w:pPr>
    <w:rPr>
      <w:rFonts w:ascii="Times" w:eastAsia="Times" w:hAnsi="Times" w:cs="Times"/>
      <w:sz w:val="20"/>
      <w:szCs w:val="20"/>
      <w:lang w:val="en-US"/>
    </w:rPr>
  </w:style>
  <w:style w:type="paragraph" w:customStyle="1" w:styleId="Aeeaoaeaa2">
    <w:name w:val="A?eeaoae?aa 2"/>
    <w:basedOn w:val="Aaoeeu"/>
    <w:next w:val="Aaoeeu"/>
    <w:uiPriority w:val="99"/>
    <w:rsid w:val="008A3FF7"/>
    <w:pPr>
      <w:keepNext/>
      <w:jc w:val="right"/>
    </w:pPr>
    <w:rPr>
      <w:i/>
    </w:rPr>
  </w:style>
  <w:style w:type="paragraph" w:customStyle="1" w:styleId="normaltableau">
    <w:name w:val="normal_tableau"/>
    <w:basedOn w:val="Normal"/>
    <w:uiPriority w:val="99"/>
    <w:rsid w:val="008A3FF7"/>
    <w:pPr>
      <w:widowControl w:val="0"/>
      <w:overflowPunct w:val="0"/>
      <w:autoSpaceDE w:val="0"/>
      <w:autoSpaceDN w:val="0"/>
      <w:adjustRightInd w:val="0"/>
      <w:spacing w:before="120" w:after="120" w:line="240" w:lineRule="auto"/>
      <w:jc w:val="both"/>
    </w:pPr>
    <w:rPr>
      <w:rFonts w:ascii="Wingdings" w:eastAsia="Times" w:hAnsi="Wingdings" w:cs="Times"/>
      <w:szCs w:val="20"/>
    </w:rPr>
  </w:style>
  <w:style w:type="paragraph" w:customStyle="1" w:styleId="text">
    <w:name w:val="text"/>
    <w:basedOn w:val="Normal"/>
    <w:uiPriority w:val="99"/>
    <w:rsid w:val="008A3FF7"/>
    <w:pPr>
      <w:spacing w:before="150" w:after="100" w:afterAutospacing="1" w:line="270" w:lineRule="exact"/>
    </w:pPr>
    <w:rPr>
      <w:rFonts w:ascii="Arial MT Std Light" w:eastAsia="Times" w:hAnsi="Arial MT Std Light" w:cs="Times"/>
      <w:color w:val="666666"/>
      <w:sz w:val="17"/>
      <w:szCs w:val="17"/>
      <w:lang w:val="el-GR" w:eastAsia="el-GR"/>
    </w:rPr>
  </w:style>
  <w:style w:type="paragraph" w:customStyle="1" w:styleId="Level1">
    <w:name w:val="Level 1"/>
    <w:basedOn w:val="Normal"/>
    <w:uiPriority w:val="99"/>
    <w:rsid w:val="008A3FF7"/>
    <w:pPr>
      <w:widowControl w:val="0"/>
      <w:snapToGrid w:val="0"/>
      <w:spacing w:after="0" w:line="240" w:lineRule="auto"/>
      <w:ind w:left="720" w:hanging="720"/>
    </w:pPr>
    <w:rPr>
      <w:rFonts w:ascii="Liberation Serif" w:eastAsia="Times" w:hAnsi="Liberation Serif" w:cs="Times"/>
      <w:sz w:val="24"/>
      <w:szCs w:val="20"/>
      <w:lang w:val="en-US"/>
    </w:rPr>
  </w:style>
  <w:style w:type="paragraph" w:customStyle="1" w:styleId="EUNumberedList">
    <w:name w:val="EU Numbered List"/>
    <w:basedOn w:val="Normal"/>
    <w:uiPriority w:val="99"/>
    <w:rsid w:val="008A3FF7"/>
    <w:pPr>
      <w:spacing w:after="120" w:line="240" w:lineRule="auto"/>
      <w:ind w:left="907" w:right="851" w:hanging="340"/>
      <w:jc w:val="both"/>
    </w:pPr>
    <w:rPr>
      <w:rFonts w:ascii="Liberation Serif" w:eastAsia="Times" w:hAnsi="Liberation Serif" w:cs="Times"/>
      <w:sz w:val="20"/>
      <w:szCs w:val="20"/>
    </w:rPr>
  </w:style>
  <w:style w:type="paragraph" w:customStyle="1" w:styleId="xmsonormal">
    <w:name w:val="x_msonormal"/>
    <w:basedOn w:val="Normal"/>
    <w:rsid w:val="008A3FF7"/>
    <w:pPr>
      <w:spacing w:before="100" w:beforeAutospacing="1" w:after="100" w:afterAutospacing="1" w:line="240" w:lineRule="auto"/>
    </w:pPr>
    <w:rPr>
      <w:rFonts w:ascii="Times" w:eastAsia="Times" w:hAnsi="Times" w:cs="Times"/>
      <w:sz w:val="24"/>
      <w:szCs w:val="24"/>
      <w:lang w:val="el-GR" w:eastAsia="el-GR"/>
    </w:rPr>
  </w:style>
  <w:style w:type="character" w:customStyle="1" w:styleId="IntenseEmphasisBlue">
    <w:name w:val="Intense Emphasis Blue"/>
    <w:basedOn w:val="IntenseEmphasis"/>
    <w:uiPriority w:val="3"/>
    <w:rsid w:val="008A3FF7"/>
    <w:rPr>
      <w:b/>
      <w:bCs w:val="0"/>
      <w:i/>
      <w:iCs/>
      <w:color w:val="003478"/>
      <w:sz w:val="18"/>
      <w:lang w:val="en-GB"/>
    </w:rPr>
  </w:style>
  <w:style w:type="character" w:customStyle="1" w:styleId="ECVHeadingContactDetails">
    <w:name w:val="_ECV_HeadingContactDetails"/>
    <w:rsid w:val="008A3FF7"/>
    <w:rPr>
      <w:rFonts w:ascii="Liberation Serif" w:hAnsi="Liberation Serif" w:cs="Liberation Serif" w:hint="default"/>
      <w:color w:val="1593CB"/>
      <w:sz w:val="18"/>
      <w:szCs w:val="18"/>
    </w:rPr>
  </w:style>
  <w:style w:type="character" w:customStyle="1" w:styleId="ECVContactDetails">
    <w:name w:val="_ECV_ContactDetails"/>
    <w:rsid w:val="008A3FF7"/>
    <w:rPr>
      <w:rFonts w:ascii="Liberation Serif" w:hAnsi="Liberation Serif" w:cs="Liberation Serif" w:hint="default"/>
      <w:color w:val="3F3A38"/>
      <w:sz w:val="18"/>
      <w:szCs w:val="18"/>
    </w:rPr>
  </w:style>
  <w:style w:type="character" w:customStyle="1" w:styleId="ECVInternetLink">
    <w:name w:val="_ECV_InternetLink"/>
    <w:rsid w:val="008A3FF7"/>
    <w:rPr>
      <w:rFonts w:ascii="Liberation Serif" w:hAnsi="Liberation Serif" w:cs="Liberation Serif" w:hint="default"/>
      <w:color w:val="3F3A38"/>
      <w:sz w:val="18"/>
      <w:u w:val="single"/>
      <w:lang w:val="en-GB"/>
    </w:rPr>
  </w:style>
  <w:style w:type="character" w:customStyle="1" w:styleId="ECVHeadingBusinessSector">
    <w:name w:val="_ECV_HeadingBusinessSector"/>
    <w:rsid w:val="008A3FF7"/>
    <w:rPr>
      <w:rFonts w:ascii="Liberation Serif" w:hAnsi="Liberation Serif" w:cs="Liberation Serif" w:hint="default"/>
      <w:color w:val="1593CB"/>
      <w:spacing w:val="-6"/>
      <w:sz w:val="18"/>
      <w:szCs w:val="18"/>
    </w:rPr>
  </w:style>
  <w:style w:type="character" w:customStyle="1" w:styleId="Mentionnonrsolue1">
    <w:name w:val="Mention non résolue1"/>
    <w:basedOn w:val="DefaultParagraphFont"/>
    <w:uiPriority w:val="99"/>
    <w:semiHidden/>
    <w:rsid w:val="008A3FF7"/>
    <w:rPr>
      <w:color w:val="808080"/>
      <w:shd w:val="clear" w:color="auto" w:fill="E6E6E6"/>
    </w:rPr>
  </w:style>
  <w:style w:type="character" w:customStyle="1" w:styleId="googqs-tidbitgoogqs-tidbit-1">
    <w:name w:val="goog_qs-tidbit goog_qs-tidbit-1"/>
    <w:basedOn w:val="DefaultParagraphFont"/>
    <w:rsid w:val="008A3FF7"/>
  </w:style>
  <w:style w:type="character" w:customStyle="1" w:styleId="EndnoteCharacters">
    <w:name w:val="Endnote Characters"/>
    <w:rsid w:val="008A3FF7"/>
  </w:style>
  <w:style w:type="character" w:customStyle="1" w:styleId="WW-DefaultParagraphFont">
    <w:name w:val="WW-Default Paragraph Font"/>
    <w:rsid w:val="008A3FF7"/>
  </w:style>
  <w:style w:type="character" w:customStyle="1" w:styleId="longtext1">
    <w:name w:val="long_text1"/>
    <w:basedOn w:val="DefaultParagraphFont"/>
    <w:rsid w:val="008A3FF7"/>
    <w:rPr>
      <w:sz w:val="20"/>
      <w:szCs w:val="20"/>
    </w:rPr>
  </w:style>
  <w:style w:type="character" w:customStyle="1" w:styleId="shorttext">
    <w:name w:val="short_text"/>
    <w:basedOn w:val="DefaultParagraphFont"/>
    <w:rsid w:val="008A3FF7"/>
  </w:style>
  <w:style w:type="character" w:customStyle="1" w:styleId="hps">
    <w:name w:val="hps"/>
    <w:basedOn w:val="DefaultParagraphFont"/>
    <w:rsid w:val="008A3FF7"/>
  </w:style>
  <w:style w:type="table" w:customStyle="1" w:styleId="Deloitte1">
    <w:name w:val="Deloitte1"/>
    <w:basedOn w:val="TableNormal"/>
    <w:rsid w:val="008A3FF7"/>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2">
    <w:name w:val="Deloitte2"/>
    <w:basedOn w:val="TableNormal"/>
    <w:rsid w:val="008A3FF7"/>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ustom2">
    <w:name w:val="Table Custom2"/>
    <w:basedOn w:val="TableNormal"/>
    <w:uiPriority w:val="99"/>
    <w:rsid w:val="008A3FF7"/>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F5C3B9"/>
        <w:insideV w:val="single" w:sz="4" w:space="0" w:color="F5C3B9"/>
      </w:tblBorders>
      <w:tblCellMar>
        <w:top w:w="43" w:type="dxa"/>
        <w:left w:w="115" w:type="dxa"/>
        <w:bottom w:w="43" w:type="dxa"/>
        <w:right w:w="115" w:type="dxa"/>
      </w:tblCellMar>
    </w:tblPr>
    <w:tblStylePr w:type="firstRow">
      <w:rPr>
        <w:rFonts w:ascii="Arial" w:hAnsi="Arial" w:cs="Arial" w:hint="default"/>
        <w:b/>
        <w:color w:val="FFFFFF"/>
        <w:sz w:val="20"/>
        <w:szCs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Table1-PSPbrand1">
    <w:name w:val="Table 1 - PSP brand1"/>
    <w:basedOn w:val="TableNormal"/>
    <w:rsid w:val="008A3FF7"/>
    <w:pPr>
      <w:spacing w:after="0" w:line="240" w:lineRule="auto"/>
    </w:pPr>
    <w:rPr>
      <w:rFonts w:ascii="Symbol" w:eastAsia="Symbol" w:hAnsi="Symbol" w:cs="Times"/>
      <w:sz w:val="24"/>
      <w:lang w:val="nl-NL" w:eastAsia="en-GB"/>
    </w:rPr>
    <w:tblPr>
      <w:tblStyleRowBandSize w:val="1"/>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cPr>
      <w:shd w:val="clear" w:color="auto" w:fill="FFFFFF"/>
    </w:tcPr>
    <w:tblStylePr w:type="firstRow">
      <w:rPr>
        <w:b/>
        <w:color w:val="E76C53"/>
      </w:rPr>
      <w:tblPr/>
      <w:tcPr>
        <w:shd w:val="clear" w:color="auto" w:fill="000000"/>
      </w:tcPr>
    </w:tblStylePr>
    <w:tblStylePr w:type="band2Horz">
      <w:tblPr/>
      <w:tcPr>
        <w:shd w:val="clear" w:color="auto" w:fill="DDD9C3"/>
      </w:tcPr>
    </w:tblStylePr>
  </w:style>
  <w:style w:type="table" w:customStyle="1" w:styleId="MainEUtablestyle-Alternative1">
    <w:name w:val="Main EU table style - Alternative1"/>
    <w:basedOn w:val="TableNormal"/>
    <w:uiPriority w:val="99"/>
    <w:rsid w:val="008A3FF7"/>
    <w:pPr>
      <w:spacing w:after="120"/>
      <w:jc w:val="both"/>
    </w:pPr>
    <w:rPr>
      <w:rFonts w:ascii="Liberation Serif" w:eastAsia="Symbol" w:hAnsi="Liberation Serif" w:cs="Times"/>
      <w:sz w:val="18"/>
      <w:szCs w:val="20"/>
    </w:rPr>
    <w:tblPr>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blStylePr w:type="firstRow">
      <w:pPr>
        <w:jc w:val="left"/>
      </w:pPr>
      <w:rPr>
        <w:rFonts w:ascii="Arial" w:hAnsi="Arial" w:cs="Arial" w:hint="default"/>
        <w:b w:val="0"/>
        <w:color w:val="FFFFFF"/>
        <w:sz w:val="18"/>
        <w:szCs w:val="18"/>
      </w:rPr>
    </w:tblStylePr>
    <w:tblStylePr w:type="firstCol">
      <w:rPr>
        <w:rFonts w:ascii="Arial" w:hAnsi="Arial" w:cs="Arial" w:hint="default"/>
        <w:b/>
        <w:color w:val="FFFFFF"/>
        <w:sz w:val="20"/>
        <w:szCs w:val="20"/>
      </w:rPr>
      <w:tblPr/>
      <w:tcPr>
        <w:tcBorders>
          <w:top w:val="nil"/>
          <w:left w:val="nil"/>
          <w:bottom w:val="nil"/>
          <w:right w:val="nil"/>
          <w:insideH w:val="single" w:sz="4" w:space="0" w:color="FFFFFF"/>
          <w:insideV w:val="single" w:sz="4" w:space="0" w:color="FFFFFF"/>
        </w:tcBorders>
        <w:shd w:val="clear" w:color="auto" w:fill="E76C53"/>
      </w:tcPr>
    </w:tblStylePr>
  </w:style>
  <w:style w:type="table" w:customStyle="1" w:styleId="MediumShading1-Accent52">
    <w:name w:val="Medium Shading 1 - Accent 52"/>
    <w:basedOn w:val="TableNormal"/>
    <w:uiPriority w:val="63"/>
    <w:rsid w:val="008A3FF7"/>
    <w:pPr>
      <w:spacing w:after="0" w:line="240" w:lineRule="auto"/>
    </w:pPr>
    <w:rPr>
      <w:rFonts w:ascii="Times" w:eastAsia="Symbol" w:hAnsi="Times" w:cs="Times"/>
      <w:sz w:val="20"/>
      <w:szCs w:val="20"/>
      <w:lang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Lines="0" w:before="0" w:beforeAutospacing="0" w:afterLines="0" w:after="0" w:afterAutospacing="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Lines="0" w:before="0" w:beforeAutospacing="0" w:afterLines="0" w:after="0" w:afterAutospacing="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ListTable4121">
    <w:name w:val="List Table 4121"/>
    <w:basedOn w:val="TableNormal"/>
    <w:uiPriority w:val="49"/>
    <w:rsid w:val="008A3FF7"/>
    <w:pPr>
      <w:spacing w:after="0" w:line="240" w:lineRule="auto"/>
    </w:pPr>
    <w:rPr>
      <w:rFonts w:ascii="Symbol" w:eastAsia="NSimSun" w:hAnsi="Symbol"/>
      <w:sz w:val="24"/>
    </w:rPr>
    <w:tblPr>
      <w:tblStyleRowBandSize w:val="1"/>
      <w:tblStyleColBandSize w:val="1"/>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cPr>
      <w:shd w:val="clear" w:color="auto" w:fill="FFFFFF"/>
      <w:vAlign w:val="center"/>
    </w:tcPr>
    <w:tblStylePr w:type="firstRow">
      <w:pPr>
        <w:jc w:val="left"/>
      </w:pPr>
      <w:rPr>
        <w:rFonts w:ascii="Calibri" w:hAnsi="Calibri" w:hint="default"/>
        <w:b/>
        <w:bCs/>
        <w:color w:val="FFFFFF"/>
        <w:sz w:val="24"/>
        <w:szCs w:val="24"/>
      </w:rPr>
      <w:tblPr/>
      <w:tcPr>
        <w:shd w:val="clear" w:color="auto" w:fill="000000"/>
      </w:tcPr>
    </w:tblStylePr>
    <w:tblStylePr w:type="lastRow">
      <w:pPr>
        <w:jc w:val="left"/>
      </w:pPr>
      <w:rPr>
        <w:rFonts w:ascii="Calibri" w:hAnsi="Calibri" w:hint="default"/>
        <w:b w:val="0"/>
        <w:bCs/>
        <w:sz w:val="24"/>
        <w:szCs w:val="24"/>
      </w:rPr>
    </w:tblStylePr>
    <w:tblStylePr w:type="firstCol">
      <w:pPr>
        <w:jc w:val="left"/>
      </w:pPr>
      <w:rPr>
        <w:rFonts w:ascii="Calibri" w:hAnsi="Calibri" w:hint="default"/>
        <w:b w:val="0"/>
        <w:bCs/>
        <w:sz w:val="24"/>
        <w:szCs w:val="24"/>
      </w:rPr>
    </w:tblStylePr>
    <w:tblStylePr w:type="lastCol">
      <w:pPr>
        <w:jc w:val="left"/>
      </w:pPr>
      <w:rPr>
        <w:rFonts w:ascii="Calibri" w:hAnsi="Calibri" w:hint="default"/>
        <w:b w:val="0"/>
        <w:bCs/>
        <w:color w:val="FFFFFF"/>
        <w:sz w:val="24"/>
        <w:szCs w:val="24"/>
      </w:rPr>
    </w:tblStylePr>
    <w:tblStylePr w:type="band1Vert">
      <w:pPr>
        <w:jc w:val="left"/>
      </w:pPr>
      <w:rPr>
        <w:rFonts w:ascii="Calibri" w:hAnsi="Calibri" w:hint="default"/>
        <w:sz w:val="24"/>
        <w:szCs w:val="24"/>
      </w:rPr>
    </w:tblStylePr>
    <w:tblStylePr w:type="band2Vert">
      <w:pPr>
        <w:jc w:val="left"/>
      </w:pPr>
      <w:rPr>
        <w:rFonts w:ascii="Calibri" w:hAnsi="Calibri" w:hint="default"/>
        <w:sz w:val="24"/>
        <w:szCs w:val="24"/>
      </w:rPr>
    </w:tblStylePr>
    <w:tblStylePr w:type="band1Horz">
      <w:pPr>
        <w:jc w:val="left"/>
      </w:pPr>
      <w:rPr>
        <w:rFonts w:ascii="Calibri" w:hAnsi="Calibri" w:hint="default"/>
        <w:sz w:val="24"/>
        <w:szCs w:val="24"/>
      </w:rPr>
    </w:tblStylePr>
    <w:tblStylePr w:type="band2Horz">
      <w:pPr>
        <w:jc w:val="left"/>
      </w:pPr>
      <w:rPr>
        <w:rFonts w:ascii="Calibri" w:hAnsi="Calibri" w:hint="default"/>
        <w:sz w:val="24"/>
        <w:szCs w:val="24"/>
      </w:rPr>
    </w:tblStylePr>
    <w:tblStylePr w:type="neCell">
      <w:pPr>
        <w:jc w:val="left"/>
      </w:pPr>
      <w:rPr>
        <w:rFonts w:ascii="Calibri" w:hAnsi="Calibri" w:hint="default"/>
        <w:color w:val="FFFFFF"/>
        <w:sz w:val="24"/>
        <w:szCs w:val="24"/>
      </w:rPr>
      <w:tblPr/>
      <w:tcPr>
        <w:shd w:val="clear" w:color="auto" w:fill="000000"/>
      </w:tcPr>
    </w:tblStylePr>
    <w:tblStylePr w:type="nwCell">
      <w:pPr>
        <w:jc w:val="left"/>
      </w:pPr>
      <w:rPr>
        <w:rFonts w:ascii="Calibri" w:hAnsi="Calibri" w:hint="default"/>
        <w:b/>
        <w:color w:val="FFFFFF"/>
        <w:sz w:val="24"/>
        <w:szCs w:val="24"/>
      </w:rPr>
      <w:tblPr/>
      <w:tcPr>
        <w:shd w:val="clear" w:color="auto" w:fill="000000"/>
      </w:tcPr>
    </w:tblStylePr>
    <w:tblStylePr w:type="seCell">
      <w:pPr>
        <w:jc w:val="left"/>
      </w:pPr>
      <w:rPr>
        <w:rFonts w:ascii="Calibri" w:hAnsi="Calibri" w:hint="default"/>
        <w:sz w:val="24"/>
        <w:szCs w:val="24"/>
      </w:rPr>
    </w:tblStylePr>
    <w:tblStylePr w:type="swCell">
      <w:pPr>
        <w:jc w:val="left"/>
      </w:pPr>
      <w:rPr>
        <w:rFonts w:ascii="Calibri" w:hAnsi="Calibri" w:hint="default"/>
        <w:sz w:val="24"/>
        <w:szCs w:val="24"/>
      </w:rPr>
    </w:tblStylePr>
  </w:style>
  <w:style w:type="table" w:customStyle="1" w:styleId="CoffeyTable12">
    <w:name w:val="Coffey Table 12"/>
    <w:basedOn w:val="TableGrid"/>
    <w:uiPriority w:val="99"/>
    <w:rsid w:val="008A3FF7"/>
    <w:rPr>
      <w:rFonts w:ascii="Liberation Serif" w:hAnsi="Liberation Serif"/>
      <w:sz w:val="18"/>
    </w:rPr>
    <w:tblPr/>
    <w:tcPr>
      <w:shd w:val="clear" w:color="auto" w:fill="FFFFFF"/>
    </w:tcPr>
    <w:tblStylePr w:type="firstRow">
      <w:pPr>
        <w:jc w:val="left"/>
      </w:pPr>
      <w:rPr>
        <w:rFonts w:ascii="Arial" w:hAnsi="Arial" w:cs="Arial" w:hint="default"/>
        <w:color w:val="FFFFFF"/>
        <w:sz w:val="20"/>
        <w:szCs w:val="20"/>
      </w:rPr>
      <w:tblPr/>
      <w:tcPr>
        <w:shd w:val="clear" w:color="auto" w:fill="FFC000"/>
      </w:tcPr>
    </w:tblStylePr>
  </w:style>
  <w:style w:type="table" w:customStyle="1" w:styleId="ColorfulGrid-Accent511">
    <w:name w:val="Colorful Grid - Accent 511"/>
    <w:basedOn w:val="TableNormal"/>
    <w:uiPriority w:val="73"/>
    <w:rsid w:val="008A3FF7"/>
    <w:pPr>
      <w:spacing w:after="0" w:line="240" w:lineRule="auto"/>
    </w:pPr>
    <w:rPr>
      <w:rFonts w:ascii="Times" w:eastAsia="Symbol" w:hAnsi="Times" w:cs="Times"/>
      <w:color w:val="000000"/>
      <w:sz w:val="20"/>
      <w:szCs w:val="20"/>
    </w:rPr>
    <w:tblPr>
      <w:tblStyleRowBandSize w:val="1"/>
      <w:tblStyleColBandSize w:val="1"/>
      <w:tblBorders>
        <w:insideH w:val="single" w:sz="4" w:space="0" w:color="FFFFFF"/>
      </w:tblBorders>
    </w:tblPr>
    <w:tcPr>
      <w:shd w:val="clear" w:color="auto" w:fill="EAEEF0"/>
    </w:tcPr>
    <w:tblStylePr w:type="firstRow">
      <w:rPr>
        <w:b/>
        <w:bCs/>
      </w:rPr>
      <w:tblPr/>
      <w:tcPr>
        <w:shd w:val="clear" w:color="auto" w:fill="D5DDE1"/>
      </w:tcPr>
    </w:tblStylePr>
    <w:tblStylePr w:type="lastRow">
      <w:rPr>
        <w:b/>
        <w:bCs/>
        <w:color w:val="000000"/>
      </w:rPr>
      <w:tblPr/>
      <w:tcPr>
        <w:shd w:val="clear" w:color="auto" w:fill="D5DDE1"/>
      </w:tcPr>
    </w:tblStylePr>
    <w:tblStylePr w:type="firstCol">
      <w:rPr>
        <w:color w:val="FFFFFF"/>
      </w:rPr>
      <w:tblPr/>
      <w:tcPr>
        <w:shd w:val="clear" w:color="auto" w:fill="678292"/>
      </w:tcPr>
    </w:tblStylePr>
    <w:tblStylePr w:type="lastCol">
      <w:rPr>
        <w:color w:val="FFFFFF"/>
      </w:rPr>
      <w:tblPr/>
      <w:tcPr>
        <w:shd w:val="clear" w:color="auto" w:fill="678292"/>
      </w:tcPr>
    </w:tblStylePr>
    <w:tblStylePr w:type="band1Vert">
      <w:tblPr/>
      <w:tcPr>
        <w:shd w:val="clear" w:color="auto" w:fill="CBD5DA"/>
      </w:tcPr>
    </w:tblStylePr>
    <w:tblStylePr w:type="band1Horz">
      <w:tblPr/>
      <w:tcPr>
        <w:shd w:val="clear" w:color="auto" w:fill="CBD5DA"/>
      </w:tcPr>
    </w:tblStylePr>
  </w:style>
  <w:style w:type="table" w:customStyle="1" w:styleId="MediumGrid1-Accent511">
    <w:name w:val="Medium Grid 1 - Accent 511"/>
    <w:basedOn w:val="TableNormal"/>
    <w:uiPriority w:val="67"/>
    <w:rsid w:val="008A3FF7"/>
    <w:pPr>
      <w:spacing w:after="0" w:line="240" w:lineRule="auto"/>
    </w:pPr>
    <w:rPr>
      <w:rFonts w:ascii="Times" w:eastAsia="Symbol" w:hAnsi="Times" w:cs="Times"/>
      <w:sz w:val="20"/>
      <w:szCs w:val="20"/>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insideV w:val="single" w:sz="8" w:space="0" w:color="B1C0C8"/>
      </w:tblBorders>
    </w:tblPr>
    <w:tcPr>
      <w:shd w:val="clear" w:color="auto" w:fill="E5EAED"/>
    </w:tcPr>
    <w:tblStylePr w:type="firstRow">
      <w:rPr>
        <w:b/>
        <w:bCs/>
      </w:rPr>
    </w:tblStylePr>
    <w:tblStylePr w:type="lastRow">
      <w:rPr>
        <w:b/>
        <w:bCs/>
      </w:rPr>
      <w:tblPr/>
      <w:tcPr>
        <w:tcBorders>
          <w:top w:val="single" w:sz="18" w:space="0" w:color="B1C0C8"/>
        </w:tcBorders>
      </w:tcPr>
    </w:tblStylePr>
    <w:tblStylePr w:type="firstCol">
      <w:rPr>
        <w:b/>
        <w:bCs/>
      </w:rPr>
    </w:tblStylePr>
    <w:tblStylePr w:type="lastCol">
      <w:rPr>
        <w:b/>
        <w:bCs/>
      </w:rPr>
    </w:tblStylePr>
    <w:tblStylePr w:type="band1Vert">
      <w:tblPr/>
      <w:tcPr>
        <w:shd w:val="clear" w:color="auto" w:fill="CBD5DA"/>
      </w:tcPr>
    </w:tblStylePr>
    <w:tblStylePr w:type="band1Horz">
      <w:tblPr/>
      <w:tcPr>
        <w:shd w:val="clear" w:color="auto" w:fill="CBD5DA"/>
      </w:tcPr>
    </w:tblStylePr>
  </w:style>
  <w:style w:type="table" w:customStyle="1" w:styleId="ColorfulList11">
    <w:name w:val="Colorful List11"/>
    <w:basedOn w:val="TableNormal"/>
    <w:uiPriority w:val="72"/>
    <w:rsid w:val="008A3FF7"/>
    <w:pPr>
      <w:spacing w:after="0" w:line="240" w:lineRule="auto"/>
    </w:pPr>
    <w:rPr>
      <w:rFonts w:ascii="Times" w:eastAsia="Symbol" w:hAnsi="Times" w:cs="Times"/>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Accent111">
    <w:name w:val="Light Grid - Accent 111"/>
    <w:basedOn w:val="TableNormal"/>
    <w:uiPriority w:val="62"/>
    <w:rsid w:val="008A3FF7"/>
    <w:pPr>
      <w:spacing w:after="0" w:line="240" w:lineRule="auto"/>
    </w:pPr>
    <w:rPr>
      <w:rFonts w:ascii="Times" w:eastAsia="Symbol" w:hAnsi="Times" w:cs="Times"/>
      <w:sz w:val="20"/>
      <w:szCs w:val="20"/>
    </w:rPr>
    <w:tblPr>
      <w:tblStyleRowBandSize w:val="1"/>
      <w:tblStyleColBandSize w:val="1"/>
      <w:tblBorders>
        <w:top w:val="single" w:sz="8" w:space="0" w:color="4FAA5F"/>
        <w:left w:val="single" w:sz="8" w:space="0" w:color="4FAA5F"/>
        <w:bottom w:val="single" w:sz="8" w:space="0" w:color="4FAA5F"/>
        <w:right w:val="single" w:sz="8" w:space="0" w:color="4FAA5F"/>
        <w:insideH w:val="single" w:sz="8" w:space="0" w:color="4FAA5F"/>
        <w:insideV w:val="single" w:sz="8" w:space="0" w:color="4FAA5F"/>
      </w:tblBorders>
    </w:tblPr>
    <w:tblStylePr w:type="firstRow">
      <w:pPr>
        <w:spacing w:beforeLines="0" w:before="0" w:beforeAutospacing="0" w:afterLines="0" w:after="0" w:afterAutospacing="0" w:line="240" w:lineRule="auto"/>
      </w:pPr>
      <w:rPr>
        <w:rFonts w:ascii="Segoe Script" w:eastAsia="SimSun" w:hAnsi="Segoe Script" w:cs="Times New Roman" w:hint="default"/>
        <w:b/>
        <w:bCs/>
      </w:rPr>
      <w:tblPr/>
      <w:tcPr>
        <w:tcBorders>
          <w:top w:val="single" w:sz="8" w:space="0" w:color="4FAA5F"/>
          <w:left w:val="single" w:sz="8" w:space="0" w:color="4FAA5F"/>
          <w:bottom w:val="single" w:sz="18" w:space="0" w:color="4FAA5F"/>
          <w:right w:val="single" w:sz="8" w:space="0" w:color="4FAA5F"/>
          <w:insideH w:val="nil"/>
          <w:insideV w:val="single" w:sz="8" w:space="0" w:color="4FAA5F"/>
        </w:tcBorders>
      </w:tcPr>
    </w:tblStylePr>
    <w:tblStylePr w:type="lastRow">
      <w:pPr>
        <w:spacing w:beforeLines="0" w:before="0" w:beforeAutospacing="0" w:afterLines="0" w:after="0" w:afterAutospacing="0" w:line="240" w:lineRule="auto"/>
      </w:pPr>
      <w:rPr>
        <w:rFonts w:ascii="Segoe Script" w:eastAsia="SimSun" w:hAnsi="Segoe Script" w:cs="Times New Roman" w:hint="default"/>
        <w:b/>
        <w:bCs/>
      </w:rPr>
      <w:tblPr/>
      <w:tcPr>
        <w:tcBorders>
          <w:top w:val="double" w:sz="6" w:space="0" w:color="4FAA5F"/>
          <w:left w:val="single" w:sz="8" w:space="0" w:color="4FAA5F"/>
          <w:bottom w:val="single" w:sz="8" w:space="0" w:color="4FAA5F"/>
          <w:right w:val="single" w:sz="8" w:space="0" w:color="4FAA5F"/>
          <w:insideH w:val="nil"/>
          <w:insideV w:val="single" w:sz="8" w:space="0" w:color="4FAA5F"/>
        </w:tcBorders>
      </w:tcPr>
    </w:tblStylePr>
    <w:tblStylePr w:type="firstCol">
      <w:rPr>
        <w:rFonts w:ascii="Segoe Script" w:eastAsia="SimSun" w:hAnsi="Segoe Script" w:cs="Times New Roman" w:hint="default"/>
        <w:b/>
        <w:bCs/>
      </w:rPr>
    </w:tblStylePr>
    <w:tblStylePr w:type="lastCol">
      <w:rPr>
        <w:rFonts w:ascii="Segoe Script" w:eastAsia="SimSun" w:hAnsi="Segoe Script" w:cs="Times New Roman" w:hint="default"/>
        <w:b/>
        <w:bCs/>
      </w:rPr>
      <w:tblPr/>
      <w:tcPr>
        <w:tcBorders>
          <w:top w:val="single" w:sz="8" w:space="0" w:color="4FAA5F"/>
          <w:left w:val="single" w:sz="8" w:space="0" w:color="4FAA5F"/>
          <w:bottom w:val="single" w:sz="8" w:space="0" w:color="4FAA5F"/>
          <w:right w:val="single" w:sz="8" w:space="0" w:color="4FAA5F"/>
        </w:tcBorders>
      </w:tcPr>
    </w:tblStylePr>
    <w:tblStylePr w:type="band1Vert">
      <w:tblPr/>
      <w:tcPr>
        <w:tcBorders>
          <w:top w:val="single" w:sz="8" w:space="0" w:color="4FAA5F"/>
          <w:left w:val="single" w:sz="8" w:space="0" w:color="4FAA5F"/>
          <w:bottom w:val="single" w:sz="8" w:space="0" w:color="4FAA5F"/>
          <w:right w:val="single" w:sz="8" w:space="0" w:color="4FAA5F"/>
        </w:tcBorders>
        <w:shd w:val="clear" w:color="auto" w:fill="D2EAD6"/>
      </w:tcPr>
    </w:tblStylePr>
    <w:tblStylePr w:type="band1Horz">
      <w:tblPr/>
      <w:tcPr>
        <w:tcBorders>
          <w:top w:val="single" w:sz="8" w:space="0" w:color="4FAA5F"/>
          <w:left w:val="single" w:sz="8" w:space="0" w:color="4FAA5F"/>
          <w:bottom w:val="single" w:sz="8" w:space="0" w:color="4FAA5F"/>
          <w:right w:val="single" w:sz="8" w:space="0" w:color="4FAA5F"/>
          <w:insideV w:val="single" w:sz="8" w:space="0" w:color="4FAA5F"/>
        </w:tcBorders>
        <w:shd w:val="clear" w:color="auto" w:fill="D2EAD6"/>
      </w:tcPr>
    </w:tblStylePr>
    <w:tblStylePr w:type="band2Horz">
      <w:tblPr/>
      <w:tcPr>
        <w:tcBorders>
          <w:top w:val="single" w:sz="8" w:space="0" w:color="4FAA5F"/>
          <w:left w:val="single" w:sz="8" w:space="0" w:color="4FAA5F"/>
          <w:bottom w:val="single" w:sz="8" w:space="0" w:color="4FAA5F"/>
          <w:right w:val="single" w:sz="8" w:space="0" w:color="4FAA5F"/>
          <w:insideV w:val="single" w:sz="8" w:space="0" w:color="4FAA5F"/>
        </w:tcBorders>
      </w:tcPr>
    </w:tblStylePr>
  </w:style>
  <w:style w:type="table" w:customStyle="1" w:styleId="MediumShading1-Accent111">
    <w:name w:val="Medium Shading 1 - Accent 111"/>
    <w:basedOn w:val="TableNormal"/>
    <w:uiPriority w:val="63"/>
    <w:rsid w:val="008A3FF7"/>
    <w:pPr>
      <w:spacing w:after="0" w:line="240" w:lineRule="auto"/>
    </w:pPr>
    <w:rPr>
      <w:rFonts w:ascii="Times" w:eastAsia="Symbol" w:hAnsi="Times" w:cs="Times"/>
      <w:sz w:val="20"/>
      <w:szCs w:val="20"/>
    </w:rPr>
    <w:tblPr>
      <w:tblStyleRowBandSize w:val="1"/>
      <w:tblStyleColBandSize w:val="1"/>
      <w:tblBorders>
        <w:top w:val="single" w:sz="8" w:space="0" w:color="79C185"/>
        <w:left w:val="single" w:sz="8" w:space="0" w:color="79C185"/>
        <w:bottom w:val="single" w:sz="8" w:space="0" w:color="79C185"/>
        <w:right w:val="single" w:sz="8" w:space="0" w:color="79C185"/>
        <w:insideH w:val="single" w:sz="8" w:space="0" w:color="79C185"/>
      </w:tblBorders>
    </w:tblPr>
    <w:tblStylePr w:type="firstRow">
      <w:pPr>
        <w:spacing w:beforeLines="0" w:before="0" w:beforeAutospacing="0" w:afterLines="0" w:after="0" w:afterAutospacing="0" w:line="240" w:lineRule="auto"/>
      </w:pPr>
      <w:rPr>
        <w:b/>
        <w:bCs/>
        <w:color w:val="FFFFFF"/>
      </w:rPr>
      <w:tblPr/>
      <w:tcPr>
        <w:tcBorders>
          <w:top w:val="single" w:sz="8" w:space="0" w:color="79C185"/>
          <w:left w:val="single" w:sz="8" w:space="0" w:color="79C185"/>
          <w:bottom w:val="single" w:sz="8" w:space="0" w:color="79C185"/>
          <w:right w:val="single" w:sz="8" w:space="0" w:color="79C185"/>
          <w:insideH w:val="nil"/>
          <w:insideV w:val="nil"/>
        </w:tcBorders>
        <w:shd w:val="clear" w:color="auto" w:fill="4FAA5F"/>
      </w:tcPr>
    </w:tblStylePr>
    <w:tblStylePr w:type="lastRow">
      <w:pPr>
        <w:spacing w:beforeLines="0" w:before="0" w:beforeAutospacing="0" w:afterLines="0" w:after="0" w:afterAutospacing="0" w:line="240" w:lineRule="auto"/>
      </w:pPr>
      <w:rPr>
        <w:b/>
        <w:bCs/>
      </w:rPr>
      <w:tblPr/>
      <w:tcPr>
        <w:tcBorders>
          <w:top w:val="double" w:sz="6" w:space="0" w:color="79C185"/>
          <w:left w:val="single" w:sz="8" w:space="0" w:color="79C185"/>
          <w:bottom w:val="single" w:sz="8" w:space="0" w:color="79C185"/>
          <w:right w:val="single" w:sz="8" w:space="0" w:color="79C185"/>
          <w:insideH w:val="nil"/>
          <w:insideV w:val="nil"/>
        </w:tcBorders>
      </w:tcPr>
    </w:tblStylePr>
    <w:tblStylePr w:type="firstCol">
      <w:rPr>
        <w:b/>
        <w:bCs/>
      </w:rPr>
    </w:tblStylePr>
    <w:tblStylePr w:type="lastCol">
      <w:rPr>
        <w:b/>
        <w:bCs/>
      </w:rPr>
    </w:tblStylePr>
    <w:tblStylePr w:type="band1Vert">
      <w:tblPr/>
      <w:tcPr>
        <w:shd w:val="clear" w:color="auto" w:fill="D2EAD6"/>
      </w:tcPr>
    </w:tblStylePr>
    <w:tblStylePr w:type="band1Horz">
      <w:tblPr/>
      <w:tcPr>
        <w:tcBorders>
          <w:insideH w:val="nil"/>
          <w:insideV w:val="nil"/>
        </w:tcBorders>
        <w:shd w:val="clear" w:color="auto" w:fill="D2EAD6"/>
      </w:tcPr>
    </w:tblStylePr>
    <w:tblStylePr w:type="band2Horz">
      <w:tblPr/>
      <w:tcPr>
        <w:tcBorders>
          <w:insideH w:val="nil"/>
          <w:insideV w:val="nil"/>
        </w:tcBorders>
      </w:tcPr>
    </w:tblStylePr>
  </w:style>
  <w:style w:type="table" w:customStyle="1" w:styleId="ColorfulList-Accent111">
    <w:name w:val="Colorful List - Accent 111"/>
    <w:basedOn w:val="TableNormal"/>
    <w:uiPriority w:val="72"/>
    <w:rsid w:val="008A3FF7"/>
    <w:pPr>
      <w:spacing w:after="0" w:line="240" w:lineRule="auto"/>
    </w:pPr>
    <w:rPr>
      <w:rFonts w:ascii="Times" w:eastAsia="Symbol" w:hAnsi="Times" w:cs="Times"/>
      <w:color w:val="000000"/>
      <w:sz w:val="20"/>
      <w:szCs w:val="20"/>
    </w:rPr>
    <w:tblPr>
      <w:tblStyleRowBandSize w:val="1"/>
      <w:tblStyleColBandSize w:val="1"/>
    </w:tblPr>
    <w:tcPr>
      <w:shd w:val="clear" w:color="auto" w:fill="EDF7EF"/>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D6"/>
      </w:tcPr>
    </w:tblStylePr>
    <w:tblStylePr w:type="band1Horz">
      <w:tblPr/>
      <w:tcPr>
        <w:shd w:val="clear" w:color="auto" w:fill="DBEEDE"/>
      </w:tcPr>
    </w:tblStylePr>
  </w:style>
  <w:style w:type="table" w:customStyle="1" w:styleId="CoffeyTable111">
    <w:name w:val="Coffey Table 111"/>
    <w:basedOn w:val="TableGrid"/>
    <w:uiPriority w:val="99"/>
    <w:rsid w:val="008A3FF7"/>
    <w:rPr>
      <w:rFonts w:ascii="Liberation Serif" w:eastAsia="Symbol" w:hAnsi="Liberation Serif"/>
      <w:sz w:val="18"/>
      <w:lang w:eastAsia="en-US"/>
    </w:rPr>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MediumShading1-Accent511">
    <w:name w:val="Medium Shading 1 - Accent 511"/>
    <w:basedOn w:val="TableNormal"/>
    <w:uiPriority w:val="63"/>
    <w:rsid w:val="008A3FF7"/>
    <w:pPr>
      <w:spacing w:after="0" w:line="240" w:lineRule="auto"/>
    </w:pPr>
    <w:rPr>
      <w:rFonts w:ascii="Times" w:eastAsia="Symbol" w:hAnsi="Times" w:cs="Times"/>
      <w:sz w:val="20"/>
      <w:szCs w:val="20"/>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Lines="0" w:before="0" w:beforeAutospacing="0" w:afterLines="0" w:after="0" w:afterAutospacing="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Lines="0" w:before="0" w:beforeAutospacing="0" w:afterLines="0" w:after="0" w:afterAutospacing="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TableCustom11">
    <w:name w:val="Table Custom11"/>
    <w:basedOn w:val="TableNormal"/>
    <w:uiPriority w:val="99"/>
    <w:rsid w:val="008A3FF7"/>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B7DDBE"/>
        <w:insideV w:val="single" w:sz="4" w:space="0" w:color="B7DDBE"/>
      </w:tblBorders>
      <w:tblCellMar>
        <w:top w:w="43" w:type="dxa"/>
        <w:left w:w="115" w:type="dxa"/>
        <w:bottom w:w="43" w:type="dxa"/>
        <w:right w:w="115" w:type="dxa"/>
      </w:tblCellMar>
    </w:tblPr>
    <w:tblStylePr w:type="firstRow">
      <w:rPr>
        <w:rFonts w:ascii="Arial" w:hAnsi="Arial" w:cs="Arial" w:hint="default"/>
        <w:b/>
        <w:color w:val="FFFFFF"/>
        <w:sz w:val="20"/>
        <w:szCs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LightGrid-Accent121">
    <w:name w:val="Light Grid - Accent 121"/>
    <w:basedOn w:val="TableNormal"/>
    <w:uiPriority w:val="62"/>
    <w:semiHidden/>
    <w:rsid w:val="008A3FF7"/>
    <w:pPr>
      <w:spacing w:after="0" w:line="240" w:lineRule="auto"/>
    </w:pPr>
    <w:rPr>
      <w:rFonts w:eastAsia="MS PGothic"/>
      <w:sz w:val="24"/>
      <w:szCs w:val="24"/>
      <w:lang w:val="en-US"/>
    </w:rPr>
    <w:tblPr>
      <w:tblStyleRowBandSize w:val="1"/>
      <w:tblStyleColBandSize w:val="1"/>
      <w:tblBorders>
        <w:top w:val="single" w:sz="8" w:space="0" w:color="E76C53"/>
        <w:left w:val="single" w:sz="8" w:space="0" w:color="E76C53"/>
        <w:bottom w:val="single" w:sz="8" w:space="0" w:color="E76C53"/>
        <w:right w:val="single" w:sz="8" w:space="0" w:color="E76C53"/>
        <w:insideH w:val="single" w:sz="8" w:space="0" w:color="E76C53"/>
        <w:insideV w:val="single" w:sz="8" w:space="0" w:color="E76C53"/>
      </w:tblBorders>
    </w:tblPr>
    <w:tblStylePr w:type="firstRow">
      <w:pPr>
        <w:spacing w:beforeLines="0" w:before="0" w:beforeAutospacing="0" w:afterLines="0" w:after="0" w:afterAutospacing="0" w:line="240" w:lineRule="auto"/>
      </w:pPr>
      <w:rPr>
        <w:rFonts w:ascii="Arial" w:eastAsia="@MingLiU_HKSCS-ExtB" w:hAnsi="Arial" w:cs="Arial" w:hint="default"/>
        <w:b/>
        <w:bCs/>
      </w:rPr>
      <w:tblPr/>
      <w:tcPr>
        <w:tcBorders>
          <w:top w:val="single" w:sz="8" w:space="0" w:color="E76C53"/>
          <w:left w:val="single" w:sz="8" w:space="0" w:color="E76C53"/>
          <w:bottom w:val="single" w:sz="18" w:space="0" w:color="E76C53"/>
          <w:right w:val="single" w:sz="8" w:space="0" w:color="E76C53"/>
          <w:insideH w:val="nil"/>
          <w:insideV w:val="single" w:sz="8" w:space="0" w:color="E76C53"/>
        </w:tcBorders>
      </w:tcPr>
    </w:tblStylePr>
    <w:tblStylePr w:type="lastRow">
      <w:pPr>
        <w:spacing w:beforeLines="0" w:before="0" w:beforeAutospacing="0" w:afterLines="0" w:after="0" w:afterAutospacing="0" w:line="240" w:lineRule="auto"/>
      </w:pPr>
      <w:rPr>
        <w:rFonts w:ascii="Arial" w:eastAsia="@MingLiU_HKSCS-ExtB" w:hAnsi="Arial" w:cs="Arial" w:hint="default"/>
        <w:b/>
        <w:bCs/>
      </w:rPr>
      <w:tblPr/>
      <w:tcPr>
        <w:tcBorders>
          <w:top w:val="double" w:sz="6" w:space="0" w:color="E76C53"/>
          <w:left w:val="single" w:sz="8" w:space="0" w:color="E76C53"/>
          <w:bottom w:val="single" w:sz="8" w:space="0" w:color="E76C53"/>
          <w:right w:val="single" w:sz="8" w:space="0" w:color="E76C53"/>
          <w:insideH w:val="nil"/>
          <w:insideV w:val="single" w:sz="8" w:space="0" w:color="E76C53"/>
        </w:tcBorders>
      </w:tcPr>
    </w:tblStylePr>
    <w:tblStylePr w:type="firstCol">
      <w:rPr>
        <w:rFonts w:ascii="Arial" w:eastAsia="@MingLiU_HKSCS-ExtB" w:hAnsi="Arial" w:cs="Arial" w:hint="default"/>
        <w:b/>
        <w:bCs/>
      </w:rPr>
    </w:tblStylePr>
    <w:tblStylePr w:type="lastCol">
      <w:rPr>
        <w:rFonts w:ascii="Arial" w:eastAsia="@MingLiU_HKSCS-ExtB" w:hAnsi="Arial" w:cs="Arial" w:hint="default"/>
        <w:b/>
        <w:bCs/>
      </w:rPr>
      <w:tblPr/>
      <w:tcPr>
        <w:tcBorders>
          <w:top w:val="single" w:sz="8" w:space="0" w:color="E76C53"/>
          <w:left w:val="single" w:sz="8" w:space="0" w:color="E76C53"/>
          <w:bottom w:val="single" w:sz="8" w:space="0" w:color="E76C53"/>
          <w:right w:val="single" w:sz="8" w:space="0" w:color="E76C53"/>
        </w:tcBorders>
      </w:tcPr>
    </w:tblStylePr>
    <w:tblStylePr w:type="band1Vert">
      <w:tblPr/>
      <w:tcPr>
        <w:tcBorders>
          <w:top w:val="single" w:sz="8" w:space="0" w:color="E76C53"/>
          <w:left w:val="single" w:sz="8" w:space="0" w:color="E76C53"/>
          <w:bottom w:val="single" w:sz="8" w:space="0" w:color="E76C53"/>
          <w:right w:val="single" w:sz="8" w:space="0" w:color="E76C53"/>
        </w:tcBorders>
        <w:shd w:val="clear" w:color="auto" w:fill="F9DAD4"/>
      </w:tcPr>
    </w:tblStylePr>
    <w:tblStylePr w:type="band1Horz">
      <w:tblPr/>
      <w:tcPr>
        <w:tcBorders>
          <w:top w:val="single" w:sz="8" w:space="0" w:color="E76C53"/>
          <w:left w:val="single" w:sz="8" w:space="0" w:color="E76C53"/>
          <w:bottom w:val="single" w:sz="8" w:space="0" w:color="E76C53"/>
          <w:right w:val="single" w:sz="8" w:space="0" w:color="E76C53"/>
          <w:insideV w:val="single" w:sz="8" w:space="0" w:color="E76C53"/>
        </w:tcBorders>
        <w:shd w:val="clear" w:color="auto" w:fill="F9DAD4"/>
      </w:tcPr>
    </w:tblStylePr>
    <w:tblStylePr w:type="band2Horz">
      <w:tblPr/>
      <w:tcPr>
        <w:tcBorders>
          <w:top w:val="single" w:sz="8" w:space="0" w:color="E76C53"/>
          <w:left w:val="single" w:sz="8" w:space="0" w:color="E76C53"/>
          <w:bottom w:val="single" w:sz="8" w:space="0" w:color="E76C53"/>
          <w:right w:val="single" w:sz="8" w:space="0" w:color="E76C53"/>
          <w:insideV w:val="single" w:sz="8" w:space="0" w:color="E76C53"/>
        </w:tcBorders>
      </w:tcPr>
    </w:tblStylePr>
  </w:style>
  <w:style w:type="table" w:customStyle="1" w:styleId="MediumShading1-Accent121">
    <w:name w:val="Medium Shading 1 - Accent 121"/>
    <w:basedOn w:val="TableNormal"/>
    <w:uiPriority w:val="63"/>
    <w:semiHidden/>
    <w:rsid w:val="008A3FF7"/>
    <w:pPr>
      <w:spacing w:after="0" w:line="240" w:lineRule="auto"/>
    </w:pPr>
    <w:rPr>
      <w:rFonts w:eastAsia="MS PGothic"/>
      <w:sz w:val="24"/>
      <w:szCs w:val="24"/>
      <w:lang w:val="en-US"/>
    </w:rPr>
    <w:tblPr>
      <w:tblStyleRowBandSize w:val="1"/>
      <w:tblStyleColBandSize w:val="1"/>
      <w:tblBorders>
        <w:top w:val="single" w:sz="8" w:space="0" w:color="ED907E"/>
        <w:left w:val="single" w:sz="8" w:space="0" w:color="ED907E"/>
        <w:bottom w:val="single" w:sz="8" w:space="0" w:color="ED907E"/>
        <w:right w:val="single" w:sz="8" w:space="0" w:color="ED907E"/>
        <w:insideH w:val="single" w:sz="8" w:space="0" w:color="ED907E"/>
      </w:tblBorders>
    </w:tblPr>
    <w:tblStylePr w:type="firstRow">
      <w:pPr>
        <w:spacing w:beforeLines="0" w:before="0" w:beforeAutospacing="0" w:afterLines="0" w:after="0" w:afterAutospacing="0" w:line="240" w:lineRule="auto"/>
      </w:pPr>
      <w:rPr>
        <w:b/>
        <w:bCs/>
        <w:color w:val="FFFFFF"/>
      </w:rPr>
      <w:tblPr/>
      <w:tcPr>
        <w:tcBorders>
          <w:top w:val="single" w:sz="8" w:space="0" w:color="ED907E"/>
          <w:left w:val="single" w:sz="8" w:space="0" w:color="ED907E"/>
          <w:bottom w:val="single" w:sz="8" w:space="0" w:color="ED907E"/>
          <w:right w:val="single" w:sz="8" w:space="0" w:color="ED907E"/>
          <w:insideH w:val="nil"/>
          <w:insideV w:val="nil"/>
        </w:tcBorders>
        <w:shd w:val="clear" w:color="auto" w:fill="E76C53"/>
      </w:tcPr>
    </w:tblStylePr>
    <w:tblStylePr w:type="lastRow">
      <w:pPr>
        <w:spacing w:beforeLines="0" w:before="0" w:beforeAutospacing="0" w:afterLines="0" w:after="0" w:afterAutospacing="0" w:line="240" w:lineRule="auto"/>
      </w:pPr>
      <w:rPr>
        <w:b/>
        <w:bCs/>
      </w:rPr>
      <w:tblPr/>
      <w:tcPr>
        <w:tcBorders>
          <w:top w:val="double" w:sz="6" w:space="0" w:color="ED907E"/>
          <w:left w:val="single" w:sz="8" w:space="0" w:color="ED907E"/>
          <w:bottom w:val="single" w:sz="8" w:space="0" w:color="ED907E"/>
          <w:right w:val="single" w:sz="8" w:space="0" w:color="ED907E"/>
          <w:insideH w:val="nil"/>
          <w:insideV w:val="nil"/>
        </w:tcBorders>
      </w:tcPr>
    </w:tblStylePr>
    <w:tblStylePr w:type="firstCol">
      <w:rPr>
        <w:b/>
        <w:bCs/>
      </w:rPr>
    </w:tblStylePr>
    <w:tblStylePr w:type="lastCol">
      <w:rPr>
        <w:b/>
        <w:bCs/>
      </w:rPr>
    </w:tblStylePr>
    <w:tblStylePr w:type="band1Vert">
      <w:tblPr/>
      <w:tcPr>
        <w:shd w:val="clear" w:color="auto" w:fill="F9DAD4"/>
      </w:tcPr>
    </w:tblStylePr>
    <w:tblStylePr w:type="band1Horz">
      <w:tblPr/>
      <w:tcPr>
        <w:tcBorders>
          <w:insideH w:val="nil"/>
          <w:insideV w:val="nil"/>
        </w:tcBorders>
        <w:shd w:val="clear" w:color="auto" w:fill="F9DAD4"/>
      </w:tcPr>
    </w:tblStylePr>
    <w:tblStylePr w:type="band2Horz">
      <w:tblPr/>
      <w:tcPr>
        <w:tcBorders>
          <w:insideH w:val="nil"/>
          <w:insideV w:val="nil"/>
        </w:tcBorders>
      </w:tcPr>
    </w:tblStylePr>
  </w:style>
  <w:style w:type="table" w:customStyle="1" w:styleId="TableauGrille5Fonc-Accentuation61">
    <w:name w:val="Tableau Grille 5 Foncé - Accentuation 61"/>
    <w:basedOn w:val="TableNormal"/>
    <w:uiPriority w:val="50"/>
    <w:rsid w:val="008A3FF7"/>
    <w:pPr>
      <w:spacing w:after="0" w:line="240" w:lineRule="auto"/>
    </w:pPr>
    <w:rPr>
      <w:rFonts w:ascii="Times" w:eastAsia="Times" w:hAnsi="Times" w:cs="Times"/>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6F0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E858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E858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E858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E858B"/>
      </w:tcPr>
    </w:tblStylePr>
    <w:tblStylePr w:type="band1Vert">
      <w:tblPr/>
      <w:tcPr>
        <w:shd w:val="clear" w:color="auto" w:fill="8EE1E6"/>
      </w:tcPr>
    </w:tblStylePr>
    <w:tblStylePr w:type="band1Horz">
      <w:tblPr/>
      <w:tcPr>
        <w:shd w:val="clear" w:color="auto" w:fill="8EE1E6"/>
      </w:tcPr>
    </w:tblStylePr>
  </w:style>
  <w:style w:type="table" w:customStyle="1" w:styleId="Deloitte3">
    <w:name w:val="Deloitte3"/>
    <w:basedOn w:val="TableNormal"/>
    <w:rsid w:val="008A3FF7"/>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VComments">
    <w:name w:val="_ECV_Comments"/>
    <w:basedOn w:val="ECVText"/>
    <w:uiPriority w:val="99"/>
    <w:rsid w:val="008A3FF7"/>
    <w:pPr>
      <w:jc w:val="center"/>
    </w:pPr>
    <w:rPr>
      <w:color w:val="FF0000"/>
    </w:rPr>
  </w:style>
  <w:style w:type="character" w:customStyle="1" w:styleId="at2">
    <w:name w:val="a__t2"/>
    <w:basedOn w:val="DefaultParagraphFont"/>
    <w:rsid w:val="008A3FF7"/>
  </w:style>
  <w:style w:type="table" w:customStyle="1" w:styleId="Credential52">
    <w:name w:val="Credential52"/>
    <w:basedOn w:val="TableNormal"/>
    <w:next w:val="MediumShading2-Accent1"/>
    <w:uiPriority w:val="64"/>
    <w:rsid w:val="008A3FF7"/>
    <w:pPr>
      <w:spacing w:after="0" w:line="240" w:lineRule="auto"/>
    </w:pPr>
    <w:rPr>
      <w:rFonts w:ascii="Symbol" w:eastAsia="Symbol" w:hAnsi="Symbol" w:cs="Times"/>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Deloitte21">
    <w:name w:val="Deloitte21"/>
    <w:basedOn w:val="TableNormal"/>
    <w:rsid w:val="008A3FF7"/>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redential53">
    <w:name w:val="Credential53"/>
    <w:basedOn w:val="TableNormal"/>
    <w:next w:val="MediumShading2-Accent1"/>
    <w:uiPriority w:val="64"/>
    <w:rsid w:val="008A3FF7"/>
    <w:pPr>
      <w:spacing w:after="0" w:line="240" w:lineRule="auto"/>
    </w:pPr>
    <w:rPr>
      <w:rFonts w:ascii="Symbol" w:eastAsia="Symbol" w:hAnsi="Symbol" w:cs="Times"/>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TabelaRenova1">
    <w:name w:val="Tabela Renova1"/>
    <w:basedOn w:val="TableNormal"/>
    <w:next w:val="TableGrid"/>
    <w:uiPriority w:val="59"/>
    <w:rsid w:val="008A3FF7"/>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abodytext0">
    <w:name w:val="oabodytext"/>
    <w:basedOn w:val="Normal"/>
    <w:rsid w:val="008A3FF7"/>
    <w:pPr>
      <w:spacing w:before="100" w:beforeAutospacing="1" w:after="100" w:afterAutospacing="1" w:line="240" w:lineRule="auto"/>
    </w:pPr>
    <w:rPr>
      <w:rFonts w:ascii="Times" w:eastAsia="Times" w:hAnsi="Times" w:cs="Times"/>
      <w:sz w:val="24"/>
      <w:szCs w:val="24"/>
    </w:rPr>
  </w:style>
  <w:style w:type="table" w:customStyle="1" w:styleId="ListTable4-Accent11">
    <w:name w:val="List Table 4 - Accent 11"/>
    <w:basedOn w:val="TableNormal"/>
    <w:uiPriority w:val="49"/>
    <w:rsid w:val="008A3FF7"/>
    <w:pPr>
      <w:spacing w:after="0" w:line="240" w:lineRule="auto"/>
    </w:pPr>
    <w:rPr>
      <w:lang w:val="en-US"/>
    </w:rPr>
    <w:tblPr>
      <w:tblStyleRowBandSize w:val="1"/>
      <w:tblStyleColBandSize w:val="1"/>
      <w:tblBorders>
        <w:top w:val="single" w:sz="4" w:space="0" w:color="F0A697"/>
        <w:left w:val="single" w:sz="4" w:space="0" w:color="F0A697"/>
        <w:bottom w:val="single" w:sz="4" w:space="0" w:color="F0A697"/>
        <w:right w:val="single" w:sz="4" w:space="0" w:color="F0A697"/>
        <w:insideH w:val="single" w:sz="4" w:space="0" w:color="F0A697"/>
      </w:tblBorders>
    </w:tblPr>
    <w:tblStylePr w:type="firstRow">
      <w:rPr>
        <w:b/>
        <w:bCs/>
        <w:color w:val="FFFFFF"/>
      </w:rPr>
      <w:tblPr/>
      <w:tcPr>
        <w:tcBorders>
          <w:top w:val="single" w:sz="4" w:space="0" w:color="E76C53"/>
          <w:left w:val="single" w:sz="4" w:space="0" w:color="E76C53"/>
          <w:bottom w:val="single" w:sz="4" w:space="0" w:color="E76C53"/>
          <w:right w:val="single" w:sz="4" w:space="0" w:color="E76C53"/>
          <w:insideH w:val="nil"/>
        </w:tcBorders>
        <w:shd w:val="clear" w:color="auto" w:fill="E76C53"/>
      </w:tcPr>
    </w:tblStylePr>
    <w:tblStylePr w:type="lastRow">
      <w:rPr>
        <w:b/>
        <w:bCs/>
      </w:rPr>
      <w:tblPr/>
      <w:tcPr>
        <w:tcBorders>
          <w:top w:val="double" w:sz="4" w:space="0" w:color="F0A697"/>
        </w:tcBorders>
      </w:tcPr>
    </w:tblStylePr>
    <w:tblStylePr w:type="firstCol">
      <w:rPr>
        <w:b/>
        <w:bCs/>
      </w:rPr>
    </w:tblStylePr>
    <w:tblStylePr w:type="lastCol">
      <w:rPr>
        <w:b/>
        <w:bCs/>
      </w:rPr>
    </w:tblStylePr>
    <w:tblStylePr w:type="band1Vert">
      <w:tblPr/>
      <w:tcPr>
        <w:shd w:val="clear" w:color="auto" w:fill="FAE1DC"/>
      </w:tcPr>
    </w:tblStylePr>
    <w:tblStylePr w:type="band1Horz">
      <w:tblPr/>
      <w:tcPr>
        <w:shd w:val="clear" w:color="auto" w:fill="FAE1DC"/>
      </w:tcPr>
    </w:tblStylePr>
  </w:style>
  <w:style w:type="character" w:customStyle="1" w:styleId="sub">
    <w:name w:val="sub"/>
    <w:basedOn w:val="DefaultParagraphFont"/>
    <w:rsid w:val="008A3FF7"/>
  </w:style>
  <w:style w:type="paragraph" w:customStyle="1" w:styleId="Names">
    <w:name w:val="Names"/>
    <w:basedOn w:val="Normal"/>
    <w:link w:val="NamesChar"/>
    <w:rsid w:val="008A3FF7"/>
    <w:pPr>
      <w:keepNext/>
      <w:spacing w:before="120" w:after="120"/>
      <w:jc w:val="both"/>
    </w:pPr>
    <w:rPr>
      <w:rFonts w:eastAsia="MS PGothic"/>
      <w:b/>
      <w:color w:val="1EC08A"/>
      <w:sz w:val="24"/>
      <w:szCs w:val="24"/>
    </w:rPr>
  </w:style>
  <w:style w:type="character" w:customStyle="1" w:styleId="NamesChar">
    <w:name w:val="Names Char"/>
    <w:basedOn w:val="DefaultParagraphFont"/>
    <w:link w:val="Names"/>
    <w:rsid w:val="008A3FF7"/>
    <w:rPr>
      <w:rFonts w:eastAsia="MS PGothic"/>
      <w:b/>
      <w:color w:val="1EC08A"/>
      <w:sz w:val="24"/>
      <w:szCs w:val="24"/>
    </w:rPr>
  </w:style>
  <w:style w:type="paragraph" w:customStyle="1" w:styleId="font5">
    <w:name w:val="font5"/>
    <w:basedOn w:val="Normal"/>
    <w:rsid w:val="008A3FF7"/>
    <w:pPr>
      <w:spacing w:before="100" w:beforeAutospacing="1" w:after="100" w:afterAutospacing="1" w:line="240" w:lineRule="auto"/>
    </w:pPr>
    <w:rPr>
      <w:rFonts w:ascii="Liberation Serif" w:eastAsia="Times" w:hAnsi="Liberation Serif" w:cs="Liberation Serif"/>
      <w:color w:val="000000"/>
      <w:sz w:val="18"/>
      <w:szCs w:val="18"/>
      <w:lang w:val="en-US"/>
    </w:rPr>
  </w:style>
  <w:style w:type="paragraph" w:customStyle="1" w:styleId="font6">
    <w:name w:val="font6"/>
    <w:basedOn w:val="Normal"/>
    <w:rsid w:val="008A3FF7"/>
    <w:pPr>
      <w:spacing w:before="100" w:beforeAutospacing="1" w:after="100" w:afterAutospacing="1" w:line="240" w:lineRule="auto"/>
    </w:pPr>
    <w:rPr>
      <w:rFonts w:ascii="Liberation Serif" w:eastAsia="Times" w:hAnsi="Liberation Serif" w:cs="Liberation Serif"/>
      <w:b/>
      <w:bCs/>
      <w:color w:val="000000"/>
      <w:sz w:val="24"/>
      <w:szCs w:val="24"/>
      <w:lang w:val="en-US"/>
    </w:rPr>
  </w:style>
  <w:style w:type="paragraph" w:customStyle="1" w:styleId="xl65">
    <w:name w:val="xl65"/>
    <w:basedOn w:val="Normal"/>
    <w:rsid w:val="008A3FF7"/>
    <w:pPr>
      <w:spacing w:before="100" w:beforeAutospacing="1" w:after="100" w:afterAutospacing="1" w:line="240" w:lineRule="auto"/>
      <w:jc w:val="center"/>
      <w:textAlignment w:val="center"/>
    </w:pPr>
    <w:rPr>
      <w:rFonts w:ascii="Times" w:eastAsia="Times" w:hAnsi="Times" w:cs="Times"/>
      <w:sz w:val="24"/>
      <w:szCs w:val="24"/>
      <w:lang w:val="en-US"/>
    </w:rPr>
  </w:style>
  <w:style w:type="paragraph" w:customStyle="1" w:styleId="xl66">
    <w:name w:val="xl66"/>
    <w:basedOn w:val="Normal"/>
    <w:rsid w:val="008A3FF7"/>
    <w:pPr>
      <w:spacing w:before="100" w:beforeAutospacing="1" w:after="100" w:afterAutospacing="1" w:line="240" w:lineRule="auto"/>
      <w:jc w:val="center"/>
      <w:textAlignment w:val="center"/>
    </w:pPr>
    <w:rPr>
      <w:rFonts w:ascii="Times" w:eastAsia="Times" w:hAnsi="Times" w:cs="Times"/>
      <w:sz w:val="24"/>
      <w:szCs w:val="24"/>
      <w:lang w:val="en-US"/>
    </w:rPr>
  </w:style>
  <w:style w:type="paragraph" w:customStyle="1" w:styleId="xl67">
    <w:name w:val="xl67"/>
    <w:basedOn w:val="Normal"/>
    <w:rsid w:val="008A3FF7"/>
    <w:pPr>
      <w:spacing w:before="100" w:beforeAutospacing="1" w:after="100" w:afterAutospacing="1" w:line="240" w:lineRule="auto"/>
      <w:textAlignment w:val="center"/>
    </w:pPr>
    <w:rPr>
      <w:rFonts w:ascii="Times" w:eastAsia="Times" w:hAnsi="Times" w:cs="Times"/>
      <w:sz w:val="24"/>
      <w:szCs w:val="24"/>
      <w:lang w:val="en-US"/>
    </w:rPr>
  </w:style>
  <w:style w:type="paragraph" w:customStyle="1" w:styleId="xl68">
    <w:name w:val="xl68"/>
    <w:basedOn w:val="Normal"/>
    <w:rsid w:val="008A3FF7"/>
    <w:pPr>
      <w:spacing w:before="100" w:beforeAutospacing="1" w:after="100" w:afterAutospacing="1" w:line="240" w:lineRule="auto"/>
      <w:textAlignment w:val="center"/>
    </w:pPr>
    <w:rPr>
      <w:rFonts w:ascii="Times" w:eastAsia="Times" w:hAnsi="Times" w:cs="Times"/>
      <w:sz w:val="24"/>
      <w:szCs w:val="24"/>
      <w:lang w:val="en-US"/>
    </w:rPr>
  </w:style>
  <w:style w:type="paragraph" w:customStyle="1" w:styleId="xl69">
    <w:name w:val="xl69"/>
    <w:basedOn w:val="Normal"/>
    <w:rsid w:val="008A3FF7"/>
    <w:pPr>
      <w:pBdr>
        <w:top w:val="single" w:sz="4" w:space="0" w:color="0070C0"/>
        <w:left w:val="single" w:sz="4" w:space="0" w:color="0070C0"/>
        <w:bottom w:val="single" w:sz="4" w:space="0" w:color="0070C0"/>
        <w:right w:val="single" w:sz="4" w:space="0" w:color="0070C0"/>
      </w:pBdr>
      <w:spacing w:before="100" w:beforeAutospacing="1" w:after="100" w:afterAutospacing="1" w:line="240" w:lineRule="auto"/>
      <w:textAlignment w:val="center"/>
    </w:pPr>
    <w:rPr>
      <w:rFonts w:ascii="Liberation Serif" w:eastAsia="Times" w:hAnsi="Liberation Serif" w:cs="Liberation Serif"/>
      <w:sz w:val="18"/>
      <w:szCs w:val="18"/>
      <w:lang w:val="en-US"/>
    </w:rPr>
  </w:style>
  <w:style w:type="paragraph" w:customStyle="1" w:styleId="xl70">
    <w:name w:val="xl70"/>
    <w:basedOn w:val="Normal"/>
    <w:rsid w:val="008A3FF7"/>
    <w:pPr>
      <w:pBdr>
        <w:top w:val="single" w:sz="4" w:space="0" w:color="0070C0"/>
        <w:left w:val="single" w:sz="4" w:space="0" w:color="0070C0"/>
        <w:bottom w:val="single" w:sz="4" w:space="0" w:color="0070C0"/>
        <w:right w:val="single" w:sz="4" w:space="0" w:color="0070C0"/>
      </w:pBdr>
      <w:spacing w:before="100" w:beforeAutospacing="1" w:after="100" w:afterAutospacing="1" w:line="240" w:lineRule="auto"/>
      <w:jc w:val="center"/>
      <w:textAlignment w:val="center"/>
    </w:pPr>
    <w:rPr>
      <w:rFonts w:ascii="Liberation Serif" w:eastAsia="Times" w:hAnsi="Liberation Serif" w:cs="Liberation Serif"/>
      <w:sz w:val="18"/>
      <w:szCs w:val="18"/>
      <w:lang w:val="en-US"/>
    </w:rPr>
  </w:style>
  <w:style w:type="paragraph" w:customStyle="1" w:styleId="xl71">
    <w:name w:val="xl71"/>
    <w:basedOn w:val="Normal"/>
    <w:rsid w:val="008A3FF7"/>
    <w:pPr>
      <w:pBdr>
        <w:top w:val="single" w:sz="4" w:space="0" w:color="0070C0"/>
        <w:left w:val="single" w:sz="4" w:space="0" w:color="0070C0"/>
        <w:bottom w:val="single" w:sz="4" w:space="0" w:color="0070C0"/>
        <w:right w:val="single" w:sz="4" w:space="0" w:color="0070C0"/>
      </w:pBdr>
      <w:spacing w:before="100" w:beforeAutospacing="1" w:after="100" w:afterAutospacing="1" w:line="240" w:lineRule="auto"/>
      <w:jc w:val="center"/>
      <w:textAlignment w:val="center"/>
    </w:pPr>
    <w:rPr>
      <w:rFonts w:ascii="Liberation Serif" w:eastAsia="Times" w:hAnsi="Liberation Serif" w:cs="Liberation Serif"/>
      <w:sz w:val="18"/>
      <w:szCs w:val="18"/>
      <w:lang w:val="en-US"/>
    </w:rPr>
  </w:style>
  <w:style w:type="paragraph" w:customStyle="1" w:styleId="xl72">
    <w:name w:val="xl72"/>
    <w:basedOn w:val="Normal"/>
    <w:rsid w:val="008A3FF7"/>
    <w:pPr>
      <w:pBdr>
        <w:top w:val="single" w:sz="4" w:space="0" w:color="0070C0"/>
        <w:left w:val="single" w:sz="4" w:space="7" w:color="0070C0"/>
        <w:bottom w:val="single" w:sz="4" w:space="0" w:color="0070C0"/>
        <w:right w:val="single" w:sz="4" w:space="0" w:color="0070C0"/>
      </w:pBdr>
      <w:spacing w:before="100" w:beforeAutospacing="1" w:after="100" w:afterAutospacing="1" w:line="240" w:lineRule="auto"/>
      <w:ind w:firstLineChars="100" w:firstLine="100"/>
      <w:textAlignment w:val="center"/>
    </w:pPr>
    <w:rPr>
      <w:rFonts w:ascii="Liberation Serif" w:eastAsia="Times" w:hAnsi="Liberation Serif" w:cs="Liberation Serif"/>
      <w:sz w:val="18"/>
      <w:szCs w:val="18"/>
      <w:lang w:val="en-US"/>
    </w:rPr>
  </w:style>
  <w:style w:type="paragraph" w:customStyle="1" w:styleId="xl73">
    <w:name w:val="xl73"/>
    <w:basedOn w:val="Normal"/>
    <w:rsid w:val="008A3FF7"/>
    <w:pPr>
      <w:pBdr>
        <w:top w:val="single" w:sz="4" w:space="0" w:color="0070C0"/>
        <w:left w:val="single" w:sz="4" w:space="14" w:color="0070C0"/>
        <w:bottom w:val="single" w:sz="4" w:space="0" w:color="0070C0"/>
        <w:right w:val="single" w:sz="4" w:space="0" w:color="0070C0"/>
      </w:pBdr>
      <w:spacing w:before="100" w:beforeAutospacing="1" w:after="100" w:afterAutospacing="1" w:line="240" w:lineRule="auto"/>
      <w:ind w:firstLineChars="200" w:firstLine="200"/>
      <w:textAlignment w:val="center"/>
    </w:pPr>
    <w:rPr>
      <w:rFonts w:ascii="Liberation Serif" w:eastAsia="Times" w:hAnsi="Liberation Serif" w:cs="Liberation Serif"/>
      <w:sz w:val="18"/>
      <w:szCs w:val="18"/>
      <w:lang w:val="en-US"/>
    </w:rPr>
  </w:style>
  <w:style w:type="paragraph" w:customStyle="1" w:styleId="xl74">
    <w:name w:val="xl74"/>
    <w:basedOn w:val="Normal"/>
    <w:rsid w:val="008A3FF7"/>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textAlignment w:val="center"/>
    </w:pPr>
    <w:rPr>
      <w:rFonts w:ascii="Liberation Serif" w:eastAsia="Times" w:hAnsi="Liberation Serif" w:cs="Liberation Serif"/>
      <w:sz w:val="18"/>
      <w:szCs w:val="18"/>
      <w:lang w:val="en-US"/>
    </w:rPr>
  </w:style>
  <w:style w:type="paragraph" w:customStyle="1" w:styleId="xl75">
    <w:name w:val="xl75"/>
    <w:basedOn w:val="Normal"/>
    <w:rsid w:val="008A3FF7"/>
    <w:pPr>
      <w:pBdr>
        <w:top w:val="single" w:sz="4" w:space="0" w:color="0070C0"/>
        <w:left w:val="single" w:sz="4" w:space="0" w:color="0070C0"/>
        <w:bottom w:val="single" w:sz="4" w:space="0" w:color="0070C0"/>
        <w:right w:val="single" w:sz="4" w:space="0" w:color="0070C0"/>
      </w:pBdr>
      <w:spacing w:before="100" w:beforeAutospacing="1" w:after="100" w:afterAutospacing="1" w:line="240" w:lineRule="auto"/>
      <w:jc w:val="center"/>
      <w:textAlignment w:val="center"/>
    </w:pPr>
    <w:rPr>
      <w:rFonts w:ascii="Liberation Serif" w:eastAsia="Times" w:hAnsi="Liberation Serif" w:cs="Liberation Serif"/>
      <w:b/>
      <w:bCs/>
      <w:sz w:val="24"/>
      <w:szCs w:val="24"/>
      <w:lang w:val="en-US"/>
    </w:rPr>
  </w:style>
  <w:style w:type="paragraph" w:customStyle="1" w:styleId="xl76">
    <w:name w:val="xl76"/>
    <w:basedOn w:val="Normal"/>
    <w:rsid w:val="008A3FF7"/>
    <w:pPr>
      <w:pBdr>
        <w:top w:val="single" w:sz="4" w:space="0" w:color="FFFFFF"/>
        <w:left w:val="single" w:sz="4" w:space="0" w:color="FFFFFF"/>
        <w:bottom w:val="single" w:sz="4" w:space="0" w:color="FFFFFF"/>
        <w:right w:val="single" w:sz="4" w:space="0" w:color="FFFFFF"/>
      </w:pBdr>
      <w:shd w:val="clear" w:color="000000" w:fill="00B0F0"/>
      <w:spacing w:before="100" w:beforeAutospacing="1" w:after="100" w:afterAutospacing="1" w:line="240" w:lineRule="auto"/>
      <w:jc w:val="center"/>
      <w:textAlignment w:val="center"/>
    </w:pPr>
    <w:rPr>
      <w:rFonts w:ascii="Liberation Serif" w:eastAsia="Times" w:hAnsi="Liberation Serif" w:cs="Liberation Serif"/>
      <w:b/>
      <w:bCs/>
      <w:color w:val="FFFFFF"/>
      <w:sz w:val="24"/>
      <w:szCs w:val="24"/>
      <w:lang w:val="en-US"/>
    </w:rPr>
  </w:style>
  <w:style w:type="paragraph" w:customStyle="1" w:styleId="xl77">
    <w:name w:val="xl77"/>
    <w:basedOn w:val="Normal"/>
    <w:rsid w:val="008A3FF7"/>
    <w:pPr>
      <w:pBdr>
        <w:top w:val="single" w:sz="4" w:space="0" w:color="FFFFFF"/>
        <w:left w:val="single" w:sz="4" w:space="0" w:color="FFFFFF"/>
        <w:bottom w:val="single" w:sz="4" w:space="0" w:color="FFFFFF"/>
        <w:right w:val="single" w:sz="4" w:space="0" w:color="FFFFFF"/>
      </w:pBdr>
      <w:shd w:val="clear" w:color="000000" w:fill="00B0F0"/>
      <w:spacing w:before="100" w:beforeAutospacing="1" w:after="100" w:afterAutospacing="1" w:line="240" w:lineRule="auto"/>
      <w:jc w:val="center"/>
      <w:textAlignment w:val="center"/>
    </w:pPr>
    <w:rPr>
      <w:rFonts w:ascii="Liberation Serif" w:eastAsia="Times" w:hAnsi="Liberation Serif" w:cs="Liberation Serif"/>
      <w:b/>
      <w:bCs/>
      <w:color w:val="FFFFFF"/>
      <w:sz w:val="24"/>
      <w:szCs w:val="24"/>
      <w:lang w:val="en-US"/>
    </w:rPr>
  </w:style>
  <w:style w:type="paragraph" w:customStyle="1" w:styleId="xl78">
    <w:name w:val="xl78"/>
    <w:basedOn w:val="Normal"/>
    <w:rsid w:val="008A3FF7"/>
    <w:pPr>
      <w:pBdr>
        <w:top w:val="single" w:sz="4" w:space="0" w:color="FFFFFF"/>
        <w:left w:val="single" w:sz="4" w:space="0" w:color="FFFFFF"/>
        <w:bottom w:val="single" w:sz="4" w:space="0" w:color="FFFFFF"/>
        <w:right w:val="single" w:sz="4" w:space="0" w:color="FFFFFF"/>
      </w:pBdr>
      <w:shd w:val="clear" w:color="000000" w:fill="002060"/>
      <w:spacing w:before="100" w:beforeAutospacing="1" w:after="100" w:afterAutospacing="1" w:line="240" w:lineRule="auto"/>
      <w:jc w:val="center"/>
      <w:textAlignment w:val="center"/>
    </w:pPr>
    <w:rPr>
      <w:rFonts w:ascii="Liberation Serif" w:eastAsia="Times" w:hAnsi="Liberation Serif" w:cs="Liberation Serif"/>
      <w:b/>
      <w:bCs/>
      <w:color w:val="FFFFFF"/>
      <w:sz w:val="20"/>
      <w:szCs w:val="20"/>
      <w:lang w:val="en-US"/>
    </w:rPr>
  </w:style>
  <w:style w:type="paragraph" w:customStyle="1" w:styleId="xl79">
    <w:name w:val="xl79"/>
    <w:basedOn w:val="Normal"/>
    <w:rsid w:val="008A3FF7"/>
    <w:pPr>
      <w:pBdr>
        <w:top w:val="single" w:sz="4" w:space="0" w:color="FFFFFF"/>
        <w:left w:val="single" w:sz="4" w:space="0" w:color="FFFFFF"/>
        <w:right w:val="single" w:sz="4" w:space="0" w:color="FFFFFF"/>
      </w:pBdr>
      <w:shd w:val="clear" w:color="000000" w:fill="002060"/>
      <w:spacing w:before="100" w:beforeAutospacing="1" w:after="100" w:afterAutospacing="1" w:line="240" w:lineRule="auto"/>
      <w:jc w:val="center"/>
      <w:textAlignment w:val="center"/>
    </w:pPr>
    <w:rPr>
      <w:rFonts w:ascii="Liberation Serif" w:eastAsia="Times" w:hAnsi="Liberation Serif" w:cs="Liberation Serif"/>
      <w:b/>
      <w:bCs/>
      <w:color w:val="FFFFFF"/>
      <w:sz w:val="20"/>
      <w:szCs w:val="20"/>
      <w:lang w:val="en-US"/>
    </w:rPr>
  </w:style>
  <w:style w:type="paragraph" w:customStyle="1" w:styleId="xl80">
    <w:name w:val="xl80"/>
    <w:basedOn w:val="Normal"/>
    <w:rsid w:val="008A3FF7"/>
    <w:pPr>
      <w:pBdr>
        <w:top w:val="single" w:sz="4" w:space="0" w:color="FFFFFF"/>
        <w:left w:val="single" w:sz="4" w:space="0" w:color="FFFFFF"/>
        <w:right w:val="single" w:sz="4" w:space="0" w:color="FFFFFF"/>
      </w:pBdr>
      <w:shd w:val="clear" w:color="000000" w:fill="002060"/>
      <w:spacing w:before="100" w:beforeAutospacing="1" w:after="100" w:afterAutospacing="1" w:line="240" w:lineRule="auto"/>
      <w:jc w:val="center"/>
      <w:textAlignment w:val="center"/>
    </w:pPr>
    <w:rPr>
      <w:rFonts w:ascii="Liberation Serif" w:eastAsia="Times" w:hAnsi="Liberation Serif" w:cs="Liberation Serif"/>
      <w:b/>
      <w:bCs/>
      <w:color w:val="FFFFFF"/>
      <w:sz w:val="20"/>
      <w:szCs w:val="20"/>
      <w:lang w:val="en-US"/>
    </w:rPr>
  </w:style>
  <w:style w:type="paragraph" w:customStyle="1" w:styleId="xl81">
    <w:name w:val="xl81"/>
    <w:basedOn w:val="Normal"/>
    <w:rsid w:val="008A3FF7"/>
    <w:pPr>
      <w:pBdr>
        <w:top w:val="single" w:sz="4" w:space="0" w:color="FFFFFF"/>
        <w:left w:val="single" w:sz="4" w:space="0" w:color="FFFFFF"/>
        <w:right w:val="single" w:sz="4" w:space="0" w:color="FFFFFF"/>
      </w:pBdr>
      <w:shd w:val="clear" w:color="000000" w:fill="002060"/>
      <w:spacing w:before="100" w:beforeAutospacing="1" w:after="100" w:afterAutospacing="1" w:line="240" w:lineRule="auto"/>
      <w:jc w:val="center"/>
      <w:textAlignment w:val="center"/>
    </w:pPr>
    <w:rPr>
      <w:rFonts w:ascii="Liberation Serif" w:eastAsia="Times" w:hAnsi="Liberation Serif" w:cs="Liberation Serif"/>
      <w:b/>
      <w:bCs/>
      <w:color w:val="FFFFFF"/>
      <w:sz w:val="20"/>
      <w:szCs w:val="20"/>
      <w:lang w:val="en-US"/>
    </w:rPr>
  </w:style>
  <w:style w:type="paragraph" w:customStyle="1" w:styleId="xl82">
    <w:name w:val="xl82"/>
    <w:basedOn w:val="Normal"/>
    <w:rsid w:val="008A3FF7"/>
    <w:pPr>
      <w:pBdr>
        <w:top w:val="single" w:sz="4" w:space="0" w:color="0070C0"/>
        <w:left w:val="single" w:sz="4" w:space="0" w:color="0070C0"/>
        <w:bottom w:val="single" w:sz="4" w:space="0" w:color="0070C0"/>
      </w:pBdr>
      <w:shd w:val="clear" w:color="000000" w:fill="DDEBF7"/>
      <w:spacing w:before="100" w:beforeAutospacing="1" w:after="100" w:afterAutospacing="1" w:line="240" w:lineRule="auto"/>
      <w:jc w:val="center"/>
      <w:textAlignment w:val="center"/>
    </w:pPr>
    <w:rPr>
      <w:rFonts w:ascii="Liberation Serif" w:eastAsia="Times" w:hAnsi="Liberation Serif" w:cs="Liberation Serif"/>
      <w:sz w:val="18"/>
      <w:szCs w:val="18"/>
      <w:lang w:val="en-US"/>
    </w:rPr>
  </w:style>
  <w:style w:type="paragraph" w:customStyle="1" w:styleId="xl83">
    <w:name w:val="xl83"/>
    <w:basedOn w:val="Normal"/>
    <w:rsid w:val="008A3FF7"/>
    <w:pPr>
      <w:pBdr>
        <w:top w:val="single" w:sz="4" w:space="0" w:color="0070C0"/>
        <w:bottom w:val="single" w:sz="4" w:space="0" w:color="0070C0"/>
      </w:pBdr>
      <w:shd w:val="clear" w:color="000000" w:fill="DDEBF7"/>
      <w:spacing w:before="100" w:beforeAutospacing="1" w:after="100" w:afterAutospacing="1" w:line="240" w:lineRule="auto"/>
      <w:jc w:val="center"/>
      <w:textAlignment w:val="center"/>
    </w:pPr>
    <w:rPr>
      <w:rFonts w:ascii="Liberation Serif" w:eastAsia="Times" w:hAnsi="Liberation Serif" w:cs="Liberation Serif"/>
      <w:sz w:val="18"/>
      <w:szCs w:val="18"/>
      <w:lang w:val="en-US"/>
    </w:rPr>
  </w:style>
  <w:style w:type="paragraph" w:customStyle="1" w:styleId="xl84">
    <w:name w:val="xl84"/>
    <w:basedOn w:val="Normal"/>
    <w:rsid w:val="008A3FF7"/>
    <w:pPr>
      <w:pBdr>
        <w:top w:val="single" w:sz="4" w:space="0" w:color="0070C0"/>
        <w:bottom w:val="single" w:sz="4" w:space="0" w:color="0070C0"/>
      </w:pBdr>
      <w:shd w:val="clear" w:color="000000" w:fill="DDEBF7"/>
      <w:spacing w:before="100" w:beforeAutospacing="1" w:after="100" w:afterAutospacing="1" w:line="240" w:lineRule="auto"/>
      <w:jc w:val="center"/>
      <w:textAlignment w:val="center"/>
    </w:pPr>
    <w:rPr>
      <w:rFonts w:ascii="Liberation Serif" w:eastAsia="Times" w:hAnsi="Liberation Serif" w:cs="Liberation Serif"/>
      <w:sz w:val="18"/>
      <w:szCs w:val="18"/>
      <w:lang w:val="en-US"/>
    </w:rPr>
  </w:style>
  <w:style w:type="paragraph" w:customStyle="1" w:styleId="xl85">
    <w:name w:val="xl85"/>
    <w:basedOn w:val="Normal"/>
    <w:rsid w:val="008A3FF7"/>
    <w:pPr>
      <w:pBdr>
        <w:top w:val="single" w:sz="4" w:space="0" w:color="0070C0"/>
        <w:bottom w:val="single" w:sz="4" w:space="0" w:color="0070C0"/>
        <w:right w:val="single" w:sz="4" w:space="0" w:color="0070C0"/>
      </w:pBdr>
      <w:shd w:val="clear" w:color="000000" w:fill="DDEBF7"/>
      <w:spacing w:before="100" w:beforeAutospacing="1" w:after="100" w:afterAutospacing="1" w:line="240" w:lineRule="auto"/>
      <w:textAlignment w:val="center"/>
    </w:pPr>
    <w:rPr>
      <w:rFonts w:ascii="Liberation Serif" w:eastAsia="Times" w:hAnsi="Liberation Serif" w:cs="Liberation Serif"/>
      <w:sz w:val="18"/>
      <w:szCs w:val="18"/>
      <w:lang w:val="en-US"/>
    </w:rPr>
  </w:style>
  <w:style w:type="paragraph" w:customStyle="1" w:styleId="xl86">
    <w:name w:val="xl86"/>
    <w:basedOn w:val="Normal"/>
    <w:rsid w:val="008A3FF7"/>
    <w:pPr>
      <w:pBdr>
        <w:top w:val="single" w:sz="4" w:space="0" w:color="FFFFFF"/>
        <w:left w:val="single" w:sz="4" w:space="0" w:color="FFFFFF"/>
        <w:right w:val="single" w:sz="4" w:space="0" w:color="FFFFFF"/>
      </w:pBdr>
      <w:spacing w:before="100" w:beforeAutospacing="1" w:after="100" w:afterAutospacing="1" w:line="240" w:lineRule="auto"/>
      <w:textAlignment w:val="center"/>
    </w:pPr>
    <w:rPr>
      <w:rFonts w:ascii="Liberation Serif" w:eastAsia="Times" w:hAnsi="Liberation Serif" w:cs="Liberation Serif"/>
      <w:sz w:val="18"/>
      <w:szCs w:val="18"/>
      <w:lang w:val="en-US"/>
    </w:rPr>
  </w:style>
  <w:style w:type="paragraph" w:customStyle="1" w:styleId="xl87">
    <w:name w:val="xl87"/>
    <w:basedOn w:val="Normal"/>
    <w:rsid w:val="008A3FF7"/>
    <w:pPr>
      <w:pBdr>
        <w:top w:val="single" w:sz="4" w:space="0" w:color="0070C0"/>
        <w:left w:val="single" w:sz="4" w:space="0" w:color="0070C0"/>
        <w:bottom w:val="single" w:sz="4" w:space="0" w:color="0070C0"/>
      </w:pBdr>
      <w:shd w:val="clear" w:color="000000" w:fill="DDEBF7"/>
      <w:spacing w:before="100" w:beforeAutospacing="1" w:after="100" w:afterAutospacing="1" w:line="240" w:lineRule="auto"/>
      <w:jc w:val="center"/>
      <w:textAlignment w:val="center"/>
    </w:pPr>
    <w:rPr>
      <w:rFonts w:ascii="Liberation Serif" w:eastAsia="Times" w:hAnsi="Liberation Serif" w:cs="Liberation Serif"/>
      <w:b/>
      <w:bCs/>
      <w:sz w:val="18"/>
      <w:szCs w:val="18"/>
      <w:lang w:val="en-US"/>
    </w:rPr>
  </w:style>
  <w:style w:type="paragraph" w:customStyle="1" w:styleId="xl88">
    <w:name w:val="xl88"/>
    <w:basedOn w:val="Normal"/>
    <w:rsid w:val="008A3FF7"/>
    <w:pPr>
      <w:pBdr>
        <w:top w:val="single" w:sz="4" w:space="0" w:color="0070C0"/>
        <w:bottom w:val="single" w:sz="4" w:space="0" w:color="0070C0"/>
      </w:pBdr>
      <w:shd w:val="clear" w:color="000000" w:fill="DDEBF7"/>
      <w:spacing w:before="100" w:beforeAutospacing="1" w:after="100" w:afterAutospacing="1" w:line="240" w:lineRule="auto"/>
      <w:jc w:val="center"/>
      <w:textAlignment w:val="center"/>
    </w:pPr>
    <w:rPr>
      <w:rFonts w:ascii="Liberation Serif" w:eastAsia="Times" w:hAnsi="Liberation Serif" w:cs="Liberation Serif"/>
      <w:b/>
      <w:bCs/>
      <w:sz w:val="18"/>
      <w:szCs w:val="18"/>
      <w:lang w:val="en-US"/>
    </w:rPr>
  </w:style>
  <w:style w:type="paragraph" w:customStyle="1" w:styleId="xl89">
    <w:name w:val="xl89"/>
    <w:basedOn w:val="Normal"/>
    <w:rsid w:val="008A3FF7"/>
    <w:pPr>
      <w:pBdr>
        <w:top w:val="single" w:sz="4" w:space="0" w:color="0070C0"/>
        <w:bottom w:val="single" w:sz="4" w:space="0" w:color="0070C0"/>
      </w:pBdr>
      <w:shd w:val="clear" w:color="000000" w:fill="DDEBF7"/>
      <w:spacing w:before="100" w:beforeAutospacing="1" w:after="100" w:afterAutospacing="1" w:line="240" w:lineRule="auto"/>
      <w:jc w:val="center"/>
      <w:textAlignment w:val="center"/>
    </w:pPr>
    <w:rPr>
      <w:rFonts w:ascii="Liberation Serif" w:eastAsia="Times" w:hAnsi="Liberation Serif" w:cs="Liberation Serif"/>
      <w:b/>
      <w:bCs/>
      <w:sz w:val="18"/>
      <w:szCs w:val="18"/>
      <w:lang w:val="en-US"/>
    </w:rPr>
  </w:style>
  <w:style w:type="paragraph" w:customStyle="1" w:styleId="xl90">
    <w:name w:val="xl90"/>
    <w:basedOn w:val="Normal"/>
    <w:rsid w:val="008A3FF7"/>
    <w:pPr>
      <w:pBdr>
        <w:top w:val="single" w:sz="4" w:space="0" w:color="0070C0"/>
        <w:left w:val="single" w:sz="4" w:space="0" w:color="0070C0"/>
        <w:bottom w:val="single" w:sz="4" w:space="0" w:color="0070C0"/>
      </w:pBdr>
      <w:shd w:val="clear" w:color="000000" w:fill="F2F2F2"/>
      <w:spacing w:before="100" w:beforeAutospacing="1" w:after="100" w:afterAutospacing="1" w:line="240" w:lineRule="auto"/>
      <w:jc w:val="center"/>
      <w:textAlignment w:val="center"/>
    </w:pPr>
    <w:rPr>
      <w:rFonts w:ascii="Liberation Serif" w:eastAsia="Times" w:hAnsi="Liberation Serif" w:cs="Liberation Serif"/>
      <w:sz w:val="18"/>
      <w:szCs w:val="18"/>
      <w:lang w:val="en-US"/>
    </w:rPr>
  </w:style>
  <w:style w:type="paragraph" w:customStyle="1" w:styleId="xl91">
    <w:name w:val="xl91"/>
    <w:basedOn w:val="Normal"/>
    <w:rsid w:val="008A3FF7"/>
    <w:pPr>
      <w:pBdr>
        <w:top w:val="single" w:sz="4" w:space="0" w:color="0070C0"/>
        <w:bottom w:val="single" w:sz="4" w:space="0" w:color="0070C0"/>
      </w:pBdr>
      <w:shd w:val="clear" w:color="000000" w:fill="F2F2F2"/>
      <w:spacing w:before="100" w:beforeAutospacing="1" w:after="100" w:afterAutospacing="1" w:line="240" w:lineRule="auto"/>
      <w:jc w:val="center"/>
      <w:textAlignment w:val="center"/>
    </w:pPr>
    <w:rPr>
      <w:rFonts w:ascii="Liberation Serif" w:eastAsia="Times" w:hAnsi="Liberation Serif" w:cs="Liberation Serif"/>
      <w:sz w:val="18"/>
      <w:szCs w:val="18"/>
      <w:lang w:val="en-US"/>
    </w:rPr>
  </w:style>
  <w:style w:type="paragraph" w:customStyle="1" w:styleId="xl92">
    <w:name w:val="xl92"/>
    <w:basedOn w:val="Normal"/>
    <w:rsid w:val="008A3FF7"/>
    <w:pPr>
      <w:pBdr>
        <w:top w:val="single" w:sz="4" w:space="0" w:color="0070C0"/>
        <w:bottom w:val="single" w:sz="4" w:space="0" w:color="0070C0"/>
      </w:pBdr>
      <w:shd w:val="clear" w:color="000000" w:fill="F2F2F2"/>
      <w:spacing w:before="100" w:beforeAutospacing="1" w:after="100" w:afterAutospacing="1" w:line="240" w:lineRule="auto"/>
      <w:jc w:val="center"/>
      <w:textAlignment w:val="center"/>
    </w:pPr>
    <w:rPr>
      <w:rFonts w:ascii="Liberation Serif" w:eastAsia="Times" w:hAnsi="Liberation Serif" w:cs="Liberation Serif"/>
      <w:sz w:val="18"/>
      <w:szCs w:val="18"/>
      <w:lang w:val="en-US"/>
    </w:rPr>
  </w:style>
  <w:style w:type="paragraph" w:customStyle="1" w:styleId="xl93">
    <w:name w:val="xl93"/>
    <w:basedOn w:val="Normal"/>
    <w:rsid w:val="008A3FF7"/>
    <w:pPr>
      <w:pBdr>
        <w:top w:val="single" w:sz="4" w:space="0" w:color="0070C0"/>
        <w:left w:val="single" w:sz="4" w:space="0" w:color="0070C0"/>
        <w:bottom w:val="single" w:sz="4" w:space="0" w:color="0070C0"/>
        <w:right w:val="single" w:sz="4" w:space="0" w:color="0070C0"/>
      </w:pBdr>
      <w:shd w:val="clear" w:color="000000" w:fill="F2F2F2"/>
      <w:spacing w:before="100" w:beforeAutospacing="1" w:after="100" w:afterAutospacing="1" w:line="240" w:lineRule="auto"/>
      <w:textAlignment w:val="center"/>
    </w:pPr>
    <w:rPr>
      <w:rFonts w:ascii="Liberation Serif" w:eastAsia="Times" w:hAnsi="Liberation Serif" w:cs="Liberation Serif"/>
      <w:b/>
      <w:bCs/>
      <w:sz w:val="18"/>
      <w:szCs w:val="18"/>
      <w:lang w:val="en-US"/>
    </w:rPr>
  </w:style>
  <w:style w:type="paragraph" w:customStyle="1" w:styleId="xl94">
    <w:name w:val="xl94"/>
    <w:basedOn w:val="Normal"/>
    <w:rsid w:val="008A3FF7"/>
    <w:pPr>
      <w:pBdr>
        <w:top w:val="single" w:sz="4" w:space="0" w:color="0070C0"/>
        <w:left w:val="single" w:sz="4" w:space="0" w:color="0070C0"/>
        <w:bottom w:val="single" w:sz="4" w:space="0" w:color="0070C0"/>
      </w:pBdr>
      <w:shd w:val="clear" w:color="000000" w:fill="F2F2F2"/>
      <w:spacing w:before="100" w:beforeAutospacing="1" w:after="100" w:afterAutospacing="1" w:line="240" w:lineRule="auto"/>
      <w:jc w:val="center"/>
      <w:textAlignment w:val="center"/>
    </w:pPr>
    <w:rPr>
      <w:rFonts w:ascii="Liberation Serif" w:eastAsia="Times" w:hAnsi="Liberation Serif" w:cs="Liberation Serif"/>
      <w:b/>
      <w:bCs/>
      <w:sz w:val="18"/>
      <w:szCs w:val="18"/>
      <w:lang w:val="en-US"/>
    </w:rPr>
  </w:style>
  <w:style w:type="paragraph" w:customStyle="1" w:styleId="xl95">
    <w:name w:val="xl95"/>
    <w:basedOn w:val="Normal"/>
    <w:rsid w:val="008A3FF7"/>
    <w:pPr>
      <w:pBdr>
        <w:top w:val="single" w:sz="4" w:space="0" w:color="0070C0"/>
        <w:bottom w:val="single" w:sz="4" w:space="0" w:color="0070C0"/>
      </w:pBdr>
      <w:shd w:val="clear" w:color="000000" w:fill="F2F2F2"/>
      <w:spacing w:before="100" w:beforeAutospacing="1" w:after="100" w:afterAutospacing="1" w:line="240" w:lineRule="auto"/>
      <w:jc w:val="center"/>
      <w:textAlignment w:val="center"/>
    </w:pPr>
    <w:rPr>
      <w:rFonts w:ascii="Liberation Serif" w:eastAsia="Times" w:hAnsi="Liberation Serif" w:cs="Liberation Serif"/>
      <w:b/>
      <w:bCs/>
      <w:sz w:val="18"/>
      <w:szCs w:val="18"/>
      <w:lang w:val="en-US"/>
    </w:rPr>
  </w:style>
  <w:style w:type="paragraph" w:customStyle="1" w:styleId="xl96">
    <w:name w:val="xl96"/>
    <w:basedOn w:val="Normal"/>
    <w:rsid w:val="008A3FF7"/>
    <w:pPr>
      <w:pBdr>
        <w:top w:val="single" w:sz="4" w:space="0" w:color="0070C0"/>
        <w:bottom w:val="single" w:sz="4" w:space="0" w:color="0070C0"/>
      </w:pBdr>
      <w:shd w:val="clear" w:color="000000" w:fill="F2F2F2"/>
      <w:spacing w:before="100" w:beforeAutospacing="1" w:after="100" w:afterAutospacing="1" w:line="240" w:lineRule="auto"/>
      <w:jc w:val="center"/>
      <w:textAlignment w:val="center"/>
    </w:pPr>
    <w:rPr>
      <w:rFonts w:ascii="Liberation Serif" w:eastAsia="Times" w:hAnsi="Liberation Serif" w:cs="Liberation Serif"/>
      <w:b/>
      <w:bCs/>
      <w:sz w:val="18"/>
      <w:szCs w:val="18"/>
      <w:lang w:val="en-US"/>
    </w:rPr>
  </w:style>
  <w:style w:type="paragraph" w:customStyle="1" w:styleId="xl97">
    <w:name w:val="xl97"/>
    <w:basedOn w:val="Normal"/>
    <w:rsid w:val="008A3FF7"/>
    <w:pPr>
      <w:pBdr>
        <w:top w:val="single" w:sz="4" w:space="0" w:color="0070C0"/>
        <w:left w:val="single" w:sz="4" w:space="0" w:color="0070C0"/>
        <w:bottom w:val="single" w:sz="4" w:space="0" w:color="0070C0"/>
      </w:pBdr>
      <w:shd w:val="clear" w:color="000000" w:fill="F2F2F2"/>
      <w:spacing w:before="100" w:beforeAutospacing="1" w:after="100" w:afterAutospacing="1" w:line="240" w:lineRule="auto"/>
      <w:jc w:val="center"/>
      <w:textAlignment w:val="center"/>
    </w:pPr>
    <w:rPr>
      <w:rFonts w:ascii="Liberation Serif" w:eastAsia="Times" w:hAnsi="Liberation Serif" w:cs="Liberation Serif"/>
      <w:b/>
      <w:bCs/>
      <w:sz w:val="20"/>
      <w:szCs w:val="20"/>
      <w:lang w:val="en-US"/>
    </w:rPr>
  </w:style>
  <w:style w:type="paragraph" w:customStyle="1" w:styleId="xl98">
    <w:name w:val="xl98"/>
    <w:basedOn w:val="Normal"/>
    <w:rsid w:val="008A3FF7"/>
    <w:pPr>
      <w:pBdr>
        <w:top w:val="single" w:sz="4" w:space="0" w:color="0070C0"/>
        <w:bottom w:val="single" w:sz="4" w:space="0" w:color="0070C0"/>
      </w:pBdr>
      <w:shd w:val="clear" w:color="000000" w:fill="F2F2F2"/>
      <w:spacing w:before="100" w:beforeAutospacing="1" w:after="100" w:afterAutospacing="1" w:line="240" w:lineRule="auto"/>
      <w:jc w:val="center"/>
      <w:textAlignment w:val="center"/>
    </w:pPr>
    <w:rPr>
      <w:rFonts w:ascii="Liberation Serif" w:eastAsia="Times" w:hAnsi="Liberation Serif" w:cs="Liberation Serif"/>
      <w:b/>
      <w:bCs/>
      <w:sz w:val="20"/>
      <w:szCs w:val="20"/>
      <w:lang w:val="en-US"/>
    </w:rPr>
  </w:style>
  <w:style w:type="paragraph" w:customStyle="1" w:styleId="xl99">
    <w:name w:val="xl99"/>
    <w:basedOn w:val="Normal"/>
    <w:rsid w:val="008A3FF7"/>
    <w:pPr>
      <w:pBdr>
        <w:top w:val="single" w:sz="4" w:space="0" w:color="0070C0"/>
        <w:bottom w:val="single" w:sz="4" w:space="0" w:color="0070C0"/>
      </w:pBdr>
      <w:shd w:val="clear" w:color="000000" w:fill="F2F2F2"/>
      <w:spacing w:before="100" w:beforeAutospacing="1" w:after="100" w:afterAutospacing="1" w:line="240" w:lineRule="auto"/>
      <w:jc w:val="center"/>
      <w:textAlignment w:val="center"/>
    </w:pPr>
    <w:rPr>
      <w:rFonts w:ascii="Liberation Serif" w:eastAsia="Times" w:hAnsi="Liberation Serif" w:cs="Liberation Serif"/>
      <w:b/>
      <w:bCs/>
      <w:sz w:val="20"/>
      <w:szCs w:val="20"/>
      <w:lang w:val="en-US"/>
    </w:rPr>
  </w:style>
  <w:style w:type="paragraph" w:customStyle="1" w:styleId="xl100">
    <w:name w:val="xl100"/>
    <w:basedOn w:val="Normal"/>
    <w:rsid w:val="008A3FF7"/>
    <w:pPr>
      <w:pBdr>
        <w:top w:val="single" w:sz="4" w:space="0" w:color="0070C0"/>
        <w:left w:val="single" w:sz="4" w:space="0" w:color="0070C0"/>
        <w:bottom w:val="single" w:sz="4" w:space="0" w:color="0070C0"/>
        <w:right w:val="single" w:sz="4" w:space="0" w:color="0070C0"/>
      </w:pBdr>
      <w:shd w:val="clear" w:color="000000" w:fill="DDEBF7"/>
      <w:spacing w:before="100" w:beforeAutospacing="1" w:after="100" w:afterAutospacing="1" w:line="240" w:lineRule="auto"/>
      <w:jc w:val="center"/>
      <w:textAlignment w:val="center"/>
    </w:pPr>
    <w:rPr>
      <w:rFonts w:ascii="Liberation Serif" w:eastAsia="Times" w:hAnsi="Liberation Serif" w:cs="Liberation Serif"/>
      <w:b/>
      <w:bCs/>
      <w:sz w:val="20"/>
      <w:szCs w:val="20"/>
      <w:lang w:val="en-US"/>
    </w:rPr>
  </w:style>
  <w:style w:type="paragraph" w:customStyle="1" w:styleId="xl101">
    <w:name w:val="xl101"/>
    <w:basedOn w:val="Normal"/>
    <w:rsid w:val="008A3FF7"/>
    <w:pPr>
      <w:pBdr>
        <w:top w:val="single" w:sz="4" w:space="0" w:color="0070C0"/>
        <w:left w:val="single" w:sz="4" w:space="0" w:color="0070C0"/>
        <w:bottom w:val="single" w:sz="4" w:space="0" w:color="0070C0"/>
        <w:right w:val="single" w:sz="4" w:space="0" w:color="0070C0"/>
      </w:pBdr>
      <w:shd w:val="clear" w:color="000000" w:fill="DDEBF7"/>
      <w:spacing w:before="100" w:beforeAutospacing="1" w:after="100" w:afterAutospacing="1" w:line="240" w:lineRule="auto"/>
      <w:jc w:val="center"/>
      <w:textAlignment w:val="center"/>
    </w:pPr>
    <w:rPr>
      <w:rFonts w:ascii="Liberation Serif" w:eastAsia="Times" w:hAnsi="Liberation Serif" w:cs="Liberation Serif"/>
      <w:b/>
      <w:bCs/>
      <w:sz w:val="20"/>
      <w:szCs w:val="20"/>
      <w:lang w:val="en-US"/>
    </w:rPr>
  </w:style>
  <w:style w:type="paragraph" w:customStyle="1" w:styleId="xl102">
    <w:name w:val="xl102"/>
    <w:basedOn w:val="Normal"/>
    <w:rsid w:val="008A3FF7"/>
    <w:pPr>
      <w:pBdr>
        <w:top w:val="single" w:sz="4" w:space="0" w:color="0070C0"/>
        <w:left w:val="single" w:sz="4" w:space="0" w:color="0070C0"/>
        <w:bottom w:val="single" w:sz="4" w:space="0" w:color="0070C0"/>
        <w:right w:val="single" w:sz="4" w:space="0" w:color="0070C0"/>
      </w:pBdr>
      <w:shd w:val="clear" w:color="000000" w:fill="DDEBF7"/>
      <w:spacing w:before="100" w:beforeAutospacing="1" w:after="100" w:afterAutospacing="1" w:line="240" w:lineRule="auto"/>
      <w:jc w:val="center"/>
      <w:textAlignment w:val="center"/>
    </w:pPr>
    <w:rPr>
      <w:rFonts w:ascii="Liberation Serif" w:eastAsia="Times" w:hAnsi="Liberation Serif" w:cs="Liberation Serif"/>
      <w:b/>
      <w:bCs/>
      <w:sz w:val="18"/>
      <w:szCs w:val="18"/>
      <w:lang w:val="en-US"/>
    </w:rPr>
  </w:style>
  <w:style w:type="paragraph" w:customStyle="1" w:styleId="xl103">
    <w:name w:val="xl103"/>
    <w:basedOn w:val="Normal"/>
    <w:rsid w:val="008A3FF7"/>
    <w:pPr>
      <w:pBdr>
        <w:top w:val="single" w:sz="4" w:space="0" w:color="0070C0"/>
        <w:left w:val="single" w:sz="4" w:space="0" w:color="0070C0"/>
        <w:bottom w:val="single" w:sz="4" w:space="0" w:color="0070C0"/>
        <w:right w:val="single" w:sz="4" w:space="0" w:color="0070C0"/>
      </w:pBdr>
      <w:shd w:val="clear" w:color="000000" w:fill="F2F2F2"/>
      <w:spacing w:before="100" w:beforeAutospacing="1" w:after="100" w:afterAutospacing="1" w:line="240" w:lineRule="auto"/>
      <w:textAlignment w:val="center"/>
    </w:pPr>
    <w:rPr>
      <w:rFonts w:ascii="Liberation Serif" w:eastAsia="Times" w:hAnsi="Liberation Serif" w:cs="Liberation Serif"/>
      <w:b/>
      <w:bCs/>
      <w:sz w:val="18"/>
      <w:szCs w:val="18"/>
      <w:lang w:val="en-US"/>
    </w:rPr>
  </w:style>
  <w:style w:type="paragraph" w:customStyle="1" w:styleId="xl104">
    <w:name w:val="xl104"/>
    <w:basedOn w:val="Normal"/>
    <w:rsid w:val="008A3FF7"/>
    <w:pPr>
      <w:pBdr>
        <w:top w:val="single" w:sz="4" w:space="0" w:color="0070C0"/>
        <w:bottom w:val="single" w:sz="4" w:space="0" w:color="0070C0"/>
        <w:right w:val="single" w:sz="4" w:space="0" w:color="0070C0"/>
      </w:pBdr>
      <w:shd w:val="clear" w:color="000000" w:fill="DDEBF7"/>
      <w:spacing w:before="100" w:beforeAutospacing="1" w:after="100" w:afterAutospacing="1" w:line="240" w:lineRule="auto"/>
      <w:jc w:val="center"/>
      <w:textAlignment w:val="center"/>
    </w:pPr>
    <w:rPr>
      <w:rFonts w:ascii="Liberation Serif" w:eastAsia="Times" w:hAnsi="Liberation Serif" w:cs="Liberation Serif"/>
      <w:sz w:val="18"/>
      <w:szCs w:val="18"/>
      <w:lang w:val="en-US"/>
    </w:rPr>
  </w:style>
  <w:style w:type="paragraph" w:customStyle="1" w:styleId="xl105">
    <w:name w:val="xl105"/>
    <w:basedOn w:val="Normal"/>
    <w:rsid w:val="008A3FF7"/>
    <w:pPr>
      <w:pBdr>
        <w:top w:val="single" w:sz="4" w:space="0" w:color="0070C0"/>
        <w:bottom w:val="single" w:sz="4" w:space="0" w:color="0070C0"/>
        <w:right w:val="single" w:sz="4" w:space="0" w:color="0070C0"/>
      </w:pBdr>
      <w:shd w:val="clear" w:color="000000" w:fill="DDEBF7"/>
      <w:spacing w:before="100" w:beforeAutospacing="1" w:after="100" w:afterAutospacing="1" w:line="240" w:lineRule="auto"/>
      <w:jc w:val="center"/>
      <w:textAlignment w:val="center"/>
    </w:pPr>
    <w:rPr>
      <w:rFonts w:ascii="Liberation Serif" w:eastAsia="Times" w:hAnsi="Liberation Serif" w:cs="Liberation Serif"/>
      <w:b/>
      <w:bCs/>
      <w:sz w:val="18"/>
      <w:szCs w:val="18"/>
      <w:lang w:val="en-US"/>
    </w:rPr>
  </w:style>
  <w:style w:type="paragraph" w:customStyle="1" w:styleId="xl106">
    <w:name w:val="xl106"/>
    <w:basedOn w:val="Normal"/>
    <w:rsid w:val="008A3FF7"/>
    <w:pPr>
      <w:pBdr>
        <w:top w:val="single" w:sz="4" w:space="0" w:color="0070C0"/>
        <w:bottom w:val="single" w:sz="4" w:space="0" w:color="0070C0"/>
        <w:right w:val="single" w:sz="4" w:space="0" w:color="0070C0"/>
      </w:pBdr>
      <w:shd w:val="clear" w:color="000000" w:fill="F2F2F2"/>
      <w:spacing w:before="100" w:beforeAutospacing="1" w:after="100" w:afterAutospacing="1" w:line="240" w:lineRule="auto"/>
      <w:jc w:val="center"/>
      <w:textAlignment w:val="center"/>
    </w:pPr>
    <w:rPr>
      <w:rFonts w:ascii="Liberation Serif" w:eastAsia="Times" w:hAnsi="Liberation Serif" w:cs="Liberation Serif"/>
      <w:b/>
      <w:bCs/>
      <w:sz w:val="18"/>
      <w:szCs w:val="18"/>
      <w:lang w:val="en-US"/>
    </w:rPr>
  </w:style>
  <w:style w:type="paragraph" w:customStyle="1" w:styleId="xl107">
    <w:name w:val="xl107"/>
    <w:basedOn w:val="Normal"/>
    <w:rsid w:val="008A3FF7"/>
    <w:pPr>
      <w:pBdr>
        <w:top w:val="single" w:sz="4" w:space="0" w:color="0070C0"/>
        <w:bottom w:val="single" w:sz="4" w:space="0" w:color="0070C0"/>
        <w:right w:val="single" w:sz="4" w:space="0" w:color="0070C0"/>
      </w:pBdr>
      <w:shd w:val="clear" w:color="000000" w:fill="F2F2F2"/>
      <w:spacing w:before="100" w:beforeAutospacing="1" w:after="100" w:afterAutospacing="1" w:line="240" w:lineRule="auto"/>
      <w:jc w:val="center"/>
      <w:textAlignment w:val="center"/>
    </w:pPr>
    <w:rPr>
      <w:rFonts w:ascii="Liberation Serif" w:eastAsia="Times" w:hAnsi="Liberation Serif" w:cs="Liberation Serif"/>
      <w:sz w:val="18"/>
      <w:szCs w:val="18"/>
      <w:lang w:val="en-US"/>
    </w:rPr>
  </w:style>
  <w:style w:type="paragraph" w:customStyle="1" w:styleId="xl108">
    <w:name w:val="xl108"/>
    <w:basedOn w:val="Normal"/>
    <w:rsid w:val="008A3FF7"/>
    <w:pPr>
      <w:pBdr>
        <w:top w:val="single" w:sz="4" w:space="0" w:color="0070C0"/>
        <w:bottom w:val="single" w:sz="4" w:space="0" w:color="0070C0"/>
        <w:right w:val="single" w:sz="4" w:space="0" w:color="0070C0"/>
      </w:pBdr>
      <w:shd w:val="clear" w:color="000000" w:fill="F2F2F2"/>
      <w:spacing w:before="100" w:beforeAutospacing="1" w:after="100" w:afterAutospacing="1" w:line="240" w:lineRule="auto"/>
      <w:jc w:val="center"/>
      <w:textAlignment w:val="center"/>
    </w:pPr>
    <w:rPr>
      <w:rFonts w:ascii="Liberation Serif" w:eastAsia="Times" w:hAnsi="Liberation Serif" w:cs="Liberation Serif"/>
      <w:b/>
      <w:bCs/>
      <w:sz w:val="20"/>
      <w:szCs w:val="20"/>
      <w:lang w:val="en-US"/>
    </w:rPr>
  </w:style>
  <w:style w:type="paragraph" w:customStyle="1" w:styleId="EAheading2">
    <w:name w:val="EA heading 2"/>
    <w:basedOn w:val="CoffeyParagraph"/>
    <w:rsid w:val="008A3FF7"/>
    <w:pPr>
      <w:tabs>
        <w:tab w:val="num" w:pos="360"/>
      </w:tabs>
      <w:spacing w:after="0" w:line="240" w:lineRule="atLeast"/>
    </w:pPr>
    <w:rPr>
      <w:rFonts w:ascii="Times" w:eastAsia="Liberation Serif" w:hAnsi="Times"/>
      <w:b/>
      <w:color w:val="800000"/>
      <w:sz w:val="22"/>
      <w:szCs w:val="22"/>
      <w:lang w:val="en-US"/>
    </w:rPr>
  </w:style>
  <w:style w:type="paragraph" w:customStyle="1" w:styleId="EAhead3">
    <w:name w:val="EA head 3"/>
    <w:basedOn w:val="Normal"/>
    <w:rsid w:val="008A3FF7"/>
    <w:pPr>
      <w:tabs>
        <w:tab w:val="left" w:pos="-720"/>
      </w:tabs>
      <w:suppressAutoHyphens/>
      <w:spacing w:after="0" w:line="240" w:lineRule="atLeast"/>
      <w:ind w:left="1080" w:hanging="720"/>
      <w:jc w:val="both"/>
    </w:pPr>
    <w:rPr>
      <w:rFonts w:ascii="Times" w:eastAsia="Times" w:hAnsi="Times" w:cs="Times"/>
      <w:b/>
      <w:bCs/>
      <w:i/>
      <w:color w:val="800000"/>
      <w:spacing w:val="-2"/>
      <w:lang w:eastAsia="it-IT"/>
    </w:rPr>
  </w:style>
  <w:style w:type="character" w:customStyle="1" w:styleId="date-display-single7">
    <w:name w:val="date-display-single7"/>
    <w:basedOn w:val="DefaultParagraphFont"/>
    <w:rsid w:val="008A3FF7"/>
  </w:style>
  <w:style w:type="table" w:customStyle="1" w:styleId="TableCustom3">
    <w:name w:val="Table Custom3"/>
    <w:basedOn w:val="TableNormal"/>
    <w:uiPriority w:val="99"/>
    <w:rsid w:val="008A3FF7"/>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F5C3B9"/>
        <w:insideV w:val="single" w:sz="4" w:space="0" w:color="F5C3B9"/>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paragraph" w:customStyle="1" w:styleId="Listalpha">
    <w:name w:val="List alpha"/>
    <w:basedOn w:val="Normal"/>
    <w:uiPriority w:val="2"/>
    <w:qFormat/>
    <w:rsid w:val="008A3FF7"/>
    <w:pPr>
      <w:spacing w:before="120" w:after="120" w:line="240" w:lineRule="auto"/>
      <w:ind w:left="924" w:hanging="357"/>
      <w:jc w:val="both"/>
    </w:pPr>
    <w:rPr>
      <w:rFonts w:eastAsia="Times New Roman" w:cs="Times New Roman"/>
      <w:szCs w:val="20"/>
    </w:rPr>
  </w:style>
  <w:style w:type="paragraph" w:customStyle="1" w:styleId="Listroman">
    <w:name w:val="List roman"/>
    <w:basedOn w:val="Normal"/>
    <w:uiPriority w:val="2"/>
    <w:qFormat/>
    <w:rsid w:val="008A3FF7"/>
    <w:pPr>
      <w:tabs>
        <w:tab w:val="num" w:pos="1797"/>
      </w:tabs>
      <w:spacing w:before="120" w:after="120" w:line="240" w:lineRule="auto"/>
      <w:ind w:left="1281" w:hanging="357"/>
      <w:jc w:val="both"/>
    </w:pPr>
    <w:rPr>
      <w:rFonts w:eastAsia="Times New Roman" w:cs="Times New Roman"/>
      <w:szCs w:val="20"/>
    </w:rPr>
  </w:style>
  <w:style w:type="table" w:customStyle="1" w:styleId="CSEStable">
    <w:name w:val="CSES table"/>
    <w:basedOn w:val="TableNormal"/>
    <w:uiPriority w:val="99"/>
    <w:rsid w:val="008A3FF7"/>
    <w:pPr>
      <w:spacing w:before="120" w:after="0" w:line="240" w:lineRule="auto"/>
      <w:jc w:val="both"/>
    </w:pPr>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Pr>
    <w:trPr>
      <w:cantSplit/>
    </w:trPr>
    <w:tcPr>
      <w:shd w:val="clear" w:color="auto" w:fill="D9D9D9"/>
    </w:tcPr>
    <w:tblStylePr w:type="firstRow">
      <w:rPr>
        <w:b/>
      </w:rPr>
      <w:tblPr/>
      <w:tcPr>
        <w:shd w:val="clear" w:color="auto" w:fill="E76C53"/>
      </w:tcPr>
    </w:tblStylePr>
  </w:style>
  <w:style w:type="character" w:customStyle="1" w:styleId="Bullet1Char0">
    <w:name w:val="Bullet 1 Char"/>
    <w:aliases w:val="List Char,List1 Char"/>
    <w:link w:val="Bullet10"/>
    <w:uiPriority w:val="1"/>
    <w:qFormat/>
    <w:rsid w:val="008A3FF7"/>
    <w:rPr>
      <w:rFonts w:ascii="Times" w:eastAsia="Times" w:hAnsi="Times" w:cs="Times"/>
      <w:sz w:val="24"/>
      <w:szCs w:val="24"/>
    </w:rPr>
  </w:style>
  <w:style w:type="table" w:customStyle="1" w:styleId="HTG1">
    <w:name w:val="HTG1"/>
    <w:basedOn w:val="TableNormal"/>
    <w:next w:val="TableGrid"/>
    <w:uiPriority w:val="39"/>
    <w:rsid w:val="008A3FF7"/>
    <w:pPr>
      <w:spacing w:after="0" w:line="240" w:lineRule="auto"/>
    </w:pPr>
    <w:rPr>
      <w:rFonts w:ascii="Symbol" w:eastAsia="Times" w:hAnsi="Symbol" w:cs="Time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bullettext">
    <w:name w:val="OM bullet text"/>
    <w:basedOn w:val="Normal"/>
    <w:rsid w:val="008A3FF7"/>
    <w:pPr>
      <w:numPr>
        <w:numId w:val="23"/>
      </w:numPr>
      <w:tabs>
        <w:tab w:val="num" w:pos="720"/>
      </w:tabs>
      <w:spacing w:after="0"/>
      <w:jc w:val="both"/>
    </w:pPr>
    <w:rPr>
      <w:rFonts w:eastAsia="MS PGothic"/>
      <w:color w:val="EEECE1"/>
      <w:sz w:val="20"/>
      <w:szCs w:val="24"/>
    </w:rPr>
  </w:style>
  <w:style w:type="numbering" w:customStyle="1" w:styleId="ECVCVBullets">
    <w:name w:val="_ECV_CV_Bullets"/>
    <w:basedOn w:val="NoList"/>
    <w:rsid w:val="008A3FF7"/>
    <w:pPr>
      <w:numPr>
        <w:numId w:val="25"/>
      </w:numPr>
    </w:pPr>
  </w:style>
  <w:style w:type="paragraph" w:customStyle="1" w:styleId="ECV1stPage">
    <w:name w:val="_ECV_1stPage"/>
    <w:basedOn w:val="Normal"/>
    <w:rsid w:val="008A3FF7"/>
    <w:pPr>
      <w:widowControl w:val="0"/>
      <w:suppressLineNumbers/>
      <w:tabs>
        <w:tab w:val="left" w:pos="2835"/>
        <w:tab w:val="right" w:pos="10205"/>
      </w:tabs>
      <w:suppressAutoHyphens/>
      <w:autoSpaceDN w:val="0"/>
      <w:spacing w:before="215" w:after="0" w:line="240" w:lineRule="auto"/>
      <w:textAlignment w:val="baseline"/>
    </w:pPr>
    <w:rPr>
      <w:rFonts w:ascii="Liberation Serif" w:eastAsia="Cambria" w:hAnsi="Liberation Serif" w:cs="TT18At00"/>
      <w:color w:val="1593CB"/>
      <w:spacing w:val="-6"/>
      <w:kern w:val="3"/>
      <w:sz w:val="20"/>
      <w:szCs w:val="18"/>
      <w:lang w:eastAsia="zh-CN" w:bidi="hi-IN"/>
    </w:rPr>
  </w:style>
  <w:style w:type="paragraph" w:customStyle="1" w:styleId="ECVFirstPageParagraph">
    <w:name w:val="_ECV_First_Page_Paragraph"/>
    <w:basedOn w:val="ECVRightHeading"/>
    <w:rsid w:val="008A3FF7"/>
    <w:pPr>
      <w:tabs>
        <w:tab w:val="left" w:pos="2835"/>
        <w:tab w:val="right" w:pos="10205"/>
      </w:tabs>
      <w:spacing w:before="215" w:line="100" w:lineRule="atLeast"/>
      <w:jc w:val="left"/>
    </w:pPr>
    <w:rPr>
      <w:kern w:val="1"/>
      <w:sz w:val="20"/>
      <w:lang w:eastAsia="zh-CN"/>
    </w:rPr>
  </w:style>
  <w:style w:type="character" w:customStyle="1" w:styleId="EuropassTextItalics">
    <w:name w:val="Europass_Text_Italics"/>
    <w:rsid w:val="008A3FF7"/>
    <w:rPr>
      <w:rFonts w:ascii="Liberation Serif" w:hAnsi="Liberation Serif"/>
      <w:i/>
    </w:rPr>
  </w:style>
  <w:style w:type="paragraph" w:customStyle="1" w:styleId="ECVRelatedDocumentRow">
    <w:name w:val="_ECV_RelatedDocumentRow"/>
    <w:basedOn w:val="Normal"/>
    <w:rsid w:val="008A3FF7"/>
    <w:pPr>
      <w:widowControl w:val="0"/>
      <w:suppressAutoHyphens/>
      <w:spacing w:after="0" w:line="240" w:lineRule="auto"/>
    </w:pPr>
    <w:rPr>
      <w:rFonts w:ascii="Liberation Serif" w:eastAsia="Cambria" w:hAnsi="Liberation Serif" w:cs="TT18At00"/>
      <w:color w:val="3F3A38"/>
      <w:spacing w:val="-6"/>
      <w:kern w:val="1"/>
      <w:sz w:val="16"/>
      <w:szCs w:val="24"/>
      <w:lang w:eastAsia="zh-CN" w:bidi="hi-IN"/>
    </w:rPr>
  </w:style>
  <w:style w:type="paragraph" w:customStyle="1" w:styleId="ECVCurriculumVitaeNextPages">
    <w:name w:val="_ECV_CurriculumVitae_NextPages"/>
    <w:basedOn w:val="ECV1stPage"/>
    <w:rsid w:val="008A3FF7"/>
    <w:pPr>
      <w:tabs>
        <w:tab w:val="clear" w:pos="10205"/>
        <w:tab w:val="right" w:pos="10350"/>
      </w:tabs>
      <w:autoSpaceDN/>
      <w:spacing w:before="153" w:line="100" w:lineRule="atLeast"/>
      <w:jc w:val="right"/>
      <w:textAlignment w:val="auto"/>
    </w:pPr>
    <w:rPr>
      <w:kern w:val="1"/>
      <w:lang w:eastAsia="hi-IN"/>
    </w:rPr>
  </w:style>
  <w:style w:type="numbering" w:customStyle="1" w:styleId="ECVCVBullets1">
    <w:name w:val="_ECV_CV_Bullets1"/>
    <w:basedOn w:val="NoList"/>
    <w:rsid w:val="008A3FF7"/>
    <w:pPr>
      <w:numPr>
        <w:numId w:val="23"/>
      </w:numPr>
    </w:pPr>
  </w:style>
  <w:style w:type="character" w:customStyle="1" w:styleId="NumberingSymbols">
    <w:name w:val="Numbering Symbols"/>
    <w:rsid w:val="008A3FF7"/>
  </w:style>
  <w:style w:type="character" w:customStyle="1" w:styleId="Bullets">
    <w:name w:val="Bullets"/>
    <w:rsid w:val="008A3FF7"/>
    <w:rPr>
      <w:rFonts w:ascii="ArialMT" w:eastAsia="ArialMT" w:hAnsi="ArialMT" w:cs="ArialMT"/>
    </w:rPr>
  </w:style>
  <w:style w:type="paragraph" w:customStyle="1" w:styleId="Index">
    <w:name w:val="Index"/>
    <w:basedOn w:val="Normal"/>
    <w:rsid w:val="008A3FF7"/>
    <w:pPr>
      <w:widowControl w:val="0"/>
      <w:suppressLineNumbers/>
      <w:suppressAutoHyphens/>
      <w:spacing w:after="0" w:line="240" w:lineRule="auto"/>
    </w:pPr>
    <w:rPr>
      <w:rFonts w:ascii="Liberation Serif" w:eastAsia="Cambria" w:hAnsi="Liberation Serif" w:cs="TT18At00"/>
      <w:color w:val="3F3A38"/>
      <w:spacing w:val="-6"/>
      <w:kern w:val="1"/>
      <w:sz w:val="16"/>
      <w:szCs w:val="24"/>
      <w:lang w:eastAsia="zh-CN" w:bidi="hi-IN"/>
    </w:rPr>
  </w:style>
  <w:style w:type="paragraph" w:customStyle="1" w:styleId="ECVMiddleColumn">
    <w:name w:val="_ECV_MiddleColumn"/>
    <w:basedOn w:val="TableContents"/>
    <w:rsid w:val="008A3FF7"/>
    <w:pPr>
      <w:autoSpaceDN/>
    </w:pPr>
    <w:rPr>
      <w:rFonts w:ascii="Liberation Serif" w:eastAsia="Cambria" w:hAnsi="Liberation Serif" w:cs="TT18At00"/>
      <w:color w:val="404040"/>
      <w:spacing w:val="-6"/>
      <w:kern w:val="1"/>
      <w:sz w:val="20"/>
    </w:rPr>
  </w:style>
  <w:style w:type="paragraph" w:customStyle="1" w:styleId="ECVNarrowSpacing">
    <w:name w:val="_ECV_NarrowSpacing"/>
    <w:basedOn w:val="ECVRightColumn"/>
    <w:rsid w:val="008A3FF7"/>
    <w:rPr>
      <w:color w:val="402C24"/>
      <w:kern w:val="1"/>
      <w:sz w:val="8"/>
      <w:szCs w:val="10"/>
      <w:lang w:eastAsia="zh-CN"/>
    </w:rPr>
  </w:style>
  <w:style w:type="paragraph" w:customStyle="1" w:styleId="ECVSectionSpacing">
    <w:name w:val="_ECV_SectionSpacing"/>
    <w:basedOn w:val="ECVRightColumn"/>
    <w:rsid w:val="008A3FF7"/>
    <w:rPr>
      <w:kern w:val="1"/>
      <w:lang w:eastAsia="zh-CN"/>
    </w:rPr>
  </w:style>
  <w:style w:type="paragraph" w:customStyle="1" w:styleId="Table">
    <w:name w:val="Table"/>
    <w:basedOn w:val="Caption"/>
    <w:rsid w:val="008A3FF7"/>
    <w:pPr>
      <w:keepLines w:val="0"/>
      <w:widowControl w:val="0"/>
      <w:suppressLineNumbers/>
      <w:suppressAutoHyphens/>
      <w:spacing w:before="120"/>
      <w:jc w:val="left"/>
    </w:pPr>
    <w:rPr>
      <w:rFonts w:eastAsia="SimSun" w:cs="Mangal"/>
      <w:b w:val="0"/>
      <w:i/>
      <w:color w:val="3F3A38"/>
      <w:spacing w:val="-6"/>
      <w:kern w:val="1"/>
      <w:sz w:val="24"/>
      <w:szCs w:val="24"/>
      <w:lang w:eastAsia="zh-CN" w:bidi="hi-IN"/>
    </w:rPr>
  </w:style>
  <w:style w:type="paragraph" w:customStyle="1" w:styleId="ECVHeadingBullet">
    <w:name w:val="_ECV_HeadingBullet"/>
    <w:basedOn w:val="ECVLeftHeading"/>
    <w:rsid w:val="008A3FF7"/>
    <w:pPr>
      <w:tabs>
        <w:tab w:val="num" w:pos="288"/>
      </w:tabs>
      <w:spacing w:line="100" w:lineRule="atLeast"/>
      <w:ind w:left="288" w:hanging="216"/>
      <w:outlineLvl w:val="0"/>
    </w:pPr>
    <w:rPr>
      <w:kern w:val="1"/>
    </w:rPr>
  </w:style>
  <w:style w:type="paragraph" w:customStyle="1" w:styleId="ECVSubHeadingBullet">
    <w:name w:val="_ECV_SubHeadingBullet"/>
    <w:basedOn w:val="ECVLeftDetails"/>
    <w:rsid w:val="008A3FF7"/>
    <w:pPr>
      <w:spacing w:before="0" w:line="100" w:lineRule="atLeast"/>
    </w:pPr>
    <w:rPr>
      <w:kern w:val="1"/>
    </w:rPr>
  </w:style>
  <w:style w:type="paragraph" w:customStyle="1" w:styleId="ECVHeadingLine">
    <w:name w:val="_ECV_HeadingLine"/>
    <w:basedOn w:val="ECVSubSectionHeading"/>
    <w:rsid w:val="008A3FF7"/>
    <w:rPr>
      <w:color w:val="17ACE6"/>
    </w:rPr>
  </w:style>
  <w:style w:type="paragraph" w:customStyle="1" w:styleId="ECVAttachment">
    <w:name w:val="_ECV_Attachment"/>
    <w:basedOn w:val="ECVSectionDetails"/>
    <w:rsid w:val="008A3FF7"/>
    <w:pPr>
      <w:spacing w:line="100" w:lineRule="atLeast"/>
      <w:jc w:val="right"/>
    </w:pPr>
    <w:rPr>
      <w:kern w:val="1"/>
      <w:u w:val="single"/>
    </w:rPr>
  </w:style>
  <w:style w:type="paragraph" w:customStyle="1" w:styleId="ECVHeaderFirstPage">
    <w:name w:val="_ECV_HeaderFirstPage"/>
    <w:basedOn w:val="Header"/>
    <w:rsid w:val="008A3FF7"/>
    <w:pPr>
      <w:widowControl w:val="0"/>
      <w:suppressLineNumbers/>
      <w:tabs>
        <w:tab w:val="clear" w:pos="4535"/>
        <w:tab w:val="clear" w:pos="9071"/>
        <w:tab w:val="center" w:pos="2835"/>
        <w:tab w:val="center" w:pos="5103"/>
        <w:tab w:val="right" w:pos="10206"/>
      </w:tabs>
      <w:suppressAutoHyphens/>
      <w:spacing w:after="0" w:line="100" w:lineRule="atLeast"/>
      <w:jc w:val="left"/>
    </w:pPr>
    <w:rPr>
      <w:rFonts w:ascii="Liberation Serif" w:eastAsia="Cambria" w:hAnsi="Liberation Serif" w:cs="TT18At00"/>
      <w:color w:val="17ACE6"/>
      <w:spacing w:val="-6"/>
      <w:kern w:val="1"/>
      <w:sz w:val="20"/>
      <w:szCs w:val="24"/>
      <w:lang w:eastAsia="zh-CN" w:bidi="hi-IN"/>
    </w:rPr>
  </w:style>
  <w:style w:type="paragraph" w:customStyle="1" w:styleId="ECVHeaderOtherPage">
    <w:name w:val="_ECV_HeaderOtherPage"/>
    <w:basedOn w:val="ECVHeaderFirstPage"/>
    <w:rsid w:val="008A3FF7"/>
  </w:style>
  <w:style w:type="paragraph" w:customStyle="1" w:styleId="ECVLinks">
    <w:name w:val="_ECV_Links"/>
    <w:rsid w:val="008A3FF7"/>
    <w:pPr>
      <w:widowControl w:val="0"/>
      <w:suppressLineNumbers/>
      <w:suppressAutoHyphens/>
      <w:spacing w:after="0" w:line="100" w:lineRule="atLeast"/>
      <w:textAlignment w:val="center"/>
    </w:pPr>
    <w:rPr>
      <w:rFonts w:eastAsia="SimSun" w:cs="Mangal"/>
      <w:color w:val="3F3A38"/>
      <w:spacing w:val="-6"/>
      <w:sz w:val="18"/>
      <w:szCs w:val="18"/>
      <w:u w:val="single"/>
      <w:lang w:val="en-US" w:eastAsia="zh-CN" w:bidi="hi-IN"/>
    </w:rPr>
  </w:style>
  <w:style w:type="paragraph" w:customStyle="1" w:styleId="ECVBusinessSector">
    <w:name w:val="_ECV_BusinessSector"/>
    <w:basedOn w:val="ECVOrganisationDetails"/>
    <w:rsid w:val="008A3FF7"/>
    <w:pPr>
      <w:spacing w:before="113" w:after="0"/>
    </w:pPr>
  </w:style>
  <w:style w:type="paragraph" w:customStyle="1" w:styleId="ECVOccupationalFieldHeading">
    <w:name w:val="_ECV_OccupationalFieldHeading"/>
    <w:basedOn w:val="ECVLeftHeading"/>
    <w:rsid w:val="008A3FF7"/>
    <w:pPr>
      <w:spacing w:before="57"/>
    </w:pPr>
    <w:rPr>
      <w:kern w:val="1"/>
    </w:rPr>
  </w:style>
  <w:style w:type="paragraph" w:customStyle="1" w:styleId="ECVBusinessSctionRow">
    <w:name w:val="_ECV_BusinessSctionRow"/>
    <w:basedOn w:val="Normal"/>
    <w:rsid w:val="008A3FF7"/>
    <w:pPr>
      <w:widowControl w:val="0"/>
      <w:suppressAutoHyphens/>
      <w:spacing w:after="0" w:line="240" w:lineRule="auto"/>
    </w:pPr>
    <w:rPr>
      <w:rFonts w:ascii="Liberation Serif" w:eastAsia="Cambria" w:hAnsi="Liberation Serif" w:cs="TT18At00"/>
      <w:color w:val="3F3A38"/>
      <w:spacing w:val="-6"/>
      <w:kern w:val="1"/>
      <w:sz w:val="16"/>
      <w:szCs w:val="24"/>
      <w:lang w:eastAsia="zh-CN" w:bidi="hi-IN"/>
    </w:rPr>
  </w:style>
  <w:style w:type="paragraph" w:customStyle="1" w:styleId="ESP1stPage">
    <w:name w:val="_ESP_1stPage"/>
    <w:basedOn w:val="ECVCurriculumVitaeNextPages"/>
    <w:rsid w:val="008A3FF7"/>
    <w:rPr>
      <w:lang w:eastAsia="zh-CN"/>
    </w:rPr>
  </w:style>
  <w:style w:type="paragraph" w:customStyle="1" w:styleId="ESPText">
    <w:name w:val="_ESP_Text"/>
    <w:basedOn w:val="ECVText"/>
    <w:rsid w:val="008A3FF7"/>
    <w:pPr>
      <w:spacing w:line="100" w:lineRule="atLeast"/>
    </w:pPr>
    <w:rPr>
      <w:kern w:val="1"/>
    </w:rPr>
  </w:style>
  <w:style w:type="paragraph" w:customStyle="1" w:styleId="ESPHeading">
    <w:name w:val="_ESP_Heading"/>
    <w:basedOn w:val="ESPText"/>
    <w:rsid w:val="008A3FF7"/>
    <w:rPr>
      <w:b/>
      <w:bCs/>
      <w:sz w:val="32"/>
      <w:szCs w:val="32"/>
    </w:rPr>
  </w:style>
  <w:style w:type="paragraph" w:customStyle="1" w:styleId="Footerleft">
    <w:name w:val="Footer left"/>
    <w:basedOn w:val="Normal"/>
    <w:rsid w:val="008A3FF7"/>
    <w:pPr>
      <w:widowControl w:val="0"/>
      <w:suppressLineNumbers/>
      <w:tabs>
        <w:tab w:val="center" w:pos="5188"/>
        <w:tab w:val="right" w:pos="10376"/>
      </w:tabs>
      <w:suppressAutoHyphens/>
      <w:spacing w:after="0" w:line="240" w:lineRule="auto"/>
    </w:pPr>
    <w:rPr>
      <w:rFonts w:ascii="Liberation Serif" w:eastAsia="Cambria" w:hAnsi="Liberation Serif" w:cs="TT18At00"/>
      <w:color w:val="3F3A38"/>
      <w:spacing w:val="-6"/>
      <w:kern w:val="1"/>
      <w:sz w:val="16"/>
      <w:szCs w:val="24"/>
      <w:lang w:eastAsia="zh-CN" w:bidi="hi-IN"/>
    </w:rPr>
  </w:style>
  <w:style w:type="paragraph" w:customStyle="1" w:styleId="Footerright">
    <w:name w:val="Footer right"/>
    <w:basedOn w:val="Normal"/>
    <w:rsid w:val="008A3FF7"/>
    <w:pPr>
      <w:widowControl w:val="0"/>
      <w:suppressLineNumbers/>
      <w:tabs>
        <w:tab w:val="center" w:pos="5188"/>
        <w:tab w:val="right" w:pos="10376"/>
      </w:tabs>
      <w:suppressAutoHyphens/>
      <w:spacing w:after="0" w:line="240" w:lineRule="auto"/>
    </w:pPr>
    <w:rPr>
      <w:rFonts w:ascii="Liberation Serif" w:eastAsia="Cambria" w:hAnsi="Liberation Serif" w:cs="TT18At00"/>
      <w:color w:val="3F3A38"/>
      <w:spacing w:val="-6"/>
      <w:kern w:val="1"/>
      <w:sz w:val="16"/>
      <w:szCs w:val="24"/>
      <w:lang w:eastAsia="zh-CN" w:bidi="hi-IN"/>
    </w:rPr>
  </w:style>
  <w:style w:type="paragraph" w:customStyle="1" w:styleId="Aeeaoaeaa1">
    <w:name w:val="A?eeaoae?aa 1"/>
    <w:basedOn w:val="Aaoeeu"/>
    <w:next w:val="Aaoeeu"/>
    <w:rsid w:val="008A3FF7"/>
    <w:pPr>
      <w:keepNext/>
      <w:jc w:val="right"/>
    </w:pPr>
    <w:rPr>
      <w:b/>
      <w:lang w:eastAsia="en-GB"/>
    </w:rPr>
  </w:style>
  <w:style w:type="character" w:customStyle="1" w:styleId="s6b621b36">
    <w:name w:val="s6b621b36"/>
    <w:basedOn w:val="DefaultParagraphFont"/>
    <w:rsid w:val="008A3FF7"/>
  </w:style>
  <w:style w:type="table" w:customStyle="1" w:styleId="Standardtableformat11">
    <w:name w:val="Standard table format11"/>
    <w:basedOn w:val="TableNormal"/>
    <w:next w:val="TableGrid"/>
    <w:uiPriority w:val="59"/>
    <w:rsid w:val="008A3FF7"/>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leformat1">
    <w:name w:val="Standard table format1"/>
    <w:basedOn w:val="TableNormal"/>
    <w:next w:val="TableGrid"/>
    <w:uiPriority w:val="39"/>
    <w:rsid w:val="008A3FF7"/>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8A3FF7"/>
    <w:rPr>
      <w:color w:val="605E5C"/>
      <w:shd w:val="clear" w:color="auto" w:fill="E1DFDD"/>
    </w:rPr>
  </w:style>
  <w:style w:type="character" w:customStyle="1" w:styleId="Mentionnonrsolue2">
    <w:name w:val="Mention non résolue2"/>
    <w:basedOn w:val="DefaultParagraphFont"/>
    <w:uiPriority w:val="99"/>
    <w:semiHidden/>
    <w:unhideWhenUsed/>
    <w:rsid w:val="008A3FF7"/>
    <w:rPr>
      <w:color w:val="605E5C"/>
      <w:shd w:val="clear" w:color="auto" w:fill="E1DFDD"/>
    </w:rPr>
  </w:style>
  <w:style w:type="character" w:customStyle="1" w:styleId="UnresolvedMention5">
    <w:name w:val="Unresolved Mention5"/>
    <w:basedOn w:val="DefaultParagraphFont"/>
    <w:uiPriority w:val="99"/>
    <w:semiHidden/>
    <w:unhideWhenUsed/>
    <w:rsid w:val="008A3FF7"/>
    <w:rPr>
      <w:color w:val="605E5C"/>
      <w:shd w:val="clear" w:color="auto" w:fill="E1DFDD"/>
    </w:rPr>
  </w:style>
  <w:style w:type="paragraph" w:customStyle="1" w:styleId="MinorBullet1">
    <w:name w:val="Minor Bullet 1"/>
    <w:basedOn w:val="Normal"/>
    <w:uiPriority w:val="8"/>
    <w:rsid w:val="008A3FF7"/>
    <w:pPr>
      <w:spacing w:before="60" w:after="60" w:line="240" w:lineRule="auto"/>
      <w:jc w:val="both"/>
    </w:pPr>
    <w:rPr>
      <w:rFonts w:ascii="Symbol" w:hAnsi="Symbol"/>
    </w:rPr>
  </w:style>
  <w:style w:type="paragraph" w:customStyle="1" w:styleId="MinorBullet2">
    <w:name w:val="Minor Bullet 2"/>
    <w:basedOn w:val="Normal"/>
    <w:uiPriority w:val="8"/>
    <w:rsid w:val="008A3FF7"/>
    <w:pPr>
      <w:spacing w:before="60" w:after="60" w:line="240" w:lineRule="auto"/>
      <w:ind w:left="1440" w:hanging="360"/>
      <w:jc w:val="both"/>
    </w:pPr>
    <w:rPr>
      <w:rFonts w:ascii="Symbol" w:hAnsi="Symbol"/>
    </w:rPr>
  </w:style>
  <w:style w:type="paragraph" w:customStyle="1" w:styleId="MinorBullet3">
    <w:name w:val="Minor Bullet 3"/>
    <w:basedOn w:val="Normal"/>
    <w:uiPriority w:val="8"/>
    <w:rsid w:val="008A3FF7"/>
    <w:pPr>
      <w:tabs>
        <w:tab w:val="num" w:pos="360"/>
        <w:tab w:val="num" w:pos="1520"/>
      </w:tabs>
      <w:spacing w:before="60" w:after="60" w:line="240" w:lineRule="auto"/>
      <w:ind w:left="2160" w:hanging="360"/>
      <w:jc w:val="both"/>
    </w:pPr>
    <w:rPr>
      <w:rFonts w:ascii="Symbol" w:hAnsi="Symbol"/>
    </w:rPr>
  </w:style>
  <w:style w:type="paragraph" w:customStyle="1" w:styleId="FootnoteReferenceLVL6">
    <w:name w:val="Footnote Reference_LVL6"/>
    <w:aliases w:val="Footnote Reference_LVL61,Footnote Reference_LVL62,Footnote Reference_LVL63,Footnote Reference_LVL64,Odwo&lt;0142&gt;anie przypisu,SUPER,BVI fnr Char1 Char"/>
    <w:basedOn w:val="Normal"/>
    <w:next w:val="Normal"/>
    <w:uiPriority w:val="99"/>
    <w:rsid w:val="008A3FF7"/>
    <w:pPr>
      <w:spacing w:after="60" w:line="240" w:lineRule="auto"/>
      <w:jc w:val="both"/>
    </w:pPr>
    <w:rPr>
      <w:vertAlign w:val="superscript"/>
      <w:lang w:val="fr-BE"/>
    </w:rPr>
  </w:style>
  <w:style w:type="character" w:customStyle="1" w:styleId="contextualspellingandgrammarerror">
    <w:name w:val="contextualspellingandgrammarerror"/>
    <w:basedOn w:val="DefaultParagraphFont"/>
    <w:rsid w:val="008A3FF7"/>
  </w:style>
  <w:style w:type="character" w:customStyle="1" w:styleId="scxw81497423">
    <w:name w:val="scxw81497423"/>
    <w:basedOn w:val="DefaultParagraphFont"/>
    <w:rsid w:val="008A3FF7"/>
  </w:style>
  <w:style w:type="character" w:customStyle="1" w:styleId="spellingerror">
    <w:name w:val="spellingerror"/>
    <w:basedOn w:val="DefaultParagraphFont"/>
    <w:rsid w:val="008A3FF7"/>
  </w:style>
  <w:style w:type="numbering" w:customStyle="1" w:styleId="CowiNumberList">
    <w:name w:val="CowiNumberList"/>
    <w:basedOn w:val="NoList"/>
    <w:rsid w:val="008A3FF7"/>
    <w:pPr>
      <w:numPr>
        <w:numId w:val="24"/>
      </w:numPr>
    </w:pPr>
  </w:style>
  <w:style w:type="character" w:customStyle="1" w:styleId="UnresolvedMention50">
    <w:name w:val="Unresolved Mention50"/>
    <w:basedOn w:val="DefaultParagraphFont"/>
    <w:uiPriority w:val="99"/>
    <w:semiHidden/>
    <w:unhideWhenUsed/>
    <w:rsid w:val="008A3FF7"/>
    <w:rPr>
      <w:color w:val="605E5C"/>
      <w:shd w:val="clear" w:color="auto" w:fill="E1DFDD"/>
    </w:rPr>
  </w:style>
  <w:style w:type="character" w:customStyle="1" w:styleId="Mention1">
    <w:name w:val="Mention1"/>
    <w:basedOn w:val="DefaultParagraphFont"/>
    <w:uiPriority w:val="99"/>
    <w:unhideWhenUsed/>
    <w:rsid w:val="008A3FF7"/>
    <w:rPr>
      <w:color w:val="2B579A"/>
      <w:shd w:val="clear" w:color="auto" w:fill="E1DFDD"/>
    </w:rPr>
  </w:style>
  <w:style w:type="character" w:customStyle="1" w:styleId="UnresolvedMention6">
    <w:name w:val="Unresolved Mention6"/>
    <w:basedOn w:val="DefaultParagraphFont"/>
    <w:uiPriority w:val="99"/>
    <w:semiHidden/>
    <w:unhideWhenUsed/>
    <w:rsid w:val="008A3FF7"/>
    <w:rPr>
      <w:color w:val="605E5C"/>
      <w:shd w:val="clear" w:color="auto" w:fill="E1DFDD"/>
    </w:rPr>
  </w:style>
  <w:style w:type="character" w:customStyle="1" w:styleId="oj-bold">
    <w:name w:val="oj-bold"/>
    <w:basedOn w:val="DefaultParagraphFont"/>
    <w:rsid w:val="008A3FF7"/>
  </w:style>
  <w:style w:type="character" w:customStyle="1" w:styleId="UnresolvedMention7">
    <w:name w:val="Unresolved Mention7"/>
    <w:basedOn w:val="DefaultParagraphFont"/>
    <w:uiPriority w:val="99"/>
    <w:semiHidden/>
    <w:unhideWhenUsed/>
    <w:rsid w:val="008A3FF7"/>
    <w:rPr>
      <w:color w:val="605E5C"/>
      <w:shd w:val="clear" w:color="auto" w:fill="E1DFDD"/>
    </w:rPr>
  </w:style>
  <w:style w:type="character" w:customStyle="1" w:styleId="UnresolvedMention8">
    <w:name w:val="Unresolved Mention8"/>
    <w:basedOn w:val="DefaultParagraphFont"/>
    <w:uiPriority w:val="99"/>
    <w:semiHidden/>
    <w:unhideWhenUsed/>
    <w:rsid w:val="008A3FF7"/>
    <w:rPr>
      <w:color w:val="605E5C"/>
      <w:shd w:val="clear" w:color="auto" w:fill="E1DFDD"/>
    </w:rPr>
  </w:style>
  <w:style w:type="character" w:customStyle="1" w:styleId="UnresolvedMention9">
    <w:name w:val="Unresolved Mention9"/>
    <w:basedOn w:val="DefaultParagraphFont"/>
    <w:uiPriority w:val="99"/>
    <w:semiHidden/>
    <w:unhideWhenUsed/>
    <w:rsid w:val="008A3FF7"/>
    <w:rPr>
      <w:color w:val="605E5C"/>
      <w:shd w:val="clear" w:color="auto" w:fill="E1DFDD"/>
    </w:rPr>
  </w:style>
  <w:style w:type="character" w:customStyle="1" w:styleId="UnresolvedMention10">
    <w:name w:val="Unresolved Mention10"/>
    <w:basedOn w:val="DefaultParagraphFont"/>
    <w:uiPriority w:val="99"/>
    <w:semiHidden/>
    <w:unhideWhenUsed/>
    <w:rsid w:val="008A3FF7"/>
    <w:rPr>
      <w:color w:val="605E5C"/>
      <w:shd w:val="clear" w:color="auto" w:fill="E1DFDD"/>
    </w:rPr>
  </w:style>
  <w:style w:type="character" w:customStyle="1" w:styleId="UnresolvedMention11">
    <w:name w:val="Unresolved Mention11"/>
    <w:basedOn w:val="DefaultParagraphFont"/>
    <w:uiPriority w:val="99"/>
    <w:semiHidden/>
    <w:unhideWhenUsed/>
    <w:rsid w:val="008A3FF7"/>
    <w:rPr>
      <w:color w:val="605E5C"/>
      <w:shd w:val="clear" w:color="auto" w:fill="E1DFDD"/>
    </w:rPr>
  </w:style>
  <w:style w:type="paragraph" w:customStyle="1" w:styleId="Headinglevel4">
    <w:name w:val="Heading level 4"/>
    <w:basedOn w:val="Normal"/>
    <w:link w:val="Headinglevel4Char"/>
    <w:uiPriority w:val="1"/>
    <w:qFormat/>
    <w:rsid w:val="008A3FF7"/>
    <w:pPr>
      <w:keepNext/>
      <w:keepLines/>
      <w:spacing w:before="240" w:after="120" w:line="240" w:lineRule="auto"/>
      <w:jc w:val="both"/>
      <w:outlineLvl w:val="3"/>
    </w:pPr>
    <w:rPr>
      <w:rFonts w:ascii="Liberation Serif" w:eastAsia="NSimSun" w:hAnsi="Liberation Serif" w:cs="Liberation Serif"/>
      <w:b/>
      <w:iCs/>
      <w:color w:val="003478"/>
      <w:sz w:val="24"/>
      <w:szCs w:val="28"/>
    </w:rPr>
  </w:style>
  <w:style w:type="character" w:customStyle="1" w:styleId="UnresolvedMention12">
    <w:name w:val="Unresolved Mention12"/>
    <w:basedOn w:val="DefaultParagraphFont"/>
    <w:uiPriority w:val="99"/>
    <w:semiHidden/>
    <w:unhideWhenUsed/>
    <w:rsid w:val="008A3FF7"/>
    <w:rPr>
      <w:color w:val="605E5C"/>
      <w:shd w:val="clear" w:color="auto" w:fill="E1DFDD"/>
    </w:rPr>
  </w:style>
  <w:style w:type="paragraph" w:customStyle="1" w:styleId="Headinglevel3">
    <w:name w:val="Heading level 3"/>
    <w:basedOn w:val="Heading3"/>
    <w:link w:val="Headinglevel3Char"/>
    <w:uiPriority w:val="1"/>
    <w:qFormat/>
    <w:rsid w:val="008A3FF7"/>
    <w:pPr>
      <w:keepLines/>
      <w:tabs>
        <w:tab w:val="clear" w:pos="1920"/>
      </w:tabs>
      <w:spacing w:before="240" w:after="120" w:line="280" w:lineRule="exact"/>
      <w:ind w:left="0" w:firstLine="0"/>
      <w:jc w:val="left"/>
    </w:pPr>
    <w:rPr>
      <w:rFonts w:ascii="Liberation Serif" w:eastAsia="NSimSun" w:hAnsi="Liberation Serif" w:cs="Liberation Serif"/>
      <w:b/>
      <w:bCs/>
      <w:i w:val="0"/>
      <w:color w:val="003478"/>
      <w:szCs w:val="28"/>
    </w:rPr>
  </w:style>
  <w:style w:type="numbering" w:customStyle="1" w:styleId="JayeshNavinShahEasterEgg">
    <w:name w:val="JayeshNavinShahEasterEgg"/>
    <w:uiPriority w:val="99"/>
    <w:rsid w:val="008A3FF7"/>
    <w:pPr>
      <w:numPr>
        <w:numId w:val="22"/>
      </w:numPr>
    </w:pPr>
  </w:style>
  <w:style w:type="table" w:customStyle="1" w:styleId="ListTable3-Accent52">
    <w:name w:val="List Table 3 - Accent 52"/>
    <w:basedOn w:val="TableNormal"/>
    <w:next w:val="ListTable3-Accent5"/>
    <w:uiPriority w:val="48"/>
    <w:rsid w:val="008A3FF7"/>
    <w:pPr>
      <w:spacing w:after="0" w:line="240" w:lineRule="auto"/>
    </w:pPr>
    <w:tblPr>
      <w:tblStyleRowBandSize w:val="1"/>
      <w:tblStyleColBandSize w:val="1"/>
      <w:tblBorders>
        <w:top w:val="single" w:sz="4" w:space="0" w:color="4BC5DE"/>
        <w:left w:val="single" w:sz="4" w:space="0" w:color="4BC5DE"/>
        <w:bottom w:val="single" w:sz="4" w:space="0" w:color="4BC5DE"/>
        <w:right w:val="single" w:sz="4" w:space="0" w:color="4BC5DE"/>
      </w:tblBorders>
    </w:tblPr>
    <w:tblStylePr w:type="firstRow">
      <w:rPr>
        <w:b/>
        <w:bCs/>
        <w:color w:val="FFFFFF"/>
      </w:rPr>
      <w:tblPr/>
      <w:tcPr>
        <w:shd w:val="clear" w:color="auto" w:fill="4BC5DE"/>
      </w:tcPr>
    </w:tblStylePr>
    <w:tblStylePr w:type="lastRow">
      <w:rPr>
        <w:b/>
        <w:bCs/>
      </w:rPr>
      <w:tblPr/>
      <w:tcPr>
        <w:tcBorders>
          <w:top w:val="double" w:sz="4" w:space="0" w:color="4BC5D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C5DE"/>
          <w:right w:val="single" w:sz="4" w:space="0" w:color="4BC5DE"/>
        </w:tcBorders>
      </w:tcPr>
    </w:tblStylePr>
    <w:tblStylePr w:type="band1Horz">
      <w:tblPr/>
      <w:tcPr>
        <w:tcBorders>
          <w:top w:val="single" w:sz="4" w:space="0" w:color="4BC5DE"/>
          <w:bottom w:val="single" w:sz="4" w:space="0" w:color="4BC5D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C5DE"/>
          <w:left w:val="nil"/>
        </w:tcBorders>
      </w:tcPr>
    </w:tblStylePr>
    <w:tblStylePr w:type="swCell">
      <w:tblPr/>
      <w:tcPr>
        <w:tcBorders>
          <w:top w:val="double" w:sz="4" w:space="0" w:color="4BC5DE"/>
          <w:right w:val="nil"/>
        </w:tcBorders>
      </w:tcPr>
    </w:tblStylePr>
  </w:style>
  <w:style w:type="table" w:customStyle="1" w:styleId="ListTable4-Accent12">
    <w:name w:val="List Table 4 - Accent 12"/>
    <w:basedOn w:val="TableNormal"/>
    <w:next w:val="ListTable4-Accent1"/>
    <w:uiPriority w:val="49"/>
    <w:rsid w:val="008A3FF7"/>
    <w:pPr>
      <w:spacing w:after="0" w:line="240" w:lineRule="auto"/>
    </w:pPr>
    <w:rPr>
      <w:lang w:val="en-US"/>
    </w:rPr>
    <w:tblPr>
      <w:tblStyleRowBandSize w:val="1"/>
      <w:tblStyleColBandSize w:val="1"/>
      <w:tblBorders>
        <w:top w:val="single" w:sz="4" w:space="0" w:color="F0A697"/>
        <w:left w:val="single" w:sz="4" w:space="0" w:color="F0A697"/>
        <w:bottom w:val="single" w:sz="4" w:space="0" w:color="F0A697"/>
        <w:right w:val="single" w:sz="4" w:space="0" w:color="F0A697"/>
        <w:insideH w:val="single" w:sz="4" w:space="0" w:color="F0A697"/>
      </w:tblBorders>
    </w:tblPr>
    <w:tblStylePr w:type="firstRow">
      <w:rPr>
        <w:b/>
        <w:bCs/>
        <w:color w:val="FFFFFF"/>
      </w:rPr>
      <w:tblPr/>
      <w:tcPr>
        <w:tcBorders>
          <w:top w:val="single" w:sz="4" w:space="0" w:color="E76C53"/>
          <w:left w:val="single" w:sz="4" w:space="0" w:color="E76C53"/>
          <w:bottom w:val="single" w:sz="4" w:space="0" w:color="E76C53"/>
          <w:right w:val="single" w:sz="4" w:space="0" w:color="E76C53"/>
          <w:insideH w:val="nil"/>
        </w:tcBorders>
        <w:shd w:val="clear" w:color="auto" w:fill="E76C53"/>
      </w:tcPr>
    </w:tblStylePr>
    <w:tblStylePr w:type="lastRow">
      <w:rPr>
        <w:b/>
        <w:bCs/>
      </w:rPr>
      <w:tblPr/>
      <w:tcPr>
        <w:tcBorders>
          <w:top w:val="double" w:sz="4" w:space="0" w:color="F0A697"/>
        </w:tcBorders>
      </w:tcPr>
    </w:tblStylePr>
    <w:tblStylePr w:type="firstCol">
      <w:rPr>
        <w:b/>
        <w:bCs/>
      </w:rPr>
    </w:tblStylePr>
    <w:tblStylePr w:type="lastCol">
      <w:rPr>
        <w:b/>
        <w:bCs/>
      </w:rPr>
    </w:tblStylePr>
    <w:tblStylePr w:type="band1Vert">
      <w:tblPr/>
      <w:tcPr>
        <w:shd w:val="clear" w:color="auto" w:fill="FAE1DC"/>
      </w:tcPr>
    </w:tblStylePr>
    <w:tblStylePr w:type="band1Horz">
      <w:tblPr/>
      <w:tcPr>
        <w:shd w:val="clear" w:color="auto" w:fill="FAE1DC"/>
      </w:tcPr>
    </w:tblStylePr>
  </w:style>
  <w:style w:type="paragraph" w:customStyle="1" w:styleId="NumberedHeading1">
    <w:name w:val="Numbered Heading 1"/>
    <w:basedOn w:val="Heading1"/>
    <w:next w:val="BodyText"/>
    <w:link w:val="NumberedHeading1Char"/>
    <w:uiPriority w:val="8"/>
    <w:rsid w:val="008A3FF7"/>
    <w:pPr>
      <w:keepLines/>
      <w:numPr>
        <w:numId w:val="26"/>
      </w:numPr>
      <w:spacing w:before="0" w:after="300" w:line="259" w:lineRule="auto"/>
      <w:jc w:val="left"/>
    </w:pPr>
    <w:rPr>
      <w:rFonts w:ascii="Liberation Serif" w:eastAsia="NSimSun" w:hAnsi="Liberation Serif" w:cs="Liberation Serif"/>
      <w:b w:val="0"/>
      <w:smallCaps w:val="0"/>
      <w:color w:val="0C4DA2"/>
      <w:sz w:val="48"/>
      <w:szCs w:val="32"/>
    </w:rPr>
  </w:style>
  <w:style w:type="paragraph" w:customStyle="1" w:styleId="NumberedHeading2">
    <w:name w:val="Numbered Heading 2"/>
    <w:basedOn w:val="Heading2"/>
    <w:next w:val="BodyText"/>
    <w:uiPriority w:val="8"/>
    <w:rsid w:val="008A3FF7"/>
    <w:pPr>
      <w:keepLines/>
      <w:tabs>
        <w:tab w:val="clear" w:pos="1200"/>
      </w:tabs>
      <w:spacing w:before="240" w:after="200" w:line="259" w:lineRule="auto"/>
      <w:ind w:left="1440" w:hanging="360"/>
      <w:jc w:val="left"/>
    </w:pPr>
    <w:rPr>
      <w:rFonts w:ascii="Liberation Serif" w:eastAsia="NSimSun" w:hAnsi="Liberation Serif" w:cs="Liberation Serif"/>
      <w:b w:val="0"/>
      <w:color w:val="003478"/>
      <w:sz w:val="28"/>
      <w:szCs w:val="26"/>
    </w:rPr>
  </w:style>
  <w:style w:type="character" w:customStyle="1" w:styleId="NumberedHeading1Char">
    <w:name w:val="Numbered Heading 1 Char"/>
    <w:basedOn w:val="Heading3Char"/>
    <w:link w:val="NumberedHeading1"/>
    <w:uiPriority w:val="8"/>
    <w:rsid w:val="008A3FF7"/>
    <w:rPr>
      <w:rFonts w:ascii="Liberation Serif" w:eastAsia="NSimSun" w:hAnsi="Liberation Serif" w:cs="Liberation Serif"/>
      <w:i w:val="0"/>
      <w:color w:val="0C4DA2"/>
      <w:sz w:val="48"/>
      <w:szCs w:val="32"/>
    </w:rPr>
  </w:style>
  <w:style w:type="paragraph" w:customStyle="1" w:styleId="NumberedHeading3">
    <w:name w:val="Numbered Heading 3"/>
    <w:basedOn w:val="Heading3"/>
    <w:next w:val="BodyText"/>
    <w:uiPriority w:val="8"/>
    <w:rsid w:val="008A3FF7"/>
    <w:pPr>
      <w:keepLines/>
      <w:tabs>
        <w:tab w:val="clear" w:pos="1920"/>
      </w:tabs>
      <w:spacing w:after="200" w:line="259" w:lineRule="auto"/>
      <w:ind w:left="357" w:hanging="357"/>
      <w:jc w:val="left"/>
    </w:pPr>
    <w:rPr>
      <w:rFonts w:ascii="Liberation Serif" w:eastAsia="NSimSun" w:hAnsi="Liberation Serif" w:cs="Liberation Serif"/>
      <w:i w:val="0"/>
      <w:color w:val="0C4DA2"/>
      <w:sz w:val="22"/>
      <w:szCs w:val="24"/>
    </w:rPr>
  </w:style>
  <w:style w:type="character" w:customStyle="1" w:styleId="Headinglevel4Char">
    <w:name w:val="Heading level 4 Char"/>
    <w:basedOn w:val="DefaultParagraphFont"/>
    <w:link w:val="Headinglevel4"/>
    <w:uiPriority w:val="1"/>
    <w:rsid w:val="008A3FF7"/>
    <w:rPr>
      <w:rFonts w:ascii="Liberation Serif" w:eastAsia="NSimSun" w:hAnsi="Liberation Serif" w:cs="Liberation Serif"/>
      <w:b/>
      <w:iCs/>
      <w:color w:val="003478"/>
      <w:sz w:val="24"/>
      <w:szCs w:val="28"/>
    </w:rPr>
  </w:style>
  <w:style w:type="character" w:customStyle="1" w:styleId="Headinglevel3Char">
    <w:name w:val="Heading level 3 Char"/>
    <w:basedOn w:val="Heading3Char"/>
    <w:link w:val="Headinglevel3"/>
    <w:uiPriority w:val="1"/>
    <w:rsid w:val="008A3FF7"/>
    <w:rPr>
      <w:rFonts w:ascii="Liberation Serif" w:eastAsia="NSimSun" w:hAnsi="Liberation Serif" w:cs="Liberation Serif"/>
      <w:b/>
      <w:bCs/>
      <w:i w:val="0"/>
      <w:color w:val="003478"/>
      <w:sz w:val="24"/>
      <w:szCs w:val="28"/>
    </w:rPr>
  </w:style>
  <w:style w:type="paragraph" w:customStyle="1" w:styleId="DecimalAligned">
    <w:name w:val="Decimal Aligned"/>
    <w:basedOn w:val="Normal"/>
    <w:uiPriority w:val="40"/>
    <w:qFormat/>
    <w:rsid w:val="008A3FF7"/>
    <w:pPr>
      <w:tabs>
        <w:tab w:val="decimal" w:pos="360"/>
      </w:tabs>
    </w:pPr>
    <w:rPr>
      <w:rFonts w:eastAsia="MS PGothic" w:cs="Times New Roman"/>
      <w:lang w:val="fr-FR" w:eastAsia="fr-FR"/>
    </w:rPr>
  </w:style>
  <w:style w:type="table" w:customStyle="1" w:styleId="VVATable">
    <w:name w:val="VVA Table"/>
    <w:basedOn w:val="TableNormal"/>
    <w:uiPriority w:val="99"/>
    <w:rsid w:val="008A3FF7"/>
    <w:pPr>
      <w:spacing w:after="0" w:line="240" w:lineRule="auto"/>
    </w:pPr>
    <w:rPr>
      <w:rFonts w:ascii="ITCAvantGardeStd-Bold" w:eastAsia="Symbol" w:hAnsi="ITCAvantGardeStd-Bold"/>
      <w:sz w:val="17"/>
    </w:rPr>
    <w:tblP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Pr>
    <w:tcPr>
      <w:shd w:val="clear" w:color="auto" w:fill="FFFFFF"/>
    </w:tcPr>
    <w:tblStylePr w:type="firstRow">
      <w:pPr>
        <w:wordWrap/>
        <w:jc w:val="center"/>
      </w:pPr>
      <w:rPr>
        <w:rFonts w:ascii="Segoe Script" w:hAnsi="Segoe Script"/>
        <w:b w:val="0"/>
        <w:color w:val="FFFFFF"/>
        <w:sz w:val="18"/>
      </w:rPr>
      <w:tblPr/>
      <w:tcPr>
        <w:shd w:val="clear" w:color="auto" w:fill="2B986D"/>
      </w:tcPr>
    </w:tblStylePr>
    <w:tblStylePr w:type="firstCol">
      <w:tblPr/>
      <w:tcPr>
        <w:shd w:val="clear" w:color="auto" w:fill="F2F2F2"/>
      </w:tcPr>
    </w:tblStylePr>
  </w:style>
  <w:style w:type="paragraph" w:customStyle="1" w:styleId="Bullet2">
    <w:name w:val="Bullet 2"/>
    <w:basedOn w:val="Normal"/>
    <w:uiPriority w:val="1"/>
    <w:qFormat/>
    <w:rsid w:val="008A3FF7"/>
    <w:pPr>
      <w:numPr>
        <w:numId w:val="27"/>
      </w:numPr>
      <w:spacing w:after="120" w:line="240" w:lineRule="auto"/>
      <w:jc w:val="both"/>
    </w:pPr>
    <w:rPr>
      <w:rFonts w:ascii="Symbol" w:eastAsia="Times" w:hAnsi="Symbol" w:cs="Times"/>
      <w:szCs w:val="20"/>
    </w:rPr>
  </w:style>
  <w:style w:type="paragraph" w:customStyle="1" w:styleId="Coversubtitle">
    <w:name w:val="Cover subtitle"/>
    <w:basedOn w:val="Normal"/>
    <w:semiHidden/>
    <w:qFormat/>
    <w:rsid w:val="008A3FF7"/>
    <w:pPr>
      <w:spacing w:before="240" w:after="240" w:line="240" w:lineRule="auto"/>
    </w:pPr>
    <w:rPr>
      <w:rFonts w:eastAsia="Calibri" w:cs="Times New Roman"/>
      <w:b/>
      <w:color w:val="E76C53"/>
      <w:sz w:val="24"/>
      <w:szCs w:val="20"/>
    </w:rPr>
  </w:style>
  <w:style w:type="paragraph" w:customStyle="1" w:styleId="Annex">
    <w:name w:val="Annex"/>
    <w:basedOn w:val="Normal"/>
    <w:next w:val="BodyText"/>
    <w:uiPriority w:val="4"/>
    <w:qFormat/>
    <w:rsid w:val="008A3FF7"/>
    <w:pPr>
      <w:pageBreakBefore/>
      <w:spacing w:after="240" w:line="240" w:lineRule="auto"/>
      <w:jc w:val="both"/>
      <w:outlineLvl w:val="0"/>
    </w:pPr>
    <w:rPr>
      <w:rFonts w:eastAsia="Times New Roman" w:cs="Times New Roman"/>
      <w:b/>
      <w:color w:val="E76C53"/>
      <w:sz w:val="32"/>
      <w:szCs w:val="20"/>
    </w:rPr>
  </w:style>
  <w:style w:type="numbering" w:customStyle="1" w:styleId="CurrentList1">
    <w:name w:val="Current List1"/>
    <w:uiPriority w:val="99"/>
    <w:rsid w:val="008A3FF7"/>
    <w:pPr>
      <w:numPr>
        <w:numId w:val="28"/>
      </w:numPr>
    </w:pPr>
  </w:style>
  <w:style w:type="table" w:customStyle="1" w:styleId="GridTable5Dark-Accent12">
    <w:name w:val="Grid Table 5 Dark - Accent 12"/>
    <w:basedOn w:val="TableNormal"/>
    <w:next w:val="GridTable5Dark-Accent1"/>
    <w:uiPriority w:val="50"/>
    <w:rsid w:val="008A3FF7"/>
    <w:pPr>
      <w:spacing w:after="0" w:line="240" w:lineRule="auto"/>
    </w:pPr>
    <w:rPr>
      <w:lang w:val="en-I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AE1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76C5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76C5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76C5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76C53"/>
      </w:tcPr>
    </w:tblStylePr>
    <w:tblStylePr w:type="band1Vert">
      <w:tblPr/>
      <w:tcPr>
        <w:shd w:val="clear" w:color="auto" w:fill="F5C3B9"/>
      </w:tcPr>
    </w:tblStylePr>
    <w:tblStylePr w:type="band1Horz">
      <w:tblPr/>
      <w:tcPr>
        <w:shd w:val="clear" w:color="auto" w:fill="F5C3B9"/>
      </w:tcPr>
    </w:tblStylePr>
  </w:style>
  <w:style w:type="numbering" w:customStyle="1" w:styleId="CurrentList2">
    <w:name w:val="Current List2"/>
    <w:uiPriority w:val="99"/>
    <w:rsid w:val="008A3FF7"/>
    <w:pPr>
      <w:numPr>
        <w:numId w:val="29"/>
      </w:numPr>
    </w:pPr>
  </w:style>
  <w:style w:type="paragraph" w:customStyle="1" w:styleId="Mainbodytext">
    <w:name w:val="Main body text"/>
    <w:basedOn w:val="Normal"/>
    <w:link w:val="MainbodytextChar"/>
    <w:qFormat/>
    <w:rsid w:val="008A3FF7"/>
    <w:pPr>
      <w:spacing w:before="120" w:after="120" w:line="240" w:lineRule="auto"/>
    </w:pPr>
    <w:rPr>
      <w:rFonts w:ascii="Liberation Serif" w:eastAsia="NSimSun" w:hAnsi="Liberation Serif"/>
      <w:sz w:val="20"/>
      <w:lang w:eastAsia="en-AU"/>
    </w:rPr>
  </w:style>
  <w:style w:type="numbering" w:customStyle="1" w:styleId="CurrentList3">
    <w:name w:val="Current List3"/>
    <w:uiPriority w:val="99"/>
    <w:rsid w:val="008A3FF7"/>
    <w:pPr>
      <w:numPr>
        <w:numId w:val="30"/>
      </w:numPr>
    </w:pPr>
  </w:style>
  <w:style w:type="character" w:customStyle="1" w:styleId="MainbodytextChar">
    <w:name w:val="Main body text Char"/>
    <w:link w:val="Mainbodytext"/>
    <w:locked/>
    <w:rsid w:val="008A3FF7"/>
    <w:rPr>
      <w:rFonts w:ascii="Liberation Serif" w:eastAsia="NSimSun" w:hAnsi="Liberation Serif"/>
      <w:sz w:val="20"/>
      <w:lang w:eastAsia="en-AU"/>
    </w:rPr>
  </w:style>
  <w:style w:type="table" w:customStyle="1" w:styleId="Kantar">
    <w:name w:val="Kantar"/>
    <w:basedOn w:val="TableNormal"/>
    <w:uiPriority w:val="61"/>
    <w:rsid w:val="008A3FF7"/>
    <w:pPr>
      <w:spacing w:before="120" w:after="120" w:line="280" w:lineRule="exact"/>
    </w:pPr>
    <w:rPr>
      <w:rFonts w:ascii="Liberation Serif" w:eastAsia="NSimSun" w:hAnsi="Liberation Serif"/>
      <w:lang w:val="en-AU" w:eastAsia="en-AU"/>
    </w:rPr>
    <w:tblPr>
      <w:tblStyleRowBandSize w:val="1"/>
      <w:tblStyleColBandSize w:val="1"/>
      <w:tblBorders>
        <w:top w:val="single" w:sz="4" w:space="0" w:color="A6A6A6"/>
        <w:bottom w:val="single" w:sz="4" w:space="0" w:color="A6A6A6"/>
        <w:insideH w:val="single" w:sz="4" w:space="0" w:color="A6A6A6"/>
      </w:tblBorders>
    </w:tblPr>
    <w:tcPr>
      <w:shd w:val="clear" w:color="auto" w:fill="FFFFFF"/>
    </w:tcPr>
    <w:tblStylePr w:type="firstRow">
      <w:pPr>
        <w:spacing w:before="0" w:after="0" w:line="240" w:lineRule="auto"/>
      </w:pPr>
      <w:rPr>
        <w:rFonts w:ascii="Arial" w:hAnsi="Arial"/>
        <w:b/>
        <w:bCs/>
        <w:color w:val="FFFFFF"/>
        <w:sz w:val="22"/>
      </w:rPr>
      <w:tblPr/>
      <w:tcPr>
        <w:shd w:val="clear" w:color="auto" w:fill="E76C53"/>
      </w:tcPr>
    </w:tblStylePr>
    <w:tblStylePr w:type="lastRow">
      <w:pPr>
        <w:spacing w:before="0" w:after="0" w:line="240" w:lineRule="auto"/>
      </w:pPr>
      <w:rPr>
        <w:rFonts w:ascii="Arial" w:hAnsi="Arial"/>
        <w:b w:val="0"/>
        <w:bCs/>
        <w:sz w:val="22"/>
      </w:rPr>
      <w:tblPr/>
      <w:tcPr>
        <w:tcBorders>
          <w:top w:val="double" w:sz="6" w:space="0" w:color="E76C53"/>
          <w:left w:val="single" w:sz="8" w:space="0" w:color="E76C53"/>
          <w:bottom w:val="single" w:sz="8" w:space="0" w:color="E76C53"/>
          <w:right w:val="single" w:sz="8" w:space="0" w:color="E76C53"/>
        </w:tcBorders>
      </w:tcPr>
    </w:tblStylePr>
    <w:tblStylePr w:type="firstCol">
      <w:rPr>
        <w:b/>
        <w:bCs/>
      </w:rPr>
    </w:tblStylePr>
    <w:tblStylePr w:type="lastCol">
      <w:rPr>
        <w:b/>
        <w:bCs/>
      </w:rPr>
    </w:tblStylePr>
    <w:tblStylePr w:type="band1Vert">
      <w:tblPr/>
      <w:tcPr>
        <w:tcBorders>
          <w:top w:val="single" w:sz="8" w:space="0" w:color="E76C53"/>
          <w:left w:val="single" w:sz="8" w:space="0" w:color="E76C53"/>
          <w:bottom w:val="single" w:sz="8" w:space="0" w:color="E76C53"/>
          <w:right w:val="single" w:sz="8" w:space="0" w:color="E76C53"/>
        </w:tcBorders>
      </w:tcPr>
    </w:tblStylePr>
    <w:tblStylePr w:type="band1Horz">
      <w:tblPr/>
      <w:tcPr>
        <w:shd w:val="clear" w:color="auto" w:fill="FFFFFF"/>
      </w:tcPr>
    </w:tblStylePr>
    <w:tblStylePr w:type="band2Horz">
      <w:tblPr/>
      <w:tcPr>
        <w:shd w:val="clear" w:color="auto" w:fill="D9D9D9"/>
      </w:tcPr>
    </w:tblStylePr>
  </w:style>
  <w:style w:type="table" w:customStyle="1" w:styleId="TableGrid30">
    <w:name w:val="Table Grid3"/>
    <w:basedOn w:val="TableNormal"/>
    <w:next w:val="TableGrid"/>
    <w:uiPriority w:val="39"/>
    <w:rsid w:val="008A3FF7"/>
    <w:pPr>
      <w:spacing w:after="0" w:line="240" w:lineRule="auto"/>
    </w:pPr>
    <w:rPr>
      <w:rFonts w:ascii="Symbol" w:eastAsia="Symbol" w:hAnsi="Symbol" w:cs="Liberation Seri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A3FF7"/>
    <w:pPr>
      <w:spacing w:before="100" w:beforeAutospacing="1" w:after="100" w:afterAutospacing="1" w:line="240" w:lineRule="auto"/>
    </w:pPr>
    <w:rPr>
      <w:rFonts w:ascii="Times" w:eastAsia="Times" w:hAnsi="Times" w:cs="Times"/>
      <w:sz w:val="24"/>
      <w:szCs w:val="24"/>
      <w:lang w:eastAsia="en-GB"/>
    </w:rPr>
  </w:style>
  <w:style w:type="character" w:customStyle="1" w:styleId="cf01">
    <w:name w:val="cf01"/>
    <w:basedOn w:val="DefaultParagraphFont"/>
    <w:rsid w:val="008A3FF7"/>
    <w:rPr>
      <w:rFonts w:ascii="ITCAvantGardeStd-Bold" w:hAnsi="ITCAvantGardeStd-Bold" w:cs="ITCAvantGardeStd-Bold" w:hint="default"/>
      <w:sz w:val="18"/>
      <w:szCs w:val="18"/>
    </w:rPr>
  </w:style>
  <w:style w:type="table" w:customStyle="1" w:styleId="ListTable41">
    <w:name w:val="List Table 41"/>
    <w:basedOn w:val="TableNormal"/>
    <w:next w:val="ListTable4"/>
    <w:uiPriority w:val="49"/>
    <w:rsid w:val="008A3FF7"/>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ention2">
    <w:name w:val="Mention2"/>
    <w:basedOn w:val="DefaultParagraphFont"/>
    <w:uiPriority w:val="99"/>
    <w:unhideWhenUsed/>
    <w:rsid w:val="008A3FF7"/>
    <w:rPr>
      <w:color w:val="2B579A"/>
      <w:shd w:val="clear" w:color="auto" w:fill="E1DFDD"/>
    </w:rPr>
  </w:style>
  <w:style w:type="character" w:customStyle="1" w:styleId="ui-provider">
    <w:name w:val="ui-provider"/>
    <w:basedOn w:val="DefaultParagraphFont"/>
    <w:rsid w:val="008A3FF7"/>
  </w:style>
  <w:style w:type="table" w:customStyle="1" w:styleId="GridTable1Light1">
    <w:name w:val="Grid Table 1 Light1"/>
    <w:basedOn w:val="TableNormal"/>
    <w:next w:val="GridTable1Light"/>
    <w:uiPriority w:val="46"/>
    <w:rsid w:val="008A3FF7"/>
    <w:pPr>
      <w:spacing w:after="0" w:line="240" w:lineRule="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value">
    <w:name w:val="value"/>
    <w:basedOn w:val="DefaultParagraphFont"/>
    <w:rsid w:val="008A3FF7"/>
  </w:style>
  <w:style w:type="character" w:customStyle="1" w:styleId="bold">
    <w:name w:val="bold"/>
    <w:basedOn w:val="DefaultParagraphFont"/>
    <w:rsid w:val="008A3FF7"/>
  </w:style>
  <w:style w:type="character" w:customStyle="1" w:styleId="contentpasted0">
    <w:name w:val="contentpasted0"/>
    <w:basedOn w:val="DefaultParagraphFont"/>
    <w:rsid w:val="008A3FF7"/>
  </w:style>
  <w:style w:type="paragraph" w:customStyle="1" w:styleId="FootnoteReference1">
    <w:name w:val="Footnote Reference1"/>
    <w:basedOn w:val="Normal"/>
    <w:uiPriority w:val="99"/>
    <w:rsid w:val="008A3FF7"/>
    <w:pPr>
      <w:spacing w:after="160" w:line="240" w:lineRule="exact"/>
    </w:pPr>
    <w:rPr>
      <w:vertAlign w:val="superscript"/>
    </w:rPr>
  </w:style>
  <w:style w:type="table" w:customStyle="1" w:styleId="TableGrid40">
    <w:name w:val="Table Grid4"/>
    <w:basedOn w:val="TableNormal"/>
    <w:next w:val="TableGrid"/>
    <w:uiPriority w:val="39"/>
    <w:rsid w:val="008A3FF7"/>
    <w:pPr>
      <w:spacing w:after="0" w:line="240" w:lineRule="auto"/>
    </w:pPr>
    <w:rPr>
      <w:rFonts w:ascii="Symbol" w:eastAsia="Symbol" w:hAnsi="Symbol" w:cs="Times"/>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5">
    <w:name w:val="Colorful Grid Accent 5"/>
    <w:basedOn w:val="TableNormal"/>
    <w:uiPriority w:val="73"/>
    <w:semiHidden/>
    <w:unhideWhenUsed/>
    <w:rsid w:val="008A3F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5">
    <w:name w:val="Medium Grid 1 Accent 5"/>
    <w:basedOn w:val="TableNormal"/>
    <w:uiPriority w:val="67"/>
    <w:semiHidden/>
    <w:unhideWhenUsed/>
    <w:rsid w:val="008A3FF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
    <w:name w:val="Colorful List"/>
    <w:basedOn w:val="TableNormal"/>
    <w:uiPriority w:val="72"/>
    <w:semiHidden/>
    <w:unhideWhenUsed/>
    <w:rsid w:val="008A3FF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Grid-Accent1">
    <w:name w:val="Light Grid Accent 1"/>
    <w:basedOn w:val="TableNormal"/>
    <w:uiPriority w:val="62"/>
    <w:rsid w:val="008A3FF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8A3FF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1">
    <w:name w:val="Colorful List Accent 1"/>
    <w:basedOn w:val="TableNormal"/>
    <w:uiPriority w:val="72"/>
    <w:semiHidden/>
    <w:unhideWhenUsed/>
    <w:rsid w:val="008A3FF7"/>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2-Accent1">
    <w:name w:val="Medium Shading 2 Accent 1"/>
    <w:basedOn w:val="TableNormal"/>
    <w:uiPriority w:val="64"/>
    <w:rsid w:val="008A3F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8A3FF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semiHidden/>
    <w:unhideWhenUsed/>
    <w:rsid w:val="008A3FF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Table3-Accent5">
    <w:name w:val="List Table 3 Accent 5"/>
    <w:basedOn w:val="TableNormal"/>
    <w:uiPriority w:val="48"/>
    <w:rsid w:val="008A3FF7"/>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A3FF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8A3F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
    <w:name w:val="List Table 4"/>
    <w:basedOn w:val="TableNormal"/>
    <w:uiPriority w:val="49"/>
    <w:rsid w:val="008A3FF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8A3FF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uCharChar12">
    <w:name w:val="12u Char Char12"/>
    <w:basedOn w:val="TableNormal"/>
    <w:next w:val="TableGrid"/>
    <w:uiPriority w:val="39"/>
    <w:qFormat/>
    <w:rsid w:val="00D024A9"/>
    <w:pPr>
      <w:spacing w:after="0" w:line="240" w:lineRule="auto"/>
    </w:pPr>
    <w:rPr>
      <w:rFonts w:ascii="Arial MT Std Light" w:eastAsia="Times" w:hAnsi="Arial MT Std Light" w:cs="Times"/>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Deloitte11">
    <w:name w:val="Deloitte11"/>
    <w:basedOn w:val="TableNormal"/>
    <w:rsid w:val="00093202"/>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862C5"/>
    <w:rPr>
      <w:color w:val="808080"/>
    </w:rPr>
  </w:style>
  <w:style w:type="character" w:customStyle="1" w:styleId="superscript">
    <w:name w:val="superscript"/>
    <w:basedOn w:val="DefaultParagraphFont"/>
    <w:rsid w:val="007D106A"/>
  </w:style>
  <w:style w:type="character" w:customStyle="1" w:styleId="UnresolvedMention13">
    <w:name w:val="Unresolved Mention13"/>
    <w:basedOn w:val="DefaultParagraphFont"/>
    <w:uiPriority w:val="99"/>
    <w:semiHidden/>
    <w:unhideWhenUsed/>
    <w:rsid w:val="00994C67"/>
    <w:rPr>
      <w:color w:val="605E5C"/>
      <w:shd w:val="clear" w:color="auto" w:fill="E1DFDD"/>
    </w:rPr>
  </w:style>
  <w:style w:type="character" w:customStyle="1" w:styleId="UnresolvedMention">
    <w:name w:val="Unresolved Mention"/>
    <w:basedOn w:val="DefaultParagraphFont"/>
    <w:uiPriority w:val="99"/>
    <w:unhideWhenUsed/>
    <w:rsid w:val="00983C3B"/>
    <w:rPr>
      <w:color w:val="605E5C"/>
      <w:shd w:val="clear" w:color="auto" w:fill="E1DFDD"/>
    </w:rPr>
  </w:style>
  <w:style w:type="character" w:customStyle="1" w:styleId="textrun">
    <w:name w:val="textrun"/>
    <w:basedOn w:val="DefaultParagraphFont"/>
    <w:rsid w:val="00DD2FE8"/>
  </w:style>
  <w:style w:type="paragraph" w:customStyle="1" w:styleId="outlineelement">
    <w:name w:val="outlineelement"/>
    <w:basedOn w:val="Normal"/>
    <w:rsid w:val="00DD2FE8"/>
    <w:pPr>
      <w:spacing w:before="100" w:beforeAutospacing="1" w:after="100" w:afterAutospacing="1" w:line="240" w:lineRule="auto"/>
    </w:pPr>
    <w:rPr>
      <w:rFonts w:ascii="Times" w:eastAsia="Times" w:hAnsi="Times" w:cs="Times"/>
      <w:sz w:val="24"/>
      <w:szCs w:val="24"/>
      <w:lang w:val="en-IE" w:eastAsia="en-IE"/>
    </w:rPr>
  </w:style>
  <w:style w:type="character" w:customStyle="1" w:styleId="fieldrange">
    <w:name w:val="fieldrange"/>
    <w:basedOn w:val="DefaultParagraphFont"/>
    <w:rsid w:val="00DD2FE8"/>
  </w:style>
  <w:style w:type="character" w:customStyle="1" w:styleId="spellingerrorsuperscript">
    <w:name w:val="spellingerrorsuperscript"/>
    <w:basedOn w:val="DefaultParagraphFont"/>
    <w:rsid w:val="00DD2FE8"/>
  </w:style>
  <w:style w:type="character" w:customStyle="1" w:styleId="Mention">
    <w:name w:val="Mention"/>
    <w:basedOn w:val="DefaultParagraphFont"/>
    <w:uiPriority w:val="99"/>
    <w:unhideWhenUsed/>
    <w:rsid w:val="00983C3B"/>
    <w:rPr>
      <w:color w:val="2B579A"/>
      <w:shd w:val="clear" w:color="auto" w:fill="E1DFDD"/>
    </w:rPr>
  </w:style>
  <w:style w:type="paragraph" w:customStyle="1" w:styleId="Briefinglist1">
    <w:name w:val="Briefing list 1"/>
    <w:basedOn w:val="Normal"/>
    <w:link w:val="Briefinglist1Char"/>
    <w:qFormat/>
    <w:rsid w:val="00787FE9"/>
    <w:pPr>
      <w:keepLines/>
      <w:numPr>
        <w:numId w:val="28"/>
      </w:numPr>
      <w:spacing w:after="120" w:line="240" w:lineRule="auto"/>
      <w:jc w:val="both"/>
    </w:pPr>
    <w:rPr>
      <w:rFonts w:ascii="Liberation Serif" w:eastAsia="Times" w:hAnsi="Liberation Serif" w:cs="Liberation Serif"/>
      <w:szCs w:val="24"/>
    </w:rPr>
  </w:style>
  <w:style w:type="character" w:customStyle="1" w:styleId="Briefinglist1Char">
    <w:name w:val="Briefing list 1 Char"/>
    <w:basedOn w:val="DefaultParagraphFont"/>
    <w:link w:val="Briefinglist1"/>
    <w:qFormat/>
    <w:rsid w:val="00787FE9"/>
    <w:rPr>
      <w:rFonts w:ascii="Liberation Serif" w:eastAsia="Times" w:hAnsi="Liberation Serif" w:cs="Liberation Serif"/>
      <w:szCs w:val="24"/>
    </w:rPr>
  </w:style>
  <w:style w:type="table" w:customStyle="1" w:styleId="Deloitte12">
    <w:name w:val="Deloitte12"/>
    <w:basedOn w:val="TableNormal"/>
    <w:rsid w:val="00760DF8"/>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3">
    <w:name w:val="Deloitte13"/>
    <w:basedOn w:val="TableNormal"/>
    <w:rsid w:val="005447D1"/>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ckedchange">
    <w:name w:val="trackedchange"/>
    <w:basedOn w:val="DefaultParagraphFont"/>
    <w:rsid w:val="00CE6175"/>
  </w:style>
  <w:style w:type="table" w:customStyle="1" w:styleId="CV1111">
    <w:name w:val="CV1111"/>
    <w:basedOn w:val="TableNormal"/>
    <w:uiPriority w:val="39"/>
    <w:rsid w:val="0020718B"/>
    <w:pPr>
      <w:spacing w:after="0" w:line="240" w:lineRule="auto"/>
    </w:pPr>
    <w:rPr>
      <w:rFonts w:ascii="Times" w:eastAsia="Times" w:hAnsi="Times" w:cs="Times"/>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uiPriority w:val="39"/>
    <w:rsid w:val="0020718B"/>
    <w:pPr>
      <w:spacing w:after="0" w:line="240" w:lineRule="auto"/>
    </w:pPr>
    <w:rPr>
      <w:rFonts w:ascii="Times" w:eastAsia="Times" w:hAnsi="Times" w:cs="Times"/>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16211D"/>
  </w:style>
  <w:style w:type="table" w:customStyle="1" w:styleId="12uCharChar13">
    <w:name w:val="12u Char Char13"/>
    <w:basedOn w:val="TableNormal"/>
    <w:next w:val="TableGrid"/>
    <w:uiPriority w:val="39"/>
    <w:qFormat/>
    <w:rsid w:val="00EE291E"/>
    <w:pPr>
      <w:spacing w:after="0" w:line="240" w:lineRule="auto"/>
    </w:pPr>
    <w:rPr>
      <w:rFonts w:ascii="Arial MT Std Light" w:eastAsia="Times" w:hAnsi="Arial MT Std Light" w:cs="Times"/>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12uCharChar14">
    <w:name w:val="12u Char Char14"/>
    <w:basedOn w:val="TableNormal"/>
    <w:next w:val="TableGrid"/>
    <w:uiPriority w:val="39"/>
    <w:qFormat/>
    <w:rsid w:val="00C76CAC"/>
    <w:pPr>
      <w:spacing w:after="0" w:line="240" w:lineRule="auto"/>
    </w:pPr>
    <w:rPr>
      <w:rFonts w:ascii="Arial MT Std Light" w:eastAsia="Times" w:hAnsi="Arial MT Std Light" w:cs="Times"/>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StyleAAA">
    <w:name w:val="StyleAAA"/>
    <w:basedOn w:val="ListParagraph"/>
    <w:link w:val="StyleAAAChar"/>
    <w:qFormat/>
    <w:rsid w:val="00DA6C04"/>
    <w:pPr>
      <w:spacing w:after="160" w:line="259" w:lineRule="auto"/>
      <w:ind w:left="360" w:hanging="360"/>
    </w:pPr>
    <w:rPr>
      <w:rFonts w:eastAsia="Calibri"/>
      <w:b/>
      <w:smallCaps/>
      <w:lang w:val="en-IE"/>
    </w:rPr>
  </w:style>
  <w:style w:type="paragraph" w:customStyle="1" w:styleId="StyleBBB">
    <w:name w:val="StyleBBB"/>
    <w:basedOn w:val="ListParagraph"/>
    <w:link w:val="StyleBBBChar"/>
    <w:qFormat/>
    <w:rsid w:val="00EC10AA"/>
    <w:pPr>
      <w:numPr>
        <w:ilvl w:val="1"/>
        <w:numId w:val="32"/>
      </w:numPr>
      <w:spacing w:after="160" w:line="259" w:lineRule="auto"/>
    </w:pPr>
    <w:rPr>
      <w:rFonts w:eastAsia="Calibri"/>
      <w:b/>
      <w:bCs/>
      <w:lang w:val="en-IE"/>
    </w:rPr>
  </w:style>
  <w:style w:type="character" w:customStyle="1" w:styleId="StyleAAAChar">
    <w:name w:val="StyleAAA Char"/>
    <w:basedOn w:val="ListParagraphChar"/>
    <w:link w:val="StyleAAA"/>
    <w:rsid w:val="00EC10AA"/>
    <w:rPr>
      <w:rFonts w:ascii="Times New Roman" w:eastAsia="Calibri" w:hAnsi="Times New Roman" w:cs="Times New Roman"/>
      <w:b/>
      <w:smallCaps/>
      <w:sz w:val="24"/>
      <w:szCs w:val="24"/>
      <w:lang w:val="en-IE" w:eastAsia="en-GB"/>
    </w:rPr>
  </w:style>
  <w:style w:type="paragraph" w:customStyle="1" w:styleId="StyleCCC">
    <w:name w:val="StyleCCC"/>
    <w:basedOn w:val="ListParagraph"/>
    <w:link w:val="StyleCCCChar"/>
    <w:qFormat/>
    <w:rsid w:val="00EC10AA"/>
    <w:pPr>
      <w:numPr>
        <w:ilvl w:val="2"/>
        <w:numId w:val="32"/>
      </w:numPr>
      <w:spacing w:after="160" w:line="259" w:lineRule="auto"/>
    </w:pPr>
    <w:rPr>
      <w:rFonts w:eastAsia="Calibri"/>
      <w:b/>
      <w:bCs/>
      <w:i/>
      <w:iCs/>
      <w:lang w:val="en-IE"/>
    </w:rPr>
  </w:style>
  <w:style w:type="character" w:customStyle="1" w:styleId="StyleBBBChar">
    <w:name w:val="StyleBBB Char"/>
    <w:basedOn w:val="ListParagraphChar"/>
    <w:link w:val="StyleBBB"/>
    <w:rsid w:val="00EC10AA"/>
    <w:rPr>
      <w:rFonts w:ascii="Times" w:eastAsia="Calibri" w:hAnsi="Times" w:cs="Times"/>
      <w:b/>
      <w:bCs/>
      <w:sz w:val="24"/>
      <w:szCs w:val="24"/>
      <w:lang w:val="en-IE" w:eastAsia="en-GB"/>
    </w:rPr>
  </w:style>
  <w:style w:type="character" w:customStyle="1" w:styleId="StyleCCCChar">
    <w:name w:val="StyleCCC Char"/>
    <w:basedOn w:val="ListParagraphChar"/>
    <w:link w:val="StyleCCC"/>
    <w:rsid w:val="00EC10AA"/>
    <w:rPr>
      <w:rFonts w:ascii="Times" w:eastAsia="Calibri" w:hAnsi="Times" w:cs="Times"/>
      <w:b/>
      <w:bCs/>
      <w:i/>
      <w:iCs/>
      <w:sz w:val="24"/>
      <w:szCs w:val="24"/>
      <w:lang w:val="en-IE" w:eastAsia="en-GB"/>
    </w:rPr>
  </w:style>
  <w:style w:type="paragraph" w:customStyle="1" w:styleId="Style111">
    <w:name w:val="Style111"/>
    <w:basedOn w:val="StyleAAA"/>
    <w:link w:val="Style111Char"/>
    <w:qFormat/>
    <w:rsid w:val="00051A49"/>
    <w:pPr>
      <w:ind w:left="0" w:firstLine="0"/>
    </w:pPr>
  </w:style>
  <w:style w:type="paragraph" w:customStyle="1" w:styleId="Style222">
    <w:name w:val="Style222"/>
    <w:basedOn w:val="Style111"/>
    <w:link w:val="Style222Char"/>
    <w:qFormat/>
    <w:rsid w:val="00051A49"/>
    <w:rPr>
      <w:smallCaps w:val="0"/>
    </w:rPr>
  </w:style>
  <w:style w:type="character" w:customStyle="1" w:styleId="Style111Char">
    <w:name w:val="Style111 Char"/>
    <w:basedOn w:val="StyleAAAChar"/>
    <w:link w:val="Style111"/>
    <w:rsid w:val="00051A49"/>
    <w:rPr>
      <w:rFonts w:ascii="Times" w:eastAsia="Calibri" w:hAnsi="Times" w:cs="Times"/>
      <w:b/>
      <w:smallCaps/>
      <w:sz w:val="24"/>
      <w:szCs w:val="24"/>
      <w:lang w:val="en-IE" w:eastAsia="en-GB"/>
    </w:rPr>
  </w:style>
  <w:style w:type="paragraph" w:customStyle="1" w:styleId="Style333">
    <w:name w:val="Style333"/>
    <w:basedOn w:val="Style222"/>
    <w:link w:val="Style333Char"/>
    <w:qFormat/>
    <w:rsid w:val="00051A49"/>
    <w:pPr>
      <w:jc w:val="both"/>
    </w:pPr>
    <w:rPr>
      <w:i/>
      <w:iCs/>
    </w:rPr>
  </w:style>
  <w:style w:type="character" w:customStyle="1" w:styleId="Style222Char">
    <w:name w:val="Style222 Char"/>
    <w:basedOn w:val="Style111Char"/>
    <w:link w:val="Style222"/>
    <w:rsid w:val="00051A49"/>
    <w:rPr>
      <w:rFonts w:ascii="Times" w:eastAsia="Calibri" w:hAnsi="Times" w:cs="Times"/>
      <w:b/>
      <w:smallCaps w:val="0"/>
      <w:sz w:val="24"/>
      <w:szCs w:val="24"/>
      <w:lang w:val="en-IE" w:eastAsia="en-GB"/>
    </w:rPr>
  </w:style>
  <w:style w:type="character" w:customStyle="1" w:styleId="tabchar">
    <w:name w:val="tabchar"/>
    <w:basedOn w:val="DefaultParagraphFont"/>
    <w:rsid w:val="00BD171E"/>
  </w:style>
  <w:style w:type="character" w:customStyle="1" w:styleId="Style333Char">
    <w:name w:val="Style333 Char"/>
    <w:basedOn w:val="Style222Char"/>
    <w:link w:val="Style333"/>
    <w:rsid w:val="00051A49"/>
    <w:rPr>
      <w:rFonts w:ascii="Times" w:eastAsia="Calibri" w:hAnsi="Times" w:cs="Times"/>
      <w:b/>
      <w:i/>
      <w:iCs/>
      <w:smallCaps w:val="0"/>
      <w:sz w:val="24"/>
      <w:szCs w:val="24"/>
      <w:lang w:val="en-IE" w:eastAsia="en-GB"/>
    </w:rPr>
  </w:style>
  <w:style w:type="paragraph" w:customStyle="1" w:styleId="Normal2">
    <w:name w:val="Normal2"/>
    <w:basedOn w:val="Normal"/>
    <w:rsid w:val="00A0474B"/>
    <w:pPr>
      <w:spacing w:before="100" w:beforeAutospacing="1" w:after="100" w:afterAutospacing="1" w:line="240" w:lineRule="auto"/>
    </w:pPr>
    <w:rPr>
      <w:rFonts w:ascii="Times" w:eastAsia="Times" w:hAnsi="Times" w:cs="Times"/>
      <w:sz w:val="24"/>
      <w:szCs w:val="24"/>
      <w:lang w:val="en-IE" w:eastAsia="en-IE"/>
    </w:rPr>
  </w:style>
  <w:style w:type="character" w:customStyle="1" w:styleId="Hyperlink1">
    <w:name w:val="Hyperlink1"/>
    <w:basedOn w:val="DefaultParagraphFont"/>
    <w:uiPriority w:val="99"/>
    <w:qFormat/>
    <w:rsid w:val="00A0474B"/>
  </w:style>
  <w:style w:type="paragraph" w:customStyle="1" w:styleId="Annex111">
    <w:name w:val="Annex 111"/>
    <w:basedOn w:val="Style111"/>
    <w:link w:val="Annex111Char"/>
    <w:qFormat/>
    <w:rsid w:val="0062369A"/>
    <w:pPr>
      <w:ind w:left="360" w:hanging="360"/>
      <w:jc w:val="center"/>
    </w:pPr>
    <w:rPr>
      <w:sz w:val="48"/>
      <w:szCs w:val="48"/>
    </w:rPr>
  </w:style>
  <w:style w:type="paragraph" w:customStyle="1" w:styleId="Annex222">
    <w:name w:val="Annex 222"/>
    <w:basedOn w:val="Style222"/>
    <w:link w:val="Annex222Char"/>
    <w:qFormat/>
    <w:rsid w:val="0062369A"/>
    <w:pPr>
      <w:spacing w:after="200" w:line="240" w:lineRule="auto"/>
      <w:jc w:val="center"/>
    </w:pPr>
    <w:rPr>
      <w:sz w:val="32"/>
      <w:szCs w:val="32"/>
    </w:rPr>
  </w:style>
  <w:style w:type="character" w:customStyle="1" w:styleId="Annex111Char">
    <w:name w:val="Annex 111 Char"/>
    <w:basedOn w:val="Style111Char"/>
    <w:link w:val="Annex111"/>
    <w:rsid w:val="0062369A"/>
    <w:rPr>
      <w:rFonts w:ascii="Times" w:eastAsia="Calibri" w:hAnsi="Times" w:cs="Times"/>
      <w:b/>
      <w:smallCaps/>
      <w:sz w:val="48"/>
      <w:szCs w:val="48"/>
      <w:lang w:val="en-IE" w:eastAsia="en-GB"/>
    </w:rPr>
  </w:style>
  <w:style w:type="character" w:customStyle="1" w:styleId="Annex222Char">
    <w:name w:val="Annex 222 Char"/>
    <w:basedOn w:val="Style222Char"/>
    <w:link w:val="Annex222"/>
    <w:rsid w:val="0062369A"/>
    <w:rPr>
      <w:rFonts w:ascii="Times" w:eastAsia="Calibri" w:hAnsi="Times" w:cs="Times"/>
      <w:b/>
      <w:smallCaps w:val="0"/>
      <w:sz w:val="32"/>
      <w:szCs w:val="32"/>
      <w:lang w:val="en-IE" w:eastAsia="en-GB"/>
    </w:rPr>
  </w:style>
  <w:style w:type="paragraph" w:customStyle="1" w:styleId="NumPar5">
    <w:name w:val="NumPar 5"/>
    <w:basedOn w:val="Normal"/>
    <w:next w:val="Text2"/>
    <w:rsid w:val="001F5FEA"/>
    <w:pPr>
      <w:tabs>
        <w:tab w:val="num" w:pos="1486"/>
      </w:tabs>
      <w:spacing w:before="120" w:after="120" w:line="240" w:lineRule="auto"/>
      <w:ind w:left="1486" w:hanging="1417"/>
      <w:jc w:val="both"/>
    </w:pPr>
    <w:rPr>
      <w:rFonts w:ascii="Times New Roman" w:hAnsi="Times New Roman" w:cs="Times New Roman"/>
      <w:sz w:val="24"/>
    </w:rPr>
  </w:style>
  <w:style w:type="paragraph" w:customStyle="1" w:styleId="NumPar6">
    <w:name w:val="NumPar 6"/>
    <w:basedOn w:val="Normal"/>
    <w:next w:val="Text2"/>
    <w:rsid w:val="001F5FEA"/>
    <w:pPr>
      <w:tabs>
        <w:tab w:val="num" w:pos="1486"/>
      </w:tabs>
      <w:spacing w:before="120" w:after="120" w:line="240" w:lineRule="auto"/>
      <w:ind w:left="1486" w:hanging="1417"/>
      <w:jc w:val="both"/>
    </w:pPr>
    <w:rPr>
      <w:rFonts w:ascii="Times New Roman" w:hAnsi="Times New Roman" w:cs="Times New Roman"/>
      <w:sz w:val="24"/>
    </w:rPr>
  </w:style>
  <w:style w:type="paragraph" w:customStyle="1" w:styleId="NumPar7">
    <w:name w:val="NumPar 7"/>
    <w:basedOn w:val="Normal"/>
    <w:next w:val="Text2"/>
    <w:rsid w:val="001F5FEA"/>
    <w:pPr>
      <w:tabs>
        <w:tab w:val="num" w:pos="1486"/>
      </w:tabs>
      <w:spacing w:before="120" w:after="120" w:line="240" w:lineRule="auto"/>
      <w:ind w:left="1486" w:hanging="1417"/>
      <w:jc w:val="both"/>
    </w:pPr>
    <w:rPr>
      <w:rFonts w:ascii="Times New Roman" w:hAnsi="Times New Roman" w:cs="Times New Roman"/>
      <w:sz w:val="24"/>
    </w:rPr>
  </w:style>
  <w:style w:type="paragraph" w:customStyle="1" w:styleId="Considrant">
    <w:name w:val="Considérant"/>
    <w:basedOn w:val="Normal"/>
    <w:rsid w:val="00820A0C"/>
    <w:pPr>
      <w:numPr>
        <w:numId w:val="43"/>
      </w:numPr>
      <w:spacing w:before="120" w:after="120" w:line="240" w:lineRule="auto"/>
      <w:jc w:val="both"/>
    </w:pPr>
    <w:rPr>
      <w:rFonts w:ascii="Times New Roman" w:hAnsi="Times New Roman" w:cs="Times New Roman"/>
      <w:sz w:val="24"/>
    </w:rPr>
  </w:style>
  <w:style w:type="paragraph" w:customStyle="1" w:styleId="Style000">
    <w:name w:val="Style000"/>
    <w:basedOn w:val="Normal"/>
    <w:link w:val="Style000Char"/>
    <w:qFormat/>
    <w:rsid w:val="00AE2650"/>
    <w:pPr>
      <w:spacing w:after="160" w:line="240" w:lineRule="auto"/>
      <w:jc w:val="both"/>
    </w:pPr>
    <w:rPr>
      <w:rFonts w:ascii="Times" w:eastAsia="Symbol" w:hAnsi="Times" w:cs="Times"/>
      <w:lang w:val="en-IE"/>
    </w:rPr>
  </w:style>
  <w:style w:type="character" w:customStyle="1" w:styleId="Style000Char">
    <w:name w:val="Style000 Char"/>
    <w:basedOn w:val="DefaultParagraphFont"/>
    <w:link w:val="Style000"/>
    <w:rsid w:val="00AE2650"/>
    <w:rPr>
      <w:rFonts w:ascii="Times" w:eastAsia="Symbol" w:hAnsi="Times" w:cs="Times"/>
      <w:lang w:val="en-IE"/>
    </w:rPr>
  </w:style>
  <w:style w:type="paragraph" w:customStyle="1" w:styleId="FigureSource4">
    <w:name w:val="Figure Source 4"/>
    <w:basedOn w:val="Text4"/>
    <w:next w:val="Text4"/>
    <w:uiPriority w:val="2"/>
    <w:rsid w:val="00F42F29"/>
    <w:pPr>
      <w:tabs>
        <w:tab w:val="clear" w:pos="2302"/>
      </w:tabs>
      <w:ind w:left="2880"/>
    </w:pPr>
    <w:rPr>
      <w:rFonts w:ascii="Times New Roman" w:eastAsia="Times New Roman" w:hAnsi="Times New Roman" w:cs="Times New Roman"/>
      <w:sz w:val="20"/>
      <w:lang w:val="en-GB" w:eastAsia="en-IE"/>
    </w:rPr>
  </w:style>
  <w:style w:type="table" w:customStyle="1" w:styleId="12uCharChar15">
    <w:name w:val="12u Char Char15"/>
    <w:basedOn w:val="TableNormal"/>
    <w:next w:val="TableGrid"/>
    <w:uiPriority w:val="39"/>
    <w:qFormat/>
    <w:rsid w:val="00B632A7"/>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12uCharChar16">
    <w:name w:val="12u Char Char16"/>
    <w:basedOn w:val="TableNormal"/>
    <w:next w:val="TableGrid"/>
    <w:uiPriority w:val="39"/>
    <w:qFormat/>
    <w:rsid w:val="006405AA"/>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Deloitte14">
    <w:name w:val="Deloitte14"/>
    <w:basedOn w:val="TableNormal"/>
    <w:rsid w:val="00840B3E"/>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
    <w:name w:val="Char Char Char1"/>
    <w:basedOn w:val="Normal"/>
    <w:uiPriority w:val="99"/>
    <w:rsid w:val="00C456B9"/>
    <w:pPr>
      <w:spacing w:after="160" w:line="240" w:lineRule="exact"/>
      <w:jc w:val="both"/>
    </w:pPr>
    <w:rPr>
      <w:rFonts w:ascii="Times New Roman" w:eastAsia="Times New Roman" w:hAnsi="Times New Roman" w:cs="Times New Roman"/>
      <w:sz w:val="20"/>
      <w:szCs w:val="20"/>
      <w:vertAlign w:val="superscript"/>
      <w:lang w:eastAsia="en-GB"/>
    </w:rPr>
  </w:style>
  <w:style w:type="paragraph" w:customStyle="1" w:styleId="1levelonetitle">
    <w:name w:val="1. level one title"/>
    <w:basedOn w:val="Style111"/>
    <w:link w:val="1levelonetitleChar"/>
    <w:qFormat/>
    <w:rsid w:val="009F5041"/>
    <w:pPr>
      <w:keepNext/>
      <w:numPr>
        <w:numId w:val="73"/>
      </w:numPr>
      <w:spacing w:before="240" w:after="240" w:line="240" w:lineRule="auto"/>
      <w:contextualSpacing w:val="0"/>
      <w:jc w:val="both"/>
      <w:outlineLvl w:val="0"/>
    </w:pPr>
    <w:rPr>
      <w:rFonts w:ascii="Times New Roman" w:hAnsi="Times New Roman" w:cs="Times New Roman"/>
    </w:rPr>
  </w:style>
  <w:style w:type="paragraph" w:customStyle="1" w:styleId="11Subsection">
    <w:name w:val="1.1 Sub section"/>
    <w:basedOn w:val="Style222"/>
    <w:next w:val="Normal"/>
    <w:link w:val="11SubsectionChar"/>
    <w:qFormat/>
    <w:rsid w:val="00582553"/>
    <w:pPr>
      <w:keepNext/>
      <w:numPr>
        <w:ilvl w:val="1"/>
        <w:numId w:val="73"/>
      </w:numPr>
      <w:spacing w:line="240" w:lineRule="auto"/>
      <w:ind w:left="1452" w:hanging="431"/>
      <w:contextualSpacing w:val="0"/>
      <w:outlineLvl w:val="1"/>
    </w:pPr>
    <w:rPr>
      <w:rFonts w:ascii="Times New Roman" w:hAnsi="Times New Roman"/>
      <w:u w:val="single"/>
    </w:rPr>
  </w:style>
  <w:style w:type="character" w:customStyle="1" w:styleId="1levelonetitleChar">
    <w:name w:val="1. level one title Char"/>
    <w:basedOn w:val="Style111Char"/>
    <w:link w:val="1levelonetitle"/>
    <w:rsid w:val="009F5041"/>
    <w:rPr>
      <w:rFonts w:ascii="Times New Roman" w:eastAsia="Calibri" w:hAnsi="Times New Roman" w:cs="Times New Roman"/>
      <w:b/>
      <w:smallCaps/>
      <w:sz w:val="24"/>
      <w:szCs w:val="24"/>
      <w:lang w:val="en-IE" w:eastAsia="en-GB"/>
    </w:rPr>
  </w:style>
  <w:style w:type="paragraph" w:customStyle="1" w:styleId="111level3title">
    <w:name w:val="1.1.1 level 3 title"/>
    <w:basedOn w:val="Style333"/>
    <w:next w:val="Normal"/>
    <w:link w:val="111level3titleChar"/>
    <w:qFormat/>
    <w:rsid w:val="000D5F74"/>
    <w:pPr>
      <w:keepNext/>
      <w:numPr>
        <w:ilvl w:val="2"/>
        <w:numId w:val="73"/>
      </w:numPr>
      <w:contextualSpacing w:val="0"/>
      <w:outlineLvl w:val="2"/>
    </w:pPr>
    <w:rPr>
      <w:rFonts w:ascii="Times New Roman" w:hAnsi="Times New Roman"/>
      <w:i w:val="0"/>
      <w:iCs w:val="0"/>
    </w:rPr>
  </w:style>
  <w:style w:type="character" w:customStyle="1" w:styleId="11SubsectionChar">
    <w:name w:val="1.1 Sub section Char"/>
    <w:basedOn w:val="Style222Char"/>
    <w:link w:val="11Subsection"/>
    <w:rsid w:val="00582553"/>
    <w:rPr>
      <w:rFonts w:ascii="Times New Roman" w:eastAsia="Calibri" w:hAnsi="Times New Roman" w:cs="Times"/>
      <w:b/>
      <w:smallCaps w:val="0"/>
      <w:sz w:val="24"/>
      <w:szCs w:val="24"/>
      <w:u w:val="single"/>
      <w:lang w:val="en-IE" w:eastAsia="en-GB"/>
    </w:rPr>
  </w:style>
  <w:style w:type="paragraph" w:customStyle="1" w:styleId="1111level4section">
    <w:name w:val="1.1.1.1 level 4 section"/>
    <w:basedOn w:val="Style333"/>
    <w:link w:val="1111level4sectionChar"/>
    <w:qFormat/>
    <w:rsid w:val="00175026"/>
    <w:pPr>
      <w:keepNext/>
      <w:numPr>
        <w:ilvl w:val="3"/>
        <w:numId w:val="73"/>
      </w:numPr>
      <w:spacing w:before="240" w:after="240"/>
      <w:contextualSpacing w:val="0"/>
      <w:outlineLvl w:val="3"/>
    </w:pPr>
    <w:rPr>
      <w:rFonts w:ascii="Times New Roman" w:hAnsi="Times New Roman"/>
      <w:b w:val="0"/>
      <w:bCs/>
      <w:u w:val="single"/>
    </w:rPr>
  </w:style>
  <w:style w:type="character" w:customStyle="1" w:styleId="111level3titleChar">
    <w:name w:val="1.1.1 level 3 title Char"/>
    <w:basedOn w:val="Style333Char"/>
    <w:link w:val="111level3title"/>
    <w:rsid w:val="0051366E"/>
    <w:rPr>
      <w:rFonts w:ascii="Times New Roman" w:eastAsia="Calibri" w:hAnsi="Times New Roman" w:cs="Times"/>
      <w:b/>
      <w:i w:val="0"/>
      <w:iCs w:val="0"/>
      <w:smallCaps w:val="0"/>
      <w:sz w:val="24"/>
      <w:szCs w:val="24"/>
      <w:lang w:val="en-IE" w:eastAsia="en-GB"/>
    </w:rPr>
  </w:style>
  <w:style w:type="paragraph" w:customStyle="1" w:styleId="11111Level5style">
    <w:name w:val="1.1.1.1.1 Level 5 style"/>
    <w:basedOn w:val="Style333"/>
    <w:next w:val="Normal"/>
    <w:link w:val="11111Level5styleChar"/>
    <w:qFormat/>
    <w:rsid w:val="00A12621"/>
    <w:pPr>
      <w:keepNext/>
      <w:spacing w:before="240"/>
      <w:contextualSpacing w:val="0"/>
      <w:outlineLvl w:val="4"/>
    </w:pPr>
    <w:rPr>
      <w:rFonts w:ascii="Times New Roman" w:eastAsia="Times" w:hAnsi="Times New Roman" w:cs="Times New Roman"/>
      <w:b w:val="0"/>
      <w:bCs/>
    </w:rPr>
  </w:style>
  <w:style w:type="character" w:customStyle="1" w:styleId="1111level4sectionChar">
    <w:name w:val="1.1.1.1 level 4 section Char"/>
    <w:basedOn w:val="Style333Char"/>
    <w:link w:val="1111level4section"/>
    <w:rsid w:val="00175026"/>
    <w:rPr>
      <w:rFonts w:ascii="Times New Roman" w:eastAsia="Calibri" w:hAnsi="Times New Roman" w:cs="Times"/>
      <w:b w:val="0"/>
      <w:bCs/>
      <w:i/>
      <w:iCs/>
      <w:smallCaps w:val="0"/>
      <w:sz w:val="24"/>
      <w:szCs w:val="24"/>
      <w:u w:val="single"/>
      <w:lang w:val="en-IE" w:eastAsia="en-GB"/>
    </w:rPr>
  </w:style>
  <w:style w:type="character" w:customStyle="1" w:styleId="11111Level5styleChar">
    <w:name w:val="1.1.1.1.1 Level 5 style Char"/>
    <w:basedOn w:val="Style333Char"/>
    <w:link w:val="11111Level5style"/>
    <w:rsid w:val="00AB21CC"/>
    <w:rPr>
      <w:rFonts w:ascii="Times New Roman" w:eastAsia="Times" w:hAnsi="Times New Roman" w:cs="Times New Roman"/>
      <w:b w:val="0"/>
      <w:bCs/>
      <w:i/>
      <w:iCs/>
      <w:smallCaps w:val="0"/>
      <w:sz w:val="24"/>
      <w:szCs w:val="24"/>
      <w:lang w:val="en-IE" w:eastAsia="en-GB"/>
    </w:rPr>
  </w:style>
  <w:style w:type="table" w:customStyle="1" w:styleId="TableGrid22">
    <w:name w:val="Table Grid22"/>
    <w:basedOn w:val="TableNormal"/>
    <w:next w:val="TableGrid"/>
    <w:uiPriority w:val="39"/>
    <w:rsid w:val="00F25913"/>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4701E6"/>
    <w:pPr>
      <w:spacing w:after="0" w:line="240" w:lineRule="auto"/>
    </w:pPr>
    <w:rPr>
      <w:lang w:val="en-I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4701E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2">
    <w:name w:val="Grid Table 4 - Accent 12"/>
    <w:basedOn w:val="TableNormal"/>
    <w:next w:val="GridTable4-Accent1"/>
    <w:uiPriority w:val="49"/>
    <w:rsid w:val="00F107AD"/>
    <w:pPr>
      <w:spacing w:after="0" w:line="240" w:lineRule="auto"/>
    </w:pPr>
    <w:rPr>
      <w:lang w:val="en-I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60">
    <w:name w:val="Table Grid6"/>
    <w:basedOn w:val="TableNormal"/>
    <w:next w:val="TableGrid"/>
    <w:uiPriority w:val="39"/>
    <w:rsid w:val="00024970"/>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35AF7"/>
  </w:style>
  <w:style w:type="table" w:customStyle="1" w:styleId="ColorfulGrid-Accent31">
    <w:name w:val="Colorful Grid - Accent 31"/>
    <w:basedOn w:val="TableNormal"/>
    <w:next w:val="ColorfulGrid-Accent3"/>
    <w:uiPriority w:val="69"/>
    <w:rsid w:val="00435AF7"/>
    <w:pPr>
      <w:spacing w:after="0" w:line="240" w:lineRule="auto"/>
    </w:pPr>
    <w:rPr>
      <w:rFonts w:ascii="Verdana" w:eastAsia="Times New Roman" w:hAnsi="Verdana" w:cs="Times New Roman"/>
      <w:sz w:val="18"/>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uCharChar17">
    <w:name w:val="12u Char Char17"/>
    <w:basedOn w:val="TableNormal"/>
    <w:next w:val="TableGrid"/>
    <w:uiPriority w:val="39"/>
    <w:qFormat/>
    <w:rsid w:val="00435AF7"/>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tyle11">
    <w:name w:val="Style11"/>
    <w:basedOn w:val="TableNormal"/>
    <w:rsid w:val="00435AF7"/>
    <w:pPr>
      <w:spacing w:after="0" w:line="240" w:lineRule="auto"/>
    </w:pPr>
    <w:rPr>
      <w:rFonts w:ascii="Times New Roman" w:eastAsia="Times New Roman" w:hAnsi="Times New Roman" w:cs="Times New Roman"/>
      <w:sz w:val="20"/>
      <w:szCs w:val="20"/>
      <w:lang w:val="nl-BE" w:eastAsia="nl-BE"/>
    </w:rPr>
    <w:tblPr/>
  </w:style>
  <w:style w:type="table" w:customStyle="1" w:styleId="TableElegant1">
    <w:name w:val="Table Elegant1"/>
    <w:basedOn w:val="TableNormal"/>
    <w:next w:val="TableElegant"/>
    <w:rsid w:val="00435AF7"/>
    <w:pPr>
      <w:spacing w:after="240" w:line="240" w:lineRule="auto"/>
      <w:jc w:val="both"/>
    </w:pPr>
    <w:rPr>
      <w:rFonts w:ascii="Times New Roman" w:eastAsia="Times New Roman" w:hAnsi="Times New Roman" w:cs="Times New Roman"/>
      <w:sz w:val="20"/>
      <w:szCs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435AF7"/>
    <w:pPr>
      <w:spacing w:after="240" w:line="240" w:lineRule="auto"/>
      <w:jc w:val="both"/>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ustom4">
    <w:name w:val="Table Custom4"/>
    <w:basedOn w:val="TableNormal"/>
    <w:uiPriority w:val="99"/>
    <w:rsid w:val="00435AF7"/>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F5C3B9"/>
        <w:insideV w:val="single" w:sz="4" w:space="0" w:color="F5C3B9"/>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numbering" w:customStyle="1" w:styleId="Headings1">
    <w:name w:val="Headings1"/>
    <w:rsid w:val="00A37D74"/>
  </w:style>
  <w:style w:type="paragraph" w:customStyle="1" w:styleId="Bibliography2">
    <w:name w:val="Bibliography2"/>
    <w:basedOn w:val="Normal"/>
    <w:next w:val="Normal"/>
    <w:uiPriority w:val="40"/>
    <w:unhideWhenUsed/>
    <w:rsid w:val="00435AF7"/>
    <w:pPr>
      <w:spacing w:after="120" w:line="260" w:lineRule="exact"/>
      <w:jc w:val="both"/>
    </w:pPr>
    <w:rPr>
      <w:rFonts w:ascii="Arial" w:eastAsia="MS PGothic" w:hAnsi="Arial"/>
      <w:sz w:val="20"/>
      <w:szCs w:val="24"/>
    </w:rPr>
  </w:style>
  <w:style w:type="table" w:customStyle="1" w:styleId="Table1-PSPbrand2">
    <w:name w:val="Table 1 - PSP brand2"/>
    <w:basedOn w:val="TableNormal"/>
    <w:rsid w:val="00435AF7"/>
    <w:pPr>
      <w:spacing w:after="0" w:line="240" w:lineRule="auto"/>
    </w:pPr>
    <w:rPr>
      <w:rFonts w:ascii="Calibri" w:eastAsia="Calibri" w:hAnsi="Calibri" w:cs="Times New Roman"/>
      <w:sz w:val="24"/>
      <w:lang w:val="nl-NL" w:eastAsia="en-GB"/>
    </w:rPr>
    <w:tblPr>
      <w:tblStyleRowBandSize w:val="1"/>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cPr>
      <w:shd w:val="clear" w:color="auto" w:fill="FFFFFF"/>
    </w:tcPr>
    <w:tblStylePr w:type="firstRow">
      <w:rPr>
        <w:b/>
        <w:color w:val="E76C53"/>
      </w:rPr>
      <w:tblPr/>
      <w:tcPr>
        <w:shd w:val="clear" w:color="auto" w:fill="000000"/>
      </w:tcPr>
    </w:tblStylePr>
    <w:tblStylePr w:type="band2Horz">
      <w:tblPr/>
      <w:tcPr>
        <w:shd w:val="clear" w:color="auto" w:fill="DDD9C3"/>
      </w:tcPr>
    </w:tblStylePr>
  </w:style>
  <w:style w:type="table" w:customStyle="1" w:styleId="MainEUtablestyle-Alternative2">
    <w:name w:val="Main EU table style - Alternative2"/>
    <w:basedOn w:val="TableNormal"/>
    <w:uiPriority w:val="99"/>
    <w:rsid w:val="00435AF7"/>
    <w:pPr>
      <w:spacing w:after="120"/>
      <w:jc w:val="both"/>
    </w:pPr>
    <w:rPr>
      <w:rFonts w:ascii="Arial" w:eastAsia="Calibri" w:hAnsi="Arial" w:cs="Times New Roman"/>
      <w:sz w:val="18"/>
      <w:szCs w:val="20"/>
    </w:rPr>
    <w:tblPr>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E76C53"/>
      </w:tcPr>
    </w:tblStylePr>
  </w:style>
  <w:style w:type="table" w:customStyle="1" w:styleId="MediumShading1-Accent53">
    <w:name w:val="Medium Shading 1 - Accent 53"/>
    <w:basedOn w:val="TableNormal"/>
    <w:next w:val="MediumShading1-Accent5"/>
    <w:uiPriority w:val="63"/>
    <w:rsid w:val="00435AF7"/>
    <w:pPr>
      <w:spacing w:after="0" w:line="240" w:lineRule="auto"/>
    </w:pPr>
    <w:rPr>
      <w:rFonts w:ascii="Times New Roman" w:eastAsia="Calibri" w:hAnsi="Times New Roman" w:cs="Times New Roman"/>
      <w:sz w:val="20"/>
      <w:szCs w:val="20"/>
      <w:lang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ListTable4122">
    <w:name w:val="List Table 4122"/>
    <w:basedOn w:val="TableNormal"/>
    <w:uiPriority w:val="49"/>
    <w:rsid w:val="00435AF7"/>
    <w:pPr>
      <w:spacing w:after="0" w:line="240" w:lineRule="auto"/>
    </w:pPr>
    <w:rPr>
      <w:rFonts w:ascii="Calibri" w:eastAsia="MS PGothic" w:hAnsi="Calibri"/>
      <w:sz w:val="24"/>
    </w:rPr>
    <w:tblPr>
      <w:tblStyleRowBandSize w:val="1"/>
      <w:tblStyleColBandSize w:val="1"/>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CoffeyTable13">
    <w:name w:val="Coffey Table 13"/>
    <w:basedOn w:val="TableGrid"/>
    <w:uiPriority w:val="99"/>
    <w:rsid w:val="00A37D74"/>
    <w:rPr>
      <w:rFonts w:ascii="Arial" w:eastAsia="Times New Roman" w:hAnsi="Arial" w:cs="Times New Roman"/>
      <w:sz w:val="18"/>
    </w:rPr>
    <w:tblPr/>
    <w:tcPr>
      <w:shd w:val="clear" w:color="auto" w:fill="FFFFFF"/>
    </w:tcPr>
    <w:tblStylePr w:type="firstRow">
      <w:pPr>
        <w:jc w:val="left"/>
      </w:pPr>
      <w:rPr>
        <w:rFonts w:ascii="Arial" w:hAnsi="Arial"/>
        <w:color w:val="FFFFFF"/>
        <w:sz w:val="20"/>
      </w:rPr>
      <w:tblPr/>
      <w:tcPr>
        <w:shd w:val="clear" w:color="auto" w:fill="FFC000"/>
      </w:tcPr>
    </w:tblStylePr>
  </w:style>
  <w:style w:type="table" w:customStyle="1" w:styleId="TableGrid12">
    <w:name w:val="Table Grid12"/>
    <w:basedOn w:val="TableNormal"/>
    <w:next w:val="TableGrid"/>
    <w:rsid w:val="00435AF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435AF7"/>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512">
    <w:name w:val="Colorful Grid - Accent 512"/>
    <w:basedOn w:val="TableNormal"/>
    <w:next w:val="ColorfulGrid-Accent5"/>
    <w:uiPriority w:val="73"/>
    <w:rsid w:val="00435AF7"/>
    <w:pPr>
      <w:spacing w:after="0" w:line="240" w:lineRule="auto"/>
    </w:pPr>
    <w:rPr>
      <w:rFonts w:ascii="Times New Roman" w:eastAsia="Calibri" w:hAnsi="Times New Roman" w:cs="Times New Roman"/>
      <w:color w:val="000000"/>
      <w:sz w:val="20"/>
      <w:szCs w:val="20"/>
    </w:rPr>
    <w:tblPr>
      <w:tblStyleRowBandSize w:val="1"/>
      <w:tblStyleColBandSize w:val="1"/>
      <w:tblBorders>
        <w:insideH w:val="single" w:sz="4" w:space="0" w:color="FFFFFF"/>
      </w:tblBorders>
    </w:tblPr>
    <w:tcPr>
      <w:shd w:val="clear" w:color="auto" w:fill="EAEEF0"/>
    </w:tcPr>
    <w:tblStylePr w:type="firstRow">
      <w:rPr>
        <w:b/>
        <w:bCs/>
      </w:rPr>
      <w:tblPr/>
      <w:tcPr>
        <w:shd w:val="clear" w:color="auto" w:fill="D5DDE1"/>
      </w:tcPr>
    </w:tblStylePr>
    <w:tblStylePr w:type="lastRow">
      <w:rPr>
        <w:b/>
        <w:bCs/>
        <w:color w:val="000000"/>
      </w:rPr>
      <w:tblPr/>
      <w:tcPr>
        <w:shd w:val="clear" w:color="auto" w:fill="D5DDE1"/>
      </w:tcPr>
    </w:tblStylePr>
    <w:tblStylePr w:type="firstCol">
      <w:rPr>
        <w:color w:val="FFFFFF"/>
      </w:rPr>
      <w:tblPr/>
      <w:tcPr>
        <w:shd w:val="clear" w:color="auto" w:fill="678292"/>
      </w:tcPr>
    </w:tblStylePr>
    <w:tblStylePr w:type="lastCol">
      <w:rPr>
        <w:color w:val="FFFFFF"/>
      </w:rPr>
      <w:tblPr/>
      <w:tcPr>
        <w:shd w:val="clear" w:color="auto" w:fill="678292"/>
      </w:tcPr>
    </w:tblStylePr>
    <w:tblStylePr w:type="band1Vert">
      <w:tblPr/>
      <w:tcPr>
        <w:shd w:val="clear" w:color="auto" w:fill="CBD5DA"/>
      </w:tcPr>
    </w:tblStylePr>
    <w:tblStylePr w:type="band1Horz">
      <w:tblPr/>
      <w:tcPr>
        <w:shd w:val="clear" w:color="auto" w:fill="CBD5DA"/>
      </w:tcPr>
    </w:tblStylePr>
  </w:style>
  <w:style w:type="table" w:customStyle="1" w:styleId="MediumGrid1-Accent512">
    <w:name w:val="Medium Grid 1 - Accent 512"/>
    <w:basedOn w:val="TableNormal"/>
    <w:next w:val="MediumGrid1-Accent5"/>
    <w:uiPriority w:val="67"/>
    <w:rsid w:val="00435AF7"/>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insideV w:val="single" w:sz="8" w:space="0" w:color="B1C0C8"/>
      </w:tblBorders>
    </w:tblPr>
    <w:tcPr>
      <w:shd w:val="clear" w:color="auto" w:fill="E5EAED"/>
    </w:tcPr>
    <w:tblStylePr w:type="firstRow">
      <w:rPr>
        <w:b/>
        <w:bCs/>
      </w:rPr>
    </w:tblStylePr>
    <w:tblStylePr w:type="lastRow">
      <w:rPr>
        <w:b/>
        <w:bCs/>
      </w:rPr>
      <w:tblPr/>
      <w:tcPr>
        <w:tcBorders>
          <w:top w:val="single" w:sz="18" w:space="0" w:color="B1C0C8"/>
        </w:tcBorders>
      </w:tcPr>
    </w:tblStylePr>
    <w:tblStylePr w:type="firstCol">
      <w:rPr>
        <w:b/>
        <w:bCs/>
      </w:rPr>
    </w:tblStylePr>
    <w:tblStylePr w:type="lastCol">
      <w:rPr>
        <w:b/>
        <w:bCs/>
      </w:rPr>
    </w:tblStylePr>
    <w:tblStylePr w:type="band1Vert">
      <w:tblPr/>
      <w:tcPr>
        <w:shd w:val="clear" w:color="auto" w:fill="CBD5DA"/>
      </w:tcPr>
    </w:tblStylePr>
    <w:tblStylePr w:type="band1Horz">
      <w:tblPr/>
      <w:tcPr>
        <w:shd w:val="clear" w:color="auto" w:fill="CBD5DA"/>
      </w:tcPr>
    </w:tblStylePr>
  </w:style>
  <w:style w:type="table" w:customStyle="1" w:styleId="ColorfulList12">
    <w:name w:val="Colorful List12"/>
    <w:basedOn w:val="TableNormal"/>
    <w:next w:val="ColorfulList"/>
    <w:uiPriority w:val="72"/>
    <w:rsid w:val="00435AF7"/>
    <w:pPr>
      <w:spacing w:after="0" w:line="240" w:lineRule="auto"/>
    </w:pPr>
    <w:rPr>
      <w:rFonts w:ascii="Times New Roman" w:eastAsia="Calibri" w:hAnsi="Times New Roman"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Accent112">
    <w:name w:val="Light Grid - Accent 112"/>
    <w:basedOn w:val="TableNormal"/>
    <w:next w:val="LightGrid-Accent1"/>
    <w:uiPriority w:val="62"/>
    <w:rsid w:val="00435AF7"/>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4FAA5F"/>
        <w:left w:val="single" w:sz="8" w:space="0" w:color="4FAA5F"/>
        <w:bottom w:val="single" w:sz="8" w:space="0" w:color="4FAA5F"/>
        <w:right w:val="single" w:sz="8" w:space="0" w:color="4FAA5F"/>
        <w:insideH w:val="single" w:sz="8" w:space="0" w:color="4FAA5F"/>
        <w:insideV w:val="single" w:sz="8" w:space="0" w:color="4FAA5F"/>
      </w:tblBorders>
    </w:tblPr>
    <w:tblStylePr w:type="firstRow">
      <w:pPr>
        <w:spacing w:before="0" w:after="0" w:line="240" w:lineRule="auto"/>
      </w:pPr>
      <w:rPr>
        <w:rFonts w:ascii="@Microsoft YaHei UI" w:eastAsia="SimSun" w:hAnsi="@Microsoft YaHei UI" w:cs="Times New Roman"/>
        <w:b/>
        <w:bCs/>
      </w:rPr>
      <w:tblPr/>
      <w:tcPr>
        <w:tcBorders>
          <w:top w:val="single" w:sz="8" w:space="0" w:color="4FAA5F"/>
          <w:left w:val="single" w:sz="8" w:space="0" w:color="4FAA5F"/>
          <w:bottom w:val="single" w:sz="18" w:space="0" w:color="4FAA5F"/>
          <w:right w:val="single" w:sz="8" w:space="0" w:color="4FAA5F"/>
          <w:insideH w:val="nil"/>
          <w:insideV w:val="single" w:sz="8" w:space="0" w:color="4FAA5F"/>
        </w:tcBorders>
      </w:tcPr>
    </w:tblStylePr>
    <w:tblStylePr w:type="lastRow">
      <w:pPr>
        <w:spacing w:before="0" w:after="0" w:line="240" w:lineRule="auto"/>
      </w:pPr>
      <w:rPr>
        <w:rFonts w:ascii="@Microsoft YaHei UI" w:eastAsia="SimSun" w:hAnsi="@Microsoft YaHei UI" w:cs="Times New Roman"/>
        <w:b/>
        <w:bCs/>
      </w:rPr>
      <w:tblPr/>
      <w:tcPr>
        <w:tcBorders>
          <w:top w:val="double" w:sz="6" w:space="0" w:color="4FAA5F"/>
          <w:left w:val="single" w:sz="8" w:space="0" w:color="4FAA5F"/>
          <w:bottom w:val="single" w:sz="8" w:space="0" w:color="4FAA5F"/>
          <w:right w:val="single" w:sz="8" w:space="0" w:color="4FAA5F"/>
          <w:insideH w:val="nil"/>
          <w:insideV w:val="single" w:sz="8" w:space="0" w:color="4FAA5F"/>
        </w:tcBorders>
      </w:tcPr>
    </w:tblStylePr>
    <w:tblStylePr w:type="firstCol">
      <w:rPr>
        <w:rFonts w:ascii="@Microsoft YaHei UI" w:eastAsia="SimSun" w:hAnsi="@Microsoft YaHei UI" w:cs="Times New Roman"/>
        <w:b/>
        <w:bCs/>
      </w:rPr>
    </w:tblStylePr>
    <w:tblStylePr w:type="lastCol">
      <w:rPr>
        <w:rFonts w:ascii="@Microsoft YaHei UI" w:eastAsia="SimSun" w:hAnsi="@Microsoft YaHei UI" w:cs="Times New Roman"/>
        <w:b/>
        <w:bCs/>
      </w:rPr>
      <w:tblPr/>
      <w:tcPr>
        <w:tcBorders>
          <w:top w:val="single" w:sz="8" w:space="0" w:color="4FAA5F"/>
          <w:left w:val="single" w:sz="8" w:space="0" w:color="4FAA5F"/>
          <w:bottom w:val="single" w:sz="8" w:space="0" w:color="4FAA5F"/>
          <w:right w:val="single" w:sz="8" w:space="0" w:color="4FAA5F"/>
        </w:tcBorders>
      </w:tcPr>
    </w:tblStylePr>
    <w:tblStylePr w:type="band1Vert">
      <w:tblPr/>
      <w:tcPr>
        <w:tcBorders>
          <w:top w:val="single" w:sz="8" w:space="0" w:color="4FAA5F"/>
          <w:left w:val="single" w:sz="8" w:space="0" w:color="4FAA5F"/>
          <w:bottom w:val="single" w:sz="8" w:space="0" w:color="4FAA5F"/>
          <w:right w:val="single" w:sz="8" w:space="0" w:color="4FAA5F"/>
        </w:tcBorders>
        <w:shd w:val="clear" w:color="auto" w:fill="D2EAD6"/>
      </w:tcPr>
    </w:tblStylePr>
    <w:tblStylePr w:type="band1Horz">
      <w:tblPr/>
      <w:tcPr>
        <w:tcBorders>
          <w:top w:val="single" w:sz="8" w:space="0" w:color="4FAA5F"/>
          <w:left w:val="single" w:sz="8" w:space="0" w:color="4FAA5F"/>
          <w:bottom w:val="single" w:sz="8" w:space="0" w:color="4FAA5F"/>
          <w:right w:val="single" w:sz="8" w:space="0" w:color="4FAA5F"/>
          <w:insideV w:val="single" w:sz="8" w:space="0" w:color="4FAA5F"/>
        </w:tcBorders>
        <w:shd w:val="clear" w:color="auto" w:fill="D2EAD6"/>
      </w:tcPr>
    </w:tblStylePr>
    <w:tblStylePr w:type="band2Horz">
      <w:tblPr/>
      <w:tcPr>
        <w:tcBorders>
          <w:top w:val="single" w:sz="8" w:space="0" w:color="4FAA5F"/>
          <w:left w:val="single" w:sz="8" w:space="0" w:color="4FAA5F"/>
          <w:bottom w:val="single" w:sz="8" w:space="0" w:color="4FAA5F"/>
          <w:right w:val="single" w:sz="8" w:space="0" w:color="4FAA5F"/>
          <w:insideV w:val="single" w:sz="8" w:space="0" w:color="4FAA5F"/>
        </w:tcBorders>
      </w:tcPr>
    </w:tblStylePr>
  </w:style>
  <w:style w:type="table" w:customStyle="1" w:styleId="MediumShading1-Accent112">
    <w:name w:val="Medium Shading 1 - Accent 112"/>
    <w:basedOn w:val="TableNormal"/>
    <w:next w:val="MediumShading1-Accent1"/>
    <w:uiPriority w:val="63"/>
    <w:rsid w:val="00435AF7"/>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79C185"/>
        <w:left w:val="single" w:sz="8" w:space="0" w:color="79C185"/>
        <w:bottom w:val="single" w:sz="8" w:space="0" w:color="79C185"/>
        <w:right w:val="single" w:sz="8" w:space="0" w:color="79C185"/>
        <w:insideH w:val="single" w:sz="8" w:space="0" w:color="79C185"/>
      </w:tblBorders>
    </w:tblPr>
    <w:tblStylePr w:type="firstRow">
      <w:pPr>
        <w:spacing w:before="0" w:after="0" w:line="240" w:lineRule="auto"/>
      </w:pPr>
      <w:rPr>
        <w:b/>
        <w:bCs/>
        <w:color w:val="FFFFFF"/>
      </w:rPr>
      <w:tblPr/>
      <w:tcPr>
        <w:tcBorders>
          <w:top w:val="single" w:sz="8" w:space="0" w:color="79C185"/>
          <w:left w:val="single" w:sz="8" w:space="0" w:color="79C185"/>
          <w:bottom w:val="single" w:sz="8" w:space="0" w:color="79C185"/>
          <w:right w:val="single" w:sz="8" w:space="0" w:color="79C185"/>
          <w:insideH w:val="nil"/>
          <w:insideV w:val="nil"/>
        </w:tcBorders>
        <w:shd w:val="clear" w:color="auto" w:fill="4FAA5F"/>
      </w:tcPr>
    </w:tblStylePr>
    <w:tblStylePr w:type="lastRow">
      <w:pPr>
        <w:spacing w:before="0" w:after="0" w:line="240" w:lineRule="auto"/>
      </w:pPr>
      <w:rPr>
        <w:b/>
        <w:bCs/>
      </w:rPr>
      <w:tblPr/>
      <w:tcPr>
        <w:tcBorders>
          <w:top w:val="double" w:sz="6" w:space="0" w:color="79C185"/>
          <w:left w:val="single" w:sz="8" w:space="0" w:color="79C185"/>
          <w:bottom w:val="single" w:sz="8" w:space="0" w:color="79C185"/>
          <w:right w:val="single" w:sz="8" w:space="0" w:color="79C185"/>
          <w:insideH w:val="nil"/>
          <w:insideV w:val="nil"/>
        </w:tcBorders>
      </w:tcPr>
    </w:tblStylePr>
    <w:tblStylePr w:type="firstCol">
      <w:rPr>
        <w:b/>
        <w:bCs/>
      </w:rPr>
    </w:tblStylePr>
    <w:tblStylePr w:type="lastCol">
      <w:rPr>
        <w:b/>
        <w:bCs/>
      </w:rPr>
    </w:tblStylePr>
    <w:tblStylePr w:type="band1Vert">
      <w:tblPr/>
      <w:tcPr>
        <w:shd w:val="clear" w:color="auto" w:fill="D2EAD6"/>
      </w:tcPr>
    </w:tblStylePr>
    <w:tblStylePr w:type="band1Horz">
      <w:tblPr/>
      <w:tcPr>
        <w:tcBorders>
          <w:insideH w:val="nil"/>
          <w:insideV w:val="nil"/>
        </w:tcBorders>
        <w:shd w:val="clear" w:color="auto" w:fill="D2EAD6"/>
      </w:tcPr>
    </w:tblStylePr>
    <w:tblStylePr w:type="band2Horz">
      <w:tblPr/>
      <w:tcPr>
        <w:tcBorders>
          <w:insideH w:val="nil"/>
          <w:insideV w:val="nil"/>
        </w:tcBorders>
      </w:tcPr>
    </w:tblStylePr>
  </w:style>
  <w:style w:type="table" w:customStyle="1" w:styleId="ColorfulList-Accent112">
    <w:name w:val="Colorful List - Accent 112"/>
    <w:basedOn w:val="TableNormal"/>
    <w:next w:val="ColorfulList-Accent1"/>
    <w:uiPriority w:val="72"/>
    <w:rsid w:val="00435AF7"/>
    <w:pPr>
      <w:spacing w:after="0" w:line="240" w:lineRule="auto"/>
    </w:pPr>
    <w:rPr>
      <w:rFonts w:ascii="Times New Roman" w:eastAsia="Calibri" w:hAnsi="Times New Roman" w:cs="Times New Roman"/>
      <w:color w:val="000000"/>
      <w:sz w:val="20"/>
      <w:szCs w:val="20"/>
    </w:rPr>
    <w:tblPr>
      <w:tblStyleRowBandSize w:val="1"/>
      <w:tblStyleColBandSize w:val="1"/>
    </w:tblPr>
    <w:tcPr>
      <w:shd w:val="clear" w:color="auto" w:fill="EDF7EF"/>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D6"/>
      </w:tcPr>
    </w:tblStylePr>
    <w:tblStylePr w:type="band1Horz">
      <w:tblPr/>
      <w:tcPr>
        <w:shd w:val="clear" w:color="auto" w:fill="DBEEDE"/>
      </w:tcPr>
    </w:tblStylePr>
  </w:style>
  <w:style w:type="table" w:customStyle="1" w:styleId="CoffeyTable112">
    <w:name w:val="Coffey Table 112"/>
    <w:basedOn w:val="TableGrid"/>
    <w:uiPriority w:val="99"/>
    <w:rsid w:val="00A37D74"/>
    <w:rPr>
      <w:rFonts w:ascii="Arial" w:eastAsia="Calibri" w:hAnsi="Arial" w:cs="Times New Roman"/>
      <w:sz w:val="18"/>
      <w:lang w:eastAsia="en-US"/>
    </w:rPr>
    <w:tblPr/>
    <w:tcPr>
      <w:shd w:val="clear" w:color="auto" w:fill="FFFFFF"/>
    </w:tcPr>
    <w:tblStylePr w:type="firstRow">
      <w:pPr>
        <w:jc w:val="left"/>
      </w:pPr>
      <w:rPr>
        <w:rFonts w:ascii="Arial" w:hAnsi="Arial"/>
        <w:color w:val="FFFFFF"/>
        <w:sz w:val="20"/>
      </w:rPr>
      <w:tblPr/>
      <w:tcPr>
        <w:shd w:val="clear" w:color="auto" w:fill="049CD5"/>
      </w:tcPr>
    </w:tblStylePr>
  </w:style>
  <w:style w:type="table" w:customStyle="1" w:styleId="MediumShading1-Accent512">
    <w:name w:val="Medium Shading 1 - Accent 512"/>
    <w:basedOn w:val="TableNormal"/>
    <w:next w:val="MediumShading1-Accent5"/>
    <w:uiPriority w:val="63"/>
    <w:rsid w:val="00435AF7"/>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TableCustom12">
    <w:name w:val="Table Custom12"/>
    <w:basedOn w:val="TableNormal"/>
    <w:uiPriority w:val="99"/>
    <w:rsid w:val="00435AF7"/>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B7DDBE"/>
        <w:insideV w:val="single" w:sz="4" w:space="0" w:color="B7DDBE"/>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ColorfulGrid-Accent53">
    <w:name w:val="Colorful Grid - Accent 53"/>
    <w:basedOn w:val="TableNormal"/>
    <w:next w:val="ColorfulGrid-Accent5"/>
    <w:uiPriority w:val="73"/>
    <w:unhideWhenUsed/>
    <w:rsid w:val="00435AF7"/>
    <w:pPr>
      <w:spacing w:after="0" w:line="240" w:lineRule="auto"/>
    </w:pPr>
    <w:rPr>
      <w:rFonts w:eastAsia="MS PGothic"/>
      <w:color w:val="000000"/>
      <w:sz w:val="24"/>
      <w:szCs w:val="24"/>
      <w:lang w:val="en-US"/>
    </w:rPr>
    <w:tblPr>
      <w:tblStyleRowBandSize w:val="1"/>
      <w:tblStyleColBandSize w:val="1"/>
      <w:tblBorders>
        <w:insideH w:val="single" w:sz="4" w:space="0" w:color="FFFFFF"/>
      </w:tblBorders>
    </w:tblPr>
    <w:tcPr>
      <w:shd w:val="clear" w:color="auto" w:fill="DAF3F8"/>
    </w:tcPr>
    <w:tblStylePr w:type="firstRow">
      <w:rPr>
        <w:b/>
        <w:bCs/>
      </w:rPr>
      <w:tblPr/>
      <w:tcPr>
        <w:shd w:val="clear" w:color="auto" w:fill="B6E7F1"/>
      </w:tcPr>
    </w:tblStylePr>
    <w:tblStylePr w:type="lastRow">
      <w:rPr>
        <w:b/>
        <w:bCs/>
        <w:color w:val="000000"/>
      </w:rPr>
      <w:tblPr/>
      <w:tcPr>
        <w:shd w:val="clear" w:color="auto" w:fill="B6E7F1"/>
      </w:tcPr>
    </w:tblStylePr>
    <w:tblStylePr w:type="firstCol">
      <w:rPr>
        <w:color w:val="FFFFFF"/>
      </w:rPr>
      <w:tblPr/>
      <w:tcPr>
        <w:shd w:val="clear" w:color="auto" w:fill="22A1BB"/>
      </w:tcPr>
    </w:tblStylePr>
    <w:tblStylePr w:type="lastCol">
      <w:rPr>
        <w:color w:val="FFFFFF"/>
      </w:rPr>
      <w:tblPr/>
      <w:tcPr>
        <w:shd w:val="clear" w:color="auto" w:fill="22A1BB"/>
      </w:tcPr>
    </w:tblStylePr>
    <w:tblStylePr w:type="band1Vert">
      <w:tblPr/>
      <w:tcPr>
        <w:shd w:val="clear" w:color="auto" w:fill="A5E1EE"/>
      </w:tcPr>
    </w:tblStylePr>
    <w:tblStylePr w:type="band1Horz">
      <w:tblPr/>
      <w:tcPr>
        <w:shd w:val="clear" w:color="auto" w:fill="A5E1EE"/>
      </w:tcPr>
    </w:tblStylePr>
  </w:style>
  <w:style w:type="table" w:customStyle="1" w:styleId="MediumGrid1-Accent53">
    <w:name w:val="Medium Grid 1 - Accent 53"/>
    <w:basedOn w:val="TableNormal"/>
    <w:next w:val="MediumGrid1-Accent5"/>
    <w:uiPriority w:val="67"/>
    <w:unhideWhenUsed/>
    <w:rsid w:val="00435AF7"/>
    <w:pPr>
      <w:spacing w:after="0" w:line="240" w:lineRule="auto"/>
    </w:pPr>
    <w:rPr>
      <w:rFonts w:eastAsia="MS PGothic"/>
      <w:sz w:val="24"/>
      <w:szCs w:val="24"/>
      <w:lang w:val="en-US"/>
    </w:rPr>
    <w:tblPr>
      <w:tblStyleRowBandSize w:val="1"/>
      <w:tblStyleColBandSize w:val="1"/>
      <w:tblBorders>
        <w:top w:val="single" w:sz="8" w:space="0" w:color="78D3E6"/>
        <w:left w:val="single" w:sz="8" w:space="0" w:color="78D3E6"/>
        <w:bottom w:val="single" w:sz="8" w:space="0" w:color="78D3E6"/>
        <w:right w:val="single" w:sz="8" w:space="0" w:color="78D3E6"/>
        <w:insideH w:val="single" w:sz="8" w:space="0" w:color="78D3E6"/>
        <w:insideV w:val="single" w:sz="8" w:space="0" w:color="78D3E6"/>
      </w:tblBorders>
    </w:tblPr>
    <w:tcPr>
      <w:shd w:val="clear" w:color="auto" w:fill="D2F0F6"/>
    </w:tcPr>
    <w:tblStylePr w:type="firstRow">
      <w:rPr>
        <w:b/>
        <w:bCs/>
      </w:rPr>
    </w:tblStylePr>
    <w:tblStylePr w:type="lastRow">
      <w:rPr>
        <w:b/>
        <w:bCs/>
      </w:rPr>
      <w:tblPr/>
      <w:tcPr>
        <w:tcBorders>
          <w:top w:val="single" w:sz="18" w:space="0" w:color="78D3E6"/>
        </w:tcBorders>
      </w:tcPr>
    </w:tblStylePr>
    <w:tblStylePr w:type="firstCol">
      <w:rPr>
        <w:b/>
        <w:bCs/>
      </w:rPr>
    </w:tblStylePr>
    <w:tblStylePr w:type="lastCol">
      <w:rPr>
        <w:b/>
        <w:bCs/>
      </w:rPr>
    </w:tblStylePr>
    <w:tblStylePr w:type="band1Vert">
      <w:tblPr/>
      <w:tcPr>
        <w:shd w:val="clear" w:color="auto" w:fill="A5E1EE"/>
      </w:tcPr>
    </w:tblStylePr>
    <w:tblStylePr w:type="band1Horz">
      <w:tblPr/>
      <w:tcPr>
        <w:shd w:val="clear" w:color="auto" w:fill="A5E1EE"/>
      </w:tcPr>
    </w:tblStylePr>
  </w:style>
  <w:style w:type="table" w:customStyle="1" w:styleId="ColorfulList3">
    <w:name w:val="Colorful List3"/>
    <w:basedOn w:val="TableNormal"/>
    <w:next w:val="ColorfulList"/>
    <w:uiPriority w:val="72"/>
    <w:unhideWhenUsed/>
    <w:rsid w:val="00435AF7"/>
    <w:pPr>
      <w:spacing w:after="0" w:line="240" w:lineRule="auto"/>
    </w:pPr>
    <w:rPr>
      <w:rFonts w:eastAsia="MS PGothic"/>
      <w:color w:val="000000"/>
      <w:sz w:val="24"/>
      <w:szCs w:val="24"/>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Accent13">
    <w:name w:val="Light Grid - Accent 13"/>
    <w:basedOn w:val="TableNormal"/>
    <w:next w:val="LightGrid-Accent1"/>
    <w:uiPriority w:val="62"/>
    <w:unhideWhenUsed/>
    <w:rsid w:val="00435AF7"/>
    <w:pPr>
      <w:spacing w:after="0" w:line="240" w:lineRule="auto"/>
    </w:pPr>
    <w:rPr>
      <w:rFonts w:eastAsia="MS PGothic"/>
      <w:sz w:val="24"/>
      <w:szCs w:val="24"/>
      <w:lang w:val="en-US"/>
    </w:rPr>
    <w:tblPr>
      <w:tblStyleRowBandSize w:val="1"/>
      <w:tblStyleColBandSize w:val="1"/>
      <w:tblBorders>
        <w:top w:val="single" w:sz="8" w:space="0" w:color="E76C53"/>
        <w:left w:val="single" w:sz="8" w:space="0" w:color="E76C53"/>
        <w:bottom w:val="single" w:sz="8" w:space="0" w:color="E76C53"/>
        <w:right w:val="single" w:sz="8" w:space="0" w:color="E76C53"/>
        <w:insideH w:val="single" w:sz="8" w:space="0" w:color="E76C53"/>
        <w:insideV w:val="single" w:sz="8" w:space="0" w:color="E76C53"/>
      </w:tblBorders>
    </w:tblPr>
    <w:tblStylePr w:type="firstRow">
      <w:pPr>
        <w:spacing w:before="0" w:after="0" w:line="240" w:lineRule="auto"/>
      </w:pPr>
      <w:rPr>
        <w:rFonts w:ascii="Arial" w:eastAsia="EC Square Sans Cond Pro Thin" w:hAnsi="Arial" w:cs="Arial"/>
        <w:b/>
        <w:bCs/>
      </w:rPr>
      <w:tblPr/>
      <w:tcPr>
        <w:tcBorders>
          <w:top w:val="single" w:sz="8" w:space="0" w:color="E76C53"/>
          <w:left w:val="single" w:sz="8" w:space="0" w:color="E76C53"/>
          <w:bottom w:val="single" w:sz="18" w:space="0" w:color="E76C53"/>
          <w:right w:val="single" w:sz="8" w:space="0" w:color="E76C53"/>
          <w:insideH w:val="nil"/>
          <w:insideV w:val="single" w:sz="8" w:space="0" w:color="E76C53"/>
        </w:tcBorders>
      </w:tcPr>
    </w:tblStylePr>
    <w:tblStylePr w:type="lastRow">
      <w:pPr>
        <w:spacing w:before="0" w:after="0" w:line="240" w:lineRule="auto"/>
      </w:pPr>
      <w:rPr>
        <w:rFonts w:ascii="Arial" w:eastAsia="EC Square Sans Cond Pro Thin" w:hAnsi="Arial" w:cs="Arial"/>
        <w:b/>
        <w:bCs/>
      </w:rPr>
      <w:tblPr/>
      <w:tcPr>
        <w:tcBorders>
          <w:top w:val="double" w:sz="6" w:space="0" w:color="E76C53"/>
          <w:left w:val="single" w:sz="8" w:space="0" w:color="E76C53"/>
          <w:bottom w:val="single" w:sz="8" w:space="0" w:color="E76C53"/>
          <w:right w:val="single" w:sz="8" w:space="0" w:color="E76C53"/>
          <w:insideH w:val="nil"/>
          <w:insideV w:val="single" w:sz="8" w:space="0" w:color="E76C53"/>
        </w:tcBorders>
      </w:tcPr>
    </w:tblStylePr>
    <w:tblStylePr w:type="firstCol">
      <w:rPr>
        <w:rFonts w:ascii="Arial" w:eastAsia="EC Square Sans Cond Pro Thin" w:hAnsi="Arial" w:cs="Arial"/>
        <w:b/>
        <w:bCs/>
      </w:rPr>
    </w:tblStylePr>
    <w:tblStylePr w:type="lastCol">
      <w:rPr>
        <w:rFonts w:ascii="Arial" w:eastAsia="EC Square Sans Cond Pro Thin" w:hAnsi="Arial" w:cs="Arial"/>
        <w:b/>
        <w:bCs/>
      </w:rPr>
      <w:tblPr/>
      <w:tcPr>
        <w:tcBorders>
          <w:top w:val="single" w:sz="8" w:space="0" w:color="E76C53"/>
          <w:left w:val="single" w:sz="8" w:space="0" w:color="E76C53"/>
          <w:bottom w:val="single" w:sz="8" w:space="0" w:color="E76C53"/>
          <w:right w:val="single" w:sz="8" w:space="0" w:color="E76C53"/>
        </w:tcBorders>
      </w:tcPr>
    </w:tblStylePr>
    <w:tblStylePr w:type="band1Vert">
      <w:tblPr/>
      <w:tcPr>
        <w:tcBorders>
          <w:top w:val="single" w:sz="8" w:space="0" w:color="E76C53"/>
          <w:left w:val="single" w:sz="8" w:space="0" w:color="E76C53"/>
          <w:bottom w:val="single" w:sz="8" w:space="0" w:color="E76C53"/>
          <w:right w:val="single" w:sz="8" w:space="0" w:color="E76C53"/>
        </w:tcBorders>
        <w:shd w:val="clear" w:color="auto" w:fill="F9DAD4"/>
      </w:tcPr>
    </w:tblStylePr>
    <w:tblStylePr w:type="band1Horz">
      <w:tblPr/>
      <w:tcPr>
        <w:tcBorders>
          <w:top w:val="single" w:sz="8" w:space="0" w:color="E76C53"/>
          <w:left w:val="single" w:sz="8" w:space="0" w:color="E76C53"/>
          <w:bottom w:val="single" w:sz="8" w:space="0" w:color="E76C53"/>
          <w:right w:val="single" w:sz="8" w:space="0" w:color="E76C53"/>
          <w:insideV w:val="single" w:sz="8" w:space="0" w:color="E76C53"/>
        </w:tcBorders>
        <w:shd w:val="clear" w:color="auto" w:fill="F9DAD4"/>
      </w:tcPr>
    </w:tblStylePr>
    <w:tblStylePr w:type="band2Horz">
      <w:tblPr/>
      <w:tcPr>
        <w:tcBorders>
          <w:top w:val="single" w:sz="8" w:space="0" w:color="E76C53"/>
          <w:left w:val="single" w:sz="8" w:space="0" w:color="E76C53"/>
          <w:bottom w:val="single" w:sz="8" w:space="0" w:color="E76C53"/>
          <w:right w:val="single" w:sz="8" w:space="0" w:color="E76C53"/>
          <w:insideV w:val="single" w:sz="8" w:space="0" w:color="E76C53"/>
        </w:tcBorders>
      </w:tcPr>
    </w:tblStylePr>
  </w:style>
  <w:style w:type="table" w:customStyle="1" w:styleId="MediumShading1-Accent13">
    <w:name w:val="Medium Shading 1 - Accent 13"/>
    <w:basedOn w:val="TableNormal"/>
    <w:next w:val="MediumShading1-Accent1"/>
    <w:uiPriority w:val="63"/>
    <w:unhideWhenUsed/>
    <w:rsid w:val="00435AF7"/>
    <w:pPr>
      <w:spacing w:after="0" w:line="240" w:lineRule="auto"/>
    </w:pPr>
    <w:rPr>
      <w:rFonts w:eastAsia="MS PGothic"/>
      <w:sz w:val="24"/>
      <w:szCs w:val="24"/>
      <w:lang w:val="en-US"/>
    </w:rPr>
    <w:tblPr>
      <w:tblStyleRowBandSize w:val="1"/>
      <w:tblStyleColBandSize w:val="1"/>
      <w:tblBorders>
        <w:top w:val="single" w:sz="8" w:space="0" w:color="ED907E"/>
        <w:left w:val="single" w:sz="8" w:space="0" w:color="ED907E"/>
        <w:bottom w:val="single" w:sz="8" w:space="0" w:color="ED907E"/>
        <w:right w:val="single" w:sz="8" w:space="0" w:color="ED907E"/>
        <w:insideH w:val="single" w:sz="8" w:space="0" w:color="ED907E"/>
      </w:tblBorders>
    </w:tblPr>
    <w:tblStylePr w:type="firstRow">
      <w:pPr>
        <w:spacing w:before="0" w:after="0" w:line="240" w:lineRule="auto"/>
      </w:pPr>
      <w:rPr>
        <w:b/>
        <w:bCs/>
        <w:color w:val="FFFFFF"/>
      </w:rPr>
      <w:tblPr/>
      <w:tcPr>
        <w:tcBorders>
          <w:top w:val="single" w:sz="8" w:space="0" w:color="ED907E"/>
          <w:left w:val="single" w:sz="8" w:space="0" w:color="ED907E"/>
          <w:bottom w:val="single" w:sz="8" w:space="0" w:color="ED907E"/>
          <w:right w:val="single" w:sz="8" w:space="0" w:color="ED907E"/>
          <w:insideH w:val="nil"/>
          <w:insideV w:val="nil"/>
        </w:tcBorders>
        <w:shd w:val="clear" w:color="auto" w:fill="E76C53"/>
      </w:tcPr>
    </w:tblStylePr>
    <w:tblStylePr w:type="lastRow">
      <w:pPr>
        <w:spacing w:before="0" w:after="0" w:line="240" w:lineRule="auto"/>
      </w:pPr>
      <w:rPr>
        <w:b/>
        <w:bCs/>
      </w:rPr>
      <w:tblPr/>
      <w:tcPr>
        <w:tcBorders>
          <w:top w:val="double" w:sz="6" w:space="0" w:color="ED907E"/>
          <w:left w:val="single" w:sz="8" w:space="0" w:color="ED907E"/>
          <w:bottom w:val="single" w:sz="8" w:space="0" w:color="ED907E"/>
          <w:right w:val="single" w:sz="8" w:space="0" w:color="ED907E"/>
          <w:insideH w:val="nil"/>
          <w:insideV w:val="nil"/>
        </w:tcBorders>
      </w:tcPr>
    </w:tblStylePr>
    <w:tblStylePr w:type="firstCol">
      <w:rPr>
        <w:b/>
        <w:bCs/>
      </w:rPr>
    </w:tblStylePr>
    <w:tblStylePr w:type="lastCol">
      <w:rPr>
        <w:b/>
        <w:bCs/>
      </w:rPr>
    </w:tblStylePr>
    <w:tblStylePr w:type="band1Vert">
      <w:tblPr/>
      <w:tcPr>
        <w:shd w:val="clear" w:color="auto" w:fill="F9DAD4"/>
      </w:tcPr>
    </w:tblStylePr>
    <w:tblStylePr w:type="band1Horz">
      <w:tblPr/>
      <w:tcPr>
        <w:tcBorders>
          <w:insideH w:val="nil"/>
          <w:insideV w:val="nil"/>
        </w:tcBorders>
        <w:shd w:val="clear" w:color="auto" w:fill="F9DAD4"/>
      </w:tcPr>
    </w:tblStylePr>
    <w:tblStylePr w:type="band2Horz">
      <w:tblPr/>
      <w:tcPr>
        <w:tcBorders>
          <w:insideH w:val="nil"/>
          <w:insideV w:val="nil"/>
        </w:tcBorders>
      </w:tcPr>
    </w:tblStylePr>
  </w:style>
  <w:style w:type="table" w:customStyle="1" w:styleId="ColorfulList-Accent13">
    <w:name w:val="Colorful List - Accent 13"/>
    <w:basedOn w:val="TableNormal"/>
    <w:next w:val="ColorfulList-Accent1"/>
    <w:uiPriority w:val="72"/>
    <w:unhideWhenUsed/>
    <w:rsid w:val="00435AF7"/>
    <w:pPr>
      <w:spacing w:after="0" w:line="240" w:lineRule="auto"/>
    </w:pPr>
    <w:rPr>
      <w:rFonts w:eastAsia="MS PGothic"/>
      <w:color w:val="000000"/>
      <w:sz w:val="24"/>
      <w:szCs w:val="24"/>
      <w:lang w:val="en-US"/>
    </w:rPr>
    <w:tblPr>
      <w:tblStyleRowBandSize w:val="1"/>
      <w:tblStyleColBandSize w:val="1"/>
    </w:tblPr>
    <w:tcPr>
      <w:shd w:val="clear" w:color="auto" w:fill="FCF0EE"/>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AD4"/>
      </w:tcPr>
    </w:tblStylePr>
    <w:tblStylePr w:type="band1Horz">
      <w:tblPr/>
      <w:tcPr>
        <w:shd w:val="clear" w:color="auto" w:fill="FAE1DC"/>
      </w:tcPr>
    </w:tblStylePr>
  </w:style>
  <w:style w:type="numbering" w:customStyle="1" w:styleId="BulletEU1">
    <w:name w:val="Bullet EU1"/>
    <w:uiPriority w:val="99"/>
    <w:rsid w:val="00A37D74"/>
  </w:style>
  <w:style w:type="table" w:customStyle="1" w:styleId="Credential11">
    <w:name w:val="Credential11"/>
    <w:basedOn w:val="TableNormal"/>
    <w:next w:val="MediumShading2-Accent1"/>
    <w:uiPriority w:val="64"/>
    <w:rsid w:val="00435AF7"/>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1">
    <w:name w:val="Credential21"/>
    <w:basedOn w:val="TableNormal"/>
    <w:next w:val="MediumShading2-Accent1"/>
    <w:uiPriority w:val="64"/>
    <w:rsid w:val="00435AF7"/>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1">
    <w:name w:val="Credential31"/>
    <w:basedOn w:val="TableNormal"/>
    <w:next w:val="MediumShading2-Accent1"/>
    <w:uiPriority w:val="64"/>
    <w:rsid w:val="00435AF7"/>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1">
    <w:name w:val="Credential41"/>
    <w:basedOn w:val="TableNormal"/>
    <w:next w:val="MediumShading2-Accent1"/>
    <w:uiPriority w:val="64"/>
    <w:rsid w:val="00435AF7"/>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1">
    <w:name w:val="Credential51"/>
    <w:basedOn w:val="TableNormal"/>
    <w:next w:val="MediumShading2-Accent1"/>
    <w:uiPriority w:val="64"/>
    <w:rsid w:val="00435AF7"/>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1">
    <w:name w:val="Credential61"/>
    <w:basedOn w:val="TableNormal"/>
    <w:next w:val="MediumShading2-Accent1"/>
    <w:uiPriority w:val="64"/>
    <w:rsid w:val="00435AF7"/>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MediumShading2-Accent12">
    <w:name w:val="Medium Shading 2 - Accent 12"/>
    <w:basedOn w:val="TableNormal"/>
    <w:next w:val="MediumShading2-Accent1"/>
    <w:uiPriority w:val="64"/>
    <w:rsid w:val="00435AF7"/>
    <w:pPr>
      <w:spacing w:after="0" w:line="240" w:lineRule="auto"/>
    </w:pPr>
    <w:rPr>
      <w:rFonts w:ascii="Times New Roman" w:eastAsia="Calibri"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76C5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76C53"/>
      </w:tcPr>
    </w:tblStylePr>
    <w:tblStylePr w:type="lastCol">
      <w:rPr>
        <w:b/>
        <w:bCs/>
        <w:color w:val="FFFFFF"/>
      </w:rPr>
      <w:tblPr/>
      <w:tcPr>
        <w:tcBorders>
          <w:left w:val="nil"/>
          <w:right w:val="nil"/>
          <w:insideH w:val="nil"/>
          <w:insideV w:val="nil"/>
        </w:tcBorders>
        <w:shd w:val="clear" w:color="auto" w:fill="E76C5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1">
    <w:name w:val="Light List - Accent 111"/>
    <w:basedOn w:val="TableNormal"/>
    <w:uiPriority w:val="99"/>
    <w:rsid w:val="00435AF7"/>
    <w:pPr>
      <w:spacing w:after="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8" w:space="0" w:color="E76C53"/>
        <w:left w:val="single" w:sz="8" w:space="0" w:color="E76C53"/>
        <w:bottom w:val="single" w:sz="8" w:space="0" w:color="E76C53"/>
        <w:right w:val="single" w:sz="8" w:space="0" w:color="E76C53"/>
      </w:tblBorders>
    </w:tblPr>
    <w:tblStylePr w:type="firstRow">
      <w:pPr>
        <w:spacing w:before="0" w:after="0" w:line="240" w:lineRule="auto"/>
      </w:pPr>
      <w:rPr>
        <w:b/>
        <w:bCs/>
        <w:color w:val="FFFFFF"/>
      </w:rPr>
      <w:tblPr/>
      <w:tcPr>
        <w:shd w:val="clear" w:color="auto" w:fill="E76C53"/>
      </w:tcPr>
    </w:tblStylePr>
    <w:tblStylePr w:type="lastRow">
      <w:pPr>
        <w:spacing w:before="0" w:after="0" w:line="240" w:lineRule="auto"/>
      </w:pPr>
      <w:rPr>
        <w:b/>
        <w:bCs/>
      </w:rPr>
      <w:tblPr/>
      <w:tcPr>
        <w:tcBorders>
          <w:top w:val="double" w:sz="6" w:space="0" w:color="E76C53"/>
          <w:left w:val="single" w:sz="8" w:space="0" w:color="E76C53"/>
          <w:bottom w:val="single" w:sz="8" w:space="0" w:color="E76C53"/>
          <w:right w:val="single" w:sz="8" w:space="0" w:color="E76C53"/>
        </w:tcBorders>
      </w:tcPr>
    </w:tblStylePr>
    <w:tblStylePr w:type="firstCol">
      <w:rPr>
        <w:b/>
        <w:bCs/>
      </w:rPr>
    </w:tblStylePr>
    <w:tblStylePr w:type="lastCol">
      <w:rPr>
        <w:b/>
        <w:bCs/>
      </w:rPr>
    </w:tblStylePr>
    <w:tblStylePr w:type="band1Vert">
      <w:tblPr/>
      <w:tcPr>
        <w:tcBorders>
          <w:top w:val="single" w:sz="8" w:space="0" w:color="E76C53"/>
          <w:left w:val="single" w:sz="8" w:space="0" w:color="E76C53"/>
          <w:bottom w:val="single" w:sz="8" w:space="0" w:color="E76C53"/>
          <w:right w:val="single" w:sz="8" w:space="0" w:color="E76C53"/>
        </w:tcBorders>
      </w:tcPr>
    </w:tblStylePr>
    <w:tblStylePr w:type="band1Horz">
      <w:tblPr/>
      <w:tcPr>
        <w:tcBorders>
          <w:top w:val="single" w:sz="8" w:space="0" w:color="E76C53"/>
          <w:left w:val="single" w:sz="8" w:space="0" w:color="E76C53"/>
          <w:bottom w:val="single" w:sz="8" w:space="0" w:color="E76C53"/>
          <w:right w:val="single" w:sz="8" w:space="0" w:color="E76C53"/>
        </w:tcBorders>
      </w:tcPr>
    </w:tblStylePr>
  </w:style>
  <w:style w:type="table" w:customStyle="1" w:styleId="LightList-Accent122">
    <w:name w:val="Light List - Accent 122"/>
    <w:basedOn w:val="TableNormal"/>
    <w:uiPriority w:val="61"/>
    <w:rsid w:val="00435AF7"/>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E76C53"/>
        <w:left w:val="single" w:sz="8" w:space="0" w:color="E76C53"/>
        <w:bottom w:val="single" w:sz="8" w:space="0" w:color="E76C53"/>
        <w:right w:val="single" w:sz="8" w:space="0" w:color="E76C53"/>
      </w:tblBorders>
    </w:tblPr>
    <w:tblStylePr w:type="firstRow">
      <w:pPr>
        <w:spacing w:before="0" w:after="0" w:line="240" w:lineRule="auto"/>
      </w:pPr>
      <w:rPr>
        <w:b/>
        <w:bCs/>
        <w:color w:val="FFFFFF"/>
      </w:rPr>
      <w:tblPr/>
      <w:tcPr>
        <w:shd w:val="clear" w:color="auto" w:fill="E76C53"/>
      </w:tcPr>
    </w:tblStylePr>
    <w:tblStylePr w:type="lastRow">
      <w:pPr>
        <w:spacing w:before="0" w:after="0" w:line="240" w:lineRule="auto"/>
      </w:pPr>
      <w:rPr>
        <w:b/>
        <w:bCs/>
      </w:rPr>
      <w:tblPr/>
      <w:tcPr>
        <w:tcBorders>
          <w:top w:val="double" w:sz="6" w:space="0" w:color="E76C53"/>
          <w:left w:val="single" w:sz="8" w:space="0" w:color="E76C53"/>
          <w:bottom w:val="single" w:sz="8" w:space="0" w:color="E76C53"/>
          <w:right w:val="single" w:sz="8" w:space="0" w:color="E76C53"/>
        </w:tcBorders>
      </w:tcPr>
    </w:tblStylePr>
    <w:tblStylePr w:type="firstCol">
      <w:rPr>
        <w:b/>
        <w:bCs/>
      </w:rPr>
    </w:tblStylePr>
    <w:tblStylePr w:type="lastCol">
      <w:rPr>
        <w:b/>
        <w:bCs/>
      </w:rPr>
    </w:tblStylePr>
    <w:tblStylePr w:type="band1Vert">
      <w:tblPr/>
      <w:tcPr>
        <w:tcBorders>
          <w:top w:val="single" w:sz="8" w:space="0" w:color="E76C53"/>
          <w:left w:val="single" w:sz="8" w:space="0" w:color="E76C53"/>
          <w:bottom w:val="single" w:sz="8" w:space="0" w:color="E76C53"/>
          <w:right w:val="single" w:sz="8" w:space="0" w:color="E76C53"/>
        </w:tcBorders>
      </w:tcPr>
    </w:tblStylePr>
    <w:tblStylePr w:type="band1Horz">
      <w:tblPr/>
      <w:tcPr>
        <w:tcBorders>
          <w:top w:val="single" w:sz="8" w:space="0" w:color="E76C53"/>
          <w:left w:val="single" w:sz="8" w:space="0" w:color="E76C53"/>
          <w:bottom w:val="single" w:sz="8" w:space="0" w:color="E76C53"/>
          <w:right w:val="single" w:sz="8" w:space="0" w:color="E76C53"/>
        </w:tcBorders>
      </w:tcPr>
    </w:tblStylePr>
  </w:style>
  <w:style w:type="table" w:customStyle="1" w:styleId="Table3Deffects11">
    <w:name w:val="Table 3D effects 11"/>
    <w:basedOn w:val="TableNormal"/>
    <w:next w:val="Table3Deffects1"/>
    <w:semiHidden/>
    <w:rsid w:val="00435AF7"/>
    <w:pPr>
      <w:spacing w:after="0" w:line="260" w:lineRule="atLeast"/>
    </w:pPr>
    <w:rPr>
      <w:rFonts w:ascii="Times New Roman" w:eastAsia="Times New Roman" w:hAnsi="Times New Roman" w:cs="Times New Roman"/>
      <w:sz w:val="20"/>
      <w:szCs w:val="20"/>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435AF7"/>
    <w:pPr>
      <w:spacing w:after="0" w:line="26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435AF7"/>
    <w:pPr>
      <w:spacing w:after="0" w:line="26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435AF7"/>
    <w:pPr>
      <w:spacing w:after="0" w:line="26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435AF7"/>
    <w:pPr>
      <w:spacing w:after="0" w:line="26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435AF7"/>
    <w:pPr>
      <w:spacing w:after="0" w:line="26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435AF7"/>
    <w:pPr>
      <w:spacing w:after="0" w:line="26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435AF7"/>
    <w:pPr>
      <w:spacing w:after="0" w:line="260" w:lineRule="atLeast"/>
    </w:pPr>
    <w:rPr>
      <w:rFonts w:ascii="Times New Roman" w:eastAsia="Times New Roman" w:hAnsi="Times New Roman" w:cs="Times New Roman"/>
      <w:b/>
      <w:bCs/>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435AF7"/>
    <w:pPr>
      <w:spacing w:after="0" w:line="26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435AF7"/>
    <w:pPr>
      <w:spacing w:after="0" w:line="260" w:lineRule="atLeast"/>
    </w:pPr>
    <w:rPr>
      <w:rFonts w:ascii="Times New Roman" w:eastAsia="Times New Roman" w:hAnsi="Times New Roman" w:cs="Times New Roman"/>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435AF7"/>
    <w:pPr>
      <w:spacing w:after="0" w:line="26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435AF7"/>
    <w:pPr>
      <w:spacing w:after="0" w:line="26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0">
    <w:name w:val="Table Grid 21"/>
    <w:basedOn w:val="TableNormal"/>
    <w:next w:val="TableGrid20"/>
    <w:semiHidden/>
    <w:rsid w:val="00435AF7"/>
    <w:pPr>
      <w:spacing w:after="0" w:line="26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435AF7"/>
    <w:pPr>
      <w:spacing w:after="0" w:line="26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435AF7"/>
    <w:pPr>
      <w:spacing w:after="0" w:line="26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435AF7"/>
    <w:pPr>
      <w:spacing w:after="0" w:line="26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435AF7"/>
    <w:pPr>
      <w:spacing w:after="0" w:line="26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435AF7"/>
    <w:pPr>
      <w:spacing w:after="0" w:line="26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435AF7"/>
    <w:pPr>
      <w:spacing w:after="0" w:line="26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435AF7"/>
    <w:pPr>
      <w:spacing w:after="0" w:line="26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435AF7"/>
    <w:pPr>
      <w:spacing w:after="0" w:line="260" w:lineRule="atLeast"/>
    </w:pPr>
    <w:rPr>
      <w:rFonts w:ascii="Times New Roman" w:eastAsia="Times New Roman" w:hAnsi="Times New Roman" w:cs="Times New Roman"/>
      <w:sz w:val="20"/>
      <w:szCs w:val="20"/>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435AF7"/>
    <w:pPr>
      <w:spacing w:after="0" w:line="260" w:lineRule="atLeast"/>
    </w:pPr>
    <w:rPr>
      <w:rFonts w:ascii="Times New Roman" w:eastAsia="Times New Roman" w:hAnsi="Times New Roman" w:cs="Times New Roman"/>
      <w:sz w:val="20"/>
      <w:szCs w:val="20"/>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435AF7"/>
    <w:pPr>
      <w:spacing w:after="0" w:line="26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435AF7"/>
    <w:pPr>
      <w:spacing w:after="0" w:line="26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435AF7"/>
    <w:pPr>
      <w:spacing w:after="0" w:line="26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435AF7"/>
    <w:pPr>
      <w:spacing w:after="0" w:line="26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435AF7"/>
    <w:pPr>
      <w:spacing w:after="0" w:line="26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
    <w:name w:val="1 / 1.1 / 1.1.11"/>
    <w:basedOn w:val="NoList"/>
    <w:next w:val="111111"/>
    <w:semiHidden/>
    <w:rsid w:val="00A37D74"/>
  </w:style>
  <w:style w:type="numbering" w:customStyle="1" w:styleId="1ai1">
    <w:name w:val="1 / a / i1"/>
    <w:basedOn w:val="NoList"/>
    <w:next w:val="1ai"/>
    <w:semiHidden/>
    <w:rsid w:val="00A37D74"/>
  </w:style>
  <w:style w:type="numbering" w:customStyle="1" w:styleId="ArticleSection1">
    <w:name w:val="Article / Section1"/>
    <w:basedOn w:val="NoList"/>
    <w:next w:val="ArticleSection"/>
    <w:semiHidden/>
    <w:rsid w:val="00A37D74"/>
  </w:style>
  <w:style w:type="numbering" w:customStyle="1" w:styleId="list-bullet-color1">
    <w:name w:val="list-bullet-color1"/>
    <w:rsid w:val="00A37D74"/>
  </w:style>
  <w:style w:type="table" w:customStyle="1" w:styleId="LightShading-Accent111">
    <w:name w:val="Light Shading - Accent 111"/>
    <w:basedOn w:val="TableNormal"/>
    <w:uiPriority w:val="60"/>
    <w:rsid w:val="00435AF7"/>
    <w:pPr>
      <w:spacing w:after="0" w:line="240" w:lineRule="auto"/>
    </w:pPr>
    <w:rPr>
      <w:rFonts w:ascii="Times New Roman" w:eastAsia="Times New Roman" w:hAnsi="Times New Roman" w:cs="Times New Roman"/>
      <w:color w:val="CE3A1C"/>
      <w:sz w:val="20"/>
      <w:szCs w:val="20"/>
      <w:lang w:val="da-DK" w:eastAsia="da-DK"/>
    </w:rPr>
    <w:tblPr>
      <w:tblStyleRowBandSize w:val="1"/>
      <w:tblStyleColBandSize w:val="1"/>
      <w:tblBorders>
        <w:top w:val="single" w:sz="8" w:space="0" w:color="E76C53"/>
        <w:bottom w:val="single" w:sz="8" w:space="0" w:color="E76C53"/>
      </w:tblBorders>
    </w:tblPr>
    <w:tblStylePr w:type="firstRow">
      <w:pPr>
        <w:spacing w:before="0" w:after="0" w:line="240" w:lineRule="auto"/>
      </w:pPr>
      <w:rPr>
        <w:b/>
        <w:bCs/>
      </w:rPr>
      <w:tblPr/>
      <w:tcPr>
        <w:tcBorders>
          <w:top w:val="single" w:sz="8" w:space="0" w:color="E76C53"/>
          <w:left w:val="nil"/>
          <w:bottom w:val="single" w:sz="8" w:space="0" w:color="E76C53"/>
          <w:right w:val="nil"/>
          <w:insideH w:val="nil"/>
          <w:insideV w:val="nil"/>
        </w:tcBorders>
      </w:tcPr>
    </w:tblStylePr>
    <w:tblStylePr w:type="lastRow">
      <w:pPr>
        <w:spacing w:before="0" w:after="0" w:line="240" w:lineRule="auto"/>
      </w:pPr>
      <w:rPr>
        <w:b/>
        <w:bCs/>
      </w:rPr>
      <w:tblPr/>
      <w:tcPr>
        <w:tcBorders>
          <w:top w:val="single" w:sz="8" w:space="0" w:color="E76C53"/>
          <w:left w:val="nil"/>
          <w:bottom w:val="single" w:sz="8" w:space="0" w:color="E76C5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AD4"/>
      </w:tcPr>
    </w:tblStylePr>
    <w:tblStylePr w:type="band1Horz">
      <w:tblPr/>
      <w:tcPr>
        <w:tcBorders>
          <w:left w:val="nil"/>
          <w:right w:val="nil"/>
          <w:insideH w:val="nil"/>
          <w:insideV w:val="nil"/>
        </w:tcBorders>
        <w:shd w:val="clear" w:color="auto" w:fill="F9DAD4"/>
      </w:tcPr>
    </w:tblStylePr>
  </w:style>
  <w:style w:type="table" w:customStyle="1" w:styleId="GridTable5Dark-Accent111">
    <w:name w:val="Grid Table 5 Dark - Accent 111"/>
    <w:basedOn w:val="TableNormal"/>
    <w:uiPriority w:val="50"/>
    <w:rsid w:val="00435AF7"/>
    <w:pPr>
      <w:spacing w:after="0" w:line="240" w:lineRule="auto"/>
    </w:pPr>
    <w:rPr>
      <w:rFonts w:ascii="Times New Roman" w:eastAsia="Calibri" w:hAnsi="Times New Roman"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AE1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76C53"/>
      </w:tcPr>
    </w:tblStylePr>
    <w:tblStylePr w:type="lastRow">
      <w:rPr>
        <w:b/>
        <w:bCs/>
        <w:color w:val="000000"/>
      </w:rPr>
      <w:tblPr/>
      <w:tcPr>
        <w:tcBorders>
          <w:left w:val="single" w:sz="4" w:space="0" w:color="FFFFFF"/>
          <w:bottom w:val="single" w:sz="4" w:space="0" w:color="FFFFFF"/>
          <w:right w:val="single" w:sz="4" w:space="0" w:color="FFFFFF"/>
          <w:insideH w:val="nil"/>
          <w:insideV w:val="nil"/>
        </w:tcBorders>
        <w:shd w:val="clear" w:color="auto" w:fill="E76C5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76C5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76C53"/>
      </w:tcPr>
    </w:tblStylePr>
    <w:tblStylePr w:type="band1Vert">
      <w:tblPr/>
      <w:tcPr>
        <w:shd w:val="clear" w:color="auto" w:fill="F5C3B9"/>
      </w:tcPr>
    </w:tblStylePr>
    <w:tblStylePr w:type="band1Horz">
      <w:tblPr/>
      <w:tcPr>
        <w:shd w:val="clear" w:color="auto" w:fill="F5C3B9"/>
      </w:tcPr>
    </w:tblStylePr>
  </w:style>
  <w:style w:type="numbering" w:customStyle="1" w:styleId="LEMinorBulletList1">
    <w:name w:val="LE Minor Bullet List1"/>
    <w:basedOn w:val="NoList"/>
    <w:uiPriority w:val="99"/>
    <w:rsid w:val="00A37D74"/>
    <w:pPr>
      <w:numPr>
        <w:numId w:val="57"/>
      </w:numPr>
    </w:pPr>
  </w:style>
  <w:style w:type="table" w:customStyle="1" w:styleId="LightList-Accent14">
    <w:name w:val="Light List - Accent 14"/>
    <w:basedOn w:val="TableNormal"/>
    <w:next w:val="LightList-Accent1"/>
    <w:uiPriority w:val="61"/>
    <w:rsid w:val="00435AF7"/>
    <w:pPr>
      <w:spacing w:after="0" w:line="240" w:lineRule="auto"/>
    </w:pPr>
    <w:rPr>
      <w:rFonts w:ascii="Verdana" w:eastAsia="Times New Roman" w:hAnsi="Verdana" w:cs="Times New Roman"/>
      <w:sz w:val="18"/>
      <w:szCs w:val="18"/>
      <w:lang w:val="da-DK" w:eastAsia="da-DK"/>
    </w:rPr>
    <w:tblPr>
      <w:tblStyleRowBandSize w:val="1"/>
      <w:tblStyleColBandSize w:val="1"/>
      <w:tblBorders>
        <w:top w:val="single" w:sz="8" w:space="0" w:color="E76C53"/>
        <w:left w:val="single" w:sz="8" w:space="0" w:color="E76C53"/>
        <w:bottom w:val="single" w:sz="8" w:space="0" w:color="E76C53"/>
        <w:right w:val="single" w:sz="8" w:space="0" w:color="E76C53"/>
      </w:tblBorders>
    </w:tblPr>
    <w:tblStylePr w:type="firstRow">
      <w:pPr>
        <w:spacing w:before="0" w:after="0" w:line="240" w:lineRule="auto"/>
      </w:pPr>
      <w:rPr>
        <w:b/>
        <w:bCs/>
        <w:color w:val="FFFFFF"/>
      </w:rPr>
      <w:tblPr/>
      <w:tcPr>
        <w:shd w:val="clear" w:color="auto" w:fill="E76C53"/>
      </w:tcPr>
    </w:tblStylePr>
    <w:tblStylePr w:type="lastRow">
      <w:pPr>
        <w:spacing w:before="0" w:after="0" w:line="240" w:lineRule="auto"/>
      </w:pPr>
      <w:rPr>
        <w:b/>
        <w:bCs/>
      </w:rPr>
      <w:tblPr/>
      <w:tcPr>
        <w:tcBorders>
          <w:top w:val="double" w:sz="6" w:space="0" w:color="E76C53"/>
          <w:left w:val="single" w:sz="8" w:space="0" w:color="E76C53"/>
          <w:bottom w:val="single" w:sz="8" w:space="0" w:color="E76C53"/>
          <w:right w:val="single" w:sz="8" w:space="0" w:color="E76C53"/>
        </w:tcBorders>
      </w:tcPr>
    </w:tblStylePr>
    <w:tblStylePr w:type="firstCol">
      <w:rPr>
        <w:b/>
        <w:bCs/>
      </w:rPr>
    </w:tblStylePr>
    <w:tblStylePr w:type="lastCol">
      <w:rPr>
        <w:b/>
        <w:bCs/>
      </w:rPr>
    </w:tblStylePr>
    <w:tblStylePr w:type="band1Vert">
      <w:tblPr/>
      <w:tcPr>
        <w:tcBorders>
          <w:top w:val="single" w:sz="8" w:space="0" w:color="E76C53"/>
          <w:left w:val="single" w:sz="8" w:space="0" w:color="E76C53"/>
          <w:bottom w:val="single" w:sz="8" w:space="0" w:color="E76C53"/>
          <w:right w:val="single" w:sz="8" w:space="0" w:color="E76C53"/>
        </w:tcBorders>
      </w:tcPr>
    </w:tblStylePr>
    <w:tblStylePr w:type="band1Horz">
      <w:tblPr/>
      <w:tcPr>
        <w:tcBorders>
          <w:top w:val="single" w:sz="8" w:space="0" w:color="E76C53"/>
          <w:left w:val="single" w:sz="8" w:space="0" w:color="E76C53"/>
          <w:bottom w:val="single" w:sz="8" w:space="0" w:color="E76C53"/>
          <w:right w:val="single" w:sz="8" w:space="0" w:color="E76C53"/>
        </w:tcBorders>
      </w:tcPr>
    </w:tblStylePr>
  </w:style>
  <w:style w:type="table" w:customStyle="1" w:styleId="LightList-Accent311">
    <w:name w:val="Light List - Accent 311"/>
    <w:basedOn w:val="TableNormal"/>
    <w:next w:val="LightList-Accent3"/>
    <w:uiPriority w:val="61"/>
    <w:rsid w:val="00435AF7"/>
    <w:pPr>
      <w:spacing w:after="0" w:line="240" w:lineRule="auto"/>
    </w:pPr>
    <w:rPr>
      <w:rFonts w:ascii="Times" w:eastAsia="Times" w:hAnsi="Times" w:cs="Times New Roman"/>
      <w:sz w:val="20"/>
      <w:szCs w:val="20"/>
      <w:lang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table" w:customStyle="1" w:styleId="LightList-Accent33">
    <w:name w:val="Light List - Accent 33"/>
    <w:basedOn w:val="TableNormal"/>
    <w:next w:val="LightList-Accent3"/>
    <w:uiPriority w:val="61"/>
    <w:semiHidden/>
    <w:unhideWhenUsed/>
    <w:rsid w:val="00435AF7"/>
    <w:pPr>
      <w:spacing w:after="0" w:line="240" w:lineRule="auto"/>
    </w:pPr>
    <w:rPr>
      <w:rFonts w:ascii="Times New Roman" w:eastAsia="Calibri" w:hAnsi="Times New Roman" w:cs="Times New Roman"/>
      <w:sz w:val="20"/>
      <w:szCs w:val="20"/>
      <w:lang w:eastAsia="en-GB"/>
    </w:rPr>
    <w:tblPr>
      <w:tblStyleRowBandSize w:val="1"/>
      <w:tblStyleColBandSize w:val="1"/>
      <w:tblBorders>
        <w:top w:val="single" w:sz="8" w:space="0" w:color="ED8D2F"/>
        <w:left w:val="single" w:sz="8" w:space="0" w:color="ED8D2F"/>
        <w:bottom w:val="single" w:sz="8" w:space="0" w:color="ED8D2F"/>
        <w:right w:val="single" w:sz="8" w:space="0" w:color="ED8D2F"/>
      </w:tblBorders>
    </w:tblPr>
    <w:tblStylePr w:type="firstRow">
      <w:pPr>
        <w:spacing w:before="0" w:after="0" w:line="240" w:lineRule="auto"/>
      </w:pPr>
      <w:rPr>
        <w:b/>
        <w:bCs/>
        <w:color w:val="FFFFFF"/>
      </w:rPr>
      <w:tblPr/>
      <w:tcPr>
        <w:shd w:val="clear" w:color="auto" w:fill="ED8D2F"/>
      </w:tcPr>
    </w:tblStylePr>
    <w:tblStylePr w:type="lastRow">
      <w:pPr>
        <w:spacing w:before="0" w:after="0" w:line="240" w:lineRule="auto"/>
      </w:pPr>
      <w:rPr>
        <w:b/>
        <w:bCs/>
      </w:rPr>
      <w:tblPr/>
      <w:tcPr>
        <w:tcBorders>
          <w:top w:val="double" w:sz="6" w:space="0" w:color="ED8D2F"/>
          <w:left w:val="single" w:sz="8" w:space="0" w:color="ED8D2F"/>
          <w:bottom w:val="single" w:sz="8" w:space="0" w:color="ED8D2F"/>
          <w:right w:val="single" w:sz="8" w:space="0" w:color="ED8D2F"/>
        </w:tcBorders>
      </w:tcPr>
    </w:tblStylePr>
    <w:tblStylePr w:type="firstCol">
      <w:rPr>
        <w:b/>
        <w:bCs/>
      </w:rPr>
    </w:tblStylePr>
    <w:tblStylePr w:type="lastCol">
      <w:rPr>
        <w:b/>
        <w:bCs/>
      </w:rPr>
    </w:tblStylePr>
    <w:tblStylePr w:type="band1Vert">
      <w:tblPr/>
      <w:tcPr>
        <w:tcBorders>
          <w:top w:val="single" w:sz="8" w:space="0" w:color="ED8D2F"/>
          <w:left w:val="single" w:sz="8" w:space="0" w:color="ED8D2F"/>
          <w:bottom w:val="single" w:sz="8" w:space="0" w:color="ED8D2F"/>
          <w:right w:val="single" w:sz="8" w:space="0" w:color="ED8D2F"/>
        </w:tcBorders>
      </w:tcPr>
    </w:tblStylePr>
    <w:tblStylePr w:type="band1Horz">
      <w:tblPr/>
      <w:tcPr>
        <w:tcBorders>
          <w:top w:val="single" w:sz="8" w:space="0" w:color="ED8D2F"/>
          <w:left w:val="single" w:sz="8" w:space="0" w:color="ED8D2F"/>
          <w:bottom w:val="single" w:sz="8" w:space="0" w:color="ED8D2F"/>
          <w:right w:val="single" w:sz="8" w:space="0" w:color="ED8D2F"/>
        </w:tcBorders>
      </w:tcPr>
    </w:tblStylePr>
  </w:style>
  <w:style w:type="table" w:customStyle="1" w:styleId="LightList-Accent1211">
    <w:name w:val="Light List - Accent 1211"/>
    <w:uiPriority w:val="61"/>
    <w:rsid w:val="00435AF7"/>
    <w:pPr>
      <w:spacing w:after="0" w:line="240" w:lineRule="auto"/>
    </w:pPr>
    <w:rPr>
      <w:rFonts w:ascii="Calibri" w:eastAsia="Calibri" w:hAnsi="Calibri" w:cs="Times New Roman"/>
      <w:sz w:val="20"/>
      <w:szCs w:val="20"/>
      <w:lang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eGrid510">
    <w:name w:val="Table Grid51"/>
    <w:basedOn w:val="TableNormal"/>
    <w:next w:val="TableGrid"/>
    <w:uiPriority w:val="39"/>
    <w:rsid w:val="00435A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1">
    <w:name w:val="List bullets1"/>
    <w:basedOn w:val="NoList"/>
    <w:uiPriority w:val="99"/>
    <w:rsid w:val="00A37D74"/>
  </w:style>
  <w:style w:type="table" w:customStyle="1" w:styleId="ListTable3-Accent511">
    <w:name w:val="List Table 3 - Accent 511"/>
    <w:basedOn w:val="TableNormal"/>
    <w:uiPriority w:val="48"/>
    <w:rsid w:val="00435AF7"/>
    <w:pPr>
      <w:spacing w:after="0" w:line="240" w:lineRule="auto"/>
    </w:pPr>
    <w:tblPr>
      <w:tblStyleRowBandSize w:val="1"/>
      <w:tblStyleColBandSize w:val="1"/>
      <w:tblBorders>
        <w:top w:val="single" w:sz="4" w:space="0" w:color="4BC5DE"/>
        <w:left w:val="single" w:sz="4" w:space="0" w:color="4BC5DE"/>
        <w:bottom w:val="single" w:sz="4" w:space="0" w:color="4BC5DE"/>
        <w:right w:val="single" w:sz="4" w:space="0" w:color="4BC5DE"/>
      </w:tblBorders>
    </w:tblPr>
    <w:tblStylePr w:type="firstRow">
      <w:rPr>
        <w:b/>
        <w:bCs/>
        <w:color w:val="FFFFFF"/>
      </w:rPr>
      <w:tblPr/>
      <w:tcPr>
        <w:shd w:val="clear" w:color="auto" w:fill="4BC5DE"/>
      </w:tcPr>
    </w:tblStylePr>
    <w:tblStylePr w:type="lastRow">
      <w:rPr>
        <w:b/>
        <w:bCs/>
      </w:rPr>
      <w:tblPr/>
      <w:tcPr>
        <w:tcBorders>
          <w:top w:val="double" w:sz="4" w:space="0" w:color="4BC5D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C5DE"/>
          <w:right w:val="single" w:sz="4" w:space="0" w:color="4BC5DE"/>
        </w:tcBorders>
      </w:tcPr>
    </w:tblStylePr>
    <w:tblStylePr w:type="band1Horz">
      <w:tblPr/>
      <w:tcPr>
        <w:tcBorders>
          <w:top w:val="single" w:sz="4" w:space="0" w:color="4BC5DE"/>
          <w:bottom w:val="single" w:sz="4" w:space="0" w:color="4BC5D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C5DE"/>
          <w:left w:val="nil"/>
        </w:tcBorders>
      </w:tcPr>
    </w:tblStylePr>
    <w:tblStylePr w:type="swCell">
      <w:tblPr/>
      <w:tcPr>
        <w:tcBorders>
          <w:top w:val="double" w:sz="4" w:space="0" w:color="4BC5DE"/>
          <w:right w:val="nil"/>
        </w:tcBorders>
      </w:tcPr>
    </w:tblStylePr>
  </w:style>
  <w:style w:type="table" w:customStyle="1" w:styleId="Deloitte15">
    <w:name w:val="Deloitte15"/>
    <w:basedOn w:val="TableNormal"/>
    <w:rsid w:val="00435AF7"/>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22">
    <w:name w:val="Deloitte22"/>
    <w:basedOn w:val="TableNormal"/>
    <w:rsid w:val="00435AF7"/>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ustom21">
    <w:name w:val="Table Custom21"/>
    <w:basedOn w:val="TableNormal"/>
    <w:uiPriority w:val="99"/>
    <w:rsid w:val="00435AF7"/>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F5C3B9"/>
        <w:insideV w:val="single" w:sz="4" w:space="0" w:color="F5C3B9"/>
      </w:tblBorders>
      <w:tblCellMar>
        <w:top w:w="43" w:type="dxa"/>
        <w:left w:w="115" w:type="dxa"/>
        <w:bottom w:w="43" w:type="dxa"/>
        <w:right w:w="115" w:type="dxa"/>
      </w:tblCellMar>
    </w:tblPr>
    <w:tblStylePr w:type="firstRow">
      <w:rPr>
        <w:rFonts w:ascii="Arial" w:hAnsi="Arial" w:cs="Arial" w:hint="default"/>
        <w:b/>
        <w:color w:val="FFFFFF"/>
        <w:sz w:val="20"/>
        <w:szCs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Table1-PSPbrand11">
    <w:name w:val="Table 1 - PSP brand11"/>
    <w:basedOn w:val="TableNormal"/>
    <w:rsid w:val="00435AF7"/>
    <w:pPr>
      <w:spacing w:after="0" w:line="240" w:lineRule="auto"/>
    </w:pPr>
    <w:rPr>
      <w:rFonts w:ascii="Calibri" w:eastAsia="Calibri" w:hAnsi="Calibri" w:cs="Times New Roman"/>
      <w:sz w:val="24"/>
      <w:lang w:val="nl-NL" w:eastAsia="en-GB"/>
    </w:rPr>
    <w:tblPr>
      <w:tblStyleRowBandSize w:val="1"/>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cPr>
      <w:shd w:val="clear" w:color="auto" w:fill="FFFFFF"/>
    </w:tcPr>
    <w:tblStylePr w:type="firstRow">
      <w:rPr>
        <w:b/>
        <w:color w:val="E76C53"/>
      </w:rPr>
      <w:tblPr/>
      <w:tcPr>
        <w:shd w:val="clear" w:color="auto" w:fill="000000"/>
      </w:tcPr>
    </w:tblStylePr>
    <w:tblStylePr w:type="band2Horz">
      <w:tblPr/>
      <w:tcPr>
        <w:shd w:val="clear" w:color="auto" w:fill="DDD9C3"/>
      </w:tcPr>
    </w:tblStylePr>
  </w:style>
  <w:style w:type="table" w:customStyle="1" w:styleId="MainEUtablestyle-Alternative11">
    <w:name w:val="Main EU table style - Alternative11"/>
    <w:basedOn w:val="TableNormal"/>
    <w:uiPriority w:val="99"/>
    <w:rsid w:val="00435AF7"/>
    <w:pPr>
      <w:spacing w:after="120"/>
      <w:jc w:val="both"/>
    </w:pPr>
    <w:rPr>
      <w:rFonts w:ascii="Arial" w:eastAsia="Calibri" w:hAnsi="Arial" w:cs="Times New Roman"/>
      <w:sz w:val="18"/>
      <w:szCs w:val="20"/>
    </w:rPr>
    <w:tblPr>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blStylePr w:type="firstRow">
      <w:pPr>
        <w:jc w:val="left"/>
      </w:pPr>
      <w:rPr>
        <w:rFonts w:ascii="Arial" w:hAnsi="Arial" w:cs="Arial" w:hint="default"/>
        <w:b w:val="0"/>
        <w:color w:val="FFFFFF"/>
        <w:sz w:val="18"/>
        <w:szCs w:val="18"/>
      </w:rPr>
    </w:tblStylePr>
    <w:tblStylePr w:type="firstCol">
      <w:rPr>
        <w:rFonts w:ascii="Arial" w:hAnsi="Arial" w:cs="Arial" w:hint="default"/>
        <w:b/>
        <w:color w:val="FFFFFF"/>
        <w:sz w:val="20"/>
        <w:szCs w:val="20"/>
      </w:rPr>
      <w:tblPr/>
      <w:tcPr>
        <w:tcBorders>
          <w:top w:val="nil"/>
          <w:left w:val="nil"/>
          <w:bottom w:val="nil"/>
          <w:right w:val="nil"/>
          <w:insideH w:val="single" w:sz="4" w:space="0" w:color="FFFFFF"/>
          <w:insideV w:val="single" w:sz="4" w:space="0" w:color="FFFFFF"/>
        </w:tcBorders>
        <w:shd w:val="clear" w:color="auto" w:fill="E76C53"/>
      </w:tcPr>
    </w:tblStylePr>
  </w:style>
  <w:style w:type="table" w:customStyle="1" w:styleId="MediumShading1-Accent521">
    <w:name w:val="Medium Shading 1 - Accent 521"/>
    <w:basedOn w:val="TableNormal"/>
    <w:uiPriority w:val="63"/>
    <w:rsid w:val="00435AF7"/>
    <w:pPr>
      <w:spacing w:after="0" w:line="240" w:lineRule="auto"/>
    </w:pPr>
    <w:rPr>
      <w:rFonts w:ascii="Times New Roman" w:eastAsia="Calibri" w:hAnsi="Times New Roman" w:cs="Times New Roman"/>
      <w:sz w:val="20"/>
      <w:szCs w:val="20"/>
      <w:lang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Lines="0" w:before="0" w:beforeAutospacing="0" w:afterLines="0" w:after="0" w:afterAutospacing="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Lines="0" w:before="0" w:beforeAutospacing="0" w:afterLines="0" w:after="0" w:afterAutospacing="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ListTable41211">
    <w:name w:val="List Table 41211"/>
    <w:basedOn w:val="TableNormal"/>
    <w:uiPriority w:val="49"/>
    <w:rsid w:val="00435AF7"/>
    <w:pPr>
      <w:spacing w:after="0" w:line="240" w:lineRule="auto"/>
    </w:pPr>
    <w:rPr>
      <w:rFonts w:ascii="Calibri" w:eastAsia="MS PGothic" w:hAnsi="Calibri"/>
      <w:sz w:val="24"/>
    </w:rPr>
    <w:tblPr>
      <w:tblStyleRowBandSize w:val="1"/>
      <w:tblStyleColBandSize w:val="1"/>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cPr>
      <w:shd w:val="clear" w:color="auto" w:fill="FFFFFF"/>
      <w:vAlign w:val="center"/>
    </w:tcPr>
    <w:tblStylePr w:type="firstRow">
      <w:pPr>
        <w:jc w:val="left"/>
      </w:pPr>
      <w:rPr>
        <w:rFonts w:ascii="Calibri" w:hAnsi="Calibri" w:hint="default"/>
        <w:b/>
        <w:bCs/>
        <w:color w:val="FFFFFF"/>
        <w:sz w:val="24"/>
        <w:szCs w:val="24"/>
      </w:rPr>
      <w:tblPr/>
      <w:tcPr>
        <w:shd w:val="clear" w:color="auto" w:fill="000000"/>
      </w:tcPr>
    </w:tblStylePr>
    <w:tblStylePr w:type="lastRow">
      <w:pPr>
        <w:jc w:val="left"/>
      </w:pPr>
      <w:rPr>
        <w:rFonts w:ascii="Calibri" w:hAnsi="Calibri" w:hint="default"/>
        <w:b w:val="0"/>
        <w:bCs/>
        <w:sz w:val="24"/>
        <w:szCs w:val="24"/>
      </w:rPr>
    </w:tblStylePr>
    <w:tblStylePr w:type="firstCol">
      <w:pPr>
        <w:jc w:val="left"/>
      </w:pPr>
      <w:rPr>
        <w:rFonts w:ascii="Calibri" w:hAnsi="Calibri" w:hint="default"/>
        <w:b w:val="0"/>
        <w:bCs/>
        <w:sz w:val="24"/>
        <w:szCs w:val="24"/>
      </w:rPr>
    </w:tblStylePr>
    <w:tblStylePr w:type="lastCol">
      <w:pPr>
        <w:jc w:val="left"/>
      </w:pPr>
      <w:rPr>
        <w:rFonts w:ascii="Calibri" w:hAnsi="Calibri" w:hint="default"/>
        <w:b w:val="0"/>
        <w:bCs/>
        <w:color w:val="FFFFFF"/>
        <w:sz w:val="24"/>
        <w:szCs w:val="24"/>
      </w:rPr>
    </w:tblStylePr>
    <w:tblStylePr w:type="band1Vert">
      <w:pPr>
        <w:jc w:val="left"/>
      </w:pPr>
      <w:rPr>
        <w:rFonts w:ascii="Calibri" w:hAnsi="Calibri" w:hint="default"/>
        <w:sz w:val="24"/>
        <w:szCs w:val="24"/>
      </w:rPr>
    </w:tblStylePr>
    <w:tblStylePr w:type="band2Vert">
      <w:pPr>
        <w:jc w:val="left"/>
      </w:pPr>
      <w:rPr>
        <w:rFonts w:ascii="Calibri" w:hAnsi="Calibri" w:hint="default"/>
        <w:sz w:val="24"/>
        <w:szCs w:val="24"/>
      </w:rPr>
    </w:tblStylePr>
    <w:tblStylePr w:type="band1Horz">
      <w:pPr>
        <w:jc w:val="left"/>
      </w:pPr>
      <w:rPr>
        <w:rFonts w:ascii="Calibri" w:hAnsi="Calibri" w:hint="default"/>
        <w:sz w:val="24"/>
        <w:szCs w:val="24"/>
      </w:rPr>
    </w:tblStylePr>
    <w:tblStylePr w:type="band2Horz">
      <w:pPr>
        <w:jc w:val="left"/>
      </w:pPr>
      <w:rPr>
        <w:rFonts w:ascii="Calibri" w:hAnsi="Calibri" w:hint="default"/>
        <w:sz w:val="24"/>
        <w:szCs w:val="24"/>
      </w:rPr>
    </w:tblStylePr>
    <w:tblStylePr w:type="neCell">
      <w:pPr>
        <w:jc w:val="left"/>
      </w:pPr>
      <w:rPr>
        <w:rFonts w:ascii="Calibri" w:hAnsi="Calibri" w:hint="default"/>
        <w:color w:val="FFFFFF"/>
        <w:sz w:val="24"/>
        <w:szCs w:val="24"/>
      </w:rPr>
      <w:tblPr/>
      <w:tcPr>
        <w:shd w:val="clear" w:color="auto" w:fill="000000"/>
      </w:tcPr>
    </w:tblStylePr>
    <w:tblStylePr w:type="nwCell">
      <w:pPr>
        <w:jc w:val="left"/>
      </w:pPr>
      <w:rPr>
        <w:rFonts w:ascii="Calibri" w:hAnsi="Calibri" w:hint="default"/>
        <w:b/>
        <w:color w:val="FFFFFF"/>
        <w:sz w:val="24"/>
        <w:szCs w:val="24"/>
      </w:rPr>
      <w:tblPr/>
      <w:tcPr>
        <w:shd w:val="clear" w:color="auto" w:fill="000000"/>
      </w:tcPr>
    </w:tblStylePr>
    <w:tblStylePr w:type="seCell">
      <w:pPr>
        <w:jc w:val="left"/>
      </w:pPr>
      <w:rPr>
        <w:rFonts w:ascii="Calibri" w:hAnsi="Calibri" w:hint="default"/>
        <w:sz w:val="24"/>
        <w:szCs w:val="24"/>
      </w:rPr>
    </w:tblStylePr>
    <w:tblStylePr w:type="swCell">
      <w:pPr>
        <w:jc w:val="left"/>
      </w:pPr>
      <w:rPr>
        <w:rFonts w:ascii="Calibri" w:hAnsi="Calibri" w:hint="default"/>
        <w:sz w:val="24"/>
        <w:szCs w:val="24"/>
      </w:rPr>
    </w:tblStylePr>
  </w:style>
  <w:style w:type="table" w:customStyle="1" w:styleId="CoffeyTable121">
    <w:name w:val="Coffey Table 121"/>
    <w:basedOn w:val="TableGrid"/>
    <w:uiPriority w:val="99"/>
    <w:rsid w:val="00A37D74"/>
    <w:rPr>
      <w:rFonts w:ascii="Arial" w:eastAsia="Times New Roman" w:hAnsi="Arial" w:cs="Times New Roman"/>
      <w:sz w:val="18"/>
    </w:rPr>
    <w:tblPr/>
    <w:tcPr>
      <w:shd w:val="clear" w:color="auto" w:fill="FFFFFF"/>
    </w:tcPr>
    <w:tblStylePr w:type="firstRow">
      <w:pPr>
        <w:jc w:val="left"/>
      </w:pPr>
      <w:rPr>
        <w:rFonts w:ascii="Arial" w:hAnsi="Arial" w:cs="Arial" w:hint="default"/>
        <w:color w:val="FFFFFF"/>
        <w:sz w:val="20"/>
        <w:szCs w:val="20"/>
      </w:rPr>
      <w:tblPr/>
      <w:tcPr>
        <w:shd w:val="clear" w:color="auto" w:fill="FFC000"/>
      </w:tcPr>
    </w:tblStylePr>
  </w:style>
  <w:style w:type="table" w:customStyle="1" w:styleId="TableGrid111">
    <w:name w:val="Table Grid111"/>
    <w:basedOn w:val="TableNormal"/>
    <w:rsid w:val="00435AF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435AF7"/>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5111">
    <w:name w:val="Colorful Grid - Accent 5111"/>
    <w:basedOn w:val="TableNormal"/>
    <w:uiPriority w:val="73"/>
    <w:rsid w:val="00435AF7"/>
    <w:pPr>
      <w:spacing w:after="0" w:line="240" w:lineRule="auto"/>
    </w:pPr>
    <w:rPr>
      <w:rFonts w:ascii="Times New Roman" w:eastAsia="Calibri" w:hAnsi="Times New Roman" w:cs="Times New Roman"/>
      <w:color w:val="000000"/>
      <w:sz w:val="20"/>
      <w:szCs w:val="20"/>
    </w:rPr>
    <w:tblPr>
      <w:tblStyleRowBandSize w:val="1"/>
      <w:tblStyleColBandSize w:val="1"/>
      <w:tblBorders>
        <w:insideH w:val="single" w:sz="4" w:space="0" w:color="FFFFFF"/>
      </w:tblBorders>
    </w:tblPr>
    <w:tcPr>
      <w:shd w:val="clear" w:color="auto" w:fill="EAEEF0"/>
    </w:tcPr>
    <w:tblStylePr w:type="firstRow">
      <w:rPr>
        <w:b/>
        <w:bCs/>
      </w:rPr>
      <w:tblPr/>
      <w:tcPr>
        <w:shd w:val="clear" w:color="auto" w:fill="D5DDE1"/>
      </w:tcPr>
    </w:tblStylePr>
    <w:tblStylePr w:type="lastRow">
      <w:rPr>
        <w:b/>
        <w:bCs/>
        <w:color w:val="000000"/>
      </w:rPr>
      <w:tblPr/>
      <w:tcPr>
        <w:shd w:val="clear" w:color="auto" w:fill="D5DDE1"/>
      </w:tcPr>
    </w:tblStylePr>
    <w:tblStylePr w:type="firstCol">
      <w:rPr>
        <w:color w:val="FFFFFF"/>
      </w:rPr>
      <w:tblPr/>
      <w:tcPr>
        <w:shd w:val="clear" w:color="auto" w:fill="678292"/>
      </w:tcPr>
    </w:tblStylePr>
    <w:tblStylePr w:type="lastCol">
      <w:rPr>
        <w:color w:val="FFFFFF"/>
      </w:rPr>
      <w:tblPr/>
      <w:tcPr>
        <w:shd w:val="clear" w:color="auto" w:fill="678292"/>
      </w:tcPr>
    </w:tblStylePr>
    <w:tblStylePr w:type="band1Vert">
      <w:tblPr/>
      <w:tcPr>
        <w:shd w:val="clear" w:color="auto" w:fill="CBD5DA"/>
      </w:tcPr>
    </w:tblStylePr>
    <w:tblStylePr w:type="band1Horz">
      <w:tblPr/>
      <w:tcPr>
        <w:shd w:val="clear" w:color="auto" w:fill="CBD5DA"/>
      </w:tcPr>
    </w:tblStylePr>
  </w:style>
  <w:style w:type="table" w:customStyle="1" w:styleId="MediumGrid1-Accent5111">
    <w:name w:val="Medium Grid 1 - Accent 5111"/>
    <w:basedOn w:val="TableNormal"/>
    <w:uiPriority w:val="67"/>
    <w:rsid w:val="00435AF7"/>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insideV w:val="single" w:sz="8" w:space="0" w:color="B1C0C8"/>
      </w:tblBorders>
    </w:tblPr>
    <w:tcPr>
      <w:shd w:val="clear" w:color="auto" w:fill="E5EAED"/>
    </w:tcPr>
    <w:tblStylePr w:type="firstRow">
      <w:rPr>
        <w:b/>
        <w:bCs/>
      </w:rPr>
    </w:tblStylePr>
    <w:tblStylePr w:type="lastRow">
      <w:rPr>
        <w:b/>
        <w:bCs/>
      </w:rPr>
      <w:tblPr/>
      <w:tcPr>
        <w:tcBorders>
          <w:top w:val="single" w:sz="18" w:space="0" w:color="B1C0C8"/>
        </w:tcBorders>
      </w:tcPr>
    </w:tblStylePr>
    <w:tblStylePr w:type="firstCol">
      <w:rPr>
        <w:b/>
        <w:bCs/>
      </w:rPr>
    </w:tblStylePr>
    <w:tblStylePr w:type="lastCol">
      <w:rPr>
        <w:b/>
        <w:bCs/>
      </w:rPr>
    </w:tblStylePr>
    <w:tblStylePr w:type="band1Vert">
      <w:tblPr/>
      <w:tcPr>
        <w:shd w:val="clear" w:color="auto" w:fill="CBD5DA"/>
      </w:tcPr>
    </w:tblStylePr>
    <w:tblStylePr w:type="band1Horz">
      <w:tblPr/>
      <w:tcPr>
        <w:shd w:val="clear" w:color="auto" w:fill="CBD5DA"/>
      </w:tcPr>
    </w:tblStylePr>
  </w:style>
  <w:style w:type="table" w:customStyle="1" w:styleId="ColorfulList111">
    <w:name w:val="Colorful List111"/>
    <w:basedOn w:val="TableNormal"/>
    <w:uiPriority w:val="72"/>
    <w:rsid w:val="00435AF7"/>
    <w:pPr>
      <w:spacing w:after="0" w:line="240" w:lineRule="auto"/>
    </w:pPr>
    <w:rPr>
      <w:rFonts w:ascii="Times New Roman" w:eastAsia="Calibri" w:hAnsi="Times New Roman"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Accent1111">
    <w:name w:val="Light Grid - Accent 1111"/>
    <w:basedOn w:val="TableNormal"/>
    <w:uiPriority w:val="62"/>
    <w:rsid w:val="00435AF7"/>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4FAA5F"/>
        <w:left w:val="single" w:sz="8" w:space="0" w:color="4FAA5F"/>
        <w:bottom w:val="single" w:sz="8" w:space="0" w:color="4FAA5F"/>
        <w:right w:val="single" w:sz="8" w:space="0" w:color="4FAA5F"/>
        <w:insideH w:val="single" w:sz="8" w:space="0" w:color="4FAA5F"/>
        <w:insideV w:val="single" w:sz="8" w:space="0" w:color="4FAA5F"/>
      </w:tblBorders>
    </w:tblPr>
    <w:tblStylePr w:type="firstRow">
      <w:pPr>
        <w:spacing w:beforeLines="0" w:before="0" w:beforeAutospacing="0" w:afterLines="0" w:after="0" w:afterAutospacing="0" w:line="240" w:lineRule="auto"/>
      </w:pPr>
      <w:rPr>
        <w:rFonts w:ascii="@Microsoft YaHei UI" w:eastAsia="SimSun" w:hAnsi="@Microsoft YaHei UI" w:cs="Times New Roman" w:hint="default"/>
        <w:b/>
        <w:bCs/>
      </w:rPr>
      <w:tblPr/>
      <w:tcPr>
        <w:tcBorders>
          <w:top w:val="single" w:sz="8" w:space="0" w:color="4FAA5F"/>
          <w:left w:val="single" w:sz="8" w:space="0" w:color="4FAA5F"/>
          <w:bottom w:val="single" w:sz="18" w:space="0" w:color="4FAA5F"/>
          <w:right w:val="single" w:sz="8" w:space="0" w:color="4FAA5F"/>
          <w:insideH w:val="nil"/>
          <w:insideV w:val="single" w:sz="8" w:space="0" w:color="4FAA5F"/>
        </w:tcBorders>
      </w:tcPr>
    </w:tblStylePr>
    <w:tblStylePr w:type="lastRow">
      <w:pPr>
        <w:spacing w:beforeLines="0" w:before="0" w:beforeAutospacing="0" w:afterLines="0" w:after="0" w:afterAutospacing="0" w:line="240" w:lineRule="auto"/>
      </w:pPr>
      <w:rPr>
        <w:rFonts w:ascii="@Microsoft YaHei UI" w:eastAsia="SimSun" w:hAnsi="@Microsoft YaHei UI" w:cs="Times New Roman" w:hint="default"/>
        <w:b/>
        <w:bCs/>
      </w:rPr>
      <w:tblPr/>
      <w:tcPr>
        <w:tcBorders>
          <w:top w:val="double" w:sz="6" w:space="0" w:color="4FAA5F"/>
          <w:left w:val="single" w:sz="8" w:space="0" w:color="4FAA5F"/>
          <w:bottom w:val="single" w:sz="8" w:space="0" w:color="4FAA5F"/>
          <w:right w:val="single" w:sz="8" w:space="0" w:color="4FAA5F"/>
          <w:insideH w:val="nil"/>
          <w:insideV w:val="single" w:sz="8" w:space="0" w:color="4FAA5F"/>
        </w:tcBorders>
      </w:tcPr>
    </w:tblStylePr>
    <w:tblStylePr w:type="firstCol">
      <w:rPr>
        <w:rFonts w:ascii="@Microsoft YaHei UI" w:eastAsia="SimSun" w:hAnsi="@Microsoft YaHei UI" w:cs="Times New Roman" w:hint="default"/>
        <w:b/>
        <w:bCs/>
      </w:rPr>
    </w:tblStylePr>
    <w:tblStylePr w:type="lastCol">
      <w:rPr>
        <w:rFonts w:ascii="@Microsoft YaHei UI" w:eastAsia="SimSun" w:hAnsi="@Microsoft YaHei UI" w:cs="Times New Roman" w:hint="default"/>
        <w:b/>
        <w:bCs/>
      </w:rPr>
      <w:tblPr/>
      <w:tcPr>
        <w:tcBorders>
          <w:top w:val="single" w:sz="8" w:space="0" w:color="4FAA5F"/>
          <w:left w:val="single" w:sz="8" w:space="0" w:color="4FAA5F"/>
          <w:bottom w:val="single" w:sz="8" w:space="0" w:color="4FAA5F"/>
          <w:right w:val="single" w:sz="8" w:space="0" w:color="4FAA5F"/>
        </w:tcBorders>
      </w:tcPr>
    </w:tblStylePr>
    <w:tblStylePr w:type="band1Vert">
      <w:tblPr/>
      <w:tcPr>
        <w:tcBorders>
          <w:top w:val="single" w:sz="8" w:space="0" w:color="4FAA5F"/>
          <w:left w:val="single" w:sz="8" w:space="0" w:color="4FAA5F"/>
          <w:bottom w:val="single" w:sz="8" w:space="0" w:color="4FAA5F"/>
          <w:right w:val="single" w:sz="8" w:space="0" w:color="4FAA5F"/>
        </w:tcBorders>
        <w:shd w:val="clear" w:color="auto" w:fill="D2EAD6"/>
      </w:tcPr>
    </w:tblStylePr>
    <w:tblStylePr w:type="band1Horz">
      <w:tblPr/>
      <w:tcPr>
        <w:tcBorders>
          <w:top w:val="single" w:sz="8" w:space="0" w:color="4FAA5F"/>
          <w:left w:val="single" w:sz="8" w:space="0" w:color="4FAA5F"/>
          <w:bottom w:val="single" w:sz="8" w:space="0" w:color="4FAA5F"/>
          <w:right w:val="single" w:sz="8" w:space="0" w:color="4FAA5F"/>
          <w:insideV w:val="single" w:sz="8" w:space="0" w:color="4FAA5F"/>
        </w:tcBorders>
        <w:shd w:val="clear" w:color="auto" w:fill="D2EAD6"/>
      </w:tcPr>
    </w:tblStylePr>
    <w:tblStylePr w:type="band2Horz">
      <w:tblPr/>
      <w:tcPr>
        <w:tcBorders>
          <w:top w:val="single" w:sz="8" w:space="0" w:color="4FAA5F"/>
          <w:left w:val="single" w:sz="8" w:space="0" w:color="4FAA5F"/>
          <w:bottom w:val="single" w:sz="8" w:space="0" w:color="4FAA5F"/>
          <w:right w:val="single" w:sz="8" w:space="0" w:color="4FAA5F"/>
          <w:insideV w:val="single" w:sz="8" w:space="0" w:color="4FAA5F"/>
        </w:tcBorders>
      </w:tcPr>
    </w:tblStylePr>
  </w:style>
  <w:style w:type="table" w:customStyle="1" w:styleId="MediumShading1-Accent1111">
    <w:name w:val="Medium Shading 1 - Accent 1111"/>
    <w:basedOn w:val="TableNormal"/>
    <w:uiPriority w:val="63"/>
    <w:rsid w:val="00435AF7"/>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79C185"/>
        <w:left w:val="single" w:sz="8" w:space="0" w:color="79C185"/>
        <w:bottom w:val="single" w:sz="8" w:space="0" w:color="79C185"/>
        <w:right w:val="single" w:sz="8" w:space="0" w:color="79C185"/>
        <w:insideH w:val="single" w:sz="8" w:space="0" w:color="79C185"/>
      </w:tblBorders>
    </w:tblPr>
    <w:tblStylePr w:type="firstRow">
      <w:pPr>
        <w:spacing w:beforeLines="0" w:before="0" w:beforeAutospacing="0" w:afterLines="0" w:after="0" w:afterAutospacing="0" w:line="240" w:lineRule="auto"/>
      </w:pPr>
      <w:rPr>
        <w:b/>
        <w:bCs/>
        <w:color w:val="FFFFFF"/>
      </w:rPr>
      <w:tblPr/>
      <w:tcPr>
        <w:tcBorders>
          <w:top w:val="single" w:sz="8" w:space="0" w:color="79C185"/>
          <w:left w:val="single" w:sz="8" w:space="0" w:color="79C185"/>
          <w:bottom w:val="single" w:sz="8" w:space="0" w:color="79C185"/>
          <w:right w:val="single" w:sz="8" w:space="0" w:color="79C185"/>
          <w:insideH w:val="nil"/>
          <w:insideV w:val="nil"/>
        </w:tcBorders>
        <w:shd w:val="clear" w:color="auto" w:fill="4FAA5F"/>
      </w:tcPr>
    </w:tblStylePr>
    <w:tblStylePr w:type="lastRow">
      <w:pPr>
        <w:spacing w:beforeLines="0" w:before="0" w:beforeAutospacing="0" w:afterLines="0" w:after="0" w:afterAutospacing="0" w:line="240" w:lineRule="auto"/>
      </w:pPr>
      <w:rPr>
        <w:b/>
        <w:bCs/>
      </w:rPr>
      <w:tblPr/>
      <w:tcPr>
        <w:tcBorders>
          <w:top w:val="double" w:sz="6" w:space="0" w:color="79C185"/>
          <w:left w:val="single" w:sz="8" w:space="0" w:color="79C185"/>
          <w:bottom w:val="single" w:sz="8" w:space="0" w:color="79C185"/>
          <w:right w:val="single" w:sz="8" w:space="0" w:color="79C185"/>
          <w:insideH w:val="nil"/>
          <w:insideV w:val="nil"/>
        </w:tcBorders>
      </w:tcPr>
    </w:tblStylePr>
    <w:tblStylePr w:type="firstCol">
      <w:rPr>
        <w:b/>
        <w:bCs/>
      </w:rPr>
    </w:tblStylePr>
    <w:tblStylePr w:type="lastCol">
      <w:rPr>
        <w:b/>
        <w:bCs/>
      </w:rPr>
    </w:tblStylePr>
    <w:tblStylePr w:type="band1Vert">
      <w:tblPr/>
      <w:tcPr>
        <w:shd w:val="clear" w:color="auto" w:fill="D2EAD6"/>
      </w:tcPr>
    </w:tblStylePr>
    <w:tblStylePr w:type="band1Horz">
      <w:tblPr/>
      <w:tcPr>
        <w:tcBorders>
          <w:insideH w:val="nil"/>
          <w:insideV w:val="nil"/>
        </w:tcBorders>
        <w:shd w:val="clear" w:color="auto" w:fill="D2EAD6"/>
      </w:tcPr>
    </w:tblStylePr>
    <w:tblStylePr w:type="band2Horz">
      <w:tblPr/>
      <w:tcPr>
        <w:tcBorders>
          <w:insideH w:val="nil"/>
          <w:insideV w:val="nil"/>
        </w:tcBorders>
      </w:tcPr>
    </w:tblStylePr>
  </w:style>
  <w:style w:type="table" w:customStyle="1" w:styleId="ColorfulList-Accent1111">
    <w:name w:val="Colorful List - Accent 1111"/>
    <w:basedOn w:val="TableNormal"/>
    <w:uiPriority w:val="72"/>
    <w:rsid w:val="00435AF7"/>
    <w:pPr>
      <w:spacing w:after="0" w:line="240" w:lineRule="auto"/>
    </w:pPr>
    <w:rPr>
      <w:rFonts w:ascii="Times New Roman" w:eastAsia="Calibri" w:hAnsi="Times New Roman" w:cs="Times New Roman"/>
      <w:color w:val="000000"/>
      <w:sz w:val="20"/>
      <w:szCs w:val="20"/>
    </w:rPr>
    <w:tblPr>
      <w:tblStyleRowBandSize w:val="1"/>
      <w:tblStyleColBandSize w:val="1"/>
    </w:tblPr>
    <w:tcPr>
      <w:shd w:val="clear" w:color="auto" w:fill="EDF7EF"/>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D6"/>
      </w:tcPr>
    </w:tblStylePr>
    <w:tblStylePr w:type="band1Horz">
      <w:tblPr/>
      <w:tcPr>
        <w:shd w:val="clear" w:color="auto" w:fill="DBEEDE"/>
      </w:tcPr>
    </w:tblStylePr>
  </w:style>
  <w:style w:type="table" w:customStyle="1" w:styleId="CoffeyTable1111">
    <w:name w:val="Coffey Table 1111"/>
    <w:basedOn w:val="TableGrid"/>
    <w:uiPriority w:val="99"/>
    <w:rsid w:val="00A37D74"/>
    <w:rPr>
      <w:rFonts w:ascii="Arial" w:eastAsia="Calibri" w:hAnsi="Arial" w:cs="Times New Roman"/>
      <w:sz w:val="18"/>
      <w:lang w:eastAsia="en-US"/>
    </w:rPr>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MediumShading1-Accent5111">
    <w:name w:val="Medium Shading 1 - Accent 5111"/>
    <w:basedOn w:val="TableNormal"/>
    <w:uiPriority w:val="63"/>
    <w:rsid w:val="00435AF7"/>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Lines="0" w:before="0" w:beforeAutospacing="0" w:afterLines="0" w:after="0" w:afterAutospacing="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Lines="0" w:before="0" w:beforeAutospacing="0" w:afterLines="0" w:after="0" w:afterAutospacing="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TableCustom111">
    <w:name w:val="Table Custom111"/>
    <w:basedOn w:val="TableNormal"/>
    <w:uiPriority w:val="99"/>
    <w:rsid w:val="00435AF7"/>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B7DDBE"/>
        <w:insideV w:val="single" w:sz="4" w:space="0" w:color="B7DDBE"/>
      </w:tblBorders>
      <w:tblCellMar>
        <w:top w:w="43" w:type="dxa"/>
        <w:left w:w="115" w:type="dxa"/>
        <w:bottom w:w="43" w:type="dxa"/>
        <w:right w:w="115" w:type="dxa"/>
      </w:tblCellMar>
    </w:tblPr>
    <w:tblStylePr w:type="firstRow">
      <w:rPr>
        <w:rFonts w:ascii="Arial" w:hAnsi="Arial" w:cs="Arial" w:hint="default"/>
        <w:b/>
        <w:color w:val="FFFFFF"/>
        <w:sz w:val="20"/>
        <w:szCs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ColorfulGrid-Accent521">
    <w:name w:val="Colorful Grid - Accent 521"/>
    <w:basedOn w:val="TableNormal"/>
    <w:uiPriority w:val="73"/>
    <w:semiHidden/>
    <w:rsid w:val="00435AF7"/>
    <w:pPr>
      <w:spacing w:after="0" w:line="240" w:lineRule="auto"/>
    </w:pPr>
    <w:rPr>
      <w:rFonts w:eastAsia="MS PGothic"/>
      <w:color w:val="000000"/>
      <w:sz w:val="24"/>
      <w:szCs w:val="24"/>
      <w:lang w:val="en-US"/>
    </w:rPr>
    <w:tblPr>
      <w:tblStyleRowBandSize w:val="1"/>
      <w:tblStyleColBandSize w:val="1"/>
      <w:tblBorders>
        <w:insideH w:val="single" w:sz="4" w:space="0" w:color="FFFFFF"/>
      </w:tblBorders>
    </w:tblPr>
    <w:tcPr>
      <w:shd w:val="clear" w:color="auto" w:fill="DAF3F8"/>
    </w:tcPr>
    <w:tblStylePr w:type="firstRow">
      <w:rPr>
        <w:b/>
        <w:bCs/>
      </w:rPr>
      <w:tblPr/>
      <w:tcPr>
        <w:shd w:val="clear" w:color="auto" w:fill="B6E7F1"/>
      </w:tcPr>
    </w:tblStylePr>
    <w:tblStylePr w:type="lastRow">
      <w:rPr>
        <w:b/>
        <w:bCs/>
        <w:color w:val="000000"/>
      </w:rPr>
      <w:tblPr/>
      <w:tcPr>
        <w:shd w:val="clear" w:color="auto" w:fill="B6E7F1"/>
      </w:tcPr>
    </w:tblStylePr>
    <w:tblStylePr w:type="firstCol">
      <w:rPr>
        <w:color w:val="FFFFFF"/>
      </w:rPr>
      <w:tblPr/>
      <w:tcPr>
        <w:shd w:val="clear" w:color="auto" w:fill="22A1BB"/>
      </w:tcPr>
    </w:tblStylePr>
    <w:tblStylePr w:type="lastCol">
      <w:rPr>
        <w:color w:val="FFFFFF"/>
      </w:rPr>
      <w:tblPr/>
      <w:tcPr>
        <w:shd w:val="clear" w:color="auto" w:fill="22A1BB"/>
      </w:tcPr>
    </w:tblStylePr>
    <w:tblStylePr w:type="band1Vert">
      <w:tblPr/>
      <w:tcPr>
        <w:shd w:val="clear" w:color="auto" w:fill="A5E1EE"/>
      </w:tcPr>
    </w:tblStylePr>
    <w:tblStylePr w:type="band1Horz">
      <w:tblPr/>
      <w:tcPr>
        <w:shd w:val="clear" w:color="auto" w:fill="A5E1EE"/>
      </w:tcPr>
    </w:tblStylePr>
  </w:style>
  <w:style w:type="table" w:customStyle="1" w:styleId="MediumGrid1-Accent521">
    <w:name w:val="Medium Grid 1 - Accent 521"/>
    <w:basedOn w:val="TableNormal"/>
    <w:uiPriority w:val="67"/>
    <w:semiHidden/>
    <w:rsid w:val="00435AF7"/>
    <w:pPr>
      <w:spacing w:after="0" w:line="240" w:lineRule="auto"/>
    </w:pPr>
    <w:rPr>
      <w:rFonts w:eastAsia="MS PGothic"/>
      <w:sz w:val="24"/>
      <w:szCs w:val="24"/>
      <w:lang w:val="en-US"/>
    </w:rPr>
    <w:tblPr>
      <w:tblStyleRowBandSize w:val="1"/>
      <w:tblStyleColBandSize w:val="1"/>
      <w:tblBorders>
        <w:top w:val="single" w:sz="8" w:space="0" w:color="78D3E6"/>
        <w:left w:val="single" w:sz="8" w:space="0" w:color="78D3E6"/>
        <w:bottom w:val="single" w:sz="8" w:space="0" w:color="78D3E6"/>
        <w:right w:val="single" w:sz="8" w:space="0" w:color="78D3E6"/>
        <w:insideH w:val="single" w:sz="8" w:space="0" w:color="78D3E6"/>
        <w:insideV w:val="single" w:sz="8" w:space="0" w:color="78D3E6"/>
      </w:tblBorders>
    </w:tblPr>
    <w:tcPr>
      <w:shd w:val="clear" w:color="auto" w:fill="D2F0F6"/>
    </w:tcPr>
    <w:tblStylePr w:type="firstRow">
      <w:rPr>
        <w:b/>
        <w:bCs/>
      </w:rPr>
    </w:tblStylePr>
    <w:tblStylePr w:type="lastRow">
      <w:rPr>
        <w:b/>
        <w:bCs/>
      </w:rPr>
      <w:tblPr/>
      <w:tcPr>
        <w:tcBorders>
          <w:top w:val="single" w:sz="18" w:space="0" w:color="78D3E6"/>
        </w:tcBorders>
      </w:tcPr>
    </w:tblStylePr>
    <w:tblStylePr w:type="firstCol">
      <w:rPr>
        <w:b/>
        <w:bCs/>
      </w:rPr>
    </w:tblStylePr>
    <w:tblStylePr w:type="lastCol">
      <w:rPr>
        <w:b/>
        <w:bCs/>
      </w:rPr>
    </w:tblStylePr>
    <w:tblStylePr w:type="band1Vert">
      <w:tblPr/>
      <w:tcPr>
        <w:shd w:val="clear" w:color="auto" w:fill="A5E1EE"/>
      </w:tcPr>
    </w:tblStylePr>
    <w:tblStylePr w:type="band1Horz">
      <w:tblPr/>
      <w:tcPr>
        <w:shd w:val="clear" w:color="auto" w:fill="A5E1EE"/>
      </w:tcPr>
    </w:tblStylePr>
  </w:style>
  <w:style w:type="table" w:customStyle="1" w:styleId="ColorfulList21">
    <w:name w:val="Colorful List21"/>
    <w:basedOn w:val="TableNormal"/>
    <w:uiPriority w:val="72"/>
    <w:semiHidden/>
    <w:rsid w:val="00435AF7"/>
    <w:pPr>
      <w:spacing w:after="0" w:line="240" w:lineRule="auto"/>
    </w:pPr>
    <w:rPr>
      <w:rFonts w:eastAsia="MS PGothic"/>
      <w:color w:val="000000"/>
      <w:sz w:val="24"/>
      <w:szCs w:val="24"/>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Accent122">
    <w:name w:val="Light Grid - Accent 122"/>
    <w:basedOn w:val="TableNormal"/>
    <w:uiPriority w:val="62"/>
    <w:semiHidden/>
    <w:rsid w:val="00435AF7"/>
    <w:pPr>
      <w:spacing w:after="0" w:line="240" w:lineRule="auto"/>
    </w:pPr>
    <w:rPr>
      <w:rFonts w:eastAsia="MS PGothic"/>
      <w:sz w:val="24"/>
      <w:szCs w:val="24"/>
      <w:lang w:val="en-US"/>
    </w:rPr>
    <w:tblPr>
      <w:tblStyleRowBandSize w:val="1"/>
      <w:tblStyleColBandSize w:val="1"/>
      <w:tblBorders>
        <w:top w:val="single" w:sz="8" w:space="0" w:color="E76C53"/>
        <w:left w:val="single" w:sz="8" w:space="0" w:color="E76C53"/>
        <w:bottom w:val="single" w:sz="8" w:space="0" w:color="E76C53"/>
        <w:right w:val="single" w:sz="8" w:space="0" w:color="E76C53"/>
        <w:insideH w:val="single" w:sz="8" w:space="0" w:color="E76C53"/>
        <w:insideV w:val="single" w:sz="8" w:space="0" w:color="E76C53"/>
      </w:tblBorders>
    </w:tblPr>
    <w:tblStylePr w:type="firstRow">
      <w:pPr>
        <w:spacing w:beforeLines="0" w:before="0" w:beforeAutospacing="0" w:afterLines="0" w:after="0" w:afterAutospacing="0" w:line="240" w:lineRule="auto"/>
      </w:pPr>
      <w:rPr>
        <w:rFonts w:ascii="Arial" w:eastAsia="EC Square Sans Cond Pro Thin" w:hAnsi="Arial" w:cs="Arial" w:hint="default"/>
        <w:b/>
        <w:bCs/>
      </w:rPr>
      <w:tblPr/>
      <w:tcPr>
        <w:tcBorders>
          <w:top w:val="single" w:sz="8" w:space="0" w:color="E76C53"/>
          <w:left w:val="single" w:sz="8" w:space="0" w:color="E76C53"/>
          <w:bottom w:val="single" w:sz="18" w:space="0" w:color="E76C53"/>
          <w:right w:val="single" w:sz="8" w:space="0" w:color="E76C53"/>
          <w:insideH w:val="nil"/>
          <w:insideV w:val="single" w:sz="8" w:space="0" w:color="E76C53"/>
        </w:tcBorders>
      </w:tcPr>
    </w:tblStylePr>
    <w:tblStylePr w:type="lastRow">
      <w:pPr>
        <w:spacing w:beforeLines="0" w:before="0" w:beforeAutospacing="0" w:afterLines="0" w:after="0" w:afterAutospacing="0" w:line="240" w:lineRule="auto"/>
      </w:pPr>
      <w:rPr>
        <w:rFonts w:ascii="Arial" w:eastAsia="EC Square Sans Cond Pro Thin" w:hAnsi="Arial" w:cs="Arial" w:hint="default"/>
        <w:b/>
        <w:bCs/>
      </w:rPr>
      <w:tblPr/>
      <w:tcPr>
        <w:tcBorders>
          <w:top w:val="double" w:sz="6" w:space="0" w:color="E76C53"/>
          <w:left w:val="single" w:sz="8" w:space="0" w:color="E76C53"/>
          <w:bottom w:val="single" w:sz="8" w:space="0" w:color="E76C53"/>
          <w:right w:val="single" w:sz="8" w:space="0" w:color="E76C53"/>
          <w:insideH w:val="nil"/>
          <w:insideV w:val="single" w:sz="8" w:space="0" w:color="E76C53"/>
        </w:tcBorders>
      </w:tcPr>
    </w:tblStylePr>
    <w:tblStylePr w:type="firstCol">
      <w:rPr>
        <w:rFonts w:ascii="Arial" w:eastAsia="EC Square Sans Cond Pro Thin" w:hAnsi="Arial" w:cs="Arial" w:hint="default"/>
        <w:b/>
        <w:bCs/>
      </w:rPr>
    </w:tblStylePr>
    <w:tblStylePr w:type="lastCol">
      <w:rPr>
        <w:rFonts w:ascii="Arial" w:eastAsia="EC Square Sans Cond Pro Thin" w:hAnsi="Arial" w:cs="Arial" w:hint="default"/>
        <w:b/>
        <w:bCs/>
      </w:rPr>
      <w:tblPr/>
      <w:tcPr>
        <w:tcBorders>
          <w:top w:val="single" w:sz="8" w:space="0" w:color="E76C53"/>
          <w:left w:val="single" w:sz="8" w:space="0" w:color="E76C53"/>
          <w:bottom w:val="single" w:sz="8" w:space="0" w:color="E76C53"/>
          <w:right w:val="single" w:sz="8" w:space="0" w:color="E76C53"/>
        </w:tcBorders>
      </w:tcPr>
    </w:tblStylePr>
    <w:tblStylePr w:type="band1Vert">
      <w:tblPr/>
      <w:tcPr>
        <w:tcBorders>
          <w:top w:val="single" w:sz="8" w:space="0" w:color="E76C53"/>
          <w:left w:val="single" w:sz="8" w:space="0" w:color="E76C53"/>
          <w:bottom w:val="single" w:sz="8" w:space="0" w:color="E76C53"/>
          <w:right w:val="single" w:sz="8" w:space="0" w:color="E76C53"/>
        </w:tcBorders>
        <w:shd w:val="clear" w:color="auto" w:fill="F9DAD4"/>
      </w:tcPr>
    </w:tblStylePr>
    <w:tblStylePr w:type="band1Horz">
      <w:tblPr/>
      <w:tcPr>
        <w:tcBorders>
          <w:top w:val="single" w:sz="8" w:space="0" w:color="E76C53"/>
          <w:left w:val="single" w:sz="8" w:space="0" w:color="E76C53"/>
          <w:bottom w:val="single" w:sz="8" w:space="0" w:color="E76C53"/>
          <w:right w:val="single" w:sz="8" w:space="0" w:color="E76C53"/>
          <w:insideV w:val="single" w:sz="8" w:space="0" w:color="E76C53"/>
        </w:tcBorders>
        <w:shd w:val="clear" w:color="auto" w:fill="F9DAD4"/>
      </w:tcPr>
    </w:tblStylePr>
    <w:tblStylePr w:type="band2Horz">
      <w:tblPr/>
      <w:tcPr>
        <w:tcBorders>
          <w:top w:val="single" w:sz="8" w:space="0" w:color="E76C53"/>
          <w:left w:val="single" w:sz="8" w:space="0" w:color="E76C53"/>
          <w:bottom w:val="single" w:sz="8" w:space="0" w:color="E76C53"/>
          <w:right w:val="single" w:sz="8" w:space="0" w:color="E76C53"/>
          <w:insideV w:val="single" w:sz="8" w:space="0" w:color="E76C53"/>
        </w:tcBorders>
      </w:tcPr>
    </w:tblStylePr>
  </w:style>
  <w:style w:type="table" w:customStyle="1" w:styleId="MediumShading1-Accent122">
    <w:name w:val="Medium Shading 1 - Accent 122"/>
    <w:basedOn w:val="TableNormal"/>
    <w:uiPriority w:val="63"/>
    <w:semiHidden/>
    <w:rsid w:val="00435AF7"/>
    <w:pPr>
      <w:spacing w:after="0" w:line="240" w:lineRule="auto"/>
    </w:pPr>
    <w:rPr>
      <w:rFonts w:eastAsia="MS PGothic"/>
      <w:sz w:val="24"/>
      <w:szCs w:val="24"/>
      <w:lang w:val="en-US"/>
    </w:rPr>
    <w:tblPr>
      <w:tblStyleRowBandSize w:val="1"/>
      <w:tblStyleColBandSize w:val="1"/>
      <w:tblBorders>
        <w:top w:val="single" w:sz="8" w:space="0" w:color="ED907E"/>
        <w:left w:val="single" w:sz="8" w:space="0" w:color="ED907E"/>
        <w:bottom w:val="single" w:sz="8" w:space="0" w:color="ED907E"/>
        <w:right w:val="single" w:sz="8" w:space="0" w:color="ED907E"/>
        <w:insideH w:val="single" w:sz="8" w:space="0" w:color="ED907E"/>
      </w:tblBorders>
    </w:tblPr>
    <w:tblStylePr w:type="firstRow">
      <w:pPr>
        <w:spacing w:beforeLines="0" w:before="0" w:beforeAutospacing="0" w:afterLines="0" w:after="0" w:afterAutospacing="0" w:line="240" w:lineRule="auto"/>
      </w:pPr>
      <w:rPr>
        <w:b/>
        <w:bCs/>
        <w:color w:val="FFFFFF"/>
      </w:rPr>
      <w:tblPr/>
      <w:tcPr>
        <w:tcBorders>
          <w:top w:val="single" w:sz="8" w:space="0" w:color="ED907E"/>
          <w:left w:val="single" w:sz="8" w:space="0" w:color="ED907E"/>
          <w:bottom w:val="single" w:sz="8" w:space="0" w:color="ED907E"/>
          <w:right w:val="single" w:sz="8" w:space="0" w:color="ED907E"/>
          <w:insideH w:val="nil"/>
          <w:insideV w:val="nil"/>
        </w:tcBorders>
        <w:shd w:val="clear" w:color="auto" w:fill="E76C53"/>
      </w:tcPr>
    </w:tblStylePr>
    <w:tblStylePr w:type="lastRow">
      <w:pPr>
        <w:spacing w:beforeLines="0" w:before="0" w:beforeAutospacing="0" w:afterLines="0" w:after="0" w:afterAutospacing="0" w:line="240" w:lineRule="auto"/>
      </w:pPr>
      <w:rPr>
        <w:b/>
        <w:bCs/>
      </w:rPr>
      <w:tblPr/>
      <w:tcPr>
        <w:tcBorders>
          <w:top w:val="double" w:sz="6" w:space="0" w:color="ED907E"/>
          <w:left w:val="single" w:sz="8" w:space="0" w:color="ED907E"/>
          <w:bottom w:val="single" w:sz="8" w:space="0" w:color="ED907E"/>
          <w:right w:val="single" w:sz="8" w:space="0" w:color="ED907E"/>
          <w:insideH w:val="nil"/>
          <w:insideV w:val="nil"/>
        </w:tcBorders>
      </w:tcPr>
    </w:tblStylePr>
    <w:tblStylePr w:type="firstCol">
      <w:rPr>
        <w:b/>
        <w:bCs/>
      </w:rPr>
    </w:tblStylePr>
    <w:tblStylePr w:type="lastCol">
      <w:rPr>
        <w:b/>
        <w:bCs/>
      </w:rPr>
    </w:tblStylePr>
    <w:tblStylePr w:type="band1Vert">
      <w:tblPr/>
      <w:tcPr>
        <w:shd w:val="clear" w:color="auto" w:fill="F9DAD4"/>
      </w:tcPr>
    </w:tblStylePr>
    <w:tblStylePr w:type="band1Horz">
      <w:tblPr/>
      <w:tcPr>
        <w:tcBorders>
          <w:insideH w:val="nil"/>
          <w:insideV w:val="nil"/>
        </w:tcBorders>
        <w:shd w:val="clear" w:color="auto" w:fill="F9DAD4"/>
      </w:tcPr>
    </w:tblStylePr>
    <w:tblStylePr w:type="band2Horz">
      <w:tblPr/>
      <w:tcPr>
        <w:tcBorders>
          <w:insideH w:val="nil"/>
          <w:insideV w:val="nil"/>
        </w:tcBorders>
      </w:tcPr>
    </w:tblStylePr>
  </w:style>
  <w:style w:type="table" w:customStyle="1" w:styleId="ColorfulList-Accent121">
    <w:name w:val="Colorful List - Accent 121"/>
    <w:basedOn w:val="TableNormal"/>
    <w:uiPriority w:val="72"/>
    <w:semiHidden/>
    <w:rsid w:val="00435AF7"/>
    <w:pPr>
      <w:spacing w:after="0" w:line="240" w:lineRule="auto"/>
    </w:pPr>
    <w:rPr>
      <w:rFonts w:eastAsia="MS PGothic"/>
      <w:color w:val="000000"/>
      <w:sz w:val="24"/>
      <w:szCs w:val="24"/>
      <w:lang w:val="en-US"/>
    </w:rPr>
    <w:tblPr>
      <w:tblStyleRowBandSize w:val="1"/>
      <w:tblStyleColBandSize w:val="1"/>
    </w:tblPr>
    <w:tcPr>
      <w:shd w:val="clear" w:color="auto" w:fill="FCF0EE"/>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AD4"/>
      </w:tcPr>
    </w:tblStylePr>
    <w:tblStylePr w:type="band1Horz">
      <w:tblPr/>
      <w:tcPr>
        <w:shd w:val="clear" w:color="auto" w:fill="FAE1DC"/>
      </w:tcPr>
    </w:tblStylePr>
  </w:style>
  <w:style w:type="table" w:customStyle="1" w:styleId="TableauGrille5Fonc-Accentuation611">
    <w:name w:val="Tableau Grille 5 Foncé - Accentuation 611"/>
    <w:basedOn w:val="TableNormal"/>
    <w:uiPriority w:val="50"/>
    <w:rsid w:val="00435A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6F0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E858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E858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E858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E858B"/>
      </w:tcPr>
    </w:tblStylePr>
    <w:tblStylePr w:type="band1Vert">
      <w:tblPr/>
      <w:tcPr>
        <w:shd w:val="clear" w:color="auto" w:fill="8EE1E6"/>
      </w:tcPr>
    </w:tblStylePr>
    <w:tblStylePr w:type="band1Horz">
      <w:tblPr/>
      <w:tcPr>
        <w:shd w:val="clear" w:color="auto" w:fill="8EE1E6"/>
      </w:tcPr>
    </w:tblStylePr>
  </w:style>
  <w:style w:type="table" w:customStyle="1" w:styleId="Deloitte31">
    <w:name w:val="Deloitte31"/>
    <w:basedOn w:val="TableNormal"/>
    <w:rsid w:val="00435AF7"/>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redential521">
    <w:name w:val="Credential521"/>
    <w:basedOn w:val="TableNormal"/>
    <w:next w:val="MediumShading2-Accent1"/>
    <w:uiPriority w:val="64"/>
    <w:rsid w:val="00435AF7"/>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Deloitte211">
    <w:name w:val="Deloitte211"/>
    <w:basedOn w:val="TableNormal"/>
    <w:rsid w:val="00435AF7"/>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redential531">
    <w:name w:val="Credential531"/>
    <w:basedOn w:val="TableNormal"/>
    <w:next w:val="MediumShading2-Accent1"/>
    <w:uiPriority w:val="64"/>
    <w:rsid w:val="00435AF7"/>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TabelaRenova11">
    <w:name w:val="Tabela Renova11"/>
    <w:basedOn w:val="TableNormal"/>
    <w:next w:val="TableGrid"/>
    <w:uiPriority w:val="59"/>
    <w:rsid w:val="00435AF7"/>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1">
    <w:name w:val="List Table 4 - Accent 111"/>
    <w:basedOn w:val="TableNormal"/>
    <w:uiPriority w:val="49"/>
    <w:rsid w:val="00435AF7"/>
    <w:pPr>
      <w:spacing w:after="0" w:line="240" w:lineRule="auto"/>
    </w:pPr>
    <w:rPr>
      <w:lang w:val="en-US"/>
    </w:rPr>
    <w:tblPr>
      <w:tblStyleRowBandSize w:val="1"/>
      <w:tblStyleColBandSize w:val="1"/>
      <w:tblBorders>
        <w:top w:val="single" w:sz="4" w:space="0" w:color="F0A697"/>
        <w:left w:val="single" w:sz="4" w:space="0" w:color="F0A697"/>
        <w:bottom w:val="single" w:sz="4" w:space="0" w:color="F0A697"/>
        <w:right w:val="single" w:sz="4" w:space="0" w:color="F0A697"/>
        <w:insideH w:val="single" w:sz="4" w:space="0" w:color="F0A697"/>
      </w:tblBorders>
    </w:tblPr>
    <w:tblStylePr w:type="firstRow">
      <w:rPr>
        <w:b/>
        <w:bCs/>
        <w:color w:val="FFFFFF"/>
      </w:rPr>
      <w:tblPr/>
      <w:tcPr>
        <w:tcBorders>
          <w:top w:val="single" w:sz="4" w:space="0" w:color="E76C53"/>
          <w:left w:val="single" w:sz="4" w:space="0" w:color="E76C53"/>
          <w:bottom w:val="single" w:sz="4" w:space="0" w:color="E76C53"/>
          <w:right w:val="single" w:sz="4" w:space="0" w:color="E76C53"/>
          <w:insideH w:val="nil"/>
        </w:tcBorders>
        <w:shd w:val="clear" w:color="auto" w:fill="E76C53"/>
      </w:tcPr>
    </w:tblStylePr>
    <w:tblStylePr w:type="lastRow">
      <w:rPr>
        <w:b/>
        <w:bCs/>
      </w:rPr>
      <w:tblPr/>
      <w:tcPr>
        <w:tcBorders>
          <w:top w:val="double" w:sz="4" w:space="0" w:color="F0A697"/>
        </w:tcBorders>
      </w:tcPr>
    </w:tblStylePr>
    <w:tblStylePr w:type="firstCol">
      <w:rPr>
        <w:b/>
        <w:bCs/>
      </w:rPr>
    </w:tblStylePr>
    <w:tblStylePr w:type="lastCol">
      <w:rPr>
        <w:b/>
        <w:bCs/>
      </w:rPr>
    </w:tblStylePr>
    <w:tblStylePr w:type="band1Vert">
      <w:tblPr/>
      <w:tcPr>
        <w:shd w:val="clear" w:color="auto" w:fill="FAE1DC"/>
      </w:tcPr>
    </w:tblStylePr>
    <w:tblStylePr w:type="band1Horz">
      <w:tblPr/>
      <w:tcPr>
        <w:shd w:val="clear" w:color="auto" w:fill="FAE1DC"/>
      </w:tcPr>
    </w:tblStylePr>
  </w:style>
  <w:style w:type="table" w:customStyle="1" w:styleId="TableCustom31">
    <w:name w:val="Table Custom31"/>
    <w:basedOn w:val="TableNormal"/>
    <w:uiPriority w:val="99"/>
    <w:rsid w:val="00435AF7"/>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F5C3B9"/>
        <w:insideV w:val="single" w:sz="4" w:space="0" w:color="F5C3B9"/>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CSEStable1">
    <w:name w:val="CSES table1"/>
    <w:basedOn w:val="TableNormal"/>
    <w:uiPriority w:val="99"/>
    <w:rsid w:val="00435AF7"/>
    <w:pPr>
      <w:spacing w:before="120" w:after="0" w:line="240" w:lineRule="auto"/>
      <w:jc w:val="both"/>
    </w:pPr>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Pr>
    <w:trPr>
      <w:cantSplit/>
    </w:trPr>
    <w:tcPr>
      <w:shd w:val="clear" w:color="auto" w:fill="D9D9D9"/>
    </w:tcPr>
    <w:tblStylePr w:type="firstRow">
      <w:rPr>
        <w:b/>
      </w:rPr>
      <w:tblPr/>
      <w:tcPr>
        <w:shd w:val="clear" w:color="auto" w:fill="E76C53"/>
      </w:tcPr>
    </w:tblStylePr>
  </w:style>
  <w:style w:type="table" w:customStyle="1" w:styleId="HTG11">
    <w:name w:val="HTG11"/>
    <w:basedOn w:val="TableNormal"/>
    <w:next w:val="TableGrid"/>
    <w:uiPriority w:val="39"/>
    <w:rsid w:val="00435AF7"/>
    <w:pPr>
      <w:spacing w:after="0" w:line="240" w:lineRule="auto"/>
    </w:pPr>
    <w:rPr>
      <w:rFonts w:ascii="Calibri" w:eastAsia="Times New Roman"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CVCVBullets2">
    <w:name w:val="_ECV_CV_Bullets2"/>
    <w:basedOn w:val="NoList"/>
    <w:rsid w:val="00A37D74"/>
  </w:style>
  <w:style w:type="numbering" w:customStyle="1" w:styleId="ECVCVBullets11">
    <w:name w:val="_ECV_CV_Bullets11"/>
    <w:basedOn w:val="NoList"/>
    <w:rsid w:val="00A37D74"/>
  </w:style>
  <w:style w:type="table" w:customStyle="1" w:styleId="Standardtableformat111">
    <w:name w:val="Standard table format111"/>
    <w:basedOn w:val="TableNormal"/>
    <w:next w:val="TableGrid"/>
    <w:uiPriority w:val="59"/>
    <w:rsid w:val="00435AF7"/>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leformat12">
    <w:name w:val="Standard table format12"/>
    <w:basedOn w:val="TableNormal"/>
    <w:next w:val="TableGrid"/>
    <w:uiPriority w:val="39"/>
    <w:rsid w:val="00435AF7"/>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wiNumberList1">
    <w:name w:val="CowiNumberList1"/>
    <w:basedOn w:val="NoList"/>
    <w:rsid w:val="00A37D74"/>
  </w:style>
  <w:style w:type="paragraph" w:customStyle="1" w:styleId="5-Headinglevel5">
    <w:name w:val="5-Heading level 5"/>
    <w:basedOn w:val="Normal"/>
    <w:link w:val="5-Headinglevel5Char"/>
    <w:uiPriority w:val="1"/>
    <w:qFormat/>
    <w:rsid w:val="00435AF7"/>
    <w:pPr>
      <w:keepNext/>
      <w:keepLines/>
      <w:spacing w:before="240" w:after="120" w:line="240" w:lineRule="auto"/>
      <w:jc w:val="both"/>
      <w:outlineLvl w:val="4"/>
    </w:pPr>
    <w:rPr>
      <w:rFonts w:ascii="Arial" w:eastAsia="MS PGothic" w:hAnsi="Arial" w:cs="Arial"/>
      <w:iCs/>
      <w:color w:val="003478"/>
      <w:sz w:val="24"/>
      <w:szCs w:val="28"/>
    </w:rPr>
  </w:style>
  <w:style w:type="numbering" w:customStyle="1" w:styleId="JayeshNavinShahEasterEgg1">
    <w:name w:val="JayeshNavinShahEasterEgg1"/>
    <w:uiPriority w:val="99"/>
    <w:rsid w:val="00A37D74"/>
    <w:pPr>
      <w:numPr>
        <w:numId w:val="56"/>
      </w:numPr>
    </w:pPr>
  </w:style>
  <w:style w:type="character" w:customStyle="1" w:styleId="5-Headinglevel5Char">
    <w:name w:val="5-Heading level 5 Char"/>
    <w:basedOn w:val="DefaultParagraphFont"/>
    <w:link w:val="5-Headinglevel5"/>
    <w:uiPriority w:val="1"/>
    <w:rsid w:val="00435AF7"/>
    <w:rPr>
      <w:rFonts w:ascii="Arial" w:eastAsia="MS PGothic" w:hAnsi="Arial" w:cs="Arial"/>
      <w:iCs/>
      <w:color w:val="003478"/>
      <w:sz w:val="24"/>
      <w:szCs w:val="28"/>
    </w:rPr>
  </w:style>
  <w:style w:type="table" w:customStyle="1" w:styleId="VVATable1">
    <w:name w:val="VVA Table1"/>
    <w:basedOn w:val="TableNormal"/>
    <w:uiPriority w:val="99"/>
    <w:rsid w:val="00435AF7"/>
    <w:pPr>
      <w:spacing w:after="0" w:line="240" w:lineRule="auto"/>
    </w:pPr>
    <w:rPr>
      <w:rFonts w:ascii="Segoe UI" w:eastAsia="Calibri" w:hAnsi="Segoe UI"/>
      <w:sz w:val="17"/>
    </w:rPr>
    <w:tblP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Pr>
    <w:tcPr>
      <w:shd w:val="clear" w:color="auto" w:fill="FFFFFF"/>
    </w:tcPr>
    <w:tblStylePr w:type="firstRow">
      <w:pPr>
        <w:wordWrap/>
        <w:jc w:val="center"/>
      </w:pPr>
      <w:rPr>
        <w:rFonts w:ascii="@Microsoft YaHei UI" w:hAnsi="@Microsoft YaHei UI"/>
        <w:b w:val="0"/>
        <w:color w:val="FFFFFF"/>
        <w:sz w:val="18"/>
      </w:rPr>
      <w:tblPr/>
      <w:tcPr>
        <w:shd w:val="clear" w:color="auto" w:fill="2B986D"/>
      </w:tcPr>
    </w:tblStylePr>
    <w:tblStylePr w:type="firstCol">
      <w:tblPr/>
      <w:tcPr>
        <w:shd w:val="clear" w:color="auto" w:fill="F2F2F2"/>
      </w:tcPr>
    </w:tblStylePr>
  </w:style>
  <w:style w:type="numbering" w:customStyle="1" w:styleId="CurrentList11">
    <w:name w:val="Current List11"/>
    <w:uiPriority w:val="99"/>
    <w:rsid w:val="00A37D74"/>
  </w:style>
  <w:style w:type="numbering" w:customStyle="1" w:styleId="CurrentList21">
    <w:name w:val="Current List21"/>
    <w:uiPriority w:val="99"/>
    <w:rsid w:val="00A37D74"/>
  </w:style>
  <w:style w:type="numbering" w:customStyle="1" w:styleId="CurrentList31">
    <w:name w:val="Current List31"/>
    <w:uiPriority w:val="99"/>
    <w:rsid w:val="00A37D74"/>
  </w:style>
  <w:style w:type="table" w:customStyle="1" w:styleId="Kantar1">
    <w:name w:val="Kantar1"/>
    <w:basedOn w:val="TableNormal"/>
    <w:uiPriority w:val="61"/>
    <w:rsid w:val="00435AF7"/>
    <w:pPr>
      <w:spacing w:before="120" w:after="120" w:line="280" w:lineRule="exact"/>
    </w:pPr>
    <w:rPr>
      <w:rFonts w:ascii="Arial" w:eastAsia="MS PGothic" w:hAnsi="Arial"/>
      <w:lang w:val="en-AU" w:eastAsia="en-AU"/>
    </w:rPr>
    <w:tblPr>
      <w:tblStyleRowBandSize w:val="1"/>
      <w:tblStyleColBandSize w:val="1"/>
      <w:tblBorders>
        <w:top w:val="single" w:sz="4" w:space="0" w:color="A6A6A6"/>
        <w:bottom w:val="single" w:sz="4" w:space="0" w:color="A6A6A6"/>
        <w:insideH w:val="single" w:sz="4" w:space="0" w:color="A6A6A6"/>
      </w:tblBorders>
    </w:tblPr>
    <w:tcPr>
      <w:shd w:val="clear" w:color="auto" w:fill="FFFFFF"/>
    </w:tcPr>
    <w:tblStylePr w:type="firstRow">
      <w:pPr>
        <w:spacing w:before="0" w:after="0" w:line="240" w:lineRule="auto"/>
      </w:pPr>
      <w:rPr>
        <w:rFonts w:ascii="Arial" w:hAnsi="Arial"/>
        <w:b/>
        <w:bCs/>
        <w:color w:val="FFFFFF"/>
        <w:sz w:val="22"/>
      </w:rPr>
      <w:tblPr/>
      <w:tcPr>
        <w:shd w:val="clear" w:color="auto" w:fill="E76C53"/>
      </w:tcPr>
    </w:tblStylePr>
    <w:tblStylePr w:type="lastRow">
      <w:pPr>
        <w:spacing w:before="0" w:after="0" w:line="240" w:lineRule="auto"/>
      </w:pPr>
      <w:rPr>
        <w:rFonts w:ascii="Arial" w:hAnsi="Arial"/>
        <w:b w:val="0"/>
        <w:bCs/>
        <w:sz w:val="22"/>
      </w:rPr>
      <w:tblPr/>
      <w:tcPr>
        <w:tcBorders>
          <w:top w:val="double" w:sz="6" w:space="0" w:color="E76C53"/>
          <w:left w:val="single" w:sz="8" w:space="0" w:color="E76C53"/>
          <w:bottom w:val="single" w:sz="8" w:space="0" w:color="E76C53"/>
          <w:right w:val="single" w:sz="8" w:space="0" w:color="E76C53"/>
        </w:tcBorders>
      </w:tcPr>
    </w:tblStylePr>
    <w:tblStylePr w:type="firstCol">
      <w:rPr>
        <w:b/>
        <w:bCs/>
      </w:rPr>
    </w:tblStylePr>
    <w:tblStylePr w:type="lastCol">
      <w:rPr>
        <w:b/>
        <w:bCs/>
      </w:rPr>
    </w:tblStylePr>
    <w:tblStylePr w:type="band1Vert">
      <w:tblPr/>
      <w:tcPr>
        <w:tcBorders>
          <w:top w:val="single" w:sz="8" w:space="0" w:color="E76C53"/>
          <w:left w:val="single" w:sz="8" w:space="0" w:color="E76C53"/>
          <w:bottom w:val="single" w:sz="8" w:space="0" w:color="E76C53"/>
          <w:right w:val="single" w:sz="8" w:space="0" w:color="E76C53"/>
        </w:tcBorders>
      </w:tcPr>
    </w:tblStylePr>
    <w:tblStylePr w:type="band1Horz">
      <w:tblPr/>
      <w:tcPr>
        <w:shd w:val="clear" w:color="auto" w:fill="FFFFFF"/>
      </w:tcPr>
    </w:tblStylePr>
    <w:tblStylePr w:type="band2Horz">
      <w:tblPr/>
      <w:tcPr>
        <w:shd w:val="clear" w:color="auto" w:fill="D9D9D9"/>
      </w:tcPr>
    </w:tblStylePr>
  </w:style>
  <w:style w:type="table" w:customStyle="1" w:styleId="TableGrid310">
    <w:name w:val="Table Grid31"/>
    <w:basedOn w:val="TableNormal"/>
    <w:next w:val="TableGrid"/>
    <w:uiPriority w:val="39"/>
    <w:rsid w:val="00435AF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
    <w:basedOn w:val="TableNormal"/>
    <w:next w:val="TableGrid"/>
    <w:uiPriority w:val="39"/>
    <w:rsid w:val="00435AF7"/>
    <w:pPr>
      <w:spacing w:after="0" w:line="240" w:lineRule="auto"/>
    </w:pPr>
    <w:rPr>
      <w:rFonts w:ascii="Calibri" w:eastAsia="Calibri" w:hAnsi="Calibri"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435AF7"/>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next w:val="TableGridLight"/>
    <w:uiPriority w:val="40"/>
    <w:rsid w:val="00435AF7"/>
    <w:pPr>
      <w:spacing w:after="0" w:line="240" w:lineRule="auto"/>
    </w:pPr>
    <w:rPr>
      <w:rFonts w:ascii="Times New Roman" w:eastAsia="Times New Roman" w:hAnsi="Times New Roman" w:cs="Times New Roman"/>
      <w:sz w:val="20"/>
      <w:szCs w:val="20"/>
      <w:lang w:val="nl-BE" w:eastAsia="nl-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p-wysiwigparagraph">
    <w:name w:val="ep-wysiwig_paragraph"/>
    <w:basedOn w:val="Normal"/>
    <w:rsid w:val="00435A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oceo-line-height-base">
    <w:name w:val="doceo-line-height-base"/>
    <w:basedOn w:val="Normal"/>
    <w:rsid w:val="00435A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oceo-font-family-base">
    <w:name w:val="doceo-font-family-base"/>
    <w:basedOn w:val="DefaultParagraphFont"/>
    <w:rsid w:val="00435AF7"/>
  </w:style>
  <w:style w:type="character" w:customStyle="1" w:styleId="footnote-reference">
    <w:name w:val="footnote-reference"/>
    <w:basedOn w:val="DefaultParagraphFont"/>
    <w:rsid w:val="00435AF7"/>
  </w:style>
  <w:style w:type="table" w:styleId="PlainTable1">
    <w:name w:val="Plain Table 1"/>
    <w:basedOn w:val="TableNormal"/>
    <w:uiPriority w:val="41"/>
    <w:rsid w:val="00435AF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435A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2">
    <w:name w:val="No List2"/>
    <w:next w:val="NoList"/>
    <w:uiPriority w:val="99"/>
    <w:semiHidden/>
    <w:unhideWhenUsed/>
    <w:rsid w:val="005D3D4D"/>
  </w:style>
  <w:style w:type="table" w:customStyle="1" w:styleId="ColorfulGrid-Accent32">
    <w:name w:val="Colorful Grid - Accent 32"/>
    <w:basedOn w:val="TableNormal"/>
    <w:next w:val="ColorfulGrid-Accent3"/>
    <w:uiPriority w:val="69"/>
    <w:rsid w:val="005D3D4D"/>
    <w:pPr>
      <w:spacing w:after="0" w:line="240" w:lineRule="auto"/>
    </w:pPr>
    <w:rPr>
      <w:rFonts w:ascii="Verdana" w:eastAsia="Times New Roman" w:hAnsi="Verdana" w:cs="Times New Roman"/>
      <w:sz w:val="18"/>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uCharChar18">
    <w:name w:val="12u Char Char18"/>
    <w:basedOn w:val="TableNormal"/>
    <w:next w:val="TableGrid"/>
    <w:uiPriority w:val="39"/>
    <w:qFormat/>
    <w:rsid w:val="005D3D4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tyle12">
    <w:name w:val="Style12"/>
    <w:basedOn w:val="TableNormal"/>
    <w:rsid w:val="005D3D4D"/>
    <w:pPr>
      <w:spacing w:after="0" w:line="240" w:lineRule="auto"/>
    </w:pPr>
    <w:rPr>
      <w:rFonts w:ascii="Times New Roman" w:eastAsia="Times New Roman" w:hAnsi="Times New Roman" w:cs="Times New Roman"/>
      <w:sz w:val="20"/>
      <w:szCs w:val="20"/>
      <w:lang w:val="nl-BE" w:eastAsia="nl-BE"/>
    </w:rPr>
    <w:tblPr/>
  </w:style>
  <w:style w:type="table" w:customStyle="1" w:styleId="TableElegant2">
    <w:name w:val="Table Elegant2"/>
    <w:basedOn w:val="TableNormal"/>
    <w:next w:val="TableElegant"/>
    <w:rsid w:val="005D3D4D"/>
    <w:pPr>
      <w:spacing w:after="240" w:line="240" w:lineRule="auto"/>
      <w:jc w:val="both"/>
    </w:pPr>
    <w:rPr>
      <w:rFonts w:ascii="Times New Roman" w:eastAsia="Times New Roman" w:hAnsi="Times New Roman" w:cs="Times New Roman"/>
      <w:sz w:val="20"/>
      <w:szCs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0"/>
    <w:rsid w:val="005D3D4D"/>
    <w:pPr>
      <w:spacing w:after="240" w:line="240" w:lineRule="auto"/>
      <w:jc w:val="both"/>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ustom5">
    <w:name w:val="Table Custom5"/>
    <w:basedOn w:val="TableNormal"/>
    <w:uiPriority w:val="99"/>
    <w:rsid w:val="005D3D4D"/>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F5C3B9"/>
        <w:insideV w:val="single" w:sz="4" w:space="0" w:color="F5C3B9"/>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numbering" w:customStyle="1" w:styleId="Headings2">
    <w:name w:val="Headings2"/>
    <w:rsid w:val="00C8485E"/>
  </w:style>
  <w:style w:type="paragraph" w:customStyle="1" w:styleId="Bibliography3">
    <w:name w:val="Bibliography3"/>
    <w:basedOn w:val="Normal"/>
    <w:next w:val="Normal"/>
    <w:uiPriority w:val="40"/>
    <w:unhideWhenUsed/>
    <w:rsid w:val="005D3D4D"/>
    <w:pPr>
      <w:spacing w:after="120" w:line="260" w:lineRule="exact"/>
      <w:jc w:val="both"/>
    </w:pPr>
    <w:rPr>
      <w:rFonts w:ascii="Arial" w:eastAsia="MS PGothic" w:hAnsi="Arial"/>
      <w:sz w:val="20"/>
      <w:szCs w:val="24"/>
    </w:rPr>
  </w:style>
  <w:style w:type="table" w:customStyle="1" w:styleId="Table1-PSPbrand3">
    <w:name w:val="Table 1 - PSP brand3"/>
    <w:basedOn w:val="TableNormal"/>
    <w:rsid w:val="005D3D4D"/>
    <w:pPr>
      <w:spacing w:after="0" w:line="240" w:lineRule="auto"/>
    </w:pPr>
    <w:rPr>
      <w:rFonts w:ascii="Calibri" w:eastAsia="Calibri" w:hAnsi="Calibri" w:cs="Times New Roman"/>
      <w:sz w:val="24"/>
      <w:lang w:val="nl-NL" w:eastAsia="en-GB"/>
    </w:rPr>
    <w:tblPr>
      <w:tblStyleRowBandSize w:val="1"/>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cPr>
      <w:shd w:val="clear" w:color="auto" w:fill="FFFFFF"/>
    </w:tcPr>
    <w:tblStylePr w:type="firstRow">
      <w:rPr>
        <w:b/>
        <w:color w:val="E76C53"/>
      </w:rPr>
      <w:tblPr/>
      <w:tcPr>
        <w:shd w:val="clear" w:color="auto" w:fill="000000"/>
      </w:tcPr>
    </w:tblStylePr>
    <w:tblStylePr w:type="band2Horz">
      <w:tblPr/>
      <w:tcPr>
        <w:shd w:val="clear" w:color="auto" w:fill="DDD9C3"/>
      </w:tcPr>
    </w:tblStylePr>
  </w:style>
  <w:style w:type="table" w:customStyle="1" w:styleId="MainEUtablestyle-Alternative3">
    <w:name w:val="Main EU table style - Alternative3"/>
    <w:basedOn w:val="TableNormal"/>
    <w:uiPriority w:val="99"/>
    <w:rsid w:val="005D3D4D"/>
    <w:pPr>
      <w:spacing w:after="120"/>
      <w:jc w:val="both"/>
    </w:pPr>
    <w:rPr>
      <w:rFonts w:ascii="Arial" w:eastAsia="Calibri" w:hAnsi="Arial" w:cs="Times New Roman"/>
      <w:sz w:val="18"/>
      <w:szCs w:val="20"/>
    </w:rPr>
    <w:tblPr>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E76C53"/>
      </w:tcPr>
    </w:tblStylePr>
  </w:style>
  <w:style w:type="table" w:customStyle="1" w:styleId="MediumShading1-Accent54">
    <w:name w:val="Medium Shading 1 - Accent 54"/>
    <w:basedOn w:val="TableNormal"/>
    <w:next w:val="MediumShading1-Accent5"/>
    <w:uiPriority w:val="63"/>
    <w:rsid w:val="005D3D4D"/>
    <w:pPr>
      <w:spacing w:after="0" w:line="240" w:lineRule="auto"/>
    </w:pPr>
    <w:rPr>
      <w:rFonts w:ascii="Times New Roman" w:eastAsia="Calibri" w:hAnsi="Times New Roman" w:cs="Times New Roman"/>
      <w:sz w:val="20"/>
      <w:szCs w:val="20"/>
      <w:lang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ListTable4123">
    <w:name w:val="List Table 4123"/>
    <w:basedOn w:val="TableNormal"/>
    <w:uiPriority w:val="49"/>
    <w:rsid w:val="005D3D4D"/>
    <w:pPr>
      <w:spacing w:after="0" w:line="240" w:lineRule="auto"/>
    </w:pPr>
    <w:rPr>
      <w:rFonts w:ascii="Calibri" w:eastAsia="MS PGothic" w:hAnsi="Calibri"/>
      <w:sz w:val="24"/>
    </w:rPr>
    <w:tblPr>
      <w:tblStyleRowBandSize w:val="1"/>
      <w:tblStyleColBandSize w:val="1"/>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CoffeyTable14">
    <w:name w:val="Coffey Table 14"/>
    <w:basedOn w:val="TableGrid"/>
    <w:uiPriority w:val="99"/>
    <w:rsid w:val="00C8485E"/>
    <w:rPr>
      <w:rFonts w:ascii="Arial" w:eastAsia="Times New Roman" w:hAnsi="Arial" w:cs="Times New Roman"/>
      <w:sz w:val="18"/>
    </w:rPr>
    <w:tblPr/>
    <w:tcPr>
      <w:shd w:val="clear" w:color="auto" w:fill="FFFFFF"/>
    </w:tcPr>
    <w:tblStylePr w:type="firstRow">
      <w:pPr>
        <w:jc w:val="left"/>
      </w:pPr>
      <w:rPr>
        <w:rFonts w:ascii="Arial" w:hAnsi="Arial"/>
        <w:color w:val="FFFFFF"/>
        <w:sz w:val="20"/>
      </w:rPr>
      <w:tblPr/>
      <w:tcPr>
        <w:shd w:val="clear" w:color="auto" w:fill="FFC000"/>
      </w:tcPr>
    </w:tblStylePr>
  </w:style>
  <w:style w:type="table" w:customStyle="1" w:styleId="TableGrid13">
    <w:name w:val="Table Grid13"/>
    <w:basedOn w:val="TableNormal"/>
    <w:next w:val="TableGrid"/>
    <w:rsid w:val="005D3D4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5D3D4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513">
    <w:name w:val="Colorful Grid - Accent 513"/>
    <w:basedOn w:val="TableNormal"/>
    <w:next w:val="ColorfulGrid-Accent5"/>
    <w:uiPriority w:val="73"/>
    <w:rsid w:val="005D3D4D"/>
    <w:pPr>
      <w:spacing w:after="0" w:line="240" w:lineRule="auto"/>
    </w:pPr>
    <w:rPr>
      <w:rFonts w:ascii="Times New Roman" w:eastAsia="Calibri" w:hAnsi="Times New Roman" w:cs="Times New Roman"/>
      <w:color w:val="000000"/>
      <w:sz w:val="20"/>
      <w:szCs w:val="20"/>
    </w:rPr>
    <w:tblPr>
      <w:tblStyleRowBandSize w:val="1"/>
      <w:tblStyleColBandSize w:val="1"/>
      <w:tblBorders>
        <w:insideH w:val="single" w:sz="4" w:space="0" w:color="FFFFFF"/>
      </w:tblBorders>
    </w:tblPr>
    <w:tcPr>
      <w:shd w:val="clear" w:color="auto" w:fill="EAEEF0"/>
    </w:tcPr>
    <w:tblStylePr w:type="firstRow">
      <w:rPr>
        <w:b/>
        <w:bCs/>
      </w:rPr>
      <w:tblPr/>
      <w:tcPr>
        <w:shd w:val="clear" w:color="auto" w:fill="D5DDE1"/>
      </w:tcPr>
    </w:tblStylePr>
    <w:tblStylePr w:type="lastRow">
      <w:rPr>
        <w:b/>
        <w:bCs/>
        <w:color w:val="000000"/>
      </w:rPr>
      <w:tblPr/>
      <w:tcPr>
        <w:shd w:val="clear" w:color="auto" w:fill="D5DDE1"/>
      </w:tcPr>
    </w:tblStylePr>
    <w:tblStylePr w:type="firstCol">
      <w:rPr>
        <w:color w:val="FFFFFF"/>
      </w:rPr>
      <w:tblPr/>
      <w:tcPr>
        <w:shd w:val="clear" w:color="auto" w:fill="678292"/>
      </w:tcPr>
    </w:tblStylePr>
    <w:tblStylePr w:type="lastCol">
      <w:rPr>
        <w:color w:val="FFFFFF"/>
      </w:rPr>
      <w:tblPr/>
      <w:tcPr>
        <w:shd w:val="clear" w:color="auto" w:fill="678292"/>
      </w:tcPr>
    </w:tblStylePr>
    <w:tblStylePr w:type="band1Vert">
      <w:tblPr/>
      <w:tcPr>
        <w:shd w:val="clear" w:color="auto" w:fill="CBD5DA"/>
      </w:tcPr>
    </w:tblStylePr>
    <w:tblStylePr w:type="band1Horz">
      <w:tblPr/>
      <w:tcPr>
        <w:shd w:val="clear" w:color="auto" w:fill="CBD5DA"/>
      </w:tcPr>
    </w:tblStylePr>
  </w:style>
  <w:style w:type="table" w:customStyle="1" w:styleId="MediumGrid1-Accent513">
    <w:name w:val="Medium Grid 1 - Accent 513"/>
    <w:basedOn w:val="TableNormal"/>
    <w:next w:val="MediumGrid1-Accent5"/>
    <w:uiPriority w:val="67"/>
    <w:rsid w:val="005D3D4D"/>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insideV w:val="single" w:sz="8" w:space="0" w:color="B1C0C8"/>
      </w:tblBorders>
    </w:tblPr>
    <w:tcPr>
      <w:shd w:val="clear" w:color="auto" w:fill="E5EAED"/>
    </w:tcPr>
    <w:tblStylePr w:type="firstRow">
      <w:rPr>
        <w:b/>
        <w:bCs/>
      </w:rPr>
    </w:tblStylePr>
    <w:tblStylePr w:type="lastRow">
      <w:rPr>
        <w:b/>
        <w:bCs/>
      </w:rPr>
      <w:tblPr/>
      <w:tcPr>
        <w:tcBorders>
          <w:top w:val="single" w:sz="18" w:space="0" w:color="B1C0C8"/>
        </w:tcBorders>
      </w:tcPr>
    </w:tblStylePr>
    <w:tblStylePr w:type="firstCol">
      <w:rPr>
        <w:b/>
        <w:bCs/>
      </w:rPr>
    </w:tblStylePr>
    <w:tblStylePr w:type="lastCol">
      <w:rPr>
        <w:b/>
        <w:bCs/>
      </w:rPr>
    </w:tblStylePr>
    <w:tblStylePr w:type="band1Vert">
      <w:tblPr/>
      <w:tcPr>
        <w:shd w:val="clear" w:color="auto" w:fill="CBD5DA"/>
      </w:tcPr>
    </w:tblStylePr>
    <w:tblStylePr w:type="band1Horz">
      <w:tblPr/>
      <w:tcPr>
        <w:shd w:val="clear" w:color="auto" w:fill="CBD5DA"/>
      </w:tcPr>
    </w:tblStylePr>
  </w:style>
  <w:style w:type="table" w:customStyle="1" w:styleId="ColorfulList13">
    <w:name w:val="Colorful List13"/>
    <w:basedOn w:val="TableNormal"/>
    <w:next w:val="ColorfulList"/>
    <w:uiPriority w:val="72"/>
    <w:rsid w:val="005D3D4D"/>
    <w:pPr>
      <w:spacing w:after="0" w:line="240" w:lineRule="auto"/>
    </w:pPr>
    <w:rPr>
      <w:rFonts w:ascii="Times New Roman" w:eastAsia="Calibri" w:hAnsi="Times New Roman"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Accent113">
    <w:name w:val="Light Grid - Accent 113"/>
    <w:basedOn w:val="TableNormal"/>
    <w:next w:val="LightGrid-Accent1"/>
    <w:uiPriority w:val="62"/>
    <w:rsid w:val="005D3D4D"/>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4FAA5F"/>
        <w:left w:val="single" w:sz="8" w:space="0" w:color="4FAA5F"/>
        <w:bottom w:val="single" w:sz="8" w:space="0" w:color="4FAA5F"/>
        <w:right w:val="single" w:sz="8" w:space="0" w:color="4FAA5F"/>
        <w:insideH w:val="single" w:sz="8" w:space="0" w:color="4FAA5F"/>
        <w:insideV w:val="single" w:sz="8" w:space="0" w:color="4FAA5F"/>
      </w:tblBorders>
    </w:tblPr>
    <w:tblStylePr w:type="firstRow">
      <w:pPr>
        <w:spacing w:before="0" w:after="0" w:line="240" w:lineRule="auto"/>
      </w:pPr>
      <w:rPr>
        <w:rFonts w:ascii="@Microsoft YaHei UI" w:eastAsia="SimSun" w:hAnsi="@Microsoft YaHei UI" w:cs="Times New Roman"/>
        <w:b/>
        <w:bCs/>
      </w:rPr>
      <w:tblPr/>
      <w:tcPr>
        <w:tcBorders>
          <w:top w:val="single" w:sz="8" w:space="0" w:color="4FAA5F"/>
          <w:left w:val="single" w:sz="8" w:space="0" w:color="4FAA5F"/>
          <w:bottom w:val="single" w:sz="18" w:space="0" w:color="4FAA5F"/>
          <w:right w:val="single" w:sz="8" w:space="0" w:color="4FAA5F"/>
          <w:insideH w:val="nil"/>
          <w:insideV w:val="single" w:sz="8" w:space="0" w:color="4FAA5F"/>
        </w:tcBorders>
      </w:tcPr>
    </w:tblStylePr>
    <w:tblStylePr w:type="lastRow">
      <w:pPr>
        <w:spacing w:before="0" w:after="0" w:line="240" w:lineRule="auto"/>
      </w:pPr>
      <w:rPr>
        <w:rFonts w:ascii="@Microsoft YaHei UI" w:eastAsia="SimSun" w:hAnsi="@Microsoft YaHei UI" w:cs="Times New Roman"/>
        <w:b/>
        <w:bCs/>
      </w:rPr>
      <w:tblPr/>
      <w:tcPr>
        <w:tcBorders>
          <w:top w:val="double" w:sz="6" w:space="0" w:color="4FAA5F"/>
          <w:left w:val="single" w:sz="8" w:space="0" w:color="4FAA5F"/>
          <w:bottom w:val="single" w:sz="8" w:space="0" w:color="4FAA5F"/>
          <w:right w:val="single" w:sz="8" w:space="0" w:color="4FAA5F"/>
          <w:insideH w:val="nil"/>
          <w:insideV w:val="single" w:sz="8" w:space="0" w:color="4FAA5F"/>
        </w:tcBorders>
      </w:tcPr>
    </w:tblStylePr>
    <w:tblStylePr w:type="firstCol">
      <w:rPr>
        <w:rFonts w:ascii="@Microsoft YaHei UI" w:eastAsia="SimSun" w:hAnsi="@Microsoft YaHei UI" w:cs="Times New Roman"/>
        <w:b/>
        <w:bCs/>
      </w:rPr>
    </w:tblStylePr>
    <w:tblStylePr w:type="lastCol">
      <w:rPr>
        <w:rFonts w:ascii="@Microsoft YaHei UI" w:eastAsia="SimSun" w:hAnsi="@Microsoft YaHei UI" w:cs="Times New Roman"/>
        <w:b/>
        <w:bCs/>
      </w:rPr>
      <w:tblPr/>
      <w:tcPr>
        <w:tcBorders>
          <w:top w:val="single" w:sz="8" w:space="0" w:color="4FAA5F"/>
          <w:left w:val="single" w:sz="8" w:space="0" w:color="4FAA5F"/>
          <w:bottom w:val="single" w:sz="8" w:space="0" w:color="4FAA5F"/>
          <w:right w:val="single" w:sz="8" w:space="0" w:color="4FAA5F"/>
        </w:tcBorders>
      </w:tcPr>
    </w:tblStylePr>
    <w:tblStylePr w:type="band1Vert">
      <w:tblPr/>
      <w:tcPr>
        <w:tcBorders>
          <w:top w:val="single" w:sz="8" w:space="0" w:color="4FAA5F"/>
          <w:left w:val="single" w:sz="8" w:space="0" w:color="4FAA5F"/>
          <w:bottom w:val="single" w:sz="8" w:space="0" w:color="4FAA5F"/>
          <w:right w:val="single" w:sz="8" w:space="0" w:color="4FAA5F"/>
        </w:tcBorders>
        <w:shd w:val="clear" w:color="auto" w:fill="D2EAD6"/>
      </w:tcPr>
    </w:tblStylePr>
    <w:tblStylePr w:type="band1Horz">
      <w:tblPr/>
      <w:tcPr>
        <w:tcBorders>
          <w:top w:val="single" w:sz="8" w:space="0" w:color="4FAA5F"/>
          <w:left w:val="single" w:sz="8" w:space="0" w:color="4FAA5F"/>
          <w:bottom w:val="single" w:sz="8" w:space="0" w:color="4FAA5F"/>
          <w:right w:val="single" w:sz="8" w:space="0" w:color="4FAA5F"/>
          <w:insideV w:val="single" w:sz="8" w:space="0" w:color="4FAA5F"/>
        </w:tcBorders>
        <w:shd w:val="clear" w:color="auto" w:fill="D2EAD6"/>
      </w:tcPr>
    </w:tblStylePr>
    <w:tblStylePr w:type="band2Horz">
      <w:tblPr/>
      <w:tcPr>
        <w:tcBorders>
          <w:top w:val="single" w:sz="8" w:space="0" w:color="4FAA5F"/>
          <w:left w:val="single" w:sz="8" w:space="0" w:color="4FAA5F"/>
          <w:bottom w:val="single" w:sz="8" w:space="0" w:color="4FAA5F"/>
          <w:right w:val="single" w:sz="8" w:space="0" w:color="4FAA5F"/>
          <w:insideV w:val="single" w:sz="8" w:space="0" w:color="4FAA5F"/>
        </w:tcBorders>
      </w:tcPr>
    </w:tblStylePr>
  </w:style>
  <w:style w:type="table" w:customStyle="1" w:styleId="MediumShading1-Accent113">
    <w:name w:val="Medium Shading 1 - Accent 113"/>
    <w:basedOn w:val="TableNormal"/>
    <w:next w:val="MediumShading1-Accent1"/>
    <w:uiPriority w:val="63"/>
    <w:rsid w:val="005D3D4D"/>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79C185"/>
        <w:left w:val="single" w:sz="8" w:space="0" w:color="79C185"/>
        <w:bottom w:val="single" w:sz="8" w:space="0" w:color="79C185"/>
        <w:right w:val="single" w:sz="8" w:space="0" w:color="79C185"/>
        <w:insideH w:val="single" w:sz="8" w:space="0" w:color="79C185"/>
      </w:tblBorders>
    </w:tblPr>
    <w:tblStylePr w:type="firstRow">
      <w:pPr>
        <w:spacing w:before="0" w:after="0" w:line="240" w:lineRule="auto"/>
      </w:pPr>
      <w:rPr>
        <w:b/>
        <w:bCs/>
        <w:color w:val="FFFFFF"/>
      </w:rPr>
      <w:tblPr/>
      <w:tcPr>
        <w:tcBorders>
          <w:top w:val="single" w:sz="8" w:space="0" w:color="79C185"/>
          <w:left w:val="single" w:sz="8" w:space="0" w:color="79C185"/>
          <w:bottom w:val="single" w:sz="8" w:space="0" w:color="79C185"/>
          <w:right w:val="single" w:sz="8" w:space="0" w:color="79C185"/>
          <w:insideH w:val="nil"/>
          <w:insideV w:val="nil"/>
        </w:tcBorders>
        <w:shd w:val="clear" w:color="auto" w:fill="4FAA5F"/>
      </w:tcPr>
    </w:tblStylePr>
    <w:tblStylePr w:type="lastRow">
      <w:pPr>
        <w:spacing w:before="0" w:after="0" w:line="240" w:lineRule="auto"/>
      </w:pPr>
      <w:rPr>
        <w:b/>
        <w:bCs/>
      </w:rPr>
      <w:tblPr/>
      <w:tcPr>
        <w:tcBorders>
          <w:top w:val="double" w:sz="6" w:space="0" w:color="79C185"/>
          <w:left w:val="single" w:sz="8" w:space="0" w:color="79C185"/>
          <w:bottom w:val="single" w:sz="8" w:space="0" w:color="79C185"/>
          <w:right w:val="single" w:sz="8" w:space="0" w:color="79C185"/>
          <w:insideH w:val="nil"/>
          <w:insideV w:val="nil"/>
        </w:tcBorders>
      </w:tcPr>
    </w:tblStylePr>
    <w:tblStylePr w:type="firstCol">
      <w:rPr>
        <w:b/>
        <w:bCs/>
      </w:rPr>
    </w:tblStylePr>
    <w:tblStylePr w:type="lastCol">
      <w:rPr>
        <w:b/>
        <w:bCs/>
      </w:rPr>
    </w:tblStylePr>
    <w:tblStylePr w:type="band1Vert">
      <w:tblPr/>
      <w:tcPr>
        <w:shd w:val="clear" w:color="auto" w:fill="D2EAD6"/>
      </w:tcPr>
    </w:tblStylePr>
    <w:tblStylePr w:type="band1Horz">
      <w:tblPr/>
      <w:tcPr>
        <w:tcBorders>
          <w:insideH w:val="nil"/>
          <w:insideV w:val="nil"/>
        </w:tcBorders>
        <w:shd w:val="clear" w:color="auto" w:fill="D2EAD6"/>
      </w:tcPr>
    </w:tblStylePr>
    <w:tblStylePr w:type="band2Horz">
      <w:tblPr/>
      <w:tcPr>
        <w:tcBorders>
          <w:insideH w:val="nil"/>
          <w:insideV w:val="nil"/>
        </w:tcBorders>
      </w:tcPr>
    </w:tblStylePr>
  </w:style>
  <w:style w:type="table" w:customStyle="1" w:styleId="ColorfulList-Accent113">
    <w:name w:val="Colorful List - Accent 113"/>
    <w:basedOn w:val="TableNormal"/>
    <w:next w:val="ColorfulList-Accent1"/>
    <w:uiPriority w:val="72"/>
    <w:rsid w:val="005D3D4D"/>
    <w:pPr>
      <w:spacing w:after="0" w:line="240" w:lineRule="auto"/>
    </w:pPr>
    <w:rPr>
      <w:rFonts w:ascii="Times New Roman" w:eastAsia="Calibri" w:hAnsi="Times New Roman" w:cs="Times New Roman"/>
      <w:color w:val="000000"/>
      <w:sz w:val="20"/>
      <w:szCs w:val="20"/>
    </w:rPr>
    <w:tblPr>
      <w:tblStyleRowBandSize w:val="1"/>
      <w:tblStyleColBandSize w:val="1"/>
    </w:tblPr>
    <w:tcPr>
      <w:shd w:val="clear" w:color="auto" w:fill="EDF7EF"/>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D6"/>
      </w:tcPr>
    </w:tblStylePr>
    <w:tblStylePr w:type="band1Horz">
      <w:tblPr/>
      <w:tcPr>
        <w:shd w:val="clear" w:color="auto" w:fill="DBEEDE"/>
      </w:tcPr>
    </w:tblStylePr>
  </w:style>
  <w:style w:type="table" w:customStyle="1" w:styleId="CoffeyTable113">
    <w:name w:val="Coffey Table 113"/>
    <w:basedOn w:val="TableGrid"/>
    <w:uiPriority w:val="99"/>
    <w:rsid w:val="00C8485E"/>
    <w:rPr>
      <w:rFonts w:ascii="Arial" w:eastAsia="Calibri" w:hAnsi="Arial" w:cs="Times New Roman"/>
      <w:sz w:val="18"/>
      <w:lang w:eastAsia="en-US"/>
    </w:rPr>
    <w:tblPr/>
    <w:tcPr>
      <w:shd w:val="clear" w:color="auto" w:fill="FFFFFF"/>
    </w:tcPr>
    <w:tblStylePr w:type="firstRow">
      <w:pPr>
        <w:jc w:val="left"/>
      </w:pPr>
      <w:rPr>
        <w:rFonts w:ascii="Arial" w:hAnsi="Arial"/>
        <w:color w:val="FFFFFF"/>
        <w:sz w:val="20"/>
      </w:rPr>
      <w:tblPr/>
      <w:tcPr>
        <w:shd w:val="clear" w:color="auto" w:fill="049CD5"/>
      </w:tcPr>
    </w:tblStylePr>
  </w:style>
  <w:style w:type="table" w:customStyle="1" w:styleId="MediumShading1-Accent513">
    <w:name w:val="Medium Shading 1 - Accent 513"/>
    <w:basedOn w:val="TableNormal"/>
    <w:next w:val="MediumShading1-Accent5"/>
    <w:uiPriority w:val="63"/>
    <w:rsid w:val="005D3D4D"/>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TableCustom13">
    <w:name w:val="Table Custom13"/>
    <w:basedOn w:val="TableNormal"/>
    <w:uiPriority w:val="99"/>
    <w:rsid w:val="005D3D4D"/>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B7DDBE"/>
        <w:insideV w:val="single" w:sz="4" w:space="0" w:color="B7DDBE"/>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ColorfulGrid-Accent54">
    <w:name w:val="Colorful Grid - Accent 54"/>
    <w:basedOn w:val="TableNormal"/>
    <w:next w:val="ColorfulGrid-Accent5"/>
    <w:uiPriority w:val="73"/>
    <w:unhideWhenUsed/>
    <w:rsid w:val="005D3D4D"/>
    <w:pPr>
      <w:spacing w:after="0" w:line="240" w:lineRule="auto"/>
    </w:pPr>
    <w:rPr>
      <w:rFonts w:eastAsia="MS PGothic"/>
      <w:color w:val="000000"/>
      <w:sz w:val="24"/>
      <w:szCs w:val="24"/>
      <w:lang w:val="en-US"/>
    </w:rPr>
    <w:tblPr>
      <w:tblStyleRowBandSize w:val="1"/>
      <w:tblStyleColBandSize w:val="1"/>
      <w:tblBorders>
        <w:insideH w:val="single" w:sz="4" w:space="0" w:color="FFFFFF"/>
      </w:tblBorders>
    </w:tblPr>
    <w:tcPr>
      <w:shd w:val="clear" w:color="auto" w:fill="DAF3F8"/>
    </w:tcPr>
    <w:tblStylePr w:type="firstRow">
      <w:rPr>
        <w:b/>
        <w:bCs/>
      </w:rPr>
      <w:tblPr/>
      <w:tcPr>
        <w:shd w:val="clear" w:color="auto" w:fill="B6E7F1"/>
      </w:tcPr>
    </w:tblStylePr>
    <w:tblStylePr w:type="lastRow">
      <w:rPr>
        <w:b/>
        <w:bCs/>
        <w:color w:val="000000"/>
      </w:rPr>
      <w:tblPr/>
      <w:tcPr>
        <w:shd w:val="clear" w:color="auto" w:fill="B6E7F1"/>
      </w:tcPr>
    </w:tblStylePr>
    <w:tblStylePr w:type="firstCol">
      <w:rPr>
        <w:color w:val="FFFFFF"/>
      </w:rPr>
      <w:tblPr/>
      <w:tcPr>
        <w:shd w:val="clear" w:color="auto" w:fill="22A1BB"/>
      </w:tcPr>
    </w:tblStylePr>
    <w:tblStylePr w:type="lastCol">
      <w:rPr>
        <w:color w:val="FFFFFF"/>
      </w:rPr>
      <w:tblPr/>
      <w:tcPr>
        <w:shd w:val="clear" w:color="auto" w:fill="22A1BB"/>
      </w:tcPr>
    </w:tblStylePr>
    <w:tblStylePr w:type="band1Vert">
      <w:tblPr/>
      <w:tcPr>
        <w:shd w:val="clear" w:color="auto" w:fill="A5E1EE"/>
      </w:tcPr>
    </w:tblStylePr>
    <w:tblStylePr w:type="band1Horz">
      <w:tblPr/>
      <w:tcPr>
        <w:shd w:val="clear" w:color="auto" w:fill="A5E1EE"/>
      </w:tcPr>
    </w:tblStylePr>
  </w:style>
  <w:style w:type="table" w:customStyle="1" w:styleId="MediumGrid1-Accent54">
    <w:name w:val="Medium Grid 1 - Accent 54"/>
    <w:basedOn w:val="TableNormal"/>
    <w:next w:val="MediumGrid1-Accent5"/>
    <w:uiPriority w:val="67"/>
    <w:unhideWhenUsed/>
    <w:rsid w:val="005D3D4D"/>
    <w:pPr>
      <w:spacing w:after="0" w:line="240" w:lineRule="auto"/>
    </w:pPr>
    <w:rPr>
      <w:rFonts w:eastAsia="MS PGothic"/>
      <w:sz w:val="24"/>
      <w:szCs w:val="24"/>
      <w:lang w:val="en-US"/>
    </w:rPr>
    <w:tblPr>
      <w:tblStyleRowBandSize w:val="1"/>
      <w:tblStyleColBandSize w:val="1"/>
      <w:tblBorders>
        <w:top w:val="single" w:sz="8" w:space="0" w:color="78D3E6"/>
        <w:left w:val="single" w:sz="8" w:space="0" w:color="78D3E6"/>
        <w:bottom w:val="single" w:sz="8" w:space="0" w:color="78D3E6"/>
        <w:right w:val="single" w:sz="8" w:space="0" w:color="78D3E6"/>
        <w:insideH w:val="single" w:sz="8" w:space="0" w:color="78D3E6"/>
        <w:insideV w:val="single" w:sz="8" w:space="0" w:color="78D3E6"/>
      </w:tblBorders>
    </w:tblPr>
    <w:tcPr>
      <w:shd w:val="clear" w:color="auto" w:fill="D2F0F6"/>
    </w:tcPr>
    <w:tblStylePr w:type="firstRow">
      <w:rPr>
        <w:b/>
        <w:bCs/>
      </w:rPr>
    </w:tblStylePr>
    <w:tblStylePr w:type="lastRow">
      <w:rPr>
        <w:b/>
        <w:bCs/>
      </w:rPr>
      <w:tblPr/>
      <w:tcPr>
        <w:tcBorders>
          <w:top w:val="single" w:sz="18" w:space="0" w:color="78D3E6"/>
        </w:tcBorders>
      </w:tcPr>
    </w:tblStylePr>
    <w:tblStylePr w:type="firstCol">
      <w:rPr>
        <w:b/>
        <w:bCs/>
      </w:rPr>
    </w:tblStylePr>
    <w:tblStylePr w:type="lastCol">
      <w:rPr>
        <w:b/>
        <w:bCs/>
      </w:rPr>
    </w:tblStylePr>
    <w:tblStylePr w:type="band1Vert">
      <w:tblPr/>
      <w:tcPr>
        <w:shd w:val="clear" w:color="auto" w:fill="A5E1EE"/>
      </w:tcPr>
    </w:tblStylePr>
    <w:tblStylePr w:type="band1Horz">
      <w:tblPr/>
      <w:tcPr>
        <w:shd w:val="clear" w:color="auto" w:fill="A5E1EE"/>
      </w:tcPr>
    </w:tblStylePr>
  </w:style>
  <w:style w:type="table" w:customStyle="1" w:styleId="ColorfulList4">
    <w:name w:val="Colorful List4"/>
    <w:basedOn w:val="TableNormal"/>
    <w:next w:val="ColorfulList"/>
    <w:uiPriority w:val="72"/>
    <w:unhideWhenUsed/>
    <w:rsid w:val="005D3D4D"/>
    <w:pPr>
      <w:spacing w:after="0" w:line="240" w:lineRule="auto"/>
    </w:pPr>
    <w:rPr>
      <w:rFonts w:eastAsia="MS PGothic"/>
      <w:color w:val="000000"/>
      <w:sz w:val="24"/>
      <w:szCs w:val="24"/>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Accent14">
    <w:name w:val="Light Grid - Accent 14"/>
    <w:basedOn w:val="TableNormal"/>
    <w:next w:val="LightGrid-Accent1"/>
    <w:uiPriority w:val="62"/>
    <w:unhideWhenUsed/>
    <w:rsid w:val="005D3D4D"/>
    <w:pPr>
      <w:spacing w:after="0" w:line="240" w:lineRule="auto"/>
    </w:pPr>
    <w:rPr>
      <w:rFonts w:eastAsia="MS PGothic"/>
      <w:sz w:val="24"/>
      <w:szCs w:val="24"/>
      <w:lang w:val="en-US"/>
    </w:rPr>
    <w:tblPr>
      <w:tblStyleRowBandSize w:val="1"/>
      <w:tblStyleColBandSize w:val="1"/>
      <w:tblBorders>
        <w:top w:val="single" w:sz="8" w:space="0" w:color="E76C53"/>
        <w:left w:val="single" w:sz="8" w:space="0" w:color="E76C53"/>
        <w:bottom w:val="single" w:sz="8" w:space="0" w:color="E76C53"/>
        <w:right w:val="single" w:sz="8" w:space="0" w:color="E76C53"/>
        <w:insideH w:val="single" w:sz="8" w:space="0" w:color="E76C53"/>
        <w:insideV w:val="single" w:sz="8" w:space="0" w:color="E76C53"/>
      </w:tblBorders>
    </w:tblPr>
    <w:tblStylePr w:type="firstRow">
      <w:pPr>
        <w:spacing w:before="0" w:after="0" w:line="240" w:lineRule="auto"/>
      </w:pPr>
      <w:rPr>
        <w:rFonts w:ascii="Arial" w:eastAsia="EC Square Sans Cond Pro Thin" w:hAnsi="Arial" w:cs="Arial"/>
        <w:b/>
        <w:bCs/>
      </w:rPr>
      <w:tblPr/>
      <w:tcPr>
        <w:tcBorders>
          <w:top w:val="single" w:sz="8" w:space="0" w:color="E76C53"/>
          <w:left w:val="single" w:sz="8" w:space="0" w:color="E76C53"/>
          <w:bottom w:val="single" w:sz="18" w:space="0" w:color="E76C53"/>
          <w:right w:val="single" w:sz="8" w:space="0" w:color="E76C53"/>
          <w:insideH w:val="nil"/>
          <w:insideV w:val="single" w:sz="8" w:space="0" w:color="E76C53"/>
        </w:tcBorders>
      </w:tcPr>
    </w:tblStylePr>
    <w:tblStylePr w:type="lastRow">
      <w:pPr>
        <w:spacing w:before="0" w:after="0" w:line="240" w:lineRule="auto"/>
      </w:pPr>
      <w:rPr>
        <w:rFonts w:ascii="Arial" w:eastAsia="EC Square Sans Cond Pro Thin" w:hAnsi="Arial" w:cs="Arial"/>
        <w:b/>
        <w:bCs/>
      </w:rPr>
      <w:tblPr/>
      <w:tcPr>
        <w:tcBorders>
          <w:top w:val="double" w:sz="6" w:space="0" w:color="E76C53"/>
          <w:left w:val="single" w:sz="8" w:space="0" w:color="E76C53"/>
          <w:bottom w:val="single" w:sz="8" w:space="0" w:color="E76C53"/>
          <w:right w:val="single" w:sz="8" w:space="0" w:color="E76C53"/>
          <w:insideH w:val="nil"/>
          <w:insideV w:val="single" w:sz="8" w:space="0" w:color="E76C53"/>
        </w:tcBorders>
      </w:tcPr>
    </w:tblStylePr>
    <w:tblStylePr w:type="firstCol">
      <w:rPr>
        <w:rFonts w:ascii="Arial" w:eastAsia="EC Square Sans Cond Pro Thin" w:hAnsi="Arial" w:cs="Arial"/>
        <w:b/>
        <w:bCs/>
      </w:rPr>
    </w:tblStylePr>
    <w:tblStylePr w:type="lastCol">
      <w:rPr>
        <w:rFonts w:ascii="Arial" w:eastAsia="EC Square Sans Cond Pro Thin" w:hAnsi="Arial" w:cs="Arial"/>
        <w:b/>
        <w:bCs/>
      </w:rPr>
      <w:tblPr/>
      <w:tcPr>
        <w:tcBorders>
          <w:top w:val="single" w:sz="8" w:space="0" w:color="E76C53"/>
          <w:left w:val="single" w:sz="8" w:space="0" w:color="E76C53"/>
          <w:bottom w:val="single" w:sz="8" w:space="0" w:color="E76C53"/>
          <w:right w:val="single" w:sz="8" w:space="0" w:color="E76C53"/>
        </w:tcBorders>
      </w:tcPr>
    </w:tblStylePr>
    <w:tblStylePr w:type="band1Vert">
      <w:tblPr/>
      <w:tcPr>
        <w:tcBorders>
          <w:top w:val="single" w:sz="8" w:space="0" w:color="E76C53"/>
          <w:left w:val="single" w:sz="8" w:space="0" w:color="E76C53"/>
          <w:bottom w:val="single" w:sz="8" w:space="0" w:color="E76C53"/>
          <w:right w:val="single" w:sz="8" w:space="0" w:color="E76C53"/>
        </w:tcBorders>
        <w:shd w:val="clear" w:color="auto" w:fill="F9DAD4"/>
      </w:tcPr>
    </w:tblStylePr>
    <w:tblStylePr w:type="band1Horz">
      <w:tblPr/>
      <w:tcPr>
        <w:tcBorders>
          <w:top w:val="single" w:sz="8" w:space="0" w:color="E76C53"/>
          <w:left w:val="single" w:sz="8" w:space="0" w:color="E76C53"/>
          <w:bottom w:val="single" w:sz="8" w:space="0" w:color="E76C53"/>
          <w:right w:val="single" w:sz="8" w:space="0" w:color="E76C53"/>
          <w:insideV w:val="single" w:sz="8" w:space="0" w:color="E76C53"/>
        </w:tcBorders>
        <w:shd w:val="clear" w:color="auto" w:fill="F9DAD4"/>
      </w:tcPr>
    </w:tblStylePr>
    <w:tblStylePr w:type="band2Horz">
      <w:tblPr/>
      <w:tcPr>
        <w:tcBorders>
          <w:top w:val="single" w:sz="8" w:space="0" w:color="E76C53"/>
          <w:left w:val="single" w:sz="8" w:space="0" w:color="E76C53"/>
          <w:bottom w:val="single" w:sz="8" w:space="0" w:color="E76C53"/>
          <w:right w:val="single" w:sz="8" w:space="0" w:color="E76C53"/>
          <w:insideV w:val="single" w:sz="8" w:space="0" w:color="E76C53"/>
        </w:tcBorders>
      </w:tcPr>
    </w:tblStylePr>
  </w:style>
  <w:style w:type="table" w:customStyle="1" w:styleId="MediumShading1-Accent14">
    <w:name w:val="Medium Shading 1 - Accent 14"/>
    <w:basedOn w:val="TableNormal"/>
    <w:next w:val="MediumShading1-Accent1"/>
    <w:uiPriority w:val="63"/>
    <w:unhideWhenUsed/>
    <w:rsid w:val="005D3D4D"/>
    <w:pPr>
      <w:spacing w:after="0" w:line="240" w:lineRule="auto"/>
    </w:pPr>
    <w:rPr>
      <w:rFonts w:eastAsia="MS PGothic"/>
      <w:sz w:val="24"/>
      <w:szCs w:val="24"/>
      <w:lang w:val="en-US"/>
    </w:rPr>
    <w:tblPr>
      <w:tblStyleRowBandSize w:val="1"/>
      <w:tblStyleColBandSize w:val="1"/>
      <w:tblBorders>
        <w:top w:val="single" w:sz="8" w:space="0" w:color="ED907E"/>
        <w:left w:val="single" w:sz="8" w:space="0" w:color="ED907E"/>
        <w:bottom w:val="single" w:sz="8" w:space="0" w:color="ED907E"/>
        <w:right w:val="single" w:sz="8" w:space="0" w:color="ED907E"/>
        <w:insideH w:val="single" w:sz="8" w:space="0" w:color="ED907E"/>
      </w:tblBorders>
    </w:tblPr>
    <w:tblStylePr w:type="firstRow">
      <w:pPr>
        <w:spacing w:before="0" w:after="0" w:line="240" w:lineRule="auto"/>
      </w:pPr>
      <w:rPr>
        <w:b/>
        <w:bCs/>
        <w:color w:val="FFFFFF"/>
      </w:rPr>
      <w:tblPr/>
      <w:tcPr>
        <w:tcBorders>
          <w:top w:val="single" w:sz="8" w:space="0" w:color="ED907E"/>
          <w:left w:val="single" w:sz="8" w:space="0" w:color="ED907E"/>
          <w:bottom w:val="single" w:sz="8" w:space="0" w:color="ED907E"/>
          <w:right w:val="single" w:sz="8" w:space="0" w:color="ED907E"/>
          <w:insideH w:val="nil"/>
          <w:insideV w:val="nil"/>
        </w:tcBorders>
        <w:shd w:val="clear" w:color="auto" w:fill="E76C53"/>
      </w:tcPr>
    </w:tblStylePr>
    <w:tblStylePr w:type="lastRow">
      <w:pPr>
        <w:spacing w:before="0" w:after="0" w:line="240" w:lineRule="auto"/>
      </w:pPr>
      <w:rPr>
        <w:b/>
        <w:bCs/>
      </w:rPr>
      <w:tblPr/>
      <w:tcPr>
        <w:tcBorders>
          <w:top w:val="double" w:sz="6" w:space="0" w:color="ED907E"/>
          <w:left w:val="single" w:sz="8" w:space="0" w:color="ED907E"/>
          <w:bottom w:val="single" w:sz="8" w:space="0" w:color="ED907E"/>
          <w:right w:val="single" w:sz="8" w:space="0" w:color="ED907E"/>
          <w:insideH w:val="nil"/>
          <w:insideV w:val="nil"/>
        </w:tcBorders>
      </w:tcPr>
    </w:tblStylePr>
    <w:tblStylePr w:type="firstCol">
      <w:rPr>
        <w:b/>
        <w:bCs/>
      </w:rPr>
    </w:tblStylePr>
    <w:tblStylePr w:type="lastCol">
      <w:rPr>
        <w:b/>
        <w:bCs/>
      </w:rPr>
    </w:tblStylePr>
    <w:tblStylePr w:type="band1Vert">
      <w:tblPr/>
      <w:tcPr>
        <w:shd w:val="clear" w:color="auto" w:fill="F9DAD4"/>
      </w:tcPr>
    </w:tblStylePr>
    <w:tblStylePr w:type="band1Horz">
      <w:tblPr/>
      <w:tcPr>
        <w:tcBorders>
          <w:insideH w:val="nil"/>
          <w:insideV w:val="nil"/>
        </w:tcBorders>
        <w:shd w:val="clear" w:color="auto" w:fill="F9DAD4"/>
      </w:tcPr>
    </w:tblStylePr>
    <w:tblStylePr w:type="band2Horz">
      <w:tblPr/>
      <w:tcPr>
        <w:tcBorders>
          <w:insideH w:val="nil"/>
          <w:insideV w:val="nil"/>
        </w:tcBorders>
      </w:tcPr>
    </w:tblStylePr>
  </w:style>
  <w:style w:type="table" w:customStyle="1" w:styleId="ColorfulList-Accent14">
    <w:name w:val="Colorful List - Accent 14"/>
    <w:basedOn w:val="TableNormal"/>
    <w:next w:val="ColorfulList-Accent1"/>
    <w:uiPriority w:val="72"/>
    <w:unhideWhenUsed/>
    <w:rsid w:val="005D3D4D"/>
    <w:pPr>
      <w:spacing w:after="0" w:line="240" w:lineRule="auto"/>
    </w:pPr>
    <w:rPr>
      <w:rFonts w:eastAsia="MS PGothic"/>
      <w:color w:val="000000"/>
      <w:sz w:val="24"/>
      <w:szCs w:val="24"/>
      <w:lang w:val="en-US"/>
    </w:rPr>
    <w:tblPr>
      <w:tblStyleRowBandSize w:val="1"/>
      <w:tblStyleColBandSize w:val="1"/>
    </w:tblPr>
    <w:tcPr>
      <w:shd w:val="clear" w:color="auto" w:fill="FCF0EE"/>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AD4"/>
      </w:tcPr>
    </w:tblStylePr>
    <w:tblStylePr w:type="band1Horz">
      <w:tblPr/>
      <w:tcPr>
        <w:shd w:val="clear" w:color="auto" w:fill="FAE1DC"/>
      </w:tcPr>
    </w:tblStylePr>
  </w:style>
  <w:style w:type="numbering" w:customStyle="1" w:styleId="BulletEU2">
    <w:name w:val="Bullet EU2"/>
    <w:uiPriority w:val="99"/>
    <w:rsid w:val="00C8485E"/>
  </w:style>
  <w:style w:type="table" w:customStyle="1" w:styleId="Credential12">
    <w:name w:val="Credential12"/>
    <w:basedOn w:val="TableNormal"/>
    <w:next w:val="MediumShading2-Accent1"/>
    <w:uiPriority w:val="64"/>
    <w:rsid w:val="005D3D4D"/>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2">
    <w:name w:val="Credential22"/>
    <w:basedOn w:val="TableNormal"/>
    <w:next w:val="MediumShading2-Accent1"/>
    <w:uiPriority w:val="64"/>
    <w:rsid w:val="005D3D4D"/>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2">
    <w:name w:val="Credential32"/>
    <w:basedOn w:val="TableNormal"/>
    <w:next w:val="MediumShading2-Accent1"/>
    <w:uiPriority w:val="64"/>
    <w:rsid w:val="005D3D4D"/>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2">
    <w:name w:val="Credential42"/>
    <w:basedOn w:val="TableNormal"/>
    <w:next w:val="MediumShading2-Accent1"/>
    <w:uiPriority w:val="64"/>
    <w:rsid w:val="005D3D4D"/>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4">
    <w:name w:val="Credential54"/>
    <w:basedOn w:val="TableNormal"/>
    <w:next w:val="MediumShading2-Accent1"/>
    <w:uiPriority w:val="64"/>
    <w:rsid w:val="005D3D4D"/>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2">
    <w:name w:val="Credential62"/>
    <w:basedOn w:val="TableNormal"/>
    <w:next w:val="MediumShading2-Accent1"/>
    <w:uiPriority w:val="64"/>
    <w:rsid w:val="005D3D4D"/>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MediumShading2-Accent13">
    <w:name w:val="Medium Shading 2 - Accent 13"/>
    <w:basedOn w:val="TableNormal"/>
    <w:next w:val="MediumShading2-Accent1"/>
    <w:uiPriority w:val="64"/>
    <w:rsid w:val="005D3D4D"/>
    <w:pPr>
      <w:spacing w:after="0" w:line="240" w:lineRule="auto"/>
    </w:pPr>
    <w:rPr>
      <w:rFonts w:ascii="Times New Roman" w:eastAsia="Calibri"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76C5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76C53"/>
      </w:tcPr>
    </w:tblStylePr>
    <w:tblStylePr w:type="lastCol">
      <w:rPr>
        <w:b/>
        <w:bCs/>
        <w:color w:val="FFFFFF"/>
      </w:rPr>
      <w:tblPr/>
      <w:tcPr>
        <w:tcBorders>
          <w:left w:val="nil"/>
          <w:right w:val="nil"/>
          <w:insideH w:val="nil"/>
          <w:insideV w:val="nil"/>
        </w:tcBorders>
        <w:shd w:val="clear" w:color="auto" w:fill="E76C5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2">
    <w:name w:val="Light List - Accent 112"/>
    <w:basedOn w:val="TableNormal"/>
    <w:uiPriority w:val="99"/>
    <w:rsid w:val="005D3D4D"/>
    <w:pPr>
      <w:spacing w:after="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8" w:space="0" w:color="E76C53"/>
        <w:left w:val="single" w:sz="8" w:space="0" w:color="E76C53"/>
        <w:bottom w:val="single" w:sz="8" w:space="0" w:color="E76C53"/>
        <w:right w:val="single" w:sz="8" w:space="0" w:color="E76C53"/>
      </w:tblBorders>
    </w:tblPr>
    <w:tblStylePr w:type="firstRow">
      <w:pPr>
        <w:spacing w:before="0" w:after="0" w:line="240" w:lineRule="auto"/>
      </w:pPr>
      <w:rPr>
        <w:b/>
        <w:bCs/>
        <w:color w:val="FFFFFF"/>
      </w:rPr>
      <w:tblPr/>
      <w:tcPr>
        <w:shd w:val="clear" w:color="auto" w:fill="E76C53"/>
      </w:tcPr>
    </w:tblStylePr>
    <w:tblStylePr w:type="lastRow">
      <w:pPr>
        <w:spacing w:before="0" w:after="0" w:line="240" w:lineRule="auto"/>
      </w:pPr>
      <w:rPr>
        <w:b/>
        <w:bCs/>
      </w:rPr>
      <w:tblPr/>
      <w:tcPr>
        <w:tcBorders>
          <w:top w:val="double" w:sz="6" w:space="0" w:color="E76C53"/>
          <w:left w:val="single" w:sz="8" w:space="0" w:color="E76C53"/>
          <w:bottom w:val="single" w:sz="8" w:space="0" w:color="E76C53"/>
          <w:right w:val="single" w:sz="8" w:space="0" w:color="E76C53"/>
        </w:tcBorders>
      </w:tcPr>
    </w:tblStylePr>
    <w:tblStylePr w:type="firstCol">
      <w:rPr>
        <w:b/>
        <w:bCs/>
      </w:rPr>
    </w:tblStylePr>
    <w:tblStylePr w:type="lastCol">
      <w:rPr>
        <w:b/>
        <w:bCs/>
      </w:rPr>
    </w:tblStylePr>
    <w:tblStylePr w:type="band1Vert">
      <w:tblPr/>
      <w:tcPr>
        <w:tcBorders>
          <w:top w:val="single" w:sz="8" w:space="0" w:color="E76C53"/>
          <w:left w:val="single" w:sz="8" w:space="0" w:color="E76C53"/>
          <w:bottom w:val="single" w:sz="8" w:space="0" w:color="E76C53"/>
          <w:right w:val="single" w:sz="8" w:space="0" w:color="E76C53"/>
        </w:tcBorders>
      </w:tcPr>
    </w:tblStylePr>
    <w:tblStylePr w:type="band1Horz">
      <w:tblPr/>
      <w:tcPr>
        <w:tcBorders>
          <w:top w:val="single" w:sz="8" w:space="0" w:color="E76C53"/>
          <w:left w:val="single" w:sz="8" w:space="0" w:color="E76C53"/>
          <w:bottom w:val="single" w:sz="8" w:space="0" w:color="E76C53"/>
          <w:right w:val="single" w:sz="8" w:space="0" w:color="E76C53"/>
        </w:tcBorders>
      </w:tcPr>
    </w:tblStylePr>
  </w:style>
  <w:style w:type="table" w:customStyle="1" w:styleId="LightList-Accent123">
    <w:name w:val="Light List - Accent 123"/>
    <w:basedOn w:val="TableNormal"/>
    <w:uiPriority w:val="61"/>
    <w:rsid w:val="005D3D4D"/>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E76C53"/>
        <w:left w:val="single" w:sz="8" w:space="0" w:color="E76C53"/>
        <w:bottom w:val="single" w:sz="8" w:space="0" w:color="E76C53"/>
        <w:right w:val="single" w:sz="8" w:space="0" w:color="E76C53"/>
      </w:tblBorders>
    </w:tblPr>
    <w:tblStylePr w:type="firstRow">
      <w:pPr>
        <w:spacing w:before="0" w:after="0" w:line="240" w:lineRule="auto"/>
      </w:pPr>
      <w:rPr>
        <w:b/>
        <w:bCs/>
        <w:color w:val="FFFFFF"/>
      </w:rPr>
      <w:tblPr/>
      <w:tcPr>
        <w:shd w:val="clear" w:color="auto" w:fill="E76C53"/>
      </w:tcPr>
    </w:tblStylePr>
    <w:tblStylePr w:type="lastRow">
      <w:pPr>
        <w:spacing w:before="0" w:after="0" w:line="240" w:lineRule="auto"/>
      </w:pPr>
      <w:rPr>
        <w:b/>
        <w:bCs/>
      </w:rPr>
      <w:tblPr/>
      <w:tcPr>
        <w:tcBorders>
          <w:top w:val="double" w:sz="6" w:space="0" w:color="E76C53"/>
          <w:left w:val="single" w:sz="8" w:space="0" w:color="E76C53"/>
          <w:bottom w:val="single" w:sz="8" w:space="0" w:color="E76C53"/>
          <w:right w:val="single" w:sz="8" w:space="0" w:color="E76C53"/>
        </w:tcBorders>
      </w:tcPr>
    </w:tblStylePr>
    <w:tblStylePr w:type="firstCol">
      <w:rPr>
        <w:b/>
        <w:bCs/>
      </w:rPr>
    </w:tblStylePr>
    <w:tblStylePr w:type="lastCol">
      <w:rPr>
        <w:b/>
        <w:bCs/>
      </w:rPr>
    </w:tblStylePr>
    <w:tblStylePr w:type="band1Vert">
      <w:tblPr/>
      <w:tcPr>
        <w:tcBorders>
          <w:top w:val="single" w:sz="8" w:space="0" w:color="E76C53"/>
          <w:left w:val="single" w:sz="8" w:space="0" w:color="E76C53"/>
          <w:bottom w:val="single" w:sz="8" w:space="0" w:color="E76C53"/>
          <w:right w:val="single" w:sz="8" w:space="0" w:color="E76C53"/>
        </w:tcBorders>
      </w:tcPr>
    </w:tblStylePr>
    <w:tblStylePr w:type="band1Horz">
      <w:tblPr/>
      <w:tcPr>
        <w:tcBorders>
          <w:top w:val="single" w:sz="8" w:space="0" w:color="E76C53"/>
          <w:left w:val="single" w:sz="8" w:space="0" w:color="E76C53"/>
          <w:bottom w:val="single" w:sz="8" w:space="0" w:color="E76C53"/>
          <w:right w:val="single" w:sz="8" w:space="0" w:color="E76C53"/>
        </w:tcBorders>
      </w:tcPr>
    </w:tblStylePr>
  </w:style>
  <w:style w:type="table" w:customStyle="1" w:styleId="Table3Deffects12">
    <w:name w:val="Table 3D effects 12"/>
    <w:basedOn w:val="TableNormal"/>
    <w:next w:val="Table3Deffects1"/>
    <w:semiHidden/>
    <w:rsid w:val="005D3D4D"/>
    <w:pPr>
      <w:spacing w:after="0" w:line="260" w:lineRule="atLeast"/>
    </w:pPr>
    <w:rPr>
      <w:rFonts w:ascii="Times New Roman" w:eastAsia="Times New Roman" w:hAnsi="Times New Roman" w:cs="Times New Roman"/>
      <w:sz w:val="20"/>
      <w:szCs w:val="20"/>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5D3D4D"/>
    <w:pPr>
      <w:spacing w:after="0" w:line="26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rsid w:val="005D3D4D"/>
    <w:pPr>
      <w:spacing w:after="0" w:line="26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5D3D4D"/>
    <w:pPr>
      <w:spacing w:after="0" w:line="26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rsid w:val="005D3D4D"/>
    <w:pPr>
      <w:spacing w:after="0" w:line="26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5D3D4D"/>
    <w:pPr>
      <w:spacing w:after="0" w:line="26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5D3D4D"/>
    <w:pPr>
      <w:spacing w:after="0" w:line="26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5D3D4D"/>
    <w:pPr>
      <w:spacing w:after="0" w:line="260" w:lineRule="atLeast"/>
    </w:pPr>
    <w:rPr>
      <w:rFonts w:ascii="Times New Roman" w:eastAsia="Times New Roman" w:hAnsi="Times New Roman" w:cs="Times New Roman"/>
      <w:b/>
      <w:bCs/>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rsid w:val="005D3D4D"/>
    <w:pPr>
      <w:spacing w:after="0" w:line="26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5D3D4D"/>
    <w:pPr>
      <w:spacing w:after="0" w:line="260" w:lineRule="atLeast"/>
    </w:pPr>
    <w:rPr>
      <w:rFonts w:ascii="Times New Roman" w:eastAsia="Times New Roman" w:hAnsi="Times New Roman" w:cs="Times New Roman"/>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5D3D4D"/>
    <w:pPr>
      <w:spacing w:after="0" w:line="26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5D3D4D"/>
    <w:pPr>
      <w:spacing w:after="0" w:line="26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0">
    <w:name w:val="Table Grid 22"/>
    <w:basedOn w:val="TableNormal"/>
    <w:next w:val="TableGrid20"/>
    <w:semiHidden/>
    <w:rsid w:val="005D3D4D"/>
    <w:pPr>
      <w:spacing w:after="0" w:line="26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semiHidden/>
    <w:rsid w:val="005D3D4D"/>
    <w:pPr>
      <w:spacing w:after="0" w:line="26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semiHidden/>
    <w:rsid w:val="005D3D4D"/>
    <w:pPr>
      <w:spacing w:after="0" w:line="26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rsid w:val="005D3D4D"/>
    <w:pPr>
      <w:spacing w:after="0" w:line="26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5D3D4D"/>
    <w:pPr>
      <w:spacing w:after="0" w:line="26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5D3D4D"/>
    <w:pPr>
      <w:spacing w:after="0" w:line="26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5D3D4D"/>
    <w:pPr>
      <w:spacing w:after="0" w:line="26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5D3D4D"/>
    <w:pPr>
      <w:spacing w:after="0" w:line="26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5D3D4D"/>
    <w:pPr>
      <w:spacing w:after="0" w:line="260" w:lineRule="atLeast"/>
    </w:pPr>
    <w:rPr>
      <w:rFonts w:ascii="Times New Roman" w:eastAsia="Times New Roman" w:hAnsi="Times New Roman" w:cs="Times New Roman"/>
      <w:sz w:val="20"/>
      <w:szCs w:val="20"/>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rsid w:val="005D3D4D"/>
    <w:pPr>
      <w:spacing w:after="0" w:line="260" w:lineRule="atLeast"/>
    </w:pPr>
    <w:rPr>
      <w:rFonts w:ascii="Times New Roman" w:eastAsia="Times New Roman" w:hAnsi="Times New Roman" w:cs="Times New Roman"/>
      <w:sz w:val="20"/>
      <w:szCs w:val="20"/>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rsid w:val="005D3D4D"/>
    <w:pPr>
      <w:spacing w:after="0" w:line="26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rsid w:val="005D3D4D"/>
    <w:pPr>
      <w:spacing w:after="0" w:line="26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semiHidden/>
    <w:rsid w:val="005D3D4D"/>
    <w:pPr>
      <w:spacing w:after="0" w:line="26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5D3D4D"/>
    <w:pPr>
      <w:spacing w:after="0" w:line="26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5D3D4D"/>
    <w:pPr>
      <w:spacing w:after="0" w:line="26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2">
    <w:name w:val="1 / 1.1 / 1.1.12"/>
    <w:basedOn w:val="NoList"/>
    <w:next w:val="111111"/>
    <w:semiHidden/>
    <w:rsid w:val="00C8485E"/>
  </w:style>
  <w:style w:type="numbering" w:customStyle="1" w:styleId="1ai2">
    <w:name w:val="1 / a / i2"/>
    <w:basedOn w:val="NoList"/>
    <w:next w:val="1ai"/>
    <w:semiHidden/>
    <w:rsid w:val="00C8485E"/>
  </w:style>
  <w:style w:type="numbering" w:customStyle="1" w:styleId="ArticleSection2">
    <w:name w:val="Article / Section2"/>
    <w:basedOn w:val="NoList"/>
    <w:next w:val="ArticleSection"/>
    <w:semiHidden/>
    <w:rsid w:val="00C8485E"/>
  </w:style>
  <w:style w:type="numbering" w:customStyle="1" w:styleId="list-bullet-color2">
    <w:name w:val="list-bullet-color2"/>
    <w:rsid w:val="00C8485E"/>
  </w:style>
  <w:style w:type="table" w:customStyle="1" w:styleId="LightShading-Accent112">
    <w:name w:val="Light Shading - Accent 112"/>
    <w:basedOn w:val="TableNormal"/>
    <w:uiPriority w:val="60"/>
    <w:rsid w:val="005D3D4D"/>
    <w:pPr>
      <w:spacing w:after="0" w:line="240" w:lineRule="auto"/>
    </w:pPr>
    <w:rPr>
      <w:rFonts w:ascii="Times New Roman" w:eastAsia="Times New Roman" w:hAnsi="Times New Roman" w:cs="Times New Roman"/>
      <w:color w:val="CE3A1C"/>
      <w:sz w:val="20"/>
      <w:szCs w:val="20"/>
      <w:lang w:val="da-DK" w:eastAsia="da-DK"/>
    </w:rPr>
    <w:tblPr>
      <w:tblStyleRowBandSize w:val="1"/>
      <w:tblStyleColBandSize w:val="1"/>
      <w:tblBorders>
        <w:top w:val="single" w:sz="8" w:space="0" w:color="E76C53"/>
        <w:bottom w:val="single" w:sz="8" w:space="0" w:color="E76C53"/>
      </w:tblBorders>
    </w:tblPr>
    <w:tblStylePr w:type="firstRow">
      <w:pPr>
        <w:spacing w:before="0" w:after="0" w:line="240" w:lineRule="auto"/>
      </w:pPr>
      <w:rPr>
        <w:b/>
        <w:bCs/>
      </w:rPr>
      <w:tblPr/>
      <w:tcPr>
        <w:tcBorders>
          <w:top w:val="single" w:sz="8" w:space="0" w:color="E76C53"/>
          <w:left w:val="nil"/>
          <w:bottom w:val="single" w:sz="8" w:space="0" w:color="E76C53"/>
          <w:right w:val="nil"/>
          <w:insideH w:val="nil"/>
          <w:insideV w:val="nil"/>
        </w:tcBorders>
      </w:tcPr>
    </w:tblStylePr>
    <w:tblStylePr w:type="lastRow">
      <w:pPr>
        <w:spacing w:before="0" w:after="0" w:line="240" w:lineRule="auto"/>
      </w:pPr>
      <w:rPr>
        <w:b/>
        <w:bCs/>
      </w:rPr>
      <w:tblPr/>
      <w:tcPr>
        <w:tcBorders>
          <w:top w:val="single" w:sz="8" w:space="0" w:color="E76C53"/>
          <w:left w:val="nil"/>
          <w:bottom w:val="single" w:sz="8" w:space="0" w:color="E76C5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AD4"/>
      </w:tcPr>
    </w:tblStylePr>
    <w:tblStylePr w:type="band1Horz">
      <w:tblPr/>
      <w:tcPr>
        <w:tcBorders>
          <w:left w:val="nil"/>
          <w:right w:val="nil"/>
          <w:insideH w:val="nil"/>
          <w:insideV w:val="nil"/>
        </w:tcBorders>
        <w:shd w:val="clear" w:color="auto" w:fill="F9DAD4"/>
      </w:tcPr>
    </w:tblStylePr>
  </w:style>
  <w:style w:type="table" w:customStyle="1" w:styleId="GridTable5Dark-Accent112">
    <w:name w:val="Grid Table 5 Dark - Accent 112"/>
    <w:basedOn w:val="TableNormal"/>
    <w:uiPriority w:val="50"/>
    <w:rsid w:val="005D3D4D"/>
    <w:pPr>
      <w:spacing w:after="0" w:line="240" w:lineRule="auto"/>
    </w:pPr>
    <w:rPr>
      <w:rFonts w:ascii="Times New Roman" w:eastAsia="Calibri" w:hAnsi="Times New Roman"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AE1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76C53"/>
      </w:tcPr>
    </w:tblStylePr>
    <w:tblStylePr w:type="lastRow">
      <w:rPr>
        <w:b/>
        <w:bCs/>
        <w:color w:val="000000"/>
      </w:rPr>
      <w:tblPr/>
      <w:tcPr>
        <w:tcBorders>
          <w:left w:val="single" w:sz="4" w:space="0" w:color="FFFFFF"/>
          <w:bottom w:val="single" w:sz="4" w:space="0" w:color="FFFFFF"/>
          <w:right w:val="single" w:sz="4" w:space="0" w:color="FFFFFF"/>
          <w:insideH w:val="nil"/>
          <w:insideV w:val="nil"/>
        </w:tcBorders>
        <w:shd w:val="clear" w:color="auto" w:fill="E76C5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76C5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76C53"/>
      </w:tcPr>
    </w:tblStylePr>
    <w:tblStylePr w:type="band1Vert">
      <w:tblPr/>
      <w:tcPr>
        <w:shd w:val="clear" w:color="auto" w:fill="F5C3B9"/>
      </w:tcPr>
    </w:tblStylePr>
    <w:tblStylePr w:type="band1Horz">
      <w:tblPr/>
      <w:tcPr>
        <w:shd w:val="clear" w:color="auto" w:fill="F5C3B9"/>
      </w:tcPr>
    </w:tblStylePr>
  </w:style>
  <w:style w:type="numbering" w:customStyle="1" w:styleId="LEMinorBulletList2">
    <w:name w:val="LE Minor Bullet List2"/>
    <w:basedOn w:val="NoList"/>
    <w:uiPriority w:val="99"/>
    <w:rsid w:val="00C8485E"/>
  </w:style>
  <w:style w:type="table" w:customStyle="1" w:styleId="LightList-Accent15">
    <w:name w:val="Light List - Accent 15"/>
    <w:basedOn w:val="TableNormal"/>
    <w:next w:val="LightList-Accent1"/>
    <w:uiPriority w:val="61"/>
    <w:rsid w:val="005D3D4D"/>
    <w:pPr>
      <w:spacing w:after="0" w:line="240" w:lineRule="auto"/>
    </w:pPr>
    <w:rPr>
      <w:rFonts w:ascii="Verdana" w:eastAsia="Times New Roman" w:hAnsi="Verdana" w:cs="Times New Roman"/>
      <w:sz w:val="18"/>
      <w:szCs w:val="18"/>
      <w:lang w:val="da-DK" w:eastAsia="da-DK"/>
    </w:rPr>
    <w:tblPr>
      <w:tblStyleRowBandSize w:val="1"/>
      <w:tblStyleColBandSize w:val="1"/>
      <w:tblBorders>
        <w:top w:val="single" w:sz="8" w:space="0" w:color="E76C53"/>
        <w:left w:val="single" w:sz="8" w:space="0" w:color="E76C53"/>
        <w:bottom w:val="single" w:sz="8" w:space="0" w:color="E76C53"/>
        <w:right w:val="single" w:sz="8" w:space="0" w:color="E76C53"/>
      </w:tblBorders>
    </w:tblPr>
    <w:tblStylePr w:type="firstRow">
      <w:pPr>
        <w:spacing w:before="0" w:after="0" w:line="240" w:lineRule="auto"/>
      </w:pPr>
      <w:rPr>
        <w:b/>
        <w:bCs/>
        <w:color w:val="FFFFFF"/>
      </w:rPr>
      <w:tblPr/>
      <w:tcPr>
        <w:shd w:val="clear" w:color="auto" w:fill="E76C53"/>
      </w:tcPr>
    </w:tblStylePr>
    <w:tblStylePr w:type="lastRow">
      <w:pPr>
        <w:spacing w:before="0" w:after="0" w:line="240" w:lineRule="auto"/>
      </w:pPr>
      <w:rPr>
        <w:b/>
        <w:bCs/>
      </w:rPr>
      <w:tblPr/>
      <w:tcPr>
        <w:tcBorders>
          <w:top w:val="double" w:sz="6" w:space="0" w:color="E76C53"/>
          <w:left w:val="single" w:sz="8" w:space="0" w:color="E76C53"/>
          <w:bottom w:val="single" w:sz="8" w:space="0" w:color="E76C53"/>
          <w:right w:val="single" w:sz="8" w:space="0" w:color="E76C53"/>
        </w:tcBorders>
      </w:tcPr>
    </w:tblStylePr>
    <w:tblStylePr w:type="firstCol">
      <w:rPr>
        <w:b/>
        <w:bCs/>
      </w:rPr>
    </w:tblStylePr>
    <w:tblStylePr w:type="lastCol">
      <w:rPr>
        <w:b/>
        <w:bCs/>
      </w:rPr>
    </w:tblStylePr>
    <w:tblStylePr w:type="band1Vert">
      <w:tblPr/>
      <w:tcPr>
        <w:tcBorders>
          <w:top w:val="single" w:sz="8" w:space="0" w:color="E76C53"/>
          <w:left w:val="single" w:sz="8" w:space="0" w:color="E76C53"/>
          <w:bottom w:val="single" w:sz="8" w:space="0" w:color="E76C53"/>
          <w:right w:val="single" w:sz="8" w:space="0" w:color="E76C53"/>
        </w:tcBorders>
      </w:tcPr>
    </w:tblStylePr>
    <w:tblStylePr w:type="band1Horz">
      <w:tblPr/>
      <w:tcPr>
        <w:tcBorders>
          <w:top w:val="single" w:sz="8" w:space="0" w:color="E76C53"/>
          <w:left w:val="single" w:sz="8" w:space="0" w:color="E76C53"/>
          <w:bottom w:val="single" w:sz="8" w:space="0" w:color="E76C53"/>
          <w:right w:val="single" w:sz="8" w:space="0" w:color="E76C53"/>
        </w:tcBorders>
      </w:tcPr>
    </w:tblStylePr>
  </w:style>
  <w:style w:type="table" w:customStyle="1" w:styleId="LightList-Accent312">
    <w:name w:val="Light List - Accent 312"/>
    <w:basedOn w:val="TableNormal"/>
    <w:next w:val="LightList-Accent3"/>
    <w:uiPriority w:val="61"/>
    <w:rsid w:val="005D3D4D"/>
    <w:pPr>
      <w:spacing w:after="0" w:line="240" w:lineRule="auto"/>
    </w:pPr>
    <w:rPr>
      <w:rFonts w:ascii="Times" w:eastAsia="Times" w:hAnsi="Times" w:cs="Times New Roman"/>
      <w:sz w:val="20"/>
      <w:szCs w:val="20"/>
      <w:lang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table" w:customStyle="1" w:styleId="LightList-Accent34">
    <w:name w:val="Light List - Accent 34"/>
    <w:basedOn w:val="TableNormal"/>
    <w:next w:val="LightList-Accent3"/>
    <w:uiPriority w:val="61"/>
    <w:semiHidden/>
    <w:unhideWhenUsed/>
    <w:rsid w:val="005D3D4D"/>
    <w:pPr>
      <w:spacing w:after="0" w:line="240" w:lineRule="auto"/>
    </w:pPr>
    <w:rPr>
      <w:rFonts w:ascii="Times New Roman" w:eastAsia="Calibri" w:hAnsi="Times New Roman" w:cs="Times New Roman"/>
      <w:sz w:val="20"/>
      <w:szCs w:val="20"/>
      <w:lang w:eastAsia="en-GB"/>
    </w:rPr>
    <w:tblPr>
      <w:tblStyleRowBandSize w:val="1"/>
      <w:tblStyleColBandSize w:val="1"/>
      <w:tblBorders>
        <w:top w:val="single" w:sz="8" w:space="0" w:color="ED8D2F"/>
        <w:left w:val="single" w:sz="8" w:space="0" w:color="ED8D2F"/>
        <w:bottom w:val="single" w:sz="8" w:space="0" w:color="ED8D2F"/>
        <w:right w:val="single" w:sz="8" w:space="0" w:color="ED8D2F"/>
      </w:tblBorders>
    </w:tblPr>
    <w:tblStylePr w:type="firstRow">
      <w:pPr>
        <w:spacing w:before="0" w:after="0" w:line="240" w:lineRule="auto"/>
      </w:pPr>
      <w:rPr>
        <w:b/>
        <w:bCs/>
        <w:color w:val="FFFFFF"/>
      </w:rPr>
      <w:tblPr/>
      <w:tcPr>
        <w:shd w:val="clear" w:color="auto" w:fill="ED8D2F"/>
      </w:tcPr>
    </w:tblStylePr>
    <w:tblStylePr w:type="lastRow">
      <w:pPr>
        <w:spacing w:before="0" w:after="0" w:line="240" w:lineRule="auto"/>
      </w:pPr>
      <w:rPr>
        <w:b/>
        <w:bCs/>
      </w:rPr>
      <w:tblPr/>
      <w:tcPr>
        <w:tcBorders>
          <w:top w:val="double" w:sz="6" w:space="0" w:color="ED8D2F"/>
          <w:left w:val="single" w:sz="8" w:space="0" w:color="ED8D2F"/>
          <w:bottom w:val="single" w:sz="8" w:space="0" w:color="ED8D2F"/>
          <w:right w:val="single" w:sz="8" w:space="0" w:color="ED8D2F"/>
        </w:tcBorders>
      </w:tcPr>
    </w:tblStylePr>
    <w:tblStylePr w:type="firstCol">
      <w:rPr>
        <w:b/>
        <w:bCs/>
      </w:rPr>
    </w:tblStylePr>
    <w:tblStylePr w:type="lastCol">
      <w:rPr>
        <w:b/>
        <w:bCs/>
      </w:rPr>
    </w:tblStylePr>
    <w:tblStylePr w:type="band1Vert">
      <w:tblPr/>
      <w:tcPr>
        <w:tcBorders>
          <w:top w:val="single" w:sz="8" w:space="0" w:color="ED8D2F"/>
          <w:left w:val="single" w:sz="8" w:space="0" w:color="ED8D2F"/>
          <w:bottom w:val="single" w:sz="8" w:space="0" w:color="ED8D2F"/>
          <w:right w:val="single" w:sz="8" w:space="0" w:color="ED8D2F"/>
        </w:tcBorders>
      </w:tcPr>
    </w:tblStylePr>
    <w:tblStylePr w:type="band1Horz">
      <w:tblPr/>
      <w:tcPr>
        <w:tcBorders>
          <w:top w:val="single" w:sz="8" w:space="0" w:color="ED8D2F"/>
          <w:left w:val="single" w:sz="8" w:space="0" w:color="ED8D2F"/>
          <w:bottom w:val="single" w:sz="8" w:space="0" w:color="ED8D2F"/>
          <w:right w:val="single" w:sz="8" w:space="0" w:color="ED8D2F"/>
        </w:tcBorders>
      </w:tcPr>
    </w:tblStylePr>
  </w:style>
  <w:style w:type="table" w:customStyle="1" w:styleId="LightList-Accent1212">
    <w:name w:val="Light List - Accent 1212"/>
    <w:uiPriority w:val="61"/>
    <w:rsid w:val="005D3D4D"/>
    <w:pPr>
      <w:spacing w:after="0" w:line="240" w:lineRule="auto"/>
    </w:pPr>
    <w:rPr>
      <w:rFonts w:ascii="Calibri" w:eastAsia="Calibri" w:hAnsi="Calibri" w:cs="Times New Roman"/>
      <w:sz w:val="20"/>
      <w:szCs w:val="20"/>
      <w:lang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eGrid520">
    <w:name w:val="Table Grid52"/>
    <w:basedOn w:val="TableNormal"/>
    <w:next w:val="TableGrid"/>
    <w:uiPriority w:val="39"/>
    <w:rsid w:val="005D3D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2">
    <w:name w:val="List bullets2"/>
    <w:basedOn w:val="NoList"/>
    <w:uiPriority w:val="99"/>
    <w:rsid w:val="00C8485E"/>
  </w:style>
  <w:style w:type="table" w:customStyle="1" w:styleId="ListTable3-Accent512">
    <w:name w:val="List Table 3 - Accent 512"/>
    <w:basedOn w:val="TableNormal"/>
    <w:uiPriority w:val="48"/>
    <w:rsid w:val="005D3D4D"/>
    <w:pPr>
      <w:spacing w:after="0" w:line="240" w:lineRule="auto"/>
    </w:pPr>
    <w:tblPr>
      <w:tblStyleRowBandSize w:val="1"/>
      <w:tblStyleColBandSize w:val="1"/>
      <w:tblBorders>
        <w:top w:val="single" w:sz="4" w:space="0" w:color="4BC5DE"/>
        <w:left w:val="single" w:sz="4" w:space="0" w:color="4BC5DE"/>
        <w:bottom w:val="single" w:sz="4" w:space="0" w:color="4BC5DE"/>
        <w:right w:val="single" w:sz="4" w:space="0" w:color="4BC5DE"/>
      </w:tblBorders>
    </w:tblPr>
    <w:tblStylePr w:type="firstRow">
      <w:rPr>
        <w:b/>
        <w:bCs/>
        <w:color w:val="FFFFFF"/>
      </w:rPr>
      <w:tblPr/>
      <w:tcPr>
        <w:shd w:val="clear" w:color="auto" w:fill="4BC5DE"/>
      </w:tcPr>
    </w:tblStylePr>
    <w:tblStylePr w:type="lastRow">
      <w:rPr>
        <w:b/>
        <w:bCs/>
      </w:rPr>
      <w:tblPr/>
      <w:tcPr>
        <w:tcBorders>
          <w:top w:val="double" w:sz="4" w:space="0" w:color="4BC5D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C5DE"/>
          <w:right w:val="single" w:sz="4" w:space="0" w:color="4BC5DE"/>
        </w:tcBorders>
      </w:tcPr>
    </w:tblStylePr>
    <w:tblStylePr w:type="band1Horz">
      <w:tblPr/>
      <w:tcPr>
        <w:tcBorders>
          <w:top w:val="single" w:sz="4" w:space="0" w:color="4BC5DE"/>
          <w:bottom w:val="single" w:sz="4" w:space="0" w:color="4BC5D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C5DE"/>
          <w:left w:val="nil"/>
        </w:tcBorders>
      </w:tcPr>
    </w:tblStylePr>
    <w:tblStylePr w:type="swCell">
      <w:tblPr/>
      <w:tcPr>
        <w:tcBorders>
          <w:top w:val="double" w:sz="4" w:space="0" w:color="4BC5DE"/>
          <w:right w:val="nil"/>
        </w:tcBorders>
      </w:tcPr>
    </w:tblStylePr>
  </w:style>
  <w:style w:type="table" w:customStyle="1" w:styleId="Deloitte16">
    <w:name w:val="Deloitte16"/>
    <w:basedOn w:val="TableNormal"/>
    <w:rsid w:val="005D3D4D"/>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23">
    <w:name w:val="Deloitte23"/>
    <w:basedOn w:val="TableNormal"/>
    <w:rsid w:val="005D3D4D"/>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ustom22">
    <w:name w:val="Table Custom22"/>
    <w:basedOn w:val="TableNormal"/>
    <w:uiPriority w:val="99"/>
    <w:rsid w:val="005D3D4D"/>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F5C3B9"/>
        <w:insideV w:val="single" w:sz="4" w:space="0" w:color="F5C3B9"/>
      </w:tblBorders>
      <w:tblCellMar>
        <w:top w:w="43" w:type="dxa"/>
        <w:left w:w="115" w:type="dxa"/>
        <w:bottom w:w="43" w:type="dxa"/>
        <w:right w:w="115" w:type="dxa"/>
      </w:tblCellMar>
    </w:tblPr>
    <w:tblStylePr w:type="firstRow">
      <w:rPr>
        <w:rFonts w:ascii="Arial" w:hAnsi="Arial" w:cs="Arial" w:hint="default"/>
        <w:b/>
        <w:color w:val="FFFFFF"/>
        <w:sz w:val="20"/>
        <w:szCs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Table1-PSPbrand12">
    <w:name w:val="Table 1 - PSP brand12"/>
    <w:basedOn w:val="TableNormal"/>
    <w:rsid w:val="005D3D4D"/>
    <w:pPr>
      <w:spacing w:after="0" w:line="240" w:lineRule="auto"/>
    </w:pPr>
    <w:rPr>
      <w:rFonts w:ascii="Calibri" w:eastAsia="Calibri" w:hAnsi="Calibri" w:cs="Times New Roman"/>
      <w:sz w:val="24"/>
      <w:lang w:val="nl-NL" w:eastAsia="en-GB"/>
    </w:rPr>
    <w:tblPr>
      <w:tblStyleRowBandSize w:val="1"/>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cPr>
      <w:shd w:val="clear" w:color="auto" w:fill="FFFFFF"/>
    </w:tcPr>
    <w:tblStylePr w:type="firstRow">
      <w:rPr>
        <w:b/>
        <w:color w:val="E76C53"/>
      </w:rPr>
      <w:tblPr/>
      <w:tcPr>
        <w:shd w:val="clear" w:color="auto" w:fill="000000"/>
      </w:tcPr>
    </w:tblStylePr>
    <w:tblStylePr w:type="band2Horz">
      <w:tblPr/>
      <w:tcPr>
        <w:shd w:val="clear" w:color="auto" w:fill="DDD9C3"/>
      </w:tcPr>
    </w:tblStylePr>
  </w:style>
  <w:style w:type="table" w:customStyle="1" w:styleId="MainEUtablestyle-Alternative12">
    <w:name w:val="Main EU table style - Alternative12"/>
    <w:basedOn w:val="TableNormal"/>
    <w:uiPriority w:val="99"/>
    <w:rsid w:val="005D3D4D"/>
    <w:pPr>
      <w:spacing w:after="120"/>
      <w:jc w:val="both"/>
    </w:pPr>
    <w:rPr>
      <w:rFonts w:ascii="Arial" w:eastAsia="Calibri" w:hAnsi="Arial" w:cs="Times New Roman"/>
      <w:sz w:val="18"/>
      <w:szCs w:val="20"/>
    </w:rPr>
    <w:tblPr>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blStylePr w:type="firstRow">
      <w:pPr>
        <w:jc w:val="left"/>
      </w:pPr>
      <w:rPr>
        <w:rFonts w:ascii="Arial" w:hAnsi="Arial" w:cs="Arial" w:hint="default"/>
        <w:b w:val="0"/>
        <w:color w:val="FFFFFF"/>
        <w:sz w:val="18"/>
        <w:szCs w:val="18"/>
      </w:rPr>
    </w:tblStylePr>
    <w:tblStylePr w:type="firstCol">
      <w:rPr>
        <w:rFonts w:ascii="Arial" w:hAnsi="Arial" w:cs="Arial" w:hint="default"/>
        <w:b/>
        <w:color w:val="FFFFFF"/>
        <w:sz w:val="20"/>
        <w:szCs w:val="20"/>
      </w:rPr>
      <w:tblPr/>
      <w:tcPr>
        <w:tcBorders>
          <w:top w:val="nil"/>
          <w:left w:val="nil"/>
          <w:bottom w:val="nil"/>
          <w:right w:val="nil"/>
          <w:insideH w:val="single" w:sz="4" w:space="0" w:color="FFFFFF"/>
          <w:insideV w:val="single" w:sz="4" w:space="0" w:color="FFFFFF"/>
        </w:tcBorders>
        <w:shd w:val="clear" w:color="auto" w:fill="E76C53"/>
      </w:tcPr>
    </w:tblStylePr>
  </w:style>
  <w:style w:type="table" w:customStyle="1" w:styleId="MediumShading1-Accent522">
    <w:name w:val="Medium Shading 1 - Accent 522"/>
    <w:basedOn w:val="TableNormal"/>
    <w:uiPriority w:val="63"/>
    <w:rsid w:val="005D3D4D"/>
    <w:pPr>
      <w:spacing w:after="0" w:line="240" w:lineRule="auto"/>
    </w:pPr>
    <w:rPr>
      <w:rFonts w:ascii="Times New Roman" w:eastAsia="Calibri" w:hAnsi="Times New Roman" w:cs="Times New Roman"/>
      <w:sz w:val="20"/>
      <w:szCs w:val="20"/>
      <w:lang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Lines="0" w:before="0" w:beforeAutospacing="0" w:afterLines="0" w:after="0" w:afterAutospacing="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Lines="0" w:before="0" w:beforeAutospacing="0" w:afterLines="0" w:after="0" w:afterAutospacing="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ListTable41212">
    <w:name w:val="List Table 41212"/>
    <w:basedOn w:val="TableNormal"/>
    <w:uiPriority w:val="49"/>
    <w:rsid w:val="005D3D4D"/>
    <w:pPr>
      <w:spacing w:after="0" w:line="240" w:lineRule="auto"/>
    </w:pPr>
    <w:rPr>
      <w:rFonts w:ascii="Calibri" w:eastAsia="MS PGothic" w:hAnsi="Calibri"/>
      <w:sz w:val="24"/>
    </w:rPr>
    <w:tblPr>
      <w:tblStyleRowBandSize w:val="1"/>
      <w:tblStyleColBandSize w:val="1"/>
      <w:tblBorders>
        <w:top w:val="single" w:sz="4" w:space="0" w:color="E76C53"/>
        <w:left w:val="single" w:sz="4" w:space="0" w:color="E76C53"/>
        <w:bottom w:val="single" w:sz="4" w:space="0" w:color="E76C53"/>
        <w:right w:val="single" w:sz="4" w:space="0" w:color="E76C53"/>
        <w:insideH w:val="single" w:sz="4" w:space="0" w:color="E76C53"/>
        <w:insideV w:val="single" w:sz="4" w:space="0" w:color="E76C53"/>
      </w:tblBorders>
    </w:tblPr>
    <w:tcPr>
      <w:shd w:val="clear" w:color="auto" w:fill="FFFFFF"/>
      <w:vAlign w:val="center"/>
    </w:tcPr>
    <w:tblStylePr w:type="firstRow">
      <w:pPr>
        <w:jc w:val="left"/>
      </w:pPr>
      <w:rPr>
        <w:rFonts w:ascii="Calibri" w:hAnsi="Calibri" w:hint="default"/>
        <w:b/>
        <w:bCs/>
        <w:color w:val="FFFFFF"/>
        <w:sz w:val="24"/>
        <w:szCs w:val="24"/>
      </w:rPr>
      <w:tblPr/>
      <w:tcPr>
        <w:shd w:val="clear" w:color="auto" w:fill="000000"/>
      </w:tcPr>
    </w:tblStylePr>
    <w:tblStylePr w:type="lastRow">
      <w:pPr>
        <w:jc w:val="left"/>
      </w:pPr>
      <w:rPr>
        <w:rFonts w:ascii="Calibri" w:hAnsi="Calibri" w:hint="default"/>
        <w:b w:val="0"/>
        <w:bCs/>
        <w:sz w:val="24"/>
        <w:szCs w:val="24"/>
      </w:rPr>
    </w:tblStylePr>
    <w:tblStylePr w:type="firstCol">
      <w:pPr>
        <w:jc w:val="left"/>
      </w:pPr>
      <w:rPr>
        <w:rFonts w:ascii="Calibri" w:hAnsi="Calibri" w:hint="default"/>
        <w:b w:val="0"/>
        <w:bCs/>
        <w:sz w:val="24"/>
        <w:szCs w:val="24"/>
      </w:rPr>
    </w:tblStylePr>
    <w:tblStylePr w:type="lastCol">
      <w:pPr>
        <w:jc w:val="left"/>
      </w:pPr>
      <w:rPr>
        <w:rFonts w:ascii="Calibri" w:hAnsi="Calibri" w:hint="default"/>
        <w:b w:val="0"/>
        <w:bCs/>
        <w:color w:val="FFFFFF"/>
        <w:sz w:val="24"/>
        <w:szCs w:val="24"/>
      </w:rPr>
    </w:tblStylePr>
    <w:tblStylePr w:type="band1Vert">
      <w:pPr>
        <w:jc w:val="left"/>
      </w:pPr>
      <w:rPr>
        <w:rFonts w:ascii="Calibri" w:hAnsi="Calibri" w:hint="default"/>
        <w:sz w:val="24"/>
        <w:szCs w:val="24"/>
      </w:rPr>
    </w:tblStylePr>
    <w:tblStylePr w:type="band2Vert">
      <w:pPr>
        <w:jc w:val="left"/>
      </w:pPr>
      <w:rPr>
        <w:rFonts w:ascii="Calibri" w:hAnsi="Calibri" w:hint="default"/>
        <w:sz w:val="24"/>
        <w:szCs w:val="24"/>
      </w:rPr>
    </w:tblStylePr>
    <w:tblStylePr w:type="band1Horz">
      <w:pPr>
        <w:jc w:val="left"/>
      </w:pPr>
      <w:rPr>
        <w:rFonts w:ascii="Calibri" w:hAnsi="Calibri" w:hint="default"/>
        <w:sz w:val="24"/>
        <w:szCs w:val="24"/>
      </w:rPr>
    </w:tblStylePr>
    <w:tblStylePr w:type="band2Horz">
      <w:pPr>
        <w:jc w:val="left"/>
      </w:pPr>
      <w:rPr>
        <w:rFonts w:ascii="Calibri" w:hAnsi="Calibri" w:hint="default"/>
        <w:sz w:val="24"/>
        <w:szCs w:val="24"/>
      </w:rPr>
    </w:tblStylePr>
    <w:tblStylePr w:type="neCell">
      <w:pPr>
        <w:jc w:val="left"/>
      </w:pPr>
      <w:rPr>
        <w:rFonts w:ascii="Calibri" w:hAnsi="Calibri" w:hint="default"/>
        <w:color w:val="FFFFFF"/>
        <w:sz w:val="24"/>
        <w:szCs w:val="24"/>
      </w:rPr>
      <w:tblPr/>
      <w:tcPr>
        <w:shd w:val="clear" w:color="auto" w:fill="000000"/>
      </w:tcPr>
    </w:tblStylePr>
    <w:tblStylePr w:type="nwCell">
      <w:pPr>
        <w:jc w:val="left"/>
      </w:pPr>
      <w:rPr>
        <w:rFonts w:ascii="Calibri" w:hAnsi="Calibri" w:hint="default"/>
        <w:b/>
        <w:color w:val="FFFFFF"/>
        <w:sz w:val="24"/>
        <w:szCs w:val="24"/>
      </w:rPr>
      <w:tblPr/>
      <w:tcPr>
        <w:shd w:val="clear" w:color="auto" w:fill="000000"/>
      </w:tcPr>
    </w:tblStylePr>
    <w:tblStylePr w:type="seCell">
      <w:pPr>
        <w:jc w:val="left"/>
      </w:pPr>
      <w:rPr>
        <w:rFonts w:ascii="Calibri" w:hAnsi="Calibri" w:hint="default"/>
        <w:sz w:val="24"/>
        <w:szCs w:val="24"/>
      </w:rPr>
    </w:tblStylePr>
    <w:tblStylePr w:type="swCell">
      <w:pPr>
        <w:jc w:val="left"/>
      </w:pPr>
      <w:rPr>
        <w:rFonts w:ascii="Calibri" w:hAnsi="Calibri" w:hint="default"/>
        <w:sz w:val="24"/>
        <w:szCs w:val="24"/>
      </w:rPr>
    </w:tblStylePr>
  </w:style>
  <w:style w:type="table" w:customStyle="1" w:styleId="CoffeyTable122">
    <w:name w:val="Coffey Table 122"/>
    <w:basedOn w:val="TableGrid"/>
    <w:uiPriority w:val="99"/>
    <w:rsid w:val="00C8485E"/>
    <w:rPr>
      <w:rFonts w:ascii="Arial" w:eastAsia="Times New Roman" w:hAnsi="Arial" w:cs="Times New Roman"/>
      <w:sz w:val="18"/>
    </w:rPr>
    <w:tblPr/>
    <w:tcPr>
      <w:shd w:val="clear" w:color="auto" w:fill="FFFFFF"/>
    </w:tcPr>
    <w:tblStylePr w:type="firstRow">
      <w:pPr>
        <w:jc w:val="left"/>
      </w:pPr>
      <w:rPr>
        <w:rFonts w:ascii="Arial" w:hAnsi="Arial" w:cs="Arial" w:hint="default"/>
        <w:color w:val="FFFFFF"/>
        <w:sz w:val="20"/>
        <w:szCs w:val="20"/>
      </w:rPr>
      <w:tblPr/>
      <w:tcPr>
        <w:shd w:val="clear" w:color="auto" w:fill="FFC000"/>
      </w:tcPr>
    </w:tblStylePr>
  </w:style>
  <w:style w:type="table" w:customStyle="1" w:styleId="TableGrid112">
    <w:name w:val="Table Grid112"/>
    <w:basedOn w:val="TableNormal"/>
    <w:rsid w:val="005D3D4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5D3D4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5112">
    <w:name w:val="Colorful Grid - Accent 5112"/>
    <w:basedOn w:val="TableNormal"/>
    <w:uiPriority w:val="73"/>
    <w:rsid w:val="005D3D4D"/>
    <w:pPr>
      <w:spacing w:after="0" w:line="240" w:lineRule="auto"/>
    </w:pPr>
    <w:rPr>
      <w:rFonts w:ascii="Times New Roman" w:eastAsia="Calibri" w:hAnsi="Times New Roman" w:cs="Times New Roman"/>
      <w:color w:val="000000"/>
      <w:sz w:val="20"/>
      <w:szCs w:val="20"/>
    </w:rPr>
    <w:tblPr>
      <w:tblStyleRowBandSize w:val="1"/>
      <w:tblStyleColBandSize w:val="1"/>
      <w:tblBorders>
        <w:insideH w:val="single" w:sz="4" w:space="0" w:color="FFFFFF"/>
      </w:tblBorders>
    </w:tblPr>
    <w:tcPr>
      <w:shd w:val="clear" w:color="auto" w:fill="EAEEF0"/>
    </w:tcPr>
    <w:tblStylePr w:type="firstRow">
      <w:rPr>
        <w:b/>
        <w:bCs/>
      </w:rPr>
      <w:tblPr/>
      <w:tcPr>
        <w:shd w:val="clear" w:color="auto" w:fill="D5DDE1"/>
      </w:tcPr>
    </w:tblStylePr>
    <w:tblStylePr w:type="lastRow">
      <w:rPr>
        <w:b/>
        <w:bCs/>
        <w:color w:val="000000"/>
      </w:rPr>
      <w:tblPr/>
      <w:tcPr>
        <w:shd w:val="clear" w:color="auto" w:fill="D5DDE1"/>
      </w:tcPr>
    </w:tblStylePr>
    <w:tblStylePr w:type="firstCol">
      <w:rPr>
        <w:color w:val="FFFFFF"/>
      </w:rPr>
      <w:tblPr/>
      <w:tcPr>
        <w:shd w:val="clear" w:color="auto" w:fill="678292"/>
      </w:tcPr>
    </w:tblStylePr>
    <w:tblStylePr w:type="lastCol">
      <w:rPr>
        <w:color w:val="FFFFFF"/>
      </w:rPr>
      <w:tblPr/>
      <w:tcPr>
        <w:shd w:val="clear" w:color="auto" w:fill="678292"/>
      </w:tcPr>
    </w:tblStylePr>
    <w:tblStylePr w:type="band1Vert">
      <w:tblPr/>
      <w:tcPr>
        <w:shd w:val="clear" w:color="auto" w:fill="CBD5DA"/>
      </w:tcPr>
    </w:tblStylePr>
    <w:tblStylePr w:type="band1Horz">
      <w:tblPr/>
      <w:tcPr>
        <w:shd w:val="clear" w:color="auto" w:fill="CBD5DA"/>
      </w:tcPr>
    </w:tblStylePr>
  </w:style>
  <w:style w:type="table" w:customStyle="1" w:styleId="MediumGrid1-Accent5112">
    <w:name w:val="Medium Grid 1 - Accent 5112"/>
    <w:basedOn w:val="TableNormal"/>
    <w:uiPriority w:val="67"/>
    <w:rsid w:val="005D3D4D"/>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insideV w:val="single" w:sz="8" w:space="0" w:color="B1C0C8"/>
      </w:tblBorders>
    </w:tblPr>
    <w:tcPr>
      <w:shd w:val="clear" w:color="auto" w:fill="E5EAED"/>
    </w:tcPr>
    <w:tblStylePr w:type="firstRow">
      <w:rPr>
        <w:b/>
        <w:bCs/>
      </w:rPr>
    </w:tblStylePr>
    <w:tblStylePr w:type="lastRow">
      <w:rPr>
        <w:b/>
        <w:bCs/>
      </w:rPr>
      <w:tblPr/>
      <w:tcPr>
        <w:tcBorders>
          <w:top w:val="single" w:sz="18" w:space="0" w:color="B1C0C8"/>
        </w:tcBorders>
      </w:tcPr>
    </w:tblStylePr>
    <w:tblStylePr w:type="firstCol">
      <w:rPr>
        <w:b/>
        <w:bCs/>
      </w:rPr>
    </w:tblStylePr>
    <w:tblStylePr w:type="lastCol">
      <w:rPr>
        <w:b/>
        <w:bCs/>
      </w:rPr>
    </w:tblStylePr>
    <w:tblStylePr w:type="band1Vert">
      <w:tblPr/>
      <w:tcPr>
        <w:shd w:val="clear" w:color="auto" w:fill="CBD5DA"/>
      </w:tcPr>
    </w:tblStylePr>
    <w:tblStylePr w:type="band1Horz">
      <w:tblPr/>
      <w:tcPr>
        <w:shd w:val="clear" w:color="auto" w:fill="CBD5DA"/>
      </w:tcPr>
    </w:tblStylePr>
  </w:style>
  <w:style w:type="table" w:customStyle="1" w:styleId="ColorfulList112">
    <w:name w:val="Colorful List112"/>
    <w:basedOn w:val="TableNormal"/>
    <w:uiPriority w:val="72"/>
    <w:rsid w:val="005D3D4D"/>
    <w:pPr>
      <w:spacing w:after="0" w:line="240" w:lineRule="auto"/>
    </w:pPr>
    <w:rPr>
      <w:rFonts w:ascii="Times New Roman" w:eastAsia="Calibri" w:hAnsi="Times New Roman"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Accent1112">
    <w:name w:val="Light Grid - Accent 1112"/>
    <w:basedOn w:val="TableNormal"/>
    <w:uiPriority w:val="62"/>
    <w:rsid w:val="005D3D4D"/>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4FAA5F"/>
        <w:left w:val="single" w:sz="8" w:space="0" w:color="4FAA5F"/>
        <w:bottom w:val="single" w:sz="8" w:space="0" w:color="4FAA5F"/>
        <w:right w:val="single" w:sz="8" w:space="0" w:color="4FAA5F"/>
        <w:insideH w:val="single" w:sz="8" w:space="0" w:color="4FAA5F"/>
        <w:insideV w:val="single" w:sz="8" w:space="0" w:color="4FAA5F"/>
      </w:tblBorders>
    </w:tblPr>
    <w:tblStylePr w:type="firstRow">
      <w:pPr>
        <w:spacing w:beforeLines="0" w:before="0" w:beforeAutospacing="0" w:afterLines="0" w:after="0" w:afterAutospacing="0" w:line="240" w:lineRule="auto"/>
      </w:pPr>
      <w:rPr>
        <w:rFonts w:ascii="@Microsoft YaHei UI" w:eastAsia="SimSun" w:hAnsi="@Microsoft YaHei UI" w:cs="Times New Roman" w:hint="default"/>
        <w:b/>
        <w:bCs/>
      </w:rPr>
      <w:tblPr/>
      <w:tcPr>
        <w:tcBorders>
          <w:top w:val="single" w:sz="8" w:space="0" w:color="4FAA5F"/>
          <w:left w:val="single" w:sz="8" w:space="0" w:color="4FAA5F"/>
          <w:bottom w:val="single" w:sz="18" w:space="0" w:color="4FAA5F"/>
          <w:right w:val="single" w:sz="8" w:space="0" w:color="4FAA5F"/>
          <w:insideH w:val="nil"/>
          <w:insideV w:val="single" w:sz="8" w:space="0" w:color="4FAA5F"/>
        </w:tcBorders>
      </w:tcPr>
    </w:tblStylePr>
    <w:tblStylePr w:type="lastRow">
      <w:pPr>
        <w:spacing w:beforeLines="0" w:before="0" w:beforeAutospacing="0" w:afterLines="0" w:after="0" w:afterAutospacing="0" w:line="240" w:lineRule="auto"/>
      </w:pPr>
      <w:rPr>
        <w:rFonts w:ascii="@Microsoft YaHei UI" w:eastAsia="SimSun" w:hAnsi="@Microsoft YaHei UI" w:cs="Times New Roman" w:hint="default"/>
        <w:b/>
        <w:bCs/>
      </w:rPr>
      <w:tblPr/>
      <w:tcPr>
        <w:tcBorders>
          <w:top w:val="double" w:sz="6" w:space="0" w:color="4FAA5F"/>
          <w:left w:val="single" w:sz="8" w:space="0" w:color="4FAA5F"/>
          <w:bottom w:val="single" w:sz="8" w:space="0" w:color="4FAA5F"/>
          <w:right w:val="single" w:sz="8" w:space="0" w:color="4FAA5F"/>
          <w:insideH w:val="nil"/>
          <w:insideV w:val="single" w:sz="8" w:space="0" w:color="4FAA5F"/>
        </w:tcBorders>
      </w:tcPr>
    </w:tblStylePr>
    <w:tblStylePr w:type="firstCol">
      <w:rPr>
        <w:rFonts w:ascii="@Microsoft YaHei UI" w:eastAsia="SimSun" w:hAnsi="@Microsoft YaHei UI" w:cs="Times New Roman" w:hint="default"/>
        <w:b/>
        <w:bCs/>
      </w:rPr>
    </w:tblStylePr>
    <w:tblStylePr w:type="lastCol">
      <w:rPr>
        <w:rFonts w:ascii="@Microsoft YaHei UI" w:eastAsia="SimSun" w:hAnsi="@Microsoft YaHei UI" w:cs="Times New Roman" w:hint="default"/>
        <w:b/>
        <w:bCs/>
      </w:rPr>
      <w:tblPr/>
      <w:tcPr>
        <w:tcBorders>
          <w:top w:val="single" w:sz="8" w:space="0" w:color="4FAA5F"/>
          <w:left w:val="single" w:sz="8" w:space="0" w:color="4FAA5F"/>
          <w:bottom w:val="single" w:sz="8" w:space="0" w:color="4FAA5F"/>
          <w:right w:val="single" w:sz="8" w:space="0" w:color="4FAA5F"/>
        </w:tcBorders>
      </w:tcPr>
    </w:tblStylePr>
    <w:tblStylePr w:type="band1Vert">
      <w:tblPr/>
      <w:tcPr>
        <w:tcBorders>
          <w:top w:val="single" w:sz="8" w:space="0" w:color="4FAA5F"/>
          <w:left w:val="single" w:sz="8" w:space="0" w:color="4FAA5F"/>
          <w:bottom w:val="single" w:sz="8" w:space="0" w:color="4FAA5F"/>
          <w:right w:val="single" w:sz="8" w:space="0" w:color="4FAA5F"/>
        </w:tcBorders>
        <w:shd w:val="clear" w:color="auto" w:fill="D2EAD6"/>
      </w:tcPr>
    </w:tblStylePr>
    <w:tblStylePr w:type="band1Horz">
      <w:tblPr/>
      <w:tcPr>
        <w:tcBorders>
          <w:top w:val="single" w:sz="8" w:space="0" w:color="4FAA5F"/>
          <w:left w:val="single" w:sz="8" w:space="0" w:color="4FAA5F"/>
          <w:bottom w:val="single" w:sz="8" w:space="0" w:color="4FAA5F"/>
          <w:right w:val="single" w:sz="8" w:space="0" w:color="4FAA5F"/>
          <w:insideV w:val="single" w:sz="8" w:space="0" w:color="4FAA5F"/>
        </w:tcBorders>
        <w:shd w:val="clear" w:color="auto" w:fill="D2EAD6"/>
      </w:tcPr>
    </w:tblStylePr>
    <w:tblStylePr w:type="band2Horz">
      <w:tblPr/>
      <w:tcPr>
        <w:tcBorders>
          <w:top w:val="single" w:sz="8" w:space="0" w:color="4FAA5F"/>
          <w:left w:val="single" w:sz="8" w:space="0" w:color="4FAA5F"/>
          <w:bottom w:val="single" w:sz="8" w:space="0" w:color="4FAA5F"/>
          <w:right w:val="single" w:sz="8" w:space="0" w:color="4FAA5F"/>
          <w:insideV w:val="single" w:sz="8" w:space="0" w:color="4FAA5F"/>
        </w:tcBorders>
      </w:tcPr>
    </w:tblStylePr>
  </w:style>
  <w:style w:type="table" w:customStyle="1" w:styleId="MediumShading1-Accent1112">
    <w:name w:val="Medium Shading 1 - Accent 1112"/>
    <w:basedOn w:val="TableNormal"/>
    <w:uiPriority w:val="63"/>
    <w:rsid w:val="005D3D4D"/>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79C185"/>
        <w:left w:val="single" w:sz="8" w:space="0" w:color="79C185"/>
        <w:bottom w:val="single" w:sz="8" w:space="0" w:color="79C185"/>
        <w:right w:val="single" w:sz="8" w:space="0" w:color="79C185"/>
        <w:insideH w:val="single" w:sz="8" w:space="0" w:color="79C185"/>
      </w:tblBorders>
    </w:tblPr>
    <w:tblStylePr w:type="firstRow">
      <w:pPr>
        <w:spacing w:beforeLines="0" w:before="0" w:beforeAutospacing="0" w:afterLines="0" w:after="0" w:afterAutospacing="0" w:line="240" w:lineRule="auto"/>
      </w:pPr>
      <w:rPr>
        <w:b/>
        <w:bCs/>
        <w:color w:val="FFFFFF"/>
      </w:rPr>
      <w:tblPr/>
      <w:tcPr>
        <w:tcBorders>
          <w:top w:val="single" w:sz="8" w:space="0" w:color="79C185"/>
          <w:left w:val="single" w:sz="8" w:space="0" w:color="79C185"/>
          <w:bottom w:val="single" w:sz="8" w:space="0" w:color="79C185"/>
          <w:right w:val="single" w:sz="8" w:space="0" w:color="79C185"/>
          <w:insideH w:val="nil"/>
          <w:insideV w:val="nil"/>
        </w:tcBorders>
        <w:shd w:val="clear" w:color="auto" w:fill="4FAA5F"/>
      </w:tcPr>
    </w:tblStylePr>
    <w:tblStylePr w:type="lastRow">
      <w:pPr>
        <w:spacing w:beforeLines="0" w:before="0" w:beforeAutospacing="0" w:afterLines="0" w:after="0" w:afterAutospacing="0" w:line="240" w:lineRule="auto"/>
      </w:pPr>
      <w:rPr>
        <w:b/>
        <w:bCs/>
      </w:rPr>
      <w:tblPr/>
      <w:tcPr>
        <w:tcBorders>
          <w:top w:val="double" w:sz="6" w:space="0" w:color="79C185"/>
          <w:left w:val="single" w:sz="8" w:space="0" w:color="79C185"/>
          <w:bottom w:val="single" w:sz="8" w:space="0" w:color="79C185"/>
          <w:right w:val="single" w:sz="8" w:space="0" w:color="79C185"/>
          <w:insideH w:val="nil"/>
          <w:insideV w:val="nil"/>
        </w:tcBorders>
      </w:tcPr>
    </w:tblStylePr>
    <w:tblStylePr w:type="firstCol">
      <w:rPr>
        <w:b/>
        <w:bCs/>
      </w:rPr>
    </w:tblStylePr>
    <w:tblStylePr w:type="lastCol">
      <w:rPr>
        <w:b/>
        <w:bCs/>
      </w:rPr>
    </w:tblStylePr>
    <w:tblStylePr w:type="band1Vert">
      <w:tblPr/>
      <w:tcPr>
        <w:shd w:val="clear" w:color="auto" w:fill="D2EAD6"/>
      </w:tcPr>
    </w:tblStylePr>
    <w:tblStylePr w:type="band1Horz">
      <w:tblPr/>
      <w:tcPr>
        <w:tcBorders>
          <w:insideH w:val="nil"/>
          <w:insideV w:val="nil"/>
        </w:tcBorders>
        <w:shd w:val="clear" w:color="auto" w:fill="D2EAD6"/>
      </w:tcPr>
    </w:tblStylePr>
    <w:tblStylePr w:type="band2Horz">
      <w:tblPr/>
      <w:tcPr>
        <w:tcBorders>
          <w:insideH w:val="nil"/>
          <w:insideV w:val="nil"/>
        </w:tcBorders>
      </w:tcPr>
    </w:tblStylePr>
  </w:style>
  <w:style w:type="table" w:customStyle="1" w:styleId="ColorfulList-Accent1112">
    <w:name w:val="Colorful List - Accent 1112"/>
    <w:basedOn w:val="TableNormal"/>
    <w:uiPriority w:val="72"/>
    <w:rsid w:val="005D3D4D"/>
    <w:pPr>
      <w:spacing w:after="0" w:line="240" w:lineRule="auto"/>
    </w:pPr>
    <w:rPr>
      <w:rFonts w:ascii="Times New Roman" w:eastAsia="Calibri" w:hAnsi="Times New Roman" w:cs="Times New Roman"/>
      <w:color w:val="000000"/>
      <w:sz w:val="20"/>
      <w:szCs w:val="20"/>
    </w:rPr>
    <w:tblPr>
      <w:tblStyleRowBandSize w:val="1"/>
      <w:tblStyleColBandSize w:val="1"/>
    </w:tblPr>
    <w:tcPr>
      <w:shd w:val="clear" w:color="auto" w:fill="EDF7EF"/>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D6"/>
      </w:tcPr>
    </w:tblStylePr>
    <w:tblStylePr w:type="band1Horz">
      <w:tblPr/>
      <w:tcPr>
        <w:shd w:val="clear" w:color="auto" w:fill="DBEEDE"/>
      </w:tcPr>
    </w:tblStylePr>
  </w:style>
  <w:style w:type="table" w:customStyle="1" w:styleId="CoffeyTable1112">
    <w:name w:val="Coffey Table 1112"/>
    <w:basedOn w:val="TableGrid"/>
    <w:uiPriority w:val="99"/>
    <w:rsid w:val="00C8485E"/>
    <w:rPr>
      <w:rFonts w:ascii="Arial" w:eastAsia="Calibri" w:hAnsi="Arial" w:cs="Times New Roman"/>
      <w:sz w:val="18"/>
      <w:lang w:eastAsia="en-US"/>
    </w:rPr>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MediumShading1-Accent5112">
    <w:name w:val="Medium Shading 1 - Accent 5112"/>
    <w:basedOn w:val="TableNormal"/>
    <w:uiPriority w:val="63"/>
    <w:rsid w:val="005D3D4D"/>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Lines="0" w:before="0" w:beforeAutospacing="0" w:afterLines="0" w:after="0" w:afterAutospacing="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Lines="0" w:before="0" w:beforeAutospacing="0" w:afterLines="0" w:after="0" w:afterAutospacing="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TableCustom112">
    <w:name w:val="Table Custom112"/>
    <w:basedOn w:val="TableNormal"/>
    <w:uiPriority w:val="99"/>
    <w:rsid w:val="005D3D4D"/>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B7DDBE"/>
        <w:insideV w:val="single" w:sz="4" w:space="0" w:color="B7DDBE"/>
      </w:tblBorders>
      <w:tblCellMar>
        <w:top w:w="43" w:type="dxa"/>
        <w:left w:w="115" w:type="dxa"/>
        <w:bottom w:w="43" w:type="dxa"/>
        <w:right w:w="115" w:type="dxa"/>
      </w:tblCellMar>
    </w:tblPr>
    <w:tblStylePr w:type="firstRow">
      <w:rPr>
        <w:rFonts w:ascii="Arial" w:hAnsi="Arial" w:cs="Arial" w:hint="default"/>
        <w:b/>
        <w:color w:val="FFFFFF"/>
        <w:sz w:val="20"/>
        <w:szCs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ColorfulGrid-Accent522">
    <w:name w:val="Colorful Grid - Accent 522"/>
    <w:basedOn w:val="TableNormal"/>
    <w:uiPriority w:val="73"/>
    <w:semiHidden/>
    <w:rsid w:val="005D3D4D"/>
    <w:pPr>
      <w:spacing w:after="0" w:line="240" w:lineRule="auto"/>
    </w:pPr>
    <w:rPr>
      <w:rFonts w:eastAsia="MS PGothic"/>
      <w:color w:val="000000"/>
      <w:sz w:val="24"/>
      <w:szCs w:val="24"/>
      <w:lang w:val="en-US"/>
    </w:rPr>
    <w:tblPr>
      <w:tblStyleRowBandSize w:val="1"/>
      <w:tblStyleColBandSize w:val="1"/>
      <w:tblBorders>
        <w:insideH w:val="single" w:sz="4" w:space="0" w:color="FFFFFF"/>
      </w:tblBorders>
    </w:tblPr>
    <w:tcPr>
      <w:shd w:val="clear" w:color="auto" w:fill="DAF3F8"/>
    </w:tcPr>
    <w:tblStylePr w:type="firstRow">
      <w:rPr>
        <w:b/>
        <w:bCs/>
      </w:rPr>
      <w:tblPr/>
      <w:tcPr>
        <w:shd w:val="clear" w:color="auto" w:fill="B6E7F1"/>
      </w:tcPr>
    </w:tblStylePr>
    <w:tblStylePr w:type="lastRow">
      <w:rPr>
        <w:b/>
        <w:bCs/>
        <w:color w:val="000000"/>
      </w:rPr>
      <w:tblPr/>
      <w:tcPr>
        <w:shd w:val="clear" w:color="auto" w:fill="B6E7F1"/>
      </w:tcPr>
    </w:tblStylePr>
    <w:tblStylePr w:type="firstCol">
      <w:rPr>
        <w:color w:val="FFFFFF"/>
      </w:rPr>
      <w:tblPr/>
      <w:tcPr>
        <w:shd w:val="clear" w:color="auto" w:fill="22A1BB"/>
      </w:tcPr>
    </w:tblStylePr>
    <w:tblStylePr w:type="lastCol">
      <w:rPr>
        <w:color w:val="FFFFFF"/>
      </w:rPr>
      <w:tblPr/>
      <w:tcPr>
        <w:shd w:val="clear" w:color="auto" w:fill="22A1BB"/>
      </w:tcPr>
    </w:tblStylePr>
    <w:tblStylePr w:type="band1Vert">
      <w:tblPr/>
      <w:tcPr>
        <w:shd w:val="clear" w:color="auto" w:fill="A5E1EE"/>
      </w:tcPr>
    </w:tblStylePr>
    <w:tblStylePr w:type="band1Horz">
      <w:tblPr/>
      <w:tcPr>
        <w:shd w:val="clear" w:color="auto" w:fill="A5E1EE"/>
      </w:tcPr>
    </w:tblStylePr>
  </w:style>
  <w:style w:type="table" w:customStyle="1" w:styleId="MediumGrid1-Accent522">
    <w:name w:val="Medium Grid 1 - Accent 522"/>
    <w:basedOn w:val="TableNormal"/>
    <w:uiPriority w:val="67"/>
    <w:semiHidden/>
    <w:rsid w:val="005D3D4D"/>
    <w:pPr>
      <w:spacing w:after="0" w:line="240" w:lineRule="auto"/>
    </w:pPr>
    <w:rPr>
      <w:rFonts w:eastAsia="MS PGothic"/>
      <w:sz w:val="24"/>
      <w:szCs w:val="24"/>
      <w:lang w:val="en-US"/>
    </w:rPr>
    <w:tblPr>
      <w:tblStyleRowBandSize w:val="1"/>
      <w:tblStyleColBandSize w:val="1"/>
      <w:tblBorders>
        <w:top w:val="single" w:sz="8" w:space="0" w:color="78D3E6"/>
        <w:left w:val="single" w:sz="8" w:space="0" w:color="78D3E6"/>
        <w:bottom w:val="single" w:sz="8" w:space="0" w:color="78D3E6"/>
        <w:right w:val="single" w:sz="8" w:space="0" w:color="78D3E6"/>
        <w:insideH w:val="single" w:sz="8" w:space="0" w:color="78D3E6"/>
        <w:insideV w:val="single" w:sz="8" w:space="0" w:color="78D3E6"/>
      </w:tblBorders>
    </w:tblPr>
    <w:tcPr>
      <w:shd w:val="clear" w:color="auto" w:fill="D2F0F6"/>
    </w:tcPr>
    <w:tblStylePr w:type="firstRow">
      <w:rPr>
        <w:b/>
        <w:bCs/>
      </w:rPr>
    </w:tblStylePr>
    <w:tblStylePr w:type="lastRow">
      <w:rPr>
        <w:b/>
        <w:bCs/>
      </w:rPr>
      <w:tblPr/>
      <w:tcPr>
        <w:tcBorders>
          <w:top w:val="single" w:sz="18" w:space="0" w:color="78D3E6"/>
        </w:tcBorders>
      </w:tcPr>
    </w:tblStylePr>
    <w:tblStylePr w:type="firstCol">
      <w:rPr>
        <w:b/>
        <w:bCs/>
      </w:rPr>
    </w:tblStylePr>
    <w:tblStylePr w:type="lastCol">
      <w:rPr>
        <w:b/>
        <w:bCs/>
      </w:rPr>
    </w:tblStylePr>
    <w:tblStylePr w:type="band1Vert">
      <w:tblPr/>
      <w:tcPr>
        <w:shd w:val="clear" w:color="auto" w:fill="A5E1EE"/>
      </w:tcPr>
    </w:tblStylePr>
    <w:tblStylePr w:type="band1Horz">
      <w:tblPr/>
      <w:tcPr>
        <w:shd w:val="clear" w:color="auto" w:fill="A5E1EE"/>
      </w:tcPr>
    </w:tblStylePr>
  </w:style>
  <w:style w:type="table" w:customStyle="1" w:styleId="ColorfulList22">
    <w:name w:val="Colorful List22"/>
    <w:basedOn w:val="TableNormal"/>
    <w:uiPriority w:val="72"/>
    <w:semiHidden/>
    <w:rsid w:val="005D3D4D"/>
    <w:pPr>
      <w:spacing w:after="0" w:line="240" w:lineRule="auto"/>
    </w:pPr>
    <w:rPr>
      <w:rFonts w:eastAsia="MS PGothic"/>
      <w:color w:val="000000"/>
      <w:sz w:val="24"/>
      <w:szCs w:val="24"/>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Accent123">
    <w:name w:val="Light Grid - Accent 123"/>
    <w:basedOn w:val="TableNormal"/>
    <w:uiPriority w:val="62"/>
    <w:semiHidden/>
    <w:rsid w:val="005D3D4D"/>
    <w:pPr>
      <w:spacing w:after="0" w:line="240" w:lineRule="auto"/>
    </w:pPr>
    <w:rPr>
      <w:rFonts w:eastAsia="MS PGothic"/>
      <w:sz w:val="24"/>
      <w:szCs w:val="24"/>
      <w:lang w:val="en-US"/>
    </w:rPr>
    <w:tblPr>
      <w:tblStyleRowBandSize w:val="1"/>
      <w:tblStyleColBandSize w:val="1"/>
      <w:tblBorders>
        <w:top w:val="single" w:sz="8" w:space="0" w:color="E76C53"/>
        <w:left w:val="single" w:sz="8" w:space="0" w:color="E76C53"/>
        <w:bottom w:val="single" w:sz="8" w:space="0" w:color="E76C53"/>
        <w:right w:val="single" w:sz="8" w:space="0" w:color="E76C53"/>
        <w:insideH w:val="single" w:sz="8" w:space="0" w:color="E76C53"/>
        <w:insideV w:val="single" w:sz="8" w:space="0" w:color="E76C53"/>
      </w:tblBorders>
    </w:tblPr>
    <w:tblStylePr w:type="firstRow">
      <w:pPr>
        <w:spacing w:beforeLines="0" w:before="0" w:beforeAutospacing="0" w:afterLines="0" w:after="0" w:afterAutospacing="0" w:line="240" w:lineRule="auto"/>
      </w:pPr>
      <w:rPr>
        <w:rFonts w:ascii="Arial" w:eastAsia="EC Square Sans Cond Pro Thin" w:hAnsi="Arial" w:cs="Arial" w:hint="default"/>
        <w:b/>
        <w:bCs/>
      </w:rPr>
      <w:tblPr/>
      <w:tcPr>
        <w:tcBorders>
          <w:top w:val="single" w:sz="8" w:space="0" w:color="E76C53"/>
          <w:left w:val="single" w:sz="8" w:space="0" w:color="E76C53"/>
          <w:bottom w:val="single" w:sz="18" w:space="0" w:color="E76C53"/>
          <w:right w:val="single" w:sz="8" w:space="0" w:color="E76C53"/>
          <w:insideH w:val="nil"/>
          <w:insideV w:val="single" w:sz="8" w:space="0" w:color="E76C53"/>
        </w:tcBorders>
      </w:tcPr>
    </w:tblStylePr>
    <w:tblStylePr w:type="lastRow">
      <w:pPr>
        <w:spacing w:beforeLines="0" w:before="0" w:beforeAutospacing="0" w:afterLines="0" w:after="0" w:afterAutospacing="0" w:line="240" w:lineRule="auto"/>
      </w:pPr>
      <w:rPr>
        <w:rFonts w:ascii="Arial" w:eastAsia="EC Square Sans Cond Pro Thin" w:hAnsi="Arial" w:cs="Arial" w:hint="default"/>
        <w:b/>
        <w:bCs/>
      </w:rPr>
      <w:tblPr/>
      <w:tcPr>
        <w:tcBorders>
          <w:top w:val="double" w:sz="6" w:space="0" w:color="E76C53"/>
          <w:left w:val="single" w:sz="8" w:space="0" w:color="E76C53"/>
          <w:bottom w:val="single" w:sz="8" w:space="0" w:color="E76C53"/>
          <w:right w:val="single" w:sz="8" w:space="0" w:color="E76C53"/>
          <w:insideH w:val="nil"/>
          <w:insideV w:val="single" w:sz="8" w:space="0" w:color="E76C53"/>
        </w:tcBorders>
      </w:tcPr>
    </w:tblStylePr>
    <w:tblStylePr w:type="firstCol">
      <w:rPr>
        <w:rFonts w:ascii="Arial" w:eastAsia="EC Square Sans Cond Pro Thin" w:hAnsi="Arial" w:cs="Arial" w:hint="default"/>
        <w:b/>
        <w:bCs/>
      </w:rPr>
    </w:tblStylePr>
    <w:tblStylePr w:type="lastCol">
      <w:rPr>
        <w:rFonts w:ascii="Arial" w:eastAsia="EC Square Sans Cond Pro Thin" w:hAnsi="Arial" w:cs="Arial" w:hint="default"/>
        <w:b/>
        <w:bCs/>
      </w:rPr>
      <w:tblPr/>
      <w:tcPr>
        <w:tcBorders>
          <w:top w:val="single" w:sz="8" w:space="0" w:color="E76C53"/>
          <w:left w:val="single" w:sz="8" w:space="0" w:color="E76C53"/>
          <w:bottom w:val="single" w:sz="8" w:space="0" w:color="E76C53"/>
          <w:right w:val="single" w:sz="8" w:space="0" w:color="E76C53"/>
        </w:tcBorders>
      </w:tcPr>
    </w:tblStylePr>
    <w:tblStylePr w:type="band1Vert">
      <w:tblPr/>
      <w:tcPr>
        <w:tcBorders>
          <w:top w:val="single" w:sz="8" w:space="0" w:color="E76C53"/>
          <w:left w:val="single" w:sz="8" w:space="0" w:color="E76C53"/>
          <w:bottom w:val="single" w:sz="8" w:space="0" w:color="E76C53"/>
          <w:right w:val="single" w:sz="8" w:space="0" w:color="E76C53"/>
        </w:tcBorders>
        <w:shd w:val="clear" w:color="auto" w:fill="F9DAD4"/>
      </w:tcPr>
    </w:tblStylePr>
    <w:tblStylePr w:type="band1Horz">
      <w:tblPr/>
      <w:tcPr>
        <w:tcBorders>
          <w:top w:val="single" w:sz="8" w:space="0" w:color="E76C53"/>
          <w:left w:val="single" w:sz="8" w:space="0" w:color="E76C53"/>
          <w:bottom w:val="single" w:sz="8" w:space="0" w:color="E76C53"/>
          <w:right w:val="single" w:sz="8" w:space="0" w:color="E76C53"/>
          <w:insideV w:val="single" w:sz="8" w:space="0" w:color="E76C53"/>
        </w:tcBorders>
        <w:shd w:val="clear" w:color="auto" w:fill="F9DAD4"/>
      </w:tcPr>
    </w:tblStylePr>
    <w:tblStylePr w:type="band2Horz">
      <w:tblPr/>
      <w:tcPr>
        <w:tcBorders>
          <w:top w:val="single" w:sz="8" w:space="0" w:color="E76C53"/>
          <w:left w:val="single" w:sz="8" w:space="0" w:color="E76C53"/>
          <w:bottom w:val="single" w:sz="8" w:space="0" w:color="E76C53"/>
          <w:right w:val="single" w:sz="8" w:space="0" w:color="E76C53"/>
          <w:insideV w:val="single" w:sz="8" w:space="0" w:color="E76C53"/>
        </w:tcBorders>
      </w:tcPr>
    </w:tblStylePr>
  </w:style>
  <w:style w:type="table" w:customStyle="1" w:styleId="MediumShading1-Accent123">
    <w:name w:val="Medium Shading 1 - Accent 123"/>
    <w:basedOn w:val="TableNormal"/>
    <w:uiPriority w:val="63"/>
    <w:semiHidden/>
    <w:rsid w:val="005D3D4D"/>
    <w:pPr>
      <w:spacing w:after="0" w:line="240" w:lineRule="auto"/>
    </w:pPr>
    <w:rPr>
      <w:rFonts w:eastAsia="MS PGothic"/>
      <w:sz w:val="24"/>
      <w:szCs w:val="24"/>
      <w:lang w:val="en-US"/>
    </w:rPr>
    <w:tblPr>
      <w:tblStyleRowBandSize w:val="1"/>
      <w:tblStyleColBandSize w:val="1"/>
      <w:tblBorders>
        <w:top w:val="single" w:sz="8" w:space="0" w:color="ED907E"/>
        <w:left w:val="single" w:sz="8" w:space="0" w:color="ED907E"/>
        <w:bottom w:val="single" w:sz="8" w:space="0" w:color="ED907E"/>
        <w:right w:val="single" w:sz="8" w:space="0" w:color="ED907E"/>
        <w:insideH w:val="single" w:sz="8" w:space="0" w:color="ED907E"/>
      </w:tblBorders>
    </w:tblPr>
    <w:tblStylePr w:type="firstRow">
      <w:pPr>
        <w:spacing w:beforeLines="0" w:before="0" w:beforeAutospacing="0" w:afterLines="0" w:after="0" w:afterAutospacing="0" w:line="240" w:lineRule="auto"/>
      </w:pPr>
      <w:rPr>
        <w:b/>
        <w:bCs/>
        <w:color w:val="FFFFFF"/>
      </w:rPr>
      <w:tblPr/>
      <w:tcPr>
        <w:tcBorders>
          <w:top w:val="single" w:sz="8" w:space="0" w:color="ED907E"/>
          <w:left w:val="single" w:sz="8" w:space="0" w:color="ED907E"/>
          <w:bottom w:val="single" w:sz="8" w:space="0" w:color="ED907E"/>
          <w:right w:val="single" w:sz="8" w:space="0" w:color="ED907E"/>
          <w:insideH w:val="nil"/>
          <w:insideV w:val="nil"/>
        </w:tcBorders>
        <w:shd w:val="clear" w:color="auto" w:fill="E76C53"/>
      </w:tcPr>
    </w:tblStylePr>
    <w:tblStylePr w:type="lastRow">
      <w:pPr>
        <w:spacing w:beforeLines="0" w:before="0" w:beforeAutospacing="0" w:afterLines="0" w:after="0" w:afterAutospacing="0" w:line="240" w:lineRule="auto"/>
      </w:pPr>
      <w:rPr>
        <w:b/>
        <w:bCs/>
      </w:rPr>
      <w:tblPr/>
      <w:tcPr>
        <w:tcBorders>
          <w:top w:val="double" w:sz="6" w:space="0" w:color="ED907E"/>
          <w:left w:val="single" w:sz="8" w:space="0" w:color="ED907E"/>
          <w:bottom w:val="single" w:sz="8" w:space="0" w:color="ED907E"/>
          <w:right w:val="single" w:sz="8" w:space="0" w:color="ED907E"/>
          <w:insideH w:val="nil"/>
          <w:insideV w:val="nil"/>
        </w:tcBorders>
      </w:tcPr>
    </w:tblStylePr>
    <w:tblStylePr w:type="firstCol">
      <w:rPr>
        <w:b/>
        <w:bCs/>
      </w:rPr>
    </w:tblStylePr>
    <w:tblStylePr w:type="lastCol">
      <w:rPr>
        <w:b/>
        <w:bCs/>
      </w:rPr>
    </w:tblStylePr>
    <w:tblStylePr w:type="band1Vert">
      <w:tblPr/>
      <w:tcPr>
        <w:shd w:val="clear" w:color="auto" w:fill="F9DAD4"/>
      </w:tcPr>
    </w:tblStylePr>
    <w:tblStylePr w:type="band1Horz">
      <w:tblPr/>
      <w:tcPr>
        <w:tcBorders>
          <w:insideH w:val="nil"/>
          <w:insideV w:val="nil"/>
        </w:tcBorders>
        <w:shd w:val="clear" w:color="auto" w:fill="F9DAD4"/>
      </w:tcPr>
    </w:tblStylePr>
    <w:tblStylePr w:type="band2Horz">
      <w:tblPr/>
      <w:tcPr>
        <w:tcBorders>
          <w:insideH w:val="nil"/>
          <w:insideV w:val="nil"/>
        </w:tcBorders>
      </w:tcPr>
    </w:tblStylePr>
  </w:style>
  <w:style w:type="table" w:customStyle="1" w:styleId="ColorfulList-Accent122">
    <w:name w:val="Colorful List - Accent 122"/>
    <w:basedOn w:val="TableNormal"/>
    <w:uiPriority w:val="72"/>
    <w:semiHidden/>
    <w:rsid w:val="005D3D4D"/>
    <w:pPr>
      <w:spacing w:after="0" w:line="240" w:lineRule="auto"/>
    </w:pPr>
    <w:rPr>
      <w:rFonts w:eastAsia="MS PGothic"/>
      <w:color w:val="000000"/>
      <w:sz w:val="24"/>
      <w:szCs w:val="24"/>
      <w:lang w:val="en-US"/>
    </w:rPr>
    <w:tblPr>
      <w:tblStyleRowBandSize w:val="1"/>
      <w:tblStyleColBandSize w:val="1"/>
    </w:tblPr>
    <w:tcPr>
      <w:shd w:val="clear" w:color="auto" w:fill="FCF0EE"/>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AD4"/>
      </w:tcPr>
    </w:tblStylePr>
    <w:tblStylePr w:type="band1Horz">
      <w:tblPr/>
      <w:tcPr>
        <w:shd w:val="clear" w:color="auto" w:fill="FAE1DC"/>
      </w:tcPr>
    </w:tblStylePr>
  </w:style>
  <w:style w:type="table" w:customStyle="1" w:styleId="TableauGrille5Fonc-Accentuation612">
    <w:name w:val="Tableau Grille 5 Foncé - Accentuation 612"/>
    <w:basedOn w:val="TableNormal"/>
    <w:uiPriority w:val="50"/>
    <w:rsid w:val="005D3D4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6F0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E858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E858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E858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E858B"/>
      </w:tcPr>
    </w:tblStylePr>
    <w:tblStylePr w:type="band1Vert">
      <w:tblPr/>
      <w:tcPr>
        <w:shd w:val="clear" w:color="auto" w:fill="8EE1E6"/>
      </w:tcPr>
    </w:tblStylePr>
    <w:tblStylePr w:type="band1Horz">
      <w:tblPr/>
      <w:tcPr>
        <w:shd w:val="clear" w:color="auto" w:fill="8EE1E6"/>
      </w:tcPr>
    </w:tblStylePr>
  </w:style>
  <w:style w:type="table" w:customStyle="1" w:styleId="Deloitte32">
    <w:name w:val="Deloitte32"/>
    <w:basedOn w:val="TableNormal"/>
    <w:rsid w:val="005D3D4D"/>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redential522">
    <w:name w:val="Credential522"/>
    <w:basedOn w:val="TableNormal"/>
    <w:next w:val="MediumShading2-Accent1"/>
    <w:uiPriority w:val="64"/>
    <w:rsid w:val="005D3D4D"/>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Deloitte212">
    <w:name w:val="Deloitte212"/>
    <w:basedOn w:val="TableNormal"/>
    <w:rsid w:val="005D3D4D"/>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redential532">
    <w:name w:val="Credential532"/>
    <w:basedOn w:val="TableNormal"/>
    <w:next w:val="MediumShading2-Accent1"/>
    <w:uiPriority w:val="64"/>
    <w:rsid w:val="005D3D4D"/>
    <w:pPr>
      <w:spacing w:after="0" w:line="240" w:lineRule="auto"/>
    </w:pPr>
    <w:rPr>
      <w:rFonts w:ascii="Calibri" w:eastAsia="Calibri" w:hAnsi="Calibri" w:cs="Times New Roman"/>
      <w:sz w:val="20"/>
      <w:szCs w:val="20"/>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TabelaRenova12">
    <w:name w:val="Tabela Renova12"/>
    <w:basedOn w:val="TableNormal"/>
    <w:next w:val="TableGrid"/>
    <w:uiPriority w:val="59"/>
    <w:rsid w:val="005D3D4D"/>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2">
    <w:name w:val="List Table 4 - Accent 112"/>
    <w:basedOn w:val="TableNormal"/>
    <w:uiPriority w:val="49"/>
    <w:rsid w:val="005D3D4D"/>
    <w:pPr>
      <w:spacing w:after="0" w:line="240" w:lineRule="auto"/>
    </w:pPr>
    <w:rPr>
      <w:lang w:val="en-US"/>
    </w:rPr>
    <w:tblPr>
      <w:tblStyleRowBandSize w:val="1"/>
      <w:tblStyleColBandSize w:val="1"/>
      <w:tblBorders>
        <w:top w:val="single" w:sz="4" w:space="0" w:color="F0A697"/>
        <w:left w:val="single" w:sz="4" w:space="0" w:color="F0A697"/>
        <w:bottom w:val="single" w:sz="4" w:space="0" w:color="F0A697"/>
        <w:right w:val="single" w:sz="4" w:space="0" w:color="F0A697"/>
        <w:insideH w:val="single" w:sz="4" w:space="0" w:color="F0A697"/>
      </w:tblBorders>
    </w:tblPr>
    <w:tblStylePr w:type="firstRow">
      <w:rPr>
        <w:b/>
        <w:bCs/>
        <w:color w:val="FFFFFF"/>
      </w:rPr>
      <w:tblPr/>
      <w:tcPr>
        <w:tcBorders>
          <w:top w:val="single" w:sz="4" w:space="0" w:color="E76C53"/>
          <w:left w:val="single" w:sz="4" w:space="0" w:color="E76C53"/>
          <w:bottom w:val="single" w:sz="4" w:space="0" w:color="E76C53"/>
          <w:right w:val="single" w:sz="4" w:space="0" w:color="E76C53"/>
          <w:insideH w:val="nil"/>
        </w:tcBorders>
        <w:shd w:val="clear" w:color="auto" w:fill="E76C53"/>
      </w:tcPr>
    </w:tblStylePr>
    <w:tblStylePr w:type="lastRow">
      <w:rPr>
        <w:b/>
        <w:bCs/>
      </w:rPr>
      <w:tblPr/>
      <w:tcPr>
        <w:tcBorders>
          <w:top w:val="double" w:sz="4" w:space="0" w:color="F0A697"/>
        </w:tcBorders>
      </w:tcPr>
    </w:tblStylePr>
    <w:tblStylePr w:type="firstCol">
      <w:rPr>
        <w:b/>
        <w:bCs/>
      </w:rPr>
    </w:tblStylePr>
    <w:tblStylePr w:type="lastCol">
      <w:rPr>
        <w:b/>
        <w:bCs/>
      </w:rPr>
    </w:tblStylePr>
    <w:tblStylePr w:type="band1Vert">
      <w:tblPr/>
      <w:tcPr>
        <w:shd w:val="clear" w:color="auto" w:fill="FAE1DC"/>
      </w:tcPr>
    </w:tblStylePr>
    <w:tblStylePr w:type="band1Horz">
      <w:tblPr/>
      <w:tcPr>
        <w:shd w:val="clear" w:color="auto" w:fill="FAE1DC"/>
      </w:tcPr>
    </w:tblStylePr>
  </w:style>
  <w:style w:type="table" w:customStyle="1" w:styleId="TableCustom32">
    <w:name w:val="Table Custom32"/>
    <w:basedOn w:val="TableNormal"/>
    <w:uiPriority w:val="99"/>
    <w:rsid w:val="005D3D4D"/>
    <w:pPr>
      <w:spacing w:after="0" w:line="240" w:lineRule="auto"/>
    </w:pPr>
    <w:rPr>
      <w:rFonts w:eastAsia="MS PGothic"/>
      <w:sz w:val="20"/>
      <w:szCs w:val="24"/>
      <w:lang w:val="en-US"/>
    </w:rPr>
    <w:tblPr>
      <w:tblStyleRowBandSize w:val="1"/>
      <w:tblStyleColBandSize w:val="1"/>
      <w:tblBorders>
        <w:top w:val="single" w:sz="12" w:space="0" w:color="005596"/>
        <w:bottom w:val="single" w:sz="12" w:space="0" w:color="005596"/>
        <w:insideH w:val="single" w:sz="4" w:space="0" w:color="F5C3B9"/>
        <w:insideV w:val="single" w:sz="4" w:space="0" w:color="F5C3B9"/>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CSEStable2">
    <w:name w:val="CSES table2"/>
    <w:basedOn w:val="TableNormal"/>
    <w:uiPriority w:val="99"/>
    <w:rsid w:val="005D3D4D"/>
    <w:pPr>
      <w:spacing w:before="120" w:after="0" w:line="240" w:lineRule="auto"/>
      <w:jc w:val="both"/>
    </w:pPr>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Pr>
    <w:trPr>
      <w:cantSplit/>
    </w:trPr>
    <w:tcPr>
      <w:shd w:val="clear" w:color="auto" w:fill="D9D9D9"/>
    </w:tcPr>
    <w:tblStylePr w:type="firstRow">
      <w:rPr>
        <w:b/>
      </w:rPr>
      <w:tblPr/>
      <w:tcPr>
        <w:shd w:val="clear" w:color="auto" w:fill="E76C53"/>
      </w:tcPr>
    </w:tblStylePr>
  </w:style>
  <w:style w:type="table" w:customStyle="1" w:styleId="HTG12">
    <w:name w:val="HTG12"/>
    <w:basedOn w:val="TableNormal"/>
    <w:next w:val="TableGrid"/>
    <w:uiPriority w:val="39"/>
    <w:rsid w:val="005D3D4D"/>
    <w:pPr>
      <w:spacing w:after="0" w:line="240" w:lineRule="auto"/>
    </w:pPr>
    <w:rPr>
      <w:rFonts w:ascii="Calibri" w:eastAsia="Times New Roman"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CVCVBullets3">
    <w:name w:val="_ECV_CV_Bullets3"/>
    <w:basedOn w:val="NoList"/>
    <w:rsid w:val="00C8485E"/>
  </w:style>
  <w:style w:type="numbering" w:customStyle="1" w:styleId="ECVCVBullets12">
    <w:name w:val="_ECV_CV_Bullets12"/>
    <w:basedOn w:val="NoList"/>
    <w:rsid w:val="00C8485E"/>
  </w:style>
  <w:style w:type="table" w:customStyle="1" w:styleId="Standardtableformat112">
    <w:name w:val="Standard table format112"/>
    <w:basedOn w:val="TableNormal"/>
    <w:next w:val="TableGrid"/>
    <w:uiPriority w:val="59"/>
    <w:rsid w:val="005D3D4D"/>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leformat13">
    <w:name w:val="Standard table format13"/>
    <w:basedOn w:val="TableNormal"/>
    <w:next w:val="TableGrid"/>
    <w:uiPriority w:val="39"/>
    <w:rsid w:val="005D3D4D"/>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wiNumberList2">
    <w:name w:val="CowiNumberList2"/>
    <w:basedOn w:val="NoList"/>
    <w:rsid w:val="00C8485E"/>
  </w:style>
  <w:style w:type="numbering" w:customStyle="1" w:styleId="JayeshNavinShahEasterEgg2">
    <w:name w:val="JayeshNavinShahEasterEgg2"/>
    <w:uiPriority w:val="99"/>
    <w:rsid w:val="00C8485E"/>
  </w:style>
  <w:style w:type="table" w:customStyle="1" w:styleId="VVATable2">
    <w:name w:val="VVA Table2"/>
    <w:basedOn w:val="TableNormal"/>
    <w:uiPriority w:val="99"/>
    <w:rsid w:val="005D3D4D"/>
    <w:pPr>
      <w:spacing w:after="0" w:line="240" w:lineRule="auto"/>
    </w:pPr>
    <w:rPr>
      <w:rFonts w:ascii="Segoe UI" w:eastAsia="Calibri" w:hAnsi="Segoe UI"/>
      <w:sz w:val="17"/>
    </w:rPr>
    <w:tblP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Pr>
    <w:tcPr>
      <w:shd w:val="clear" w:color="auto" w:fill="FFFFFF"/>
    </w:tcPr>
    <w:tblStylePr w:type="firstRow">
      <w:pPr>
        <w:wordWrap/>
        <w:jc w:val="center"/>
      </w:pPr>
      <w:rPr>
        <w:rFonts w:ascii="@Microsoft YaHei UI" w:hAnsi="@Microsoft YaHei UI"/>
        <w:b w:val="0"/>
        <w:color w:val="FFFFFF"/>
        <w:sz w:val="18"/>
      </w:rPr>
      <w:tblPr/>
      <w:tcPr>
        <w:shd w:val="clear" w:color="auto" w:fill="2B986D"/>
      </w:tcPr>
    </w:tblStylePr>
    <w:tblStylePr w:type="firstCol">
      <w:tblPr/>
      <w:tcPr>
        <w:shd w:val="clear" w:color="auto" w:fill="F2F2F2"/>
      </w:tcPr>
    </w:tblStylePr>
  </w:style>
  <w:style w:type="numbering" w:customStyle="1" w:styleId="CurrentList12">
    <w:name w:val="Current List12"/>
    <w:uiPriority w:val="99"/>
    <w:rsid w:val="00C8485E"/>
  </w:style>
  <w:style w:type="numbering" w:customStyle="1" w:styleId="CurrentList22">
    <w:name w:val="Current List22"/>
    <w:uiPriority w:val="99"/>
    <w:rsid w:val="00C8485E"/>
  </w:style>
  <w:style w:type="numbering" w:customStyle="1" w:styleId="CurrentList32">
    <w:name w:val="Current List32"/>
    <w:uiPriority w:val="99"/>
    <w:rsid w:val="00C8485E"/>
  </w:style>
  <w:style w:type="table" w:customStyle="1" w:styleId="Kantar2">
    <w:name w:val="Kantar2"/>
    <w:basedOn w:val="TableNormal"/>
    <w:uiPriority w:val="61"/>
    <w:rsid w:val="005D3D4D"/>
    <w:pPr>
      <w:spacing w:before="120" w:after="120" w:line="280" w:lineRule="exact"/>
    </w:pPr>
    <w:rPr>
      <w:rFonts w:ascii="Arial" w:eastAsia="MS PGothic" w:hAnsi="Arial"/>
      <w:lang w:val="en-AU" w:eastAsia="en-AU"/>
    </w:rPr>
    <w:tblPr>
      <w:tblStyleRowBandSize w:val="1"/>
      <w:tblStyleColBandSize w:val="1"/>
      <w:tblBorders>
        <w:top w:val="single" w:sz="4" w:space="0" w:color="A6A6A6"/>
        <w:bottom w:val="single" w:sz="4" w:space="0" w:color="A6A6A6"/>
        <w:insideH w:val="single" w:sz="4" w:space="0" w:color="A6A6A6"/>
      </w:tblBorders>
    </w:tblPr>
    <w:tcPr>
      <w:shd w:val="clear" w:color="auto" w:fill="FFFFFF"/>
    </w:tcPr>
    <w:tblStylePr w:type="firstRow">
      <w:pPr>
        <w:spacing w:before="0" w:after="0" w:line="240" w:lineRule="auto"/>
      </w:pPr>
      <w:rPr>
        <w:rFonts w:ascii="Arial" w:hAnsi="Arial"/>
        <w:b/>
        <w:bCs/>
        <w:color w:val="FFFFFF"/>
        <w:sz w:val="22"/>
      </w:rPr>
      <w:tblPr/>
      <w:tcPr>
        <w:shd w:val="clear" w:color="auto" w:fill="E76C53"/>
      </w:tcPr>
    </w:tblStylePr>
    <w:tblStylePr w:type="lastRow">
      <w:pPr>
        <w:spacing w:before="0" w:after="0" w:line="240" w:lineRule="auto"/>
      </w:pPr>
      <w:rPr>
        <w:rFonts w:ascii="Arial" w:hAnsi="Arial"/>
        <w:b w:val="0"/>
        <w:bCs/>
        <w:sz w:val="22"/>
      </w:rPr>
      <w:tblPr/>
      <w:tcPr>
        <w:tcBorders>
          <w:top w:val="double" w:sz="6" w:space="0" w:color="E76C53"/>
          <w:left w:val="single" w:sz="8" w:space="0" w:color="E76C53"/>
          <w:bottom w:val="single" w:sz="8" w:space="0" w:color="E76C53"/>
          <w:right w:val="single" w:sz="8" w:space="0" w:color="E76C53"/>
        </w:tcBorders>
      </w:tcPr>
    </w:tblStylePr>
    <w:tblStylePr w:type="firstCol">
      <w:rPr>
        <w:b/>
        <w:bCs/>
      </w:rPr>
    </w:tblStylePr>
    <w:tblStylePr w:type="lastCol">
      <w:rPr>
        <w:b/>
        <w:bCs/>
      </w:rPr>
    </w:tblStylePr>
    <w:tblStylePr w:type="band1Vert">
      <w:tblPr/>
      <w:tcPr>
        <w:tcBorders>
          <w:top w:val="single" w:sz="8" w:space="0" w:color="E76C53"/>
          <w:left w:val="single" w:sz="8" w:space="0" w:color="E76C53"/>
          <w:bottom w:val="single" w:sz="8" w:space="0" w:color="E76C53"/>
          <w:right w:val="single" w:sz="8" w:space="0" w:color="E76C53"/>
        </w:tcBorders>
      </w:tcPr>
    </w:tblStylePr>
    <w:tblStylePr w:type="band1Horz">
      <w:tblPr/>
      <w:tcPr>
        <w:shd w:val="clear" w:color="auto" w:fill="FFFFFF"/>
      </w:tcPr>
    </w:tblStylePr>
    <w:tblStylePr w:type="band2Horz">
      <w:tblPr/>
      <w:tcPr>
        <w:shd w:val="clear" w:color="auto" w:fill="D9D9D9"/>
      </w:tcPr>
    </w:tblStylePr>
  </w:style>
  <w:style w:type="table" w:customStyle="1" w:styleId="TableGrid320">
    <w:name w:val="Table Grid32"/>
    <w:basedOn w:val="TableNormal"/>
    <w:next w:val="TableGrid"/>
    <w:uiPriority w:val="39"/>
    <w:rsid w:val="005D3D4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
    <w:basedOn w:val="TableNormal"/>
    <w:next w:val="TableGrid"/>
    <w:uiPriority w:val="39"/>
    <w:rsid w:val="005D3D4D"/>
    <w:pPr>
      <w:spacing w:after="0" w:line="240" w:lineRule="auto"/>
    </w:pPr>
    <w:rPr>
      <w:rFonts w:ascii="Calibri" w:eastAsia="Calibri" w:hAnsi="Calibri"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PlainTable1"/>
    <w:uiPriority w:val="41"/>
    <w:rsid w:val="005D3D4D"/>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2">
    <w:name w:val="Table Grid Light2"/>
    <w:basedOn w:val="TableNormal"/>
    <w:next w:val="TableGridLight"/>
    <w:uiPriority w:val="40"/>
    <w:rsid w:val="005D3D4D"/>
    <w:pPr>
      <w:spacing w:after="0" w:line="240" w:lineRule="auto"/>
    </w:pPr>
    <w:rPr>
      <w:rFonts w:ascii="Times New Roman" w:eastAsia="Times New Roman" w:hAnsi="Times New Roman" w:cs="Times New Roman"/>
      <w:sz w:val="20"/>
      <w:szCs w:val="20"/>
      <w:lang w:val="nl-BE" w:eastAsia="nl-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uCharChar19">
    <w:name w:val="12u Char Char19"/>
    <w:basedOn w:val="TableNormal"/>
    <w:next w:val="TableGrid"/>
    <w:uiPriority w:val="39"/>
    <w:qFormat/>
    <w:rsid w:val="005F7DDE"/>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12uCharChar110">
    <w:name w:val="12u Char Char110"/>
    <w:basedOn w:val="TableNormal"/>
    <w:next w:val="TableGrid"/>
    <w:uiPriority w:val="39"/>
    <w:qFormat/>
    <w:rsid w:val="00EF3C59"/>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12uCharChar111">
    <w:name w:val="12u Char Char111"/>
    <w:basedOn w:val="TableNormal"/>
    <w:next w:val="TableGrid"/>
    <w:uiPriority w:val="39"/>
    <w:qFormat/>
    <w:rsid w:val="00B57E4A"/>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12uCharChar112">
    <w:name w:val="12u Char Char112"/>
    <w:basedOn w:val="TableNormal"/>
    <w:next w:val="TableGrid"/>
    <w:uiPriority w:val="39"/>
    <w:qFormat/>
    <w:rsid w:val="00B57E4A"/>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12uCharChar113">
    <w:name w:val="12u Char Char113"/>
    <w:basedOn w:val="TableNormal"/>
    <w:next w:val="TableGrid"/>
    <w:uiPriority w:val="39"/>
    <w:qFormat/>
    <w:rsid w:val="000F7366"/>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12uCharChar114">
    <w:name w:val="12u Char Char114"/>
    <w:basedOn w:val="TableNormal"/>
    <w:next w:val="TableGrid"/>
    <w:uiPriority w:val="39"/>
    <w:qFormat/>
    <w:rsid w:val="000F7366"/>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12uCharChar115">
    <w:name w:val="12u Char Char115"/>
    <w:basedOn w:val="TableNormal"/>
    <w:next w:val="TableGrid"/>
    <w:uiPriority w:val="39"/>
    <w:qFormat/>
    <w:rsid w:val="000F7366"/>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12uCharChar116">
    <w:name w:val="12u Char Char116"/>
    <w:basedOn w:val="TableNormal"/>
    <w:next w:val="TableGrid"/>
    <w:uiPriority w:val="39"/>
    <w:qFormat/>
    <w:rsid w:val="000F7366"/>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12uCharChar117">
    <w:name w:val="12u Char Char117"/>
    <w:basedOn w:val="TableNormal"/>
    <w:next w:val="TableGrid"/>
    <w:uiPriority w:val="39"/>
    <w:qFormat/>
    <w:rsid w:val="00DA4BDA"/>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12uCharChar118">
    <w:name w:val="12u Char Char118"/>
    <w:basedOn w:val="TableNormal"/>
    <w:next w:val="TableGrid"/>
    <w:uiPriority w:val="39"/>
    <w:qFormat/>
    <w:rsid w:val="00AB0CE0"/>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12uCharChar119">
    <w:name w:val="12u Char Char119"/>
    <w:basedOn w:val="TableNormal"/>
    <w:next w:val="TableGrid"/>
    <w:uiPriority w:val="39"/>
    <w:qFormat/>
    <w:rsid w:val="00606D12"/>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12uCharChar120">
    <w:name w:val="12u Char Char120"/>
    <w:basedOn w:val="TableNormal"/>
    <w:next w:val="TableGrid"/>
    <w:uiPriority w:val="39"/>
    <w:qFormat/>
    <w:rsid w:val="00164E56"/>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Deloitte17">
    <w:name w:val="Deloitte17"/>
    <w:basedOn w:val="TableNormal"/>
    <w:rsid w:val="00164E56"/>
    <w:pPr>
      <w:spacing w:after="0" w:line="240" w:lineRule="auto"/>
    </w:pPr>
    <w:rPr>
      <w:rFonts w:eastAsia="MS PGothi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6C1BEF"/>
    <w:pPr>
      <w:spacing w:after="0" w:line="240" w:lineRule="auto"/>
    </w:pPr>
    <w:rPr>
      <w:rFonts w:eastAsiaTheme="minorEastAsia"/>
      <w:lang w:val="en-AU"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ullet0">
    <w:name w:val="Bullet 0"/>
    <w:basedOn w:val="Normal"/>
    <w:rsid w:val="00A120A3"/>
    <w:pPr>
      <w:numPr>
        <w:numId w:val="102"/>
      </w:numPr>
      <w:spacing w:before="120" w:after="120" w:line="240" w:lineRule="auto"/>
      <w:jc w:val="both"/>
    </w:pPr>
    <w:rPr>
      <w:rFonts w:ascii="Times New Roman" w:hAnsi="Times New Roman" w:cs="Times New Roman"/>
      <w:sz w:val="24"/>
    </w:rPr>
  </w:style>
  <w:style w:type="table" w:customStyle="1" w:styleId="12uCharChar121">
    <w:name w:val="12u Char Char121"/>
    <w:basedOn w:val="TableNormal"/>
    <w:next w:val="TableGrid"/>
    <w:uiPriority w:val="39"/>
    <w:qFormat/>
    <w:rsid w:val="00446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
    <w:name w:val="Disclaimer"/>
    <w:basedOn w:val="Normal"/>
    <w:rsid w:val="000B3CCC"/>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rsid w:val="0004718C"/>
    <w:pPr>
      <w:spacing w:after="0"/>
      <w:ind w:left="5103"/>
    </w:pPr>
    <w:rPr>
      <w:rFonts w:ascii="Times New Roman" w:hAnsi="Times New Roman" w:cs="Times New Roman"/>
      <w:sz w:val="28"/>
    </w:rPr>
  </w:style>
  <w:style w:type="paragraph" w:customStyle="1" w:styleId="DateMarking">
    <w:name w:val="DateMarking"/>
    <w:basedOn w:val="Normal"/>
    <w:rsid w:val="0004718C"/>
    <w:pPr>
      <w:spacing w:after="0"/>
      <w:ind w:left="5103"/>
    </w:pPr>
    <w:rPr>
      <w:rFonts w:ascii="Times New Roman" w:hAnsi="Times New Roman" w:cs="Times New Roman"/>
      <w:i/>
      <w:sz w:val="28"/>
    </w:rPr>
  </w:style>
  <w:style w:type="paragraph" w:customStyle="1" w:styleId="ReleasableTo">
    <w:name w:val="ReleasableTo"/>
    <w:basedOn w:val="Normal"/>
    <w:rsid w:val="0004718C"/>
    <w:pPr>
      <w:spacing w:after="0"/>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1329">
      <w:bodyDiv w:val="1"/>
      <w:marLeft w:val="0"/>
      <w:marRight w:val="0"/>
      <w:marTop w:val="0"/>
      <w:marBottom w:val="0"/>
      <w:divBdr>
        <w:top w:val="none" w:sz="0" w:space="0" w:color="auto"/>
        <w:left w:val="none" w:sz="0" w:space="0" w:color="auto"/>
        <w:bottom w:val="none" w:sz="0" w:space="0" w:color="auto"/>
        <w:right w:val="none" w:sz="0" w:space="0" w:color="auto"/>
      </w:divBdr>
    </w:div>
    <w:div w:id="16392298">
      <w:bodyDiv w:val="1"/>
      <w:marLeft w:val="0"/>
      <w:marRight w:val="0"/>
      <w:marTop w:val="0"/>
      <w:marBottom w:val="0"/>
      <w:divBdr>
        <w:top w:val="none" w:sz="0" w:space="0" w:color="auto"/>
        <w:left w:val="none" w:sz="0" w:space="0" w:color="auto"/>
        <w:bottom w:val="none" w:sz="0" w:space="0" w:color="auto"/>
        <w:right w:val="none" w:sz="0" w:space="0" w:color="auto"/>
      </w:divBdr>
    </w:div>
    <w:div w:id="18436593">
      <w:bodyDiv w:val="1"/>
      <w:marLeft w:val="0"/>
      <w:marRight w:val="0"/>
      <w:marTop w:val="0"/>
      <w:marBottom w:val="0"/>
      <w:divBdr>
        <w:top w:val="none" w:sz="0" w:space="0" w:color="auto"/>
        <w:left w:val="none" w:sz="0" w:space="0" w:color="auto"/>
        <w:bottom w:val="none" w:sz="0" w:space="0" w:color="auto"/>
        <w:right w:val="none" w:sz="0" w:space="0" w:color="auto"/>
      </w:divBdr>
    </w:div>
    <w:div w:id="22753070">
      <w:bodyDiv w:val="1"/>
      <w:marLeft w:val="0"/>
      <w:marRight w:val="0"/>
      <w:marTop w:val="0"/>
      <w:marBottom w:val="0"/>
      <w:divBdr>
        <w:top w:val="none" w:sz="0" w:space="0" w:color="auto"/>
        <w:left w:val="none" w:sz="0" w:space="0" w:color="auto"/>
        <w:bottom w:val="none" w:sz="0" w:space="0" w:color="auto"/>
        <w:right w:val="none" w:sz="0" w:space="0" w:color="auto"/>
      </w:divBdr>
      <w:divsChild>
        <w:div w:id="442115395">
          <w:marLeft w:val="0"/>
          <w:marRight w:val="0"/>
          <w:marTop w:val="0"/>
          <w:marBottom w:val="0"/>
          <w:divBdr>
            <w:top w:val="none" w:sz="0" w:space="0" w:color="auto"/>
            <w:left w:val="none" w:sz="0" w:space="0" w:color="auto"/>
            <w:bottom w:val="none" w:sz="0" w:space="0" w:color="auto"/>
            <w:right w:val="none" w:sz="0" w:space="0" w:color="auto"/>
          </w:divBdr>
        </w:div>
        <w:div w:id="1675107770">
          <w:marLeft w:val="0"/>
          <w:marRight w:val="0"/>
          <w:marTop w:val="0"/>
          <w:marBottom w:val="0"/>
          <w:divBdr>
            <w:top w:val="none" w:sz="0" w:space="0" w:color="auto"/>
            <w:left w:val="none" w:sz="0" w:space="0" w:color="auto"/>
            <w:bottom w:val="none" w:sz="0" w:space="0" w:color="auto"/>
            <w:right w:val="none" w:sz="0" w:space="0" w:color="auto"/>
          </w:divBdr>
        </w:div>
        <w:div w:id="1898975991">
          <w:marLeft w:val="0"/>
          <w:marRight w:val="0"/>
          <w:marTop w:val="0"/>
          <w:marBottom w:val="0"/>
          <w:divBdr>
            <w:top w:val="none" w:sz="0" w:space="0" w:color="auto"/>
            <w:left w:val="none" w:sz="0" w:space="0" w:color="auto"/>
            <w:bottom w:val="none" w:sz="0" w:space="0" w:color="auto"/>
            <w:right w:val="none" w:sz="0" w:space="0" w:color="auto"/>
          </w:divBdr>
        </w:div>
      </w:divsChild>
    </w:div>
    <w:div w:id="26952946">
      <w:bodyDiv w:val="1"/>
      <w:marLeft w:val="0"/>
      <w:marRight w:val="0"/>
      <w:marTop w:val="0"/>
      <w:marBottom w:val="0"/>
      <w:divBdr>
        <w:top w:val="none" w:sz="0" w:space="0" w:color="auto"/>
        <w:left w:val="none" w:sz="0" w:space="0" w:color="auto"/>
        <w:bottom w:val="none" w:sz="0" w:space="0" w:color="auto"/>
        <w:right w:val="none" w:sz="0" w:space="0" w:color="auto"/>
      </w:divBdr>
      <w:divsChild>
        <w:div w:id="1362782382">
          <w:marLeft w:val="0"/>
          <w:marRight w:val="0"/>
          <w:marTop w:val="0"/>
          <w:marBottom w:val="0"/>
          <w:divBdr>
            <w:top w:val="none" w:sz="0" w:space="0" w:color="auto"/>
            <w:left w:val="none" w:sz="0" w:space="0" w:color="auto"/>
            <w:bottom w:val="none" w:sz="0" w:space="0" w:color="auto"/>
            <w:right w:val="none" w:sz="0" w:space="0" w:color="auto"/>
          </w:divBdr>
          <w:divsChild>
            <w:div w:id="2104105918">
              <w:marLeft w:val="0"/>
              <w:marRight w:val="0"/>
              <w:marTop w:val="30"/>
              <w:marBottom w:val="30"/>
              <w:divBdr>
                <w:top w:val="none" w:sz="0" w:space="0" w:color="auto"/>
                <w:left w:val="none" w:sz="0" w:space="0" w:color="auto"/>
                <w:bottom w:val="none" w:sz="0" w:space="0" w:color="auto"/>
                <w:right w:val="none" w:sz="0" w:space="0" w:color="auto"/>
              </w:divBdr>
              <w:divsChild>
                <w:div w:id="2519035">
                  <w:marLeft w:val="0"/>
                  <w:marRight w:val="0"/>
                  <w:marTop w:val="0"/>
                  <w:marBottom w:val="0"/>
                  <w:divBdr>
                    <w:top w:val="none" w:sz="0" w:space="0" w:color="auto"/>
                    <w:left w:val="none" w:sz="0" w:space="0" w:color="auto"/>
                    <w:bottom w:val="none" w:sz="0" w:space="0" w:color="auto"/>
                    <w:right w:val="none" w:sz="0" w:space="0" w:color="auto"/>
                  </w:divBdr>
                  <w:divsChild>
                    <w:div w:id="77676378">
                      <w:marLeft w:val="0"/>
                      <w:marRight w:val="0"/>
                      <w:marTop w:val="0"/>
                      <w:marBottom w:val="0"/>
                      <w:divBdr>
                        <w:top w:val="none" w:sz="0" w:space="0" w:color="auto"/>
                        <w:left w:val="none" w:sz="0" w:space="0" w:color="auto"/>
                        <w:bottom w:val="none" w:sz="0" w:space="0" w:color="auto"/>
                        <w:right w:val="none" w:sz="0" w:space="0" w:color="auto"/>
                      </w:divBdr>
                    </w:div>
                  </w:divsChild>
                </w:div>
                <w:div w:id="67191000">
                  <w:marLeft w:val="0"/>
                  <w:marRight w:val="0"/>
                  <w:marTop w:val="0"/>
                  <w:marBottom w:val="0"/>
                  <w:divBdr>
                    <w:top w:val="none" w:sz="0" w:space="0" w:color="auto"/>
                    <w:left w:val="none" w:sz="0" w:space="0" w:color="auto"/>
                    <w:bottom w:val="none" w:sz="0" w:space="0" w:color="auto"/>
                    <w:right w:val="none" w:sz="0" w:space="0" w:color="auto"/>
                  </w:divBdr>
                  <w:divsChild>
                    <w:div w:id="628439464">
                      <w:marLeft w:val="0"/>
                      <w:marRight w:val="0"/>
                      <w:marTop w:val="0"/>
                      <w:marBottom w:val="0"/>
                      <w:divBdr>
                        <w:top w:val="none" w:sz="0" w:space="0" w:color="auto"/>
                        <w:left w:val="none" w:sz="0" w:space="0" w:color="auto"/>
                        <w:bottom w:val="none" w:sz="0" w:space="0" w:color="auto"/>
                        <w:right w:val="none" w:sz="0" w:space="0" w:color="auto"/>
                      </w:divBdr>
                    </w:div>
                  </w:divsChild>
                </w:div>
                <w:div w:id="80102872">
                  <w:marLeft w:val="0"/>
                  <w:marRight w:val="0"/>
                  <w:marTop w:val="0"/>
                  <w:marBottom w:val="0"/>
                  <w:divBdr>
                    <w:top w:val="none" w:sz="0" w:space="0" w:color="auto"/>
                    <w:left w:val="none" w:sz="0" w:space="0" w:color="auto"/>
                    <w:bottom w:val="none" w:sz="0" w:space="0" w:color="auto"/>
                    <w:right w:val="none" w:sz="0" w:space="0" w:color="auto"/>
                  </w:divBdr>
                  <w:divsChild>
                    <w:div w:id="606083611">
                      <w:marLeft w:val="0"/>
                      <w:marRight w:val="0"/>
                      <w:marTop w:val="0"/>
                      <w:marBottom w:val="0"/>
                      <w:divBdr>
                        <w:top w:val="none" w:sz="0" w:space="0" w:color="auto"/>
                        <w:left w:val="none" w:sz="0" w:space="0" w:color="auto"/>
                        <w:bottom w:val="none" w:sz="0" w:space="0" w:color="auto"/>
                        <w:right w:val="none" w:sz="0" w:space="0" w:color="auto"/>
                      </w:divBdr>
                    </w:div>
                  </w:divsChild>
                </w:div>
                <w:div w:id="85269345">
                  <w:marLeft w:val="0"/>
                  <w:marRight w:val="0"/>
                  <w:marTop w:val="0"/>
                  <w:marBottom w:val="0"/>
                  <w:divBdr>
                    <w:top w:val="none" w:sz="0" w:space="0" w:color="auto"/>
                    <w:left w:val="none" w:sz="0" w:space="0" w:color="auto"/>
                    <w:bottom w:val="none" w:sz="0" w:space="0" w:color="auto"/>
                    <w:right w:val="none" w:sz="0" w:space="0" w:color="auto"/>
                  </w:divBdr>
                  <w:divsChild>
                    <w:div w:id="1145780031">
                      <w:marLeft w:val="0"/>
                      <w:marRight w:val="0"/>
                      <w:marTop w:val="0"/>
                      <w:marBottom w:val="0"/>
                      <w:divBdr>
                        <w:top w:val="none" w:sz="0" w:space="0" w:color="auto"/>
                        <w:left w:val="none" w:sz="0" w:space="0" w:color="auto"/>
                        <w:bottom w:val="none" w:sz="0" w:space="0" w:color="auto"/>
                        <w:right w:val="none" w:sz="0" w:space="0" w:color="auto"/>
                      </w:divBdr>
                    </w:div>
                  </w:divsChild>
                </w:div>
                <w:div w:id="88081841">
                  <w:marLeft w:val="0"/>
                  <w:marRight w:val="0"/>
                  <w:marTop w:val="0"/>
                  <w:marBottom w:val="0"/>
                  <w:divBdr>
                    <w:top w:val="none" w:sz="0" w:space="0" w:color="auto"/>
                    <w:left w:val="none" w:sz="0" w:space="0" w:color="auto"/>
                    <w:bottom w:val="none" w:sz="0" w:space="0" w:color="auto"/>
                    <w:right w:val="none" w:sz="0" w:space="0" w:color="auto"/>
                  </w:divBdr>
                  <w:divsChild>
                    <w:div w:id="1320112714">
                      <w:marLeft w:val="0"/>
                      <w:marRight w:val="0"/>
                      <w:marTop w:val="0"/>
                      <w:marBottom w:val="0"/>
                      <w:divBdr>
                        <w:top w:val="none" w:sz="0" w:space="0" w:color="auto"/>
                        <w:left w:val="none" w:sz="0" w:space="0" w:color="auto"/>
                        <w:bottom w:val="none" w:sz="0" w:space="0" w:color="auto"/>
                        <w:right w:val="none" w:sz="0" w:space="0" w:color="auto"/>
                      </w:divBdr>
                    </w:div>
                  </w:divsChild>
                </w:div>
                <w:div w:id="94135312">
                  <w:marLeft w:val="0"/>
                  <w:marRight w:val="0"/>
                  <w:marTop w:val="0"/>
                  <w:marBottom w:val="0"/>
                  <w:divBdr>
                    <w:top w:val="none" w:sz="0" w:space="0" w:color="auto"/>
                    <w:left w:val="none" w:sz="0" w:space="0" w:color="auto"/>
                    <w:bottom w:val="none" w:sz="0" w:space="0" w:color="auto"/>
                    <w:right w:val="none" w:sz="0" w:space="0" w:color="auto"/>
                  </w:divBdr>
                  <w:divsChild>
                    <w:div w:id="1260913661">
                      <w:marLeft w:val="0"/>
                      <w:marRight w:val="0"/>
                      <w:marTop w:val="0"/>
                      <w:marBottom w:val="0"/>
                      <w:divBdr>
                        <w:top w:val="none" w:sz="0" w:space="0" w:color="auto"/>
                        <w:left w:val="none" w:sz="0" w:space="0" w:color="auto"/>
                        <w:bottom w:val="none" w:sz="0" w:space="0" w:color="auto"/>
                        <w:right w:val="none" w:sz="0" w:space="0" w:color="auto"/>
                      </w:divBdr>
                    </w:div>
                  </w:divsChild>
                </w:div>
                <w:div w:id="101608686">
                  <w:marLeft w:val="0"/>
                  <w:marRight w:val="0"/>
                  <w:marTop w:val="0"/>
                  <w:marBottom w:val="0"/>
                  <w:divBdr>
                    <w:top w:val="none" w:sz="0" w:space="0" w:color="auto"/>
                    <w:left w:val="none" w:sz="0" w:space="0" w:color="auto"/>
                    <w:bottom w:val="none" w:sz="0" w:space="0" w:color="auto"/>
                    <w:right w:val="none" w:sz="0" w:space="0" w:color="auto"/>
                  </w:divBdr>
                  <w:divsChild>
                    <w:div w:id="1571387270">
                      <w:marLeft w:val="0"/>
                      <w:marRight w:val="0"/>
                      <w:marTop w:val="0"/>
                      <w:marBottom w:val="0"/>
                      <w:divBdr>
                        <w:top w:val="none" w:sz="0" w:space="0" w:color="auto"/>
                        <w:left w:val="none" w:sz="0" w:space="0" w:color="auto"/>
                        <w:bottom w:val="none" w:sz="0" w:space="0" w:color="auto"/>
                        <w:right w:val="none" w:sz="0" w:space="0" w:color="auto"/>
                      </w:divBdr>
                    </w:div>
                  </w:divsChild>
                </w:div>
                <w:div w:id="105320377">
                  <w:marLeft w:val="0"/>
                  <w:marRight w:val="0"/>
                  <w:marTop w:val="0"/>
                  <w:marBottom w:val="0"/>
                  <w:divBdr>
                    <w:top w:val="none" w:sz="0" w:space="0" w:color="auto"/>
                    <w:left w:val="none" w:sz="0" w:space="0" w:color="auto"/>
                    <w:bottom w:val="none" w:sz="0" w:space="0" w:color="auto"/>
                    <w:right w:val="none" w:sz="0" w:space="0" w:color="auto"/>
                  </w:divBdr>
                  <w:divsChild>
                    <w:div w:id="1458062561">
                      <w:marLeft w:val="0"/>
                      <w:marRight w:val="0"/>
                      <w:marTop w:val="0"/>
                      <w:marBottom w:val="0"/>
                      <w:divBdr>
                        <w:top w:val="none" w:sz="0" w:space="0" w:color="auto"/>
                        <w:left w:val="none" w:sz="0" w:space="0" w:color="auto"/>
                        <w:bottom w:val="none" w:sz="0" w:space="0" w:color="auto"/>
                        <w:right w:val="none" w:sz="0" w:space="0" w:color="auto"/>
                      </w:divBdr>
                    </w:div>
                  </w:divsChild>
                </w:div>
                <w:div w:id="158690809">
                  <w:marLeft w:val="0"/>
                  <w:marRight w:val="0"/>
                  <w:marTop w:val="0"/>
                  <w:marBottom w:val="0"/>
                  <w:divBdr>
                    <w:top w:val="none" w:sz="0" w:space="0" w:color="auto"/>
                    <w:left w:val="none" w:sz="0" w:space="0" w:color="auto"/>
                    <w:bottom w:val="none" w:sz="0" w:space="0" w:color="auto"/>
                    <w:right w:val="none" w:sz="0" w:space="0" w:color="auto"/>
                  </w:divBdr>
                  <w:divsChild>
                    <w:div w:id="2093159392">
                      <w:marLeft w:val="0"/>
                      <w:marRight w:val="0"/>
                      <w:marTop w:val="0"/>
                      <w:marBottom w:val="0"/>
                      <w:divBdr>
                        <w:top w:val="none" w:sz="0" w:space="0" w:color="auto"/>
                        <w:left w:val="none" w:sz="0" w:space="0" w:color="auto"/>
                        <w:bottom w:val="none" w:sz="0" w:space="0" w:color="auto"/>
                        <w:right w:val="none" w:sz="0" w:space="0" w:color="auto"/>
                      </w:divBdr>
                    </w:div>
                  </w:divsChild>
                </w:div>
                <w:div w:id="167983927">
                  <w:marLeft w:val="0"/>
                  <w:marRight w:val="0"/>
                  <w:marTop w:val="0"/>
                  <w:marBottom w:val="0"/>
                  <w:divBdr>
                    <w:top w:val="none" w:sz="0" w:space="0" w:color="auto"/>
                    <w:left w:val="none" w:sz="0" w:space="0" w:color="auto"/>
                    <w:bottom w:val="none" w:sz="0" w:space="0" w:color="auto"/>
                    <w:right w:val="none" w:sz="0" w:space="0" w:color="auto"/>
                  </w:divBdr>
                  <w:divsChild>
                    <w:div w:id="1983540649">
                      <w:marLeft w:val="0"/>
                      <w:marRight w:val="0"/>
                      <w:marTop w:val="0"/>
                      <w:marBottom w:val="0"/>
                      <w:divBdr>
                        <w:top w:val="none" w:sz="0" w:space="0" w:color="auto"/>
                        <w:left w:val="none" w:sz="0" w:space="0" w:color="auto"/>
                        <w:bottom w:val="none" w:sz="0" w:space="0" w:color="auto"/>
                        <w:right w:val="none" w:sz="0" w:space="0" w:color="auto"/>
                      </w:divBdr>
                    </w:div>
                  </w:divsChild>
                </w:div>
                <w:div w:id="190146898">
                  <w:marLeft w:val="0"/>
                  <w:marRight w:val="0"/>
                  <w:marTop w:val="0"/>
                  <w:marBottom w:val="0"/>
                  <w:divBdr>
                    <w:top w:val="none" w:sz="0" w:space="0" w:color="auto"/>
                    <w:left w:val="none" w:sz="0" w:space="0" w:color="auto"/>
                    <w:bottom w:val="none" w:sz="0" w:space="0" w:color="auto"/>
                    <w:right w:val="none" w:sz="0" w:space="0" w:color="auto"/>
                  </w:divBdr>
                  <w:divsChild>
                    <w:div w:id="1874153318">
                      <w:marLeft w:val="0"/>
                      <w:marRight w:val="0"/>
                      <w:marTop w:val="0"/>
                      <w:marBottom w:val="0"/>
                      <w:divBdr>
                        <w:top w:val="none" w:sz="0" w:space="0" w:color="auto"/>
                        <w:left w:val="none" w:sz="0" w:space="0" w:color="auto"/>
                        <w:bottom w:val="none" w:sz="0" w:space="0" w:color="auto"/>
                        <w:right w:val="none" w:sz="0" w:space="0" w:color="auto"/>
                      </w:divBdr>
                    </w:div>
                  </w:divsChild>
                </w:div>
                <w:div w:id="191724207">
                  <w:marLeft w:val="0"/>
                  <w:marRight w:val="0"/>
                  <w:marTop w:val="0"/>
                  <w:marBottom w:val="0"/>
                  <w:divBdr>
                    <w:top w:val="none" w:sz="0" w:space="0" w:color="auto"/>
                    <w:left w:val="none" w:sz="0" w:space="0" w:color="auto"/>
                    <w:bottom w:val="none" w:sz="0" w:space="0" w:color="auto"/>
                    <w:right w:val="none" w:sz="0" w:space="0" w:color="auto"/>
                  </w:divBdr>
                  <w:divsChild>
                    <w:div w:id="1413889359">
                      <w:marLeft w:val="0"/>
                      <w:marRight w:val="0"/>
                      <w:marTop w:val="0"/>
                      <w:marBottom w:val="0"/>
                      <w:divBdr>
                        <w:top w:val="none" w:sz="0" w:space="0" w:color="auto"/>
                        <w:left w:val="none" w:sz="0" w:space="0" w:color="auto"/>
                        <w:bottom w:val="none" w:sz="0" w:space="0" w:color="auto"/>
                        <w:right w:val="none" w:sz="0" w:space="0" w:color="auto"/>
                      </w:divBdr>
                    </w:div>
                  </w:divsChild>
                </w:div>
                <w:div w:id="243149767">
                  <w:marLeft w:val="0"/>
                  <w:marRight w:val="0"/>
                  <w:marTop w:val="0"/>
                  <w:marBottom w:val="0"/>
                  <w:divBdr>
                    <w:top w:val="none" w:sz="0" w:space="0" w:color="auto"/>
                    <w:left w:val="none" w:sz="0" w:space="0" w:color="auto"/>
                    <w:bottom w:val="none" w:sz="0" w:space="0" w:color="auto"/>
                    <w:right w:val="none" w:sz="0" w:space="0" w:color="auto"/>
                  </w:divBdr>
                  <w:divsChild>
                    <w:div w:id="192232139">
                      <w:marLeft w:val="0"/>
                      <w:marRight w:val="0"/>
                      <w:marTop w:val="0"/>
                      <w:marBottom w:val="0"/>
                      <w:divBdr>
                        <w:top w:val="none" w:sz="0" w:space="0" w:color="auto"/>
                        <w:left w:val="none" w:sz="0" w:space="0" w:color="auto"/>
                        <w:bottom w:val="none" w:sz="0" w:space="0" w:color="auto"/>
                        <w:right w:val="none" w:sz="0" w:space="0" w:color="auto"/>
                      </w:divBdr>
                    </w:div>
                  </w:divsChild>
                </w:div>
                <w:div w:id="244536136">
                  <w:marLeft w:val="0"/>
                  <w:marRight w:val="0"/>
                  <w:marTop w:val="0"/>
                  <w:marBottom w:val="0"/>
                  <w:divBdr>
                    <w:top w:val="none" w:sz="0" w:space="0" w:color="auto"/>
                    <w:left w:val="none" w:sz="0" w:space="0" w:color="auto"/>
                    <w:bottom w:val="none" w:sz="0" w:space="0" w:color="auto"/>
                    <w:right w:val="none" w:sz="0" w:space="0" w:color="auto"/>
                  </w:divBdr>
                  <w:divsChild>
                    <w:div w:id="1562715105">
                      <w:marLeft w:val="0"/>
                      <w:marRight w:val="0"/>
                      <w:marTop w:val="0"/>
                      <w:marBottom w:val="0"/>
                      <w:divBdr>
                        <w:top w:val="none" w:sz="0" w:space="0" w:color="auto"/>
                        <w:left w:val="none" w:sz="0" w:space="0" w:color="auto"/>
                        <w:bottom w:val="none" w:sz="0" w:space="0" w:color="auto"/>
                        <w:right w:val="none" w:sz="0" w:space="0" w:color="auto"/>
                      </w:divBdr>
                    </w:div>
                  </w:divsChild>
                </w:div>
                <w:div w:id="260455604">
                  <w:marLeft w:val="0"/>
                  <w:marRight w:val="0"/>
                  <w:marTop w:val="0"/>
                  <w:marBottom w:val="0"/>
                  <w:divBdr>
                    <w:top w:val="none" w:sz="0" w:space="0" w:color="auto"/>
                    <w:left w:val="none" w:sz="0" w:space="0" w:color="auto"/>
                    <w:bottom w:val="none" w:sz="0" w:space="0" w:color="auto"/>
                    <w:right w:val="none" w:sz="0" w:space="0" w:color="auto"/>
                  </w:divBdr>
                  <w:divsChild>
                    <w:div w:id="573706595">
                      <w:marLeft w:val="0"/>
                      <w:marRight w:val="0"/>
                      <w:marTop w:val="0"/>
                      <w:marBottom w:val="0"/>
                      <w:divBdr>
                        <w:top w:val="none" w:sz="0" w:space="0" w:color="auto"/>
                        <w:left w:val="none" w:sz="0" w:space="0" w:color="auto"/>
                        <w:bottom w:val="none" w:sz="0" w:space="0" w:color="auto"/>
                        <w:right w:val="none" w:sz="0" w:space="0" w:color="auto"/>
                      </w:divBdr>
                    </w:div>
                  </w:divsChild>
                </w:div>
                <w:div w:id="269432890">
                  <w:marLeft w:val="0"/>
                  <w:marRight w:val="0"/>
                  <w:marTop w:val="0"/>
                  <w:marBottom w:val="0"/>
                  <w:divBdr>
                    <w:top w:val="none" w:sz="0" w:space="0" w:color="auto"/>
                    <w:left w:val="none" w:sz="0" w:space="0" w:color="auto"/>
                    <w:bottom w:val="none" w:sz="0" w:space="0" w:color="auto"/>
                    <w:right w:val="none" w:sz="0" w:space="0" w:color="auto"/>
                  </w:divBdr>
                  <w:divsChild>
                    <w:div w:id="1355572158">
                      <w:marLeft w:val="0"/>
                      <w:marRight w:val="0"/>
                      <w:marTop w:val="0"/>
                      <w:marBottom w:val="0"/>
                      <w:divBdr>
                        <w:top w:val="none" w:sz="0" w:space="0" w:color="auto"/>
                        <w:left w:val="none" w:sz="0" w:space="0" w:color="auto"/>
                        <w:bottom w:val="none" w:sz="0" w:space="0" w:color="auto"/>
                        <w:right w:val="none" w:sz="0" w:space="0" w:color="auto"/>
                      </w:divBdr>
                    </w:div>
                  </w:divsChild>
                </w:div>
                <w:div w:id="271523734">
                  <w:marLeft w:val="0"/>
                  <w:marRight w:val="0"/>
                  <w:marTop w:val="0"/>
                  <w:marBottom w:val="0"/>
                  <w:divBdr>
                    <w:top w:val="none" w:sz="0" w:space="0" w:color="auto"/>
                    <w:left w:val="none" w:sz="0" w:space="0" w:color="auto"/>
                    <w:bottom w:val="none" w:sz="0" w:space="0" w:color="auto"/>
                    <w:right w:val="none" w:sz="0" w:space="0" w:color="auto"/>
                  </w:divBdr>
                  <w:divsChild>
                    <w:div w:id="139925503">
                      <w:marLeft w:val="0"/>
                      <w:marRight w:val="0"/>
                      <w:marTop w:val="0"/>
                      <w:marBottom w:val="0"/>
                      <w:divBdr>
                        <w:top w:val="none" w:sz="0" w:space="0" w:color="auto"/>
                        <w:left w:val="none" w:sz="0" w:space="0" w:color="auto"/>
                        <w:bottom w:val="none" w:sz="0" w:space="0" w:color="auto"/>
                        <w:right w:val="none" w:sz="0" w:space="0" w:color="auto"/>
                      </w:divBdr>
                    </w:div>
                  </w:divsChild>
                </w:div>
                <w:div w:id="291711125">
                  <w:marLeft w:val="0"/>
                  <w:marRight w:val="0"/>
                  <w:marTop w:val="0"/>
                  <w:marBottom w:val="0"/>
                  <w:divBdr>
                    <w:top w:val="none" w:sz="0" w:space="0" w:color="auto"/>
                    <w:left w:val="none" w:sz="0" w:space="0" w:color="auto"/>
                    <w:bottom w:val="none" w:sz="0" w:space="0" w:color="auto"/>
                    <w:right w:val="none" w:sz="0" w:space="0" w:color="auto"/>
                  </w:divBdr>
                  <w:divsChild>
                    <w:div w:id="1770811647">
                      <w:marLeft w:val="0"/>
                      <w:marRight w:val="0"/>
                      <w:marTop w:val="0"/>
                      <w:marBottom w:val="0"/>
                      <w:divBdr>
                        <w:top w:val="none" w:sz="0" w:space="0" w:color="auto"/>
                        <w:left w:val="none" w:sz="0" w:space="0" w:color="auto"/>
                        <w:bottom w:val="none" w:sz="0" w:space="0" w:color="auto"/>
                        <w:right w:val="none" w:sz="0" w:space="0" w:color="auto"/>
                      </w:divBdr>
                    </w:div>
                  </w:divsChild>
                </w:div>
                <w:div w:id="315692065">
                  <w:marLeft w:val="0"/>
                  <w:marRight w:val="0"/>
                  <w:marTop w:val="0"/>
                  <w:marBottom w:val="0"/>
                  <w:divBdr>
                    <w:top w:val="none" w:sz="0" w:space="0" w:color="auto"/>
                    <w:left w:val="none" w:sz="0" w:space="0" w:color="auto"/>
                    <w:bottom w:val="none" w:sz="0" w:space="0" w:color="auto"/>
                    <w:right w:val="none" w:sz="0" w:space="0" w:color="auto"/>
                  </w:divBdr>
                  <w:divsChild>
                    <w:div w:id="160972638">
                      <w:marLeft w:val="0"/>
                      <w:marRight w:val="0"/>
                      <w:marTop w:val="0"/>
                      <w:marBottom w:val="0"/>
                      <w:divBdr>
                        <w:top w:val="none" w:sz="0" w:space="0" w:color="auto"/>
                        <w:left w:val="none" w:sz="0" w:space="0" w:color="auto"/>
                        <w:bottom w:val="none" w:sz="0" w:space="0" w:color="auto"/>
                        <w:right w:val="none" w:sz="0" w:space="0" w:color="auto"/>
                      </w:divBdr>
                    </w:div>
                  </w:divsChild>
                </w:div>
                <w:div w:id="321812560">
                  <w:marLeft w:val="0"/>
                  <w:marRight w:val="0"/>
                  <w:marTop w:val="0"/>
                  <w:marBottom w:val="0"/>
                  <w:divBdr>
                    <w:top w:val="none" w:sz="0" w:space="0" w:color="auto"/>
                    <w:left w:val="none" w:sz="0" w:space="0" w:color="auto"/>
                    <w:bottom w:val="none" w:sz="0" w:space="0" w:color="auto"/>
                    <w:right w:val="none" w:sz="0" w:space="0" w:color="auto"/>
                  </w:divBdr>
                  <w:divsChild>
                    <w:div w:id="463500096">
                      <w:marLeft w:val="0"/>
                      <w:marRight w:val="0"/>
                      <w:marTop w:val="0"/>
                      <w:marBottom w:val="0"/>
                      <w:divBdr>
                        <w:top w:val="none" w:sz="0" w:space="0" w:color="auto"/>
                        <w:left w:val="none" w:sz="0" w:space="0" w:color="auto"/>
                        <w:bottom w:val="none" w:sz="0" w:space="0" w:color="auto"/>
                        <w:right w:val="none" w:sz="0" w:space="0" w:color="auto"/>
                      </w:divBdr>
                    </w:div>
                  </w:divsChild>
                </w:div>
                <w:div w:id="343015548">
                  <w:marLeft w:val="0"/>
                  <w:marRight w:val="0"/>
                  <w:marTop w:val="0"/>
                  <w:marBottom w:val="0"/>
                  <w:divBdr>
                    <w:top w:val="none" w:sz="0" w:space="0" w:color="auto"/>
                    <w:left w:val="none" w:sz="0" w:space="0" w:color="auto"/>
                    <w:bottom w:val="none" w:sz="0" w:space="0" w:color="auto"/>
                    <w:right w:val="none" w:sz="0" w:space="0" w:color="auto"/>
                  </w:divBdr>
                  <w:divsChild>
                    <w:div w:id="847451238">
                      <w:marLeft w:val="0"/>
                      <w:marRight w:val="0"/>
                      <w:marTop w:val="0"/>
                      <w:marBottom w:val="0"/>
                      <w:divBdr>
                        <w:top w:val="none" w:sz="0" w:space="0" w:color="auto"/>
                        <w:left w:val="none" w:sz="0" w:space="0" w:color="auto"/>
                        <w:bottom w:val="none" w:sz="0" w:space="0" w:color="auto"/>
                        <w:right w:val="none" w:sz="0" w:space="0" w:color="auto"/>
                      </w:divBdr>
                    </w:div>
                  </w:divsChild>
                </w:div>
                <w:div w:id="347291279">
                  <w:marLeft w:val="0"/>
                  <w:marRight w:val="0"/>
                  <w:marTop w:val="0"/>
                  <w:marBottom w:val="0"/>
                  <w:divBdr>
                    <w:top w:val="none" w:sz="0" w:space="0" w:color="auto"/>
                    <w:left w:val="none" w:sz="0" w:space="0" w:color="auto"/>
                    <w:bottom w:val="none" w:sz="0" w:space="0" w:color="auto"/>
                    <w:right w:val="none" w:sz="0" w:space="0" w:color="auto"/>
                  </w:divBdr>
                  <w:divsChild>
                    <w:div w:id="1550722168">
                      <w:marLeft w:val="0"/>
                      <w:marRight w:val="0"/>
                      <w:marTop w:val="0"/>
                      <w:marBottom w:val="0"/>
                      <w:divBdr>
                        <w:top w:val="none" w:sz="0" w:space="0" w:color="auto"/>
                        <w:left w:val="none" w:sz="0" w:space="0" w:color="auto"/>
                        <w:bottom w:val="none" w:sz="0" w:space="0" w:color="auto"/>
                        <w:right w:val="none" w:sz="0" w:space="0" w:color="auto"/>
                      </w:divBdr>
                    </w:div>
                  </w:divsChild>
                </w:div>
                <w:div w:id="353965894">
                  <w:marLeft w:val="0"/>
                  <w:marRight w:val="0"/>
                  <w:marTop w:val="0"/>
                  <w:marBottom w:val="0"/>
                  <w:divBdr>
                    <w:top w:val="none" w:sz="0" w:space="0" w:color="auto"/>
                    <w:left w:val="none" w:sz="0" w:space="0" w:color="auto"/>
                    <w:bottom w:val="none" w:sz="0" w:space="0" w:color="auto"/>
                    <w:right w:val="none" w:sz="0" w:space="0" w:color="auto"/>
                  </w:divBdr>
                  <w:divsChild>
                    <w:div w:id="1357080760">
                      <w:marLeft w:val="0"/>
                      <w:marRight w:val="0"/>
                      <w:marTop w:val="0"/>
                      <w:marBottom w:val="0"/>
                      <w:divBdr>
                        <w:top w:val="none" w:sz="0" w:space="0" w:color="auto"/>
                        <w:left w:val="none" w:sz="0" w:space="0" w:color="auto"/>
                        <w:bottom w:val="none" w:sz="0" w:space="0" w:color="auto"/>
                        <w:right w:val="none" w:sz="0" w:space="0" w:color="auto"/>
                      </w:divBdr>
                    </w:div>
                  </w:divsChild>
                </w:div>
                <w:div w:id="359748023">
                  <w:marLeft w:val="0"/>
                  <w:marRight w:val="0"/>
                  <w:marTop w:val="0"/>
                  <w:marBottom w:val="0"/>
                  <w:divBdr>
                    <w:top w:val="none" w:sz="0" w:space="0" w:color="auto"/>
                    <w:left w:val="none" w:sz="0" w:space="0" w:color="auto"/>
                    <w:bottom w:val="none" w:sz="0" w:space="0" w:color="auto"/>
                    <w:right w:val="none" w:sz="0" w:space="0" w:color="auto"/>
                  </w:divBdr>
                  <w:divsChild>
                    <w:div w:id="518469730">
                      <w:marLeft w:val="0"/>
                      <w:marRight w:val="0"/>
                      <w:marTop w:val="0"/>
                      <w:marBottom w:val="0"/>
                      <w:divBdr>
                        <w:top w:val="none" w:sz="0" w:space="0" w:color="auto"/>
                        <w:left w:val="none" w:sz="0" w:space="0" w:color="auto"/>
                        <w:bottom w:val="none" w:sz="0" w:space="0" w:color="auto"/>
                        <w:right w:val="none" w:sz="0" w:space="0" w:color="auto"/>
                      </w:divBdr>
                    </w:div>
                  </w:divsChild>
                </w:div>
                <w:div w:id="361977302">
                  <w:marLeft w:val="0"/>
                  <w:marRight w:val="0"/>
                  <w:marTop w:val="0"/>
                  <w:marBottom w:val="0"/>
                  <w:divBdr>
                    <w:top w:val="none" w:sz="0" w:space="0" w:color="auto"/>
                    <w:left w:val="none" w:sz="0" w:space="0" w:color="auto"/>
                    <w:bottom w:val="none" w:sz="0" w:space="0" w:color="auto"/>
                    <w:right w:val="none" w:sz="0" w:space="0" w:color="auto"/>
                  </w:divBdr>
                  <w:divsChild>
                    <w:div w:id="1987127356">
                      <w:marLeft w:val="0"/>
                      <w:marRight w:val="0"/>
                      <w:marTop w:val="0"/>
                      <w:marBottom w:val="0"/>
                      <w:divBdr>
                        <w:top w:val="none" w:sz="0" w:space="0" w:color="auto"/>
                        <w:left w:val="none" w:sz="0" w:space="0" w:color="auto"/>
                        <w:bottom w:val="none" w:sz="0" w:space="0" w:color="auto"/>
                        <w:right w:val="none" w:sz="0" w:space="0" w:color="auto"/>
                      </w:divBdr>
                    </w:div>
                  </w:divsChild>
                </w:div>
                <w:div w:id="374694815">
                  <w:marLeft w:val="0"/>
                  <w:marRight w:val="0"/>
                  <w:marTop w:val="0"/>
                  <w:marBottom w:val="0"/>
                  <w:divBdr>
                    <w:top w:val="none" w:sz="0" w:space="0" w:color="auto"/>
                    <w:left w:val="none" w:sz="0" w:space="0" w:color="auto"/>
                    <w:bottom w:val="none" w:sz="0" w:space="0" w:color="auto"/>
                    <w:right w:val="none" w:sz="0" w:space="0" w:color="auto"/>
                  </w:divBdr>
                  <w:divsChild>
                    <w:div w:id="139159433">
                      <w:marLeft w:val="0"/>
                      <w:marRight w:val="0"/>
                      <w:marTop w:val="0"/>
                      <w:marBottom w:val="0"/>
                      <w:divBdr>
                        <w:top w:val="none" w:sz="0" w:space="0" w:color="auto"/>
                        <w:left w:val="none" w:sz="0" w:space="0" w:color="auto"/>
                        <w:bottom w:val="none" w:sz="0" w:space="0" w:color="auto"/>
                        <w:right w:val="none" w:sz="0" w:space="0" w:color="auto"/>
                      </w:divBdr>
                    </w:div>
                  </w:divsChild>
                </w:div>
                <w:div w:id="383717148">
                  <w:marLeft w:val="0"/>
                  <w:marRight w:val="0"/>
                  <w:marTop w:val="0"/>
                  <w:marBottom w:val="0"/>
                  <w:divBdr>
                    <w:top w:val="none" w:sz="0" w:space="0" w:color="auto"/>
                    <w:left w:val="none" w:sz="0" w:space="0" w:color="auto"/>
                    <w:bottom w:val="none" w:sz="0" w:space="0" w:color="auto"/>
                    <w:right w:val="none" w:sz="0" w:space="0" w:color="auto"/>
                  </w:divBdr>
                  <w:divsChild>
                    <w:div w:id="980774043">
                      <w:marLeft w:val="0"/>
                      <w:marRight w:val="0"/>
                      <w:marTop w:val="0"/>
                      <w:marBottom w:val="0"/>
                      <w:divBdr>
                        <w:top w:val="none" w:sz="0" w:space="0" w:color="auto"/>
                        <w:left w:val="none" w:sz="0" w:space="0" w:color="auto"/>
                        <w:bottom w:val="none" w:sz="0" w:space="0" w:color="auto"/>
                        <w:right w:val="none" w:sz="0" w:space="0" w:color="auto"/>
                      </w:divBdr>
                    </w:div>
                  </w:divsChild>
                </w:div>
                <w:div w:id="384447086">
                  <w:marLeft w:val="0"/>
                  <w:marRight w:val="0"/>
                  <w:marTop w:val="0"/>
                  <w:marBottom w:val="0"/>
                  <w:divBdr>
                    <w:top w:val="none" w:sz="0" w:space="0" w:color="auto"/>
                    <w:left w:val="none" w:sz="0" w:space="0" w:color="auto"/>
                    <w:bottom w:val="none" w:sz="0" w:space="0" w:color="auto"/>
                    <w:right w:val="none" w:sz="0" w:space="0" w:color="auto"/>
                  </w:divBdr>
                  <w:divsChild>
                    <w:div w:id="417482527">
                      <w:marLeft w:val="0"/>
                      <w:marRight w:val="0"/>
                      <w:marTop w:val="0"/>
                      <w:marBottom w:val="0"/>
                      <w:divBdr>
                        <w:top w:val="none" w:sz="0" w:space="0" w:color="auto"/>
                        <w:left w:val="none" w:sz="0" w:space="0" w:color="auto"/>
                        <w:bottom w:val="none" w:sz="0" w:space="0" w:color="auto"/>
                        <w:right w:val="none" w:sz="0" w:space="0" w:color="auto"/>
                      </w:divBdr>
                    </w:div>
                  </w:divsChild>
                </w:div>
                <w:div w:id="385882203">
                  <w:marLeft w:val="0"/>
                  <w:marRight w:val="0"/>
                  <w:marTop w:val="0"/>
                  <w:marBottom w:val="0"/>
                  <w:divBdr>
                    <w:top w:val="none" w:sz="0" w:space="0" w:color="auto"/>
                    <w:left w:val="none" w:sz="0" w:space="0" w:color="auto"/>
                    <w:bottom w:val="none" w:sz="0" w:space="0" w:color="auto"/>
                    <w:right w:val="none" w:sz="0" w:space="0" w:color="auto"/>
                  </w:divBdr>
                  <w:divsChild>
                    <w:div w:id="1058169043">
                      <w:marLeft w:val="0"/>
                      <w:marRight w:val="0"/>
                      <w:marTop w:val="0"/>
                      <w:marBottom w:val="0"/>
                      <w:divBdr>
                        <w:top w:val="none" w:sz="0" w:space="0" w:color="auto"/>
                        <w:left w:val="none" w:sz="0" w:space="0" w:color="auto"/>
                        <w:bottom w:val="none" w:sz="0" w:space="0" w:color="auto"/>
                        <w:right w:val="none" w:sz="0" w:space="0" w:color="auto"/>
                      </w:divBdr>
                    </w:div>
                  </w:divsChild>
                </w:div>
                <w:div w:id="404882762">
                  <w:marLeft w:val="0"/>
                  <w:marRight w:val="0"/>
                  <w:marTop w:val="0"/>
                  <w:marBottom w:val="0"/>
                  <w:divBdr>
                    <w:top w:val="none" w:sz="0" w:space="0" w:color="auto"/>
                    <w:left w:val="none" w:sz="0" w:space="0" w:color="auto"/>
                    <w:bottom w:val="none" w:sz="0" w:space="0" w:color="auto"/>
                    <w:right w:val="none" w:sz="0" w:space="0" w:color="auto"/>
                  </w:divBdr>
                  <w:divsChild>
                    <w:div w:id="30500411">
                      <w:marLeft w:val="0"/>
                      <w:marRight w:val="0"/>
                      <w:marTop w:val="0"/>
                      <w:marBottom w:val="0"/>
                      <w:divBdr>
                        <w:top w:val="none" w:sz="0" w:space="0" w:color="auto"/>
                        <w:left w:val="none" w:sz="0" w:space="0" w:color="auto"/>
                        <w:bottom w:val="none" w:sz="0" w:space="0" w:color="auto"/>
                        <w:right w:val="none" w:sz="0" w:space="0" w:color="auto"/>
                      </w:divBdr>
                    </w:div>
                  </w:divsChild>
                </w:div>
                <w:div w:id="413286191">
                  <w:marLeft w:val="0"/>
                  <w:marRight w:val="0"/>
                  <w:marTop w:val="0"/>
                  <w:marBottom w:val="0"/>
                  <w:divBdr>
                    <w:top w:val="none" w:sz="0" w:space="0" w:color="auto"/>
                    <w:left w:val="none" w:sz="0" w:space="0" w:color="auto"/>
                    <w:bottom w:val="none" w:sz="0" w:space="0" w:color="auto"/>
                    <w:right w:val="none" w:sz="0" w:space="0" w:color="auto"/>
                  </w:divBdr>
                  <w:divsChild>
                    <w:div w:id="897980448">
                      <w:marLeft w:val="0"/>
                      <w:marRight w:val="0"/>
                      <w:marTop w:val="0"/>
                      <w:marBottom w:val="0"/>
                      <w:divBdr>
                        <w:top w:val="none" w:sz="0" w:space="0" w:color="auto"/>
                        <w:left w:val="none" w:sz="0" w:space="0" w:color="auto"/>
                        <w:bottom w:val="none" w:sz="0" w:space="0" w:color="auto"/>
                        <w:right w:val="none" w:sz="0" w:space="0" w:color="auto"/>
                      </w:divBdr>
                    </w:div>
                  </w:divsChild>
                </w:div>
                <w:div w:id="413817417">
                  <w:marLeft w:val="0"/>
                  <w:marRight w:val="0"/>
                  <w:marTop w:val="0"/>
                  <w:marBottom w:val="0"/>
                  <w:divBdr>
                    <w:top w:val="none" w:sz="0" w:space="0" w:color="auto"/>
                    <w:left w:val="none" w:sz="0" w:space="0" w:color="auto"/>
                    <w:bottom w:val="none" w:sz="0" w:space="0" w:color="auto"/>
                    <w:right w:val="none" w:sz="0" w:space="0" w:color="auto"/>
                  </w:divBdr>
                  <w:divsChild>
                    <w:div w:id="461114052">
                      <w:marLeft w:val="0"/>
                      <w:marRight w:val="0"/>
                      <w:marTop w:val="0"/>
                      <w:marBottom w:val="0"/>
                      <w:divBdr>
                        <w:top w:val="none" w:sz="0" w:space="0" w:color="auto"/>
                        <w:left w:val="none" w:sz="0" w:space="0" w:color="auto"/>
                        <w:bottom w:val="none" w:sz="0" w:space="0" w:color="auto"/>
                        <w:right w:val="none" w:sz="0" w:space="0" w:color="auto"/>
                      </w:divBdr>
                    </w:div>
                  </w:divsChild>
                </w:div>
                <w:div w:id="466165422">
                  <w:marLeft w:val="0"/>
                  <w:marRight w:val="0"/>
                  <w:marTop w:val="0"/>
                  <w:marBottom w:val="0"/>
                  <w:divBdr>
                    <w:top w:val="none" w:sz="0" w:space="0" w:color="auto"/>
                    <w:left w:val="none" w:sz="0" w:space="0" w:color="auto"/>
                    <w:bottom w:val="none" w:sz="0" w:space="0" w:color="auto"/>
                    <w:right w:val="none" w:sz="0" w:space="0" w:color="auto"/>
                  </w:divBdr>
                  <w:divsChild>
                    <w:div w:id="437678599">
                      <w:marLeft w:val="0"/>
                      <w:marRight w:val="0"/>
                      <w:marTop w:val="0"/>
                      <w:marBottom w:val="0"/>
                      <w:divBdr>
                        <w:top w:val="none" w:sz="0" w:space="0" w:color="auto"/>
                        <w:left w:val="none" w:sz="0" w:space="0" w:color="auto"/>
                        <w:bottom w:val="none" w:sz="0" w:space="0" w:color="auto"/>
                        <w:right w:val="none" w:sz="0" w:space="0" w:color="auto"/>
                      </w:divBdr>
                    </w:div>
                  </w:divsChild>
                </w:div>
                <w:div w:id="496262900">
                  <w:marLeft w:val="0"/>
                  <w:marRight w:val="0"/>
                  <w:marTop w:val="0"/>
                  <w:marBottom w:val="0"/>
                  <w:divBdr>
                    <w:top w:val="none" w:sz="0" w:space="0" w:color="auto"/>
                    <w:left w:val="none" w:sz="0" w:space="0" w:color="auto"/>
                    <w:bottom w:val="none" w:sz="0" w:space="0" w:color="auto"/>
                    <w:right w:val="none" w:sz="0" w:space="0" w:color="auto"/>
                  </w:divBdr>
                  <w:divsChild>
                    <w:div w:id="786587562">
                      <w:marLeft w:val="0"/>
                      <w:marRight w:val="0"/>
                      <w:marTop w:val="0"/>
                      <w:marBottom w:val="0"/>
                      <w:divBdr>
                        <w:top w:val="none" w:sz="0" w:space="0" w:color="auto"/>
                        <w:left w:val="none" w:sz="0" w:space="0" w:color="auto"/>
                        <w:bottom w:val="none" w:sz="0" w:space="0" w:color="auto"/>
                        <w:right w:val="none" w:sz="0" w:space="0" w:color="auto"/>
                      </w:divBdr>
                    </w:div>
                  </w:divsChild>
                </w:div>
                <w:div w:id="499347910">
                  <w:marLeft w:val="0"/>
                  <w:marRight w:val="0"/>
                  <w:marTop w:val="0"/>
                  <w:marBottom w:val="0"/>
                  <w:divBdr>
                    <w:top w:val="none" w:sz="0" w:space="0" w:color="auto"/>
                    <w:left w:val="none" w:sz="0" w:space="0" w:color="auto"/>
                    <w:bottom w:val="none" w:sz="0" w:space="0" w:color="auto"/>
                    <w:right w:val="none" w:sz="0" w:space="0" w:color="auto"/>
                  </w:divBdr>
                  <w:divsChild>
                    <w:div w:id="452554937">
                      <w:marLeft w:val="0"/>
                      <w:marRight w:val="0"/>
                      <w:marTop w:val="0"/>
                      <w:marBottom w:val="0"/>
                      <w:divBdr>
                        <w:top w:val="none" w:sz="0" w:space="0" w:color="auto"/>
                        <w:left w:val="none" w:sz="0" w:space="0" w:color="auto"/>
                        <w:bottom w:val="none" w:sz="0" w:space="0" w:color="auto"/>
                        <w:right w:val="none" w:sz="0" w:space="0" w:color="auto"/>
                      </w:divBdr>
                    </w:div>
                  </w:divsChild>
                </w:div>
                <w:div w:id="508564999">
                  <w:marLeft w:val="0"/>
                  <w:marRight w:val="0"/>
                  <w:marTop w:val="0"/>
                  <w:marBottom w:val="0"/>
                  <w:divBdr>
                    <w:top w:val="none" w:sz="0" w:space="0" w:color="auto"/>
                    <w:left w:val="none" w:sz="0" w:space="0" w:color="auto"/>
                    <w:bottom w:val="none" w:sz="0" w:space="0" w:color="auto"/>
                    <w:right w:val="none" w:sz="0" w:space="0" w:color="auto"/>
                  </w:divBdr>
                  <w:divsChild>
                    <w:div w:id="1798841054">
                      <w:marLeft w:val="0"/>
                      <w:marRight w:val="0"/>
                      <w:marTop w:val="0"/>
                      <w:marBottom w:val="0"/>
                      <w:divBdr>
                        <w:top w:val="none" w:sz="0" w:space="0" w:color="auto"/>
                        <w:left w:val="none" w:sz="0" w:space="0" w:color="auto"/>
                        <w:bottom w:val="none" w:sz="0" w:space="0" w:color="auto"/>
                        <w:right w:val="none" w:sz="0" w:space="0" w:color="auto"/>
                      </w:divBdr>
                    </w:div>
                  </w:divsChild>
                </w:div>
                <w:div w:id="516770249">
                  <w:marLeft w:val="0"/>
                  <w:marRight w:val="0"/>
                  <w:marTop w:val="0"/>
                  <w:marBottom w:val="0"/>
                  <w:divBdr>
                    <w:top w:val="none" w:sz="0" w:space="0" w:color="auto"/>
                    <w:left w:val="none" w:sz="0" w:space="0" w:color="auto"/>
                    <w:bottom w:val="none" w:sz="0" w:space="0" w:color="auto"/>
                    <w:right w:val="none" w:sz="0" w:space="0" w:color="auto"/>
                  </w:divBdr>
                  <w:divsChild>
                    <w:div w:id="3630675">
                      <w:marLeft w:val="0"/>
                      <w:marRight w:val="0"/>
                      <w:marTop w:val="0"/>
                      <w:marBottom w:val="0"/>
                      <w:divBdr>
                        <w:top w:val="none" w:sz="0" w:space="0" w:color="auto"/>
                        <w:left w:val="none" w:sz="0" w:space="0" w:color="auto"/>
                        <w:bottom w:val="none" w:sz="0" w:space="0" w:color="auto"/>
                        <w:right w:val="none" w:sz="0" w:space="0" w:color="auto"/>
                      </w:divBdr>
                    </w:div>
                  </w:divsChild>
                </w:div>
                <w:div w:id="531235998">
                  <w:marLeft w:val="0"/>
                  <w:marRight w:val="0"/>
                  <w:marTop w:val="0"/>
                  <w:marBottom w:val="0"/>
                  <w:divBdr>
                    <w:top w:val="none" w:sz="0" w:space="0" w:color="auto"/>
                    <w:left w:val="none" w:sz="0" w:space="0" w:color="auto"/>
                    <w:bottom w:val="none" w:sz="0" w:space="0" w:color="auto"/>
                    <w:right w:val="none" w:sz="0" w:space="0" w:color="auto"/>
                  </w:divBdr>
                  <w:divsChild>
                    <w:div w:id="1953508359">
                      <w:marLeft w:val="0"/>
                      <w:marRight w:val="0"/>
                      <w:marTop w:val="0"/>
                      <w:marBottom w:val="0"/>
                      <w:divBdr>
                        <w:top w:val="none" w:sz="0" w:space="0" w:color="auto"/>
                        <w:left w:val="none" w:sz="0" w:space="0" w:color="auto"/>
                        <w:bottom w:val="none" w:sz="0" w:space="0" w:color="auto"/>
                        <w:right w:val="none" w:sz="0" w:space="0" w:color="auto"/>
                      </w:divBdr>
                    </w:div>
                  </w:divsChild>
                </w:div>
                <w:div w:id="546450069">
                  <w:marLeft w:val="0"/>
                  <w:marRight w:val="0"/>
                  <w:marTop w:val="0"/>
                  <w:marBottom w:val="0"/>
                  <w:divBdr>
                    <w:top w:val="none" w:sz="0" w:space="0" w:color="auto"/>
                    <w:left w:val="none" w:sz="0" w:space="0" w:color="auto"/>
                    <w:bottom w:val="none" w:sz="0" w:space="0" w:color="auto"/>
                    <w:right w:val="none" w:sz="0" w:space="0" w:color="auto"/>
                  </w:divBdr>
                  <w:divsChild>
                    <w:div w:id="24988121">
                      <w:marLeft w:val="0"/>
                      <w:marRight w:val="0"/>
                      <w:marTop w:val="0"/>
                      <w:marBottom w:val="0"/>
                      <w:divBdr>
                        <w:top w:val="none" w:sz="0" w:space="0" w:color="auto"/>
                        <w:left w:val="none" w:sz="0" w:space="0" w:color="auto"/>
                        <w:bottom w:val="none" w:sz="0" w:space="0" w:color="auto"/>
                        <w:right w:val="none" w:sz="0" w:space="0" w:color="auto"/>
                      </w:divBdr>
                    </w:div>
                  </w:divsChild>
                </w:div>
                <w:div w:id="571350548">
                  <w:marLeft w:val="0"/>
                  <w:marRight w:val="0"/>
                  <w:marTop w:val="0"/>
                  <w:marBottom w:val="0"/>
                  <w:divBdr>
                    <w:top w:val="none" w:sz="0" w:space="0" w:color="auto"/>
                    <w:left w:val="none" w:sz="0" w:space="0" w:color="auto"/>
                    <w:bottom w:val="none" w:sz="0" w:space="0" w:color="auto"/>
                    <w:right w:val="none" w:sz="0" w:space="0" w:color="auto"/>
                  </w:divBdr>
                  <w:divsChild>
                    <w:div w:id="250822604">
                      <w:marLeft w:val="0"/>
                      <w:marRight w:val="0"/>
                      <w:marTop w:val="0"/>
                      <w:marBottom w:val="0"/>
                      <w:divBdr>
                        <w:top w:val="none" w:sz="0" w:space="0" w:color="auto"/>
                        <w:left w:val="none" w:sz="0" w:space="0" w:color="auto"/>
                        <w:bottom w:val="none" w:sz="0" w:space="0" w:color="auto"/>
                        <w:right w:val="none" w:sz="0" w:space="0" w:color="auto"/>
                      </w:divBdr>
                    </w:div>
                  </w:divsChild>
                </w:div>
                <w:div w:id="574703555">
                  <w:marLeft w:val="0"/>
                  <w:marRight w:val="0"/>
                  <w:marTop w:val="0"/>
                  <w:marBottom w:val="0"/>
                  <w:divBdr>
                    <w:top w:val="none" w:sz="0" w:space="0" w:color="auto"/>
                    <w:left w:val="none" w:sz="0" w:space="0" w:color="auto"/>
                    <w:bottom w:val="none" w:sz="0" w:space="0" w:color="auto"/>
                    <w:right w:val="none" w:sz="0" w:space="0" w:color="auto"/>
                  </w:divBdr>
                  <w:divsChild>
                    <w:div w:id="1017193155">
                      <w:marLeft w:val="0"/>
                      <w:marRight w:val="0"/>
                      <w:marTop w:val="0"/>
                      <w:marBottom w:val="0"/>
                      <w:divBdr>
                        <w:top w:val="none" w:sz="0" w:space="0" w:color="auto"/>
                        <w:left w:val="none" w:sz="0" w:space="0" w:color="auto"/>
                        <w:bottom w:val="none" w:sz="0" w:space="0" w:color="auto"/>
                        <w:right w:val="none" w:sz="0" w:space="0" w:color="auto"/>
                      </w:divBdr>
                    </w:div>
                  </w:divsChild>
                </w:div>
                <w:div w:id="586814567">
                  <w:marLeft w:val="0"/>
                  <w:marRight w:val="0"/>
                  <w:marTop w:val="0"/>
                  <w:marBottom w:val="0"/>
                  <w:divBdr>
                    <w:top w:val="none" w:sz="0" w:space="0" w:color="auto"/>
                    <w:left w:val="none" w:sz="0" w:space="0" w:color="auto"/>
                    <w:bottom w:val="none" w:sz="0" w:space="0" w:color="auto"/>
                    <w:right w:val="none" w:sz="0" w:space="0" w:color="auto"/>
                  </w:divBdr>
                  <w:divsChild>
                    <w:div w:id="1798796557">
                      <w:marLeft w:val="0"/>
                      <w:marRight w:val="0"/>
                      <w:marTop w:val="0"/>
                      <w:marBottom w:val="0"/>
                      <w:divBdr>
                        <w:top w:val="none" w:sz="0" w:space="0" w:color="auto"/>
                        <w:left w:val="none" w:sz="0" w:space="0" w:color="auto"/>
                        <w:bottom w:val="none" w:sz="0" w:space="0" w:color="auto"/>
                        <w:right w:val="none" w:sz="0" w:space="0" w:color="auto"/>
                      </w:divBdr>
                    </w:div>
                  </w:divsChild>
                </w:div>
                <w:div w:id="617641793">
                  <w:marLeft w:val="0"/>
                  <w:marRight w:val="0"/>
                  <w:marTop w:val="0"/>
                  <w:marBottom w:val="0"/>
                  <w:divBdr>
                    <w:top w:val="none" w:sz="0" w:space="0" w:color="auto"/>
                    <w:left w:val="none" w:sz="0" w:space="0" w:color="auto"/>
                    <w:bottom w:val="none" w:sz="0" w:space="0" w:color="auto"/>
                    <w:right w:val="none" w:sz="0" w:space="0" w:color="auto"/>
                  </w:divBdr>
                  <w:divsChild>
                    <w:div w:id="239681271">
                      <w:marLeft w:val="0"/>
                      <w:marRight w:val="0"/>
                      <w:marTop w:val="0"/>
                      <w:marBottom w:val="0"/>
                      <w:divBdr>
                        <w:top w:val="none" w:sz="0" w:space="0" w:color="auto"/>
                        <w:left w:val="none" w:sz="0" w:space="0" w:color="auto"/>
                        <w:bottom w:val="none" w:sz="0" w:space="0" w:color="auto"/>
                        <w:right w:val="none" w:sz="0" w:space="0" w:color="auto"/>
                      </w:divBdr>
                    </w:div>
                  </w:divsChild>
                </w:div>
                <w:div w:id="638658280">
                  <w:marLeft w:val="0"/>
                  <w:marRight w:val="0"/>
                  <w:marTop w:val="0"/>
                  <w:marBottom w:val="0"/>
                  <w:divBdr>
                    <w:top w:val="none" w:sz="0" w:space="0" w:color="auto"/>
                    <w:left w:val="none" w:sz="0" w:space="0" w:color="auto"/>
                    <w:bottom w:val="none" w:sz="0" w:space="0" w:color="auto"/>
                    <w:right w:val="none" w:sz="0" w:space="0" w:color="auto"/>
                  </w:divBdr>
                  <w:divsChild>
                    <w:div w:id="1299067515">
                      <w:marLeft w:val="0"/>
                      <w:marRight w:val="0"/>
                      <w:marTop w:val="0"/>
                      <w:marBottom w:val="0"/>
                      <w:divBdr>
                        <w:top w:val="none" w:sz="0" w:space="0" w:color="auto"/>
                        <w:left w:val="none" w:sz="0" w:space="0" w:color="auto"/>
                        <w:bottom w:val="none" w:sz="0" w:space="0" w:color="auto"/>
                        <w:right w:val="none" w:sz="0" w:space="0" w:color="auto"/>
                      </w:divBdr>
                    </w:div>
                  </w:divsChild>
                </w:div>
                <w:div w:id="644434121">
                  <w:marLeft w:val="0"/>
                  <w:marRight w:val="0"/>
                  <w:marTop w:val="0"/>
                  <w:marBottom w:val="0"/>
                  <w:divBdr>
                    <w:top w:val="none" w:sz="0" w:space="0" w:color="auto"/>
                    <w:left w:val="none" w:sz="0" w:space="0" w:color="auto"/>
                    <w:bottom w:val="none" w:sz="0" w:space="0" w:color="auto"/>
                    <w:right w:val="none" w:sz="0" w:space="0" w:color="auto"/>
                  </w:divBdr>
                  <w:divsChild>
                    <w:div w:id="1987082883">
                      <w:marLeft w:val="0"/>
                      <w:marRight w:val="0"/>
                      <w:marTop w:val="0"/>
                      <w:marBottom w:val="0"/>
                      <w:divBdr>
                        <w:top w:val="none" w:sz="0" w:space="0" w:color="auto"/>
                        <w:left w:val="none" w:sz="0" w:space="0" w:color="auto"/>
                        <w:bottom w:val="none" w:sz="0" w:space="0" w:color="auto"/>
                        <w:right w:val="none" w:sz="0" w:space="0" w:color="auto"/>
                      </w:divBdr>
                    </w:div>
                  </w:divsChild>
                </w:div>
                <w:div w:id="657537088">
                  <w:marLeft w:val="0"/>
                  <w:marRight w:val="0"/>
                  <w:marTop w:val="0"/>
                  <w:marBottom w:val="0"/>
                  <w:divBdr>
                    <w:top w:val="none" w:sz="0" w:space="0" w:color="auto"/>
                    <w:left w:val="none" w:sz="0" w:space="0" w:color="auto"/>
                    <w:bottom w:val="none" w:sz="0" w:space="0" w:color="auto"/>
                    <w:right w:val="none" w:sz="0" w:space="0" w:color="auto"/>
                  </w:divBdr>
                  <w:divsChild>
                    <w:div w:id="1270969360">
                      <w:marLeft w:val="0"/>
                      <w:marRight w:val="0"/>
                      <w:marTop w:val="0"/>
                      <w:marBottom w:val="0"/>
                      <w:divBdr>
                        <w:top w:val="none" w:sz="0" w:space="0" w:color="auto"/>
                        <w:left w:val="none" w:sz="0" w:space="0" w:color="auto"/>
                        <w:bottom w:val="none" w:sz="0" w:space="0" w:color="auto"/>
                        <w:right w:val="none" w:sz="0" w:space="0" w:color="auto"/>
                      </w:divBdr>
                    </w:div>
                  </w:divsChild>
                </w:div>
                <w:div w:id="678578333">
                  <w:marLeft w:val="0"/>
                  <w:marRight w:val="0"/>
                  <w:marTop w:val="0"/>
                  <w:marBottom w:val="0"/>
                  <w:divBdr>
                    <w:top w:val="none" w:sz="0" w:space="0" w:color="auto"/>
                    <w:left w:val="none" w:sz="0" w:space="0" w:color="auto"/>
                    <w:bottom w:val="none" w:sz="0" w:space="0" w:color="auto"/>
                    <w:right w:val="none" w:sz="0" w:space="0" w:color="auto"/>
                  </w:divBdr>
                  <w:divsChild>
                    <w:div w:id="1761752816">
                      <w:marLeft w:val="0"/>
                      <w:marRight w:val="0"/>
                      <w:marTop w:val="0"/>
                      <w:marBottom w:val="0"/>
                      <w:divBdr>
                        <w:top w:val="none" w:sz="0" w:space="0" w:color="auto"/>
                        <w:left w:val="none" w:sz="0" w:space="0" w:color="auto"/>
                        <w:bottom w:val="none" w:sz="0" w:space="0" w:color="auto"/>
                        <w:right w:val="none" w:sz="0" w:space="0" w:color="auto"/>
                      </w:divBdr>
                    </w:div>
                  </w:divsChild>
                </w:div>
                <w:div w:id="687098902">
                  <w:marLeft w:val="0"/>
                  <w:marRight w:val="0"/>
                  <w:marTop w:val="0"/>
                  <w:marBottom w:val="0"/>
                  <w:divBdr>
                    <w:top w:val="none" w:sz="0" w:space="0" w:color="auto"/>
                    <w:left w:val="none" w:sz="0" w:space="0" w:color="auto"/>
                    <w:bottom w:val="none" w:sz="0" w:space="0" w:color="auto"/>
                    <w:right w:val="none" w:sz="0" w:space="0" w:color="auto"/>
                  </w:divBdr>
                  <w:divsChild>
                    <w:div w:id="1259292067">
                      <w:marLeft w:val="0"/>
                      <w:marRight w:val="0"/>
                      <w:marTop w:val="0"/>
                      <w:marBottom w:val="0"/>
                      <w:divBdr>
                        <w:top w:val="none" w:sz="0" w:space="0" w:color="auto"/>
                        <w:left w:val="none" w:sz="0" w:space="0" w:color="auto"/>
                        <w:bottom w:val="none" w:sz="0" w:space="0" w:color="auto"/>
                        <w:right w:val="none" w:sz="0" w:space="0" w:color="auto"/>
                      </w:divBdr>
                    </w:div>
                  </w:divsChild>
                </w:div>
                <w:div w:id="700015902">
                  <w:marLeft w:val="0"/>
                  <w:marRight w:val="0"/>
                  <w:marTop w:val="0"/>
                  <w:marBottom w:val="0"/>
                  <w:divBdr>
                    <w:top w:val="none" w:sz="0" w:space="0" w:color="auto"/>
                    <w:left w:val="none" w:sz="0" w:space="0" w:color="auto"/>
                    <w:bottom w:val="none" w:sz="0" w:space="0" w:color="auto"/>
                    <w:right w:val="none" w:sz="0" w:space="0" w:color="auto"/>
                  </w:divBdr>
                  <w:divsChild>
                    <w:div w:id="460924952">
                      <w:marLeft w:val="0"/>
                      <w:marRight w:val="0"/>
                      <w:marTop w:val="0"/>
                      <w:marBottom w:val="0"/>
                      <w:divBdr>
                        <w:top w:val="none" w:sz="0" w:space="0" w:color="auto"/>
                        <w:left w:val="none" w:sz="0" w:space="0" w:color="auto"/>
                        <w:bottom w:val="none" w:sz="0" w:space="0" w:color="auto"/>
                        <w:right w:val="none" w:sz="0" w:space="0" w:color="auto"/>
                      </w:divBdr>
                    </w:div>
                  </w:divsChild>
                </w:div>
                <w:div w:id="726146142">
                  <w:marLeft w:val="0"/>
                  <w:marRight w:val="0"/>
                  <w:marTop w:val="0"/>
                  <w:marBottom w:val="0"/>
                  <w:divBdr>
                    <w:top w:val="none" w:sz="0" w:space="0" w:color="auto"/>
                    <w:left w:val="none" w:sz="0" w:space="0" w:color="auto"/>
                    <w:bottom w:val="none" w:sz="0" w:space="0" w:color="auto"/>
                    <w:right w:val="none" w:sz="0" w:space="0" w:color="auto"/>
                  </w:divBdr>
                  <w:divsChild>
                    <w:div w:id="137261258">
                      <w:marLeft w:val="0"/>
                      <w:marRight w:val="0"/>
                      <w:marTop w:val="0"/>
                      <w:marBottom w:val="0"/>
                      <w:divBdr>
                        <w:top w:val="none" w:sz="0" w:space="0" w:color="auto"/>
                        <w:left w:val="none" w:sz="0" w:space="0" w:color="auto"/>
                        <w:bottom w:val="none" w:sz="0" w:space="0" w:color="auto"/>
                        <w:right w:val="none" w:sz="0" w:space="0" w:color="auto"/>
                      </w:divBdr>
                    </w:div>
                  </w:divsChild>
                </w:div>
                <w:div w:id="759300295">
                  <w:marLeft w:val="0"/>
                  <w:marRight w:val="0"/>
                  <w:marTop w:val="0"/>
                  <w:marBottom w:val="0"/>
                  <w:divBdr>
                    <w:top w:val="none" w:sz="0" w:space="0" w:color="auto"/>
                    <w:left w:val="none" w:sz="0" w:space="0" w:color="auto"/>
                    <w:bottom w:val="none" w:sz="0" w:space="0" w:color="auto"/>
                    <w:right w:val="none" w:sz="0" w:space="0" w:color="auto"/>
                  </w:divBdr>
                  <w:divsChild>
                    <w:div w:id="1149710414">
                      <w:marLeft w:val="0"/>
                      <w:marRight w:val="0"/>
                      <w:marTop w:val="0"/>
                      <w:marBottom w:val="0"/>
                      <w:divBdr>
                        <w:top w:val="none" w:sz="0" w:space="0" w:color="auto"/>
                        <w:left w:val="none" w:sz="0" w:space="0" w:color="auto"/>
                        <w:bottom w:val="none" w:sz="0" w:space="0" w:color="auto"/>
                        <w:right w:val="none" w:sz="0" w:space="0" w:color="auto"/>
                      </w:divBdr>
                    </w:div>
                  </w:divsChild>
                </w:div>
                <w:div w:id="773088513">
                  <w:marLeft w:val="0"/>
                  <w:marRight w:val="0"/>
                  <w:marTop w:val="0"/>
                  <w:marBottom w:val="0"/>
                  <w:divBdr>
                    <w:top w:val="none" w:sz="0" w:space="0" w:color="auto"/>
                    <w:left w:val="none" w:sz="0" w:space="0" w:color="auto"/>
                    <w:bottom w:val="none" w:sz="0" w:space="0" w:color="auto"/>
                    <w:right w:val="none" w:sz="0" w:space="0" w:color="auto"/>
                  </w:divBdr>
                  <w:divsChild>
                    <w:div w:id="1151559712">
                      <w:marLeft w:val="0"/>
                      <w:marRight w:val="0"/>
                      <w:marTop w:val="0"/>
                      <w:marBottom w:val="0"/>
                      <w:divBdr>
                        <w:top w:val="none" w:sz="0" w:space="0" w:color="auto"/>
                        <w:left w:val="none" w:sz="0" w:space="0" w:color="auto"/>
                        <w:bottom w:val="none" w:sz="0" w:space="0" w:color="auto"/>
                        <w:right w:val="none" w:sz="0" w:space="0" w:color="auto"/>
                      </w:divBdr>
                    </w:div>
                  </w:divsChild>
                </w:div>
                <w:div w:id="780876657">
                  <w:marLeft w:val="0"/>
                  <w:marRight w:val="0"/>
                  <w:marTop w:val="0"/>
                  <w:marBottom w:val="0"/>
                  <w:divBdr>
                    <w:top w:val="none" w:sz="0" w:space="0" w:color="auto"/>
                    <w:left w:val="none" w:sz="0" w:space="0" w:color="auto"/>
                    <w:bottom w:val="none" w:sz="0" w:space="0" w:color="auto"/>
                    <w:right w:val="none" w:sz="0" w:space="0" w:color="auto"/>
                  </w:divBdr>
                  <w:divsChild>
                    <w:div w:id="1102073322">
                      <w:marLeft w:val="0"/>
                      <w:marRight w:val="0"/>
                      <w:marTop w:val="0"/>
                      <w:marBottom w:val="0"/>
                      <w:divBdr>
                        <w:top w:val="none" w:sz="0" w:space="0" w:color="auto"/>
                        <w:left w:val="none" w:sz="0" w:space="0" w:color="auto"/>
                        <w:bottom w:val="none" w:sz="0" w:space="0" w:color="auto"/>
                        <w:right w:val="none" w:sz="0" w:space="0" w:color="auto"/>
                      </w:divBdr>
                    </w:div>
                  </w:divsChild>
                </w:div>
                <w:div w:id="781001280">
                  <w:marLeft w:val="0"/>
                  <w:marRight w:val="0"/>
                  <w:marTop w:val="0"/>
                  <w:marBottom w:val="0"/>
                  <w:divBdr>
                    <w:top w:val="none" w:sz="0" w:space="0" w:color="auto"/>
                    <w:left w:val="none" w:sz="0" w:space="0" w:color="auto"/>
                    <w:bottom w:val="none" w:sz="0" w:space="0" w:color="auto"/>
                    <w:right w:val="none" w:sz="0" w:space="0" w:color="auto"/>
                  </w:divBdr>
                  <w:divsChild>
                    <w:div w:id="810485935">
                      <w:marLeft w:val="0"/>
                      <w:marRight w:val="0"/>
                      <w:marTop w:val="0"/>
                      <w:marBottom w:val="0"/>
                      <w:divBdr>
                        <w:top w:val="none" w:sz="0" w:space="0" w:color="auto"/>
                        <w:left w:val="none" w:sz="0" w:space="0" w:color="auto"/>
                        <w:bottom w:val="none" w:sz="0" w:space="0" w:color="auto"/>
                        <w:right w:val="none" w:sz="0" w:space="0" w:color="auto"/>
                      </w:divBdr>
                    </w:div>
                  </w:divsChild>
                </w:div>
                <w:div w:id="785656583">
                  <w:marLeft w:val="0"/>
                  <w:marRight w:val="0"/>
                  <w:marTop w:val="0"/>
                  <w:marBottom w:val="0"/>
                  <w:divBdr>
                    <w:top w:val="none" w:sz="0" w:space="0" w:color="auto"/>
                    <w:left w:val="none" w:sz="0" w:space="0" w:color="auto"/>
                    <w:bottom w:val="none" w:sz="0" w:space="0" w:color="auto"/>
                    <w:right w:val="none" w:sz="0" w:space="0" w:color="auto"/>
                  </w:divBdr>
                  <w:divsChild>
                    <w:div w:id="2012682586">
                      <w:marLeft w:val="0"/>
                      <w:marRight w:val="0"/>
                      <w:marTop w:val="0"/>
                      <w:marBottom w:val="0"/>
                      <w:divBdr>
                        <w:top w:val="none" w:sz="0" w:space="0" w:color="auto"/>
                        <w:left w:val="none" w:sz="0" w:space="0" w:color="auto"/>
                        <w:bottom w:val="none" w:sz="0" w:space="0" w:color="auto"/>
                        <w:right w:val="none" w:sz="0" w:space="0" w:color="auto"/>
                      </w:divBdr>
                    </w:div>
                  </w:divsChild>
                </w:div>
                <w:div w:id="791947839">
                  <w:marLeft w:val="0"/>
                  <w:marRight w:val="0"/>
                  <w:marTop w:val="0"/>
                  <w:marBottom w:val="0"/>
                  <w:divBdr>
                    <w:top w:val="none" w:sz="0" w:space="0" w:color="auto"/>
                    <w:left w:val="none" w:sz="0" w:space="0" w:color="auto"/>
                    <w:bottom w:val="none" w:sz="0" w:space="0" w:color="auto"/>
                    <w:right w:val="none" w:sz="0" w:space="0" w:color="auto"/>
                  </w:divBdr>
                  <w:divsChild>
                    <w:div w:id="908616525">
                      <w:marLeft w:val="0"/>
                      <w:marRight w:val="0"/>
                      <w:marTop w:val="0"/>
                      <w:marBottom w:val="0"/>
                      <w:divBdr>
                        <w:top w:val="none" w:sz="0" w:space="0" w:color="auto"/>
                        <w:left w:val="none" w:sz="0" w:space="0" w:color="auto"/>
                        <w:bottom w:val="none" w:sz="0" w:space="0" w:color="auto"/>
                        <w:right w:val="none" w:sz="0" w:space="0" w:color="auto"/>
                      </w:divBdr>
                    </w:div>
                  </w:divsChild>
                </w:div>
                <w:div w:id="820777363">
                  <w:marLeft w:val="0"/>
                  <w:marRight w:val="0"/>
                  <w:marTop w:val="0"/>
                  <w:marBottom w:val="0"/>
                  <w:divBdr>
                    <w:top w:val="none" w:sz="0" w:space="0" w:color="auto"/>
                    <w:left w:val="none" w:sz="0" w:space="0" w:color="auto"/>
                    <w:bottom w:val="none" w:sz="0" w:space="0" w:color="auto"/>
                    <w:right w:val="none" w:sz="0" w:space="0" w:color="auto"/>
                  </w:divBdr>
                  <w:divsChild>
                    <w:div w:id="1203785581">
                      <w:marLeft w:val="0"/>
                      <w:marRight w:val="0"/>
                      <w:marTop w:val="0"/>
                      <w:marBottom w:val="0"/>
                      <w:divBdr>
                        <w:top w:val="none" w:sz="0" w:space="0" w:color="auto"/>
                        <w:left w:val="none" w:sz="0" w:space="0" w:color="auto"/>
                        <w:bottom w:val="none" w:sz="0" w:space="0" w:color="auto"/>
                        <w:right w:val="none" w:sz="0" w:space="0" w:color="auto"/>
                      </w:divBdr>
                    </w:div>
                  </w:divsChild>
                </w:div>
                <w:div w:id="828329128">
                  <w:marLeft w:val="0"/>
                  <w:marRight w:val="0"/>
                  <w:marTop w:val="0"/>
                  <w:marBottom w:val="0"/>
                  <w:divBdr>
                    <w:top w:val="none" w:sz="0" w:space="0" w:color="auto"/>
                    <w:left w:val="none" w:sz="0" w:space="0" w:color="auto"/>
                    <w:bottom w:val="none" w:sz="0" w:space="0" w:color="auto"/>
                    <w:right w:val="none" w:sz="0" w:space="0" w:color="auto"/>
                  </w:divBdr>
                  <w:divsChild>
                    <w:div w:id="1318144513">
                      <w:marLeft w:val="0"/>
                      <w:marRight w:val="0"/>
                      <w:marTop w:val="0"/>
                      <w:marBottom w:val="0"/>
                      <w:divBdr>
                        <w:top w:val="none" w:sz="0" w:space="0" w:color="auto"/>
                        <w:left w:val="none" w:sz="0" w:space="0" w:color="auto"/>
                        <w:bottom w:val="none" w:sz="0" w:space="0" w:color="auto"/>
                        <w:right w:val="none" w:sz="0" w:space="0" w:color="auto"/>
                      </w:divBdr>
                    </w:div>
                  </w:divsChild>
                </w:div>
                <w:div w:id="831917699">
                  <w:marLeft w:val="0"/>
                  <w:marRight w:val="0"/>
                  <w:marTop w:val="0"/>
                  <w:marBottom w:val="0"/>
                  <w:divBdr>
                    <w:top w:val="none" w:sz="0" w:space="0" w:color="auto"/>
                    <w:left w:val="none" w:sz="0" w:space="0" w:color="auto"/>
                    <w:bottom w:val="none" w:sz="0" w:space="0" w:color="auto"/>
                    <w:right w:val="none" w:sz="0" w:space="0" w:color="auto"/>
                  </w:divBdr>
                  <w:divsChild>
                    <w:div w:id="693726110">
                      <w:marLeft w:val="0"/>
                      <w:marRight w:val="0"/>
                      <w:marTop w:val="0"/>
                      <w:marBottom w:val="0"/>
                      <w:divBdr>
                        <w:top w:val="none" w:sz="0" w:space="0" w:color="auto"/>
                        <w:left w:val="none" w:sz="0" w:space="0" w:color="auto"/>
                        <w:bottom w:val="none" w:sz="0" w:space="0" w:color="auto"/>
                        <w:right w:val="none" w:sz="0" w:space="0" w:color="auto"/>
                      </w:divBdr>
                    </w:div>
                  </w:divsChild>
                </w:div>
                <w:div w:id="851189194">
                  <w:marLeft w:val="0"/>
                  <w:marRight w:val="0"/>
                  <w:marTop w:val="0"/>
                  <w:marBottom w:val="0"/>
                  <w:divBdr>
                    <w:top w:val="none" w:sz="0" w:space="0" w:color="auto"/>
                    <w:left w:val="none" w:sz="0" w:space="0" w:color="auto"/>
                    <w:bottom w:val="none" w:sz="0" w:space="0" w:color="auto"/>
                    <w:right w:val="none" w:sz="0" w:space="0" w:color="auto"/>
                  </w:divBdr>
                  <w:divsChild>
                    <w:div w:id="51347359">
                      <w:marLeft w:val="0"/>
                      <w:marRight w:val="0"/>
                      <w:marTop w:val="0"/>
                      <w:marBottom w:val="0"/>
                      <w:divBdr>
                        <w:top w:val="none" w:sz="0" w:space="0" w:color="auto"/>
                        <w:left w:val="none" w:sz="0" w:space="0" w:color="auto"/>
                        <w:bottom w:val="none" w:sz="0" w:space="0" w:color="auto"/>
                        <w:right w:val="none" w:sz="0" w:space="0" w:color="auto"/>
                      </w:divBdr>
                    </w:div>
                  </w:divsChild>
                </w:div>
                <w:div w:id="874734548">
                  <w:marLeft w:val="0"/>
                  <w:marRight w:val="0"/>
                  <w:marTop w:val="0"/>
                  <w:marBottom w:val="0"/>
                  <w:divBdr>
                    <w:top w:val="none" w:sz="0" w:space="0" w:color="auto"/>
                    <w:left w:val="none" w:sz="0" w:space="0" w:color="auto"/>
                    <w:bottom w:val="none" w:sz="0" w:space="0" w:color="auto"/>
                    <w:right w:val="none" w:sz="0" w:space="0" w:color="auto"/>
                  </w:divBdr>
                  <w:divsChild>
                    <w:div w:id="1274437940">
                      <w:marLeft w:val="0"/>
                      <w:marRight w:val="0"/>
                      <w:marTop w:val="0"/>
                      <w:marBottom w:val="0"/>
                      <w:divBdr>
                        <w:top w:val="none" w:sz="0" w:space="0" w:color="auto"/>
                        <w:left w:val="none" w:sz="0" w:space="0" w:color="auto"/>
                        <w:bottom w:val="none" w:sz="0" w:space="0" w:color="auto"/>
                        <w:right w:val="none" w:sz="0" w:space="0" w:color="auto"/>
                      </w:divBdr>
                    </w:div>
                  </w:divsChild>
                </w:div>
                <w:div w:id="875854430">
                  <w:marLeft w:val="0"/>
                  <w:marRight w:val="0"/>
                  <w:marTop w:val="0"/>
                  <w:marBottom w:val="0"/>
                  <w:divBdr>
                    <w:top w:val="none" w:sz="0" w:space="0" w:color="auto"/>
                    <w:left w:val="none" w:sz="0" w:space="0" w:color="auto"/>
                    <w:bottom w:val="none" w:sz="0" w:space="0" w:color="auto"/>
                    <w:right w:val="none" w:sz="0" w:space="0" w:color="auto"/>
                  </w:divBdr>
                  <w:divsChild>
                    <w:div w:id="1757945793">
                      <w:marLeft w:val="0"/>
                      <w:marRight w:val="0"/>
                      <w:marTop w:val="0"/>
                      <w:marBottom w:val="0"/>
                      <w:divBdr>
                        <w:top w:val="none" w:sz="0" w:space="0" w:color="auto"/>
                        <w:left w:val="none" w:sz="0" w:space="0" w:color="auto"/>
                        <w:bottom w:val="none" w:sz="0" w:space="0" w:color="auto"/>
                        <w:right w:val="none" w:sz="0" w:space="0" w:color="auto"/>
                      </w:divBdr>
                    </w:div>
                  </w:divsChild>
                </w:div>
                <w:div w:id="904728468">
                  <w:marLeft w:val="0"/>
                  <w:marRight w:val="0"/>
                  <w:marTop w:val="0"/>
                  <w:marBottom w:val="0"/>
                  <w:divBdr>
                    <w:top w:val="none" w:sz="0" w:space="0" w:color="auto"/>
                    <w:left w:val="none" w:sz="0" w:space="0" w:color="auto"/>
                    <w:bottom w:val="none" w:sz="0" w:space="0" w:color="auto"/>
                    <w:right w:val="none" w:sz="0" w:space="0" w:color="auto"/>
                  </w:divBdr>
                  <w:divsChild>
                    <w:div w:id="498039474">
                      <w:marLeft w:val="0"/>
                      <w:marRight w:val="0"/>
                      <w:marTop w:val="0"/>
                      <w:marBottom w:val="0"/>
                      <w:divBdr>
                        <w:top w:val="none" w:sz="0" w:space="0" w:color="auto"/>
                        <w:left w:val="none" w:sz="0" w:space="0" w:color="auto"/>
                        <w:bottom w:val="none" w:sz="0" w:space="0" w:color="auto"/>
                        <w:right w:val="none" w:sz="0" w:space="0" w:color="auto"/>
                      </w:divBdr>
                    </w:div>
                  </w:divsChild>
                </w:div>
                <w:div w:id="918832185">
                  <w:marLeft w:val="0"/>
                  <w:marRight w:val="0"/>
                  <w:marTop w:val="0"/>
                  <w:marBottom w:val="0"/>
                  <w:divBdr>
                    <w:top w:val="none" w:sz="0" w:space="0" w:color="auto"/>
                    <w:left w:val="none" w:sz="0" w:space="0" w:color="auto"/>
                    <w:bottom w:val="none" w:sz="0" w:space="0" w:color="auto"/>
                    <w:right w:val="none" w:sz="0" w:space="0" w:color="auto"/>
                  </w:divBdr>
                  <w:divsChild>
                    <w:div w:id="1078553866">
                      <w:marLeft w:val="0"/>
                      <w:marRight w:val="0"/>
                      <w:marTop w:val="0"/>
                      <w:marBottom w:val="0"/>
                      <w:divBdr>
                        <w:top w:val="none" w:sz="0" w:space="0" w:color="auto"/>
                        <w:left w:val="none" w:sz="0" w:space="0" w:color="auto"/>
                        <w:bottom w:val="none" w:sz="0" w:space="0" w:color="auto"/>
                        <w:right w:val="none" w:sz="0" w:space="0" w:color="auto"/>
                      </w:divBdr>
                    </w:div>
                  </w:divsChild>
                </w:div>
                <w:div w:id="947277536">
                  <w:marLeft w:val="0"/>
                  <w:marRight w:val="0"/>
                  <w:marTop w:val="0"/>
                  <w:marBottom w:val="0"/>
                  <w:divBdr>
                    <w:top w:val="none" w:sz="0" w:space="0" w:color="auto"/>
                    <w:left w:val="none" w:sz="0" w:space="0" w:color="auto"/>
                    <w:bottom w:val="none" w:sz="0" w:space="0" w:color="auto"/>
                    <w:right w:val="none" w:sz="0" w:space="0" w:color="auto"/>
                  </w:divBdr>
                  <w:divsChild>
                    <w:div w:id="1393962752">
                      <w:marLeft w:val="0"/>
                      <w:marRight w:val="0"/>
                      <w:marTop w:val="0"/>
                      <w:marBottom w:val="0"/>
                      <w:divBdr>
                        <w:top w:val="none" w:sz="0" w:space="0" w:color="auto"/>
                        <w:left w:val="none" w:sz="0" w:space="0" w:color="auto"/>
                        <w:bottom w:val="none" w:sz="0" w:space="0" w:color="auto"/>
                        <w:right w:val="none" w:sz="0" w:space="0" w:color="auto"/>
                      </w:divBdr>
                    </w:div>
                  </w:divsChild>
                </w:div>
                <w:div w:id="961114982">
                  <w:marLeft w:val="0"/>
                  <w:marRight w:val="0"/>
                  <w:marTop w:val="0"/>
                  <w:marBottom w:val="0"/>
                  <w:divBdr>
                    <w:top w:val="none" w:sz="0" w:space="0" w:color="auto"/>
                    <w:left w:val="none" w:sz="0" w:space="0" w:color="auto"/>
                    <w:bottom w:val="none" w:sz="0" w:space="0" w:color="auto"/>
                    <w:right w:val="none" w:sz="0" w:space="0" w:color="auto"/>
                  </w:divBdr>
                  <w:divsChild>
                    <w:div w:id="67072953">
                      <w:marLeft w:val="0"/>
                      <w:marRight w:val="0"/>
                      <w:marTop w:val="0"/>
                      <w:marBottom w:val="0"/>
                      <w:divBdr>
                        <w:top w:val="none" w:sz="0" w:space="0" w:color="auto"/>
                        <w:left w:val="none" w:sz="0" w:space="0" w:color="auto"/>
                        <w:bottom w:val="none" w:sz="0" w:space="0" w:color="auto"/>
                        <w:right w:val="none" w:sz="0" w:space="0" w:color="auto"/>
                      </w:divBdr>
                    </w:div>
                  </w:divsChild>
                </w:div>
                <w:div w:id="961571518">
                  <w:marLeft w:val="0"/>
                  <w:marRight w:val="0"/>
                  <w:marTop w:val="0"/>
                  <w:marBottom w:val="0"/>
                  <w:divBdr>
                    <w:top w:val="none" w:sz="0" w:space="0" w:color="auto"/>
                    <w:left w:val="none" w:sz="0" w:space="0" w:color="auto"/>
                    <w:bottom w:val="none" w:sz="0" w:space="0" w:color="auto"/>
                    <w:right w:val="none" w:sz="0" w:space="0" w:color="auto"/>
                  </w:divBdr>
                  <w:divsChild>
                    <w:div w:id="425737662">
                      <w:marLeft w:val="0"/>
                      <w:marRight w:val="0"/>
                      <w:marTop w:val="0"/>
                      <w:marBottom w:val="0"/>
                      <w:divBdr>
                        <w:top w:val="none" w:sz="0" w:space="0" w:color="auto"/>
                        <w:left w:val="none" w:sz="0" w:space="0" w:color="auto"/>
                        <w:bottom w:val="none" w:sz="0" w:space="0" w:color="auto"/>
                        <w:right w:val="none" w:sz="0" w:space="0" w:color="auto"/>
                      </w:divBdr>
                    </w:div>
                  </w:divsChild>
                </w:div>
                <w:div w:id="973022477">
                  <w:marLeft w:val="0"/>
                  <w:marRight w:val="0"/>
                  <w:marTop w:val="0"/>
                  <w:marBottom w:val="0"/>
                  <w:divBdr>
                    <w:top w:val="none" w:sz="0" w:space="0" w:color="auto"/>
                    <w:left w:val="none" w:sz="0" w:space="0" w:color="auto"/>
                    <w:bottom w:val="none" w:sz="0" w:space="0" w:color="auto"/>
                    <w:right w:val="none" w:sz="0" w:space="0" w:color="auto"/>
                  </w:divBdr>
                  <w:divsChild>
                    <w:div w:id="820654555">
                      <w:marLeft w:val="0"/>
                      <w:marRight w:val="0"/>
                      <w:marTop w:val="0"/>
                      <w:marBottom w:val="0"/>
                      <w:divBdr>
                        <w:top w:val="none" w:sz="0" w:space="0" w:color="auto"/>
                        <w:left w:val="none" w:sz="0" w:space="0" w:color="auto"/>
                        <w:bottom w:val="none" w:sz="0" w:space="0" w:color="auto"/>
                        <w:right w:val="none" w:sz="0" w:space="0" w:color="auto"/>
                      </w:divBdr>
                    </w:div>
                  </w:divsChild>
                </w:div>
                <w:div w:id="977959576">
                  <w:marLeft w:val="0"/>
                  <w:marRight w:val="0"/>
                  <w:marTop w:val="0"/>
                  <w:marBottom w:val="0"/>
                  <w:divBdr>
                    <w:top w:val="none" w:sz="0" w:space="0" w:color="auto"/>
                    <w:left w:val="none" w:sz="0" w:space="0" w:color="auto"/>
                    <w:bottom w:val="none" w:sz="0" w:space="0" w:color="auto"/>
                    <w:right w:val="none" w:sz="0" w:space="0" w:color="auto"/>
                  </w:divBdr>
                  <w:divsChild>
                    <w:div w:id="1661156001">
                      <w:marLeft w:val="0"/>
                      <w:marRight w:val="0"/>
                      <w:marTop w:val="0"/>
                      <w:marBottom w:val="0"/>
                      <w:divBdr>
                        <w:top w:val="none" w:sz="0" w:space="0" w:color="auto"/>
                        <w:left w:val="none" w:sz="0" w:space="0" w:color="auto"/>
                        <w:bottom w:val="none" w:sz="0" w:space="0" w:color="auto"/>
                        <w:right w:val="none" w:sz="0" w:space="0" w:color="auto"/>
                      </w:divBdr>
                    </w:div>
                  </w:divsChild>
                </w:div>
                <w:div w:id="980383789">
                  <w:marLeft w:val="0"/>
                  <w:marRight w:val="0"/>
                  <w:marTop w:val="0"/>
                  <w:marBottom w:val="0"/>
                  <w:divBdr>
                    <w:top w:val="none" w:sz="0" w:space="0" w:color="auto"/>
                    <w:left w:val="none" w:sz="0" w:space="0" w:color="auto"/>
                    <w:bottom w:val="none" w:sz="0" w:space="0" w:color="auto"/>
                    <w:right w:val="none" w:sz="0" w:space="0" w:color="auto"/>
                  </w:divBdr>
                  <w:divsChild>
                    <w:div w:id="864486802">
                      <w:marLeft w:val="0"/>
                      <w:marRight w:val="0"/>
                      <w:marTop w:val="0"/>
                      <w:marBottom w:val="0"/>
                      <w:divBdr>
                        <w:top w:val="none" w:sz="0" w:space="0" w:color="auto"/>
                        <w:left w:val="none" w:sz="0" w:space="0" w:color="auto"/>
                        <w:bottom w:val="none" w:sz="0" w:space="0" w:color="auto"/>
                        <w:right w:val="none" w:sz="0" w:space="0" w:color="auto"/>
                      </w:divBdr>
                    </w:div>
                  </w:divsChild>
                </w:div>
                <w:div w:id="986712404">
                  <w:marLeft w:val="0"/>
                  <w:marRight w:val="0"/>
                  <w:marTop w:val="0"/>
                  <w:marBottom w:val="0"/>
                  <w:divBdr>
                    <w:top w:val="none" w:sz="0" w:space="0" w:color="auto"/>
                    <w:left w:val="none" w:sz="0" w:space="0" w:color="auto"/>
                    <w:bottom w:val="none" w:sz="0" w:space="0" w:color="auto"/>
                    <w:right w:val="none" w:sz="0" w:space="0" w:color="auto"/>
                  </w:divBdr>
                  <w:divsChild>
                    <w:div w:id="1724718567">
                      <w:marLeft w:val="0"/>
                      <w:marRight w:val="0"/>
                      <w:marTop w:val="0"/>
                      <w:marBottom w:val="0"/>
                      <w:divBdr>
                        <w:top w:val="none" w:sz="0" w:space="0" w:color="auto"/>
                        <w:left w:val="none" w:sz="0" w:space="0" w:color="auto"/>
                        <w:bottom w:val="none" w:sz="0" w:space="0" w:color="auto"/>
                        <w:right w:val="none" w:sz="0" w:space="0" w:color="auto"/>
                      </w:divBdr>
                    </w:div>
                  </w:divsChild>
                </w:div>
                <w:div w:id="1004825585">
                  <w:marLeft w:val="0"/>
                  <w:marRight w:val="0"/>
                  <w:marTop w:val="0"/>
                  <w:marBottom w:val="0"/>
                  <w:divBdr>
                    <w:top w:val="none" w:sz="0" w:space="0" w:color="auto"/>
                    <w:left w:val="none" w:sz="0" w:space="0" w:color="auto"/>
                    <w:bottom w:val="none" w:sz="0" w:space="0" w:color="auto"/>
                    <w:right w:val="none" w:sz="0" w:space="0" w:color="auto"/>
                  </w:divBdr>
                  <w:divsChild>
                    <w:div w:id="475419101">
                      <w:marLeft w:val="0"/>
                      <w:marRight w:val="0"/>
                      <w:marTop w:val="0"/>
                      <w:marBottom w:val="0"/>
                      <w:divBdr>
                        <w:top w:val="none" w:sz="0" w:space="0" w:color="auto"/>
                        <w:left w:val="none" w:sz="0" w:space="0" w:color="auto"/>
                        <w:bottom w:val="none" w:sz="0" w:space="0" w:color="auto"/>
                        <w:right w:val="none" w:sz="0" w:space="0" w:color="auto"/>
                      </w:divBdr>
                    </w:div>
                  </w:divsChild>
                </w:div>
                <w:div w:id="1017271057">
                  <w:marLeft w:val="0"/>
                  <w:marRight w:val="0"/>
                  <w:marTop w:val="0"/>
                  <w:marBottom w:val="0"/>
                  <w:divBdr>
                    <w:top w:val="none" w:sz="0" w:space="0" w:color="auto"/>
                    <w:left w:val="none" w:sz="0" w:space="0" w:color="auto"/>
                    <w:bottom w:val="none" w:sz="0" w:space="0" w:color="auto"/>
                    <w:right w:val="none" w:sz="0" w:space="0" w:color="auto"/>
                  </w:divBdr>
                  <w:divsChild>
                    <w:div w:id="1731033301">
                      <w:marLeft w:val="0"/>
                      <w:marRight w:val="0"/>
                      <w:marTop w:val="0"/>
                      <w:marBottom w:val="0"/>
                      <w:divBdr>
                        <w:top w:val="none" w:sz="0" w:space="0" w:color="auto"/>
                        <w:left w:val="none" w:sz="0" w:space="0" w:color="auto"/>
                        <w:bottom w:val="none" w:sz="0" w:space="0" w:color="auto"/>
                        <w:right w:val="none" w:sz="0" w:space="0" w:color="auto"/>
                      </w:divBdr>
                    </w:div>
                  </w:divsChild>
                </w:div>
                <w:div w:id="1022050134">
                  <w:marLeft w:val="0"/>
                  <w:marRight w:val="0"/>
                  <w:marTop w:val="0"/>
                  <w:marBottom w:val="0"/>
                  <w:divBdr>
                    <w:top w:val="none" w:sz="0" w:space="0" w:color="auto"/>
                    <w:left w:val="none" w:sz="0" w:space="0" w:color="auto"/>
                    <w:bottom w:val="none" w:sz="0" w:space="0" w:color="auto"/>
                    <w:right w:val="none" w:sz="0" w:space="0" w:color="auto"/>
                  </w:divBdr>
                  <w:divsChild>
                    <w:div w:id="1247612614">
                      <w:marLeft w:val="0"/>
                      <w:marRight w:val="0"/>
                      <w:marTop w:val="0"/>
                      <w:marBottom w:val="0"/>
                      <w:divBdr>
                        <w:top w:val="none" w:sz="0" w:space="0" w:color="auto"/>
                        <w:left w:val="none" w:sz="0" w:space="0" w:color="auto"/>
                        <w:bottom w:val="none" w:sz="0" w:space="0" w:color="auto"/>
                        <w:right w:val="none" w:sz="0" w:space="0" w:color="auto"/>
                      </w:divBdr>
                    </w:div>
                  </w:divsChild>
                </w:div>
                <w:div w:id="1032920018">
                  <w:marLeft w:val="0"/>
                  <w:marRight w:val="0"/>
                  <w:marTop w:val="0"/>
                  <w:marBottom w:val="0"/>
                  <w:divBdr>
                    <w:top w:val="none" w:sz="0" w:space="0" w:color="auto"/>
                    <w:left w:val="none" w:sz="0" w:space="0" w:color="auto"/>
                    <w:bottom w:val="none" w:sz="0" w:space="0" w:color="auto"/>
                    <w:right w:val="none" w:sz="0" w:space="0" w:color="auto"/>
                  </w:divBdr>
                  <w:divsChild>
                    <w:div w:id="586307645">
                      <w:marLeft w:val="0"/>
                      <w:marRight w:val="0"/>
                      <w:marTop w:val="0"/>
                      <w:marBottom w:val="0"/>
                      <w:divBdr>
                        <w:top w:val="none" w:sz="0" w:space="0" w:color="auto"/>
                        <w:left w:val="none" w:sz="0" w:space="0" w:color="auto"/>
                        <w:bottom w:val="none" w:sz="0" w:space="0" w:color="auto"/>
                        <w:right w:val="none" w:sz="0" w:space="0" w:color="auto"/>
                      </w:divBdr>
                    </w:div>
                  </w:divsChild>
                </w:div>
                <w:div w:id="1056048423">
                  <w:marLeft w:val="0"/>
                  <w:marRight w:val="0"/>
                  <w:marTop w:val="0"/>
                  <w:marBottom w:val="0"/>
                  <w:divBdr>
                    <w:top w:val="none" w:sz="0" w:space="0" w:color="auto"/>
                    <w:left w:val="none" w:sz="0" w:space="0" w:color="auto"/>
                    <w:bottom w:val="none" w:sz="0" w:space="0" w:color="auto"/>
                    <w:right w:val="none" w:sz="0" w:space="0" w:color="auto"/>
                  </w:divBdr>
                  <w:divsChild>
                    <w:div w:id="2075857329">
                      <w:marLeft w:val="0"/>
                      <w:marRight w:val="0"/>
                      <w:marTop w:val="0"/>
                      <w:marBottom w:val="0"/>
                      <w:divBdr>
                        <w:top w:val="none" w:sz="0" w:space="0" w:color="auto"/>
                        <w:left w:val="none" w:sz="0" w:space="0" w:color="auto"/>
                        <w:bottom w:val="none" w:sz="0" w:space="0" w:color="auto"/>
                        <w:right w:val="none" w:sz="0" w:space="0" w:color="auto"/>
                      </w:divBdr>
                    </w:div>
                  </w:divsChild>
                </w:div>
                <w:div w:id="1058237967">
                  <w:marLeft w:val="0"/>
                  <w:marRight w:val="0"/>
                  <w:marTop w:val="0"/>
                  <w:marBottom w:val="0"/>
                  <w:divBdr>
                    <w:top w:val="none" w:sz="0" w:space="0" w:color="auto"/>
                    <w:left w:val="none" w:sz="0" w:space="0" w:color="auto"/>
                    <w:bottom w:val="none" w:sz="0" w:space="0" w:color="auto"/>
                    <w:right w:val="none" w:sz="0" w:space="0" w:color="auto"/>
                  </w:divBdr>
                  <w:divsChild>
                    <w:div w:id="2049138006">
                      <w:marLeft w:val="0"/>
                      <w:marRight w:val="0"/>
                      <w:marTop w:val="0"/>
                      <w:marBottom w:val="0"/>
                      <w:divBdr>
                        <w:top w:val="none" w:sz="0" w:space="0" w:color="auto"/>
                        <w:left w:val="none" w:sz="0" w:space="0" w:color="auto"/>
                        <w:bottom w:val="none" w:sz="0" w:space="0" w:color="auto"/>
                        <w:right w:val="none" w:sz="0" w:space="0" w:color="auto"/>
                      </w:divBdr>
                    </w:div>
                  </w:divsChild>
                </w:div>
                <w:div w:id="1062216983">
                  <w:marLeft w:val="0"/>
                  <w:marRight w:val="0"/>
                  <w:marTop w:val="0"/>
                  <w:marBottom w:val="0"/>
                  <w:divBdr>
                    <w:top w:val="none" w:sz="0" w:space="0" w:color="auto"/>
                    <w:left w:val="none" w:sz="0" w:space="0" w:color="auto"/>
                    <w:bottom w:val="none" w:sz="0" w:space="0" w:color="auto"/>
                    <w:right w:val="none" w:sz="0" w:space="0" w:color="auto"/>
                  </w:divBdr>
                  <w:divsChild>
                    <w:div w:id="1334071440">
                      <w:marLeft w:val="0"/>
                      <w:marRight w:val="0"/>
                      <w:marTop w:val="0"/>
                      <w:marBottom w:val="0"/>
                      <w:divBdr>
                        <w:top w:val="none" w:sz="0" w:space="0" w:color="auto"/>
                        <w:left w:val="none" w:sz="0" w:space="0" w:color="auto"/>
                        <w:bottom w:val="none" w:sz="0" w:space="0" w:color="auto"/>
                        <w:right w:val="none" w:sz="0" w:space="0" w:color="auto"/>
                      </w:divBdr>
                    </w:div>
                  </w:divsChild>
                </w:div>
                <w:div w:id="1066103262">
                  <w:marLeft w:val="0"/>
                  <w:marRight w:val="0"/>
                  <w:marTop w:val="0"/>
                  <w:marBottom w:val="0"/>
                  <w:divBdr>
                    <w:top w:val="none" w:sz="0" w:space="0" w:color="auto"/>
                    <w:left w:val="none" w:sz="0" w:space="0" w:color="auto"/>
                    <w:bottom w:val="none" w:sz="0" w:space="0" w:color="auto"/>
                    <w:right w:val="none" w:sz="0" w:space="0" w:color="auto"/>
                  </w:divBdr>
                  <w:divsChild>
                    <w:div w:id="455148993">
                      <w:marLeft w:val="0"/>
                      <w:marRight w:val="0"/>
                      <w:marTop w:val="0"/>
                      <w:marBottom w:val="0"/>
                      <w:divBdr>
                        <w:top w:val="none" w:sz="0" w:space="0" w:color="auto"/>
                        <w:left w:val="none" w:sz="0" w:space="0" w:color="auto"/>
                        <w:bottom w:val="none" w:sz="0" w:space="0" w:color="auto"/>
                        <w:right w:val="none" w:sz="0" w:space="0" w:color="auto"/>
                      </w:divBdr>
                    </w:div>
                  </w:divsChild>
                </w:div>
                <w:div w:id="1072773948">
                  <w:marLeft w:val="0"/>
                  <w:marRight w:val="0"/>
                  <w:marTop w:val="0"/>
                  <w:marBottom w:val="0"/>
                  <w:divBdr>
                    <w:top w:val="none" w:sz="0" w:space="0" w:color="auto"/>
                    <w:left w:val="none" w:sz="0" w:space="0" w:color="auto"/>
                    <w:bottom w:val="none" w:sz="0" w:space="0" w:color="auto"/>
                    <w:right w:val="none" w:sz="0" w:space="0" w:color="auto"/>
                  </w:divBdr>
                  <w:divsChild>
                    <w:div w:id="1218587833">
                      <w:marLeft w:val="0"/>
                      <w:marRight w:val="0"/>
                      <w:marTop w:val="0"/>
                      <w:marBottom w:val="0"/>
                      <w:divBdr>
                        <w:top w:val="none" w:sz="0" w:space="0" w:color="auto"/>
                        <w:left w:val="none" w:sz="0" w:space="0" w:color="auto"/>
                        <w:bottom w:val="none" w:sz="0" w:space="0" w:color="auto"/>
                        <w:right w:val="none" w:sz="0" w:space="0" w:color="auto"/>
                      </w:divBdr>
                    </w:div>
                  </w:divsChild>
                </w:div>
                <w:div w:id="1097558310">
                  <w:marLeft w:val="0"/>
                  <w:marRight w:val="0"/>
                  <w:marTop w:val="0"/>
                  <w:marBottom w:val="0"/>
                  <w:divBdr>
                    <w:top w:val="none" w:sz="0" w:space="0" w:color="auto"/>
                    <w:left w:val="none" w:sz="0" w:space="0" w:color="auto"/>
                    <w:bottom w:val="none" w:sz="0" w:space="0" w:color="auto"/>
                    <w:right w:val="none" w:sz="0" w:space="0" w:color="auto"/>
                  </w:divBdr>
                  <w:divsChild>
                    <w:div w:id="459223699">
                      <w:marLeft w:val="0"/>
                      <w:marRight w:val="0"/>
                      <w:marTop w:val="0"/>
                      <w:marBottom w:val="0"/>
                      <w:divBdr>
                        <w:top w:val="none" w:sz="0" w:space="0" w:color="auto"/>
                        <w:left w:val="none" w:sz="0" w:space="0" w:color="auto"/>
                        <w:bottom w:val="none" w:sz="0" w:space="0" w:color="auto"/>
                        <w:right w:val="none" w:sz="0" w:space="0" w:color="auto"/>
                      </w:divBdr>
                    </w:div>
                  </w:divsChild>
                </w:div>
                <w:div w:id="1099638721">
                  <w:marLeft w:val="0"/>
                  <w:marRight w:val="0"/>
                  <w:marTop w:val="0"/>
                  <w:marBottom w:val="0"/>
                  <w:divBdr>
                    <w:top w:val="none" w:sz="0" w:space="0" w:color="auto"/>
                    <w:left w:val="none" w:sz="0" w:space="0" w:color="auto"/>
                    <w:bottom w:val="none" w:sz="0" w:space="0" w:color="auto"/>
                    <w:right w:val="none" w:sz="0" w:space="0" w:color="auto"/>
                  </w:divBdr>
                  <w:divsChild>
                    <w:div w:id="1460538160">
                      <w:marLeft w:val="0"/>
                      <w:marRight w:val="0"/>
                      <w:marTop w:val="0"/>
                      <w:marBottom w:val="0"/>
                      <w:divBdr>
                        <w:top w:val="none" w:sz="0" w:space="0" w:color="auto"/>
                        <w:left w:val="none" w:sz="0" w:space="0" w:color="auto"/>
                        <w:bottom w:val="none" w:sz="0" w:space="0" w:color="auto"/>
                        <w:right w:val="none" w:sz="0" w:space="0" w:color="auto"/>
                      </w:divBdr>
                    </w:div>
                  </w:divsChild>
                </w:div>
                <w:div w:id="1100641269">
                  <w:marLeft w:val="0"/>
                  <w:marRight w:val="0"/>
                  <w:marTop w:val="0"/>
                  <w:marBottom w:val="0"/>
                  <w:divBdr>
                    <w:top w:val="none" w:sz="0" w:space="0" w:color="auto"/>
                    <w:left w:val="none" w:sz="0" w:space="0" w:color="auto"/>
                    <w:bottom w:val="none" w:sz="0" w:space="0" w:color="auto"/>
                    <w:right w:val="none" w:sz="0" w:space="0" w:color="auto"/>
                  </w:divBdr>
                  <w:divsChild>
                    <w:div w:id="1536193182">
                      <w:marLeft w:val="0"/>
                      <w:marRight w:val="0"/>
                      <w:marTop w:val="0"/>
                      <w:marBottom w:val="0"/>
                      <w:divBdr>
                        <w:top w:val="none" w:sz="0" w:space="0" w:color="auto"/>
                        <w:left w:val="none" w:sz="0" w:space="0" w:color="auto"/>
                        <w:bottom w:val="none" w:sz="0" w:space="0" w:color="auto"/>
                        <w:right w:val="none" w:sz="0" w:space="0" w:color="auto"/>
                      </w:divBdr>
                    </w:div>
                  </w:divsChild>
                </w:div>
                <w:div w:id="1164541924">
                  <w:marLeft w:val="0"/>
                  <w:marRight w:val="0"/>
                  <w:marTop w:val="0"/>
                  <w:marBottom w:val="0"/>
                  <w:divBdr>
                    <w:top w:val="none" w:sz="0" w:space="0" w:color="auto"/>
                    <w:left w:val="none" w:sz="0" w:space="0" w:color="auto"/>
                    <w:bottom w:val="none" w:sz="0" w:space="0" w:color="auto"/>
                    <w:right w:val="none" w:sz="0" w:space="0" w:color="auto"/>
                  </w:divBdr>
                  <w:divsChild>
                    <w:div w:id="1858929155">
                      <w:marLeft w:val="0"/>
                      <w:marRight w:val="0"/>
                      <w:marTop w:val="0"/>
                      <w:marBottom w:val="0"/>
                      <w:divBdr>
                        <w:top w:val="none" w:sz="0" w:space="0" w:color="auto"/>
                        <w:left w:val="none" w:sz="0" w:space="0" w:color="auto"/>
                        <w:bottom w:val="none" w:sz="0" w:space="0" w:color="auto"/>
                        <w:right w:val="none" w:sz="0" w:space="0" w:color="auto"/>
                      </w:divBdr>
                    </w:div>
                  </w:divsChild>
                </w:div>
                <w:div w:id="1185175426">
                  <w:marLeft w:val="0"/>
                  <w:marRight w:val="0"/>
                  <w:marTop w:val="0"/>
                  <w:marBottom w:val="0"/>
                  <w:divBdr>
                    <w:top w:val="none" w:sz="0" w:space="0" w:color="auto"/>
                    <w:left w:val="none" w:sz="0" w:space="0" w:color="auto"/>
                    <w:bottom w:val="none" w:sz="0" w:space="0" w:color="auto"/>
                    <w:right w:val="none" w:sz="0" w:space="0" w:color="auto"/>
                  </w:divBdr>
                  <w:divsChild>
                    <w:div w:id="121118277">
                      <w:marLeft w:val="0"/>
                      <w:marRight w:val="0"/>
                      <w:marTop w:val="0"/>
                      <w:marBottom w:val="0"/>
                      <w:divBdr>
                        <w:top w:val="none" w:sz="0" w:space="0" w:color="auto"/>
                        <w:left w:val="none" w:sz="0" w:space="0" w:color="auto"/>
                        <w:bottom w:val="none" w:sz="0" w:space="0" w:color="auto"/>
                        <w:right w:val="none" w:sz="0" w:space="0" w:color="auto"/>
                      </w:divBdr>
                    </w:div>
                  </w:divsChild>
                </w:div>
                <w:div w:id="1211186936">
                  <w:marLeft w:val="0"/>
                  <w:marRight w:val="0"/>
                  <w:marTop w:val="0"/>
                  <w:marBottom w:val="0"/>
                  <w:divBdr>
                    <w:top w:val="none" w:sz="0" w:space="0" w:color="auto"/>
                    <w:left w:val="none" w:sz="0" w:space="0" w:color="auto"/>
                    <w:bottom w:val="none" w:sz="0" w:space="0" w:color="auto"/>
                    <w:right w:val="none" w:sz="0" w:space="0" w:color="auto"/>
                  </w:divBdr>
                  <w:divsChild>
                    <w:div w:id="140578549">
                      <w:marLeft w:val="0"/>
                      <w:marRight w:val="0"/>
                      <w:marTop w:val="0"/>
                      <w:marBottom w:val="0"/>
                      <w:divBdr>
                        <w:top w:val="none" w:sz="0" w:space="0" w:color="auto"/>
                        <w:left w:val="none" w:sz="0" w:space="0" w:color="auto"/>
                        <w:bottom w:val="none" w:sz="0" w:space="0" w:color="auto"/>
                        <w:right w:val="none" w:sz="0" w:space="0" w:color="auto"/>
                      </w:divBdr>
                    </w:div>
                  </w:divsChild>
                </w:div>
                <w:div w:id="1236547383">
                  <w:marLeft w:val="0"/>
                  <w:marRight w:val="0"/>
                  <w:marTop w:val="0"/>
                  <w:marBottom w:val="0"/>
                  <w:divBdr>
                    <w:top w:val="none" w:sz="0" w:space="0" w:color="auto"/>
                    <w:left w:val="none" w:sz="0" w:space="0" w:color="auto"/>
                    <w:bottom w:val="none" w:sz="0" w:space="0" w:color="auto"/>
                    <w:right w:val="none" w:sz="0" w:space="0" w:color="auto"/>
                  </w:divBdr>
                  <w:divsChild>
                    <w:div w:id="1882014463">
                      <w:marLeft w:val="0"/>
                      <w:marRight w:val="0"/>
                      <w:marTop w:val="0"/>
                      <w:marBottom w:val="0"/>
                      <w:divBdr>
                        <w:top w:val="none" w:sz="0" w:space="0" w:color="auto"/>
                        <w:left w:val="none" w:sz="0" w:space="0" w:color="auto"/>
                        <w:bottom w:val="none" w:sz="0" w:space="0" w:color="auto"/>
                        <w:right w:val="none" w:sz="0" w:space="0" w:color="auto"/>
                      </w:divBdr>
                    </w:div>
                  </w:divsChild>
                </w:div>
                <w:div w:id="1263689073">
                  <w:marLeft w:val="0"/>
                  <w:marRight w:val="0"/>
                  <w:marTop w:val="0"/>
                  <w:marBottom w:val="0"/>
                  <w:divBdr>
                    <w:top w:val="none" w:sz="0" w:space="0" w:color="auto"/>
                    <w:left w:val="none" w:sz="0" w:space="0" w:color="auto"/>
                    <w:bottom w:val="none" w:sz="0" w:space="0" w:color="auto"/>
                    <w:right w:val="none" w:sz="0" w:space="0" w:color="auto"/>
                  </w:divBdr>
                  <w:divsChild>
                    <w:div w:id="120392113">
                      <w:marLeft w:val="0"/>
                      <w:marRight w:val="0"/>
                      <w:marTop w:val="0"/>
                      <w:marBottom w:val="0"/>
                      <w:divBdr>
                        <w:top w:val="none" w:sz="0" w:space="0" w:color="auto"/>
                        <w:left w:val="none" w:sz="0" w:space="0" w:color="auto"/>
                        <w:bottom w:val="none" w:sz="0" w:space="0" w:color="auto"/>
                        <w:right w:val="none" w:sz="0" w:space="0" w:color="auto"/>
                      </w:divBdr>
                    </w:div>
                  </w:divsChild>
                </w:div>
                <w:div w:id="1275602631">
                  <w:marLeft w:val="0"/>
                  <w:marRight w:val="0"/>
                  <w:marTop w:val="0"/>
                  <w:marBottom w:val="0"/>
                  <w:divBdr>
                    <w:top w:val="none" w:sz="0" w:space="0" w:color="auto"/>
                    <w:left w:val="none" w:sz="0" w:space="0" w:color="auto"/>
                    <w:bottom w:val="none" w:sz="0" w:space="0" w:color="auto"/>
                    <w:right w:val="none" w:sz="0" w:space="0" w:color="auto"/>
                  </w:divBdr>
                  <w:divsChild>
                    <w:div w:id="581722007">
                      <w:marLeft w:val="0"/>
                      <w:marRight w:val="0"/>
                      <w:marTop w:val="0"/>
                      <w:marBottom w:val="0"/>
                      <w:divBdr>
                        <w:top w:val="none" w:sz="0" w:space="0" w:color="auto"/>
                        <w:left w:val="none" w:sz="0" w:space="0" w:color="auto"/>
                        <w:bottom w:val="none" w:sz="0" w:space="0" w:color="auto"/>
                        <w:right w:val="none" w:sz="0" w:space="0" w:color="auto"/>
                      </w:divBdr>
                    </w:div>
                  </w:divsChild>
                </w:div>
                <w:div w:id="1315060845">
                  <w:marLeft w:val="0"/>
                  <w:marRight w:val="0"/>
                  <w:marTop w:val="0"/>
                  <w:marBottom w:val="0"/>
                  <w:divBdr>
                    <w:top w:val="none" w:sz="0" w:space="0" w:color="auto"/>
                    <w:left w:val="none" w:sz="0" w:space="0" w:color="auto"/>
                    <w:bottom w:val="none" w:sz="0" w:space="0" w:color="auto"/>
                    <w:right w:val="none" w:sz="0" w:space="0" w:color="auto"/>
                  </w:divBdr>
                  <w:divsChild>
                    <w:div w:id="616916264">
                      <w:marLeft w:val="0"/>
                      <w:marRight w:val="0"/>
                      <w:marTop w:val="0"/>
                      <w:marBottom w:val="0"/>
                      <w:divBdr>
                        <w:top w:val="none" w:sz="0" w:space="0" w:color="auto"/>
                        <w:left w:val="none" w:sz="0" w:space="0" w:color="auto"/>
                        <w:bottom w:val="none" w:sz="0" w:space="0" w:color="auto"/>
                        <w:right w:val="none" w:sz="0" w:space="0" w:color="auto"/>
                      </w:divBdr>
                    </w:div>
                  </w:divsChild>
                </w:div>
                <w:div w:id="1323241224">
                  <w:marLeft w:val="0"/>
                  <w:marRight w:val="0"/>
                  <w:marTop w:val="0"/>
                  <w:marBottom w:val="0"/>
                  <w:divBdr>
                    <w:top w:val="none" w:sz="0" w:space="0" w:color="auto"/>
                    <w:left w:val="none" w:sz="0" w:space="0" w:color="auto"/>
                    <w:bottom w:val="none" w:sz="0" w:space="0" w:color="auto"/>
                    <w:right w:val="none" w:sz="0" w:space="0" w:color="auto"/>
                  </w:divBdr>
                  <w:divsChild>
                    <w:div w:id="853543535">
                      <w:marLeft w:val="0"/>
                      <w:marRight w:val="0"/>
                      <w:marTop w:val="0"/>
                      <w:marBottom w:val="0"/>
                      <w:divBdr>
                        <w:top w:val="none" w:sz="0" w:space="0" w:color="auto"/>
                        <w:left w:val="none" w:sz="0" w:space="0" w:color="auto"/>
                        <w:bottom w:val="none" w:sz="0" w:space="0" w:color="auto"/>
                        <w:right w:val="none" w:sz="0" w:space="0" w:color="auto"/>
                      </w:divBdr>
                    </w:div>
                  </w:divsChild>
                </w:div>
                <w:div w:id="1326282057">
                  <w:marLeft w:val="0"/>
                  <w:marRight w:val="0"/>
                  <w:marTop w:val="0"/>
                  <w:marBottom w:val="0"/>
                  <w:divBdr>
                    <w:top w:val="none" w:sz="0" w:space="0" w:color="auto"/>
                    <w:left w:val="none" w:sz="0" w:space="0" w:color="auto"/>
                    <w:bottom w:val="none" w:sz="0" w:space="0" w:color="auto"/>
                    <w:right w:val="none" w:sz="0" w:space="0" w:color="auto"/>
                  </w:divBdr>
                  <w:divsChild>
                    <w:div w:id="1480146834">
                      <w:marLeft w:val="0"/>
                      <w:marRight w:val="0"/>
                      <w:marTop w:val="0"/>
                      <w:marBottom w:val="0"/>
                      <w:divBdr>
                        <w:top w:val="none" w:sz="0" w:space="0" w:color="auto"/>
                        <w:left w:val="none" w:sz="0" w:space="0" w:color="auto"/>
                        <w:bottom w:val="none" w:sz="0" w:space="0" w:color="auto"/>
                        <w:right w:val="none" w:sz="0" w:space="0" w:color="auto"/>
                      </w:divBdr>
                    </w:div>
                  </w:divsChild>
                </w:div>
                <w:div w:id="1355502126">
                  <w:marLeft w:val="0"/>
                  <w:marRight w:val="0"/>
                  <w:marTop w:val="0"/>
                  <w:marBottom w:val="0"/>
                  <w:divBdr>
                    <w:top w:val="none" w:sz="0" w:space="0" w:color="auto"/>
                    <w:left w:val="none" w:sz="0" w:space="0" w:color="auto"/>
                    <w:bottom w:val="none" w:sz="0" w:space="0" w:color="auto"/>
                    <w:right w:val="none" w:sz="0" w:space="0" w:color="auto"/>
                  </w:divBdr>
                  <w:divsChild>
                    <w:div w:id="1210920415">
                      <w:marLeft w:val="0"/>
                      <w:marRight w:val="0"/>
                      <w:marTop w:val="0"/>
                      <w:marBottom w:val="0"/>
                      <w:divBdr>
                        <w:top w:val="none" w:sz="0" w:space="0" w:color="auto"/>
                        <w:left w:val="none" w:sz="0" w:space="0" w:color="auto"/>
                        <w:bottom w:val="none" w:sz="0" w:space="0" w:color="auto"/>
                        <w:right w:val="none" w:sz="0" w:space="0" w:color="auto"/>
                      </w:divBdr>
                    </w:div>
                  </w:divsChild>
                </w:div>
                <w:div w:id="1355880917">
                  <w:marLeft w:val="0"/>
                  <w:marRight w:val="0"/>
                  <w:marTop w:val="0"/>
                  <w:marBottom w:val="0"/>
                  <w:divBdr>
                    <w:top w:val="none" w:sz="0" w:space="0" w:color="auto"/>
                    <w:left w:val="none" w:sz="0" w:space="0" w:color="auto"/>
                    <w:bottom w:val="none" w:sz="0" w:space="0" w:color="auto"/>
                    <w:right w:val="none" w:sz="0" w:space="0" w:color="auto"/>
                  </w:divBdr>
                  <w:divsChild>
                    <w:div w:id="1906794581">
                      <w:marLeft w:val="0"/>
                      <w:marRight w:val="0"/>
                      <w:marTop w:val="0"/>
                      <w:marBottom w:val="0"/>
                      <w:divBdr>
                        <w:top w:val="none" w:sz="0" w:space="0" w:color="auto"/>
                        <w:left w:val="none" w:sz="0" w:space="0" w:color="auto"/>
                        <w:bottom w:val="none" w:sz="0" w:space="0" w:color="auto"/>
                        <w:right w:val="none" w:sz="0" w:space="0" w:color="auto"/>
                      </w:divBdr>
                    </w:div>
                  </w:divsChild>
                </w:div>
                <w:div w:id="1359962531">
                  <w:marLeft w:val="0"/>
                  <w:marRight w:val="0"/>
                  <w:marTop w:val="0"/>
                  <w:marBottom w:val="0"/>
                  <w:divBdr>
                    <w:top w:val="none" w:sz="0" w:space="0" w:color="auto"/>
                    <w:left w:val="none" w:sz="0" w:space="0" w:color="auto"/>
                    <w:bottom w:val="none" w:sz="0" w:space="0" w:color="auto"/>
                    <w:right w:val="none" w:sz="0" w:space="0" w:color="auto"/>
                  </w:divBdr>
                  <w:divsChild>
                    <w:div w:id="83571464">
                      <w:marLeft w:val="0"/>
                      <w:marRight w:val="0"/>
                      <w:marTop w:val="0"/>
                      <w:marBottom w:val="0"/>
                      <w:divBdr>
                        <w:top w:val="none" w:sz="0" w:space="0" w:color="auto"/>
                        <w:left w:val="none" w:sz="0" w:space="0" w:color="auto"/>
                        <w:bottom w:val="none" w:sz="0" w:space="0" w:color="auto"/>
                        <w:right w:val="none" w:sz="0" w:space="0" w:color="auto"/>
                      </w:divBdr>
                    </w:div>
                  </w:divsChild>
                </w:div>
                <w:div w:id="1387415345">
                  <w:marLeft w:val="0"/>
                  <w:marRight w:val="0"/>
                  <w:marTop w:val="0"/>
                  <w:marBottom w:val="0"/>
                  <w:divBdr>
                    <w:top w:val="none" w:sz="0" w:space="0" w:color="auto"/>
                    <w:left w:val="none" w:sz="0" w:space="0" w:color="auto"/>
                    <w:bottom w:val="none" w:sz="0" w:space="0" w:color="auto"/>
                    <w:right w:val="none" w:sz="0" w:space="0" w:color="auto"/>
                  </w:divBdr>
                  <w:divsChild>
                    <w:div w:id="1952473604">
                      <w:marLeft w:val="0"/>
                      <w:marRight w:val="0"/>
                      <w:marTop w:val="0"/>
                      <w:marBottom w:val="0"/>
                      <w:divBdr>
                        <w:top w:val="none" w:sz="0" w:space="0" w:color="auto"/>
                        <w:left w:val="none" w:sz="0" w:space="0" w:color="auto"/>
                        <w:bottom w:val="none" w:sz="0" w:space="0" w:color="auto"/>
                        <w:right w:val="none" w:sz="0" w:space="0" w:color="auto"/>
                      </w:divBdr>
                    </w:div>
                  </w:divsChild>
                </w:div>
                <w:div w:id="1391804224">
                  <w:marLeft w:val="0"/>
                  <w:marRight w:val="0"/>
                  <w:marTop w:val="0"/>
                  <w:marBottom w:val="0"/>
                  <w:divBdr>
                    <w:top w:val="none" w:sz="0" w:space="0" w:color="auto"/>
                    <w:left w:val="none" w:sz="0" w:space="0" w:color="auto"/>
                    <w:bottom w:val="none" w:sz="0" w:space="0" w:color="auto"/>
                    <w:right w:val="none" w:sz="0" w:space="0" w:color="auto"/>
                  </w:divBdr>
                  <w:divsChild>
                    <w:div w:id="176315981">
                      <w:marLeft w:val="0"/>
                      <w:marRight w:val="0"/>
                      <w:marTop w:val="0"/>
                      <w:marBottom w:val="0"/>
                      <w:divBdr>
                        <w:top w:val="none" w:sz="0" w:space="0" w:color="auto"/>
                        <w:left w:val="none" w:sz="0" w:space="0" w:color="auto"/>
                        <w:bottom w:val="none" w:sz="0" w:space="0" w:color="auto"/>
                        <w:right w:val="none" w:sz="0" w:space="0" w:color="auto"/>
                      </w:divBdr>
                    </w:div>
                  </w:divsChild>
                </w:div>
                <w:div w:id="1399858665">
                  <w:marLeft w:val="0"/>
                  <w:marRight w:val="0"/>
                  <w:marTop w:val="0"/>
                  <w:marBottom w:val="0"/>
                  <w:divBdr>
                    <w:top w:val="none" w:sz="0" w:space="0" w:color="auto"/>
                    <w:left w:val="none" w:sz="0" w:space="0" w:color="auto"/>
                    <w:bottom w:val="none" w:sz="0" w:space="0" w:color="auto"/>
                    <w:right w:val="none" w:sz="0" w:space="0" w:color="auto"/>
                  </w:divBdr>
                  <w:divsChild>
                    <w:div w:id="1949775995">
                      <w:marLeft w:val="0"/>
                      <w:marRight w:val="0"/>
                      <w:marTop w:val="0"/>
                      <w:marBottom w:val="0"/>
                      <w:divBdr>
                        <w:top w:val="none" w:sz="0" w:space="0" w:color="auto"/>
                        <w:left w:val="none" w:sz="0" w:space="0" w:color="auto"/>
                        <w:bottom w:val="none" w:sz="0" w:space="0" w:color="auto"/>
                        <w:right w:val="none" w:sz="0" w:space="0" w:color="auto"/>
                      </w:divBdr>
                    </w:div>
                  </w:divsChild>
                </w:div>
                <w:div w:id="1423182113">
                  <w:marLeft w:val="0"/>
                  <w:marRight w:val="0"/>
                  <w:marTop w:val="0"/>
                  <w:marBottom w:val="0"/>
                  <w:divBdr>
                    <w:top w:val="none" w:sz="0" w:space="0" w:color="auto"/>
                    <w:left w:val="none" w:sz="0" w:space="0" w:color="auto"/>
                    <w:bottom w:val="none" w:sz="0" w:space="0" w:color="auto"/>
                    <w:right w:val="none" w:sz="0" w:space="0" w:color="auto"/>
                  </w:divBdr>
                  <w:divsChild>
                    <w:div w:id="2086414057">
                      <w:marLeft w:val="0"/>
                      <w:marRight w:val="0"/>
                      <w:marTop w:val="0"/>
                      <w:marBottom w:val="0"/>
                      <w:divBdr>
                        <w:top w:val="none" w:sz="0" w:space="0" w:color="auto"/>
                        <w:left w:val="none" w:sz="0" w:space="0" w:color="auto"/>
                        <w:bottom w:val="none" w:sz="0" w:space="0" w:color="auto"/>
                        <w:right w:val="none" w:sz="0" w:space="0" w:color="auto"/>
                      </w:divBdr>
                    </w:div>
                  </w:divsChild>
                </w:div>
                <w:div w:id="1434865792">
                  <w:marLeft w:val="0"/>
                  <w:marRight w:val="0"/>
                  <w:marTop w:val="0"/>
                  <w:marBottom w:val="0"/>
                  <w:divBdr>
                    <w:top w:val="none" w:sz="0" w:space="0" w:color="auto"/>
                    <w:left w:val="none" w:sz="0" w:space="0" w:color="auto"/>
                    <w:bottom w:val="none" w:sz="0" w:space="0" w:color="auto"/>
                    <w:right w:val="none" w:sz="0" w:space="0" w:color="auto"/>
                  </w:divBdr>
                  <w:divsChild>
                    <w:div w:id="1152789202">
                      <w:marLeft w:val="0"/>
                      <w:marRight w:val="0"/>
                      <w:marTop w:val="0"/>
                      <w:marBottom w:val="0"/>
                      <w:divBdr>
                        <w:top w:val="none" w:sz="0" w:space="0" w:color="auto"/>
                        <w:left w:val="none" w:sz="0" w:space="0" w:color="auto"/>
                        <w:bottom w:val="none" w:sz="0" w:space="0" w:color="auto"/>
                        <w:right w:val="none" w:sz="0" w:space="0" w:color="auto"/>
                      </w:divBdr>
                    </w:div>
                  </w:divsChild>
                </w:div>
                <w:div w:id="1449203040">
                  <w:marLeft w:val="0"/>
                  <w:marRight w:val="0"/>
                  <w:marTop w:val="0"/>
                  <w:marBottom w:val="0"/>
                  <w:divBdr>
                    <w:top w:val="none" w:sz="0" w:space="0" w:color="auto"/>
                    <w:left w:val="none" w:sz="0" w:space="0" w:color="auto"/>
                    <w:bottom w:val="none" w:sz="0" w:space="0" w:color="auto"/>
                    <w:right w:val="none" w:sz="0" w:space="0" w:color="auto"/>
                  </w:divBdr>
                  <w:divsChild>
                    <w:div w:id="1558469891">
                      <w:marLeft w:val="0"/>
                      <w:marRight w:val="0"/>
                      <w:marTop w:val="0"/>
                      <w:marBottom w:val="0"/>
                      <w:divBdr>
                        <w:top w:val="none" w:sz="0" w:space="0" w:color="auto"/>
                        <w:left w:val="none" w:sz="0" w:space="0" w:color="auto"/>
                        <w:bottom w:val="none" w:sz="0" w:space="0" w:color="auto"/>
                        <w:right w:val="none" w:sz="0" w:space="0" w:color="auto"/>
                      </w:divBdr>
                    </w:div>
                  </w:divsChild>
                </w:div>
                <w:div w:id="1516384106">
                  <w:marLeft w:val="0"/>
                  <w:marRight w:val="0"/>
                  <w:marTop w:val="0"/>
                  <w:marBottom w:val="0"/>
                  <w:divBdr>
                    <w:top w:val="none" w:sz="0" w:space="0" w:color="auto"/>
                    <w:left w:val="none" w:sz="0" w:space="0" w:color="auto"/>
                    <w:bottom w:val="none" w:sz="0" w:space="0" w:color="auto"/>
                    <w:right w:val="none" w:sz="0" w:space="0" w:color="auto"/>
                  </w:divBdr>
                  <w:divsChild>
                    <w:div w:id="1705907280">
                      <w:marLeft w:val="0"/>
                      <w:marRight w:val="0"/>
                      <w:marTop w:val="0"/>
                      <w:marBottom w:val="0"/>
                      <w:divBdr>
                        <w:top w:val="none" w:sz="0" w:space="0" w:color="auto"/>
                        <w:left w:val="none" w:sz="0" w:space="0" w:color="auto"/>
                        <w:bottom w:val="none" w:sz="0" w:space="0" w:color="auto"/>
                        <w:right w:val="none" w:sz="0" w:space="0" w:color="auto"/>
                      </w:divBdr>
                    </w:div>
                  </w:divsChild>
                </w:div>
                <w:div w:id="1527907167">
                  <w:marLeft w:val="0"/>
                  <w:marRight w:val="0"/>
                  <w:marTop w:val="0"/>
                  <w:marBottom w:val="0"/>
                  <w:divBdr>
                    <w:top w:val="none" w:sz="0" w:space="0" w:color="auto"/>
                    <w:left w:val="none" w:sz="0" w:space="0" w:color="auto"/>
                    <w:bottom w:val="none" w:sz="0" w:space="0" w:color="auto"/>
                    <w:right w:val="none" w:sz="0" w:space="0" w:color="auto"/>
                  </w:divBdr>
                  <w:divsChild>
                    <w:div w:id="816457716">
                      <w:marLeft w:val="0"/>
                      <w:marRight w:val="0"/>
                      <w:marTop w:val="0"/>
                      <w:marBottom w:val="0"/>
                      <w:divBdr>
                        <w:top w:val="none" w:sz="0" w:space="0" w:color="auto"/>
                        <w:left w:val="none" w:sz="0" w:space="0" w:color="auto"/>
                        <w:bottom w:val="none" w:sz="0" w:space="0" w:color="auto"/>
                        <w:right w:val="none" w:sz="0" w:space="0" w:color="auto"/>
                      </w:divBdr>
                    </w:div>
                  </w:divsChild>
                </w:div>
                <w:div w:id="1528829196">
                  <w:marLeft w:val="0"/>
                  <w:marRight w:val="0"/>
                  <w:marTop w:val="0"/>
                  <w:marBottom w:val="0"/>
                  <w:divBdr>
                    <w:top w:val="none" w:sz="0" w:space="0" w:color="auto"/>
                    <w:left w:val="none" w:sz="0" w:space="0" w:color="auto"/>
                    <w:bottom w:val="none" w:sz="0" w:space="0" w:color="auto"/>
                    <w:right w:val="none" w:sz="0" w:space="0" w:color="auto"/>
                  </w:divBdr>
                  <w:divsChild>
                    <w:div w:id="313801955">
                      <w:marLeft w:val="0"/>
                      <w:marRight w:val="0"/>
                      <w:marTop w:val="0"/>
                      <w:marBottom w:val="0"/>
                      <w:divBdr>
                        <w:top w:val="none" w:sz="0" w:space="0" w:color="auto"/>
                        <w:left w:val="none" w:sz="0" w:space="0" w:color="auto"/>
                        <w:bottom w:val="none" w:sz="0" w:space="0" w:color="auto"/>
                        <w:right w:val="none" w:sz="0" w:space="0" w:color="auto"/>
                      </w:divBdr>
                    </w:div>
                  </w:divsChild>
                </w:div>
                <w:div w:id="1537884766">
                  <w:marLeft w:val="0"/>
                  <w:marRight w:val="0"/>
                  <w:marTop w:val="0"/>
                  <w:marBottom w:val="0"/>
                  <w:divBdr>
                    <w:top w:val="none" w:sz="0" w:space="0" w:color="auto"/>
                    <w:left w:val="none" w:sz="0" w:space="0" w:color="auto"/>
                    <w:bottom w:val="none" w:sz="0" w:space="0" w:color="auto"/>
                    <w:right w:val="none" w:sz="0" w:space="0" w:color="auto"/>
                  </w:divBdr>
                  <w:divsChild>
                    <w:div w:id="1697655830">
                      <w:marLeft w:val="0"/>
                      <w:marRight w:val="0"/>
                      <w:marTop w:val="0"/>
                      <w:marBottom w:val="0"/>
                      <w:divBdr>
                        <w:top w:val="none" w:sz="0" w:space="0" w:color="auto"/>
                        <w:left w:val="none" w:sz="0" w:space="0" w:color="auto"/>
                        <w:bottom w:val="none" w:sz="0" w:space="0" w:color="auto"/>
                        <w:right w:val="none" w:sz="0" w:space="0" w:color="auto"/>
                      </w:divBdr>
                    </w:div>
                  </w:divsChild>
                </w:div>
                <w:div w:id="1559976192">
                  <w:marLeft w:val="0"/>
                  <w:marRight w:val="0"/>
                  <w:marTop w:val="0"/>
                  <w:marBottom w:val="0"/>
                  <w:divBdr>
                    <w:top w:val="none" w:sz="0" w:space="0" w:color="auto"/>
                    <w:left w:val="none" w:sz="0" w:space="0" w:color="auto"/>
                    <w:bottom w:val="none" w:sz="0" w:space="0" w:color="auto"/>
                    <w:right w:val="none" w:sz="0" w:space="0" w:color="auto"/>
                  </w:divBdr>
                  <w:divsChild>
                    <w:div w:id="1487747539">
                      <w:marLeft w:val="0"/>
                      <w:marRight w:val="0"/>
                      <w:marTop w:val="0"/>
                      <w:marBottom w:val="0"/>
                      <w:divBdr>
                        <w:top w:val="none" w:sz="0" w:space="0" w:color="auto"/>
                        <w:left w:val="none" w:sz="0" w:space="0" w:color="auto"/>
                        <w:bottom w:val="none" w:sz="0" w:space="0" w:color="auto"/>
                        <w:right w:val="none" w:sz="0" w:space="0" w:color="auto"/>
                      </w:divBdr>
                    </w:div>
                  </w:divsChild>
                </w:div>
                <w:div w:id="1564029140">
                  <w:marLeft w:val="0"/>
                  <w:marRight w:val="0"/>
                  <w:marTop w:val="0"/>
                  <w:marBottom w:val="0"/>
                  <w:divBdr>
                    <w:top w:val="none" w:sz="0" w:space="0" w:color="auto"/>
                    <w:left w:val="none" w:sz="0" w:space="0" w:color="auto"/>
                    <w:bottom w:val="none" w:sz="0" w:space="0" w:color="auto"/>
                    <w:right w:val="none" w:sz="0" w:space="0" w:color="auto"/>
                  </w:divBdr>
                  <w:divsChild>
                    <w:div w:id="445462487">
                      <w:marLeft w:val="0"/>
                      <w:marRight w:val="0"/>
                      <w:marTop w:val="0"/>
                      <w:marBottom w:val="0"/>
                      <w:divBdr>
                        <w:top w:val="none" w:sz="0" w:space="0" w:color="auto"/>
                        <w:left w:val="none" w:sz="0" w:space="0" w:color="auto"/>
                        <w:bottom w:val="none" w:sz="0" w:space="0" w:color="auto"/>
                        <w:right w:val="none" w:sz="0" w:space="0" w:color="auto"/>
                      </w:divBdr>
                    </w:div>
                  </w:divsChild>
                </w:div>
                <w:div w:id="1568105168">
                  <w:marLeft w:val="0"/>
                  <w:marRight w:val="0"/>
                  <w:marTop w:val="0"/>
                  <w:marBottom w:val="0"/>
                  <w:divBdr>
                    <w:top w:val="none" w:sz="0" w:space="0" w:color="auto"/>
                    <w:left w:val="none" w:sz="0" w:space="0" w:color="auto"/>
                    <w:bottom w:val="none" w:sz="0" w:space="0" w:color="auto"/>
                    <w:right w:val="none" w:sz="0" w:space="0" w:color="auto"/>
                  </w:divBdr>
                  <w:divsChild>
                    <w:div w:id="1669870561">
                      <w:marLeft w:val="0"/>
                      <w:marRight w:val="0"/>
                      <w:marTop w:val="0"/>
                      <w:marBottom w:val="0"/>
                      <w:divBdr>
                        <w:top w:val="none" w:sz="0" w:space="0" w:color="auto"/>
                        <w:left w:val="none" w:sz="0" w:space="0" w:color="auto"/>
                        <w:bottom w:val="none" w:sz="0" w:space="0" w:color="auto"/>
                        <w:right w:val="none" w:sz="0" w:space="0" w:color="auto"/>
                      </w:divBdr>
                    </w:div>
                  </w:divsChild>
                </w:div>
                <w:div w:id="1575814868">
                  <w:marLeft w:val="0"/>
                  <w:marRight w:val="0"/>
                  <w:marTop w:val="0"/>
                  <w:marBottom w:val="0"/>
                  <w:divBdr>
                    <w:top w:val="none" w:sz="0" w:space="0" w:color="auto"/>
                    <w:left w:val="none" w:sz="0" w:space="0" w:color="auto"/>
                    <w:bottom w:val="none" w:sz="0" w:space="0" w:color="auto"/>
                    <w:right w:val="none" w:sz="0" w:space="0" w:color="auto"/>
                  </w:divBdr>
                  <w:divsChild>
                    <w:div w:id="1406563222">
                      <w:marLeft w:val="0"/>
                      <w:marRight w:val="0"/>
                      <w:marTop w:val="0"/>
                      <w:marBottom w:val="0"/>
                      <w:divBdr>
                        <w:top w:val="none" w:sz="0" w:space="0" w:color="auto"/>
                        <w:left w:val="none" w:sz="0" w:space="0" w:color="auto"/>
                        <w:bottom w:val="none" w:sz="0" w:space="0" w:color="auto"/>
                        <w:right w:val="none" w:sz="0" w:space="0" w:color="auto"/>
                      </w:divBdr>
                    </w:div>
                  </w:divsChild>
                </w:div>
                <w:div w:id="1579555595">
                  <w:marLeft w:val="0"/>
                  <w:marRight w:val="0"/>
                  <w:marTop w:val="0"/>
                  <w:marBottom w:val="0"/>
                  <w:divBdr>
                    <w:top w:val="none" w:sz="0" w:space="0" w:color="auto"/>
                    <w:left w:val="none" w:sz="0" w:space="0" w:color="auto"/>
                    <w:bottom w:val="none" w:sz="0" w:space="0" w:color="auto"/>
                    <w:right w:val="none" w:sz="0" w:space="0" w:color="auto"/>
                  </w:divBdr>
                  <w:divsChild>
                    <w:div w:id="994605891">
                      <w:marLeft w:val="0"/>
                      <w:marRight w:val="0"/>
                      <w:marTop w:val="0"/>
                      <w:marBottom w:val="0"/>
                      <w:divBdr>
                        <w:top w:val="none" w:sz="0" w:space="0" w:color="auto"/>
                        <w:left w:val="none" w:sz="0" w:space="0" w:color="auto"/>
                        <w:bottom w:val="none" w:sz="0" w:space="0" w:color="auto"/>
                        <w:right w:val="none" w:sz="0" w:space="0" w:color="auto"/>
                      </w:divBdr>
                    </w:div>
                  </w:divsChild>
                </w:div>
                <w:div w:id="1588075155">
                  <w:marLeft w:val="0"/>
                  <w:marRight w:val="0"/>
                  <w:marTop w:val="0"/>
                  <w:marBottom w:val="0"/>
                  <w:divBdr>
                    <w:top w:val="none" w:sz="0" w:space="0" w:color="auto"/>
                    <w:left w:val="none" w:sz="0" w:space="0" w:color="auto"/>
                    <w:bottom w:val="none" w:sz="0" w:space="0" w:color="auto"/>
                    <w:right w:val="none" w:sz="0" w:space="0" w:color="auto"/>
                  </w:divBdr>
                  <w:divsChild>
                    <w:div w:id="426773284">
                      <w:marLeft w:val="0"/>
                      <w:marRight w:val="0"/>
                      <w:marTop w:val="0"/>
                      <w:marBottom w:val="0"/>
                      <w:divBdr>
                        <w:top w:val="none" w:sz="0" w:space="0" w:color="auto"/>
                        <w:left w:val="none" w:sz="0" w:space="0" w:color="auto"/>
                        <w:bottom w:val="none" w:sz="0" w:space="0" w:color="auto"/>
                        <w:right w:val="none" w:sz="0" w:space="0" w:color="auto"/>
                      </w:divBdr>
                    </w:div>
                  </w:divsChild>
                </w:div>
                <w:div w:id="1598174772">
                  <w:marLeft w:val="0"/>
                  <w:marRight w:val="0"/>
                  <w:marTop w:val="0"/>
                  <w:marBottom w:val="0"/>
                  <w:divBdr>
                    <w:top w:val="none" w:sz="0" w:space="0" w:color="auto"/>
                    <w:left w:val="none" w:sz="0" w:space="0" w:color="auto"/>
                    <w:bottom w:val="none" w:sz="0" w:space="0" w:color="auto"/>
                    <w:right w:val="none" w:sz="0" w:space="0" w:color="auto"/>
                  </w:divBdr>
                  <w:divsChild>
                    <w:div w:id="1279026732">
                      <w:marLeft w:val="0"/>
                      <w:marRight w:val="0"/>
                      <w:marTop w:val="0"/>
                      <w:marBottom w:val="0"/>
                      <w:divBdr>
                        <w:top w:val="none" w:sz="0" w:space="0" w:color="auto"/>
                        <w:left w:val="none" w:sz="0" w:space="0" w:color="auto"/>
                        <w:bottom w:val="none" w:sz="0" w:space="0" w:color="auto"/>
                        <w:right w:val="none" w:sz="0" w:space="0" w:color="auto"/>
                      </w:divBdr>
                    </w:div>
                  </w:divsChild>
                </w:div>
                <w:div w:id="1617712949">
                  <w:marLeft w:val="0"/>
                  <w:marRight w:val="0"/>
                  <w:marTop w:val="0"/>
                  <w:marBottom w:val="0"/>
                  <w:divBdr>
                    <w:top w:val="none" w:sz="0" w:space="0" w:color="auto"/>
                    <w:left w:val="none" w:sz="0" w:space="0" w:color="auto"/>
                    <w:bottom w:val="none" w:sz="0" w:space="0" w:color="auto"/>
                    <w:right w:val="none" w:sz="0" w:space="0" w:color="auto"/>
                  </w:divBdr>
                  <w:divsChild>
                    <w:div w:id="1000503500">
                      <w:marLeft w:val="0"/>
                      <w:marRight w:val="0"/>
                      <w:marTop w:val="0"/>
                      <w:marBottom w:val="0"/>
                      <w:divBdr>
                        <w:top w:val="none" w:sz="0" w:space="0" w:color="auto"/>
                        <w:left w:val="none" w:sz="0" w:space="0" w:color="auto"/>
                        <w:bottom w:val="none" w:sz="0" w:space="0" w:color="auto"/>
                        <w:right w:val="none" w:sz="0" w:space="0" w:color="auto"/>
                      </w:divBdr>
                    </w:div>
                  </w:divsChild>
                </w:div>
                <w:div w:id="1653870049">
                  <w:marLeft w:val="0"/>
                  <w:marRight w:val="0"/>
                  <w:marTop w:val="0"/>
                  <w:marBottom w:val="0"/>
                  <w:divBdr>
                    <w:top w:val="none" w:sz="0" w:space="0" w:color="auto"/>
                    <w:left w:val="none" w:sz="0" w:space="0" w:color="auto"/>
                    <w:bottom w:val="none" w:sz="0" w:space="0" w:color="auto"/>
                    <w:right w:val="none" w:sz="0" w:space="0" w:color="auto"/>
                  </w:divBdr>
                  <w:divsChild>
                    <w:div w:id="137919512">
                      <w:marLeft w:val="0"/>
                      <w:marRight w:val="0"/>
                      <w:marTop w:val="0"/>
                      <w:marBottom w:val="0"/>
                      <w:divBdr>
                        <w:top w:val="none" w:sz="0" w:space="0" w:color="auto"/>
                        <w:left w:val="none" w:sz="0" w:space="0" w:color="auto"/>
                        <w:bottom w:val="none" w:sz="0" w:space="0" w:color="auto"/>
                        <w:right w:val="none" w:sz="0" w:space="0" w:color="auto"/>
                      </w:divBdr>
                    </w:div>
                  </w:divsChild>
                </w:div>
                <w:div w:id="1684169173">
                  <w:marLeft w:val="0"/>
                  <w:marRight w:val="0"/>
                  <w:marTop w:val="0"/>
                  <w:marBottom w:val="0"/>
                  <w:divBdr>
                    <w:top w:val="none" w:sz="0" w:space="0" w:color="auto"/>
                    <w:left w:val="none" w:sz="0" w:space="0" w:color="auto"/>
                    <w:bottom w:val="none" w:sz="0" w:space="0" w:color="auto"/>
                    <w:right w:val="none" w:sz="0" w:space="0" w:color="auto"/>
                  </w:divBdr>
                  <w:divsChild>
                    <w:div w:id="778061011">
                      <w:marLeft w:val="0"/>
                      <w:marRight w:val="0"/>
                      <w:marTop w:val="0"/>
                      <w:marBottom w:val="0"/>
                      <w:divBdr>
                        <w:top w:val="none" w:sz="0" w:space="0" w:color="auto"/>
                        <w:left w:val="none" w:sz="0" w:space="0" w:color="auto"/>
                        <w:bottom w:val="none" w:sz="0" w:space="0" w:color="auto"/>
                        <w:right w:val="none" w:sz="0" w:space="0" w:color="auto"/>
                      </w:divBdr>
                    </w:div>
                  </w:divsChild>
                </w:div>
                <w:div w:id="1692804468">
                  <w:marLeft w:val="0"/>
                  <w:marRight w:val="0"/>
                  <w:marTop w:val="0"/>
                  <w:marBottom w:val="0"/>
                  <w:divBdr>
                    <w:top w:val="none" w:sz="0" w:space="0" w:color="auto"/>
                    <w:left w:val="none" w:sz="0" w:space="0" w:color="auto"/>
                    <w:bottom w:val="none" w:sz="0" w:space="0" w:color="auto"/>
                    <w:right w:val="none" w:sz="0" w:space="0" w:color="auto"/>
                  </w:divBdr>
                  <w:divsChild>
                    <w:div w:id="1795368949">
                      <w:marLeft w:val="0"/>
                      <w:marRight w:val="0"/>
                      <w:marTop w:val="0"/>
                      <w:marBottom w:val="0"/>
                      <w:divBdr>
                        <w:top w:val="none" w:sz="0" w:space="0" w:color="auto"/>
                        <w:left w:val="none" w:sz="0" w:space="0" w:color="auto"/>
                        <w:bottom w:val="none" w:sz="0" w:space="0" w:color="auto"/>
                        <w:right w:val="none" w:sz="0" w:space="0" w:color="auto"/>
                      </w:divBdr>
                    </w:div>
                  </w:divsChild>
                </w:div>
                <w:div w:id="1705131905">
                  <w:marLeft w:val="0"/>
                  <w:marRight w:val="0"/>
                  <w:marTop w:val="0"/>
                  <w:marBottom w:val="0"/>
                  <w:divBdr>
                    <w:top w:val="none" w:sz="0" w:space="0" w:color="auto"/>
                    <w:left w:val="none" w:sz="0" w:space="0" w:color="auto"/>
                    <w:bottom w:val="none" w:sz="0" w:space="0" w:color="auto"/>
                    <w:right w:val="none" w:sz="0" w:space="0" w:color="auto"/>
                  </w:divBdr>
                  <w:divsChild>
                    <w:div w:id="1666006069">
                      <w:marLeft w:val="0"/>
                      <w:marRight w:val="0"/>
                      <w:marTop w:val="0"/>
                      <w:marBottom w:val="0"/>
                      <w:divBdr>
                        <w:top w:val="none" w:sz="0" w:space="0" w:color="auto"/>
                        <w:left w:val="none" w:sz="0" w:space="0" w:color="auto"/>
                        <w:bottom w:val="none" w:sz="0" w:space="0" w:color="auto"/>
                        <w:right w:val="none" w:sz="0" w:space="0" w:color="auto"/>
                      </w:divBdr>
                    </w:div>
                  </w:divsChild>
                </w:div>
                <w:div w:id="1712881540">
                  <w:marLeft w:val="0"/>
                  <w:marRight w:val="0"/>
                  <w:marTop w:val="0"/>
                  <w:marBottom w:val="0"/>
                  <w:divBdr>
                    <w:top w:val="none" w:sz="0" w:space="0" w:color="auto"/>
                    <w:left w:val="none" w:sz="0" w:space="0" w:color="auto"/>
                    <w:bottom w:val="none" w:sz="0" w:space="0" w:color="auto"/>
                    <w:right w:val="none" w:sz="0" w:space="0" w:color="auto"/>
                  </w:divBdr>
                  <w:divsChild>
                    <w:div w:id="322857207">
                      <w:marLeft w:val="0"/>
                      <w:marRight w:val="0"/>
                      <w:marTop w:val="0"/>
                      <w:marBottom w:val="0"/>
                      <w:divBdr>
                        <w:top w:val="none" w:sz="0" w:space="0" w:color="auto"/>
                        <w:left w:val="none" w:sz="0" w:space="0" w:color="auto"/>
                        <w:bottom w:val="none" w:sz="0" w:space="0" w:color="auto"/>
                        <w:right w:val="none" w:sz="0" w:space="0" w:color="auto"/>
                      </w:divBdr>
                    </w:div>
                  </w:divsChild>
                </w:div>
                <w:div w:id="1715033897">
                  <w:marLeft w:val="0"/>
                  <w:marRight w:val="0"/>
                  <w:marTop w:val="0"/>
                  <w:marBottom w:val="0"/>
                  <w:divBdr>
                    <w:top w:val="none" w:sz="0" w:space="0" w:color="auto"/>
                    <w:left w:val="none" w:sz="0" w:space="0" w:color="auto"/>
                    <w:bottom w:val="none" w:sz="0" w:space="0" w:color="auto"/>
                    <w:right w:val="none" w:sz="0" w:space="0" w:color="auto"/>
                  </w:divBdr>
                  <w:divsChild>
                    <w:div w:id="1168250143">
                      <w:marLeft w:val="0"/>
                      <w:marRight w:val="0"/>
                      <w:marTop w:val="0"/>
                      <w:marBottom w:val="0"/>
                      <w:divBdr>
                        <w:top w:val="none" w:sz="0" w:space="0" w:color="auto"/>
                        <w:left w:val="none" w:sz="0" w:space="0" w:color="auto"/>
                        <w:bottom w:val="none" w:sz="0" w:space="0" w:color="auto"/>
                        <w:right w:val="none" w:sz="0" w:space="0" w:color="auto"/>
                      </w:divBdr>
                    </w:div>
                  </w:divsChild>
                </w:div>
                <w:div w:id="1720009841">
                  <w:marLeft w:val="0"/>
                  <w:marRight w:val="0"/>
                  <w:marTop w:val="0"/>
                  <w:marBottom w:val="0"/>
                  <w:divBdr>
                    <w:top w:val="none" w:sz="0" w:space="0" w:color="auto"/>
                    <w:left w:val="none" w:sz="0" w:space="0" w:color="auto"/>
                    <w:bottom w:val="none" w:sz="0" w:space="0" w:color="auto"/>
                    <w:right w:val="none" w:sz="0" w:space="0" w:color="auto"/>
                  </w:divBdr>
                  <w:divsChild>
                    <w:div w:id="1593663694">
                      <w:marLeft w:val="0"/>
                      <w:marRight w:val="0"/>
                      <w:marTop w:val="0"/>
                      <w:marBottom w:val="0"/>
                      <w:divBdr>
                        <w:top w:val="none" w:sz="0" w:space="0" w:color="auto"/>
                        <w:left w:val="none" w:sz="0" w:space="0" w:color="auto"/>
                        <w:bottom w:val="none" w:sz="0" w:space="0" w:color="auto"/>
                        <w:right w:val="none" w:sz="0" w:space="0" w:color="auto"/>
                      </w:divBdr>
                    </w:div>
                  </w:divsChild>
                </w:div>
                <w:div w:id="1723098331">
                  <w:marLeft w:val="0"/>
                  <w:marRight w:val="0"/>
                  <w:marTop w:val="0"/>
                  <w:marBottom w:val="0"/>
                  <w:divBdr>
                    <w:top w:val="none" w:sz="0" w:space="0" w:color="auto"/>
                    <w:left w:val="none" w:sz="0" w:space="0" w:color="auto"/>
                    <w:bottom w:val="none" w:sz="0" w:space="0" w:color="auto"/>
                    <w:right w:val="none" w:sz="0" w:space="0" w:color="auto"/>
                  </w:divBdr>
                  <w:divsChild>
                    <w:div w:id="1617178043">
                      <w:marLeft w:val="0"/>
                      <w:marRight w:val="0"/>
                      <w:marTop w:val="0"/>
                      <w:marBottom w:val="0"/>
                      <w:divBdr>
                        <w:top w:val="none" w:sz="0" w:space="0" w:color="auto"/>
                        <w:left w:val="none" w:sz="0" w:space="0" w:color="auto"/>
                        <w:bottom w:val="none" w:sz="0" w:space="0" w:color="auto"/>
                        <w:right w:val="none" w:sz="0" w:space="0" w:color="auto"/>
                      </w:divBdr>
                    </w:div>
                  </w:divsChild>
                </w:div>
                <w:div w:id="1763986719">
                  <w:marLeft w:val="0"/>
                  <w:marRight w:val="0"/>
                  <w:marTop w:val="0"/>
                  <w:marBottom w:val="0"/>
                  <w:divBdr>
                    <w:top w:val="none" w:sz="0" w:space="0" w:color="auto"/>
                    <w:left w:val="none" w:sz="0" w:space="0" w:color="auto"/>
                    <w:bottom w:val="none" w:sz="0" w:space="0" w:color="auto"/>
                    <w:right w:val="none" w:sz="0" w:space="0" w:color="auto"/>
                  </w:divBdr>
                  <w:divsChild>
                    <w:div w:id="1539397217">
                      <w:marLeft w:val="0"/>
                      <w:marRight w:val="0"/>
                      <w:marTop w:val="0"/>
                      <w:marBottom w:val="0"/>
                      <w:divBdr>
                        <w:top w:val="none" w:sz="0" w:space="0" w:color="auto"/>
                        <w:left w:val="none" w:sz="0" w:space="0" w:color="auto"/>
                        <w:bottom w:val="none" w:sz="0" w:space="0" w:color="auto"/>
                        <w:right w:val="none" w:sz="0" w:space="0" w:color="auto"/>
                      </w:divBdr>
                    </w:div>
                  </w:divsChild>
                </w:div>
                <w:div w:id="1768652090">
                  <w:marLeft w:val="0"/>
                  <w:marRight w:val="0"/>
                  <w:marTop w:val="0"/>
                  <w:marBottom w:val="0"/>
                  <w:divBdr>
                    <w:top w:val="none" w:sz="0" w:space="0" w:color="auto"/>
                    <w:left w:val="none" w:sz="0" w:space="0" w:color="auto"/>
                    <w:bottom w:val="none" w:sz="0" w:space="0" w:color="auto"/>
                    <w:right w:val="none" w:sz="0" w:space="0" w:color="auto"/>
                  </w:divBdr>
                  <w:divsChild>
                    <w:div w:id="103699131">
                      <w:marLeft w:val="0"/>
                      <w:marRight w:val="0"/>
                      <w:marTop w:val="0"/>
                      <w:marBottom w:val="0"/>
                      <w:divBdr>
                        <w:top w:val="none" w:sz="0" w:space="0" w:color="auto"/>
                        <w:left w:val="none" w:sz="0" w:space="0" w:color="auto"/>
                        <w:bottom w:val="none" w:sz="0" w:space="0" w:color="auto"/>
                        <w:right w:val="none" w:sz="0" w:space="0" w:color="auto"/>
                      </w:divBdr>
                    </w:div>
                  </w:divsChild>
                </w:div>
                <w:div w:id="1786071905">
                  <w:marLeft w:val="0"/>
                  <w:marRight w:val="0"/>
                  <w:marTop w:val="0"/>
                  <w:marBottom w:val="0"/>
                  <w:divBdr>
                    <w:top w:val="none" w:sz="0" w:space="0" w:color="auto"/>
                    <w:left w:val="none" w:sz="0" w:space="0" w:color="auto"/>
                    <w:bottom w:val="none" w:sz="0" w:space="0" w:color="auto"/>
                    <w:right w:val="none" w:sz="0" w:space="0" w:color="auto"/>
                  </w:divBdr>
                  <w:divsChild>
                    <w:div w:id="467628316">
                      <w:marLeft w:val="0"/>
                      <w:marRight w:val="0"/>
                      <w:marTop w:val="0"/>
                      <w:marBottom w:val="0"/>
                      <w:divBdr>
                        <w:top w:val="none" w:sz="0" w:space="0" w:color="auto"/>
                        <w:left w:val="none" w:sz="0" w:space="0" w:color="auto"/>
                        <w:bottom w:val="none" w:sz="0" w:space="0" w:color="auto"/>
                        <w:right w:val="none" w:sz="0" w:space="0" w:color="auto"/>
                      </w:divBdr>
                    </w:div>
                  </w:divsChild>
                </w:div>
                <w:div w:id="1786268616">
                  <w:marLeft w:val="0"/>
                  <w:marRight w:val="0"/>
                  <w:marTop w:val="0"/>
                  <w:marBottom w:val="0"/>
                  <w:divBdr>
                    <w:top w:val="none" w:sz="0" w:space="0" w:color="auto"/>
                    <w:left w:val="none" w:sz="0" w:space="0" w:color="auto"/>
                    <w:bottom w:val="none" w:sz="0" w:space="0" w:color="auto"/>
                    <w:right w:val="none" w:sz="0" w:space="0" w:color="auto"/>
                  </w:divBdr>
                  <w:divsChild>
                    <w:div w:id="1135099951">
                      <w:marLeft w:val="0"/>
                      <w:marRight w:val="0"/>
                      <w:marTop w:val="0"/>
                      <w:marBottom w:val="0"/>
                      <w:divBdr>
                        <w:top w:val="none" w:sz="0" w:space="0" w:color="auto"/>
                        <w:left w:val="none" w:sz="0" w:space="0" w:color="auto"/>
                        <w:bottom w:val="none" w:sz="0" w:space="0" w:color="auto"/>
                        <w:right w:val="none" w:sz="0" w:space="0" w:color="auto"/>
                      </w:divBdr>
                    </w:div>
                  </w:divsChild>
                </w:div>
                <w:div w:id="1820147024">
                  <w:marLeft w:val="0"/>
                  <w:marRight w:val="0"/>
                  <w:marTop w:val="0"/>
                  <w:marBottom w:val="0"/>
                  <w:divBdr>
                    <w:top w:val="none" w:sz="0" w:space="0" w:color="auto"/>
                    <w:left w:val="none" w:sz="0" w:space="0" w:color="auto"/>
                    <w:bottom w:val="none" w:sz="0" w:space="0" w:color="auto"/>
                    <w:right w:val="none" w:sz="0" w:space="0" w:color="auto"/>
                  </w:divBdr>
                  <w:divsChild>
                    <w:div w:id="1576892417">
                      <w:marLeft w:val="0"/>
                      <w:marRight w:val="0"/>
                      <w:marTop w:val="0"/>
                      <w:marBottom w:val="0"/>
                      <w:divBdr>
                        <w:top w:val="none" w:sz="0" w:space="0" w:color="auto"/>
                        <w:left w:val="none" w:sz="0" w:space="0" w:color="auto"/>
                        <w:bottom w:val="none" w:sz="0" w:space="0" w:color="auto"/>
                        <w:right w:val="none" w:sz="0" w:space="0" w:color="auto"/>
                      </w:divBdr>
                    </w:div>
                  </w:divsChild>
                </w:div>
                <w:div w:id="1828403860">
                  <w:marLeft w:val="0"/>
                  <w:marRight w:val="0"/>
                  <w:marTop w:val="0"/>
                  <w:marBottom w:val="0"/>
                  <w:divBdr>
                    <w:top w:val="none" w:sz="0" w:space="0" w:color="auto"/>
                    <w:left w:val="none" w:sz="0" w:space="0" w:color="auto"/>
                    <w:bottom w:val="none" w:sz="0" w:space="0" w:color="auto"/>
                    <w:right w:val="none" w:sz="0" w:space="0" w:color="auto"/>
                  </w:divBdr>
                  <w:divsChild>
                    <w:div w:id="2068066290">
                      <w:marLeft w:val="0"/>
                      <w:marRight w:val="0"/>
                      <w:marTop w:val="0"/>
                      <w:marBottom w:val="0"/>
                      <w:divBdr>
                        <w:top w:val="none" w:sz="0" w:space="0" w:color="auto"/>
                        <w:left w:val="none" w:sz="0" w:space="0" w:color="auto"/>
                        <w:bottom w:val="none" w:sz="0" w:space="0" w:color="auto"/>
                        <w:right w:val="none" w:sz="0" w:space="0" w:color="auto"/>
                      </w:divBdr>
                    </w:div>
                  </w:divsChild>
                </w:div>
                <w:div w:id="1894999842">
                  <w:marLeft w:val="0"/>
                  <w:marRight w:val="0"/>
                  <w:marTop w:val="0"/>
                  <w:marBottom w:val="0"/>
                  <w:divBdr>
                    <w:top w:val="none" w:sz="0" w:space="0" w:color="auto"/>
                    <w:left w:val="none" w:sz="0" w:space="0" w:color="auto"/>
                    <w:bottom w:val="none" w:sz="0" w:space="0" w:color="auto"/>
                    <w:right w:val="none" w:sz="0" w:space="0" w:color="auto"/>
                  </w:divBdr>
                  <w:divsChild>
                    <w:div w:id="68427327">
                      <w:marLeft w:val="0"/>
                      <w:marRight w:val="0"/>
                      <w:marTop w:val="0"/>
                      <w:marBottom w:val="0"/>
                      <w:divBdr>
                        <w:top w:val="none" w:sz="0" w:space="0" w:color="auto"/>
                        <w:left w:val="none" w:sz="0" w:space="0" w:color="auto"/>
                        <w:bottom w:val="none" w:sz="0" w:space="0" w:color="auto"/>
                        <w:right w:val="none" w:sz="0" w:space="0" w:color="auto"/>
                      </w:divBdr>
                    </w:div>
                  </w:divsChild>
                </w:div>
                <w:div w:id="1901093040">
                  <w:marLeft w:val="0"/>
                  <w:marRight w:val="0"/>
                  <w:marTop w:val="0"/>
                  <w:marBottom w:val="0"/>
                  <w:divBdr>
                    <w:top w:val="none" w:sz="0" w:space="0" w:color="auto"/>
                    <w:left w:val="none" w:sz="0" w:space="0" w:color="auto"/>
                    <w:bottom w:val="none" w:sz="0" w:space="0" w:color="auto"/>
                    <w:right w:val="none" w:sz="0" w:space="0" w:color="auto"/>
                  </w:divBdr>
                  <w:divsChild>
                    <w:div w:id="1746685990">
                      <w:marLeft w:val="0"/>
                      <w:marRight w:val="0"/>
                      <w:marTop w:val="0"/>
                      <w:marBottom w:val="0"/>
                      <w:divBdr>
                        <w:top w:val="none" w:sz="0" w:space="0" w:color="auto"/>
                        <w:left w:val="none" w:sz="0" w:space="0" w:color="auto"/>
                        <w:bottom w:val="none" w:sz="0" w:space="0" w:color="auto"/>
                        <w:right w:val="none" w:sz="0" w:space="0" w:color="auto"/>
                      </w:divBdr>
                    </w:div>
                  </w:divsChild>
                </w:div>
                <w:div w:id="1901398840">
                  <w:marLeft w:val="0"/>
                  <w:marRight w:val="0"/>
                  <w:marTop w:val="0"/>
                  <w:marBottom w:val="0"/>
                  <w:divBdr>
                    <w:top w:val="none" w:sz="0" w:space="0" w:color="auto"/>
                    <w:left w:val="none" w:sz="0" w:space="0" w:color="auto"/>
                    <w:bottom w:val="none" w:sz="0" w:space="0" w:color="auto"/>
                    <w:right w:val="none" w:sz="0" w:space="0" w:color="auto"/>
                  </w:divBdr>
                  <w:divsChild>
                    <w:div w:id="328487347">
                      <w:marLeft w:val="0"/>
                      <w:marRight w:val="0"/>
                      <w:marTop w:val="0"/>
                      <w:marBottom w:val="0"/>
                      <w:divBdr>
                        <w:top w:val="none" w:sz="0" w:space="0" w:color="auto"/>
                        <w:left w:val="none" w:sz="0" w:space="0" w:color="auto"/>
                        <w:bottom w:val="none" w:sz="0" w:space="0" w:color="auto"/>
                        <w:right w:val="none" w:sz="0" w:space="0" w:color="auto"/>
                      </w:divBdr>
                    </w:div>
                  </w:divsChild>
                </w:div>
                <w:div w:id="1914771913">
                  <w:marLeft w:val="0"/>
                  <w:marRight w:val="0"/>
                  <w:marTop w:val="0"/>
                  <w:marBottom w:val="0"/>
                  <w:divBdr>
                    <w:top w:val="none" w:sz="0" w:space="0" w:color="auto"/>
                    <w:left w:val="none" w:sz="0" w:space="0" w:color="auto"/>
                    <w:bottom w:val="none" w:sz="0" w:space="0" w:color="auto"/>
                    <w:right w:val="none" w:sz="0" w:space="0" w:color="auto"/>
                  </w:divBdr>
                  <w:divsChild>
                    <w:div w:id="775055961">
                      <w:marLeft w:val="0"/>
                      <w:marRight w:val="0"/>
                      <w:marTop w:val="0"/>
                      <w:marBottom w:val="0"/>
                      <w:divBdr>
                        <w:top w:val="none" w:sz="0" w:space="0" w:color="auto"/>
                        <w:left w:val="none" w:sz="0" w:space="0" w:color="auto"/>
                        <w:bottom w:val="none" w:sz="0" w:space="0" w:color="auto"/>
                        <w:right w:val="none" w:sz="0" w:space="0" w:color="auto"/>
                      </w:divBdr>
                    </w:div>
                  </w:divsChild>
                </w:div>
                <w:div w:id="1921909644">
                  <w:marLeft w:val="0"/>
                  <w:marRight w:val="0"/>
                  <w:marTop w:val="0"/>
                  <w:marBottom w:val="0"/>
                  <w:divBdr>
                    <w:top w:val="none" w:sz="0" w:space="0" w:color="auto"/>
                    <w:left w:val="none" w:sz="0" w:space="0" w:color="auto"/>
                    <w:bottom w:val="none" w:sz="0" w:space="0" w:color="auto"/>
                    <w:right w:val="none" w:sz="0" w:space="0" w:color="auto"/>
                  </w:divBdr>
                  <w:divsChild>
                    <w:div w:id="604771816">
                      <w:marLeft w:val="0"/>
                      <w:marRight w:val="0"/>
                      <w:marTop w:val="0"/>
                      <w:marBottom w:val="0"/>
                      <w:divBdr>
                        <w:top w:val="none" w:sz="0" w:space="0" w:color="auto"/>
                        <w:left w:val="none" w:sz="0" w:space="0" w:color="auto"/>
                        <w:bottom w:val="none" w:sz="0" w:space="0" w:color="auto"/>
                        <w:right w:val="none" w:sz="0" w:space="0" w:color="auto"/>
                      </w:divBdr>
                    </w:div>
                  </w:divsChild>
                </w:div>
                <w:div w:id="1927760973">
                  <w:marLeft w:val="0"/>
                  <w:marRight w:val="0"/>
                  <w:marTop w:val="0"/>
                  <w:marBottom w:val="0"/>
                  <w:divBdr>
                    <w:top w:val="none" w:sz="0" w:space="0" w:color="auto"/>
                    <w:left w:val="none" w:sz="0" w:space="0" w:color="auto"/>
                    <w:bottom w:val="none" w:sz="0" w:space="0" w:color="auto"/>
                    <w:right w:val="none" w:sz="0" w:space="0" w:color="auto"/>
                  </w:divBdr>
                  <w:divsChild>
                    <w:div w:id="1310212510">
                      <w:marLeft w:val="0"/>
                      <w:marRight w:val="0"/>
                      <w:marTop w:val="0"/>
                      <w:marBottom w:val="0"/>
                      <w:divBdr>
                        <w:top w:val="none" w:sz="0" w:space="0" w:color="auto"/>
                        <w:left w:val="none" w:sz="0" w:space="0" w:color="auto"/>
                        <w:bottom w:val="none" w:sz="0" w:space="0" w:color="auto"/>
                        <w:right w:val="none" w:sz="0" w:space="0" w:color="auto"/>
                      </w:divBdr>
                    </w:div>
                  </w:divsChild>
                </w:div>
                <w:div w:id="1929728686">
                  <w:marLeft w:val="0"/>
                  <w:marRight w:val="0"/>
                  <w:marTop w:val="0"/>
                  <w:marBottom w:val="0"/>
                  <w:divBdr>
                    <w:top w:val="none" w:sz="0" w:space="0" w:color="auto"/>
                    <w:left w:val="none" w:sz="0" w:space="0" w:color="auto"/>
                    <w:bottom w:val="none" w:sz="0" w:space="0" w:color="auto"/>
                    <w:right w:val="none" w:sz="0" w:space="0" w:color="auto"/>
                  </w:divBdr>
                  <w:divsChild>
                    <w:div w:id="710541442">
                      <w:marLeft w:val="0"/>
                      <w:marRight w:val="0"/>
                      <w:marTop w:val="0"/>
                      <w:marBottom w:val="0"/>
                      <w:divBdr>
                        <w:top w:val="none" w:sz="0" w:space="0" w:color="auto"/>
                        <w:left w:val="none" w:sz="0" w:space="0" w:color="auto"/>
                        <w:bottom w:val="none" w:sz="0" w:space="0" w:color="auto"/>
                        <w:right w:val="none" w:sz="0" w:space="0" w:color="auto"/>
                      </w:divBdr>
                    </w:div>
                  </w:divsChild>
                </w:div>
                <w:div w:id="2029603959">
                  <w:marLeft w:val="0"/>
                  <w:marRight w:val="0"/>
                  <w:marTop w:val="0"/>
                  <w:marBottom w:val="0"/>
                  <w:divBdr>
                    <w:top w:val="none" w:sz="0" w:space="0" w:color="auto"/>
                    <w:left w:val="none" w:sz="0" w:space="0" w:color="auto"/>
                    <w:bottom w:val="none" w:sz="0" w:space="0" w:color="auto"/>
                    <w:right w:val="none" w:sz="0" w:space="0" w:color="auto"/>
                  </w:divBdr>
                  <w:divsChild>
                    <w:div w:id="778722347">
                      <w:marLeft w:val="0"/>
                      <w:marRight w:val="0"/>
                      <w:marTop w:val="0"/>
                      <w:marBottom w:val="0"/>
                      <w:divBdr>
                        <w:top w:val="none" w:sz="0" w:space="0" w:color="auto"/>
                        <w:left w:val="none" w:sz="0" w:space="0" w:color="auto"/>
                        <w:bottom w:val="none" w:sz="0" w:space="0" w:color="auto"/>
                        <w:right w:val="none" w:sz="0" w:space="0" w:color="auto"/>
                      </w:divBdr>
                    </w:div>
                  </w:divsChild>
                </w:div>
                <w:div w:id="2071728463">
                  <w:marLeft w:val="0"/>
                  <w:marRight w:val="0"/>
                  <w:marTop w:val="0"/>
                  <w:marBottom w:val="0"/>
                  <w:divBdr>
                    <w:top w:val="none" w:sz="0" w:space="0" w:color="auto"/>
                    <w:left w:val="none" w:sz="0" w:space="0" w:color="auto"/>
                    <w:bottom w:val="none" w:sz="0" w:space="0" w:color="auto"/>
                    <w:right w:val="none" w:sz="0" w:space="0" w:color="auto"/>
                  </w:divBdr>
                  <w:divsChild>
                    <w:div w:id="1188132071">
                      <w:marLeft w:val="0"/>
                      <w:marRight w:val="0"/>
                      <w:marTop w:val="0"/>
                      <w:marBottom w:val="0"/>
                      <w:divBdr>
                        <w:top w:val="none" w:sz="0" w:space="0" w:color="auto"/>
                        <w:left w:val="none" w:sz="0" w:space="0" w:color="auto"/>
                        <w:bottom w:val="none" w:sz="0" w:space="0" w:color="auto"/>
                        <w:right w:val="none" w:sz="0" w:space="0" w:color="auto"/>
                      </w:divBdr>
                    </w:div>
                  </w:divsChild>
                </w:div>
                <w:div w:id="2074153786">
                  <w:marLeft w:val="0"/>
                  <w:marRight w:val="0"/>
                  <w:marTop w:val="0"/>
                  <w:marBottom w:val="0"/>
                  <w:divBdr>
                    <w:top w:val="none" w:sz="0" w:space="0" w:color="auto"/>
                    <w:left w:val="none" w:sz="0" w:space="0" w:color="auto"/>
                    <w:bottom w:val="none" w:sz="0" w:space="0" w:color="auto"/>
                    <w:right w:val="none" w:sz="0" w:space="0" w:color="auto"/>
                  </w:divBdr>
                  <w:divsChild>
                    <w:div w:id="91897450">
                      <w:marLeft w:val="0"/>
                      <w:marRight w:val="0"/>
                      <w:marTop w:val="0"/>
                      <w:marBottom w:val="0"/>
                      <w:divBdr>
                        <w:top w:val="none" w:sz="0" w:space="0" w:color="auto"/>
                        <w:left w:val="none" w:sz="0" w:space="0" w:color="auto"/>
                        <w:bottom w:val="none" w:sz="0" w:space="0" w:color="auto"/>
                        <w:right w:val="none" w:sz="0" w:space="0" w:color="auto"/>
                      </w:divBdr>
                    </w:div>
                  </w:divsChild>
                </w:div>
                <w:div w:id="2084134752">
                  <w:marLeft w:val="0"/>
                  <w:marRight w:val="0"/>
                  <w:marTop w:val="0"/>
                  <w:marBottom w:val="0"/>
                  <w:divBdr>
                    <w:top w:val="none" w:sz="0" w:space="0" w:color="auto"/>
                    <w:left w:val="none" w:sz="0" w:space="0" w:color="auto"/>
                    <w:bottom w:val="none" w:sz="0" w:space="0" w:color="auto"/>
                    <w:right w:val="none" w:sz="0" w:space="0" w:color="auto"/>
                  </w:divBdr>
                  <w:divsChild>
                    <w:div w:id="409036000">
                      <w:marLeft w:val="0"/>
                      <w:marRight w:val="0"/>
                      <w:marTop w:val="0"/>
                      <w:marBottom w:val="0"/>
                      <w:divBdr>
                        <w:top w:val="none" w:sz="0" w:space="0" w:color="auto"/>
                        <w:left w:val="none" w:sz="0" w:space="0" w:color="auto"/>
                        <w:bottom w:val="none" w:sz="0" w:space="0" w:color="auto"/>
                        <w:right w:val="none" w:sz="0" w:space="0" w:color="auto"/>
                      </w:divBdr>
                    </w:div>
                  </w:divsChild>
                </w:div>
                <w:div w:id="2093776062">
                  <w:marLeft w:val="0"/>
                  <w:marRight w:val="0"/>
                  <w:marTop w:val="0"/>
                  <w:marBottom w:val="0"/>
                  <w:divBdr>
                    <w:top w:val="none" w:sz="0" w:space="0" w:color="auto"/>
                    <w:left w:val="none" w:sz="0" w:space="0" w:color="auto"/>
                    <w:bottom w:val="none" w:sz="0" w:space="0" w:color="auto"/>
                    <w:right w:val="none" w:sz="0" w:space="0" w:color="auto"/>
                  </w:divBdr>
                  <w:divsChild>
                    <w:div w:id="868375979">
                      <w:marLeft w:val="0"/>
                      <w:marRight w:val="0"/>
                      <w:marTop w:val="0"/>
                      <w:marBottom w:val="0"/>
                      <w:divBdr>
                        <w:top w:val="none" w:sz="0" w:space="0" w:color="auto"/>
                        <w:left w:val="none" w:sz="0" w:space="0" w:color="auto"/>
                        <w:bottom w:val="none" w:sz="0" w:space="0" w:color="auto"/>
                        <w:right w:val="none" w:sz="0" w:space="0" w:color="auto"/>
                      </w:divBdr>
                    </w:div>
                  </w:divsChild>
                </w:div>
                <w:div w:id="2095861546">
                  <w:marLeft w:val="0"/>
                  <w:marRight w:val="0"/>
                  <w:marTop w:val="0"/>
                  <w:marBottom w:val="0"/>
                  <w:divBdr>
                    <w:top w:val="none" w:sz="0" w:space="0" w:color="auto"/>
                    <w:left w:val="none" w:sz="0" w:space="0" w:color="auto"/>
                    <w:bottom w:val="none" w:sz="0" w:space="0" w:color="auto"/>
                    <w:right w:val="none" w:sz="0" w:space="0" w:color="auto"/>
                  </w:divBdr>
                  <w:divsChild>
                    <w:div w:id="1822261223">
                      <w:marLeft w:val="0"/>
                      <w:marRight w:val="0"/>
                      <w:marTop w:val="0"/>
                      <w:marBottom w:val="0"/>
                      <w:divBdr>
                        <w:top w:val="none" w:sz="0" w:space="0" w:color="auto"/>
                        <w:left w:val="none" w:sz="0" w:space="0" w:color="auto"/>
                        <w:bottom w:val="none" w:sz="0" w:space="0" w:color="auto"/>
                        <w:right w:val="none" w:sz="0" w:space="0" w:color="auto"/>
                      </w:divBdr>
                    </w:div>
                  </w:divsChild>
                </w:div>
                <w:div w:id="2098403766">
                  <w:marLeft w:val="0"/>
                  <w:marRight w:val="0"/>
                  <w:marTop w:val="0"/>
                  <w:marBottom w:val="0"/>
                  <w:divBdr>
                    <w:top w:val="none" w:sz="0" w:space="0" w:color="auto"/>
                    <w:left w:val="none" w:sz="0" w:space="0" w:color="auto"/>
                    <w:bottom w:val="none" w:sz="0" w:space="0" w:color="auto"/>
                    <w:right w:val="none" w:sz="0" w:space="0" w:color="auto"/>
                  </w:divBdr>
                  <w:divsChild>
                    <w:div w:id="54160198">
                      <w:marLeft w:val="0"/>
                      <w:marRight w:val="0"/>
                      <w:marTop w:val="0"/>
                      <w:marBottom w:val="0"/>
                      <w:divBdr>
                        <w:top w:val="none" w:sz="0" w:space="0" w:color="auto"/>
                        <w:left w:val="none" w:sz="0" w:space="0" w:color="auto"/>
                        <w:bottom w:val="none" w:sz="0" w:space="0" w:color="auto"/>
                        <w:right w:val="none" w:sz="0" w:space="0" w:color="auto"/>
                      </w:divBdr>
                    </w:div>
                  </w:divsChild>
                </w:div>
                <w:div w:id="2124302998">
                  <w:marLeft w:val="0"/>
                  <w:marRight w:val="0"/>
                  <w:marTop w:val="0"/>
                  <w:marBottom w:val="0"/>
                  <w:divBdr>
                    <w:top w:val="none" w:sz="0" w:space="0" w:color="auto"/>
                    <w:left w:val="none" w:sz="0" w:space="0" w:color="auto"/>
                    <w:bottom w:val="none" w:sz="0" w:space="0" w:color="auto"/>
                    <w:right w:val="none" w:sz="0" w:space="0" w:color="auto"/>
                  </w:divBdr>
                  <w:divsChild>
                    <w:div w:id="79766260">
                      <w:marLeft w:val="0"/>
                      <w:marRight w:val="0"/>
                      <w:marTop w:val="0"/>
                      <w:marBottom w:val="0"/>
                      <w:divBdr>
                        <w:top w:val="none" w:sz="0" w:space="0" w:color="auto"/>
                        <w:left w:val="none" w:sz="0" w:space="0" w:color="auto"/>
                        <w:bottom w:val="none" w:sz="0" w:space="0" w:color="auto"/>
                        <w:right w:val="none" w:sz="0" w:space="0" w:color="auto"/>
                      </w:divBdr>
                    </w:div>
                  </w:divsChild>
                </w:div>
                <w:div w:id="2133014339">
                  <w:marLeft w:val="0"/>
                  <w:marRight w:val="0"/>
                  <w:marTop w:val="0"/>
                  <w:marBottom w:val="0"/>
                  <w:divBdr>
                    <w:top w:val="none" w:sz="0" w:space="0" w:color="auto"/>
                    <w:left w:val="none" w:sz="0" w:space="0" w:color="auto"/>
                    <w:bottom w:val="none" w:sz="0" w:space="0" w:color="auto"/>
                    <w:right w:val="none" w:sz="0" w:space="0" w:color="auto"/>
                  </w:divBdr>
                  <w:divsChild>
                    <w:div w:id="2064475153">
                      <w:marLeft w:val="0"/>
                      <w:marRight w:val="0"/>
                      <w:marTop w:val="0"/>
                      <w:marBottom w:val="0"/>
                      <w:divBdr>
                        <w:top w:val="none" w:sz="0" w:space="0" w:color="auto"/>
                        <w:left w:val="none" w:sz="0" w:space="0" w:color="auto"/>
                        <w:bottom w:val="none" w:sz="0" w:space="0" w:color="auto"/>
                        <w:right w:val="none" w:sz="0" w:space="0" w:color="auto"/>
                      </w:divBdr>
                    </w:div>
                  </w:divsChild>
                </w:div>
                <w:div w:id="2137680674">
                  <w:marLeft w:val="0"/>
                  <w:marRight w:val="0"/>
                  <w:marTop w:val="0"/>
                  <w:marBottom w:val="0"/>
                  <w:divBdr>
                    <w:top w:val="none" w:sz="0" w:space="0" w:color="auto"/>
                    <w:left w:val="none" w:sz="0" w:space="0" w:color="auto"/>
                    <w:bottom w:val="none" w:sz="0" w:space="0" w:color="auto"/>
                    <w:right w:val="none" w:sz="0" w:space="0" w:color="auto"/>
                  </w:divBdr>
                  <w:divsChild>
                    <w:div w:id="1394506167">
                      <w:marLeft w:val="0"/>
                      <w:marRight w:val="0"/>
                      <w:marTop w:val="0"/>
                      <w:marBottom w:val="0"/>
                      <w:divBdr>
                        <w:top w:val="none" w:sz="0" w:space="0" w:color="auto"/>
                        <w:left w:val="none" w:sz="0" w:space="0" w:color="auto"/>
                        <w:bottom w:val="none" w:sz="0" w:space="0" w:color="auto"/>
                        <w:right w:val="none" w:sz="0" w:space="0" w:color="auto"/>
                      </w:divBdr>
                    </w:div>
                  </w:divsChild>
                </w:div>
                <w:div w:id="2139953023">
                  <w:marLeft w:val="0"/>
                  <w:marRight w:val="0"/>
                  <w:marTop w:val="0"/>
                  <w:marBottom w:val="0"/>
                  <w:divBdr>
                    <w:top w:val="none" w:sz="0" w:space="0" w:color="auto"/>
                    <w:left w:val="none" w:sz="0" w:space="0" w:color="auto"/>
                    <w:bottom w:val="none" w:sz="0" w:space="0" w:color="auto"/>
                    <w:right w:val="none" w:sz="0" w:space="0" w:color="auto"/>
                  </w:divBdr>
                  <w:divsChild>
                    <w:div w:id="3976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85701">
          <w:marLeft w:val="0"/>
          <w:marRight w:val="0"/>
          <w:marTop w:val="0"/>
          <w:marBottom w:val="0"/>
          <w:divBdr>
            <w:top w:val="none" w:sz="0" w:space="0" w:color="auto"/>
            <w:left w:val="none" w:sz="0" w:space="0" w:color="auto"/>
            <w:bottom w:val="none" w:sz="0" w:space="0" w:color="auto"/>
            <w:right w:val="none" w:sz="0" w:space="0" w:color="auto"/>
          </w:divBdr>
        </w:div>
      </w:divsChild>
    </w:div>
    <w:div w:id="32385535">
      <w:bodyDiv w:val="1"/>
      <w:marLeft w:val="0"/>
      <w:marRight w:val="0"/>
      <w:marTop w:val="0"/>
      <w:marBottom w:val="0"/>
      <w:divBdr>
        <w:top w:val="none" w:sz="0" w:space="0" w:color="auto"/>
        <w:left w:val="none" w:sz="0" w:space="0" w:color="auto"/>
        <w:bottom w:val="none" w:sz="0" w:space="0" w:color="auto"/>
        <w:right w:val="none" w:sz="0" w:space="0" w:color="auto"/>
      </w:divBdr>
      <w:divsChild>
        <w:div w:id="42297750">
          <w:marLeft w:val="0"/>
          <w:marRight w:val="0"/>
          <w:marTop w:val="0"/>
          <w:marBottom w:val="0"/>
          <w:divBdr>
            <w:top w:val="none" w:sz="0" w:space="0" w:color="auto"/>
            <w:left w:val="none" w:sz="0" w:space="0" w:color="auto"/>
            <w:bottom w:val="none" w:sz="0" w:space="0" w:color="auto"/>
            <w:right w:val="none" w:sz="0" w:space="0" w:color="auto"/>
          </w:divBdr>
        </w:div>
        <w:div w:id="416168649">
          <w:marLeft w:val="0"/>
          <w:marRight w:val="0"/>
          <w:marTop w:val="0"/>
          <w:marBottom w:val="0"/>
          <w:divBdr>
            <w:top w:val="none" w:sz="0" w:space="0" w:color="auto"/>
            <w:left w:val="none" w:sz="0" w:space="0" w:color="auto"/>
            <w:bottom w:val="none" w:sz="0" w:space="0" w:color="auto"/>
            <w:right w:val="none" w:sz="0" w:space="0" w:color="auto"/>
          </w:divBdr>
        </w:div>
        <w:div w:id="459540410">
          <w:marLeft w:val="0"/>
          <w:marRight w:val="0"/>
          <w:marTop w:val="0"/>
          <w:marBottom w:val="0"/>
          <w:divBdr>
            <w:top w:val="none" w:sz="0" w:space="0" w:color="auto"/>
            <w:left w:val="none" w:sz="0" w:space="0" w:color="auto"/>
            <w:bottom w:val="none" w:sz="0" w:space="0" w:color="auto"/>
            <w:right w:val="none" w:sz="0" w:space="0" w:color="auto"/>
          </w:divBdr>
        </w:div>
        <w:div w:id="870800595">
          <w:marLeft w:val="0"/>
          <w:marRight w:val="0"/>
          <w:marTop w:val="0"/>
          <w:marBottom w:val="0"/>
          <w:divBdr>
            <w:top w:val="none" w:sz="0" w:space="0" w:color="auto"/>
            <w:left w:val="none" w:sz="0" w:space="0" w:color="auto"/>
            <w:bottom w:val="none" w:sz="0" w:space="0" w:color="auto"/>
            <w:right w:val="none" w:sz="0" w:space="0" w:color="auto"/>
          </w:divBdr>
        </w:div>
        <w:div w:id="898713889">
          <w:marLeft w:val="0"/>
          <w:marRight w:val="0"/>
          <w:marTop w:val="0"/>
          <w:marBottom w:val="0"/>
          <w:divBdr>
            <w:top w:val="none" w:sz="0" w:space="0" w:color="auto"/>
            <w:left w:val="none" w:sz="0" w:space="0" w:color="auto"/>
            <w:bottom w:val="none" w:sz="0" w:space="0" w:color="auto"/>
            <w:right w:val="none" w:sz="0" w:space="0" w:color="auto"/>
          </w:divBdr>
        </w:div>
        <w:div w:id="964968234">
          <w:marLeft w:val="0"/>
          <w:marRight w:val="0"/>
          <w:marTop w:val="0"/>
          <w:marBottom w:val="0"/>
          <w:divBdr>
            <w:top w:val="none" w:sz="0" w:space="0" w:color="auto"/>
            <w:left w:val="none" w:sz="0" w:space="0" w:color="auto"/>
            <w:bottom w:val="none" w:sz="0" w:space="0" w:color="auto"/>
            <w:right w:val="none" w:sz="0" w:space="0" w:color="auto"/>
          </w:divBdr>
        </w:div>
        <w:div w:id="976298246">
          <w:marLeft w:val="0"/>
          <w:marRight w:val="0"/>
          <w:marTop w:val="0"/>
          <w:marBottom w:val="0"/>
          <w:divBdr>
            <w:top w:val="none" w:sz="0" w:space="0" w:color="auto"/>
            <w:left w:val="none" w:sz="0" w:space="0" w:color="auto"/>
            <w:bottom w:val="none" w:sz="0" w:space="0" w:color="auto"/>
            <w:right w:val="none" w:sz="0" w:space="0" w:color="auto"/>
          </w:divBdr>
        </w:div>
        <w:div w:id="989480091">
          <w:marLeft w:val="0"/>
          <w:marRight w:val="0"/>
          <w:marTop w:val="0"/>
          <w:marBottom w:val="0"/>
          <w:divBdr>
            <w:top w:val="none" w:sz="0" w:space="0" w:color="auto"/>
            <w:left w:val="none" w:sz="0" w:space="0" w:color="auto"/>
            <w:bottom w:val="none" w:sz="0" w:space="0" w:color="auto"/>
            <w:right w:val="none" w:sz="0" w:space="0" w:color="auto"/>
          </w:divBdr>
        </w:div>
        <w:div w:id="1015381942">
          <w:marLeft w:val="0"/>
          <w:marRight w:val="0"/>
          <w:marTop w:val="0"/>
          <w:marBottom w:val="0"/>
          <w:divBdr>
            <w:top w:val="none" w:sz="0" w:space="0" w:color="auto"/>
            <w:left w:val="none" w:sz="0" w:space="0" w:color="auto"/>
            <w:bottom w:val="none" w:sz="0" w:space="0" w:color="auto"/>
            <w:right w:val="none" w:sz="0" w:space="0" w:color="auto"/>
          </w:divBdr>
          <w:divsChild>
            <w:div w:id="721515229">
              <w:marLeft w:val="0"/>
              <w:marRight w:val="0"/>
              <w:marTop w:val="0"/>
              <w:marBottom w:val="0"/>
              <w:divBdr>
                <w:top w:val="none" w:sz="0" w:space="0" w:color="auto"/>
                <w:left w:val="none" w:sz="0" w:space="0" w:color="auto"/>
                <w:bottom w:val="none" w:sz="0" w:space="0" w:color="auto"/>
                <w:right w:val="none" w:sz="0" w:space="0" w:color="auto"/>
              </w:divBdr>
            </w:div>
            <w:div w:id="725955056">
              <w:marLeft w:val="0"/>
              <w:marRight w:val="0"/>
              <w:marTop w:val="0"/>
              <w:marBottom w:val="0"/>
              <w:divBdr>
                <w:top w:val="none" w:sz="0" w:space="0" w:color="auto"/>
                <w:left w:val="none" w:sz="0" w:space="0" w:color="auto"/>
                <w:bottom w:val="none" w:sz="0" w:space="0" w:color="auto"/>
                <w:right w:val="none" w:sz="0" w:space="0" w:color="auto"/>
              </w:divBdr>
            </w:div>
            <w:div w:id="831335575">
              <w:marLeft w:val="0"/>
              <w:marRight w:val="0"/>
              <w:marTop w:val="0"/>
              <w:marBottom w:val="0"/>
              <w:divBdr>
                <w:top w:val="none" w:sz="0" w:space="0" w:color="auto"/>
                <w:left w:val="none" w:sz="0" w:space="0" w:color="auto"/>
                <w:bottom w:val="none" w:sz="0" w:space="0" w:color="auto"/>
                <w:right w:val="none" w:sz="0" w:space="0" w:color="auto"/>
              </w:divBdr>
            </w:div>
            <w:div w:id="916595765">
              <w:marLeft w:val="0"/>
              <w:marRight w:val="0"/>
              <w:marTop w:val="0"/>
              <w:marBottom w:val="0"/>
              <w:divBdr>
                <w:top w:val="none" w:sz="0" w:space="0" w:color="auto"/>
                <w:left w:val="none" w:sz="0" w:space="0" w:color="auto"/>
                <w:bottom w:val="none" w:sz="0" w:space="0" w:color="auto"/>
                <w:right w:val="none" w:sz="0" w:space="0" w:color="auto"/>
              </w:divBdr>
            </w:div>
            <w:div w:id="1317953777">
              <w:marLeft w:val="0"/>
              <w:marRight w:val="0"/>
              <w:marTop w:val="0"/>
              <w:marBottom w:val="0"/>
              <w:divBdr>
                <w:top w:val="none" w:sz="0" w:space="0" w:color="auto"/>
                <w:left w:val="none" w:sz="0" w:space="0" w:color="auto"/>
                <w:bottom w:val="none" w:sz="0" w:space="0" w:color="auto"/>
                <w:right w:val="none" w:sz="0" w:space="0" w:color="auto"/>
              </w:divBdr>
            </w:div>
          </w:divsChild>
        </w:div>
        <w:div w:id="1045715977">
          <w:marLeft w:val="0"/>
          <w:marRight w:val="0"/>
          <w:marTop w:val="0"/>
          <w:marBottom w:val="0"/>
          <w:divBdr>
            <w:top w:val="none" w:sz="0" w:space="0" w:color="auto"/>
            <w:left w:val="none" w:sz="0" w:space="0" w:color="auto"/>
            <w:bottom w:val="none" w:sz="0" w:space="0" w:color="auto"/>
            <w:right w:val="none" w:sz="0" w:space="0" w:color="auto"/>
          </w:divBdr>
        </w:div>
        <w:div w:id="1068264951">
          <w:marLeft w:val="0"/>
          <w:marRight w:val="0"/>
          <w:marTop w:val="0"/>
          <w:marBottom w:val="0"/>
          <w:divBdr>
            <w:top w:val="none" w:sz="0" w:space="0" w:color="auto"/>
            <w:left w:val="none" w:sz="0" w:space="0" w:color="auto"/>
            <w:bottom w:val="none" w:sz="0" w:space="0" w:color="auto"/>
            <w:right w:val="none" w:sz="0" w:space="0" w:color="auto"/>
          </w:divBdr>
          <w:divsChild>
            <w:div w:id="34277193">
              <w:marLeft w:val="0"/>
              <w:marRight w:val="0"/>
              <w:marTop w:val="0"/>
              <w:marBottom w:val="0"/>
              <w:divBdr>
                <w:top w:val="none" w:sz="0" w:space="0" w:color="auto"/>
                <w:left w:val="none" w:sz="0" w:space="0" w:color="auto"/>
                <w:bottom w:val="none" w:sz="0" w:space="0" w:color="auto"/>
                <w:right w:val="none" w:sz="0" w:space="0" w:color="auto"/>
              </w:divBdr>
            </w:div>
            <w:div w:id="372387843">
              <w:marLeft w:val="0"/>
              <w:marRight w:val="0"/>
              <w:marTop w:val="0"/>
              <w:marBottom w:val="0"/>
              <w:divBdr>
                <w:top w:val="none" w:sz="0" w:space="0" w:color="auto"/>
                <w:left w:val="none" w:sz="0" w:space="0" w:color="auto"/>
                <w:bottom w:val="none" w:sz="0" w:space="0" w:color="auto"/>
                <w:right w:val="none" w:sz="0" w:space="0" w:color="auto"/>
              </w:divBdr>
            </w:div>
            <w:div w:id="920722916">
              <w:marLeft w:val="0"/>
              <w:marRight w:val="0"/>
              <w:marTop w:val="0"/>
              <w:marBottom w:val="0"/>
              <w:divBdr>
                <w:top w:val="none" w:sz="0" w:space="0" w:color="auto"/>
                <w:left w:val="none" w:sz="0" w:space="0" w:color="auto"/>
                <w:bottom w:val="none" w:sz="0" w:space="0" w:color="auto"/>
                <w:right w:val="none" w:sz="0" w:space="0" w:color="auto"/>
              </w:divBdr>
            </w:div>
            <w:div w:id="1759013672">
              <w:marLeft w:val="0"/>
              <w:marRight w:val="0"/>
              <w:marTop w:val="0"/>
              <w:marBottom w:val="0"/>
              <w:divBdr>
                <w:top w:val="none" w:sz="0" w:space="0" w:color="auto"/>
                <w:left w:val="none" w:sz="0" w:space="0" w:color="auto"/>
                <w:bottom w:val="none" w:sz="0" w:space="0" w:color="auto"/>
                <w:right w:val="none" w:sz="0" w:space="0" w:color="auto"/>
              </w:divBdr>
            </w:div>
            <w:div w:id="1900162846">
              <w:marLeft w:val="0"/>
              <w:marRight w:val="0"/>
              <w:marTop w:val="0"/>
              <w:marBottom w:val="0"/>
              <w:divBdr>
                <w:top w:val="none" w:sz="0" w:space="0" w:color="auto"/>
                <w:left w:val="none" w:sz="0" w:space="0" w:color="auto"/>
                <w:bottom w:val="none" w:sz="0" w:space="0" w:color="auto"/>
                <w:right w:val="none" w:sz="0" w:space="0" w:color="auto"/>
              </w:divBdr>
            </w:div>
          </w:divsChild>
        </w:div>
        <w:div w:id="1122917941">
          <w:marLeft w:val="0"/>
          <w:marRight w:val="0"/>
          <w:marTop w:val="0"/>
          <w:marBottom w:val="0"/>
          <w:divBdr>
            <w:top w:val="none" w:sz="0" w:space="0" w:color="auto"/>
            <w:left w:val="none" w:sz="0" w:space="0" w:color="auto"/>
            <w:bottom w:val="none" w:sz="0" w:space="0" w:color="auto"/>
            <w:right w:val="none" w:sz="0" w:space="0" w:color="auto"/>
          </w:divBdr>
          <w:divsChild>
            <w:div w:id="314337951">
              <w:marLeft w:val="0"/>
              <w:marRight w:val="0"/>
              <w:marTop w:val="0"/>
              <w:marBottom w:val="0"/>
              <w:divBdr>
                <w:top w:val="none" w:sz="0" w:space="0" w:color="auto"/>
                <w:left w:val="none" w:sz="0" w:space="0" w:color="auto"/>
                <w:bottom w:val="none" w:sz="0" w:space="0" w:color="auto"/>
                <w:right w:val="none" w:sz="0" w:space="0" w:color="auto"/>
              </w:divBdr>
            </w:div>
            <w:div w:id="648830360">
              <w:marLeft w:val="0"/>
              <w:marRight w:val="0"/>
              <w:marTop w:val="0"/>
              <w:marBottom w:val="0"/>
              <w:divBdr>
                <w:top w:val="none" w:sz="0" w:space="0" w:color="auto"/>
                <w:left w:val="none" w:sz="0" w:space="0" w:color="auto"/>
                <w:bottom w:val="none" w:sz="0" w:space="0" w:color="auto"/>
                <w:right w:val="none" w:sz="0" w:space="0" w:color="auto"/>
              </w:divBdr>
            </w:div>
            <w:div w:id="718745321">
              <w:marLeft w:val="0"/>
              <w:marRight w:val="0"/>
              <w:marTop w:val="0"/>
              <w:marBottom w:val="0"/>
              <w:divBdr>
                <w:top w:val="none" w:sz="0" w:space="0" w:color="auto"/>
                <w:left w:val="none" w:sz="0" w:space="0" w:color="auto"/>
                <w:bottom w:val="none" w:sz="0" w:space="0" w:color="auto"/>
                <w:right w:val="none" w:sz="0" w:space="0" w:color="auto"/>
              </w:divBdr>
            </w:div>
            <w:div w:id="2139451374">
              <w:marLeft w:val="0"/>
              <w:marRight w:val="0"/>
              <w:marTop w:val="0"/>
              <w:marBottom w:val="0"/>
              <w:divBdr>
                <w:top w:val="none" w:sz="0" w:space="0" w:color="auto"/>
                <w:left w:val="none" w:sz="0" w:space="0" w:color="auto"/>
                <w:bottom w:val="none" w:sz="0" w:space="0" w:color="auto"/>
                <w:right w:val="none" w:sz="0" w:space="0" w:color="auto"/>
              </w:divBdr>
            </w:div>
          </w:divsChild>
        </w:div>
        <w:div w:id="1128011967">
          <w:marLeft w:val="0"/>
          <w:marRight w:val="0"/>
          <w:marTop w:val="0"/>
          <w:marBottom w:val="0"/>
          <w:divBdr>
            <w:top w:val="none" w:sz="0" w:space="0" w:color="auto"/>
            <w:left w:val="none" w:sz="0" w:space="0" w:color="auto"/>
            <w:bottom w:val="none" w:sz="0" w:space="0" w:color="auto"/>
            <w:right w:val="none" w:sz="0" w:space="0" w:color="auto"/>
          </w:divBdr>
        </w:div>
        <w:div w:id="1204244985">
          <w:marLeft w:val="0"/>
          <w:marRight w:val="0"/>
          <w:marTop w:val="0"/>
          <w:marBottom w:val="0"/>
          <w:divBdr>
            <w:top w:val="none" w:sz="0" w:space="0" w:color="auto"/>
            <w:left w:val="none" w:sz="0" w:space="0" w:color="auto"/>
            <w:bottom w:val="none" w:sz="0" w:space="0" w:color="auto"/>
            <w:right w:val="none" w:sz="0" w:space="0" w:color="auto"/>
          </w:divBdr>
        </w:div>
        <w:div w:id="1231579848">
          <w:marLeft w:val="0"/>
          <w:marRight w:val="0"/>
          <w:marTop w:val="0"/>
          <w:marBottom w:val="0"/>
          <w:divBdr>
            <w:top w:val="none" w:sz="0" w:space="0" w:color="auto"/>
            <w:left w:val="none" w:sz="0" w:space="0" w:color="auto"/>
            <w:bottom w:val="none" w:sz="0" w:space="0" w:color="auto"/>
            <w:right w:val="none" w:sz="0" w:space="0" w:color="auto"/>
          </w:divBdr>
        </w:div>
        <w:div w:id="1270702833">
          <w:marLeft w:val="0"/>
          <w:marRight w:val="0"/>
          <w:marTop w:val="0"/>
          <w:marBottom w:val="0"/>
          <w:divBdr>
            <w:top w:val="none" w:sz="0" w:space="0" w:color="auto"/>
            <w:left w:val="none" w:sz="0" w:space="0" w:color="auto"/>
            <w:bottom w:val="none" w:sz="0" w:space="0" w:color="auto"/>
            <w:right w:val="none" w:sz="0" w:space="0" w:color="auto"/>
          </w:divBdr>
          <w:divsChild>
            <w:div w:id="577324418">
              <w:marLeft w:val="0"/>
              <w:marRight w:val="0"/>
              <w:marTop w:val="0"/>
              <w:marBottom w:val="0"/>
              <w:divBdr>
                <w:top w:val="none" w:sz="0" w:space="0" w:color="auto"/>
                <w:left w:val="none" w:sz="0" w:space="0" w:color="auto"/>
                <w:bottom w:val="none" w:sz="0" w:space="0" w:color="auto"/>
                <w:right w:val="none" w:sz="0" w:space="0" w:color="auto"/>
              </w:divBdr>
            </w:div>
            <w:div w:id="595745730">
              <w:marLeft w:val="0"/>
              <w:marRight w:val="0"/>
              <w:marTop w:val="0"/>
              <w:marBottom w:val="0"/>
              <w:divBdr>
                <w:top w:val="none" w:sz="0" w:space="0" w:color="auto"/>
                <w:left w:val="none" w:sz="0" w:space="0" w:color="auto"/>
                <w:bottom w:val="none" w:sz="0" w:space="0" w:color="auto"/>
                <w:right w:val="none" w:sz="0" w:space="0" w:color="auto"/>
              </w:divBdr>
            </w:div>
            <w:div w:id="678311778">
              <w:marLeft w:val="0"/>
              <w:marRight w:val="0"/>
              <w:marTop w:val="0"/>
              <w:marBottom w:val="0"/>
              <w:divBdr>
                <w:top w:val="none" w:sz="0" w:space="0" w:color="auto"/>
                <w:left w:val="none" w:sz="0" w:space="0" w:color="auto"/>
                <w:bottom w:val="none" w:sz="0" w:space="0" w:color="auto"/>
                <w:right w:val="none" w:sz="0" w:space="0" w:color="auto"/>
              </w:divBdr>
            </w:div>
            <w:div w:id="1311902655">
              <w:marLeft w:val="0"/>
              <w:marRight w:val="0"/>
              <w:marTop w:val="0"/>
              <w:marBottom w:val="0"/>
              <w:divBdr>
                <w:top w:val="none" w:sz="0" w:space="0" w:color="auto"/>
                <w:left w:val="none" w:sz="0" w:space="0" w:color="auto"/>
                <w:bottom w:val="none" w:sz="0" w:space="0" w:color="auto"/>
                <w:right w:val="none" w:sz="0" w:space="0" w:color="auto"/>
              </w:divBdr>
            </w:div>
            <w:div w:id="1458060053">
              <w:marLeft w:val="0"/>
              <w:marRight w:val="0"/>
              <w:marTop w:val="0"/>
              <w:marBottom w:val="0"/>
              <w:divBdr>
                <w:top w:val="none" w:sz="0" w:space="0" w:color="auto"/>
                <w:left w:val="none" w:sz="0" w:space="0" w:color="auto"/>
                <w:bottom w:val="none" w:sz="0" w:space="0" w:color="auto"/>
                <w:right w:val="none" w:sz="0" w:space="0" w:color="auto"/>
              </w:divBdr>
            </w:div>
          </w:divsChild>
        </w:div>
        <w:div w:id="1423994713">
          <w:marLeft w:val="0"/>
          <w:marRight w:val="0"/>
          <w:marTop w:val="0"/>
          <w:marBottom w:val="0"/>
          <w:divBdr>
            <w:top w:val="none" w:sz="0" w:space="0" w:color="auto"/>
            <w:left w:val="none" w:sz="0" w:space="0" w:color="auto"/>
            <w:bottom w:val="none" w:sz="0" w:space="0" w:color="auto"/>
            <w:right w:val="none" w:sz="0" w:space="0" w:color="auto"/>
          </w:divBdr>
        </w:div>
        <w:div w:id="1438940722">
          <w:marLeft w:val="0"/>
          <w:marRight w:val="0"/>
          <w:marTop w:val="0"/>
          <w:marBottom w:val="0"/>
          <w:divBdr>
            <w:top w:val="none" w:sz="0" w:space="0" w:color="auto"/>
            <w:left w:val="none" w:sz="0" w:space="0" w:color="auto"/>
            <w:bottom w:val="none" w:sz="0" w:space="0" w:color="auto"/>
            <w:right w:val="none" w:sz="0" w:space="0" w:color="auto"/>
          </w:divBdr>
        </w:div>
        <w:div w:id="1444491837">
          <w:marLeft w:val="0"/>
          <w:marRight w:val="0"/>
          <w:marTop w:val="0"/>
          <w:marBottom w:val="0"/>
          <w:divBdr>
            <w:top w:val="none" w:sz="0" w:space="0" w:color="auto"/>
            <w:left w:val="none" w:sz="0" w:space="0" w:color="auto"/>
            <w:bottom w:val="none" w:sz="0" w:space="0" w:color="auto"/>
            <w:right w:val="none" w:sz="0" w:space="0" w:color="auto"/>
          </w:divBdr>
        </w:div>
        <w:div w:id="1480535468">
          <w:marLeft w:val="0"/>
          <w:marRight w:val="0"/>
          <w:marTop w:val="0"/>
          <w:marBottom w:val="0"/>
          <w:divBdr>
            <w:top w:val="none" w:sz="0" w:space="0" w:color="auto"/>
            <w:left w:val="none" w:sz="0" w:space="0" w:color="auto"/>
            <w:bottom w:val="none" w:sz="0" w:space="0" w:color="auto"/>
            <w:right w:val="none" w:sz="0" w:space="0" w:color="auto"/>
          </w:divBdr>
          <w:divsChild>
            <w:div w:id="289744922">
              <w:marLeft w:val="0"/>
              <w:marRight w:val="0"/>
              <w:marTop w:val="0"/>
              <w:marBottom w:val="0"/>
              <w:divBdr>
                <w:top w:val="none" w:sz="0" w:space="0" w:color="auto"/>
                <w:left w:val="none" w:sz="0" w:space="0" w:color="auto"/>
                <w:bottom w:val="none" w:sz="0" w:space="0" w:color="auto"/>
                <w:right w:val="none" w:sz="0" w:space="0" w:color="auto"/>
              </w:divBdr>
            </w:div>
            <w:div w:id="398207541">
              <w:marLeft w:val="0"/>
              <w:marRight w:val="0"/>
              <w:marTop w:val="0"/>
              <w:marBottom w:val="0"/>
              <w:divBdr>
                <w:top w:val="none" w:sz="0" w:space="0" w:color="auto"/>
                <w:left w:val="none" w:sz="0" w:space="0" w:color="auto"/>
                <w:bottom w:val="none" w:sz="0" w:space="0" w:color="auto"/>
                <w:right w:val="none" w:sz="0" w:space="0" w:color="auto"/>
              </w:divBdr>
            </w:div>
            <w:div w:id="2121483543">
              <w:marLeft w:val="0"/>
              <w:marRight w:val="0"/>
              <w:marTop w:val="0"/>
              <w:marBottom w:val="0"/>
              <w:divBdr>
                <w:top w:val="none" w:sz="0" w:space="0" w:color="auto"/>
                <w:left w:val="none" w:sz="0" w:space="0" w:color="auto"/>
                <w:bottom w:val="none" w:sz="0" w:space="0" w:color="auto"/>
                <w:right w:val="none" w:sz="0" w:space="0" w:color="auto"/>
              </w:divBdr>
            </w:div>
          </w:divsChild>
        </w:div>
        <w:div w:id="1580166352">
          <w:marLeft w:val="0"/>
          <w:marRight w:val="0"/>
          <w:marTop w:val="0"/>
          <w:marBottom w:val="0"/>
          <w:divBdr>
            <w:top w:val="none" w:sz="0" w:space="0" w:color="auto"/>
            <w:left w:val="none" w:sz="0" w:space="0" w:color="auto"/>
            <w:bottom w:val="none" w:sz="0" w:space="0" w:color="auto"/>
            <w:right w:val="none" w:sz="0" w:space="0" w:color="auto"/>
          </w:divBdr>
        </w:div>
        <w:div w:id="1596673255">
          <w:marLeft w:val="0"/>
          <w:marRight w:val="0"/>
          <w:marTop w:val="0"/>
          <w:marBottom w:val="0"/>
          <w:divBdr>
            <w:top w:val="none" w:sz="0" w:space="0" w:color="auto"/>
            <w:left w:val="none" w:sz="0" w:space="0" w:color="auto"/>
            <w:bottom w:val="none" w:sz="0" w:space="0" w:color="auto"/>
            <w:right w:val="none" w:sz="0" w:space="0" w:color="auto"/>
          </w:divBdr>
        </w:div>
        <w:div w:id="1631131982">
          <w:marLeft w:val="0"/>
          <w:marRight w:val="0"/>
          <w:marTop w:val="0"/>
          <w:marBottom w:val="0"/>
          <w:divBdr>
            <w:top w:val="none" w:sz="0" w:space="0" w:color="auto"/>
            <w:left w:val="none" w:sz="0" w:space="0" w:color="auto"/>
            <w:bottom w:val="none" w:sz="0" w:space="0" w:color="auto"/>
            <w:right w:val="none" w:sz="0" w:space="0" w:color="auto"/>
          </w:divBdr>
        </w:div>
        <w:div w:id="1632858972">
          <w:marLeft w:val="0"/>
          <w:marRight w:val="0"/>
          <w:marTop w:val="0"/>
          <w:marBottom w:val="0"/>
          <w:divBdr>
            <w:top w:val="none" w:sz="0" w:space="0" w:color="auto"/>
            <w:left w:val="none" w:sz="0" w:space="0" w:color="auto"/>
            <w:bottom w:val="none" w:sz="0" w:space="0" w:color="auto"/>
            <w:right w:val="none" w:sz="0" w:space="0" w:color="auto"/>
          </w:divBdr>
        </w:div>
        <w:div w:id="1681857840">
          <w:marLeft w:val="0"/>
          <w:marRight w:val="0"/>
          <w:marTop w:val="0"/>
          <w:marBottom w:val="0"/>
          <w:divBdr>
            <w:top w:val="none" w:sz="0" w:space="0" w:color="auto"/>
            <w:left w:val="none" w:sz="0" w:space="0" w:color="auto"/>
            <w:bottom w:val="none" w:sz="0" w:space="0" w:color="auto"/>
            <w:right w:val="none" w:sz="0" w:space="0" w:color="auto"/>
          </w:divBdr>
        </w:div>
        <w:div w:id="1686054734">
          <w:marLeft w:val="0"/>
          <w:marRight w:val="0"/>
          <w:marTop w:val="0"/>
          <w:marBottom w:val="0"/>
          <w:divBdr>
            <w:top w:val="none" w:sz="0" w:space="0" w:color="auto"/>
            <w:left w:val="none" w:sz="0" w:space="0" w:color="auto"/>
            <w:bottom w:val="none" w:sz="0" w:space="0" w:color="auto"/>
            <w:right w:val="none" w:sz="0" w:space="0" w:color="auto"/>
          </w:divBdr>
        </w:div>
        <w:div w:id="1941181281">
          <w:marLeft w:val="0"/>
          <w:marRight w:val="0"/>
          <w:marTop w:val="0"/>
          <w:marBottom w:val="0"/>
          <w:divBdr>
            <w:top w:val="none" w:sz="0" w:space="0" w:color="auto"/>
            <w:left w:val="none" w:sz="0" w:space="0" w:color="auto"/>
            <w:bottom w:val="none" w:sz="0" w:space="0" w:color="auto"/>
            <w:right w:val="none" w:sz="0" w:space="0" w:color="auto"/>
          </w:divBdr>
        </w:div>
        <w:div w:id="2019504079">
          <w:marLeft w:val="0"/>
          <w:marRight w:val="0"/>
          <w:marTop w:val="0"/>
          <w:marBottom w:val="0"/>
          <w:divBdr>
            <w:top w:val="none" w:sz="0" w:space="0" w:color="auto"/>
            <w:left w:val="none" w:sz="0" w:space="0" w:color="auto"/>
            <w:bottom w:val="none" w:sz="0" w:space="0" w:color="auto"/>
            <w:right w:val="none" w:sz="0" w:space="0" w:color="auto"/>
          </w:divBdr>
        </w:div>
        <w:div w:id="2033453049">
          <w:marLeft w:val="0"/>
          <w:marRight w:val="0"/>
          <w:marTop w:val="0"/>
          <w:marBottom w:val="0"/>
          <w:divBdr>
            <w:top w:val="none" w:sz="0" w:space="0" w:color="auto"/>
            <w:left w:val="none" w:sz="0" w:space="0" w:color="auto"/>
            <w:bottom w:val="none" w:sz="0" w:space="0" w:color="auto"/>
            <w:right w:val="none" w:sz="0" w:space="0" w:color="auto"/>
          </w:divBdr>
        </w:div>
        <w:div w:id="2059697730">
          <w:marLeft w:val="0"/>
          <w:marRight w:val="0"/>
          <w:marTop w:val="0"/>
          <w:marBottom w:val="0"/>
          <w:divBdr>
            <w:top w:val="none" w:sz="0" w:space="0" w:color="auto"/>
            <w:left w:val="none" w:sz="0" w:space="0" w:color="auto"/>
            <w:bottom w:val="none" w:sz="0" w:space="0" w:color="auto"/>
            <w:right w:val="none" w:sz="0" w:space="0" w:color="auto"/>
          </w:divBdr>
        </w:div>
        <w:div w:id="2127265102">
          <w:marLeft w:val="0"/>
          <w:marRight w:val="0"/>
          <w:marTop w:val="0"/>
          <w:marBottom w:val="0"/>
          <w:divBdr>
            <w:top w:val="none" w:sz="0" w:space="0" w:color="auto"/>
            <w:left w:val="none" w:sz="0" w:space="0" w:color="auto"/>
            <w:bottom w:val="none" w:sz="0" w:space="0" w:color="auto"/>
            <w:right w:val="none" w:sz="0" w:space="0" w:color="auto"/>
          </w:divBdr>
          <w:divsChild>
            <w:div w:id="1891452943">
              <w:marLeft w:val="-75"/>
              <w:marRight w:val="0"/>
              <w:marTop w:val="30"/>
              <w:marBottom w:val="30"/>
              <w:divBdr>
                <w:top w:val="none" w:sz="0" w:space="0" w:color="auto"/>
                <w:left w:val="none" w:sz="0" w:space="0" w:color="auto"/>
                <w:bottom w:val="none" w:sz="0" w:space="0" w:color="auto"/>
                <w:right w:val="none" w:sz="0" w:space="0" w:color="auto"/>
              </w:divBdr>
              <w:divsChild>
                <w:div w:id="103623702">
                  <w:marLeft w:val="0"/>
                  <w:marRight w:val="0"/>
                  <w:marTop w:val="0"/>
                  <w:marBottom w:val="0"/>
                  <w:divBdr>
                    <w:top w:val="none" w:sz="0" w:space="0" w:color="auto"/>
                    <w:left w:val="none" w:sz="0" w:space="0" w:color="auto"/>
                    <w:bottom w:val="none" w:sz="0" w:space="0" w:color="auto"/>
                    <w:right w:val="none" w:sz="0" w:space="0" w:color="auto"/>
                  </w:divBdr>
                  <w:divsChild>
                    <w:div w:id="401414259">
                      <w:marLeft w:val="0"/>
                      <w:marRight w:val="0"/>
                      <w:marTop w:val="0"/>
                      <w:marBottom w:val="0"/>
                      <w:divBdr>
                        <w:top w:val="none" w:sz="0" w:space="0" w:color="auto"/>
                        <w:left w:val="none" w:sz="0" w:space="0" w:color="auto"/>
                        <w:bottom w:val="none" w:sz="0" w:space="0" w:color="auto"/>
                        <w:right w:val="none" w:sz="0" w:space="0" w:color="auto"/>
                      </w:divBdr>
                    </w:div>
                  </w:divsChild>
                </w:div>
                <w:div w:id="126123482">
                  <w:marLeft w:val="0"/>
                  <w:marRight w:val="0"/>
                  <w:marTop w:val="0"/>
                  <w:marBottom w:val="0"/>
                  <w:divBdr>
                    <w:top w:val="none" w:sz="0" w:space="0" w:color="auto"/>
                    <w:left w:val="none" w:sz="0" w:space="0" w:color="auto"/>
                    <w:bottom w:val="none" w:sz="0" w:space="0" w:color="auto"/>
                    <w:right w:val="none" w:sz="0" w:space="0" w:color="auto"/>
                  </w:divBdr>
                  <w:divsChild>
                    <w:div w:id="1139035548">
                      <w:marLeft w:val="0"/>
                      <w:marRight w:val="0"/>
                      <w:marTop w:val="0"/>
                      <w:marBottom w:val="0"/>
                      <w:divBdr>
                        <w:top w:val="none" w:sz="0" w:space="0" w:color="auto"/>
                        <w:left w:val="none" w:sz="0" w:space="0" w:color="auto"/>
                        <w:bottom w:val="none" w:sz="0" w:space="0" w:color="auto"/>
                        <w:right w:val="none" w:sz="0" w:space="0" w:color="auto"/>
                      </w:divBdr>
                    </w:div>
                  </w:divsChild>
                </w:div>
                <w:div w:id="247688980">
                  <w:marLeft w:val="0"/>
                  <w:marRight w:val="0"/>
                  <w:marTop w:val="0"/>
                  <w:marBottom w:val="0"/>
                  <w:divBdr>
                    <w:top w:val="none" w:sz="0" w:space="0" w:color="auto"/>
                    <w:left w:val="none" w:sz="0" w:space="0" w:color="auto"/>
                    <w:bottom w:val="none" w:sz="0" w:space="0" w:color="auto"/>
                    <w:right w:val="none" w:sz="0" w:space="0" w:color="auto"/>
                  </w:divBdr>
                  <w:divsChild>
                    <w:div w:id="421990662">
                      <w:marLeft w:val="0"/>
                      <w:marRight w:val="0"/>
                      <w:marTop w:val="0"/>
                      <w:marBottom w:val="0"/>
                      <w:divBdr>
                        <w:top w:val="none" w:sz="0" w:space="0" w:color="auto"/>
                        <w:left w:val="none" w:sz="0" w:space="0" w:color="auto"/>
                        <w:bottom w:val="none" w:sz="0" w:space="0" w:color="auto"/>
                        <w:right w:val="none" w:sz="0" w:space="0" w:color="auto"/>
                      </w:divBdr>
                    </w:div>
                  </w:divsChild>
                </w:div>
                <w:div w:id="475344999">
                  <w:marLeft w:val="0"/>
                  <w:marRight w:val="0"/>
                  <w:marTop w:val="0"/>
                  <w:marBottom w:val="0"/>
                  <w:divBdr>
                    <w:top w:val="none" w:sz="0" w:space="0" w:color="auto"/>
                    <w:left w:val="none" w:sz="0" w:space="0" w:color="auto"/>
                    <w:bottom w:val="none" w:sz="0" w:space="0" w:color="auto"/>
                    <w:right w:val="none" w:sz="0" w:space="0" w:color="auto"/>
                  </w:divBdr>
                  <w:divsChild>
                    <w:div w:id="1831603902">
                      <w:marLeft w:val="0"/>
                      <w:marRight w:val="0"/>
                      <w:marTop w:val="0"/>
                      <w:marBottom w:val="0"/>
                      <w:divBdr>
                        <w:top w:val="none" w:sz="0" w:space="0" w:color="auto"/>
                        <w:left w:val="none" w:sz="0" w:space="0" w:color="auto"/>
                        <w:bottom w:val="none" w:sz="0" w:space="0" w:color="auto"/>
                        <w:right w:val="none" w:sz="0" w:space="0" w:color="auto"/>
                      </w:divBdr>
                    </w:div>
                  </w:divsChild>
                </w:div>
                <w:div w:id="679964972">
                  <w:marLeft w:val="0"/>
                  <w:marRight w:val="0"/>
                  <w:marTop w:val="0"/>
                  <w:marBottom w:val="0"/>
                  <w:divBdr>
                    <w:top w:val="none" w:sz="0" w:space="0" w:color="auto"/>
                    <w:left w:val="none" w:sz="0" w:space="0" w:color="auto"/>
                    <w:bottom w:val="none" w:sz="0" w:space="0" w:color="auto"/>
                    <w:right w:val="none" w:sz="0" w:space="0" w:color="auto"/>
                  </w:divBdr>
                  <w:divsChild>
                    <w:div w:id="1367096632">
                      <w:marLeft w:val="0"/>
                      <w:marRight w:val="0"/>
                      <w:marTop w:val="0"/>
                      <w:marBottom w:val="0"/>
                      <w:divBdr>
                        <w:top w:val="none" w:sz="0" w:space="0" w:color="auto"/>
                        <w:left w:val="none" w:sz="0" w:space="0" w:color="auto"/>
                        <w:bottom w:val="none" w:sz="0" w:space="0" w:color="auto"/>
                        <w:right w:val="none" w:sz="0" w:space="0" w:color="auto"/>
                      </w:divBdr>
                    </w:div>
                  </w:divsChild>
                </w:div>
                <w:div w:id="705720816">
                  <w:marLeft w:val="0"/>
                  <w:marRight w:val="0"/>
                  <w:marTop w:val="0"/>
                  <w:marBottom w:val="0"/>
                  <w:divBdr>
                    <w:top w:val="none" w:sz="0" w:space="0" w:color="auto"/>
                    <w:left w:val="none" w:sz="0" w:space="0" w:color="auto"/>
                    <w:bottom w:val="none" w:sz="0" w:space="0" w:color="auto"/>
                    <w:right w:val="none" w:sz="0" w:space="0" w:color="auto"/>
                  </w:divBdr>
                  <w:divsChild>
                    <w:div w:id="553353009">
                      <w:marLeft w:val="0"/>
                      <w:marRight w:val="0"/>
                      <w:marTop w:val="0"/>
                      <w:marBottom w:val="0"/>
                      <w:divBdr>
                        <w:top w:val="none" w:sz="0" w:space="0" w:color="auto"/>
                        <w:left w:val="none" w:sz="0" w:space="0" w:color="auto"/>
                        <w:bottom w:val="none" w:sz="0" w:space="0" w:color="auto"/>
                        <w:right w:val="none" w:sz="0" w:space="0" w:color="auto"/>
                      </w:divBdr>
                    </w:div>
                  </w:divsChild>
                </w:div>
                <w:div w:id="758213392">
                  <w:marLeft w:val="0"/>
                  <w:marRight w:val="0"/>
                  <w:marTop w:val="0"/>
                  <w:marBottom w:val="0"/>
                  <w:divBdr>
                    <w:top w:val="none" w:sz="0" w:space="0" w:color="auto"/>
                    <w:left w:val="none" w:sz="0" w:space="0" w:color="auto"/>
                    <w:bottom w:val="none" w:sz="0" w:space="0" w:color="auto"/>
                    <w:right w:val="none" w:sz="0" w:space="0" w:color="auto"/>
                  </w:divBdr>
                  <w:divsChild>
                    <w:div w:id="1862860911">
                      <w:marLeft w:val="0"/>
                      <w:marRight w:val="0"/>
                      <w:marTop w:val="0"/>
                      <w:marBottom w:val="0"/>
                      <w:divBdr>
                        <w:top w:val="none" w:sz="0" w:space="0" w:color="auto"/>
                        <w:left w:val="none" w:sz="0" w:space="0" w:color="auto"/>
                        <w:bottom w:val="none" w:sz="0" w:space="0" w:color="auto"/>
                        <w:right w:val="none" w:sz="0" w:space="0" w:color="auto"/>
                      </w:divBdr>
                    </w:div>
                  </w:divsChild>
                </w:div>
                <w:div w:id="881215284">
                  <w:marLeft w:val="0"/>
                  <w:marRight w:val="0"/>
                  <w:marTop w:val="0"/>
                  <w:marBottom w:val="0"/>
                  <w:divBdr>
                    <w:top w:val="none" w:sz="0" w:space="0" w:color="auto"/>
                    <w:left w:val="none" w:sz="0" w:space="0" w:color="auto"/>
                    <w:bottom w:val="none" w:sz="0" w:space="0" w:color="auto"/>
                    <w:right w:val="none" w:sz="0" w:space="0" w:color="auto"/>
                  </w:divBdr>
                  <w:divsChild>
                    <w:div w:id="1998992676">
                      <w:marLeft w:val="0"/>
                      <w:marRight w:val="0"/>
                      <w:marTop w:val="0"/>
                      <w:marBottom w:val="0"/>
                      <w:divBdr>
                        <w:top w:val="none" w:sz="0" w:space="0" w:color="auto"/>
                        <w:left w:val="none" w:sz="0" w:space="0" w:color="auto"/>
                        <w:bottom w:val="none" w:sz="0" w:space="0" w:color="auto"/>
                        <w:right w:val="none" w:sz="0" w:space="0" w:color="auto"/>
                      </w:divBdr>
                    </w:div>
                  </w:divsChild>
                </w:div>
                <w:div w:id="1010453196">
                  <w:marLeft w:val="0"/>
                  <w:marRight w:val="0"/>
                  <w:marTop w:val="0"/>
                  <w:marBottom w:val="0"/>
                  <w:divBdr>
                    <w:top w:val="none" w:sz="0" w:space="0" w:color="auto"/>
                    <w:left w:val="none" w:sz="0" w:space="0" w:color="auto"/>
                    <w:bottom w:val="none" w:sz="0" w:space="0" w:color="auto"/>
                    <w:right w:val="none" w:sz="0" w:space="0" w:color="auto"/>
                  </w:divBdr>
                  <w:divsChild>
                    <w:div w:id="1912962952">
                      <w:marLeft w:val="0"/>
                      <w:marRight w:val="0"/>
                      <w:marTop w:val="0"/>
                      <w:marBottom w:val="0"/>
                      <w:divBdr>
                        <w:top w:val="none" w:sz="0" w:space="0" w:color="auto"/>
                        <w:left w:val="none" w:sz="0" w:space="0" w:color="auto"/>
                        <w:bottom w:val="none" w:sz="0" w:space="0" w:color="auto"/>
                        <w:right w:val="none" w:sz="0" w:space="0" w:color="auto"/>
                      </w:divBdr>
                    </w:div>
                  </w:divsChild>
                </w:div>
                <w:div w:id="1099066079">
                  <w:marLeft w:val="0"/>
                  <w:marRight w:val="0"/>
                  <w:marTop w:val="0"/>
                  <w:marBottom w:val="0"/>
                  <w:divBdr>
                    <w:top w:val="none" w:sz="0" w:space="0" w:color="auto"/>
                    <w:left w:val="none" w:sz="0" w:space="0" w:color="auto"/>
                    <w:bottom w:val="none" w:sz="0" w:space="0" w:color="auto"/>
                    <w:right w:val="none" w:sz="0" w:space="0" w:color="auto"/>
                  </w:divBdr>
                  <w:divsChild>
                    <w:div w:id="799961204">
                      <w:marLeft w:val="0"/>
                      <w:marRight w:val="0"/>
                      <w:marTop w:val="0"/>
                      <w:marBottom w:val="0"/>
                      <w:divBdr>
                        <w:top w:val="none" w:sz="0" w:space="0" w:color="auto"/>
                        <w:left w:val="none" w:sz="0" w:space="0" w:color="auto"/>
                        <w:bottom w:val="none" w:sz="0" w:space="0" w:color="auto"/>
                        <w:right w:val="none" w:sz="0" w:space="0" w:color="auto"/>
                      </w:divBdr>
                    </w:div>
                  </w:divsChild>
                </w:div>
                <w:div w:id="1283879387">
                  <w:marLeft w:val="0"/>
                  <w:marRight w:val="0"/>
                  <w:marTop w:val="0"/>
                  <w:marBottom w:val="0"/>
                  <w:divBdr>
                    <w:top w:val="none" w:sz="0" w:space="0" w:color="auto"/>
                    <w:left w:val="none" w:sz="0" w:space="0" w:color="auto"/>
                    <w:bottom w:val="none" w:sz="0" w:space="0" w:color="auto"/>
                    <w:right w:val="none" w:sz="0" w:space="0" w:color="auto"/>
                  </w:divBdr>
                  <w:divsChild>
                    <w:div w:id="1436100519">
                      <w:marLeft w:val="0"/>
                      <w:marRight w:val="0"/>
                      <w:marTop w:val="0"/>
                      <w:marBottom w:val="0"/>
                      <w:divBdr>
                        <w:top w:val="none" w:sz="0" w:space="0" w:color="auto"/>
                        <w:left w:val="none" w:sz="0" w:space="0" w:color="auto"/>
                        <w:bottom w:val="none" w:sz="0" w:space="0" w:color="auto"/>
                        <w:right w:val="none" w:sz="0" w:space="0" w:color="auto"/>
                      </w:divBdr>
                    </w:div>
                  </w:divsChild>
                </w:div>
                <w:div w:id="1591112569">
                  <w:marLeft w:val="0"/>
                  <w:marRight w:val="0"/>
                  <w:marTop w:val="0"/>
                  <w:marBottom w:val="0"/>
                  <w:divBdr>
                    <w:top w:val="none" w:sz="0" w:space="0" w:color="auto"/>
                    <w:left w:val="none" w:sz="0" w:space="0" w:color="auto"/>
                    <w:bottom w:val="none" w:sz="0" w:space="0" w:color="auto"/>
                    <w:right w:val="none" w:sz="0" w:space="0" w:color="auto"/>
                  </w:divBdr>
                  <w:divsChild>
                    <w:div w:id="1361055844">
                      <w:marLeft w:val="0"/>
                      <w:marRight w:val="0"/>
                      <w:marTop w:val="0"/>
                      <w:marBottom w:val="0"/>
                      <w:divBdr>
                        <w:top w:val="none" w:sz="0" w:space="0" w:color="auto"/>
                        <w:left w:val="none" w:sz="0" w:space="0" w:color="auto"/>
                        <w:bottom w:val="none" w:sz="0" w:space="0" w:color="auto"/>
                        <w:right w:val="none" w:sz="0" w:space="0" w:color="auto"/>
                      </w:divBdr>
                    </w:div>
                  </w:divsChild>
                </w:div>
                <w:div w:id="1609777079">
                  <w:marLeft w:val="0"/>
                  <w:marRight w:val="0"/>
                  <w:marTop w:val="0"/>
                  <w:marBottom w:val="0"/>
                  <w:divBdr>
                    <w:top w:val="none" w:sz="0" w:space="0" w:color="auto"/>
                    <w:left w:val="none" w:sz="0" w:space="0" w:color="auto"/>
                    <w:bottom w:val="none" w:sz="0" w:space="0" w:color="auto"/>
                    <w:right w:val="none" w:sz="0" w:space="0" w:color="auto"/>
                  </w:divBdr>
                  <w:divsChild>
                    <w:div w:id="934359503">
                      <w:marLeft w:val="0"/>
                      <w:marRight w:val="0"/>
                      <w:marTop w:val="0"/>
                      <w:marBottom w:val="0"/>
                      <w:divBdr>
                        <w:top w:val="none" w:sz="0" w:space="0" w:color="auto"/>
                        <w:left w:val="none" w:sz="0" w:space="0" w:color="auto"/>
                        <w:bottom w:val="none" w:sz="0" w:space="0" w:color="auto"/>
                        <w:right w:val="none" w:sz="0" w:space="0" w:color="auto"/>
                      </w:divBdr>
                    </w:div>
                  </w:divsChild>
                </w:div>
                <w:div w:id="1666321668">
                  <w:marLeft w:val="0"/>
                  <w:marRight w:val="0"/>
                  <w:marTop w:val="0"/>
                  <w:marBottom w:val="0"/>
                  <w:divBdr>
                    <w:top w:val="none" w:sz="0" w:space="0" w:color="auto"/>
                    <w:left w:val="none" w:sz="0" w:space="0" w:color="auto"/>
                    <w:bottom w:val="none" w:sz="0" w:space="0" w:color="auto"/>
                    <w:right w:val="none" w:sz="0" w:space="0" w:color="auto"/>
                  </w:divBdr>
                  <w:divsChild>
                    <w:div w:id="175655760">
                      <w:marLeft w:val="0"/>
                      <w:marRight w:val="0"/>
                      <w:marTop w:val="0"/>
                      <w:marBottom w:val="0"/>
                      <w:divBdr>
                        <w:top w:val="none" w:sz="0" w:space="0" w:color="auto"/>
                        <w:left w:val="none" w:sz="0" w:space="0" w:color="auto"/>
                        <w:bottom w:val="none" w:sz="0" w:space="0" w:color="auto"/>
                        <w:right w:val="none" w:sz="0" w:space="0" w:color="auto"/>
                      </w:divBdr>
                    </w:div>
                  </w:divsChild>
                </w:div>
                <w:div w:id="1700004161">
                  <w:marLeft w:val="0"/>
                  <w:marRight w:val="0"/>
                  <w:marTop w:val="0"/>
                  <w:marBottom w:val="0"/>
                  <w:divBdr>
                    <w:top w:val="none" w:sz="0" w:space="0" w:color="auto"/>
                    <w:left w:val="none" w:sz="0" w:space="0" w:color="auto"/>
                    <w:bottom w:val="none" w:sz="0" w:space="0" w:color="auto"/>
                    <w:right w:val="none" w:sz="0" w:space="0" w:color="auto"/>
                  </w:divBdr>
                  <w:divsChild>
                    <w:div w:id="3512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67991">
      <w:bodyDiv w:val="1"/>
      <w:marLeft w:val="0"/>
      <w:marRight w:val="0"/>
      <w:marTop w:val="0"/>
      <w:marBottom w:val="0"/>
      <w:divBdr>
        <w:top w:val="none" w:sz="0" w:space="0" w:color="auto"/>
        <w:left w:val="none" w:sz="0" w:space="0" w:color="auto"/>
        <w:bottom w:val="none" w:sz="0" w:space="0" w:color="auto"/>
        <w:right w:val="none" w:sz="0" w:space="0" w:color="auto"/>
      </w:divBdr>
      <w:divsChild>
        <w:div w:id="8916971">
          <w:marLeft w:val="0"/>
          <w:marRight w:val="0"/>
          <w:marTop w:val="0"/>
          <w:marBottom w:val="0"/>
          <w:divBdr>
            <w:top w:val="none" w:sz="0" w:space="0" w:color="auto"/>
            <w:left w:val="none" w:sz="0" w:space="0" w:color="auto"/>
            <w:bottom w:val="none" w:sz="0" w:space="0" w:color="auto"/>
            <w:right w:val="none" w:sz="0" w:space="0" w:color="auto"/>
          </w:divBdr>
        </w:div>
        <w:div w:id="10573668">
          <w:marLeft w:val="0"/>
          <w:marRight w:val="0"/>
          <w:marTop w:val="0"/>
          <w:marBottom w:val="0"/>
          <w:divBdr>
            <w:top w:val="none" w:sz="0" w:space="0" w:color="auto"/>
            <w:left w:val="none" w:sz="0" w:space="0" w:color="auto"/>
            <w:bottom w:val="none" w:sz="0" w:space="0" w:color="auto"/>
            <w:right w:val="none" w:sz="0" w:space="0" w:color="auto"/>
          </w:divBdr>
        </w:div>
        <w:div w:id="94985203">
          <w:marLeft w:val="0"/>
          <w:marRight w:val="0"/>
          <w:marTop w:val="0"/>
          <w:marBottom w:val="0"/>
          <w:divBdr>
            <w:top w:val="none" w:sz="0" w:space="0" w:color="auto"/>
            <w:left w:val="none" w:sz="0" w:space="0" w:color="auto"/>
            <w:bottom w:val="none" w:sz="0" w:space="0" w:color="auto"/>
            <w:right w:val="none" w:sz="0" w:space="0" w:color="auto"/>
          </w:divBdr>
        </w:div>
        <w:div w:id="104690487">
          <w:marLeft w:val="0"/>
          <w:marRight w:val="0"/>
          <w:marTop w:val="0"/>
          <w:marBottom w:val="0"/>
          <w:divBdr>
            <w:top w:val="none" w:sz="0" w:space="0" w:color="auto"/>
            <w:left w:val="none" w:sz="0" w:space="0" w:color="auto"/>
            <w:bottom w:val="none" w:sz="0" w:space="0" w:color="auto"/>
            <w:right w:val="none" w:sz="0" w:space="0" w:color="auto"/>
          </w:divBdr>
        </w:div>
        <w:div w:id="253713931">
          <w:marLeft w:val="0"/>
          <w:marRight w:val="0"/>
          <w:marTop w:val="0"/>
          <w:marBottom w:val="0"/>
          <w:divBdr>
            <w:top w:val="none" w:sz="0" w:space="0" w:color="auto"/>
            <w:left w:val="none" w:sz="0" w:space="0" w:color="auto"/>
            <w:bottom w:val="none" w:sz="0" w:space="0" w:color="auto"/>
            <w:right w:val="none" w:sz="0" w:space="0" w:color="auto"/>
          </w:divBdr>
          <w:divsChild>
            <w:div w:id="455375262">
              <w:marLeft w:val="0"/>
              <w:marRight w:val="0"/>
              <w:marTop w:val="0"/>
              <w:marBottom w:val="0"/>
              <w:divBdr>
                <w:top w:val="none" w:sz="0" w:space="0" w:color="auto"/>
                <w:left w:val="none" w:sz="0" w:space="0" w:color="auto"/>
                <w:bottom w:val="none" w:sz="0" w:space="0" w:color="auto"/>
                <w:right w:val="none" w:sz="0" w:space="0" w:color="auto"/>
              </w:divBdr>
            </w:div>
            <w:div w:id="695235123">
              <w:marLeft w:val="0"/>
              <w:marRight w:val="0"/>
              <w:marTop w:val="0"/>
              <w:marBottom w:val="0"/>
              <w:divBdr>
                <w:top w:val="none" w:sz="0" w:space="0" w:color="auto"/>
                <w:left w:val="none" w:sz="0" w:space="0" w:color="auto"/>
                <w:bottom w:val="none" w:sz="0" w:space="0" w:color="auto"/>
                <w:right w:val="none" w:sz="0" w:space="0" w:color="auto"/>
              </w:divBdr>
            </w:div>
            <w:div w:id="930043627">
              <w:marLeft w:val="0"/>
              <w:marRight w:val="0"/>
              <w:marTop w:val="0"/>
              <w:marBottom w:val="0"/>
              <w:divBdr>
                <w:top w:val="none" w:sz="0" w:space="0" w:color="auto"/>
                <w:left w:val="none" w:sz="0" w:space="0" w:color="auto"/>
                <w:bottom w:val="none" w:sz="0" w:space="0" w:color="auto"/>
                <w:right w:val="none" w:sz="0" w:space="0" w:color="auto"/>
              </w:divBdr>
            </w:div>
            <w:div w:id="1266308113">
              <w:marLeft w:val="0"/>
              <w:marRight w:val="0"/>
              <w:marTop w:val="0"/>
              <w:marBottom w:val="0"/>
              <w:divBdr>
                <w:top w:val="none" w:sz="0" w:space="0" w:color="auto"/>
                <w:left w:val="none" w:sz="0" w:space="0" w:color="auto"/>
                <w:bottom w:val="none" w:sz="0" w:space="0" w:color="auto"/>
                <w:right w:val="none" w:sz="0" w:space="0" w:color="auto"/>
              </w:divBdr>
            </w:div>
          </w:divsChild>
        </w:div>
        <w:div w:id="361169957">
          <w:marLeft w:val="0"/>
          <w:marRight w:val="0"/>
          <w:marTop w:val="0"/>
          <w:marBottom w:val="0"/>
          <w:divBdr>
            <w:top w:val="none" w:sz="0" w:space="0" w:color="auto"/>
            <w:left w:val="none" w:sz="0" w:space="0" w:color="auto"/>
            <w:bottom w:val="none" w:sz="0" w:space="0" w:color="auto"/>
            <w:right w:val="none" w:sz="0" w:space="0" w:color="auto"/>
          </w:divBdr>
        </w:div>
        <w:div w:id="373236789">
          <w:marLeft w:val="0"/>
          <w:marRight w:val="0"/>
          <w:marTop w:val="0"/>
          <w:marBottom w:val="0"/>
          <w:divBdr>
            <w:top w:val="none" w:sz="0" w:space="0" w:color="auto"/>
            <w:left w:val="none" w:sz="0" w:space="0" w:color="auto"/>
            <w:bottom w:val="none" w:sz="0" w:space="0" w:color="auto"/>
            <w:right w:val="none" w:sz="0" w:space="0" w:color="auto"/>
          </w:divBdr>
        </w:div>
        <w:div w:id="482311994">
          <w:marLeft w:val="0"/>
          <w:marRight w:val="0"/>
          <w:marTop w:val="0"/>
          <w:marBottom w:val="0"/>
          <w:divBdr>
            <w:top w:val="none" w:sz="0" w:space="0" w:color="auto"/>
            <w:left w:val="none" w:sz="0" w:space="0" w:color="auto"/>
            <w:bottom w:val="none" w:sz="0" w:space="0" w:color="auto"/>
            <w:right w:val="none" w:sz="0" w:space="0" w:color="auto"/>
          </w:divBdr>
        </w:div>
        <w:div w:id="501900385">
          <w:marLeft w:val="0"/>
          <w:marRight w:val="0"/>
          <w:marTop w:val="0"/>
          <w:marBottom w:val="0"/>
          <w:divBdr>
            <w:top w:val="none" w:sz="0" w:space="0" w:color="auto"/>
            <w:left w:val="none" w:sz="0" w:space="0" w:color="auto"/>
            <w:bottom w:val="none" w:sz="0" w:space="0" w:color="auto"/>
            <w:right w:val="none" w:sz="0" w:space="0" w:color="auto"/>
          </w:divBdr>
          <w:divsChild>
            <w:div w:id="747506556">
              <w:marLeft w:val="0"/>
              <w:marRight w:val="0"/>
              <w:marTop w:val="0"/>
              <w:marBottom w:val="0"/>
              <w:divBdr>
                <w:top w:val="none" w:sz="0" w:space="0" w:color="auto"/>
                <w:left w:val="none" w:sz="0" w:space="0" w:color="auto"/>
                <w:bottom w:val="none" w:sz="0" w:space="0" w:color="auto"/>
                <w:right w:val="none" w:sz="0" w:space="0" w:color="auto"/>
              </w:divBdr>
            </w:div>
          </w:divsChild>
        </w:div>
        <w:div w:id="603533550">
          <w:marLeft w:val="0"/>
          <w:marRight w:val="0"/>
          <w:marTop w:val="0"/>
          <w:marBottom w:val="0"/>
          <w:divBdr>
            <w:top w:val="none" w:sz="0" w:space="0" w:color="auto"/>
            <w:left w:val="none" w:sz="0" w:space="0" w:color="auto"/>
            <w:bottom w:val="none" w:sz="0" w:space="0" w:color="auto"/>
            <w:right w:val="none" w:sz="0" w:space="0" w:color="auto"/>
          </w:divBdr>
          <w:divsChild>
            <w:div w:id="414085443">
              <w:marLeft w:val="0"/>
              <w:marRight w:val="0"/>
              <w:marTop w:val="0"/>
              <w:marBottom w:val="0"/>
              <w:divBdr>
                <w:top w:val="none" w:sz="0" w:space="0" w:color="auto"/>
                <w:left w:val="none" w:sz="0" w:space="0" w:color="auto"/>
                <w:bottom w:val="none" w:sz="0" w:space="0" w:color="auto"/>
                <w:right w:val="none" w:sz="0" w:space="0" w:color="auto"/>
              </w:divBdr>
            </w:div>
            <w:div w:id="682434860">
              <w:marLeft w:val="0"/>
              <w:marRight w:val="0"/>
              <w:marTop w:val="0"/>
              <w:marBottom w:val="0"/>
              <w:divBdr>
                <w:top w:val="none" w:sz="0" w:space="0" w:color="auto"/>
                <w:left w:val="none" w:sz="0" w:space="0" w:color="auto"/>
                <w:bottom w:val="none" w:sz="0" w:space="0" w:color="auto"/>
                <w:right w:val="none" w:sz="0" w:space="0" w:color="auto"/>
              </w:divBdr>
            </w:div>
            <w:div w:id="759832853">
              <w:marLeft w:val="0"/>
              <w:marRight w:val="0"/>
              <w:marTop w:val="0"/>
              <w:marBottom w:val="0"/>
              <w:divBdr>
                <w:top w:val="none" w:sz="0" w:space="0" w:color="auto"/>
                <w:left w:val="none" w:sz="0" w:space="0" w:color="auto"/>
                <w:bottom w:val="none" w:sz="0" w:space="0" w:color="auto"/>
                <w:right w:val="none" w:sz="0" w:space="0" w:color="auto"/>
              </w:divBdr>
            </w:div>
            <w:div w:id="1130124308">
              <w:marLeft w:val="0"/>
              <w:marRight w:val="0"/>
              <w:marTop w:val="0"/>
              <w:marBottom w:val="0"/>
              <w:divBdr>
                <w:top w:val="none" w:sz="0" w:space="0" w:color="auto"/>
                <w:left w:val="none" w:sz="0" w:space="0" w:color="auto"/>
                <w:bottom w:val="none" w:sz="0" w:space="0" w:color="auto"/>
                <w:right w:val="none" w:sz="0" w:space="0" w:color="auto"/>
              </w:divBdr>
            </w:div>
          </w:divsChild>
        </w:div>
        <w:div w:id="715932014">
          <w:marLeft w:val="0"/>
          <w:marRight w:val="0"/>
          <w:marTop w:val="0"/>
          <w:marBottom w:val="0"/>
          <w:divBdr>
            <w:top w:val="none" w:sz="0" w:space="0" w:color="auto"/>
            <w:left w:val="none" w:sz="0" w:space="0" w:color="auto"/>
            <w:bottom w:val="none" w:sz="0" w:space="0" w:color="auto"/>
            <w:right w:val="none" w:sz="0" w:space="0" w:color="auto"/>
          </w:divBdr>
        </w:div>
        <w:div w:id="913708975">
          <w:marLeft w:val="0"/>
          <w:marRight w:val="0"/>
          <w:marTop w:val="0"/>
          <w:marBottom w:val="0"/>
          <w:divBdr>
            <w:top w:val="none" w:sz="0" w:space="0" w:color="auto"/>
            <w:left w:val="none" w:sz="0" w:space="0" w:color="auto"/>
            <w:bottom w:val="none" w:sz="0" w:space="0" w:color="auto"/>
            <w:right w:val="none" w:sz="0" w:space="0" w:color="auto"/>
          </w:divBdr>
          <w:divsChild>
            <w:div w:id="399518711">
              <w:marLeft w:val="0"/>
              <w:marRight w:val="0"/>
              <w:marTop w:val="0"/>
              <w:marBottom w:val="0"/>
              <w:divBdr>
                <w:top w:val="none" w:sz="0" w:space="0" w:color="auto"/>
                <w:left w:val="none" w:sz="0" w:space="0" w:color="auto"/>
                <w:bottom w:val="none" w:sz="0" w:space="0" w:color="auto"/>
                <w:right w:val="none" w:sz="0" w:space="0" w:color="auto"/>
              </w:divBdr>
            </w:div>
            <w:div w:id="1552615559">
              <w:marLeft w:val="0"/>
              <w:marRight w:val="0"/>
              <w:marTop w:val="0"/>
              <w:marBottom w:val="0"/>
              <w:divBdr>
                <w:top w:val="none" w:sz="0" w:space="0" w:color="auto"/>
                <w:left w:val="none" w:sz="0" w:space="0" w:color="auto"/>
                <w:bottom w:val="none" w:sz="0" w:space="0" w:color="auto"/>
                <w:right w:val="none" w:sz="0" w:space="0" w:color="auto"/>
              </w:divBdr>
            </w:div>
          </w:divsChild>
        </w:div>
        <w:div w:id="938293936">
          <w:marLeft w:val="0"/>
          <w:marRight w:val="0"/>
          <w:marTop w:val="0"/>
          <w:marBottom w:val="0"/>
          <w:divBdr>
            <w:top w:val="none" w:sz="0" w:space="0" w:color="auto"/>
            <w:left w:val="none" w:sz="0" w:space="0" w:color="auto"/>
            <w:bottom w:val="none" w:sz="0" w:space="0" w:color="auto"/>
            <w:right w:val="none" w:sz="0" w:space="0" w:color="auto"/>
          </w:divBdr>
        </w:div>
        <w:div w:id="1038121919">
          <w:marLeft w:val="0"/>
          <w:marRight w:val="0"/>
          <w:marTop w:val="0"/>
          <w:marBottom w:val="0"/>
          <w:divBdr>
            <w:top w:val="none" w:sz="0" w:space="0" w:color="auto"/>
            <w:left w:val="none" w:sz="0" w:space="0" w:color="auto"/>
            <w:bottom w:val="none" w:sz="0" w:space="0" w:color="auto"/>
            <w:right w:val="none" w:sz="0" w:space="0" w:color="auto"/>
          </w:divBdr>
        </w:div>
        <w:div w:id="1096511413">
          <w:marLeft w:val="0"/>
          <w:marRight w:val="0"/>
          <w:marTop w:val="0"/>
          <w:marBottom w:val="0"/>
          <w:divBdr>
            <w:top w:val="none" w:sz="0" w:space="0" w:color="auto"/>
            <w:left w:val="none" w:sz="0" w:space="0" w:color="auto"/>
            <w:bottom w:val="none" w:sz="0" w:space="0" w:color="auto"/>
            <w:right w:val="none" w:sz="0" w:space="0" w:color="auto"/>
          </w:divBdr>
          <w:divsChild>
            <w:div w:id="2133479892">
              <w:marLeft w:val="0"/>
              <w:marRight w:val="0"/>
              <w:marTop w:val="0"/>
              <w:marBottom w:val="0"/>
              <w:divBdr>
                <w:top w:val="none" w:sz="0" w:space="0" w:color="auto"/>
                <w:left w:val="none" w:sz="0" w:space="0" w:color="auto"/>
                <w:bottom w:val="none" w:sz="0" w:space="0" w:color="auto"/>
                <w:right w:val="none" w:sz="0" w:space="0" w:color="auto"/>
              </w:divBdr>
            </w:div>
          </w:divsChild>
        </w:div>
        <w:div w:id="1123697427">
          <w:marLeft w:val="0"/>
          <w:marRight w:val="0"/>
          <w:marTop w:val="0"/>
          <w:marBottom w:val="0"/>
          <w:divBdr>
            <w:top w:val="none" w:sz="0" w:space="0" w:color="auto"/>
            <w:left w:val="none" w:sz="0" w:space="0" w:color="auto"/>
            <w:bottom w:val="none" w:sz="0" w:space="0" w:color="auto"/>
            <w:right w:val="none" w:sz="0" w:space="0" w:color="auto"/>
          </w:divBdr>
        </w:div>
        <w:div w:id="1153251354">
          <w:marLeft w:val="0"/>
          <w:marRight w:val="0"/>
          <w:marTop w:val="0"/>
          <w:marBottom w:val="0"/>
          <w:divBdr>
            <w:top w:val="none" w:sz="0" w:space="0" w:color="auto"/>
            <w:left w:val="none" w:sz="0" w:space="0" w:color="auto"/>
            <w:bottom w:val="none" w:sz="0" w:space="0" w:color="auto"/>
            <w:right w:val="none" w:sz="0" w:space="0" w:color="auto"/>
          </w:divBdr>
          <w:divsChild>
            <w:div w:id="1635217101">
              <w:marLeft w:val="0"/>
              <w:marRight w:val="0"/>
              <w:marTop w:val="0"/>
              <w:marBottom w:val="0"/>
              <w:divBdr>
                <w:top w:val="none" w:sz="0" w:space="0" w:color="auto"/>
                <w:left w:val="none" w:sz="0" w:space="0" w:color="auto"/>
                <w:bottom w:val="none" w:sz="0" w:space="0" w:color="auto"/>
                <w:right w:val="none" w:sz="0" w:space="0" w:color="auto"/>
              </w:divBdr>
            </w:div>
          </w:divsChild>
        </w:div>
        <w:div w:id="1224020225">
          <w:marLeft w:val="0"/>
          <w:marRight w:val="0"/>
          <w:marTop w:val="0"/>
          <w:marBottom w:val="0"/>
          <w:divBdr>
            <w:top w:val="none" w:sz="0" w:space="0" w:color="auto"/>
            <w:left w:val="none" w:sz="0" w:space="0" w:color="auto"/>
            <w:bottom w:val="none" w:sz="0" w:space="0" w:color="auto"/>
            <w:right w:val="none" w:sz="0" w:space="0" w:color="auto"/>
          </w:divBdr>
          <w:divsChild>
            <w:div w:id="354186824">
              <w:marLeft w:val="0"/>
              <w:marRight w:val="0"/>
              <w:marTop w:val="0"/>
              <w:marBottom w:val="0"/>
              <w:divBdr>
                <w:top w:val="none" w:sz="0" w:space="0" w:color="auto"/>
                <w:left w:val="none" w:sz="0" w:space="0" w:color="auto"/>
                <w:bottom w:val="none" w:sz="0" w:space="0" w:color="auto"/>
                <w:right w:val="none" w:sz="0" w:space="0" w:color="auto"/>
              </w:divBdr>
            </w:div>
            <w:div w:id="1101143367">
              <w:marLeft w:val="0"/>
              <w:marRight w:val="0"/>
              <w:marTop w:val="0"/>
              <w:marBottom w:val="0"/>
              <w:divBdr>
                <w:top w:val="none" w:sz="0" w:space="0" w:color="auto"/>
                <w:left w:val="none" w:sz="0" w:space="0" w:color="auto"/>
                <w:bottom w:val="none" w:sz="0" w:space="0" w:color="auto"/>
                <w:right w:val="none" w:sz="0" w:space="0" w:color="auto"/>
              </w:divBdr>
            </w:div>
            <w:div w:id="1811098277">
              <w:marLeft w:val="0"/>
              <w:marRight w:val="0"/>
              <w:marTop w:val="0"/>
              <w:marBottom w:val="0"/>
              <w:divBdr>
                <w:top w:val="none" w:sz="0" w:space="0" w:color="auto"/>
                <w:left w:val="none" w:sz="0" w:space="0" w:color="auto"/>
                <w:bottom w:val="none" w:sz="0" w:space="0" w:color="auto"/>
                <w:right w:val="none" w:sz="0" w:space="0" w:color="auto"/>
              </w:divBdr>
            </w:div>
            <w:div w:id="2136752727">
              <w:marLeft w:val="0"/>
              <w:marRight w:val="0"/>
              <w:marTop w:val="0"/>
              <w:marBottom w:val="0"/>
              <w:divBdr>
                <w:top w:val="none" w:sz="0" w:space="0" w:color="auto"/>
                <w:left w:val="none" w:sz="0" w:space="0" w:color="auto"/>
                <w:bottom w:val="none" w:sz="0" w:space="0" w:color="auto"/>
                <w:right w:val="none" w:sz="0" w:space="0" w:color="auto"/>
              </w:divBdr>
            </w:div>
          </w:divsChild>
        </w:div>
        <w:div w:id="1452549446">
          <w:marLeft w:val="0"/>
          <w:marRight w:val="0"/>
          <w:marTop w:val="0"/>
          <w:marBottom w:val="0"/>
          <w:divBdr>
            <w:top w:val="none" w:sz="0" w:space="0" w:color="auto"/>
            <w:left w:val="none" w:sz="0" w:space="0" w:color="auto"/>
            <w:bottom w:val="none" w:sz="0" w:space="0" w:color="auto"/>
            <w:right w:val="none" w:sz="0" w:space="0" w:color="auto"/>
          </w:divBdr>
        </w:div>
        <w:div w:id="1513103118">
          <w:marLeft w:val="0"/>
          <w:marRight w:val="0"/>
          <w:marTop w:val="0"/>
          <w:marBottom w:val="0"/>
          <w:divBdr>
            <w:top w:val="none" w:sz="0" w:space="0" w:color="auto"/>
            <w:left w:val="none" w:sz="0" w:space="0" w:color="auto"/>
            <w:bottom w:val="none" w:sz="0" w:space="0" w:color="auto"/>
            <w:right w:val="none" w:sz="0" w:space="0" w:color="auto"/>
          </w:divBdr>
        </w:div>
        <w:div w:id="1807505926">
          <w:marLeft w:val="0"/>
          <w:marRight w:val="0"/>
          <w:marTop w:val="0"/>
          <w:marBottom w:val="0"/>
          <w:divBdr>
            <w:top w:val="none" w:sz="0" w:space="0" w:color="auto"/>
            <w:left w:val="none" w:sz="0" w:space="0" w:color="auto"/>
            <w:bottom w:val="none" w:sz="0" w:space="0" w:color="auto"/>
            <w:right w:val="none" w:sz="0" w:space="0" w:color="auto"/>
          </w:divBdr>
          <w:divsChild>
            <w:div w:id="424693548">
              <w:marLeft w:val="0"/>
              <w:marRight w:val="0"/>
              <w:marTop w:val="0"/>
              <w:marBottom w:val="0"/>
              <w:divBdr>
                <w:top w:val="none" w:sz="0" w:space="0" w:color="auto"/>
                <w:left w:val="none" w:sz="0" w:space="0" w:color="auto"/>
                <w:bottom w:val="none" w:sz="0" w:space="0" w:color="auto"/>
                <w:right w:val="none" w:sz="0" w:space="0" w:color="auto"/>
              </w:divBdr>
            </w:div>
            <w:div w:id="1374312143">
              <w:marLeft w:val="0"/>
              <w:marRight w:val="0"/>
              <w:marTop w:val="0"/>
              <w:marBottom w:val="0"/>
              <w:divBdr>
                <w:top w:val="none" w:sz="0" w:space="0" w:color="auto"/>
                <w:left w:val="none" w:sz="0" w:space="0" w:color="auto"/>
                <w:bottom w:val="none" w:sz="0" w:space="0" w:color="auto"/>
                <w:right w:val="none" w:sz="0" w:space="0" w:color="auto"/>
              </w:divBdr>
            </w:div>
            <w:div w:id="1669015815">
              <w:marLeft w:val="0"/>
              <w:marRight w:val="0"/>
              <w:marTop w:val="0"/>
              <w:marBottom w:val="0"/>
              <w:divBdr>
                <w:top w:val="none" w:sz="0" w:space="0" w:color="auto"/>
                <w:left w:val="none" w:sz="0" w:space="0" w:color="auto"/>
                <w:bottom w:val="none" w:sz="0" w:space="0" w:color="auto"/>
                <w:right w:val="none" w:sz="0" w:space="0" w:color="auto"/>
              </w:divBdr>
            </w:div>
            <w:div w:id="1670980081">
              <w:marLeft w:val="0"/>
              <w:marRight w:val="0"/>
              <w:marTop w:val="0"/>
              <w:marBottom w:val="0"/>
              <w:divBdr>
                <w:top w:val="none" w:sz="0" w:space="0" w:color="auto"/>
                <w:left w:val="none" w:sz="0" w:space="0" w:color="auto"/>
                <w:bottom w:val="none" w:sz="0" w:space="0" w:color="auto"/>
                <w:right w:val="none" w:sz="0" w:space="0" w:color="auto"/>
              </w:divBdr>
            </w:div>
            <w:div w:id="1876965864">
              <w:marLeft w:val="0"/>
              <w:marRight w:val="0"/>
              <w:marTop w:val="0"/>
              <w:marBottom w:val="0"/>
              <w:divBdr>
                <w:top w:val="none" w:sz="0" w:space="0" w:color="auto"/>
                <w:left w:val="none" w:sz="0" w:space="0" w:color="auto"/>
                <w:bottom w:val="none" w:sz="0" w:space="0" w:color="auto"/>
                <w:right w:val="none" w:sz="0" w:space="0" w:color="auto"/>
              </w:divBdr>
            </w:div>
          </w:divsChild>
        </w:div>
        <w:div w:id="1838306301">
          <w:marLeft w:val="0"/>
          <w:marRight w:val="0"/>
          <w:marTop w:val="0"/>
          <w:marBottom w:val="0"/>
          <w:divBdr>
            <w:top w:val="none" w:sz="0" w:space="0" w:color="auto"/>
            <w:left w:val="none" w:sz="0" w:space="0" w:color="auto"/>
            <w:bottom w:val="none" w:sz="0" w:space="0" w:color="auto"/>
            <w:right w:val="none" w:sz="0" w:space="0" w:color="auto"/>
          </w:divBdr>
          <w:divsChild>
            <w:div w:id="1312446560">
              <w:marLeft w:val="-75"/>
              <w:marRight w:val="0"/>
              <w:marTop w:val="30"/>
              <w:marBottom w:val="30"/>
              <w:divBdr>
                <w:top w:val="none" w:sz="0" w:space="0" w:color="auto"/>
                <w:left w:val="none" w:sz="0" w:space="0" w:color="auto"/>
                <w:bottom w:val="none" w:sz="0" w:space="0" w:color="auto"/>
                <w:right w:val="none" w:sz="0" w:space="0" w:color="auto"/>
              </w:divBdr>
              <w:divsChild>
                <w:div w:id="226653760">
                  <w:marLeft w:val="0"/>
                  <w:marRight w:val="0"/>
                  <w:marTop w:val="0"/>
                  <w:marBottom w:val="0"/>
                  <w:divBdr>
                    <w:top w:val="none" w:sz="0" w:space="0" w:color="auto"/>
                    <w:left w:val="none" w:sz="0" w:space="0" w:color="auto"/>
                    <w:bottom w:val="none" w:sz="0" w:space="0" w:color="auto"/>
                    <w:right w:val="none" w:sz="0" w:space="0" w:color="auto"/>
                  </w:divBdr>
                  <w:divsChild>
                    <w:div w:id="1260219003">
                      <w:marLeft w:val="0"/>
                      <w:marRight w:val="0"/>
                      <w:marTop w:val="0"/>
                      <w:marBottom w:val="0"/>
                      <w:divBdr>
                        <w:top w:val="none" w:sz="0" w:space="0" w:color="auto"/>
                        <w:left w:val="none" w:sz="0" w:space="0" w:color="auto"/>
                        <w:bottom w:val="none" w:sz="0" w:space="0" w:color="auto"/>
                        <w:right w:val="none" w:sz="0" w:space="0" w:color="auto"/>
                      </w:divBdr>
                    </w:div>
                  </w:divsChild>
                </w:div>
                <w:div w:id="443352314">
                  <w:marLeft w:val="0"/>
                  <w:marRight w:val="0"/>
                  <w:marTop w:val="0"/>
                  <w:marBottom w:val="0"/>
                  <w:divBdr>
                    <w:top w:val="none" w:sz="0" w:space="0" w:color="auto"/>
                    <w:left w:val="none" w:sz="0" w:space="0" w:color="auto"/>
                    <w:bottom w:val="none" w:sz="0" w:space="0" w:color="auto"/>
                    <w:right w:val="none" w:sz="0" w:space="0" w:color="auto"/>
                  </w:divBdr>
                  <w:divsChild>
                    <w:div w:id="683483773">
                      <w:marLeft w:val="0"/>
                      <w:marRight w:val="0"/>
                      <w:marTop w:val="0"/>
                      <w:marBottom w:val="0"/>
                      <w:divBdr>
                        <w:top w:val="none" w:sz="0" w:space="0" w:color="auto"/>
                        <w:left w:val="none" w:sz="0" w:space="0" w:color="auto"/>
                        <w:bottom w:val="none" w:sz="0" w:space="0" w:color="auto"/>
                        <w:right w:val="none" w:sz="0" w:space="0" w:color="auto"/>
                      </w:divBdr>
                    </w:div>
                  </w:divsChild>
                </w:div>
                <w:div w:id="687297506">
                  <w:marLeft w:val="0"/>
                  <w:marRight w:val="0"/>
                  <w:marTop w:val="0"/>
                  <w:marBottom w:val="0"/>
                  <w:divBdr>
                    <w:top w:val="none" w:sz="0" w:space="0" w:color="auto"/>
                    <w:left w:val="none" w:sz="0" w:space="0" w:color="auto"/>
                    <w:bottom w:val="none" w:sz="0" w:space="0" w:color="auto"/>
                    <w:right w:val="none" w:sz="0" w:space="0" w:color="auto"/>
                  </w:divBdr>
                  <w:divsChild>
                    <w:div w:id="1853180480">
                      <w:marLeft w:val="0"/>
                      <w:marRight w:val="0"/>
                      <w:marTop w:val="0"/>
                      <w:marBottom w:val="0"/>
                      <w:divBdr>
                        <w:top w:val="none" w:sz="0" w:space="0" w:color="auto"/>
                        <w:left w:val="none" w:sz="0" w:space="0" w:color="auto"/>
                        <w:bottom w:val="none" w:sz="0" w:space="0" w:color="auto"/>
                        <w:right w:val="none" w:sz="0" w:space="0" w:color="auto"/>
                      </w:divBdr>
                    </w:div>
                  </w:divsChild>
                </w:div>
                <w:div w:id="695621584">
                  <w:marLeft w:val="0"/>
                  <w:marRight w:val="0"/>
                  <w:marTop w:val="0"/>
                  <w:marBottom w:val="0"/>
                  <w:divBdr>
                    <w:top w:val="none" w:sz="0" w:space="0" w:color="auto"/>
                    <w:left w:val="none" w:sz="0" w:space="0" w:color="auto"/>
                    <w:bottom w:val="none" w:sz="0" w:space="0" w:color="auto"/>
                    <w:right w:val="none" w:sz="0" w:space="0" w:color="auto"/>
                  </w:divBdr>
                  <w:divsChild>
                    <w:div w:id="658115192">
                      <w:marLeft w:val="0"/>
                      <w:marRight w:val="0"/>
                      <w:marTop w:val="0"/>
                      <w:marBottom w:val="0"/>
                      <w:divBdr>
                        <w:top w:val="none" w:sz="0" w:space="0" w:color="auto"/>
                        <w:left w:val="none" w:sz="0" w:space="0" w:color="auto"/>
                        <w:bottom w:val="none" w:sz="0" w:space="0" w:color="auto"/>
                        <w:right w:val="none" w:sz="0" w:space="0" w:color="auto"/>
                      </w:divBdr>
                    </w:div>
                  </w:divsChild>
                </w:div>
                <w:div w:id="738333643">
                  <w:marLeft w:val="0"/>
                  <w:marRight w:val="0"/>
                  <w:marTop w:val="0"/>
                  <w:marBottom w:val="0"/>
                  <w:divBdr>
                    <w:top w:val="none" w:sz="0" w:space="0" w:color="auto"/>
                    <w:left w:val="none" w:sz="0" w:space="0" w:color="auto"/>
                    <w:bottom w:val="none" w:sz="0" w:space="0" w:color="auto"/>
                    <w:right w:val="none" w:sz="0" w:space="0" w:color="auto"/>
                  </w:divBdr>
                  <w:divsChild>
                    <w:div w:id="93283356">
                      <w:marLeft w:val="0"/>
                      <w:marRight w:val="0"/>
                      <w:marTop w:val="0"/>
                      <w:marBottom w:val="0"/>
                      <w:divBdr>
                        <w:top w:val="none" w:sz="0" w:space="0" w:color="auto"/>
                        <w:left w:val="none" w:sz="0" w:space="0" w:color="auto"/>
                        <w:bottom w:val="none" w:sz="0" w:space="0" w:color="auto"/>
                        <w:right w:val="none" w:sz="0" w:space="0" w:color="auto"/>
                      </w:divBdr>
                    </w:div>
                  </w:divsChild>
                </w:div>
                <w:div w:id="830754349">
                  <w:marLeft w:val="0"/>
                  <w:marRight w:val="0"/>
                  <w:marTop w:val="0"/>
                  <w:marBottom w:val="0"/>
                  <w:divBdr>
                    <w:top w:val="none" w:sz="0" w:space="0" w:color="auto"/>
                    <w:left w:val="none" w:sz="0" w:space="0" w:color="auto"/>
                    <w:bottom w:val="none" w:sz="0" w:space="0" w:color="auto"/>
                    <w:right w:val="none" w:sz="0" w:space="0" w:color="auto"/>
                  </w:divBdr>
                  <w:divsChild>
                    <w:div w:id="1587570123">
                      <w:marLeft w:val="0"/>
                      <w:marRight w:val="0"/>
                      <w:marTop w:val="0"/>
                      <w:marBottom w:val="0"/>
                      <w:divBdr>
                        <w:top w:val="none" w:sz="0" w:space="0" w:color="auto"/>
                        <w:left w:val="none" w:sz="0" w:space="0" w:color="auto"/>
                        <w:bottom w:val="none" w:sz="0" w:space="0" w:color="auto"/>
                        <w:right w:val="none" w:sz="0" w:space="0" w:color="auto"/>
                      </w:divBdr>
                    </w:div>
                  </w:divsChild>
                </w:div>
                <w:div w:id="924263868">
                  <w:marLeft w:val="0"/>
                  <w:marRight w:val="0"/>
                  <w:marTop w:val="0"/>
                  <w:marBottom w:val="0"/>
                  <w:divBdr>
                    <w:top w:val="none" w:sz="0" w:space="0" w:color="auto"/>
                    <w:left w:val="none" w:sz="0" w:space="0" w:color="auto"/>
                    <w:bottom w:val="none" w:sz="0" w:space="0" w:color="auto"/>
                    <w:right w:val="none" w:sz="0" w:space="0" w:color="auto"/>
                  </w:divBdr>
                  <w:divsChild>
                    <w:div w:id="1937983051">
                      <w:marLeft w:val="0"/>
                      <w:marRight w:val="0"/>
                      <w:marTop w:val="0"/>
                      <w:marBottom w:val="0"/>
                      <w:divBdr>
                        <w:top w:val="none" w:sz="0" w:space="0" w:color="auto"/>
                        <w:left w:val="none" w:sz="0" w:space="0" w:color="auto"/>
                        <w:bottom w:val="none" w:sz="0" w:space="0" w:color="auto"/>
                        <w:right w:val="none" w:sz="0" w:space="0" w:color="auto"/>
                      </w:divBdr>
                    </w:div>
                  </w:divsChild>
                </w:div>
                <w:div w:id="925309284">
                  <w:marLeft w:val="0"/>
                  <w:marRight w:val="0"/>
                  <w:marTop w:val="0"/>
                  <w:marBottom w:val="0"/>
                  <w:divBdr>
                    <w:top w:val="none" w:sz="0" w:space="0" w:color="auto"/>
                    <w:left w:val="none" w:sz="0" w:space="0" w:color="auto"/>
                    <w:bottom w:val="none" w:sz="0" w:space="0" w:color="auto"/>
                    <w:right w:val="none" w:sz="0" w:space="0" w:color="auto"/>
                  </w:divBdr>
                  <w:divsChild>
                    <w:div w:id="744375315">
                      <w:marLeft w:val="0"/>
                      <w:marRight w:val="0"/>
                      <w:marTop w:val="0"/>
                      <w:marBottom w:val="0"/>
                      <w:divBdr>
                        <w:top w:val="none" w:sz="0" w:space="0" w:color="auto"/>
                        <w:left w:val="none" w:sz="0" w:space="0" w:color="auto"/>
                        <w:bottom w:val="none" w:sz="0" w:space="0" w:color="auto"/>
                        <w:right w:val="none" w:sz="0" w:space="0" w:color="auto"/>
                      </w:divBdr>
                    </w:div>
                  </w:divsChild>
                </w:div>
                <w:div w:id="992877031">
                  <w:marLeft w:val="0"/>
                  <w:marRight w:val="0"/>
                  <w:marTop w:val="0"/>
                  <w:marBottom w:val="0"/>
                  <w:divBdr>
                    <w:top w:val="none" w:sz="0" w:space="0" w:color="auto"/>
                    <w:left w:val="none" w:sz="0" w:space="0" w:color="auto"/>
                    <w:bottom w:val="none" w:sz="0" w:space="0" w:color="auto"/>
                    <w:right w:val="none" w:sz="0" w:space="0" w:color="auto"/>
                  </w:divBdr>
                  <w:divsChild>
                    <w:div w:id="19279243">
                      <w:marLeft w:val="0"/>
                      <w:marRight w:val="0"/>
                      <w:marTop w:val="0"/>
                      <w:marBottom w:val="0"/>
                      <w:divBdr>
                        <w:top w:val="none" w:sz="0" w:space="0" w:color="auto"/>
                        <w:left w:val="none" w:sz="0" w:space="0" w:color="auto"/>
                        <w:bottom w:val="none" w:sz="0" w:space="0" w:color="auto"/>
                        <w:right w:val="none" w:sz="0" w:space="0" w:color="auto"/>
                      </w:divBdr>
                    </w:div>
                  </w:divsChild>
                </w:div>
                <w:div w:id="1067340257">
                  <w:marLeft w:val="0"/>
                  <w:marRight w:val="0"/>
                  <w:marTop w:val="0"/>
                  <w:marBottom w:val="0"/>
                  <w:divBdr>
                    <w:top w:val="none" w:sz="0" w:space="0" w:color="auto"/>
                    <w:left w:val="none" w:sz="0" w:space="0" w:color="auto"/>
                    <w:bottom w:val="none" w:sz="0" w:space="0" w:color="auto"/>
                    <w:right w:val="none" w:sz="0" w:space="0" w:color="auto"/>
                  </w:divBdr>
                  <w:divsChild>
                    <w:div w:id="2107922123">
                      <w:marLeft w:val="0"/>
                      <w:marRight w:val="0"/>
                      <w:marTop w:val="0"/>
                      <w:marBottom w:val="0"/>
                      <w:divBdr>
                        <w:top w:val="none" w:sz="0" w:space="0" w:color="auto"/>
                        <w:left w:val="none" w:sz="0" w:space="0" w:color="auto"/>
                        <w:bottom w:val="none" w:sz="0" w:space="0" w:color="auto"/>
                        <w:right w:val="none" w:sz="0" w:space="0" w:color="auto"/>
                      </w:divBdr>
                    </w:div>
                  </w:divsChild>
                </w:div>
                <w:div w:id="1160922991">
                  <w:marLeft w:val="0"/>
                  <w:marRight w:val="0"/>
                  <w:marTop w:val="0"/>
                  <w:marBottom w:val="0"/>
                  <w:divBdr>
                    <w:top w:val="none" w:sz="0" w:space="0" w:color="auto"/>
                    <w:left w:val="none" w:sz="0" w:space="0" w:color="auto"/>
                    <w:bottom w:val="none" w:sz="0" w:space="0" w:color="auto"/>
                    <w:right w:val="none" w:sz="0" w:space="0" w:color="auto"/>
                  </w:divBdr>
                  <w:divsChild>
                    <w:div w:id="437717915">
                      <w:marLeft w:val="0"/>
                      <w:marRight w:val="0"/>
                      <w:marTop w:val="0"/>
                      <w:marBottom w:val="0"/>
                      <w:divBdr>
                        <w:top w:val="none" w:sz="0" w:space="0" w:color="auto"/>
                        <w:left w:val="none" w:sz="0" w:space="0" w:color="auto"/>
                        <w:bottom w:val="none" w:sz="0" w:space="0" w:color="auto"/>
                        <w:right w:val="none" w:sz="0" w:space="0" w:color="auto"/>
                      </w:divBdr>
                    </w:div>
                  </w:divsChild>
                </w:div>
                <w:div w:id="1214541438">
                  <w:marLeft w:val="0"/>
                  <w:marRight w:val="0"/>
                  <w:marTop w:val="0"/>
                  <w:marBottom w:val="0"/>
                  <w:divBdr>
                    <w:top w:val="none" w:sz="0" w:space="0" w:color="auto"/>
                    <w:left w:val="none" w:sz="0" w:space="0" w:color="auto"/>
                    <w:bottom w:val="none" w:sz="0" w:space="0" w:color="auto"/>
                    <w:right w:val="none" w:sz="0" w:space="0" w:color="auto"/>
                  </w:divBdr>
                  <w:divsChild>
                    <w:div w:id="680547519">
                      <w:marLeft w:val="0"/>
                      <w:marRight w:val="0"/>
                      <w:marTop w:val="0"/>
                      <w:marBottom w:val="0"/>
                      <w:divBdr>
                        <w:top w:val="none" w:sz="0" w:space="0" w:color="auto"/>
                        <w:left w:val="none" w:sz="0" w:space="0" w:color="auto"/>
                        <w:bottom w:val="none" w:sz="0" w:space="0" w:color="auto"/>
                        <w:right w:val="none" w:sz="0" w:space="0" w:color="auto"/>
                      </w:divBdr>
                    </w:div>
                  </w:divsChild>
                </w:div>
                <w:div w:id="1228685079">
                  <w:marLeft w:val="0"/>
                  <w:marRight w:val="0"/>
                  <w:marTop w:val="0"/>
                  <w:marBottom w:val="0"/>
                  <w:divBdr>
                    <w:top w:val="none" w:sz="0" w:space="0" w:color="auto"/>
                    <w:left w:val="none" w:sz="0" w:space="0" w:color="auto"/>
                    <w:bottom w:val="none" w:sz="0" w:space="0" w:color="auto"/>
                    <w:right w:val="none" w:sz="0" w:space="0" w:color="auto"/>
                  </w:divBdr>
                  <w:divsChild>
                    <w:div w:id="654185058">
                      <w:marLeft w:val="0"/>
                      <w:marRight w:val="0"/>
                      <w:marTop w:val="0"/>
                      <w:marBottom w:val="0"/>
                      <w:divBdr>
                        <w:top w:val="none" w:sz="0" w:space="0" w:color="auto"/>
                        <w:left w:val="none" w:sz="0" w:space="0" w:color="auto"/>
                        <w:bottom w:val="none" w:sz="0" w:space="0" w:color="auto"/>
                        <w:right w:val="none" w:sz="0" w:space="0" w:color="auto"/>
                      </w:divBdr>
                    </w:div>
                  </w:divsChild>
                </w:div>
                <w:div w:id="1279606846">
                  <w:marLeft w:val="0"/>
                  <w:marRight w:val="0"/>
                  <w:marTop w:val="0"/>
                  <w:marBottom w:val="0"/>
                  <w:divBdr>
                    <w:top w:val="none" w:sz="0" w:space="0" w:color="auto"/>
                    <w:left w:val="none" w:sz="0" w:space="0" w:color="auto"/>
                    <w:bottom w:val="none" w:sz="0" w:space="0" w:color="auto"/>
                    <w:right w:val="none" w:sz="0" w:space="0" w:color="auto"/>
                  </w:divBdr>
                  <w:divsChild>
                    <w:div w:id="1343511887">
                      <w:marLeft w:val="0"/>
                      <w:marRight w:val="0"/>
                      <w:marTop w:val="0"/>
                      <w:marBottom w:val="0"/>
                      <w:divBdr>
                        <w:top w:val="none" w:sz="0" w:space="0" w:color="auto"/>
                        <w:left w:val="none" w:sz="0" w:space="0" w:color="auto"/>
                        <w:bottom w:val="none" w:sz="0" w:space="0" w:color="auto"/>
                        <w:right w:val="none" w:sz="0" w:space="0" w:color="auto"/>
                      </w:divBdr>
                    </w:div>
                  </w:divsChild>
                </w:div>
                <w:div w:id="1506167949">
                  <w:marLeft w:val="0"/>
                  <w:marRight w:val="0"/>
                  <w:marTop w:val="0"/>
                  <w:marBottom w:val="0"/>
                  <w:divBdr>
                    <w:top w:val="none" w:sz="0" w:space="0" w:color="auto"/>
                    <w:left w:val="none" w:sz="0" w:space="0" w:color="auto"/>
                    <w:bottom w:val="none" w:sz="0" w:space="0" w:color="auto"/>
                    <w:right w:val="none" w:sz="0" w:space="0" w:color="auto"/>
                  </w:divBdr>
                  <w:divsChild>
                    <w:div w:id="1774206239">
                      <w:marLeft w:val="0"/>
                      <w:marRight w:val="0"/>
                      <w:marTop w:val="0"/>
                      <w:marBottom w:val="0"/>
                      <w:divBdr>
                        <w:top w:val="none" w:sz="0" w:space="0" w:color="auto"/>
                        <w:left w:val="none" w:sz="0" w:space="0" w:color="auto"/>
                        <w:bottom w:val="none" w:sz="0" w:space="0" w:color="auto"/>
                        <w:right w:val="none" w:sz="0" w:space="0" w:color="auto"/>
                      </w:divBdr>
                    </w:div>
                  </w:divsChild>
                </w:div>
                <w:div w:id="1511412388">
                  <w:marLeft w:val="0"/>
                  <w:marRight w:val="0"/>
                  <w:marTop w:val="0"/>
                  <w:marBottom w:val="0"/>
                  <w:divBdr>
                    <w:top w:val="none" w:sz="0" w:space="0" w:color="auto"/>
                    <w:left w:val="none" w:sz="0" w:space="0" w:color="auto"/>
                    <w:bottom w:val="none" w:sz="0" w:space="0" w:color="auto"/>
                    <w:right w:val="none" w:sz="0" w:space="0" w:color="auto"/>
                  </w:divBdr>
                  <w:divsChild>
                    <w:div w:id="132216899">
                      <w:marLeft w:val="0"/>
                      <w:marRight w:val="0"/>
                      <w:marTop w:val="0"/>
                      <w:marBottom w:val="0"/>
                      <w:divBdr>
                        <w:top w:val="none" w:sz="0" w:space="0" w:color="auto"/>
                        <w:left w:val="none" w:sz="0" w:space="0" w:color="auto"/>
                        <w:bottom w:val="none" w:sz="0" w:space="0" w:color="auto"/>
                        <w:right w:val="none" w:sz="0" w:space="0" w:color="auto"/>
                      </w:divBdr>
                    </w:div>
                  </w:divsChild>
                </w:div>
                <w:div w:id="1603342339">
                  <w:marLeft w:val="0"/>
                  <w:marRight w:val="0"/>
                  <w:marTop w:val="0"/>
                  <w:marBottom w:val="0"/>
                  <w:divBdr>
                    <w:top w:val="none" w:sz="0" w:space="0" w:color="auto"/>
                    <w:left w:val="none" w:sz="0" w:space="0" w:color="auto"/>
                    <w:bottom w:val="none" w:sz="0" w:space="0" w:color="auto"/>
                    <w:right w:val="none" w:sz="0" w:space="0" w:color="auto"/>
                  </w:divBdr>
                  <w:divsChild>
                    <w:div w:id="377360504">
                      <w:marLeft w:val="0"/>
                      <w:marRight w:val="0"/>
                      <w:marTop w:val="0"/>
                      <w:marBottom w:val="0"/>
                      <w:divBdr>
                        <w:top w:val="none" w:sz="0" w:space="0" w:color="auto"/>
                        <w:left w:val="none" w:sz="0" w:space="0" w:color="auto"/>
                        <w:bottom w:val="none" w:sz="0" w:space="0" w:color="auto"/>
                        <w:right w:val="none" w:sz="0" w:space="0" w:color="auto"/>
                      </w:divBdr>
                    </w:div>
                  </w:divsChild>
                </w:div>
                <w:div w:id="1851022655">
                  <w:marLeft w:val="0"/>
                  <w:marRight w:val="0"/>
                  <w:marTop w:val="0"/>
                  <w:marBottom w:val="0"/>
                  <w:divBdr>
                    <w:top w:val="none" w:sz="0" w:space="0" w:color="auto"/>
                    <w:left w:val="none" w:sz="0" w:space="0" w:color="auto"/>
                    <w:bottom w:val="none" w:sz="0" w:space="0" w:color="auto"/>
                    <w:right w:val="none" w:sz="0" w:space="0" w:color="auto"/>
                  </w:divBdr>
                  <w:divsChild>
                    <w:div w:id="1842616918">
                      <w:marLeft w:val="0"/>
                      <w:marRight w:val="0"/>
                      <w:marTop w:val="0"/>
                      <w:marBottom w:val="0"/>
                      <w:divBdr>
                        <w:top w:val="none" w:sz="0" w:space="0" w:color="auto"/>
                        <w:left w:val="none" w:sz="0" w:space="0" w:color="auto"/>
                        <w:bottom w:val="none" w:sz="0" w:space="0" w:color="auto"/>
                        <w:right w:val="none" w:sz="0" w:space="0" w:color="auto"/>
                      </w:divBdr>
                    </w:div>
                  </w:divsChild>
                </w:div>
                <w:div w:id="2060939132">
                  <w:marLeft w:val="0"/>
                  <w:marRight w:val="0"/>
                  <w:marTop w:val="0"/>
                  <w:marBottom w:val="0"/>
                  <w:divBdr>
                    <w:top w:val="none" w:sz="0" w:space="0" w:color="auto"/>
                    <w:left w:val="none" w:sz="0" w:space="0" w:color="auto"/>
                    <w:bottom w:val="none" w:sz="0" w:space="0" w:color="auto"/>
                    <w:right w:val="none" w:sz="0" w:space="0" w:color="auto"/>
                  </w:divBdr>
                  <w:divsChild>
                    <w:div w:id="5737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50421">
          <w:marLeft w:val="0"/>
          <w:marRight w:val="0"/>
          <w:marTop w:val="0"/>
          <w:marBottom w:val="0"/>
          <w:divBdr>
            <w:top w:val="none" w:sz="0" w:space="0" w:color="auto"/>
            <w:left w:val="none" w:sz="0" w:space="0" w:color="auto"/>
            <w:bottom w:val="none" w:sz="0" w:space="0" w:color="auto"/>
            <w:right w:val="none" w:sz="0" w:space="0" w:color="auto"/>
          </w:divBdr>
          <w:divsChild>
            <w:div w:id="52579997">
              <w:marLeft w:val="0"/>
              <w:marRight w:val="0"/>
              <w:marTop w:val="0"/>
              <w:marBottom w:val="0"/>
              <w:divBdr>
                <w:top w:val="none" w:sz="0" w:space="0" w:color="auto"/>
                <w:left w:val="none" w:sz="0" w:space="0" w:color="auto"/>
                <w:bottom w:val="none" w:sz="0" w:space="0" w:color="auto"/>
                <w:right w:val="none" w:sz="0" w:space="0" w:color="auto"/>
              </w:divBdr>
            </w:div>
            <w:div w:id="78524122">
              <w:marLeft w:val="0"/>
              <w:marRight w:val="0"/>
              <w:marTop w:val="0"/>
              <w:marBottom w:val="0"/>
              <w:divBdr>
                <w:top w:val="none" w:sz="0" w:space="0" w:color="auto"/>
                <w:left w:val="none" w:sz="0" w:space="0" w:color="auto"/>
                <w:bottom w:val="none" w:sz="0" w:space="0" w:color="auto"/>
                <w:right w:val="none" w:sz="0" w:space="0" w:color="auto"/>
              </w:divBdr>
            </w:div>
            <w:div w:id="1644582358">
              <w:marLeft w:val="0"/>
              <w:marRight w:val="0"/>
              <w:marTop w:val="0"/>
              <w:marBottom w:val="0"/>
              <w:divBdr>
                <w:top w:val="none" w:sz="0" w:space="0" w:color="auto"/>
                <w:left w:val="none" w:sz="0" w:space="0" w:color="auto"/>
                <w:bottom w:val="none" w:sz="0" w:space="0" w:color="auto"/>
                <w:right w:val="none" w:sz="0" w:space="0" w:color="auto"/>
              </w:divBdr>
            </w:div>
            <w:div w:id="16764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3411">
      <w:bodyDiv w:val="1"/>
      <w:marLeft w:val="0"/>
      <w:marRight w:val="0"/>
      <w:marTop w:val="0"/>
      <w:marBottom w:val="0"/>
      <w:divBdr>
        <w:top w:val="none" w:sz="0" w:space="0" w:color="auto"/>
        <w:left w:val="none" w:sz="0" w:space="0" w:color="auto"/>
        <w:bottom w:val="none" w:sz="0" w:space="0" w:color="auto"/>
        <w:right w:val="none" w:sz="0" w:space="0" w:color="auto"/>
      </w:divBdr>
    </w:div>
    <w:div w:id="74863146">
      <w:bodyDiv w:val="1"/>
      <w:marLeft w:val="0"/>
      <w:marRight w:val="0"/>
      <w:marTop w:val="0"/>
      <w:marBottom w:val="0"/>
      <w:divBdr>
        <w:top w:val="none" w:sz="0" w:space="0" w:color="auto"/>
        <w:left w:val="none" w:sz="0" w:space="0" w:color="auto"/>
        <w:bottom w:val="none" w:sz="0" w:space="0" w:color="auto"/>
        <w:right w:val="none" w:sz="0" w:space="0" w:color="auto"/>
      </w:divBdr>
      <w:divsChild>
        <w:div w:id="176773791">
          <w:marLeft w:val="0"/>
          <w:marRight w:val="0"/>
          <w:marTop w:val="0"/>
          <w:marBottom w:val="0"/>
          <w:divBdr>
            <w:top w:val="none" w:sz="0" w:space="0" w:color="auto"/>
            <w:left w:val="none" w:sz="0" w:space="0" w:color="auto"/>
            <w:bottom w:val="none" w:sz="0" w:space="0" w:color="auto"/>
            <w:right w:val="none" w:sz="0" w:space="0" w:color="auto"/>
          </w:divBdr>
        </w:div>
        <w:div w:id="231431937">
          <w:marLeft w:val="0"/>
          <w:marRight w:val="0"/>
          <w:marTop w:val="0"/>
          <w:marBottom w:val="0"/>
          <w:divBdr>
            <w:top w:val="none" w:sz="0" w:space="0" w:color="auto"/>
            <w:left w:val="none" w:sz="0" w:space="0" w:color="auto"/>
            <w:bottom w:val="none" w:sz="0" w:space="0" w:color="auto"/>
            <w:right w:val="none" w:sz="0" w:space="0" w:color="auto"/>
          </w:divBdr>
        </w:div>
        <w:div w:id="423035930">
          <w:marLeft w:val="0"/>
          <w:marRight w:val="0"/>
          <w:marTop w:val="0"/>
          <w:marBottom w:val="0"/>
          <w:divBdr>
            <w:top w:val="none" w:sz="0" w:space="0" w:color="auto"/>
            <w:left w:val="none" w:sz="0" w:space="0" w:color="auto"/>
            <w:bottom w:val="none" w:sz="0" w:space="0" w:color="auto"/>
            <w:right w:val="none" w:sz="0" w:space="0" w:color="auto"/>
          </w:divBdr>
          <w:divsChild>
            <w:div w:id="637540469">
              <w:marLeft w:val="0"/>
              <w:marRight w:val="0"/>
              <w:marTop w:val="0"/>
              <w:marBottom w:val="0"/>
              <w:divBdr>
                <w:top w:val="none" w:sz="0" w:space="0" w:color="auto"/>
                <w:left w:val="none" w:sz="0" w:space="0" w:color="auto"/>
                <w:bottom w:val="none" w:sz="0" w:space="0" w:color="auto"/>
                <w:right w:val="none" w:sz="0" w:space="0" w:color="auto"/>
              </w:divBdr>
            </w:div>
            <w:div w:id="710501057">
              <w:marLeft w:val="0"/>
              <w:marRight w:val="0"/>
              <w:marTop w:val="0"/>
              <w:marBottom w:val="0"/>
              <w:divBdr>
                <w:top w:val="none" w:sz="0" w:space="0" w:color="auto"/>
                <w:left w:val="none" w:sz="0" w:space="0" w:color="auto"/>
                <w:bottom w:val="none" w:sz="0" w:space="0" w:color="auto"/>
                <w:right w:val="none" w:sz="0" w:space="0" w:color="auto"/>
              </w:divBdr>
            </w:div>
            <w:div w:id="1105618632">
              <w:marLeft w:val="0"/>
              <w:marRight w:val="0"/>
              <w:marTop w:val="0"/>
              <w:marBottom w:val="0"/>
              <w:divBdr>
                <w:top w:val="none" w:sz="0" w:space="0" w:color="auto"/>
                <w:left w:val="none" w:sz="0" w:space="0" w:color="auto"/>
                <w:bottom w:val="none" w:sz="0" w:space="0" w:color="auto"/>
                <w:right w:val="none" w:sz="0" w:space="0" w:color="auto"/>
              </w:divBdr>
            </w:div>
            <w:div w:id="1366246115">
              <w:marLeft w:val="0"/>
              <w:marRight w:val="0"/>
              <w:marTop w:val="0"/>
              <w:marBottom w:val="0"/>
              <w:divBdr>
                <w:top w:val="none" w:sz="0" w:space="0" w:color="auto"/>
                <w:left w:val="none" w:sz="0" w:space="0" w:color="auto"/>
                <w:bottom w:val="none" w:sz="0" w:space="0" w:color="auto"/>
                <w:right w:val="none" w:sz="0" w:space="0" w:color="auto"/>
              </w:divBdr>
            </w:div>
          </w:divsChild>
        </w:div>
        <w:div w:id="502361998">
          <w:marLeft w:val="0"/>
          <w:marRight w:val="0"/>
          <w:marTop w:val="0"/>
          <w:marBottom w:val="0"/>
          <w:divBdr>
            <w:top w:val="none" w:sz="0" w:space="0" w:color="auto"/>
            <w:left w:val="none" w:sz="0" w:space="0" w:color="auto"/>
            <w:bottom w:val="none" w:sz="0" w:space="0" w:color="auto"/>
            <w:right w:val="none" w:sz="0" w:space="0" w:color="auto"/>
          </w:divBdr>
        </w:div>
        <w:div w:id="774596503">
          <w:marLeft w:val="0"/>
          <w:marRight w:val="0"/>
          <w:marTop w:val="0"/>
          <w:marBottom w:val="0"/>
          <w:divBdr>
            <w:top w:val="none" w:sz="0" w:space="0" w:color="auto"/>
            <w:left w:val="none" w:sz="0" w:space="0" w:color="auto"/>
            <w:bottom w:val="none" w:sz="0" w:space="0" w:color="auto"/>
            <w:right w:val="none" w:sz="0" w:space="0" w:color="auto"/>
          </w:divBdr>
        </w:div>
        <w:div w:id="944309635">
          <w:marLeft w:val="0"/>
          <w:marRight w:val="0"/>
          <w:marTop w:val="0"/>
          <w:marBottom w:val="0"/>
          <w:divBdr>
            <w:top w:val="none" w:sz="0" w:space="0" w:color="auto"/>
            <w:left w:val="none" w:sz="0" w:space="0" w:color="auto"/>
            <w:bottom w:val="none" w:sz="0" w:space="0" w:color="auto"/>
            <w:right w:val="none" w:sz="0" w:space="0" w:color="auto"/>
          </w:divBdr>
        </w:div>
        <w:div w:id="960651353">
          <w:marLeft w:val="0"/>
          <w:marRight w:val="0"/>
          <w:marTop w:val="0"/>
          <w:marBottom w:val="0"/>
          <w:divBdr>
            <w:top w:val="none" w:sz="0" w:space="0" w:color="auto"/>
            <w:left w:val="none" w:sz="0" w:space="0" w:color="auto"/>
            <w:bottom w:val="none" w:sz="0" w:space="0" w:color="auto"/>
            <w:right w:val="none" w:sz="0" w:space="0" w:color="auto"/>
          </w:divBdr>
        </w:div>
        <w:div w:id="1104034852">
          <w:marLeft w:val="0"/>
          <w:marRight w:val="0"/>
          <w:marTop w:val="0"/>
          <w:marBottom w:val="0"/>
          <w:divBdr>
            <w:top w:val="none" w:sz="0" w:space="0" w:color="auto"/>
            <w:left w:val="none" w:sz="0" w:space="0" w:color="auto"/>
            <w:bottom w:val="none" w:sz="0" w:space="0" w:color="auto"/>
            <w:right w:val="none" w:sz="0" w:space="0" w:color="auto"/>
          </w:divBdr>
        </w:div>
        <w:div w:id="1111321872">
          <w:marLeft w:val="0"/>
          <w:marRight w:val="0"/>
          <w:marTop w:val="0"/>
          <w:marBottom w:val="0"/>
          <w:divBdr>
            <w:top w:val="none" w:sz="0" w:space="0" w:color="auto"/>
            <w:left w:val="none" w:sz="0" w:space="0" w:color="auto"/>
            <w:bottom w:val="none" w:sz="0" w:space="0" w:color="auto"/>
            <w:right w:val="none" w:sz="0" w:space="0" w:color="auto"/>
          </w:divBdr>
        </w:div>
        <w:div w:id="1189100498">
          <w:marLeft w:val="0"/>
          <w:marRight w:val="0"/>
          <w:marTop w:val="0"/>
          <w:marBottom w:val="0"/>
          <w:divBdr>
            <w:top w:val="none" w:sz="0" w:space="0" w:color="auto"/>
            <w:left w:val="none" w:sz="0" w:space="0" w:color="auto"/>
            <w:bottom w:val="none" w:sz="0" w:space="0" w:color="auto"/>
            <w:right w:val="none" w:sz="0" w:space="0" w:color="auto"/>
          </w:divBdr>
        </w:div>
        <w:div w:id="1197157502">
          <w:marLeft w:val="0"/>
          <w:marRight w:val="0"/>
          <w:marTop w:val="0"/>
          <w:marBottom w:val="0"/>
          <w:divBdr>
            <w:top w:val="none" w:sz="0" w:space="0" w:color="auto"/>
            <w:left w:val="none" w:sz="0" w:space="0" w:color="auto"/>
            <w:bottom w:val="none" w:sz="0" w:space="0" w:color="auto"/>
            <w:right w:val="none" w:sz="0" w:space="0" w:color="auto"/>
          </w:divBdr>
        </w:div>
        <w:div w:id="1208907167">
          <w:marLeft w:val="0"/>
          <w:marRight w:val="0"/>
          <w:marTop w:val="0"/>
          <w:marBottom w:val="0"/>
          <w:divBdr>
            <w:top w:val="none" w:sz="0" w:space="0" w:color="auto"/>
            <w:left w:val="none" w:sz="0" w:space="0" w:color="auto"/>
            <w:bottom w:val="none" w:sz="0" w:space="0" w:color="auto"/>
            <w:right w:val="none" w:sz="0" w:space="0" w:color="auto"/>
          </w:divBdr>
        </w:div>
        <w:div w:id="1406612784">
          <w:marLeft w:val="0"/>
          <w:marRight w:val="0"/>
          <w:marTop w:val="0"/>
          <w:marBottom w:val="0"/>
          <w:divBdr>
            <w:top w:val="none" w:sz="0" w:space="0" w:color="auto"/>
            <w:left w:val="none" w:sz="0" w:space="0" w:color="auto"/>
            <w:bottom w:val="none" w:sz="0" w:space="0" w:color="auto"/>
            <w:right w:val="none" w:sz="0" w:space="0" w:color="auto"/>
          </w:divBdr>
          <w:divsChild>
            <w:div w:id="606085027">
              <w:marLeft w:val="0"/>
              <w:marRight w:val="0"/>
              <w:marTop w:val="0"/>
              <w:marBottom w:val="0"/>
              <w:divBdr>
                <w:top w:val="none" w:sz="0" w:space="0" w:color="auto"/>
                <w:left w:val="none" w:sz="0" w:space="0" w:color="auto"/>
                <w:bottom w:val="none" w:sz="0" w:space="0" w:color="auto"/>
                <w:right w:val="none" w:sz="0" w:space="0" w:color="auto"/>
              </w:divBdr>
            </w:div>
            <w:div w:id="852457036">
              <w:marLeft w:val="0"/>
              <w:marRight w:val="0"/>
              <w:marTop w:val="0"/>
              <w:marBottom w:val="0"/>
              <w:divBdr>
                <w:top w:val="none" w:sz="0" w:space="0" w:color="auto"/>
                <w:left w:val="none" w:sz="0" w:space="0" w:color="auto"/>
                <w:bottom w:val="none" w:sz="0" w:space="0" w:color="auto"/>
                <w:right w:val="none" w:sz="0" w:space="0" w:color="auto"/>
              </w:divBdr>
            </w:div>
            <w:div w:id="1108623553">
              <w:marLeft w:val="0"/>
              <w:marRight w:val="0"/>
              <w:marTop w:val="0"/>
              <w:marBottom w:val="0"/>
              <w:divBdr>
                <w:top w:val="none" w:sz="0" w:space="0" w:color="auto"/>
                <w:left w:val="none" w:sz="0" w:space="0" w:color="auto"/>
                <w:bottom w:val="none" w:sz="0" w:space="0" w:color="auto"/>
                <w:right w:val="none" w:sz="0" w:space="0" w:color="auto"/>
              </w:divBdr>
            </w:div>
            <w:div w:id="1152409124">
              <w:marLeft w:val="0"/>
              <w:marRight w:val="0"/>
              <w:marTop w:val="0"/>
              <w:marBottom w:val="0"/>
              <w:divBdr>
                <w:top w:val="none" w:sz="0" w:space="0" w:color="auto"/>
                <w:left w:val="none" w:sz="0" w:space="0" w:color="auto"/>
                <w:bottom w:val="none" w:sz="0" w:space="0" w:color="auto"/>
                <w:right w:val="none" w:sz="0" w:space="0" w:color="auto"/>
              </w:divBdr>
            </w:div>
            <w:div w:id="1373773331">
              <w:marLeft w:val="0"/>
              <w:marRight w:val="0"/>
              <w:marTop w:val="0"/>
              <w:marBottom w:val="0"/>
              <w:divBdr>
                <w:top w:val="none" w:sz="0" w:space="0" w:color="auto"/>
                <w:left w:val="none" w:sz="0" w:space="0" w:color="auto"/>
                <w:bottom w:val="none" w:sz="0" w:space="0" w:color="auto"/>
                <w:right w:val="none" w:sz="0" w:space="0" w:color="auto"/>
              </w:divBdr>
            </w:div>
          </w:divsChild>
        </w:div>
        <w:div w:id="1447383057">
          <w:marLeft w:val="0"/>
          <w:marRight w:val="0"/>
          <w:marTop w:val="0"/>
          <w:marBottom w:val="0"/>
          <w:divBdr>
            <w:top w:val="none" w:sz="0" w:space="0" w:color="auto"/>
            <w:left w:val="none" w:sz="0" w:space="0" w:color="auto"/>
            <w:bottom w:val="none" w:sz="0" w:space="0" w:color="auto"/>
            <w:right w:val="none" w:sz="0" w:space="0" w:color="auto"/>
          </w:divBdr>
        </w:div>
        <w:div w:id="1480876161">
          <w:marLeft w:val="0"/>
          <w:marRight w:val="0"/>
          <w:marTop w:val="0"/>
          <w:marBottom w:val="0"/>
          <w:divBdr>
            <w:top w:val="none" w:sz="0" w:space="0" w:color="auto"/>
            <w:left w:val="none" w:sz="0" w:space="0" w:color="auto"/>
            <w:bottom w:val="none" w:sz="0" w:space="0" w:color="auto"/>
            <w:right w:val="none" w:sz="0" w:space="0" w:color="auto"/>
          </w:divBdr>
        </w:div>
        <w:div w:id="1537698447">
          <w:marLeft w:val="0"/>
          <w:marRight w:val="0"/>
          <w:marTop w:val="0"/>
          <w:marBottom w:val="0"/>
          <w:divBdr>
            <w:top w:val="none" w:sz="0" w:space="0" w:color="auto"/>
            <w:left w:val="none" w:sz="0" w:space="0" w:color="auto"/>
            <w:bottom w:val="none" w:sz="0" w:space="0" w:color="auto"/>
            <w:right w:val="none" w:sz="0" w:space="0" w:color="auto"/>
          </w:divBdr>
        </w:div>
        <w:div w:id="1565335356">
          <w:marLeft w:val="0"/>
          <w:marRight w:val="0"/>
          <w:marTop w:val="0"/>
          <w:marBottom w:val="0"/>
          <w:divBdr>
            <w:top w:val="none" w:sz="0" w:space="0" w:color="auto"/>
            <w:left w:val="none" w:sz="0" w:space="0" w:color="auto"/>
            <w:bottom w:val="none" w:sz="0" w:space="0" w:color="auto"/>
            <w:right w:val="none" w:sz="0" w:space="0" w:color="auto"/>
          </w:divBdr>
        </w:div>
        <w:div w:id="1571228619">
          <w:marLeft w:val="0"/>
          <w:marRight w:val="0"/>
          <w:marTop w:val="0"/>
          <w:marBottom w:val="0"/>
          <w:divBdr>
            <w:top w:val="none" w:sz="0" w:space="0" w:color="auto"/>
            <w:left w:val="none" w:sz="0" w:space="0" w:color="auto"/>
            <w:bottom w:val="none" w:sz="0" w:space="0" w:color="auto"/>
            <w:right w:val="none" w:sz="0" w:space="0" w:color="auto"/>
          </w:divBdr>
        </w:div>
        <w:div w:id="1738552026">
          <w:marLeft w:val="0"/>
          <w:marRight w:val="0"/>
          <w:marTop w:val="0"/>
          <w:marBottom w:val="0"/>
          <w:divBdr>
            <w:top w:val="none" w:sz="0" w:space="0" w:color="auto"/>
            <w:left w:val="none" w:sz="0" w:space="0" w:color="auto"/>
            <w:bottom w:val="none" w:sz="0" w:space="0" w:color="auto"/>
            <w:right w:val="none" w:sz="0" w:space="0" w:color="auto"/>
          </w:divBdr>
        </w:div>
        <w:div w:id="1754010785">
          <w:marLeft w:val="0"/>
          <w:marRight w:val="0"/>
          <w:marTop w:val="0"/>
          <w:marBottom w:val="0"/>
          <w:divBdr>
            <w:top w:val="none" w:sz="0" w:space="0" w:color="auto"/>
            <w:left w:val="none" w:sz="0" w:space="0" w:color="auto"/>
            <w:bottom w:val="none" w:sz="0" w:space="0" w:color="auto"/>
            <w:right w:val="none" w:sz="0" w:space="0" w:color="auto"/>
          </w:divBdr>
        </w:div>
        <w:div w:id="1836602227">
          <w:marLeft w:val="0"/>
          <w:marRight w:val="0"/>
          <w:marTop w:val="0"/>
          <w:marBottom w:val="0"/>
          <w:divBdr>
            <w:top w:val="none" w:sz="0" w:space="0" w:color="auto"/>
            <w:left w:val="none" w:sz="0" w:space="0" w:color="auto"/>
            <w:bottom w:val="none" w:sz="0" w:space="0" w:color="auto"/>
            <w:right w:val="none" w:sz="0" w:space="0" w:color="auto"/>
          </w:divBdr>
        </w:div>
        <w:div w:id="1849828988">
          <w:marLeft w:val="0"/>
          <w:marRight w:val="0"/>
          <w:marTop w:val="0"/>
          <w:marBottom w:val="0"/>
          <w:divBdr>
            <w:top w:val="none" w:sz="0" w:space="0" w:color="auto"/>
            <w:left w:val="none" w:sz="0" w:space="0" w:color="auto"/>
            <w:bottom w:val="none" w:sz="0" w:space="0" w:color="auto"/>
            <w:right w:val="none" w:sz="0" w:space="0" w:color="auto"/>
          </w:divBdr>
        </w:div>
        <w:div w:id="2045866914">
          <w:marLeft w:val="0"/>
          <w:marRight w:val="0"/>
          <w:marTop w:val="0"/>
          <w:marBottom w:val="0"/>
          <w:divBdr>
            <w:top w:val="none" w:sz="0" w:space="0" w:color="auto"/>
            <w:left w:val="none" w:sz="0" w:space="0" w:color="auto"/>
            <w:bottom w:val="none" w:sz="0" w:space="0" w:color="auto"/>
            <w:right w:val="none" w:sz="0" w:space="0" w:color="auto"/>
          </w:divBdr>
        </w:div>
        <w:div w:id="2089421112">
          <w:marLeft w:val="0"/>
          <w:marRight w:val="0"/>
          <w:marTop w:val="0"/>
          <w:marBottom w:val="0"/>
          <w:divBdr>
            <w:top w:val="none" w:sz="0" w:space="0" w:color="auto"/>
            <w:left w:val="none" w:sz="0" w:space="0" w:color="auto"/>
            <w:bottom w:val="none" w:sz="0" w:space="0" w:color="auto"/>
            <w:right w:val="none" w:sz="0" w:space="0" w:color="auto"/>
          </w:divBdr>
        </w:div>
      </w:divsChild>
    </w:div>
    <w:div w:id="86537629">
      <w:bodyDiv w:val="1"/>
      <w:marLeft w:val="0"/>
      <w:marRight w:val="0"/>
      <w:marTop w:val="0"/>
      <w:marBottom w:val="0"/>
      <w:divBdr>
        <w:top w:val="none" w:sz="0" w:space="0" w:color="auto"/>
        <w:left w:val="none" w:sz="0" w:space="0" w:color="auto"/>
        <w:bottom w:val="none" w:sz="0" w:space="0" w:color="auto"/>
        <w:right w:val="none" w:sz="0" w:space="0" w:color="auto"/>
      </w:divBdr>
    </w:div>
    <w:div w:id="89787508">
      <w:bodyDiv w:val="1"/>
      <w:marLeft w:val="0"/>
      <w:marRight w:val="0"/>
      <w:marTop w:val="0"/>
      <w:marBottom w:val="0"/>
      <w:divBdr>
        <w:top w:val="none" w:sz="0" w:space="0" w:color="auto"/>
        <w:left w:val="none" w:sz="0" w:space="0" w:color="auto"/>
        <w:bottom w:val="none" w:sz="0" w:space="0" w:color="auto"/>
        <w:right w:val="none" w:sz="0" w:space="0" w:color="auto"/>
      </w:divBdr>
    </w:div>
    <w:div w:id="94446276">
      <w:bodyDiv w:val="1"/>
      <w:marLeft w:val="0"/>
      <w:marRight w:val="0"/>
      <w:marTop w:val="0"/>
      <w:marBottom w:val="0"/>
      <w:divBdr>
        <w:top w:val="none" w:sz="0" w:space="0" w:color="auto"/>
        <w:left w:val="none" w:sz="0" w:space="0" w:color="auto"/>
        <w:bottom w:val="none" w:sz="0" w:space="0" w:color="auto"/>
        <w:right w:val="none" w:sz="0" w:space="0" w:color="auto"/>
      </w:divBdr>
    </w:div>
    <w:div w:id="100690314">
      <w:bodyDiv w:val="1"/>
      <w:marLeft w:val="0"/>
      <w:marRight w:val="0"/>
      <w:marTop w:val="0"/>
      <w:marBottom w:val="0"/>
      <w:divBdr>
        <w:top w:val="none" w:sz="0" w:space="0" w:color="auto"/>
        <w:left w:val="none" w:sz="0" w:space="0" w:color="auto"/>
        <w:bottom w:val="none" w:sz="0" w:space="0" w:color="auto"/>
        <w:right w:val="none" w:sz="0" w:space="0" w:color="auto"/>
      </w:divBdr>
    </w:div>
    <w:div w:id="104273642">
      <w:bodyDiv w:val="1"/>
      <w:marLeft w:val="0"/>
      <w:marRight w:val="0"/>
      <w:marTop w:val="0"/>
      <w:marBottom w:val="0"/>
      <w:divBdr>
        <w:top w:val="none" w:sz="0" w:space="0" w:color="auto"/>
        <w:left w:val="none" w:sz="0" w:space="0" w:color="auto"/>
        <w:bottom w:val="none" w:sz="0" w:space="0" w:color="auto"/>
        <w:right w:val="none" w:sz="0" w:space="0" w:color="auto"/>
      </w:divBdr>
      <w:divsChild>
        <w:div w:id="180246089">
          <w:marLeft w:val="0"/>
          <w:marRight w:val="0"/>
          <w:marTop w:val="0"/>
          <w:marBottom w:val="0"/>
          <w:divBdr>
            <w:top w:val="none" w:sz="0" w:space="0" w:color="auto"/>
            <w:left w:val="none" w:sz="0" w:space="0" w:color="auto"/>
            <w:bottom w:val="none" w:sz="0" w:space="0" w:color="auto"/>
            <w:right w:val="none" w:sz="0" w:space="0" w:color="auto"/>
          </w:divBdr>
        </w:div>
        <w:div w:id="277029709">
          <w:marLeft w:val="0"/>
          <w:marRight w:val="0"/>
          <w:marTop w:val="0"/>
          <w:marBottom w:val="0"/>
          <w:divBdr>
            <w:top w:val="none" w:sz="0" w:space="0" w:color="auto"/>
            <w:left w:val="none" w:sz="0" w:space="0" w:color="auto"/>
            <w:bottom w:val="none" w:sz="0" w:space="0" w:color="auto"/>
            <w:right w:val="none" w:sz="0" w:space="0" w:color="auto"/>
          </w:divBdr>
        </w:div>
        <w:div w:id="786586396">
          <w:marLeft w:val="0"/>
          <w:marRight w:val="0"/>
          <w:marTop w:val="0"/>
          <w:marBottom w:val="0"/>
          <w:divBdr>
            <w:top w:val="none" w:sz="0" w:space="0" w:color="auto"/>
            <w:left w:val="none" w:sz="0" w:space="0" w:color="auto"/>
            <w:bottom w:val="none" w:sz="0" w:space="0" w:color="auto"/>
            <w:right w:val="none" w:sz="0" w:space="0" w:color="auto"/>
          </w:divBdr>
        </w:div>
        <w:div w:id="1023046298">
          <w:marLeft w:val="0"/>
          <w:marRight w:val="0"/>
          <w:marTop w:val="0"/>
          <w:marBottom w:val="0"/>
          <w:divBdr>
            <w:top w:val="none" w:sz="0" w:space="0" w:color="auto"/>
            <w:left w:val="none" w:sz="0" w:space="0" w:color="auto"/>
            <w:bottom w:val="none" w:sz="0" w:space="0" w:color="auto"/>
            <w:right w:val="none" w:sz="0" w:space="0" w:color="auto"/>
          </w:divBdr>
        </w:div>
        <w:div w:id="1214152439">
          <w:marLeft w:val="0"/>
          <w:marRight w:val="0"/>
          <w:marTop w:val="0"/>
          <w:marBottom w:val="0"/>
          <w:divBdr>
            <w:top w:val="none" w:sz="0" w:space="0" w:color="auto"/>
            <w:left w:val="none" w:sz="0" w:space="0" w:color="auto"/>
            <w:bottom w:val="none" w:sz="0" w:space="0" w:color="auto"/>
            <w:right w:val="none" w:sz="0" w:space="0" w:color="auto"/>
          </w:divBdr>
        </w:div>
        <w:div w:id="1406879652">
          <w:marLeft w:val="0"/>
          <w:marRight w:val="0"/>
          <w:marTop w:val="0"/>
          <w:marBottom w:val="0"/>
          <w:divBdr>
            <w:top w:val="none" w:sz="0" w:space="0" w:color="auto"/>
            <w:left w:val="none" w:sz="0" w:space="0" w:color="auto"/>
            <w:bottom w:val="none" w:sz="0" w:space="0" w:color="auto"/>
            <w:right w:val="none" w:sz="0" w:space="0" w:color="auto"/>
          </w:divBdr>
        </w:div>
        <w:div w:id="1794131733">
          <w:marLeft w:val="0"/>
          <w:marRight w:val="0"/>
          <w:marTop w:val="0"/>
          <w:marBottom w:val="0"/>
          <w:divBdr>
            <w:top w:val="none" w:sz="0" w:space="0" w:color="auto"/>
            <w:left w:val="none" w:sz="0" w:space="0" w:color="auto"/>
            <w:bottom w:val="none" w:sz="0" w:space="0" w:color="auto"/>
            <w:right w:val="none" w:sz="0" w:space="0" w:color="auto"/>
          </w:divBdr>
        </w:div>
        <w:div w:id="2025592248">
          <w:marLeft w:val="0"/>
          <w:marRight w:val="0"/>
          <w:marTop w:val="0"/>
          <w:marBottom w:val="0"/>
          <w:divBdr>
            <w:top w:val="none" w:sz="0" w:space="0" w:color="auto"/>
            <w:left w:val="none" w:sz="0" w:space="0" w:color="auto"/>
            <w:bottom w:val="none" w:sz="0" w:space="0" w:color="auto"/>
            <w:right w:val="none" w:sz="0" w:space="0" w:color="auto"/>
          </w:divBdr>
        </w:div>
      </w:divsChild>
    </w:div>
    <w:div w:id="106850577">
      <w:bodyDiv w:val="1"/>
      <w:marLeft w:val="0"/>
      <w:marRight w:val="0"/>
      <w:marTop w:val="0"/>
      <w:marBottom w:val="0"/>
      <w:divBdr>
        <w:top w:val="none" w:sz="0" w:space="0" w:color="auto"/>
        <w:left w:val="none" w:sz="0" w:space="0" w:color="auto"/>
        <w:bottom w:val="none" w:sz="0" w:space="0" w:color="auto"/>
        <w:right w:val="none" w:sz="0" w:space="0" w:color="auto"/>
      </w:divBdr>
    </w:div>
    <w:div w:id="110327215">
      <w:bodyDiv w:val="1"/>
      <w:marLeft w:val="0"/>
      <w:marRight w:val="0"/>
      <w:marTop w:val="0"/>
      <w:marBottom w:val="0"/>
      <w:divBdr>
        <w:top w:val="none" w:sz="0" w:space="0" w:color="auto"/>
        <w:left w:val="none" w:sz="0" w:space="0" w:color="auto"/>
        <w:bottom w:val="none" w:sz="0" w:space="0" w:color="auto"/>
        <w:right w:val="none" w:sz="0" w:space="0" w:color="auto"/>
      </w:divBdr>
      <w:divsChild>
        <w:div w:id="784925269">
          <w:marLeft w:val="0"/>
          <w:marRight w:val="0"/>
          <w:marTop w:val="0"/>
          <w:marBottom w:val="0"/>
          <w:divBdr>
            <w:top w:val="none" w:sz="0" w:space="0" w:color="auto"/>
            <w:left w:val="none" w:sz="0" w:space="0" w:color="auto"/>
            <w:bottom w:val="none" w:sz="0" w:space="0" w:color="auto"/>
            <w:right w:val="none" w:sz="0" w:space="0" w:color="auto"/>
          </w:divBdr>
          <w:divsChild>
            <w:div w:id="135071859">
              <w:marLeft w:val="0"/>
              <w:marRight w:val="0"/>
              <w:marTop w:val="0"/>
              <w:marBottom w:val="0"/>
              <w:divBdr>
                <w:top w:val="none" w:sz="0" w:space="0" w:color="auto"/>
                <w:left w:val="none" w:sz="0" w:space="0" w:color="auto"/>
                <w:bottom w:val="none" w:sz="0" w:space="0" w:color="auto"/>
                <w:right w:val="none" w:sz="0" w:space="0" w:color="auto"/>
              </w:divBdr>
            </w:div>
            <w:div w:id="187766074">
              <w:marLeft w:val="0"/>
              <w:marRight w:val="0"/>
              <w:marTop w:val="0"/>
              <w:marBottom w:val="0"/>
              <w:divBdr>
                <w:top w:val="none" w:sz="0" w:space="0" w:color="auto"/>
                <w:left w:val="none" w:sz="0" w:space="0" w:color="auto"/>
                <w:bottom w:val="none" w:sz="0" w:space="0" w:color="auto"/>
                <w:right w:val="none" w:sz="0" w:space="0" w:color="auto"/>
              </w:divBdr>
            </w:div>
            <w:div w:id="724259261">
              <w:marLeft w:val="0"/>
              <w:marRight w:val="0"/>
              <w:marTop w:val="0"/>
              <w:marBottom w:val="0"/>
              <w:divBdr>
                <w:top w:val="none" w:sz="0" w:space="0" w:color="auto"/>
                <w:left w:val="none" w:sz="0" w:space="0" w:color="auto"/>
                <w:bottom w:val="none" w:sz="0" w:space="0" w:color="auto"/>
                <w:right w:val="none" w:sz="0" w:space="0" w:color="auto"/>
              </w:divBdr>
            </w:div>
            <w:div w:id="980424105">
              <w:marLeft w:val="0"/>
              <w:marRight w:val="0"/>
              <w:marTop w:val="0"/>
              <w:marBottom w:val="0"/>
              <w:divBdr>
                <w:top w:val="none" w:sz="0" w:space="0" w:color="auto"/>
                <w:left w:val="none" w:sz="0" w:space="0" w:color="auto"/>
                <w:bottom w:val="none" w:sz="0" w:space="0" w:color="auto"/>
                <w:right w:val="none" w:sz="0" w:space="0" w:color="auto"/>
              </w:divBdr>
            </w:div>
            <w:div w:id="1811439524">
              <w:marLeft w:val="0"/>
              <w:marRight w:val="0"/>
              <w:marTop w:val="0"/>
              <w:marBottom w:val="0"/>
              <w:divBdr>
                <w:top w:val="none" w:sz="0" w:space="0" w:color="auto"/>
                <w:left w:val="none" w:sz="0" w:space="0" w:color="auto"/>
                <w:bottom w:val="none" w:sz="0" w:space="0" w:color="auto"/>
                <w:right w:val="none" w:sz="0" w:space="0" w:color="auto"/>
              </w:divBdr>
            </w:div>
          </w:divsChild>
        </w:div>
        <w:div w:id="1371877364">
          <w:marLeft w:val="0"/>
          <w:marRight w:val="0"/>
          <w:marTop w:val="0"/>
          <w:marBottom w:val="0"/>
          <w:divBdr>
            <w:top w:val="none" w:sz="0" w:space="0" w:color="auto"/>
            <w:left w:val="none" w:sz="0" w:space="0" w:color="auto"/>
            <w:bottom w:val="none" w:sz="0" w:space="0" w:color="auto"/>
            <w:right w:val="none" w:sz="0" w:space="0" w:color="auto"/>
          </w:divBdr>
          <w:divsChild>
            <w:div w:id="364869742">
              <w:marLeft w:val="0"/>
              <w:marRight w:val="0"/>
              <w:marTop w:val="0"/>
              <w:marBottom w:val="0"/>
              <w:divBdr>
                <w:top w:val="none" w:sz="0" w:space="0" w:color="auto"/>
                <w:left w:val="none" w:sz="0" w:space="0" w:color="auto"/>
                <w:bottom w:val="none" w:sz="0" w:space="0" w:color="auto"/>
                <w:right w:val="none" w:sz="0" w:space="0" w:color="auto"/>
              </w:divBdr>
            </w:div>
            <w:div w:id="1086655201">
              <w:marLeft w:val="0"/>
              <w:marRight w:val="0"/>
              <w:marTop w:val="0"/>
              <w:marBottom w:val="0"/>
              <w:divBdr>
                <w:top w:val="none" w:sz="0" w:space="0" w:color="auto"/>
                <w:left w:val="none" w:sz="0" w:space="0" w:color="auto"/>
                <w:bottom w:val="none" w:sz="0" w:space="0" w:color="auto"/>
                <w:right w:val="none" w:sz="0" w:space="0" w:color="auto"/>
              </w:divBdr>
            </w:div>
            <w:div w:id="1977181494">
              <w:marLeft w:val="0"/>
              <w:marRight w:val="0"/>
              <w:marTop w:val="0"/>
              <w:marBottom w:val="0"/>
              <w:divBdr>
                <w:top w:val="none" w:sz="0" w:space="0" w:color="auto"/>
                <w:left w:val="none" w:sz="0" w:space="0" w:color="auto"/>
                <w:bottom w:val="none" w:sz="0" w:space="0" w:color="auto"/>
                <w:right w:val="none" w:sz="0" w:space="0" w:color="auto"/>
              </w:divBdr>
            </w:div>
            <w:div w:id="21076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9642">
      <w:bodyDiv w:val="1"/>
      <w:marLeft w:val="0"/>
      <w:marRight w:val="0"/>
      <w:marTop w:val="0"/>
      <w:marBottom w:val="0"/>
      <w:divBdr>
        <w:top w:val="none" w:sz="0" w:space="0" w:color="auto"/>
        <w:left w:val="none" w:sz="0" w:space="0" w:color="auto"/>
        <w:bottom w:val="none" w:sz="0" w:space="0" w:color="auto"/>
        <w:right w:val="none" w:sz="0" w:space="0" w:color="auto"/>
      </w:divBdr>
      <w:divsChild>
        <w:div w:id="570387687">
          <w:marLeft w:val="0"/>
          <w:marRight w:val="0"/>
          <w:marTop w:val="0"/>
          <w:marBottom w:val="0"/>
          <w:divBdr>
            <w:top w:val="none" w:sz="0" w:space="0" w:color="auto"/>
            <w:left w:val="none" w:sz="0" w:space="0" w:color="auto"/>
            <w:bottom w:val="none" w:sz="0" w:space="0" w:color="auto"/>
            <w:right w:val="none" w:sz="0" w:space="0" w:color="auto"/>
          </w:divBdr>
          <w:divsChild>
            <w:div w:id="224873443">
              <w:marLeft w:val="0"/>
              <w:marRight w:val="0"/>
              <w:marTop w:val="0"/>
              <w:marBottom w:val="0"/>
              <w:divBdr>
                <w:top w:val="none" w:sz="0" w:space="0" w:color="auto"/>
                <w:left w:val="none" w:sz="0" w:space="0" w:color="auto"/>
                <w:bottom w:val="none" w:sz="0" w:space="0" w:color="auto"/>
                <w:right w:val="none" w:sz="0" w:space="0" w:color="auto"/>
              </w:divBdr>
            </w:div>
            <w:div w:id="648246594">
              <w:marLeft w:val="0"/>
              <w:marRight w:val="0"/>
              <w:marTop w:val="0"/>
              <w:marBottom w:val="0"/>
              <w:divBdr>
                <w:top w:val="none" w:sz="0" w:space="0" w:color="auto"/>
                <w:left w:val="none" w:sz="0" w:space="0" w:color="auto"/>
                <w:bottom w:val="none" w:sz="0" w:space="0" w:color="auto"/>
                <w:right w:val="none" w:sz="0" w:space="0" w:color="auto"/>
              </w:divBdr>
            </w:div>
            <w:div w:id="1431271805">
              <w:marLeft w:val="0"/>
              <w:marRight w:val="0"/>
              <w:marTop w:val="0"/>
              <w:marBottom w:val="0"/>
              <w:divBdr>
                <w:top w:val="none" w:sz="0" w:space="0" w:color="auto"/>
                <w:left w:val="none" w:sz="0" w:space="0" w:color="auto"/>
                <w:bottom w:val="none" w:sz="0" w:space="0" w:color="auto"/>
                <w:right w:val="none" w:sz="0" w:space="0" w:color="auto"/>
              </w:divBdr>
            </w:div>
            <w:div w:id="1768698250">
              <w:marLeft w:val="0"/>
              <w:marRight w:val="0"/>
              <w:marTop w:val="0"/>
              <w:marBottom w:val="0"/>
              <w:divBdr>
                <w:top w:val="none" w:sz="0" w:space="0" w:color="auto"/>
                <w:left w:val="none" w:sz="0" w:space="0" w:color="auto"/>
                <w:bottom w:val="none" w:sz="0" w:space="0" w:color="auto"/>
                <w:right w:val="none" w:sz="0" w:space="0" w:color="auto"/>
              </w:divBdr>
            </w:div>
          </w:divsChild>
        </w:div>
        <w:div w:id="980962726">
          <w:marLeft w:val="0"/>
          <w:marRight w:val="0"/>
          <w:marTop w:val="0"/>
          <w:marBottom w:val="0"/>
          <w:divBdr>
            <w:top w:val="none" w:sz="0" w:space="0" w:color="auto"/>
            <w:left w:val="none" w:sz="0" w:space="0" w:color="auto"/>
            <w:bottom w:val="none" w:sz="0" w:space="0" w:color="auto"/>
            <w:right w:val="none" w:sz="0" w:space="0" w:color="auto"/>
          </w:divBdr>
        </w:div>
        <w:div w:id="1469202923">
          <w:marLeft w:val="0"/>
          <w:marRight w:val="0"/>
          <w:marTop w:val="0"/>
          <w:marBottom w:val="0"/>
          <w:divBdr>
            <w:top w:val="none" w:sz="0" w:space="0" w:color="auto"/>
            <w:left w:val="none" w:sz="0" w:space="0" w:color="auto"/>
            <w:bottom w:val="none" w:sz="0" w:space="0" w:color="auto"/>
            <w:right w:val="none" w:sz="0" w:space="0" w:color="auto"/>
          </w:divBdr>
          <w:divsChild>
            <w:div w:id="106975365">
              <w:marLeft w:val="0"/>
              <w:marRight w:val="0"/>
              <w:marTop w:val="0"/>
              <w:marBottom w:val="0"/>
              <w:divBdr>
                <w:top w:val="none" w:sz="0" w:space="0" w:color="auto"/>
                <w:left w:val="none" w:sz="0" w:space="0" w:color="auto"/>
                <w:bottom w:val="none" w:sz="0" w:space="0" w:color="auto"/>
                <w:right w:val="none" w:sz="0" w:space="0" w:color="auto"/>
              </w:divBdr>
            </w:div>
            <w:div w:id="228148792">
              <w:marLeft w:val="0"/>
              <w:marRight w:val="0"/>
              <w:marTop w:val="0"/>
              <w:marBottom w:val="0"/>
              <w:divBdr>
                <w:top w:val="none" w:sz="0" w:space="0" w:color="auto"/>
                <w:left w:val="none" w:sz="0" w:space="0" w:color="auto"/>
                <w:bottom w:val="none" w:sz="0" w:space="0" w:color="auto"/>
                <w:right w:val="none" w:sz="0" w:space="0" w:color="auto"/>
              </w:divBdr>
            </w:div>
            <w:div w:id="798842352">
              <w:marLeft w:val="0"/>
              <w:marRight w:val="0"/>
              <w:marTop w:val="0"/>
              <w:marBottom w:val="0"/>
              <w:divBdr>
                <w:top w:val="none" w:sz="0" w:space="0" w:color="auto"/>
                <w:left w:val="none" w:sz="0" w:space="0" w:color="auto"/>
                <w:bottom w:val="none" w:sz="0" w:space="0" w:color="auto"/>
                <w:right w:val="none" w:sz="0" w:space="0" w:color="auto"/>
              </w:divBdr>
            </w:div>
            <w:div w:id="1805080898">
              <w:marLeft w:val="0"/>
              <w:marRight w:val="0"/>
              <w:marTop w:val="0"/>
              <w:marBottom w:val="0"/>
              <w:divBdr>
                <w:top w:val="none" w:sz="0" w:space="0" w:color="auto"/>
                <w:left w:val="none" w:sz="0" w:space="0" w:color="auto"/>
                <w:bottom w:val="none" w:sz="0" w:space="0" w:color="auto"/>
                <w:right w:val="none" w:sz="0" w:space="0" w:color="auto"/>
              </w:divBdr>
            </w:div>
          </w:divsChild>
        </w:div>
        <w:div w:id="1481966347">
          <w:marLeft w:val="0"/>
          <w:marRight w:val="0"/>
          <w:marTop w:val="0"/>
          <w:marBottom w:val="0"/>
          <w:divBdr>
            <w:top w:val="none" w:sz="0" w:space="0" w:color="auto"/>
            <w:left w:val="none" w:sz="0" w:space="0" w:color="auto"/>
            <w:bottom w:val="none" w:sz="0" w:space="0" w:color="auto"/>
            <w:right w:val="none" w:sz="0" w:space="0" w:color="auto"/>
          </w:divBdr>
        </w:div>
        <w:div w:id="1681544942">
          <w:marLeft w:val="0"/>
          <w:marRight w:val="0"/>
          <w:marTop w:val="0"/>
          <w:marBottom w:val="0"/>
          <w:divBdr>
            <w:top w:val="none" w:sz="0" w:space="0" w:color="auto"/>
            <w:left w:val="none" w:sz="0" w:space="0" w:color="auto"/>
            <w:bottom w:val="none" w:sz="0" w:space="0" w:color="auto"/>
            <w:right w:val="none" w:sz="0" w:space="0" w:color="auto"/>
          </w:divBdr>
        </w:div>
        <w:div w:id="1829517103">
          <w:marLeft w:val="0"/>
          <w:marRight w:val="0"/>
          <w:marTop w:val="0"/>
          <w:marBottom w:val="0"/>
          <w:divBdr>
            <w:top w:val="none" w:sz="0" w:space="0" w:color="auto"/>
            <w:left w:val="none" w:sz="0" w:space="0" w:color="auto"/>
            <w:bottom w:val="none" w:sz="0" w:space="0" w:color="auto"/>
            <w:right w:val="none" w:sz="0" w:space="0" w:color="auto"/>
          </w:divBdr>
        </w:div>
      </w:divsChild>
    </w:div>
    <w:div w:id="123693687">
      <w:bodyDiv w:val="1"/>
      <w:marLeft w:val="0"/>
      <w:marRight w:val="0"/>
      <w:marTop w:val="0"/>
      <w:marBottom w:val="0"/>
      <w:divBdr>
        <w:top w:val="none" w:sz="0" w:space="0" w:color="auto"/>
        <w:left w:val="none" w:sz="0" w:space="0" w:color="auto"/>
        <w:bottom w:val="none" w:sz="0" w:space="0" w:color="auto"/>
        <w:right w:val="none" w:sz="0" w:space="0" w:color="auto"/>
      </w:divBdr>
      <w:divsChild>
        <w:div w:id="1821799131">
          <w:marLeft w:val="0"/>
          <w:marRight w:val="0"/>
          <w:marTop w:val="0"/>
          <w:marBottom w:val="0"/>
          <w:divBdr>
            <w:top w:val="none" w:sz="0" w:space="0" w:color="auto"/>
            <w:left w:val="none" w:sz="0" w:space="0" w:color="auto"/>
            <w:bottom w:val="none" w:sz="0" w:space="0" w:color="auto"/>
            <w:right w:val="none" w:sz="0" w:space="0" w:color="auto"/>
          </w:divBdr>
        </w:div>
        <w:div w:id="2046561291">
          <w:marLeft w:val="0"/>
          <w:marRight w:val="0"/>
          <w:marTop w:val="0"/>
          <w:marBottom w:val="0"/>
          <w:divBdr>
            <w:top w:val="none" w:sz="0" w:space="0" w:color="auto"/>
            <w:left w:val="none" w:sz="0" w:space="0" w:color="auto"/>
            <w:bottom w:val="none" w:sz="0" w:space="0" w:color="auto"/>
            <w:right w:val="none" w:sz="0" w:space="0" w:color="auto"/>
          </w:divBdr>
        </w:div>
      </w:divsChild>
    </w:div>
    <w:div w:id="125661822">
      <w:bodyDiv w:val="1"/>
      <w:marLeft w:val="0"/>
      <w:marRight w:val="0"/>
      <w:marTop w:val="0"/>
      <w:marBottom w:val="0"/>
      <w:divBdr>
        <w:top w:val="none" w:sz="0" w:space="0" w:color="auto"/>
        <w:left w:val="none" w:sz="0" w:space="0" w:color="auto"/>
        <w:bottom w:val="none" w:sz="0" w:space="0" w:color="auto"/>
        <w:right w:val="none" w:sz="0" w:space="0" w:color="auto"/>
      </w:divBdr>
      <w:divsChild>
        <w:div w:id="471990463">
          <w:marLeft w:val="0"/>
          <w:marRight w:val="0"/>
          <w:marTop w:val="0"/>
          <w:marBottom w:val="0"/>
          <w:divBdr>
            <w:top w:val="none" w:sz="0" w:space="0" w:color="auto"/>
            <w:left w:val="none" w:sz="0" w:space="0" w:color="auto"/>
            <w:bottom w:val="none" w:sz="0" w:space="0" w:color="auto"/>
            <w:right w:val="none" w:sz="0" w:space="0" w:color="auto"/>
          </w:divBdr>
        </w:div>
        <w:div w:id="1049232224">
          <w:marLeft w:val="0"/>
          <w:marRight w:val="0"/>
          <w:marTop w:val="0"/>
          <w:marBottom w:val="0"/>
          <w:divBdr>
            <w:top w:val="none" w:sz="0" w:space="0" w:color="auto"/>
            <w:left w:val="none" w:sz="0" w:space="0" w:color="auto"/>
            <w:bottom w:val="none" w:sz="0" w:space="0" w:color="auto"/>
            <w:right w:val="none" w:sz="0" w:space="0" w:color="auto"/>
          </w:divBdr>
        </w:div>
        <w:div w:id="1579172570">
          <w:marLeft w:val="0"/>
          <w:marRight w:val="0"/>
          <w:marTop w:val="0"/>
          <w:marBottom w:val="0"/>
          <w:divBdr>
            <w:top w:val="none" w:sz="0" w:space="0" w:color="auto"/>
            <w:left w:val="none" w:sz="0" w:space="0" w:color="auto"/>
            <w:bottom w:val="none" w:sz="0" w:space="0" w:color="auto"/>
            <w:right w:val="none" w:sz="0" w:space="0" w:color="auto"/>
          </w:divBdr>
        </w:div>
      </w:divsChild>
    </w:div>
    <w:div w:id="127481127">
      <w:bodyDiv w:val="1"/>
      <w:marLeft w:val="0"/>
      <w:marRight w:val="0"/>
      <w:marTop w:val="0"/>
      <w:marBottom w:val="0"/>
      <w:divBdr>
        <w:top w:val="none" w:sz="0" w:space="0" w:color="auto"/>
        <w:left w:val="none" w:sz="0" w:space="0" w:color="auto"/>
        <w:bottom w:val="none" w:sz="0" w:space="0" w:color="auto"/>
        <w:right w:val="none" w:sz="0" w:space="0" w:color="auto"/>
      </w:divBdr>
    </w:div>
    <w:div w:id="129445307">
      <w:bodyDiv w:val="1"/>
      <w:marLeft w:val="0"/>
      <w:marRight w:val="0"/>
      <w:marTop w:val="0"/>
      <w:marBottom w:val="0"/>
      <w:divBdr>
        <w:top w:val="none" w:sz="0" w:space="0" w:color="auto"/>
        <w:left w:val="none" w:sz="0" w:space="0" w:color="auto"/>
        <w:bottom w:val="none" w:sz="0" w:space="0" w:color="auto"/>
        <w:right w:val="none" w:sz="0" w:space="0" w:color="auto"/>
      </w:divBdr>
    </w:div>
    <w:div w:id="145245334">
      <w:bodyDiv w:val="1"/>
      <w:marLeft w:val="0"/>
      <w:marRight w:val="0"/>
      <w:marTop w:val="0"/>
      <w:marBottom w:val="0"/>
      <w:divBdr>
        <w:top w:val="none" w:sz="0" w:space="0" w:color="auto"/>
        <w:left w:val="none" w:sz="0" w:space="0" w:color="auto"/>
        <w:bottom w:val="none" w:sz="0" w:space="0" w:color="auto"/>
        <w:right w:val="none" w:sz="0" w:space="0" w:color="auto"/>
      </w:divBdr>
      <w:divsChild>
        <w:div w:id="1687557779">
          <w:marLeft w:val="0"/>
          <w:marRight w:val="30"/>
          <w:marTop w:val="0"/>
          <w:marBottom w:val="0"/>
          <w:divBdr>
            <w:top w:val="none" w:sz="0" w:space="0" w:color="auto"/>
            <w:left w:val="none" w:sz="0" w:space="0" w:color="auto"/>
            <w:bottom w:val="none" w:sz="0" w:space="0" w:color="auto"/>
            <w:right w:val="none" w:sz="0" w:space="0" w:color="auto"/>
          </w:divBdr>
          <w:divsChild>
            <w:div w:id="1494494584">
              <w:marLeft w:val="0"/>
              <w:marRight w:val="0"/>
              <w:marTop w:val="0"/>
              <w:marBottom w:val="0"/>
              <w:divBdr>
                <w:top w:val="none" w:sz="0" w:space="0" w:color="auto"/>
                <w:left w:val="none" w:sz="0" w:space="0" w:color="auto"/>
                <w:bottom w:val="none" w:sz="0" w:space="0" w:color="auto"/>
                <w:right w:val="none" w:sz="0" w:space="0" w:color="auto"/>
              </w:divBdr>
              <w:divsChild>
                <w:div w:id="1466896007">
                  <w:marLeft w:val="0"/>
                  <w:marRight w:val="0"/>
                  <w:marTop w:val="0"/>
                  <w:marBottom w:val="0"/>
                  <w:divBdr>
                    <w:top w:val="none" w:sz="0" w:space="0" w:color="auto"/>
                    <w:left w:val="none" w:sz="0" w:space="0" w:color="auto"/>
                    <w:bottom w:val="none" w:sz="0" w:space="0" w:color="auto"/>
                    <w:right w:val="none" w:sz="0" w:space="0" w:color="auto"/>
                  </w:divBdr>
                  <w:divsChild>
                    <w:div w:id="19223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81408">
      <w:bodyDiv w:val="1"/>
      <w:marLeft w:val="0"/>
      <w:marRight w:val="0"/>
      <w:marTop w:val="0"/>
      <w:marBottom w:val="0"/>
      <w:divBdr>
        <w:top w:val="none" w:sz="0" w:space="0" w:color="auto"/>
        <w:left w:val="none" w:sz="0" w:space="0" w:color="auto"/>
        <w:bottom w:val="none" w:sz="0" w:space="0" w:color="auto"/>
        <w:right w:val="none" w:sz="0" w:space="0" w:color="auto"/>
      </w:divBdr>
      <w:divsChild>
        <w:div w:id="378945230">
          <w:marLeft w:val="0"/>
          <w:marRight w:val="0"/>
          <w:marTop w:val="0"/>
          <w:marBottom w:val="0"/>
          <w:divBdr>
            <w:top w:val="none" w:sz="0" w:space="0" w:color="auto"/>
            <w:left w:val="none" w:sz="0" w:space="0" w:color="auto"/>
            <w:bottom w:val="none" w:sz="0" w:space="0" w:color="auto"/>
            <w:right w:val="none" w:sz="0" w:space="0" w:color="auto"/>
          </w:divBdr>
        </w:div>
        <w:div w:id="446774070">
          <w:marLeft w:val="0"/>
          <w:marRight w:val="0"/>
          <w:marTop w:val="0"/>
          <w:marBottom w:val="0"/>
          <w:divBdr>
            <w:top w:val="none" w:sz="0" w:space="0" w:color="auto"/>
            <w:left w:val="none" w:sz="0" w:space="0" w:color="auto"/>
            <w:bottom w:val="none" w:sz="0" w:space="0" w:color="auto"/>
            <w:right w:val="none" w:sz="0" w:space="0" w:color="auto"/>
          </w:divBdr>
        </w:div>
        <w:div w:id="647129510">
          <w:marLeft w:val="0"/>
          <w:marRight w:val="0"/>
          <w:marTop w:val="0"/>
          <w:marBottom w:val="0"/>
          <w:divBdr>
            <w:top w:val="none" w:sz="0" w:space="0" w:color="auto"/>
            <w:left w:val="none" w:sz="0" w:space="0" w:color="auto"/>
            <w:bottom w:val="none" w:sz="0" w:space="0" w:color="auto"/>
            <w:right w:val="none" w:sz="0" w:space="0" w:color="auto"/>
          </w:divBdr>
        </w:div>
        <w:div w:id="849373532">
          <w:marLeft w:val="0"/>
          <w:marRight w:val="0"/>
          <w:marTop w:val="0"/>
          <w:marBottom w:val="0"/>
          <w:divBdr>
            <w:top w:val="none" w:sz="0" w:space="0" w:color="auto"/>
            <w:left w:val="none" w:sz="0" w:space="0" w:color="auto"/>
            <w:bottom w:val="none" w:sz="0" w:space="0" w:color="auto"/>
            <w:right w:val="none" w:sz="0" w:space="0" w:color="auto"/>
          </w:divBdr>
        </w:div>
        <w:div w:id="2107067872">
          <w:marLeft w:val="0"/>
          <w:marRight w:val="0"/>
          <w:marTop w:val="0"/>
          <w:marBottom w:val="0"/>
          <w:divBdr>
            <w:top w:val="none" w:sz="0" w:space="0" w:color="auto"/>
            <w:left w:val="none" w:sz="0" w:space="0" w:color="auto"/>
            <w:bottom w:val="none" w:sz="0" w:space="0" w:color="auto"/>
            <w:right w:val="none" w:sz="0" w:space="0" w:color="auto"/>
          </w:divBdr>
        </w:div>
      </w:divsChild>
    </w:div>
    <w:div w:id="151913418">
      <w:bodyDiv w:val="1"/>
      <w:marLeft w:val="0"/>
      <w:marRight w:val="0"/>
      <w:marTop w:val="0"/>
      <w:marBottom w:val="0"/>
      <w:divBdr>
        <w:top w:val="none" w:sz="0" w:space="0" w:color="auto"/>
        <w:left w:val="none" w:sz="0" w:space="0" w:color="auto"/>
        <w:bottom w:val="none" w:sz="0" w:space="0" w:color="auto"/>
        <w:right w:val="none" w:sz="0" w:space="0" w:color="auto"/>
      </w:divBdr>
    </w:div>
    <w:div w:id="168254521">
      <w:bodyDiv w:val="1"/>
      <w:marLeft w:val="0"/>
      <w:marRight w:val="0"/>
      <w:marTop w:val="0"/>
      <w:marBottom w:val="0"/>
      <w:divBdr>
        <w:top w:val="none" w:sz="0" w:space="0" w:color="auto"/>
        <w:left w:val="none" w:sz="0" w:space="0" w:color="auto"/>
        <w:bottom w:val="none" w:sz="0" w:space="0" w:color="auto"/>
        <w:right w:val="none" w:sz="0" w:space="0" w:color="auto"/>
      </w:divBdr>
    </w:div>
    <w:div w:id="178471366">
      <w:bodyDiv w:val="1"/>
      <w:marLeft w:val="0"/>
      <w:marRight w:val="0"/>
      <w:marTop w:val="0"/>
      <w:marBottom w:val="0"/>
      <w:divBdr>
        <w:top w:val="none" w:sz="0" w:space="0" w:color="auto"/>
        <w:left w:val="none" w:sz="0" w:space="0" w:color="auto"/>
        <w:bottom w:val="none" w:sz="0" w:space="0" w:color="auto"/>
        <w:right w:val="none" w:sz="0" w:space="0" w:color="auto"/>
      </w:divBdr>
    </w:div>
    <w:div w:id="181550461">
      <w:bodyDiv w:val="1"/>
      <w:marLeft w:val="0"/>
      <w:marRight w:val="0"/>
      <w:marTop w:val="0"/>
      <w:marBottom w:val="0"/>
      <w:divBdr>
        <w:top w:val="none" w:sz="0" w:space="0" w:color="auto"/>
        <w:left w:val="none" w:sz="0" w:space="0" w:color="auto"/>
        <w:bottom w:val="none" w:sz="0" w:space="0" w:color="auto"/>
        <w:right w:val="none" w:sz="0" w:space="0" w:color="auto"/>
      </w:divBdr>
    </w:div>
    <w:div w:id="186451167">
      <w:bodyDiv w:val="1"/>
      <w:marLeft w:val="0"/>
      <w:marRight w:val="0"/>
      <w:marTop w:val="0"/>
      <w:marBottom w:val="0"/>
      <w:divBdr>
        <w:top w:val="none" w:sz="0" w:space="0" w:color="auto"/>
        <w:left w:val="none" w:sz="0" w:space="0" w:color="auto"/>
        <w:bottom w:val="none" w:sz="0" w:space="0" w:color="auto"/>
        <w:right w:val="none" w:sz="0" w:space="0" w:color="auto"/>
      </w:divBdr>
    </w:div>
    <w:div w:id="190725015">
      <w:bodyDiv w:val="1"/>
      <w:marLeft w:val="0"/>
      <w:marRight w:val="0"/>
      <w:marTop w:val="0"/>
      <w:marBottom w:val="0"/>
      <w:divBdr>
        <w:top w:val="none" w:sz="0" w:space="0" w:color="auto"/>
        <w:left w:val="none" w:sz="0" w:space="0" w:color="auto"/>
        <w:bottom w:val="none" w:sz="0" w:space="0" w:color="auto"/>
        <w:right w:val="none" w:sz="0" w:space="0" w:color="auto"/>
      </w:divBdr>
    </w:div>
    <w:div w:id="199703652">
      <w:bodyDiv w:val="1"/>
      <w:marLeft w:val="0"/>
      <w:marRight w:val="0"/>
      <w:marTop w:val="0"/>
      <w:marBottom w:val="0"/>
      <w:divBdr>
        <w:top w:val="none" w:sz="0" w:space="0" w:color="auto"/>
        <w:left w:val="none" w:sz="0" w:space="0" w:color="auto"/>
        <w:bottom w:val="none" w:sz="0" w:space="0" w:color="auto"/>
        <w:right w:val="none" w:sz="0" w:space="0" w:color="auto"/>
      </w:divBdr>
    </w:div>
    <w:div w:id="203951511">
      <w:bodyDiv w:val="1"/>
      <w:marLeft w:val="0"/>
      <w:marRight w:val="0"/>
      <w:marTop w:val="0"/>
      <w:marBottom w:val="0"/>
      <w:divBdr>
        <w:top w:val="none" w:sz="0" w:space="0" w:color="auto"/>
        <w:left w:val="none" w:sz="0" w:space="0" w:color="auto"/>
        <w:bottom w:val="none" w:sz="0" w:space="0" w:color="auto"/>
        <w:right w:val="none" w:sz="0" w:space="0" w:color="auto"/>
      </w:divBdr>
    </w:div>
    <w:div w:id="205996167">
      <w:bodyDiv w:val="1"/>
      <w:marLeft w:val="0"/>
      <w:marRight w:val="0"/>
      <w:marTop w:val="0"/>
      <w:marBottom w:val="0"/>
      <w:divBdr>
        <w:top w:val="none" w:sz="0" w:space="0" w:color="auto"/>
        <w:left w:val="none" w:sz="0" w:space="0" w:color="auto"/>
        <w:bottom w:val="none" w:sz="0" w:space="0" w:color="auto"/>
        <w:right w:val="none" w:sz="0" w:space="0" w:color="auto"/>
      </w:divBdr>
      <w:divsChild>
        <w:div w:id="464352816">
          <w:marLeft w:val="0"/>
          <w:marRight w:val="0"/>
          <w:marTop w:val="0"/>
          <w:marBottom w:val="0"/>
          <w:divBdr>
            <w:top w:val="none" w:sz="0" w:space="0" w:color="auto"/>
            <w:left w:val="none" w:sz="0" w:space="0" w:color="auto"/>
            <w:bottom w:val="none" w:sz="0" w:space="0" w:color="auto"/>
            <w:right w:val="none" w:sz="0" w:space="0" w:color="auto"/>
          </w:divBdr>
        </w:div>
        <w:div w:id="1477137401">
          <w:marLeft w:val="0"/>
          <w:marRight w:val="0"/>
          <w:marTop w:val="0"/>
          <w:marBottom w:val="0"/>
          <w:divBdr>
            <w:top w:val="none" w:sz="0" w:space="0" w:color="auto"/>
            <w:left w:val="none" w:sz="0" w:space="0" w:color="auto"/>
            <w:bottom w:val="none" w:sz="0" w:space="0" w:color="auto"/>
            <w:right w:val="none" w:sz="0" w:space="0" w:color="auto"/>
          </w:divBdr>
          <w:divsChild>
            <w:div w:id="426656785">
              <w:marLeft w:val="0"/>
              <w:marRight w:val="0"/>
              <w:marTop w:val="30"/>
              <w:marBottom w:val="30"/>
              <w:divBdr>
                <w:top w:val="none" w:sz="0" w:space="0" w:color="auto"/>
                <w:left w:val="none" w:sz="0" w:space="0" w:color="auto"/>
                <w:bottom w:val="none" w:sz="0" w:space="0" w:color="auto"/>
                <w:right w:val="none" w:sz="0" w:space="0" w:color="auto"/>
              </w:divBdr>
              <w:divsChild>
                <w:div w:id="11760170">
                  <w:marLeft w:val="0"/>
                  <w:marRight w:val="0"/>
                  <w:marTop w:val="0"/>
                  <w:marBottom w:val="0"/>
                  <w:divBdr>
                    <w:top w:val="none" w:sz="0" w:space="0" w:color="auto"/>
                    <w:left w:val="none" w:sz="0" w:space="0" w:color="auto"/>
                    <w:bottom w:val="none" w:sz="0" w:space="0" w:color="auto"/>
                    <w:right w:val="none" w:sz="0" w:space="0" w:color="auto"/>
                  </w:divBdr>
                  <w:divsChild>
                    <w:div w:id="93944944">
                      <w:marLeft w:val="0"/>
                      <w:marRight w:val="0"/>
                      <w:marTop w:val="0"/>
                      <w:marBottom w:val="0"/>
                      <w:divBdr>
                        <w:top w:val="none" w:sz="0" w:space="0" w:color="auto"/>
                        <w:left w:val="none" w:sz="0" w:space="0" w:color="auto"/>
                        <w:bottom w:val="none" w:sz="0" w:space="0" w:color="auto"/>
                        <w:right w:val="none" w:sz="0" w:space="0" w:color="auto"/>
                      </w:divBdr>
                    </w:div>
                  </w:divsChild>
                </w:div>
                <w:div w:id="27146395">
                  <w:marLeft w:val="0"/>
                  <w:marRight w:val="0"/>
                  <w:marTop w:val="0"/>
                  <w:marBottom w:val="0"/>
                  <w:divBdr>
                    <w:top w:val="none" w:sz="0" w:space="0" w:color="auto"/>
                    <w:left w:val="none" w:sz="0" w:space="0" w:color="auto"/>
                    <w:bottom w:val="none" w:sz="0" w:space="0" w:color="auto"/>
                    <w:right w:val="none" w:sz="0" w:space="0" w:color="auto"/>
                  </w:divBdr>
                  <w:divsChild>
                    <w:div w:id="667754275">
                      <w:marLeft w:val="0"/>
                      <w:marRight w:val="0"/>
                      <w:marTop w:val="0"/>
                      <w:marBottom w:val="0"/>
                      <w:divBdr>
                        <w:top w:val="none" w:sz="0" w:space="0" w:color="auto"/>
                        <w:left w:val="none" w:sz="0" w:space="0" w:color="auto"/>
                        <w:bottom w:val="none" w:sz="0" w:space="0" w:color="auto"/>
                        <w:right w:val="none" w:sz="0" w:space="0" w:color="auto"/>
                      </w:divBdr>
                    </w:div>
                  </w:divsChild>
                </w:div>
                <w:div w:id="36902440">
                  <w:marLeft w:val="0"/>
                  <w:marRight w:val="0"/>
                  <w:marTop w:val="0"/>
                  <w:marBottom w:val="0"/>
                  <w:divBdr>
                    <w:top w:val="none" w:sz="0" w:space="0" w:color="auto"/>
                    <w:left w:val="none" w:sz="0" w:space="0" w:color="auto"/>
                    <w:bottom w:val="none" w:sz="0" w:space="0" w:color="auto"/>
                    <w:right w:val="none" w:sz="0" w:space="0" w:color="auto"/>
                  </w:divBdr>
                  <w:divsChild>
                    <w:div w:id="1239171860">
                      <w:marLeft w:val="0"/>
                      <w:marRight w:val="0"/>
                      <w:marTop w:val="0"/>
                      <w:marBottom w:val="0"/>
                      <w:divBdr>
                        <w:top w:val="none" w:sz="0" w:space="0" w:color="auto"/>
                        <w:left w:val="none" w:sz="0" w:space="0" w:color="auto"/>
                        <w:bottom w:val="none" w:sz="0" w:space="0" w:color="auto"/>
                        <w:right w:val="none" w:sz="0" w:space="0" w:color="auto"/>
                      </w:divBdr>
                    </w:div>
                  </w:divsChild>
                </w:div>
                <w:div w:id="87360244">
                  <w:marLeft w:val="0"/>
                  <w:marRight w:val="0"/>
                  <w:marTop w:val="0"/>
                  <w:marBottom w:val="0"/>
                  <w:divBdr>
                    <w:top w:val="none" w:sz="0" w:space="0" w:color="auto"/>
                    <w:left w:val="none" w:sz="0" w:space="0" w:color="auto"/>
                    <w:bottom w:val="none" w:sz="0" w:space="0" w:color="auto"/>
                    <w:right w:val="none" w:sz="0" w:space="0" w:color="auto"/>
                  </w:divBdr>
                  <w:divsChild>
                    <w:div w:id="1312252508">
                      <w:marLeft w:val="0"/>
                      <w:marRight w:val="0"/>
                      <w:marTop w:val="0"/>
                      <w:marBottom w:val="0"/>
                      <w:divBdr>
                        <w:top w:val="none" w:sz="0" w:space="0" w:color="auto"/>
                        <w:left w:val="none" w:sz="0" w:space="0" w:color="auto"/>
                        <w:bottom w:val="none" w:sz="0" w:space="0" w:color="auto"/>
                        <w:right w:val="none" w:sz="0" w:space="0" w:color="auto"/>
                      </w:divBdr>
                    </w:div>
                  </w:divsChild>
                </w:div>
                <w:div w:id="100803046">
                  <w:marLeft w:val="0"/>
                  <w:marRight w:val="0"/>
                  <w:marTop w:val="0"/>
                  <w:marBottom w:val="0"/>
                  <w:divBdr>
                    <w:top w:val="none" w:sz="0" w:space="0" w:color="auto"/>
                    <w:left w:val="none" w:sz="0" w:space="0" w:color="auto"/>
                    <w:bottom w:val="none" w:sz="0" w:space="0" w:color="auto"/>
                    <w:right w:val="none" w:sz="0" w:space="0" w:color="auto"/>
                  </w:divBdr>
                  <w:divsChild>
                    <w:div w:id="1091775638">
                      <w:marLeft w:val="0"/>
                      <w:marRight w:val="0"/>
                      <w:marTop w:val="0"/>
                      <w:marBottom w:val="0"/>
                      <w:divBdr>
                        <w:top w:val="none" w:sz="0" w:space="0" w:color="auto"/>
                        <w:left w:val="none" w:sz="0" w:space="0" w:color="auto"/>
                        <w:bottom w:val="none" w:sz="0" w:space="0" w:color="auto"/>
                        <w:right w:val="none" w:sz="0" w:space="0" w:color="auto"/>
                      </w:divBdr>
                    </w:div>
                  </w:divsChild>
                </w:div>
                <w:div w:id="119417858">
                  <w:marLeft w:val="0"/>
                  <w:marRight w:val="0"/>
                  <w:marTop w:val="0"/>
                  <w:marBottom w:val="0"/>
                  <w:divBdr>
                    <w:top w:val="none" w:sz="0" w:space="0" w:color="auto"/>
                    <w:left w:val="none" w:sz="0" w:space="0" w:color="auto"/>
                    <w:bottom w:val="none" w:sz="0" w:space="0" w:color="auto"/>
                    <w:right w:val="none" w:sz="0" w:space="0" w:color="auto"/>
                  </w:divBdr>
                  <w:divsChild>
                    <w:div w:id="756246345">
                      <w:marLeft w:val="0"/>
                      <w:marRight w:val="0"/>
                      <w:marTop w:val="0"/>
                      <w:marBottom w:val="0"/>
                      <w:divBdr>
                        <w:top w:val="none" w:sz="0" w:space="0" w:color="auto"/>
                        <w:left w:val="none" w:sz="0" w:space="0" w:color="auto"/>
                        <w:bottom w:val="none" w:sz="0" w:space="0" w:color="auto"/>
                        <w:right w:val="none" w:sz="0" w:space="0" w:color="auto"/>
                      </w:divBdr>
                    </w:div>
                  </w:divsChild>
                </w:div>
                <w:div w:id="122894542">
                  <w:marLeft w:val="0"/>
                  <w:marRight w:val="0"/>
                  <w:marTop w:val="0"/>
                  <w:marBottom w:val="0"/>
                  <w:divBdr>
                    <w:top w:val="none" w:sz="0" w:space="0" w:color="auto"/>
                    <w:left w:val="none" w:sz="0" w:space="0" w:color="auto"/>
                    <w:bottom w:val="none" w:sz="0" w:space="0" w:color="auto"/>
                    <w:right w:val="none" w:sz="0" w:space="0" w:color="auto"/>
                  </w:divBdr>
                  <w:divsChild>
                    <w:div w:id="418791699">
                      <w:marLeft w:val="0"/>
                      <w:marRight w:val="0"/>
                      <w:marTop w:val="0"/>
                      <w:marBottom w:val="0"/>
                      <w:divBdr>
                        <w:top w:val="none" w:sz="0" w:space="0" w:color="auto"/>
                        <w:left w:val="none" w:sz="0" w:space="0" w:color="auto"/>
                        <w:bottom w:val="none" w:sz="0" w:space="0" w:color="auto"/>
                        <w:right w:val="none" w:sz="0" w:space="0" w:color="auto"/>
                      </w:divBdr>
                    </w:div>
                  </w:divsChild>
                </w:div>
                <w:div w:id="136804591">
                  <w:marLeft w:val="0"/>
                  <w:marRight w:val="0"/>
                  <w:marTop w:val="0"/>
                  <w:marBottom w:val="0"/>
                  <w:divBdr>
                    <w:top w:val="none" w:sz="0" w:space="0" w:color="auto"/>
                    <w:left w:val="none" w:sz="0" w:space="0" w:color="auto"/>
                    <w:bottom w:val="none" w:sz="0" w:space="0" w:color="auto"/>
                    <w:right w:val="none" w:sz="0" w:space="0" w:color="auto"/>
                  </w:divBdr>
                  <w:divsChild>
                    <w:div w:id="710886612">
                      <w:marLeft w:val="0"/>
                      <w:marRight w:val="0"/>
                      <w:marTop w:val="0"/>
                      <w:marBottom w:val="0"/>
                      <w:divBdr>
                        <w:top w:val="none" w:sz="0" w:space="0" w:color="auto"/>
                        <w:left w:val="none" w:sz="0" w:space="0" w:color="auto"/>
                        <w:bottom w:val="none" w:sz="0" w:space="0" w:color="auto"/>
                        <w:right w:val="none" w:sz="0" w:space="0" w:color="auto"/>
                      </w:divBdr>
                    </w:div>
                  </w:divsChild>
                </w:div>
                <w:div w:id="141892145">
                  <w:marLeft w:val="0"/>
                  <w:marRight w:val="0"/>
                  <w:marTop w:val="0"/>
                  <w:marBottom w:val="0"/>
                  <w:divBdr>
                    <w:top w:val="none" w:sz="0" w:space="0" w:color="auto"/>
                    <w:left w:val="none" w:sz="0" w:space="0" w:color="auto"/>
                    <w:bottom w:val="none" w:sz="0" w:space="0" w:color="auto"/>
                    <w:right w:val="none" w:sz="0" w:space="0" w:color="auto"/>
                  </w:divBdr>
                  <w:divsChild>
                    <w:div w:id="75129316">
                      <w:marLeft w:val="0"/>
                      <w:marRight w:val="0"/>
                      <w:marTop w:val="0"/>
                      <w:marBottom w:val="0"/>
                      <w:divBdr>
                        <w:top w:val="none" w:sz="0" w:space="0" w:color="auto"/>
                        <w:left w:val="none" w:sz="0" w:space="0" w:color="auto"/>
                        <w:bottom w:val="none" w:sz="0" w:space="0" w:color="auto"/>
                        <w:right w:val="none" w:sz="0" w:space="0" w:color="auto"/>
                      </w:divBdr>
                    </w:div>
                  </w:divsChild>
                </w:div>
                <w:div w:id="195697980">
                  <w:marLeft w:val="0"/>
                  <w:marRight w:val="0"/>
                  <w:marTop w:val="0"/>
                  <w:marBottom w:val="0"/>
                  <w:divBdr>
                    <w:top w:val="none" w:sz="0" w:space="0" w:color="auto"/>
                    <w:left w:val="none" w:sz="0" w:space="0" w:color="auto"/>
                    <w:bottom w:val="none" w:sz="0" w:space="0" w:color="auto"/>
                    <w:right w:val="none" w:sz="0" w:space="0" w:color="auto"/>
                  </w:divBdr>
                  <w:divsChild>
                    <w:div w:id="862288">
                      <w:marLeft w:val="0"/>
                      <w:marRight w:val="0"/>
                      <w:marTop w:val="0"/>
                      <w:marBottom w:val="0"/>
                      <w:divBdr>
                        <w:top w:val="none" w:sz="0" w:space="0" w:color="auto"/>
                        <w:left w:val="none" w:sz="0" w:space="0" w:color="auto"/>
                        <w:bottom w:val="none" w:sz="0" w:space="0" w:color="auto"/>
                        <w:right w:val="none" w:sz="0" w:space="0" w:color="auto"/>
                      </w:divBdr>
                    </w:div>
                  </w:divsChild>
                </w:div>
                <w:div w:id="197356045">
                  <w:marLeft w:val="0"/>
                  <w:marRight w:val="0"/>
                  <w:marTop w:val="0"/>
                  <w:marBottom w:val="0"/>
                  <w:divBdr>
                    <w:top w:val="none" w:sz="0" w:space="0" w:color="auto"/>
                    <w:left w:val="none" w:sz="0" w:space="0" w:color="auto"/>
                    <w:bottom w:val="none" w:sz="0" w:space="0" w:color="auto"/>
                    <w:right w:val="none" w:sz="0" w:space="0" w:color="auto"/>
                  </w:divBdr>
                  <w:divsChild>
                    <w:div w:id="23135683">
                      <w:marLeft w:val="0"/>
                      <w:marRight w:val="0"/>
                      <w:marTop w:val="0"/>
                      <w:marBottom w:val="0"/>
                      <w:divBdr>
                        <w:top w:val="none" w:sz="0" w:space="0" w:color="auto"/>
                        <w:left w:val="none" w:sz="0" w:space="0" w:color="auto"/>
                        <w:bottom w:val="none" w:sz="0" w:space="0" w:color="auto"/>
                        <w:right w:val="none" w:sz="0" w:space="0" w:color="auto"/>
                      </w:divBdr>
                    </w:div>
                  </w:divsChild>
                </w:div>
                <w:div w:id="201788030">
                  <w:marLeft w:val="0"/>
                  <w:marRight w:val="0"/>
                  <w:marTop w:val="0"/>
                  <w:marBottom w:val="0"/>
                  <w:divBdr>
                    <w:top w:val="none" w:sz="0" w:space="0" w:color="auto"/>
                    <w:left w:val="none" w:sz="0" w:space="0" w:color="auto"/>
                    <w:bottom w:val="none" w:sz="0" w:space="0" w:color="auto"/>
                    <w:right w:val="none" w:sz="0" w:space="0" w:color="auto"/>
                  </w:divBdr>
                  <w:divsChild>
                    <w:div w:id="1359311136">
                      <w:marLeft w:val="0"/>
                      <w:marRight w:val="0"/>
                      <w:marTop w:val="0"/>
                      <w:marBottom w:val="0"/>
                      <w:divBdr>
                        <w:top w:val="none" w:sz="0" w:space="0" w:color="auto"/>
                        <w:left w:val="none" w:sz="0" w:space="0" w:color="auto"/>
                        <w:bottom w:val="none" w:sz="0" w:space="0" w:color="auto"/>
                        <w:right w:val="none" w:sz="0" w:space="0" w:color="auto"/>
                      </w:divBdr>
                    </w:div>
                  </w:divsChild>
                </w:div>
                <w:div w:id="210118789">
                  <w:marLeft w:val="0"/>
                  <w:marRight w:val="0"/>
                  <w:marTop w:val="0"/>
                  <w:marBottom w:val="0"/>
                  <w:divBdr>
                    <w:top w:val="none" w:sz="0" w:space="0" w:color="auto"/>
                    <w:left w:val="none" w:sz="0" w:space="0" w:color="auto"/>
                    <w:bottom w:val="none" w:sz="0" w:space="0" w:color="auto"/>
                    <w:right w:val="none" w:sz="0" w:space="0" w:color="auto"/>
                  </w:divBdr>
                  <w:divsChild>
                    <w:div w:id="1497765726">
                      <w:marLeft w:val="0"/>
                      <w:marRight w:val="0"/>
                      <w:marTop w:val="0"/>
                      <w:marBottom w:val="0"/>
                      <w:divBdr>
                        <w:top w:val="none" w:sz="0" w:space="0" w:color="auto"/>
                        <w:left w:val="none" w:sz="0" w:space="0" w:color="auto"/>
                        <w:bottom w:val="none" w:sz="0" w:space="0" w:color="auto"/>
                        <w:right w:val="none" w:sz="0" w:space="0" w:color="auto"/>
                      </w:divBdr>
                    </w:div>
                  </w:divsChild>
                </w:div>
                <w:div w:id="245767981">
                  <w:marLeft w:val="0"/>
                  <w:marRight w:val="0"/>
                  <w:marTop w:val="0"/>
                  <w:marBottom w:val="0"/>
                  <w:divBdr>
                    <w:top w:val="none" w:sz="0" w:space="0" w:color="auto"/>
                    <w:left w:val="none" w:sz="0" w:space="0" w:color="auto"/>
                    <w:bottom w:val="none" w:sz="0" w:space="0" w:color="auto"/>
                    <w:right w:val="none" w:sz="0" w:space="0" w:color="auto"/>
                  </w:divBdr>
                  <w:divsChild>
                    <w:div w:id="2115518375">
                      <w:marLeft w:val="0"/>
                      <w:marRight w:val="0"/>
                      <w:marTop w:val="0"/>
                      <w:marBottom w:val="0"/>
                      <w:divBdr>
                        <w:top w:val="none" w:sz="0" w:space="0" w:color="auto"/>
                        <w:left w:val="none" w:sz="0" w:space="0" w:color="auto"/>
                        <w:bottom w:val="none" w:sz="0" w:space="0" w:color="auto"/>
                        <w:right w:val="none" w:sz="0" w:space="0" w:color="auto"/>
                      </w:divBdr>
                    </w:div>
                  </w:divsChild>
                </w:div>
                <w:div w:id="327906432">
                  <w:marLeft w:val="0"/>
                  <w:marRight w:val="0"/>
                  <w:marTop w:val="0"/>
                  <w:marBottom w:val="0"/>
                  <w:divBdr>
                    <w:top w:val="none" w:sz="0" w:space="0" w:color="auto"/>
                    <w:left w:val="none" w:sz="0" w:space="0" w:color="auto"/>
                    <w:bottom w:val="none" w:sz="0" w:space="0" w:color="auto"/>
                    <w:right w:val="none" w:sz="0" w:space="0" w:color="auto"/>
                  </w:divBdr>
                  <w:divsChild>
                    <w:div w:id="1260521780">
                      <w:marLeft w:val="0"/>
                      <w:marRight w:val="0"/>
                      <w:marTop w:val="0"/>
                      <w:marBottom w:val="0"/>
                      <w:divBdr>
                        <w:top w:val="none" w:sz="0" w:space="0" w:color="auto"/>
                        <w:left w:val="none" w:sz="0" w:space="0" w:color="auto"/>
                        <w:bottom w:val="none" w:sz="0" w:space="0" w:color="auto"/>
                        <w:right w:val="none" w:sz="0" w:space="0" w:color="auto"/>
                      </w:divBdr>
                    </w:div>
                  </w:divsChild>
                </w:div>
                <w:div w:id="335496772">
                  <w:marLeft w:val="0"/>
                  <w:marRight w:val="0"/>
                  <w:marTop w:val="0"/>
                  <w:marBottom w:val="0"/>
                  <w:divBdr>
                    <w:top w:val="none" w:sz="0" w:space="0" w:color="auto"/>
                    <w:left w:val="none" w:sz="0" w:space="0" w:color="auto"/>
                    <w:bottom w:val="none" w:sz="0" w:space="0" w:color="auto"/>
                    <w:right w:val="none" w:sz="0" w:space="0" w:color="auto"/>
                  </w:divBdr>
                  <w:divsChild>
                    <w:div w:id="1478064687">
                      <w:marLeft w:val="0"/>
                      <w:marRight w:val="0"/>
                      <w:marTop w:val="0"/>
                      <w:marBottom w:val="0"/>
                      <w:divBdr>
                        <w:top w:val="none" w:sz="0" w:space="0" w:color="auto"/>
                        <w:left w:val="none" w:sz="0" w:space="0" w:color="auto"/>
                        <w:bottom w:val="none" w:sz="0" w:space="0" w:color="auto"/>
                        <w:right w:val="none" w:sz="0" w:space="0" w:color="auto"/>
                      </w:divBdr>
                    </w:div>
                  </w:divsChild>
                </w:div>
                <w:div w:id="344982871">
                  <w:marLeft w:val="0"/>
                  <w:marRight w:val="0"/>
                  <w:marTop w:val="0"/>
                  <w:marBottom w:val="0"/>
                  <w:divBdr>
                    <w:top w:val="none" w:sz="0" w:space="0" w:color="auto"/>
                    <w:left w:val="none" w:sz="0" w:space="0" w:color="auto"/>
                    <w:bottom w:val="none" w:sz="0" w:space="0" w:color="auto"/>
                    <w:right w:val="none" w:sz="0" w:space="0" w:color="auto"/>
                  </w:divBdr>
                  <w:divsChild>
                    <w:div w:id="1979727847">
                      <w:marLeft w:val="0"/>
                      <w:marRight w:val="0"/>
                      <w:marTop w:val="0"/>
                      <w:marBottom w:val="0"/>
                      <w:divBdr>
                        <w:top w:val="none" w:sz="0" w:space="0" w:color="auto"/>
                        <w:left w:val="none" w:sz="0" w:space="0" w:color="auto"/>
                        <w:bottom w:val="none" w:sz="0" w:space="0" w:color="auto"/>
                        <w:right w:val="none" w:sz="0" w:space="0" w:color="auto"/>
                      </w:divBdr>
                    </w:div>
                  </w:divsChild>
                </w:div>
                <w:div w:id="372189905">
                  <w:marLeft w:val="0"/>
                  <w:marRight w:val="0"/>
                  <w:marTop w:val="0"/>
                  <w:marBottom w:val="0"/>
                  <w:divBdr>
                    <w:top w:val="none" w:sz="0" w:space="0" w:color="auto"/>
                    <w:left w:val="none" w:sz="0" w:space="0" w:color="auto"/>
                    <w:bottom w:val="none" w:sz="0" w:space="0" w:color="auto"/>
                    <w:right w:val="none" w:sz="0" w:space="0" w:color="auto"/>
                  </w:divBdr>
                  <w:divsChild>
                    <w:div w:id="1682199608">
                      <w:marLeft w:val="0"/>
                      <w:marRight w:val="0"/>
                      <w:marTop w:val="0"/>
                      <w:marBottom w:val="0"/>
                      <w:divBdr>
                        <w:top w:val="none" w:sz="0" w:space="0" w:color="auto"/>
                        <w:left w:val="none" w:sz="0" w:space="0" w:color="auto"/>
                        <w:bottom w:val="none" w:sz="0" w:space="0" w:color="auto"/>
                        <w:right w:val="none" w:sz="0" w:space="0" w:color="auto"/>
                      </w:divBdr>
                    </w:div>
                  </w:divsChild>
                </w:div>
                <w:div w:id="372193209">
                  <w:marLeft w:val="0"/>
                  <w:marRight w:val="0"/>
                  <w:marTop w:val="0"/>
                  <w:marBottom w:val="0"/>
                  <w:divBdr>
                    <w:top w:val="none" w:sz="0" w:space="0" w:color="auto"/>
                    <w:left w:val="none" w:sz="0" w:space="0" w:color="auto"/>
                    <w:bottom w:val="none" w:sz="0" w:space="0" w:color="auto"/>
                    <w:right w:val="none" w:sz="0" w:space="0" w:color="auto"/>
                  </w:divBdr>
                  <w:divsChild>
                    <w:div w:id="1261446654">
                      <w:marLeft w:val="0"/>
                      <w:marRight w:val="0"/>
                      <w:marTop w:val="0"/>
                      <w:marBottom w:val="0"/>
                      <w:divBdr>
                        <w:top w:val="none" w:sz="0" w:space="0" w:color="auto"/>
                        <w:left w:val="none" w:sz="0" w:space="0" w:color="auto"/>
                        <w:bottom w:val="none" w:sz="0" w:space="0" w:color="auto"/>
                        <w:right w:val="none" w:sz="0" w:space="0" w:color="auto"/>
                      </w:divBdr>
                    </w:div>
                  </w:divsChild>
                </w:div>
                <w:div w:id="390422571">
                  <w:marLeft w:val="0"/>
                  <w:marRight w:val="0"/>
                  <w:marTop w:val="0"/>
                  <w:marBottom w:val="0"/>
                  <w:divBdr>
                    <w:top w:val="none" w:sz="0" w:space="0" w:color="auto"/>
                    <w:left w:val="none" w:sz="0" w:space="0" w:color="auto"/>
                    <w:bottom w:val="none" w:sz="0" w:space="0" w:color="auto"/>
                    <w:right w:val="none" w:sz="0" w:space="0" w:color="auto"/>
                  </w:divBdr>
                  <w:divsChild>
                    <w:div w:id="991368931">
                      <w:marLeft w:val="0"/>
                      <w:marRight w:val="0"/>
                      <w:marTop w:val="0"/>
                      <w:marBottom w:val="0"/>
                      <w:divBdr>
                        <w:top w:val="none" w:sz="0" w:space="0" w:color="auto"/>
                        <w:left w:val="none" w:sz="0" w:space="0" w:color="auto"/>
                        <w:bottom w:val="none" w:sz="0" w:space="0" w:color="auto"/>
                        <w:right w:val="none" w:sz="0" w:space="0" w:color="auto"/>
                      </w:divBdr>
                    </w:div>
                  </w:divsChild>
                </w:div>
                <w:div w:id="391998873">
                  <w:marLeft w:val="0"/>
                  <w:marRight w:val="0"/>
                  <w:marTop w:val="0"/>
                  <w:marBottom w:val="0"/>
                  <w:divBdr>
                    <w:top w:val="none" w:sz="0" w:space="0" w:color="auto"/>
                    <w:left w:val="none" w:sz="0" w:space="0" w:color="auto"/>
                    <w:bottom w:val="none" w:sz="0" w:space="0" w:color="auto"/>
                    <w:right w:val="none" w:sz="0" w:space="0" w:color="auto"/>
                  </w:divBdr>
                  <w:divsChild>
                    <w:div w:id="79916711">
                      <w:marLeft w:val="0"/>
                      <w:marRight w:val="0"/>
                      <w:marTop w:val="0"/>
                      <w:marBottom w:val="0"/>
                      <w:divBdr>
                        <w:top w:val="none" w:sz="0" w:space="0" w:color="auto"/>
                        <w:left w:val="none" w:sz="0" w:space="0" w:color="auto"/>
                        <w:bottom w:val="none" w:sz="0" w:space="0" w:color="auto"/>
                        <w:right w:val="none" w:sz="0" w:space="0" w:color="auto"/>
                      </w:divBdr>
                    </w:div>
                  </w:divsChild>
                </w:div>
                <w:div w:id="392699183">
                  <w:marLeft w:val="0"/>
                  <w:marRight w:val="0"/>
                  <w:marTop w:val="0"/>
                  <w:marBottom w:val="0"/>
                  <w:divBdr>
                    <w:top w:val="none" w:sz="0" w:space="0" w:color="auto"/>
                    <w:left w:val="none" w:sz="0" w:space="0" w:color="auto"/>
                    <w:bottom w:val="none" w:sz="0" w:space="0" w:color="auto"/>
                    <w:right w:val="none" w:sz="0" w:space="0" w:color="auto"/>
                  </w:divBdr>
                  <w:divsChild>
                    <w:div w:id="1646739838">
                      <w:marLeft w:val="0"/>
                      <w:marRight w:val="0"/>
                      <w:marTop w:val="0"/>
                      <w:marBottom w:val="0"/>
                      <w:divBdr>
                        <w:top w:val="none" w:sz="0" w:space="0" w:color="auto"/>
                        <w:left w:val="none" w:sz="0" w:space="0" w:color="auto"/>
                        <w:bottom w:val="none" w:sz="0" w:space="0" w:color="auto"/>
                        <w:right w:val="none" w:sz="0" w:space="0" w:color="auto"/>
                      </w:divBdr>
                    </w:div>
                  </w:divsChild>
                </w:div>
                <w:div w:id="397704151">
                  <w:marLeft w:val="0"/>
                  <w:marRight w:val="0"/>
                  <w:marTop w:val="0"/>
                  <w:marBottom w:val="0"/>
                  <w:divBdr>
                    <w:top w:val="none" w:sz="0" w:space="0" w:color="auto"/>
                    <w:left w:val="none" w:sz="0" w:space="0" w:color="auto"/>
                    <w:bottom w:val="none" w:sz="0" w:space="0" w:color="auto"/>
                    <w:right w:val="none" w:sz="0" w:space="0" w:color="auto"/>
                  </w:divBdr>
                  <w:divsChild>
                    <w:div w:id="2079476185">
                      <w:marLeft w:val="0"/>
                      <w:marRight w:val="0"/>
                      <w:marTop w:val="0"/>
                      <w:marBottom w:val="0"/>
                      <w:divBdr>
                        <w:top w:val="none" w:sz="0" w:space="0" w:color="auto"/>
                        <w:left w:val="none" w:sz="0" w:space="0" w:color="auto"/>
                        <w:bottom w:val="none" w:sz="0" w:space="0" w:color="auto"/>
                        <w:right w:val="none" w:sz="0" w:space="0" w:color="auto"/>
                      </w:divBdr>
                    </w:div>
                  </w:divsChild>
                </w:div>
                <w:div w:id="409497905">
                  <w:marLeft w:val="0"/>
                  <w:marRight w:val="0"/>
                  <w:marTop w:val="0"/>
                  <w:marBottom w:val="0"/>
                  <w:divBdr>
                    <w:top w:val="none" w:sz="0" w:space="0" w:color="auto"/>
                    <w:left w:val="none" w:sz="0" w:space="0" w:color="auto"/>
                    <w:bottom w:val="none" w:sz="0" w:space="0" w:color="auto"/>
                    <w:right w:val="none" w:sz="0" w:space="0" w:color="auto"/>
                  </w:divBdr>
                  <w:divsChild>
                    <w:div w:id="1417704130">
                      <w:marLeft w:val="0"/>
                      <w:marRight w:val="0"/>
                      <w:marTop w:val="0"/>
                      <w:marBottom w:val="0"/>
                      <w:divBdr>
                        <w:top w:val="none" w:sz="0" w:space="0" w:color="auto"/>
                        <w:left w:val="none" w:sz="0" w:space="0" w:color="auto"/>
                        <w:bottom w:val="none" w:sz="0" w:space="0" w:color="auto"/>
                        <w:right w:val="none" w:sz="0" w:space="0" w:color="auto"/>
                      </w:divBdr>
                    </w:div>
                  </w:divsChild>
                </w:div>
                <w:div w:id="446438241">
                  <w:marLeft w:val="0"/>
                  <w:marRight w:val="0"/>
                  <w:marTop w:val="0"/>
                  <w:marBottom w:val="0"/>
                  <w:divBdr>
                    <w:top w:val="none" w:sz="0" w:space="0" w:color="auto"/>
                    <w:left w:val="none" w:sz="0" w:space="0" w:color="auto"/>
                    <w:bottom w:val="none" w:sz="0" w:space="0" w:color="auto"/>
                    <w:right w:val="none" w:sz="0" w:space="0" w:color="auto"/>
                  </w:divBdr>
                  <w:divsChild>
                    <w:div w:id="1114206453">
                      <w:marLeft w:val="0"/>
                      <w:marRight w:val="0"/>
                      <w:marTop w:val="0"/>
                      <w:marBottom w:val="0"/>
                      <w:divBdr>
                        <w:top w:val="none" w:sz="0" w:space="0" w:color="auto"/>
                        <w:left w:val="none" w:sz="0" w:space="0" w:color="auto"/>
                        <w:bottom w:val="none" w:sz="0" w:space="0" w:color="auto"/>
                        <w:right w:val="none" w:sz="0" w:space="0" w:color="auto"/>
                      </w:divBdr>
                    </w:div>
                  </w:divsChild>
                </w:div>
                <w:div w:id="451636620">
                  <w:marLeft w:val="0"/>
                  <w:marRight w:val="0"/>
                  <w:marTop w:val="0"/>
                  <w:marBottom w:val="0"/>
                  <w:divBdr>
                    <w:top w:val="none" w:sz="0" w:space="0" w:color="auto"/>
                    <w:left w:val="none" w:sz="0" w:space="0" w:color="auto"/>
                    <w:bottom w:val="none" w:sz="0" w:space="0" w:color="auto"/>
                    <w:right w:val="none" w:sz="0" w:space="0" w:color="auto"/>
                  </w:divBdr>
                  <w:divsChild>
                    <w:div w:id="577638852">
                      <w:marLeft w:val="0"/>
                      <w:marRight w:val="0"/>
                      <w:marTop w:val="0"/>
                      <w:marBottom w:val="0"/>
                      <w:divBdr>
                        <w:top w:val="none" w:sz="0" w:space="0" w:color="auto"/>
                        <w:left w:val="none" w:sz="0" w:space="0" w:color="auto"/>
                        <w:bottom w:val="none" w:sz="0" w:space="0" w:color="auto"/>
                        <w:right w:val="none" w:sz="0" w:space="0" w:color="auto"/>
                      </w:divBdr>
                    </w:div>
                  </w:divsChild>
                </w:div>
                <w:div w:id="459345793">
                  <w:marLeft w:val="0"/>
                  <w:marRight w:val="0"/>
                  <w:marTop w:val="0"/>
                  <w:marBottom w:val="0"/>
                  <w:divBdr>
                    <w:top w:val="none" w:sz="0" w:space="0" w:color="auto"/>
                    <w:left w:val="none" w:sz="0" w:space="0" w:color="auto"/>
                    <w:bottom w:val="none" w:sz="0" w:space="0" w:color="auto"/>
                    <w:right w:val="none" w:sz="0" w:space="0" w:color="auto"/>
                  </w:divBdr>
                  <w:divsChild>
                    <w:div w:id="1536383073">
                      <w:marLeft w:val="0"/>
                      <w:marRight w:val="0"/>
                      <w:marTop w:val="0"/>
                      <w:marBottom w:val="0"/>
                      <w:divBdr>
                        <w:top w:val="none" w:sz="0" w:space="0" w:color="auto"/>
                        <w:left w:val="none" w:sz="0" w:space="0" w:color="auto"/>
                        <w:bottom w:val="none" w:sz="0" w:space="0" w:color="auto"/>
                        <w:right w:val="none" w:sz="0" w:space="0" w:color="auto"/>
                      </w:divBdr>
                    </w:div>
                  </w:divsChild>
                </w:div>
                <w:div w:id="474496497">
                  <w:marLeft w:val="0"/>
                  <w:marRight w:val="0"/>
                  <w:marTop w:val="0"/>
                  <w:marBottom w:val="0"/>
                  <w:divBdr>
                    <w:top w:val="none" w:sz="0" w:space="0" w:color="auto"/>
                    <w:left w:val="none" w:sz="0" w:space="0" w:color="auto"/>
                    <w:bottom w:val="none" w:sz="0" w:space="0" w:color="auto"/>
                    <w:right w:val="none" w:sz="0" w:space="0" w:color="auto"/>
                  </w:divBdr>
                  <w:divsChild>
                    <w:div w:id="1572040739">
                      <w:marLeft w:val="0"/>
                      <w:marRight w:val="0"/>
                      <w:marTop w:val="0"/>
                      <w:marBottom w:val="0"/>
                      <w:divBdr>
                        <w:top w:val="none" w:sz="0" w:space="0" w:color="auto"/>
                        <w:left w:val="none" w:sz="0" w:space="0" w:color="auto"/>
                        <w:bottom w:val="none" w:sz="0" w:space="0" w:color="auto"/>
                        <w:right w:val="none" w:sz="0" w:space="0" w:color="auto"/>
                      </w:divBdr>
                    </w:div>
                  </w:divsChild>
                </w:div>
                <w:div w:id="475680535">
                  <w:marLeft w:val="0"/>
                  <w:marRight w:val="0"/>
                  <w:marTop w:val="0"/>
                  <w:marBottom w:val="0"/>
                  <w:divBdr>
                    <w:top w:val="none" w:sz="0" w:space="0" w:color="auto"/>
                    <w:left w:val="none" w:sz="0" w:space="0" w:color="auto"/>
                    <w:bottom w:val="none" w:sz="0" w:space="0" w:color="auto"/>
                    <w:right w:val="none" w:sz="0" w:space="0" w:color="auto"/>
                  </w:divBdr>
                  <w:divsChild>
                    <w:div w:id="354045244">
                      <w:marLeft w:val="0"/>
                      <w:marRight w:val="0"/>
                      <w:marTop w:val="0"/>
                      <w:marBottom w:val="0"/>
                      <w:divBdr>
                        <w:top w:val="none" w:sz="0" w:space="0" w:color="auto"/>
                        <w:left w:val="none" w:sz="0" w:space="0" w:color="auto"/>
                        <w:bottom w:val="none" w:sz="0" w:space="0" w:color="auto"/>
                        <w:right w:val="none" w:sz="0" w:space="0" w:color="auto"/>
                      </w:divBdr>
                    </w:div>
                  </w:divsChild>
                </w:div>
                <w:div w:id="478500076">
                  <w:marLeft w:val="0"/>
                  <w:marRight w:val="0"/>
                  <w:marTop w:val="0"/>
                  <w:marBottom w:val="0"/>
                  <w:divBdr>
                    <w:top w:val="none" w:sz="0" w:space="0" w:color="auto"/>
                    <w:left w:val="none" w:sz="0" w:space="0" w:color="auto"/>
                    <w:bottom w:val="none" w:sz="0" w:space="0" w:color="auto"/>
                    <w:right w:val="none" w:sz="0" w:space="0" w:color="auto"/>
                  </w:divBdr>
                  <w:divsChild>
                    <w:div w:id="980497579">
                      <w:marLeft w:val="0"/>
                      <w:marRight w:val="0"/>
                      <w:marTop w:val="0"/>
                      <w:marBottom w:val="0"/>
                      <w:divBdr>
                        <w:top w:val="none" w:sz="0" w:space="0" w:color="auto"/>
                        <w:left w:val="none" w:sz="0" w:space="0" w:color="auto"/>
                        <w:bottom w:val="none" w:sz="0" w:space="0" w:color="auto"/>
                        <w:right w:val="none" w:sz="0" w:space="0" w:color="auto"/>
                      </w:divBdr>
                    </w:div>
                  </w:divsChild>
                </w:div>
                <w:div w:id="502554350">
                  <w:marLeft w:val="0"/>
                  <w:marRight w:val="0"/>
                  <w:marTop w:val="0"/>
                  <w:marBottom w:val="0"/>
                  <w:divBdr>
                    <w:top w:val="none" w:sz="0" w:space="0" w:color="auto"/>
                    <w:left w:val="none" w:sz="0" w:space="0" w:color="auto"/>
                    <w:bottom w:val="none" w:sz="0" w:space="0" w:color="auto"/>
                    <w:right w:val="none" w:sz="0" w:space="0" w:color="auto"/>
                  </w:divBdr>
                  <w:divsChild>
                    <w:div w:id="664208859">
                      <w:marLeft w:val="0"/>
                      <w:marRight w:val="0"/>
                      <w:marTop w:val="0"/>
                      <w:marBottom w:val="0"/>
                      <w:divBdr>
                        <w:top w:val="none" w:sz="0" w:space="0" w:color="auto"/>
                        <w:left w:val="none" w:sz="0" w:space="0" w:color="auto"/>
                        <w:bottom w:val="none" w:sz="0" w:space="0" w:color="auto"/>
                        <w:right w:val="none" w:sz="0" w:space="0" w:color="auto"/>
                      </w:divBdr>
                    </w:div>
                  </w:divsChild>
                </w:div>
                <w:div w:id="541133152">
                  <w:marLeft w:val="0"/>
                  <w:marRight w:val="0"/>
                  <w:marTop w:val="0"/>
                  <w:marBottom w:val="0"/>
                  <w:divBdr>
                    <w:top w:val="none" w:sz="0" w:space="0" w:color="auto"/>
                    <w:left w:val="none" w:sz="0" w:space="0" w:color="auto"/>
                    <w:bottom w:val="none" w:sz="0" w:space="0" w:color="auto"/>
                    <w:right w:val="none" w:sz="0" w:space="0" w:color="auto"/>
                  </w:divBdr>
                  <w:divsChild>
                    <w:div w:id="1002784380">
                      <w:marLeft w:val="0"/>
                      <w:marRight w:val="0"/>
                      <w:marTop w:val="0"/>
                      <w:marBottom w:val="0"/>
                      <w:divBdr>
                        <w:top w:val="none" w:sz="0" w:space="0" w:color="auto"/>
                        <w:left w:val="none" w:sz="0" w:space="0" w:color="auto"/>
                        <w:bottom w:val="none" w:sz="0" w:space="0" w:color="auto"/>
                        <w:right w:val="none" w:sz="0" w:space="0" w:color="auto"/>
                      </w:divBdr>
                    </w:div>
                  </w:divsChild>
                </w:div>
                <w:div w:id="574054207">
                  <w:marLeft w:val="0"/>
                  <w:marRight w:val="0"/>
                  <w:marTop w:val="0"/>
                  <w:marBottom w:val="0"/>
                  <w:divBdr>
                    <w:top w:val="none" w:sz="0" w:space="0" w:color="auto"/>
                    <w:left w:val="none" w:sz="0" w:space="0" w:color="auto"/>
                    <w:bottom w:val="none" w:sz="0" w:space="0" w:color="auto"/>
                    <w:right w:val="none" w:sz="0" w:space="0" w:color="auto"/>
                  </w:divBdr>
                  <w:divsChild>
                    <w:div w:id="1501265659">
                      <w:marLeft w:val="0"/>
                      <w:marRight w:val="0"/>
                      <w:marTop w:val="0"/>
                      <w:marBottom w:val="0"/>
                      <w:divBdr>
                        <w:top w:val="none" w:sz="0" w:space="0" w:color="auto"/>
                        <w:left w:val="none" w:sz="0" w:space="0" w:color="auto"/>
                        <w:bottom w:val="none" w:sz="0" w:space="0" w:color="auto"/>
                        <w:right w:val="none" w:sz="0" w:space="0" w:color="auto"/>
                      </w:divBdr>
                    </w:div>
                  </w:divsChild>
                </w:div>
                <w:div w:id="574634104">
                  <w:marLeft w:val="0"/>
                  <w:marRight w:val="0"/>
                  <w:marTop w:val="0"/>
                  <w:marBottom w:val="0"/>
                  <w:divBdr>
                    <w:top w:val="none" w:sz="0" w:space="0" w:color="auto"/>
                    <w:left w:val="none" w:sz="0" w:space="0" w:color="auto"/>
                    <w:bottom w:val="none" w:sz="0" w:space="0" w:color="auto"/>
                    <w:right w:val="none" w:sz="0" w:space="0" w:color="auto"/>
                  </w:divBdr>
                  <w:divsChild>
                    <w:div w:id="1023625892">
                      <w:marLeft w:val="0"/>
                      <w:marRight w:val="0"/>
                      <w:marTop w:val="0"/>
                      <w:marBottom w:val="0"/>
                      <w:divBdr>
                        <w:top w:val="none" w:sz="0" w:space="0" w:color="auto"/>
                        <w:left w:val="none" w:sz="0" w:space="0" w:color="auto"/>
                        <w:bottom w:val="none" w:sz="0" w:space="0" w:color="auto"/>
                        <w:right w:val="none" w:sz="0" w:space="0" w:color="auto"/>
                      </w:divBdr>
                    </w:div>
                  </w:divsChild>
                </w:div>
                <w:div w:id="581644944">
                  <w:marLeft w:val="0"/>
                  <w:marRight w:val="0"/>
                  <w:marTop w:val="0"/>
                  <w:marBottom w:val="0"/>
                  <w:divBdr>
                    <w:top w:val="none" w:sz="0" w:space="0" w:color="auto"/>
                    <w:left w:val="none" w:sz="0" w:space="0" w:color="auto"/>
                    <w:bottom w:val="none" w:sz="0" w:space="0" w:color="auto"/>
                    <w:right w:val="none" w:sz="0" w:space="0" w:color="auto"/>
                  </w:divBdr>
                  <w:divsChild>
                    <w:div w:id="1345743567">
                      <w:marLeft w:val="0"/>
                      <w:marRight w:val="0"/>
                      <w:marTop w:val="0"/>
                      <w:marBottom w:val="0"/>
                      <w:divBdr>
                        <w:top w:val="none" w:sz="0" w:space="0" w:color="auto"/>
                        <w:left w:val="none" w:sz="0" w:space="0" w:color="auto"/>
                        <w:bottom w:val="none" w:sz="0" w:space="0" w:color="auto"/>
                        <w:right w:val="none" w:sz="0" w:space="0" w:color="auto"/>
                      </w:divBdr>
                    </w:div>
                  </w:divsChild>
                </w:div>
                <w:div w:id="585458973">
                  <w:marLeft w:val="0"/>
                  <w:marRight w:val="0"/>
                  <w:marTop w:val="0"/>
                  <w:marBottom w:val="0"/>
                  <w:divBdr>
                    <w:top w:val="none" w:sz="0" w:space="0" w:color="auto"/>
                    <w:left w:val="none" w:sz="0" w:space="0" w:color="auto"/>
                    <w:bottom w:val="none" w:sz="0" w:space="0" w:color="auto"/>
                    <w:right w:val="none" w:sz="0" w:space="0" w:color="auto"/>
                  </w:divBdr>
                  <w:divsChild>
                    <w:div w:id="1250967334">
                      <w:marLeft w:val="0"/>
                      <w:marRight w:val="0"/>
                      <w:marTop w:val="0"/>
                      <w:marBottom w:val="0"/>
                      <w:divBdr>
                        <w:top w:val="none" w:sz="0" w:space="0" w:color="auto"/>
                        <w:left w:val="none" w:sz="0" w:space="0" w:color="auto"/>
                        <w:bottom w:val="none" w:sz="0" w:space="0" w:color="auto"/>
                        <w:right w:val="none" w:sz="0" w:space="0" w:color="auto"/>
                      </w:divBdr>
                    </w:div>
                  </w:divsChild>
                </w:div>
                <w:div w:id="594561874">
                  <w:marLeft w:val="0"/>
                  <w:marRight w:val="0"/>
                  <w:marTop w:val="0"/>
                  <w:marBottom w:val="0"/>
                  <w:divBdr>
                    <w:top w:val="none" w:sz="0" w:space="0" w:color="auto"/>
                    <w:left w:val="none" w:sz="0" w:space="0" w:color="auto"/>
                    <w:bottom w:val="none" w:sz="0" w:space="0" w:color="auto"/>
                    <w:right w:val="none" w:sz="0" w:space="0" w:color="auto"/>
                  </w:divBdr>
                  <w:divsChild>
                    <w:div w:id="890387858">
                      <w:marLeft w:val="0"/>
                      <w:marRight w:val="0"/>
                      <w:marTop w:val="0"/>
                      <w:marBottom w:val="0"/>
                      <w:divBdr>
                        <w:top w:val="none" w:sz="0" w:space="0" w:color="auto"/>
                        <w:left w:val="none" w:sz="0" w:space="0" w:color="auto"/>
                        <w:bottom w:val="none" w:sz="0" w:space="0" w:color="auto"/>
                        <w:right w:val="none" w:sz="0" w:space="0" w:color="auto"/>
                      </w:divBdr>
                    </w:div>
                  </w:divsChild>
                </w:div>
                <w:div w:id="601374007">
                  <w:marLeft w:val="0"/>
                  <w:marRight w:val="0"/>
                  <w:marTop w:val="0"/>
                  <w:marBottom w:val="0"/>
                  <w:divBdr>
                    <w:top w:val="none" w:sz="0" w:space="0" w:color="auto"/>
                    <w:left w:val="none" w:sz="0" w:space="0" w:color="auto"/>
                    <w:bottom w:val="none" w:sz="0" w:space="0" w:color="auto"/>
                    <w:right w:val="none" w:sz="0" w:space="0" w:color="auto"/>
                  </w:divBdr>
                  <w:divsChild>
                    <w:div w:id="1448742237">
                      <w:marLeft w:val="0"/>
                      <w:marRight w:val="0"/>
                      <w:marTop w:val="0"/>
                      <w:marBottom w:val="0"/>
                      <w:divBdr>
                        <w:top w:val="none" w:sz="0" w:space="0" w:color="auto"/>
                        <w:left w:val="none" w:sz="0" w:space="0" w:color="auto"/>
                        <w:bottom w:val="none" w:sz="0" w:space="0" w:color="auto"/>
                        <w:right w:val="none" w:sz="0" w:space="0" w:color="auto"/>
                      </w:divBdr>
                    </w:div>
                  </w:divsChild>
                </w:div>
                <w:div w:id="606622460">
                  <w:marLeft w:val="0"/>
                  <w:marRight w:val="0"/>
                  <w:marTop w:val="0"/>
                  <w:marBottom w:val="0"/>
                  <w:divBdr>
                    <w:top w:val="none" w:sz="0" w:space="0" w:color="auto"/>
                    <w:left w:val="none" w:sz="0" w:space="0" w:color="auto"/>
                    <w:bottom w:val="none" w:sz="0" w:space="0" w:color="auto"/>
                    <w:right w:val="none" w:sz="0" w:space="0" w:color="auto"/>
                  </w:divBdr>
                  <w:divsChild>
                    <w:div w:id="1010058633">
                      <w:marLeft w:val="0"/>
                      <w:marRight w:val="0"/>
                      <w:marTop w:val="0"/>
                      <w:marBottom w:val="0"/>
                      <w:divBdr>
                        <w:top w:val="none" w:sz="0" w:space="0" w:color="auto"/>
                        <w:left w:val="none" w:sz="0" w:space="0" w:color="auto"/>
                        <w:bottom w:val="none" w:sz="0" w:space="0" w:color="auto"/>
                        <w:right w:val="none" w:sz="0" w:space="0" w:color="auto"/>
                      </w:divBdr>
                    </w:div>
                  </w:divsChild>
                </w:div>
                <w:div w:id="612445688">
                  <w:marLeft w:val="0"/>
                  <w:marRight w:val="0"/>
                  <w:marTop w:val="0"/>
                  <w:marBottom w:val="0"/>
                  <w:divBdr>
                    <w:top w:val="none" w:sz="0" w:space="0" w:color="auto"/>
                    <w:left w:val="none" w:sz="0" w:space="0" w:color="auto"/>
                    <w:bottom w:val="none" w:sz="0" w:space="0" w:color="auto"/>
                    <w:right w:val="none" w:sz="0" w:space="0" w:color="auto"/>
                  </w:divBdr>
                  <w:divsChild>
                    <w:div w:id="1478448805">
                      <w:marLeft w:val="0"/>
                      <w:marRight w:val="0"/>
                      <w:marTop w:val="0"/>
                      <w:marBottom w:val="0"/>
                      <w:divBdr>
                        <w:top w:val="none" w:sz="0" w:space="0" w:color="auto"/>
                        <w:left w:val="none" w:sz="0" w:space="0" w:color="auto"/>
                        <w:bottom w:val="none" w:sz="0" w:space="0" w:color="auto"/>
                        <w:right w:val="none" w:sz="0" w:space="0" w:color="auto"/>
                      </w:divBdr>
                    </w:div>
                  </w:divsChild>
                </w:div>
                <w:div w:id="660306213">
                  <w:marLeft w:val="0"/>
                  <w:marRight w:val="0"/>
                  <w:marTop w:val="0"/>
                  <w:marBottom w:val="0"/>
                  <w:divBdr>
                    <w:top w:val="none" w:sz="0" w:space="0" w:color="auto"/>
                    <w:left w:val="none" w:sz="0" w:space="0" w:color="auto"/>
                    <w:bottom w:val="none" w:sz="0" w:space="0" w:color="auto"/>
                    <w:right w:val="none" w:sz="0" w:space="0" w:color="auto"/>
                  </w:divBdr>
                  <w:divsChild>
                    <w:div w:id="1837963720">
                      <w:marLeft w:val="0"/>
                      <w:marRight w:val="0"/>
                      <w:marTop w:val="0"/>
                      <w:marBottom w:val="0"/>
                      <w:divBdr>
                        <w:top w:val="none" w:sz="0" w:space="0" w:color="auto"/>
                        <w:left w:val="none" w:sz="0" w:space="0" w:color="auto"/>
                        <w:bottom w:val="none" w:sz="0" w:space="0" w:color="auto"/>
                        <w:right w:val="none" w:sz="0" w:space="0" w:color="auto"/>
                      </w:divBdr>
                    </w:div>
                  </w:divsChild>
                </w:div>
                <w:div w:id="673606749">
                  <w:marLeft w:val="0"/>
                  <w:marRight w:val="0"/>
                  <w:marTop w:val="0"/>
                  <w:marBottom w:val="0"/>
                  <w:divBdr>
                    <w:top w:val="none" w:sz="0" w:space="0" w:color="auto"/>
                    <w:left w:val="none" w:sz="0" w:space="0" w:color="auto"/>
                    <w:bottom w:val="none" w:sz="0" w:space="0" w:color="auto"/>
                    <w:right w:val="none" w:sz="0" w:space="0" w:color="auto"/>
                  </w:divBdr>
                  <w:divsChild>
                    <w:div w:id="826481697">
                      <w:marLeft w:val="0"/>
                      <w:marRight w:val="0"/>
                      <w:marTop w:val="0"/>
                      <w:marBottom w:val="0"/>
                      <w:divBdr>
                        <w:top w:val="none" w:sz="0" w:space="0" w:color="auto"/>
                        <w:left w:val="none" w:sz="0" w:space="0" w:color="auto"/>
                        <w:bottom w:val="none" w:sz="0" w:space="0" w:color="auto"/>
                        <w:right w:val="none" w:sz="0" w:space="0" w:color="auto"/>
                      </w:divBdr>
                    </w:div>
                  </w:divsChild>
                </w:div>
                <w:div w:id="679356337">
                  <w:marLeft w:val="0"/>
                  <w:marRight w:val="0"/>
                  <w:marTop w:val="0"/>
                  <w:marBottom w:val="0"/>
                  <w:divBdr>
                    <w:top w:val="none" w:sz="0" w:space="0" w:color="auto"/>
                    <w:left w:val="none" w:sz="0" w:space="0" w:color="auto"/>
                    <w:bottom w:val="none" w:sz="0" w:space="0" w:color="auto"/>
                    <w:right w:val="none" w:sz="0" w:space="0" w:color="auto"/>
                  </w:divBdr>
                  <w:divsChild>
                    <w:div w:id="1117069282">
                      <w:marLeft w:val="0"/>
                      <w:marRight w:val="0"/>
                      <w:marTop w:val="0"/>
                      <w:marBottom w:val="0"/>
                      <w:divBdr>
                        <w:top w:val="none" w:sz="0" w:space="0" w:color="auto"/>
                        <w:left w:val="none" w:sz="0" w:space="0" w:color="auto"/>
                        <w:bottom w:val="none" w:sz="0" w:space="0" w:color="auto"/>
                        <w:right w:val="none" w:sz="0" w:space="0" w:color="auto"/>
                      </w:divBdr>
                    </w:div>
                  </w:divsChild>
                </w:div>
                <w:div w:id="696001316">
                  <w:marLeft w:val="0"/>
                  <w:marRight w:val="0"/>
                  <w:marTop w:val="0"/>
                  <w:marBottom w:val="0"/>
                  <w:divBdr>
                    <w:top w:val="none" w:sz="0" w:space="0" w:color="auto"/>
                    <w:left w:val="none" w:sz="0" w:space="0" w:color="auto"/>
                    <w:bottom w:val="none" w:sz="0" w:space="0" w:color="auto"/>
                    <w:right w:val="none" w:sz="0" w:space="0" w:color="auto"/>
                  </w:divBdr>
                  <w:divsChild>
                    <w:div w:id="166097005">
                      <w:marLeft w:val="0"/>
                      <w:marRight w:val="0"/>
                      <w:marTop w:val="0"/>
                      <w:marBottom w:val="0"/>
                      <w:divBdr>
                        <w:top w:val="none" w:sz="0" w:space="0" w:color="auto"/>
                        <w:left w:val="none" w:sz="0" w:space="0" w:color="auto"/>
                        <w:bottom w:val="none" w:sz="0" w:space="0" w:color="auto"/>
                        <w:right w:val="none" w:sz="0" w:space="0" w:color="auto"/>
                      </w:divBdr>
                    </w:div>
                  </w:divsChild>
                </w:div>
                <w:div w:id="697435816">
                  <w:marLeft w:val="0"/>
                  <w:marRight w:val="0"/>
                  <w:marTop w:val="0"/>
                  <w:marBottom w:val="0"/>
                  <w:divBdr>
                    <w:top w:val="none" w:sz="0" w:space="0" w:color="auto"/>
                    <w:left w:val="none" w:sz="0" w:space="0" w:color="auto"/>
                    <w:bottom w:val="none" w:sz="0" w:space="0" w:color="auto"/>
                    <w:right w:val="none" w:sz="0" w:space="0" w:color="auto"/>
                  </w:divBdr>
                  <w:divsChild>
                    <w:div w:id="1718432893">
                      <w:marLeft w:val="0"/>
                      <w:marRight w:val="0"/>
                      <w:marTop w:val="0"/>
                      <w:marBottom w:val="0"/>
                      <w:divBdr>
                        <w:top w:val="none" w:sz="0" w:space="0" w:color="auto"/>
                        <w:left w:val="none" w:sz="0" w:space="0" w:color="auto"/>
                        <w:bottom w:val="none" w:sz="0" w:space="0" w:color="auto"/>
                        <w:right w:val="none" w:sz="0" w:space="0" w:color="auto"/>
                      </w:divBdr>
                    </w:div>
                  </w:divsChild>
                </w:div>
                <w:div w:id="708341036">
                  <w:marLeft w:val="0"/>
                  <w:marRight w:val="0"/>
                  <w:marTop w:val="0"/>
                  <w:marBottom w:val="0"/>
                  <w:divBdr>
                    <w:top w:val="none" w:sz="0" w:space="0" w:color="auto"/>
                    <w:left w:val="none" w:sz="0" w:space="0" w:color="auto"/>
                    <w:bottom w:val="none" w:sz="0" w:space="0" w:color="auto"/>
                    <w:right w:val="none" w:sz="0" w:space="0" w:color="auto"/>
                  </w:divBdr>
                  <w:divsChild>
                    <w:div w:id="1038627181">
                      <w:marLeft w:val="0"/>
                      <w:marRight w:val="0"/>
                      <w:marTop w:val="0"/>
                      <w:marBottom w:val="0"/>
                      <w:divBdr>
                        <w:top w:val="none" w:sz="0" w:space="0" w:color="auto"/>
                        <w:left w:val="none" w:sz="0" w:space="0" w:color="auto"/>
                        <w:bottom w:val="none" w:sz="0" w:space="0" w:color="auto"/>
                        <w:right w:val="none" w:sz="0" w:space="0" w:color="auto"/>
                      </w:divBdr>
                    </w:div>
                  </w:divsChild>
                </w:div>
                <w:div w:id="722869895">
                  <w:marLeft w:val="0"/>
                  <w:marRight w:val="0"/>
                  <w:marTop w:val="0"/>
                  <w:marBottom w:val="0"/>
                  <w:divBdr>
                    <w:top w:val="none" w:sz="0" w:space="0" w:color="auto"/>
                    <w:left w:val="none" w:sz="0" w:space="0" w:color="auto"/>
                    <w:bottom w:val="none" w:sz="0" w:space="0" w:color="auto"/>
                    <w:right w:val="none" w:sz="0" w:space="0" w:color="auto"/>
                  </w:divBdr>
                  <w:divsChild>
                    <w:div w:id="1839535860">
                      <w:marLeft w:val="0"/>
                      <w:marRight w:val="0"/>
                      <w:marTop w:val="0"/>
                      <w:marBottom w:val="0"/>
                      <w:divBdr>
                        <w:top w:val="none" w:sz="0" w:space="0" w:color="auto"/>
                        <w:left w:val="none" w:sz="0" w:space="0" w:color="auto"/>
                        <w:bottom w:val="none" w:sz="0" w:space="0" w:color="auto"/>
                        <w:right w:val="none" w:sz="0" w:space="0" w:color="auto"/>
                      </w:divBdr>
                    </w:div>
                  </w:divsChild>
                </w:div>
                <w:div w:id="736587236">
                  <w:marLeft w:val="0"/>
                  <w:marRight w:val="0"/>
                  <w:marTop w:val="0"/>
                  <w:marBottom w:val="0"/>
                  <w:divBdr>
                    <w:top w:val="none" w:sz="0" w:space="0" w:color="auto"/>
                    <w:left w:val="none" w:sz="0" w:space="0" w:color="auto"/>
                    <w:bottom w:val="none" w:sz="0" w:space="0" w:color="auto"/>
                    <w:right w:val="none" w:sz="0" w:space="0" w:color="auto"/>
                  </w:divBdr>
                  <w:divsChild>
                    <w:div w:id="1219054742">
                      <w:marLeft w:val="0"/>
                      <w:marRight w:val="0"/>
                      <w:marTop w:val="0"/>
                      <w:marBottom w:val="0"/>
                      <w:divBdr>
                        <w:top w:val="none" w:sz="0" w:space="0" w:color="auto"/>
                        <w:left w:val="none" w:sz="0" w:space="0" w:color="auto"/>
                        <w:bottom w:val="none" w:sz="0" w:space="0" w:color="auto"/>
                        <w:right w:val="none" w:sz="0" w:space="0" w:color="auto"/>
                      </w:divBdr>
                    </w:div>
                  </w:divsChild>
                </w:div>
                <w:div w:id="737093756">
                  <w:marLeft w:val="0"/>
                  <w:marRight w:val="0"/>
                  <w:marTop w:val="0"/>
                  <w:marBottom w:val="0"/>
                  <w:divBdr>
                    <w:top w:val="none" w:sz="0" w:space="0" w:color="auto"/>
                    <w:left w:val="none" w:sz="0" w:space="0" w:color="auto"/>
                    <w:bottom w:val="none" w:sz="0" w:space="0" w:color="auto"/>
                    <w:right w:val="none" w:sz="0" w:space="0" w:color="auto"/>
                  </w:divBdr>
                  <w:divsChild>
                    <w:div w:id="1903714792">
                      <w:marLeft w:val="0"/>
                      <w:marRight w:val="0"/>
                      <w:marTop w:val="0"/>
                      <w:marBottom w:val="0"/>
                      <w:divBdr>
                        <w:top w:val="none" w:sz="0" w:space="0" w:color="auto"/>
                        <w:left w:val="none" w:sz="0" w:space="0" w:color="auto"/>
                        <w:bottom w:val="none" w:sz="0" w:space="0" w:color="auto"/>
                        <w:right w:val="none" w:sz="0" w:space="0" w:color="auto"/>
                      </w:divBdr>
                    </w:div>
                  </w:divsChild>
                </w:div>
                <w:div w:id="738089220">
                  <w:marLeft w:val="0"/>
                  <w:marRight w:val="0"/>
                  <w:marTop w:val="0"/>
                  <w:marBottom w:val="0"/>
                  <w:divBdr>
                    <w:top w:val="none" w:sz="0" w:space="0" w:color="auto"/>
                    <w:left w:val="none" w:sz="0" w:space="0" w:color="auto"/>
                    <w:bottom w:val="none" w:sz="0" w:space="0" w:color="auto"/>
                    <w:right w:val="none" w:sz="0" w:space="0" w:color="auto"/>
                  </w:divBdr>
                  <w:divsChild>
                    <w:div w:id="1123575389">
                      <w:marLeft w:val="0"/>
                      <w:marRight w:val="0"/>
                      <w:marTop w:val="0"/>
                      <w:marBottom w:val="0"/>
                      <w:divBdr>
                        <w:top w:val="none" w:sz="0" w:space="0" w:color="auto"/>
                        <w:left w:val="none" w:sz="0" w:space="0" w:color="auto"/>
                        <w:bottom w:val="none" w:sz="0" w:space="0" w:color="auto"/>
                        <w:right w:val="none" w:sz="0" w:space="0" w:color="auto"/>
                      </w:divBdr>
                    </w:div>
                  </w:divsChild>
                </w:div>
                <w:div w:id="748573296">
                  <w:marLeft w:val="0"/>
                  <w:marRight w:val="0"/>
                  <w:marTop w:val="0"/>
                  <w:marBottom w:val="0"/>
                  <w:divBdr>
                    <w:top w:val="none" w:sz="0" w:space="0" w:color="auto"/>
                    <w:left w:val="none" w:sz="0" w:space="0" w:color="auto"/>
                    <w:bottom w:val="none" w:sz="0" w:space="0" w:color="auto"/>
                    <w:right w:val="none" w:sz="0" w:space="0" w:color="auto"/>
                  </w:divBdr>
                  <w:divsChild>
                    <w:div w:id="2038846367">
                      <w:marLeft w:val="0"/>
                      <w:marRight w:val="0"/>
                      <w:marTop w:val="0"/>
                      <w:marBottom w:val="0"/>
                      <w:divBdr>
                        <w:top w:val="none" w:sz="0" w:space="0" w:color="auto"/>
                        <w:left w:val="none" w:sz="0" w:space="0" w:color="auto"/>
                        <w:bottom w:val="none" w:sz="0" w:space="0" w:color="auto"/>
                        <w:right w:val="none" w:sz="0" w:space="0" w:color="auto"/>
                      </w:divBdr>
                    </w:div>
                  </w:divsChild>
                </w:div>
                <w:div w:id="760569889">
                  <w:marLeft w:val="0"/>
                  <w:marRight w:val="0"/>
                  <w:marTop w:val="0"/>
                  <w:marBottom w:val="0"/>
                  <w:divBdr>
                    <w:top w:val="none" w:sz="0" w:space="0" w:color="auto"/>
                    <w:left w:val="none" w:sz="0" w:space="0" w:color="auto"/>
                    <w:bottom w:val="none" w:sz="0" w:space="0" w:color="auto"/>
                    <w:right w:val="none" w:sz="0" w:space="0" w:color="auto"/>
                  </w:divBdr>
                  <w:divsChild>
                    <w:div w:id="1345474937">
                      <w:marLeft w:val="0"/>
                      <w:marRight w:val="0"/>
                      <w:marTop w:val="0"/>
                      <w:marBottom w:val="0"/>
                      <w:divBdr>
                        <w:top w:val="none" w:sz="0" w:space="0" w:color="auto"/>
                        <w:left w:val="none" w:sz="0" w:space="0" w:color="auto"/>
                        <w:bottom w:val="none" w:sz="0" w:space="0" w:color="auto"/>
                        <w:right w:val="none" w:sz="0" w:space="0" w:color="auto"/>
                      </w:divBdr>
                    </w:div>
                  </w:divsChild>
                </w:div>
                <w:div w:id="762341593">
                  <w:marLeft w:val="0"/>
                  <w:marRight w:val="0"/>
                  <w:marTop w:val="0"/>
                  <w:marBottom w:val="0"/>
                  <w:divBdr>
                    <w:top w:val="none" w:sz="0" w:space="0" w:color="auto"/>
                    <w:left w:val="none" w:sz="0" w:space="0" w:color="auto"/>
                    <w:bottom w:val="none" w:sz="0" w:space="0" w:color="auto"/>
                    <w:right w:val="none" w:sz="0" w:space="0" w:color="auto"/>
                  </w:divBdr>
                  <w:divsChild>
                    <w:div w:id="2110468317">
                      <w:marLeft w:val="0"/>
                      <w:marRight w:val="0"/>
                      <w:marTop w:val="0"/>
                      <w:marBottom w:val="0"/>
                      <w:divBdr>
                        <w:top w:val="none" w:sz="0" w:space="0" w:color="auto"/>
                        <w:left w:val="none" w:sz="0" w:space="0" w:color="auto"/>
                        <w:bottom w:val="none" w:sz="0" w:space="0" w:color="auto"/>
                        <w:right w:val="none" w:sz="0" w:space="0" w:color="auto"/>
                      </w:divBdr>
                    </w:div>
                  </w:divsChild>
                </w:div>
                <w:div w:id="774642230">
                  <w:marLeft w:val="0"/>
                  <w:marRight w:val="0"/>
                  <w:marTop w:val="0"/>
                  <w:marBottom w:val="0"/>
                  <w:divBdr>
                    <w:top w:val="none" w:sz="0" w:space="0" w:color="auto"/>
                    <w:left w:val="none" w:sz="0" w:space="0" w:color="auto"/>
                    <w:bottom w:val="none" w:sz="0" w:space="0" w:color="auto"/>
                    <w:right w:val="none" w:sz="0" w:space="0" w:color="auto"/>
                  </w:divBdr>
                  <w:divsChild>
                    <w:div w:id="1702903100">
                      <w:marLeft w:val="0"/>
                      <w:marRight w:val="0"/>
                      <w:marTop w:val="0"/>
                      <w:marBottom w:val="0"/>
                      <w:divBdr>
                        <w:top w:val="none" w:sz="0" w:space="0" w:color="auto"/>
                        <w:left w:val="none" w:sz="0" w:space="0" w:color="auto"/>
                        <w:bottom w:val="none" w:sz="0" w:space="0" w:color="auto"/>
                        <w:right w:val="none" w:sz="0" w:space="0" w:color="auto"/>
                      </w:divBdr>
                    </w:div>
                  </w:divsChild>
                </w:div>
                <w:div w:id="799307146">
                  <w:marLeft w:val="0"/>
                  <w:marRight w:val="0"/>
                  <w:marTop w:val="0"/>
                  <w:marBottom w:val="0"/>
                  <w:divBdr>
                    <w:top w:val="none" w:sz="0" w:space="0" w:color="auto"/>
                    <w:left w:val="none" w:sz="0" w:space="0" w:color="auto"/>
                    <w:bottom w:val="none" w:sz="0" w:space="0" w:color="auto"/>
                    <w:right w:val="none" w:sz="0" w:space="0" w:color="auto"/>
                  </w:divBdr>
                  <w:divsChild>
                    <w:div w:id="430245996">
                      <w:marLeft w:val="0"/>
                      <w:marRight w:val="0"/>
                      <w:marTop w:val="0"/>
                      <w:marBottom w:val="0"/>
                      <w:divBdr>
                        <w:top w:val="none" w:sz="0" w:space="0" w:color="auto"/>
                        <w:left w:val="none" w:sz="0" w:space="0" w:color="auto"/>
                        <w:bottom w:val="none" w:sz="0" w:space="0" w:color="auto"/>
                        <w:right w:val="none" w:sz="0" w:space="0" w:color="auto"/>
                      </w:divBdr>
                    </w:div>
                  </w:divsChild>
                </w:div>
                <w:div w:id="806242794">
                  <w:marLeft w:val="0"/>
                  <w:marRight w:val="0"/>
                  <w:marTop w:val="0"/>
                  <w:marBottom w:val="0"/>
                  <w:divBdr>
                    <w:top w:val="none" w:sz="0" w:space="0" w:color="auto"/>
                    <w:left w:val="none" w:sz="0" w:space="0" w:color="auto"/>
                    <w:bottom w:val="none" w:sz="0" w:space="0" w:color="auto"/>
                    <w:right w:val="none" w:sz="0" w:space="0" w:color="auto"/>
                  </w:divBdr>
                  <w:divsChild>
                    <w:div w:id="1833138236">
                      <w:marLeft w:val="0"/>
                      <w:marRight w:val="0"/>
                      <w:marTop w:val="0"/>
                      <w:marBottom w:val="0"/>
                      <w:divBdr>
                        <w:top w:val="none" w:sz="0" w:space="0" w:color="auto"/>
                        <w:left w:val="none" w:sz="0" w:space="0" w:color="auto"/>
                        <w:bottom w:val="none" w:sz="0" w:space="0" w:color="auto"/>
                        <w:right w:val="none" w:sz="0" w:space="0" w:color="auto"/>
                      </w:divBdr>
                    </w:div>
                  </w:divsChild>
                </w:div>
                <w:div w:id="822158004">
                  <w:marLeft w:val="0"/>
                  <w:marRight w:val="0"/>
                  <w:marTop w:val="0"/>
                  <w:marBottom w:val="0"/>
                  <w:divBdr>
                    <w:top w:val="none" w:sz="0" w:space="0" w:color="auto"/>
                    <w:left w:val="none" w:sz="0" w:space="0" w:color="auto"/>
                    <w:bottom w:val="none" w:sz="0" w:space="0" w:color="auto"/>
                    <w:right w:val="none" w:sz="0" w:space="0" w:color="auto"/>
                  </w:divBdr>
                  <w:divsChild>
                    <w:div w:id="2131852431">
                      <w:marLeft w:val="0"/>
                      <w:marRight w:val="0"/>
                      <w:marTop w:val="0"/>
                      <w:marBottom w:val="0"/>
                      <w:divBdr>
                        <w:top w:val="none" w:sz="0" w:space="0" w:color="auto"/>
                        <w:left w:val="none" w:sz="0" w:space="0" w:color="auto"/>
                        <w:bottom w:val="none" w:sz="0" w:space="0" w:color="auto"/>
                        <w:right w:val="none" w:sz="0" w:space="0" w:color="auto"/>
                      </w:divBdr>
                    </w:div>
                  </w:divsChild>
                </w:div>
                <w:div w:id="844831792">
                  <w:marLeft w:val="0"/>
                  <w:marRight w:val="0"/>
                  <w:marTop w:val="0"/>
                  <w:marBottom w:val="0"/>
                  <w:divBdr>
                    <w:top w:val="none" w:sz="0" w:space="0" w:color="auto"/>
                    <w:left w:val="none" w:sz="0" w:space="0" w:color="auto"/>
                    <w:bottom w:val="none" w:sz="0" w:space="0" w:color="auto"/>
                    <w:right w:val="none" w:sz="0" w:space="0" w:color="auto"/>
                  </w:divBdr>
                  <w:divsChild>
                    <w:div w:id="349452253">
                      <w:marLeft w:val="0"/>
                      <w:marRight w:val="0"/>
                      <w:marTop w:val="0"/>
                      <w:marBottom w:val="0"/>
                      <w:divBdr>
                        <w:top w:val="none" w:sz="0" w:space="0" w:color="auto"/>
                        <w:left w:val="none" w:sz="0" w:space="0" w:color="auto"/>
                        <w:bottom w:val="none" w:sz="0" w:space="0" w:color="auto"/>
                        <w:right w:val="none" w:sz="0" w:space="0" w:color="auto"/>
                      </w:divBdr>
                    </w:div>
                  </w:divsChild>
                </w:div>
                <w:div w:id="863441695">
                  <w:marLeft w:val="0"/>
                  <w:marRight w:val="0"/>
                  <w:marTop w:val="0"/>
                  <w:marBottom w:val="0"/>
                  <w:divBdr>
                    <w:top w:val="none" w:sz="0" w:space="0" w:color="auto"/>
                    <w:left w:val="none" w:sz="0" w:space="0" w:color="auto"/>
                    <w:bottom w:val="none" w:sz="0" w:space="0" w:color="auto"/>
                    <w:right w:val="none" w:sz="0" w:space="0" w:color="auto"/>
                  </w:divBdr>
                  <w:divsChild>
                    <w:div w:id="909198078">
                      <w:marLeft w:val="0"/>
                      <w:marRight w:val="0"/>
                      <w:marTop w:val="0"/>
                      <w:marBottom w:val="0"/>
                      <w:divBdr>
                        <w:top w:val="none" w:sz="0" w:space="0" w:color="auto"/>
                        <w:left w:val="none" w:sz="0" w:space="0" w:color="auto"/>
                        <w:bottom w:val="none" w:sz="0" w:space="0" w:color="auto"/>
                        <w:right w:val="none" w:sz="0" w:space="0" w:color="auto"/>
                      </w:divBdr>
                    </w:div>
                  </w:divsChild>
                </w:div>
                <w:div w:id="876547800">
                  <w:marLeft w:val="0"/>
                  <w:marRight w:val="0"/>
                  <w:marTop w:val="0"/>
                  <w:marBottom w:val="0"/>
                  <w:divBdr>
                    <w:top w:val="none" w:sz="0" w:space="0" w:color="auto"/>
                    <w:left w:val="none" w:sz="0" w:space="0" w:color="auto"/>
                    <w:bottom w:val="none" w:sz="0" w:space="0" w:color="auto"/>
                    <w:right w:val="none" w:sz="0" w:space="0" w:color="auto"/>
                  </w:divBdr>
                  <w:divsChild>
                    <w:div w:id="1556744531">
                      <w:marLeft w:val="0"/>
                      <w:marRight w:val="0"/>
                      <w:marTop w:val="0"/>
                      <w:marBottom w:val="0"/>
                      <w:divBdr>
                        <w:top w:val="none" w:sz="0" w:space="0" w:color="auto"/>
                        <w:left w:val="none" w:sz="0" w:space="0" w:color="auto"/>
                        <w:bottom w:val="none" w:sz="0" w:space="0" w:color="auto"/>
                        <w:right w:val="none" w:sz="0" w:space="0" w:color="auto"/>
                      </w:divBdr>
                    </w:div>
                  </w:divsChild>
                </w:div>
                <w:div w:id="877278196">
                  <w:marLeft w:val="0"/>
                  <w:marRight w:val="0"/>
                  <w:marTop w:val="0"/>
                  <w:marBottom w:val="0"/>
                  <w:divBdr>
                    <w:top w:val="none" w:sz="0" w:space="0" w:color="auto"/>
                    <w:left w:val="none" w:sz="0" w:space="0" w:color="auto"/>
                    <w:bottom w:val="none" w:sz="0" w:space="0" w:color="auto"/>
                    <w:right w:val="none" w:sz="0" w:space="0" w:color="auto"/>
                  </w:divBdr>
                  <w:divsChild>
                    <w:div w:id="989214251">
                      <w:marLeft w:val="0"/>
                      <w:marRight w:val="0"/>
                      <w:marTop w:val="0"/>
                      <w:marBottom w:val="0"/>
                      <w:divBdr>
                        <w:top w:val="none" w:sz="0" w:space="0" w:color="auto"/>
                        <w:left w:val="none" w:sz="0" w:space="0" w:color="auto"/>
                        <w:bottom w:val="none" w:sz="0" w:space="0" w:color="auto"/>
                        <w:right w:val="none" w:sz="0" w:space="0" w:color="auto"/>
                      </w:divBdr>
                    </w:div>
                  </w:divsChild>
                </w:div>
                <w:div w:id="877859869">
                  <w:marLeft w:val="0"/>
                  <w:marRight w:val="0"/>
                  <w:marTop w:val="0"/>
                  <w:marBottom w:val="0"/>
                  <w:divBdr>
                    <w:top w:val="none" w:sz="0" w:space="0" w:color="auto"/>
                    <w:left w:val="none" w:sz="0" w:space="0" w:color="auto"/>
                    <w:bottom w:val="none" w:sz="0" w:space="0" w:color="auto"/>
                    <w:right w:val="none" w:sz="0" w:space="0" w:color="auto"/>
                  </w:divBdr>
                  <w:divsChild>
                    <w:div w:id="41945714">
                      <w:marLeft w:val="0"/>
                      <w:marRight w:val="0"/>
                      <w:marTop w:val="0"/>
                      <w:marBottom w:val="0"/>
                      <w:divBdr>
                        <w:top w:val="none" w:sz="0" w:space="0" w:color="auto"/>
                        <w:left w:val="none" w:sz="0" w:space="0" w:color="auto"/>
                        <w:bottom w:val="none" w:sz="0" w:space="0" w:color="auto"/>
                        <w:right w:val="none" w:sz="0" w:space="0" w:color="auto"/>
                      </w:divBdr>
                    </w:div>
                  </w:divsChild>
                </w:div>
                <w:div w:id="879055864">
                  <w:marLeft w:val="0"/>
                  <w:marRight w:val="0"/>
                  <w:marTop w:val="0"/>
                  <w:marBottom w:val="0"/>
                  <w:divBdr>
                    <w:top w:val="none" w:sz="0" w:space="0" w:color="auto"/>
                    <w:left w:val="none" w:sz="0" w:space="0" w:color="auto"/>
                    <w:bottom w:val="none" w:sz="0" w:space="0" w:color="auto"/>
                    <w:right w:val="none" w:sz="0" w:space="0" w:color="auto"/>
                  </w:divBdr>
                  <w:divsChild>
                    <w:div w:id="2024286482">
                      <w:marLeft w:val="0"/>
                      <w:marRight w:val="0"/>
                      <w:marTop w:val="0"/>
                      <w:marBottom w:val="0"/>
                      <w:divBdr>
                        <w:top w:val="none" w:sz="0" w:space="0" w:color="auto"/>
                        <w:left w:val="none" w:sz="0" w:space="0" w:color="auto"/>
                        <w:bottom w:val="none" w:sz="0" w:space="0" w:color="auto"/>
                        <w:right w:val="none" w:sz="0" w:space="0" w:color="auto"/>
                      </w:divBdr>
                    </w:div>
                  </w:divsChild>
                </w:div>
                <w:div w:id="887843284">
                  <w:marLeft w:val="0"/>
                  <w:marRight w:val="0"/>
                  <w:marTop w:val="0"/>
                  <w:marBottom w:val="0"/>
                  <w:divBdr>
                    <w:top w:val="none" w:sz="0" w:space="0" w:color="auto"/>
                    <w:left w:val="none" w:sz="0" w:space="0" w:color="auto"/>
                    <w:bottom w:val="none" w:sz="0" w:space="0" w:color="auto"/>
                    <w:right w:val="none" w:sz="0" w:space="0" w:color="auto"/>
                  </w:divBdr>
                  <w:divsChild>
                    <w:div w:id="641614143">
                      <w:marLeft w:val="0"/>
                      <w:marRight w:val="0"/>
                      <w:marTop w:val="0"/>
                      <w:marBottom w:val="0"/>
                      <w:divBdr>
                        <w:top w:val="none" w:sz="0" w:space="0" w:color="auto"/>
                        <w:left w:val="none" w:sz="0" w:space="0" w:color="auto"/>
                        <w:bottom w:val="none" w:sz="0" w:space="0" w:color="auto"/>
                        <w:right w:val="none" w:sz="0" w:space="0" w:color="auto"/>
                      </w:divBdr>
                    </w:div>
                  </w:divsChild>
                </w:div>
                <w:div w:id="889732455">
                  <w:marLeft w:val="0"/>
                  <w:marRight w:val="0"/>
                  <w:marTop w:val="0"/>
                  <w:marBottom w:val="0"/>
                  <w:divBdr>
                    <w:top w:val="none" w:sz="0" w:space="0" w:color="auto"/>
                    <w:left w:val="none" w:sz="0" w:space="0" w:color="auto"/>
                    <w:bottom w:val="none" w:sz="0" w:space="0" w:color="auto"/>
                    <w:right w:val="none" w:sz="0" w:space="0" w:color="auto"/>
                  </w:divBdr>
                  <w:divsChild>
                    <w:div w:id="74977796">
                      <w:marLeft w:val="0"/>
                      <w:marRight w:val="0"/>
                      <w:marTop w:val="0"/>
                      <w:marBottom w:val="0"/>
                      <w:divBdr>
                        <w:top w:val="none" w:sz="0" w:space="0" w:color="auto"/>
                        <w:left w:val="none" w:sz="0" w:space="0" w:color="auto"/>
                        <w:bottom w:val="none" w:sz="0" w:space="0" w:color="auto"/>
                        <w:right w:val="none" w:sz="0" w:space="0" w:color="auto"/>
                      </w:divBdr>
                    </w:div>
                  </w:divsChild>
                </w:div>
                <w:div w:id="893007968">
                  <w:marLeft w:val="0"/>
                  <w:marRight w:val="0"/>
                  <w:marTop w:val="0"/>
                  <w:marBottom w:val="0"/>
                  <w:divBdr>
                    <w:top w:val="none" w:sz="0" w:space="0" w:color="auto"/>
                    <w:left w:val="none" w:sz="0" w:space="0" w:color="auto"/>
                    <w:bottom w:val="none" w:sz="0" w:space="0" w:color="auto"/>
                    <w:right w:val="none" w:sz="0" w:space="0" w:color="auto"/>
                  </w:divBdr>
                  <w:divsChild>
                    <w:div w:id="636684176">
                      <w:marLeft w:val="0"/>
                      <w:marRight w:val="0"/>
                      <w:marTop w:val="0"/>
                      <w:marBottom w:val="0"/>
                      <w:divBdr>
                        <w:top w:val="none" w:sz="0" w:space="0" w:color="auto"/>
                        <w:left w:val="none" w:sz="0" w:space="0" w:color="auto"/>
                        <w:bottom w:val="none" w:sz="0" w:space="0" w:color="auto"/>
                        <w:right w:val="none" w:sz="0" w:space="0" w:color="auto"/>
                      </w:divBdr>
                    </w:div>
                  </w:divsChild>
                </w:div>
                <w:div w:id="895437175">
                  <w:marLeft w:val="0"/>
                  <w:marRight w:val="0"/>
                  <w:marTop w:val="0"/>
                  <w:marBottom w:val="0"/>
                  <w:divBdr>
                    <w:top w:val="none" w:sz="0" w:space="0" w:color="auto"/>
                    <w:left w:val="none" w:sz="0" w:space="0" w:color="auto"/>
                    <w:bottom w:val="none" w:sz="0" w:space="0" w:color="auto"/>
                    <w:right w:val="none" w:sz="0" w:space="0" w:color="auto"/>
                  </w:divBdr>
                  <w:divsChild>
                    <w:div w:id="398787492">
                      <w:marLeft w:val="0"/>
                      <w:marRight w:val="0"/>
                      <w:marTop w:val="0"/>
                      <w:marBottom w:val="0"/>
                      <w:divBdr>
                        <w:top w:val="none" w:sz="0" w:space="0" w:color="auto"/>
                        <w:left w:val="none" w:sz="0" w:space="0" w:color="auto"/>
                        <w:bottom w:val="none" w:sz="0" w:space="0" w:color="auto"/>
                        <w:right w:val="none" w:sz="0" w:space="0" w:color="auto"/>
                      </w:divBdr>
                    </w:div>
                  </w:divsChild>
                </w:div>
                <w:div w:id="909968627">
                  <w:marLeft w:val="0"/>
                  <w:marRight w:val="0"/>
                  <w:marTop w:val="0"/>
                  <w:marBottom w:val="0"/>
                  <w:divBdr>
                    <w:top w:val="none" w:sz="0" w:space="0" w:color="auto"/>
                    <w:left w:val="none" w:sz="0" w:space="0" w:color="auto"/>
                    <w:bottom w:val="none" w:sz="0" w:space="0" w:color="auto"/>
                    <w:right w:val="none" w:sz="0" w:space="0" w:color="auto"/>
                  </w:divBdr>
                  <w:divsChild>
                    <w:div w:id="123935180">
                      <w:marLeft w:val="0"/>
                      <w:marRight w:val="0"/>
                      <w:marTop w:val="0"/>
                      <w:marBottom w:val="0"/>
                      <w:divBdr>
                        <w:top w:val="none" w:sz="0" w:space="0" w:color="auto"/>
                        <w:left w:val="none" w:sz="0" w:space="0" w:color="auto"/>
                        <w:bottom w:val="none" w:sz="0" w:space="0" w:color="auto"/>
                        <w:right w:val="none" w:sz="0" w:space="0" w:color="auto"/>
                      </w:divBdr>
                    </w:div>
                  </w:divsChild>
                </w:div>
                <w:div w:id="915896920">
                  <w:marLeft w:val="0"/>
                  <w:marRight w:val="0"/>
                  <w:marTop w:val="0"/>
                  <w:marBottom w:val="0"/>
                  <w:divBdr>
                    <w:top w:val="none" w:sz="0" w:space="0" w:color="auto"/>
                    <w:left w:val="none" w:sz="0" w:space="0" w:color="auto"/>
                    <w:bottom w:val="none" w:sz="0" w:space="0" w:color="auto"/>
                    <w:right w:val="none" w:sz="0" w:space="0" w:color="auto"/>
                  </w:divBdr>
                  <w:divsChild>
                    <w:div w:id="1642611384">
                      <w:marLeft w:val="0"/>
                      <w:marRight w:val="0"/>
                      <w:marTop w:val="0"/>
                      <w:marBottom w:val="0"/>
                      <w:divBdr>
                        <w:top w:val="none" w:sz="0" w:space="0" w:color="auto"/>
                        <w:left w:val="none" w:sz="0" w:space="0" w:color="auto"/>
                        <w:bottom w:val="none" w:sz="0" w:space="0" w:color="auto"/>
                        <w:right w:val="none" w:sz="0" w:space="0" w:color="auto"/>
                      </w:divBdr>
                    </w:div>
                  </w:divsChild>
                </w:div>
                <w:div w:id="931551898">
                  <w:marLeft w:val="0"/>
                  <w:marRight w:val="0"/>
                  <w:marTop w:val="0"/>
                  <w:marBottom w:val="0"/>
                  <w:divBdr>
                    <w:top w:val="none" w:sz="0" w:space="0" w:color="auto"/>
                    <w:left w:val="none" w:sz="0" w:space="0" w:color="auto"/>
                    <w:bottom w:val="none" w:sz="0" w:space="0" w:color="auto"/>
                    <w:right w:val="none" w:sz="0" w:space="0" w:color="auto"/>
                  </w:divBdr>
                  <w:divsChild>
                    <w:div w:id="1909728280">
                      <w:marLeft w:val="0"/>
                      <w:marRight w:val="0"/>
                      <w:marTop w:val="0"/>
                      <w:marBottom w:val="0"/>
                      <w:divBdr>
                        <w:top w:val="none" w:sz="0" w:space="0" w:color="auto"/>
                        <w:left w:val="none" w:sz="0" w:space="0" w:color="auto"/>
                        <w:bottom w:val="none" w:sz="0" w:space="0" w:color="auto"/>
                        <w:right w:val="none" w:sz="0" w:space="0" w:color="auto"/>
                      </w:divBdr>
                    </w:div>
                  </w:divsChild>
                </w:div>
                <w:div w:id="955602984">
                  <w:marLeft w:val="0"/>
                  <w:marRight w:val="0"/>
                  <w:marTop w:val="0"/>
                  <w:marBottom w:val="0"/>
                  <w:divBdr>
                    <w:top w:val="none" w:sz="0" w:space="0" w:color="auto"/>
                    <w:left w:val="none" w:sz="0" w:space="0" w:color="auto"/>
                    <w:bottom w:val="none" w:sz="0" w:space="0" w:color="auto"/>
                    <w:right w:val="none" w:sz="0" w:space="0" w:color="auto"/>
                  </w:divBdr>
                  <w:divsChild>
                    <w:div w:id="1813713723">
                      <w:marLeft w:val="0"/>
                      <w:marRight w:val="0"/>
                      <w:marTop w:val="0"/>
                      <w:marBottom w:val="0"/>
                      <w:divBdr>
                        <w:top w:val="none" w:sz="0" w:space="0" w:color="auto"/>
                        <w:left w:val="none" w:sz="0" w:space="0" w:color="auto"/>
                        <w:bottom w:val="none" w:sz="0" w:space="0" w:color="auto"/>
                        <w:right w:val="none" w:sz="0" w:space="0" w:color="auto"/>
                      </w:divBdr>
                    </w:div>
                  </w:divsChild>
                </w:div>
                <w:div w:id="964700400">
                  <w:marLeft w:val="0"/>
                  <w:marRight w:val="0"/>
                  <w:marTop w:val="0"/>
                  <w:marBottom w:val="0"/>
                  <w:divBdr>
                    <w:top w:val="none" w:sz="0" w:space="0" w:color="auto"/>
                    <w:left w:val="none" w:sz="0" w:space="0" w:color="auto"/>
                    <w:bottom w:val="none" w:sz="0" w:space="0" w:color="auto"/>
                    <w:right w:val="none" w:sz="0" w:space="0" w:color="auto"/>
                  </w:divBdr>
                  <w:divsChild>
                    <w:div w:id="1774009309">
                      <w:marLeft w:val="0"/>
                      <w:marRight w:val="0"/>
                      <w:marTop w:val="0"/>
                      <w:marBottom w:val="0"/>
                      <w:divBdr>
                        <w:top w:val="none" w:sz="0" w:space="0" w:color="auto"/>
                        <w:left w:val="none" w:sz="0" w:space="0" w:color="auto"/>
                        <w:bottom w:val="none" w:sz="0" w:space="0" w:color="auto"/>
                        <w:right w:val="none" w:sz="0" w:space="0" w:color="auto"/>
                      </w:divBdr>
                    </w:div>
                  </w:divsChild>
                </w:div>
                <w:div w:id="972060533">
                  <w:marLeft w:val="0"/>
                  <w:marRight w:val="0"/>
                  <w:marTop w:val="0"/>
                  <w:marBottom w:val="0"/>
                  <w:divBdr>
                    <w:top w:val="none" w:sz="0" w:space="0" w:color="auto"/>
                    <w:left w:val="none" w:sz="0" w:space="0" w:color="auto"/>
                    <w:bottom w:val="none" w:sz="0" w:space="0" w:color="auto"/>
                    <w:right w:val="none" w:sz="0" w:space="0" w:color="auto"/>
                  </w:divBdr>
                  <w:divsChild>
                    <w:div w:id="1913661828">
                      <w:marLeft w:val="0"/>
                      <w:marRight w:val="0"/>
                      <w:marTop w:val="0"/>
                      <w:marBottom w:val="0"/>
                      <w:divBdr>
                        <w:top w:val="none" w:sz="0" w:space="0" w:color="auto"/>
                        <w:left w:val="none" w:sz="0" w:space="0" w:color="auto"/>
                        <w:bottom w:val="none" w:sz="0" w:space="0" w:color="auto"/>
                        <w:right w:val="none" w:sz="0" w:space="0" w:color="auto"/>
                      </w:divBdr>
                    </w:div>
                  </w:divsChild>
                </w:div>
                <w:div w:id="972564309">
                  <w:marLeft w:val="0"/>
                  <w:marRight w:val="0"/>
                  <w:marTop w:val="0"/>
                  <w:marBottom w:val="0"/>
                  <w:divBdr>
                    <w:top w:val="none" w:sz="0" w:space="0" w:color="auto"/>
                    <w:left w:val="none" w:sz="0" w:space="0" w:color="auto"/>
                    <w:bottom w:val="none" w:sz="0" w:space="0" w:color="auto"/>
                    <w:right w:val="none" w:sz="0" w:space="0" w:color="auto"/>
                  </w:divBdr>
                  <w:divsChild>
                    <w:div w:id="1079181580">
                      <w:marLeft w:val="0"/>
                      <w:marRight w:val="0"/>
                      <w:marTop w:val="0"/>
                      <w:marBottom w:val="0"/>
                      <w:divBdr>
                        <w:top w:val="none" w:sz="0" w:space="0" w:color="auto"/>
                        <w:left w:val="none" w:sz="0" w:space="0" w:color="auto"/>
                        <w:bottom w:val="none" w:sz="0" w:space="0" w:color="auto"/>
                        <w:right w:val="none" w:sz="0" w:space="0" w:color="auto"/>
                      </w:divBdr>
                    </w:div>
                  </w:divsChild>
                </w:div>
                <w:div w:id="987515598">
                  <w:marLeft w:val="0"/>
                  <w:marRight w:val="0"/>
                  <w:marTop w:val="0"/>
                  <w:marBottom w:val="0"/>
                  <w:divBdr>
                    <w:top w:val="none" w:sz="0" w:space="0" w:color="auto"/>
                    <w:left w:val="none" w:sz="0" w:space="0" w:color="auto"/>
                    <w:bottom w:val="none" w:sz="0" w:space="0" w:color="auto"/>
                    <w:right w:val="none" w:sz="0" w:space="0" w:color="auto"/>
                  </w:divBdr>
                  <w:divsChild>
                    <w:div w:id="481774619">
                      <w:marLeft w:val="0"/>
                      <w:marRight w:val="0"/>
                      <w:marTop w:val="0"/>
                      <w:marBottom w:val="0"/>
                      <w:divBdr>
                        <w:top w:val="none" w:sz="0" w:space="0" w:color="auto"/>
                        <w:left w:val="none" w:sz="0" w:space="0" w:color="auto"/>
                        <w:bottom w:val="none" w:sz="0" w:space="0" w:color="auto"/>
                        <w:right w:val="none" w:sz="0" w:space="0" w:color="auto"/>
                      </w:divBdr>
                    </w:div>
                  </w:divsChild>
                </w:div>
                <w:div w:id="990907533">
                  <w:marLeft w:val="0"/>
                  <w:marRight w:val="0"/>
                  <w:marTop w:val="0"/>
                  <w:marBottom w:val="0"/>
                  <w:divBdr>
                    <w:top w:val="none" w:sz="0" w:space="0" w:color="auto"/>
                    <w:left w:val="none" w:sz="0" w:space="0" w:color="auto"/>
                    <w:bottom w:val="none" w:sz="0" w:space="0" w:color="auto"/>
                    <w:right w:val="none" w:sz="0" w:space="0" w:color="auto"/>
                  </w:divBdr>
                  <w:divsChild>
                    <w:div w:id="692997450">
                      <w:marLeft w:val="0"/>
                      <w:marRight w:val="0"/>
                      <w:marTop w:val="0"/>
                      <w:marBottom w:val="0"/>
                      <w:divBdr>
                        <w:top w:val="none" w:sz="0" w:space="0" w:color="auto"/>
                        <w:left w:val="none" w:sz="0" w:space="0" w:color="auto"/>
                        <w:bottom w:val="none" w:sz="0" w:space="0" w:color="auto"/>
                        <w:right w:val="none" w:sz="0" w:space="0" w:color="auto"/>
                      </w:divBdr>
                    </w:div>
                  </w:divsChild>
                </w:div>
                <w:div w:id="1017120015">
                  <w:marLeft w:val="0"/>
                  <w:marRight w:val="0"/>
                  <w:marTop w:val="0"/>
                  <w:marBottom w:val="0"/>
                  <w:divBdr>
                    <w:top w:val="none" w:sz="0" w:space="0" w:color="auto"/>
                    <w:left w:val="none" w:sz="0" w:space="0" w:color="auto"/>
                    <w:bottom w:val="none" w:sz="0" w:space="0" w:color="auto"/>
                    <w:right w:val="none" w:sz="0" w:space="0" w:color="auto"/>
                  </w:divBdr>
                  <w:divsChild>
                    <w:div w:id="1970697119">
                      <w:marLeft w:val="0"/>
                      <w:marRight w:val="0"/>
                      <w:marTop w:val="0"/>
                      <w:marBottom w:val="0"/>
                      <w:divBdr>
                        <w:top w:val="none" w:sz="0" w:space="0" w:color="auto"/>
                        <w:left w:val="none" w:sz="0" w:space="0" w:color="auto"/>
                        <w:bottom w:val="none" w:sz="0" w:space="0" w:color="auto"/>
                        <w:right w:val="none" w:sz="0" w:space="0" w:color="auto"/>
                      </w:divBdr>
                    </w:div>
                  </w:divsChild>
                </w:div>
                <w:div w:id="1029986562">
                  <w:marLeft w:val="0"/>
                  <w:marRight w:val="0"/>
                  <w:marTop w:val="0"/>
                  <w:marBottom w:val="0"/>
                  <w:divBdr>
                    <w:top w:val="none" w:sz="0" w:space="0" w:color="auto"/>
                    <w:left w:val="none" w:sz="0" w:space="0" w:color="auto"/>
                    <w:bottom w:val="none" w:sz="0" w:space="0" w:color="auto"/>
                    <w:right w:val="none" w:sz="0" w:space="0" w:color="auto"/>
                  </w:divBdr>
                  <w:divsChild>
                    <w:div w:id="437258425">
                      <w:marLeft w:val="0"/>
                      <w:marRight w:val="0"/>
                      <w:marTop w:val="0"/>
                      <w:marBottom w:val="0"/>
                      <w:divBdr>
                        <w:top w:val="none" w:sz="0" w:space="0" w:color="auto"/>
                        <w:left w:val="none" w:sz="0" w:space="0" w:color="auto"/>
                        <w:bottom w:val="none" w:sz="0" w:space="0" w:color="auto"/>
                        <w:right w:val="none" w:sz="0" w:space="0" w:color="auto"/>
                      </w:divBdr>
                    </w:div>
                  </w:divsChild>
                </w:div>
                <w:div w:id="1040589968">
                  <w:marLeft w:val="0"/>
                  <w:marRight w:val="0"/>
                  <w:marTop w:val="0"/>
                  <w:marBottom w:val="0"/>
                  <w:divBdr>
                    <w:top w:val="none" w:sz="0" w:space="0" w:color="auto"/>
                    <w:left w:val="none" w:sz="0" w:space="0" w:color="auto"/>
                    <w:bottom w:val="none" w:sz="0" w:space="0" w:color="auto"/>
                    <w:right w:val="none" w:sz="0" w:space="0" w:color="auto"/>
                  </w:divBdr>
                  <w:divsChild>
                    <w:div w:id="217862481">
                      <w:marLeft w:val="0"/>
                      <w:marRight w:val="0"/>
                      <w:marTop w:val="0"/>
                      <w:marBottom w:val="0"/>
                      <w:divBdr>
                        <w:top w:val="none" w:sz="0" w:space="0" w:color="auto"/>
                        <w:left w:val="none" w:sz="0" w:space="0" w:color="auto"/>
                        <w:bottom w:val="none" w:sz="0" w:space="0" w:color="auto"/>
                        <w:right w:val="none" w:sz="0" w:space="0" w:color="auto"/>
                      </w:divBdr>
                    </w:div>
                  </w:divsChild>
                </w:div>
                <w:div w:id="1045058868">
                  <w:marLeft w:val="0"/>
                  <w:marRight w:val="0"/>
                  <w:marTop w:val="0"/>
                  <w:marBottom w:val="0"/>
                  <w:divBdr>
                    <w:top w:val="none" w:sz="0" w:space="0" w:color="auto"/>
                    <w:left w:val="none" w:sz="0" w:space="0" w:color="auto"/>
                    <w:bottom w:val="none" w:sz="0" w:space="0" w:color="auto"/>
                    <w:right w:val="none" w:sz="0" w:space="0" w:color="auto"/>
                  </w:divBdr>
                  <w:divsChild>
                    <w:div w:id="688411649">
                      <w:marLeft w:val="0"/>
                      <w:marRight w:val="0"/>
                      <w:marTop w:val="0"/>
                      <w:marBottom w:val="0"/>
                      <w:divBdr>
                        <w:top w:val="none" w:sz="0" w:space="0" w:color="auto"/>
                        <w:left w:val="none" w:sz="0" w:space="0" w:color="auto"/>
                        <w:bottom w:val="none" w:sz="0" w:space="0" w:color="auto"/>
                        <w:right w:val="none" w:sz="0" w:space="0" w:color="auto"/>
                      </w:divBdr>
                    </w:div>
                  </w:divsChild>
                </w:div>
                <w:div w:id="1052772531">
                  <w:marLeft w:val="0"/>
                  <w:marRight w:val="0"/>
                  <w:marTop w:val="0"/>
                  <w:marBottom w:val="0"/>
                  <w:divBdr>
                    <w:top w:val="none" w:sz="0" w:space="0" w:color="auto"/>
                    <w:left w:val="none" w:sz="0" w:space="0" w:color="auto"/>
                    <w:bottom w:val="none" w:sz="0" w:space="0" w:color="auto"/>
                    <w:right w:val="none" w:sz="0" w:space="0" w:color="auto"/>
                  </w:divBdr>
                  <w:divsChild>
                    <w:div w:id="88697058">
                      <w:marLeft w:val="0"/>
                      <w:marRight w:val="0"/>
                      <w:marTop w:val="0"/>
                      <w:marBottom w:val="0"/>
                      <w:divBdr>
                        <w:top w:val="none" w:sz="0" w:space="0" w:color="auto"/>
                        <w:left w:val="none" w:sz="0" w:space="0" w:color="auto"/>
                        <w:bottom w:val="none" w:sz="0" w:space="0" w:color="auto"/>
                        <w:right w:val="none" w:sz="0" w:space="0" w:color="auto"/>
                      </w:divBdr>
                    </w:div>
                  </w:divsChild>
                </w:div>
                <w:div w:id="1059860288">
                  <w:marLeft w:val="0"/>
                  <w:marRight w:val="0"/>
                  <w:marTop w:val="0"/>
                  <w:marBottom w:val="0"/>
                  <w:divBdr>
                    <w:top w:val="none" w:sz="0" w:space="0" w:color="auto"/>
                    <w:left w:val="none" w:sz="0" w:space="0" w:color="auto"/>
                    <w:bottom w:val="none" w:sz="0" w:space="0" w:color="auto"/>
                    <w:right w:val="none" w:sz="0" w:space="0" w:color="auto"/>
                  </w:divBdr>
                  <w:divsChild>
                    <w:div w:id="1246377529">
                      <w:marLeft w:val="0"/>
                      <w:marRight w:val="0"/>
                      <w:marTop w:val="0"/>
                      <w:marBottom w:val="0"/>
                      <w:divBdr>
                        <w:top w:val="none" w:sz="0" w:space="0" w:color="auto"/>
                        <w:left w:val="none" w:sz="0" w:space="0" w:color="auto"/>
                        <w:bottom w:val="none" w:sz="0" w:space="0" w:color="auto"/>
                        <w:right w:val="none" w:sz="0" w:space="0" w:color="auto"/>
                      </w:divBdr>
                    </w:div>
                  </w:divsChild>
                </w:div>
                <w:div w:id="1063256357">
                  <w:marLeft w:val="0"/>
                  <w:marRight w:val="0"/>
                  <w:marTop w:val="0"/>
                  <w:marBottom w:val="0"/>
                  <w:divBdr>
                    <w:top w:val="none" w:sz="0" w:space="0" w:color="auto"/>
                    <w:left w:val="none" w:sz="0" w:space="0" w:color="auto"/>
                    <w:bottom w:val="none" w:sz="0" w:space="0" w:color="auto"/>
                    <w:right w:val="none" w:sz="0" w:space="0" w:color="auto"/>
                  </w:divBdr>
                  <w:divsChild>
                    <w:div w:id="1140533793">
                      <w:marLeft w:val="0"/>
                      <w:marRight w:val="0"/>
                      <w:marTop w:val="0"/>
                      <w:marBottom w:val="0"/>
                      <w:divBdr>
                        <w:top w:val="none" w:sz="0" w:space="0" w:color="auto"/>
                        <w:left w:val="none" w:sz="0" w:space="0" w:color="auto"/>
                        <w:bottom w:val="none" w:sz="0" w:space="0" w:color="auto"/>
                        <w:right w:val="none" w:sz="0" w:space="0" w:color="auto"/>
                      </w:divBdr>
                    </w:div>
                  </w:divsChild>
                </w:div>
                <w:div w:id="1073507543">
                  <w:marLeft w:val="0"/>
                  <w:marRight w:val="0"/>
                  <w:marTop w:val="0"/>
                  <w:marBottom w:val="0"/>
                  <w:divBdr>
                    <w:top w:val="none" w:sz="0" w:space="0" w:color="auto"/>
                    <w:left w:val="none" w:sz="0" w:space="0" w:color="auto"/>
                    <w:bottom w:val="none" w:sz="0" w:space="0" w:color="auto"/>
                    <w:right w:val="none" w:sz="0" w:space="0" w:color="auto"/>
                  </w:divBdr>
                  <w:divsChild>
                    <w:div w:id="1983806034">
                      <w:marLeft w:val="0"/>
                      <w:marRight w:val="0"/>
                      <w:marTop w:val="0"/>
                      <w:marBottom w:val="0"/>
                      <w:divBdr>
                        <w:top w:val="none" w:sz="0" w:space="0" w:color="auto"/>
                        <w:left w:val="none" w:sz="0" w:space="0" w:color="auto"/>
                        <w:bottom w:val="none" w:sz="0" w:space="0" w:color="auto"/>
                        <w:right w:val="none" w:sz="0" w:space="0" w:color="auto"/>
                      </w:divBdr>
                    </w:div>
                  </w:divsChild>
                </w:div>
                <w:div w:id="1080643108">
                  <w:marLeft w:val="0"/>
                  <w:marRight w:val="0"/>
                  <w:marTop w:val="0"/>
                  <w:marBottom w:val="0"/>
                  <w:divBdr>
                    <w:top w:val="none" w:sz="0" w:space="0" w:color="auto"/>
                    <w:left w:val="none" w:sz="0" w:space="0" w:color="auto"/>
                    <w:bottom w:val="none" w:sz="0" w:space="0" w:color="auto"/>
                    <w:right w:val="none" w:sz="0" w:space="0" w:color="auto"/>
                  </w:divBdr>
                  <w:divsChild>
                    <w:div w:id="1244410655">
                      <w:marLeft w:val="0"/>
                      <w:marRight w:val="0"/>
                      <w:marTop w:val="0"/>
                      <w:marBottom w:val="0"/>
                      <w:divBdr>
                        <w:top w:val="none" w:sz="0" w:space="0" w:color="auto"/>
                        <w:left w:val="none" w:sz="0" w:space="0" w:color="auto"/>
                        <w:bottom w:val="none" w:sz="0" w:space="0" w:color="auto"/>
                        <w:right w:val="none" w:sz="0" w:space="0" w:color="auto"/>
                      </w:divBdr>
                    </w:div>
                  </w:divsChild>
                </w:div>
                <w:div w:id="1082532328">
                  <w:marLeft w:val="0"/>
                  <w:marRight w:val="0"/>
                  <w:marTop w:val="0"/>
                  <w:marBottom w:val="0"/>
                  <w:divBdr>
                    <w:top w:val="none" w:sz="0" w:space="0" w:color="auto"/>
                    <w:left w:val="none" w:sz="0" w:space="0" w:color="auto"/>
                    <w:bottom w:val="none" w:sz="0" w:space="0" w:color="auto"/>
                    <w:right w:val="none" w:sz="0" w:space="0" w:color="auto"/>
                  </w:divBdr>
                  <w:divsChild>
                    <w:div w:id="1299723746">
                      <w:marLeft w:val="0"/>
                      <w:marRight w:val="0"/>
                      <w:marTop w:val="0"/>
                      <w:marBottom w:val="0"/>
                      <w:divBdr>
                        <w:top w:val="none" w:sz="0" w:space="0" w:color="auto"/>
                        <w:left w:val="none" w:sz="0" w:space="0" w:color="auto"/>
                        <w:bottom w:val="none" w:sz="0" w:space="0" w:color="auto"/>
                        <w:right w:val="none" w:sz="0" w:space="0" w:color="auto"/>
                      </w:divBdr>
                    </w:div>
                  </w:divsChild>
                </w:div>
                <w:div w:id="1085998268">
                  <w:marLeft w:val="0"/>
                  <w:marRight w:val="0"/>
                  <w:marTop w:val="0"/>
                  <w:marBottom w:val="0"/>
                  <w:divBdr>
                    <w:top w:val="none" w:sz="0" w:space="0" w:color="auto"/>
                    <w:left w:val="none" w:sz="0" w:space="0" w:color="auto"/>
                    <w:bottom w:val="none" w:sz="0" w:space="0" w:color="auto"/>
                    <w:right w:val="none" w:sz="0" w:space="0" w:color="auto"/>
                  </w:divBdr>
                  <w:divsChild>
                    <w:div w:id="357126164">
                      <w:marLeft w:val="0"/>
                      <w:marRight w:val="0"/>
                      <w:marTop w:val="0"/>
                      <w:marBottom w:val="0"/>
                      <w:divBdr>
                        <w:top w:val="none" w:sz="0" w:space="0" w:color="auto"/>
                        <w:left w:val="none" w:sz="0" w:space="0" w:color="auto"/>
                        <w:bottom w:val="none" w:sz="0" w:space="0" w:color="auto"/>
                        <w:right w:val="none" w:sz="0" w:space="0" w:color="auto"/>
                      </w:divBdr>
                    </w:div>
                  </w:divsChild>
                </w:div>
                <w:div w:id="1090196338">
                  <w:marLeft w:val="0"/>
                  <w:marRight w:val="0"/>
                  <w:marTop w:val="0"/>
                  <w:marBottom w:val="0"/>
                  <w:divBdr>
                    <w:top w:val="none" w:sz="0" w:space="0" w:color="auto"/>
                    <w:left w:val="none" w:sz="0" w:space="0" w:color="auto"/>
                    <w:bottom w:val="none" w:sz="0" w:space="0" w:color="auto"/>
                    <w:right w:val="none" w:sz="0" w:space="0" w:color="auto"/>
                  </w:divBdr>
                  <w:divsChild>
                    <w:div w:id="166605312">
                      <w:marLeft w:val="0"/>
                      <w:marRight w:val="0"/>
                      <w:marTop w:val="0"/>
                      <w:marBottom w:val="0"/>
                      <w:divBdr>
                        <w:top w:val="none" w:sz="0" w:space="0" w:color="auto"/>
                        <w:left w:val="none" w:sz="0" w:space="0" w:color="auto"/>
                        <w:bottom w:val="none" w:sz="0" w:space="0" w:color="auto"/>
                        <w:right w:val="none" w:sz="0" w:space="0" w:color="auto"/>
                      </w:divBdr>
                    </w:div>
                  </w:divsChild>
                </w:div>
                <w:div w:id="1094209229">
                  <w:marLeft w:val="0"/>
                  <w:marRight w:val="0"/>
                  <w:marTop w:val="0"/>
                  <w:marBottom w:val="0"/>
                  <w:divBdr>
                    <w:top w:val="none" w:sz="0" w:space="0" w:color="auto"/>
                    <w:left w:val="none" w:sz="0" w:space="0" w:color="auto"/>
                    <w:bottom w:val="none" w:sz="0" w:space="0" w:color="auto"/>
                    <w:right w:val="none" w:sz="0" w:space="0" w:color="auto"/>
                  </w:divBdr>
                  <w:divsChild>
                    <w:div w:id="1074932984">
                      <w:marLeft w:val="0"/>
                      <w:marRight w:val="0"/>
                      <w:marTop w:val="0"/>
                      <w:marBottom w:val="0"/>
                      <w:divBdr>
                        <w:top w:val="none" w:sz="0" w:space="0" w:color="auto"/>
                        <w:left w:val="none" w:sz="0" w:space="0" w:color="auto"/>
                        <w:bottom w:val="none" w:sz="0" w:space="0" w:color="auto"/>
                        <w:right w:val="none" w:sz="0" w:space="0" w:color="auto"/>
                      </w:divBdr>
                    </w:div>
                  </w:divsChild>
                </w:div>
                <w:div w:id="1118260568">
                  <w:marLeft w:val="0"/>
                  <w:marRight w:val="0"/>
                  <w:marTop w:val="0"/>
                  <w:marBottom w:val="0"/>
                  <w:divBdr>
                    <w:top w:val="none" w:sz="0" w:space="0" w:color="auto"/>
                    <w:left w:val="none" w:sz="0" w:space="0" w:color="auto"/>
                    <w:bottom w:val="none" w:sz="0" w:space="0" w:color="auto"/>
                    <w:right w:val="none" w:sz="0" w:space="0" w:color="auto"/>
                  </w:divBdr>
                  <w:divsChild>
                    <w:div w:id="2099591847">
                      <w:marLeft w:val="0"/>
                      <w:marRight w:val="0"/>
                      <w:marTop w:val="0"/>
                      <w:marBottom w:val="0"/>
                      <w:divBdr>
                        <w:top w:val="none" w:sz="0" w:space="0" w:color="auto"/>
                        <w:left w:val="none" w:sz="0" w:space="0" w:color="auto"/>
                        <w:bottom w:val="none" w:sz="0" w:space="0" w:color="auto"/>
                        <w:right w:val="none" w:sz="0" w:space="0" w:color="auto"/>
                      </w:divBdr>
                    </w:div>
                  </w:divsChild>
                </w:div>
                <w:div w:id="1119909004">
                  <w:marLeft w:val="0"/>
                  <w:marRight w:val="0"/>
                  <w:marTop w:val="0"/>
                  <w:marBottom w:val="0"/>
                  <w:divBdr>
                    <w:top w:val="none" w:sz="0" w:space="0" w:color="auto"/>
                    <w:left w:val="none" w:sz="0" w:space="0" w:color="auto"/>
                    <w:bottom w:val="none" w:sz="0" w:space="0" w:color="auto"/>
                    <w:right w:val="none" w:sz="0" w:space="0" w:color="auto"/>
                  </w:divBdr>
                  <w:divsChild>
                    <w:div w:id="1481575713">
                      <w:marLeft w:val="0"/>
                      <w:marRight w:val="0"/>
                      <w:marTop w:val="0"/>
                      <w:marBottom w:val="0"/>
                      <w:divBdr>
                        <w:top w:val="none" w:sz="0" w:space="0" w:color="auto"/>
                        <w:left w:val="none" w:sz="0" w:space="0" w:color="auto"/>
                        <w:bottom w:val="none" w:sz="0" w:space="0" w:color="auto"/>
                        <w:right w:val="none" w:sz="0" w:space="0" w:color="auto"/>
                      </w:divBdr>
                    </w:div>
                  </w:divsChild>
                </w:div>
                <w:div w:id="1141074461">
                  <w:marLeft w:val="0"/>
                  <w:marRight w:val="0"/>
                  <w:marTop w:val="0"/>
                  <w:marBottom w:val="0"/>
                  <w:divBdr>
                    <w:top w:val="none" w:sz="0" w:space="0" w:color="auto"/>
                    <w:left w:val="none" w:sz="0" w:space="0" w:color="auto"/>
                    <w:bottom w:val="none" w:sz="0" w:space="0" w:color="auto"/>
                    <w:right w:val="none" w:sz="0" w:space="0" w:color="auto"/>
                  </w:divBdr>
                  <w:divsChild>
                    <w:div w:id="130632117">
                      <w:marLeft w:val="0"/>
                      <w:marRight w:val="0"/>
                      <w:marTop w:val="0"/>
                      <w:marBottom w:val="0"/>
                      <w:divBdr>
                        <w:top w:val="none" w:sz="0" w:space="0" w:color="auto"/>
                        <w:left w:val="none" w:sz="0" w:space="0" w:color="auto"/>
                        <w:bottom w:val="none" w:sz="0" w:space="0" w:color="auto"/>
                        <w:right w:val="none" w:sz="0" w:space="0" w:color="auto"/>
                      </w:divBdr>
                    </w:div>
                  </w:divsChild>
                </w:div>
                <w:div w:id="1159809956">
                  <w:marLeft w:val="0"/>
                  <w:marRight w:val="0"/>
                  <w:marTop w:val="0"/>
                  <w:marBottom w:val="0"/>
                  <w:divBdr>
                    <w:top w:val="none" w:sz="0" w:space="0" w:color="auto"/>
                    <w:left w:val="none" w:sz="0" w:space="0" w:color="auto"/>
                    <w:bottom w:val="none" w:sz="0" w:space="0" w:color="auto"/>
                    <w:right w:val="none" w:sz="0" w:space="0" w:color="auto"/>
                  </w:divBdr>
                  <w:divsChild>
                    <w:div w:id="678775685">
                      <w:marLeft w:val="0"/>
                      <w:marRight w:val="0"/>
                      <w:marTop w:val="0"/>
                      <w:marBottom w:val="0"/>
                      <w:divBdr>
                        <w:top w:val="none" w:sz="0" w:space="0" w:color="auto"/>
                        <w:left w:val="none" w:sz="0" w:space="0" w:color="auto"/>
                        <w:bottom w:val="none" w:sz="0" w:space="0" w:color="auto"/>
                        <w:right w:val="none" w:sz="0" w:space="0" w:color="auto"/>
                      </w:divBdr>
                    </w:div>
                  </w:divsChild>
                </w:div>
                <w:div w:id="1172909539">
                  <w:marLeft w:val="0"/>
                  <w:marRight w:val="0"/>
                  <w:marTop w:val="0"/>
                  <w:marBottom w:val="0"/>
                  <w:divBdr>
                    <w:top w:val="none" w:sz="0" w:space="0" w:color="auto"/>
                    <w:left w:val="none" w:sz="0" w:space="0" w:color="auto"/>
                    <w:bottom w:val="none" w:sz="0" w:space="0" w:color="auto"/>
                    <w:right w:val="none" w:sz="0" w:space="0" w:color="auto"/>
                  </w:divBdr>
                  <w:divsChild>
                    <w:div w:id="72364087">
                      <w:marLeft w:val="0"/>
                      <w:marRight w:val="0"/>
                      <w:marTop w:val="0"/>
                      <w:marBottom w:val="0"/>
                      <w:divBdr>
                        <w:top w:val="none" w:sz="0" w:space="0" w:color="auto"/>
                        <w:left w:val="none" w:sz="0" w:space="0" w:color="auto"/>
                        <w:bottom w:val="none" w:sz="0" w:space="0" w:color="auto"/>
                        <w:right w:val="none" w:sz="0" w:space="0" w:color="auto"/>
                      </w:divBdr>
                    </w:div>
                  </w:divsChild>
                </w:div>
                <w:div w:id="1181043740">
                  <w:marLeft w:val="0"/>
                  <w:marRight w:val="0"/>
                  <w:marTop w:val="0"/>
                  <w:marBottom w:val="0"/>
                  <w:divBdr>
                    <w:top w:val="none" w:sz="0" w:space="0" w:color="auto"/>
                    <w:left w:val="none" w:sz="0" w:space="0" w:color="auto"/>
                    <w:bottom w:val="none" w:sz="0" w:space="0" w:color="auto"/>
                    <w:right w:val="none" w:sz="0" w:space="0" w:color="auto"/>
                  </w:divBdr>
                  <w:divsChild>
                    <w:div w:id="1589461932">
                      <w:marLeft w:val="0"/>
                      <w:marRight w:val="0"/>
                      <w:marTop w:val="0"/>
                      <w:marBottom w:val="0"/>
                      <w:divBdr>
                        <w:top w:val="none" w:sz="0" w:space="0" w:color="auto"/>
                        <w:left w:val="none" w:sz="0" w:space="0" w:color="auto"/>
                        <w:bottom w:val="none" w:sz="0" w:space="0" w:color="auto"/>
                        <w:right w:val="none" w:sz="0" w:space="0" w:color="auto"/>
                      </w:divBdr>
                    </w:div>
                  </w:divsChild>
                </w:div>
                <w:div w:id="1195072814">
                  <w:marLeft w:val="0"/>
                  <w:marRight w:val="0"/>
                  <w:marTop w:val="0"/>
                  <w:marBottom w:val="0"/>
                  <w:divBdr>
                    <w:top w:val="none" w:sz="0" w:space="0" w:color="auto"/>
                    <w:left w:val="none" w:sz="0" w:space="0" w:color="auto"/>
                    <w:bottom w:val="none" w:sz="0" w:space="0" w:color="auto"/>
                    <w:right w:val="none" w:sz="0" w:space="0" w:color="auto"/>
                  </w:divBdr>
                  <w:divsChild>
                    <w:div w:id="295376586">
                      <w:marLeft w:val="0"/>
                      <w:marRight w:val="0"/>
                      <w:marTop w:val="0"/>
                      <w:marBottom w:val="0"/>
                      <w:divBdr>
                        <w:top w:val="none" w:sz="0" w:space="0" w:color="auto"/>
                        <w:left w:val="none" w:sz="0" w:space="0" w:color="auto"/>
                        <w:bottom w:val="none" w:sz="0" w:space="0" w:color="auto"/>
                        <w:right w:val="none" w:sz="0" w:space="0" w:color="auto"/>
                      </w:divBdr>
                    </w:div>
                  </w:divsChild>
                </w:div>
                <w:div w:id="1219827656">
                  <w:marLeft w:val="0"/>
                  <w:marRight w:val="0"/>
                  <w:marTop w:val="0"/>
                  <w:marBottom w:val="0"/>
                  <w:divBdr>
                    <w:top w:val="none" w:sz="0" w:space="0" w:color="auto"/>
                    <w:left w:val="none" w:sz="0" w:space="0" w:color="auto"/>
                    <w:bottom w:val="none" w:sz="0" w:space="0" w:color="auto"/>
                    <w:right w:val="none" w:sz="0" w:space="0" w:color="auto"/>
                  </w:divBdr>
                  <w:divsChild>
                    <w:div w:id="76902256">
                      <w:marLeft w:val="0"/>
                      <w:marRight w:val="0"/>
                      <w:marTop w:val="0"/>
                      <w:marBottom w:val="0"/>
                      <w:divBdr>
                        <w:top w:val="none" w:sz="0" w:space="0" w:color="auto"/>
                        <w:left w:val="none" w:sz="0" w:space="0" w:color="auto"/>
                        <w:bottom w:val="none" w:sz="0" w:space="0" w:color="auto"/>
                        <w:right w:val="none" w:sz="0" w:space="0" w:color="auto"/>
                      </w:divBdr>
                    </w:div>
                  </w:divsChild>
                </w:div>
                <w:div w:id="1224488381">
                  <w:marLeft w:val="0"/>
                  <w:marRight w:val="0"/>
                  <w:marTop w:val="0"/>
                  <w:marBottom w:val="0"/>
                  <w:divBdr>
                    <w:top w:val="none" w:sz="0" w:space="0" w:color="auto"/>
                    <w:left w:val="none" w:sz="0" w:space="0" w:color="auto"/>
                    <w:bottom w:val="none" w:sz="0" w:space="0" w:color="auto"/>
                    <w:right w:val="none" w:sz="0" w:space="0" w:color="auto"/>
                  </w:divBdr>
                  <w:divsChild>
                    <w:div w:id="496261932">
                      <w:marLeft w:val="0"/>
                      <w:marRight w:val="0"/>
                      <w:marTop w:val="0"/>
                      <w:marBottom w:val="0"/>
                      <w:divBdr>
                        <w:top w:val="none" w:sz="0" w:space="0" w:color="auto"/>
                        <w:left w:val="none" w:sz="0" w:space="0" w:color="auto"/>
                        <w:bottom w:val="none" w:sz="0" w:space="0" w:color="auto"/>
                        <w:right w:val="none" w:sz="0" w:space="0" w:color="auto"/>
                      </w:divBdr>
                    </w:div>
                  </w:divsChild>
                </w:div>
                <w:div w:id="1264604340">
                  <w:marLeft w:val="0"/>
                  <w:marRight w:val="0"/>
                  <w:marTop w:val="0"/>
                  <w:marBottom w:val="0"/>
                  <w:divBdr>
                    <w:top w:val="none" w:sz="0" w:space="0" w:color="auto"/>
                    <w:left w:val="none" w:sz="0" w:space="0" w:color="auto"/>
                    <w:bottom w:val="none" w:sz="0" w:space="0" w:color="auto"/>
                    <w:right w:val="none" w:sz="0" w:space="0" w:color="auto"/>
                  </w:divBdr>
                  <w:divsChild>
                    <w:div w:id="479538368">
                      <w:marLeft w:val="0"/>
                      <w:marRight w:val="0"/>
                      <w:marTop w:val="0"/>
                      <w:marBottom w:val="0"/>
                      <w:divBdr>
                        <w:top w:val="none" w:sz="0" w:space="0" w:color="auto"/>
                        <w:left w:val="none" w:sz="0" w:space="0" w:color="auto"/>
                        <w:bottom w:val="none" w:sz="0" w:space="0" w:color="auto"/>
                        <w:right w:val="none" w:sz="0" w:space="0" w:color="auto"/>
                      </w:divBdr>
                    </w:div>
                  </w:divsChild>
                </w:div>
                <w:div w:id="1275096953">
                  <w:marLeft w:val="0"/>
                  <w:marRight w:val="0"/>
                  <w:marTop w:val="0"/>
                  <w:marBottom w:val="0"/>
                  <w:divBdr>
                    <w:top w:val="none" w:sz="0" w:space="0" w:color="auto"/>
                    <w:left w:val="none" w:sz="0" w:space="0" w:color="auto"/>
                    <w:bottom w:val="none" w:sz="0" w:space="0" w:color="auto"/>
                    <w:right w:val="none" w:sz="0" w:space="0" w:color="auto"/>
                  </w:divBdr>
                  <w:divsChild>
                    <w:div w:id="1113746408">
                      <w:marLeft w:val="0"/>
                      <w:marRight w:val="0"/>
                      <w:marTop w:val="0"/>
                      <w:marBottom w:val="0"/>
                      <w:divBdr>
                        <w:top w:val="none" w:sz="0" w:space="0" w:color="auto"/>
                        <w:left w:val="none" w:sz="0" w:space="0" w:color="auto"/>
                        <w:bottom w:val="none" w:sz="0" w:space="0" w:color="auto"/>
                        <w:right w:val="none" w:sz="0" w:space="0" w:color="auto"/>
                      </w:divBdr>
                    </w:div>
                  </w:divsChild>
                </w:div>
                <w:div w:id="1285428017">
                  <w:marLeft w:val="0"/>
                  <w:marRight w:val="0"/>
                  <w:marTop w:val="0"/>
                  <w:marBottom w:val="0"/>
                  <w:divBdr>
                    <w:top w:val="none" w:sz="0" w:space="0" w:color="auto"/>
                    <w:left w:val="none" w:sz="0" w:space="0" w:color="auto"/>
                    <w:bottom w:val="none" w:sz="0" w:space="0" w:color="auto"/>
                    <w:right w:val="none" w:sz="0" w:space="0" w:color="auto"/>
                  </w:divBdr>
                  <w:divsChild>
                    <w:div w:id="389233557">
                      <w:marLeft w:val="0"/>
                      <w:marRight w:val="0"/>
                      <w:marTop w:val="0"/>
                      <w:marBottom w:val="0"/>
                      <w:divBdr>
                        <w:top w:val="none" w:sz="0" w:space="0" w:color="auto"/>
                        <w:left w:val="none" w:sz="0" w:space="0" w:color="auto"/>
                        <w:bottom w:val="none" w:sz="0" w:space="0" w:color="auto"/>
                        <w:right w:val="none" w:sz="0" w:space="0" w:color="auto"/>
                      </w:divBdr>
                    </w:div>
                  </w:divsChild>
                </w:div>
                <w:div w:id="1296106578">
                  <w:marLeft w:val="0"/>
                  <w:marRight w:val="0"/>
                  <w:marTop w:val="0"/>
                  <w:marBottom w:val="0"/>
                  <w:divBdr>
                    <w:top w:val="none" w:sz="0" w:space="0" w:color="auto"/>
                    <w:left w:val="none" w:sz="0" w:space="0" w:color="auto"/>
                    <w:bottom w:val="none" w:sz="0" w:space="0" w:color="auto"/>
                    <w:right w:val="none" w:sz="0" w:space="0" w:color="auto"/>
                  </w:divBdr>
                  <w:divsChild>
                    <w:div w:id="455295663">
                      <w:marLeft w:val="0"/>
                      <w:marRight w:val="0"/>
                      <w:marTop w:val="0"/>
                      <w:marBottom w:val="0"/>
                      <w:divBdr>
                        <w:top w:val="none" w:sz="0" w:space="0" w:color="auto"/>
                        <w:left w:val="none" w:sz="0" w:space="0" w:color="auto"/>
                        <w:bottom w:val="none" w:sz="0" w:space="0" w:color="auto"/>
                        <w:right w:val="none" w:sz="0" w:space="0" w:color="auto"/>
                      </w:divBdr>
                    </w:div>
                  </w:divsChild>
                </w:div>
                <w:div w:id="1309439338">
                  <w:marLeft w:val="0"/>
                  <w:marRight w:val="0"/>
                  <w:marTop w:val="0"/>
                  <w:marBottom w:val="0"/>
                  <w:divBdr>
                    <w:top w:val="none" w:sz="0" w:space="0" w:color="auto"/>
                    <w:left w:val="none" w:sz="0" w:space="0" w:color="auto"/>
                    <w:bottom w:val="none" w:sz="0" w:space="0" w:color="auto"/>
                    <w:right w:val="none" w:sz="0" w:space="0" w:color="auto"/>
                  </w:divBdr>
                  <w:divsChild>
                    <w:div w:id="1580092360">
                      <w:marLeft w:val="0"/>
                      <w:marRight w:val="0"/>
                      <w:marTop w:val="0"/>
                      <w:marBottom w:val="0"/>
                      <w:divBdr>
                        <w:top w:val="none" w:sz="0" w:space="0" w:color="auto"/>
                        <w:left w:val="none" w:sz="0" w:space="0" w:color="auto"/>
                        <w:bottom w:val="none" w:sz="0" w:space="0" w:color="auto"/>
                        <w:right w:val="none" w:sz="0" w:space="0" w:color="auto"/>
                      </w:divBdr>
                    </w:div>
                  </w:divsChild>
                </w:div>
                <w:div w:id="1359086412">
                  <w:marLeft w:val="0"/>
                  <w:marRight w:val="0"/>
                  <w:marTop w:val="0"/>
                  <w:marBottom w:val="0"/>
                  <w:divBdr>
                    <w:top w:val="none" w:sz="0" w:space="0" w:color="auto"/>
                    <w:left w:val="none" w:sz="0" w:space="0" w:color="auto"/>
                    <w:bottom w:val="none" w:sz="0" w:space="0" w:color="auto"/>
                    <w:right w:val="none" w:sz="0" w:space="0" w:color="auto"/>
                  </w:divBdr>
                  <w:divsChild>
                    <w:div w:id="1527911911">
                      <w:marLeft w:val="0"/>
                      <w:marRight w:val="0"/>
                      <w:marTop w:val="0"/>
                      <w:marBottom w:val="0"/>
                      <w:divBdr>
                        <w:top w:val="none" w:sz="0" w:space="0" w:color="auto"/>
                        <w:left w:val="none" w:sz="0" w:space="0" w:color="auto"/>
                        <w:bottom w:val="none" w:sz="0" w:space="0" w:color="auto"/>
                        <w:right w:val="none" w:sz="0" w:space="0" w:color="auto"/>
                      </w:divBdr>
                    </w:div>
                  </w:divsChild>
                </w:div>
                <w:div w:id="1372608638">
                  <w:marLeft w:val="0"/>
                  <w:marRight w:val="0"/>
                  <w:marTop w:val="0"/>
                  <w:marBottom w:val="0"/>
                  <w:divBdr>
                    <w:top w:val="none" w:sz="0" w:space="0" w:color="auto"/>
                    <w:left w:val="none" w:sz="0" w:space="0" w:color="auto"/>
                    <w:bottom w:val="none" w:sz="0" w:space="0" w:color="auto"/>
                    <w:right w:val="none" w:sz="0" w:space="0" w:color="auto"/>
                  </w:divBdr>
                  <w:divsChild>
                    <w:div w:id="785349523">
                      <w:marLeft w:val="0"/>
                      <w:marRight w:val="0"/>
                      <w:marTop w:val="0"/>
                      <w:marBottom w:val="0"/>
                      <w:divBdr>
                        <w:top w:val="none" w:sz="0" w:space="0" w:color="auto"/>
                        <w:left w:val="none" w:sz="0" w:space="0" w:color="auto"/>
                        <w:bottom w:val="none" w:sz="0" w:space="0" w:color="auto"/>
                        <w:right w:val="none" w:sz="0" w:space="0" w:color="auto"/>
                      </w:divBdr>
                    </w:div>
                  </w:divsChild>
                </w:div>
                <w:div w:id="1382944256">
                  <w:marLeft w:val="0"/>
                  <w:marRight w:val="0"/>
                  <w:marTop w:val="0"/>
                  <w:marBottom w:val="0"/>
                  <w:divBdr>
                    <w:top w:val="none" w:sz="0" w:space="0" w:color="auto"/>
                    <w:left w:val="none" w:sz="0" w:space="0" w:color="auto"/>
                    <w:bottom w:val="none" w:sz="0" w:space="0" w:color="auto"/>
                    <w:right w:val="none" w:sz="0" w:space="0" w:color="auto"/>
                  </w:divBdr>
                  <w:divsChild>
                    <w:div w:id="617760041">
                      <w:marLeft w:val="0"/>
                      <w:marRight w:val="0"/>
                      <w:marTop w:val="0"/>
                      <w:marBottom w:val="0"/>
                      <w:divBdr>
                        <w:top w:val="none" w:sz="0" w:space="0" w:color="auto"/>
                        <w:left w:val="none" w:sz="0" w:space="0" w:color="auto"/>
                        <w:bottom w:val="none" w:sz="0" w:space="0" w:color="auto"/>
                        <w:right w:val="none" w:sz="0" w:space="0" w:color="auto"/>
                      </w:divBdr>
                    </w:div>
                  </w:divsChild>
                </w:div>
                <w:div w:id="1385833715">
                  <w:marLeft w:val="0"/>
                  <w:marRight w:val="0"/>
                  <w:marTop w:val="0"/>
                  <w:marBottom w:val="0"/>
                  <w:divBdr>
                    <w:top w:val="none" w:sz="0" w:space="0" w:color="auto"/>
                    <w:left w:val="none" w:sz="0" w:space="0" w:color="auto"/>
                    <w:bottom w:val="none" w:sz="0" w:space="0" w:color="auto"/>
                    <w:right w:val="none" w:sz="0" w:space="0" w:color="auto"/>
                  </w:divBdr>
                  <w:divsChild>
                    <w:div w:id="1581521203">
                      <w:marLeft w:val="0"/>
                      <w:marRight w:val="0"/>
                      <w:marTop w:val="0"/>
                      <w:marBottom w:val="0"/>
                      <w:divBdr>
                        <w:top w:val="none" w:sz="0" w:space="0" w:color="auto"/>
                        <w:left w:val="none" w:sz="0" w:space="0" w:color="auto"/>
                        <w:bottom w:val="none" w:sz="0" w:space="0" w:color="auto"/>
                        <w:right w:val="none" w:sz="0" w:space="0" w:color="auto"/>
                      </w:divBdr>
                    </w:div>
                  </w:divsChild>
                </w:div>
                <w:div w:id="1404136832">
                  <w:marLeft w:val="0"/>
                  <w:marRight w:val="0"/>
                  <w:marTop w:val="0"/>
                  <w:marBottom w:val="0"/>
                  <w:divBdr>
                    <w:top w:val="none" w:sz="0" w:space="0" w:color="auto"/>
                    <w:left w:val="none" w:sz="0" w:space="0" w:color="auto"/>
                    <w:bottom w:val="none" w:sz="0" w:space="0" w:color="auto"/>
                    <w:right w:val="none" w:sz="0" w:space="0" w:color="auto"/>
                  </w:divBdr>
                  <w:divsChild>
                    <w:div w:id="1186745745">
                      <w:marLeft w:val="0"/>
                      <w:marRight w:val="0"/>
                      <w:marTop w:val="0"/>
                      <w:marBottom w:val="0"/>
                      <w:divBdr>
                        <w:top w:val="none" w:sz="0" w:space="0" w:color="auto"/>
                        <w:left w:val="none" w:sz="0" w:space="0" w:color="auto"/>
                        <w:bottom w:val="none" w:sz="0" w:space="0" w:color="auto"/>
                        <w:right w:val="none" w:sz="0" w:space="0" w:color="auto"/>
                      </w:divBdr>
                    </w:div>
                  </w:divsChild>
                </w:div>
                <w:div w:id="1405756568">
                  <w:marLeft w:val="0"/>
                  <w:marRight w:val="0"/>
                  <w:marTop w:val="0"/>
                  <w:marBottom w:val="0"/>
                  <w:divBdr>
                    <w:top w:val="none" w:sz="0" w:space="0" w:color="auto"/>
                    <w:left w:val="none" w:sz="0" w:space="0" w:color="auto"/>
                    <w:bottom w:val="none" w:sz="0" w:space="0" w:color="auto"/>
                    <w:right w:val="none" w:sz="0" w:space="0" w:color="auto"/>
                  </w:divBdr>
                  <w:divsChild>
                    <w:div w:id="1821144124">
                      <w:marLeft w:val="0"/>
                      <w:marRight w:val="0"/>
                      <w:marTop w:val="0"/>
                      <w:marBottom w:val="0"/>
                      <w:divBdr>
                        <w:top w:val="none" w:sz="0" w:space="0" w:color="auto"/>
                        <w:left w:val="none" w:sz="0" w:space="0" w:color="auto"/>
                        <w:bottom w:val="none" w:sz="0" w:space="0" w:color="auto"/>
                        <w:right w:val="none" w:sz="0" w:space="0" w:color="auto"/>
                      </w:divBdr>
                    </w:div>
                  </w:divsChild>
                </w:div>
                <w:div w:id="1411343628">
                  <w:marLeft w:val="0"/>
                  <w:marRight w:val="0"/>
                  <w:marTop w:val="0"/>
                  <w:marBottom w:val="0"/>
                  <w:divBdr>
                    <w:top w:val="none" w:sz="0" w:space="0" w:color="auto"/>
                    <w:left w:val="none" w:sz="0" w:space="0" w:color="auto"/>
                    <w:bottom w:val="none" w:sz="0" w:space="0" w:color="auto"/>
                    <w:right w:val="none" w:sz="0" w:space="0" w:color="auto"/>
                  </w:divBdr>
                  <w:divsChild>
                    <w:div w:id="91972323">
                      <w:marLeft w:val="0"/>
                      <w:marRight w:val="0"/>
                      <w:marTop w:val="0"/>
                      <w:marBottom w:val="0"/>
                      <w:divBdr>
                        <w:top w:val="none" w:sz="0" w:space="0" w:color="auto"/>
                        <w:left w:val="none" w:sz="0" w:space="0" w:color="auto"/>
                        <w:bottom w:val="none" w:sz="0" w:space="0" w:color="auto"/>
                        <w:right w:val="none" w:sz="0" w:space="0" w:color="auto"/>
                      </w:divBdr>
                    </w:div>
                  </w:divsChild>
                </w:div>
                <w:div w:id="1432965607">
                  <w:marLeft w:val="0"/>
                  <w:marRight w:val="0"/>
                  <w:marTop w:val="0"/>
                  <w:marBottom w:val="0"/>
                  <w:divBdr>
                    <w:top w:val="none" w:sz="0" w:space="0" w:color="auto"/>
                    <w:left w:val="none" w:sz="0" w:space="0" w:color="auto"/>
                    <w:bottom w:val="none" w:sz="0" w:space="0" w:color="auto"/>
                    <w:right w:val="none" w:sz="0" w:space="0" w:color="auto"/>
                  </w:divBdr>
                  <w:divsChild>
                    <w:div w:id="824587350">
                      <w:marLeft w:val="0"/>
                      <w:marRight w:val="0"/>
                      <w:marTop w:val="0"/>
                      <w:marBottom w:val="0"/>
                      <w:divBdr>
                        <w:top w:val="none" w:sz="0" w:space="0" w:color="auto"/>
                        <w:left w:val="none" w:sz="0" w:space="0" w:color="auto"/>
                        <w:bottom w:val="none" w:sz="0" w:space="0" w:color="auto"/>
                        <w:right w:val="none" w:sz="0" w:space="0" w:color="auto"/>
                      </w:divBdr>
                    </w:div>
                  </w:divsChild>
                </w:div>
                <w:div w:id="1436093640">
                  <w:marLeft w:val="0"/>
                  <w:marRight w:val="0"/>
                  <w:marTop w:val="0"/>
                  <w:marBottom w:val="0"/>
                  <w:divBdr>
                    <w:top w:val="none" w:sz="0" w:space="0" w:color="auto"/>
                    <w:left w:val="none" w:sz="0" w:space="0" w:color="auto"/>
                    <w:bottom w:val="none" w:sz="0" w:space="0" w:color="auto"/>
                    <w:right w:val="none" w:sz="0" w:space="0" w:color="auto"/>
                  </w:divBdr>
                  <w:divsChild>
                    <w:div w:id="1813060675">
                      <w:marLeft w:val="0"/>
                      <w:marRight w:val="0"/>
                      <w:marTop w:val="0"/>
                      <w:marBottom w:val="0"/>
                      <w:divBdr>
                        <w:top w:val="none" w:sz="0" w:space="0" w:color="auto"/>
                        <w:left w:val="none" w:sz="0" w:space="0" w:color="auto"/>
                        <w:bottom w:val="none" w:sz="0" w:space="0" w:color="auto"/>
                        <w:right w:val="none" w:sz="0" w:space="0" w:color="auto"/>
                      </w:divBdr>
                    </w:div>
                  </w:divsChild>
                </w:div>
                <w:div w:id="1437943415">
                  <w:marLeft w:val="0"/>
                  <w:marRight w:val="0"/>
                  <w:marTop w:val="0"/>
                  <w:marBottom w:val="0"/>
                  <w:divBdr>
                    <w:top w:val="none" w:sz="0" w:space="0" w:color="auto"/>
                    <w:left w:val="none" w:sz="0" w:space="0" w:color="auto"/>
                    <w:bottom w:val="none" w:sz="0" w:space="0" w:color="auto"/>
                    <w:right w:val="none" w:sz="0" w:space="0" w:color="auto"/>
                  </w:divBdr>
                  <w:divsChild>
                    <w:div w:id="2023437391">
                      <w:marLeft w:val="0"/>
                      <w:marRight w:val="0"/>
                      <w:marTop w:val="0"/>
                      <w:marBottom w:val="0"/>
                      <w:divBdr>
                        <w:top w:val="none" w:sz="0" w:space="0" w:color="auto"/>
                        <w:left w:val="none" w:sz="0" w:space="0" w:color="auto"/>
                        <w:bottom w:val="none" w:sz="0" w:space="0" w:color="auto"/>
                        <w:right w:val="none" w:sz="0" w:space="0" w:color="auto"/>
                      </w:divBdr>
                    </w:div>
                  </w:divsChild>
                </w:div>
                <w:div w:id="1453206665">
                  <w:marLeft w:val="0"/>
                  <w:marRight w:val="0"/>
                  <w:marTop w:val="0"/>
                  <w:marBottom w:val="0"/>
                  <w:divBdr>
                    <w:top w:val="none" w:sz="0" w:space="0" w:color="auto"/>
                    <w:left w:val="none" w:sz="0" w:space="0" w:color="auto"/>
                    <w:bottom w:val="none" w:sz="0" w:space="0" w:color="auto"/>
                    <w:right w:val="none" w:sz="0" w:space="0" w:color="auto"/>
                  </w:divBdr>
                  <w:divsChild>
                    <w:div w:id="2064523132">
                      <w:marLeft w:val="0"/>
                      <w:marRight w:val="0"/>
                      <w:marTop w:val="0"/>
                      <w:marBottom w:val="0"/>
                      <w:divBdr>
                        <w:top w:val="none" w:sz="0" w:space="0" w:color="auto"/>
                        <w:left w:val="none" w:sz="0" w:space="0" w:color="auto"/>
                        <w:bottom w:val="none" w:sz="0" w:space="0" w:color="auto"/>
                        <w:right w:val="none" w:sz="0" w:space="0" w:color="auto"/>
                      </w:divBdr>
                    </w:div>
                  </w:divsChild>
                </w:div>
                <w:div w:id="1455976181">
                  <w:marLeft w:val="0"/>
                  <w:marRight w:val="0"/>
                  <w:marTop w:val="0"/>
                  <w:marBottom w:val="0"/>
                  <w:divBdr>
                    <w:top w:val="none" w:sz="0" w:space="0" w:color="auto"/>
                    <w:left w:val="none" w:sz="0" w:space="0" w:color="auto"/>
                    <w:bottom w:val="none" w:sz="0" w:space="0" w:color="auto"/>
                    <w:right w:val="none" w:sz="0" w:space="0" w:color="auto"/>
                  </w:divBdr>
                  <w:divsChild>
                    <w:div w:id="999045149">
                      <w:marLeft w:val="0"/>
                      <w:marRight w:val="0"/>
                      <w:marTop w:val="0"/>
                      <w:marBottom w:val="0"/>
                      <w:divBdr>
                        <w:top w:val="none" w:sz="0" w:space="0" w:color="auto"/>
                        <w:left w:val="none" w:sz="0" w:space="0" w:color="auto"/>
                        <w:bottom w:val="none" w:sz="0" w:space="0" w:color="auto"/>
                        <w:right w:val="none" w:sz="0" w:space="0" w:color="auto"/>
                      </w:divBdr>
                    </w:div>
                  </w:divsChild>
                </w:div>
                <w:div w:id="1462578696">
                  <w:marLeft w:val="0"/>
                  <w:marRight w:val="0"/>
                  <w:marTop w:val="0"/>
                  <w:marBottom w:val="0"/>
                  <w:divBdr>
                    <w:top w:val="none" w:sz="0" w:space="0" w:color="auto"/>
                    <w:left w:val="none" w:sz="0" w:space="0" w:color="auto"/>
                    <w:bottom w:val="none" w:sz="0" w:space="0" w:color="auto"/>
                    <w:right w:val="none" w:sz="0" w:space="0" w:color="auto"/>
                  </w:divBdr>
                  <w:divsChild>
                    <w:div w:id="1177187939">
                      <w:marLeft w:val="0"/>
                      <w:marRight w:val="0"/>
                      <w:marTop w:val="0"/>
                      <w:marBottom w:val="0"/>
                      <w:divBdr>
                        <w:top w:val="none" w:sz="0" w:space="0" w:color="auto"/>
                        <w:left w:val="none" w:sz="0" w:space="0" w:color="auto"/>
                        <w:bottom w:val="none" w:sz="0" w:space="0" w:color="auto"/>
                        <w:right w:val="none" w:sz="0" w:space="0" w:color="auto"/>
                      </w:divBdr>
                    </w:div>
                  </w:divsChild>
                </w:div>
                <w:div w:id="1482426144">
                  <w:marLeft w:val="0"/>
                  <w:marRight w:val="0"/>
                  <w:marTop w:val="0"/>
                  <w:marBottom w:val="0"/>
                  <w:divBdr>
                    <w:top w:val="none" w:sz="0" w:space="0" w:color="auto"/>
                    <w:left w:val="none" w:sz="0" w:space="0" w:color="auto"/>
                    <w:bottom w:val="none" w:sz="0" w:space="0" w:color="auto"/>
                    <w:right w:val="none" w:sz="0" w:space="0" w:color="auto"/>
                  </w:divBdr>
                  <w:divsChild>
                    <w:div w:id="80224137">
                      <w:marLeft w:val="0"/>
                      <w:marRight w:val="0"/>
                      <w:marTop w:val="0"/>
                      <w:marBottom w:val="0"/>
                      <w:divBdr>
                        <w:top w:val="none" w:sz="0" w:space="0" w:color="auto"/>
                        <w:left w:val="none" w:sz="0" w:space="0" w:color="auto"/>
                        <w:bottom w:val="none" w:sz="0" w:space="0" w:color="auto"/>
                        <w:right w:val="none" w:sz="0" w:space="0" w:color="auto"/>
                      </w:divBdr>
                    </w:div>
                  </w:divsChild>
                </w:div>
                <w:div w:id="1484003783">
                  <w:marLeft w:val="0"/>
                  <w:marRight w:val="0"/>
                  <w:marTop w:val="0"/>
                  <w:marBottom w:val="0"/>
                  <w:divBdr>
                    <w:top w:val="none" w:sz="0" w:space="0" w:color="auto"/>
                    <w:left w:val="none" w:sz="0" w:space="0" w:color="auto"/>
                    <w:bottom w:val="none" w:sz="0" w:space="0" w:color="auto"/>
                    <w:right w:val="none" w:sz="0" w:space="0" w:color="auto"/>
                  </w:divBdr>
                  <w:divsChild>
                    <w:div w:id="175194039">
                      <w:marLeft w:val="0"/>
                      <w:marRight w:val="0"/>
                      <w:marTop w:val="0"/>
                      <w:marBottom w:val="0"/>
                      <w:divBdr>
                        <w:top w:val="none" w:sz="0" w:space="0" w:color="auto"/>
                        <w:left w:val="none" w:sz="0" w:space="0" w:color="auto"/>
                        <w:bottom w:val="none" w:sz="0" w:space="0" w:color="auto"/>
                        <w:right w:val="none" w:sz="0" w:space="0" w:color="auto"/>
                      </w:divBdr>
                    </w:div>
                  </w:divsChild>
                </w:div>
                <w:div w:id="1494487565">
                  <w:marLeft w:val="0"/>
                  <w:marRight w:val="0"/>
                  <w:marTop w:val="0"/>
                  <w:marBottom w:val="0"/>
                  <w:divBdr>
                    <w:top w:val="none" w:sz="0" w:space="0" w:color="auto"/>
                    <w:left w:val="none" w:sz="0" w:space="0" w:color="auto"/>
                    <w:bottom w:val="none" w:sz="0" w:space="0" w:color="auto"/>
                    <w:right w:val="none" w:sz="0" w:space="0" w:color="auto"/>
                  </w:divBdr>
                  <w:divsChild>
                    <w:div w:id="719401733">
                      <w:marLeft w:val="0"/>
                      <w:marRight w:val="0"/>
                      <w:marTop w:val="0"/>
                      <w:marBottom w:val="0"/>
                      <w:divBdr>
                        <w:top w:val="none" w:sz="0" w:space="0" w:color="auto"/>
                        <w:left w:val="none" w:sz="0" w:space="0" w:color="auto"/>
                        <w:bottom w:val="none" w:sz="0" w:space="0" w:color="auto"/>
                        <w:right w:val="none" w:sz="0" w:space="0" w:color="auto"/>
                      </w:divBdr>
                    </w:div>
                  </w:divsChild>
                </w:div>
                <w:div w:id="1495756036">
                  <w:marLeft w:val="0"/>
                  <w:marRight w:val="0"/>
                  <w:marTop w:val="0"/>
                  <w:marBottom w:val="0"/>
                  <w:divBdr>
                    <w:top w:val="none" w:sz="0" w:space="0" w:color="auto"/>
                    <w:left w:val="none" w:sz="0" w:space="0" w:color="auto"/>
                    <w:bottom w:val="none" w:sz="0" w:space="0" w:color="auto"/>
                    <w:right w:val="none" w:sz="0" w:space="0" w:color="auto"/>
                  </w:divBdr>
                  <w:divsChild>
                    <w:div w:id="1888639058">
                      <w:marLeft w:val="0"/>
                      <w:marRight w:val="0"/>
                      <w:marTop w:val="0"/>
                      <w:marBottom w:val="0"/>
                      <w:divBdr>
                        <w:top w:val="none" w:sz="0" w:space="0" w:color="auto"/>
                        <w:left w:val="none" w:sz="0" w:space="0" w:color="auto"/>
                        <w:bottom w:val="none" w:sz="0" w:space="0" w:color="auto"/>
                        <w:right w:val="none" w:sz="0" w:space="0" w:color="auto"/>
                      </w:divBdr>
                    </w:div>
                  </w:divsChild>
                </w:div>
                <w:div w:id="1496535050">
                  <w:marLeft w:val="0"/>
                  <w:marRight w:val="0"/>
                  <w:marTop w:val="0"/>
                  <w:marBottom w:val="0"/>
                  <w:divBdr>
                    <w:top w:val="none" w:sz="0" w:space="0" w:color="auto"/>
                    <w:left w:val="none" w:sz="0" w:space="0" w:color="auto"/>
                    <w:bottom w:val="none" w:sz="0" w:space="0" w:color="auto"/>
                    <w:right w:val="none" w:sz="0" w:space="0" w:color="auto"/>
                  </w:divBdr>
                  <w:divsChild>
                    <w:div w:id="615411522">
                      <w:marLeft w:val="0"/>
                      <w:marRight w:val="0"/>
                      <w:marTop w:val="0"/>
                      <w:marBottom w:val="0"/>
                      <w:divBdr>
                        <w:top w:val="none" w:sz="0" w:space="0" w:color="auto"/>
                        <w:left w:val="none" w:sz="0" w:space="0" w:color="auto"/>
                        <w:bottom w:val="none" w:sz="0" w:space="0" w:color="auto"/>
                        <w:right w:val="none" w:sz="0" w:space="0" w:color="auto"/>
                      </w:divBdr>
                    </w:div>
                  </w:divsChild>
                </w:div>
                <w:div w:id="1498612478">
                  <w:marLeft w:val="0"/>
                  <w:marRight w:val="0"/>
                  <w:marTop w:val="0"/>
                  <w:marBottom w:val="0"/>
                  <w:divBdr>
                    <w:top w:val="none" w:sz="0" w:space="0" w:color="auto"/>
                    <w:left w:val="none" w:sz="0" w:space="0" w:color="auto"/>
                    <w:bottom w:val="none" w:sz="0" w:space="0" w:color="auto"/>
                    <w:right w:val="none" w:sz="0" w:space="0" w:color="auto"/>
                  </w:divBdr>
                  <w:divsChild>
                    <w:div w:id="1277058791">
                      <w:marLeft w:val="0"/>
                      <w:marRight w:val="0"/>
                      <w:marTop w:val="0"/>
                      <w:marBottom w:val="0"/>
                      <w:divBdr>
                        <w:top w:val="none" w:sz="0" w:space="0" w:color="auto"/>
                        <w:left w:val="none" w:sz="0" w:space="0" w:color="auto"/>
                        <w:bottom w:val="none" w:sz="0" w:space="0" w:color="auto"/>
                        <w:right w:val="none" w:sz="0" w:space="0" w:color="auto"/>
                      </w:divBdr>
                    </w:div>
                  </w:divsChild>
                </w:div>
                <w:div w:id="1510371865">
                  <w:marLeft w:val="0"/>
                  <w:marRight w:val="0"/>
                  <w:marTop w:val="0"/>
                  <w:marBottom w:val="0"/>
                  <w:divBdr>
                    <w:top w:val="none" w:sz="0" w:space="0" w:color="auto"/>
                    <w:left w:val="none" w:sz="0" w:space="0" w:color="auto"/>
                    <w:bottom w:val="none" w:sz="0" w:space="0" w:color="auto"/>
                    <w:right w:val="none" w:sz="0" w:space="0" w:color="auto"/>
                  </w:divBdr>
                  <w:divsChild>
                    <w:div w:id="944120980">
                      <w:marLeft w:val="0"/>
                      <w:marRight w:val="0"/>
                      <w:marTop w:val="0"/>
                      <w:marBottom w:val="0"/>
                      <w:divBdr>
                        <w:top w:val="none" w:sz="0" w:space="0" w:color="auto"/>
                        <w:left w:val="none" w:sz="0" w:space="0" w:color="auto"/>
                        <w:bottom w:val="none" w:sz="0" w:space="0" w:color="auto"/>
                        <w:right w:val="none" w:sz="0" w:space="0" w:color="auto"/>
                      </w:divBdr>
                    </w:div>
                  </w:divsChild>
                </w:div>
                <w:div w:id="1515413840">
                  <w:marLeft w:val="0"/>
                  <w:marRight w:val="0"/>
                  <w:marTop w:val="0"/>
                  <w:marBottom w:val="0"/>
                  <w:divBdr>
                    <w:top w:val="none" w:sz="0" w:space="0" w:color="auto"/>
                    <w:left w:val="none" w:sz="0" w:space="0" w:color="auto"/>
                    <w:bottom w:val="none" w:sz="0" w:space="0" w:color="auto"/>
                    <w:right w:val="none" w:sz="0" w:space="0" w:color="auto"/>
                  </w:divBdr>
                  <w:divsChild>
                    <w:div w:id="942878035">
                      <w:marLeft w:val="0"/>
                      <w:marRight w:val="0"/>
                      <w:marTop w:val="0"/>
                      <w:marBottom w:val="0"/>
                      <w:divBdr>
                        <w:top w:val="none" w:sz="0" w:space="0" w:color="auto"/>
                        <w:left w:val="none" w:sz="0" w:space="0" w:color="auto"/>
                        <w:bottom w:val="none" w:sz="0" w:space="0" w:color="auto"/>
                        <w:right w:val="none" w:sz="0" w:space="0" w:color="auto"/>
                      </w:divBdr>
                    </w:div>
                  </w:divsChild>
                </w:div>
                <w:div w:id="1516337830">
                  <w:marLeft w:val="0"/>
                  <w:marRight w:val="0"/>
                  <w:marTop w:val="0"/>
                  <w:marBottom w:val="0"/>
                  <w:divBdr>
                    <w:top w:val="none" w:sz="0" w:space="0" w:color="auto"/>
                    <w:left w:val="none" w:sz="0" w:space="0" w:color="auto"/>
                    <w:bottom w:val="none" w:sz="0" w:space="0" w:color="auto"/>
                    <w:right w:val="none" w:sz="0" w:space="0" w:color="auto"/>
                  </w:divBdr>
                  <w:divsChild>
                    <w:div w:id="1368918342">
                      <w:marLeft w:val="0"/>
                      <w:marRight w:val="0"/>
                      <w:marTop w:val="0"/>
                      <w:marBottom w:val="0"/>
                      <w:divBdr>
                        <w:top w:val="none" w:sz="0" w:space="0" w:color="auto"/>
                        <w:left w:val="none" w:sz="0" w:space="0" w:color="auto"/>
                        <w:bottom w:val="none" w:sz="0" w:space="0" w:color="auto"/>
                        <w:right w:val="none" w:sz="0" w:space="0" w:color="auto"/>
                      </w:divBdr>
                    </w:div>
                  </w:divsChild>
                </w:div>
                <w:div w:id="1553880787">
                  <w:marLeft w:val="0"/>
                  <w:marRight w:val="0"/>
                  <w:marTop w:val="0"/>
                  <w:marBottom w:val="0"/>
                  <w:divBdr>
                    <w:top w:val="none" w:sz="0" w:space="0" w:color="auto"/>
                    <w:left w:val="none" w:sz="0" w:space="0" w:color="auto"/>
                    <w:bottom w:val="none" w:sz="0" w:space="0" w:color="auto"/>
                    <w:right w:val="none" w:sz="0" w:space="0" w:color="auto"/>
                  </w:divBdr>
                  <w:divsChild>
                    <w:div w:id="1431318610">
                      <w:marLeft w:val="0"/>
                      <w:marRight w:val="0"/>
                      <w:marTop w:val="0"/>
                      <w:marBottom w:val="0"/>
                      <w:divBdr>
                        <w:top w:val="none" w:sz="0" w:space="0" w:color="auto"/>
                        <w:left w:val="none" w:sz="0" w:space="0" w:color="auto"/>
                        <w:bottom w:val="none" w:sz="0" w:space="0" w:color="auto"/>
                        <w:right w:val="none" w:sz="0" w:space="0" w:color="auto"/>
                      </w:divBdr>
                    </w:div>
                  </w:divsChild>
                </w:div>
                <w:div w:id="1560287501">
                  <w:marLeft w:val="0"/>
                  <w:marRight w:val="0"/>
                  <w:marTop w:val="0"/>
                  <w:marBottom w:val="0"/>
                  <w:divBdr>
                    <w:top w:val="none" w:sz="0" w:space="0" w:color="auto"/>
                    <w:left w:val="none" w:sz="0" w:space="0" w:color="auto"/>
                    <w:bottom w:val="none" w:sz="0" w:space="0" w:color="auto"/>
                    <w:right w:val="none" w:sz="0" w:space="0" w:color="auto"/>
                  </w:divBdr>
                  <w:divsChild>
                    <w:div w:id="884216899">
                      <w:marLeft w:val="0"/>
                      <w:marRight w:val="0"/>
                      <w:marTop w:val="0"/>
                      <w:marBottom w:val="0"/>
                      <w:divBdr>
                        <w:top w:val="none" w:sz="0" w:space="0" w:color="auto"/>
                        <w:left w:val="none" w:sz="0" w:space="0" w:color="auto"/>
                        <w:bottom w:val="none" w:sz="0" w:space="0" w:color="auto"/>
                        <w:right w:val="none" w:sz="0" w:space="0" w:color="auto"/>
                      </w:divBdr>
                    </w:div>
                  </w:divsChild>
                </w:div>
                <w:div w:id="1569418949">
                  <w:marLeft w:val="0"/>
                  <w:marRight w:val="0"/>
                  <w:marTop w:val="0"/>
                  <w:marBottom w:val="0"/>
                  <w:divBdr>
                    <w:top w:val="none" w:sz="0" w:space="0" w:color="auto"/>
                    <w:left w:val="none" w:sz="0" w:space="0" w:color="auto"/>
                    <w:bottom w:val="none" w:sz="0" w:space="0" w:color="auto"/>
                    <w:right w:val="none" w:sz="0" w:space="0" w:color="auto"/>
                  </w:divBdr>
                  <w:divsChild>
                    <w:div w:id="279729364">
                      <w:marLeft w:val="0"/>
                      <w:marRight w:val="0"/>
                      <w:marTop w:val="0"/>
                      <w:marBottom w:val="0"/>
                      <w:divBdr>
                        <w:top w:val="none" w:sz="0" w:space="0" w:color="auto"/>
                        <w:left w:val="none" w:sz="0" w:space="0" w:color="auto"/>
                        <w:bottom w:val="none" w:sz="0" w:space="0" w:color="auto"/>
                        <w:right w:val="none" w:sz="0" w:space="0" w:color="auto"/>
                      </w:divBdr>
                    </w:div>
                  </w:divsChild>
                </w:div>
                <w:div w:id="1581937881">
                  <w:marLeft w:val="0"/>
                  <w:marRight w:val="0"/>
                  <w:marTop w:val="0"/>
                  <w:marBottom w:val="0"/>
                  <w:divBdr>
                    <w:top w:val="none" w:sz="0" w:space="0" w:color="auto"/>
                    <w:left w:val="none" w:sz="0" w:space="0" w:color="auto"/>
                    <w:bottom w:val="none" w:sz="0" w:space="0" w:color="auto"/>
                    <w:right w:val="none" w:sz="0" w:space="0" w:color="auto"/>
                  </w:divBdr>
                  <w:divsChild>
                    <w:div w:id="417867020">
                      <w:marLeft w:val="0"/>
                      <w:marRight w:val="0"/>
                      <w:marTop w:val="0"/>
                      <w:marBottom w:val="0"/>
                      <w:divBdr>
                        <w:top w:val="none" w:sz="0" w:space="0" w:color="auto"/>
                        <w:left w:val="none" w:sz="0" w:space="0" w:color="auto"/>
                        <w:bottom w:val="none" w:sz="0" w:space="0" w:color="auto"/>
                        <w:right w:val="none" w:sz="0" w:space="0" w:color="auto"/>
                      </w:divBdr>
                    </w:div>
                  </w:divsChild>
                </w:div>
                <w:div w:id="1604268523">
                  <w:marLeft w:val="0"/>
                  <w:marRight w:val="0"/>
                  <w:marTop w:val="0"/>
                  <w:marBottom w:val="0"/>
                  <w:divBdr>
                    <w:top w:val="none" w:sz="0" w:space="0" w:color="auto"/>
                    <w:left w:val="none" w:sz="0" w:space="0" w:color="auto"/>
                    <w:bottom w:val="none" w:sz="0" w:space="0" w:color="auto"/>
                    <w:right w:val="none" w:sz="0" w:space="0" w:color="auto"/>
                  </w:divBdr>
                  <w:divsChild>
                    <w:div w:id="1740976921">
                      <w:marLeft w:val="0"/>
                      <w:marRight w:val="0"/>
                      <w:marTop w:val="0"/>
                      <w:marBottom w:val="0"/>
                      <w:divBdr>
                        <w:top w:val="none" w:sz="0" w:space="0" w:color="auto"/>
                        <w:left w:val="none" w:sz="0" w:space="0" w:color="auto"/>
                        <w:bottom w:val="none" w:sz="0" w:space="0" w:color="auto"/>
                        <w:right w:val="none" w:sz="0" w:space="0" w:color="auto"/>
                      </w:divBdr>
                    </w:div>
                  </w:divsChild>
                </w:div>
                <w:div w:id="1605531576">
                  <w:marLeft w:val="0"/>
                  <w:marRight w:val="0"/>
                  <w:marTop w:val="0"/>
                  <w:marBottom w:val="0"/>
                  <w:divBdr>
                    <w:top w:val="none" w:sz="0" w:space="0" w:color="auto"/>
                    <w:left w:val="none" w:sz="0" w:space="0" w:color="auto"/>
                    <w:bottom w:val="none" w:sz="0" w:space="0" w:color="auto"/>
                    <w:right w:val="none" w:sz="0" w:space="0" w:color="auto"/>
                  </w:divBdr>
                  <w:divsChild>
                    <w:div w:id="2004967950">
                      <w:marLeft w:val="0"/>
                      <w:marRight w:val="0"/>
                      <w:marTop w:val="0"/>
                      <w:marBottom w:val="0"/>
                      <w:divBdr>
                        <w:top w:val="none" w:sz="0" w:space="0" w:color="auto"/>
                        <w:left w:val="none" w:sz="0" w:space="0" w:color="auto"/>
                        <w:bottom w:val="none" w:sz="0" w:space="0" w:color="auto"/>
                        <w:right w:val="none" w:sz="0" w:space="0" w:color="auto"/>
                      </w:divBdr>
                    </w:div>
                  </w:divsChild>
                </w:div>
                <w:div w:id="1610089073">
                  <w:marLeft w:val="0"/>
                  <w:marRight w:val="0"/>
                  <w:marTop w:val="0"/>
                  <w:marBottom w:val="0"/>
                  <w:divBdr>
                    <w:top w:val="none" w:sz="0" w:space="0" w:color="auto"/>
                    <w:left w:val="none" w:sz="0" w:space="0" w:color="auto"/>
                    <w:bottom w:val="none" w:sz="0" w:space="0" w:color="auto"/>
                    <w:right w:val="none" w:sz="0" w:space="0" w:color="auto"/>
                  </w:divBdr>
                  <w:divsChild>
                    <w:div w:id="1064180533">
                      <w:marLeft w:val="0"/>
                      <w:marRight w:val="0"/>
                      <w:marTop w:val="0"/>
                      <w:marBottom w:val="0"/>
                      <w:divBdr>
                        <w:top w:val="none" w:sz="0" w:space="0" w:color="auto"/>
                        <w:left w:val="none" w:sz="0" w:space="0" w:color="auto"/>
                        <w:bottom w:val="none" w:sz="0" w:space="0" w:color="auto"/>
                        <w:right w:val="none" w:sz="0" w:space="0" w:color="auto"/>
                      </w:divBdr>
                    </w:div>
                  </w:divsChild>
                </w:div>
                <w:div w:id="1623613244">
                  <w:marLeft w:val="0"/>
                  <w:marRight w:val="0"/>
                  <w:marTop w:val="0"/>
                  <w:marBottom w:val="0"/>
                  <w:divBdr>
                    <w:top w:val="none" w:sz="0" w:space="0" w:color="auto"/>
                    <w:left w:val="none" w:sz="0" w:space="0" w:color="auto"/>
                    <w:bottom w:val="none" w:sz="0" w:space="0" w:color="auto"/>
                    <w:right w:val="none" w:sz="0" w:space="0" w:color="auto"/>
                  </w:divBdr>
                  <w:divsChild>
                    <w:div w:id="1449540805">
                      <w:marLeft w:val="0"/>
                      <w:marRight w:val="0"/>
                      <w:marTop w:val="0"/>
                      <w:marBottom w:val="0"/>
                      <w:divBdr>
                        <w:top w:val="none" w:sz="0" w:space="0" w:color="auto"/>
                        <w:left w:val="none" w:sz="0" w:space="0" w:color="auto"/>
                        <w:bottom w:val="none" w:sz="0" w:space="0" w:color="auto"/>
                        <w:right w:val="none" w:sz="0" w:space="0" w:color="auto"/>
                      </w:divBdr>
                    </w:div>
                  </w:divsChild>
                </w:div>
                <w:div w:id="1652949892">
                  <w:marLeft w:val="0"/>
                  <w:marRight w:val="0"/>
                  <w:marTop w:val="0"/>
                  <w:marBottom w:val="0"/>
                  <w:divBdr>
                    <w:top w:val="none" w:sz="0" w:space="0" w:color="auto"/>
                    <w:left w:val="none" w:sz="0" w:space="0" w:color="auto"/>
                    <w:bottom w:val="none" w:sz="0" w:space="0" w:color="auto"/>
                    <w:right w:val="none" w:sz="0" w:space="0" w:color="auto"/>
                  </w:divBdr>
                  <w:divsChild>
                    <w:div w:id="1065177323">
                      <w:marLeft w:val="0"/>
                      <w:marRight w:val="0"/>
                      <w:marTop w:val="0"/>
                      <w:marBottom w:val="0"/>
                      <w:divBdr>
                        <w:top w:val="none" w:sz="0" w:space="0" w:color="auto"/>
                        <w:left w:val="none" w:sz="0" w:space="0" w:color="auto"/>
                        <w:bottom w:val="none" w:sz="0" w:space="0" w:color="auto"/>
                        <w:right w:val="none" w:sz="0" w:space="0" w:color="auto"/>
                      </w:divBdr>
                    </w:div>
                  </w:divsChild>
                </w:div>
                <w:div w:id="1675375049">
                  <w:marLeft w:val="0"/>
                  <w:marRight w:val="0"/>
                  <w:marTop w:val="0"/>
                  <w:marBottom w:val="0"/>
                  <w:divBdr>
                    <w:top w:val="none" w:sz="0" w:space="0" w:color="auto"/>
                    <w:left w:val="none" w:sz="0" w:space="0" w:color="auto"/>
                    <w:bottom w:val="none" w:sz="0" w:space="0" w:color="auto"/>
                    <w:right w:val="none" w:sz="0" w:space="0" w:color="auto"/>
                  </w:divBdr>
                  <w:divsChild>
                    <w:div w:id="663355882">
                      <w:marLeft w:val="0"/>
                      <w:marRight w:val="0"/>
                      <w:marTop w:val="0"/>
                      <w:marBottom w:val="0"/>
                      <w:divBdr>
                        <w:top w:val="none" w:sz="0" w:space="0" w:color="auto"/>
                        <w:left w:val="none" w:sz="0" w:space="0" w:color="auto"/>
                        <w:bottom w:val="none" w:sz="0" w:space="0" w:color="auto"/>
                        <w:right w:val="none" w:sz="0" w:space="0" w:color="auto"/>
                      </w:divBdr>
                    </w:div>
                  </w:divsChild>
                </w:div>
                <w:div w:id="1706707953">
                  <w:marLeft w:val="0"/>
                  <w:marRight w:val="0"/>
                  <w:marTop w:val="0"/>
                  <w:marBottom w:val="0"/>
                  <w:divBdr>
                    <w:top w:val="none" w:sz="0" w:space="0" w:color="auto"/>
                    <w:left w:val="none" w:sz="0" w:space="0" w:color="auto"/>
                    <w:bottom w:val="none" w:sz="0" w:space="0" w:color="auto"/>
                    <w:right w:val="none" w:sz="0" w:space="0" w:color="auto"/>
                  </w:divBdr>
                  <w:divsChild>
                    <w:div w:id="1177042420">
                      <w:marLeft w:val="0"/>
                      <w:marRight w:val="0"/>
                      <w:marTop w:val="0"/>
                      <w:marBottom w:val="0"/>
                      <w:divBdr>
                        <w:top w:val="none" w:sz="0" w:space="0" w:color="auto"/>
                        <w:left w:val="none" w:sz="0" w:space="0" w:color="auto"/>
                        <w:bottom w:val="none" w:sz="0" w:space="0" w:color="auto"/>
                        <w:right w:val="none" w:sz="0" w:space="0" w:color="auto"/>
                      </w:divBdr>
                    </w:div>
                  </w:divsChild>
                </w:div>
                <w:div w:id="1719159506">
                  <w:marLeft w:val="0"/>
                  <w:marRight w:val="0"/>
                  <w:marTop w:val="0"/>
                  <w:marBottom w:val="0"/>
                  <w:divBdr>
                    <w:top w:val="none" w:sz="0" w:space="0" w:color="auto"/>
                    <w:left w:val="none" w:sz="0" w:space="0" w:color="auto"/>
                    <w:bottom w:val="none" w:sz="0" w:space="0" w:color="auto"/>
                    <w:right w:val="none" w:sz="0" w:space="0" w:color="auto"/>
                  </w:divBdr>
                  <w:divsChild>
                    <w:div w:id="263460014">
                      <w:marLeft w:val="0"/>
                      <w:marRight w:val="0"/>
                      <w:marTop w:val="0"/>
                      <w:marBottom w:val="0"/>
                      <w:divBdr>
                        <w:top w:val="none" w:sz="0" w:space="0" w:color="auto"/>
                        <w:left w:val="none" w:sz="0" w:space="0" w:color="auto"/>
                        <w:bottom w:val="none" w:sz="0" w:space="0" w:color="auto"/>
                        <w:right w:val="none" w:sz="0" w:space="0" w:color="auto"/>
                      </w:divBdr>
                    </w:div>
                  </w:divsChild>
                </w:div>
                <w:div w:id="1738478825">
                  <w:marLeft w:val="0"/>
                  <w:marRight w:val="0"/>
                  <w:marTop w:val="0"/>
                  <w:marBottom w:val="0"/>
                  <w:divBdr>
                    <w:top w:val="none" w:sz="0" w:space="0" w:color="auto"/>
                    <w:left w:val="none" w:sz="0" w:space="0" w:color="auto"/>
                    <w:bottom w:val="none" w:sz="0" w:space="0" w:color="auto"/>
                    <w:right w:val="none" w:sz="0" w:space="0" w:color="auto"/>
                  </w:divBdr>
                  <w:divsChild>
                    <w:div w:id="553202861">
                      <w:marLeft w:val="0"/>
                      <w:marRight w:val="0"/>
                      <w:marTop w:val="0"/>
                      <w:marBottom w:val="0"/>
                      <w:divBdr>
                        <w:top w:val="none" w:sz="0" w:space="0" w:color="auto"/>
                        <w:left w:val="none" w:sz="0" w:space="0" w:color="auto"/>
                        <w:bottom w:val="none" w:sz="0" w:space="0" w:color="auto"/>
                        <w:right w:val="none" w:sz="0" w:space="0" w:color="auto"/>
                      </w:divBdr>
                    </w:div>
                  </w:divsChild>
                </w:div>
                <w:div w:id="1750999481">
                  <w:marLeft w:val="0"/>
                  <w:marRight w:val="0"/>
                  <w:marTop w:val="0"/>
                  <w:marBottom w:val="0"/>
                  <w:divBdr>
                    <w:top w:val="none" w:sz="0" w:space="0" w:color="auto"/>
                    <w:left w:val="none" w:sz="0" w:space="0" w:color="auto"/>
                    <w:bottom w:val="none" w:sz="0" w:space="0" w:color="auto"/>
                    <w:right w:val="none" w:sz="0" w:space="0" w:color="auto"/>
                  </w:divBdr>
                  <w:divsChild>
                    <w:div w:id="236211375">
                      <w:marLeft w:val="0"/>
                      <w:marRight w:val="0"/>
                      <w:marTop w:val="0"/>
                      <w:marBottom w:val="0"/>
                      <w:divBdr>
                        <w:top w:val="none" w:sz="0" w:space="0" w:color="auto"/>
                        <w:left w:val="none" w:sz="0" w:space="0" w:color="auto"/>
                        <w:bottom w:val="none" w:sz="0" w:space="0" w:color="auto"/>
                        <w:right w:val="none" w:sz="0" w:space="0" w:color="auto"/>
                      </w:divBdr>
                    </w:div>
                  </w:divsChild>
                </w:div>
                <w:div w:id="1763985266">
                  <w:marLeft w:val="0"/>
                  <w:marRight w:val="0"/>
                  <w:marTop w:val="0"/>
                  <w:marBottom w:val="0"/>
                  <w:divBdr>
                    <w:top w:val="none" w:sz="0" w:space="0" w:color="auto"/>
                    <w:left w:val="none" w:sz="0" w:space="0" w:color="auto"/>
                    <w:bottom w:val="none" w:sz="0" w:space="0" w:color="auto"/>
                    <w:right w:val="none" w:sz="0" w:space="0" w:color="auto"/>
                  </w:divBdr>
                  <w:divsChild>
                    <w:div w:id="231737267">
                      <w:marLeft w:val="0"/>
                      <w:marRight w:val="0"/>
                      <w:marTop w:val="0"/>
                      <w:marBottom w:val="0"/>
                      <w:divBdr>
                        <w:top w:val="none" w:sz="0" w:space="0" w:color="auto"/>
                        <w:left w:val="none" w:sz="0" w:space="0" w:color="auto"/>
                        <w:bottom w:val="none" w:sz="0" w:space="0" w:color="auto"/>
                        <w:right w:val="none" w:sz="0" w:space="0" w:color="auto"/>
                      </w:divBdr>
                    </w:div>
                  </w:divsChild>
                </w:div>
                <w:div w:id="1776319919">
                  <w:marLeft w:val="0"/>
                  <w:marRight w:val="0"/>
                  <w:marTop w:val="0"/>
                  <w:marBottom w:val="0"/>
                  <w:divBdr>
                    <w:top w:val="none" w:sz="0" w:space="0" w:color="auto"/>
                    <w:left w:val="none" w:sz="0" w:space="0" w:color="auto"/>
                    <w:bottom w:val="none" w:sz="0" w:space="0" w:color="auto"/>
                    <w:right w:val="none" w:sz="0" w:space="0" w:color="auto"/>
                  </w:divBdr>
                  <w:divsChild>
                    <w:div w:id="1349983320">
                      <w:marLeft w:val="0"/>
                      <w:marRight w:val="0"/>
                      <w:marTop w:val="0"/>
                      <w:marBottom w:val="0"/>
                      <w:divBdr>
                        <w:top w:val="none" w:sz="0" w:space="0" w:color="auto"/>
                        <w:left w:val="none" w:sz="0" w:space="0" w:color="auto"/>
                        <w:bottom w:val="none" w:sz="0" w:space="0" w:color="auto"/>
                        <w:right w:val="none" w:sz="0" w:space="0" w:color="auto"/>
                      </w:divBdr>
                    </w:div>
                  </w:divsChild>
                </w:div>
                <w:div w:id="1777142306">
                  <w:marLeft w:val="0"/>
                  <w:marRight w:val="0"/>
                  <w:marTop w:val="0"/>
                  <w:marBottom w:val="0"/>
                  <w:divBdr>
                    <w:top w:val="none" w:sz="0" w:space="0" w:color="auto"/>
                    <w:left w:val="none" w:sz="0" w:space="0" w:color="auto"/>
                    <w:bottom w:val="none" w:sz="0" w:space="0" w:color="auto"/>
                    <w:right w:val="none" w:sz="0" w:space="0" w:color="auto"/>
                  </w:divBdr>
                  <w:divsChild>
                    <w:div w:id="1917930941">
                      <w:marLeft w:val="0"/>
                      <w:marRight w:val="0"/>
                      <w:marTop w:val="0"/>
                      <w:marBottom w:val="0"/>
                      <w:divBdr>
                        <w:top w:val="none" w:sz="0" w:space="0" w:color="auto"/>
                        <w:left w:val="none" w:sz="0" w:space="0" w:color="auto"/>
                        <w:bottom w:val="none" w:sz="0" w:space="0" w:color="auto"/>
                        <w:right w:val="none" w:sz="0" w:space="0" w:color="auto"/>
                      </w:divBdr>
                    </w:div>
                  </w:divsChild>
                </w:div>
                <w:div w:id="1787701342">
                  <w:marLeft w:val="0"/>
                  <w:marRight w:val="0"/>
                  <w:marTop w:val="0"/>
                  <w:marBottom w:val="0"/>
                  <w:divBdr>
                    <w:top w:val="none" w:sz="0" w:space="0" w:color="auto"/>
                    <w:left w:val="none" w:sz="0" w:space="0" w:color="auto"/>
                    <w:bottom w:val="none" w:sz="0" w:space="0" w:color="auto"/>
                    <w:right w:val="none" w:sz="0" w:space="0" w:color="auto"/>
                  </w:divBdr>
                  <w:divsChild>
                    <w:div w:id="1407416771">
                      <w:marLeft w:val="0"/>
                      <w:marRight w:val="0"/>
                      <w:marTop w:val="0"/>
                      <w:marBottom w:val="0"/>
                      <w:divBdr>
                        <w:top w:val="none" w:sz="0" w:space="0" w:color="auto"/>
                        <w:left w:val="none" w:sz="0" w:space="0" w:color="auto"/>
                        <w:bottom w:val="none" w:sz="0" w:space="0" w:color="auto"/>
                        <w:right w:val="none" w:sz="0" w:space="0" w:color="auto"/>
                      </w:divBdr>
                    </w:div>
                  </w:divsChild>
                </w:div>
                <w:div w:id="1793398339">
                  <w:marLeft w:val="0"/>
                  <w:marRight w:val="0"/>
                  <w:marTop w:val="0"/>
                  <w:marBottom w:val="0"/>
                  <w:divBdr>
                    <w:top w:val="none" w:sz="0" w:space="0" w:color="auto"/>
                    <w:left w:val="none" w:sz="0" w:space="0" w:color="auto"/>
                    <w:bottom w:val="none" w:sz="0" w:space="0" w:color="auto"/>
                    <w:right w:val="none" w:sz="0" w:space="0" w:color="auto"/>
                  </w:divBdr>
                  <w:divsChild>
                    <w:div w:id="758597266">
                      <w:marLeft w:val="0"/>
                      <w:marRight w:val="0"/>
                      <w:marTop w:val="0"/>
                      <w:marBottom w:val="0"/>
                      <w:divBdr>
                        <w:top w:val="none" w:sz="0" w:space="0" w:color="auto"/>
                        <w:left w:val="none" w:sz="0" w:space="0" w:color="auto"/>
                        <w:bottom w:val="none" w:sz="0" w:space="0" w:color="auto"/>
                        <w:right w:val="none" w:sz="0" w:space="0" w:color="auto"/>
                      </w:divBdr>
                    </w:div>
                  </w:divsChild>
                </w:div>
                <w:div w:id="1854298036">
                  <w:marLeft w:val="0"/>
                  <w:marRight w:val="0"/>
                  <w:marTop w:val="0"/>
                  <w:marBottom w:val="0"/>
                  <w:divBdr>
                    <w:top w:val="none" w:sz="0" w:space="0" w:color="auto"/>
                    <w:left w:val="none" w:sz="0" w:space="0" w:color="auto"/>
                    <w:bottom w:val="none" w:sz="0" w:space="0" w:color="auto"/>
                    <w:right w:val="none" w:sz="0" w:space="0" w:color="auto"/>
                  </w:divBdr>
                  <w:divsChild>
                    <w:div w:id="1867711835">
                      <w:marLeft w:val="0"/>
                      <w:marRight w:val="0"/>
                      <w:marTop w:val="0"/>
                      <w:marBottom w:val="0"/>
                      <w:divBdr>
                        <w:top w:val="none" w:sz="0" w:space="0" w:color="auto"/>
                        <w:left w:val="none" w:sz="0" w:space="0" w:color="auto"/>
                        <w:bottom w:val="none" w:sz="0" w:space="0" w:color="auto"/>
                        <w:right w:val="none" w:sz="0" w:space="0" w:color="auto"/>
                      </w:divBdr>
                    </w:div>
                  </w:divsChild>
                </w:div>
                <w:div w:id="1862812962">
                  <w:marLeft w:val="0"/>
                  <w:marRight w:val="0"/>
                  <w:marTop w:val="0"/>
                  <w:marBottom w:val="0"/>
                  <w:divBdr>
                    <w:top w:val="none" w:sz="0" w:space="0" w:color="auto"/>
                    <w:left w:val="none" w:sz="0" w:space="0" w:color="auto"/>
                    <w:bottom w:val="none" w:sz="0" w:space="0" w:color="auto"/>
                    <w:right w:val="none" w:sz="0" w:space="0" w:color="auto"/>
                  </w:divBdr>
                  <w:divsChild>
                    <w:div w:id="1193231724">
                      <w:marLeft w:val="0"/>
                      <w:marRight w:val="0"/>
                      <w:marTop w:val="0"/>
                      <w:marBottom w:val="0"/>
                      <w:divBdr>
                        <w:top w:val="none" w:sz="0" w:space="0" w:color="auto"/>
                        <w:left w:val="none" w:sz="0" w:space="0" w:color="auto"/>
                        <w:bottom w:val="none" w:sz="0" w:space="0" w:color="auto"/>
                        <w:right w:val="none" w:sz="0" w:space="0" w:color="auto"/>
                      </w:divBdr>
                    </w:div>
                  </w:divsChild>
                </w:div>
                <w:div w:id="1871720947">
                  <w:marLeft w:val="0"/>
                  <w:marRight w:val="0"/>
                  <w:marTop w:val="0"/>
                  <w:marBottom w:val="0"/>
                  <w:divBdr>
                    <w:top w:val="none" w:sz="0" w:space="0" w:color="auto"/>
                    <w:left w:val="none" w:sz="0" w:space="0" w:color="auto"/>
                    <w:bottom w:val="none" w:sz="0" w:space="0" w:color="auto"/>
                    <w:right w:val="none" w:sz="0" w:space="0" w:color="auto"/>
                  </w:divBdr>
                  <w:divsChild>
                    <w:div w:id="1271743282">
                      <w:marLeft w:val="0"/>
                      <w:marRight w:val="0"/>
                      <w:marTop w:val="0"/>
                      <w:marBottom w:val="0"/>
                      <w:divBdr>
                        <w:top w:val="none" w:sz="0" w:space="0" w:color="auto"/>
                        <w:left w:val="none" w:sz="0" w:space="0" w:color="auto"/>
                        <w:bottom w:val="none" w:sz="0" w:space="0" w:color="auto"/>
                        <w:right w:val="none" w:sz="0" w:space="0" w:color="auto"/>
                      </w:divBdr>
                    </w:div>
                  </w:divsChild>
                </w:div>
                <w:div w:id="1890335862">
                  <w:marLeft w:val="0"/>
                  <w:marRight w:val="0"/>
                  <w:marTop w:val="0"/>
                  <w:marBottom w:val="0"/>
                  <w:divBdr>
                    <w:top w:val="none" w:sz="0" w:space="0" w:color="auto"/>
                    <w:left w:val="none" w:sz="0" w:space="0" w:color="auto"/>
                    <w:bottom w:val="none" w:sz="0" w:space="0" w:color="auto"/>
                    <w:right w:val="none" w:sz="0" w:space="0" w:color="auto"/>
                  </w:divBdr>
                  <w:divsChild>
                    <w:div w:id="286621688">
                      <w:marLeft w:val="0"/>
                      <w:marRight w:val="0"/>
                      <w:marTop w:val="0"/>
                      <w:marBottom w:val="0"/>
                      <w:divBdr>
                        <w:top w:val="none" w:sz="0" w:space="0" w:color="auto"/>
                        <w:left w:val="none" w:sz="0" w:space="0" w:color="auto"/>
                        <w:bottom w:val="none" w:sz="0" w:space="0" w:color="auto"/>
                        <w:right w:val="none" w:sz="0" w:space="0" w:color="auto"/>
                      </w:divBdr>
                    </w:div>
                  </w:divsChild>
                </w:div>
                <w:div w:id="1900313330">
                  <w:marLeft w:val="0"/>
                  <w:marRight w:val="0"/>
                  <w:marTop w:val="0"/>
                  <w:marBottom w:val="0"/>
                  <w:divBdr>
                    <w:top w:val="none" w:sz="0" w:space="0" w:color="auto"/>
                    <w:left w:val="none" w:sz="0" w:space="0" w:color="auto"/>
                    <w:bottom w:val="none" w:sz="0" w:space="0" w:color="auto"/>
                    <w:right w:val="none" w:sz="0" w:space="0" w:color="auto"/>
                  </w:divBdr>
                  <w:divsChild>
                    <w:div w:id="111292889">
                      <w:marLeft w:val="0"/>
                      <w:marRight w:val="0"/>
                      <w:marTop w:val="0"/>
                      <w:marBottom w:val="0"/>
                      <w:divBdr>
                        <w:top w:val="none" w:sz="0" w:space="0" w:color="auto"/>
                        <w:left w:val="none" w:sz="0" w:space="0" w:color="auto"/>
                        <w:bottom w:val="none" w:sz="0" w:space="0" w:color="auto"/>
                        <w:right w:val="none" w:sz="0" w:space="0" w:color="auto"/>
                      </w:divBdr>
                    </w:div>
                  </w:divsChild>
                </w:div>
                <w:div w:id="1906184590">
                  <w:marLeft w:val="0"/>
                  <w:marRight w:val="0"/>
                  <w:marTop w:val="0"/>
                  <w:marBottom w:val="0"/>
                  <w:divBdr>
                    <w:top w:val="none" w:sz="0" w:space="0" w:color="auto"/>
                    <w:left w:val="none" w:sz="0" w:space="0" w:color="auto"/>
                    <w:bottom w:val="none" w:sz="0" w:space="0" w:color="auto"/>
                    <w:right w:val="none" w:sz="0" w:space="0" w:color="auto"/>
                  </w:divBdr>
                  <w:divsChild>
                    <w:div w:id="846404886">
                      <w:marLeft w:val="0"/>
                      <w:marRight w:val="0"/>
                      <w:marTop w:val="0"/>
                      <w:marBottom w:val="0"/>
                      <w:divBdr>
                        <w:top w:val="none" w:sz="0" w:space="0" w:color="auto"/>
                        <w:left w:val="none" w:sz="0" w:space="0" w:color="auto"/>
                        <w:bottom w:val="none" w:sz="0" w:space="0" w:color="auto"/>
                        <w:right w:val="none" w:sz="0" w:space="0" w:color="auto"/>
                      </w:divBdr>
                    </w:div>
                  </w:divsChild>
                </w:div>
                <w:div w:id="1908958933">
                  <w:marLeft w:val="0"/>
                  <w:marRight w:val="0"/>
                  <w:marTop w:val="0"/>
                  <w:marBottom w:val="0"/>
                  <w:divBdr>
                    <w:top w:val="none" w:sz="0" w:space="0" w:color="auto"/>
                    <w:left w:val="none" w:sz="0" w:space="0" w:color="auto"/>
                    <w:bottom w:val="none" w:sz="0" w:space="0" w:color="auto"/>
                    <w:right w:val="none" w:sz="0" w:space="0" w:color="auto"/>
                  </w:divBdr>
                  <w:divsChild>
                    <w:div w:id="1635522247">
                      <w:marLeft w:val="0"/>
                      <w:marRight w:val="0"/>
                      <w:marTop w:val="0"/>
                      <w:marBottom w:val="0"/>
                      <w:divBdr>
                        <w:top w:val="none" w:sz="0" w:space="0" w:color="auto"/>
                        <w:left w:val="none" w:sz="0" w:space="0" w:color="auto"/>
                        <w:bottom w:val="none" w:sz="0" w:space="0" w:color="auto"/>
                        <w:right w:val="none" w:sz="0" w:space="0" w:color="auto"/>
                      </w:divBdr>
                    </w:div>
                  </w:divsChild>
                </w:div>
                <w:div w:id="1921400375">
                  <w:marLeft w:val="0"/>
                  <w:marRight w:val="0"/>
                  <w:marTop w:val="0"/>
                  <w:marBottom w:val="0"/>
                  <w:divBdr>
                    <w:top w:val="none" w:sz="0" w:space="0" w:color="auto"/>
                    <w:left w:val="none" w:sz="0" w:space="0" w:color="auto"/>
                    <w:bottom w:val="none" w:sz="0" w:space="0" w:color="auto"/>
                    <w:right w:val="none" w:sz="0" w:space="0" w:color="auto"/>
                  </w:divBdr>
                  <w:divsChild>
                    <w:div w:id="1870483751">
                      <w:marLeft w:val="0"/>
                      <w:marRight w:val="0"/>
                      <w:marTop w:val="0"/>
                      <w:marBottom w:val="0"/>
                      <w:divBdr>
                        <w:top w:val="none" w:sz="0" w:space="0" w:color="auto"/>
                        <w:left w:val="none" w:sz="0" w:space="0" w:color="auto"/>
                        <w:bottom w:val="none" w:sz="0" w:space="0" w:color="auto"/>
                        <w:right w:val="none" w:sz="0" w:space="0" w:color="auto"/>
                      </w:divBdr>
                    </w:div>
                  </w:divsChild>
                </w:div>
                <w:div w:id="1926258712">
                  <w:marLeft w:val="0"/>
                  <w:marRight w:val="0"/>
                  <w:marTop w:val="0"/>
                  <w:marBottom w:val="0"/>
                  <w:divBdr>
                    <w:top w:val="none" w:sz="0" w:space="0" w:color="auto"/>
                    <w:left w:val="none" w:sz="0" w:space="0" w:color="auto"/>
                    <w:bottom w:val="none" w:sz="0" w:space="0" w:color="auto"/>
                    <w:right w:val="none" w:sz="0" w:space="0" w:color="auto"/>
                  </w:divBdr>
                  <w:divsChild>
                    <w:div w:id="1071972658">
                      <w:marLeft w:val="0"/>
                      <w:marRight w:val="0"/>
                      <w:marTop w:val="0"/>
                      <w:marBottom w:val="0"/>
                      <w:divBdr>
                        <w:top w:val="none" w:sz="0" w:space="0" w:color="auto"/>
                        <w:left w:val="none" w:sz="0" w:space="0" w:color="auto"/>
                        <w:bottom w:val="none" w:sz="0" w:space="0" w:color="auto"/>
                        <w:right w:val="none" w:sz="0" w:space="0" w:color="auto"/>
                      </w:divBdr>
                    </w:div>
                  </w:divsChild>
                </w:div>
                <w:div w:id="1929534782">
                  <w:marLeft w:val="0"/>
                  <w:marRight w:val="0"/>
                  <w:marTop w:val="0"/>
                  <w:marBottom w:val="0"/>
                  <w:divBdr>
                    <w:top w:val="none" w:sz="0" w:space="0" w:color="auto"/>
                    <w:left w:val="none" w:sz="0" w:space="0" w:color="auto"/>
                    <w:bottom w:val="none" w:sz="0" w:space="0" w:color="auto"/>
                    <w:right w:val="none" w:sz="0" w:space="0" w:color="auto"/>
                  </w:divBdr>
                  <w:divsChild>
                    <w:div w:id="903296427">
                      <w:marLeft w:val="0"/>
                      <w:marRight w:val="0"/>
                      <w:marTop w:val="0"/>
                      <w:marBottom w:val="0"/>
                      <w:divBdr>
                        <w:top w:val="none" w:sz="0" w:space="0" w:color="auto"/>
                        <w:left w:val="none" w:sz="0" w:space="0" w:color="auto"/>
                        <w:bottom w:val="none" w:sz="0" w:space="0" w:color="auto"/>
                        <w:right w:val="none" w:sz="0" w:space="0" w:color="auto"/>
                      </w:divBdr>
                    </w:div>
                  </w:divsChild>
                </w:div>
                <w:div w:id="1929970248">
                  <w:marLeft w:val="0"/>
                  <w:marRight w:val="0"/>
                  <w:marTop w:val="0"/>
                  <w:marBottom w:val="0"/>
                  <w:divBdr>
                    <w:top w:val="none" w:sz="0" w:space="0" w:color="auto"/>
                    <w:left w:val="none" w:sz="0" w:space="0" w:color="auto"/>
                    <w:bottom w:val="none" w:sz="0" w:space="0" w:color="auto"/>
                    <w:right w:val="none" w:sz="0" w:space="0" w:color="auto"/>
                  </w:divBdr>
                  <w:divsChild>
                    <w:div w:id="1874029575">
                      <w:marLeft w:val="0"/>
                      <w:marRight w:val="0"/>
                      <w:marTop w:val="0"/>
                      <w:marBottom w:val="0"/>
                      <w:divBdr>
                        <w:top w:val="none" w:sz="0" w:space="0" w:color="auto"/>
                        <w:left w:val="none" w:sz="0" w:space="0" w:color="auto"/>
                        <w:bottom w:val="none" w:sz="0" w:space="0" w:color="auto"/>
                        <w:right w:val="none" w:sz="0" w:space="0" w:color="auto"/>
                      </w:divBdr>
                    </w:div>
                  </w:divsChild>
                </w:div>
                <w:div w:id="1951669730">
                  <w:marLeft w:val="0"/>
                  <w:marRight w:val="0"/>
                  <w:marTop w:val="0"/>
                  <w:marBottom w:val="0"/>
                  <w:divBdr>
                    <w:top w:val="none" w:sz="0" w:space="0" w:color="auto"/>
                    <w:left w:val="none" w:sz="0" w:space="0" w:color="auto"/>
                    <w:bottom w:val="none" w:sz="0" w:space="0" w:color="auto"/>
                    <w:right w:val="none" w:sz="0" w:space="0" w:color="auto"/>
                  </w:divBdr>
                  <w:divsChild>
                    <w:div w:id="38746896">
                      <w:marLeft w:val="0"/>
                      <w:marRight w:val="0"/>
                      <w:marTop w:val="0"/>
                      <w:marBottom w:val="0"/>
                      <w:divBdr>
                        <w:top w:val="none" w:sz="0" w:space="0" w:color="auto"/>
                        <w:left w:val="none" w:sz="0" w:space="0" w:color="auto"/>
                        <w:bottom w:val="none" w:sz="0" w:space="0" w:color="auto"/>
                        <w:right w:val="none" w:sz="0" w:space="0" w:color="auto"/>
                      </w:divBdr>
                    </w:div>
                  </w:divsChild>
                </w:div>
                <w:div w:id="1981305110">
                  <w:marLeft w:val="0"/>
                  <w:marRight w:val="0"/>
                  <w:marTop w:val="0"/>
                  <w:marBottom w:val="0"/>
                  <w:divBdr>
                    <w:top w:val="none" w:sz="0" w:space="0" w:color="auto"/>
                    <w:left w:val="none" w:sz="0" w:space="0" w:color="auto"/>
                    <w:bottom w:val="none" w:sz="0" w:space="0" w:color="auto"/>
                    <w:right w:val="none" w:sz="0" w:space="0" w:color="auto"/>
                  </w:divBdr>
                  <w:divsChild>
                    <w:div w:id="424309214">
                      <w:marLeft w:val="0"/>
                      <w:marRight w:val="0"/>
                      <w:marTop w:val="0"/>
                      <w:marBottom w:val="0"/>
                      <w:divBdr>
                        <w:top w:val="none" w:sz="0" w:space="0" w:color="auto"/>
                        <w:left w:val="none" w:sz="0" w:space="0" w:color="auto"/>
                        <w:bottom w:val="none" w:sz="0" w:space="0" w:color="auto"/>
                        <w:right w:val="none" w:sz="0" w:space="0" w:color="auto"/>
                      </w:divBdr>
                    </w:div>
                  </w:divsChild>
                </w:div>
                <w:div w:id="2008632719">
                  <w:marLeft w:val="0"/>
                  <w:marRight w:val="0"/>
                  <w:marTop w:val="0"/>
                  <w:marBottom w:val="0"/>
                  <w:divBdr>
                    <w:top w:val="none" w:sz="0" w:space="0" w:color="auto"/>
                    <w:left w:val="none" w:sz="0" w:space="0" w:color="auto"/>
                    <w:bottom w:val="none" w:sz="0" w:space="0" w:color="auto"/>
                    <w:right w:val="none" w:sz="0" w:space="0" w:color="auto"/>
                  </w:divBdr>
                  <w:divsChild>
                    <w:div w:id="1359239728">
                      <w:marLeft w:val="0"/>
                      <w:marRight w:val="0"/>
                      <w:marTop w:val="0"/>
                      <w:marBottom w:val="0"/>
                      <w:divBdr>
                        <w:top w:val="none" w:sz="0" w:space="0" w:color="auto"/>
                        <w:left w:val="none" w:sz="0" w:space="0" w:color="auto"/>
                        <w:bottom w:val="none" w:sz="0" w:space="0" w:color="auto"/>
                        <w:right w:val="none" w:sz="0" w:space="0" w:color="auto"/>
                      </w:divBdr>
                    </w:div>
                  </w:divsChild>
                </w:div>
                <w:div w:id="2021352465">
                  <w:marLeft w:val="0"/>
                  <w:marRight w:val="0"/>
                  <w:marTop w:val="0"/>
                  <w:marBottom w:val="0"/>
                  <w:divBdr>
                    <w:top w:val="none" w:sz="0" w:space="0" w:color="auto"/>
                    <w:left w:val="none" w:sz="0" w:space="0" w:color="auto"/>
                    <w:bottom w:val="none" w:sz="0" w:space="0" w:color="auto"/>
                    <w:right w:val="none" w:sz="0" w:space="0" w:color="auto"/>
                  </w:divBdr>
                  <w:divsChild>
                    <w:div w:id="673529677">
                      <w:marLeft w:val="0"/>
                      <w:marRight w:val="0"/>
                      <w:marTop w:val="0"/>
                      <w:marBottom w:val="0"/>
                      <w:divBdr>
                        <w:top w:val="none" w:sz="0" w:space="0" w:color="auto"/>
                        <w:left w:val="none" w:sz="0" w:space="0" w:color="auto"/>
                        <w:bottom w:val="none" w:sz="0" w:space="0" w:color="auto"/>
                        <w:right w:val="none" w:sz="0" w:space="0" w:color="auto"/>
                      </w:divBdr>
                    </w:div>
                  </w:divsChild>
                </w:div>
                <w:div w:id="2022275863">
                  <w:marLeft w:val="0"/>
                  <w:marRight w:val="0"/>
                  <w:marTop w:val="0"/>
                  <w:marBottom w:val="0"/>
                  <w:divBdr>
                    <w:top w:val="none" w:sz="0" w:space="0" w:color="auto"/>
                    <w:left w:val="none" w:sz="0" w:space="0" w:color="auto"/>
                    <w:bottom w:val="none" w:sz="0" w:space="0" w:color="auto"/>
                    <w:right w:val="none" w:sz="0" w:space="0" w:color="auto"/>
                  </w:divBdr>
                  <w:divsChild>
                    <w:div w:id="1754086297">
                      <w:marLeft w:val="0"/>
                      <w:marRight w:val="0"/>
                      <w:marTop w:val="0"/>
                      <w:marBottom w:val="0"/>
                      <w:divBdr>
                        <w:top w:val="none" w:sz="0" w:space="0" w:color="auto"/>
                        <w:left w:val="none" w:sz="0" w:space="0" w:color="auto"/>
                        <w:bottom w:val="none" w:sz="0" w:space="0" w:color="auto"/>
                        <w:right w:val="none" w:sz="0" w:space="0" w:color="auto"/>
                      </w:divBdr>
                    </w:div>
                  </w:divsChild>
                </w:div>
                <w:div w:id="2026590657">
                  <w:marLeft w:val="0"/>
                  <w:marRight w:val="0"/>
                  <w:marTop w:val="0"/>
                  <w:marBottom w:val="0"/>
                  <w:divBdr>
                    <w:top w:val="none" w:sz="0" w:space="0" w:color="auto"/>
                    <w:left w:val="none" w:sz="0" w:space="0" w:color="auto"/>
                    <w:bottom w:val="none" w:sz="0" w:space="0" w:color="auto"/>
                    <w:right w:val="none" w:sz="0" w:space="0" w:color="auto"/>
                  </w:divBdr>
                  <w:divsChild>
                    <w:div w:id="1076828805">
                      <w:marLeft w:val="0"/>
                      <w:marRight w:val="0"/>
                      <w:marTop w:val="0"/>
                      <w:marBottom w:val="0"/>
                      <w:divBdr>
                        <w:top w:val="none" w:sz="0" w:space="0" w:color="auto"/>
                        <w:left w:val="none" w:sz="0" w:space="0" w:color="auto"/>
                        <w:bottom w:val="none" w:sz="0" w:space="0" w:color="auto"/>
                        <w:right w:val="none" w:sz="0" w:space="0" w:color="auto"/>
                      </w:divBdr>
                    </w:div>
                  </w:divsChild>
                </w:div>
                <w:div w:id="2031760474">
                  <w:marLeft w:val="0"/>
                  <w:marRight w:val="0"/>
                  <w:marTop w:val="0"/>
                  <w:marBottom w:val="0"/>
                  <w:divBdr>
                    <w:top w:val="none" w:sz="0" w:space="0" w:color="auto"/>
                    <w:left w:val="none" w:sz="0" w:space="0" w:color="auto"/>
                    <w:bottom w:val="none" w:sz="0" w:space="0" w:color="auto"/>
                    <w:right w:val="none" w:sz="0" w:space="0" w:color="auto"/>
                  </w:divBdr>
                  <w:divsChild>
                    <w:div w:id="1328509770">
                      <w:marLeft w:val="0"/>
                      <w:marRight w:val="0"/>
                      <w:marTop w:val="0"/>
                      <w:marBottom w:val="0"/>
                      <w:divBdr>
                        <w:top w:val="none" w:sz="0" w:space="0" w:color="auto"/>
                        <w:left w:val="none" w:sz="0" w:space="0" w:color="auto"/>
                        <w:bottom w:val="none" w:sz="0" w:space="0" w:color="auto"/>
                        <w:right w:val="none" w:sz="0" w:space="0" w:color="auto"/>
                      </w:divBdr>
                    </w:div>
                  </w:divsChild>
                </w:div>
                <w:div w:id="2059622241">
                  <w:marLeft w:val="0"/>
                  <w:marRight w:val="0"/>
                  <w:marTop w:val="0"/>
                  <w:marBottom w:val="0"/>
                  <w:divBdr>
                    <w:top w:val="none" w:sz="0" w:space="0" w:color="auto"/>
                    <w:left w:val="none" w:sz="0" w:space="0" w:color="auto"/>
                    <w:bottom w:val="none" w:sz="0" w:space="0" w:color="auto"/>
                    <w:right w:val="none" w:sz="0" w:space="0" w:color="auto"/>
                  </w:divBdr>
                  <w:divsChild>
                    <w:div w:id="467668869">
                      <w:marLeft w:val="0"/>
                      <w:marRight w:val="0"/>
                      <w:marTop w:val="0"/>
                      <w:marBottom w:val="0"/>
                      <w:divBdr>
                        <w:top w:val="none" w:sz="0" w:space="0" w:color="auto"/>
                        <w:left w:val="none" w:sz="0" w:space="0" w:color="auto"/>
                        <w:bottom w:val="none" w:sz="0" w:space="0" w:color="auto"/>
                        <w:right w:val="none" w:sz="0" w:space="0" w:color="auto"/>
                      </w:divBdr>
                    </w:div>
                  </w:divsChild>
                </w:div>
                <w:div w:id="2103648308">
                  <w:marLeft w:val="0"/>
                  <w:marRight w:val="0"/>
                  <w:marTop w:val="0"/>
                  <w:marBottom w:val="0"/>
                  <w:divBdr>
                    <w:top w:val="none" w:sz="0" w:space="0" w:color="auto"/>
                    <w:left w:val="none" w:sz="0" w:space="0" w:color="auto"/>
                    <w:bottom w:val="none" w:sz="0" w:space="0" w:color="auto"/>
                    <w:right w:val="none" w:sz="0" w:space="0" w:color="auto"/>
                  </w:divBdr>
                  <w:divsChild>
                    <w:div w:id="871109073">
                      <w:marLeft w:val="0"/>
                      <w:marRight w:val="0"/>
                      <w:marTop w:val="0"/>
                      <w:marBottom w:val="0"/>
                      <w:divBdr>
                        <w:top w:val="none" w:sz="0" w:space="0" w:color="auto"/>
                        <w:left w:val="none" w:sz="0" w:space="0" w:color="auto"/>
                        <w:bottom w:val="none" w:sz="0" w:space="0" w:color="auto"/>
                        <w:right w:val="none" w:sz="0" w:space="0" w:color="auto"/>
                      </w:divBdr>
                    </w:div>
                  </w:divsChild>
                </w:div>
                <w:div w:id="2111462668">
                  <w:marLeft w:val="0"/>
                  <w:marRight w:val="0"/>
                  <w:marTop w:val="0"/>
                  <w:marBottom w:val="0"/>
                  <w:divBdr>
                    <w:top w:val="none" w:sz="0" w:space="0" w:color="auto"/>
                    <w:left w:val="none" w:sz="0" w:space="0" w:color="auto"/>
                    <w:bottom w:val="none" w:sz="0" w:space="0" w:color="auto"/>
                    <w:right w:val="none" w:sz="0" w:space="0" w:color="auto"/>
                  </w:divBdr>
                  <w:divsChild>
                    <w:div w:id="1980261763">
                      <w:marLeft w:val="0"/>
                      <w:marRight w:val="0"/>
                      <w:marTop w:val="0"/>
                      <w:marBottom w:val="0"/>
                      <w:divBdr>
                        <w:top w:val="none" w:sz="0" w:space="0" w:color="auto"/>
                        <w:left w:val="none" w:sz="0" w:space="0" w:color="auto"/>
                        <w:bottom w:val="none" w:sz="0" w:space="0" w:color="auto"/>
                        <w:right w:val="none" w:sz="0" w:space="0" w:color="auto"/>
                      </w:divBdr>
                    </w:div>
                  </w:divsChild>
                </w:div>
                <w:div w:id="2123575980">
                  <w:marLeft w:val="0"/>
                  <w:marRight w:val="0"/>
                  <w:marTop w:val="0"/>
                  <w:marBottom w:val="0"/>
                  <w:divBdr>
                    <w:top w:val="none" w:sz="0" w:space="0" w:color="auto"/>
                    <w:left w:val="none" w:sz="0" w:space="0" w:color="auto"/>
                    <w:bottom w:val="none" w:sz="0" w:space="0" w:color="auto"/>
                    <w:right w:val="none" w:sz="0" w:space="0" w:color="auto"/>
                  </w:divBdr>
                  <w:divsChild>
                    <w:div w:id="487599881">
                      <w:marLeft w:val="0"/>
                      <w:marRight w:val="0"/>
                      <w:marTop w:val="0"/>
                      <w:marBottom w:val="0"/>
                      <w:divBdr>
                        <w:top w:val="none" w:sz="0" w:space="0" w:color="auto"/>
                        <w:left w:val="none" w:sz="0" w:space="0" w:color="auto"/>
                        <w:bottom w:val="none" w:sz="0" w:space="0" w:color="auto"/>
                        <w:right w:val="none" w:sz="0" w:space="0" w:color="auto"/>
                      </w:divBdr>
                    </w:div>
                  </w:divsChild>
                </w:div>
                <w:div w:id="2134976042">
                  <w:marLeft w:val="0"/>
                  <w:marRight w:val="0"/>
                  <w:marTop w:val="0"/>
                  <w:marBottom w:val="0"/>
                  <w:divBdr>
                    <w:top w:val="none" w:sz="0" w:space="0" w:color="auto"/>
                    <w:left w:val="none" w:sz="0" w:space="0" w:color="auto"/>
                    <w:bottom w:val="none" w:sz="0" w:space="0" w:color="auto"/>
                    <w:right w:val="none" w:sz="0" w:space="0" w:color="auto"/>
                  </w:divBdr>
                  <w:divsChild>
                    <w:div w:id="1050164">
                      <w:marLeft w:val="0"/>
                      <w:marRight w:val="0"/>
                      <w:marTop w:val="0"/>
                      <w:marBottom w:val="0"/>
                      <w:divBdr>
                        <w:top w:val="none" w:sz="0" w:space="0" w:color="auto"/>
                        <w:left w:val="none" w:sz="0" w:space="0" w:color="auto"/>
                        <w:bottom w:val="none" w:sz="0" w:space="0" w:color="auto"/>
                        <w:right w:val="none" w:sz="0" w:space="0" w:color="auto"/>
                      </w:divBdr>
                    </w:div>
                  </w:divsChild>
                </w:div>
                <w:div w:id="2137523736">
                  <w:marLeft w:val="0"/>
                  <w:marRight w:val="0"/>
                  <w:marTop w:val="0"/>
                  <w:marBottom w:val="0"/>
                  <w:divBdr>
                    <w:top w:val="none" w:sz="0" w:space="0" w:color="auto"/>
                    <w:left w:val="none" w:sz="0" w:space="0" w:color="auto"/>
                    <w:bottom w:val="none" w:sz="0" w:space="0" w:color="auto"/>
                    <w:right w:val="none" w:sz="0" w:space="0" w:color="auto"/>
                  </w:divBdr>
                  <w:divsChild>
                    <w:div w:id="7889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53738">
      <w:bodyDiv w:val="1"/>
      <w:marLeft w:val="0"/>
      <w:marRight w:val="0"/>
      <w:marTop w:val="0"/>
      <w:marBottom w:val="0"/>
      <w:divBdr>
        <w:top w:val="none" w:sz="0" w:space="0" w:color="auto"/>
        <w:left w:val="none" w:sz="0" w:space="0" w:color="auto"/>
        <w:bottom w:val="none" w:sz="0" w:space="0" w:color="auto"/>
        <w:right w:val="none" w:sz="0" w:space="0" w:color="auto"/>
      </w:divBdr>
    </w:div>
    <w:div w:id="224875398">
      <w:bodyDiv w:val="1"/>
      <w:marLeft w:val="0"/>
      <w:marRight w:val="0"/>
      <w:marTop w:val="0"/>
      <w:marBottom w:val="0"/>
      <w:divBdr>
        <w:top w:val="none" w:sz="0" w:space="0" w:color="auto"/>
        <w:left w:val="none" w:sz="0" w:space="0" w:color="auto"/>
        <w:bottom w:val="none" w:sz="0" w:space="0" w:color="auto"/>
        <w:right w:val="none" w:sz="0" w:space="0" w:color="auto"/>
      </w:divBdr>
    </w:div>
    <w:div w:id="225918454">
      <w:bodyDiv w:val="1"/>
      <w:marLeft w:val="0"/>
      <w:marRight w:val="0"/>
      <w:marTop w:val="0"/>
      <w:marBottom w:val="0"/>
      <w:divBdr>
        <w:top w:val="none" w:sz="0" w:space="0" w:color="auto"/>
        <w:left w:val="none" w:sz="0" w:space="0" w:color="auto"/>
        <w:bottom w:val="none" w:sz="0" w:space="0" w:color="auto"/>
        <w:right w:val="none" w:sz="0" w:space="0" w:color="auto"/>
      </w:divBdr>
      <w:divsChild>
        <w:div w:id="104932688">
          <w:marLeft w:val="0"/>
          <w:marRight w:val="0"/>
          <w:marTop w:val="0"/>
          <w:marBottom w:val="0"/>
          <w:divBdr>
            <w:top w:val="none" w:sz="0" w:space="0" w:color="auto"/>
            <w:left w:val="none" w:sz="0" w:space="0" w:color="auto"/>
            <w:bottom w:val="none" w:sz="0" w:space="0" w:color="auto"/>
            <w:right w:val="none" w:sz="0" w:space="0" w:color="auto"/>
          </w:divBdr>
        </w:div>
        <w:div w:id="598879909">
          <w:marLeft w:val="0"/>
          <w:marRight w:val="0"/>
          <w:marTop w:val="0"/>
          <w:marBottom w:val="0"/>
          <w:divBdr>
            <w:top w:val="none" w:sz="0" w:space="0" w:color="auto"/>
            <w:left w:val="none" w:sz="0" w:space="0" w:color="auto"/>
            <w:bottom w:val="none" w:sz="0" w:space="0" w:color="auto"/>
            <w:right w:val="none" w:sz="0" w:space="0" w:color="auto"/>
          </w:divBdr>
          <w:divsChild>
            <w:div w:id="72512841">
              <w:marLeft w:val="0"/>
              <w:marRight w:val="0"/>
              <w:marTop w:val="30"/>
              <w:marBottom w:val="30"/>
              <w:divBdr>
                <w:top w:val="none" w:sz="0" w:space="0" w:color="auto"/>
                <w:left w:val="none" w:sz="0" w:space="0" w:color="auto"/>
                <w:bottom w:val="none" w:sz="0" w:space="0" w:color="auto"/>
                <w:right w:val="none" w:sz="0" w:space="0" w:color="auto"/>
              </w:divBdr>
              <w:divsChild>
                <w:div w:id="1320604">
                  <w:marLeft w:val="0"/>
                  <w:marRight w:val="0"/>
                  <w:marTop w:val="0"/>
                  <w:marBottom w:val="0"/>
                  <w:divBdr>
                    <w:top w:val="none" w:sz="0" w:space="0" w:color="auto"/>
                    <w:left w:val="none" w:sz="0" w:space="0" w:color="auto"/>
                    <w:bottom w:val="none" w:sz="0" w:space="0" w:color="auto"/>
                    <w:right w:val="none" w:sz="0" w:space="0" w:color="auto"/>
                  </w:divBdr>
                  <w:divsChild>
                    <w:div w:id="1962103160">
                      <w:marLeft w:val="0"/>
                      <w:marRight w:val="0"/>
                      <w:marTop w:val="0"/>
                      <w:marBottom w:val="0"/>
                      <w:divBdr>
                        <w:top w:val="none" w:sz="0" w:space="0" w:color="auto"/>
                        <w:left w:val="none" w:sz="0" w:space="0" w:color="auto"/>
                        <w:bottom w:val="none" w:sz="0" w:space="0" w:color="auto"/>
                        <w:right w:val="none" w:sz="0" w:space="0" w:color="auto"/>
                      </w:divBdr>
                    </w:div>
                  </w:divsChild>
                </w:div>
                <w:div w:id="9071912">
                  <w:marLeft w:val="0"/>
                  <w:marRight w:val="0"/>
                  <w:marTop w:val="0"/>
                  <w:marBottom w:val="0"/>
                  <w:divBdr>
                    <w:top w:val="none" w:sz="0" w:space="0" w:color="auto"/>
                    <w:left w:val="none" w:sz="0" w:space="0" w:color="auto"/>
                    <w:bottom w:val="none" w:sz="0" w:space="0" w:color="auto"/>
                    <w:right w:val="none" w:sz="0" w:space="0" w:color="auto"/>
                  </w:divBdr>
                  <w:divsChild>
                    <w:div w:id="1853567543">
                      <w:marLeft w:val="0"/>
                      <w:marRight w:val="0"/>
                      <w:marTop w:val="0"/>
                      <w:marBottom w:val="0"/>
                      <w:divBdr>
                        <w:top w:val="none" w:sz="0" w:space="0" w:color="auto"/>
                        <w:left w:val="none" w:sz="0" w:space="0" w:color="auto"/>
                        <w:bottom w:val="none" w:sz="0" w:space="0" w:color="auto"/>
                        <w:right w:val="none" w:sz="0" w:space="0" w:color="auto"/>
                      </w:divBdr>
                    </w:div>
                  </w:divsChild>
                </w:div>
                <w:div w:id="43219325">
                  <w:marLeft w:val="0"/>
                  <w:marRight w:val="0"/>
                  <w:marTop w:val="0"/>
                  <w:marBottom w:val="0"/>
                  <w:divBdr>
                    <w:top w:val="none" w:sz="0" w:space="0" w:color="auto"/>
                    <w:left w:val="none" w:sz="0" w:space="0" w:color="auto"/>
                    <w:bottom w:val="none" w:sz="0" w:space="0" w:color="auto"/>
                    <w:right w:val="none" w:sz="0" w:space="0" w:color="auto"/>
                  </w:divBdr>
                  <w:divsChild>
                    <w:div w:id="1308511337">
                      <w:marLeft w:val="0"/>
                      <w:marRight w:val="0"/>
                      <w:marTop w:val="0"/>
                      <w:marBottom w:val="0"/>
                      <w:divBdr>
                        <w:top w:val="none" w:sz="0" w:space="0" w:color="auto"/>
                        <w:left w:val="none" w:sz="0" w:space="0" w:color="auto"/>
                        <w:bottom w:val="none" w:sz="0" w:space="0" w:color="auto"/>
                        <w:right w:val="none" w:sz="0" w:space="0" w:color="auto"/>
                      </w:divBdr>
                    </w:div>
                  </w:divsChild>
                </w:div>
                <w:div w:id="45640951">
                  <w:marLeft w:val="0"/>
                  <w:marRight w:val="0"/>
                  <w:marTop w:val="0"/>
                  <w:marBottom w:val="0"/>
                  <w:divBdr>
                    <w:top w:val="none" w:sz="0" w:space="0" w:color="auto"/>
                    <w:left w:val="none" w:sz="0" w:space="0" w:color="auto"/>
                    <w:bottom w:val="none" w:sz="0" w:space="0" w:color="auto"/>
                    <w:right w:val="none" w:sz="0" w:space="0" w:color="auto"/>
                  </w:divBdr>
                  <w:divsChild>
                    <w:div w:id="1512450908">
                      <w:marLeft w:val="0"/>
                      <w:marRight w:val="0"/>
                      <w:marTop w:val="0"/>
                      <w:marBottom w:val="0"/>
                      <w:divBdr>
                        <w:top w:val="none" w:sz="0" w:space="0" w:color="auto"/>
                        <w:left w:val="none" w:sz="0" w:space="0" w:color="auto"/>
                        <w:bottom w:val="none" w:sz="0" w:space="0" w:color="auto"/>
                        <w:right w:val="none" w:sz="0" w:space="0" w:color="auto"/>
                      </w:divBdr>
                    </w:div>
                  </w:divsChild>
                </w:div>
                <w:div w:id="70389932">
                  <w:marLeft w:val="0"/>
                  <w:marRight w:val="0"/>
                  <w:marTop w:val="0"/>
                  <w:marBottom w:val="0"/>
                  <w:divBdr>
                    <w:top w:val="none" w:sz="0" w:space="0" w:color="auto"/>
                    <w:left w:val="none" w:sz="0" w:space="0" w:color="auto"/>
                    <w:bottom w:val="none" w:sz="0" w:space="0" w:color="auto"/>
                    <w:right w:val="none" w:sz="0" w:space="0" w:color="auto"/>
                  </w:divBdr>
                  <w:divsChild>
                    <w:div w:id="1664162324">
                      <w:marLeft w:val="0"/>
                      <w:marRight w:val="0"/>
                      <w:marTop w:val="0"/>
                      <w:marBottom w:val="0"/>
                      <w:divBdr>
                        <w:top w:val="none" w:sz="0" w:space="0" w:color="auto"/>
                        <w:left w:val="none" w:sz="0" w:space="0" w:color="auto"/>
                        <w:bottom w:val="none" w:sz="0" w:space="0" w:color="auto"/>
                        <w:right w:val="none" w:sz="0" w:space="0" w:color="auto"/>
                      </w:divBdr>
                    </w:div>
                  </w:divsChild>
                </w:div>
                <w:div w:id="84033882">
                  <w:marLeft w:val="0"/>
                  <w:marRight w:val="0"/>
                  <w:marTop w:val="0"/>
                  <w:marBottom w:val="0"/>
                  <w:divBdr>
                    <w:top w:val="none" w:sz="0" w:space="0" w:color="auto"/>
                    <w:left w:val="none" w:sz="0" w:space="0" w:color="auto"/>
                    <w:bottom w:val="none" w:sz="0" w:space="0" w:color="auto"/>
                    <w:right w:val="none" w:sz="0" w:space="0" w:color="auto"/>
                  </w:divBdr>
                  <w:divsChild>
                    <w:div w:id="634985774">
                      <w:marLeft w:val="0"/>
                      <w:marRight w:val="0"/>
                      <w:marTop w:val="0"/>
                      <w:marBottom w:val="0"/>
                      <w:divBdr>
                        <w:top w:val="none" w:sz="0" w:space="0" w:color="auto"/>
                        <w:left w:val="none" w:sz="0" w:space="0" w:color="auto"/>
                        <w:bottom w:val="none" w:sz="0" w:space="0" w:color="auto"/>
                        <w:right w:val="none" w:sz="0" w:space="0" w:color="auto"/>
                      </w:divBdr>
                    </w:div>
                  </w:divsChild>
                </w:div>
                <w:div w:id="84572818">
                  <w:marLeft w:val="0"/>
                  <w:marRight w:val="0"/>
                  <w:marTop w:val="0"/>
                  <w:marBottom w:val="0"/>
                  <w:divBdr>
                    <w:top w:val="none" w:sz="0" w:space="0" w:color="auto"/>
                    <w:left w:val="none" w:sz="0" w:space="0" w:color="auto"/>
                    <w:bottom w:val="none" w:sz="0" w:space="0" w:color="auto"/>
                    <w:right w:val="none" w:sz="0" w:space="0" w:color="auto"/>
                  </w:divBdr>
                  <w:divsChild>
                    <w:div w:id="1015116418">
                      <w:marLeft w:val="0"/>
                      <w:marRight w:val="0"/>
                      <w:marTop w:val="0"/>
                      <w:marBottom w:val="0"/>
                      <w:divBdr>
                        <w:top w:val="none" w:sz="0" w:space="0" w:color="auto"/>
                        <w:left w:val="none" w:sz="0" w:space="0" w:color="auto"/>
                        <w:bottom w:val="none" w:sz="0" w:space="0" w:color="auto"/>
                        <w:right w:val="none" w:sz="0" w:space="0" w:color="auto"/>
                      </w:divBdr>
                    </w:div>
                  </w:divsChild>
                </w:div>
                <w:div w:id="88741893">
                  <w:marLeft w:val="0"/>
                  <w:marRight w:val="0"/>
                  <w:marTop w:val="0"/>
                  <w:marBottom w:val="0"/>
                  <w:divBdr>
                    <w:top w:val="none" w:sz="0" w:space="0" w:color="auto"/>
                    <w:left w:val="none" w:sz="0" w:space="0" w:color="auto"/>
                    <w:bottom w:val="none" w:sz="0" w:space="0" w:color="auto"/>
                    <w:right w:val="none" w:sz="0" w:space="0" w:color="auto"/>
                  </w:divBdr>
                  <w:divsChild>
                    <w:div w:id="399325318">
                      <w:marLeft w:val="0"/>
                      <w:marRight w:val="0"/>
                      <w:marTop w:val="0"/>
                      <w:marBottom w:val="0"/>
                      <w:divBdr>
                        <w:top w:val="none" w:sz="0" w:space="0" w:color="auto"/>
                        <w:left w:val="none" w:sz="0" w:space="0" w:color="auto"/>
                        <w:bottom w:val="none" w:sz="0" w:space="0" w:color="auto"/>
                        <w:right w:val="none" w:sz="0" w:space="0" w:color="auto"/>
                      </w:divBdr>
                    </w:div>
                  </w:divsChild>
                </w:div>
                <w:div w:id="88812656">
                  <w:marLeft w:val="0"/>
                  <w:marRight w:val="0"/>
                  <w:marTop w:val="0"/>
                  <w:marBottom w:val="0"/>
                  <w:divBdr>
                    <w:top w:val="none" w:sz="0" w:space="0" w:color="auto"/>
                    <w:left w:val="none" w:sz="0" w:space="0" w:color="auto"/>
                    <w:bottom w:val="none" w:sz="0" w:space="0" w:color="auto"/>
                    <w:right w:val="none" w:sz="0" w:space="0" w:color="auto"/>
                  </w:divBdr>
                  <w:divsChild>
                    <w:div w:id="1436973989">
                      <w:marLeft w:val="0"/>
                      <w:marRight w:val="0"/>
                      <w:marTop w:val="0"/>
                      <w:marBottom w:val="0"/>
                      <w:divBdr>
                        <w:top w:val="none" w:sz="0" w:space="0" w:color="auto"/>
                        <w:left w:val="none" w:sz="0" w:space="0" w:color="auto"/>
                        <w:bottom w:val="none" w:sz="0" w:space="0" w:color="auto"/>
                        <w:right w:val="none" w:sz="0" w:space="0" w:color="auto"/>
                      </w:divBdr>
                    </w:div>
                  </w:divsChild>
                </w:div>
                <w:div w:id="91828812">
                  <w:marLeft w:val="0"/>
                  <w:marRight w:val="0"/>
                  <w:marTop w:val="0"/>
                  <w:marBottom w:val="0"/>
                  <w:divBdr>
                    <w:top w:val="none" w:sz="0" w:space="0" w:color="auto"/>
                    <w:left w:val="none" w:sz="0" w:space="0" w:color="auto"/>
                    <w:bottom w:val="none" w:sz="0" w:space="0" w:color="auto"/>
                    <w:right w:val="none" w:sz="0" w:space="0" w:color="auto"/>
                  </w:divBdr>
                  <w:divsChild>
                    <w:div w:id="126893664">
                      <w:marLeft w:val="0"/>
                      <w:marRight w:val="0"/>
                      <w:marTop w:val="0"/>
                      <w:marBottom w:val="0"/>
                      <w:divBdr>
                        <w:top w:val="none" w:sz="0" w:space="0" w:color="auto"/>
                        <w:left w:val="none" w:sz="0" w:space="0" w:color="auto"/>
                        <w:bottom w:val="none" w:sz="0" w:space="0" w:color="auto"/>
                        <w:right w:val="none" w:sz="0" w:space="0" w:color="auto"/>
                      </w:divBdr>
                    </w:div>
                  </w:divsChild>
                </w:div>
                <w:div w:id="128716755">
                  <w:marLeft w:val="0"/>
                  <w:marRight w:val="0"/>
                  <w:marTop w:val="0"/>
                  <w:marBottom w:val="0"/>
                  <w:divBdr>
                    <w:top w:val="none" w:sz="0" w:space="0" w:color="auto"/>
                    <w:left w:val="none" w:sz="0" w:space="0" w:color="auto"/>
                    <w:bottom w:val="none" w:sz="0" w:space="0" w:color="auto"/>
                    <w:right w:val="none" w:sz="0" w:space="0" w:color="auto"/>
                  </w:divBdr>
                  <w:divsChild>
                    <w:div w:id="1027294303">
                      <w:marLeft w:val="0"/>
                      <w:marRight w:val="0"/>
                      <w:marTop w:val="0"/>
                      <w:marBottom w:val="0"/>
                      <w:divBdr>
                        <w:top w:val="none" w:sz="0" w:space="0" w:color="auto"/>
                        <w:left w:val="none" w:sz="0" w:space="0" w:color="auto"/>
                        <w:bottom w:val="none" w:sz="0" w:space="0" w:color="auto"/>
                        <w:right w:val="none" w:sz="0" w:space="0" w:color="auto"/>
                      </w:divBdr>
                    </w:div>
                  </w:divsChild>
                </w:div>
                <w:div w:id="143160790">
                  <w:marLeft w:val="0"/>
                  <w:marRight w:val="0"/>
                  <w:marTop w:val="0"/>
                  <w:marBottom w:val="0"/>
                  <w:divBdr>
                    <w:top w:val="none" w:sz="0" w:space="0" w:color="auto"/>
                    <w:left w:val="none" w:sz="0" w:space="0" w:color="auto"/>
                    <w:bottom w:val="none" w:sz="0" w:space="0" w:color="auto"/>
                    <w:right w:val="none" w:sz="0" w:space="0" w:color="auto"/>
                  </w:divBdr>
                  <w:divsChild>
                    <w:div w:id="448597480">
                      <w:marLeft w:val="0"/>
                      <w:marRight w:val="0"/>
                      <w:marTop w:val="0"/>
                      <w:marBottom w:val="0"/>
                      <w:divBdr>
                        <w:top w:val="none" w:sz="0" w:space="0" w:color="auto"/>
                        <w:left w:val="none" w:sz="0" w:space="0" w:color="auto"/>
                        <w:bottom w:val="none" w:sz="0" w:space="0" w:color="auto"/>
                        <w:right w:val="none" w:sz="0" w:space="0" w:color="auto"/>
                      </w:divBdr>
                    </w:div>
                  </w:divsChild>
                </w:div>
                <w:div w:id="175270083">
                  <w:marLeft w:val="0"/>
                  <w:marRight w:val="0"/>
                  <w:marTop w:val="0"/>
                  <w:marBottom w:val="0"/>
                  <w:divBdr>
                    <w:top w:val="none" w:sz="0" w:space="0" w:color="auto"/>
                    <w:left w:val="none" w:sz="0" w:space="0" w:color="auto"/>
                    <w:bottom w:val="none" w:sz="0" w:space="0" w:color="auto"/>
                    <w:right w:val="none" w:sz="0" w:space="0" w:color="auto"/>
                  </w:divBdr>
                  <w:divsChild>
                    <w:div w:id="999388405">
                      <w:marLeft w:val="0"/>
                      <w:marRight w:val="0"/>
                      <w:marTop w:val="0"/>
                      <w:marBottom w:val="0"/>
                      <w:divBdr>
                        <w:top w:val="none" w:sz="0" w:space="0" w:color="auto"/>
                        <w:left w:val="none" w:sz="0" w:space="0" w:color="auto"/>
                        <w:bottom w:val="none" w:sz="0" w:space="0" w:color="auto"/>
                        <w:right w:val="none" w:sz="0" w:space="0" w:color="auto"/>
                      </w:divBdr>
                    </w:div>
                  </w:divsChild>
                </w:div>
                <w:div w:id="175462110">
                  <w:marLeft w:val="0"/>
                  <w:marRight w:val="0"/>
                  <w:marTop w:val="0"/>
                  <w:marBottom w:val="0"/>
                  <w:divBdr>
                    <w:top w:val="none" w:sz="0" w:space="0" w:color="auto"/>
                    <w:left w:val="none" w:sz="0" w:space="0" w:color="auto"/>
                    <w:bottom w:val="none" w:sz="0" w:space="0" w:color="auto"/>
                    <w:right w:val="none" w:sz="0" w:space="0" w:color="auto"/>
                  </w:divBdr>
                  <w:divsChild>
                    <w:div w:id="986667208">
                      <w:marLeft w:val="0"/>
                      <w:marRight w:val="0"/>
                      <w:marTop w:val="0"/>
                      <w:marBottom w:val="0"/>
                      <w:divBdr>
                        <w:top w:val="none" w:sz="0" w:space="0" w:color="auto"/>
                        <w:left w:val="none" w:sz="0" w:space="0" w:color="auto"/>
                        <w:bottom w:val="none" w:sz="0" w:space="0" w:color="auto"/>
                        <w:right w:val="none" w:sz="0" w:space="0" w:color="auto"/>
                      </w:divBdr>
                    </w:div>
                  </w:divsChild>
                </w:div>
                <w:div w:id="176504927">
                  <w:marLeft w:val="0"/>
                  <w:marRight w:val="0"/>
                  <w:marTop w:val="0"/>
                  <w:marBottom w:val="0"/>
                  <w:divBdr>
                    <w:top w:val="none" w:sz="0" w:space="0" w:color="auto"/>
                    <w:left w:val="none" w:sz="0" w:space="0" w:color="auto"/>
                    <w:bottom w:val="none" w:sz="0" w:space="0" w:color="auto"/>
                    <w:right w:val="none" w:sz="0" w:space="0" w:color="auto"/>
                  </w:divBdr>
                  <w:divsChild>
                    <w:div w:id="156191376">
                      <w:marLeft w:val="0"/>
                      <w:marRight w:val="0"/>
                      <w:marTop w:val="0"/>
                      <w:marBottom w:val="0"/>
                      <w:divBdr>
                        <w:top w:val="none" w:sz="0" w:space="0" w:color="auto"/>
                        <w:left w:val="none" w:sz="0" w:space="0" w:color="auto"/>
                        <w:bottom w:val="none" w:sz="0" w:space="0" w:color="auto"/>
                        <w:right w:val="none" w:sz="0" w:space="0" w:color="auto"/>
                      </w:divBdr>
                    </w:div>
                  </w:divsChild>
                </w:div>
                <w:div w:id="209659570">
                  <w:marLeft w:val="0"/>
                  <w:marRight w:val="0"/>
                  <w:marTop w:val="0"/>
                  <w:marBottom w:val="0"/>
                  <w:divBdr>
                    <w:top w:val="none" w:sz="0" w:space="0" w:color="auto"/>
                    <w:left w:val="none" w:sz="0" w:space="0" w:color="auto"/>
                    <w:bottom w:val="none" w:sz="0" w:space="0" w:color="auto"/>
                    <w:right w:val="none" w:sz="0" w:space="0" w:color="auto"/>
                  </w:divBdr>
                  <w:divsChild>
                    <w:div w:id="2115323409">
                      <w:marLeft w:val="0"/>
                      <w:marRight w:val="0"/>
                      <w:marTop w:val="0"/>
                      <w:marBottom w:val="0"/>
                      <w:divBdr>
                        <w:top w:val="none" w:sz="0" w:space="0" w:color="auto"/>
                        <w:left w:val="none" w:sz="0" w:space="0" w:color="auto"/>
                        <w:bottom w:val="none" w:sz="0" w:space="0" w:color="auto"/>
                        <w:right w:val="none" w:sz="0" w:space="0" w:color="auto"/>
                      </w:divBdr>
                    </w:div>
                  </w:divsChild>
                </w:div>
                <w:div w:id="259339470">
                  <w:marLeft w:val="0"/>
                  <w:marRight w:val="0"/>
                  <w:marTop w:val="0"/>
                  <w:marBottom w:val="0"/>
                  <w:divBdr>
                    <w:top w:val="none" w:sz="0" w:space="0" w:color="auto"/>
                    <w:left w:val="none" w:sz="0" w:space="0" w:color="auto"/>
                    <w:bottom w:val="none" w:sz="0" w:space="0" w:color="auto"/>
                    <w:right w:val="none" w:sz="0" w:space="0" w:color="auto"/>
                  </w:divBdr>
                  <w:divsChild>
                    <w:div w:id="1533499298">
                      <w:marLeft w:val="0"/>
                      <w:marRight w:val="0"/>
                      <w:marTop w:val="0"/>
                      <w:marBottom w:val="0"/>
                      <w:divBdr>
                        <w:top w:val="none" w:sz="0" w:space="0" w:color="auto"/>
                        <w:left w:val="none" w:sz="0" w:space="0" w:color="auto"/>
                        <w:bottom w:val="none" w:sz="0" w:space="0" w:color="auto"/>
                        <w:right w:val="none" w:sz="0" w:space="0" w:color="auto"/>
                      </w:divBdr>
                    </w:div>
                  </w:divsChild>
                </w:div>
                <w:div w:id="259683535">
                  <w:marLeft w:val="0"/>
                  <w:marRight w:val="0"/>
                  <w:marTop w:val="0"/>
                  <w:marBottom w:val="0"/>
                  <w:divBdr>
                    <w:top w:val="none" w:sz="0" w:space="0" w:color="auto"/>
                    <w:left w:val="none" w:sz="0" w:space="0" w:color="auto"/>
                    <w:bottom w:val="none" w:sz="0" w:space="0" w:color="auto"/>
                    <w:right w:val="none" w:sz="0" w:space="0" w:color="auto"/>
                  </w:divBdr>
                  <w:divsChild>
                    <w:div w:id="1544555261">
                      <w:marLeft w:val="0"/>
                      <w:marRight w:val="0"/>
                      <w:marTop w:val="0"/>
                      <w:marBottom w:val="0"/>
                      <w:divBdr>
                        <w:top w:val="none" w:sz="0" w:space="0" w:color="auto"/>
                        <w:left w:val="none" w:sz="0" w:space="0" w:color="auto"/>
                        <w:bottom w:val="none" w:sz="0" w:space="0" w:color="auto"/>
                        <w:right w:val="none" w:sz="0" w:space="0" w:color="auto"/>
                      </w:divBdr>
                    </w:div>
                  </w:divsChild>
                </w:div>
                <w:div w:id="261031037">
                  <w:marLeft w:val="0"/>
                  <w:marRight w:val="0"/>
                  <w:marTop w:val="0"/>
                  <w:marBottom w:val="0"/>
                  <w:divBdr>
                    <w:top w:val="none" w:sz="0" w:space="0" w:color="auto"/>
                    <w:left w:val="none" w:sz="0" w:space="0" w:color="auto"/>
                    <w:bottom w:val="none" w:sz="0" w:space="0" w:color="auto"/>
                    <w:right w:val="none" w:sz="0" w:space="0" w:color="auto"/>
                  </w:divBdr>
                  <w:divsChild>
                    <w:div w:id="1500390349">
                      <w:marLeft w:val="0"/>
                      <w:marRight w:val="0"/>
                      <w:marTop w:val="0"/>
                      <w:marBottom w:val="0"/>
                      <w:divBdr>
                        <w:top w:val="none" w:sz="0" w:space="0" w:color="auto"/>
                        <w:left w:val="none" w:sz="0" w:space="0" w:color="auto"/>
                        <w:bottom w:val="none" w:sz="0" w:space="0" w:color="auto"/>
                        <w:right w:val="none" w:sz="0" w:space="0" w:color="auto"/>
                      </w:divBdr>
                    </w:div>
                  </w:divsChild>
                </w:div>
                <w:div w:id="263149584">
                  <w:marLeft w:val="0"/>
                  <w:marRight w:val="0"/>
                  <w:marTop w:val="0"/>
                  <w:marBottom w:val="0"/>
                  <w:divBdr>
                    <w:top w:val="none" w:sz="0" w:space="0" w:color="auto"/>
                    <w:left w:val="none" w:sz="0" w:space="0" w:color="auto"/>
                    <w:bottom w:val="none" w:sz="0" w:space="0" w:color="auto"/>
                    <w:right w:val="none" w:sz="0" w:space="0" w:color="auto"/>
                  </w:divBdr>
                  <w:divsChild>
                    <w:div w:id="1708749205">
                      <w:marLeft w:val="0"/>
                      <w:marRight w:val="0"/>
                      <w:marTop w:val="0"/>
                      <w:marBottom w:val="0"/>
                      <w:divBdr>
                        <w:top w:val="none" w:sz="0" w:space="0" w:color="auto"/>
                        <w:left w:val="none" w:sz="0" w:space="0" w:color="auto"/>
                        <w:bottom w:val="none" w:sz="0" w:space="0" w:color="auto"/>
                        <w:right w:val="none" w:sz="0" w:space="0" w:color="auto"/>
                      </w:divBdr>
                    </w:div>
                  </w:divsChild>
                </w:div>
                <w:div w:id="267276522">
                  <w:marLeft w:val="0"/>
                  <w:marRight w:val="0"/>
                  <w:marTop w:val="0"/>
                  <w:marBottom w:val="0"/>
                  <w:divBdr>
                    <w:top w:val="none" w:sz="0" w:space="0" w:color="auto"/>
                    <w:left w:val="none" w:sz="0" w:space="0" w:color="auto"/>
                    <w:bottom w:val="none" w:sz="0" w:space="0" w:color="auto"/>
                    <w:right w:val="none" w:sz="0" w:space="0" w:color="auto"/>
                  </w:divBdr>
                  <w:divsChild>
                    <w:div w:id="961957880">
                      <w:marLeft w:val="0"/>
                      <w:marRight w:val="0"/>
                      <w:marTop w:val="0"/>
                      <w:marBottom w:val="0"/>
                      <w:divBdr>
                        <w:top w:val="none" w:sz="0" w:space="0" w:color="auto"/>
                        <w:left w:val="none" w:sz="0" w:space="0" w:color="auto"/>
                        <w:bottom w:val="none" w:sz="0" w:space="0" w:color="auto"/>
                        <w:right w:val="none" w:sz="0" w:space="0" w:color="auto"/>
                      </w:divBdr>
                    </w:div>
                  </w:divsChild>
                </w:div>
                <w:div w:id="284695500">
                  <w:marLeft w:val="0"/>
                  <w:marRight w:val="0"/>
                  <w:marTop w:val="0"/>
                  <w:marBottom w:val="0"/>
                  <w:divBdr>
                    <w:top w:val="none" w:sz="0" w:space="0" w:color="auto"/>
                    <w:left w:val="none" w:sz="0" w:space="0" w:color="auto"/>
                    <w:bottom w:val="none" w:sz="0" w:space="0" w:color="auto"/>
                    <w:right w:val="none" w:sz="0" w:space="0" w:color="auto"/>
                  </w:divBdr>
                  <w:divsChild>
                    <w:div w:id="1825052167">
                      <w:marLeft w:val="0"/>
                      <w:marRight w:val="0"/>
                      <w:marTop w:val="0"/>
                      <w:marBottom w:val="0"/>
                      <w:divBdr>
                        <w:top w:val="none" w:sz="0" w:space="0" w:color="auto"/>
                        <w:left w:val="none" w:sz="0" w:space="0" w:color="auto"/>
                        <w:bottom w:val="none" w:sz="0" w:space="0" w:color="auto"/>
                        <w:right w:val="none" w:sz="0" w:space="0" w:color="auto"/>
                      </w:divBdr>
                    </w:div>
                  </w:divsChild>
                </w:div>
                <w:div w:id="285084582">
                  <w:marLeft w:val="0"/>
                  <w:marRight w:val="0"/>
                  <w:marTop w:val="0"/>
                  <w:marBottom w:val="0"/>
                  <w:divBdr>
                    <w:top w:val="none" w:sz="0" w:space="0" w:color="auto"/>
                    <w:left w:val="none" w:sz="0" w:space="0" w:color="auto"/>
                    <w:bottom w:val="none" w:sz="0" w:space="0" w:color="auto"/>
                    <w:right w:val="none" w:sz="0" w:space="0" w:color="auto"/>
                  </w:divBdr>
                  <w:divsChild>
                    <w:div w:id="1361853214">
                      <w:marLeft w:val="0"/>
                      <w:marRight w:val="0"/>
                      <w:marTop w:val="0"/>
                      <w:marBottom w:val="0"/>
                      <w:divBdr>
                        <w:top w:val="none" w:sz="0" w:space="0" w:color="auto"/>
                        <w:left w:val="none" w:sz="0" w:space="0" w:color="auto"/>
                        <w:bottom w:val="none" w:sz="0" w:space="0" w:color="auto"/>
                        <w:right w:val="none" w:sz="0" w:space="0" w:color="auto"/>
                      </w:divBdr>
                    </w:div>
                  </w:divsChild>
                </w:div>
                <w:div w:id="291131029">
                  <w:marLeft w:val="0"/>
                  <w:marRight w:val="0"/>
                  <w:marTop w:val="0"/>
                  <w:marBottom w:val="0"/>
                  <w:divBdr>
                    <w:top w:val="none" w:sz="0" w:space="0" w:color="auto"/>
                    <w:left w:val="none" w:sz="0" w:space="0" w:color="auto"/>
                    <w:bottom w:val="none" w:sz="0" w:space="0" w:color="auto"/>
                    <w:right w:val="none" w:sz="0" w:space="0" w:color="auto"/>
                  </w:divBdr>
                  <w:divsChild>
                    <w:div w:id="1292860448">
                      <w:marLeft w:val="0"/>
                      <w:marRight w:val="0"/>
                      <w:marTop w:val="0"/>
                      <w:marBottom w:val="0"/>
                      <w:divBdr>
                        <w:top w:val="none" w:sz="0" w:space="0" w:color="auto"/>
                        <w:left w:val="none" w:sz="0" w:space="0" w:color="auto"/>
                        <w:bottom w:val="none" w:sz="0" w:space="0" w:color="auto"/>
                        <w:right w:val="none" w:sz="0" w:space="0" w:color="auto"/>
                      </w:divBdr>
                    </w:div>
                  </w:divsChild>
                </w:div>
                <w:div w:id="315032029">
                  <w:marLeft w:val="0"/>
                  <w:marRight w:val="0"/>
                  <w:marTop w:val="0"/>
                  <w:marBottom w:val="0"/>
                  <w:divBdr>
                    <w:top w:val="none" w:sz="0" w:space="0" w:color="auto"/>
                    <w:left w:val="none" w:sz="0" w:space="0" w:color="auto"/>
                    <w:bottom w:val="none" w:sz="0" w:space="0" w:color="auto"/>
                    <w:right w:val="none" w:sz="0" w:space="0" w:color="auto"/>
                  </w:divBdr>
                  <w:divsChild>
                    <w:div w:id="1075513595">
                      <w:marLeft w:val="0"/>
                      <w:marRight w:val="0"/>
                      <w:marTop w:val="0"/>
                      <w:marBottom w:val="0"/>
                      <w:divBdr>
                        <w:top w:val="none" w:sz="0" w:space="0" w:color="auto"/>
                        <w:left w:val="none" w:sz="0" w:space="0" w:color="auto"/>
                        <w:bottom w:val="none" w:sz="0" w:space="0" w:color="auto"/>
                        <w:right w:val="none" w:sz="0" w:space="0" w:color="auto"/>
                      </w:divBdr>
                    </w:div>
                  </w:divsChild>
                </w:div>
                <w:div w:id="315686993">
                  <w:marLeft w:val="0"/>
                  <w:marRight w:val="0"/>
                  <w:marTop w:val="0"/>
                  <w:marBottom w:val="0"/>
                  <w:divBdr>
                    <w:top w:val="none" w:sz="0" w:space="0" w:color="auto"/>
                    <w:left w:val="none" w:sz="0" w:space="0" w:color="auto"/>
                    <w:bottom w:val="none" w:sz="0" w:space="0" w:color="auto"/>
                    <w:right w:val="none" w:sz="0" w:space="0" w:color="auto"/>
                  </w:divBdr>
                  <w:divsChild>
                    <w:div w:id="1172599169">
                      <w:marLeft w:val="0"/>
                      <w:marRight w:val="0"/>
                      <w:marTop w:val="0"/>
                      <w:marBottom w:val="0"/>
                      <w:divBdr>
                        <w:top w:val="none" w:sz="0" w:space="0" w:color="auto"/>
                        <w:left w:val="none" w:sz="0" w:space="0" w:color="auto"/>
                        <w:bottom w:val="none" w:sz="0" w:space="0" w:color="auto"/>
                        <w:right w:val="none" w:sz="0" w:space="0" w:color="auto"/>
                      </w:divBdr>
                    </w:div>
                  </w:divsChild>
                </w:div>
                <w:div w:id="323047343">
                  <w:marLeft w:val="0"/>
                  <w:marRight w:val="0"/>
                  <w:marTop w:val="0"/>
                  <w:marBottom w:val="0"/>
                  <w:divBdr>
                    <w:top w:val="none" w:sz="0" w:space="0" w:color="auto"/>
                    <w:left w:val="none" w:sz="0" w:space="0" w:color="auto"/>
                    <w:bottom w:val="none" w:sz="0" w:space="0" w:color="auto"/>
                    <w:right w:val="none" w:sz="0" w:space="0" w:color="auto"/>
                  </w:divBdr>
                  <w:divsChild>
                    <w:div w:id="1523862884">
                      <w:marLeft w:val="0"/>
                      <w:marRight w:val="0"/>
                      <w:marTop w:val="0"/>
                      <w:marBottom w:val="0"/>
                      <w:divBdr>
                        <w:top w:val="none" w:sz="0" w:space="0" w:color="auto"/>
                        <w:left w:val="none" w:sz="0" w:space="0" w:color="auto"/>
                        <w:bottom w:val="none" w:sz="0" w:space="0" w:color="auto"/>
                        <w:right w:val="none" w:sz="0" w:space="0" w:color="auto"/>
                      </w:divBdr>
                    </w:div>
                  </w:divsChild>
                </w:div>
                <w:div w:id="333610532">
                  <w:marLeft w:val="0"/>
                  <w:marRight w:val="0"/>
                  <w:marTop w:val="0"/>
                  <w:marBottom w:val="0"/>
                  <w:divBdr>
                    <w:top w:val="none" w:sz="0" w:space="0" w:color="auto"/>
                    <w:left w:val="none" w:sz="0" w:space="0" w:color="auto"/>
                    <w:bottom w:val="none" w:sz="0" w:space="0" w:color="auto"/>
                    <w:right w:val="none" w:sz="0" w:space="0" w:color="auto"/>
                  </w:divBdr>
                  <w:divsChild>
                    <w:div w:id="1739590420">
                      <w:marLeft w:val="0"/>
                      <w:marRight w:val="0"/>
                      <w:marTop w:val="0"/>
                      <w:marBottom w:val="0"/>
                      <w:divBdr>
                        <w:top w:val="none" w:sz="0" w:space="0" w:color="auto"/>
                        <w:left w:val="none" w:sz="0" w:space="0" w:color="auto"/>
                        <w:bottom w:val="none" w:sz="0" w:space="0" w:color="auto"/>
                        <w:right w:val="none" w:sz="0" w:space="0" w:color="auto"/>
                      </w:divBdr>
                    </w:div>
                  </w:divsChild>
                </w:div>
                <w:div w:id="355622999">
                  <w:marLeft w:val="0"/>
                  <w:marRight w:val="0"/>
                  <w:marTop w:val="0"/>
                  <w:marBottom w:val="0"/>
                  <w:divBdr>
                    <w:top w:val="none" w:sz="0" w:space="0" w:color="auto"/>
                    <w:left w:val="none" w:sz="0" w:space="0" w:color="auto"/>
                    <w:bottom w:val="none" w:sz="0" w:space="0" w:color="auto"/>
                    <w:right w:val="none" w:sz="0" w:space="0" w:color="auto"/>
                  </w:divBdr>
                  <w:divsChild>
                    <w:div w:id="338317288">
                      <w:marLeft w:val="0"/>
                      <w:marRight w:val="0"/>
                      <w:marTop w:val="0"/>
                      <w:marBottom w:val="0"/>
                      <w:divBdr>
                        <w:top w:val="none" w:sz="0" w:space="0" w:color="auto"/>
                        <w:left w:val="none" w:sz="0" w:space="0" w:color="auto"/>
                        <w:bottom w:val="none" w:sz="0" w:space="0" w:color="auto"/>
                        <w:right w:val="none" w:sz="0" w:space="0" w:color="auto"/>
                      </w:divBdr>
                    </w:div>
                  </w:divsChild>
                </w:div>
                <w:div w:id="360014637">
                  <w:marLeft w:val="0"/>
                  <w:marRight w:val="0"/>
                  <w:marTop w:val="0"/>
                  <w:marBottom w:val="0"/>
                  <w:divBdr>
                    <w:top w:val="none" w:sz="0" w:space="0" w:color="auto"/>
                    <w:left w:val="none" w:sz="0" w:space="0" w:color="auto"/>
                    <w:bottom w:val="none" w:sz="0" w:space="0" w:color="auto"/>
                    <w:right w:val="none" w:sz="0" w:space="0" w:color="auto"/>
                  </w:divBdr>
                  <w:divsChild>
                    <w:div w:id="1774936461">
                      <w:marLeft w:val="0"/>
                      <w:marRight w:val="0"/>
                      <w:marTop w:val="0"/>
                      <w:marBottom w:val="0"/>
                      <w:divBdr>
                        <w:top w:val="none" w:sz="0" w:space="0" w:color="auto"/>
                        <w:left w:val="none" w:sz="0" w:space="0" w:color="auto"/>
                        <w:bottom w:val="none" w:sz="0" w:space="0" w:color="auto"/>
                        <w:right w:val="none" w:sz="0" w:space="0" w:color="auto"/>
                      </w:divBdr>
                    </w:div>
                  </w:divsChild>
                </w:div>
                <w:div w:id="391150833">
                  <w:marLeft w:val="0"/>
                  <w:marRight w:val="0"/>
                  <w:marTop w:val="0"/>
                  <w:marBottom w:val="0"/>
                  <w:divBdr>
                    <w:top w:val="none" w:sz="0" w:space="0" w:color="auto"/>
                    <w:left w:val="none" w:sz="0" w:space="0" w:color="auto"/>
                    <w:bottom w:val="none" w:sz="0" w:space="0" w:color="auto"/>
                    <w:right w:val="none" w:sz="0" w:space="0" w:color="auto"/>
                  </w:divBdr>
                  <w:divsChild>
                    <w:div w:id="2093963271">
                      <w:marLeft w:val="0"/>
                      <w:marRight w:val="0"/>
                      <w:marTop w:val="0"/>
                      <w:marBottom w:val="0"/>
                      <w:divBdr>
                        <w:top w:val="none" w:sz="0" w:space="0" w:color="auto"/>
                        <w:left w:val="none" w:sz="0" w:space="0" w:color="auto"/>
                        <w:bottom w:val="none" w:sz="0" w:space="0" w:color="auto"/>
                        <w:right w:val="none" w:sz="0" w:space="0" w:color="auto"/>
                      </w:divBdr>
                    </w:div>
                  </w:divsChild>
                </w:div>
                <w:div w:id="421295045">
                  <w:marLeft w:val="0"/>
                  <w:marRight w:val="0"/>
                  <w:marTop w:val="0"/>
                  <w:marBottom w:val="0"/>
                  <w:divBdr>
                    <w:top w:val="none" w:sz="0" w:space="0" w:color="auto"/>
                    <w:left w:val="none" w:sz="0" w:space="0" w:color="auto"/>
                    <w:bottom w:val="none" w:sz="0" w:space="0" w:color="auto"/>
                    <w:right w:val="none" w:sz="0" w:space="0" w:color="auto"/>
                  </w:divBdr>
                  <w:divsChild>
                    <w:div w:id="475803749">
                      <w:marLeft w:val="0"/>
                      <w:marRight w:val="0"/>
                      <w:marTop w:val="0"/>
                      <w:marBottom w:val="0"/>
                      <w:divBdr>
                        <w:top w:val="none" w:sz="0" w:space="0" w:color="auto"/>
                        <w:left w:val="none" w:sz="0" w:space="0" w:color="auto"/>
                        <w:bottom w:val="none" w:sz="0" w:space="0" w:color="auto"/>
                        <w:right w:val="none" w:sz="0" w:space="0" w:color="auto"/>
                      </w:divBdr>
                    </w:div>
                  </w:divsChild>
                </w:div>
                <w:div w:id="422412007">
                  <w:marLeft w:val="0"/>
                  <w:marRight w:val="0"/>
                  <w:marTop w:val="0"/>
                  <w:marBottom w:val="0"/>
                  <w:divBdr>
                    <w:top w:val="none" w:sz="0" w:space="0" w:color="auto"/>
                    <w:left w:val="none" w:sz="0" w:space="0" w:color="auto"/>
                    <w:bottom w:val="none" w:sz="0" w:space="0" w:color="auto"/>
                    <w:right w:val="none" w:sz="0" w:space="0" w:color="auto"/>
                  </w:divBdr>
                  <w:divsChild>
                    <w:div w:id="660742877">
                      <w:marLeft w:val="0"/>
                      <w:marRight w:val="0"/>
                      <w:marTop w:val="0"/>
                      <w:marBottom w:val="0"/>
                      <w:divBdr>
                        <w:top w:val="none" w:sz="0" w:space="0" w:color="auto"/>
                        <w:left w:val="none" w:sz="0" w:space="0" w:color="auto"/>
                        <w:bottom w:val="none" w:sz="0" w:space="0" w:color="auto"/>
                        <w:right w:val="none" w:sz="0" w:space="0" w:color="auto"/>
                      </w:divBdr>
                    </w:div>
                  </w:divsChild>
                </w:div>
                <w:div w:id="434788781">
                  <w:marLeft w:val="0"/>
                  <w:marRight w:val="0"/>
                  <w:marTop w:val="0"/>
                  <w:marBottom w:val="0"/>
                  <w:divBdr>
                    <w:top w:val="none" w:sz="0" w:space="0" w:color="auto"/>
                    <w:left w:val="none" w:sz="0" w:space="0" w:color="auto"/>
                    <w:bottom w:val="none" w:sz="0" w:space="0" w:color="auto"/>
                    <w:right w:val="none" w:sz="0" w:space="0" w:color="auto"/>
                  </w:divBdr>
                  <w:divsChild>
                    <w:div w:id="1598826019">
                      <w:marLeft w:val="0"/>
                      <w:marRight w:val="0"/>
                      <w:marTop w:val="0"/>
                      <w:marBottom w:val="0"/>
                      <w:divBdr>
                        <w:top w:val="none" w:sz="0" w:space="0" w:color="auto"/>
                        <w:left w:val="none" w:sz="0" w:space="0" w:color="auto"/>
                        <w:bottom w:val="none" w:sz="0" w:space="0" w:color="auto"/>
                        <w:right w:val="none" w:sz="0" w:space="0" w:color="auto"/>
                      </w:divBdr>
                    </w:div>
                  </w:divsChild>
                </w:div>
                <w:div w:id="447822211">
                  <w:marLeft w:val="0"/>
                  <w:marRight w:val="0"/>
                  <w:marTop w:val="0"/>
                  <w:marBottom w:val="0"/>
                  <w:divBdr>
                    <w:top w:val="none" w:sz="0" w:space="0" w:color="auto"/>
                    <w:left w:val="none" w:sz="0" w:space="0" w:color="auto"/>
                    <w:bottom w:val="none" w:sz="0" w:space="0" w:color="auto"/>
                    <w:right w:val="none" w:sz="0" w:space="0" w:color="auto"/>
                  </w:divBdr>
                  <w:divsChild>
                    <w:div w:id="355011715">
                      <w:marLeft w:val="0"/>
                      <w:marRight w:val="0"/>
                      <w:marTop w:val="0"/>
                      <w:marBottom w:val="0"/>
                      <w:divBdr>
                        <w:top w:val="none" w:sz="0" w:space="0" w:color="auto"/>
                        <w:left w:val="none" w:sz="0" w:space="0" w:color="auto"/>
                        <w:bottom w:val="none" w:sz="0" w:space="0" w:color="auto"/>
                        <w:right w:val="none" w:sz="0" w:space="0" w:color="auto"/>
                      </w:divBdr>
                    </w:div>
                  </w:divsChild>
                </w:div>
                <w:div w:id="453598504">
                  <w:marLeft w:val="0"/>
                  <w:marRight w:val="0"/>
                  <w:marTop w:val="0"/>
                  <w:marBottom w:val="0"/>
                  <w:divBdr>
                    <w:top w:val="none" w:sz="0" w:space="0" w:color="auto"/>
                    <w:left w:val="none" w:sz="0" w:space="0" w:color="auto"/>
                    <w:bottom w:val="none" w:sz="0" w:space="0" w:color="auto"/>
                    <w:right w:val="none" w:sz="0" w:space="0" w:color="auto"/>
                  </w:divBdr>
                  <w:divsChild>
                    <w:div w:id="817266114">
                      <w:marLeft w:val="0"/>
                      <w:marRight w:val="0"/>
                      <w:marTop w:val="0"/>
                      <w:marBottom w:val="0"/>
                      <w:divBdr>
                        <w:top w:val="none" w:sz="0" w:space="0" w:color="auto"/>
                        <w:left w:val="none" w:sz="0" w:space="0" w:color="auto"/>
                        <w:bottom w:val="none" w:sz="0" w:space="0" w:color="auto"/>
                        <w:right w:val="none" w:sz="0" w:space="0" w:color="auto"/>
                      </w:divBdr>
                    </w:div>
                  </w:divsChild>
                </w:div>
                <w:div w:id="462623890">
                  <w:marLeft w:val="0"/>
                  <w:marRight w:val="0"/>
                  <w:marTop w:val="0"/>
                  <w:marBottom w:val="0"/>
                  <w:divBdr>
                    <w:top w:val="none" w:sz="0" w:space="0" w:color="auto"/>
                    <w:left w:val="none" w:sz="0" w:space="0" w:color="auto"/>
                    <w:bottom w:val="none" w:sz="0" w:space="0" w:color="auto"/>
                    <w:right w:val="none" w:sz="0" w:space="0" w:color="auto"/>
                  </w:divBdr>
                  <w:divsChild>
                    <w:div w:id="1718704972">
                      <w:marLeft w:val="0"/>
                      <w:marRight w:val="0"/>
                      <w:marTop w:val="0"/>
                      <w:marBottom w:val="0"/>
                      <w:divBdr>
                        <w:top w:val="none" w:sz="0" w:space="0" w:color="auto"/>
                        <w:left w:val="none" w:sz="0" w:space="0" w:color="auto"/>
                        <w:bottom w:val="none" w:sz="0" w:space="0" w:color="auto"/>
                        <w:right w:val="none" w:sz="0" w:space="0" w:color="auto"/>
                      </w:divBdr>
                    </w:div>
                  </w:divsChild>
                </w:div>
                <w:div w:id="476074412">
                  <w:marLeft w:val="0"/>
                  <w:marRight w:val="0"/>
                  <w:marTop w:val="0"/>
                  <w:marBottom w:val="0"/>
                  <w:divBdr>
                    <w:top w:val="none" w:sz="0" w:space="0" w:color="auto"/>
                    <w:left w:val="none" w:sz="0" w:space="0" w:color="auto"/>
                    <w:bottom w:val="none" w:sz="0" w:space="0" w:color="auto"/>
                    <w:right w:val="none" w:sz="0" w:space="0" w:color="auto"/>
                  </w:divBdr>
                  <w:divsChild>
                    <w:div w:id="1636521771">
                      <w:marLeft w:val="0"/>
                      <w:marRight w:val="0"/>
                      <w:marTop w:val="0"/>
                      <w:marBottom w:val="0"/>
                      <w:divBdr>
                        <w:top w:val="none" w:sz="0" w:space="0" w:color="auto"/>
                        <w:left w:val="none" w:sz="0" w:space="0" w:color="auto"/>
                        <w:bottom w:val="none" w:sz="0" w:space="0" w:color="auto"/>
                        <w:right w:val="none" w:sz="0" w:space="0" w:color="auto"/>
                      </w:divBdr>
                    </w:div>
                  </w:divsChild>
                </w:div>
                <w:div w:id="499005037">
                  <w:marLeft w:val="0"/>
                  <w:marRight w:val="0"/>
                  <w:marTop w:val="0"/>
                  <w:marBottom w:val="0"/>
                  <w:divBdr>
                    <w:top w:val="none" w:sz="0" w:space="0" w:color="auto"/>
                    <w:left w:val="none" w:sz="0" w:space="0" w:color="auto"/>
                    <w:bottom w:val="none" w:sz="0" w:space="0" w:color="auto"/>
                    <w:right w:val="none" w:sz="0" w:space="0" w:color="auto"/>
                  </w:divBdr>
                  <w:divsChild>
                    <w:div w:id="145435658">
                      <w:marLeft w:val="0"/>
                      <w:marRight w:val="0"/>
                      <w:marTop w:val="0"/>
                      <w:marBottom w:val="0"/>
                      <w:divBdr>
                        <w:top w:val="none" w:sz="0" w:space="0" w:color="auto"/>
                        <w:left w:val="none" w:sz="0" w:space="0" w:color="auto"/>
                        <w:bottom w:val="none" w:sz="0" w:space="0" w:color="auto"/>
                        <w:right w:val="none" w:sz="0" w:space="0" w:color="auto"/>
                      </w:divBdr>
                    </w:div>
                  </w:divsChild>
                </w:div>
                <w:div w:id="503470667">
                  <w:marLeft w:val="0"/>
                  <w:marRight w:val="0"/>
                  <w:marTop w:val="0"/>
                  <w:marBottom w:val="0"/>
                  <w:divBdr>
                    <w:top w:val="none" w:sz="0" w:space="0" w:color="auto"/>
                    <w:left w:val="none" w:sz="0" w:space="0" w:color="auto"/>
                    <w:bottom w:val="none" w:sz="0" w:space="0" w:color="auto"/>
                    <w:right w:val="none" w:sz="0" w:space="0" w:color="auto"/>
                  </w:divBdr>
                  <w:divsChild>
                    <w:div w:id="891036815">
                      <w:marLeft w:val="0"/>
                      <w:marRight w:val="0"/>
                      <w:marTop w:val="0"/>
                      <w:marBottom w:val="0"/>
                      <w:divBdr>
                        <w:top w:val="none" w:sz="0" w:space="0" w:color="auto"/>
                        <w:left w:val="none" w:sz="0" w:space="0" w:color="auto"/>
                        <w:bottom w:val="none" w:sz="0" w:space="0" w:color="auto"/>
                        <w:right w:val="none" w:sz="0" w:space="0" w:color="auto"/>
                      </w:divBdr>
                    </w:div>
                  </w:divsChild>
                </w:div>
                <w:div w:id="512306425">
                  <w:marLeft w:val="0"/>
                  <w:marRight w:val="0"/>
                  <w:marTop w:val="0"/>
                  <w:marBottom w:val="0"/>
                  <w:divBdr>
                    <w:top w:val="none" w:sz="0" w:space="0" w:color="auto"/>
                    <w:left w:val="none" w:sz="0" w:space="0" w:color="auto"/>
                    <w:bottom w:val="none" w:sz="0" w:space="0" w:color="auto"/>
                    <w:right w:val="none" w:sz="0" w:space="0" w:color="auto"/>
                  </w:divBdr>
                  <w:divsChild>
                    <w:div w:id="803498095">
                      <w:marLeft w:val="0"/>
                      <w:marRight w:val="0"/>
                      <w:marTop w:val="0"/>
                      <w:marBottom w:val="0"/>
                      <w:divBdr>
                        <w:top w:val="none" w:sz="0" w:space="0" w:color="auto"/>
                        <w:left w:val="none" w:sz="0" w:space="0" w:color="auto"/>
                        <w:bottom w:val="none" w:sz="0" w:space="0" w:color="auto"/>
                        <w:right w:val="none" w:sz="0" w:space="0" w:color="auto"/>
                      </w:divBdr>
                    </w:div>
                  </w:divsChild>
                </w:div>
                <w:div w:id="512845493">
                  <w:marLeft w:val="0"/>
                  <w:marRight w:val="0"/>
                  <w:marTop w:val="0"/>
                  <w:marBottom w:val="0"/>
                  <w:divBdr>
                    <w:top w:val="none" w:sz="0" w:space="0" w:color="auto"/>
                    <w:left w:val="none" w:sz="0" w:space="0" w:color="auto"/>
                    <w:bottom w:val="none" w:sz="0" w:space="0" w:color="auto"/>
                    <w:right w:val="none" w:sz="0" w:space="0" w:color="auto"/>
                  </w:divBdr>
                  <w:divsChild>
                    <w:div w:id="803229565">
                      <w:marLeft w:val="0"/>
                      <w:marRight w:val="0"/>
                      <w:marTop w:val="0"/>
                      <w:marBottom w:val="0"/>
                      <w:divBdr>
                        <w:top w:val="none" w:sz="0" w:space="0" w:color="auto"/>
                        <w:left w:val="none" w:sz="0" w:space="0" w:color="auto"/>
                        <w:bottom w:val="none" w:sz="0" w:space="0" w:color="auto"/>
                        <w:right w:val="none" w:sz="0" w:space="0" w:color="auto"/>
                      </w:divBdr>
                    </w:div>
                  </w:divsChild>
                </w:div>
                <w:div w:id="547575581">
                  <w:marLeft w:val="0"/>
                  <w:marRight w:val="0"/>
                  <w:marTop w:val="0"/>
                  <w:marBottom w:val="0"/>
                  <w:divBdr>
                    <w:top w:val="none" w:sz="0" w:space="0" w:color="auto"/>
                    <w:left w:val="none" w:sz="0" w:space="0" w:color="auto"/>
                    <w:bottom w:val="none" w:sz="0" w:space="0" w:color="auto"/>
                    <w:right w:val="none" w:sz="0" w:space="0" w:color="auto"/>
                  </w:divBdr>
                  <w:divsChild>
                    <w:div w:id="86317689">
                      <w:marLeft w:val="0"/>
                      <w:marRight w:val="0"/>
                      <w:marTop w:val="0"/>
                      <w:marBottom w:val="0"/>
                      <w:divBdr>
                        <w:top w:val="none" w:sz="0" w:space="0" w:color="auto"/>
                        <w:left w:val="none" w:sz="0" w:space="0" w:color="auto"/>
                        <w:bottom w:val="none" w:sz="0" w:space="0" w:color="auto"/>
                        <w:right w:val="none" w:sz="0" w:space="0" w:color="auto"/>
                      </w:divBdr>
                    </w:div>
                  </w:divsChild>
                </w:div>
                <w:div w:id="548230565">
                  <w:marLeft w:val="0"/>
                  <w:marRight w:val="0"/>
                  <w:marTop w:val="0"/>
                  <w:marBottom w:val="0"/>
                  <w:divBdr>
                    <w:top w:val="none" w:sz="0" w:space="0" w:color="auto"/>
                    <w:left w:val="none" w:sz="0" w:space="0" w:color="auto"/>
                    <w:bottom w:val="none" w:sz="0" w:space="0" w:color="auto"/>
                    <w:right w:val="none" w:sz="0" w:space="0" w:color="auto"/>
                  </w:divBdr>
                  <w:divsChild>
                    <w:div w:id="1671059396">
                      <w:marLeft w:val="0"/>
                      <w:marRight w:val="0"/>
                      <w:marTop w:val="0"/>
                      <w:marBottom w:val="0"/>
                      <w:divBdr>
                        <w:top w:val="none" w:sz="0" w:space="0" w:color="auto"/>
                        <w:left w:val="none" w:sz="0" w:space="0" w:color="auto"/>
                        <w:bottom w:val="none" w:sz="0" w:space="0" w:color="auto"/>
                        <w:right w:val="none" w:sz="0" w:space="0" w:color="auto"/>
                      </w:divBdr>
                    </w:div>
                  </w:divsChild>
                </w:div>
                <w:div w:id="600842960">
                  <w:marLeft w:val="0"/>
                  <w:marRight w:val="0"/>
                  <w:marTop w:val="0"/>
                  <w:marBottom w:val="0"/>
                  <w:divBdr>
                    <w:top w:val="none" w:sz="0" w:space="0" w:color="auto"/>
                    <w:left w:val="none" w:sz="0" w:space="0" w:color="auto"/>
                    <w:bottom w:val="none" w:sz="0" w:space="0" w:color="auto"/>
                    <w:right w:val="none" w:sz="0" w:space="0" w:color="auto"/>
                  </w:divBdr>
                  <w:divsChild>
                    <w:div w:id="546182997">
                      <w:marLeft w:val="0"/>
                      <w:marRight w:val="0"/>
                      <w:marTop w:val="0"/>
                      <w:marBottom w:val="0"/>
                      <w:divBdr>
                        <w:top w:val="none" w:sz="0" w:space="0" w:color="auto"/>
                        <w:left w:val="none" w:sz="0" w:space="0" w:color="auto"/>
                        <w:bottom w:val="none" w:sz="0" w:space="0" w:color="auto"/>
                        <w:right w:val="none" w:sz="0" w:space="0" w:color="auto"/>
                      </w:divBdr>
                    </w:div>
                  </w:divsChild>
                </w:div>
                <w:div w:id="600912756">
                  <w:marLeft w:val="0"/>
                  <w:marRight w:val="0"/>
                  <w:marTop w:val="0"/>
                  <w:marBottom w:val="0"/>
                  <w:divBdr>
                    <w:top w:val="none" w:sz="0" w:space="0" w:color="auto"/>
                    <w:left w:val="none" w:sz="0" w:space="0" w:color="auto"/>
                    <w:bottom w:val="none" w:sz="0" w:space="0" w:color="auto"/>
                    <w:right w:val="none" w:sz="0" w:space="0" w:color="auto"/>
                  </w:divBdr>
                  <w:divsChild>
                    <w:div w:id="1131093442">
                      <w:marLeft w:val="0"/>
                      <w:marRight w:val="0"/>
                      <w:marTop w:val="0"/>
                      <w:marBottom w:val="0"/>
                      <w:divBdr>
                        <w:top w:val="none" w:sz="0" w:space="0" w:color="auto"/>
                        <w:left w:val="none" w:sz="0" w:space="0" w:color="auto"/>
                        <w:bottom w:val="none" w:sz="0" w:space="0" w:color="auto"/>
                        <w:right w:val="none" w:sz="0" w:space="0" w:color="auto"/>
                      </w:divBdr>
                    </w:div>
                  </w:divsChild>
                </w:div>
                <w:div w:id="604844615">
                  <w:marLeft w:val="0"/>
                  <w:marRight w:val="0"/>
                  <w:marTop w:val="0"/>
                  <w:marBottom w:val="0"/>
                  <w:divBdr>
                    <w:top w:val="none" w:sz="0" w:space="0" w:color="auto"/>
                    <w:left w:val="none" w:sz="0" w:space="0" w:color="auto"/>
                    <w:bottom w:val="none" w:sz="0" w:space="0" w:color="auto"/>
                    <w:right w:val="none" w:sz="0" w:space="0" w:color="auto"/>
                  </w:divBdr>
                  <w:divsChild>
                    <w:div w:id="2128379850">
                      <w:marLeft w:val="0"/>
                      <w:marRight w:val="0"/>
                      <w:marTop w:val="0"/>
                      <w:marBottom w:val="0"/>
                      <w:divBdr>
                        <w:top w:val="none" w:sz="0" w:space="0" w:color="auto"/>
                        <w:left w:val="none" w:sz="0" w:space="0" w:color="auto"/>
                        <w:bottom w:val="none" w:sz="0" w:space="0" w:color="auto"/>
                        <w:right w:val="none" w:sz="0" w:space="0" w:color="auto"/>
                      </w:divBdr>
                    </w:div>
                  </w:divsChild>
                </w:div>
                <w:div w:id="617300508">
                  <w:marLeft w:val="0"/>
                  <w:marRight w:val="0"/>
                  <w:marTop w:val="0"/>
                  <w:marBottom w:val="0"/>
                  <w:divBdr>
                    <w:top w:val="none" w:sz="0" w:space="0" w:color="auto"/>
                    <w:left w:val="none" w:sz="0" w:space="0" w:color="auto"/>
                    <w:bottom w:val="none" w:sz="0" w:space="0" w:color="auto"/>
                    <w:right w:val="none" w:sz="0" w:space="0" w:color="auto"/>
                  </w:divBdr>
                  <w:divsChild>
                    <w:div w:id="436021639">
                      <w:marLeft w:val="0"/>
                      <w:marRight w:val="0"/>
                      <w:marTop w:val="0"/>
                      <w:marBottom w:val="0"/>
                      <w:divBdr>
                        <w:top w:val="none" w:sz="0" w:space="0" w:color="auto"/>
                        <w:left w:val="none" w:sz="0" w:space="0" w:color="auto"/>
                        <w:bottom w:val="none" w:sz="0" w:space="0" w:color="auto"/>
                        <w:right w:val="none" w:sz="0" w:space="0" w:color="auto"/>
                      </w:divBdr>
                    </w:div>
                  </w:divsChild>
                </w:div>
                <w:div w:id="617757812">
                  <w:marLeft w:val="0"/>
                  <w:marRight w:val="0"/>
                  <w:marTop w:val="0"/>
                  <w:marBottom w:val="0"/>
                  <w:divBdr>
                    <w:top w:val="none" w:sz="0" w:space="0" w:color="auto"/>
                    <w:left w:val="none" w:sz="0" w:space="0" w:color="auto"/>
                    <w:bottom w:val="none" w:sz="0" w:space="0" w:color="auto"/>
                    <w:right w:val="none" w:sz="0" w:space="0" w:color="auto"/>
                  </w:divBdr>
                  <w:divsChild>
                    <w:div w:id="259416592">
                      <w:marLeft w:val="0"/>
                      <w:marRight w:val="0"/>
                      <w:marTop w:val="0"/>
                      <w:marBottom w:val="0"/>
                      <w:divBdr>
                        <w:top w:val="none" w:sz="0" w:space="0" w:color="auto"/>
                        <w:left w:val="none" w:sz="0" w:space="0" w:color="auto"/>
                        <w:bottom w:val="none" w:sz="0" w:space="0" w:color="auto"/>
                        <w:right w:val="none" w:sz="0" w:space="0" w:color="auto"/>
                      </w:divBdr>
                    </w:div>
                  </w:divsChild>
                </w:div>
                <w:div w:id="619649479">
                  <w:marLeft w:val="0"/>
                  <w:marRight w:val="0"/>
                  <w:marTop w:val="0"/>
                  <w:marBottom w:val="0"/>
                  <w:divBdr>
                    <w:top w:val="none" w:sz="0" w:space="0" w:color="auto"/>
                    <w:left w:val="none" w:sz="0" w:space="0" w:color="auto"/>
                    <w:bottom w:val="none" w:sz="0" w:space="0" w:color="auto"/>
                    <w:right w:val="none" w:sz="0" w:space="0" w:color="auto"/>
                  </w:divBdr>
                  <w:divsChild>
                    <w:div w:id="2133816636">
                      <w:marLeft w:val="0"/>
                      <w:marRight w:val="0"/>
                      <w:marTop w:val="0"/>
                      <w:marBottom w:val="0"/>
                      <w:divBdr>
                        <w:top w:val="none" w:sz="0" w:space="0" w:color="auto"/>
                        <w:left w:val="none" w:sz="0" w:space="0" w:color="auto"/>
                        <w:bottom w:val="none" w:sz="0" w:space="0" w:color="auto"/>
                        <w:right w:val="none" w:sz="0" w:space="0" w:color="auto"/>
                      </w:divBdr>
                    </w:div>
                  </w:divsChild>
                </w:div>
                <w:div w:id="627318940">
                  <w:marLeft w:val="0"/>
                  <w:marRight w:val="0"/>
                  <w:marTop w:val="0"/>
                  <w:marBottom w:val="0"/>
                  <w:divBdr>
                    <w:top w:val="none" w:sz="0" w:space="0" w:color="auto"/>
                    <w:left w:val="none" w:sz="0" w:space="0" w:color="auto"/>
                    <w:bottom w:val="none" w:sz="0" w:space="0" w:color="auto"/>
                    <w:right w:val="none" w:sz="0" w:space="0" w:color="auto"/>
                  </w:divBdr>
                  <w:divsChild>
                    <w:div w:id="29310137">
                      <w:marLeft w:val="0"/>
                      <w:marRight w:val="0"/>
                      <w:marTop w:val="0"/>
                      <w:marBottom w:val="0"/>
                      <w:divBdr>
                        <w:top w:val="none" w:sz="0" w:space="0" w:color="auto"/>
                        <w:left w:val="none" w:sz="0" w:space="0" w:color="auto"/>
                        <w:bottom w:val="none" w:sz="0" w:space="0" w:color="auto"/>
                        <w:right w:val="none" w:sz="0" w:space="0" w:color="auto"/>
                      </w:divBdr>
                    </w:div>
                  </w:divsChild>
                </w:div>
                <w:div w:id="628897164">
                  <w:marLeft w:val="0"/>
                  <w:marRight w:val="0"/>
                  <w:marTop w:val="0"/>
                  <w:marBottom w:val="0"/>
                  <w:divBdr>
                    <w:top w:val="none" w:sz="0" w:space="0" w:color="auto"/>
                    <w:left w:val="none" w:sz="0" w:space="0" w:color="auto"/>
                    <w:bottom w:val="none" w:sz="0" w:space="0" w:color="auto"/>
                    <w:right w:val="none" w:sz="0" w:space="0" w:color="auto"/>
                  </w:divBdr>
                  <w:divsChild>
                    <w:div w:id="662049904">
                      <w:marLeft w:val="0"/>
                      <w:marRight w:val="0"/>
                      <w:marTop w:val="0"/>
                      <w:marBottom w:val="0"/>
                      <w:divBdr>
                        <w:top w:val="none" w:sz="0" w:space="0" w:color="auto"/>
                        <w:left w:val="none" w:sz="0" w:space="0" w:color="auto"/>
                        <w:bottom w:val="none" w:sz="0" w:space="0" w:color="auto"/>
                        <w:right w:val="none" w:sz="0" w:space="0" w:color="auto"/>
                      </w:divBdr>
                    </w:div>
                  </w:divsChild>
                </w:div>
                <w:div w:id="639577590">
                  <w:marLeft w:val="0"/>
                  <w:marRight w:val="0"/>
                  <w:marTop w:val="0"/>
                  <w:marBottom w:val="0"/>
                  <w:divBdr>
                    <w:top w:val="none" w:sz="0" w:space="0" w:color="auto"/>
                    <w:left w:val="none" w:sz="0" w:space="0" w:color="auto"/>
                    <w:bottom w:val="none" w:sz="0" w:space="0" w:color="auto"/>
                    <w:right w:val="none" w:sz="0" w:space="0" w:color="auto"/>
                  </w:divBdr>
                  <w:divsChild>
                    <w:div w:id="753625166">
                      <w:marLeft w:val="0"/>
                      <w:marRight w:val="0"/>
                      <w:marTop w:val="0"/>
                      <w:marBottom w:val="0"/>
                      <w:divBdr>
                        <w:top w:val="none" w:sz="0" w:space="0" w:color="auto"/>
                        <w:left w:val="none" w:sz="0" w:space="0" w:color="auto"/>
                        <w:bottom w:val="none" w:sz="0" w:space="0" w:color="auto"/>
                        <w:right w:val="none" w:sz="0" w:space="0" w:color="auto"/>
                      </w:divBdr>
                    </w:div>
                  </w:divsChild>
                </w:div>
                <w:div w:id="639698472">
                  <w:marLeft w:val="0"/>
                  <w:marRight w:val="0"/>
                  <w:marTop w:val="0"/>
                  <w:marBottom w:val="0"/>
                  <w:divBdr>
                    <w:top w:val="none" w:sz="0" w:space="0" w:color="auto"/>
                    <w:left w:val="none" w:sz="0" w:space="0" w:color="auto"/>
                    <w:bottom w:val="none" w:sz="0" w:space="0" w:color="auto"/>
                    <w:right w:val="none" w:sz="0" w:space="0" w:color="auto"/>
                  </w:divBdr>
                  <w:divsChild>
                    <w:div w:id="1544096596">
                      <w:marLeft w:val="0"/>
                      <w:marRight w:val="0"/>
                      <w:marTop w:val="0"/>
                      <w:marBottom w:val="0"/>
                      <w:divBdr>
                        <w:top w:val="none" w:sz="0" w:space="0" w:color="auto"/>
                        <w:left w:val="none" w:sz="0" w:space="0" w:color="auto"/>
                        <w:bottom w:val="none" w:sz="0" w:space="0" w:color="auto"/>
                        <w:right w:val="none" w:sz="0" w:space="0" w:color="auto"/>
                      </w:divBdr>
                    </w:div>
                  </w:divsChild>
                </w:div>
                <w:div w:id="660698194">
                  <w:marLeft w:val="0"/>
                  <w:marRight w:val="0"/>
                  <w:marTop w:val="0"/>
                  <w:marBottom w:val="0"/>
                  <w:divBdr>
                    <w:top w:val="none" w:sz="0" w:space="0" w:color="auto"/>
                    <w:left w:val="none" w:sz="0" w:space="0" w:color="auto"/>
                    <w:bottom w:val="none" w:sz="0" w:space="0" w:color="auto"/>
                    <w:right w:val="none" w:sz="0" w:space="0" w:color="auto"/>
                  </w:divBdr>
                  <w:divsChild>
                    <w:div w:id="2105572585">
                      <w:marLeft w:val="0"/>
                      <w:marRight w:val="0"/>
                      <w:marTop w:val="0"/>
                      <w:marBottom w:val="0"/>
                      <w:divBdr>
                        <w:top w:val="none" w:sz="0" w:space="0" w:color="auto"/>
                        <w:left w:val="none" w:sz="0" w:space="0" w:color="auto"/>
                        <w:bottom w:val="none" w:sz="0" w:space="0" w:color="auto"/>
                        <w:right w:val="none" w:sz="0" w:space="0" w:color="auto"/>
                      </w:divBdr>
                    </w:div>
                  </w:divsChild>
                </w:div>
                <w:div w:id="670988402">
                  <w:marLeft w:val="0"/>
                  <w:marRight w:val="0"/>
                  <w:marTop w:val="0"/>
                  <w:marBottom w:val="0"/>
                  <w:divBdr>
                    <w:top w:val="none" w:sz="0" w:space="0" w:color="auto"/>
                    <w:left w:val="none" w:sz="0" w:space="0" w:color="auto"/>
                    <w:bottom w:val="none" w:sz="0" w:space="0" w:color="auto"/>
                    <w:right w:val="none" w:sz="0" w:space="0" w:color="auto"/>
                  </w:divBdr>
                  <w:divsChild>
                    <w:div w:id="1311979945">
                      <w:marLeft w:val="0"/>
                      <w:marRight w:val="0"/>
                      <w:marTop w:val="0"/>
                      <w:marBottom w:val="0"/>
                      <w:divBdr>
                        <w:top w:val="none" w:sz="0" w:space="0" w:color="auto"/>
                        <w:left w:val="none" w:sz="0" w:space="0" w:color="auto"/>
                        <w:bottom w:val="none" w:sz="0" w:space="0" w:color="auto"/>
                        <w:right w:val="none" w:sz="0" w:space="0" w:color="auto"/>
                      </w:divBdr>
                    </w:div>
                  </w:divsChild>
                </w:div>
                <w:div w:id="681054962">
                  <w:marLeft w:val="0"/>
                  <w:marRight w:val="0"/>
                  <w:marTop w:val="0"/>
                  <w:marBottom w:val="0"/>
                  <w:divBdr>
                    <w:top w:val="none" w:sz="0" w:space="0" w:color="auto"/>
                    <w:left w:val="none" w:sz="0" w:space="0" w:color="auto"/>
                    <w:bottom w:val="none" w:sz="0" w:space="0" w:color="auto"/>
                    <w:right w:val="none" w:sz="0" w:space="0" w:color="auto"/>
                  </w:divBdr>
                  <w:divsChild>
                    <w:div w:id="1879926375">
                      <w:marLeft w:val="0"/>
                      <w:marRight w:val="0"/>
                      <w:marTop w:val="0"/>
                      <w:marBottom w:val="0"/>
                      <w:divBdr>
                        <w:top w:val="none" w:sz="0" w:space="0" w:color="auto"/>
                        <w:left w:val="none" w:sz="0" w:space="0" w:color="auto"/>
                        <w:bottom w:val="none" w:sz="0" w:space="0" w:color="auto"/>
                        <w:right w:val="none" w:sz="0" w:space="0" w:color="auto"/>
                      </w:divBdr>
                    </w:div>
                  </w:divsChild>
                </w:div>
                <w:div w:id="687173318">
                  <w:marLeft w:val="0"/>
                  <w:marRight w:val="0"/>
                  <w:marTop w:val="0"/>
                  <w:marBottom w:val="0"/>
                  <w:divBdr>
                    <w:top w:val="none" w:sz="0" w:space="0" w:color="auto"/>
                    <w:left w:val="none" w:sz="0" w:space="0" w:color="auto"/>
                    <w:bottom w:val="none" w:sz="0" w:space="0" w:color="auto"/>
                    <w:right w:val="none" w:sz="0" w:space="0" w:color="auto"/>
                  </w:divBdr>
                  <w:divsChild>
                    <w:div w:id="235482580">
                      <w:marLeft w:val="0"/>
                      <w:marRight w:val="0"/>
                      <w:marTop w:val="0"/>
                      <w:marBottom w:val="0"/>
                      <w:divBdr>
                        <w:top w:val="none" w:sz="0" w:space="0" w:color="auto"/>
                        <w:left w:val="none" w:sz="0" w:space="0" w:color="auto"/>
                        <w:bottom w:val="none" w:sz="0" w:space="0" w:color="auto"/>
                        <w:right w:val="none" w:sz="0" w:space="0" w:color="auto"/>
                      </w:divBdr>
                    </w:div>
                  </w:divsChild>
                </w:div>
                <w:div w:id="700131792">
                  <w:marLeft w:val="0"/>
                  <w:marRight w:val="0"/>
                  <w:marTop w:val="0"/>
                  <w:marBottom w:val="0"/>
                  <w:divBdr>
                    <w:top w:val="none" w:sz="0" w:space="0" w:color="auto"/>
                    <w:left w:val="none" w:sz="0" w:space="0" w:color="auto"/>
                    <w:bottom w:val="none" w:sz="0" w:space="0" w:color="auto"/>
                    <w:right w:val="none" w:sz="0" w:space="0" w:color="auto"/>
                  </w:divBdr>
                  <w:divsChild>
                    <w:div w:id="1860242594">
                      <w:marLeft w:val="0"/>
                      <w:marRight w:val="0"/>
                      <w:marTop w:val="0"/>
                      <w:marBottom w:val="0"/>
                      <w:divBdr>
                        <w:top w:val="none" w:sz="0" w:space="0" w:color="auto"/>
                        <w:left w:val="none" w:sz="0" w:space="0" w:color="auto"/>
                        <w:bottom w:val="none" w:sz="0" w:space="0" w:color="auto"/>
                        <w:right w:val="none" w:sz="0" w:space="0" w:color="auto"/>
                      </w:divBdr>
                    </w:div>
                  </w:divsChild>
                </w:div>
                <w:div w:id="703822700">
                  <w:marLeft w:val="0"/>
                  <w:marRight w:val="0"/>
                  <w:marTop w:val="0"/>
                  <w:marBottom w:val="0"/>
                  <w:divBdr>
                    <w:top w:val="none" w:sz="0" w:space="0" w:color="auto"/>
                    <w:left w:val="none" w:sz="0" w:space="0" w:color="auto"/>
                    <w:bottom w:val="none" w:sz="0" w:space="0" w:color="auto"/>
                    <w:right w:val="none" w:sz="0" w:space="0" w:color="auto"/>
                  </w:divBdr>
                  <w:divsChild>
                    <w:div w:id="1509172508">
                      <w:marLeft w:val="0"/>
                      <w:marRight w:val="0"/>
                      <w:marTop w:val="0"/>
                      <w:marBottom w:val="0"/>
                      <w:divBdr>
                        <w:top w:val="none" w:sz="0" w:space="0" w:color="auto"/>
                        <w:left w:val="none" w:sz="0" w:space="0" w:color="auto"/>
                        <w:bottom w:val="none" w:sz="0" w:space="0" w:color="auto"/>
                        <w:right w:val="none" w:sz="0" w:space="0" w:color="auto"/>
                      </w:divBdr>
                    </w:div>
                  </w:divsChild>
                </w:div>
                <w:div w:id="704209702">
                  <w:marLeft w:val="0"/>
                  <w:marRight w:val="0"/>
                  <w:marTop w:val="0"/>
                  <w:marBottom w:val="0"/>
                  <w:divBdr>
                    <w:top w:val="none" w:sz="0" w:space="0" w:color="auto"/>
                    <w:left w:val="none" w:sz="0" w:space="0" w:color="auto"/>
                    <w:bottom w:val="none" w:sz="0" w:space="0" w:color="auto"/>
                    <w:right w:val="none" w:sz="0" w:space="0" w:color="auto"/>
                  </w:divBdr>
                  <w:divsChild>
                    <w:div w:id="212038141">
                      <w:marLeft w:val="0"/>
                      <w:marRight w:val="0"/>
                      <w:marTop w:val="0"/>
                      <w:marBottom w:val="0"/>
                      <w:divBdr>
                        <w:top w:val="none" w:sz="0" w:space="0" w:color="auto"/>
                        <w:left w:val="none" w:sz="0" w:space="0" w:color="auto"/>
                        <w:bottom w:val="none" w:sz="0" w:space="0" w:color="auto"/>
                        <w:right w:val="none" w:sz="0" w:space="0" w:color="auto"/>
                      </w:divBdr>
                    </w:div>
                  </w:divsChild>
                </w:div>
                <w:div w:id="716008951">
                  <w:marLeft w:val="0"/>
                  <w:marRight w:val="0"/>
                  <w:marTop w:val="0"/>
                  <w:marBottom w:val="0"/>
                  <w:divBdr>
                    <w:top w:val="none" w:sz="0" w:space="0" w:color="auto"/>
                    <w:left w:val="none" w:sz="0" w:space="0" w:color="auto"/>
                    <w:bottom w:val="none" w:sz="0" w:space="0" w:color="auto"/>
                    <w:right w:val="none" w:sz="0" w:space="0" w:color="auto"/>
                  </w:divBdr>
                  <w:divsChild>
                    <w:div w:id="1519151209">
                      <w:marLeft w:val="0"/>
                      <w:marRight w:val="0"/>
                      <w:marTop w:val="0"/>
                      <w:marBottom w:val="0"/>
                      <w:divBdr>
                        <w:top w:val="none" w:sz="0" w:space="0" w:color="auto"/>
                        <w:left w:val="none" w:sz="0" w:space="0" w:color="auto"/>
                        <w:bottom w:val="none" w:sz="0" w:space="0" w:color="auto"/>
                        <w:right w:val="none" w:sz="0" w:space="0" w:color="auto"/>
                      </w:divBdr>
                    </w:div>
                  </w:divsChild>
                </w:div>
                <w:div w:id="717628281">
                  <w:marLeft w:val="0"/>
                  <w:marRight w:val="0"/>
                  <w:marTop w:val="0"/>
                  <w:marBottom w:val="0"/>
                  <w:divBdr>
                    <w:top w:val="none" w:sz="0" w:space="0" w:color="auto"/>
                    <w:left w:val="none" w:sz="0" w:space="0" w:color="auto"/>
                    <w:bottom w:val="none" w:sz="0" w:space="0" w:color="auto"/>
                    <w:right w:val="none" w:sz="0" w:space="0" w:color="auto"/>
                  </w:divBdr>
                  <w:divsChild>
                    <w:div w:id="1443764190">
                      <w:marLeft w:val="0"/>
                      <w:marRight w:val="0"/>
                      <w:marTop w:val="0"/>
                      <w:marBottom w:val="0"/>
                      <w:divBdr>
                        <w:top w:val="none" w:sz="0" w:space="0" w:color="auto"/>
                        <w:left w:val="none" w:sz="0" w:space="0" w:color="auto"/>
                        <w:bottom w:val="none" w:sz="0" w:space="0" w:color="auto"/>
                        <w:right w:val="none" w:sz="0" w:space="0" w:color="auto"/>
                      </w:divBdr>
                    </w:div>
                  </w:divsChild>
                </w:div>
                <w:div w:id="721752160">
                  <w:marLeft w:val="0"/>
                  <w:marRight w:val="0"/>
                  <w:marTop w:val="0"/>
                  <w:marBottom w:val="0"/>
                  <w:divBdr>
                    <w:top w:val="none" w:sz="0" w:space="0" w:color="auto"/>
                    <w:left w:val="none" w:sz="0" w:space="0" w:color="auto"/>
                    <w:bottom w:val="none" w:sz="0" w:space="0" w:color="auto"/>
                    <w:right w:val="none" w:sz="0" w:space="0" w:color="auto"/>
                  </w:divBdr>
                  <w:divsChild>
                    <w:div w:id="416481721">
                      <w:marLeft w:val="0"/>
                      <w:marRight w:val="0"/>
                      <w:marTop w:val="0"/>
                      <w:marBottom w:val="0"/>
                      <w:divBdr>
                        <w:top w:val="none" w:sz="0" w:space="0" w:color="auto"/>
                        <w:left w:val="none" w:sz="0" w:space="0" w:color="auto"/>
                        <w:bottom w:val="none" w:sz="0" w:space="0" w:color="auto"/>
                        <w:right w:val="none" w:sz="0" w:space="0" w:color="auto"/>
                      </w:divBdr>
                    </w:div>
                  </w:divsChild>
                </w:div>
                <w:div w:id="733820954">
                  <w:marLeft w:val="0"/>
                  <w:marRight w:val="0"/>
                  <w:marTop w:val="0"/>
                  <w:marBottom w:val="0"/>
                  <w:divBdr>
                    <w:top w:val="none" w:sz="0" w:space="0" w:color="auto"/>
                    <w:left w:val="none" w:sz="0" w:space="0" w:color="auto"/>
                    <w:bottom w:val="none" w:sz="0" w:space="0" w:color="auto"/>
                    <w:right w:val="none" w:sz="0" w:space="0" w:color="auto"/>
                  </w:divBdr>
                  <w:divsChild>
                    <w:div w:id="506483465">
                      <w:marLeft w:val="0"/>
                      <w:marRight w:val="0"/>
                      <w:marTop w:val="0"/>
                      <w:marBottom w:val="0"/>
                      <w:divBdr>
                        <w:top w:val="none" w:sz="0" w:space="0" w:color="auto"/>
                        <w:left w:val="none" w:sz="0" w:space="0" w:color="auto"/>
                        <w:bottom w:val="none" w:sz="0" w:space="0" w:color="auto"/>
                        <w:right w:val="none" w:sz="0" w:space="0" w:color="auto"/>
                      </w:divBdr>
                    </w:div>
                  </w:divsChild>
                </w:div>
                <w:div w:id="734815477">
                  <w:marLeft w:val="0"/>
                  <w:marRight w:val="0"/>
                  <w:marTop w:val="0"/>
                  <w:marBottom w:val="0"/>
                  <w:divBdr>
                    <w:top w:val="none" w:sz="0" w:space="0" w:color="auto"/>
                    <w:left w:val="none" w:sz="0" w:space="0" w:color="auto"/>
                    <w:bottom w:val="none" w:sz="0" w:space="0" w:color="auto"/>
                    <w:right w:val="none" w:sz="0" w:space="0" w:color="auto"/>
                  </w:divBdr>
                  <w:divsChild>
                    <w:div w:id="1058477529">
                      <w:marLeft w:val="0"/>
                      <w:marRight w:val="0"/>
                      <w:marTop w:val="0"/>
                      <w:marBottom w:val="0"/>
                      <w:divBdr>
                        <w:top w:val="none" w:sz="0" w:space="0" w:color="auto"/>
                        <w:left w:val="none" w:sz="0" w:space="0" w:color="auto"/>
                        <w:bottom w:val="none" w:sz="0" w:space="0" w:color="auto"/>
                        <w:right w:val="none" w:sz="0" w:space="0" w:color="auto"/>
                      </w:divBdr>
                    </w:div>
                  </w:divsChild>
                </w:div>
                <w:div w:id="763839917">
                  <w:marLeft w:val="0"/>
                  <w:marRight w:val="0"/>
                  <w:marTop w:val="0"/>
                  <w:marBottom w:val="0"/>
                  <w:divBdr>
                    <w:top w:val="none" w:sz="0" w:space="0" w:color="auto"/>
                    <w:left w:val="none" w:sz="0" w:space="0" w:color="auto"/>
                    <w:bottom w:val="none" w:sz="0" w:space="0" w:color="auto"/>
                    <w:right w:val="none" w:sz="0" w:space="0" w:color="auto"/>
                  </w:divBdr>
                  <w:divsChild>
                    <w:div w:id="1143540414">
                      <w:marLeft w:val="0"/>
                      <w:marRight w:val="0"/>
                      <w:marTop w:val="0"/>
                      <w:marBottom w:val="0"/>
                      <w:divBdr>
                        <w:top w:val="none" w:sz="0" w:space="0" w:color="auto"/>
                        <w:left w:val="none" w:sz="0" w:space="0" w:color="auto"/>
                        <w:bottom w:val="none" w:sz="0" w:space="0" w:color="auto"/>
                        <w:right w:val="none" w:sz="0" w:space="0" w:color="auto"/>
                      </w:divBdr>
                    </w:div>
                  </w:divsChild>
                </w:div>
                <w:div w:id="788014075">
                  <w:marLeft w:val="0"/>
                  <w:marRight w:val="0"/>
                  <w:marTop w:val="0"/>
                  <w:marBottom w:val="0"/>
                  <w:divBdr>
                    <w:top w:val="none" w:sz="0" w:space="0" w:color="auto"/>
                    <w:left w:val="none" w:sz="0" w:space="0" w:color="auto"/>
                    <w:bottom w:val="none" w:sz="0" w:space="0" w:color="auto"/>
                    <w:right w:val="none" w:sz="0" w:space="0" w:color="auto"/>
                  </w:divBdr>
                  <w:divsChild>
                    <w:div w:id="513613700">
                      <w:marLeft w:val="0"/>
                      <w:marRight w:val="0"/>
                      <w:marTop w:val="0"/>
                      <w:marBottom w:val="0"/>
                      <w:divBdr>
                        <w:top w:val="none" w:sz="0" w:space="0" w:color="auto"/>
                        <w:left w:val="none" w:sz="0" w:space="0" w:color="auto"/>
                        <w:bottom w:val="none" w:sz="0" w:space="0" w:color="auto"/>
                        <w:right w:val="none" w:sz="0" w:space="0" w:color="auto"/>
                      </w:divBdr>
                    </w:div>
                  </w:divsChild>
                </w:div>
                <w:div w:id="798575549">
                  <w:marLeft w:val="0"/>
                  <w:marRight w:val="0"/>
                  <w:marTop w:val="0"/>
                  <w:marBottom w:val="0"/>
                  <w:divBdr>
                    <w:top w:val="none" w:sz="0" w:space="0" w:color="auto"/>
                    <w:left w:val="none" w:sz="0" w:space="0" w:color="auto"/>
                    <w:bottom w:val="none" w:sz="0" w:space="0" w:color="auto"/>
                    <w:right w:val="none" w:sz="0" w:space="0" w:color="auto"/>
                  </w:divBdr>
                  <w:divsChild>
                    <w:div w:id="1808430206">
                      <w:marLeft w:val="0"/>
                      <w:marRight w:val="0"/>
                      <w:marTop w:val="0"/>
                      <w:marBottom w:val="0"/>
                      <w:divBdr>
                        <w:top w:val="none" w:sz="0" w:space="0" w:color="auto"/>
                        <w:left w:val="none" w:sz="0" w:space="0" w:color="auto"/>
                        <w:bottom w:val="none" w:sz="0" w:space="0" w:color="auto"/>
                        <w:right w:val="none" w:sz="0" w:space="0" w:color="auto"/>
                      </w:divBdr>
                    </w:div>
                  </w:divsChild>
                </w:div>
                <w:div w:id="813447332">
                  <w:marLeft w:val="0"/>
                  <w:marRight w:val="0"/>
                  <w:marTop w:val="0"/>
                  <w:marBottom w:val="0"/>
                  <w:divBdr>
                    <w:top w:val="none" w:sz="0" w:space="0" w:color="auto"/>
                    <w:left w:val="none" w:sz="0" w:space="0" w:color="auto"/>
                    <w:bottom w:val="none" w:sz="0" w:space="0" w:color="auto"/>
                    <w:right w:val="none" w:sz="0" w:space="0" w:color="auto"/>
                  </w:divBdr>
                  <w:divsChild>
                    <w:div w:id="1175342657">
                      <w:marLeft w:val="0"/>
                      <w:marRight w:val="0"/>
                      <w:marTop w:val="0"/>
                      <w:marBottom w:val="0"/>
                      <w:divBdr>
                        <w:top w:val="none" w:sz="0" w:space="0" w:color="auto"/>
                        <w:left w:val="none" w:sz="0" w:space="0" w:color="auto"/>
                        <w:bottom w:val="none" w:sz="0" w:space="0" w:color="auto"/>
                        <w:right w:val="none" w:sz="0" w:space="0" w:color="auto"/>
                      </w:divBdr>
                    </w:div>
                  </w:divsChild>
                </w:div>
                <w:div w:id="825979878">
                  <w:marLeft w:val="0"/>
                  <w:marRight w:val="0"/>
                  <w:marTop w:val="0"/>
                  <w:marBottom w:val="0"/>
                  <w:divBdr>
                    <w:top w:val="none" w:sz="0" w:space="0" w:color="auto"/>
                    <w:left w:val="none" w:sz="0" w:space="0" w:color="auto"/>
                    <w:bottom w:val="none" w:sz="0" w:space="0" w:color="auto"/>
                    <w:right w:val="none" w:sz="0" w:space="0" w:color="auto"/>
                  </w:divBdr>
                  <w:divsChild>
                    <w:div w:id="1005861359">
                      <w:marLeft w:val="0"/>
                      <w:marRight w:val="0"/>
                      <w:marTop w:val="0"/>
                      <w:marBottom w:val="0"/>
                      <w:divBdr>
                        <w:top w:val="none" w:sz="0" w:space="0" w:color="auto"/>
                        <w:left w:val="none" w:sz="0" w:space="0" w:color="auto"/>
                        <w:bottom w:val="none" w:sz="0" w:space="0" w:color="auto"/>
                        <w:right w:val="none" w:sz="0" w:space="0" w:color="auto"/>
                      </w:divBdr>
                    </w:div>
                  </w:divsChild>
                </w:div>
                <w:div w:id="866528681">
                  <w:marLeft w:val="0"/>
                  <w:marRight w:val="0"/>
                  <w:marTop w:val="0"/>
                  <w:marBottom w:val="0"/>
                  <w:divBdr>
                    <w:top w:val="none" w:sz="0" w:space="0" w:color="auto"/>
                    <w:left w:val="none" w:sz="0" w:space="0" w:color="auto"/>
                    <w:bottom w:val="none" w:sz="0" w:space="0" w:color="auto"/>
                    <w:right w:val="none" w:sz="0" w:space="0" w:color="auto"/>
                  </w:divBdr>
                  <w:divsChild>
                    <w:div w:id="819617897">
                      <w:marLeft w:val="0"/>
                      <w:marRight w:val="0"/>
                      <w:marTop w:val="0"/>
                      <w:marBottom w:val="0"/>
                      <w:divBdr>
                        <w:top w:val="none" w:sz="0" w:space="0" w:color="auto"/>
                        <w:left w:val="none" w:sz="0" w:space="0" w:color="auto"/>
                        <w:bottom w:val="none" w:sz="0" w:space="0" w:color="auto"/>
                        <w:right w:val="none" w:sz="0" w:space="0" w:color="auto"/>
                      </w:divBdr>
                    </w:div>
                  </w:divsChild>
                </w:div>
                <w:div w:id="892548578">
                  <w:marLeft w:val="0"/>
                  <w:marRight w:val="0"/>
                  <w:marTop w:val="0"/>
                  <w:marBottom w:val="0"/>
                  <w:divBdr>
                    <w:top w:val="none" w:sz="0" w:space="0" w:color="auto"/>
                    <w:left w:val="none" w:sz="0" w:space="0" w:color="auto"/>
                    <w:bottom w:val="none" w:sz="0" w:space="0" w:color="auto"/>
                    <w:right w:val="none" w:sz="0" w:space="0" w:color="auto"/>
                  </w:divBdr>
                  <w:divsChild>
                    <w:div w:id="1168323756">
                      <w:marLeft w:val="0"/>
                      <w:marRight w:val="0"/>
                      <w:marTop w:val="0"/>
                      <w:marBottom w:val="0"/>
                      <w:divBdr>
                        <w:top w:val="none" w:sz="0" w:space="0" w:color="auto"/>
                        <w:left w:val="none" w:sz="0" w:space="0" w:color="auto"/>
                        <w:bottom w:val="none" w:sz="0" w:space="0" w:color="auto"/>
                        <w:right w:val="none" w:sz="0" w:space="0" w:color="auto"/>
                      </w:divBdr>
                    </w:div>
                  </w:divsChild>
                </w:div>
                <w:div w:id="899705445">
                  <w:marLeft w:val="0"/>
                  <w:marRight w:val="0"/>
                  <w:marTop w:val="0"/>
                  <w:marBottom w:val="0"/>
                  <w:divBdr>
                    <w:top w:val="none" w:sz="0" w:space="0" w:color="auto"/>
                    <w:left w:val="none" w:sz="0" w:space="0" w:color="auto"/>
                    <w:bottom w:val="none" w:sz="0" w:space="0" w:color="auto"/>
                    <w:right w:val="none" w:sz="0" w:space="0" w:color="auto"/>
                  </w:divBdr>
                  <w:divsChild>
                    <w:div w:id="826092615">
                      <w:marLeft w:val="0"/>
                      <w:marRight w:val="0"/>
                      <w:marTop w:val="0"/>
                      <w:marBottom w:val="0"/>
                      <w:divBdr>
                        <w:top w:val="none" w:sz="0" w:space="0" w:color="auto"/>
                        <w:left w:val="none" w:sz="0" w:space="0" w:color="auto"/>
                        <w:bottom w:val="none" w:sz="0" w:space="0" w:color="auto"/>
                        <w:right w:val="none" w:sz="0" w:space="0" w:color="auto"/>
                      </w:divBdr>
                    </w:div>
                  </w:divsChild>
                </w:div>
                <w:div w:id="916211326">
                  <w:marLeft w:val="0"/>
                  <w:marRight w:val="0"/>
                  <w:marTop w:val="0"/>
                  <w:marBottom w:val="0"/>
                  <w:divBdr>
                    <w:top w:val="none" w:sz="0" w:space="0" w:color="auto"/>
                    <w:left w:val="none" w:sz="0" w:space="0" w:color="auto"/>
                    <w:bottom w:val="none" w:sz="0" w:space="0" w:color="auto"/>
                    <w:right w:val="none" w:sz="0" w:space="0" w:color="auto"/>
                  </w:divBdr>
                  <w:divsChild>
                    <w:div w:id="1510679432">
                      <w:marLeft w:val="0"/>
                      <w:marRight w:val="0"/>
                      <w:marTop w:val="0"/>
                      <w:marBottom w:val="0"/>
                      <w:divBdr>
                        <w:top w:val="none" w:sz="0" w:space="0" w:color="auto"/>
                        <w:left w:val="none" w:sz="0" w:space="0" w:color="auto"/>
                        <w:bottom w:val="none" w:sz="0" w:space="0" w:color="auto"/>
                        <w:right w:val="none" w:sz="0" w:space="0" w:color="auto"/>
                      </w:divBdr>
                    </w:div>
                  </w:divsChild>
                </w:div>
                <w:div w:id="919682074">
                  <w:marLeft w:val="0"/>
                  <w:marRight w:val="0"/>
                  <w:marTop w:val="0"/>
                  <w:marBottom w:val="0"/>
                  <w:divBdr>
                    <w:top w:val="none" w:sz="0" w:space="0" w:color="auto"/>
                    <w:left w:val="none" w:sz="0" w:space="0" w:color="auto"/>
                    <w:bottom w:val="none" w:sz="0" w:space="0" w:color="auto"/>
                    <w:right w:val="none" w:sz="0" w:space="0" w:color="auto"/>
                  </w:divBdr>
                  <w:divsChild>
                    <w:div w:id="509221050">
                      <w:marLeft w:val="0"/>
                      <w:marRight w:val="0"/>
                      <w:marTop w:val="0"/>
                      <w:marBottom w:val="0"/>
                      <w:divBdr>
                        <w:top w:val="none" w:sz="0" w:space="0" w:color="auto"/>
                        <w:left w:val="none" w:sz="0" w:space="0" w:color="auto"/>
                        <w:bottom w:val="none" w:sz="0" w:space="0" w:color="auto"/>
                        <w:right w:val="none" w:sz="0" w:space="0" w:color="auto"/>
                      </w:divBdr>
                    </w:div>
                  </w:divsChild>
                </w:div>
                <w:div w:id="924999314">
                  <w:marLeft w:val="0"/>
                  <w:marRight w:val="0"/>
                  <w:marTop w:val="0"/>
                  <w:marBottom w:val="0"/>
                  <w:divBdr>
                    <w:top w:val="none" w:sz="0" w:space="0" w:color="auto"/>
                    <w:left w:val="none" w:sz="0" w:space="0" w:color="auto"/>
                    <w:bottom w:val="none" w:sz="0" w:space="0" w:color="auto"/>
                    <w:right w:val="none" w:sz="0" w:space="0" w:color="auto"/>
                  </w:divBdr>
                  <w:divsChild>
                    <w:div w:id="1908106025">
                      <w:marLeft w:val="0"/>
                      <w:marRight w:val="0"/>
                      <w:marTop w:val="0"/>
                      <w:marBottom w:val="0"/>
                      <w:divBdr>
                        <w:top w:val="none" w:sz="0" w:space="0" w:color="auto"/>
                        <w:left w:val="none" w:sz="0" w:space="0" w:color="auto"/>
                        <w:bottom w:val="none" w:sz="0" w:space="0" w:color="auto"/>
                        <w:right w:val="none" w:sz="0" w:space="0" w:color="auto"/>
                      </w:divBdr>
                    </w:div>
                  </w:divsChild>
                </w:div>
                <w:div w:id="938148824">
                  <w:marLeft w:val="0"/>
                  <w:marRight w:val="0"/>
                  <w:marTop w:val="0"/>
                  <w:marBottom w:val="0"/>
                  <w:divBdr>
                    <w:top w:val="none" w:sz="0" w:space="0" w:color="auto"/>
                    <w:left w:val="none" w:sz="0" w:space="0" w:color="auto"/>
                    <w:bottom w:val="none" w:sz="0" w:space="0" w:color="auto"/>
                    <w:right w:val="none" w:sz="0" w:space="0" w:color="auto"/>
                  </w:divBdr>
                  <w:divsChild>
                    <w:div w:id="622925710">
                      <w:marLeft w:val="0"/>
                      <w:marRight w:val="0"/>
                      <w:marTop w:val="0"/>
                      <w:marBottom w:val="0"/>
                      <w:divBdr>
                        <w:top w:val="none" w:sz="0" w:space="0" w:color="auto"/>
                        <w:left w:val="none" w:sz="0" w:space="0" w:color="auto"/>
                        <w:bottom w:val="none" w:sz="0" w:space="0" w:color="auto"/>
                        <w:right w:val="none" w:sz="0" w:space="0" w:color="auto"/>
                      </w:divBdr>
                    </w:div>
                  </w:divsChild>
                </w:div>
                <w:div w:id="961111880">
                  <w:marLeft w:val="0"/>
                  <w:marRight w:val="0"/>
                  <w:marTop w:val="0"/>
                  <w:marBottom w:val="0"/>
                  <w:divBdr>
                    <w:top w:val="none" w:sz="0" w:space="0" w:color="auto"/>
                    <w:left w:val="none" w:sz="0" w:space="0" w:color="auto"/>
                    <w:bottom w:val="none" w:sz="0" w:space="0" w:color="auto"/>
                    <w:right w:val="none" w:sz="0" w:space="0" w:color="auto"/>
                  </w:divBdr>
                  <w:divsChild>
                    <w:div w:id="1100688395">
                      <w:marLeft w:val="0"/>
                      <w:marRight w:val="0"/>
                      <w:marTop w:val="0"/>
                      <w:marBottom w:val="0"/>
                      <w:divBdr>
                        <w:top w:val="none" w:sz="0" w:space="0" w:color="auto"/>
                        <w:left w:val="none" w:sz="0" w:space="0" w:color="auto"/>
                        <w:bottom w:val="none" w:sz="0" w:space="0" w:color="auto"/>
                        <w:right w:val="none" w:sz="0" w:space="0" w:color="auto"/>
                      </w:divBdr>
                    </w:div>
                  </w:divsChild>
                </w:div>
                <w:div w:id="976885210">
                  <w:marLeft w:val="0"/>
                  <w:marRight w:val="0"/>
                  <w:marTop w:val="0"/>
                  <w:marBottom w:val="0"/>
                  <w:divBdr>
                    <w:top w:val="none" w:sz="0" w:space="0" w:color="auto"/>
                    <w:left w:val="none" w:sz="0" w:space="0" w:color="auto"/>
                    <w:bottom w:val="none" w:sz="0" w:space="0" w:color="auto"/>
                    <w:right w:val="none" w:sz="0" w:space="0" w:color="auto"/>
                  </w:divBdr>
                  <w:divsChild>
                    <w:div w:id="409544628">
                      <w:marLeft w:val="0"/>
                      <w:marRight w:val="0"/>
                      <w:marTop w:val="0"/>
                      <w:marBottom w:val="0"/>
                      <w:divBdr>
                        <w:top w:val="none" w:sz="0" w:space="0" w:color="auto"/>
                        <w:left w:val="none" w:sz="0" w:space="0" w:color="auto"/>
                        <w:bottom w:val="none" w:sz="0" w:space="0" w:color="auto"/>
                        <w:right w:val="none" w:sz="0" w:space="0" w:color="auto"/>
                      </w:divBdr>
                    </w:div>
                  </w:divsChild>
                </w:div>
                <w:div w:id="1010762498">
                  <w:marLeft w:val="0"/>
                  <w:marRight w:val="0"/>
                  <w:marTop w:val="0"/>
                  <w:marBottom w:val="0"/>
                  <w:divBdr>
                    <w:top w:val="none" w:sz="0" w:space="0" w:color="auto"/>
                    <w:left w:val="none" w:sz="0" w:space="0" w:color="auto"/>
                    <w:bottom w:val="none" w:sz="0" w:space="0" w:color="auto"/>
                    <w:right w:val="none" w:sz="0" w:space="0" w:color="auto"/>
                  </w:divBdr>
                  <w:divsChild>
                    <w:div w:id="757874530">
                      <w:marLeft w:val="0"/>
                      <w:marRight w:val="0"/>
                      <w:marTop w:val="0"/>
                      <w:marBottom w:val="0"/>
                      <w:divBdr>
                        <w:top w:val="none" w:sz="0" w:space="0" w:color="auto"/>
                        <w:left w:val="none" w:sz="0" w:space="0" w:color="auto"/>
                        <w:bottom w:val="none" w:sz="0" w:space="0" w:color="auto"/>
                        <w:right w:val="none" w:sz="0" w:space="0" w:color="auto"/>
                      </w:divBdr>
                    </w:div>
                  </w:divsChild>
                </w:div>
                <w:div w:id="1035888843">
                  <w:marLeft w:val="0"/>
                  <w:marRight w:val="0"/>
                  <w:marTop w:val="0"/>
                  <w:marBottom w:val="0"/>
                  <w:divBdr>
                    <w:top w:val="none" w:sz="0" w:space="0" w:color="auto"/>
                    <w:left w:val="none" w:sz="0" w:space="0" w:color="auto"/>
                    <w:bottom w:val="none" w:sz="0" w:space="0" w:color="auto"/>
                    <w:right w:val="none" w:sz="0" w:space="0" w:color="auto"/>
                  </w:divBdr>
                  <w:divsChild>
                    <w:div w:id="327104047">
                      <w:marLeft w:val="0"/>
                      <w:marRight w:val="0"/>
                      <w:marTop w:val="0"/>
                      <w:marBottom w:val="0"/>
                      <w:divBdr>
                        <w:top w:val="none" w:sz="0" w:space="0" w:color="auto"/>
                        <w:left w:val="none" w:sz="0" w:space="0" w:color="auto"/>
                        <w:bottom w:val="none" w:sz="0" w:space="0" w:color="auto"/>
                        <w:right w:val="none" w:sz="0" w:space="0" w:color="auto"/>
                      </w:divBdr>
                    </w:div>
                  </w:divsChild>
                </w:div>
                <w:div w:id="1058741559">
                  <w:marLeft w:val="0"/>
                  <w:marRight w:val="0"/>
                  <w:marTop w:val="0"/>
                  <w:marBottom w:val="0"/>
                  <w:divBdr>
                    <w:top w:val="none" w:sz="0" w:space="0" w:color="auto"/>
                    <w:left w:val="none" w:sz="0" w:space="0" w:color="auto"/>
                    <w:bottom w:val="none" w:sz="0" w:space="0" w:color="auto"/>
                    <w:right w:val="none" w:sz="0" w:space="0" w:color="auto"/>
                  </w:divBdr>
                  <w:divsChild>
                    <w:div w:id="654064849">
                      <w:marLeft w:val="0"/>
                      <w:marRight w:val="0"/>
                      <w:marTop w:val="0"/>
                      <w:marBottom w:val="0"/>
                      <w:divBdr>
                        <w:top w:val="none" w:sz="0" w:space="0" w:color="auto"/>
                        <w:left w:val="none" w:sz="0" w:space="0" w:color="auto"/>
                        <w:bottom w:val="none" w:sz="0" w:space="0" w:color="auto"/>
                        <w:right w:val="none" w:sz="0" w:space="0" w:color="auto"/>
                      </w:divBdr>
                    </w:div>
                  </w:divsChild>
                </w:div>
                <w:div w:id="1060716025">
                  <w:marLeft w:val="0"/>
                  <w:marRight w:val="0"/>
                  <w:marTop w:val="0"/>
                  <w:marBottom w:val="0"/>
                  <w:divBdr>
                    <w:top w:val="none" w:sz="0" w:space="0" w:color="auto"/>
                    <w:left w:val="none" w:sz="0" w:space="0" w:color="auto"/>
                    <w:bottom w:val="none" w:sz="0" w:space="0" w:color="auto"/>
                    <w:right w:val="none" w:sz="0" w:space="0" w:color="auto"/>
                  </w:divBdr>
                  <w:divsChild>
                    <w:div w:id="1154950191">
                      <w:marLeft w:val="0"/>
                      <w:marRight w:val="0"/>
                      <w:marTop w:val="0"/>
                      <w:marBottom w:val="0"/>
                      <w:divBdr>
                        <w:top w:val="none" w:sz="0" w:space="0" w:color="auto"/>
                        <w:left w:val="none" w:sz="0" w:space="0" w:color="auto"/>
                        <w:bottom w:val="none" w:sz="0" w:space="0" w:color="auto"/>
                        <w:right w:val="none" w:sz="0" w:space="0" w:color="auto"/>
                      </w:divBdr>
                    </w:div>
                  </w:divsChild>
                </w:div>
                <w:div w:id="1100415876">
                  <w:marLeft w:val="0"/>
                  <w:marRight w:val="0"/>
                  <w:marTop w:val="0"/>
                  <w:marBottom w:val="0"/>
                  <w:divBdr>
                    <w:top w:val="none" w:sz="0" w:space="0" w:color="auto"/>
                    <w:left w:val="none" w:sz="0" w:space="0" w:color="auto"/>
                    <w:bottom w:val="none" w:sz="0" w:space="0" w:color="auto"/>
                    <w:right w:val="none" w:sz="0" w:space="0" w:color="auto"/>
                  </w:divBdr>
                  <w:divsChild>
                    <w:div w:id="1708723556">
                      <w:marLeft w:val="0"/>
                      <w:marRight w:val="0"/>
                      <w:marTop w:val="0"/>
                      <w:marBottom w:val="0"/>
                      <w:divBdr>
                        <w:top w:val="none" w:sz="0" w:space="0" w:color="auto"/>
                        <w:left w:val="none" w:sz="0" w:space="0" w:color="auto"/>
                        <w:bottom w:val="none" w:sz="0" w:space="0" w:color="auto"/>
                        <w:right w:val="none" w:sz="0" w:space="0" w:color="auto"/>
                      </w:divBdr>
                    </w:div>
                  </w:divsChild>
                </w:div>
                <w:div w:id="1116872423">
                  <w:marLeft w:val="0"/>
                  <w:marRight w:val="0"/>
                  <w:marTop w:val="0"/>
                  <w:marBottom w:val="0"/>
                  <w:divBdr>
                    <w:top w:val="none" w:sz="0" w:space="0" w:color="auto"/>
                    <w:left w:val="none" w:sz="0" w:space="0" w:color="auto"/>
                    <w:bottom w:val="none" w:sz="0" w:space="0" w:color="auto"/>
                    <w:right w:val="none" w:sz="0" w:space="0" w:color="auto"/>
                  </w:divBdr>
                  <w:divsChild>
                    <w:div w:id="1503350331">
                      <w:marLeft w:val="0"/>
                      <w:marRight w:val="0"/>
                      <w:marTop w:val="0"/>
                      <w:marBottom w:val="0"/>
                      <w:divBdr>
                        <w:top w:val="none" w:sz="0" w:space="0" w:color="auto"/>
                        <w:left w:val="none" w:sz="0" w:space="0" w:color="auto"/>
                        <w:bottom w:val="none" w:sz="0" w:space="0" w:color="auto"/>
                        <w:right w:val="none" w:sz="0" w:space="0" w:color="auto"/>
                      </w:divBdr>
                    </w:div>
                  </w:divsChild>
                </w:div>
                <w:div w:id="1128402085">
                  <w:marLeft w:val="0"/>
                  <w:marRight w:val="0"/>
                  <w:marTop w:val="0"/>
                  <w:marBottom w:val="0"/>
                  <w:divBdr>
                    <w:top w:val="none" w:sz="0" w:space="0" w:color="auto"/>
                    <w:left w:val="none" w:sz="0" w:space="0" w:color="auto"/>
                    <w:bottom w:val="none" w:sz="0" w:space="0" w:color="auto"/>
                    <w:right w:val="none" w:sz="0" w:space="0" w:color="auto"/>
                  </w:divBdr>
                  <w:divsChild>
                    <w:div w:id="962423704">
                      <w:marLeft w:val="0"/>
                      <w:marRight w:val="0"/>
                      <w:marTop w:val="0"/>
                      <w:marBottom w:val="0"/>
                      <w:divBdr>
                        <w:top w:val="none" w:sz="0" w:space="0" w:color="auto"/>
                        <w:left w:val="none" w:sz="0" w:space="0" w:color="auto"/>
                        <w:bottom w:val="none" w:sz="0" w:space="0" w:color="auto"/>
                        <w:right w:val="none" w:sz="0" w:space="0" w:color="auto"/>
                      </w:divBdr>
                    </w:div>
                  </w:divsChild>
                </w:div>
                <w:div w:id="1145513043">
                  <w:marLeft w:val="0"/>
                  <w:marRight w:val="0"/>
                  <w:marTop w:val="0"/>
                  <w:marBottom w:val="0"/>
                  <w:divBdr>
                    <w:top w:val="none" w:sz="0" w:space="0" w:color="auto"/>
                    <w:left w:val="none" w:sz="0" w:space="0" w:color="auto"/>
                    <w:bottom w:val="none" w:sz="0" w:space="0" w:color="auto"/>
                    <w:right w:val="none" w:sz="0" w:space="0" w:color="auto"/>
                  </w:divBdr>
                  <w:divsChild>
                    <w:div w:id="2127307540">
                      <w:marLeft w:val="0"/>
                      <w:marRight w:val="0"/>
                      <w:marTop w:val="0"/>
                      <w:marBottom w:val="0"/>
                      <w:divBdr>
                        <w:top w:val="none" w:sz="0" w:space="0" w:color="auto"/>
                        <w:left w:val="none" w:sz="0" w:space="0" w:color="auto"/>
                        <w:bottom w:val="none" w:sz="0" w:space="0" w:color="auto"/>
                        <w:right w:val="none" w:sz="0" w:space="0" w:color="auto"/>
                      </w:divBdr>
                    </w:div>
                  </w:divsChild>
                </w:div>
                <w:div w:id="1148744318">
                  <w:marLeft w:val="0"/>
                  <w:marRight w:val="0"/>
                  <w:marTop w:val="0"/>
                  <w:marBottom w:val="0"/>
                  <w:divBdr>
                    <w:top w:val="none" w:sz="0" w:space="0" w:color="auto"/>
                    <w:left w:val="none" w:sz="0" w:space="0" w:color="auto"/>
                    <w:bottom w:val="none" w:sz="0" w:space="0" w:color="auto"/>
                    <w:right w:val="none" w:sz="0" w:space="0" w:color="auto"/>
                  </w:divBdr>
                  <w:divsChild>
                    <w:div w:id="653991553">
                      <w:marLeft w:val="0"/>
                      <w:marRight w:val="0"/>
                      <w:marTop w:val="0"/>
                      <w:marBottom w:val="0"/>
                      <w:divBdr>
                        <w:top w:val="none" w:sz="0" w:space="0" w:color="auto"/>
                        <w:left w:val="none" w:sz="0" w:space="0" w:color="auto"/>
                        <w:bottom w:val="none" w:sz="0" w:space="0" w:color="auto"/>
                        <w:right w:val="none" w:sz="0" w:space="0" w:color="auto"/>
                      </w:divBdr>
                    </w:div>
                  </w:divsChild>
                </w:div>
                <w:div w:id="1169442180">
                  <w:marLeft w:val="0"/>
                  <w:marRight w:val="0"/>
                  <w:marTop w:val="0"/>
                  <w:marBottom w:val="0"/>
                  <w:divBdr>
                    <w:top w:val="none" w:sz="0" w:space="0" w:color="auto"/>
                    <w:left w:val="none" w:sz="0" w:space="0" w:color="auto"/>
                    <w:bottom w:val="none" w:sz="0" w:space="0" w:color="auto"/>
                    <w:right w:val="none" w:sz="0" w:space="0" w:color="auto"/>
                  </w:divBdr>
                  <w:divsChild>
                    <w:div w:id="1195582572">
                      <w:marLeft w:val="0"/>
                      <w:marRight w:val="0"/>
                      <w:marTop w:val="0"/>
                      <w:marBottom w:val="0"/>
                      <w:divBdr>
                        <w:top w:val="none" w:sz="0" w:space="0" w:color="auto"/>
                        <w:left w:val="none" w:sz="0" w:space="0" w:color="auto"/>
                        <w:bottom w:val="none" w:sz="0" w:space="0" w:color="auto"/>
                        <w:right w:val="none" w:sz="0" w:space="0" w:color="auto"/>
                      </w:divBdr>
                    </w:div>
                  </w:divsChild>
                </w:div>
                <w:div w:id="1191458820">
                  <w:marLeft w:val="0"/>
                  <w:marRight w:val="0"/>
                  <w:marTop w:val="0"/>
                  <w:marBottom w:val="0"/>
                  <w:divBdr>
                    <w:top w:val="none" w:sz="0" w:space="0" w:color="auto"/>
                    <w:left w:val="none" w:sz="0" w:space="0" w:color="auto"/>
                    <w:bottom w:val="none" w:sz="0" w:space="0" w:color="auto"/>
                    <w:right w:val="none" w:sz="0" w:space="0" w:color="auto"/>
                  </w:divBdr>
                  <w:divsChild>
                    <w:div w:id="2074885613">
                      <w:marLeft w:val="0"/>
                      <w:marRight w:val="0"/>
                      <w:marTop w:val="0"/>
                      <w:marBottom w:val="0"/>
                      <w:divBdr>
                        <w:top w:val="none" w:sz="0" w:space="0" w:color="auto"/>
                        <w:left w:val="none" w:sz="0" w:space="0" w:color="auto"/>
                        <w:bottom w:val="none" w:sz="0" w:space="0" w:color="auto"/>
                        <w:right w:val="none" w:sz="0" w:space="0" w:color="auto"/>
                      </w:divBdr>
                    </w:div>
                  </w:divsChild>
                </w:div>
                <w:div w:id="1229725238">
                  <w:marLeft w:val="0"/>
                  <w:marRight w:val="0"/>
                  <w:marTop w:val="0"/>
                  <w:marBottom w:val="0"/>
                  <w:divBdr>
                    <w:top w:val="none" w:sz="0" w:space="0" w:color="auto"/>
                    <w:left w:val="none" w:sz="0" w:space="0" w:color="auto"/>
                    <w:bottom w:val="none" w:sz="0" w:space="0" w:color="auto"/>
                    <w:right w:val="none" w:sz="0" w:space="0" w:color="auto"/>
                  </w:divBdr>
                  <w:divsChild>
                    <w:div w:id="54354699">
                      <w:marLeft w:val="0"/>
                      <w:marRight w:val="0"/>
                      <w:marTop w:val="0"/>
                      <w:marBottom w:val="0"/>
                      <w:divBdr>
                        <w:top w:val="none" w:sz="0" w:space="0" w:color="auto"/>
                        <w:left w:val="none" w:sz="0" w:space="0" w:color="auto"/>
                        <w:bottom w:val="none" w:sz="0" w:space="0" w:color="auto"/>
                        <w:right w:val="none" w:sz="0" w:space="0" w:color="auto"/>
                      </w:divBdr>
                    </w:div>
                  </w:divsChild>
                </w:div>
                <w:div w:id="1238054197">
                  <w:marLeft w:val="0"/>
                  <w:marRight w:val="0"/>
                  <w:marTop w:val="0"/>
                  <w:marBottom w:val="0"/>
                  <w:divBdr>
                    <w:top w:val="none" w:sz="0" w:space="0" w:color="auto"/>
                    <w:left w:val="none" w:sz="0" w:space="0" w:color="auto"/>
                    <w:bottom w:val="none" w:sz="0" w:space="0" w:color="auto"/>
                    <w:right w:val="none" w:sz="0" w:space="0" w:color="auto"/>
                  </w:divBdr>
                  <w:divsChild>
                    <w:div w:id="1331564617">
                      <w:marLeft w:val="0"/>
                      <w:marRight w:val="0"/>
                      <w:marTop w:val="0"/>
                      <w:marBottom w:val="0"/>
                      <w:divBdr>
                        <w:top w:val="none" w:sz="0" w:space="0" w:color="auto"/>
                        <w:left w:val="none" w:sz="0" w:space="0" w:color="auto"/>
                        <w:bottom w:val="none" w:sz="0" w:space="0" w:color="auto"/>
                        <w:right w:val="none" w:sz="0" w:space="0" w:color="auto"/>
                      </w:divBdr>
                    </w:div>
                  </w:divsChild>
                </w:div>
                <w:div w:id="1243222273">
                  <w:marLeft w:val="0"/>
                  <w:marRight w:val="0"/>
                  <w:marTop w:val="0"/>
                  <w:marBottom w:val="0"/>
                  <w:divBdr>
                    <w:top w:val="none" w:sz="0" w:space="0" w:color="auto"/>
                    <w:left w:val="none" w:sz="0" w:space="0" w:color="auto"/>
                    <w:bottom w:val="none" w:sz="0" w:space="0" w:color="auto"/>
                    <w:right w:val="none" w:sz="0" w:space="0" w:color="auto"/>
                  </w:divBdr>
                  <w:divsChild>
                    <w:div w:id="1464033552">
                      <w:marLeft w:val="0"/>
                      <w:marRight w:val="0"/>
                      <w:marTop w:val="0"/>
                      <w:marBottom w:val="0"/>
                      <w:divBdr>
                        <w:top w:val="none" w:sz="0" w:space="0" w:color="auto"/>
                        <w:left w:val="none" w:sz="0" w:space="0" w:color="auto"/>
                        <w:bottom w:val="none" w:sz="0" w:space="0" w:color="auto"/>
                        <w:right w:val="none" w:sz="0" w:space="0" w:color="auto"/>
                      </w:divBdr>
                    </w:div>
                  </w:divsChild>
                </w:div>
                <w:div w:id="1243490577">
                  <w:marLeft w:val="0"/>
                  <w:marRight w:val="0"/>
                  <w:marTop w:val="0"/>
                  <w:marBottom w:val="0"/>
                  <w:divBdr>
                    <w:top w:val="none" w:sz="0" w:space="0" w:color="auto"/>
                    <w:left w:val="none" w:sz="0" w:space="0" w:color="auto"/>
                    <w:bottom w:val="none" w:sz="0" w:space="0" w:color="auto"/>
                    <w:right w:val="none" w:sz="0" w:space="0" w:color="auto"/>
                  </w:divBdr>
                  <w:divsChild>
                    <w:div w:id="522673047">
                      <w:marLeft w:val="0"/>
                      <w:marRight w:val="0"/>
                      <w:marTop w:val="0"/>
                      <w:marBottom w:val="0"/>
                      <w:divBdr>
                        <w:top w:val="none" w:sz="0" w:space="0" w:color="auto"/>
                        <w:left w:val="none" w:sz="0" w:space="0" w:color="auto"/>
                        <w:bottom w:val="none" w:sz="0" w:space="0" w:color="auto"/>
                        <w:right w:val="none" w:sz="0" w:space="0" w:color="auto"/>
                      </w:divBdr>
                    </w:div>
                  </w:divsChild>
                </w:div>
                <w:div w:id="1333025993">
                  <w:marLeft w:val="0"/>
                  <w:marRight w:val="0"/>
                  <w:marTop w:val="0"/>
                  <w:marBottom w:val="0"/>
                  <w:divBdr>
                    <w:top w:val="none" w:sz="0" w:space="0" w:color="auto"/>
                    <w:left w:val="none" w:sz="0" w:space="0" w:color="auto"/>
                    <w:bottom w:val="none" w:sz="0" w:space="0" w:color="auto"/>
                    <w:right w:val="none" w:sz="0" w:space="0" w:color="auto"/>
                  </w:divBdr>
                  <w:divsChild>
                    <w:div w:id="309291081">
                      <w:marLeft w:val="0"/>
                      <w:marRight w:val="0"/>
                      <w:marTop w:val="0"/>
                      <w:marBottom w:val="0"/>
                      <w:divBdr>
                        <w:top w:val="none" w:sz="0" w:space="0" w:color="auto"/>
                        <w:left w:val="none" w:sz="0" w:space="0" w:color="auto"/>
                        <w:bottom w:val="none" w:sz="0" w:space="0" w:color="auto"/>
                        <w:right w:val="none" w:sz="0" w:space="0" w:color="auto"/>
                      </w:divBdr>
                    </w:div>
                  </w:divsChild>
                </w:div>
                <w:div w:id="1338145507">
                  <w:marLeft w:val="0"/>
                  <w:marRight w:val="0"/>
                  <w:marTop w:val="0"/>
                  <w:marBottom w:val="0"/>
                  <w:divBdr>
                    <w:top w:val="none" w:sz="0" w:space="0" w:color="auto"/>
                    <w:left w:val="none" w:sz="0" w:space="0" w:color="auto"/>
                    <w:bottom w:val="none" w:sz="0" w:space="0" w:color="auto"/>
                    <w:right w:val="none" w:sz="0" w:space="0" w:color="auto"/>
                  </w:divBdr>
                  <w:divsChild>
                    <w:div w:id="550531222">
                      <w:marLeft w:val="0"/>
                      <w:marRight w:val="0"/>
                      <w:marTop w:val="0"/>
                      <w:marBottom w:val="0"/>
                      <w:divBdr>
                        <w:top w:val="none" w:sz="0" w:space="0" w:color="auto"/>
                        <w:left w:val="none" w:sz="0" w:space="0" w:color="auto"/>
                        <w:bottom w:val="none" w:sz="0" w:space="0" w:color="auto"/>
                        <w:right w:val="none" w:sz="0" w:space="0" w:color="auto"/>
                      </w:divBdr>
                    </w:div>
                  </w:divsChild>
                </w:div>
                <w:div w:id="1345783651">
                  <w:marLeft w:val="0"/>
                  <w:marRight w:val="0"/>
                  <w:marTop w:val="0"/>
                  <w:marBottom w:val="0"/>
                  <w:divBdr>
                    <w:top w:val="none" w:sz="0" w:space="0" w:color="auto"/>
                    <w:left w:val="none" w:sz="0" w:space="0" w:color="auto"/>
                    <w:bottom w:val="none" w:sz="0" w:space="0" w:color="auto"/>
                    <w:right w:val="none" w:sz="0" w:space="0" w:color="auto"/>
                  </w:divBdr>
                  <w:divsChild>
                    <w:div w:id="1685865552">
                      <w:marLeft w:val="0"/>
                      <w:marRight w:val="0"/>
                      <w:marTop w:val="0"/>
                      <w:marBottom w:val="0"/>
                      <w:divBdr>
                        <w:top w:val="none" w:sz="0" w:space="0" w:color="auto"/>
                        <w:left w:val="none" w:sz="0" w:space="0" w:color="auto"/>
                        <w:bottom w:val="none" w:sz="0" w:space="0" w:color="auto"/>
                        <w:right w:val="none" w:sz="0" w:space="0" w:color="auto"/>
                      </w:divBdr>
                    </w:div>
                  </w:divsChild>
                </w:div>
                <w:div w:id="1357000127">
                  <w:marLeft w:val="0"/>
                  <w:marRight w:val="0"/>
                  <w:marTop w:val="0"/>
                  <w:marBottom w:val="0"/>
                  <w:divBdr>
                    <w:top w:val="none" w:sz="0" w:space="0" w:color="auto"/>
                    <w:left w:val="none" w:sz="0" w:space="0" w:color="auto"/>
                    <w:bottom w:val="none" w:sz="0" w:space="0" w:color="auto"/>
                    <w:right w:val="none" w:sz="0" w:space="0" w:color="auto"/>
                  </w:divBdr>
                  <w:divsChild>
                    <w:div w:id="958340554">
                      <w:marLeft w:val="0"/>
                      <w:marRight w:val="0"/>
                      <w:marTop w:val="0"/>
                      <w:marBottom w:val="0"/>
                      <w:divBdr>
                        <w:top w:val="none" w:sz="0" w:space="0" w:color="auto"/>
                        <w:left w:val="none" w:sz="0" w:space="0" w:color="auto"/>
                        <w:bottom w:val="none" w:sz="0" w:space="0" w:color="auto"/>
                        <w:right w:val="none" w:sz="0" w:space="0" w:color="auto"/>
                      </w:divBdr>
                    </w:div>
                  </w:divsChild>
                </w:div>
                <w:div w:id="1362852367">
                  <w:marLeft w:val="0"/>
                  <w:marRight w:val="0"/>
                  <w:marTop w:val="0"/>
                  <w:marBottom w:val="0"/>
                  <w:divBdr>
                    <w:top w:val="none" w:sz="0" w:space="0" w:color="auto"/>
                    <w:left w:val="none" w:sz="0" w:space="0" w:color="auto"/>
                    <w:bottom w:val="none" w:sz="0" w:space="0" w:color="auto"/>
                    <w:right w:val="none" w:sz="0" w:space="0" w:color="auto"/>
                  </w:divBdr>
                  <w:divsChild>
                    <w:div w:id="2020540625">
                      <w:marLeft w:val="0"/>
                      <w:marRight w:val="0"/>
                      <w:marTop w:val="0"/>
                      <w:marBottom w:val="0"/>
                      <w:divBdr>
                        <w:top w:val="none" w:sz="0" w:space="0" w:color="auto"/>
                        <w:left w:val="none" w:sz="0" w:space="0" w:color="auto"/>
                        <w:bottom w:val="none" w:sz="0" w:space="0" w:color="auto"/>
                        <w:right w:val="none" w:sz="0" w:space="0" w:color="auto"/>
                      </w:divBdr>
                    </w:div>
                  </w:divsChild>
                </w:div>
                <w:div w:id="1383020639">
                  <w:marLeft w:val="0"/>
                  <w:marRight w:val="0"/>
                  <w:marTop w:val="0"/>
                  <w:marBottom w:val="0"/>
                  <w:divBdr>
                    <w:top w:val="none" w:sz="0" w:space="0" w:color="auto"/>
                    <w:left w:val="none" w:sz="0" w:space="0" w:color="auto"/>
                    <w:bottom w:val="none" w:sz="0" w:space="0" w:color="auto"/>
                    <w:right w:val="none" w:sz="0" w:space="0" w:color="auto"/>
                  </w:divBdr>
                  <w:divsChild>
                    <w:div w:id="317003800">
                      <w:marLeft w:val="0"/>
                      <w:marRight w:val="0"/>
                      <w:marTop w:val="0"/>
                      <w:marBottom w:val="0"/>
                      <w:divBdr>
                        <w:top w:val="none" w:sz="0" w:space="0" w:color="auto"/>
                        <w:left w:val="none" w:sz="0" w:space="0" w:color="auto"/>
                        <w:bottom w:val="none" w:sz="0" w:space="0" w:color="auto"/>
                        <w:right w:val="none" w:sz="0" w:space="0" w:color="auto"/>
                      </w:divBdr>
                    </w:div>
                  </w:divsChild>
                </w:div>
                <w:div w:id="1396051869">
                  <w:marLeft w:val="0"/>
                  <w:marRight w:val="0"/>
                  <w:marTop w:val="0"/>
                  <w:marBottom w:val="0"/>
                  <w:divBdr>
                    <w:top w:val="none" w:sz="0" w:space="0" w:color="auto"/>
                    <w:left w:val="none" w:sz="0" w:space="0" w:color="auto"/>
                    <w:bottom w:val="none" w:sz="0" w:space="0" w:color="auto"/>
                    <w:right w:val="none" w:sz="0" w:space="0" w:color="auto"/>
                  </w:divBdr>
                  <w:divsChild>
                    <w:div w:id="1725641200">
                      <w:marLeft w:val="0"/>
                      <w:marRight w:val="0"/>
                      <w:marTop w:val="0"/>
                      <w:marBottom w:val="0"/>
                      <w:divBdr>
                        <w:top w:val="none" w:sz="0" w:space="0" w:color="auto"/>
                        <w:left w:val="none" w:sz="0" w:space="0" w:color="auto"/>
                        <w:bottom w:val="none" w:sz="0" w:space="0" w:color="auto"/>
                        <w:right w:val="none" w:sz="0" w:space="0" w:color="auto"/>
                      </w:divBdr>
                    </w:div>
                  </w:divsChild>
                </w:div>
                <w:div w:id="1409420005">
                  <w:marLeft w:val="0"/>
                  <w:marRight w:val="0"/>
                  <w:marTop w:val="0"/>
                  <w:marBottom w:val="0"/>
                  <w:divBdr>
                    <w:top w:val="none" w:sz="0" w:space="0" w:color="auto"/>
                    <w:left w:val="none" w:sz="0" w:space="0" w:color="auto"/>
                    <w:bottom w:val="none" w:sz="0" w:space="0" w:color="auto"/>
                    <w:right w:val="none" w:sz="0" w:space="0" w:color="auto"/>
                  </w:divBdr>
                  <w:divsChild>
                    <w:div w:id="801314503">
                      <w:marLeft w:val="0"/>
                      <w:marRight w:val="0"/>
                      <w:marTop w:val="0"/>
                      <w:marBottom w:val="0"/>
                      <w:divBdr>
                        <w:top w:val="none" w:sz="0" w:space="0" w:color="auto"/>
                        <w:left w:val="none" w:sz="0" w:space="0" w:color="auto"/>
                        <w:bottom w:val="none" w:sz="0" w:space="0" w:color="auto"/>
                        <w:right w:val="none" w:sz="0" w:space="0" w:color="auto"/>
                      </w:divBdr>
                    </w:div>
                  </w:divsChild>
                </w:div>
                <w:div w:id="1442450633">
                  <w:marLeft w:val="0"/>
                  <w:marRight w:val="0"/>
                  <w:marTop w:val="0"/>
                  <w:marBottom w:val="0"/>
                  <w:divBdr>
                    <w:top w:val="none" w:sz="0" w:space="0" w:color="auto"/>
                    <w:left w:val="none" w:sz="0" w:space="0" w:color="auto"/>
                    <w:bottom w:val="none" w:sz="0" w:space="0" w:color="auto"/>
                    <w:right w:val="none" w:sz="0" w:space="0" w:color="auto"/>
                  </w:divBdr>
                  <w:divsChild>
                    <w:div w:id="1986471204">
                      <w:marLeft w:val="0"/>
                      <w:marRight w:val="0"/>
                      <w:marTop w:val="0"/>
                      <w:marBottom w:val="0"/>
                      <w:divBdr>
                        <w:top w:val="none" w:sz="0" w:space="0" w:color="auto"/>
                        <w:left w:val="none" w:sz="0" w:space="0" w:color="auto"/>
                        <w:bottom w:val="none" w:sz="0" w:space="0" w:color="auto"/>
                        <w:right w:val="none" w:sz="0" w:space="0" w:color="auto"/>
                      </w:divBdr>
                    </w:div>
                  </w:divsChild>
                </w:div>
                <w:div w:id="1447386847">
                  <w:marLeft w:val="0"/>
                  <w:marRight w:val="0"/>
                  <w:marTop w:val="0"/>
                  <w:marBottom w:val="0"/>
                  <w:divBdr>
                    <w:top w:val="none" w:sz="0" w:space="0" w:color="auto"/>
                    <w:left w:val="none" w:sz="0" w:space="0" w:color="auto"/>
                    <w:bottom w:val="none" w:sz="0" w:space="0" w:color="auto"/>
                    <w:right w:val="none" w:sz="0" w:space="0" w:color="auto"/>
                  </w:divBdr>
                  <w:divsChild>
                    <w:div w:id="161549472">
                      <w:marLeft w:val="0"/>
                      <w:marRight w:val="0"/>
                      <w:marTop w:val="0"/>
                      <w:marBottom w:val="0"/>
                      <w:divBdr>
                        <w:top w:val="none" w:sz="0" w:space="0" w:color="auto"/>
                        <w:left w:val="none" w:sz="0" w:space="0" w:color="auto"/>
                        <w:bottom w:val="none" w:sz="0" w:space="0" w:color="auto"/>
                        <w:right w:val="none" w:sz="0" w:space="0" w:color="auto"/>
                      </w:divBdr>
                    </w:div>
                  </w:divsChild>
                </w:div>
                <w:div w:id="1448045493">
                  <w:marLeft w:val="0"/>
                  <w:marRight w:val="0"/>
                  <w:marTop w:val="0"/>
                  <w:marBottom w:val="0"/>
                  <w:divBdr>
                    <w:top w:val="none" w:sz="0" w:space="0" w:color="auto"/>
                    <w:left w:val="none" w:sz="0" w:space="0" w:color="auto"/>
                    <w:bottom w:val="none" w:sz="0" w:space="0" w:color="auto"/>
                    <w:right w:val="none" w:sz="0" w:space="0" w:color="auto"/>
                  </w:divBdr>
                  <w:divsChild>
                    <w:div w:id="1707635902">
                      <w:marLeft w:val="0"/>
                      <w:marRight w:val="0"/>
                      <w:marTop w:val="0"/>
                      <w:marBottom w:val="0"/>
                      <w:divBdr>
                        <w:top w:val="none" w:sz="0" w:space="0" w:color="auto"/>
                        <w:left w:val="none" w:sz="0" w:space="0" w:color="auto"/>
                        <w:bottom w:val="none" w:sz="0" w:space="0" w:color="auto"/>
                        <w:right w:val="none" w:sz="0" w:space="0" w:color="auto"/>
                      </w:divBdr>
                    </w:div>
                  </w:divsChild>
                </w:div>
                <w:div w:id="1453094044">
                  <w:marLeft w:val="0"/>
                  <w:marRight w:val="0"/>
                  <w:marTop w:val="0"/>
                  <w:marBottom w:val="0"/>
                  <w:divBdr>
                    <w:top w:val="none" w:sz="0" w:space="0" w:color="auto"/>
                    <w:left w:val="none" w:sz="0" w:space="0" w:color="auto"/>
                    <w:bottom w:val="none" w:sz="0" w:space="0" w:color="auto"/>
                    <w:right w:val="none" w:sz="0" w:space="0" w:color="auto"/>
                  </w:divBdr>
                  <w:divsChild>
                    <w:div w:id="1355155762">
                      <w:marLeft w:val="0"/>
                      <w:marRight w:val="0"/>
                      <w:marTop w:val="0"/>
                      <w:marBottom w:val="0"/>
                      <w:divBdr>
                        <w:top w:val="none" w:sz="0" w:space="0" w:color="auto"/>
                        <w:left w:val="none" w:sz="0" w:space="0" w:color="auto"/>
                        <w:bottom w:val="none" w:sz="0" w:space="0" w:color="auto"/>
                        <w:right w:val="none" w:sz="0" w:space="0" w:color="auto"/>
                      </w:divBdr>
                    </w:div>
                  </w:divsChild>
                </w:div>
                <w:div w:id="1467354272">
                  <w:marLeft w:val="0"/>
                  <w:marRight w:val="0"/>
                  <w:marTop w:val="0"/>
                  <w:marBottom w:val="0"/>
                  <w:divBdr>
                    <w:top w:val="none" w:sz="0" w:space="0" w:color="auto"/>
                    <w:left w:val="none" w:sz="0" w:space="0" w:color="auto"/>
                    <w:bottom w:val="none" w:sz="0" w:space="0" w:color="auto"/>
                    <w:right w:val="none" w:sz="0" w:space="0" w:color="auto"/>
                  </w:divBdr>
                  <w:divsChild>
                    <w:div w:id="1750812132">
                      <w:marLeft w:val="0"/>
                      <w:marRight w:val="0"/>
                      <w:marTop w:val="0"/>
                      <w:marBottom w:val="0"/>
                      <w:divBdr>
                        <w:top w:val="none" w:sz="0" w:space="0" w:color="auto"/>
                        <w:left w:val="none" w:sz="0" w:space="0" w:color="auto"/>
                        <w:bottom w:val="none" w:sz="0" w:space="0" w:color="auto"/>
                        <w:right w:val="none" w:sz="0" w:space="0" w:color="auto"/>
                      </w:divBdr>
                    </w:div>
                  </w:divsChild>
                </w:div>
                <w:div w:id="1478642678">
                  <w:marLeft w:val="0"/>
                  <w:marRight w:val="0"/>
                  <w:marTop w:val="0"/>
                  <w:marBottom w:val="0"/>
                  <w:divBdr>
                    <w:top w:val="none" w:sz="0" w:space="0" w:color="auto"/>
                    <w:left w:val="none" w:sz="0" w:space="0" w:color="auto"/>
                    <w:bottom w:val="none" w:sz="0" w:space="0" w:color="auto"/>
                    <w:right w:val="none" w:sz="0" w:space="0" w:color="auto"/>
                  </w:divBdr>
                  <w:divsChild>
                    <w:div w:id="1941058659">
                      <w:marLeft w:val="0"/>
                      <w:marRight w:val="0"/>
                      <w:marTop w:val="0"/>
                      <w:marBottom w:val="0"/>
                      <w:divBdr>
                        <w:top w:val="none" w:sz="0" w:space="0" w:color="auto"/>
                        <w:left w:val="none" w:sz="0" w:space="0" w:color="auto"/>
                        <w:bottom w:val="none" w:sz="0" w:space="0" w:color="auto"/>
                        <w:right w:val="none" w:sz="0" w:space="0" w:color="auto"/>
                      </w:divBdr>
                    </w:div>
                  </w:divsChild>
                </w:div>
                <w:div w:id="1484741554">
                  <w:marLeft w:val="0"/>
                  <w:marRight w:val="0"/>
                  <w:marTop w:val="0"/>
                  <w:marBottom w:val="0"/>
                  <w:divBdr>
                    <w:top w:val="none" w:sz="0" w:space="0" w:color="auto"/>
                    <w:left w:val="none" w:sz="0" w:space="0" w:color="auto"/>
                    <w:bottom w:val="none" w:sz="0" w:space="0" w:color="auto"/>
                    <w:right w:val="none" w:sz="0" w:space="0" w:color="auto"/>
                  </w:divBdr>
                  <w:divsChild>
                    <w:div w:id="269095983">
                      <w:marLeft w:val="0"/>
                      <w:marRight w:val="0"/>
                      <w:marTop w:val="0"/>
                      <w:marBottom w:val="0"/>
                      <w:divBdr>
                        <w:top w:val="none" w:sz="0" w:space="0" w:color="auto"/>
                        <w:left w:val="none" w:sz="0" w:space="0" w:color="auto"/>
                        <w:bottom w:val="none" w:sz="0" w:space="0" w:color="auto"/>
                        <w:right w:val="none" w:sz="0" w:space="0" w:color="auto"/>
                      </w:divBdr>
                    </w:div>
                  </w:divsChild>
                </w:div>
                <w:div w:id="1491092446">
                  <w:marLeft w:val="0"/>
                  <w:marRight w:val="0"/>
                  <w:marTop w:val="0"/>
                  <w:marBottom w:val="0"/>
                  <w:divBdr>
                    <w:top w:val="none" w:sz="0" w:space="0" w:color="auto"/>
                    <w:left w:val="none" w:sz="0" w:space="0" w:color="auto"/>
                    <w:bottom w:val="none" w:sz="0" w:space="0" w:color="auto"/>
                    <w:right w:val="none" w:sz="0" w:space="0" w:color="auto"/>
                  </w:divBdr>
                  <w:divsChild>
                    <w:div w:id="368454524">
                      <w:marLeft w:val="0"/>
                      <w:marRight w:val="0"/>
                      <w:marTop w:val="0"/>
                      <w:marBottom w:val="0"/>
                      <w:divBdr>
                        <w:top w:val="none" w:sz="0" w:space="0" w:color="auto"/>
                        <w:left w:val="none" w:sz="0" w:space="0" w:color="auto"/>
                        <w:bottom w:val="none" w:sz="0" w:space="0" w:color="auto"/>
                        <w:right w:val="none" w:sz="0" w:space="0" w:color="auto"/>
                      </w:divBdr>
                    </w:div>
                  </w:divsChild>
                </w:div>
                <w:div w:id="1499154977">
                  <w:marLeft w:val="0"/>
                  <w:marRight w:val="0"/>
                  <w:marTop w:val="0"/>
                  <w:marBottom w:val="0"/>
                  <w:divBdr>
                    <w:top w:val="none" w:sz="0" w:space="0" w:color="auto"/>
                    <w:left w:val="none" w:sz="0" w:space="0" w:color="auto"/>
                    <w:bottom w:val="none" w:sz="0" w:space="0" w:color="auto"/>
                    <w:right w:val="none" w:sz="0" w:space="0" w:color="auto"/>
                  </w:divBdr>
                  <w:divsChild>
                    <w:div w:id="1515918380">
                      <w:marLeft w:val="0"/>
                      <w:marRight w:val="0"/>
                      <w:marTop w:val="0"/>
                      <w:marBottom w:val="0"/>
                      <w:divBdr>
                        <w:top w:val="none" w:sz="0" w:space="0" w:color="auto"/>
                        <w:left w:val="none" w:sz="0" w:space="0" w:color="auto"/>
                        <w:bottom w:val="none" w:sz="0" w:space="0" w:color="auto"/>
                        <w:right w:val="none" w:sz="0" w:space="0" w:color="auto"/>
                      </w:divBdr>
                    </w:div>
                  </w:divsChild>
                </w:div>
                <w:div w:id="1503861368">
                  <w:marLeft w:val="0"/>
                  <w:marRight w:val="0"/>
                  <w:marTop w:val="0"/>
                  <w:marBottom w:val="0"/>
                  <w:divBdr>
                    <w:top w:val="none" w:sz="0" w:space="0" w:color="auto"/>
                    <w:left w:val="none" w:sz="0" w:space="0" w:color="auto"/>
                    <w:bottom w:val="none" w:sz="0" w:space="0" w:color="auto"/>
                    <w:right w:val="none" w:sz="0" w:space="0" w:color="auto"/>
                  </w:divBdr>
                  <w:divsChild>
                    <w:div w:id="27919202">
                      <w:marLeft w:val="0"/>
                      <w:marRight w:val="0"/>
                      <w:marTop w:val="0"/>
                      <w:marBottom w:val="0"/>
                      <w:divBdr>
                        <w:top w:val="none" w:sz="0" w:space="0" w:color="auto"/>
                        <w:left w:val="none" w:sz="0" w:space="0" w:color="auto"/>
                        <w:bottom w:val="none" w:sz="0" w:space="0" w:color="auto"/>
                        <w:right w:val="none" w:sz="0" w:space="0" w:color="auto"/>
                      </w:divBdr>
                    </w:div>
                  </w:divsChild>
                </w:div>
                <w:div w:id="1504203505">
                  <w:marLeft w:val="0"/>
                  <w:marRight w:val="0"/>
                  <w:marTop w:val="0"/>
                  <w:marBottom w:val="0"/>
                  <w:divBdr>
                    <w:top w:val="none" w:sz="0" w:space="0" w:color="auto"/>
                    <w:left w:val="none" w:sz="0" w:space="0" w:color="auto"/>
                    <w:bottom w:val="none" w:sz="0" w:space="0" w:color="auto"/>
                    <w:right w:val="none" w:sz="0" w:space="0" w:color="auto"/>
                  </w:divBdr>
                  <w:divsChild>
                    <w:div w:id="2084330088">
                      <w:marLeft w:val="0"/>
                      <w:marRight w:val="0"/>
                      <w:marTop w:val="0"/>
                      <w:marBottom w:val="0"/>
                      <w:divBdr>
                        <w:top w:val="none" w:sz="0" w:space="0" w:color="auto"/>
                        <w:left w:val="none" w:sz="0" w:space="0" w:color="auto"/>
                        <w:bottom w:val="none" w:sz="0" w:space="0" w:color="auto"/>
                        <w:right w:val="none" w:sz="0" w:space="0" w:color="auto"/>
                      </w:divBdr>
                    </w:div>
                  </w:divsChild>
                </w:div>
                <w:div w:id="1549996502">
                  <w:marLeft w:val="0"/>
                  <w:marRight w:val="0"/>
                  <w:marTop w:val="0"/>
                  <w:marBottom w:val="0"/>
                  <w:divBdr>
                    <w:top w:val="none" w:sz="0" w:space="0" w:color="auto"/>
                    <w:left w:val="none" w:sz="0" w:space="0" w:color="auto"/>
                    <w:bottom w:val="none" w:sz="0" w:space="0" w:color="auto"/>
                    <w:right w:val="none" w:sz="0" w:space="0" w:color="auto"/>
                  </w:divBdr>
                  <w:divsChild>
                    <w:div w:id="341705290">
                      <w:marLeft w:val="0"/>
                      <w:marRight w:val="0"/>
                      <w:marTop w:val="0"/>
                      <w:marBottom w:val="0"/>
                      <w:divBdr>
                        <w:top w:val="none" w:sz="0" w:space="0" w:color="auto"/>
                        <w:left w:val="none" w:sz="0" w:space="0" w:color="auto"/>
                        <w:bottom w:val="none" w:sz="0" w:space="0" w:color="auto"/>
                        <w:right w:val="none" w:sz="0" w:space="0" w:color="auto"/>
                      </w:divBdr>
                    </w:div>
                  </w:divsChild>
                </w:div>
                <w:div w:id="1572887443">
                  <w:marLeft w:val="0"/>
                  <w:marRight w:val="0"/>
                  <w:marTop w:val="0"/>
                  <w:marBottom w:val="0"/>
                  <w:divBdr>
                    <w:top w:val="none" w:sz="0" w:space="0" w:color="auto"/>
                    <w:left w:val="none" w:sz="0" w:space="0" w:color="auto"/>
                    <w:bottom w:val="none" w:sz="0" w:space="0" w:color="auto"/>
                    <w:right w:val="none" w:sz="0" w:space="0" w:color="auto"/>
                  </w:divBdr>
                  <w:divsChild>
                    <w:div w:id="1283271105">
                      <w:marLeft w:val="0"/>
                      <w:marRight w:val="0"/>
                      <w:marTop w:val="0"/>
                      <w:marBottom w:val="0"/>
                      <w:divBdr>
                        <w:top w:val="none" w:sz="0" w:space="0" w:color="auto"/>
                        <w:left w:val="none" w:sz="0" w:space="0" w:color="auto"/>
                        <w:bottom w:val="none" w:sz="0" w:space="0" w:color="auto"/>
                        <w:right w:val="none" w:sz="0" w:space="0" w:color="auto"/>
                      </w:divBdr>
                    </w:div>
                  </w:divsChild>
                </w:div>
                <w:div w:id="1584679804">
                  <w:marLeft w:val="0"/>
                  <w:marRight w:val="0"/>
                  <w:marTop w:val="0"/>
                  <w:marBottom w:val="0"/>
                  <w:divBdr>
                    <w:top w:val="none" w:sz="0" w:space="0" w:color="auto"/>
                    <w:left w:val="none" w:sz="0" w:space="0" w:color="auto"/>
                    <w:bottom w:val="none" w:sz="0" w:space="0" w:color="auto"/>
                    <w:right w:val="none" w:sz="0" w:space="0" w:color="auto"/>
                  </w:divBdr>
                  <w:divsChild>
                    <w:div w:id="1189293505">
                      <w:marLeft w:val="0"/>
                      <w:marRight w:val="0"/>
                      <w:marTop w:val="0"/>
                      <w:marBottom w:val="0"/>
                      <w:divBdr>
                        <w:top w:val="none" w:sz="0" w:space="0" w:color="auto"/>
                        <w:left w:val="none" w:sz="0" w:space="0" w:color="auto"/>
                        <w:bottom w:val="none" w:sz="0" w:space="0" w:color="auto"/>
                        <w:right w:val="none" w:sz="0" w:space="0" w:color="auto"/>
                      </w:divBdr>
                    </w:div>
                  </w:divsChild>
                </w:div>
                <w:div w:id="1602909268">
                  <w:marLeft w:val="0"/>
                  <w:marRight w:val="0"/>
                  <w:marTop w:val="0"/>
                  <w:marBottom w:val="0"/>
                  <w:divBdr>
                    <w:top w:val="none" w:sz="0" w:space="0" w:color="auto"/>
                    <w:left w:val="none" w:sz="0" w:space="0" w:color="auto"/>
                    <w:bottom w:val="none" w:sz="0" w:space="0" w:color="auto"/>
                    <w:right w:val="none" w:sz="0" w:space="0" w:color="auto"/>
                  </w:divBdr>
                  <w:divsChild>
                    <w:div w:id="1755934750">
                      <w:marLeft w:val="0"/>
                      <w:marRight w:val="0"/>
                      <w:marTop w:val="0"/>
                      <w:marBottom w:val="0"/>
                      <w:divBdr>
                        <w:top w:val="none" w:sz="0" w:space="0" w:color="auto"/>
                        <w:left w:val="none" w:sz="0" w:space="0" w:color="auto"/>
                        <w:bottom w:val="none" w:sz="0" w:space="0" w:color="auto"/>
                        <w:right w:val="none" w:sz="0" w:space="0" w:color="auto"/>
                      </w:divBdr>
                    </w:div>
                  </w:divsChild>
                </w:div>
                <w:div w:id="1604536641">
                  <w:marLeft w:val="0"/>
                  <w:marRight w:val="0"/>
                  <w:marTop w:val="0"/>
                  <w:marBottom w:val="0"/>
                  <w:divBdr>
                    <w:top w:val="none" w:sz="0" w:space="0" w:color="auto"/>
                    <w:left w:val="none" w:sz="0" w:space="0" w:color="auto"/>
                    <w:bottom w:val="none" w:sz="0" w:space="0" w:color="auto"/>
                    <w:right w:val="none" w:sz="0" w:space="0" w:color="auto"/>
                  </w:divBdr>
                  <w:divsChild>
                    <w:div w:id="1025209154">
                      <w:marLeft w:val="0"/>
                      <w:marRight w:val="0"/>
                      <w:marTop w:val="0"/>
                      <w:marBottom w:val="0"/>
                      <w:divBdr>
                        <w:top w:val="none" w:sz="0" w:space="0" w:color="auto"/>
                        <w:left w:val="none" w:sz="0" w:space="0" w:color="auto"/>
                        <w:bottom w:val="none" w:sz="0" w:space="0" w:color="auto"/>
                        <w:right w:val="none" w:sz="0" w:space="0" w:color="auto"/>
                      </w:divBdr>
                    </w:div>
                  </w:divsChild>
                </w:div>
                <w:div w:id="1647973968">
                  <w:marLeft w:val="0"/>
                  <w:marRight w:val="0"/>
                  <w:marTop w:val="0"/>
                  <w:marBottom w:val="0"/>
                  <w:divBdr>
                    <w:top w:val="none" w:sz="0" w:space="0" w:color="auto"/>
                    <w:left w:val="none" w:sz="0" w:space="0" w:color="auto"/>
                    <w:bottom w:val="none" w:sz="0" w:space="0" w:color="auto"/>
                    <w:right w:val="none" w:sz="0" w:space="0" w:color="auto"/>
                  </w:divBdr>
                  <w:divsChild>
                    <w:div w:id="1432816670">
                      <w:marLeft w:val="0"/>
                      <w:marRight w:val="0"/>
                      <w:marTop w:val="0"/>
                      <w:marBottom w:val="0"/>
                      <w:divBdr>
                        <w:top w:val="none" w:sz="0" w:space="0" w:color="auto"/>
                        <w:left w:val="none" w:sz="0" w:space="0" w:color="auto"/>
                        <w:bottom w:val="none" w:sz="0" w:space="0" w:color="auto"/>
                        <w:right w:val="none" w:sz="0" w:space="0" w:color="auto"/>
                      </w:divBdr>
                    </w:div>
                  </w:divsChild>
                </w:div>
                <w:div w:id="1678001816">
                  <w:marLeft w:val="0"/>
                  <w:marRight w:val="0"/>
                  <w:marTop w:val="0"/>
                  <w:marBottom w:val="0"/>
                  <w:divBdr>
                    <w:top w:val="none" w:sz="0" w:space="0" w:color="auto"/>
                    <w:left w:val="none" w:sz="0" w:space="0" w:color="auto"/>
                    <w:bottom w:val="none" w:sz="0" w:space="0" w:color="auto"/>
                    <w:right w:val="none" w:sz="0" w:space="0" w:color="auto"/>
                  </w:divBdr>
                  <w:divsChild>
                    <w:div w:id="758329507">
                      <w:marLeft w:val="0"/>
                      <w:marRight w:val="0"/>
                      <w:marTop w:val="0"/>
                      <w:marBottom w:val="0"/>
                      <w:divBdr>
                        <w:top w:val="none" w:sz="0" w:space="0" w:color="auto"/>
                        <w:left w:val="none" w:sz="0" w:space="0" w:color="auto"/>
                        <w:bottom w:val="none" w:sz="0" w:space="0" w:color="auto"/>
                        <w:right w:val="none" w:sz="0" w:space="0" w:color="auto"/>
                      </w:divBdr>
                    </w:div>
                  </w:divsChild>
                </w:div>
                <w:div w:id="1681085317">
                  <w:marLeft w:val="0"/>
                  <w:marRight w:val="0"/>
                  <w:marTop w:val="0"/>
                  <w:marBottom w:val="0"/>
                  <w:divBdr>
                    <w:top w:val="none" w:sz="0" w:space="0" w:color="auto"/>
                    <w:left w:val="none" w:sz="0" w:space="0" w:color="auto"/>
                    <w:bottom w:val="none" w:sz="0" w:space="0" w:color="auto"/>
                    <w:right w:val="none" w:sz="0" w:space="0" w:color="auto"/>
                  </w:divBdr>
                  <w:divsChild>
                    <w:div w:id="536354701">
                      <w:marLeft w:val="0"/>
                      <w:marRight w:val="0"/>
                      <w:marTop w:val="0"/>
                      <w:marBottom w:val="0"/>
                      <w:divBdr>
                        <w:top w:val="none" w:sz="0" w:space="0" w:color="auto"/>
                        <w:left w:val="none" w:sz="0" w:space="0" w:color="auto"/>
                        <w:bottom w:val="none" w:sz="0" w:space="0" w:color="auto"/>
                        <w:right w:val="none" w:sz="0" w:space="0" w:color="auto"/>
                      </w:divBdr>
                    </w:div>
                  </w:divsChild>
                </w:div>
                <w:div w:id="1689018771">
                  <w:marLeft w:val="0"/>
                  <w:marRight w:val="0"/>
                  <w:marTop w:val="0"/>
                  <w:marBottom w:val="0"/>
                  <w:divBdr>
                    <w:top w:val="none" w:sz="0" w:space="0" w:color="auto"/>
                    <w:left w:val="none" w:sz="0" w:space="0" w:color="auto"/>
                    <w:bottom w:val="none" w:sz="0" w:space="0" w:color="auto"/>
                    <w:right w:val="none" w:sz="0" w:space="0" w:color="auto"/>
                  </w:divBdr>
                  <w:divsChild>
                    <w:div w:id="2034645509">
                      <w:marLeft w:val="0"/>
                      <w:marRight w:val="0"/>
                      <w:marTop w:val="0"/>
                      <w:marBottom w:val="0"/>
                      <w:divBdr>
                        <w:top w:val="none" w:sz="0" w:space="0" w:color="auto"/>
                        <w:left w:val="none" w:sz="0" w:space="0" w:color="auto"/>
                        <w:bottom w:val="none" w:sz="0" w:space="0" w:color="auto"/>
                        <w:right w:val="none" w:sz="0" w:space="0" w:color="auto"/>
                      </w:divBdr>
                    </w:div>
                  </w:divsChild>
                </w:div>
                <w:div w:id="1711105953">
                  <w:marLeft w:val="0"/>
                  <w:marRight w:val="0"/>
                  <w:marTop w:val="0"/>
                  <w:marBottom w:val="0"/>
                  <w:divBdr>
                    <w:top w:val="none" w:sz="0" w:space="0" w:color="auto"/>
                    <w:left w:val="none" w:sz="0" w:space="0" w:color="auto"/>
                    <w:bottom w:val="none" w:sz="0" w:space="0" w:color="auto"/>
                    <w:right w:val="none" w:sz="0" w:space="0" w:color="auto"/>
                  </w:divBdr>
                  <w:divsChild>
                    <w:div w:id="2093237382">
                      <w:marLeft w:val="0"/>
                      <w:marRight w:val="0"/>
                      <w:marTop w:val="0"/>
                      <w:marBottom w:val="0"/>
                      <w:divBdr>
                        <w:top w:val="none" w:sz="0" w:space="0" w:color="auto"/>
                        <w:left w:val="none" w:sz="0" w:space="0" w:color="auto"/>
                        <w:bottom w:val="none" w:sz="0" w:space="0" w:color="auto"/>
                        <w:right w:val="none" w:sz="0" w:space="0" w:color="auto"/>
                      </w:divBdr>
                    </w:div>
                  </w:divsChild>
                </w:div>
                <w:div w:id="1713072244">
                  <w:marLeft w:val="0"/>
                  <w:marRight w:val="0"/>
                  <w:marTop w:val="0"/>
                  <w:marBottom w:val="0"/>
                  <w:divBdr>
                    <w:top w:val="none" w:sz="0" w:space="0" w:color="auto"/>
                    <w:left w:val="none" w:sz="0" w:space="0" w:color="auto"/>
                    <w:bottom w:val="none" w:sz="0" w:space="0" w:color="auto"/>
                    <w:right w:val="none" w:sz="0" w:space="0" w:color="auto"/>
                  </w:divBdr>
                  <w:divsChild>
                    <w:div w:id="942149789">
                      <w:marLeft w:val="0"/>
                      <w:marRight w:val="0"/>
                      <w:marTop w:val="0"/>
                      <w:marBottom w:val="0"/>
                      <w:divBdr>
                        <w:top w:val="none" w:sz="0" w:space="0" w:color="auto"/>
                        <w:left w:val="none" w:sz="0" w:space="0" w:color="auto"/>
                        <w:bottom w:val="none" w:sz="0" w:space="0" w:color="auto"/>
                        <w:right w:val="none" w:sz="0" w:space="0" w:color="auto"/>
                      </w:divBdr>
                    </w:div>
                  </w:divsChild>
                </w:div>
                <w:div w:id="1721857959">
                  <w:marLeft w:val="0"/>
                  <w:marRight w:val="0"/>
                  <w:marTop w:val="0"/>
                  <w:marBottom w:val="0"/>
                  <w:divBdr>
                    <w:top w:val="none" w:sz="0" w:space="0" w:color="auto"/>
                    <w:left w:val="none" w:sz="0" w:space="0" w:color="auto"/>
                    <w:bottom w:val="none" w:sz="0" w:space="0" w:color="auto"/>
                    <w:right w:val="none" w:sz="0" w:space="0" w:color="auto"/>
                  </w:divBdr>
                  <w:divsChild>
                    <w:div w:id="1368065374">
                      <w:marLeft w:val="0"/>
                      <w:marRight w:val="0"/>
                      <w:marTop w:val="0"/>
                      <w:marBottom w:val="0"/>
                      <w:divBdr>
                        <w:top w:val="none" w:sz="0" w:space="0" w:color="auto"/>
                        <w:left w:val="none" w:sz="0" w:space="0" w:color="auto"/>
                        <w:bottom w:val="none" w:sz="0" w:space="0" w:color="auto"/>
                        <w:right w:val="none" w:sz="0" w:space="0" w:color="auto"/>
                      </w:divBdr>
                    </w:div>
                  </w:divsChild>
                </w:div>
                <w:div w:id="1739478535">
                  <w:marLeft w:val="0"/>
                  <w:marRight w:val="0"/>
                  <w:marTop w:val="0"/>
                  <w:marBottom w:val="0"/>
                  <w:divBdr>
                    <w:top w:val="none" w:sz="0" w:space="0" w:color="auto"/>
                    <w:left w:val="none" w:sz="0" w:space="0" w:color="auto"/>
                    <w:bottom w:val="none" w:sz="0" w:space="0" w:color="auto"/>
                    <w:right w:val="none" w:sz="0" w:space="0" w:color="auto"/>
                  </w:divBdr>
                  <w:divsChild>
                    <w:div w:id="1677685520">
                      <w:marLeft w:val="0"/>
                      <w:marRight w:val="0"/>
                      <w:marTop w:val="0"/>
                      <w:marBottom w:val="0"/>
                      <w:divBdr>
                        <w:top w:val="none" w:sz="0" w:space="0" w:color="auto"/>
                        <w:left w:val="none" w:sz="0" w:space="0" w:color="auto"/>
                        <w:bottom w:val="none" w:sz="0" w:space="0" w:color="auto"/>
                        <w:right w:val="none" w:sz="0" w:space="0" w:color="auto"/>
                      </w:divBdr>
                    </w:div>
                  </w:divsChild>
                </w:div>
                <w:div w:id="1751124040">
                  <w:marLeft w:val="0"/>
                  <w:marRight w:val="0"/>
                  <w:marTop w:val="0"/>
                  <w:marBottom w:val="0"/>
                  <w:divBdr>
                    <w:top w:val="none" w:sz="0" w:space="0" w:color="auto"/>
                    <w:left w:val="none" w:sz="0" w:space="0" w:color="auto"/>
                    <w:bottom w:val="none" w:sz="0" w:space="0" w:color="auto"/>
                    <w:right w:val="none" w:sz="0" w:space="0" w:color="auto"/>
                  </w:divBdr>
                  <w:divsChild>
                    <w:div w:id="349601597">
                      <w:marLeft w:val="0"/>
                      <w:marRight w:val="0"/>
                      <w:marTop w:val="0"/>
                      <w:marBottom w:val="0"/>
                      <w:divBdr>
                        <w:top w:val="none" w:sz="0" w:space="0" w:color="auto"/>
                        <w:left w:val="none" w:sz="0" w:space="0" w:color="auto"/>
                        <w:bottom w:val="none" w:sz="0" w:space="0" w:color="auto"/>
                        <w:right w:val="none" w:sz="0" w:space="0" w:color="auto"/>
                      </w:divBdr>
                    </w:div>
                  </w:divsChild>
                </w:div>
                <w:div w:id="1771314395">
                  <w:marLeft w:val="0"/>
                  <w:marRight w:val="0"/>
                  <w:marTop w:val="0"/>
                  <w:marBottom w:val="0"/>
                  <w:divBdr>
                    <w:top w:val="none" w:sz="0" w:space="0" w:color="auto"/>
                    <w:left w:val="none" w:sz="0" w:space="0" w:color="auto"/>
                    <w:bottom w:val="none" w:sz="0" w:space="0" w:color="auto"/>
                    <w:right w:val="none" w:sz="0" w:space="0" w:color="auto"/>
                  </w:divBdr>
                  <w:divsChild>
                    <w:div w:id="342323841">
                      <w:marLeft w:val="0"/>
                      <w:marRight w:val="0"/>
                      <w:marTop w:val="0"/>
                      <w:marBottom w:val="0"/>
                      <w:divBdr>
                        <w:top w:val="none" w:sz="0" w:space="0" w:color="auto"/>
                        <w:left w:val="none" w:sz="0" w:space="0" w:color="auto"/>
                        <w:bottom w:val="none" w:sz="0" w:space="0" w:color="auto"/>
                        <w:right w:val="none" w:sz="0" w:space="0" w:color="auto"/>
                      </w:divBdr>
                    </w:div>
                  </w:divsChild>
                </w:div>
                <w:div w:id="1778284022">
                  <w:marLeft w:val="0"/>
                  <w:marRight w:val="0"/>
                  <w:marTop w:val="0"/>
                  <w:marBottom w:val="0"/>
                  <w:divBdr>
                    <w:top w:val="none" w:sz="0" w:space="0" w:color="auto"/>
                    <w:left w:val="none" w:sz="0" w:space="0" w:color="auto"/>
                    <w:bottom w:val="none" w:sz="0" w:space="0" w:color="auto"/>
                    <w:right w:val="none" w:sz="0" w:space="0" w:color="auto"/>
                  </w:divBdr>
                  <w:divsChild>
                    <w:div w:id="684596379">
                      <w:marLeft w:val="0"/>
                      <w:marRight w:val="0"/>
                      <w:marTop w:val="0"/>
                      <w:marBottom w:val="0"/>
                      <w:divBdr>
                        <w:top w:val="none" w:sz="0" w:space="0" w:color="auto"/>
                        <w:left w:val="none" w:sz="0" w:space="0" w:color="auto"/>
                        <w:bottom w:val="none" w:sz="0" w:space="0" w:color="auto"/>
                        <w:right w:val="none" w:sz="0" w:space="0" w:color="auto"/>
                      </w:divBdr>
                    </w:div>
                  </w:divsChild>
                </w:div>
                <w:div w:id="1816875338">
                  <w:marLeft w:val="0"/>
                  <w:marRight w:val="0"/>
                  <w:marTop w:val="0"/>
                  <w:marBottom w:val="0"/>
                  <w:divBdr>
                    <w:top w:val="none" w:sz="0" w:space="0" w:color="auto"/>
                    <w:left w:val="none" w:sz="0" w:space="0" w:color="auto"/>
                    <w:bottom w:val="none" w:sz="0" w:space="0" w:color="auto"/>
                    <w:right w:val="none" w:sz="0" w:space="0" w:color="auto"/>
                  </w:divBdr>
                  <w:divsChild>
                    <w:div w:id="2102489873">
                      <w:marLeft w:val="0"/>
                      <w:marRight w:val="0"/>
                      <w:marTop w:val="0"/>
                      <w:marBottom w:val="0"/>
                      <w:divBdr>
                        <w:top w:val="none" w:sz="0" w:space="0" w:color="auto"/>
                        <w:left w:val="none" w:sz="0" w:space="0" w:color="auto"/>
                        <w:bottom w:val="none" w:sz="0" w:space="0" w:color="auto"/>
                        <w:right w:val="none" w:sz="0" w:space="0" w:color="auto"/>
                      </w:divBdr>
                    </w:div>
                  </w:divsChild>
                </w:div>
                <w:div w:id="1818184998">
                  <w:marLeft w:val="0"/>
                  <w:marRight w:val="0"/>
                  <w:marTop w:val="0"/>
                  <w:marBottom w:val="0"/>
                  <w:divBdr>
                    <w:top w:val="none" w:sz="0" w:space="0" w:color="auto"/>
                    <w:left w:val="none" w:sz="0" w:space="0" w:color="auto"/>
                    <w:bottom w:val="none" w:sz="0" w:space="0" w:color="auto"/>
                    <w:right w:val="none" w:sz="0" w:space="0" w:color="auto"/>
                  </w:divBdr>
                  <w:divsChild>
                    <w:div w:id="616527142">
                      <w:marLeft w:val="0"/>
                      <w:marRight w:val="0"/>
                      <w:marTop w:val="0"/>
                      <w:marBottom w:val="0"/>
                      <w:divBdr>
                        <w:top w:val="none" w:sz="0" w:space="0" w:color="auto"/>
                        <w:left w:val="none" w:sz="0" w:space="0" w:color="auto"/>
                        <w:bottom w:val="none" w:sz="0" w:space="0" w:color="auto"/>
                        <w:right w:val="none" w:sz="0" w:space="0" w:color="auto"/>
                      </w:divBdr>
                    </w:div>
                  </w:divsChild>
                </w:div>
                <w:div w:id="1830704314">
                  <w:marLeft w:val="0"/>
                  <w:marRight w:val="0"/>
                  <w:marTop w:val="0"/>
                  <w:marBottom w:val="0"/>
                  <w:divBdr>
                    <w:top w:val="none" w:sz="0" w:space="0" w:color="auto"/>
                    <w:left w:val="none" w:sz="0" w:space="0" w:color="auto"/>
                    <w:bottom w:val="none" w:sz="0" w:space="0" w:color="auto"/>
                    <w:right w:val="none" w:sz="0" w:space="0" w:color="auto"/>
                  </w:divBdr>
                  <w:divsChild>
                    <w:div w:id="206918534">
                      <w:marLeft w:val="0"/>
                      <w:marRight w:val="0"/>
                      <w:marTop w:val="0"/>
                      <w:marBottom w:val="0"/>
                      <w:divBdr>
                        <w:top w:val="none" w:sz="0" w:space="0" w:color="auto"/>
                        <w:left w:val="none" w:sz="0" w:space="0" w:color="auto"/>
                        <w:bottom w:val="none" w:sz="0" w:space="0" w:color="auto"/>
                        <w:right w:val="none" w:sz="0" w:space="0" w:color="auto"/>
                      </w:divBdr>
                    </w:div>
                  </w:divsChild>
                </w:div>
                <w:div w:id="1852530735">
                  <w:marLeft w:val="0"/>
                  <w:marRight w:val="0"/>
                  <w:marTop w:val="0"/>
                  <w:marBottom w:val="0"/>
                  <w:divBdr>
                    <w:top w:val="none" w:sz="0" w:space="0" w:color="auto"/>
                    <w:left w:val="none" w:sz="0" w:space="0" w:color="auto"/>
                    <w:bottom w:val="none" w:sz="0" w:space="0" w:color="auto"/>
                    <w:right w:val="none" w:sz="0" w:space="0" w:color="auto"/>
                  </w:divBdr>
                  <w:divsChild>
                    <w:div w:id="274137701">
                      <w:marLeft w:val="0"/>
                      <w:marRight w:val="0"/>
                      <w:marTop w:val="0"/>
                      <w:marBottom w:val="0"/>
                      <w:divBdr>
                        <w:top w:val="none" w:sz="0" w:space="0" w:color="auto"/>
                        <w:left w:val="none" w:sz="0" w:space="0" w:color="auto"/>
                        <w:bottom w:val="none" w:sz="0" w:space="0" w:color="auto"/>
                        <w:right w:val="none" w:sz="0" w:space="0" w:color="auto"/>
                      </w:divBdr>
                    </w:div>
                  </w:divsChild>
                </w:div>
                <w:div w:id="1895505924">
                  <w:marLeft w:val="0"/>
                  <w:marRight w:val="0"/>
                  <w:marTop w:val="0"/>
                  <w:marBottom w:val="0"/>
                  <w:divBdr>
                    <w:top w:val="none" w:sz="0" w:space="0" w:color="auto"/>
                    <w:left w:val="none" w:sz="0" w:space="0" w:color="auto"/>
                    <w:bottom w:val="none" w:sz="0" w:space="0" w:color="auto"/>
                    <w:right w:val="none" w:sz="0" w:space="0" w:color="auto"/>
                  </w:divBdr>
                  <w:divsChild>
                    <w:div w:id="2023699306">
                      <w:marLeft w:val="0"/>
                      <w:marRight w:val="0"/>
                      <w:marTop w:val="0"/>
                      <w:marBottom w:val="0"/>
                      <w:divBdr>
                        <w:top w:val="none" w:sz="0" w:space="0" w:color="auto"/>
                        <w:left w:val="none" w:sz="0" w:space="0" w:color="auto"/>
                        <w:bottom w:val="none" w:sz="0" w:space="0" w:color="auto"/>
                        <w:right w:val="none" w:sz="0" w:space="0" w:color="auto"/>
                      </w:divBdr>
                    </w:div>
                  </w:divsChild>
                </w:div>
                <w:div w:id="1895847817">
                  <w:marLeft w:val="0"/>
                  <w:marRight w:val="0"/>
                  <w:marTop w:val="0"/>
                  <w:marBottom w:val="0"/>
                  <w:divBdr>
                    <w:top w:val="none" w:sz="0" w:space="0" w:color="auto"/>
                    <w:left w:val="none" w:sz="0" w:space="0" w:color="auto"/>
                    <w:bottom w:val="none" w:sz="0" w:space="0" w:color="auto"/>
                    <w:right w:val="none" w:sz="0" w:space="0" w:color="auto"/>
                  </w:divBdr>
                  <w:divsChild>
                    <w:div w:id="64113378">
                      <w:marLeft w:val="0"/>
                      <w:marRight w:val="0"/>
                      <w:marTop w:val="0"/>
                      <w:marBottom w:val="0"/>
                      <w:divBdr>
                        <w:top w:val="none" w:sz="0" w:space="0" w:color="auto"/>
                        <w:left w:val="none" w:sz="0" w:space="0" w:color="auto"/>
                        <w:bottom w:val="none" w:sz="0" w:space="0" w:color="auto"/>
                        <w:right w:val="none" w:sz="0" w:space="0" w:color="auto"/>
                      </w:divBdr>
                    </w:div>
                  </w:divsChild>
                </w:div>
                <w:div w:id="1912082922">
                  <w:marLeft w:val="0"/>
                  <w:marRight w:val="0"/>
                  <w:marTop w:val="0"/>
                  <w:marBottom w:val="0"/>
                  <w:divBdr>
                    <w:top w:val="none" w:sz="0" w:space="0" w:color="auto"/>
                    <w:left w:val="none" w:sz="0" w:space="0" w:color="auto"/>
                    <w:bottom w:val="none" w:sz="0" w:space="0" w:color="auto"/>
                    <w:right w:val="none" w:sz="0" w:space="0" w:color="auto"/>
                  </w:divBdr>
                  <w:divsChild>
                    <w:div w:id="694423256">
                      <w:marLeft w:val="0"/>
                      <w:marRight w:val="0"/>
                      <w:marTop w:val="0"/>
                      <w:marBottom w:val="0"/>
                      <w:divBdr>
                        <w:top w:val="none" w:sz="0" w:space="0" w:color="auto"/>
                        <w:left w:val="none" w:sz="0" w:space="0" w:color="auto"/>
                        <w:bottom w:val="none" w:sz="0" w:space="0" w:color="auto"/>
                        <w:right w:val="none" w:sz="0" w:space="0" w:color="auto"/>
                      </w:divBdr>
                    </w:div>
                  </w:divsChild>
                </w:div>
                <w:div w:id="1955819547">
                  <w:marLeft w:val="0"/>
                  <w:marRight w:val="0"/>
                  <w:marTop w:val="0"/>
                  <w:marBottom w:val="0"/>
                  <w:divBdr>
                    <w:top w:val="none" w:sz="0" w:space="0" w:color="auto"/>
                    <w:left w:val="none" w:sz="0" w:space="0" w:color="auto"/>
                    <w:bottom w:val="none" w:sz="0" w:space="0" w:color="auto"/>
                    <w:right w:val="none" w:sz="0" w:space="0" w:color="auto"/>
                  </w:divBdr>
                  <w:divsChild>
                    <w:div w:id="1496530931">
                      <w:marLeft w:val="0"/>
                      <w:marRight w:val="0"/>
                      <w:marTop w:val="0"/>
                      <w:marBottom w:val="0"/>
                      <w:divBdr>
                        <w:top w:val="none" w:sz="0" w:space="0" w:color="auto"/>
                        <w:left w:val="none" w:sz="0" w:space="0" w:color="auto"/>
                        <w:bottom w:val="none" w:sz="0" w:space="0" w:color="auto"/>
                        <w:right w:val="none" w:sz="0" w:space="0" w:color="auto"/>
                      </w:divBdr>
                    </w:div>
                  </w:divsChild>
                </w:div>
                <w:div w:id="1986743172">
                  <w:marLeft w:val="0"/>
                  <w:marRight w:val="0"/>
                  <w:marTop w:val="0"/>
                  <w:marBottom w:val="0"/>
                  <w:divBdr>
                    <w:top w:val="none" w:sz="0" w:space="0" w:color="auto"/>
                    <w:left w:val="none" w:sz="0" w:space="0" w:color="auto"/>
                    <w:bottom w:val="none" w:sz="0" w:space="0" w:color="auto"/>
                    <w:right w:val="none" w:sz="0" w:space="0" w:color="auto"/>
                  </w:divBdr>
                  <w:divsChild>
                    <w:div w:id="2036228890">
                      <w:marLeft w:val="0"/>
                      <w:marRight w:val="0"/>
                      <w:marTop w:val="0"/>
                      <w:marBottom w:val="0"/>
                      <w:divBdr>
                        <w:top w:val="none" w:sz="0" w:space="0" w:color="auto"/>
                        <w:left w:val="none" w:sz="0" w:space="0" w:color="auto"/>
                        <w:bottom w:val="none" w:sz="0" w:space="0" w:color="auto"/>
                        <w:right w:val="none" w:sz="0" w:space="0" w:color="auto"/>
                      </w:divBdr>
                    </w:div>
                  </w:divsChild>
                </w:div>
                <w:div w:id="2026444517">
                  <w:marLeft w:val="0"/>
                  <w:marRight w:val="0"/>
                  <w:marTop w:val="0"/>
                  <w:marBottom w:val="0"/>
                  <w:divBdr>
                    <w:top w:val="none" w:sz="0" w:space="0" w:color="auto"/>
                    <w:left w:val="none" w:sz="0" w:space="0" w:color="auto"/>
                    <w:bottom w:val="none" w:sz="0" w:space="0" w:color="auto"/>
                    <w:right w:val="none" w:sz="0" w:space="0" w:color="auto"/>
                  </w:divBdr>
                  <w:divsChild>
                    <w:div w:id="1319765229">
                      <w:marLeft w:val="0"/>
                      <w:marRight w:val="0"/>
                      <w:marTop w:val="0"/>
                      <w:marBottom w:val="0"/>
                      <w:divBdr>
                        <w:top w:val="none" w:sz="0" w:space="0" w:color="auto"/>
                        <w:left w:val="none" w:sz="0" w:space="0" w:color="auto"/>
                        <w:bottom w:val="none" w:sz="0" w:space="0" w:color="auto"/>
                        <w:right w:val="none" w:sz="0" w:space="0" w:color="auto"/>
                      </w:divBdr>
                    </w:div>
                  </w:divsChild>
                </w:div>
                <w:div w:id="2054846614">
                  <w:marLeft w:val="0"/>
                  <w:marRight w:val="0"/>
                  <w:marTop w:val="0"/>
                  <w:marBottom w:val="0"/>
                  <w:divBdr>
                    <w:top w:val="none" w:sz="0" w:space="0" w:color="auto"/>
                    <w:left w:val="none" w:sz="0" w:space="0" w:color="auto"/>
                    <w:bottom w:val="none" w:sz="0" w:space="0" w:color="auto"/>
                    <w:right w:val="none" w:sz="0" w:space="0" w:color="auto"/>
                  </w:divBdr>
                  <w:divsChild>
                    <w:div w:id="844974085">
                      <w:marLeft w:val="0"/>
                      <w:marRight w:val="0"/>
                      <w:marTop w:val="0"/>
                      <w:marBottom w:val="0"/>
                      <w:divBdr>
                        <w:top w:val="none" w:sz="0" w:space="0" w:color="auto"/>
                        <w:left w:val="none" w:sz="0" w:space="0" w:color="auto"/>
                        <w:bottom w:val="none" w:sz="0" w:space="0" w:color="auto"/>
                        <w:right w:val="none" w:sz="0" w:space="0" w:color="auto"/>
                      </w:divBdr>
                    </w:div>
                  </w:divsChild>
                </w:div>
                <w:div w:id="2082170134">
                  <w:marLeft w:val="0"/>
                  <w:marRight w:val="0"/>
                  <w:marTop w:val="0"/>
                  <w:marBottom w:val="0"/>
                  <w:divBdr>
                    <w:top w:val="none" w:sz="0" w:space="0" w:color="auto"/>
                    <w:left w:val="none" w:sz="0" w:space="0" w:color="auto"/>
                    <w:bottom w:val="none" w:sz="0" w:space="0" w:color="auto"/>
                    <w:right w:val="none" w:sz="0" w:space="0" w:color="auto"/>
                  </w:divBdr>
                  <w:divsChild>
                    <w:div w:id="1510214183">
                      <w:marLeft w:val="0"/>
                      <w:marRight w:val="0"/>
                      <w:marTop w:val="0"/>
                      <w:marBottom w:val="0"/>
                      <w:divBdr>
                        <w:top w:val="none" w:sz="0" w:space="0" w:color="auto"/>
                        <w:left w:val="none" w:sz="0" w:space="0" w:color="auto"/>
                        <w:bottom w:val="none" w:sz="0" w:space="0" w:color="auto"/>
                        <w:right w:val="none" w:sz="0" w:space="0" w:color="auto"/>
                      </w:divBdr>
                    </w:div>
                  </w:divsChild>
                </w:div>
                <w:div w:id="2086216683">
                  <w:marLeft w:val="0"/>
                  <w:marRight w:val="0"/>
                  <w:marTop w:val="0"/>
                  <w:marBottom w:val="0"/>
                  <w:divBdr>
                    <w:top w:val="none" w:sz="0" w:space="0" w:color="auto"/>
                    <w:left w:val="none" w:sz="0" w:space="0" w:color="auto"/>
                    <w:bottom w:val="none" w:sz="0" w:space="0" w:color="auto"/>
                    <w:right w:val="none" w:sz="0" w:space="0" w:color="auto"/>
                  </w:divBdr>
                  <w:divsChild>
                    <w:div w:id="579294234">
                      <w:marLeft w:val="0"/>
                      <w:marRight w:val="0"/>
                      <w:marTop w:val="0"/>
                      <w:marBottom w:val="0"/>
                      <w:divBdr>
                        <w:top w:val="none" w:sz="0" w:space="0" w:color="auto"/>
                        <w:left w:val="none" w:sz="0" w:space="0" w:color="auto"/>
                        <w:bottom w:val="none" w:sz="0" w:space="0" w:color="auto"/>
                        <w:right w:val="none" w:sz="0" w:space="0" w:color="auto"/>
                      </w:divBdr>
                    </w:div>
                  </w:divsChild>
                </w:div>
                <w:div w:id="2107581306">
                  <w:marLeft w:val="0"/>
                  <w:marRight w:val="0"/>
                  <w:marTop w:val="0"/>
                  <w:marBottom w:val="0"/>
                  <w:divBdr>
                    <w:top w:val="none" w:sz="0" w:space="0" w:color="auto"/>
                    <w:left w:val="none" w:sz="0" w:space="0" w:color="auto"/>
                    <w:bottom w:val="none" w:sz="0" w:space="0" w:color="auto"/>
                    <w:right w:val="none" w:sz="0" w:space="0" w:color="auto"/>
                  </w:divBdr>
                  <w:divsChild>
                    <w:div w:id="1524440816">
                      <w:marLeft w:val="0"/>
                      <w:marRight w:val="0"/>
                      <w:marTop w:val="0"/>
                      <w:marBottom w:val="0"/>
                      <w:divBdr>
                        <w:top w:val="none" w:sz="0" w:space="0" w:color="auto"/>
                        <w:left w:val="none" w:sz="0" w:space="0" w:color="auto"/>
                        <w:bottom w:val="none" w:sz="0" w:space="0" w:color="auto"/>
                        <w:right w:val="none" w:sz="0" w:space="0" w:color="auto"/>
                      </w:divBdr>
                    </w:div>
                  </w:divsChild>
                </w:div>
                <w:div w:id="2133160496">
                  <w:marLeft w:val="0"/>
                  <w:marRight w:val="0"/>
                  <w:marTop w:val="0"/>
                  <w:marBottom w:val="0"/>
                  <w:divBdr>
                    <w:top w:val="none" w:sz="0" w:space="0" w:color="auto"/>
                    <w:left w:val="none" w:sz="0" w:space="0" w:color="auto"/>
                    <w:bottom w:val="none" w:sz="0" w:space="0" w:color="auto"/>
                    <w:right w:val="none" w:sz="0" w:space="0" w:color="auto"/>
                  </w:divBdr>
                  <w:divsChild>
                    <w:div w:id="1456370246">
                      <w:marLeft w:val="0"/>
                      <w:marRight w:val="0"/>
                      <w:marTop w:val="0"/>
                      <w:marBottom w:val="0"/>
                      <w:divBdr>
                        <w:top w:val="none" w:sz="0" w:space="0" w:color="auto"/>
                        <w:left w:val="none" w:sz="0" w:space="0" w:color="auto"/>
                        <w:bottom w:val="none" w:sz="0" w:space="0" w:color="auto"/>
                        <w:right w:val="none" w:sz="0" w:space="0" w:color="auto"/>
                      </w:divBdr>
                    </w:div>
                  </w:divsChild>
                </w:div>
                <w:div w:id="2144276341">
                  <w:marLeft w:val="0"/>
                  <w:marRight w:val="0"/>
                  <w:marTop w:val="0"/>
                  <w:marBottom w:val="0"/>
                  <w:divBdr>
                    <w:top w:val="none" w:sz="0" w:space="0" w:color="auto"/>
                    <w:left w:val="none" w:sz="0" w:space="0" w:color="auto"/>
                    <w:bottom w:val="none" w:sz="0" w:space="0" w:color="auto"/>
                    <w:right w:val="none" w:sz="0" w:space="0" w:color="auto"/>
                  </w:divBdr>
                  <w:divsChild>
                    <w:div w:id="2428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41246">
      <w:bodyDiv w:val="1"/>
      <w:marLeft w:val="0"/>
      <w:marRight w:val="0"/>
      <w:marTop w:val="0"/>
      <w:marBottom w:val="0"/>
      <w:divBdr>
        <w:top w:val="none" w:sz="0" w:space="0" w:color="auto"/>
        <w:left w:val="none" w:sz="0" w:space="0" w:color="auto"/>
        <w:bottom w:val="none" w:sz="0" w:space="0" w:color="auto"/>
        <w:right w:val="none" w:sz="0" w:space="0" w:color="auto"/>
      </w:divBdr>
    </w:div>
    <w:div w:id="231430914">
      <w:bodyDiv w:val="1"/>
      <w:marLeft w:val="0"/>
      <w:marRight w:val="0"/>
      <w:marTop w:val="0"/>
      <w:marBottom w:val="0"/>
      <w:divBdr>
        <w:top w:val="none" w:sz="0" w:space="0" w:color="auto"/>
        <w:left w:val="none" w:sz="0" w:space="0" w:color="auto"/>
        <w:bottom w:val="none" w:sz="0" w:space="0" w:color="auto"/>
        <w:right w:val="none" w:sz="0" w:space="0" w:color="auto"/>
      </w:divBdr>
      <w:divsChild>
        <w:div w:id="125897040">
          <w:marLeft w:val="0"/>
          <w:marRight w:val="0"/>
          <w:marTop w:val="0"/>
          <w:marBottom w:val="0"/>
          <w:divBdr>
            <w:top w:val="none" w:sz="0" w:space="0" w:color="auto"/>
            <w:left w:val="none" w:sz="0" w:space="0" w:color="auto"/>
            <w:bottom w:val="none" w:sz="0" w:space="0" w:color="auto"/>
            <w:right w:val="none" w:sz="0" w:space="0" w:color="auto"/>
          </w:divBdr>
        </w:div>
        <w:div w:id="553004764">
          <w:marLeft w:val="0"/>
          <w:marRight w:val="0"/>
          <w:marTop w:val="0"/>
          <w:marBottom w:val="0"/>
          <w:divBdr>
            <w:top w:val="none" w:sz="0" w:space="0" w:color="auto"/>
            <w:left w:val="none" w:sz="0" w:space="0" w:color="auto"/>
            <w:bottom w:val="none" w:sz="0" w:space="0" w:color="auto"/>
            <w:right w:val="none" w:sz="0" w:space="0" w:color="auto"/>
          </w:divBdr>
          <w:divsChild>
            <w:div w:id="385302363">
              <w:marLeft w:val="0"/>
              <w:marRight w:val="0"/>
              <w:marTop w:val="0"/>
              <w:marBottom w:val="0"/>
              <w:divBdr>
                <w:top w:val="none" w:sz="0" w:space="0" w:color="auto"/>
                <w:left w:val="none" w:sz="0" w:space="0" w:color="auto"/>
                <w:bottom w:val="none" w:sz="0" w:space="0" w:color="auto"/>
                <w:right w:val="none" w:sz="0" w:space="0" w:color="auto"/>
              </w:divBdr>
            </w:div>
            <w:div w:id="860632879">
              <w:marLeft w:val="0"/>
              <w:marRight w:val="0"/>
              <w:marTop w:val="0"/>
              <w:marBottom w:val="0"/>
              <w:divBdr>
                <w:top w:val="none" w:sz="0" w:space="0" w:color="auto"/>
                <w:left w:val="none" w:sz="0" w:space="0" w:color="auto"/>
                <w:bottom w:val="none" w:sz="0" w:space="0" w:color="auto"/>
                <w:right w:val="none" w:sz="0" w:space="0" w:color="auto"/>
              </w:divBdr>
            </w:div>
            <w:div w:id="1886674507">
              <w:marLeft w:val="0"/>
              <w:marRight w:val="0"/>
              <w:marTop w:val="0"/>
              <w:marBottom w:val="0"/>
              <w:divBdr>
                <w:top w:val="none" w:sz="0" w:space="0" w:color="auto"/>
                <w:left w:val="none" w:sz="0" w:space="0" w:color="auto"/>
                <w:bottom w:val="none" w:sz="0" w:space="0" w:color="auto"/>
                <w:right w:val="none" w:sz="0" w:space="0" w:color="auto"/>
              </w:divBdr>
            </w:div>
            <w:div w:id="2053457636">
              <w:marLeft w:val="0"/>
              <w:marRight w:val="0"/>
              <w:marTop w:val="0"/>
              <w:marBottom w:val="0"/>
              <w:divBdr>
                <w:top w:val="none" w:sz="0" w:space="0" w:color="auto"/>
                <w:left w:val="none" w:sz="0" w:space="0" w:color="auto"/>
                <w:bottom w:val="none" w:sz="0" w:space="0" w:color="auto"/>
                <w:right w:val="none" w:sz="0" w:space="0" w:color="auto"/>
              </w:divBdr>
            </w:div>
          </w:divsChild>
        </w:div>
        <w:div w:id="609553263">
          <w:marLeft w:val="0"/>
          <w:marRight w:val="0"/>
          <w:marTop w:val="0"/>
          <w:marBottom w:val="0"/>
          <w:divBdr>
            <w:top w:val="none" w:sz="0" w:space="0" w:color="auto"/>
            <w:left w:val="none" w:sz="0" w:space="0" w:color="auto"/>
            <w:bottom w:val="none" w:sz="0" w:space="0" w:color="auto"/>
            <w:right w:val="none" w:sz="0" w:space="0" w:color="auto"/>
          </w:divBdr>
          <w:divsChild>
            <w:div w:id="425154329">
              <w:marLeft w:val="0"/>
              <w:marRight w:val="0"/>
              <w:marTop w:val="0"/>
              <w:marBottom w:val="0"/>
              <w:divBdr>
                <w:top w:val="none" w:sz="0" w:space="0" w:color="auto"/>
                <w:left w:val="none" w:sz="0" w:space="0" w:color="auto"/>
                <w:bottom w:val="none" w:sz="0" w:space="0" w:color="auto"/>
                <w:right w:val="none" w:sz="0" w:space="0" w:color="auto"/>
              </w:divBdr>
            </w:div>
            <w:div w:id="1401168953">
              <w:marLeft w:val="0"/>
              <w:marRight w:val="0"/>
              <w:marTop w:val="0"/>
              <w:marBottom w:val="0"/>
              <w:divBdr>
                <w:top w:val="none" w:sz="0" w:space="0" w:color="auto"/>
                <w:left w:val="none" w:sz="0" w:space="0" w:color="auto"/>
                <w:bottom w:val="none" w:sz="0" w:space="0" w:color="auto"/>
                <w:right w:val="none" w:sz="0" w:space="0" w:color="auto"/>
              </w:divBdr>
            </w:div>
            <w:div w:id="1540167154">
              <w:marLeft w:val="0"/>
              <w:marRight w:val="0"/>
              <w:marTop w:val="0"/>
              <w:marBottom w:val="0"/>
              <w:divBdr>
                <w:top w:val="none" w:sz="0" w:space="0" w:color="auto"/>
                <w:left w:val="none" w:sz="0" w:space="0" w:color="auto"/>
                <w:bottom w:val="none" w:sz="0" w:space="0" w:color="auto"/>
                <w:right w:val="none" w:sz="0" w:space="0" w:color="auto"/>
              </w:divBdr>
            </w:div>
            <w:div w:id="1685202932">
              <w:marLeft w:val="0"/>
              <w:marRight w:val="0"/>
              <w:marTop w:val="0"/>
              <w:marBottom w:val="0"/>
              <w:divBdr>
                <w:top w:val="none" w:sz="0" w:space="0" w:color="auto"/>
                <w:left w:val="none" w:sz="0" w:space="0" w:color="auto"/>
                <w:bottom w:val="none" w:sz="0" w:space="0" w:color="auto"/>
                <w:right w:val="none" w:sz="0" w:space="0" w:color="auto"/>
              </w:divBdr>
            </w:div>
          </w:divsChild>
        </w:div>
        <w:div w:id="944966217">
          <w:marLeft w:val="0"/>
          <w:marRight w:val="0"/>
          <w:marTop w:val="0"/>
          <w:marBottom w:val="0"/>
          <w:divBdr>
            <w:top w:val="none" w:sz="0" w:space="0" w:color="auto"/>
            <w:left w:val="none" w:sz="0" w:space="0" w:color="auto"/>
            <w:bottom w:val="none" w:sz="0" w:space="0" w:color="auto"/>
            <w:right w:val="none" w:sz="0" w:space="0" w:color="auto"/>
          </w:divBdr>
        </w:div>
        <w:div w:id="1176845042">
          <w:marLeft w:val="0"/>
          <w:marRight w:val="0"/>
          <w:marTop w:val="0"/>
          <w:marBottom w:val="0"/>
          <w:divBdr>
            <w:top w:val="none" w:sz="0" w:space="0" w:color="auto"/>
            <w:left w:val="none" w:sz="0" w:space="0" w:color="auto"/>
            <w:bottom w:val="none" w:sz="0" w:space="0" w:color="auto"/>
            <w:right w:val="none" w:sz="0" w:space="0" w:color="auto"/>
          </w:divBdr>
        </w:div>
        <w:div w:id="2046562888">
          <w:marLeft w:val="0"/>
          <w:marRight w:val="0"/>
          <w:marTop w:val="0"/>
          <w:marBottom w:val="0"/>
          <w:divBdr>
            <w:top w:val="none" w:sz="0" w:space="0" w:color="auto"/>
            <w:left w:val="none" w:sz="0" w:space="0" w:color="auto"/>
            <w:bottom w:val="none" w:sz="0" w:space="0" w:color="auto"/>
            <w:right w:val="none" w:sz="0" w:space="0" w:color="auto"/>
          </w:divBdr>
        </w:div>
      </w:divsChild>
    </w:div>
    <w:div w:id="233513647">
      <w:bodyDiv w:val="1"/>
      <w:marLeft w:val="0"/>
      <w:marRight w:val="0"/>
      <w:marTop w:val="0"/>
      <w:marBottom w:val="0"/>
      <w:divBdr>
        <w:top w:val="none" w:sz="0" w:space="0" w:color="auto"/>
        <w:left w:val="none" w:sz="0" w:space="0" w:color="auto"/>
        <w:bottom w:val="none" w:sz="0" w:space="0" w:color="auto"/>
        <w:right w:val="none" w:sz="0" w:space="0" w:color="auto"/>
      </w:divBdr>
    </w:div>
    <w:div w:id="243926648">
      <w:bodyDiv w:val="1"/>
      <w:marLeft w:val="0"/>
      <w:marRight w:val="0"/>
      <w:marTop w:val="0"/>
      <w:marBottom w:val="0"/>
      <w:divBdr>
        <w:top w:val="none" w:sz="0" w:space="0" w:color="auto"/>
        <w:left w:val="none" w:sz="0" w:space="0" w:color="auto"/>
        <w:bottom w:val="none" w:sz="0" w:space="0" w:color="auto"/>
        <w:right w:val="none" w:sz="0" w:space="0" w:color="auto"/>
      </w:divBdr>
    </w:div>
    <w:div w:id="248806123">
      <w:bodyDiv w:val="1"/>
      <w:marLeft w:val="0"/>
      <w:marRight w:val="0"/>
      <w:marTop w:val="0"/>
      <w:marBottom w:val="0"/>
      <w:divBdr>
        <w:top w:val="none" w:sz="0" w:space="0" w:color="auto"/>
        <w:left w:val="none" w:sz="0" w:space="0" w:color="auto"/>
        <w:bottom w:val="none" w:sz="0" w:space="0" w:color="auto"/>
        <w:right w:val="none" w:sz="0" w:space="0" w:color="auto"/>
      </w:divBdr>
    </w:div>
    <w:div w:id="249238954">
      <w:bodyDiv w:val="1"/>
      <w:marLeft w:val="0"/>
      <w:marRight w:val="0"/>
      <w:marTop w:val="0"/>
      <w:marBottom w:val="0"/>
      <w:divBdr>
        <w:top w:val="none" w:sz="0" w:space="0" w:color="auto"/>
        <w:left w:val="none" w:sz="0" w:space="0" w:color="auto"/>
        <w:bottom w:val="none" w:sz="0" w:space="0" w:color="auto"/>
        <w:right w:val="none" w:sz="0" w:space="0" w:color="auto"/>
      </w:divBdr>
      <w:divsChild>
        <w:div w:id="727145940">
          <w:marLeft w:val="0"/>
          <w:marRight w:val="0"/>
          <w:marTop w:val="0"/>
          <w:marBottom w:val="0"/>
          <w:divBdr>
            <w:top w:val="none" w:sz="0" w:space="0" w:color="auto"/>
            <w:left w:val="none" w:sz="0" w:space="0" w:color="auto"/>
            <w:bottom w:val="none" w:sz="0" w:space="0" w:color="auto"/>
            <w:right w:val="none" w:sz="0" w:space="0" w:color="auto"/>
          </w:divBdr>
        </w:div>
        <w:div w:id="845747531">
          <w:marLeft w:val="0"/>
          <w:marRight w:val="0"/>
          <w:marTop w:val="0"/>
          <w:marBottom w:val="0"/>
          <w:divBdr>
            <w:top w:val="none" w:sz="0" w:space="0" w:color="auto"/>
            <w:left w:val="none" w:sz="0" w:space="0" w:color="auto"/>
            <w:bottom w:val="none" w:sz="0" w:space="0" w:color="auto"/>
            <w:right w:val="none" w:sz="0" w:space="0" w:color="auto"/>
          </w:divBdr>
        </w:div>
        <w:div w:id="1041905788">
          <w:marLeft w:val="0"/>
          <w:marRight w:val="0"/>
          <w:marTop w:val="0"/>
          <w:marBottom w:val="0"/>
          <w:divBdr>
            <w:top w:val="none" w:sz="0" w:space="0" w:color="auto"/>
            <w:left w:val="none" w:sz="0" w:space="0" w:color="auto"/>
            <w:bottom w:val="none" w:sz="0" w:space="0" w:color="auto"/>
            <w:right w:val="none" w:sz="0" w:space="0" w:color="auto"/>
          </w:divBdr>
        </w:div>
        <w:div w:id="1554192137">
          <w:marLeft w:val="0"/>
          <w:marRight w:val="0"/>
          <w:marTop w:val="0"/>
          <w:marBottom w:val="0"/>
          <w:divBdr>
            <w:top w:val="none" w:sz="0" w:space="0" w:color="auto"/>
            <w:left w:val="none" w:sz="0" w:space="0" w:color="auto"/>
            <w:bottom w:val="none" w:sz="0" w:space="0" w:color="auto"/>
            <w:right w:val="none" w:sz="0" w:space="0" w:color="auto"/>
          </w:divBdr>
        </w:div>
        <w:div w:id="1618753578">
          <w:marLeft w:val="0"/>
          <w:marRight w:val="0"/>
          <w:marTop w:val="0"/>
          <w:marBottom w:val="0"/>
          <w:divBdr>
            <w:top w:val="none" w:sz="0" w:space="0" w:color="auto"/>
            <w:left w:val="none" w:sz="0" w:space="0" w:color="auto"/>
            <w:bottom w:val="none" w:sz="0" w:space="0" w:color="auto"/>
            <w:right w:val="none" w:sz="0" w:space="0" w:color="auto"/>
          </w:divBdr>
        </w:div>
      </w:divsChild>
    </w:div>
    <w:div w:id="254245923">
      <w:bodyDiv w:val="1"/>
      <w:marLeft w:val="0"/>
      <w:marRight w:val="0"/>
      <w:marTop w:val="0"/>
      <w:marBottom w:val="0"/>
      <w:divBdr>
        <w:top w:val="none" w:sz="0" w:space="0" w:color="auto"/>
        <w:left w:val="none" w:sz="0" w:space="0" w:color="auto"/>
        <w:bottom w:val="none" w:sz="0" w:space="0" w:color="auto"/>
        <w:right w:val="none" w:sz="0" w:space="0" w:color="auto"/>
      </w:divBdr>
      <w:divsChild>
        <w:div w:id="358893215">
          <w:marLeft w:val="0"/>
          <w:marRight w:val="0"/>
          <w:marTop w:val="0"/>
          <w:marBottom w:val="0"/>
          <w:divBdr>
            <w:top w:val="none" w:sz="0" w:space="0" w:color="auto"/>
            <w:left w:val="none" w:sz="0" w:space="0" w:color="auto"/>
            <w:bottom w:val="none" w:sz="0" w:space="0" w:color="auto"/>
            <w:right w:val="none" w:sz="0" w:space="0" w:color="auto"/>
          </w:divBdr>
        </w:div>
        <w:div w:id="918176856">
          <w:marLeft w:val="0"/>
          <w:marRight w:val="0"/>
          <w:marTop w:val="0"/>
          <w:marBottom w:val="0"/>
          <w:divBdr>
            <w:top w:val="none" w:sz="0" w:space="0" w:color="auto"/>
            <w:left w:val="none" w:sz="0" w:space="0" w:color="auto"/>
            <w:bottom w:val="none" w:sz="0" w:space="0" w:color="auto"/>
            <w:right w:val="none" w:sz="0" w:space="0" w:color="auto"/>
          </w:divBdr>
          <w:divsChild>
            <w:div w:id="544023997">
              <w:marLeft w:val="0"/>
              <w:marRight w:val="0"/>
              <w:marTop w:val="0"/>
              <w:marBottom w:val="0"/>
              <w:divBdr>
                <w:top w:val="none" w:sz="0" w:space="0" w:color="auto"/>
                <w:left w:val="none" w:sz="0" w:space="0" w:color="auto"/>
                <w:bottom w:val="none" w:sz="0" w:space="0" w:color="auto"/>
                <w:right w:val="none" w:sz="0" w:space="0" w:color="auto"/>
              </w:divBdr>
            </w:div>
            <w:div w:id="1697341722">
              <w:marLeft w:val="0"/>
              <w:marRight w:val="0"/>
              <w:marTop w:val="0"/>
              <w:marBottom w:val="0"/>
              <w:divBdr>
                <w:top w:val="none" w:sz="0" w:space="0" w:color="auto"/>
                <w:left w:val="none" w:sz="0" w:space="0" w:color="auto"/>
                <w:bottom w:val="none" w:sz="0" w:space="0" w:color="auto"/>
                <w:right w:val="none" w:sz="0" w:space="0" w:color="auto"/>
              </w:divBdr>
            </w:div>
            <w:div w:id="18025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86225">
      <w:bodyDiv w:val="1"/>
      <w:marLeft w:val="0"/>
      <w:marRight w:val="0"/>
      <w:marTop w:val="0"/>
      <w:marBottom w:val="0"/>
      <w:divBdr>
        <w:top w:val="none" w:sz="0" w:space="0" w:color="auto"/>
        <w:left w:val="none" w:sz="0" w:space="0" w:color="auto"/>
        <w:bottom w:val="none" w:sz="0" w:space="0" w:color="auto"/>
        <w:right w:val="none" w:sz="0" w:space="0" w:color="auto"/>
      </w:divBdr>
    </w:div>
    <w:div w:id="284585910">
      <w:bodyDiv w:val="1"/>
      <w:marLeft w:val="0"/>
      <w:marRight w:val="0"/>
      <w:marTop w:val="0"/>
      <w:marBottom w:val="0"/>
      <w:divBdr>
        <w:top w:val="none" w:sz="0" w:space="0" w:color="auto"/>
        <w:left w:val="none" w:sz="0" w:space="0" w:color="auto"/>
        <w:bottom w:val="none" w:sz="0" w:space="0" w:color="auto"/>
        <w:right w:val="none" w:sz="0" w:space="0" w:color="auto"/>
      </w:divBdr>
    </w:div>
    <w:div w:id="296451836">
      <w:bodyDiv w:val="1"/>
      <w:marLeft w:val="0"/>
      <w:marRight w:val="0"/>
      <w:marTop w:val="0"/>
      <w:marBottom w:val="0"/>
      <w:divBdr>
        <w:top w:val="none" w:sz="0" w:space="0" w:color="auto"/>
        <w:left w:val="none" w:sz="0" w:space="0" w:color="auto"/>
        <w:bottom w:val="none" w:sz="0" w:space="0" w:color="auto"/>
        <w:right w:val="none" w:sz="0" w:space="0" w:color="auto"/>
      </w:divBdr>
    </w:div>
    <w:div w:id="300961397">
      <w:bodyDiv w:val="1"/>
      <w:marLeft w:val="0"/>
      <w:marRight w:val="0"/>
      <w:marTop w:val="0"/>
      <w:marBottom w:val="0"/>
      <w:divBdr>
        <w:top w:val="none" w:sz="0" w:space="0" w:color="auto"/>
        <w:left w:val="none" w:sz="0" w:space="0" w:color="auto"/>
        <w:bottom w:val="none" w:sz="0" w:space="0" w:color="auto"/>
        <w:right w:val="none" w:sz="0" w:space="0" w:color="auto"/>
      </w:divBdr>
    </w:div>
    <w:div w:id="302663305">
      <w:bodyDiv w:val="1"/>
      <w:marLeft w:val="0"/>
      <w:marRight w:val="0"/>
      <w:marTop w:val="0"/>
      <w:marBottom w:val="0"/>
      <w:divBdr>
        <w:top w:val="none" w:sz="0" w:space="0" w:color="auto"/>
        <w:left w:val="none" w:sz="0" w:space="0" w:color="auto"/>
        <w:bottom w:val="none" w:sz="0" w:space="0" w:color="auto"/>
        <w:right w:val="none" w:sz="0" w:space="0" w:color="auto"/>
      </w:divBdr>
    </w:div>
    <w:div w:id="307589523">
      <w:bodyDiv w:val="1"/>
      <w:marLeft w:val="0"/>
      <w:marRight w:val="0"/>
      <w:marTop w:val="0"/>
      <w:marBottom w:val="0"/>
      <w:divBdr>
        <w:top w:val="none" w:sz="0" w:space="0" w:color="auto"/>
        <w:left w:val="none" w:sz="0" w:space="0" w:color="auto"/>
        <w:bottom w:val="none" w:sz="0" w:space="0" w:color="auto"/>
        <w:right w:val="none" w:sz="0" w:space="0" w:color="auto"/>
      </w:divBdr>
      <w:divsChild>
        <w:div w:id="890920208">
          <w:marLeft w:val="0"/>
          <w:marRight w:val="0"/>
          <w:marTop w:val="0"/>
          <w:marBottom w:val="0"/>
          <w:divBdr>
            <w:top w:val="none" w:sz="0" w:space="0" w:color="auto"/>
            <w:left w:val="none" w:sz="0" w:space="0" w:color="auto"/>
            <w:bottom w:val="none" w:sz="0" w:space="0" w:color="auto"/>
            <w:right w:val="none" w:sz="0" w:space="0" w:color="auto"/>
          </w:divBdr>
        </w:div>
        <w:div w:id="1746995932">
          <w:marLeft w:val="0"/>
          <w:marRight w:val="0"/>
          <w:marTop w:val="0"/>
          <w:marBottom w:val="0"/>
          <w:divBdr>
            <w:top w:val="none" w:sz="0" w:space="0" w:color="auto"/>
            <w:left w:val="none" w:sz="0" w:space="0" w:color="auto"/>
            <w:bottom w:val="none" w:sz="0" w:space="0" w:color="auto"/>
            <w:right w:val="none" w:sz="0" w:space="0" w:color="auto"/>
          </w:divBdr>
          <w:divsChild>
            <w:div w:id="770666700">
              <w:marLeft w:val="0"/>
              <w:marRight w:val="0"/>
              <w:marTop w:val="30"/>
              <w:marBottom w:val="30"/>
              <w:divBdr>
                <w:top w:val="none" w:sz="0" w:space="0" w:color="auto"/>
                <w:left w:val="none" w:sz="0" w:space="0" w:color="auto"/>
                <w:bottom w:val="none" w:sz="0" w:space="0" w:color="auto"/>
                <w:right w:val="none" w:sz="0" w:space="0" w:color="auto"/>
              </w:divBdr>
              <w:divsChild>
                <w:div w:id="189613607">
                  <w:marLeft w:val="0"/>
                  <w:marRight w:val="0"/>
                  <w:marTop w:val="0"/>
                  <w:marBottom w:val="0"/>
                  <w:divBdr>
                    <w:top w:val="none" w:sz="0" w:space="0" w:color="auto"/>
                    <w:left w:val="none" w:sz="0" w:space="0" w:color="auto"/>
                    <w:bottom w:val="none" w:sz="0" w:space="0" w:color="auto"/>
                    <w:right w:val="none" w:sz="0" w:space="0" w:color="auto"/>
                  </w:divBdr>
                  <w:divsChild>
                    <w:div w:id="78018845">
                      <w:marLeft w:val="0"/>
                      <w:marRight w:val="0"/>
                      <w:marTop w:val="0"/>
                      <w:marBottom w:val="0"/>
                      <w:divBdr>
                        <w:top w:val="none" w:sz="0" w:space="0" w:color="auto"/>
                        <w:left w:val="none" w:sz="0" w:space="0" w:color="auto"/>
                        <w:bottom w:val="none" w:sz="0" w:space="0" w:color="auto"/>
                        <w:right w:val="none" w:sz="0" w:space="0" w:color="auto"/>
                      </w:divBdr>
                    </w:div>
                  </w:divsChild>
                </w:div>
                <w:div w:id="307319392">
                  <w:marLeft w:val="0"/>
                  <w:marRight w:val="0"/>
                  <w:marTop w:val="0"/>
                  <w:marBottom w:val="0"/>
                  <w:divBdr>
                    <w:top w:val="none" w:sz="0" w:space="0" w:color="auto"/>
                    <w:left w:val="none" w:sz="0" w:space="0" w:color="auto"/>
                    <w:bottom w:val="none" w:sz="0" w:space="0" w:color="auto"/>
                    <w:right w:val="none" w:sz="0" w:space="0" w:color="auto"/>
                  </w:divBdr>
                  <w:divsChild>
                    <w:div w:id="565069312">
                      <w:marLeft w:val="0"/>
                      <w:marRight w:val="0"/>
                      <w:marTop w:val="0"/>
                      <w:marBottom w:val="0"/>
                      <w:divBdr>
                        <w:top w:val="none" w:sz="0" w:space="0" w:color="auto"/>
                        <w:left w:val="none" w:sz="0" w:space="0" w:color="auto"/>
                        <w:bottom w:val="none" w:sz="0" w:space="0" w:color="auto"/>
                        <w:right w:val="none" w:sz="0" w:space="0" w:color="auto"/>
                      </w:divBdr>
                    </w:div>
                  </w:divsChild>
                </w:div>
                <w:div w:id="411705828">
                  <w:marLeft w:val="0"/>
                  <w:marRight w:val="0"/>
                  <w:marTop w:val="0"/>
                  <w:marBottom w:val="0"/>
                  <w:divBdr>
                    <w:top w:val="none" w:sz="0" w:space="0" w:color="auto"/>
                    <w:left w:val="none" w:sz="0" w:space="0" w:color="auto"/>
                    <w:bottom w:val="none" w:sz="0" w:space="0" w:color="auto"/>
                    <w:right w:val="none" w:sz="0" w:space="0" w:color="auto"/>
                  </w:divBdr>
                  <w:divsChild>
                    <w:div w:id="1093743240">
                      <w:marLeft w:val="0"/>
                      <w:marRight w:val="0"/>
                      <w:marTop w:val="0"/>
                      <w:marBottom w:val="0"/>
                      <w:divBdr>
                        <w:top w:val="none" w:sz="0" w:space="0" w:color="auto"/>
                        <w:left w:val="none" w:sz="0" w:space="0" w:color="auto"/>
                        <w:bottom w:val="none" w:sz="0" w:space="0" w:color="auto"/>
                        <w:right w:val="none" w:sz="0" w:space="0" w:color="auto"/>
                      </w:divBdr>
                    </w:div>
                  </w:divsChild>
                </w:div>
                <w:div w:id="416174078">
                  <w:marLeft w:val="0"/>
                  <w:marRight w:val="0"/>
                  <w:marTop w:val="0"/>
                  <w:marBottom w:val="0"/>
                  <w:divBdr>
                    <w:top w:val="none" w:sz="0" w:space="0" w:color="auto"/>
                    <w:left w:val="none" w:sz="0" w:space="0" w:color="auto"/>
                    <w:bottom w:val="none" w:sz="0" w:space="0" w:color="auto"/>
                    <w:right w:val="none" w:sz="0" w:space="0" w:color="auto"/>
                  </w:divBdr>
                  <w:divsChild>
                    <w:div w:id="1573660602">
                      <w:marLeft w:val="0"/>
                      <w:marRight w:val="0"/>
                      <w:marTop w:val="0"/>
                      <w:marBottom w:val="0"/>
                      <w:divBdr>
                        <w:top w:val="none" w:sz="0" w:space="0" w:color="auto"/>
                        <w:left w:val="none" w:sz="0" w:space="0" w:color="auto"/>
                        <w:bottom w:val="none" w:sz="0" w:space="0" w:color="auto"/>
                        <w:right w:val="none" w:sz="0" w:space="0" w:color="auto"/>
                      </w:divBdr>
                    </w:div>
                  </w:divsChild>
                </w:div>
                <w:div w:id="418253204">
                  <w:marLeft w:val="0"/>
                  <w:marRight w:val="0"/>
                  <w:marTop w:val="0"/>
                  <w:marBottom w:val="0"/>
                  <w:divBdr>
                    <w:top w:val="none" w:sz="0" w:space="0" w:color="auto"/>
                    <w:left w:val="none" w:sz="0" w:space="0" w:color="auto"/>
                    <w:bottom w:val="none" w:sz="0" w:space="0" w:color="auto"/>
                    <w:right w:val="none" w:sz="0" w:space="0" w:color="auto"/>
                  </w:divBdr>
                  <w:divsChild>
                    <w:div w:id="1161048418">
                      <w:marLeft w:val="0"/>
                      <w:marRight w:val="0"/>
                      <w:marTop w:val="0"/>
                      <w:marBottom w:val="0"/>
                      <w:divBdr>
                        <w:top w:val="none" w:sz="0" w:space="0" w:color="auto"/>
                        <w:left w:val="none" w:sz="0" w:space="0" w:color="auto"/>
                        <w:bottom w:val="none" w:sz="0" w:space="0" w:color="auto"/>
                        <w:right w:val="none" w:sz="0" w:space="0" w:color="auto"/>
                      </w:divBdr>
                    </w:div>
                  </w:divsChild>
                </w:div>
                <w:div w:id="521669359">
                  <w:marLeft w:val="0"/>
                  <w:marRight w:val="0"/>
                  <w:marTop w:val="0"/>
                  <w:marBottom w:val="0"/>
                  <w:divBdr>
                    <w:top w:val="none" w:sz="0" w:space="0" w:color="auto"/>
                    <w:left w:val="none" w:sz="0" w:space="0" w:color="auto"/>
                    <w:bottom w:val="none" w:sz="0" w:space="0" w:color="auto"/>
                    <w:right w:val="none" w:sz="0" w:space="0" w:color="auto"/>
                  </w:divBdr>
                  <w:divsChild>
                    <w:div w:id="1532767553">
                      <w:marLeft w:val="0"/>
                      <w:marRight w:val="0"/>
                      <w:marTop w:val="0"/>
                      <w:marBottom w:val="0"/>
                      <w:divBdr>
                        <w:top w:val="none" w:sz="0" w:space="0" w:color="auto"/>
                        <w:left w:val="none" w:sz="0" w:space="0" w:color="auto"/>
                        <w:bottom w:val="none" w:sz="0" w:space="0" w:color="auto"/>
                        <w:right w:val="none" w:sz="0" w:space="0" w:color="auto"/>
                      </w:divBdr>
                    </w:div>
                  </w:divsChild>
                </w:div>
                <w:div w:id="525412887">
                  <w:marLeft w:val="0"/>
                  <w:marRight w:val="0"/>
                  <w:marTop w:val="0"/>
                  <w:marBottom w:val="0"/>
                  <w:divBdr>
                    <w:top w:val="none" w:sz="0" w:space="0" w:color="auto"/>
                    <w:left w:val="none" w:sz="0" w:space="0" w:color="auto"/>
                    <w:bottom w:val="none" w:sz="0" w:space="0" w:color="auto"/>
                    <w:right w:val="none" w:sz="0" w:space="0" w:color="auto"/>
                  </w:divBdr>
                  <w:divsChild>
                    <w:div w:id="344065532">
                      <w:marLeft w:val="0"/>
                      <w:marRight w:val="0"/>
                      <w:marTop w:val="0"/>
                      <w:marBottom w:val="0"/>
                      <w:divBdr>
                        <w:top w:val="none" w:sz="0" w:space="0" w:color="auto"/>
                        <w:left w:val="none" w:sz="0" w:space="0" w:color="auto"/>
                        <w:bottom w:val="none" w:sz="0" w:space="0" w:color="auto"/>
                        <w:right w:val="none" w:sz="0" w:space="0" w:color="auto"/>
                      </w:divBdr>
                    </w:div>
                  </w:divsChild>
                </w:div>
                <w:div w:id="588924627">
                  <w:marLeft w:val="0"/>
                  <w:marRight w:val="0"/>
                  <w:marTop w:val="0"/>
                  <w:marBottom w:val="0"/>
                  <w:divBdr>
                    <w:top w:val="none" w:sz="0" w:space="0" w:color="auto"/>
                    <w:left w:val="none" w:sz="0" w:space="0" w:color="auto"/>
                    <w:bottom w:val="none" w:sz="0" w:space="0" w:color="auto"/>
                    <w:right w:val="none" w:sz="0" w:space="0" w:color="auto"/>
                  </w:divBdr>
                  <w:divsChild>
                    <w:div w:id="333647534">
                      <w:marLeft w:val="0"/>
                      <w:marRight w:val="0"/>
                      <w:marTop w:val="0"/>
                      <w:marBottom w:val="0"/>
                      <w:divBdr>
                        <w:top w:val="none" w:sz="0" w:space="0" w:color="auto"/>
                        <w:left w:val="none" w:sz="0" w:space="0" w:color="auto"/>
                        <w:bottom w:val="none" w:sz="0" w:space="0" w:color="auto"/>
                        <w:right w:val="none" w:sz="0" w:space="0" w:color="auto"/>
                      </w:divBdr>
                    </w:div>
                  </w:divsChild>
                </w:div>
                <w:div w:id="612976561">
                  <w:marLeft w:val="0"/>
                  <w:marRight w:val="0"/>
                  <w:marTop w:val="0"/>
                  <w:marBottom w:val="0"/>
                  <w:divBdr>
                    <w:top w:val="none" w:sz="0" w:space="0" w:color="auto"/>
                    <w:left w:val="none" w:sz="0" w:space="0" w:color="auto"/>
                    <w:bottom w:val="none" w:sz="0" w:space="0" w:color="auto"/>
                    <w:right w:val="none" w:sz="0" w:space="0" w:color="auto"/>
                  </w:divBdr>
                  <w:divsChild>
                    <w:div w:id="630210432">
                      <w:marLeft w:val="0"/>
                      <w:marRight w:val="0"/>
                      <w:marTop w:val="0"/>
                      <w:marBottom w:val="0"/>
                      <w:divBdr>
                        <w:top w:val="none" w:sz="0" w:space="0" w:color="auto"/>
                        <w:left w:val="none" w:sz="0" w:space="0" w:color="auto"/>
                        <w:bottom w:val="none" w:sz="0" w:space="0" w:color="auto"/>
                        <w:right w:val="none" w:sz="0" w:space="0" w:color="auto"/>
                      </w:divBdr>
                    </w:div>
                  </w:divsChild>
                </w:div>
                <w:div w:id="728579592">
                  <w:marLeft w:val="0"/>
                  <w:marRight w:val="0"/>
                  <w:marTop w:val="0"/>
                  <w:marBottom w:val="0"/>
                  <w:divBdr>
                    <w:top w:val="none" w:sz="0" w:space="0" w:color="auto"/>
                    <w:left w:val="none" w:sz="0" w:space="0" w:color="auto"/>
                    <w:bottom w:val="none" w:sz="0" w:space="0" w:color="auto"/>
                    <w:right w:val="none" w:sz="0" w:space="0" w:color="auto"/>
                  </w:divBdr>
                  <w:divsChild>
                    <w:div w:id="1872644989">
                      <w:marLeft w:val="0"/>
                      <w:marRight w:val="0"/>
                      <w:marTop w:val="0"/>
                      <w:marBottom w:val="0"/>
                      <w:divBdr>
                        <w:top w:val="none" w:sz="0" w:space="0" w:color="auto"/>
                        <w:left w:val="none" w:sz="0" w:space="0" w:color="auto"/>
                        <w:bottom w:val="none" w:sz="0" w:space="0" w:color="auto"/>
                        <w:right w:val="none" w:sz="0" w:space="0" w:color="auto"/>
                      </w:divBdr>
                    </w:div>
                  </w:divsChild>
                </w:div>
                <w:div w:id="728966745">
                  <w:marLeft w:val="0"/>
                  <w:marRight w:val="0"/>
                  <w:marTop w:val="0"/>
                  <w:marBottom w:val="0"/>
                  <w:divBdr>
                    <w:top w:val="none" w:sz="0" w:space="0" w:color="auto"/>
                    <w:left w:val="none" w:sz="0" w:space="0" w:color="auto"/>
                    <w:bottom w:val="none" w:sz="0" w:space="0" w:color="auto"/>
                    <w:right w:val="none" w:sz="0" w:space="0" w:color="auto"/>
                  </w:divBdr>
                  <w:divsChild>
                    <w:div w:id="393891760">
                      <w:marLeft w:val="0"/>
                      <w:marRight w:val="0"/>
                      <w:marTop w:val="0"/>
                      <w:marBottom w:val="0"/>
                      <w:divBdr>
                        <w:top w:val="none" w:sz="0" w:space="0" w:color="auto"/>
                        <w:left w:val="none" w:sz="0" w:space="0" w:color="auto"/>
                        <w:bottom w:val="none" w:sz="0" w:space="0" w:color="auto"/>
                        <w:right w:val="none" w:sz="0" w:space="0" w:color="auto"/>
                      </w:divBdr>
                    </w:div>
                  </w:divsChild>
                </w:div>
                <w:div w:id="866328969">
                  <w:marLeft w:val="0"/>
                  <w:marRight w:val="0"/>
                  <w:marTop w:val="0"/>
                  <w:marBottom w:val="0"/>
                  <w:divBdr>
                    <w:top w:val="none" w:sz="0" w:space="0" w:color="auto"/>
                    <w:left w:val="none" w:sz="0" w:space="0" w:color="auto"/>
                    <w:bottom w:val="none" w:sz="0" w:space="0" w:color="auto"/>
                    <w:right w:val="none" w:sz="0" w:space="0" w:color="auto"/>
                  </w:divBdr>
                  <w:divsChild>
                    <w:div w:id="177232186">
                      <w:marLeft w:val="0"/>
                      <w:marRight w:val="0"/>
                      <w:marTop w:val="0"/>
                      <w:marBottom w:val="0"/>
                      <w:divBdr>
                        <w:top w:val="none" w:sz="0" w:space="0" w:color="auto"/>
                        <w:left w:val="none" w:sz="0" w:space="0" w:color="auto"/>
                        <w:bottom w:val="none" w:sz="0" w:space="0" w:color="auto"/>
                        <w:right w:val="none" w:sz="0" w:space="0" w:color="auto"/>
                      </w:divBdr>
                    </w:div>
                  </w:divsChild>
                </w:div>
                <w:div w:id="889221107">
                  <w:marLeft w:val="0"/>
                  <w:marRight w:val="0"/>
                  <w:marTop w:val="0"/>
                  <w:marBottom w:val="0"/>
                  <w:divBdr>
                    <w:top w:val="none" w:sz="0" w:space="0" w:color="auto"/>
                    <w:left w:val="none" w:sz="0" w:space="0" w:color="auto"/>
                    <w:bottom w:val="none" w:sz="0" w:space="0" w:color="auto"/>
                    <w:right w:val="none" w:sz="0" w:space="0" w:color="auto"/>
                  </w:divBdr>
                  <w:divsChild>
                    <w:div w:id="1984002902">
                      <w:marLeft w:val="0"/>
                      <w:marRight w:val="0"/>
                      <w:marTop w:val="0"/>
                      <w:marBottom w:val="0"/>
                      <w:divBdr>
                        <w:top w:val="none" w:sz="0" w:space="0" w:color="auto"/>
                        <w:left w:val="none" w:sz="0" w:space="0" w:color="auto"/>
                        <w:bottom w:val="none" w:sz="0" w:space="0" w:color="auto"/>
                        <w:right w:val="none" w:sz="0" w:space="0" w:color="auto"/>
                      </w:divBdr>
                    </w:div>
                  </w:divsChild>
                </w:div>
                <w:div w:id="889615342">
                  <w:marLeft w:val="0"/>
                  <w:marRight w:val="0"/>
                  <w:marTop w:val="0"/>
                  <w:marBottom w:val="0"/>
                  <w:divBdr>
                    <w:top w:val="none" w:sz="0" w:space="0" w:color="auto"/>
                    <w:left w:val="none" w:sz="0" w:space="0" w:color="auto"/>
                    <w:bottom w:val="none" w:sz="0" w:space="0" w:color="auto"/>
                    <w:right w:val="none" w:sz="0" w:space="0" w:color="auto"/>
                  </w:divBdr>
                  <w:divsChild>
                    <w:div w:id="772553887">
                      <w:marLeft w:val="0"/>
                      <w:marRight w:val="0"/>
                      <w:marTop w:val="0"/>
                      <w:marBottom w:val="0"/>
                      <w:divBdr>
                        <w:top w:val="none" w:sz="0" w:space="0" w:color="auto"/>
                        <w:left w:val="none" w:sz="0" w:space="0" w:color="auto"/>
                        <w:bottom w:val="none" w:sz="0" w:space="0" w:color="auto"/>
                        <w:right w:val="none" w:sz="0" w:space="0" w:color="auto"/>
                      </w:divBdr>
                    </w:div>
                  </w:divsChild>
                </w:div>
                <w:div w:id="967474748">
                  <w:marLeft w:val="0"/>
                  <w:marRight w:val="0"/>
                  <w:marTop w:val="0"/>
                  <w:marBottom w:val="0"/>
                  <w:divBdr>
                    <w:top w:val="none" w:sz="0" w:space="0" w:color="auto"/>
                    <w:left w:val="none" w:sz="0" w:space="0" w:color="auto"/>
                    <w:bottom w:val="none" w:sz="0" w:space="0" w:color="auto"/>
                    <w:right w:val="none" w:sz="0" w:space="0" w:color="auto"/>
                  </w:divBdr>
                  <w:divsChild>
                    <w:div w:id="1247155787">
                      <w:marLeft w:val="0"/>
                      <w:marRight w:val="0"/>
                      <w:marTop w:val="0"/>
                      <w:marBottom w:val="0"/>
                      <w:divBdr>
                        <w:top w:val="none" w:sz="0" w:space="0" w:color="auto"/>
                        <w:left w:val="none" w:sz="0" w:space="0" w:color="auto"/>
                        <w:bottom w:val="none" w:sz="0" w:space="0" w:color="auto"/>
                        <w:right w:val="none" w:sz="0" w:space="0" w:color="auto"/>
                      </w:divBdr>
                    </w:div>
                  </w:divsChild>
                </w:div>
                <w:div w:id="1078745672">
                  <w:marLeft w:val="0"/>
                  <w:marRight w:val="0"/>
                  <w:marTop w:val="0"/>
                  <w:marBottom w:val="0"/>
                  <w:divBdr>
                    <w:top w:val="none" w:sz="0" w:space="0" w:color="auto"/>
                    <w:left w:val="none" w:sz="0" w:space="0" w:color="auto"/>
                    <w:bottom w:val="none" w:sz="0" w:space="0" w:color="auto"/>
                    <w:right w:val="none" w:sz="0" w:space="0" w:color="auto"/>
                  </w:divBdr>
                  <w:divsChild>
                    <w:div w:id="1355763352">
                      <w:marLeft w:val="0"/>
                      <w:marRight w:val="0"/>
                      <w:marTop w:val="0"/>
                      <w:marBottom w:val="0"/>
                      <w:divBdr>
                        <w:top w:val="none" w:sz="0" w:space="0" w:color="auto"/>
                        <w:left w:val="none" w:sz="0" w:space="0" w:color="auto"/>
                        <w:bottom w:val="none" w:sz="0" w:space="0" w:color="auto"/>
                        <w:right w:val="none" w:sz="0" w:space="0" w:color="auto"/>
                      </w:divBdr>
                    </w:div>
                  </w:divsChild>
                </w:div>
                <w:div w:id="1156989886">
                  <w:marLeft w:val="0"/>
                  <w:marRight w:val="0"/>
                  <w:marTop w:val="0"/>
                  <w:marBottom w:val="0"/>
                  <w:divBdr>
                    <w:top w:val="none" w:sz="0" w:space="0" w:color="auto"/>
                    <w:left w:val="none" w:sz="0" w:space="0" w:color="auto"/>
                    <w:bottom w:val="none" w:sz="0" w:space="0" w:color="auto"/>
                    <w:right w:val="none" w:sz="0" w:space="0" w:color="auto"/>
                  </w:divBdr>
                  <w:divsChild>
                    <w:div w:id="792359385">
                      <w:marLeft w:val="0"/>
                      <w:marRight w:val="0"/>
                      <w:marTop w:val="0"/>
                      <w:marBottom w:val="0"/>
                      <w:divBdr>
                        <w:top w:val="none" w:sz="0" w:space="0" w:color="auto"/>
                        <w:left w:val="none" w:sz="0" w:space="0" w:color="auto"/>
                        <w:bottom w:val="none" w:sz="0" w:space="0" w:color="auto"/>
                        <w:right w:val="none" w:sz="0" w:space="0" w:color="auto"/>
                      </w:divBdr>
                    </w:div>
                  </w:divsChild>
                </w:div>
                <w:div w:id="1400326463">
                  <w:marLeft w:val="0"/>
                  <w:marRight w:val="0"/>
                  <w:marTop w:val="0"/>
                  <w:marBottom w:val="0"/>
                  <w:divBdr>
                    <w:top w:val="none" w:sz="0" w:space="0" w:color="auto"/>
                    <w:left w:val="none" w:sz="0" w:space="0" w:color="auto"/>
                    <w:bottom w:val="none" w:sz="0" w:space="0" w:color="auto"/>
                    <w:right w:val="none" w:sz="0" w:space="0" w:color="auto"/>
                  </w:divBdr>
                  <w:divsChild>
                    <w:div w:id="437453212">
                      <w:marLeft w:val="0"/>
                      <w:marRight w:val="0"/>
                      <w:marTop w:val="0"/>
                      <w:marBottom w:val="0"/>
                      <w:divBdr>
                        <w:top w:val="none" w:sz="0" w:space="0" w:color="auto"/>
                        <w:left w:val="none" w:sz="0" w:space="0" w:color="auto"/>
                        <w:bottom w:val="none" w:sz="0" w:space="0" w:color="auto"/>
                        <w:right w:val="none" w:sz="0" w:space="0" w:color="auto"/>
                      </w:divBdr>
                    </w:div>
                  </w:divsChild>
                </w:div>
                <w:div w:id="1466583760">
                  <w:marLeft w:val="0"/>
                  <w:marRight w:val="0"/>
                  <w:marTop w:val="0"/>
                  <w:marBottom w:val="0"/>
                  <w:divBdr>
                    <w:top w:val="none" w:sz="0" w:space="0" w:color="auto"/>
                    <w:left w:val="none" w:sz="0" w:space="0" w:color="auto"/>
                    <w:bottom w:val="none" w:sz="0" w:space="0" w:color="auto"/>
                    <w:right w:val="none" w:sz="0" w:space="0" w:color="auto"/>
                  </w:divBdr>
                  <w:divsChild>
                    <w:div w:id="420025684">
                      <w:marLeft w:val="0"/>
                      <w:marRight w:val="0"/>
                      <w:marTop w:val="0"/>
                      <w:marBottom w:val="0"/>
                      <w:divBdr>
                        <w:top w:val="none" w:sz="0" w:space="0" w:color="auto"/>
                        <w:left w:val="none" w:sz="0" w:space="0" w:color="auto"/>
                        <w:bottom w:val="none" w:sz="0" w:space="0" w:color="auto"/>
                        <w:right w:val="none" w:sz="0" w:space="0" w:color="auto"/>
                      </w:divBdr>
                    </w:div>
                  </w:divsChild>
                </w:div>
                <w:div w:id="1548377541">
                  <w:marLeft w:val="0"/>
                  <w:marRight w:val="0"/>
                  <w:marTop w:val="0"/>
                  <w:marBottom w:val="0"/>
                  <w:divBdr>
                    <w:top w:val="none" w:sz="0" w:space="0" w:color="auto"/>
                    <w:left w:val="none" w:sz="0" w:space="0" w:color="auto"/>
                    <w:bottom w:val="none" w:sz="0" w:space="0" w:color="auto"/>
                    <w:right w:val="none" w:sz="0" w:space="0" w:color="auto"/>
                  </w:divBdr>
                  <w:divsChild>
                    <w:div w:id="2139564694">
                      <w:marLeft w:val="0"/>
                      <w:marRight w:val="0"/>
                      <w:marTop w:val="0"/>
                      <w:marBottom w:val="0"/>
                      <w:divBdr>
                        <w:top w:val="none" w:sz="0" w:space="0" w:color="auto"/>
                        <w:left w:val="none" w:sz="0" w:space="0" w:color="auto"/>
                        <w:bottom w:val="none" w:sz="0" w:space="0" w:color="auto"/>
                        <w:right w:val="none" w:sz="0" w:space="0" w:color="auto"/>
                      </w:divBdr>
                    </w:div>
                  </w:divsChild>
                </w:div>
                <w:div w:id="1573394637">
                  <w:marLeft w:val="0"/>
                  <w:marRight w:val="0"/>
                  <w:marTop w:val="0"/>
                  <w:marBottom w:val="0"/>
                  <w:divBdr>
                    <w:top w:val="none" w:sz="0" w:space="0" w:color="auto"/>
                    <w:left w:val="none" w:sz="0" w:space="0" w:color="auto"/>
                    <w:bottom w:val="none" w:sz="0" w:space="0" w:color="auto"/>
                    <w:right w:val="none" w:sz="0" w:space="0" w:color="auto"/>
                  </w:divBdr>
                  <w:divsChild>
                    <w:div w:id="1844782936">
                      <w:marLeft w:val="0"/>
                      <w:marRight w:val="0"/>
                      <w:marTop w:val="0"/>
                      <w:marBottom w:val="0"/>
                      <w:divBdr>
                        <w:top w:val="none" w:sz="0" w:space="0" w:color="auto"/>
                        <w:left w:val="none" w:sz="0" w:space="0" w:color="auto"/>
                        <w:bottom w:val="none" w:sz="0" w:space="0" w:color="auto"/>
                        <w:right w:val="none" w:sz="0" w:space="0" w:color="auto"/>
                      </w:divBdr>
                    </w:div>
                  </w:divsChild>
                </w:div>
                <w:div w:id="1596018919">
                  <w:marLeft w:val="0"/>
                  <w:marRight w:val="0"/>
                  <w:marTop w:val="0"/>
                  <w:marBottom w:val="0"/>
                  <w:divBdr>
                    <w:top w:val="none" w:sz="0" w:space="0" w:color="auto"/>
                    <w:left w:val="none" w:sz="0" w:space="0" w:color="auto"/>
                    <w:bottom w:val="none" w:sz="0" w:space="0" w:color="auto"/>
                    <w:right w:val="none" w:sz="0" w:space="0" w:color="auto"/>
                  </w:divBdr>
                  <w:divsChild>
                    <w:div w:id="1572232501">
                      <w:marLeft w:val="0"/>
                      <w:marRight w:val="0"/>
                      <w:marTop w:val="0"/>
                      <w:marBottom w:val="0"/>
                      <w:divBdr>
                        <w:top w:val="none" w:sz="0" w:space="0" w:color="auto"/>
                        <w:left w:val="none" w:sz="0" w:space="0" w:color="auto"/>
                        <w:bottom w:val="none" w:sz="0" w:space="0" w:color="auto"/>
                        <w:right w:val="none" w:sz="0" w:space="0" w:color="auto"/>
                      </w:divBdr>
                    </w:div>
                  </w:divsChild>
                </w:div>
                <w:div w:id="1659840236">
                  <w:marLeft w:val="0"/>
                  <w:marRight w:val="0"/>
                  <w:marTop w:val="0"/>
                  <w:marBottom w:val="0"/>
                  <w:divBdr>
                    <w:top w:val="none" w:sz="0" w:space="0" w:color="auto"/>
                    <w:left w:val="none" w:sz="0" w:space="0" w:color="auto"/>
                    <w:bottom w:val="none" w:sz="0" w:space="0" w:color="auto"/>
                    <w:right w:val="none" w:sz="0" w:space="0" w:color="auto"/>
                  </w:divBdr>
                  <w:divsChild>
                    <w:div w:id="439226392">
                      <w:marLeft w:val="0"/>
                      <w:marRight w:val="0"/>
                      <w:marTop w:val="0"/>
                      <w:marBottom w:val="0"/>
                      <w:divBdr>
                        <w:top w:val="none" w:sz="0" w:space="0" w:color="auto"/>
                        <w:left w:val="none" w:sz="0" w:space="0" w:color="auto"/>
                        <w:bottom w:val="none" w:sz="0" w:space="0" w:color="auto"/>
                        <w:right w:val="none" w:sz="0" w:space="0" w:color="auto"/>
                      </w:divBdr>
                    </w:div>
                  </w:divsChild>
                </w:div>
                <w:div w:id="1680496903">
                  <w:marLeft w:val="0"/>
                  <w:marRight w:val="0"/>
                  <w:marTop w:val="0"/>
                  <w:marBottom w:val="0"/>
                  <w:divBdr>
                    <w:top w:val="none" w:sz="0" w:space="0" w:color="auto"/>
                    <w:left w:val="none" w:sz="0" w:space="0" w:color="auto"/>
                    <w:bottom w:val="none" w:sz="0" w:space="0" w:color="auto"/>
                    <w:right w:val="none" w:sz="0" w:space="0" w:color="auto"/>
                  </w:divBdr>
                  <w:divsChild>
                    <w:div w:id="47726062">
                      <w:marLeft w:val="0"/>
                      <w:marRight w:val="0"/>
                      <w:marTop w:val="0"/>
                      <w:marBottom w:val="0"/>
                      <w:divBdr>
                        <w:top w:val="none" w:sz="0" w:space="0" w:color="auto"/>
                        <w:left w:val="none" w:sz="0" w:space="0" w:color="auto"/>
                        <w:bottom w:val="none" w:sz="0" w:space="0" w:color="auto"/>
                        <w:right w:val="none" w:sz="0" w:space="0" w:color="auto"/>
                      </w:divBdr>
                    </w:div>
                  </w:divsChild>
                </w:div>
                <w:div w:id="1721783262">
                  <w:marLeft w:val="0"/>
                  <w:marRight w:val="0"/>
                  <w:marTop w:val="0"/>
                  <w:marBottom w:val="0"/>
                  <w:divBdr>
                    <w:top w:val="none" w:sz="0" w:space="0" w:color="auto"/>
                    <w:left w:val="none" w:sz="0" w:space="0" w:color="auto"/>
                    <w:bottom w:val="none" w:sz="0" w:space="0" w:color="auto"/>
                    <w:right w:val="none" w:sz="0" w:space="0" w:color="auto"/>
                  </w:divBdr>
                  <w:divsChild>
                    <w:div w:id="6828502">
                      <w:marLeft w:val="0"/>
                      <w:marRight w:val="0"/>
                      <w:marTop w:val="0"/>
                      <w:marBottom w:val="0"/>
                      <w:divBdr>
                        <w:top w:val="none" w:sz="0" w:space="0" w:color="auto"/>
                        <w:left w:val="none" w:sz="0" w:space="0" w:color="auto"/>
                        <w:bottom w:val="none" w:sz="0" w:space="0" w:color="auto"/>
                        <w:right w:val="none" w:sz="0" w:space="0" w:color="auto"/>
                      </w:divBdr>
                    </w:div>
                  </w:divsChild>
                </w:div>
                <w:div w:id="1848137421">
                  <w:marLeft w:val="0"/>
                  <w:marRight w:val="0"/>
                  <w:marTop w:val="0"/>
                  <w:marBottom w:val="0"/>
                  <w:divBdr>
                    <w:top w:val="none" w:sz="0" w:space="0" w:color="auto"/>
                    <w:left w:val="none" w:sz="0" w:space="0" w:color="auto"/>
                    <w:bottom w:val="none" w:sz="0" w:space="0" w:color="auto"/>
                    <w:right w:val="none" w:sz="0" w:space="0" w:color="auto"/>
                  </w:divBdr>
                  <w:divsChild>
                    <w:div w:id="1427769698">
                      <w:marLeft w:val="0"/>
                      <w:marRight w:val="0"/>
                      <w:marTop w:val="0"/>
                      <w:marBottom w:val="0"/>
                      <w:divBdr>
                        <w:top w:val="none" w:sz="0" w:space="0" w:color="auto"/>
                        <w:left w:val="none" w:sz="0" w:space="0" w:color="auto"/>
                        <w:bottom w:val="none" w:sz="0" w:space="0" w:color="auto"/>
                        <w:right w:val="none" w:sz="0" w:space="0" w:color="auto"/>
                      </w:divBdr>
                    </w:div>
                  </w:divsChild>
                </w:div>
                <w:div w:id="1883318975">
                  <w:marLeft w:val="0"/>
                  <w:marRight w:val="0"/>
                  <w:marTop w:val="0"/>
                  <w:marBottom w:val="0"/>
                  <w:divBdr>
                    <w:top w:val="none" w:sz="0" w:space="0" w:color="auto"/>
                    <w:left w:val="none" w:sz="0" w:space="0" w:color="auto"/>
                    <w:bottom w:val="none" w:sz="0" w:space="0" w:color="auto"/>
                    <w:right w:val="none" w:sz="0" w:space="0" w:color="auto"/>
                  </w:divBdr>
                  <w:divsChild>
                    <w:div w:id="1945070265">
                      <w:marLeft w:val="0"/>
                      <w:marRight w:val="0"/>
                      <w:marTop w:val="0"/>
                      <w:marBottom w:val="0"/>
                      <w:divBdr>
                        <w:top w:val="none" w:sz="0" w:space="0" w:color="auto"/>
                        <w:left w:val="none" w:sz="0" w:space="0" w:color="auto"/>
                        <w:bottom w:val="none" w:sz="0" w:space="0" w:color="auto"/>
                        <w:right w:val="none" w:sz="0" w:space="0" w:color="auto"/>
                      </w:divBdr>
                    </w:div>
                  </w:divsChild>
                </w:div>
                <w:div w:id="2020808342">
                  <w:marLeft w:val="0"/>
                  <w:marRight w:val="0"/>
                  <w:marTop w:val="0"/>
                  <w:marBottom w:val="0"/>
                  <w:divBdr>
                    <w:top w:val="none" w:sz="0" w:space="0" w:color="auto"/>
                    <w:left w:val="none" w:sz="0" w:space="0" w:color="auto"/>
                    <w:bottom w:val="none" w:sz="0" w:space="0" w:color="auto"/>
                    <w:right w:val="none" w:sz="0" w:space="0" w:color="auto"/>
                  </w:divBdr>
                  <w:divsChild>
                    <w:div w:id="69499115">
                      <w:marLeft w:val="0"/>
                      <w:marRight w:val="0"/>
                      <w:marTop w:val="0"/>
                      <w:marBottom w:val="0"/>
                      <w:divBdr>
                        <w:top w:val="none" w:sz="0" w:space="0" w:color="auto"/>
                        <w:left w:val="none" w:sz="0" w:space="0" w:color="auto"/>
                        <w:bottom w:val="none" w:sz="0" w:space="0" w:color="auto"/>
                        <w:right w:val="none" w:sz="0" w:space="0" w:color="auto"/>
                      </w:divBdr>
                    </w:div>
                  </w:divsChild>
                </w:div>
                <w:div w:id="2042632274">
                  <w:marLeft w:val="0"/>
                  <w:marRight w:val="0"/>
                  <w:marTop w:val="0"/>
                  <w:marBottom w:val="0"/>
                  <w:divBdr>
                    <w:top w:val="none" w:sz="0" w:space="0" w:color="auto"/>
                    <w:left w:val="none" w:sz="0" w:space="0" w:color="auto"/>
                    <w:bottom w:val="none" w:sz="0" w:space="0" w:color="auto"/>
                    <w:right w:val="none" w:sz="0" w:space="0" w:color="auto"/>
                  </w:divBdr>
                  <w:divsChild>
                    <w:div w:id="1774395684">
                      <w:marLeft w:val="0"/>
                      <w:marRight w:val="0"/>
                      <w:marTop w:val="0"/>
                      <w:marBottom w:val="0"/>
                      <w:divBdr>
                        <w:top w:val="none" w:sz="0" w:space="0" w:color="auto"/>
                        <w:left w:val="none" w:sz="0" w:space="0" w:color="auto"/>
                        <w:bottom w:val="none" w:sz="0" w:space="0" w:color="auto"/>
                        <w:right w:val="none" w:sz="0" w:space="0" w:color="auto"/>
                      </w:divBdr>
                    </w:div>
                  </w:divsChild>
                </w:div>
                <w:div w:id="2050836958">
                  <w:marLeft w:val="0"/>
                  <w:marRight w:val="0"/>
                  <w:marTop w:val="0"/>
                  <w:marBottom w:val="0"/>
                  <w:divBdr>
                    <w:top w:val="none" w:sz="0" w:space="0" w:color="auto"/>
                    <w:left w:val="none" w:sz="0" w:space="0" w:color="auto"/>
                    <w:bottom w:val="none" w:sz="0" w:space="0" w:color="auto"/>
                    <w:right w:val="none" w:sz="0" w:space="0" w:color="auto"/>
                  </w:divBdr>
                  <w:divsChild>
                    <w:div w:id="14104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232397">
      <w:bodyDiv w:val="1"/>
      <w:marLeft w:val="0"/>
      <w:marRight w:val="0"/>
      <w:marTop w:val="0"/>
      <w:marBottom w:val="0"/>
      <w:divBdr>
        <w:top w:val="none" w:sz="0" w:space="0" w:color="auto"/>
        <w:left w:val="none" w:sz="0" w:space="0" w:color="auto"/>
        <w:bottom w:val="none" w:sz="0" w:space="0" w:color="auto"/>
        <w:right w:val="none" w:sz="0" w:space="0" w:color="auto"/>
      </w:divBdr>
    </w:div>
    <w:div w:id="324626830">
      <w:bodyDiv w:val="1"/>
      <w:marLeft w:val="0"/>
      <w:marRight w:val="0"/>
      <w:marTop w:val="0"/>
      <w:marBottom w:val="0"/>
      <w:divBdr>
        <w:top w:val="none" w:sz="0" w:space="0" w:color="auto"/>
        <w:left w:val="none" w:sz="0" w:space="0" w:color="auto"/>
        <w:bottom w:val="none" w:sz="0" w:space="0" w:color="auto"/>
        <w:right w:val="none" w:sz="0" w:space="0" w:color="auto"/>
      </w:divBdr>
      <w:divsChild>
        <w:div w:id="147133376">
          <w:marLeft w:val="0"/>
          <w:marRight w:val="0"/>
          <w:marTop w:val="0"/>
          <w:marBottom w:val="0"/>
          <w:divBdr>
            <w:top w:val="none" w:sz="0" w:space="0" w:color="auto"/>
            <w:left w:val="none" w:sz="0" w:space="0" w:color="auto"/>
            <w:bottom w:val="none" w:sz="0" w:space="0" w:color="auto"/>
            <w:right w:val="none" w:sz="0" w:space="0" w:color="auto"/>
          </w:divBdr>
        </w:div>
        <w:div w:id="274945394">
          <w:marLeft w:val="0"/>
          <w:marRight w:val="0"/>
          <w:marTop w:val="0"/>
          <w:marBottom w:val="0"/>
          <w:divBdr>
            <w:top w:val="none" w:sz="0" w:space="0" w:color="auto"/>
            <w:left w:val="none" w:sz="0" w:space="0" w:color="auto"/>
            <w:bottom w:val="none" w:sz="0" w:space="0" w:color="auto"/>
            <w:right w:val="none" w:sz="0" w:space="0" w:color="auto"/>
          </w:divBdr>
        </w:div>
        <w:div w:id="1132091848">
          <w:marLeft w:val="0"/>
          <w:marRight w:val="0"/>
          <w:marTop w:val="0"/>
          <w:marBottom w:val="0"/>
          <w:divBdr>
            <w:top w:val="none" w:sz="0" w:space="0" w:color="auto"/>
            <w:left w:val="none" w:sz="0" w:space="0" w:color="auto"/>
            <w:bottom w:val="none" w:sz="0" w:space="0" w:color="auto"/>
            <w:right w:val="none" w:sz="0" w:space="0" w:color="auto"/>
          </w:divBdr>
        </w:div>
        <w:div w:id="2018648323">
          <w:marLeft w:val="0"/>
          <w:marRight w:val="0"/>
          <w:marTop w:val="0"/>
          <w:marBottom w:val="0"/>
          <w:divBdr>
            <w:top w:val="none" w:sz="0" w:space="0" w:color="auto"/>
            <w:left w:val="none" w:sz="0" w:space="0" w:color="auto"/>
            <w:bottom w:val="none" w:sz="0" w:space="0" w:color="auto"/>
            <w:right w:val="none" w:sz="0" w:space="0" w:color="auto"/>
          </w:divBdr>
        </w:div>
      </w:divsChild>
    </w:div>
    <w:div w:id="326982358">
      <w:bodyDiv w:val="1"/>
      <w:marLeft w:val="0"/>
      <w:marRight w:val="0"/>
      <w:marTop w:val="0"/>
      <w:marBottom w:val="0"/>
      <w:divBdr>
        <w:top w:val="none" w:sz="0" w:space="0" w:color="auto"/>
        <w:left w:val="none" w:sz="0" w:space="0" w:color="auto"/>
        <w:bottom w:val="none" w:sz="0" w:space="0" w:color="auto"/>
        <w:right w:val="none" w:sz="0" w:space="0" w:color="auto"/>
      </w:divBdr>
      <w:divsChild>
        <w:div w:id="1685981629">
          <w:marLeft w:val="0"/>
          <w:marRight w:val="0"/>
          <w:marTop w:val="0"/>
          <w:marBottom w:val="0"/>
          <w:divBdr>
            <w:top w:val="none" w:sz="0" w:space="0" w:color="auto"/>
            <w:left w:val="none" w:sz="0" w:space="0" w:color="auto"/>
            <w:bottom w:val="none" w:sz="0" w:space="0" w:color="auto"/>
            <w:right w:val="none" w:sz="0" w:space="0" w:color="auto"/>
          </w:divBdr>
          <w:divsChild>
            <w:div w:id="695233523">
              <w:marLeft w:val="0"/>
              <w:marRight w:val="0"/>
              <w:marTop w:val="0"/>
              <w:marBottom w:val="0"/>
              <w:divBdr>
                <w:top w:val="none" w:sz="0" w:space="0" w:color="auto"/>
                <w:left w:val="none" w:sz="0" w:space="0" w:color="auto"/>
                <w:bottom w:val="none" w:sz="0" w:space="0" w:color="auto"/>
                <w:right w:val="none" w:sz="0" w:space="0" w:color="auto"/>
              </w:divBdr>
              <w:divsChild>
                <w:div w:id="226039791">
                  <w:marLeft w:val="0"/>
                  <w:marRight w:val="0"/>
                  <w:marTop w:val="0"/>
                  <w:marBottom w:val="0"/>
                  <w:divBdr>
                    <w:top w:val="none" w:sz="0" w:space="0" w:color="auto"/>
                    <w:left w:val="none" w:sz="0" w:space="0" w:color="auto"/>
                    <w:bottom w:val="none" w:sz="0" w:space="0" w:color="auto"/>
                    <w:right w:val="none" w:sz="0" w:space="0" w:color="auto"/>
                  </w:divBdr>
                  <w:divsChild>
                    <w:div w:id="77957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021558">
      <w:bodyDiv w:val="1"/>
      <w:marLeft w:val="0"/>
      <w:marRight w:val="0"/>
      <w:marTop w:val="0"/>
      <w:marBottom w:val="0"/>
      <w:divBdr>
        <w:top w:val="none" w:sz="0" w:space="0" w:color="auto"/>
        <w:left w:val="none" w:sz="0" w:space="0" w:color="auto"/>
        <w:bottom w:val="none" w:sz="0" w:space="0" w:color="auto"/>
        <w:right w:val="none" w:sz="0" w:space="0" w:color="auto"/>
      </w:divBdr>
    </w:div>
    <w:div w:id="338125606">
      <w:bodyDiv w:val="1"/>
      <w:marLeft w:val="0"/>
      <w:marRight w:val="0"/>
      <w:marTop w:val="0"/>
      <w:marBottom w:val="0"/>
      <w:divBdr>
        <w:top w:val="none" w:sz="0" w:space="0" w:color="auto"/>
        <w:left w:val="none" w:sz="0" w:space="0" w:color="auto"/>
        <w:bottom w:val="none" w:sz="0" w:space="0" w:color="auto"/>
        <w:right w:val="none" w:sz="0" w:space="0" w:color="auto"/>
      </w:divBdr>
      <w:divsChild>
        <w:div w:id="69010420">
          <w:marLeft w:val="0"/>
          <w:marRight w:val="0"/>
          <w:marTop w:val="0"/>
          <w:marBottom w:val="0"/>
          <w:divBdr>
            <w:top w:val="none" w:sz="0" w:space="0" w:color="auto"/>
            <w:left w:val="none" w:sz="0" w:space="0" w:color="auto"/>
            <w:bottom w:val="none" w:sz="0" w:space="0" w:color="auto"/>
            <w:right w:val="none" w:sz="0" w:space="0" w:color="auto"/>
          </w:divBdr>
        </w:div>
        <w:div w:id="126356806">
          <w:marLeft w:val="0"/>
          <w:marRight w:val="0"/>
          <w:marTop w:val="0"/>
          <w:marBottom w:val="0"/>
          <w:divBdr>
            <w:top w:val="none" w:sz="0" w:space="0" w:color="auto"/>
            <w:left w:val="none" w:sz="0" w:space="0" w:color="auto"/>
            <w:bottom w:val="none" w:sz="0" w:space="0" w:color="auto"/>
            <w:right w:val="none" w:sz="0" w:space="0" w:color="auto"/>
          </w:divBdr>
          <w:divsChild>
            <w:div w:id="795952019">
              <w:marLeft w:val="-75"/>
              <w:marRight w:val="0"/>
              <w:marTop w:val="30"/>
              <w:marBottom w:val="30"/>
              <w:divBdr>
                <w:top w:val="none" w:sz="0" w:space="0" w:color="auto"/>
                <w:left w:val="none" w:sz="0" w:space="0" w:color="auto"/>
                <w:bottom w:val="none" w:sz="0" w:space="0" w:color="auto"/>
                <w:right w:val="none" w:sz="0" w:space="0" w:color="auto"/>
              </w:divBdr>
              <w:divsChild>
                <w:div w:id="15474018">
                  <w:marLeft w:val="0"/>
                  <w:marRight w:val="0"/>
                  <w:marTop w:val="0"/>
                  <w:marBottom w:val="0"/>
                  <w:divBdr>
                    <w:top w:val="none" w:sz="0" w:space="0" w:color="auto"/>
                    <w:left w:val="none" w:sz="0" w:space="0" w:color="auto"/>
                    <w:bottom w:val="none" w:sz="0" w:space="0" w:color="auto"/>
                    <w:right w:val="none" w:sz="0" w:space="0" w:color="auto"/>
                  </w:divBdr>
                  <w:divsChild>
                    <w:div w:id="2032024233">
                      <w:marLeft w:val="0"/>
                      <w:marRight w:val="0"/>
                      <w:marTop w:val="0"/>
                      <w:marBottom w:val="0"/>
                      <w:divBdr>
                        <w:top w:val="none" w:sz="0" w:space="0" w:color="auto"/>
                        <w:left w:val="none" w:sz="0" w:space="0" w:color="auto"/>
                        <w:bottom w:val="none" w:sz="0" w:space="0" w:color="auto"/>
                        <w:right w:val="none" w:sz="0" w:space="0" w:color="auto"/>
                      </w:divBdr>
                    </w:div>
                  </w:divsChild>
                </w:div>
                <w:div w:id="19013393">
                  <w:marLeft w:val="0"/>
                  <w:marRight w:val="0"/>
                  <w:marTop w:val="0"/>
                  <w:marBottom w:val="0"/>
                  <w:divBdr>
                    <w:top w:val="none" w:sz="0" w:space="0" w:color="auto"/>
                    <w:left w:val="none" w:sz="0" w:space="0" w:color="auto"/>
                    <w:bottom w:val="none" w:sz="0" w:space="0" w:color="auto"/>
                    <w:right w:val="none" w:sz="0" w:space="0" w:color="auto"/>
                  </w:divBdr>
                  <w:divsChild>
                    <w:div w:id="346686758">
                      <w:marLeft w:val="0"/>
                      <w:marRight w:val="0"/>
                      <w:marTop w:val="0"/>
                      <w:marBottom w:val="0"/>
                      <w:divBdr>
                        <w:top w:val="none" w:sz="0" w:space="0" w:color="auto"/>
                        <w:left w:val="none" w:sz="0" w:space="0" w:color="auto"/>
                        <w:bottom w:val="none" w:sz="0" w:space="0" w:color="auto"/>
                        <w:right w:val="none" w:sz="0" w:space="0" w:color="auto"/>
                      </w:divBdr>
                    </w:div>
                  </w:divsChild>
                </w:div>
                <w:div w:id="25446764">
                  <w:marLeft w:val="0"/>
                  <w:marRight w:val="0"/>
                  <w:marTop w:val="0"/>
                  <w:marBottom w:val="0"/>
                  <w:divBdr>
                    <w:top w:val="none" w:sz="0" w:space="0" w:color="auto"/>
                    <w:left w:val="none" w:sz="0" w:space="0" w:color="auto"/>
                    <w:bottom w:val="none" w:sz="0" w:space="0" w:color="auto"/>
                    <w:right w:val="none" w:sz="0" w:space="0" w:color="auto"/>
                  </w:divBdr>
                  <w:divsChild>
                    <w:div w:id="51587071">
                      <w:marLeft w:val="0"/>
                      <w:marRight w:val="0"/>
                      <w:marTop w:val="0"/>
                      <w:marBottom w:val="0"/>
                      <w:divBdr>
                        <w:top w:val="none" w:sz="0" w:space="0" w:color="auto"/>
                        <w:left w:val="none" w:sz="0" w:space="0" w:color="auto"/>
                        <w:bottom w:val="none" w:sz="0" w:space="0" w:color="auto"/>
                        <w:right w:val="none" w:sz="0" w:space="0" w:color="auto"/>
                      </w:divBdr>
                    </w:div>
                  </w:divsChild>
                </w:div>
                <w:div w:id="38823297">
                  <w:marLeft w:val="0"/>
                  <w:marRight w:val="0"/>
                  <w:marTop w:val="0"/>
                  <w:marBottom w:val="0"/>
                  <w:divBdr>
                    <w:top w:val="none" w:sz="0" w:space="0" w:color="auto"/>
                    <w:left w:val="none" w:sz="0" w:space="0" w:color="auto"/>
                    <w:bottom w:val="none" w:sz="0" w:space="0" w:color="auto"/>
                    <w:right w:val="none" w:sz="0" w:space="0" w:color="auto"/>
                  </w:divBdr>
                  <w:divsChild>
                    <w:div w:id="1424302699">
                      <w:marLeft w:val="0"/>
                      <w:marRight w:val="0"/>
                      <w:marTop w:val="0"/>
                      <w:marBottom w:val="0"/>
                      <w:divBdr>
                        <w:top w:val="none" w:sz="0" w:space="0" w:color="auto"/>
                        <w:left w:val="none" w:sz="0" w:space="0" w:color="auto"/>
                        <w:bottom w:val="none" w:sz="0" w:space="0" w:color="auto"/>
                        <w:right w:val="none" w:sz="0" w:space="0" w:color="auto"/>
                      </w:divBdr>
                    </w:div>
                  </w:divsChild>
                </w:div>
                <w:div w:id="47919857">
                  <w:marLeft w:val="0"/>
                  <w:marRight w:val="0"/>
                  <w:marTop w:val="0"/>
                  <w:marBottom w:val="0"/>
                  <w:divBdr>
                    <w:top w:val="none" w:sz="0" w:space="0" w:color="auto"/>
                    <w:left w:val="none" w:sz="0" w:space="0" w:color="auto"/>
                    <w:bottom w:val="none" w:sz="0" w:space="0" w:color="auto"/>
                    <w:right w:val="none" w:sz="0" w:space="0" w:color="auto"/>
                  </w:divBdr>
                  <w:divsChild>
                    <w:div w:id="1403990967">
                      <w:marLeft w:val="0"/>
                      <w:marRight w:val="0"/>
                      <w:marTop w:val="0"/>
                      <w:marBottom w:val="0"/>
                      <w:divBdr>
                        <w:top w:val="none" w:sz="0" w:space="0" w:color="auto"/>
                        <w:left w:val="none" w:sz="0" w:space="0" w:color="auto"/>
                        <w:bottom w:val="none" w:sz="0" w:space="0" w:color="auto"/>
                        <w:right w:val="none" w:sz="0" w:space="0" w:color="auto"/>
                      </w:divBdr>
                    </w:div>
                  </w:divsChild>
                </w:div>
                <w:div w:id="53283122">
                  <w:marLeft w:val="0"/>
                  <w:marRight w:val="0"/>
                  <w:marTop w:val="0"/>
                  <w:marBottom w:val="0"/>
                  <w:divBdr>
                    <w:top w:val="none" w:sz="0" w:space="0" w:color="auto"/>
                    <w:left w:val="none" w:sz="0" w:space="0" w:color="auto"/>
                    <w:bottom w:val="none" w:sz="0" w:space="0" w:color="auto"/>
                    <w:right w:val="none" w:sz="0" w:space="0" w:color="auto"/>
                  </w:divBdr>
                  <w:divsChild>
                    <w:div w:id="221986764">
                      <w:marLeft w:val="0"/>
                      <w:marRight w:val="0"/>
                      <w:marTop w:val="0"/>
                      <w:marBottom w:val="0"/>
                      <w:divBdr>
                        <w:top w:val="none" w:sz="0" w:space="0" w:color="auto"/>
                        <w:left w:val="none" w:sz="0" w:space="0" w:color="auto"/>
                        <w:bottom w:val="none" w:sz="0" w:space="0" w:color="auto"/>
                        <w:right w:val="none" w:sz="0" w:space="0" w:color="auto"/>
                      </w:divBdr>
                    </w:div>
                  </w:divsChild>
                </w:div>
                <w:div w:id="91554534">
                  <w:marLeft w:val="0"/>
                  <w:marRight w:val="0"/>
                  <w:marTop w:val="0"/>
                  <w:marBottom w:val="0"/>
                  <w:divBdr>
                    <w:top w:val="none" w:sz="0" w:space="0" w:color="auto"/>
                    <w:left w:val="none" w:sz="0" w:space="0" w:color="auto"/>
                    <w:bottom w:val="none" w:sz="0" w:space="0" w:color="auto"/>
                    <w:right w:val="none" w:sz="0" w:space="0" w:color="auto"/>
                  </w:divBdr>
                  <w:divsChild>
                    <w:div w:id="1496646493">
                      <w:marLeft w:val="0"/>
                      <w:marRight w:val="0"/>
                      <w:marTop w:val="0"/>
                      <w:marBottom w:val="0"/>
                      <w:divBdr>
                        <w:top w:val="none" w:sz="0" w:space="0" w:color="auto"/>
                        <w:left w:val="none" w:sz="0" w:space="0" w:color="auto"/>
                        <w:bottom w:val="none" w:sz="0" w:space="0" w:color="auto"/>
                        <w:right w:val="none" w:sz="0" w:space="0" w:color="auto"/>
                      </w:divBdr>
                    </w:div>
                  </w:divsChild>
                </w:div>
                <w:div w:id="96609271">
                  <w:marLeft w:val="0"/>
                  <w:marRight w:val="0"/>
                  <w:marTop w:val="0"/>
                  <w:marBottom w:val="0"/>
                  <w:divBdr>
                    <w:top w:val="none" w:sz="0" w:space="0" w:color="auto"/>
                    <w:left w:val="none" w:sz="0" w:space="0" w:color="auto"/>
                    <w:bottom w:val="none" w:sz="0" w:space="0" w:color="auto"/>
                    <w:right w:val="none" w:sz="0" w:space="0" w:color="auto"/>
                  </w:divBdr>
                  <w:divsChild>
                    <w:div w:id="2051102893">
                      <w:marLeft w:val="0"/>
                      <w:marRight w:val="0"/>
                      <w:marTop w:val="0"/>
                      <w:marBottom w:val="0"/>
                      <w:divBdr>
                        <w:top w:val="none" w:sz="0" w:space="0" w:color="auto"/>
                        <w:left w:val="none" w:sz="0" w:space="0" w:color="auto"/>
                        <w:bottom w:val="none" w:sz="0" w:space="0" w:color="auto"/>
                        <w:right w:val="none" w:sz="0" w:space="0" w:color="auto"/>
                      </w:divBdr>
                    </w:div>
                  </w:divsChild>
                </w:div>
                <w:div w:id="105121361">
                  <w:marLeft w:val="0"/>
                  <w:marRight w:val="0"/>
                  <w:marTop w:val="0"/>
                  <w:marBottom w:val="0"/>
                  <w:divBdr>
                    <w:top w:val="none" w:sz="0" w:space="0" w:color="auto"/>
                    <w:left w:val="none" w:sz="0" w:space="0" w:color="auto"/>
                    <w:bottom w:val="none" w:sz="0" w:space="0" w:color="auto"/>
                    <w:right w:val="none" w:sz="0" w:space="0" w:color="auto"/>
                  </w:divBdr>
                  <w:divsChild>
                    <w:div w:id="573393885">
                      <w:marLeft w:val="0"/>
                      <w:marRight w:val="0"/>
                      <w:marTop w:val="0"/>
                      <w:marBottom w:val="0"/>
                      <w:divBdr>
                        <w:top w:val="none" w:sz="0" w:space="0" w:color="auto"/>
                        <w:left w:val="none" w:sz="0" w:space="0" w:color="auto"/>
                        <w:bottom w:val="none" w:sz="0" w:space="0" w:color="auto"/>
                        <w:right w:val="none" w:sz="0" w:space="0" w:color="auto"/>
                      </w:divBdr>
                    </w:div>
                  </w:divsChild>
                </w:div>
                <w:div w:id="112552980">
                  <w:marLeft w:val="0"/>
                  <w:marRight w:val="0"/>
                  <w:marTop w:val="0"/>
                  <w:marBottom w:val="0"/>
                  <w:divBdr>
                    <w:top w:val="none" w:sz="0" w:space="0" w:color="auto"/>
                    <w:left w:val="none" w:sz="0" w:space="0" w:color="auto"/>
                    <w:bottom w:val="none" w:sz="0" w:space="0" w:color="auto"/>
                    <w:right w:val="none" w:sz="0" w:space="0" w:color="auto"/>
                  </w:divBdr>
                  <w:divsChild>
                    <w:div w:id="1754205852">
                      <w:marLeft w:val="0"/>
                      <w:marRight w:val="0"/>
                      <w:marTop w:val="0"/>
                      <w:marBottom w:val="0"/>
                      <w:divBdr>
                        <w:top w:val="none" w:sz="0" w:space="0" w:color="auto"/>
                        <w:left w:val="none" w:sz="0" w:space="0" w:color="auto"/>
                        <w:bottom w:val="none" w:sz="0" w:space="0" w:color="auto"/>
                        <w:right w:val="none" w:sz="0" w:space="0" w:color="auto"/>
                      </w:divBdr>
                    </w:div>
                  </w:divsChild>
                </w:div>
                <w:div w:id="117262545">
                  <w:marLeft w:val="0"/>
                  <w:marRight w:val="0"/>
                  <w:marTop w:val="0"/>
                  <w:marBottom w:val="0"/>
                  <w:divBdr>
                    <w:top w:val="none" w:sz="0" w:space="0" w:color="auto"/>
                    <w:left w:val="none" w:sz="0" w:space="0" w:color="auto"/>
                    <w:bottom w:val="none" w:sz="0" w:space="0" w:color="auto"/>
                    <w:right w:val="none" w:sz="0" w:space="0" w:color="auto"/>
                  </w:divBdr>
                  <w:divsChild>
                    <w:div w:id="238096372">
                      <w:marLeft w:val="0"/>
                      <w:marRight w:val="0"/>
                      <w:marTop w:val="0"/>
                      <w:marBottom w:val="0"/>
                      <w:divBdr>
                        <w:top w:val="none" w:sz="0" w:space="0" w:color="auto"/>
                        <w:left w:val="none" w:sz="0" w:space="0" w:color="auto"/>
                        <w:bottom w:val="none" w:sz="0" w:space="0" w:color="auto"/>
                        <w:right w:val="none" w:sz="0" w:space="0" w:color="auto"/>
                      </w:divBdr>
                    </w:div>
                  </w:divsChild>
                </w:div>
                <w:div w:id="126438084">
                  <w:marLeft w:val="0"/>
                  <w:marRight w:val="0"/>
                  <w:marTop w:val="0"/>
                  <w:marBottom w:val="0"/>
                  <w:divBdr>
                    <w:top w:val="none" w:sz="0" w:space="0" w:color="auto"/>
                    <w:left w:val="none" w:sz="0" w:space="0" w:color="auto"/>
                    <w:bottom w:val="none" w:sz="0" w:space="0" w:color="auto"/>
                    <w:right w:val="none" w:sz="0" w:space="0" w:color="auto"/>
                  </w:divBdr>
                  <w:divsChild>
                    <w:div w:id="1337465498">
                      <w:marLeft w:val="0"/>
                      <w:marRight w:val="0"/>
                      <w:marTop w:val="0"/>
                      <w:marBottom w:val="0"/>
                      <w:divBdr>
                        <w:top w:val="none" w:sz="0" w:space="0" w:color="auto"/>
                        <w:left w:val="none" w:sz="0" w:space="0" w:color="auto"/>
                        <w:bottom w:val="none" w:sz="0" w:space="0" w:color="auto"/>
                        <w:right w:val="none" w:sz="0" w:space="0" w:color="auto"/>
                      </w:divBdr>
                    </w:div>
                  </w:divsChild>
                </w:div>
                <w:div w:id="141048477">
                  <w:marLeft w:val="0"/>
                  <w:marRight w:val="0"/>
                  <w:marTop w:val="0"/>
                  <w:marBottom w:val="0"/>
                  <w:divBdr>
                    <w:top w:val="none" w:sz="0" w:space="0" w:color="auto"/>
                    <w:left w:val="none" w:sz="0" w:space="0" w:color="auto"/>
                    <w:bottom w:val="none" w:sz="0" w:space="0" w:color="auto"/>
                    <w:right w:val="none" w:sz="0" w:space="0" w:color="auto"/>
                  </w:divBdr>
                  <w:divsChild>
                    <w:div w:id="926110426">
                      <w:marLeft w:val="0"/>
                      <w:marRight w:val="0"/>
                      <w:marTop w:val="0"/>
                      <w:marBottom w:val="0"/>
                      <w:divBdr>
                        <w:top w:val="none" w:sz="0" w:space="0" w:color="auto"/>
                        <w:left w:val="none" w:sz="0" w:space="0" w:color="auto"/>
                        <w:bottom w:val="none" w:sz="0" w:space="0" w:color="auto"/>
                        <w:right w:val="none" w:sz="0" w:space="0" w:color="auto"/>
                      </w:divBdr>
                    </w:div>
                  </w:divsChild>
                </w:div>
                <w:div w:id="154273589">
                  <w:marLeft w:val="0"/>
                  <w:marRight w:val="0"/>
                  <w:marTop w:val="0"/>
                  <w:marBottom w:val="0"/>
                  <w:divBdr>
                    <w:top w:val="none" w:sz="0" w:space="0" w:color="auto"/>
                    <w:left w:val="none" w:sz="0" w:space="0" w:color="auto"/>
                    <w:bottom w:val="none" w:sz="0" w:space="0" w:color="auto"/>
                    <w:right w:val="none" w:sz="0" w:space="0" w:color="auto"/>
                  </w:divBdr>
                  <w:divsChild>
                    <w:div w:id="453594705">
                      <w:marLeft w:val="0"/>
                      <w:marRight w:val="0"/>
                      <w:marTop w:val="0"/>
                      <w:marBottom w:val="0"/>
                      <w:divBdr>
                        <w:top w:val="none" w:sz="0" w:space="0" w:color="auto"/>
                        <w:left w:val="none" w:sz="0" w:space="0" w:color="auto"/>
                        <w:bottom w:val="none" w:sz="0" w:space="0" w:color="auto"/>
                        <w:right w:val="none" w:sz="0" w:space="0" w:color="auto"/>
                      </w:divBdr>
                    </w:div>
                  </w:divsChild>
                </w:div>
                <w:div w:id="165875036">
                  <w:marLeft w:val="0"/>
                  <w:marRight w:val="0"/>
                  <w:marTop w:val="0"/>
                  <w:marBottom w:val="0"/>
                  <w:divBdr>
                    <w:top w:val="none" w:sz="0" w:space="0" w:color="auto"/>
                    <w:left w:val="none" w:sz="0" w:space="0" w:color="auto"/>
                    <w:bottom w:val="none" w:sz="0" w:space="0" w:color="auto"/>
                    <w:right w:val="none" w:sz="0" w:space="0" w:color="auto"/>
                  </w:divBdr>
                  <w:divsChild>
                    <w:div w:id="1784878815">
                      <w:marLeft w:val="0"/>
                      <w:marRight w:val="0"/>
                      <w:marTop w:val="0"/>
                      <w:marBottom w:val="0"/>
                      <w:divBdr>
                        <w:top w:val="none" w:sz="0" w:space="0" w:color="auto"/>
                        <w:left w:val="none" w:sz="0" w:space="0" w:color="auto"/>
                        <w:bottom w:val="none" w:sz="0" w:space="0" w:color="auto"/>
                        <w:right w:val="none" w:sz="0" w:space="0" w:color="auto"/>
                      </w:divBdr>
                    </w:div>
                  </w:divsChild>
                </w:div>
                <w:div w:id="170066082">
                  <w:marLeft w:val="0"/>
                  <w:marRight w:val="0"/>
                  <w:marTop w:val="0"/>
                  <w:marBottom w:val="0"/>
                  <w:divBdr>
                    <w:top w:val="none" w:sz="0" w:space="0" w:color="auto"/>
                    <w:left w:val="none" w:sz="0" w:space="0" w:color="auto"/>
                    <w:bottom w:val="none" w:sz="0" w:space="0" w:color="auto"/>
                    <w:right w:val="none" w:sz="0" w:space="0" w:color="auto"/>
                  </w:divBdr>
                  <w:divsChild>
                    <w:div w:id="1600025385">
                      <w:marLeft w:val="0"/>
                      <w:marRight w:val="0"/>
                      <w:marTop w:val="0"/>
                      <w:marBottom w:val="0"/>
                      <w:divBdr>
                        <w:top w:val="none" w:sz="0" w:space="0" w:color="auto"/>
                        <w:left w:val="none" w:sz="0" w:space="0" w:color="auto"/>
                        <w:bottom w:val="none" w:sz="0" w:space="0" w:color="auto"/>
                        <w:right w:val="none" w:sz="0" w:space="0" w:color="auto"/>
                      </w:divBdr>
                    </w:div>
                  </w:divsChild>
                </w:div>
                <w:div w:id="191237221">
                  <w:marLeft w:val="0"/>
                  <w:marRight w:val="0"/>
                  <w:marTop w:val="0"/>
                  <w:marBottom w:val="0"/>
                  <w:divBdr>
                    <w:top w:val="none" w:sz="0" w:space="0" w:color="auto"/>
                    <w:left w:val="none" w:sz="0" w:space="0" w:color="auto"/>
                    <w:bottom w:val="none" w:sz="0" w:space="0" w:color="auto"/>
                    <w:right w:val="none" w:sz="0" w:space="0" w:color="auto"/>
                  </w:divBdr>
                  <w:divsChild>
                    <w:div w:id="2144035767">
                      <w:marLeft w:val="0"/>
                      <w:marRight w:val="0"/>
                      <w:marTop w:val="0"/>
                      <w:marBottom w:val="0"/>
                      <w:divBdr>
                        <w:top w:val="none" w:sz="0" w:space="0" w:color="auto"/>
                        <w:left w:val="none" w:sz="0" w:space="0" w:color="auto"/>
                        <w:bottom w:val="none" w:sz="0" w:space="0" w:color="auto"/>
                        <w:right w:val="none" w:sz="0" w:space="0" w:color="auto"/>
                      </w:divBdr>
                    </w:div>
                  </w:divsChild>
                </w:div>
                <w:div w:id="226114770">
                  <w:marLeft w:val="0"/>
                  <w:marRight w:val="0"/>
                  <w:marTop w:val="0"/>
                  <w:marBottom w:val="0"/>
                  <w:divBdr>
                    <w:top w:val="none" w:sz="0" w:space="0" w:color="auto"/>
                    <w:left w:val="none" w:sz="0" w:space="0" w:color="auto"/>
                    <w:bottom w:val="none" w:sz="0" w:space="0" w:color="auto"/>
                    <w:right w:val="none" w:sz="0" w:space="0" w:color="auto"/>
                  </w:divBdr>
                  <w:divsChild>
                    <w:div w:id="1136334096">
                      <w:marLeft w:val="0"/>
                      <w:marRight w:val="0"/>
                      <w:marTop w:val="0"/>
                      <w:marBottom w:val="0"/>
                      <w:divBdr>
                        <w:top w:val="none" w:sz="0" w:space="0" w:color="auto"/>
                        <w:left w:val="none" w:sz="0" w:space="0" w:color="auto"/>
                        <w:bottom w:val="none" w:sz="0" w:space="0" w:color="auto"/>
                        <w:right w:val="none" w:sz="0" w:space="0" w:color="auto"/>
                      </w:divBdr>
                    </w:div>
                  </w:divsChild>
                </w:div>
                <w:div w:id="229730766">
                  <w:marLeft w:val="0"/>
                  <w:marRight w:val="0"/>
                  <w:marTop w:val="0"/>
                  <w:marBottom w:val="0"/>
                  <w:divBdr>
                    <w:top w:val="none" w:sz="0" w:space="0" w:color="auto"/>
                    <w:left w:val="none" w:sz="0" w:space="0" w:color="auto"/>
                    <w:bottom w:val="none" w:sz="0" w:space="0" w:color="auto"/>
                    <w:right w:val="none" w:sz="0" w:space="0" w:color="auto"/>
                  </w:divBdr>
                  <w:divsChild>
                    <w:div w:id="1083137294">
                      <w:marLeft w:val="0"/>
                      <w:marRight w:val="0"/>
                      <w:marTop w:val="0"/>
                      <w:marBottom w:val="0"/>
                      <w:divBdr>
                        <w:top w:val="none" w:sz="0" w:space="0" w:color="auto"/>
                        <w:left w:val="none" w:sz="0" w:space="0" w:color="auto"/>
                        <w:bottom w:val="none" w:sz="0" w:space="0" w:color="auto"/>
                        <w:right w:val="none" w:sz="0" w:space="0" w:color="auto"/>
                      </w:divBdr>
                    </w:div>
                  </w:divsChild>
                </w:div>
                <w:div w:id="263004859">
                  <w:marLeft w:val="0"/>
                  <w:marRight w:val="0"/>
                  <w:marTop w:val="0"/>
                  <w:marBottom w:val="0"/>
                  <w:divBdr>
                    <w:top w:val="none" w:sz="0" w:space="0" w:color="auto"/>
                    <w:left w:val="none" w:sz="0" w:space="0" w:color="auto"/>
                    <w:bottom w:val="none" w:sz="0" w:space="0" w:color="auto"/>
                    <w:right w:val="none" w:sz="0" w:space="0" w:color="auto"/>
                  </w:divBdr>
                  <w:divsChild>
                    <w:div w:id="168953483">
                      <w:marLeft w:val="0"/>
                      <w:marRight w:val="0"/>
                      <w:marTop w:val="0"/>
                      <w:marBottom w:val="0"/>
                      <w:divBdr>
                        <w:top w:val="none" w:sz="0" w:space="0" w:color="auto"/>
                        <w:left w:val="none" w:sz="0" w:space="0" w:color="auto"/>
                        <w:bottom w:val="none" w:sz="0" w:space="0" w:color="auto"/>
                        <w:right w:val="none" w:sz="0" w:space="0" w:color="auto"/>
                      </w:divBdr>
                    </w:div>
                  </w:divsChild>
                </w:div>
                <w:div w:id="273903160">
                  <w:marLeft w:val="0"/>
                  <w:marRight w:val="0"/>
                  <w:marTop w:val="0"/>
                  <w:marBottom w:val="0"/>
                  <w:divBdr>
                    <w:top w:val="none" w:sz="0" w:space="0" w:color="auto"/>
                    <w:left w:val="none" w:sz="0" w:space="0" w:color="auto"/>
                    <w:bottom w:val="none" w:sz="0" w:space="0" w:color="auto"/>
                    <w:right w:val="none" w:sz="0" w:space="0" w:color="auto"/>
                  </w:divBdr>
                  <w:divsChild>
                    <w:div w:id="1889029970">
                      <w:marLeft w:val="0"/>
                      <w:marRight w:val="0"/>
                      <w:marTop w:val="0"/>
                      <w:marBottom w:val="0"/>
                      <w:divBdr>
                        <w:top w:val="none" w:sz="0" w:space="0" w:color="auto"/>
                        <w:left w:val="none" w:sz="0" w:space="0" w:color="auto"/>
                        <w:bottom w:val="none" w:sz="0" w:space="0" w:color="auto"/>
                        <w:right w:val="none" w:sz="0" w:space="0" w:color="auto"/>
                      </w:divBdr>
                    </w:div>
                  </w:divsChild>
                </w:div>
                <w:div w:id="275792214">
                  <w:marLeft w:val="0"/>
                  <w:marRight w:val="0"/>
                  <w:marTop w:val="0"/>
                  <w:marBottom w:val="0"/>
                  <w:divBdr>
                    <w:top w:val="none" w:sz="0" w:space="0" w:color="auto"/>
                    <w:left w:val="none" w:sz="0" w:space="0" w:color="auto"/>
                    <w:bottom w:val="none" w:sz="0" w:space="0" w:color="auto"/>
                    <w:right w:val="none" w:sz="0" w:space="0" w:color="auto"/>
                  </w:divBdr>
                  <w:divsChild>
                    <w:div w:id="2080790187">
                      <w:marLeft w:val="0"/>
                      <w:marRight w:val="0"/>
                      <w:marTop w:val="0"/>
                      <w:marBottom w:val="0"/>
                      <w:divBdr>
                        <w:top w:val="none" w:sz="0" w:space="0" w:color="auto"/>
                        <w:left w:val="none" w:sz="0" w:space="0" w:color="auto"/>
                        <w:bottom w:val="none" w:sz="0" w:space="0" w:color="auto"/>
                        <w:right w:val="none" w:sz="0" w:space="0" w:color="auto"/>
                      </w:divBdr>
                    </w:div>
                  </w:divsChild>
                </w:div>
                <w:div w:id="297074958">
                  <w:marLeft w:val="0"/>
                  <w:marRight w:val="0"/>
                  <w:marTop w:val="0"/>
                  <w:marBottom w:val="0"/>
                  <w:divBdr>
                    <w:top w:val="none" w:sz="0" w:space="0" w:color="auto"/>
                    <w:left w:val="none" w:sz="0" w:space="0" w:color="auto"/>
                    <w:bottom w:val="none" w:sz="0" w:space="0" w:color="auto"/>
                    <w:right w:val="none" w:sz="0" w:space="0" w:color="auto"/>
                  </w:divBdr>
                  <w:divsChild>
                    <w:div w:id="1544099718">
                      <w:marLeft w:val="0"/>
                      <w:marRight w:val="0"/>
                      <w:marTop w:val="0"/>
                      <w:marBottom w:val="0"/>
                      <w:divBdr>
                        <w:top w:val="none" w:sz="0" w:space="0" w:color="auto"/>
                        <w:left w:val="none" w:sz="0" w:space="0" w:color="auto"/>
                        <w:bottom w:val="none" w:sz="0" w:space="0" w:color="auto"/>
                        <w:right w:val="none" w:sz="0" w:space="0" w:color="auto"/>
                      </w:divBdr>
                    </w:div>
                  </w:divsChild>
                </w:div>
                <w:div w:id="331882951">
                  <w:marLeft w:val="0"/>
                  <w:marRight w:val="0"/>
                  <w:marTop w:val="0"/>
                  <w:marBottom w:val="0"/>
                  <w:divBdr>
                    <w:top w:val="none" w:sz="0" w:space="0" w:color="auto"/>
                    <w:left w:val="none" w:sz="0" w:space="0" w:color="auto"/>
                    <w:bottom w:val="none" w:sz="0" w:space="0" w:color="auto"/>
                    <w:right w:val="none" w:sz="0" w:space="0" w:color="auto"/>
                  </w:divBdr>
                  <w:divsChild>
                    <w:div w:id="348992099">
                      <w:marLeft w:val="0"/>
                      <w:marRight w:val="0"/>
                      <w:marTop w:val="0"/>
                      <w:marBottom w:val="0"/>
                      <w:divBdr>
                        <w:top w:val="none" w:sz="0" w:space="0" w:color="auto"/>
                        <w:left w:val="none" w:sz="0" w:space="0" w:color="auto"/>
                        <w:bottom w:val="none" w:sz="0" w:space="0" w:color="auto"/>
                        <w:right w:val="none" w:sz="0" w:space="0" w:color="auto"/>
                      </w:divBdr>
                    </w:div>
                  </w:divsChild>
                </w:div>
                <w:div w:id="337466962">
                  <w:marLeft w:val="0"/>
                  <w:marRight w:val="0"/>
                  <w:marTop w:val="0"/>
                  <w:marBottom w:val="0"/>
                  <w:divBdr>
                    <w:top w:val="none" w:sz="0" w:space="0" w:color="auto"/>
                    <w:left w:val="none" w:sz="0" w:space="0" w:color="auto"/>
                    <w:bottom w:val="none" w:sz="0" w:space="0" w:color="auto"/>
                    <w:right w:val="none" w:sz="0" w:space="0" w:color="auto"/>
                  </w:divBdr>
                  <w:divsChild>
                    <w:div w:id="112603056">
                      <w:marLeft w:val="0"/>
                      <w:marRight w:val="0"/>
                      <w:marTop w:val="0"/>
                      <w:marBottom w:val="0"/>
                      <w:divBdr>
                        <w:top w:val="none" w:sz="0" w:space="0" w:color="auto"/>
                        <w:left w:val="none" w:sz="0" w:space="0" w:color="auto"/>
                        <w:bottom w:val="none" w:sz="0" w:space="0" w:color="auto"/>
                        <w:right w:val="none" w:sz="0" w:space="0" w:color="auto"/>
                      </w:divBdr>
                    </w:div>
                  </w:divsChild>
                </w:div>
                <w:div w:id="340204382">
                  <w:marLeft w:val="0"/>
                  <w:marRight w:val="0"/>
                  <w:marTop w:val="0"/>
                  <w:marBottom w:val="0"/>
                  <w:divBdr>
                    <w:top w:val="none" w:sz="0" w:space="0" w:color="auto"/>
                    <w:left w:val="none" w:sz="0" w:space="0" w:color="auto"/>
                    <w:bottom w:val="none" w:sz="0" w:space="0" w:color="auto"/>
                    <w:right w:val="none" w:sz="0" w:space="0" w:color="auto"/>
                  </w:divBdr>
                  <w:divsChild>
                    <w:div w:id="1176073014">
                      <w:marLeft w:val="0"/>
                      <w:marRight w:val="0"/>
                      <w:marTop w:val="0"/>
                      <w:marBottom w:val="0"/>
                      <w:divBdr>
                        <w:top w:val="none" w:sz="0" w:space="0" w:color="auto"/>
                        <w:left w:val="none" w:sz="0" w:space="0" w:color="auto"/>
                        <w:bottom w:val="none" w:sz="0" w:space="0" w:color="auto"/>
                        <w:right w:val="none" w:sz="0" w:space="0" w:color="auto"/>
                      </w:divBdr>
                    </w:div>
                  </w:divsChild>
                </w:div>
                <w:div w:id="341666661">
                  <w:marLeft w:val="0"/>
                  <w:marRight w:val="0"/>
                  <w:marTop w:val="0"/>
                  <w:marBottom w:val="0"/>
                  <w:divBdr>
                    <w:top w:val="none" w:sz="0" w:space="0" w:color="auto"/>
                    <w:left w:val="none" w:sz="0" w:space="0" w:color="auto"/>
                    <w:bottom w:val="none" w:sz="0" w:space="0" w:color="auto"/>
                    <w:right w:val="none" w:sz="0" w:space="0" w:color="auto"/>
                  </w:divBdr>
                  <w:divsChild>
                    <w:div w:id="1720594179">
                      <w:marLeft w:val="0"/>
                      <w:marRight w:val="0"/>
                      <w:marTop w:val="0"/>
                      <w:marBottom w:val="0"/>
                      <w:divBdr>
                        <w:top w:val="none" w:sz="0" w:space="0" w:color="auto"/>
                        <w:left w:val="none" w:sz="0" w:space="0" w:color="auto"/>
                        <w:bottom w:val="none" w:sz="0" w:space="0" w:color="auto"/>
                        <w:right w:val="none" w:sz="0" w:space="0" w:color="auto"/>
                      </w:divBdr>
                    </w:div>
                  </w:divsChild>
                </w:div>
                <w:div w:id="420224723">
                  <w:marLeft w:val="0"/>
                  <w:marRight w:val="0"/>
                  <w:marTop w:val="0"/>
                  <w:marBottom w:val="0"/>
                  <w:divBdr>
                    <w:top w:val="none" w:sz="0" w:space="0" w:color="auto"/>
                    <w:left w:val="none" w:sz="0" w:space="0" w:color="auto"/>
                    <w:bottom w:val="none" w:sz="0" w:space="0" w:color="auto"/>
                    <w:right w:val="none" w:sz="0" w:space="0" w:color="auto"/>
                  </w:divBdr>
                  <w:divsChild>
                    <w:div w:id="1804346871">
                      <w:marLeft w:val="0"/>
                      <w:marRight w:val="0"/>
                      <w:marTop w:val="0"/>
                      <w:marBottom w:val="0"/>
                      <w:divBdr>
                        <w:top w:val="none" w:sz="0" w:space="0" w:color="auto"/>
                        <w:left w:val="none" w:sz="0" w:space="0" w:color="auto"/>
                        <w:bottom w:val="none" w:sz="0" w:space="0" w:color="auto"/>
                        <w:right w:val="none" w:sz="0" w:space="0" w:color="auto"/>
                      </w:divBdr>
                    </w:div>
                  </w:divsChild>
                </w:div>
                <w:div w:id="451824483">
                  <w:marLeft w:val="0"/>
                  <w:marRight w:val="0"/>
                  <w:marTop w:val="0"/>
                  <w:marBottom w:val="0"/>
                  <w:divBdr>
                    <w:top w:val="none" w:sz="0" w:space="0" w:color="auto"/>
                    <w:left w:val="none" w:sz="0" w:space="0" w:color="auto"/>
                    <w:bottom w:val="none" w:sz="0" w:space="0" w:color="auto"/>
                    <w:right w:val="none" w:sz="0" w:space="0" w:color="auto"/>
                  </w:divBdr>
                  <w:divsChild>
                    <w:div w:id="439496868">
                      <w:marLeft w:val="0"/>
                      <w:marRight w:val="0"/>
                      <w:marTop w:val="0"/>
                      <w:marBottom w:val="0"/>
                      <w:divBdr>
                        <w:top w:val="none" w:sz="0" w:space="0" w:color="auto"/>
                        <w:left w:val="none" w:sz="0" w:space="0" w:color="auto"/>
                        <w:bottom w:val="none" w:sz="0" w:space="0" w:color="auto"/>
                        <w:right w:val="none" w:sz="0" w:space="0" w:color="auto"/>
                      </w:divBdr>
                    </w:div>
                  </w:divsChild>
                </w:div>
                <w:div w:id="472722775">
                  <w:marLeft w:val="0"/>
                  <w:marRight w:val="0"/>
                  <w:marTop w:val="0"/>
                  <w:marBottom w:val="0"/>
                  <w:divBdr>
                    <w:top w:val="none" w:sz="0" w:space="0" w:color="auto"/>
                    <w:left w:val="none" w:sz="0" w:space="0" w:color="auto"/>
                    <w:bottom w:val="none" w:sz="0" w:space="0" w:color="auto"/>
                    <w:right w:val="none" w:sz="0" w:space="0" w:color="auto"/>
                  </w:divBdr>
                  <w:divsChild>
                    <w:div w:id="1470517381">
                      <w:marLeft w:val="0"/>
                      <w:marRight w:val="0"/>
                      <w:marTop w:val="0"/>
                      <w:marBottom w:val="0"/>
                      <w:divBdr>
                        <w:top w:val="none" w:sz="0" w:space="0" w:color="auto"/>
                        <w:left w:val="none" w:sz="0" w:space="0" w:color="auto"/>
                        <w:bottom w:val="none" w:sz="0" w:space="0" w:color="auto"/>
                        <w:right w:val="none" w:sz="0" w:space="0" w:color="auto"/>
                      </w:divBdr>
                    </w:div>
                  </w:divsChild>
                </w:div>
                <w:div w:id="494734534">
                  <w:marLeft w:val="0"/>
                  <w:marRight w:val="0"/>
                  <w:marTop w:val="0"/>
                  <w:marBottom w:val="0"/>
                  <w:divBdr>
                    <w:top w:val="none" w:sz="0" w:space="0" w:color="auto"/>
                    <w:left w:val="none" w:sz="0" w:space="0" w:color="auto"/>
                    <w:bottom w:val="none" w:sz="0" w:space="0" w:color="auto"/>
                    <w:right w:val="none" w:sz="0" w:space="0" w:color="auto"/>
                  </w:divBdr>
                  <w:divsChild>
                    <w:div w:id="963341267">
                      <w:marLeft w:val="0"/>
                      <w:marRight w:val="0"/>
                      <w:marTop w:val="0"/>
                      <w:marBottom w:val="0"/>
                      <w:divBdr>
                        <w:top w:val="none" w:sz="0" w:space="0" w:color="auto"/>
                        <w:left w:val="none" w:sz="0" w:space="0" w:color="auto"/>
                        <w:bottom w:val="none" w:sz="0" w:space="0" w:color="auto"/>
                        <w:right w:val="none" w:sz="0" w:space="0" w:color="auto"/>
                      </w:divBdr>
                    </w:div>
                  </w:divsChild>
                </w:div>
                <w:div w:id="501286752">
                  <w:marLeft w:val="0"/>
                  <w:marRight w:val="0"/>
                  <w:marTop w:val="0"/>
                  <w:marBottom w:val="0"/>
                  <w:divBdr>
                    <w:top w:val="none" w:sz="0" w:space="0" w:color="auto"/>
                    <w:left w:val="none" w:sz="0" w:space="0" w:color="auto"/>
                    <w:bottom w:val="none" w:sz="0" w:space="0" w:color="auto"/>
                    <w:right w:val="none" w:sz="0" w:space="0" w:color="auto"/>
                  </w:divBdr>
                  <w:divsChild>
                    <w:div w:id="1230311205">
                      <w:marLeft w:val="0"/>
                      <w:marRight w:val="0"/>
                      <w:marTop w:val="0"/>
                      <w:marBottom w:val="0"/>
                      <w:divBdr>
                        <w:top w:val="none" w:sz="0" w:space="0" w:color="auto"/>
                        <w:left w:val="none" w:sz="0" w:space="0" w:color="auto"/>
                        <w:bottom w:val="none" w:sz="0" w:space="0" w:color="auto"/>
                        <w:right w:val="none" w:sz="0" w:space="0" w:color="auto"/>
                      </w:divBdr>
                    </w:div>
                  </w:divsChild>
                </w:div>
                <w:div w:id="520319641">
                  <w:marLeft w:val="0"/>
                  <w:marRight w:val="0"/>
                  <w:marTop w:val="0"/>
                  <w:marBottom w:val="0"/>
                  <w:divBdr>
                    <w:top w:val="none" w:sz="0" w:space="0" w:color="auto"/>
                    <w:left w:val="none" w:sz="0" w:space="0" w:color="auto"/>
                    <w:bottom w:val="none" w:sz="0" w:space="0" w:color="auto"/>
                    <w:right w:val="none" w:sz="0" w:space="0" w:color="auto"/>
                  </w:divBdr>
                  <w:divsChild>
                    <w:div w:id="663048982">
                      <w:marLeft w:val="0"/>
                      <w:marRight w:val="0"/>
                      <w:marTop w:val="0"/>
                      <w:marBottom w:val="0"/>
                      <w:divBdr>
                        <w:top w:val="none" w:sz="0" w:space="0" w:color="auto"/>
                        <w:left w:val="none" w:sz="0" w:space="0" w:color="auto"/>
                        <w:bottom w:val="none" w:sz="0" w:space="0" w:color="auto"/>
                        <w:right w:val="none" w:sz="0" w:space="0" w:color="auto"/>
                      </w:divBdr>
                    </w:div>
                  </w:divsChild>
                </w:div>
                <w:div w:id="557208291">
                  <w:marLeft w:val="0"/>
                  <w:marRight w:val="0"/>
                  <w:marTop w:val="0"/>
                  <w:marBottom w:val="0"/>
                  <w:divBdr>
                    <w:top w:val="none" w:sz="0" w:space="0" w:color="auto"/>
                    <w:left w:val="none" w:sz="0" w:space="0" w:color="auto"/>
                    <w:bottom w:val="none" w:sz="0" w:space="0" w:color="auto"/>
                    <w:right w:val="none" w:sz="0" w:space="0" w:color="auto"/>
                  </w:divBdr>
                  <w:divsChild>
                    <w:div w:id="1794127686">
                      <w:marLeft w:val="0"/>
                      <w:marRight w:val="0"/>
                      <w:marTop w:val="0"/>
                      <w:marBottom w:val="0"/>
                      <w:divBdr>
                        <w:top w:val="none" w:sz="0" w:space="0" w:color="auto"/>
                        <w:left w:val="none" w:sz="0" w:space="0" w:color="auto"/>
                        <w:bottom w:val="none" w:sz="0" w:space="0" w:color="auto"/>
                        <w:right w:val="none" w:sz="0" w:space="0" w:color="auto"/>
                      </w:divBdr>
                    </w:div>
                  </w:divsChild>
                </w:div>
                <w:div w:id="567301653">
                  <w:marLeft w:val="0"/>
                  <w:marRight w:val="0"/>
                  <w:marTop w:val="0"/>
                  <w:marBottom w:val="0"/>
                  <w:divBdr>
                    <w:top w:val="none" w:sz="0" w:space="0" w:color="auto"/>
                    <w:left w:val="none" w:sz="0" w:space="0" w:color="auto"/>
                    <w:bottom w:val="none" w:sz="0" w:space="0" w:color="auto"/>
                    <w:right w:val="none" w:sz="0" w:space="0" w:color="auto"/>
                  </w:divBdr>
                  <w:divsChild>
                    <w:div w:id="1517426387">
                      <w:marLeft w:val="0"/>
                      <w:marRight w:val="0"/>
                      <w:marTop w:val="0"/>
                      <w:marBottom w:val="0"/>
                      <w:divBdr>
                        <w:top w:val="none" w:sz="0" w:space="0" w:color="auto"/>
                        <w:left w:val="none" w:sz="0" w:space="0" w:color="auto"/>
                        <w:bottom w:val="none" w:sz="0" w:space="0" w:color="auto"/>
                        <w:right w:val="none" w:sz="0" w:space="0" w:color="auto"/>
                      </w:divBdr>
                    </w:div>
                  </w:divsChild>
                </w:div>
                <w:div w:id="569003152">
                  <w:marLeft w:val="0"/>
                  <w:marRight w:val="0"/>
                  <w:marTop w:val="0"/>
                  <w:marBottom w:val="0"/>
                  <w:divBdr>
                    <w:top w:val="none" w:sz="0" w:space="0" w:color="auto"/>
                    <w:left w:val="none" w:sz="0" w:space="0" w:color="auto"/>
                    <w:bottom w:val="none" w:sz="0" w:space="0" w:color="auto"/>
                    <w:right w:val="none" w:sz="0" w:space="0" w:color="auto"/>
                  </w:divBdr>
                  <w:divsChild>
                    <w:div w:id="103115127">
                      <w:marLeft w:val="0"/>
                      <w:marRight w:val="0"/>
                      <w:marTop w:val="0"/>
                      <w:marBottom w:val="0"/>
                      <w:divBdr>
                        <w:top w:val="none" w:sz="0" w:space="0" w:color="auto"/>
                        <w:left w:val="none" w:sz="0" w:space="0" w:color="auto"/>
                        <w:bottom w:val="none" w:sz="0" w:space="0" w:color="auto"/>
                        <w:right w:val="none" w:sz="0" w:space="0" w:color="auto"/>
                      </w:divBdr>
                    </w:div>
                  </w:divsChild>
                </w:div>
                <w:div w:id="579367896">
                  <w:marLeft w:val="0"/>
                  <w:marRight w:val="0"/>
                  <w:marTop w:val="0"/>
                  <w:marBottom w:val="0"/>
                  <w:divBdr>
                    <w:top w:val="none" w:sz="0" w:space="0" w:color="auto"/>
                    <w:left w:val="none" w:sz="0" w:space="0" w:color="auto"/>
                    <w:bottom w:val="none" w:sz="0" w:space="0" w:color="auto"/>
                    <w:right w:val="none" w:sz="0" w:space="0" w:color="auto"/>
                  </w:divBdr>
                  <w:divsChild>
                    <w:div w:id="1585139702">
                      <w:marLeft w:val="0"/>
                      <w:marRight w:val="0"/>
                      <w:marTop w:val="0"/>
                      <w:marBottom w:val="0"/>
                      <w:divBdr>
                        <w:top w:val="none" w:sz="0" w:space="0" w:color="auto"/>
                        <w:left w:val="none" w:sz="0" w:space="0" w:color="auto"/>
                        <w:bottom w:val="none" w:sz="0" w:space="0" w:color="auto"/>
                        <w:right w:val="none" w:sz="0" w:space="0" w:color="auto"/>
                      </w:divBdr>
                    </w:div>
                  </w:divsChild>
                </w:div>
                <w:div w:id="580021635">
                  <w:marLeft w:val="0"/>
                  <w:marRight w:val="0"/>
                  <w:marTop w:val="0"/>
                  <w:marBottom w:val="0"/>
                  <w:divBdr>
                    <w:top w:val="none" w:sz="0" w:space="0" w:color="auto"/>
                    <w:left w:val="none" w:sz="0" w:space="0" w:color="auto"/>
                    <w:bottom w:val="none" w:sz="0" w:space="0" w:color="auto"/>
                    <w:right w:val="none" w:sz="0" w:space="0" w:color="auto"/>
                  </w:divBdr>
                  <w:divsChild>
                    <w:div w:id="1031953322">
                      <w:marLeft w:val="0"/>
                      <w:marRight w:val="0"/>
                      <w:marTop w:val="0"/>
                      <w:marBottom w:val="0"/>
                      <w:divBdr>
                        <w:top w:val="none" w:sz="0" w:space="0" w:color="auto"/>
                        <w:left w:val="none" w:sz="0" w:space="0" w:color="auto"/>
                        <w:bottom w:val="none" w:sz="0" w:space="0" w:color="auto"/>
                        <w:right w:val="none" w:sz="0" w:space="0" w:color="auto"/>
                      </w:divBdr>
                    </w:div>
                  </w:divsChild>
                </w:div>
                <w:div w:id="617642674">
                  <w:marLeft w:val="0"/>
                  <w:marRight w:val="0"/>
                  <w:marTop w:val="0"/>
                  <w:marBottom w:val="0"/>
                  <w:divBdr>
                    <w:top w:val="none" w:sz="0" w:space="0" w:color="auto"/>
                    <w:left w:val="none" w:sz="0" w:space="0" w:color="auto"/>
                    <w:bottom w:val="none" w:sz="0" w:space="0" w:color="auto"/>
                    <w:right w:val="none" w:sz="0" w:space="0" w:color="auto"/>
                  </w:divBdr>
                  <w:divsChild>
                    <w:div w:id="1507328485">
                      <w:marLeft w:val="0"/>
                      <w:marRight w:val="0"/>
                      <w:marTop w:val="0"/>
                      <w:marBottom w:val="0"/>
                      <w:divBdr>
                        <w:top w:val="none" w:sz="0" w:space="0" w:color="auto"/>
                        <w:left w:val="none" w:sz="0" w:space="0" w:color="auto"/>
                        <w:bottom w:val="none" w:sz="0" w:space="0" w:color="auto"/>
                        <w:right w:val="none" w:sz="0" w:space="0" w:color="auto"/>
                      </w:divBdr>
                    </w:div>
                  </w:divsChild>
                </w:div>
                <w:div w:id="629093249">
                  <w:marLeft w:val="0"/>
                  <w:marRight w:val="0"/>
                  <w:marTop w:val="0"/>
                  <w:marBottom w:val="0"/>
                  <w:divBdr>
                    <w:top w:val="none" w:sz="0" w:space="0" w:color="auto"/>
                    <w:left w:val="none" w:sz="0" w:space="0" w:color="auto"/>
                    <w:bottom w:val="none" w:sz="0" w:space="0" w:color="auto"/>
                    <w:right w:val="none" w:sz="0" w:space="0" w:color="auto"/>
                  </w:divBdr>
                  <w:divsChild>
                    <w:div w:id="1726828484">
                      <w:marLeft w:val="0"/>
                      <w:marRight w:val="0"/>
                      <w:marTop w:val="0"/>
                      <w:marBottom w:val="0"/>
                      <w:divBdr>
                        <w:top w:val="none" w:sz="0" w:space="0" w:color="auto"/>
                        <w:left w:val="none" w:sz="0" w:space="0" w:color="auto"/>
                        <w:bottom w:val="none" w:sz="0" w:space="0" w:color="auto"/>
                        <w:right w:val="none" w:sz="0" w:space="0" w:color="auto"/>
                      </w:divBdr>
                    </w:div>
                  </w:divsChild>
                </w:div>
                <w:div w:id="643389219">
                  <w:marLeft w:val="0"/>
                  <w:marRight w:val="0"/>
                  <w:marTop w:val="0"/>
                  <w:marBottom w:val="0"/>
                  <w:divBdr>
                    <w:top w:val="none" w:sz="0" w:space="0" w:color="auto"/>
                    <w:left w:val="none" w:sz="0" w:space="0" w:color="auto"/>
                    <w:bottom w:val="none" w:sz="0" w:space="0" w:color="auto"/>
                    <w:right w:val="none" w:sz="0" w:space="0" w:color="auto"/>
                  </w:divBdr>
                  <w:divsChild>
                    <w:div w:id="1418134706">
                      <w:marLeft w:val="0"/>
                      <w:marRight w:val="0"/>
                      <w:marTop w:val="0"/>
                      <w:marBottom w:val="0"/>
                      <w:divBdr>
                        <w:top w:val="none" w:sz="0" w:space="0" w:color="auto"/>
                        <w:left w:val="none" w:sz="0" w:space="0" w:color="auto"/>
                        <w:bottom w:val="none" w:sz="0" w:space="0" w:color="auto"/>
                        <w:right w:val="none" w:sz="0" w:space="0" w:color="auto"/>
                      </w:divBdr>
                    </w:div>
                  </w:divsChild>
                </w:div>
                <w:div w:id="657458906">
                  <w:marLeft w:val="0"/>
                  <w:marRight w:val="0"/>
                  <w:marTop w:val="0"/>
                  <w:marBottom w:val="0"/>
                  <w:divBdr>
                    <w:top w:val="none" w:sz="0" w:space="0" w:color="auto"/>
                    <w:left w:val="none" w:sz="0" w:space="0" w:color="auto"/>
                    <w:bottom w:val="none" w:sz="0" w:space="0" w:color="auto"/>
                    <w:right w:val="none" w:sz="0" w:space="0" w:color="auto"/>
                  </w:divBdr>
                  <w:divsChild>
                    <w:div w:id="442269029">
                      <w:marLeft w:val="0"/>
                      <w:marRight w:val="0"/>
                      <w:marTop w:val="0"/>
                      <w:marBottom w:val="0"/>
                      <w:divBdr>
                        <w:top w:val="none" w:sz="0" w:space="0" w:color="auto"/>
                        <w:left w:val="none" w:sz="0" w:space="0" w:color="auto"/>
                        <w:bottom w:val="none" w:sz="0" w:space="0" w:color="auto"/>
                        <w:right w:val="none" w:sz="0" w:space="0" w:color="auto"/>
                      </w:divBdr>
                    </w:div>
                  </w:divsChild>
                </w:div>
                <w:div w:id="658534087">
                  <w:marLeft w:val="0"/>
                  <w:marRight w:val="0"/>
                  <w:marTop w:val="0"/>
                  <w:marBottom w:val="0"/>
                  <w:divBdr>
                    <w:top w:val="none" w:sz="0" w:space="0" w:color="auto"/>
                    <w:left w:val="none" w:sz="0" w:space="0" w:color="auto"/>
                    <w:bottom w:val="none" w:sz="0" w:space="0" w:color="auto"/>
                    <w:right w:val="none" w:sz="0" w:space="0" w:color="auto"/>
                  </w:divBdr>
                  <w:divsChild>
                    <w:div w:id="822237685">
                      <w:marLeft w:val="0"/>
                      <w:marRight w:val="0"/>
                      <w:marTop w:val="0"/>
                      <w:marBottom w:val="0"/>
                      <w:divBdr>
                        <w:top w:val="none" w:sz="0" w:space="0" w:color="auto"/>
                        <w:left w:val="none" w:sz="0" w:space="0" w:color="auto"/>
                        <w:bottom w:val="none" w:sz="0" w:space="0" w:color="auto"/>
                        <w:right w:val="none" w:sz="0" w:space="0" w:color="auto"/>
                      </w:divBdr>
                    </w:div>
                  </w:divsChild>
                </w:div>
                <w:div w:id="669721000">
                  <w:marLeft w:val="0"/>
                  <w:marRight w:val="0"/>
                  <w:marTop w:val="0"/>
                  <w:marBottom w:val="0"/>
                  <w:divBdr>
                    <w:top w:val="none" w:sz="0" w:space="0" w:color="auto"/>
                    <w:left w:val="none" w:sz="0" w:space="0" w:color="auto"/>
                    <w:bottom w:val="none" w:sz="0" w:space="0" w:color="auto"/>
                    <w:right w:val="none" w:sz="0" w:space="0" w:color="auto"/>
                  </w:divBdr>
                  <w:divsChild>
                    <w:div w:id="311837398">
                      <w:marLeft w:val="0"/>
                      <w:marRight w:val="0"/>
                      <w:marTop w:val="0"/>
                      <w:marBottom w:val="0"/>
                      <w:divBdr>
                        <w:top w:val="none" w:sz="0" w:space="0" w:color="auto"/>
                        <w:left w:val="none" w:sz="0" w:space="0" w:color="auto"/>
                        <w:bottom w:val="none" w:sz="0" w:space="0" w:color="auto"/>
                        <w:right w:val="none" w:sz="0" w:space="0" w:color="auto"/>
                      </w:divBdr>
                    </w:div>
                  </w:divsChild>
                </w:div>
                <w:div w:id="687949055">
                  <w:marLeft w:val="0"/>
                  <w:marRight w:val="0"/>
                  <w:marTop w:val="0"/>
                  <w:marBottom w:val="0"/>
                  <w:divBdr>
                    <w:top w:val="none" w:sz="0" w:space="0" w:color="auto"/>
                    <w:left w:val="none" w:sz="0" w:space="0" w:color="auto"/>
                    <w:bottom w:val="none" w:sz="0" w:space="0" w:color="auto"/>
                    <w:right w:val="none" w:sz="0" w:space="0" w:color="auto"/>
                  </w:divBdr>
                  <w:divsChild>
                    <w:div w:id="440497321">
                      <w:marLeft w:val="0"/>
                      <w:marRight w:val="0"/>
                      <w:marTop w:val="0"/>
                      <w:marBottom w:val="0"/>
                      <w:divBdr>
                        <w:top w:val="none" w:sz="0" w:space="0" w:color="auto"/>
                        <w:left w:val="none" w:sz="0" w:space="0" w:color="auto"/>
                        <w:bottom w:val="none" w:sz="0" w:space="0" w:color="auto"/>
                        <w:right w:val="none" w:sz="0" w:space="0" w:color="auto"/>
                      </w:divBdr>
                    </w:div>
                  </w:divsChild>
                </w:div>
                <w:div w:id="698169828">
                  <w:marLeft w:val="0"/>
                  <w:marRight w:val="0"/>
                  <w:marTop w:val="0"/>
                  <w:marBottom w:val="0"/>
                  <w:divBdr>
                    <w:top w:val="none" w:sz="0" w:space="0" w:color="auto"/>
                    <w:left w:val="none" w:sz="0" w:space="0" w:color="auto"/>
                    <w:bottom w:val="none" w:sz="0" w:space="0" w:color="auto"/>
                    <w:right w:val="none" w:sz="0" w:space="0" w:color="auto"/>
                  </w:divBdr>
                  <w:divsChild>
                    <w:div w:id="1774934030">
                      <w:marLeft w:val="0"/>
                      <w:marRight w:val="0"/>
                      <w:marTop w:val="0"/>
                      <w:marBottom w:val="0"/>
                      <w:divBdr>
                        <w:top w:val="none" w:sz="0" w:space="0" w:color="auto"/>
                        <w:left w:val="none" w:sz="0" w:space="0" w:color="auto"/>
                        <w:bottom w:val="none" w:sz="0" w:space="0" w:color="auto"/>
                        <w:right w:val="none" w:sz="0" w:space="0" w:color="auto"/>
                      </w:divBdr>
                    </w:div>
                  </w:divsChild>
                </w:div>
                <w:div w:id="739789183">
                  <w:marLeft w:val="0"/>
                  <w:marRight w:val="0"/>
                  <w:marTop w:val="0"/>
                  <w:marBottom w:val="0"/>
                  <w:divBdr>
                    <w:top w:val="none" w:sz="0" w:space="0" w:color="auto"/>
                    <w:left w:val="none" w:sz="0" w:space="0" w:color="auto"/>
                    <w:bottom w:val="none" w:sz="0" w:space="0" w:color="auto"/>
                    <w:right w:val="none" w:sz="0" w:space="0" w:color="auto"/>
                  </w:divBdr>
                  <w:divsChild>
                    <w:div w:id="1548100001">
                      <w:marLeft w:val="0"/>
                      <w:marRight w:val="0"/>
                      <w:marTop w:val="0"/>
                      <w:marBottom w:val="0"/>
                      <w:divBdr>
                        <w:top w:val="none" w:sz="0" w:space="0" w:color="auto"/>
                        <w:left w:val="none" w:sz="0" w:space="0" w:color="auto"/>
                        <w:bottom w:val="none" w:sz="0" w:space="0" w:color="auto"/>
                        <w:right w:val="none" w:sz="0" w:space="0" w:color="auto"/>
                      </w:divBdr>
                    </w:div>
                  </w:divsChild>
                </w:div>
                <w:div w:id="750081484">
                  <w:marLeft w:val="0"/>
                  <w:marRight w:val="0"/>
                  <w:marTop w:val="0"/>
                  <w:marBottom w:val="0"/>
                  <w:divBdr>
                    <w:top w:val="none" w:sz="0" w:space="0" w:color="auto"/>
                    <w:left w:val="none" w:sz="0" w:space="0" w:color="auto"/>
                    <w:bottom w:val="none" w:sz="0" w:space="0" w:color="auto"/>
                    <w:right w:val="none" w:sz="0" w:space="0" w:color="auto"/>
                  </w:divBdr>
                  <w:divsChild>
                    <w:div w:id="1638294146">
                      <w:marLeft w:val="0"/>
                      <w:marRight w:val="0"/>
                      <w:marTop w:val="0"/>
                      <w:marBottom w:val="0"/>
                      <w:divBdr>
                        <w:top w:val="none" w:sz="0" w:space="0" w:color="auto"/>
                        <w:left w:val="none" w:sz="0" w:space="0" w:color="auto"/>
                        <w:bottom w:val="none" w:sz="0" w:space="0" w:color="auto"/>
                        <w:right w:val="none" w:sz="0" w:space="0" w:color="auto"/>
                      </w:divBdr>
                    </w:div>
                  </w:divsChild>
                </w:div>
                <w:div w:id="762067083">
                  <w:marLeft w:val="0"/>
                  <w:marRight w:val="0"/>
                  <w:marTop w:val="0"/>
                  <w:marBottom w:val="0"/>
                  <w:divBdr>
                    <w:top w:val="none" w:sz="0" w:space="0" w:color="auto"/>
                    <w:left w:val="none" w:sz="0" w:space="0" w:color="auto"/>
                    <w:bottom w:val="none" w:sz="0" w:space="0" w:color="auto"/>
                    <w:right w:val="none" w:sz="0" w:space="0" w:color="auto"/>
                  </w:divBdr>
                  <w:divsChild>
                    <w:div w:id="1834759143">
                      <w:marLeft w:val="0"/>
                      <w:marRight w:val="0"/>
                      <w:marTop w:val="0"/>
                      <w:marBottom w:val="0"/>
                      <w:divBdr>
                        <w:top w:val="none" w:sz="0" w:space="0" w:color="auto"/>
                        <w:left w:val="none" w:sz="0" w:space="0" w:color="auto"/>
                        <w:bottom w:val="none" w:sz="0" w:space="0" w:color="auto"/>
                        <w:right w:val="none" w:sz="0" w:space="0" w:color="auto"/>
                      </w:divBdr>
                    </w:div>
                  </w:divsChild>
                </w:div>
                <w:div w:id="773280987">
                  <w:marLeft w:val="0"/>
                  <w:marRight w:val="0"/>
                  <w:marTop w:val="0"/>
                  <w:marBottom w:val="0"/>
                  <w:divBdr>
                    <w:top w:val="none" w:sz="0" w:space="0" w:color="auto"/>
                    <w:left w:val="none" w:sz="0" w:space="0" w:color="auto"/>
                    <w:bottom w:val="none" w:sz="0" w:space="0" w:color="auto"/>
                    <w:right w:val="none" w:sz="0" w:space="0" w:color="auto"/>
                  </w:divBdr>
                  <w:divsChild>
                    <w:div w:id="286083168">
                      <w:marLeft w:val="0"/>
                      <w:marRight w:val="0"/>
                      <w:marTop w:val="0"/>
                      <w:marBottom w:val="0"/>
                      <w:divBdr>
                        <w:top w:val="none" w:sz="0" w:space="0" w:color="auto"/>
                        <w:left w:val="none" w:sz="0" w:space="0" w:color="auto"/>
                        <w:bottom w:val="none" w:sz="0" w:space="0" w:color="auto"/>
                        <w:right w:val="none" w:sz="0" w:space="0" w:color="auto"/>
                      </w:divBdr>
                    </w:div>
                  </w:divsChild>
                </w:div>
                <w:div w:id="819466219">
                  <w:marLeft w:val="0"/>
                  <w:marRight w:val="0"/>
                  <w:marTop w:val="0"/>
                  <w:marBottom w:val="0"/>
                  <w:divBdr>
                    <w:top w:val="none" w:sz="0" w:space="0" w:color="auto"/>
                    <w:left w:val="none" w:sz="0" w:space="0" w:color="auto"/>
                    <w:bottom w:val="none" w:sz="0" w:space="0" w:color="auto"/>
                    <w:right w:val="none" w:sz="0" w:space="0" w:color="auto"/>
                  </w:divBdr>
                  <w:divsChild>
                    <w:div w:id="921377331">
                      <w:marLeft w:val="0"/>
                      <w:marRight w:val="0"/>
                      <w:marTop w:val="0"/>
                      <w:marBottom w:val="0"/>
                      <w:divBdr>
                        <w:top w:val="none" w:sz="0" w:space="0" w:color="auto"/>
                        <w:left w:val="none" w:sz="0" w:space="0" w:color="auto"/>
                        <w:bottom w:val="none" w:sz="0" w:space="0" w:color="auto"/>
                        <w:right w:val="none" w:sz="0" w:space="0" w:color="auto"/>
                      </w:divBdr>
                    </w:div>
                  </w:divsChild>
                </w:div>
                <w:div w:id="832331029">
                  <w:marLeft w:val="0"/>
                  <w:marRight w:val="0"/>
                  <w:marTop w:val="0"/>
                  <w:marBottom w:val="0"/>
                  <w:divBdr>
                    <w:top w:val="none" w:sz="0" w:space="0" w:color="auto"/>
                    <w:left w:val="none" w:sz="0" w:space="0" w:color="auto"/>
                    <w:bottom w:val="none" w:sz="0" w:space="0" w:color="auto"/>
                    <w:right w:val="none" w:sz="0" w:space="0" w:color="auto"/>
                  </w:divBdr>
                  <w:divsChild>
                    <w:div w:id="2111510271">
                      <w:marLeft w:val="0"/>
                      <w:marRight w:val="0"/>
                      <w:marTop w:val="0"/>
                      <w:marBottom w:val="0"/>
                      <w:divBdr>
                        <w:top w:val="none" w:sz="0" w:space="0" w:color="auto"/>
                        <w:left w:val="none" w:sz="0" w:space="0" w:color="auto"/>
                        <w:bottom w:val="none" w:sz="0" w:space="0" w:color="auto"/>
                        <w:right w:val="none" w:sz="0" w:space="0" w:color="auto"/>
                      </w:divBdr>
                    </w:div>
                  </w:divsChild>
                </w:div>
                <w:div w:id="849100029">
                  <w:marLeft w:val="0"/>
                  <w:marRight w:val="0"/>
                  <w:marTop w:val="0"/>
                  <w:marBottom w:val="0"/>
                  <w:divBdr>
                    <w:top w:val="none" w:sz="0" w:space="0" w:color="auto"/>
                    <w:left w:val="none" w:sz="0" w:space="0" w:color="auto"/>
                    <w:bottom w:val="none" w:sz="0" w:space="0" w:color="auto"/>
                    <w:right w:val="none" w:sz="0" w:space="0" w:color="auto"/>
                  </w:divBdr>
                  <w:divsChild>
                    <w:div w:id="1531145452">
                      <w:marLeft w:val="0"/>
                      <w:marRight w:val="0"/>
                      <w:marTop w:val="0"/>
                      <w:marBottom w:val="0"/>
                      <w:divBdr>
                        <w:top w:val="none" w:sz="0" w:space="0" w:color="auto"/>
                        <w:left w:val="none" w:sz="0" w:space="0" w:color="auto"/>
                        <w:bottom w:val="none" w:sz="0" w:space="0" w:color="auto"/>
                        <w:right w:val="none" w:sz="0" w:space="0" w:color="auto"/>
                      </w:divBdr>
                    </w:div>
                  </w:divsChild>
                </w:div>
                <w:div w:id="854226396">
                  <w:marLeft w:val="0"/>
                  <w:marRight w:val="0"/>
                  <w:marTop w:val="0"/>
                  <w:marBottom w:val="0"/>
                  <w:divBdr>
                    <w:top w:val="none" w:sz="0" w:space="0" w:color="auto"/>
                    <w:left w:val="none" w:sz="0" w:space="0" w:color="auto"/>
                    <w:bottom w:val="none" w:sz="0" w:space="0" w:color="auto"/>
                    <w:right w:val="none" w:sz="0" w:space="0" w:color="auto"/>
                  </w:divBdr>
                  <w:divsChild>
                    <w:div w:id="1970358789">
                      <w:marLeft w:val="0"/>
                      <w:marRight w:val="0"/>
                      <w:marTop w:val="0"/>
                      <w:marBottom w:val="0"/>
                      <w:divBdr>
                        <w:top w:val="none" w:sz="0" w:space="0" w:color="auto"/>
                        <w:left w:val="none" w:sz="0" w:space="0" w:color="auto"/>
                        <w:bottom w:val="none" w:sz="0" w:space="0" w:color="auto"/>
                        <w:right w:val="none" w:sz="0" w:space="0" w:color="auto"/>
                      </w:divBdr>
                    </w:div>
                  </w:divsChild>
                </w:div>
                <w:div w:id="868956535">
                  <w:marLeft w:val="0"/>
                  <w:marRight w:val="0"/>
                  <w:marTop w:val="0"/>
                  <w:marBottom w:val="0"/>
                  <w:divBdr>
                    <w:top w:val="none" w:sz="0" w:space="0" w:color="auto"/>
                    <w:left w:val="none" w:sz="0" w:space="0" w:color="auto"/>
                    <w:bottom w:val="none" w:sz="0" w:space="0" w:color="auto"/>
                    <w:right w:val="none" w:sz="0" w:space="0" w:color="auto"/>
                  </w:divBdr>
                  <w:divsChild>
                    <w:div w:id="1828278736">
                      <w:marLeft w:val="0"/>
                      <w:marRight w:val="0"/>
                      <w:marTop w:val="0"/>
                      <w:marBottom w:val="0"/>
                      <w:divBdr>
                        <w:top w:val="none" w:sz="0" w:space="0" w:color="auto"/>
                        <w:left w:val="none" w:sz="0" w:space="0" w:color="auto"/>
                        <w:bottom w:val="none" w:sz="0" w:space="0" w:color="auto"/>
                        <w:right w:val="none" w:sz="0" w:space="0" w:color="auto"/>
                      </w:divBdr>
                    </w:div>
                  </w:divsChild>
                </w:div>
                <w:div w:id="874926099">
                  <w:marLeft w:val="0"/>
                  <w:marRight w:val="0"/>
                  <w:marTop w:val="0"/>
                  <w:marBottom w:val="0"/>
                  <w:divBdr>
                    <w:top w:val="none" w:sz="0" w:space="0" w:color="auto"/>
                    <w:left w:val="none" w:sz="0" w:space="0" w:color="auto"/>
                    <w:bottom w:val="none" w:sz="0" w:space="0" w:color="auto"/>
                    <w:right w:val="none" w:sz="0" w:space="0" w:color="auto"/>
                  </w:divBdr>
                  <w:divsChild>
                    <w:div w:id="2136173897">
                      <w:marLeft w:val="0"/>
                      <w:marRight w:val="0"/>
                      <w:marTop w:val="0"/>
                      <w:marBottom w:val="0"/>
                      <w:divBdr>
                        <w:top w:val="none" w:sz="0" w:space="0" w:color="auto"/>
                        <w:left w:val="none" w:sz="0" w:space="0" w:color="auto"/>
                        <w:bottom w:val="none" w:sz="0" w:space="0" w:color="auto"/>
                        <w:right w:val="none" w:sz="0" w:space="0" w:color="auto"/>
                      </w:divBdr>
                    </w:div>
                  </w:divsChild>
                </w:div>
                <w:div w:id="877670833">
                  <w:marLeft w:val="0"/>
                  <w:marRight w:val="0"/>
                  <w:marTop w:val="0"/>
                  <w:marBottom w:val="0"/>
                  <w:divBdr>
                    <w:top w:val="none" w:sz="0" w:space="0" w:color="auto"/>
                    <w:left w:val="none" w:sz="0" w:space="0" w:color="auto"/>
                    <w:bottom w:val="none" w:sz="0" w:space="0" w:color="auto"/>
                    <w:right w:val="none" w:sz="0" w:space="0" w:color="auto"/>
                  </w:divBdr>
                  <w:divsChild>
                    <w:div w:id="1461849133">
                      <w:marLeft w:val="0"/>
                      <w:marRight w:val="0"/>
                      <w:marTop w:val="0"/>
                      <w:marBottom w:val="0"/>
                      <w:divBdr>
                        <w:top w:val="none" w:sz="0" w:space="0" w:color="auto"/>
                        <w:left w:val="none" w:sz="0" w:space="0" w:color="auto"/>
                        <w:bottom w:val="none" w:sz="0" w:space="0" w:color="auto"/>
                        <w:right w:val="none" w:sz="0" w:space="0" w:color="auto"/>
                      </w:divBdr>
                    </w:div>
                  </w:divsChild>
                </w:div>
                <w:div w:id="879635497">
                  <w:marLeft w:val="0"/>
                  <w:marRight w:val="0"/>
                  <w:marTop w:val="0"/>
                  <w:marBottom w:val="0"/>
                  <w:divBdr>
                    <w:top w:val="none" w:sz="0" w:space="0" w:color="auto"/>
                    <w:left w:val="none" w:sz="0" w:space="0" w:color="auto"/>
                    <w:bottom w:val="none" w:sz="0" w:space="0" w:color="auto"/>
                    <w:right w:val="none" w:sz="0" w:space="0" w:color="auto"/>
                  </w:divBdr>
                  <w:divsChild>
                    <w:div w:id="180701871">
                      <w:marLeft w:val="0"/>
                      <w:marRight w:val="0"/>
                      <w:marTop w:val="0"/>
                      <w:marBottom w:val="0"/>
                      <w:divBdr>
                        <w:top w:val="none" w:sz="0" w:space="0" w:color="auto"/>
                        <w:left w:val="none" w:sz="0" w:space="0" w:color="auto"/>
                        <w:bottom w:val="none" w:sz="0" w:space="0" w:color="auto"/>
                        <w:right w:val="none" w:sz="0" w:space="0" w:color="auto"/>
                      </w:divBdr>
                    </w:div>
                  </w:divsChild>
                </w:div>
                <w:div w:id="883904491">
                  <w:marLeft w:val="0"/>
                  <w:marRight w:val="0"/>
                  <w:marTop w:val="0"/>
                  <w:marBottom w:val="0"/>
                  <w:divBdr>
                    <w:top w:val="none" w:sz="0" w:space="0" w:color="auto"/>
                    <w:left w:val="none" w:sz="0" w:space="0" w:color="auto"/>
                    <w:bottom w:val="none" w:sz="0" w:space="0" w:color="auto"/>
                    <w:right w:val="none" w:sz="0" w:space="0" w:color="auto"/>
                  </w:divBdr>
                  <w:divsChild>
                    <w:div w:id="197858707">
                      <w:marLeft w:val="0"/>
                      <w:marRight w:val="0"/>
                      <w:marTop w:val="0"/>
                      <w:marBottom w:val="0"/>
                      <w:divBdr>
                        <w:top w:val="none" w:sz="0" w:space="0" w:color="auto"/>
                        <w:left w:val="none" w:sz="0" w:space="0" w:color="auto"/>
                        <w:bottom w:val="none" w:sz="0" w:space="0" w:color="auto"/>
                        <w:right w:val="none" w:sz="0" w:space="0" w:color="auto"/>
                      </w:divBdr>
                    </w:div>
                  </w:divsChild>
                </w:div>
                <w:div w:id="906646760">
                  <w:marLeft w:val="0"/>
                  <w:marRight w:val="0"/>
                  <w:marTop w:val="0"/>
                  <w:marBottom w:val="0"/>
                  <w:divBdr>
                    <w:top w:val="none" w:sz="0" w:space="0" w:color="auto"/>
                    <w:left w:val="none" w:sz="0" w:space="0" w:color="auto"/>
                    <w:bottom w:val="none" w:sz="0" w:space="0" w:color="auto"/>
                    <w:right w:val="none" w:sz="0" w:space="0" w:color="auto"/>
                  </w:divBdr>
                  <w:divsChild>
                    <w:div w:id="1891307899">
                      <w:marLeft w:val="0"/>
                      <w:marRight w:val="0"/>
                      <w:marTop w:val="0"/>
                      <w:marBottom w:val="0"/>
                      <w:divBdr>
                        <w:top w:val="none" w:sz="0" w:space="0" w:color="auto"/>
                        <w:left w:val="none" w:sz="0" w:space="0" w:color="auto"/>
                        <w:bottom w:val="none" w:sz="0" w:space="0" w:color="auto"/>
                        <w:right w:val="none" w:sz="0" w:space="0" w:color="auto"/>
                      </w:divBdr>
                    </w:div>
                  </w:divsChild>
                </w:div>
                <w:div w:id="909921400">
                  <w:marLeft w:val="0"/>
                  <w:marRight w:val="0"/>
                  <w:marTop w:val="0"/>
                  <w:marBottom w:val="0"/>
                  <w:divBdr>
                    <w:top w:val="none" w:sz="0" w:space="0" w:color="auto"/>
                    <w:left w:val="none" w:sz="0" w:space="0" w:color="auto"/>
                    <w:bottom w:val="none" w:sz="0" w:space="0" w:color="auto"/>
                    <w:right w:val="none" w:sz="0" w:space="0" w:color="auto"/>
                  </w:divBdr>
                  <w:divsChild>
                    <w:div w:id="1197963257">
                      <w:marLeft w:val="0"/>
                      <w:marRight w:val="0"/>
                      <w:marTop w:val="0"/>
                      <w:marBottom w:val="0"/>
                      <w:divBdr>
                        <w:top w:val="none" w:sz="0" w:space="0" w:color="auto"/>
                        <w:left w:val="none" w:sz="0" w:space="0" w:color="auto"/>
                        <w:bottom w:val="none" w:sz="0" w:space="0" w:color="auto"/>
                        <w:right w:val="none" w:sz="0" w:space="0" w:color="auto"/>
                      </w:divBdr>
                    </w:div>
                  </w:divsChild>
                </w:div>
                <w:div w:id="923878088">
                  <w:marLeft w:val="0"/>
                  <w:marRight w:val="0"/>
                  <w:marTop w:val="0"/>
                  <w:marBottom w:val="0"/>
                  <w:divBdr>
                    <w:top w:val="none" w:sz="0" w:space="0" w:color="auto"/>
                    <w:left w:val="none" w:sz="0" w:space="0" w:color="auto"/>
                    <w:bottom w:val="none" w:sz="0" w:space="0" w:color="auto"/>
                    <w:right w:val="none" w:sz="0" w:space="0" w:color="auto"/>
                  </w:divBdr>
                  <w:divsChild>
                    <w:div w:id="921449530">
                      <w:marLeft w:val="0"/>
                      <w:marRight w:val="0"/>
                      <w:marTop w:val="0"/>
                      <w:marBottom w:val="0"/>
                      <w:divBdr>
                        <w:top w:val="none" w:sz="0" w:space="0" w:color="auto"/>
                        <w:left w:val="none" w:sz="0" w:space="0" w:color="auto"/>
                        <w:bottom w:val="none" w:sz="0" w:space="0" w:color="auto"/>
                        <w:right w:val="none" w:sz="0" w:space="0" w:color="auto"/>
                      </w:divBdr>
                    </w:div>
                  </w:divsChild>
                </w:div>
                <w:div w:id="932127262">
                  <w:marLeft w:val="0"/>
                  <w:marRight w:val="0"/>
                  <w:marTop w:val="0"/>
                  <w:marBottom w:val="0"/>
                  <w:divBdr>
                    <w:top w:val="none" w:sz="0" w:space="0" w:color="auto"/>
                    <w:left w:val="none" w:sz="0" w:space="0" w:color="auto"/>
                    <w:bottom w:val="none" w:sz="0" w:space="0" w:color="auto"/>
                    <w:right w:val="none" w:sz="0" w:space="0" w:color="auto"/>
                  </w:divBdr>
                  <w:divsChild>
                    <w:div w:id="128329835">
                      <w:marLeft w:val="0"/>
                      <w:marRight w:val="0"/>
                      <w:marTop w:val="0"/>
                      <w:marBottom w:val="0"/>
                      <w:divBdr>
                        <w:top w:val="none" w:sz="0" w:space="0" w:color="auto"/>
                        <w:left w:val="none" w:sz="0" w:space="0" w:color="auto"/>
                        <w:bottom w:val="none" w:sz="0" w:space="0" w:color="auto"/>
                        <w:right w:val="none" w:sz="0" w:space="0" w:color="auto"/>
                      </w:divBdr>
                    </w:div>
                  </w:divsChild>
                </w:div>
                <w:div w:id="933897699">
                  <w:marLeft w:val="0"/>
                  <w:marRight w:val="0"/>
                  <w:marTop w:val="0"/>
                  <w:marBottom w:val="0"/>
                  <w:divBdr>
                    <w:top w:val="none" w:sz="0" w:space="0" w:color="auto"/>
                    <w:left w:val="none" w:sz="0" w:space="0" w:color="auto"/>
                    <w:bottom w:val="none" w:sz="0" w:space="0" w:color="auto"/>
                    <w:right w:val="none" w:sz="0" w:space="0" w:color="auto"/>
                  </w:divBdr>
                  <w:divsChild>
                    <w:div w:id="1484809394">
                      <w:marLeft w:val="0"/>
                      <w:marRight w:val="0"/>
                      <w:marTop w:val="0"/>
                      <w:marBottom w:val="0"/>
                      <w:divBdr>
                        <w:top w:val="none" w:sz="0" w:space="0" w:color="auto"/>
                        <w:left w:val="none" w:sz="0" w:space="0" w:color="auto"/>
                        <w:bottom w:val="none" w:sz="0" w:space="0" w:color="auto"/>
                        <w:right w:val="none" w:sz="0" w:space="0" w:color="auto"/>
                      </w:divBdr>
                    </w:div>
                  </w:divsChild>
                </w:div>
                <w:div w:id="956982781">
                  <w:marLeft w:val="0"/>
                  <w:marRight w:val="0"/>
                  <w:marTop w:val="0"/>
                  <w:marBottom w:val="0"/>
                  <w:divBdr>
                    <w:top w:val="none" w:sz="0" w:space="0" w:color="auto"/>
                    <w:left w:val="none" w:sz="0" w:space="0" w:color="auto"/>
                    <w:bottom w:val="none" w:sz="0" w:space="0" w:color="auto"/>
                    <w:right w:val="none" w:sz="0" w:space="0" w:color="auto"/>
                  </w:divBdr>
                  <w:divsChild>
                    <w:div w:id="1289051681">
                      <w:marLeft w:val="0"/>
                      <w:marRight w:val="0"/>
                      <w:marTop w:val="0"/>
                      <w:marBottom w:val="0"/>
                      <w:divBdr>
                        <w:top w:val="none" w:sz="0" w:space="0" w:color="auto"/>
                        <w:left w:val="none" w:sz="0" w:space="0" w:color="auto"/>
                        <w:bottom w:val="none" w:sz="0" w:space="0" w:color="auto"/>
                        <w:right w:val="none" w:sz="0" w:space="0" w:color="auto"/>
                      </w:divBdr>
                    </w:div>
                  </w:divsChild>
                </w:div>
                <w:div w:id="969895702">
                  <w:marLeft w:val="0"/>
                  <w:marRight w:val="0"/>
                  <w:marTop w:val="0"/>
                  <w:marBottom w:val="0"/>
                  <w:divBdr>
                    <w:top w:val="none" w:sz="0" w:space="0" w:color="auto"/>
                    <w:left w:val="none" w:sz="0" w:space="0" w:color="auto"/>
                    <w:bottom w:val="none" w:sz="0" w:space="0" w:color="auto"/>
                    <w:right w:val="none" w:sz="0" w:space="0" w:color="auto"/>
                  </w:divBdr>
                  <w:divsChild>
                    <w:div w:id="47849048">
                      <w:marLeft w:val="0"/>
                      <w:marRight w:val="0"/>
                      <w:marTop w:val="0"/>
                      <w:marBottom w:val="0"/>
                      <w:divBdr>
                        <w:top w:val="none" w:sz="0" w:space="0" w:color="auto"/>
                        <w:left w:val="none" w:sz="0" w:space="0" w:color="auto"/>
                        <w:bottom w:val="none" w:sz="0" w:space="0" w:color="auto"/>
                        <w:right w:val="none" w:sz="0" w:space="0" w:color="auto"/>
                      </w:divBdr>
                    </w:div>
                  </w:divsChild>
                </w:div>
                <w:div w:id="986587761">
                  <w:marLeft w:val="0"/>
                  <w:marRight w:val="0"/>
                  <w:marTop w:val="0"/>
                  <w:marBottom w:val="0"/>
                  <w:divBdr>
                    <w:top w:val="none" w:sz="0" w:space="0" w:color="auto"/>
                    <w:left w:val="none" w:sz="0" w:space="0" w:color="auto"/>
                    <w:bottom w:val="none" w:sz="0" w:space="0" w:color="auto"/>
                    <w:right w:val="none" w:sz="0" w:space="0" w:color="auto"/>
                  </w:divBdr>
                  <w:divsChild>
                    <w:div w:id="494224861">
                      <w:marLeft w:val="0"/>
                      <w:marRight w:val="0"/>
                      <w:marTop w:val="0"/>
                      <w:marBottom w:val="0"/>
                      <w:divBdr>
                        <w:top w:val="none" w:sz="0" w:space="0" w:color="auto"/>
                        <w:left w:val="none" w:sz="0" w:space="0" w:color="auto"/>
                        <w:bottom w:val="none" w:sz="0" w:space="0" w:color="auto"/>
                        <w:right w:val="none" w:sz="0" w:space="0" w:color="auto"/>
                      </w:divBdr>
                    </w:div>
                  </w:divsChild>
                </w:div>
                <w:div w:id="1042171152">
                  <w:marLeft w:val="0"/>
                  <w:marRight w:val="0"/>
                  <w:marTop w:val="0"/>
                  <w:marBottom w:val="0"/>
                  <w:divBdr>
                    <w:top w:val="none" w:sz="0" w:space="0" w:color="auto"/>
                    <w:left w:val="none" w:sz="0" w:space="0" w:color="auto"/>
                    <w:bottom w:val="none" w:sz="0" w:space="0" w:color="auto"/>
                    <w:right w:val="none" w:sz="0" w:space="0" w:color="auto"/>
                  </w:divBdr>
                  <w:divsChild>
                    <w:div w:id="1581868975">
                      <w:marLeft w:val="0"/>
                      <w:marRight w:val="0"/>
                      <w:marTop w:val="0"/>
                      <w:marBottom w:val="0"/>
                      <w:divBdr>
                        <w:top w:val="none" w:sz="0" w:space="0" w:color="auto"/>
                        <w:left w:val="none" w:sz="0" w:space="0" w:color="auto"/>
                        <w:bottom w:val="none" w:sz="0" w:space="0" w:color="auto"/>
                        <w:right w:val="none" w:sz="0" w:space="0" w:color="auto"/>
                      </w:divBdr>
                    </w:div>
                  </w:divsChild>
                </w:div>
                <w:div w:id="1045639703">
                  <w:marLeft w:val="0"/>
                  <w:marRight w:val="0"/>
                  <w:marTop w:val="0"/>
                  <w:marBottom w:val="0"/>
                  <w:divBdr>
                    <w:top w:val="none" w:sz="0" w:space="0" w:color="auto"/>
                    <w:left w:val="none" w:sz="0" w:space="0" w:color="auto"/>
                    <w:bottom w:val="none" w:sz="0" w:space="0" w:color="auto"/>
                    <w:right w:val="none" w:sz="0" w:space="0" w:color="auto"/>
                  </w:divBdr>
                  <w:divsChild>
                    <w:div w:id="215625860">
                      <w:marLeft w:val="0"/>
                      <w:marRight w:val="0"/>
                      <w:marTop w:val="0"/>
                      <w:marBottom w:val="0"/>
                      <w:divBdr>
                        <w:top w:val="none" w:sz="0" w:space="0" w:color="auto"/>
                        <w:left w:val="none" w:sz="0" w:space="0" w:color="auto"/>
                        <w:bottom w:val="none" w:sz="0" w:space="0" w:color="auto"/>
                        <w:right w:val="none" w:sz="0" w:space="0" w:color="auto"/>
                      </w:divBdr>
                    </w:div>
                  </w:divsChild>
                </w:div>
                <w:div w:id="1050298892">
                  <w:marLeft w:val="0"/>
                  <w:marRight w:val="0"/>
                  <w:marTop w:val="0"/>
                  <w:marBottom w:val="0"/>
                  <w:divBdr>
                    <w:top w:val="none" w:sz="0" w:space="0" w:color="auto"/>
                    <w:left w:val="none" w:sz="0" w:space="0" w:color="auto"/>
                    <w:bottom w:val="none" w:sz="0" w:space="0" w:color="auto"/>
                    <w:right w:val="none" w:sz="0" w:space="0" w:color="auto"/>
                  </w:divBdr>
                  <w:divsChild>
                    <w:div w:id="733967243">
                      <w:marLeft w:val="0"/>
                      <w:marRight w:val="0"/>
                      <w:marTop w:val="0"/>
                      <w:marBottom w:val="0"/>
                      <w:divBdr>
                        <w:top w:val="none" w:sz="0" w:space="0" w:color="auto"/>
                        <w:left w:val="none" w:sz="0" w:space="0" w:color="auto"/>
                        <w:bottom w:val="none" w:sz="0" w:space="0" w:color="auto"/>
                        <w:right w:val="none" w:sz="0" w:space="0" w:color="auto"/>
                      </w:divBdr>
                    </w:div>
                  </w:divsChild>
                </w:div>
                <w:div w:id="1051224802">
                  <w:marLeft w:val="0"/>
                  <w:marRight w:val="0"/>
                  <w:marTop w:val="0"/>
                  <w:marBottom w:val="0"/>
                  <w:divBdr>
                    <w:top w:val="none" w:sz="0" w:space="0" w:color="auto"/>
                    <w:left w:val="none" w:sz="0" w:space="0" w:color="auto"/>
                    <w:bottom w:val="none" w:sz="0" w:space="0" w:color="auto"/>
                    <w:right w:val="none" w:sz="0" w:space="0" w:color="auto"/>
                  </w:divBdr>
                  <w:divsChild>
                    <w:div w:id="995840100">
                      <w:marLeft w:val="0"/>
                      <w:marRight w:val="0"/>
                      <w:marTop w:val="0"/>
                      <w:marBottom w:val="0"/>
                      <w:divBdr>
                        <w:top w:val="none" w:sz="0" w:space="0" w:color="auto"/>
                        <w:left w:val="none" w:sz="0" w:space="0" w:color="auto"/>
                        <w:bottom w:val="none" w:sz="0" w:space="0" w:color="auto"/>
                        <w:right w:val="none" w:sz="0" w:space="0" w:color="auto"/>
                      </w:divBdr>
                    </w:div>
                  </w:divsChild>
                </w:div>
                <w:div w:id="1089041897">
                  <w:marLeft w:val="0"/>
                  <w:marRight w:val="0"/>
                  <w:marTop w:val="0"/>
                  <w:marBottom w:val="0"/>
                  <w:divBdr>
                    <w:top w:val="none" w:sz="0" w:space="0" w:color="auto"/>
                    <w:left w:val="none" w:sz="0" w:space="0" w:color="auto"/>
                    <w:bottom w:val="none" w:sz="0" w:space="0" w:color="auto"/>
                    <w:right w:val="none" w:sz="0" w:space="0" w:color="auto"/>
                  </w:divBdr>
                  <w:divsChild>
                    <w:div w:id="1635793599">
                      <w:marLeft w:val="0"/>
                      <w:marRight w:val="0"/>
                      <w:marTop w:val="0"/>
                      <w:marBottom w:val="0"/>
                      <w:divBdr>
                        <w:top w:val="none" w:sz="0" w:space="0" w:color="auto"/>
                        <w:left w:val="none" w:sz="0" w:space="0" w:color="auto"/>
                        <w:bottom w:val="none" w:sz="0" w:space="0" w:color="auto"/>
                        <w:right w:val="none" w:sz="0" w:space="0" w:color="auto"/>
                      </w:divBdr>
                    </w:div>
                  </w:divsChild>
                </w:div>
                <w:div w:id="1092556282">
                  <w:marLeft w:val="0"/>
                  <w:marRight w:val="0"/>
                  <w:marTop w:val="0"/>
                  <w:marBottom w:val="0"/>
                  <w:divBdr>
                    <w:top w:val="none" w:sz="0" w:space="0" w:color="auto"/>
                    <w:left w:val="none" w:sz="0" w:space="0" w:color="auto"/>
                    <w:bottom w:val="none" w:sz="0" w:space="0" w:color="auto"/>
                    <w:right w:val="none" w:sz="0" w:space="0" w:color="auto"/>
                  </w:divBdr>
                  <w:divsChild>
                    <w:div w:id="320349438">
                      <w:marLeft w:val="0"/>
                      <w:marRight w:val="0"/>
                      <w:marTop w:val="0"/>
                      <w:marBottom w:val="0"/>
                      <w:divBdr>
                        <w:top w:val="none" w:sz="0" w:space="0" w:color="auto"/>
                        <w:left w:val="none" w:sz="0" w:space="0" w:color="auto"/>
                        <w:bottom w:val="none" w:sz="0" w:space="0" w:color="auto"/>
                        <w:right w:val="none" w:sz="0" w:space="0" w:color="auto"/>
                      </w:divBdr>
                    </w:div>
                  </w:divsChild>
                </w:div>
                <w:div w:id="1129738515">
                  <w:marLeft w:val="0"/>
                  <w:marRight w:val="0"/>
                  <w:marTop w:val="0"/>
                  <w:marBottom w:val="0"/>
                  <w:divBdr>
                    <w:top w:val="none" w:sz="0" w:space="0" w:color="auto"/>
                    <w:left w:val="none" w:sz="0" w:space="0" w:color="auto"/>
                    <w:bottom w:val="none" w:sz="0" w:space="0" w:color="auto"/>
                    <w:right w:val="none" w:sz="0" w:space="0" w:color="auto"/>
                  </w:divBdr>
                  <w:divsChild>
                    <w:div w:id="951665263">
                      <w:marLeft w:val="0"/>
                      <w:marRight w:val="0"/>
                      <w:marTop w:val="0"/>
                      <w:marBottom w:val="0"/>
                      <w:divBdr>
                        <w:top w:val="none" w:sz="0" w:space="0" w:color="auto"/>
                        <w:left w:val="none" w:sz="0" w:space="0" w:color="auto"/>
                        <w:bottom w:val="none" w:sz="0" w:space="0" w:color="auto"/>
                        <w:right w:val="none" w:sz="0" w:space="0" w:color="auto"/>
                      </w:divBdr>
                    </w:div>
                  </w:divsChild>
                </w:div>
                <w:div w:id="1141192594">
                  <w:marLeft w:val="0"/>
                  <w:marRight w:val="0"/>
                  <w:marTop w:val="0"/>
                  <w:marBottom w:val="0"/>
                  <w:divBdr>
                    <w:top w:val="none" w:sz="0" w:space="0" w:color="auto"/>
                    <w:left w:val="none" w:sz="0" w:space="0" w:color="auto"/>
                    <w:bottom w:val="none" w:sz="0" w:space="0" w:color="auto"/>
                    <w:right w:val="none" w:sz="0" w:space="0" w:color="auto"/>
                  </w:divBdr>
                  <w:divsChild>
                    <w:div w:id="1918439433">
                      <w:marLeft w:val="0"/>
                      <w:marRight w:val="0"/>
                      <w:marTop w:val="0"/>
                      <w:marBottom w:val="0"/>
                      <w:divBdr>
                        <w:top w:val="none" w:sz="0" w:space="0" w:color="auto"/>
                        <w:left w:val="none" w:sz="0" w:space="0" w:color="auto"/>
                        <w:bottom w:val="none" w:sz="0" w:space="0" w:color="auto"/>
                        <w:right w:val="none" w:sz="0" w:space="0" w:color="auto"/>
                      </w:divBdr>
                    </w:div>
                  </w:divsChild>
                </w:div>
                <w:div w:id="1166938217">
                  <w:marLeft w:val="0"/>
                  <w:marRight w:val="0"/>
                  <w:marTop w:val="0"/>
                  <w:marBottom w:val="0"/>
                  <w:divBdr>
                    <w:top w:val="none" w:sz="0" w:space="0" w:color="auto"/>
                    <w:left w:val="none" w:sz="0" w:space="0" w:color="auto"/>
                    <w:bottom w:val="none" w:sz="0" w:space="0" w:color="auto"/>
                    <w:right w:val="none" w:sz="0" w:space="0" w:color="auto"/>
                  </w:divBdr>
                  <w:divsChild>
                    <w:div w:id="91517068">
                      <w:marLeft w:val="0"/>
                      <w:marRight w:val="0"/>
                      <w:marTop w:val="0"/>
                      <w:marBottom w:val="0"/>
                      <w:divBdr>
                        <w:top w:val="none" w:sz="0" w:space="0" w:color="auto"/>
                        <w:left w:val="none" w:sz="0" w:space="0" w:color="auto"/>
                        <w:bottom w:val="none" w:sz="0" w:space="0" w:color="auto"/>
                        <w:right w:val="none" w:sz="0" w:space="0" w:color="auto"/>
                      </w:divBdr>
                    </w:div>
                  </w:divsChild>
                </w:div>
                <w:div w:id="1172066500">
                  <w:marLeft w:val="0"/>
                  <w:marRight w:val="0"/>
                  <w:marTop w:val="0"/>
                  <w:marBottom w:val="0"/>
                  <w:divBdr>
                    <w:top w:val="none" w:sz="0" w:space="0" w:color="auto"/>
                    <w:left w:val="none" w:sz="0" w:space="0" w:color="auto"/>
                    <w:bottom w:val="none" w:sz="0" w:space="0" w:color="auto"/>
                    <w:right w:val="none" w:sz="0" w:space="0" w:color="auto"/>
                  </w:divBdr>
                  <w:divsChild>
                    <w:div w:id="900600441">
                      <w:marLeft w:val="0"/>
                      <w:marRight w:val="0"/>
                      <w:marTop w:val="0"/>
                      <w:marBottom w:val="0"/>
                      <w:divBdr>
                        <w:top w:val="none" w:sz="0" w:space="0" w:color="auto"/>
                        <w:left w:val="none" w:sz="0" w:space="0" w:color="auto"/>
                        <w:bottom w:val="none" w:sz="0" w:space="0" w:color="auto"/>
                        <w:right w:val="none" w:sz="0" w:space="0" w:color="auto"/>
                      </w:divBdr>
                    </w:div>
                  </w:divsChild>
                </w:div>
                <w:div w:id="1184171856">
                  <w:marLeft w:val="0"/>
                  <w:marRight w:val="0"/>
                  <w:marTop w:val="0"/>
                  <w:marBottom w:val="0"/>
                  <w:divBdr>
                    <w:top w:val="none" w:sz="0" w:space="0" w:color="auto"/>
                    <w:left w:val="none" w:sz="0" w:space="0" w:color="auto"/>
                    <w:bottom w:val="none" w:sz="0" w:space="0" w:color="auto"/>
                    <w:right w:val="none" w:sz="0" w:space="0" w:color="auto"/>
                  </w:divBdr>
                  <w:divsChild>
                    <w:div w:id="1711685918">
                      <w:marLeft w:val="0"/>
                      <w:marRight w:val="0"/>
                      <w:marTop w:val="0"/>
                      <w:marBottom w:val="0"/>
                      <w:divBdr>
                        <w:top w:val="none" w:sz="0" w:space="0" w:color="auto"/>
                        <w:left w:val="none" w:sz="0" w:space="0" w:color="auto"/>
                        <w:bottom w:val="none" w:sz="0" w:space="0" w:color="auto"/>
                        <w:right w:val="none" w:sz="0" w:space="0" w:color="auto"/>
                      </w:divBdr>
                    </w:div>
                  </w:divsChild>
                </w:div>
                <w:div w:id="1194884204">
                  <w:marLeft w:val="0"/>
                  <w:marRight w:val="0"/>
                  <w:marTop w:val="0"/>
                  <w:marBottom w:val="0"/>
                  <w:divBdr>
                    <w:top w:val="none" w:sz="0" w:space="0" w:color="auto"/>
                    <w:left w:val="none" w:sz="0" w:space="0" w:color="auto"/>
                    <w:bottom w:val="none" w:sz="0" w:space="0" w:color="auto"/>
                    <w:right w:val="none" w:sz="0" w:space="0" w:color="auto"/>
                  </w:divBdr>
                  <w:divsChild>
                    <w:div w:id="1191338329">
                      <w:marLeft w:val="0"/>
                      <w:marRight w:val="0"/>
                      <w:marTop w:val="0"/>
                      <w:marBottom w:val="0"/>
                      <w:divBdr>
                        <w:top w:val="none" w:sz="0" w:space="0" w:color="auto"/>
                        <w:left w:val="none" w:sz="0" w:space="0" w:color="auto"/>
                        <w:bottom w:val="none" w:sz="0" w:space="0" w:color="auto"/>
                        <w:right w:val="none" w:sz="0" w:space="0" w:color="auto"/>
                      </w:divBdr>
                    </w:div>
                  </w:divsChild>
                </w:div>
                <w:div w:id="1202086320">
                  <w:marLeft w:val="0"/>
                  <w:marRight w:val="0"/>
                  <w:marTop w:val="0"/>
                  <w:marBottom w:val="0"/>
                  <w:divBdr>
                    <w:top w:val="none" w:sz="0" w:space="0" w:color="auto"/>
                    <w:left w:val="none" w:sz="0" w:space="0" w:color="auto"/>
                    <w:bottom w:val="none" w:sz="0" w:space="0" w:color="auto"/>
                    <w:right w:val="none" w:sz="0" w:space="0" w:color="auto"/>
                  </w:divBdr>
                  <w:divsChild>
                    <w:div w:id="233054679">
                      <w:marLeft w:val="0"/>
                      <w:marRight w:val="0"/>
                      <w:marTop w:val="0"/>
                      <w:marBottom w:val="0"/>
                      <w:divBdr>
                        <w:top w:val="none" w:sz="0" w:space="0" w:color="auto"/>
                        <w:left w:val="none" w:sz="0" w:space="0" w:color="auto"/>
                        <w:bottom w:val="none" w:sz="0" w:space="0" w:color="auto"/>
                        <w:right w:val="none" w:sz="0" w:space="0" w:color="auto"/>
                      </w:divBdr>
                    </w:div>
                  </w:divsChild>
                </w:div>
                <w:div w:id="1226179840">
                  <w:marLeft w:val="0"/>
                  <w:marRight w:val="0"/>
                  <w:marTop w:val="0"/>
                  <w:marBottom w:val="0"/>
                  <w:divBdr>
                    <w:top w:val="none" w:sz="0" w:space="0" w:color="auto"/>
                    <w:left w:val="none" w:sz="0" w:space="0" w:color="auto"/>
                    <w:bottom w:val="none" w:sz="0" w:space="0" w:color="auto"/>
                    <w:right w:val="none" w:sz="0" w:space="0" w:color="auto"/>
                  </w:divBdr>
                  <w:divsChild>
                    <w:div w:id="22484034">
                      <w:marLeft w:val="0"/>
                      <w:marRight w:val="0"/>
                      <w:marTop w:val="0"/>
                      <w:marBottom w:val="0"/>
                      <w:divBdr>
                        <w:top w:val="none" w:sz="0" w:space="0" w:color="auto"/>
                        <w:left w:val="none" w:sz="0" w:space="0" w:color="auto"/>
                        <w:bottom w:val="none" w:sz="0" w:space="0" w:color="auto"/>
                        <w:right w:val="none" w:sz="0" w:space="0" w:color="auto"/>
                      </w:divBdr>
                    </w:div>
                  </w:divsChild>
                </w:div>
                <w:div w:id="1243878335">
                  <w:marLeft w:val="0"/>
                  <w:marRight w:val="0"/>
                  <w:marTop w:val="0"/>
                  <w:marBottom w:val="0"/>
                  <w:divBdr>
                    <w:top w:val="none" w:sz="0" w:space="0" w:color="auto"/>
                    <w:left w:val="none" w:sz="0" w:space="0" w:color="auto"/>
                    <w:bottom w:val="none" w:sz="0" w:space="0" w:color="auto"/>
                    <w:right w:val="none" w:sz="0" w:space="0" w:color="auto"/>
                  </w:divBdr>
                  <w:divsChild>
                    <w:div w:id="1573857475">
                      <w:marLeft w:val="0"/>
                      <w:marRight w:val="0"/>
                      <w:marTop w:val="0"/>
                      <w:marBottom w:val="0"/>
                      <w:divBdr>
                        <w:top w:val="none" w:sz="0" w:space="0" w:color="auto"/>
                        <w:left w:val="none" w:sz="0" w:space="0" w:color="auto"/>
                        <w:bottom w:val="none" w:sz="0" w:space="0" w:color="auto"/>
                        <w:right w:val="none" w:sz="0" w:space="0" w:color="auto"/>
                      </w:divBdr>
                    </w:div>
                  </w:divsChild>
                </w:div>
                <w:div w:id="1249313267">
                  <w:marLeft w:val="0"/>
                  <w:marRight w:val="0"/>
                  <w:marTop w:val="0"/>
                  <w:marBottom w:val="0"/>
                  <w:divBdr>
                    <w:top w:val="none" w:sz="0" w:space="0" w:color="auto"/>
                    <w:left w:val="none" w:sz="0" w:space="0" w:color="auto"/>
                    <w:bottom w:val="none" w:sz="0" w:space="0" w:color="auto"/>
                    <w:right w:val="none" w:sz="0" w:space="0" w:color="auto"/>
                  </w:divBdr>
                  <w:divsChild>
                    <w:div w:id="775249792">
                      <w:marLeft w:val="0"/>
                      <w:marRight w:val="0"/>
                      <w:marTop w:val="0"/>
                      <w:marBottom w:val="0"/>
                      <w:divBdr>
                        <w:top w:val="none" w:sz="0" w:space="0" w:color="auto"/>
                        <w:left w:val="none" w:sz="0" w:space="0" w:color="auto"/>
                        <w:bottom w:val="none" w:sz="0" w:space="0" w:color="auto"/>
                        <w:right w:val="none" w:sz="0" w:space="0" w:color="auto"/>
                      </w:divBdr>
                    </w:div>
                  </w:divsChild>
                </w:div>
                <w:div w:id="1277369401">
                  <w:marLeft w:val="0"/>
                  <w:marRight w:val="0"/>
                  <w:marTop w:val="0"/>
                  <w:marBottom w:val="0"/>
                  <w:divBdr>
                    <w:top w:val="none" w:sz="0" w:space="0" w:color="auto"/>
                    <w:left w:val="none" w:sz="0" w:space="0" w:color="auto"/>
                    <w:bottom w:val="none" w:sz="0" w:space="0" w:color="auto"/>
                    <w:right w:val="none" w:sz="0" w:space="0" w:color="auto"/>
                  </w:divBdr>
                  <w:divsChild>
                    <w:div w:id="308897728">
                      <w:marLeft w:val="0"/>
                      <w:marRight w:val="0"/>
                      <w:marTop w:val="0"/>
                      <w:marBottom w:val="0"/>
                      <w:divBdr>
                        <w:top w:val="none" w:sz="0" w:space="0" w:color="auto"/>
                        <w:left w:val="none" w:sz="0" w:space="0" w:color="auto"/>
                        <w:bottom w:val="none" w:sz="0" w:space="0" w:color="auto"/>
                        <w:right w:val="none" w:sz="0" w:space="0" w:color="auto"/>
                      </w:divBdr>
                    </w:div>
                  </w:divsChild>
                </w:div>
                <w:div w:id="1284924922">
                  <w:marLeft w:val="0"/>
                  <w:marRight w:val="0"/>
                  <w:marTop w:val="0"/>
                  <w:marBottom w:val="0"/>
                  <w:divBdr>
                    <w:top w:val="none" w:sz="0" w:space="0" w:color="auto"/>
                    <w:left w:val="none" w:sz="0" w:space="0" w:color="auto"/>
                    <w:bottom w:val="none" w:sz="0" w:space="0" w:color="auto"/>
                    <w:right w:val="none" w:sz="0" w:space="0" w:color="auto"/>
                  </w:divBdr>
                  <w:divsChild>
                    <w:div w:id="627012114">
                      <w:marLeft w:val="0"/>
                      <w:marRight w:val="0"/>
                      <w:marTop w:val="0"/>
                      <w:marBottom w:val="0"/>
                      <w:divBdr>
                        <w:top w:val="none" w:sz="0" w:space="0" w:color="auto"/>
                        <w:left w:val="none" w:sz="0" w:space="0" w:color="auto"/>
                        <w:bottom w:val="none" w:sz="0" w:space="0" w:color="auto"/>
                        <w:right w:val="none" w:sz="0" w:space="0" w:color="auto"/>
                      </w:divBdr>
                    </w:div>
                  </w:divsChild>
                </w:div>
                <w:div w:id="1291396566">
                  <w:marLeft w:val="0"/>
                  <w:marRight w:val="0"/>
                  <w:marTop w:val="0"/>
                  <w:marBottom w:val="0"/>
                  <w:divBdr>
                    <w:top w:val="none" w:sz="0" w:space="0" w:color="auto"/>
                    <w:left w:val="none" w:sz="0" w:space="0" w:color="auto"/>
                    <w:bottom w:val="none" w:sz="0" w:space="0" w:color="auto"/>
                    <w:right w:val="none" w:sz="0" w:space="0" w:color="auto"/>
                  </w:divBdr>
                  <w:divsChild>
                    <w:div w:id="1119421789">
                      <w:marLeft w:val="0"/>
                      <w:marRight w:val="0"/>
                      <w:marTop w:val="0"/>
                      <w:marBottom w:val="0"/>
                      <w:divBdr>
                        <w:top w:val="none" w:sz="0" w:space="0" w:color="auto"/>
                        <w:left w:val="none" w:sz="0" w:space="0" w:color="auto"/>
                        <w:bottom w:val="none" w:sz="0" w:space="0" w:color="auto"/>
                        <w:right w:val="none" w:sz="0" w:space="0" w:color="auto"/>
                      </w:divBdr>
                    </w:div>
                  </w:divsChild>
                </w:div>
                <w:div w:id="1307122832">
                  <w:marLeft w:val="0"/>
                  <w:marRight w:val="0"/>
                  <w:marTop w:val="0"/>
                  <w:marBottom w:val="0"/>
                  <w:divBdr>
                    <w:top w:val="none" w:sz="0" w:space="0" w:color="auto"/>
                    <w:left w:val="none" w:sz="0" w:space="0" w:color="auto"/>
                    <w:bottom w:val="none" w:sz="0" w:space="0" w:color="auto"/>
                    <w:right w:val="none" w:sz="0" w:space="0" w:color="auto"/>
                  </w:divBdr>
                  <w:divsChild>
                    <w:div w:id="411902026">
                      <w:marLeft w:val="0"/>
                      <w:marRight w:val="0"/>
                      <w:marTop w:val="0"/>
                      <w:marBottom w:val="0"/>
                      <w:divBdr>
                        <w:top w:val="none" w:sz="0" w:space="0" w:color="auto"/>
                        <w:left w:val="none" w:sz="0" w:space="0" w:color="auto"/>
                        <w:bottom w:val="none" w:sz="0" w:space="0" w:color="auto"/>
                        <w:right w:val="none" w:sz="0" w:space="0" w:color="auto"/>
                      </w:divBdr>
                    </w:div>
                  </w:divsChild>
                </w:div>
                <w:div w:id="1328093938">
                  <w:marLeft w:val="0"/>
                  <w:marRight w:val="0"/>
                  <w:marTop w:val="0"/>
                  <w:marBottom w:val="0"/>
                  <w:divBdr>
                    <w:top w:val="none" w:sz="0" w:space="0" w:color="auto"/>
                    <w:left w:val="none" w:sz="0" w:space="0" w:color="auto"/>
                    <w:bottom w:val="none" w:sz="0" w:space="0" w:color="auto"/>
                    <w:right w:val="none" w:sz="0" w:space="0" w:color="auto"/>
                  </w:divBdr>
                  <w:divsChild>
                    <w:div w:id="561990126">
                      <w:marLeft w:val="0"/>
                      <w:marRight w:val="0"/>
                      <w:marTop w:val="0"/>
                      <w:marBottom w:val="0"/>
                      <w:divBdr>
                        <w:top w:val="none" w:sz="0" w:space="0" w:color="auto"/>
                        <w:left w:val="none" w:sz="0" w:space="0" w:color="auto"/>
                        <w:bottom w:val="none" w:sz="0" w:space="0" w:color="auto"/>
                        <w:right w:val="none" w:sz="0" w:space="0" w:color="auto"/>
                      </w:divBdr>
                    </w:div>
                  </w:divsChild>
                </w:div>
                <w:div w:id="1334719397">
                  <w:marLeft w:val="0"/>
                  <w:marRight w:val="0"/>
                  <w:marTop w:val="0"/>
                  <w:marBottom w:val="0"/>
                  <w:divBdr>
                    <w:top w:val="none" w:sz="0" w:space="0" w:color="auto"/>
                    <w:left w:val="none" w:sz="0" w:space="0" w:color="auto"/>
                    <w:bottom w:val="none" w:sz="0" w:space="0" w:color="auto"/>
                    <w:right w:val="none" w:sz="0" w:space="0" w:color="auto"/>
                  </w:divBdr>
                  <w:divsChild>
                    <w:div w:id="1851334310">
                      <w:marLeft w:val="0"/>
                      <w:marRight w:val="0"/>
                      <w:marTop w:val="0"/>
                      <w:marBottom w:val="0"/>
                      <w:divBdr>
                        <w:top w:val="none" w:sz="0" w:space="0" w:color="auto"/>
                        <w:left w:val="none" w:sz="0" w:space="0" w:color="auto"/>
                        <w:bottom w:val="none" w:sz="0" w:space="0" w:color="auto"/>
                        <w:right w:val="none" w:sz="0" w:space="0" w:color="auto"/>
                      </w:divBdr>
                    </w:div>
                  </w:divsChild>
                </w:div>
                <w:div w:id="1344211747">
                  <w:marLeft w:val="0"/>
                  <w:marRight w:val="0"/>
                  <w:marTop w:val="0"/>
                  <w:marBottom w:val="0"/>
                  <w:divBdr>
                    <w:top w:val="none" w:sz="0" w:space="0" w:color="auto"/>
                    <w:left w:val="none" w:sz="0" w:space="0" w:color="auto"/>
                    <w:bottom w:val="none" w:sz="0" w:space="0" w:color="auto"/>
                    <w:right w:val="none" w:sz="0" w:space="0" w:color="auto"/>
                  </w:divBdr>
                  <w:divsChild>
                    <w:div w:id="194969822">
                      <w:marLeft w:val="0"/>
                      <w:marRight w:val="0"/>
                      <w:marTop w:val="0"/>
                      <w:marBottom w:val="0"/>
                      <w:divBdr>
                        <w:top w:val="none" w:sz="0" w:space="0" w:color="auto"/>
                        <w:left w:val="none" w:sz="0" w:space="0" w:color="auto"/>
                        <w:bottom w:val="none" w:sz="0" w:space="0" w:color="auto"/>
                        <w:right w:val="none" w:sz="0" w:space="0" w:color="auto"/>
                      </w:divBdr>
                    </w:div>
                  </w:divsChild>
                </w:div>
                <w:div w:id="1344281419">
                  <w:marLeft w:val="0"/>
                  <w:marRight w:val="0"/>
                  <w:marTop w:val="0"/>
                  <w:marBottom w:val="0"/>
                  <w:divBdr>
                    <w:top w:val="none" w:sz="0" w:space="0" w:color="auto"/>
                    <w:left w:val="none" w:sz="0" w:space="0" w:color="auto"/>
                    <w:bottom w:val="none" w:sz="0" w:space="0" w:color="auto"/>
                    <w:right w:val="none" w:sz="0" w:space="0" w:color="auto"/>
                  </w:divBdr>
                  <w:divsChild>
                    <w:div w:id="760834194">
                      <w:marLeft w:val="0"/>
                      <w:marRight w:val="0"/>
                      <w:marTop w:val="0"/>
                      <w:marBottom w:val="0"/>
                      <w:divBdr>
                        <w:top w:val="none" w:sz="0" w:space="0" w:color="auto"/>
                        <w:left w:val="none" w:sz="0" w:space="0" w:color="auto"/>
                        <w:bottom w:val="none" w:sz="0" w:space="0" w:color="auto"/>
                        <w:right w:val="none" w:sz="0" w:space="0" w:color="auto"/>
                      </w:divBdr>
                    </w:div>
                  </w:divsChild>
                </w:div>
                <w:div w:id="1348292774">
                  <w:marLeft w:val="0"/>
                  <w:marRight w:val="0"/>
                  <w:marTop w:val="0"/>
                  <w:marBottom w:val="0"/>
                  <w:divBdr>
                    <w:top w:val="none" w:sz="0" w:space="0" w:color="auto"/>
                    <w:left w:val="none" w:sz="0" w:space="0" w:color="auto"/>
                    <w:bottom w:val="none" w:sz="0" w:space="0" w:color="auto"/>
                    <w:right w:val="none" w:sz="0" w:space="0" w:color="auto"/>
                  </w:divBdr>
                  <w:divsChild>
                    <w:div w:id="1498422289">
                      <w:marLeft w:val="0"/>
                      <w:marRight w:val="0"/>
                      <w:marTop w:val="0"/>
                      <w:marBottom w:val="0"/>
                      <w:divBdr>
                        <w:top w:val="none" w:sz="0" w:space="0" w:color="auto"/>
                        <w:left w:val="none" w:sz="0" w:space="0" w:color="auto"/>
                        <w:bottom w:val="none" w:sz="0" w:space="0" w:color="auto"/>
                        <w:right w:val="none" w:sz="0" w:space="0" w:color="auto"/>
                      </w:divBdr>
                    </w:div>
                  </w:divsChild>
                </w:div>
                <w:div w:id="1374845702">
                  <w:marLeft w:val="0"/>
                  <w:marRight w:val="0"/>
                  <w:marTop w:val="0"/>
                  <w:marBottom w:val="0"/>
                  <w:divBdr>
                    <w:top w:val="none" w:sz="0" w:space="0" w:color="auto"/>
                    <w:left w:val="none" w:sz="0" w:space="0" w:color="auto"/>
                    <w:bottom w:val="none" w:sz="0" w:space="0" w:color="auto"/>
                    <w:right w:val="none" w:sz="0" w:space="0" w:color="auto"/>
                  </w:divBdr>
                  <w:divsChild>
                    <w:div w:id="769398721">
                      <w:marLeft w:val="0"/>
                      <w:marRight w:val="0"/>
                      <w:marTop w:val="0"/>
                      <w:marBottom w:val="0"/>
                      <w:divBdr>
                        <w:top w:val="none" w:sz="0" w:space="0" w:color="auto"/>
                        <w:left w:val="none" w:sz="0" w:space="0" w:color="auto"/>
                        <w:bottom w:val="none" w:sz="0" w:space="0" w:color="auto"/>
                        <w:right w:val="none" w:sz="0" w:space="0" w:color="auto"/>
                      </w:divBdr>
                    </w:div>
                  </w:divsChild>
                </w:div>
                <w:div w:id="1454860638">
                  <w:marLeft w:val="0"/>
                  <w:marRight w:val="0"/>
                  <w:marTop w:val="0"/>
                  <w:marBottom w:val="0"/>
                  <w:divBdr>
                    <w:top w:val="none" w:sz="0" w:space="0" w:color="auto"/>
                    <w:left w:val="none" w:sz="0" w:space="0" w:color="auto"/>
                    <w:bottom w:val="none" w:sz="0" w:space="0" w:color="auto"/>
                    <w:right w:val="none" w:sz="0" w:space="0" w:color="auto"/>
                  </w:divBdr>
                  <w:divsChild>
                    <w:div w:id="1956712645">
                      <w:marLeft w:val="0"/>
                      <w:marRight w:val="0"/>
                      <w:marTop w:val="0"/>
                      <w:marBottom w:val="0"/>
                      <w:divBdr>
                        <w:top w:val="none" w:sz="0" w:space="0" w:color="auto"/>
                        <w:left w:val="none" w:sz="0" w:space="0" w:color="auto"/>
                        <w:bottom w:val="none" w:sz="0" w:space="0" w:color="auto"/>
                        <w:right w:val="none" w:sz="0" w:space="0" w:color="auto"/>
                      </w:divBdr>
                    </w:div>
                  </w:divsChild>
                </w:div>
                <w:div w:id="1473599566">
                  <w:marLeft w:val="0"/>
                  <w:marRight w:val="0"/>
                  <w:marTop w:val="0"/>
                  <w:marBottom w:val="0"/>
                  <w:divBdr>
                    <w:top w:val="none" w:sz="0" w:space="0" w:color="auto"/>
                    <w:left w:val="none" w:sz="0" w:space="0" w:color="auto"/>
                    <w:bottom w:val="none" w:sz="0" w:space="0" w:color="auto"/>
                    <w:right w:val="none" w:sz="0" w:space="0" w:color="auto"/>
                  </w:divBdr>
                  <w:divsChild>
                    <w:div w:id="1479957583">
                      <w:marLeft w:val="0"/>
                      <w:marRight w:val="0"/>
                      <w:marTop w:val="0"/>
                      <w:marBottom w:val="0"/>
                      <w:divBdr>
                        <w:top w:val="none" w:sz="0" w:space="0" w:color="auto"/>
                        <w:left w:val="none" w:sz="0" w:space="0" w:color="auto"/>
                        <w:bottom w:val="none" w:sz="0" w:space="0" w:color="auto"/>
                        <w:right w:val="none" w:sz="0" w:space="0" w:color="auto"/>
                      </w:divBdr>
                    </w:div>
                  </w:divsChild>
                </w:div>
                <w:div w:id="1497842457">
                  <w:marLeft w:val="0"/>
                  <w:marRight w:val="0"/>
                  <w:marTop w:val="0"/>
                  <w:marBottom w:val="0"/>
                  <w:divBdr>
                    <w:top w:val="none" w:sz="0" w:space="0" w:color="auto"/>
                    <w:left w:val="none" w:sz="0" w:space="0" w:color="auto"/>
                    <w:bottom w:val="none" w:sz="0" w:space="0" w:color="auto"/>
                    <w:right w:val="none" w:sz="0" w:space="0" w:color="auto"/>
                  </w:divBdr>
                  <w:divsChild>
                    <w:div w:id="228197759">
                      <w:marLeft w:val="0"/>
                      <w:marRight w:val="0"/>
                      <w:marTop w:val="0"/>
                      <w:marBottom w:val="0"/>
                      <w:divBdr>
                        <w:top w:val="none" w:sz="0" w:space="0" w:color="auto"/>
                        <w:left w:val="none" w:sz="0" w:space="0" w:color="auto"/>
                        <w:bottom w:val="none" w:sz="0" w:space="0" w:color="auto"/>
                        <w:right w:val="none" w:sz="0" w:space="0" w:color="auto"/>
                      </w:divBdr>
                    </w:div>
                  </w:divsChild>
                </w:div>
                <w:div w:id="1503158537">
                  <w:marLeft w:val="0"/>
                  <w:marRight w:val="0"/>
                  <w:marTop w:val="0"/>
                  <w:marBottom w:val="0"/>
                  <w:divBdr>
                    <w:top w:val="none" w:sz="0" w:space="0" w:color="auto"/>
                    <w:left w:val="none" w:sz="0" w:space="0" w:color="auto"/>
                    <w:bottom w:val="none" w:sz="0" w:space="0" w:color="auto"/>
                    <w:right w:val="none" w:sz="0" w:space="0" w:color="auto"/>
                  </w:divBdr>
                  <w:divsChild>
                    <w:div w:id="727069175">
                      <w:marLeft w:val="0"/>
                      <w:marRight w:val="0"/>
                      <w:marTop w:val="0"/>
                      <w:marBottom w:val="0"/>
                      <w:divBdr>
                        <w:top w:val="none" w:sz="0" w:space="0" w:color="auto"/>
                        <w:left w:val="none" w:sz="0" w:space="0" w:color="auto"/>
                        <w:bottom w:val="none" w:sz="0" w:space="0" w:color="auto"/>
                        <w:right w:val="none" w:sz="0" w:space="0" w:color="auto"/>
                      </w:divBdr>
                    </w:div>
                  </w:divsChild>
                </w:div>
                <w:div w:id="1507593806">
                  <w:marLeft w:val="0"/>
                  <w:marRight w:val="0"/>
                  <w:marTop w:val="0"/>
                  <w:marBottom w:val="0"/>
                  <w:divBdr>
                    <w:top w:val="none" w:sz="0" w:space="0" w:color="auto"/>
                    <w:left w:val="none" w:sz="0" w:space="0" w:color="auto"/>
                    <w:bottom w:val="none" w:sz="0" w:space="0" w:color="auto"/>
                    <w:right w:val="none" w:sz="0" w:space="0" w:color="auto"/>
                  </w:divBdr>
                  <w:divsChild>
                    <w:div w:id="1228298001">
                      <w:marLeft w:val="0"/>
                      <w:marRight w:val="0"/>
                      <w:marTop w:val="0"/>
                      <w:marBottom w:val="0"/>
                      <w:divBdr>
                        <w:top w:val="none" w:sz="0" w:space="0" w:color="auto"/>
                        <w:left w:val="none" w:sz="0" w:space="0" w:color="auto"/>
                        <w:bottom w:val="none" w:sz="0" w:space="0" w:color="auto"/>
                        <w:right w:val="none" w:sz="0" w:space="0" w:color="auto"/>
                      </w:divBdr>
                    </w:div>
                  </w:divsChild>
                </w:div>
                <w:div w:id="1513641723">
                  <w:marLeft w:val="0"/>
                  <w:marRight w:val="0"/>
                  <w:marTop w:val="0"/>
                  <w:marBottom w:val="0"/>
                  <w:divBdr>
                    <w:top w:val="none" w:sz="0" w:space="0" w:color="auto"/>
                    <w:left w:val="none" w:sz="0" w:space="0" w:color="auto"/>
                    <w:bottom w:val="none" w:sz="0" w:space="0" w:color="auto"/>
                    <w:right w:val="none" w:sz="0" w:space="0" w:color="auto"/>
                  </w:divBdr>
                  <w:divsChild>
                    <w:div w:id="947354588">
                      <w:marLeft w:val="0"/>
                      <w:marRight w:val="0"/>
                      <w:marTop w:val="0"/>
                      <w:marBottom w:val="0"/>
                      <w:divBdr>
                        <w:top w:val="none" w:sz="0" w:space="0" w:color="auto"/>
                        <w:left w:val="none" w:sz="0" w:space="0" w:color="auto"/>
                        <w:bottom w:val="none" w:sz="0" w:space="0" w:color="auto"/>
                        <w:right w:val="none" w:sz="0" w:space="0" w:color="auto"/>
                      </w:divBdr>
                    </w:div>
                  </w:divsChild>
                </w:div>
                <w:div w:id="1523857055">
                  <w:marLeft w:val="0"/>
                  <w:marRight w:val="0"/>
                  <w:marTop w:val="0"/>
                  <w:marBottom w:val="0"/>
                  <w:divBdr>
                    <w:top w:val="none" w:sz="0" w:space="0" w:color="auto"/>
                    <w:left w:val="none" w:sz="0" w:space="0" w:color="auto"/>
                    <w:bottom w:val="none" w:sz="0" w:space="0" w:color="auto"/>
                    <w:right w:val="none" w:sz="0" w:space="0" w:color="auto"/>
                  </w:divBdr>
                  <w:divsChild>
                    <w:div w:id="1853833710">
                      <w:marLeft w:val="0"/>
                      <w:marRight w:val="0"/>
                      <w:marTop w:val="0"/>
                      <w:marBottom w:val="0"/>
                      <w:divBdr>
                        <w:top w:val="none" w:sz="0" w:space="0" w:color="auto"/>
                        <w:left w:val="none" w:sz="0" w:space="0" w:color="auto"/>
                        <w:bottom w:val="none" w:sz="0" w:space="0" w:color="auto"/>
                        <w:right w:val="none" w:sz="0" w:space="0" w:color="auto"/>
                      </w:divBdr>
                    </w:div>
                  </w:divsChild>
                </w:div>
                <w:div w:id="1533300425">
                  <w:marLeft w:val="0"/>
                  <w:marRight w:val="0"/>
                  <w:marTop w:val="0"/>
                  <w:marBottom w:val="0"/>
                  <w:divBdr>
                    <w:top w:val="none" w:sz="0" w:space="0" w:color="auto"/>
                    <w:left w:val="none" w:sz="0" w:space="0" w:color="auto"/>
                    <w:bottom w:val="none" w:sz="0" w:space="0" w:color="auto"/>
                    <w:right w:val="none" w:sz="0" w:space="0" w:color="auto"/>
                  </w:divBdr>
                  <w:divsChild>
                    <w:div w:id="119615137">
                      <w:marLeft w:val="0"/>
                      <w:marRight w:val="0"/>
                      <w:marTop w:val="0"/>
                      <w:marBottom w:val="0"/>
                      <w:divBdr>
                        <w:top w:val="none" w:sz="0" w:space="0" w:color="auto"/>
                        <w:left w:val="none" w:sz="0" w:space="0" w:color="auto"/>
                        <w:bottom w:val="none" w:sz="0" w:space="0" w:color="auto"/>
                        <w:right w:val="none" w:sz="0" w:space="0" w:color="auto"/>
                      </w:divBdr>
                    </w:div>
                  </w:divsChild>
                </w:div>
                <w:div w:id="1535196899">
                  <w:marLeft w:val="0"/>
                  <w:marRight w:val="0"/>
                  <w:marTop w:val="0"/>
                  <w:marBottom w:val="0"/>
                  <w:divBdr>
                    <w:top w:val="none" w:sz="0" w:space="0" w:color="auto"/>
                    <w:left w:val="none" w:sz="0" w:space="0" w:color="auto"/>
                    <w:bottom w:val="none" w:sz="0" w:space="0" w:color="auto"/>
                    <w:right w:val="none" w:sz="0" w:space="0" w:color="auto"/>
                  </w:divBdr>
                  <w:divsChild>
                    <w:div w:id="899947311">
                      <w:marLeft w:val="0"/>
                      <w:marRight w:val="0"/>
                      <w:marTop w:val="0"/>
                      <w:marBottom w:val="0"/>
                      <w:divBdr>
                        <w:top w:val="none" w:sz="0" w:space="0" w:color="auto"/>
                        <w:left w:val="none" w:sz="0" w:space="0" w:color="auto"/>
                        <w:bottom w:val="none" w:sz="0" w:space="0" w:color="auto"/>
                        <w:right w:val="none" w:sz="0" w:space="0" w:color="auto"/>
                      </w:divBdr>
                    </w:div>
                  </w:divsChild>
                </w:div>
                <w:div w:id="1559780999">
                  <w:marLeft w:val="0"/>
                  <w:marRight w:val="0"/>
                  <w:marTop w:val="0"/>
                  <w:marBottom w:val="0"/>
                  <w:divBdr>
                    <w:top w:val="none" w:sz="0" w:space="0" w:color="auto"/>
                    <w:left w:val="none" w:sz="0" w:space="0" w:color="auto"/>
                    <w:bottom w:val="none" w:sz="0" w:space="0" w:color="auto"/>
                    <w:right w:val="none" w:sz="0" w:space="0" w:color="auto"/>
                  </w:divBdr>
                  <w:divsChild>
                    <w:div w:id="867988751">
                      <w:marLeft w:val="0"/>
                      <w:marRight w:val="0"/>
                      <w:marTop w:val="0"/>
                      <w:marBottom w:val="0"/>
                      <w:divBdr>
                        <w:top w:val="none" w:sz="0" w:space="0" w:color="auto"/>
                        <w:left w:val="none" w:sz="0" w:space="0" w:color="auto"/>
                        <w:bottom w:val="none" w:sz="0" w:space="0" w:color="auto"/>
                        <w:right w:val="none" w:sz="0" w:space="0" w:color="auto"/>
                      </w:divBdr>
                    </w:div>
                  </w:divsChild>
                </w:div>
                <w:div w:id="1576474887">
                  <w:marLeft w:val="0"/>
                  <w:marRight w:val="0"/>
                  <w:marTop w:val="0"/>
                  <w:marBottom w:val="0"/>
                  <w:divBdr>
                    <w:top w:val="none" w:sz="0" w:space="0" w:color="auto"/>
                    <w:left w:val="none" w:sz="0" w:space="0" w:color="auto"/>
                    <w:bottom w:val="none" w:sz="0" w:space="0" w:color="auto"/>
                    <w:right w:val="none" w:sz="0" w:space="0" w:color="auto"/>
                  </w:divBdr>
                  <w:divsChild>
                    <w:div w:id="1145783567">
                      <w:marLeft w:val="0"/>
                      <w:marRight w:val="0"/>
                      <w:marTop w:val="0"/>
                      <w:marBottom w:val="0"/>
                      <w:divBdr>
                        <w:top w:val="none" w:sz="0" w:space="0" w:color="auto"/>
                        <w:left w:val="none" w:sz="0" w:space="0" w:color="auto"/>
                        <w:bottom w:val="none" w:sz="0" w:space="0" w:color="auto"/>
                        <w:right w:val="none" w:sz="0" w:space="0" w:color="auto"/>
                      </w:divBdr>
                    </w:div>
                  </w:divsChild>
                </w:div>
                <w:div w:id="1592087030">
                  <w:marLeft w:val="0"/>
                  <w:marRight w:val="0"/>
                  <w:marTop w:val="0"/>
                  <w:marBottom w:val="0"/>
                  <w:divBdr>
                    <w:top w:val="none" w:sz="0" w:space="0" w:color="auto"/>
                    <w:left w:val="none" w:sz="0" w:space="0" w:color="auto"/>
                    <w:bottom w:val="none" w:sz="0" w:space="0" w:color="auto"/>
                    <w:right w:val="none" w:sz="0" w:space="0" w:color="auto"/>
                  </w:divBdr>
                  <w:divsChild>
                    <w:div w:id="37049389">
                      <w:marLeft w:val="0"/>
                      <w:marRight w:val="0"/>
                      <w:marTop w:val="0"/>
                      <w:marBottom w:val="0"/>
                      <w:divBdr>
                        <w:top w:val="none" w:sz="0" w:space="0" w:color="auto"/>
                        <w:left w:val="none" w:sz="0" w:space="0" w:color="auto"/>
                        <w:bottom w:val="none" w:sz="0" w:space="0" w:color="auto"/>
                        <w:right w:val="none" w:sz="0" w:space="0" w:color="auto"/>
                      </w:divBdr>
                    </w:div>
                  </w:divsChild>
                </w:div>
                <w:div w:id="1606498742">
                  <w:marLeft w:val="0"/>
                  <w:marRight w:val="0"/>
                  <w:marTop w:val="0"/>
                  <w:marBottom w:val="0"/>
                  <w:divBdr>
                    <w:top w:val="none" w:sz="0" w:space="0" w:color="auto"/>
                    <w:left w:val="none" w:sz="0" w:space="0" w:color="auto"/>
                    <w:bottom w:val="none" w:sz="0" w:space="0" w:color="auto"/>
                    <w:right w:val="none" w:sz="0" w:space="0" w:color="auto"/>
                  </w:divBdr>
                  <w:divsChild>
                    <w:div w:id="1709143324">
                      <w:marLeft w:val="0"/>
                      <w:marRight w:val="0"/>
                      <w:marTop w:val="0"/>
                      <w:marBottom w:val="0"/>
                      <w:divBdr>
                        <w:top w:val="none" w:sz="0" w:space="0" w:color="auto"/>
                        <w:left w:val="none" w:sz="0" w:space="0" w:color="auto"/>
                        <w:bottom w:val="none" w:sz="0" w:space="0" w:color="auto"/>
                        <w:right w:val="none" w:sz="0" w:space="0" w:color="auto"/>
                      </w:divBdr>
                    </w:div>
                  </w:divsChild>
                </w:div>
                <w:div w:id="1621572142">
                  <w:marLeft w:val="0"/>
                  <w:marRight w:val="0"/>
                  <w:marTop w:val="0"/>
                  <w:marBottom w:val="0"/>
                  <w:divBdr>
                    <w:top w:val="none" w:sz="0" w:space="0" w:color="auto"/>
                    <w:left w:val="none" w:sz="0" w:space="0" w:color="auto"/>
                    <w:bottom w:val="none" w:sz="0" w:space="0" w:color="auto"/>
                    <w:right w:val="none" w:sz="0" w:space="0" w:color="auto"/>
                  </w:divBdr>
                  <w:divsChild>
                    <w:div w:id="2019118561">
                      <w:marLeft w:val="0"/>
                      <w:marRight w:val="0"/>
                      <w:marTop w:val="0"/>
                      <w:marBottom w:val="0"/>
                      <w:divBdr>
                        <w:top w:val="none" w:sz="0" w:space="0" w:color="auto"/>
                        <w:left w:val="none" w:sz="0" w:space="0" w:color="auto"/>
                        <w:bottom w:val="none" w:sz="0" w:space="0" w:color="auto"/>
                        <w:right w:val="none" w:sz="0" w:space="0" w:color="auto"/>
                      </w:divBdr>
                    </w:div>
                  </w:divsChild>
                </w:div>
                <w:div w:id="1683705904">
                  <w:marLeft w:val="0"/>
                  <w:marRight w:val="0"/>
                  <w:marTop w:val="0"/>
                  <w:marBottom w:val="0"/>
                  <w:divBdr>
                    <w:top w:val="none" w:sz="0" w:space="0" w:color="auto"/>
                    <w:left w:val="none" w:sz="0" w:space="0" w:color="auto"/>
                    <w:bottom w:val="none" w:sz="0" w:space="0" w:color="auto"/>
                    <w:right w:val="none" w:sz="0" w:space="0" w:color="auto"/>
                  </w:divBdr>
                  <w:divsChild>
                    <w:div w:id="390881790">
                      <w:marLeft w:val="0"/>
                      <w:marRight w:val="0"/>
                      <w:marTop w:val="0"/>
                      <w:marBottom w:val="0"/>
                      <w:divBdr>
                        <w:top w:val="none" w:sz="0" w:space="0" w:color="auto"/>
                        <w:left w:val="none" w:sz="0" w:space="0" w:color="auto"/>
                        <w:bottom w:val="none" w:sz="0" w:space="0" w:color="auto"/>
                        <w:right w:val="none" w:sz="0" w:space="0" w:color="auto"/>
                      </w:divBdr>
                    </w:div>
                  </w:divsChild>
                </w:div>
                <w:div w:id="1684933422">
                  <w:marLeft w:val="0"/>
                  <w:marRight w:val="0"/>
                  <w:marTop w:val="0"/>
                  <w:marBottom w:val="0"/>
                  <w:divBdr>
                    <w:top w:val="none" w:sz="0" w:space="0" w:color="auto"/>
                    <w:left w:val="none" w:sz="0" w:space="0" w:color="auto"/>
                    <w:bottom w:val="none" w:sz="0" w:space="0" w:color="auto"/>
                    <w:right w:val="none" w:sz="0" w:space="0" w:color="auto"/>
                  </w:divBdr>
                  <w:divsChild>
                    <w:div w:id="1641693448">
                      <w:marLeft w:val="0"/>
                      <w:marRight w:val="0"/>
                      <w:marTop w:val="0"/>
                      <w:marBottom w:val="0"/>
                      <w:divBdr>
                        <w:top w:val="none" w:sz="0" w:space="0" w:color="auto"/>
                        <w:left w:val="none" w:sz="0" w:space="0" w:color="auto"/>
                        <w:bottom w:val="none" w:sz="0" w:space="0" w:color="auto"/>
                        <w:right w:val="none" w:sz="0" w:space="0" w:color="auto"/>
                      </w:divBdr>
                    </w:div>
                  </w:divsChild>
                </w:div>
                <w:div w:id="1697732987">
                  <w:marLeft w:val="0"/>
                  <w:marRight w:val="0"/>
                  <w:marTop w:val="0"/>
                  <w:marBottom w:val="0"/>
                  <w:divBdr>
                    <w:top w:val="none" w:sz="0" w:space="0" w:color="auto"/>
                    <w:left w:val="none" w:sz="0" w:space="0" w:color="auto"/>
                    <w:bottom w:val="none" w:sz="0" w:space="0" w:color="auto"/>
                    <w:right w:val="none" w:sz="0" w:space="0" w:color="auto"/>
                  </w:divBdr>
                  <w:divsChild>
                    <w:div w:id="2089837144">
                      <w:marLeft w:val="0"/>
                      <w:marRight w:val="0"/>
                      <w:marTop w:val="0"/>
                      <w:marBottom w:val="0"/>
                      <w:divBdr>
                        <w:top w:val="none" w:sz="0" w:space="0" w:color="auto"/>
                        <w:left w:val="none" w:sz="0" w:space="0" w:color="auto"/>
                        <w:bottom w:val="none" w:sz="0" w:space="0" w:color="auto"/>
                        <w:right w:val="none" w:sz="0" w:space="0" w:color="auto"/>
                      </w:divBdr>
                    </w:div>
                  </w:divsChild>
                </w:div>
                <w:div w:id="1700274872">
                  <w:marLeft w:val="0"/>
                  <w:marRight w:val="0"/>
                  <w:marTop w:val="0"/>
                  <w:marBottom w:val="0"/>
                  <w:divBdr>
                    <w:top w:val="none" w:sz="0" w:space="0" w:color="auto"/>
                    <w:left w:val="none" w:sz="0" w:space="0" w:color="auto"/>
                    <w:bottom w:val="none" w:sz="0" w:space="0" w:color="auto"/>
                    <w:right w:val="none" w:sz="0" w:space="0" w:color="auto"/>
                  </w:divBdr>
                  <w:divsChild>
                    <w:div w:id="668556971">
                      <w:marLeft w:val="0"/>
                      <w:marRight w:val="0"/>
                      <w:marTop w:val="0"/>
                      <w:marBottom w:val="0"/>
                      <w:divBdr>
                        <w:top w:val="none" w:sz="0" w:space="0" w:color="auto"/>
                        <w:left w:val="none" w:sz="0" w:space="0" w:color="auto"/>
                        <w:bottom w:val="none" w:sz="0" w:space="0" w:color="auto"/>
                        <w:right w:val="none" w:sz="0" w:space="0" w:color="auto"/>
                      </w:divBdr>
                    </w:div>
                  </w:divsChild>
                </w:div>
                <w:div w:id="1714619148">
                  <w:marLeft w:val="0"/>
                  <w:marRight w:val="0"/>
                  <w:marTop w:val="0"/>
                  <w:marBottom w:val="0"/>
                  <w:divBdr>
                    <w:top w:val="none" w:sz="0" w:space="0" w:color="auto"/>
                    <w:left w:val="none" w:sz="0" w:space="0" w:color="auto"/>
                    <w:bottom w:val="none" w:sz="0" w:space="0" w:color="auto"/>
                    <w:right w:val="none" w:sz="0" w:space="0" w:color="auto"/>
                  </w:divBdr>
                  <w:divsChild>
                    <w:div w:id="573393271">
                      <w:marLeft w:val="0"/>
                      <w:marRight w:val="0"/>
                      <w:marTop w:val="0"/>
                      <w:marBottom w:val="0"/>
                      <w:divBdr>
                        <w:top w:val="none" w:sz="0" w:space="0" w:color="auto"/>
                        <w:left w:val="none" w:sz="0" w:space="0" w:color="auto"/>
                        <w:bottom w:val="none" w:sz="0" w:space="0" w:color="auto"/>
                        <w:right w:val="none" w:sz="0" w:space="0" w:color="auto"/>
                      </w:divBdr>
                    </w:div>
                  </w:divsChild>
                </w:div>
                <w:div w:id="1733118707">
                  <w:marLeft w:val="0"/>
                  <w:marRight w:val="0"/>
                  <w:marTop w:val="0"/>
                  <w:marBottom w:val="0"/>
                  <w:divBdr>
                    <w:top w:val="none" w:sz="0" w:space="0" w:color="auto"/>
                    <w:left w:val="none" w:sz="0" w:space="0" w:color="auto"/>
                    <w:bottom w:val="none" w:sz="0" w:space="0" w:color="auto"/>
                    <w:right w:val="none" w:sz="0" w:space="0" w:color="auto"/>
                  </w:divBdr>
                  <w:divsChild>
                    <w:div w:id="307638391">
                      <w:marLeft w:val="0"/>
                      <w:marRight w:val="0"/>
                      <w:marTop w:val="0"/>
                      <w:marBottom w:val="0"/>
                      <w:divBdr>
                        <w:top w:val="none" w:sz="0" w:space="0" w:color="auto"/>
                        <w:left w:val="none" w:sz="0" w:space="0" w:color="auto"/>
                        <w:bottom w:val="none" w:sz="0" w:space="0" w:color="auto"/>
                        <w:right w:val="none" w:sz="0" w:space="0" w:color="auto"/>
                      </w:divBdr>
                    </w:div>
                  </w:divsChild>
                </w:div>
                <w:div w:id="1757240849">
                  <w:marLeft w:val="0"/>
                  <w:marRight w:val="0"/>
                  <w:marTop w:val="0"/>
                  <w:marBottom w:val="0"/>
                  <w:divBdr>
                    <w:top w:val="none" w:sz="0" w:space="0" w:color="auto"/>
                    <w:left w:val="none" w:sz="0" w:space="0" w:color="auto"/>
                    <w:bottom w:val="none" w:sz="0" w:space="0" w:color="auto"/>
                    <w:right w:val="none" w:sz="0" w:space="0" w:color="auto"/>
                  </w:divBdr>
                  <w:divsChild>
                    <w:div w:id="1037974902">
                      <w:marLeft w:val="0"/>
                      <w:marRight w:val="0"/>
                      <w:marTop w:val="0"/>
                      <w:marBottom w:val="0"/>
                      <w:divBdr>
                        <w:top w:val="none" w:sz="0" w:space="0" w:color="auto"/>
                        <w:left w:val="none" w:sz="0" w:space="0" w:color="auto"/>
                        <w:bottom w:val="none" w:sz="0" w:space="0" w:color="auto"/>
                        <w:right w:val="none" w:sz="0" w:space="0" w:color="auto"/>
                      </w:divBdr>
                    </w:div>
                  </w:divsChild>
                </w:div>
                <w:div w:id="1758361535">
                  <w:marLeft w:val="0"/>
                  <w:marRight w:val="0"/>
                  <w:marTop w:val="0"/>
                  <w:marBottom w:val="0"/>
                  <w:divBdr>
                    <w:top w:val="none" w:sz="0" w:space="0" w:color="auto"/>
                    <w:left w:val="none" w:sz="0" w:space="0" w:color="auto"/>
                    <w:bottom w:val="none" w:sz="0" w:space="0" w:color="auto"/>
                    <w:right w:val="none" w:sz="0" w:space="0" w:color="auto"/>
                  </w:divBdr>
                  <w:divsChild>
                    <w:div w:id="1623414219">
                      <w:marLeft w:val="0"/>
                      <w:marRight w:val="0"/>
                      <w:marTop w:val="0"/>
                      <w:marBottom w:val="0"/>
                      <w:divBdr>
                        <w:top w:val="none" w:sz="0" w:space="0" w:color="auto"/>
                        <w:left w:val="none" w:sz="0" w:space="0" w:color="auto"/>
                        <w:bottom w:val="none" w:sz="0" w:space="0" w:color="auto"/>
                        <w:right w:val="none" w:sz="0" w:space="0" w:color="auto"/>
                      </w:divBdr>
                    </w:div>
                  </w:divsChild>
                </w:div>
                <w:div w:id="1784494119">
                  <w:marLeft w:val="0"/>
                  <w:marRight w:val="0"/>
                  <w:marTop w:val="0"/>
                  <w:marBottom w:val="0"/>
                  <w:divBdr>
                    <w:top w:val="none" w:sz="0" w:space="0" w:color="auto"/>
                    <w:left w:val="none" w:sz="0" w:space="0" w:color="auto"/>
                    <w:bottom w:val="none" w:sz="0" w:space="0" w:color="auto"/>
                    <w:right w:val="none" w:sz="0" w:space="0" w:color="auto"/>
                  </w:divBdr>
                  <w:divsChild>
                    <w:div w:id="1494755450">
                      <w:marLeft w:val="0"/>
                      <w:marRight w:val="0"/>
                      <w:marTop w:val="0"/>
                      <w:marBottom w:val="0"/>
                      <w:divBdr>
                        <w:top w:val="none" w:sz="0" w:space="0" w:color="auto"/>
                        <w:left w:val="none" w:sz="0" w:space="0" w:color="auto"/>
                        <w:bottom w:val="none" w:sz="0" w:space="0" w:color="auto"/>
                        <w:right w:val="none" w:sz="0" w:space="0" w:color="auto"/>
                      </w:divBdr>
                    </w:div>
                  </w:divsChild>
                </w:div>
                <w:div w:id="1792701090">
                  <w:marLeft w:val="0"/>
                  <w:marRight w:val="0"/>
                  <w:marTop w:val="0"/>
                  <w:marBottom w:val="0"/>
                  <w:divBdr>
                    <w:top w:val="none" w:sz="0" w:space="0" w:color="auto"/>
                    <w:left w:val="none" w:sz="0" w:space="0" w:color="auto"/>
                    <w:bottom w:val="none" w:sz="0" w:space="0" w:color="auto"/>
                    <w:right w:val="none" w:sz="0" w:space="0" w:color="auto"/>
                  </w:divBdr>
                  <w:divsChild>
                    <w:div w:id="1053623783">
                      <w:marLeft w:val="0"/>
                      <w:marRight w:val="0"/>
                      <w:marTop w:val="0"/>
                      <w:marBottom w:val="0"/>
                      <w:divBdr>
                        <w:top w:val="none" w:sz="0" w:space="0" w:color="auto"/>
                        <w:left w:val="none" w:sz="0" w:space="0" w:color="auto"/>
                        <w:bottom w:val="none" w:sz="0" w:space="0" w:color="auto"/>
                        <w:right w:val="none" w:sz="0" w:space="0" w:color="auto"/>
                      </w:divBdr>
                    </w:div>
                  </w:divsChild>
                </w:div>
                <w:div w:id="1839223303">
                  <w:marLeft w:val="0"/>
                  <w:marRight w:val="0"/>
                  <w:marTop w:val="0"/>
                  <w:marBottom w:val="0"/>
                  <w:divBdr>
                    <w:top w:val="none" w:sz="0" w:space="0" w:color="auto"/>
                    <w:left w:val="none" w:sz="0" w:space="0" w:color="auto"/>
                    <w:bottom w:val="none" w:sz="0" w:space="0" w:color="auto"/>
                    <w:right w:val="none" w:sz="0" w:space="0" w:color="auto"/>
                  </w:divBdr>
                  <w:divsChild>
                    <w:div w:id="1425146810">
                      <w:marLeft w:val="0"/>
                      <w:marRight w:val="0"/>
                      <w:marTop w:val="0"/>
                      <w:marBottom w:val="0"/>
                      <w:divBdr>
                        <w:top w:val="none" w:sz="0" w:space="0" w:color="auto"/>
                        <w:left w:val="none" w:sz="0" w:space="0" w:color="auto"/>
                        <w:bottom w:val="none" w:sz="0" w:space="0" w:color="auto"/>
                        <w:right w:val="none" w:sz="0" w:space="0" w:color="auto"/>
                      </w:divBdr>
                    </w:div>
                  </w:divsChild>
                </w:div>
                <w:div w:id="1849826109">
                  <w:marLeft w:val="0"/>
                  <w:marRight w:val="0"/>
                  <w:marTop w:val="0"/>
                  <w:marBottom w:val="0"/>
                  <w:divBdr>
                    <w:top w:val="none" w:sz="0" w:space="0" w:color="auto"/>
                    <w:left w:val="none" w:sz="0" w:space="0" w:color="auto"/>
                    <w:bottom w:val="none" w:sz="0" w:space="0" w:color="auto"/>
                    <w:right w:val="none" w:sz="0" w:space="0" w:color="auto"/>
                  </w:divBdr>
                  <w:divsChild>
                    <w:div w:id="369647799">
                      <w:marLeft w:val="0"/>
                      <w:marRight w:val="0"/>
                      <w:marTop w:val="0"/>
                      <w:marBottom w:val="0"/>
                      <w:divBdr>
                        <w:top w:val="none" w:sz="0" w:space="0" w:color="auto"/>
                        <w:left w:val="none" w:sz="0" w:space="0" w:color="auto"/>
                        <w:bottom w:val="none" w:sz="0" w:space="0" w:color="auto"/>
                        <w:right w:val="none" w:sz="0" w:space="0" w:color="auto"/>
                      </w:divBdr>
                    </w:div>
                  </w:divsChild>
                </w:div>
                <w:div w:id="1862010401">
                  <w:marLeft w:val="0"/>
                  <w:marRight w:val="0"/>
                  <w:marTop w:val="0"/>
                  <w:marBottom w:val="0"/>
                  <w:divBdr>
                    <w:top w:val="none" w:sz="0" w:space="0" w:color="auto"/>
                    <w:left w:val="none" w:sz="0" w:space="0" w:color="auto"/>
                    <w:bottom w:val="none" w:sz="0" w:space="0" w:color="auto"/>
                    <w:right w:val="none" w:sz="0" w:space="0" w:color="auto"/>
                  </w:divBdr>
                  <w:divsChild>
                    <w:div w:id="689841865">
                      <w:marLeft w:val="0"/>
                      <w:marRight w:val="0"/>
                      <w:marTop w:val="0"/>
                      <w:marBottom w:val="0"/>
                      <w:divBdr>
                        <w:top w:val="none" w:sz="0" w:space="0" w:color="auto"/>
                        <w:left w:val="none" w:sz="0" w:space="0" w:color="auto"/>
                        <w:bottom w:val="none" w:sz="0" w:space="0" w:color="auto"/>
                        <w:right w:val="none" w:sz="0" w:space="0" w:color="auto"/>
                      </w:divBdr>
                    </w:div>
                  </w:divsChild>
                </w:div>
                <w:div w:id="1862279828">
                  <w:marLeft w:val="0"/>
                  <w:marRight w:val="0"/>
                  <w:marTop w:val="0"/>
                  <w:marBottom w:val="0"/>
                  <w:divBdr>
                    <w:top w:val="none" w:sz="0" w:space="0" w:color="auto"/>
                    <w:left w:val="none" w:sz="0" w:space="0" w:color="auto"/>
                    <w:bottom w:val="none" w:sz="0" w:space="0" w:color="auto"/>
                    <w:right w:val="none" w:sz="0" w:space="0" w:color="auto"/>
                  </w:divBdr>
                  <w:divsChild>
                    <w:div w:id="1834880554">
                      <w:marLeft w:val="0"/>
                      <w:marRight w:val="0"/>
                      <w:marTop w:val="0"/>
                      <w:marBottom w:val="0"/>
                      <w:divBdr>
                        <w:top w:val="none" w:sz="0" w:space="0" w:color="auto"/>
                        <w:left w:val="none" w:sz="0" w:space="0" w:color="auto"/>
                        <w:bottom w:val="none" w:sz="0" w:space="0" w:color="auto"/>
                        <w:right w:val="none" w:sz="0" w:space="0" w:color="auto"/>
                      </w:divBdr>
                    </w:div>
                  </w:divsChild>
                </w:div>
                <w:div w:id="1890530633">
                  <w:marLeft w:val="0"/>
                  <w:marRight w:val="0"/>
                  <w:marTop w:val="0"/>
                  <w:marBottom w:val="0"/>
                  <w:divBdr>
                    <w:top w:val="none" w:sz="0" w:space="0" w:color="auto"/>
                    <w:left w:val="none" w:sz="0" w:space="0" w:color="auto"/>
                    <w:bottom w:val="none" w:sz="0" w:space="0" w:color="auto"/>
                    <w:right w:val="none" w:sz="0" w:space="0" w:color="auto"/>
                  </w:divBdr>
                  <w:divsChild>
                    <w:div w:id="1855263628">
                      <w:marLeft w:val="0"/>
                      <w:marRight w:val="0"/>
                      <w:marTop w:val="0"/>
                      <w:marBottom w:val="0"/>
                      <w:divBdr>
                        <w:top w:val="none" w:sz="0" w:space="0" w:color="auto"/>
                        <w:left w:val="none" w:sz="0" w:space="0" w:color="auto"/>
                        <w:bottom w:val="none" w:sz="0" w:space="0" w:color="auto"/>
                        <w:right w:val="none" w:sz="0" w:space="0" w:color="auto"/>
                      </w:divBdr>
                    </w:div>
                  </w:divsChild>
                </w:div>
                <w:div w:id="1928071466">
                  <w:marLeft w:val="0"/>
                  <w:marRight w:val="0"/>
                  <w:marTop w:val="0"/>
                  <w:marBottom w:val="0"/>
                  <w:divBdr>
                    <w:top w:val="none" w:sz="0" w:space="0" w:color="auto"/>
                    <w:left w:val="none" w:sz="0" w:space="0" w:color="auto"/>
                    <w:bottom w:val="none" w:sz="0" w:space="0" w:color="auto"/>
                    <w:right w:val="none" w:sz="0" w:space="0" w:color="auto"/>
                  </w:divBdr>
                  <w:divsChild>
                    <w:div w:id="537087842">
                      <w:marLeft w:val="0"/>
                      <w:marRight w:val="0"/>
                      <w:marTop w:val="0"/>
                      <w:marBottom w:val="0"/>
                      <w:divBdr>
                        <w:top w:val="none" w:sz="0" w:space="0" w:color="auto"/>
                        <w:left w:val="none" w:sz="0" w:space="0" w:color="auto"/>
                        <w:bottom w:val="none" w:sz="0" w:space="0" w:color="auto"/>
                        <w:right w:val="none" w:sz="0" w:space="0" w:color="auto"/>
                      </w:divBdr>
                    </w:div>
                  </w:divsChild>
                </w:div>
                <w:div w:id="1929390139">
                  <w:marLeft w:val="0"/>
                  <w:marRight w:val="0"/>
                  <w:marTop w:val="0"/>
                  <w:marBottom w:val="0"/>
                  <w:divBdr>
                    <w:top w:val="none" w:sz="0" w:space="0" w:color="auto"/>
                    <w:left w:val="none" w:sz="0" w:space="0" w:color="auto"/>
                    <w:bottom w:val="none" w:sz="0" w:space="0" w:color="auto"/>
                    <w:right w:val="none" w:sz="0" w:space="0" w:color="auto"/>
                  </w:divBdr>
                  <w:divsChild>
                    <w:div w:id="1289358687">
                      <w:marLeft w:val="0"/>
                      <w:marRight w:val="0"/>
                      <w:marTop w:val="0"/>
                      <w:marBottom w:val="0"/>
                      <w:divBdr>
                        <w:top w:val="none" w:sz="0" w:space="0" w:color="auto"/>
                        <w:left w:val="none" w:sz="0" w:space="0" w:color="auto"/>
                        <w:bottom w:val="none" w:sz="0" w:space="0" w:color="auto"/>
                        <w:right w:val="none" w:sz="0" w:space="0" w:color="auto"/>
                      </w:divBdr>
                    </w:div>
                  </w:divsChild>
                </w:div>
                <w:div w:id="1936672817">
                  <w:marLeft w:val="0"/>
                  <w:marRight w:val="0"/>
                  <w:marTop w:val="0"/>
                  <w:marBottom w:val="0"/>
                  <w:divBdr>
                    <w:top w:val="none" w:sz="0" w:space="0" w:color="auto"/>
                    <w:left w:val="none" w:sz="0" w:space="0" w:color="auto"/>
                    <w:bottom w:val="none" w:sz="0" w:space="0" w:color="auto"/>
                    <w:right w:val="none" w:sz="0" w:space="0" w:color="auto"/>
                  </w:divBdr>
                  <w:divsChild>
                    <w:div w:id="1397631098">
                      <w:marLeft w:val="0"/>
                      <w:marRight w:val="0"/>
                      <w:marTop w:val="0"/>
                      <w:marBottom w:val="0"/>
                      <w:divBdr>
                        <w:top w:val="none" w:sz="0" w:space="0" w:color="auto"/>
                        <w:left w:val="none" w:sz="0" w:space="0" w:color="auto"/>
                        <w:bottom w:val="none" w:sz="0" w:space="0" w:color="auto"/>
                        <w:right w:val="none" w:sz="0" w:space="0" w:color="auto"/>
                      </w:divBdr>
                    </w:div>
                  </w:divsChild>
                </w:div>
                <w:div w:id="1940914820">
                  <w:marLeft w:val="0"/>
                  <w:marRight w:val="0"/>
                  <w:marTop w:val="0"/>
                  <w:marBottom w:val="0"/>
                  <w:divBdr>
                    <w:top w:val="none" w:sz="0" w:space="0" w:color="auto"/>
                    <w:left w:val="none" w:sz="0" w:space="0" w:color="auto"/>
                    <w:bottom w:val="none" w:sz="0" w:space="0" w:color="auto"/>
                    <w:right w:val="none" w:sz="0" w:space="0" w:color="auto"/>
                  </w:divBdr>
                  <w:divsChild>
                    <w:div w:id="96369662">
                      <w:marLeft w:val="0"/>
                      <w:marRight w:val="0"/>
                      <w:marTop w:val="0"/>
                      <w:marBottom w:val="0"/>
                      <w:divBdr>
                        <w:top w:val="none" w:sz="0" w:space="0" w:color="auto"/>
                        <w:left w:val="none" w:sz="0" w:space="0" w:color="auto"/>
                        <w:bottom w:val="none" w:sz="0" w:space="0" w:color="auto"/>
                        <w:right w:val="none" w:sz="0" w:space="0" w:color="auto"/>
                      </w:divBdr>
                    </w:div>
                  </w:divsChild>
                </w:div>
                <w:div w:id="1941984543">
                  <w:marLeft w:val="0"/>
                  <w:marRight w:val="0"/>
                  <w:marTop w:val="0"/>
                  <w:marBottom w:val="0"/>
                  <w:divBdr>
                    <w:top w:val="none" w:sz="0" w:space="0" w:color="auto"/>
                    <w:left w:val="none" w:sz="0" w:space="0" w:color="auto"/>
                    <w:bottom w:val="none" w:sz="0" w:space="0" w:color="auto"/>
                    <w:right w:val="none" w:sz="0" w:space="0" w:color="auto"/>
                  </w:divBdr>
                  <w:divsChild>
                    <w:div w:id="1004281774">
                      <w:marLeft w:val="0"/>
                      <w:marRight w:val="0"/>
                      <w:marTop w:val="0"/>
                      <w:marBottom w:val="0"/>
                      <w:divBdr>
                        <w:top w:val="none" w:sz="0" w:space="0" w:color="auto"/>
                        <w:left w:val="none" w:sz="0" w:space="0" w:color="auto"/>
                        <w:bottom w:val="none" w:sz="0" w:space="0" w:color="auto"/>
                        <w:right w:val="none" w:sz="0" w:space="0" w:color="auto"/>
                      </w:divBdr>
                    </w:div>
                  </w:divsChild>
                </w:div>
                <w:div w:id="1945570541">
                  <w:marLeft w:val="0"/>
                  <w:marRight w:val="0"/>
                  <w:marTop w:val="0"/>
                  <w:marBottom w:val="0"/>
                  <w:divBdr>
                    <w:top w:val="none" w:sz="0" w:space="0" w:color="auto"/>
                    <w:left w:val="none" w:sz="0" w:space="0" w:color="auto"/>
                    <w:bottom w:val="none" w:sz="0" w:space="0" w:color="auto"/>
                    <w:right w:val="none" w:sz="0" w:space="0" w:color="auto"/>
                  </w:divBdr>
                  <w:divsChild>
                    <w:div w:id="449399693">
                      <w:marLeft w:val="0"/>
                      <w:marRight w:val="0"/>
                      <w:marTop w:val="0"/>
                      <w:marBottom w:val="0"/>
                      <w:divBdr>
                        <w:top w:val="none" w:sz="0" w:space="0" w:color="auto"/>
                        <w:left w:val="none" w:sz="0" w:space="0" w:color="auto"/>
                        <w:bottom w:val="none" w:sz="0" w:space="0" w:color="auto"/>
                        <w:right w:val="none" w:sz="0" w:space="0" w:color="auto"/>
                      </w:divBdr>
                    </w:div>
                  </w:divsChild>
                </w:div>
                <w:div w:id="1956406473">
                  <w:marLeft w:val="0"/>
                  <w:marRight w:val="0"/>
                  <w:marTop w:val="0"/>
                  <w:marBottom w:val="0"/>
                  <w:divBdr>
                    <w:top w:val="none" w:sz="0" w:space="0" w:color="auto"/>
                    <w:left w:val="none" w:sz="0" w:space="0" w:color="auto"/>
                    <w:bottom w:val="none" w:sz="0" w:space="0" w:color="auto"/>
                    <w:right w:val="none" w:sz="0" w:space="0" w:color="auto"/>
                  </w:divBdr>
                  <w:divsChild>
                    <w:div w:id="1078329777">
                      <w:marLeft w:val="0"/>
                      <w:marRight w:val="0"/>
                      <w:marTop w:val="0"/>
                      <w:marBottom w:val="0"/>
                      <w:divBdr>
                        <w:top w:val="none" w:sz="0" w:space="0" w:color="auto"/>
                        <w:left w:val="none" w:sz="0" w:space="0" w:color="auto"/>
                        <w:bottom w:val="none" w:sz="0" w:space="0" w:color="auto"/>
                        <w:right w:val="none" w:sz="0" w:space="0" w:color="auto"/>
                      </w:divBdr>
                    </w:div>
                  </w:divsChild>
                </w:div>
                <w:div w:id="1964917724">
                  <w:marLeft w:val="0"/>
                  <w:marRight w:val="0"/>
                  <w:marTop w:val="0"/>
                  <w:marBottom w:val="0"/>
                  <w:divBdr>
                    <w:top w:val="none" w:sz="0" w:space="0" w:color="auto"/>
                    <w:left w:val="none" w:sz="0" w:space="0" w:color="auto"/>
                    <w:bottom w:val="none" w:sz="0" w:space="0" w:color="auto"/>
                    <w:right w:val="none" w:sz="0" w:space="0" w:color="auto"/>
                  </w:divBdr>
                  <w:divsChild>
                    <w:div w:id="1919825586">
                      <w:marLeft w:val="0"/>
                      <w:marRight w:val="0"/>
                      <w:marTop w:val="0"/>
                      <w:marBottom w:val="0"/>
                      <w:divBdr>
                        <w:top w:val="none" w:sz="0" w:space="0" w:color="auto"/>
                        <w:left w:val="none" w:sz="0" w:space="0" w:color="auto"/>
                        <w:bottom w:val="none" w:sz="0" w:space="0" w:color="auto"/>
                        <w:right w:val="none" w:sz="0" w:space="0" w:color="auto"/>
                      </w:divBdr>
                    </w:div>
                  </w:divsChild>
                </w:div>
                <w:div w:id="1996758222">
                  <w:marLeft w:val="0"/>
                  <w:marRight w:val="0"/>
                  <w:marTop w:val="0"/>
                  <w:marBottom w:val="0"/>
                  <w:divBdr>
                    <w:top w:val="none" w:sz="0" w:space="0" w:color="auto"/>
                    <w:left w:val="none" w:sz="0" w:space="0" w:color="auto"/>
                    <w:bottom w:val="none" w:sz="0" w:space="0" w:color="auto"/>
                    <w:right w:val="none" w:sz="0" w:space="0" w:color="auto"/>
                  </w:divBdr>
                  <w:divsChild>
                    <w:div w:id="305791082">
                      <w:marLeft w:val="0"/>
                      <w:marRight w:val="0"/>
                      <w:marTop w:val="0"/>
                      <w:marBottom w:val="0"/>
                      <w:divBdr>
                        <w:top w:val="none" w:sz="0" w:space="0" w:color="auto"/>
                        <w:left w:val="none" w:sz="0" w:space="0" w:color="auto"/>
                        <w:bottom w:val="none" w:sz="0" w:space="0" w:color="auto"/>
                        <w:right w:val="none" w:sz="0" w:space="0" w:color="auto"/>
                      </w:divBdr>
                    </w:div>
                  </w:divsChild>
                </w:div>
                <w:div w:id="1997420608">
                  <w:marLeft w:val="0"/>
                  <w:marRight w:val="0"/>
                  <w:marTop w:val="0"/>
                  <w:marBottom w:val="0"/>
                  <w:divBdr>
                    <w:top w:val="none" w:sz="0" w:space="0" w:color="auto"/>
                    <w:left w:val="none" w:sz="0" w:space="0" w:color="auto"/>
                    <w:bottom w:val="none" w:sz="0" w:space="0" w:color="auto"/>
                    <w:right w:val="none" w:sz="0" w:space="0" w:color="auto"/>
                  </w:divBdr>
                  <w:divsChild>
                    <w:div w:id="114951772">
                      <w:marLeft w:val="0"/>
                      <w:marRight w:val="0"/>
                      <w:marTop w:val="0"/>
                      <w:marBottom w:val="0"/>
                      <w:divBdr>
                        <w:top w:val="none" w:sz="0" w:space="0" w:color="auto"/>
                        <w:left w:val="none" w:sz="0" w:space="0" w:color="auto"/>
                        <w:bottom w:val="none" w:sz="0" w:space="0" w:color="auto"/>
                        <w:right w:val="none" w:sz="0" w:space="0" w:color="auto"/>
                      </w:divBdr>
                    </w:div>
                  </w:divsChild>
                </w:div>
                <w:div w:id="2002849661">
                  <w:marLeft w:val="0"/>
                  <w:marRight w:val="0"/>
                  <w:marTop w:val="0"/>
                  <w:marBottom w:val="0"/>
                  <w:divBdr>
                    <w:top w:val="none" w:sz="0" w:space="0" w:color="auto"/>
                    <w:left w:val="none" w:sz="0" w:space="0" w:color="auto"/>
                    <w:bottom w:val="none" w:sz="0" w:space="0" w:color="auto"/>
                    <w:right w:val="none" w:sz="0" w:space="0" w:color="auto"/>
                  </w:divBdr>
                  <w:divsChild>
                    <w:div w:id="1301612704">
                      <w:marLeft w:val="0"/>
                      <w:marRight w:val="0"/>
                      <w:marTop w:val="0"/>
                      <w:marBottom w:val="0"/>
                      <w:divBdr>
                        <w:top w:val="none" w:sz="0" w:space="0" w:color="auto"/>
                        <w:left w:val="none" w:sz="0" w:space="0" w:color="auto"/>
                        <w:bottom w:val="none" w:sz="0" w:space="0" w:color="auto"/>
                        <w:right w:val="none" w:sz="0" w:space="0" w:color="auto"/>
                      </w:divBdr>
                    </w:div>
                  </w:divsChild>
                </w:div>
                <w:div w:id="2007203252">
                  <w:marLeft w:val="0"/>
                  <w:marRight w:val="0"/>
                  <w:marTop w:val="0"/>
                  <w:marBottom w:val="0"/>
                  <w:divBdr>
                    <w:top w:val="none" w:sz="0" w:space="0" w:color="auto"/>
                    <w:left w:val="none" w:sz="0" w:space="0" w:color="auto"/>
                    <w:bottom w:val="none" w:sz="0" w:space="0" w:color="auto"/>
                    <w:right w:val="none" w:sz="0" w:space="0" w:color="auto"/>
                  </w:divBdr>
                  <w:divsChild>
                    <w:div w:id="57636365">
                      <w:marLeft w:val="0"/>
                      <w:marRight w:val="0"/>
                      <w:marTop w:val="0"/>
                      <w:marBottom w:val="0"/>
                      <w:divBdr>
                        <w:top w:val="none" w:sz="0" w:space="0" w:color="auto"/>
                        <w:left w:val="none" w:sz="0" w:space="0" w:color="auto"/>
                        <w:bottom w:val="none" w:sz="0" w:space="0" w:color="auto"/>
                        <w:right w:val="none" w:sz="0" w:space="0" w:color="auto"/>
                      </w:divBdr>
                    </w:div>
                  </w:divsChild>
                </w:div>
                <w:div w:id="2010713943">
                  <w:marLeft w:val="0"/>
                  <w:marRight w:val="0"/>
                  <w:marTop w:val="0"/>
                  <w:marBottom w:val="0"/>
                  <w:divBdr>
                    <w:top w:val="none" w:sz="0" w:space="0" w:color="auto"/>
                    <w:left w:val="none" w:sz="0" w:space="0" w:color="auto"/>
                    <w:bottom w:val="none" w:sz="0" w:space="0" w:color="auto"/>
                    <w:right w:val="none" w:sz="0" w:space="0" w:color="auto"/>
                  </w:divBdr>
                  <w:divsChild>
                    <w:div w:id="2005696494">
                      <w:marLeft w:val="0"/>
                      <w:marRight w:val="0"/>
                      <w:marTop w:val="0"/>
                      <w:marBottom w:val="0"/>
                      <w:divBdr>
                        <w:top w:val="none" w:sz="0" w:space="0" w:color="auto"/>
                        <w:left w:val="none" w:sz="0" w:space="0" w:color="auto"/>
                        <w:bottom w:val="none" w:sz="0" w:space="0" w:color="auto"/>
                        <w:right w:val="none" w:sz="0" w:space="0" w:color="auto"/>
                      </w:divBdr>
                    </w:div>
                  </w:divsChild>
                </w:div>
                <w:div w:id="2014870200">
                  <w:marLeft w:val="0"/>
                  <w:marRight w:val="0"/>
                  <w:marTop w:val="0"/>
                  <w:marBottom w:val="0"/>
                  <w:divBdr>
                    <w:top w:val="none" w:sz="0" w:space="0" w:color="auto"/>
                    <w:left w:val="none" w:sz="0" w:space="0" w:color="auto"/>
                    <w:bottom w:val="none" w:sz="0" w:space="0" w:color="auto"/>
                    <w:right w:val="none" w:sz="0" w:space="0" w:color="auto"/>
                  </w:divBdr>
                  <w:divsChild>
                    <w:div w:id="980812463">
                      <w:marLeft w:val="0"/>
                      <w:marRight w:val="0"/>
                      <w:marTop w:val="0"/>
                      <w:marBottom w:val="0"/>
                      <w:divBdr>
                        <w:top w:val="none" w:sz="0" w:space="0" w:color="auto"/>
                        <w:left w:val="none" w:sz="0" w:space="0" w:color="auto"/>
                        <w:bottom w:val="none" w:sz="0" w:space="0" w:color="auto"/>
                        <w:right w:val="none" w:sz="0" w:space="0" w:color="auto"/>
                      </w:divBdr>
                    </w:div>
                  </w:divsChild>
                </w:div>
                <w:div w:id="2035225377">
                  <w:marLeft w:val="0"/>
                  <w:marRight w:val="0"/>
                  <w:marTop w:val="0"/>
                  <w:marBottom w:val="0"/>
                  <w:divBdr>
                    <w:top w:val="none" w:sz="0" w:space="0" w:color="auto"/>
                    <w:left w:val="none" w:sz="0" w:space="0" w:color="auto"/>
                    <w:bottom w:val="none" w:sz="0" w:space="0" w:color="auto"/>
                    <w:right w:val="none" w:sz="0" w:space="0" w:color="auto"/>
                  </w:divBdr>
                  <w:divsChild>
                    <w:div w:id="1765958843">
                      <w:marLeft w:val="0"/>
                      <w:marRight w:val="0"/>
                      <w:marTop w:val="0"/>
                      <w:marBottom w:val="0"/>
                      <w:divBdr>
                        <w:top w:val="none" w:sz="0" w:space="0" w:color="auto"/>
                        <w:left w:val="none" w:sz="0" w:space="0" w:color="auto"/>
                        <w:bottom w:val="none" w:sz="0" w:space="0" w:color="auto"/>
                        <w:right w:val="none" w:sz="0" w:space="0" w:color="auto"/>
                      </w:divBdr>
                    </w:div>
                  </w:divsChild>
                </w:div>
                <w:div w:id="2056343755">
                  <w:marLeft w:val="0"/>
                  <w:marRight w:val="0"/>
                  <w:marTop w:val="0"/>
                  <w:marBottom w:val="0"/>
                  <w:divBdr>
                    <w:top w:val="none" w:sz="0" w:space="0" w:color="auto"/>
                    <w:left w:val="none" w:sz="0" w:space="0" w:color="auto"/>
                    <w:bottom w:val="none" w:sz="0" w:space="0" w:color="auto"/>
                    <w:right w:val="none" w:sz="0" w:space="0" w:color="auto"/>
                  </w:divBdr>
                  <w:divsChild>
                    <w:div w:id="632758407">
                      <w:marLeft w:val="0"/>
                      <w:marRight w:val="0"/>
                      <w:marTop w:val="0"/>
                      <w:marBottom w:val="0"/>
                      <w:divBdr>
                        <w:top w:val="none" w:sz="0" w:space="0" w:color="auto"/>
                        <w:left w:val="none" w:sz="0" w:space="0" w:color="auto"/>
                        <w:bottom w:val="none" w:sz="0" w:space="0" w:color="auto"/>
                        <w:right w:val="none" w:sz="0" w:space="0" w:color="auto"/>
                      </w:divBdr>
                    </w:div>
                  </w:divsChild>
                </w:div>
                <w:div w:id="2058312914">
                  <w:marLeft w:val="0"/>
                  <w:marRight w:val="0"/>
                  <w:marTop w:val="0"/>
                  <w:marBottom w:val="0"/>
                  <w:divBdr>
                    <w:top w:val="none" w:sz="0" w:space="0" w:color="auto"/>
                    <w:left w:val="none" w:sz="0" w:space="0" w:color="auto"/>
                    <w:bottom w:val="none" w:sz="0" w:space="0" w:color="auto"/>
                    <w:right w:val="none" w:sz="0" w:space="0" w:color="auto"/>
                  </w:divBdr>
                  <w:divsChild>
                    <w:div w:id="1289436821">
                      <w:marLeft w:val="0"/>
                      <w:marRight w:val="0"/>
                      <w:marTop w:val="0"/>
                      <w:marBottom w:val="0"/>
                      <w:divBdr>
                        <w:top w:val="none" w:sz="0" w:space="0" w:color="auto"/>
                        <w:left w:val="none" w:sz="0" w:space="0" w:color="auto"/>
                        <w:bottom w:val="none" w:sz="0" w:space="0" w:color="auto"/>
                        <w:right w:val="none" w:sz="0" w:space="0" w:color="auto"/>
                      </w:divBdr>
                    </w:div>
                  </w:divsChild>
                </w:div>
                <w:div w:id="2058894359">
                  <w:marLeft w:val="0"/>
                  <w:marRight w:val="0"/>
                  <w:marTop w:val="0"/>
                  <w:marBottom w:val="0"/>
                  <w:divBdr>
                    <w:top w:val="none" w:sz="0" w:space="0" w:color="auto"/>
                    <w:left w:val="none" w:sz="0" w:space="0" w:color="auto"/>
                    <w:bottom w:val="none" w:sz="0" w:space="0" w:color="auto"/>
                    <w:right w:val="none" w:sz="0" w:space="0" w:color="auto"/>
                  </w:divBdr>
                  <w:divsChild>
                    <w:div w:id="574247458">
                      <w:marLeft w:val="0"/>
                      <w:marRight w:val="0"/>
                      <w:marTop w:val="0"/>
                      <w:marBottom w:val="0"/>
                      <w:divBdr>
                        <w:top w:val="none" w:sz="0" w:space="0" w:color="auto"/>
                        <w:left w:val="none" w:sz="0" w:space="0" w:color="auto"/>
                        <w:bottom w:val="none" w:sz="0" w:space="0" w:color="auto"/>
                        <w:right w:val="none" w:sz="0" w:space="0" w:color="auto"/>
                      </w:divBdr>
                    </w:div>
                  </w:divsChild>
                </w:div>
                <w:div w:id="2061055532">
                  <w:marLeft w:val="0"/>
                  <w:marRight w:val="0"/>
                  <w:marTop w:val="0"/>
                  <w:marBottom w:val="0"/>
                  <w:divBdr>
                    <w:top w:val="none" w:sz="0" w:space="0" w:color="auto"/>
                    <w:left w:val="none" w:sz="0" w:space="0" w:color="auto"/>
                    <w:bottom w:val="none" w:sz="0" w:space="0" w:color="auto"/>
                    <w:right w:val="none" w:sz="0" w:space="0" w:color="auto"/>
                  </w:divBdr>
                  <w:divsChild>
                    <w:div w:id="1342120242">
                      <w:marLeft w:val="0"/>
                      <w:marRight w:val="0"/>
                      <w:marTop w:val="0"/>
                      <w:marBottom w:val="0"/>
                      <w:divBdr>
                        <w:top w:val="none" w:sz="0" w:space="0" w:color="auto"/>
                        <w:left w:val="none" w:sz="0" w:space="0" w:color="auto"/>
                        <w:bottom w:val="none" w:sz="0" w:space="0" w:color="auto"/>
                        <w:right w:val="none" w:sz="0" w:space="0" w:color="auto"/>
                      </w:divBdr>
                    </w:div>
                  </w:divsChild>
                </w:div>
                <w:div w:id="2068407897">
                  <w:marLeft w:val="0"/>
                  <w:marRight w:val="0"/>
                  <w:marTop w:val="0"/>
                  <w:marBottom w:val="0"/>
                  <w:divBdr>
                    <w:top w:val="none" w:sz="0" w:space="0" w:color="auto"/>
                    <w:left w:val="none" w:sz="0" w:space="0" w:color="auto"/>
                    <w:bottom w:val="none" w:sz="0" w:space="0" w:color="auto"/>
                    <w:right w:val="none" w:sz="0" w:space="0" w:color="auto"/>
                  </w:divBdr>
                  <w:divsChild>
                    <w:div w:id="657921245">
                      <w:marLeft w:val="0"/>
                      <w:marRight w:val="0"/>
                      <w:marTop w:val="0"/>
                      <w:marBottom w:val="0"/>
                      <w:divBdr>
                        <w:top w:val="none" w:sz="0" w:space="0" w:color="auto"/>
                        <w:left w:val="none" w:sz="0" w:space="0" w:color="auto"/>
                        <w:bottom w:val="none" w:sz="0" w:space="0" w:color="auto"/>
                        <w:right w:val="none" w:sz="0" w:space="0" w:color="auto"/>
                      </w:divBdr>
                    </w:div>
                  </w:divsChild>
                </w:div>
                <w:div w:id="2073117630">
                  <w:marLeft w:val="0"/>
                  <w:marRight w:val="0"/>
                  <w:marTop w:val="0"/>
                  <w:marBottom w:val="0"/>
                  <w:divBdr>
                    <w:top w:val="none" w:sz="0" w:space="0" w:color="auto"/>
                    <w:left w:val="none" w:sz="0" w:space="0" w:color="auto"/>
                    <w:bottom w:val="none" w:sz="0" w:space="0" w:color="auto"/>
                    <w:right w:val="none" w:sz="0" w:space="0" w:color="auto"/>
                  </w:divBdr>
                  <w:divsChild>
                    <w:div w:id="1538153899">
                      <w:marLeft w:val="0"/>
                      <w:marRight w:val="0"/>
                      <w:marTop w:val="0"/>
                      <w:marBottom w:val="0"/>
                      <w:divBdr>
                        <w:top w:val="none" w:sz="0" w:space="0" w:color="auto"/>
                        <w:left w:val="none" w:sz="0" w:space="0" w:color="auto"/>
                        <w:bottom w:val="none" w:sz="0" w:space="0" w:color="auto"/>
                        <w:right w:val="none" w:sz="0" w:space="0" w:color="auto"/>
                      </w:divBdr>
                    </w:div>
                  </w:divsChild>
                </w:div>
                <w:div w:id="2104450311">
                  <w:marLeft w:val="0"/>
                  <w:marRight w:val="0"/>
                  <w:marTop w:val="0"/>
                  <w:marBottom w:val="0"/>
                  <w:divBdr>
                    <w:top w:val="none" w:sz="0" w:space="0" w:color="auto"/>
                    <w:left w:val="none" w:sz="0" w:space="0" w:color="auto"/>
                    <w:bottom w:val="none" w:sz="0" w:space="0" w:color="auto"/>
                    <w:right w:val="none" w:sz="0" w:space="0" w:color="auto"/>
                  </w:divBdr>
                  <w:divsChild>
                    <w:div w:id="394620185">
                      <w:marLeft w:val="0"/>
                      <w:marRight w:val="0"/>
                      <w:marTop w:val="0"/>
                      <w:marBottom w:val="0"/>
                      <w:divBdr>
                        <w:top w:val="none" w:sz="0" w:space="0" w:color="auto"/>
                        <w:left w:val="none" w:sz="0" w:space="0" w:color="auto"/>
                        <w:bottom w:val="none" w:sz="0" w:space="0" w:color="auto"/>
                        <w:right w:val="none" w:sz="0" w:space="0" w:color="auto"/>
                      </w:divBdr>
                    </w:div>
                  </w:divsChild>
                </w:div>
                <w:div w:id="2123644214">
                  <w:marLeft w:val="0"/>
                  <w:marRight w:val="0"/>
                  <w:marTop w:val="0"/>
                  <w:marBottom w:val="0"/>
                  <w:divBdr>
                    <w:top w:val="none" w:sz="0" w:space="0" w:color="auto"/>
                    <w:left w:val="none" w:sz="0" w:space="0" w:color="auto"/>
                    <w:bottom w:val="none" w:sz="0" w:space="0" w:color="auto"/>
                    <w:right w:val="none" w:sz="0" w:space="0" w:color="auto"/>
                  </w:divBdr>
                  <w:divsChild>
                    <w:div w:id="190411881">
                      <w:marLeft w:val="0"/>
                      <w:marRight w:val="0"/>
                      <w:marTop w:val="0"/>
                      <w:marBottom w:val="0"/>
                      <w:divBdr>
                        <w:top w:val="none" w:sz="0" w:space="0" w:color="auto"/>
                        <w:left w:val="none" w:sz="0" w:space="0" w:color="auto"/>
                        <w:bottom w:val="none" w:sz="0" w:space="0" w:color="auto"/>
                        <w:right w:val="none" w:sz="0" w:space="0" w:color="auto"/>
                      </w:divBdr>
                    </w:div>
                  </w:divsChild>
                </w:div>
                <w:div w:id="2146461531">
                  <w:marLeft w:val="0"/>
                  <w:marRight w:val="0"/>
                  <w:marTop w:val="0"/>
                  <w:marBottom w:val="0"/>
                  <w:divBdr>
                    <w:top w:val="none" w:sz="0" w:space="0" w:color="auto"/>
                    <w:left w:val="none" w:sz="0" w:space="0" w:color="auto"/>
                    <w:bottom w:val="none" w:sz="0" w:space="0" w:color="auto"/>
                    <w:right w:val="none" w:sz="0" w:space="0" w:color="auto"/>
                  </w:divBdr>
                  <w:divsChild>
                    <w:div w:id="2114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455">
          <w:marLeft w:val="0"/>
          <w:marRight w:val="0"/>
          <w:marTop w:val="0"/>
          <w:marBottom w:val="0"/>
          <w:divBdr>
            <w:top w:val="none" w:sz="0" w:space="0" w:color="auto"/>
            <w:left w:val="none" w:sz="0" w:space="0" w:color="auto"/>
            <w:bottom w:val="none" w:sz="0" w:space="0" w:color="auto"/>
            <w:right w:val="none" w:sz="0" w:space="0" w:color="auto"/>
          </w:divBdr>
        </w:div>
        <w:div w:id="258828553">
          <w:marLeft w:val="0"/>
          <w:marRight w:val="0"/>
          <w:marTop w:val="0"/>
          <w:marBottom w:val="0"/>
          <w:divBdr>
            <w:top w:val="none" w:sz="0" w:space="0" w:color="auto"/>
            <w:left w:val="none" w:sz="0" w:space="0" w:color="auto"/>
            <w:bottom w:val="none" w:sz="0" w:space="0" w:color="auto"/>
            <w:right w:val="none" w:sz="0" w:space="0" w:color="auto"/>
          </w:divBdr>
          <w:divsChild>
            <w:div w:id="1234199459">
              <w:marLeft w:val="-75"/>
              <w:marRight w:val="0"/>
              <w:marTop w:val="30"/>
              <w:marBottom w:val="30"/>
              <w:divBdr>
                <w:top w:val="none" w:sz="0" w:space="0" w:color="auto"/>
                <w:left w:val="none" w:sz="0" w:space="0" w:color="auto"/>
                <w:bottom w:val="none" w:sz="0" w:space="0" w:color="auto"/>
                <w:right w:val="none" w:sz="0" w:space="0" w:color="auto"/>
              </w:divBdr>
              <w:divsChild>
                <w:div w:id="16199614">
                  <w:marLeft w:val="0"/>
                  <w:marRight w:val="0"/>
                  <w:marTop w:val="0"/>
                  <w:marBottom w:val="0"/>
                  <w:divBdr>
                    <w:top w:val="none" w:sz="0" w:space="0" w:color="auto"/>
                    <w:left w:val="none" w:sz="0" w:space="0" w:color="auto"/>
                    <w:bottom w:val="none" w:sz="0" w:space="0" w:color="auto"/>
                    <w:right w:val="none" w:sz="0" w:space="0" w:color="auto"/>
                  </w:divBdr>
                  <w:divsChild>
                    <w:div w:id="1945766552">
                      <w:marLeft w:val="0"/>
                      <w:marRight w:val="0"/>
                      <w:marTop w:val="0"/>
                      <w:marBottom w:val="0"/>
                      <w:divBdr>
                        <w:top w:val="none" w:sz="0" w:space="0" w:color="auto"/>
                        <w:left w:val="none" w:sz="0" w:space="0" w:color="auto"/>
                        <w:bottom w:val="none" w:sz="0" w:space="0" w:color="auto"/>
                        <w:right w:val="none" w:sz="0" w:space="0" w:color="auto"/>
                      </w:divBdr>
                    </w:div>
                  </w:divsChild>
                </w:div>
                <w:div w:id="20596520">
                  <w:marLeft w:val="0"/>
                  <w:marRight w:val="0"/>
                  <w:marTop w:val="0"/>
                  <w:marBottom w:val="0"/>
                  <w:divBdr>
                    <w:top w:val="none" w:sz="0" w:space="0" w:color="auto"/>
                    <w:left w:val="none" w:sz="0" w:space="0" w:color="auto"/>
                    <w:bottom w:val="none" w:sz="0" w:space="0" w:color="auto"/>
                    <w:right w:val="none" w:sz="0" w:space="0" w:color="auto"/>
                  </w:divBdr>
                  <w:divsChild>
                    <w:div w:id="1713654295">
                      <w:marLeft w:val="0"/>
                      <w:marRight w:val="0"/>
                      <w:marTop w:val="0"/>
                      <w:marBottom w:val="0"/>
                      <w:divBdr>
                        <w:top w:val="none" w:sz="0" w:space="0" w:color="auto"/>
                        <w:left w:val="none" w:sz="0" w:space="0" w:color="auto"/>
                        <w:bottom w:val="none" w:sz="0" w:space="0" w:color="auto"/>
                        <w:right w:val="none" w:sz="0" w:space="0" w:color="auto"/>
                      </w:divBdr>
                    </w:div>
                  </w:divsChild>
                </w:div>
                <w:div w:id="24521765">
                  <w:marLeft w:val="0"/>
                  <w:marRight w:val="0"/>
                  <w:marTop w:val="0"/>
                  <w:marBottom w:val="0"/>
                  <w:divBdr>
                    <w:top w:val="none" w:sz="0" w:space="0" w:color="auto"/>
                    <w:left w:val="none" w:sz="0" w:space="0" w:color="auto"/>
                    <w:bottom w:val="none" w:sz="0" w:space="0" w:color="auto"/>
                    <w:right w:val="none" w:sz="0" w:space="0" w:color="auto"/>
                  </w:divBdr>
                  <w:divsChild>
                    <w:div w:id="821122047">
                      <w:marLeft w:val="0"/>
                      <w:marRight w:val="0"/>
                      <w:marTop w:val="0"/>
                      <w:marBottom w:val="0"/>
                      <w:divBdr>
                        <w:top w:val="none" w:sz="0" w:space="0" w:color="auto"/>
                        <w:left w:val="none" w:sz="0" w:space="0" w:color="auto"/>
                        <w:bottom w:val="none" w:sz="0" w:space="0" w:color="auto"/>
                        <w:right w:val="none" w:sz="0" w:space="0" w:color="auto"/>
                      </w:divBdr>
                    </w:div>
                  </w:divsChild>
                </w:div>
                <w:div w:id="34620048">
                  <w:marLeft w:val="0"/>
                  <w:marRight w:val="0"/>
                  <w:marTop w:val="0"/>
                  <w:marBottom w:val="0"/>
                  <w:divBdr>
                    <w:top w:val="none" w:sz="0" w:space="0" w:color="auto"/>
                    <w:left w:val="none" w:sz="0" w:space="0" w:color="auto"/>
                    <w:bottom w:val="none" w:sz="0" w:space="0" w:color="auto"/>
                    <w:right w:val="none" w:sz="0" w:space="0" w:color="auto"/>
                  </w:divBdr>
                  <w:divsChild>
                    <w:div w:id="728378177">
                      <w:marLeft w:val="0"/>
                      <w:marRight w:val="0"/>
                      <w:marTop w:val="0"/>
                      <w:marBottom w:val="0"/>
                      <w:divBdr>
                        <w:top w:val="none" w:sz="0" w:space="0" w:color="auto"/>
                        <w:left w:val="none" w:sz="0" w:space="0" w:color="auto"/>
                        <w:bottom w:val="none" w:sz="0" w:space="0" w:color="auto"/>
                        <w:right w:val="none" w:sz="0" w:space="0" w:color="auto"/>
                      </w:divBdr>
                    </w:div>
                  </w:divsChild>
                </w:div>
                <w:div w:id="45685761">
                  <w:marLeft w:val="0"/>
                  <w:marRight w:val="0"/>
                  <w:marTop w:val="0"/>
                  <w:marBottom w:val="0"/>
                  <w:divBdr>
                    <w:top w:val="none" w:sz="0" w:space="0" w:color="auto"/>
                    <w:left w:val="none" w:sz="0" w:space="0" w:color="auto"/>
                    <w:bottom w:val="none" w:sz="0" w:space="0" w:color="auto"/>
                    <w:right w:val="none" w:sz="0" w:space="0" w:color="auto"/>
                  </w:divBdr>
                  <w:divsChild>
                    <w:div w:id="1248265703">
                      <w:marLeft w:val="0"/>
                      <w:marRight w:val="0"/>
                      <w:marTop w:val="0"/>
                      <w:marBottom w:val="0"/>
                      <w:divBdr>
                        <w:top w:val="none" w:sz="0" w:space="0" w:color="auto"/>
                        <w:left w:val="none" w:sz="0" w:space="0" w:color="auto"/>
                        <w:bottom w:val="none" w:sz="0" w:space="0" w:color="auto"/>
                        <w:right w:val="none" w:sz="0" w:space="0" w:color="auto"/>
                      </w:divBdr>
                    </w:div>
                  </w:divsChild>
                </w:div>
                <w:div w:id="81922362">
                  <w:marLeft w:val="0"/>
                  <w:marRight w:val="0"/>
                  <w:marTop w:val="0"/>
                  <w:marBottom w:val="0"/>
                  <w:divBdr>
                    <w:top w:val="none" w:sz="0" w:space="0" w:color="auto"/>
                    <w:left w:val="none" w:sz="0" w:space="0" w:color="auto"/>
                    <w:bottom w:val="none" w:sz="0" w:space="0" w:color="auto"/>
                    <w:right w:val="none" w:sz="0" w:space="0" w:color="auto"/>
                  </w:divBdr>
                  <w:divsChild>
                    <w:div w:id="850291473">
                      <w:marLeft w:val="0"/>
                      <w:marRight w:val="0"/>
                      <w:marTop w:val="0"/>
                      <w:marBottom w:val="0"/>
                      <w:divBdr>
                        <w:top w:val="none" w:sz="0" w:space="0" w:color="auto"/>
                        <w:left w:val="none" w:sz="0" w:space="0" w:color="auto"/>
                        <w:bottom w:val="none" w:sz="0" w:space="0" w:color="auto"/>
                        <w:right w:val="none" w:sz="0" w:space="0" w:color="auto"/>
                      </w:divBdr>
                    </w:div>
                  </w:divsChild>
                </w:div>
                <w:div w:id="86773552">
                  <w:marLeft w:val="0"/>
                  <w:marRight w:val="0"/>
                  <w:marTop w:val="0"/>
                  <w:marBottom w:val="0"/>
                  <w:divBdr>
                    <w:top w:val="none" w:sz="0" w:space="0" w:color="auto"/>
                    <w:left w:val="none" w:sz="0" w:space="0" w:color="auto"/>
                    <w:bottom w:val="none" w:sz="0" w:space="0" w:color="auto"/>
                    <w:right w:val="none" w:sz="0" w:space="0" w:color="auto"/>
                  </w:divBdr>
                  <w:divsChild>
                    <w:div w:id="772819099">
                      <w:marLeft w:val="0"/>
                      <w:marRight w:val="0"/>
                      <w:marTop w:val="0"/>
                      <w:marBottom w:val="0"/>
                      <w:divBdr>
                        <w:top w:val="none" w:sz="0" w:space="0" w:color="auto"/>
                        <w:left w:val="none" w:sz="0" w:space="0" w:color="auto"/>
                        <w:bottom w:val="none" w:sz="0" w:space="0" w:color="auto"/>
                        <w:right w:val="none" w:sz="0" w:space="0" w:color="auto"/>
                      </w:divBdr>
                    </w:div>
                  </w:divsChild>
                </w:div>
                <w:div w:id="86969079">
                  <w:marLeft w:val="0"/>
                  <w:marRight w:val="0"/>
                  <w:marTop w:val="0"/>
                  <w:marBottom w:val="0"/>
                  <w:divBdr>
                    <w:top w:val="none" w:sz="0" w:space="0" w:color="auto"/>
                    <w:left w:val="none" w:sz="0" w:space="0" w:color="auto"/>
                    <w:bottom w:val="none" w:sz="0" w:space="0" w:color="auto"/>
                    <w:right w:val="none" w:sz="0" w:space="0" w:color="auto"/>
                  </w:divBdr>
                  <w:divsChild>
                    <w:div w:id="907690302">
                      <w:marLeft w:val="0"/>
                      <w:marRight w:val="0"/>
                      <w:marTop w:val="0"/>
                      <w:marBottom w:val="0"/>
                      <w:divBdr>
                        <w:top w:val="none" w:sz="0" w:space="0" w:color="auto"/>
                        <w:left w:val="none" w:sz="0" w:space="0" w:color="auto"/>
                        <w:bottom w:val="none" w:sz="0" w:space="0" w:color="auto"/>
                        <w:right w:val="none" w:sz="0" w:space="0" w:color="auto"/>
                      </w:divBdr>
                    </w:div>
                  </w:divsChild>
                </w:div>
                <w:div w:id="92554644">
                  <w:marLeft w:val="0"/>
                  <w:marRight w:val="0"/>
                  <w:marTop w:val="0"/>
                  <w:marBottom w:val="0"/>
                  <w:divBdr>
                    <w:top w:val="none" w:sz="0" w:space="0" w:color="auto"/>
                    <w:left w:val="none" w:sz="0" w:space="0" w:color="auto"/>
                    <w:bottom w:val="none" w:sz="0" w:space="0" w:color="auto"/>
                    <w:right w:val="none" w:sz="0" w:space="0" w:color="auto"/>
                  </w:divBdr>
                  <w:divsChild>
                    <w:div w:id="203643807">
                      <w:marLeft w:val="0"/>
                      <w:marRight w:val="0"/>
                      <w:marTop w:val="0"/>
                      <w:marBottom w:val="0"/>
                      <w:divBdr>
                        <w:top w:val="none" w:sz="0" w:space="0" w:color="auto"/>
                        <w:left w:val="none" w:sz="0" w:space="0" w:color="auto"/>
                        <w:bottom w:val="none" w:sz="0" w:space="0" w:color="auto"/>
                        <w:right w:val="none" w:sz="0" w:space="0" w:color="auto"/>
                      </w:divBdr>
                    </w:div>
                  </w:divsChild>
                </w:div>
                <w:div w:id="113377708">
                  <w:marLeft w:val="0"/>
                  <w:marRight w:val="0"/>
                  <w:marTop w:val="0"/>
                  <w:marBottom w:val="0"/>
                  <w:divBdr>
                    <w:top w:val="none" w:sz="0" w:space="0" w:color="auto"/>
                    <w:left w:val="none" w:sz="0" w:space="0" w:color="auto"/>
                    <w:bottom w:val="none" w:sz="0" w:space="0" w:color="auto"/>
                    <w:right w:val="none" w:sz="0" w:space="0" w:color="auto"/>
                  </w:divBdr>
                  <w:divsChild>
                    <w:div w:id="697438169">
                      <w:marLeft w:val="0"/>
                      <w:marRight w:val="0"/>
                      <w:marTop w:val="0"/>
                      <w:marBottom w:val="0"/>
                      <w:divBdr>
                        <w:top w:val="none" w:sz="0" w:space="0" w:color="auto"/>
                        <w:left w:val="none" w:sz="0" w:space="0" w:color="auto"/>
                        <w:bottom w:val="none" w:sz="0" w:space="0" w:color="auto"/>
                        <w:right w:val="none" w:sz="0" w:space="0" w:color="auto"/>
                      </w:divBdr>
                    </w:div>
                  </w:divsChild>
                </w:div>
                <w:div w:id="134220208">
                  <w:marLeft w:val="0"/>
                  <w:marRight w:val="0"/>
                  <w:marTop w:val="0"/>
                  <w:marBottom w:val="0"/>
                  <w:divBdr>
                    <w:top w:val="none" w:sz="0" w:space="0" w:color="auto"/>
                    <w:left w:val="none" w:sz="0" w:space="0" w:color="auto"/>
                    <w:bottom w:val="none" w:sz="0" w:space="0" w:color="auto"/>
                    <w:right w:val="none" w:sz="0" w:space="0" w:color="auto"/>
                  </w:divBdr>
                  <w:divsChild>
                    <w:div w:id="1099984167">
                      <w:marLeft w:val="0"/>
                      <w:marRight w:val="0"/>
                      <w:marTop w:val="0"/>
                      <w:marBottom w:val="0"/>
                      <w:divBdr>
                        <w:top w:val="none" w:sz="0" w:space="0" w:color="auto"/>
                        <w:left w:val="none" w:sz="0" w:space="0" w:color="auto"/>
                        <w:bottom w:val="none" w:sz="0" w:space="0" w:color="auto"/>
                        <w:right w:val="none" w:sz="0" w:space="0" w:color="auto"/>
                      </w:divBdr>
                    </w:div>
                  </w:divsChild>
                </w:div>
                <w:div w:id="138544953">
                  <w:marLeft w:val="0"/>
                  <w:marRight w:val="0"/>
                  <w:marTop w:val="0"/>
                  <w:marBottom w:val="0"/>
                  <w:divBdr>
                    <w:top w:val="none" w:sz="0" w:space="0" w:color="auto"/>
                    <w:left w:val="none" w:sz="0" w:space="0" w:color="auto"/>
                    <w:bottom w:val="none" w:sz="0" w:space="0" w:color="auto"/>
                    <w:right w:val="none" w:sz="0" w:space="0" w:color="auto"/>
                  </w:divBdr>
                  <w:divsChild>
                    <w:div w:id="1263341032">
                      <w:marLeft w:val="0"/>
                      <w:marRight w:val="0"/>
                      <w:marTop w:val="0"/>
                      <w:marBottom w:val="0"/>
                      <w:divBdr>
                        <w:top w:val="none" w:sz="0" w:space="0" w:color="auto"/>
                        <w:left w:val="none" w:sz="0" w:space="0" w:color="auto"/>
                        <w:bottom w:val="none" w:sz="0" w:space="0" w:color="auto"/>
                        <w:right w:val="none" w:sz="0" w:space="0" w:color="auto"/>
                      </w:divBdr>
                    </w:div>
                  </w:divsChild>
                </w:div>
                <w:div w:id="140923378">
                  <w:marLeft w:val="0"/>
                  <w:marRight w:val="0"/>
                  <w:marTop w:val="0"/>
                  <w:marBottom w:val="0"/>
                  <w:divBdr>
                    <w:top w:val="none" w:sz="0" w:space="0" w:color="auto"/>
                    <w:left w:val="none" w:sz="0" w:space="0" w:color="auto"/>
                    <w:bottom w:val="none" w:sz="0" w:space="0" w:color="auto"/>
                    <w:right w:val="none" w:sz="0" w:space="0" w:color="auto"/>
                  </w:divBdr>
                  <w:divsChild>
                    <w:div w:id="1467309943">
                      <w:marLeft w:val="0"/>
                      <w:marRight w:val="0"/>
                      <w:marTop w:val="0"/>
                      <w:marBottom w:val="0"/>
                      <w:divBdr>
                        <w:top w:val="none" w:sz="0" w:space="0" w:color="auto"/>
                        <w:left w:val="none" w:sz="0" w:space="0" w:color="auto"/>
                        <w:bottom w:val="none" w:sz="0" w:space="0" w:color="auto"/>
                        <w:right w:val="none" w:sz="0" w:space="0" w:color="auto"/>
                      </w:divBdr>
                    </w:div>
                  </w:divsChild>
                </w:div>
                <w:div w:id="149370932">
                  <w:marLeft w:val="0"/>
                  <w:marRight w:val="0"/>
                  <w:marTop w:val="0"/>
                  <w:marBottom w:val="0"/>
                  <w:divBdr>
                    <w:top w:val="none" w:sz="0" w:space="0" w:color="auto"/>
                    <w:left w:val="none" w:sz="0" w:space="0" w:color="auto"/>
                    <w:bottom w:val="none" w:sz="0" w:space="0" w:color="auto"/>
                    <w:right w:val="none" w:sz="0" w:space="0" w:color="auto"/>
                  </w:divBdr>
                  <w:divsChild>
                    <w:div w:id="2017531929">
                      <w:marLeft w:val="0"/>
                      <w:marRight w:val="0"/>
                      <w:marTop w:val="0"/>
                      <w:marBottom w:val="0"/>
                      <w:divBdr>
                        <w:top w:val="none" w:sz="0" w:space="0" w:color="auto"/>
                        <w:left w:val="none" w:sz="0" w:space="0" w:color="auto"/>
                        <w:bottom w:val="none" w:sz="0" w:space="0" w:color="auto"/>
                        <w:right w:val="none" w:sz="0" w:space="0" w:color="auto"/>
                      </w:divBdr>
                    </w:div>
                  </w:divsChild>
                </w:div>
                <w:div w:id="151724217">
                  <w:marLeft w:val="0"/>
                  <w:marRight w:val="0"/>
                  <w:marTop w:val="0"/>
                  <w:marBottom w:val="0"/>
                  <w:divBdr>
                    <w:top w:val="none" w:sz="0" w:space="0" w:color="auto"/>
                    <w:left w:val="none" w:sz="0" w:space="0" w:color="auto"/>
                    <w:bottom w:val="none" w:sz="0" w:space="0" w:color="auto"/>
                    <w:right w:val="none" w:sz="0" w:space="0" w:color="auto"/>
                  </w:divBdr>
                  <w:divsChild>
                    <w:div w:id="1768382614">
                      <w:marLeft w:val="0"/>
                      <w:marRight w:val="0"/>
                      <w:marTop w:val="0"/>
                      <w:marBottom w:val="0"/>
                      <w:divBdr>
                        <w:top w:val="none" w:sz="0" w:space="0" w:color="auto"/>
                        <w:left w:val="none" w:sz="0" w:space="0" w:color="auto"/>
                        <w:bottom w:val="none" w:sz="0" w:space="0" w:color="auto"/>
                        <w:right w:val="none" w:sz="0" w:space="0" w:color="auto"/>
                      </w:divBdr>
                    </w:div>
                  </w:divsChild>
                </w:div>
                <w:div w:id="167256019">
                  <w:marLeft w:val="0"/>
                  <w:marRight w:val="0"/>
                  <w:marTop w:val="0"/>
                  <w:marBottom w:val="0"/>
                  <w:divBdr>
                    <w:top w:val="none" w:sz="0" w:space="0" w:color="auto"/>
                    <w:left w:val="none" w:sz="0" w:space="0" w:color="auto"/>
                    <w:bottom w:val="none" w:sz="0" w:space="0" w:color="auto"/>
                    <w:right w:val="none" w:sz="0" w:space="0" w:color="auto"/>
                  </w:divBdr>
                  <w:divsChild>
                    <w:div w:id="1284506070">
                      <w:marLeft w:val="0"/>
                      <w:marRight w:val="0"/>
                      <w:marTop w:val="0"/>
                      <w:marBottom w:val="0"/>
                      <w:divBdr>
                        <w:top w:val="none" w:sz="0" w:space="0" w:color="auto"/>
                        <w:left w:val="none" w:sz="0" w:space="0" w:color="auto"/>
                        <w:bottom w:val="none" w:sz="0" w:space="0" w:color="auto"/>
                        <w:right w:val="none" w:sz="0" w:space="0" w:color="auto"/>
                      </w:divBdr>
                    </w:div>
                  </w:divsChild>
                </w:div>
                <w:div w:id="182669151">
                  <w:marLeft w:val="0"/>
                  <w:marRight w:val="0"/>
                  <w:marTop w:val="0"/>
                  <w:marBottom w:val="0"/>
                  <w:divBdr>
                    <w:top w:val="none" w:sz="0" w:space="0" w:color="auto"/>
                    <w:left w:val="none" w:sz="0" w:space="0" w:color="auto"/>
                    <w:bottom w:val="none" w:sz="0" w:space="0" w:color="auto"/>
                    <w:right w:val="none" w:sz="0" w:space="0" w:color="auto"/>
                  </w:divBdr>
                  <w:divsChild>
                    <w:div w:id="1348559425">
                      <w:marLeft w:val="0"/>
                      <w:marRight w:val="0"/>
                      <w:marTop w:val="0"/>
                      <w:marBottom w:val="0"/>
                      <w:divBdr>
                        <w:top w:val="none" w:sz="0" w:space="0" w:color="auto"/>
                        <w:left w:val="none" w:sz="0" w:space="0" w:color="auto"/>
                        <w:bottom w:val="none" w:sz="0" w:space="0" w:color="auto"/>
                        <w:right w:val="none" w:sz="0" w:space="0" w:color="auto"/>
                      </w:divBdr>
                    </w:div>
                  </w:divsChild>
                </w:div>
                <w:div w:id="193036105">
                  <w:marLeft w:val="0"/>
                  <w:marRight w:val="0"/>
                  <w:marTop w:val="0"/>
                  <w:marBottom w:val="0"/>
                  <w:divBdr>
                    <w:top w:val="none" w:sz="0" w:space="0" w:color="auto"/>
                    <w:left w:val="none" w:sz="0" w:space="0" w:color="auto"/>
                    <w:bottom w:val="none" w:sz="0" w:space="0" w:color="auto"/>
                    <w:right w:val="none" w:sz="0" w:space="0" w:color="auto"/>
                  </w:divBdr>
                  <w:divsChild>
                    <w:div w:id="212889691">
                      <w:marLeft w:val="0"/>
                      <w:marRight w:val="0"/>
                      <w:marTop w:val="0"/>
                      <w:marBottom w:val="0"/>
                      <w:divBdr>
                        <w:top w:val="none" w:sz="0" w:space="0" w:color="auto"/>
                        <w:left w:val="none" w:sz="0" w:space="0" w:color="auto"/>
                        <w:bottom w:val="none" w:sz="0" w:space="0" w:color="auto"/>
                        <w:right w:val="none" w:sz="0" w:space="0" w:color="auto"/>
                      </w:divBdr>
                    </w:div>
                  </w:divsChild>
                </w:div>
                <w:div w:id="208537695">
                  <w:marLeft w:val="0"/>
                  <w:marRight w:val="0"/>
                  <w:marTop w:val="0"/>
                  <w:marBottom w:val="0"/>
                  <w:divBdr>
                    <w:top w:val="none" w:sz="0" w:space="0" w:color="auto"/>
                    <w:left w:val="none" w:sz="0" w:space="0" w:color="auto"/>
                    <w:bottom w:val="none" w:sz="0" w:space="0" w:color="auto"/>
                    <w:right w:val="none" w:sz="0" w:space="0" w:color="auto"/>
                  </w:divBdr>
                  <w:divsChild>
                    <w:div w:id="1287783708">
                      <w:marLeft w:val="0"/>
                      <w:marRight w:val="0"/>
                      <w:marTop w:val="0"/>
                      <w:marBottom w:val="0"/>
                      <w:divBdr>
                        <w:top w:val="none" w:sz="0" w:space="0" w:color="auto"/>
                        <w:left w:val="none" w:sz="0" w:space="0" w:color="auto"/>
                        <w:bottom w:val="none" w:sz="0" w:space="0" w:color="auto"/>
                        <w:right w:val="none" w:sz="0" w:space="0" w:color="auto"/>
                      </w:divBdr>
                    </w:div>
                  </w:divsChild>
                </w:div>
                <w:div w:id="210307298">
                  <w:marLeft w:val="0"/>
                  <w:marRight w:val="0"/>
                  <w:marTop w:val="0"/>
                  <w:marBottom w:val="0"/>
                  <w:divBdr>
                    <w:top w:val="none" w:sz="0" w:space="0" w:color="auto"/>
                    <w:left w:val="none" w:sz="0" w:space="0" w:color="auto"/>
                    <w:bottom w:val="none" w:sz="0" w:space="0" w:color="auto"/>
                    <w:right w:val="none" w:sz="0" w:space="0" w:color="auto"/>
                  </w:divBdr>
                  <w:divsChild>
                    <w:div w:id="228275504">
                      <w:marLeft w:val="0"/>
                      <w:marRight w:val="0"/>
                      <w:marTop w:val="0"/>
                      <w:marBottom w:val="0"/>
                      <w:divBdr>
                        <w:top w:val="none" w:sz="0" w:space="0" w:color="auto"/>
                        <w:left w:val="none" w:sz="0" w:space="0" w:color="auto"/>
                        <w:bottom w:val="none" w:sz="0" w:space="0" w:color="auto"/>
                        <w:right w:val="none" w:sz="0" w:space="0" w:color="auto"/>
                      </w:divBdr>
                    </w:div>
                  </w:divsChild>
                </w:div>
                <w:div w:id="234441149">
                  <w:marLeft w:val="0"/>
                  <w:marRight w:val="0"/>
                  <w:marTop w:val="0"/>
                  <w:marBottom w:val="0"/>
                  <w:divBdr>
                    <w:top w:val="none" w:sz="0" w:space="0" w:color="auto"/>
                    <w:left w:val="none" w:sz="0" w:space="0" w:color="auto"/>
                    <w:bottom w:val="none" w:sz="0" w:space="0" w:color="auto"/>
                    <w:right w:val="none" w:sz="0" w:space="0" w:color="auto"/>
                  </w:divBdr>
                  <w:divsChild>
                    <w:div w:id="2075927428">
                      <w:marLeft w:val="0"/>
                      <w:marRight w:val="0"/>
                      <w:marTop w:val="0"/>
                      <w:marBottom w:val="0"/>
                      <w:divBdr>
                        <w:top w:val="none" w:sz="0" w:space="0" w:color="auto"/>
                        <w:left w:val="none" w:sz="0" w:space="0" w:color="auto"/>
                        <w:bottom w:val="none" w:sz="0" w:space="0" w:color="auto"/>
                        <w:right w:val="none" w:sz="0" w:space="0" w:color="auto"/>
                      </w:divBdr>
                    </w:div>
                  </w:divsChild>
                </w:div>
                <w:div w:id="235937873">
                  <w:marLeft w:val="0"/>
                  <w:marRight w:val="0"/>
                  <w:marTop w:val="0"/>
                  <w:marBottom w:val="0"/>
                  <w:divBdr>
                    <w:top w:val="none" w:sz="0" w:space="0" w:color="auto"/>
                    <w:left w:val="none" w:sz="0" w:space="0" w:color="auto"/>
                    <w:bottom w:val="none" w:sz="0" w:space="0" w:color="auto"/>
                    <w:right w:val="none" w:sz="0" w:space="0" w:color="auto"/>
                  </w:divBdr>
                  <w:divsChild>
                    <w:div w:id="476260942">
                      <w:marLeft w:val="0"/>
                      <w:marRight w:val="0"/>
                      <w:marTop w:val="0"/>
                      <w:marBottom w:val="0"/>
                      <w:divBdr>
                        <w:top w:val="none" w:sz="0" w:space="0" w:color="auto"/>
                        <w:left w:val="none" w:sz="0" w:space="0" w:color="auto"/>
                        <w:bottom w:val="none" w:sz="0" w:space="0" w:color="auto"/>
                        <w:right w:val="none" w:sz="0" w:space="0" w:color="auto"/>
                      </w:divBdr>
                    </w:div>
                  </w:divsChild>
                </w:div>
                <w:div w:id="242178441">
                  <w:marLeft w:val="0"/>
                  <w:marRight w:val="0"/>
                  <w:marTop w:val="0"/>
                  <w:marBottom w:val="0"/>
                  <w:divBdr>
                    <w:top w:val="none" w:sz="0" w:space="0" w:color="auto"/>
                    <w:left w:val="none" w:sz="0" w:space="0" w:color="auto"/>
                    <w:bottom w:val="none" w:sz="0" w:space="0" w:color="auto"/>
                    <w:right w:val="none" w:sz="0" w:space="0" w:color="auto"/>
                  </w:divBdr>
                  <w:divsChild>
                    <w:div w:id="869150747">
                      <w:marLeft w:val="0"/>
                      <w:marRight w:val="0"/>
                      <w:marTop w:val="0"/>
                      <w:marBottom w:val="0"/>
                      <w:divBdr>
                        <w:top w:val="none" w:sz="0" w:space="0" w:color="auto"/>
                        <w:left w:val="none" w:sz="0" w:space="0" w:color="auto"/>
                        <w:bottom w:val="none" w:sz="0" w:space="0" w:color="auto"/>
                        <w:right w:val="none" w:sz="0" w:space="0" w:color="auto"/>
                      </w:divBdr>
                    </w:div>
                  </w:divsChild>
                </w:div>
                <w:div w:id="269897874">
                  <w:marLeft w:val="0"/>
                  <w:marRight w:val="0"/>
                  <w:marTop w:val="0"/>
                  <w:marBottom w:val="0"/>
                  <w:divBdr>
                    <w:top w:val="none" w:sz="0" w:space="0" w:color="auto"/>
                    <w:left w:val="none" w:sz="0" w:space="0" w:color="auto"/>
                    <w:bottom w:val="none" w:sz="0" w:space="0" w:color="auto"/>
                    <w:right w:val="none" w:sz="0" w:space="0" w:color="auto"/>
                  </w:divBdr>
                  <w:divsChild>
                    <w:div w:id="137698343">
                      <w:marLeft w:val="0"/>
                      <w:marRight w:val="0"/>
                      <w:marTop w:val="0"/>
                      <w:marBottom w:val="0"/>
                      <w:divBdr>
                        <w:top w:val="none" w:sz="0" w:space="0" w:color="auto"/>
                        <w:left w:val="none" w:sz="0" w:space="0" w:color="auto"/>
                        <w:bottom w:val="none" w:sz="0" w:space="0" w:color="auto"/>
                        <w:right w:val="none" w:sz="0" w:space="0" w:color="auto"/>
                      </w:divBdr>
                    </w:div>
                  </w:divsChild>
                </w:div>
                <w:div w:id="270285891">
                  <w:marLeft w:val="0"/>
                  <w:marRight w:val="0"/>
                  <w:marTop w:val="0"/>
                  <w:marBottom w:val="0"/>
                  <w:divBdr>
                    <w:top w:val="none" w:sz="0" w:space="0" w:color="auto"/>
                    <w:left w:val="none" w:sz="0" w:space="0" w:color="auto"/>
                    <w:bottom w:val="none" w:sz="0" w:space="0" w:color="auto"/>
                    <w:right w:val="none" w:sz="0" w:space="0" w:color="auto"/>
                  </w:divBdr>
                  <w:divsChild>
                    <w:div w:id="182938492">
                      <w:marLeft w:val="0"/>
                      <w:marRight w:val="0"/>
                      <w:marTop w:val="0"/>
                      <w:marBottom w:val="0"/>
                      <w:divBdr>
                        <w:top w:val="none" w:sz="0" w:space="0" w:color="auto"/>
                        <w:left w:val="none" w:sz="0" w:space="0" w:color="auto"/>
                        <w:bottom w:val="none" w:sz="0" w:space="0" w:color="auto"/>
                        <w:right w:val="none" w:sz="0" w:space="0" w:color="auto"/>
                      </w:divBdr>
                    </w:div>
                  </w:divsChild>
                </w:div>
                <w:div w:id="278682307">
                  <w:marLeft w:val="0"/>
                  <w:marRight w:val="0"/>
                  <w:marTop w:val="0"/>
                  <w:marBottom w:val="0"/>
                  <w:divBdr>
                    <w:top w:val="none" w:sz="0" w:space="0" w:color="auto"/>
                    <w:left w:val="none" w:sz="0" w:space="0" w:color="auto"/>
                    <w:bottom w:val="none" w:sz="0" w:space="0" w:color="auto"/>
                    <w:right w:val="none" w:sz="0" w:space="0" w:color="auto"/>
                  </w:divBdr>
                  <w:divsChild>
                    <w:div w:id="399209394">
                      <w:marLeft w:val="0"/>
                      <w:marRight w:val="0"/>
                      <w:marTop w:val="0"/>
                      <w:marBottom w:val="0"/>
                      <w:divBdr>
                        <w:top w:val="none" w:sz="0" w:space="0" w:color="auto"/>
                        <w:left w:val="none" w:sz="0" w:space="0" w:color="auto"/>
                        <w:bottom w:val="none" w:sz="0" w:space="0" w:color="auto"/>
                        <w:right w:val="none" w:sz="0" w:space="0" w:color="auto"/>
                      </w:divBdr>
                    </w:div>
                  </w:divsChild>
                </w:div>
                <w:div w:id="278803552">
                  <w:marLeft w:val="0"/>
                  <w:marRight w:val="0"/>
                  <w:marTop w:val="0"/>
                  <w:marBottom w:val="0"/>
                  <w:divBdr>
                    <w:top w:val="none" w:sz="0" w:space="0" w:color="auto"/>
                    <w:left w:val="none" w:sz="0" w:space="0" w:color="auto"/>
                    <w:bottom w:val="none" w:sz="0" w:space="0" w:color="auto"/>
                    <w:right w:val="none" w:sz="0" w:space="0" w:color="auto"/>
                  </w:divBdr>
                  <w:divsChild>
                    <w:div w:id="996306372">
                      <w:marLeft w:val="0"/>
                      <w:marRight w:val="0"/>
                      <w:marTop w:val="0"/>
                      <w:marBottom w:val="0"/>
                      <w:divBdr>
                        <w:top w:val="none" w:sz="0" w:space="0" w:color="auto"/>
                        <w:left w:val="none" w:sz="0" w:space="0" w:color="auto"/>
                        <w:bottom w:val="none" w:sz="0" w:space="0" w:color="auto"/>
                        <w:right w:val="none" w:sz="0" w:space="0" w:color="auto"/>
                      </w:divBdr>
                    </w:div>
                  </w:divsChild>
                </w:div>
                <w:div w:id="285158419">
                  <w:marLeft w:val="0"/>
                  <w:marRight w:val="0"/>
                  <w:marTop w:val="0"/>
                  <w:marBottom w:val="0"/>
                  <w:divBdr>
                    <w:top w:val="none" w:sz="0" w:space="0" w:color="auto"/>
                    <w:left w:val="none" w:sz="0" w:space="0" w:color="auto"/>
                    <w:bottom w:val="none" w:sz="0" w:space="0" w:color="auto"/>
                    <w:right w:val="none" w:sz="0" w:space="0" w:color="auto"/>
                  </w:divBdr>
                  <w:divsChild>
                    <w:div w:id="1194465012">
                      <w:marLeft w:val="0"/>
                      <w:marRight w:val="0"/>
                      <w:marTop w:val="0"/>
                      <w:marBottom w:val="0"/>
                      <w:divBdr>
                        <w:top w:val="none" w:sz="0" w:space="0" w:color="auto"/>
                        <w:left w:val="none" w:sz="0" w:space="0" w:color="auto"/>
                        <w:bottom w:val="none" w:sz="0" w:space="0" w:color="auto"/>
                        <w:right w:val="none" w:sz="0" w:space="0" w:color="auto"/>
                      </w:divBdr>
                    </w:div>
                  </w:divsChild>
                </w:div>
                <w:div w:id="292489696">
                  <w:marLeft w:val="0"/>
                  <w:marRight w:val="0"/>
                  <w:marTop w:val="0"/>
                  <w:marBottom w:val="0"/>
                  <w:divBdr>
                    <w:top w:val="none" w:sz="0" w:space="0" w:color="auto"/>
                    <w:left w:val="none" w:sz="0" w:space="0" w:color="auto"/>
                    <w:bottom w:val="none" w:sz="0" w:space="0" w:color="auto"/>
                    <w:right w:val="none" w:sz="0" w:space="0" w:color="auto"/>
                  </w:divBdr>
                  <w:divsChild>
                    <w:div w:id="1753967050">
                      <w:marLeft w:val="0"/>
                      <w:marRight w:val="0"/>
                      <w:marTop w:val="0"/>
                      <w:marBottom w:val="0"/>
                      <w:divBdr>
                        <w:top w:val="none" w:sz="0" w:space="0" w:color="auto"/>
                        <w:left w:val="none" w:sz="0" w:space="0" w:color="auto"/>
                        <w:bottom w:val="none" w:sz="0" w:space="0" w:color="auto"/>
                        <w:right w:val="none" w:sz="0" w:space="0" w:color="auto"/>
                      </w:divBdr>
                    </w:div>
                  </w:divsChild>
                </w:div>
                <w:div w:id="301663413">
                  <w:marLeft w:val="0"/>
                  <w:marRight w:val="0"/>
                  <w:marTop w:val="0"/>
                  <w:marBottom w:val="0"/>
                  <w:divBdr>
                    <w:top w:val="none" w:sz="0" w:space="0" w:color="auto"/>
                    <w:left w:val="none" w:sz="0" w:space="0" w:color="auto"/>
                    <w:bottom w:val="none" w:sz="0" w:space="0" w:color="auto"/>
                    <w:right w:val="none" w:sz="0" w:space="0" w:color="auto"/>
                  </w:divBdr>
                  <w:divsChild>
                    <w:div w:id="349111777">
                      <w:marLeft w:val="0"/>
                      <w:marRight w:val="0"/>
                      <w:marTop w:val="0"/>
                      <w:marBottom w:val="0"/>
                      <w:divBdr>
                        <w:top w:val="none" w:sz="0" w:space="0" w:color="auto"/>
                        <w:left w:val="none" w:sz="0" w:space="0" w:color="auto"/>
                        <w:bottom w:val="none" w:sz="0" w:space="0" w:color="auto"/>
                        <w:right w:val="none" w:sz="0" w:space="0" w:color="auto"/>
                      </w:divBdr>
                    </w:div>
                  </w:divsChild>
                </w:div>
                <w:div w:id="314383995">
                  <w:marLeft w:val="0"/>
                  <w:marRight w:val="0"/>
                  <w:marTop w:val="0"/>
                  <w:marBottom w:val="0"/>
                  <w:divBdr>
                    <w:top w:val="none" w:sz="0" w:space="0" w:color="auto"/>
                    <w:left w:val="none" w:sz="0" w:space="0" w:color="auto"/>
                    <w:bottom w:val="none" w:sz="0" w:space="0" w:color="auto"/>
                    <w:right w:val="none" w:sz="0" w:space="0" w:color="auto"/>
                  </w:divBdr>
                  <w:divsChild>
                    <w:div w:id="1620453860">
                      <w:marLeft w:val="0"/>
                      <w:marRight w:val="0"/>
                      <w:marTop w:val="0"/>
                      <w:marBottom w:val="0"/>
                      <w:divBdr>
                        <w:top w:val="none" w:sz="0" w:space="0" w:color="auto"/>
                        <w:left w:val="none" w:sz="0" w:space="0" w:color="auto"/>
                        <w:bottom w:val="none" w:sz="0" w:space="0" w:color="auto"/>
                        <w:right w:val="none" w:sz="0" w:space="0" w:color="auto"/>
                      </w:divBdr>
                    </w:div>
                  </w:divsChild>
                </w:div>
                <w:div w:id="358118090">
                  <w:marLeft w:val="0"/>
                  <w:marRight w:val="0"/>
                  <w:marTop w:val="0"/>
                  <w:marBottom w:val="0"/>
                  <w:divBdr>
                    <w:top w:val="none" w:sz="0" w:space="0" w:color="auto"/>
                    <w:left w:val="none" w:sz="0" w:space="0" w:color="auto"/>
                    <w:bottom w:val="none" w:sz="0" w:space="0" w:color="auto"/>
                    <w:right w:val="none" w:sz="0" w:space="0" w:color="auto"/>
                  </w:divBdr>
                  <w:divsChild>
                    <w:div w:id="769394442">
                      <w:marLeft w:val="0"/>
                      <w:marRight w:val="0"/>
                      <w:marTop w:val="0"/>
                      <w:marBottom w:val="0"/>
                      <w:divBdr>
                        <w:top w:val="none" w:sz="0" w:space="0" w:color="auto"/>
                        <w:left w:val="none" w:sz="0" w:space="0" w:color="auto"/>
                        <w:bottom w:val="none" w:sz="0" w:space="0" w:color="auto"/>
                        <w:right w:val="none" w:sz="0" w:space="0" w:color="auto"/>
                      </w:divBdr>
                    </w:div>
                  </w:divsChild>
                </w:div>
                <w:div w:id="379014943">
                  <w:marLeft w:val="0"/>
                  <w:marRight w:val="0"/>
                  <w:marTop w:val="0"/>
                  <w:marBottom w:val="0"/>
                  <w:divBdr>
                    <w:top w:val="none" w:sz="0" w:space="0" w:color="auto"/>
                    <w:left w:val="none" w:sz="0" w:space="0" w:color="auto"/>
                    <w:bottom w:val="none" w:sz="0" w:space="0" w:color="auto"/>
                    <w:right w:val="none" w:sz="0" w:space="0" w:color="auto"/>
                  </w:divBdr>
                  <w:divsChild>
                    <w:div w:id="1134911505">
                      <w:marLeft w:val="0"/>
                      <w:marRight w:val="0"/>
                      <w:marTop w:val="0"/>
                      <w:marBottom w:val="0"/>
                      <w:divBdr>
                        <w:top w:val="none" w:sz="0" w:space="0" w:color="auto"/>
                        <w:left w:val="none" w:sz="0" w:space="0" w:color="auto"/>
                        <w:bottom w:val="none" w:sz="0" w:space="0" w:color="auto"/>
                        <w:right w:val="none" w:sz="0" w:space="0" w:color="auto"/>
                      </w:divBdr>
                    </w:div>
                  </w:divsChild>
                </w:div>
                <w:div w:id="400059270">
                  <w:marLeft w:val="0"/>
                  <w:marRight w:val="0"/>
                  <w:marTop w:val="0"/>
                  <w:marBottom w:val="0"/>
                  <w:divBdr>
                    <w:top w:val="none" w:sz="0" w:space="0" w:color="auto"/>
                    <w:left w:val="none" w:sz="0" w:space="0" w:color="auto"/>
                    <w:bottom w:val="none" w:sz="0" w:space="0" w:color="auto"/>
                    <w:right w:val="none" w:sz="0" w:space="0" w:color="auto"/>
                  </w:divBdr>
                  <w:divsChild>
                    <w:div w:id="1125076918">
                      <w:marLeft w:val="0"/>
                      <w:marRight w:val="0"/>
                      <w:marTop w:val="0"/>
                      <w:marBottom w:val="0"/>
                      <w:divBdr>
                        <w:top w:val="none" w:sz="0" w:space="0" w:color="auto"/>
                        <w:left w:val="none" w:sz="0" w:space="0" w:color="auto"/>
                        <w:bottom w:val="none" w:sz="0" w:space="0" w:color="auto"/>
                        <w:right w:val="none" w:sz="0" w:space="0" w:color="auto"/>
                      </w:divBdr>
                    </w:div>
                  </w:divsChild>
                </w:div>
                <w:div w:id="434523369">
                  <w:marLeft w:val="0"/>
                  <w:marRight w:val="0"/>
                  <w:marTop w:val="0"/>
                  <w:marBottom w:val="0"/>
                  <w:divBdr>
                    <w:top w:val="none" w:sz="0" w:space="0" w:color="auto"/>
                    <w:left w:val="none" w:sz="0" w:space="0" w:color="auto"/>
                    <w:bottom w:val="none" w:sz="0" w:space="0" w:color="auto"/>
                    <w:right w:val="none" w:sz="0" w:space="0" w:color="auto"/>
                  </w:divBdr>
                  <w:divsChild>
                    <w:div w:id="95178555">
                      <w:marLeft w:val="0"/>
                      <w:marRight w:val="0"/>
                      <w:marTop w:val="0"/>
                      <w:marBottom w:val="0"/>
                      <w:divBdr>
                        <w:top w:val="none" w:sz="0" w:space="0" w:color="auto"/>
                        <w:left w:val="none" w:sz="0" w:space="0" w:color="auto"/>
                        <w:bottom w:val="none" w:sz="0" w:space="0" w:color="auto"/>
                        <w:right w:val="none" w:sz="0" w:space="0" w:color="auto"/>
                      </w:divBdr>
                    </w:div>
                  </w:divsChild>
                </w:div>
                <w:div w:id="445270694">
                  <w:marLeft w:val="0"/>
                  <w:marRight w:val="0"/>
                  <w:marTop w:val="0"/>
                  <w:marBottom w:val="0"/>
                  <w:divBdr>
                    <w:top w:val="none" w:sz="0" w:space="0" w:color="auto"/>
                    <w:left w:val="none" w:sz="0" w:space="0" w:color="auto"/>
                    <w:bottom w:val="none" w:sz="0" w:space="0" w:color="auto"/>
                    <w:right w:val="none" w:sz="0" w:space="0" w:color="auto"/>
                  </w:divBdr>
                  <w:divsChild>
                    <w:div w:id="1618292316">
                      <w:marLeft w:val="0"/>
                      <w:marRight w:val="0"/>
                      <w:marTop w:val="0"/>
                      <w:marBottom w:val="0"/>
                      <w:divBdr>
                        <w:top w:val="none" w:sz="0" w:space="0" w:color="auto"/>
                        <w:left w:val="none" w:sz="0" w:space="0" w:color="auto"/>
                        <w:bottom w:val="none" w:sz="0" w:space="0" w:color="auto"/>
                        <w:right w:val="none" w:sz="0" w:space="0" w:color="auto"/>
                      </w:divBdr>
                    </w:div>
                  </w:divsChild>
                </w:div>
                <w:div w:id="459538971">
                  <w:marLeft w:val="0"/>
                  <w:marRight w:val="0"/>
                  <w:marTop w:val="0"/>
                  <w:marBottom w:val="0"/>
                  <w:divBdr>
                    <w:top w:val="none" w:sz="0" w:space="0" w:color="auto"/>
                    <w:left w:val="none" w:sz="0" w:space="0" w:color="auto"/>
                    <w:bottom w:val="none" w:sz="0" w:space="0" w:color="auto"/>
                    <w:right w:val="none" w:sz="0" w:space="0" w:color="auto"/>
                  </w:divBdr>
                  <w:divsChild>
                    <w:div w:id="579600668">
                      <w:marLeft w:val="0"/>
                      <w:marRight w:val="0"/>
                      <w:marTop w:val="0"/>
                      <w:marBottom w:val="0"/>
                      <w:divBdr>
                        <w:top w:val="none" w:sz="0" w:space="0" w:color="auto"/>
                        <w:left w:val="none" w:sz="0" w:space="0" w:color="auto"/>
                        <w:bottom w:val="none" w:sz="0" w:space="0" w:color="auto"/>
                        <w:right w:val="none" w:sz="0" w:space="0" w:color="auto"/>
                      </w:divBdr>
                    </w:div>
                  </w:divsChild>
                </w:div>
                <w:div w:id="504511713">
                  <w:marLeft w:val="0"/>
                  <w:marRight w:val="0"/>
                  <w:marTop w:val="0"/>
                  <w:marBottom w:val="0"/>
                  <w:divBdr>
                    <w:top w:val="none" w:sz="0" w:space="0" w:color="auto"/>
                    <w:left w:val="none" w:sz="0" w:space="0" w:color="auto"/>
                    <w:bottom w:val="none" w:sz="0" w:space="0" w:color="auto"/>
                    <w:right w:val="none" w:sz="0" w:space="0" w:color="auto"/>
                  </w:divBdr>
                  <w:divsChild>
                    <w:div w:id="400760935">
                      <w:marLeft w:val="0"/>
                      <w:marRight w:val="0"/>
                      <w:marTop w:val="0"/>
                      <w:marBottom w:val="0"/>
                      <w:divBdr>
                        <w:top w:val="none" w:sz="0" w:space="0" w:color="auto"/>
                        <w:left w:val="none" w:sz="0" w:space="0" w:color="auto"/>
                        <w:bottom w:val="none" w:sz="0" w:space="0" w:color="auto"/>
                        <w:right w:val="none" w:sz="0" w:space="0" w:color="auto"/>
                      </w:divBdr>
                    </w:div>
                  </w:divsChild>
                </w:div>
                <w:div w:id="509443324">
                  <w:marLeft w:val="0"/>
                  <w:marRight w:val="0"/>
                  <w:marTop w:val="0"/>
                  <w:marBottom w:val="0"/>
                  <w:divBdr>
                    <w:top w:val="none" w:sz="0" w:space="0" w:color="auto"/>
                    <w:left w:val="none" w:sz="0" w:space="0" w:color="auto"/>
                    <w:bottom w:val="none" w:sz="0" w:space="0" w:color="auto"/>
                    <w:right w:val="none" w:sz="0" w:space="0" w:color="auto"/>
                  </w:divBdr>
                  <w:divsChild>
                    <w:div w:id="1079593076">
                      <w:marLeft w:val="0"/>
                      <w:marRight w:val="0"/>
                      <w:marTop w:val="0"/>
                      <w:marBottom w:val="0"/>
                      <w:divBdr>
                        <w:top w:val="none" w:sz="0" w:space="0" w:color="auto"/>
                        <w:left w:val="none" w:sz="0" w:space="0" w:color="auto"/>
                        <w:bottom w:val="none" w:sz="0" w:space="0" w:color="auto"/>
                        <w:right w:val="none" w:sz="0" w:space="0" w:color="auto"/>
                      </w:divBdr>
                    </w:div>
                  </w:divsChild>
                </w:div>
                <w:div w:id="539130907">
                  <w:marLeft w:val="0"/>
                  <w:marRight w:val="0"/>
                  <w:marTop w:val="0"/>
                  <w:marBottom w:val="0"/>
                  <w:divBdr>
                    <w:top w:val="none" w:sz="0" w:space="0" w:color="auto"/>
                    <w:left w:val="none" w:sz="0" w:space="0" w:color="auto"/>
                    <w:bottom w:val="none" w:sz="0" w:space="0" w:color="auto"/>
                    <w:right w:val="none" w:sz="0" w:space="0" w:color="auto"/>
                  </w:divBdr>
                  <w:divsChild>
                    <w:div w:id="1056318657">
                      <w:marLeft w:val="0"/>
                      <w:marRight w:val="0"/>
                      <w:marTop w:val="0"/>
                      <w:marBottom w:val="0"/>
                      <w:divBdr>
                        <w:top w:val="none" w:sz="0" w:space="0" w:color="auto"/>
                        <w:left w:val="none" w:sz="0" w:space="0" w:color="auto"/>
                        <w:bottom w:val="none" w:sz="0" w:space="0" w:color="auto"/>
                        <w:right w:val="none" w:sz="0" w:space="0" w:color="auto"/>
                      </w:divBdr>
                    </w:div>
                  </w:divsChild>
                </w:div>
                <w:div w:id="556934408">
                  <w:marLeft w:val="0"/>
                  <w:marRight w:val="0"/>
                  <w:marTop w:val="0"/>
                  <w:marBottom w:val="0"/>
                  <w:divBdr>
                    <w:top w:val="none" w:sz="0" w:space="0" w:color="auto"/>
                    <w:left w:val="none" w:sz="0" w:space="0" w:color="auto"/>
                    <w:bottom w:val="none" w:sz="0" w:space="0" w:color="auto"/>
                    <w:right w:val="none" w:sz="0" w:space="0" w:color="auto"/>
                  </w:divBdr>
                  <w:divsChild>
                    <w:div w:id="1053849656">
                      <w:marLeft w:val="0"/>
                      <w:marRight w:val="0"/>
                      <w:marTop w:val="0"/>
                      <w:marBottom w:val="0"/>
                      <w:divBdr>
                        <w:top w:val="none" w:sz="0" w:space="0" w:color="auto"/>
                        <w:left w:val="none" w:sz="0" w:space="0" w:color="auto"/>
                        <w:bottom w:val="none" w:sz="0" w:space="0" w:color="auto"/>
                        <w:right w:val="none" w:sz="0" w:space="0" w:color="auto"/>
                      </w:divBdr>
                    </w:div>
                  </w:divsChild>
                </w:div>
                <w:div w:id="566453720">
                  <w:marLeft w:val="0"/>
                  <w:marRight w:val="0"/>
                  <w:marTop w:val="0"/>
                  <w:marBottom w:val="0"/>
                  <w:divBdr>
                    <w:top w:val="none" w:sz="0" w:space="0" w:color="auto"/>
                    <w:left w:val="none" w:sz="0" w:space="0" w:color="auto"/>
                    <w:bottom w:val="none" w:sz="0" w:space="0" w:color="auto"/>
                    <w:right w:val="none" w:sz="0" w:space="0" w:color="auto"/>
                  </w:divBdr>
                  <w:divsChild>
                    <w:div w:id="263653738">
                      <w:marLeft w:val="0"/>
                      <w:marRight w:val="0"/>
                      <w:marTop w:val="0"/>
                      <w:marBottom w:val="0"/>
                      <w:divBdr>
                        <w:top w:val="none" w:sz="0" w:space="0" w:color="auto"/>
                        <w:left w:val="none" w:sz="0" w:space="0" w:color="auto"/>
                        <w:bottom w:val="none" w:sz="0" w:space="0" w:color="auto"/>
                        <w:right w:val="none" w:sz="0" w:space="0" w:color="auto"/>
                      </w:divBdr>
                    </w:div>
                  </w:divsChild>
                </w:div>
                <w:div w:id="576597818">
                  <w:marLeft w:val="0"/>
                  <w:marRight w:val="0"/>
                  <w:marTop w:val="0"/>
                  <w:marBottom w:val="0"/>
                  <w:divBdr>
                    <w:top w:val="none" w:sz="0" w:space="0" w:color="auto"/>
                    <w:left w:val="none" w:sz="0" w:space="0" w:color="auto"/>
                    <w:bottom w:val="none" w:sz="0" w:space="0" w:color="auto"/>
                    <w:right w:val="none" w:sz="0" w:space="0" w:color="auto"/>
                  </w:divBdr>
                  <w:divsChild>
                    <w:div w:id="1254631241">
                      <w:marLeft w:val="0"/>
                      <w:marRight w:val="0"/>
                      <w:marTop w:val="0"/>
                      <w:marBottom w:val="0"/>
                      <w:divBdr>
                        <w:top w:val="none" w:sz="0" w:space="0" w:color="auto"/>
                        <w:left w:val="none" w:sz="0" w:space="0" w:color="auto"/>
                        <w:bottom w:val="none" w:sz="0" w:space="0" w:color="auto"/>
                        <w:right w:val="none" w:sz="0" w:space="0" w:color="auto"/>
                      </w:divBdr>
                    </w:div>
                  </w:divsChild>
                </w:div>
                <w:div w:id="641157480">
                  <w:marLeft w:val="0"/>
                  <w:marRight w:val="0"/>
                  <w:marTop w:val="0"/>
                  <w:marBottom w:val="0"/>
                  <w:divBdr>
                    <w:top w:val="none" w:sz="0" w:space="0" w:color="auto"/>
                    <w:left w:val="none" w:sz="0" w:space="0" w:color="auto"/>
                    <w:bottom w:val="none" w:sz="0" w:space="0" w:color="auto"/>
                    <w:right w:val="none" w:sz="0" w:space="0" w:color="auto"/>
                  </w:divBdr>
                  <w:divsChild>
                    <w:div w:id="1886525159">
                      <w:marLeft w:val="0"/>
                      <w:marRight w:val="0"/>
                      <w:marTop w:val="0"/>
                      <w:marBottom w:val="0"/>
                      <w:divBdr>
                        <w:top w:val="none" w:sz="0" w:space="0" w:color="auto"/>
                        <w:left w:val="none" w:sz="0" w:space="0" w:color="auto"/>
                        <w:bottom w:val="none" w:sz="0" w:space="0" w:color="auto"/>
                        <w:right w:val="none" w:sz="0" w:space="0" w:color="auto"/>
                      </w:divBdr>
                    </w:div>
                  </w:divsChild>
                </w:div>
                <w:div w:id="644090964">
                  <w:marLeft w:val="0"/>
                  <w:marRight w:val="0"/>
                  <w:marTop w:val="0"/>
                  <w:marBottom w:val="0"/>
                  <w:divBdr>
                    <w:top w:val="none" w:sz="0" w:space="0" w:color="auto"/>
                    <w:left w:val="none" w:sz="0" w:space="0" w:color="auto"/>
                    <w:bottom w:val="none" w:sz="0" w:space="0" w:color="auto"/>
                    <w:right w:val="none" w:sz="0" w:space="0" w:color="auto"/>
                  </w:divBdr>
                  <w:divsChild>
                    <w:div w:id="2077435921">
                      <w:marLeft w:val="0"/>
                      <w:marRight w:val="0"/>
                      <w:marTop w:val="0"/>
                      <w:marBottom w:val="0"/>
                      <w:divBdr>
                        <w:top w:val="none" w:sz="0" w:space="0" w:color="auto"/>
                        <w:left w:val="none" w:sz="0" w:space="0" w:color="auto"/>
                        <w:bottom w:val="none" w:sz="0" w:space="0" w:color="auto"/>
                        <w:right w:val="none" w:sz="0" w:space="0" w:color="auto"/>
                      </w:divBdr>
                    </w:div>
                  </w:divsChild>
                </w:div>
                <w:div w:id="655032481">
                  <w:marLeft w:val="0"/>
                  <w:marRight w:val="0"/>
                  <w:marTop w:val="0"/>
                  <w:marBottom w:val="0"/>
                  <w:divBdr>
                    <w:top w:val="none" w:sz="0" w:space="0" w:color="auto"/>
                    <w:left w:val="none" w:sz="0" w:space="0" w:color="auto"/>
                    <w:bottom w:val="none" w:sz="0" w:space="0" w:color="auto"/>
                    <w:right w:val="none" w:sz="0" w:space="0" w:color="auto"/>
                  </w:divBdr>
                  <w:divsChild>
                    <w:div w:id="772356448">
                      <w:marLeft w:val="0"/>
                      <w:marRight w:val="0"/>
                      <w:marTop w:val="0"/>
                      <w:marBottom w:val="0"/>
                      <w:divBdr>
                        <w:top w:val="none" w:sz="0" w:space="0" w:color="auto"/>
                        <w:left w:val="none" w:sz="0" w:space="0" w:color="auto"/>
                        <w:bottom w:val="none" w:sz="0" w:space="0" w:color="auto"/>
                        <w:right w:val="none" w:sz="0" w:space="0" w:color="auto"/>
                      </w:divBdr>
                    </w:div>
                  </w:divsChild>
                </w:div>
                <w:div w:id="657539587">
                  <w:marLeft w:val="0"/>
                  <w:marRight w:val="0"/>
                  <w:marTop w:val="0"/>
                  <w:marBottom w:val="0"/>
                  <w:divBdr>
                    <w:top w:val="none" w:sz="0" w:space="0" w:color="auto"/>
                    <w:left w:val="none" w:sz="0" w:space="0" w:color="auto"/>
                    <w:bottom w:val="none" w:sz="0" w:space="0" w:color="auto"/>
                    <w:right w:val="none" w:sz="0" w:space="0" w:color="auto"/>
                  </w:divBdr>
                  <w:divsChild>
                    <w:div w:id="1740247095">
                      <w:marLeft w:val="0"/>
                      <w:marRight w:val="0"/>
                      <w:marTop w:val="0"/>
                      <w:marBottom w:val="0"/>
                      <w:divBdr>
                        <w:top w:val="none" w:sz="0" w:space="0" w:color="auto"/>
                        <w:left w:val="none" w:sz="0" w:space="0" w:color="auto"/>
                        <w:bottom w:val="none" w:sz="0" w:space="0" w:color="auto"/>
                        <w:right w:val="none" w:sz="0" w:space="0" w:color="auto"/>
                      </w:divBdr>
                    </w:div>
                  </w:divsChild>
                </w:div>
                <w:div w:id="659506684">
                  <w:marLeft w:val="0"/>
                  <w:marRight w:val="0"/>
                  <w:marTop w:val="0"/>
                  <w:marBottom w:val="0"/>
                  <w:divBdr>
                    <w:top w:val="none" w:sz="0" w:space="0" w:color="auto"/>
                    <w:left w:val="none" w:sz="0" w:space="0" w:color="auto"/>
                    <w:bottom w:val="none" w:sz="0" w:space="0" w:color="auto"/>
                    <w:right w:val="none" w:sz="0" w:space="0" w:color="auto"/>
                  </w:divBdr>
                  <w:divsChild>
                    <w:div w:id="834806120">
                      <w:marLeft w:val="0"/>
                      <w:marRight w:val="0"/>
                      <w:marTop w:val="0"/>
                      <w:marBottom w:val="0"/>
                      <w:divBdr>
                        <w:top w:val="none" w:sz="0" w:space="0" w:color="auto"/>
                        <w:left w:val="none" w:sz="0" w:space="0" w:color="auto"/>
                        <w:bottom w:val="none" w:sz="0" w:space="0" w:color="auto"/>
                        <w:right w:val="none" w:sz="0" w:space="0" w:color="auto"/>
                      </w:divBdr>
                    </w:div>
                  </w:divsChild>
                </w:div>
                <w:div w:id="703673161">
                  <w:marLeft w:val="0"/>
                  <w:marRight w:val="0"/>
                  <w:marTop w:val="0"/>
                  <w:marBottom w:val="0"/>
                  <w:divBdr>
                    <w:top w:val="none" w:sz="0" w:space="0" w:color="auto"/>
                    <w:left w:val="none" w:sz="0" w:space="0" w:color="auto"/>
                    <w:bottom w:val="none" w:sz="0" w:space="0" w:color="auto"/>
                    <w:right w:val="none" w:sz="0" w:space="0" w:color="auto"/>
                  </w:divBdr>
                  <w:divsChild>
                    <w:div w:id="103232620">
                      <w:marLeft w:val="0"/>
                      <w:marRight w:val="0"/>
                      <w:marTop w:val="0"/>
                      <w:marBottom w:val="0"/>
                      <w:divBdr>
                        <w:top w:val="none" w:sz="0" w:space="0" w:color="auto"/>
                        <w:left w:val="none" w:sz="0" w:space="0" w:color="auto"/>
                        <w:bottom w:val="none" w:sz="0" w:space="0" w:color="auto"/>
                        <w:right w:val="none" w:sz="0" w:space="0" w:color="auto"/>
                      </w:divBdr>
                    </w:div>
                  </w:divsChild>
                </w:div>
                <w:div w:id="715354346">
                  <w:marLeft w:val="0"/>
                  <w:marRight w:val="0"/>
                  <w:marTop w:val="0"/>
                  <w:marBottom w:val="0"/>
                  <w:divBdr>
                    <w:top w:val="none" w:sz="0" w:space="0" w:color="auto"/>
                    <w:left w:val="none" w:sz="0" w:space="0" w:color="auto"/>
                    <w:bottom w:val="none" w:sz="0" w:space="0" w:color="auto"/>
                    <w:right w:val="none" w:sz="0" w:space="0" w:color="auto"/>
                  </w:divBdr>
                  <w:divsChild>
                    <w:div w:id="1974407821">
                      <w:marLeft w:val="0"/>
                      <w:marRight w:val="0"/>
                      <w:marTop w:val="0"/>
                      <w:marBottom w:val="0"/>
                      <w:divBdr>
                        <w:top w:val="none" w:sz="0" w:space="0" w:color="auto"/>
                        <w:left w:val="none" w:sz="0" w:space="0" w:color="auto"/>
                        <w:bottom w:val="none" w:sz="0" w:space="0" w:color="auto"/>
                        <w:right w:val="none" w:sz="0" w:space="0" w:color="auto"/>
                      </w:divBdr>
                    </w:div>
                  </w:divsChild>
                </w:div>
                <w:div w:id="735470712">
                  <w:marLeft w:val="0"/>
                  <w:marRight w:val="0"/>
                  <w:marTop w:val="0"/>
                  <w:marBottom w:val="0"/>
                  <w:divBdr>
                    <w:top w:val="none" w:sz="0" w:space="0" w:color="auto"/>
                    <w:left w:val="none" w:sz="0" w:space="0" w:color="auto"/>
                    <w:bottom w:val="none" w:sz="0" w:space="0" w:color="auto"/>
                    <w:right w:val="none" w:sz="0" w:space="0" w:color="auto"/>
                  </w:divBdr>
                  <w:divsChild>
                    <w:div w:id="130220620">
                      <w:marLeft w:val="0"/>
                      <w:marRight w:val="0"/>
                      <w:marTop w:val="0"/>
                      <w:marBottom w:val="0"/>
                      <w:divBdr>
                        <w:top w:val="none" w:sz="0" w:space="0" w:color="auto"/>
                        <w:left w:val="none" w:sz="0" w:space="0" w:color="auto"/>
                        <w:bottom w:val="none" w:sz="0" w:space="0" w:color="auto"/>
                        <w:right w:val="none" w:sz="0" w:space="0" w:color="auto"/>
                      </w:divBdr>
                    </w:div>
                  </w:divsChild>
                </w:div>
                <w:div w:id="743184526">
                  <w:marLeft w:val="0"/>
                  <w:marRight w:val="0"/>
                  <w:marTop w:val="0"/>
                  <w:marBottom w:val="0"/>
                  <w:divBdr>
                    <w:top w:val="none" w:sz="0" w:space="0" w:color="auto"/>
                    <w:left w:val="none" w:sz="0" w:space="0" w:color="auto"/>
                    <w:bottom w:val="none" w:sz="0" w:space="0" w:color="auto"/>
                    <w:right w:val="none" w:sz="0" w:space="0" w:color="auto"/>
                  </w:divBdr>
                  <w:divsChild>
                    <w:div w:id="1339697806">
                      <w:marLeft w:val="0"/>
                      <w:marRight w:val="0"/>
                      <w:marTop w:val="0"/>
                      <w:marBottom w:val="0"/>
                      <w:divBdr>
                        <w:top w:val="none" w:sz="0" w:space="0" w:color="auto"/>
                        <w:left w:val="none" w:sz="0" w:space="0" w:color="auto"/>
                        <w:bottom w:val="none" w:sz="0" w:space="0" w:color="auto"/>
                        <w:right w:val="none" w:sz="0" w:space="0" w:color="auto"/>
                      </w:divBdr>
                    </w:div>
                  </w:divsChild>
                </w:div>
                <w:div w:id="768354641">
                  <w:marLeft w:val="0"/>
                  <w:marRight w:val="0"/>
                  <w:marTop w:val="0"/>
                  <w:marBottom w:val="0"/>
                  <w:divBdr>
                    <w:top w:val="none" w:sz="0" w:space="0" w:color="auto"/>
                    <w:left w:val="none" w:sz="0" w:space="0" w:color="auto"/>
                    <w:bottom w:val="none" w:sz="0" w:space="0" w:color="auto"/>
                    <w:right w:val="none" w:sz="0" w:space="0" w:color="auto"/>
                  </w:divBdr>
                  <w:divsChild>
                    <w:div w:id="1191532618">
                      <w:marLeft w:val="0"/>
                      <w:marRight w:val="0"/>
                      <w:marTop w:val="0"/>
                      <w:marBottom w:val="0"/>
                      <w:divBdr>
                        <w:top w:val="none" w:sz="0" w:space="0" w:color="auto"/>
                        <w:left w:val="none" w:sz="0" w:space="0" w:color="auto"/>
                        <w:bottom w:val="none" w:sz="0" w:space="0" w:color="auto"/>
                        <w:right w:val="none" w:sz="0" w:space="0" w:color="auto"/>
                      </w:divBdr>
                    </w:div>
                  </w:divsChild>
                </w:div>
                <w:div w:id="770510281">
                  <w:marLeft w:val="0"/>
                  <w:marRight w:val="0"/>
                  <w:marTop w:val="0"/>
                  <w:marBottom w:val="0"/>
                  <w:divBdr>
                    <w:top w:val="none" w:sz="0" w:space="0" w:color="auto"/>
                    <w:left w:val="none" w:sz="0" w:space="0" w:color="auto"/>
                    <w:bottom w:val="none" w:sz="0" w:space="0" w:color="auto"/>
                    <w:right w:val="none" w:sz="0" w:space="0" w:color="auto"/>
                  </w:divBdr>
                  <w:divsChild>
                    <w:div w:id="448353924">
                      <w:marLeft w:val="0"/>
                      <w:marRight w:val="0"/>
                      <w:marTop w:val="0"/>
                      <w:marBottom w:val="0"/>
                      <w:divBdr>
                        <w:top w:val="none" w:sz="0" w:space="0" w:color="auto"/>
                        <w:left w:val="none" w:sz="0" w:space="0" w:color="auto"/>
                        <w:bottom w:val="none" w:sz="0" w:space="0" w:color="auto"/>
                        <w:right w:val="none" w:sz="0" w:space="0" w:color="auto"/>
                      </w:divBdr>
                    </w:div>
                  </w:divsChild>
                </w:div>
                <w:div w:id="772820647">
                  <w:marLeft w:val="0"/>
                  <w:marRight w:val="0"/>
                  <w:marTop w:val="0"/>
                  <w:marBottom w:val="0"/>
                  <w:divBdr>
                    <w:top w:val="none" w:sz="0" w:space="0" w:color="auto"/>
                    <w:left w:val="none" w:sz="0" w:space="0" w:color="auto"/>
                    <w:bottom w:val="none" w:sz="0" w:space="0" w:color="auto"/>
                    <w:right w:val="none" w:sz="0" w:space="0" w:color="auto"/>
                  </w:divBdr>
                  <w:divsChild>
                    <w:div w:id="171839587">
                      <w:marLeft w:val="0"/>
                      <w:marRight w:val="0"/>
                      <w:marTop w:val="0"/>
                      <w:marBottom w:val="0"/>
                      <w:divBdr>
                        <w:top w:val="none" w:sz="0" w:space="0" w:color="auto"/>
                        <w:left w:val="none" w:sz="0" w:space="0" w:color="auto"/>
                        <w:bottom w:val="none" w:sz="0" w:space="0" w:color="auto"/>
                        <w:right w:val="none" w:sz="0" w:space="0" w:color="auto"/>
                      </w:divBdr>
                    </w:div>
                  </w:divsChild>
                </w:div>
                <w:div w:id="794952986">
                  <w:marLeft w:val="0"/>
                  <w:marRight w:val="0"/>
                  <w:marTop w:val="0"/>
                  <w:marBottom w:val="0"/>
                  <w:divBdr>
                    <w:top w:val="none" w:sz="0" w:space="0" w:color="auto"/>
                    <w:left w:val="none" w:sz="0" w:space="0" w:color="auto"/>
                    <w:bottom w:val="none" w:sz="0" w:space="0" w:color="auto"/>
                    <w:right w:val="none" w:sz="0" w:space="0" w:color="auto"/>
                  </w:divBdr>
                  <w:divsChild>
                    <w:div w:id="21976768">
                      <w:marLeft w:val="0"/>
                      <w:marRight w:val="0"/>
                      <w:marTop w:val="0"/>
                      <w:marBottom w:val="0"/>
                      <w:divBdr>
                        <w:top w:val="none" w:sz="0" w:space="0" w:color="auto"/>
                        <w:left w:val="none" w:sz="0" w:space="0" w:color="auto"/>
                        <w:bottom w:val="none" w:sz="0" w:space="0" w:color="auto"/>
                        <w:right w:val="none" w:sz="0" w:space="0" w:color="auto"/>
                      </w:divBdr>
                    </w:div>
                  </w:divsChild>
                </w:div>
                <w:div w:id="801312098">
                  <w:marLeft w:val="0"/>
                  <w:marRight w:val="0"/>
                  <w:marTop w:val="0"/>
                  <w:marBottom w:val="0"/>
                  <w:divBdr>
                    <w:top w:val="none" w:sz="0" w:space="0" w:color="auto"/>
                    <w:left w:val="none" w:sz="0" w:space="0" w:color="auto"/>
                    <w:bottom w:val="none" w:sz="0" w:space="0" w:color="auto"/>
                    <w:right w:val="none" w:sz="0" w:space="0" w:color="auto"/>
                  </w:divBdr>
                  <w:divsChild>
                    <w:div w:id="1830049059">
                      <w:marLeft w:val="0"/>
                      <w:marRight w:val="0"/>
                      <w:marTop w:val="0"/>
                      <w:marBottom w:val="0"/>
                      <w:divBdr>
                        <w:top w:val="none" w:sz="0" w:space="0" w:color="auto"/>
                        <w:left w:val="none" w:sz="0" w:space="0" w:color="auto"/>
                        <w:bottom w:val="none" w:sz="0" w:space="0" w:color="auto"/>
                        <w:right w:val="none" w:sz="0" w:space="0" w:color="auto"/>
                      </w:divBdr>
                    </w:div>
                  </w:divsChild>
                </w:div>
                <w:div w:id="841895466">
                  <w:marLeft w:val="0"/>
                  <w:marRight w:val="0"/>
                  <w:marTop w:val="0"/>
                  <w:marBottom w:val="0"/>
                  <w:divBdr>
                    <w:top w:val="none" w:sz="0" w:space="0" w:color="auto"/>
                    <w:left w:val="none" w:sz="0" w:space="0" w:color="auto"/>
                    <w:bottom w:val="none" w:sz="0" w:space="0" w:color="auto"/>
                    <w:right w:val="none" w:sz="0" w:space="0" w:color="auto"/>
                  </w:divBdr>
                  <w:divsChild>
                    <w:div w:id="759831071">
                      <w:marLeft w:val="0"/>
                      <w:marRight w:val="0"/>
                      <w:marTop w:val="0"/>
                      <w:marBottom w:val="0"/>
                      <w:divBdr>
                        <w:top w:val="none" w:sz="0" w:space="0" w:color="auto"/>
                        <w:left w:val="none" w:sz="0" w:space="0" w:color="auto"/>
                        <w:bottom w:val="none" w:sz="0" w:space="0" w:color="auto"/>
                        <w:right w:val="none" w:sz="0" w:space="0" w:color="auto"/>
                      </w:divBdr>
                    </w:div>
                  </w:divsChild>
                </w:div>
                <w:div w:id="844200932">
                  <w:marLeft w:val="0"/>
                  <w:marRight w:val="0"/>
                  <w:marTop w:val="0"/>
                  <w:marBottom w:val="0"/>
                  <w:divBdr>
                    <w:top w:val="none" w:sz="0" w:space="0" w:color="auto"/>
                    <w:left w:val="none" w:sz="0" w:space="0" w:color="auto"/>
                    <w:bottom w:val="none" w:sz="0" w:space="0" w:color="auto"/>
                    <w:right w:val="none" w:sz="0" w:space="0" w:color="auto"/>
                  </w:divBdr>
                  <w:divsChild>
                    <w:div w:id="346758217">
                      <w:marLeft w:val="0"/>
                      <w:marRight w:val="0"/>
                      <w:marTop w:val="0"/>
                      <w:marBottom w:val="0"/>
                      <w:divBdr>
                        <w:top w:val="none" w:sz="0" w:space="0" w:color="auto"/>
                        <w:left w:val="none" w:sz="0" w:space="0" w:color="auto"/>
                        <w:bottom w:val="none" w:sz="0" w:space="0" w:color="auto"/>
                        <w:right w:val="none" w:sz="0" w:space="0" w:color="auto"/>
                      </w:divBdr>
                    </w:div>
                  </w:divsChild>
                </w:div>
                <w:div w:id="853229857">
                  <w:marLeft w:val="0"/>
                  <w:marRight w:val="0"/>
                  <w:marTop w:val="0"/>
                  <w:marBottom w:val="0"/>
                  <w:divBdr>
                    <w:top w:val="none" w:sz="0" w:space="0" w:color="auto"/>
                    <w:left w:val="none" w:sz="0" w:space="0" w:color="auto"/>
                    <w:bottom w:val="none" w:sz="0" w:space="0" w:color="auto"/>
                    <w:right w:val="none" w:sz="0" w:space="0" w:color="auto"/>
                  </w:divBdr>
                  <w:divsChild>
                    <w:div w:id="1024936162">
                      <w:marLeft w:val="0"/>
                      <w:marRight w:val="0"/>
                      <w:marTop w:val="0"/>
                      <w:marBottom w:val="0"/>
                      <w:divBdr>
                        <w:top w:val="none" w:sz="0" w:space="0" w:color="auto"/>
                        <w:left w:val="none" w:sz="0" w:space="0" w:color="auto"/>
                        <w:bottom w:val="none" w:sz="0" w:space="0" w:color="auto"/>
                        <w:right w:val="none" w:sz="0" w:space="0" w:color="auto"/>
                      </w:divBdr>
                    </w:div>
                  </w:divsChild>
                </w:div>
                <w:div w:id="865798541">
                  <w:marLeft w:val="0"/>
                  <w:marRight w:val="0"/>
                  <w:marTop w:val="0"/>
                  <w:marBottom w:val="0"/>
                  <w:divBdr>
                    <w:top w:val="none" w:sz="0" w:space="0" w:color="auto"/>
                    <w:left w:val="none" w:sz="0" w:space="0" w:color="auto"/>
                    <w:bottom w:val="none" w:sz="0" w:space="0" w:color="auto"/>
                    <w:right w:val="none" w:sz="0" w:space="0" w:color="auto"/>
                  </w:divBdr>
                  <w:divsChild>
                    <w:div w:id="1146971461">
                      <w:marLeft w:val="0"/>
                      <w:marRight w:val="0"/>
                      <w:marTop w:val="0"/>
                      <w:marBottom w:val="0"/>
                      <w:divBdr>
                        <w:top w:val="none" w:sz="0" w:space="0" w:color="auto"/>
                        <w:left w:val="none" w:sz="0" w:space="0" w:color="auto"/>
                        <w:bottom w:val="none" w:sz="0" w:space="0" w:color="auto"/>
                        <w:right w:val="none" w:sz="0" w:space="0" w:color="auto"/>
                      </w:divBdr>
                    </w:div>
                  </w:divsChild>
                </w:div>
                <w:div w:id="876740975">
                  <w:marLeft w:val="0"/>
                  <w:marRight w:val="0"/>
                  <w:marTop w:val="0"/>
                  <w:marBottom w:val="0"/>
                  <w:divBdr>
                    <w:top w:val="none" w:sz="0" w:space="0" w:color="auto"/>
                    <w:left w:val="none" w:sz="0" w:space="0" w:color="auto"/>
                    <w:bottom w:val="none" w:sz="0" w:space="0" w:color="auto"/>
                    <w:right w:val="none" w:sz="0" w:space="0" w:color="auto"/>
                  </w:divBdr>
                  <w:divsChild>
                    <w:div w:id="1002396863">
                      <w:marLeft w:val="0"/>
                      <w:marRight w:val="0"/>
                      <w:marTop w:val="0"/>
                      <w:marBottom w:val="0"/>
                      <w:divBdr>
                        <w:top w:val="none" w:sz="0" w:space="0" w:color="auto"/>
                        <w:left w:val="none" w:sz="0" w:space="0" w:color="auto"/>
                        <w:bottom w:val="none" w:sz="0" w:space="0" w:color="auto"/>
                        <w:right w:val="none" w:sz="0" w:space="0" w:color="auto"/>
                      </w:divBdr>
                    </w:div>
                  </w:divsChild>
                </w:div>
                <w:div w:id="929121000">
                  <w:marLeft w:val="0"/>
                  <w:marRight w:val="0"/>
                  <w:marTop w:val="0"/>
                  <w:marBottom w:val="0"/>
                  <w:divBdr>
                    <w:top w:val="none" w:sz="0" w:space="0" w:color="auto"/>
                    <w:left w:val="none" w:sz="0" w:space="0" w:color="auto"/>
                    <w:bottom w:val="none" w:sz="0" w:space="0" w:color="auto"/>
                    <w:right w:val="none" w:sz="0" w:space="0" w:color="auto"/>
                  </w:divBdr>
                  <w:divsChild>
                    <w:div w:id="1503353030">
                      <w:marLeft w:val="0"/>
                      <w:marRight w:val="0"/>
                      <w:marTop w:val="0"/>
                      <w:marBottom w:val="0"/>
                      <w:divBdr>
                        <w:top w:val="none" w:sz="0" w:space="0" w:color="auto"/>
                        <w:left w:val="none" w:sz="0" w:space="0" w:color="auto"/>
                        <w:bottom w:val="none" w:sz="0" w:space="0" w:color="auto"/>
                        <w:right w:val="none" w:sz="0" w:space="0" w:color="auto"/>
                      </w:divBdr>
                    </w:div>
                  </w:divsChild>
                </w:div>
                <w:div w:id="945036827">
                  <w:marLeft w:val="0"/>
                  <w:marRight w:val="0"/>
                  <w:marTop w:val="0"/>
                  <w:marBottom w:val="0"/>
                  <w:divBdr>
                    <w:top w:val="none" w:sz="0" w:space="0" w:color="auto"/>
                    <w:left w:val="none" w:sz="0" w:space="0" w:color="auto"/>
                    <w:bottom w:val="none" w:sz="0" w:space="0" w:color="auto"/>
                    <w:right w:val="none" w:sz="0" w:space="0" w:color="auto"/>
                  </w:divBdr>
                  <w:divsChild>
                    <w:div w:id="1661303511">
                      <w:marLeft w:val="0"/>
                      <w:marRight w:val="0"/>
                      <w:marTop w:val="0"/>
                      <w:marBottom w:val="0"/>
                      <w:divBdr>
                        <w:top w:val="none" w:sz="0" w:space="0" w:color="auto"/>
                        <w:left w:val="none" w:sz="0" w:space="0" w:color="auto"/>
                        <w:bottom w:val="none" w:sz="0" w:space="0" w:color="auto"/>
                        <w:right w:val="none" w:sz="0" w:space="0" w:color="auto"/>
                      </w:divBdr>
                    </w:div>
                  </w:divsChild>
                </w:div>
                <w:div w:id="966349783">
                  <w:marLeft w:val="0"/>
                  <w:marRight w:val="0"/>
                  <w:marTop w:val="0"/>
                  <w:marBottom w:val="0"/>
                  <w:divBdr>
                    <w:top w:val="none" w:sz="0" w:space="0" w:color="auto"/>
                    <w:left w:val="none" w:sz="0" w:space="0" w:color="auto"/>
                    <w:bottom w:val="none" w:sz="0" w:space="0" w:color="auto"/>
                    <w:right w:val="none" w:sz="0" w:space="0" w:color="auto"/>
                  </w:divBdr>
                  <w:divsChild>
                    <w:div w:id="1478035545">
                      <w:marLeft w:val="0"/>
                      <w:marRight w:val="0"/>
                      <w:marTop w:val="0"/>
                      <w:marBottom w:val="0"/>
                      <w:divBdr>
                        <w:top w:val="none" w:sz="0" w:space="0" w:color="auto"/>
                        <w:left w:val="none" w:sz="0" w:space="0" w:color="auto"/>
                        <w:bottom w:val="none" w:sz="0" w:space="0" w:color="auto"/>
                        <w:right w:val="none" w:sz="0" w:space="0" w:color="auto"/>
                      </w:divBdr>
                    </w:div>
                  </w:divsChild>
                </w:div>
                <w:div w:id="966816053">
                  <w:marLeft w:val="0"/>
                  <w:marRight w:val="0"/>
                  <w:marTop w:val="0"/>
                  <w:marBottom w:val="0"/>
                  <w:divBdr>
                    <w:top w:val="none" w:sz="0" w:space="0" w:color="auto"/>
                    <w:left w:val="none" w:sz="0" w:space="0" w:color="auto"/>
                    <w:bottom w:val="none" w:sz="0" w:space="0" w:color="auto"/>
                    <w:right w:val="none" w:sz="0" w:space="0" w:color="auto"/>
                  </w:divBdr>
                  <w:divsChild>
                    <w:div w:id="2128356656">
                      <w:marLeft w:val="0"/>
                      <w:marRight w:val="0"/>
                      <w:marTop w:val="0"/>
                      <w:marBottom w:val="0"/>
                      <w:divBdr>
                        <w:top w:val="none" w:sz="0" w:space="0" w:color="auto"/>
                        <w:left w:val="none" w:sz="0" w:space="0" w:color="auto"/>
                        <w:bottom w:val="none" w:sz="0" w:space="0" w:color="auto"/>
                        <w:right w:val="none" w:sz="0" w:space="0" w:color="auto"/>
                      </w:divBdr>
                    </w:div>
                  </w:divsChild>
                </w:div>
                <w:div w:id="998535524">
                  <w:marLeft w:val="0"/>
                  <w:marRight w:val="0"/>
                  <w:marTop w:val="0"/>
                  <w:marBottom w:val="0"/>
                  <w:divBdr>
                    <w:top w:val="none" w:sz="0" w:space="0" w:color="auto"/>
                    <w:left w:val="none" w:sz="0" w:space="0" w:color="auto"/>
                    <w:bottom w:val="none" w:sz="0" w:space="0" w:color="auto"/>
                    <w:right w:val="none" w:sz="0" w:space="0" w:color="auto"/>
                  </w:divBdr>
                  <w:divsChild>
                    <w:div w:id="1235893527">
                      <w:marLeft w:val="0"/>
                      <w:marRight w:val="0"/>
                      <w:marTop w:val="0"/>
                      <w:marBottom w:val="0"/>
                      <w:divBdr>
                        <w:top w:val="none" w:sz="0" w:space="0" w:color="auto"/>
                        <w:left w:val="none" w:sz="0" w:space="0" w:color="auto"/>
                        <w:bottom w:val="none" w:sz="0" w:space="0" w:color="auto"/>
                        <w:right w:val="none" w:sz="0" w:space="0" w:color="auto"/>
                      </w:divBdr>
                    </w:div>
                  </w:divsChild>
                </w:div>
                <w:div w:id="1018041686">
                  <w:marLeft w:val="0"/>
                  <w:marRight w:val="0"/>
                  <w:marTop w:val="0"/>
                  <w:marBottom w:val="0"/>
                  <w:divBdr>
                    <w:top w:val="none" w:sz="0" w:space="0" w:color="auto"/>
                    <w:left w:val="none" w:sz="0" w:space="0" w:color="auto"/>
                    <w:bottom w:val="none" w:sz="0" w:space="0" w:color="auto"/>
                    <w:right w:val="none" w:sz="0" w:space="0" w:color="auto"/>
                  </w:divBdr>
                  <w:divsChild>
                    <w:div w:id="2139687718">
                      <w:marLeft w:val="0"/>
                      <w:marRight w:val="0"/>
                      <w:marTop w:val="0"/>
                      <w:marBottom w:val="0"/>
                      <w:divBdr>
                        <w:top w:val="none" w:sz="0" w:space="0" w:color="auto"/>
                        <w:left w:val="none" w:sz="0" w:space="0" w:color="auto"/>
                        <w:bottom w:val="none" w:sz="0" w:space="0" w:color="auto"/>
                        <w:right w:val="none" w:sz="0" w:space="0" w:color="auto"/>
                      </w:divBdr>
                    </w:div>
                  </w:divsChild>
                </w:div>
                <w:div w:id="1032994542">
                  <w:marLeft w:val="0"/>
                  <w:marRight w:val="0"/>
                  <w:marTop w:val="0"/>
                  <w:marBottom w:val="0"/>
                  <w:divBdr>
                    <w:top w:val="none" w:sz="0" w:space="0" w:color="auto"/>
                    <w:left w:val="none" w:sz="0" w:space="0" w:color="auto"/>
                    <w:bottom w:val="none" w:sz="0" w:space="0" w:color="auto"/>
                    <w:right w:val="none" w:sz="0" w:space="0" w:color="auto"/>
                  </w:divBdr>
                  <w:divsChild>
                    <w:div w:id="1977566394">
                      <w:marLeft w:val="0"/>
                      <w:marRight w:val="0"/>
                      <w:marTop w:val="0"/>
                      <w:marBottom w:val="0"/>
                      <w:divBdr>
                        <w:top w:val="none" w:sz="0" w:space="0" w:color="auto"/>
                        <w:left w:val="none" w:sz="0" w:space="0" w:color="auto"/>
                        <w:bottom w:val="none" w:sz="0" w:space="0" w:color="auto"/>
                        <w:right w:val="none" w:sz="0" w:space="0" w:color="auto"/>
                      </w:divBdr>
                    </w:div>
                  </w:divsChild>
                </w:div>
                <w:div w:id="1046442732">
                  <w:marLeft w:val="0"/>
                  <w:marRight w:val="0"/>
                  <w:marTop w:val="0"/>
                  <w:marBottom w:val="0"/>
                  <w:divBdr>
                    <w:top w:val="none" w:sz="0" w:space="0" w:color="auto"/>
                    <w:left w:val="none" w:sz="0" w:space="0" w:color="auto"/>
                    <w:bottom w:val="none" w:sz="0" w:space="0" w:color="auto"/>
                    <w:right w:val="none" w:sz="0" w:space="0" w:color="auto"/>
                  </w:divBdr>
                  <w:divsChild>
                    <w:div w:id="1813405554">
                      <w:marLeft w:val="0"/>
                      <w:marRight w:val="0"/>
                      <w:marTop w:val="0"/>
                      <w:marBottom w:val="0"/>
                      <w:divBdr>
                        <w:top w:val="none" w:sz="0" w:space="0" w:color="auto"/>
                        <w:left w:val="none" w:sz="0" w:space="0" w:color="auto"/>
                        <w:bottom w:val="none" w:sz="0" w:space="0" w:color="auto"/>
                        <w:right w:val="none" w:sz="0" w:space="0" w:color="auto"/>
                      </w:divBdr>
                    </w:div>
                  </w:divsChild>
                </w:div>
                <w:div w:id="1056205259">
                  <w:marLeft w:val="0"/>
                  <w:marRight w:val="0"/>
                  <w:marTop w:val="0"/>
                  <w:marBottom w:val="0"/>
                  <w:divBdr>
                    <w:top w:val="none" w:sz="0" w:space="0" w:color="auto"/>
                    <w:left w:val="none" w:sz="0" w:space="0" w:color="auto"/>
                    <w:bottom w:val="none" w:sz="0" w:space="0" w:color="auto"/>
                    <w:right w:val="none" w:sz="0" w:space="0" w:color="auto"/>
                  </w:divBdr>
                  <w:divsChild>
                    <w:div w:id="1792939084">
                      <w:marLeft w:val="0"/>
                      <w:marRight w:val="0"/>
                      <w:marTop w:val="0"/>
                      <w:marBottom w:val="0"/>
                      <w:divBdr>
                        <w:top w:val="none" w:sz="0" w:space="0" w:color="auto"/>
                        <w:left w:val="none" w:sz="0" w:space="0" w:color="auto"/>
                        <w:bottom w:val="none" w:sz="0" w:space="0" w:color="auto"/>
                        <w:right w:val="none" w:sz="0" w:space="0" w:color="auto"/>
                      </w:divBdr>
                    </w:div>
                  </w:divsChild>
                </w:div>
                <w:div w:id="1064794721">
                  <w:marLeft w:val="0"/>
                  <w:marRight w:val="0"/>
                  <w:marTop w:val="0"/>
                  <w:marBottom w:val="0"/>
                  <w:divBdr>
                    <w:top w:val="none" w:sz="0" w:space="0" w:color="auto"/>
                    <w:left w:val="none" w:sz="0" w:space="0" w:color="auto"/>
                    <w:bottom w:val="none" w:sz="0" w:space="0" w:color="auto"/>
                    <w:right w:val="none" w:sz="0" w:space="0" w:color="auto"/>
                  </w:divBdr>
                  <w:divsChild>
                    <w:div w:id="204679226">
                      <w:marLeft w:val="0"/>
                      <w:marRight w:val="0"/>
                      <w:marTop w:val="0"/>
                      <w:marBottom w:val="0"/>
                      <w:divBdr>
                        <w:top w:val="none" w:sz="0" w:space="0" w:color="auto"/>
                        <w:left w:val="none" w:sz="0" w:space="0" w:color="auto"/>
                        <w:bottom w:val="none" w:sz="0" w:space="0" w:color="auto"/>
                        <w:right w:val="none" w:sz="0" w:space="0" w:color="auto"/>
                      </w:divBdr>
                    </w:div>
                  </w:divsChild>
                </w:div>
                <w:div w:id="1064907831">
                  <w:marLeft w:val="0"/>
                  <w:marRight w:val="0"/>
                  <w:marTop w:val="0"/>
                  <w:marBottom w:val="0"/>
                  <w:divBdr>
                    <w:top w:val="none" w:sz="0" w:space="0" w:color="auto"/>
                    <w:left w:val="none" w:sz="0" w:space="0" w:color="auto"/>
                    <w:bottom w:val="none" w:sz="0" w:space="0" w:color="auto"/>
                    <w:right w:val="none" w:sz="0" w:space="0" w:color="auto"/>
                  </w:divBdr>
                  <w:divsChild>
                    <w:div w:id="602147559">
                      <w:marLeft w:val="0"/>
                      <w:marRight w:val="0"/>
                      <w:marTop w:val="0"/>
                      <w:marBottom w:val="0"/>
                      <w:divBdr>
                        <w:top w:val="none" w:sz="0" w:space="0" w:color="auto"/>
                        <w:left w:val="none" w:sz="0" w:space="0" w:color="auto"/>
                        <w:bottom w:val="none" w:sz="0" w:space="0" w:color="auto"/>
                        <w:right w:val="none" w:sz="0" w:space="0" w:color="auto"/>
                      </w:divBdr>
                    </w:div>
                  </w:divsChild>
                </w:div>
                <w:div w:id="1070932623">
                  <w:marLeft w:val="0"/>
                  <w:marRight w:val="0"/>
                  <w:marTop w:val="0"/>
                  <w:marBottom w:val="0"/>
                  <w:divBdr>
                    <w:top w:val="none" w:sz="0" w:space="0" w:color="auto"/>
                    <w:left w:val="none" w:sz="0" w:space="0" w:color="auto"/>
                    <w:bottom w:val="none" w:sz="0" w:space="0" w:color="auto"/>
                    <w:right w:val="none" w:sz="0" w:space="0" w:color="auto"/>
                  </w:divBdr>
                  <w:divsChild>
                    <w:div w:id="987709306">
                      <w:marLeft w:val="0"/>
                      <w:marRight w:val="0"/>
                      <w:marTop w:val="0"/>
                      <w:marBottom w:val="0"/>
                      <w:divBdr>
                        <w:top w:val="none" w:sz="0" w:space="0" w:color="auto"/>
                        <w:left w:val="none" w:sz="0" w:space="0" w:color="auto"/>
                        <w:bottom w:val="none" w:sz="0" w:space="0" w:color="auto"/>
                        <w:right w:val="none" w:sz="0" w:space="0" w:color="auto"/>
                      </w:divBdr>
                    </w:div>
                  </w:divsChild>
                </w:div>
                <w:div w:id="1092817486">
                  <w:marLeft w:val="0"/>
                  <w:marRight w:val="0"/>
                  <w:marTop w:val="0"/>
                  <w:marBottom w:val="0"/>
                  <w:divBdr>
                    <w:top w:val="none" w:sz="0" w:space="0" w:color="auto"/>
                    <w:left w:val="none" w:sz="0" w:space="0" w:color="auto"/>
                    <w:bottom w:val="none" w:sz="0" w:space="0" w:color="auto"/>
                    <w:right w:val="none" w:sz="0" w:space="0" w:color="auto"/>
                  </w:divBdr>
                  <w:divsChild>
                    <w:div w:id="1943489816">
                      <w:marLeft w:val="0"/>
                      <w:marRight w:val="0"/>
                      <w:marTop w:val="0"/>
                      <w:marBottom w:val="0"/>
                      <w:divBdr>
                        <w:top w:val="none" w:sz="0" w:space="0" w:color="auto"/>
                        <w:left w:val="none" w:sz="0" w:space="0" w:color="auto"/>
                        <w:bottom w:val="none" w:sz="0" w:space="0" w:color="auto"/>
                        <w:right w:val="none" w:sz="0" w:space="0" w:color="auto"/>
                      </w:divBdr>
                    </w:div>
                  </w:divsChild>
                </w:div>
                <w:div w:id="1104574276">
                  <w:marLeft w:val="0"/>
                  <w:marRight w:val="0"/>
                  <w:marTop w:val="0"/>
                  <w:marBottom w:val="0"/>
                  <w:divBdr>
                    <w:top w:val="none" w:sz="0" w:space="0" w:color="auto"/>
                    <w:left w:val="none" w:sz="0" w:space="0" w:color="auto"/>
                    <w:bottom w:val="none" w:sz="0" w:space="0" w:color="auto"/>
                    <w:right w:val="none" w:sz="0" w:space="0" w:color="auto"/>
                  </w:divBdr>
                  <w:divsChild>
                    <w:div w:id="498079197">
                      <w:marLeft w:val="0"/>
                      <w:marRight w:val="0"/>
                      <w:marTop w:val="0"/>
                      <w:marBottom w:val="0"/>
                      <w:divBdr>
                        <w:top w:val="none" w:sz="0" w:space="0" w:color="auto"/>
                        <w:left w:val="none" w:sz="0" w:space="0" w:color="auto"/>
                        <w:bottom w:val="none" w:sz="0" w:space="0" w:color="auto"/>
                        <w:right w:val="none" w:sz="0" w:space="0" w:color="auto"/>
                      </w:divBdr>
                    </w:div>
                  </w:divsChild>
                </w:div>
                <w:div w:id="1122573772">
                  <w:marLeft w:val="0"/>
                  <w:marRight w:val="0"/>
                  <w:marTop w:val="0"/>
                  <w:marBottom w:val="0"/>
                  <w:divBdr>
                    <w:top w:val="none" w:sz="0" w:space="0" w:color="auto"/>
                    <w:left w:val="none" w:sz="0" w:space="0" w:color="auto"/>
                    <w:bottom w:val="none" w:sz="0" w:space="0" w:color="auto"/>
                    <w:right w:val="none" w:sz="0" w:space="0" w:color="auto"/>
                  </w:divBdr>
                  <w:divsChild>
                    <w:div w:id="267087388">
                      <w:marLeft w:val="0"/>
                      <w:marRight w:val="0"/>
                      <w:marTop w:val="0"/>
                      <w:marBottom w:val="0"/>
                      <w:divBdr>
                        <w:top w:val="none" w:sz="0" w:space="0" w:color="auto"/>
                        <w:left w:val="none" w:sz="0" w:space="0" w:color="auto"/>
                        <w:bottom w:val="none" w:sz="0" w:space="0" w:color="auto"/>
                        <w:right w:val="none" w:sz="0" w:space="0" w:color="auto"/>
                      </w:divBdr>
                    </w:div>
                  </w:divsChild>
                </w:div>
                <w:div w:id="1124468042">
                  <w:marLeft w:val="0"/>
                  <w:marRight w:val="0"/>
                  <w:marTop w:val="0"/>
                  <w:marBottom w:val="0"/>
                  <w:divBdr>
                    <w:top w:val="none" w:sz="0" w:space="0" w:color="auto"/>
                    <w:left w:val="none" w:sz="0" w:space="0" w:color="auto"/>
                    <w:bottom w:val="none" w:sz="0" w:space="0" w:color="auto"/>
                    <w:right w:val="none" w:sz="0" w:space="0" w:color="auto"/>
                  </w:divBdr>
                  <w:divsChild>
                    <w:div w:id="75901349">
                      <w:marLeft w:val="0"/>
                      <w:marRight w:val="0"/>
                      <w:marTop w:val="0"/>
                      <w:marBottom w:val="0"/>
                      <w:divBdr>
                        <w:top w:val="none" w:sz="0" w:space="0" w:color="auto"/>
                        <w:left w:val="none" w:sz="0" w:space="0" w:color="auto"/>
                        <w:bottom w:val="none" w:sz="0" w:space="0" w:color="auto"/>
                        <w:right w:val="none" w:sz="0" w:space="0" w:color="auto"/>
                      </w:divBdr>
                    </w:div>
                  </w:divsChild>
                </w:div>
                <w:div w:id="1150486177">
                  <w:marLeft w:val="0"/>
                  <w:marRight w:val="0"/>
                  <w:marTop w:val="0"/>
                  <w:marBottom w:val="0"/>
                  <w:divBdr>
                    <w:top w:val="none" w:sz="0" w:space="0" w:color="auto"/>
                    <w:left w:val="none" w:sz="0" w:space="0" w:color="auto"/>
                    <w:bottom w:val="none" w:sz="0" w:space="0" w:color="auto"/>
                    <w:right w:val="none" w:sz="0" w:space="0" w:color="auto"/>
                  </w:divBdr>
                  <w:divsChild>
                    <w:div w:id="516889554">
                      <w:marLeft w:val="0"/>
                      <w:marRight w:val="0"/>
                      <w:marTop w:val="0"/>
                      <w:marBottom w:val="0"/>
                      <w:divBdr>
                        <w:top w:val="none" w:sz="0" w:space="0" w:color="auto"/>
                        <w:left w:val="none" w:sz="0" w:space="0" w:color="auto"/>
                        <w:bottom w:val="none" w:sz="0" w:space="0" w:color="auto"/>
                        <w:right w:val="none" w:sz="0" w:space="0" w:color="auto"/>
                      </w:divBdr>
                    </w:div>
                  </w:divsChild>
                </w:div>
                <w:div w:id="1164474283">
                  <w:marLeft w:val="0"/>
                  <w:marRight w:val="0"/>
                  <w:marTop w:val="0"/>
                  <w:marBottom w:val="0"/>
                  <w:divBdr>
                    <w:top w:val="none" w:sz="0" w:space="0" w:color="auto"/>
                    <w:left w:val="none" w:sz="0" w:space="0" w:color="auto"/>
                    <w:bottom w:val="none" w:sz="0" w:space="0" w:color="auto"/>
                    <w:right w:val="none" w:sz="0" w:space="0" w:color="auto"/>
                  </w:divBdr>
                  <w:divsChild>
                    <w:div w:id="1006713478">
                      <w:marLeft w:val="0"/>
                      <w:marRight w:val="0"/>
                      <w:marTop w:val="0"/>
                      <w:marBottom w:val="0"/>
                      <w:divBdr>
                        <w:top w:val="none" w:sz="0" w:space="0" w:color="auto"/>
                        <w:left w:val="none" w:sz="0" w:space="0" w:color="auto"/>
                        <w:bottom w:val="none" w:sz="0" w:space="0" w:color="auto"/>
                        <w:right w:val="none" w:sz="0" w:space="0" w:color="auto"/>
                      </w:divBdr>
                    </w:div>
                  </w:divsChild>
                </w:div>
                <w:div w:id="1176730267">
                  <w:marLeft w:val="0"/>
                  <w:marRight w:val="0"/>
                  <w:marTop w:val="0"/>
                  <w:marBottom w:val="0"/>
                  <w:divBdr>
                    <w:top w:val="none" w:sz="0" w:space="0" w:color="auto"/>
                    <w:left w:val="none" w:sz="0" w:space="0" w:color="auto"/>
                    <w:bottom w:val="none" w:sz="0" w:space="0" w:color="auto"/>
                    <w:right w:val="none" w:sz="0" w:space="0" w:color="auto"/>
                  </w:divBdr>
                  <w:divsChild>
                    <w:div w:id="1431706581">
                      <w:marLeft w:val="0"/>
                      <w:marRight w:val="0"/>
                      <w:marTop w:val="0"/>
                      <w:marBottom w:val="0"/>
                      <w:divBdr>
                        <w:top w:val="none" w:sz="0" w:space="0" w:color="auto"/>
                        <w:left w:val="none" w:sz="0" w:space="0" w:color="auto"/>
                        <w:bottom w:val="none" w:sz="0" w:space="0" w:color="auto"/>
                        <w:right w:val="none" w:sz="0" w:space="0" w:color="auto"/>
                      </w:divBdr>
                    </w:div>
                  </w:divsChild>
                </w:div>
                <w:div w:id="1210217646">
                  <w:marLeft w:val="0"/>
                  <w:marRight w:val="0"/>
                  <w:marTop w:val="0"/>
                  <w:marBottom w:val="0"/>
                  <w:divBdr>
                    <w:top w:val="none" w:sz="0" w:space="0" w:color="auto"/>
                    <w:left w:val="none" w:sz="0" w:space="0" w:color="auto"/>
                    <w:bottom w:val="none" w:sz="0" w:space="0" w:color="auto"/>
                    <w:right w:val="none" w:sz="0" w:space="0" w:color="auto"/>
                  </w:divBdr>
                  <w:divsChild>
                    <w:div w:id="1729958855">
                      <w:marLeft w:val="0"/>
                      <w:marRight w:val="0"/>
                      <w:marTop w:val="0"/>
                      <w:marBottom w:val="0"/>
                      <w:divBdr>
                        <w:top w:val="none" w:sz="0" w:space="0" w:color="auto"/>
                        <w:left w:val="none" w:sz="0" w:space="0" w:color="auto"/>
                        <w:bottom w:val="none" w:sz="0" w:space="0" w:color="auto"/>
                        <w:right w:val="none" w:sz="0" w:space="0" w:color="auto"/>
                      </w:divBdr>
                    </w:div>
                  </w:divsChild>
                </w:div>
                <w:div w:id="1219707050">
                  <w:marLeft w:val="0"/>
                  <w:marRight w:val="0"/>
                  <w:marTop w:val="0"/>
                  <w:marBottom w:val="0"/>
                  <w:divBdr>
                    <w:top w:val="none" w:sz="0" w:space="0" w:color="auto"/>
                    <w:left w:val="none" w:sz="0" w:space="0" w:color="auto"/>
                    <w:bottom w:val="none" w:sz="0" w:space="0" w:color="auto"/>
                    <w:right w:val="none" w:sz="0" w:space="0" w:color="auto"/>
                  </w:divBdr>
                  <w:divsChild>
                    <w:div w:id="1209536895">
                      <w:marLeft w:val="0"/>
                      <w:marRight w:val="0"/>
                      <w:marTop w:val="0"/>
                      <w:marBottom w:val="0"/>
                      <w:divBdr>
                        <w:top w:val="none" w:sz="0" w:space="0" w:color="auto"/>
                        <w:left w:val="none" w:sz="0" w:space="0" w:color="auto"/>
                        <w:bottom w:val="none" w:sz="0" w:space="0" w:color="auto"/>
                        <w:right w:val="none" w:sz="0" w:space="0" w:color="auto"/>
                      </w:divBdr>
                    </w:div>
                  </w:divsChild>
                </w:div>
                <w:div w:id="1260673579">
                  <w:marLeft w:val="0"/>
                  <w:marRight w:val="0"/>
                  <w:marTop w:val="0"/>
                  <w:marBottom w:val="0"/>
                  <w:divBdr>
                    <w:top w:val="none" w:sz="0" w:space="0" w:color="auto"/>
                    <w:left w:val="none" w:sz="0" w:space="0" w:color="auto"/>
                    <w:bottom w:val="none" w:sz="0" w:space="0" w:color="auto"/>
                    <w:right w:val="none" w:sz="0" w:space="0" w:color="auto"/>
                  </w:divBdr>
                  <w:divsChild>
                    <w:div w:id="682439218">
                      <w:marLeft w:val="0"/>
                      <w:marRight w:val="0"/>
                      <w:marTop w:val="0"/>
                      <w:marBottom w:val="0"/>
                      <w:divBdr>
                        <w:top w:val="none" w:sz="0" w:space="0" w:color="auto"/>
                        <w:left w:val="none" w:sz="0" w:space="0" w:color="auto"/>
                        <w:bottom w:val="none" w:sz="0" w:space="0" w:color="auto"/>
                        <w:right w:val="none" w:sz="0" w:space="0" w:color="auto"/>
                      </w:divBdr>
                    </w:div>
                  </w:divsChild>
                </w:div>
                <w:div w:id="1265335276">
                  <w:marLeft w:val="0"/>
                  <w:marRight w:val="0"/>
                  <w:marTop w:val="0"/>
                  <w:marBottom w:val="0"/>
                  <w:divBdr>
                    <w:top w:val="none" w:sz="0" w:space="0" w:color="auto"/>
                    <w:left w:val="none" w:sz="0" w:space="0" w:color="auto"/>
                    <w:bottom w:val="none" w:sz="0" w:space="0" w:color="auto"/>
                    <w:right w:val="none" w:sz="0" w:space="0" w:color="auto"/>
                  </w:divBdr>
                  <w:divsChild>
                    <w:div w:id="1364133076">
                      <w:marLeft w:val="0"/>
                      <w:marRight w:val="0"/>
                      <w:marTop w:val="0"/>
                      <w:marBottom w:val="0"/>
                      <w:divBdr>
                        <w:top w:val="none" w:sz="0" w:space="0" w:color="auto"/>
                        <w:left w:val="none" w:sz="0" w:space="0" w:color="auto"/>
                        <w:bottom w:val="none" w:sz="0" w:space="0" w:color="auto"/>
                        <w:right w:val="none" w:sz="0" w:space="0" w:color="auto"/>
                      </w:divBdr>
                    </w:div>
                  </w:divsChild>
                </w:div>
                <w:div w:id="1296450037">
                  <w:marLeft w:val="0"/>
                  <w:marRight w:val="0"/>
                  <w:marTop w:val="0"/>
                  <w:marBottom w:val="0"/>
                  <w:divBdr>
                    <w:top w:val="none" w:sz="0" w:space="0" w:color="auto"/>
                    <w:left w:val="none" w:sz="0" w:space="0" w:color="auto"/>
                    <w:bottom w:val="none" w:sz="0" w:space="0" w:color="auto"/>
                    <w:right w:val="none" w:sz="0" w:space="0" w:color="auto"/>
                  </w:divBdr>
                  <w:divsChild>
                    <w:div w:id="422336310">
                      <w:marLeft w:val="0"/>
                      <w:marRight w:val="0"/>
                      <w:marTop w:val="0"/>
                      <w:marBottom w:val="0"/>
                      <w:divBdr>
                        <w:top w:val="none" w:sz="0" w:space="0" w:color="auto"/>
                        <w:left w:val="none" w:sz="0" w:space="0" w:color="auto"/>
                        <w:bottom w:val="none" w:sz="0" w:space="0" w:color="auto"/>
                        <w:right w:val="none" w:sz="0" w:space="0" w:color="auto"/>
                      </w:divBdr>
                    </w:div>
                  </w:divsChild>
                </w:div>
                <w:div w:id="1314026709">
                  <w:marLeft w:val="0"/>
                  <w:marRight w:val="0"/>
                  <w:marTop w:val="0"/>
                  <w:marBottom w:val="0"/>
                  <w:divBdr>
                    <w:top w:val="none" w:sz="0" w:space="0" w:color="auto"/>
                    <w:left w:val="none" w:sz="0" w:space="0" w:color="auto"/>
                    <w:bottom w:val="none" w:sz="0" w:space="0" w:color="auto"/>
                    <w:right w:val="none" w:sz="0" w:space="0" w:color="auto"/>
                  </w:divBdr>
                  <w:divsChild>
                    <w:div w:id="781917245">
                      <w:marLeft w:val="0"/>
                      <w:marRight w:val="0"/>
                      <w:marTop w:val="0"/>
                      <w:marBottom w:val="0"/>
                      <w:divBdr>
                        <w:top w:val="none" w:sz="0" w:space="0" w:color="auto"/>
                        <w:left w:val="none" w:sz="0" w:space="0" w:color="auto"/>
                        <w:bottom w:val="none" w:sz="0" w:space="0" w:color="auto"/>
                        <w:right w:val="none" w:sz="0" w:space="0" w:color="auto"/>
                      </w:divBdr>
                    </w:div>
                  </w:divsChild>
                </w:div>
                <w:div w:id="1320426409">
                  <w:marLeft w:val="0"/>
                  <w:marRight w:val="0"/>
                  <w:marTop w:val="0"/>
                  <w:marBottom w:val="0"/>
                  <w:divBdr>
                    <w:top w:val="none" w:sz="0" w:space="0" w:color="auto"/>
                    <w:left w:val="none" w:sz="0" w:space="0" w:color="auto"/>
                    <w:bottom w:val="none" w:sz="0" w:space="0" w:color="auto"/>
                    <w:right w:val="none" w:sz="0" w:space="0" w:color="auto"/>
                  </w:divBdr>
                  <w:divsChild>
                    <w:div w:id="2093119155">
                      <w:marLeft w:val="0"/>
                      <w:marRight w:val="0"/>
                      <w:marTop w:val="0"/>
                      <w:marBottom w:val="0"/>
                      <w:divBdr>
                        <w:top w:val="none" w:sz="0" w:space="0" w:color="auto"/>
                        <w:left w:val="none" w:sz="0" w:space="0" w:color="auto"/>
                        <w:bottom w:val="none" w:sz="0" w:space="0" w:color="auto"/>
                        <w:right w:val="none" w:sz="0" w:space="0" w:color="auto"/>
                      </w:divBdr>
                    </w:div>
                  </w:divsChild>
                </w:div>
                <w:div w:id="1362515484">
                  <w:marLeft w:val="0"/>
                  <w:marRight w:val="0"/>
                  <w:marTop w:val="0"/>
                  <w:marBottom w:val="0"/>
                  <w:divBdr>
                    <w:top w:val="none" w:sz="0" w:space="0" w:color="auto"/>
                    <w:left w:val="none" w:sz="0" w:space="0" w:color="auto"/>
                    <w:bottom w:val="none" w:sz="0" w:space="0" w:color="auto"/>
                    <w:right w:val="none" w:sz="0" w:space="0" w:color="auto"/>
                  </w:divBdr>
                  <w:divsChild>
                    <w:div w:id="1734036264">
                      <w:marLeft w:val="0"/>
                      <w:marRight w:val="0"/>
                      <w:marTop w:val="0"/>
                      <w:marBottom w:val="0"/>
                      <w:divBdr>
                        <w:top w:val="none" w:sz="0" w:space="0" w:color="auto"/>
                        <w:left w:val="none" w:sz="0" w:space="0" w:color="auto"/>
                        <w:bottom w:val="none" w:sz="0" w:space="0" w:color="auto"/>
                        <w:right w:val="none" w:sz="0" w:space="0" w:color="auto"/>
                      </w:divBdr>
                    </w:div>
                  </w:divsChild>
                </w:div>
                <w:div w:id="1367949956">
                  <w:marLeft w:val="0"/>
                  <w:marRight w:val="0"/>
                  <w:marTop w:val="0"/>
                  <w:marBottom w:val="0"/>
                  <w:divBdr>
                    <w:top w:val="none" w:sz="0" w:space="0" w:color="auto"/>
                    <w:left w:val="none" w:sz="0" w:space="0" w:color="auto"/>
                    <w:bottom w:val="none" w:sz="0" w:space="0" w:color="auto"/>
                    <w:right w:val="none" w:sz="0" w:space="0" w:color="auto"/>
                  </w:divBdr>
                  <w:divsChild>
                    <w:div w:id="1791506681">
                      <w:marLeft w:val="0"/>
                      <w:marRight w:val="0"/>
                      <w:marTop w:val="0"/>
                      <w:marBottom w:val="0"/>
                      <w:divBdr>
                        <w:top w:val="none" w:sz="0" w:space="0" w:color="auto"/>
                        <w:left w:val="none" w:sz="0" w:space="0" w:color="auto"/>
                        <w:bottom w:val="none" w:sz="0" w:space="0" w:color="auto"/>
                        <w:right w:val="none" w:sz="0" w:space="0" w:color="auto"/>
                      </w:divBdr>
                    </w:div>
                  </w:divsChild>
                </w:div>
                <w:div w:id="1383676232">
                  <w:marLeft w:val="0"/>
                  <w:marRight w:val="0"/>
                  <w:marTop w:val="0"/>
                  <w:marBottom w:val="0"/>
                  <w:divBdr>
                    <w:top w:val="none" w:sz="0" w:space="0" w:color="auto"/>
                    <w:left w:val="none" w:sz="0" w:space="0" w:color="auto"/>
                    <w:bottom w:val="none" w:sz="0" w:space="0" w:color="auto"/>
                    <w:right w:val="none" w:sz="0" w:space="0" w:color="auto"/>
                  </w:divBdr>
                  <w:divsChild>
                    <w:div w:id="42026391">
                      <w:marLeft w:val="0"/>
                      <w:marRight w:val="0"/>
                      <w:marTop w:val="0"/>
                      <w:marBottom w:val="0"/>
                      <w:divBdr>
                        <w:top w:val="none" w:sz="0" w:space="0" w:color="auto"/>
                        <w:left w:val="none" w:sz="0" w:space="0" w:color="auto"/>
                        <w:bottom w:val="none" w:sz="0" w:space="0" w:color="auto"/>
                        <w:right w:val="none" w:sz="0" w:space="0" w:color="auto"/>
                      </w:divBdr>
                    </w:div>
                  </w:divsChild>
                </w:div>
                <w:div w:id="1396122765">
                  <w:marLeft w:val="0"/>
                  <w:marRight w:val="0"/>
                  <w:marTop w:val="0"/>
                  <w:marBottom w:val="0"/>
                  <w:divBdr>
                    <w:top w:val="none" w:sz="0" w:space="0" w:color="auto"/>
                    <w:left w:val="none" w:sz="0" w:space="0" w:color="auto"/>
                    <w:bottom w:val="none" w:sz="0" w:space="0" w:color="auto"/>
                    <w:right w:val="none" w:sz="0" w:space="0" w:color="auto"/>
                  </w:divBdr>
                  <w:divsChild>
                    <w:div w:id="895434512">
                      <w:marLeft w:val="0"/>
                      <w:marRight w:val="0"/>
                      <w:marTop w:val="0"/>
                      <w:marBottom w:val="0"/>
                      <w:divBdr>
                        <w:top w:val="none" w:sz="0" w:space="0" w:color="auto"/>
                        <w:left w:val="none" w:sz="0" w:space="0" w:color="auto"/>
                        <w:bottom w:val="none" w:sz="0" w:space="0" w:color="auto"/>
                        <w:right w:val="none" w:sz="0" w:space="0" w:color="auto"/>
                      </w:divBdr>
                    </w:div>
                  </w:divsChild>
                </w:div>
                <w:div w:id="1448815422">
                  <w:marLeft w:val="0"/>
                  <w:marRight w:val="0"/>
                  <w:marTop w:val="0"/>
                  <w:marBottom w:val="0"/>
                  <w:divBdr>
                    <w:top w:val="none" w:sz="0" w:space="0" w:color="auto"/>
                    <w:left w:val="none" w:sz="0" w:space="0" w:color="auto"/>
                    <w:bottom w:val="none" w:sz="0" w:space="0" w:color="auto"/>
                    <w:right w:val="none" w:sz="0" w:space="0" w:color="auto"/>
                  </w:divBdr>
                  <w:divsChild>
                    <w:div w:id="1877425358">
                      <w:marLeft w:val="0"/>
                      <w:marRight w:val="0"/>
                      <w:marTop w:val="0"/>
                      <w:marBottom w:val="0"/>
                      <w:divBdr>
                        <w:top w:val="none" w:sz="0" w:space="0" w:color="auto"/>
                        <w:left w:val="none" w:sz="0" w:space="0" w:color="auto"/>
                        <w:bottom w:val="none" w:sz="0" w:space="0" w:color="auto"/>
                        <w:right w:val="none" w:sz="0" w:space="0" w:color="auto"/>
                      </w:divBdr>
                    </w:div>
                  </w:divsChild>
                </w:div>
                <w:div w:id="1455052976">
                  <w:marLeft w:val="0"/>
                  <w:marRight w:val="0"/>
                  <w:marTop w:val="0"/>
                  <w:marBottom w:val="0"/>
                  <w:divBdr>
                    <w:top w:val="none" w:sz="0" w:space="0" w:color="auto"/>
                    <w:left w:val="none" w:sz="0" w:space="0" w:color="auto"/>
                    <w:bottom w:val="none" w:sz="0" w:space="0" w:color="auto"/>
                    <w:right w:val="none" w:sz="0" w:space="0" w:color="auto"/>
                  </w:divBdr>
                  <w:divsChild>
                    <w:div w:id="783040438">
                      <w:marLeft w:val="0"/>
                      <w:marRight w:val="0"/>
                      <w:marTop w:val="0"/>
                      <w:marBottom w:val="0"/>
                      <w:divBdr>
                        <w:top w:val="none" w:sz="0" w:space="0" w:color="auto"/>
                        <w:left w:val="none" w:sz="0" w:space="0" w:color="auto"/>
                        <w:bottom w:val="none" w:sz="0" w:space="0" w:color="auto"/>
                        <w:right w:val="none" w:sz="0" w:space="0" w:color="auto"/>
                      </w:divBdr>
                    </w:div>
                  </w:divsChild>
                </w:div>
                <w:div w:id="1459951600">
                  <w:marLeft w:val="0"/>
                  <w:marRight w:val="0"/>
                  <w:marTop w:val="0"/>
                  <w:marBottom w:val="0"/>
                  <w:divBdr>
                    <w:top w:val="none" w:sz="0" w:space="0" w:color="auto"/>
                    <w:left w:val="none" w:sz="0" w:space="0" w:color="auto"/>
                    <w:bottom w:val="none" w:sz="0" w:space="0" w:color="auto"/>
                    <w:right w:val="none" w:sz="0" w:space="0" w:color="auto"/>
                  </w:divBdr>
                  <w:divsChild>
                    <w:div w:id="310409347">
                      <w:marLeft w:val="0"/>
                      <w:marRight w:val="0"/>
                      <w:marTop w:val="0"/>
                      <w:marBottom w:val="0"/>
                      <w:divBdr>
                        <w:top w:val="none" w:sz="0" w:space="0" w:color="auto"/>
                        <w:left w:val="none" w:sz="0" w:space="0" w:color="auto"/>
                        <w:bottom w:val="none" w:sz="0" w:space="0" w:color="auto"/>
                        <w:right w:val="none" w:sz="0" w:space="0" w:color="auto"/>
                      </w:divBdr>
                    </w:div>
                  </w:divsChild>
                </w:div>
                <w:div w:id="1473791662">
                  <w:marLeft w:val="0"/>
                  <w:marRight w:val="0"/>
                  <w:marTop w:val="0"/>
                  <w:marBottom w:val="0"/>
                  <w:divBdr>
                    <w:top w:val="none" w:sz="0" w:space="0" w:color="auto"/>
                    <w:left w:val="none" w:sz="0" w:space="0" w:color="auto"/>
                    <w:bottom w:val="none" w:sz="0" w:space="0" w:color="auto"/>
                    <w:right w:val="none" w:sz="0" w:space="0" w:color="auto"/>
                  </w:divBdr>
                  <w:divsChild>
                    <w:div w:id="878935958">
                      <w:marLeft w:val="0"/>
                      <w:marRight w:val="0"/>
                      <w:marTop w:val="0"/>
                      <w:marBottom w:val="0"/>
                      <w:divBdr>
                        <w:top w:val="none" w:sz="0" w:space="0" w:color="auto"/>
                        <w:left w:val="none" w:sz="0" w:space="0" w:color="auto"/>
                        <w:bottom w:val="none" w:sz="0" w:space="0" w:color="auto"/>
                        <w:right w:val="none" w:sz="0" w:space="0" w:color="auto"/>
                      </w:divBdr>
                    </w:div>
                  </w:divsChild>
                </w:div>
                <w:div w:id="1492720076">
                  <w:marLeft w:val="0"/>
                  <w:marRight w:val="0"/>
                  <w:marTop w:val="0"/>
                  <w:marBottom w:val="0"/>
                  <w:divBdr>
                    <w:top w:val="none" w:sz="0" w:space="0" w:color="auto"/>
                    <w:left w:val="none" w:sz="0" w:space="0" w:color="auto"/>
                    <w:bottom w:val="none" w:sz="0" w:space="0" w:color="auto"/>
                    <w:right w:val="none" w:sz="0" w:space="0" w:color="auto"/>
                  </w:divBdr>
                  <w:divsChild>
                    <w:div w:id="1474832399">
                      <w:marLeft w:val="0"/>
                      <w:marRight w:val="0"/>
                      <w:marTop w:val="0"/>
                      <w:marBottom w:val="0"/>
                      <w:divBdr>
                        <w:top w:val="none" w:sz="0" w:space="0" w:color="auto"/>
                        <w:left w:val="none" w:sz="0" w:space="0" w:color="auto"/>
                        <w:bottom w:val="none" w:sz="0" w:space="0" w:color="auto"/>
                        <w:right w:val="none" w:sz="0" w:space="0" w:color="auto"/>
                      </w:divBdr>
                    </w:div>
                  </w:divsChild>
                </w:div>
                <w:div w:id="1526747847">
                  <w:marLeft w:val="0"/>
                  <w:marRight w:val="0"/>
                  <w:marTop w:val="0"/>
                  <w:marBottom w:val="0"/>
                  <w:divBdr>
                    <w:top w:val="none" w:sz="0" w:space="0" w:color="auto"/>
                    <w:left w:val="none" w:sz="0" w:space="0" w:color="auto"/>
                    <w:bottom w:val="none" w:sz="0" w:space="0" w:color="auto"/>
                    <w:right w:val="none" w:sz="0" w:space="0" w:color="auto"/>
                  </w:divBdr>
                  <w:divsChild>
                    <w:div w:id="1789620671">
                      <w:marLeft w:val="0"/>
                      <w:marRight w:val="0"/>
                      <w:marTop w:val="0"/>
                      <w:marBottom w:val="0"/>
                      <w:divBdr>
                        <w:top w:val="none" w:sz="0" w:space="0" w:color="auto"/>
                        <w:left w:val="none" w:sz="0" w:space="0" w:color="auto"/>
                        <w:bottom w:val="none" w:sz="0" w:space="0" w:color="auto"/>
                        <w:right w:val="none" w:sz="0" w:space="0" w:color="auto"/>
                      </w:divBdr>
                    </w:div>
                  </w:divsChild>
                </w:div>
                <w:div w:id="1527787989">
                  <w:marLeft w:val="0"/>
                  <w:marRight w:val="0"/>
                  <w:marTop w:val="0"/>
                  <w:marBottom w:val="0"/>
                  <w:divBdr>
                    <w:top w:val="none" w:sz="0" w:space="0" w:color="auto"/>
                    <w:left w:val="none" w:sz="0" w:space="0" w:color="auto"/>
                    <w:bottom w:val="none" w:sz="0" w:space="0" w:color="auto"/>
                    <w:right w:val="none" w:sz="0" w:space="0" w:color="auto"/>
                  </w:divBdr>
                  <w:divsChild>
                    <w:div w:id="643850533">
                      <w:marLeft w:val="0"/>
                      <w:marRight w:val="0"/>
                      <w:marTop w:val="0"/>
                      <w:marBottom w:val="0"/>
                      <w:divBdr>
                        <w:top w:val="none" w:sz="0" w:space="0" w:color="auto"/>
                        <w:left w:val="none" w:sz="0" w:space="0" w:color="auto"/>
                        <w:bottom w:val="none" w:sz="0" w:space="0" w:color="auto"/>
                        <w:right w:val="none" w:sz="0" w:space="0" w:color="auto"/>
                      </w:divBdr>
                    </w:div>
                  </w:divsChild>
                </w:div>
                <w:div w:id="1529873033">
                  <w:marLeft w:val="0"/>
                  <w:marRight w:val="0"/>
                  <w:marTop w:val="0"/>
                  <w:marBottom w:val="0"/>
                  <w:divBdr>
                    <w:top w:val="none" w:sz="0" w:space="0" w:color="auto"/>
                    <w:left w:val="none" w:sz="0" w:space="0" w:color="auto"/>
                    <w:bottom w:val="none" w:sz="0" w:space="0" w:color="auto"/>
                    <w:right w:val="none" w:sz="0" w:space="0" w:color="auto"/>
                  </w:divBdr>
                  <w:divsChild>
                    <w:div w:id="323093783">
                      <w:marLeft w:val="0"/>
                      <w:marRight w:val="0"/>
                      <w:marTop w:val="0"/>
                      <w:marBottom w:val="0"/>
                      <w:divBdr>
                        <w:top w:val="none" w:sz="0" w:space="0" w:color="auto"/>
                        <w:left w:val="none" w:sz="0" w:space="0" w:color="auto"/>
                        <w:bottom w:val="none" w:sz="0" w:space="0" w:color="auto"/>
                        <w:right w:val="none" w:sz="0" w:space="0" w:color="auto"/>
                      </w:divBdr>
                    </w:div>
                  </w:divsChild>
                </w:div>
                <w:div w:id="1577740578">
                  <w:marLeft w:val="0"/>
                  <w:marRight w:val="0"/>
                  <w:marTop w:val="0"/>
                  <w:marBottom w:val="0"/>
                  <w:divBdr>
                    <w:top w:val="none" w:sz="0" w:space="0" w:color="auto"/>
                    <w:left w:val="none" w:sz="0" w:space="0" w:color="auto"/>
                    <w:bottom w:val="none" w:sz="0" w:space="0" w:color="auto"/>
                    <w:right w:val="none" w:sz="0" w:space="0" w:color="auto"/>
                  </w:divBdr>
                  <w:divsChild>
                    <w:div w:id="273681111">
                      <w:marLeft w:val="0"/>
                      <w:marRight w:val="0"/>
                      <w:marTop w:val="0"/>
                      <w:marBottom w:val="0"/>
                      <w:divBdr>
                        <w:top w:val="none" w:sz="0" w:space="0" w:color="auto"/>
                        <w:left w:val="none" w:sz="0" w:space="0" w:color="auto"/>
                        <w:bottom w:val="none" w:sz="0" w:space="0" w:color="auto"/>
                        <w:right w:val="none" w:sz="0" w:space="0" w:color="auto"/>
                      </w:divBdr>
                    </w:div>
                  </w:divsChild>
                </w:div>
                <w:div w:id="1586262287">
                  <w:marLeft w:val="0"/>
                  <w:marRight w:val="0"/>
                  <w:marTop w:val="0"/>
                  <w:marBottom w:val="0"/>
                  <w:divBdr>
                    <w:top w:val="none" w:sz="0" w:space="0" w:color="auto"/>
                    <w:left w:val="none" w:sz="0" w:space="0" w:color="auto"/>
                    <w:bottom w:val="none" w:sz="0" w:space="0" w:color="auto"/>
                    <w:right w:val="none" w:sz="0" w:space="0" w:color="auto"/>
                  </w:divBdr>
                  <w:divsChild>
                    <w:div w:id="160510692">
                      <w:marLeft w:val="0"/>
                      <w:marRight w:val="0"/>
                      <w:marTop w:val="0"/>
                      <w:marBottom w:val="0"/>
                      <w:divBdr>
                        <w:top w:val="none" w:sz="0" w:space="0" w:color="auto"/>
                        <w:left w:val="none" w:sz="0" w:space="0" w:color="auto"/>
                        <w:bottom w:val="none" w:sz="0" w:space="0" w:color="auto"/>
                        <w:right w:val="none" w:sz="0" w:space="0" w:color="auto"/>
                      </w:divBdr>
                    </w:div>
                  </w:divsChild>
                </w:div>
                <w:div w:id="1588733093">
                  <w:marLeft w:val="0"/>
                  <w:marRight w:val="0"/>
                  <w:marTop w:val="0"/>
                  <w:marBottom w:val="0"/>
                  <w:divBdr>
                    <w:top w:val="none" w:sz="0" w:space="0" w:color="auto"/>
                    <w:left w:val="none" w:sz="0" w:space="0" w:color="auto"/>
                    <w:bottom w:val="none" w:sz="0" w:space="0" w:color="auto"/>
                    <w:right w:val="none" w:sz="0" w:space="0" w:color="auto"/>
                  </w:divBdr>
                  <w:divsChild>
                    <w:div w:id="277807787">
                      <w:marLeft w:val="0"/>
                      <w:marRight w:val="0"/>
                      <w:marTop w:val="0"/>
                      <w:marBottom w:val="0"/>
                      <w:divBdr>
                        <w:top w:val="none" w:sz="0" w:space="0" w:color="auto"/>
                        <w:left w:val="none" w:sz="0" w:space="0" w:color="auto"/>
                        <w:bottom w:val="none" w:sz="0" w:space="0" w:color="auto"/>
                        <w:right w:val="none" w:sz="0" w:space="0" w:color="auto"/>
                      </w:divBdr>
                    </w:div>
                  </w:divsChild>
                </w:div>
                <w:div w:id="1588928892">
                  <w:marLeft w:val="0"/>
                  <w:marRight w:val="0"/>
                  <w:marTop w:val="0"/>
                  <w:marBottom w:val="0"/>
                  <w:divBdr>
                    <w:top w:val="none" w:sz="0" w:space="0" w:color="auto"/>
                    <w:left w:val="none" w:sz="0" w:space="0" w:color="auto"/>
                    <w:bottom w:val="none" w:sz="0" w:space="0" w:color="auto"/>
                    <w:right w:val="none" w:sz="0" w:space="0" w:color="auto"/>
                  </w:divBdr>
                  <w:divsChild>
                    <w:div w:id="1855880350">
                      <w:marLeft w:val="0"/>
                      <w:marRight w:val="0"/>
                      <w:marTop w:val="0"/>
                      <w:marBottom w:val="0"/>
                      <w:divBdr>
                        <w:top w:val="none" w:sz="0" w:space="0" w:color="auto"/>
                        <w:left w:val="none" w:sz="0" w:space="0" w:color="auto"/>
                        <w:bottom w:val="none" w:sz="0" w:space="0" w:color="auto"/>
                        <w:right w:val="none" w:sz="0" w:space="0" w:color="auto"/>
                      </w:divBdr>
                    </w:div>
                  </w:divsChild>
                </w:div>
                <w:div w:id="1599554884">
                  <w:marLeft w:val="0"/>
                  <w:marRight w:val="0"/>
                  <w:marTop w:val="0"/>
                  <w:marBottom w:val="0"/>
                  <w:divBdr>
                    <w:top w:val="none" w:sz="0" w:space="0" w:color="auto"/>
                    <w:left w:val="none" w:sz="0" w:space="0" w:color="auto"/>
                    <w:bottom w:val="none" w:sz="0" w:space="0" w:color="auto"/>
                    <w:right w:val="none" w:sz="0" w:space="0" w:color="auto"/>
                  </w:divBdr>
                  <w:divsChild>
                    <w:div w:id="490368827">
                      <w:marLeft w:val="0"/>
                      <w:marRight w:val="0"/>
                      <w:marTop w:val="0"/>
                      <w:marBottom w:val="0"/>
                      <w:divBdr>
                        <w:top w:val="none" w:sz="0" w:space="0" w:color="auto"/>
                        <w:left w:val="none" w:sz="0" w:space="0" w:color="auto"/>
                        <w:bottom w:val="none" w:sz="0" w:space="0" w:color="auto"/>
                        <w:right w:val="none" w:sz="0" w:space="0" w:color="auto"/>
                      </w:divBdr>
                    </w:div>
                  </w:divsChild>
                </w:div>
                <w:div w:id="1616250781">
                  <w:marLeft w:val="0"/>
                  <w:marRight w:val="0"/>
                  <w:marTop w:val="0"/>
                  <w:marBottom w:val="0"/>
                  <w:divBdr>
                    <w:top w:val="none" w:sz="0" w:space="0" w:color="auto"/>
                    <w:left w:val="none" w:sz="0" w:space="0" w:color="auto"/>
                    <w:bottom w:val="none" w:sz="0" w:space="0" w:color="auto"/>
                    <w:right w:val="none" w:sz="0" w:space="0" w:color="auto"/>
                  </w:divBdr>
                  <w:divsChild>
                    <w:div w:id="1340154681">
                      <w:marLeft w:val="0"/>
                      <w:marRight w:val="0"/>
                      <w:marTop w:val="0"/>
                      <w:marBottom w:val="0"/>
                      <w:divBdr>
                        <w:top w:val="none" w:sz="0" w:space="0" w:color="auto"/>
                        <w:left w:val="none" w:sz="0" w:space="0" w:color="auto"/>
                        <w:bottom w:val="none" w:sz="0" w:space="0" w:color="auto"/>
                        <w:right w:val="none" w:sz="0" w:space="0" w:color="auto"/>
                      </w:divBdr>
                    </w:div>
                  </w:divsChild>
                </w:div>
                <w:div w:id="1617523599">
                  <w:marLeft w:val="0"/>
                  <w:marRight w:val="0"/>
                  <w:marTop w:val="0"/>
                  <w:marBottom w:val="0"/>
                  <w:divBdr>
                    <w:top w:val="none" w:sz="0" w:space="0" w:color="auto"/>
                    <w:left w:val="none" w:sz="0" w:space="0" w:color="auto"/>
                    <w:bottom w:val="none" w:sz="0" w:space="0" w:color="auto"/>
                    <w:right w:val="none" w:sz="0" w:space="0" w:color="auto"/>
                  </w:divBdr>
                  <w:divsChild>
                    <w:div w:id="1132794180">
                      <w:marLeft w:val="0"/>
                      <w:marRight w:val="0"/>
                      <w:marTop w:val="0"/>
                      <w:marBottom w:val="0"/>
                      <w:divBdr>
                        <w:top w:val="none" w:sz="0" w:space="0" w:color="auto"/>
                        <w:left w:val="none" w:sz="0" w:space="0" w:color="auto"/>
                        <w:bottom w:val="none" w:sz="0" w:space="0" w:color="auto"/>
                        <w:right w:val="none" w:sz="0" w:space="0" w:color="auto"/>
                      </w:divBdr>
                    </w:div>
                  </w:divsChild>
                </w:div>
                <w:div w:id="1628972350">
                  <w:marLeft w:val="0"/>
                  <w:marRight w:val="0"/>
                  <w:marTop w:val="0"/>
                  <w:marBottom w:val="0"/>
                  <w:divBdr>
                    <w:top w:val="none" w:sz="0" w:space="0" w:color="auto"/>
                    <w:left w:val="none" w:sz="0" w:space="0" w:color="auto"/>
                    <w:bottom w:val="none" w:sz="0" w:space="0" w:color="auto"/>
                    <w:right w:val="none" w:sz="0" w:space="0" w:color="auto"/>
                  </w:divBdr>
                  <w:divsChild>
                    <w:div w:id="1136410160">
                      <w:marLeft w:val="0"/>
                      <w:marRight w:val="0"/>
                      <w:marTop w:val="0"/>
                      <w:marBottom w:val="0"/>
                      <w:divBdr>
                        <w:top w:val="none" w:sz="0" w:space="0" w:color="auto"/>
                        <w:left w:val="none" w:sz="0" w:space="0" w:color="auto"/>
                        <w:bottom w:val="none" w:sz="0" w:space="0" w:color="auto"/>
                        <w:right w:val="none" w:sz="0" w:space="0" w:color="auto"/>
                      </w:divBdr>
                    </w:div>
                  </w:divsChild>
                </w:div>
                <w:div w:id="1643732305">
                  <w:marLeft w:val="0"/>
                  <w:marRight w:val="0"/>
                  <w:marTop w:val="0"/>
                  <w:marBottom w:val="0"/>
                  <w:divBdr>
                    <w:top w:val="none" w:sz="0" w:space="0" w:color="auto"/>
                    <w:left w:val="none" w:sz="0" w:space="0" w:color="auto"/>
                    <w:bottom w:val="none" w:sz="0" w:space="0" w:color="auto"/>
                    <w:right w:val="none" w:sz="0" w:space="0" w:color="auto"/>
                  </w:divBdr>
                  <w:divsChild>
                    <w:div w:id="1242104775">
                      <w:marLeft w:val="0"/>
                      <w:marRight w:val="0"/>
                      <w:marTop w:val="0"/>
                      <w:marBottom w:val="0"/>
                      <w:divBdr>
                        <w:top w:val="none" w:sz="0" w:space="0" w:color="auto"/>
                        <w:left w:val="none" w:sz="0" w:space="0" w:color="auto"/>
                        <w:bottom w:val="none" w:sz="0" w:space="0" w:color="auto"/>
                        <w:right w:val="none" w:sz="0" w:space="0" w:color="auto"/>
                      </w:divBdr>
                    </w:div>
                  </w:divsChild>
                </w:div>
                <w:div w:id="1657032395">
                  <w:marLeft w:val="0"/>
                  <w:marRight w:val="0"/>
                  <w:marTop w:val="0"/>
                  <w:marBottom w:val="0"/>
                  <w:divBdr>
                    <w:top w:val="none" w:sz="0" w:space="0" w:color="auto"/>
                    <w:left w:val="none" w:sz="0" w:space="0" w:color="auto"/>
                    <w:bottom w:val="none" w:sz="0" w:space="0" w:color="auto"/>
                    <w:right w:val="none" w:sz="0" w:space="0" w:color="auto"/>
                  </w:divBdr>
                  <w:divsChild>
                    <w:div w:id="1926650552">
                      <w:marLeft w:val="0"/>
                      <w:marRight w:val="0"/>
                      <w:marTop w:val="0"/>
                      <w:marBottom w:val="0"/>
                      <w:divBdr>
                        <w:top w:val="none" w:sz="0" w:space="0" w:color="auto"/>
                        <w:left w:val="none" w:sz="0" w:space="0" w:color="auto"/>
                        <w:bottom w:val="none" w:sz="0" w:space="0" w:color="auto"/>
                        <w:right w:val="none" w:sz="0" w:space="0" w:color="auto"/>
                      </w:divBdr>
                    </w:div>
                  </w:divsChild>
                </w:div>
                <w:div w:id="1669865519">
                  <w:marLeft w:val="0"/>
                  <w:marRight w:val="0"/>
                  <w:marTop w:val="0"/>
                  <w:marBottom w:val="0"/>
                  <w:divBdr>
                    <w:top w:val="none" w:sz="0" w:space="0" w:color="auto"/>
                    <w:left w:val="none" w:sz="0" w:space="0" w:color="auto"/>
                    <w:bottom w:val="none" w:sz="0" w:space="0" w:color="auto"/>
                    <w:right w:val="none" w:sz="0" w:space="0" w:color="auto"/>
                  </w:divBdr>
                  <w:divsChild>
                    <w:div w:id="2090344820">
                      <w:marLeft w:val="0"/>
                      <w:marRight w:val="0"/>
                      <w:marTop w:val="0"/>
                      <w:marBottom w:val="0"/>
                      <w:divBdr>
                        <w:top w:val="none" w:sz="0" w:space="0" w:color="auto"/>
                        <w:left w:val="none" w:sz="0" w:space="0" w:color="auto"/>
                        <w:bottom w:val="none" w:sz="0" w:space="0" w:color="auto"/>
                        <w:right w:val="none" w:sz="0" w:space="0" w:color="auto"/>
                      </w:divBdr>
                    </w:div>
                  </w:divsChild>
                </w:div>
                <w:div w:id="1681276078">
                  <w:marLeft w:val="0"/>
                  <w:marRight w:val="0"/>
                  <w:marTop w:val="0"/>
                  <w:marBottom w:val="0"/>
                  <w:divBdr>
                    <w:top w:val="none" w:sz="0" w:space="0" w:color="auto"/>
                    <w:left w:val="none" w:sz="0" w:space="0" w:color="auto"/>
                    <w:bottom w:val="none" w:sz="0" w:space="0" w:color="auto"/>
                    <w:right w:val="none" w:sz="0" w:space="0" w:color="auto"/>
                  </w:divBdr>
                  <w:divsChild>
                    <w:div w:id="1262689044">
                      <w:marLeft w:val="0"/>
                      <w:marRight w:val="0"/>
                      <w:marTop w:val="0"/>
                      <w:marBottom w:val="0"/>
                      <w:divBdr>
                        <w:top w:val="none" w:sz="0" w:space="0" w:color="auto"/>
                        <w:left w:val="none" w:sz="0" w:space="0" w:color="auto"/>
                        <w:bottom w:val="none" w:sz="0" w:space="0" w:color="auto"/>
                        <w:right w:val="none" w:sz="0" w:space="0" w:color="auto"/>
                      </w:divBdr>
                    </w:div>
                  </w:divsChild>
                </w:div>
                <w:div w:id="1700742140">
                  <w:marLeft w:val="0"/>
                  <w:marRight w:val="0"/>
                  <w:marTop w:val="0"/>
                  <w:marBottom w:val="0"/>
                  <w:divBdr>
                    <w:top w:val="none" w:sz="0" w:space="0" w:color="auto"/>
                    <w:left w:val="none" w:sz="0" w:space="0" w:color="auto"/>
                    <w:bottom w:val="none" w:sz="0" w:space="0" w:color="auto"/>
                    <w:right w:val="none" w:sz="0" w:space="0" w:color="auto"/>
                  </w:divBdr>
                  <w:divsChild>
                    <w:div w:id="461074329">
                      <w:marLeft w:val="0"/>
                      <w:marRight w:val="0"/>
                      <w:marTop w:val="0"/>
                      <w:marBottom w:val="0"/>
                      <w:divBdr>
                        <w:top w:val="none" w:sz="0" w:space="0" w:color="auto"/>
                        <w:left w:val="none" w:sz="0" w:space="0" w:color="auto"/>
                        <w:bottom w:val="none" w:sz="0" w:space="0" w:color="auto"/>
                        <w:right w:val="none" w:sz="0" w:space="0" w:color="auto"/>
                      </w:divBdr>
                    </w:div>
                  </w:divsChild>
                </w:div>
                <w:div w:id="1706060688">
                  <w:marLeft w:val="0"/>
                  <w:marRight w:val="0"/>
                  <w:marTop w:val="0"/>
                  <w:marBottom w:val="0"/>
                  <w:divBdr>
                    <w:top w:val="none" w:sz="0" w:space="0" w:color="auto"/>
                    <w:left w:val="none" w:sz="0" w:space="0" w:color="auto"/>
                    <w:bottom w:val="none" w:sz="0" w:space="0" w:color="auto"/>
                    <w:right w:val="none" w:sz="0" w:space="0" w:color="auto"/>
                  </w:divBdr>
                  <w:divsChild>
                    <w:div w:id="1581909081">
                      <w:marLeft w:val="0"/>
                      <w:marRight w:val="0"/>
                      <w:marTop w:val="0"/>
                      <w:marBottom w:val="0"/>
                      <w:divBdr>
                        <w:top w:val="none" w:sz="0" w:space="0" w:color="auto"/>
                        <w:left w:val="none" w:sz="0" w:space="0" w:color="auto"/>
                        <w:bottom w:val="none" w:sz="0" w:space="0" w:color="auto"/>
                        <w:right w:val="none" w:sz="0" w:space="0" w:color="auto"/>
                      </w:divBdr>
                    </w:div>
                  </w:divsChild>
                </w:div>
                <w:div w:id="1710647438">
                  <w:marLeft w:val="0"/>
                  <w:marRight w:val="0"/>
                  <w:marTop w:val="0"/>
                  <w:marBottom w:val="0"/>
                  <w:divBdr>
                    <w:top w:val="none" w:sz="0" w:space="0" w:color="auto"/>
                    <w:left w:val="none" w:sz="0" w:space="0" w:color="auto"/>
                    <w:bottom w:val="none" w:sz="0" w:space="0" w:color="auto"/>
                    <w:right w:val="none" w:sz="0" w:space="0" w:color="auto"/>
                  </w:divBdr>
                  <w:divsChild>
                    <w:div w:id="1289581816">
                      <w:marLeft w:val="0"/>
                      <w:marRight w:val="0"/>
                      <w:marTop w:val="0"/>
                      <w:marBottom w:val="0"/>
                      <w:divBdr>
                        <w:top w:val="none" w:sz="0" w:space="0" w:color="auto"/>
                        <w:left w:val="none" w:sz="0" w:space="0" w:color="auto"/>
                        <w:bottom w:val="none" w:sz="0" w:space="0" w:color="auto"/>
                        <w:right w:val="none" w:sz="0" w:space="0" w:color="auto"/>
                      </w:divBdr>
                    </w:div>
                  </w:divsChild>
                </w:div>
                <w:div w:id="1722292365">
                  <w:marLeft w:val="0"/>
                  <w:marRight w:val="0"/>
                  <w:marTop w:val="0"/>
                  <w:marBottom w:val="0"/>
                  <w:divBdr>
                    <w:top w:val="none" w:sz="0" w:space="0" w:color="auto"/>
                    <w:left w:val="none" w:sz="0" w:space="0" w:color="auto"/>
                    <w:bottom w:val="none" w:sz="0" w:space="0" w:color="auto"/>
                    <w:right w:val="none" w:sz="0" w:space="0" w:color="auto"/>
                  </w:divBdr>
                  <w:divsChild>
                    <w:div w:id="1397585941">
                      <w:marLeft w:val="0"/>
                      <w:marRight w:val="0"/>
                      <w:marTop w:val="0"/>
                      <w:marBottom w:val="0"/>
                      <w:divBdr>
                        <w:top w:val="none" w:sz="0" w:space="0" w:color="auto"/>
                        <w:left w:val="none" w:sz="0" w:space="0" w:color="auto"/>
                        <w:bottom w:val="none" w:sz="0" w:space="0" w:color="auto"/>
                        <w:right w:val="none" w:sz="0" w:space="0" w:color="auto"/>
                      </w:divBdr>
                    </w:div>
                  </w:divsChild>
                </w:div>
                <w:div w:id="1722437238">
                  <w:marLeft w:val="0"/>
                  <w:marRight w:val="0"/>
                  <w:marTop w:val="0"/>
                  <w:marBottom w:val="0"/>
                  <w:divBdr>
                    <w:top w:val="none" w:sz="0" w:space="0" w:color="auto"/>
                    <w:left w:val="none" w:sz="0" w:space="0" w:color="auto"/>
                    <w:bottom w:val="none" w:sz="0" w:space="0" w:color="auto"/>
                    <w:right w:val="none" w:sz="0" w:space="0" w:color="auto"/>
                  </w:divBdr>
                  <w:divsChild>
                    <w:div w:id="24596765">
                      <w:marLeft w:val="0"/>
                      <w:marRight w:val="0"/>
                      <w:marTop w:val="0"/>
                      <w:marBottom w:val="0"/>
                      <w:divBdr>
                        <w:top w:val="none" w:sz="0" w:space="0" w:color="auto"/>
                        <w:left w:val="none" w:sz="0" w:space="0" w:color="auto"/>
                        <w:bottom w:val="none" w:sz="0" w:space="0" w:color="auto"/>
                        <w:right w:val="none" w:sz="0" w:space="0" w:color="auto"/>
                      </w:divBdr>
                    </w:div>
                  </w:divsChild>
                </w:div>
                <w:div w:id="1728411240">
                  <w:marLeft w:val="0"/>
                  <w:marRight w:val="0"/>
                  <w:marTop w:val="0"/>
                  <w:marBottom w:val="0"/>
                  <w:divBdr>
                    <w:top w:val="none" w:sz="0" w:space="0" w:color="auto"/>
                    <w:left w:val="none" w:sz="0" w:space="0" w:color="auto"/>
                    <w:bottom w:val="none" w:sz="0" w:space="0" w:color="auto"/>
                    <w:right w:val="none" w:sz="0" w:space="0" w:color="auto"/>
                  </w:divBdr>
                  <w:divsChild>
                    <w:div w:id="981958407">
                      <w:marLeft w:val="0"/>
                      <w:marRight w:val="0"/>
                      <w:marTop w:val="0"/>
                      <w:marBottom w:val="0"/>
                      <w:divBdr>
                        <w:top w:val="none" w:sz="0" w:space="0" w:color="auto"/>
                        <w:left w:val="none" w:sz="0" w:space="0" w:color="auto"/>
                        <w:bottom w:val="none" w:sz="0" w:space="0" w:color="auto"/>
                        <w:right w:val="none" w:sz="0" w:space="0" w:color="auto"/>
                      </w:divBdr>
                    </w:div>
                  </w:divsChild>
                </w:div>
                <w:div w:id="1730881994">
                  <w:marLeft w:val="0"/>
                  <w:marRight w:val="0"/>
                  <w:marTop w:val="0"/>
                  <w:marBottom w:val="0"/>
                  <w:divBdr>
                    <w:top w:val="none" w:sz="0" w:space="0" w:color="auto"/>
                    <w:left w:val="none" w:sz="0" w:space="0" w:color="auto"/>
                    <w:bottom w:val="none" w:sz="0" w:space="0" w:color="auto"/>
                    <w:right w:val="none" w:sz="0" w:space="0" w:color="auto"/>
                  </w:divBdr>
                  <w:divsChild>
                    <w:div w:id="1583565255">
                      <w:marLeft w:val="0"/>
                      <w:marRight w:val="0"/>
                      <w:marTop w:val="0"/>
                      <w:marBottom w:val="0"/>
                      <w:divBdr>
                        <w:top w:val="none" w:sz="0" w:space="0" w:color="auto"/>
                        <w:left w:val="none" w:sz="0" w:space="0" w:color="auto"/>
                        <w:bottom w:val="none" w:sz="0" w:space="0" w:color="auto"/>
                        <w:right w:val="none" w:sz="0" w:space="0" w:color="auto"/>
                      </w:divBdr>
                    </w:div>
                  </w:divsChild>
                </w:div>
                <w:div w:id="1781409893">
                  <w:marLeft w:val="0"/>
                  <w:marRight w:val="0"/>
                  <w:marTop w:val="0"/>
                  <w:marBottom w:val="0"/>
                  <w:divBdr>
                    <w:top w:val="none" w:sz="0" w:space="0" w:color="auto"/>
                    <w:left w:val="none" w:sz="0" w:space="0" w:color="auto"/>
                    <w:bottom w:val="none" w:sz="0" w:space="0" w:color="auto"/>
                    <w:right w:val="none" w:sz="0" w:space="0" w:color="auto"/>
                  </w:divBdr>
                  <w:divsChild>
                    <w:div w:id="1731616857">
                      <w:marLeft w:val="0"/>
                      <w:marRight w:val="0"/>
                      <w:marTop w:val="0"/>
                      <w:marBottom w:val="0"/>
                      <w:divBdr>
                        <w:top w:val="none" w:sz="0" w:space="0" w:color="auto"/>
                        <w:left w:val="none" w:sz="0" w:space="0" w:color="auto"/>
                        <w:bottom w:val="none" w:sz="0" w:space="0" w:color="auto"/>
                        <w:right w:val="none" w:sz="0" w:space="0" w:color="auto"/>
                      </w:divBdr>
                    </w:div>
                  </w:divsChild>
                </w:div>
                <w:div w:id="1785538544">
                  <w:marLeft w:val="0"/>
                  <w:marRight w:val="0"/>
                  <w:marTop w:val="0"/>
                  <w:marBottom w:val="0"/>
                  <w:divBdr>
                    <w:top w:val="none" w:sz="0" w:space="0" w:color="auto"/>
                    <w:left w:val="none" w:sz="0" w:space="0" w:color="auto"/>
                    <w:bottom w:val="none" w:sz="0" w:space="0" w:color="auto"/>
                    <w:right w:val="none" w:sz="0" w:space="0" w:color="auto"/>
                  </w:divBdr>
                  <w:divsChild>
                    <w:div w:id="1867936458">
                      <w:marLeft w:val="0"/>
                      <w:marRight w:val="0"/>
                      <w:marTop w:val="0"/>
                      <w:marBottom w:val="0"/>
                      <w:divBdr>
                        <w:top w:val="none" w:sz="0" w:space="0" w:color="auto"/>
                        <w:left w:val="none" w:sz="0" w:space="0" w:color="auto"/>
                        <w:bottom w:val="none" w:sz="0" w:space="0" w:color="auto"/>
                        <w:right w:val="none" w:sz="0" w:space="0" w:color="auto"/>
                      </w:divBdr>
                    </w:div>
                  </w:divsChild>
                </w:div>
                <w:div w:id="1820881754">
                  <w:marLeft w:val="0"/>
                  <w:marRight w:val="0"/>
                  <w:marTop w:val="0"/>
                  <w:marBottom w:val="0"/>
                  <w:divBdr>
                    <w:top w:val="none" w:sz="0" w:space="0" w:color="auto"/>
                    <w:left w:val="none" w:sz="0" w:space="0" w:color="auto"/>
                    <w:bottom w:val="none" w:sz="0" w:space="0" w:color="auto"/>
                    <w:right w:val="none" w:sz="0" w:space="0" w:color="auto"/>
                  </w:divBdr>
                  <w:divsChild>
                    <w:div w:id="282811882">
                      <w:marLeft w:val="0"/>
                      <w:marRight w:val="0"/>
                      <w:marTop w:val="0"/>
                      <w:marBottom w:val="0"/>
                      <w:divBdr>
                        <w:top w:val="none" w:sz="0" w:space="0" w:color="auto"/>
                        <w:left w:val="none" w:sz="0" w:space="0" w:color="auto"/>
                        <w:bottom w:val="none" w:sz="0" w:space="0" w:color="auto"/>
                        <w:right w:val="none" w:sz="0" w:space="0" w:color="auto"/>
                      </w:divBdr>
                    </w:div>
                  </w:divsChild>
                </w:div>
                <w:div w:id="1831603680">
                  <w:marLeft w:val="0"/>
                  <w:marRight w:val="0"/>
                  <w:marTop w:val="0"/>
                  <w:marBottom w:val="0"/>
                  <w:divBdr>
                    <w:top w:val="none" w:sz="0" w:space="0" w:color="auto"/>
                    <w:left w:val="none" w:sz="0" w:space="0" w:color="auto"/>
                    <w:bottom w:val="none" w:sz="0" w:space="0" w:color="auto"/>
                    <w:right w:val="none" w:sz="0" w:space="0" w:color="auto"/>
                  </w:divBdr>
                  <w:divsChild>
                    <w:div w:id="958532408">
                      <w:marLeft w:val="0"/>
                      <w:marRight w:val="0"/>
                      <w:marTop w:val="0"/>
                      <w:marBottom w:val="0"/>
                      <w:divBdr>
                        <w:top w:val="none" w:sz="0" w:space="0" w:color="auto"/>
                        <w:left w:val="none" w:sz="0" w:space="0" w:color="auto"/>
                        <w:bottom w:val="none" w:sz="0" w:space="0" w:color="auto"/>
                        <w:right w:val="none" w:sz="0" w:space="0" w:color="auto"/>
                      </w:divBdr>
                    </w:div>
                  </w:divsChild>
                </w:div>
                <w:div w:id="1845776334">
                  <w:marLeft w:val="0"/>
                  <w:marRight w:val="0"/>
                  <w:marTop w:val="0"/>
                  <w:marBottom w:val="0"/>
                  <w:divBdr>
                    <w:top w:val="none" w:sz="0" w:space="0" w:color="auto"/>
                    <w:left w:val="none" w:sz="0" w:space="0" w:color="auto"/>
                    <w:bottom w:val="none" w:sz="0" w:space="0" w:color="auto"/>
                    <w:right w:val="none" w:sz="0" w:space="0" w:color="auto"/>
                  </w:divBdr>
                  <w:divsChild>
                    <w:div w:id="1732456284">
                      <w:marLeft w:val="0"/>
                      <w:marRight w:val="0"/>
                      <w:marTop w:val="0"/>
                      <w:marBottom w:val="0"/>
                      <w:divBdr>
                        <w:top w:val="none" w:sz="0" w:space="0" w:color="auto"/>
                        <w:left w:val="none" w:sz="0" w:space="0" w:color="auto"/>
                        <w:bottom w:val="none" w:sz="0" w:space="0" w:color="auto"/>
                        <w:right w:val="none" w:sz="0" w:space="0" w:color="auto"/>
                      </w:divBdr>
                    </w:div>
                  </w:divsChild>
                </w:div>
                <w:div w:id="1863086729">
                  <w:marLeft w:val="0"/>
                  <w:marRight w:val="0"/>
                  <w:marTop w:val="0"/>
                  <w:marBottom w:val="0"/>
                  <w:divBdr>
                    <w:top w:val="none" w:sz="0" w:space="0" w:color="auto"/>
                    <w:left w:val="none" w:sz="0" w:space="0" w:color="auto"/>
                    <w:bottom w:val="none" w:sz="0" w:space="0" w:color="auto"/>
                    <w:right w:val="none" w:sz="0" w:space="0" w:color="auto"/>
                  </w:divBdr>
                  <w:divsChild>
                    <w:div w:id="1535146916">
                      <w:marLeft w:val="0"/>
                      <w:marRight w:val="0"/>
                      <w:marTop w:val="0"/>
                      <w:marBottom w:val="0"/>
                      <w:divBdr>
                        <w:top w:val="none" w:sz="0" w:space="0" w:color="auto"/>
                        <w:left w:val="none" w:sz="0" w:space="0" w:color="auto"/>
                        <w:bottom w:val="none" w:sz="0" w:space="0" w:color="auto"/>
                        <w:right w:val="none" w:sz="0" w:space="0" w:color="auto"/>
                      </w:divBdr>
                    </w:div>
                  </w:divsChild>
                </w:div>
                <w:div w:id="1871212962">
                  <w:marLeft w:val="0"/>
                  <w:marRight w:val="0"/>
                  <w:marTop w:val="0"/>
                  <w:marBottom w:val="0"/>
                  <w:divBdr>
                    <w:top w:val="none" w:sz="0" w:space="0" w:color="auto"/>
                    <w:left w:val="none" w:sz="0" w:space="0" w:color="auto"/>
                    <w:bottom w:val="none" w:sz="0" w:space="0" w:color="auto"/>
                    <w:right w:val="none" w:sz="0" w:space="0" w:color="auto"/>
                  </w:divBdr>
                  <w:divsChild>
                    <w:div w:id="1146970835">
                      <w:marLeft w:val="0"/>
                      <w:marRight w:val="0"/>
                      <w:marTop w:val="0"/>
                      <w:marBottom w:val="0"/>
                      <w:divBdr>
                        <w:top w:val="none" w:sz="0" w:space="0" w:color="auto"/>
                        <w:left w:val="none" w:sz="0" w:space="0" w:color="auto"/>
                        <w:bottom w:val="none" w:sz="0" w:space="0" w:color="auto"/>
                        <w:right w:val="none" w:sz="0" w:space="0" w:color="auto"/>
                      </w:divBdr>
                    </w:div>
                  </w:divsChild>
                </w:div>
                <w:div w:id="1872255953">
                  <w:marLeft w:val="0"/>
                  <w:marRight w:val="0"/>
                  <w:marTop w:val="0"/>
                  <w:marBottom w:val="0"/>
                  <w:divBdr>
                    <w:top w:val="none" w:sz="0" w:space="0" w:color="auto"/>
                    <w:left w:val="none" w:sz="0" w:space="0" w:color="auto"/>
                    <w:bottom w:val="none" w:sz="0" w:space="0" w:color="auto"/>
                    <w:right w:val="none" w:sz="0" w:space="0" w:color="auto"/>
                  </w:divBdr>
                  <w:divsChild>
                    <w:div w:id="2108694493">
                      <w:marLeft w:val="0"/>
                      <w:marRight w:val="0"/>
                      <w:marTop w:val="0"/>
                      <w:marBottom w:val="0"/>
                      <w:divBdr>
                        <w:top w:val="none" w:sz="0" w:space="0" w:color="auto"/>
                        <w:left w:val="none" w:sz="0" w:space="0" w:color="auto"/>
                        <w:bottom w:val="none" w:sz="0" w:space="0" w:color="auto"/>
                        <w:right w:val="none" w:sz="0" w:space="0" w:color="auto"/>
                      </w:divBdr>
                    </w:div>
                  </w:divsChild>
                </w:div>
                <w:div w:id="1902669562">
                  <w:marLeft w:val="0"/>
                  <w:marRight w:val="0"/>
                  <w:marTop w:val="0"/>
                  <w:marBottom w:val="0"/>
                  <w:divBdr>
                    <w:top w:val="none" w:sz="0" w:space="0" w:color="auto"/>
                    <w:left w:val="none" w:sz="0" w:space="0" w:color="auto"/>
                    <w:bottom w:val="none" w:sz="0" w:space="0" w:color="auto"/>
                    <w:right w:val="none" w:sz="0" w:space="0" w:color="auto"/>
                  </w:divBdr>
                  <w:divsChild>
                    <w:div w:id="138152296">
                      <w:marLeft w:val="0"/>
                      <w:marRight w:val="0"/>
                      <w:marTop w:val="0"/>
                      <w:marBottom w:val="0"/>
                      <w:divBdr>
                        <w:top w:val="none" w:sz="0" w:space="0" w:color="auto"/>
                        <w:left w:val="none" w:sz="0" w:space="0" w:color="auto"/>
                        <w:bottom w:val="none" w:sz="0" w:space="0" w:color="auto"/>
                        <w:right w:val="none" w:sz="0" w:space="0" w:color="auto"/>
                      </w:divBdr>
                    </w:div>
                  </w:divsChild>
                </w:div>
                <w:div w:id="1905486360">
                  <w:marLeft w:val="0"/>
                  <w:marRight w:val="0"/>
                  <w:marTop w:val="0"/>
                  <w:marBottom w:val="0"/>
                  <w:divBdr>
                    <w:top w:val="none" w:sz="0" w:space="0" w:color="auto"/>
                    <w:left w:val="none" w:sz="0" w:space="0" w:color="auto"/>
                    <w:bottom w:val="none" w:sz="0" w:space="0" w:color="auto"/>
                    <w:right w:val="none" w:sz="0" w:space="0" w:color="auto"/>
                  </w:divBdr>
                  <w:divsChild>
                    <w:div w:id="511918691">
                      <w:marLeft w:val="0"/>
                      <w:marRight w:val="0"/>
                      <w:marTop w:val="0"/>
                      <w:marBottom w:val="0"/>
                      <w:divBdr>
                        <w:top w:val="none" w:sz="0" w:space="0" w:color="auto"/>
                        <w:left w:val="none" w:sz="0" w:space="0" w:color="auto"/>
                        <w:bottom w:val="none" w:sz="0" w:space="0" w:color="auto"/>
                        <w:right w:val="none" w:sz="0" w:space="0" w:color="auto"/>
                      </w:divBdr>
                    </w:div>
                  </w:divsChild>
                </w:div>
                <w:div w:id="1915815094">
                  <w:marLeft w:val="0"/>
                  <w:marRight w:val="0"/>
                  <w:marTop w:val="0"/>
                  <w:marBottom w:val="0"/>
                  <w:divBdr>
                    <w:top w:val="none" w:sz="0" w:space="0" w:color="auto"/>
                    <w:left w:val="none" w:sz="0" w:space="0" w:color="auto"/>
                    <w:bottom w:val="none" w:sz="0" w:space="0" w:color="auto"/>
                    <w:right w:val="none" w:sz="0" w:space="0" w:color="auto"/>
                  </w:divBdr>
                  <w:divsChild>
                    <w:div w:id="1887178279">
                      <w:marLeft w:val="0"/>
                      <w:marRight w:val="0"/>
                      <w:marTop w:val="0"/>
                      <w:marBottom w:val="0"/>
                      <w:divBdr>
                        <w:top w:val="none" w:sz="0" w:space="0" w:color="auto"/>
                        <w:left w:val="none" w:sz="0" w:space="0" w:color="auto"/>
                        <w:bottom w:val="none" w:sz="0" w:space="0" w:color="auto"/>
                        <w:right w:val="none" w:sz="0" w:space="0" w:color="auto"/>
                      </w:divBdr>
                    </w:div>
                  </w:divsChild>
                </w:div>
                <w:div w:id="1948732339">
                  <w:marLeft w:val="0"/>
                  <w:marRight w:val="0"/>
                  <w:marTop w:val="0"/>
                  <w:marBottom w:val="0"/>
                  <w:divBdr>
                    <w:top w:val="none" w:sz="0" w:space="0" w:color="auto"/>
                    <w:left w:val="none" w:sz="0" w:space="0" w:color="auto"/>
                    <w:bottom w:val="none" w:sz="0" w:space="0" w:color="auto"/>
                    <w:right w:val="none" w:sz="0" w:space="0" w:color="auto"/>
                  </w:divBdr>
                  <w:divsChild>
                    <w:div w:id="428081202">
                      <w:marLeft w:val="0"/>
                      <w:marRight w:val="0"/>
                      <w:marTop w:val="0"/>
                      <w:marBottom w:val="0"/>
                      <w:divBdr>
                        <w:top w:val="none" w:sz="0" w:space="0" w:color="auto"/>
                        <w:left w:val="none" w:sz="0" w:space="0" w:color="auto"/>
                        <w:bottom w:val="none" w:sz="0" w:space="0" w:color="auto"/>
                        <w:right w:val="none" w:sz="0" w:space="0" w:color="auto"/>
                      </w:divBdr>
                    </w:div>
                  </w:divsChild>
                </w:div>
                <w:div w:id="1957978853">
                  <w:marLeft w:val="0"/>
                  <w:marRight w:val="0"/>
                  <w:marTop w:val="0"/>
                  <w:marBottom w:val="0"/>
                  <w:divBdr>
                    <w:top w:val="none" w:sz="0" w:space="0" w:color="auto"/>
                    <w:left w:val="none" w:sz="0" w:space="0" w:color="auto"/>
                    <w:bottom w:val="none" w:sz="0" w:space="0" w:color="auto"/>
                    <w:right w:val="none" w:sz="0" w:space="0" w:color="auto"/>
                  </w:divBdr>
                  <w:divsChild>
                    <w:div w:id="425007169">
                      <w:marLeft w:val="0"/>
                      <w:marRight w:val="0"/>
                      <w:marTop w:val="0"/>
                      <w:marBottom w:val="0"/>
                      <w:divBdr>
                        <w:top w:val="none" w:sz="0" w:space="0" w:color="auto"/>
                        <w:left w:val="none" w:sz="0" w:space="0" w:color="auto"/>
                        <w:bottom w:val="none" w:sz="0" w:space="0" w:color="auto"/>
                        <w:right w:val="none" w:sz="0" w:space="0" w:color="auto"/>
                      </w:divBdr>
                    </w:div>
                  </w:divsChild>
                </w:div>
                <w:div w:id="1979188459">
                  <w:marLeft w:val="0"/>
                  <w:marRight w:val="0"/>
                  <w:marTop w:val="0"/>
                  <w:marBottom w:val="0"/>
                  <w:divBdr>
                    <w:top w:val="none" w:sz="0" w:space="0" w:color="auto"/>
                    <w:left w:val="none" w:sz="0" w:space="0" w:color="auto"/>
                    <w:bottom w:val="none" w:sz="0" w:space="0" w:color="auto"/>
                    <w:right w:val="none" w:sz="0" w:space="0" w:color="auto"/>
                  </w:divBdr>
                  <w:divsChild>
                    <w:div w:id="1946646709">
                      <w:marLeft w:val="0"/>
                      <w:marRight w:val="0"/>
                      <w:marTop w:val="0"/>
                      <w:marBottom w:val="0"/>
                      <w:divBdr>
                        <w:top w:val="none" w:sz="0" w:space="0" w:color="auto"/>
                        <w:left w:val="none" w:sz="0" w:space="0" w:color="auto"/>
                        <w:bottom w:val="none" w:sz="0" w:space="0" w:color="auto"/>
                        <w:right w:val="none" w:sz="0" w:space="0" w:color="auto"/>
                      </w:divBdr>
                    </w:div>
                  </w:divsChild>
                </w:div>
                <w:div w:id="2005206204">
                  <w:marLeft w:val="0"/>
                  <w:marRight w:val="0"/>
                  <w:marTop w:val="0"/>
                  <w:marBottom w:val="0"/>
                  <w:divBdr>
                    <w:top w:val="none" w:sz="0" w:space="0" w:color="auto"/>
                    <w:left w:val="none" w:sz="0" w:space="0" w:color="auto"/>
                    <w:bottom w:val="none" w:sz="0" w:space="0" w:color="auto"/>
                    <w:right w:val="none" w:sz="0" w:space="0" w:color="auto"/>
                  </w:divBdr>
                  <w:divsChild>
                    <w:div w:id="939601299">
                      <w:marLeft w:val="0"/>
                      <w:marRight w:val="0"/>
                      <w:marTop w:val="0"/>
                      <w:marBottom w:val="0"/>
                      <w:divBdr>
                        <w:top w:val="none" w:sz="0" w:space="0" w:color="auto"/>
                        <w:left w:val="none" w:sz="0" w:space="0" w:color="auto"/>
                        <w:bottom w:val="none" w:sz="0" w:space="0" w:color="auto"/>
                        <w:right w:val="none" w:sz="0" w:space="0" w:color="auto"/>
                      </w:divBdr>
                    </w:div>
                  </w:divsChild>
                </w:div>
                <w:div w:id="2006854337">
                  <w:marLeft w:val="0"/>
                  <w:marRight w:val="0"/>
                  <w:marTop w:val="0"/>
                  <w:marBottom w:val="0"/>
                  <w:divBdr>
                    <w:top w:val="none" w:sz="0" w:space="0" w:color="auto"/>
                    <w:left w:val="none" w:sz="0" w:space="0" w:color="auto"/>
                    <w:bottom w:val="none" w:sz="0" w:space="0" w:color="auto"/>
                    <w:right w:val="none" w:sz="0" w:space="0" w:color="auto"/>
                  </w:divBdr>
                  <w:divsChild>
                    <w:div w:id="1380326495">
                      <w:marLeft w:val="0"/>
                      <w:marRight w:val="0"/>
                      <w:marTop w:val="0"/>
                      <w:marBottom w:val="0"/>
                      <w:divBdr>
                        <w:top w:val="none" w:sz="0" w:space="0" w:color="auto"/>
                        <w:left w:val="none" w:sz="0" w:space="0" w:color="auto"/>
                        <w:bottom w:val="none" w:sz="0" w:space="0" w:color="auto"/>
                        <w:right w:val="none" w:sz="0" w:space="0" w:color="auto"/>
                      </w:divBdr>
                    </w:div>
                  </w:divsChild>
                </w:div>
                <w:div w:id="2024437026">
                  <w:marLeft w:val="0"/>
                  <w:marRight w:val="0"/>
                  <w:marTop w:val="0"/>
                  <w:marBottom w:val="0"/>
                  <w:divBdr>
                    <w:top w:val="none" w:sz="0" w:space="0" w:color="auto"/>
                    <w:left w:val="none" w:sz="0" w:space="0" w:color="auto"/>
                    <w:bottom w:val="none" w:sz="0" w:space="0" w:color="auto"/>
                    <w:right w:val="none" w:sz="0" w:space="0" w:color="auto"/>
                  </w:divBdr>
                  <w:divsChild>
                    <w:div w:id="1966813254">
                      <w:marLeft w:val="0"/>
                      <w:marRight w:val="0"/>
                      <w:marTop w:val="0"/>
                      <w:marBottom w:val="0"/>
                      <w:divBdr>
                        <w:top w:val="none" w:sz="0" w:space="0" w:color="auto"/>
                        <w:left w:val="none" w:sz="0" w:space="0" w:color="auto"/>
                        <w:bottom w:val="none" w:sz="0" w:space="0" w:color="auto"/>
                        <w:right w:val="none" w:sz="0" w:space="0" w:color="auto"/>
                      </w:divBdr>
                    </w:div>
                  </w:divsChild>
                </w:div>
                <w:div w:id="2055347570">
                  <w:marLeft w:val="0"/>
                  <w:marRight w:val="0"/>
                  <w:marTop w:val="0"/>
                  <w:marBottom w:val="0"/>
                  <w:divBdr>
                    <w:top w:val="none" w:sz="0" w:space="0" w:color="auto"/>
                    <w:left w:val="none" w:sz="0" w:space="0" w:color="auto"/>
                    <w:bottom w:val="none" w:sz="0" w:space="0" w:color="auto"/>
                    <w:right w:val="none" w:sz="0" w:space="0" w:color="auto"/>
                  </w:divBdr>
                  <w:divsChild>
                    <w:div w:id="1028213401">
                      <w:marLeft w:val="0"/>
                      <w:marRight w:val="0"/>
                      <w:marTop w:val="0"/>
                      <w:marBottom w:val="0"/>
                      <w:divBdr>
                        <w:top w:val="none" w:sz="0" w:space="0" w:color="auto"/>
                        <w:left w:val="none" w:sz="0" w:space="0" w:color="auto"/>
                        <w:bottom w:val="none" w:sz="0" w:space="0" w:color="auto"/>
                        <w:right w:val="none" w:sz="0" w:space="0" w:color="auto"/>
                      </w:divBdr>
                    </w:div>
                  </w:divsChild>
                </w:div>
                <w:div w:id="2057778842">
                  <w:marLeft w:val="0"/>
                  <w:marRight w:val="0"/>
                  <w:marTop w:val="0"/>
                  <w:marBottom w:val="0"/>
                  <w:divBdr>
                    <w:top w:val="none" w:sz="0" w:space="0" w:color="auto"/>
                    <w:left w:val="none" w:sz="0" w:space="0" w:color="auto"/>
                    <w:bottom w:val="none" w:sz="0" w:space="0" w:color="auto"/>
                    <w:right w:val="none" w:sz="0" w:space="0" w:color="auto"/>
                  </w:divBdr>
                  <w:divsChild>
                    <w:div w:id="1420562810">
                      <w:marLeft w:val="0"/>
                      <w:marRight w:val="0"/>
                      <w:marTop w:val="0"/>
                      <w:marBottom w:val="0"/>
                      <w:divBdr>
                        <w:top w:val="none" w:sz="0" w:space="0" w:color="auto"/>
                        <w:left w:val="none" w:sz="0" w:space="0" w:color="auto"/>
                        <w:bottom w:val="none" w:sz="0" w:space="0" w:color="auto"/>
                        <w:right w:val="none" w:sz="0" w:space="0" w:color="auto"/>
                      </w:divBdr>
                    </w:div>
                  </w:divsChild>
                </w:div>
                <w:div w:id="2068138563">
                  <w:marLeft w:val="0"/>
                  <w:marRight w:val="0"/>
                  <w:marTop w:val="0"/>
                  <w:marBottom w:val="0"/>
                  <w:divBdr>
                    <w:top w:val="none" w:sz="0" w:space="0" w:color="auto"/>
                    <w:left w:val="none" w:sz="0" w:space="0" w:color="auto"/>
                    <w:bottom w:val="none" w:sz="0" w:space="0" w:color="auto"/>
                    <w:right w:val="none" w:sz="0" w:space="0" w:color="auto"/>
                  </w:divBdr>
                  <w:divsChild>
                    <w:div w:id="1387528832">
                      <w:marLeft w:val="0"/>
                      <w:marRight w:val="0"/>
                      <w:marTop w:val="0"/>
                      <w:marBottom w:val="0"/>
                      <w:divBdr>
                        <w:top w:val="none" w:sz="0" w:space="0" w:color="auto"/>
                        <w:left w:val="none" w:sz="0" w:space="0" w:color="auto"/>
                        <w:bottom w:val="none" w:sz="0" w:space="0" w:color="auto"/>
                        <w:right w:val="none" w:sz="0" w:space="0" w:color="auto"/>
                      </w:divBdr>
                    </w:div>
                  </w:divsChild>
                </w:div>
                <w:div w:id="2081055753">
                  <w:marLeft w:val="0"/>
                  <w:marRight w:val="0"/>
                  <w:marTop w:val="0"/>
                  <w:marBottom w:val="0"/>
                  <w:divBdr>
                    <w:top w:val="none" w:sz="0" w:space="0" w:color="auto"/>
                    <w:left w:val="none" w:sz="0" w:space="0" w:color="auto"/>
                    <w:bottom w:val="none" w:sz="0" w:space="0" w:color="auto"/>
                    <w:right w:val="none" w:sz="0" w:space="0" w:color="auto"/>
                  </w:divBdr>
                  <w:divsChild>
                    <w:div w:id="1853835642">
                      <w:marLeft w:val="0"/>
                      <w:marRight w:val="0"/>
                      <w:marTop w:val="0"/>
                      <w:marBottom w:val="0"/>
                      <w:divBdr>
                        <w:top w:val="none" w:sz="0" w:space="0" w:color="auto"/>
                        <w:left w:val="none" w:sz="0" w:space="0" w:color="auto"/>
                        <w:bottom w:val="none" w:sz="0" w:space="0" w:color="auto"/>
                        <w:right w:val="none" w:sz="0" w:space="0" w:color="auto"/>
                      </w:divBdr>
                    </w:div>
                  </w:divsChild>
                </w:div>
                <w:div w:id="2086952465">
                  <w:marLeft w:val="0"/>
                  <w:marRight w:val="0"/>
                  <w:marTop w:val="0"/>
                  <w:marBottom w:val="0"/>
                  <w:divBdr>
                    <w:top w:val="none" w:sz="0" w:space="0" w:color="auto"/>
                    <w:left w:val="none" w:sz="0" w:space="0" w:color="auto"/>
                    <w:bottom w:val="none" w:sz="0" w:space="0" w:color="auto"/>
                    <w:right w:val="none" w:sz="0" w:space="0" w:color="auto"/>
                  </w:divBdr>
                  <w:divsChild>
                    <w:div w:id="766386618">
                      <w:marLeft w:val="0"/>
                      <w:marRight w:val="0"/>
                      <w:marTop w:val="0"/>
                      <w:marBottom w:val="0"/>
                      <w:divBdr>
                        <w:top w:val="none" w:sz="0" w:space="0" w:color="auto"/>
                        <w:left w:val="none" w:sz="0" w:space="0" w:color="auto"/>
                        <w:bottom w:val="none" w:sz="0" w:space="0" w:color="auto"/>
                        <w:right w:val="none" w:sz="0" w:space="0" w:color="auto"/>
                      </w:divBdr>
                    </w:div>
                  </w:divsChild>
                </w:div>
                <w:div w:id="2098164512">
                  <w:marLeft w:val="0"/>
                  <w:marRight w:val="0"/>
                  <w:marTop w:val="0"/>
                  <w:marBottom w:val="0"/>
                  <w:divBdr>
                    <w:top w:val="none" w:sz="0" w:space="0" w:color="auto"/>
                    <w:left w:val="none" w:sz="0" w:space="0" w:color="auto"/>
                    <w:bottom w:val="none" w:sz="0" w:space="0" w:color="auto"/>
                    <w:right w:val="none" w:sz="0" w:space="0" w:color="auto"/>
                  </w:divBdr>
                  <w:divsChild>
                    <w:div w:id="527253125">
                      <w:marLeft w:val="0"/>
                      <w:marRight w:val="0"/>
                      <w:marTop w:val="0"/>
                      <w:marBottom w:val="0"/>
                      <w:divBdr>
                        <w:top w:val="none" w:sz="0" w:space="0" w:color="auto"/>
                        <w:left w:val="none" w:sz="0" w:space="0" w:color="auto"/>
                        <w:bottom w:val="none" w:sz="0" w:space="0" w:color="auto"/>
                        <w:right w:val="none" w:sz="0" w:space="0" w:color="auto"/>
                      </w:divBdr>
                    </w:div>
                  </w:divsChild>
                </w:div>
                <w:div w:id="2112970988">
                  <w:marLeft w:val="0"/>
                  <w:marRight w:val="0"/>
                  <w:marTop w:val="0"/>
                  <w:marBottom w:val="0"/>
                  <w:divBdr>
                    <w:top w:val="none" w:sz="0" w:space="0" w:color="auto"/>
                    <w:left w:val="none" w:sz="0" w:space="0" w:color="auto"/>
                    <w:bottom w:val="none" w:sz="0" w:space="0" w:color="auto"/>
                    <w:right w:val="none" w:sz="0" w:space="0" w:color="auto"/>
                  </w:divBdr>
                  <w:divsChild>
                    <w:div w:id="875391750">
                      <w:marLeft w:val="0"/>
                      <w:marRight w:val="0"/>
                      <w:marTop w:val="0"/>
                      <w:marBottom w:val="0"/>
                      <w:divBdr>
                        <w:top w:val="none" w:sz="0" w:space="0" w:color="auto"/>
                        <w:left w:val="none" w:sz="0" w:space="0" w:color="auto"/>
                        <w:bottom w:val="none" w:sz="0" w:space="0" w:color="auto"/>
                        <w:right w:val="none" w:sz="0" w:space="0" w:color="auto"/>
                      </w:divBdr>
                    </w:div>
                  </w:divsChild>
                </w:div>
                <w:div w:id="2135515477">
                  <w:marLeft w:val="0"/>
                  <w:marRight w:val="0"/>
                  <w:marTop w:val="0"/>
                  <w:marBottom w:val="0"/>
                  <w:divBdr>
                    <w:top w:val="none" w:sz="0" w:space="0" w:color="auto"/>
                    <w:left w:val="none" w:sz="0" w:space="0" w:color="auto"/>
                    <w:bottom w:val="none" w:sz="0" w:space="0" w:color="auto"/>
                    <w:right w:val="none" w:sz="0" w:space="0" w:color="auto"/>
                  </w:divBdr>
                  <w:divsChild>
                    <w:div w:id="1401831702">
                      <w:marLeft w:val="0"/>
                      <w:marRight w:val="0"/>
                      <w:marTop w:val="0"/>
                      <w:marBottom w:val="0"/>
                      <w:divBdr>
                        <w:top w:val="none" w:sz="0" w:space="0" w:color="auto"/>
                        <w:left w:val="none" w:sz="0" w:space="0" w:color="auto"/>
                        <w:bottom w:val="none" w:sz="0" w:space="0" w:color="auto"/>
                        <w:right w:val="none" w:sz="0" w:space="0" w:color="auto"/>
                      </w:divBdr>
                    </w:div>
                  </w:divsChild>
                </w:div>
                <w:div w:id="2138522464">
                  <w:marLeft w:val="0"/>
                  <w:marRight w:val="0"/>
                  <w:marTop w:val="0"/>
                  <w:marBottom w:val="0"/>
                  <w:divBdr>
                    <w:top w:val="none" w:sz="0" w:space="0" w:color="auto"/>
                    <w:left w:val="none" w:sz="0" w:space="0" w:color="auto"/>
                    <w:bottom w:val="none" w:sz="0" w:space="0" w:color="auto"/>
                    <w:right w:val="none" w:sz="0" w:space="0" w:color="auto"/>
                  </w:divBdr>
                  <w:divsChild>
                    <w:div w:id="19127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78769">
          <w:marLeft w:val="0"/>
          <w:marRight w:val="0"/>
          <w:marTop w:val="0"/>
          <w:marBottom w:val="0"/>
          <w:divBdr>
            <w:top w:val="none" w:sz="0" w:space="0" w:color="auto"/>
            <w:left w:val="none" w:sz="0" w:space="0" w:color="auto"/>
            <w:bottom w:val="none" w:sz="0" w:space="0" w:color="auto"/>
            <w:right w:val="none" w:sz="0" w:space="0" w:color="auto"/>
          </w:divBdr>
        </w:div>
        <w:div w:id="611211313">
          <w:marLeft w:val="0"/>
          <w:marRight w:val="0"/>
          <w:marTop w:val="0"/>
          <w:marBottom w:val="0"/>
          <w:divBdr>
            <w:top w:val="none" w:sz="0" w:space="0" w:color="auto"/>
            <w:left w:val="none" w:sz="0" w:space="0" w:color="auto"/>
            <w:bottom w:val="none" w:sz="0" w:space="0" w:color="auto"/>
            <w:right w:val="none" w:sz="0" w:space="0" w:color="auto"/>
          </w:divBdr>
        </w:div>
        <w:div w:id="759760358">
          <w:marLeft w:val="0"/>
          <w:marRight w:val="0"/>
          <w:marTop w:val="0"/>
          <w:marBottom w:val="0"/>
          <w:divBdr>
            <w:top w:val="none" w:sz="0" w:space="0" w:color="auto"/>
            <w:left w:val="none" w:sz="0" w:space="0" w:color="auto"/>
            <w:bottom w:val="none" w:sz="0" w:space="0" w:color="auto"/>
            <w:right w:val="none" w:sz="0" w:space="0" w:color="auto"/>
          </w:divBdr>
        </w:div>
        <w:div w:id="845290671">
          <w:marLeft w:val="0"/>
          <w:marRight w:val="0"/>
          <w:marTop w:val="0"/>
          <w:marBottom w:val="0"/>
          <w:divBdr>
            <w:top w:val="none" w:sz="0" w:space="0" w:color="auto"/>
            <w:left w:val="none" w:sz="0" w:space="0" w:color="auto"/>
            <w:bottom w:val="none" w:sz="0" w:space="0" w:color="auto"/>
            <w:right w:val="none" w:sz="0" w:space="0" w:color="auto"/>
          </w:divBdr>
        </w:div>
        <w:div w:id="931940177">
          <w:marLeft w:val="0"/>
          <w:marRight w:val="0"/>
          <w:marTop w:val="0"/>
          <w:marBottom w:val="0"/>
          <w:divBdr>
            <w:top w:val="none" w:sz="0" w:space="0" w:color="auto"/>
            <w:left w:val="none" w:sz="0" w:space="0" w:color="auto"/>
            <w:bottom w:val="none" w:sz="0" w:space="0" w:color="auto"/>
            <w:right w:val="none" w:sz="0" w:space="0" w:color="auto"/>
          </w:divBdr>
          <w:divsChild>
            <w:div w:id="844200129">
              <w:marLeft w:val="-75"/>
              <w:marRight w:val="0"/>
              <w:marTop w:val="30"/>
              <w:marBottom w:val="30"/>
              <w:divBdr>
                <w:top w:val="none" w:sz="0" w:space="0" w:color="auto"/>
                <w:left w:val="none" w:sz="0" w:space="0" w:color="auto"/>
                <w:bottom w:val="none" w:sz="0" w:space="0" w:color="auto"/>
                <w:right w:val="none" w:sz="0" w:space="0" w:color="auto"/>
              </w:divBdr>
              <w:divsChild>
                <w:div w:id="118688865">
                  <w:marLeft w:val="0"/>
                  <w:marRight w:val="0"/>
                  <w:marTop w:val="0"/>
                  <w:marBottom w:val="0"/>
                  <w:divBdr>
                    <w:top w:val="none" w:sz="0" w:space="0" w:color="auto"/>
                    <w:left w:val="none" w:sz="0" w:space="0" w:color="auto"/>
                    <w:bottom w:val="none" w:sz="0" w:space="0" w:color="auto"/>
                    <w:right w:val="none" w:sz="0" w:space="0" w:color="auto"/>
                  </w:divBdr>
                  <w:divsChild>
                    <w:div w:id="1486702687">
                      <w:marLeft w:val="0"/>
                      <w:marRight w:val="0"/>
                      <w:marTop w:val="0"/>
                      <w:marBottom w:val="0"/>
                      <w:divBdr>
                        <w:top w:val="none" w:sz="0" w:space="0" w:color="auto"/>
                        <w:left w:val="none" w:sz="0" w:space="0" w:color="auto"/>
                        <w:bottom w:val="none" w:sz="0" w:space="0" w:color="auto"/>
                        <w:right w:val="none" w:sz="0" w:space="0" w:color="auto"/>
                      </w:divBdr>
                    </w:div>
                    <w:div w:id="1739133166">
                      <w:marLeft w:val="0"/>
                      <w:marRight w:val="0"/>
                      <w:marTop w:val="0"/>
                      <w:marBottom w:val="0"/>
                      <w:divBdr>
                        <w:top w:val="none" w:sz="0" w:space="0" w:color="auto"/>
                        <w:left w:val="none" w:sz="0" w:space="0" w:color="auto"/>
                        <w:bottom w:val="none" w:sz="0" w:space="0" w:color="auto"/>
                        <w:right w:val="none" w:sz="0" w:space="0" w:color="auto"/>
                      </w:divBdr>
                    </w:div>
                  </w:divsChild>
                </w:div>
                <w:div w:id="496072715">
                  <w:marLeft w:val="0"/>
                  <w:marRight w:val="0"/>
                  <w:marTop w:val="0"/>
                  <w:marBottom w:val="0"/>
                  <w:divBdr>
                    <w:top w:val="none" w:sz="0" w:space="0" w:color="auto"/>
                    <w:left w:val="none" w:sz="0" w:space="0" w:color="auto"/>
                    <w:bottom w:val="none" w:sz="0" w:space="0" w:color="auto"/>
                    <w:right w:val="none" w:sz="0" w:space="0" w:color="auto"/>
                  </w:divBdr>
                  <w:divsChild>
                    <w:div w:id="9326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4594">
          <w:marLeft w:val="0"/>
          <w:marRight w:val="0"/>
          <w:marTop w:val="0"/>
          <w:marBottom w:val="0"/>
          <w:divBdr>
            <w:top w:val="none" w:sz="0" w:space="0" w:color="auto"/>
            <w:left w:val="none" w:sz="0" w:space="0" w:color="auto"/>
            <w:bottom w:val="none" w:sz="0" w:space="0" w:color="auto"/>
            <w:right w:val="none" w:sz="0" w:space="0" w:color="auto"/>
          </w:divBdr>
        </w:div>
        <w:div w:id="962619873">
          <w:marLeft w:val="0"/>
          <w:marRight w:val="0"/>
          <w:marTop w:val="0"/>
          <w:marBottom w:val="0"/>
          <w:divBdr>
            <w:top w:val="none" w:sz="0" w:space="0" w:color="auto"/>
            <w:left w:val="none" w:sz="0" w:space="0" w:color="auto"/>
            <w:bottom w:val="none" w:sz="0" w:space="0" w:color="auto"/>
            <w:right w:val="none" w:sz="0" w:space="0" w:color="auto"/>
          </w:divBdr>
        </w:div>
        <w:div w:id="1099057542">
          <w:marLeft w:val="0"/>
          <w:marRight w:val="0"/>
          <w:marTop w:val="0"/>
          <w:marBottom w:val="0"/>
          <w:divBdr>
            <w:top w:val="none" w:sz="0" w:space="0" w:color="auto"/>
            <w:left w:val="none" w:sz="0" w:space="0" w:color="auto"/>
            <w:bottom w:val="none" w:sz="0" w:space="0" w:color="auto"/>
            <w:right w:val="none" w:sz="0" w:space="0" w:color="auto"/>
          </w:divBdr>
        </w:div>
        <w:div w:id="1153527955">
          <w:marLeft w:val="0"/>
          <w:marRight w:val="0"/>
          <w:marTop w:val="0"/>
          <w:marBottom w:val="0"/>
          <w:divBdr>
            <w:top w:val="none" w:sz="0" w:space="0" w:color="auto"/>
            <w:left w:val="none" w:sz="0" w:space="0" w:color="auto"/>
            <w:bottom w:val="none" w:sz="0" w:space="0" w:color="auto"/>
            <w:right w:val="none" w:sz="0" w:space="0" w:color="auto"/>
          </w:divBdr>
        </w:div>
        <w:div w:id="1359964430">
          <w:marLeft w:val="0"/>
          <w:marRight w:val="0"/>
          <w:marTop w:val="0"/>
          <w:marBottom w:val="0"/>
          <w:divBdr>
            <w:top w:val="none" w:sz="0" w:space="0" w:color="auto"/>
            <w:left w:val="none" w:sz="0" w:space="0" w:color="auto"/>
            <w:bottom w:val="none" w:sz="0" w:space="0" w:color="auto"/>
            <w:right w:val="none" w:sz="0" w:space="0" w:color="auto"/>
          </w:divBdr>
        </w:div>
        <w:div w:id="1550068875">
          <w:marLeft w:val="0"/>
          <w:marRight w:val="0"/>
          <w:marTop w:val="0"/>
          <w:marBottom w:val="0"/>
          <w:divBdr>
            <w:top w:val="none" w:sz="0" w:space="0" w:color="auto"/>
            <w:left w:val="none" w:sz="0" w:space="0" w:color="auto"/>
            <w:bottom w:val="none" w:sz="0" w:space="0" w:color="auto"/>
            <w:right w:val="none" w:sz="0" w:space="0" w:color="auto"/>
          </w:divBdr>
        </w:div>
        <w:div w:id="1624461105">
          <w:marLeft w:val="0"/>
          <w:marRight w:val="0"/>
          <w:marTop w:val="0"/>
          <w:marBottom w:val="0"/>
          <w:divBdr>
            <w:top w:val="none" w:sz="0" w:space="0" w:color="auto"/>
            <w:left w:val="none" w:sz="0" w:space="0" w:color="auto"/>
            <w:bottom w:val="none" w:sz="0" w:space="0" w:color="auto"/>
            <w:right w:val="none" w:sz="0" w:space="0" w:color="auto"/>
          </w:divBdr>
          <w:divsChild>
            <w:div w:id="710151118">
              <w:marLeft w:val="0"/>
              <w:marRight w:val="0"/>
              <w:marTop w:val="0"/>
              <w:marBottom w:val="0"/>
              <w:divBdr>
                <w:top w:val="none" w:sz="0" w:space="0" w:color="auto"/>
                <w:left w:val="none" w:sz="0" w:space="0" w:color="auto"/>
                <w:bottom w:val="none" w:sz="0" w:space="0" w:color="auto"/>
                <w:right w:val="none" w:sz="0" w:space="0" w:color="auto"/>
              </w:divBdr>
            </w:div>
            <w:div w:id="2028173885">
              <w:marLeft w:val="0"/>
              <w:marRight w:val="0"/>
              <w:marTop w:val="0"/>
              <w:marBottom w:val="0"/>
              <w:divBdr>
                <w:top w:val="none" w:sz="0" w:space="0" w:color="auto"/>
                <w:left w:val="none" w:sz="0" w:space="0" w:color="auto"/>
                <w:bottom w:val="none" w:sz="0" w:space="0" w:color="auto"/>
                <w:right w:val="none" w:sz="0" w:space="0" w:color="auto"/>
              </w:divBdr>
            </w:div>
          </w:divsChild>
        </w:div>
        <w:div w:id="1743604058">
          <w:marLeft w:val="0"/>
          <w:marRight w:val="0"/>
          <w:marTop w:val="0"/>
          <w:marBottom w:val="0"/>
          <w:divBdr>
            <w:top w:val="none" w:sz="0" w:space="0" w:color="auto"/>
            <w:left w:val="none" w:sz="0" w:space="0" w:color="auto"/>
            <w:bottom w:val="none" w:sz="0" w:space="0" w:color="auto"/>
            <w:right w:val="none" w:sz="0" w:space="0" w:color="auto"/>
          </w:divBdr>
        </w:div>
        <w:div w:id="1985115308">
          <w:marLeft w:val="0"/>
          <w:marRight w:val="0"/>
          <w:marTop w:val="0"/>
          <w:marBottom w:val="0"/>
          <w:divBdr>
            <w:top w:val="none" w:sz="0" w:space="0" w:color="auto"/>
            <w:left w:val="none" w:sz="0" w:space="0" w:color="auto"/>
            <w:bottom w:val="none" w:sz="0" w:space="0" w:color="auto"/>
            <w:right w:val="none" w:sz="0" w:space="0" w:color="auto"/>
          </w:divBdr>
        </w:div>
        <w:div w:id="2017152447">
          <w:marLeft w:val="0"/>
          <w:marRight w:val="0"/>
          <w:marTop w:val="0"/>
          <w:marBottom w:val="0"/>
          <w:divBdr>
            <w:top w:val="none" w:sz="0" w:space="0" w:color="auto"/>
            <w:left w:val="none" w:sz="0" w:space="0" w:color="auto"/>
            <w:bottom w:val="none" w:sz="0" w:space="0" w:color="auto"/>
            <w:right w:val="none" w:sz="0" w:space="0" w:color="auto"/>
          </w:divBdr>
        </w:div>
        <w:div w:id="2056390661">
          <w:marLeft w:val="0"/>
          <w:marRight w:val="0"/>
          <w:marTop w:val="0"/>
          <w:marBottom w:val="0"/>
          <w:divBdr>
            <w:top w:val="none" w:sz="0" w:space="0" w:color="auto"/>
            <w:left w:val="none" w:sz="0" w:space="0" w:color="auto"/>
            <w:bottom w:val="none" w:sz="0" w:space="0" w:color="auto"/>
            <w:right w:val="none" w:sz="0" w:space="0" w:color="auto"/>
          </w:divBdr>
        </w:div>
        <w:div w:id="2091804900">
          <w:marLeft w:val="0"/>
          <w:marRight w:val="0"/>
          <w:marTop w:val="0"/>
          <w:marBottom w:val="0"/>
          <w:divBdr>
            <w:top w:val="none" w:sz="0" w:space="0" w:color="auto"/>
            <w:left w:val="none" w:sz="0" w:space="0" w:color="auto"/>
            <w:bottom w:val="none" w:sz="0" w:space="0" w:color="auto"/>
            <w:right w:val="none" w:sz="0" w:space="0" w:color="auto"/>
          </w:divBdr>
        </w:div>
        <w:div w:id="2147232981">
          <w:marLeft w:val="0"/>
          <w:marRight w:val="0"/>
          <w:marTop w:val="0"/>
          <w:marBottom w:val="0"/>
          <w:divBdr>
            <w:top w:val="none" w:sz="0" w:space="0" w:color="auto"/>
            <w:left w:val="none" w:sz="0" w:space="0" w:color="auto"/>
            <w:bottom w:val="none" w:sz="0" w:space="0" w:color="auto"/>
            <w:right w:val="none" w:sz="0" w:space="0" w:color="auto"/>
          </w:divBdr>
        </w:div>
      </w:divsChild>
    </w:div>
    <w:div w:id="345134161">
      <w:bodyDiv w:val="1"/>
      <w:marLeft w:val="0"/>
      <w:marRight w:val="0"/>
      <w:marTop w:val="0"/>
      <w:marBottom w:val="0"/>
      <w:divBdr>
        <w:top w:val="none" w:sz="0" w:space="0" w:color="auto"/>
        <w:left w:val="none" w:sz="0" w:space="0" w:color="auto"/>
        <w:bottom w:val="none" w:sz="0" w:space="0" w:color="auto"/>
        <w:right w:val="none" w:sz="0" w:space="0" w:color="auto"/>
      </w:divBdr>
    </w:div>
    <w:div w:id="356078572">
      <w:bodyDiv w:val="1"/>
      <w:marLeft w:val="0"/>
      <w:marRight w:val="0"/>
      <w:marTop w:val="0"/>
      <w:marBottom w:val="0"/>
      <w:divBdr>
        <w:top w:val="none" w:sz="0" w:space="0" w:color="auto"/>
        <w:left w:val="none" w:sz="0" w:space="0" w:color="auto"/>
        <w:bottom w:val="none" w:sz="0" w:space="0" w:color="auto"/>
        <w:right w:val="none" w:sz="0" w:space="0" w:color="auto"/>
      </w:divBdr>
    </w:div>
    <w:div w:id="365370653">
      <w:bodyDiv w:val="1"/>
      <w:marLeft w:val="0"/>
      <w:marRight w:val="0"/>
      <w:marTop w:val="0"/>
      <w:marBottom w:val="0"/>
      <w:divBdr>
        <w:top w:val="none" w:sz="0" w:space="0" w:color="auto"/>
        <w:left w:val="none" w:sz="0" w:space="0" w:color="auto"/>
        <w:bottom w:val="none" w:sz="0" w:space="0" w:color="auto"/>
        <w:right w:val="none" w:sz="0" w:space="0" w:color="auto"/>
      </w:divBdr>
    </w:div>
    <w:div w:id="376709724">
      <w:bodyDiv w:val="1"/>
      <w:marLeft w:val="0"/>
      <w:marRight w:val="0"/>
      <w:marTop w:val="0"/>
      <w:marBottom w:val="0"/>
      <w:divBdr>
        <w:top w:val="none" w:sz="0" w:space="0" w:color="auto"/>
        <w:left w:val="none" w:sz="0" w:space="0" w:color="auto"/>
        <w:bottom w:val="none" w:sz="0" w:space="0" w:color="auto"/>
        <w:right w:val="none" w:sz="0" w:space="0" w:color="auto"/>
      </w:divBdr>
      <w:divsChild>
        <w:div w:id="154615274">
          <w:marLeft w:val="0"/>
          <w:marRight w:val="0"/>
          <w:marTop w:val="0"/>
          <w:marBottom w:val="0"/>
          <w:divBdr>
            <w:top w:val="none" w:sz="0" w:space="0" w:color="auto"/>
            <w:left w:val="none" w:sz="0" w:space="0" w:color="auto"/>
            <w:bottom w:val="none" w:sz="0" w:space="0" w:color="auto"/>
            <w:right w:val="none" w:sz="0" w:space="0" w:color="auto"/>
          </w:divBdr>
          <w:divsChild>
            <w:div w:id="409501678">
              <w:marLeft w:val="-75"/>
              <w:marRight w:val="0"/>
              <w:marTop w:val="30"/>
              <w:marBottom w:val="30"/>
              <w:divBdr>
                <w:top w:val="none" w:sz="0" w:space="0" w:color="auto"/>
                <w:left w:val="none" w:sz="0" w:space="0" w:color="auto"/>
                <w:bottom w:val="none" w:sz="0" w:space="0" w:color="auto"/>
                <w:right w:val="none" w:sz="0" w:space="0" w:color="auto"/>
              </w:divBdr>
              <w:divsChild>
                <w:div w:id="23215703">
                  <w:marLeft w:val="0"/>
                  <w:marRight w:val="0"/>
                  <w:marTop w:val="0"/>
                  <w:marBottom w:val="0"/>
                  <w:divBdr>
                    <w:top w:val="none" w:sz="0" w:space="0" w:color="auto"/>
                    <w:left w:val="none" w:sz="0" w:space="0" w:color="auto"/>
                    <w:bottom w:val="none" w:sz="0" w:space="0" w:color="auto"/>
                    <w:right w:val="none" w:sz="0" w:space="0" w:color="auto"/>
                  </w:divBdr>
                  <w:divsChild>
                    <w:div w:id="1882398739">
                      <w:marLeft w:val="0"/>
                      <w:marRight w:val="0"/>
                      <w:marTop w:val="0"/>
                      <w:marBottom w:val="0"/>
                      <w:divBdr>
                        <w:top w:val="none" w:sz="0" w:space="0" w:color="auto"/>
                        <w:left w:val="none" w:sz="0" w:space="0" w:color="auto"/>
                        <w:bottom w:val="none" w:sz="0" w:space="0" w:color="auto"/>
                        <w:right w:val="none" w:sz="0" w:space="0" w:color="auto"/>
                      </w:divBdr>
                    </w:div>
                  </w:divsChild>
                </w:div>
                <w:div w:id="100809053">
                  <w:marLeft w:val="0"/>
                  <w:marRight w:val="0"/>
                  <w:marTop w:val="0"/>
                  <w:marBottom w:val="0"/>
                  <w:divBdr>
                    <w:top w:val="none" w:sz="0" w:space="0" w:color="auto"/>
                    <w:left w:val="none" w:sz="0" w:space="0" w:color="auto"/>
                    <w:bottom w:val="none" w:sz="0" w:space="0" w:color="auto"/>
                    <w:right w:val="none" w:sz="0" w:space="0" w:color="auto"/>
                  </w:divBdr>
                  <w:divsChild>
                    <w:div w:id="1538421745">
                      <w:marLeft w:val="0"/>
                      <w:marRight w:val="0"/>
                      <w:marTop w:val="0"/>
                      <w:marBottom w:val="0"/>
                      <w:divBdr>
                        <w:top w:val="none" w:sz="0" w:space="0" w:color="auto"/>
                        <w:left w:val="none" w:sz="0" w:space="0" w:color="auto"/>
                        <w:bottom w:val="none" w:sz="0" w:space="0" w:color="auto"/>
                        <w:right w:val="none" w:sz="0" w:space="0" w:color="auto"/>
                      </w:divBdr>
                    </w:div>
                  </w:divsChild>
                </w:div>
                <w:div w:id="112792505">
                  <w:marLeft w:val="0"/>
                  <w:marRight w:val="0"/>
                  <w:marTop w:val="0"/>
                  <w:marBottom w:val="0"/>
                  <w:divBdr>
                    <w:top w:val="none" w:sz="0" w:space="0" w:color="auto"/>
                    <w:left w:val="none" w:sz="0" w:space="0" w:color="auto"/>
                    <w:bottom w:val="none" w:sz="0" w:space="0" w:color="auto"/>
                    <w:right w:val="none" w:sz="0" w:space="0" w:color="auto"/>
                  </w:divBdr>
                  <w:divsChild>
                    <w:div w:id="752507690">
                      <w:marLeft w:val="0"/>
                      <w:marRight w:val="0"/>
                      <w:marTop w:val="0"/>
                      <w:marBottom w:val="0"/>
                      <w:divBdr>
                        <w:top w:val="none" w:sz="0" w:space="0" w:color="auto"/>
                        <w:left w:val="none" w:sz="0" w:space="0" w:color="auto"/>
                        <w:bottom w:val="none" w:sz="0" w:space="0" w:color="auto"/>
                        <w:right w:val="none" w:sz="0" w:space="0" w:color="auto"/>
                      </w:divBdr>
                    </w:div>
                  </w:divsChild>
                </w:div>
                <w:div w:id="352610279">
                  <w:marLeft w:val="0"/>
                  <w:marRight w:val="0"/>
                  <w:marTop w:val="0"/>
                  <w:marBottom w:val="0"/>
                  <w:divBdr>
                    <w:top w:val="none" w:sz="0" w:space="0" w:color="auto"/>
                    <w:left w:val="none" w:sz="0" w:space="0" w:color="auto"/>
                    <w:bottom w:val="none" w:sz="0" w:space="0" w:color="auto"/>
                    <w:right w:val="none" w:sz="0" w:space="0" w:color="auto"/>
                  </w:divBdr>
                  <w:divsChild>
                    <w:div w:id="1077895642">
                      <w:marLeft w:val="0"/>
                      <w:marRight w:val="0"/>
                      <w:marTop w:val="0"/>
                      <w:marBottom w:val="0"/>
                      <w:divBdr>
                        <w:top w:val="none" w:sz="0" w:space="0" w:color="auto"/>
                        <w:left w:val="none" w:sz="0" w:space="0" w:color="auto"/>
                        <w:bottom w:val="none" w:sz="0" w:space="0" w:color="auto"/>
                        <w:right w:val="none" w:sz="0" w:space="0" w:color="auto"/>
                      </w:divBdr>
                    </w:div>
                  </w:divsChild>
                </w:div>
                <w:div w:id="494222516">
                  <w:marLeft w:val="0"/>
                  <w:marRight w:val="0"/>
                  <w:marTop w:val="0"/>
                  <w:marBottom w:val="0"/>
                  <w:divBdr>
                    <w:top w:val="none" w:sz="0" w:space="0" w:color="auto"/>
                    <w:left w:val="none" w:sz="0" w:space="0" w:color="auto"/>
                    <w:bottom w:val="none" w:sz="0" w:space="0" w:color="auto"/>
                    <w:right w:val="none" w:sz="0" w:space="0" w:color="auto"/>
                  </w:divBdr>
                  <w:divsChild>
                    <w:div w:id="2031642532">
                      <w:marLeft w:val="0"/>
                      <w:marRight w:val="0"/>
                      <w:marTop w:val="0"/>
                      <w:marBottom w:val="0"/>
                      <w:divBdr>
                        <w:top w:val="none" w:sz="0" w:space="0" w:color="auto"/>
                        <w:left w:val="none" w:sz="0" w:space="0" w:color="auto"/>
                        <w:bottom w:val="none" w:sz="0" w:space="0" w:color="auto"/>
                        <w:right w:val="none" w:sz="0" w:space="0" w:color="auto"/>
                      </w:divBdr>
                    </w:div>
                  </w:divsChild>
                </w:div>
                <w:div w:id="501437867">
                  <w:marLeft w:val="0"/>
                  <w:marRight w:val="0"/>
                  <w:marTop w:val="0"/>
                  <w:marBottom w:val="0"/>
                  <w:divBdr>
                    <w:top w:val="none" w:sz="0" w:space="0" w:color="auto"/>
                    <w:left w:val="none" w:sz="0" w:space="0" w:color="auto"/>
                    <w:bottom w:val="none" w:sz="0" w:space="0" w:color="auto"/>
                    <w:right w:val="none" w:sz="0" w:space="0" w:color="auto"/>
                  </w:divBdr>
                  <w:divsChild>
                    <w:div w:id="1870800182">
                      <w:marLeft w:val="0"/>
                      <w:marRight w:val="0"/>
                      <w:marTop w:val="0"/>
                      <w:marBottom w:val="0"/>
                      <w:divBdr>
                        <w:top w:val="none" w:sz="0" w:space="0" w:color="auto"/>
                        <w:left w:val="none" w:sz="0" w:space="0" w:color="auto"/>
                        <w:bottom w:val="none" w:sz="0" w:space="0" w:color="auto"/>
                        <w:right w:val="none" w:sz="0" w:space="0" w:color="auto"/>
                      </w:divBdr>
                    </w:div>
                  </w:divsChild>
                </w:div>
                <w:div w:id="585118762">
                  <w:marLeft w:val="0"/>
                  <w:marRight w:val="0"/>
                  <w:marTop w:val="0"/>
                  <w:marBottom w:val="0"/>
                  <w:divBdr>
                    <w:top w:val="none" w:sz="0" w:space="0" w:color="auto"/>
                    <w:left w:val="none" w:sz="0" w:space="0" w:color="auto"/>
                    <w:bottom w:val="none" w:sz="0" w:space="0" w:color="auto"/>
                    <w:right w:val="none" w:sz="0" w:space="0" w:color="auto"/>
                  </w:divBdr>
                  <w:divsChild>
                    <w:div w:id="752433410">
                      <w:marLeft w:val="0"/>
                      <w:marRight w:val="0"/>
                      <w:marTop w:val="0"/>
                      <w:marBottom w:val="0"/>
                      <w:divBdr>
                        <w:top w:val="none" w:sz="0" w:space="0" w:color="auto"/>
                        <w:left w:val="none" w:sz="0" w:space="0" w:color="auto"/>
                        <w:bottom w:val="none" w:sz="0" w:space="0" w:color="auto"/>
                        <w:right w:val="none" w:sz="0" w:space="0" w:color="auto"/>
                      </w:divBdr>
                    </w:div>
                  </w:divsChild>
                </w:div>
                <w:div w:id="739525006">
                  <w:marLeft w:val="0"/>
                  <w:marRight w:val="0"/>
                  <w:marTop w:val="0"/>
                  <w:marBottom w:val="0"/>
                  <w:divBdr>
                    <w:top w:val="none" w:sz="0" w:space="0" w:color="auto"/>
                    <w:left w:val="none" w:sz="0" w:space="0" w:color="auto"/>
                    <w:bottom w:val="none" w:sz="0" w:space="0" w:color="auto"/>
                    <w:right w:val="none" w:sz="0" w:space="0" w:color="auto"/>
                  </w:divBdr>
                  <w:divsChild>
                    <w:div w:id="1515267069">
                      <w:marLeft w:val="0"/>
                      <w:marRight w:val="0"/>
                      <w:marTop w:val="0"/>
                      <w:marBottom w:val="0"/>
                      <w:divBdr>
                        <w:top w:val="none" w:sz="0" w:space="0" w:color="auto"/>
                        <w:left w:val="none" w:sz="0" w:space="0" w:color="auto"/>
                        <w:bottom w:val="none" w:sz="0" w:space="0" w:color="auto"/>
                        <w:right w:val="none" w:sz="0" w:space="0" w:color="auto"/>
                      </w:divBdr>
                    </w:div>
                  </w:divsChild>
                </w:div>
                <w:div w:id="775634189">
                  <w:marLeft w:val="0"/>
                  <w:marRight w:val="0"/>
                  <w:marTop w:val="0"/>
                  <w:marBottom w:val="0"/>
                  <w:divBdr>
                    <w:top w:val="none" w:sz="0" w:space="0" w:color="auto"/>
                    <w:left w:val="none" w:sz="0" w:space="0" w:color="auto"/>
                    <w:bottom w:val="none" w:sz="0" w:space="0" w:color="auto"/>
                    <w:right w:val="none" w:sz="0" w:space="0" w:color="auto"/>
                  </w:divBdr>
                  <w:divsChild>
                    <w:div w:id="1181316883">
                      <w:marLeft w:val="0"/>
                      <w:marRight w:val="0"/>
                      <w:marTop w:val="0"/>
                      <w:marBottom w:val="0"/>
                      <w:divBdr>
                        <w:top w:val="none" w:sz="0" w:space="0" w:color="auto"/>
                        <w:left w:val="none" w:sz="0" w:space="0" w:color="auto"/>
                        <w:bottom w:val="none" w:sz="0" w:space="0" w:color="auto"/>
                        <w:right w:val="none" w:sz="0" w:space="0" w:color="auto"/>
                      </w:divBdr>
                    </w:div>
                  </w:divsChild>
                </w:div>
                <w:div w:id="934751375">
                  <w:marLeft w:val="0"/>
                  <w:marRight w:val="0"/>
                  <w:marTop w:val="0"/>
                  <w:marBottom w:val="0"/>
                  <w:divBdr>
                    <w:top w:val="none" w:sz="0" w:space="0" w:color="auto"/>
                    <w:left w:val="none" w:sz="0" w:space="0" w:color="auto"/>
                    <w:bottom w:val="none" w:sz="0" w:space="0" w:color="auto"/>
                    <w:right w:val="none" w:sz="0" w:space="0" w:color="auto"/>
                  </w:divBdr>
                  <w:divsChild>
                    <w:div w:id="888803571">
                      <w:marLeft w:val="0"/>
                      <w:marRight w:val="0"/>
                      <w:marTop w:val="0"/>
                      <w:marBottom w:val="0"/>
                      <w:divBdr>
                        <w:top w:val="none" w:sz="0" w:space="0" w:color="auto"/>
                        <w:left w:val="none" w:sz="0" w:space="0" w:color="auto"/>
                        <w:bottom w:val="none" w:sz="0" w:space="0" w:color="auto"/>
                        <w:right w:val="none" w:sz="0" w:space="0" w:color="auto"/>
                      </w:divBdr>
                    </w:div>
                  </w:divsChild>
                </w:div>
                <w:div w:id="951595665">
                  <w:marLeft w:val="0"/>
                  <w:marRight w:val="0"/>
                  <w:marTop w:val="0"/>
                  <w:marBottom w:val="0"/>
                  <w:divBdr>
                    <w:top w:val="none" w:sz="0" w:space="0" w:color="auto"/>
                    <w:left w:val="none" w:sz="0" w:space="0" w:color="auto"/>
                    <w:bottom w:val="none" w:sz="0" w:space="0" w:color="auto"/>
                    <w:right w:val="none" w:sz="0" w:space="0" w:color="auto"/>
                  </w:divBdr>
                  <w:divsChild>
                    <w:div w:id="346831477">
                      <w:marLeft w:val="0"/>
                      <w:marRight w:val="0"/>
                      <w:marTop w:val="0"/>
                      <w:marBottom w:val="0"/>
                      <w:divBdr>
                        <w:top w:val="none" w:sz="0" w:space="0" w:color="auto"/>
                        <w:left w:val="none" w:sz="0" w:space="0" w:color="auto"/>
                        <w:bottom w:val="none" w:sz="0" w:space="0" w:color="auto"/>
                        <w:right w:val="none" w:sz="0" w:space="0" w:color="auto"/>
                      </w:divBdr>
                    </w:div>
                  </w:divsChild>
                </w:div>
                <w:div w:id="1034500480">
                  <w:marLeft w:val="0"/>
                  <w:marRight w:val="0"/>
                  <w:marTop w:val="0"/>
                  <w:marBottom w:val="0"/>
                  <w:divBdr>
                    <w:top w:val="none" w:sz="0" w:space="0" w:color="auto"/>
                    <w:left w:val="none" w:sz="0" w:space="0" w:color="auto"/>
                    <w:bottom w:val="none" w:sz="0" w:space="0" w:color="auto"/>
                    <w:right w:val="none" w:sz="0" w:space="0" w:color="auto"/>
                  </w:divBdr>
                  <w:divsChild>
                    <w:div w:id="1020551026">
                      <w:marLeft w:val="0"/>
                      <w:marRight w:val="0"/>
                      <w:marTop w:val="0"/>
                      <w:marBottom w:val="0"/>
                      <w:divBdr>
                        <w:top w:val="none" w:sz="0" w:space="0" w:color="auto"/>
                        <w:left w:val="none" w:sz="0" w:space="0" w:color="auto"/>
                        <w:bottom w:val="none" w:sz="0" w:space="0" w:color="auto"/>
                        <w:right w:val="none" w:sz="0" w:space="0" w:color="auto"/>
                      </w:divBdr>
                    </w:div>
                  </w:divsChild>
                </w:div>
                <w:div w:id="1091196539">
                  <w:marLeft w:val="0"/>
                  <w:marRight w:val="0"/>
                  <w:marTop w:val="0"/>
                  <w:marBottom w:val="0"/>
                  <w:divBdr>
                    <w:top w:val="none" w:sz="0" w:space="0" w:color="auto"/>
                    <w:left w:val="none" w:sz="0" w:space="0" w:color="auto"/>
                    <w:bottom w:val="none" w:sz="0" w:space="0" w:color="auto"/>
                    <w:right w:val="none" w:sz="0" w:space="0" w:color="auto"/>
                  </w:divBdr>
                  <w:divsChild>
                    <w:div w:id="1081217917">
                      <w:marLeft w:val="0"/>
                      <w:marRight w:val="0"/>
                      <w:marTop w:val="0"/>
                      <w:marBottom w:val="0"/>
                      <w:divBdr>
                        <w:top w:val="none" w:sz="0" w:space="0" w:color="auto"/>
                        <w:left w:val="none" w:sz="0" w:space="0" w:color="auto"/>
                        <w:bottom w:val="none" w:sz="0" w:space="0" w:color="auto"/>
                        <w:right w:val="none" w:sz="0" w:space="0" w:color="auto"/>
                      </w:divBdr>
                    </w:div>
                  </w:divsChild>
                </w:div>
                <w:div w:id="1111319966">
                  <w:marLeft w:val="0"/>
                  <w:marRight w:val="0"/>
                  <w:marTop w:val="0"/>
                  <w:marBottom w:val="0"/>
                  <w:divBdr>
                    <w:top w:val="none" w:sz="0" w:space="0" w:color="auto"/>
                    <w:left w:val="none" w:sz="0" w:space="0" w:color="auto"/>
                    <w:bottom w:val="none" w:sz="0" w:space="0" w:color="auto"/>
                    <w:right w:val="none" w:sz="0" w:space="0" w:color="auto"/>
                  </w:divBdr>
                  <w:divsChild>
                    <w:div w:id="1941524300">
                      <w:marLeft w:val="0"/>
                      <w:marRight w:val="0"/>
                      <w:marTop w:val="0"/>
                      <w:marBottom w:val="0"/>
                      <w:divBdr>
                        <w:top w:val="none" w:sz="0" w:space="0" w:color="auto"/>
                        <w:left w:val="none" w:sz="0" w:space="0" w:color="auto"/>
                        <w:bottom w:val="none" w:sz="0" w:space="0" w:color="auto"/>
                        <w:right w:val="none" w:sz="0" w:space="0" w:color="auto"/>
                      </w:divBdr>
                    </w:div>
                  </w:divsChild>
                </w:div>
                <w:div w:id="1367027687">
                  <w:marLeft w:val="0"/>
                  <w:marRight w:val="0"/>
                  <w:marTop w:val="0"/>
                  <w:marBottom w:val="0"/>
                  <w:divBdr>
                    <w:top w:val="none" w:sz="0" w:space="0" w:color="auto"/>
                    <w:left w:val="none" w:sz="0" w:space="0" w:color="auto"/>
                    <w:bottom w:val="none" w:sz="0" w:space="0" w:color="auto"/>
                    <w:right w:val="none" w:sz="0" w:space="0" w:color="auto"/>
                  </w:divBdr>
                  <w:divsChild>
                    <w:div w:id="810751303">
                      <w:marLeft w:val="0"/>
                      <w:marRight w:val="0"/>
                      <w:marTop w:val="0"/>
                      <w:marBottom w:val="0"/>
                      <w:divBdr>
                        <w:top w:val="none" w:sz="0" w:space="0" w:color="auto"/>
                        <w:left w:val="none" w:sz="0" w:space="0" w:color="auto"/>
                        <w:bottom w:val="none" w:sz="0" w:space="0" w:color="auto"/>
                        <w:right w:val="none" w:sz="0" w:space="0" w:color="auto"/>
                      </w:divBdr>
                    </w:div>
                  </w:divsChild>
                </w:div>
                <w:div w:id="1567955972">
                  <w:marLeft w:val="0"/>
                  <w:marRight w:val="0"/>
                  <w:marTop w:val="0"/>
                  <w:marBottom w:val="0"/>
                  <w:divBdr>
                    <w:top w:val="none" w:sz="0" w:space="0" w:color="auto"/>
                    <w:left w:val="none" w:sz="0" w:space="0" w:color="auto"/>
                    <w:bottom w:val="none" w:sz="0" w:space="0" w:color="auto"/>
                    <w:right w:val="none" w:sz="0" w:space="0" w:color="auto"/>
                  </w:divBdr>
                  <w:divsChild>
                    <w:div w:id="1424493781">
                      <w:marLeft w:val="0"/>
                      <w:marRight w:val="0"/>
                      <w:marTop w:val="0"/>
                      <w:marBottom w:val="0"/>
                      <w:divBdr>
                        <w:top w:val="none" w:sz="0" w:space="0" w:color="auto"/>
                        <w:left w:val="none" w:sz="0" w:space="0" w:color="auto"/>
                        <w:bottom w:val="none" w:sz="0" w:space="0" w:color="auto"/>
                        <w:right w:val="none" w:sz="0" w:space="0" w:color="auto"/>
                      </w:divBdr>
                    </w:div>
                  </w:divsChild>
                </w:div>
                <w:div w:id="1693265304">
                  <w:marLeft w:val="0"/>
                  <w:marRight w:val="0"/>
                  <w:marTop w:val="0"/>
                  <w:marBottom w:val="0"/>
                  <w:divBdr>
                    <w:top w:val="none" w:sz="0" w:space="0" w:color="auto"/>
                    <w:left w:val="none" w:sz="0" w:space="0" w:color="auto"/>
                    <w:bottom w:val="none" w:sz="0" w:space="0" w:color="auto"/>
                    <w:right w:val="none" w:sz="0" w:space="0" w:color="auto"/>
                  </w:divBdr>
                  <w:divsChild>
                    <w:div w:id="35394691">
                      <w:marLeft w:val="0"/>
                      <w:marRight w:val="0"/>
                      <w:marTop w:val="0"/>
                      <w:marBottom w:val="0"/>
                      <w:divBdr>
                        <w:top w:val="none" w:sz="0" w:space="0" w:color="auto"/>
                        <w:left w:val="none" w:sz="0" w:space="0" w:color="auto"/>
                        <w:bottom w:val="none" w:sz="0" w:space="0" w:color="auto"/>
                        <w:right w:val="none" w:sz="0" w:space="0" w:color="auto"/>
                      </w:divBdr>
                    </w:div>
                  </w:divsChild>
                </w:div>
                <w:div w:id="1849326890">
                  <w:marLeft w:val="0"/>
                  <w:marRight w:val="0"/>
                  <w:marTop w:val="0"/>
                  <w:marBottom w:val="0"/>
                  <w:divBdr>
                    <w:top w:val="none" w:sz="0" w:space="0" w:color="auto"/>
                    <w:left w:val="none" w:sz="0" w:space="0" w:color="auto"/>
                    <w:bottom w:val="none" w:sz="0" w:space="0" w:color="auto"/>
                    <w:right w:val="none" w:sz="0" w:space="0" w:color="auto"/>
                  </w:divBdr>
                  <w:divsChild>
                    <w:div w:id="2012099720">
                      <w:marLeft w:val="0"/>
                      <w:marRight w:val="0"/>
                      <w:marTop w:val="0"/>
                      <w:marBottom w:val="0"/>
                      <w:divBdr>
                        <w:top w:val="none" w:sz="0" w:space="0" w:color="auto"/>
                        <w:left w:val="none" w:sz="0" w:space="0" w:color="auto"/>
                        <w:bottom w:val="none" w:sz="0" w:space="0" w:color="auto"/>
                        <w:right w:val="none" w:sz="0" w:space="0" w:color="auto"/>
                      </w:divBdr>
                    </w:div>
                  </w:divsChild>
                </w:div>
                <w:div w:id="1873685570">
                  <w:marLeft w:val="0"/>
                  <w:marRight w:val="0"/>
                  <w:marTop w:val="0"/>
                  <w:marBottom w:val="0"/>
                  <w:divBdr>
                    <w:top w:val="none" w:sz="0" w:space="0" w:color="auto"/>
                    <w:left w:val="none" w:sz="0" w:space="0" w:color="auto"/>
                    <w:bottom w:val="none" w:sz="0" w:space="0" w:color="auto"/>
                    <w:right w:val="none" w:sz="0" w:space="0" w:color="auto"/>
                  </w:divBdr>
                  <w:divsChild>
                    <w:div w:id="833450982">
                      <w:marLeft w:val="0"/>
                      <w:marRight w:val="0"/>
                      <w:marTop w:val="0"/>
                      <w:marBottom w:val="0"/>
                      <w:divBdr>
                        <w:top w:val="none" w:sz="0" w:space="0" w:color="auto"/>
                        <w:left w:val="none" w:sz="0" w:space="0" w:color="auto"/>
                        <w:bottom w:val="none" w:sz="0" w:space="0" w:color="auto"/>
                        <w:right w:val="none" w:sz="0" w:space="0" w:color="auto"/>
                      </w:divBdr>
                    </w:div>
                  </w:divsChild>
                </w:div>
                <w:div w:id="1910924967">
                  <w:marLeft w:val="0"/>
                  <w:marRight w:val="0"/>
                  <w:marTop w:val="0"/>
                  <w:marBottom w:val="0"/>
                  <w:divBdr>
                    <w:top w:val="none" w:sz="0" w:space="0" w:color="auto"/>
                    <w:left w:val="none" w:sz="0" w:space="0" w:color="auto"/>
                    <w:bottom w:val="none" w:sz="0" w:space="0" w:color="auto"/>
                    <w:right w:val="none" w:sz="0" w:space="0" w:color="auto"/>
                  </w:divBdr>
                  <w:divsChild>
                    <w:div w:id="596181222">
                      <w:marLeft w:val="0"/>
                      <w:marRight w:val="0"/>
                      <w:marTop w:val="0"/>
                      <w:marBottom w:val="0"/>
                      <w:divBdr>
                        <w:top w:val="none" w:sz="0" w:space="0" w:color="auto"/>
                        <w:left w:val="none" w:sz="0" w:space="0" w:color="auto"/>
                        <w:bottom w:val="none" w:sz="0" w:space="0" w:color="auto"/>
                        <w:right w:val="none" w:sz="0" w:space="0" w:color="auto"/>
                      </w:divBdr>
                    </w:div>
                  </w:divsChild>
                </w:div>
                <w:div w:id="1987660105">
                  <w:marLeft w:val="0"/>
                  <w:marRight w:val="0"/>
                  <w:marTop w:val="0"/>
                  <w:marBottom w:val="0"/>
                  <w:divBdr>
                    <w:top w:val="none" w:sz="0" w:space="0" w:color="auto"/>
                    <w:left w:val="none" w:sz="0" w:space="0" w:color="auto"/>
                    <w:bottom w:val="none" w:sz="0" w:space="0" w:color="auto"/>
                    <w:right w:val="none" w:sz="0" w:space="0" w:color="auto"/>
                  </w:divBdr>
                  <w:divsChild>
                    <w:div w:id="1873808151">
                      <w:marLeft w:val="0"/>
                      <w:marRight w:val="0"/>
                      <w:marTop w:val="0"/>
                      <w:marBottom w:val="0"/>
                      <w:divBdr>
                        <w:top w:val="none" w:sz="0" w:space="0" w:color="auto"/>
                        <w:left w:val="none" w:sz="0" w:space="0" w:color="auto"/>
                        <w:bottom w:val="none" w:sz="0" w:space="0" w:color="auto"/>
                        <w:right w:val="none" w:sz="0" w:space="0" w:color="auto"/>
                      </w:divBdr>
                    </w:div>
                  </w:divsChild>
                </w:div>
                <w:div w:id="2087221920">
                  <w:marLeft w:val="0"/>
                  <w:marRight w:val="0"/>
                  <w:marTop w:val="0"/>
                  <w:marBottom w:val="0"/>
                  <w:divBdr>
                    <w:top w:val="none" w:sz="0" w:space="0" w:color="auto"/>
                    <w:left w:val="none" w:sz="0" w:space="0" w:color="auto"/>
                    <w:bottom w:val="none" w:sz="0" w:space="0" w:color="auto"/>
                    <w:right w:val="none" w:sz="0" w:space="0" w:color="auto"/>
                  </w:divBdr>
                  <w:divsChild>
                    <w:div w:id="21460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8347">
          <w:marLeft w:val="0"/>
          <w:marRight w:val="0"/>
          <w:marTop w:val="0"/>
          <w:marBottom w:val="0"/>
          <w:divBdr>
            <w:top w:val="none" w:sz="0" w:space="0" w:color="auto"/>
            <w:left w:val="none" w:sz="0" w:space="0" w:color="auto"/>
            <w:bottom w:val="none" w:sz="0" w:space="0" w:color="auto"/>
            <w:right w:val="none" w:sz="0" w:space="0" w:color="auto"/>
          </w:divBdr>
          <w:divsChild>
            <w:div w:id="42826404">
              <w:marLeft w:val="0"/>
              <w:marRight w:val="0"/>
              <w:marTop w:val="0"/>
              <w:marBottom w:val="0"/>
              <w:divBdr>
                <w:top w:val="none" w:sz="0" w:space="0" w:color="auto"/>
                <w:left w:val="none" w:sz="0" w:space="0" w:color="auto"/>
                <w:bottom w:val="none" w:sz="0" w:space="0" w:color="auto"/>
                <w:right w:val="none" w:sz="0" w:space="0" w:color="auto"/>
              </w:divBdr>
            </w:div>
            <w:div w:id="114178425">
              <w:marLeft w:val="0"/>
              <w:marRight w:val="0"/>
              <w:marTop w:val="0"/>
              <w:marBottom w:val="0"/>
              <w:divBdr>
                <w:top w:val="none" w:sz="0" w:space="0" w:color="auto"/>
                <w:left w:val="none" w:sz="0" w:space="0" w:color="auto"/>
                <w:bottom w:val="none" w:sz="0" w:space="0" w:color="auto"/>
                <w:right w:val="none" w:sz="0" w:space="0" w:color="auto"/>
              </w:divBdr>
            </w:div>
            <w:div w:id="376515593">
              <w:marLeft w:val="0"/>
              <w:marRight w:val="0"/>
              <w:marTop w:val="0"/>
              <w:marBottom w:val="0"/>
              <w:divBdr>
                <w:top w:val="none" w:sz="0" w:space="0" w:color="auto"/>
                <w:left w:val="none" w:sz="0" w:space="0" w:color="auto"/>
                <w:bottom w:val="none" w:sz="0" w:space="0" w:color="auto"/>
                <w:right w:val="none" w:sz="0" w:space="0" w:color="auto"/>
              </w:divBdr>
            </w:div>
            <w:div w:id="1276518670">
              <w:marLeft w:val="0"/>
              <w:marRight w:val="0"/>
              <w:marTop w:val="0"/>
              <w:marBottom w:val="0"/>
              <w:divBdr>
                <w:top w:val="none" w:sz="0" w:space="0" w:color="auto"/>
                <w:left w:val="none" w:sz="0" w:space="0" w:color="auto"/>
                <w:bottom w:val="none" w:sz="0" w:space="0" w:color="auto"/>
                <w:right w:val="none" w:sz="0" w:space="0" w:color="auto"/>
              </w:divBdr>
            </w:div>
            <w:div w:id="1499149142">
              <w:marLeft w:val="0"/>
              <w:marRight w:val="0"/>
              <w:marTop w:val="0"/>
              <w:marBottom w:val="0"/>
              <w:divBdr>
                <w:top w:val="none" w:sz="0" w:space="0" w:color="auto"/>
                <w:left w:val="none" w:sz="0" w:space="0" w:color="auto"/>
                <w:bottom w:val="none" w:sz="0" w:space="0" w:color="auto"/>
                <w:right w:val="none" w:sz="0" w:space="0" w:color="auto"/>
              </w:divBdr>
            </w:div>
          </w:divsChild>
        </w:div>
        <w:div w:id="175314282">
          <w:marLeft w:val="0"/>
          <w:marRight w:val="0"/>
          <w:marTop w:val="0"/>
          <w:marBottom w:val="0"/>
          <w:divBdr>
            <w:top w:val="none" w:sz="0" w:space="0" w:color="auto"/>
            <w:left w:val="none" w:sz="0" w:space="0" w:color="auto"/>
            <w:bottom w:val="none" w:sz="0" w:space="0" w:color="auto"/>
            <w:right w:val="none" w:sz="0" w:space="0" w:color="auto"/>
          </w:divBdr>
          <w:divsChild>
            <w:div w:id="137307131">
              <w:marLeft w:val="0"/>
              <w:marRight w:val="0"/>
              <w:marTop w:val="0"/>
              <w:marBottom w:val="0"/>
              <w:divBdr>
                <w:top w:val="none" w:sz="0" w:space="0" w:color="auto"/>
                <w:left w:val="none" w:sz="0" w:space="0" w:color="auto"/>
                <w:bottom w:val="none" w:sz="0" w:space="0" w:color="auto"/>
                <w:right w:val="none" w:sz="0" w:space="0" w:color="auto"/>
              </w:divBdr>
            </w:div>
            <w:div w:id="590966942">
              <w:marLeft w:val="0"/>
              <w:marRight w:val="0"/>
              <w:marTop w:val="0"/>
              <w:marBottom w:val="0"/>
              <w:divBdr>
                <w:top w:val="none" w:sz="0" w:space="0" w:color="auto"/>
                <w:left w:val="none" w:sz="0" w:space="0" w:color="auto"/>
                <w:bottom w:val="none" w:sz="0" w:space="0" w:color="auto"/>
                <w:right w:val="none" w:sz="0" w:space="0" w:color="auto"/>
              </w:divBdr>
            </w:div>
            <w:div w:id="1882280939">
              <w:marLeft w:val="0"/>
              <w:marRight w:val="0"/>
              <w:marTop w:val="0"/>
              <w:marBottom w:val="0"/>
              <w:divBdr>
                <w:top w:val="none" w:sz="0" w:space="0" w:color="auto"/>
                <w:left w:val="none" w:sz="0" w:space="0" w:color="auto"/>
                <w:bottom w:val="none" w:sz="0" w:space="0" w:color="auto"/>
                <w:right w:val="none" w:sz="0" w:space="0" w:color="auto"/>
              </w:divBdr>
            </w:div>
            <w:div w:id="1911622283">
              <w:marLeft w:val="0"/>
              <w:marRight w:val="0"/>
              <w:marTop w:val="0"/>
              <w:marBottom w:val="0"/>
              <w:divBdr>
                <w:top w:val="none" w:sz="0" w:space="0" w:color="auto"/>
                <w:left w:val="none" w:sz="0" w:space="0" w:color="auto"/>
                <w:bottom w:val="none" w:sz="0" w:space="0" w:color="auto"/>
                <w:right w:val="none" w:sz="0" w:space="0" w:color="auto"/>
              </w:divBdr>
            </w:div>
            <w:div w:id="2097556184">
              <w:marLeft w:val="0"/>
              <w:marRight w:val="0"/>
              <w:marTop w:val="0"/>
              <w:marBottom w:val="0"/>
              <w:divBdr>
                <w:top w:val="none" w:sz="0" w:space="0" w:color="auto"/>
                <w:left w:val="none" w:sz="0" w:space="0" w:color="auto"/>
                <w:bottom w:val="none" w:sz="0" w:space="0" w:color="auto"/>
                <w:right w:val="none" w:sz="0" w:space="0" w:color="auto"/>
              </w:divBdr>
            </w:div>
          </w:divsChild>
        </w:div>
        <w:div w:id="178741591">
          <w:marLeft w:val="0"/>
          <w:marRight w:val="0"/>
          <w:marTop w:val="0"/>
          <w:marBottom w:val="0"/>
          <w:divBdr>
            <w:top w:val="none" w:sz="0" w:space="0" w:color="auto"/>
            <w:left w:val="none" w:sz="0" w:space="0" w:color="auto"/>
            <w:bottom w:val="none" w:sz="0" w:space="0" w:color="auto"/>
            <w:right w:val="none" w:sz="0" w:space="0" w:color="auto"/>
          </w:divBdr>
        </w:div>
        <w:div w:id="185489603">
          <w:marLeft w:val="0"/>
          <w:marRight w:val="0"/>
          <w:marTop w:val="0"/>
          <w:marBottom w:val="0"/>
          <w:divBdr>
            <w:top w:val="none" w:sz="0" w:space="0" w:color="auto"/>
            <w:left w:val="none" w:sz="0" w:space="0" w:color="auto"/>
            <w:bottom w:val="none" w:sz="0" w:space="0" w:color="auto"/>
            <w:right w:val="none" w:sz="0" w:space="0" w:color="auto"/>
          </w:divBdr>
          <w:divsChild>
            <w:div w:id="454754935">
              <w:marLeft w:val="0"/>
              <w:marRight w:val="0"/>
              <w:marTop w:val="0"/>
              <w:marBottom w:val="0"/>
              <w:divBdr>
                <w:top w:val="none" w:sz="0" w:space="0" w:color="auto"/>
                <w:left w:val="none" w:sz="0" w:space="0" w:color="auto"/>
                <w:bottom w:val="none" w:sz="0" w:space="0" w:color="auto"/>
                <w:right w:val="none" w:sz="0" w:space="0" w:color="auto"/>
              </w:divBdr>
            </w:div>
            <w:div w:id="509949753">
              <w:marLeft w:val="0"/>
              <w:marRight w:val="0"/>
              <w:marTop w:val="0"/>
              <w:marBottom w:val="0"/>
              <w:divBdr>
                <w:top w:val="none" w:sz="0" w:space="0" w:color="auto"/>
                <w:left w:val="none" w:sz="0" w:space="0" w:color="auto"/>
                <w:bottom w:val="none" w:sz="0" w:space="0" w:color="auto"/>
                <w:right w:val="none" w:sz="0" w:space="0" w:color="auto"/>
              </w:divBdr>
            </w:div>
            <w:div w:id="1297829654">
              <w:marLeft w:val="0"/>
              <w:marRight w:val="0"/>
              <w:marTop w:val="0"/>
              <w:marBottom w:val="0"/>
              <w:divBdr>
                <w:top w:val="none" w:sz="0" w:space="0" w:color="auto"/>
                <w:left w:val="none" w:sz="0" w:space="0" w:color="auto"/>
                <w:bottom w:val="none" w:sz="0" w:space="0" w:color="auto"/>
                <w:right w:val="none" w:sz="0" w:space="0" w:color="auto"/>
              </w:divBdr>
            </w:div>
            <w:div w:id="1623532378">
              <w:marLeft w:val="0"/>
              <w:marRight w:val="0"/>
              <w:marTop w:val="0"/>
              <w:marBottom w:val="0"/>
              <w:divBdr>
                <w:top w:val="none" w:sz="0" w:space="0" w:color="auto"/>
                <w:left w:val="none" w:sz="0" w:space="0" w:color="auto"/>
                <w:bottom w:val="none" w:sz="0" w:space="0" w:color="auto"/>
                <w:right w:val="none" w:sz="0" w:space="0" w:color="auto"/>
              </w:divBdr>
            </w:div>
            <w:div w:id="1933736626">
              <w:marLeft w:val="0"/>
              <w:marRight w:val="0"/>
              <w:marTop w:val="0"/>
              <w:marBottom w:val="0"/>
              <w:divBdr>
                <w:top w:val="none" w:sz="0" w:space="0" w:color="auto"/>
                <w:left w:val="none" w:sz="0" w:space="0" w:color="auto"/>
                <w:bottom w:val="none" w:sz="0" w:space="0" w:color="auto"/>
                <w:right w:val="none" w:sz="0" w:space="0" w:color="auto"/>
              </w:divBdr>
            </w:div>
          </w:divsChild>
        </w:div>
        <w:div w:id="264850687">
          <w:marLeft w:val="0"/>
          <w:marRight w:val="0"/>
          <w:marTop w:val="0"/>
          <w:marBottom w:val="0"/>
          <w:divBdr>
            <w:top w:val="none" w:sz="0" w:space="0" w:color="auto"/>
            <w:left w:val="none" w:sz="0" w:space="0" w:color="auto"/>
            <w:bottom w:val="none" w:sz="0" w:space="0" w:color="auto"/>
            <w:right w:val="none" w:sz="0" w:space="0" w:color="auto"/>
          </w:divBdr>
          <w:divsChild>
            <w:div w:id="1252468302">
              <w:marLeft w:val="0"/>
              <w:marRight w:val="0"/>
              <w:marTop w:val="0"/>
              <w:marBottom w:val="0"/>
              <w:divBdr>
                <w:top w:val="none" w:sz="0" w:space="0" w:color="auto"/>
                <w:left w:val="none" w:sz="0" w:space="0" w:color="auto"/>
                <w:bottom w:val="none" w:sz="0" w:space="0" w:color="auto"/>
                <w:right w:val="none" w:sz="0" w:space="0" w:color="auto"/>
              </w:divBdr>
            </w:div>
            <w:div w:id="1665932142">
              <w:marLeft w:val="0"/>
              <w:marRight w:val="0"/>
              <w:marTop w:val="0"/>
              <w:marBottom w:val="0"/>
              <w:divBdr>
                <w:top w:val="none" w:sz="0" w:space="0" w:color="auto"/>
                <w:left w:val="none" w:sz="0" w:space="0" w:color="auto"/>
                <w:bottom w:val="none" w:sz="0" w:space="0" w:color="auto"/>
                <w:right w:val="none" w:sz="0" w:space="0" w:color="auto"/>
              </w:divBdr>
            </w:div>
            <w:div w:id="1751728138">
              <w:marLeft w:val="0"/>
              <w:marRight w:val="0"/>
              <w:marTop w:val="0"/>
              <w:marBottom w:val="0"/>
              <w:divBdr>
                <w:top w:val="none" w:sz="0" w:space="0" w:color="auto"/>
                <w:left w:val="none" w:sz="0" w:space="0" w:color="auto"/>
                <w:bottom w:val="none" w:sz="0" w:space="0" w:color="auto"/>
                <w:right w:val="none" w:sz="0" w:space="0" w:color="auto"/>
              </w:divBdr>
            </w:div>
            <w:div w:id="2051372410">
              <w:marLeft w:val="0"/>
              <w:marRight w:val="0"/>
              <w:marTop w:val="0"/>
              <w:marBottom w:val="0"/>
              <w:divBdr>
                <w:top w:val="none" w:sz="0" w:space="0" w:color="auto"/>
                <w:left w:val="none" w:sz="0" w:space="0" w:color="auto"/>
                <w:bottom w:val="none" w:sz="0" w:space="0" w:color="auto"/>
                <w:right w:val="none" w:sz="0" w:space="0" w:color="auto"/>
              </w:divBdr>
            </w:div>
          </w:divsChild>
        </w:div>
        <w:div w:id="298001671">
          <w:marLeft w:val="0"/>
          <w:marRight w:val="0"/>
          <w:marTop w:val="0"/>
          <w:marBottom w:val="0"/>
          <w:divBdr>
            <w:top w:val="none" w:sz="0" w:space="0" w:color="auto"/>
            <w:left w:val="none" w:sz="0" w:space="0" w:color="auto"/>
            <w:bottom w:val="none" w:sz="0" w:space="0" w:color="auto"/>
            <w:right w:val="none" w:sz="0" w:space="0" w:color="auto"/>
          </w:divBdr>
          <w:divsChild>
            <w:div w:id="96798364">
              <w:marLeft w:val="-75"/>
              <w:marRight w:val="0"/>
              <w:marTop w:val="30"/>
              <w:marBottom w:val="30"/>
              <w:divBdr>
                <w:top w:val="none" w:sz="0" w:space="0" w:color="auto"/>
                <w:left w:val="none" w:sz="0" w:space="0" w:color="auto"/>
                <w:bottom w:val="none" w:sz="0" w:space="0" w:color="auto"/>
                <w:right w:val="none" w:sz="0" w:space="0" w:color="auto"/>
              </w:divBdr>
              <w:divsChild>
                <w:div w:id="4141539">
                  <w:marLeft w:val="0"/>
                  <w:marRight w:val="0"/>
                  <w:marTop w:val="0"/>
                  <w:marBottom w:val="0"/>
                  <w:divBdr>
                    <w:top w:val="none" w:sz="0" w:space="0" w:color="auto"/>
                    <w:left w:val="none" w:sz="0" w:space="0" w:color="auto"/>
                    <w:bottom w:val="none" w:sz="0" w:space="0" w:color="auto"/>
                    <w:right w:val="none" w:sz="0" w:space="0" w:color="auto"/>
                  </w:divBdr>
                  <w:divsChild>
                    <w:div w:id="979312515">
                      <w:marLeft w:val="0"/>
                      <w:marRight w:val="0"/>
                      <w:marTop w:val="0"/>
                      <w:marBottom w:val="0"/>
                      <w:divBdr>
                        <w:top w:val="none" w:sz="0" w:space="0" w:color="auto"/>
                        <w:left w:val="none" w:sz="0" w:space="0" w:color="auto"/>
                        <w:bottom w:val="none" w:sz="0" w:space="0" w:color="auto"/>
                        <w:right w:val="none" w:sz="0" w:space="0" w:color="auto"/>
                      </w:divBdr>
                    </w:div>
                  </w:divsChild>
                </w:div>
                <w:div w:id="18161527">
                  <w:marLeft w:val="0"/>
                  <w:marRight w:val="0"/>
                  <w:marTop w:val="0"/>
                  <w:marBottom w:val="0"/>
                  <w:divBdr>
                    <w:top w:val="none" w:sz="0" w:space="0" w:color="auto"/>
                    <w:left w:val="none" w:sz="0" w:space="0" w:color="auto"/>
                    <w:bottom w:val="none" w:sz="0" w:space="0" w:color="auto"/>
                    <w:right w:val="none" w:sz="0" w:space="0" w:color="auto"/>
                  </w:divBdr>
                  <w:divsChild>
                    <w:div w:id="307787784">
                      <w:marLeft w:val="0"/>
                      <w:marRight w:val="0"/>
                      <w:marTop w:val="0"/>
                      <w:marBottom w:val="0"/>
                      <w:divBdr>
                        <w:top w:val="none" w:sz="0" w:space="0" w:color="auto"/>
                        <w:left w:val="none" w:sz="0" w:space="0" w:color="auto"/>
                        <w:bottom w:val="none" w:sz="0" w:space="0" w:color="auto"/>
                        <w:right w:val="none" w:sz="0" w:space="0" w:color="auto"/>
                      </w:divBdr>
                    </w:div>
                  </w:divsChild>
                </w:div>
                <w:div w:id="74590001">
                  <w:marLeft w:val="0"/>
                  <w:marRight w:val="0"/>
                  <w:marTop w:val="0"/>
                  <w:marBottom w:val="0"/>
                  <w:divBdr>
                    <w:top w:val="none" w:sz="0" w:space="0" w:color="auto"/>
                    <w:left w:val="none" w:sz="0" w:space="0" w:color="auto"/>
                    <w:bottom w:val="none" w:sz="0" w:space="0" w:color="auto"/>
                    <w:right w:val="none" w:sz="0" w:space="0" w:color="auto"/>
                  </w:divBdr>
                  <w:divsChild>
                    <w:div w:id="1827043663">
                      <w:marLeft w:val="0"/>
                      <w:marRight w:val="0"/>
                      <w:marTop w:val="0"/>
                      <w:marBottom w:val="0"/>
                      <w:divBdr>
                        <w:top w:val="none" w:sz="0" w:space="0" w:color="auto"/>
                        <w:left w:val="none" w:sz="0" w:space="0" w:color="auto"/>
                        <w:bottom w:val="none" w:sz="0" w:space="0" w:color="auto"/>
                        <w:right w:val="none" w:sz="0" w:space="0" w:color="auto"/>
                      </w:divBdr>
                    </w:div>
                  </w:divsChild>
                </w:div>
                <w:div w:id="86124020">
                  <w:marLeft w:val="0"/>
                  <w:marRight w:val="0"/>
                  <w:marTop w:val="0"/>
                  <w:marBottom w:val="0"/>
                  <w:divBdr>
                    <w:top w:val="none" w:sz="0" w:space="0" w:color="auto"/>
                    <w:left w:val="none" w:sz="0" w:space="0" w:color="auto"/>
                    <w:bottom w:val="none" w:sz="0" w:space="0" w:color="auto"/>
                    <w:right w:val="none" w:sz="0" w:space="0" w:color="auto"/>
                  </w:divBdr>
                  <w:divsChild>
                    <w:div w:id="1214731957">
                      <w:marLeft w:val="0"/>
                      <w:marRight w:val="0"/>
                      <w:marTop w:val="0"/>
                      <w:marBottom w:val="0"/>
                      <w:divBdr>
                        <w:top w:val="none" w:sz="0" w:space="0" w:color="auto"/>
                        <w:left w:val="none" w:sz="0" w:space="0" w:color="auto"/>
                        <w:bottom w:val="none" w:sz="0" w:space="0" w:color="auto"/>
                        <w:right w:val="none" w:sz="0" w:space="0" w:color="auto"/>
                      </w:divBdr>
                    </w:div>
                  </w:divsChild>
                </w:div>
                <w:div w:id="88815343">
                  <w:marLeft w:val="0"/>
                  <w:marRight w:val="0"/>
                  <w:marTop w:val="0"/>
                  <w:marBottom w:val="0"/>
                  <w:divBdr>
                    <w:top w:val="none" w:sz="0" w:space="0" w:color="auto"/>
                    <w:left w:val="none" w:sz="0" w:space="0" w:color="auto"/>
                    <w:bottom w:val="none" w:sz="0" w:space="0" w:color="auto"/>
                    <w:right w:val="none" w:sz="0" w:space="0" w:color="auto"/>
                  </w:divBdr>
                  <w:divsChild>
                    <w:div w:id="1403066426">
                      <w:marLeft w:val="0"/>
                      <w:marRight w:val="0"/>
                      <w:marTop w:val="0"/>
                      <w:marBottom w:val="0"/>
                      <w:divBdr>
                        <w:top w:val="none" w:sz="0" w:space="0" w:color="auto"/>
                        <w:left w:val="none" w:sz="0" w:space="0" w:color="auto"/>
                        <w:bottom w:val="none" w:sz="0" w:space="0" w:color="auto"/>
                        <w:right w:val="none" w:sz="0" w:space="0" w:color="auto"/>
                      </w:divBdr>
                    </w:div>
                  </w:divsChild>
                </w:div>
                <w:div w:id="98573887">
                  <w:marLeft w:val="0"/>
                  <w:marRight w:val="0"/>
                  <w:marTop w:val="0"/>
                  <w:marBottom w:val="0"/>
                  <w:divBdr>
                    <w:top w:val="none" w:sz="0" w:space="0" w:color="auto"/>
                    <w:left w:val="none" w:sz="0" w:space="0" w:color="auto"/>
                    <w:bottom w:val="none" w:sz="0" w:space="0" w:color="auto"/>
                    <w:right w:val="none" w:sz="0" w:space="0" w:color="auto"/>
                  </w:divBdr>
                  <w:divsChild>
                    <w:div w:id="502817192">
                      <w:marLeft w:val="0"/>
                      <w:marRight w:val="0"/>
                      <w:marTop w:val="0"/>
                      <w:marBottom w:val="0"/>
                      <w:divBdr>
                        <w:top w:val="none" w:sz="0" w:space="0" w:color="auto"/>
                        <w:left w:val="none" w:sz="0" w:space="0" w:color="auto"/>
                        <w:bottom w:val="none" w:sz="0" w:space="0" w:color="auto"/>
                        <w:right w:val="none" w:sz="0" w:space="0" w:color="auto"/>
                      </w:divBdr>
                    </w:div>
                  </w:divsChild>
                </w:div>
                <w:div w:id="116922028">
                  <w:marLeft w:val="0"/>
                  <w:marRight w:val="0"/>
                  <w:marTop w:val="0"/>
                  <w:marBottom w:val="0"/>
                  <w:divBdr>
                    <w:top w:val="none" w:sz="0" w:space="0" w:color="auto"/>
                    <w:left w:val="none" w:sz="0" w:space="0" w:color="auto"/>
                    <w:bottom w:val="none" w:sz="0" w:space="0" w:color="auto"/>
                    <w:right w:val="none" w:sz="0" w:space="0" w:color="auto"/>
                  </w:divBdr>
                  <w:divsChild>
                    <w:div w:id="220018285">
                      <w:marLeft w:val="0"/>
                      <w:marRight w:val="0"/>
                      <w:marTop w:val="0"/>
                      <w:marBottom w:val="0"/>
                      <w:divBdr>
                        <w:top w:val="none" w:sz="0" w:space="0" w:color="auto"/>
                        <w:left w:val="none" w:sz="0" w:space="0" w:color="auto"/>
                        <w:bottom w:val="none" w:sz="0" w:space="0" w:color="auto"/>
                        <w:right w:val="none" w:sz="0" w:space="0" w:color="auto"/>
                      </w:divBdr>
                    </w:div>
                  </w:divsChild>
                </w:div>
                <w:div w:id="120849518">
                  <w:marLeft w:val="0"/>
                  <w:marRight w:val="0"/>
                  <w:marTop w:val="0"/>
                  <w:marBottom w:val="0"/>
                  <w:divBdr>
                    <w:top w:val="none" w:sz="0" w:space="0" w:color="auto"/>
                    <w:left w:val="none" w:sz="0" w:space="0" w:color="auto"/>
                    <w:bottom w:val="none" w:sz="0" w:space="0" w:color="auto"/>
                    <w:right w:val="none" w:sz="0" w:space="0" w:color="auto"/>
                  </w:divBdr>
                  <w:divsChild>
                    <w:div w:id="1338532497">
                      <w:marLeft w:val="0"/>
                      <w:marRight w:val="0"/>
                      <w:marTop w:val="0"/>
                      <w:marBottom w:val="0"/>
                      <w:divBdr>
                        <w:top w:val="none" w:sz="0" w:space="0" w:color="auto"/>
                        <w:left w:val="none" w:sz="0" w:space="0" w:color="auto"/>
                        <w:bottom w:val="none" w:sz="0" w:space="0" w:color="auto"/>
                        <w:right w:val="none" w:sz="0" w:space="0" w:color="auto"/>
                      </w:divBdr>
                    </w:div>
                  </w:divsChild>
                </w:div>
                <w:div w:id="135799483">
                  <w:marLeft w:val="0"/>
                  <w:marRight w:val="0"/>
                  <w:marTop w:val="0"/>
                  <w:marBottom w:val="0"/>
                  <w:divBdr>
                    <w:top w:val="none" w:sz="0" w:space="0" w:color="auto"/>
                    <w:left w:val="none" w:sz="0" w:space="0" w:color="auto"/>
                    <w:bottom w:val="none" w:sz="0" w:space="0" w:color="auto"/>
                    <w:right w:val="none" w:sz="0" w:space="0" w:color="auto"/>
                  </w:divBdr>
                  <w:divsChild>
                    <w:div w:id="45304941">
                      <w:marLeft w:val="0"/>
                      <w:marRight w:val="0"/>
                      <w:marTop w:val="0"/>
                      <w:marBottom w:val="0"/>
                      <w:divBdr>
                        <w:top w:val="none" w:sz="0" w:space="0" w:color="auto"/>
                        <w:left w:val="none" w:sz="0" w:space="0" w:color="auto"/>
                        <w:bottom w:val="none" w:sz="0" w:space="0" w:color="auto"/>
                        <w:right w:val="none" w:sz="0" w:space="0" w:color="auto"/>
                      </w:divBdr>
                    </w:div>
                  </w:divsChild>
                </w:div>
                <w:div w:id="178550904">
                  <w:marLeft w:val="0"/>
                  <w:marRight w:val="0"/>
                  <w:marTop w:val="0"/>
                  <w:marBottom w:val="0"/>
                  <w:divBdr>
                    <w:top w:val="none" w:sz="0" w:space="0" w:color="auto"/>
                    <w:left w:val="none" w:sz="0" w:space="0" w:color="auto"/>
                    <w:bottom w:val="none" w:sz="0" w:space="0" w:color="auto"/>
                    <w:right w:val="none" w:sz="0" w:space="0" w:color="auto"/>
                  </w:divBdr>
                  <w:divsChild>
                    <w:div w:id="1325356382">
                      <w:marLeft w:val="0"/>
                      <w:marRight w:val="0"/>
                      <w:marTop w:val="0"/>
                      <w:marBottom w:val="0"/>
                      <w:divBdr>
                        <w:top w:val="none" w:sz="0" w:space="0" w:color="auto"/>
                        <w:left w:val="none" w:sz="0" w:space="0" w:color="auto"/>
                        <w:bottom w:val="none" w:sz="0" w:space="0" w:color="auto"/>
                        <w:right w:val="none" w:sz="0" w:space="0" w:color="auto"/>
                      </w:divBdr>
                    </w:div>
                  </w:divsChild>
                </w:div>
                <w:div w:id="187835057">
                  <w:marLeft w:val="0"/>
                  <w:marRight w:val="0"/>
                  <w:marTop w:val="0"/>
                  <w:marBottom w:val="0"/>
                  <w:divBdr>
                    <w:top w:val="none" w:sz="0" w:space="0" w:color="auto"/>
                    <w:left w:val="none" w:sz="0" w:space="0" w:color="auto"/>
                    <w:bottom w:val="none" w:sz="0" w:space="0" w:color="auto"/>
                    <w:right w:val="none" w:sz="0" w:space="0" w:color="auto"/>
                  </w:divBdr>
                  <w:divsChild>
                    <w:div w:id="481392295">
                      <w:marLeft w:val="0"/>
                      <w:marRight w:val="0"/>
                      <w:marTop w:val="0"/>
                      <w:marBottom w:val="0"/>
                      <w:divBdr>
                        <w:top w:val="none" w:sz="0" w:space="0" w:color="auto"/>
                        <w:left w:val="none" w:sz="0" w:space="0" w:color="auto"/>
                        <w:bottom w:val="none" w:sz="0" w:space="0" w:color="auto"/>
                        <w:right w:val="none" w:sz="0" w:space="0" w:color="auto"/>
                      </w:divBdr>
                    </w:div>
                  </w:divsChild>
                </w:div>
                <w:div w:id="234585803">
                  <w:marLeft w:val="0"/>
                  <w:marRight w:val="0"/>
                  <w:marTop w:val="0"/>
                  <w:marBottom w:val="0"/>
                  <w:divBdr>
                    <w:top w:val="none" w:sz="0" w:space="0" w:color="auto"/>
                    <w:left w:val="none" w:sz="0" w:space="0" w:color="auto"/>
                    <w:bottom w:val="none" w:sz="0" w:space="0" w:color="auto"/>
                    <w:right w:val="none" w:sz="0" w:space="0" w:color="auto"/>
                  </w:divBdr>
                  <w:divsChild>
                    <w:div w:id="1632975156">
                      <w:marLeft w:val="0"/>
                      <w:marRight w:val="0"/>
                      <w:marTop w:val="0"/>
                      <w:marBottom w:val="0"/>
                      <w:divBdr>
                        <w:top w:val="none" w:sz="0" w:space="0" w:color="auto"/>
                        <w:left w:val="none" w:sz="0" w:space="0" w:color="auto"/>
                        <w:bottom w:val="none" w:sz="0" w:space="0" w:color="auto"/>
                        <w:right w:val="none" w:sz="0" w:space="0" w:color="auto"/>
                      </w:divBdr>
                    </w:div>
                  </w:divsChild>
                </w:div>
                <w:div w:id="261114077">
                  <w:marLeft w:val="0"/>
                  <w:marRight w:val="0"/>
                  <w:marTop w:val="0"/>
                  <w:marBottom w:val="0"/>
                  <w:divBdr>
                    <w:top w:val="none" w:sz="0" w:space="0" w:color="auto"/>
                    <w:left w:val="none" w:sz="0" w:space="0" w:color="auto"/>
                    <w:bottom w:val="none" w:sz="0" w:space="0" w:color="auto"/>
                    <w:right w:val="none" w:sz="0" w:space="0" w:color="auto"/>
                  </w:divBdr>
                  <w:divsChild>
                    <w:div w:id="650334471">
                      <w:marLeft w:val="0"/>
                      <w:marRight w:val="0"/>
                      <w:marTop w:val="0"/>
                      <w:marBottom w:val="0"/>
                      <w:divBdr>
                        <w:top w:val="none" w:sz="0" w:space="0" w:color="auto"/>
                        <w:left w:val="none" w:sz="0" w:space="0" w:color="auto"/>
                        <w:bottom w:val="none" w:sz="0" w:space="0" w:color="auto"/>
                        <w:right w:val="none" w:sz="0" w:space="0" w:color="auto"/>
                      </w:divBdr>
                    </w:div>
                  </w:divsChild>
                </w:div>
                <w:div w:id="279915438">
                  <w:marLeft w:val="0"/>
                  <w:marRight w:val="0"/>
                  <w:marTop w:val="0"/>
                  <w:marBottom w:val="0"/>
                  <w:divBdr>
                    <w:top w:val="none" w:sz="0" w:space="0" w:color="auto"/>
                    <w:left w:val="none" w:sz="0" w:space="0" w:color="auto"/>
                    <w:bottom w:val="none" w:sz="0" w:space="0" w:color="auto"/>
                    <w:right w:val="none" w:sz="0" w:space="0" w:color="auto"/>
                  </w:divBdr>
                  <w:divsChild>
                    <w:div w:id="84425032">
                      <w:marLeft w:val="0"/>
                      <w:marRight w:val="0"/>
                      <w:marTop w:val="0"/>
                      <w:marBottom w:val="0"/>
                      <w:divBdr>
                        <w:top w:val="none" w:sz="0" w:space="0" w:color="auto"/>
                        <w:left w:val="none" w:sz="0" w:space="0" w:color="auto"/>
                        <w:bottom w:val="none" w:sz="0" w:space="0" w:color="auto"/>
                        <w:right w:val="none" w:sz="0" w:space="0" w:color="auto"/>
                      </w:divBdr>
                    </w:div>
                  </w:divsChild>
                </w:div>
                <w:div w:id="287862805">
                  <w:marLeft w:val="0"/>
                  <w:marRight w:val="0"/>
                  <w:marTop w:val="0"/>
                  <w:marBottom w:val="0"/>
                  <w:divBdr>
                    <w:top w:val="none" w:sz="0" w:space="0" w:color="auto"/>
                    <w:left w:val="none" w:sz="0" w:space="0" w:color="auto"/>
                    <w:bottom w:val="none" w:sz="0" w:space="0" w:color="auto"/>
                    <w:right w:val="none" w:sz="0" w:space="0" w:color="auto"/>
                  </w:divBdr>
                  <w:divsChild>
                    <w:div w:id="1595701103">
                      <w:marLeft w:val="0"/>
                      <w:marRight w:val="0"/>
                      <w:marTop w:val="0"/>
                      <w:marBottom w:val="0"/>
                      <w:divBdr>
                        <w:top w:val="none" w:sz="0" w:space="0" w:color="auto"/>
                        <w:left w:val="none" w:sz="0" w:space="0" w:color="auto"/>
                        <w:bottom w:val="none" w:sz="0" w:space="0" w:color="auto"/>
                        <w:right w:val="none" w:sz="0" w:space="0" w:color="auto"/>
                      </w:divBdr>
                    </w:div>
                  </w:divsChild>
                </w:div>
                <w:div w:id="289288446">
                  <w:marLeft w:val="0"/>
                  <w:marRight w:val="0"/>
                  <w:marTop w:val="0"/>
                  <w:marBottom w:val="0"/>
                  <w:divBdr>
                    <w:top w:val="none" w:sz="0" w:space="0" w:color="auto"/>
                    <w:left w:val="none" w:sz="0" w:space="0" w:color="auto"/>
                    <w:bottom w:val="none" w:sz="0" w:space="0" w:color="auto"/>
                    <w:right w:val="none" w:sz="0" w:space="0" w:color="auto"/>
                  </w:divBdr>
                  <w:divsChild>
                    <w:div w:id="308094272">
                      <w:marLeft w:val="0"/>
                      <w:marRight w:val="0"/>
                      <w:marTop w:val="0"/>
                      <w:marBottom w:val="0"/>
                      <w:divBdr>
                        <w:top w:val="none" w:sz="0" w:space="0" w:color="auto"/>
                        <w:left w:val="none" w:sz="0" w:space="0" w:color="auto"/>
                        <w:bottom w:val="none" w:sz="0" w:space="0" w:color="auto"/>
                        <w:right w:val="none" w:sz="0" w:space="0" w:color="auto"/>
                      </w:divBdr>
                    </w:div>
                  </w:divsChild>
                </w:div>
                <w:div w:id="320278975">
                  <w:marLeft w:val="0"/>
                  <w:marRight w:val="0"/>
                  <w:marTop w:val="0"/>
                  <w:marBottom w:val="0"/>
                  <w:divBdr>
                    <w:top w:val="none" w:sz="0" w:space="0" w:color="auto"/>
                    <w:left w:val="none" w:sz="0" w:space="0" w:color="auto"/>
                    <w:bottom w:val="none" w:sz="0" w:space="0" w:color="auto"/>
                    <w:right w:val="none" w:sz="0" w:space="0" w:color="auto"/>
                  </w:divBdr>
                  <w:divsChild>
                    <w:div w:id="1761755932">
                      <w:marLeft w:val="0"/>
                      <w:marRight w:val="0"/>
                      <w:marTop w:val="0"/>
                      <w:marBottom w:val="0"/>
                      <w:divBdr>
                        <w:top w:val="none" w:sz="0" w:space="0" w:color="auto"/>
                        <w:left w:val="none" w:sz="0" w:space="0" w:color="auto"/>
                        <w:bottom w:val="none" w:sz="0" w:space="0" w:color="auto"/>
                        <w:right w:val="none" w:sz="0" w:space="0" w:color="auto"/>
                      </w:divBdr>
                    </w:div>
                  </w:divsChild>
                </w:div>
                <w:div w:id="363868834">
                  <w:marLeft w:val="0"/>
                  <w:marRight w:val="0"/>
                  <w:marTop w:val="0"/>
                  <w:marBottom w:val="0"/>
                  <w:divBdr>
                    <w:top w:val="none" w:sz="0" w:space="0" w:color="auto"/>
                    <w:left w:val="none" w:sz="0" w:space="0" w:color="auto"/>
                    <w:bottom w:val="none" w:sz="0" w:space="0" w:color="auto"/>
                    <w:right w:val="none" w:sz="0" w:space="0" w:color="auto"/>
                  </w:divBdr>
                  <w:divsChild>
                    <w:div w:id="1194465993">
                      <w:marLeft w:val="0"/>
                      <w:marRight w:val="0"/>
                      <w:marTop w:val="0"/>
                      <w:marBottom w:val="0"/>
                      <w:divBdr>
                        <w:top w:val="none" w:sz="0" w:space="0" w:color="auto"/>
                        <w:left w:val="none" w:sz="0" w:space="0" w:color="auto"/>
                        <w:bottom w:val="none" w:sz="0" w:space="0" w:color="auto"/>
                        <w:right w:val="none" w:sz="0" w:space="0" w:color="auto"/>
                      </w:divBdr>
                    </w:div>
                  </w:divsChild>
                </w:div>
                <w:div w:id="367218484">
                  <w:marLeft w:val="0"/>
                  <w:marRight w:val="0"/>
                  <w:marTop w:val="0"/>
                  <w:marBottom w:val="0"/>
                  <w:divBdr>
                    <w:top w:val="none" w:sz="0" w:space="0" w:color="auto"/>
                    <w:left w:val="none" w:sz="0" w:space="0" w:color="auto"/>
                    <w:bottom w:val="none" w:sz="0" w:space="0" w:color="auto"/>
                    <w:right w:val="none" w:sz="0" w:space="0" w:color="auto"/>
                  </w:divBdr>
                  <w:divsChild>
                    <w:div w:id="1316688641">
                      <w:marLeft w:val="0"/>
                      <w:marRight w:val="0"/>
                      <w:marTop w:val="0"/>
                      <w:marBottom w:val="0"/>
                      <w:divBdr>
                        <w:top w:val="none" w:sz="0" w:space="0" w:color="auto"/>
                        <w:left w:val="none" w:sz="0" w:space="0" w:color="auto"/>
                        <w:bottom w:val="none" w:sz="0" w:space="0" w:color="auto"/>
                        <w:right w:val="none" w:sz="0" w:space="0" w:color="auto"/>
                      </w:divBdr>
                    </w:div>
                  </w:divsChild>
                </w:div>
                <w:div w:id="381950703">
                  <w:marLeft w:val="0"/>
                  <w:marRight w:val="0"/>
                  <w:marTop w:val="0"/>
                  <w:marBottom w:val="0"/>
                  <w:divBdr>
                    <w:top w:val="none" w:sz="0" w:space="0" w:color="auto"/>
                    <w:left w:val="none" w:sz="0" w:space="0" w:color="auto"/>
                    <w:bottom w:val="none" w:sz="0" w:space="0" w:color="auto"/>
                    <w:right w:val="none" w:sz="0" w:space="0" w:color="auto"/>
                  </w:divBdr>
                  <w:divsChild>
                    <w:div w:id="527960419">
                      <w:marLeft w:val="0"/>
                      <w:marRight w:val="0"/>
                      <w:marTop w:val="0"/>
                      <w:marBottom w:val="0"/>
                      <w:divBdr>
                        <w:top w:val="none" w:sz="0" w:space="0" w:color="auto"/>
                        <w:left w:val="none" w:sz="0" w:space="0" w:color="auto"/>
                        <w:bottom w:val="none" w:sz="0" w:space="0" w:color="auto"/>
                        <w:right w:val="none" w:sz="0" w:space="0" w:color="auto"/>
                      </w:divBdr>
                    </w:div>
                  </w:divsChild>
                </w:div>
                <w:div w:id="384060680">
                  <w:marLeft w:val="0"/>
                  <w:marRight w:val="0"/>
                  <w:marTop w:val="0"/>
                  <w:marBottom w:val="0"/>
                  <w:divBdr>
                    <w:top w:val="none" w:sz="0" w:space="0" w:color="auto"/>
                    <w:left w:val="none" w:sz="0" w:space="0" w:color="auto"/>
                    <w:bottom w:val="none" w:sz="0" w:space="0" w:color="auto"/>
                    <w:right w:val="none" w:sz="0" w:space="0" w:color="auto"/>
                  </w:divBdr>
                  <w:divsChild>
                    <w:div w:id="1850289292">
                      <w:marLeft w:val="0"/>
                      <w:marRight w:val="0"/>
                      <w:marTop w:val="0"/>
                      <w:marBottom w:val="0"/>
                      <w:divBdr>
                        <w:top w:val="none" w:sz="0" w:space="0" w:color="auto"/>
                        <w:left w:val="none" w:sz="0" w:space="0" w:color="auto"/>
                        <w:bottom w:val="none" w:sz="0" w:space="0" w:color="auto"/>
                        <w:right w:val="none" w:sz="0" w:space="0" w:color="auto"/>
                      </w:divBdr>
                    </w:div>
                  </w:divsChild>
                </w:div>
                <w:div w:id="386225454">
                  <w:marLeft w:val="0"/>
                  <w:marRight w:val="0"/>
                  <w:marTop w:val="0"/>
                  <w:marBottom w:val="0"/>
                  <w:divBdr>
                    <w:top w:val="none" w:sz="0" w:space="0" w:color="auto"/>
                    <w:left w:val="none" w:sz="0" w:space="0" w:color="auto"/>
                    <w:bottom w:val="none" w:sz="0" w:space="0" w:color="auto"/>
                    <w:right w:val="none" w:sz="0" w:space="0" w:color="auto"/>
                  </w:divBdr>
                  <w:divsChild>
                    <w:div w:id="2122336555">
                      <w:marLeft w:val="0"/>
                      <w:marRight w:val="0"/>
                      <w:marTop w:val="0"/>
                      <w:marBottom w:val="0"/>
                      <w:divBdr>
                        <w:top w:val="none" w:sz="0" w:space="0" w:color="auto"/>
                        <w:left w:val="none" w:sz="0" w:space="0" w:color="auto"/>
                        <w:bottom w:val="none" w:sz="0" w:space="0" w:color="auto"/>
                        <w:right w:val="none" w:sz="0" w:space="0" w:color="auto"/>
                      </w:divBdr>
                    </w:div>
                  </w:divsChild>
                </w:div>
                <w:div w:id="388506044">
                  <w:marLeft w:val="0"/>
                  <w:marRight w:val="0"/>
                  <w:marTop w:val="0"/>
                  <w:marBottom w:val="0"/>
                  <w:divBdr>
                    <w:top w:val="none" w:sz="0" w:space="0" w:color="auto"/>
                    <w:left w:val="none" w:sz="0" w:space="0" w:color="auto"/>
                    <w:bottom w:val="none" w:sz="0" w:space="0" w:color="auto"/>
                    <w:right w:val="none" w:sz="0" w:space="0" w:color="auto"/>
                  </w:divBdr>
                  <w:divsChild>
                    <w:div w:id="1244606675">
                      <w:marLeft w:val="0"/>
                      <w:marRight w:val="0"/>
                      <w:marTop w:val="0"/>
                      <w:marBottom w:val="0"/>
                      <w:divBdr>
                        <w:top w:val="none" w:sz="0" w:space="0" w:color="auto"/>
                        <w:left w:val="none" w:sz="0" w:space="0" w:color="auto"/>
                        <w:bottom w:val="none" w:sz="0" w:space="0" w:color="auto"/>
                        <w:right w:val="none" w:sz="0" w:space="0" w:color="auto"/>
                      </w:divBdr>
                    </w:div>
                  </w:divsChild>
                </w:div>
                <w:div w:id="409929167">
                  <w:marLeft w:val="0"/>
                  <w:marRight w:val="0"/>
                  <w:marTop w:val="0"/>
                  <w:marBottom w:val="0"/>
                  <w:divBdr>
                    <w:top w:val="none" w:sz="0" w:space="0" w:color="auto"/>
                    <w:left w:val="none" w:sz="0" w:space="0" w:color="auto"/>
                    <w:bottom w:val="none" w:sz="0" w:space="0" w:color="auto"/>
                    <w:right w:val="none" w:sz="0" w:space="0" w:color="auto"/>
                  </w:divBdr>
                  <w:divsChild>
                    <w:div w:id="99226562">
                      <w:marLeft w:val="0"/>
                      <w:marRight w:val="0"/>
                      <w:marTop w:val="0"/>
                      <w:marBottom w:val="0"/>
                      <w:divBdr>
                        <w:top w:val="none" w:sz="0" w:space="0" w:color="auto"/>
                        <w:left w:val="none" w:sz="0" w:space="0" w:color="auto"/>
                        <w:bottom w:val="none" w:sz="0" w:space="0" w:color="auto"/>
                        <w:right w:val="none" w:sz="0" w:space="0" w:color="auto"/>
                      </w:divBdr>
                    </w:div>
                  </w:divsChild>
                </w:div>
                <w:div w:id="420948647">
                  <w:marLeft w:val="0"/>
                  <w:marRight w:val="0"/>
                  <w:marTop w:val="0"/>
                  <w:marBottom w:val="0"/>
                  <w:divBdr>
                    <w:top w:val="none" w:sz="0" w:space="0" w:color="auto"/>
                    <w:left w:val="none" w:sz="0" w:space="0" w:color="auto"/>
                    <w:bottom w:val="none" w:sz="0" w:space="0" w:color="auto"/>
                    <w:right w:val="none" w:sz="0" w:space="0" w:color="auto"/>
                  </w:divBdr>
                  <w:divsChild>
                    <w:div w:id="107044601">
                      <w:marLeft w:val="0"/>
                      <w:marRight w:val="0"/>
                      <w:marTop w:val="0"/>
                      <w:marBottom w:val="0"/>
                      <w:divBdr>
                        <w:top w:val="none" w:sz="0" w:space="0" w:color="auto"/>
                        <w:left w:val="none" w:sz="0" w:space="0" w:color="auto"/>
                        <w:bottom w:val="none" w:sz="0" w:space="0" w:color="auto"/>
                        <w:right w:val="none" w:sz="0" w:space="0" w:color="auto"/>
                      </w:divBdr>
                    </w:div>
                  </w:divsChild>
                </w:div>
                <w:div w:id="427965243">
                  <w:marLeft w:val="0"/>
                  <w:marRight w:val="0"/>
                  <w:marTop w:val="0"/>
                  <w:marBottom w:val="0"/>
                  <w:divBdr>
                    <w:top w:val="none" w:sz="0" w:space="0" w:color="auto"/>
                    <w:left w:val="none" w:sz="0" w:space="0" w:color="auto"/>
                    <w:bottom w:val="none" w:sz="0" w:space="0" w:color="auto"/>
                    <w:right w:val="none" w:sz="0" w:space="0" w:color="auto"/>
                  </w:divBdr>
                  <w:divsChild>
                    <w:div w:id="1956593315">
                      <w:marLeft w:val="0"/>
                      <w:marRight w:val="0"/>
                      <w:marTop w:val="0"/>
                      <w:marBottom w:val="0"/>
                      <w:divBdr>
                        <w:top w:val="none" w:sz="0" w:space="0" w:color="auto"/>
                        <w:left w:val="none" w:sz="0" w:space="0" w:color="auto"/>
                        <w:bottom w:val="none" w:sz="0" w:space="0" w:color="auto"/>
                        <w:right w:val="none" w:sz="0" w:space="0" w:color="auto"/>
                      </w:divBdr>
                    </w:div>
                  </w:divsChild>
                </w:div>
                <w:div w:id="437022478">
                  <w:marLeft w:val="0"/>
                  <w:marRight w:val="0"/>
                  <w:marTop w:val="0"/>
                  <w:marBottom w:val="0"/>
                  <w:divBdr>
                    <w:top w:val="none" w:sz="0" w:space="0" w:color="auto"/>
                    <w:left w:val="none" w:sz="0" w:space="0" w:color="auto"/>
                    <w:bottom w:val="none" w:sz="0" w:space="0" w:color="auto"/>
                    <w:right w:val="none" w:sz="0" w:space="0" w:color="auto"/>
                  </w:divBdr>
                  <w:divsChild>
                    <w:div w:id="1014845169">
                      <w:marLeft w:val="0"/>
                      <w:marRight w:val="0"/>
                      <w:marTop w:val="0"/>
                      <w:marBottom w:val="0"/>
                      <w:divBdr>
                        <w:top w:val="none" w:sz="0" w:space="0" w:color="auto"/>
                        <w:left w:val="none" w:sz="0" w:space="0" w:color="auto"/>
                        <w:bottom w:val="none" w:sz="0" w:space="0" w:color="auto"/>
                        <w:right w:val="none" w:sz="0" w:space="0" w:color="auto"/>
                      </w:divBdr>
                    </w:div>
                  </w:divsChild>
                </w:div>
                <w:div w:id="475144336">
                  <w:marLeft w:val="0"/>
                  <w:marRight w:val="0"/>
                  <w:marTop w:val="0"/>
                  <w:marBottom w:val="0"/>
                  <w:divBdr>
                    <w:top w:val="none" w:sz="0" w:space="0" w:color="auto"/>
                    <w:left w:val="none" w:sz="0" w:space="0" w:color="auto"/>
                    <w:bottom w:val="none" w:sz="0" w:space="0" w:color="auto"/>
                    <w:right w:val="none" w:sz="0" w:space="0" w:color="auto"/>
                  </w:divBdr>
                  <w:divsChild>
                    <w:div w:id="1331299449">
                      <w:marLeft w:val="0"/>
                      <w:marRight w:val="0"/>
                      <w:marTop w:val="0"/>
                      <w:marBottom w:val="0"/>
                      <w:divBdr>
                        <w:top w:val="none" w:sz="0" w:space="0" w:color="auto"/>
                        <w:left w:val="none" w:sz="0" w:space="0" w:color="auto"/>
                        <w:bottom w:val="none" w:sz="0" w:space="0" w:color="auto"/>
                        <w:right w:val="none" w:sz="0" w:space="0" w:color="auto"/>
                      </w:divBdr>
                    </w:div>
                  </w:divsChild>
                </w:div>
                <w:div w:id="480931518">
                  <w:marLeft w:val="0"/>
                  <w:marRight w:val="0"/>
                  <w:marTop w:val="0"/>
                  <w:marBottom w:val="0"/>
                  <w:divBdr>
                    <w:top w:val="none" w:sz="0" w:space="0" w:color="auto"/>
                    <w:left w:val="none" w:sz="0" w:space="0" w:color="auto"/>
                    <w:bottom w:val="none" w:sz="0" w:space="0" w:color="auto"/>
                    <w:right w:val="none" w:sz="0" w:space="0" w:color="auto"/>
                  </w:divBdr>
                  <w:divsChild>
                    <w:div w:id="1678463199">
                      <w:marLeft w:val="0"/>
                      <w:marRight w:val="0"/>
                      <w:marTop w:val="0"/>
                      <w:marBottom w:val="0"/>
                      <w:divBdr>
                        <w:top w:val="none" w:sz="0" w:space="0" w:color="auto"/>
                        <w:left w:val="none" w:sz="0" w:space="0" w:color="auto"/>
                        <w:bottom w:val="none" w:sz="0" w:space="0" w:color="auto"/>
                        <w:right w:val="none" w:sz="0" w:space="0" w:color="auto"/>
                      </w:divBdr>
                    </w:div>
                  </w:divsChild>
                </w:div>
                <w:div w:id="485778741">
                  <w:marLeft w:val="0"/>
                  <w:marRight w:val="0"/>
                  <w:marTop w:val="0"/>
                  <w:marBottom w:val="0"/>
                  <w:divBdr>
                    <w:top w:val="none" w:sz="0" w:space="0" w:color="auto"/>
                    <w:left w:val="none" w:sz="0" w:space="0" w:color="auto"/>
                    <w:bottom w:val="none" w:sz="0" w:space="0" w:color="auto"/>
                    <w:right w:val="none" w:sz="0" w:space="0" w:color="auto"/>
                  </w:divBdr>
                  <w:divsChild>
                    <w:div w:id="483199047">
                      <w:marLeft w:val="0"/>
                      <w:marRight w:val="0"/>
                      <w:marTop w:val="0"/>
                      <w:marBottom w:val="0"/>
                      <w:divBdr>
                        <w:top w:val="none" w:sz="0" w:space="0" w:color="auto"/>
                        <w:left w:val="none" w:sz="0" w:space="0" w:color="auto"/>
                        <w:bottom w:val="none" w:sz="0" w:space="0" w:color="auto"/>
                        <w:right w:val="none" w:sz="0" w:space="0" w:color="auto"/>
                      </w:divBdr>
                    </w:div>
                  </w:divsChild>
                </w:div>
                <w:div w:id="498619563">
                  <w:marLeft w:val="0"/>
                  <w:marRight w:val="0"/>
                  <w:marTop w:val="0"/>
                  <w:marBottom w:val="0"/>
                  <w:divBdr>
                    <w:top w:val="none" w:sz="0" w:space="0" w:color="auto"/>
                    <w:left w:val="none" w:sz="0" w:space="0" w:color="auto"/>
                    <w:bottom w:val="none" w:sz="0" w:space="0" w:color="auto"/>
                    <w:right w:val="none" w:sz="0" w:space="0" w:color="auto"/>
                  </w:divBdr>
                  <w:divsChild>
                    <w:div w:id="1694648492">
                      <w:marLeft w:val="0"/>
                      <w:marRight w:val="0"/>
                      <w:marTop w:val="0"/>
                      <w:marBottom w:val="0"/>
                      <w:divBdr>
                        <w:top w:val="none" w:sz="0" w:space="0" w:color="auto"/>
                        <w:left w:val="none" w:sz="0" w:space="0" w:color="auto"/>
                        <w:bottom w:val="none" w:sz="0" w:space="0" w:color="auto"/>
                        <w:right w:val="none" w:sz="0" w:space="0" w:color="auto"/>
                      </w:divBdr>
                    </w:div>
                  </w:divsChild>
                </w:div>
                <w:div w:id="550381320">
                  <w:marLeft w:val="0"/>
                  <w:marRight w:val="0"/>
                  <w:marTop w:val="0"/>
                  <w:marBottom w:val="0"/>
                  <w:divBdr>
                    <w:top w:val="none" w:sz="0" w:space="0" w:color="auto"/>
                    <w:left w:val="none" w:sz="0" w:space="0" w:color="auto"/>
                    <w:bottom w:val="none" w:sz="0" w:space="0" w:color="auto"/>
                    <w:right w:val="none" w:sz="0" w:space="0" w:color="auto"/>
                  </w:divBdr>
                  <w:divsChild>
                    <w:div w:id="1694261609">
                      <w:marLeft w:val="0"/>
                      <w:marRight w:val="0"/>
                      <w:marTop w:val="0"/>
                      <w:marBottom w:val="0"/>
                      <w:divBdr>
                        <w:top w:val="none" w:sz="0" w:space="0" w:color="auto"/>
                        <w:left w:val="none" w:sz="0" w:space="0" w:color="auto"/>
                        <w:bottom w:val="none" w:sz="0" w:space="0" w:color="auto"/>
                        <w:right w:val="none" w:sz="0" w:space="0" w:color="auto"/>
                      </w:divBdr>
                    </w:div>
                  </w:divsChild>
                </w:div>
                <w:div w:id="552934718">
                  <w:marLeft w:val="0"/>
                  <w:marRight w:val="0"/>
                  <w:marTop w:val="0"/>
                  <w:marBottom w:val="0"/>
                  <w:divBdr>
                    <w:top w:val="none" w:sz="0" w:space="0" w:color="auto"/>
                    <w:left w:val="none" w:sz="0" w:space="0" w:color="auto"/>
                    <w:bottom w:val="none" w:sz="0" w:space="0" w:color="auto"/>
                    <w:right w:val="none" w:sz="0" w:space="0" w:color="auto"/>
                  </w:divBdr>
                  <w:divsChild>
                    <w:div w:id="1488548226">
                      <w:marLeft w:val="0"/>
                      <w:marRight w:val="0"/>
                      <w:marTop w:val="0"/>
                      <w:marBottom w:val="0"/>
                      <w:divBdr>
                        <w:top w:val="none" w:sz="0" w:space="0" w:color="auto"/>
                        <w:left w:val="none" w:sz="0" w:space="0" w:color="auto"/>
                        <w:bottom w:val="none" w:sz="0" w:space="0" w:color="auto"/>
                        <w:right w:val="none" w:sz="0" w:space="0" w:color="auto"/>
                      </w:divBdr>
                    </w:div>
                  </w:divsChild>
                </w:div>
                <w:div w:id="556746530">
                  <w:marLeft w:val="0"/>
                  <w:marRight w:val="0"/>
                  <w:marTop w:val="0"/>
                  <w:marBottom w:val="0"/>
                  <w:divBdr>
                    <w:top w:val="none" w:sz="0" w:space="0" w:color="auto"/>
                    <w:left w:val="none" w:sz="0" w:space="0" w:color="auto"/>
                    <w:bottom w:val="none" w:sz="0" w:space="0" w:color="auto"/>
                    <w:right w:val="none" w:sz="0" w:space="0" w:color="auto"/>
                  </w:divBdr>
                  <w:divsChild>
                    <w:div w:id="180514194">
                      <w:marLeft w:val="0"/>
                      <w:marRight w:val="0"/>
                      <w:marTop w:val="0"/>
                      <w:marBottom w:val="0"/>
                      <w:divBdr>
                        <w:top w:val="none" w:sz="0" w:space="0" w:color="auto"/>
                        <w:left w:val="none" w:sz="0" w:space="0" w:color="auto"/>
                        <w:bottom w:val="none" w:sz="0" w:space="0" w:color="auto"/>
                        <w:right w:val="none" w:sz="0" w:space="0" w:color="auto"/>
                      </w:divBdr>
                    </w:div>
                  </w:divsChild>
                </w:div>
                <w:div w:id="578948591">
                  <w:marLeft w:val="0"/>
                  <w:marRight w:val="0"/>
                  <w:marTop w:val="0"/>
                  <w:marBottom w:val="0"/>
                  <w:divBdr>
                    <w:top w:val="none" w:sz="0" w:space="0" w:color="auto"/>
                    <w:left w:val="none" w:sz="0" w:space="0" w:color="auto"/>
                    <w:bottom w:val="none" w:sz="0" w:space="0" w:color="auto"/>
                    <w:right w:val="none" w:sz="0" w:space="0" w:color="auto"/>
                  </w:divBdr>
                  <w:divsChild>
                    <w:div w:id="1241990336">
                      <w:marLeft w:val="0"/>
                      <w:marRight w:val="0"/>
                      <w:marTop w:val="0"/>
                      <w:marBottom w:val="0"/>
                      <w:divBdr>
                        <w:top w:val="none" w:sz="0" w:space="0" w:color="auto"/>
                        <w:left w:val="none" w:sz="0" w:space="0" w:color="auto"/>
                        <w:bottom w:val="none" w:sz="0" w:space="0" w:color="auto"/>
                        <w:right w:val="none" w:sz="0" w:space="0" w:color="auto"/>
                      </w:divBdr>
                    </w:div>
                  </w:divsChild>
                </w:div>
                <w:div w:id="581767540">
                  <w:marLeft w:val="0"/>
                  <w:marRight w:val="0"/>
                  <w:marTop w:val="0"/>
                  <w:marBottom w:val="0"/>
                  <w:divBdr>
                    <w:top w:val="none" w:sz="0" w:space="0" w:color="auto"/>
                    <w:left w:val="none" w:sz="0" w:space="0" w:color="auto"/>
                    <w:bottom w:val="none" w:sz="0" w:space="0" w:color="auto"/>
                    <w:right w:val="none" w:sz="0" w:space="0" w:color="auto"/>
                  </w:divBdr>
                  <w:divsChild>
                    <w:div w:id="254364485">
                      <w:marLeft w:val="0"/>
                      <w:marRight w:val="0"/>
                      <w:marTop w:val="0"/>
                      <w:marBottom w:val="0"/>
                      <w:divBdr>
                        <w:top w:val="none" w:sz="0" w:space="0" w:color="auto"/>
                        <w:left w:val="none" w:sz="0" w:space="0" w:color="auto"/>
                        <w:bottom w:val="none" w:sz="0" w:space="0" w:color="auto"/>
                        <w:right w:val="none" w:sz="0" w:space="0" w:color="auto"/>
                      </w:divBdr>
                    </w:div>
                  </w:divsChild>
                </w:div>
                <w:div w:id="609628253">
                  <w:marLeft w:val="0"/>
                  <w:marRight w:val="0"/>
                  <w:marTop w:val="0"/>
                  <w:marBottom w:val="0"/>
                  <w:divBdr>
                    <w:top w:val="none" w:sz="0" w:space="0" w:color="auto"/>
                    <w:left w:val="none" w:sz="0" w:space="0" w:color="auto"/>
                    <w:bottom w:val="none" w:sz="0" w:space="0" w:color="auto"/>
                    <w:right w:val="none" w:sz="0" w:space="0" w:color="auto"/>
                  </w:divBdr>
                  <w:divsChild>
                    <w:div w:id="709065104">
                      <w:marLeft w:val="0"/>
                      <w:marRight w:val="0"/>
                      <w:marTop w:val="0"/>
                      <w:marBottom w:val="0"/>
                      <w:divBdr>
                        <w:top w:val="none" w:sz="0" w:space="0" w:color="auto"/>
                        <w:left w:val="none" w:sz="0" w:space="0" w:color="auto"/>
                        <w:bottom w:val="none" w:sz="0" w:space="0" w:color="auto"/>
                        <w:right w:val="none" w:sz="0" w:space="0" w:color="auto"/>
                      </w:divBdr>
                    </w:div>
                  </w:divsChild>
                </w:div>
                <w:div w:id="623583177">
                  <w:marLeft w:val="0"/>
                  <w:marRight w:val="0"/>
                  <w:marTop w:val="0"/>
                  <w:marBottom w:val="0"/>
                  <w:divBdr>
                    <w:top w:val="none" w:sz="0" w:space="0" w:color="auto"/>
                    <w:left w:val="none" w:sz="0" w:space="0" w:color="auto"/>
                    <w:bottom w:val="none" w:sz="0" w:space="0" w:color="auto"/>
                    <w:right w:val="none" w:sz="0" w:space="0" w:color="auto"/>
                  </w:divBdr>
                  <w:divsChild>
                    <w:div w:id="384449701">
                      <w:marLeft w:val="0"/>
                      <w:marRight w:val="0"/>
                      <w:marTop w:val="0"/>
                      <w:marBottom w:val="0"/>
                      <w:divBdr>
                        <w:top w:val="none" w:sz="0" w:space="0" w:color="auto"/>
                        <w:left w:val="none" w:sz="0" w:space="0" w:color="auto"/>
                        <w:bottom w:val="none" w:sz="0" w:space="0" w:color="auto"/>
                        <w:right w:val="none" w:sz="0" w:space="0" w:color="auto"/>
                      </w:divBdr>
                    </w:div>
                  </w:divsChild>
                </w:div>
                <w:div w:id="696202062">
                  <w:marLeft w:val="0"/>
                  <w:marRight w:val="0"/>
                  <w:marTop w:val="0"/>
                  <w:marBottom w:val="0"/>
                  <w:divBdr>
                    <w:top w:val="none" w:sz="0" w:space="0" w:color="auto"/>
                    <w:left w:val="none" w:sz="0" w:space="0" w:color="auto"/>
                    <w:bottom w:val="none" w:sz="0" w:space="0" w:color="auto"/>
                    <w:right w:val="none" w:sz="0" w:space="0" w:color="auto"/>
                  </w:divBdr>
                  <w:divsChild>
                    <w:div w:id="733816746">
                      <w:marLeft w:val="0"/>
                      <w:marRight w:val="0"/>
                      <w:marTop w:val="0"/>
                      <w:marBottom w:val="0"/>
                      <w:divBdr>
                        <w:top w:val="none" w:sz="0" w:space="0" w:color="auto"/>
                        <w:left w:val="none" w:sz="0" w:space="0" w:color="auto"/>
                        <w:bottom w:val="none" w:sz="0" w:space="0" w:color="auto"/>
                        <w:right w:val="none" w:sz="0" w:space="0" w:color="auto"/>
                      </w:divBdr>
                    </w:div>
                  </w:divsChild>
                </w:div>
                <w:div w:id="697975912">
                  <w:marLeft w:val="0"/>
                  <w:marRight w:val="0"/>
                  <w:marTop w:val="0"/>
                  <w:marBottom w:val="0"/>
                  <w:divBdr>
                    <w:top w:val="none" w:sz="0" w:space="0" w:color="auto"/>
                    <w:left w:val="none" w:sz="0" w:space="0" w:color="auto"/>
                    <w:bottom w:val="none" w:sz="0" w:space="0" w:color="auto"/>
                    <w:right w:val="none" w:sz="0" w:space="0" w:color="auto"/>
                  </w:divBdr>
                  <w:divsChild>
                    <w:div w:id="1394890529">
                      <w:marLeft w:val="0"/>
                      <w:marRight w:val="0"/>
                      <w:marTop w:val="0"/>
                      <w:marBottom w:val="0"/>
                      <w:divBdr>
                        <w:top w:val="none" w:sz="0" w:space="0" w:color="auto"/>
                        <w:left w:val="none" w:sz="0" w:space="0" w:color="auto"/>
                        <w:bottom w:val="none" w:sz="0" w:space="0" w:color="auto"/>
                        <w:right w:val="none" w:sz="0" w:space="0" w:color="auto"/>
                      </w:divBdr>
                    </w:div>
                  </w:divsChild>
                </w:div>
                <w:div w:id="705788749">
                  <w:marLeft w:val="0"/>
                  <w:marRight w:val="0"/>
                  <w:marTop w:val="0"/>
                  <w:marBottom w:val="0"/>
                  <w:divBdr>
                    <w:top w:val="none" w:sz="0" w:space="0" w:color="auto"/>
                    <w:left w:val="none" w:sz="0" w:space="0" w:color="auto"/>
                    <w:bottom w:val="none" w:sz="0" w:space="0" w:color="auto"/>
                    <w:right w:val="none" w:sz="0" w:space="0" w:color="auto"/>
                  </w:divBdr>
                  <w:divsChild>
                    <w:div w:id="309865876">
                      <w:marLeft w:val="0"/>
                      <w:marRight w:val="0"/>
                      <w:marTop w:val="0"/>
                      <w:marBottom w:val="0"/>
                      <w:divBdr>
                        <w:top w:val="none" w:sz="0" w:space="0" w:color="auto"/>
                        <w:left w:val="none" w:sz="0" w:space="0" w:color="auto"/>
                        <w:bottom w:val="none" w:sz="0" w:space="0" w:color="auto"/>
                        <w:right w:val="none" w:sz="0" w:space="0" w:color="auto"/>
                      </w:divBdr>
                    </w:div>
                  </w:divsChild>
                </w:div>
                <w:div w:id="726298521">
                  <w:marLeft w:val="0"/>
                  <w:marRight w:val="0"/>
                  <w:marTop w:val="0"/>
                  <w:marBottom w:val="0"/>
                  <w:divBdr>
                    <w:top w:val="none" w:sz="0" w:space="0" w:color="auto"/>
                    <w:left w:val="none" w:sz="0" w:space="0" w:color="auto"/>
                    <w:bottom w:val="none" w:sz="0" w:space="0" w:color="auto"/>
                    <w:right w:val="none" w:sz="0" w:space="0" w:color="auto"/>
                  </w:divBdr>
                  <w:divsChild>
                    <w:div w:id="1797484843">
                      <w:marLeft w:val="0"/>
                      <w:marRight w:val="0"/>
                      <w:marTop w:val="0"/>
                      <w:marBottom w:val="0"/>
                      <w:divBdr>
                        <w:top w:val="none" w:sz="0" w:space="0" w:color="auto"/>
                        <w:left w:val="none" w:sz="0" w:space="0" w:color="auto"/>
                        <w:bottom w:val="none" w:sz="0" w:space="0" w:color="auto"/>
                        <w:right w:val="none" w:sz="0" w:space="0" w:color="auto"/>
                      </w:divBdr>
                    </w:div>
                  </w:divsChild>
                </w:div>
                <w:div w:id="731658667">
                  <w:marLeft w:val="0"/>
                  <w:marRight w:val="0"/>
                  <w:marTop w:val="0"/>
                  <w:marBottom w:val="0"/>
                  <w:divBdr>
                    <w:top w:val="none" w:sz="0" w:space="0" w:color="auto"/>
                    <w:left w:val="none" w:sz="0" w:space="0" w:color="auto"/>
                    <w:bottom w:val="none" w:sz="0" w:space="0" w:color="auto"/>
                    <w:right w:val="none" w:sz="0" w:space="0" w:color="auto"/>
                  </w:divBdr>
                  <w:divsChild>
                    <w:div w:id="1670522243">
                      <w:marLeft w:val="0"/>
                      <w:marRight w:val="0"/>
                      <w:marTop w:val="0"/>
                      <w:marBottom w:val="0"/>
                      <w:divBdr>
                        <w:top w:val="none" w:sz="0" w:space="0" w:color="auto"/>
                        <w:left w:val="none" w:sz="0" w:space="0" w:color="auto"/>
                        <w:bottom w:val="none" w:sz="0" w:space="0" w:color="auto"/>
                        <w:right w:val="none" w:sz="0" w:space="0" w:color="auto"/>
                      </w:divBdr>
                    </w:div>
                  </w:divsChild>
                </w:div>
                <w:div w:id="745495766">
                  <w:marLeft w:val="0"/>
                  <w:marRight w:val="0"/>
                  <w:marTop w:val="0"/>
                  <w:marBottom w:val="0"/>
                  <w:divBdr>
                    <w:top w:val="none" w:sz="0" w:space="0" w:color="auto"/>
                    <w:left w:val="none" w:sz="0" w:space="0" w:color="auto"/>
                    <w:bottom w:val="none" w:sz="0" w:space="0" w:color="auto"/>
                    <w:right w:val="none" w:sz="0" w:space="0" w:color="auto"/>
                  </w:divBdr>
                  <w:divsChild>
                    <w:div w:id="1683312937">
                      <w:marLeft w:val="0"/>
                      <w:marRight w:val="0"/>
                      <w:marTop w:val="0"/>
                      <w:marBottom w:val="0"/>
                      <w:divBdr>
                        <w:top w:val="none" w:sz="0" w:space="0" w:color="auto"/>
                        <w:left w:val="none" w:sz="0" w:space="0" w:color="auto"/>
                        <w:bottom w:val="none" w:sz="0" w:space="0" w:color="auto"/>
                        <w:right w:val="none" w:sz="0" w:space="0" w:color="auto"/>
                      </w:divBdr>
                    </w:div>
                  </w:divsChild>
                </w:div>
                <w:div w:id="745882674">
                  <w:marLeft w:val="0"/>
                  <w:marRight w:val="0"/>
                  <w:marTop w:val="0"/>
                  <w:marBottom w:val="0"/>
                  <w:divBdr>
                    <w:top w:val="none" w:sz="0" w:space="0" w:color="auto"/>
                    <w:left w:val="none" w:sz="0" w:space="0" w:color="auto"/>
                    <w:bottom w:val="none" w:sz="0" w:space="0" w:color="auto"/>
                    <w:right w:val="none" w:sz="0" w:space="0" w:color="auto"/>
                  </w:divBdr>
                  <w:divsChild>
                    <w:div w:id="48577251">
                      <w:marLeft w:val="0"/>
                      <w:marRight w:val="0"/>
                      <w:marTop w:val="0"/>
                      <w:marBottom w:val="0"/>
                      <w:divBdr>
                        <w:top w:val="none" w:sz="0" w:space="0" w:color="auto"/>
                        <w:left w:val="none" w:sz="0" w:space="0" w:color="auto"/>
                        <w:bottom w:val="none" w:sz="0" w:space="0" w:color="auto"/>
                        <w:right w:val="none" w:sz="0" w:space="0" w:color="auto"/>
                      </w:divBdr>
                    </w:div>
                  </w:divsChild>
                </w:div>
                <w:div w:id="768621457">
                  <w:marLeft w:val="0"/>
                  <w:marRight w:val="0"/>
                  <w:marTop w:val="0"/>
                  <w:marBottom w:val="0"/>
                  <w:divBdr>
                    <w:top w:val="none" w:sz="0" w:space="0" w:color="auto"/>
                    <w:left w:val="none" w:sz="0" w:space="0" w:color="auto"/>
                    <w:bottom w:val="none" w:sz="0" w:space="0" w:color="auto"/>
                    <w:right w:val="none" w:sz="0" w:space="0" w:color="auto"/>
                  </w:divBdr>
                  <w:divsChild>
                    <w:div w:id="1780372400">
                      <w:marLeft w:val="0"/>
                      <w:marRight w:val="0"/>
                      <w:marTop w:val="0"/>
                      <w:marBottom w:val="0"/>
                      <w:divBdr>
                        <w:top w:val="none" w:sz="0" w:space="0" w:color="auto"/>
                        <w:left w:val="none" w:sz="0" w:space="0" w:color="auto"/>
                        <w:bottom w:val="none" w:sz="0" w:space="0" w:color="auto"/>
                        <w:right w:val="none" w:sz="0" w:space="0" w:color="auto"/>
                      </w:divBdr>
                    </w:div>
                  </w:divsChild>
                </w:div>
                <w:div w:id="801772637">
                  <w:marLeft w:val="0"/>
                  <w:marRight w:val="0"/>
                  <w:marTop w:val="0"/>
                  <w:marBottom w:val="0"/>
                  <w:divBdr>
                    <w:top w:val="none" w:sz="0" w:space="0" w:color="auto"/>
                    <w:left w:val="none" w:sz="0" w:space="0" w:color="auto"/>
                    <w:bottom w:val="none" w:sz="0" w:space="0" w:color="auto"/>
                    <w:right w:val="none" w:sz="0" w:space="0" w:color="auto"/>
                  </w:divBdr>
                  <w:divsChild>
                    <w:div w:id="2031829054">
                      <w:marLeft w:val="0"/>
                      <w:marRight w:val="0"/>
                      <w:marTop w:val="0"/>
                      <w:marBottom w:val="0"/>
                      <w:divBdr>
                        <w:top w:val="none" w:sz="0" w:space="0" w:color="auto"/>
                        <w:left w:val="none" w:sz="0" w:space="0" w:color="auto"/>
                        <w:bottom w:val="none" w:sz="0" w:space="0" w:color="auto"/>
                        <w:right w:val="none" w:sz="0" w:space="0" w:color="auto"/>
                      </w:divBdr>
                    </w:div>
                  </w:divsChild>
                </w:div>
                <w:div w:id="822310940">
                  <w:marLeft w:val="0"/>
                  <w:marRight w:val="0"/>
                  <w:marTop w:val="0"/>
                  <w:marBottom w:val="0"/>
                  <w:divBdr>
                    <w:top w:val="none" w:sz="0" w:space="0" w:color="auto"/>
                    <w:left w:val="none" w:sz="0" w:space="0" w:color="auto"/>
                    <w:bottom w:val="none" w:sz="0" w:space="0" w:color="auto"/>
                    <w:right w:val="none" w:sz="0" w:space="0" w:color="auto"/>
                  </w:divBdr>
                  <w:divsChild>
                    <w:div w:id="863446186">
                      <w:marLeft w:val="0"/>
                      <w:marRight w:val="0"/>
                      <w:marTop w:val="0"/>
                      <w:marBottom w:val="0"/>
                      <w:divBdr>
                        <w:top w:val="none" w:sz="0" w:space="0" w:color="auto"/>
                        <w:left w:val="none" w:sz="0" w:space="0" w:color="auto"/>
                        <w:bottom w:val="none" w:sz="0" w:space="0" w:color="auto"/>
                        <w:right w:val="none" w:sz="0" w:space="0" w:color="auto"/>
                      </w:divBdr>
                    </w:div>
                  </w:divsChild>
                </w:div>
                <w:div w:id="822694355">
                  <w:marLeft w:val="0"/>
                  <w:marRight w:val="0"/>
                  <w:marTop w:val="0"/>
                  <w:marBottom w:val="0"/>
                  <w:divBdr>
                    <w:top w:val="none" w:sz="0" w:space="0" w:color="auto"/>
                    <w:left w:val="none" w:sz="0" w:space="0" w:color="auto"/>
                    <w:bottom w:val="none" w:sz="0" w:space="0" w:color="auto"/>
                    <w:right w:val="none" w:sz="0" w:space="0" w:color="auto"/>
                  </w:divBdr>
                  <w:divsChild>
                    <w:div w:id="1652979658">
                      <w:marLeft w:val="0"/>
                      <w:marRight w:val="0"/>
                      <w:marTop w:val="0"/>
                      <w:marBottom w:val="0"/>
                      <w:divBdr>
                        <w:top w:val="none" w:sz="0" w:space="0" w:color="auto"/>
                        <w:left w:val="none" w:sz="0" w:space="0" w:color="auto"/>
                        <w:bottom w:val="none" w:sz="0" w:space="0" w:color="auto"/>
                        <w:right w:val="none" w:sz="0" w:space="0" w:color="auto"/>
                      </w:divBdr>
                    </w:div>
                  </w:divsChild>
                </w:div>
                <w:div w:id="831145699">
                  <w:marLeft w:val="0"/>
                  <w:marRight w:val="0"/>
                  <w:marTop w:val="0"/>
                  <w:marBottom w:val="0"/>
                  <w:divBdr>
                    <w:top w:val="none" w:sz="0" w:space="0" w:color="auto"/>
                    <w:left w:val="none" w:sz="0" w:space="0" w:color="auto"/>
                    <w:bottom w:val="none" w:sz="0" w:space="0" w:color="auto"/>
                    <w:right w:val="none" w:sz="0" w:space="0" w:color="auto"/>
                  </w:divBdr>
                  <w:divsChild>
                    <w:div w:id="1810895307">
                      <w:marLeft w:val="0"/>
                      <w:marRight w:val="0"/>
                      <w:marTop w:val="0"/>
                      <w:marBottom w:val="0"/>
                      <w:divBdr>
                        <w:top w:val="none" w:sz="0" w:space="0" w:color="auto"/>
                        <w:left w:val="none" w:sz="0" w:space="0" w:color="auto"/>
                        <w:bottom w:val="none" w:sz="0" w:space="0" w:color="auto"/>
                        <w:right w:val="none" w:sz="0" w:space="0" w:color="auto"/>
                      </w:divBdr>
                    </w:div>
                  </w:divsChild>
                </w:div>
                <w:div w:id="907377650">
                  <w:marLeft w:val="0"/>
                  <w:marRight w:val="0"/>
                  <w:marTop w:val="0"/>
                  <w:marBottom w:val="0"/>
                  <w:divBdr>
                    <w:top w:val="none" w:sz="0" w:space="0" w:color="auto"/>
                    <w:left w:val="none" w:sz="0" w:space="0" w:color="auto"/>
                    <w:bottom w:val="none" w:sz="0" w:space="0" w:color="auto"/>
                    <w:right w:val="none" w:sz="0" w:space="0" w:color="auto"/>
                  </w:divBdr>
                  <w:divsChild>
                    <w:div w:id="1814954306">
                      <w:marLeft w:val="0"/>
                      <w:marRight w:val="0"/>
                      <w:marTop w:val="0"/>
                      <w:marBottom w:val="0"/>
                      <w:divBdr>
                        <w:top w:val="none" w:sz="0" w:space="0" w:color="auto"/>
                        <w:left w:val="none" w:sz="0" w:space="0" w:color="auto"/>
                        <w:bottom w:val="none" w:sz="0" w:space="0" w:color="auto"/>
                        <w:right w:val="none" w:sz="0" w:space="0" w:color="auto"/>
                      </w:divBdr>
                    </w:div>
                  </w:divsChild>
                </w:div>
                <w:div w:id="912548289">
                  <w:marLeft w:val="0"/>
                  <w:marRight w:val="0"/>
                  <w:marTop w:val="0"/>
                  <w:marBottom w:val="0"/>
                  <w:divBdr>
                    <w:top w:val="none" w:sz="0" w:space="0" w:color="auto"/>
                    <w:left w:val="none" w:sz="0" w:space="0" w:color="auto"/>
                    <w:bottom w:val="none" w:sz="0" w:space="0" w:color="auto"/>
                    <w:right w:val="none" w:sz="0" w:space="0" w:color="auto"/>
                  </w:divBdr>
                  <w:divsChild>
                    <w:div w:id="999575385">
                      <w:marLeft w:val="0"/>
                      <w:marRight w:val="0"/>
                      <w:marTop w:val="0"/>
                      <w:marBottom w:val="0"/>
                      <w:divBdr>
                        <w:top w:val="none" w:sz="0" w:space="0" w:color="auto"/>
                        <w:left w:val="none" w:sz="0" w:space="0" w:color="auto"/>
                        <w:bottom w:val="none" w:sz="0" w:space="0" w:color="auto"/>
                        <w:right w:val="none" w:sz="0" w:space="0" w:color="auto"/>
                      </w:divBdr>
                    </w:div>
                  </w:divsChild>
                </w:div>
                <w:div w:id="919212774">
                  <w:marLeft w:val="0"/>
                  <w:marRight w:val="0"/>
                  <w:marTop w:val="0"/>
                  <w:marBottom w:val="0"/>
                  <w:divBdr>
                    <w:top w:val="none" w:sz="0" w:space="0" w:color="auto"/>
                    <w:left w:val="none" w:sz="0" w:space="0" w:color="auto"/>
                    <w:bottom w:val="none" w:sz="0" w:space="0" w:color="auto"/>
                    <w:right w:val="none" w:sz="0" w:space="0" w:color="auto"/>
                  </w:divBdr>
                  <w:divsChild>
                    <w:div w:id="815299844">
                      <w:marLeft w:val="0"/>
                      <w:marRight w:val="0"/>
                      <w:marTop w:val="0"/>
                      <w:marBottom w:val="0"/>
                      <w:divBdr>
                        <w:top w:val="none" w:sz="0" w:space="0" w:color="auto"/>
                        <w:left w:val="none" w:sz="0" w:space="0" w:color="auto"/>
                        <w:bottom w:val="none" w:sz="0" w:space="0" w:color="auto"/>
                        <w:right w:val="none" w:sz="0" w:space="0" w:color="auto"/>
                      </w:divBdr>
                    </w:div>
                  </w:divsChild>
                </w:div>
                <w:div w:id="953832183">
                  <w:marLeft w:val="0"/>
                  <w:marRight w:val="0"/>
                  <w:marTop w:val="0"/>
                  <w:marBottom w:val="0"/>
                  <w:divBdr>
                    <w:top w:val="none" w:sz="0" w:space="0" w:color="auto"/>
                    <w:left w:val="none" w:sz="0" w:space="0" w:color="auto"/>
                    <w:bottom w:val="none" w:sz="0" w:space="0" w:color="auto"/>
                    <w:right w:val="none" w:sz="0" w:space="0" w:color="auto"/>
                  </w:divBdr>
                  <w:divsChild>
                    <w:div w:id="1092749778">
                      <w:marLeft w:val="0"/>
                      <w:marRight w:val="0"/>
                      <w:marTop w:val="0"/>
                      <w:marBottom w:val="0"/>
                      <w:divBdr>
                        <w:top w:val="none" w:sz="0" w:space="0" w:color="auto"/>
                        <w:left w:val="none" w:sz="0" w:space="0" w:color="auto"/>
                        <w:bottom w:val="none" w:sz="0" w:space="0" w:color="auto"/>
                        <w:right w:val="none" w:sz="0" w:space="0" w:color="auto"/>
                      </w:divBdr>
                    </w:div>
                  </w:divsChild>
                </w:div>
                <w:div w:id="955522784">
                  <w:marLeft w:val="0"/>
                  <w:marRight w:val="0"/>
                  <w:marTop w:val="0"/>
                  <w:marBottom w:val="0"/>
                  <w:divBdr>
                    <w:top w:val="none" w:sz="0" w:space="0" w:color="auto"/>
                    <w:left w:val="none" w:sz="0" w:space="0" w:color="auto"/>
                    <w:bottom w:val="none" w:sz="0" w:space="0" w:color="auto"/>
                    <w:right w:val="none" w:sz="0" w:space="0" w:color="auto"/>
                  </w:divBdr>
                  <w:divsChild>
                    <w:div w:id="2016111788">
                      <w:marLeft w:val="0"/>
                      <w:marRight w:val="0"/>
                      <w:marTop w:val="0"/>
                      <w:marBottom w:val="0"/>
                      <w:divBdr>
                        <w:top w:val="none" w:sz="0" w:space="0" w:color="auto"/>
                        <w:left w:val="none" w:sz="0" w:space="0" w:color="auto"/>
                        <w:bottom w:val="none" w:sz="0" w:space="0" w:color="auto"/>
                        <w:right w:val="none" w:sz="0" w:space="0" w:color="auto"/>
                      </w:divBdr>
                    </w:div>
                  </w:divsChild>
                </w:div>
                <w:div w:id="992566340">
                  <w:marLeft w:val="0"/>
                  <w:marRight w:val="0"/>
                  <w:marTop w:val="0"/>
                  <w:marBottom w:val="0"/>
                  <w:divBdr>
                    <w:top w:val="none" w:sz="0" w:space="0" w:color="auto"/>
                    <w:left w:val="none" w:sz="0" w:space="0" w:color="auto"/>
                    <w:bottom w:val="none" w:sz="0" w:space="0" w:color="auto"/>
                    <w:right w:val="none" w:sz="0" w:space="0" w:color="auto"/>
                  </w:divBdr>
                  <w:divsChild>
                    <w:div w:id="192891741">
                      <w:marLeft w:val="0"/>
                      <w:marRight w:val="0"/>
                      <w:marTop w:val="0"/>
                      <w:marBottom w:val="0"/>
                      <w:divBdr>
                        <w:top w:val="none" w:sz="0" w:space="0" w:color="auto"/>
                        <w:left w:val="none" w:sz="0" w:space="0" w:color="auto"/>
                        <w:bottom w:val="none" w:sz="0" w:space="0" w:color="auto"/>
                        <w:right w:val="none" w:sz="0" w:space="0" w:color="auto"/>
                      </w:divBdr>
                    </w:div>
                  </w:divsChild>
                </w:div>
                <w:div w:id="994408646">
                  <w:marLeft w:val="0"/>
                  <w:marRight w:val="0"/>
                  <w:marTop w:val="0"/>
                  <w:marBottom w:val="0"/>
                  <w:divBdr>
                    <w:top w:val="none" w:sz="0" w:space="0" w:color="auto"/>
                    <w:left w:val="none" w:sz="0" w:space="0" w:color="auto"/>
                    <w:bottom w:val="none" w:sz="0" w:space="0" w:color="auto"/>
                    <w:right w:val="none" w:sz="0" w:space="0" w:color="auto"/>
                  </w:divBdr>
                  <w:divsChild>
                    <w:div w:id="69231614">
                      <w:marLeft w:val="0"/>
                      <w:marRight w:val="0"/>
                      <w:marTop w:val="0"/>
                      <w:marBottom w:val="0"/>
                      <w:divBdr>
                        <w:top w:val="none" w:sz="0" w:space="0" w:color="auto"/>
                        <w:left w:val="none" w:sz="0" w:space="0" w:color="auto"/>
                        <w:bottom w:val="none" w:sz="0" w:space="0" w:color="auto"/>
                        <w:right w:val="none" w:sz="0" w:space="0" w:color="auto"/>
                      </w:divBdr>
                    </w:div>
                  </w:divsChild>
                </w:div>
                <w:div w:id="1014966136">
                  <w:marLeft w:val="0"/>
                  <w:marRight w:val="0"/>
                  <w:marTop w:val="0"/>
                  <w:marBottom w:val="0"/>
                  <w:divBdr>
                    <w:top w:val="none" w:sz="0" w:space="0" w:color="auto"/>
                    <w:left w:val="none" w:sz="0" w:space="0" w:color="auto"/>
                    <w:bottom w:val="none" w:sz="0" w:space="0" w:color="auto"/>
                    <w:right w:val="none" w:sz="0" w:space="0" w:color="auto"/>
                  </w:divBdr>
                  <w:divsChild>
                    <w:div w:id="975574643">
                      <w:marLeft w:val="0"/>
                      <w:marRight w:val="0"/>
                      <w:marTop w:val="0"/>
                      <w:marBottom w:val="0"/>
                      <w:divBdr>
                        <w:top w:val="none" w:sz="0" w:space="0" w:color="auto"/>
                        <w:left w:val="none" w:sz="0" w:space="0" w:color="auto"/>
                        <w:bottom w:val="none" w:sz="0" w:space="0" w:color="auto"/>
                        <w:right w:val="none" w:sz="0" w:space="0" w:color="auto"/>
                      </w:divBdr>
                    </w:div>
                  </w:divsChild>
                </w:div>
                <w:div w:id="1018237815">
                  <w:marLeft w:val="0"/>
                  <w:marRight w:val="0"/>
                  <w:marTop w:val="0"/>
                  <w:marBottom w:val="0"/>
                  <w:divBdr>
                    <w:top w:val="none" w:sz="0" w:space="0" w:color="auto"/>
                    <w:left w:val="none" w:sz="0" w:space="0" w:color="auto"/>
                    <w:bottom w:val="none" w:sz="0" w:space="0" w:color="auto"/>
                    <w:right w:val="none" w:sz="0" w:space="0" w:color="auto"/>
                  </w:divBdr>
                  <w:divsChild>
                    <w:div w:id="1436629678">
                      <w:marLeft w:val="0"/>
                      <w:marRight w:val="0"/>
                      <w:marTop w:val="0"/>
                      <w:marBottom w:val="0"/>
                      <w:divBdr>
                        <w:top w:val="none" w:sz="0" w:space="0" w:color="auto"/>
                        <w:left w:val="none" w:sz="0" w:space="0" w:color="auto"/>
                        <w:bottom w:val="none" w:sz="0" w:space="0" w:color="auto"/>
                        <w:right w:val="none" w:sz="0" w:space="0" w:color="auto"/>
                      </w:divBdr>
                    </w:div>
                  </w:divsChild>
                </w:div>
                <w:div w:id="1025906998">
                  <w:marLeft w:val="0"/>
                  <w:marRight w:val="0"/>
                  <w:marTop w:val="0"/>
                  <w:marBottom w:val="0"/>
                  <w:divBdr>
                    <w:top w:val="none" w:sz="0" w:space="0" w:color="auto"/>
                    <w:left w:val="none" w:sz="0" w:space="0" w:color="auto"/>
                    <w:bottom w:val="none" w:sz="0" w:space="0" w:color="auto"/>
                    <w:right w:val="none" w:sz="0" w:space="0" w:color="auto"/>
                  </w:divBdr>
                  <w:divsChild>
                    <w:div w:id="1783843723">
                      <w:marLeft w:val="0"/>
                      <w:marRight w:val="0"/>
                      <w:marTop w:val="0"/>
                      <w:marBottom w:val="0"/>
                      <w:divBdr>
                        <w:top w:val="none" w:sz="0" w:space="0" w:color="auto"/>
                        <w:left w:val="none" w:sz="0" w:space="0" w:color="auto"/>
                        <w:bottom w:val="none" w:sz="0" w:space="0" w:color="auto"/>
                        <w:right w:val="none" w:sz="0" w:space="0" w:color="auto"/>
                      </w:divBdr>
                    </w:div>
                  </w:divsChild>
                </w:div>
                <w:div w:id="1030106110">
                  <w:marLeft w:val="0"/>
                  <w:marRight w:val="0"/>
                  <w:marTop w:val="0"/>
                  <w:marBottom w:val="0"/>
                  <w:divBdr>
                    <w:top w:val="none" w:sz="0" w:space="0" w:color="auto"/>
                    <w:left w:val="none" w:sz="0" w:space="0" w:color="auto"/>
                    <w:bottom w:val="none" w:sz="0" w:space="0" w:color="auto"/>
                    <w:right w:val="none" w:sz="0" w:space="0" w:color="auto"/>
                  </w:divBdr>
                  <w:divsChild>
                    <w:div w:id="1003321567">
                      <w:marLeft w:val="0"/>
                      <w:marRight w:val="0"/>
                      <w:marTop w:val="0"/>
                      <w:marBottom w:val="0"/>
                      <w:divBdr>
                        <w:top w:val="none" w:sz="0" w:space="0" w:color="auto"/>
                        <w:left w:val="none" w:sz="0" w:space="0" w:color="auto"/>
                        <w:bottom w:val="none" w:sz="0" w:space="0" w:color="auto"/>
                        <w:right w:val="none" w:sz="0" w:space="0" w:color="auto"/>
                      </w:divBdr>
                    </w:div>
                  </w:divsChild>
                </w:div>
                <w:div w:id="1059279515">
                  <w:marLeft w:val="0"/>
                  <w:marRight w:val="0"/>
                  <w:marTop w:val="0"/>
                  <w:marBottom w:val="0"/>
                  <w:divBdr>
                    <w:top w:val="none" w:sz="0" w:space="0" w:color="auto"/>
                    <w:left w:val="none" w:sz="0" w:space="0" w:color="auto"/>
                    <w:bottom w:val="none" w:sz="0" w:space="0" w:color="auto"/>
                    <w:right w:val="none" w:sz="0" w:space="0" w:color="auto"/>
                  </w:divBdr>
                  <w:divsChild>
                    <w:div w:id="102196092">
                      <w:marLeft w:val="0"/>
                      <w:marRight w:val="0"/>
                      <w:marTop w:val="0"/>
                      <w:marBottom w:val="0"/>
                      <w:divBdr>
                        <w:top w:val="none" w:sz="0" w:space="0" w:color="auto"/>
                        <w:left w:val="none" w:sz="0" w:space="0" w:color="auto"/>
                        <w:bottom w:val="none" w:sz="0" w:space="0" w:color="auto"/>
                        <w:right w:val="none" w:sz="0" w:space="0" w:color="auto"/>
                      </w:divBdr>
                    </w:div>
                  </w:divsChild>
                </w:div>
                <w:div w:id="1083573522">
                  <w:marLeft w:val="0"/>
                  <w:marRight w:val="0"/>
                  <w:marTop w:val="0"/>
                  <w:marBottom w:val="0"/>
                  <w:divBdr>
                    <w:top w:val="none" w:sz="0" w:space="0" w:color="auto"/>
                    <w:left w:val="none" w:sz="0" w:space="0" w:color="auto"/>
                    <w:bottom w:val="none" w:sz="0" w:space="0" w:color="auto"/>
                    <w:right w:val="none" w:sz="0" w:space="0" w:color="auto"/>
                  </w:divBdr>
                  <w:divsChild>
                    <w:div w:id="1387995814">
                      <w:marLeft w:val="0"/>
                      <w:marRight w:val="0"/>
                      <w:marTop w:val="0"/>
                      <w:marBottom w:val="0"/>
                      <w:divBdr>
                        <w:top w:val="none" w:sz="0" w:space="0" w:color="auto"/>
                        <w:left w:val="none" w:sz="0" w:space="0" w:color="auto"/>
                        <w:bottom w:val="none" w:sz="0" w:space="0" w:color="auto"/>
                        <w:right w:val="none" w:sz="0" w:space="0" w:color="auto"/>
                      </w:divBdr>
                    </w:div>
                  </w:divsChild>
                </w:div>
                <w:div w:id="1085613042">
                  <w:marLeft w:val="0"/>
                  <w:marRight w:val="0"/>
                  <w:marTop w:val="0"/>
                  <w:marBottom w:val="0"/>
                  <w:divBdr>
                    <w:top w:val="none" w:sz="0" w:space="0" w:color="auto"/>
                    <w:left w:val="none" w:sz="0" w:space="0" w:color="auto"/>
                    <w:bottom w:val="none" w:sz="0" w:space="0" w:color="auto"/>
                    <w:right w:val="none" w:sz="0" w:space="0" w:color="auto"/>
                  </w:divBdr>
                  <w:divsChild>
                    <w:div w:id="1203127442">
                      <w:marLeft w:val="0"/>
                      <w:marRight w:val="0"/>
                      <w:marTop w:val="0"/>
                      <w:marBottom w:val="0"/>
                      <w:divBdr>
                        <w:top w:val="none" w:sz="0" w:space="0" w:color="auto"/>
                        <w:left w:val="none" w:sz="0" w:space="0" w:color="auto"/>
                        <w:bottom w:val="none" w:sz="0" w:space="0" w:color="auto"/>
                        <w:right w:val="none" w:sz="0" w:space="0" w:color="auto"/>
                      </w:divBdr>
                    </w:div>
                  </w:divsChild>
                </w:div>
                <w:div w:id="1100182380">
                  <w:marLeft w:val="0"/>
                  <w:marRight w:val="0"/>
                  <w:marTop w:val="0"/>
                  <w:marBottom w:val="0"/>
                  <w:divBdr>
                    <w:top w:val="none" w:sz="0" w:space="0" w:color="auto"/>
                    <w:left w:val="none" w:sz="0" w:space="0" w:color="auto"/>
                    <w:bottom w:val="none" w:sz="0" w:space="0" w:color="auto"/>
                    <w:right w:val="none" w:sz="0" w:space="0" w:color="auto"/>
                  </w:divBdr>
                  <w:divsChild>
                    <w:div w:id="1026903844">
                      <w:marLeft w:val="0"/>
                      <w:marRight w:val="0"/>
                      <w:marTop w:val="0"/>
                      <w:marBottom w:val="0"/>
                      <w:divBdr>
                        <w:top w:val="none" w:sz="0" w:space="0" w:color="auto"/>
                        <w:left w:val="none" w:sz="0" w:space="0" w:color="auto"/>
                        <w:bottom w:val="none" w:sz="0" w:space="0" w:color="auto"/>
                        <w:right w:val="none" w:sz="0" w:space="0" w:color="auto"/>
                      </w:divBdr>
                    </w:div>
                  </w:divsChild>
                </w:div>
                <w:div w:id="1103114942">
                  <w:marLeft w:val="0"/>
                  <w:marRight w:val="0"/>
                  <w:marTop w:val="0"/>
                  <w:marBottom w:val="0"/>
                  <w:divBdr>
                    <w:top w:val="none" w:sz="0" w:space="0" w:color="auto"/>
                    <w:left w:val="none" w:sz="0" w:space="0" w:color="auto"/>
                    <w:bottom w:val="none" w:sz="0" w:space="0" w:color="auto"/>
                    <w:right w:val="none" w:sz="0" w:space="0" w:color="auto"/>
                  </w:divBdr>
                  <w:divsChild>
                    <w:div w:id="608393210">
                      <w:marLeft w:val="0"/>
                      <w:marRight w:val="0"/>
                      <w:marTop w:val="0"/>
                      <w:marBottom w:val="0"/>
                      <w:divBdr>
                        <w:top w:val="none" w:sz="0" w:space="0" w:color="auto"/>
                        <w:left w:val="none" w:sz="0" w:space="0" w:color="auto"/>
                        <w:bottom w:val="none" w:sz="0" w:space="0" w:color="auto"/>
                        <w:right w:val="none" w:sz="0" w:space="0" w:color="auto"/>
                      </w:divBdr>
                    </w:div>
                  </w:divsChild>
                </w:div>
                <w:div w:id="1107313900">
                  <w:marLeft w:val="0"/>
                  <w:marRight w:val="0"/>
                  <w:marTop w:val="0"/>
                  <w:marBottom w:val="0"/>
                  <w:divBdr>
                    <w:top w:val="none" w:sz="0" w:space="0" w:color="auto"/>
                    <w:left w:val="none" w:sz="0" w:space="0" w:color="auto"/>
                    <w:bottom w:val="none" w:sz="0" w:space="0" w:color="auto"/>
                    <w:right w:val="none" w:sz="0" w:space="0" w:color="auto"/>
                  </w:divBdr>
                  <w:divsChild>
                    <w:div w:id="28918737">
                      <w:marLeft w:val="0"/>
                      <w:marRight w:val="0"/>
                      <w:marTop w:val="0"/>
                      <w:marBottom w:val="0"/>
                      <w:divBdr>
                        <w:top w:val="none" w:sz="0" w:space="0" w:color="auto"/>
                        <w:left w:val="none" w:sz="0" w:space="0" w:color="auto"/>
                        <w:bottom w:val="none" w:sz="0" w:space="0" w:color="auto"/>
                        <w:right w:val="none" w:sz="0" w:space="0" w:color="auto"/>
                      </w:divBdr>
                    </w:div>
                  </w:divsChild>
                </w:div>
                <w:div w:id="1122729740">
                  <w:marLeft w:val="0"/>
                  <w:marRight w:val="0"/>
                  <w:marTop w:val="0"/>
                  <w:marBottom w:val="0"/>
                  <w:divBdr>
                    <w:top w:val="none" w:sz="0" w:space="0" w:color="auto"/>
                    <w:left w:val="none" w:sz="0" w:space="0" w:color="auto"/>
                    <w:bottom w:val="none" w:sz="0" w:space="0" w:color="auto"/>
                    <w:right w:val="none" w:sz="0" w:space="0" w:color="auto"/>
                  </w:divBdr>
                  <w:divsChild>
                    <w:div w:id="1419402932">
                      <w:marLeft w:val="0"/>
                      <w:marRight w:val="0"/>
                      <w:marTop w:val="0"/>
                      <w:marBottom w:val="0"/>
                      <w:divBdr>
                        <w:top w:val="none" w:sz="0" w:space="0" w:color="auto"/>
                        <w:left w:val="none" w:sz="0" w:space="0" w:color="auto"/>
                        <w:bottom w:val="none" w:sz="0" w:space="0" w:color="auto"/>
                        <w:right w:val="none" w:sz="0" w:space="0" w:color="auto"/>
                      </w:divBdr>
                    </w:div>
                  </w:divsChild>
                </w:div>
                <w:div w:id="1122959765">
                  <w:marLeft w:val="0"/>
                  <w:marRight w:val="0"/>
                  <w:marTop w:val="0"/>
                  <w:marBottom w:val="0"/>
                  <w:divBdr>
                    <w:top w:val="none" w:sz="0" w:space="0" w:color="auto"/>
                    <w:left w:val="none" w:sz="0" w:space="0" w:color="auto"/>
                    <w:bottom w:val="none" w:sz="0" w:space="0" w:color="auto"/>
                    <w:right w:val="none" w:sz="0" w:space="0" w:color="auto"/>
                  </w:divBdr>
                  <w:divsChild>
                    <w:div w:id="1421413215">
                      <w:marLeft w:val="0"/>
                      <w:marRight w:val="0"/>
                      <w:marTop w:val="0"/>
                      <w:marBottom w:val="0"/>
                      <w:divBdr>
                        <w:top w:val="none" w:sz="0" w:space="0" w:color="auto"/>
                        <w:left w:val="none" w:sz="0" w:space="0" w:color="auto"/>
                        <w:bottom w:val="none" w:sz="0" w:space="0" w:color="auto"/>
                        <w:right w:val="none" w:sz="0" w:space="0" w:color="auto"/>
                      </w:divBdr>
                    </w:div>
                  </w:divsChild>
                </w:div>
                <w:div w:id="1126394653">
                  <w:marLeft w:val="0"/>
                  <w:marRight w:val="0"/>
                  <w:marTop w:val="0"/>
                  <w:marBottom w:val="0"/>
                  <w:divBdr>
                    <w:top w:val="none" w:sz="0" w:space="0" w:color="auto"/>
                    <w:left w:val="none" w:sz="0" w:space="0" w:color="auto"/>
                    <w:bottom w:val="none" w:sz="0" w:space="0" w:color="auto"/>
                    <w:right w:val="none" w:sz="0" w:space="0" w:color="auto"/>
                  </w:divBdr>
                  <w:divsChild>
                    <w:div w:id="2114203059">
                      <w:marLeft w:val="0"/>
                      <w:marRight w:val="0"/>
                      <w:marTop w:val="0"/>
                      <w:marBottom w:val="0"/>
                      <w:divBdr>
                        <w:top w:val="none" w:sz="0" w:space="0" w:color="auto"/>
                        <w:left w:val="none" w:sz="0" w:space="0" w:color="auto"/>
                        <w:bottom w:val="none" w:sz="0" w:space="0" w:color="auto"/>
                        <w:right w:val="none" w:sz="0" w:space="0" w:color="auto"/>
                      </w:divBdr>
                    </w:div>
                  </w:divsChild>
                </w:div>
                <w:div w:id="1134907331">
                  <w:marLeft w:val="0"/>
                  <w:marRight w:val="0"/>
                  <w:marTop w:val="0"/>
                  <w:marBottom w:val="0"/>
                  <w:divBdr>
                    <w:top w:val="none" w:sz="0" w:space="0" w:color="auto"/>
                    <w:left w:val="none" w:sz="0" w:space="0" w:color="auto"/>
                    <w:bottom w:val="none" w:sz="0" w:space="0" w:color="auto"/>
                    <w:right w:val="none" w:sz="0" w:space="0" w:color="auto"/>
                  </w:divBdr>
                  <w:divsChild>
                    <w:div w:id="180097677">
                      <w:marLeft w:val="0"/>
                      <w:marRight w:val="0"/>
                      <w:marTop w:val="0"/>
                      <w:marBottom w:val="0"/>
                      <w:divBdr>
                        <w:top w:val="none" w:sz="0" w:space="0" w:color="auto"/>
                        <w:left w:val="none" w:sz="0" w:space="0" w:color="auto"/>
                        <w:bottom w:val="none" w:sz="0" w:space="0" w:color="auto"/>
                        <w:right w:val="none" w:sz="0" w:space="0" w:color="auto"/>
                      </w:divBdr>
                    </w:div>
                  </w:divsChild>
                </w:div>
                <w:div w:id="1142884635">
                  <w:marLeft w:val="0"/>
                  <w:marRight w:val="0"/>
                  <w:marTop w:val="0"/>
                  <w:marBottom w:val="0"/>
                  <w:divBdr>
                    <w:top w:val="none" w:sz="0" w:space="0" w:color="auto"/>
                    <w:left w:val="none" w:sz="0" w:space="0" w:color="auto"/>
                    <w:bottom w:val="none" w:sz="0" w:space="0" w:color="auto"/>
                    <w:right w:val="none" w:sz="0" w:space="0" w:color="auto"/>
                  </w:divBdr>
                  <w:divsChild>
                    <w:div w:id="1878657316">
                      <w:marLeft w:val="0"/>
                      <w:marRight w:val="0"/>
                      <w:marTop w:val="0"/>
                      <w:marBottom w:val="0"/>
                      <w:divBdr>
                        <w:top w:val="none" w:sz="0" w:space="0" w:color="auto"/>
                        <w:left w:val="none" w:sz="0" w:space="0" w:color="auto"/>
                        <w:bottom w:val="none" w:sz="0" w:space="0" w:color="auto"/>
                        <w:right w:val="none" w:sz="0" w:space="0" w:color="auto"/>
                      </w:divBdr>
                    </w:div>
                  </w:divsChild>
                </w:div>
                <w:div w:id="1146823416">
                  <w:marLeft w:val="0"/>
                  <w:marRight w:val="0"/>
                  <w:marTop w:val="0"/>
                  <w:marBottom w:val="0"/>
                  <w:divBdr>
                    <w:top w:val="none" w:sz="0" w:space="0" w:color="auto"/>
                    <w:left w:val="none" w:sz="0" w:space="0" w:color="auto"/>
                    <w:bottom w:val="none" w:sz="0" w:space="0" w:color="auto"/>
                    <w:right w:val="none" w:sz="0" w:space="0" w:color="auto"/>
                  </w:divBdr>
                  <w:divsChild>
                    <w:div w:id="358236750">
                      <w:marLeft w:val="0"/>
                      <w:marRight w:val="0"/>
                      <w:marTop w:val="0"/>
                      <w:marBottom w:val="0"/>
                      <w:divBdr>
                        <w:top w:val="none" w:sz="0" w:space="0" w:color="auto"/>
                        <w:left w:val="none" w:sz="0" w:space="0" w:color="auto"/>
                        <w:bottom w:val="none" w:sz="0" w:space="0" w:color="auto"/>
                        <w:right w:val="none" w:sz="0" w:space="0" w:color="auto"/>
                      </w:divBdr>
                    </w:div>
                  </w:divsChild>
                </w:div>
                <w:div w:id="1154031882">
                  <w:marLeft w:val="0"/>
                  <w:marRight w:val="0"/>
                  <w:marTop w:val="0"/>
                  <w:marBottom w:val="0"/>
                  <w:divBdr>
                    <w:top w:val="none" w:sz="0" w:space="0" w:color="auto"/>
                    <w:left w:val="none" w:sz="0" w:space="0" w:color="auto"/>
                    <w:bottom w:val="none" w:sz="0" w:space="0" w:color="auto"/>
                    <w:right w:val="none" w:sz="0" w:space="0" w:color="auto"/>
                  </w:divBdr>
                  <w:divsChild>
                    <w:div w:id="2023358686">
                      <w:marLeft w:val="0"/>
                      <w:marRight w:val="0"/>
                      <w:marTop w:val="0"/>
                      <w:marBottom w:val="0"/>
                      <w:divBdr>
                        <w:top w:val="none" w:sz="0" w:space="0" w:color="auto"/>
                        <w:left w:val="none" w:sz="0" w:space="0" w:color="auto"/>
                        <w:bottom w:val="none" w:sz="0" w:space="0" w:color="auto"/>
                        <w:right w:val="none" w:sz="0" w:space="0" w:color="auto"/>
                      </w:divBdr>
                    </w:div>
                  </w:divsChild>
                </w:div>
                <w:div w:id="1156533587">
                  <w:marLeft w:val="0"/>
                  <w:marRight w:val="0"/>
                  <w:marTop w:val="0"/>
                  <w:marBottom w:val="0"/>
                  <w:divBdr>
                    <w:top w:val="none" w:sz="0" w:space="0" w:color="auto"/>
                    <w:left w:val="none" w:sz="0" w:space="0" w:color="auto"/>
                    <w:bottom w:val="none" w:sz="0" w:space="0" w:color="auto"/>
                    <w:right w:val="none" w:sz="0" w:space="0" w:color="auto"/>
                  </w:divBdr>
                  <w:divsChild>
                    <w:div w:id="136799528">
                      <w:marLeft w:val="0"/>
                      <w:marRight w:val="0"/>
                      <w:marTop w:val="0"/>
                      <w:marBottom w:val="0"/>
                      <w:divBdr>
                        <w:top w:val="none" w:sz="0" w:space="0" w:color="auto"/>
                        <w:left w:val="none" w:sz="0" w:space="0" w:color="auto"/>
                        <w:bottom w:val="none" w:sz="0" w:space="0" w:color="auto"/>
                        <w:right w:val="none" w:sz="0" w:space="0" w:color="auto"/>
                      </w:divBdr>
                    </w:div>
                  </w:divsChild>
                </w:div>
                <w:div w:id="1162046564">
                  <w:marLeft w:val="0"/>
                  <w:marRight w:val="0"/>
                  <w:marTop w:val="0"/>
                  <w:marBottom w:val="0"/>
                  <w:divBdr>
                    <w:top w:val="none" w:sz="0" w:space="0" w:color="auto"/>
                    <w:left w:val="none" w:sz="0" w:space="0" w:color="auto"/>
                    <w:bottom w:val="none" w:sz="0" w:space="0" w:color="auto"/>
                    <w:right w:val="none" w:sz="0" w:space="0" w:color="auto"/>
                  </w:divBdr>
                  <w:divsChild>
                    <w:div w:id="716008614">
                      <w:marLeft w:val="0"/>
                      <w:marRight w:val="0"/>
                      <w:marTop w:val="0"/>
                      <w:marBottom w:val="0"/>
                      <w:divBdr>
                        <w:top w:val="none" w:sz="0" w:space="0" w:color="auto"/>
                        <w:left w:val="none" w:sz="0" w:space="0" w:color="auto"/>
                        <w:bottom w:val="none" w:sz="0" w:space="0" w:color="auto"/>
                        <w:right w:val="none" w:sz="0" w:space="0" w:color="auto"/>
                      </w:divBdr>
                    </w:div>
                  </w:divsChild>
                </w:div>
                <w:div w:id="1172453757">
                  <w:marLeft w:val="0"/>
                  <w:marRight w:val="0"/>
                  <w:marTop w:val="0"/>
                  <w:marBottom w:val="0"/>
                  <w:divBdr>
                    <w:top w:val="none" w:sz="0" w:space="0" w:color="auto"/>
                    <w:left w:val="none" w:sz="0" w:space="0" w:color="auto"/>
                    <w:bottom w:val="none" w:sz="0" w:space="0" w:color="auto"/>
                    <w:right w:val="none" w:sz="0" w:space="0" w:color="auto"/>
                  </w:divBdr>
                  <w:divsChild>
                    <w:div w:id="644699644">
                      <w:marLeft w:val="0"/>
                      <w:marRight w:val="0"/>
                      <w:marTop w:val="0"/>
                      <w:marBottom w:val="0"/>
                      <w:divBdr>
                        <w:top w:val="none" w:sz="0" w:space="0" w:color="auto"/>
                        <w:left w:val="none" w:sz="0" w:space="0" w:color="auto"/>
                        <w:bottom w:val="none" w:sz="0" w:space="0" w:color="auto"/>
                        <w:right w:val="none" w:sz="0" w:space="0" w:color="auto"/>
                      </w:divBdr>
                    </w:div>
                  </w:divsChild>
                </w:div>
                <w:div w:id="1209296647">
                  <w:marLeft w:val="0"/>
                  <w:marRight w:val="0"/>
                  <w:marTop w:val="0"/>
                  <w:marBottom w:val="0"/>
                  <w:divBdr>
                    <w:top w:val="none" w:sz="0" w:space="0" w:color="auto"/>
                    <w:left w:val="none" w:sz="0" w:space="0" w:color="auto"/>
                    <w:bottom w:val="none" w:sz="0" w:space="0" w:color="auto"/>
                    <w:right w:val="none" w:sz="0" w:space="0" w:color="auto"/>
                  </w:divBdr>
                  <w:divsChild>
                    <w:div w:id="1892495495">
                      <w:marLeft w:val="0"/>
                      <w:marRight w:val="0"/>
                      <w:marTop w:val="0"/>
                      <w:marBottom w:val="0"/>
                      <w:divBdr>
                        <w:top w:val="none" w:sz="0" w:space="0" w:color="auto"/>
                        <w:left w:val="none" w:sz="0" w:space="0" w:color="auto"/>
                        <w:bottom w:val="none" w:sz="0" w:space="0" w:color="auto"/>
                        <w:right w:val="none" w:sz="0" w:space="0" w:color="auto"/>
                      </w:divBdr>
                    </w:div>
                  </w:divsChild>
                </w:div>
                <w:div w:id="1211764031">
                  <w:marLeft w:val="0"/>
                  <w:marRight w:val="0"/>
                  <w:marTop w:val="0"/>
                  <w:marBottom w:val="0"/>
                  <w:divBdr>
                    <w:top w:val="none" w:sz="0" w:space="0" w:color="auto"/>
                    <w:left w:val="none" w:sz="0" w:space="0" w:color="auto"/>
                    <w:bottom w:val="none" w:sz="0" w:space="0" w:color="auto"/>
                    <w:right w:val="none" w:sz="0" w:space="0" w:color="auto"/>
                  </w:divBdr>
                  <w:divsChild>
                    <w:div w:id="221256040">
                      <w:marLeft w:val="0"/>
                      <w:marRight w:val="0"/>
                      <w:marTop w:val="0"/>
                      <w:marBottom w:val="0"/>
                      <w:divBdr>
                        <w:top w:val="none" w:sz="0" w:space="0" w:color="auto"/>
                        <w:left w:val="none" w:sz="0" w:space="0" w:color="auto"/>
                        <w:bottom w:val="none" w:sz="0" w:space="0" w:color="auto"/>
                        <w:right w:val="none" w:sz="0" w:space="0" w:color="auto"/>
                      </w:divBdr>
                    </w:div>
                  </w:divsChild>
                </w:div>
                <w:div w:id="1222978170">
                  <w:marLeft w:val="0"/>
                  <w:marRight w:val="0"/>
                  <w:marTop w:val="0"/>
                  <w:marBottom w:val="0"/>
                  <w:divBdr>
                    <w:top w:val="none" w:sz="0" w:space="0" w:color="auto"/>
                    <w:left w:val="none" w:sz="0" w:space="0" w:color="auto"/>
                    <w:bottom w:val="none" w:sz="0" w:space="0" w:color="auto"/>
                    <w:right w:val="none" w:sz="0" w:space="0" w:color="auto"/>
                  </w:divBdr>
                  <w:divsChild>
                    <w:div w:id="1396472325">
                      <w:marLeft w:val="0"/>
                      <w:marRight w:val="0"/>
                      <w:marTop w:val="0"/>
                      <w:marBottom w:val="0"/>
                      <w:divBdr>
                        <w:top w:val="none" w:sz="0" w:space="0" w:color="auto"/>
                        <w:left w:val="none" w:sz="0" w:space="0" w:color="auto"/>
                        <w:bottom w:val="none" w:sz="0" w:space="0" w:color="auto"/>
                        <w:right w:val="none" w:sz="0" w:space="0" w:color="auto"/>
                      </w:divBdr>
                    </w:div>
                  </w:divsChild>
                </w:div>
                <w:div w:id="1231500042">
                  <w:marLeft w:val="0"/>
                  <w:marRight w:val="0"/>
                  <w:marTop w:val="0"/>
                  <w:marBottom w:val="0"/>
                  <w:divBdr>
                    <w:top w:val="none" w:sz="0" w:space="0" w:color="auto"/>
                    <w:left w:val="none" w:sz="0" w:space="0" w:color="auto"/>
                    <w:bottom w:val="none" w:sz="0" w:space="0" w:color="auto"/>
                    <w:right w:val="none" w:sz="0" w:space="0" w:color="auto"/>
                  </w:divBdr>
                  <w:divsChild>
                    <w:div w:id="1596787951">
                      <w:marLeft w:val="0"/>
                      <w:marRight w:val="0"/>
                      <w:marTop w:val="0"/>
                      <w:marBottom w:val="0"/>
                      <w:divBdr>
                        <w:top w:val="none" w:sz="0" w:space="0" w:color="auto"/>
                        <w:left w:val="none" w:sz="0" w:space="0" w:color="auto"/>
                        <w:bottom w:val="none" w:sz="0" w:space="0" w:color="auto"/>
                        <w:right w:val="none" w:sz="0" w:space="0" w:color="auto"/>
                      </w:divBdr>
                    </w:div>
                  </w:divsChild>
                </w:div>
                <w:div w:id="1245450969">
                  <w:marLeft w:val="0"/>
                  <w:marRight w:val="0"/>
                  <w:marTop w:val="0"/>
                  <w:marBottom w:val="0"/>
                  <w:divBdr>
                    <w:top w:val="none" w:sz="0" w:space="0" w:color="auto"/>
                    <w:left w:val="none" w:sz="0" w:space="0" w:color="auto"/>
                    <w:bottom w:val="none" w:sz="0" w:space="0" w:color="auto"/>
                    <w:right w:val="none" w:sz="0" w:space="0" w:color="auto"/>
                  </w:divBdr>
                  <w:divsChild>
                    <w:div w:id="1268659676">
                      <w:marLeft w:val="0"/>
                      <w:marRight w:val="0"/>
                      <w:marTop w:val="0"/>
                      <w:marBottom w:val="0"/>
                      <w:divBdr>
                        <w:top w:val="none" w:sz="0" w:space="0" w:color="auto"/>
                        <w:left w:val="none" w:sz="0" w:space="0" w:color="auto"/>
                        <w:bottom w:val="none" w:sz="0" w:space="0" w:color="auto"/>
                        <w:right w:val="none" w:sz="0" w:space="0" w:color="auto"/>
                      </w:divBdr>
                    </w:div>
                  </w:divsChild>
                </w:div>
                <w:div w:id="1245604167">
                  <w:marLeft w:val="0"/>
                  <w:marRight w:val="0"/>
                  <w:marTop w:val="0"/>
                  <w:marBottom w:val="0"/>
                  <w:divBdr>
                    <w:top w:val="none" w:sz="0" w:space="0" w:color="auto"/>
                    <w:left w:val="none" w:sz="0" w:space="0" w:color="auto"/>
                    <w:bottom w:val="none" w:sz="0" w:space="0" w:color="auto"/>
                    <w:right w:val="none" w:sz="0" w:space="0" w:color="auto"/>
                  </w:divBdr>
                  <w:divsChild>
                    <w:div w:id="392628242">
                      <w:marLeft w:val="0"/>
                      <w:marRight w:val="0"/>
                      <w:marTop w:val="0"/>
                      <w:marBottom w:val="0"/>
                      <w:divBdr>
                        <w:top w:val="none" w:sz="0" w:space="0" w:color="auto"/>
                        <w:left w:val="none" w:sz="0" w:space="0" w:color="auto"/>
                        <w:bottom w:val="none" w:sz="0" w:space="0" w:color="auto"/>
                        <w:right w:val="none" w:sz="0" w:space="0" w:color="auto"/>
                      </w:divBdr>
                    </w:div>
                    <w:div w:id="772819074">
                      <w:marLeft w:val="0"/>
                      <w:marRight w:val="0"/>
                      <w:marTop w:val="0"/>
                      <w:marBottom w:val="0"/>
                      <w:divBdr>
                        <w:top w:val="none" w:sz="0" w:space="0" w:color="auto"/>
                        <w:left w:val="none" w:sz="0" w:space="0" w:color="auto"/>
                        <w:bottom w:val="none" w:sz="0" w:space="0" w:color="auto"/>
                        <w:right w:val="none" w:sz="0" w:space="0" w:color="auto"/>
                      </w:divBdr>
                    </w:div>
                  </w:divsChild>
                </w:div>
                <w:div w:id="1256473344">
                  <w:marLeft w:val="0"/>
                  <w:marRight w:val="0"/>
                  <w:marTop w:val="0"/>
                  <w:marBottom w:val="0"/>
                  <w:divBdr>
                    <w:top w:val="none" w:sz="0" w:space="0" w:color="auto"/>
                    <w:left w:val="none" w:sz="0" w:space="0" w:color="auto"/>
                    <w:bottom w:val="none" w:sz="0" w:space="0" w:color="auto"/>
                    <w:right w:val="none" w:sz="0" w:space="0" w:color="auto"/>
                  </w:divBdr>
                  <w:divsChild>
                    <w:div w:id="162207868">
                      <w:marLeft w:val="0"/>
                      <w:marRight w:val="0"/>
                      <w:marTop w:val="0"/>
                      <w:marBottom w:val="0"/>
                      <w:divBdr>
                        <w:top w:val="none" w:sz="0" w:space="0" w:color="auto"/>
                        <w:left w:val="none" w:sz="0" w:space="0" w:color="auto"/>
                        <w:bottom w:val="none" w:sz="0" w:space="0" w:color="auto"/>
                        <w:right w:val="none" w:sz="0" w:space="0" w:color="auto"/>
                      </w:divBdr>
                    </w:div>
                  </w:divsChild>
                </w:div>
                <w:div w:id="1258294096">
                  <w:marLeft w:val="0"/>
                  <w:marRight w:val="0"/>
                  <w:marTop w:val="0"/>
                  <w:marBottom w:val="0"/>
                  <w:divBdr>
                    <w:top w:val="none" w:sz="0" w:space="0" w:color="auto"/>
                    <w:left w:val="none" w:sz="0" w:space="0" w:color="auto"/>
                    <w:bottom w:val="none" w:sz="0" w:space="0" w:color="auto"/>
                    <w:right w:val="none" w:sz="0" w:space="0" w:color="auto"/>
                  </w:divBdr>
                  <w:divsChild>
                    <w:div w:id="1718158502">
                      <w:marLeft w:val="0"/>
                      <w:marRight w:val="0"/>
                      <w:marTop w:val="0"/>
                      <w:marBottom w:val="0"/>
                      <w:divBdr>
                        <w:top w:val="none" w:sz="0" w:space="0" w:color="auto"/>
                        <w:left w:val="none" w:sz="0" w:space="0" w:color="auto"/>
                        <w:bottom w:val="none" w:sz="0" w:space="0" w:color="auto"/>
                        <w:right w:val="none" w:sz="0" w:space="0" w:color="auto"/>
                      </w:divBdr>
                    </w:div>
                  </w:divsChild>
                </w:div>
                <w:div w:id="1264191297">
                  <w:marLeft w:val="0"/>
                  <w:marRight w:val="0"/>
                  <w:marTop w:val="0"/>
                  <w:marBottom w:val="0"/>
                  <w:divBdr>
                    <w:top w:val="none" w:sz="0" w:space="0" w:color="auto"/>
                    <w:left w:val="none" w:sz="0" w:space="0" w:color="auto"/>
                    <w:bottom w:val="none" w:sz="0" w:space="0" w:color="auto"/>
                    <w:right w:val="none" w:sz="0" w:space="0" w:color="auto"/>
                  </w:divBdr>
                  <w:divsChild>
                    <w:div w:id="1114596751">
                      <w:marLeft w:val="0"/>
                      <w:marRight w:val="0"/>
                      <w:marTop w:val="0"/>
                      <w:marBottom w:val="0"/>
                      <w:divBdr>
                        <w:top w:val="none" w:sz="0" w:space="0" w:color="auto"/>
                        <w:left w:val="none" w:sz="0" w:space="0" w:color="auto"/>
                        <w:bottom w:val="none" w:sz="0" w:space="0" w:color="auto"/>
                        <w:right w:val="none" w:sz="0" w:space="0" w:color="auto"/>
                      </w:divBdr>
                    </w:div>
                  </w:divsChild>
                </w:div>
                <w:div w:id="1285385741">
                  <w:marLeft w:val="0"/>
                  <w:marRight w:val="0"/>
                  <w:marTop w:val="0"/>
                  <w:marBottom w:val="0"/>
                  <w:divBdr>
                    <w:top w:val="none" w:sz="0" w:space="0" w:color="auto"/>
                    <w:left w:val="none" w:sz="0" w:space="0" w:color="auto"/>
                    <w:bottom w:val="none" w:sz="0" w:space="0" w:color="auto"/>
                    <w:right w:val="none" w:sz="0" w:space="0" w:color="auto"/>
                  </w:divBdr>
                  <w:divsChild>
                    <w:div w:id="89669251">
                      <w:marLeft w:val="0"/>
                      <w:marRight w:val="0"/>
                      <w:marTop w:val="0"/>
                      <w:marBottom w:val="0"/>
                      <w:divBdr>
                        <w:top w:val="none" w:sz="0" w:space="0" w:color="auto"/>
                        <w:left w:val="none" w:sz="0" w:space="0" w:color="auto"/>
                        <w:bottom w:val="none" w:sz="0" w:space="0" w:color="auto"/>
                        <w:right w:val="none" w:sz="0" w:space="0" w:color="auto"/>
                      </w:divBdr>
                    </w:div>
                  </w:divsChild>
                </w:div>
                <w:div w:id="1310863355">
                  <w:marLeft w:val="0"/>
                  <w:marRight w:val="0"/>
                  <w:marTop w:val="0"/>
                  <w:marBottom w:val="0"/>
                  <w:divBdr>
                    <w:top w:val="none" w:sz="0" w:space="0" w:color="auto"/>
                    <w:left w:val="none" w:sz="0" w:space="0" w:color="auto"/>
                    <w:bottom w:val="none" w:sz="0" w:space="0" w:color="auto"/>
                    <w:right w:val="none" w:sz="0" w:space="0" w:color="auto"/>
                  </w:divBdr>
                  <w:divsChild>
                    <w:div w:id="893856619">
                      <w:marLeft w:val="0"/>
                      <w:marRight w:val="0"/>
                      <w:marTop w:val="0"/>
                      <w:marBottom w:val="0"/>
                      <w:divBdr>
                        <w:top w:val="none" w:sz="0" w:space="0" w:color="auto"/>
                        <w:left w:val="none" w:sz="0" w:space="0" w:color="auto"/>
                        <w:bottom w:val="none" w:sz="0" w:space="0" w:color="auto"/>
                        <w:right w:val="none" w:sz="0" w:space="0" w:color="auto"/>
                      </w:divBdr>
                    </w:div>
                  </w:divsChild>
                </w:div>
                <w:div w:id="1313677177">
                  <w:marLeft w:val="0"/>
                  <w:marRight w:val="0"/>
                  <w:marTop w:val="0"/>
                  <w:marBottom w:val="0"/>
                  <w:divBdr>
                    <w:top w:val="none" w:sz="0" w:space="0" w:color="auto"/>
                    <w:left w:val="none" w:sz="0" w:space="0" w:color="auto"/>
                    <w:bottom w:val="none" w:sz="0" w:space="0" w:color="auto"/>
                    <w:right w:val="none" w:sz="0" w:space="0" w:color="auto"/>
                  </w:divBdr>
                  <w:divsChild>
                    <w:div w:id="1388383772">
                      <w:marLeft w:val="0"/>
                      <w:marRight w:val="0"/>
                      <w:marTop w:val="0"/>
                      <w:marBottom w:val="0"/>
                      <w:divBdr>
                        <w:top w:val="none" w:sz="0" w:space="0" w:color="auto"/>
                        <w:left w:val="none" w:sz="0" w:space="0" w:color="auto"/>
                        <w:bottom w:val="none" w:sz="0" w:space="0" w:color="auto"/>
                        <w:right w:val="none" w:sz="0" w:space="0" w:color="auto"/>
                      </w:divBdr>
                    </w:div>
                  </w:divsChild>
                </w:div>
                <w:div w:id="1319188040">
                  <w:marLeft w:val="0"/>
                  <w:marRight w:val="0"/>
                  <w:marTop w:val="0"/>
                  <w:marBottom w:val="0"/>
                  <w:divBdr>
                    <w:top w:val="none" w:sz="0" w:space="0" w:color="auto"/>
                    <w:left w:val="none" w:sz="0" w:space="0" w:color="auto"/>
                    <w:bottom w:val="none" w:sz="0" w:space="0" w:color="auto"/>
                    <w:right w:val="none" w:sz="0" w:space="0" w:color="auto"/>
                  </w:divBdr>
                  <w:divsChild>
                    <w:div w:id="600381590">
                      <w:marLeft w:val="0"/>
                      <w:marRight w:val="0"/>
                      <w:marTop w:val="0"/>
                      <w:marBottom w:val="0"/>
                      <w:divBdr>
                        <w:top w:val="none" w:sz="0" w:space="0" w:color="auto"/>
                        <w:left w:val="none" w:sz="0" w:space="0" w:color="auto"/>
                        <w:bottom w:val="none" w:sz="0" w:space="0" w:color="auto"/>
                        <w:right w:val="none" w:sz="0" w:space="0" w:color="auto"/>
                      </w:divBdr>
                    </w:div>
                  </w:divsChild>
                </w:div>
                <w:div w:id="1350835704">
                  <w:marLeft w:val="0"/>
                  <w:marRight w:val="0"/>
                  <w:marTop w:val="0"/>
                  <w:marBottom w:val="0"/>
                  <w:divBdr>
                    <w:top w:val="none" w:sz="0" w:space="0" w:color="auto"/>
                    <w:left w:val="none" w:sz="0" w:space="0" w:color="auto"/>
                    <w:bottom w:val="none" w:sz="0" w:space="0" w:color="auto"/>
                    <w:right w:val="none" w:sz="0" w:space="0" w:color="auto"/>
                  </w:divBdr>
                  <w:divsChild>
                    <w:div w:id="951665757">
                      <w:marLeft w:val="0"/>
                      <w:marRight w:val="0"/>
                      <w:marTop w:val="0"/>
                      <w:marBottom w:val="0"/>
                      <w:divBdr>
                        <w:top w:val="none" w:sz="0" w:space="0" w:color="auto"/>
                        <w:left w:val="none" w:sz="0" w:space="0" w:color="auto"/>
                        <w:bottom w:val="none" w:sz="0" w:space="0" w:color="auto"/>
                        <w:right w:val="none" w:sz="0" w:space="0" w:color="auto"/>
                      </w:divBdr>
                    </w:div>
                  </w:divsChild>
                </w:div>
                <w:div w:id="1377507251">
                  <w:marLeft w:val="0"/>
                  <w:marRight w:val="0"/>
                  <w:marTop w:val="0"/>
                  <w:marBottom w:val="0"/>
                  <w:divBdr>
                    <w:top w:val="none" w:sz="0" w:space="0" w:color="auto"/>
                    <w:left w:val="none" w:sz="0" w:space="0" w:color="auto"/>
                    <w:bottom w:val="none" w:sz="0" w:space="0" w:color="auto"/>
                    <w:right w:val="none" w:sz="0" w:space="0" w:color="auto"/>
                  </w:divBdr>
                  <w:divsChild>
                    <w:div w:id="1045328829">
                      <w:marLeft w:val="0"/>
                      <w:marRight w:val="0"/>
                      <w:marTop w:val="0"/>
                      <w:marBottom w:val="0"/>
                      <w:divBdr>
                        <w:top w:val="none" w:sz="0" w:space="0" w:color="auto"/>
                        <w:left w:val="none" w:sz="0" w:space="0" w:color="auto"/>
                        <w:bottom w:val="none" w:sz="0" w:space="0" w:color="auto"/>
                        <w:right w:val="none" w:sz="0" w:space="0" w:color="auto"/>
                      </w:divBdr>
                    </w:div>
                  </w:divsChild>
                </w:div>
                <w:div w:id="1379361081">
                  <w:marLeft w:val="0"/>
                  <w:marRight w:val="0"/>
                  <w:marTop w:val="0"/>
                  <w:marBottom w:val="0"/>
                  <w:divBdr>
                    <w:top w:val="none" w:sz="0" w:space="0" w:color="auto"/>
                    <w:left w:val="none" w:sz="0" w:space="0" w:color="auto"/>
                    <w:bottom w:val="none" w:sz="0" w:space="0" w:color="auto"/>
                    <w:right w:val="none" w:sz="0" w:space="0" w:color="auto"/>
                  </w:divBdr>
                  <w:divsChild>
                    <w:div w:id="1343321218">
                      <w:marLeft w:val="0"/>
                      <w:marRight w:val="0"/>
                      <w:marTop w:val="0"/>
                      <w:marBottom w:val="0"/>
                      <w:divBdr>
                        <w:top w:val="none" w:sz="0" w:space="0" w:color="auto"/>
                        <w:left w:val="none" w:sz="0" w:space="0" w:color="auto"/>
                        <w:bottom w:val="none" w:sz="0" w:space="0" w:color="auto"/>
                        <w:right w:val="none" w:sz="0" w:space="0" w:color="auto"/>
                      </w:divBdr>
                    </w:div>
                  </w:divsChild>
                </w:div>
                <w:div w:id="1408184432">
                  <w:marLeft w:val="0"/>
                  <w:marRight w:val="0"/>
                  <w:marTop w:val="0"/>
                  <w:marBottom w:val="0"/>
                  <w:divBdr>
                    <w:top w:val="none" w:sz="0" w:space="0" w:color="auto"/>
                    <w:left w:val="none" w:sz="0" w:space="0" w:color="auto"/>
                    <w:bottom w:val="none" w:sz="0" w:space="0" w:color="auto"/>
                    <w:right w:val="none" w:sz="0" w:space="0" w:color="auto"/>
                  </w:divBdr>
                  <w:divsChild>
                    <w:div w:id="1310399395">
                      <w:marLeft w:val="0"/>
                      <w:marRight w:val="0"/>
                      <w:marTop w:val="0"/>
                      <w:marBottom w:val="0"/>
                      <w:divBdr>
                        <w:top w:val="none" w:sz="0" w:space="0" w:color="auto"/>
                        <w:left w:val="none" w:sz="0" w:space="0" w:color="auto"/>
                        <w:bottom w:val="none" w:sz="0" w:space="0" w:color="auto"/>
                        <w:right w:val="none" w:sz="0" w:space="0" w:color="auto"/>
                      </w:divBdr>
                    </w:div>
                  </w:divsChild>
                </w:div>
                <w:div w:id="1409880998">
                  <w:marLeft w:val="0"/>
                  <w:marRight w:val="0"/>
                  <w:marTop w:val="0"/>
                  <w:marBottom w:val="0"/>
                  <w:divBdr>
                    <w:top w:val="none" w:sz="0" w:space="0" w:color="auto"/>
                    <w:left w:val="none" w:sz="0" w:space="0" w:color="auto"/>
                    <w:bottom w:val="none" w:sz="0" w:space="0" w:color="auto"/>
                    <w:right w:val="none" w:sz="0" w:space="0" w:color="auto"/>
                  </w:divBdr>
                  <w:divsChild>
                    <w:div w:id="259341922">
                      <w:marLeft w:val="0"/>
                      <w:marRight w:val="0"/>
                      <w:marTop w:val="0"/>
                      <w:marBottom w:val="0"/>
                      <w:divBdr>
                        <w:top w:val="none" w:sz="0" w:space="0" w:color="auto"/>
                        <w:left w:val="none" w:sz="0" w:space="0" w:color="auto"/>
                        <w:bottom w:val="none" w:sz="0" w:space="0" w:color="auto"/>
                        <w:right w:val="none" w:sz="0" w:space="0" w:color="auto"/>
                      </w:divBdr>
                    </w:div>
                  </w:divsChild>
                </w:div>
                <w:div w:id="1428115418">
                  <w:marLeft w:val="0"/>
                  <w:marRight w:val="0"/>
                  <w:marTop w:val="0"/>
                  <w:marBottom w:val="0"/>
                  <w:divBdr>
                    <w:top w:val="none" w:sz="0" w:space="0" w:color="auto"/>
                    <w:left w:val="none" w:sz="0" w:space="0" w:color="auto"/>
                    <w:bottom w:val="none" w:sz="0" w:space="0" w:color="auto"/>
                    <w:right w:val="none" w:sz="0" w:space="0" w:color="auto"/>
                  </w:divBdr>
                  <w:divsChild>
                    <w:div w:id="1580017959">
                      <w:marLeft w:val="0"/>
                      <w:marRight w:val="0"/>
                      <w:marTop w:val="0"/>
                      <w:marBottom w:val="0"/>
                      <w:divBdr>
                        <w:top w:val="none" w:sz="0" w:space="0" w:color="auto"/>
                        <w:left w:val="none" w:sz="0" w:space="0" w:color="auto"/>
                        <w:bottom w:val="none" w:sz="0" w:space="0" w:color="auto"/>
                        <w:right w:val="none" w:sz="0" w:space="0" w:color="auto"/>
                      </w:divBdr>
                    </w:div>
                  </w:divsChild>
                </w:div>
                <w:div w:id="1442725026">
                  <w:marLeft w:val="0"/>
                  <w:marRight w:val="0"/>
                  <w:marTop w:val="0"/>
                  <w:marBottom w:val="0"/>
                  <w:divBdr>
                    <w:top w:val="none" w:sz="0" w:space="0" w:color="auto"/>
                    <w:left w:val="none" w:sz="0" w:space="0" w:color="auto"/>
                    <w:bottom w:val="none" w:sz="0" w:space="0" w:color="auto"/>
                    <w:right w:val="none" w:sz="0" w:space="0" w:color="auto"/>
                  </w:divBdr>
                  <w:divsChild>
                    <w:div w:id="613251700">
                      <w:marLeft w:val="0"/>
                      <w:marRight w:val="0"/>
                      <w:marTop w:val="0"/>
                      <w:marBottom w:val="0"/>
                      <w:divBdr>
                        <w:top w:val="none" w:sz="0" w:space="0" w:color="auto"/>
                        <w:left w:val="none" w:sz="0" w:space="0" w:color="auto"/>
                        <w:bottom w:val="none" w:sz="0" w:space="0" w:color="auto"/>
                        <w:right w:val="none" w:sz="0" w:space="0" w:color="auto"/>
                      </w:divBdr>
                    </w:div>
                  </w:divsChild>
                </w:div>
                <w:div w:id="1448742887">
                  <w:marLeft w:val="0"/>
                  <w:marRight w:val="0"/>
                  <w:marTop w:val="0"/>
                  <w:marBottom w:val="0"/>
                  <w:divBdr>
                    <w:top w:val="none" w:sz="0" w:space="0" w:color="auto"/>
                    <w:left w:val="none" w:sz="0" w:space="0" w:color="auto"/>
                    <w:bottom w:val="none" w:sz="0" w:space="0" w:color="auto"/>
                    <w:right w:val="none" w:sz="0" w:space="0" w:color="auto"/>
                  </w:divBdr>
                  <w:divsChild>
                    <w:div w:id="1517580231">
                      <w:marLeft w:val="0"/>
                      <w:marRight w:val="0"/>
                      <w:marTop w:val="0"/>
                      <w:marBottom w:val="0"/>
                      <w:divBdr>
                        <w:top w:val="none" w:sz="0" w:space="0" w:color="auto"/>
                        <w:left w:val="none" w:sz="0" w:space="0" w:color="auto"/>
                        <w:bottom w:val="none" w:sz="0" w:space="0" w:color="auto"/>
                        <w:right w:val="none" w:sz="0" w:space="0" w:color="auto"/>
                      </w:divBdr>
                    </w:div>
                  </w:divsChild>
                </w:div>
                <w:div w:id="1472819547">
                  <w:marLeft w:val="0"/>
                  <w:marRight w:val="0"/>
                  <w:marTop w:val="0"/>
                  <w:marBottom w:val="0"/>
                  <w:divBdr>
                    <w:top w:val="none" w:sz="0" w:space="0" w:color="auto"/>
                    <w:left w:val="none" w:sz="0" w:space="0" w:color="auto"/>
                    <w:bottom w:val="none" w:sz="0" w:space="0" w:color="auto"/>
                    <w:right w:val="none" w:sz="0" w:space="0" w:color="auto"/>
                  </w:divBdr>
                  <w:divsChild>
                    <w:div w:id="1111238464">
                      <w:marLeft w:val="0"/>
                      <w:marRight w:val="0"/>
                      <w:marTop w:val="0"/>
                      <w:marBottom w:val="0"/>
                      <w:divBdr>
                        <w:top w:val="none" w:sz="0" w:space="0" w:color="auto"/>
                        <w:left w:val="none" w:sz="0" w:space="0" w:color="auto"/>
                        <w:bottom w:val="none" w:sz="0" w:space="0" w:color="auto"/>
                        <w:right w:val="none" w:sz="0" w:space="0" w:color="auto"/>
                      </w:divBdr>
                    </w:div>
                  </w:divsChild>
                </w:div>
                <w:div w:id="1481069704">
                  <w:marLeft w:val="0"/>
                  <w:marRight w:val="0"/>
                  <w:marTop w:val="0"/>
                  <w:marBottom w:val="0"/>
                  <w:divBdr>
                    <w:top w:val="none" w:sz="0" w:space="0" w:color="auto"/>
                    <w:left w:val="none" w:sz="0" w:space="0" w:color="auto"/>
                    <w:bottom w:val="none" w:sz="0" w:space="0" w:color="auto"/>
                    <w:right w:val="none" w:sz="0" w:space="0" w:color="auto"/>
                  </w:divBdr>
                  <w:divsChild>
                    <w:div w:id="1182428603">
                      <w:marLeft w:val="0"/>
                      <w:marRight w:val="0"/>
                      <w:marTop w:val="0"/>
                      <w:marBottom w:val="0"/>
                      <w:divBdr>
                        <w:top w:val="none" w:sz="0" w:space="0" w:color="auto"/>
                        <w:left w:val="none" w:sz="0" w:space="0" w:color="auto"/>
                        <w:bottom w:val="none" w:sz="0" w:space="0" w:color="auto"/>
                        <w:right w:val="none" w:sz="0" w:space="0" w:color="auto"/>
                      </w:divBdr>
                    </w:div>
                  </w:divsChild>
                </w:div>
                <w:div w:id="1482237075">
                  <w:marLeft w:val="0"/>
                  <w:marRight w:val="0"/>
                  <w:marTop w:val="0"/>
                  <w:marBottom w:val="0"/>
                  <w:divBdr>
                    <w:top w:val="none" w:sz="0" w:space="0" w:color="auto"/>
                    <w:left w:val="none" w:sz="0" w:space="0" w:color="auto"/>
                    <w:bottom w:val="none" w:sz="0" w:space="0" w:color="auto"/>
                    <w:right w:val="none" w:sz="0" w:space="0" w:color="auto"/>
                  </w:divBdr>
                  <w:divsChild>
                    <w:div w:id="929972100">
                      <w:marLeft w:val="0"/>
                      <w:marRight w:val="0"/>
                      <w:marTop w:val="0"/>
                      <w:marBottom w:val="0"/>
                      <w:divBdr>
                        <w:top w:val="none" w:sz="0" w:space="0" w:color="auto"/>
                        <w:left w:val="none" w:sz="0" w:space="0" w:color="auto"/>
                        <w:bottom w:val="none" w:sz="0" w:space="0" w:color="auto"/>
                        <w:right w:val="none" w:sz="0" w:space="0" w:color="auto"/>
                      </w:divBdr>
                    </w:div>
                  </w:divsChild>
                </w:div>
                <w:div w:id="1501391844">
                  <w:marLeft w:val="0"/>
                  <w:marRight w:val="0"/>
                  <w:marTop w:val="0"/>
                  <w:marBottom w:val="0"/>
                  <w:divBdr>
                    <w:top w:val="none" w:sz="0" w:space="0" w:color="auto"/>
                    <w:left w:val="none" w:sz="0" w:space="0" w:color="auto"/>
                    <w:bottom w:val="none" w:sz="0" w:space="0" w:color="auto"/>
                    <w:right w:val="none" w:sz="0" w:space="0" w:color="auto"/>
                  </w:divBdr>
                  <w:divsChild>
                    <w:div w:id="578682989">
                      <w:marLeft w:val="0"/>
                      <w:marRight w:val="0"/>
                      <w:marTop w:val="0"/>
                      <w:marBottom w:val="0"/>
                      <w:divBdr>
                        <w:top w:val="none" w:sz="0" w:space="0" w:color="auto"/>
                        <w:left w:val="none" w:sz="0" w:space="0" w:color="auto"/>
                        <w:bottom w:val="none" w:sz="0" w:space="0" w:color="auto"/>
                        <w:right w:val="none" w:sz="0" w:space="0" w:color="auto"/>
                      </w:divBdr>
                    </w:div>
                  </w:divsChild>
                </w:div>
                <w:div w:id="1522664749">
                  <w:marLeft w:val="0"/>
                  <w:marRight w:val="0"/>
                  <w:marTop w:val="0"/>
                  <w:marBottom w:val="0"/>
                  <w:divBdr>
                    <w:top w:val="none" w:sz="0" w:space="0" w:color="auto"/>
                    <w:left w:val="none" w:sz="0" w:space="0" w:color="auto"/>
                    <w:bottom w:val="none" w:sz="0" w:space="0" w:color="auto"/>
                    <w:right w:val="none" w:sz="0" w:space="0" w:color="auto"/>
                  </w:divBdr>
                  <w:divsChild>
                    <w:div w:id="2093427621">
                      <w:marLeft w:val="0"/>
                      <w:marRight w:val="0"/>
                      <w:marTop w:val="0"/>
                      <w:marBottom w:val="0"/>
                      <w:divBdr>
                        <w:top w:val="none" w:sz="0" w:space="0" w:color="auto"/>
                        <w:left w:val="none" w:sz="0" w:space="0" w:color="auto"/>
                        <w:bottom w:val="none" w:sz="0" w:space="0" w:color="auto"/>
                        <w:right w:val="none" w:sz="0" w:space="0" w:color="auto"/>
                      </w:divBdr>
                    </w:div>
                  </w:divsChild>
                </w:div>
                <w:div w:id="1569655444">
                  <w:marLeft w:val="0"/>
                  <w:marRight w:val="0"/>
                  <w:marTop w:val="0"/>
                  <w:marBottom w:val="0"/>
                  <w:divBdr>
                    <w:top w:val="none" w:sz="0" w:space="0" w:color="auto"/>
                    <w:left w:val="none" w:sz="0" w:space="0" w:color="auto"/>
                    <w:bottom w:val="none" w:sz="0" w:space="0" w:color="auto"/>
                    <w:right w:val="none" w:sz="0" w:space="0" w:color="auto"/>
                  </w:divBdr>
                  <w:divsChild>
                    <w:div w:id="294871142">
                      <w:marLeft w:val="0"/>
                      <w:marRight w:val="0"/>
                      <w:marTop w:val="0"/>
                      <w:marBottom w:val="0"/>
                      <w:divBdr>
                        <w:top w:val="none" w:sz="0" w:space="0" w:color="auto"/>
                        <w:left w:val="none" w:sz="0" w:space="0" w:color="auto"/>
                        <w:bottom w:val="none" w:sz="0" w:space="0" w:color="auto"/>
                        <w:right w:val="none" w:sz="0" w:space="0" w:color="auto"/>
                      </w:divBdr>
                    </w:div>
                  </w:divsChild>
                </w:div>
                <w:div w:id="1571305171">
                  <w:marLeft w:val="0"/>
                  <w:marRight w:val="0"/>
                  <w:marTop w:val="0"/>
                  <w:marBottom w:val="0"/>
                  <w:divBdr>
                    <w:top w:val="none" w:sz="0" w:space="0" w:color="auto"/>
                    <w:left w:val="none" w:sz="0" w:space="0" w:color="auto"/>
                    <w:bottom w:val="none" w:sz="0" w:space="0" w:color="auto"/>
                    <w:right w:val="none" w:sz="0" w:space="0" w:color="auto"/>
                  </w:divBdr>
                  <w:divsChild>
                    <w:div w:id="1439720164">
                      <w:marLeft w:val="0"/>
                      <w:marRight w:val="0"/>
                      <w:marTop w:val="0"/>
                      <w:marBottom w:val="0"/>
                      <w:divBdr>
                        <w:top w:val="none" w:sz="0" w:space="0" w:color="auto"/>
                        <w:left w:val="none" w:sz="0" w:space="0" w:color="auto"/>
                        <w:bottom w:val="none" w:sz="0" w:space="0" w:color="auto"/>
                        <w:right w:val="none" w:sz="0" w:space="0" w:color="auto"/>
                      </w:divBdr>
                    </w:div>
                  </w:divsChild>
                </w:div>
                <w:div w:id="1624773272">
                  <w:marLeft w:val="0"/>
                  <w:marRight w:val="0"/>
                  <w:marTop w:val="0"/>
                  <w:marBottom w:val="0"/>
                  <w:divBdr>
                    <w:top w:val="none" w:sz="0" w:space="0" w:color="auto"/>
                    <w:left w:val="none" w:sz="0" w:space="0" w:color="auto"/>
                    <w:bottom w:val="none" w:sz="0" w:space="0" w:color="auto"/>
                    <w:right w:val="none" w:sz="0" w:space="0" w:color="auto"/>
                  </w:divBdr>
                  <w:divsChild>
                    <w:div w:id="538713059">
                      <w:marLeft w:val="0"/>
                      <w:marRight w:val="0"/>
                      <w:marTop w:val="0"/>
                      <w:marBottom w:val="0"/>
                      <w:divBdr>
                        <w:top w:val="none" w:sz="0" w:space="0" w:color="auto"/>
                        <w:left w:val="none" w:sz="0" w:space="0" w:color="auto"/>
                        <w:bottom w:val="none" w:sz="0" w:space="0" w:color="auto"/>
                        <w:right w:val="none" w:sz="0" w:space="0" w:color="auto"/>
                      </w:divBdr>
                    </w:div>
                  </w:divsChild>
                </w:div>
                <w:div w:id="1645695292">
                  <w:marLeft w:val="0"/>
                  <w:marRight w:val="0"/>
                  <w:marTop w:val="0"/>
                  <w:marBottom w:val="0"/>
                  <w:divBdr>
                    <w:top w:val="none" w:sz="0" w:space="0" w:color="auto"/>
                    <w:left w:val="none" w:sz="0" w:space="0" w:color="auto"/>
                    <w:bottom w:val="none" w:sz="0" w:space="0" w:color="auto"/>
                    <w:right w:val="none" w:sz="0" w:space="0" w:color="auto"/>
                  </w:divBdr>
                  <w:divsChild>
                    <w:div w:id="552158168">
                      <w:marLeft w:val="0"/>
                      <w:marRight w:val="0"/>
                      <w:marTop w:val="0"/>
                      <w:marBottom w:val="0"/>
                      <w:divBdr>
                        <w:top w:val="none" w:sz="0" w:space="0" w:color="auto"/>
                        <w:left w:val="none" w:sz="0" w:space="0" w:color="auto"/>
                        <w:bottom w:val="none" w:sz="0" w:space="0" w:color="auto"/>
                        <w:right w:val="none" w:sz="0" w:space="0" w:color="auto"/>
                      </w:divBdr>
                    </w:div>
                  </w:divsChild>
                </w:div>
                <w:div w:id="1648512190">
                  <w:marLeft w:val="0"/>
                  <w:marRight w:val="0"/>
                  <w:marTop w:val="0"/>
                  <w:marBottom w:val="0"/>
                  <w:divBdr>
                    <w:top w:val="none" w:sz="0" w:space="0" w:color="auto"/>
                    <w:left w:val="none" w:sz="0" w:space="0" w:color="auto"/>
                    <w:bottom w:val="none" w:sz="0" w:space="0" w:color="auto"/>
                    <w:right w:val="none" w:sz="0" w:space="0" w:color="auto"/>
                  </w:divBdr>
                  <w:divsChild>
                    <w:div w:id="411316507">
                      <w:marLeft w:val="0"/>
                      <w:marRight w:val="0"/>
                      <w:marTop w:val="0"/>
                      <w:marBottom w:val="0"/>
                      <w:divBdr>
                        <w:top w:val="none" w:sz="0" w:space="0" w:color="auto"/>
                        <w:left w:val="none" w:sz="0" w:space="0" w:color="auto"/>
                        <w:bottom w:val="none" w:sz="0" w:space="0" w:color="auto"/>
                        <w:right w:val="none" w:sz="0" w:space="0" w:color="auto"/>
                      </w:divBdr>
                    </w:div>
                  </w:divsChild>
                </w:div>
                <w:div w:id="1674645486">
                  <w:marLeft w:val="0"/>
                  <w:marRight w:val="0"/>
                  <w:marTop w:val="0"/>
                  <w:marBottom w:val="0"/>
                  <w:divBdr>
                    <w:top w:val="none" w:sz="0" w:space="0" w:color="auto"/>
                    <w:left w:val="none" w:sz="0" w:space="0" w:color="auto"/>
                    <w:bottom w:val="none" w:sz="0" w:space="0" w:color="auto"/>
                    <w:right w:val="none" w:sz="0" w:space="0" w:color="auto"/>
                  </w:divBdr>
                  <w:divsChild>
                    <w:div w:id="1855612431">
                      <w:marLeft w:val="0"/>
                      <w:marRight w:val="0"/>
                      <w:marTop w:val="0"/>
                      <w:marBottom w:val="0"/>
                      <w:divBdr>
                        <w:top w:val="none" w:sz="0" w:space="0" w:color="auto"/>
                        <w:left w:val="none" w:sz="0" w:space="0" w:color="auto"/>
                        <w:bottom w:val="none" w:sz="0" w:space="0" w:color="auto"/>
                        <w:right w:val="none" w:sz="0" w:space="0" w:color="auto"/>
                      </w:divBdr>
                    </w:div>
                  </w:divsChild>
                </w:div>
                <w:div w:id="1678968114">
                  <w:marLeft w:val="0"/>
                  <w:marRight w:val="0"/>
                  <w:marTop w:val="0"/>
                  <w:marBottom w:val="0"/>
                  <w:divBdr>
                    <w:top w:val="none" w:sz="0" w:space="0" w:color="auto"/>
                    <w:left w:val="none" w:sz="0" w:space="0" w:color="auto"/>
                    <w:bottom w:val="none" w:sz="0" w:space="0" w:color="auto"/>
                    <w:right w:val="none" w:sz="0" w:space="0" w:color="auto"/>
                  </w:divBdr>
                  <w:divsChild>
                    <w:div w:id="881677467">
                      <w:marLeft w:val="0"/>
                      <w:marRight w:val="0"/>
                      <w:marTop w:val="0"/>
                      <w:marBottom w:val="0"/>
                      <w:divBdr>
                        <w:top w:val="none" w:sz="0" w:space="0" w:color="auto"/>
                        <w:left w:val="none" w:sz="0" w:space="0" w:color="auto"/>
                        <w:bottom w:val="none" w:sz="0" w:space="0" w:color="auto"/>
                        <w:right w:val="none" w:sz="0" w:space="0" w:color="auto"/>
                      </w:divBdr>
                    </w:div>
                  </w:divsChild>
                </w:div>
                <w:div w:id="1695421912">
                  <w:marLeft w:val="0"/>
                  <w:marRight w:val="0"/>
                  <w:marTop w:val="0"/>
                  <w:marBottom w:val="0"/>
                  <w:divBdr>
                    <w:top w:val="none" w:sz="0" w:space="0" w:color="auto"/>
                    <w:left w:val="none" w:sz="0" w:space="0" w:color="auto"/>
                    <w:bottom w:val="none" w:sz="0" w:space="0" w:color="auto"/>
                    <w:right w:val="none" w:sz="0" w:space="0" w:color="auto"/>
                  </w:divBdr>
                  <w:divsChild>
                    <w:div w:id="1199658733">
                      <w:marLeft w:val="0"/>
                      <w:marRight w:val="0"/>
                      <w:marTop w:val="0"/>
                      <w:marBottom w:val="0"/>
                      <w:divBdr>
                        <w:top w:val="none" w:sz="0" w:space="0" w:color="auto"/>
                        <w:left w:val="none" w:sz="0" w:space="0" w:color="auto"/>
                        <w:bottom w:val="none" w:sz="0" w:space="0" w:color="auto"/>
                        <w:right w:val="none" w:sz="0" w:space="0" w:color="auto"/>
                      </w:divBdr>
                    </w:div>
                  </w:divsChild>
                </w:div>
                <w:div w:id="1714310363">
                  <w:marLeft w:val="0"/>
                  <w:marRight w:val="0"/>
                  <w:marTop w:val="0"/>
                  <w:marBottom w:val="0"/>
                  <w:divBdr>
                    <w:top w:val="none" w:sz="0" w:space="0" w:color="auto"/>
                    <w:left w:val="none" w:sz="0" w:space="0" w:color="auto"/>
                    <w:bottom w:val="none" w:sz="0" w:space="0" w:color="auto"/>
                    <w:right w:val="none" w:sz="0" w:space="0" w:color="auto"/>
                  </w:divBdr>
                  <w:divsChild>
                    <w:div w:id="1229268036">
                      <w:marLeft w:val="0"/>
                      <w:marRight w:val="0"/>
                      <w:marTop w:val="0"/>
                      <w:marBottom w:val="0"/>
                      <w:divBdr>
                        <w:top w:val="none" w:sz="0" w:space="0" w:color="auto"/>
                        <w:left w:val="none" w:sz="0" w:space="0" w:color="auto"/>
                        <w:bottom w:val="none" w:sz="0" w:space="0" w:color="auto"/>
                        <w:right w:val="none" w:sz="0" w:space="0" w:color="auto"/>
                      </w:divBdr>
                    </w:div>
                  </w:divsChild>
                </w:div>
                <w:div w:id="1743333697">
                  <w:marLeft w:val="0"/>
                  <w:marRight w:val="0"/>
                  <w:marTop w:val="0"/>
                  <w:marBottom w:val="0"/>
                  <w:divBdr>
                    <w:top w:val="none" w:sz="0" w:space="0" w:color="auto"/>
                    <w:left w:val="none" w:sz="0" w:space="0" w:color="auto"/>
                    <w:bottom w:val="none" w:sz="0" w:space="0" w:color="auto"/>
                    <w:right w:val="none" w:sz="0" w:space="0" w:color="auto"/>
                  </w:divBdr>
                  <w:divsChild>
                    <w:div w:id="1097873638">
                      <w:marLeft w:val="0"/>
                      <w:marRight w:val="0"/>
                      <w:marTop w:val="0"/>
                      <w:marBottom w:val="0"/>
                      <w:divBdr>
                        <w:top w:val="none" w:sz="0" w:space="0" w:color="auto"/>
                        <w:left w:val="none" w:sz="0" w:space="0" w:color="auto"/>
                        <w:bottom w:val="none" w:sz="0" w:space="0" w:color="auto"/>
                        <w:right w:val="none" w:sz="0" w:space="0" w:color="auto"/>
                      </w:divBdr>
                    </w:div>
                  </w:divsChild>
                </w:div>
                <w:div w:id="1746876924">
                  <w:marLeft w:val="0"/>
                  <w:marRight w:val="0"/>
                  <w:marTop w:val="0"/>
                  <w:marBottom w:val="0"/>
                  <w:divBdr>
                    <w:top w:val="none" w:sz="0" w:space="0" w:color="auto"/>
                    <w:left w:val="none" w:sz="0" w:space="0" w:color="auto"/>
                    <w:bottom w:val="none" w:sz="0" w:space="0" w:color="auto"/>
                    <w:right w:val="none" w:sz="0" w:space="0" w:color="auto"/>
                  </w:divBdr>
                  <w:divsChild>
                    <w:div w:id="736319527">
                      <w:marLeft w:val="0"/>
                      <w:marRight w:val="0"/>
                      <w:marTop w:val="0"/>
                      <w:marBottom w:val="0"/>
                      <w:divBdr>
                        <w:top w:val="none" w:sz="0" w:space="0" w:color="auto"/>
                        <w:left w:val="none" w:sz="0" w:space="0" w:color="auto"/>
                        <w:bottom w:val="none" w:sz="0" w:space="0" w:color="auto"/>
                        <w:right w:val="none" w:sz="0" w:space="0" w:color="auto"/>
                      </w:divBdr>
                    </w:div>
                  </w:divsChild>
                </w:div>
                <w:div w:id="1751002982">
                  <w:marLeft w:val="0"/>
                  <w:marRight w:val="0"/>
                  <w:marTop w:val="0"/>
                  <w:marBottom w:val="0"/>
                  <w:divBdr>
                    <w:top w:val="none" w:sz="0" w:space="0" w:color="auto"/>
                    <w:left w:val="none" w:sz="0" w:space="0" w:color="auto"/>
                    <w:bottom w:val="none" w:sz="0" w:space="0" w:color="auto"/>
                    <w:right w:val="none" w:sz="0" w:space="0" w:color="auto"/>
                  </w:divBdr>
                  <w:divsChild>
                    <w:div w:id="1647199279">
                      <w:marLeft w:val="0"/>
                      <w:marRight w:val="0"/>
                      <w:marTop w:val="0"/>
                      <w:marBottom w:val="0"/>
                      <w:divBdr>
                        <w:top w:val="none" w:sz="0" w:space="0" w:color="auto"/>
                        <w:left w:val="none" w:sz="0" w:space="0" w:color="auto"/>
                        <w:bottom w:val="none" w:sz="0" w:space="0" w:color="auto"/>
                        <w:right w:val="none" w:sz="0" w:space="0" w:color="auto"/>
                      </w:divBdr>
                    </w:div>
                  </w:divsChild>
                </w:div>
                <w:div w:id="1773239879">
                  <w:marLeft w:val="0"/>
                  <w:marRight w:val="0"/>
                  <w:marTop w:val="0"/>
                  <w:marBottom w:val="0"/>
                  <w:divBdr>
                    <w:top w:val="none" w:sz="0" w:space="0" w:color="auto"/>
                    <w:left w:val="none" w:sz="0" w:space="0" w:color="auto"/>
                    <w:bottom w:val="none" w:sz="0" w:space="0" w:color="auto"/>
                    <w:right w:val="none" w:sz="0" w:space="0" w:color="auto"/>
                  </w:divBdr>
                  <w:divsChild>
                    <w:div w:id="1593513368">
                      <w:marLeft w:val="0"/>
                      <w:marRight w:val="0"/>
                      <w:marTop w:val="0"/>
                      <w:marBottom w:val="0"/>
                      <w:divBdr>
                        <w:top w:val="none" w:sz="0" w:space="0" w:color="auto"/>
                        <w:left w:val="none" w:sz="0" w:space="0" w:color="auto"/>
                        <w:bottom w:val="none" w:sz="0" w:space="0" w:color="auto"/>
                        <w:right w:val="none" w:sz="0" w:space="0" w:color="auto"/>
                      </w:divBdr>
                    </w:div>
                  </w:divsChild>
                </w:div>
                <w:div w:id="1830753558">
                  <w:marLeft w:val="0"/>
                  <w:marRight w:val="0"/>
                  <w:marTop w:val="0"/>
                  <w:marBottom w:val="0"/>
                  <w:divBdr>
                    <w:top w:val="none" w:sz="0" w:space="0" w:color="auto"/>
                    <w:left w:val="none" w:sz="0" w:space="0" w:color="auto"/>
                    <w:bottom w:val="none" w:sz="0" w:space="0" w:color="auto"/>
                    <w:right w:val="none" w:sz="0" w:space="0" w:color="auto"/>
                  </w:divBdr>
                  <w:divsChild>
                    <w:div w:id="704910547">
                      <w:marLeft w:val="0"/>
                      <w:marRight w:val="0"/>
                      <w:marTop w:val="0"/>
                      <w:marBottom w:val="0"/>
                      <w:divBdr>
                        <w:top w:val="none" w:sz="0" w:space="0" w:color="auto"/>
                        <w:left w:val="none" w:sz="0" w:space="0" w:color="auto"/>
                        <w:bottom w:val="none" w:sz="0" w:space="0" w:color="auto"/>
                        <w:right w:val="none" w:sz="0" w:space="0" w:color="auto"/>
                      </w:divBdr>
                    </w:div>
                  </w:divsChild>
                </w:div>
                <w:div w:id="1832868729">
                  <w:marLeft w:val="0"/>
                  <w:marRight w:val="0"/>
                  <w:marTop w:val="0"/>
                  <w:marBottom w:val="0"/>
                  <w:divBdr>
                    <w:top w:val="none" w:sz="0" w:space="0" w:color="auto"/>
                    <w:left w:val="none" w:sz="0" w:space="0" w:color="auto"/>
                    <w:bottom w:val="none" w:sz="0" w:space="0" w:color="auto"/>
                    <w:right w:val="none" w:sz="0" w:space="0" w:color="auto"/>
                  </w:divBdr>
                  <w:divsChild>
                    <w:div w:id="1175996597">
                      <w:marLeft w:val="0"/>
                      <w:marRight w:val="0"/>
                      <w:marTop w:val="0"/>
                      <w:marBottom w:val="0"/>
                      <w:divBdr>
                        <w:top w:val="none" w:sz="0" w:space="0" w:color="auto"/>
                        <w:left w:val="none" w:sz="0" w:space="0" w:color="auto"/>
                        <w:bottom w:val="none" w:sz="0" w:space="0" w:color="auto"/>
                        <w:right w:val="none" w:sz="0" w:space="0" w:color="auto"/>
                      </w:divBdr>
                    </w:div>
                  </w:divsChild>
                </w:div>
                <w:div w:id="1833447529">
                  <w:marLeft w:val="0"/>
                  <w:marRight w:val="0"/>
                  <w:marTop w:val="0"/>
                  <w:marBottom w:val="0"/>
                  <w:divBdr>
                    <w:top w:val="none" w:sz="0" w:space="0" w:color="auto"/>
                    <w:left w:val="none" w:sz="0" w:space="0" w:color="auto"/>
                    <w:bottom w:val="none" w:sz="0" w:space="0" w:color="auto"/>
                    <w:right w:val="none" w:sz="0" w:space="0" w:color="auto"/>
                  </w:divBdr>
                  <w:divsChild>
                    <w:div w:id="660548494">
                      <w:marLeft w:val="0"/>
                      <w:marRight w:val="0"/>
                      <w:marTop w:val="0"/>
                      <w:marBottom w:val="0"/>
                      <w:divBdr>
                        <w:top w:val="none" w:sz="0" w:space="0" w:color="auto"/>
                        <w:left w:val="none" w:sz="0" w:space="0" w:color="auto"/>
                        <w:bottom w:val="none" w:sz="0" w:space="0" w:color="auto"/>
                        <w:right w:val="none" w:sz="0" w:space="0" w:color="auto"/>
                      </w:divBdr>
                    </w:div>
                  </w:divsChild>
                </w:div>
                <w:div w:id="1849441157">
                  <w:marLeft w:val="0"/>
                  <w:marRight w:val="0"/>
                  <w:marTop w:val="0"/>
                  <w:marBottom w:val="0"/>
                  <w:divBdr>
                    <w:top w:val="none" w:sz="0" w:space="0" w:color="auto"/>
                    <w:left w:val="none" w:sz="0" w:space="0" w:color="auto"/>
                    <w:bottom w:val="none" w:sz="0" w:space="0" w:color="auto"/>
                    <w:right w:val="none" w:sz="0" w:space="0" w:color="auto"/>
                  </w:divBdr>
                  <w:divsChild>
                    <w:div w:id="614017610">
                      <w:marLeft w:val="0"/>
                      <w:marRight w:val="0"/>
                      <w:marTop w:val="0"/>
                      <w:marBottom w:val="0"/>
                      <w:divBdr>
                        <w:top w:val="none" w:sz="0" w:space="0" w:color="auto"/>
                        <w:left w:val="none" w:sz="0" w:space="0" w:color="auto"/>
                        <w:bottom w:val="none" w:sz="0" w:space="0" w:color="auto"/>
                        <w:right w:val="none" w:sz="0" w:space="0" w:color="auto"/>
                      </w:divBdr>
                    </w:div>
                  </w:divsChild>
                </w:div>
                <w:div w:id="1852717184">
                  <w:marLeft w:val="0"/>
                  <w:marRight w:val="0"/>
                  <w:marTop w:val="0"/>
                  <w:marBottom w:val="0"/>
                  <w:divBdr>
                    <w:top w:val="none" w:sz="0" w:space="0" w:color="auto"/>
                    <w:left w:val="none" w:sz="0" w:space="0" w:color="auto"/>
                    <w:bottom w:val="none" w:sz="0" w:space="0" w:color="auto"/>
                    <w:right w:val="none" w:sz="0" w:space="0" w:color="auto"/>
                  </w:divBdr>
                  <w:divsChild>
                    <w:div w:id="70394465">
                      <w:marLeft w:val="0"/>
                      <w:marRight w:val="0"/>
                      <w:marTop w:val="0"/>
                      <w:marBottom w:val="0"/>
                      <w:divBdr>
                        <w:top w:val="none" w:sz="0" w:space="0" w:color="auto"/>
                        <w:left w:val="none" w:sz="0" w:space="0" w:color="auto"/>
                        <w:bottom w:val="none" w:sz="0" w:space="0" w:color="auto"/>
                        <w:right w:val="none" w:sz="0" w:space="0" w:color="auto"/>
                      </w:divBdr>
                    </w:div>
                  </w:divsChild>
                </w:div>
                <w:div w:id="1853566214">
                  <w:marLeft w:val="0"/>
                  <w:marRight w:val="0"/>
                  <w:marTop w:val="0"/>
                  <w:marBottom w:val="0"/>
                  <w:divBdr>
                    <w:top w:val="none" w:sz="0" w:space="0" w:color="auto"/>
                    <w:left w:val="none" w:sz="0" w:space="0" w:color="auto"/>
                    <w:bottom w:val="none" w:sz="0" w:space="0" w:color="auto"/>
                    <w:right w:val="none" w:sz="0" w:space="0" w:color="auto"/>
                  </w:divBdr>
                  <w:divsChild>
                    <w:div w:id="800995668">
                      <w:marLeft w:val="0"/>
                      <w:marRight w:val="0"/>
                      <w:marTop w:val="0"/>
                      <w:marBottom w:val="0"/>
                      <w:divBdr>
                        <w:top w:val="none" w:sz="0" w:space="0" w:color="auto"/>
                        <w:left w:val="none" w:sz="0" w:space="0" w:color="auto"/>
                        <w:bottom w:val="none" w:sz="0" w:space="0" w:color="auto"/>
                        <w:right w:val="none" w:sz="0" w:space="0" w:color="auto"/>
                      </w:divBdr>
                    </w:div>
                  </w:divsChild>
                </w:div>
                <w:div w:id="1866944817">
                  <w:marLeft w:val="0"/>
                  <w:marRight w:val="0"/>
                  <w:marTop w:val="0"/>
                  <w:marBottom w:val="0"/>
                  <w:divBdr>
                    <w:top w:val="none" w:sz="0" w:space="0" w:color="auto"/>
                    <w:left w:val="none" w:sz="0" w:space="0" w:color="auto"/>
                    <w:bottom w:val="none" w:sz="0" w:space="0" w:color="auto"/>
                    <w:right w:val="none" w:sz="0" w:space="0" w:color="auto"/>
                  </w:divBdr>
                  <w:divsChild>
                    <w:div w:id="152141092">
                      <w:marLeft w:val="0"/>
                      <w:marRight w:val="0"/>
                      <w:marTop w:val="0"/>
                      <w:marBottom w:val="0"/>
                      <w:divBdr>
                        <w:top w:val="none" w:sz="0" w:space="0" w:color="auto"/>
                        <w:left w:val="none" w:sz="0" w:space="0" w:color="auto"/>
                        <w:bottom w:val="none" w:sz="0" w:space="0" w:color="auto"/>
                        <w:right w:val="none" w:sz="0" w:space="0" w:color="auto"/>
                      </w:divBdr>
                    </w:div>
                  </w:divsChild>
                </w:div>
                <w:div w:id="1897206241">
                  <w:marLeft w:val="0"/>
                  <w:marRight w:val="0"/>
                  <w:marTop w:val="0"/>
                  <w:marBottom w:val="0"/>
                  <w:divBdr>
                    <w:top w:val="none" w:sz="0" w:space="0" w:color="auto"/>
                    <w:left w:val="none" w:sz="0" w:space="0" w:color="auto"/>
                    <w:bottom w:val="none" w:sz="0" w:space="0" w:color="auto"/>
                    <w:right w:val="none" w:sz="0" w:space="0" w:color="auto"/>
                  </w:divBdr>
                  <w:divsChild>
                    <w:div w:id="2071658936">
                      <w:marLeft w:val="0"/>
                      <w:marRight w:val="0"/>
                      <w:marTop w:val="0"/>
                      <w:marBottom w:val="0"/>
                      <w:divBdr>
                        <w:top w:val="none" w:sz="0" w:space="0" w:color="auto"/>
                        <w:left w:val="none" w:sz="0" w:space="0" w:color="auto"/>
                        <w:bottom w:val="none" w:sz="0" w:space="0" w:color="auto"/>
                        <w:right w:val="none" w:sz="0" w:space="0" w:color="auto"/>
                      </w:divBdr>
                    </w:div>
                  </w:divsChild>
                </w:div>
                <w:div w:id="1898280712">
                  <w:marLeft w:val="0"/>
                  <w:marRight w:val="0"/>
                  <w:marTop w:val="0"/>
                  <w:marBottom w:val="0"/>
                  <w:divBdr>
                    <w:top w:val="none" w:sz="0" w:space="0" w:color="auto"/>
                    <w:left w:val="none" w:sz="0" w:space="0" w:color="auto"/>
                    <w:bottom w:val="none" w:sz="0" w:space="0" w:color="auto"/>
                    <w:right w:val="none" w:sz="0" w:space="0" w:color="auto"/>
                  </w:divBdr>
                  <w:divsChild>
                    <w:div w:id="674187278">
                      <w:marLeft w:val="0"/>
                      <w:marRight w:val="0"/>
                      <w:marTop w:val="0"/>
                      <w:marBottom w:val="0"/>
                      <w:divBdr>
                        <w:top w:val="none" w:sz="0" w:space="0" w:color="auto"/>
                        <w:left w:val="none" w:sz="0" w:space="0" w:color="auto"/>
                        <w:bottom w:val="none" w:sz="0" w:space="0" w:color="auto"/>
                        <w:right w:val="none" w:sz="0" w:space="0" w:color="auto"/>
                      </w:divBdr>
                    </w:div>
                  </w:divsChild>
                </w:div>
                <w:div w:id="1912110256">
                  <w:marLeft w:val="0"/>
                  <w:marRight w:val="0"/>
                  <w:marTop w:val="0"/>
                  <w:marBottom w:val="0"/>
                  <w:divBdr>
                    <w:top w:val="none" w:sz="0" w:space="0" w:color="auto"/>
                    <w:left w:val="none" w:sz="0" w:space="0" w:color="auto"/>
                    <w:bottom w:val="none" w:sz="0" w:space="0" w:color="auto"/>
                    <w:right w:val="none" w:sz="0" w:space="0" w:color="auto"/>
                  </w:divBdr>
                  <w:divsChild>
                    <w:div w:id="1689060822">
                      <w:marLeft w:val="0"/>
                      <w:marRight w:val="0"/>
                      <w:marTop w:val="0"/>
                      <w:marBottom w:val="0"/>
                      <w:divBdr>
                        <w:top w:val="none" w:sz="0" w:space="0" w:color="auto"/>
                        <w:left w:val="none" w:sz="0" w:space="0" w:color="auto"/>
                        <w:bottom w:val="none" w:sz="0" w:space="0" w:color="auto"/>
                        <w:right w:val="none" w:sz="0" w:space="0" w:color="auto"/>
                      </w:divBdr>
                    </w:div>
                  </w:divsChild>
                </w:div>
                <w:div w:id="1928534705">
                  <w:marLeft w:val="0"/>
                  <w:marRight w:val="0"/>
                  <w:marTop w:val="0"/>
                  <w:marBottom w:val="0"/>
                  <w:divBdr>
                    <w:top w:val="none" w:sz="0" w:space="0" w:color="auto"/>
                    <w:left w:val="none" w:sz="0" w:space="0" w:color="auto"/>
                    <w:bottom w:val="none" w:sz="0" w:space="0" w:color="auto"/>
                    <w:right w:val="none" w:sz="0" w:space="0" w:color="auto"/>
                  </w:divBdr>
                  <w:divsChild>
                    <w:div w:id="1407335264">
                      <w:marLeft w:val="0"/>
                      <w:marRight w:val="0"/>
                      <w:marTop w:val="0"/>
                      <w:marBottom w:val="0"/>
                      <w:divBdr>
                        <w:top w:val="none" w:sz="0" w:space="0" w:color="auto"/>
                        <w:left w:val="none" w:sz="0" w:space="0" w:color="auto"/>
                        <w:bottom w:val="none" w:sz="0" w:space="0" w:color="auto"/>
                        <w:right w:val="none" w:sz="0" w:space="0" w:color="auto"/>
                      </w:divBdr>
                    </w:div>
                  </w:divsChild>
                </w:div>
                <w:div w:id="1931574764">
                  <w:marLeft w:val="0"/>
                  <w:marRight w:val="0"/>
                  <w:marTop w:val="0"/>
                  <w:marBottom w:val="0"/>
                  <w:divBdr>
                    <w:top w:val="none" w:sz="0" w:space="0" w:color="auto"/>
                    <w:left w:val="none" w:sz="0" w:space="0" w:color="auto"/>
                    <w:bottom w:val="none" w:sz="0" w:space="0" w:color="auto"/>
                    <w:right w:val="none" w:sz="0" w:space="0" w:color="auto"/>
                  </w:divBdr>
                  <w:divsChild>
                    <w:div w:id="21128742">
                      <w:marLeft w:val="0"/>
                      <w:marRight w:val="0"/>
                      <w:marTop w:val="0"/>
                      <w:marBottom w:val="0"/>
                      <w:divBdr>
                        <w:top w:val="none" w:sz="0" w:space="0" w:color="auto"/>
                        <w:left w:val="none" w:sz="0" w:space="0" w:color="auto"/>
                        <w:bottom w:val="none" w:sz="0" w:space="0" w:color="auto"/>
                        <w:right w:val="none" w:sz="0" w:space="0" w:color="auto"/>
                      </w:divBdr>
                    </w:div>
                  </w:divsChild>
                </w:div>
                <w:div w:id="1947808211">
                  <w:marLeft w:val="0"/>
                  <w:marRight w:val="0"/>
                  <w:marTop w:val="0"/>
                  <w:marBottom w:val="0"/>
                  <w:divBdr>
                    <w:top w:val="none" w:sz="0" w:space="0" w:color="auto"/>
                    <w:left w:val="none" w:sz="0" w:space="0" w:color="auto"/>
                    <w:bottom w:val="none" w:sz="0" w:space="0" w:color="auto"/>
                    <w:right w:val="none" w:sz="0" w:space="0" w:color="auto"/>
                  </w:divBdr>
                  <w:divsChild>
                    <w:div w:id="689716985">
                      <w:marLeft w:val="0"/>
                      <w:marRight w:val="0"/>
                      <w:marTop w:val="0"/>
                      <w:marBottom w:val="0"/>
                      <w:divBdr>
                        <w:top w:val="none" w:sz="0" w:space="0" w:color="auto"/>
                        <w:left w:val="none" w:sz="0" w:space="0" w:color="auto"/>
                        <w:bottom w:val="none" w:sz="0" w:space="0" w:color="auto"/>
                        <w:right w:val="none" w:sz="0" w:space="0" w:color="auto"/>
                      </w:divBdr>
                    </w:div>
                  </w:divsChild>
                </w:div>
                <w:div w:id="1973366262">
                  <w:marLeft w:val="0"/>
                  <w:marRight w:val="0"/>
                  <w:marTop w:val="0"/>
                  <w:marBottom w:val="0"/>
                  <w:divBdr>
                    <w:top w:val="none" w:sz="0" w:space="0" w:color="auto"/>
                    <w:left w:val="none" w:sz="0" w:space="0" w:color="auto"/>
                    <w:bottom w:val="none" w:sz="0" w:space="0" w:color="auto"/>
                    <w:right w:val="none" w:sz="0" w:space="0" w:color="auto"/>
                  </w:divBdr>
                  <w:divsChild>
                    <w:div w:id="1637954727">
                      <w:marLeft w:val="0"/>
                      <w:marRight w:val="0"/>
                      <w:marTop w:val="0"/>
                      <w:marBottom w:val="0"/>
                      <w:divBdr>
                        <w:top w:val="none" w:sz="0" w:space="0" w:color="auto"/>
                        <w:left w:val="none" w:sz="0" w:space="0" w:color="auto"/>
                        <w:bottom w:val="none" w:sz="0" w:space="0" w:color="auto"/>
                        <w:right w:val="none" w:sz="0" w:space="0" w:color="auto"/>
                      </w:divBdr>
                    </w:div>
                  </w:divsChild>
                </w:div>
                <w:div w:id="2003773409">
                  <w:marLeft w:val="0"/>
                  <w:marRight w:val="0"/>
                  <w:marTop w:val="0"/>
                  <w:marBottom w:val="0"/>
                  <w:divBdr>
                    <w:top w:val="none" w:sz="0" w:space="0" w:color="auto"/>
                    <w:left w:val="none" w:sz="0" w:space="0" w:color="auto"/>
                    <w:bottom w:val="none" w:sz="0" w:space="0" w:color="auto"/>
                    <w:right w:val="none" w:sz="0" w:space="0" w:color="auto"/>
                  </w:divBdr>
                  <w:divsChild>
                    <w:div w:id="1788163295">
                      <w:marLeft w:val="0"/>
                      <w:marRight w:val="0"/>
                      <w:marTop w:val="0"/>
                      <w:marBottom w:val="0"/>
                      <w:divBdr>
                        <w:top w:val="none" w:sz="0" w:space="0" w:color="auto"/>
                        <w:left w:val="none" w:sz="0" w:space="0" w:color="auto"/>
                        <w:bottom w:val="none" w:sz="0" w:space="0" w:color="auto"/>
                        <w:right w:val="none" w:sz="0" w:space="0" w:color="auto"/>
                      </w:divBdr>
                    </w:div>
                  </w:divsChild>
                </w:div>
                <w:div w:id="2003923908">
                  <w:marLeft w:val="0"/>
                  <w:marRight w:val="0"/>
                  <w:marTop w:val="0"/>
                  <w:marBottom w:val="0"/>
                  <w:divBdr>
                    <w:top w:val="none" w:sz="0" w:space="0" w:color="auto"/>
                    <w:left w:val="none" w:sz="0" w:space="0" w:color="auto"/>
                    <w:bottom w:val="none" w:sz="0" w:space="0" w:color="auto"/>
                    <w:right w:val="none" w:sz="0" w:space="0" w:color="auto"/>
                  </w:divBdr>
                  <w:divsChild>
                    <w:div w:id="1280532560">
                      <w:marLeft w:val="0"/>
                      <w:marRight w:val="0"/>
                      <w:marTop w:val="0"/>
                      <w:marBottom w:val="0"/>
                      <w:divBdr>
                        <w:top w:val="none" w:sz="0" w:space="0" w:color="auto"/>
                        <w:left w:val="none" w:sz="0" w:space="0" w:color="auto"/>
                        <w:bottom w:val="none" w:sz="0" w:space="0" w:color="auto"/>
                        <w:right w:val="none" w:sz="0" w:space="0" w:color="auto"/>
                      </w:divBdr>
                    </w:div>
                  </w:divsChild>
                </w:div>
                <w:div w:id="2019698443">
                  <w:marLeft w:val="0"/>
                  <w:marRight w:val="0"/>
                  <w:marTop w:val="0"/>
                  <w:marBottom w:val="0"/>
                  <w:divBdr>
                    <w:top w:val="none" w:sz="0" w:space="0" w:color="auto"/>
                    <w:left w:val="none" w:sz="0" w:space="0" w:color="auto"/>
                    <w:bottom w:val="none" w:sz="0" w:space="0" w:color="auto"/>
                    <w:right w:val="none" w:sz="0" w:space="0" w:color="auto"/>
                  </w:divBdr>
                  <w:divsChild>
                    <w:div w:id="48266288">
                      <w:marLeft w:val="0"/>
                      <w:marRight w:val="0"/>
                      <w:marTop w:val="0"/>
                      <w:marBottom w:val="0"/>
                      <w:divBdr>
                        <w:top w:val="none" w:sz="0" w:space="0" w:color="auto"/>
                        <w:left w:val="none" w:sz="0" w:space="0" w:color="auto"/>
                        <w:bottom w:val="none" w:sz="0" w:space="0" w:color="auto"/>
                        <w:right w:val="none" w:sz="0" w:space="0" w:color="auto"/>
                      </w:divBdr>
                    </w:div>
                  </w:divsChild>
                </w:div>
                <w:div w:id="2032100958">
                  <w:marLeft w:val="0"/>
                  <w:marRight w:val="0"/>
                  <w:marTop w:val="0"/>
                  <w:marBottom w:val="0"/>
                  <w:divBdr>
                    <w:top w:val="none" w:sz="0" w:space="0" w:color="auto"/>
                    <w:left w:val="none" w:sz="0" w:space="0" w:color="auto"/>
                    <w:bottom w:val="none" w:sz="0" w:space="0" w:color="auto"/>
                    <w:right w:val="none" w:sz="0" w:space="0" w:color="auto"/>
                  </w:divBdr>
                  <w:divsChild>
                    <w:div w:id="2085685619">
                      <w:marLeft w:val="0"/>
                      <w:marRight w:val="0"/>
                      <w:marTop w:val="0"/>
                      <w:marBottom w:val="0"/>
                      <w:divBdr>
                        <w:top w:val="none" w:sz="0" w:space="0" w:color="auto"/>
                        <w:left w:val="none" w:sz="0" w:space="0" w:color="auto"/>
                        <w:bottom w:val="none" w:sz="0" w:space="0" w:color="auto"/>
                        <w:right w:val="none" w:sz="0" w:space="0" w:color="auto"/>
                      </w:divBdr>
                    </w:div>
                  </w:divsChild>
                </w:div>
                <w:div w:id="2035037490">
                  <w:marLeft w:val="0"/>
                  <w:marRight w:val="0"/>
                  <w:marTop w:val="0"/>
                  <w:marBottom w:val="0"/>
                  <w:divBdr>
                    <w:top w:val="none" w:sz="0" w:space="0" w:color="auto"/>
                    <w:left w:val="none" w:sz="0" w:space="0" w:color="auto"/>
                    <w:bottom w:val="none" w:sz="0" w:space="0" w:color="auto"/>
                    <w:right w:val="none" w:sz="0" w:space="0" w:color="auto"/>
                  </w:divBdr>
                  <w:divsChild>
                    <w:div w:id="1181356677">
                      <w:marLeft w:val="0"/>
                      <w:marRight w:val="0"/>
                      <w:marTop w:val="0"/>
                      <w:marBottom w:val="0"/>
                      <w:divBdr>
                        <w:top w:val="none" w:sz="0" w:space="0" w:color="auto"/>
                        <w:left w:val="none" w:sz="0" w:space="0" w:color="auto"/>
                        <w:bottom w:val="none" w:sz="0" w:space="0" w:color="auto"/>
                        <w:right w:val="none" w:sz="0" w:space="0" w:color="auto"/>
                      </w:divBdr>
                    </w:div>
                  </w:divsChild>
                </w:div>
                <w:div w:id="2045909633">
                  <w:marLeft w:val="0"/>
                  <w:marRight w:val="0"/>
                  <w:marTop w:val="0"/>
                  <w:marBottom w:val="0"/>
                  <w:divBdr>
                    <w:top w:val="none" w:sz="0" w:space="0" w:color="auto"/>
                    <w:left w:val="none" w:sz="0" w:space="0" w:color="auto"/>
                    <w:bottom w:val="none" w:sz="0" w:space="0" w:color="auto"/>
                    <w:right w:val="none" w:sz="0" w:space="0" w:color="auto"/>
                  </w:divBdr>
                  <w:divsChild>
                    <w:div w:id="1519078835">
                      <w:marLeft w:val="0"/>
                      <w:marRight w:val="0"/>
                      <w:marTop w:val="0"/>
                      <w:marBottom w:val="0"/>
                      <w:divBdr>
                        <w:top w:val="none" w:sz="0" w:space="0" w:color="auto"/>
                        <w:left w:val="none" w:sz="0" w:space="0" w:color="auto"/>
                        <w:bottom w:val="none" w:sz="0" w:space="0" w:color="auto"/>
                        <w:right w:val="none" w:sz="0" w:space="0" w:color="auto"/>
                      </w:divBdr>
                    </w:div>
                  </w:divsChild>
                </w:div>
                <w:div w:id="2047946107">
                  <w:marLeft w:val="0"/>
                  <w:marRight w:val="0"/>
                  <w:marTop w:val="0"/>
                  <w:marBottom w:val="0"/>
                  <w:divBdr>
                    <w:top w:val="none" w:sz="0" w:space="0" w:color="auto"/>
                    <w:left w:val="none" w:sz="0" w:space="0" w:color="auto"/>
                    <w:bottom w:val="none" w:sz="0" w:space="0" w:color="auto"/>
                    <w:right w:val="none" w:sz="0" w:space="0" w:color="auto"/>
                  </w:divBdr>
                  <w:divsChild>
                    <w:div w:id="1001081287">
                      <w:marLeft w:val="0"/>
                      <w:marRight w:val="0"/>
                      <w:marTop w:val="0"/>
                      <w:marBottom w:val="0"/>
                      <w:divBdr>
                        <w:top w:val="none" w:sz="0" w:space="0" w:color="auto"/>
                        <w:left w:val="none" w:sz="0" w:space="0" w:color="auto"/>
                        <w:bottom w:val="none" w:sz="0" w:space="0" w:color="auto"/>
                        <w:right w:val="none" w:sz="0" w:space="0" w:color="auto"/>
                      </w:divBdr>
                    </w:div>
                  </w:divsChild>
                </w:div>
                <w:div w:id="2057461632">
                  <w:marLeft w:val="0"/>
                  <w:marRight w:val="0"/>
                  <w:marTop w:val="0"/>
                  <w:marBottom w:val="0"/>
                  <w:divBdr>
                    <w:top w:val="none" w:sz="0" w:space="0" w:color="auto"/>
                    <w:left w:val="none" w:sz="0" w:space="0" w:color="auto"/>
                    <w:bottom w:val="none" w:sz="0" w:space="0" w:color="auto"/>
                    <w:right w:val="none" w:sz="0" w:space="0" w:color="auto"/>
                  </w:divBdr>
                  <w:divsChild>
                    <w:div w:id="1226643170">
                      <w:marLeft w:val="0"/>
                      <w:marRight w:val="0"/>
                      <w:marTop w:val="0"/>
                      <w:marBottom w:val="0"/>
                      <w:divBdr>
                        <w:top w:val="none" w:sz="0" w:space="0" w:color="auto"/>
                        <w:left w:val="none" w:sz="0" w:space="0" w:color="auto"/>
                        <w:bottom w:val="none" w:sz="0" w:space="0" w:color="auto"/>
                        <w:right w:val="none" w:sz="0" w:space="0" w:color="auto"/>
                      </w:divBdr>
                    </w:div>
                  </w:divsChild>
                </w:div>
                <w:div w:id="2061054595">
                  <w:marLeft w:val="0"/>
                  <w:marRight w:val="0"/>
                  <w:marTop w:val="0"/>
                  <w:marBottom w:val="0"/>
                  <w:divBdr>
                    <w:top w:val="none" w:sz="0" w:space="0" w:color="auto"/>
                    <w:left w:val="none" w:sz="0" w:space="0" w:color="auto"/>
                    <w:bottom w:val="none" w:sz="0" w:space="0" w:color="auto"/>
                    <w:right w:val="none" w:sz="0" w:space="0" w:color="auto"/>
                  </w:divBdr>
                  <w:divsChild>
                    <w:div w:id="1406800407">
                      <w:marLeft w:val="0"/>
                      <w:marRight w:val="0"/>
                      <w:marTop w:val="0"/>
                      <w:marBottom w:val="0"/>
                      <w:divBdr>
                        <w:top w:val="none" w:sz="0" w:space="0" w:color="auto"/>
                        <w:left w:val="none" w:sz="0" w:space="0" w:color="auto"/>
                        <w:bottom w:val="none" w:sz="0" w:space="0" w:color="auto"/>
                        <w:right w:val="none" w:sz="0" w:space="0" w:color="auto"/>
                      </w:divBdr>
                    </w:div>
                  </w:divsChild>
                </w:div>
                <w:div w:id="2068258029">
                  <w:marLeft w:val="0"/>
                  <w:marRight w:val="0"/>
                  <w:marTop w:val="0"/>
                  <w:marBottom w:val="0"/>
                  <w:divBdr>
                    <w:top w:val="none" w:sz="0" w:space="0" w:color="auto"/>
                    <w:left w:val="none" w:sz="0" w:space="0" w:color="auto"/>
                    <w:bottom w:val="none" w:sz="0" w:space="0" w:color="auto"/>
                    <w:right w:val="none" w:sz="0" w:space="0" w:color="auto"/>
                  </w:divBdr>
                  <w:divsChild>
                    <w:div w:id="1204561649">
                      <w:marLeft w:val="0"/>
                      <w:marRight w:val="0"/>
                      <w:marTop w:val="0"/>
                      <w:marBottom w:val="0"/>
                      <w:divBdr>
                        <w:top w:val="none" w:sz="0" w:space="0" w:color="auto"/>
                        <w:left w:val="none" w:sz="0" w:space="0" w:color="auto"/>
                        <w:bottom w:val="none" w:sz="0" w:space="0" w:color="auto"/>
                        <w:right w:val="none" w:sz="0" w:space="0" w:color="auto"/>
                      </w:divBdr>
                    </w:div>
                  </w:divsChild>
                </w:div>
                <w:div w:id="2078236929">
                  <w:marLeft w:val="0"/>
                  <w:marRight w:val="0"/>
                  <w:marTop w:val="0"/>
                  <w:marBottom w:val="0"/>
                  <w:divBdr>
                    <w:top w:val="none" w:sz="0" w:space="0" w:color="auto"/>
                    <w:left w:val="none" w:sz="0" w:space="0" w:color="auto"/>
                    <w:bottom w:val="none" w:sz="0" w:space="0" w:color="auto"/>
                    <w:right w:val="none" w:sz="0" w:space="0" w:color="auto"/>
                  </w:divBdr>
                  <w:divsChild>
                    <w:div w:id="106393164">
                      <w:marLeft w:val="0"/>
                      <w:marRight w:val="0"/>
                      <w:marTop w:val="0"/>
                      <w:marBottom w:val="0"/>
                      <w:divBdr>
                        <w:top w:val="none" w:sz="0" w:space="0" w:color="auto"/>
                        <w:left w:val="none" w:sz="0" w:space="0" w:color="auto"/>
                        <w:bottom w:val="none" w:sz="0" w:space="0" w:color="auto"/>
                        <w:right w:val="none" w:sz="0" w:space="0" w:color="auto"/>
                      </w:divBdr>
                    </w:div>
                  </w:divsChild>
                </w:div>
                <w:div w:id="2081175246">
                  <w:marLeft w:val="0"/>
                  <w:marRight w:val="0"/>
                  <w:marTop w:val="0"/>
                  <w:marBottom w:val="0"/>
                  <w:divBdr>
                    <w:top w:val="none" w:sz="0" w:space="0" w:color="auto"/>
                    <w:left w:val="none" w:sz="0" w:space="0" w:color="auto"/>
                    <w:bottom w:val="none" w:sz="0" w:space="0" w:color="auto"/>
                    <w:right w:val="none" w:sz="0" w:space="0" w:color="auto"/>
                  </w:divBdr>
                  <w:divsChild>
                    <w:div w:id="823277732">
                      <w:marLeft w:val="0"/>
                      <w:marRight w:val="0"/>
                      <w:marTop w:val="0"/>
                      <w:marBottom w:val="0"/>
                      <w:divBdr>
                        <w:top w:val="none" w:sz="0" w:space="0" w:color="auto"/>
                        <w:left w:val="none" w:sz="0" w:space="0" w:color="auto"/>
                        <w:bottom w:val="none" w:sz="0" w:space="0" w:color="auto"/>
                        <w:right w:val="none" w:sz="0" w:space="0" w:color="auto"/>
                      </w:divBdr>
                    </w:div>
                  </w:divsChild>
                </w:div>
                <w:div w:id="2093504091">
                  <w:marLeft w:val="0"/>
                  <w:marRight w:val="0"/>
                  <w:marTop w:val="0"/>
                  <w:marBottom w:val="0"/>
                  <w:divBdr>
                    <w:top w:val="none" w:sz="0" w:space="0" w:color="auto"/>
                    <w:left w:val="none" w:sz="0" w:space="0" w:color="auto"/>
                    <w:bottom w:val="none" w:sz="0" w:space="0" w:color="auto"/>
                    <w:right w:val="none" w:sz="0" w:space="0" w:color="auto"/>
                  </w:divBdr>
                  <w:divsChild>
                    <w:div w:id="609361545">
                      <w:marLeft w:val="0"/>
                      <w:marRight w:val="0"/>
                      <w:marTop w:val="0"/>
                      <w:marBottom w:val="0"/>
                      <w:divBdr>
                        <w:top w:val="none" w:sz="0" w:space="0" w:color="auto"/>
                        <w:left w:val="none" w:sz="0" w:space="0" w:color="auto"/>
                        <w:bottom w:val="none" w:sz="0" w:space="0" w:color="auto"/>
                        <w:right w:val="none" w:sz="0" w:space="0" w:color="auto"/>
                      </w:divBdr>
                    </w:div>
                  </w:divsChild>
                </w:div>
                <w:div w:id="2094279408">
                  <w:marLeft w:val="0"/>
                  <w:marRight w:val="0"/>
                  <w:marTop w:val="0"/>
                  <w:marBottom w:val="0"/>
                  <w:divBdr>
                    <w:top w:val="none" w:sz="0" w:space="0" w:color="auto"/>
                    <w:left w:val="none" w:sz="0" w:space="0" w:color="auto"/>
                    <w:bottom w:val="none" w:sz="0" w:space="0" w:color="auto"/>
                    <w:right w:val="none" w:sz="0" w:space="0" w:color="auto"/>
                  </w:divBdr>
                  <w:divsChild>
                    <w:div w:id="1721787189">
                      <w:marLeft w:val="0"/>
                      <w:marRight w:val="0"/>
                      <w:marTop w:val="0"/>
                      <w:marBottom w:val="0"/>
                      <w:divBdr>
                        <w:top w:val="none" w:sz="0" w:space="0" w:color="auto"/>
                        <w:left w:val="none" w:sz="0" w:space="0" w:color="auto"/>
                        <w:bottom w:val="none" w:sz="0" w:space="0" w:color="auto"/>
                        <w:right w:val="none" w:sz="0" w:space="0" w:color="auto"/>
                      </w:divBdr>
                    </w:div>
                  </w:divsChild>
                </w:div>
                <w:div w:id="2138185122">
                  <w:marLeft w:val="0"/>
                  <w:marRight w:val="0"/>
                  <w:marTop w:val="0"/>
                  <w:marBottom w:val="0"/>
                  <w:divBdr>
                    <w:top w:val="none" w:sz="0" w:space="0" w:color="auto"/>
                    <w:left w:val="none" w:sz="0" w:space="0" w:color="auto"/>
                    <w:bottom w:val="none" w:sz="0" w:space="0" w:color="auto"/>
                    <w:right w:val="none" w:sz="0" w:space="0" w:color="auto"/>
                  </w:divBdr>
                  <w:divsChild>
                    <w:div w:id="207585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81405">
          <w:marLeft w:val="0"/>
          <w:marRight w:val="0"/>
          <w:marTop w:val="0"/>
          <w:marBottom w:val="0"/>
          <w:divBdr>
            <w:top w:val="none" w:sz="0" w:space="0" w:color="auto"/>
            <w:left w:val="none" w:sz="0" w:space="0" w:color="auto"/>
            <w:bottom w:val="none" w:sz="0" w:space="0" w:color="auto"/>
            <w:right w:val="none" w:sz="0" w:space="0" w:color="auto"/>
          </w:divBdr>
          <w:divsChild>
            <w:div w:id="1614627562">
              <w:marLeft w:val="0"/>
              <w:marRight w:val="0"/>
              <w:marTop w:val="0"/>
              <w:marBottom w:val="0"/>
              <w:divBdr>
                <w:top w:val="none" w:sz="0" w:space="0" w:color="auto"/>
                <w:left w:val="none" w:sz="0" w:space="0" w:color="auto"/>
                <w:bottom w:val="none" w:sz="0" w:space="0" w:color="auto"/>
                <w:right w:val="none" w:sz="0" w:space="0" w:color="auto"/>
              </w:divBdr>
            </w:div>
          </w:divsChild>
        </w:div>
        <w:div w:id="383917136">
          <w:marLeft w:val="0"/>
          <w:marRight w:val="0"/>
          <w:marTop w:val="0"/>
          <w:marBottom w:val="0"/>
          <w:divBdr>
            <w:top w:val="none" w:sz="0" w:space="0" w:color="auto"/>
            <w:left w:val="none" w:sz="0" w:space="0" w:color="auto"/>
            <w:bottom w:val="none" w:sz="0" w:space="0" w:color="auto"/>
            <w:right w:val="none" w:sz="0" w:space="0" w:color="auto"/>
          </w:divBdr>
        </w:div>
        <w:div w:id="450903958">
          <w:marLeft w:val="0"/>
          <w:marRight w:val="0"/>
          <w:marTop w:val="0"/>
          <w:marBottom w:val="0"/>
          <w:divBdr>
            <w:top w:val="none" w:sz="0" w:space="0" w:color="auto"/>
            <w:left w:val="none" w:sz="0" w:space="0" w:color="auto"/>
            <w:bottom w:val="none" w:sz="0" w:space="0" w:color="auto"/>
            <w:right w:val="none" w:sz="0" w:space="0" w:color="auto"/>
          </w:divBdr>
          <w:divsChild>
            <w:div w:id="18361723">
              <w:marLeft w:val="0"/>
              <w:marRight w:val="0"/>
              <w:marTop w:val="0"/>
              <w:marBottom w:val="0"/>
              <w:divBdr>
                <w:top w:val="none" w:sz="0" w:space="0" w:color="auto"/>
                <w:left w:val="none" w:sz="0" w:space="0" w:color="auto"/>
                <w:bottom w:val="none" w:sz="0" w:space="0" w:color="auto"/>
                <w:right w:val="none" w:sz="0" w:space="0" w:color="auto"/>
              </w:divBdr>
            </w:div>
            <w:div w:id="212817169">
              <w:marLeft w:val="0"/>
              <w:marRight w:val="0"/>
              <w:marTop w:val="0"/>
              <w:marBottom w:val="0"/>
              <w:divBdr>
                <w:top w:val="none" w:sz="0" w:space="0" w:color="auto"/>
                <w:left w:val="none" w:sz="0" w:space="0" w:color="auto"/>
                <w:bottom w:val="none" w:sz="0" w:space="0" w:color="auto"/>
                <w:right w:val="none" w:sz="0" w:space="0" w:color="auto"/>
              </w:divBdr>
            </w:div>
            <w:div w:id="797527039">
              <w:marLeft w:val="0"/>
              <w:marRight w:val="0"/>
              <w:marTop w:val="0"/>
              <w:marBottom w:val="0"/>
              <w:divBdr>
                <w:top w:val="none" w:sz="0" w:space="0" w:color="auto"/>
                <w:left w:val="none" w:sz="0" w:space="0" w:color="auto"/>
                <w:bottom w:val="none" w:sz="0" w:space="0" w:color="auto"/>
                <w:right w:val="none" w:sz="0" w:space="0" w:color="auto"/>
              </w:divBdr>
            </w:div>
            <w:div w:id="1488208161">
              <w:marLeft w:val="0"/>
              <w:marRight w:val="0"/>
              <w:marTop w:val="0"/>
              <w:marBottom w:val="0"/>
              <w:divBdr>
                <w:top w:val="none" w:sz="0" w:space="0" w:color="auto"/>
                <w:left w:val="none" w:sz="0" w:space="0" w:color="auto"/>
                <w:bottom w:val="none" w:sz="0" w:space="0" w:color="auto"/>
                <w:right w:val="none" w:sz="0" w:space="0" w:color="auto"/>
              </w:divBdr>
            </w:div>
            <w:div w:id="2083988900">
              <w:marLeft w:val="0"/>
              <w:marRight w:val="0"/>
              <w:marTop w:val="0"/>
              <w:marBottom w:val="0"/>
              <w:divBdr>
                <w:top w:val="none" w:sz="0" w:space="0" w:color="auto"/>
                <w:left w:val="none" w:sz="0" w:space="0" w:color="auto"/>
                <w:bottom w:val="none" w:sz="0" w:space="0" w:color="auto"/>
                <w:right w:val="none" w:sz="0" w:space="0" w:color="auto"/>
              </w:divBdr>
            </w:div>
          </w:divsChild>
        </w:div>
        <w:div w:id="470634418">
          <w:marLeft w:val="0"/>
          <w:marRight w:val="0"/>
          <w:marTop w:val="0"/>
          <w:marBottom w:val="0"/>
          <w:divBdr>
            <w:top w:val="none" w:sz="0" w:space="0" w:color="auto"/>
            <w:left w:val="none" w:sz="0" w:space="0" w:color="auto"/>
            <w:bottom w:val="none" w:sz="0" w:space="0" w:color="auto"/>
            <w:right w:val="none" w:sz="0" w:space="0" w:color="auto"/>
          </w:divBdr>
          <w:divsChild>
            <w:div w:id="692149527">
              <w:marLeft w:val="0"/>
              <w:marRight w:val="0"/>
              <w:marTop w:val="0"/>
              <w:marBottom w:val="0"/>
              <w:divBdr>
                <w:top w:val="none" w:sz="0" w:space="0" w:color="auto"/>
                <w:left w:val="none" w:sz="0" w:space="0" w:color="auto"/>
                <w:bottom w:val="none" w:sz="0" w:space="0" w:color="auto"/>
                <w:right w:val="none" w:sz="0" w:space="0" w:color="auto"/>
              </w:divBdr>
            </w:div>
            <w:div w:id="1357119582">
              <w:marLeft w:val="0"/>
              <w:marRight w:val="0"/>
              <w:marTop w:val="0"/>
              <w:marBottom w:val="0"/>
              <w:divBdr>
                <w:top w:val="none" w:sz="0" w:space="0" w:color="auto"/>
                <w:left w:val="none" w:sz="0" w:space="0" w:color="auto"/>
                <w:bottom w:val="none" w:sz="0" w:space="0" w:color="auto"/>
                <w:right w:val="none" w:sz="0" w:space="0" w:color="auto"/>
              </w:divBdr>
            </w:div>
            <w:div w:id="1448622716">
              <w:marLeft w:val="0"/>
              <w:marRight w:val="0"/>
              <w:marTop w:val="0"/>
              <w:marBottom w:val="0"/>
              <w:divBdr>
                <w:top w:val="none" w:sz="0" w:space="0" w:color="auto"/>
                <w:left w:val="none" w:sz="0" w:space="0" w:color="auto"/>
                <w:bottom w:val="none" w:sz="0" w:space="0" w:color="auto"/>
                <w:right w:val="none" w:sz="0" w:space="0" w:color="auto"/>
              </w:divBdr>
            </w:div>
            <w:div w:id="1601528531">
              <w:marLeft w:val="0"/>
              <w:marRight w:val="0"/>
              <w:marTop w:val="0"/>
              <w:marBottom w:val="0"/>
              <w:divBdr>
                <w:top w:val="none" w:sz="0" w:space="0" w:color="auto"/>
                <w:left w:val="none" w:sz="0" w:space="0" w:color="auto"/>
                <w:bottom w:val="none" w:sz="0" w:space="0" w:color="auto"/>
                <w:right w:val="none" w:sz="0" w:space="0" w:color="auto"/>
              </w:divBdr>
            </w:div>
            <w:div w:id="2083480580">
              <w:marLeft w:val="0"/>
              <w:marRight w:val="0"/>
              <w:marTop w:val="0"/>
              <w:marBottom w:val="0"/>
              <w:divBdr>
                <w:top w:val="none" w:sz="0" w:space="0" w:color="auto"/>
                <w:left w:val="none" w:sz="0" w:space="0" w:color="auto"/>
                <w:bottom w:val="none" w:sz="0" w:space="0" w:color="auto"/>
                <w:right w:val="none" w:sz="0" w:space="0" w:color="auto"/>
              </w:divBdr>
            </w:div>
          </w:divsChild>
        </w:div>
        <w:div w:id="474760159">
          <w:marLeft w:val="0"/>
          <w:marRight w:val="0"/>
          <w:marTop w:val="0"/>
          <w:marBottom w:val="0"/>
          <w:divBdr>
            <w:top w:val="none" w:sz="0" w:space="0" w:color="auto"/>
            <w:left w:val="none" w:sz="0" w:space="0" w:color="auto"/>
            <w:bottom w:val="none" w:sz="0" w:space="0" w:color="auto"/>
            <w:right w:val="none" w:sz="0" w:space="0" w:color="auto"/>
          </w:divBdr>
        </w:div>
        <w:div w:id="479152734">
          <w:marLeft w:val="0"/>
          <w:marRight w:val="0"/>
          <w:marTop w:val="0"/>
          <w:marBottom w:val="0"/>
          <w:divBdr>
            <w:top w:val="none" w:sz="0" w:space="0" w:color="auto"/>
            <w:left w:val="none" w:sz="0" w:space="0" w:color="auto"/>
            <w:bottom w:val="none" w:sz="0" w:space="0" w:color="auto"/>
            <w:right w:val="none" w:sz="0" w:space="0" w:color="auto"/>
          </w:divBdr>
          <w:divsChild>
            <w:div w:id="1298030749">
              <w:marLeft w:val="-75"/>
              <w:marRight w:val="0"/>
              <w:marTop w:val="30"/>
              <w:marBottom w:val="30"/>
              <w:divBdr>
                <w:top w:val="none" w:sz="0" w:space="0" w:color="auto"/>
                <w:left w:val="none" w:sz="0" w:space="0" w:color="auto"/>
                <w:bottom w:val="none" w:sz="0" w:space="0" w:color="auto"/>
                <w:right w:val="none" w:sz="0" w:space="0" w:color="auto"/>
              </w:divBdr>
              <w:divsChild>
                <w:div w:id="23992123">
                  <w:marLeft w:val="0"/>
                  <w:marRight w:val="0"/>
                  <w:marTop w:val="0"/>
                  <w:marBottom w:val="0"/>
                  <w:divBdr>
                    <w:top w:val="none" w:sz="0" w:space="0" w:color="auto"/>
                    <w:left w:val="none" w:sz="0" w:space="0" w:color="auto"/>
                    <w:bottom w:val="none" w:sz="0" w:space="0" w:color="auto"/>
                    <w:right w:val="none" w:sz="0" w:space="0" w:color="auto"/>
                  </w:divBdr>
                  <w:divsChild>
                    <w:div w:id="1903369031">
                      <w:marLeft w:val="0"/>
                      <w:marRight w:val="0"/>
                      <w:marTop w:val="0"/>
                      <w:marBottom w:val="0"/>
                      <w:divBdr>
                        <w:top w:val="none" w:sz="0" w:space="0" w:color="auto"/>
                        <w:left w:val="none" w:sz="0" w:space="0" w:color="auto"/>
                        <w:bottom w:val="none" w:sz="0" w:space="0" w:color="auto"/>
                        <w:right w:val="none" w:sz="0" w:space="0" w:color="auto"/>
                      </w:divBdr>
                    </w:div>
                  </w:divsChild>
                </w:div>
                <w:div w:id="43062403">
                  <w:marLeft w:val="0"/>
                  <w:marRight w:val="0"/>
                  <w:marTop w:val="0"/>
                  <w:marBottom w:val="0"/>
                  <w:divBdr>
                    <w:top w:val="none" w:sz="0" w:space="0" w:color="auto"/>
                    <w:left w:val="none" w:sz="0" w:space="0" w:color="auto"/>
                    <w:bottom w:val="none" w:sz="0" w:space="0" w:color="auto"/>
                    <w:right w:val="none" w:sz="0" w:space="0" w:color="auto"/>
                  </w:divBdr>
                  <w:divsChild>
                    <w:div w:id="924805237">
                      <w:marLeft w:val="0"/>
                      <w:marRight w:val="0"/>
                      <w:marTop w:val="0"/>
                      <w:marBottom w:val="0"/>
                      <w:divBdr>
                        <w:top w:val="none" w:sz="0" w:space="0" w:color="auto"/>
                        <w:left w:val="none" w:sz="0" w:space="0" w:color="auto"/>
                        <w:bottom w:val="none" w:sz="0" w:space="0" w:color="auto"/>
                        <w:right w:val="none" w:sz="0" w:space="0" w:color="auto"/>
                      </w:divBdr>
                    </w:div>
                  </w:divsChild>
                </w:div>
                <w:div w:id="55514051">
                  <w:marLeft w:val="0"/>
                  <w:marRight w:val="0"/>
                  <w:marTop w:val="0"/>
                  <w:marBottom w:val="0"/>
                  <w:divBdr>
                    <w:top w:val="none" w:sz="0" w:space="0" w:color="auto"/>
                    <w:left w:val="none" w:sz="0" w:space="0" w:color="auto"/>
                    <w:bottom w:val="none" w:sz="0" w:space="0" w:color="auto"/>
                    <w:right w:val="none" w:sz="0" w:space="0" w:color="auto"/>
                  </w:divBdr>
                  <w:divsChild>
                    <w:div w:id="1891726424">
                      <w:marLeft w:val="0"/>
                      <w:marRight w:val="0"/>
                      <w:marTop w:val="0"/>
                      <w:marBottom w:val="0"/>
                      <w:divBdr>
                        <w:top w:val="none" w:sz="0" w:space="0" w:color="auto"/>
                        <w:left w:val="none" w:sz="0" w:space="0" w:color="auto"/>
                        <w:bottom w:val="none" w:sz="0" w:space="0" w:color="auto"/>
                        <w:right w:val="none" w:sz="0" w:space="0" w:color="auto"/>
                      </w:divBdr>
                    </w:div>
                  </w:divsChild>
                </w:div>
                <w:div w:id="76485950">
                  <w:marLeft w:val="0"/>
                  <w:marRight w:val="0"/>
                  <w:marTop w:val="0"/>
                  <w:marBottom w:val="0"/>
                  <w:divBdr>
                    <w:top w:val="none" w:sz="0" w:space="0" w:color="auto"/>
                    <w:left w:val="none" w:sz="0" w:space="0" w:color="auto"/>
                    <w:bottom w:val="none" w:sz="0" w:space="0" w:color="auto"/>
                    <w:right w:val="none" w:sz="0" w:space="0" w:color="auto"/>
                  </w:divBdr>
                  <w:divsChild>
                    <w:div w:id="513962903">
                      <w:marLeft w:val="0"/>
                      <w:marRight w:val="0"/>
                      <w:marTop w:val="0"/>
                      <w:marBottom w:val="0"/>
                      <w:divBdr>
                        <w:top w:val="none" w:sz="0" w:space="0" w:color="auto"/>
                        <w:left w:val="none" w:sz="0" w:space="0" w:color="auto"/>
                        <w:bottom w:val="none" w:sz="0" w:space="0" w:color="auto"/>
                        <w:right w:val="none" w:sz="0" w:space="0" w:color="auto"/>
                      </w:divBdr>
                    </w:div>
                  </w:divsChild>
                </w:div>
                <w:div w:id="123281720">
                  <w:marLeft w:val="0"/>
                  <w:marRight w:val="0"/>
                  <w:marTop w:val="0"/>
                  <w:marBottom w:val="0"/>
                  <w:divBdr>
                    <w:top w:val="none" w:sz="0" w:space="0" w:color="auto"/>
                    <w:left w:val="none" w:sz="0" w:space="0" w:color="auto"/>
                    <w:bottom w:val="none" w:sz="0" w:space="0" w:color="auto"/>
                    <w:right w:val="none" w:sz="0" w:space="0" w:color="auto"/>
                  </w:divBdr>
                  <w:divsChild>
                    <w:div w:id="276104309">
                      <w:marLeft w:val="0"/>
                      <w:marRight w:val="0"/>
                      <w:marTop w:val="0"/>
                      <w:marBottom w:val="0"/>
                      <w:divBdr>
                        <w:top w:val="none" w:sz="0" w:space="0" w:color="auto"/>
                        <w:left w:val="none" w:sz="0" w:space="0" w:color="auto"/>
                        <w:bottom w:val="none" w:sz="0" w:space="0" w:color="auto"/>
                        <w:right w:val="none" w:sz="0" w:space="0" w:color="auto"/>
                      </w:divBdr>
                    </w:div>
                  </w:divsChild>
                </w:div>
                <w:div w:id="152717550">
                  <w:marLeft w:val="0"/>
                  <w:marRight w:val="0"/>
                  <w:marTop w:val="0"/>
                  <w:marBottom w:val="0"/>
                  <w:divBdr>
                    <w:top w:val="none" w:sz="0" w:space="0" w:color="auto"/>
                    <w:left w:val="none" w:sz="0" w:space="0" w:color="auto"/>
                    <w:bottom w:val="none" w:sz="0" w:space="0" w:color="auto"/>
                    <w:right w:val="none" w:sz="0" w:space="0" w:color="auto"/>
                  </w:divBdr>
                  <w:divsChild>
                    <w:div w:id="535969613">
                      <w:marLeft w:val="0"/>
                      <w:marRight w:val="0"/>
                      <w:marTop w:val="0"/>
                      <w:marBottom w:val="0"/>
                      <w:divBdr>
                        <w:top w:val="none" w:sz="0" w:space="0" w:color="auto"/>
                        <w:left w:val="none" w:sz="0" w:space="0" w:color="auto"/>
                        <w:bottom w:val="none" w:sz="0" w:space="0" w:color="auto"/>
                        <w:right w:val="none" w:sz="0" w:space="0" w:color="auto"/>
                      </w:divBdr>
                    </w:div>
                  </w:divsChild>
                </w:div>
                <w:div w:id="244728857">
                  <w:marLeft w:val="0"/>
                  <w:marRight w:val="0"/>
                  <w:marTop w:val="0"/>
                  <w:marBottom w:val="0"/>
                  <w:divBdr>
                    <w:top w:val="none" w:sz="0" w:space="0" w:color="auto"/>
                    <w:left w:val="none" w:sz="0" w:space="0" w:color="auto"/>
                    <w:bottom w:val="none" w:sz="0" w:space="0" w:color="auto"/>
                    <w:right w:val="none" w:sz="0" w:space="0" w:color="auto"/>
                  </w:divBdr>
                  <w:divsChild>
                    <w:div w:id="472521577">
                      <w:marLeft w:val="0"/>
                      <w:marRight w:val="0"/>
                      <w:marTop w:val="0"/>
                      <w:marBottom w:val="0"/>
                      <w:divBdr>
                        <w:top w:val="none" w:sz="0" w:space="0" w:color="auto"/>
                        <w:left w:val="none" w:sz="0" w:space="0" w:color="auto"/>
                        <w:bottom w:val="none" w:sz="0" w:space="0" w:color="auto"/>
                        <w:right w:val="none" w:sz="0" w:space="0" w:color="auto"/>
                      </w:divBdr>
                    </w:div>
                    <w:div w:id="619840816">
                      <w:marLeft w:val="0"/>
                      <w:marRight w:val="0"/>
                      <w:marTop w:val="0"/>
                      <w:marBottom w:val="0"/>
                      <w:divBdr>
                        <w:top w:val="none" w:sz="0" w:space="0" w:color="auto"/>
                        <w:left w:val="none" w:sz="0" w:space="0" w:color="auto"/>
                        <w:bottom w:val="none" w:sz="0" w:space="0" w:color="auto"/>
                        <w:right w:val="none" w:sz="0" w:space="0" w:color="auto"/>
                      </w:divBdr>
                    </w:div>
                  </w:divsChild>
                </w:div>
                <w:div w:id="453791751">
                  <w:marLeft w:val="0"/>
                  <w:marRight w:val="0"/>
                  <w:marTop w:val="0"/>
                  <w:marBottom w:val="0"/>
                  <w:divBdr>
                    <w:top w:val="none" w:sz="0" w:space="0" w:color="auto"/>
                    <w:left w:val="none" w:sz="0" w:space="0" w:color="auto"/>
                    <w:bottom w:val="none" w:sz="0" w:space="0" w:color="auto"/>
                    <w:right w:val="none" w:sz="0" w:space="0" w:color="auto"/>
                  </w:divBdr>
                  <w:divsChild>
                    <w:div w:id="1916476695">
                      <w:marLeft w:val="0"/>
                      <w:marRight w:val="0"/>
                      <w:marTop w:val="0"/>
                      <w:marBottom w:val="0"/>
                      <w:divBdr>
                        <w:top w:val="none" w:sz="0" w:space="0" w:color="auto"/>
                        <w:left w:val="none" w:sz="0" w:space="0" w:color="auto"/>
                        <w:bottom w:val="none" w:sz="0" w:space="0" w:color="auto"/>
                        <w:right w:val="none" w:sz="0" w:space="0" w:color="auto"/>
                      </w:divBdr>
                    </w:div>
                  </w:divsChild>
                </w:div>
                <w:div w:id="470901684">
                  <w:marLeft w:val="0"/>
                  <w:marRight w:val="0"/>
                  <w:marTop w:val="0"/>
                  <w:marBottom w:val="0"/>
                  <w:divBdr>
                    <w:top w:val="none" w:sz="0" w:space="0" w:color="auto"/>
                    <w:left w:val="none" w:sz="0" w:space="0" w:color="auto"/>
                    <w:bottom w:val="none" w:sz="0" w:space="0" w:color="auto"/>
                    <w:right w:val="none" w:sz="0" w:space="0" w:color="auto"/>
                  </w:divBdr>
                  <w:divsChild>
                    <w:div w:id="2008559617">
                      <w:marLeft w:val="0"/>
                      <w:marRight w:val="0"/>
                      <w:marTop w:val="0"/>
                      <w:marBottom w:val="0"/>
                      <w:divBdr>
                        <w:top w:val="none" w:sz="0" w:space="0" w:color="auto"/>
                        <w:left w:val="none" w:sz="0" w:space="0" w:color="auto"/>
                        <w:bottom w:val="none" w:sz="0" w:space="0" w:color="auto"/>
                        <w:right w:val="none" w:sz="0" w:space="0" w:color="auto"/>
                      </w:divBdr>
                    </w:div>
                  </w:divsChild>
                </w:div>
                <w:div w:id="551889974">
                  <w:marLeft w:val="0"/>
                  <w:marRight w:val="0"/>
                  <w:marTop w:val="0"/>
                  <w:marBottom w:val="0"/>
                  <w:divBdr>
                    <w:top w:val="none" w:sz="0" w:space="0" w:color="auto"/>
                    <w:left w:val="none" w:sz="0" w:space="0" w:color="auto"/>
                    <w:bottom w:val="none" w:sz="0" w:space="0" w:color="auto"/>
                    <w:right w:val="none" w:sz="0" w:space="0" w:color="auto"/>
                  </w:divBdr>
                  <w:divsChild>
                    <w:div w:id="80641320">
                      <w:marLeft w:val="0"/>
                      <w:marRight w:val="0"/>
                      <w:marTop w:val="0"/>
                      <w:marBottom w:val="0"/>
                      <w:divBdr>
                        <w:top w:val="none" w:sz="0" w:space="0" w:color="auto"/>
                        <w:left w:val="none" w:sz="0" w:space="0" w:color="auto"/>
                        <w:bottom w:val="none" w:sz="0" w:space="0" w:color="auto"/>
                        <w:right w:val="none" w:sz="0" w:space="0" w:color="auto"/>
                      </w:divBdr>
                    </w:div>
                  </w:divsChild>
                </w:div>
                <w:div w:id="638656327">
                  <w:marLeft w:val="0"/>
                  <w:marRight w:val="0"/>
                  <w:marTop w:val="0"/>
                  <w:marBottom w:val="0"/>
                  <w:divBdr>
                    <w:top w:val="none" w:sz="0" w:space="0" w:color="auto"/>
                    <w:left w:val="none" w:sz="0" w:space="0" w:color="auto"/>
                    <w:bottom w:val="none" w:sz="0" w:space="0" w:color="auto"/>
                    <w:right w:val="none" w:sz="0" w:space="0" w:color="auto"/>
                  </w:divBdr>
                  <w:divsChild>
                    <w:div w:id="1874464023">
                      <w:marLeft w:val="0"/>
                      <w:marRight w:val="0"/>
                      <w:marTop w:val="0"/>
                      <w:marBottom w:val="0"/>
                      <w:divBdr>
                        <w:top w:val="none" w:sz="0" w:space="0" w:color="auto"/>
                        <w:left w:val="none" w:sz="0" w:space="0" w:color="auto"/>
                        <w:bottom w:val="none" w:sz="0" w:space="0" w:color="auto"/>
                        <w:right w:val="none" w:sz="0" w:space="0" w:color="auto"/>
                      </w:divBdr>
                    </w:div>
                  </w:divsChild>
                </w:div>
                <w:div w:id="666203508">
                  <w:marLeft w:val="0"/>
                  <w:marRight w:val="0"/>
                  <w:marTop w:val="0"/>
                  <w:marBottom w:val="0"/>
                  <w:divBdr>
                    <w:top w:val="none" w:sz="0" w:space="0" w:color="auto"/>
                    <w:left w:val="none" w:sz="0" w:space="0" w:color="auto"/>
                    <w:bottom w:val="none" w:sz="0" w:space="0" w:color="auto"/>
                    <w:right w:val="none" w:sz="0" w:space="0" w:color="auto"/>
                  </w:divBdr>
                  <w:divsChild>
                    <w:div w:id="1385328862">
                      <w:marLeft w:val="0"/>
                      <w:marRight w:val="0"/>
                      <w:marTop w:val="0"/>
                      <w:marBottom w:val="0"/>
                      <w:divBdr>
                        <w:top w:val="none" w:sz="0" w:space="0" w:color="auto"/>
                        <w:left w:val="none" w:sz="0" w:space="0" w:color="auto"/>
                        <w:bottom w:val="none" w:sz="0" w:space="0" w:color="auto"/>
                        <w:right w:val="none" w:sz="0" w:space="0" w:color="auto"/>
                      </w:divBdr>
                    </w:div>
                  </w:divsChild>
                </w:div>
                <w:div w:id="709233268">
                  <w:marLeft w:val="0"/>
                  <w:marRight w:val="0"/>
                  <w:marTop w:val="0"/>
                  <w:marBottom w:val="0"/>
                  <w:divBdr>
                    <w:top w:val="none" w:sz="0" w:space="0" w:color="auto"/>
                    <w:left w:val="none" w:sz="0" w:space="0" w:color="auto"/>
                    <w:bottom w:val="none" w:sz="0" w:space="0" w:color="auto"/>
                    <w:right w:val="none" w:sz="0" w:space="0" w:color="auto"/>
                  </w:divBdr>
                  <w:divsChild>
                    <w:div w:id="782193838">
                      <w:marLeft w:val="0"/>
                      <w:marRight w:val="0"/>
                      <w:marTop w:val="0"/>
                      <w:marBottom w:val="0"/>
                      <w:divBdr>
                        <w:top w:val="none" w:sz="0" w:space="0" w:color="auto"/>
                        <w:left w:val="none" w:sz="0" w:space="0" w:color="auto"/>
                        <w:bottom w:val="none" w:sz="0" w:space="0" w:color="auto"/>
                        <w:right w:val="none" w:sz="0" w:space="0" w:color="auto"/>
                      </w:divBdr>
                    </w:div>
                  </w:divsChild>
                </w:div>
                <w:div w:id="724598288">
                  <w:marLeft w:val="0"/>
                  <w:marRight w:val="0"/>
                  <w:marTop w:val="0"/>
                  <w:marBottom w:val="0"/>
                  <w:divBdr>
                    <w:top w:val="none" w:sz="0" w:space="0" w:color="auto"/>
                    <w:left w:val="none" w:sz="0" w:space="0" w:color="auto"/>
                    <w:bottom w:val="none" w:sz="0" w:space="0" w:color="auto"/>
                    <w:right w:val="none" w:sz="0" w:space="0" w:color="auto"/>
                  </w:divBdr>
                  <w:divsChild>
                    <w:div w:id="843856628">
                      <w:marLeft w:val="0"/>
                      <w:marRight w:val="0"/>
                      <w:marTop w:val="0"/>
                      <w:marBottom w:val="0"/>
                      <w:divBdr>
                        <w:top w:val="none" w:sz="0" w:space="0" w:color="auto"/>
                        <w:left w:val="none" w:sz="0" w:space="0" w:color="auto"/>
                        <w:bottom w:val="none" w:sz="0" w:space="0" w:color="auto"/>
                        <w:right w:val="none" w:sz="0" w:space="0" w:color="auto"/>
                      </w:divBdr>
                    </w:div>
                  </w:divsChild>
                </w:div>
                <w:div w:id="759522975">
                  <w:marLeft w:val="0"/>
                  <w:marRight w:val="0"/>
                  <w:marTop w:val="0"/>
                  <w:marBottom w:val="0"/>
                  <w:divBdr>
                    <w:top w:val="none" w:sz="0" w:space="0" w:color="auto"/>
                    <w:left w:val="none" w:sz="0" w:space="0" w:color="auto"/>
                    <w:bottom w:val="none" w:sz="0" w:space="0" w:color="auto"/>
                    <w:right w:val="none" w:sz="0" w:space="0" w:color="auto"/>
                  </w:divBdr>
                  <w:divsChild>
                    <w:div w:id="1162505408">
                      <w:marLeft w:val="0"/>
                      <w:marRight w:val="0"/>
                      <w:marTop w:val="0"/>
                      <w:marBottom w:val="0"/>
                      <w:divBdr>
                        <w:top w:val="none" w:sz="0" w:space="0" w:color="auto"/>
                        <w:left w:val="none" w:sz="0" w:space="0" w:color="auto"/>
                        <w:bottom w:val="none" w:sz="0" w:space="0" w:color="auto"/>
                        <w:right w:val="none" w:sz="0" w:space="0" w:color="auto"/>
                      </w:divBdr>
                    </w:div>
                  </w:divsChild>
                </w:div>
                <w:div w:id="781268042">
                  <w:marLeft w:val="0"/>
                  <w:marRight w:val="0"/>
                  <w:marTop w:val="0"/>
                  <w:marBottom w:val="0"/>
                  <w:divBdr>
                    <w:top w:val="none" w:sz="0" w:space="0" w:color="auto"/>
                    <w:left w:val="none" w:sz="0" w:space="0" w:color="auto"/>
                    <w:bottom w:val="none" w:sz="0" w:space="0" w:color="auto"/>
                    <w:right w:val="none" w:sz="0" w:space="0" w:color="auto"/>
                  </w:divBdr>
                  <w:divsChild>
                    <w:div w:id="158544220">
                      <w:marLeft w:val="0"/>
                      <w:marRight w:val="0"/>
                      <w:marTop w:val="0"/>
                      <w:marBottom w:val="0"/>
                      <w:divBdr>
                        <w:top w:val="none" w:sz="0" w:space="0" w:color="auto"/>
                        <w:left w:val="none" w:sz="0" w:space="0" w:color="auto"/>
                        <w:bottom w:val="none" w:sz="0" w:space="0" w:color="auto"/>
                        <w:right w:val="none" w:sz="0" w:space="0" w:color="auto"/>
                      </w:divBdr>
                    </w:div>
                  </w:divsChild>
                </w:div>
                <w:div w:id="788668521">
                  <w:marLeft w:val="0"/>
                  <w:marRight w:val="0"/>
                  <w:marTop w:val="0"/>
                  <w:marBottom w:val="0"/>
                  <w:divBdr>
                    <w:top w:val="none" w:sz="0" w:space="0" w:color="auto"/>
                    <w:left w:val="none" w:sz="0" w:space="0" w:color="auto"/>
                    <w:bottom w:val="none" w:sz="0" w:space="0" w:color="auto"/>
                    <w:right w:val="none" w:sz="0" w:space="0" w:color="auto"/>
                  </w:divBdr>
                  <w:divsChild>
                    <w:div w:id="1676956502">
                      <w:marLeft w:val="0"/>
                      <w:marRight w:val="0"/>
                      <w:marTop w:val="0"/>
                      <w:marBottom w:val="0"/>
                      <w:divBdr>
                        <w:top w:val="none" w:sz="0" w:space="0" w:color="auto"/>
                        <w:left w:val="none" w:sz="0" w:space="0" w:color="auto"/>
                        <w:bottom w:val="none" w:sz="0" w:space="0" w:color="auto"/>
                        <w:right w:val="none" w:sz="0" w:space="0" w:color="auto"/>
                      </w:divBdr>
                    </w:div>
                  </w:divsChild>
                </w:div>
                <w:div w:id="795490636">
                  <w:marLeft w:val="0"/>
                  <w:marRight w:val="0"/>
                  <w:marTop w:val="0"/>
                  <w:marBottom w:val="0"/>
                  <w:divBdr>
                    <w:top w:val="none" w:sz="0" w:space="0" w:color="auto"/>
                    <w:left w:val="none" w:sz="0" w:space="0" w:color="auto"/>
                    <w:bottom w:val="none" w:sz="0" w:space="0" w:color="auto"/>
                    <w:right w:val="none" w:sz="0" w:space="0" w:color="auto"/>
                  </w:divBdr>
                  <w:divsChild>
                    <w:div w:id="166673990">
                      <w:marLeft w:val="0"/>
                      <w:marRight w:val="0"/>
                      <w:marTop w:val="0"/>
                      <w:marBottom w:val="0"/>
                      <w:divBdr>
                        <w:top w:val="none" w:sz="0" w:space="0" w:color="auto"/>
                        <w:left w:val="none" w:sz="0" w:space="0" w:color="auto"/>
                        <w:bottom w:val="none" w:sz="0" w:space="0" w:color="auto"/>
                        <w:right w:val="none" w:sz="0" w:space="0" w:color="auto"/>
                      </w:divBdr>
                    </w:div>
                  </w:divsChild>
                </w:div>
                <w:div w:id="822506383">
                  <w:marLeft w:val="0"/>
                  <w:marRight w:val="0"/>
                  <w:marTop w:val="0"/>
                  <w:marBottom w:val="0"/>
                  <w:divBdr>
                    <w:top w:val="none" w:sz="0" w:space="0" w:color="auto"/>
                    <w:left w:val="none" w:sz="0" w:space="0" w:color="auto"/>
                    <w:bottom w:val="none" w:sz="0" w:space="0" w:color="auto"/>
                    <w:right w:val="none" w:sz="0" w:space="0" w:color="auto"/>
                  </w:divBdr>
                  <w:divsChild>
                    <w:div w:id="1316449379">
                      <w:marLeft w:val="0"/>
                      <w:marRight w:val="0"/>
                      <w:marTop w:val="0"/>
                      <w:marBottom w:val="0"/>
                      <w:divBdr>
                        <w:top w:val="none" w:sz="0" w:space="0" w:color="auto"/>
                        <w:left w:val="none" w:sz="0" w:space="0" w:color="auto"/>
                        <w:bottom w:val="none" w:sz="0" w:space="0" w:color="auto"/>
                        <w:right w:val="none" w:sz="0" w:space="0" w:color="auto"/>
                      </w:divBdr>
                    </w:div>
                  </w:divsChild>
                </w:div>
                <w:div w:id="862481040">
                  <w:marLeft w:val="0"/>
                  <w:marRight w:val="0"/>
                  <w:marTop w:val="0"/>
                  <w:marBottom w:val="0"/>
                  <w:divBdr>
                    <w:top w:val="none" w:sz="0" w:space="0" w:color="auto"/>
                    <w:left w:val="none" w:sz="0" w:space="0" w:color="auto"/>
                    <w:bottom w:val="none" w:sz="0" w:space="0" w:color="auto"/>
                    <w:right w:val="none" w:sz="0" w:space="0" w:color="auto"/>
                  </w:divBdr>
                  <w:divsChild>
                    <w:div w:id="1072121458">
                      <w:marLeft w:val="0"/>
                      <w:marRight w:val="0"/>
                      <w:marTop w:val="0"/>
                      <w:marBottom w:val="0"/>
                      <w:divBdr>
                        <w:top w:val="none" w:sz="0" w:space="0" w:color="auto"/>
                        <w:left w:val="none" w:sz="0" w:space="0" w:color="auto"/>
                        <w:bottom w:val="none" w:sz="0" w:space="0" w:color="auto"/>
                        <w:right w:val="none" w:sz="0" w:space="0" w:color="auto"/>
                      </w:divBdr>
                    </w:div>
                  </w:divsChild>
                </w:div>
                <w:div w:id="946691790">
                  <w:marLeft w:val="0"/>
                  <w:marRight w:val="0"/>
                  <w:marTop w:val="0"/>
                  <w:marBottom w:val="0"/>
                  <w:divBdr>
                    <w:top w:val="none" w:sz="0" w:space="0" w:color="auto"/>
                    <w:left w:val="none" w:sz="0" w:space="0" w:color="auto"/>
                    <w:bottom w:val="none" w:sz="0" w:space="0" w:color="auto"/>
                    <w:right w:val="none" w:sz="0" w:space="0" w:color="auto"/>
                  </w:divBdr>
                  <w:divsChild>
                    <w:div w:id="1714579765">
                      <w:marLeft w:val="0"/>
                      <w:marRight w:val="0"/>
                      <w:marTop w:val="0"/>
                      <w:marBottom w:val="0"/>
                      <w:divBdr>
                        <w:top w:val="none" w:sz="0" w:space="0" w:color="auto"/>
                        <w:left w:val="none" w:sz="0" w:space="0" w:color="auto"/>
                        <w:bottom w:val="none" w:sz="0" w:space="0" w:color="auto"/>
                        <w:right w:val="none" w:sz="0" w:space="0" w:color="auto"/>
                      </w:divBdr>
                    </w:div>
                  </w:divsChild>
                </w:div>
                <w:div w:id="1114597758">
                  <w:marLeft w:val="0"/>
                  <w:marRight w:val="0"/>
                  <w:marTop w:val="0"/>
                  <w:marBottom w:val="0"/>
                  <w:divBdr>
                    <w:top w:val="none" w:sz="0" w:space="0" w:color="auto"/>
                    <w:left w:val="none" w:sz="0" w:space="0" w:color="auto"/>
                    <w:bottom w:val="none" w:sz="0" w:space="0" w:color="auto"/>
                    <w:right w:val="none" w:sz="0" w:space="0" w:color="auto"/>
                  </w:divBdr>
                  <w:divsChild>
                    <w:div w:id="1864980965">
                      <w:marLeft w:val="0"/>
                      <w:marRight w:val="0"/>
                      <w:marTop w:val="0"/>
                      <w:marBottom w:val="0"/>
                      <w:divBdr>
                        <w:top w:val="none" w:sz="0" w:space="0" w:color="auto"/>
                        <w:left w:val="none" w:sz="0" w:space="0" w:color="auto"/>
                        <w:bottom w:val="none" w:sz="0" w:space="0" w:color="auto"/>
                        <w:right w:val="none" w:sz="0" w:space="0" w:color="auto"/>
                      </w:divBdr>
                    </w:div>
                  </w:divsChild>
                </w:div>
                <w:div w:id="1310478635">
                  <w:marLeft w:val="0"/>
                  <w:marRight w:val="0"/>
                  <w:marTop w:val="0"/>
                  <w:marBottom w:val="0"/>
                  <w:divBdr>
                    <w:top w:val="none" w:sz="0" w:space="0" w:color="auto"/>
                    <w:left w:val="none" w:sz="0" w:space="0" w:color="auto"/>
                    <w:bottom w:val="none" w:sz="0" w:space="0" w:color="auto"/>
                    <w:right w:val="none" w:sz="0" w:space="0" w:color="auto"/>
                  </w:divBdr>
                  <w:divsChild>
                    <w:div w:id="2076510928">
                      <w:marLeft w:val="0"/>
                      <w:marRight w:val="0"/>
                      <w:marTop w:val="0"/>
                      <w:marBottom w:val="0"/>
                      <w:divBdr>
                        <w:top w:val="none" w:sz="0" w:space="0" w:color="auto"/>
                        <w:left w:val="none" w:sz="0" w:space="0" w:color="auto"/>
                        <w:bottom w:val="none" w:sz="0" w:space="0" w:color="auto"/>
                        <w:right w:val="none" w:sz="0" w:space="0" w:color="auto"/>
                      </w:divBdr>
                    </w:div>
                  </w:divsChild>
                </w:div>
                <w:div w:id="1342397346">
                  <w:marLeft w:val="0"/>
                  <w:marRight w:val="0"/>
                  <w:marTop w:val="0"/>
                  <w:marBottom w:val="0"/>
                  <w:divBdr>
                    <w:top w:val="none" w:sz="0" w:space="0" w:color="auto"/>
                    <w:left w:val="none" w:sz="0" w:space="0" w:color="auto"/>
                    <w:bottom w:val="none" w:sz="0" w:space="0" w:color="auto"/>
                    <w:right w:val="none" w:sz="0" w:space="0" w:color="auto"/>
                  </w:divBdr>
                  <w:divsChild>
                    <w:div w:id="918446095">
                      <w:marLeft w:val="0"/>
                      <w:marRight w:val="0"/>
                      <w:marTop w:val="0"/>
                      <w:marBottom w:val="0"/>
                      <w:divBdr>
                        <w:top w:val="none" w:sz="0" w:space="0" w:color="auto"/>
                        <w:left w:val="none" w:sz="0" w:space="0" w:color="auto"/>
                        <w:bottom w:val="none" w:sz="0" w:space="0" w:color="auto"/>
                        <w:right w:val="none" w:sz="0" w:space="0" w:color="auto"/>
                      </w:divBdr>
                    </w:div>
                  </w:divsChild>
                </w:div>
                <w:div w:id="1377124286">
                  <w:marLeft w:val="0"/>
                  <w:marRight w:val="0"/>
                  <w:marTop w:val="0"/>
                  <w:marBottom w:val="0"/>
                  <w:divBdr>
                    <w:top w:val="none" w:sz="0" w:space="0" w:color="auto"/>
                    <w:left w:val="none" w:sz="0" w:space="0" w:color="auto"/>
                    <w:bottom w:val="none" w:sz="0" w:space="0" w:color="auto"/>
                    <w:right w:val="none" w:sz="0" w:space="0" w:color="auto"/>
                  </w:divBdr>
                  <w:divsChild>
                    <w:div w:id="1004433995">
                      <w:marLeft w:val="0"/>
                      <w:marRight w:val="0"/>
                      <w:marTop w:val="0"/>
                      <w:marBottom w:val="0"/>
                      <w:divBdr>
                        <w:top w:val="none" w:sz="0" w:space="0" w:color="auto"/>
                        <w:left w:val="none" w:sz="0" w:space="0" w:color="auto"/>
                        <w:bottom w:val="none" w:sz="0" w:space="0" w:color="auto"/>
                        <w:right w:val="none" w:sz="0" w:space="0" w:color="auto"/>
                      </w:divBdr>
                    </w:div>
                  </w:divsChild>
                </w:div>
                <w:div w:id="1438867367">
                  <w:marLeft w:val="0"/>
                  <w:marRight w:val="0"/>
                  <w:marTop w:val="0"/>
                  <w:marBottom w:val="0"/>
                  <w:divBdr>
                    <w:top w:val="none" w:sz="0" w:space="0" w:color="auto"/>
                    <w:left w:val="none" w:sz="0" w:space="0" w:color="auto"/>
                    <w:bottom w:val="none" w:sz="0" w:space="0" w:color="auto"/>
                    <w:right w:val="none" w:sz="0" w:space="0" w:color="auto"/>
                  </w:divBdr>
                  <w:divsChild>
                    <w:div w:id="495150816">
                      <w:marLeft w:val="0"/>
                      <w:marRight w:val="0"/>
                      <w:marTop w:val="0"/>
                      <w:marBottom w:val="0"/>
                      <w:divBdr>
                        <w:top w:val="none" w:sz="0" w:space="0" w:color="auto"/>
                        <w:left w:val="none" w:sz="0" w:space="0" w:color="auto"/>
                        <w:bottom w:val="none" w:sz="0" w:space="0" w:color="auto"/>
                        <w:right w:val="none" w:sz="0" w:space="0" w:color="auto"/>
                      </w:divBdr>
                    </w:div>
                  </w:divsChild>
                </w:div>
                <w:div w:id="1459759789">
                  <w:marLeft w:val="0"/>
                  <w:marRight w:val="0"/>
                  <w:marTop w:val="0"/>
                  <w:marBottom w:val="0"/>
                  <w:divBdr>
                    <w:top w:val="none" w:sz="0" w:space="0" w:color="auto"/>
                    <w:left w:val="none" w:sz="0" w:space="0" w:color="auto"/>
                    <w:bottom w:val="none" w:sz="0" w:space="0" w:color="auto"/>
                    <w:right w:val="none" w:sz="0" w:space="0" w:color="auto"/>
                  </w:divBdr>
                  <w:divsChild>
                    <w:div w:id="38942936">
                      <w:marLeft w:val="0"/>
                      <w:marRight w:val="0"/>
                      <w:marTop w:val="0"/>
                      <w:marBottom w:val="0"/>
                      <w:divBdr>
                        <w:top w:val="none" w:sz="0" w:space="0" w:color="auto"/>
                        <w:left w:val="none" w:sz="0" w:space="0" w:color="auto"/>
                        <w:bottom w:val="none" w:sz="0" w:space="0" w:color="auto"/>
                        <w:right w:val="none" w:sz="0" w:space="0" w:color="auto"/>
                      </w:divBdr>
                    </w:div>
                  </w:divsChild>
                </w:div>
                <w:div w:id="1472938708">
                  <w:marLeft w:val="0"/>
                  <w:marRight w:val="0"/>
                  <w:marTop w:val="0"/>
                  <w:marBottom w:val="0"/>
                  <w:divBdr>
                    <w:top w:val="none" w:sz="0" w:space="0" w:color="auto"/>
                    <w:left w:val="none" w:sz="0" w:space="0" w:color="auto"/>
                    <w:bottom w:val="none" w:sz="0" w:space="0" w:color="auto"/>
                    <w:right w:val="none" w:sz="0" w:space="0" w:color="auto"/>
                  </w:divBdr>
                  <w:divsChild>
                    <w:div w:id="1939750535">
                      <w:marLeft w:val="0"/>
                      <w:marRight w:val="0"/>
                      <w:marTop w:val="0"/>
                      <w:marBottom w:val="0"/>
                      <w:divBdr>
                        <w:top w:val="none" w:sz="0" w:space="0" w:color="auto"/>
                        <w:left w:val="none" w:sz="0" w:space="0" w:color="auto"/>
                        <w:bottom w:val="none" w:sz="0" w:space="0" w:color="auto"/>
                        <w:right w:val="none" w:sz="0" w:space="0" w:color="auto"/>
                      </w:divBdr>
                    </w:div>
                  </w:divsChild>
                </w:div>
                <w:div w:id="1480072417">
                  <w:marLeft w:val="0"/>
                  <w:marRight w:val="0"/>
                  <w:marTop w:val="0"/>
                  <w:marBottom w:val="0"/>
                  <w:divBdr>
                    <w:top w:val="none" w:sz="0" w:space="0" w:color="auto"/>
                    <w:left w:val="none" w:sz="0" w:space="0" w:color="auto"/>
                    <w:bottom w:val="none" w:sz="0" w:space="0" w:color="auto"/>
                    <w:right w:val="none" w:sz="0" w:space="0" w:color="auto"/>
                  </w:divBdr>
                  <w:divsChild>
                    <w:div w:id="1778135099">
                      <w:marLeft w:val="0"/>
                      <w:marRight w:val="0"/>
                      <w:marTop w:val="0"/>
                      <w:marBottom w:val="0"/>
                      <w:divBdr>
                        <w:top w:val="none" w:sz="0" w:space="0" w:color="auto"/>
                        <w:left w:val="none" w:sz="0" w:space="0" w:color="auto"/>
                        <w:bottom w:val="none" w:sz="0" w:space="0" w:color="auto"/>
                        <w:right w:val="none" w:sz="0" w:space="0" w:color="auto"/>
                      </w:divBdr>
                    </w:div>
                  </w:divsChild>
                </w:div>
                <w:div w:id="1657951628">
                  <w:marLeft w:val="0"/>
                  <w:marRight w:val="0"/>
                  <w:marTop w:val="0"/>
                  <w:marBottom w:val="0"/>
                  <w:divBdr>
                    <w:top w:val="none" w:sz="0" w:space="0" w:color="auto"/>
                    <w:left w:val="none" w:sz="0" w:space="0" w:color="auto"/>
                    <w:bottom w:val="none" w:sz="0" w:space="0" w:color="auto"/>
                    <w:right w:val="none" w:sz="0" w:space="0" w:color="auto"/>
                  </w:divBdr>
                  <w:divsChild>
                    <w:div w:id="2132430959">
                      <w:marLeft w:val="0"/>
                      <w:marRight w:val="0"/>
                      <w:marTop w:val="0"/>
                      <w:marBottom w:val="0"/>
                      <w:divBdr>
                        <w:top w:val="none" w:sz="0" w:space="0" w:color="auto"/>
                        <w:left w:val="none" w:sz="0" w:space="0" w:color="auto"/>
                        <w:bottom w:val="none" w:sz="0" w:space="0" w:color="auto"/>
                        <w:right w:val="none" w:sz="0" w:space="0" w:color="auto"/>
                      </w:divBdr>
                    </w:div>
                  </w:divsChild>
                </w:div>
                <w:div w:id="1681083157">
                  <w:marLeft w:val="0"/>
                  <w:marRight w:val="0"/>
                  <w:marTop w:val="0"/>
                  <w:marBottom w:val="0"/>
                  <w:divBdr>
                    <w:top w:val="none" w:sz="0" w:space="0" w:color="auto"/>
                    <w:left w:val="none" w:sz="0" w:space="0" w:color="auto"/>
                    <w:bottom w:val="none" w:sz="0" w:space="0" w:color="auto"/>
                    <w:right w:val="none" w:sz="0" w:space="0" w:color="auto"/>
                  </w:divBdr>
                  <w:divsChild>
                    <w:div w:id="307131579">
                      <w:marLeft w:val="0"/>
                      <w:marRight w:val="0"/>
                      <w:marTop w:val="0"/>
                      <w:marBottom w:val="0"/>
                      <w:divBdr>
                        <w:top w:val="none" w:sz="0" w:space="0" w:color="auto"/>
                        <w:left w:val="none" w:sz="0" w:space="0" w:color="auto"/>
                        <w:bottom w:val="none" w:sz="0" w:space="0" w:color="auto"/>
                        <w:right w:val="none" w:sz="0" w:space="0" w:color="auto"/>
                      </w:divBdr>
                    </w:div>
                  </w:divsChild>
                </w:div>
                <w:div w:id="1686323734">
                  <w:marLeft w:val="0"/>
                  <w:marRight w:val="0"/>
                  <w:marTop w:val="0"/>
                  <w:marBottom w:val="0"/>
                  <w:divBdr>
                    <w:top w:val="none" w:sz="0" w:space="0" w:color="auto"/>
                    <w:left w:val="none" w:sz="0" w:space="0" w:color="auto"/>
                    <w:bottom w:val="none" w:sz="0" w:space="0" w:color="auto"/>
                    <w:right w:val="none" w:sz="0" w:space="0" w:color="auto"/>
                  </w:divBdr>
                  <w:divsChild>
                    <w:div w:id="536313420">
                      <w:marLeft w:val="0"/>
                      <w:marRight w:val="0"/>
                      <w:marTop w:val="0"/>
                      <w:marBottom w:val="0"/>
                      <w:divBdr>
                        <w:top w:val="none" w:sz="0" w:space="0" w:color="auto"/>
                        <w:left w:val="none" w:sz="0" w:space="0" w:color="auto"/>
                        <w:bottom w:val="none" w:sz="0" w:space="0" w:color="auto"/>
                        <w:right w:val="none" w:sz="0" w:space="0" w:color="auto"/>
                      </w:divBdr>
                    </w:div>
                  </w:divsChild>
                </w:div>
                <w:div w:id="1720352002">
                  <w:marLeft w:val="0"/>
                  <w:marRight w:val="0"/>
                  <w:marTop w:val="0"/>
                  <w:marBottom w:val="0"/>
                  <w:divBdr>
                    <w:top w:val="none" w:sz="0" w:space="0" w:color="auto"/>
                    <w:left w:val="none" w:sz="0" w:space="0" w:color="auto"/>
                    <w:bottom w:val="none" w:sz="0" w:space="0" w:color="auto"/>
                    <w:right w:val="none" w:sz="0" w:space="0" w:color="auto"/>
                  </w:divBdr>
                  <w:divsChild>
                    <w:div w:id="1999266725">
                      <w:marLeft w:val="0"/>
                      <w:marRight w:val="0"/>
                      <w:marTop w:val="0"/>
                      <w:marBottom w:val="0"/>
                      <w:divBdr>
                        <w:top w:val="none" w:sz="0" w:space="0" w:color="auto"/>
                        <w:left w:val="none" w:sz="0" w:space="0" w:color="auto"/>
                        <w:bottom w:val="none" w:sz="0" w:space="0" w:color="auto"/>
                        <w:right w:val="none" w:sz="0" w:space="0" w:color="auto"/>
                      </w:divBdr>
                    </w:div>
                  </w:divsChild>
                </w:div>
                <w:div w:id="1774780692">
                  <w:marLeft w:val="0"/>
                  <w:marRight w:val="0"/>
                  <w:marTop w:val="0"/>
                  <w:marBottom w:val="0"/>
                  <w:divBdr>
                    <w:top w:val="none" w:sz="0" w:space="0" w:color="auto"/>
                    <w:left w:val="none" w:sz="0" w:space="0" w:color="auto"/>
                    <w:bottom w:val="none" w:sz="0" w:space="0" w:color="auto"/>
                    <w:right w:val="none" w:sz="0" w:space="0" w:color="auto"/>
                  </w:divBdr>
                  <w:divsChild>
                    <w:div w:id="2080787287">
                      <w:marLeft w:val="0"/>
                      <w:marRight w:val="0"/>
                      <w:marTop w:val="0"/>
                      <w:marBottom w:val="0"/>
                      <w:divBdr>
                        <w:top w:val="none" w:sz="0" w:space="0" w:color="auto"/>
                        <w:left w:val="none" w:sz="0" w:space="0" w:color="auto"/>
                        <w:bottom w:val="none" w:sz="0" w:space="0" w:color="auto"/>
                        <w:right w:val="none" w:sz="0" w:space="0" w:color="auto"/>
                      </w:divBdr>
                    </w:div>
                  </w:divsChild>
                </w:div>
                <w:div w:id="1776555884">
                  <w:marLeft w:val="0"/>
                  <w:marRight w:val="0"/>
                  <w:marTop w:val="0"/>
                  <w:marBottom w:val="0"/>
                  <w:divBdr>
                    <w:top w:val="none" w:sz="0" w:space="0" w:color="auto"/>
                    <w:left w:val="none" w:sz="0" w:space="0" w:color="auto"/>
                    <w:bottom w:val="none" w:sz="0" w:space="0" w:color="auto"/>
                    <w:right w:val="none" w:sz="0" w:space="0" w:color="auto"/>
                  </w:divBdr>
                  <w:divsChild>
                    <w:div w:id="436406936">
                      <w:marLeft w:val="0"/>
                      <w:marRight w:val="0"/>
                      <w:marTop w:val="0"/>
                      <w:marBottom w:val="0"/>
                      <w:divBdr>
                        <w:top w:val="none" w:sz="0" w:space="0" w:color="auto"/>
                        <w:left w:val="none" w:sz="0" w:space="0" w:color="auto"/>
                        <w:bottom w:val="none" w:sz="0" w:space="0" w:color="auto"/>
                        <w:right w:val="none" w:sz="0" w:space="0" w:color="auto"/>
                      </w:divBdr>
                    </w:div>
                  </w:divsChild>
                </w:div>
                <w:div w:id="1931963050">
                  <w:marLeft w:val="0"/>
                  <w:marRight w:val="0"/>
                  <w:marTop w:val="0"/>
                  <w:marBottom w:val="0"/>
                  <w:divBdr>
                    <w:top w:val="none" w:sz="0" w:space="0" w:color="auto"/>
                    <w:left w:val="none" w:sz="0" w:space="0" w:color="auto"/>
                    <w:bottom w:val="none" w:sz="0" w:space="0" w:color="auto"/>
                    <w:right w:val="none" w:sz="0" w:space="0" w:color="auto"/>
                  </w:divBdr>
                  <w:divsChild>
                    <w:div w:id="510414566">
                      <w:marLeft w:val="0"/>
                      <w:marRight w:val="0"/>
                      <w:marTop w:val="0"/>
                      <w:marBottom w:val="0"/>
                      <w:divBdr>
                        <w:top w:val="none" w:sz="0" w:space="0" w:color="auto"/>
                        <w:left w:val="none" w:sz="0" w:space="0" w:color="auto"/>
                        <w:bottom w:val="none" w:sz="0" w:space="0" w:color="auto"/>
                        <w:right w:val="none" w:sz="0" w:space="0" w:color="auto"/>
                      </w:divBdr>
                    </w:div>
                  </w:divsChild>
                </w:div>
                <w:div w:id="1948464884">
                  <w:marLeft w:val="0"/>
                  <w:marRight w:val="0"/>
                  <w:marTop w:val="0"/>
                  <w:marBottom w:val="0"/>
                  <w:divBdr>
                    <w:top w:val="none" w:sz="0" w:space="0" w:color="auto"/>
                    <w:left w:val="none" w:sz="0" w:space="0" w:color="auto"/>
                    <w:bottom w:val="none" w:sz="0" w:space="0" w:color="auto"/>
                    <w:right w:val="none" w:sz="0" w:space="0" w:color="auto"/>
                  </w:divBdr>
                  <w:divsChild>
                    <w:div w:id="1983729786">
                      <w:marLeft w:val="0"/>
                      <w:marRight w:val="0"/>
                      <w:marTop w:val="0"/>
                      <w:marBottom w:val="0"/>
                      <w:divBdr>
                        <w:top w:val="none" w:sz="0" w:space="0" w:color="auto"/>
                        <w:left w:val="none" w:sz="0" w:space="0" w:color="auto"/>
                        <w:bottom w:val="none" w:sz="0" w:space="0" w:color="auto"/>
                        <w:right w:val="none" w:sz="0" w:space="0" w:color="auto"/>
                      </w:divBdr>
                    </w:div>
                  </w:divsChild>
                </w:div>
                <w:div w:id="2020347561">
                  <w:marLeft w:val="0"/>
                  <w:marRight w:val="0"/>
                  <w:marTop w:val="0"/>
                  <w:marBottom w:val="0"/>
                  <w:divBdr>
                    <w:top w:val="none" w:sz="0" w:space="0" w:color="auto"/>
                    <w:left w:val="none" w:sz="0" w:space="0" w:color="auto"/>
                    <w:bottom w:val="none" w:sz="0" w:space="0" w:color="auto"/>
                    <w:right w:val="none" w:sz="0" w:space="0" w:color="auto"/>
                  </w:divBdr>
                  <w:divsChild>
                    <w:div w:id="808282886">
                      <w:marLeft w:val="0"/>
                      <w:marRight w:val="0"/>
                      <w:marTop w:val="0"/>
                      <w:marBottom w:val="0"/>
                      <w:divBdr>
                        <w:top w:val="none" w:sz="0" w:space="0" w:color="auto"/>
                        <w:left w:val="none" w:sz="0" w:space="0" w:color="auto"/>
                        <w:bottom w:val="none" w:sz="0" w:space="0" w:color="auto"/>
                        <w:right w:val="none" w:sz="0" w:space="0" w:color="auto"/>
                      </w:divBdr>
                    </w:div>
                  </w:divsChild>
                </w:div>
                <w:div w:id="2125880573">
                  <w:marLeft w:val="0"/>
                  <w:marRight w:val="0"/>
                  <w:marTop w:val="0"/>
                  <w:marBottom w:val="0"/>
                  <w:divBdr>
                    <w:top w:val="none" w:sz="0" w:space="0" w:color="auto"/>
                    <w:left w:val="none" w:sz="0" w:space="0" w:color="auto"/>
                    <w:bottom w:val="none" w:sz="0" w:space="0" w:color="auto"/>
                    <w:right w:val="none" w:sz="0" w:space="0" w:color="auto"/>
                  </w:divBdr>
                  <w:divsChild>
                    <w:div w:id="1546288874">
                      <w:marLeft w:val="0"/>
                      <w:marRight w:val="0"/>
                      <w:marTop w:val="0"/>
                      <w:marBottom w:val="0"/>
                      <w:divBdr>
                        <w:top w:val="none" w:sz="0" w:space="0" w:color="auto"/>
                        <w:left w:val="none" w:sz="0" w:space="0" w:color="auto"/>
                        <w:bottom w:val="none" w:sz="0" w:space="0" w:color="auto"/>
                        <w:right w:val="none" w:sz="0" w:space="0" w:color="auto"/>
                      </w:divBdr>
                    </w:div>
                  </w:divsChild>
                </w:div>
                <w:div w:id="2136363924">
                  <w:marLeft w:val="0"/>
                  <w:marRight w:val="0"/>
                  <w:marTop w:val="0"/>
                  <w:marBottom w:val="0"/>
                  <w:divBdr>
                    <w:top w:val="none" w:sz="0" w:space="0" w:color="auto"/>
                    <w:left w:val="none" w:sz="0" w:space="0" w:color="auto"/>
                    <w:bottom w:val="none" w:sz="0" w:space="0" w:color="auto"/>
                    <w:right w:val="none" w:sz="0" w:space="0" w:color="auto"/>
                  </w:divBdr>
                  <w:divsChild>
                    <w:div w:id="17277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8159">
          <w:marLeft w:val="0"/>
          <w:marRight w:val="0"/>
          <w:marTop w:val="0"/>
          <w:marBottom w:val="0"/>
          <w:divBdr>
            <w:top w:val="none" w:sz="0" w:space="0" w:color="auto"/>
            <w:left w:val="none" w:sz="0" w:space="0" w:color="auto"/>
            <w:bottom w:val="none" w:sz="0" w:space="0" w:color="auto"/>
            <w:right w:val="none" w:sz="0" w:space="0" w:color="auto"/>
          </w:divBdr>
        </w:div>
        <w:div w:id="566845764">
          <w:marLeft w:val="0"/>
          <w:marRight w:val="0"/>
          <w:marTop w:val="0"/>
          <w:marBottom w:val="0"/>
          <w:divBdr>
            <w:top w:val="none" w:sz="0" w:space="0" w:color="auto"/>
            <w:left w:val="none" w:sz="0" w:space="0" w:color="auto"/>
            <w:bottom w:val="none" w:sz="0" w:space="0" w:color="auto"/>
            <w:right w:val="none" w:sz="0" w:space="0" w:color="auto"/>
          </w:divBdr>
        </w:div>
        <w:div w:id="582107017">
          <w:marLeft w:val="0"/>
          <w:marRight w:val="0"/>
          <w:marTop w:val="0"/>
          <w:marBottom w:val="0"/>
          <w:divBdr>
            <w:top w:val="none" w:sz="0" w:space="0" w:color="auto"/>
            <w:left w:val="none" w:sz="0" w:space="0" w:color="auto"/>
            <w:bottom w:val="none" w:sz="0" w:space="0" w:color="auto"/>
            <w:right w:val="none" w:sz="0" w:space="0" w:color="auto"/>
          </w:divBdr>
          <w:divsChild>
            <w:div w:id="1852597102">
              <w:marLeft w:val="-75"/>
              <w:marRight w:val="0"/>
              <w:marTop w:val="30"/>
              <w:marBottom w:val="30"/>
              <w:divBdr>
                <w:top w:val="none" w:sz="0" w:space="0" w:color="auto"/>
                <w:left w:val="none" w:sz="0" w:space="0" w:color="auto"/>
                <w:bottom w:val="none" w:sz="0" w:space="0" w:color="auto"/>
                <w:right w:val="none" w:sz="0" w:space="0" w:color="auto"/>
              </w:divBdr>
              <w:divsChild>
                <w:div w:id="10642383">
                  <w:marLeft w:val="0"/>
                  <w:marRight w:val="0"/>
                  <w:marTop w:val="0"/>
                  <w:marBottom w:val="0"/>
                  <w:divBdr>
                    <w:top w:val="none" w:sz="0" w:space="0" w:color="auto"/>
                    <w:left w:val="none" w:sz="0" w:space="0" w:color="auto"/>
                    <w:bottom w:val="none" w:sz="0" w:space="0" w:color="auto"/>
                    <w:right w:val="none" w:sz="0" w:space="0" w:color="auto"/>
                  </w:divBdr>
                  <w:divsChild>
                    <w:div w:id="2114981145">
                      <w:marLeft w:val="0"/>
                      <w:marRight w:val="0"/>
                      <w:marTop w:val="0"/>
                      <w:marBottom w:val="0"/>
                      <w:divBdr>
                        <w:top w:val="none" w:sz="0" w:space="0" w:color="auto"/>
                        <w:left w:val="none" w:sz="0" w:space="0" w:color="auto"/>
                        <w:bottom w:val="none" w:sz="0" w:space="0" w:color="auto"/>
                        <w:right w:val="none" w:sz="0" w:space="0" w:color="auto"/>
                      </w:divBdr>
                    </w:div>
                  </w:divsChild>
                </w:div>
                <w:div w:id="31466652">
                  <w:marLeft w:val="0"/>
                  <w:marRight w:val="0"/>
                  <w:marTop w:val="0"/>
                  <w:marBottom w:val="0"/>
                  <w:divBdr>
                    <w:top w:val="none" w:sz="0" w:space="0" w:color="auto"/>
                    <w:left w:val="none" w:sz="0" w:space="0" w:color="auto"/>
                    <w:bottom w:val="none" w:sz="0" w:space="0" w:color="auto"/>
                    <w:right w:val="none" w:sz="0" w:space="0" w:color="auto"/>
                  </w:divBdr>
                  <w:divsChild>
                    <w:div w:id="159396027">
                      <w:marLeft w:val="0"/>
                      <w:marRight w:val="0"/>
                      <w:marTop w:val="0"/>
                      <w:marBottom w:val="0"/>
                      <w:divBdr>
                        <w:top w:val="none" w:sz="0" w:space="0" w:color="auto"/>
                        <w:left w:val="none" w:sz="0" w:space="0" w:color="auto"/>
                        <w:bottom w:val="none" w:sz="0" w:space="0" w:color="auto"/>
                        <w:right w:val="none" w:sz="0" w:space="0" w:color="auto"/>
                      </w:divBdr>
                    </w:div>
                  </w:divsChild>
                </w:div>
                <w:div w:id="32272950">
                  <w:marLeft w:val="0"/>
                  <w:marRight w:val="0"/>
                  <w:marTop w:val="0"/>
                  <w:marBottom w:val="0"/>
                  <w:divBdr>
                    <w:top w:val="none" w:sz="0" w:space="0" w:color="auto"/>
                    <w:left w:val="none" w:sz="0" w:space="0" w:color="auto"/>
                    <w:bottom w:val="none" w:sz="0" w:space="0" w:color="auto"/>
                    <w:right w:val="none" w:sz="0" w:space="0" w:color="auto"/>
                  </w:divBdr>
                  <w:divsChild>
                    <w:div w:id="208684737">
                      <w:marLeft w:val="0"/>
                      <w:marRight w:val="0"/>
                      <w:marTop w:val="0"/>
                      <w:marBottom w:val="0"/>
                      <w:divBdr>
                        <w:top w:val="none" w:sz="0" w:space="0" w:color="auto"/>
                        <w:left w:val="none" w:sz="0" w:space="0" w:color="auto"/>
                        <w:bottom w:val="none" w:sz="0" w:space="0" w:color="auto"/>
                        <w:right w:val="none" w:sz="0" w:space="0" w:color="auto"/>
                      </w:divBdr>
                    </w:div>
                  </w:divsChild>
                </w:div>
                <w:div w:id="88548974">
                  <w:marLeft w:val="0"/>
                  <w:marRight w:val="0"/>
                  <w:marTop w:val="0"/>
                  <w:marBottom w:val="0"/>
                  <w:divBdr>
                    <w:top w:val="none" w:sz="0" w:space="0" w:color="auto"/>
                    <w:left w:val="none" w:sz="0" w:space="0" w:color="auto"/>
                    <w:bottom w:val="none" w:sz="0" w:space="0" w:color="auto"/>
                    <w:right w:val="none" w:sz="0" w:space="0" w:color="auto"/>
                  </w:divBdr>
                  <w:divsChild>
                    <w:div w:id="707684009">
                      <w:marLeft w:val="0"/>
                      <w:marRight w:val="0"/>
                      <w:marTop w:val="0"/>
                      <w:marBottom w:val="0"/>
                      <w:divBdr>
                        <w:top w:val="none" w:sz="0" w:space="0" w:color="auto"/>
                        <w:left w:val="none" w:sz="0" w:space="0" w:color="auto"/>
                        <w:bottom w:val="none" w:sz="0" w:space="0" w:color="auto"/>
                        <w:right w:val="none" w:sz="0" w:space="0" w:color="auto"/>
                      </w:divBdr>
                    </w:div>
                  </w:divsChild>
                </w:div>
                <w:div w:id="89008541">
                  <w:marLeft w:val="0"/>
                  <w:marRight w:val="0"/>
                  <w:marTop w:val="0"/>
                  <w:marBottom w:val="0"/>
                  <w:divBdr>
                    <w:top w:val="none" w:sz="0" w:space="0" w:color="auto"/>
                    <w:left w:val="none" w:sz="0" w:space="0" w:color="auto"/>
                    <w:bottom w:val="none" w:sz="0" w:space="0" w:color="auto"/>
                    <w:right w:val="none" w:sz="0" w:space="0" w:color="auto"/>
                  </w:divBdr>
                  <w:divsChild>
                    <w:div w:id="595679148">
                      <w:marLeft w:val="0"/>
                      <w:marRight w:val="0"/>
                      <w:marTop w:val="0"/>
                      <w:marBottom w:val="0"/>
                      <w:divBdr>
                        <w:top w:val="none" w:sz="0" w:space="0" w:color="auto"/>
                        <w:left w:val="none" w:sz="0" w:space="0" w:color="auto"/>
                        <w:bottom w:val="none" w:sz="0" w:space="0" w:color="auto"/>
                        <w:right w:val="none" w:sz="0" w:space="0" w:color="auto"/>
                      </w:divBdr>
                    </w:div>
                  </w:divsChild>
                </w:div>
                <w:div w:id="112019232">
                  <w:marLeft w:val="0"/>
                  <w:marRight w:val="0"/>
                  <w:marTop w:val="0"/>
                  <w:marBottom w:val="0"/>
                  <w:divBdr>
                    <w:top w:val="none" w:sz="0" w:space="0" w:color="auto"/>
                    <w:left w:val="none" w:sz="0" w:space="0" w:color="auto"/>
                    <w:bottom w:val="none" w:sz="0" w:space="0" w:color="auto"/>
                    <w:right w:val="none" w:sz="0" w:space="0" w:color="auto"/>
                  </w:divBdr>
                  <w:divsChild>
                    <w:div w:id="84309074">
                      <w:marLeft w:val="0"/>
                      <w:marRight w:val="0"/>
                      <w:marTop w:val="0"/>
                      <w:marBottom w:val="0"/>
                      <w:divBdr>
                        <w:top w:val="none" w:sz="0" w:space="0" w:color="auto"/>
                        <w:left w:val="none" w:sz="0" w:space="0" w:color="auto"/>
                        <w:bottom w:val="none" w:sz="0" w:space="0" w:color="auto"/>
                        <w:right w:val="none" w:sz="0" w:space="0" w:color="auto"/>
                      </w:divBdr>
                    </w:div>
                  </w:divsChild>
                </w:div>
                <w:div w:id="128209451">
                  <w:marLeft w:val="0"/>
                  <w:marRight w:val="0"/>
                  <w:marTop w:val="0"/>
                  <w:marBottom w:val="0"/>
                  <w:divBdr>
                    <w:top w:val="none" w:sz="0" w:space="0" w:color="auto"/>
                    <w:left w:val="none" w:sz="0" w:space="0" w:color="auto"/>
                    <w:bottom w:val="none" w:sz="0" w:space="0" w:color="auto"/>
                    <w:right w:val="none" w:sz="0" w:space="0" w:color="auto"/>
                  </w:divBdr>
                  <w:divsChild>
                    <w:div w:id="1855218922">
                      <w:marLeft w:val="0"/>
                      <w:marRight w:val="0"/>
                      <w:marTop w:val="0"/>
                      <w:marBottom w:val="0"/>
                      <w:divBdr>
                        <w:top w:val="none" w:sz="0" w:space="0" w:color="auto"/>
                        <w:left w:val="none" w:sz="0" w:space="0" w:color="auto"/>
                        <w:bottom w:val="none" w:sz="0" w:space="0" w:color="auto"/>
                        <w:right w:val="none" w:sz="0" w:space="0" w:color="auto"/>
                      </w:divBdr>
                    </w:div>
                  </w:divsChild>
                </w:div>
                <w:div w:id="158934344">
                  <w:marLeft w:val="0"/>
                  <w:marRight w:val="0"/>
                  <w:marTop w:val="0"/>
                  <w:marBottom w:val="0"/>
                  <w:divBdr>
                    <w:top w:val="none" w:sz="0" w:space="0" w:color="auto"/>
                    <w:left w:val="none" w:sz="0" w:space="0" w:color="auto"/>
                    <w:bottom w:val="none" w:sz="0" w:space="0" w:color="auto"/>
                    <w:right w:val="none" w:sz="0" w:space="0" w:color="auto"/>
                  </w:divBdr>
                  <w:divsChild>
                    <w:div w:id="651367322">
                      <w:marLeft w:val="0"/>
                      <w:marRight w:val="0"/>
                      <w:marTop w:val="0"/>
                      <w:marBottom w:val="0"/>
                      <w:divBdr>
                        <w:top w:val="none" w:sz="0" w:space="0" w:color="auto"/>
                        <w:left w:val="none" w:sz="0" w:space="0" w:color="auto"/>
                        <w:bottom w:val="none" w:sz="0" w:space="0" w:color="auto"/>
                        <w:right w:val="none" w:sz="0" w:space="0" w:color="auto"/>
                      </w:divBdr>
                    </w:div>
                  </w:divsChild>
                </w:div>
                <w:div w:id="175506500">
                  <w:marLeft w:val="0"/>
                  <w:marRight w:val="0"/>
                  <w:marTop w:val="0"/>
                  <w:marBottom w:val="0"/>
                  <w:divBdr>
                    <w:top w:val="none" w:sz="0" w:space="0" w:color="auto"/>
                    <w:left w:val="none" w:sz="0" w:space="0" w:color="auto"/>
                    <w:bottom w:val="none" w:sz="0" w:space="0" w:color="auto"/>
                    <w:right w:val="none" w:sz="0" w:space="0" w:color="auto"/>
                  </w:divBdr>
                  <w:divsChild>
                    <w:div w:id="981693552">
                      <w:marLeft w:val="0"/>
                      <w:marRight w:val="0"/>
                      <w:marTop w:val="0"/>
                      <w:marBottom w:val="0"/>
                      <w:divBdr>
                        <w:top w:val="none" w:sz="0" w:space="0" w:color="auto"/>
                        <w:left w:val="none" w:sz="0" w:space="0" w:color="auto"/>
                        <w:bottom w:val="none" w:sz="0" w:space="0" w:color="auto"/>
                        <w:right w:val="none" w:sz="0" w:space="0" w:color="auto"/>
                      </w:divBdr>
                    </w:div>
                  </w:divsChild>
                </w:div>
                <w:div w:id="181016446">
                  <w:marLeft w:val="0"/>
                  <w:marRight w:val="0"/>
                  <w:marTop w:val="0"/>
                  <w:marBottom w:val="0"/>
                  <w:divBdr>
                    <w:top w:val="none" w:sz="0" w:space="0" w:color="auto"/>
                    <w:left w:val="none" w:sz="0" w:space="0" w:color="auto"/>
                    <w:bottom w:val="none" w:sz="0" w:space="0" w:color="auto"/>
                    <w:right w:val="none" w:sz="0" w:space="0" w:color="auto"/>
                  </w:divBdr>
                  <w:divsChild>
                    <w:div w:id="610429626">
                      <w:marLeft w:val="0"/>
                      <w:marRight w:val="0"/>
                      <w:marTop w:val="0"/>
                      <w:marBottom w:val="0"/>
                      <w:divBdr>
                        <w:top w:val="none" w:sz="0" w:space="0" w:color="auto"/>
                        <w:left w:val="none" w:sz="0" w:space="0" w:color="auto"/>
                        <w:bottom w:val="none" w:sz="0" w:space="0" w:color="auto"/>
                        <w:right w:val="none" w:sz="0" w:space="0" w:color="auto"/>
                      </w:divBdr>
                    </w:div>
                  </w:divsChild>
                </w:div>
                <w:div w:id="197939962">
                  <w:marLeft w:val="0"/>
                  <w:marRight w:val="0"/>
                  <w:marTop w:val="0"/>
                  <w:marBottom w:val="0"/>
                  <w:divBdr>
                    <w:top w:val="none" w:sz="0" w:space="0" w:color="auto"/>
                    <w:left w:val="none" w:sz="0" w:space="0" w:color="auto"/>
                    <w:bottom w:val="none" w:sz="0" w:space="0" w:color="auto"/>
                    <w:right w:val="none" w:sz="0" w:space="0" w:color="auto"/>
                  </w:divBdr>
                  <w:divsChild>
                    <w:div w:id="993486885">
                      <w:marLeft w:val="0"/>
                      <w:marRight w:val="0"/>
                      <w:marTop w:val="0"/>
                      <w:marBottom w:val="0"/>
                      <w:divBdr>
                        <w:top w:val="none" w:sz="0" w:space="0" w:color="auto"/>
                        <w:left w:val="none" w:sz="0" w:space="0" w:color="auto"/>
                        <w:bottom w:val="none" w:sz="0" w:space="0" w:color="auto"/>
                        <w:right w:val="none" w:sz="0" w:space="0" w:color="auto"/>
                      </w:divBdr>
                    </w:div>
                  </w:divsChild>
                </w:div>
                <w:div w:id="226763754">
                  <w:marLeft w:val="0"/>
                  <w:marRight w:val="0"/>
                  <w:marTop w:val="0"/>
                  <w:marBottom w:val="0"/>
                  <w:divBdr>
                    <w:top w:val="none" w:sz="0" w:space="0" w:color="auto"/>
                    <w:left w:val="none" w:sz="0" w:space="0" w:color="auto"/>
                    <w:bottom w:val="none" w:sz="0" w:space="0" w:color="auto"/>
                    <w:right w:val="none" w:sz="0" w:space="0" w:color="auto"/>
                  </w:divBdr>
                  <w:divsChild>
                    <w:div w:id="2137747117">
                      <w:marLeft w:val="0"/>
                      <w:marRight w:val="0"/>
                      <w:marTop w:val="0"/>
                      <w:marBottom w:val="0"/>
                      <w:divBdr>
                        <w:top w:val="none" w:sz="0" w:space="0" w:color="auto"/>
                        <w:left w:val="none" w:sz="0" w:space="0" w:color="auto"/>
                        <w:bottom w:val="none" w:sz="0" w:space="0" w:color="auto"/>
                        <w:right w:val="none" w:sz="0" w:space="0" w:color="auto"/>
                      </w:divBdr>
                    </w:div>
                  </w:divsChild>
                </w:div>
                <w:div w:id="228417655">
                  <w:marLeft w:val="0"/>
                  <w:marRight w:val="0"/>
                  <w:marTop w:val="0"/>
                  <w:marBottom w:val="0"/>
                  <w:divBdr>
                    <w:top w:val="none" w:sz="0" w:space="0" w:color="auto"/>
                    <w:left w:val="none" w:sz="0" w:space="0" w:color="auto"/>
                    <w:bottom w:val="none" w:sz="0" w:space="0" w:color="auto"/>
                    <w:right w:val="none" w:sz="0" w:space="0" w:color="auto"/>
                  </w:divBdr>
                  <w:divsChild>
                    <w:div w:id="978218909">
                      <w:marLeft w:val="0"/>
                      <w:marRight w:val="0"/>
                      <w:marTop w:val="0"/>
                      <w:marBottom w:val="0"/>
                      <w:divBdr>
                        <w:top w:val="none" w:sz="0" w:space="0" w:color="auto"/>
                        <w:left w:val="none" w:sz="0" w:space="0" w:color="auto"/>
                        <w:bottom w:val="none" w:sz="0" w:space="0" w:color="auto"/>
                        <w:right w:val="none" w:sz="0" w:space="0" w:color="auto"/>
                      </w:divBdr>
                    </w:div>
                  </w:divsChild>
                </w:div>
                <w:div w:id="233199388">
                  <w:marLeft w:val="0"/>
                  <w:marRight w:val="0"/>
                  <w:marTop w:val="0"/>
                  <w:marBottom w:val="0"/>
                  <w:divBdr>
                    <w:top w:val="none" w:sz="0" w:space="0" w:color="auto"/>
                    <w:left w:val="none" w:sz="0" w:space="0" w:color="auto"/>
                    <w:bottom w:val="none" w:sz="0" w:space="0" w:color="auto"/>
                    <w:right w:val="none" w:sz="0" w:space="0" w:color="auto"/>
                  </w:divBdr>
                  <w:divsChild>
                    <w:div w:id="1239093486">
                      <w:marLeft w:val="0"/>
                      <w:marRight w:val="0"/>
                      <w:marTop w:val="0"/>
                      <w:marBottom w:val="0"/>
                      <w:divBdr>
                        <w:top w:val="none" w:sz="0" w:space="0" w:color="auto"/>
                        <w:left w:val="none" w:sz="0" w:space="0" w:color="auto"/>
                        <w:bottom w:val="none" w:sz="0" w:space="0" w:color="auto"/>
                        <w:right w:val="none" w:sz="0" w:space="0" w:color="auto"/>
                      </w:divBdr>
                    </w:div>
                  </w:divsChild>
                </w:div>
                <w:div w:id="234946795">
                  <w:marLeft w:val="0"/>
                  <w:marRight w:val="0"/>
                  <w:marTop w:val="0"/>
                  <w:marBottom w:val="0"/>
                  <w:divBdr>
                    <w:top w:val="none" w:sz="0" w:space="0" w:color="auto"/>
                    <w:left w:val="none" w:sz="0" w:space="0" w:color="auto"/>
                    <w:bottom w:val="none" w:sz="0" w:space="0" w:color="auto"/>
                    <w:right w:val="none" w:sz="0" w:space="0" w:color="auto"/>
                  </w:divBdr>
                  <w:divsChild>
                    <w:div w:id="2127696764">
                      <w:marLeft w:val="0"/>
                      <w:marRight w:val="0"/>
                      <w:marTop w:val="0"/>
                      <w:marBottom w:val="0"/>
                      <w:divBdr>
                        <w:top w:val="none" w:sz="0" w:space="0" w:color="auto"/>
                        <w:left w:val="none" w:sz="0" w:space="0" w:color="auto"/>
                        <w:bottom w:val="none" w:sz="0" w:space="0" w:color="auto"/>
                        <w:right w:val="none" w:sz="0" w:space="0" w:color="auto"/>
                      </w:divBdr>
                    </w:div>
                  </w:divsChild>
                </w:div>
                <w:div w:id="277882697">
                  <w:marLeft w:val="0"/>
                  <w:marRight w:val="0"/>
                  <w:marTop w:val="0"/>
                  <w:marBottom w:val="0"/>
                  <w:divBdr>
                    <w:top w:val="none" w:sz="0" w:space="0" w:color="auto"/>
                    <w:left w:val="none" w:sz="0" w:space="0" w:color="auto"/>
                    <w:bottom w:val="none" w:sz="0" w:space="0" w:color="auto"/>
                    <w:right w:val="none" w:sz="0" w:space="0" w:color="auto"/>
                  </w:divBdr>
                  <w:divsChild>
                    <w:div w:id="667944123">
                      <w:marLeft w:val="0"/>
                      <w:marRight w:val="0"/>
                      <w:marTop w:val="0"/>
                      <w:marBottom w:val="0"/>
                      <w:divBdr>
                        <w:top w:val="none" w:sz="0" w:space="0" w:color="auto"/>
                        <w:left w:val="none" w:sz="0" w:space="0" w:color="auto"/>
                        <w:bottom w:val="none" w:sz="0" w:space="0" w:color="auto"/>
                        <w:right w:val="none" w:sz="0" w:space="0" w:color="auto"/>
                      </w:divBdr>
                    </w:div>
                  </w:divsChild>
                </w:div>
                <w:div w:id="300574315">
                  <w:marLeft w:val="0"/>
                  <w:marRight w:val="0"/>
                  <w:marTop w:val="0"/>
                  <w:marBottom w:val="0"/>
                  <w:divBdr>
                    <w:top w:val="none" w:sz="0" w:space="0" w:color="auto"/>
                    <w:left w:val="none" w:sz="0" w:space="0" w:color="auto"/>
                    <w:bottom w:val="none" w:sz="0" w:space="0" w:color="auto"/>
                    <w:right w:val="none" w:sz="0" w:space="0" w:color="auto"/>
                  </w:divBdr>
                  <w:divsChild>
                    <w:div w:id="2071729701">
                      <w:marLeft w:val="0"/>
                      <w:marRight w:val="0"/>
                      <w:marTop w:val="0"/>
                      <w:marBottom w:val="0"/>
                      <w:divBdr>
                        <w:top w:val="none" w:sz="0" w:space="0" w:color="auto"/>
                        <w:left w:val="none" w:sz="0" w:space="0" w:color="auto"/>
                        <w:bottom w:val="none" w:sz="0" w:space="0" w:color="auto"/>
                        <w:right w:val="none" w:sz="0" w:space="0" w:color="auto"/>
                      </w:divBdr>
                    </w:div>
                  </w:divsChild>
                </w:div>
                <w:div w:id="334963510">
                  <w:marLeft w:val="0"/>
                  <w:marRight w:val="0"/>
                  <w:marTop w:val="0"/>
                  <w:marBottom w:val="0"/>
                  <w:divBdr>
                    <w:top w:val="none" w:sz="0" w:space="0" w:color="auto"/>
                    <w:left w:val="none" w:sz="0" w:space="0" w:color="auto"/>
                    <w:bottom w:val="none" w:sz="0" w:space="0" w:color="auto"/>
                    <w:right w:val="none" w:sz="0" w:space="0" w:color="auto"/>
                  </w:divBdr>
                  <w:divsChild>
                    <w:div w:id="519198353">
                      <w:marLeft w:val="0"/>
                      <w:marRight w:val="0"/>
                      <w:marTop w:val="0"/>
                      <w:marBottom w:val="0"/>
                      <w:divBdr>
                        <w:top w:val="none" w:sz="0" w:space="0" w:color="auto"/>
                        <w:left w:val="none" w:sz="0" w:space="0" w:color="auto"/>
                        <w:bottom w:val="none" w:sz="0" w:space="0" w:color="auto"/>
                        <w:right w:val="none" w:sz="0" w:space="0" w:color="auto"/>
                      </w:divBdr>
                    </w:div>
                  </w:divsChild>
                </w:div>
                <w:div w:id="395055710">
                  <w:marLeft w:val="0"/>
                  <w:marRight w:val="0"/>
                  <w:marTop w:val="0"/>
                  <w:marBottom w:val="0"/>
                  <w:divBdr>
                    <w:top w:val="none" w:sz="0" w:space="0" w:color="auto"/>
                    <w:left w:val="none" w:sz="0" w:space="0" w:color="auto"/>
                    <w:bottom w:val="none" w:sz="0" w:space="0" w:color="auto"/>
                    <w:right w:val="none" w:sz="0" w:space="0" w:color="auto"/>
                  </w:divBdr>
                  <w:divsChild>
                    <w:div w:id="1290086794">
                      <w:marLeft w:val="0"/>
                      <w:marRight w:val="0"/>
                      <w:marTop w:val="0"/>
                      <w:marBottom w:val="0"/>
                      <w:divBdr>
                        <w:top w:val="none" w:sz="0" w:space="0" w:color="auto"/>
                        <w:left w:val="none" w:sz="0" w:space="0" w:color="auto"/>
                        <w:bottom w:val="none" w:sz="0" w:space="0" w:color="auto"/>
                        <w:right w:val="none" w:sz="0" w:space="0" w:color="auto"/>
                      </w:divBdr>
                    </w:div>
                  </w:divsChild>
                </w:div>
                <w:div w:id="419906617">
                  <w:marLeft w:val="0"/>
                  <w:marRight w:val="0"/>
                  <w:marTop w:val="0"/>
                  <w:marBottom w:val="0"/>
                  <w:divBdr>
                    <w:top w:val="none" w:sz="0" w:space="0" w:color="auto"/>
                    <w:left w:val="none" w:sz="0" w:space="0" w:color="auto"/>
                    <w:bottom w:val="none" w:sz="0" w:space="0" w:color="auto"/>
                    <w:right w:val="none" w:sz="0" w:space="0" w:color="auto"/>
                  </w:divBdr>
                  <w:divsChild>
                    <w:div w:id="252205953">
                      <w:marLeft w:val="0"/>
                      <w:marRight w:val="0"/>
                      <w:marTop w:val="0"/>
                      <w:marBottom w:val="0"/>
                      <w:divBdr>
                        <w:top w:val="none" w:sz="0" w:space="0" w:color="auto"/>
                        <w:left w:val="none" w:sz="0" w:space="0" w:color="auto"/>
                        <w:bottom w:val="none" w:sz="0" w:space="0" w:color="auto"/>
                        <w:right w:val="none" w:sz="0" w:space="0" w:color="auto"/>
                      </w:divBdr>
                    </w:div>
                  </w:divsChild>
                </w:div>
                <w:div w:id="424149571">
                  <w:marLeft w:val="0"/>
                  <w:marRight w:val="0"/>
                  <w:marTop w:val="0"/>
                  <w:marBottom w:val="0"/>
                  <w:divBdr>
                    <w:top w:val="none" w:sz="0" w:space="0" w:color="auto"/>
                    <w:left w:val="none" w:sz="0" w:space="0" w:color="auto"/>
                    <w:bottom w:val="none" w:sz="0" w:space="0" w:color="auto"/>
                    <w:right w:val="none" w:sz="0" w:space="0" w:color="auto"/>
                  </w:divBdr>
                  <w:divsChild>
                    <w:div w:id="1407610985">
                      <w:marLeft w:val="0"/>
                      <w:marRight w:val="0"/>
                      <w:marTop w:val="0"/>
                      <w:marBottom w:val="0"/>
                      <w:divBdr>
                        <w:top w:val="none" w:sz="0" w:space="0" w:color="auto"/>
                        <w:left w:val="none" w:sz="0" w:space="0" w:color="auto"/>
                        <w:bottom w:val="none" w:sz="0" w:space="0" w:color="auto"/>
                        <w:right w:val="none" w:sz="0" w:space="0" w:color="auto"/>
                      </w:divBdr>
                    </w:div>
                  </w:divsChild>
                </w:div>
                <w:div w:id="439647482">
                  <w:marLeft w:val="0"/>
                  <w:marRight w:val="0"/>
                  <w:marTop w:val="0"/>
                  <w:marBottom w:val="0"/>
                  <w:divBdr>
                    <w:top w:val="none" w:sz="0" w:space="0" w:color="auto"/>
                    <w:left w:val="none" w:sz="0" w:space="0" w:color="auto"/>
                    <w:bottom w:val="none" w:sz="0" w:space="0" w:color="auto"/>
                    <w:right w:val="none" w:sz="0" w:space="0" w:color="auto"/>
                  </w:divBdr>
                  <w:divsChild>
                    <w:div w:id="322856471">
                      <w:marLeft w:val="0"/>
                      <w:marRight w:val="0"/>
                      <w:marTop w:val="0"/>
                      <w:marBottom w:val="0"/>
                      <w:divBdr>
                        <w:top w:val="none" w:sz="0" w:space="0" w:color="auto"/>
                        <w:left w:val="none" w:sz="0" w:space="0" w:color="auto"/>
                        <w:bottom w:val="none" w:sz="0" w:space="0" w:color="auto"/>
                        <w:right w:val="none" w:sz="0" w:space="0" w:color="auto"/>
                      </w:divBdr>
                    </w:div>
                  </w:divsChild>
                </w:div>
                <w:div w:id="442699225">
                  <w:marLeft w:val="0"/>
                  <w:marRight w:val="0"/>
                  <w:marTop w:val="0"/>
                  <w:marBottom w:val="0"/>
                  <w:divBdr>
                    <w:top w:val="none" w:sz="0" w:space="0" w:color="auto"/>
                    <w:left w:val="none" w:sz="0" w:space="0" w:color="auto"/>
                    <w:bottom w:val="none" w:sz="0" w:space="0" w:color="auto"/>
                    <w:right w:val="none" w:sz="0" w:space="0" w:color="auto"/>
                  </w:divBdr>
                  <w:divsChild>
                    <w:div w:id="2044283570">
                      <w:marLeft w:val="0"/>
                      <w:marRight w:val="0"/>
                      <w:marTop w:val="0"/>
                      <w:marBottom w:val="0"/>
                      <w:divBdr>
                        <w:top w:val="none" w:sz="0" w:space="0" w:color="auto"/>
                        <w:left w:val="none" w:sz="0" w:space="0" w:color="auto"/>
                        <w:bottom w:val="none" w:sz="0" w:space="0" w:color="auto"/>
                        <w:right w:val="none" w:sz="0" w:space="0" w:color="auto"/>
                      </w:divBdr>
                    </w:div>
                  </w:divsChild>
                </w:div>
                <w:div w:id="446241141">
                  <w:marLeft w:val="0"/>
                  <w:marRight w:val="0"/>
                  <w:marTop w:val="0"/>
                  <w:marBottom w:val="0"/>
                  <w:divBdr>
                    <w:top w:val="none" w:sz="0" w:space="0" w:color="auto"/>
                    <w:left w:val="none" w:sz="0" w:space="0" w:color="auto"/>
                    <w:bottom w:val="none" w:sz="0" w:space="0" w:color="auto"/>
                    <w:right w:val="none" w:sz="0" w:space="0" w:color="auto"/>
                  </w:divBdr>
                  <w:divsChild>
                    <w:div w:id="1093362042">
                      <w:marLeft w:val="0"/>
                      <w:marRight w:val="0"/>
                      <w:marTop w:val="0"/>
                      <w:marBottom w:val="0"/>
                      <w:divBdr>
                        <w:top w:val="none" w:sz="0" w:space="0" w:color="auto"/>
                        <w:left w:val="none" w:sz="0" w:space="0" w:color="auto"/>
                        <w:bottom w:val="none" w:sz="0" w:space="0" w:color="auto"/>
                        <w:right w:val="none" w:sz="0" w:space="0" w:color="auto"/>
                      </w:divBdr>
                    </w:div>
                  </w:divsChild>
                </w:div>
                <w:div w:id="467405496">
                  <w:marLeft w:val="0"/>
                  <w:marRight w:val="0"/>
                  <w:marTop w:val="0"/>
                  <w:marBottom w:val="0"/>
                  <w:divBdr>
                    <w:top w:val="none" w:sz="0" w:space="0" w:color="auto"/>
                    <w:left w:val="none" w:sz="0" w:space="0" w:color="auto"/>
                    <w:bottom w:val="none" w:sz="0" w:space="0" w:color="auto"/>
                    <w:right w:val="none" w:sz="0" w:space="0" w:color="auto"/>
                  </w:divBdr>
                  <w:divsChild>
                    <w:div w:id="1100415734">
                      <w:marLeft w:val="0"/>
                      <w:marRight w:val="0"/>
                      <w:marTop w:val="0"/>
                      <w:marBottom w:val="0"/>
                      <w:divBdr>
                        <w:top w:val="none" w:sz="0" w:space="0" w:color="auto"/>
                        <w:left w:val="none" w:sz="0" w:space="0" w:color="auto"/>
                        <w:bottom w:val="none" w:sz="0" w:space="0" w:color="auto"/>
                        <w:right w:val="none" w:sz="0" w:space="0" w:color="auto"/>
                      </w:divBdr>
                    </w:div>
                  </w:divsChild>
                </w:div>
                <w:div w:id="496652233">
                  <w:marLeft w:val="0"/>
                  <w:marRight w:val="0"/>
                  <w:marTop w:val="0"/>
                  <w:marBottom w:val="0"/>
                  <w:divBdr>
                    <w:top w:val="none" w:sz="0" w:space="0" w:color="auto"/>
                    <w:left w:val="none" w:sz="0" w:space="0" w:color="auto"/>
                    <w:bottom w:val="none" w:sz="0" w:space="0" w:color="auto"/>
                    <w:right w:val="none" w:sz="0" w:space="0" w:color="auto"/>
                  </w:divBdr>
                  <w:divsChild>
                    <w:div w:id="1328438186">
                      <w:marLeft w:val="0"/>
                      <w:marRight w:val="0"/>
                      <w:marTop w:val="0"/>
                      <w:marBottom w:val="0"/>
                      <w:divBdr>
                        <w:top w:val="none" w:sz="0" w:space="0" w:color="auto"/>
                        <w:left w:val="none" w:sz="0" w:space="0" w:color="auto"/>
                        <w:bottom w:val="none" w:sz="0" w:space="0" w:color="auto"/>
                        <w:right w:val="none" w:sz="0" w:space="0" w:color="auto"/>
                      </w:divBdr>
                    </w:div>
                  </w:divsChild>
                </w:div>
                <w:div w:id="519319682">
                  <w:marLeft w:val="0"/>
                  <w:marRight w:val="0"/>
                  <w:marTop w:val="0"/>
                  <w:marBottom w:val="0"/>
                  <w:divBdr>
                    <w:top w:val="none" w:sz="0" w:space="0" w:color="auto"/>
                    <w:left w:val="none" w:sz="0" w:space="0" w:color="auto"/>
                    <w:bottom w:val="none" w:sz="0" w:space="0" w:color="auto"/>
                    <w:right w:val="none" w:sz="0" w:space="0" w:color="auto"/>
                  </w:divBdr>
                  <w:divsChild>
                    <w:div w:id="463350451">
                      <w:marLeft w:val="0"/>
                      <w:marRight w:val="0"/>
                      <w:marTop w:val="0"/>
                      <w:marBottom w:val="0"/>
                      <w:divBdr>
                        <w:top w:val="none" w:sz="0" w:space="0" w:color="auto"/>
                        <w:left w:val="none" w:sz="0" w:space="0" w:color="auto"/>
                        <w:bottom w:val="none" w:sz="0" w:space="0" w:color="auto"/>
                        <w:right w:val="none" w:sz="0" w:space="0" w:color="auto"/>
                      </w:divBdr>
                    </w:div>
                  </w:divsChild>
                </w:div>
                <w:div w:id="522716332">
                  <w:marLeft w:val="0"/>
                  <w:marRight w:val="0"/>
                  <w:marTop w:val="0"/>
                  <w:marBottom w:val="0"/>
                  <w:divBdr>
                    <w:top w:val="none" w:sz="0" w:space="0" w:color="auto"/>
                    <w:left w:val="none" w:sz="0" w:space="0" w:color="auto"/>
                    <w:bottom w:val="none" w:sz="0" w:space="0" w:color="auto"/>
                    <w:right w:val="none" w:sz="0" w:space="0" w:color="auto"/>
                  </w:divBdr>
                  <w:divsChild>
                    <w:div w:id="808134563">
                      <w:marLeft w:val="0"/>
                      <w:marRight w:val="0"/>
                      <w:marTop w:val="0"/>
                      <w:marBottom w:val="0"/>
                      <w:divBdr>
                        <w:top w:val="none" w:sz="0" w:space="0" w:color="auto"/>
                        <w:left w:val="none" w:sz="0" w:space="0" w:color="auto"/>
                        <w:bottom w:val="none" w:sz="0" w:space="0" w:color="auto"/>
                        <w:right w:val="none" w:sz="0" w:space="0" w:color="auto"/>
                      </w:divBdr>
                    </w:div>
                  </w:divsChild>
                </w:div>
                <w:div w:id="538666757">
                  <w:marLeft w:val="0"/>
                  <w:marRight w:val="0"/>
                  <w:marTop w:val="0"/>
                  <w:marBottom w:val="0"/>
                  <w:divBdr>
                    <w:top w:val="none" w:sz="0" w:space="0" w:color="auto"/>
                    <w:left w:val="none" w:sz="0" w:space="0" w:color="auto"/>
                    <w:bottom w:val="none" w:sz="0" w:space="0" w:color="auto"/>
                    <w:right w:val="none" w:sz="0" w:space="0" w:color="auto"/>
                  </w:divBdr>
                  <w:divsChild>
                    <w:div w:id="1425766219">
                      <w:marLeft w:val="0"/>
                      <w:marRight w:val="0"/>
                      <w:marTop w:val="0"/>
                      <w:marBottom w:val="0"/>
                      <w:divBdr>
                        <w:top w:val="none" w:sz="0" w:space="0" w:color="auto"/>
                        <w:left w:val="none" w:sz="0" w:space="0" w:color="auto"/>
                        <w:bottom w:val="none" w:sz="0" w:space="0" w:color="auto"/>
                        <w:right w:val="none" w:sz="0" w:space="0" w:color="auto"/>
                      </w:divBdr>
                    </w:div>
                  </w:divsChild>
                </w:div>
                <w:div w:id="550583558">
                  <w:marLeft w:val="0"/>
                  <w:marRight w:val="0"/>
                  <w:marTop w:val="0"/>
                  <w:marBottom w:val="0"/>
                  <w:divBdr>
                    <w:top w:val="none" w:sz="0" w:space="0" w:color="auto"/>
                    <w:left w:val="none" w:sz="0" w:space="0" w:color="auto"/>
                    <w:bottom w:val="none" w:sz="0" w:space="0" w:color="auto"/>
                    <w:right w:val="none" w:sz="0" w:space="0" w:color="auto"/>
                  </w:divBdr>
                  <w:divsChild>
                    <w:div w:id="1008823084">
                      <w:marLeft w:val="0"/>
                      <w:marRight w:val="0"/>
                      <w:marTop w:val="0"/>
                      <w:marBottom w:val="0"/>
                      <w:divBdr>
                        <w:top w:val="none" w:sz="0" w:space="0" w:color="auto"/>
                        <w:left w:val="none" w:sz="0" w:space="0" w:color="auto"/>
                        <w:bottom w:val="none" w:sz="0" w:space="0" w:color="auto"/>
                        <w:right w:val="none" w:sz="0" w:space="0" w:color="auto"/>
                      </w:divBdr>
                    </w:div>
                  </w:divsChild>
                </w:div>
                <w:div w:id="582880576">
                  <w:marLeft w:val="0"/>
                  <w:marRight w:val="0"/>
                  <w:marTop w:val="0"/>
                  <w:marBottom w:val="0"/>
                  <w:divBdr>
                    <w:top w:val="none" w:sz="0" w:space="0" w:color="auto"/>
                    <w:left w:val="none" w:sz="0" w:space="0" w:color="auto"/>
                    <w:bottom w:val="none" w:sz="0" w:space="0" w:color="auto"/>
                    <w:right w:val="none" w:sz="0" w:space="0" w:color="auto"/>
                  </w:divBdr>
                  <w:divsChild>
                    <w:div w:id="1339120654">
                      <w:marLeft w:val="0"/>
                      <w:marRight w:val="0"/>
                      <w:marTop w:val="0"/>
                      <w:marBottom w:val="0"/>
                      <w:divBdr>
                        <w:top w:val="none" w:sz="0" w:space="0" w:color="auto"/>
                        <w:left w:val="none" w:sz="0" w:space="0" w:color="auto"/>
                        <w:bottom w:val="none" w:sz="0" w:space="0" w:color="auto"/>
                        <w:right w:val="none" w:sz="0" w:space="0" w:color="auto"/>
                      </w:divBdr>
                    </w:div>
                  </w:divsChild>
                </w:div>
                <w:div w:id="613632860">
                  <w:marLeft w:val="0"/>
                  <w:marRight w:val="0"/>
                  <w:marTop w:val="0"/>
                  <w:marBottom w:val="0"/>
                  <w:divBdr>
                    <w:top w:val="none" w:sz="0" w:space="0" w:color="auto"/>
                    <w:left w:val="none" w:sz="0" w:space="0" w:color="auto"/>
                    <w:bottom w:val="none" w:sz="0" w:space="0" w:color="auto"/>
                    <w:right w:val="none" w:sz="0" w:space="0" w:color="auto"/>
                  </w:divBdr>
                  <w:divsChild>
                    <w:div w:id="702940782">
                      <w:marLeft w:val="0"/>
                      <w:marRight w:val="0"/>
                      <w:marTop w:val="0"/>
                      <w:marBottom w:val="0"/>
                      <w:divBdr>
                        <w:top w:val="none" w:sz="0" w:space="0" w:color="auto"/>
                        <w:left w:val="none" w:sz="0" w:space="0" w:color="auto"/>
                        <w:bottom w:val="none" w:sz="0" w:space="0" w:color="auto"/>
                        <w:right w:val="none" w:sz="0" w:space="0" w:color="auto"/>
                      </w:divBdr>
                    </w:div>
                  </w:divsChild>
                </w:div>
                <w:div w:id="615218930">
                  <w:marLeft w:val="0"/>
                  <w:marRight w:val="0"/>
                  <w:marTop w:val="0"/>
                  <w:marBottom w:val="0"/>
                  <w:divBdr>
                    <w:top w:val="none" w:sz="0" w:space="0" w:color="auto"/>
                    <w:left w:val="none" w:sz="0" w:space="0" w:color="auto"/>
                    <w:bottom w:val="none" w:sz="0" w:space="0" w:color="auto"/>
                    <w:right w:val="none" w:sz="0" w:space="0" w:color="auto"/>
                  </w:divBdr>
                  <w:divsChild>
                    <w:div w:id="1163928846">
                      <w:marLeft w:val="0"/>
                      <w:marRight w:val="0"/>
                      <w:marTop w:val="0"/>
                      <w:marBottom w:val="0"/>
                      <w:divBdr>
                        <w:top w:val="none" w:sz="0" w:space="0" w:color="auto"/>
                        <w:left w:val="none" w:sz="0" w:space="0" w:color="auto"/>
                        <w:bottom w:val="none" w:sz="0" w:space="0" w:color="auto"/>
                        <w:right w:val="none" w:sz="0" w:space="0" w:color="auto"/>
                      </w:divBdr>
                    </w:div>
                  </w:divsChild>
                </w:div>
                <w:div w:id="644745007">
                  <w:marLeft w:val="0"/>
                  <w:marRight w:val="0"/>
                  <w:marTop w:val="0"/>
                  <w:marBottom w:val="0"/>
                  <w:divBdr>
                    <w:top w:val="none" w:sz="0" w:space="0" w:color="auto"/>
                    <w:left w:val="none" w:sz="0" w:space="0" w:color="auto"/>
                    <w:bottom w:val="none" w:sz="0" w:space="0" w:color="auto"/>
                    <w:right w:val="none" w:sz="0" w:space="0" w:color="auto"/>
                  </w:divBdr>
                  <w:divsChild>
                    <w:div w:id="1940024408">
                      <w:marLeft w:val="0"/>
                      <w:marRight w:val="0"/>
                      <w:marTop w:val="0"/>
                      <w:marBottom w:val="0"/>
                      <w:divBdr>
                        <w:top w:val="none" w:sz="0" w:space="0" w:color="auto"/>
                        <w:left w:val="none" w:sz="0" w:space="0" w:color="auto"/>
                        <w:bottom w:val="none" w:sz="0" w:space="0" w:color="auto"/>
                        <w:right w:val="none" w:sz="0" w:space="0" w:color="auto"/>
                      </w:divBdr>
                    </w:div>
                  </w:divsChild>
                </w:div>
                <w:div w:id="671225960">
                  <w:marLeft w:val="0"/>
                  <w:marRight w:val="0"/>
                  <w:marTop w:val="0"/>
                  <w:marBottom w:val="0"/>
                  <w:divBdr>
                    <w:top w:val="none" w:sz="0" w:space="0" w:color="auto"/>
                    <w:left w:val="none" w:sz="0" w:space="0" w:color="auto"/>
                    <w:bottom w:val="none" w:sz="0" w:space="0" w:color="auto"/>
                    <w:right w:val="none" w:sz="0" w:space="0" w:color="auto"/>
                  </w:divBdr>
                  <w:divsChild>
                    <w:div w:id="259682586">
                      <w:marLeft w:val="0"/>
                      <w:marRight w:val="0"/>
                      <w:marTop w:val="0"/>
                      <w:marBottom w:val="0"/>
                      <w:divBdr>
                        <w:top w:val="none" w:sz="0" w:space="0" w:color="auto"/>
                        <w:left w:val="none" w:sz="0" w:space="0" w:color="auto"/>
                        <w:bottom w:val="none" w:sz="0" w:space="0" w:color="auto"/>
                        <w:right w:val="none" w:sz="0" w:space="0" w:color="auto"/>
                      </w:divBdr>
                    </w:div>
                  </w:divsChild>
                </w:div>
                <w:div w:id="704057442">
                  <w:marLeft w:val="0"/>
                  <w:marRight w:val="0"/>
                  <w:marTop w:val="0"/>
                  <w:marBottom w:val="0"/>
                  <w:divBdr>
                    <w:top w:val="none" w:sz="0" w:space="0" w:color="auto"/>
                    <w:left w:val="none" w:sz="0" w:space="0" w:color="auto"/>
                    <w:bottom w:val="none" w:sz="0" w:space="0" w:color="auto"/>
                    <w:right w:val="none" w:sz="0" w:space="0" w:color="auto"/>
                  </w:divBdr>
                  <w:divsChild>
                    <w:div w:id="1912227332">
                      <w:marLeft w:val="0"/>
                      <w:marRight w:val="0"/>
                      <w:marTop w:val="0"/>
                      <w:marBottom w:val="0"/>
                      <w:divBdr>
                        <w:top w:val="none" w:sz="0" w:space="0" w:color="auto"/>
                        <w:left w:val="none" w:sz="0" w:space="0" w:color="auto"/>
                        <w:bottom w:val="none" w:sz="0" w:space="0" w:color="auto"/>
                        <w:right w:val="none" w:sz="0" w:space="0" w:color="auto"/>
                      </w:divBdr>
                    </w:div>
                  </w:divsChild>
                </w:div>
                <w:div w:id="720908428">
                  <w:marLeft w:val="0"/>
                  <w:marRight w:val="0"/>
                  <w:marTop w:val="0"/>
                  <w:marBottom w:val="0"/>
                  <w:divBdr>
                    <w:top w:val="none" w:sz="0" w:space="0" w:color="auto"/>
                    <w:left w:val="none" w:sz="0" w:space="0" w:color="auto"/>
                    <w:bottom w:val="none" w:sz="0" w:space="0" w:color="auto"/>
                    <w:right w:val="none" w:sz="0" w:space="0" w:color="auto"/>
                  </w:divBdr>
                  <w:divsChild>
                    <w:div w:id="1411657519">
                      <w:marLeft w:val="0"/>
                      <w:marRight w:val="0"/>
                      <w:marTop w:val="0"/>
                      <w:marBottom w:val="0"/>
                      <w:divBdr>
                        <w:top w:val="none" w:sz="0" w:space="0" w:color="auto"/>
                        <w:left w:val="none" w:sz="0" w:space="0" w:color="auto"/>
                        <w:bottom w:val="none" w:sz="0" w:space="0" w:color="auto"/>
                        <w:right w:val="none" w:sz="0" w:space="0" w:color="auto"/>
                      </w:divBdr>
                    </w:div>
                  </w:divsChild>
                </w:div>
                <w:div w:id="722560809">
                  <w:marLeft w:val="0"/>
                  <w:marRight w:val="0"/>
                  <w:marTop w:val="0"/>
                  <w:marBottom w:val="0"/>
                  <w:divBdr>
                    <w:top w:val="none" w:sz="0" w:space="0" w:color="auto"/>
                    <w:left w:val="none" w:sz="0" w:space="0" w:color="auto"/>
                    <w:bottom w:val="none" w:sz="0" w:space="0" w:color="auto"/>
                    <w:right w:val="none" w:sz="0" w:space="0" w:color="auto"/>
                  </w:divBdr>
                  <w:divsChild>
                    <w:div w:id="1647738116">
                      <w:marLeft w:val="0"/>
                      <w:marRight w:val="0"/>
                      <w:marTop w:val="0"/>
                      <w:marBottom w:val="0"/>
                      <w:divBdr>
                        <w:top w:val="none" w:sz="0" w:space="0" w:color="auto"/>
                        <w:left w:val="none" w:sz="0" w:space="0" w:color="auto"/>
                        <w:bottom w:val="none" w:sz="0" w:space="0" w:color="auto"/>
                        <w:right w:val="none" w:sz="0" w:space="0" w:color="auto"/>
                      </w:divBdr>
                    </w:div>
                  </w:divsChild>
                </w:div>
                <w:div w:id="759833082">
                  <w:marLeft w:val="0"/>
                  <w:marRight w:val="0"/>
                  <w:marTop w:val="0"/>
                  <w:marBottom w:val="0"/>
                  <w:divBdr>
                    <w:top w:val="none" w:sz="0" w:space="0" w:color="auto"/>
                    <w:left w:val="none" w:sz="0" w:space="0" w:color="auto"/>
                    <w:bottom w:val="none" w:sz="0" w:space="0" w:color="auto"/>
                    <w:right w:val="none" w:sz="0" w:space="0" w:color="auto"/>
                  </w:divBdr>
                  <w:divsChild>
                    <w:div w:id="1408964814">
                      <w:marLeft w:val="0"/>
                      <w:marRight w:val="0"/>
                      <w:marTop w:val="0"/>
                      <w:marBottom w:val="0"/>
                      <w:divBdr>
                        <w:top w:val="none" w:sz="0" w:space="0" w:color="auto"/>
                        <w:left w:val="none" w:sz="0" w:space="0" w:color="auto"/>
                        <w:bottom w:val="none" w:sz="0" w:space="0" w:color="auto"/>
                        <w:right w:val="none" w:sz="0" w:space="0" w:color="auto"/>
                      </w:divBdr>
                    </w:div>
                  </w:divsChild>
                </w:div>
                <w:div w:id="771706672">
                  <w:marLeft w:val="0"/>
                  <w:marRight w:val="0"/>
                  <w:marTop w:val="0"/>
                  <w:marBottom w:val="0"/>
                  <w:divBdr>
                    <w:top w:val="none" w:sz="0" w:space="0" w:color="auto"/>
                    <w:left w:val="none" w:sz="0" w:space="0" w:color="auto"/>
                    <w:bottom w:val="none" w:sz="0" w:space="0" w:color="auto"/>
                    <w:right w:val="none" w:sz="0" w:space="0" w:color="auto"/>
                  </w:divBdr>
                  <w:divsChild>
                    <w:div w:id="1107233253">
                      <w:marLeft w:val="0"/>
                      <w:marRight w:val="0"/>
                      <w:marTop w:val="0"/>
                      <w:marBottom w:val="0"/>
                      <w:divBdr>
                        <w:top w:val="none" w:sz="0" w:space="0" w:color="auto"/>
                        <w:left w:val="none" w:sz="0" w:space="0" w:color="auto"/>
                        <w:bottom w:val="none" w:sz="0" w:space="0" w:color="auto"/>
                        <w:right w:val="none" w:sz="0" w:space="0" w:color="auto"/>
                      </w:divBdr>
                    </w:div>
                  </w:divsChild>
                </w:div>
                <w:div w:id="774980171">
                  <w:marLeft w:val="0"/>
                  <w:marRight w:val="0"/>
                  <w:marTop w:val="0"/>
                  <w:marBottom w:val="0"/>
                  <w:divBdr>
                    <w:top w:val="none" w:sz="0" w:space="0" w:color="auto"/>
                    <w:left w:val="none" w:sz="0" w:space="0" w:color="auto"/>
                    <w:bottom w:val="none" w:sz="0" w:space="0" w:color="auto"/>
                    <w:right w:val="none" w:sz="0" w:space="0" w:color="auto"/>
                  </w:divBdr>
                  <w:divsChild>
                    <w:div w:id="1182816780">
                      <w:marLeft w:val="0"/>
                      <w:marRight w:val="0"/>
                      <w:marTop w:val="0"/>
                      <w:marBottom w:val="0"/>
                      <w:divBdr>
                        <w:top w:val="none" w:sz="0" w:space="0" w:color="auto"/>
                        <w:left w:val="none" w:sz="0" w:space="0" w:color="auto"/>
                        <w:bottom w:val="none" w:sz="0" w:space="0" w:color="auto"/>
                        <w:right w:val="none" w:sz="0" w:space="0" w:color="auto"/>
                      </w:divBdr>
                    </w:div>
                  </w:divsChild>
                </w:div>
                <w:div w:id="815144521">
                  <w:marLeft w:val="0"/>
                  <w:marRight w:val="0"/>
                  <w:marTop w:val="0"/>
                  <w:marBottom w:val="0"/>
                  <w:divBdr>
                    <w:top w:val="none" w:sz="0" w:space="0" w:color="auto"/>
                    <w:left w:val="none" w:sz="0" w:space="0" w:color="auto"/>
                    <w:bottom w:val="none" w:sz="0" w:space="0" w:color="auto"/>
                    <w:right w:val="none" w:sz="0" w:space="0" w:color="auto"/>
                  </w:divBdr>
                  <w:divsChild>
                    <w:div w:id="1247153331">
                      <w:marLeft w:val="0"/>
                      <w:marRight w:val="0"/>
                      <w:marTop w:val="0"/>
                      <w:marBottom w:val="0"/>
                      <w:divBdr>
                        <w:top w:val="none" w:sz="0" w:space="0" w:color="auto"/>
                        <w:left w:val="none" w:sz="0" w:space="0" w:color="auto"/>
                        <w:bottom w:val="none" w:sz="0" w:space="0" w:color="auto"/>
                        <w:right w:val="none" w:sz="0" w:space="0" w:color="auto"/>
                      </w:divBdr>
                    </w:div>
                  </w:divsChild>
                </w:div>
                <w:div w:id="827671646">
                  <w:marLeft w:val="0"/>
                  <w:marRight w:val="0"/>
                  <w:marTop w:val="0"/>
                  <w:marBottom w:val="0"/>
                  <w:divBdr>
                    <w:top w:val="none" w:sz="0" w:space="0" w:color="auto"/>
                    <w:left w:val="none" w:sz="0" w:space="0" w:color="auto"/>
                    <w:bottom w:val="none" w:sz="0" w:space="0" w:color="auto"/>
                    <w:right w:val="none" w:sz="0" w:space="0" w:color="auto"/>
                  </w:divBdr>
                  <w:divsChild>
                    <w:div w:id="558397787">
                      <w:marLeft w:val="0"/>
                      <w:marRight w:val="0"/>
                      <w:marTop w:val="0"/>
                      <w:marBottom w:val="0"/>
                      <w:divBdr>
                        <w:top w:val="none" w:sz="0" w:space="0" w:color="auto"/>
                        <w:left w:val="none" w:sz="0" w:space="0" w:color="auto"/>
                        <w:bottom w:val="none" w:sz="0" w:space="0" w:color="auto"/>
                        <w:right w:val="none" w:sz="0" w:space="0" w:color="auto"/>
                      </w:divBdr>
                    </w:div>
                  </w:divsChild>
                </w:div>
                <w:div w:id="836923745">
                  <w:marLeft w:val="0"/>
                  <w:marRight w:val="0"/>
                  <w:marTop w:val="0"/>
                  <w:marBottom w:val="0"/>
                  <w:divBdr>
                    <w:top w:val="none" w:sz="0" w:space="0" w:color="auto"/>
                    <w:left w:val="none" w:sz="0" w:space="0" w:color="auto"/>
                    <w:bottom w:val="none" w:sz="0" w:space="0" w:color="auto"/>
                    <w:right w:val="none" w:sz="0" w:space="0" w:color="auto"/>
                  </w:divBdr>
                  <w:divsChild>
                    <w:div w:id="1076315909">
                      <w:marLeft w:val="0"/>
                      <w:marRight w:val="0"/>
                      <w:marTop w:val="0"/>
                      <w:marBottom w:val="0"/>
                      <w:divBdr>
                        <w:top w:val="none" w:sz="0" w:space="0" w:color="auto"/>
                        <w:left w:val="none" w:sz="0" w:space="0" w:color="auto"/>
                        <w:bottom w:val="none" w:sz="0" w:space="0" w:color="auto"/>
                        <w:right w:val="none" w:sz="0" w:space="0" w:color="auto"/>
                      </w:divBdr>
                    </w:div>
                  </w:divsChild>
                </w:div>
                <w:div w:id="844562468">
                  <w:marLeft w:val="0"/>
                  <w:marRight w:val="0"/>
                  <w:marTop w:val="0"/>
                  <w:marBottom w:val="0"/>
                  <w:divBdr>
                    <w:top w:val="none" w:sz="0" w:space="0" w:color="auto"/>
                    <w:left w:val="none" w:sz="0" w:space="0" w:color="auto"/>
                    <w:bottom w:val="none" w:sz="0" w:space="0" w:color="auto"/>
                    <w:right w:val="none" w:sz="0" w:space="0" w:color="auto"/>
                  </w:divBdr>
                  <w:divsChild>
                    <w:div w:id="147939453">
                      <w:marLeft w:val="0"/>
                      <w:marRight w:val="0"/>
                      <w:marTop w:val="0"/>
                      <w:marBottom w:val="0"/>
                      <w:divBdr>
                        <w:top w:val="none" w:sz="0" w:space="0" w:color="auto"/>
                        <w:left w:val="none" w:sz="0" w:space="0" w:color="auto"/>
                        <w:bottom w:val="none" w:sz="0" w:space="0" w:color="auto"/>
                        <w:right w:val="none" w:sz="0" w:space="0" w:color="auto"/>
                      </w:divBdr>
                    </w:div>
                  </w:divsChild>
                </w:div>
                <w:div w:id="852501315">
                  <w:marLeft w:val="0"/>
                  <w:marRight w:val="0"/>
                  <w:marTop w:val="0"/>
                  <w:marBottom w:val="0"/>
                  <w:divBdr>
                    <w:top w:val="none" w:sz="0" w:space="0" w:color="auto"/>
                    <w:left w:val="none" w:sz="0" w:space="0" w:color="auto"/>
                    <w:bottom w:val="none" w:sz="0" w:space="0" w:color="auto"/>
                    <w:right w:val="none" w:sz="0" w:space="0" w:color="auto"/>
                  </w:divBdr>
                  <w:divsChild>
                    <w:div w:id="379137799">
                      <w:marLeft w:val="0"/>
                      <w:marRight w:val="0"/>
                      <w:marTop w:val="0"/>
                      <w:marBottom w:val="0"/>
                      <w:divBdr>
                        <w:top w:val="none" w:sz="0" w:space="0" w:color="auto"/>
                        <w:left w:val="none" w:sz="0" w:space="0" w:color="auto"/>
                        <w:bottom w:val="none" w:sz="0" w:space="0" w:color="auto"/>
                        <w:right w:val="none" w:sz="0" w:space="0" w:color="auto"/>
                      </w:divBdr>
                    </w:div>
                  </w:divsChild>
                </w:div>
                <w:div w:id="858616350">
                  <w:marLeft w:val="0"/>
                  <w:marRight w:val="0"/>
                  <w:marTop w:val="0"/>
                  <w:marBottom w:val="0"/>
                  <w:divBdr>
                    <w:top w:val="none" w:sz="0" w:space="0" w:color="auto"/>
                    <w:left w:val="none" w:sz="0" w:space="0" w:color="auto"/>
                    <w:bottom w:val="none" w:sz="0" w:space="0" w:color="auto"/>
                    <w:right w:val="none" w:sz="0" w:space="0" w:color="auto"/>
                  </w:divBdr>
                  <w:divsChild>
                    <w:div w:id="1487168503">
                      <w:marLeft w:val="0"/>
                      <w:marRight w:val="0"/>
                      <w:marTop w:val="0"/>
                      <w:marBottom w:val="0"/>
                      <w:divBdr>
                        <w:top w:val="none" w:sz="0" w:space="0" w:color="auto"/>
                        <w:left w:val="none" w:sz="0" w:space="0" w:color="auto"/>
                        <w:bottom w:val="none" w:sz="0" w:space="0" w:color="auto"/>
                        <w:right w:val="none" w:sz="0" w:space="0" w:color="auto"/>
                      </w:divBdr>
                    </w:div>
                  </w:divsChild>
                </w:div>
                <w:div w:id="863400269">
                  <w:marLeft w:val="0"/>
                  <w:marRight w:val="0"/>
                  <w:marTop w:val="0"/>
                  <w:marBottom w:val="0"/>
                  <w:divBdr>
                    <w:top w:val="none" w:sz="0" w:space="0" w:color="auto"/>
                    <w:left w:val="none" w:sz="0" w:space="0" w:color="auto"/>
                    <w:bottom w:val="none" w:sz="0" w:space="0" w:color="auto"/>
                    <w:right w:val="none" w:sz="0" w:space="0" w:color="auto"/>
                  </w:divBdr>
                  <w:divsChild>
                    <w:div w:id="184179853">
                      <w:marLeft w:val="0"/>
                      <w:marRight w:val="0"/>
                      <w:marTop w:val="0"/>
                      <w:marBottom w:val="0"/>
                      <w:divBdr>
                        <w:top w:val="none" w:sz="0" w:space="0" w:color="auto"/>
                        <w:left w:val="none" w:sz="0" w:space="0" w:color="auto"/>
                        <w:bottom w:val="none" w:sz="0" w:space="0" w:color="auto"/>
                        <w:right w:val="none" w:sz="0" w:space="0" w:color="auto"/>
                      </w:divBdr>
                    </w:div>
                  </w:divsChild>
                </w:div>
                <w:div w:id="869031711">
                  <w:marLeft w:val="0"/>
                  <w:marRight w:val="0"/>
                  <w:marTop w:val="0"/>
                  <w:marBottom w:val="0"/>
                  <w:divBdr>
                    <w:top w:val="none" w:sz="0" w:space="0" w:color="auto"/>
                    <w:left w:val="none" w:sz="0" w:space="0" w:color="auto"/>
                    <w:bottom w:val="none" w:sz="0" w:space="0" w:color="auto"/>
                    <w:right w:val="none" w:sz="0" w:space="0" w:color="auto"/>
                  </w:divBdr>
                  <w:divsChild>
                    <w:div w:id="1341422602">
                      <w:marLeft w:val="0"/>
                      <w:marRight w:val="0"/>
                      <w:marTop w:val="0"/>
                      <w:marBottom w:val="0"/>
                      <w:divBdr>
                        <w:top w:val="none" w:sz="0" w:space="0" w:color="auto"/>
                        <w:left w:val="none" w:sz="0" w:space="0" w:color="auto"/>
                        <w:bottom w:val="none" w:sz="0" w:space="0" w:color="auto"/>
                        <w:right w:val="none" w:sz="0" w:space="0" w:color="auto"/>
                      </w:divBdr>
                    </w:div>
                  </w:divsChild>
                </w:div>
                <w:div w:id="875577558">
                  <w:marLeft w:val="0"/>
                  <w:marRight w:val="0"/>
                  <w:marTop w:val="0"/>
                  <w:marBottom w:val="0"/>
                  <w:divBdr>
                    <w:top w:val="none" w:sz="0" w:space="0" w:color="auto"/>
                    <w:left w:val="none" w:sz="0" w:space="0" w:color="auto"/>
                    <w:bottom w:val="none" w:sz="0" w:space="0" w:color="auto"/>
                    <w:right w:val="none" w:sz="0" w:space="0" w:color="auto"/>
                  </w:divBdr>
                  <w:divsChild>
                    <w:div w:id="1856075542">
                      <w:marLeft w:val="0"/>
                      <w:marRight w:val="0"/>
                      <w:marTop w:val="0"/>
                      <w:marBottom w:val="0"/>
                      <w:divBdr>
                        <w:top w:val="none" w:sz="0" w:space="0" w:color="auto"/>
                        <w:left w:val="none" w:sz="0" w:space="0" w:color="auto"/>
                        <w:bottom w:val="none" w:sz="0" w:space="0" w:color="auto"/>
                        <w:right w:val="none" w:sz="0" w:space="0" w:color="auto"/>
                      </w:divBdr>
                    </w:div>
                  </w:divsChild>
                </w:div>
                <w:div w:id="877159599">
                  <w:marLeft w:val="0"/>
                  <w:marRight w:val="0"/>
                  <w:marTop w:val="0"/>
                  <w:marBottom w:val="0"/>
                  <w:divBdr>
                    <w:top w:val="none" w:sz="0" w:space="0" w:color="auto"/>
                    <w:left w:val="none" w:sz="0" w:space="0" w:color="auto"/>
                    <w:bottom w:val="none" w:sz="0" w:space="0" w:color="auto"/>
                    <w:right w:val="none" w:sz="0" w:space="0" w:color="auto"/>
                  </w:divBdr>
                  <w:divsChild>
                    <w:div w:id="1540701259">
                      <w:marLeft w:val="0"/>
                      <w:marRight w:val="0"/>
                      <w:marTop w:val="0"/>
                      <w:marBottom w:val="0"/>
                      <w:divBdr>
                        <w:top w:val="none" w:sz="0" w:space="0" w:color="auto"/>
                        <w:left w:val="none" w:sz="0" w:space="0" w:color="auto"/>
                        <w:bottom w:val="none" w:sz="0" w:space="0" w:color="auto"/>
                        <w:right w:val="none" w:sz="0" w:space="0" w:color="auto"/>
                      </w:divBdr>
                    </w:div>
                  </w:divsChild>
                </w:div>
                <w:div w:id="883173086">
                  <w:marLeft w:val="0"/>
                  <w:marRight w:val="0"/>
                  <w:marTop w:val="0"/>
                  <w:marBottom w:val="0"/>
                  <w:divBdr>
                    <w:top w:val="none" w:sz="0" w:space="0" w:color="auto"/>
                    <w:left w:val="none" w:sz="0" w:space="0" w:color="auto"/>
                    <w:bottom w:val="none" w:sz="0" w:space="0" w:color="auto"/>
                    <w:right w:val="none" w:sz="0" w:space="0" w:color="auto"/>
                  </w:divBdr>
                  <w:divsChild>
                    <w:div w:id="441649798">
                      <w:marLeft w:val="0"/>
                      <w:marRight w:val="0"/>
                      <w:marTop w:val="0"/>
                      <w:marBottom w:val="0"/>
                      <w:divBdr>
                        <w:top w:val="none" w:sz="0" w:space="0" w:color="auto"/>
                        <w:left w:val="none" w:sz="0" w:space="0" w:color="auto"/>
                        <w:bottom w:val="none" w:sz="0" w:space="0" w:color="auto"/>
                        <w:right w:val="none" w:sz="0" w:space="0" w:color="auto"/>
                      </w:divBdr>
                    </w:div>
                  </w:divsChild>
                </w:div>
                <w:div w:id="916405318">
                  <w:marLeft w:val="0"/>
                  <w:marRight w:val="0"/>
                  <w:marTop w:val="0"/>
                  <w:marBottom w:val="0"/>
                  <w:divBdr>
                    <w:top w:val="none" w:sz="0" w:space="0" w:color="auto"/>
                    <w:left w:val="none" w:sz="0" w:space="0" w:color="auto"/>
                    <w:bottom w:val="none" w:sz="0" w:space="0" w:color="auto"/>
                    <w:right w:val="none" w:sz="0" w:space="0" w:color="auto"/>
                  </w:divBdr>
                  <w:divsChild>
                    <w:div w:id="673531974">
                      <w:marLeft w:val="0"/>
                      <w:marRight w:val="0"/>
                      <w:marTop w:val="0"/>
                      <w:marBottom w:val="0"/>
                      <w:divBdr>
                        <w:top w:val="none" w:sz="0" w:space="0" w:color="auto"/>
                        <w:left w:val="none" w:sz="0" w:space="0" w:color="auto"/>
                        <w:bottom w:val="none" w:sz="0" w:space="0" w:color="auto"/>
                        <w:right w:val="none" w:sz="0" w:space="0" w:color="auto"/>
                      </w:divBdr>
                    </w:div>
                  </w:divsChild>
                </w:div>
                <w:div w:id="957293972">
                  <w:marLeft w:val="0"/>
                  <w:marRight w:val="0"/>
                  <w:marTop w:val="0"/>
                  <w:marBottom w:val="0"/>
                  <w:divBdr>
                    <w:top w:val="none" w:sz="0" w:space="0" w:color="auto"/>
                    <w:left w:val="none" w:sz="0" w:space="0" w:color="auto"/>
                    <w:bottom w:val="none" w:sz="0" w:space="0" w:color="auto"/>
                    <w:right w:val="none" w:sz="0" w:space="0" w:color="auto"/>
                  </w:divBdr>
                  <w:divsChild>
                    <w:div w:id="960500332">
                      <w:marLeft w:val="0"/>
                      <w:marRight w:val="0"/>
                      <w:marTop w:val="0"/>
                      <w:marBottom w:val="0"/>
                      <w:divBdr>
                        <w:top w:val="none" w:sz="0" w:space="0" w:color="auto"/>
                        <w:left w:val="none" w:sz="0" w:space="0" w:color="auto"/>
                        <w:bottom w:val="none" w:sz="0" w:space="0" w:color="auto"/>
                        <w:right w:val="none" w:sz="0" w:space="0" w:color="auto"/>
                      </w:divBdr>
                    </w:div>
                  </w:divsChild>
                </w:div>
                <w:div w:id="976450416">
                  <w:marLeft w:val="0"/>
                  <w:marRight w:val="0"/>
                  <w:marTop w:val="0"/>
                  <w:marBottom w:val="0"/>
                  <w:divBdr>
                    <w:top w:val="none" w:sz="0" w:space="0" w:color="auto"/>
                    <w:left w:val="none" w:sz="0" w:space="0" w:color="auto"/>
                    <w:bottom w:val="none" w:sz="0" w:space="0" w:color="auto"/>
                    <w:right w:val="none" w:sz="0" w:space="0" w:color="auto"/>
                  </w:divBdr>
                  <w:divsChild>
                    <w:div w:id="939484959">
                      <w:marLeft w:val="0"/>
                      <w:marRight w:val="0"/>
                      <w:marTop w:val="0"/>
                      <w:marBottom w:val="0"/>
                      <w:divBdr>
                        <w:top w:val="none" w:sz="0" w:space="0" w:color="auto"/>
                        <w:left w:val="none" w:sz="0" w:space="0" w:color="auto"/>
                        <w:bottom w:val="none" w:sz="0" w:space="0" w:color="auto"/>
                        <w:right w:val="none" w:sz="0" w:space="0" w:color="auto"/>
                      </w:divBdr>
                    </w:div>
                  </w:divsChild>
                </w:div>
                <w:div w:id="990212561">
                  <w:marLeft w:val="0"/>
                  <w:marRight w:val="0"/>
                  <w:marTop w:val="0"/>
                  <w:marBottom w:val="0"/>
                  <w:divBdr>
                    <w:top w:val="none" w:sz="0" w:space="0" w:color="auto"/>
                    <w:left w:val="none" w:sz="0" w:space="0" w:color="auto"/>
                    <w:bottom w:val="none" w:sz="0" w:space="0" w:color="auto"/>
                    <w:right w:val="none" w:sz="0" w:space="0" w:color="auto"/>
                  </w:divBdr>
                  <w:divsChild>
                    <w:div w:id="1764951349">
                      <w:marLeft w:val="0"/>
                      <w:marRight w:val="0"/>
                      <w:marTop w:val="0"/>
                      <w:marBottom w:val="0"/>
                      <w:divBdr>
                        <w:top w:val="none" w:sz="0" w:space="0" w:color="auto"/>
                        <w:left w:val="none" w:sz="0" w:space="0" w:color="auto"/>
                        <w:bottom w:val="none" w:sz="0" w:space="0" w:color="auto"/>
                        <w:right w:val="none" w:sz="0" w:space="0" w:color="auto"/>
                      </w:divBdr>
                    </w:div>
                  </w:divsChild>
                </w:div>
                <w:div w:id="1029068785">
                  <w:marLeft w:val="0"/>
                  <w:marRight w:val="0"/>
                  <w:marTop w:val="0"/>
                  <w:marBottom w:val="0"/>
                  <w:divBdr>
                    <w:top w:val="none" w:sz="0" w:space="0" w:color="auto"/>
                    <w:left w:val="none" w:sz="0" w:space="0" w:color="auto"/>
                    <w:bottom w:val="none" w:sz="0" w:space="0" w:color="auto"/>
                    <w:right w:val="none" w:sz="0" w:space="0" w:color="auto"/>
                  </w:divBdr>
                  <w:divsChild>
                    <w:div w:id="1299140558">
                      <w:marLeft w:val="0"/>
                      <w:marRight w:val="0"/>
                      <w:marTop w:val="0"/>
                      <w:marBottom w:val="0"/>
                      <w:divBdr>
                        <w:top w:val="none" w:sz="0" w:space="0" w:color="auto"/>
                        <w:left w:val="none" w:sz="0" w:space="0" w:color="auto"/>
                        <w:bottom w:val="none" w:sz="0" w:space="0" w:color="auto"/>
                        <w:right w:val="none" w:sz="0" w:space="0" w:color="auto"/>
                      </w:divBdr>
                    </w:div>
                  </w:divsChild>
                </w:div>
                <w:div w:id="1049575515">
                  <w:marLeft w:val="0"/>
                  <w:marRight w:val="0"/>
                  <w:marTop w:val="0"/>
                  <w:marBottom w:val="0"/>
                  <w:divBdr>
                    <w:top w:val="none" w:sz="0" w:space="0" w:color="auto"/>
                    <w:left w:val="none" w:sz="0" w:space="0" w:color="auto"/>
                    <w:bottom w:val="none" w:sz="0" w:space="0" w:color="auto"/>
                    <w:right w:val="none" w:sz="0" w:space="0" w:color="auto"/>
                  </w:divBdr>
                  <w:divsChild>
                    <w:div w:id="1488203314">
                      <w:marLeft w:val="0"/>
                      <w:marRight w:val="0"/>
                      <w:marTop w:val="0"/>
                      <w:marBottom w:val="0"/>
                      <w:divBdr>
                        <w:top w:val="none" w:sz="0" w:space="0" w:color="auto"/>
                        <w:left w:val="none" w:sz="0" w:space="0" w:color="auto"/>
                        <w:bottom w:val="none" w:sz="0" w:space="0" w:color="auto"/>
                        <w:right w:val="none" w:sz="0" w:space="0" w:color="auto"/>
                      </w:divBdr>
                    </w:div>
                  </w:divsChild>
                </w:div>
                <w:div w:id="1061757654">
                  <w:marLeft w:val="0"/>
                  <w:marRight w:val="0"/>
                  <w:marTop w:val="0"/>
                  <w:marBottom w:val="0"/>
                  <w:divBdr>
                    <w:top w:val="none" w:sz="0" w:space="0" w:color="auto"/>
                    <w:left w:val="none" w:sz="0" w:space="0" w:color="auto"/>
                    <w:bottom w:val="none" w:sz="0" w:space="0" w:color="auto"/>
                    <w:right w:val="none" w:sz="0" w:space="0" w:color="auto"/>
                  </w:divBdr>
                  <w:divsChild>
                    <w:div w:id="1539506368">
                      <w:marLeft w:val="0"/>
                      <w:marRight w:val="0"/>
                      <w:marTop w:val="0"/>
                      <w:marBottom w:val="0"/>
                      <w:divBdr>
                        <w:top w:val="none" w:sz="0" w:space="0" w:color="auto"/>
                        <w:left w:val="none" w:sz="0" w:space="0" w:color="auto"/>
                        <w:bottom w:val="none" w:sz="0" w:space="0" w:color="auto"/>
                        <w:right w:val="none" w:sz="0" w:space="0" w:color="auto"/>
                      </w:divBdr>
                    </w:div>
                  </w:divsChild>
                </w:div>
                <w:div w:id="1073310112">
                  <w:marLeft w:val="0"/>
                  <w:marRight w:val="0"/>
                  <w:marTop w:val="0"/>
                  <w:marBottom w:val="0"/>
                  <w:divBdr>
                    <w:top w:val="none" w:sz="0" w:space="0" w:color="auto"/>
                    <w:left w:val="none" w:sz="0" w:space="0" w:color="auto"/>
                    <w:bottom w:val="none" w:sz="0" w:space="0" w:color="auto"/>
                    <w:right w:val="none" w:sz="0" w:space="0" w:color="auto"/>
                  </w:divBdr>
                  <w:divsChild>
                    <w:div w:id="1294404080">
                      <w:marLeft w:val="0"/>
                      <w:marRight w:val="0"/>
                      <w:marTop w:val="0"/>
                      <w:marBottom w:val="0"/>
                      <w:divBdr>
                        <w:top w:val="none" w:sz="0" w:space="0" w:color="auto"/>
                        <w:left w:val="none" w:sz="0" w:space="0" w:color="auto"/>
                        <w:bottom w:val="none" w:sz="0" w:space="0" w:color="auto"/>
                        <w:right w:val="none" w:sz="0" w:space="0" w:color="auto"/>
                      </w:divBdr>
                    </w:div>
                  </w:divsChild>
                </w:div>
                <w:div w:id="1094669236">
                  <w:marLeft w:val="0"/>
                  <w:marRight w:val="0"/>
                  <w:marTop w:val="0"/>
                  <w:marBottom w:val="0"/>
                  <w:divBdr>
                    <w:top w:val="none" w:sz="0" w:space="0" w:color="auto"/>
                    <w:left w:val="none" w:sz="0" w:space="0" w:color="auto"/>
                    <w:bottom w:val="none" w:sz="0" w:space="0" w:color="auto"/>
                    <w:right w:val="none" w:sz="0" w:space="0" w:color="auto"/>
                  </w:divBdr>
                  <w:divsChild>
                    <w:div w:id="115106364">
                      <w:marLeft w:val="0"/>
                      <w:marRight w:val="0"/>
                      <w:marTop w:val="0"/>
                      <w:marBottom w:val="0"/>
                      <w:divBdr>
                        <w:top w:val="none" w:sz="0" w:space="0" w:color="auto"/>
                        <w:left w:val="none" w:sz="0" w:space="0" w:color="auto"/>
                        <w:bottom w:val="none" w:sz="0" w:space="0" w:color="auto"/>
                        <w:right w:val="none" w:sz="0" w:space="0" w:color="auto"/>
                      </w:divBdr>
                    </w:div>
                  </w:divsChild>
                </w:div>
                <w:div w:id="1141532418">
                  <w:marLeft w:val="0"/>
                  <w:marRight w:val="0"/>
                  <w:marTop w:val="0"/>
                  <w:marBottom w:val="0"/>
                  <w:divBdr>
                    <w:top w:val="none" w:sz="0" w:space="0" w:color="auto"/>
                    <w:left w:val="none" w:sz="0" w:space="0" w:color="auto"/>
                    <w:bottom w:val="none" w:sz="0" w:space="0" w:color="auto"/>
                    <w:right w:val="none" w:sz="0" w:space="0" w:color="auto"/>
                  </w:divBdr>
                  <w:divsChild>
                    <w:div w:id="1618759604">
                      <w:marLeft w:val="0"/>
                      <w:marRight w:val="0"/>
                      <w:marTop w:val="0"/>
                      <w:marBottom w:val="0"/>
                      <w:divBdr>
                        <w:top w:val="none" w:sz="0" w:space="0" w:color="auto"/>
                        <w:left w:val="none" w:sz="0" w:space="0" w:color="auto"/>
                        <w:bottom w:val="none" w:sz="0" w:space="0" w:color="auto"/>
                        <w:right w:val="none" w:sz="0" w:space="0" w:color="auto"/>
                      </w:divBdr>
                    </w:div>
                  </w:divsChild>
                </w:div>
                <w:div w:id="1152213150">
                  <w:marLeft w:val="0"/>
                  <w:marRight w:val="0"/>
                  <w:marTop w:val="0"/>
                  <w:marBottom w:val="0"/>
                  <w:divBdr>
                    <w:top w:val="none" w:sz="0" w:space="0" w:color="auto"/>
                    <w:left w:val="none" w:sz="0" w:space="0" w:color="auto"/>
                    <w:bottom w:val="none" w:sz="0" w:space="0" w:color="auto"/>
                    <w:right w:val="none" w:sz="0" w:space="0" w:color="auto"/>
                  </w:divBdr>
                  <w:divsChild>
                    <w:div w:id="2069306682">
                      <w:marLeft w:val="0"/>
                      <w:marRight w:val="0"/>
                      <w:marTop w:val="0"/>
                      <w:marBottom w:val="0"/>
                      <w:divBdr>
                        <w:top w:val="none" w:sz="0" w:space="0" w:color="auto"/>
                        <w:left w:val="none" w:sz="0" w:space="0" w:color="auto"/>
                        <w:bottom w:val="none" w:sz="0" w:space="0" w:color="auto"/>
                        <w:right w:val="none" w:sz="0" w:space="0" w:color="auto"/>
                      </w:divBdr>
                    </w:div>
                  </w:divsChild>
                </w:div>
                <w:div w:id="1164706048">
                  <w:marLeft w:val="0"/>
                  <w:marRight w:val="0"/>
                  <w:marTop w:val="0"/>
                  <w:marBottom w:val="0"/>
                  <w:divBdr>
                    <w:top w:val="none" w:sz="0" w:space="0" w:color="auto"/>
                    <w:left w:val="none" w:sz="0" w:space="0" w:color="auto"/>
                    <w:bottom w:val="none" w:sz="0" w:space="0" w:color="auto"/>
                    <w:right w:val="none" w:sz="0" w:space="0" w:color="auto"/>
                  </w:divBdr>
                  <w:divsChild>
                    <w:div w:id="1861970560">
                      <w:marLeft w:val="0"/>
                      <w:marRight w:val="0"/>
                      <w:marTop w:val="0"/>
                      <w:marBottom w:val="0"/>
                      <w:divBdr>
                        <w:top w:val="none" w:sz="0" w:space="0" w:color="auto"/>
                        <w:left w:val="none" w:sz="0" w:space="0" w:color="auto"/>
                        <w:bottom w:val="none" w:sz="0" w:space="0" w:color="auto"/>
                        <w:right w:val="none" w:sz="0" w:space="0" w:color="auto"/>
                      </w:divBdr>
                    </w:div>
                  </w:divsChild>
                </w:div>
                <w:div w:id="1168210308">
                  <w:marLeft w:val="0"/>
                  <w:marRight w:val="0"/>
                  <w:marTop w:val="0"/>
                  <w:marBottom w:val="0"/>
                  <w:divBdr>
                    <w:top w:val="none" w:sz="0" w:space="0" w:color="auto"/>
                    <w:left w:val="none" w:sz="0" w:space="0" w:color="auto"/>
                    <w:bottom w:val="none" w:sz="0" w:space="0" w:color="auto"/>
                    <w:right w:val="none" w:sz="0" w:space="0" w:color="auto"/>
                  </w:divBdr>
                  <w:divsChild>
                    <w:div w:id="2053000206">
                      <w:marLeft w:val="0"/>
                      <w:marRight w:val="0"/>
                      <w:marTop w:val="0"/>
                      <w:marBottom w:val="0"/>
                      <w:divBdr>
                        <w:top w:val="none" w:sz="0" w:space="0" w:color="auto"/>
                        <w:left w:val="none" w:sz="0" w:space="0" w:color="auto"/>
                        <w:bottom w:val="none" w:sz="0" w:space="0" w:color="auto"/>
                        <w:right w:val="none" w:sz="0" w:space="0" w:color="auto"/>
                      </w:divBdr>
                    </w:div>
                  </w:divsChild>
                </w:div>
                <w:div w:id="1176312559">
                  <w:marLeft w:val="0"/>
                  <w:marRight w:val="0"/>
                  <w:marTop w:val="0"/>
                  <w:marBottom w:val="0"/>
                  <w:divBdr>
                    <w:top w:val="none" w:sz="0" w:space="0" w:color="auto"/>
                    <w:left w:val="none" w:sz="0" w:space="0" w:color="auto"/>
                    <w:bottom w:val="none" w:sz="0" w:space="0" w:color="auto"/>
                    <w:right w:val="none" w:sz="0" w:space="0" w:color="auto"/>
                  </w:divBdr>
                  <w:divsChild>
                    <w:div w:id="615018822">
                      <w:marLeft w:val="0"/>
                      <w:marRight w:val="0"/>
                      <w:marTop w:val="0"/>
                      <w:marBottom w:val="0"/>
                      <w:divBdr>
                        <w:top w:val="none" w:sz="0" w:space="0" w:color="auto"/>
                        <w:left w:val="none" w:sz="0" w:space="0" w:color="auto"/>
                        <w:bottom w:val="none" w:sz="0" w:space="0" w:color="auto"/>
                        <w:right w:val="none" w:sz="0" w:space="0" w:color="auto"/>
                      </w:divBdr>
                    </w:div>
                  </w:divsChild>
                </w:div>
                <w:div w:id="1232959426">
                  <w:marLeft w:val="0"/>
                  <w:marRight w:val="0"/>
                  <w:marTop w:val="0"/>
                  <w:marBottom w:val="0"/>
                  <w:divBdr>
                    <w:top w:val="none" w:sz="0" w:space="0" w:color="auto"/>
                    <w:left w:val="none" w:sz="0" w:space="0" w:color="auto"/>
                    <w:bottom w:val="none" w:sz="0" w:space="0" w:color="auto"/>
                    <w:right w:val="none" w:sz="0" w:space="0" w:color="auto"/>
                  </w:divBdr>
                  <w:divsChild>
                    <w:div w:id="1313680793">
                      <w:marLeft w:val="0"/>
                      <w:marRight w:val="0"/>
                      <w:marTop w:val="0"/>
                      <w:marBottom w:val="0"/>
                      <w:divBdr>
                        <w:top w:val="none" w:sz="0" w:space="0" w:color="auto"/>
                        <w:left w:val="none" w:sz="0" w:space="0" w:color="auto"/>
                        <w:bottom w:val="none" w:sz="0" w:space="0" w:color="auto"/>
                        <w:right w:val="none" w:sz="0" w:space="0" w:color="auto"/>
                      </w:divBdr>
                    </w:div>
                  </w:divsChild>
                </w:div>
                <w:div w:id="1243835701">
                  <w:marLeft w:val="0"/>
                  <w:marRight w:val="0"/>
                  <w:marTop w:val="0"/>
                  <w:marBottom w:val="0"/>
                  <w:divBdr>
                    <w:top w:val="none" w:sz="0" w:space="0" w:color="auto"/>
                    <w:left w:val="none" w:sz="0" w:space="0" w:color="auto"/>
                    <w:bottom w:val="none" w:sz="0" w:space="0" w:color="auto"/>
                    <w:right w:val="none" w:sz="0" w:space="0" w:color="auto"/>
                  </w:divBdr>
                  <w:divsChild>
                    <w:div w:id="376665705">
                      <w:marLeft w:val="0"/>
                      <w:marRight w:val="0"/>
                      <w:marTop w:val="0"/>
                      <w:marBottom w:val="0"/>
                      <w:divBdr>
                        <w:top w:val="none" w:sz="0" w:space="0" w:color="auto"/>
                        <w:left w:val="none" w:sz="0" w:space="0" w:color="auto"/>
                        <w:bottom w:val="none" w:sz="0" w:space="0" w:color="auto"/>
                        <w:right w:val="none" w:sz="0" w:space="0" w:color="auto"/>
                      </w:divBdr>
                    </w:div>
                  </w:divsChild>
                </w:div>
                <w:div w:id="1286079847">
                  <w:marLeft w:val="0"/>
                  <w:marRight w:val="0"/>
                  <w:marTop w:val="0"/>
                  <w:marBottom w:val="0"/>
                  <w:divBdr>
                    <w:top w:val="none" w:sz="0" w:space="0" w:color="auto"/>
                    <w:left w:val="none" w:sz="0" w:space="0" w:color="auto"/>
                    <w:bottom w:val="none" w:sz="0" w:space="0" w:color="auto"/>
                    <w:right w:val="none" w:sz="0" w:space="0" w:color="auto"/>
                  </w:divBdr>
                  <w:divsChild>
                    <w:div w:id="799154997">
                      <w:marLeft w:val="0"/>
                      <w:marRight w:val="0"/>
                      <w:marTop w:val="0"/>
                      <w:marBottom w:val="0"/>
                      <w:divBdr>
                        <w:top w:val="none" w:sz="0" w:space="0" w:color="auto"/>
                        <w:left w:val="none" w:sz="0" w:space="0" w:color="auto"/>
                        <w:bottom w:val="none" w:sz="0" w:space="0" w:color="auto"/>
                        <w:right w:val="none" w:sz="0" w:space="0" w:color="auto"/>
                      </w:divBdr>
                    </w:div>
                  </w:divsChild>
                </w:div>
                <w:div w:id="1317757213">
                  <w:marLeft w:val="0"/>
                  <w:marRight w:val="0"/>
                  <w:marTop w:val="0"/>
                  <w:marBottom w:val="0"/>
                  <w:divBdr>
                    <w:top w:val="none" w:sz="0" w:space="0" w:color="auto"/>
                    <w:left w:val="none" w:sz="0" w:space="0" w:color="auto"/>
                    <w:bottom w:val="none" w:sz="0" w:space="0" w:color="auto"/>
                    <w:right w:val="none" w:sz="0" w:space="0" w:color="auto"/>
                  </w:divBdr>
                  <w:divsChild>
                    <w:div w:id="1209298130">
                      <w:marLeft w:val="0"/>
                      <w:marRight w:val="0"/>
                      <w:marTop w:val="0"/>
                      <w:marBottom w:val="0"/>
                      <w:divBdr>
                        <w:top w:val="none" w:sz="0" w:space="0" w:color="auto"/>
                        <w:left w:val="none" w:sz="0" w:space="0" w:color="auto"/>
                        <w:bottom w:val="none" w:sz="0" w:space="0" w:color="auto"/>
                        <w:right w:val="none" w:sz="0" w:space="0" w:color="auto"/>
                      </w:divBdr>
                    </w:div>
                  </w:divsChild>
                </w:div>
                <w:div w:id="1318800720">
                  <w:marLeft w:val="0"/>
                  <w:marRight w:val="0"/>
                  <w:marTop w:val="0"/>
                  <w:marBottom w:val="0"/>
                  <w:divBdr>
                    <w:top w:val="none" w:sz="0" w:space="0" w:color="auto"/>
                    <w:left w:val="none" w:sz="0" w:space="0" w:color="auto"/>
                    <w:bottom w:val="none" w:sz="0" w:space="0" w:color="auto"/>
                    <w:right w:val="none" w:sz="0" w:space="0" w:color="auto"/>
                  </w:divBdr>
                  <w:divsChild>
                    <w:div w:id="779180377">
                      <w:marLeft w:val="0"/>
                      <w:marRight w:val="0"/>
                      <w:marTop w:val="0"/>
                      <w:marBottom w:val="0"/>
                      <w:divBdr>
                        <w:top w:val="none" w:sz="0" w:space="0" w:color="auto"/>
                        <w:left w:val="none" w:sz="0" w:space="0" w:color="auto"/>
                        <w:bottom w:val="none" w:sz="0" w:space="0" w:color="auto"/>
                        <w:right w:val="none" w:sz="0" w:space="0" w:color="auto"/>
                      </w:divBdr>
                    </w:div>
                  </w:divsChild>
                </w:div>
                <w:div w:id="1336346862">
                  <w:marLeft w:val="0"/>
                  <w:marRight w:val="0"/>
                  <w:marTop w:val="0"/>
                  <w:marBottom w:val="0"/>
                  <w:divBdr>
                    <w:top w:val="none" w:sz="0" w:space="0" w:color="auto"/>
                    <w:left w:val="none" w:sz="0" w:space="0" w:color="auto"/>
                    <w:bottom w:val="none" w:sz="0" w:space="0" w:color="auto"/>
                    <w:right w:val="none" w:sz="0" w:space="0" w:color="auto"/>
                  </w:divBdr>
                  <w:divsChild>
                    <w:div w:id="60368534">
                      <w:marLeft w:val="0"/>
                      <w:marRight w:val="0"/>
                      <w:marTop w:val="0"/>
                      <w:marBottom w:val="0"/>
                      <w:divBdr>
                        <w:top w:val="none" w:sz="0" w:space="0" w:color="auto"/>
                        <w:left w:val="none" w:sz="0" w:space="0" w:color="auto"/>
                        <w:bottom w:val="none" w:sz="0" w:space="0" w:color="auto"/>
                        <w:right w:val="none" w:sz="0" w:space="0" w:color="auto"/>
                      </w:divBdr>
                    </w:div>
                  </w:divsChild>
                </w:div>
                <w:div w:id="1345980948">
                  <w:marLeft w:val="0"/>
                  <w:marRight w:val="0"/>
                  <w:marTop w:val="0"/>
                  <w:marBottom w:val="0"/>
                  <w:divBdr>
                    <w:top w:val="none" w:sz="0" w:space="0" w:color="auto"/>
                    <w:left w:val="none" w:sz="0" w:space="0" w:color="auto"/>
                    <w:bottom w:val="none" w:sz="0" w:space="0" w:color="auto"/>
                    <w:right w:val="none" w:sz="0" w:space="0" w:color="auto"/>
                  </w:divBdr>
                  <w:divsChild>
                    <w:div w:id="2058628114">
                      <w:marLeft w:val="0"/>
                      <w:marRight w:val="0"/>
                      <w:marTop w:val="0"/>
                      <w:marBottom w:val="0"/>
                      <w:divBdr>
                        <w:top w:val="none" w:sz="0" w:space="0" w:color="auto"/>
                        <w:left w:val="none" w:sz="0" w:space="0" w:color="auto"/>
                        <w:bottom w:val="none" w:sz="0" w:space="0" w:color="auto"/>
                        <w:right w:val="none" w:sz="0" w:space="0" w:color="auto"/>
                      </w:divBdr>
                    </w:div>
                  </w:divsChild>
                </w:div>
                <w:div w:id="1349405448">
                  <w:marLeft w:val="0"/>
                  <w:marRight w:val="0"/>
                  <w:marTop w:val="0"/>
                  <w:marBottom w:val="0"/>
                  <w:divBdr>
                    <w:top w:val="none" w:sz="0" w:space="0" w:color="auto"/>
                    <w:left w:val="none" w:sz="0" w:space="0" w:color="auto"/>
                    <w:bottom w:val="none" w:sz="0" w:space="0" w:color="auto"/>
                    <w:right w:val="none" w:sz="0" w:space="0" w:color="auto"/>
                  </w:divBdr>
                  <w:divsChild>
                    <w:div w:id="58216539">
                      <w:marLeft w:val="0"/>
                      <w:marRight w:val="0"/>
                      <w:marTop w:val="0"/>
                      <w:marBottom w:val="0"/>
                      <w:divBdr>
                        <w:top w:val="none" w:sz="0" w:space="0" w:color="auto"/>
                        <w:left w:val="none" w:sz="0" w:space="0" w:color="auto"/>
                        <w:bottom w:val="none" w:sz="0" w:space="0" w:color="auto"/>
                        <w:right w:val="none" w:sz="0" w:space="0" w:color="auto"/>
                      </w:divBdr>
                    </w:div>
                  </w:divsChild>
                </w:div>
                <w:div w:id="1369139017">
                  <w:marLeft w:val="0"/>
                  <w:marRight w:val="0"/>
                  <w:marTop w:val="0"/>
                  <w:marBottom w:val="0"/>
                  <w:divBdr>
                    <w:top w:val="none" w:sz="0" w:space="0" w:color="auto"/>
                    <w:left w:val="none" w:sz="0" w:space="0" w:color="auto"/>
                    <w:bottom w:val="none" w:sz="0" w:space="0" w:color="auto"/>
                    <w:right w:val="none" w:sz="0" w:space="0" w:color="auto"/>
                  </w:divBdr>
                  <w:divsChild>
                    <w:div w:id="1876429893">
                      <w:marLeft w:val="0"/>
                      <w:marRight w:val="0"/>
                      <w:marTop w:val="0"/>
                      <w:marBottom w:val="0"/>
                      <w:divBdr>
                        <w:top w:val="none" w:sz="0" w:space="0" w:color="auto"/>
                        <w:left w:val="none" w:sz="0" w:space="0" w:color="auto"/>
                        <w:bottom w:val="none" w:sz="0" w:space="0" w:color="auto"/>
                        <w:right w:val="none" w:sz="0" w:space="0" w:color="auto"/>
                      </w:divBdr>
                    </w:div>
                  </w:divsChild>
                </w:div>
                <w:div w:id="1383023978">
                  <w:marLeft w:val="0"/>
                  <w:marRight w:val="0"/>
                  <w:marTop w:val="0"/>
                  <w:marBottom w:val="0"/>
                  <w:divBdr>
                    <w:top w:val="none" w:sz="0" w:space="0" w:color="auto"/>
                    <w:left w:val="none" w:sz="0" w:space="0" w:color="auto"/>
                    <w:bottom w:val="none" w:sz="0" w:space="0" w:color="auto"/>
                    <w:right w:val="none" w:sz="0" w:space="0" w:color="auto"/>
                  </w:divBdr>
                  <w:divsChild>
                    <w:div w:id="1999141662">
                      <w:marLeft w:val="0"/>
                      <w:marRight w:val="0"/>
                      <w:marTop w:val="0"/>
                      <w:marBottom w:val="0"/>
                      <w:divBdr>
                        <w:top w:val="none" w:sz="0" w:space="0" w:color="auto"/>
                        <w:left w:val="none" w:sz="0" w:space="0" w:color="auto"/>
                        <w:bottom w:val="none" w:sz="0" w:space="0" w:color="auto"/>
                        <w:right w:val="none" w:sz="0" w:space="0" w:color="auto"/>
                      </w:divBdr>
                    </w:div>
                  </w:divsChild>
                </w:div>
                <w:div w:id="1399522234">
                  <w:marLeft w:val="0"/>
                  <w:marRight w:val="0"/>
                  <w:marTop w:val="0"/>
                  <w:marBottom w:val="0"/>
                  <w:divBdr>
                    <w:top w:val="none" w:sz="0" w:space="0" w:color="auto"/>
                    <w:left w:val="none" w:sz="0" w:space="0" w:color="auto"/>
                    <w:bottom w:val="none" w:sz="0" w:space="0" w:color="auto"/>
                    <w:right w:val="none" w:sz="0" w:space="0" w:color="auto"/>
                  </w:divBdr>
                  <w:divsChild>
                    <w:div w:id="1059865987">
                      <w:marLeft w:val="0"/>
                      <w:marRight w:val="0"/>
                      <w:marTop w:val="0"/>
                      <w:marBottom w:val="0"/>
                      <w:divBdr>
                        <w:top w:val="none" w:sz="0" w:space="0" w:color="auto"/>
                        <w:left w:val="none" w:sz="0" w:space="0" w:color="auto"/>
                        <w:bottom w:val="none" w:sz="0" w:space="0" w:color="auto"/>
                        <w:right w:val="none" w:sz="0" w:space="0" w:color="auto"/>
                      </w:divBdr>
                    </w:div>
                  </w:divsChild>
                </w:div>
                <w:div w:id="1402026037">
                  <w:marLeft w:val="0"/>
                  <w:marRight w:val="0"/>
                  <w:marTop w:val="0"/>
                  <w:marBottom w:val="0"/>
                  <w:divBdr>
                    <w:top w:val="none" w:sz="0" w:space="0" w:color="auto"/>
                    <w:left w:val="none" w:sz="0" w:space="0" w:color="auto"/>
                    <w:bottom w:val="none" w:sz="0" w:space="0" w:color="auto"/>
                    <w:right w:val="none" w:sz="0" w:space="0" w:color="auto"/>
                  </w:divBdr>
                  <w:divsChild>
                    <w:div w:id="604388422">
                      <w:marLeft w:val="0"/>
                      <w:marRight w:val="0"/>
                      <w:marTop w:val="0"/>
                      <w:marBottom w:val="0"/>
                      <w:divBdr>
                        <w:top w:val="none" w:sz="0" w:space="0" w:color="auto"/>
                        <w:left w:val="none" w:sz="0" w:space="0" w:color="auto"/>
                        <w:bottom w:val="none" w:sz="0" w:space="0" w:color="auto"/>
                        <w:right w:val="none" w:sz="0" w:space="0" w:color="auto"/>
                      </w:divBdr>
                    </w:div>
                  </w:divsChild>
                </w:div>
                <w:div w:id="1413547686">
                  <w:marLeft w:val="0"/>
                  <w:marRight w:val="0"/>
                  <w:marTop w:val="0"/>
                  <w:marBottom w:val="0"/>
                  <w:divBdr>
                    <w:top w:val="none" w:sz="0" w:space="0" w:color="auto"/>
                    <w:left w:val="none" w:sz="0" w:space="0" w:color="auto"/>
                    <w:bottom w:val="none" w:sz="0" w:space="0" w:color="auto"/>
                    <w:right w:val="none" w:sz="0" w:space="0" w:color="auto"/>
                  </w:divBdr>
                  <w:divsChild>
                    <w:div w:id="1886134046">
                      <w:marLeft w:val="0"/>
                      <w:marRight w:val="0"/>
                      <w:marTop w:val="0"/>
                      <w:marBottom w:val="0"/>
                      <w:divBdr>
                        <w:top w:val="none" w:sz="0" w:space="0" w:color="auto"/>
                        <w:left w:val="none" w:sz="0" w:space="0" w:color="auto"/>
                        <w:bottom w:val="none" w:sz="0" w:space="0" w:color="auto"/>
                        <w:right w:val="none" w:sz="0" w:space="0" w:color="auto"/>
                      </w:divBdr>
                    </w:div>
                  </w:divsChild>
                </w:div>
                <w:div w:id="1427073279">
                  <w:marLeft w:val="0"/>
                  <w:marRight w:val="0"/>
                  <w:marTop w:val="0"/>
                  <w:marBottom w:val="0"/>
                  <w:divBdr>
                    <w:top w:val="none" w:sz="0" w:space="0" w:color="auto"/>
                    <w:left w:val="none" w:sz="0" w:space="0" w:color="auto"/>
                    <w:bottom w:val="none" w:sz="0" w:space="0" w:color="auto"/>
                    <w:right w:val="none" w:sz="0" w:space="0" w:color="auto"/>
                  </w:divBdr>
                  <w:divsChild>
                    <w:div w:id="544760194">
                      <w:marLeft w:val="0"/>
                      <w:marRight w:val="0"/>
                      <w:marTop w:val="0"/>
                      <w:marBottom w:val="0"/>
                      <w:divBdr>
                        <w:top w:val="none" w:sz="0" w:space="0" w:color="auto"/>
                        <w:left w:val="none" w:sz="0" w:space="0" w:color="auto"/>
                        <w:bottom w:val="none" w:sz="0" w:space="0" w:color="auto"/>
                        <w:right w:val="none" w:sz="0" w:space="0" w:color="auto"/>
                      </w:divBdr>
                    </w:div>
                  </w:divsChild>
                </w:div>
                <w:div w:id="1491212828">
                  <w:marLeft w:val="0"/>
                  <w:marRight w:val="0"/>
                  <w:marTop w:val="0"/>
                  <w:marBottom w:val="0"/>
                  <w:divBdr>
                    <w:top w:val="none" w:sz="0" w:space="0" w:color="auto"/>
                    <w:left w:val="none" w:sz="0" w:space="0" w:color="auto"/>
                    <w:bottom w:val="none" w:sz="0" w:space="0" w:color="auto"/>
                    <w:right w:val="none" w:sz="0" w:space="0" w:color="auto"/>
                  </w:divBdr>
                  <w:divsChild>
                    <w:div w:id="1021711480">
                      <w:marLeft w:val="0"/>
                      <w:marRight w:val="0"/>
                      <w:marTop w:val="0"/>
                      <w:marBottom w:val="0"/>
                      <w:divBdr>
                        <w:top w:val="none" w:sz="0" w:space="0" w:color="auto"/>
                        <w:left w:val="none" w:sz="0" w:space="0" w:color="auto"/>
                        <w:bottom w:val="none" w:sz="0" w:space="0" w:color="auto"/>
                        <w:right w:val="none" w:sz="0" w:space="0" w:color="auto"/>
                      </w:divBdr>
                    </w:div>
                  </w:divsChild>
                </w:div>
                <w:div w:id="1518082368">
                  <w:marLeft w:val="0"/>
                  <w:marRight w:val="0"/>
                  <w:marTop w:val="0"/>
                  <w:marBottom w:val="0"/>
                  <w:divBdr>
                    <w:top w:val="none" w:sz="0" w:space="0" w:color="auto"/>
                    <w:left w:val="none" w:sz="0" w:space="0" w:color="auto"/>
                    <w:bottom w:val="none" w:sz="0" w:space="0" w:color="auto"/>
                    <w:right w:val="none" w:sz="0" w:space="0" w:color="auto"/>
                  </w:divBdr>
                  <w:divsChild>
                    <w:div w:id="1574513369">
                      <w:marLeft w:val="0"/>
                      <w:marRight w:val="0"/>
                      <w:marTop w:val="0"/>
                      <w:marBottom w:val="0"/>
                      <w:divBdr>
                        <w:top w:val="none" w:sz="0" w:space="0" w:color="auto"/>
                        <w:left w:val="none" w:sz="0" w:space="0" w:color="auto"/>
                        <w:bottom w:val="none" w:sz="0" w:space="0" w:color="auto"/>
                        <w:right w:val="none" w:sz="0" w:space="0" w:color="auto"/>
                      </w:divBdr>
                    </w:div>
                  </w:divsChild>
                </w:div>
                <w:div w:id="1518814519">
                  <w:marLeft w:val="0"/>
                  <w:marRight w:val="0"/>
                  <w:marTop w:val="0"/>
                  <w:marBottom w:val="0"/>
                  <w:divBdr>
                    <w:top w:val="none" w:sz="0" w:space="0" w:color="auto"/>
                    <w:left w:val="none" w:sz="0" w:space="0" w:color="auto"/>
                    <w:bottom w:val="none" w:sz="0" w:space="0" w:color="auto"/>
                    <w:right w:val="none" w:sz="0" w:space="0" w:color="auto"/>
                  </w:divBdr>
                  <w:divsChild>
                    <w:div w:id="580287349">
                      <w:marLeft w:val="0"/>
                      <w:marRight w:val="0"/>
                      <w:marTop w:val="0"/>
                      <w:marBottom w:val="0"/>
                      <w:divBdr>
                        <w:top w:val="none" w:sz="0" w:space="0" w:color="auto"/>
                        <w:left w:val="none" w:sz="0" w:space="0" w:color="auto"/>
                        <w:bottom w:val="none" w:sz="0" w:space="0" w:color="auto"/>
                        <w:right w:val="none" w:sz="0" w:space="0" w:color="auto"/>
                      </w:divBdr>
                    </w:div>
                  </w:divsChild>
                </w:div>
                <w:div w:id="1523588933">
                  <w:marLeft w:val="0"/>
                  <w:marRight w:val="0"/>
                  <w:marTop w:val="0"/>
                  <w:marBottom w:val="0"/>
                  <w:divBdr>
                    <w:top w:val="none" w:sz="0" w:space="0" w:color="auto"/>
                    <w:left w:val="none" w:sz="0" w:space="0" w:color="auto"/>
                    <w:bottom w:val="none" w:sz="0" w:space="0" w:color="auto"/>
                    <w:right w:val="none" w:sz="0" w:space="0" w:color="auto"/>
                  </w:divBdr>
                  <w:divsChild>
                    <w:div w:id="735275425">
                      <w:marLeft w:val="0"/>
                      <w:marRight w:val="0"/>
                      <w:marTop w:val="0"/>
                      <w:marBottom w:val="0"/>
                      <w:divBdr>
                        <w:top w:val="none" w:sz="0" w:space="0" w:color="auto"/>
                        <w:left w:val="none" w:sz="0" w:space="0" w:color="auto"/>
                        <w:bottom w:val="none" w:sz="0" w:space="0" w:color="auto"/>
                        <w:right w:val="none" w:sz="0" w:space="0" w:color="auto"/>
                      </w:divBdr>
                    </w:div>
                  </w:divsChild>
                </w:div>
                <w:div w:id="1622148042">
                  <w:marLeft w:val="0"/>
                  <w:marRight w:val="0"/>
                  <w:marTop w:val="0"/>
                  <w:marBottom w:val="0"/>
                  <w:divBdr>
                    <w:top w:val="none" w:sz="0" w:space="0" w:color="auto"/>
                    <w:left w:val="none" w:sz="0" w:space="0" w:color="auto"/>
                    <w:bottom w:val="none" w:sz="0" w:space="0" w:color="auto"/>
                    <w:right w:val="none" w:sz="0" w:space="0" w:color="auto"/>
                  </w:divBdr>
                  <w:divsChild>
                    <w:div w:id="1165125428">
                      <w:marLeft w:val="0"/>
                      <w:marRight w:val="0"/>
                      <w:marTop w:val="0"/>
                      <w:marBottom w:val="0"/>
                      <w:divBdr>
                        <w:top w:val="none" w:sz="0" w:space="0" w:color="auto"/>
                        <w:left w:val="none" w:sz="0" w:space="0" w:color="auto"/>
                        <w:bottom w:val="none" w:sz="0" w:space="0" w:color="auto"/>
                        <w:right w:val="none" w:sz="0" w:space="0" w:color="auto"/>
                      </w:divBdr>
                    </w:div>
                  </w:divsChild>
                </w:div>
                <w:div w:id="1647051600">
                  <w:marLeft w:val="0"/>
                  <w:marRight w:val="0"/>
                  <w:marTop w:val="0"/>
                  <w:marBottom w:val="0"/>
                  <w:divBdr>
                    <w:top w:val="none" w:sz="0" w:space="0" w:color="auto"/>
                    <w:left w:val="none" w:sz="0" w:space="0" w:color="auto"/>
                    <w:bottom w:val="none" w:sz="0" w:space="0" w:color="auto"/>
                    <w:right w:val="none" w:sz="0" w:space="0" w:color="auto"/>
                  </w:divBdr>
                  <w:divsChild>
                    <w:div w:id="1525678790">
                      <w:marLeft w:val="0"/>
                      <w:marRight w:val="0"/>
                      <w:marTop w:val="0"/>
                      <w:marBottom w:val="0"/>
                      <w:divBdr>
                        <w:top w:val="none" w:sz="0" w:space="0" w:color="auto"/>
                        <w:left w:val="none" w:sz="0" w:space="0" w:color="auto"/>
                        <w:bottom w:val="none" w:sz="0" w:space="0" w:color="auto"/>
                        <w:right w:val="none" w:sz="0" w:space="0" w:color="auto"/>
                      </w:divBdr>
                    </w:div>
                  </w:divsChild>
                </w:div>
                <w:div w:id="1651516536">
                  <w:marLeft w:val="0"/>
                  <w:marRight w:val="0"/>
                  <w:marTop w:val="0"/>
                  <w:marBottom w:val="0"/>
                  <w:divBdr>
                    <w:top w:val="none" w:sz="0" w:space="0" w:color="auto"/>
                    <w:left w:val="none" w:sz="0" w:space="0" w:color="auto"/>
                    <w:bottom w:val="none" w:sz="0" w:space="0" w:color="auto"/>
                    <w:right w:val="none" w:sz="0" w:space="0" w:color="auto"/>
                  </w:divBdr>
                  <w:divsChild>
                    <w:div w:id="1916940267">
                      <w:marLeft w:val="0"/>
                      <w:marRight w:val="0"/>
                      <w:marTop w:val="0"/>
                      <w:marBottom w:val="0"/>
                      <w:divBdr>
                        <w:top w:val="none" w:sz="0" w:space="0" w:color="auto"/>
                        <w:left w:val="none" w:sz="0" w:space="0" w:color="auto"/>
                        <w:bottom w:val="none" w:sz="0" w:space="0" w:color="auto"/>
                        <w:right w:val="none" w:sz="0" w:space="0" w:color="auto"/>
                      </w:divBdr>
                    </w:div>
                  </w:divsChild>
                </w:div>
                <w:div w:id="1698582405">
                  <w:marLeft w:val="0"/>
                  <w:marRight w:val="0"/>
                  <w:marTop w:val="0"/>
                  <w:marBottom w:val="0"/>
                  <w:divBdr>
                    <w:top w:val="none" w:sz="0" w:space="0" w:color="auto"/>
                    <w:left w:val="none" w:sz="0" w:space="0" w:color="auto"/>
                    <w:bottom w:val="none" w:sz="0" w:space="0" w:color="auto"/>
                    <w:right w:val="none" w:sz="0" w:space="0" w:color="auto"/>
                  </w:divBdr>
                  <w:divsChild>
                    <w:div w:id="501549666">
                      <w:marLeft w:val="0"/>
                      <w:marRight w:val="0"/>
                      <w:marTop w:val="0"/>
                      <w:marBottom w:val="0"/>
                      <w:divBdr>
                        <w:top w:val="none" w:sz="0" w:space="0" w:color="auto"/>
                        <w:left w:val="none" w:sz="0" w:space="0" w:color="auto"/>
                        <w:bottom w:val="none" w:sz="0" w:space="0" w:color="auto"/>
                        <w:right w:val="none" w:sz="0" w:space="0" w:color="auto"/>
                      </w:divBdr>
                    </w:div>
                  </w:divsChild>
                </w:div>
                <w:div w:id="1717466442">
                  <w:marLeft w:val="0"/>
                  <w:marRight w:val="0"/>
                  <w:marTop w:val="0"/>
                  <w:marBottom w:val="0"/>
                  <w:divBdr>
                    <w:top w:val="none" w:sz="0" w:space="0" w:color="auto"/>
                    <w:left w:val="none" w:sz="0" w:space="0" w:color="auto"/>
                    <w:bottom w:val="none" w:sz="0" w:space="0" w:color="auto"/>
                    <w:right w:val="none" w:sz="0" w:space="0" w:color="auto"/>
                  </w:divBdr>
                  <w:divsChild>
                    <w:div w:id="882332530">
                      <w:marLeft w:val="0"/>
                      <w:marRight w:val="0"/>
                      <w:marTop w:val="0"/>
                      <w:marBottom w:val="0"/>
                      <w:divBdr>
                        <w:top w:val="none" w:sz="0" w:space="0" w:color="auto"/>
                        <w:left w:val="none" w:sz="0" w:space="0" w:color="auto"/>
                        <w:bottom w:val="none" w:sz="0" w:space="0" w:color="auto"/>
                        <w:right w:val="none" w:sz="0" w:space="0" w:color="auto"/>
                      </w:divBdr>
                    </w:div>
                  </w:divsChild>
                </w:div>
                <w:div w:id="1735009806">
                  <w:marLeft w:val="0"/>
                  <w:marRight w:val="0"/>
                  <w:marTop w:val="0"/>
                  <w:marBottom w:val="0"/>
                  <w:divBdr>
                    <w:top w:val="none" w:sz="0" w:space="0" w:color="auto"/>
                    <w:left w:val="none" w:sz="0" w:space="0" w:color="auto"/>
                    <w:bottom w:val="none" w:sz="0" w:space="0" w:color="auto"/>
                    <w:right w:val="none" w:sz="0" w:space="0" w:color="auto"/>
                  </w:divBdr>
                  <w:divsChild>
                    <w:div w:id="1439250739">
                      <w:marLeft w:val="0"/>
                      <w:marRight w:val="0"/>
                      <w:marTop w:val="0"/>
                      <w:marBottom w:val="0"/>
                      <w:divBdr>
                        <w:top w:val="none" w:sz="0" w:space="0" w:color="auto"/>
                        <w:left w:val="none" w:sz="0" w:space="0" w:color="auto"/>
                        <w:bottom w:val="none" w:sz="0" w:space="0" w:color="auto"/>
                        <w:right w:val="none" w:sz="0" w:space="0" w:color="auto"/>
                      </w:divBdr>
                    </w:div>
                  </w:divsChild>
                </w:div>
                <w:div w:id="1735617781">
                  <w:marLeft w:val="0"/>
                  <w:marRight w:val="0"/>
                  <w:marTop w:val="0"/>
                  <w:marBottom w:val="0"/>
                  <w:divBdr>
                    <w:top w:val="none" w:sz="0" w:space="0" w:color="auto"/>
                    <w:left w:val="none" w:sz="0" w:space="0" w:color="auto"/>
                    <w:bottom w:val="none" w:sz="0" w:space="0" w:color="auto"/>
                    <w:right w:val="none" w:sz="0" w:space="0" w:color="auto"/>
                  </w:divBdr>
                  <w:divsChild>
                    <w:div w:id="747192160">
                      <w:marLeft w:val="0"/>
                      <w:marRight w:val="0"/>
                      <w:marTop w:val="0"/>
                      <w:marBottom w:val="0"/>
                      <w:divBdr>
                        <w:top w:val="none" w:sz="0" w:space="0" w:color="auto"/>
                        <w:left w:val="none" w:sz="0" w:space="0" w:color="auto"/>
                        <w:bottom w:val="none" w:sz="0" w:space="0" w:color="auto"/>
                        <w:right w:val="none" w:sz="0" w:space="0" w:color="auto"/>
                      </w:divBdr>
                    </w:div>
                  </w:divsChild>
                </w:div>
                <w:div w:id="1829326356">
                  <w:marLeft w:val="0"/>
                  <w:marRight w:val="0"/>
                  <w:marTop w:val="0"/>
                  <w:marBottom w:val="0"/>
                  <w:divBdr>
                    <w:top w:val="none" w:sz="0" w:space="0" w:color="auto"/>
                    <w:left w:val="none" w:sz="0" w:space="0" w:color="auto"/>
                    <w:bottom w:val="none" w:sz="0" w:space="0" w:color="auto"/>
                    <w:right w:val="none" w:sz="0" w:space="0" w:color="auto"/>
                  </w:divBdr>
                  <w:divsChild>
                    <w:div w:id="1036391148">
                      <w:marLeft w:val="0"/>
                      <w:marRight w:val="0"/>
                      <w:marTop w:val="0"/>
                      <w:marBottom w:val="0"/>
                      <w:divBdr>
                        <w:top w:val="none" w:sz="0" w:space="0" w:color="auto"/>
                        <w:left w:val="none" w:sz="0" w:space="0" w:color="auto"/>
                        <w:bottom w:val="none" w:sz="0" w:space="0" w:color="auto"/>
                        <w:right w:val="none" w:sz="0" w:space="0" w:color="auto"/>
                      </w:divBdr>
                    </w:div>
                  </w:divsChild>
                </w:div>
                <w:div w:id="1834951274">
                  <w:marLeft w:val="0"/>
                  <w:marRight w:val="0"/>
                  <w:marTop w:val="0"/>
                  <w:marBottom w:val="0"/>
                  <w:divBdr>
                    <w:top w:val="none" w:sz="0" w:space="0" w:color="auto"/>
                    <w:left w:val="none" w:sz="0" w:space="0" w:color="auto"/>
                    <w:bottom w:val="none" w:sz="0" w:space="0" w:color="auto"/>
                    <w:right w:val="none" w:sz="0" w:space="0" w:color="auto"/>
                  </w:divBdr>
                  <w:divsChild>
                    <w:div w:id="570241427">
                      <w:marLeft w:val="0"/>
                      <w:marRight w:val="0"/>
                      <w:marTop w:val="0"/>
                      <w:marBottom w:val="0"/>
                      <w:divBdr>
                        <w:top w:val="none" w:sz="0" w:space="0" w:color="auto"/>
                        <w:left w:val="none" w:sz="0" w:space="0" w:color="auto"/>
                        <w:bottom w:val="none" w:sz="0" w:space="0" w:color="auto"/>
                        <w:right w:val="none" w:sz="0" w:space="0" w:color="auto"/>
                      </w:divBdr>
                    </w:div>
                  </w:divsChild>
                </w:div>
                <w:div w:id="1843929678">
                  <w:marLeft w:val="0"/>
                  <w:marRight w:val="0"/>
                  <w:marTop w:val="0"/>
                  <w:marBottom w:val="0"/>
                  <w:divBdr>
                    <w:top w:val="none" w:sz="0" w:space="0" w:color="auto"/>
                    <w:left w:val="none" w:sz="0" w:space="0" w:color="auto"/>
                    <w:bottom w:val="none" w:sz="0" w:space="0" w:color="auto"/>
                    <w:right w:val="none" w:sz="0" w:space="0" w:color="auto"/>
                  </w:divBdr>
                  <w:divsChild>
                    <w:div w:id="539825416">
                      <w:marLeft w:val="0"/>
                      <w:marRight w:val="0"/>
                      <w:marTop w:val="0"/>
                      <w:marBottom w:val="0"/>
                      <w:divBdr>
                        <w:top w:val="none" w:sz="0" w:space="0" w:color="auto"/>
                        <w:left w:val="none" w:sz="0" w:space="0" w:color="auto"/>
                        <w:bottom w:val="none" w:sz="0" w:space="0" w:color="auto"/>
                        <w:right w:val="none" w:sz="0" w:space="0" w:color="auto"/>
                      </w:divBdr>
                    </w:div>
                  </w:divsChild>
                </w:div>
                <w:div w:id="1851676669">
                  <w:marLeft w:val="0"/>
                  <w:marRight w:val="0"/>
                  <w:marTop w:val="0"/>
                  <w:marBottom w:val="0"/>
                  <w:divBdr>
                    <w:top w:val="none" w:sz="0" w:space="0" w:color="auto"/>
                    <w:left w:val="none" w:sz="0" w:space="0" w:color="auto"/>
                    <w:bottom w:val="none" w:sz="0" w:space="0" w:color="auto"/>
                    <w:right w:val="none" w:sz="0" w:space="0" w:color="auto"/>
                  </w:divBdr>
                  <w:divsChild>
                    <w:div w:id="1348018104">
                      <w:marLeft w:val="0"/>
                      <w:marRight w:val="0"/>
                      <w:marTop w:val="0"/>
                      <w:marBottom w:val="0"/>
                      <w:divBdr>
                        <w:top w:val="none" w:sz="0" w:space="0" w:color="auto"/>
                        <w:left w:val="none" w:sz="0" w:space="0" w:color="auto"/>
                        <w:bottom w:val="none" w:sz="0" w:space="0" w:color="auto"/>
                        <w:right w:val="none" w:sz="0" w:space="0" w:color="auto"/>
                      </w:divBdr>
                    </w:div>
                  </w:divsChild>
                </w:div>
                <w:div w:id="1855456305">
                  <w:marLeft w:val="0"/>
                  <w:marRight w:val="0"/>
                  <w:marTop w:val="0"/>
                  <w:marBottom w:val="0"/>
                  <w:divBdr>
                    <w:top w:val="none" w:sz="0" w:space="0" w:color="auto"/>
                    <w:left w:val="none" w:sz="0" w:space="0" w:color="auto"/>
                    <w:bottom w:val="none" w:sz="0" w:space="0" w:color="auto"/>
                    <w:right w:val="none" w:sz="0" w:space="0" w:color="auto"/>
                  </w:divBdr>
                  <w:divsChild>
                    <w:div w:id="2108964668">
                      <w:marLeft w:val="0"/>
                      <w:marRight w:val="0"/>
                      <w:marTop w:val="0"/>
                      <w:marBottom w:val="0"/>
                      <w:divBdr>
                        <w:top w:val="none" w:sz="0" w:space="0" w:color="auto"/>
                        <w:left w:val="none" w:sz="0" w:space="0" w:color="auto"/>
                        <w:bottom w:val="none" w:sz="0" w:space="0" w:color="auto"/>
                        <w:right w:val="none" w:sz="0" w:space="0" w:color="auto"/>
                      </w:divBdr>
                    </w:div>
                  </w:divsChild>
                </w:div>
                <w:div w:id="1855656312">
                  <w:marLeft w:val="0"/>
                  <w:marRight w:val="0"/>
                  <w:marTop w:val="0"/>
                  <w:marBottom w:val="0"/>
                  <w:divBdr>
                    <w:top w:val="none" w:sz="0" w:space="0" w:color="auto"/>
                    <w:left w:val="none" w:sz="0" w:space="0" w:color="auto"/>
                    <w:bottom w:val="none" w:sz="0" w:space="0" w:color="auto"/>
                    <w:right w:val="none" w:sz="0" w:space="0" w:color="auto"/>
                  </w:divBdr>
                  <w:divsChild>
                    <w:div w:id="1627613604">
                      <w:marLeft w:val="0"/>
                      <w:marRight w:val="0"/>
                      <w:marTop w:val="0"/>
                      <w:marBottom w:val="0"/>
                      <w:divBdr>
                        <w:top w:val="none" w:sz="0" w:space="0" w:color="auto"/>
                        <w:left w:val="none" w:sz="0" w:space="0" w:color="auto"/>
                        <w:bottom w:val="none" w:sz="0" w:space="0" w:color="auto"/>
                        <w:right w:val="none" w:sz="0" w:space="0" w:color="auto"/>
                      </w:divBdr>
                    </w:div>
                  </w:divsChild>
                </w:div>
                <w:div w:id="1883983157">
                  <w:marLeft w:val="0"/>
                  <w:marRight w:val="0"/>
                  <w:marTop w:val="0"/>
                  <w:marBottom w:val="0"/>
                  <w:divBdr>
                    <w:top w:val="none" w:sz="0" w:space="0" w:color="auto"/>
                    <w:left w:val="none" w:sz="0" w:space="0" w:color="auto"/>
                    <w:bottom w:val="none" w:sz="0" w:space="0" w:color="auto"/>
                    <w:right w:val="none" w:sz="0" w:space="0" w:color="auto"/>
                  </w:divBdr>
                  <w:divsChild>
                    <w:div w:id="1686205431">
                      <w:marLeft w:val="0"/>
                      <w:marRight w:val="0"/>
                      <w:marTop w:val="0"/>
                      <w:marBottom w:val="0"/>
                      <w:divBdr>
                        <w:top w:val="none" w:sz="0" w:space="0" w:color="auto"/>
                        <w:left w:val="none" w:sz="0" w:space="0" w:color="auto"/>
                        <w:bottom w:val="none" w:sz="0" w:space="0" w:color="auto"/>
                        <w:right w:val="none" w:sz="0" w:space="0" w:color="auto"/>
                      </w:divBdr>
                    </w:div>
                  </w:divsChild>
                </w:div>
                <w:div w:id="1912428357">
                  <w:marLeft w:val="0"/>
                  <w:marRight w:val="0"/>
                  <w:marTop w:val="0"/>
                  <w:marBottom w:val="0"/>
                  <w:divBdr>
                    <w:top w:val="none" w:sz="0" w:space="0" w:color="auto"/>
                    <w:left w:val="none" w:sz="0" w:space="0" w:color="auto"/>
                    <w:bottom w:val="none" w:sz="0" w:space="0" w:color="auto"/>
                    <w:right w:val="none" w:sz="0" w:space="0" w:color="auto"/>
                  </w:divBdr>
                  <w:divsChild>
                    <w:div w:id="605621182">
                      <w:marLeft w:val="0"/>
                      <w:marRight w:val="0"/>
                      <w:marTop w:val="0"/>
                      <w:marBottom w:val="0"/>
                      <w:divBdr>
                        <w:top w:val="none" w:sz="0" w:space="0" w:color="auto"/>
                        <w:left w:val="none" w:sz="0" w:space="0" w:color="auto"/>
                        <w:bottom w:val="none" w:sz="0" w:space="0" w:color="auto"/>
                        <w:right w:val="none" w:sz="0" w:space="0" w:color="auto"/>
                      </w:divBdr>
                    </w:div>
                  </w:divsChild>
                </w:div>
                <w:div w:id="1920674095">
                  <w:marLeft w:val="0"/>
                  <w:marRight w:val="0"/>
                  <w:marTop w:val="0"/>
                  <w:marBottom w:val="0"/>
                  <w:divBdr>
                    <w:top w:val="none" w:sz="0" w:space="0" w:color="auto"/>
                    <w:left w:val="none" w:sz="0" w:space="0" w:color="auto"/>
                    <w:bottom w:val="none" w:sz="0" w:space="0" w:color="auto"/>
                    <w:right w:val="none" w:sz="0" w:space="0" w:color="auto"/>
                  </w:divBdr>
                  <w:divsChild>
                    <w:div w:id="1130124457">
                      <w:marLeft w:val="0"/>
                      <w:marRight w:val="0"/>
                      <w:marTop w:val="0"/>
                      <w:marBottom w:val="0"/>
                      <w:divBdr>
                        <w:top w:val="none" w:sz="0" w:space="0" w:color="auto"/>
                        <w:left w:val="none" w:sz="0" w:space="0" w:color="auto"/>
                        <w:bottom w:val="none" w:sz="0" w:space="0" w:color="auto"/>
                        <w:right w:val="none" w:sz="0" w:space="0" w:color="auto"/>
                      </w:divBdr>
                    </w:div>
                  </w:divsChild>
                </w:div>
                <w:div w:id="1935244837">
                  <w:marLeft w:val="0"/>
                  <w:marRight w:val="0"/>
                  <w:marTop w:val="0"/>
                  <w:marBottom w:val="0"/>
                  <w:divBdr>
                    <w:top w:val="none" w:sz="0" w:space="0" w:color="auto"/>
                    <w:left w:val="none" w:sz="0" w:space="0" w:color="auto"/>
                    <w:bottom w:val="none" w:sz="0" w:space="0" w:color="auto"/>
                    <w:right w:val="none" w:sz="0" w:space="0" w:color="auto"/>
                  </w:divBdr>
                  <w:divsChild>
                    <w:div w:id="1686712033">
                      <w:marLeft w:val="0"/>
                      <w:marRight w:val="0"/>
                      <w:marTop w:val="0"/>
                      <w:marBottom w:val="0"/>
                      <w:divBdr>
                        <w:top w:val="none" w:sz="0" w:space="0" w:color="auto"/>
                        <w:left w:val="none" w:sz="0" w:space="0" w:color="auto"/>
                        <w:bottom w:val="none" w:sz="0" w:space="0" w:color="auto"/>
                        <w:right w:val="none" w:sz="0" w:space="0" w:color="auto"/>
                      </w:divBdr>
                    </w:div>
                  </w:divsChild>
                </w:div>
                <w:div w:id="1947228705">
                  <w:marLeft w:val="0"/>
                  <w:marRight w:val="0"/>
                  <w:marTop w:val="0"/>
                  <w:marBottom w:val="0"/>
                  <w:divBdr>
                    <w:top w:val="none" w:sz="0" w:space="0" w:color="auto"/>
                    <w:left w:val="none" w:sz="0" w:space="0" w:color="auto"/>
                    <w:bottom w:val="none" w:sz="0" w:space="0" w:color="auto"/>
                    <w:right w:val="none" w:sz="0" w:space="0" w:color="auto"/>
                  </w:divBdr>
                  <w:divsChild>
                    <w:div w:id="2126848205">
                      <w:marLeft w:val="0"/>
                      <w:marRight w:val="0"/>
                      <w:marTop w:val="0"/>
                      <w:marBottom w:val="0"/>
                      <w:divBdr>
                        <w:top w:val="none" w:sz="0" w:space="0" w:color="auto"/>
                        <w:left w:val="none" w:sz="0" w:space="0" w:color="auto"/>
                        <w:bottom w:val="none" w:sz="0" w:space="0" w:color="auto"/>
                        <w:right w:val="none" w:sz="0" w:space="0" w:color="auto"/>
                      </w:divBdr>
                    </w:div>
                  </w:divsChild>
                </w:div>
                <w:div w:id="1947731984">
                  <w:marLeft w:val="0"/>
                  <w:marRight w:val="0"/>
                  <w:marTop w:val="0"/>
                  <w:marBottom w:val="0"/>
                  <w:divBdr>
                    <w:top w:val="none" w:sz="0" w:space="0" w:color="auto"/>
                    <w:left w:val="none" w:sz="0" w:space="0" w:color="auto"/>
                    <w:bottom w:val="none" w:sz="0" w:space="0" w:color="auto"/>
                    <w:right w:val="none" w:sz="0" w:space="0" w:color="auto"/>
                  </w:divBdr>
                  <w:divsChild>
                    <w:div w:id="725955190">
                      <w:marLeft w:val="0"/>
                      <w:marRight w:val="0"/>
                      <w:marTop w:val="0"/>
                      <w:marBottom w:val="0"/>
                      <w:divBdr>
                        <w:top w:val="none" w:sz="0" w:space="0" w:color="auto"/>
                        <w:left w:val="none" w:sz="0" w:space="0" w:color="auto"/>
                        <w:bottom w:val="none" w:sz="0" w:space="0" w:color="auto"/>
                        <w:right w:val="none" w:sz="0" w:space="0" w:color="auto"/>
                      </w:divBdr>
                    </w:div>
                  </w:divsChild>
                </w:div>
                <w:div w:id="1963228641">
                  <w:marLeft w:val="0"/>
                  <w:marRight w:val="0"/>
                  <w:marTop w:val="0"/>
                  <w:marBottom w:val="0"/>
                  <w:divBdr>
                    <w:top w:val="none" w:sz="0" w:space="0" w:color="auto"/>
                    <w:left w:val="none" w:sz="0" w:space="0" w:color="auto"/>
                    <w:bottom w:val="none" w:sz="0" w:space="0" w:color="auto"/>
                    <w:right w:val="none" w:sz="0" w:space="0" w:color="auto"/>
                  </w:divBdr>
                  <w:divsChild>
                    <w:div w:id="1949044770">
                      <w:marLeft w:val="0"/>
                      <w:marRight w:val="0"/>
                      <w:marTop w:val="0"/>
                      <w:marBottom w:val="0"/>
                      <w:divBdr>
                        <w:top w:val="none" w:sz="0" w:space="0" w:color="auto"/>
                        <w:left w:val="none" w:sz="0" w:space="0" w:color="auto"/>
                        <w:bottom w:val="none" w:sz="0" w:space="0" w:color="auto"/>
                        <w:right w:val="none" w:sz="0" w:space="0" w:color="auto"/>
                      </w:divBdr>
                    </w:div>
                  </w:divsChild>
                </w:div>
                <w:div w:id="1976836595">
                  <w:marLeft w:val="0"/>
                  <w:marRight w:val="0"/>
                  <w:marTop w:val="0"/>
                  <w:marBottom w:val="0"/>
                  <w:divBdr>
                    <w:top w:val="none" w:sz="0" w:space="0" w:color="auto"/>
                    <w:left w:val="none" w:sz="0" w:space="0" w:color="auto"/>
                    <w:bottom w:val="none" w:sz="0" w:space="0" w:color="auto"/>
                    <w:right w:val="none" w:sz="0" w:space="0" w:color="auto"/>
                  </w:divBdr>
                  <w:divsChild>
                    <w:div w:id="1389110241">
                      <w:marLeft w:val="0"/>
                      <w:marRight w:val="0"/>
                      <w:marTop w:val="0"/>
                      <w:marBottom w:val="0"/>
                      <w:divBdr>
                        <w:top w:val="none" w:sz="0" w:space="0" w:color="auto"/>
                        <w:left w:val="none" w:sz="0" w:space="0" w:color="auto"/>
                        <w:bottom w:val="none" w:sz="0" w:space="0" w:color="auto"/>
                        <w:right w:val="none" w:sz="0" w:space="0" w:color="auto"/>
                      </w:divBdr>
                    </w:div>
                  </w:divsChild>
                </w:div>
                <w:div w:id="1981837195">
                  <w:marLeft w:val="0"/>
                  <w:marRight w:val="0"/>
                  <w:marTop w:val="0"/>
                  <w:marBottom w:val="0"/>
                  <w:divBdr>
                    <w:top w:val="none" w:sz="0" w:space="0" w:color="auto"/>
                    <w:left w:val="none" w:sz="0" w:space="0" w:color="auto"/>
                    <w:bottom w:val="none" w:sz="0" w:space="0" w:color="auto"/>
                    <w:right w:val="none" w:sz="0" w:space="0" w:color="auto"/>
                  </w:divBdr>
                  <w:divsChild>
                    <w:div w:id="1358775931">
                      <w:marLeft w:val="0"/>
                      <w:marRight w:val="0"/>
                      <w:marTop w:val="0"/>
                      <w:marBottom w:val="0"/>
                      <w:divBdr>
                        <w:top w:val="none" w:sz="0" w:space="0" w:color="auto"/>
                        <w:left w:val="none" w:sz="0" w:space="0" w:color="auto"/>
                        <w:bottom w:val="none" w:sz="0" w:space="0" w:color="auto"/>
                        <w:right w:val="none" w:sz="0" w:space="0" w:color="auto"/>
                      </w:divBdr>
                    </w:div>
                  </w:divsChild>
                </w:div>
                <w:div w:id="1984263565">
                  <w:marLeft w:val="0"/>
                  <w:marRight w:val="0"/>
                  <w:marTop w:val="0"/>
                  <w:marBottom w:val="0"/>
                  <w:divBdr>
                    <w:top w:val="none" w:sz="0" w:space="0" w:color="auto"/>
                    <w:left w:val="none" w:sz="0" w:space="0" w:color="auto"/>
                    <w:bottom w:val="none" w:sz="0" w:space="0" w:color="auto"/>
                    <w:right w:val="none" w:sz="0" w:space="0" w:color="auto"/>
                  </w:divBdr>
                  <w:divsChild>
                    <w:div w:id="1533152063">
                      <w:marLeft w:val="0"/>
                      <w:marRight w:val="0"/>
                      <w:marTop w:val="0"/>
                      <w:marBottom w:val="0"/>
                      <w:divBdr>
                        <w:top w:val="none" w:sz="0" w:space="0" w:color="auto"/>
                        <w:left w:val="none" w:sz="0" w:space="0" w:color="auto"/>
                        <w:bottom w:val="none" w:sz="0" w:space="0" w:color="auto"/>
                        <w:right w:val="none" w:sz="0" w:space="0" w:color="auto"/>
                      </w:divBdr>
                    </w:div>
                  </w:divsChild>
                </w:div>
                <w:div w:id="1997760106">
                  <w:marLeft w:val="0"/>
                  <w:marRight w:val="0"/>
                  <w:marTop w:val="0"/>
                  <w:marBottom w:val="0"/>
                  <w:divBdr>
                    <w:top w:val="none" w:sz="0" w:space="0" w:color="auto"/>
                    <w:left w:val="none" w:sz="0" w:space="0" w:color="auto"/>
                    <w:bottom w:val="none" w:sz="0" w:space="0" w:color="auto"/>
                    <w:right w:val="none" w:sz="0" w:space="0" w:color="auto"/>
                  </w:divBdr>
                  <w:divsChild>
                    <w:div w:id="1714891372">
                      <w:marLeft w:val="0"/>
                      <w:marRight w:val="0"/>
                      <w:marTop w:val="0"/>
                      <w:marBottom w:val="0"/>
                      <w:divBdr>
                        <w:top w:val="none" w:sz="0" w:space="0" w:color="auto"/>
                        <w:left w:val="none" w:sz="0" w:space="0" w:color="auto"/>
                        <w:bottom w:val="none" w:sz="0" w:space="0" w:color="auto"/>
                        <w:right w:val="none" w:sz="0" w:space="0" w:color="auto"/>
                      </w:divBdr>
                    </w:div>
                  </w:divsChild>
                </w:div>
                <w:div w:id="1997953899">
                  <w:marLeft w:val="0"/>
                  <w:marRight w:val="0"/>
                  <w:marTop w:val="0"/>
                  <w:marBottom w:val="0"/>
                  <w:divBdr>
                    <w:top w:val="none" w:sz="0" w:space="0" w:color="auto"/>
                    <w:left w:val="none" w:sz="0" w:space="0" w:color="auto"/>
                    <w:bottom w:val="none" w:sz="0" w:space="0" w:color="auto"/>
                    <w:right w:val="none" w:sz="0" w:space="0" w:color="auto"/>
                  </w:divBdr>
                  <w:divsChild>
                    <w:div w:id="301472596">
                      <w:marLeft w:val="0"/>
                      <w:marRight w:val="0"/>
                      <w:marTop w:val="0"/>
                      <w:marBottom w:val="0"/>
                      <w:divBdr>
                        <w:top w:val="none" w:sz="0" w:space="0" w:color="auto"/>
                        <w:left w:val="none" w:sz="0" w:space="0" w:color="auto"/>
                        <w:bottom w:val="none" w:sz="0" w:space="0" w:color="auto"/>
                        <w:right w:val="none" w:sz="0" w:space="0" w:color="auto"/>
                      </w:divBdr>
                    </w:div>
                  </w:divsChild>
                </w:div>
                <w:div w:id="2002928420">
                  <w:marLeft w:val="0"/>
                  <w:marRight w:val="0"/>
                  <w:marTop w:val="0"/>
                  <w:marBottom w:val="0"/>
                  <w:divBdr>
                    <w:top w:val="none" w:sz="0" w:space="0" w:color="auto"/>
                    <w:left w:val="none" w:sz="0" w:space="0" w:color="auto"/>
                    <w:bottom w:val="none" w:sz="0" w:space="0" w:color="auto"/>
                    <w:right w:val="none" w:sz="0" w:space="0" w:color="auto"/>
                  </w:divBdr>
                  <w:divsChild>
                    <w:div w:id="1187132603">
                      <w:marLeft w:val="0"/>
                      <w:marRight w:val="0"/>
                      <w:marTop w:val="0"/>
                      <w:marBottom w:val="0"/>
                      <w:divBdr>
                        <w:top w:val="none" w:sz="0" w:space="0" w:color="auto"/>
                        <w:left w:val="none" w:sz="0" w:space="0" w:color="auto"/>
                        <w:bottom w:val="none" w:sz="0" w:space="0" w:color="auto"/>
                        <w:right w:val="none" w:sz="0" w:space="0" w:color="auto"/>
                      </w:divBdr>
                    </w:div>
                  </w:divsChild>
                </w:div>
                <w:div w:id="2010516857">
                  <w:marLeft w:val="0"/>
                  <w:marRight w:val="0"/>
                  <w:marTop w:val="0"/>
                  <w:marBottom w:val="0"/>
                  <w:divBdr>
                    <w:top w:val="none" w:sz="0" w:space="0" w:color="auto"/>
                    <w:left w:val="none" w:sz="0" w:space="0" w:color="auto"/>
                    <w:bottom w:val="none" w:sz="0" w:space="0" w:color="auto"/>
                    <w:right w:val="none" w:sz="0" w:space="0" w:color="auto"/>
                  </w:divBdr>
                  <w:divsChild>
                    <w:div w:id="937560198">
                      <w:marLeft w:val="0"/>
                      <w:marRight w:val="0"/>
                      <w:marTop w:val="0"/>
                      <w:marBottom w:val="0"/>
                      <w:divBdr>
                        <w:top w:val="none" w:sz="0" w:space="0" w:color="auto"/>
                        <w:left w:val="none" w:sz="0" w:space="0" w:color="auto"/>
                        <w:bottom w:val="none" w:sz="0" w:space="0" w:color="auto"/>
                        <w:right w:val="none" w:sz="0" w:space="0" w:color="auto"/>
                      </w:divBdr>
                    </w:div>
                  </w:divsChild>
                </w:div>
                <w:div w:id="2016416881">
                  <w:marLeft w:val="0"/>
                  <w:marRight w:val="0"/>
                  <w:marTop w:val="0"/>
                  <w:marBottom w:val="0"/>
                  <w:divBdr>
                    <w:top w:val="none" w:sz="0" w:space="0" w:color="auto"/>
                    <w:left w:val="none" w:sz="0" w:space="0" w:color="auto"/>
                    <w:bottom w:val="none" w:sz="0" w:space="0" w:color="auto"/>
                    <w:right w:val="none" w:sz="0" w:space="0" w:color="auto"/>
                  </w:divBdr>
                  <w:divsChild>
                    <w:div w:id="2108769878">
                      <w:marLeft w:val="0"/>
                      <w:marRight w:val="0"/>
                      <w:marTop w:val="0"/>
                      <w:marBottom w:val="0"/>
                      <w:divBdr>
                        <w:top w:val="none" w:sz="0" w:space="0" w:color="auto"/>
                        <w:left w:val="none" w:sz="0" w:space="0" w:color="auto"/>
                        <w:bottom w:val="none" w:sz="0" w:space="0" w:color="auto"/>
                        <w:right w:val="none" w:sz="0" w:space="0" w:color="auto"/>
                      </w:divBdr>
                    </w:div>
                  </w:divsChild>
                </w:div>
                <w:div w:id="2017153531">
                  <w:marLeft w:val="0"/>
                  <w:marRight w:val="0"/>
                  <w:marTop w:val="0"/>
                  <w:marBottom w:val="0"/>
                  <w:divBdr>
                    <w:top w:val="none" w:sz="0" w:space="0" w:color="auto"/>
                    <w:left w:val="none" w:sz="0" w:space="0" w:color="auto"/>
                    <w:bottom w:val="none" w:sz="0" w:space="0" w:color="auto"/>
                    <w:right w:val="none" w:sz="0" w:space="0" w:color="auto"/>
                  </w:divBdr>
                  <w:divsChild>
                    <w:div w:id="609435736">
                      <w:marLeft w:val="0"/>
                      <w:marRight w:val="0"/>
                      <w:marTop w:val="0"/>
                      <w:marBottom w:val="0"/>
                      <w:divBdr>
                        <w:top w:val="none" w:sz="0" w:space="0" w:color="auto"/>
                        <w:left w:val="none" w:sz="0" w:space="0" w:color="auto"/>
                        <w:bottom w:val="none" w:sz="0" w:space="0" w:color="auto"/>
                        <w:right w:val="none" w:sz="0" w:space="0" w:color="auto"/>
                      </w:divBdr>
                    </w:div>
                  </w:divsChild>
                </w:div>
                <w:div w:id="2024819510">
                  <w:marLeft w:val="0"/>
                  <w:marRight w:val="0"/>
                  <w:marTop w:val="0"/>
                  <w:marBottom w:val="0"/>
                  <w:divBdr>
                    <w:top w:val="none" w:sz="0" w:space="0" w:color="auto"/>
                    <w:left w:val="none" w:sz="0" w:space="0" w:color="auto"/>
                    <w:bottom w:val="none" w:sz="0" w:space="0" w:color="auto"/>
                    <w:right w:val="none" w:sz="0" w:space="0" w:color="auto"/>
                  </w:divBdr>
                  <w:divsChild>
                    <w:div w:id="722951788">
                      <w:marLeft w:val="0"/>
                      <w:marRight w:val="0"/>
                      <w:marTop w:val="0"/>
                      <w:marBottom w:val="0"/>
                      <w:divBdr>
                        <w:top w:val="none" w:sz="0" w:space="0" w:color="auto"/>
                        <w:left w:val="none" w:sz="0" w:space="0" w:color="auto"/>
                        <w:bottom w:val="none" w:sz="0" w:space="0" w:color="auto"/>
                        <w:right w:val="none" w:sz="0" w:space="0" w:color="auto"/>
                      </w:divBdr>
                    </w:div>
                  </w:divsChild>
                </w:div>
                <w:div w:id="2066443805">
                  <w:marLeft w:val="0"/>
                  <w:marRight w:val="0"/>
                  <w:marTop w:val="0"/>
                  <w:marBottom w:val="0"/>
                  <w:divBdr>
                    <w:top w:val="none" w:sz="0" w:space="0" w:color="auto"/>
                    <w:left w:val="none" w:sz="0" w:space="0" w:color="auto"/>
                    <w:bottom w:val="none" w:sz="0" w:space="0" w:color="auto"/>
                    <w:right w:val="none" w:sz="0" w:space="0" w:color="auto"/>
                  </w:divBdr>
                  <w:divsChild>
                    <w:div w:id="1048529261">
                      <w:marLeft w:val="0"/>
                      <w:marRight w:val="0"/>
                      <w:marTop w:val="0"/>
                      <w:marBottom w:val="0"/>
                      <w:divBdr>
                        <w:top w:val="none" w:sz="0" w:space="0" w:color="auto"/>
                        <w:left w:val="none" w:sz="0" w:space="0" w:color="auto"/>
                        <w:bottom w:val="none" w:sz="0" w:space="0" w:color="auto"/>
                        <w:right w:val="none" w:sz="0" w:space="0" w:color="auto"/>
                      </w:divBdr>
                    </w:div>
                  </w:divsChild>
                </w:div>
                <w:div w:id="2132943360">
                  <w:marLeft w:val="0"/>
                  <w:marRight w:val="0"/>
                  <w:marTop w:val="0"/>
                  <w:marBottom w:val="0"/>
                  <w:divBdr>
                    <w:top w:val="none" w:sz="0" w:space="0" w:color="auto"/>
                    <w:left w:val="none" w:sz="0" w:space="0" w:color="auto"/>
                    <w:bottom w:val="none" w:sz="0" w:space="0" w:color="auto"/>
                    <w:right w:val="none" w:sz="0" w:space="0" w:color="auto"/>
                  </w:divBdr>
                  <w:divsChild>
                    <w:div w:id="12762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22669">
          <w:marLeft w:val="0"/>
          <w:marRight w:val="0"/>
          <w:marTop w:val="0"/>
          <w:marBottom w:val="0"/>
          <w:divBdr>
            <w:top w:val="none" w:sz="0" w:space="0" w:color="auto"/>
            <w:left w:val="none" w:sz="0" w:space="0" w:color="auto"/>
            <w:bottom w:val="none" w:sz="0" w:space="0" w:color="auto"/>
            <w:right w:val="none" w:sz="0" w:space="0" w:color="auto"/>
          </w:divBdr>
          <w:divsChild>
            <w:div w:id="473257935">
              <w:marLeft w:val="0"/>
              <w:marRight w:val="0"/>
              <w:marTop w:val="0"/>
              <w:marBottom w:val="0"/>
              <w:divBdr>
                <w:top w:val="none" w:sz="0" w:space="0" w:color="auto"/>
                <w:left w:val="none" w:sz="0" w:space="0" w:color="auto"/>
                <w:bottom w:val="none" w:sz="0" w:space="0" w:color="auto"/>
                <w:right w:val="none" w:sz="0" w:space="0" w:color="auto"/>
              </w:divBdr>
            </w:div>
            <w:div w:id="695279423">
              <w:marLeft w:val="0"/>
              <w:marRight w:val="0"/>
              <w:marTop w:val="0"/>
              <w:marBottom w:val="0"/>
              <w:divBdr>
                <w:top w:val="none" w:sz="0" w:space="0" w:color="auto"/>
                <w:left w:val="none" w:sz="0" w:space="0" w:color="auto"/>
                <w:bottom w:val="none" w:sz="0" w:space="0" w:color="auto"/>
                <w:right w:val="none" w:sz="0" w:space="0" w:color="auto"/>
              </w:divBdr>
            </w:div>
            <w:div w:id="950011338">
              <w:marLeft w:val="0"/>
              <w:marRight w:val="0"/>
              <w:marTop w:val="0"/>
              <w:marBottom w:val="0"/>
              <w:divBdr>
                <w:top w:val="none" w:sz="0" w:space="0" w:color="auto"/>
                <w:left w:val="none" w:sz="0" w:space="0" w:color="auto"/>
                <w:bottom w:val="none" w:sz="0" w:space="0" w:color="auto"/>
                <w:right w:val="none" w:sz="0" w:space="0" w:color="auto"/>
              </w:divBdr>
            </w:div>
            <w:div w:id="1398818431">
              <w:marLeft w:val="0"/>
              <w:marRight w:val="0"/>
              <w:marTop w:val="0"/>
              <w:marBottom w:val="0"/>
              <w:divBdr>
                <w:top w:val="none" w:sz="0" w:space="0" w:color="auto"/>
                <w:left w:val="none" w:sz="0" w:space="0" w:color="auto"/>
                <w:bottom w:val="none" w:sz="0" w:space="0" w:color="auto"/>
                <w:right w:val="none" w:sz="0" w:space="0" w:color="auto"/>
              </w:divBdr>
            </w:div>
          </w:divsChild>
        </w:div>
        <w:div w:id="816649880">
          <w:marLeft w:val="0"/>
          <w:marRight w:val="0"/>
          <w:marTop w:val="0"/>
          <w:marBottom w:val="0"/>
          <w:divBdr>
            <w:top w:val="none" w:sz="0" w:space="0" w:color="auto"/>
            <w:left w:val="none" w:sz="0" w:space="0" w:color="auto"/>
            <w:bottom w:val="none" w:sz="0" w:space="0" w:color="auto"/>
            <w:right w:val="none" w:sz="0" w:space="0" w:color="auto"/>
          </w:divBdr>
        </w:div>
        <w:div w:id="834297557">
          <w:marLeft w:val="0"/>
          <w:marRight w:val="0"/>
          <w:marTop w:val="0"/>
          <w:marBottom w:val="0"/>
          <w:divBdr>
            <w:top w:val="none" w:sz="0" w:space="0" w:color="auto"/>
            <w:left w:val="none" w:sz="0" w:space="0" w:color="auto"/>
            <w:bottom w:val="none" w:sz="0" w:space="0" w:color="auto"/>
            <w:right w:val="none" w:sz="0" w:space="0" w:color="auto"/>
          </w:divBdr>
        </w:div>
        <w:div w:id="847141780">
          <w:marLeft w:val="0"/>
          <w:marRight w:val="0"/>
          <w:marTop w:val="0"/>
          <w:marBottom w:val="0"/>
          <w:divBdr>
            <w:top w:val="none" w:sz="0" w:space="0" w:color="auto"/>
            <w:left w:val="none" w:sz="0" w:space="0" w:color="auto"/>
            <w:bottom w:val="none" w:sz="0" w:space="0" w:color="auto"/>
            <w:right w:val="none" w:sz="0" w:space="0" w:color="auto"/>
          </w:divBdr>
          <w:divsChild>
            <w:div w:id="166332343">
              <w:marLeft w:val="0"/>
              <w:marRight w:val="0"/>
              <w:marTop w:val="0"/>
              <w:marBottom w:val="0"/>
              <w:divBdr>
                <w:top w:val="none" w:sz="0" w:space="0" w:color="auto"/>
                <w:left w:val="none" w:sz="0" w:space="0" w:color="auto"/>
                <w:bottom w:val="none" w:sz="0" w:space="0" w:color="auto"/>
                <w:right w:val="none" w:sz="0" w:space="0" w:color="auto"/>
              </w:divBdr>
            </w:div>
            <w:div w:id="316619082">
              <w:marLeft w:val="0"/>
              <w:marRight w:val="0"/>
              <w:marTop w:val="0"/>
              <w:marBottom w:val="0"/>
              <w:divBdr>
                <w:top w:val="none" w:sz="0" w:space="0" w:color="auto"/>
                <w:left w:val="none" w:sz="0" w:space="0" w:color="auto"/>
                <w:bottom w:val="none" w:sz="0" w:space="0" w:color="auto"/>
                <w:right w:val="none" w:sz="0" w:space="0" w:color="auto"/>
              </w:divBdr>
            </w:div>
            <w:div w:id="1386759847">
              <w:marLeft w:val="0"/>
              <w:marRight w:val="0"/>
              <w:marTop w:val="0"/>
              <w:marBottom w:val="0"/>
              <w:divBdr>
                <w:top w:val="none" w:sz="0" w:space="0" w:color="auto"/>
                <w:left w:val="none" w:sz="0" w:space="0" w:color="auto"/>
                <w:bottom w:val="none" w:sz="0" w:space="0" w:color="auto"/>
                <w:right w:val="none" w:sz="0" w:space="0" w:color="auto"/>
              </w:divBdr>
            </w:div>
            <w:div w:id="1420563733">
              <w:marLeft w:val="0"/>
              <w:marRight w:val="0"/>
              <w:marTop w:val="0"/>
              <w:marBottom w:val="0"/>
              <w:divBdr>
                <w:top w:val="none" w:sz="0" w:space="0" w:color="auto"/>
                <w:left w:val="none" w:sz="0" w:space="0" w:color="auto"/>
                <w:bottom w:val="none" w:sz="0" w:space="0" w:color="auto"/>
                <w:right w:val="none" w:sz="0" w:space="0" w:color="auto"/>
              </w:divBdr>
            </w:div>
            <w:div w:id="2017730597">
              <w:marLeft w:val="0"/>
              <w:marRight w:val="0"/>
              <w:marTop w:val="0"/>
              <w:marBottom w:val="0"/>
              <w:divBdr>
                <w:top w:val="none" w:sz="0" w:space="0" w:color="auto"/>
                <w:left w:val="none" w:sz="0" w:space="0" w:color="auto"/>
                <w:bottom w:val="none" w:sz="0" w:space="0" w:color="auto"/>
                <w:right w:val="none" w:sz="0" w:space="0" w:color="auto"/>
              </w:divBdr>
            </w:div>
          </w:divsChild>
        </w:div>
        <w:div w:id="861213508">
          <w:marLeft w:val="0"/>
          <w:marRight w:val="0"/>
          <w:marTop w:val="0"/>
          <w:marBottom w:val="0"/>
          <w:divBdr>
            <w:top w:val="none" w:sz="0" w:space="0" w:color="auto"/>
            <w:left w:val="none" w:sz="0" w:space="0" w:color="auto"/>
            <w:bottom w:val="none" w:sz="0" w:space="0" w:color="auto"/>
            <w:right w:val="none" w:sz="0" w:space="0" w:color="auto"/>
          </w:divBdr>
        </w:div>
        <w:div w:id="865869816">
          <w:marLeft w:val="0"/>
          <w:marRight w:val="0"/>
          <w:marTop w:val="0"/>
          <w:marBottom w:val="0"/>
          <w:divBdr>
            <w:top w:val="none" w:sz="0" w:space="0" w:color="auto"/>
            <w:left w:val="none" w:sz="0" w:space="0" w:color="auto"/>
            <w:bottom w:val="none" w:sz="0" w:space="0" w:color="auto"/>
            <w:right w:val="none" w:sz="0" w:space="0" w:color="auto"/>
          </w:divBdr>
          <w:divsChild>
            <w:div w:id="355160705">
              <w:marLeft w:val="0"/>
              <w:marRight w:val="0"/>
              <w:marTop w:val="0"/>
              <w:marBottom w:val="0"/>
              <w:divBdr>
                <w:top w:val="none" w:sz="0" w:space="0" w:color="auto"/>
                <w:left w:val="none" w:sz="0" w:space="0" w:color="auto"/>
                <w:bottom w:val="none" w:sz="0" w:space="0" w:color="auto"/>
                <w:right w:val="none" w:sz="0" w:space="0" w:color="auto"/>
              </w:divBdr>
            </w:div>
            <w:div w:id="378939719">
              <w:marLeft w:val="0"/>
              <w:marRight w:val="0"/>
              <w:marTop w:val="0"/>
              <w:marBottom w:val="0"/>
              <w:divBdr>
                <w:top w:val="none" w:sz="0" w:space="0" w:color="auto"/>
                <w:left w:val="none" w:sz="0" w:space="0" w:color="auto"/>
                <w:bottom w:val="none" w:sz="0" w:space="0" w:color="auto"/>
                <w:right w:val="none" w:sz="0" w:space="0" w:color="auto"/>
              </w:divBdr>
            </w:div>
            <w:div w:id="1972710561">
              <w:marLeft w:val="0"/>
              <w:marRight w:val="0"/>
              <w:marTop w:val="0"/>
              <w:marBottom w:val="0"/>
              <w:divBdr>
                <w:top w:val="none" w:sz="0" w:space="0" w:color="auto"/>
                <w:left w:val="none" w:sz="0" w:space="0" w:color="auto"/>
                <w:bottom w:val="none" w:sz="0" w:space="0" w:color="auto"/>
                <w:right w:val="none" w:sz="0" w:space="0" w:color="auto"/>
              </w:divBdr>
            </w:div>
          </w:divsChild>
        </w:div>
        <w:div w:id="906109891">
          <w:marLeft w:val="0"/>
          <w:marRight w:val="0"/>
          <w:marTop w:val="0"/>
          <w:marBottom w:val="0"/>
          <w:divBdr>
            <w:top w:val="none" w:sz="0" w:space="0" w:color="auto"/>
            <w:left w:val="none" w:sz="0" w:space="0" w:color="auto"/>
            <w:bottom w:val="none" w:sz="0" w:space="0" w:color="auto"/>
            <w:right w:val="none" w:sz="0" w:space="0" w:color="auto"/>
          </w:divBdr>
          <w:divsChild>
            <w:div w:id="625891376">
              <w:marLeft w:val="0"/>
              <w:marRight w:val="0"/>
              <w:marTop w:val="0"/>
              <w:marBottom w:val="0"/>
              <w:divBdr>
                <w:top w:val="none" w:sz="0" w:space="0" w:color="auto"/>
                <w:left w:val="none" w:sz="0" w:space="0" w:color="auto"/>
                <w:bottom w:val="none" w:sz="0" w:space="0" w:color="auto"/>
                <w:right w:val="none" w:sz="0" w:space="0" w:color="auto"/>
              </w:divBdr>
            </w:div>
            <w:div w:id="979461064">
              <w:marLeft w:val="0"/>
              <w:marRight w:val="0"/>
              <w:marTop w:val="0"/>
              <w:marBottom w:val="0"/>
              <w:divBdr>
                <w:top w:val="none" w:sz="0" w:space="0" w:color="auto"/>
                <w:left w:val="none" w:sz="0" w:space="0" w:color="auto"/>
                <w:bottom w:val="none" w:sz="0" w:space="0" w:color="auto"/>
                <w:right w:val="none" w:sz="0" w:space="0" w:color="auto"/>
              </w:divBdr>
            </w:div>
            <w:div w:id="1107191716">
              <w:marLeft w:val="0"/>
              <w:marRight w:val="0"/>
              <w:marTop w:val="0"/>
              <w:marBottom w:val="0"/>
              <w:divBdr>
                <w:top w:val="none" w:sz="0" w:space="0" w:color="auto"/>
                <w:left w:val="none" w:sz="0" w:space="0" w:color="auto"/>
                <w:bottom w:val="none" w:sz="0" w:space="0" w:color="auto"/>
                <w:right w:val="none" w:sz="0" w:space="0" w:color="auto"/>
              </w:divBdr>
            </w:div>
          </w:divsChild>
        </w:div>
        <w:div w:id="930628468">
          <w:marLeft w:val="0"/>
          <w:marRight w:val="0"/>
          <w:marTop w:val="0"/>
          <w:marBottom w:val="0"/>
          <w:divBdr>
            <w:top w:val="none" w:sz="0" w:space="0" w:color="auto"/>
            <w:left w:val="none" w:sz="0" w:space="0" w:color="auto"/>
            <w:bottom w:val="none" w:sz="0" w:space="0" w:color="auto"/>
            <w:right w:val="none" w:sz="0" w:space="0" w:color="auto"/>
          </w:divBdr>
          <w:divsChild>
            <w:div w:id="261886459">
              <w:marLeft w:val="0"/>
              <w:marRight w:val="0"/>
              <w:marTop w:val="0"/>
              <w:marBottom w:val="0"/>
              <w:divBdr>
                <w:top w:val="none" w:sz="0" w:space="0" w:color="auto"/>
                <w:left w:val="none" w:sz="0" w:space="0" w:color="auto"/>
                <w:bottom w:val="none" w:sz="0" w:space="0" w:color="auto"/>
                <w:right w:val="none" w:sz="0" w:space="0" w:color="auto"/>
              </w:divBdr>
            </w:div>
            <w:div w:id="403072635">
              <w:marLeft w:val="0"/>
              <w:marRight w:val="0"/>
              <w:marTop w:val="0"/>
              <w:marBottom w:val="0"/>
              <w:divBdr>
                <w:top w:val="none" w:sz="0" w:space="0" w:color="auto"/>
                <w:left w:val="none" w:sz="0" w:space="0" w:color="auto"/>
                <w:bottom w:val="none" w:sz="0" w:space="0" w:color="auto"/>
                <w:right w:val="none" w:sz="0" w:space="0" w:color="auto"/>
              </w:divBdr>
            </w:div>
            <w:div w:id="615717450">
              <w:marLeft w:val="0"/>
              <w:marRight w:val="0"/>
              <w:marTop w:val="0"/>
              <w:marBottom w:val="0"/>
              <w:divBdr>
                <w:top w:val="none" w:sz="0" w:space="0" w:color="auto"/>
                <w:left w:val="none" w:sz="0" w:space="0" w:color="auto"/>
                <w:bottom w:val="none" w:sz="0" w:space="0" w:color="auto"/>
                <w:right w:val="none" w:sz="0" w:space="0" w:color="auto"/>
              </w:divBdr>
            </w:div>
            <w:div w:id="727463256">
              <w:marLeft w:val="0"/>
              <w:marRight w:val="0"/>
              <w:marTop w:val="0"/>
              <w:marBottom w:val="0"/>
              <w:divBdr>
                <w:top w:val="none" w:sz="0" w:space="0" w:color="auto"/>
                <w:left w:val="none" w:sz="0" w:space="0" w:color="auto"/>
                <w:bottom w:val="none" w:sz="0" w:space="0" w:color="auto"/>
                <w:right w:val="none" w:sz="0" w:space="0" w:color="auto"/>
              </w:divBdr>
            </w:div>
            <w:div w:id="1631551358">
              <w:marLeft w:val="0"/>
              <w:marRight w:val="0"/>
              <w:marTop w:val="0"/>
              <w:marBottom w:val="0"/>
              <w:divBdr>
                <w:top w:val="none" w:sz="0" w:space="0" w:color="auto"/>
                <w:left w:val="none" w:sz="0" w:space="0" w:color="auto"/>
                <w:bottom w:val="none" w:sz="0" w:space="0" w:color="auto"/>
                <w:right w:val="none" w:sz="0" w:space="0" w:color="auto"/>
              </w:divBdr>
            </w:div>
          </w:divsChild>
        </w:div>
        <w:div w:id="942300763">
          <w:marLeft w:val="0"/>
          <w:marRight w:val="0"/>
          <w:marTop w:val="0"/>
          <w:marBottom w:val="0"/>
          <w:divBdr>
            <w:top w:val="none" w:sz="0" w:space="0" w:color="auto"/>
            <w:left w:val="none" w:sz="0" w:space="0" w:color="auto"/>
            <w:bottom w:val="none" w:sz="0" w:space="0" w:color="auto"/>
            <w:right w:val="none" w:sz="0" w:space="0" w:color="auto"/>
          </w:divBdr>
          <w:divsChild>
            <w:div w:id="1007247061">
              <w:marLeft w:val="0"/>
              <w:marRight w:val="0"/>
              <w:marTop w:val="0"/>
              <w:marBottom w:val="0"/>
              <w:divBdr>
                <w:top w:val="none" w:sz="0" w:space="0" w:color="auto"/>
                <w:left w:val="none" w:sz="0" w:space="0" w:color="auto"/>
                <w:bottom w:val="none" w:sz="0" w:space="0" w:color="auto"/>
                <w:right w:val="none" w:sz="0" w:space="0" w:color="auto"/>
              </w:divBdr>
            </w:div>
            <w:div w:id="1241869625">
              <w:marLeft w:val="0"/>
              <w:marRight w:val="0"/>
              <w:marTop w:val="0"/>
              <w:marBottom w:val="0"/>
              <w:divBdr>
                <w:top w:val="none" w:sz="0" w:space="0" w:color="auto"/>
                <w:left w:val="none" w:sz="0" w:space="0" w:color="auto"/>
                <w:bottom w:val="none" w:sz="0" w:space="0" w:color="auto"/>
                <w:right w:val="none" w:sz="0" w:space="0" w:color="auto"/>
              </w:divBdr>
            </w:div>
            <w:div w:id="1391538669">
              <w:marLeft w:val="0"/>
              <w:marRight w:val="0"/>
              <w:marTop w:val="0"/>
              <w:marBottom w:val="0"/>
              <w:divBdr>
                <w:top w:val="none" w:sz="0" w:space="0" w:color="auto"/>
                <w:left w:val="none" w:sz="0" w:space="0" w:color="auto"/>
                <w:bottom w:val="none" w:sz="0" w:space="0" w:color="auto"/>
                <w:right w:val="none" w:sz="0" w:space="0" w:color="auto"/>
              </w:divBdr>
            </w:div>
          </w:divsChild>
        </w:div>
        <w:div w:id="954825103">
          <w:marLeft w:val="0"/>
          <w:marRight w:val="0"/>
          <w:marTop w:val="0"/>
          <w:marBottom w:val="0"/>
          <w:divBdr>
            <w:top w:val="none" w:sz="0" w:space="0" w:color="auto"/>
            <w:left w:val="none" w:sz="0" w:space="0" w:color="auto"/>
            <w:bottom w:val="none" w:sz="0" w:space="0" w:color="auto"/>
            <w:right w:val="none" w:sz="0" w:space="0" w:color="auto"/>
          </w:divBdr>
        </w:div>
        <w:div w:id="965814341">
          <w:marLeft w:val="0"/>
          <w:marRight w:val="0"/>
          <w:marTop w:val="0"/>
          <w:marBottom w:val="0"/>
          <w:divBdr>
            <w:top w:val="none" w:sz="0" w:space="0" w:color="auto"/>
            <w:left w:val="none" w:sz="0" w:space="0" w:color="auto"/>
            <w:bottom w:val="none" w:sz="0" w:space="0" w:color="auto"/>
            <w:right w:val="none" w:sz="0" w:space="0" w:color="auto"/>
          </w:divBdr>
        </w:div>
        <w:div w:id="996422467">
          <w:marLeft w:val="0"/>
          <w:marRight w:val="0"/>
          <w:marTop w:val="0"/>
          <w:marBottom w:val="0"/>
          <w:divBdr>
            <w:top w:val="none" w:sz="0" w:space="0" w:color="auto"/>
            <w:left w:val="none" w:sz="0" w:space="0" w:color="auto"/>
            <w:bottom w:val="none" w:sz="0" w:space="0" w:color="auto"/>
            <w:right w:val="none" w:sz="0" w:space="0" w:color="auto"/>
          </w:divBdr>
          <w:divsChild>
            <w:div w:id="147479612">
              <w:marLeft w:val="0"/>
              <w:marRight w:val="0"/>
              <w:marTop w:val="0"/>
              <w:marBottom w:val="0"/>
              <w:divBdr>
                <w:top w:val="none" w:sz="0" w:space="0" w:color="auto"/>
                <w:left w:val="none" w:sz="0" w:space="0" w:color="auto"/>
                <w:bottom w:val="none" w:sz="0" w:space="0" w:color="auto"/>
                <w:right w:val="none" w:sz="0" w:space="0" w:color="auto"/>
              </w:divBdr>
            </w:div>
            <w:div w:id="283925489">
              <w:marLeft w:val="0"/>
              <w:marRight w:val="0"/>
              <w:marTop w:val="0"/>
              <w:marBottom w:val="0"/>
              <w:divBdr>
                <w:top w:val="none" w:sz="0" w:space="0" w:color="auto"/>
                <w:left w:val="none" w:sz="0" w:space="0" w:color="auto"/>
                <w:bottom w:val="none" w:sz="0" w:space="0" w:color="auto"/>
                <w:right w:val="none" w:sz="0" w:space="0" w:color="auto"/>
              </w:divBdr>
            </w:div>
            <w:div w:id="479887005">
              <w:marLeft w:val="0"/>
              <w:marRight w:val="0"/>
              <w:marTop w:val="0"/>
              <w:marBottom w:val="0"/>
              <w:divBdr>
                <w:top w:val="none" w:sz="0" w:space="0" w:color="auto"/>
                <w:left w:val="none" w:sz="0" w:space="0" w:color="auto"/>
                <w:bottom w:val="none" w:sz="0" w:space="0" w:color="auto"/>
                <w:right w:val="none" w:sz="0" w:space="0" w:color="auto"/>
              </w:divBdr>
            </w:div>
            <w:div w:id="1088307620">
              <w:marLeft w:val="0"/>
              <w:marRight w:val="0"/>
              <w:marTop w:val="0"/>
              <w:marBottom w:val="0"/>
              <w:divBdr>
                <w:top w:val="none" w:sz="0" w:space="0" w:color="auto"/>
                <w:left w:val="none" w:sz="0" w:space="0" w:color="auto"/>
                <w:bottom w:val="none" w:sz="0" w:space="0" w:color="auto"/>
                <w:right w:val="none" w:sz="0" w:space="0" w:color="auto"/>
              </w:divBdr>
            </w:div>
          </w:divsChild>
        </w:div>
        <w:div w:id="1012682180">
          <w:marLeft w:val="0"/>
          <w:marRight w:val="0"/>
          <w:marTop w:val="0"/>
          <w:marBottom w:val="0"/>
          <w:divBdr>
            <w:top w:val="none" w:sz="0" w:space="0" w:color="auto"/>
            <w:left w:val="none" w:sz="0" w:space="0" w:color="auto"/>
            <w:bottom w:val="none" w:sz="0" w:space="0" w:color="auto"/>
            <w:right w:val="none" w:sz="0" w:space="0" w:color="auto"/>
          </w:divBdr>
          <w:divsChild>
            <w:div w:id="884681702">
              <w:marLeft w:val="-75"/>
              <w:marRight w:val="0"/>
              <w:marTop w:val="30"/>
              <w:marBottom w:val="30"/>
              <w:divBdr>
                <w:top w:val="none" w:sz="0" w:space="0" w:color="auto"/>
                <w:left w:val="none" w:sz="0" w:space="0" w:color="auto"/>
                <w:bottom w:val="none" w:sz="0" w:space="0" w:color="auto"/>
                <w:right w:val="none" w:sz="0" w:space="0" w:color="auto"/>
              </w:divBdr>
              <w:divsChild>
                <w:div w:id="11609824">
                  <w:marLeft w:val="0"/>
                  <w:marRight w:val="0"/>
                  <w:marTop w:val="0"/>
                  <w:marBottom w:val="0"/>
                  <w:divBdr>
                    <w:top w:val="none" w:sz="0" w:space="0" w:color="auto"/>
                    <w:left w:val="none" w:sz="0" w:space="0" w:color="auto"/>
                    <w:bottom w:val="none" w:sz="0" w:space="0" w:color="auto"/>
                    <w:right w:val="none" w:sz="0" w:space="0" w:color="auto"/>
                  </w:divBdr>
                  <w:divsChild>
                    <w:div w:id="330566200">
                      <w:marLeft w:val="0"/>
                      <w:marRight w:val="0"/>
                      <w:marTop w:val="0"/>
                      <w:marBottom w:val="0"/>
                      <w:divBdr>
                        <w:top w:val="none" w:sz="0" w:space="0" w:color="auto"/>
                        <w:left w:val="none" w:sz="0" w:space="0" w:color="auto"/>
                        <w:bottom w:val="none" w:sz="0" w:space="0" w:color="auto"/>
                        <w:right w:val="none" w:sz="0" w:space="0" w:color="auto"/>
                      </w:divBdr>
                    </w:div>
                  </w:divsChild>
                </w:div>
                <w:div w:id="20935895">
                  <w:marLeft w:val="0"/>
                  <w:marRight w:val="0"/>
                  <w:marTop w:val="0"/>
                  <w:marBottom w:val="0"/>
                  <w:divBdr>
                    <w:top w:val="none" w:sz="0" w:space="0" w:color="auto"/>
                    <w:left w:val="none" w:sz="0" w:space="0" w:color="auto"/>
                    <w:bottom w:val="none" w:sz="0" w:space="0" w:color="auto"/>
                    <w:right w:val="none" w:sz="0" w:space="0" w:color="auto"/>
                  </w:divBdr>
                  <w:divsChild>
                    <w:div w:id="1350523663">
                      <w:marLeft w:val="0"/>
                      <w:marRight w:val="0"/>
                      <w:marTop w:val="0"/>
                      <w:marBottom w:val="0"/>
                      <w:divBdr>
                        <w:top w:val="none" w:sz="0" w:space="0" w:color="auto"/>
                        <w:left w:val="none" w:sz="0" w:space="0" w:color="auto"/>
                        <w:bottom w:val="none" w:sz="0" w:space="0" w:color="auto"/>
                        <w:right w:val="none" w:sz="0" w:space="0" w:color="auto"/>
                      </w:divBdr>
                    </w:div>
                  </w:divsChild>
                </w:div>
                <w:div w:id="80877984">
                  <w:marLeft w:val="0"/>
                  <w:marRight w:val="0"/>
                  <w:marTop w:val="0"/>
                  <w:marBottom w:val="0"/>
                  <w:divBdr>
                    <w:top w:val="none" w:sz="0" w:space="0" w:color="auto"/>
                    <w:left w:val="none" w:sz="0" w:space="0" w:color="auto"/>
                    <w:bottom w:val="none" w:sz="0" w:space="0" w:color="auto"/>
                    <w:right w:val="none" w:sz="0" w:space="0" w:color="auto"/>
                  </w:divBdr>
                  <w:divsChild>
                    <w:div w:id="1622031594">
                      <w:marLeft w:val="0"/>
                      <w:marRight w:val="0"/>
                      <w:marTop w:val="0"/>
                      <w:marBottom w:val="0"/>
                      <w:divBdr>
                        <w:top w:val="none" w:sz="0" w:space="0" w:color="auto"/>
                        <w:left w:val="none" w:sz="0" w:space="0" w:color="auto"/>
                        <w:bottom w:val="none" w:sz="0" w:space="0" w:color="auto"/>
                        <w:right w:val="none" w:sz="0" w:space="0" w:color="auto"/>
                      </w:divBdr>
                    </w:div>
                  </w:divsChild>
                </w:div>
                <w:div w:id="129246929">
                  <w:marLeft w:val="0"/>
                  <w:marRight w:val="0"/>
                  <w:marTop w:val="0"/>
                  <w:marBottom w:val="0"/>
                  <w:divBdr>
                    <w:top w:val="none" w:sz="0" w:space="0" w:color="auto"/>
                    <w:left w:val="none" w:sz="0" w:space="0" w:color="auto"/>
                    <w:bottom w:val="none" w:sz="0" w:space="0" w:color="auto"/>
                    <w:right w:val="none" w:sz="0" w:space="0" w:color="auto"/>
                  </w:divBdr>
                  <w:divsChild>
                    <w:div w:id="1662393913">
                      <w:marLeft w:val="0"/>
                      <w:marRight w:val="0"/>
                      <w:marTop w:val="0"/>
                      <w:marBottom w:val="0"/>
                      <w:divBdr>
                        <w:top w:val="none" w:sz="0" w:space="0" w:color="auto"/>
                        <w:left w:val="none" w:sz="0" w:space="0" w:color="auto"/>
                        <w:bottom w:val="none" w:sz="0" w:space="0" w:color="auto"/>
                        <w:right w:val="none" w:sz="0" w:space="0" w:color="auto"/>
                      </w:divBdr>
                    </w:div>
                  </w:divsChild>
                </w:div>
                <w:div w:id="129640272">
                  <w:marLeft w:val="0"/>
                  <w:marRight w:val="0"/>
                  <w:marTop w:val="0"/>
                  <w:marBottom w:val="0"/>
                  <w:divBdr>
                    <w:top w:val="none" w:sz="0" w:space="0" w:color="auto"/>
                    <w:left w:val="none" w:sz="0" w:space="0" w:color="auto"/>
                    <w:bottom w:val="none" w:sz="0" w:space="0" w:color="auto"/>
                    <w:right w:val="none" w:sz="0" w:space="0" w:color="auto"/>
                  </w:divBdr>
                  <w:divsChild>
                    <w:div w:id="1998338202">
                      <w:marLeft w:val="0"/>
                      <w:marRight w:val="0"/>
                      <w:marTop w:val="0"/>
                      <w:marBottom w:val="0"/>
                      <w:divBdr>
                        <w:top w:val="none" w:sz="0" w:space="0" w:color="auto"/>
                        <w:left w:val="none" w:sz="0" w:space="0" w:color="auto"/>
                        <w:bottom w:val="none" w:sz="0" w:space="0" w:color="auto"/>
                        <w:right w:val="none" w:sz="0" w:space="0" w:color="auto"/>
                      </w:divBdr>
                    </w:div>
                  </w:divsChild>
                </w:div>
                <w:div w:id="173495386">
                  <w:marLeft w:val="0"/>
                  <w:marRight w:val="0"/>
                  <w:marTop w:val="0"/>
                  <w:marBottom w:val="0"/>
                  <w:divBdr>
                    <w:top w:val="none" w:sz="0" w:space="0" w:color="auto"/>
                    <w:left w:val="none" w:sz="0" w:space="0" w:color="auto"/>
                    <w:bottom w:val="none" w:sz="0" w:space="0" w:color="auto"/>
                    <w:right w:val="none" w:sz="0" w:space="0" w:color="auto"/>
                  </w:divBdr>
                  <w:divsChild>
                    <w:div w:id="648754246">
                      <w:marLeft w:val="0"/>
                      <w:marRight w:val="0"/>
                      <w:marTop w:val="0"/>
                      <w:marBottom w:val="0"/>
                      <w:divBdr>
                        <w:top w:val="none" w:sz="0" w:space="0" w:color="auto"/>
                        <w:left w:val="none" w:sz="0" w:space="0" w:color="auto"/>
                        <w:bottom w:val="none" w:sz="0" w:space="0" w:color="auto"/>
                        <w:right w:val="none" w:sz="0" w:space="0" w:color="auto"/>
                      </w:divBdr>
                    </w:div>
                  </w:divsChild>
                </w:div>
                <w:div w:id="212277293">
                  <w:marLeft w:val="0"/>
                  <w:marRight w:val="0"/>
                  <w:marTop w:val="0"/>
                  <w:marBottom w:val="0"/>
                  <w:divBdr>
                    <w:top w:val="none" w:sz="0" w:space="0" w:color="auto"/>
                    <w:left w:val="none" w:sz="0" w:space="0" w:color="auto"/>
                    <w:bottom w:val="none" w:sz="0" w:space="0" w:color="auto"/>
                    <w:right w:val="none" w:sz="0" w:space="0" w:color="auto"/>
                  </w:divBdr>
                  <w:divsChild>
                    <w:div w:id="1575772607">
                      <w:marLeft w:val="0"/>
                      <w:marRight w:val="0"/>
                      <w:marTop w:val="0"/>
                      <w:marBottom w:val="0"/>
                      <w:divBdr>
                        <w:top w:val="none" w:sz="0" w:space="0" w:color="auto"/>
                        <w:left w:val="none" w:sz="0" w:space="0" w:color="auto"/>
                        <w:bottom w:val="none" w:sz="0" w:space="0" w:color="auto"/>
                        <w:right w:val="none" w:sz="0" w:space="0" w:color="auto"/>
                      </w:divBdr>
                    </w:div>
                  </w:divsChild>
                </w:div>
                <w:div w:id="246964737">
                  <w:marLeft w:val="0"/>
                  <w:marRight w:val="0"/>
                  <w:marTop w:val="0"/>
                  <w:marBottom w:val="0"/>
                  <w:divBdr>
                    <w:top w:val="none" w:sz="0" w:space="0" w:color="auto"/>
                    <w:left w:val="none" w:sz="0" w:space="0" w:color="auto"/>
                    <w:bottom w:val="none" w:sz="0" w:space="0" w:color="auto"/>
                    <w:right w:val="none" w:sz="0" w:space="0" w:color="auto"/>
                  </w:divBdr>
                  <w:divsChild>
                    <w:div w:id="94135277">
                      <w:marLeft w:val="0"/>
                      <w:marRight w:val="0"/>
                      <w:marTop w:val="0"/>
                      <w:marBottom w:val="0"/>
                      <w:divBdr>
                        <w:top w:val="none" w:sz="0" w:space="0" w:color="auto"/>
                        <w:left w:val="none" w:sz="0" w:space="0" w:color="auto"/>
                        <w:bottom w:val="none" w:sz="0" w:space="0" w:color="auto"/>
                        <w:right w:val="none" w:sz="0" w:space="0" w:color="auto"/>
                      </w:divBdr>
                    </w:div>
                  </w:divsChild>
                </w:div>
                <w:div w:id="250355407">
                  <w:marLeft w:val="0"/>
                  <w:marRight w:val="0"/>
                  <w:marTop w:val="0"/>
                  <w:marBottom w:val="0"/>
                  <w:divBdr>
                    <w:top w:val="none" w:sz="0" w:space="0" w:color="auto"/>
                    <w:left w:val="none" w:sz="0" w:space="0" w:color="auto"/>
                    <w:bottom w:val="none" w:sz="0" w:space="0" w:color="auto"/>
                    <w:right w:val="none" w:sz="0" w:space="0" w:color="auto"/>
                  </w:divBdr>
                  <w:divsChild>
                    <w:div w:id="1069426094">
                      <w:marLeft w:val="0"/>
                      <w:marRight w:val="0"/>
                      <w:marTop w:val="0"/>
                      <w:marBottom w:val="0"/>
                      <w:divBdr>
                        <w:top w:val="none" w:sz="0" w:space="0" w:color="auto"/>
                        <w:left w:val="none" w:sz="0" w:space="0" w:color="auto"/>
                        <w:bottom w:val="none" w:sz="0" w:space="0" w:color="auto"/>
                        <w:right w:val="none" w:sz="0" w:space="0" w:color="auto"/>
                      </w:divBdr>
                    </w:div>
                  </w:divsChild>
                </w:div>
                <w:div w:id="386075836">
                  <w:marLeft w:val="0"/>
                  <w:marRight w:val="0"/>
                  <w:marTop w:val="0"/>
                  <w:marBottom w:val="0"/>
                  <w:divBdr>
                    <w:top w:val="none" w:sz="0" w:space="0" w:color="auto"/>
                    <w:left w:val="none" w:sz="0" w:space="0" w:color="auto"/>
                    <w:bottom w:val="none" w:sz="0" w:space="0" w:color="auto"/>
                    <w:right w:val="none" w:sz="0" w:space="0" w:color="auto"/>
                  </w:divBdr>
                  <w:divsChild>
                    <w:div w:id="2003506325">
                      <w:marLeft w:val="0"/>
                      <w:marRight w:val="0"/>
                      <w:marTop w:val="0"/>
                      <w:marBottom w:val="0"/>
                      <w:divBdr>
                        <w:top w:val="none" w:sz="0" w:space="0" w:color="auto"/>
                        <w:left w:val="none" w:sz="0" w:space="0" w:color="auto"/>
                        <w:bottom w:val="none" w:sz="0" w:space="0" w:color="auto"/>
                        <w:right w:val="none" w:sz="0" w:space="0" w:color="auto"/>
                      </w:divBdr>
                    </w:div>
                  </w:divsChild>
                </w:div>
                <w:div w:id="389689873">
                  <w:marLeft w:val="0"/>
                  <w:marRight w:val="0"/>
                  <w:marTop w:val="0"/>
                  <w:marBottom w:val="0"/>
                  <w:divBdr>
                    <w:top w:val="none" w:sz="0" w:space="0" w:color="auto"/>
                    <w:left w:val="none" w:sz="0" w:space="0" w:color="auto"/>
                    <w:bottom w:val="none" w:sz="0" w:space="0" w:color="auto"/>
                    <w:right w:val="none" w:sz="0" w:space="0" w:color="auto"/>
                  </w:divBdr>
                  <w:divsChild>
                    <w:div w:id="20209971">
                      <w:marLeft w:val="0"/>
                      <w:marRight w:val="0"/>
                      <w:marTop w:val="0"/>
                      <w:marBottom w:val="0"/>
                      <w:divBdr>
                        <w:top w:val="none" w:sz="0" w:space="0" w:color="auto"/>
                        <w:left w:val="none" w:sz="0" w:space="0" w:color="auto"/>
                        <w:bottom w:val="none" w:sz="0" w:space="0" w:color="auto"/>
                        <w:right w:val="none" w:sz="0" w:space="0" w:color="auto"/>
                      </w:divBdr>
                    </w:div>
                  </w:divsChild>
                </w:div>
                <w:div w:id="569581063">
                  <w:marLeft w:val="0"/>
                  <w:marRight w:val="0"/>
                  <w:marTop w:val="0"/>
                  <w:marBottom w:val="0"/>
                  <w:divBdr>
                    <w:top w:val="none" w:sz="0" w:space="0" w:color="auto"/>
                    <w:left w:val="none" w:sz="0" w:space="0" w:color="auto"/>
                    <w:bottom w:val="none" w:sz="0" w:space="0" w:color="auto"/>
                    <w:right w:val="none" w:sz="0" w:space="0" w:color="auto"/>
                  </w:divBdr>
                  <w:divsChild>
                    <w:div w:id="1518353426">
                      <w:marLeft w:val="0"/>
                      <w:marRight w:val="0"/>
                      <w:marTop w:val="0"/>
                      <w:marBottom w:val="0"/>
                      <w:divBdr>
                        <w:top w:val="none" w:sz="0" w:space="0" w:color="auto"/>
                        <w:left w:val="none" w:sz="0" w:space="0" w:color="auto"/>
                        <w:bottom w:val="none" w:sz="0" w:space="0" w:color="auto"/>
                        <w:right w:val="none" w:sz="0" w:space="0" w:color="auto"/>
                      </w:divBdr>
                    </w:div>
                  </w:divsChild>
                </w:div>
                <w:div w:id="590896099">
                  <w:marLeft w:val="0"/>
                  <w:marRight w:val="0"/>
                  <w:marTop w:val="0"/>
                  <w:marBottom w:val="0"/>
                  <w:divBdr>
                    <w:top w:val="none" w:sz="0" w:space="0" w:color="auto"/>
                    <w:left w:val="none" w:sz="0" w:space="0" w:color="auto"/>
                    <w:bottom w:val="none" w:sz="0" w:space="0" w:color="auto"/>
                    <w:right w:val="none" w:sz="0" w:space="0" w:color="auto"/>
                  </w:divBdr>
                  <w:divsChild>
                    <w:div w:id="1188444271">
                      <w:marLeft w:val="0"/>
                      <w:marRight w:val="0"/>
                      <w:marTop w:val="0"/>
                      <w:marBottom w:val="0"/>
                      <w:divBdr>
                        <w:top w:val="none" w:sz="0" w:space="0" w:color="auto"/>
                        <w:left w:val="none" w:sz="0" w:space="0" w:color="auto"/>
                        <w:bottom w:val="none" w:sz="0" w:space="0" w:color="auto"/>
                        <w:right w:val="none" w:sz="0" w:space="0" w:color="auto"/>
                      </w:divBdr>
                    </w:div>
                  </w:divsChild>
                </w:div>
                <w:div w:id="705521930">
                  <w:marLeft w:val="0"/>
                  <w:marRight w:val="0"/>
                  <w:marTop w:val="0"/>
                  <w:marBottom w:val="0"/>
                  <w:divBdr>
                    <w:top w:val="none" w:sz="0" w:space="0" w:color="auto"/>
                    <w:left w:val="none" w:sz="0" w:space="0" w:color="auto"/>
                    <w:bottom w:val="none" w:sz="0" w:space="0" w:color="auto"/>
                    <w:right w:val="none" w:sz="0" w:space="0" w:color="auto"/>
                  </w:divBdr>
                  <w:divsChild>
                    <w:div w:id="284894181">
                      <w:marLeft w:val="0"/>
                      <w:marRight w:val="0"/>
                      <w:marTop w:val="0"/>
                      <w:marBottom w:val="0"/>
                      <w:divBdr>
                        <w:top w:val="none" w:sz="0" w:space="0" w:color="auto"/>
                        <w:left w:val="none" w:sz="0" w:space="0" w:color="auto"/>
                        <w:bottom w:val="none" w:sz="0" w:space="0" w:color="auto"/>
                        <w:right w:val="none" w:sz="0" w:space="0" w:color="auto"/>
                      </w:divBdr>
                    </w:div>
                  </w:divsChild>
                </w:div>
                <w:div w:id="742797830">
                  <w:marLeft w:val="0"/>
                  <w:marRight w:val="0"/>
                  <w:marTop w:val="0"/>
                  <w:marBottom w:val="0"/>
                  <w:divBdr>
                    <w:top w:val="none" w:sz="0" w:space="0" w:color="auto"/>
                    <w:left w:val="none" w:sz="0" w:space="0" w:color="auto"/>
                    <w:bottom w:val="none" w:sz="0" w:space="0" w:color="auto"/>
                    <w:right w:val="none" w:sz="0" w:space="0" w:color="auto"/>
                  </w:divBdr>
                  <w:divsChild>
                    <w:div w:id="158008072">
                      <w:marLeft w:val="0"/>
                      <w:marRight w:val="0"/>
                      <w:marTop w:val="0"/>
                      <w:marBottom w:val="0"/>
                      <w:divBdr>
                        <w:top w:val="none" w:sz="0" w:space="0" w:color="auto"/>
                        <w:left w:val="none" w:sz="0" w:space="0" w:color="auto"/>
                        <w:bottom w:val="none" w:sz="0" w:space="0" w:color="auto"/>
                        <w:right w:val="none" w:sz="0" w:space="0" w:color="auto"/>
                      </w:divBdr>
                    </w:div>
                    <w:div w:id="1466314953">
                      <w:marLeft w:val="0"/>
                      <w:marRight w:val="0"/>
                      <w:marTop w:val="0"/>
                      <w:marBottom w:val="0"/>
                      <w:divBdr>
                        <w:top w:val="none" w:sz="0" w:space="0" w:color="auto"/>
                        <w:left w:val="none" w:sz="0" w:space="0" w:color="auto"/>
                        <w:bottom w:val="none" w:sz="0" w:space="0" w:color="auto"/>
                        <w:right w:val="none" w:sz="0" w:space="0" w:color="auto"/>
                      </w:divBdr>
                    </w:div>
                  </w:divsChild>
                </w:div>
                <w:div w:id="781537046">
                  <w:marLeft w:val="0"/>
                  <w:marRight w:val="0"/>
                  <w:marTop w:val="0"/>
                  <w:marBottom w:val="0"/>
                  <w:divBdr>
                    <w:top w:val="none" w:sz="0" w:space="0" w:color="auto"/>
                    <w:left w:val="none" w:sz="0" w:space="0" w:color="auto"/>
                    <w:bottom w:val="none" w:sz="0" w:space="0" w:color="auto"/>
                    <w:right w:val="none" w:sz="0" w:space="0" w:color="auto"/>
                  </w:divBdr>
                  <w:divsChild>
                    <w:div w:id="859507812">
                      <w:marLeft w:val="0"/>
                      <w:marRight w:val="0"/>
                      <w:marTop w:val="0"/>
                      <w:marBottom w:val="0"/>
                      <w:divBdr>
                        <w:top w:val="none" w:sz="0" w:space="0" w:color="auto"/>
                        <w:left w:val="none" w:sz="0" w:space="0" w:color="auto"/>
                        <w:bottom w:val="none" w:sz="0" w:space="0" w:color="auto"/>
                        <w:right w:val="none" w:sz="0" w:space="0" w:color="auto"/>
                      </w:divBdr>
                    </w:div>
                    <w:div w:id="1716387861">
                      <w:marLeft w:val="0"/>
                      <w:marRight w:val="0"/>
                      <w:marTop w:val="0"/>
                      <w:marBottom w:val="0"/>
                      <w:divBdr>
                        <w:top w:val="none" w:sz="0" w:space="0" w:color="auto"/>
                        <w:left w:val="none" w:sz="0" w:space="0" w:color="auto"/>
                        <w:bottom w:val="none" w:sz="0" w:space="0" w:color="auto"/>
                        <w:right w:val="none" w:sz="0" w:space="0" w:color="auto"/>
                      </w:divBdr>
                    </w:div>
                  </w:divsChild>
                </w:div>
                <w:div w:id="824393439">
                  <w:marLeft w:val="0"/>
                  <w:marRight w:val="0"/>
                  <w:marTop w:val="0"/>
                  <w:marBottom w:val="0"/>
                  <w:divBdr>
                    <w:top w:val="none" w:sz="0" w:space="0" w:color="auto"/>
                    <w:left w:val="none" w:sz="0" w:space="0" w:color="auto"/>
                    <w:bottom w:val="none" w:sz="0" w:space="0" w:color="auto"/>
                    <w:right w:val="none" w:sz="0" w:space="0" w:color="auto"/>
                  </w:divBdr>
                  <w:divsChild>
                    <w:div w:id="691347790">
                      <w:marLeft w:val="0"/>
                      <w:marRight w:val="0"/>
                      <w:marTop w:val="0"/>
                      <w:marBottom w:val="0"/>
                      <w:divBdr>
                        <w:top w:val="none" w:sz="0" w:space="0" w:color="auto"/>
                        <w:left w:val="none" w:sz="0" w:space="0" w:color="auto"/>
                        <w:bottom w:val="none" w:sz="0" w:space="0" w:color="auto"/>
                        <w:right w:val="none" w:sz="0" w:space="0" w:color="auto"/>
                      </w:divBdr>
                    </w:div>
                  </w:divsChild>
                </w:div>
                <w:div w:id="1131434322">
                  <w:marLeft w:val="0"/>
                  <w:marRight w:val="0"/>
                  <w:marTop w:val="0"/>
                  <w:marBottom w:val="0"/>
                  <w:divBdr>
                    <w:top w:val="none" w:sz="0" w:space="0" w:color="auto"/>
                    <w:left w:val="none" w:sz="0" w:space="0" w:color="auto"/>
                    <w:bottom w:val="none" w:sz="0" w:space="0" w:color="auto"/>
                    <w:right w:val="none" w:sz="0" w:space="0" w:color="auto"/>
                  </w:divBdr>
                  <w:divsChild>
                    <w:div w:id="1271426411">
                      <w:marLeft w:val="0"/>
                      <w:marRight w:val="0"/>
                      <w:marTop w:val="0"/>
                      <w:marBottom w:val="0"/>
                      <w:divBdr>
                        <w:top w:val="none" w:sz="0" w:space="0" w:color="auto"/>
                        <w:left w:val="none" w:sz="0" w:space="0" w:color="auto"/>
                        <w:bottom w:val="none" w:sz="0" w:space="0" w:color="auto"/>
                        <w:right w:val="none" w:sz="0" w:space="0" w:color="auto"/>
                      </w:divBdr>
                    </w:div>
                    <w:div w:id="1611274911">
                      <w:marLeft w:val="0"/>
                      <w:marRight w:val="0"/>
                      <w:marTop w:val="0"/>
                      <w:marBottom w:val="0"/>
                      <w:divBdr>
                        <w:top w:val="none" w:sz="0" w:space="0" w:color="auto"/>
                        <w:left w:val="none" w:sz="0" w:space="0" w:color="auto"/>
                        <w:bottom w:val="none" w:sz="0" w:space="0" w:color="auto"/>
                        <w:right w:val="none" w:sz="0" w:space="0" w:color="auto"/>
                      </w:divBdr>
                    </w:div>
                  </w:divsChild>
                </w:div>
                <w:div w:id="1171525691">
                  <w:marLeft w:val="0"/>
                  <w:marRight w:val="0"/>
                  <w:marTop w:val="0"/>
                  <w:marBottom w:val="0"/>
                  <w:divBdr>
                    <w:top w:val="none" w:sz="0" w:space="0" w:color="auto"/>
                    <w:left w:val="none" w:sz="0" w:space="0" w:color="auto"/>
                    <w:bottom w:val="none" w:sz="0" w:space="0" w:color="auto"/>
                    <w:right w:val="none" w:sz="0" w:space="0" w:color="auto"/>
                  </w:divBdr>
                  <w:divsChild>
                    <w:div w:id="442770383">
                      <w:marLeft w:val="0"/>
                      <w:marRight w:val="0"/>
                      <w:marTop w:val="0"/>
                      <w:marBottom w:val="0"/>
                      <w:divBdr>
                        <w:top w:val="none" w:sz="0" w:space="0" w:color="auto"/>
                        <w:left w:val="none" w:sz="0" w:space="0" w:color="auto"/>
                        <w:bottom w:val="none" w:sz="0" w:space="0" w:color="auto"/>
                        <w:right w:val="none" w:sz="0" w:space="0" w:color="auto"/>
                      </w:divBdr>
                    </w:div>
                  </w:divsChild>
                </w:div>
                <w:div w:id="1314717819">
                  <w:marLeft w:val="0"/>
                  <w:marRight w:val="0"/>
                  <w:marTop w:val="0"/>
                  <w:marBottom w:val="0"/>
                  <w:divBdr>
                    <w:top w:val="none" w:sz="0" w:space="0" w:color="auto"/>
                    <w:left w:val="none" w:sz="0" w:space="0" w:color="auto"/>
                    <w:bottom w:val="none" w:sz="0" w:space="0" w:color="auto"/>
                    <w:right w:val="none" w:sz="0" w:space="0" w:color="auto"/>
                  </w:divBdr>
                  <w:divsChild>
                    <w:div w:id="380907485">
                      <w:marLeft w:val="0"/>
                      <w:marRight w:val="0"/>
                      <w:marTop w:val="0"/>
                      <w:marBottom w:val="0"/>
                      <w:divBdr>
                        <w:top w:val="none" w:sz="0" w:space="0" w:color="auto"/>
                        <w:left w:val="none" w:sz="0" w:space="0" w:color="auto"/>
                        <w:bottom w:val="none" w:sz="0" w:space="0" w:color="auto"/>
                        <w:right w:val="none" w:sz="0" w:space="0" w:color="auto"/>
                      </w:divBdr>
                    </w:div>
                  </w:divsChild>
                </w:div>
                <w:div w:id="1383097523">
                  <w:marLeft w:val="0"/>
                  <w:marRight w:val="0"/>
                  <w:marTop w:val="0"/>
                  <w:marBottom w:val="0"/>
                  <w:divBdr>
                    <w:top w:val="none" w:sz="0" w:space="0" w:color="auto"/>
                    <w:left w:val="none" w:sz="0" w:space="0" w:color="auto"/>
                    <w:bottom w:val="none" w:sz="0" w:space="0" w:color="auto"/>
                    <w:right w:val="none" w:sz="0" w:space="0" w:color="auto"/>
                  </w:divBdr>
                  <w:divsChild>
                    <w:div w:id="215775182">
                      <w:marLeft w:val="0"/>
                      <w:marRight w:val="0"/>
                      <w:marTop w:val="0"/>
                      <w:marBottom w:val="0"/>
                      <w:divBdr>
                        <w:top w:val="none" w:sz="0" w:space="0" w:color="auto"/>
                        <w:left w:val="none" w:sz="0" w:space="0" w:color="auto"/>
                        <w:bottom w:val="none" w:sz="0" w:space="0" w:color="auto"/>
                        <w:right w:val="none" w:sz="0" w:space="0" w:color="auto"/>
                      </w:divBdr>
                    </w:div>
                  </w:divsChild>
                </w:div>
                <w:div w:id="1446117851">
                  <w:marLeft w:val="0"/>
                  <w:marRight w:val="0"/>
                  <w:marTop w:val="0"/>
                  <w:marBottom w:val="0"/>
                  <w:divBdr>
                    <w:top w:val="none" w:sz="0" w:space="0" w:color="auto"/>
                    <w:left w:val="none" w:sz="0" w:space="0" w:color="auto"/>
                    <w:bottom w:val="none" w:sz="0" w:space="0" w:color="auto"/>
                    <w:right w:val="none" w:sz="0" w:space="0" w:color="auto"/>
                  </w:divBdr>
                  <w:divsChild>
                    <w:div w:id="89473588">
                      <w:marLeft w:val="0"/>
                      <w:marRight w:val="0"/>
                      <w:marTop w:val="0"/>
                      <w:marBottom w:val="0"/>
                      <w:divBdr>
                        <w:top w:val="none" w:sz="0" w:space="0" w:color="auto"/>
                        <w:left w:val="none" w:sz="0" w:space="0" w:color="auto"/>
                        <w:bottom w:val="none" w:sz="0" w:space="0" w:color="auto"/>
                        <w:right w:val="none" w:sz="0" w:space="0" w:color="auto"/>
                      </w:divBdr>
                    </w:div>
                    <w:div w:id="1746413344">
                      <w:marLeft w:val="0"/>
                      <w:marRight w:val="0"/>
                      <w:marTop w:val="0"/>
                      <w:marBottom w:val="0"/>
                      <w:divBdr>
                        <w:top w:val="none" w:sz="0" w:space="0" w:color="auto"/>
                        <w:left w:val="none" w:sz="0" w:space="0" w:color="auto"/>
                        <w:bottom w:val="none" w:sz="0" w:space="0" w:color="auto"/>
                        <w:right w:val="none" w:sz="0" w:space="0" w:color="auto"/>
                      </w:divBdr>
                    </w:div>
                  </w:divsChild>
                </w:div>
                <w:div w:id="1496412036">
                  <w:marLeft w:val="0"/>
                  <w:marRight w:val="0"/>
                  <w:marTop w:val="0"/>
                  <w:marBottom w:val="0"/>
                  <w:divBdr>
                    <w:top w:val="none" w:sz="0" w:space="0" w:color="auto"/>
                    <w:left w:val="none" w:sz="0" w:space="0" w:color="auto"/>
                    <w:bottom w:val="none" w:sz="0" w:space="0" w:color="auto"/>
                    <w:right w:val="none" w:sz="0" w:space="0" w:color="auto"/>
                  </w:divBdr>
                  <w:divsChild>
                    <w:div w:id="722946909">
                      <w:marLeft w:val="0"/>
                      <w:marRight w:val="0"/>
                      <w:marTop w:val="0"/>
                      <w:marBottom w:val="0"/>
                      <w:divBdr>
                        <w:top w:val="none" w:sz="0" w:space="0" w:color="auto"/>
                        <w:left w:val="none" w:sz="0" w:space="0" w:color="auto"/>
                        <w:bottom w:val="none" w:sz="0" w:space="0" w:color="auto"/>
                        <w:right w:val="none" w:sz="0" w:space="0" w:color="auto"/>
                      </w:divBdr>
                    </w:div>
                  </w:divsChild>
                </w:div>
                <w:div w:id="1507285913">
                  <w:marLeft w:val="0"/>
                  <w:marRight w:val="0"/>
                  <w:marTop w:val="0"/>
                  <w:marBottom w:val="0"/>
                  <w:divBdr>
                    <w:top w:val="none" w:sz="0" w:space="0" w:color="auto"/>
                    <w:left w:val="none" w:sz="0" w:space="0" w:color="auto"/>
                    <w:bottom w:val="none" w:sz="0" w:space="0" w:color="auto"/>
                    <w:right w:val="none" w:sz="0" w:space="0" w:color="auto"/>
                  </w:divBdr>
                  <w:divsChild>
                    <w:div w:id="1271935952">
                      <w:marLeft w:val="0"/>
                      <w:marRight w:val="0"/>
                      <w:marTop w:val="0"/>
                      <w:marBottom w:val="0"/>
                      <w:divBdr>
                        <w:top w:val="none" w:sz="0" w:space="0" w:color="auto"/>
                        <w:left w:val="none" w:sz="0" w:space="0" w:color="auto"/>
                        <w:bottom w:val="none" w:sz="0" w:space="0" w:color="auto"/>
                        <w:right w:val="none" w:sz="0" w:space="0" w:color="auto"/>
                      </w:divBdr>
                    </w:div>
                  </w:divsChild>
                </w:div>
                <w:div w:id="1509711427">
                  <w:marLeft w:val="0"/>
                  <w:marRight w:val="0"/>
                  <w:marTop w:val="0"/>
                  <w:marBottom w:val="0"/>
                  <w:divBdr>
                    <w:top w:val="none" w:sz="0" w:space="0" w:color="auto"/>
                    <w:left w:val="none" w:sz="0" w:space="0" w:color="auto"/>
                    <w:bottom w:val="none" w:sz="0" w:space="0" w:color="auto"/>
                    <w:right w:val="none" w:sz="0" w:space="0" w:color="auto"/>
                  </w:divBdr>
                  <w:divsChild>
                    <w:div w:id="1165897954">
                      <w:marLeft w:val="0"/>
                      <w:marRight w:val="0"/>
                      <w:marTop w:val="0"/>
                      <w:marBottom w:val="0"/>
                      <w:divBdr>
                        <w:top w:val="none" w:sz="0" w:space="0" w:color="auto"/>
                        <w:left w:val="none" w:sz="0" w:space="0" w:color="auto"/>
                        <w:bottom w:val="none" w:sz="0" w:space="0" w:color="auto"/>
                        <w:right w:val="none" w:sz="0" w:space="0" w:color="auto"/>
                      </w:divBdr>
                    </w:div>
                  </w:divsChild>
                </w:div>
                <w:div w:id="1611931162">
                  <w:marLeft w:val="0"/>
                  <w:marRight w:val="0"/>
                  <w:marTop w:val="0"/>
                  <w:marBottom w:val="0"/>
                  <w:divBdr>
                    <w:top w:val="none" w:sz="0" w:space="0" w:color="auto"/>
                    <w:left w:val="none" w:sz="0" w:space="0" w:color="auto"/>
                    <w:bottom w:val="none" w:sz="0" w:space="0" w:color="auto"/>
                    <w:right w:val="none" w:sz="0" w:space="0" w:color="auto"/>
                  </w:divBdr>
                  <w:divsChild>
                    <w:div w:id="299924343">
                      <w:marLeft w:val="0"/>
                      <w:marRight w:val="0"/>
                      <w:marTop w:val="0"/>
                      <w:marBottom w:val="0"/>
                      <w:divBdr>
                        <w:top w:val="none" w:sz="0" w:space="0" w:color="auto"/>
                        <w:left w:val="none" w:sz="0" w:space="0" w:color="auto"/>
                        <w:bottom w:val="none" w:sz="0" w:space="0" w:color="auto"/>
                        <w:right w:val="none" w:sz="0" w:space="0" w:color="auto"/>
                      </w:divBdr>
                    </w:div>
                    <w:div w:id="856577042">
                      <w:marLeft w:val="0"/>
                      <w:marRight w:val="0"/>
                      <w:marTop w:val="0"/>
                      <w:marBottom w:val="0"/>
                      <w:divBdr>
                        <w:top w:val="none" w:sz="0" w:space="0" w:color="auto"/>
                        <w:left w:val="none" w:sz="0" w:space="0" w:color="auto"/>
                        <w:bottom w:val="none" w:sz="0" w:space="0" w:color="auto"/>
                        <w:right w:val="none" w:sz="0" w:space="0" w:color="auto"/>
                      </w:divBdr>
                    </w:div>
                  </w:divsChild>
                </w:div>
                <w:div w:id="1867055362">
                  <w:marLeft w:val="0"/>
                  <w:marRight w:val="0"/>
                  <w:marTop w:val="0"/>
                  <w:marBottom w:val="0"/>
                  <w:divBdr>
                    <w:top w:val="none" w:sz="0" w:space="0" w:color="auto"/>
                    <w:left w:val="none" w:sz="0" w:space="0" w:color="auto"/>
                    <w:bottom w:val="none" w:sz="0" w:space="0" w:color="auto"/>
                    <w:right w:val="none" w:sz="0" w:space="0" w:color="auto"/>
                  </w:divBdr>
                  <w:divsChild>
                    <w:div w:id="982468896">
                      <w:marLeft w:val="0"/>
                      <w:marRight w:val="0"/>
                      <w:marTop w:val="0"/>
                      <w:marBottom w:val="0"/>
                      <w:divBdr>
                        <w:top w:val="none" w:sz="0" w:space="0" w:color="auto"/>
                        <w:left w:val="none" w:sz="0" w:space="0" w:color="auto"/>
                        <w:bottom w:val="none" w:sz="0" w:space="0" w:color="auto"/>
                        <w:right w:val="none" w:sz="0" w:space="0" w:color="auto"/>
                      </w:divBdr>
                    </w:div>
                  </w:divsChild>
                </w:div>
                <w:div w:id="1913658895">
                  <w:marLeft w:val="0"/>
                  <w:marRight w:val="0"/>
                  <w:marTop w:val="0"/>
                  <w:marBottom w:val="0"/>
                  <w:divBdr>
                    <w:top w:val="none" w:sz="0" w:space="0" w:color="auto"/>
                    <w:left w:val="none" w:sz="0" w:space="0" w:color="auto"/>
                    <w:bottom w:val="none" w:sz="0" w:space="0" w:color="auto"/>
                    <w:right w:val="none" w:sz="0" w:space="0" w:color="auto"/>
                  </w:divBdr>
                  <w:divsChild>
                    <w:div w:id="295913063">
                      <w:marLeft w:val="0"/>
                      <w:marRight w:val="0"/>
                      <w:marTop w:val="0"/>
                      <w:marBottom w:val="0"/>
                      <w:divBdr>
                        <w:top w:val="none" w:sz="0" w:space="0" w:color="auto"/>
                        <w:left w:val="none" w:sz="0" w:space="0" w:color="auto"/>
                        <w:bottom w:val="none" w:sz="0" w:space="0" w:color="auto"/>
                        <w:right w:val="none" w:sz="0" w:space="0" w:color="auto"/>
                      </w:divBdr>
                    </w:div>
                  </w:divsChild>
                </w:div>
                <w:div w:id="1973289010">
                  <w:marLeft w:val="0"/>
                  <w:marRight w:val="0"/>
                  <w:marTop w:val="0"/>
                  <w:marBottom w:val="0"/>
                  <w:divBdr>
                    <w:top w:val="none" w:sz="0" w:space="0" w:color="auto"/>
                    <w:left w:val="none" w:sz="0" w:space="0" w:color="auto"/>
                    <w:bottom w:val="none" w:sz="0" w:space="0" w:color="auto"/>
                    <w:right w:val="none" w:sz="0" w:space="0" w:color="auto"/>
                  </w:divBdr>
                  <w:divsChild>
                    <w:div w:id="836042898">
                      <w:marLeft w:val="0"/>
                      <w:marRight w:val="0"/>
                      <w:marTop w:val="0"/>
                      <w:marBottom w:val="0"/>
                      <w:divBdr>
                        <w:top w:val="none" w:sz="0" w:space="0" w:color="auto"/>
                        <w:left w:val="none" w:sz="0" w:space="0" w:color="auto"/>
                        <w:bottom w:val="none" w:sz="0" w:space="0" w:color="auto"/>
                        <w:right w:val="none" w:sz="0" w:space="0" w:color="auto"/>
                      </w:divBdr>
                    </w:div>
                  </w:divsChild>
                </w:div>
                <w:div w:id="2110931541">
                  <w:marLeft w:val="0"/>
                  <w:marRight w:val="0"/>
                  <w:marTop w:val="0"/>
                  <w:marBottom w:val="0"/>
                  <w:divBdr>
                    <w:top w:val="none" w:sz="0" w:space="0" w:color="auto"/>
                    <w:left w:val="none" w:sz="0" w:space="0" w:color="auto"/>
                    <w:bottom w:val="none" w:sz="0" w:space="0" w:color="auto"/>
                    <w:right w:val="none" w:sz="0" w:space="0" w:color="auto"/>
                  </w:divBdr>
                  <w:divsChild>
                    <w:div w:id="77949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46999">
          <w:marLeft w:val="0"/>
          <w:marRight w:val="0"/>
          <w:marTop w:val="0"/>
          <w:marBottom w:val="0"/>
          <w:divBdr>
            <w:top w:val="none" w:sz="0" w:space="0" w:color="auto"/>
            <w:left w:val="none" w:sz="0" w:space="0" w:color="auto"/>
            <w:bottom w:val="none" w:sz="0" w:space="0" w:color="auto"/>
            <w:right w:val="none" w:sz="0" w:space="0" w:color="auto"/>
          </w:divBdr>
        </w:div>
        <w:div w:id="1129661630">
          <w:marLeft w:val="0"/>
          <w:marRight w:val="0"/>
          <w:marTop w:val="0"/>
          <w:marBottom w:val="0"/>
          <w:divBdr>
            <w:top w:val="none" w:sz="0" w:space="0" w:color="auto"/>
            <w:left w:val="none" w:sz="0" w:space="0" w:color="auto"/>
            <w:bottom w:val="none" w:sz="0" w:space="0" w:color="auto"/>
            <w:right w:val="none" w:sz="0" w:space="0" w:color="auto"/>
          </w:divBdr>
          <w:divsChild>
            <w:div w:id="425686869">
              <w:marLeft w:val="0"/>
              <w:marRight w:val="0"/>
              <w:marTop w:val="0"/>
              <w:marBottom w:val="0"/>
              <w:divBdr>
                <w:top w:val="none" w:sz="0" w:space="0" w:color="auto"/>
                <w:left w:val="none" w:sz="0" w:space="0" w:color="auto"/>
                <w:bottom w:val="none" w:sz="0" w:space="0" w:color="auto"/>
                <w:right w:val="none" w:sz="0" w:space="0" w:color="auto"/>
              </w:divBdr>
            </w:div>
            <w:div w:id="560097773">
              <w:marLeft w:val="0"/>
              <w:marRight w:val="0"/>
              <w:marTop w:val="0"/>
              <w:marBottom w:val="0"/>
              <w:divBdr>
                <w:top w:val="none" w:sz="0" w:space="0" w:color="auto"/>
                <w:left w:val="none" w:sz="0" w:space="0" w:color="auto"/>
                <w:bottom w:val="none" w:sz="0" w:space="0" w:color="auto"/>
                <w:right w:val="none" w:sz="0" w:space="0" w:color="auto"/>
              </w:divBdr>
            </w:div>
            <w:div w:id="1152210685">
              <w:marLeft w:val="0"/>
              <w:marRight w:val="0"/>
              <w:marTop w:val="0"/>
              <w:marBottom w:val="0"/>
              <w:divBdr>
                <w:top w:val="none" w:sz="0" w:space="0" w:color="auto"/>
                <w:left w:val="none" w:sz="0" w:space="0" w:color="auto"/>
                <w:bottom w:val="none" w:sz="0" w:space="0" w:color="auto"/>
                <w:right w:val="none" w:sz="0" w:space="0" w:color="auto"/>
              </w:divBdr>
            </w:div>
          </w:divsChild>
        </w:div>
        <w:div w:id="1193570791">
          <w:marLeft w:val="0"/>
          <w:marRight w:val="0"/>
          <w:marTop w:val="0"/>
          <w:marBottom w:val="0"/>
          <w:divBdr>
            <w:top w:val="none" w:sz="0" w:space="0" w:color="auto"/>
            <w:left w:val="none" w:sz="0" w:space="0" w:color="auto"/>
            <w:bottom w:val="none" w:sz="0" w:space="0" w:color="auto"/>
            <w:right w:val="none" w:sz="0" w:space="0" w:color="auto"/>
          </w:divBdr>
        </w:div>
        <w:div w:id="1200509449">
          <w:marLeft w:val="0"/>
          <w:marRight w:val="0"/>
          <w:marTop w:val="0"/>
          <w:marBottom w:val="0"/>
          <w:divBdr>
            <w:top w:val="none" w:sz="0" w:space="0" w:color="auto"/>
            <w:left w:val="none" w:sz="0" w:space="0" w:color="auto"/>
            <w:bottom w:val="none" w:sz="0" w:space="0" w:color="auto"/>
            <w:right w:val="none" w:sz="0" w:space="0" w:color="auto"/>
          </w:divBdr>
        </w:div>
        <w:div w:id="1206134923">
          <w:marLeft w:val="0"/>
          <w:marRight w:val="0"/>
          <w:marTop w:val="0"/>
          <w:marBottom w:val="0"/>
          <w:divBdr>
            <w:top w:val="none" w:sz="0" w:space="0" w:color="auto"/>
            <w:left w:val="none" w:sz="0" w:space="0" w:color="auto"/>
            <w:bottom w:val="none" w:sz="0" w:space="0" w:color="auto"/>
            <w:right w:val="none" w:sz="0" w:space="0" w:color="auto"/>
          </w:divBdr>
          <w:divsChild>
            <w:div w:id="807624582">
              <w:marLeft w:val="0"/>
              <w:marRight w:val="0"/>
              <w:marTop w:val="0"/>
              <w:marBottom w:val="0"/>
              <w:divBdr>
                <w:top w:val="none" w:sz="0" w:space="0" w:color="auto"/>
                <w:left w:val="none" w:sz="0" w:space="0" w:color="auto"/>
                <w:bottom w:val="none" w:sz="0" w:space="0" w:color="auto"/>
                <w:right w:val="none" w:sz="0" w:space="0" w:color="auto"/>
              </w:divBdr>
            </w:div>
            <w:div w:id="888421550">
              <w:marLeft w:val="0"/>
              <w:marRight w:val="0"/>
              <w:marTop w:val="0"/>
              <w:marBottom w:val="0"/>
              <w:divBdr>
                <w:top w:val="none" w:sz="0" w:space="0" w:color="auto"/>
                <w:left w:val="none" w:sz="0" w:space="0" w:color="auto"/>
                <w:bottom w:val="none" w:sz="0" w:space="0" w:color="auto"/>
                <w:right w:val="none" w:sz="0" w:space="0" w:color="auto"/>
              </w:divBdr>
            </w:div>
            <w:div w:id="1197236020">
              <w:marLeft w:val="0"/>
              <w:marRight w:val="0"/>
              <w:marTop w:val="0"/>
              <w:marBottom w:val="0"/>
              <w:divBdr>
                <w:top w:val="none" w:sz="0" w:space="0" w:color="auto"/>
                <w:left w:val="none" w:sz="0" w:space="0" w:color="auto"/>
                <w:bottom w:val="none" w:sz="0" w:space="0" w:color="auto"/>
                <w:right w:val="none" w:sz="0" w:space="0" w:color="auto"/>
              </w:divBdr>
            </w:div>
            <w:div w:id="1207256174">
              <w:marLeft w:val="0"/>
              <w:marRight w:val="0"/>
              <w:marTop w:val="0"/>
              <w:marBottom w:val="0"/>
              <w:divBdr>
                <w:top w:val="none" w:sz="0" w:space="0" w:color="auto"/>
                <w:left w:val="none" w:sz="0" w:space="0" w:color="auto"/>
                <w:bottom w:val="none" w:sz="0" w:space="0" w:color="auto"/>
                <w:right w:val="none" w:sz="0" w:space="0" w:color="auto"/>
              </w:divBdr>
            </w:div>
          </w:divsChild>
        </w:div>
        <w:div w:id="1209948265">
          <w:marLeft w:val="0"/>
          <w:marRight w:val="0"/>
          <w:marTop w:val="0"/>
          <w:marBottom w:val="0"/>
          <w:divBdr>
            <w:top w:val="none" w:sz="0" w:space="0" w:color="auto"/>
            <w:left w:val="none" w:sz="0" w:space="0" w:color="auto"/>
            <w:bottom w:val="none" w:sz="0" w:space="0" w:color="auto"/>
            <w:right w:val="none" w:sz="0" w:space="0" w:color="auto"/>
          </w:divBdr>
        </w:div>
        <w:div w:id="1269775837">
          <w:marLeft w:val="0"/>
          <w:marRight w:val="0"/>
          <w:marTop w:val="0"/>
          <w:marBottom w:val="0"/>
          <w:divBdr>
            <w:top w:val="none" w:sz="0" w:space="0" w:color="auto"/>
            <w:left w:val="none" w:sz="0" w:space="0" w:color="auto"/>
            <w:bottom w:val="none" w:sz="0" w:space="0" w:color="auto"/>
            <w:right w:val="none" w:sz="0" w:space="0" w:color="auto"/>
          </w:divBdr>
        </w:div>
        <w:div w:id="1287194922">
          <w:marLeft w:val="0"/>
          <w:marRight w:val="0"/>
          <w:marTop w:val="0"/>
          <w:marBottom w:val="0"/>
          <w:divBdr>
            <w:top w:val="none" w:sz="0" w:space="0" w:color="auto"/>
            <w:left w:val="none" w:sz="0" w:space="0" w:color="auto"/>
            <w:bottom w:val="none" w:sz="0" w:space="0" w:color="auto"/>
            <w:right w:val="none" w:sz="0" w:space="0" w:color="auto"/>
          </w:divBdr>
        </w:div>
        <w:div w:id="1377386769">
          <w:marLeft w:val="0"/>
          <w:marRight w:val="0"/>
          <w:marTop w:val="0"/>
          <w:marBottom w:val="0"/>
          <w:divBdr>
            <w:top w:val="none" w:sz="0" w:space="0" w:color="auto"/>
            <w:left w:val="none" w:sz="0" w:space="0" w:color="auto"/>
            <w:bottom w:val="none" w:sz="0" w:space="0" w:color="auto"/>
            <w:right w:val="none" w:sz="0" w:space="0" w:color="auto"/>
          </w:divBdr>
        </w:div>
        <w:div w:id="1454792204">
          <w:marLeft w:val="0"/>
          <w:marRight w:val="0"/>
          <w:marTop w:val="0"/>
          <w:marBottom w:val="0"/>
          <w:divBdr>
            <w:top w:val="none" w:sz="0" w:space="0" w:color="auto"/>
            <w:left w:val="none" w:sz="0" w:space="0" w:color="auto"/>
            <w:bottom w:val="none" w:sz="0" w:space="0" w:color="auto"/>
            <w:right w:val="none" w:sz="0" w:space="0" w:color="auto"/>
          </w:divBdr>
          <w:divsChild>
            <w:div w:id="160045957">
              <w:marLeft w:val="0"/>
              <w:marRight w:val="0"/>
              <w:marTop w:val="0"/>
              <w:marBottom w:val="0"/>
              <w:divBdr>
                <w:top w:val="none" w:sz="0" w:space="0" w:color="auto"/>
                <w:left w:val="none" w:sz="0" w:space="0" w:color="auto"/>
                <w:bottom w:val="none" w:sz="0" w:space="0" w:color="auto"/>
                <w:right w:val="none" w:sz="0" w:space="0" w:color="auto"/>
              </w:divBdr>
            </w:div>
            <w:div w:id="1550455115">
              <w:marLeft w:val="0"/>
              <w:marRight w:val="0"/>
              <w:marTop w:val="0"/>
              <w:marBottom w:val="0"/>
              <w:divBdr>
                <w:top w:val="none" w:sz="0" w:space="0" w:color="auto"/>
                <w:left w:val="none" w:sz="0" w:space="0" w:color="auto"/>
                <w:bottom w:val="none" w:sz="0" w:space="0" w:color="auto"/>
                <w:right w:val="none" w:sz="0" w:space="0" w:color="auto"/>
              </w:divBdr>
            </w:div>
            <w:div w:id="1574388670">
              <w:marLeft w:val="0"/>
              <w:marRight w:val="0"/>
              <w:marTop w:val="0"/>
              <w:marBottom w:val="0"/>
              <w:divBdr>
                <w:top w:val="none" w:sz="0" w:space="0" w:color="auto"/>
                <w:left w:val="none" w:sz="0" w:space="0" w:color="auto"/>
                <w:bottom w:val="none" w:sz="0" w:space="0" w:color="auto"/>
                <w:right w:val="none" w:sz="0" w:space="0" w:color="auto"/>
              </w:divBdr>
            </w:div>
          </w:divsChild>
        </w:div>
        <w:div w:id="1500732852">
          <w:marLeft w:val="0"/>
          <w:marRight w:val="0"/>
          <w:marTop w:val="0"/>
          <w:marBottom w:val="0"/>
          <w:divBdr>
            <w:top w:val="none" w:sz="0" w:space="0" w:color="auto"/>
            <w:left w:val="none" w:sz="0" w:space="0" w:color="auto"/>
            <w:bottom w:val="none" w:sz="0" w:space="0" w:color="auto"/>
            <w:right w:val="none" w:sz="0" w:space="0" w:color="auto"/>
          </w:divBdr>
        </w:div>
        <w:div w:id="1524442236">
          <w:marLeft w:val="0"/>
          <w:marRight w:val="0"/>
          <w:marTop w:val="0"/>
          <w:marBottom w:val="0"/>
          <w:divBdr>
            <w:top w:val="none" w:sz="0" w:space="0" w:color="auto"/>
            <w:left w:val="none" w:sz="0" w:space="0" w:color="auto"/>
            <w:bottom w:val="none" w:sz="0" w:space="0" w:color="auto"/>
            <w:right w:val="none" w:sz="0" w:space="0" w:color="auto"/>
          </w:divBdr>
        </w:div>
        <w:div w:id="1541628669">
          <w:marLeft w:val="0"/>
          <w:marRight w:val="0"/>
          <w:marTop w:val="0"/>
          <w:marBottom w:val="0"/>
          <w:divBdr>
            <w:top w:val="none" w:sz="0" w:space="0" w:color="auto"/>
            <w:left w:val="none" w:sz="0" w:space="0" w:color="auto"/>
            <w:bottom w:val="none" w:sz="0" w:space="0" w:color="auto"/>
            <w:right w:val="none" w:sz="0" w:space="0" w:color="auto"/>
          </w:divBdr>
          <w:divsChild>
            <w:div w:id="959147616">
              <w:marLeft w:val="0"/>
              <w:marRight w:val="0"/>
              <w:marTop w:val="0"/>
              <w:marBottom w:val="0"/>
              <w:divBdr>
                <w:top w:val="none" w:sz="0" w:space="0" w:color="auto"/>
                <w:left w:val="none" w:sz="0" w:space="0" w:color="auto"/>
                <w:bottom w:val="none" w:sz="0" w:space="0" w:color="auto"/>
                <w:right w:val="none" w:sz="0" w:space="0" w:color="auto"/>
              </w:divBdr>
            </w:div>
            <w:div w:id="2050375610">
              <w:marLeft w:val="0"/>
              <w:marRight w:val="0"/>
              <w:marTop w:val="0"/>
              <w:marBottom w:val="0"/>
              <w:divBdr>
                <w:top w:val="none" w:sz="0" w:space="0" w:color="auto"/>
                <w:left w:val="none" w:sz="0" w:space="0" w:color="auto"/>
                <w:bottom w:val="none" w:sz="0" w:space="0" w:color="auto"/>
                <w:right w:val="none" w:sz="0" w:space="0" w:color="auto"/>
              </w:divBdr>
            </w:div>
            <w:div w:id="2138526619">
              <w:marLeft w:val="0"/>
              <w:marRight w:val="0"/>
              <w:marTop w:val="0"/>
              <w:marBottom w:val="0"/>
              <w:divBdr>
                <w:top w:val="none" w:sz="0" w:space="0" w:color="auto"/>
                <w:left w:val="none" w:sz="0" w:space="0" w:color="auto"/>
                <w:bottom w:val="none" w:sz="0" w:space="0" w:color="auto"/>
                <w:right w:val="none" w:sz="0" w:space="0" w:color="auto"/>
              </w:divBdr>
            </w:div>
          </w:divsChild>
        </w:div>
        <w:div w:id="1621641003">
          <w:marLeft w:val="0"/>
          <w:marRight w:val="0"/>
          <w:marTop w:val="0"/>
          <w:marBottom w:val="0"/>
          <w:divBdr>
            <w:top w:val="none" w:sz="0" w:space="0" w:color="auto"/>
            <w:left w:val="none" w:sz="0" w:space="0" w:color="auto"/>
            <w:bottom w:val="none" w:sz="0" w:space="0" w:color="auto"/>
            <w:right w:val="none" w:sz="0" w:space="0" w:color="auto"/>
          </w:divBdr>
        </w:div>
        <w:div w:id="1673147032">
          <w:marLeft w:val="0"/>
          <w:marRight w:val="0"/>
          <w:marTop w:val="0"/>
          <w:marBottom w:val="0"/>
          <w:divBdr>
            <w:top w:val="none" w:sz="0" w:space="0" w:color="auto"/>
            <w:left w:val="none" w:sz="0" w:space="0" w:color="auto"/>
            <w:bottom w:val="none" w:sz="0" w:space="0" w:color="auto"/>
            <w:right w:val="none" w:sz="0" w:space="0" w:color="auto"/>
          </w:divBdr>
          <w:divsChild>
            <w:div w:id="71238955">
              <w:marLeft w:val="0"/>
              <w:marRight w:val="0"/>
              <w:marTop w:val="0"/>
              <w:marBottom w:val="0"/>
              <w:divBdr>
                <w:top w:val="none" w:sz="0" w:space="0" w:color="auto"/>
                <w:left w:val="none" w:sz="0" w:space="0" w:color="auto"/>
                <w:bottom w:val="none" w:sz="0" w:space="0" w:color="auto"/>
                <w:right w:val="none" w:sz="0" w:space="0" w:color="auto"/>
              </w:divBdr>
            </w:div>
            <w:div w:id="1112898584">
              <w:marLeft w:val="0"/>
              <w:marRight w:val="0"/>
              <w:marTop w:val="0"/>
              <w:marBottom w:val="0"/>
              <w:divBdr>
                <w:top w:val="none" w:sz="0" w:space="0" w:color="auto"/>
                <w:left w:val="none" w:sz="0" w:space="0" w:color="auto"/>
                <w:bottom w:val="none" w:sz="0" w:space="0" w:color="auto"/>
                <w:right w:val="none" w:sz="0" w:space="0" w:color="auto"/>
              </w:divBdr>
            </w:div>
            <w:div w:id="1146555886">
              <w:marLeft w:val="0"/>
              <w:marRight w:val="0"/>
              <w:marTop w:val="0"/>
              <w:marBottom w:val="0"/>
              <w:divBdr>
                <w:top w:val="none" w:sz="0" w:space="0" w:color="auto"/>
                <w:left w:val="none" w:sz="0" w:space="0" w:color="auto"/>
                <w:bottom w:val="none" w:sz="0" w:space="0" w:color="auto"/>
                <w:right w:val="none" w:sz="0" w:space="0" w:color="auto"/>
              </w:divBdr>
            </w:div>
            <w:div w:id="1520583807">
              <w:marLeft w:val="0"/>
              <w:marRight w:val="0"/>
              <w:marTop w:val="0"/>
              <w:marBottom w:val="0"/>
              <w:divBdr>
                <w:top w:val="none" w:sz="0" w:space="0" w:color="auto"/>
                <w:left w:val="none" w:sz="0" w:space="0" w:color="auto"/>
                <w:bottom w:val="none" w:sz="0" w:space="0" w:color="auto"/>
                <w:right w:val="none" w:sz="0" w:space="0" w:color="auto"/>
              </w:divBdr>
            </w:div>
          </w:divsChild>
        </w:div>
        <w:div w:id="1782412486">
          <w:marLeft w:val="0"/>
          <w:marRight w:val="0"/>
          <w:marTop w:val="0"/>
          <w:marBottom w:val="0"/>
          <w:divBdr>
            <w:top w:val="none" w:sz="0" w:space="0" w:color="auto"/>
            <w:left w:val="none" w:sz="0" w:space="0" w:color="auto"/>
            <w:bottom w:val="none" w:sz="0" w:space="0" w:color="auto"/>
            <w:right w:val="none" w:sz="0" w:space="0" w:color="auto"/>
          </w:divBdr>
          <w:divsChild>
            <w:div w:id="1710836100">
              <w:marLeft w:val="-75"/>
              <w:marRight w:val="0"/>
              <w:marTop w:val="30"/>
              <w:marBottom w:val="30"/>
              <w:divBdr>
                <w:top w:val="none" w:sz="0" w:space="0" w:color="auto"/>
                <w:left w:val="none" w:sz="0" w:space="0" w:color="auto"/>
                <w:bottom w:val="none" w:sz="0" w:space="0" w:color="auto"/>
                <w:right w:val="none" w:sz="0" w:space="0" w:color="auto"/>
              </w:divBdr>
              <w:divsChild>
                <w:div w:id="117185510">
                  <w:marLeft w:val="0"/>
                  <w:marRight w:val="0"/>
                  <w:marTop w:val="0"/>
                  <w:marBottom w:val="0"/>
                  <w:divBdr>
                    <w:top w:val="none" w:sz="0" w:space="0" w:color="auto"/>
                    <w:left w:val="none" w:sz="0" w:space="0" w:color="auto"/>
                    <w:bottom w:val="none" w:sz="0" w:space="0" w:color="auto"/>
                    <w:right w:val="none" w:sz="0" w:space="0" w:color="auto"/>
                  </w:divBdr>
                  <w:divsChild>
                    <w:div w:id="726732918">
                      <w:marLeft w:val="0"/>
                      <w:marRight w:val="0"/>
                      <w:marTop w:val="0"/>
                      <w:marBottom w:val="0"/>
                      <w:divBdr>
                        <w:top w:val="none" w:sz="0" w:space="0" w:color="auto"/>
                        <w:left w:val="none" w:sz="0" w:space="0" w:color="auto"/>
                        <w:bottom w:val="none" w:sz="0" w:space="0" w:color="auto"/>
                        <w:right w:val="none" w:sz="0" w:space="0" w:color="auto"/>
                      </w:divBdr>
                    </w:div>
                  </w:divsChild>
                </w:div>
                <w:div w:id="250050117">
                  <w:marLeft w:val="0"/>
                  <w:marRight w:val="0"/>
                  <w:marTop w:val="0"/>
                  <w:marBottom w:val="0"/>
                  <w:divBdr>
                    <w:top w:val="none" w:sz="0" w:space="0" w:color="auto"/>
                    <w:left w:val="none" w:sz="0" w:space="0" w:color="auto"/>
                    <w:bottom w:val="none" w:sz="0" w:space="0" w:color="auto"/>
                    <w:right w:val="none" w:sz="0" w:space="0" w:color="auto"/>
                  </w:divBdr>
                  <w:divsChild>
                    <w:div w:id="1302807420">
                      <w:marLeft w:val="0"/>
                      <w:marRight w:val="0"/>
                      <w:marTop w:val="0"/>
                      <w:marBottom w:val="0"/>
                      <w:divBdr>
                        <w:top w:val="none" w:sz="0" w:space="0" w:color="auto"/>
                        <w:left w:val="none" w:sz="0" w:space="0" w:color="auto"/>
                        <w:bottom w:val="none" w:sz="0" w:space="0" w:color="auto"/>
                        <w:right w:val="none" w:sz="0" w:space="0" w:color="auto"/>
                      </w:divBdr>
                    </w:div>
                  </w:divsChild>
                </w:div>
                <w:div w:id="309215801">
                  <w:marLeft w:val="0"/>
                  <w:marRight w:val="0"/>
                  <w:marTop w:val="0"/>
                  <w:marBottom w:val="0"/>
                  <w:divBdr>
                    <w:top w:val="none" w:sz="0" w:space="0" w:color="auto"/>
                    <w:left w:val="none" w:sz="0" w:space="0" w:color="auto"/>
                    <w:bottom w:val="none" w:sz="0" w:space="0" w:color="auto"/>
                    <w:right w:val="none" w:sz="0" w:space="0" w:color="auto"/>
                  </w:divBdr>
                  <w:divsChild>
                    <w:div w:id="1213686778">
                      <w:marLeft w:val="0"/>
                      <w:marRight w:val="0"/>
                      <w:marTop w:val="0"/>
                      <w:marBottom w:val="0"/>
                      <w:divBdr>
                        <w:top w:val="none" w:sz="0" w:space="0" w:color="auto"/>
                        <w:left w:val="none" w:sz="0" w:space="0" w:color="auto"/>
                        <w:bottom w:val="none" w:sz="0" w:space="0" w:color="auto"/>
                        <w:right w:val="none" w:sz="0" w:space="0" w:color="auto"/>
                      </w:divBdr>
                    </w:div>
                  </w:divsChild>
                </w:div>
                <w:div w:id="398409362">
                  <w:marLeft w:val="0"/>
                  <w:marRight w:val="0"/>
                  <w:marTop w:val="0"/>
                  <w:marBottom w:val="0"/>
                  <w:divBdr>
                    <w:top w:val="none" w:sz="0" w:space="0" w:color="auto"/>
                    <w:left w:val="none" w:sz="0" w:space="0" w:color="auto"/>
                    <w:bottom w:val="none" w:sz="0" w:space="0" w:color="auto"/>
                    <w:right w:val="none" w:sz="0" w:space="0" w:color="auto"/>
                  </w:divBdr>
                  <w:divsChild>
                    <w:div w:id="1460608570">
                      <w:marLeft w:val="0"/>
                      <w:marRight w:val="0"/>
                      <w:marTop w:val="0"/>
                      <w:marBottom w:val="0"/>
                      <w:divBdr>
                        <w:top w:val="none" w:sz="0" w:space="0" w:color="auto"/>
                        <w:left w:val="none" w:sz="0" w:space="0" w:color="auto"/>
                        <w:bottom w:val="none" w:sz="0" w:space="0" w:color="auto"/>
                        <w:right w:val="none" w:sz="0" w:space="0" w:color="auto"/>
                      </w:divBdr>
                    </w:div>
                  </w:divsChild>
                </w:div>
                <w:div w:id="408305962">
                  <w:marLeft w:val="0"/>
                  <w:marRight w:val="0"/>
                  <w:marTop w:val="0"/>
                  <w:marBottom w:val="0"/>
                  <w:divBdr>
                    <w:top w:val="none" w:sz="0" w:space="0" w:color="auto"/>
                    <w:left w:val="none" w:sz="0" w:space="0" w:color="auto"/>
                    <w:bottom w:val="none" w:sz="0" w:space="0" w:color="auto"/>
                    <w:right w:val="none" w:sz="0" w:space="0" w:color="auto"/>
                  </w:divBdr>
                  <w:divsChild>
                    <w:div w:id="2051570777">
                      <w:marLeft w:val="0"/>
                      <w:marRight w:val="0"/>
                      <w:marTop w:val="0"/>
                      <w:marBottom w:val="0"/>
                      <w:divBdr>
                        <w:top w:val="none" w:sz="0" w:space="0" w:color="auto"/>
                        <w:left w:val="none" w:sz="0" w:space="0" w:color="auto"/>
                        <w:bottom w:val="none" w:sz="0" w:space="0" w:color="auto"/>
                        <w:right w:val="none" w:sz="0" w:space="0" w:color="auto"/>
                      </w:divBdr>
                    </w:div>
                  </w:divsChild>
                </w:div>
                <w:div w:id="587807086">
                  <w:marLeft w:val="0"/>
                  <w:marRight w:val="0"/>
                  <w:marTop w:val="0"/>
                  <w:marBottom w:val="0"/>
                  <w:divBdr>
                    <w:top w:val="none" w:sz="0" w:space="0" w:color="auto"/>
                    <w:left w:val="none" w:sz="0" w:space="0" w:color="auto"/>
                    <w:bottom w:val="none" w:sz="0" w:space="0" w:color="auto"/>
                    <w:right w:val="none" w:sz="0" w:space="0" w:color="auto"/>
                  </w:divBdr>
                  <w:divsChild>
                    <w:div w:id="2058700025">
                      <w:marLeft w:val="0"/>
                      <w:marRight w:val="0"/>
                      <w:marTop w:val="0"/>
                      <w:marBottom w:val="0"/>
                      <w:divBdr>
                        <w:top w:val="none" w:sz="0" w:space="0" w:color="auto"/>
                        <w:left w:val="none" w:sz="0" w:space="0" w:color="auto"/>
                        <w:bottom w:val="none" w:sz="0" w:space="0" w:color="auto"/>
                        <w:right w:val="none" w:sz="0" w:space="0" w:color="auto"/>
                      </w:divBdr>
                    </w:div>
                  </w:divsChild>
                </w:div>
                <w:div w:id="665672074">
                  <w:marLeft w:val="0"/>
                  <w:marRight w:val="0"/>
                  <w:marTop w:val="0"/>
                  <w:marBottom w:val="0"/>
                  <w:divBdr>
                    <w:top w:val="none" w:sz="0" w:space="0" w:color="auto"/>
                    <w:left w:val="none" w:sz="0" w:space="0" w:color="auto"/>
                    <w:bottom w:val="none" w:sz="0" w:space="0" w:color="auto"/>
                    <w:right w:val="none" w:sz="0" w:space="0" w:color="auto"/>
                  </w:divBdr>
                  <w:divsChild>
                    <w:div w:id="1508671438">
                      <w:marLeft w:val="0"/>
                      <w:marRight w:val="0"/>
                      <w:marTop w:val="0"/>
                      <w:marBottom w:val="0"/>
                      <w:divBdr>
                        <w:top w:val="none" w:sz="0" w:space="0" w:color="auto"/>
                        <w:left w:val="none" w:sz="0" w:space="0" w:color="auto"/>
                        <w:bottom w:val="none" w:sz="0" w:space="0" w:color="auto"/>
                        <w:right w:val="none" w:sz="0" w:space="0" w:color="auto"/>
                      </w:divBdr>
                    </w:div>
                  </w:divsChild>
                </w:div>
                <w:div w:id="821506759">
                  <w:marLeft w:val="0"/>
                  <w:marRight w:val="0"/>
                  <w:marTop w:val="0"/>
                  <w:marBottom w:val="0"/>
                  <w:divBdr>
                    <w:top w:val="none" w:sz="0" w:space="0" w:color="auto"/>
                    <w:left w:val="none" w:sz="0" w:space="0" w:color="auto"/>
                    <w:bottom w:val="none" w:sz="0" w:space="0" w:color="auto"/>
                    <w:right w:val="none" w:sz="0" w:space="0" w:color="auto"/>
                  </w:divBdr>
                  <w:divsChild>
                    <w:div w:id="1509442366">
                      <w:marLeft w:val="0"/>
                      <w:marRight w:val="0"/>
                      <w:marTop w:val="0"/>
                      <w:marBottom w:val="0"/>
                      <w:divBdr>
                        <w:top w:val="none" w:sz="0" w:space="0" w:color="auto"/>
                        <w:left w:val="none" w:sz="0" w:space="0" w:color="auto"/>
                        <w:bottom w:val="none" w:sz="0" w:space="0" w:color="auto"/>
                        <w:right w:val="none" w:sz="0" w:space="0" w:color="auto"/>
                      </w:divBdr>
                    </w:div>
                  </w:divsChild>
                </w:div>
                <w:div w:id="865292124">
                  <w:marLeft w:val="0"/>
                  <w:marRight w:val="0"/>
                  <w:marTop w:val="0"/>
                  <w:marBottom w:val="0"/>
                  <w:divBdr>
                    <w:top w:val="none" w:sz="0" w:space="0" w:color="auto"/>
                    <w:left w:val="none" w:sz="0" w:space="0" w:color="auto"/>
                    <w:bottom w:val="none" w:sz="0" w:space="0" w:color="auto"/>
                    <w:right w:val="none" w:sz="0" w:space="0" w:color="auto"/>
                  </w:divBdr>
                  <w:divsChild>
                    <w:div w:id="1806508169">
                      <w:marLeft w:val="0"/>
                      <w:marRight w:val="0"/>
                      <w:marTop w:val="0"/>
                      <w:marBottom w:val="0"/>
                      <w:divBdr>
                        <w:top w:val="none" w:sz="0" w:space="0" w:color="auto"/>
                        <w:left w:val="none" w:sz="0" w:space="0" w:color="auto"/>
                        <w:bottom w:val="none" w:sz="0" w:space="0" w:color="auto"/>
                        <w:right w:val="none" w:sz="0" w:space="0" w:color="auto"/>
                      </w:divBdr>
                    </w:div>
                  </w:divsChild>
                </w:div>
                <w:div w:id="941374457">
                  <w:marLeft w:val="0"/>
                  <w:marRight w:val="0"/>
                  <w:marTop w:val="0"/>
                  <w:marBottom w:val="0"/>
                  <w:divBdr>
                    <w:top w:val="none" w:sz="0" w:space="0" w:color="auto"/>
                    <w:left w:val="none" w:sz="0" w:space="0" w:color="auto"/>
                    <w:bottom w:val="none" w:sz="0" w:space="0" w:color="auto"/>
                    <w:right w:val="none" w:sz="0" w:space="0" w:color="auto"/>
                  </w:divBdr>
                  <w:divsChild>
                    <w:div w:id="1038237038">
                      <w:marLeft w:val="0"/>
                      <w:marRight w:val="0"/>
                      <w:marTop w:val="0"/>
                      <w:marBottom w:val="0"/>
                      <w:divBdr>
                        <w:top w:val="none" w:sz="0" w:space="0" w:color="auto"/>
                        <w:left w:val="none" w:sz="0" w:space="0" w:color="auto"/>
                        <w:bottom w:val="none" w:sz="0" w:space="0" w:color="auto"/>
                        <w:right w:val="none" w:sz="0" w:space="0" w:color="auto"/>
                      </w:divBdr>
                    </w:div>
                  </w:divsChild>
                </w:div>
                <w:div w:id="1228567280">
                  <w:marLeft w:val="0"/>
                  <w:marRight w:val="0"/>
                  <w:marTop w:val="0"/>
                  <w:marBottom w:val="0"/>
                  <w:divBdr>
                    <w:top w:val="none" w:sz="0" w:space="0" w:color="auto"/>
                    <w:left w:val="none" w:sz="0" w:space="0" w:color="auto"/>
                    <w:bottom w:val="none" w:sz="0" w:space="0" w:color="auto"/>
                    <w:right w:val="none" w:sz="0" w:space="0" w:color="auto"/>
                  </w:divBdr>
                  <w:divsChild>
                    <w:div w:id="586578651">
                      <w:marLeft w:val="0"/>
                      <w:marRight w:val="0"/>
                      <w:marTop w:val="0"/>
                      <w:marBottom w:val="0"/>
                      <w:divBdr>
                        <w:top w:val="none" w:sz="0" w:space="0" w:color="auto"/>
                        <w:left w:val="none" w:sz="0" w:space="0" w:color="auto"/>
                        <w:bottom w:val="none" w:sz="0" w:space="0" w:color="auto"/>
                        <w:right w:val="none" w:sz="0" w:space="0" w:color="auto"/>
                      </w:divBdr>
                    </w:div>
                  </w:divsChild>
                </w:div>
                <w:div w:id="1473136210">
                  <w:marLeft w:val="0"/>
                  <w:marRight w:val="0"/>
                  <w:marTop w:val="0"/>
                  <w:marBottom w:val="0"/>
                  <w:divBdr>
                    <w:top w:val="none" w:sz="0" w:space="0" w:color="auto"/>
                    <w:left w:val="none" w:sz="0" w:space="0" w:color="auto"/>
                    <w:bottom w:val="none" w:sz="0" w:space="0" w:color="auto"/>
                    <w:right w:val="none" w:sz="0" w:space="0" w:color="auto"/>
                  </w:divBdr>
                  <w:divsChild>
                    <w:div w:id="211774977">
                      <w:marLeft w:val="0"/>
                      <w:marRight w:val="0"/>
                      <w:marTop w:val="0"/>
                      <w:marBottom w:val="0"/>
                      <w:divBdr>
                        <w:top w:val="none" w:sz="0" w:space="0" w:color="auto"/>
                        <w:left w:val="none" w:sz="0" w:space="0" w:color="auto"/>
                        <w:bottom w:val="none" w:sz="0" w:space="0" w:color="auto"/>
                        <w:right w:val="none" w:sz="0" w:space="0" w:color="auto"/>
                      </w:divBdr>
                    </w:div>
                  </w:divsChild>
                </w:div>
                <w:div w:id="1517842192">
                  <w:marLeft w:val="0"/>
                  <w:marRight w:val="0"/>
                  <w:marTop w:val="0"/>
                  <w:marBottom w:val="0"/>
                  <w:divBdr>
                    <w:top w:val="none" w:sz="0" w:space="0" w:color="auto"/>
                    <w:left w:val="none" w:sz="0" w:space="0" w:color="auto"/>
                    <w:bottom w:val="none" w:sz="0" w:space="0" w:color="auto"/>
                    <w:right w:val="none" w:sz="0" w:space="0" w:color="auto"/>
                  </w:divBdr>
                  <w:divsChild>
                    <w:div w:id="1794598354">
                      <w:marLeft w:val="0"/>
                      <w:marRight w:val="0"/>
                      <w:marTop w:val="0"/>
                      <w:marBottom w:val="0"/>
                      <w:divBdr>
                        <w:top w:val="none" w:sz="0" w:space="0" w:color="auto"/>
                        <w:left w:val="none" w:sz="0" w:space="0" w:color="auto"/>
                        <w:bottom w:val="none" w:sz="0" w:space="0" w:color="auto"/>
                        <w:right w:val="none" w:sz="0" w:space="0" w:color="auto"/>
                      </w:divBdr>
                    </w:div>
                  </w:divsChild>
                </w:div>
                <w:div w:id="1612085599">
                  <w:marLeft w:val="0"/>
                  <w:marRight w:val="0"/>
                  <w:marTop w:val="0"/>
                  <w:marBottom w:val="0"/>
                  <w:divBdr>
                    <w:top w:val="none" w:sz="0" w:space="0" w:color="auto"/>
                    <w:left w:val="none" w:sz="0" w:space="0" w:color="auto"/>
                    <w:bottom w:val="none" w:sz="0" w:space="0" w:color="auto"/>
                    <w:right w:val="none" w:sz="0" w:space="0" w:color="auto"/>
                  </w:divBdr>
                  <w:divsChild>
                    <w:div w:id="569539622">
                      <w:marLeft w:val="0"/>
                      <w:marRight w:val="0"/>
                      <w:marTop w:val="0"/>
                      <w:marBottom w:val="0"/>
                      <w:divBdr>
                        <w:top w:val="none" w:sz="0" w:space="0" w:color="auto"/>
                        <w:left w:val="none" w:sz="0" w:space="0" w:color="auto"/>
                        <w:bottom w:val="none" w:sz="0" w:space="0" w:color="auto"/>
                        <w:right w:val="none" w:sz="0" w:space="0" w:color="auto"/>
                      </w:divBdr>
                    </w:div>
                  </w:divsChild>
                </w:div>
                <w:div w:id="1671828039">
                  <w:marLeft w:val="0"/>
                  <w:marRight w:val="0"/>
                  <w:marTop w:val="0"/>
                  <w:marBottom w:val="0"/>
                  <w:divBdr>
                    <w:top w:val="none" w:sz="0" w:space="0" w:color="auto"/>
                    <w:left w:val="none" w:sz="0" w:space="0" w:color="auto"/>
                    <w:bottom w:val="none" w:sz="0" w:space="0" w:color="auto"/>
                    <w:right w:val="none" w:sz="0" w:space="0" w:color="auto"/>
                  </w:divBdr>
                  <w:divsChild>
                    <w:div w:id="1616788840">
                      <w:marLeft w:val="0"/>
                      <w:marRight w:val="0"/>
                      <w:marTop w:val="0"/>
                      <w:marBottom w:val="0"/>
                      <w:divBdr>
                        <w:top w:val="none" w:sz="0" w:space="0" w:color="auto"/>
                        <w:left w:val="none" w:sz="0" w:space="0" w:color="auto"/>
                        <w:bottom w:val="none" w:sz="0" w:space="0" w:color="auto"/>
                        <w:right w:val="none" w:sz="0" w:space="0" w:color="auto"/>
                      </w:divBdr>
                    </w:div>
                  </w:divsChild>
                </w:div>
                <w:div w:id="1737120245">
                  <w:marLeft w:val="0"/>
                  <w:marRight w:val="0"/>
                  <w:marTop w:val="0"/>
                  <w:marBottom w:val="0"/>
                  <w:divBdr>
                    <w:top w:val="none" w:sz="0" w:space="0" w:color="auto"/>
                    <w:left w:val="none" w:sz="0" w:space="0" w:color="auto"/>
                    <w:bottom w:val="none" w:sz="0" w:space="0" w:color="auto"/>
                    <w:right w:val="none" w:sz="0" w:space="0" w:color="auto"/>
                  </w:divBdr>
                  <w:divsChild>
                    <w:div w:id="860513229">
                      <w:marLeft w:val="0"/>
                      <w:marRight w:val="0"/>
                      <w:marTop w:val="0"/>
                      <w:marBottom w:val="0"/>
                      <w:divBdr>
                        <w:top w:val="none" w:sz="0" w:space="0" w:color="auto"/>
                        <w:left w:val="none" w:sz="0" w:space="0" w:color="auto"/>
                        <w:bottom w:val="none" w:sz="0" w:space="0" w:color="auto"/>
                        <w:right w:val="none" w:sz="0" w:space="0" w:color="auto"/>
                      </w:divBdr>
                    </w:div>
                  </w:divsChild>
                </w:div>
                <w:div w:id="1820490597">
                  <w:marLeft w:val="0"/>
                  <w:marRight w:val="0"/>
                  <w:marTop w:val="0"/>
                  <w:marBottom w:val="0"/>
                  <w:divBdr>
                    <w:top w:val="none" w:sz="0" w:space="0" w:color="auto"/>
                    <w:left w:val="none" w:sz="0" w:space="0" w:color="auto"/>
                    <w:bottom w:val="none" w:sz="0" w:space="0" w:color="auto"/>
                    <w:right w:val="none" w:sz="0" w:space="0" w:color="auto"/>
                  </w:divBdr>
                  <w:divsChild>
                    <w:div w:id="894391585">
                      <w:marLeft w:val="0"/>
                      <w:marRight w:val="0"/>
                      <w:marTop w:val="0"/>
                      <w:marBottom w:val="0"/>
                      <w:divBdr>
                        <w:top w:val="none" w:sz="0" w:space="0" w:color="auto"/>
                        <w:left w:val="none" w:sz="0" w:space="0" w:color="auto"/>
                        <w:bottom w:val="none" w:sz="0" w:space="0" w:color="auto"/>
                        <w:right w:val="none" w:sz="0" w:space="0" w:color="auto"/>
                      </w:divBdr>
                    </w:div>
                  </w:divsChild>
                </w:div>
                <w:div w:id="1848134766">
                  <w:marLeft w:val="0"/>
                  <w:marRight w:val="0"/>
                  <w:marTop w:val="0"/>
                  <w:marBottom w:val="0"/>
                  <w:divBdr>
                    <w:top w:val="none" w:sz="0" w:space="0" w:color="auto"/>
                    <w:left w:val="none" w:sz="0" w:space="0" w:color="auto"/>
                    <w:bottom w:val="none" w:sz="0" w:space="0" w:color="auto"/>
                    <w:right w:val="none" w:sz="0" w:space="0" w:color="auto"/>
                  </w:divBdr>
                  <w:divsChild>
                    <w:div w:id="394546955">
                      <w:marLeft w:val="0"/>
                      <w:marRight w:val="0"/>
                      <w:marTop w:val="0"/>
                      <w:marBottom w:val="0"/>
                      <w:divBdr>
                        <w:top w:val="none" w:sz="0" w:space="0" w:color="auto"/>
                        <w:left w:val="none" w:sz="0" w:space="0" w:color="auto"/>
                        <w:bottom w:val="none" w:sz="0" w:space="0" w:color="auto"/>
                        <w:right w:val="none" w:sz="0" w:space="0" w:color="auto"/>
                      </w:divBdr>
                    </w:div>
                  </w:divsChild>
                </w:div>
                <w:div w:id="1865630254">
                  <w:marLeft w:val="0"/>
                  <w:marRight w:val="0"/>
                  <w:marTop w:val="0"/>
                  <w:marBottom w:val="0"/>
                  <w:divBdr>
                    <w:top w:val="none" w:sz="0" w:space="0" w:color="auto"/>
                    <w:left w:val="none" w:sz="0" w:space="0" w:color="auto"/>
                    <w:bottom w:val="none" w:sz="0" w:space="0" w:color="auto"/>
                    <w:right w:val="none" w:sz="0" w:space="0" w:color="auto"/>
                  </w:divBdr>
                  <w:divsChild>
                    <w:div w:id="220484853">
                      <w:marLeft w:val="0"/>
                      <w:marRight w:val="0"/>
                      <w:marTop w:val="0"/>
                      <w:marBottom w:val="0"/>
                      <w:divBdr>
                        <w:top w:val="none" w:sz="0" w:space="0" w:color="auto"/>
                        <w:left w:val="none" w:sz="0" w:space="0" w:color="auto"/>
                        <w:bottom w:val="none" w:sz="0" w:space="0" w:color="auto"/>
                        <w:right w:val="none" w:sz="0" w:space="0" w:color="auto"/>
                      </w:divBdr>
                    </w:div>
                  </w:divsChild>
                </w:div>
                <w:div w:id="2050260148">
                  <w:marLeft w:val="0"/>
                  <w:marRight w:val="0"/>
                  <w:marTop w:val="0"/>
                  <w:marBottom w:val="0"/>
                  <w:divBdr>
                    <w:top w:val="none" w:sz="0" w:space="0" w:color="auto"/>
                    <w:left w:val="none" w:sz="0" w:space="0" w:color="auto"/>
                    <w:bottom w:val="none" w:sz="0" w:space="0" w:color="auto"/>
                    <w:right w:val="none" w:sz="0" w:space="0" w:color="auto"/>
                  </w:divBdr>
                  <w:divsChild>
                    <w:div w:id="1707103528">
                      <w:marLeft w:val="0"/>
                      <w:marRight w:val="0"/>
                      <w:marTop w:val="0"/>
                      <w:marBottom w:val="0"/>
                      <w:divBdr>
                        <w:top w:val="none" w:sz="0" w:space="0" w:color="auto"/>
                        <w:left w:val="none" w:sz="0" w:space="0" w:color="auto"/>
                        <w:bottom w:val="none" w:sz="0" w:space="0" w:color="auto"/>
                        <w:right w:val="none" w:sz="0" w:space="0" w:color="auto"/>
                      </w:divBdr>
                    </w:div>
                  </w:divsChild>
                </w:div>
                <w:div w:id="2051490865">
                  <w:marLeft w:val="0"/>
                  <w:marRight w:val="0"/>
                  <w:marTop w:val="0"/>
                  <w:marBottom w:val="0"/>
                  <w:divBdr>
                    <w:top w:val="none" w:sz="0" w:space="0" w:color="auto"/>
                    <w:left w:val="none" w:sz="0" w:space="0" w:color="auto"/>
                    <w:bottom w:val="none" w:sz="0" w:space="0" w:color="auto"/>
                    <w:right w:val="none" w:sz="0" w:space="0" w:color="auto"/>
                  </w:divBdr>
                  <w:divsChild>
                    <w:div w:id="280649184">
                      <w:marLeft w:val="0"/>
                      <w:marRight w:val="0"/>
                      <w:marTop w:val="0"/>
                      <w:marBottom w:val="0"/>
                      <w:divBdr>
                        <w:top w:val="none" w:sz="0" w:space="0" w:color="auto"/>
                        <w:left w:val="none" w:sz="0" w:space="0" w:color="auto"/>
                        <w:bottom w:val="none" w:sz="0" w:space="0" w:color="auto"/>
                        <w:right w:val="none" w:sz="0" w:space="0" w:color="auto"/>
                      </w:divBdr>
                    </w:div>
                  </w:divsChild>
                </w:div>
                <w:div w:id="2147309242">
                  <w:marLeft w:val="0"/>
                  <w:marRight w:val="0"/>
                  <w:marTop w:val="0"/>
                  <w:marBottom w:val="0"/>
                  <w:divBdr>
                    <w:top w:val="none" w:sz="0" w:space="0" w:color="auto"/>
                    <w:left w:val="none" w:sz="0" w:space="0" w:color="auto"/>
                    <w:bottom w:val="none" w:sz="0" w:space="0" w:color="auto"/>
                    <w:right w:val="none" w:sz="0" w:space="0" w:color="auto"/>
                  </w:divBdr>
                  <w:divsChild>
                    <w:div w:id="13632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588280">
          <w:marLeft w:val="0"/>
          <w:marRight w:val="0"/>
          <w:marTop w:val="0"/>
          <w:marBottom w:val="0"/>
          <w:divBdr>
            <w:top w:val="none" w:sz="0" w:space="0" w:color="auto"/>
            <w:left w:val="none" w:sz="0" w:space="0" w:color="auto"/>
            <w:bottom w:val="none" w:sz="0" w:space="0" w:color="auto"/>
            <w:right w:val="none" w:sz="0" w:space="0" w:color="auto"/>
          </w:divBdr>
        </w:div>
        <w:div w:id="1903903683">
          <w:marLeft w:val="0"/>
          <w:marRight w:val="0"/>
          <w:marTop w:val="0"/>
          <w:marBottom w:val="0"/>
          <w:divBdr>
            <w:top w:val="none" w:sz="0" w:space="0" w:color="auto"/>
            <w:left w:val="none" w:sz="0" w:space="0" w:color="auto"/>
            <w:bottom w:val="none" w:sz="0" w:space="0" w:color="auto"/>
            <w:right w:val="none" w:sz="0" w:space="0" w:color="auto"/>
          </w:divBdr>
        </w:div>
        <w:div w:id="1966427242">
          <w:marLeft w:val="0"/>
          <w:marRight w:val="0"/>
          <w:marTop w:val="0"/>
          <w:marBottom w:val="0"/>
          <w:divBdr>
            <w:top w:val="none" w:sz="0" w:space="0" w:color="auto"/>
            <w:left w:val="none" w:sz="0" w:space="0" w:color="auto"/>
            <w:bottom w:val="none" w:sz="0" w:space="0" w:color="auto"/>
            <w:right w:val="none" w:sz="0" w:space="0" w:color="auto"/>
          </w:divBdr>
          <w:divsChild>
            <w:div w:id="996036847">
              <w:marLeft w:val="-75"/>
              <w:marRight w:val="0"/>
              <w:marTop w:val="30"/>
              <w:marBottom w:val="30"/>
              <w:divBdr>
                <w:top w:val="none" w:sz="0" w:space="0" w:color="auto"/>
                <w:left w:val="none" w:sz="0" w:space="0" w:color="auto"/>
                <w:bottom w:val="none" w:sz="0" w:space="0" w:color="auto"/>
                <w:right w:val="none" w:sz="0" w:space="0" w:color="auto"/>
              </w:divBdr>
              <w:divsChild>
                <w:div w:id="98453136">
                  <w:marLeft w:val="0"/>
                  <w:marRight w:val="0"/>
                  <w:marTop w:val="0"/>
                  <w:marBottom w:val="0"/>
                  <w:divBdr>
                    <w:top w:val="none" w:sz="0" w:space="0" w:color="auto"/>
                    <w:left w:val="none" w:sz="0" w:space="0" w:color="auto"/>
                    <w:bottom w:val="none" w:sz="0" w:space="0" w:color="auto"/>
                    <w:right w:val="none" w:sz="0" w:space="0" w:color="auto"/>
                  </w:divBdr>
                  <w:divsChild>
                    <w:div w:id="1785149754">
                      <w:marLeft w:val="0"/>
                      <w:marRight w:val="0"/>
                      <w:marTop w:val="0"/>
                      <w:marBottom w:val="0"/>
                      <w:divBdr>
                        <w:top w:val="none" w:sz="0" w:space="0" w:color="auto"/>
                        <w:left w:val="none" w:sz="0" w:space="0" w:color="auto"/>
                        <w:bottom w:val="none" w:sz="0" w:space="0" w:color="auto"/>
                        <w:right w:val="none" w:sz="0" w:space="0" w:color="auto"/>
                      </w:divBdr>
                    </w:div>
                  </w:divsChild>
                </w:div>
                <w:div w:id="194119104">
                  <w:marLeft w:val="0"/>
                  <w:marRight w:val="0"/>
                  <w:marTop w:val="0"/>
                  <w:marBottom w:val="0"/>
                  <w:divBdr>
                    <w:top w:val="none" w:sz="0" w:space="0" w:color="auto"/>
                    <w:left w:val="none" w:sz="0" w:space="0" w:color="auto"/>
                    <w:bottom w:val="none" w:sz="0" w:space="0" w:color="auto"/>
                    <w:right w:val="none" w:sz="0" w:space="0" w:color="auto"/>
                  </w:divBdr>
                  <w:divsChild>
                    <w:div w:id="182473667">
                      <w:marLeft w:val="0"/>
                      <w:marRight w:val="0"/>
                      <w:marTop w:val="0"/>
                      <w:marBottom w:val="0"/>
                      <w:divBdr>
                        <w:top w:val="none" w:sz="0" w:space="0" w:color="auto"/>
                        <w:left w:val="none" w:sz="0" w:space="0" w:color="auto"/>
                        <w:bottom w:val="none" w:sz="0" w:space="0" w:color="auto"/>
                        <w:right w:val="none" w:sz="0" w:space="0" w:color="auto"/>
                      </w:divBdr>
                    </w:div>
                  </w:divsChild>
                </w:div>
                <w:div w:id="683828931">
                  <w:marLeft w:val="0"/>
                  <w:marRight w:val="0"/>
                  <w:marTop w:val="0"/>
                  <w:marBottom w:val="0"/>
                  <w:divBdr>
                    <w:top w:val="none" w:sz="0" w:space="0" w:color="auto"/>
                    <w:left w:val="none" w:sz="0" w:space="0" w:color="auto"/>
                    <w:bottom w:val="none" w:sz="0" w:space="0" w:color="auto"/>
                    <w:right w:val="none" w:sz="0" w:space="0" w:color="auto"/>
                  </w:divBdr>
                  <w:divsChild>
                    <w:div w:id="2977654">
                      <w:marLeft w:val="0"/>
                      <w:marRight w:val="0"/>
                      <w:marTop w:val="0"/>
                      <w:marBottom w:val="0"/>
                      <w:divBdr>
                        <w:top w:val="none" w:sz="0" w:space="0" w:color="auto"/>
                        <w:left w:val="none" w:sz="0" w:space="0" w:color="auto"/>
                        <w:bottom w:val="none" w:sz="0" w:space="0" w:color="auto"/>
                        <w:right w:val="none" w:sz="0" w:space="0" w:color="auto"/>
                      </w:divBdr>
                    </w:div>
                  </w:divsChild>
                </w:div>
                <w:div w:id="807823204">
                  <w:marLeft w:val="0"/>
                  <w:marRight w:val="0"/>
                  <w:marTop w:val="0"/>
                  <w:marBottom w:val="0"/>
                  <w:divBdr>
                    <w:top w:val="none" w:sz="0" w:space="0" w:color="auto"/>
                    <w:left w:val="none" w:sz="0" w:space="0" w:color="auto"/>
                    <w:bottom w:val="none" w:sz="0" w:space="0" w:color="auto"/>
                    <w:right w:val="none" w:sz="0" w:space="0" w:color="auto"/>
                  </w:divBdr>
                  <w:divsChild>
                    <w:div w:id="1774400573">
                      <w:marLeft w:val="0"/>
                      <w:marRight w:val="0"/>
                      <w:marTop w:val="0"/>
                      <w:marBottom w:val="0"/>
                      <w:divBdr>
                        <w:top w:val="none" w:sz="0" w:space="0" w:color="auto"/>
                        <w:left w:val="none" w:sz="0" w:space="0" w:color="auto"/>
                        <w:bottom w:val="none" w:sz="0" w:space="0" w:color="auto"/>
                        <w:right w:val="none" w:sz="0" w:space="0" w:color="auto"/>
                      </w:divBdr>
                    </w:div>
                  </w:divsChild>
                </w:div>
                <w:div w:id="884562282">
                  <w:marLeft w:val="0"/>
                  <w:marRight w:val="0"/>
                  <w:marTop w:val="0"/>
                  <w:marBottom w:val="0"/>
                  <w:divBdr>
                    <w:top w:val="none" w:sz="0" w:space="0" w:color="auto"/>
                    <w:left w:val="none" w:sz="0" w:space="0" w:color="auto"/>
                    <w:bottom w:val="none" w:sz="0" w:space="0" w:color="auto"/>
                    <w:right w:val="none" w:sz="0" w:space="0" w:color="auto"/>
                  </w:divBdr>
                  <w:divsChild>
                    <w:div w:id="189684096">
                      <w:marLeft w:val="0"/>
                      <w:marRight w:val="0"/>
                      <w:marTop w:val="0"/>
                      <w:marBottom w:val="0"/>
                      <w:divBdr>
                        <w:top w:val="none" w:sz="0" w:space="0" w:color="auto"/>
                        <w:left w:val="none" w:sz="0" w:space="0" w:color="auto"/>
                        <w:bottom w:val="none" w:sz="0" w:space="0" w:color="auto"/>
                        <w:right w:val="none" w:sz="0" w:space="0" w:color="auto"/>
                      </w:divBdr>
                    </w:div>
                  </w:divsChild>
                </w:div>
                <w:div w:id="1168136696">
                  <w:marLeft w:val="0"/>
                  <w:marRight w:val="0"/>
                  <w:marTop w:val="0"/>
                  <w:marBottom w:val="0"/>
                  <w:divBdr>
                    <w:top w:val="none" w:sz="0" w:space="0" w:color="auto"/>
                    <w:left w:val="none" w:sz="0" w:space="0" w:color="auto"/>
                    <w:bottom w:val="none" w:sz="0" w:space="0" w:color="auto"/>
                    <w:right w:val="none" w:sz="0" w:space="0" w:color="auto"/>
                  </w:divBdr>
                  <w:divsChild>
                    <w:div w:id="2100785055">
                      <w:marLeft w:val="0"/>
                      <w:marRight w:val="0"/>
                      <w:marTop w:val="0"/>
                      <w:marBottom w:val="0"/>
                      <w:divBdr>
                        <w:top w:val="none" w:sz="0" w:space="0" w:color="auto"/>
                        <w:left w:val="none" w:sz="0" w:space="0" w:color="auto"/>
                        <w:bottom w:val="none" w:sz="0" w:space="0" w:color="auto"/>
                        <w:right w:val="none" w:sz="0" w:space="0" w:color="auto"/>
                      </w:divBdr>
                    </w:div>
                  </w:divsChild>
                </w:div>
                <w:div w:id="1364935588">
                  <w:marLeft w:val="0"/>
                  <w:marRight w:val="0"/>
                  <w:marTop w:val="0"/>
                  <w:marBottom w:val="0"/>
                  <w:divBdr>
                    <w:top w:val="none" w:sz="0" w:space="0" w:color="auto"/>
                    <w:left w:val="none" w:sz="0" w:space="0" w:color="auto"/>
                    <w:bottom w:val="none" w:sz="0" w:space="0" w:color="auto"/>
                    <w:right w:val="none" w:sz="0" w:space="0" w:color="auto"/>
                  </w:divBdr>
                  <w:divsChild>
                    <w:div w:id="1745639275">
                      <w:marLeft w:val="0"/>
                      <w:marRight w:val="0"/>
                      <w:marTop w:val="0"/>
                      <w:marBottom w:val="0"/>
                      <w:divBdr>
                        <w:top w:val="none" w:sz="0" w:space="0" w:color="auto"/>
                        <w:left w:val="none" w:sz="0" w:space="0" w:color="auto"/>
                        <w:bottom w:val="none" w:sz="0" w:space="0" w:color="auto"/>
                        <w:right w:val="none" w:sz="0" w:space="0" w:color="auto"/>
                      </w:divBdr>
                    </w:div>
                  </w:divsChild>
                </w:div>
                <w:div w:id="1391155262">
                  <w:marLeft w:val="0"/>
                  <w:marRight w:val="0"/>
                  <w:marTop w:val="0"/>
                  <w:marBottom w:val="0"/>
                  <w:divBdr>
                    <w:top w:val="none" w:sz="0" w:space="0" w:color="auto"/>
                    <w:left w:val="none" w:sz="0" w:space="0" w:color="auto"/>
                    <w:bottom w:val="none" w:sz="0" w:space="0" w:color="auto"/>
                    <w:right w:val="none" w:sz="0" w:space="0" w:color="auto"/>
                  </w:divBdr>
                  <w:divsChild>
                    <w:div w:id="438641772">
                      <w:marLeft w:val="0"/>
                      <w:marRight w:val="0"/>
                      <w:marTop w:val="0"/>
                      <w:marBottom w:val="0"/>
                      <w:divBdr>
                        <w:top w:val="none" w:sz="0" w:space="0" w:color="auto"/>
                        <w:left w:val="none" w:sz="0" w:space="0" w:color="auto"/>
                        <w:bottom w:val="none" w:sz="0" w:space="0" w:color="auto"/>
                        <w:right w:val="none" w:sz="0" w:space="0" w:color="auto"/>
                      </w:divBdr>
                    </w:div>
                  </w:divsChild>
                </w:div>
                <w:div w:id="1436244221">
                  <w:marLeft w:val="0"/>
                  <w:marRight w:val="0"/>
                  <w:marTop w:val="0"/>
                  <w:marBottom w:val="0"/>
                  <w:divBdr>
                    <w:top w:val="none" w:sz="0" w:space="0" w:color="auto"/>
                    <w:left w:val="none" w:sz="0" w:space="0" w:color="auto"/>
                    <w:bottom w:val="none" w:sz="0" w:space="0" w:color="auto"/>
                    <w:right w:val="none" w:sz="0" w:space="0" w:color="auto"/>
                  </w:divBdr>
                  <w:divsChild>
                    <w:div w:id="1705129750">
                      <w:marLeft w:val="0"/>
                      <w:marRight w:val="0"/>
                      <w:marTop w:val="0"/>
                      <w:marBottom w:val="0"/>
                      <w:divBdr>
                        <w:top w:val="none" w:sz="0" w:space="0" w:color="auto"/>
                        <w:left w:val="none" w:sz="0" w:space="0" w:color="auto"/>
                        <w:bottom w:val="none" w:sz="0" w:space="0" w:color="auto"/>
                        <w:right w:val="none" w:sz="0" w:space="0" w:color="auto"/>
                      </w:divBdr>
                    </w:div>
                  </w:divsChild>
                </w:div>
                <w:div w:id="1570724709">
                  <w:marLeft w:val="0"/>
                  <w:marRight w:val="0"/>
                  <w:marTop w:val="0"/>
                  <w:marBottom w:val="0"/>
                  <w:divBdr>
                    <w:top w:val="none" w:sz="0" w:space="0" w:color="auto"/>
                    <w:left w:val="none" w:sz="0" w:space="0" w:color="auto"/>
                    <w:bottom w:val="none" w:sz="0" w:space="0" w:color="auto"/>
                    <w:right w:val="none" w:sz="0" w:space="0" w:color="auto"/>
                  </w:divBdr>
                  <w:divsChild>
                    <w:div w:id="1540780806">
                      <w:marLeft w:val="0"/>
                      <w:marRight w:val="0"/>
                      <w:marTop w:val="0"/>
                      <w:marBottom w:val="0"/>
                      <w:divBdr>
                        <w:top w:val="none" w:sz="0" w:space="0" w:color="auto"/>
                        <w:left w:val="none" w:sz="0" w:space="0" w:color="auto"/>
                        <w:bottom w:val="none" w:sz="0" w:space="0" w:color="auto"/>
                        <w:right w:val="none" w:sz="0" w:space="0" w:color="auto"/>
                      </w:divBdr>
                    </w:div>
                  </w:divsChild>
                </w:div>
                <w:div w:id="1605310627">
                  <w:marLeft w:val="0"/>
                  <w:marRight w:val="0"/>
                  <w:marTop w:val="0"/>
                  <w:marBottom w:val="0"/>
                  <w:divBdr>
                    <w:top w:val="none" w:sz="0" w:space="0" w:color="auto"/>
                    <w:left w:val="none" w:sz="0" w:space="0" w:color="auto"/>
                    <w:bottom w:val="none" w:sz="0" w:space="0" w:color="auto"/>
                    <w:right w:val="none" w:sz="0" w:space="0" w:color="auto"/>
                  </w:divBdr>
                  <w:divsChild>
                    <w:div w:id="2110730379">
                      <w:marLeft w:val="0"/>
                      <w:marRight w:val="0"/>
                      <w:marTop w:val="0"/>
                      <w:marBottom w:val="0"/>
                      <w:divBdr>
                        <w:top w:val="none" w:sz="0" w:space="0" w:color="auto"/>
                        <w:left w:val="none" w:sz="0" w:space="0" w:color="auto"/>
                        <w:bottom w:val="none" w:sz="0" w:space="0" w:color="auto"/>
                        <w:right w:val="none" w:sz="0" w:space="0" w:color="auto"/>
                      </w:divBdr>
                    </w:div>
                  </w:divsChild>
                </w:div>
                <w:div w:id="1622689503">
                  <w:marLeft w:val="0"/>
                  <w:marRight w:val="0"/>
                  <w:marTop w:val="0"/>
                  <w:marBottom w:val="0"/>
                  <w:divBdr>
                    <w:top w:val="none" w:sz="0" w:space="0" w:color="auto"/>
                    <w:left w:val="none" w:sz="0" w:space="0" w:color="auto"/>
                    <w:bottom w:val="none" w:sz="0" w:space="0" w:color="auto"/>
                    <w:right w:val="none" w:sz="0" w:space="0" w:color="auto"/>
                  </w:divBdr>
                  <w:divsChild>
                    <w:div w:id="682365719">
                      <w:marLeft w:val="0"/>
                      <w:marRight w:val="0"/>
                      <w:marTop w:val="0"/>
                      <w:marBottom w:val="0"/>
                      <w:divBdr>
                        <w:top w:val="none" w:sz="0" w:space="0" w:color="auto"/>
                        <w:left w:val="none" w:sz="0" w:space="0" w:color="auto"/>
                        <w:bottom w:val="none" w:sz="0" w:space="0" w:color="auto"/>
                        <w:right w:val="none" w:sz="0" w:space="0" w:color="auto"/>
                      </w:divBdr>
                    </w:div>
                  </w:divsChild>
                </w:div>
                <w:div w:id="1685282756">
                  <w:marLeft w:val="0"/>
                  <w:marRight w:val="0"/>
                  <w:marTop w:val="0"/>
                  <w:marBottom w:val="0"/>
                  <w:divBdr>
                    <w:top w:val="none" w:sz="0" w:space="0" w:color="auto"/>
                    <w:left w:val="none" w:sz="0" w:space="0" w:color="auto"/>
                    <w:bottom w:val="none" w:sz="0" w:space="0" w:color="auto"/>
                    <w:right w:val="none" w:sz="0" w:space="0" w:color="auto"/>
                  </w:divBdr>
                  <w:divsChild>
                    <w:div w:id="2024548194">
                      <w:marLeft w:val="0"/>
                      <w:marRight w:val="0"/>
                      <w:marTop w:val="0"/>
                      <w:marBottom w:val="0"/>
                      <w:divBdr>
                        <w:top w:val="none" w:sz="0" w:space="0" w:color="auto"/>
                        <w:left w:val="none" w:sz="0" w:space="0" w:color="auto"/>
                        <w:bottom w:val="none" w:sz="0" w:space="0" w:color="auto"/>
                        <w:right w:val="none" w:sz="0" w:space="0" w:color="auto"/>
                      </w:divBdr>
                    </w:div>
                  </w:divsChild>
                </w:div>
                <w:div w:id="1709524402">
                  <w:marLeft w:val="0"/>
                  <w:marRight w:val="0"/>
                  <w:marTop w:val="0"/>
                  <w:marBottom w:val="0"/>
                  <w:divBdr>
                    <w:top w:val="none" w:sz="0" w:space="0" w:color="auto"/>
                    <w:left w:val="none" w:sz="0" w:space="0" w:color="auto"/>
                    <w:bottom w:val="none" w:sz="0" w:space="0" w:color="auto"/>
                    <w:right w:val="none" w:sz="0" w:space="0" w:color="auto"/>
                  </w:divBdr>
                  <w:divsChild>
                    <w:div w:id="331221058">
                      <w:marLeft w:val="0"/>
                      <w:marRight w:val="0"/>
                      <w:marTop w:val="0"/>
                      <w:marBottom w:val="0"/>
                      <w:divBdr>
                        <w:top w:val="none" w:sz="0" w:space="0" w:color="auto"/>
                        <w:left w:val="none" w:sz="0" w:space="0" w:color="auto"/>
                        <w:bottom w:val="none" w:sz="0" w:space="0" w:color="auto"/>
                        <w:right w:val="none" w:sz="0" w:space="0" w:color="auto"/>
                      </w:divBdr>
                    </w:div>
                  </w:divsChild>
                </w:div>
                <w:div w:id="1840921080">
                  <w:marLeft w:val="0"/>
                  <w:marRight w:val="0"/>
                  <w:marTop w:val="0"/>
                  <w:marBottom w:val="0"/>
                  <w:divBdr>
                    <w:top w:val="none" w:sz="0" w:space="0" w:color="auto"/>
                    <w:left w:val="none" w:sz="0" w:space="0" w:color="auto"/>
                    <w:bottom w:val="none" w:sz="0" w:space="0" w:color="auto"/>
                    <w:right w:val="none" w:sz="0" w:space="0" w:color="auto"/>
                  </w:divBdr>
                  <w:divsChild>
                    <w:div w:id="1868641553">
                      <w:marLeft w:val="0"/>
                      <w:marRight w:val="0"/>
                      <w:marTop w:val="0"/>
                      <w:marBottom w:val="0"/>
                      <w:divBdr>
                        <w:top w:val="none" w:sz="0" w:space="0" w:color="auto"/>
                        <w:left w:val="none" w:sz="0" w:space="0" w:color="auto"/>
                        <w:bottom w:val="none" w:sz="0" w:space="0" w:color="auto"/>
                        <w:right w:val="none" w:sz="0" w:space="0" w:color="auto"/>
                      </w:divBdr>
                    </w:div>
                  </w:divsChild>
                </w:div>
                <w:div w:id="1966233795">
                  <w:marLeft w:val="0"/>
                  <w:marRight w:val="0"/>
                  <w:marTop w:val="0"/>
                  <w:marBottom w:val="0"/>
                  <w:divBdr>
                    <w:top w:val="none" w:sz="0" w:space="0" w:color="auto"/>
                    <w:left w:val="none" w:sz="0" w:space="0" w:color="auto"/>
                    <w:bottom w:val="none" w:sz="0" w:space="0" w:color="auto"/>
                    <w:right w:val="none" w:sz="0" w:space="0" w:color="auto"/>
                  </w:divBdr>
                  <w:divsChild>
                    <w:div w:id="61363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8216">
          <w:marLeft w:val="0"/>
          <w:marRight w:val="0"/>
          <w:marTop w:val="0"/>
          <w:marBottom w:val="0"/>
          <w:divBdr>
            <w:top w:val="none" w:sz="0" w:space="0" w:color="auto"/>
            <w:left w:val="none" w:sz="0" w:space="0" w:color="auto"/>
            <w:bottom w:val="none" w:sz="0" w:space="0" w:color="auto"/>
            <w:right w:val="none" w:sz="0" w:space="0" w:color="auto"/>
          </w:divBdr>
          <w:divsChild>
            <w:div w:id="1113982131">
              <w:marLeft w:val="0"/>
              <w:marRight w:val="0"/>
              <w:marTop w:val="0"/>
              <w:marBottom w:val="0"/>
              <w:divBdr>
                <w:top w:val="none" w:sz="0" w:space="0" w:color="auto"/>
                <w:left w:val="none" w:sz="0" w:space="0" w:color="auto"/>
                <w:bottom w:val="none" w:sz="0" w:space="0" w:color="auto"/>
                <w:right w:val="none" w:sz="0" w:space="0" w:color="auto"/>
              </w:divBdr>
            </w:div>
            <w:div w:id="1161119215">
              <w:marLeft w:val="0"/>
              <w:marRight w:val="0"/>
              <w:marTop w:val="0"/>
              <w:marBottom w:val="0"/>
              <w:divBdr>
                <w:top w:val="none" w:sz="0" w:space="0" w:color="auto"/>
                <w:left w:val="none" w:sz="0" w:space="0" w:color="auto"/>
                <w:bottom w:val="none" w:sz="0" w:space="0" w:color="auto"/>
                <w:right w:val="none" w:sz="0" w:space="0" w:color="auto"/>
              </w:divBdr>
            </w:div>
            <w:div w:id="1594781035">
              <w:marLeft w:val="0"/>
              <w:marRight w:val="0"/>
              <w:marTop w:val="0"/>
              <w:marBottom w:val="0"/>
              <w:divBdr>
                <w:top w:val="none" w:sz="0" w:space="0" w:color="auto"/>
                <w:left w:val="none" w:sz="0" w:space="0" w:color="auto"/>
                <w:bottom w:val="none" w:sz="0" w:space="0" w:color="auto"/>
                <w:right w:val="none" w:sz="0" w:space="0" w:color="auto"/>
              </w:divBdr>
            </w:div>
          </w:divsChild>
        </w:div>
        <w:div w:id="2110999846">
          <w:marLeft w:val="0"/>
          <w:marRight w:val="0"/>
          <w:marTop w:val="0"/>
          <w:marBottom w:val="0"/>
          <w:divBdr>
            <w:top w:val="none" w:sz="0" w:space="0" w:color="auto"/>
            <w:left w:val="none" w:sz="0" w:space="0" w:color="auto"/>
            <w:bottom w:val="none" w:sz="0" w:space="0" w:color="auto"/>
            <w:right w:val="none" w:sz="0" w:space="0" w:color="auto"/>
          </w:divBdr>
          <w:divsChild>
            <w:div w:id="7800335">
              <w:marLeft w:val="0"/>
              <w:marRight w:val="0"/>
              <w:marTop w:val="0"/>
              <w:marBottom w:val="0"/>
              <w:divBdr>
                <w:top w:val="none" w:sz="0" w:space="0" w:color="auto"/>
                <w:left w:val="none" w:sz="0" w:space="0" w:color="auto"/>
                <w:bottom w:val="none" w:sz="0" w:space="0" w:color="auto"/>
                <w:right w:val="none" w:sz="0" w:space="0" w:color="auto"/>
              </w:divBdr>
            </w:div>
            <w:div w:id="611741400">
              <w:marLeft w:val="0"/>
              <w:marRight w:val="0"/>
              <w:marTop w:val="0"/>
              <w:marBottom w:val="0"/>
              <w:divBdr>
                <w:top w:val="none" w:sz="0" w:space="0" w:color="auto"/>
                <w:left w:val="none" w:sz="0" w:space="0" w:color="auto"/>
                <w:bottom w:val="none" w:sz="0" w:space="0" w:color="auto"/>
                <w:right w:val="none" w:sz="0" w:space="0" w:color="auto"/>
              </w:divBdr>
            </w:div>
            <w:div w:id="1386375512">
              <w:marLeft w:val="0"/>
              <w:marRight w:val="0"/>
              <w:marTop w:val="0"/>
              <w:marBottom w:val="0"/>
              <w:divBdr>
                <w:top w:val="none" w:sz="0" w:space="0" w:color="auto"/>
                <w:left w:val="none" w:sz="0" w:space="0" w:color="auto"/>
                <w:bottom w:val="none" w:sz="0" w:space="0" w:color="auto"/>
                <w:right w:val="none" w:sz="0" w:space="0" w:color="auto"/>
              </w:divBdr>
            </w:div>
            <w:div w:id="17706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5384">
      <w:bodyDiv w:val="1"/>
      <w:marLeft w:val="0"/>
      <w:marRight w:val="0"/>
      <w:marTop w:val="0"/>
      <w:marBottom w:val="0"/>
      <w:divBdr>
        <w:top w:val="none" w:sz="0" w:space="0" w:color="auto"/>
        <w:left w:val="none" w:sz="0" w:space="0" w:color="auto"/>
        <w:bottom w:val="none" w:sz="0" w:space="0" w:color="auto"/>
        <w:right w:val="none" w:sz="0" w:space="0" w:color="auto"/>
      </w:divBdr>
    </w:div>
    <w:div w:id="383867856">
      <w:bodyDiv w:val="1"/>
      <w:marLeft w:val="0"/>
      <w:marRight w:val="0"/>
      <w:marTop w:val="0"/>
      <w:marBottom w:val="0"/>
      <w:divBdr>
        <w:top w:val="none" w:sz="0" w:space="0" w:color="auto"/>
        <w:left w:val="none" w:sz="0" w:space="0" w:color="auto"/>
        <w:bottom w:val="none" w:sz="0" w:space="0" w:color="auto"/>
        <w:right w:val="none" w:sz="0" w:space="0" w:color="auto"/>
      </w:divBdr>
      <w:divsChild>
        <w:div w:id="20714129">
          <w:marLeft w:val="0"/>
          <w:marRight w:val="0"/>
          <w:marTop w:val="0"/>
          <w:marBottom w:val="0"/>
          <w:divBdr>
            <w:top w:val="none" w:sz="0" w:space="0" w:color="auto"/>
            <w:left w:val="none" w:sz="0" w:space="0" w:color="auto"/>
            <w:bottom w:val="none" w:sz="0" w:space="0" w:color="auto"/>
            <w:right w:val="none" w:sz="0" w:space="0" w:color="auto"/>
          </w:divBdr>
        </w:div>
        <w:div w:id="204873969">
          <w:marLeft w:val="0"/>
          <w:marRight w:val="0"/>
          <w:marTop w:val="0"/>
          <w:marBottom w:val="0"/>
          <w:divBdr>
            <w:top w:val="none" w:sz="0" w:space="0" w:color="auto"/>
            <w:left w:val="none" w:sz="0" w:space="0" w:color="auto"/>
            <w:bottom w:val="none" w:sz="0" w:space="0" w:color="auto"/>
            <w:right w:val="none" w:sz="0" w:space="0" w:color="auto"/>
          </w:divBdr>
        </w:div>
        <w:div w:id="205144141">
          <w:marLeft w:val="0"/>
          <w:marRight w:val="0"/>
          <w:marTop w:val="0"/>
          <w:marBottom w:val="0"/>
          <w:divBdr>
            <w:top w:val="none" w:sz="0" w:space="0" w:color="auto"/>
            <w:left w:val="none" w:sz="0" w:space="0" w:color="auto"/>
            <w:bottom w:val="none" w:sz="0" w:space="0" w:color="auto"/>
            <w:right w:val="none" w:sz="0" w:space="0" w:color="auto"/>
          </w:divBdr>
          <w:divsChild>
            <w:div w:id="332611385">
              <w:marLeft w:val="-75"/>
              <w:marRight w:val="0"/>
              <w:marTop w:val="30"/>
              <w:marBottom w:val="30"/>
              <w:divBdr>
                <w:top w:val="none" w:sz="0" w:space="0" w:color="auto"/>
                <w:left w:val="none" w:sz="0" w:space="0" w:color="auto"/>
                <w:bottom w:val="none" w:sz="0" w:space="0" w:color="auto"/>
                <w:right w:val="none" w:sz="0" w:space="0" w:color="auto"/>
              </w:divBdr>
              <w:divsChild>
                <w:div w:id="72359456">
                  <w:marLeft w:val="0"/>
                  <w:marRight w:val="0"/>
                  <w:marTop w:val="0"/>
                  <w:marBottom w:val="0"/>
                  <w:divBdr>
                    <w:top w:val="none" w:sz="0" w:space="0" w:color="auto"/>
                    <w:left w:val="none" w:sz="0" w:space="0" w:color="auto"/>
                    <w:bottom w:val="none" w:sz="0" w:space="0" w:color="auto"/>
                    <w:right w:val="none" w:sz="0" w:space="0" w:color="auto"/>
                  </w:divBdr>
                  <w:divsChild>
                    <w:div w:id="639187558">
                      <w:marLeft w:val="0"/>
                      <w:marRight w:val="0"/>
                      <w:marTop w:val="0"/>
                      <w:marBottom w:val="0"/>
                      <w:divBdr>
                        <w:top w:val="none" w:sz="0" w:space="0" w:color="auto"/>
                        <w:left w:val="none" w:sz="0" w:space="0" w:color="auto"/>
                        <w:bottom w:val="none" w:sz="0" w:space="0" w:color="auto"/>
                        <w:right w:val="none" w:sz="0" w:space="0" w:color="auto"/>
                      </w:divBdr>
                    </w:div>
                  </w:divsChild>
                </w:div>
                <w:div w:id="119689526">
                  <w:marLeft w:val="0"/>
                  <w:marRight w:val="0"/>
                  <w:marTop w:val="0"/>
                  <w:marBottom w:val="0"/>
                  <w:divBdr>
                    <w:top w:val="none" w:sz="0" w:space="0" w:color="auto"/>
                    <w:left w:val="none" w:sz="0" w:space="0" w:color="auto"/>
                    <w:bottom w:val="none" w:sz="0" w:space="0" w:color="auto"/>
                    <w:right w:val="none" w:sz="0" w:space="0" w:color="auto"/>
                  </w:divBdr>
                  <w:divsChild>
                    <w:div w:id="161360642">
                      <w:marLeft w:val="0"/>
                      <w:marRight w:val="0"/>
                      <w:marTop w:val="0"/>
                      <w:marBottom w:val="0"/>
                      <w:divBdr>
                        <w:top w:val="none" w:sz="0" w:space="0" w:color="auto"/>
                        <w:left w:val="none" w:sz="0" w:space="0" w:color="auto"/>
                        <w:bottom w:val="none" w:sz="0" w:space="0" w:color="auto"/>
                        <w:right w:val="none" w:sz="0" w:space="0" w:color="auto"/>
                      </w:divBdr>
                    </w:div>
                  </w:divsChild>
                </w:div>
                <w:div w:id="130096457">
                  <w:marLeft w:val="0"/>
                  <w:marRight w:val="0"/>
                  <w:marTop w:val="0"/>
                  <w:marBottom w:val="0"/>
                  <w:divBdr>
                    <w:top w:val="none" w:sz="0" w:space="0" w:color="auto"/>
                    <w:left w:val="none" w:sz="0" w:space="0" w:color="auto"/>
                    <w:bottom w:val="none" w:sz="0" w:space="0" w:color="auto"/>
                    <w:right w:val="none" w:sz="0" w:space="0" w:color="auto"/>
                  </w:divBdr>
                  <w:divsChild>
                    <w:div w:id="688259469">
                      <w:marLeft w:val="0"/>
                      <w:marRight w:val="0"/>
                      <w:marTop w:val="0"/>
                      <w:marBottom w:val="0"/>
                      <w:divBdr>
                        <w:top w:val="none" w:sz="0" w:space="0" w:color="auto"/>
                        <w:left w:val="none" w:sz="0" w:space="0" w:color="auto"/>
                        <w:bottom w:val="none" w:sz="0" w:space="0" w:color="auto"/>
                        <w:right w:val="none" w:sz="0" w:space="0" w:color="auto"/>
                      </w:divBdr>
                    </w:div>
                  </w:divsChild>
                </w:div>
                <w:div w:id="180241334">
                  <w:marLeft w:val="0"/>
                  <w:marRight w:val="0"/>
                  <w:marTop w:val="0"/>
                  <w:marBottom w:val="0"/>
                  <w:divBdr>
                    <w:top w:val="none" w:sz="0" w:space="0" w:color="auto"/>
                    <w:left w:val="none" w:sz="0" w:space="0" w:color="auto"/>
                    <w:bottom w:val="none" w:sz="0" w:space="0" w:color="auto"/>
                    <w:right w:val="none" w:sz="0" w:space="0" w:color="auto"/>
                  </w:divBdr>
                  <w:divsChild>
                    <w:div w:id="1183013194">
                      <w:marLeft w:val="0"/>
                      <w:marRight w:val="0"/>
                      <w:marTop w:val="0"/>
                      <w:marBottom w:val="0"/>
                      <w:divBdr>
                        <w:top w:val="none" w:sz="0" w:space="0" w:color="auto"/>
                        <w:left w:val="none" w:sz="0" w:space="0" w:color="auto"/>
                        <w:bottom w:val="none" w:sz="0" w:space="0" w:color="auto"/>
                        <w:right w:val="none" w:sz="0" w:space="0" w:color="auto"/>
                      </w:divBdr>
                    </w:div>
                  </w:divsChild>
                </w:div>
                <w:div w:id="201021182">
                  <w:marLeft w:val="0"/>
                  <w:marRight w:val="0"/>
                  <w:marTop w:val="0"/>
                  <w:marBottom w:val="0"/>
                  <w:divBdr>
                    <w:top w:val="none" w:sz="0" w:space="0" w:color="auto"/>
                    <w:left w:val="none" w:sz="0" w:space="0" w:color="auto"/>
                    <w:bottom w:val="none" w:sz="0" w:space="0" w:color="auto"/>
                    <w:right w:val="none" w:sz="0" w:space="0" w:color="auto"/>
                  </w:divBdr>
                  <w:divsChild>
                    <w:div w:id="419372211">
                      <w:marLeft w:val="0"/>
                      <w:marRight w:val="0"/>
                      <w:marTop w:val="0"/>
                      <w:marBottom w:val="0"/>
                      <w:divBdr>
                        <w:top w:val="none" w:sz="0" w:space="0" w:color="auto"/>
                        <w:left w:val="none" w:sz="0" w:space="0" w:color="auto"/>
                        <w:bottom w:val="none" w:sz="0" w:space="0" w:color="auto"/>
                        <w:right w:val="none" w:sz="0" w:space="0" w:color="auto"/>
                      </w:divBdr>
                    </w:div>
                  </w:divsChild>
                </w:div>
                <w:div w:id="429546416">
                  <w:marLeft w:val="0"/>
                  <w:marRight w:val="0"/>
                  <w:marTop w:val="0"/>
                  <w:marBottom w:val="0"/>
                  <w:divBdr>
                    <w:top w:val="none" w:sz="0" w:space="0" w:color="auto"/>
                    <w:left w:val="none" w:sz="0" w:space="0" w:color="auto"/>
                    <w:bottom w:val="none" w:sz="0" w:space="0" w:color="auto"/>
                    <w:right w:val="none" w:sz="0" w:space="0" w:color="auto"/>
                  </w:divBdr>
                  <w:divsChild>
                    <w:div w:id="860245285">
                      <w:marLeft w:val="0"/>
                      <w:marRight w:val="0"/>
                      <w:marTop w:val="0"/>
                      <w:marBottom w:val="0"/>
                      <w:divBdr>
                        <w:top w:val="none" w:sz="0" w:space="0" w:color="auto"/>
                        <w:left w:val="none" w:sz="0" w:space="0" w:color="auto"/>
                        <w:bottom w:val="none" w:sz="0" w:space="0" w:color="auto"/>
                        <w:right w:val="none" w:sz="0" w:space="0" w:color="auto"/>
                      </w:divBdr>
                    </w:div>
                  </w:divsChild>
                </w:div>
                <w:div w:id="498229156">
                  <w:marLeft w:val="0"/>
                  <w:marRight w:val="0"/>
                  <w:marTop w:val="0"/>
                  <w:marBottom w:val="0"/>
                  <w:divBdr>
                    <w:top w:val="none" w:sz="0" w:space="0" w:color="auto"/>
                    <w:left w:val="none" w:sz="0" w:space="0" w:color="auto"/>
                    <w:bottom w:val="none" w:sz="0" w:space="0" w:color="auto"/>
                    <w:right w:val="none" w:sz="0" w:space="0" w:color="auto"/>
                  </w:divBdr>
                  <w:divsChild>
                    <w:div w:id="2030982688">
                      <w:marLeft w:val="0"/>
                      <w:marRight w:val="0"/>
                      <w:marTop w:val="0"/>
                      <w:marBottom w:val="0"/>
                      <w:divBdr>
                        <w:top w:val="none" w:sz="0" w:space="0" w:color="auto"/>
                        <w:left w:val="none" w:sz="0" w:space="0" w:color="auto"/>
                        <w:bottom w:val="none" w:sz="0" w:space="0" w:color="auto"/>
                        <w:right w:val="none" w:sz="0" w:space="0" w:color="auto"/>
                      </w:divBdr>
                    </w:div>
                  </w:divsChild>
                </w:div>
                <w:div w:id="500436163">
                  <w:marLeft w:val="0"/>
                  <w:marRight w:val="0"/>
                  <w:marTop w:val="0"/>
                  <w:marBottom w:val="0"/>
                  <w:divBdr>
                    <w:top w:val="none" w:sz="0" w:space="0" w:color="auto"/>
                    <w:left w:val="none" w:sz="0" w:space="0" w:color="auto"/>
                    <w:bottom w:val="none" w:sz="0" w:space="0" w:color="auto"/>
                    <w:right w:val="none" w:sz="0" w:space="0" w:color="auto"/>
                  </w:divBdr>
                  <w:divsChild>
                    <w:div w:id="1948736165">
                      <w:marLeft w:val="0"/>
                      <w:marRight w:val="0"/>
                      <w:marTop w:val="0"/>
                      <w:marBottom w:val="0"/>
                      <w:divBdr>
                        <w:top w:val="none" w:sz="0" w:space="0" w:color="auto"/>
                        <w:left w:val="none" w:sz="0" w:space="0" w:color="auto"/>
                        <w:bottom w:val="none" w:sz="0" w:space="0" w:color="auto"/>
                        <w:right w:val="none" w:sz="0" w:space="0" w:color="auto"/>
                      </w:divBdr>
                    </w:div>
                  </w:divsChild>
                </w:div>
                <w:div w:id="895122264">
                  <w:marLeft w:val="0"/>
                  <w:marRight w:val="0"/>
                  <w:marTop w:val="0"/>
                  <w:marBottom w:val="0"/>
                  <w:divBdr>
                    <w:top w:val="none" w:sz="0" w:space="0" w:color="auto"/>
                    <w:left w:val="none" w:sz="0" w:space="0" w:color="auto"/>
                    <w:bottom w:val="none" w:sz="0" w:space="0" w:color="auto"/>
                    <w:right w:val="none" w:sz="0" w:space="0" w:color="auto"/>
                  </w:divBdr>
                  <w:divsChild>
                    <w:div w:id="104232499">
                      <w:marLeft w:val="0"/>
                      <w:marRight w:val="0"/>
                      <w:marTop w:val="0"/>
                      <w:marBottom w:val="0"/>
                      <w:divBdr>
                        <w:top w:val="none" w:sz="0" w:space="0" w:color="auto"/>
                        <w:left w:val="none" w:sz="0" w:space="0" w:color="auto"/>
                        <w:bottom w:val="none" w:sz="0" w:space="0" w:color="auto"/>
                        <w:right w:val="none" w:sz="0" w:space="0" w:color="auto"/>
                      </w:divBdr>
                    </w:div>
                  </w:divsChild>
                </w:div>
                <w:div w:id="937756009">
                  <w:marLeft w:val="0"/>
                  <w:marRight w:val="0"/>
                  <w:marTop w:val="0"/>
                  <w:marBottom w:val="0"/>
                  <w:divBdr>
                    <w:top w:val="none" w:sz="0" w:space="0" w:color="auto"/>
                    <w:left w:val="none" w:sz="0" w:space="0" w:color="auto"/>
                    <w:bottom w:val="none" w:sz="0" w:space="0" w:color="auto"/>
                    <w:right w:val="none" w:sz="0" w:space="0" w:color="auto"/>
                  </w:divBdr>
                  <w:divsChild>
                    <w:div w:id="2059159014">
                      <w:marLeft w:val="0"/>
                      <w:marRight w:val="0"/>
                      <w:marTop w:val="0"/>
                      <w:marBottom w:val="0"/>
                      <w:divBdr>
                        <w:top w:val="none" w:sz="0" w:space="0" w:color="auto"/>
                        <w:left w:val="none" w:sz="0" w:space="0" w:color="auto"/>
                        <w:bottom w:val="none" w:sz="0" w:space="0" w:color="auto"/>
                        <w:right w:val="none" w:sz="0" w:space="0" w:color="auto"/>
                      </w:divBdr>
                    </w:div>
                  </w:divsChild>
                </w:div>
                <w:div w:id="966542312">
                  <w:marLeft w:val="0"/>
                  <w:marRight w:val="0"/>
                  <w:marTop w:val="0"/>
                  <w:marBottom w:val="0"/>
                  <w:divBdr>
                    <w:top w:val="none" w:sz="0" w:space="0" w:color="auto"/>
                    <w:left w:val="none" w:sz="0" w:space="0" w:color="auto"/>
                    <w:bottom w:val="none" w:sz="0" w:space="0" w:color="auto"/>
                    <w:right w:val="none" w:sz="0" w:space="0" w:color="auto"/>
                  </w:divBdr>
                  <w:divsChild>
                    <w:div w:id="1435982872">
                      <w:marLeft w:val="0"/>
                      <w:marRight w:val="0"/>
                      <w:marTop w:val="0"/>
                      <w:marBottom w:val="0"/>
                      <w:divBdr>
                        <w:top w:val="none" w:sz="0" w:space="0" w:color="auto"/>
                        <w:left w:val="none" w:sz="0" w:space="0" w:color="auto"/>
                        <w:bottom w:val="none" w:sz="0" w:space="0" w:color="auto"/>
                        <w:right w:val="none" w:sz="0" w:space="0" w:color="auto"/>
                      </w:divBdr>
                    </w:div>
                  </w:divsChild>
                </w:div>
                <w:div w:id="1107624979">
                  <w:marLeft w:val="0"/>
                  <w:marRight w:val="0"/>
                  <w:marTop w:val="0"/>
                  <w:marBottom w:val="0"/>
                  <w:divBdr>
                    <w:top w:val="none" w:sz="0" w:space="0" w:color="auto"/>
                    <w:left w:val="none" w:sz="0" w:space="0" w:color="auto"/>
                    <w:bottom w:val="none" w:sz="0" w:space="0" w:color="auto"/>
                    <w:right w:val="none" w:sz="0" w:space="0" w:color="auto"/>
                  </w:divBdr>
                  <w:divsChild>
                    <w:div w:id="243688133">
                      <w:marLeft w:val="0"/>
                      <w:marRight w:val="0"/>
                      <w:marTop w:val="0"/>
                      <w:marBottom w:val="0"/>
                      <w:divBdr>
                        <w:top w:val="none" w:sz="0" w:space="0" w:color="auto"/>
                        <w:left w:val="none" w:sz="0" w:space="0" w:color="auto"/>
                        <w:bottom w:val="none" w:sz="0" w:space="0" w:color="auto"/>
                        <w:right w:val="none" w:sz="0" w:space="0" w:color="auto"/>
                      </w:divBdr>
                    </w:div>
                  </w:divsChild>
                </w:div>
                <w:div w:id="1164509571">
                  <w:marLeft w:val="0"/>
                  <w:marRight w:val="0"/>
                  <w:marTop w:val="0"/>
                  <w:marBottom w:val="0"/>
                  <w:divBdr>
                    <w:top w:val="none" w:sz="0" w:space="0" w:color="auto"/>
                    <w:left w:val="none" w:sz="0" w:space="0" w:color="auto"/>
                    <w:bottom w:val="none" w:sz="0" w:space="0" w:color="auto"/>
                    <w:right w:val="none" w:sz="0" w:space="0" w:color="auto"/>
                  </w:divBdr>
                  <w:divsChild>
                    <w:div w:id="1649437448">
                      <w:marLeft w:val="0"/>
                      <w:marRight w:val="0"/>
                      <w:marTop w:val="0"/>
                      <w:marBottom w:val="0"/>
                      <w:divBdr>
                        <w:top w:val="none" w:sz="0" w:space="0" w:color="auto"/>
                        <w:left w:val="none" w:sz="0" w:space="0" w:color="auto"/>
                        <w:bottom w:val="none" w:sz="0" w:space="0" w:color="auto"/>
                        <w:right w:val="none" w:sz="0" w:space="0" w:color="auto"/>
                      </w:divBdr>
                    </w:div>
                  </w:divsChild>
                </w:div>
                <w:div w:id="1247957703">
                  <w:marLeft w:val="0"/>
                  <w:marRight w:val="0"/>
                  <w:marTop w:val="0"/>
                  <w:marBottom w:val="0"/>
                  <w:divBdr>
                    <w:top w:val="none" w:sz="0" w:space="0" w:color="auto"/>
                    <w:left w:val="none" w:sz="0" w:space="0" w:color="auto"/>
                    <w:bottom w:val="none" w:sz="0" w:space="0" w:color="auto"/>
                    <w:right w:val="none" w:sz="0" w:space="0" w:color="auto"/>
                  </w:divBdr>
                  <w:divsChild>
                    <w:div w:id="181632000">
                      <w:marLeft w:val="0"/>
                      <w:marRight w:val="0"/>
                      <w:marTop w:val="0"/>
                      <w:marBottom w:val="0"/>
                      <w:divBdr>
                        <w:top w:val="none" w:sz="0" w:space="0" w:color="auto"/>
                        <w:left w:val="none" w:sz="0" w:space="0" w:color="auto"/>
                        <w:bottom w:val="none" w:sz="0" w:space="0" w:color="auto"/>
                        <w:right w:val="none" w:sz="0" w:space="0" w:color="auto"/>
                      </w:divBdr>
                    </w:div>
                  </w:divsChild>
                </w:div>
                <w:div w:id="1263683418">
                  <w:marLeft w:val="0"/>
                  <w:marRight w:val="0"/>
                  <w:marTop w:val="0"/>
                  <w:marBottom w:val="0"/>
                  <w:divBdr>
                    <w:top w:val="none" w:sz="0" w:space="0" w:color="auto"/>
                    <w:left w:val="none" w:sz="0" w:space="0" w:color="auto"/>
                    <w:bottom w:val="none" w:sz="0" w:space="0" w:color="auto"/>
                    <w:right w:val="none" w:sz="0" w:space="0" w:color="auto"/>
                  </w:divBdr>
                  <w:divsChild>
                    <w:div w:id="230581834">
                      <w:marLeft w:val="0"/>
                      <w:marRight w:val="0"/>
                      <w:marTop w:val="0"/>
                      <w:marBottom w:val="0"/>
                      <w:divBdr>
                        <w:top w:val="none" w:sz="0" w:space="0" w:color="auto"/>
                        <w:left w:val="none" w:sz="0" w:space="0" w:color="auto"/>
                        <w:bottom w:val="none" w:sz="0" w:space="0" w:color="auto"/>
                        <w:right w:val="none" w:sz="0" w:space="0" w:color="auto"/>
                      </w:divBdr>
                    </w:div>
                  </w:divsChild>
                </w:div>
                <w:div w:id="1377193308">
                  <w:marLeft w:val="0"/>
                  <w:marRight w:val="0"/>
                  <w:marTop w:val="0"/>
                  <w:marBottom w:val="0"/>
                  <w:divBdr>
                    <w:top w:val="none" w:sz="0" w:space="0" w:color="auto"/>
                    <w:left w:val="none" w:sz="0" w:space="0" w:color="auto"/>
                    <w:bottom w:val="none" w:sz="0" w:space="0" w:color="auto"/>
                    <w:right w:val="none" w:sz="0" w:space="0" w:color="auto"/>
                  </w:divBdr>
                  <w:divsChild>
                    <w:div w:id="150487427">
                      <w:marLeft w:val="0"/>
                      <w:marRight w:val="0"/>
                      <w:marTop w:val="0"/>
                      <w:marBottom w:val="0"/>
                      <w:divBdr>
                        <w:top w:val="none" w:sz="0" w:space="0" w:color="auto"/>
                        <w:left w:val="none" w:sz="0" w:space="0" w:color="auto"/>
                        <w:bottom w:val="none" w:sz="0" w:space="0" w:color="auto"/>
                        <w:right w:val="none" w:sz="0" w:space="0" w:color="auto"/>
                      </w:divBdr>
                    </w:div>
                  </w:divsChild>
                </w:div>
                <w:div w:id="1415973878">
                  <w:marLeft w:val="0"/>
                  <w:marRight w:val="0"/>
                  <w:marTop w:val="0"/>
                  <w:marBottom w:val="0"/>
                  <w:divBdr>
                    <w:top w:val="none" w:sz="0" w:space="0" w:color="auto"/>
                    <w:left w:val="none" w:sz="0" w:space="0" w:color="auto"/>
                    <w:bottom w:val="none" w:sz="0" w:space="0" w:color="auto"/>
                    <w:right w:val="none" w:sz="0" w:space="0" w:color="auto"/>
                  </w:divBdr>
                  <w:divsChild>
                    <w:div w:id="1327587260">
                      <w:marLeft w:val="0"/>
                      <w:marRight w:val="0"/>
                      <w:marTop w:val="0"/>
                      <w:marBottom w:val="0"/>
                      <w:divBdr>
                        <w:top w:val="none" w:sz="0" w:space="0" w:color="auto"/>
                        <w:left w:val="none" w:sz="0" w:space="0" w:color="auto"/>
                        <w:bottom w:val="none" w:sz="0" w:space="0" w:color="auto"/>
                        <w:right w:val="none" w:sz="0" w:space="0" w:color="auto"/>
                      </w:divBdr>
                    </w:div>
                  </w:divsChild>
                </w:div>
                <w:div w:id="1714421964">
                  <w:marLeft w:val="0"/>
                  <w:marRight w:val="0"/>
                  <w:marTop w:val="0"/>
                  <w:marBottom w:val="0"/>
                  <w:divBdr>
                    <w:top w:val="none" w:sz="0" w:space="0" w:color="auto"/>
                    <w:left w:val="none" w:sz="0" w:space="0" w:color="auto"/>
                    <w:bottom w:val="none" w:sz="0" w:space="0" w:color="auto"/>
                    <w:right w:val="none" w:sz="0" w:space="0" w:color="auto"/>
                  </w:divBdr>
                  <w:divsChild>
                    <w:div w:id="2130512963">
                      <w:marLeft w:val="0"/>
                      <w:marRight w:val="0"/>
                      <w:marTop w:val="0"/>
                      <w:marBottom w:val="0"/>
                      <w:divBdr>
                        <w:top w:val="none" w:sz="0" w:space="0" w:color="auto"/>
                        <w:left w:val="none" w:sz="0" w:space="0" w:color="auto"/>
                        <w:bottom w:val="none" w:sz="0" w:space="0" w:color="auto"/>
                        <w:right w:val="none" w:sz="0" w:space="0" w:color="auto"/>
                      </w:divBdr>
                    </w:div>
                  </w:divsChild>
                </w:div>
                <w:div w:id="1728911295">
                  <w:marLeft w:val="0"/>
                  <w:marRight w:val="0"/>
                  <w:marTop w:val="0"/>
                  <w:marBottom w:val="0"/>
                  <w:divBdr>
                    <w:top w:val="none" w:sz="0" w:space="0" w:color="auto"/>
                    <w:left w:val="none" w:sz="0" w:space="0" w:color="auto"/>
                    <w:bottom w:val="none" w:sz="0" w:space="0" w:color="auto"/>
                    <w:right w:val="none" w:sz="0" w:space="0" w:color="auto"/>
                  </w:divBdr>
                  <w:divsChild>
                    <w:div w:id="11832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37615">
          <w:marLeft w:val="0"/>
          <w:marRight w:val="0"/>
          <w:marTop w:val="0"/>
          <w:marBottom w:val="0"/>
          <w:divBdr>
            <w:top w:val="none" w:sz="0" w:space="0" w:color="auto"/>
            <w:left w:val="none" w:sz="0" w:space="0" w:color="auto"/>
            <w:bottom w:val="none" w:sz="0" w:space="0" w:color="auto"/>
            <w:right w:val="none" w:sz="0" w:space="0" w:color="auto"/>
          </w:divBdr>
        </w:div>
        <w:div w:id="557864603">
          <w:marLeft w:val="0"/>
          <w:marRight w:val="0"/>
          <w:marTop w:val="0"/>
          <w:marBottom w:val="0"/>
          <w:divBdr>
            <w:top w:val="none" w:sz="0" w:space="0" w:color="auto"/>
            <w:left w:val="none" w:sz="0" w:space="0" w:color="auto"/>
            <w:bottom w:val="none" w:sz="0" w:space="0" w:color="auto"/>
            <w:right w:val="none" w:sz="0" w:space="0" w:color="auto"/>
          </w:divBdr>
          <w:divsChild>
            <w:div w:id="28385097">
              <w:marLeft w:val="0"/>
              <w:marRight w:val="0"/>
              <w:marTop w:val="0"/>
              <w:marBottom w:val="0"/>
              <w:divBdr>
                <w:top w:val="none" w:sz="0" w:space="0" w:color="auto"/>
                <w:left w:val="none" w:sz="0" w:space="0" w:color="auto"/>
                <w:bottom w:val="none" w:sz="0" w:space="0" w:color="auto"/>
                <w:right w:val="none" w:sz="0" w:space="0" w:color="auto"/>
              </w:divBdr>
            </w:div>
            <w:div w:id="609437141">
              <w:marLeft w:val="0"/>
              <w:marRight w:val="0"/>
              <w:marTop w:val="0"/>
              <w:marBottom w:val="0"/>
              <w:divBdr>
                <w:top w:val="none" w:sz="0" w:space="0" w:color="auto"/>
                <w:left w:val="none" w:sz="0" w:space="0" w:color="auto"/>
                <w:bottom w:val="none" w:sz="0" w:space="0" w:color="auto"/>
                <w:right w:val="none" w:sz="0" w:space="0" w:color="auto"/>
              </w:divBdr>
            </w:div>
            <w:div w:id="1006178005">
              <w:marLeft w:val="0"/>
              <w:marRight w:val="0"/>
              <w:marTop w:val="0"/>
              <w:marBottom w:val="0"/>
              <w:divBdr>
                <w:top w:val="none" w:sz="0" w:space="0" w:color="auto"/>
                <w:left w:val="none" w:sz="0" w:space="0" w:color="auto"/>
                <w:bottom w:val="none" w:sz="0" w:space="0" w:color="auto"/>
                <w:right w:val="none" w:sz="0" w:space="0" w:color="auto"/>
              </w:divBdr>
            </w:div>
            <w:div w:id="1282152909">
              <w:marLeft w:val="0"/>
              <w:marRight w:val="0"/>
              <w:marTop w:val="0"/>
              <w:marBottom w:val="0"/>
              <w:divBdr>
                <w:top w:val="none" w:sz="0" w:space="0" w:color="auto"/>
                <w:left w:val="none" w:sz="0" w:space="0" w:color="auto"/>
                <w:bottom w:val="none" w:sz="0" w:space="0" w:color="auto"/>
                <w:right w:val="none" w:sz="0" w:space="0" w:color="auto"/>
              </w:divBdr>
            </w:div>
            <w:div w:id="1457680783">
              <w:marLeft w:val="0"/>
              <w:marRight w:val="0"/>
              <w:marTop w:val="0"/>
              <w:marBottom w:val="0"/>
              <w:divBdr>
                <w:top w:val="none" w:sz="0" w:space="0" w:color="auto"/>
                <w:left w:val="none" w:sz="0" w:space="0" w:color="auto"/>
                <w:bottom w:val="none" w:sz="0" w:space="0" w:color="auto"/>
                <w:right w:val="none" w:sz="0" w:space="0" w:color="auto"/>
              </w:divBdr>
            </w:div>
          </w:divsChild>
        </w:div>
        <w:div w:id="623314926">
          <w:marLeft w:val="0"/>
          <w:marRight w:val="0"/>
          <w:marTop w:val="0"/>
          <w:marBottom w:val="0"/>
          <w:divBdr>
            <w:top w:val="none" w:sz="0" w:space="0" w:color="auto"/>
            <w:left w:val="none" w:sz="0" w:space="0" w:color="auto"/>
            <w:bottom w:val="none" w:sz="0" w:space="0" w:color="auto"/>
            <w:right w:val="none" w:sz="0" w:space="0" w:color="auto"/>
          </w:divBdr>
        </w:div>
        <w:div w:id="645017232">
          <w:marLeft w:val="0"/>
          <w:marRight w:val="0"/>
          <w:marTop w:val="0"/>
          <w:marBottom w:val="0"/>
          <w:divBdr>
            <w:top w:val="none" w:sz="0" w:space="0" w:color="auto"/>
            <w:left w:val="none" w:sz="0" w:space="0" w:color="auto"/>
            <w:bottom w:val="none" w:sz="0" w:space="0" w:color="auto"/>
            <w:right w:val="none" w:sz="0" w:space="0" w:color="auto"/>
          </w:divBdr>
        </w:div>
        <w:div w:id="720056941">
          <w:marLeft w:val="0"/>
          <w:marRight w:val="0"/>
          <w:marTop w:val="0"/>
          <w:marBottom w:val="0"/>
          <w:divBdr>
            <w:top w:val="none" w:sz="0" w:space="0" w:color="auto"/>
            <w:left w:val="none" w:sz="0" w:space="0" w:color="auto"/>
            <w:bottom w:val="none" w:sz="0" w:space="0" w:color="auto"/>
            <w:right w:val="none" w:sz="0" w:space="0" w:color="auto"/>
          </w:divBdr>
        </w:div>
        <w:div w:id="724334596">
          <w:marLeft w:val="0"/>
          <w:marRight w:val="0"/>
          <w:marTop w:val="0"/>
          <w:marBottom w:val="0"/>
          <w:divBdr>
            <w:top w:val="none" w:sz="0" w:space="0" w:color="auto"/>
            <w:left w:val="none" w:sz="0" w:space="0" w:color="auto"/>
            <w:bottom w:val="none" w:sz="0" w:space="0" w:color="auto"/>
            <w:right w:val="none" w:sz="0" w:space="0" w:color="auto"/>
          </w:divBdr>
          <w:divsChild>
            <w:div w:id="594939446">
              <w:marLeft w:val="0"/>
              <w:marRight w:val="0"/>
              <w:marTop w:val="0"/>
              <w:marBottom w:val="0"/>
              <w:divBdr>
                <w:top w:val="none" w:sz="0" w:space="0" w:color="auto"/>
                <w:left w:val="none" w:sz="0" w:space="0" w:color="auto"/>
                <w:bottom w:val="none" w:sz="0" w:space="0" w:color="auto"/>
                <w:right w:val="none" w:sz="0" w:space="0" w:color="auto"/>
              </w:divBdr>
            </w:div>
            <w:div w:id="762189219">
              <w:marLeft w:val="0"/>
              <w:marRight w:val="0"/>
              <w:marTop w:val="0"/>
              <w:marBottom w:val="0"/>
              <w:divBdr>
                <w:top w:val="none" w:sz="0" w:space="0" w:color="auto"/>
                <w:left w:val="none" w:sz="0" w:space="0" w:color="auto"/>
                <w:bottom w:val="none" w:sz="0" w:space="0" w:color="auto"/>
                <w:right w:val="none" w:sz="0" w:space="0" w:color="auto"/>
              </w:divBdr>
            </w:div>
            <w:div w:id="1031227459">
              <w:marLeft w:val="0"/>
              <w:marRight w:val="0"/>
              <w:marTop w:val="0"/>
              <w:marBottom w:val="0"/>
              <w:divBdr>
                <w:top w:val="none" w:sz="0" w:space="0" w:color="auto"/>
                <w:left w:val="none" w:sz="0" w:space="0" w:color="auto"/>
                <w:bottom w:val="none" w:sz="0" w:space="0" w:color="auto"/>
                <w:right w:val="none" w:sz="0" w:space="0" w:color="auto"/>
              </w:divBdr>
            </w:div>
            <w:div w:id="1827209364">
              <w:marLeft w:val="0"/>
              <w:marRight w:val="0"/>
              <w:marTop w:val="0"/>
              <w:marBottom w:val="0"/>
              <w:divBdr>
                <w:top w:val="none" w:sz="0" w:space="0" w:color="auto"/>
                <w:left w:val="none" w:sz="0" w:space="0" w:color="auto"/>
                <w:bottom w:val="none" w:sz="0" w:space="0" w:color="auto"/>
                <w:right w:val="none" w:sz="0" w:space="0" w:color="auto"/>
              </w:divBdr>
            </w:div>
          </w:divsChild>
        </w:div>
        <w:div w:id="828788666">
          <w:marLeft w:val="0"/>
          <w:marRight w:val="0"/>
          <w:marTop w:val="0"/>
          <w:marBottom w:val="0"/>
          <w:divBdr>
            <w:top w:val="none" w:sz="0" w:space="0" w:color="auto"/>
            <w:left w:val="none" w:sz="0" w:space="0" w:color="auto"/>
            <w:bottom w:val="none" w:sz="0" w:space="0" w:color="auto"/>
            <w:right w:val="none" w:sz="0" w:space="0" w:color="auto"/>
          </w:divBdr>
          <w:divsChild>
            <w:div w:id="2083988637">
              <w:marLeft w:val="0"/>
              <w:marRight w:val="0"/>
              <w:marTop w:val="0"/>
              <w:marBottom w:val="0"/>
              <w:divBdr>
                <w:top w:val="none" w:sz="0" w:space="0" w:color="auto"/>
                <w:left w:val="none" w:sz="0" w:space="0" w:color="auto"/>
                <w:bottom w:val="none" w:sz="0" w:space="0" w:color="auto"/>
                <w:right w:val="none" w:sz="0" w:space="0" w:color="auto"/>
              </w:divBdr>
            </w:div>
          </w:divsChild>
        </w:div>
        <w:div w:id="854346613">
          <w:marLeft w:val="0"/>
          <w:marRight w:val="0"/>
          <w:marTop w:val="0"/>
          <w:marBottom w:val="0"/>
          <w:divBdr>
            <w:top w:val="none" w:sz="0" w:space="0" w:color="auto"/>
            <w:left w:val="none" w:sz="0" w:space="0" w:color="auto"/>
            <w:bottom w:val="none" w:sz="0" w:space="0" w:color="auto"/>
            <w:right w:val="none" w:sz="0" w:space="0" w:color="auto"/>
          </w:divBdr>
          <w:divsChild>
            <w:div w:id="48042208">
              <w:marLeft w:val="0"/>
              <w:marRight w:val="0"/>
              <w:marTop w:val="0"/>
              <w:marBottom w:val="0"/>
              <w:divBdr>
                <w:top w:val="none" w:sz="0" w:space="0" w:color="auto"/>
                <w:left w:val="none" w:sz="0" w:space="0" w:color="auto"/>
                <w:bottom w:val="none" w:sz="0" w:space="0" w:color="auto"/>
                <w:right w:val="none" w:sz="0" w:space="0" w:color="auto"/>
              </w:divBdr>
            </w:div>
            <w:div w:id="92480666">
              <w:marLeft w:val="0"/>
              <w:marRight w:val="0"/>
              <w:marTop w:val="0"/>
              <w:marBottom w:val="0"/>
              <w:divBdr>
                <w:top w:val="none" w:sz="0" w:space="0" w:color="auto"/>
                <w:left w:val="none" w:sz="0" w:space="0" w:color="auto"/>
                <w:bottom w:val="none" w:sz="0" w:space="0" w:color="auto"/>
                <w:right w:val="none" w:sz="0" w:space="0" w:color="auto"/>
              </w:divBdr>
            </w:div>
            <w:div w:id="288633147">
              <w:marLeft w:val="0"/>
              <w:marRight w:val="0"/>
              <w:marTop w:val="0"/>
              <w:marBottom w:val="0"/>
              <w:divBdr>
                <w:top w:val="none" w:sz="0" w:space="0" w:color="auto"/>
                <w:left w:val="none" w:sz="0" w:space="0" w:color="auto"/>
                <w:bottom w:val="none" w:sz="0" w:space="0" w:color="auto"/>
                <w:right w:val="none" w:sz="0" w:space="0" w:color="auto"/>
              </w:divBdr>
            </w:div>
            <w:div w:id="1672442358">
              <w:marLeft w:val="0"/>
              <w:marRight w:val="0"/>
              <w:marTop w:val="0"/>
              <w:marBottom w:val="0"/>
              <w:divBdr>
                <w:top w:val="none" w:sz="0" w:space="0" w:color="auto"/>
                <w:left w:val="none" w:sz="0" w:space="0" w:color="auto"/>
                <w:bottom w:val="none" w:sz="0" w:space="0" w:color="auto"/>
                <w:right w:val="none" w:sz="0" w:space="0" w:color="auto"/>
              </w:divBdr>
            </w:div>
          </w:divsChild>
        </w:div>
        <w:div w:id="998659015">
          <w:marLeft w:val="0"/>
          <w:marRight w:val="0"/>
          <w:marTop w:val="0"/>
          <w:marBottom w:val="0"/>
          <w:divBdr>
            <w:top w:val="none" w:sz="0" w:space="0" w:color="auto"/>
            <w:left w:val="none" w:sz="0" w:space="0" w:color="auto"/>
            <w:bottom w:val="none" w:sz="0" w:space="0" w:color="auto"/>
            <w:right w:val="none" w:sz="0" w:space="0" w:color="auto"/>
          </w:divBdr>
        </w:div>
        <w:div w:id="1001275598">
          <w:marLeft w:val="0"/>
          <w:marRight w:val="0"/>
          <w:marTop w:val="0"/>
          <w:marBottom w:val="0"/>
          <w:divBdr>
            <w:top w:val="none" w:sz="0" w:space="0" w:color="auto"/>
            <w:left w:val="none" w:sz="0" w:space="0" w:color="auto"/>
            <w:bottom w:val="none" w:sz="0" w:space="0" w:color="auto"/>
            <w:right w:val="none" w:sz="0" w:space="0" w:color="auto"/>
          </w:divBdr>
          <w:divsChild>
            <w:div w:id="786318462">
              <w:marLeft w:val="0"/>
              <w:marRight w:val="0"/>
              <w:marTop w:val="0"/>
              <w:marBottom w:val="0"/>
              <w:divBdr>
                <w:top w:val="none" w:sz="0" w:space="0" w:color="auto"/>
                <w:left w:val="none" w:sz="0" w:space="0" w:color="auto"/>
                <w:bottom w:val="none" w:sz="0" w:space="0" w:color="auto"/>
                <w:right w:val="none" w:sz="0" w:space="0" w:color="auto"/>
              </w:divBdr>
            </w:div>
            <w:div w:id="1882982614">
              <w:marLeft w:val="0"/>
              <w:marRight w:val="0"/>
              <w:marTop w:val="0"/>
              <w:marBottom w:val="0"/>
              <w:divBdr>
                <w:top w:val="none" w:sz="0" w:space="0" w:color="auto"/>
                <w:left w:val="none" w:sz="0" w:space="0" w:color="auto"/>
                <w:bottom w:val="none" w:sz="0" w:space="0" w:color="auto"/>
                <w:right w:val="none" w:sz="0" w:space="0" w:color="auto"/>
              </w:divBdr>
            </w:div>
            <w:div w:id="2031249223">
              <w:marLeft w:val="0"/>
              <w:marRight w:val="0"/>
              <w:marTop w:val="0"/>
              <w:marBottom w:val="0"/>
              <w:divBdr>
                <w:top w:val="none" w:sz="0" w:space="0" w:color="auto"/>
                <w:left w:val="none" w:sz="0" w:space="0" w:color="auto"/>
                <w:bottom w:val="none" w:sz="0" w:space="0" w:color="auto"/>
                <w:right w:val="none" w:sz="0" w:space="0" w:color="auto"/>
              </w:divBdr>
            </w:div>
            <w:div w:id="2118715170">
              <w:marLeft w:val="0"/>
              <w:marRight w:val="0"/>
              <w:marTop w:val="0"/>
              <w:marBottom w:val="0"/>
              <w:divBdr>
                <w:top w:val="none" w:sz="0" w:space="0" w:color="auto"/>
                <w:left w:val="none" w:sz="0" w:space="0" w:color="auto"/>
                <w:bottom w:val="none" w:sz="0" w:space="0" w:color="auto"/>
                <w:right w:val="none" w:sz="0" w:space="0" w:color="auto"/>
              </w:divBdr>
            </w:div>
          </w:divsChild>
        </w:div>
        <w:div w:id="1241795366">
          <w:marLeft w:val="0"/>
          <w:marRight w:val="0"/>
          <w:marTop w:val="0"/>
          <w:marBottom w:val="0"/>
          <w:divBdr>
            <w:top w:val="none" w:sz="0" w:space="0" w:color="auto"/>
            <w:left w:val="none" w:sz="0" w:space="0" w:color="auto"/>
            <w:bottom w:val="none" w:sz="0" w:space="0" w:color="auto"/>
            <w:right w:val="none" w:sz="0" w:space="0" w:color="auto"/>
          </w:divBdr>
          <w:divsChild>
            <w:div w:id="461315660">
              <w:marLeft w:val="0"/>
              <w:marRight w:val="0"/>
              <w:marTop w:val="0"/>
              <w:marBottom w:val="0"/>
              <w:divBdr>
                <w:top w:val="none" w:sz="0" w:space="0" w:color="auto"/>
                <w:left w:val="none" w:sz="0" w:space="0" w:color="auto"/>
                <w:bottom w:val="none" w:sz="0" w:space="0" w:color="auto"/>
                <w:right w:val="none" w:sz="0" w:space="0" w:color="auto"/>
              </w:divBdr>
            </w:div>
            <w:div w:id="1197932793">
              <w:marLeft w:val="0"/>
              <w:marRight w:val="0"/>
              <w:marTop w:val="0"/>
              <w:marBottom w:val="0"/>
              <w:divBdr>
                <w:top w:val="none" w:sz="0" w:space="0" w:color="auto"/>
                <w:left w:val="none" w:sz="0" w:space="0" w:color="auto"/>
                <w:bottom w:val="none" w:sz="0" w:space="0" w:color="auto"/>
                <w:right w:val="none" w:sz="0" w:space="0" w:color="auto"/>
              </w:divBdr>
            </w:div>
          </w:divsChild>
        </w:div>
        <w:div w:id="1270429895">
          <w:marLeft w:val="0"/>
          <w:marRight w:val="0"/>
          <w:marTop w:val="0"/>
          <w:marBottom w:val="0"/>
          <w:divBdr>
            <w:top w:val="none" w:sz="0" w:space="0" w:color="auto"/>
            <w:left w:val="none" w:sz="0" w:space="0" w:color="auto"/>
            <w:bottom w:val="none" w:sz="0" w:space="0" w:color="auto"/>
            <w:right w:val="none" w:sz="0" w:space="0" w:color="auto"/>
          </w:divBdr>
        </w:div>
        <w:div w:id="1452745973">
          <w:marLeft w:val="0"/>
          <w:marRight w:val="0"/>
          <w:marTop w:val="0"/>
          <w:marBottom w:val="0"/>
          <w:divBdr>
            <w:top w:val="none" w:sz="0" w:space="0" w:color="auto"/>
            <w:left w:val="none" w:sz="0" w:space="0" w:color="auto"/>
            <w:bottom w:val="none" w:sz="0" w:space="0" w:color="auto"/>
            <w:right w:val="none" w:sz="0" w:space="0" w:color="auto"/>
          </w:divBdr>
        </w:div>
        <w:div w:id="1513227154">
          <w:marLeft w:val="0"/>
          <w:marRight w:val="0"/>
          <w:marTop w:val="0"/>
          <w:marBottom w:val="0"/>
          <w:divBdr>
            <w:top w:val="none" w:sz="0" w:space="0" w:color="auto"/>
            <w:left w:val="none" w:sz="0" w:space="0" w:color="auto"/>
            <w:bottom w:val="none" w:sz="0" w:space="0" w:color="auto"/>
            <w:right w:val="none" w:sz="0" w:space="0" w:color="auto"/>
          </w:divBdr>
        </w:div>
        <w:div w:id="1514415847">
          <w:marLeft w:val="0"/>
          <w:marRight w:val="0"/>
          <w:marTop w:val="0"/>
          <w:marBottom w:val="0"/>
          <w:divBdr>
            <w:top w:val="none" w:sz="0" w:space="0" w:color="auto"/>
            <w:left w:val="none" w:sz="0" w:space="0" w:color="auto"/>
            <w:bottom w:val="none" w:sz="0" w:space="0" w:color="auto"/>
            <w:right w:val="none" w:sz="0" w:space="0" w:color="auto"/>
          </w:divBdr>
          <w:divsChild>
            <w:div w:id="445587435">
              <w:marLeft w:val="0"/>
              <w:marRight w:val="0"/>
              <w:marTop w:val="0"/>
              <w:marBottom w:val="0"/>
              <w:divBdr>
                <w:top w:val="none" w:sz="0" w:space="0" w:color="auto"/>
                <w:left w:val="none" w:sz="0" w:space="0" w:color="auto"/>
                <w:bottom w:val="none" w:sz="0" w:space="0" w:color="auto"/>
                <w:right w:val="none" w:sz="0" w:space="0" w:color="auto"/>
              </w:divBdr>
            </w:div>
            <w:div w:id="891188281">
              <w:marLeft w:val="0"/>
              <w:marRight w:val="0"/>
              <w:marTop w:val="0"/>
              <w:marBottom w:val="0"/>
              <w:divBdr>
                <w:top w:val="none" w:sz="0" w:space="0" w:color="auto"/>
                <w:left w:val="none" w:sz="0" w:space="0" w:color="auto"/>
                <w:bottom w:val="none" w:sz="0" w:space="0" w:color="auto"/>
                <w:right w:val="none" w:sz="0" w:space="0" w:color="auto"/>
              </w:divBdr>
            </w:div>
            <w:div w:id="1233540032">
              <w:marLeft w:val="0"/>
              <w:marRight w:val="0"/>
              <w:marTop w:val="0"/>
              <w:marBottom w:val="0"/>
              <w:divBdr>
                <w:top w:val="none" w:sz="0" w:space="0" w:color="auto"/>
                <w:left w:val="none" w:sz="0" w:space="0" w:color="auto"/>
                <w:bottom w:val="none" w:sz="0" w:space="0" w:color="auto"/>
                <w:right w:val="none" w:sz="0" w:space="0" w:color="auto"/>
              </w:divBdr>
            </w:div>
            <w:div w:id="1588297215">
              <w:marLeft w:val="0"/>
              <w:marRight w:val="0"/>
              <w:marTop w:val="0"/>
              <w:marBottom w:val="0"/>
              <w:divBdr>
                <w:top w:val="none" w:sz="0" w:space="0" w:color="auto"/>
                <w:left w:val="none" w:sz="0" w:space="0" w:color="auto"/>
                <w:bottom w:val="none" w:sz="0" w:space="0" w:color="auto"/>
                <w:right w:val="none" w:sz="0" w:space="0" w:color="auto"/>
              </w:divBdr>
            </w:div>
          </w:divsChild>
        </w:div>
        <w:div w:id="1694841070">
          <w:marLeft w:val="0"/>
          <w:marRight w:val="0"/>
          <w:marTop w:val="0"/>
          <w:marBottom w:val="0"/>
          <w:divBdr>
            <w:top w:val="none" w:sz="0" w:space="0" w:color="auto"/>
            <w:left w:val="none" w:sz="0" w:space="0" w:color="auto"/>
            <w:bottom w:val="none" w:sz="0" w:space="0" w:color="auto"/>
            <w:right w:val="none" w:sz="0" w:space="0" w:color="auto"/>
          </w:divBdr>
        </w:div>
        <w:div w:id="1914388571">
          <w:marLeft w:val="0"/>
          <w:marRight w:val="0"/>
          <w:marTop w:val="0"/>
          <w:marBottom w:val="0"/>
          <w:divBdr>
            <w:top w:val="none" w:sz="0" w:space="0" w:color="auto"/>
            <w:left w:val="none" w:sz="0" w:space="0" w:color="auto"/>
            <w:bottom w:val="none" w:sz="0" w:space="0" w:color="auto"/>
            <w:right w:val="none" w:sz="0" w:space="0" w:color="auto"/>
          </w:divBdr>
        </w:div>
        <w:div w:id="2040469376">
          <w:marLeft w:val="0"/>
          <w:marRight w:val="0"/>
          <w:marTop w:val="0"/>
          <w:marBottom w:val="0"/>
          <w:divBdr>
            <w:top w:val="none" w:sz="0" w:space="0" w:color="auto"/>
            <w:left w:val="none" w:sz="0" w:space="0" w:color="auto"/>
            <w:bottom w:val="none" w:sz="0" w:space="0" w:color="auto"/>
            <w:right w:val="none" w:sz="0" w:space="0" w:color="auto"/>
          </w:divBdr>
          <w:divsChild>
            <w:div w:id="1123812095">
              <w:marLeft w:val="0"/>
              <w:marRight w:val="0"/>
              <w:marTop w:val="0"/>
              <w:marBottom w:val="0"/>
              <w:divBdr>
                <w:top w:val="none" w:sz="0" w:space="0" w:color="auto"/>
                <w:left w:val="none" w:sz="0" w:space="0" w:color="auto"/>
                <w:bottom w:val="none" w:sz="0" w:space="0" w:color="auto"/>
                <w:right w:val="none" w:sz="0" w:space="0" w:color="auto"/>
              </w:divBdr>
            </w:div>
          </w:divsChild>
        </w:div>
        <w:div w:id="2060858031">
          <w:marLeft w:val="0"/>
          <w:marRight w:val="0"/>
          <w:marTop w:val="0"/>
          <w:marBottom w:val="0"/>
          <w:divBdr>
            <w:top w:val="none" w:sz="0" w:space="0" w:color="auto"/>
            <w:left w:val="none" w:sz="0" w:space="0" w:color="auto"/>
            <w:bottom w:val="none" w:sz="0" w:space="0" w:color="auto"/>
            <w:right w:val="none" w:sz="0" w:space="0" w:color="auto"/>
          </w:divBdr>
          <w:divsChild>
            <w:div w:id="1622298099">
              <w:marLeft w:val="0"/>
              <w:marRight w:val="0"/>
              <w:marTop w:val="0"/>
              <w:marBottom w:val="0"/>
              <w:divBdr>
                <w:top w:val="none" w:sz="0" w:space="0" w:color="auto"/>
                <w:left w:val="none" w:sz="0" w:space="0" w:color="auto"/>
                <w:bottom w:val="none" w:sz="0" w:space="0" w:color="auto"/>
                <w:right w:val="none" w:sz="0" w:space="0" w:color="auto"/>
              </w:divBdr>
            </w:div>
          </w:divsChild>
        </w:div>
        <w:div w:id="2069768793">
          <w:marLeft w:val="0"/>
          <w:marRight w:val="0"/>
          <w:marTop w:val="0"/>
          <w:marBottom w:val="0"/>
          <w:divBdr>
            <w:top w:val="none" w:sz="0" w:space="0" w:color="auto"/>
            <w:left w:val="none" w:sz="0" w:space="0" w:color="auto"/>
            <w:bottom w:val="none" w:sz="0" w:space="0" w:color="auto"/>
            <w:right w:val="none" w:sz="0" w:space="0" w:color="auto"/>
          </w:divBdr>
        </w:div>
      </w:divsChild>
    </w:div>
    <w:div w:id="384454830">
      <w:bodyDiv w:val="1"/>
      <w:marLeft w:val="0"/>
      <w:marRight w:val="0"/>
      <w:marTop w:val="0"/>
      <w:marBottom w:val="0"/>
      <w:divBdr>
        <w:top w:val="none" w:sz="0" w:space="0" w:color="auto"/>
        <w:left w:val="none" w:sz="0" w:space="0" w:color="auto"/>
        <w:bottom w:val="none" w:sz="0" w:space="0" w:color="auto"/>
        <w:right w:val="none" w:sz="0" w:space="0" w:color="auto"/>
      </w:divBdr>
      <w:divsChild>
        <w:div w:id="284432203">
          <w:marLeft w:val="0"/>
          <w:marRight w:val="0"/>
          <w:marTop w:val="0"/>
          <w:marBottom w:val="0"/>
          <w:divBdr>
            <w:top w:val="none" w:sz="0" w:space="0" w:color="auto"/>
            <w:left w:val="none" w:sz="0" w:space="0" w:color="auto"/>
            <w:bottom w:val="none" w:sz="0" w:space="0" w:color="auto"/>
            <w:right w:val="none" w:sz="0" w:space="0" w:color="auto"/>
          </w:divBdr>
        </w:div>
        <w:div w:id="851919533">
          <w:marLeft w:val="0"/>
          <w:marRight w:val="0"/>
          <w:marTop w:val="0"/>
          <w:marBottom w:val="0"/>
          <w:divBdr>
            <w:top w:val="none" w:sz="0" w:space="0" w:color="auto"/>
            <w:left w:val="none" w:sz="0" w:space="0" w:color="auto"/>
            <w:bottom w:val="none" w:sz="0" w:space="0" w:color="auto"/>
            <w:right w:val="none" w:sz="0" w:space="0" w:color="auto"/>
          </w:divBdr>
        </w:div>
        <w:div w:id="943273190">
          <w:marLeft w:val="0"/>
          <w:marRight w:val="0"/>
          <w:marTop w:val="0"/>
          <w:marBottom w:val="0"/>
          <w:divBdr>
            <w:top w:val="none" w:sz="0" w:space="0" w:color="auto"/>
            <w:left w:val="none" w:sz="0" w:space="0" w:color="auto"/>
            <w:bottom w:val="none" w:sz="0" w:space="0" w:color="auto"/>
            <w:right w:val="none" w:sz="0" w:space="0" w:color="auto"/>
          </w:divBdr>
        </w:div>
        <w:div w:id="1043015621">
          <w:marLeft w:val="0"/>
          <w:marRight w:val="0"/>
          <w:marTop w:val="0"/>
          <w:marBottom w:val="0"/>
          <w:divBdr>
            <w:top w:val="none" w:sz="0" w:space="0" w:color="auto"/>
            <w:left w:val="none" w:sz="0" w:space="0" w:color="auto"/>
            <w:bottom w:val="none" w:sz="0" w:space="0" w:color="auto"/>
            <w:right w:val="none" w:sz="0" w:space="0" w:color="auto"/>
          </w:divBdr>
        </w:div>
        <w:div w:id="1902212920">
          <w:marLeft w:val="0"/>
          <w:marRight w:val="0"/>
          <w:marTop w:val="0"/>
          <w:marBottom w:val="0"/>
          <w:divBdr>
            <w:top w:val="none" w:sz="0" w:space="0" w:color="auto"/>
            <w:left w:val="none" w:sz="0" w:space="0" w:color="auto"/>
            <w:bottom w:val="none" w:sz="0" w:space="0" w:color="auto"/>
            <w:right w:val="none" w:sz="0" w:space="0" w:color="auto"/>
          </w:divBdr>
        </w:div>
      </w:divsChild>
    </w:div>
    <w:div w:id="392824195">
      <w:bodyDiv w:val="1"/>
      <w:marLeft w:val="0"/>
      <w:marRight w:val="0"/>
      <w:marTop w:val="0"/>
      <w:marBottom w:val="0"/>
      <w:divBdr>
        <w:top w:val="none" w:sz="0" w:space="0" w:color="auto"/>
        <w:left w:val="none" w:sz="0" w:space="0" w:color="auto"/>
        <w:bottom w:val="none" w:sz="0" w:space="0" w:color="auto"/>
        <w:right w:val="none" w:sz="0" w:space="0" w:color="auto"/>
      </w:divBdr>
      <w:divsChild>
        <w:div w:id="1253777761">
          <w:marLeft w:val="0"/>
          <w:marRight w:val="0"/>
          <w:marTop w:val="0"/>
          <w:marBottom w:val="0"/>
          <w:divBdr>
            <w:top w:val="none" w:sz="0" w:space="0" w:color="auto"/>
            <w:left w:val="none" w:sz="0" w:space="0" w:color="auto"/>
            <w:bottom w:val="none" w:sz="0" w:space="0" w:color="auto"/>
            <w:right w:val="none" w:sz="0" w:space="0" w:color="auto"/>
          </w:divBdr>
        </w:div>
        <w:div w:id="1918242611">
          <w:marLeft w:val="0"/>
          <w:marRight w:val="0"/>
          <w:marTop w:val="0"/>
          <w:marBottom w:val="0"/>
          <w:divBdr>
            <w:top w:val="none" w:sz="0" w:space="0" w:color="auto"/>
            <w:left w:val="none" w:sz="0" w:space="0" w:color="auto"/>
            <w:bottom w:val="none" w:sz="0" w:space="0" w:color="auto"/>
            <w:right w:val="none" w:sz="0" w:space="0" w:color="auto"/>
          </w:divBdr>
          <w:divsChild>
            <w:div w:id="595476811">
              <w:marLeft w:val="0"/>
              <w:marRight w:val="0"/>
              <w:marTop w:val="30"/>
              <w:marBottom w:val="30"/>
              <w:divBdr>
                <w:top w:val="none" w:sz="0" w:space="0" w:color="auto"/>
                <w:left w:val="none" w:sz="0" w:space="0" w:color="auto"/>
                <w:bottom w:val="none" w:sz="0" w:space="0" w:color="auto"/>
                <w:right w:val="none" w:sz="0" w:space="0" w:color="auto"/>
              </w:divBdr>
              <w:divsChild>
                <w:div w:id="7484134">
                  <w:marLeft w:val="0"/>
                  <w:marRight w:val="0"/>
                  <w:marTop w:val="0"/>
                  <w:marBottom w:val="0"/>
                  <w:divBdr>
                    <w:top w:val="none" w:sz="0" w:space="0" w:color="auto"/>
                    <w:left w:val="none" w:sz="0" w:space="0" w:color="auto"/>
                    <w:bottom w:val="none" w:sz="0" w:space="0" w:color="auto"/>
                    <w:right w:val="none" w:sz="0" w:space="0" w:color="auto"/>
                  </w:divBdr>
                  <w:divsChild>
                    <w:div w:id="550699608">
                      <w:marLeft w:val="0"/>
                      <w:marRight w:val="0"/>
                      <w:marTop w:val="0"/>
                      <w:marBottom w:val="0"/>
                      <w:divBdr>
                        <w:top w:val="none" w:sz="0" w:space="0" w:color="auto"/>
                        <w:left w:val="none" w:sz="0" w:space="0" w:color="auto"/>
                        <w:bottom w:val="none" w:sz="0" w:space="0" w:color="auto"/>
                        <w:right w:val="none" w:sz="0" w:space="0" w:color="auto"/>
                      </w:divBdr>
                    </w:div>
                  </w:divsChild>
                </w:div>
                <w:div w:id="45883362">
                  <w:marLeft w:val="0"/>
                  <w:marRight w:val="0"/>
                  <w:marTop w:val="0"/>
                  <w:marBottom w:val="0"/>
                  <w:divBdr>
                    <w:top w:val="none" w:sz="0" w:space="0" w:color="auto"/>
                    <w:left w:val="none" w:sz="0" w:space="0" w:color="auto"/>
                    <w:bottom w:val="none" w:sz="0" w:space="0" w:color="auto"/>
                    <w:right w:val="none" w:sz="0" w:space="0" w:color="auto"/>
                  </w:divBdr>
                  <w:divsChild>
                    <w:div w:id="1345473414">
                      <w:marLeft w:val="0"/>
                      <w:marRight w:val="0"/>
                      <w:marTop w:val="0"/>
                      <w:marBottom w:val="0"/>
                      <w:divBdr>
                        <w:top w:val="none" w:sz="0" w:space="0" w:color="auto"/>
                        <w:left w:val="none" w:sz="0" w:space="0" w:color="auto"/>
                        <w:bottom w:val="none" w:sz="0" w:space="0" w:color="auto"/>
                        <w:right w:val="none" w:sz="0" w:space="0" w:color="auto"/>
                      </w:divBdr>
                    </w:div>
                  </w:divsChild>
                </w:div>
                <w:div w:id="93672549">
                  <w:marLeft w:val="0"/>
                  <w:marRight w:val="0"/>
                  <w:marTop w:val="0"/>
                  <w:marBottom w:val="0"/>
                  <w:divBdr>
                    <w:top w:val="none" w:sz="0" w:space="0" w:color="auto"/>
                    <w:left w:val="none" w:sz="0" w:space="0" w:color="auto"/>
                    <w:bottom w:val="none" w:sz="0" w:space="0" w:color="auto"/>
                    <w:right w:val="none" w:sz="0" w:space="0" w:color="auto"/>
                  </w:divBdr>
                  <w:divsChild>
                    <w:div w:id="16086164">
                      <w:marLeft w:val="0"/>
                      <w:marRight w:val="0"/>
                      <w:marTop w:val="0"/>
                      <w:marBottom w:val="0"/>
                      <w:divBdr>
                        <w:top w:val="none" w:sz="0" w:space="0" w:color="auto"/>
                        <w:left w:val="none" w:sz="0" w:space="0" w:color="auto"/>
                        <w:bottom w:val="none" w:sz="0" w:space="0" w:color="auto"/>
                        <w:right w:val="none" w:sz="0" w:space="0" w:color="auto"/>
                      </w:divBdr>
                    </w:div>
                  </w:divsChild>
                </w:div>
                <w:div w:id="115031773">
                  <w:marLeft w:val="0"/>
                  <w:marRight w:val="0"/>
                  <w:marTop w:val="0"/>
                  <w:marBottom w:val="0"/>
                  <w:divBdr>
                    <w:top w:val="none" w:sz="0" w:space="0" w:color="auto"/>
                    <w:left w:val="none" w:sz="0" w:space="0" w:color="auto"/>
                    <w:bottom w:val="none" w:sz="0" w:space="0" w:color="auto"/>
                    <w:right w:val="none" w:sz="0" w:space="0" w:color="auto"/>
                  </w:divBdr>
                  <w:divsChild>
                    <w:div w:id="1385064772">
                      <w:marLeft w:val="0"/>
                      <w:marRight w:val="0"/>
                      <w:marTop w:val="0"/>
                      <w:marBottom w:val="0"/>
                      <w:divBdr>
                        <w:top w:val="none" w:sz="0" w:space="0" w:color="auto"/>
                        <w:left w:val="none" w:sz="0" w:space="0" w:color="auto"/>
                        <w:bottom w:val="none" w:sz="0" w:space="0" w:color="auto"/>
                        <w:right w:val="none" w:sz="0" w:space="0" w:color="auto"/>
                      </w:divBdr>
                    </w:div>
                  </w:divsChild>
                </w:div>
                <w:div w:id="193613951">
                  <w:marLeft w:val="0"/>
                  <w:marRight w:val="0"/>
                  <w:marTop w:val="0"/>
                  <w:marBottom w:val="0"/>
                  <w:divBdr>
                    <w:top w:val="none" w:sz="0" w:space="0" w:color="auto"/>
                    <w:left w:val="none" w:sz="0" w:space="0" w:color="auto"/>
                    <w:bottom w:val="none" w:sz="0" w:space="0" w:color="auto"/>
                    <w:right w:val="none" w:sz="0" w:space="0" w:color="auto"/>
                  </w:divBdr>
                  <w:divsChild>
                    <w:div w:id="684938887">
                      <w:marLeft w:val="0"/>
                      <w:marRight w:val="0"/>
                      <w:marTop w:val="0"/>
                      <w:marBottom w:val="0"/>
                      <w:divBdr>
                        <w:top w:val="none" w:sz="0" w:space="0" w:color="auto"/>
                        <w:left w:val="none" w:sz="0" w:space="0" w:color="auto"/>
                        <w:bottom w:val="none" w:sz="0" w:space="0" w:color="auto"/>
                        <w:right w:val="none" w:sz="0" w:space="0" w:color="auto"/>
                      </w:divBdr>
                    </w:div>
                  </w:divsChild>
                </w:div>
                <w:div w:id="197551609">
                  <w:marLeft w:val="0"/>
                  <w:marRight w:val="0"/>
                  <w:marTop w:val="0"/>
                  <w:marBottom w:val="0"/>
                  <w:divBdr>
                    <w:top w:val="none" w:sz="0" w:space="0" w:color="auto"/>
                    <w:left w:val="none" w:sz="0" w:space="0" w:color="auto"/>
                    <w:bottom w:val="none" w:sz="0" w:space="0" w:color="auto"/>
                    <w:right w:val="none" w:sz="0" w:space="0" w:color="auto"/>
                  </w:divBdr>
                  <w:divsChild>
                    <w:div w:id="1056051255">
                      <w:marLeft w:val="0"/>
                      <w:marRight w:val="0"/>
                      <w:marTop w:val="0"/>
                      <w:marBottom w:val="0"/>
                      <w:divBdr>
                        <w:top w:val="none" w:sz="0" w:space="0" w:color="auto"/>
                        <w:left w:val="none" w:sz="0" w:space="0" w:color="auto"/>
                        <w:bottom w:val="none" w:sz="0" w:space="0" w:color="auto"/>
                        <w:right w:val="none" w:sz="0" w:space="0" w:color="auto"/>
                      </w:divBdr>
                    </w:div>
                  </w:divsChild>
                </w:div>
                <w:div w:id="356807739">
                  <w:marLeft w:val="0"/>
                  <w:marRight w:val="0"/>
                  <w:marTop w:val="0"/>
                  <w:marBottom w:val="0"/>
                  <w:divBdr>
                    <w:top w:val="none" w:sz="0" w:space="0" w:color="auto"/>
                    <w:left w:val="none" w:sz="0" w:space="0" w:color="auto"/>
                    <w:bottom w:val="none" w:sz="0" w:space="0" w:color="auto"/>
                    <w:right w:val="none" w:sz="0" w:space="0" w:color="auto"/>
                  </w:divBdr>
                  <w:divsChild>
                    <w:div w:id="1047686562">
                      <w:marLeft w:val="0"/>
                      <w:marRight w:val="0"/>
                      <w:marTop w:val="0"/>
                      <w:marBottom w:val="0"/>
                      <w:divBdr>
                        <w:top w:val="none" w:sz="0" w:space="0" w:color="auto"/>
                        <w:left w:val="none" w:sz="0" w:space="0" w:color="auto"/>
                        <w:bottom w:val="none" w:sz="0" w:space="0" w:color="auto"/>
                        <w:right w:val="none" w:sz="0" w:space="0" w:color="auto"/>
                      </w:divBdr>
                    </w:div>
                  </w:divsChild>
                </w:div>
                <w:div w:id="496074569">
                  <w:marLeft w:val="0"/>
                  <w:marRight w:val="0"/>
                  <w:marTop w:val="0"/>
                  <w:marBottom w:val="0"/>
                  <w:divBdr>
                    <w:top w:val="none" w:sz="0" w:space="0" w:color="auto"/>
                    <w:left w:val="none" w:sz="0" w:space="0" w:color="auto"/>
                    <w:bottom w:val="none" w:sz="0" w:space="0" w:color="auto"/>
                    <w:right w:val="none" w:sz="0" w:space="0" w:color="auto"/>
                  </w:divBdr>
                  <w:divsChild>
                    <w:div w:id="58290251">
                      <w:marLeft w:val="0"/>
                      <w:marRight w:val="0"/>
                      <w:marTop w:val="0"/>
                      <w:marBottom w:val="0"/>
                      <w:divBdr>
                        <w:top w:val="none" w:sz="0" w:space="0" w:color="auto"/>
                        <w:left w:val="none" w:sz="0" w:space="0" w:color="auto"/>
                        <w:bottom w:val="none" w:sz="0" w:space="0" w:color="auto"/>
                        <w:right w:val="none" w:sz="0" w:space="0" w:color="auto"/>
                      </w:divBdr>
                    </w:div>
                  </w:divsChild>
                </w:div>
                <w:div w:id="503938546">
                  <w:marLeft w:val="0"/>
                  <w:marRight w:val="0"/>
                  <w:marTop w:val="0"/>
                  <w:marBottom w:val="0"/>
                  <w:divBdr>
                    <w:top w:val="none" w:sz="0" w:space="0" w:color="auto"/>
                    <w:left w:val="none" w:sz="0" w:space="0" w:color="auto"/>
                    <w:bottom w:val="none" w:sz="0" w:space="0" w:color="auto"/>
                    <w:right w:val="none" w:sz="0" w:space="0" w:color="auto"/>
                  </w:divBdr>
                  <w:divsChild>
                    <w:div w:id="1318269279">
                      <w:marLeft w:val="0"/>
                      <w:marRight w:val="0"/>
                      <w:marTop w:val="0"/>
                      <w:marBottom w:val="0"/>
                      <w:divBdr>
                        <w:top w:val="none" w:sz="0" w:space="0" w:color="auto"/>
                        <w:left w:val="none" w:sz="0" w:space="0" w:color="auto"/>
                        <w:bottom w:val="none" w:sz="0" w:space="0" w:color="auto"/>
                        <w:right w:val="none" w:sz="0" w:space="0" w:color="auto"/>
                      </w:divBdr>
                    </w:div>
                  </w:divsChild>
                </w:div>
                <w:div w:id="533344040">
                  <w:marLeft w:val="0"/>
                  <w:marRight w:val="0"/>
                  <w:marTop w:val="0"/>
                  <w:marBottom w:val="0"/>
                  <w:divBdr>
                    <w:top w:val="none" w:sz="0" w:space="0" w:color="auto"/>
                    <w:left w:val="none" w:sz="0" w:space="0" w:color="auto"/>
                    <w:bottom w:val="none" w:sz="0" w:space="0" w:color="auto"/>
                    <w:right w:val="none" w:sz="0" w:space="0" w:color="auto"/>
                  </w:divBdr>
                  <w:divsChild>
                    <w:div w:id="560941148">
                      <w:marLeft w:val="0"/>
                      <w:marRight w:val="0"/>
                      <w:marTop w:val="0"/>
                      <w:marBottom w:val="0"/>
                      <w:divBdr>
                        <w:top w:val="none" w:sz="0" w:space="0" w:color="auto"/>
                        <w:left w:val="none" w:sz="0" w:space="0" w:color="auto"/>
                        <w:bottom w:val="none" w:sz="0" w:space="0" w:color="auto"/>
                        <w:right w:val="none" w:sz="0" w:space="0" w:color="auto"/>
                      </w:divBdr>
                    </w:div>
                  </w:divsChild>
                </w:div>
                <w:div w:id="638650854">
                  <w:marLeft w:val="0"/>
                  <w:marRight w:val="0"/>
                  <w:marTop w:val="0"/>
                  <w:marBottom w:val="0"/>
                  <w:divBdr>
                    <w:top w:val="none" w:sz="0" w:space="0" w:color="auto"/>
                    <w:left w:val="none" w:sz="0" w:space="0" w:color="auto"/>
                    <w:bottom w:val="none" w:sz="0" w:space="0" w:color="auto"/>
                    <w:right w:val="none" w:sz="0" w:space="0" w:color="auto"/>
                  </w:divBdr>
                  <w:divsChild>
                    <w:div w:id="639385962">
                      <w:marLeft w:val="0"/>
                      <w:marRight w:val="0"/>
                      <w:marTop w:val="0"/>
                      <w:marBottom w:val="0"/>
                      <w:divBdr>
                        <w:top w:val="none" w:sz="0" w:space="0" w:color="auto"/>
                        <w:left w:val="none" w:sz="0" w:space="0" w:color="auto"/>
                        <w:bottom w:val="none" w:sz="0" w:space="0" w:color="auto"/>
                        <w:right w:val="none" w:sz="0" w:space="0" w:color="auto"/>
                      </w:divBdr>
                    </w:div>
                  </w:divsChild>
                </w:div>
                <w:div w:id="742989641">
                  <w:marLeft w:val="0"/>
                  <w:marRight w:val="0"/>
                  <w:marTop w:val="0"/>
                  <w:marBottom w:val="0"/>
                  <w:divBdr>
                    <w:top w:val="none" w:sz="0" w:space="0" w:color="auto"/>
                    <w:left w:val="none" w:sz="0" w:space="0" w:color="auto"/>
                    <w:bottom w:val="none" w:sz="0" w:space="0" w:color="auto"/>
                    <w:right w:val="none" w:sz="0" w:space="0" w:color="auto"/>
                  </w:divBdr>
                  <w:divsChild>
                    <w:div w:id="1009017454">
                      <w:marLeft w:val="0"/>
                      <w:marRight w:val="0"/>
                      <w:marTop w:val="0"/>
                      <w:marBottom w:val="0"/>
                      <w:divBdr>
                        <w:top w:val="none" w:sz="0" w:space="0" w:color="auto"/>
                        <w:left w:val="none" w:sz="0" w:space="0" w:color="auto"/>
                        <w:bottom w:val="none" w:sz="0" w:space="0" w:color="auto"/>
                        <w:right w:val="none" w:sz="0" w:space="0" w:color="auto"/>
                      </w:divBdr>
                    </w:div>
                  </w:divsChild>
                </w:div>
                <w:div w:id="792797155">
                  <w:marLeft w:val="0"/>
                  <w:marRight w:val="0"/>
                  <w:marTop w:val="0"/>
                  <w:marBottom w:val="0"/>
                  <w:divBdr>
                    <w:top w:val="none" w:sz="0" w:space="0" w:color="auto"/>
                    <w:left w:val="none" w:sz="0" w:space="0" w:color="auto"/>
                    <w:bottom w:val="none" w:sz="0" w:space="0" w:color="auto"/>
                    <w:right w:val="none" w:sz="0" w:space="0" w:color="auto"/>
                  </w:divBdr>
                  <w:divsChild>
                    <w:div w:id="714501262">
                      <w:marLeft w:val="0"/>
                      <w:marRight w:val="0"/>
                      <w:marTop w:val="0"/>
                      <w:marBottom w:val="0"/>
                      <w:divBdr>
                        <w:top w:val="none" w:sz="0" w:space="0" w:color="auto"/>
                        <w:left w:val="none" w:sz="0" w:space="0" w:color="auto"/>
                        <w:bottom w:val="none" w:sz="0" w:space="0" w:color="auto"/>
                        <w:right w:val="none" w:sz="0" w:space="0" w:color="auto"/>
                      </w:divBdr>
                    </w:div>
                  </w:divsChild>
                </w:div>
                <w:div w:id="896356807">
                  <w:marLeft w:val="0"/>
                  <w:marRight w:val="0"/>
                  <w:marTop w:val="0"/>
                  <w:marBottom w:val="0"/>
                  <w:divBdr>
                    <w:top w:val="none" w:sz="0" w:space="0" w:color="auto"/>
                    <w:left w:val="none" w:sz="0" w:space="0" w:color="auto"/>
                    <w:bottom w:val="none" w:sz="0" w:space="0" w:color="auto"/>
                    <w:right w:val="none" w:sz="0" w:space="0" w:color="auto"/>
                  </w:divBdr>
                  <w:divsChild>
                    <w:div w:id="1332954265">
                      <w:marLeft w:val="0"/>
                      <w:marRight w:val="0"/>
                      <w:marTop w:val="0"/>
                      <w:marBottom w:val="0"/>
                      <w:divBdr>
                        <w:top w:val="none" w:sz="0" w:space="0" w:color="auto"/>
                        <w:left w:val="none" w:sz="0" w:space="0" w:color="auto"/>
                        <w:bottom w:val="none" w:sz="0" w:space="0" w:color="auto"/>
                        <w:right w:val="none" w:sz="0" w:space="0" w:color="auto"/>
                      </w:divBdr>
                    </w:div>
                  </w:divsChild>
                </w:div>
                <w:div w:id="979461168">
                  <w:marLeft w:val="0"/>
                  <w:marRight w:val="0"/>
                  <w:marTop w:val="0"/>
                  <w:marBottom w:val="0"/>
                  <w:divBdr>
                    <w:top w:val="none" w:sz="0" w:space="0" w:color="auto"/>
                    <w:left w:val="none" w:sz="0" w:space="0" w:color="auto"/>
                    <w:bottom w:val="none" w:sz="0" w:space="0" w:color="auto"/>
                    <w:right w:val="none" w:sz="0" w:space="0" w:color="auto"/>
                  </w:divBdr>
                  <w:divsChild>
                    <w:div w:id="1486237237">
                      <w:marLeft w:val="0"/>
                      <w:marRight w:val="0"/>
                      <w:marTop w:val="0"/>
                      <w:marBottom w:val="0"/>
                      <w:divBdr>
                        <w:top w:val="none" w:sz="0" w:space="0" w:color="auto"/>
                        <w:left w:val="none" w:sz="0" w:space="0" w:color="auto"/>
                        <w:bottom w:val="none" w:sz="0" w:space="0" w:color="auto"/>
                        <w:right w:val="none" w:sz="0" w:space="0" w:color="auto"/>
                      </w:divBdr>
                    </w:div>
                  </w:divsChild>
                </w:div>
                <w:div w:id="1047334301">
                  <w:marLeft w:val="0"/>
                  <w:marRight w:val="0"/>
                  <w:marTop w:val="0"/>
                  <w:marBottom w:val="0"/>
                  <w:divBdr>
                    <w:top w:val="none" w:sz="0" w:space="0" w:color="auto"/>
                    <w:left w:val="none" w:sz="0" w:space="0" w:color="auto"/>
                    <w:bottom w:val="none" w:sz="0" w:space="0" w:color="auto"/>
                    <w:right w:val="none" w:sz="0" w:space="0" w:color="auto"/>
                  </w:divBdr>
                  <w:divsChild>
                    <w:div w:id="935282468">
                      <w:marLeft w:val="0"/>
                      <w:marRight w:val="0"/>
                      <w:marTop w:val="0"/>
                      <w:marBottom w:val="0"/>
                      <w:divBdr>
                        <w:top w:val="none" w:sz="0" w:space="0" w:color="auto"/>
                        <w:left w:val="none" w:sz="0" w:space="0" w:color="auto"/>
                        <w:bottom w:val="none" w:sz="0" w:space="0" w:color="auto"/>
                        <w:right w:val="none" w:sz="0" w:space="0" w:color="auto"/>
                      </w:divBdr>
                    </w:div>
                  </w:divsChild>
                </w:div>
                <w:div w:id="1093673503">
                  <w:marLeft w:val="0"/>
                  <w:marRight w:val="0"/>
                  <w:marTop w:val="0"/>
                  <w:marBottom w:val="0"/>
                  <w:divBdr>
                    <w:top w:val="none" w:sz="0" w:space="0" w:color="auto"/>
                    <w:left w:val="none" w:sz="0" w:space="0" w:color="auto"/>
                    <w:bottom w:val="none" w:sz="0" w:space="0" w:color="auto"/>
                    <w:right w:val="none" w:sz="0" w:space="0" w:color="auto"/>
                  </w:divBdr>
                  <w:divsChild>
                    <w:div w:id="611936662">
                      <w:marLeft w:val="0"/>
                      <w:marRight w:val="0"/>
                      <w:marTop w:val="0"/>
                      <w:marBottom w:val="0"/>
                      <w:divBdr>
                        <w:top w:val="none" w:sz="0" w:space="0" w:color="auto"/>
                        <w:left w:val="none" w:sz="0" w:space="0" w:color="auto"/>
                        <w:bottom w:val="none" w:sz="0" w:space="0" w:color="auto"/>
                        <w:right w:val="none" w:sz="0" w:space="0" w:color="auto"/>
                      </w:divBdr>
                    </w:div>
                  </w:divsChild>
                </w:div>
                <w:div w:id="1123108778">
                  <w:marLeft w:val="0"/>
                  <w:marRight w:val="0"/>
                  <w:marTop w:val="0"/>
                  <w:marBottom w:val="0"/>
                  <w:divBdr>
                    <w:top w:val="none" w:sz="0" w:space="0" w:color="auto"/>
                    <w:left w:val="none" w:sz="0" w:space="0" w:color="auto"/>
                    <w:bottom w:val="none" w:sz="0" w:space="0" w:color="auto"/>
                    <w:right w:val="none" w:sz="0" w:space="0" w:color="auto"/>
                  </w:divBdr>
                  <w:divsChild>
                    <w:div w:id="1398745569">
                      <w:marLeft w:val="0"/>
                      <w:marRight w:val="0"/>
                      <w:marTop w:val="0"/>
                      <w:marBottom w:val="0"/>
                      <w:divBdr>
                        <w:top w:val="none" w:sz="0" w:space="0" w:color="auto"/>
                        <w:left w:val="none" w:sz="0" w:space="0" w:color="auto"/>
                        <w:bottom w:val="none" w:sz="0" w:space="0" w:color="auto"/>
                        <w:right w:val="none" w:sz="0" w:space="0" w:color="auto"/>
                      </w:divBdr>
                    </w:div>
                  </w:divsChild>
                </w:div>
                <w:div w:id="1259213719">
                  <w:marLeft w:val="0"/>
                  <w:marRight w:val="0"/>
                  <w:marTop w:val="0"/>
                  <w:marBottom w:val="0"/>
                  <w:divBdr>
                    <w:top w:val="none" w:sz="0" w:space="0" w:color="auto"/>
                    <w:left w:val="none" w:sz="0" w:space="0" w:color="auto"/>
                    <w:bottom w:val="none" w:sz="0" w:space="0" w:color="auto"/>
                    <w:right w:val="none" w:sz="0" w:space="0" w:color="auto"/>
                  </w:divBdr>
                  <w:divsChild>
                    <w:div w:id="868031805">
                      <w:marLeft w:val="0"/>
                      <w:marRight w:val="0"/>
                      <w:marTop w:val="0"/>
                      <w:marBottom w:val="0"/>
                      <w:divBdr>
                        <w:top w:val="none" w:sz="0" w:space="0" w:color="auto"/>
                        <w:left w:val="none" w:sz="0" w:space="0" w:color="auto"/>
                        <w:bottom w:val="none" w:sz="0" w:space="0" w:color="auto"/>
                        <w:right w:val="none" w:sz="0" w:space="0" w:color="auto"/>
                      </w:divBdr>
                    </w:div>
                  </w:divsChild>
                </w:div>
                <w:div w:id="1378555059">
                  <w:marLeft w:val="0"/>
                  <w:marRight w:val="0"/>
                  <w:marTop w:val="0"/>
                  <w:marBottom w:val="0"/>
                  <w:divBdr>
                    <w:top w:val="none" w:sz="0" w:space="0" w:color="auto"/>
                    <w:left w:val="none" w:sz="0" w:space="0" w:color="auto"/>
                    <w:bottom w:val="none" w:sz="0" w:space="0" w:color="auto"/>
                    <w:right w:val="none" w:sz="0" w:space="0" w:color="auto"/>
                  </w:divBdr>
                  <w:divsChild>
                    <w:div w:id="1414424862">
                      <w:marLeft w:val="0"/>
                      <w:marRight w:val="0"/>
                      <w:marTop w:val="0"/>
                      <w:marBottom w:val="0"/>
                      <w:divBdr>
                        <w:top w:val="none" w:sz="0" w:space="0" w:color="auto"/>
                        <w:left w:val="none" w:sz="0" w:space="0" w:color="auto"/>
                        <w:bottom w:val="none" w:sz="0" w:space="0" w:color="auto"/>
                        <w:right w:val="none" w:sz="0" w:space="0" w:color="auto"/>
                      </w:divBdr>
                    </w:div>
                  </w:divsChild>
                </w:div>
                <w:div w:id="1645429109">
                  <w:marLeft w:val="0"/>
                  <w:marRight w:val="0"/>
                  <w:marTop w:val="0"/>
                  <w:marBottom w:val="0"/>
                  <w:divBdr>
                    <w:top w:val="none" w:sz="0" w:space="0" w:color="auto"/>
                    <w:left w:val="none" w:sz="0" w:space="0" w:color="auto"/>
                    <w:bottom w:val="none" w:sz="0" w:space="0" w:color="auto"/>
                    <w:right w:val="none" w:sz="0" w:space="0" w:color="auto"/>
                  </w:divBdr>
                  <w:divsChild>
                    <w:div w:id="479998605">
                      <w:marLeft w:val="0"/>
                      <w:marRight w:val="0"/>
                      <w:marTop w:val="0"/>
                      <w:marBottom w:val="0"/>
                      <w:divBdr>
                        <w:top w:val="none" w:sz="0" w:space="0" w:color="auto"/>
                        <w:left w:val="none" w:sz="0" w:space="0" w:color="auto"/>
                        <w:bottom w:val="none" w:sz="0" w:space="0" w:color="auto"/>
                        <w:right w:val="none" w:sz="0" w:space="0" w:color="auto"/>
                      </w:divBdr>
                    </w:div>
                  </w:divsChild>
                </w:div>
                <w:div w:id="1656688810">
                  <w:marLeft w:val="0"/>
                  <w:marRight w:val="0"/>
                  <w:marTop w:val="0"/>
                  <w:marBottom w:val="0"/>
                  <w:divBdr>
                    <w:top w:val="none" w:sz="0" w:space="0" w:color="auto"/>
                    <w:left w:val="none" w:sz="0" w:space="0" w:color="auto"/>
                    <w:bottom w:val="none" w:sz="0" w:space="0" w:color="auto"/>
                    <w:right w:val="none" w:sz="0" w:space="0" w:color="auto"/>
                  </w:divBdr>
                  <w:divsChild>
                    <w:div w:id="1336227006">
                      <w:marLeft w:val="0"/>
                      <w:marRight w:val="0"/>
                      <w:marTop w:val="0"/>
                      <w:marBottom w:val="0"/>
                      <w:divBdr>
                        <w:top w:val="none" w:sz="0" w:space="0" w:color="auto"/>
                        <w:left w:val="none" w:sz="0" w:space="0" w:color="auto"/>
                        <w:bottom w:val="none" w:sz="0" w:space="0" w:color="auto"/>
                        <w:right w:val="none" w:sz="0" w:space="0" w:color="auto"/>
                      </w:divBdr>
                    </w:div>
                  </w:divsChild>
                </w:div>
                <w:div w:id="1659260166">
                  <w:marLeft w:val="0"/>
                  <w:marRight w:val="0"/>
                  <w:marTop w:val="0"/>
                  <w:marBottom w:val="0"/>
                  <w:divBdr>
                    <w:top w:val="none" w:sz="0" w:space="0" w:color="auto"/>
                    <w:left w:val="none" w:sz="0" w:space="0" w:color="auto"/>
                    <w:bottom w:val="none" w:sz="0" w:space="0" w:color="auto"/>
                    <w:right w:val="none" w:sz="0" w:space="0" w:color="auto"/>
                  </w:divBdr>
                  <w:divsChild>
                    <w:div w:id="1360350963">
                      <w:marLeft w:val="0"/>
                      <w:marRight w:val="0"/>
                      <w:marTop w:val="0"/>
                      <w:marBottom w:val="0"/>
                      <w:divBdr>
                        <w:top w:val="none" w:sz="0" w:space="0" w:color="auto"/>
                        <w:left w:val="none" w:sz="0" w:space="0" w:color="auto"/>
                        <w:bottom w:val="none" w:sz="0" w:space="0" w:color="auto"/>
                        <w:right w:val="none" w:sz="0" w:space="0" w:color="auto"/>
                      </w:divBdr>
                    </w:div>
                  </w:divsChild>
                </w:div>
                <w:div w:id="1786996647">
                  <w:marLeft w:val="0"/>
                  <w:marRight w:val="0"/>
                  <w:marTop w:val="0"/>
                  <w:marBottom w:val="0"/>
                  <w:divBdr>
                    <w:top w:val="none" w:sz="0" w:space="0" w:color="auto"/>
                    <w:left w:val="none" w:sz="0" w:space="0" w:color="auto"/>
                    <w:bottom w:val="none" w:sz="0" w:space="0" w:color="auto"/>
                    <w:right w:val="none" w:sz="0" w:space="0" w:color="auto"/>
                  </w:divBdr>
                  <w:divsChild>
                    <w:div w:id="1357193651">
                      <w:marLeft w:val="0"/>
                      <w:marRight w:val="0"/>
                      <w:marTop w:val="0"/>
                      <w:marBottom w:val="0"/>
                      <w:divBdr>
                        <w:top w:val="none" w:sz="0" w:space="0" w:color="auto"/>
                        <w:left w:val="none" w:sz="0" w:space="0" w:color="auto"/>
                        <w:bottom w:val="none" w:sz="0" w:space="0" w:color="auto"/>
                        <w:right w:val="none" w:sz="0" w:space="0" w:color="auto"/>
                      </w:divBdr>
                    </w:div>
                  </w:divsChild>
                </w:div>
                <w:div w:id="1808009924">
                  <w:marLeft w:val="0"/>
                  <w:marRight w:val="0"/>
                  <w:marTop w:val="0"/>
                  <w:marBottom w:val="0"/>
                  <w:divBdr>
                    <w:top w:val="none" w:sz="0" w:space="0" w:color="auto"/>
                    <w:left w:val="none" w:sz="0" w:space="0" w:color="auto"/>
                    <w:bottom w:val="none" w:sz="0" w:space="0" w:color="auto"/>
                    <w:right w:val="none" w:sz="0" w:space="0" w:color="auto"/>
                  </w:divBdr>
                  <w:divsChild>
                    <w:div w:id="131868928">
                      <w:marLeft w:val="0"/>
                      <w:marRight w:val="0"/>
                      <w:marTop w:val="0"/>
                      <w:marBottom w:val="0"/>
                      <w:divBdr>
                        <w:top w:val="none" w:sz="0" w:space="0" w:color="auto"/>
                        <w:left w:val="none" w:sz="0" w:space="0" w:color="auto"/>
                        <w:bottom w:val="none" w:sz="0" w:space="0" w:color="auto"/>
                        <w:right w:val="none" w:sz="0" w:space="0" w:color="auto"/>
                      </w:divBdr>
                    </w:div>
                  </w:divsChild>
                </w:div>
                <w:div w:id="1850875097">
                  <w:marLeft w:val="0"/>
                  <w:marRight w:val="0"/>
                  <w:marTop w:val="0"/>
                  <w:marBottom w:val="0"/>
                  <w:divBdr>
                    <w:top w:val="none" w:sz="0" w:space="0" w:color="auto"/>
                    <w:left w:val="none" w:sz="0" w:space="0" w:color="auto"/>
                    <w:bottom w:val="none" w:sz="0" w:space="0" w:color="auto"/>
                    <w:right w:val="none" w:sz="0" w:space="0" w:color="auto"/>
                  </w:divBdr>
                  <w:divsChild>
                    <w:div w:id="306130223">
                      <w:marLeft w:val="0"/>
                      <w:marRight w:val="0"/>
                      <w:marTop w:val="0"/>
                      <w:marBottom w:val="0"/>
                      <w:divBdr>
                        <w:top w:val="none" w:sz="0" w:space="0" w:color="auto"/>
                        <w:left w:val="none" w:sz="0" w:space="0" w:color="auto"/>
                        <w:bottom w:val="none" w:sz="0" w:space="0" w:color="auto"/>
                        <w:right w:val="none" w:sz="0" w:space="0" w:color="auto"/>
                      </w:divBdr>
                    </w:div>
                  </w:divsChild>
                </w:div>
                <w:div w:id="1853687003">
                  <w:marLeft w:val="0"/>
                  <w:marRight w:val="0"/>
                  <w:marTop w:val="0"/>
                  <w:marBottom w:val="0"/>
                  <w:divBdr>
                    <w:top w:val="none" w:sz="0" w:space="0" w:color="auto"/>
                    <w:left w:val="none" w:sz="0" w:space="0" w:color="auto"/>
                    <w:bottom w:val="none" w:sz="0" w:space="0" w:color="auto"/>
                    <w:right w:val="none" w:sz="0" w:space="0" w:color="auto"/>
                  </w:divBdr>
                  <w:divsChild>
                    <w:div w:id="1383138948">
                      <w:marLeft w:val="0"/>
                      <w:marRight w:val="0"/>
                      <w:marTop w:val="0"/>
                      <w:marBottom w:val="0"/>
                      <w:divBdr>
                        <w:top w:val="none" w:sz="0" w:space="0" w:color="auto"/>
                        <w:left w:val="none" w:sz="0" w:space="0" w:color="auto"/>
                        <w:bottom w:val="none" w:sz="0" w:space="0" w:color="auto"/>
                        <w:right w:val="none" w:sz="0" w:space="0" w:color="auto"/>
                      </w:divBdr>
                    </w:div>
                  </w:divsChild>
                </w:div>
                <w:div w:id="1936744033">
                  <w:marLeft w:val="0"/>
                  <w:marRight w:val="0"/>
                  <w:marTop w:val="0"/>
                  <w:marBottom w:val="0"/>
                  <w:divBdr>
                    <w:top w:val="none" w:sz="0" w:space="0" w:color="auto"/>
                    <w:left w:val="none" w:sz="0" w:space="0" w:color="auto"/>
                    <w:bottom w:val="none" w:sz="0" w:space="0" w:color="auto"/>
                    <w:right w:val="none" w:sz="0" w:space="0" w:color="auto"/>
                  </w:divBdr>
                  <w:divsChild>
                    <w:div w:id="790436672">
                      <w:marLeft w:val="0"/>
                      <w:marRight w:val="0"/>
                      <w:marTop w:val="0"/>
                      <w:marBottom w:val="0"/>
                      <w:divBdr>
                        <w:top w:val="none" w:sz="0" w:space="0" w:color="auto"/>
                        <w:left w:val="none" w:sz="0" w:space="0" w:color="auto"/>
                        <w:bottom w:val="none" w:sz="0" w:space="0" w:color="auto"/>
                        <w:right w:val="none" w:sz="0" w:space="0" w:color="auto"/>
                      </w:divBdr>
                    </w:div>
                  </w:divsChild>
                </w:div>
                <w:div w:id="2036955773">
                  <w:marLeft w:val="0"/>
                  <w:marRight w:val="0"/>
                  <w:marTop w:val="0"/>
                  <w:marBottom w:val="0"/>
                  <w:divBdr>
                    <w:top w:val="none" w:sz="0" w:space="0" w:color="auto"/>
                    <w:left w:val="none" w:sz="0" w:space="0" w:color="auto"/>
                    <w:bottom w:val="none" w:sz="0" w:space="0" w:color="auto"/>
                    <w:right w:val="none" w:sz="0" w:space="0" w:color="auto"/>
                  </w:divBdr>
                  <w:divsChild>
                    <w:div w:id="1630432927">
                      <w:marLeft w:val="0"/>
                      <w:marRight w:val="0"/>
                      <w:marTop w:val="0"/>
                      <w:marBottom w:val="0"/>
                      <w:divBdr>
                        <w:top w:val="none" w:sz="0" w:space="0" w:color="auto"/>
                        <w:left w:val="none" w:sz="0" w:space="0" w:color="auto"/>
                        <w:bottom w:val="none" w:sz="0" w:space="0" w:color="auto"/>
                        <w:right w:val="none" w:sz="0" w:space="0" w:color="auto"/>
                      </w:divBdr>
                    </w:div>
                  </w:divsChild>
                </w:div>
                <w:div w:id="2133399518">
                  <w:marLeft w:val="0"/>
                  <w:marRight w:val="0"/>
                  <w:marTop w:val="0"/>
                  <w:marBottom w:val="0"/>
                  <w:divBdr>
                    <w:top w:val="none" w:sz="0" w:space="0" w:color="auto"/>
                    <w:left w:val="none" w:sz="0" w:space="0" w:color="auto"/>
                    <w:bottom w:val="none" w:sz="0" w:space="0" w:color="auto"/>
                    <w:right w:val="none" w:sz="0" w:space="0" w:color="auto"/>
                  </w:divBdr>
                  <w:divsChild>
                    <w:div w:id="10694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055877">
      <w:bodyDiv w:val="1"/>
      <w:marLeft w:val="0"/>
      <w:marRight w:val="0"/>
      <w:marTop w:val="0"/>
      <w:marBottom w:val="0"/>
      <w:divBdr>
        <w:top w:val="none" w:sz="0" w:space="0" w:color="auto"/>
        <w:left w:val="none" w:sz="0" w:space="0" w:color="auto"/>
        <w:bottom w:val="none" w:sz="0" w:space="0" w:color="auto"/>
        <w:right w:val="none" w:sz="0" w:space="0" w:color="auto"/>
      </w:divBdr>
      <w:divsChild>
        <w:div w:id="276445493">
          <w:marLeft w:val="0"/>
          <w:marRight w:val="0"/>
          <w:marTop w:val="0"/>
          <w:marBottom w:val="0"/>
          <w:divBdr>
            <w:top w:val="none" w:sz="0" w:space="0" w:color="auto"/>
            <w:left w:val="none" w:sz="0" w:space="0" w:color="auto"/>
            <w:bottom w:val="none" w:sz="0" w:space="0" w:color="auto"/>
            <w:right w:val="none" w:sz="0" w:space="0" w:color="auto"/>
          </w:divBdr>
        </w:div>
        <w:div w:id="306056308">
          <w:marLeft w:val="0"/>
          <w:marRight w:val="0"/>
          <w:marTop w:val="0"/>
          <w:marBottom w:val="0"/>
          <w:divBdr>
            <w:top w:val="none" w:sz="0" w:space="0" w:color="auto"/>
            <w:left w:val="none" w:sz="0" w:space="0" w:color="auto"/>
            <w:bottom w:val="none" w:sz="0" w:space="0" w:color="auto"/>
            <w:right w:val="none" w:sz="0" w:space="0" w:color="auto"/>
          </w:divBdr>
        </w:div>
        <w:div w:id="503016290">
          <w:marLeft w:val="0"/>
          <w:marRight w:val="0"/>
          <w:marTop w:val="0"/>
          <w:marBottom w:val="0"/>
          <w:divBdr>
            <w:top w:val="none" w:sz="0" w:space="0" w:color="auto"/>
            <w:left w:val="none" w:sz="0" w:space="0" w:color="auto"/>
            <w:bottom w:val="none" w:sz="0" w:space="0" w:color="auto"/>
            <w:right w:val="none" w:sz="0" w:space="0" w:color="auto"/>
          </w:divBdr>
        </w:div>
        <w:div w:id="535889768">
          <w:marLeft w:val="0"/>
          <w:marRight w:val="0"/>
          <w:marTop w:val="0"/>
          <w:marBottom w:val="0"/>
          <w:divBdr>
            <w:top w:val="none" w:sz="0" w:space="0" w:color="auto"/>
            <w:left w:val="none" w:sz="0" w:space="0" w:color="auto"/>
            <w:bottom w:val="none" w:sz="0" w:space="0" w:color="auto"/>
            <w:right w:val="none" w:sz="0" w:space="0" w:color="auto"/>
          </w:divBdr>
        </w:div>
        <w:div w:id="611789042">
          <w:marLeft w:val="0"/>
          <w:marRight w:val="0"/>
          <w:marTop w:val="0"/>
          <w:marBottom w:val="0"/>
          <w:divBdr>
            <w:top w:val="none" w:sz="0" w:space="0" w:color="auto"/>
            <w:left w:val="none" w:sz="0" w:space="0" w:color="auto"/>
            <w:bottom w:val="none" w:sz="0" w:space="0" w:color="auto"/>
            <w:right w:val="none" w:sz="0" w:space="0" w:color="auto"/>
          </w:divBdr>
        </w:div>
        <w:div w:id="665210908">
          <w:marLeft w:val="0"/>
          <w:marRight w:val="0"/>
          <w:marTop w:val="0"/>
          <w:marBottom w:val="0"/>
          <w:divBdr>
            <w:top w:val="none" w:sz="0" w:space="0" w:color="auto"/>
            <w:left w:val="none" w:sz="0" w:space="0" w:color="auto"/>
            <w:bottom w:val="none" w:sz="0" w:space="0" w:color="auto"/>
            <w:right w:val="none" w:sz="0" w:space="0" w:color="auto"/>
          </w:divBdr>
        </w:div>
        <w:div w:id="701905531">
          <w:marLeft w:val="0"/>
          <w:marRight w:val="0"/>
          <w:marTop w:val="0"/>
          <w:marBottom w:val="0"/>
          <w:divBdr>
            <w:top w:val="none" w:sz="0" w:space="0" w:color="auto"/>
            <w:left w:val="none" w:sz="0" w:space="0" w:color="auto"/>
            <w:bottom w:val="none" w:sz="0" w:space="0" w:color="auto"/>
            <w:right w:val="none" w:sz="0" w:space="0" w:color="auto"/>
          </w:divBdr>
        </w:div>
        <w:div w:id="769397332">
          <w:marLeft w:val="0"/>
          <w:marRight w:val="0"/>
          <w:marTop w:val="0"/>
          <w:marBottom w:val="0"/>
          <w:divBdr>
            <w:top w:val="none" w:sz="0" w:space="0" w:color="auto"/>
            <w:left w:val="none" w:sz="0" w:space="0" w:color="auto"/>
            <w:bottom w:val="none" w:sz="0" w:space="0" w:color="auto"/>
            <w:right w:val="none" w:sz="0" w:space="0" w:color="auto"/>
          </w:divBdr>
        </w:div>
        <w:div w:id="898245287">
          <w:marLeft w:val="0"/>
          <w:marRight w:val="0"/>
          <w:marTop w:val="0"/>
          <w:marBottom w:val="0"/>
          <w:divBdr>
            <w:top w:val="none" w:sz="0" w:space="0" w:color="auto"/>
            <w:left w:val="none" w:sz="0" w:space="0" w:color="auto"/>
            <w:bottom w:val="none" w:sz="0" w:space="0" w:color="auto"/>
            <w:right w:val="none" w:sz="0" w:space="0" w:color="auto"/>
          </w:divBdr>
        </w:div>
        <w:div w:id="968819347">
          <w:marLeft w:val="0"/>
          <w:marRight w:val="0"/>
          <w:marTop w:val="0"/>
          <w:marBottom w:val="0"/>
          <w:divBdr>
            <w:top w:val="none" w:sz="0" w:space="0" w:color="auto"/>
            <w:left w:val="none" w:sz="0" w:space="0" w:color="auto"/>
            <w:bottom w:val="none" w:sz="0" w:space="0" w:color="auto"/>
            <w:right w:val="none" w:sz="0" w:space="0" w:color="auto"/>
          </w:divBdr>
        </w:div>
        <w:div w:id="999427605">
          <w:marLeft w:val="0"/>
          <w:marRight w:val="0"/>
          <w:marTop w:val="0"/>
          <w:marBottom w:val="0"/>
          <w:divBdr>
            <w:top w:val="none" w:sz="0" w:space="0" w:color="auto"/>
            <w:left w:val="none" w:sz="0" w:space="0" w:color="auto"/>
            <w:bottom w:val="none" w:sz="0" w:space="0" w:color="auto"/>
            <w:right w:val="none" w:sz="0" w:space="0" w:color="auto"/>
          </w:divBdr>
        </w:div>
        <w:div w:id="1284654809">
          <w:marLeft w:val="0"/>
          <w:marRight w:val="0"/>
          <w:marTop w:val="0"/>
          <w:marBottom w:val="0"/>
          <w:divBdr>
            <w:top w:val="none" w:sz="0" w:space="0" w:color="auto"/>
            <w:left w:val="none" w:sz="0" w:space="0" w:color="auto"/>
            <w:bottom w:val="none" w:sz="0" w:space="0" w:color="auto"/>
            <w:right w:val="none" w:sz="0" w:space="0" w:color="auto"/>
          </w:divBdr>
        </w:div>
        <w:div w:id="1299342757">
          <w:marLeft w:val="0"/>
          <w:marRight w:val="0"/>
          <w:marTop w:val="0"/>
          <w:marBottom w:val="0"/>
          <w:divBdr>
            <w:top w:val="none" w:sz="0" w:space="0" w:color="auto"/>
            <w:left w:val="none" w:sz="0" w:space="0" w:color="auto"/>
            <w:bottom w:val="none" w:sz="0" w:space="0" w:color="auto"/>
            <w:right w:val="none" w:sz="0" w:space="0" w:color="auto"/>
          </w:divBdr>
        </w:div>
        <w:div w:id="1427800037">
          <w:marLeft w:val="0"/>
          <w:marRight w:val="0"/>
          <w:marTop w:val="0"/>
          <w:marBottom w:val="0"/>
          <w:divBdr>
            <w:top w:val="none" w:sz="0" w:space="0" w:color="auto"/>
            <w:left w:val="none" w:sz="0" w:space="0" w:color="auto"/>
            <w:bottom w:val="none" w:sz="0" w:space="0" w:color="auto"/>
            <w:right w:val="none" w:sz="0" w:space="0" w:color="auto"/>
          </w:divBdr>
        </w:div>
        <w:div w:id="1538931991">
          <w:marLeft w:val="0"/>
          <w:marRight w:val="0"/>
          <w:marTop w:val="0"/>
          <w:marBottom w:val="0"/>
          <w:divBdr>
            <w:top w:val="none" w:sz="0" w:space="0" w:color="auto"/>
            <w:left w:val="none" w:sz="0" w:space="0" w:color="auto"/>
            <w:bottom w:val="none" w:sz="0" w:space="0" w:color="auto"/>
            <w:right w:val="none" w:sz="0" w:space="0" w:color="auto"/>
          </w:divBdr>
        </w:div>
        <w:div w:id="1673490671">
          <w:marLeft w:val="0"/>
          <w:marRight w:val="0"/>
          <w:marTop w:val="0"/>
          <w:marBottom w:val="0"/>
          <w:divBdr>
            <w:top w:val="none" w:sz="0" w:space="0" w:color="auto"/>
            <w:left w:val="none" w:sz="0" w:space="0" w:color="auto"/>
            <w:bottom w:val="none" w:sz="0" w:space="0" w:color="auto"/>
            <w:right w:val="none" w:sz="0" w:space="0" w:color="auto"/>
          </w:divBdr>
        </w:div>
        <w:div w:id="1741755969">
          <w:marLeft w:val="0"/>
          <w:marRight w:val="0"/>
          <w:marTop w:val="0"/>
          <w:marBottom w:val="0"/>
          <w:divBdr>
            <w:top w:val="none" w:sz="0" w:space="0" w:color="auto"/>
            <w:left w:val="none" w:sz="0" w:space="0" w:color="auto"/>
            <w:bottom w:val="none" w:sz="0" w:space="0" w:color="auto"/>
            <w:right w:val="none" w:sz="0" w:space="0" w:color="auto"/>
          </w:divBdr>
        </w:div>
      </w:divsChild>
    </w:div>
    <w:div w:id="395318687">
      <w:bodyDiv w:val="1"/>
      <w:marLeft w:val="0"/>
      <w:marRight w:val="0"/>
      <w:marTop w:val="0"/>
      <w:marBottom w:val="0"/>
      <w:divBdr>
        <w:top w:val="none" w:sz="0" w:space="0" w:color="auto"/>
        <w:left w:val="none" w:sz="0" w:space="0" w:color="auto"/>
        <w:bottom w:val="none" w:sz="0" w:space="0" w:color="auto"/>
        <w:right w:val="none" w:sz="0" w:space="0" w:color="auto"/>
      </w:divBdr>
    </w:div>
    <w:div w:id="396587183">
      <w:bodyDiv w:val="1"/>
      <w:marLeft w:val="0"/>
      <w:marRight w:val="0"/>
      <w:marTop w:val="0"/>
      <w:marBottom w:val="0"/>
      <w:divBdr>
        <w:top w:val="none" w:sz="0" w:space="0" w:color="auto"/>
        <w:left w:val="none" w:sz="0" w:space="0" w:color="auto"/>
        <w:bottom w:val="none" w:sz="0" w:space="0" w:color="auto"/>
        <w:right w:val="none" w:sz="0" w:space="0" w:color="auto"/>
      </w:divBdr>
    </w:div>
    <w:div w:id="403187672">
      <w:bodyDiv w:val="1"/>
      <w:marLeft w:val="0"/>
      <w:marRight w:val="0"/>
      <w:marTop w:val="0"/>
      <w:marBottom w:val="0"/>
      <w:divBdr>
        <w:top w:val="none" w:sz="0" w:space="0" w:color="auto"/>
        <w:left w:val="none" w:sz="0" w:space="0" w:color="auto"/>
        <w:bottom w:val="none" w:sz="0" w:space="0" w:color="auto"/>
        <w:right w:val="none" w:sz="0" w:space="0" w:color="auto"/>
      </w:divBdr>
      <w:divsChild>
        <w:div w:id="17170541">
          <w:marLeft w:val="0"/>
          <w:marRight w:val="0"/>
          <w:marTop w:val="0"/>
          <w:marBottom w:val="0"/>
          <w:divBdr>
            <w:top w:val="none" w:sz="0" w:space="0" w:color="auto"/>
            <w:left w:val="none" w:sz="0" w:space="0" w:color="auto"/>
            <w:bottom w:val="none" w:sz="0" w:space="0" w:color="auto"/>
            <w:right w:val="none" w:sz="0" w:space="0" w:color="auto"/>
          </w:divBdr>
          <w:divsChild>
            <w:div w:id="1512448476">
              <w:marLeft w:val="-75"/>
              <w:marRight w:val="0"/>
              <w:marTop w:val="30"/>
              <w:marBottom w:val="30"/>
              <w:divBdr>
                <w:top w:val="none" w:sz="0" w:space="0" w:color="auto"/>
                <w:left w:val="none" w:sz="0" w:space="0" w:color="auto"/>
                <w:bottom w:val="none" w:sz="0" w:space="0" w:color="auto"/>
                <w:right w:val="none" w:sz="0" w:space="0" w:color="auto"/>
              </w:divBdr>
              <w:divsChild>
                <w:div w:id="34934453">
                  <w:marLeft w:val="0"/>
                  <w:marRight w:val="0"/>
                  <w:marTop w:val="0"/>
                  <w:marBottom w:val="0"/>
                  <w:divBdr>
                    <w:top w:val="none" w:sz="0" w:space="0" w:color="auto"/>
                    <w:left w:val="none" w:sz="0" w:space="0" w:color="auto"/>
                    <w:bottom w:val="none" w:sz="0" w:space="0" w:color="auto"/>
                    <w:right w:val="none" w:sz="0" w:space="0" w:color="auto"/>
                  </w:divBdr>
                  <w:divsChild>
                    <w:div w:id="1945261779">
                      <w:marLeft w:val="0"/>
                      <w:marRight w:val="0"/>
                      <w:marTop w:val="0"/>
                      <w:marBottom w:val="0"/>
                      <w:divBdr>
                        <w:top w:val="none" w:sz="0" w:space="0" w:color="auto"/>
                        <w:left w:val="none" w:sz="0" w:space="0" w:color="auto"/>
                        <w:bottom w:val="none" w:sz="0" w:space="0" w:color="auto"/>
                        <w:right w:val="none" w:sz="0" w:space="0" w:color="auto"/>
                      </w:divBdr>
                    </w:div>
                  </w:divsChild>
                </w:div>
                <w:div w:id="156924440">
                  <w:marLeft w:val="0"/>
                  <w:marRight w:val="0"/>
                  <w:marTop w:val="0"/>
                  <w:marBottom w:val="0"/>
                  <w:divBdr>
                    <w:top w:val="none" w:sz="0" w:space="0" w:color="auto"/>
                    <w:left w:val="none" w:sz="0" w:space="0" w:color="auto"/>
                    <w:bottom w:val="none" w:sz="0" w:space="0" w:color="auto"/>
                    <w:right w:val="none" w:sz="0" w:space="0" w:color="auto"/>
                  </w:divBdr>
                  <w:divsChild>
                    <w:div w:id="1489318722">
                      <w:marLeft w:val="0"/>
                      <w:marRight w:val="0"/>
                      <w:marTop w:val="0"/>
                      <w:marBottom w:val="0"/>
                      <w:divBdr>
                        <w:top w:val="none" w:sz="0" w:space="0" w:color="auto"/>
                        <w:left w:val="none" w:sz="0" w:space="0" w:color="auto"/>
                        <w:bottom w:val="none" w:sz="0" w:space="0" w:color="auto"/>
                        <w:right w:val="none" w:sz="0" w:space="0" w:color="auto"/>
                      </w:divBdr>
                    </w:div>
                  </w:divsChild>
                </w:div>
                <w:div w:id="243606904">
                  <w:marLeft w:val="0"/>
                  <w:marRight w:val="0"/>
                  <w:marTop w:val="0"/>
                  <w:marBottom w:val="0"/>
                  <w:divBdr>
                    <w:top w:val="none" w:sz="0" w:space="0" w:color="auto"/>
                    <w:left w:val="none" w:sz="0" w:space="0" w:color="auto"/>
                    <w:bottom w:val="none" w:sz="0" w:space="0" w:color="auto"/>
                    <w:right w:val="none" w:sz="0" w:space="0" w:color="auto"/>
                  </w:divBdr>
                  <w:divsChild>
                    <w:div w:id="565461277">
                      <w:marLeft w:val="0"/>
                      <w:marRight w:val="0"/>
                      <w:marTop w:val="0"/>
                      <w:marBottom w:val="0"/>
                      <w:divBdr>
                        <w:top w:val="none" w:sz="0" w:space="0" w:color="auto"/>
                        <w:left w:val="none" w:sz="0" w:space="0" w:color="auto"/>
                        <w:bottom w:val="none" w:sz="0" w:space="0" w:color="auto"/>
                        <w:right w:val="none" w:sz="0" w:space="0" w:color="auto"/>
                      </w:divBdr>
                    </w:div>
                    <w:div w:id="1011225749">
                      <w:marLeft w:val="0"/>
                      <w:marRight w:val="0"/>
                      <w:marTop w:val="0"/>
                      <w:marBottom w:val="0"/>
                      <w:divBdr>
                        <w:top w:val="none" w:sz="0" w:space="0" w:color="auto"/>
                        <w:left w:val="none" w:sz="0" w:space="0" w:color="auto"/>
                        <w:bottom w:val="none" w:sz="0" w:space="0" w:color="auto"/>
                        <w:right w:val="none" w:sz="0" w:space="0" w:color="auto"/>
                      </w:divBdr>
                    </w:div>
                  </w:divsChild>
                </w:div>
                <w:div w:id="418252099">
                  <w:marLeft w:val="0"/>
                  <w:marRight w:val="0"/>
                  <w:marTop w:val="0"/>
                  <w:marBottom w:val="0"/>
                  <w:divBdr>
                    <w:top w:val="none" w:sz="0" w:space="0" w:color="auto"/>
                    <w:left w:val="none" w:sz="0" w:space="0" w:color="auto"/>
                    <w:bottom w:val="none" w:sz="0" w:space="0" w:color="auto"/>
                    <w:right w:val="none" w:sz="0" w:space="0" w:color="auto"/>
                  </w:divBdr>
                  <w:divsChild>
                    <w:div w:id="2037457836">
                      <w:marLeft w:val="0"/>
                      <w:marRight w:val="0"/>
                      <w:marTop w:val="0"/>
                      <w:marBottom w:val="0"/>
                      <w:divBdr>
                        <w:top w:val="none" w:sz="0" w:space="0" w:color="auto"/>
                        <w:left w:val="none" w:sz="0" w:space="0" w:color="auto"/>
                        <w:bottom w:val="none" w:sz="0" w:space="0" w:color="auto"/>
                        <w:right w:val="none" w:sz="0" w:space="0" w:color="auto"/>
                      </w:divBdr>
                    </w:div>
                  </w:divsChild>
                </w:div>
                <w:div w:id="612901568">
                  <w:marLeft w:val="0"/>
                  <w:marRight w:val="0"/>
                  <w:marTop w:val="0"/>
                  <w:marBottom w:val="0"/>
                  <w:divBdr>
                    <w:top w:val="none" w:sz="0" w:space="0" w:color="auto"/>
                    <w:left w:val="none" w:sz="0" w:space="0" w:color="auto"/>
                    <w:bottom w:val="none" w:sz="0" w:space="0" w:color="auto"/>
                    <w:right w:val="none" w:sz="0" w:space="0" w:color="auto"/>
                  </w:divBdr>
                  <w:divsChild>
                    <w:div w:id="845630113">
                      <w:marLeft w:val="0"/>
                      <w:marRight w:val="0"/>
                      <w:marTop w:val="0"/>
                      <w:marBottom w:val="0"/>
                      <w:divBdr>
                        <w:top w:val="none" w:sz="0" w:space="0" w:color="auto"/>
                        <w:left w:val="none" w:sz="0" w:space="0" w:color="auto"/>
                        <w:bottom w:val="none" w:sz="0" w:space="0" w:color="auto"/>
                        <w:right w:val="none" w:sz="0" w:space="0" w:color="auto"/>
                      </w:divBdr>
                    </w:div>
                  </w:divsChild>
                </w:div>
                <w:div w:id="849874646">
                  <w:marLeft w:val="0"/>
                  <w:marRight w:val="0"/>
                  <w:marTop w:val="0"/>
                  <w:marBottom w:val="0"/>
                  <w:divBdr>
                    <w:top w:val="none" w:sz="0" w:space="0" w:color="auto"/>
                    <w:left w:val="none" w:sz="0" w:space="0" w:color="auto"/>
                    <w:bottom w:val="none" w:sz="0" w:space="0" w:color="auto"/>
                    <w:right w:val="none" w:sz="0" w:space="0" w:color="auto"/>
                  </w:divBdr>
                  <w:divsChild>
                    <w:div w:id="1225674665">
                      <w:marLeft w:val="0"/>
                      <w:marRight w:val="0"/>
                      <w:marTop w:val="0"/>
                      <w:marBottom w:val="0"/>
                      <w:divBdr>
                        <w:top w:val="none" w:sz="0" w:space="0" w:color="auto"/>
                        <w:left w:val="none" w:sz="0" w:space="0" w:color="auto"/>
                        <w:bottom w:val="none" w:sz="0" w:space="0" w:color="auto"/>
                        <w:right w:val="none" w:sz="0" w:space="0" w:color="auto"/>
                      </w:divBdr>
                    </w:div>
                  </w:divsChild>
                </w:div>
                <w:div w:id="863830393">
                  <w:marLeft w:val="0"/>
                  <w:marRight w:val="0"/>
                  <w:marTop w:val="0"/>
                  <w:marBottom w:val="0"/>
                  <w:divBdr>
                    <w:top w:val="none" w:sz="0" w:space="0" w:color="auto"/>
                    <w:left w:val="none" w:sz="0" w:space="0" w:color="auto"/>
                    <w:bottom w:val="none" w:sz="0" w:space="0" w:color="auto"/>
                    <w:right w:val="none" w:sz="0" w:space="0" w:color="auto"/>
                  </w:divBdr>
                  <w:divsChild>
                    <w:div w:id="1932660668">
                      <w:marLeft w:val="0"/>
                      <w:marRight w:val="0"/>
                      <w:marTop w:val="0"/>
                      <w:marBottom w:val="0"/>
                      <w:divBdr>
                        <w:top w:val="none" w:sz="0" w:space="0" w:color="auto"/>
                        <w:left w:val="none" w:sz="0" w:space="0" w:color="auto"/>
                        <w:bottom w:val="none" w:sz="0" w:space="0" w:color="auto"/>
                        <w:right w:val="none" w:sz="0" w:space="0" w:color="auto"/>
                      </w:divBdr>
                    </w:div>
                  </w:divsChild>
                </w:div>
                <w:div w:id="914894342">
                  <w:marLeft w:val="0"/>
                  <w:marRight w:val="0"/>
                  <w:marTop w:val="0"/>
                  <w:marBottom w:val="0"/>
                  <w:divBdr>
                    <w:top w:val="none" w:sz="0" w:space="0" w:color="auto"/>
                    <w:left w:val="none" w:sz="0" w:space="0" w:color="auto"/>
                    <w:bottom w:val="none" w:sz="0" w:space="0" w:color="auto"/>
                    <w:right w:val="none" w:sz="0" w:space="0" w:color="auto"/>
                  </w:divBdr>
                  <w:divsChild>
                    <w:div w:id="1624997811">
                      <w:marLeft w:val="0"/>
                      <w:marRight w:val="0"/>
                      <w:marTop w:val="0"/>
                      <w:marBottom w:val="0"/>
                      <w:divBdr>
                        <w:top w:val="none" w:sz="0" w:space="0" w:color="auto"/>
                        <w:left w:val="none" w:sz="0" w:space="0" w:color="auto"/>
                        <w:bottom w:val="none" w:sz="0" w:space="0" w:color="auto"/>
                        <w:right w:val="none" w:sz="0" w:space="0" w:color="auto"/>
                      </w:divBdr>
                    </w:div>
                  </w:divsChild>
                </w:div>
                <w:div w:id="951397409">
                  <w:marLeft w:val="0"/>
                  <w:marRight w:val="0"/>
                  <w:marTop w:val="0"/>
                  <w:marBottom w:val="0"/>
                  <w:divBdr>
                    <w:top w:val="none" w:sz="0" w:space="0" w:color="auto"/>
                    <w:left w:val="none" w:sz="0" w:space="0" w:color="auto"/>
                    <w:bottom w:val="none" w:sz="0" w:space="0" w:color="auto"/>
                    <w:right w:val="none" w:sz="0" w:space="0" w:color="auto"/>
                  </w:divBdr>
                  <w:divsChild>
                    <w:div w:id="1998487399">
                      <w:marLeft w:val="0"/>
                      <w:marRight w:val="0"/>
                      <w:marTop w:val="0"/>
                      <w:marBottom w:val="0"/>
                      <w:divBdr>
                        <w:top w:val="none" w:sz="0" w:space="0" w:color="auto"/>
                        <w:left w:val="none" w:sz="0" w:space="0" w:color="auto"/>
                        <w:bottom w:val="none" w:sz="0" w:space="0" w:color="auto"/>
                        <w:right w:val="none" w:sz="0" w:space="0" w:color="auto"/>
                      </w:divBdr>
                    </w:div>
                  </w:divsChild>
                </w:div>
                <w:div w:id="1033700014">
                  <w:marLeft w:val="0"/>
                  <w:marRight w:val="0"/>
                  <w:marTop w:val="0"/>
                  <w:marBottom w:val="0"/>
                  <w:divBdr>
                    <w:top w:val="none" w:sz="0" w:space="0" w:color="auto"/>
                    <w:left w:val="none" w:sz="0" w:space="0" w:color="auto"/>
                    <w:bottom w:val="none" w:sz="0" w:space="0" w:color="auto"/>
                    <w:right w:val="none" w:sz="0" w:space="0" w:color="auto"/>
                  </w:divBdr>
                  <w:divsChild>
                    <w:div w:id="1189761992">
                      <w:marLeft w:val="0"/>
                      <w:marRight w:val="0"/>
                      <w:marTop w:val="0"/>
                      <w:marBottom w:val="0"/>
                      <w:divBdr>
                        <w:top w:val="none" w:sz="0" w:space="0" w:color="auto"/>
                        <w:left w:val="none" w:sz="0" w:space="0" w:color="auto"/>
                        <w:bottom w:val="none" w:sz="0" w:space="0" w:color="auto"/>
                        <w:right w:val="none" w:sz="0" w:space="0" w:color="auto"/>
                      </w:divBdr>
                    </w:div>
                  </w:divsChild>
                </w:div>
                <w:div w:id="1048798752">
                  <w:marLeft w:val="0"/>
                  <w:marRight w:val="0"/>
                  <w:marTop w:val="0"/>
                  <w:marBottom w:val="0"/>
                  <w:divBdr>
                    <w:top w:val="none" w:sz="0" w:space="0" w:color="auto"/>
                    <w:left w:val="none" w:sz="0" w:space="0" w:color="auto"/>
                    <w:bottom w:val="none" w:sz="0" w:space="0" w:color="auto"/>
                    <w:right w:val="none" w:sz="0" w:space="0" w:color="auto"/>
                  </w:divBdr>
                  <w:divsChild>
                    <w:div w:id="1706908378">
                      <w:marLeft w:val="0"/>
                      <w:marRight w:val="0"/>
                      <w:marTop w:val="0"/>
                      <w:marBottom w:val="0"/>
                      <w:divBdr>
                        <w:top w:val="none" w:sz="0" w:space="0" w:color="auto"/>
                        <w:left w:val="none" w:sz="0" w:space="0" w:color="auto"/>
                        <w:bottom w:val="none" w:sz="0" w:space="0" w:color="auto"/>
                        <w:right w:val="none" w:sz="0" w:space="0" w:color="auto"/>
                      </w:divBdr>
                    </w:div>
                    <w:div w:id="1978100638">
                      <w:marLeft w:val="0"/>
                      <w:marRight w:val="0"/>
                      <w:marTop w:val="0"/>
                      <w:marBottom w:val="0"/>
                      <w:divBdr>
                        <w:top w:val="none" w:sz="0" w:space="0" w:color="auto"/>
                        <w:left w:val="none" w:sz="0" w:space="0" w:color="auto"/>
                        <w:bottom w:val="none" w:sz="0" w:space="0" w:color="auto"/>
                        <w:right w:val="none" w:sz="0" w:space="0" w:color="auto"/>
                      </w:divBdr>
                    </w:div>
                  </w:divsChild>
                </w:div>
                <w:div w:id="1106924005">
                  <w:marLeft w:val="0"/>
                  <w:marRight w:val="0"/>
                  <w:marTop w:val="0"/>
                  <w:marBottom w:val="0"/>
                  <w:divBdr>
                    <w:top w:val="none" w:sz="0" w:space="0" w:color="auto"/>
                    <w:left w:val="none" w:sz="0" w:space="0" w:color="auto"/>
                    <w:bottom w:val="none" w:sz="0" w:space="0" w:color="auto"/>
                    <w:right w:val="none" w:sz="0" w:space="0" w:color="auto"/>
                  </w:divBdr>
                  <w:divsChild>
                    <w:div w:id="1963462655">
                      <w:marLeft w:val="0"/>
                      <w:marRight w:val="0"/>
                      <w:marTop w:val="0"/>
                      <w:marBottom w:val="0"/>
                      <w:divBdr>
                        <w:top w:val="none" w:sz="0" w:space="0" w:color="auto"/>
                        <w:left w:val="none" w:sz="0" w:space="0" w:color="auto"/>
                        <w:bottom w:val="none" w:sz="0" w:space="0" w:color="auto"/>
                        <w:right w:val="none" w:sz="0" w:space="0" w:color="auto"/>
                      </w:divBdr>
                    </w:div>
                  </w:divsChild>
                </w:div>
                <w:div w:id="1139806741">
                  <w:marLeft w:val="0"/>
                  <w:marRight w:val="0"/>
                  <w:marTop w:val="0"/>
                  <w:marBottom w:val="0"/>
                  <w:divBdr>
                    <w:top w:val="none" w:sz="0" w:space="0" w:color="auto"/>
                    <w:left w:val="none" w:sz="0" w:space="0" w:color="auto"/>
                    <w:bottom w:val="none" w:sz="0" w:space="0" w:color="auto"/>
                    <w:right w:val="none" w:sz="0" w:space="0" w:color="auto"/>
                  </w:divBdr>
                  <w:divsChild>
                    <w:div w:id="330766359">
                      <w:marLeft w:val="0"/>
                      <w:marRight w:val="0"/>
                      <w:marTop w:val="0"/>
                      <w:marBottom w:val="0"/>
                      <w:divBdr>
                        <w:top w:val="none" w:sz="0" w:space="0" w:color="auto"/>
                        <w:left w:val="none" w:sz="0" w:space="0" w:color="auto"/>
                        <w:bottom w:val="none" w:sz="0" w:space="0" w:color="auto"/>
                        <w:right w:val="none" w:sz="0" w:space="0" w:color="auto"/>
                      </w:divBdr>
                    </w:div>
                  </w:divsChild>
                </w:div>
                <w:div w:id="1144155308">
                  <w:marLeft w:val="0"/>
                  <w:marRight w:val="0"/>
                  <w:marTop w:val="0"/>
                  <w:marBottom w:val="0"/>
                  <w:divBdr>
                    <w:top w:val="none" w:sz="0" w:space="0" w:color="auto"/>
                    <w:left w:val="none" w:sz="0" w:space="0" w:color="auto"/>
                    <w:bottom w:val="none" w:sz="0" w:space="0" w:color="auto"/>
                    <w:right w:val="none" w:sz="0" w:space="0" w:color="auto"/>
                  </w:divBdr>
                  <w:divsChild>
                    <w:div w:id="1740394877">
                      <w:marLeft w:val="0"/>
                      <w:marRight w:val="0"/>
                      <w:marTop w:val="0"/>
                      <w:marBottom w:val="0"/>
                      <w:divBdr>
                        <w:top w:val="none" w:sz="0" w:space="0" w:color="auto"/>
                        <w:left w:val="none" w:sz="0" w:space="0" w:color="auto"/>
                        <w:bottom w:val="none" w:sz="0" w:space="0" w:color="auto"/>
                        <w:right w:val="none" w:sz="0" w:space="0" w:color="auto"/>
                      </w:divBdr>
                    </w:div>
                  </w:divsChild>
                </w:div>
                <w:div w:id="1235167659">
                  <w:marLeft w:val="0"/>
                  <w:marRight w:val="0"/>
                  <w:marTop w:val="0"/>
                  <w:marBottom w:val="0"/>
                  <w:divBdr>
                    <w:top w:val="none" w:sz="0" w:space="0" w:color="auto"/>
                    <w:left w:val="none" w:sz="0" w:space="0" w:color="auto"/>
                    <w:bottom w:val="none" w:sz="0" w:space="0" w:color="auto"/>
                    <w:right w:val="none" w:sz="0" w:space="0" w:color="auto"/>
                  </w:divBdr>
                  <w:divsChild>
                    <w:div w:id="603073384">
                      <w:marLeft w:val="0"/>
                      <w:marRight w:val="0"/>
                      <w:marTop w:val="0"/>
                      <w:marBottom w:val="0"/>
                      <w:divBdr>
                        <w:top w:val="none" w:sz="0" w:space="0" w:color="auto"/>
                        <w:left w:val="none" w:sz="0" w:space="0" w:color="auto"/>
                        <w:bottom w:val="none" w:sz="0" w:space="0" w:color="auto"/>
                        <w:right w:val="none" w:sz="0" w:space="0" w:color="auto"/>
                      </w:divBdr>
                    </w:div>
                    <w:div w:id="2004775818">
                      <w:marLeft w:val="0"/>
                      <w:marRight w:val="0"/>
                      <w:marTop w:val="0"/>
                      <w:marBottom w:val="0"/>
                      <w:divBdr>
                        <w:top w:val="none" w:sz="0" w:space="0" w:color="auto"/>
                        <w:left w:val="none" w:sz="0" w:space="0" w:color="auto"/>
                        <w:bottom w:val="none" w:sz="0" w:space="0" w:color="auto"/>
                        <w:right w:val="none" w:sz="0" w:space="0" w:color="auto"/>
                      </w:divBdr>
                    </w:div>
                  </w:divsChild>
                </w:div>
                <w:div w:id="1269463955">
                  <w:marLeft w:val="0"/>
                  <w:marRight w:val="0"/>
                  <w:marTop w:val="0"/>
                  <w:marBottom w:val="0"/>
                  <w:divBdr>
                    <w:top w:val="none" w:sz="0" w:space="0" w:color="auto"/>
                    <w:left w:val="none" w:sz="0" w:space="0" w:color="auto"/>
                    <w:bottom w:val="none" w:sz="0" w:space="0" w:color="auto"/>
                    <w:right w:val="none" w:sz="0" w:space="0" w:color="auto"/>
                  </w:divBdr>
                  <w:divsChild>
                    <w:div w:id="335229477">
                      <w:marLeft w:val="0"/>
                      <w:marRight w:val="0"/>
                      <w:marTop w:val="0"/>
                      <w:marBottom w:val="0"/>
                      <w:divBdr>
                        <w:top w:val="none" w:sz="0" w:space="0" w:color="auto"/>
                        <w:left w:val="none" w:sz="0" w:space="0" w:color="auto"/>
                        <w:bottom w:val="none" w:sz="0" w:space="0" w:color="auto"/>
                        <w:right w:val="none" w:sz="0" w:space="0" w:color="auto"/>
                      </w:divBdr>
                    </w:div>
                  </w:divsChild>
                </w:div>
                <w:div w:id="1369333157">
                  <w:marLeft w:val="0"/>
                  <w:marRight w:val="0"/>
                  <w:marTop w:val="0"/>
                  <w:marBottom w:val="0"/>
                  <w:divBdr>
                    <w:top w:val="none" w:sz="0" w:space="0" w:color="auto"/>
                    <w:left w:val="none" w:sz="0" w:space="0" w:color="auto"/>
                    <w:bottom w:val="none" w:sz="0" w:space="0" w:color="auto"/>
                    <w:right w:val="none" w:sz="0" w:space="0" w:color="auto"/>
                  </w:divBdr>
                  <w:divsChild>
                    <w:div w:id="402333507">
                      <w:marLeft w:val="0"/>
                      <w:marRight w:val="0"/>
                      <w:marTop w:val="0"/>
                      <w:marBottom w:val="0"/>
                      <w:divBdr>
                        <w:top w:val="none" w:sz="0" w:space="0" w:color="auto"/>
                        <w:left w:val="none" w:sz="0" w:space="0" w:color="auto"/>
                        <w:bottom w:val="none" w:sz="0" w:space="0" w:color="auto"/>
                        <w:right w:val="none" w:sz="0" w:space="0" w:color="auto"/>
                      </w:divBdr>
                    </w:div>
                  </w:divsChild>
                </w:div>
                <w:div w:id="1378778802">
                  <w:marLeft w:val="0"/>
                  <w:marRight w:val="0"/>
                  <w:marTop w:val="0"/>
                  <w:marBottom w:val="0"/>
                  <w:divBdr>
                    <w:top w:val="none" w:sz="0" w:space="0" w:color="auto"/>
                    <w:left w:val="none" w:sz="0" w:space="0" w:color="auto"/>
                    <w:bottom w:val="none" w:sz="0" w:space="0" w:color="auto"/>
                    <w:right w:val="none" w:sz="0" w:space="0" w:color="auto"/>
                  </w:divBdr>
                  <w:divsChild>
                    <w:div w:id="1020203071">
                      <w:marLeft w:val="0"/>
                      <w:marRight w:val="0"/>
                      <w:marTop w:val="0"/>
                      <w:marBottom w:val="0"/>
                      <w:divBdr>
                        <w:top w:val="none" w:sz="0" w:space="0" w:color="auto"/>
                        <w:left w:val="none" w:sz="0" w:space="0" w:color="auto"/>
                        <w:bottom w:val="none" w:sz="0" w:space="0" w:color="auto"/>
                        <w:right w:val="none" w:sz="0" w:space="0" w:color="auto"/>
                      </w:divBdr>
                    </w:div>
                  </w:divsChild>
                </w:div>
                <w:div w:id="1443839096">
                  <w:marLeft w:val="0"/>
                  <w:marRight w:val="0"/>
                  <w:marTop w:val="0"/>
                  <w:marBottom w:val="0"/>
                  <w:divBdr>
                    <w:top w:val="none" w:sz="0" w:space="0" w:color="auto"/>
                    <w:left w:val="none" w:sz="0" w:space="0" w:color="auto"/>
                    <w:bottom w:val="none" w:sz="0" w:space="0" w:color="auto"/>
                    <w:right w:val="none" w:sz="0" w:space="0" w:color="auto"/>
                  </w:divBdr>
                  <w:divsChild>
                    <w:div w:id="750469090">
                      <w:marLeft w:val="0"/>
                      <w:marRight w:val="0"/>
                      <w:marTop w:val="0"/>
                      <w:marBottom w:val="0"/>
                      <w:divBdr>
                        <w:top w:val="none" w:sz="0" w:space="0" w:color="auto"/>
                        <w:left w:val="none" w:sz="0" w:space="0" w:color="auto"/>
                        <w:bottom w:val="none" w:sz="0" w:space="0" w:color="auto"/>
                        <w:right w:val="none" w:sz="0" w:space="0" w:color="auto"/>
                      </w:divBdr>
                    </w:div>
                    <w:div w:id="1676571885">
                      <w:marLeft w:val="0"/>
                      <w:marRight w:val="0"/>
                      <w:marTop w:val="0"/>
                      <w:marBottom w:val="0"/>
                      <w:divBdr>
                        <w:top w:val="none" w:sz="0" w:space="0" w:color="auto"/>
                        <w:left w:val="none" w:sz="0" w:space="0" w:color="auto"/>
                        <w:bottom w:val="none" w:sz="0" w:space="0" w:color="auto"/>
                        <w:right w:val="none" w:sz="0" w:space="0" w:color="auto"/>
                      </w:divBdr>
                    </w:div>
                  </w:divsChild>
                </w:div>
                <w:div w:id="1444418142">
                  <w:marLeft w:val="0"/>
                  <w:marRight w:val="0"/>
                  <w:marTop w:val="0"/>
                  <w:marBottom w:val="0"/>
                  <w:divBdr>
                    <w:top w:val="none" w:sz="0" w:space="0" w:color="auto"/>
                    <w:left w:val="none" w:sz="0" w:space="0" w:color="auto"/>
                    <w:bottom w:val="none" w:sz="0" w:space="0" w:color="auto"/>
                    <w:right w:val="none" w:sz="0" w:space="0" w:color="auto"/>
                  </w:divBdr>
                  <w:divsChild>
                    <w:div w:id="1594127781">
                      <w:marLeft w:val="0"/>
                      <w:marRight w:val="0"/>
                      <w:marTop w:val="0"/>
                      <w:marBottom w:val="0"/>
                      <w:divBdr>
                        <w:top w:val="none" w:sz="0" w:space="0" w:color="auto"/>
                        <w:left w:val="none" w:sz="0" w:space="0" w:color="auto"/>
                        <w:bottom w:val="none" w:sz="0" w:space="0" w:color="auto"/>
                        <w:right w:val="none" w:sz="0" w:space="0" w:color="auto"/>
                      </w:divBdr>
                    </w:div>
                  </w:divsChild>
                </w:div>
                <w:div w:id="1549030171">
                  <w:marLeft w:val="0"/>
                  <w:marRight w:val="0"/>
                  <w:marTop w:val="0"/>
                  <w:marBottom w:val="0"/>
                  <w:divBdr>
                    <w:top w:val="none" w:sz="0" w:space="0" w:color="auto"/>
                    <w:left w:val="none" w:sz="0" w:space="0" w:color="auto"/>
                    <w:bottom w:val="none" w:sz="0" w:space="0" w:color="auto"/>
                    <w:right w:val="none" w:sz="0" w:space="0" w:color="auto"/>
                  </w:divBdr>
                  <w:divsChild>
                    <w:div w:id="567228179">
                      <w:marLeft w:val="0"/>
                      <w:marRight w:val="0"/>
                      <w:marTop w:val="0"/>
                      <w:marBottom w:val="0"/>
                      <w:divBdr>
                        <w:top w:val="none" w:sz="0" w:space="0" w:color="auto"/>
                        <w:left w:val="none" w:sz="0" w:space="0" w:color="auto"/>
                        <w:bottom w:val="none" w:sz="0" w:space="0" w:color="auto"/>
                        <w:right w:val="none" w:sz="0" w:space="0" w:color="auto"/>
                      </w:divBdr>
                    </w:div>
                  </w:divsChild>
                </w:div>
                <w:div w:id="1742676317">
                  <w:marLeft w:val="0"/>
                  <w:marRight w:val="0"/>
                  <w:marTop w:val="0"/>
                  <w:marBottom w:val="0"/>
                  <w:divBdr>
                    <w:top w:val="none" w:sz="0" w:space="0" w:color="auto"/>
                    <w:left w:val="none" w:sz="0" w:space="0" w:color="auto"/>
                    <w:bottom w:val="none" w:sz="0" w:space="0" w:color="auto"/>
                    <w:right w:val="none" w:sz="0" w:space="0" w:color="auto"/>
                  </w:divBdr>
                  <w:divsChild>
                    <w:div w:id="1585601468">
                      <w:marLeft w:val="0"/>
                      <w:marRight w:val="0"/>
                      <w:marTop w:val="0"/>
                      <w:marBottom w:val="0"/>
                      <w:divBdr>
                        <w:top w:val="none" w:sz="0" w:space="0" w:color="auto"/>
                        <w:left w:val="none" w:sz="0" w:space="0" w:color="auto"/>
                        <w:bottom w:val="none" w:sz="0" w:space="0" w:color="auto"/>
                        <w:right w:val="none" w:sz="0" w:space="0" w:color="auto"/>
                      </w:divBdr>
                    </w:div>
                  </w:divsChild>
                </w:div>
                <w:div w:id="1779174914">
                  <w:marLeft w:val="0"/>
                  <w:marRight w:val="0"/>
                  <w:marTop w:val="0"/>
                  <w:marBottom w:val="0"/>
                  <w:divBdr>
                    <w:top w:val="none" w:sz="0" w:space="0" w:color="auto"/>
                    <w:left w:val="none" w:sz="0" w:space="0" w:color="auto"/>
                    <w:bottom w:val="none" w:sz="0" w:space="0" w:color="auto"/>
                    <w:right w:val="none" w:sz="0" w:space="0" w:color="auto"/>
                  </w:divBdr>
                  <w:divsChild>
                    <w:div w:id="1704399836">
                      <w:marLeft w:val="0"/>
                      <w:marRight w:val="0"/>
                      <w:marTop w:val="0"/>
                      <w:marBottom w:val="0"/>
                      <w:divBdr>
                        <w:top w:val="none" w:sz="0" w:space="0" w:color="auto"/>
                        <w:left w:val="none" w:sz="0" w:space="0" w:color="auto"/>
                        <w:bottom w:val="none" w:sz="0" w:space="0" w:color="auto"/>
                        <w:right w:val="none" w:sz="0" w:space="0" w:color="auto"/>
                      </w:divBdr>
                    </w:div>
                  </w:divsChild>
                </w:div>
                <w:div w:id="1871603656">
                  <w:marLeft w:val="0"/>
                  <w:marRight w:val="0"/>
                  <w:marTop w:val="0"/>
                  <w:marBottom w:val="0"/>
                  <w:divBdr>
                    <w:top w:val="none" w:sz="0" w:space="0" w:color="auto"/>
                    <w:left w:val="none" w:sz="0" w:space="0" w:color="auto"/>
                    <w:bottom w:val="none" w:sz="0" w:space="0" w:color="auto"/>
                    <w:right w:val="none" w:sz="0" w:space="0" w:color="auto"/>
                  </w:divBdr>
                  <w:divsChild>
                    <w:div w:id="855654517">
                      <w:marLeft w:val="0"/>
                      <w:marRight w:val="0"/>
                      <w:marTop w:val="0"/>
                      <w:marBottom w:val="0"/>
                      <w:divBdr>
                        <w:top w:val="none" w:sz="0" w:space="0" w:color="auto"/>
                        <w:left w:val="none" w:sz="0" w:space="0" w:color="auto"/>
                        <w:bottom w:val="none" w:sz="0" w:space="0" w:color="auto"/>
                        <w:right w:val="none" w:sz="0" w:space="0" w:color="auto"/>
                      </w:divBdr>
                    </w:div>
                    <w:div w:id="1427461656">
                      <w:marLeft w:val="0"/>
                      <w:marRight w:val="0"/>
                      <w:marTop w:val="0"/>
                      <w:marBottom w:val="0"/>
                      <w:divBdr>
                        <w:top w:val="none" w:sz="0" w:space="0" w:color="auto"/>
                        <w:left w:val="none" w:sz="0" w:space="0" w:color="auto"/>
                        <w:bottom w:val="none" w:sz="0" w:space="0" w:color="auto"/>
                        <w:right w:val="none" w:sz="0" w:space="0" w:color="auto"/>
                      </w:divBdr>
                    </w:div>
                  </w:divsChild>
                </w:div>
                <w:div w:id="1933707464">
                  <w:marLeft w:val="0"/>
                  <w:marRight w:val="0"/>
                  <w:marTop w:val="0"/>
                  <w:marBottom w:val="0"/>
                  <w:divBdr>
                    <w:top w:val="none" w:sz="0" w:space="0" w:color="auto"/>
                    <w:left w:val="none" w:sz="0" w:space="0" w:color="auto"/>
                    <w:bottom w:val="none" w:sz="0" w:space="0" w:color="auto"/>
                    <w:right w:val="none" w:sz="0" w:space="0" w:color="auto"/>
                  </w:divBdr>
                  <w:divsChild>
                    <w:div w:id="611475052">
                      <w:marLeft w:val="0"/>
                      <w:marRight w:val="0"/>
                      <w:marTop w:val="0"/>
                      <w:marBottom w:val="0"/>
                      <w:divBdr>
                        <w:top w:val="none" w:sz="0" w:space="0" w:color="auto"/>
                        <w:left w:val="none" w:sz="0" w:space="0" w:color="auto"/>
                        <w:bottom w:val="none" w:sz="0" w:space="0" w:color="auto"/>
                        <w:right w:val="none" w:sz="0" w:space="0" w:color="auto"/>
                      </w:divBdr>
                    </w:div>
                  </w:divsChild>
                </w:div>
                <w:div w:id="1939676204">
                  <w:marLeft w:val="0"/>
                  <w:marRight w:val="0"/>
                  <w:marTop w:val="0"/>
                  <w:marBottom w:val="0"/>
                  <w:divBdr>
                    <w:top w:val="none" w:sz="0" w:space="0" w:color="auto"/>
                    <w:left w:val="none" w:sz="0" w:space="0" w:color="auto"/>
                    <w:bottom w:val="none" w:sz="0" w:space="0" w:color="auto"/>
                    <w:right w:val="none" w:sz="0" w:space="0" w:color="auto"/>
                  </w:divBdr>
                  <w:divsChild>
                    <w:div w:id="312871943">
                      <w:marLeft w:val="0"/>
                      <w:marRight w:val="0"/>
                      <w:marTop w:val="0"/>
                      <w:marBottom w:val="0"/>
                      <w:divBdr>
                        <w:top w:val="none" w:sz="0" w:space="0" w:color="auto"/>
                        <w:left w:val="none" w:sz="0" w:space="0" w:color="auto"/>
                        <w:bottom w:val="none" w:sz="0" w:space="0" w:color="auto"/>
                        <w:right w:val="none" w:sz="0" w:space="0" w:color="auto"/>
                      </w:divBdr>
                    </w:div>
                  </w:divsChild>
                </w:div>
                <w:div w:id="1983844173">
                  <w:marLeft w:val="0"/>
                  <w:marRight w:val="0"/>
                  <w:marTop w:val="0"/>
                  <w:marBottom w:val="0"/>
                  <w:divBdr>
                    <w:top w:val="none" w:sz="0" w:space="0" w:color="auto"/>
                    <w:left w:val="none" w:sz="0" w:space="0" w:color="auto"/>
                    <w:bottom w:val="none" w:sz="0" w:space="0" w:color="auto"/>
                    <w:right w:val="none" w:sz="0" w:space="0" w:color="auto"/>
                  </w:divBdr>
                  <w:divsChild>
                    <w:div w:id="1951862665">
                      <w:marLeft w:val="0"/>
                      <w:marRight w:val="0"/>
                      <w:marTop w:val="0"/>
                      <w:marBottom w:val="0"/>
                      <w:divBdr>
                        <w:top w:val="none" w:sz="0" w:space="0" w:color="auto"/>
                        <w:left w:val="none" w:sz="0" w:space="0" w:color="auto"/>
                        <w:bottom w:val="none" w:sz="0" w:space="0" w:color="auto"/>
                        <w:right w:val="none" w:sz="0" w:space="0" w:color="auto"/>
                      </w:divBdr>
                    </w:div>
                  </w:divsChild>
                </w:div>
                <w:div w:id="1984651771">
                  <w:marLeft w:val="0"/>
                  <w:marRight w:val="0"/>
                  <w:marTop w:val="0"/>
                  <w:marBottom w:val="0"/>
                  <w:divBdr>
                    <w:top w:val="none" w:sz="0" w:space="0" w:color="auto"/>
                    <w:left w:val="none" w:sz="0" w:space="0" w:color="auto"/>
                    <w:bottom w:val="none" w:sz="0" w:space="0" w:color="auto"/>
                    <w:right w:val="none" w:sz="0" w:space="0" w:color="auto"/>
                  </w:divBdr>
                  <w:divsChild>
                    <w:div w:id="952707071">
                      <w:marLeft w:val="0"/>
                      <w:marRight w:val="0"/>
                      <w:marTop w:val="0"/>
                      <w:marBottom w:val="0"/>
                      <w:divBdr>
                        <w:top w:val="none" w:sz="0" w:space="0" w:color="auto"/>
                        <w:left w:val="none" w:sz="0" w:space="0" w:color="auto"/>
                        <w:bottom w:val="none" w:sz="0" w:space="0" w:color="auto"/>
                        <w:right w:val="none" w:sz="0" w:space="0" w:color="auto"/>
                      </w:divBdr>
                    </w:div>
                  </w:divsChild>
                </w:div>
                <w:div w:id="1985624751">
                  <w:marLeft w:val="0"/>
                  <w:marRight w:val="0"/>
                  <w:marTop w:val="0"/>
                  <w:marBottom w:val="0"/>
                  <w:divBdr>
                    <w:top w:val="none" w:sz="0" w:space="0" w:color="auto"/>
                    <w:left w:val="none" w:sz="0" w:space="0" w:color="auto"/>
                    <w:bottom w:val="none" w:sz="0" w:space="0" w:color="auto"/>
                    <w:right w:val="none" w:sz="0" w:space="0" w:color="auto"/>
                  </w:divBdr>
                  <w:divsChild>
                    <w:div w:id="378016999">
                      <w:marLeft w:val="0"/>
                      <w:marRight w:val="0"/>
                      <w:marTop w:val="0"/>
                      <w:marBottom w:val="0"/>
                      <w:divBdr>
                        <w:top w:val="none" w:sz="0" w:space="0" w:color="auto"/>
                        <w:left w:val="none" w:sz="0" w:space="0" w:color="auto"/>
                        <w:bottom w:val="none" w:sz="0" w:space="0" w:color="auto"/>
                        <w:right w:val="none" w:sz="0" w:space="0" w:color="auto"/>
                      </w:divBdr>
                    </w:div>
                  </w:divsChild>
                </w:div>
                <w:div w:id="2056390895">
                  <w:marLeft w:val="0"/>
                  <w:marRight w:val="0"/>
                  <w:marTop w:val="0"/>
                  <w:marBottom w:val="0"/>
                  <w:divBdr>
                    <w:top w:val="none" w:sz="0" w:space="0" w:color="auto"/>
                    <w:left w:val="none" w:sz="0" w:space="0" w:color="auto"/>
                    <w:bottom w:val="none" w:sz="0" w:space="0" w:color="auto"/>
                    <w:right w:val="none" w:sz="0" w:space="0" w:color="auto"/>
                  </w:divBdr>
                  <w:divsChild>
                    <w:div w:id="19512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11254">
          <w:marLeft w:val="0"/>
          <w:marRight w:val="0"/>
          <w:marTop w:val="0"/>
          <w:marBottom w:val="0"/>
          <w:divBdr>
            <w:top w:val="none" w:sz="0" w:space="0" w:color="auto"/>
            <w:left w:val="none" w:sz="0" w:space="0" w:color="auto"/>
            <w:bottom w:val="none" w:sz="0" w:space="0" w:color="auto"/>
            <w:right w:val="none" w:sz="0" w:space="0" w:color="auto"/>
          </w:divBdr>
        </w:div>
        <w:div w:id="43215064">
          <w:marLeft w:val="0"/>
          <w:marRight w:val="0"/>
          <w:marTop w:val="0"/>
          <w:marBottom w:val="0"/>
          <w:divBdr>
            <w:top w:val="none" w:sz="0" w:space="0" w:color="auto"/>
            <w:left w:val="none" w:sz="0" w:space="0" w:color="auto"/>
            <w:bottom w:val="none" w:sz="0" w:space="0" w:color="auto"/>
            <w:right w:val="none" w:sz="0" w:space="0" w:color="auto"/>
          </w:divBdr>
        </w:div>
        <w:div w:id="94371958">
          <w:marLeft w:val="0"/>
          <w:marRight w:val="0"/>
          <w:marTop w:val="0"/>
          <w:marBottom w:val="0"/>
          <w:divBdr>
            <w:top w:val="none" w:sz="0" w:space="0" w:color="auto"/>
            <w:left w:val="none" w:sz="0" w:space="0" w:color="auto"/>
            <w:bottom w:val="none" w:sz="0" w:space="0" w:color="auto"/>
            <w:right w:val="none" w:sz="0" w:space="0" w:color="auto"/>
          </w:divBdr>
        </w:div>
        <w:div w:id="96144849">
          <w:marLeft w:val="0"/>
          <w:marRight w:val="0"/>
          <w:marTop w:val="0"/>
          <w:marBottom w:val="0"/>
          <w:divBdr>
            <w:top w:val="none" w:sz="0" w:space="0" w:color="auto"/>
            <w:left w:val="none" w:sz="0" w:space="0" w:color="auto"/>
            <w:bottom w:val="none" w:sz="0" w:space="0" w:color="auto"/>
            <w:right w:val="none" w:sz="0" w:space="0" w:color="auto"/>
          </w:divBdr>
        </w:div>
        <w:div w:id="143400113">
          <w:marLeft w:val="0"/>
          <w:marRight w:val="0"/>
          <w:marTop w:val="0"/>
          <w:marBottom w:val="0"/>
          <w:divBdr>
            <w:top w:val="none" w:sz="0" w:space="0" w:color="auto"/>
            <w:left w:val="none" w:sz="0" w:space="0" w:color="auto"/>
            <w:bottom w:val="none" w:sz="0" w:space="0" w:color="auto"/>
            <w:right w:val="none" w:sz="0" w:space="0" w:color="auto"/>
          </w:divBdr>
        </w:div>
        <w:div w:id="150678760">
          <w:marLeft w:val="0"/>
          <w:marRight w:val="0"/>
          <w:marTop w:val="0"/>
          <w:marBottom w:val="0"/>
          <w:divBdr>
            <w:top w:val="none" w:sz="0" w:space="0" w:color="auto"/>
            <w:left w:val="none" w:sz="0" w:space="0" w:color="auto"/>
            <w:bottom w:val="none" w:sz="0" w:space="0" w:color="auto"/>
            <w:right w:val="none" w:sz="0" w:space="0" w:color="auto"/>
          </w:divBdr>
          <w:divsChild>
            <w:div w:id="1509950835">
              <w:marLeft w:val="-75"/>
              <w:marRight w:val="0"/>
              <w:marTop w:val="30"/>
              <w:marBottom w:val="30"/>
              <w:divBdr>
                <w:top w:val="none" w:sz="0" w:space="0" w:color="auto"/>
                <w:left w:val="none" w:sz="0" w:space="0" w:color="auto"/>
                <w:bottom w:val="none" w:sz="0" w:space="0" w:color="auto"/>
                <w:right w:val="none" w:sz="0" w:space="0" w:color="auto"/>
              </w:divBdr>
              <w:divsChild>
                <w:div w:id="143469501">
                  <w:marLeft w:val="0"/>
                  <w:marRight w:val="0"/>
                  <w:marTop w:val="0"/>
                  <w:marBottom w:val="0"/>
                  <w:divBdr>
                    <w:top w:val="none" w:sz="0" w:space="0" w:color="auto"/>
                    <w:left w:val="none" w:sz="0" w:space="0" w:color="auto"/>
                    <w:bottom w:val="none" w:sz="0" w:space="0" w:color="auto"/>
                    <w:right w:val="none" w:sz="0" w:space="0" w:color="auto"/>
                  </w:divBdr>
                  <w:divsChild>
                    <w:div w:id="418137386">
                      <w:marLeft w:val="0"/>
                      <w:marRight w:val="0"/>
                      <w:marTop w:val="0"/>
                      <w:marBottom w:val="0"/>
                      <w:divBdr>
                        <w:top w:val="none" w:sz="0" w:space="0" w:color="auto"/>
                        <w:left w:val="none" w:sz="0" w:space="0" w:color="auto"/>
                        <w:bottom w:val="none" w:sz="0" w:space="0" w:color="auto"/>
                        <w:right w:val="none" w:sz="0" w:space="0" w:color="auto"/>
                      </w:divBdr>
                    </w:div>
                  </w:divsChild>
                </w:div>
                <w:div w:id="160243763">
                  <w:marLeft w:val="0"/>
                  <w:marRight w:val="0"/>
                  <w:marTop w:val="0"/>
                  <w:marBottom w:val="0"/>
                  <w:divBdr>
                    <w:top w:val="none" w:sz="0" w:space="0" w:color="auto"/>
                    <w:left w:val="none" w:sz="0" w:space="0" w:color="auto"/>
                    <w:bottom w:val="none" w:sz="0" w:space="0" w:color="auto"/>
                    <w:right w:val="none" w:sz="0" w:space="0" w:color="auto"/>
                  </w:divBdr>
                  <w:divsChild>
                    <w:div w:id="92407705">
                      <w:marLeft w:val="0"/>
                      <w:marRight w:val="0"/>
                      <w:marTop w:val="0"/>
                      <w:marBottom w:val="0"/>
                      <w:divBdr>
                        <w:top w:val="none" w:sz="0" w:space="0" w:color="auto"/>
                        <w:left w:val="none" w:sz="0" w:space="0" w:color="auto"/>
                        <w:bottom w:val="none" w:sz="0" w:space="0" w:color="auto"/>
                        <w:right w:val="none" w:sz="0" w:space="0" w:color="auto"/>
                      </w:divBdr>
                    </w:div>
                  </w:divsChild>
                </w:div>
                <w:div w:id="178273730">
                  <w:marLeft w:val="0"/>
                  <w:marRight w:val="0"/>
                  <w:marTop w:val="0"/>
                  <w:marBottom w:val="0"/>
                  <w:divBdr>
                    <w:top w:val="none" w:sz="0" w:space="0" w:color="auto"/>
                    <w:left w:val="none" w:sz="0" w:space="0" w:color="auto"/>
                    <w:bottom w:val="none" w:sz="0" w:space="0" w:color="auto"/>
                    <w:right w:val="none" w:sz="0" w:space="0" w:color="auto"/>
                  </w:divBdr>
                  <w:divsChild>
                    <w:div w:id="1998337475">
                      <w:marLeft w:val="0"/>
                      <w:marRight w:val="0"/>
                      <w:marTop w:val="0"/>
                      <w:marBottom w:val="0"/>
                      <w:divBdr>
                        <w:top w:val="none" w:sz="0" w:space="0" w:color="auto"/>
                        <w:left w:val="none" w:sz="0" w:space="0" w:color="auto"/>
                        <w:bottom w:val="none" w:sz="0" w:space="0" w:color="auto"/>
                        <w:right w:val="none" w:sz="0" w:space="0" w:color="auto"/>
                      </w:divBdr>
                    </w:div>
                  </w:divsChild>
                </w:div>
                <w:div w:id="232935451">
                  <w:marLeft w:val="0"/>
                  <w:marRight w:val="0"/>
                  <w:marTop w:val="0"/>
                  <w:marBottom w:val="0"/>
                  <w:divBdr>
                    <w:top w:val="none" w:sz="0" w:space="0" w:color="auto"/>
                    <w:left w:val="none" w:sz="0" w:space="0" w:color="auto"/>
                    <w:bottom w:val="none" w:sz="0" w:space="0" w:color="auto"/>
                    <w:right w:val="none" w:sz="0" w:space="0" w:color="auto"/>
                  </w:divBdr>
                  <w:divsChild>
                    <w:div w:id="1388799824">
                      <w:marLeft w:val="0"/>
                      <w:marRight w:val="0"/>
                      <w:marTop w:val="0"/>
                      <w:marBottom w:val="0"/>
                      <w:divBdr>
                        <w:top w:val="none" w:sz="0" w:space="0" w:color="auto"/>
                        <w:left w:val="none" w:sz="0" w:space="0" w:color="auto"/>
                        <w:bottom w:val="none" w:sz="0" w:space="0" w:color="auto"/>
                        <w:right w:val="none" w:sz="0" w:space="0" w:color="auto"/>
                      </w:divBdr>
                    </w:div>
                  </w:divsChild>
                </w:div>
                <w:div w:id="325593959">
                  <w:marLeft w:val="0"/>
                  <w:marRight w:val="0"/>
                  <w:marTop w:val="0"/>
                  <w:marBottom w:val="0"/>
                  <w:divBdr>
                    <w:top w:val="none" w:sz="0" w:space="0" w:color="auto"/>
                    <w:left w:val="none" w:sz="0" w:space="0" w:color="auto"/>
                    <w:bottom w:val="none" w:sz="0" w:space="0" w:color="auto"/>
                    <w:right w:val="none" w:sz="0" w:space="0" w:color="auto"/>
                  </w:divBdr>
                  <w:divsChild>
                    <w:div w:id="41904506">
                      <w:marLeft w:val="0"/>
                      <w:marRight w:val="0"/>
                      <w:marTop w:val="0"/>
                      <w:marBottom w:val="0"/>
                      <w:divBdr>
                        <w:top w:val="none" w:sz="0" w:space="0" w:color="auto"/>
                        <w:left w:val="none" w:sz="0" w:space="0" w:color="auto"/>
                        <w:bottom w:val="none" w:sz="0" w:space="0" w:color="auto"/>
                        <w:right w:val="none" w:sz="0" w:space="0" w:color="auto"/>
                      </w:divBdr>
                    </w:div>
                  </w:divsChild>
                </w:div>
                <w:div w:id="341204373">
                  <w:marLeft w:val="0"/>
                  <w:marRight w:val="0"/>
                  <w:marTop w:val="0"/>
                  <w:marBottom w:val="0"/>
                  <w:divBdr>
                    <w:top w:val="none" w:sz="0" w:space="0" w:color="auto"/>
                    <w:left w:val="none" w:sz="0" w:space="0" w:color="auto"/>
                    <w:bottom w:val="none" w:sz="0" w:space="0" w:color="auto"/>
                    <w:right w:val="none" w:sz="0" w:space="0" w:color="auto"/>
                  </w:divBdr>
                  <w:divsChild>
                    <w:div w:id="612859033">
                      <w:marLeft w:val="0"/>
                      <w:marRight w:val="0"/>
                      <w:marTop w:val="0"/>
                      <w:marBottom w:val="0"/>
                      <w:divBdr>
                        <w:top w:val="none" w:sz="0" w:space="0" w:color="auto"/>
                        <w:left w:val="none" w:sz="0" w:space="0" w:color="auto"/>
                        <w:bottom w:val="none" w:sz="0" w:space="0" w:color="auto"/>
                        <w:right w:val="none" w:sz="0" w:space="0" w:color="auto"/>
                      </w:divBdr>
                    </w:div>
                  </w:divsChild>
                </w:div>
                <w:div w:id="350185893">
                  <w:marLeft w:val="0"/>
                  <w:marRight w:val="0"/>
                  <w:marTop w:val="0"/>
                  <w:marBottom w:val="0"/>
                  <w:divBdr>
                    <w:top w:val="none" w:sz="0" w:space="0" w:color="auto"/>
                    <w:left w:val="none" w:sz="0" w:space="0" w:color="auto"/>
                    <w:bottom w:val="none" w:sz="0" w:space="0" w:color="auto"/>
                    <w:right w:val="none" w:sz="0" w:space="0" w:color="auto"/>
                  </w:divBdr>
                  <w:divsChild>
                    <w:div w:id="1762066562">
                      <w:marLeft w:val="0"/>
                      <w:marRight w:val="0"/>
                      <w:marTop w:val="0"/>
                      <w:marBottom w:val="0"/>
                      <w:divBdr>
                        <w:top w:val="none" w:sz="0" w:space="0" w:color="auto"/>
                        <w:left w:val="none" w:sz="0" w:space="0" w:color="auto"/>
                        <w:bottom w:val="none" w:sz="0" w:space="0" w:color="auto"/>
                        <w:right w:val="none" w:sz="0" w:space="0" w:color="auto"/>
                      </w:divBdr>
                    </w:div>
                  </w:divsChild>
                </w:div>
                <w:div w:id="414519080">
                  <w:marLeft w:val="0"/>
                  <w:marRight w:val="0"/>
                  <w:marTop w:val="0"/>
                  <w:marBottom w:val="0"/>
                  <w:divBdr>
                    <w:top w:val="none" w:sz="0" w:space="0" w:color="auto"/>
                    <w:left w:val="none" w:sz="0" w:space="0" w:color="auto"/>
                    <w:bottom w:val="none" w:sz="0" w:space="0" w:color="auto"/>
                    <w:right w:val="none" w:sz="0" w:space="0" w:color="auto"/>
                  </w:divBdr>
                  <w:divsChild>
                    <w:div w:id="386418420">
                      <w:marLeft w:val="0"/>
                      <w:marRight w:val="0"/>
                      <w:marTop w:val="0"/>
                      <w:marBottom w:val="0"/>
                      <w:divBdr>
                        <w:top w:val="none" w:sz="0" w:space="0" w:color="auto"/>
                        <w:left w:val="none" w:sz="0" w:space="0" w:color="auto"/>
                        <w:bottom w:val="none" w:sz="0" w:space="0" w:color="auto"/>
                        <w:right w:val="none" w:sz="0" w:space="0" w:color="auto"/>
                      </w:divBdr>
                    </w:div>
                  </w:divsChild>
                </w:div>
                <w:div w:id="451947977">
                  <w:marLeft w:val="0"/>
                  <w:marRight w:val="0"/>
                  <w:marTop w:val="0"/>
                  <w:marBottom w:val="0"/>
                  <w:divBdr>
                    <w:top w:val="none" w:sz="0" w:space="0" w:color="auto"/>
                    <w:left w:val="none" w:sz="0" w:space="0" w:color="auto"/>
                    <w:bottom w:val="none" w:sz="0" w:space="0" w:color="auto"/>
                    <w:right w:val="none" w:sz="0" w:space="0" w:color="auto"/>
                  </w:divBdr>
                  <w:divsChild>
                    <w:div w:id="300304069">
                      <w:marLeft w:val="0"/>
                      <w:marRight w:val="0"/>
                      <w:marTop w:val="0"/>
                      <w:marBottom w:val="0"/>
                      <w:divBdr>
                        <w:top w:val="none" w:sz="0" w:space="0" w:color="auto"/>
                        <w:left w:val="none" w:sz="0" w:space="0" w:color="auto"/>
                        <w:bottom w:val="none" w:sz="0" w:space="0" w:color="auto"/>
                        <w:right w:val="none" w:sz="0" w:space="0" w:color="auto"/>
                      </w:divBdr>
                    </w:div>
                  </w:divsChild>
                </w:div>
                <w:div w:id="488712067">
                  <w:marLeft w:val="0"/>
                  <w:marRight w:val="0"/>
                  <w:marTop w:val="0"/>
                  <w:marBottom w:val="0"/>
                  <w:divBdr>
                    <w:top w:val="none" w:sz="0" w:space="0" w:color="auto"/>
                    <w:left w:val="none" w:sz="0" w:space="0" w:color="auto"/>
                    <w:bottom w:val="none" w:sz="0" w:space="0" w:color="auto"/>
                    <w:right w:val="none" w:sz="0" w:space="0" w:color="auto"/>
                  </w:divBdr>
                  <w:divsChild>
                    <w:div w:id="167407528">
                      <w:marLeft w:val="0"/>
                      <w:marRight w:val="0"/>
                      <w:marTop w:val="0"/>
                      <w:marBottom w:val="0"/>
                      <w:divBdr>
                        <w:top w:val="none" w:sz="0" w:space="0" w:color="auto"/>
                        <w:left w:val="none" w:sz="0" w:space="0" w:color="auto"/>
                        <w:bottom w:val="none" w:sz="0" w:space="0" w:color="auto"/>
                        <w:right w:val="none" w:sz="0" w:space="0" w:color="auto"/>
                      </w:divBdr>
                    </w:div>
                  </w:divsChild>
                </w:div>
                <w:div w:id="777604772">
                  <w:marLeft w:val="0"/>
                  <w:marRight w:val="0"/>
                  <w:marTop w:val="0"/>
                  <w:marBottom w:val="0"/>
                  <w:divBdr>
                    <w:top w:val="none" w:sz="0" w:space="0" w:color="auto"/>
                    <w:left w:val="none" w:sz="0" w:space="0" w:color="auto"/>
                    <w:bottom w:val="none" w:sz="0" w:space="0" w:color="auto"/>
                    <w:right w:val="none" w:sz="0" w:space="0" w:color="auto"/>
                  </w:divBdr>
                  <w:divsChild>
                    <w:div w:id="141044106">
                      <w:marLeft w:val="0"/>
                      <w:marRight w:val="0"/>
                      <w:marTop w:val="0"/>
                      <w:marBottom w:val="0"/>
                      <w:divBdr>
                        <w:top w:val="none" w:sz="0" w:space="0" w:color="auto"/>
                        <w:left w:val="none" w:sz="0" w:space="0" w:color="auto"/>
                        <w:bottom w:val="none" w:sz="0" w:space="0" w:color="auto"/>
                        <w:right w:val="none" w:sz="0" w:space="0" w:color="auto"/>
                      </w:divBdr>
                    </w:div>
                  </w:divsChild>
                </w:div>
                <w:div w:id="824321277">
                  <w:marLeft w:val="0"/>
                  <w:marRight w:val="0"/>
                  <w:marTop w:val="0"/>
                  <w:marBottom w:val="0"/>
                  <w:divBdr>
                    <w:top w:val="none" w:sz="0" w:space="0" w:color="auto"/>
                    <w:left w:val="none" w:sz="0" w:space="0" w:color="auto"/>
                    <w:bottom w:val="none" w:sz="0" w:space="0" w:color="auto"/>
                    <w:right w:val="none" w:sz="0" w:space="0" w:color="auto"/>
                  </w:divBdr>
                  <w:divsChild>
                    <w:div w:id="371005816">
                      <w:marLeft w:val="0"/>
                      <w:marRight w:val="0"/>
                      <w:marTop w:val="0"/>
                      <w:marBottom w:val="0"/>
                      <w:divBdr>
                        <w:top w:val="none" w:sz="0" w:space="0" w:color="auto"/>
                        <w:left w:val="none" w:sz="0" w:space="0" w:color="auto"/>
                        <w:bottom w:val="none" w:sz="0" w:space="0" w:color="auto"/>
                        <w:right w:val="none" w:sz="0" w:space="0" w:color="auto"/>
                      </w:divBdr>
                    </w:div>
                  </w:divsChild>
                </w:div>
                <w:div w:id="1108044591">
                  <w:marLeft w:val="0"/>
                  <w:marRight w:val="0"/>
                  <w:marTop w:val="0"/>
                  <w:marBottom w:val="0"/>
                  <w:divBdr>
                    <w:top w:val="none" w:sz="0" w:space="0" w:color="auto"/>
                    <w:left w:val="none" w:sz="0" w:space="0" w:color="auto"/>
                    <w:bottom w:val="none" w:sz="0" w:space="0" w:color="auto"/>
                    <w:right w:val="none" w:sz="0" w:space="0" w:color="auto"/>
                  </w:divBdr>
                  <w:divsChild>
                    <w:div w:id="569315047">
                      <w:marLeft w:val="0"/>
                      <w:marRight w:val="0"/>
                      <w:marTop w:val="0"/>
                      <w:marBottom w:val="0"/>
                      <w:divBdr>
                        <w:top w:val="none" w:sz="0" w:space="0" w:color="auto"/>
                        <w:left w:val="none" w:sz="0" w:space="0" w:color="auto"/>
                        <w:bottom w:val="none" w:sz="0" w:space="0" w:color="auto"/>
                        <w:right w:val="none" w:sz="0" w:space="0" w:color="auto"/>
                      </w:divBdr>
                    </w:div>
                  </w:divsChild>
                </w:div>
                <w:div w:id="1143425600">
                  <w:marLeft w:val="0"/>
                  <w:marRight w:val="0"/>
                  <w:marTop w:val="0"/>
                  <w:marBottom w:val="0"/>
                  <w:divBdr>
                    <w:top w:val="none" w:sz="0" w:space="0" w:color="auto"/>
                    <w:left w:val="none" w:sz="0" w:space="0" w:color="auto"/>
                    <w:bottom w:val="none" w:sz="0" w:space="0" w:color="auto"/>
                    <w:right w:val="none" w:sz="0" w:space="0" w:color="auto"/>
                  </w:divBdr>
                  <w:divsChild>
                    <w:div w:id="155189366">
                      <w:marLeft w:val="0"/>
                      <w:marRight w:val="0"/>
                      <w:marTop w:val="0"/>
                      <w:marBottom w:val="0"/>
                      <w:divBdr>
                        <w:top w:val="none" w:sz="0" w:space="0" w:color="auto"/>
                        <w:left w:val="none" w:sz="0" w:space="0" w:color="auto"/>
                        <w:bottom w:val="none" w:sz="0" w:space="0" w:color="auto"/>
                        <w:right w:val="none" w:sz="0" w:space="0" w:color="auto"/>
                      </w:divBdr>
                    </w:div>
                  </w:divsChild>
                </w:div>
                <w:div w:id="1414666906">
                  <w:marLeft w:val="0"/>
                  <w:marRight w:val="0"/>
                  <w:marTop w:val="0"/>
                  <w:marBottom w:val="0"/>
                  <w:divBdr>
                    <w:top w:val="none" w:sz="0" w:space="0" w:color="auto"/>
                    <w:left w:val="none" w:sz="0" w:space="0" w:color="auto"/>
                    <w:bottom w:val="none" w:sz="0" w:space="0" w:color="auto"/>
                    <w:right w:val="none" w:sz="0" w:space="0" w:color="auto"/>
                  </w:divBdr>
                  <w:divsChild>
                    <w:div w:id="1452548404">
                      <w:marLeft w:val="0"/>
                      <w:marRight w:val="0"/>
                      <w:marTop w:val="0"/>
                      <w:marBottom w:val="0"/>
                      <w:divBdr>
                        <w:top w:val="none" w:sz="0" w:space="0" w:color="auto"/>
                        <w:left w:val="none" w:sz="0" w:space="0" w:color="auto"/>
                        <w:bottom w:val="none" w:sz="0" w:space="0" w:color="auto"/>
                        <w:right w:val="none" w:sz="0" w:space="0" w:color="auto"/>
                      </w:divBdr>
                    </w:div>
                  </w:divsChild>
                </w:div>
                <w:div w:id="1502965894">
                  <w:marLeft w:val="0"/>
                  <w:marRight w:val="0"/>
                  <w:marTop w:val="0"/>
                  <w:marBottom w:val="0"/>
                  <w:divBdr>
                    <w:top w:val="none" w:sz="0" w:space="0" w:color="auto"/>
                    <w:left w:val="none" w:sz="0" w:space="0" w:color="auto"/>
                    <w:bottom w:val="none" w:sz="0" w:space="0" w:color="auto"/>
                    <w:right w:val="none" w:sz="0" w:space="0" w:color="auto"/>
                  </w:divBdr>
                  <w:divsChild>
                    <w:div w:id="724837578">
                      <w:marLeft w:val="0"/>
                      <w:marRight w:val="0"/>
                      <w:marTop w:val="0"/>
                      <w:marBottom w:val="0"/>
                      <w:divBdr>
                        <w:top w:val="none" w:sz="0" w:space="0" w:color="auto"/>
                        <w:left w:val="none" w:sz="0" w:space="0" w:color="auto"/>
                        <w:bottom w:val="none" w:sz="0" w:space="0" w:color="auto"/>
                        <w:right w:val="none" w:sz="0" w:space="0" w:color="auto"/>
                      </w:divBdr>
                    </w:div>
                  </w:divsChild>
                </w:div>
                <w:div w:id="1584410448">
                  <w:marLeft w:val="0"/>
                  <w:marRight w:val="0"/>
                  <w:marTop w:val="0"/>
                  <w:marBottom w:val="0"/>
                  <w:divBdr>
                    <w:top w:val="none" w:sz="0" w:space="0" w:color="auto"/>
                    <w:left w:val="none" w:sz="0" w:space="0" w:color="auto"/>
                    <w:bottom w:val="none" w:sz="0" w:space="0" w:color="auto"/>
                    <w:right w:val="none" w:sz="0" w:space="0" w:color="auto"/>
                  </w:divBdr>
                  <w:divsChild>
                    <w:div w:id="783768555">
                      <w:marLeft w:val="0"/>
                      <w:marRight w:val="0"/>
                      <w:marTop w:val="0"/>
                      <w:marBottom w:val="0"/>
                      <w:divBdr>
                        <w:top w:val="none" w:sz="0" w:space="0" w:color="auto"/>
                        <w:left w:val="none" w:sz="0" w:space="0" w:color="auto"/>
                        <w:bottom w:val="none" w:sz="0" w:space="0" w:color="auto"/>
                        <w:right w:val="none" w:sz="0" w:space="0" w:color="auto"/>
                      </w:divBdr>
                    </w:div>
                  </w:divsChild>
                </w:div>
                <w:div w:id="1588073474">
                  <w:marLeft w:val="0"/>
                  <w:marRight w:val="0"/>
                  <w:marTop w:val="0"/>
                  <w:marBottom w:val="0"/>
                  <w:divBdr>
                    <w:top w:val="none" w:sz="0" w:space="0" w:color="auto"/>
                    <w:left w:val="none" w:sz="0" w:space="0" w:color="auto"/>
                    <w:bottom w:val="none" w:sz="0" w:space="0" w:color="auto"/>
                    <w:right w:val="none" w:sz="0" w:space="0" w:color="auto"/>
                  </w:divBdr>
                  <w:divsChild>
                    <w:div w:id="1082141074">
                      <w:marLeft w:val="0"/>
                      <w:marRight w:val="0"/>
                      <w:marTop w:val="0"/>
                      <w:marBottom w:val="0"/>
                      <w:divBdr>
                        <w:top w:val="none" w:sz="0" w:space="0" w:color="auto"/>
                        <w:left w:val="none" w:sz="0" w:space="0" w:color="auto"/>
                        <w:bottom w:val="none" w:sz="0" w:space="0" w:color="auto"/>
                        <w:right w:val="none" w:sz="0" w:space="0" w:color="auto"/>
                      </w:divBdr>
                    </w:div>
                  </w:divsChild>
                </w:div>
                <w:div w:id="1599870023">
                  <w:marLeft w:val="0"/>
                  <w:marRight w:val="0"/>
                  <w:marTop w:val="0"/>
                  <w:marBottom w:val="0"/>
                  <w:divBdr>
                    <w:top w:val="none" w:sz="0" w:space="0" w:color="auto"/>
                    <w:left w:val="none" w:sz="0" w:space="0" w:color="auto"/>
                    <w:bottom w:val="none" w:sz="0" w:space="0" w:color="auto"/>
                    <w:right w:val="none" w:sz="0" w:space="0" w:color="auto"/>
                  </w:divBdr>
                  <w:divsChild>
                    <w:div w:id="1677924303">
                      <w:marLeft w:val="0"/>
                      <w:marRight w:val="0"/>
                      <w:marTop w:val="0"/>
                      <w:marBottom w:val="0"/>
                      <w:divBdr>
                        <w:top w:val="none" w:sz="0" w:space="0" w:color="auto"/>
                        <w:left w:val="none" w:sz="0" w:space="0" w:color="auto"/>
                        <w:bottom w:val="none" w:sz="0" w:space="0" w:color="auto"/>
                        <w:right w:val="none" w:sz="0" w:space="0" w:color="auto"/>
                      </w:divBdr>
                    </w:div>
                  </w:divsChild>
                </w:div>
                <w:div w:id="1806771443">
                  <w:marLeft w:val="0"/>
                  <w:marRight w:val="0"/>
                  <w:marTop w:val="0"/>
                  <w:marBottom w:val="0"/>
                  <w:divBdr>
                    <w:top w:val="none" w:sz="0" w:space="0" w:color="auto"/>
                    <w:left w:val="none" w:sz="0" w:space="0" w:color="auto"/>
                    <w:bottom w:val="none" w:sz="0" w:space="0" w:color="auto"/>
                    <w:right w:val="none" w:sz="0" w:space="0" w:color="auto"/>
                  </w:divBdr>
                  <w:divsChild>
                    <w:div w:id="417794612">
                      <w:marLeft w:val="0"/>
                      <w:marRight w:val="0"/>
                      <w:marTop w:val="0"/>
                      <w:marBottom w:val="0"/>
                      <w:divBdr>
                        <w:top w:val="none" w:sz="0" w:space="0" w:color="auto"/>
                        <w:left w:val="none" w:sz="0" w:space="0" w:color="auto"/>
                        <w:bottom w:val="none" w:sz="0" w:space="0" w:color="auto"/>
                        <w:right w:val="none" w:sz="0" w:space="0" w:color="auto"/>
                      </w:divBdr>
                    </w:div>
                  </w:divsChild>
                </w:div>
                <w:div w:id="1813596704">
                  <w:marLeft w:val="0"/>
                  <w:marRight w:val="0"/>
                  <w:marTop w:val="0"/>
                  <w:marBottom w:val="0"/>
                  <w:divBdr>
                    <w:top w:val="none" w:sz="0" w:space="0" w:color="auto"/>
                    <w:left w:val="none" w:sz="0" w:space="0" w:color="auto"/>
                    <w:bottom w:val="none" w:sz="0" w:space="0" w:color="auto"/>
                    <w:right w:val="none" w:sz="0" w:space="0" w:color="auto"/>
                  </w:divBdr>
                  <w:divsChild>
                    <w:div w:id="696123885">
                      <w:marLeft w:val="0"/>
                      <w:marRight w:val="0"/>
                      <w:marTop w:val="0"/>
                      <w:marBottom w:val="0"/>
                      <w:divBdr>
                        <w:top w:val="none" w:sz="0" w:space="0" w:color="auto"/>
                        <w:left w:val="none" w:sz="0" w:space="0" w:color="auto"/>
                        <w:bottom w:val="none" w:sz="0" w:space="0" w:color="auto"/>
                        <w:right w:val="none" w:sz="0" w:space="0" w:color="auto"/>
                      </w:divBdr>
                    </w:div>
                  </w:divsChild>
                </w:div>
                <w:div w:id="1835145512">
                  <w:marLeft w:val="0"/>
                  <w:marRight w:val="0"/>
                  <w:marTop w:val="0"/>
                  <w:marBottom w:val="0"/>
                  <w:divBdr>
                    <w:top w:val="none" w:sz="0" w:space="0" w:color="auto"/>
                    <w:left w:val="none" w:sz="0" w:space="0" w:color="auto"/>
                    <w:bottom w:val="none" w:sz="0" w:space="0" w:color="auto"/>
                    <w:right w:val="none" w:sz="0" w:space="0" w:color="auto"/>
                  </w:divBdr>
                  <w:divsChild>
                    <w:div w:id="19239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3605">
          <w:marLeft w:val="0"/>
          <w:marRight w:val="0"/>
          <w:marTop w:val="0"/>
          <w:marBottom w:val="0"/>
          <w:divBdr>
            <w:top w:val="none" w:sz="0" w:space="0" w:color="auto"/>
            <w:left w:val="none" w:sz="0" w:space="0" w:color="auto"/>
            <w:bottom w:val="none" w:sz="0" w:space="0" w:color="auto"/>
            <w:right w:val="none" w:sz="0" w:space="0" w:color="auto"/>
          </w:divBdr>
          <w:divsChild>
            <w:div w:id="457990504">
              <w:marLeft w:val="0"/>
              <w:marRight w:val="0"/>
              <w:marTop w:val="0"/>
              <w:marBottom w:val="0"/>
              <w:divBdr>
                <w:top w:val="none" w:sz="0" w:space="0" w:color="auto"/>
                <w:left w:val="none" w:sz="0" w:space="0" w:color="auto"/>
                <w:bottom w:val="none" w:sz="0" w:space="0" w:color="auto"/>
                <w:right w:val="none" w:sz="0" w:space="0" w:color="auto"/>
              </w:divBdr>
            </w:div>
            <w:div w:id="1703170211">
              <w:marLeft w:val="0"/>
              <w:marRight w:val="0"/>
              <w:marTop w:val="0"/>
              <w:marBottom w:val="0"/>
              <w:divBdr>
                <w:top w:val="none" w:sz="0" w:space="0" w:color="auto"/>
                <w:left w:val="none" w:sz="0" w:space="0" w:color="auto"/>
                <w:bottom w:val="none" w:sz="0" w:space="0" w:color="auto"/>
                <w:right w:val="none" w:sz="0" w:space="0" w:color="auto"/>
              </w:divBdr>
            </w:div>
            <w:div w:id="1839693322">
              <w:marLeft w:val="0"/>
              <w:marRight w:val="0"/>
              <w:marTop w:val="0"/>
              <w:marBottom w:val="0"/>
              <w:divBdr>
                <w:top w:val="none" w:sz="0" w:space="0" w:color="auto"/>
                <w:left w:val="none" w:sz="0" w:space="0" w:color="auto"/>
                <w:bottom w:val="none" w:sz="0" w:space="0" w:color="auto"/>
                <w:right w:val="none" w:sz="0" w:space="0" w:color="auto"/>
              </w:divBdr>
            </w:div>
            <w:div w:id="1856769640">
              <w:marLeft w:val="0"/>
              <w:marRight w:val="0"/>
              <w:marTop w:val="0"/>
              <w:marBottom w:val="0"/>
              <w:divBdr>
                <w:top w:val="none" w:sz="0" w:space="0" w:color="auto"/>
                <w:left w:val="none" w:sz="0" w:space="0" w:color="auto"/>
                <w:bottom w:val="none" w:sz="0" w:space="0" w:color="auto"/>
                <w:right w:val="none" w:sz="0" w:space="0" w:color="auto"/>
              </w:divBdr>
            </w:div>
          </w:divsChild>
        </w:div>
        <w:div w:id="192690390">
          <w:marLeft w:val="0"/>
          <w:marRight w:val="0"/>
          <w:marTop w:val="0"/>
          <w:marBottom w:val="0"/>
          <w:divBdr>
            <w:top w:val="none" w:sz="0" w:space="0" w:color="auto"/>
            <w:left w:val="none" w:sz="0" w:space="0" w:color="auto"/>
            <w:bottom w:val="none" w:sz="0" w:space="0" w:color="auto"/>
            <w:right w:val="none" w:sz="0" w:space="0" w:color="auto"/>
          </w:divBdr>
          <w:divsChild>
            <w:div w:id="100956579">
              <w:marLeft w:val="-75"/>
              <w:marRight w:val="0"/>
              <w:marTop w:val="30"/>
              <w:marBottom w:val="30"/>
              <w:divBdr>
                <w:top w:val="none" w:sz="0" w:space="0" w:color="auto"/>
                <w:left w:val="none" w:sz="0" w:space="0" w:color="auto"/>
                <w:bottom w:val="none" w:sz="0" w:space="0" w:color="auto"/>
                <w:right w:val="none" w:sz="0" w:space="0" w:color="auto"/>
              </w:divBdr>
              <w:divsChild>
                <w:div w:id="13849118">
                  <w:marLeft w:val="0"/>
                  <w:marRight w:val="0"/>
                  <w:marTop w:val="0"/>
                  <w:marBottom w:val="0"/>
                  <w:divBdr>
                    <w:top w:val="none" w:sz="0" w:space="0" w:color="auto"/>
                    <w:left w:val="none" w:sz="0" w:space="0" w:color="auto"/>
                    <w:bottom w:val="none" w:sz="0" w:space="0" w:color="auto"/>
                    <w:right w:val="none" w:sz="0" w:space="0" w:color="auto"/>
                  </w:divBdr>
                  <w:divsChild>
                    <w:div w:id="424809697">
                      <w:marLeft w:val="0"/>
                      <w:marRight w:val="0"/>
                      <w:marTop w:val="0"/>
                      <w:marBottom w:val="0"/>
                      <w:divBdr>
                        <w:top w:val="none" w:sz="0" w:space="0" w:color="auto"/>
                        <w:left w:val="none" w:sz="0" w:space="0" w:color="auto"/>
                        <w:bottom w:val="none" w:sz="0" w:space="0" w:color="auto"/>
                        <w:right w:val="none" w:sz="0" w:space="0" w:color="auto"/>
                      </w:divBdr>
                    </w:div>
                  </w:divsChild>
                </w:div>
                <w:div w:id="194467545">
                  <w:marLeft w:val="0"/>
                  <w:marRight w:val="0"/>
                  <w:marTop w:val="0"/>
                  <w:marBottom w:val="0"/>
                  <w:divBdr>
                    <w:top w:val="none" w:sz="0" w:space="0" w:color="auto"/>
                    <w:left w:val="none" w:sz="0" w:space="0" w:color="auto"/>
                    <w:bottom w:val="none" w:sz="0" w:space="0" w:color="auto"/>
                    <w:right w:val="none" w:sz="0" w:space="0" w:color="auto"/>
                  </w:divBdr>
                  <w:divsChild>
                    <w:div w:id="1280069805">
                      <w:marLeft w:val="0"/>
                      <w:marRight w:val="0"/>
                      <w:marTop w:val="0"/>
                      <w:marBottom w:val="0"/>
                      <w:divBdr>
                        <w:top w:val="none" w:sz="0" w:space="0" w:color="auto"/>
                        <w:left w:val="none" w:sz="0" w:space="0" w:color="auto"/>
                        <w:bottom w:val="none" w:sz="0" w:space="0" w:color="auto"/>
                        <w:right w:val="none" w:sz="0" w:space="0" w:color="auto"/>
                      </w:divBdr>
                    </w:div>
                  </w:divsChild>
                </w:div>
                <w:div w:id="265116325">
                  <w:marLeft w:val="0"/>
                  <w:marRight w:val="0"/>
                  <w:marTop w:val="0"/>
                  <w:marBottom w:val="0"/>
                  <w:divBdr>
                    <w:top w:val="none" w:sz="0" w:space="0" w:color="auto"/>
                    <w:left w:val="none" w:sz="0" w:space="0" w:color="auto"/>
                    <w:bottom w:val="none" w:sz="0" w:space="0" w:color="auto"/>
                    <w:right w:val="none" w:sz="0" w:space="0" w:color="auto"/>
                  </w:divBdr>
                  <w:divsChild>
                    <w:div w:id="2034761998">
                      <w:marLeft w:val="0"/>
                      <w:marRight w:val="0"/>
                      <w:marTop w:val="0"/>
                      <w:marBottom w:val="0"/>
                      <w:divBdr>
                        <w:top w:val="none" w:sz="0" w:space="0" w:color="auto"/>
                        <w:left w:val="none" w:sz="0" w:space="0" w:color="auto"/>
                        <w:bottom w:val="none" w:sz="0" w:space="0" w:color="auto"/>
                        <w:right w:val="none" w:sz="0" w:space="0" w:color="auto"/>
                      </w:divBdr>
                    </w:div>
                  </w:divsChild>
                </w:div>
                <w:div w:id="268976768">
                  <w:marLeft w:val="0"/>
                  <w:marRight w:val="0"/>
                  <w:marTop w:val="0"/>
                  <w:marBottom w:val="0"/>
                  <w:divBdr>
                    <w:top w:val="none" w:sz="0" w:space="0" w:color="auto"/>
                    <w:left w:val="none" w:sz="0" w:space="0" w:color="auto"/>
                    <w:bottom w:val="none" w:sz="0" w:space="0" w:color="auto"/>
                    <w:right w:val="none" w:sz="0" w:space="0" w:color="auto"/>
                  </w:divBdr>
                  <w:divsChild>
                    <w:div w:id="908999307">
                      <w:marLeft w:val="0"/>
                      <w:marRight w:val="0"/>
                      <w:marTop w:val="0"/>
                      <w:marBottom w:val="0"/>
                      <w:divBdr>
                        <w:top w:val="none" w:sz="0" w:space="0" w:color="auto"/>
                        <w:left w:val="none" w:sz="0" w:space="0" w:color="auto"/>
                        <w:bottom w:val="none" w:sz="0" w:space="0" w:color="auto"/>
                        <w:right w:val="none" w:sz="0" w:space="0" w:color="auto"/>
                      </w:divBdr>
                    </w:div>
                  </w:divsChild>
                </w:div>
                <w:div w:id="280261898">
                  <w:marLeft w:val="0"/>
                  <w:marRight w:val="0"/>
                  <w:marTop w:val="0"/>
                  <w:marBottom w:val="0"/>
                  <w:divBdr>
                    <w:top w:val="none" w:sz="0" w:space="0" w:color="auto"/>
                    <w:left w:val="none" w:sz="0" w:space="0" w:color="auto"/>
                    <w:bottom w:val="none" w:sz="0" w:space="0" w:color="auto"/>
                    <w:right w:val="none" w:sz="0" w:space="0" w:color="auto"/>
                  </w:divBdr>
                  <w:divsChild>
                    <w:div w:id="1921602036">
                      <w:marLeft w:val="0"/>
                      <w:marRight w:val="0"/>
                      <w:marTop w:val="0"/>
                      <w:marBottom w:val="0"/>
                      <w:divBdr>
                        <w:top w:val="none" w:sz="0" w:space="0" w:color="auto"/>
                        <w:left w:val="none" w:sz="0" w:space="0" w:color="auto"/>
                        <w:bottom w:val="none" w:sz="0" w:space="0" w:color="auto"/>
                        <w:right w:val="none" w:sz="0" w:space="0" w:color="auto"/>
                      </w:divBdr>
                    </w:div>
                  </w:divsChild>
                </w:div>
                <w:div w:id="420759865">
                  <w:marLeft w:val="0"/>
                  <w:marRight w:val="0"/>
                  <w:marTop w:val="0"/>
                  <w:marBottom w:val="0"/>
                  <w:divBdr>
                    <w:top w:val="none" w:sz="0" w:space="0" w:color="auto"/>
                    <w:left w:val="none" w:sz="0" w:space="0" w:color="auto"/>
                    <w:bottom w:val="none" w:sz="0" w:space="0" w:color="auto"/>
                    <w:right w:val="none" w:sz="0" w:space="0" w:color="auto"/>
                  </w:divBdr>
                  <w:divsChild>
                    <w:div w:id="1392926504">
                      <w:marLeft w:val="0"/>
                      <w:marRight w:val="0"/>
                      <w:marTop w:val="0"/>
                      <w:marBottom w:val="0"/>
                      <w:divBdr>
                        <w:top w:val="none" w:sz="0" w:space="0" w:color="auto"/>
                        <w:left w:val="none" w:sz="0" w:space="0" w:color="auto"/>
                        <w:bottom w:val="none" w:sz="0" w:space="0" w:color="auto"/>
                        <w:right w:val="none" w:sz="0" w:space="0" w:color="auto"/>
                      </w:divBdr>
                    </w:div>
                  </w:divsChild>
                </w:div>
                <w:div w:id="592905784">
                  <w:marLeft w:val="0"/>
                  <w:marRight w:val="0"/>
                  <w:marTop w:val="0"/>
                  <w:marBottom w:val="0"/>
                  <w:divBdr>
                    <w:top w:val="none" w:sz="0" w:space="0" w:color="auto"/>
                    <w:left w:val="none" w:sz="0" w:space="0" w:color="auto"/>
                    <w:bottom w:val="none" w:sz="0" w:space="0" w:color="auto"/>
                    <w:right w:val="none" w:sz="0" w:space="0" w:color="auto"/>
                  </w:divBdr>
                  <w:divsChild>
                    <w:div w:id="1985699847">
                      <w:marLeft w:val="0"/>
                      <w:marRight w:val="0"/>
                      <w:marTop w:val="0"/>
                      <w:marBottom w:val="0"/>
                      <w:divBdr>
                        <w:top w:val="none" w:sz="0" w:space="0" w:color="auto"/>
                        <w:left w:val="none" w:sz="0" w:space="0" w:color="auto"/>
                        <w:bottom w:val="none" w:sz="0" w:space="0" w:color="auto"/>
                        <w:right w:val="none" w:sz="0" w:space="0" w:color="auto"/>
                      </w:divBdr>
                    </w:div>
                  </w:divsChild>
                </w:div>
                <w:div w:id="817380980">
                  <w:marLeft w:val="0"/>
                  <w:marRight w:val="0"/>
                  <w:marTop w:val="0"/>
                  <w:marBottom w:val="0"/>
                  <w:divBdr>
                    <w:top w:val="none" w:sz="0" w:space="0" w:color="auto"/>
                    <w:left w:val="none" w:sz="0" w:space="0" w:color="auto"/>
                    <w:bottom w:val="none" w:sz="0" w:space="0" w:color="auto"/>
                    <w:right w:val="none" w:sz="0" w:space="0" w:color="auto"/>
                  </w:divBdr>
                  <w:divsChild>
                    <w:div w:id="1747409717">
                      <w:marLeft w:val="0"/>
                      <w:marRight w:val="0"/>
                      <w:marTop w:val="0"/>
                      <w:marBottom w:val="0"/>
                      <w:divBdr>
                        <w:top w:val="none" w:sz="0" w:space="0" w:color="auto"/>
                        <w:left w:val="none" w:sz="0" w:space="0" w:color="auto"/>
                        <w:bottom w:val="none" w:sz="0" w:space="0" w:color="auto"/>
                        <w:right w:val="none" w:sz="0" w:space="0" w:color="auto"/>
                      </w:divBdr>
                    </w:div>
                  </w:divsChild>
                </w:div>
                <w:div w:id="1017658449">
                  <w:marLeft w:val="0"/>
                  <w:marRight w:val="0"/>
                  <w:marTop w:val="0"/>
                  <w:marBottom w:val="0"/>
                  <w:divBdr>
                    <w:top w:val="none" w:sz="0" w:space="0" w:color="auto"/>
                    <w:left w:val="none" w:sz="0" w:space="0" w:color="auto"/>
                    <w:bottom w:val="none" w:sz="0" w:space="0" w:color="auto"/>
                    <w:right w:val="none" w:sz="0" w:space="0" w:color="auto"/>
                  </w:divBdr>
                  <w:divsChild>
                    <w:div w:id="116028496">
                      <w:marLeft w:val="0"/>
                      <w:marRight w:val="0"/>
                      <w:marTop w:val="0"/>
                      <w:marBottom w:val="0"/>
                      <w:divBdr>
                        <w:top w:val="none" w:sz="0" w:space="0" w:color="auto"/>
                        <w:left w:val="none" w:sz="0" w:space="0" w:color="auto"/>
                        <w:bottom w:val="none" w:sz="0" w:space="0" w:color="auto"/>
                        <w:right w:val="none" w:sz="0" w:space="0" w:color="auto"/>
                      </w:divBdr>
                    </w:div>
                  </w:divsChild>
                </w:div>
                <w:div w:id="1061364454">
                  <w:marLeft w:val="0"/>
                  <w:marRight w:val="0"/>
                  <w:marTop w:val="0"/>
                  <w:marBottom w:val="0"/>
                  <w:divBdr>
                    <w:top w:val="none" w:sz="0" w:space="0" w:color="auto"/>
                    <w:left w:val="none" w:sz="0" w:space="0" w:color="auto"/>
                    <w:bottom w:val="none" w:sz="0" w:space="0" w:color="auto"/>
                    <w:right w:val="none" w:sz="0" w:space="0" w:color="auto"/>
                  </w:divBdr>
                  <w:divsChild>
                    <w:div w:id="2082671431">
                      <w:marLeft w:val="0"/>
                      <w:marRight w:val="0"/>
                      <w:marTop w:val="0"/>
                      <w:marBottom w:val="0"/>
                      <w:divBdr>
                        <w:top w:val="none" w:sz="0" w:space="0" w:color="auto"/>
                        <w:left w:val="none" w:sz="0" w:space="0" w:color="auto"/>
                        <w:bottom w:val="none" w:sz="0" w:space="0" w:color="auto"/>
                        <w:right w:val="none" w:sz="0" w:space="0" w:color="auto"/>
                      </w:divBdr>
                    </w:div>
                  </w:divsChild>
                </w:div>
                <w:div w:id="1179848291">
                  <w:marLeft w:val="0"/>
                  <w:marRight w:val="0"/>
                  <w:marTop w:val="0"/>
                  <w:marBottom w:val="0"/>
                  <w:divBdr>
                    <w:top w:val="none" w:sz="0" w:space="0" w:color="auto"/>
                    <w:left w:val="none" w:sz="0" w:space="0" w:color="auto"/>
                    <w:bottom w:val="none" w:sz="0" w:space="0" w:color="auto"/>
                    <w:right w:val="none" w:sz="0" w:space="0" w:color="auto"/>
                  </w:divBdr>
                  <w:divsChild>
                    <w:div w:id="104736956">
                      <w:marLeft w:val="0"/>
                      <w:marRight w:val="0"/>
                      <w:marTop w:val="0"/>
                      <w:marBottom w:val="0"/>
                      <w:divBdr>
                        <w:top w:val="none" w:sz="0" w:space="0" w:color="auto"/>
                        <w:left w:val="none" w:sz="0" w:space="0" w:color="auto"/>
                        <w:bottom w:val="none" w:sz="0" w:space="0" w:color="auto"/>
                        <w:right w:val="none" w:sz="0" w:space="0" w:color="auto"/>
                      </w:divBdr>
                    </w:div>
                  </w:divsChild>
                </w:div>
                <w:div w:id="1233468207">
                  <w:marLeft w:val="0"/>
                  <w:marRight w:val="0"/>
                  <w:marTop w:val="0"/>
                  <w:marBottom w:val="0"/>
                  <w:divBdr>
                    <w:top w:val="none" w:sz="0" w:space="0" w:color="auto"/>
                    <w:left w:val="none" w:sz="0" w:space="0" w:color="auto"/>
                    <w:bottom w:val="none" w:sz="0" w:space="0" w:color="auto"/>
                    <w:right w:val="none" w:sz="0" w:space="0" w:color="auto"/>
                  </w:divBdr>
                  <w:divsChild>
                    <w:div w:id="409733980">
                      <w:marLeft w:val="0"/>
                      <w:marRight w:val="0"/>
                      <w:marTop w:val="0"/>
                      <w:marBottom w:val="0"/>
                      <w:divBdr>
                        <w:top w:val="none" w:sz="0" w:space="0" w:color="auto"/>
                        <w:left w:val="none" w:sz="0" w:space="0" w:color="auto"/>
                        <w:bottom w:val="none" w:sz="0" w:space="0" w:color="auto"/>
                        <w:right w:val="none" w:sz="0" w:space="0" w:color="auto"/>
                      </w:divBdr>
                    </w:div>
                  </w:divsChild>
                </w:div>
                <w:div w:id="1294364056">
                  <w:marLeft w:val="0"/>
                  <w:marRight w:val="0"/>
                  <w:marTop w:val="0"/>
                  <w:marBottom w:val="0"/>
                  <w:divBdr>
                    <w:top w:val="none" w:sz="0" w:space="0" w:color="auto"/>
                    <w:left w:val="none" w:sz="0" w:space="0" w:color="auto"/>
                    <w:bottom w:val="none" w:sz="0" w:space="0" w:color="auto"/>
                    <w:right w:val="none" w:sz="0" w:space="0" w:color="auto"/>
                  </w:divBdr>
                  <w:divsChild>
                    <w:div w:id="234899797">
                      <w:marLeft w:val="0"/>
                      <w:marRight w:val="0"/>
                      <w:marTop w:val="0"/>
                      <w:marBottom w:val="0"/>
                      <w:divBdr>
                        <w:top w:val="none" w:sz="0" w:space="0" w:color="auto"/>
                        <w:left w:val="none" w:sz="0" w:space="0" w:color="auto"/>
                        <w:bottom w:val="none" w:sz="0" w:space="0" w:color="auto"/>
                        <w:right w:val="none" w:sz="0" w:space="0" w:color="auto"/>
                      </w:divBdr>
                    </w:div>
                  </w:divsChild>
                </w:div>
                <w:div w:id="1485924431">
                  <w:marLeft w:val="0"/>
                  <w:marRight w:val="0"/>
                  <w:marTop w:val="0"/>
                  <w:marBottom w:val="0"/>
                  <w:divBdr>
                    <w:top w:val="none" w:sz="0" w:space="0" w:color="auto"/>
                    <w:left w:val="none" w:sz="0" w:space="0" w:color="auto"/>
                    <w:bottom w:val="none" w:sz="0" w:space="0" w:color="auto"/>
                    <w:right w:val="none" w:sz="0" w:space="0" w:color="auto"/>
                  </w:divBdr>
                  <w:divsChild>
                    <w:div w:id="1152522000">
                      <w:marLeft w:val="0"/>
                      <w:marRight w:val="0"/>
                      <w:marTop w:val="0"/>
                      <w:marBottom w:val="0"/>
                      <w:divBdr>
                        <w:top w:val="none" w:sz="0" w:space="0" w:color="auto"/>
                        <w:left w:val="none" w:sz="0" w:space="0" w:color="auto"/>
                        <w:bottom w:val="none" w:sz="0" w:space="0" w:color="auto"/>
                        <w:right w:val="none" w:sz="0" w:space="0" w:color="auto"/>
                      </w:divBdr>
                    </w:div>
                  </w:divsChild>
                </w:div>
                <w:div w:id="1526165482">
                  <w:marLeft w:val="0"/>
                  <w:marRight w:val="0"/>
                  <w:marTop w:val="0"/>
                  <w:marBottom w:val="0"/>
                  <w:divBdr>
                    <w:top w:val="none" w:sz="0" w:space="0" w:color="auto"/>
                    <w:left w:val="none" w:sz="0" w:space="0" w:color="auto"/>
                    <w:bottom w:val="none" w:sz="0" w:space="0" w:color="auto"/>
                    <w:right w:val="none" w:sz="0" w:space="0" w:color="auto"/>
                  </w:divBdr>
                  <w:divsChild>
                    <w:div w:id="664287268">
                      <w:marLeft w:val="0"/>
                      <w:marRight w:val="0"/>
                      <w:marTop w:val="0"/>
                      <w:marBottom w:val="0"/>
                      <w:divBdr>
                        <w:top w:val="none" w:sz="0" w:space="0" w:color="auto"/>
                        <w:left w:val="none" w:sz="0" w:space="0" w:color="auto"/>
                        <w:bottom w:val="none" w:sz="0" w:space="0" w:color="auto"/>
                        <w:right w:val="none" w:sz="0" w:space="0" w:color="auto"/>
                      </w:divBdr>
                    </w:div>
                  </w:divsChild>
                </w:div>
                <w:div w:id="1610622578">
                  <w:marLeft w:val="0"/>
                  <w:marRight w:val="0"/>
                  <w:marTop w:val="0"/>
                  <w:marBottom w:val="0"/>
                  <w:divBdr>
                    <w:top w:val="none" w:sz="0" w:space="0" w:color="auto"/>
                    <w:left w:val="none" w:sz="0" w:space="0" w:color="auto"/>
                    <w:bottom w:val="none" w:sz="0" w:space="0" w:color="auto"/>
                    <w:right w:val="none" w:sz="0" w:space="0" w:color="auto"/>
                  </w:divBdr>
                  <w:divsChild>
                    <w:div w:id="1997414248">
                      <w:marLeft w:val="0"/>
                      <w:marRight w:val="0"/>
                      <w:marTop w:val="0"/>
                      <w:marBottom w:val="0"/>
                      <w:divBdr>
                        <w:top w:val="none" w:sz="0" w:space="0" w:color="auto"/>
                        <w:left w:val="none" w:sz="0" w:space="0" w:color="auto"/>
                        <w:bottom w:val="none" w:sz="0" w:space="0" w:color="auto"/>
                        <w:right w:val="none" w:sz="0" w:space="0" w:color="auto"/>
                      </w:divBdr>
                    </w:div>
                  </w:divsChild>
                </w:div>
                <w:div w:id="1658531004">
                  <w:marLeft w:val="0"/>
                  <w:marRight w:val="0"/>
                  <w:marTop w:val="0"/>
                  <w:marBottom w:val="0"/>
                  <w:divBdr>
                    <w:top w:val="none" w:sz="0" w:space="0" w:color="auto"/>
                    <w:left w:val="none" w:sz="0" w:space="0" w:color="auto"/>
                    <w:bottom w:val="none" w:sz="0" w:space="0" w:color="auto"/>
                    <w:right w:val="none" w:sz="0" w:space="0" w:color="auto"/>
                  </w:divBdr>
                  <w:divsChild>
                    <w:div w:id="1860897909">
                      <w:marLeft w:val="0"/>
                      <w:marRight w:val="0"/>
                      <w:marTop w:val="0"/>
                      <w:marBottom w:val="0"/>
                      <w:divBdr>
                        <w:top w:val="none" w:sz="0" w:space="0" w:color="auto"/>
                        <w:left w:val="none" w:sz="0" w:space="0" w:color="auto"/>
                        <w:bottom w:val="none" w:sz="0" w:space="0" w:color="auto"/>
                        <w:right w:val="none" w:sz="0" w:space="0" w:color="auto"/>
                      </w:divBdr>
                    </w:div>
                  </w:divsChild>
                </w:div>
                <w:div w:id="1687907141">
                  <w:marLeft w:val="0"/>
                  <w:marRight w:val="0"/>
                  <w:marTop w:val="0"/>
                  <w:marBottom w:val="0"/>
                  <w:divBdr>
                    <w:top w:val="none" w:sz="0" w:space="0" w:color="auto"/>
                    <w:left w:val="none" w:sz="0" w:space="0" w:color="auto"/>
                    <w:bottom w:val="none" w:sz="0" w:space="0" w:color="auto"/>
                    <w:right w:val="none" w:sz="0" w:space="0" w:color="auto"/>
                  </w:divBdr>
                  <w:divsChild>
                    <w:div w:id="2049449945">
                      <w:marLeft w:val="0"/>
                      <w:marRight w:val="0"/>
                      <w:marTop w:val="0"/>
                      <w:marBottom w:val="0"/>
                      <w:divBdr>
                        <w:top w:val="none" w:sz="0" w:space="0" w:color="auto"/>
                        <w:left w:val="none" w:sz="0" w:space="0" w:color="auto"/>
                        <w:bottom w:val="none" w:sz="0" w:space="0" w:color="auto"/>
                        <w:right w:val="none" w:sz="0" w:space="0" w:color="auto"/>
                      </w:divBdr>
                    </w:div>
                  </w:divsChild>
                </w:div>
                <w:div w:id="1719207667">
                  <w:marLeft w:val="0"/>
                  <w:marRight w:val="0"/>
                  <w:marTop w:val="0"/>
                  <w:marBottom w:val="0"/>
                  <w:divBdr>
                    <w:top w:val="none" w:sz="0" w:space="0" w:color="auto"/>
                    <w:left w:val="none" w:sz="0" w:space="0" w:color="auto"/>
                    <w:bottom w:val="none" w:sz="0" w:space="0" w:color="auto"/>
                    <w:right w:val="none" w:sz="0" w:space="0" w:color="auto"/>
                  </w:divBdr>
                  <w:divsChild>
                    <w:div w:id="662705286">
                      <w:marLeft w:val="0"/>
                      <w:marRight w:val="0"/>
                      <w:marTop w:val="0"/>
                      <w:marBottom w:val="0"/>
                      <w:divBdr>
                        <w:top w:val="none" w:sz="0" w:space="0" w:color="auto"/>
                        <w:left w:val="none" w:sz="0" w:space="0" w:color="auto"/>
                        <w:bottom w:val="none" w:sz="0" w:space="0" w:color="auto"/>
                        <w:right w:val="none" w:sz="0" w:space="0" w:color="auto"/>
                      </w:divBdr>
                    </w:div>
                  </w:divsChild>
                </w:div>
                <w:div w:id="1882009229">
                  <w:marLeft w:val="0"/>
                  <w:marRight w:val="0"/>
                  <w:marTop w:val="0"/>
                  <w:marBottom w:val="0"/>
                  <w:divBdr>
                    <w:top w:val="none" w:sz="0" w:space="0" w:color="auto"/>
                    <w:left w:val="none" w:sz="0" w:space="0" w:color="auto"/>
                    <w:bottom w:val="none" w:sz="0" w:space="0" w:color="auto"/>
                    <w:right w:val="none" w:sz="0" w:space="0" w:color="auto"/>
                  </w:divBdr>
                  <w:divsChild>
                    <w:div w:id="635378513">
                      <w:marLeft w:val="0"/>
                      <w:marRight w:val="0"/>
                      <w:marTop w:val="0"/>
                      <w:marBottom w:val="0"/>
                      <w:divBdr>
                        <w:top w:val="none" w:sz="0" w:space="0" w:color="auto"/>
                        <w:left w:val="none" w:sz="0" w:space="0" w:color="auto"/>
                        <w:bottom w:val="none" w:sz="0" w:space="0" w:color="auto"/>
                        <w:right w:val="none" w:sz="0" w:space="0" w:color="auto"/>
                      </w:divBdr>
                    </w:div>
                  </w:divsChild>
                </w:div>
                <w:div w:id="1950774641">
                  <w:marLeft w:val="0"/>
                  <w:marRight w:val="0"/>
                  <w:marTop w:val="0"/>
                  <w:marBottom w:val="0"/>
                  <w:divBdr>
                    <w:top w:val="none" w:sz="0" w:space="0" w:color="auto"/>
                    <w:left w:val="none" w:sz="0" w:space="0" w:color="auto"/>
                    <w:bottom w:val="none" w:sz="0" w:space="0" w:color="auto"/>
                    <w:right w:val="none" w:sz="0" w:space="0" w:color="auto"/>
                  </w:divBdr>
                  <w:divsChild>
                    <w:div w:id="803306458">
                      <w:marLeft w:val="0"/>
                      <w:marRight w:val="0"/>
                      <w:marTop w:val="0"/>
                      <w:marBottom w:val="0"/>
                      <w:divBdr>
                        <w:top w:val="none" w:sz="0" w:space="0" w:color="auto"/>
                        <w:left w:val="none" w:sz="0" w:space="0" w:color="auto"/>
                        <w:bottom w:val="none" w:sz="0" w:space="0" w:color="auto"/>
                        <w:right w:val="none" w:sz="0" w:space="0" w:color="auto"/>
                      </w:divBdr>
                    </w:div>
                  </w:divsChild>
                </w:div>
                <w:div w:id="2003192180">
                  <w:marLeft w:val="0"/>
                  <w:marRight w:val="0"/>
                  <w:marTop w:val="0"/>
                  <w:marBottom w:val="0"/>
                  <w:divBdr>
                    <w:top w:val="none" w:sz="0" w:space="0" w:color="auto"/>
                    <w:left w:val="none" w:sz="0" w:space="0" w:color="auto"/>
                    <w:bottom w:val="none" w:sz="0" w:space="0" w:color="auto"/>
                    <w:right w:val="none" w:sz="0" w:space="0" w:color="auto"/>
                  </w:divBdr>
                  <w:divsChild>
                    <w:div w:id="6880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744748">
          <w:marLeft w:val="0"/>
          <w:marRight w:val="0"/>
          <w:marTop w:val="0"/>
          <w:marBottom w:val="0"/>
          <w:divBdr>
            <w:top w:val="none" w:sz="0" w:space="0" w:color="auto"/>
            <w:left w:val="none" w:sz="0" w:space="0" w:color="auto"/>
            <w:bottom w:val="none" w:sz="0" w:space="0" w:color="auto"/>
            <w:right w:val="none" w:sz="0" w:space="0" w:color="auto"/>
          </w:divBdr>
        </w:div>
        <w:div w:id="259683111">
          <w:marLeft w:val="0"/>
          <w:marRight w:val="0"/>
          <w:marTop w:val="0"/>
          <w:marBottom w:val="0"/>
          <w:divBdr>
            <w:top w:val="none" w:sz="0" w:space="0" w:color="auto"/>
            <w:left w:val="none" w:sz="0" w:space="0" w:color="auto"/>
            <w:bottom w:val="none" w:sz="0" w:space="0" w:color="auto"/>
            <w:right w:val="none" w:sz="0" w:space="0" w:color="auto"/>
          </w:divBdr>
        </w:div>
        <w:div w:id="274793725">
          <w:marLeft w:val="0"/>
          <w:marRight w:val="0"/>
          <w:marTop w:val="0"/>
          <w:marBottom w:val="0"/>
          <w:divBdr>
            <w:top w:val="none" w:sz="0" w:space="0" w:color="auto"/>
            <w:left w:val="none" w:sz="0" w:space="0" w:color="auto"/>
            <w:bottom w:val="none" w:sz="0" w:space="0" w:color="auto"/>
            <w:right w:val="none" w:sz="0" w:space="0" w:color="auto"/>
          </w:divBdr>
        </w:div>
        <w:div w:id="351764364">
          <w:marLeft w:val="0"/>
          <w:marRight w:val="0"/>
          <w:marTop w:val="0"/>
          <w:marBottom w:val="0"/>
          <w:divBdr>
            <w:top w:val="none" w:sz="0" w:space="0" w:color="auto"/>
            <w:left w:val="none" w:sz="0" w:space="0" w:color="auto"/>
            <w:bottom w:val="none" w:sz="0" w:space="0" w:color="auto"/>
            <w:right w:val="none" w:sz="0" w:space="0" w:color="auto"/>
          </w:divBdr>
        </w:div>
        <w:div w:id="480970637">
          <w:marLeft w:val="0"/>
          <w:marRight w:val="0"/>
          <w:marTop w:val="0"/>
          <w:marBottom w:val="0"/>
          <w:divBdr>
            <w:top w:val="none" w:sz="0" w:space="0" w:color="auto"/>
            <w:left w:val="none" w:sz="0" w:space="0" w:color="auto"/>
            <w:bottom w:val="none" w:sz="0" w:space="0" w:color="auto"/>
            <w:right w:val="none" w:sz="0" w:space="0" w:color="auto"/>
          </w:divBdr>
        </w:div>
        <w:div w:id="482820583">
          <w:marLeft w:val="0"/>
          <w:marRight w:val="0"/>
          <w:marTop w:val="0"/>
          <w:marBottom w:val="0"/>
          <w:divBdr>
            <w:top w:val="none" w:sz="0" w:space="0" w:color="auto"/>
            <w:left w:val="none" w:sz="0" w:space="0" w:color="auto"/>
            <w:bottom w:val="none" w:sz="0" w:space="0" w:color="auto"/>
            <w:right w:val="none" w:sz="0" w:space="0" w:color="auto"/>
          </w:divBdr>
        </w:div>
        <w:div w:id="508452070">
          <w:marLeft w:val="0"/>
          <w:marRight w:val="0"/>
          <w:marTop w:val="0"/>
          <w:marBottom w:val="0"/>
          <w:divBdr>
            <w:top w:val="none" w:sz="0" w:space="0" w:color="auto"/>
            <w:left w:val="none" w:sz="0" w:space="0" w:color="auto"/>
            <w:bottom w:val="none" w:sz="0" w:space="0" w:color="auto"/>
            <w:right w:val="none" w:sz="0" w:space="0" w:color="auto"/>
          </w:divBdr>
          <w:divsChild>
            <w:div w:id="201665">
              <w:marLeft w:val="0"/>
              <w:marRight w:val="0"/>
              <w:marTop w:val="0"/>
              <w:marBottom w:val="0"/>
              <w:divBdr>
                <w:top w:val="none" w:sz="0" w:space="0" w:color="auto"/>
                <w:left w:val="none" w:sz="0" w:space="0" w:color="auto"/>
                <w:bottom w:val="none" w:sz="0" w:space="0" w:color="auto"/>
                <w:right w:val="none" w:sz="0" w:space="0" w:color="auto"/>
              </w:divBdr>
            </w:div>
            <w:div w:id="331832199">
              <w:marLeft w:val="0"/>
              <w:marRight w:val="0"/>
              <w:marTop w:val="0"/>
              <w:marBottom w:val="0"/>
              <w:divBdr>
                <w:top w:val="none" w:sz="0" w:space="0" w:color="auto"/>
                <w:left w:val="none" w:sz="0" w:space="0" w:color="auto"/>
                <w:bottom w:val="none" w:sz="0" w:space="0" w:color="auto"/>
                <w:right w:val="none" w:sz="0" w:space="0" w:color="auto"/>
              </w:divBdr>
            </w:div>
            <w:div w:id="751777648">
              <w:marLeft w:val="0"/>
              <w:marRight w:val="0"/>
              <w:marTop w:val="0"/>
              <w:marBottom w:val="0"/>
              <w:divBdr>
                <w:top w:val="none" w:sz="0" w:space="0" w:color="auto"/>
                <w:left w:val="none" w:sz="0" w:space="0" w:color="auto"/>
                <w:bottom w:val="none" w:sz="0" w:space="0" w:color="auto"/>
                <w:right w:val="none" w:sz="0" w:space="0" w:color="auto"/>
              </w:divBdr>
            </w:div>
            <w:div w:id="1045787052">
              <w:marLeft w:val="0"/>
              <w:marRight w:val="0"/>
              <w:marTop w:val="0"/>
              <w:marBottom w:val="0"/>
              <w:divBdr>
                <w:top w:val="none" w:sz="0" w:space="0" w:color="auto"/>
                <w:left w:val="none" w:sz="0" w:space="0" w:color="auto"/>
                <w:bottom w:val="none" w:sz="0" w:space="0" w:color="auto"/>
                <w:right w:val="none" w:sz="0" w:space="0" w:color="auto"/>
              </w:divBdr>
            </w:div>
            <w:div w:id="1424377362">
              <w:marLeft w:val="0"/>
              <w:marRight w:val="0"/>
              <w:marTop w:val="0"/>
              <w:marBottom w:val="0"/>
              <w:divBdr>
                <w:top w:val="none" w:sz="0" w:space="0" w:color="auto"/>
                <w:left w:val="none" w:sz="0" w:space="0" w:color="auto"/>
                <w:bottom w:val="none" w:sz="0" w:space="0" w:color="auto"/>
                <w:right w:val="none" w:sz="0" w:space="0" w:color="auto"/>
              </w:divBdr>
            </w:div>
            <w:div w:id="1705862140">
              <w:marLeft w:val="0"/>
              <w:marRight w:val="0"/>
              <w:marTop w:val="0"/>
              <w:marBottom w:val="0"/>
              <w:divBdr>
                <w:top w:val="none" w:sz="0" w:space="0" w:color="auto"/>
                <w:left w:val="none" w:sz="0" w:space="0" w:color="auto"/>
                <w:bottom w:val="none" w:sz="0" w:space="0" w:color="auto"/>
                <w:right w:val="none" w:sz="0" w:space="0" w:color="auto"/>
              </w:divBdr>
            </w:div>
            <w:div w:id="1874728300">
              <w:marLeft w:val="0"/>
              <w:marRight w:val="0"/>
              <w:marTop w:val="0"/>
              <w:marBottom w:val="0"/>
              <w:divBdr>
                <w:top w:val="none" w:sz="0" w:space="0" w:color="auto"/>
                <w:left w:val="none" w:sz="0" w:space="0" w:color="auto"/>
                <w:bottom w:val="none" w:sz="0" w:space="0" w:color="auto"/>
                <w:right w:val="none" w:sz="0" w:space="0" w:color="auto"/>
              </w:divBdr>
            </w:div>
            <w:div w:id="1876035804">
              <w:marLeft w:val="0"/>
              <w:marRight w:val="0"/>
              <w:marTop w:val="0"/>
              <w:marBottom w:val="0"/>
              <w:divBdr>
                <w:top w:val="none" w:sz="0" w:space="0" w:color="auto"/>
                <w:left w:val="none" w:sz="0" w:space="0" w:color="auto"/>
                <w:bottom w:val="none" w:sz="0" w:space="0" w:color="auto"/>
                <w:right w:val="none" w:sz="0" w:space="0" w:color="auto"/>
              </w:divBdr>
            </w:div>
            <w:div w:id="1887401749">
              <w:marLeft w:val="0"/>
              <w:marRight w:val="0"/>
              <w:marTop w:val="0"/>
              <w:marBottom w:val="0"/>
              <w:divBdr>
                <w:top w:val="none" w:sz="0" w:space="0" w:color="auto"/>
                <w:left w:val="none" w:sz="0" w:space="0" w:color="auto"/>
                <w:bottom w:val="none" w:sz="0" w:space="0" w:color="auto"/>
                <w:right w:val="none" w:sz="0" w:space="0" w:color="auto"/>
              </w:divBdr>
            </w:div>
            <w:div w:id="1965387330">
              <w:marLeft w:val="0"/>
              <w:marRight w:val="0"/>
              <w:marTop w:val="0"/>
              <w:marBottom w:val="0"/>
              <w:divBdr>
                <w:top w:val="none" w:sz="0" w:space="0" w:color="auto"/>
                <w:left w:val="none" w:sz="0" w:space="0" w:color="auto"/>
                <w:bottom w:val="none" w:sz="0" w:space="0" w:color="auto"/>
                <w:right w:val="none" w:sz="0" w:space="0" w:color="auto"/>
              </w:divBdr>
            </w:div>
          </w:divsChild>
        </w:div>
        <w:div w:id="509368646">
          <w:marLeft w:val="0"/>
          <w:marRight w:val="0"/>
          <w:marTop w:val="0"/>
          <w:marBottom w:val="0"/>
          <w:divBdr>
            <w:top w:val="none" w:sz="0" w:space="0" w:color="auto"/>
            <w:left w:val="none" w:sz="0" w:space="0" w:color="auto"/>
            <w:bottom w:val="none" w:sz="0" w:space="0" w:color="auto"/>
            <w:right w:val="none" w:sz="0" w:space="0" w:color="auto"/>
          </w:divBdr>
          <w:divsChild>
            <w:div w:id="1123812682">
              <w:marLeft w:val="0"/>
              <w:marRight w:val="0"/>
              <w:marTop w:val="0"/>
              <w:marBottom w:val="0"/>
              <w:divBdr>
                <w:top w:val="none" w:sz="0" w:space="0" w:color="auto"/>
                <w:left w:val="none" w:sz="0" w:space="0" w:color="auto"/>
                <w:bottom w:val="none" w:sz="0" w:space="0" w:color="auto"/>
                <w:right w:val="none" w:sz="0" w:space="0" w:color="auto"/>
              </w:divBdr>
            </w:div>
            <w:div w:id="1338995599">
              <w:marLeft w:val="0"/>
              <w:marRight w:val="0"/>
              <w:marTop w:val="0"/>
              <w:marBottom w:val="0"/>
              <w:divBdr>
                <w:top w:val="none" w:sz="0" w:space="0" w:color="auto"/>
                <w:left w:val="none" w:sz="0" w:space="0" w:color="auto"/>
                <w:bottom w:val="none" w:sz="0" w:space="0" w:color="auto"/>
                <w:right w:val="none" w:sz="0" w:space="0" w:color="auto"/>
              </w:divBdr>
            </w:div>
            <w:div w:id="1888449918">
              <w:marLeft w:val="0"/>
              <w:marRight w:val="0"/>
              <w:marTop w:val="0"/>
              <w:marBottom w:val="0"/>
              <w:divBdr>
                <w:top w:val="none" w:sz="0" w:space="0" w:color="auto"/>
                <w:left w:val="none" w:sz="0" w:space="0" w:color="auto"/>
                <w:bottom w:val="none" w:sz="0" w:space="0" w:color="auto"/>
                <w:right w:val="none" w:sz="0" w:space="0" w:color="auto"/>
              </w:divBdr>
            </w:div>
          </w:divsChild>
        </w:div>
        <w:div w:id="559480963">
          <w:marLeft w:val="0"/>
          <w:marRight w:val="0"/>
          <w:marTop w:val="0"/>
          <w:marBottom w:val="0"/>
          <w:divBdr>
            <w:top w:val="none" w:sz="0" w:space="0" w:color="auto"/>
            <w:left w:val="none" w:sz="0" w:space="0" w:color="auto"/>
            <w:bottom w:val="none" w:sz="0" w:space="0" w:color="auto"/>
            <w:right w:val="none" w:sz="0" w:space="0" w:color="auto"/>
          </w:divBdr>
        </w:div>
        <w:div w:id="572666814">
          <w:marLeft w:val="0"/>
          <w:marRight w:val="0"/>
          <w:marTop w:val="0"/>
          <w:marBottom w:val="0"/>
          <w:divBdr>
            <w:top w:val="none" w:sz="0" w:space="0" w:color="auto"/>
            <w:left w:val="none" w:sz="0" w:space="0" w:color="auto"/>
            <w:bottom w:val="none" w:sz="0" w:space="0" w:color="auto"/>
            <w:right w:val="none" w:sz="0" w:space="0" w:color="auto"/>
          </w:divBdr>
        </w:div>
        <w:div w:id="616180768">
          <w:marLeft w:val="0"/>
          <w:marRight w:val="0"/>
          <w:marTop w:val="0"/>
          <w:marBottom w:val="0"/>
          <w:divBdr>
            <w:top w:val="none" w:sz="0" w:space="0" w:color="auto"/>
            <w:left w:val="none" w:sz="0" w:space="0" w:color="auto"/>
            <w:bottom w:val="none" w:sz="0" w:space="0" w:color="auto"/>
            <w:right w:val="none" w:sz="0" w:space="0" w:color="auto"/>
          </w:divBdr>
          <w:divsChild>
            <w:div w:id="870340298">
              <w:marLeft w:val="0"/>
              <w:marRight w:val="0"/>
              <w:marTop w:val="0"/>
              <w:marBottom w:val="0"/>
              <w:divBdr>
                <w:top w:val="none" w:sz="0" w:space="0" w:color="auto"/>
                <w:left w:val="none" w:sz="0" w:space="0" w:color="auto"/>
                <w:bottom w:val="none" w:sz="0" w:space="0" w:color="auto"/>
                <w:right w:val="none" w:sz="0" w:space="0" w:color="auto"/>
              </w:divBdr>
            </w:div>
            <w:div w:id="1439594859">
              <w:marLeft w:val="0"/>
              <w:marRight w:val="0"/>
              <w:marTop w:val="0"/>
              <w:marBottom w:val="0"/>
              <w:divBdr>
                <w:top w:val="none" w:sz="0" w:space="0" w:color="auto"/>
                <w:left w:val="none" w:sz="0" w:space="0" w:color="auto"/>
                <w:bottom w:val="none" w:sz="0" w:space="0" w:color="auto"/>
                <w:right w:val="none" w:sz="0" w:space="0" w:color="auto"/>
              </w:divBdr>
            </w:div>
            <w:div w:id="1850632134">
              <w:marLeft w:val="0"/>
              <w:marRight w:val="0"/>
              <w:marTop w:val="0"/>
              <w:marBottom w:val="0"/>
              <w:divBdr>
                <w:top w:val="none" w:sz="0" w:space="0" w:color="auto"/>
                <w:left w:val="none" w:sz="0" w:space="0" w:color="auto"/>
                <w:bottom w:val="none" w:sz="0" w:space="0" w:color="auto"/>
                <w:right w:val="none" w:sz="0" w:space="0" w:color="auto"/>
              </w:divBdr>
            </w:div>
          </w:divsChild>
        </w:div>
        <w:div w:id="641498928">
          <w:marLeft w:val="0"/>
          <w:marRight w:val="0"/>
          <w:marTop w:val="0"/>
          <w:marBottom w:val="0"/>
          <w:divBdr>
            <w:top w:val="none" w:sz="0" w:space="0" w:color="auto"/>
            <w:left w:val="none" w:sz="0" w:space="0" w:color="auto"/>
            <w:bottom w:val="none" w:sz="0" w:space="0" w:color="auto"/>
            <w:right w:val="none" w:sz="0" w:space="0" w:color="auto"/>
          </w:divBdr>
        </w:div>
        <w:div w:id="663779464">
          <w:marLeft w:val="0"/>
          <w:marRight w:val="0"/>
          <w:marTop w:val="0"/>
          <w:marBottom w:val="0"/>
          <w:divBdr>
            <w:top w:val="none" w:sz="0" w:space="0" w:color="auto"/>
            <w:left w:val="none" w:sz="0" w:space="0" w:color="auto"/>
            <w:bottom w:val="none" w:sz="0" w:space="0" w:color="auto"/>
            <w:right w:val="none" w:sz="0" w:space="0" w:color="auto"/>
          </w:divBdr>
        </w:div>
        <w:div w:id="721563679">
          <w:marLeft w:val="0"/>
          <w:marRight w:val="0"/>
          <w:marTop w:val="0"/>
          <w:marBottom w:val="0"/>
          <w:divBdr>
            <w:top w:val="none" w:sz="0" w:space="0" w:color="auto"/>
            <w:left w:val="none" w:sz="0" w:space="0" w:color="auto"/>
            <w:bottom w:val="none" w:sz="0" w:space="0" w:color="auto"/>
            <w:right w:val="none" w:sz="0" w:space="0" w:color="auto"/>
          </w:divBdr>
        </w:div>
        <w:div w:id="748387827">
          <w:marLeft w:val="0"/>
          <w:marRight w:val="0"/>
          <w:marTop w:val="0"/>
          <w:marBottom w:val="0"/>
          <w:divBdr>
            <w:top w:val="none" w:sz="0" w:space="0" w:color="auto"/>
            <w:left w:val="none" w:sz="0" w:space="0" w:color="auto"/>
            <w:bottom w:val="none" w:sz="0" w:space="0" w:color="auto"/>
            <w:right w:val="none" w:sz="0" w:space="0" w:color="auto"/>
          </w:divBdr>
        </w:div>
        <w:div w:id="784036991">
          <w:marLeft w:val="0"/>
          <w:marRight w:val="0"/>
          <w:marTop w:val="0"/>
          <w:marBottom w:val="0"/>
          <w:divBdr>
            <w:top w:val="none" w:sz="0" w:space="0" w:color="auto"/>
            <w:left w:val="none" w:sz="0" w:space="0" w:color="auto"/>
            <w:bottom w:val="none" w:sz="0" w:space="0" w:color="auto"/>
            <w:right w:val="none" w:sz="0" w:space="0" w:color="auto"/>
          </w:divBdr>
        </w:div>
        <w:div w:id="814297633">
          <w:marLeft w:val="0"/>
          <w:marRight w:val="0"/>
          <w:marTop w:val="0"/>
          <w:marBottom w:val="0"/>
          <w:divBdr>
            <w:top w:val="none" w:sz="0" w:space="0" w:color="auto"/>
            <w:left w:val="none" w:sz="0" w:space="0" w:color="auto"/>
            <w:bottom w:val="none" w:sz="0" w:space="0" w:color="auto"/>
            <w:right w:val="none" w:sz="0" w:space="0" w:color="auto"/>
          </w:divBdr>
        </w:div>
        <w:div w:id="814642116">
          <w:marLeft w:val="0"/>
          <w:marRight w:val="0"/>
          <w:marTop w:val="0"/>
          <w:marBottom w:val="0"/>
          <w:divBdr>
            <w:top w:val="none" w:sz="0" w:space="0" w:color="auto"/>
            <w:left w:val="none" w:sz="0" w:space="0" w:color="auto"/>
            <w:bottom w:val="none" w:sz="0" w:space="0" w:color="auto"/>
            <w:right w:val="none" w:sz="0" w:space="0" w:color="auto"/>
          </w:divBdr>
        </w:div>
        <w:div w:id="817842116">
          <w:marLeft w:val="0"/>
          <w:marRight w:val="0"/>
          <w:marTop w:val="0"/>
          <w:marBottom w:val="0"/>
          <w:divBdr>
            <w:top w:val="none" w:sz="0" w:space="0" w:color="auto"/>
            <w:left w:val="none" w:sz="0" w:space="0" w:color="auto"/>
            <w:bottom w:val="none" w:sz="0" w:space="0" w:color="auto"/>
            <w:right w:val="none" w:sz="0" w:space="0" w:color="auto"/>
          </w:divBdr>
        </w:div>
        <w:div w:id="835145115">
          <w:marLeft w:val="0"/>
          <w:marRight w:val="0"/>
          <w:marTop w:val="0"/>
          <w:marBottom w:val="0"/>
          <w:divBdr>
            <w:top w:val="none" w:sz="0" w:space="0" w:color="auto"/>
            <w:left w:val="none" w:sz="0" w:space="0" w:color="auto"/>
            <w:bottom w:val="none" w:sz="0" w:space="0" w:color="auto"/>
            <w:right w:val="none" w:sz="0" w:space="0" w:color="auto"/>
          </w:divBdr>
        </w:div>
        <w:div w:id="836920417">
          <w:marLeft w:val="0"/>
          <w:marRight w:val="0"/>
          <w:marTop w:val="0"/>
          <w:marBottom w:val="0"/>
          <w:divBdr>
            <w:top w:val="none" w:sz="0" w:space="0" w:color="auto"/>
            <w:left w:val="none" w:sz="0" w:space="0" w:color="auto"/>
            <w:bottom w:val="none" w:sz="0" w:space="0" w:color="auto"/>
            <w:right w:val="none" w:sz="0" w:space="0" w:color="auto"/>
          </w:divBdr>
          <w:divsChild>
            <w:div w:id="574168898">
              <w:marLeft w:val="-75"/>
              <w:marRight w:val="0"/>
              <w:marTop w:val="30"/>
              <w:marBottom w:val="30"/>
              <w:divBdr>
                <w:top w:val="none" w:sz="0" w:space="0" w:color="auto"/>
                <w:left w:val="none" w:sz="0" w:space="0" w:color="auto"/>
                <w:bottom w:val="none" w:sz="0" w:space="0" w:color="auto"/>
                <w:right w:val="none" w:sz="0" w:space="0" w:color="auto"/>
              </w:divBdr>
              <w:divsChild>
                <w:div w:id="2324053">
                  <w:marLeft w:val="0"/>
                  <w:marRight w:val="0"/>
                  <w:marTop w:val="0"/>
                  <w:marBottom w:val="0"/>
                  <w:divBdr>
                    <w:top w:val="none" w:sz="0" w:space="0" w:color="auto"/>
                    <w:left w:val="none" w:sz="0" w:space="0" w:color="auto"/>
                    <w:bottom w:val="none" w:sz="0" w:space="0" w:color="auto"/>
                    <w:right w:val="none" w:sz="0" w:space="0" w:color="auto"/>
                  </w:divBdr>
                  <w:divsChild>
                    <w:div w:id="620382767">
                      <w:marLeft w:val="0"/>
                      <w:marRight w:val="0"/>
                      <w:marTop w:val="0"/>
                      <w:marBottom w:val="0"/>
                      <w:divBdr>
                        <w:top w:val="none" w:sz="0" w:space="0" w:color="auto"/>
                        <w:left w:val="none" w:sz="0" w:space="0" w:color="auto"/>
                        <w:bottom w:val="none" w:sz="0" w:space="0" w:color="auto"/>
                        <w:right w:val="none" w:sz="0" w:space="0" w:color="auto"/>
                      </w:divBdr>
                    </w:div>
                  </w:divsChild>
                </w:div>
                <w:div w:id="22021093">
                  <w:marLeft w:val="0"/>
                  <w:marRight w:val="0"/>
                  <w:marTop w:val="0"/>
                  <w:marBottom w:val="0"/>
                  <w:divBdr>
                    <w:top w:val="none" w:sz="0" w:space="0" w:color="auto"/>
                    <w:left w:val="none" w:sz="0" w:space="0" w:color="auto"/>
                    <w:bottom w:val="none" w:sz="0" w:space="0" w:color="auto"/>
                    <w:right w:val="none" w:sz="0" w:space="0" w:color="auto"/>
                  </w:divBdr>
                  <w:divsChild>
                    <w:div w:id="229851858">
                      <w:marLeft w:val="0"/>
                      <w:marRight w:val="0"/>
                      <w:marTop w:val="0"/>
                      <w:marBottom w:val="0"/>
                      <w:divBdr>
                        <w:top w:val="none" w:sz="0" w:space="0" w:color="auto"/>
                        <w:left w:val="none" w:sz="0" w:space="0" w:color="auto"/>
                        <w:bottom w:val="none" w:sz="0" w:space="0" w:color="auto"/>
                        <w:right w:val="none" w:sz="0" w:space="0" w:color="auto"/>
                      </w:divBdr>
                    </w:div>
                  </w:divsChild>
                </w:div>
                <w:div w:id="40634123">
                  <w:marLeft w:val="0"/>
                  <w:marRight w:val="0"/>
                  <w:marTop w:val="0"/>
                  <w:marBottom w:val="0"/>
                  <w:divBdr>
                    <w:top w:val="none" w:sz="0" w:space="0" w:color="auto"/>
                    <w:left w:val="none" w:sz="0" w:space="0" w:color="auto"/>
                    <w:bottom w:val="none" w:sz="0" w:space="0" w:color="auto"/>
                    <w:right w:val="none" w:sz="0" w:space="0" w:color="auto"/>
                  </w:divBdr>
                  <w:divsChild>
                    <w:div w:id="574628933">
                      <w:marLeft w:val="0"/>
                      <w:marRight w:val="0"/>
                      <w:marTop w:val="0"/>
                      <w:marBottom w:val="0"/>
                      <w:divBdr>
                        <w:top w:val="none" w:sz="0" w:space="0" w:color="auto"/>
                        <w:left w:val="none" w:sz="0" w:space="0" w:color="auto"/>
                        <w:bottom w:val="none" w:sz="0" w:space="0" w:color="auto"/>
                        <w:right w:val="none" w:sz="0" w:space="0" w:color="auto"/>
                      </w:divBdr>
                    </w:div>
                  </w:divsChild>
                </w:div>
                <w:div w:id="57704297">
                  <w:marLeft w:val="0"/>
                  <w:marRight w:val="0"/>
                  <w:marTop w:val="0"/>
                  <w:marBottom w:val="0"/>
                  <w:divBdr>
                    <w:top w:val="none" w:sz="0" w:space="0" w:color="auto"/>
                    <w:left w:val="none" w:sz="0" w:space="0" w:color="auto"/>
                    <w:bottom w:val="none" w:sz="0" w:space="0" w:color="auto"/>
                    <w:right w:val="none" w:sz="0" w:space="0" w:color="auto"/>
                  </w:divBdr>
                  <w:divsChild>
                    <w:div w:id="696396860">
                      <w:marLeft w:val="0"/>
                      <w:marRight w:val="0"/>
                      <w:marTop w:val="0"/>
                      <w:marBottom w:val="0"/>
                      <w:divBdr>
                        <w:top w:val="none" w:sz="0" w:space="0" w:color="auto"/>
                        <w:left w:val="none" w:sz="0" w:space="0" w:color="auto"/>
                        <w:bottom w:val="none" w:sz="0" w:space="0" w:color="auto"/>
                        <w:right w:val="none" w:sz="0" w:space="0" w:color="auto"/>
                      </w:divBdr>
                    </w:div>
                  </w:divsChild>
                </w:div>
                <w:div w:id="75827623">
                  <w:marLeft w:val="0"/>
                  <w:marRight w:val="0"/>
                  <w:marTop w:val="0"/>
                  <w:marBottom w:val="0"/>
                  <w:divBdr>
                    <w:top w:val="none" w:sz="0" w:space="0" w:color="auto"/>
                    <w:left w:val="none" w:sz="0" w:space="0" w:color="auto"/>
                    <w:bottom w:val="none" w:sz="0" w:space="0" w:color="auto"/>
                    <w:right w:val="none" w:sz="0" w:space="0" w:color="auto"/>
                  </w:divBdr>
                  <w:divsChild>
                    <w:div w:id="1550922015">
                      <w:marLeft w:val="0"/>
                      <w:marRight w:val="0"/>
                      <w:marTop w:val="0"/>
                      <w:marBottom w:val="0"/>
                      <w:divBdr>
                        <w:top w:val="none" w:sz="0" w:space="0" w:color="auto"/>
                        <w:left w:val="none" w:sz="0" w:space="0" w:color="auto"/>
                        <w:bottom w:val="none" w:sz="0" w:space="0" w:color="auto"/>
                        <w:right w:val="none" w:sz="0" w:space="0" w:color="auto"/>
                      </w:divBdr>
                    </w:div>
                  </w:divsChild>
                </w:div>
                <w:div w:id="103885043">
                  <w:marLeft w:val="0"/>
                  <w:marRight w:val="0"/>
                  <w:marTop w:val="0"/>
                  <w:marBottom w:val="0"/>
                  <w:divBdr>
                    <w:top w:val="none" w:sz="0" w:space="0" w:color="auto"/>
                    <w:left w:val="none" w:sz="0" w:space="0" w:color="auto"/>
                    <w:bottom w:val="none" w:sz="0" w:space="0" w:color="auto"/>
                    <w:right w:val="none" w:sz="0" w:space="0" w:color="auto"/>
                  </w:divBdr>
                  <w:divsChild>
                    <w:div w:id="604969766">
                      <w:marLeft w:val="0"/>
                      <w:marRight w:val="0"/>
                      <w:marTop w:val="0"/>
                      <w:marBottom w:val="0"/>
                      <w:divBdr>
                        <w:top w:val="none" w:sz="0" w:space="0" w:color="auto"/>
                        <w:left w:val="none" w:sz="0" w:space="0" w:color="auto"/>
                        <w:bottom w:val="none" w:sz="0" w:space="0" w:color="auto"/>
                        <w:right w:val="none" w:sz="0" w:space="0" w:color="auto"/>
                      </w:divBdr>
                    </w:div>
                  </w:divsChild>
                </w:div>
                <w:div w:id="112678533">
                  <w:marLeft w:val="0"/>
                  <w:marRight w:val="0"/>
                  <w:marTop w:val="0"/>
                  <w:marBottom w:val="0"/>
                  <w:divBdr>
                    <w:top w:val="none" w:sz="0" w:space="0" w:color="auto"/>
                    <w:left w:val="none" w:sz="0" w:space="0" w:color="auto"/>
                    <w:bottom w:val="none" w:sz="0" w:space="0" w:color="auto"/>
                    <w:right w:val="none" w:sz="0" w:space="0" w:color="auto"/>
                  </w:divBdr>
                  <w:divsChild>
                    <w:div w:id="820777241">
                      <w:marLeft w:val="0"/>
                      <w:marRight w:val="0"/>
                      <w:marTop w:val="0"/>
                      <w:marBottom w:val="0"/>
                      <w:divBdr>
                        <w:top w:val="none" w:sz="0" w:space="0" w:color="auto"/>
                        <w:left w:val="none" w:sz="0" w:space="0" w:color="auto"/>
                        <w:bottom w:val="none" w:sz="0" w:space="0" w:color="auto"/>
                        <w:right w:val="none" w:sz="0" w:space="0" w:color="auto"/>
                      </w:divBdr>
                    </w:div>
                  </w:divsChild>
                </w:div>
                <w:div w:id="124083625">
                  <w:marLeft w:val="0"/>
                  <w:marRight w:val="0"/>
                  <w:marTop w:val="0"/>
                  <w:marBottom w:val="0"/>
                  <w:divBdr>
                    <w:top w:val="none" w:sz="0" w:space="0" w:color="auto"/>
                    <w:left w:val="none" w:sz="0" w:space="0" w:color="auto"/>
                    <w:bottom w:val="none" w:sz="0" w:space="0" w:color="auto"/>
                    <w:right w:val="none" w:sz="0" w:space="0" w:color="auto"/>
                  </w:divBdr>
                  <w:divsChild>
                    <w:div w:id="898826714">
                      <w:marLeft w:val="0"/>
                      <w:marRight w:val="0"/>
                      <w:marTop w:val="0"/>
                      <w:marBottom w:val="0"/>
                      <w:divBdr>
                        <w:top w:val="none" w:sz="0" w:space="0" w:color="auto"/>
                        <w:left w:val="none" w:sz="0" w:space="0" w:color="auto"/>
                        <w:bottom w:val="none" w:sz="0" w:space="0" w:color="auto"/>
                        <w:right w:val="none" w:sz="0" w:space="0" w:color="auto"/>
                      </w:divBdr>
                    </w:div>
                  </w:divsChild>
                </w:div>
                <w:div w:id="128593013">
                  <w:marLeft w:val="0"/>
                  <w:marRight w:val="0"/>
                  <w:marTop w:val="0"/>
                  <w:marBottom w:val="0"/>
                  <w:divBdr>
                    <w:top w:val="none" w:sz="0" w:space="0" w:color="auto"/>
                    <w:left w:val="none" w:sz="0" w:space="0" w:color="auto"/>
                    <w:bottom w:val="none" w:sz="0" w:space="0" w:color="auto"/>
                    <w:right w:val="none" w:sz="0" w:space="0" w:color="auto"/>
                  </w:divBdr>
                  <w:divsChild>
                    <w:div w:id="134372348">
                      <w:marLeft w:val="0"/>
                      <w:marRight w:val="0"/>
                      <w:marTop w:val="0"/>
                      <w:marBottom w:val="0"/>
                      <w:divBdr>
                        <w:top w:val="none" w:sz="0" w:space="0" w:color="auto"/>
                        <w:left w:val="none" w:sz="0" w:space="0" w:color="auto"/>
                        <w:bottom w:val="none" w:sz="0" w:space="0" w:color="auto"/>
                        <w:right w:val="none" w:sz="0" w:space="0" w:color="auto"/>
                      </w:divBdr>
                    </w:div>
                  </w:divsChild>
                </w:div>
                <w:div w:id="141821109">
                  <w:marLeft w:val="0"/>
                  <w:marRight w:val="0"/>
                  <w:marTop w:val="0"/>
                  <w:marBottom w:val="0"/>
                  <w:divBdr>
                    <w:top w:val="none" w:sz="0" w:space="0" w:color="auto"/>
                    <w:left w:val="none" w:sz="0" w:space="0" w:color="auto"/>
                    <w:bottom w:val="none" w:sz="0" w:space="0" w:color="auto"/>
                    <w:right w:val="none" w:sz="0" w:space="0" w:color="auto"/>
                  </w:divBdr>
                  <w:divsChild>
                    <w:div w:id="1144394660">
                      <w:marLeft w:val="0"/>
                      <w:marRight w:val="0"/>
                      <w:marTop w:val="0"/>
                      <w:marBottom w:val="0"/>
                      <w:divBdr>
                        <w:top w:val="none" w:sz="0" w:space="0" w:color="auto"/>
                        <w:left w:val="none" w:sz="0" w:space="0" w:color="auto"/>
                        <w:bottom w:val="none" w:sz="0" w:space="0" w:color="auto"/>
                        <w:right w:val="none" w:sz="0" w:space="0" w:color="auto"/>
                      </w:divBdr>
                    </w:div>
                  </w:divsChild>
                </w:div>
                <w:div w:id="144203296">
                  <w:marLeft w:val="0"/>
                  <w:marRight w:val="0"/>
                  <w:marTop w:val="0"/>
                  <w:marBottom w:val="0"/>
                  <w:divBdr>
                    <w:top w:val="none" w:sz="0" w:space="0" w:color="auto"/>
                    <w:left w:val="none" w:sz="0" w:space="0" w:color="auto"/>
                    <w:bottom w:val="none" w:sz="0" w:space="0" w:color="auto"/>
                    <w:right w:val="none" w:sz="0" w:space="0" w:color="auto"/>
                  </w:divBdr>
                  <w:divsChild>
                    <w:div w:id="1854495123">
                      <w:marLeft w:val="0"/>
                      <w:marRight w:val="0"/>
                      <w:marTop w:val="0"/>
                      <w:marBottom w:val="0"/>
                      <w:divBdr>
                        <w:top w:val="none" w:sz="0" w:space="0" w:color="auto"/>
                        <w:left w:val="none" w:sz="0" w:space="0" w:color="auto"/>
                        <w:bottom w:val="none" w:sz="0" w:space="0" w:color="auto"/>
                        <w:right w:val="none" w:sz="0" w:space="0" w:color="auto"/>
                      </w:divBdr>
                    </w:div>
                  </w:divsChild>
                </w:div>
                <w:div w:id="153225482">
                  <w:marLeft w:val="0"/>
                  <w:marRight w:val="0"/>
                  <w:marTop w:val="0"/>
                  <w:marBottom w:val="0"/>
                  <w:divBdr>
                    <w:top w:val="none" w:sz="0" w:space="0" w:color="auto"/>
                    <w:left w:val="none" w:sz="0" w:space="0" w:color="auto"/>
                    <w:bottom w:val="none" w:sz="0" w:space="0" w:color="auto"/>
                    <w:right w:val="none" w:sz="0" w:space="0" w:color="auto"/>
                  </w:divBdr>
                  <w:divsChild>
                    <w:div w:id="141392618">
                      <w:marLeft w:val="0"/>
                      <w:marRight w:val="0"/>
                      <w:marTop w:val="0"/>
                      <w:marBottom w:val="0"/>
                      <w:divBdr>
                        <w:top w:val="none" w:sz="0" w:space="0" w:color="auto"/>
                        <w:left w:val="none" w:sz="0" w:space="0" w:color="auto"/>
                        <w:bottom w:val="none" w:sz="0" w:space="0" w:color="auto"/>
                        <w:right w:val="none" w:sz="0" w:space="0" w:color="auto"/>
                      </w:divBdr>
                    </w:div>
                  </w:divsChild>
                </w:div>
                <w:div w:id="161284225">
                  <w:marLeft w:val="0"/>
                  <w:marRight w:val="0"/>
                  <w:marTop w:val="0"/>
                  <w:marBottom w:val="0"/>
                  <w:divBdr>
                    <w:top w:val="none" w:sz="0" w:space="0" w:color="auto"/>
                    <w:left w:val="none" w:sz="0" w:space="0" w:color="auto"/>
                    <w:bottom w:val="none" w:sz="0" w:space="0" w:color="auto"/>
                    <w:right w:val="none" w:sz="0" w:space="0" w:color="auto"/>
                  </w:divBdr>
                  <w:divsChild>
                    <w:div w:id="894391245">
                      <w:marLeft w:val="0"/>
                      <w:marRight w:val="0"/>
                      <w:marTop w:val="0"/>
                      <w:marBottom w:val="0"/>
                      <w:divBdr>
                        <w:top w:val="none" w:sz="0" w:space="0" w:color="auto"/>
                        <w:left w:val="none" w:sz="0" w:space="0" w:color="auto"/>
                        <w:bottom w:val="none" w:sz="0" w:space="0" w:color="auto"/>
                        <w:right w:val="none" w:sz="0" w:space="0" w:color="auto"/>
                      </w:divBdr>
                    </w:div>
                  </w:divsChild>
                </w:div>
                <w:div w:id="174463572">
                  <w:marLeft w:val="0"/>
                  <w:marRight w:val="0"/>
                  <w:marTop w:val="0"/>
                  <w:marBottom w:val="0"/>
                  <w:divBdr>
                    <w:top w:val="none" w:sz="0" w:space="0" w:color="auto"/>
                    <w:left w:val="none" w:sz="0" w:space="0" w:color="auto"/>
                    <w:bottom w:val="none" w:sz="0" w:space="0" w:color="auto"/>
                    <w:right w:val="none" w:sz="0" w:space="0" w:color="auto"/>
                  </w:divBdr>
                  <w:divsChild>
                    <w:div w:id="478425989">
                      <w:marLeft w:val="0"/>
                      <w:marRight w:val="0"/>
                      <w:marTop w:val="0"/>
                      <w:marBottom w:val="0"/>
                      <w:divBdr>
                        <w:top w:val="none" w:sz="0" w:space="0" w:color="auto"/>
                        <w:left w:val="none" w:sz="0" w:space="0" w:color="auto"/>
                        <w:bottom w:val="none" w:sz="0" w:space="0" w:color="auto"/>
                        <w:right w:val="none" w:sz="0" w:space="0" w:color="auto"/>
                      </w:divBdr>
                    </w:div>
                  </w:divsChild>
                </w:div>
                <w:div w:id="181550157">
                  <w:marLeft w:val="0"/>
                  <w:marRight w:val="0"/>
                  <w:marTop w:val="0"/>
                  <w:marBottom w:val="0"/>
                  <w:divBdr>
                    <w:top w:val="none" w:sz="0" w:space="0" w:color="auto"/>
                    <w:left w:val="none" w:sz="0" w:space="0" w:color="auto"/>
                    <w:bottom w:val="none" w:sz="0" w:space="0" w:color="auto"/>
                    <w:right w:val="none" w:sz="0" w:space="0" w:color="auto"/>
                  </w:divBdr>
                  <w:divsChild>
                    <w:div w:id="529991951">
                      <w:marLeft w:val="0"/>
                      <w:marRight w:val="0"/>
                      <w:marTop w:val="0"/>
                      <w:marBottom w:val="0"/>
                      <w:divBdr>
                        <w:top w:val="none" w:sz="0" w:space="0" w:color="auto"/>
                        <w:left w:val="none" w:sz="0" w:space="0" w:color="auto"/>
                        <w:bottom w:val="none" w:sz="0" w:space="0" w:color="auto"/>
                        <w:right w:val="none" w:sz="0" w:space="0" w:color="auto"/>
                      </w:divBdr>
                    </w:div>
                  </w:divsChild>
                </w:div>
                <w:div w:id="188882803">
                  <w:marLeft w:val="0"/>
                  <w:marRight w:val="0"/>
                  <w:marTop w:val="0"/>
                  <w:marBottom w:val="0"/>
                  <w:divBdr>
                    <w:top w:val="none" w:sz="0" w:space="0" w:color="auto"/>
                    <w:left w:val="none" w:sz="0" w:space="0" w:color="auto"/>
                    <w:bottom w:val="none" w:sz="0" w:space="0" w:color="auto"/>
                    <w:right w:val="none" w:sz="0" w:space="0" w:color="auto"/>
                  </w:divBdr>
                  <w:divsChild>
                    <w:div w:id="1735355473">
                      <w:marLeft w:val="0"/>
                      <w:marRight w:val="0"/>
                      <w:marTop w:val="0"/>
                      <w:marBottom w:val="0"/>
                      <w:divBdr>
                        <w:top w:val="none" w:sz="0" w:space="0" w:color="auto"/>
                        <w:left w:val="none" w:sz="0" w:space="0" w:color="auto"/>
                        <w:bottom w:val="none" w:sz="0" w:space="0" w:color="auto"/>
                        <w:right w:val="none" w:sz="0" w:space="0" w:color="auto"/>
                      </w:divBdr>
                    </w:div>
                  </w:divsChild>
                </w:div>
                <w:div w:id="193427581">
                  <w:marLeft w:val="0"/>
                  <w:marRight w:val="0"/>
                  <w:marTop w:val="0"/>
                  <w:marBottom w:val="0"/>
                  <w:divBdr>
                    <w:top w:val="none" w:sz="0" w:space="0" w:color="auto"/>
                    <w:left w:val="none" w:sz="0" w:space="0" w:color="auto"/>
                    <w:bottom w:val="none" w:sz="0" w:space="0" w:color="auto"/>
                    <w:right w:val="none" w:sz="0" w:space="0" w:color="auto"/>
                  </w:divBdr>
                  <w:divsChild>
                    <w:div w:id="737825628">
                      <w:marLeft w:val="0"/>
                      <w:marRight w:val="0"/>
                      <w:marTop w:val="0"/>
                      <w:marBottom w:val="0"/>
                      <w:divBdr>
                        <w:top w:val="none" w:sz="0" w:space="0" w:color="auto"/>
                        <w:left w:val="none" w:sz="0" w:space="0" w:color="auto"/>
                        <w:bottom w:val="none" w:sz="0" w:space="0" w:color="auto"/>
                        <w:right w:val="none" w:sz="0" w:space="0" w:color="auto"/>
                      </w:divBdr>
                    </w:div>
                  </w:divsChild>
                </w:div>
                <w:div w:id="198470756">
                  <w:marLeft w:val="0"/>
                  <w:marRight w:val="0"/>
                  <w:marTop w:val="0"/>
                  <w:marBottom w:val="0"/>
                  <w:divBdr>
                    <w:top w:val="none" w:sz="0" w:space="0" w:color="auto"/>
                    <w:left w:val="none" w:sz="0" w:space="0" w:color="auto"/>
                    <w:bottom w:val="none" w:sz="0" w:space="0" w:color="auto"/>
                    <w:right w:val="none" w:sz="0" w:space="0" w:color="auto"/>
                  </w:divBdr>
                  <w:divsChild>
                    <w:div w:id="591858589">
                      <w:marLeft w:val="0"/>
                      <w:marRight w:val="0"/>
                      <w:marTop w:val="0"/>
                      <w:marBottom w:val="0"/>
                      <w:divBdr>
                        <w:top w:val="none" w:sz="0" w:space="0" w:color="auto"/>
                        <w:left w:val="none" w:sz="0" w:space="0" w:color="auto"/>
                        <w:bottom w:val="none" w:sz="0" w:space="0" w:color="auto"/>
                        <w:right w:val="none" w:sz="0" w:space="0" w:color="auto"/>
                      </w:divBdr>
                    </w:div>
                  </w:divsChild>
                </w:div>
                <w:div w:id="212498366">
                  <w:marLeft w:val="0"/>
                  <w:marRight w:val="0"/>
                  <w:marTop w:val="0"/>
                  <w:marBottom w:val="0"/>
                  <w:divBdr>
                    <w:top w:val="none" w:sz="0" w:space="0" w:color="auto"/>
                    <w:left w:val="none" w:sz="0" w:space="0" w:color="auto"/>
                    <w:bottom w:val="none" w:sz="0" w:space="0" w:color="auto"/>
                    <w:right w:val="none" w:sz="0" w:space="0" w:color="auto"/>
                  </w:divBdr>
                  <w:divsChild>
                    <w:div w:id="598031411">
                      <w:marLeft w:val="0"/>
                      <w:marRight w:val="0"/>
                      <w:marTop w:val="0"/>
                      <w:marBottom w:val="0"/>
                      <w:divBdr>
                        <w:top w:val="none" w:sz="0" w:space="0" w:color="auto"/>
                        <w:left w:val="none" w:sz="0" w:space="0" w:color="auto"/>
                        <w:bottom w:val="none" w:sz="0" w:space="0" w:color="auto"/>
                        <w:right w:val="none" w:sz="0" w:space="0" w:color="auto"/>
                      </w:divBdr>
                    </w:div>
                  </w:divsChild>
                </w:div>
                <w:div w:id="224149035">
                  <w:marLeft w:val="0"/>
                  <w:marRight w:val="0"/>
                  <w:marTop w:val="0"/>
                  <w:marBottom w:val="0"/>
                  <w:divBdr>
                    <w:top w:val="none" w:sz="0" w:space="0" w:color="auto"/>
                    <w:left w:val="none" w:sz="0" w:space="0" w:color="auto"/>
                    <w:bottom w:val="none" w:sz="0" w:space="0" w:color="auto"/>
                    <w:right w:val="none" w:sz="0" w:space="0" w:color="auto"/>
                  </w:divBdr>
                  <w:divsChild>
                    <w:div w:id="1066033382">
                      <w:marLeft w:val="0"/>
                      <w:marRight w:val="0"/>
                      <w:marTop w:val="0"/>
                      <w:marBottom w:val="0"/>
                      <w:divBdr>
                        <w:top w:val="none" w:sz="0" w:space="0" w:color="auto"/>
                        <w:left w:val="none" w:sz="0" w:space="0" w:color="auto"/>
                        <w:bottom w:val="none" w:sz="0" w:space="0" w:color="auto"/>
                        <w:right w:val="none" w:sz="0" w:space="0" w:color="auto"/>
                      </w:divBdr>
                    </w:div>
                  </w:divsChild>
                </w:div>
                <w:div w:id="225922764">
                  <w:marLeft w:val="0"/>
                  <w:marRight w:val="0"/>
                  <w:marTop w:val="0"/>
                  <w:marBottom w:val="0"/>
                  <w:divBdr>
                    <w:top w:val="none" w:sz="0" w:space="0" w:color="auto"/>
                    <w:left w:val="none" w:sz="0" w:space="0" w:color="auto"/>
                    <w:bottom w:val="none" w:sz="0" w:space="0" w:color="auto"/>
                    <w:right w:val="none" w:sz="0" w:space="0" w:color="auto"/>
                  </w:divBdr>
                  <w:divsChild>
                    <w:div w:id="1857573337">
                      <w:marLeft w:val="0"/>
                      <w:marRight w:val="0"/>
                      <w:marTop w:val="0"/>
                      <w:marBottom w:val="0"/>
                      <w:divBdr>
                        <w:top w:val="none" w:sz="0" w:space="0" w:color="auto"/>
                        <w:left w:val="none" w:sz="0" w:space="0" w:color="auto"/>
                        <w:bottom w:val="none" w:sz="0" w:space="0" w:color="auto"/>
                        <w:right w:val="none" w:sz="0" w:space="0" w:color="auto"/>
                      </w:divBdr>
                    </w:div>
                  </w:divsChild>
                </w:div>
                <w:div w:id="239604970">
                  <w:marLeft w:val="0"/>
                  <w:marRight w:val="0"/>
                  <w:marTop w:val="0"/>
                  <w:marBottom w:val="0"/>
                  <w:divBdr>
                    <w:top w:val="none" w:sz="0" w:space="0" w:color="auto"/>
                    <w:left w:val="none" w:sz="0" w:space="0" w:color="auto"/>
                    <w:bottom w:val="none" w:sz="0" w:space="0" w:color="auto"/>
                    <w:right w:val="none" w:sz="0" w:space="0" w:color="auto"/>
                  </w:divBdr>
                  <w:divsChild>
                    <w:div w:id="378747511">
                      <w:marLeft w:val="0"/>
                      <w:marRight w:val="0"/>
                      <w:marTop w:val="0"/>
                      <w:marBottom w:val="0"/>
                      <w:divBdr>
                        <w:top w:val="none" w:sz="0" w:space="0" w:color="auto"/>
                        <w:left w:val="none" w:sz="0" w:space="0" w:color="auto"/>
                        <w:bottom w:val="none" w:sz="0" w:space="0" w:color="auto"/>
                        <w:right w:val="none" w:sz="0" w:space="0" w:color="auto"/>
                      </w:divBdr>
                    </w:div>
                  </w:divsChild>
                </w:div>
                <w:div w:id="255478023">
                  <w:marLeft w:val="0"/>
                  <w:marRight w:val="0"/>
                  <w:marTop w:val="0"/>
                  <w:marBottom w:val="0"/>
                  <w:divBdr>
                    <w:top w:val="none" w:sz="0" w:space="0" w:color="auto"/>
                    <w:left w:val="none" w:sz="0" w:space="0" w:color="auto"/>
                    <w:bottom w:val="none" w:sz="0" w:space="0" w:color="auto"/>
                    <w:right w:val="none" w:sz="0" w:space="0" w:color="auto"/>
                  </w:divBdr>
                  <w:divsChild>
                    <w:div w:id="1269586107">
                      <w:marLeft w:val="0"/>
                      <w:marRight w:val="0"/>
                      <w:marTop w:val="0"/>
                      <w:marBottom w:val="0"/>
                      <w:divBdr>
                        <w:top w:val="none" w:sz="0" w:space="0" w:color="auto"/>
                        <w:left w:val="none" w:sz="0" w:space="0" w:color="auto"/>
                        <w:bottom w:val="none" w:sz="0" w:space="0" w:color="auto"/>
                        <w:right w:val="none" w:sz="0" w:space="0" w:color="auto"/>
                      </w:divBdr>
                    </w:div>
                  </w:divsChild>
                </w:div>
                <w:div w:id="264507006">
                  <w:marLeft w:val="0"/>
                  <w:marRight w:val="0"/>
                  <w:marTop w:val="0"/>
                  <w:marBottom w:val="0"/>
                  <w:divBdr>
                    <w:top w:val="none" w:sz="0" w:space="0" w:color="auto"/>
                    <w:left w:val="none" w:sz="0" w:space="0" w:color="auto"/>
                    <w:bottom w:val="none" w:sz="0" w:space="0" w:color="auto"/>
                    <w:right w:val="none" w:sz="0" w:space="0" w:color="auto"/>
                  </w:divBdr>
                  <w:divsChild>
                    <w:div w:id="1921911909">
                      <w:marLeft w:val="0"/>
                      <w:marRight w:val="0"/>
                      <w:marTop w:val="0"/>
                      <w:marBottom w:val="0"/>
                      <w:divBdr>
                        <w:top w:val="none" w:sz="0" w:space="0" w:color="auto"/>
                        <w:left w:val="none" w:sz="0" w:space="0" w:color="auto"/>
                        <w:bottom w:val="none" w:sz="0" w:space="0" w:color="auto"/>
                        <w:right w:val="none" w:sz="0" w:space="0" w:color="auto"/>
                      </w:divBdr>
                    </w:div>
                  </w:divsChild>
                </w:div>
                <w:div w:id="265232907">
                  <w:marLeft w:val="0"/>
                  <w:marRight w:val="0"/>
                  <w:marTop w:val="0"/>
                  <w:marBottom w:val="0"/>
                  <w:divBdr>
                    <w:top w:val="none" w:sz="0" w:space="0" w:color="auto"/>
                    <w:left w:val="none" w:sz="0" w:space="0" w:color="auto"/>
                    <w:bottom w:val="none" w:sz="0" w:space="0" w:color="auto"/>
                    <w:right w:val="none" w:sz="0" w:space="0" w:color="auto"/>
                  </w:divBdr>
                  <w:divsChild>
                    <w:div w:id="137192926">
                      <w:marLeft w:val="0"/>
                      <w:marRight w:val="0"/>
                      <w:marTop w:val="0"/>
                      <w:marBottom w:val="0"/>
                      <w:divBdr>
                        <w:top w:val="none" w:sz="0" w:space="0" w:color="auto"/>
                        <w:left w:val="none" w:sz="0" w:space="0" w:color="auto"/>
                        <w:bottom w:val="none" w:sz="0" w:space="0" w:color="auto"/>
                        <w:right w:val="none" w:sz="0" w:space="0" w:color="auto"/>
                      </w:divBdr>
                    </w:div>
                  </w:divsChild>
                </w:div>
                <w:div w:id="296835476">
                  <w:marLeft w:val="0"/>
                  <w:marRight w:val="0"/>
                  <w:marTop w:val="0"/>
                  <w:marBottom w:val="0"/>
                  <w:divBdr>
                    <w:top w:val="none" w:sz="0" w:space="0" w:color="auto"/>
                    <w:left w:val="none" w:sz="0" w:space="0" w:color="auto"/>
                    <w:bottom w:val="none" w:sz="0" w:space="0" w:color="auto"/>
                    <w:right w:val="none" w:sz="0" w:space="0" w:color="auto"/>
                  </w:divBdr>
                  <w:divsChild>
                    <w:div w:id="1083718854">
                      <w:marLeft w:val="0"/>
                      <w:marRight w:val="0"/>
                      <w:marTop w:val="0"/>
                      <w:marBottom w:val="0"/>
                      <w:divBdr>
                        <w:top w:val="none" w:sz="0" w:space="0" w:color="auto"/>
                        <w:left w:val="none" w:sz="0" w:space="0" w:color="auto"/>
                        <w:bottom w:val="none" w:sz="0" w:space="0" w:color="auto"/>
                        <w:right w:val="none" w:sz="0" w:space="0" w:color="auto"/>
                      </w:divBdr>
                    </w:div>
                  </w:divsChild>
                </w:div>
                <w:div w:id="308287466">
                  <w:marLeft w:val="0"/>
                  <w:marRight w:val="0"/>
                  <w:marTop w:val="0"/>
                  <w:marBottom w:val="0"/>
                  <w:divBdr>
                    <w:top w:val="none" w:sz="0" w:space="0" w:color="auto"/>
                    <w:left w:val="none" w:sz="0" w:space="0" w:color="auto"/>
                    <w:bottom w:val="none" w:sz="0" w:space="0" w:color="auto"/>
                    <w:right w:val="none" w:sz="0" w:space="0" w:color="auto"/>
                  </w:divBdr>
                  <w:divsChild>
                    <w:div w:id="1453130893">
                      <w:marLeft w:val="0"/>
                      <w:marRight w:val="0"/>
                      <w:marTop w:val="0"/>
                      <w:marBottom w:val="0"/>
                      <w:divBdr>
                        <w:top w:val="none" w:sz="0" w:space="0" w:color="auto"/>
                        <w:left w:val="none" w:sz="0" w:space="0" w:color="auto"/>
                        <w:bottom w:val="none" w:sz="0" w:space="0" w:color="auto"/>
                        <w:right w:val="none" w:sz="0" w:space="0" w:color="auto"/>
                      </w:divBdr>
                    </w:div>
                  </w:divsChild>
                </w:div>
                <w:div w:id="311759670">
                  <w:marLeft w:val="0"/>
                  <w:marRight w:val="0"/>
                  <w:marTop w:val="0"/>
                  <w:marBottom w:val="0"/>
                  <w:divBdr>
                    <w:top w:val="none" w:sz="0" w:space="0" w:color="auto"/>
                    <w:left w:val="none" w:sz="0" w:space="0" w:color="auto"/>
                    <w:bottom w:val="none" w:sz="0" w:space="0" w:color="auto"/>
                    <w:right w:val="none" w:sz="0" w:space="0" w:color="auto"/>
                  </w:divBdr>
                  <w:divsChild>
                    <w:div w:id="1558466232">
                      <w:marLeft w:val="0"/>
                      <w:marRight w:val="0"/>
                      <w:marTop w:val="0"/>
                      <w:marBottom w:val="0"/>
                      <w:divBdr>
                        <w:top w:val="none" w:sz="0" w:space="0" w:color="auto"/>
                        <w:left w:val="none" w:sz="0" w:space="0" w:color="auto"/>
                        <w:bottom w:val="none" w:sz="0" w:space="0" w:color="auto"/>
                        <w:right w:val="none" w:sz="0" w:space="0" w:color="auto"/>
                      </w:divBdr>
                    </w:div>
                  </w:divsChild>
                </w:div>
                <w:div w:id="315187750">
                  <w:marLeft w:val="0"/>
                  <w:marRight w:val="0"/>
                  <w:marTop w:val="0"/>
                  <w:marBottom w:val="0"/>
                  <w:divBdr>
                    <w:top w:val="none" w:sz="0" w:space="0" w:color="auto"/>
                    <w:left w:val="none" w:sz="0" w:space="0" w:color="auto"/>
                    <w:bottom w:val="none" w:sz="0" w:space="0" w:color="auto"/>
                    <w:right w:val="none" w:sz="0" w:space="0" w:color="auto"/>
                  </w:divBdr>
                  <w:divsChild>
                    <w:div w:id="649018056">
                      <w:marLeft w:val="0"/>
                      <w:marRight w:val="0"/>
                      <w:marTop w:val="0"/>
                      <w:marBottom w:val="0"/>
                      <w:divBdr>
                        <w:top w:val="none" w:sz="0" w:space="0" w:color="auto"/>
                        <w:left w:val="none" w:sz="0" w:space="0" w:color="auto"/>
                        <w:bottom w:val="none" w:sz="0" w:space="0" w:color="auto"/>
                        <w:right w:val="none" w:sz="0" w:space="0" w:color="auto"/>
                      </w:divBdr>
                    </w:div>
                  </w:divsChild>
                </w:div>
                <w:div w:id="319040232">
                  <w:marLeft w:val="0"/>
                  <w:marRight w:val="0"/>
                  <w:marTop w:val="0"/>
                  <w:marBottom w:val="0"/>
                  <w:divBdr>
                    <w:top w:val="none" w:sz="0" w:space="0" w:color="auto"/>
                    <w:left w:val="none" w:sz="0" w:space="0" w:color="auto"/>
                    <w:bottom w:val="none" w:sz="0" w:space="0" w:color="auto"/>
                    <w:right w:val="none" w:sz="0" w:space="0" w:color="auto"/>
                  </w:divBdr>
                  <w:divsChild>
                    <w:div w:id="1012493780">
                      <w:marLeft w:val="0"/>
                      <w:marRight w:val="0"/>
                      <w:marTop w:val="0"/>
                      <w:marBottom w:val="0"/>
                      <w:divBdr>
                        <w:top w:val="none" w:sz="0" w:space="0" w:color="auto"/>
                        <w:left w:val="none" w:sz="0" w:space="0" w:color="auto"/>
                        <w:bottom w:val="none" w:sz="0" w:space="0" w:color="auto"/>
                        <w:right w:val="none" w:sz="0" w:space="0" w:color="auto"/>
                      </w:divBdr>
                    </w:div>
                  </w:divsChild>
                </w:div>
                <w:div w:id="342704964">
                  <w:marLeft w:val="0"/>
                  <w:marRight w:val="0"/>
                  <w:marTop w:val="0"/>
                  <w:marBottom w:val="0"/>
                  <w:divBdr>
                    <w:top w:val="none" w:sz="0" w:space="0" w:color="auto"/>
                    <w:left w:val="none" w:sz="0" w:space="0" w:color="auto"/>
                    <w:bottom w:val="none" w:sz="0" w:space="0" w:color="auto"/>
                    <w:right w:val="none" w:sz="0" w:space="0" w:color="auto"/>
                  </w:divBdr>
                  <w:divsChild>
                    <w:div w:id="1258707601">
                      <w:marLeft w:val="0"/>
                      <w:marRight w:val="0"/>
                      <w:marTop w:val="0"/>
                      <w:marBottom w:val="0"/>
                      <w:divBdr>
                        <w:top w:val="none" w:sz="0" w:space="0" w:color="auto"/>
                        <w:left w:val="none" w:sz="0" w:space="0" w:color="auto"/>
                        <w:bottom w:val="none" w:sz="0" w:space="0" w:color="auto"/>
                        <w:right w:val="none" w:sz="0" w:space="0" w:color="auto"/>
                      </w:divBdr>
                    </w:div>
                  </w:divsChild>
                </w:div>
                <w:div w:id="343091975">
                  <w:marLeft w:val="0"/>
                  <w:marRight w:val="0"/>
                  <w:marTop w:val="0"/>
                  <w:marBottom w:val="0"/>
                  <w:divBdr>
                    <w:top w:val="none" w:sz="0" w:space="0" w:color="auto"/>
                    <w:left w:val="none" w:sz="0" w:space="0" w:color="auto"/>
                    <w:bottom w:val="none" w:sz="0" w:space="0" w:color="auto"/>
                    <w:right w:val="none" w:sz="0" w:space="0" w:color="auto"/>
                  </w:divBdr>
                  <w:divsChild>
                    <w:div w:id="30425770">
                      <w:marLeft w:val="0"/>
                      <w:marRight w:val="0"/>
                      <w:marTop w:val="0"/>
                      <w:marBottom w:val="0"/>
                      <w:divBdr>
                        <w:top w:val="none" w:sz="0" w:space="0" w:color="auto"/>
                        <w:left w:val="none" w:sz="0" w:space="0" w:color="auto"/>
                        <w:bottom w:val="none" w:sz="0" w:space="0" w:color="auto"/>
                        <w:right w:val="none" w:sz="0" w:space="0" w:color="auto"/>
                      </w:divBdr>
                    </w:div>
                  </w:divsChild>
                </w:div>
                <w:div w:id="355011250">
                  <w:marLeft w:val="0"/>
                  <w:marRight w:val="0"/>
                  <w:marTop w:val="0"/>
                  <w:marBottom w:val="0"/>
                  <w:divBdr>
                    <w:top w:val="none" w:sz="0" w:space="0" w:color="auto"/>
                    <w:left w:val="none" w:sz="0" w:space="0" w:color="auto"/>
                    <w:bottom w:val="none" w:sz="0" w:space="0" w:color="auto"/>
                    <w:right w:val="none" w:sz="0" w:space="0" w:color="auto"/>
                  </w:divBdr>
                  <w:divsChild>
                    <w:div w:id="242642385">
                      <w:marLeft w:val="0"/>
                      <w:marRight w:val="0"/>
                      <w:marTop w:val="0"/>
                      <w:marBottom w:val="0"/>
                      <w:divBdr>
                        <w:top w:val="none" w:sz="0" w:space="0" w:color="auto"/>
                        <w:left w:val="none" w:sz="0" w:space="0" w:color="auto"/>
                        <w:bottom w:val="none" w:sz="0" w:space="0" w:color="auto"/>
                        <w:right w:val="none" w:sz="0" w:space="0" w:color="auto"/>
                      </w:divBdr>
                    </w:div>
                  </w:divsChild>
                </w:div>
                <w:div w:id="357708156">
                  <w:marLeft w:val="0"/>
                  <w:marRight w:val="0"/>
                  <w:marTop w:val="0"/>
                  <w:marBottom w:val="0"/>
                  <w:divBdr>
                    <w:top w:val="none" w:sz="0" w:space="0" w:color="auto"/>
                    <w:left w:val="none" w:sz="0" w:space="0" w:color="auto"/>
                    <w:bottom w:val="none" w:sz="0" w:space="0" w:color="auto"/>
                    <w:right w:val="none" w:sz="0" w:space="0" w:color="auto"/>
                  </w:divBdr>
                  <w:divsChild>
                    <w:div w:id="2143382009">
                      <w:marLeft w:val="0"/>
                      <w:marRight w:val="0"/>
                      <w:marTop w:val="0"/>
                      <w:marBottom w:val="0"/>
                      <w:divBdr>
                        <w:top w:val="none" w:sz="0" w:space="0" w:color="auto"/>
                        <w:left w:val="none" w:sz="0" w:space="0" w:color="auto"/>
                        <w:bottom w:val="none" w:sz="0" w:space="0" w:color="auto"/>
                        <w:right w:val="none" w:sz="0" w:space="0" w:color="auto"/>
                      </w:divBdr>
                    </w:div>
                  </w:divsChild>
                </w:div>
                <w:div w:id="365911497">
                  <w:marLeft w:val="0"/>
                  <w:marRight w:val="0"/>
                  <w:marTop w:val="0"/>
                  <w:marBottom w:val="0"/>
                  <w:divBdr>
                    <w:top w:val="none" w:sz="0" w:space="0" w:color="auto"/>
                    <w:left w:val="none" w:sz="0" w:space="0" w:color="auto"/>
                    <w:bottom w:val="none" w:sz="0" w:space="0" w:color="auto"/>
                    <w:right w:val="none" w:sz="0" w:space="0" w:color="auto"/>
                  </w:divBdr>
                  <w:divsChild>
                    <w:div w:id="1267730837">
                      <w:marLeft w:val="0"/>
                      <w:marRight w:val="0"/>
                      <w:marTop w:val="0"/>
                      <w:marBottom w:val="0"/>
                      <w:divBdr>
                        <w:top w:val="none" w:sz="0" w:space="0" w:color="auto"/>
                        <w:left w:val="none" w:sz="0" w:space="0" w:color="auto"/>
                        <w:bottom w:val="none" w:sz="0" w:space="0" w:color="auto"/>
                        <w:right w:val="none" w:sz="0" w:space="0" w:color="auto"/>
                      </w:divBdr>
                    </w:div>
                  </w:divsChild>
                </w:div>
                <w:div w:id="386412700">
                  <w:marLeft w:val="0"/>
                  <w:marRight w:val="0"/>
                  <w:marTop w:val="0"/>
                  <w:marBottom w:val="0"/>
                  <w:divBdr>
                    <w:top w:val="none" w:sz="0" w:space="0" w:color="auto"/>
                    <w:left w:val="none" w:sz="0" w:space="0" w:color="auto"/>
                    <w:bottom w:val="none" w:sz="0" w:space="0" w:color="auto"/>
                    <w:right w:val="none" w:sz="0" w:space="0" w:color="auto"/>
                  </w:divBdr>
                  <w:divsChild>
                    <w:div w:id="841437183">
                      <w:marLeft w:val="0"/>
                      <w:marRight w:val="0"/>
                      <w:marTop w:val="0"/>
                      <w:marBottom w:val="0"/>
                      <w:divBdr>
                        <w:top w:val="none" w:sz="0" w:space="0" w:color="auto"/>
                        <w:left w:val="none" w:sz="0" w:space="0" w:color="auto"/>
                        <w:bottom w:val="none" w:sz="0" w:space="0" w:color="auto"/>
                        <w:right w:val="none" w:sz="0" w:space="0" w:color="auto"/>
                      </w:divBdr>
                    </w:div>
                  </w:divsChild>
                </w:div>
                <w:div w:id="391388985">
                  <w:marLeft w:val="0"/>
                  <w:marRight w:val="0"/>
                  <w:marTop w:val="0"/>
                  <w:marBottom w:val="0"/>
                  <w:divBdr>
                    <w:top w:val="none" w:sz="0" w:space="0" w:color="auto"/>
                    <w:left w:val="none" w:sz="0" w:space="0" w:color="auto"/>
                    <w:bottom w:val="none" w:sz="0" w:space="0" w:color="auto"/>
                    <w:right w:val="none" w:sz="0" w:space="0" w:color="auto"/>
                  </w:divBdr>
                  <w:divsChild>
                    <w:div w:id="454447160">
                      <w:marLeft w:val="0"/>
                      <w:marRight w:val="0"/>
                      <w:marTop w:val="0"/>
                      <w:marBottom w:val="0"/>
                      <w:divBdr>
                        <w:top w:val="none" w:sz="0" w:space="0" w:color="auto"/>
                        <w:left w:val="none" w:sz="0" w:space="0" w:color="auto"/>
                        <w:bottom w:val="none" w:sz="0" w:space="0" w:color="auto"/>
                        <w:right w:val="none" w:sz="0" w:space="0" w:color="auto"/>
                      </w:divBdr>
                    </w:div>
                  </w:divsChild>
                </w:div>
                <w:div w:id="411388278">
                  <w:marLeft w:val="0"/>
                  <w:marRight w:val="0"/>
                  <w:marTop w:val="0"/>
                  <w:marBottom w:val="0"/>
                  <w:divBdr>
                    <w:top w:val="none" w:sz="0" w:space="0" w:color="auto"/>
                    <w:left w:val="none" w:sz="0" w:space="0" w:color="auto"/>
                    <w:bottom w:val="none" w:sz="0" w:space="0" w:color="auto"/>
                    <w:right w:val="none" w:sz="0" w:space="0" w:color="auto"/>
                  </w:divBdr>
                  <w:divsChild>
                    <w:div w:id="918294847">
                      <w:marLeft w:val="0"/>
                      <w:marRight w:val="0"/>
                      <w:marTop w:val="0"/>
                      <w:marBottom w:val="0"/>
                      <w:divBdr>
                        <w:top w:val="none" w:sz="0" w:space="0" w:color="auto"/>
                        <w:left w:val="none" w:sz="0" w:space="0" w:color="auto"/>
                        <w:bottom w:val="none" w:sz="0" w:space="0" w:color="auto"/>
                        <w:right w:val="none" w:sz="0" w:space="0" w:color="auto"/>
                      </w:divBdr>
                    </w:div>
                  </w:divsChild>
                </w:div>
                <w:div w:id="425540291">
                  <w:marLeft w:val="0"/>
                  <w:marRight w:val="0"/>
                  <w:marTop w:val="0"/>
                  <w:marBottom w:val="0"/>
                  <w:divBdr>
                    <w:top w:val="none" w:sz="0" w:space="0" w:color="auto"/>
                    <w:left w:val="none" w:sz="0" w:space="0" w:color="auto"/>
                    <w:bottom w:val="none" w:sz="0" w:space="0" w:color="auto"/>
                    <w:right w:val="none" w:sz="0" w:space="0" w:color="auto"/>
                  </w:divBdr>
                  <w:divsChild>
                    <w:div w:id="873426549">
                      <w:marLeft w:val="0"/>
                      <w:marRight w:val="0"/>
                      <w:marTop w:val="0"/>
                      <w:marBottom w:val="0"/>
                      <w:divBdr>
                        <w:top w:val="none" w:sz="0" w:space="0" w:color="auto"/>
                        <w:left w:val="none" w:sz="0" w:space="0" w:color="auto"/>
                        <w:bottom w:val="none" w:sz="0" w:space="0" w:color="auto"/>
                        <w:right w:val="none" w:sz="0" w:space="0" w:color="auto"/>
                      </w:divBdr>
                    </w:div>
                  </w:divsChild>
                </w:div>
                <w:div w:id="450132656">
                  <w:marLeft w:val="0"/>
                  <w:marRight w:val="0"/>
                  <w:marTop w:val="0"/>
                  <w:marBottom w:val="0"/>
                  <w:divBdr>
                    <w:top w:val="none" w:sz="0" w:space="0" w:color="auto"/>
                    <w:left w:val="none" w:sz="0" w:space="0" w:color="auto"/>
                    <w:bottom w:val="none" w:sz="0" w:space="0" w:color="auto"/>
                    <w:right w:val="none" w:sz="0" w:space="0" w:color="auto"/>
                  </w:divBdr>
                  <w:divsChild>
                    <w:div w:id="1259825810">
                      <w:marLeft w:val="0"/>
                      <w:marRight w:val="0"/>
                      <w:marTop w:val="0"/>
                      <w:marBottom w:val="0"/>
                      <w:divBdr>
                        <w:top w:val="none" w:sz="0" w:space="0" w:color="auto"/>
                        <w:left w:val="none" w:sz="0" w:space="0" w:color="auto"/>
                        <w:bottom w:val="none" w:sz="0" w:space="0" w:color="auto"/>
                        <w:right w:val="none" w:sz="0" w:space="0" w:color="auto"/>
                      </w:divBdr>
                    </w:div>
                  </w:divsChild>
                </w:div>
                <w:div w:id="451827562">
                  <w:marLeft w:val="0"/>
                  <w:marRight w:val="0"/>
                  <w:marTop w:val="0"/>
                  <w:marBottom w:val="0"/>
                  <w:divBdr>
                    <w:top w:val="none" w:sz="0" w:space="0" w:color="auto"/>
                    <w:left w:val="none" w:sz="0" w:space="0" w:color="auto"/>
                    <w:bottom w:val="none" w:sz="0" w:space="0" w:color="auto"/>
                    <w:right w:val="none" w:sz="0" w:space="0" w:color="auto"/>
                  </w:divBdr>
                  <w:divsChild>
                    <w:div w:id="377970268">
                      <w:marLeft w:val="0"/>
                      <w:marRight w:val="0"/>
                      <w:marTop w:val="0"/>
                      <w:marBottom w:val="0"/>
                      <w:divBdr>
                        <w:top w:val="none" w:sz="0" w:space="0" w:color="auto"/>
                        <w:left w:val="none" w:sz="0" w:space="0" w:color="auto"/>
                        <w:bottom w:val="none" w:sz="0" w:space="0" w:color="auto"/>
                        <w:right w:val="none" w:sz="0" w:space="0" w:color="auto"/>
                      </w:divBdr>
                    </w:div>
                  </w:divsChild>
                </w:div>
                <w:div w:id="469174753">
                  <w:marLeft w:val="0"/>
                  <w:marRight w:val="0"/>
                  <w:marTop w:val="0"/>
                  <w:marBottom w:val="0"/>
                  <w:divBdr>
                    <w:top w:val="none" w:sz="0" w:space="0" w:color="auto"/>
                    <w:left w:val="none" w:sz="0" w:space="0" w:color="auto"/>
                    <w:bottom w:val="none" w:sz="0" w:space="0" w:color="auto"/>
                    <w:right w:val="none" w:sz="0" w:space="0" w:color="auto"/>
                  </w:divBdr>
                  <w:divsChild>
                    <w:div w:id="1832407944">
                      <w:marLeft w:val="0"/>
                      <w:marRight w:val="0"/>
                      <w:marTop w:val="0"/>
                      <w:marBottom w:val="0"/>
                      <w:divBdr>
                        <w:top w:val="none" w:sz="0" w:space="0" w:color="auto"/>
                        <w:left w:val="none" w:sz="0" w:space="0" w:color="auto"/>
                        <w:bottom w:val="none" w:sz="0" w:space="0" w:color="auto"/>
                        <w:right w:val="none" w:sz="0" w:space="0" w:color="auto"/>
                      </w:divBdr>
                    </w:div>
                  </w:divsChild>
                </w:div>
                <w:div w:id="480972315">
                  <w:marLeft w:val="0"/>
                  <w:marRight w:val="0"/>
                  <w:marTop w:val="0"/>
                  <w:marBottom w:val="0"/>
                  <w:divBdr>
                    <w:top w:val="none" w:sz="0" w:space="0" w:color="auto"/>
                    <w:left w:val="none" w:sz="0" w:space="0" w:color="auto"/>
                    <w:bottom w:val="none" w:sz="0" w:space="0" w:color="auto"/>
                    <w:right w:val="none" w:sz="0" w:space="0" w:color="auto"/>
                  </w:divBdr>
                  <w:divsChild>
                    <w:div w:id="199368216">
                      <w:marLeft w:val="0"/>
                      <w:marRight w:val="0"/>
                      <w:marTop w:val="0"/>
                      <w:marBottom w:val="0"/>
                      <w:divBdr>
                        <w:top w:val="none" w:sz="0" w:space="0" w:color="auto"/>
                        <w:left w:val="none" w:sz="0" w:space="0" w:color="auto"/>
                        <w:bottom w:val="none" w:sz="0" w:space="0" w:color="auto"/>
                        <w:right w:val="none" w:sz="0" w:space="0" w:color="auto"/>
                      </w:divBdr>
                    </w:div>
                  </w:divsChild>
                </w:div>
                <w:div w:id="481849330">
                  <w:marLeft w:val="0"/>
                  <w:marRight w:val="0"/>
                  <w:marTop w:val="0"/>
                  <w:marBottom w:val="0"/>
                  <w:divBdr>
                    <w:top w:val="none" w:sz="0" w:space="0" w:color="auto"/>
                    <w:left w:val="none" w:sz="0" w:space="0" w:color="auto"/>
                    <w:bottom w:val="none" w:sz="0" w:space="0" w:color="auto"/>
                    <w:right w:val="none" w:sz="0" w:space="0" w:color="auto"/>
                  </w:divBdr>
                  <w:divsChild>
                    <w:div w:id="115488512">
                      <w:marLeft w:val="0"/>
                      <w:marRight w:val="0"/>
                      <w:marTop w:val="0"/>
                      <w:marBottom w:val="0"/>
                      <w:divBdr>
                        <w:top w:val="none" w:sz="0" w:space="0" w:color="auto"/>
                        <w:left w:val="none" w:sz="0" w:space="0" w:color="auto"/>
                        <w:bottom w:val="none" w:sz="0" w:space="0" w:color="auto"/>
                        <w:right w:val="none" w:sz="0" w:space="0" w:color="auto"/>
                      </w:divBdr>
                    </w:div>
                  </w:divsChild>
                </w:div>
                <w:div w:id="493960740">
                  <w:marLeft w:val="0"/>
                  <w:marRight w:val="0"/>
                  <w:marTop w:val="0"/>
                  <w:marBottom w:val="0"/>
                  <w:divBdr>
                    <w:top w:val="none" w:sz="0" w:space="0" w:color="auto"/>
                    <w:left w:val="none" w:sz="0" w:space="0" w:color="auto"/>
                    <w:bottom w:val="none" w:sz="0" w:space="0" w:color="auto"/>
                    <w:right w:val="none" w:sz="0" w:space="0" w:color="auto"/>
                  </w:divBdr>
                  <w:divsChild>
                    <w:div w:id="1585795218">
                      <w:marLeft w:val="0"/>
                      <w:marRight w:val="0"/>
                      <w:marTop w:val="0"/>
                      <w:marBottom w:val="0"/>
                      <w:divBdr>
                        <w:top w:val="none" w:sz="0" w:space="0" w:color="auto"/>
                        <w:left w:val="none" w:sz="0" w:space="0" w:color="auto"/>
                        <w:bottom w:val="none" w:sz="0" w:space="0" w:color="auto"/>
                        <w:right w:val="none" w:sz="0" w:space="0" w:color="auto"/>
                      </w:divBdr>
                    </w:div>
                  </w:divsChild>
                </w:div>
                <w:div w:id="508445327">
                  <w:marLeft w:val="0"/>
                  <w:marRight w:val="0"/>
                  <w:marTop w:val="0"/>
                  <w:marBottom w:val="0"/>
                  <w:divBdr>
                    <w:top w:val="none" w:sz="0" w:space="0" w:color="auto"/>
                    <w:left w:val="none" w:sz="0" w:space="0" w:color="auto"/>
                    <w:bottom w:val="none" w:sz="0" w:space="0" w:color="auto"/>
                    <w:right w:val="none" w:sz="0" w:space="0" w:color="auto"/>
                  </w:divBdr>
                  <w:divsChild>
                    <w:div w:id="339504346">
                      <w:marLeft w:val="0"/>
                      <w:marRight w:val="0"/>
                      <w:marTop w:val="0"/>
                      <w:marBottom w:val="0"/>
                      <w:divBdr>
                        <w:top w:val="none" w:sz="0" w:space="0" w:color="auto"/>
                        <w:left w:val="none" w:sz="0" w:space="0" w:color="auto"/>
                        <w:bottom w:val="none" w:sz="0" w:space="0" w:color="auto"/>
                        <w:right w:val="none" w:sz="0" w:space="0" w:color="auto"/>
                      </w:divBdr>
                    </w:div>
                  </w:divsChild>
                </w:div>
                <w:div w:id="540291025">
                  <w:marLeft w:val="0"/>
                  <w:marRight w:val="0"/>
                  <w:marTop w:val="0"/>
                  <w:marBottom w:val="0"/>
                  <w:divBdr>
                    <w:top w:val="none" w:sz="0" w:space="0" w:color="auto"/>
                    <w:left w:val="none" w:sz="0" w:space="0" w:color="auto"/>
                    <w:bottom w:val="none" w:sz="0" w:space="0" w:color="auto"/>
                    <w:right w:val="none" w:sz="0" w:space="0" w:color="auto"/>
                  </w:divBdr>
                  <w:divsChild>
                    <w:div w:id="440957925">
                      <w:marLeft w:val="0"/>
                      <w:marRight w:val="0"/>
                      <w:marTop w:val="0"/>
                      <w:marBottom w:val="0"/>
                      <w:divBdr>
                        <w:top w:val="none" w:sz="0" w:space="0" w:color="auto"/>
                        <w:left w:val="none" w:sz="0" w:space="0" w:color="auto"/>
                        <w:bottom w:val="none" w:sz="0" w:space="0" w:color="auto"/>
                        <w:right w:val="none" w:sz="0" w:space="0" w:color="auto"/>
                      </w:divBdr>
                    </w:div>
                  </w:divsChild>
                </w:div>
                <w:div w:id="555357457">
                  <w:marLeft w:val="0"/>
                  <w:marRight w:val="0"/>
                  <w:marTop w:val="0"/>
                  <w:marBottom w:val="0"/>
                  <w:divBdr>
                    <w:top w:val="none" w:sz="0" w:space="0" w:color="auto"/>
                    <w:left w:val="none" w:sz="0" w:space="0" w:color="auto"/>
                    <w:bottom w:val="none" w:sz="0" w:space="0" w:color="auto"/>
                    <w:right w:val="none" w:sz="0" w:space="0" w:color="auto"/>
                  </w:divBdr>
                  <w:divsChild>
                    <w:div w:id="1766530948">
                      <w:marLeft w:val="0"/>
                      <w:marRight w:val="0"/>
                      <w:marTop w:val="0"/>
                      <w:marBottom w:val="0"/>
                      <w:divBdr>
                        <w:top w:val="none" w:sz="0" w:space="0" w:color="auto"/>
                        <w:left w:val="none" w:sz="0" w:space="0" w:color="auto"/>
                        <w:bottom w:val="none" w:sz="0" w:space="0" w:color="auto"/>
                        <w:right w:val="none" w:sz="0" w:space="0" w:color="auto"/>
                      </w:divBdr>
                    </w:div>
                  </w:divsChild>
                </w:div>
                <w:div w:id="559098464">
                  <w:marLeft w:val="0"/>
                  <w:marRight w:val="0"/>
                  <w:marTop w:val="0"/>
                  <w:marBottom w:val="0"/>
                  <w:divBdr>
                    <w:top w:val="none" w:sz="0" w:space="0" w:color="auto"/>
                    <w:left w:val="none" w:sz="0" w:space="0" w:color="auto"/>
                    <w:bottom w:val="none" w:sz="0" w:space="0" w:color="auto"/>
                    <w:right w:val="none" w:sz="0" w:space="0" w:color="auto"/>
                  </w:divBdr>
                  <w:divsChild>
                    <w:div w:id="1925452292">
                      <w:marLeft w:val="0"/>
                      <w:marRight w:val="0"/>
                      <w:marTop w:val="0"/>
                      <w:marBottom w:val="0"/>
                      <w:divBdr>
                        <w:top w:val="none" w:sz="0" w:space="0" w:color="auto"/>
                        <w:left w:val="none" w:sz="0" w:space="0" w:color="auto"/>
                        <w:bottom w:val="none" w:sz="0" w:space="0" w:color="auto"/>
                        <w:right w:val="none" w:sz="0" w:space="0" w:color="auto"/>
                      </w:divBdr>
                    </w:div>
                  </w:divsChild>
                </w:div>
                <w:div w:id="605386672">
                  <w:marLeft w:val="0"/>
                  <w:marRight w:val="0"/>
                  <w:marTop w:val="0"/>
                  <w:marBottom w:val="0"/>
                  <w:divBdr>
                    <w:top w:val="none" w:sz="0" w:space="0" w:color="auto"/>
                    <w:left w:val="none" w:sz="0" w:space="0" w:color="auto"/>
                    <w:bottom w:val="none" w:sz="0" w:space="0" w:color="auto"/>
                    <w:right w:val="none" w:sz="0" w:space="0" w:color="auto"/>
                  </w:divBdr>
                  <w:divsChild>
                    <w:div w:id="1034765648">
                      <w:marLeft w:val="0"/>
                      <w:marRight w:val="0"/>
                      <w:marTop w:val="0"/>
                      <w:marBottom w:val="0"/>
                      <w:divBdr>
                        <w:top w:val="none" w:sz="0" w:space="0" w:color="auto"/>
                        <w:left w:val="none" w:sz="0" w:space="0" w:color="auto"/>
                        <w:bottom w:val="none" w:sz="0" w:space="0" w:color="auto"/>
                        <w:right w:val="none" w:sz="0" w:space="0" w:color="auto"/>
                      </w:divBdr>
                    </w:div>
                  </w:divsChild>
                </w:div>
                <w:div w:id="642782712">
                  <w:marLeft w:val="0"/>
                  <w:marRight w:val="0"/>
                  <w:marTop w:val="0"/>
                  <w:marBottom w:val="0"/>
                  <w:divBdr>
                    <w:top w:val="none" w:sz="0" w:space="0" w:color="auto"/>
                    <w:left w:val="none" w:sz="0" w:space="0" w:color="auto"/>
                    <w:bottom w:val="none" w:sz="0" w:space="0" w:color="auto"/>
                    <w:right w:val="none" w:sz="0" w:space="0" w:color="auto"/>
                  </w:divBdr>
                  <w:divsChild>
                    <w:div w:id="246160023">
                      <w:marLeft w:val="0"/>
                      <w:marRight w:val="0"/>
                      <w:marTop w:val="0"/>
                      <w:marBottom w:val="0"/>
                      <w:divBdr>
                        <w:top w:val="none" w:sz="0" w:space="0" w:color="auto"/>
                        <w:left w:val="none" w:sz="0" w:space="0" w:color="auto"/>
                        <w:bottom w:val="none" w:sz="0" w:space="0" w:color="auto"/>
                        <w:right w:val="none" w:sz="0" w:space="0" w:color="auto"/>
                      </w:divBdr>
                    </w:div>
                  </w:divsChild>
                </w:div>
                <w:div w:id="649407521">
                  <w:marLeft w:val="0"/>
                  <w:marRight w:val="0"/>
                  <w:marTop w:val="0"/>
                  <w:marBottom w:val="0"/>
                  <w:divBdr>
                    <w:top w:val="none" w:sz="0" w:space="0" w:color="auto"/>
                    <w:left w:val="none" w:sz="0" w:space="0" w:color="auto"/>
                    <w:bottom w:val="none" w:sz="0" w:space="0" w:color="auto"/>
                    <w:right w:val="none" w:sz="0" w:space="0" w:color="auto"/>
                  </w:divBdr>
                  <w:divsChild>
                    <w:div w:id="1602835269">
                      <w:marLeft w:val="0"/>
                      <w:marRight w:val="0"/>
                      <w:marTop w:val="0"/>
                      <w:marBottom w:val="0"/>
                      <w:divBdr>
                        <w:top w:val="none" w:sz="0" w:space="0" w:color="auto"/>
                        <w:left w:val="none" w:sz="0" w:space="0" w:color="auto"/>
                        <w:bottom w:val="none" w:sz="0" w:space="0" w:color="auto"/>
                        <w:right w:val="none" w:sz="0" w:space="0" w:color="auto"/>
                      </w:divBdr>
                    </w:div>
                  </w:divsChild>
                </w:div>
                <w:div w:id="697124560">
                  <w:marLeft w:val="0"/>
                  <w:marRight w:val="0"/>
                  <w:marTop w:val="0"/>
                  <w:marBottom w:val="0"/>
                  <w:divBdr>
                    <w:top w:val="none" w:sz="0" w:space="0" w:color="auto"/>
                    <w:left w:val="none" w:sz="0" w:space="0" w:color="auto"/>
                    <w:bottom w:val="none" w:sz="0" w:space="0" w:color="auto"/>
                    <w:right w:val="none" w:sz="0" w:space="0" w:color="auto"/>
                  </w:divBdr>
                  <w:divsChild>
                    <w:div w:id="1299454428">
                      <w:marLeft w:val="0"/>
                      <w:marRight w:val="0"/>
                      <w:marTop w:val="0"/>
                      <w:marBottom w:val="0"/>
                      <w:divBdr>
                        <w:top w:val="none" w:sz="0" w:space="0" w:color="auto"/>
                        <w:left w:val="none" w:sz="0" w:space="0" w:color="auto"/>
                        <w:bottom w:val="none" w:sz="0" w:space="0" w:color="auto"/>
                        <w:right w:val="none" w:sz="0" w:space="0" w:color="auto"/>
                      </w:divBdr>
                    </w:div>
                  </w:divsChild>
                </w:div>
                <w:div w:id="722211849">
                  <w:marLeft w:val="0"/>
                  <w:marRight w:val="0"/>
                  <w:marTop w:val="0"/>
                  <w:marBottom w:val="0"/>
                  <w:divBdr>
                    <w:top w:val="none" w:sz="0" w:space="0" w:color="auto"/>
                    <w:left w:val="none" w:sz="0" w:space="0" w:color="auto"/>
                    <w:bottom w:val="none" w:sz="0" w:space="0" w:color="auto"/>
                    <w:right w:val="none" w:sz="0" w:space="0" w:color="auto"/>
                  </w:divBdr>
                  <w:divsChild>
                    <w:div w:id="771901129">
                      <w:marLeft w:val="0"/>
                      <w:marRight w:val="0"/>
                      <w:marTop w:val="0"/>
                      <w:marBottom w:val="0"/>
                      <w:divBdr>
                        <w:top w:val="none" w:sz="0" w:space="0" w:color="auto"/>
                        <w:left w:val="none" w:sz="0" w:space="0" w:color="auto"/>
                        <w:bottom w:val="none" w:sz="0" w:space="0" w:color="auto"/>
                        <w:right w:val="none" w:sz="0" w:space="0" w:color="auto"/>
                      </w:divBdr>
                    </w:div>
                  </w:divsChild>
                </w:div>
                <w:div w:id="723336817">
                  <w:marLeft w:val="0"/>
                  <w:marRight w:val="0"/>
                  <w:marTop w:val="0"/>
                  <w:marBottom w:val="0"/>
                  <w:divBdr>
                    <w:top w:val="none" w:sz="0" w:space="0" w:color="auto"/>
                    <w:left w:val="none" w:sz="0" w:space="0" w:color="auto"/>
                    <w:bottom w:val="none" w:sz="0" w:space="0" w:color="auto"/>
                    <w:right w:val="none" w:sz="0" w:space="0" w:color="auto"/>
                  </w:divBdr>
                  <w:divsChild>
                    <w:div w:id="217281765">
                      <w:marLeft w:val="0"/>
                      <w:marRight w:val="0"/>
                      <w:marTop w:val="0"/>
                      <w:marBottom w:val="0"/>
                      <w:divBdr>
                        <w:top w:val="none" w:sz="0" w:space="0" w:color="auto"/>
                        <w:left w:val="none" w:sz="0" w:space="0" w:color="auto"/>
                        <w:bottom w:val="none" w:sz="0" w:space="0" w:color="auto"/>
                        <w:right w:val="none" w:sz="0" w:space="0" w:color="auto"/>
                      </w:divBdr>
                    </w:div>
                  </w:divsChild>
                </w:div>
                <w:div w:id="724109205">
                  <w:marLeft w:val="0"/>
                  <w:marRight w:val="0"/>
                  <w:marTop w:val="0"/>
                  <w:marBottom w:val="0"/>
                  <w:divBdr>
                    <w:top w:val="none" w:sz="0" w:space="0" w:color="auto"/>
                    <w:left w:val="none" w:sz="0" w:space="0" w:color="auto"/>
                    <w:bottom w:val="none" w:sz="0" w:space="0" w:color="auto"/>
                    <w:right w:val="none" w:sz="0" w:space="0" w:color="auto"/>
                  </w:divBdr>
                  <w:divsChild>
                    <w:div w:id="1642882039">
                      <w:marLeft w:val="0"/>
                      <w:marRight w:val="0"/>
                      <w:marTop w:val="0"/>
                      <w:marBottom w:val="0"/>
                      <w:divBdr>
                        <w:top w:val="none" w:sz="0" w:space="0" w:color="auto"/>
                        <w:left w:val="none" w:sz="0" w:space="0" w:color="auto"/>
                        <w:bottom w:val="none" w:sz="0" w:space="0" w:color="auto"/>
                        <w:right w:val="none" w:sz="0" w:space="0" w:color="auto"/>
                      </w:divBdr>
                    </w:div>
                  </w:divsChild>
                </w:div>
                <w:div w:id="724109787">
                  <w:marLeft w:val="0"/>
                  <w:marRight w:val="0"/>
                  <w:marTop w:val="0"/>
                  <w:marBottom w:val="0"/>
                  <w:divBdr>
                    <w:top w:val="none" w:sz="0" w:space="0" w:color="auto"/>
                    <w:left w:val="none" w:sz="0" w:space="0" w:color="auto"/>
                    <w:bottom w:val="none" w:sz="0" w:space="0" w:color="auto"/>
                    <w:right w:val="none" w:sz="0" w:space="0" w:color="auto"/>
                  </w:divBdr>
                  <w:divsChild>
                    <w:div w:id="868376427">
                      <w:marLeft w:val="0"/>
                      <w:marRight w:val="0"/>
                      <w:marTop w:val="0"/>
                      <w:marBottom w:val="0"/>
                      <w:divBdr>
                        <w:top w:val="none" w:sz="0" w:space="0" w:color="auto"/>
                        <w:left w:val="none" w:sz="0" w:space="0" w:color="auto"/>
                        <w:bottom w:val="none" w:sz="0" w:space="0" w:color="auto"/>
                        <w:right w:val="none" w:sz="0" w:space="0" w:color="auto"/>
                      </w:divBdr>
                    </w:div>
                  </w:divsChild>
                </w:div>
                <w:div w:id="728963615">
                  <w:marLeft w:val="0"/>
                  <w:marRight w:val="0"/>
                  <w:marTop w:val="0"/>
                  <w:marBottom w:val="0"/>
                  <w:divBdr>
                    <w:top w:val="none" w:sz="0" w:space="0" w:color="auto"/>
                    <w:left w:val="none" w:sz="0" w:space="0" w:color="auto"/>
                    <w:bottom w:val="none" w:sz="0" w:space="0" w:color="auto"/>
                    <w:right w:val="none" w:sz="0" w:space="0" w:color="auto"/>
                  </w:divBdr>
                  <w:divsChild>
                    <w:div w:id="1953977504">
                      <w:marLeft w:val="0"/>
                      <w:marRight w:val="0"/>
                      <w:marTop w:val="0"/>
                      <w:marBottom w:val="0"/>
                      <w:divBdr>
                        <w:top w:val="none" w:sz="0" w:space="0" w:color="auto"/>
                        <w:left w:val="none" w:sz="0" w:space="0" w:color="auto"/>
                        <w:bottom w:val="none" w:sz="0" w:space="0" w:color="auto"/>
                        <w:right w:val="none" w:sz="0" w:space="0" w:color="auto"/>
                      </w:divBdr>
                    </w:div>
                  </w:divsChild>
                </w:div>
                <w:div w:id="730274975">
                  <w:marLeft w:val="0"/>
                  <w:marRight w:val="0"/>
                  <w:marTop w:val="0"/>
                  <w:marBottom w:val="0"/>
                  <w:divBdr>
                    <w:top w:val="none" w:sz="0" w:space="0" w:color="auto"/>
                    <w:left w:val="none" w:sz="0" w:space="0" w:color="auto"/>
                    <w:bottom w:val="none" w:sz="0" w:space="0" w:color="auto"/>
                    <w:right w:val="none" w:sz="0" w:space="0" w:color="auto"/>
                  </w:divBdr>
                  <w:divsChild>
                    <w:div w:id="2112235053">
                      <w:marLeft w:val="0"/>
                      <w:marRight w:val="0"/>
                      <w:marTop w:val="0"/>
                      <w:marBottom w:val="0"/>
                      <w:divBdr>
                        <w:top w:val="none" w:sz="0" w:space="0" w:color="auto"/>
                        <w:left w:val="none" w:sz="0" w:space="0" w:color="auto"/>
                        <w:bottom w:val="none" w:sz="0" w:space="0" w:color="auto"/>
                        <w:right w:val="none" w:sz="0" w:space="0" w:color="auto"/>
                      </w:divBdr>
                    </w:div>
                  </w:divsChild>
                </w:div>
                <w:div w:id="736440868">
                  <w:marLeft w:val="0"/>
                  <w:marRight w:val="0"/>
                  <w:marTop w:val="0"/>
                  <w:marBottom w:val="0"/>
                  <w:divBdr>
                    <w:top w:val="none" w:sz="0" w:space="0" w:color="auto"/>
                    <w:left w:val="none" w:sz="0" w:space="0" w:color="auto"/>
                    <w:bottom w:val="none" w:sz="0" w:space="0" w:color="auto"/>
                    <w:right w:val="none" w:sz="0" w:space="0" w:color="auto"/>
                  </w:divBdr>
                  <w:divsChild>
                    <w:div w:id="484206714">
                      <w:marLeft w:val="0"/>
                      <w:marRight w:val="0"/>
                      <w:marTop w:val="0"/>
                      <w:marBottom w:val="0"/>
                      <w:divBdr>
                        <w:top w:val="none" w:sz="0" w:space="0" w:color="auto"/>
                        <w:left w:val="none" w:sz="0" w:space="0" w:color="auto"/>
                        <w:bottom w:val="none" w:sz="0" w:space="0" w:color="auto"/>
                        <w:right w:val="none" w:sz="0" w:space="0" w:color="auto"/>
                      </w:divBdr>
                    </w:div>
                  </w:divsChild>
                </w:div>
                <w:div w:id="742026331">
                  <w:marLeft w:val="0"/>
                  <w:marRight w:val="0"/>
                  <w:marTop w:val="0"/>
                  <w:marBottom w:val="0"/>
                  <w:divBdr>
                    <w:top w:val="none" w:sz="0" w:space="0" w:color="auto"/>
                    <w:left w:val="none" w:sz="0" w:space="0" w:color="auto"/>
                    <w:bottom w:val="none" w:sz="0" w:space="0" w:color="auto"/>
                    <w:right w:val="none" w:sz="0" w:space="0" w:color="auto"/>
                  </w:divBdr>
                  <w:divsChild>
                    <w:div w:id="1537935555">
                      <w:marLeft w:val="0"/>
                      <w:marRight w:val="0"/>
                      <w:marTop w:val="0"/>
                      <w:marBottom w:val="0"/>
                      <w:divBdr>
                        <w:top w:val="none" w:sz="0" w:space="0" w:color="auto"/>
                        <w:left w:val="none" w:sz="0" w:space="0" w:color="auto"/>
                        <w:bottom w:val="none" w:sz="0" w:space="0" w:color="auto"/>
                        <w:right w:val="none" w:sz="0" w:space="0" w:color="auto"/>
                      </w:divBdr>
                    </w:div>
                  </w:divsChild>
                </w:div>
                <w:div w:id="744455352">
                  <w:marLeft w:val="0"/>
                  <w:marRight w:val="0"/>
                  <w:marTop w:val="0"/>
                  <w:marBottom w:val="0"/>
                  <w:divBdr>
                    <w:top w:val="none" w:sz="0" w:space="0" w:color="auto"/>
                    <w:left w:val="none" w:sz="0" w:space="0" w:color="auto"/>
                    <w:bottom w:val="none" w:sz="0" w:space="0" w:color="auto"/>
                    <w:right w:val="none" w:sz="0" w:space="0" w:color="auto"/>
                  </w:divBdr>
                  <w:divsChild>
                    <w:div w:id="1139229021">
                      <w:marLeft w:val="0"/>
                      <w:marRight w:val="0"/>
                      <w:marTop w:val="0"/>
                      <w:marBottom w:val="0"/>
                      <w:divBdr>
                        <w:top w:val="none" w:sz="0" w:space="0" w:color="auto"/>
                        <w:left w:val="none" w:sz="0" w:space="0" w:color="auto"/>
                        <w:bottom w:val="none" w:sz="0" w:space="0" w:color="auto"/>
                        <w:right w:val="none" w:sz="0" w:space="0" w:color="auto"/>
                      </w:divBdr>
                    </w:div>
                  </w:divsChild>
                </w:div>
                <w:div w:id="758870474">
                  <w:marLeft w:val="0"/>
                  <w:marRight w:val="0"/>
                  <w:marTop w:val="0"/>
                  <w:marBottom w:val="0"/>
                  <w:divBdr>
                    <w:top w:val="none" w:sz="0" w:space="0" w:color="auto"/>
                    <w:left w:val="none" w:sz="0" w:space="0" w:color="auto"/>
                    <w:bottom w:val="none" w:sz="0" w:space="0" w:color="auto"/>
                    <w:right w:val="none" w:sz="0" w:space="0" w:color="auto"/>
                  </w:divBdr>
                  <w:divsChild>
                    <w:div w:id="20936396">
                      <w:marLeft w:val="0"/>
                      <w:marRight w:val="0"/>
                      <w:marTop w:val="0"/>
                      <w:marBottom w:val="0"/>
                      <w:divBdr>
                        <w:top w:val="none" w:sz="0" w:space="0" w:color="auto"/>
                        <w:left w:val="none" w:sz="0" w:space="0" w:color="auto"/>
                        <w:bottom w:val="none" w:sz="0" w:space="0" w:color="auto"/>
                        <w:right w:val="none" w:sz="0" w:space="0" w:color="auto"/>
                      </w:divBdr>
                    </w:div>
                  </w:divsChild>
                </w:div>
                <w:div w:id="760836957">
                  <w:marLeft w:val="0"/>
                  <w:marRight w:val="0"/>
                  <w:marTop w:val="0"/>
                  <w:marBottom w:val="0"/>
                  <w:divBdr>
                    <w:top w:val="none" w:sz="0" w:space="0" w:color="auto"/>
                    <w:left w:val="none" w:sz="0" w:space="0" w:color="auto"/>
                    <w:bottom w:val="none" w:sz="0" w:space="0" w:color="auto"/>
                    <w:right w:val="none" w:sz="0" w:space="0" w:color="auto"/>
                  </w:divBdr>
                  <w:divsChild>
                    <w:div w:id="1662193703">
                      <w:marLeft w:val="0"/>
                      <w:marRight w:val="0"/>
                      <w:marTop w:val="0"/>
                      <w:marBottom w:val="0"/>
                      <w:divBdr>
                        <w:top w:val="none" w:sz="0" w:space="0" w:color="auto"/>
                        <w:left w:val="none" w:sz="0" w:space="0" w:color="auto"/>
                        <w:bottom w:val="none" w:sz="0" w:space="0" w:color="auto"/>
                        <w:right w:val="none" w:sz="0" w:space="0" w:color="auto"/>
                      </w:divBdr>
                    </w:div>
                  </w:divsChild>
                </w:div>
                <w:div w:id="767501884">
                  <w:marLeft w:val="0"/>
                  <w:marRight w:val="0"/>
                  <w:marTop w:val="0"/>
                  <w:marBottom w:val="0"/>
                  <w:divBdr>
                    <w:top w:val="none" w:sz="0" w:space="0" w:color="auto"/>
                    <w:left w:val="none" w:sz="0" w:space="0" w:color="auto"/>
                    <w:bottom w:val="none" w:sz="0" w:space="0" w:color="auto"/>
                    <w:right w:val="none" w:sz="0" w:space="0" w:color="auto"/>
                  </w:divBdr>
                  <w:divsChild>
                    <w:div w:id="443816863">
                      <w:marLeft w:val="0"/>
                      <w:marRight w:val="0"/>
                      <w:marTop w:val="0"/>
                      <w:marBottom w:val="0"/>
                      <w:divBdr>
                        <w:top w:val="none" w:sz="0" w:space="0" w:color="auto"/>
                        <w:left w:val="none" w:sz="0" w:space="0" w:color="auto"/>
                        <w:bottom w:val="none" w:sz="0" w:space="0" w:color="auto"/>
                        <w:right w:val="none" w:sz="0" w:space="0" w:color="auto"/>
                      </w:divBdr>
                    </w:div>
                  </w:divsChild>
                </w:div>
                <w:div w:id="778183279">
                  <w:marLeft w:val="0"/>
                  <w:marRight w:val="0"/>
                  <w:marTop w:val="0"/>
                  <w:marBottom w:val="0"/>
                  <w:divBdr>
                    <w:top w:val="none" w:sz="0" w:space="0" w:color="auto"/>
                    <w:left w:val="none" w:sz="0" w:space="0" w:color="auto"/>
                    <w:bottom w:val="none" w:sz="0" w:space="0" w:color="auto"/>
                    <w:right w:val="none" w:sz="0" w:space="0" w:color="auto"/>
                  </w:divBdr>
                  <w:divsChild>
                    <w:div w:id="852303085">
                      <w:marLeft w:val="0"/>
                      <w:marRight w:val="0"/>
                      <w:marTop w:val="0"/>
                      <w:marBottom w:val="0"/>
                      <w:divBdr>
                        <w:top w:val="none" w:sz="0" w:space="0" w:color="auto"/>
                        <w:left w:val="none" w:sz="0" w:space="0" w:color="auto"/>
                        <w:bottom w:val="none" w:sz="0" w:space="0" w:color="auto"/>
                        <w:right w:val="none" w:sz="0" w:space="0" w:color="auto"/>
                      </w:divBdr>
                    </w:div>
                  </w:divsChild>
                </w:div>
                <w:div w:id="796800227">
                  <w:marLeft w:val="0"/>
                  <w:marRight w:val="0"/>
                  <w:marTop w:val="0"/>
                  <w:marBottom w:val="0"/>
                  <w:divBdr>
                    <w:top w:val="none" w:sz="0" w:space="0" w:color="auto"/>
                    <w:left w:val="none" w:sz="0" w:space="0" w:color="auto"/>
                    <w:bottom w:val="none" w:sz="0" w:space="0" w:color="auto"/>
                    <w:right w:val="none" w:sz="0" w:space="0" w:color="auto"/>
                  </w:divBdr>
                  <w:divsChild>
                    <w:div w:id="2052921040">
                      <w:marLeft w:val="0"/>
                      <w:marRight w:val="0"/>
                      <w:marTop w:val="0"/>
                      <w:marBottom w:val="0"/>
                      <w:divBdr>
                        <w:top w:val="none" w:sz="0" w:space="0" w:color="auto"/>
                        <w:left w:val="none" w:sz="0" w:space="0" w:color="auto"/>
                        <w:bottom w:val="none" w:sz="0" w:space="0" w:color="auto"/>
                        <w:right w:val="none" w:sz="0" w:space="0" w:color="auto"/>
                      </w:divBdr>
                    </w:div>
                  </w:divsChild>
                </w:div>
                <w:div w:id="821312824">
                  <w:marLeft w:val="0"/>
                  <w:marRight w:val="0"/>
                  <w:marTop w:val="0"/>
                  <w:marBottom w:val="0"/>
                  <w:divBdr>
                    <w:top w:val="none" w:sz="0" w:space="0" w:color="auto"/>
                    <w:left w:val="none" w:sz="0" w:space="0" w:color="auto"/>
                    <w:bottom w:val="none" w:sz="0" w:space="0" w:color="auto"/>
                    <w:right w:val="none" w:sz="0" w:space="0" w:color="auto"/>
                  </w:divBdr>
                  <w:divsChild>
                    <w:div w:id="1214925543">
                      <w:marLeft w:val="0"/>
                      <w:marRight w:val="0"/>
                      <w:marTop w:val="0"/>
                      <w:marBottom w:val="0"/>
                      <w:divBdr>
                        <w:top w:val="none" w:sz="0" w:space="0" w:color="auto"/>
                        <w:left w:val="none" w:sz="0" w:space="0" w:color="auto"/>
                        <w:bottom w:val="none" w:sz="0" w:space="0" w:color="auto"/>
                        <w:right w:val="none" w:sz="0" w:space="0" w:color="auto"/>
                      </w:divBdr>
                    </w:div>
                  </w:divsChild>
                </w:div>
                <w:div w:id="822041433">
                  <w:marLeft w:val="0"/>
                  <w:marRight w:val="0"/>
                  <w:marTop w:val="0"/>
                  <w:marBottom w:val="0"/>
                  <w:divBdr>
                    <w:top w:val="none" w:sz="0" w:space="0" w:color="auto"/>
                    <w:left w:val="none" w:sz="0" w:space="0" w:color="auto"/>
                    <w:bottom w:val="none" w:sz="0" w:space="0" w:color="auto"/>
                    <w:right w:val="none" w:sz="0" w:space="0" w:color="auto"/>
                  </w:divBdr>
                  <w:divsChild>
                    <w:div w:id="1921712700">
                      <w:marLeft w:val="0"/>
                      <w:marRight w:val="0"/>
                      <w:marTop w:val="0"/>
                      <w:marBottom w:val="0"/>
                      <w:divBdr>
                        <w:top w:val="none" w:sz="0" w:space="0" w:color="auto"/>
                        <w:left w:val="none" w:sz="0" w:space="0" w:color="auto"/>
                        <w:bottom w:val="none" w:sz="0" w:space="0" w:color="auto"/>
                        <w:right w:val="none" w:sz="0" w:space="0" w:color="auto"/>
                      </w:divBdr>
                    </w:div>
                  </w:divsChild>
                </w:div>
                <w:div w:id="838424619">
                  <w:marLeft w:val="0"/>
                  <w:marRight w:val="0"/>
                  <w:marTop w:val="0"/>
                  <w:marBottom w:val="0"/>
                  <w:divBdr>
                    <w:top w:val="none" w:sz="0" w:space="0" w:color="auto"/>
                    <w:left w:val="none" w:sz="0" w:space="0" w:color="auto"/>
                    <w:bottom w:val="none" w:sz="0" w:space="0" w:color="auto"/>
                    <w:right w:val="none" w:sz="0" w:space="0" w:color="auto"/>
                  </w:divBdr>
                  <w:divsChild>
                    <w:div w:id="765996900">
                      <w:marLeft w:val="0"/>
                      <w:marRight w:val="0"/>
                      <w:marTop w:val="0"/>
                      <w:marBottom w:val="0"/>
                      <w:divBdr>
                        <w:top w:val="none" w:sz="0" w:space="0" w:color="auto"/>
                        <w:left w:val="none" w:sz="0" w:space="0" w:color="auto"/>
                        <w:bottom w:val="none" w:sz="0" w:space="0" w:color="auto"/>
                        <w:right w:val="none" w:sz="0" w:space="0" w:color="auto"/>
                      </w:divBdr>
                    </w:div>
                  </w:divsChild>
                </w:div>
                <w:div w:id="847333911">
                  <w:marLeft w:val="0"/>
                  <w:marRight w:val="0"/>
                  <w:marTop w:val="0"/>
                  <w:marBottom w:val="0"/>
                  <w:divBdr>
                    <w:top w:val="none" w:sz="0" w:space="0" w:color="auto"/>
                    <w:left w:val="none" w:sz="0" w:space="0" w:color="auto"/>
                    <w:bottom w:val="none" w:sz="0" w:space="0" w:color="auto"/>
                    <w:right w:val="none" w:sz="0" w:space="0" w:color="auto"/>
                  </w:divBdr>
                  <w:divsChild>
                    <w:div w:id="522986370">
                      <w:marLeft w:val="0"/>
                      <w:marRight w:val="0"/>
                      <w:marTop w:val="0"/>
                      <w:marBottom w:val="0"/>
                      <w:divBdr>
                        <w:top w:val="none" w:sz="0" w:space="0" w:color="auto"/>
                        <w:left w:val="none" w:sz="0" w:space="0" w:color="auto"/>
                        <w:bottom w:val="none" w:sz="0" w:space="0" w:color="auto"/>
                        <w:right w:val="none" w:sz="0" w:space="0" w:color="auto"/>
                      </w:divBdr>
                    </w:div>
                  </w:divsChild>
                </w:div>
                <w:div w:id="847670567">
                  <w:marLeft w:val="0"/>
                  <w:marRight w:val="0"/>
                  <w:marTop w:val="0"/>
                  <w:marBottom w:val="0"/>
                  <w:divBdr>
                    <w:top w:val="none" w:sz="0" w:space="0" w:color="auto"/>
                    <w:left w:val="none" w:sz="0" w:space="0" w:color="auto"/>
                    <w:bottom w:val="none" w:sz="0" w:space="0" w:color="auto"/>
                    <w:right w:val="none" w:sz="0" w:space="0" w:color="auto"/>
                  </w:divBdr>
                  <w:divsChild>
                    <w:div w:id="1930773530">
                      <w:marLeft w:val="0"/>
                      <w:marRight w:val="0"/>
                      <w:marTop w:val="0"/>
                      <w:marBottom w:val="0"/>
                      <w:divBdr>
                        <w:top w:val="none" w:sz="0" w:space="0" w:color="auto"/>
                        <w:left w:val="none" w:sz="0" w:space="0" w:color="auto"/>
                        <w:bottom w:val="none" w:sz="0" w:space="0" w:color="auto"/>
                        <w:right w:val="none" w:sz="0" w:space="0" w:color="auto"/>
                      </w:divBdr>
                    </w:div>
                  </w:divsChild>
                </w:div>
                <w:div w:id="852382167">
                  <w:marLeft w:val="0"/>
                  <w:marRight w:val="0"/>
                  <w:marTop w:val="0"/>
                  <w:marBottom w:val="0"/>
                  <w:divBdr>
                    <w:top w:val="none" w:sz="0" w:space="0" w:color="auto"/>
                    <w:left w:val="none" w:sz="0" w:space="0" w:color="auto"/>
                    <w:bottom w:val="none" w:sz="0" w:space="0" w:color="auto"/>
                    <w:right w:val="none" w:sz="0" w:space="0" w:color="auto"/>
                  </w:divBdr>
                  <w:divsChild>
                    <w:div w:id="1379671243">
                      <w:marLeft w:val="0"/>
                      <w:marRight w:val="0"/>
                      <w:marTop w:val="0"/>
                      <w:marBottom w:val="0"/>
                      <w:divBdr>
                        <w:top w:val="none" w:sz="0" w:space="0" w:color="auto"/>
                        <w:left w:val="none" w:sz="0" w:space="0" w:color="auto"/>
                        <w:bottom w:val="none" w:sz="0" w:space="0" w:color="auto"/>
                        <w:right w:val="none" w:sz="0" w:space="0" w:color="auto"/>
                      </w:divBdr>
                    </w:div>
                  </w:divsChild>
                </w:div>
                <w:div w:id="856771941">
                  <w:marLeft w:val="0"/>
                  <w:marRight w:val="0"/>
                  <w:marTop w:val="0"/>
                  <w:marBottom w:val="0"/>
                  <w:divBdr>
                    <w:top w:val="none" w:sz="0" w:space="0" w:color="auto"/>
                    <w:left w:val="none" w:sz="0" w:space="0" w:color="auto"/>
                    <w:bottom w:val="none" w:sz="0" w:space="0" w:color="auto"/>
                    <w:right w:val="none" w:sz="0" w:space="0" w:color="auto"/>
                  </w:divBdr>
                  <w:divsChild>
                    <w:div w:id="490609040">
                      <w:marLeft w:val="0"/>
                      <w:marRight w:val="0"/>
                      <w:marTop w:val="0"/>
                      <w:marBottom w:val="0"/>
                      <w:divBdr>
                        <w:top w:val="none" w:sz="0" w:space="0" w:color="auto"/>
                        <w:left w:val="none" w:sz="0" w:space="0" w:color="auto"/>
                        <w:bottom w:val="none" w:sz="0" w:space="0" w:color="auto"/>
                        <w:right w:val="none" w:sz="0" w:space="0" w:color="auto"/>
                      </w:divBdr>
                    </w:div>
                  </w:divsChild>
                </w:div>
                <w:div w:id="875117212">
                  <w:marLeft w:val="0"/>
                  <w:marRight w:val="0"/>
                  <w:marTop w:val="0"/>
                  <w:marBottom w:val="0"/>
                  <w:divBdr>
                    <w:top w:val="none" w:sz="0" w:space="0" w:color="auto"/>
                    <w:left w:val="none" w:sz="0" w:space="0" w:color="auto"/>
                    <w:bottom w:val="none" w:sz="0" w:space="0" w:color="auto"/>
                    <w:right w:val="none" w:sz="0" w:space="0" w:color="auto"/>
                  </w:divBdr>
                  <w:divsChild>
                    <w:div w:id="658969272">
                      <w:marLeft w:val="0"/>
                      <w:marRight w:val="0"/>
                      <w:marTop w:val="0"/>
                      <w:marBottom w:val="0"/>
                      <w:divBdr>
                        <w:top w:val="none" w:sz="0" w:space="0" w:color="auto"/>
                        <w:left w:val="none" w:sz="0" w:space="0" w:color="auto"/>
                        <w:bottom w:val="none" w:sz="0" w:space="0" w:color="auto"/>
                        <w:right w:val="none" w:sz="0" w:space="0" w:color="auto"/>
                      </w:divBdr>
                    </w:div>
                  </w:divsChild>
                </w:div>
                <w:div w:id="902525144">
                  <w:marLeft w:val="0"/>
                  <w:marRight w:val="0"/>
                  <w:marTop w:val="0"/>
                  <w:marBottom w:val="0"/>
                  <w:divBdr>
                    <w:top w:val="none" w:sz="0" w:space="0" w:color="auto"/>
                    <w:left w:val="none" w:sz="0" w:space="0" w:color="auto"/>
                    <w:bottom w:val="none" w:sz="0" w:space="0" w:color="auto"/>
                    <w:right w:val="none" w:sz="0" w:space="0" w:color="auto"/>
                  </w:divBdr>
                  <w:divsChild>
                    <w:div w:id="1883057804">
                      <w:marLeft w:val="0"/>
                      <w:marRight w:val="0"/>
                      <w:marTop w:val="0"/>
                      <w:marBottom w:val="0"/>
                      <w:divBdr>
                        <w:top w:val="none" w:sz="0" w:space="0" w:color="auto"/>
                        <w:left w:val="none" w:sz="0" w:space="0" w:color="auto"/>
                        <w:bottom w:val="none" w:sz="0" w:space="0" w:color="auto"/>
                        <w:right w:val="none" w:sz="0" w:space="0" w:color="auto"/>
                      </w:divBdr>
                    </w:div>
                  </w:divsChild>
                </w:div>
                <w:div w:id="924798872">
                  <w:marLeft w:val="0"/>
                  <w:marRight w:val="0"/>
                  <w:marTop w:val="0"/>
                  <w:marBottom w:val="0"/>
                  <w:divBdr>
                    <w:top w:val="none" w:sz="0" w:space="0" w:color="auto"/>
                    <w:left w:val="none" w:sz="0" w:space="0" w:color="auto"/>
                    <w:bottom w:val="none" w:sz="0" w:space="0" w:color="auto"/>
                    <w:right w:val="none" w:sz="0" w:space="0" w:color="auto"/>
                  </w:divBdr>
                  <w:divsChild>
                    <w:div w:id="335114179">
                      <w:marLeft w:val="0"/>
                      <w:marRight w:val="0"/>
                      <w:marTop w:val="0"/>
                      <w:marBottom w:val="0"/>
                      <w:divBdr>
                        <w:top w:val="none" w:sz="0" w:space="0" w:color="auto"/>
                        <w:left w:val="none" w:sz="0" w:space="0" w:color="auto"/>
                        <w:bottom w:val="none" w:sz="0" w:space="0" w:color="auto"/>
                        <w:right w:val="none" w:sz="0" w:space="0" w:color="auto"/>
                      </w:divBdr>
                    </w:div>
                  </w:divsChild>
                </w:div>
                <w:div w:id="936641321">
                  <w:marLeft w:val="0"/>
                  <w:marRight w:val="0"/>
                  <w:marTop w:val="0"/>
                  <w:marBottom w:val="0"/>
                  <w:divBdr>
                    <w:top w:val="none" w:sz="0" w:space="0" w:color="auto"/>
                    <w:left w:val="none" w:sz="0" w:space="0" w:color="auto"/>
                    <w:bottom w:val="none" w:sz="0" w:space="0" w:color="auto"/>
                    <w:right w:val="none" w:sz="0" w:space="0" w:color="auto"/>
                  </w:divBdr>
                  <w:divsChild>
                    <w:div w:id="529223203">
                      <w:marLeft w:val="0"/>
                      <w:marRight w:val="0"/>
                      <w:marTop w:val="0"/>
                      <w:marBottom w:val="0"/>
                      <w:divBdr>
                        <w:top w:val="none" w:sz="0" w:space="0" w:color="auto"/>
                        <w:left w:val="none" w:sz="0" w:space="0" w:color="auto"/>
                        <w:bottom w:val="none" w:sz="0" w:space="0" w:color="auto"/>
                        <w:right w:val="none" w:sz="0" w:space="0" w:color="auto"/>
                      </w:divBdr>
                    </w:div>
                  </w:divsChild>
                </w:div>
                <w:div w:id="949822807">
                  <w:marLeft w:val="0"/>
                  <w:marRight w:val="0"/>
                  <w:marTop w:val="0"/>
                  <w:marBottom w:val="0"/>
                  <w:divBdr>
                    <w:top w:val="none" w:sz="0" w:space="0" w:color="auto"/>
                    <w:left w:val="none" w:sz="0" w:space="0" w:color="auto"/>
                    <w:bottom w:val="none" w:sz="0" w:space="0" w:color="auto"/>
                    <w:right w:val="none" w:sz="0" w:space="0" w:color="auto"/>
                  </w:divBdr>
                  <w:divsChild>
                    <w:div w:id="713584693">
                      <w:marLeft w:val="0"/>
                      <w:marRight w:val="0"/>
                      <w:marTop w:val="0"/>
                      <w:marBottom w:val="0"/>
                      <w:divBdr>
                        <w:top w:val="none" w:sz="0" w:space="0" w:color="auto"/>
                        <w:left w:val="none" w:sz="0" w:space="0" w:color="auto"/>
                        <w:bottom w:val="none" w:sz="0" w:space="0" w:color="auto"/>
                        <w:right w:val="none" w:sz="0" w:space="0" w:color="auto"/>
                      </w:divBdr>
                    </w:div>
                  </w:divsChild>
                </w:div>
                <w:div w:id="961422165">
                  <w:marLeft w:val="0"/>
                  <w:marRight w:val="0"/>
                  <w:marTop w:val="0"/>
                  <w:marBottom w:val="0"/>
                  <w:divBdr>
                    <w:top w:val="none" w:sz="0" w:space="0" w:color="auto"/>
                    <w:left w:val="none" w:sz="0" w:space="0" w:color="auto"/>
                    <w:bottom w:val="none" w:sz="0" w:space="0" w:color="auto"/>
                    <w:right w:val="none" w:sz="0" w:space="0" w:color="auto"/>
                  </w:divBdr>
                  <w:divsChild>
                    <w:div w:id="1155607299">
                      <w:marLeft w:val="0"/>
                      <w:marRight w:val="0"/>
                      <w:marTop w:val="0"/>
                      <w:marBottom w:val="0"/>
                      <w:divBdr>
                        <w:top w:val="none" w:sz="0" w:space="0" w:color="auto"/>
                        <w:left w:val="none" w:sz="0" w:space="0" w:color="auto"/>
                        <w:bottom w:val="none" w:sz="0" w:space="0" w:color="auto"/>
                        <w:right w:val="none" w:sz="0" w:space="0" w:color="auto"/>
                      </w:divBdr>
                    </w:div>
                  </w:divsChild>
                </w:div>
                <w:div w:id="973292370">
                  <w:marLeft w:val="0"/>
                  <w:marRight w:val="0"/>
                  <w:marTop w:val="0"/>
                  <w:marBottom w:val="0"/>
                  <w:divBdr>
                    <w:top w:val="none" w:sz="0" w:space="0" w:color="auto"/>
                    <w:left w:val="none" w:sz="0" w:space="0" w:color="auto"/>
                    <w:bottom w:val="none" w:sz="0" w:space="0" w:color="auto"/>
                    <w:right w:val="none" w:sz="0" w:space="0" w:color="auto"/>
                  </w:divBdr>
                  <w:divsChild>
                    <w:div w:id="235558743">
                      <w:marLeft w:val="0"/>
                      <w:marRight w:val="0"/>
                      <w:marTop w:val="0"/>
                      <w:marBottom w:val="0"/>
                      <w:divBdr>
                        <w:top w:val="none" w:sz="0" w:space="0" w:color="auto"/>
                        <w:left w:val="none" w:sz="0" w:space="0" w:color="auto"/>
                        <w:bottom w:val="none" w:sz="0" w:space="0" w:color="auto"/>
                        <w:right w:val="none" w:sz="0" w:space="0" w:color="auto"/>
                      </w:divBdr>
                    </w:div>
                  </w:divsChild>
                </w:div>
                <w:div w:id="998777604">
                  <w:marLeft w:val="0"/>
                  <w:marRight w:val="0"/>
                  <w:marTop w:val="0"/>
                  <w:marBottom w:val="0"/>
                  <w:divBdr>
                    <w:top w:val="none" w:sz="0" w:space="0" w:color="auto"/>
                    <w:left w:val="none" w:sz="0" w:space="0" w:color="auto"/>
                    <w:bottom w:val="none" w:sz="0" w:space="0" w:color="auto"/>
                    <w:right w:val="none" w:sz="0" w:space="0" w:color="auto"/>
                  </w:divBdr>
                  <w:divsChild>
                    <w:div w:id="257518387">
                      <w:marLeft w:val="0"/>
                      <w:marRight w:val="0"/>
                      <w:marTop w:val="0"/>
                      <w:marBottom w:val="0"/>
                      <w:divBdr>
                        <w:top w:val="none" w:sz="0" w:space="0" w:color="auto"/>
                        <w:left w:val="none" w:sz="0" w:space="0" w:color="auto"/>
                        <w:bottom w:val="none" w:sz="0" w:space="0" w:color="auto"/>
                        <w:right w:val="none" w:sz="0" w:space="0" w:color="auto"/>
                      </w:divBdr>
                    </w:div>
                  </w:divsChild>
                </w:div>
                <w:div w:id="1031227579">
                  <w:marLeft w:val="0"/>
                  <w:marRight w:val="0"/>
                  <w:marTop w:val="0"/>
                  <w:marBottom w:val="0"/>
                  <w:divBdr>
                    <w:top w:val="none" w:sz="0" w:space="0" w:color="auto"/>
                    <w:left w:val="none" w:sz="0" w:space="0" w:color="auto"/>
                    <w:bottom w:val="none" w:sz="0" w:space="0" w:color="auto"/>
                    <w:right w:val="none" w:sz="0" w:space="0" w:color="auto"/>
                  </w:divBdr>
                  <w:divsChild>
                    <w:div w:id="1731270015">
                      <w:marLeft w:val="0"/>
                      <w:marRight w:val="0"/>
                      <w:marTop w:val="0"/>
                      <w:marBottom w:val="0"/>
                      <w:divBdr>
                        <w:top w:val="none" w:sz="0" w:space="0" w:color="auto"/>
                        <w:left w:val="none" w:sz="0" w:space="0" w:color="auto"/>
                        <w:bottom w:val="none" w:sz="0" w:space="0" w:color="auto"/>
                        <w:right w:val="none" w:sz="0" w:space="0" w:color="auto"/>
                      </w:divBdr>
                    </w:div>
                  </w:divsChild>
                </w:div>
                <w:div w:id="1039472170">
                  <w:marLeft w:val="0"/>
                  <w:marRight w:val="0"/>
                  <w:marTop w:val="0"/>
                  <w:marBottom w:val="0"/>
                  <w:divBdr>
                    <w:top w:val="none" w:sz="0" w:space="0" w:color="auto"/>
                    <w:left w:val="none" w:sz="0" w:space="0" w:color="auto"/>
                    <w:bottom w:val="none" w:sz="0" w:space="0" w:color="auto"/>
                    <w:right w:val="none" w:sz="0" w:space="0" w:color="auto"/>
                  </w:divBdr>
                  <w:divsChild>
                    <w:div w:id="649553992">
                      <w:marLeft w:val="0"/>
                      <w:marRight w:val="0"/>
                      <w:marTop w:val="0"/>
                      <w:marBottom w:val="0"/>
                      <w:divBdr>
                        <w:top w:val="none" w:sz="0" w:space="0" w:color="auto"/>
                        <w:left w:val="none" w:sz="0" w:space="0" w:color="auto"/>
                        <w:bottom w:val="none" w:sz="0" w:space="0" w:color="auto"/>
                        <w:right w:val="none" w:sz="0" w:space="0" w:color="auto"/>
                      </w:divBdr>
                    </w:div>
                  </w:divsChild>
                </w:div>
                <w:div w:id="1075132382">
                  <w:marLeft w:val="0"/>
                  <w:marRight w:val="0"/>
                  <w:marTop w:val="0"/>
                  <w:marBottom w:val="0"/>
                  <w:divBdr>
                    <w:top w:val="none" w:sz="0" w:space="0" w:color="auto"/>
                    <w:left w:val="none" w:sz="0" w:space="0" w:color="auto"/>
                    <w:bottom w:val="none" w:sz="0" w:space="0" w:color="auto"/>
                    <w:right w:val="none" w:sz="0" w:space="0" w:color="auto"/>
                  </w:divBdr>
                  <w:divsChild>
                    <w:div w:id="2101027427">
                      <w:marLeft w:val="0"/>
                      <w:marRight w:val="0"/>
                      <w:marTop w:val="0"/>
                      <w:marBottom w:val="0"/>
                      <w:divBdr>
                        <w:top w:val="none" w:sz="0" w:space="0" w:color="auto"/>
                        <w:left w:val="none" w:sz="0" w:space="0" w:color="auto"/>
                        <w:bottom w:val="none" w:sz="0" w:space="0" w:color="auto"/>
                        <w:right w:val="none" w:sz="0" w:space="0" w:color="auto"/>
                      </w:divBdr>
                    </w:div>
                  </w:divsChild>
                </w:div>
                <w:div w:id="1109399648">
                  <w:marLeft w:val="0"/>
                  <w:marRight w:val="0"/>
                  <w:marTop w:val="0"/>
                  <w:marBottom w:val="0"/>
                  <w:divBdr>
                    <w:top w:val="none" w:sz="0" w:space="0" w:color="auto"/>
                    <w:left w:val="none" w:sz="0" w:space="0" w:color="auto"/>
                    <w:bottom w:val="none" w:sz="0" w:space="0" w:color="auto"/>
                    <w:right w:val="none" w:sz="0" w:space="0" w:color="auto"/>
                  </w:divBdr>
                  <w:divsChild>
                    <w:div w:id="597055706">
                      <w:marLeft w:val="0"/>
                      <w:marRight w:val="0"/>
                      <w:marTop w:val="0"/>
                      <w:marBottom w:val="0"/>
                      <w:divBdr>
                        <w:top w:val="none" w:sz="0" w:space="0" w:color="auto"/>
                        <w:left w:val="none" w:sz="0" w:space="0" w:color="auto"/>
                        <w:bottom w:val="none" w:sz="0" w:space="0" w:color="auto"/>
                        <w:right w:val="none" w:sz="0" w:space="0" w:color="auto"/>
                      </w:divBdr>
                    </w:div>
                  </w:divsChild>
                </w:div>
                <w:div w:id="1109737350">
                  <w:marLeft w:val="0"/>
                  <w:marRight w:val="0"/>
                  <w:marTop w:val="0"/>
                  <w:marBottom w:val="0"/>
                  <w:divBdr>
                    <w:top w:val="none" w:sz="0" w:space="0" w:color="auto"/>
                    <w:left w:val="none" w:sz="0" w:space="0" w:color="auto"/>
                    <w:bottom w:val="none" w:sz="0" w:space="0" w:color="auto"/>
                    <w:right w:val="none" w:sz="0" w:space="0" w:color="auto"/>
                  </w:divBdr>
                  <w:divsChild>
                    <w:div w:id="1845582272">
                      <w:marLeft w:val="0"/>
                      <w:marRight w:val="0"/>
                      <w:marTop w:val="0"/>
                      <w:marBottom w:val="0"/>
                      <w:divBdr>
                        <w:top w:val="none" w:sz="0" w:space="0" w:color="auto"/>
                        <w:left w:val="none" w:sz="0" w:space="0" w:color="auto"/>
                        <w:bottom w:val="none" w:sz="0" w:space="0" w:color="auto"/>
                        <w:right w:val="none" w:sz="0" w:space="0" w:color="auto"/>
                      </w:divBdr>
                    </w:div>
                  </w:divsChild>
                </w:div>
                <w:div w:id="1132557144">
                  <w:marLeft w:val="0"/>
                  <w:marRight w:val="0"/>
                  <w:marTop w:val="0"/>
                  <w:marBottom w:val="0"/>
                  <w:divBdr>
                    <w:top w:val="none" w:sz="0" w:space="0" w:color="auto"/>
                    <w:left w:val="none" w:sz="0" w:space="0" w:color="auto"/>
                    <w:bottom w:val="none" w:sz="0" w:space="0" w:color="auto"/>
                    <w:right w:val="none" w:sz="0" w:space="0" w:color="auto"/>
                  </w:divBdr>
                  <w:divsChild>
                    <w:div w:id="1644459688">
                      <w:marLeft w:val="0"/>
                      <w:marRight w:val="0"/>
                      <w:marTop w:val="0"/>
                      <w:marBottom w:val="0"/>
                      <w:divBdr>
                        <w:top w:val="none" w:sz="0" w:space="0" w:color="auto"/>
                        <w:left w:val="none" w:sz="0" w:space="0" w:color="auto"/>
                        <w:bottom w:val="none" w:sz="0" w:space="0" w:color="auto"/>
                        <w:right w:val="none" w:sz="0" w:space="0" w:color="auto"/>
                      </w:divBdr>
                    </w:div>
                  </w:divsChild>
                </w:div>
                <w:div w:id="1142697065">
                  <w:marLeft w:val="0"/>
                  <w:marRight w:val="0"/>
                  <w:marTop w:val="0"/>
                  <w:marBottom w:val="0"/>
                  <w:divBdr>
                    <w:top w:val="none" w:sz="0" w:space="0" w:color="auto"/>
                    <w:left w:val="none" w:sz="0" w:space="0" w:color="auto"/>
                    <w:bottom w:val="none" w:sz="0" w:space="0" w:color="auto"/>
                    <w:right w:val="none" w:sz="0" w:space="0" w:color="auto"/>
                  </w:divBdr>
                  <w:divsChild>
                    <w:div w:id="1950774248">
                      <w:marLeft w:val="0"/>
                      <w:marRight w:val="0"/>
                      <w:marTop w:val="0"/>
                      <w:marBottom w:val="0"/>
                      <w:divBdr>
                        <w:top w:val="none" w:sz="0" w:space="0" w:color="auto"/>
                        <w:left w:val="none" w:sz="0" w:space="0" w:color="auto"/>
                        <w:bottom w:val="none" w:sz="0" w:space="0" w:color="auto"/>
                        <w:right w:val="none" w:sz="0" w:space="0" w:color="auto"/>
                      </w:divBdr>
                    </w:div>
                  </w:divsChild>
                </w:div>
                <w:div w:id="1154418881">
                  <w:marLeft w:val="0"/>
                  <w:marRight w:val="0"/>
                  <w:marTop w:val="0"/>
                  <w:marBottom w:val="0"/>
                  <w:divBdr>
                    <w:top w:val="none" w:sz="0" w:space="0" w:color="auto"/>
                    <w:left w:val="none" w:sz="0" w:space="0" w:color="auto"/>
                    <w:bottom w:val="none" w:sz="0" w:space="0" w:color="auto"/>
                    <w:right w:val="none" w:sz="0" w:space="0" w:color="auto"/>
                  </w:divBdr>
                  <w:divsChild>
                    <w:div w:id="879055406">
                      <w:marLeft w:val="0"/>
                      <w:marRight w:val="0"/>
                      <w:marTop w:val="0"/>
                      <w:marBottom w:val="0"/>
                      <w:divBdr>
                        <w:top w:val="none" w:sz="0" w:space="0" w:color="auto"/>
                        <w:left w:val="none" w:sz="0" w:space="0" w:color="auto"/>
                        <w:bottom w:val="none" w:sz="0" w:space="0" w:color="auto"/>
                        <w:right w:val="none" w:sz="0" w:space="0" w:color="auto"/>
                      </w:divBdr>
                    </w:div>
                  </w:divsChild>
                </w:div>
                <w:div w:id="1164081033">
                  <w:marLeft w:val="0"/>
                  <w:marRight w:val="0"/>
                  <w:marTop w:val="0"/>
                  <w:marBottom w:val="0"/>
                  <w:divBdr>
                    <w:top w:val="none" w:sz="0" w:space="0" w:color="auto"/>
                    <w:left w:val="none" w:sz="0" w:space="0" w:color="auto"/>
                    <w:bottom w:val="none" w:sz="0" w:space="0" w:color="auto"/>
                    <w:right w:val="none" w:sz="0" w:space="0" w:color="auto"/>
                  </w:divBdr>
                  <w:divsChild>
                    <w:div w:id="1358654640">
                      <w:marLeft w:val="0"/>
                      <w:marRight w:val="0"/>
                      <w:marTop w:val="0"/>
                      <w:marBottom w:val="0"/>
                      <w:divBdr>
                        <w:top w:val="none" w:sz="0" w:space="0" w:color="auto"/>
                        <w:left w:val="none" w:sz="0" w:space="0" w:color="auto"/>
                        <w:bottom w:val="none" w:sz="0" w:space="0" w:color="auto"/>
                        <w:right w:val="none" w:sz="0" w:space="0" w:color="auto"/>
                      </w:divBdr>
                    </w:div>
                  </w:divsChild>
                </w:div>
                <w:div w:id="1169713884">
                  <w:marLeft w:val="0"/>
                  <w:marRight w:val="0"/>
                  <w:marTop w:val="0"/>
                  <w:marBottom w:val="0"/>
                  <w:divBdr>
                    <w:top w:val="none" w:sz="0" w:space="0" w:color="auto"/>
                    <w:left w:val="none" w:sz="0" w:space="0" w:color="auto"/>
                    <w:bottom w:val="none" w:sz="0" w:space="0" w:color="auto"/>
                    <w:right w:val="none" w:sz="0" w:space="0" w:color="auto"/>
                  </w:divBdr>
                  <w:divsChild>
                    <w:div w:id="488907663">
                      <w:marLeft w:val="0"/>
                      <w:marRight w:val="0"/>
                      <w:marTop w:val="0"/>
                      <w:marBottom w:val="0"/>
                      <w:divBdr>
                        <w:top w:val="none" w:sz="0" w:space="0" w:color="auto"/>
                        <w:left w:val="none" w:sz="0" w:space="0" w:color="auto"/>
                        <w:bottom w:val="none" w:sz="0" w:space="0" w:color="auto"/>
                        <w:right w:val="none" w:sz="0" w:space="0" w:color="auto"/>
                      </w:divBdr>
                    </w:div>
                  </w:divsChild>
                </w:div>
                <w:div w:id="1171527004">
                  <w:marLeft w:val="0"/>
                  <w:marRight w:val="0"/>
                  <w:marTop w:val="0"/>
                  <w:marBottom w:val="0"/>
                  <w:divBdr>
                    <w:top w:val="none" w:sz="0" w:space="0" w:color="auto"/>
                    <w:left w:val="none" w:sz="0" w:space="0" w:color="auto"/>
                    <w:bottom w:val="none" w:sz="0" w:space="0" w:color="auto"/>
                    <w:right w:val="none" w:sz="0" w:space="0" w:color="auto"/>
                  </w:divBdr>
                  <w:divsChild>
                    <w:div w:id="2105489937">
                      <w:marLeft w:val="0"/>
                      <w:marRight w:val="0"/>
                      <w:marTop w:val="0"/>
                      <w:marBottom w:val="0"/>
                      <w:divBdr>
                        <w:top w:val="none" w:sz="0" w:space="0" w:color="auto"/>
                        <w:left w:val="none" w:sz="0" w:space="0" w:color="auto"/>
                        <w:bottom w:val="none" w:sz="0" w:space="0" w:color="auto"/>
                        <w:right w:val="none" w:sz="0" w:space="0" w:color="auto"/>
                      </w:divBdr>
                    </w:div>
                  </w:divsChild>
                </w:div>
                <w:div w:id="1194226010">
                  <w:marLeft w:val="0"/>
                  <w:marRight w:val="0"/>
                  <w:marTop w:val="0"/>
                  <w:marBottom w:val="0"/>
                  <w:divBdr>
                    <w:top w:val="none" w:sz="0" w:space="0" w:color="auto"/>
                    <w:left w:val="none" w:sz="0" w:space="0" w:color="auto"/>
                    <w:bottom w:val="none" w:sz="0" w:space="0" w:color="auto"/>
                    <w:right w:val="none" w:sz="0" w:space="0" w:color="auto"/>
                  </w:divBdr>
                  <w:divsChild>
                    <w:div w:id="920216721">
                      <w:marLeft w:val="0"/>
                      <w:marRight w:val="0"/>
                      <w:marTop w:val="0"/>
                      <w:marBottom w:val="0"/>
                      <w:divBdr>
                        <w:top w:val="none" w:sz="0" w:space="0" w:color="auto"/>
                        <w:left w:val="none" w:sz="0" w:space="0" w:color="auto"/>
                        <w:bottom w:val="none" w:sz="0" w:space="0" w:color="auto"/>
                        <w:right w:val="none" w:sz="0" w:space="0" w:color="auto"/>
                      </w:divBdr>
                    </w:div>
                  </w:divsChild>
                </w:div>
                <w:div w:id="1197351194">
                  <w:marLeft w:val="0"/>
                  <w:marRight w:val="0"/>
                  <w:marTop w:val="0"/>
                  <w:marBottom w:val="0"/>
                  <w:divBdr>
                    <w:top w:val="none" w:sz="0" w:space="0" w:color="auto"/>
                    <w:left w:val="none" w:sz="0" w:space="0" w:color="auto"/>
                    <w:bottom w:val="none" w:sz="0" w:space="0" w:color="auto"/>
                    <w:right w:val="none" w:sz="0" w:space="0" w:color="auto"/>
                  </w:divBdr>
                  <w:divsChild>
                    <w:div w:id="637881841">
                      <w:marLeft w:val="0"/>
                      <w:marRight w:val="0"/>
                      <w:marTop w:val="0"/>
                      <w:marBottom w:val="0"/>
                      <w:divBdr>
                        <w:top w:val="none" w:sz="0" w:space="0" w:color="auto"/>
                        <w:left w:val="none" w:sz="0" w:space="0" w:color="auto"/>
                        <w:bottom w:val="none" w:sz="0" w:space="0" w:color="auto"/>
                        <w:right w:val="none" w:sz="0" w:space="0" w:color="auto"/>
                      </w:divBdr>
                    </w:div>
                  </w:divsChild>
                </w:div>
                <w:div w:id="1214854576">
                  <w:marLeft w:val="0"/>
                  <w:marRight w:val="0"/>
                  <w:marTop w:val="0"/>
                  <w:marBottom w:val="0"/>
                  <w:divBdr>
                    <w:top w:val="none" w:sz="0" w:space="0" w:color="auto"/>
                    <w:left w:val="none" w:sz="0" w:space="0" w:color="auto"/>
                    <w:bottom w:val="none" w:sz="0" w:space="0" w:color="auto"/>
                    <w:right w:val="none" w:sz="0" w:space="0" w:color="auto"/>
                  </w:divBdr>
                  <w:divsChild>
                    <w:div w:id="219512546">
                      <w:marLeft w:val="0"/>
                      <w:marRight w:val="0"/>
                      <w:marTop w:val="0"/>
                      <w:marBottom w:val="0"/>
                      <w:divBdr>
                        <w:top w:val="none" w:sz="0" w:space="0" w:color="auto"/>
                        <w:left w:val="none" w:sz="0" w:space="0" w:color="auto"/>
                        <w:bottom w:val="none" w:sz="0" w:space="0" w:color="auto"/>
                        <w:right w:val="none" w:sz="0" w:space="0" w:color="auto"/>
                      </w:divBdr>
                    </w:div>
                  </w:divsChild>
                </w:div>
                <w:div w:id="1220751169">
                  <w:marLeft w:val="0"/>
                  <w:marRight w:val="0"/>
                  <w:marTop w:val="0"/>
                  <w:marBottom w:val="0"/>
                  <w:divBdr>
                    <w:top w:val="none" w:sz="0" w:space="0" w:color="auto"/>
                    <w:left w:val="none" w:sz="0" w:space="0" w:color="auto"/>
                    <w:bottom w:val="none" w:sz="0" w:space="0" w:color="auto"/>
                    <w:right w:val="none" w:sz="0" w:space="0" w:color="auto"/>
                  </w:divBdr>
                  <w:divsChild>
                    <w:div w:id="1714042245">
                      <w:marLeft w:val="0"/>
                      <w:marRight w:val="0"/>
                      <w:marTop w:val="0"/>
                      <w:marBottom w:val="0"/>
                      <w:divBdr>
                        <w:top w:val="none" w:sz="0" w:space="0" w:color="auto"/>
                        <w:left w:val="none" w:sz="0" w:space="0" w:color="auto"/>
                        <w:bottom w:val="none" w:sz="0" w:space="0" w:color="auto"/>
                        <w:right w:val="none" w:sz="0" w:space="0" w:color="auto"/>
                      </w:divBdr>
                    </w:div>
                  </w:divsChild>
                </w:div>
                <w:div w:id="1261530667">
                  <w:marLeft w:val="0"/>
                  <w:marRight w:val="0"/>
                  <w:marTop w:val="0"/>
                  <w:marBottom w:val="0"/>
                  <w:divBdr>
                    <w:top w:val="none" w:sz="0" w:space="0" w:color="auto"/>
                    <w:left w:val="none" w:sz="0" w:space="0" w:color="auto"/>
                    <w:bottom w:val="none" w:sz="0" w:space="0" w:color="auto"/>
                    <w:right w:val="none" w:sz="0" w:space="0" w:color="auto"/>
                  </w:divBdr>
                  <w:divsChild>
                    <w:div w:id="1460104295">
                      <w:marLeft w:val="0"/>
                      <w:marRight w:val="0"/>
                      <w:marTop w:val="0"/>
                      <w:marBottom w:val="0"/>
                      <w:divBdr>
                        <w:top w:val="none" w:sz="0" w:space="0" w:color="auto"/>
                        <w:left w:val="none" w:sz="0" w:space="0" w:color="auto"/>
                        <w:bottom w:val="none" w:sz="0" w:space="0" w:color="auto"/>
                        <w:right w:val="none" w:sz="0" w:space="0" w:color="auto"/>
                      </w:divBdr>
                    </w:div>
                  </w:divsChild>
                </w:div>
                <w:div w:id="1282111945">
                  <w:marLeft w:val="0"/>
                  <w:marRight w:val="0"/>
                  <w:marTop w:val="0"/>
                  <w:marBottom w:val="0"/>
                  <w:divBdr>
                    <w:top w:val="none" w:sz="0" w:space="0" w:color="auto"/>
                    <w:left w:val="none" w:sz="0" w:space="0" w:color="auto"/>
                    <w:bottom w:val="none" w:sz="0" w:space="0" w:color="auto"/>
                    <w:right w:val="none" w:sz="0" w:space="0" w:color="auto"/>
                  </w:divBdr>
                  <w:divsChild>
                    <w:div w:id="566494180">
                      <w:marLeft w:val="0"/>
                      <w:marRight w:val="0"/>
                      <w:marTop w:val="0"/>
                      <w:marBottom w:val="0"/>
                      <w:divBdr>
                        <w:top w:val="none" w:sz="0" w:space="0" w:color="auto"/>
                        <w:left w:val="none" w:sz="0" w:space="0" w:color="auto"/>
                        <w:bottom w:val="none" w:sz="0" w:space="0" w:color="auto"/>
                        <w:right w:val="none" w:sz="0" w:space="0" w:color="auto"/>
                      </w:divBdr>
                    </w:div>
                  </w:divsChild>
                </w:div>
                <w:div w:id="1293251121">
                  <w:marLeft w:val="0"/>
                  <w:marRight w:val="0"/>
                  <w:marTop w:val="0"/>
                  <w:marBottom w:val="0"/>
                  <w:divBdr>
                    <w:top w:val="none" w:sz="0" w:space="0" w:color="auto"/>
                    <w:left w:val="none" w:sz="0" w:space="0" w:color="auto"/>
                    <w:bottom w:val="none" w:sz="0" w:space="0" w:color="auto"/>
                    <w:right w:val="none" w:sz="0" w:space="0" w:color="auto"/>
                  </w:divBdr>
                  <w:divsChild>
                    <w:div w:id="1143699823">
                      <w:marLeft w:val="0"/>
                      <w:marRight w:val="0"/>
                      <w:marTop w:val="0"/>
                      <w:marBottom w:val="0"/>
                      <w:divBdr>
                        <w:top w:val="none" w:sz="0" w:space="0" w:color="auto"/>
                        <w:left w:val="none" w:sz="0" w:space="0" w:color="auto"/>
                        <w:bottom w:val="none" w:sz="0" w:space="0" w:color="auto"/>
                        <w:right w:val="none" w:sz="0" w:space="0" w:color="auto"/>
                      </w:divBdr>
                    </w:div>
                  </w:divsChild>
                </w:div>
                <w:div w:id="1293554652">
                  <w:marLeft w:val="0"/>
                  <w:marRight w:val="0"/>
                  <w:marTop w:val="0"/>
                  <w:marBottom w:val="0"/>
                  <w:divBdr>
                    <w:top w:val="none" w:sz="0" w:space="0" w:color="auto"/>
                    <w:left w:val="none" w:sz="0" w:space="0" w:color="auto"/>
                    <w:bottom w:val="none" w:sz="0" w:space="0" w:color="auto"/>
                    <w:right w:val="none" w:sz="0" w:space="0" w:color="auto"/>
                  </w:divBdr>
                  <w:divsChild>
                    <w:div w:id="1506632069">
                      <w:marLeft w:val="0"/>
                      <w:marRight w:val="0"/>
                      <w:marTop w:val="0"/>
                      <w:marBottom w:val="0"/>
                      <w:divBdr>
                        <w:top w:val="none" w:sz="0" w:space="0" w:color="auto"/>
                        <w:left w:val="none" w:sz="0" w:space="0" w:color="auto"/>
                        <w:bottom w:val="none" w:sz="0" w:space="0" w:color="auto"/>
                        <w:right w:val="none" w:sz="0" w:space="0" w:color="auto"/>
                      </w:divBdr>
                    </w:div>
                  </w:divsChild>
                </w:div>
                <w:div w:id="1301158177">
                  <w:marLeft w:val="0"/>
                  <w:marRight w:val="0"/>
                  <w:marTop w:val="0"/>
                  <w:marBottom w:val="0"/>
                  <w:divBdr>
                    <w:top w:val="none" w:sz="0" w:space="0" w:color="auto"/>
                    <w:left w:val="none" w:sz="0" w:space="0" w:color="auto"/>
                    <w:bottom w:val="none" w:sz="0" w:space="0" w:color="auto"/>
                    <w:right w:val="none" w:sz="0" w:space="0" w:color="auto"/>
                  </w:divBdr>
                  <w:divsChild>
                    <w:div w:id="1331257169">
                      <w:marLeft w:val="0"/>
                      <w:marRight w:val="0"/>
                      <w:marTop w:val="0"/>
                      <w:marBottom w:val="0"/>
                      <w:divBdr>
                        <w:top w:val="none" w:sz="0" w:space="0" w:color="auto"/>
                        <w:left w:val="none" w:sz="0" w:space="0" w:color="auto"/>
                        <w:bottom w:val="none" w:sz="0" w:space="0" w:color="auto"/>
                        <w:right w:val="none" w:sz="0" w:space="0" w:color="auto"/>
                      </w:divBdr>
                    </w:div>
                  </w:divsChild>
                </w:div>
                <w:div w:id="1317104265">
                  <w:marLeft w:val="0"/>
                  <w:marRight w:val="0"/>
                  <w:marTop w:val="0"/>
                  <w:marBottom w:val="0"/>
                  <w:divBdr>
                    <w:top w:val="none" w:sz="0" w:space="0" w:color="auto"/>
                    <w:left w:val="none" w:sz="0" w:space="0" w:color="auto"/>
                    <w:bottom w:val="none" w:sz="0" w:space="0" w:color="auto"/>
                    <w:right w:val="none" w:sz="0" w:space="0" w:color="auto"/>
                  </w:divBdr>
                  <w:divsChild>
                    <w:div w:id="1523208503">
                      <w:marLeft w:val="0"/>
                      <w:marRight w:val="0"/>
                      <w:marTop w:val="0"/>
                      <w:marBottom w:val="0"/>
                      <w:divBdr>
                        <w:top w:val="none" w:sz="0" w:space="0" w:color="auto"/>
                        <w:left w:val="none" w:sz="0" w:space="0" w:color="auto"/>
                        <w:bottom w:val="none" w:sz="0" w:space="0" w:color="auto"/>
                        <w:right w:val="none" w:sz="0" w:space="0" w:color="auto"/>
                      </w:divBdr>
                    </w:div>
                  </w:divsChild>
                </w:div>
                <w:div w:id="1323050678">
                  <w:marLeft w:val="0"/>
                  <w:marRight w:val="0"/>
                  <w:marTop w:val="0"/>
                  <w:marBottom w:val="0"/>
                  <w:divBdr>
                    <w:top w:val="none" w:sz="0" w:space="0" w:color="auto"/>
                    <w:left w:val="none" w:sz="0" w:space="0" w:color="auto"/>
                    <w:bottom w:val="none" w:sz="0" w:space="0" w:color="auto"/>
                    <w:right w:val="none" w:sz="0" w:space="0" w:color="auto"/>
                  </w:divBdr>
                  <w:divsChild>
                    <w:div w:id="2046130330">
                      <w:marLeft w:val="0"/>
                      <w:marRight w:val="0"/>
                      <w:marTop w:val="0"/>
                      <w:marBottom w:val="0"/>
                      <w:divBdr>
                        <w:top w:val="none" w:sz="0" w:space="0" w:color="auto"/>
                        <w:left w:val="none" w:sz="0" w:space="0" w:color="auto"/>
                        <w:bottom w:val="none" w:sz="0" w:space="0" w:color="auto"/>
                        <w:right w:val="none" w:sz="0" w:space="0" w:color="auto"/>
                      </w:divBdr>
                    </w:div>
                  </w:divsChild>
                </w:div>
                <w:div w:id="1324506924">
                  <w:marLeft w:val="0"/>
                  <w:marRight w:val="0"/>
                  <w:marTop w:val="0"/>
                  <w:marBottom w:val="0"/>
                  <w:divBdr>
                    <w:top w:val="none" w:sz="0" w:space="0" w:color="auto"/>
                    <w:left w:val="none" w:sz="0" w:space="0" w:color="auto"/>
                    <w:bottom w:val="none" w:sz="0" w:space="0" w:color="auto"/>
                    <w:right w:val="none" w:sz="0" w:space="0" w:color="auto"/>
                  </w:divBdr>
                  <w:divsChild>
                    <w:div w:id="1012412878">
                      <w:marLeft w:val="0"/>
                      <w:marRight w:val="0"/>
                      <w:marTop w:val="0"/>
                      <w:marBottom w:val="0"/>
                      <w:divBdr>
                        <w:top w:val="none" w:sz="0" w:space="0" w:color="auto"/>
                        <w:left w:val="none" w:sz="0" w:space="0" w:color="auto"/>
                        <w:bottom w:val="none" w:sz="0" w:space="0" w:color="auto"/>
                        <w:right w:val="none" w:sz="0" w:space="0" w:color="auto"/>
                      </w:divBdr>
                    </w:div>
                  </w:divsChild>
                </w:div>
                <w:div w:id="1331130666">
                  <w:marLeft w:val="0"/>
                  <w:marRight w:val="0"/>
                  <w:marTop w:val="0"/>
                  <w:marBottom w:val="0"/>
                  <w:divBdr>
                    <w:top w:val="none" w:sz="0" w:space="0" w:color="auto"/>
                    <w:left w:val="none" w:sz="0" w:space="0" w:color="auto"/>
                    <w:bottom w:val="none" w:sz="0" w:space="0" w:color="auto"/>
                    <w:right w:val="none" w:sz="0" w:space="0" w:color="auto"/>
                  </w:divBdr>
                  <w:divsChild>
                    <w:div w:id="2131583639">
                      <w:marLeft w:val="0"/>
                      <w:marRight w:val="0"/>
                      <w:marTop w:val="0"/>
                      <w:marBottom w:val="0"/>
                      <w:divBdr>
                        <w:top w:val="none" w:sz="0" w:space="0" w:color="auto"/>
                        <w:left w:val="none" w:sz="0" w:space="0" w:color="auto"/>
                        <w:bottom w:val="none" w:sz="0" w:space="0" w:color="auto"/>
                        <w:right w:val="none" w:sz="0" w:space="0" w:color="auto"/>
                      </w:divBdr>
                    </w:div>
                  </w:divsChild>
                </w:div>
                <w:div w:id="1351449527">
                  <w:marLeft w:val="0"/>
                  <w:marRight w:val="0"/>
                  <w:marTop w:val="0"/>
                  <w:marBottom w:val="0"/>
                  <w:divBdr>
                    <w:top w:val="none" w:sz="0" w:space="0" w:color="auto"/>
                    <w:left w:val="none" w:sz="0" w:space="0" w:color="auto"/>
                    <w:bottom w:val="none" w:sz="0" w:space="0" w:color="auto"/>
                    <w:right w:val="none" w:sz="0" w:space="0" w:color="auto"/>
                  </w:divBdr>
                  <w:divsChild>
                    <w:div w:id="1831602702">
                      <w:marLeft w:val="0"/>
                      <w:marRight w:val="0"/>
                      <w:marTop w:val="0"/>
                      <w:marBottom w:val="0"/>
                      <w:divBdr>
                        <w:top w:val="none" w:sz="0" w:space="0" w:color="auto"/>
                        <w:left w:val="none" w:sz="0" w:space="0" w:color="auto"/>
                        <w:bottom w:val="none" w:sz="0" w:space="0" w:color="auto"/>
                        <w:right w:val="none" w:sz="0" w:space="0" w:color="auto"/>
                      </w:divBdr>
                    </w:div>
                  </w:divsChild>
                </w:div>
                <w:div w:id="1352490943">
                  <w:marLeft w:val="0"/>
                  <w:marRight w:val="0"/>
                  <w:marTop w:val="0"/>
                  <w:marBottom w:val="0"/>
                  <w:divBdr>
                    <w:top w:val="none" w:sz="0" w:space="0" w:color="auto"/>
                    <w:left w:val="none" w:sz="0" w:space="0" w:color="auto"/>
                    <w:bottom w:val="none" w:sz="0" w:space="0" w:color="auto"/>
                    <w:right w:val="none" w:sz="0" w:space="0" w:color="auto"/>
                  </w:divBdr>
                  <w:divsChild>
                    <w:div w:id="189799575">
                      <w:marLeft w:val="0"/>
                      <w:marRight w:val="0"/>
                      <w:marTop w:val="0"/>
                      <w:marBottom w:val="0"/>
                      <w:divBdr>
                        <w:top w:val="none" w:sz="0" w:space="0" w:color="auto"/>
                        <w:left w:val="none" w:sz="0" w:space="0" w:color="auto"/>
                        <w:bottom w:val="none" w:sz="0" w:space="0" w:color="auto"/>
                        <w:right w:val="none" w:sz="0" w:space="0" w:color="auto"/>
                      </w:divBdr>
                    </w:div>
                  </w:divsChild>
                </w:div>
                <w:div w:id="1356269917">
                  <w:marLeft w:val="0"/>
                  <w:marRight w:val="0"/>
                  <w:marTop w:val="0"/>
                  <w:marBottom w:val="0"/>
                  <w:divBdr>
                    <w:top w:val="none" w:sz="0" w:space="0" w:color="auto"/>
                    <w:left w:val="none" w:sz="0" w:space="0" w:color="auto"/>
                    <w:bottom w:val="none" w:sz="0" w:space="0" w:color="auto"/>
                    <w:right w:val="none" w:sz="0" w:space="0" w:color="auto"/>
                  </w:divBdr>
                  <w:divsChild>
                    <w:div w:id="214975234">
                      <w:marLeft w:val="0"/>
                      <w:marRight w:val="0"/>
                      <w:marTop w:val="0"/>
                      <w:marBottom w:val="0"/>
                      <w:divBdr>
                        <w:top w:val="none" w:sz="0" w:space="0" w:color="auto"/>
                        <w:left w:val="none" w:sz="0" w:space="0" w:color="auto"/>
                        <w:bottom w:val="none" w:sz="0" w:space="0" w:color="auto"/>
                        <w:right w:val="none" w:sz="0" w:space="0" w:color="auto"/>
                      </w:divBdr>
                    </w:div>
                  </w:divsChild>
                </w:div>
                <w:div w:id="1367753663">
                  <w:marLeft w:val="0"/>
                  <w:marRight w:val="0"/>
                  <w:marTop w:val="0"/>
                  <w:marBottom w:val="0"/>
                  <w:divBdr>
                    <w:top w:val="none" w:sz="0" w:space="0" w:color="auto"/>
                    <w:left w:val="none" w:sz="0" w:space="0" w:color="auto"/>
                    <w:bottom w:val="none" w:sz="0" w:space="0" w:color="auto"/>
                    <w:right w:val="none" w:sz="0" w:space="0" w:color="auto"/>
                  </w:divBdr>
                  <w:divsChild>
                    <w:div w:id="1744450766">
                      <w:marLeft w:val="0"/>
                      <w:marRight w:val="0"/>
                      <w:marTop w:val="0"/>
                      <w:marBottom w:val="0"/>
                      <w:divBdr>
                        <w:top w:val="none" w:sz="0" w:space="0" w:color="auto"/>
                        <w:left w:val="none" w:sz="0" w:space="0" w:color="auto"/>
                        <w:bottom w:val="none" w:sz="0" w:space="0" w:color="auto"/>
                        <w:right w:val="none" w:sz="0" w:space="0" w:color="auto"/>
                      </w:divBdr>
                    </w:div>
                  </w:divsChild>
                </w:div>
                <w:div w:id="1394623049">
                  <w:marLeft w:val="0"/>
                  <w:marRight w:val="0"/>
                  <w:marTop w:val="0"/>
                  <w:marBottom w:val="0"/>
                  <w:divBdr>
                    <w:top w:val="none" w:sz="0" w:space="0" w:color="auto"/>
                    <w:left w:val="none" w:sz="0" w:space="0" w:color="auto"/>
                    <w:bottom w:val="none" w:sz="0" w:space="0" w:color="auto"/>
                    <w:right w:val="none" w:sz="0" w:space="0" w:color="auto"/>
                  </w:divBdr>
                  <w:divsChild>
                    <w:div w:id="900559855">
                      <w:marLeft w:val="0"/>
                      <w:marRight w:val="0"/>
                      <w:marTop w:val="0"/>
                      <w:marBottom w:val="0"/>
                      <w:divBdr>
                        <w:top w:val="none" w:sz="0" w:space="0" w:color="auto"/>
                        <w:left w:val="none" w:sz="0" w:space="0" w:color="auto"/>
                        <w:bottom w:val="none" w:sz="0" w:space="0" w:color="auto"/>
                        <w:right w:val="none" w:sz="0" w:space="0" w:color="auto"/>
                      </w:divBdr>
                    </w:div>
                  </w:divsChild>
                </w:div>
                <w:div w:id="1412700335">
                  <w:marLeft w:val="0"/>
                  <w:marRight w:val="0"/>
                  <w:marTop w:val="0"/>
                  <w:marBottom w:val="0"/>
                  <w:divBdr>
                    <w:top w:val="none" w:sz="0" w:space="0" w:color="auto"/>
                    <w:left w:val="none" w:sz="0" w:space="0" w:color="auto"/>
                    <w:bottom w:val="none" w:sz="0" w:space="0" w:color="auto"/>
                    <w:right w:val="none" w:sz="0" w:space="0" w:color="auto"/>
                  </w:divBdr>
                  <w:divsChild>
                    <w:div w:id="900554507">
                      <w:marLeft w:val="0"/>
                      <w:marRight w:val="0"/>
                      <w:marTop w:val="0"/>
                      <w:marBottom w:val="0"/>
                      <w:divBdr>
                        <w:top w:val="none" w:sz="0" w:space="0" w:color="auto"/>
                        <w:left w:val="none" w:sz="0" w:space="0" w:color="auto"/>
                        <w:bottom w:val="none" w:sz="0" w:space="0" w:color="auto"/>
                        <w:right w:val="none" w:sz="0" w:space="0" w:color="auto"/>
                      </w:divBdr>
                    </w:div>
                  </w:divsChild>
                </w:div>
                <w:div w:id="1423182192">
                  <w:marLeft w:val="0"/>
                  <w:marRight w:val="0"/>
                  <w:marTop w:val="0"/>
                  <w:marBottom w:val="0"/>
                  <w:divBdr>
                    <w:top w:val="none" w:sz="0" w:space="0" w:color="auto"/>
                    <w:left w:val="none" w:sz="0" w:space="0" w:color="auto"/>
                    <w:bottom w:val="none" w:sz="0" w:space="0" w:color="auto"/>
                    <w:right w:val="none" w:sz="0" w:space="0" w:color="auto"/>
                  </w:divBdr>
                  <w:divsChild>
                    <w:div w:id="425879675">
                      <w:marLeft w:val="0"/>
                      <w:marRight w:val="0"/>
                      <w:marTop w:val="0"/>
                      <w:marBottom w:val="0"/>
                      <w:divBdr>
                        <w:top w:val="none" w:sz="0" w:space="0" w:color="auto"/>
                        <w:left w:val="none" w:sz="0" w:space="0" w:color="auto"/>
                        <w:bottom w:val="none" w:sz="0" w:space="0" w:color="auto"/>
                        <w:right w:val="none" w:sz="0" w:space="0" w:color="auto"/>
                      </w:divBdr>
                    </w:div>
                  </w:divsChild>
                </w:div>
                <w:div w:id="1425802388">
                  <w:marLeft w:val="0"/>
                  <w:marRight w:val="0"/>
                  <w:marTop w:val="0"/>
                  <w:marBottom w:val="0"/>
                  <w:divBdr>
                    <w:top w:val="none" w:sz="0" w:space="0" w:color="auto"/>
                    <w:left w:val="none" w:sz="0" w:space="0" w:color="auto"/>
                    <w:bottom w:val="none" w:sz="0" w:space="0" w:color="auto"/>
                    <w:right w:val="none" w:sz="0" w:space="0" w:color="auto"/>
                  </w:divBdr>
                  <w:divsChild>
                    <w:div w:id="196551534">
                      <w:marLeft w:val="0"/>
                      <w:marRight w:val="0"/>
                      <w:marTop w:val="0"/>
                      <w:marBottom w:val="0"/>
                      <w:divBdr>
                        <w:top w:val="none" w:sz="0" w:space="0" w:color="auto"/>
                        <w:left w:val="none" w:sz="0" w:space="0" w:color="auto"/>
                        <w:bottom w:val="none" w:sz="0" w:space="0" w:color="auto"/>
                        <w:right w:val="none" w:sz="0" w:space="0" w:color="auto"/>
                      </w:divBdr>
                    </w:div>
                  </w:divsChild>
                </w:div>
                <w:div w:id="1440251008">
                  <w:marLeft w:val="0"/>
                  <w:marRight w:val="0"/>
                  <w:marTop w:val="0"/>
                  <w:marBottom w:val="0"/>
                  <w:divBdr>
                    <w:top w:val="none" w:sz="0" w:space="0" w:color="auto"/>
                    <w:left w:val="none" w:sz="0" w:space="0" w:color="auto"/>
                    <w:bottom w:val="none" w:sz="0" w:space="0" w:color="auto"/>
                    <w:right w:val="none" w:sz="0" w:space="0" w:color="auto"/>
                  </w:divBdr>
                  <w:divsChild>
                    <w:div w:id="503013455">
                      <w:marLeft w:val="0"/>
                      <w:marRight w:val="0"/>
                      <w:marTop w:val="0"/>
                      <w:marBottom w:val="0"/>
                      <w:divBdr>
                        <w:top w:val="none" w:sz="0" w:space="0" w:color="auto"/>
                        <w:left w:val="none" w:sz="0" w:space="0" w:color="auto"/>
                        <w:bottom w:val="none" w:sz="0" w:space="0" w:color="auto"/>
                        <w:right w:val="none" w:sz="0" w:space="0" w:color="auto"/>
                      </w:divBdr>
                    </w:div>
                  </w:divsChild>
                </w:div>
                <w:div w:id="1441026259">
                  <w:marLeft w:val="0"/>
                  <w:marRight w:val="0"/>
                  <w:marTop w:val="0"/>
                  <w:marBottom w:val="0"/>
                  <w:divBdr>
                    <w:top w:val="none" w:sz="0" w:space="0" w:color="auto"/>
                    <w:left w:val="none" w:sz="0" w:space="0" w:color="auto"/>
                    <w:bottom w:val="none" w:sz="0" w:space="0" w:color="auto"/>
                    <w:right w:val="none" w:sz="0" w:space="0" w:color="auto"/>
                  </w:divBdr>
                  <w:divsChild>
                    <w:div w:id="647323096">
                      <w:marLeft w:val="0"/>
                      <w:marRight w:val="0"/>
                      <w:marTop w:val="0"/>
                      <w:marBottom w:val="0"/>
                      <w:divBdr>
                        <w:top w:val="none" w:sz="0" w:space="0" w:color="auto"/>
                        <w:left w:val="none" w:sz="0" w:space="0" w:color="auto"/>
                        <w:bottom w:val="none" w:sz="0" w:space="0" w:color="auto"/>
                        <w:right w:val="none" w:sz="0" w:space="0" w:color="auto"/>
                      </w:divBdr>
                    </w:div>
                  </w:divsChild>
                </w:div>
                <w:div w:id="1442800512">
                  <w:marLeft w:val="0"/>
                  <w:marRight w:val="0"/>
                  <w:marTop w:val="0"/>
                  <w:marBottom w:val="0"/>
                  <w:divBdr>
                    <w:top w:val="none" w:sz="0" w:space="0" w:color="auto"/>
                    <w:left w:val="none" w:sz="0" w:space="0" w:color="auto"/>
                    <w:bottom w:val="none" w:sz="0" w:space="0" w:color="auto"/>
                    <w:right w:val="none" w:sz="0" w:space="0" w:color="auto"/>
                  </w:divBdr>
                  <w:divsChild>
                    <w:div w:id="531646942">
                      <w:marLeft w:val="0"/>
                      <w:marRight w:val="0"/>
                      <w:marTop w:val="0"/>
                      <w:marBottom w:val="0"/>
                      <w:divBdr>
                        <w:top w:val="none" w:sz="0" w:space="0" w:color="auto"/>
                        <w:left w:val="none" w:sz="0" w:space="0" w:color="auto"/>
                        <w:bottom w:val="none" w:sz="0" w:space="0" w:color="auto"/>
                        <w:right w:val="none" w:sz="0" w:space="0" w:color="auto"/>
                      </w:divBdr>
                    </w:div>
                  </w:divsChild>
                </w:div>
                <w:div w:id="1464998824">
                  <w:marLeft w:val="0"/>
                  <w:marRight w:val="0"/>
                  <w:marTop w:val="0"/>
                  <w:marBottom w:val="0"/>
                  <w:divBdr>
                    <w:top w:val="none" w:sz="0" w:space="0" w:color="auto"/>
                    <w:left w:val="none" w:sz="0" w:space="0" w:color="auto"/>
                    <w:bottom w:val="none" w:sz="0" w:space="0" w:color="auto"/>
                    <w:right w:val="none" w:sz="0" w:space="0" w:color="auto"/>
                  </w:divBdr>
                  <w:divsChild>
                    <w:div w:id="1225720591">
                      <w:marLeft w:val="0"/>
                      <w:marRight w:val="0"/>
                      <w:marTop w:val="0"/>
                      <w:marBottom w:val="0"/>
                      <w:divBdr>
                        <w:top w:val="none" w:sz="0" w:space="0" w:color="auto"/>
                        <w:left w:val="none" w:sz="0" w:space="0" w:color="auto"/>
                        <w:bottom w:val="none" w:sz="0" w:space="0" w:color="auto"/>
                        <w:right w:val="none" w:sz="0" w:space="0" w:color="auto"/>
                      </w:divBdr>
                    </w:div>
                  </w:divsChild>
                </w:div>
                <w:div w:id="1467894995">
                  <w:marLeft w:val="0"/>
                  <w:marRight w:val="0"/>
                  <w:marTop w:val="0"/>
                  <w:marBottom w:val="0"/>
                  <w:divBdr>
                    <w:top w:val="none" w:sz="0" w:space="0" w:color="auto"/>
                    <w:left w:val="none" w:sz="0" w:space="0" w:color="auto"/>
                    <w:bottom w:val="none" w:sz="0" w:space="0" w:color="auto"/>
                    <w:right w:val="none" w:sz="0" w:space="0" w:color="auto"/>
                  </w:divBdr>
                  <w:divsChild>
                    <w:div w:id="45642335">
                      <w:marLeft w:val="0"/>
                      <w:marRight w:val="0"/>
                      <w:marTop w:val="0"/>
                      <w:marBottom w:val="0"/>
                      <w:divBdr>
                        <w:top w:val="none" w:sz="0" w:space="0" w:color="auto"/>
                        <w:left w:val="none" w:sz="0" w:space="0" w:color="auto"/>
                        <w:bottom w:val="none" w:sz="0" w:space="0" w:color="auto"/>
                        <w:right w:val="none" w:sz="0" w:space="0" w:color="auto"/>
                      </w:divBdr>
                    </w:div>
                  </w:divsChild>
                </w:div>
                <w:div w:id="1476072391">
                  <w:marLeft w:val="0"/>
                  <w:marRight w:val="0"/>
                  <w:marTop w:val="0"/>
                  <w:marBottom w:val="0"/>
                  <w:divBdr>
                    <w:top w:val="none" w:sz="0" w:space="0" w:color="auto"/>
                    <w:left w:val="none" w:sz="0" w:space="0" w:color="auto"/>
                    <w:bottom w:val="none" w:sz="0" w:space="0" w:color="auto"/>
                    <w:right w:val="none" w:sz="0" w:space="0" w:color="auto"/>
                  </w:divBdr>
                  <w:divsChild>
                    <w:div w:id="1662848206">
                      <w:marLeft w:val="0"/>
                      <w:marRight w:val="0"/>
                      <w:marTop w:val="0"/>
                      <w:marBottom w:val="0"/>
                      <w:divBdr>
                        <w:top w:val="none" w:sz="0" w:space="0" w:color="auto"/>
                        <w:left w:val="none" w:sz="0" w:space="0" w:color="auto"/>
                        <w:bottom w:val="none" w:sz="0" w:space="0" w:color="auto"/>
                        <w:right w:val="none" w:sz="0" w:space="0" w:color="auto"/>
                      </w:divBdr>
                    </w:div>
                  </w:divsChild>
                </w:div>
                <w:div w:id="1485049337">
                  <w:marLeft w:val="0"/>
                  <w:marRight w:val="0"/>
                  <w:marTop w:val="0"/>
                  <w:marBottom w:val="0"/>
                  <w:divBdr>
                    <w:top w:val="none" w:sz="0" w:space="0" w:color="auto"/>
                    <w:left w:val="none" w:sz="0" w:space="0" w:color="auto"/>
                    <w:bottom w:val="none" w:sz="0" w:space="0" w:color="auto"/>
                    <w:right w:val="none" w:sz="0" w:space="0" w:color="auto"/>
                  </w:divBdr>
                  <w:divsChild>
                    <w:div w:id="1223175707">
                      <w:marLeft w:val="0"/>
                      <w:marRight w:val="0"/>
                      <w:marTop w:val="0"/>
                      <w:marBottom w:val="0"/>
                      <w:divBdr>
                        <w:top w:val="none" w:sz="0" w:space="0" w:color="auto"/>
                        <w:left w:val="none" w:sz="0" w:space="0" w:color="auto"/>
                        <w:bottom w:val="none" w:sz="0" w:space="0" w:color="auto"/>
                        <w:right w:val="none" w:sz="0" w:space="0" w:color="auto"/>
                      </w:divBdr>
                    </w:div>
                  </w:divsChild>
                </w:div>
                <w:div w:id="1485509074">
                  <w:marLeft w:val="0"/>
                  <w:marRight w:val="0"/>
                  <w:marTop w:val="0"/>
                  <w:marBottom w:val="0"/>
                  <w:divBdr>
                    <w:top w:val="none" w:sz="0" w:space="0" w:color="auto"/>
                    <w:left w:val="none" w:sz="0" w:space="0" w:color="auto"/>
                    <w:bottom w:val="none" w:sz="0" w:space="0" w:color="auto"/>
                    <w:right w:val="none" w:sz="0" w:space="0" w:color="auto"/>
                  </w:divBdr>
                  <w:divsChild>
                    <w:div w:id="94862977">
                      <w:marLeft w:val="0"/>
                      <w:marRight w:val="0"/>
                      <w:marTop w:val="0"/>
                      <w:marBottom w:val="0"/>
                      <w:divBdr>
                        <w:top w:val="none" w:sz="0" w:space="0" w:color="auto"/>
                        <w:left w:val="none" w:sz="0" w:space="0" w:color="auto"/>
                        <w:bottom w:val="none" w:sz="0" w:space="0" w:color="auto"/>
                        <w:right w:val="none" w:sz="0" w:space="0" w:color="auto"/>
                      </w:divBdr>
                    </w:div>
                  </w:divsChild>
                </w:div>
                <w:div w:id="1490632861">
                  <w:marLeft w:val="0"/>
                  <w:marRight w:val="0"/>
                  <w:marTop w:val="0"/>
                  <w:marBottom w:val="0"/>
                  <w:divBdr>
                    <w:top w:val="none" w:sz="0" w:space="0" w:color="auto"/>
                    <w:left w:val="none" w:sz="0" w:space="0" w:color="auto"/>
                    <w:bottom w:val="none" w:sz="0" w:space="0" w:color="auto"/>
                    <w:right w:val="none" w:sz="0" w:space="0" w:color="auto"/>
                  </w:divBdr>
                  <w:divsChild>
                    <w:div w:id="1887256619">
                      <w:marLeft w:val="0"/>
                      <w:marRight w:val="0"/>
                      <w:marTop w:val="0"/>
                      <w:marBottom w:val="0"/>
                      <w:divBdr>
                        <w:top w:val="none" w:sz="0" w:space="0" w:color="auto"/>
                        <w:left w:val="none" w:sz="0" w:space="0" w:color="auto"/>
                        <w:bottom w:val="none" w:sz="0" w:space="0" w:color="auto"/>
                        <w:right w:val="none" w:sz="0" w:space="0" w:color="auto"/>
                      </w:divBdr>
                    </w:div>
                  </w:divsChild>
                </w:div>
                <w:div w:id="1498692199">
                  <w:marLeft w:val="0"/>
                  <w:marRight w:val="0"/>
                  <w:marTop w:val="0"/>
                  <w:marBottom w:val="0"/>
                  <w:divBdr>
                    <w:top w:val="none" w:sz="0" w:space="0" w:color="auto"/>
                    <w:left w:val="none" w:sz="0" w:space="0" w:color="auto"/>
                    <w:bottom w:val="none" w:sz="0" w:space="0" w:color="auto"/>
                    <w:right w:val="none" w:sz="0" w:space="0" w:color="auto"/>
                  </w:divBdr>
                  <w:divsChild>
                    <w:div w:id="318311544">
                      <w:marLeft w:val="0"/>
                      <w:marRight w:val="0"/>
                      <w:marTop w:val="0"/>
                      <w:marBottom w:val="0"/>
                      <w:divBdr>
                        <w:top w:val="none" w:sz="0" w:space="0" w:color="auto"/>
                        <w:left w:val="none" w:sz="0" w:space="0" w:color="auto"/>
                        <w:bottom w:val="none" w:sz="0" w:space="0" w:color="auto"/>
                        <w:right w:val="none" w:sz="0" w:space="0" w:color="auto"/>
                      </w:divBdr>
                    </w:div>
                  </w:divsChild>
                </w:div>
                <w:div w:id="1510755934">
                  <w:marLeft w:val="0"/>
                  <w:marRight w:val="0"/>
                  <w:marTop w:val="0"/>
                  <w:marBottom w:val="0"/>
                  <w:divBdr>
                    <w:top w:val="none" w:sz="0" w:space="0" w:color="auto"/>
                    <w:left w:val="none" w:sz="0" w:space="0" w:color="auto"/>
                    <w:bottom w:val="none" w:sz="0" w:space="0" w:color="auto"/>
                    <w:right w:val="none" w:sz="0" w:space="0" w:color="auto"/>
                  </w:divBdr>
                  <w:divsChild>
                    <w:div w:id="114720549">
                      <w:marLeft w:val="0"/>
                      <w:marRight w:val="0"/>
                      <w:marTop w:val="0"/>
                      <w:marBottom w:val="0"/>
                      <w:divBdr>
                        <w:top w:val="none" w:sz="0" w:space="0" w:color="auto"/>
                        <w:left w:val="none" w:sz="0" w:space="0" w:color="auto"/>
                        <w:bottom w:val="none" w:sz="0" w:space="0" w:color="auto"/>
                        <w:right w:val="none" w:sz="0" w:space="0" w:color="auto"/>
                      </w:divBdr>
                    </w:div>
                  </w:divsChild>
                </w:div>
                <w:div w:id="1516462104">
                  <w:marLeft w:val="0"/>
                  <w:marRight w:val="0"/>
                  <w:marTop w:val="0"/>
                  <w:marBottom w:val="0"/>
                  <w:divBdr>
                    <w:top w:val="none" w:sz="0" w:space="0" w:color="auto"/>
                    <w:left w:val="none" w:sz="0" w:space="0" w:color="auto"/>
                    <w:bottom w:val="none" w:sz="0" w:space="0" w:color="auto"/>
                    <w:right w:val="none" w:sz="0" w:space="0" w:color="auto"/>
                  </w:divBdr>
                  <w:divsChild>
                    <w:div w:id="519244926">
                      <w:marLeft w:val="0"/>
                      <w:marRight w:val="0"/>
                      <w:marTop w:val="0"/>
                      <w:marBottom w:val="0"/>
                      <w:divBdr>
                        <w:top w:val="none" w:sz="0" w:space="0" w:color="auto"/>
                        <w:left w:val="none" w:sz="0" w:space="0" w:color="auto"/>
                        <w:bottom w:val="none" w:sz="0" w:space="0" w:color="auto"/>
                        <w:right w:val="none" w:sz="0" w:space="0" w:color="auto"/>
                      </w:divBdr>
                    </w:div>
                  </w:divsChild>
                </w:div>
                <w:div w:id="1521119340">
                  <w:marLeft w:val="0"/>
                  <w:marRight w:val="0"/>
                  <w:marTop w:val="0"/>
                  <w:marBottom w:val="0"/>
                  <w:divBdr>
                    <w:top w:val="none" w:sz="0" w:space="0" w:color="auto"/>
                    <w:left w:val="none" w:sz="0" w:space="0" w:color="auto"/>
                    <w:bottom w:val="none" w:sz="0" w:space="0" w:color="auto"/>
                    <w:right w:val="none" w:sz="0" w:space="0" w:color="auto"/>
                  </w:divBdr>
                  <w:divsChild>
                    <w:div w:id="1417706127">
                      <w:marLeft w:val="0"/>
                      <w:marRight w:val="0"/>
                      <w:marTop w:val="0"/>
                      <w:marBottom w:val="0"/>
                      <w:divBdr>
                        <w:top w:val="none" w:sz="0" w:space="0" w:color="auto"/>
                        <w:left w:val="none" w:sz="0" w:space="0" w:color="auto"/>
                        <w:bottom w:val="none" w:sz="0" w:space="0" w:color="auto"/>
                        <w:right w:val="none" w:sz="0" w:space="0" w:color="auto"/>
                      </w:divBdr>
                    </w:div>
                  </w:divsChild>
                </w:div>
                <w:div w:id="1526870550">
                  <w:marLeft w:val="0"/>
                  <w:marRight w:val="0"/>
                  <w:marTop w:val="0"/>
                  <w:marBottom w:val="0"/>
                  <w:divBdr>
                    <w:top w:val="none" w:sz="0" w:space="0" w:color="auto"/>
                    <w:left w:val="none" w:sz="0" w:space="0" w:color="auto"/>
                    <w:bottom w:val="none" w:sz="0" w:space="0" w:color="auto"/>
                    <w:right w:val="none" w:sz="0" w:space="0" w:color="auto"/>
                  </w:divBdr>
                  <w:divsChild>
                    <w:div w:id="1084061483">
                      <w:marLeft w:val="0"/>
                      <w:marRight w:val="0"/>
                      <w:marTop w:val="0"/>
                      <w:marBottom w:val="0"/>
                      <w:divBdr>
                        <w:top w:val="none" w:sz="0" w:space="0" w:color="auto"/>
                        <w:left w:val="none" w:sz="0" w:space="0" w:color="auto"/>
                        <w:bottom w:val="none" w:sz="0" w:space="0" w:color="auto"/>
                        <w:right w:val="none" w:sz="0" w:space="0" w:color="auto"/>
                      </w:divBdr>
                    </w:div>
                  </w:divsChild>
                </w:div>
                <w:div w:id="1552232823">
                  <w:marLeft w:val="0"/>
                  <w:marRight w:val="0"/>
                  <w:marTop w:val="0"/>
                  <w:marBottom w:val="0"/>
                  <w:divBdr>
                    <w:top w:val="none" w:sz="0" w:space="0" w:color="auto"/>
                    <w:left w:val="none" w:sz="0" w:space="0" w:color="auto"/>
                    <w:bottom w:val="none" w:sz="0" w:space="0" w:color="auto"/>
                    <w:right w:val="none" w:sz="0" w:space="0" w:color="auto"/>
                  </w:divBdr>
                  <w:divsChild>
                    <w:div w:id="1085227255">
                      <w:marLeft w:val="0"/>
                      <w:marRight w:val="0"/>
                      <w:marTop w:val="0"/>
                      <w:marBottom w:val="0"/>
                      <w:divBdr>
                        <w:top w:val="none" w:sz="0" w:space="0" w:color="auto"/>
                        <w:left w:val="none" w:sz="0" w:space="0" w:color="auto"/>
                        <w:bottom w:val="none" w:sz="0" w:space="0" w:color="auto"/>
                        <w:right w:val="none" w:sz="0" w:space="0" w:color="auto"/>
                      </w:divBdr>
                    </w:div>
                  </w:divsChild>
                </w:div>
                <w:div w:id="1554584799">
                  <w:marLeft w:val="0"/>
                  <w:marRight w:val="0"/>
                  <w:marTop w:val="0"/>
                  <w:marBottom w:val="0"/>
                  <w:divBdr>
                    <w:top w:val="none" w:sz="0" w:space="0" w:color="auto"/>
                    <w:left w:val="none" w:sz="0" w:space="0" w:color="auto"/>
                    <w:bottom w:val="none" w:sz="0" w:space="0" w:color="auto"/>
                    <w:right w:val="none" w:sz="0" w:space="0" w:color="auto"/>
                  </w:divBdr>
                  <w:divsChild>
                    <w:div w:id="1713338565">
                      <w:marLeft w:val="0"/>
                      <w:marRight w:val="0"/>
                      <w:marTop w:val="0"/>
                      <w:marBottom w:val="0"/>
                      <w:divBdr>
                        <w:top w:val="none" w:sz="0" w:space="0" w:color="auto"/>
                        <w:left w:val="none" w:sz="0" w:space="0" w:color="auto"/>
                        <w:bottom w:val="none" w:sz="0" w:space="0" w:color="auto"/>
                        <w:right w:val="none" w:sz="0" w:space="0" w:color="auto"/>
                      </w:divBdr>
                    </w:div>
                  </w:divsChild>
                </w:div>
                <w:div w:id="1572617532">
                  <w:marLeft w:val="0"/>
                  <w:marRight w:val="0"/>
                  <w:marTop w:val="0"/>
                  <w:marBottom w:val="0"/>
                  <w:divBdr>
                    <w:top w:val="none" w:sz="0" w:space="0" w:color="auto"/>
                    <w:left w:val="none" w:sz="0" w:space="0" w:color="auto"/>
                    <w:bottom w:val="none" w:sz="0" w:space="0" w:color="auto"/>
                    <w:right w:val="none" w:sz="0" w:space="0" w:color="auto"/>
                  </w:divBdr>
                  <w:divsChild>
                    <w:div w:id="1704557265">
                      <w:marLeft w:val="0"/>
                      <w:marRight w:val="0"/>
                      <w:marTop w:val="0"/>
                      <w:marBottom w:val="0"/>
                      <w:divBdr>
                        <w:top w:val="none" w:sz="0" w:space="0" w:color="auto"/>
                        <w:left w:val="none" w:sz="0" w:space="0" w:color="auto"/>
                        <w:bottom w:val="none" w:sz="0" w:space="0" w:color="auto"/>
                        <w:right w:val="none" w:sz="0" w:space="0" w:color="auto"/>
                      </w:divBdr>
                    </w:div>
                  </w:divsChild>
                </w:div>
                <w:div w:id="1572693373">
                  <w:marLeft w:val="0"/>
                  <w:marRight w:val="0"/>
                  <w:marTop w:val="0"/>
                  <w:marBottom w:val="0"/>
                  <w:divBdr>
                    <w:top w:val="none" w:sz="0" w:space="0" w:color="auto"/>
                    <w:left w:val="none" w:sz="0" w:space="0" w:color="auto"/>
                    <w:bottom w:val="none" w:sz="0" w:space="0" w:color="auto"/>
                    <w:right w:val="none" w:sz="0" w:space="0" w:color="auto"/>
                  </w:divBdr>
                  <w:divsChild>
                    <w:div w:id="1364866908">
                      <w:marLeft w:val="0"/>
                      <w:marRight w:val="0"/>
                      <w:marTop w:val="0"/>
                      <w:marBottom w:val="0"/>
                      <w:divBdr>
                        <w:top w:val="none" w:sz="0" w:space="0" w:color="auto"/>
                        <w:left w:val="none" w:sz="0" w:space="0" w:color="auto"/>
                        <w:bottom w:val="none" w:sz="0" w:space="0" w:color="auto"/>
                        <w:right w:val="none" w:sz="0" w:space="0" w:color="auto"/>
                      </w:divBdr>
                    </w:div>
                  </w:divsChild>
                </w:div>
                <w:div w:id="1574201846">
                  <w:marLeft w:val="0"/>
                  <w:marRight w:val="0"/>
                  <w:marTop w:val="0"/>
                  <w:marBottom w:val="0"/>
                  <w:divBdr>
                    <w:top w:val="none" w:sz="0" w:space="0" w:color="auto"/>
                    <w:left w:val="none" w:sz="0" w:space="0" w:color="auto"/>
                    <w:bottom w:val="none" w:sz="0" w:space="0" w:color="auto"/>
                    <w:right w:val="none" w:sz="0" w:space="0" w:color="auto"/>
                  </w:divBdr>
                  <w:divsChild>
                    <w:div w:id="1562865204">
                      <w:marLeft w:val="0"/>
                      <w:marRight w:val="0"/>
                      <w:marTop w:val="0"/>
                      <w:marBottom w:val="0"/>
                      <w:divBdr>
                        <w:top w:val="none" w:sz="0" w:space="0" w:color="auto"/>
                        <w:left w:val="none" w:sz="0" w:space="0" w:color="auto"/>
                        <w:bottom w:val="none" w:sz="0" w:space="0" w:color="auto"/>
                        <w:right w:val="none" w:sz="0" w:space="0" w:color="auto"/>
                      </w:divBdr>
                    </w:div>
                  </w:divsChild>
                </w:div>
                <w:div w:id="1602295093">
                  <w:marLeft w:val="0"/>
                  <w:marRight w:val="0"/>
                  <w:marTop w:val="0"/>
                  <w:marBottom w:val="0"/>
                  <w:divBdr>
                    <w:top w:val="none" w:sz="0" w:space="0" w:color="auto"/>
                    <w:left w:val="none" w:sz="0" w:space="0" w:color="auto"/>
                    <w:bottom w:val="none" w:sz="0" w:space="0" w:color="auto"/>
                    <w:right w:val="none" w:sz="0" w:space="0" w:color="auto"/>
                  </w:divBdr>
                  <w:divsChild>
                    <w:div w:id="367142997">
                      <w:marLeft w:val="0"/>
                      <w:marRight w:val="0"/>
                      <w:marTop w:val="0"/>
                      <w:marBottom w:val="0"/>
                      <w:divBdr>
                        <w:top w:val="none" w:sz="0" w:space="0" w:color="auto"/>
                        <w:left w:val="none" w:sz="0" w:space="0" w:color="auto"/>
                        <w:bottom w:val="none" w:sz="0" w:space="0" w:color="auto"/>
                        <w:right w:val="none" w:sz="0" w:space="0" w:color="auto"/>
                      </w:divBdr>
                    </w:div>
                  </w:divsChild>
                </w:div>
                <w:div w:id="1623344653">
                  <w:marLeft w:val="0"/>
                  <w:marRight w:val="0"/>
                  <w:marTop w:val="0"/>
                  <w:marBottom w:val="0"/>
                  <w:divBdr>
                    <w:top w:val="none" w:sz="0" w:space="0" w:color="auto"/>
                    <w:left w:val="none" w:sz="0" w:space="0" w:color="auto"/>
                    <w:bottom w:val="none" w:sz="0" w:space="0" w:color="auto"/>
                    <w:right w:val="none" w:sz="0" w:space="0" w:color="auto"/>
                  </w:divBdr>
                  <w:divsChild>
                    <w:div w:id="2018851373">
                      <w:marLeft w:val="0"/>
                      <w:marRight w:val="0"/>
                      <w:marTop w:val="0"/>
                      <w:marBottom w:val="0"/>
                      <w:divBdr>
                        <w:top w:val="none" w:sz="0" w:space="0" w:color="auto"/>
                        <w:left w:val="none" w:sz="0" w:space="0" w:color="auto"/>
                        <w:bottom w:val="none" w:sz="0" w:space="0" w:color="auto"/>
                        <w:right w:val="none" w:sz="0" w:space="0" w:color="auto"/>
                      </w:divBdr>
                    </w:div>
                  </w:divsChild>
                </w:div>
                <w:div w:id="1630698848">
                  <w:marLeft w:val="0"/>
                  <w:marRight w:val="0"/>
                  <w:marTop w:val="0"/>
                  <w:marBottom w:val="0"/>
                  <w:divBdr>
                    <w:top w:val="none" w:sz="0" w:space="0" w:color="auto"/>
                    <w:left w:val="none" w:sz="0" w:space="0" w:color="auto"/>
                    <w:bottom w:val="none" w:sz="0" w:space="0" w:color="auto"/>
                    <w:right w:val="none" w:sz="0" w:space="0" w:color="auto"/>
                  </w:divBdr>
                  <w:divsChild>
                    <w:div w:id="249236870">
                      <w:marLeft w:val="0"/>
                      <w:marRight w:val="0"/>
                      <w:marTop w:val="0"/>
                      <w:marBottom w:val="0"/>
                      <w:divBdr>
                        <w:top w:val="none" w:sz="0" w:space="0" w:color="auto"/>
                        <w:left w:val="none" w:sz="0" w:space="0" w:color="auto"/>
                        <w:bottom w:val="none" w:sz="0" w:space="0" w:color="auto"/>
                        <w:right w:val="none" w:sz="0" w:space="0" w:color="auto"/>
                      </w:divBdr>
                    </w:div>
                  </w:divsChild>
                </w:div>
                <w:div w:id="1635065858">
                  <w:marLeft w:val="0"/>
                  <w:marRight w:val="0"/>
                  <w:marTop w:val="0"/>
                  <w:marBottom w:val="0"/>
                  <w:divBdr>
                    <w:top w:val="none" w:sz="0" w:space="0" w:color="auto"/>
                    <w:left w:val="none" w:sz="0" w:space="0" w:color="auto"/>
                    <w:bottom w:val="none" w:sz="0" w:space="0" w:color="auto"/>
                    <w:right w:val="none" w:sz="0" w:space="0" w:color="auto"/>
                  </w:divBdr>
                  <w:divsChild>
                    <w:div w:id="1795711742">
                      <w:marLeft w:val="0"/>
                      <w:marRight w:val="0"/>
                      <w:marTop w:val="0"/>
                      <w:marBottom w:val="0"/>
                      <w:divBdr>
                        <w:top w:val="none" w:sz="0" w:space="0" w:color="auto"/>
                        <w:left w:val="none" w:sz="0" w:space="0" w:color="auto"/>
                        <w:bottom w:val="none" w:sz="0" w:space="0" w:color="auto"/>
                        <w:right w:val="none" w:sz="0" w:space="0" w:color="auto"/>
                      </w:divBdr>
                    </w:div>
                  </w:divsChild>
                </w:div>
                <w:div w:id="1638335752">
                  <w:marLeft w:val="0"/>
                  <w:marRight w:val="0"/>
                  <w:marTop w:val="0"/>
                  <w:marBottom w:val="0"/>
                  <w:divBdr>
                    <w:top w:val="none" w:sz="0" w:space="0" w:color="auto"/>
                    <w:left w:val="none" w:sz="0" w:space="0" w:color="auto"/>
                    <w:bottom w:val="none" w:sz="0" w:space="0" w:color="auto"/>
                    <w:right w:val="none" w:sz="0" w:space="0" w:color="auto"/>
                  </w:divBdr>
                  <w:divsChild>
                    <w:div w:id="730152363">
                      <w:marLeft w:val="0"/>
                      <w:marRight w:val="0"/>
                      <w:marTop w:val="0"/>
                      <w:marBottom w:val="0"/>
                      <w:divBdr>
                        <w:top w:val="none" w:sz="0" w:space="0" w:color="auto"/>
                        <w:left w:val="none" w:sz="0" w:space="0" w:color="auto"/>
                        <w:bottom w:val="none" w:sz="0" w:space="0" w:color="auto"/>
                        <w:right w:val="none" w:sz="0" w:space="0" w:color="auto"/>
                      </w:divBdr>
                    </w:div>
                  </w:divsChild>
                </w:div>
                <w:div w:id="1683556355">
                  <w:marLeft w:val="0"/>
                  <w:marRight w:val="0"/>
                  <w:marTop w:val="0"/>
                  <w:marBottom w:val="0"/>
                  <w:divBdr>
                    <w:top w:val="none" w:sz="0" w:space="0" w:color="auto"/>
                    <w:left w:val="none" w:sz="0" w:space="0" w:color="auto"/>
                    <w:bottom w:val="none" w:sz="0" w:space="0" w:color="auto"/>
                    <w:right w:val="none" w:sz="0" w:space="0" w:color="auto"/>
                  </w:divBdr>
                  <w:divsChild>
                    <w:div w:id="1123812485">
                      <w:marLeft w:val="0"/>
                      <w:marRight w:val="0"/>
                      <w:marTop w:val="0"/>
                      <w:marBottom w:val="0"/>
                      <w:divBdr>
                        <w:top w:val="none" w:sz="0" w:space="0" w:color="auto"/>
                        <w:left w:val="none" w:sz="0" w:space="0" w:color="auto"/>
                        <w:bottom w:val="none" w:sz="0" w:space="0" w:color="auto"/>
                        <w:right w:val="none" w:sz="0" w:space="0" w:color="auto"/>
                      </w:divBdr>
                    </w:div>
                  </w:divsChild>
                </w:div>
                <w:div w:id="1685010499">
                  <w:marLeft w:val="0"/>
                  <w:marRight w:val="0"/>
                  <w:marTop w:val="0"/>
                  <w:marBottom w:val="0"/>
                  <w:divBdr>
                    <w:top w:val="none" w:sz="0" w:space="0" w:color="auto"/>
                    <w:left w:val="none" w:sz="0" w:space="0" w:color="auto"/>
                    <w:bottom w:val="none" w:sz="0" w:space="0" w:color="auto"/>
                    <w:right w:val="none" w:sz="0" w:space="0" w:color="auto"/>
                  </w:divBdr>
                  <w:divsChild>
                    <w:div w:id="132064238">
                      <w:marLeft w:val="0"/>
                      <w:marRight w:val="0"/>
                      <w:marTop w:val="0"/>
                      <w:marBottom w:val="0"/>
                      <w:divBdr>
                        <w:top w:val="none" w:sz="0" w:space="0" w:color="auto"/>
                        <w:left w:val="none" w:sz="0" w:space="0" w:color="auto"/>
                        <w:bottom w:val="none" w:sz="0" w:space="0" w:color="auto"/>
                        <w:right w:val="none" w:sz="0" w:space="0" w:color="auto"/>
                      </w:divBdr>
                    </w:div>
                  </w:divsChild>
                </w:div>
                <w:div w:id="1707221044">
                  <w:marLeft w:val="0"/>
                  <w:marRight w:val="0"/>
                  <w:marTop w:val="0"/>
                  <w:marBottom w:val="0"/>
                  <w:divBdr>
                    <w:top w:val="none" w:sz="0" w:space="0" w:color="auto"/>
                    <w:left w:val="none" w:sz="0" w:space="0" w:color="auto"/>
                    <w:bottom w:val="none" w:sz="0" w:space="0" w:color="auto"/>
                    <w:right w:val="none" w:sz="0" w:space="0" w:color="auto"/>
                  </w:divBdr>
                  <w:divsChild>
                    <w:div w:id="1811364223">
                      <w:marLeft w:val="0"/>
                      <w:marRight w:val="0"/>
                      <w:marTop w:val="0"/>
                      <w:marBottom w:val="0"/>
                      <w:divBdr>
                        <w:top w:val="none" w:sz="0" w:space="0" w:color="auto"/>
                        <w:left w:val="none" w:sz="0" w:space="0" w:color="auto"/>
                        <w:bottom w:val="none" w:sz="0" w:space="0" w:color="auto"/>
                        <w:right w:val="none" w:sz="0" w:space="0" w:color="auto"/>
                      </w:divBdr>
                    </w:div>
                  </w:divsChild>
                </w:div>
                <w:div w:id="1725177816">
                  <w:marLeft w:val="0"/>
                  <w:marRight w:val="0"/>
                  <w:marTop w:val="0"/>
                  <w:marBottom w:val="0"/>
                  <w:divBdr>
                    <w:top w:val="none" w:sz="0" w:space="0" w:color="auto"/>
                    <w:left w:val="none" w:sz="0" w:space="0" w:color="auto"/>
                    <w:bottom w:val="none" w:sz="0" w:space="0" w:color="auto"/>
                    <w:right w:val="none" w:sz="0" w:space="0" w:color="auto"/>
                  </w:divBdr>
                  <w:divsChild>
                    <w:div w:id="1569076414">
                      <w:marLeft w:val="0"/>
                      <w:marRight w:val="0"/>
                      <w:marTop w:val="0"/>
                      <w:marBottom w:val="0"/>
                      <w:divBdr>
                        <w:top w:val="none" w:sz="0" w:space="0" w:color="auto"/>
                        <w:left w:val="none" w:sz="0" w:space="0" w:color="auto"/>
                        <w:bottom w:val="none" w:sz="0" w:space="0" w:color="auto"/>
                        <w:right w:val="none" w:sz="0" w:space="0" w:color="auto"/>
                      </w:divBdr>
                    </w:div>
                  </w:divsChild>
                </w:div>
                <w:div w:id="1730616954">
                  <w:marLeft w:val="0"/>
                  <w:marRight w:val="0"/>
                  <w:marTop w:val="0"/>
                  <w:marBottom w:val="0"/>
                  <w:divBdr>
                    <w:top w:val="none" w:sz="0" w:space="0" w:color="auto"/>
                    <w:left w:val="none" w:sz="0" w:space="0" w:color="auto"/>
                    <w:bottom w:val="none" w:sz="0" w:space="0" w:color="auto"/>
                    <w:right w:val="none" w:sz="0" w:space="0" w:color="auto"/>
                  </w:divBdr>
                  <w:divsChild>
                    <w:div w:id="1632707279">
                      <w:marLeft w:val="0"/>
                      <w:marRight w:val="0"/>
                      <w:marTop w:val="0"/>
                      <w:marBottom w:val="0"/>
                      <w:divBdr>
                        <w:top w:val="none" w:sz="0" w:space="0" w:color="auto"/>
                        <w:left w:val="none" w:sz="0" w:space="0" w:color="auto"/>
                        <w:bottom w:val="none" w:sz="0" w:space="0" w:color="auto"/>
                        <w:right w:val="none" w:sz="0" w:space="0" w:color="auto"/>
                      </w:divBdr>
                    </w:div>
                  </w:divsChild>
                </w:div>
                <w:div w:id="1758936756">
                  <w:marLeft w:val="0"/>
                  <w:marRight w:val="0"/>
                  <w:marTop w:val="0"/>
                  <w:marBottom w:val="0"/>
                  <w:divBdr>
                    <w:top w:val="none" w:sz="0" w:space="0" w:color="auto"/>
                    <w:left w:val="none" w:sz="0" w:space="0" w:color="auto"/>
                    <w:bottom w:val="none" w:sz="0" w:space="0" w:color="auto"/>
                    <w:right w:val="none" w:sz="0" w:space="0" w:color="auto"/>
                  </w:divBdr>
                  <w:divsChild>
                    <w:div w:id="1997680699">
                      <w:marLeft w:val="0"/>
                      <w:marRight w:val="0"/>
                      <w:marTop w:val="0"/>
                      <w:marBottom w:val="0"/>
                      <w:divBdr>
                        <w:top w:val="none" w:sz="0" w:space="0" w:color="auto"/>
                        <w:left w:val="none" w:sz="0" w:space="0" w:color="auto"/>
                        <w:bottom w:val="none" w:sz="0" w:space="0" w:color="auto"/>
                        <w:right w:val="none" w:sz="0" w:space="0" w:color="auto"/>
                      </w:divBdr>
                    </w:div>
                  </w:divsChild>
                </w:div>
                <w:div w:id="1762094334">
                  <w:marLeft w:val="0"/>
                  <w:marRight w:val="0"/>
                  <w:marTop w:val="0"/>
                  <w:marBottom w:val="0"/>
                  <w:divBdr>
                    <w:top w:val="none" w:sz="0" w:space="0" w:color="auto"/>
                    <w:left w:val="none" w:sz="0" w:space="0" w:color="auto"/>
                    <w:bottom w:val="none" w:sz="0" w:space="0" w:color="auto"/>
                    <w:right w:val="none" w:sz="0" w:space="0" w:color="auto"/>
                  </w:divBdr>
                  <w:divsChild>
                    <w:div w:id="718363287">
                      <w:marLeft w:val="0"/>
                      <w:marRight w:val="0"/>
                      <w:marTop w:val="0"/>
                      <w:marBottom w:val="0"/>
                      <w:divBdr>
                        <w:top w:val="none" w:sz="0" w:space="0" w:color="auto"/>
                        <w:left w:val="none" w:sz="0" w:space="0" w:color="auto"/>
                        <w:bottom w:val="none" w:sz="0" w:space="0" w:color="auto"/>
                        <w:right w:val="none" w:sz="0" w:space="0" w:color="auto"/>
                      </w:divBdr>
                    </w:div>
                  </w:divsChild>
                </w:div>
                <w:div w:id="1766145523">
                  <w:marLeft w:val="0"/>
                  <w:marRight w:val="0"/>
                  <w:marTop w:val="0"/>
                  <w:marBottom w:val="0"/>
                  <w:divBdr>
                    <w:top w:val="none" w:sz="0" w:space="0" w:color="auto"/>
                    <w:left w:val="none" w:sz="0" w:space="0" w:color="auto"/>
                    <w:bottom w:val="none" w:sz="0" w:space="0" w:color="auto"/>
                    <w:right w:val="none" w:sz="0" w:space="0" w:color="auto"/>
                  </w:divBdr>
                  <w:divsChild>
                    <w:div w:id="1806508240">
                      <w:marLeft w:val="0"/>
                      <w:marRight w:val="0"/>
                      <w:marTop w:val="0"/>
                      <w:marBottom w:val="0"/>
                      <w:divBdr>
                        <w:top w:val="none" w:sz="0" w:space="0" w:color="auto"/>
                        <w:left w:val="none" w:sz="0" w:space="0" w:color="auto"/>
                        <w:bottom w:val="none" w:sz="0" w:space="0" w:color="auto"/>
                        <w:right w:val="none" w:sz="0" w:space="0" w:color="auto"/>
                      </w:divBdr>
                    </w:div>
                  </w:divsChild>
                </w:div>
                <w:div w:id="1773744650">
                  <w:marLeft w:val="0"/>
                  <w:marRight w:val="0"/>
                  <w:marTop w:val="0"/>
                  <w:marBottom w:val="0"/>
                  <w:divBdr>
                    <w:top w:val="none" w:sz="0" w:space="0" w:color="auto"/>
                    <w:left w:val="none" w:sz="0" w:space="0" w:color="auto"/>
                    <w:bottom w:val="none" w:sz="0" w:space="0" w:color="auto"/>
                    <w:right w:val="none" w:sz="0" w:space="0" w:color="auto"/>
                  </w:divBdr>
                  <w:divsChild>
                    <w:div w:id="1313099637">
                      <w:marLeft w:val="0"/>
                      <w:marRight w:val="0"/>
                      <w:marTop w:val="0"/>
                      <w:marBottom w:val="0"/>
                      <w:divBdr>
                        <w:top w:val="none" w:sz="0" w:space="0" w:color="auto"/>
                        <w:left w:val="none" w:sz="0" w:space="0" w:color="auto"/>
                        <w:bottom w:val="none" w:sz="0" w:space="0" w:color="auto"/>
                        <w:right w:val="none" w:sz="0" w:space="0" w:color="auto"/>
                      </w:divBdr>
                    </w:div>
                  </w:divsChild>
                </w:div>
                <w:div w:id="1776440631">
                  <w:marLeft w:val="0"/>
                  <w:marRight w:val="0"/>
                  <w:marTop w:val="0"/>
                  <w:marBottom w:val="0"/>
                  <w:divBdr>
                    <w:top w:val="none" w:sz="0" w:space="0" w:color="auto"/>
                    <w:left w:val="none" w:sz="0" w:space="0" w:color="auto"/>
                    <w:bottom w:val="none" w:sz="0" w:space="0" w:color="auto"/>
                    <w:right w:val="none" w:sz="0" w:space="0" w:color="auto"/>
                  </w:divBdr>
                  <w:divsChild>
                    <w:div w:id="1263761746">
                      <w:marLeft w:val="0"/>
                      <w:marRight w:val="0"/>
                      <w:marTop w:val="0"/>
                      <w:marBottom w:val="0"/>
                      <w:divBdr>
                        <w:top w:val="none" w:sz="0" w:space="0" w:color="auto"/>
                        <w:left w:val="none" w:sz="0" w:space="0" w:color="auto"/>
                        <w:bottom w:val="none" w:sz="0" w:space="0" w:color="auto"/>
                        <w:right w:val="none" w:sz="0" w:space="0" w:color="auto"/>
                      </w:divBdr>
                    </w:div>
                  </w:divsChild>
                </w:div>
                <w:div w:id="1792935018">
                  <w:marLeft w:val="0"/>
                  <w:marRight w:val="0"/>
                  <w:marTop w:val="0"/>
                  <w:marBottom w:val="0"/>
                  <w:divBdr>
                    <w:top w:val="none" w:sz="0" w:space="0" w:color="auto"/>
                    <w:left w:val="none" w:sz="0" w:space="0" w:color="auto"/>
                    <w:bottom w:val="none" w:sz="0" w:space="0" w:color="auto"/>
                    <w:right w:val="none" w:sz="0" w:space="0" w:color="auto"/>
                  </w:divBdr>
                  <w:divsChild>
                    <w:div w:id="1792630560">
                      <w:marLeft w:val="0"/>
                      <w:marRight w:val="0"/>
                      <w:marTop w:val="0"/>
                      <w:marBottom w:val="0"/>
                      <w:divBdr>
                        <w:top w:val="none" w:sz="0" w:space="0" w:color="auto"/>
                        <w:left w:val="none" w:sz="0" w:space="0" w:color="auto"/>
                        <w:bottom w:val="none" w:sz="0" w:space="0" w:color="auto"/>
                        <w:right w:val="none" w:sz="0" w:space="0" w:color="auto"/>
                      </w:divBdr>
                    </w:div>
                  </w:divsChild>
                </w:div>
                <w:div w:id="1798985158">
                  <w:marLeft w:val="0"/>
                  <w:marRight w:val="0"/>
                  <w:marTop w:val="0"/>
                  <w:marBottom w:val="0"/>
                  <w:divBdr>
                    <w:top w:val="none" w:sz="0" w:space="0" w:color="auto"/>
                    <w:left w:val="none" w:sz="0" w:space="0" w:color="auto"/>
                    <w:bottom w:val="none" w:sz="0" w:space="0" w:color="auto"/>
                    <w:right w:val="none" w:sz="0" w:space="0" w:color="auto"/>
                  </w:divBdr>
                  <w:divsChild>
                    <w:div w:id="1426805732">
                      <w:marLeft w:val="0"/>
                      <w:marRight w:val="0"/>
                      <w:marTop w:val="0"/>
                      <w:marBottom w:val="0"/>
                      <w:divBdr>
                        <w:top w:val="none" w:sz="0" w:space="0" w:color="auto"/>
                        <w:left w:val="none" w:sz="0" w:space="0" w:color="auto"/>
                        <w:bottom w:val="none" w:sz="0" w:space="0" w:color="auto"/>
                        <w:right w:val="none" w:sz="0" w:space="0" w:color="auto"/>
                      </w:divBdr>
                    </w:div>
                  </w:divsChild>
                </w:div>
                <w:div w:id="1799372969">
                  <w:marLeft w:val="0"/>
                  <w:marRight w:val="0"/>
                  <w:marTop w:val="0"/>
                  <w:marBottom w:val="0"/>
                  <w:divBdr>
                    <w:top w:val="none" w:sz="0" w:space="0" w:color="auto"/>
                    <w:left w:val="none" w:sz="0" w:space="0" w:color="auto"/>
                    <w:bottom w:val="none" w:sz="0" w:space="0" w:color="auto"/>
                    <w:right w:val="none" w:sz="0" w:space="0" w:color="auto"/>
                  </w:divBdr>
                  <w:divsChild>
                    <w:div w:id="10571391">
                      <w:marLeft w:val="0"/>
                      <w:marRight w:val="0"/>
                      <w:marTop w:val="0"/>
                      <w:marBottom w:val="0"/>
                      <w:divBdr>
                        <w:top w:val="none" w:sz="0" w:space="0" w:color="auto"/>
                        <w:left w:val="none" w:sz="0" w:space="0" w:color="auto"/>
                        <w:bottom w:val="none" w:sz="0" w:space="0" w:color="auto"/>
                        <w:right w:val="none" w:sz="0" w:space="0" w:color="auto"/>
                      </w:divBdr>
                    </w:div>
                  </w:divsChild>
                </w:div>
                <w:div w:id="1811820552">
                  <w:marLeft w:val="0"/>
                  <w:marRight w:val="0"/>
                  <w:marTop w:val="0"/>
                  <w:marBottom w:val="0"/>
                  <w:divBdr>
                    <w:top w:val="none" w:sz="0" w:space="0" w:color="auto"/>
                    <w:left w:val="none" w:sz="0" w:space="0" w:color="auto"/>
                    <w:bottom w:val="none" w:sz="0" w:space="0" w:color="auto"/>
                    <w:right w:val="none" w:sz="0" w:space="0" w:color="auto"/>
                  </w:divBdr>
                  <w:divsChild>
                    <w:div w:id="859439637">
                      <w:marLeft w:val="0"/>
                      <w:marRight w:val="0"/>
                      <w:marTop w:val="0"/>
                      <w:marBottom w:val="0"/>
                      <w:divBdr>
                        <w:top w:val="none" w:sz="0" w:space="0" w:color="auto"/>
                        <w:left w:val="none" w:sz="0" w:space="0" w:color="auto"/>
                        <w:bottom w:val="none" w:sz="0" w:space="0" w:color="auto"/>
                        <w:right w:val="none" w:sz="0" w:space="0" w:color="auto"/>
                      </w:divBdr>
                    </w:div>
                  </w:divsChild>
                </w:div>
                <w:div w:id="1816724546">
                  <w:marLeft w:val="0"/>
                  <w:marRight w:val="0"/>
                  <w:marTop w:val="0"/>
                  <w:marBottom w:val="0"/>
                  <w:divBdr>
                    <w:top w:val="none" w:sz="0" w:space="0" w:color="auto"/>
                    <w:left w:val="none" w:sz="0" w:space="0" w:color="auto"/>
                    <w:bottom w:val="none" w:sz="0" w:space="0" w:color="auto"/>
                    <w:right w:val="none" w:sz="0" w:space="0" w:color="auto"/>
                  </w:divBdr>
                  <w:divsChild>
                    <w:div w:id="1702589074">
                      <w:marLeft w:val="0"/>
                      <w:marRight w:val="0"/>
                      <w:marTop w:val="0"/>
                      <w:marBottom w:val="0"/>
                      <w:divBdr>
                        <w:top w:val="none" w:sz="0" w:space="0" w:color="auto"/>
                        <w:left w:val="none" w:sz="0" w:space="0" w:color="auto"/>
                        <w:bottom w:val="none" w:sz="0" w:space="0" w:color="auto"/>
                        <w:right w:val="none" w:sz="0" w:space="0" w:color="auto"/>
                      </w:divBdr>
                    </w:div>
                  </w:divsChild>
                </w:div>
                <w:div w:id="1838224512">
                  <w:marLeft w:val="0"/>
                  <w:marRight w:val="0"/>
                  <w:marTop w:val="0"/>
                  <w:marBottom w:val="0"/>
                  <w:divBdr>
                    <w:top w:val="none" w:sz="0" w:space="0" w:color="auto"/>
                    <w:left w:val="none" w:sz="0" w:space="0" w:color="auto"/>
                    <w:bottom w:val="none" w:sz="0" w:space="0" w:color="auto"/>
                    <w:right w:val="none" w:sz="0" w:space="0" w:color="auto"/>
                  </w:divBdr>
                  <w:divsChild>
                    <w:div w:id="990207005">
                      <w:marLeft w:val="0"/>
                      <w:marRight w:val="0"/>
                      <w:marTop w:val="0"/>
                      <w:marBottom w:val="0"/>
                      <w:divBdr>
                        <w:top w:val="none" w:sz="0" w:space="0" w:color="auto"/>
                        <w:left w:val="none" w:sz="0" w:space="0" w:color="auto"/>
                        <w:bottom w:val="none" w:sz="0" w:space="0" w:color="auto"/>
                        <w:right w:val="none" w:sz="0" w:space="0" w:color="auto"/>
                      </w:divBdr>
                    </w:div>
                  </w:divsChild>
                </w:div>
                <w:div w:id="1839267962">
                  <w:marLeft w:val="0"/>
                  <w:marRight w:val="0"/>
                  <w:marTop w:val="0"/>
                  <w:marBottom w:val="0"/>
                  <w:divBdr>
                    <w:top w:val="none" w:sz="0" w:space="0" w:color="auto"/>
                    <w:left w:val="none" w:sz="0" w:space="0" w:color="auto"/>
                    <w:bottom w:val="none" w:sz="0" w:space="0" w:color="auto"/>
                    <w:right w:val="none" w:sz="0" w:space="0" w:color="auto"/>
                  </w:divBdr>
                  <w:divsChild>
                    <w:div w:id="2038308138">
                      <w:marLeft w:val="0"/>
                      <w:marRight w:val="0"/>
                      <w:marTop w:val="0"/>
                      <w:marBottom w:val="0"/>
                      <w:divBdr>
                        <w:top w:val="none" w:sz="0" w:space="0" w:color="auto"/>
                        <w:left w:val="none" w:sz="0" w:space="0" w:color="auto"/>
                        <w:bottom w:val="none" w:sz="0" w:space="0" w:color="auto"/>
                        <w:right w:val="none" w:sz="0" w:space="0" w:color="auto"/>
                      </w:divBdr>
                    </w:div>
                  </w:divsChild>
                </w:div>
                <w:div w:id="1851791322">
                  <w:marLeft w:val="0"/>
                  <w:marRight w:val="0"/>
                  <w:marTop w:val="0"/>
                  <w:marBottom w:val="0"/>
                  <w:divBdr>
                    <w:top w:val="none" w:sz="0" w:space="0" w:color="auto"/>
                    <w:left w:val="none" w:sz="0" w:space="0" w:color="auto"/>
                    <w:bottom w:val="none" w:sz="0" w:space="0" w:color="auto"/>
                    <w:right w:val="none" w:sz="0" w:space="0" w:color="auto"/>
                  </w:divBdr>
                  <w:divsChild>
                    <w:div w:id="1895236915">
                      <w:marLeft w:val="0"/>
                      <w:marRight w:val="0"/>
                      <w:marTop w:val="0"/>
                      <w:marBottom w:val="0"/>
                      <w:divBdr>
                        <w:top w:val="none" w:sz="0" w:space="0" w:color="auto"/>
                        <w:left w:val="none" w:sz="0" w:space="0" w:color="auto"/>
                        <w:bottom w:val="none" w:sz="0" w:space="0" w:color="auto"/>
                        <w:right w:val="none" w:sz="0" w:space="0" w:color="auto"/>
                      </w:divBdr>
                    </w:div>
                  </w:divsChild>
                </w:div>
                <w:div w:id="1851990666">
                  <w:marLeft w:val="0"/>
                  <w:marRight w:val="0"/>
                  <w:marTop w:val="0"/>
                  <w:marBottom w:val="0"/>
                  <w:divBdr>
                    <w:top w:val="none" w:sz="0" w:space="0" w:color="auto"/>
                    <w:left w:val="none" w:sz="0" w:space="0" w:color="auto"/>
                    <w:bottom w:val="none" w:sz="0" w:space="0" w:color="auto"/>
                    <w:right w:val="none" w:sz="0" w:space="0" w:color="auto"/>
                  </w:divBdr>
                  <w:divsChild>
                    <w:div w:id="846553411">
                      <w:marLeft w:val="0"/>
                      <w:marRight w:val="0"/>
                      <w:marTop w:val="0"/>
                      <w:marBottom w:val="0"/>
                      <w:divBdr>
                        <w:top w:val="none" w:sz="0" w:space="0" w:color="auto"/>
                        <w:left w:val="none" w:sz="0" w:space="0" w:color="auto"/>
                        <w:bottom w:val="none" w:sz="0" w:space="0" w:color="auto"/>
                        <w:right w:val="none" w:sz="0" w:space="0" w:color="auto"/>
                      </w:divBdr>
                    </w:div>
                  </w:divsChild>
                </w:div>
                <w:div w:id="1886212486">
                  <w:marLeft w:val="0"/>
                  <w:marRight w:val="0"/>
                  <w:marTop w:val="0"/>
                  <w:marBottom w:val="0"/>
                  <w:divBdr>
                    <w:top w:val="none" w:sz="0" w:space="0" w:color="auto"/>
                    <w:left w:val="none" w:sz="0" w:space="0" w:color="auto"/>
                    <w:bottom w:val="none" w:sz="0" w:space="0" w:color="auto"/>
                    <w:right w:val="none" w:sz="0" w:space="0" w:color="auto"/>
                  </w:divBdr>
                  <w:divsChild>
                    <w:div w:id="1107119472">
                      <w:marLeft w:val="0"/>
                      <w:marRight w:val="0"/>
                      <w:marTop w:val="0"/>
                      <w:marBottom w:val="0"/>
                      <w:divBdr>
                        <w:top w:val="none" w:sz="0" w:space="0" w:color="auto"/>
                        <w:left w:val="none" w:sz="0" w:space="0" w:color="auto"/>
                        <w:bottom w:val="none" w:sz="0" w:space="0" w:color="auto"/>
                        <w:right w:val="none" w:sz="0" w:space="0" w:color="auto"/>
                      </w:divBdr>
                    </w:div>
                  </w:divsChild>
                </w:div>
                <w:div w:id="1896307898">
                  <w:marLeft w:val="0"/>
                  <w:marRight w:val="0"/>
                  <w:marTop w:val="0"/>
                  <w:marBottom w:val="0"/>
                  <w:divBdr>
                    <w:top w:val="none" w:sz="0" w:space="0" w:color="auto"/>
                    <w:left w:val="none" w:sz="0" w:space="0" w:color="auto"/>
                    <w:bottom w:val="none" w:sz="0" w:space="0" w:color="auto"/>
                    <w:right w:val="none" w:sz="0" w:space="0" w:color="auto"/>
                  </w:divBdr>
                  <w:divsChild>
                    <w:div w:id="1701976953">
                      <w:marLeft w:val="0"/>
                      <w:marRight w:val="0"/>
                      <w:marTop w:val="0"/>
                      <w:marBottom w:val="0"/>
                      <w:divBdr>
                        <w:top w:val="none" w:sz="0" w:space="0" w:color="auto"/>
                        <w:left w:val="none" w:sz="0" w:space="0" w:color="auto"/>
                        <w:bottom w:val="none" w:sz="0" w:space="0" w:color="auto"/>
                        <w:right w:val="none" w:sz="0" w:space="0" w:color="auto"/>
                      </w:divBdr>
                    </w:div>
                  </w:divsChild>
                </w:div>
                <w:div w:id="1914386448">
                  <w:marLeft w:val="0"/>
                  <w:marRight w:val="0"/>
                  <w:marTop w:val="0"/>
                  <w:marBottom w:val="0"/>
                  <w:divBdr>
                    <w:top w:val="none" w:sz="0" w:space="0" w:color="auto"/>
                    <w:left w:val="none" w:sz="0" w:space="0" w:color="auto"/>
                    <w:bottom w:val="none" w:sz="0" w:space="0" w:color="auto"/>
                    <w:right w:val="none" w:sz="0" w:space="0" w:color="auto"/>
                  </w:divBdr>
                  <w:divsChild>
                    <w:div w:id="1649817403">
                      <w:marLeft w:val="0"/>
                      <w:marRight w:val="0"/>
                      <w:marTop w:val="0"/>
                      <w:marBottom w:val="0"/>
                      <w:divBdr>
                        <w:top w:val="none" w:sz="0" w:space="0" w:color="auto"/>
                        <w:left w:val="none" w:sz="0" w:space="0" w:color="auto"/>
                        <w:bottom w:val="none" w:sz="0" w:space="0" w:color="auto"/>
                        <w:right w:val="none" w:sz="0" w:space="0" w:color="auto"/>
                      </w:divBdr>
                    </w:div>
                  </w:divsChild>
                </w:div>
                <w:div w:id="1918435948">
                  <w:marLeft w:val="0"/>
                  <w:marRight w:val="0"/>
                  <w:marTop w:val="0"/>
                  <w:marBottom w:val="0"/>
                  <w:divBdr>
                    <w:top w:val="none" w:sz="0" w:space="0" w:color="auto"/>
                    <w:left w:val="none" w:sz="0" w:space="0" w:color="auto"/>
                    <w:bottom w:val="none" w:sz="0" w:space="0" w:color="auto"/>
                    <w:right w:val="none" w:sz="0" w:space="0" w:color="auto"/>
                  </w:divBdr>
                  <w:divsChild>
                    <w:div w:id="675499256">
                      <w:marLeft w:val="0"/>
                      <w:marRight w:val="0"/>
                      <w:marTop w:val="0"/>
                      <w:marBottom w:val="0"/>
                      <w:divBdr>
                        <w:top w:val="none" w:sz="0" w:space="0" w:color="auto"/>
                        <w:left w:val="none" w:sz="0" w:space="0" w:color="auto"/>
                        <w:bottom w:val="none" w:sz="0" w:space="0" w:color="auto"/>
                        <w:right w:val="none" w:sz="0" w:space="0" w:color="auto"/>
                      </w:divBdr>
                    </w:div>
                  </w:divsChild>
                </w:div>
                <w:div w:id="1920602436">
                  <w:marLeft w:val="0"/>
                  <w:marRight w:val="0"/>
                  <w:marTop w:val="0"/>
                  <w:marBottom w:val="0"/>
                  <w:divBdr>
                    <w:top w:val="none" w:sz="0" w:space="0" w:color="auto"/>
                    <w:left w:val="none" w:sz="0" w:space="0" w:color="auto"/>
                    <w:bottom w:val="none" w:sz="0" w:space="0" w:color="auto"/>
                    <w:right w:val="none" w:sz="0" w:space="0" w:color="auto"/>
                  </w:divBdr>
                  <w:divsChild>
                    <w:div w:id="95056703">
                      <w:marLeft w:val="0"/>
                      <w:marRight w:val="0"/>
                      <w:marTop w:val="0"/>
                      <w:marBottom w:val="0"/>
                      <w:divBdr>
                        <w:top w:val="none" w:sz="0" w:space="0" w:color="auto"/>
                        <w:left w:val="none" w:sz="0" w:space="0" w:color="auto"/>
                        <w:bottom w:val="none" w:sz="0" w:space="0" w:color="auto"/>
                        <w:right w:val="none" w:sz="0" w:space="0" w:color="auto"/>
                      </w:divBdr>
                    </w:div>
                  </w:divsChild>
                </w:div>
                <w:div w:id="1961103065">
                  <w:marLeft w:val="0"/>
                  <w:marRight w:val="0"/>
                  <w:marTop w:val="0"/>
                  <w:marBottom w:val="0"/>
                  <w:divBdr>
                    <w:top w:val="none" w:sz="0" w:space="0" w:color="auto"/>
                    <w:left w:val="none" w:sz="0" w:space="0" w:color="auto"/>
                    <w:bottom w:val="none" w:sz="0" w:space="0" w:color="auto"/>
                    <w:right w:val="none" w:sz="0" w:space="0" w:color="auto"/>
                  </w:divBdr>
                  <w:divsChild>
                    <w:div w:id="1987513258">
                      <w:marLeft w:val="0"/>
                      <w:marRight w:val="0"/>
                      <w:marTop w:val="0"/>
                      <w:marBottom w:val="0"/>
                      <w:divBdr>
                        <w:top w:val="none" w:sz="0" w:space="0" w:color="auto"/>
                        <w:left w:val="none" w:sz="0" w:space="0" w:color="auto"/>
                        <w:bottom w:val="none" w:sz="0" w:space="0" w:color="auto"/>
                        <w:right w:val="none" w:sz="0" w:space="0" w:color="auto"/>
                      </w:divBdr>
                    </w:div>
                  </w:divsChild>
                </w:div>
                <w:div w:id="1982343809">
                  <w:marLeft w:val="0"/>
                  <w:marRight w:val="0"/>
                  <w:marTop w:val="0"/>
                  <w:marBottom w:val="0"/>
                  <w:divBdr>
                    <w:top w:val="none" w:sz="0" w:space="0" w:color="auto"/>
                    <w:left w:val="none" w:sz="0" w:space="0" w:color="auto"/>
                    <w:bottom w:val="none" w:sz="0" w:space="0" w:color="auto"/>
                    <w:right w:val="none" w:sz="0" w:space="0" w:color="auto"/>
                  </w:divBdr>
                  <w:divsChild>
                    <w:div w:id="613512737">
                      <w:marLeft w:val="0"/>
                      <w:marRight w:val="0"/>
                      <w:marTop w:val="0"/>
                      <w:marBottom w:val="0"/>
                      <w:divBdr>
                        <w:top w:val="none" w:sz="0" w:space="0" w:color="auto"/>
                        <w:left w:val="none" w:sz="0" w:space="0" w:color="auto"/>
                        <w:bottom w:val="none" w:sz="0" w:space="0" w:color="auto"/>
                        <w:right w:val="none" w:sz="0" w:space="0" w:color="auto"/>
                      </w:divBdr>
                    </w:div>
                  </w:divsChild>
                </w:div>
                <w:div w:id="1989749277">
                  <w:marLeft w:val="0"/>
                  <w:marRight w:val="0"/>
                  <w:marTop w:val="0"/>
                  <w:marBottom w:val="0"/>
                  <w:divBdr>
                    <w:top w:val="none" w:sz="0" w:space="0" w:color="auto"/>
                    <w:left w:val="none" w:sz="0" w:space="0" w:color="auto"/>
                    <w:bottom w:val="none" w:sz="0" w:space="0" w:color="auto"/>
                    <w:right w:val="none" w:sz="0" w:space="0" w:color="auto"/>
                  </w:divBdr>
                  <w:divsChild>
                    <w:div w:id="100690124">
                      <w:marLeft w:val="0"/>
                      <w:marRight w:val="0"/>
                      <w:marTop w:val="0"/>
                      <w:marBottom w:val="0"/>
                      <w:divBdr>
                        <w:top w:val="none" w:sz="0" w:space="0" w:color="auto"/>
                        <w:left w:val="none" w:sz="0" w:space="0" w:color="auto"/>
                        <w:bottom w:val="none" w:sz="0" w:space="0" w:color="auto"/>
                        <w:right w:val="none" w:sz="0" w:space="0" w:color="auto"/>
                      </w:divBdr>
                    </w:div>
                  </w:divsChild>
                </w:div>
                <w:div w:id="1993867567">
                  <w:marLeft w:val="0"/>
                  <w:marRight w:val="0"/>
                  <w:marTop w:val="0"/>
                  <w:marBottom w:val="0"/>
                  <w:divBdr>
                    <w:top w:val="none" w:sz="0" w:space="0" w:color="auto"/>
                    <w:left w:val="none" w:sz="0" w:space="0" w:color="auto"/>
                    <w:bottom w:val="none" w:sz="0" w:space="0" w:color="auto"/>
                    <w:right w:val="none" w:sz="0" w:space="0" w:color="auto"/>
                  </w:divBdr>
                  <w:divsChild>
                    <w:div w:id="1097140581">
                      <w:marLeft w:val="0"/>
                      <w:marRight w:val="0"/>
                      <w:marTop w:val="0"/>
                      <w:marBottom w:val="0"/>
                      <w:divBdr>
                        <w:top w:val="none" w:sz="0" w:space="0" w:color="auto"/>
                        <w:left w:val="none" w:sz="0" w:space="0" w:color="auto"/>
                        <w:bottom w:val="none" w:sz="0" w:space="0" w:color="auto"/>
                        <w:right w:val="none" w:sz="0" w:space="0" w:color="auto"/>
                      </w:divBdr>
                    </w:div>
                  </w:divsChild>
                </w:div>
                <w:div w:id="2014988349">
                  <w:marLeft w:val="0"/>
                  <w:marRight w:val="0"/>
                  <w:marTop w:val="0"/>
                  <w:marBottom w:val="0"/>
                  <w:divBdr>
                    <w:top w:val="none" w:sz="0" w:space="0" w:color="auto"/>
                    <w:left w:val="none" w:sz="0" w:space="0" w:color="auto"/>
                    <w:bottom w:val="none" w:sz="0" w:space="0" w:color="auto"/>
                    <w:right w:val="none" w:sz="0" w:space="0" w:color="auto"/>
                  </w:divBdr>
                  <w:divsChild>
                    <w:div w:id="2044549730">
                      <w:marLeft w:val="0"/>
                      <w:marRight w:val="0"/>
                      <w:marTop w:val="0"/>
                      <w:marBottom w:val="0"/>
                      <w:divBdr>
                        <w:top w:val="none" w:sz="0" w:space="0" w:color="auto"/>
                        <w:left w:val="none" w:sz="0" w:space="0" w:color="auto"/>
                        <w:bottom w:val="none" w:sz="0" w:space="0" w:color="auto"/>
                        <w:right w:val="none" w:sz="0" w:space="0" w:color="auto"/>
                      </w:divBdr>
                    </w:div>
                  </w:divsChild>
                </w:div>
                <w:div w:id="2015839882">
                  <w:marLeft w:val="0"/>
                  <w:marRight w:val="0"/>
                  <w:marTop w:val="0"/>
                  <w:marBottom w:val="0"/>
                  <w:divBdr>
                    <w:top w:val="none" w:sz="0" w:space="0" w:color="auto"/>
                    <w:left w:val="none" w:sz="0" w:space="0" w:color="auto"/>
                    <w:bottom w:val="none" w:sz="0" w:space="0" w:color="auto"/>
                    <w:right w:val="none" w:sz="0" w:space="0" w:color="auto"/>
                  </w:divBdr>
                  <w:divsChild>
                    <w:div w:id="409696731">
                      <w:marLeft w:val="0"/>
                      <w:marRight w:val="0"/>
                      <w:marTop w:val="0"/>
                      <w:marBottom w:val="0"/>
                      <w:divBdr>
                        <w:top w:val="none" w:sz="0" w:space="0" w:color="auto"/>
                        <w:left w:val="none" w:sz="0" w:space="0" w:color="auto"/>
                        <w:bottom w:val="none" w:sz="0" w:space="0" w:color="auto"/>
                        <w:right w:val="none" w:sz="0" w:space="0" w:color="auto"/>
                      </w:divBdr>
                    </w:div>
                  </w:divsChild>
                </w:div>
                <w:div w:id="2025471001">
                  <w:marLeft w:val="0"/>
                  <w:marRight w:val="0"/>
                  <w:marTop w:val="0"/>
                  <w:marBottom w:val="0"/>
                  <w:divBdr>
                    <w:top w:val="none" w:sz="0" w:space="0" w:color="auto"/>
                    <w:left w:val="none" w:sz="0" w:space="0" w:color="auto"/>
                    <w:bottom w:val="none" w:sz="0" w:space="0" w:color="auto"/>
                    <w:right w:val="none" w:sz="0" w:space="0" w:color="auto"/>
                  </w:divBdr>
                  <w:divsChild>
                    <w:div w:id="1984920117">
                      <w:marLeft w:val="0"/>
                      <w:marRight w:val="0"/>
                      <w:marTop w:val="0"/>
                      <w:marBottom w:val="0"/>
                      <w:divBdr>
                        <w:top w:val="none" w:sz="0" w:space="0" w:color="auto"/>
                        <w:left w:val="none" w:sz="0" w:space="0" w:color="auto"/>
                        <w:bottom w:val="none" w:sz="0" w:space="0" w:color="auto"/>
                        <w:right w:val="none" w:sz="0" w:space="0" w:color="auto"/>
                      </w:divBdr>
                    </w:div>
                  </w:divsChild>
                </w:div>
                <w:div w:id="2056998862">
                  <w:marLeft w:val="0"/>
                  <w:marRight w:val="0"/>
                  <w:marTop w:val="0"/>
                  <w:marBottom w:val="0"/>
                  <w:divBdr>
                    <w:top w:val="none" w:sz="0" w:space="0" w:color="auto"/>
                    <w:left w:val="none" w:sz="0" w:space="0" w:color="auto"/>
                    <w:bottom w:val="none" w:sz="0" w:space="0" w:color="auto"/>
                    <w:right w:val="none" w:sz="0" w:space="0" w:color="auto"/>
                  </w:divBdr>
                  <w:divsChild>
                    <w:div w:id="719785361">
                      <w:marLeft w:val="0"/>
                      <w:marRight w:val="0"/>
                      <w:marTop w:val="0"/>
                      <w:marBottom w:val="0"/>
                      <w:divBdr>
                        <w:top w:val="none" w:sz="0" w:space="0" w:color="auto"/>
                        <w:left w:val="none" w:sz="0" w:space="0" w:color="auto"/>
                        <w:bottom w:val="none" w:sz="0" w:space="0" w:color="auto"/>
                        <w:right w:val="none" w:sz="0" w:space="0" w:color="auto"/>
                      </w:divBdr>
                    </w:div>
                  </w:divsChild>
                </w:div>
                <w:div w:id="2071882959">
                  <w:marLeft w:val="0"/>
                  <w:marRight w:val="0"/>
                  <w:marTop w:val="0"/>
                  <w:marBottom w:val="0"/>
                  <w:divBdr>
                    <w:top w:val="none" w:sz="0" w:space="0" w:color="auto"/>
                    <w:left w:val="none" w:sz="0" w:space="0" w:color="auto"/>
                    <w:bottom w:val="none" w:sz="0" w:space="0" w:color="auto"/>
                    <w:right w:val="none" w:sz="0" w:space="0" w:color="auto"/>
                  </w:divBdr>
                  <w:divsChild>
                    <w:div w:id="335616829">
                      <w:marLeft w:val="0"/>
                      <w:marRight w:val="0"/>
                      <w:marTop w:val="0"/>
                      <w:marBottom w:val="0"/>
                      <w:divBdr>
                        <w:top w:val="none" w:sz="0" w:space="0" w:color="auto"/>
                        <w:left w:val="none" w:sz="0" w:space="0" w:color="auto"/>
                        <w:bottom w:val="none" w:sz="0" w:space="0" w:color="auto"/>
                        <w:right w:val="none" w:sz="0" w:space="0" w:color="auto"/>
                      </w:divBdr>
                    </w:div>
                  </w:divsChild>
                </w:div>
                <w:div w:id="2093700032">
                  <w:marLeft w:val="0"/>
                  <w:marRight w:val="0"/>
                  <w:marTop w:val="0"/>
                  <w:marBottom w:val="0"/>
                  <w:divBdr>
                    <w:top w:val="none" w:sz="0" w:space="0" w:color="auto"/>
                    <w:left w:val="none" w:sz="0" w:space="0" w:color="auto"/>
                    <w:bottom w:val="none" w:sz="0" w:space="0" w:color="auto"/>
                    <w:right w:val="none" w:sz="0" w:space="0" w:color="auto"/>
                  </w:divBdr>
                  <w:divsChild>
                    <w:div w:id="1336420321">
                      <w:marLeft w:val="0"/>
                      <w:marRight w:val="0"/>
                      <w:marTop w:val="0"/>
                      <w:marBottom w:val="0"/>
                      <w:divBdr>
                        <w:top w:val="none" w:sz="0" w:space="0" w:color="auto"/>
                        <w:left w:val="none" w:sz="0" w:space="0" w:color="auto"/>
                        <w:bottom w:val="none" w:sz="0" w:space="0" w:color="auto"/>
                        <w:right w:val="none" w:sz="0" w:space="0" w:color="auto"/>
                      </w:divBdr>
                    </w:div>
                  </w:divsChild>
                </w:div>
                <w:div w:id="2101756963">
                  <w:marLeft w:val="0"/>
                  <w:marRight w:val="0"/>
                  <w:marTop w:val="0"/>
                  <w:marBottom w:val="0"/>
                  <w:divBdr>
                    <w:top w:val="none" w:sz="0" w:space="0" w:color="auto"/>
                    <w:left w:val="none" w:sz="0" w:space="0" w:color="auto"/>
                    <w:bottom w:val="none" w:sz="0" w:space="0" w:color="auto"/>
                    <w:right w:val="none" w:sz="0" w:space="0" w:color="auto"/>
                  </w:divBdr>
                  <w:divsChild>
                    <w:div w:id="2111271180">
                      <w:marLeft w:val="0"/>
                      <w:marRight w:val="0"/>
                      <w:marTop w:val="0"/>
                      <w:marBottom w:val="0"/>
                      <w:divBdr>
                        <w:top w:val="none" w:sz="0" w:space="0" w:color="auto"/>
                        <w:left w:val="none" w:sz="0" w:space="0" w:color="auto"/>
                        <w:bottom w:val="none" w:sz="0" w:space="0" w:color="auto"/>
                        <w:right w:val="none" w:sz="0" w:space="0" w:color="auto"/>
                      </w:divBdr>
                    </w:div>
                  </w:divsChild>
                </w:div>
                <w:div w:id="2115861626">
                  <w:marLeft w:val="0"/>
                  <w:marRight w:val="0"/>
                  <w:marTop w:val="0"/>
                  <w:marBottom w:val="0"/>
                  <w:divBdr>
                    <w:top w:val="none" w:sz="0" w:space="0" w:color="auto"/>
                    <w:left w:val="none" w:sz="0" w:space="0" w:color="auto"/>
                    <w:bottom w:val="none" w:sz="0" w:space="0" w:color="auto"/>
                    <w:right w:val="none" w:sz="0" w:space="0" w:color="auto"/>
                  </w:divBdr>
                  <w:divsChild>
                    <w:div w:id="255946559">
                      <w:marLeft w:val="0"/>
                      <w:marRight w:val="0"/>
                      <w:marTop w:val="0"/>
                      <w:marBottom w:val="0"/>
                      <w:divBdr>
                        <w:top w:val="none" w:sz="0" w:space="0" w:color="auto"/>
                        <w:left w:val="none" w:sz="0" w:space="0" w:color="auto"/>
                        <w:bottom w:val="none" w:sz="0" w:space="0" w:color="auto"/>
                        <w:right w:val="none" w:sz="0" w:space="0" w:color="auto"/>
                      </w:divBdr>
                    </w:div>
                  </w:divsChild>
                </w:div>
                <w:div w:id="2117676799">
                  <w:marLeft w:val="0"/>
                  <w:marRight w:val="0"/>
                  <w:marTop w:val="0"/>
                  <w:marBottom w:val="0"/>
                  <w:divBdr>
                    <w:top w:val="none" w:sz="0" w:space="0" w:color="auto"/>
                    <w:left w:val="none" w:sz="0" w:space="0" w:color="auto"/>
                    <w:bottom w:val="none" w:sz="0" w:space="0" w:color="auto"/>
                    <w:right w:val="none" w:sz="0" w:space="0" w:color="auto"/>
                  </w:divBdr>
                  <w:divsChild>
                    <w:div w:id="895092816">
                      <w:marLeft w:val="0"/>
                      <w:marRight w:val="0"/>
                      <w:marTop w:val="0"/>
                      <w:marBottom w:val="0"/>
                      <w:divBdr>
                        <w:top w:val="none" w:sz="0" w:space="0" w:color="auto"/>
                        <w:left w:val="none" w:sz="0" w:space="0" w:color="auto"/>
                        <w:bottom w:val="none" w:sz="0" w:space="0" w:color="auto"/>
                        <w:right w:val="none" w:sz="0" w:space="0" w:color="auto"/>
                      </w:divBdr>
                    </w:div>
                  </w:divsChild>
                </w:div>
                <w:div w:id="2131901703">
                  <w:marLeft w:val="0"/>
                  <w:marRight w:val="0"/>
                  <w:marTop w:val="0"/>
                  <w:marBottom w:val="0"/>
                  <w:divBdr>
                    <w:top w:val="none" w:sz="0" w:space="0" w:color="auto"/>
                    <w:left w:val="none" w:sz="0" w:space="0" w:color="auto"/>
                    <w:bottom w:val="none" w:sz="0" w:space="0" w:color="auto"/>
                    <w:right w:val="none" w:sz="0" w:space="0" w:color="auto"/>
                  </w:divBdr>
                  <w:divsChild>
                    <w:div w:id="13527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76175">
          <w:marLeft w:val="0"/>
          <w:marRight w:val="0"/>
          <w:marTop w:val="0"/>
          <w:marBottom w:val="0"/>
          <w:divBdr>
            <w:top w:val="none" w:sz="0" w:space="0" w:color="auto"/>
            <w:left w:val="none" w:sz="0" w:space="0" w:color="auto"/>
            <w:bottom w:val="none" w:sz="0" w:space="0" w:color="auto"/>
            <w:right w:val="none" w:sz="0" w:space="0" w:color="auto"/>
          </w:divBdr>
        </w:div>
        <w:div w:id="937100285">
          <w:marLeft w:val="0"/>
          <w:marRight w:val="0"/>
          <w:marTop w:val="0"/>
          <w:marBottom w:val="0"/>
          <w:divBdr>
            <w:top w:val="none" w:sz="0" w:space="0" w:color="auto"/>
            <w:left w:val="none" w:sz="0" w:space="0" w:color="auto"/>
            <w:bottom w:val="none" w:sz="0" w:space="0" w:color="auto"/>
            <w:right w:val="none" w:sz="0" w:space="0" w:color="auto"/>
          </w:divBdr>
          <w:divsChild>
            <w:div w:id="1958561978">
              <w:marLeft w:val="-75"/>
              <w:marRight w:val="0"/>
              <w:marTop w:val="30"/>
              <w:marBottom w:val="30"/>
              <w:divBdr>
                <w:top w:val="none" w:sz="0" w:space="0" w:color="auto"/>
                <w:left w:val="none" w:sz="0" w:space="0" w:color="auto"/>
                <w:bottom w:val="none" w:sz="0" w:space="0" w:color="auto"/>
                <w:right w:val="none" w:sz="0" w:space="0" w:color="auto"/>
              </w:divBdr>
              <w:divsChild>
                <w:div w:id="25108752">
                  <w:marLeft w:val="0"/>
                  <w:marRight w:val="0"/>
                  <w:marTop w:val="0"/>
                  <w:marBottom w:val="0"/>
                  <w:divBdr>
                    <w:top w:val="none" w:sz="0" w:space="0" w:color="auto"/>
                    <w:left w:val="none" w:sz="0" w:space="0" w:color="auto"/>
                    <w:bottom w:val="none" w:sz="0" w:space="0" w:color="auto"/>
                    <w:right w:val="none" w:sz="0" w:space="0" w:color="auto"/>
                  </w:divBdr>
                  <w:divsChild>
                    <w:div w:id="2061442614">
                      <w:marLeft w:val="0"/>
                      <w:marRight w:val="0"/>
                      <w:marTop w:val="0"/>
                      <w:marBottom w:val="0"/>
                      <w:divBdr>
                        <w:top w:val="none" w:sz="0" w:space="0" w:color="auto"/>
                        <w:left w:val="none" w:sz="0" w:space="0" w:color="auto"/>
                        <w:bottom w:val="none" w:sz="0" w:space="0" w:color="auto"/>
                        <w:right w:val="none" w:sz="0" w:space="0" w:color="auto"/>
                      </w:divBdr>
                    </w:div>
                  </w:divsChild>
                </w:div>
                <w:div w:id="29258609">
                  <w:marLeft w:val="0"/>
                  <w:marRight w:val="0"/>
                  <w:marTop w:val="0"/>
                  <w:marBottom w:val="0"/>
                  <w:divBdr>
                    <w:top w:val="none" w:sz="0" w:space="0" w:color="auto"/>
                    <w:left w:val="none" w:sz="0" w:space="0" w:color="auto"/>
                    <w:bottom w:val="none" w:sz="0" w:space="0" w:color="auto"/>
                    <w:right w:val="none" w:sz="0" w:space="0" w:color="auto"/>
                  </w:divBdr>
                  <w:divsChild>
                    <w:div w:id="1646741866">
                      <w:marLeft w:val="0"/>
                      <w:marRight w:val="0"/>
                      <w:marTop w:val="0"/>
                      <w:marBottom w:val="0"/>
                      <w:divBdr>
                        <w:top w:val="none" w:sz="0" w:space="0" w:color="auto"/>
                        <w:left w:val="none" w:sz="0" w:space="0" w:color="auto"/>
                        <w:bottom w:val="none" w:sz="0" w:space="0" w:color="auto"/>
                        <w:right w:val="none" w:sz="0" w:space="0" w:color="auto"/>
                      </w:divBdr>
                    </w:div>
                  </w:divsChild>
                </w:div>
                <w:div w:id="39135827">
                  <w:marLeft w:val="0"/>
                  <w:marRight w:val="0"/>
                  <w:marTop w:val="0"/>
                  <w:marBottom w:val="0"/>
                  <w:divBdr>
                    <w:top w:val="none" w:sz="0" w:space="0" w:color="auto"/>
                    <w:left w:val="none" w:sz="0" w:space="0" w:color="auto"/>
                    <w:bottom w:val="none" w:sz="0" w:space="0" w:color="auto"/>
                    <w:right w:val="none" w:sz="0" w:space="0" w:color="auto"/>
                  </w:divBdr>
                  <w:divsChild>
                    <w:div w:id="923076735">
                      <w:marLeft w:val="0"/>
                      <w:marRight w:val="0"/>
                      <w:marTop w:val="0"/>
                      <w:marBottom w:val="0"/>
                      <w:divBdr>
                        <w:top w:val="none" w:sz="0" w:space="0" w:color="auto"/>
                        <w:left w:val="none" w:sz="0" w:space="0" w:color="auto"/>
                        <w:bottom w:val="none" w:sz="0" w:space="0" w:color="auto"/>
                        <w:right w:val="none" w:sz="0" w:space="0" w:color="auto"/>
                      </w:divBdr>
                    </w:div>
                  </w:divsChild>
                </w:div>
                <w:div w:id="44377799">
                  <w:marLeft w:val="0"/>
                  <w:marRight w:val="0"/>
                  <w:marTop w:val="0"/>
                  <w:marBottom w:val="0"/>
                  <w:divBdr>
                    <w:top w:val="none" w:sz="0" w:space="0" w:color="auto"/>
                    <w:left w:val="none" w:sz="0" w:space="0" w:color="auto"/>
                    <w:bottom w:val="none" w:sz="0" w:space="0" w:color="auto"/>
                    <w:right w:val="none" w:sz="0" w:space="0" w:color="auto"/>
                  </w:divBdr>
                  <w:divsChild>
                    <w:div w:id="490753106">
                      <w:marLeft w:val="0"/>
                      <w:marRight w:val="0"/>
                      <w:marTop w:val="0"/>
                      <w:marBottom w:val="0"/>
                      <w:divBdr>
                        <w:top w:val="none" w:sz="0" w:space="0" w:color="auto"/>
                        <w:left w:val="none" w:sz="0" w:space="0" w:color="auto"/>
                        <w:bottom w:val="none" w:sz="0" w:space="0" w:color="auto"/>
                        <w:right w:val="none" w:sz="0" w:space="0" w:color="auto"/>
                      </w:divBdr>
                    </w:div>
                  </w:divsChild>
                </w:div>
                <w:div w:id="45571890">
                  <w:marLeft w:val="0"/>
                  <w:marRight w:val="0"/>
                  <w:marTop w:val="0"/>
                  <w:marBottom w:val="0"/>
                  <w:divBdr>
                    <w:top w:val="none" w:sz="0" w:space="0" w:color="auto"/>
                    <w:left w:val="none" w:sz="0" w:space="0" w:color="auto"/>
                    <w:bottom w:val="none" w:sz="0" w:space="0" w:color="auto"/>
                    <w:right w:val="none" w:sz="0" w:space="0" w:color="auto"/>
                  </w:divBdr>
                  <w:divsChild>
                    <w:div w:id="1437870783">
                      <w:marLeft w:val="0"/>
                      <w:marRight w:val="0"/>
                      <w:marTop w:val="0"/>
                      <w:marBottom w:val="0"/>
                      <w:divBdr>
                        <w:top w:val="none" w:sz="0" w:space="0" w:color="auto"/>
                        <w:left w:val="none" w:sz="0" w:space="0" w:color="auto"/>
                        <w:bottom w:val="none" w:sz="0" w:space="0" w:color="auto"/>
                        <w:right w:val="none" w:sz="0" w:space="0" w:color="auto"/>
                      </w:divBdr>
                    </w:div>
                  </w:divsChild>
                </w:div>
                <w:div w:id="46414769">
                  <w:marLeft w:val="0"/>
                  <w:marRight w:val="0"/>
                  <w:marTop w:val="0"/>
                  <w:marBottom w:val="0"/>
                  <w:divBdr>
                    <w:top w:val="none" w:sz="0" w:space="0" w:color="auto"/>
                    <w:left w:val="none" w:sz="0" w:space="0" w:color="auto"/>
                    <w:bottom w:val="none" w:sz="0" w:space="0" w:color="auto"/>
                    <w:right w:val="none" w:sz="0" w:space="0" w:color="auto"/>
                  </w:divBdr>
                  <w:divsChild>
                    <w:div w:id="1927878451">
                      <w:marLeft w:val="0"/>
                      <w:marRight w:val="0"/>
                      <w:marTop w:val="0"/>
                      <w:marBottom w:val="0"/>
                      <w:divBdr>
                        <w:top w:val="none" w:sz="0" w:space="0" w:color="auto"/>
                        <w:left w:val="none" w:sz="0" w:space="0" w:color="auto"/>
                        <w:bottom w:val="none" w:sz="0" w:space="0" w:color="auto"/>
                        <w:right w:val="none" w:sz="0" w:space="0" w:color="auto"/>
                      </w:divBdr>
                    </w:div>
                  </w:divsChild>
                </w:div>
                <w:div w:id="56780881">
                  <w:marLeft w:val="0"/>
                  <w:marRight w:val="0"/>
                  <w:marTop w:val="0"/>
                  <w:marBottom w:val="0"/>
                  <w:divBdr>
                    <w:top w:val="none" w:sz="0" w:space="0" w:color="auto"/>
                    <w:left w:val="none" w:sz="0" w:space="0" w:color="auto"/>
                    <w:bottom w:val="none" w:sz="0" w:space="0" w:color="auto"/>
                    <w:right w:val="none" w:sz="0" w:space="0" w:color="auto"/>
                  </w:divBdr>
                  <w:divsChild>
                    <w:div w:id="808595976">
                      <w:marLeft w:val="0"/>
                      <w:marRight w:val="0"/>
                      <w:marTop w:val="0"/>
                      <w:marBottom w:val="0"/>
                      <w:divBdr>
                        <w:top w:val="none" w:sz="0" w:space="0" w:color="auto"/>
                        <w:left w:val="none" w:sz="0" w:space="0" w:color="auto"/>
                        <w:bottom w:val="none" w:sz="0" w:space="0" w:color="auto"/>
                        <w:right w:val="none" w:sz="0" w:space="0" w:color="auto"/>
                      </w:divBdr>
                    </w:div>
                  </w:divsChild>
                </w:div>
                <w:div w:id="61879017">
                  <w:marLeft w:val="0"/>
                  <w:marRight w:val="0"/>
                  <w:marTop w:val="0"/>
                  <w:marBottom w:val="0"/>
                  <w:divBdr>
                    <w:top w:val="none" w:sz="0" w:space="0" w:color="auto"/>
                    <w:left w:val="none" w:sz="0" w:space="0" w:color="auto"/>
                    <w:bottom w:val="none" w:sz="0" w:space="0" w:color="auto"/>
                    <w:right w:val="none" w:sz="0" w:space="0" w:color="auto"/>
                  </w:divBdr>
                  <w:divsChild>
                    <w:div w:id="1343438349">
                      <w:marLeft w:val="0"/>
                      <w:marRight w:val="0"/>
                      <w:marTop w:val="0"/>
                      <w:marBottom w:val="0"/>
                      <w:divBdr>
                        <w:top w:val="none" w:sz="0" w:space="0" w:color="auto"/>
                        <w:left w:val="none" w:sz="0" w:space="0" w:color="auto"/>
                        <w:bottom w:val="none" w:sz="0" w:space="0" w:color="auto"/>
                        <w:right w:val="none" w:sz="0" w:space="0" w:color="auto"/>
                      </w:divBdr>
                    </w:div>
                  </w:divsChild>
                </w:div>
                <w:div w:id="82726144">
                  <w:marLeft w:val="0"/>
                  <w:marRight w:val="0"/>
                  <w:marTop w:val="0"/>
                  <w:marBottom w:val="0"/>
                  <w:divBdr>
                    <w:top w:val="none" w:sz="0" w:space="0" w:color="auto"/>
                    <w:left w:val="none" w:sz="0" w:space="0" w:color="auto"/>
                    <w:bottom w:val="none" w:sz="0" w:space="0" w:color="auto"/>
                    <w:right w:val="none" w:sz="0" w:space="0" w:color="auto"/>
                  </w:divBdr>
                  <w:divsChild>
                    <w:div w:id="1298804639">
                      <w:marLeft w:val="0"/>
                      <w:marRight w:val="0"/>
                      <w:marTop w:val="0"/>
                      <w:marBottom w:val="0"/>
                      <w:divBdr>
                        <w:top w:val="none" w:sz="0" w:space="0" w:color="auto"/>
                        <w:left w:val="none" w:sz="0" w:space="0" w:color="auto"/>
                        <w:bottom w:val="none" w:sz="0" w:space="0" w:color="auto"/>
                        <w:right w:val="none" w:sz="0" w:space="0" w:color="auto"/>
                      </w:divBdr>
                    </w:div>
                  </w:divsChild>
                </w:div>
                <w:div w:id="97068145">
                  <w:marLeft w:val="0"/>
                  <w:marRight w:val="0"/>
                  <w:marTop w:val="0"/>
                  <w:marBottom w:val="0"/>
                  <w:divBdr>
                    <w:top w:val="none" w:sz="0" w:space="0" w:color="auto"/>
                    <w:left w:val="none" w:sz="0" w:space="0" w:color="auto"/>
                    <w:bottom w:val="none" w:sz="0" w:space="0" w:color="auto"/>
                    <w:right w:val="none" w:sz="0" w:space="0" w:color="auto"/>
                  </w:divBdr>
                  <w:divsChild>
                    <w:div w:id="155919643">
                      <w:marLeft w:val="0"/>
                      <w:marRight w:val="0"/>
                      <w:marTop w:val="0"/>
                      <w:marBottom w:val="0"/>
                      <w:divBdr>
                        <w:top w:val="none" w:sz="0" w:space="0" w:color="auto"/>
                        <w:left w:val="none" w:sz="0" w:space="0" w:color="auto"/>
                        <w:bottom w:val="none" w:sz="0" w:space="0" w:color="auto"/>
                        <w:right w:val="none" w:sz="0" w:space="0" w:color="auto"/>
                      </w:divBdr>
                    </w:div>
                  </w:divsChild>
                </w:div>
                <w:div w:id="100342482">
                  <w:marLeft w:val="0"/>
                  <w:marRight w:val="0"/>
                  <w:marTop w:val="0"/>
                  <w:marBottom w:val="0"/>
                  <w:divBdr>
                    <w:top w:val="none" w:sz="0" w:space="0" w:color="auto"/>
                    <w:left w:val="none" w:sz="0" w:space="0" w:color="auto"/>
                    <w:bottom w:val="none" w:sz="0" w:space="0" w:color="auto"/>
                    <w:right w:val="none" w:sz="0" w:space="0" w:color="auto"/>
                  </w:divBdr>
                  <w:divsChild>
                    <w:div w:id="1921328878">
                      <w:marLeft w:val="0"/>
                      <w:marRight w:val="0"/>
                      <w:marTop w:val="0"/>
                      <w:marBottom w:val="0"/>
                      <w:divBdr>
                        <w:top w:val="none" w:sz="0" w:space="0" w:color="auto"/>
                        <w:left w:val="none" w:sz="0" w:space="0" w:color="auto"/>
                        <w:bottom w:val="none" w:sz="0" w:space="0" w:color="auto"/>
                        <w:right w:val="none" w:sz="0" w:space="0" w:color="auto"/>
                      </w:divBdr>
                    </w:div>
                  </w:divsChild>
                </w:div>
                <w:div w:id="102845321">
                  <w:marLeft w:val="0"/>
                  <w:marRight w:val="0"/>
                  <w:marTop w:val="0"/>
                  <w:marBottom w:val="0"/>
                  <w:divBdr>
                    <w:top w:val="none" w:sz="0" w:space="0" w:color="auto"/>
                    <w:left w:val="none" w:sz="0" w:space="0" w:color="auto"/>
                    <w:bottom w:val="none" w:sz="0" w:space="0" w:color="auto"/>
                    <w:right w:val="none" w:sz="0" w:space="0" w:color="auto"/>
                  </w:divBdr>
                  <w:divsChild>
                    <w:div w:id="1406487323">
                      <w:marLeft w:val="0"/>
                      <w:marRight w:val="0"/>
                      <w:marTop w:val="0"/>
                      <w:marBottom w:val="0"/>
                      <w:divBdr>
                        <w:top w:val="none" w:sz="0" w:space="0" w:color="auto"/>
                        <w:left w:val="none" w:sz="0" w:space="0" w:color="auto"/>
                        <w:bottom w:val="none" w:sz="0" w:space="0" w:color="auto"/>
                        <w:right w:val="none" w:sz="0" w:space="0" w:color="auto"/>
                      </w:divBdr>
                    </w:div>
                    <w:div w:id="1447381534">
                      <w:marLeft w:val="0"/>
                      <w:marRight w:val="0"/>
                      <w:marTop w:val="0"/>
                      <w:marBottom w:val="0"/>
                      <w:divBdr>
                        <w:top w:val="none" w:sz="0" w:space="0" w:color="auto"/>
                        <w:left w:val="none" w:sz="0" w:space="0" w:color="auto"/>
                        <w:bottom w:val="none" w:sz="0" w:space="0" w:color="auto"/>
                        <w:right w:val="none" w:sz="0" w:space="0" w:color="auto"/>
                      </w:divBdr>
                    </w:div>
                  </w:divsChild>
                </w:div>
                <w:div w:id="105200832">
                  <w:marLeft w:val="0"/>
                  <w:marRight w:val="0"/>
                  <w:marTop w:val="0"/>
                  <w:marBottom w:val="0"/>
                  <w:divBdr>
                    <w:top w:val="none" w:sz="0" w:space="0" w:color="auto"/>
                    <w:left w:val="none" w:sz="0" w:space="0" w:color="auto"/>
                    <w:bottom w:val="none" w:sz="0" w:space="0" w:color="auto"/>
                    <w:right w:val="none" w:sz="0" w:space="0" w:color="auto"/>
                  </w:divBdr>
                  <w:divsChild>
                    <w:div w:id="367150382">
                      <w:marLeft w:val="0"/>
                      <w:marRight w:val="0"/>
                      <w:marTop w:val="0"/>
                      <w:marBottom w:val="0"/>
                      <w:divBdr>
                        <w:top w:val="none" w:sz="0" w:space="0" w:color="auto"/>
                        <w:left w:val="none" w:sz="0" w:space="0" w:color="auto"/>
                        <w:bottom w:val="none" w:sz="0" w:space="0" w:color="auto"/>
                        <w:right w:val="none" w:sz="0" w:space="0" w:color="auto"/>
                      </w:divBdr>
                    </w:div>
                  </w:divsChild>
                </w:div>
                <w:div w:id="120611815">
                  <w:marLeft w:val="0"/>
                  <w:marRight w:val="0"/>
                  <w:marTop w:val="0"/>
                  <w:marBottom w:val="0"/>
                  <w:divBdr>
                    <w:top w:val="none" w:sz="0" w:space="0" w:color="auto"/>
                    <w:left w:val="none" w:sz="0" w:space="0" w:color="auto"/>
                    <w:bottom w:val="none" w:sz="0" w:space="0" w:color="auto"/>
                    <w:right w:val="none" w:sz="0" w:space="0" w:color="auto"/>
                  </w:divBdr>
                  <w:divsChild>
                    <w:div w:id="775174261">
                      <w:marLeft w:val="0"/>
                      <w:marRight w:val="0"/>
                      <w:marTop w:val="0"/>
                      <w:marBottom w:val="0"/>
                      <w:divBdr>
                        <w:top w:val="none" w:sz="0" w:space="0" w:color="auto"/>
                        <w:left w:val="none" w:sz="0" w:space="0" w:color="auto"/>
                        <w:bottom w:val="none" w:sz="0" w:space="0" w:color="auto"/>
                        <w:right w:val="none" w:sz="0" w:space="0" w:color="auto"/>
                      </w:divBdr>
                    </w:div>
                  </w:divsChild>
                </w:div>
                <w:div w:id="126820466">
                  <w:marLeft w:val="0"/>
                  <w:marRight w:val="0"/>
                  <w:marTop w:val="0"/>
                  <w:marBottom w:val="0"/>
                  <w:divBdr>
                    <w:top w:val="none" w:sz="0" w:space="0" w:color="auto"/>
                    <w:left w:val="none" w:sz="0" w:space="0" w:color="auto"/>
                    <w:bottom w:val="none" w:sz="0" w:space="0" w:color="auto"/>
                    <w:right w:val="none" w:sz="0" w:space="0" w:color="auto"/>
                  </w:divBdr>
                  <w:divsChild>
                    <w:div w:id="1965695442">
                      <w:marLeft w:val="0"/>
                      <w:marRight w:val="0"/>
                      <w:marTop w:val="0"/>
                      <w:marBottom w:val="0"/>
                      <w:divBdr>
                        <w:top w:val="none" w:sz="0" w:space="0" w:color="auto"/>
                        <w:left w:val="none" w:sz="0" w:space="0" w:color="auto"/>
                        <w:bottom w:val="none" w:sz="0" w:space="0" w:color="auto"/>
                        <w:right w:val="none" w:sz="0" w:space="0" w:color="auto"/>
                      </w:divBdr>
                    </w:div>
                  </w:divsChild>
                </w:div>
                <w:div w:id="142817911">
                  <w:marLeft w:val="0"/>
                  <w:marRight w:val="0"/>
                  <w:marTop w:val="0"/>
                  <w:marBottom w:val="0"/>
                  <w:divBdr>
                    <w:top w:val="none" w:sz="0" w:space="0" w:color="auto"/>
                    <w:left w:val="none" w:sz="0" w:space="0" w:color="auto"/>
                    <w:bottom w:val="none" w:sz="0" w:space="0" w:color="auto"/>
                    <w:right w:val="none" w:sz="0" w:space="0" w:color="auto"/>
                  </w:divBdr>
                  <w:divsChild>
                    <w:div w:id="617683890">
                      <w:marLeft w:val="0"/>
                      <w:marRight w:val="0"/>
                      <w:marTop w:val="0"/>
                      <w:marBottom w:val="0"/>
                      <w:divBdr>
                        <w:top w:val="none" w:sz="0" w:space="0" w:color="auto"/>
                        <w:left w:val="none" w:sz="0" w:space="0" w:color="auto"/>
                        <w:bottom w:val="none" w:sz="0" w:space="0" w:color="auto"/>
                        <w:right w:val="none" w:sz="0" w:space="0" w:color="auto"/>
                      </w:divBdr>
                    </w:div>
                  </w:divsChild>
                </w:div>
                <w:div w:id="157886994">
                  <w:marLeft w:val="0"/>
                  <w:marRight w:val="0"/>
                  <w:marTop w:val="0"/>
                  <w:marBottom w:val="0"/>
                  <w:divBdr>
                    <w:top w:val="none" w:sz="0" w:space="0" w:color="auto"/>
                    <w:left w:val="none" w:sz="0" w:space="0" w:color="auto"/>
                    <w:bottom w:val="none" w:sz="0" w:space="0" w:color="auto"/>
                    <w:right w:val="none" w:sz="0" w:space="0" w:color="auto"/>
                  </w:divBdr>
                  <w:divsChild>
                    <w:div w:id="1120416902">
                      <w:marLeft w:val="0"/>
                      <w:marRight w:val="0"/>
                      <w:marTop w:val="0"/>
                      <w:marBottom w:val="0"/>
                      <w:divBdr>
                        <w:top w:val="none" w:sz="0" w:space="0" w:color="auto"/>
                        <w:left w:val="none" w:sz="0" w:space="0" w:color="auto"/>
                        <w:bottom w:val="none" w:sz="0" w:space="0" w:color="auto"/>
                        <w:right w:val="none" w:sz="0" w:space="0" w:color="auto"/>
                      </w:divBdr>
                    </w:div>
                  </w:divsChild>
                </w:div>
                <w:div w:id="168953444">
                  <w:marLeft w:val="0"/>
                  <w:marRight w:val="0"/>
                  <w:marTop w:val="0"/>
                  <w:marBottom w:val="0"/>
                  <w:divBdr>
                    <w:top w:val="none" w:sz="0" w:space="0" w:color="auto"/>
                    <w:left w:val="none" w:sz="0" w:space="0" w:color="auto"/>
                    <w:bottom w:val="none" w:sz="0" w:space="0" w:color="auto"/>
                    <w:right w:val="none" w:sz="0" w:space="0" w:color="auto"/>
                  </w:divBdr>
                  <w:divsChild>
                    <w:div w:id="648052088">
                      <w:marLeft w:val="0"/>
                      <w:marRight w:val="0"/>
                      <w:marTop w:val="0"/>
                      <w:marBottom w:val="0"/>
                      <w:divBdr>
                        <w:top w:val="none" w:sz="0" w:space="0" w:color="auto"/>
                        <w:left w:val="none" w:sz="0" w:space="0" w:color="auto"/>
                        <w:bottom w:val="none" w:sz="0" w:space="0" w:color="auto"/>
                        <w:right w:val="none" w:sz="0" w:space="0" w:color="auto"/>
                      </w:divBdr>
                    </w:div>
                  </w:divsChild>
                </w:div>
                <w:div w:id="178087388">
                  <w:marLeft w:val="0"/>
                  <w:marRight w:val="0"/>
                  <w:marTop w:val="0"/>
                  <w:marBottom w:val="0"/>
                  <w:divBdr>
                    <w:top w:val="none" w:sz="0" w:space="0" w:color="auto"/>
                    <w:left w:val="none" w:sz="0" w:space="0" w:color="auto"/>
                    <w:bottom w:val="none" w:sz="0" w:space="0" w:color="auto"/>
                    <w:right w:val="none" w:sz="0" w:space="0" w:color="auto"/>
                  </w:divBdr>
                  <w:divsChild>
                    <w:div w:id="26028345">
                      <w:marLeft w:val="0"/>
                      <w:marRight w:val="0"/>
                      <w:marTop w:val="0"/>
                      <w:marBottom w:val="0"/>
                      <w:divBdr>
                        <w:top w:val="none" w:sz="0" w:space="0" w:color="auto"/>
                        <w:left w:val="none" w:sz="0" w:space="0" w:color="auto"/>
                        <w:bottom w:val="none" w:sz="0" w:space="0" w:color="auto"/>
                        <w:right w:val="none" w:sz="0" w:space="0" w:color="auto"/>
                      </w:divBdr>
                    </w:div>
                    <w:div w:id="1837723422">
                      <w:marLeft w:val="0"/>
                      <w:marRight w:val="0"/>
                      <w:marTop w:val="0"/>
                      <w:marBottom w:val="0"/>
                      <w:divBdr>
                        <w:top w:val="none" w:sz="0" w:space="0" w:color="auto"/>
                        <w:left w:val="none" w:sz="0" w:space="0" w:color="auto"/>
                        <w:bottom w:val="none" w:sz="0" w:space="0" w:color="auto"/>
                        <w:right w:val="none" w:sz="0" w:space="0" w:color="auto"/>
                      </w:divBdr>
                    </w:div>
                  </w:divsChild>
                </w:div>
                <w:div w:id="190725985">
                  <w:marLeft w:val="0"/>
                  <w:marRight w:val="0"/>
                  <w:marTop w:val="0"/>
                  <w:marBottom w:val="0"/>
                  <w:divBdr>
                    <w:top w:val="none" w:sz="0" w:space="0" w:color="auto"/>
                    <w:left w:val="none" w:sz="0" w:space="0" w:color="auto"/>
                    <w:bottom w:val="none" w:sz="0" w:space="0" w:color="auto"/>
                    <w:right w:val="none" w:sz="0" w:space="0" w:color="auto"/>
                  </w:divBdr>
                  <w:divsChild>
                    <w:div w:id="1997027692">
                      <w:marLeft w:val="0"/>
                      <w:marRight w:val="0"/>
                      <w:marTop w:val="0"/>
                      <w:marBottom w:val="0"/>
                      <w:divBdr>
                        <w:top w:val="none" w:sz="0" w:space="0" w:color="auto"/>
                        <w:left w:val="none" w:sz="0" w:space="0" w:color="auto"/>
                        <w:bottom w:val="none" w:sz="0" w:space="0" w:color="auto"/>
                        <w:right w:val="none" w:sz="0" w:space="0" w:color="auto"/>
                      </w:divBdr>
                    </w:div>
                  </w:divsChild>
                </w:div>
                <w:div w:id="196620749">
                  <w:marLeft w:val="0"/>
                  <w:marRight w:val="0"/>
                  <w:marTop w:val="0"/>
                  <w:marBottom w:val="0"/>
                  <w:divBdr>
                    <w:top w:val="none" w:sz="0" w:space="0" w:color="auto"/>
                    <w:left w:val="none" w:sz="0" w:space="0" w:color="auto"/>
                    <w:bottom w:val="none" w:sz="0" w:space="0" w:color="auto"/>
                    <w:right w:val="none" w:sz="0" w:space="0" w:color="auto"/>
                  </w:divBdr>
                  <w:divsChild>
                    <w:div w:id="74596497">
                      <w:marLeft w:val="0"/>
                      <w:marRight w:val="0"/>
                      <w:marTop w:val="0"/>
                      <w:marBottom w:val="0"/>
                      <w:divBdr>
                        <w:top w:val="none" w:sz="0" w:space="0" w:color="auto"/>
                        <w:left w:val="none" w:sz="0" w:space="0" w:color="auto"/>
                        <w:bottom w:val="none" w:sz="0" w:space="0" w:color="auto"/>
                        <w:right w:val="none" w:sz="0" w:space="0" w:color="auto"/>
                      </w:divBdr>
                    </w:div>
                  </w:divsChild>
                </w:div>
                <w:div w:id="204997703">
                  <w:marLeft w:val="0"/>
                  <w:marRight w:val="0"/>
                  <w:marTop w:val="0"/>
                  <w:marBottom w:val="0"/>
                  <w:divBdr>
                    <w:top w:val="none" w:sz="0" w:space="0" w:color="auto"/>
                    <w:left w:val="none" w:sz="0" w:space="0" w:color="auto"/>
                    <w:bottom w:val="none" w:sz="0" w:space="0" w:color="auto"/>
                    <w:right w:val="none" w:sz="0" w:space="0" w:color="auto"/>
                  </w:divBdr>
                  <w:divsChild>
                    <w:div w:id="29040946">
                      <w:marLeft w:val="0"/>
                      <w:marRight w:val="0"/>
                      <w:marTop w:val="0"/>
                      <w:marBottom w:val="0"/>
                      <w:divBdr>
                        <w:top w:val="none" w:sz="0" w:space="0" w:color="auto"/>
                        <w:left w:val="none" w:sz="0" w:space="0" w:color="auto"/>
                        <w:bottom w:val="none" w:sz="0" w:space="0" w:color="auto"/>
                        <w:right w:val="none" w:sz="0" w:space="0" w:color="auto"/>
                      </w:divBdr>
                    </w:div>
                  </w:divsChild>
                </w:div>
                <w:div w:id="209735406">
                  <w:marLeft w:val="0"/>
                  <w:marRight w:val="0"/>
                  <w:marTop w:val="0"/>
                  <w:marBottom w:val="0"/>
                  <w:divBdr>
                    <w:top w:val="none" w:sz="0" w:space="0" w:color="auto"/>
                    <w:left w:val="none" w:sz="0" w:space="0" w:color="auto"/>
                    <w:bottom w:val="none" w:sz="0" w:space="0" w:color="auto"/>
                    <w:right w:val="none" w:sz="0" w:space="0" w:color="auto"/>
                  </w:divBdr>
                  <w:divsChild>
                    <w:div w:id="1862356547">
                      <w:marLeft w:val="0"/>
                      <w:marRight w:val="0"/>
                      <w:marTop w:val="0"/>
                      <w:marBottom w:val="0"/>
                      <w:divBdr>
                        <w:top w:val="none" w:sz="0" w:space="0" w:color="auto"/>
                        <w:left w:val="none" w:sz="0" w:space="0" w:color="auto"/>
                        <w:bottom w:val="none" w:sz="0" w:space="0" w:color="auto"/>
                        <w:right w:val="none" w:sz="0" w:space="0" w:color="auto"/>
                      </w:divBdr>
                    </w:div>
                  </w:divsChild>
                </w:div>
                <w:div w:id="214045757">
                  <w:marLeft w:val="0"/>
                  <w:marRight w:val="0"/>
                  <w:marTop w:val="0"/>
                  <w:marBottom w:val="0"/>
                  <w:divBdr>
                    <w:top w:val="none" w:sz="0" w:space="0" w:color="auto"/>
                    <w:left w:val="none" w:sz="0" w:space="0" w:color="auto"/>
                    <w:bottom w:val="none" w:sz="0" w:space="0" w:color="auto"/>
                    <w:right w:val="none" w:sz="0" w:space="0" w:color="auto"/>
                  </w:divBdr>
                  <w:divsChild>
                    <w:div w:id="1933933056">
                      <w:marLeft w:val="0"/>
                      <w:marRight w:val="0"/>
                      <w:marTop w:val="0"/>
                      <w:marBottom w:val="0"/>
                      <w:divBdr>
                        <w:top w:val="none" w:sz="0" w:space="0" w:color="auto"/>
                        <w:left w:val="none" w:sz="0" w:space="0" w:color="auto"/>
                        <w:bottom w:val="none" w:sz="0" w:space="0" w:color="auto"/>
                        <w:right w:val="none" w:sz="0" w:space="0" w:color="auto"/>
                      </w:divBdr>
                    </w:div>
                  </w:divsChild>
                </w:div>
                <w:div w:id="229656478">
                  <w:marLeft w:val="0"/>
                  <w:marRight w:val="0"/>
                  <w:marTop w:val="0"/>
                  <w:marBottom w:val="0"/>
                  <w:divBdr>
                    <w:top w:val="none" w:sz="0" w:space="0" w:color="auto"/>
                    <w:left w:val="none" w:sz="0" w:space="0" w:color="auto"/>
                    <w:bottom w:val="none" w:sz="0" w:space="0" w:color="auto"/>
                    <w:right w:val="none" w:sz="0" w:space="0" w:color="auto"/>
                  </w:divBdr>
                  <w:divsChild>
                    <w:div w:id="905342891">
                      <w:marLeft w:val="0"/>
                      <w:marRight w:val="0"/>
                      <w:marTop w:val="0"/>
                      <w:marBottom w:val="0"/>
                      <w:divBdr>
                        <w:top w:val="none" w:sz="0" w:space="0" w:color="auto"/>
                        <w:left w:val="none" w:sz="0" w:space="0" w:color="auto"/>
                        <w:bottom w:val="none" w:sz="0" w:space="0" w:color="auto"/>
                        <w:right w:val="none" w:sz="0" w:space="0" w:color="auto"/>
                      </w:divBdr>
                    </w:div>
                  </w:divsChild>
                </w:div>
                <w:div w:id="248736623">
                  <w:marLeft w:val="0"/>
                  <w:marRight w:val="0"/>
                  <w:marTop w:val="0"/>
                  <w:marBottom w:val="0"/>
                  <w:divBdr>
                    <w:top w:val="none" w:sz="0" w:space="0" w:color="auto"/>
                    <w:left w:val="none" w:sz="0" w:space="0" w:color="auto"/>
                    <w:bottom w:val="none" w:sz="0" w:space="0" w:color="auto"/>
                    <w:right w:val="none" w:sz="0" w:space="0" w:color="auto"/>
                  </w:divBdr>
                  <w:divsChild>
                    <w:div w:id="1586526961">
                      <w:marLeft w:val="0"/>
                      <w:marRight w:val="0"/>
                      <w:marTop w:val="0"/>
                      <w:marBottom w:val="0"/>
                      <w:divBdr>
                        <w:top w:val="none" w:sz="0" w:space="0" w:color="auto"/>
                        <w:left w:val="none" w:sz="0" w:space="0" w:color="auto"/>
                        <w:bottom w:val="none" w:sz="0" w:space="0" w:color="auto"/>
                        <w:right w:val="none" w:sz="0" w:space="0" w:color="auto"/>
                      </w:divBdr>
                    </w:div>
                  </w:divsChild>
                </w:div>
                <w:div w:id="253320343">
                  <w:marLeft w:val="0"/>
                  <w:marRight w:val="0"/>
                  <w:marTop w:val="0"/>
                  <w:marBottom w:val="0"/>
                  <w:divBdr>
                    <w:top w:val="none" w:sz="0" w:space="0" w:color="auto"/>
                    <w:left w:val="none" w:sz="0" w:space="0" w:color="auto"/>
                    <w:bottom w:val="none" w:sz="0" w:space="0" w:color="auto"/>
                    <w:right w:val="none" w:sz="0" w:space="0" w:color="auto"/>
                  </w:divBdr>
                  <w:divsChild>
                    <w:div w:id="731268878">
                      <w:marLeft w:val="0"/>
                      <w:marRight w:val="0"/>
                      <w:marTop w:val="0"/>
                      <w:marBottom w:val="0"/>
                      <w:divBdr>
                        <w:top w:val="none" w:sz="0" w:space="0" w:color="auto"/>
                        <w:left w:val="none" w:sz="0" w:space="0" w:color="auto"/>
                        <w:bottom w:val="none" w:sz="0" w:space="0" w:color="auto"/>
                        <w:right w:val="none" w:sz="0" w:space="0" w:color="auto"/>
                      </w:divBdr>
                    </w:div>
                  </w:divsChild>
                </w:div>
                <w:div w:id="255335333">
                  <w:marLeft w:val="0"/>
                  <w:marRight w:val="0"/>
                  <w:marTop w:val="0"/>
                  <w:marBottom w:val="0"/>
                  <w:divBdr>
                    <w:top w:val="none" w:sz="0" w:space="0" w:color="auto"/>
                    <w:left w:val="none" w:sz="0" w:space="0" w:color="auto"/>
                    <w:bottom w:val="none" w:sz="0" w:space="0" w:color="auto"/>
                    <w:right w:val="none" w:sz="0" w:space="0" w:color="auto"/>
                  </w:divBdr>
                  <w:divsChild>
                    <w:div w:id="834613008">
                      <w:marLeft w:val="0"/>
                      <w:marRight w:val="0"/>
                      <w:marTop w:val="0"/>
                      <w:marBottom w:val="0"/>
                      <w:divBdr>
                        <w:top w:val="none" w:sz="0" w:space="0" w:color="auto"/>
                        <w:left w:val="none" w:sz="0" w:space="0" w:color="auto"/>
                        <w:bottom w:val="none" w:sz="0" w:space="0" w:color="auto"/>
                        <w:right w:val="none" w:sz="0" w:space="0" w:color="auto"/>
                      </w:divBdr>
                    </w:div>
                  </w:divsChild>
                </w:div>
                <w:div w:id="258563114">
                  <w:marLeft w:val="0"/>
                  <w:marRight w:val="0"/>
                  <w:marTop w:val="0"/>
                  <w:marBottom w:val="0"/>
                  <w:divBdr>
                    <w:top w:val="none" w:sz="0" w:space="0" w:color="auto"/>
                    <w:left w:val="none" w:sz="0" w:space="0" w:color="auto"/>
                    <w:bottom w:val="none" w:sz="0" w:space="0" w:color="auto"/>
                    <w:right w:val="none" w:sz="0" w:space="0" w:color="auto"/>
                  </w:divBdr>
                  <w:divsChild>
                    <w:div w:id="1471092848">
                      <w:marLeft w:val="0"/>
                      <w:marRight w:val="0"/>
                      <w:marTop w:val="0"/>
                      <w:marBottom w:val="0"/>
                      <w:divBdr>
                        <w:top w:val="none" w:sz="0" w:space="0" w:color="auto"/>
                        <w:left w:val="none" w:sz="0" w:space="0" w:color="auto"/>
                        <w:bottom w:val="none" w:sz="0" w:space="0" w:color="auto"/>
                        <w:right w:val="none" w:sz="0" w:space="0" w:color="auto"/>
                      </w:divBdr>
                    </w:div>
                  </w:divsChild>
                </w:div>
                <w:div w:id="265964469">
                  <w:marLeft w:val="0"/>
                  <w:marRight w:val="0"/>
                  <w:marTop w:val="0"/>
                  <w:marBottom w:val="0"/>
                  <w:divBdr>
                    <w:top w:val="none" w:sz="0" w:space="0" w:color="auto"/>
                    <w:left w:val="none" w:sz="0" w:space="0" w:color="auto"/>
                    <w:bottom w:val="none" w:sz="0" w:space="0" w:color="auto"/>
                    <w:right w:val="none" w:sz="0" w:space="0" w:color="auto"/>
                  </w:divBdr>
                  <w:divsChild>
                    <w:div w:id="216363049">
                      <w:marLeft w:val="0"/>
                      <w:marRight w:val="0"/>
                      <w:marTop w:val="0"/>
                      <w:marBottom w:val="0"/>
                      <w:divBdr>
                        <w:top w:val="none" w:sz="0" w:space="0" w:color="auto"/>
                        <w:left w:val="none" w:sz="0" w:space="0" w:color="auto"/>
                        <w:bottom w:val="none" w:sz="0" w:space="0" w:color="auto"/>
                        <w:right w:val="none" w:sz="0" w:space="0" w:color="auto"/>
                      </w:divBdr>
                    </w:div>
                  </w:divsChild>
                </w:div>
                <w:div w:id="266736974">
                  <w:marLeft w:val="0"/>
                  <w:marRight w:val="0"/>
                  <w:marTop w:val="0"/>
                  <w:marBottom w:val="0"/>
                  <w:divBdr>
                    <w:top w:val="none" w:sz="0" w:space="0" w:color="auto"/>
                    <w:left w:val="none" w:sz="0" w:space="0" w:color="auto"/>
                    <w:bottom w:val="none" w:sz="0" w:space="0" w:color="auto"/>
                    <w:right w:val="none" w:sz="0" w:space="0" w:color="auto"/>
                  </w:divBdr>
                  <w:divsChild>
                    <w:div w:id="55710381">
                      <w:marLeft w:val="0"/>
                      <w:marRight w:val="0"/>
                      <w:marTop w:val="0"/>
                      <w:marBottom w:val="0"/>
                      <w:divBdr>
                        <w:top w:val="none" w:sz="0" w:space="0" w:color="auto"/>
                        <w:left w:val="none" w:sz="0" w:space="0" w:color="auto"/>
                        <w:bottom w:val="none" w:sz="0" w:space="0" w:color="auto"/>
                        <w:right w:val="none" w:sz="0" w:space="0" w:color="auto"/>
                      </w:divBdr>
                    </w:div>
                  </w:divsChild>
                </w:div>
                <w:div w:id="274214454">
                  <w:marLeft w:val="0"/>
                  <w:marRight w:val="0"/>
                  <w:marTop w:val="0"/>
                  <w:marBottom w:val="0"/>
                  <w:divBdr>
                    <w:top w:val="none" w:sz="0" w:space="0" w:color="auto"/>
                    <w:left w:val="none" w:sz="0" w:space="0" w:color="auto"/>
                    <w:bottom w:val="none" w:sz="0" w:space="0" w:color="auto"/>
                    <w:right w:val="none" w:sz="0" w:space="0" w:color="auto"/>
                  </w:divBdr>
                  <w:divsChild>
                    <w:div w:id="2135322999">
                      <w:marLeft w:val="0"/>
                      <w:marRight w:val="0"/>
                      <w:marTop w:val="0"/>
                      <w:marBottom w:val="0"/>
                      <w:divBdr>
                        <w:top w:val="none" w:sz="0" w:space="0" w:color="auto"/>
                        <w:left w:val="none" w:sz="0" w:space="0" w:color="auto"/>
                        <w:bottom w:val="none" w:sz="0" w:space="0" w:color="auto"/>
                        <w:right w:val="none" w:sz="0" w:space="0" w:color="auto"/>
                      </w:divBdr>
                    </w:div>
                  </w:divsChild>
                </w:div>
                <w:div w:id="277226720">
                  <w:marLeft w:val="0"/>
                  <w:marRight w:val="0"/>
                  <w:marTop w:val="0"/>
                  <w:marBottom w:val="0"/>
                  <w:divBdr>
                    <w:top w:val="none" w:sz="0" w:space="0" w:color="auto"/>
                    <w:left w:val="none" w:sz="0" w:space="0" w:color="auto"/>
                    <w:bottom w:val="none" w:sz="0" w:space="0" w:color="auto"/>
                    <w:right w:val="none" w:sz="0" w:space="0" w:color="auto"/>
                  </w:divBdr>
                  <w:divsChild>
                    <w:div w:id="866454015">
                      <w:marLeft w:val="0"/>
                      <w:marRight w:val="0"/>
                      <w:marTop w:val="0"/>
                      <w:marBottom w:val="0"/>
                      <w:divBdr>
                        <w:top w:val="none" w:sz="0" w:space="0" w:color="auto"/>
                        <w:left w:val="none" w:sz="0" w:space="0" w:color="auto"/>
                        <w:bottom w:val="none" w:sz="0" w:space="0" w:color="auto"/>
                        <w:right w:val="none" w:sz="0" w:space="0" w:color="auto"/>
                      </w:divBdr>
                    </w:div>
                  </w:divsChild>
                </w:div>
                <w:div w:id="294339697">
                  <w:marLeft w:val="0"/>
                  <w:marRight w:val="0"/>
                  <w:marTop w:val="0"/>
                  <w:marBottom w:val="0"/>
                  <w:divBdr>
                    <w:top w:val="none" w:sz="0" w:space="0" w:color="auto"/>
                    <w:left w:val="none" w:sz="0" w:space="0" w:color="auto"/>
                    <w:bottom w:val="none" w:sz="0" w:space="0" w:color="auto"/>
                    <w:right w:val="none" w:sz="0" w:space="0" w:color="auto"/>
                  </w:divBdr>
                  <w:divsChild>
                    <w:div w:id="990671287">
                      <w:marLeft w:val="0"/>
                      <w:marRight w:val="0"/>
                      <w:marTop w:val="0"/>
                      <w:marBottom w:val="0"/>
                      <w:divBdr>
                        <w:top w:val="none" w:sz="0" w:space="0" w:color="auto"/>
                        <w:left w:val="none" w:sz="0" w:space="0" w:color="auto"/>
                        <w:bottom w:val="none" w:sz="0" w:space="0" w:color="auto"/>
                        <w:right w:val="none" w:sz="0" w:space="0" w:color="auto"/>
                      </w:divBdr>
                    </w:div>
                  </w:divsChild>
                </w:div>
                <w:div w:id="319622192">
                  <w:marLeft w:val="0"/>
                  <w:marRight w:val="0"/>
                  <w:marTop w:val="0"/>
                  <w:marBottom w:val="0"/>
                  <w:divBdr>
                    <w:top w:val="none" w:sz="0" w:space="0" w:color="auto"/>
                    <w:left w:val="none" w:sz="0" w:space="0" w:color="auto"/>
                    <w:bottom w:val="none" w:sz="0" w:space="0" w:color="auto"/>
                    <w:right w:val="none" w:sz="0" w:space="0" w:color="auto"/>
                  </w:divBdr>
                  <w:divsChild>
                    <w:div w:id="1123572466">
                      <w:marLeft w:val="0"/>
                      <w:marRight w:val="0"/>
                      <w:marTop w:val="0"/>
                      <w:marBottom w:val="0"/>
                      <w:divBdr>
                        <w:top w:val="none" w:sz="0" w:space="0" w:color="auto"/>
                        <w:left w:val="none" w:sz="0" w:space="0" w:color="auto"/>
                        <w:bottom w:val="none" w:sz="0" w:space="0" w:color="auto"/>
                        <w:right w:val="none" w:sz="0" w:space="0" w:color="auto"/>
                      </w:divBdr>
                    </w:div>
                  </w:divsChild>
                </w:div>
                <w:div w:id="385029854">
                  <w:marLeft w:val="0"/>
                  <w:marRight w:val="0"/>
                  <w:marTop w:val="0"/>
                  <w:marBottom w:val="0"/>
                  <w:divBdr>
                    <w:top w:val="none" w:sz="0" w:space="0" w:color="auto"/>
                    <w:left w:val="none" w:sz="0" w:space="0" w:color="auto"/>
                    <w:bottom w:val="none" w:sz="0" w:space="0" w:color="auto"/>
                    <w:right w:val="none" w:sz="0" w:space="0" w:color="auto"/>
                  </w:divBdr>
                  <w:divsChild>
                    <w:div w:id="361326253">
                      <w:marLeft w:val="0"/>
                      <w:marRight w:val="0"/>
                      <w:marTop w:val="0"/>
                      <w:marBottom w:val="0"/>
                      <w:divBdr>
                        <w:top w:val="none" w:sz="0" w:space="0" w:color="auto"/>
                        <w:left w:val="none" w:sz="0" w:space="0" w:color="auto"/>
                        <w:bottom w:val="none" w:sz="0" w:space="0" w:color="auto"/>
                        <w:right w:val="none" w:sz="0" w:space="0" w:color="auto"/>
                      </w:divBdr>
                    </w:div>
                  </w:divsChild>
                </w:div>
                <w:div w:id="390470745">
                  <w:marLeft w:val="0"/>
                  <w:marRight w:val="0"/>
                  <w:marTop w:val="0"/>
                  <w:marBottom w:val="0"/>
                  <w:divBdr>
                    <w:top w:val="none" w:sz="0" w:space="0" w:color="auto"/>
                    <w:left w:val="none" w:sz="0" w:space="0" w:color="auto"/>
                    <w:bottom w:val="none" w:sz="0" w:space="0" w:color="auto"/>
                    <w:right w:val="none" w:sz="0" w:space="0" w:color="auto"/>
                  </w:divBdr>
                  <w:divsChild>
                    <w:div w:id="633170642">
                      <w:marLeft w:val="0"/>
                      <w:marRight w:val="0"/>
                      <w:marTop w:val="0"/>
                      <w:marBottom w:val="0"/>
                      <w:divBdr>
                        <w:top w:val="none" w:sz="0" w:space="0" w:color="auto"/>
                        <w:left w:val="none" w:sz="0" w:space="0" w:color="auto"/>
                        <w:bottom w:val="none" w:sz="0" w:space="0" w:color="auto"/>
                        <w:right w:val="none" w:sz="0" w:space="0" w:color="auto"/>
                      </w:divBdr>
                    </w:div>
                  </w:divsChild>
                </w:div>
                <w:div w:id="407580606">
                  <w:marLeft w:val="0"/>
                  <w:marRight w:val="0"/>
                  <w:marTop w:val="0"/>
                  <w:marBottom w:val="0"/>
                  <w:divBdr>
                    <w:top w:val="none" w:sz="0" w:space="0" w:color="auto"/>
                    <w:left w:val="none" w:sz="0" w:space="0" w:color="auto"/>
                    <w:bottom w:val="none" w:sz="0" w:space="0" w:color="auto"/>
                    <w:right w:val="none" w:sz="0" w:space="0" w:color="auto"/>
                  </w:divBdr>
                  <w:divsChild>
                    <w:div w:id="671684667">
                      <w:marLeft w:val="0"/>
                      <w:marRight w:val="0"/>
                      <w:marTop w:val="0"/>
                      <w:marBottom w:val="0"/>
                      <w:divBdr>
                        <w:top w:val="none" w:sz="0" w:space="0" w:color="auto"/>
                        <w:left w:val="none" w:sz="0" w:space="0" w:color="auto"/>
                        <w:bottom w:val="none" w:sz="0" w:space="0" w:color="auto"/>
                        <w:right w:val="none" w:sz="0" w:space="0" w:color="auto"/>
                      </w:divBdr>
                    </w:div>
                  </w:divsChild>
                </w:div>
                <w:div w:id="408618741">
                  <w:marLeft w:val="0"/>
                  <w:marRight w:val="0"/>
                  <w:marTop w:val="0"/>
                  <w:marBottom w:val="0"/>
                  <w:divBdr>
                    <w:top w:val="none" w:sz="0" w:space="0" w:color="auto"/>
                    <w:left w:val="none" w:sz="0" w:space="0" w:color="auto"/>
                    <w:bottom w:val="none" w:sz="0" w:space="0" w:color="auto"/>
                    <w:right w:val="none" w:sz="0" w:space="0" w:color="auto"/>
                  </w:divBdr>
                  <w:divsChild>
                    <w:div w:id="420680179">
                      <w:marLeft w:val="0"/>
                      <w:marRight w:val="0"/>
                      <w:marTop w:val="0"/>
                      <w:marBottom w:val="0"/>
                      <w:divBdr>
                        <w:top w:val="none" w:sz="0" w:space="0" w:color="auto"/>
                        <w:left w:val="none" w:sz="0" w:space="0" w:color="auto"/>
                        <w:bottom w:val="none" w:sz="0" w:space="0" w:color="auto"/>
                        <w:right w:val="none" w:sz="0" w:space="0" w:color="auto"/>
                      </w:divBdr>
                    </w:div>
                  </w:divsChild>
                </w:div>
                <w:div w:id="424768004">
                  <w:marLeft w:val="0"/>
                  <w:marRight w:val="0"/>
                  <w:marTop w:val="0"/>
                  <w:marBottom w:val="0"/>
                  <w:divBdr>
                    <w:top w:val="none" w:sz="0" w:space="0" w:color="auto"/>
                    <w:left w:val="none" w:sz="0" w:space="0" w:color="auto"/>
                    <w:bottom w:val="none" w:sz="0" w:space="0" w:color="auto"/>
                    <w:right w:val="none" w:sz="0" w:space="0" w:color="auto"/>
                  </w:divBdr>
                  <w:divsChild>
                    <w:div w:id="146287213">
                      <w:marLeft w:val="0"/>
                      <w:marRight w:val="0"/>
                      <w:marTop w:val="0"/>
                      <w:marBottom w:val="0"/>
                      <w:divBdr>
                        <w:top w:val="none" w:sz="0" w:space="0" w:color="auto"/>
                        <w:left w:val="none" w:sz="0" w:space="0" w:color="auto"/>
                        <w:bottom w:val="none" w:sz="0" w:space="0" w:color="auto"/>
                        <w:right w:val="none" w:sz="0" w:space="0" w:color="auto"/>
                      </w:divBdr>
                    </w:div>
                  </w:divsChild>
                </w:div>
                <w:div w:id="455299926">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
                  </w:divsChild>
                </w:div>
                <w:div w:id="462306705">
                  <w:marLeft w:val="0"/>
                  <w:marRight w:val="0"/>
                  <w:marTop w:val="0"/>
                  <w:marBottom w:val="0"/>
                  <w:divBdr>
                    <w:top w:val="none" w:sz="0" w:space="0" w:color="auto"/>
                    <w:left w:val="none" w:sz="0" w:space="0" w:color="auto"/>
                    <w:bottom w:val="none" w:sz="0" w:space="0" w:color="auto"/>
                    <w:right w:val="none" w:sz="0" w:space="0" w:color="auto"/>
                  </w:divBdr>
                  <w:divsChild>
                    <w:div w:id="520360185">
                      <w:marLeft w:val="0"/>
                      <w:marRight w:val="0"/>
                      <w:marTop w:val="0"/>
                      <w:marBottom w:val="0"/>
                      <w:divBdr>
                        <w:top w:val="none" w:sz="0" w:space="0" w:color="auto"/>
                        <w:left w:val="none" w:sz="0" w:space="0" w:color="auto"/>
                        <w:bottom w:val="none" w:sz="0" w:space="0" w:color="auto"/>
                        <w:right w:val="none" w:sz="0" w:space="0" w:color="auto"/>
                      </w:divBdr>
                    </w:div>
                  </w:divsChild>
                </w:div>
                <w:div w:id="466633646">
                  <w:marLeft w:val="0"/>
                  <w:marRight w:val="0"/>
                  <w:marTop w:val="0"/>
                  <w:marBottom w:val="0"/>
                  <w:divBdr>
                    <w:top w:val="none" w:sz="0" w:space="0" w:color="auto"/>
                    <w:left w:val="none" w:sz="0" w:space="0" w:color="auto"/>
                    <w:bottom w:val="none" w:sz="0" w:space="0" w:color="auto"/>
                    <w:right w:val="none" w:sz="0" w:space="0" w:color="auto"/>
                  </w:divBdr>
                  <w:divsChild>
                    <w:div w:id="1086347114">
                      <w:marLeft w:val="0"/>
                      <w:marRight w:val="0"/>
                      <w:marTop w:val="0"/>
                      <w:marBottom w:val="0"/>
                      <w:divBdr>
                        <w:top w:val="none" w:sz="0" w:space="0" w:color="auto"/>
                        <w:left w:val="none" w:sz="0" w:space="0" w:color="auto"/>
                        <w:bottom w:val="none" w:sz="0" w:space="0" w:color="auto"/>
                        <w:right w:val="none" w:sz="0" w:space="0" w:color="auto"/>
                      </w:divBdr>
                    </w:div>
                  </w:divsChild>
                </w:div>
                <w:div w:id="478962269">
                  <w:marLeft w:val="0"/>
                  <w:marRight w:val="0"/>
                  <w:marTop w:val="0"/>
                  <w:marBottom w:val="0"/>
                  <w:divBdr>
                    <w:top w:val="none" w:sz="0" w:space="0" w:color="auto"/>
                    <w:left w:val="none" w:sz="0" w:space="0" w:color="auto"/>
                    <w:bottom w:val="none" w:sz="0" w:space="0" w:color="auto"/>
                    <w:right w:val="none" w:sz="0" w:space="0" w:color="auto"/>
                  </w:divBdr>
                  <w:divsChild>
                    <w:div w:id="13508457">
                      <w:marLeft w:val="0"/>
                      <w:marRight w:val="0"/>
                      <w:marTop w:val="0"/>
                      <w:marBottom w:val="0"/>
                      <w:divBdr>
                        <w:top w:val="none" w:sz="0" w:space="0" w:color="auto"/>
                        <w:left w:val="none" w:sz="0" w:space="0" w:color="auto"/>
                        <w:bottom w:val="none" w:sz="0" w:space="0" w:color="auto"/>
                        <w:right w:val="none" w:sz="0" w:space="0" w:color="auto"/>
                      </w:divBdr>
                    </w:div>
                  </w:divsChild>
                </w:div>
                <w:div w:id="482814028">
                  <w:marLeft w:val="0"/>
                  <w:marRight w:val="0"/>
                  <w:marTop w:val="0"/>
                  <w:marBottom w:val="0"/>
                  <w:divBdr>
                    <w:top w:val="none" w:sz="0" w:space="0" w:color="auto"/>
                    <w:left w:val="none" w:sz="0" w:space="0" w:color="auto"/>
                    <w:bottom w:val="none" w:sz="0" w:space="0" w:color="auto"/>
                    <w:right w:val="none" w:sz="0" w:space="0" w:color="auto"/>
                  </w:divBdr>
                  <w:divsChild>
                    <w:div w:id="553659272">
                      <w:marLeft w:val="0"/>
                      <w:marRight w:val="0"/>
                      <w:marTop w:val="0"/>
                      <w:marBottom w:val="0"/>
                      <w:divBdr>
                        <w:top w:val="none" w:sz="0" w:space="0" w:color="auto"/>
                        <w:left w:val="none" w:sz="0" w:space="0" w:color="auto"/>
                        <w:bottom w:val="none" w:sz="0" w:space="0" w:color="auto"/>
                        <w:right w:val="none" w:sz="0" w:space="0" w:color="auto"/>
                      </w:divBdr>
                    </w:div>
                  </w:divsChild>
                </w:div>
                <w:div w:id="497158932">
                  <w:marLeft w:val="0"/>
                  <w:marRight w:val="0"/>
                  <w:marTop w:val="0"/>
                  <w:marBottom w:val="0"/>
                  <w:divBdr>
                    <w:top w:val="none" w:sz="0" w:space="0" w:color="auto"/>
                    <w:left w:val="none" w:sz="0" w:space="0" w:color="auto"/>
                    <w:bottom w:val="none" w:sz="0" w:space="0" w:color="auto"/>
                    <w:right w:val="none" w:sz="0" w:space="0" w:color="auto"/>
                  </w:divBdr>
                  <w:divsChild>
                    <w:div w:id="141504269">
                      <w:marLeft w:val="0"/>
                      <w:marRight w:val="0"/>
                      <w:marTop w:val="0"/>
                      <w:marBottom w:val="0"/>
                      <w:divBdr>
                        <w:top w:val="none" w:sz="0" w:space="0" w:color="auto"/>
                        <w:left w:val="none" w:sz="0" w:space="0" w:color="auto"/>
                        <w:bottom w:val="none" w:sz="0" w:space="0" w:color="auto"/>
                        <w:right w:val="none" w:sz="0" w:space="0" w:color="auto"/>
                      </w:divBdr>
                    </w:div>
                  </w:divsChild>
                </w:div>
                <w:div w:id="498158551">
                  <w:marLeft w:val="0"/>
                  <w:marRight w:val="0"/>
                  <w:marTop w:val="0"/>
                  <w:marBottom w:val="0"/>
                  <w:divBdr>
                    <w:top w:val="none" w:sz="0" w:space="0" w:color="auto"/>
                    <w:left w:val="none" w:sz="0" w:space="0" w:color="auto"/>
                    <w:bottom w:val="none" w:sz="0" w:space="0" w:color="auto"/>
                    <w:right w:val="none" w:sz="0" w:space="0" w:color="auto"/>
                  </w:divBdr>
                  <w:divsChild>
                    <w:div w:id="184905553">
                      <w:marLeft w:val="0"/>
                      <w:marRight w:val="0"/>
                      <w:marTop w:val="0"/>
                      <w:marBottom w:val="0"/>
                      <w:divBdr>
                        <w:top w:val="none" w:sz="0" w:space="0" w:color="auto"/>
                        <w:left w:val="none" w:sz="0" w:space="0" w:color="auto"/>
                        <w:bottom w:val="none" w:sz="0" w:space="0" w:color="auto"/>
                        <w:right w:val="none" w:sz="0" w:space="0" w:color="auto"/>
                      </w:divBdr>
                    </w:div>
                  </w:divsChild>
                </w:div>
                <w:div w:id="503471811">
                  <w:marLeft w:val="0"/>
                  <w:marRight w:val="0"/>
                  <w:marTop w:val="0"/>
                  <w:marBottom w:val="0"/>
                  <w:divBdr>
                    <w:top w:val="none" w:sz="0" w:space="0" w:color="auto"/>
                    <w:left w:val="none" w:sz="0" w:space="0" w:color="auto"/>
                    <w:bottom w:val="none" w:sz="0" w:space="0" w:color="auto"/>
                    <w:right w:val="none" w:sz="0" w:space="0" w:color="auto"/>
                  </w:divBdr>
                  <w:divsChild>
                    <w:div w:id="1515343027">
                      <w:marLeft w:val="0"/>
                      <w:marRight w:val="0"/>
                      <w:marTop w:val="0"/>
                      <w:marBottom w:val="0"/>
                      <w:divBdr>
                        <w:top w:val="none" w:sz="0" w:space="0" w:color="auto"/>
                        <w:left w:val="none" w:sz="0" w:space="0" w:color="auto"/>
                        <w:bottom w:val="none" w:sz="0" w:space="0" w:color="auto"/>
                        <w:right w:val="none" w:sz="0" w:space="0" w:color="auto"/>
                      </w:divBdr>
                    </w:div>
                    <w:div w:id="1674525078">
                      <w:marLeft w:val="0"/>
                      <w:marRight w:val="0"/>
                      <w:marTop w:val="0"/>
                      <w:marBottom w:val="0"/>
                      <w:divBdr>
                        <w:top w:val="none" w:sz="0" w:space="0" w:color="auto"/>
                        <w:left w:val="none" w:sz="0" w:space="0" w:color="auto"/>
                        <w:bottom w:val="none" w:sz="0" w:space="0" w:color="auto"/>
                        <w:right w:val="none" w:sz="0" w:space="0" w:color="auto"/>
                      </w:divBdr>
                    </w:div>
                  </w:divsChild>
                </w:div>
                <w:div w:id="504322447">
                  <w:marLeft w:val="0"/>
                  <w:marRight w:val="0"/>
                  <w:marTop w:val="0"/>
                  <w:marBottom w:val="0"/>
                  <w:divBdr>
                    <w:top w:val="none" w:sz="0" w:space="0" w:color="auto"/>
                    <w:left w:val="none" w:sz="0" w:space="0" w:color="auto"/>
                    <w:bottom w:val="none" w:sz="0" w:space="0" w:color="auto"/>
                    <w:right w:val="none" w:sz="0" w:space="0" w:color="auto"/>
                  </w:divBdr>
                  <w:divsChild>
                    <w:div w:id="759522732">
                      <w:marLeft w:val="0"/>
                      <w:marRight w:val="0"/>
                      <w:marTop w:val="0"/>
                      <w:marBottom w:val="0"/>
                      <w:divBdr>
                        <w:top w:val="none" w:sz="0" w:space="0" w:color="auto"/>
                        <w:left w:val="none" w:sz="0" w:space="0" w:color="auto"/>
                        <w:bottom w:val="none" w:sz="0" w:space="0" w:color="auto"/>
                        <w:right w:val="none" w:sz="0" w:space="0" w:color="auto"/>
                      </w:divBdr>
                    </w:div>
                  </w:divsChild>
                </w:div>
                <w:div w:id="511995146">
                  <w:marLeft w:val="0"/>
                  <w:marRight w:val="0"/>
                  <w:marTop w:val="0"/>
                  <w:marBottom w:val="0"/>
                  <w:divBdr>
                    <w:top w:val="none" w:sz="0" w:space="0" w:color="auto"/>
                    <w:left w:val="none" w:sz="0" w:space="0" w:color="auto"/>
                    <w:bottom w:val="none" w:sz="0" w:space="0" w:color="auto"/>
                    <w:right w:val="none" w:sz="0" w:space="0" w:color="auto"/>
                  </w:divBdr>
                  <w:divsChild>
                    <w:div w:id="620696358">
                      <w:marLeft w:val="0"/>
                      <w:marRight w:val="0"/>
                      <w:marTop w:val="0"/>
                      <w:marBottom w:val="0"/>
                      <w:divBdr>
                        <w:top w:val="none" w:sz="0" w:space="0" w:color="auto"/>
                        <w:left w:val="none" w:sz="0" w:space="0" w:color="auto"/>
                        <w:bottom w:val="none" w:sz="0" w:space="0" w:color="auto"/>
                        <w:right w:val="none" w:sz="0" w:space="0" w:color="auto"/>
                      </w:divBdr>
                    </w:div>
                  </w:divsChild>
                </w:div>
                <w:div w:id="532765991">
                  <w:marLeft w:val="0"/>
                  <w:marRight w:val="0"/>
                  <w:marTop w:val="0"/>
                  <w:marBottom w:val="0"/>
                  <w:divBdr>
                    <w:top w:val="none" w:sz="0" w:space="0" w:color="auto"/>
                    <w:left w:val="none" w:sz="0" w:space="0" w:color="auto"/>
                    <w:bottom w:val="none" w:sz="0" w:space="0" w:color="auto"/>
                    <w:right w:val="none" w:sz="0" w:space="0" w:color="auto"/>
                  </w:divBdr>
                  <w:divsChild>
                    <w:div w:id="1014458576">
                      <w:marLeft w:val="0"/>
                      <w:marRight w:val="0"/>
                      <w:marTop w:val="0"/>
                      <w:marBottom w:val="0"/>
                      <w:divBdr>
                        <w:top w:val="none" w:sz="0" w:space="0" w:color="auto"/>
                        <w:left w:val="none" w:sz="0" w:space="0" w:color="auto"/>
                        <w:bottom w:val="none" w:sz="0" w:space="0" w:color="auto"/>
                        <w:right w:val="none" w:sz="0" w:space="0" w:color="auto"/>
                      </w:divBdr>
                    </w:div>
                  </w:divsChild>
                </w:div>
                <w:div w:id="543060831">
                  <w:marLeft w:val="0"/>
                  <w:marRight w:val="0"/>
                  <w:marTop w:val="0"/>
                  <w:marBottom w:val="0"/>
                  <w:divBdr>
                    <w:top w:val="none" w:sz="0" w:space="0" w:color="auto"/>
                    <w:left w:val="none" w:sz="0" w:space="0" w:color="auto"/>
                    <w:bottom w:val="none" w:sz="0" w:space="0" w:color="auto"/>
                    <w:right w:val="none" w:sz="0" w:space="0" w:color="auto"/>
                  </w:divBdr>
                  <w:divsChild>
                    <w:div w:id="547032536">
                      <w:marLeft w:val="0"/>
                      <w:marRight w:val="0"/>
                      <w:marTop w:val="0"/>
                      <w:marBottom w:val="0"/>
                      <w:divBdr>
                        <w:top w:val="none" w:sz="0" w:space="0" w:color="auto"/>
                        <w:left w:val="none" w:sz="0" w:space="0" w:color="auto"/>
                        <w:bottom w:val="none" w:sz="0" w:space="0" w:color="auto"/>
                        <w:right w:val="none" w:sz="0" w:space="0" w:color="auto"/>
                      </w:divBdr>
                    </w:div>
                  </w:divsChild>
                </w:div>
                <w:div w:id="543325801">
                  <w:marLeft w:val="0"/>
                  <w:marRight w:val="0"/>
                  <w:marTop w:val="0"/>
                  <w:marBottom w:val="0"/>
                  <w:divBdr>
                    <w:top w:val="none" w:sz="0" w:space="0" w:color="auto"/>
                    <w:left w:val="none" w:sz="0" w:space="0" w:color="auto"/>
                    <w:bottom w:val="none" w:sz="0" w:space="0" w:color="auto"/>
                    <w:right w:val="none" w:sz="0" w:space="0" w:color="auto"/>
                  </w:divBdr>
                  <w:divsChild>
                    <w:div w:id="1014722105">
                      <w:marLeft w:val="0"/>
                      <w:marRight w:val="0"/>
                      <w:marTop w:val="0"/>
                      <w:marBottom w:val="0"/>
                      <w:divBdr>
                        <w:top w:val="none" w:sz="0" w:space="0" w:color="auto"/>
                        <w:left w:val="none" w:sz="0" w:space="0" w:color="auto"/>
                        <w:bottom w:val="none" w:sz="0" w:space="0" w:color="auto"/>
                        <w:right w:val="none" w:sz="0" w:space="0" w:color="auto"/>
                      </w:divBdr>
                    </w:div>
                  </w:divsChild>
                </w:div>
                <w:div w:id="551845507">
                  <w:marLeft w:val="0"/>
                  <w:marRight w:val="0"/>
                  <w:marTop w:val="0"/>
                  <w:marBottom w:val="0"/>
                  <w:divBdr>
                    <w:top w:val="none" w:sz="0" w:space="0" w:color="auto"/>
                    <w:left w:val="none" w:sz="0" w:space="0" w:color="auto"/>
                    <w:bottom w:val="none" w:sz="0" w:space="0" w:color="auto"/>
                    <w:right w:val="none" w:sz="0" w:space="0" w:color="auto"/>
                  </w:divBdr>
                  <w:divsChild>
                    <w:div w:id="1114860829">
                      <w:marLeft w:val="0"/>
                      <w:marRight w:val="0"/>
                      <w:marTop w:val="0"/>
                      <w:marBottom w:val="0"/>
                      <w:divBdr>
                        <w:top w:val="none" w:sz="0" w:space="0" w:color="auto"/>
                        <w:left w:val="none" w:sz="0" w:space="0" w:color="auto"/>
                        <w:bottom w:val="none" w:sz="0" w:space="0" w:color="auto"/>
                        <w:right w:val="none" w:sz="0" w:space="0" w:color="auto"/>
                      </w:divBdr>
                    </w:div>
                  </w:divsChild>
                </w:div>
                <w:div w:id="558055728">
                  <w:marLeft w:val="0"/>
                  <w:marRight w:val="0"/>
                  <w:marTop w:val="0"/>
                  <w:marBottom w:val="0"/>
                  <w:divBdr>
                    <w:top w:val="none" w:sz="0" w:space="0" w:color="auto"/>
                    <w:left w:val="none" w:sz="0" w:space="0" w:color="auto"/>
                    <w:bottom w:val="none" w:sz="0" w:space="0" w:color="auto"/>
                    <w:right w:val="none" w:sz="0" w:space="0" w:color="auto"/>
                  </w:divBdr>
                  <w:divsChild>
                    <w:div w:id="596518215">
                      <w:marLeft w:val="0"/>
                      <w:marRight w:val="0"/>
                      <w:marTop w:val="0"/>
                      <w:marBottom w:val="0"/>
                      <w:divBdr>
                        <w:top w:val="none" w:sz="0" w:space="0" w:color="auto"/>
                        <w:left w:val="none" w:sz="0" w:space="0" w:color="auto"/>
                        <w:bottom w:val="none" w:sz="0" w:space="0" w:color="auto"/>
                        <w:right w:val="none" w:sz="0" w:space="0" w:color="auto"/>
                      </w:divBdr>
                    </w:div>
                  </w:divsChild>
                </w:div>
                <w:div w:id="566379741">
                  <w:marLeft w:val="0"/>
                  <w:marRight w:val="0"/>
                  <w:marTop w:val="0"/>
                  <w:marBottom w:val="0"/>
                  <w:divBdr>
                    <w:top w:val="none" w:sz="0" w:space="0" w:color="auto"/>
                    <w:left w:val="none" w:sz="0" w:space="0" w:color="auto"/>
                    <w:bottom w:val="none" w:sz="0" w:space="0" w:color="auto"/>
                    <w:right w:val="none" w:sz="0" w:space="0" w:color="auto"/>
                  </w:divBdr>
                  <w:divsChild>
                    <w:div w:id="266742127">
                      <w:marLeft w:val="0"/>
                      <w:marRight w:val="0"/>
                      <w:marTop w:val="0"/>
                      <w:marBottom w:val="0"/>
                      <w:divBdr>
                        <w:top w:val="none" w:sz="0" w:space="0" w:color="auto"/>
                        <w:left w:val="none" w:sz="0" w:space="0" w:color="auto"/>
                        <w:bottom w:val="none" w:sz="0" w:space="0" w:color="auto"/>
                        <w:right w:val="none" w:sz="0" w:space="0" w:color="auto"/>
                      </w:divBdr>
                    </w:div>
                  </w:divsChild>
                </w:div>
                <w:div w:id="593322607">
                  <w:marLeft w:val="0"/>
                  <w:marRight w:val="0"/>
                  <w:marTop w:val="0"/>
                  <w:marBottom w:val="0"/>
                  <w:divBdr>
                    <w:top w:val="none" w:sz="0" w:space="0" w:color="auto"/>
                    <w:left w:val="none" w:sz="0" w:space="0" w:color="auto"/>
                    <w:bottom w:val="none" w:sz="0" w:space="0" w:color="auto"/>
                    <w:right w:val="none" w:sz="0" w:space="0" w:color="auto"/>
                  </w:divBdr>
                  <w:divsChild>
                    <w:div w:id="487475509">
                      <w:marLeft w:val="0"/>
                      <w:marRight w:val="0"/>
                      <w:marTop w:val="0"/>
                      <w:marBottom w:val="0"/>
                      <w:divBdr>
                        <w:top w:val="none" w:sz="0" w:space="0" w:color="auto"/>
                        <w:left w:val="none" w:sz="0" w:space="0" w:color="auto"/>
                        <w:bottom w:val="none" w:sz="0" w:space="0" w:color="auto"/>
                        <w:right w:val="none" w:sz="0" w:space="0" w:color="auto"/>
                      </w:divBdr>
                    </w:div>
                  </w:divsChild>
                </w:div>
                <w:div w:id="614093487">
                  <w:marLeft w:val="0"/>
                  <w:marRight w:val="0"/>
                  <w:marTop w:val="0"/>
                  <w:marBottom w:val="0"/>
                  <w:divBdr>
                    <w:top w:val="none" w:sz="0" w:space="0" w:color="auto"/>
                    <w:left w:val="none" w:sz="0" w:space="0" w:color="auto"/>
                    <w:bottom w:val="none" w:sz="0" w:space="0" w:color="auto"/>
                    <w:right w:val="none" w:sz="0" w:space="0" w:color="auto"/>
                  </w:divBdr>
                  <w:divsChild>
                    <w:div w:id="1247953906">
                      <w:marLeft w:val="0"/>
                      <w:marRight w:val="0"/>
                      <w:marTop w:val="0"/>
                      <w:marBottom w:val="0"/>
                      <w:divBdr>
                        <w:top w:val="none" w:sz="0" w:space="0" w:color="auto"/>
                        <w:left w:val="none" w:sz="0" w:space="0" w:color="auto"/>
                        <w:bottom w:val="none" w:sz="0" w:space="0" w:color="auto"/>
                        <w:right w:val="none" w:sz="0" w:space="0" w:color="auto"/>
                      </w:divBdr>
                    </w:div>
                  </w:divsChild>
                </w:div>
                <w:div w:id="623388255">
                  <w:marLeft w:val="0"/>
                  <w:marRight w:val="0"/>
                  <w:marTop w:val="0"/>
                  <w:marBottom w:val="0"/>
                  <w:divBdr>
                    <w:top w:val="none" w:sz="0" w:space="0" w:color="auto"/>
                    <w:left w:val="none" w:sz="0" w:space="0" w:color="auto"/>
                    <w:bottom w:val="none" w:sz="0" w:space="0" w:color="auto"/>
                    <w:right w:val="none" w:sz="0" w:space="0" w:color="auto"/>
                  </w:divBdr>
                  <w:divsChild>
                    <w:div w:id="540165800">
                      <w:marLeft w:val="0"/>
                      <w:marRight w:val="0"/>
                      <w:marTop w:val="0"/>
                      <w:marBottom w:val="0"/>
                      <w:divBdr>
                        <w:top w:val="none" w:sz="0" w:space="0" w:color="auto"/>
                        <w:left w:val="none" w:sz="0" w:space="0" w:color="auto"/>
                        <w:bottom w:val="none" w:sz="0" w:space="0" w:color="auto"/>
                        <w:right w:val="none" w:sz="0" w:space="0" w:color="auto"/>
                      </w:divBdr>
                    </w:div>
                  </w:divsChild>
                </w:div>
                <w:div w:id="662507899">
                  <w:marLeft w:val="0"/>
                  <w:marRight w:val="0"/>
                  <w:marTop w:val="0"/>
                  <w:marBottom w:val="0"/>
                  <w:divBdr>
                    <w:top w:val="none" w:sz="0" w:space="0" w:color="auto"/>
                    <w:left w:val="none" w:sz="0" w:space="0" w:color="auto"/>
                    <w:bottom w:val="none" w:sz="0" w:space="0" w:color="auto"/>
                    <w:right w:val="none" w:sz="0" w:space="0" w:color="auto"/>
                  </w:divBdr>
                  <w:divsChild>
                    <w:div w:id="1105618302">
                      <w:marLeft w:val="0"/>
                      <w:marRight w:val="0"/>
                      <w:marTop w:val="0"/>
                      <w:marBottom w:val="0"/>
                      <w:divBdr>
                        <w:top w:val="none" w:sz="0" w:space="0" w:color="auto"/>
                        <w:left w:val="none" w:sz="0" w:space="0" w:color="auto"/>
                        <w:bottom w:val="none" w:sz="0" w:space="0" w:color="auto"/>
                        <w:right w:val="none" w:sz="0" w:space="0" w:color="auto"/>
                      </w:divBdr>
                    </w:div>
                  </w:divsChild>
                </w:div>
                <w:div w:id="687829632">
                  <w:marLeft w:val="0"/>
                  <w:marRight w:val="0"/>
                  <w:marTop w:val="0"/>
                  <w:marBottom w:val="0"/>
                  <w:divBdr>
                    <w:top w:val="none" w:sz="0" w:space="0" w:color="auto"/>
                    <w:left w:val="none" w:sz="0" w:space="0" w:color="auto"/>
                    <w:bottom w:val="none" w:sz="0" w:space="0" w:color="auto"/>
                    <w:right w:val="none" w:sz="0" w:space="0" w:color="auto"/>
                  </w:divBdr>
                  <w:divsChild>
                    <w:div w:id="849294064">
                      <w:marLeft w:val="0"/>
                      <w:marRight w:val="0"/>
                      <w:marTop w:val="0"/>
                      <w:marBottom w:val="0"/>
                      <w:divBdr>
                        <w:top w:val="none" w:sz="0" w:space="0" w:color="auto"/>
                        <w:left w:val="none" w:sz="0" w:space="0" w:color="auto"/>
                        <w:bottom w:val="none" w:sz="0" w:space="0" w:color="auto"/>
                        <w:right w:val="none" w:sz="0" w:space="0" w:color="auto"/>
                      </w:divBdr>
                    </w:div>
                  </w:divsChild>
                </w:div>
                <w:div w:id="688682543">
                  <w:marLeft w:val="0"/>
                  <w:marRight w:val="0"/>
                  <w:marTop w:val="0"/>
                  <w:marBottom w:val="0"/>
                  <w:divBdr>
                    <w:top w:val="none" w:sz="0" w:space="0" w:color="auto"/>
                    <w:left w:val="none" w:sz="0" w:space="0" w:color="auto"/>
                    <w:bottom w:val="none" w:sz="0" w:space="0" w:color="auto"/>
                    <w:right w:val="none" w:sz="0" w:space="0" w:color="auto"/>
                  </w:divBdr>
                  <w:divsChild>
                    <w:div w:id="1916888546">
                      <w:marLeft w:val="0"/>
                      <w:marRight w:val="0"/>
                      <w:marTop w:val="0"/>
                      <w:marBottom w:val="0"/>
                      <w:divBdr>
                        <w:top w:val="none" w:sz="0" w:space="0" w:color="auto"/>
                        <w:left w:val="none" w:sz="0" w:space="0" w:color="auto"/>
                        <w:bottom w:val="none" w:sz="0" w:space="0" w:color="auto"/>
                        <w:right w:val="none" w:sz="0" w:space="0" w:color="auto"/>
                      </w:divBdr>
                    </w:div>
                  </w:divsChild>
                </w:div>
                <w:div w:id="695666683">
                  <w:marLeft w:val="0"/>
                  <w:marRight w:val="0"/>
                  <w:marTop w:val="0"/>
                  <w:marBottom w:val="0"/>
                  <w:divBdr>
                    <w:top w:val="none" w:sz="0" w:space="0" w:color="auto"/>
                    <w:left w:val="none" w:sz="0" w:space="0" w:color="auto"/>
                    <w:bottom w:val="none" w:sz="0" w:space="0" w:color="auto"/>
                    <w:right w:val="none" w:sz="0" w:space="0" w:color="auto"/>
                  </w:divBdr>
                  <w:divsChild>
                    <w:div w:id="838812161">
                      <w:marLeft w:val="0"/>
                      <w:marRight w:val="0"/>
                      <w:marTop w:val="0"/>
                      <w:marBottom w:val="0"/>
                      <w:divBdr>
                        <w:top w:val="none" w:sz="0" w:space="0" w:color="auto"/>
                        <w:left w:val="none" w:sz="0" w:space="0" w:color="auto"/>
                        <w:bottom w:val="none" w:sz="0" w:space="0" w:color="auto"/>
                        <w:right w:val="none" w:sz="0" w:space="0" w:color="auto"/>
                      </w:divBdr>
                    </w:div>
                  </w:divsChild>
                </w:div>
                <w:div w:id="697043378">
                  <w:marLeft w:val="0"/>
                  <w:marRight w:val="0"/>
                  <w:marTop w:val="0"/>
                  <w:marBottom w:val="0"/>
                  <w:divBdr>
                    <w:top w:val="none" w:sz="0" w:space="0" w:color="auto"/>
                    <w:left w:val="none" w:sz="0" w:space="0" w:color="auto"/>
                    <w:bottom w:val="none" w:sz="0" w:space="0" w:color="auto"/>
                    <w:right w:val="none" w:sz="0" w:space="0" w:color="auto"/>
                  </w:divBdr>
                  <w:divsChild>
                    <w:div w:id="840506074">
                      <w:marLeft w:val="0"/>
                      <w:marRight w:val="0"/>
                      <w:marTop w:val="0"/>
                      <w:marBottom w:val="0"/>
                      <w:divBdr>
                        <w:top w:val="none" w:sz="0" w:space="0" w:color="auto"/>
                        <w:left w:val="none" w:sz="0" w:space="0" w:color="auto"/>
                        <w:bottom w:val="none" w:sz="0" w:space="0" w:color="auto"/>
                        <w:right w:val="none" w:sz="0" w:space="0" w:color="auto"/>
                      </w:divBdr>
                    </w:div>
                  </w:divsChild>
                </w:div>
                <w:div w:id="700008516">
                  <w:marLeft w:val="0"/>
                  <w:marRight w:val="0"/>
                  <w:marTop w:val="0"/>
                  <w:marBottom w:val="0"/>
                  <w:divBdr>
                    <w:top w:val="none" w:sz="0" w:space="0" w:color="auto"/>
                    <w:left w:val="none" w:sz="0" w:space="0" w:color="auto"/>
                    <w:bottom w:val="none" w:sz="0" w:space="0" w:color="auto"/>
                    <w:right w:val="none" w:sz="0" w:space="0" w:color="auto"/>
                  </w:divBdr>
                  <w:divsChild>
                    <w:div w:id="1375619388">
                      <w:marLeft w:val="0"/>
                      <w:marRight w:val="0"/>
                      <w:marTop w:val="0"/>
                      <w:marBottom w:val="0"/>
                      <w:divBdr>
                        <w:top w:val="none" w:sz="0" w:space="0" w:color="auto"/>
                        <w:left w:val="none" w:sz="0" w:space="0" w:color="auto"/>
                        <w:bottom w:val="none" w:sz="0" w:space="0" w:color="auto"/>
                        <w:right w:val="none" w:sz="0" w:space="0" w:color="auto"/>
                      </w:divBdr>
                    </w:div>
                  </w:divsChild>
                </w:div>
                <w:div w:id="720830553">
                  <w:marLeft w:val="0"/>
                  <w:marRight w:val="0"/>
                  <w:marTop w:val="0"/>
                  <w:marBottom w:val="0"/>
                  <w:divBdr>
                    <w:top w:val="none" w:sz="0" w:space="0" w:color="auto"/>
                    <w:left w:val="none" w:sz="0" w:space="0" w:color="auto"/>
                    <w:bottom w:val="none" w:sz="0" w:space="0" w:color="auto"/>
                    <w:right w:val="none" w:sz="0" w:space="0" w:color="auto"/>
                  </w:divBdr>
                  <w:divsChild>
                    <w:div w:id="133252799">
                      <w:marLeft w:val="0"/>
                      <w:marRight w:val="0"/>
                      <w:marTop w:val="0"/>
                      <w:marBottom w:val="0"/>
                      <w:divBdr>
                        <w:top w:val="none" w:sz="0" w:space="0" w:color="auto"/>
                        <w:left w:val="none" w:sz="0" w:space="0" w:color="auto"/>
                        <w:bottom w:val="none" w:sz="0" w:space="0" w:color="auto"/>
                        <w:right w:val="none" w:sz="0" w:space="0" w:color="auto"/>
                      </w:divBdr>
                    </w:div>
                  </w:divsChild>
                </w:div>
                <w:div w:id="723680149">
                  <w:marLeft w:val="0"/>
                  <w:marRight w:val="0"/>
                  <w:marTop w:val="0"/>
                  <w:marBottom w:val="0"/>
                  <w:divBdr>
                    <w:top w:val="none" w:sz="0" w:space="0" w:color="auto"/>
                    <w:left w:val="none" w:sz="0" w:space="0" w:color="auto"/>
                    <w:bottom w:val="none" w:sz="0" w:space="0" w:color="auto"/>
                    <w:right w:val="none" w:sz="0" w:space="0" w:color="auto"/>
                  </w:divBdr>
                  <w:divsChild>
                    <w:div w:id="1804812047">
                      <w:marLeft w:val="0"/>
                      <w:marRight w:val="0"/>
                      <w:marTop w:val="0"/>
                      <w:marBottom w:val="0"/>
                      <w:divBdr>
                        <w:top w:val="none" w:sz="0" w:space="0" w:color="auto"/>
                        <w:left w:val="none" w:sz="0" w:space="0" w:color="auto"/>
                        <w:bottom w:val="none" w:sz="0" w:space="0" w:color="auto"/>
                        <w:right w:val="none" w:sz="0" w:space="0" w:color="auto"/>
                      </w:divBdr>
                    </w:div>
                  </w:divsChild>
                </w:div>
                <w:div w:id="736514065">
                  <w:marLeft w:val="0"/>
                  <w:marRight w:val="0"/>
                  <w:marTop w:val="0"/>
                  <w:marBottom w:val="0"/>
                  <w:divBdr>
                    <w:top w:val="none" w:sz="0" w:space="0" w:color="auto"/>
                    <w:left w:val="none" w:sz="0" w:space="0" w:color="auto"/>
                    <w:bottom w:val="none" w:sz="0" w:space="0" w:color="auto"/>
                    <w:right w:val="none" w:sz="0" w:space="0" w:color="auto"/>
                  </w:divBdr>
                  <w:divsChild>
                    <w:div w:id="1928297949">
                      <w:marLeft w:val="0"/>
                      <w:marRight w:val="0"/>
                      <w:marTop w:val="0"/>
                      <w:marBottom w:val="0"/>
                      <w:divBdr>
                        <w:top w:val="none" w:sz="0" w:space="0" w:color="auto"/>
                        <w:left w:val="none" w:sz="0" w:space="0" w:color="auto"/>
                        <w:bottom w:val="none" w:sz="0" w:space="0" w:color="auto"/>
                        <w:right w:val="none" w:sz="0" w:space="0" w:color="auto"/>
                      </w:divBdr>
                    </w:div>
                  </w:divsChild>
                </w:div>
                <w:div w:id="745885215">
                  <w:marLeft w:val="0"/>
                  <w:marRight w:val="0"/>
                  <w:marTop w:val="0"/>
                  <w:marBottom w:val="0"/>
                  <w:divBdr>
                    <w:top w:val="none" w:sz="0" w:space="0" w:color="auto"/>
                    <w:left w:val="none" w:sz="0" w:space="0" w:color="auto"/>
                    <w:bottom w:val="none" w:sz="0" w:space="0" w:color="auto"/>
                    <w:right w:val="none" w:sz="0" w:space="0" w:color="auto"/>
                  </w:divBdr>
                  <w:divsChild>
                    <w:div w:id="1000813963">
                      <w:marLeft w:val="0"/>
                      <w:marRight w:val="0"/>
                      <w:marTop w:val="0"/>
                      <w:marBottom w:val="0"/>
                      <w:divBdr>
                        <w:top w:val="none" w:sz="0" w:space="0" w:color="auto"/>
                        <w:left w:val="none" w:sz="0" w:space="0" w:color="auto"/>
                        <w:bottom w:val="none" w:sz="0" w:space="0" w:color="auto"/>
                        <w:right w:val="none" w:sz="0" w:space="0" w:color="auto"/>
                      </w:divBdr>
                    </w:div>
                  </w:divsChild>
                </w:div>
                <w:div w:id="760446698">
                  <w:marLeft w:val="0"/>
                  <w:marRight w:val="0"/>
                  <w:marTop w:val="0"/>
                  <w:marBottom w:val="0"/>
                  <w:divBdr>
                    <w:top w:val="none" w:sz="0" w:space="0" w:color="auto"/>
                    <w:left w:val="none" w:sz="0" w:space="0" w:color="auto"/>
                    <w:bottom w:val="none" w:sz="0" w:space="0" w:color="auto"/>
                    <w:right w:val="none" w:sz="0" w:space="0" w:color="auto"/>
                  </w:divBdr>
                  <w:divsChild>
                    <w:div w:id="1327398085">
                      <w:marLeft w:val="0"/>
                      <w:marRight w:val="0"/>
                      <w:marTop w:val="0"/>
                      <w:marBottom w:val="0"/>
                      <w:divBdr>
                        <w:top w:val="none" w:sz="0" w:space="0" w:color="auto"/>
                        <w:left w:val="none" w:sz="0" w:space="0" w:color="auto"/>
                        <w:bottom w:val="none" w:sz="0" w:space="0" w:color="auto"/>
                        <w:right w:val="none" w:sz="0" w:space="0" w:color="auto"/>
                      </w:divBdr>
                    </w:div>
                  </w:divsChild>
                </w:div>
                <w:div w:id="785973805">
                  <w:marLeft w:val="0"/>
                  <w:marRight w:val="0"/>
                  <w:marTop w:val="0"/>
                  <w:marBottom w:val="0"/>
                  <w:divBdr>
                    <w:top w:val="none" w:sz="0" w:space="0" w:color="auto"/>
                    <w:left w:val="none" w:sz="0" w:space="0" w:color="auto"/>
                    <w:bottom w:val="none" w:sz="0" w:space="0" w:color="auto"/>
                    <w:right w:val="none" w:sz="0" w:space="0" w:color="auto"/>
                  </w:divBdr>
                  <w:divsChild>
                    <w:div w:id="1494100569">
                      <w:marLeft w:val="0"/>
                      <w:marRight w:val="0"/>
                      <w:marTop w:val="0"/>
                      <w:marBottom w:val="0"/>
                      <w:divBdr>
                        <w:top w:val="none" w:sz="0" w:space="0" w:color="auto"/>
                        <w:left w:val="none" w:sz="0" w:space="0" w:color="auto"/>
                        <w:bottom w:val="none" w:sz="0" w:space="0" w:color="auto"/>
                        <w:right w:val="none" w:sz="0" w:space="0" w:color="auto"/>
                      </w:divBdr>
                    </w:div>
                  </w:divsChild>
                </w:div>
                <w:div w:id="814377955">
                  <w:marLeft w:val="0"/>
                  <w:marRight w:val="0"/>
                  <w:marTop w:val="0"/>
                  <w:marBottom w:val="0"/>
                  <w:divBdr>
                    <w:top w:val="none" w:sz="0" w:space="0" w:color="auto"/>
                    <w:left w:val="none" w:sz="0" w:space="0" w:color="auto"/>
                    <w:bottom w:val="none" w:sz="0" w:space="0" w:color="auto"/>
                    <w:right w:val="none" w:sz="0" w:space="0" w:color="auto"/>
                  </w:divBdr>
                  <w:divsChild>
                    <w:div w:id="1986005547">
                      <w:marLeft w:val="0"/>
                      <w:marRight w:val="0"/>
                      <w:marTop w:val="0"/>
                      <w:marBottom w:val="0"/>
                      <w:divBdr>
                        <w:top w:val="none" w:sz="0" w:space="0" w:color="auto"/>
                        <w:left w:val="none" w:sz="0" w:space="0" w:color="auto"/>
                        <w:bottom w:val="none" w:sz="0" w:space="0" w:color="auto"/>
                        <w:right w:val="none" w:sz="0" w:space="0" w:color="auto"/>
                      </w:divBdr>
                    </w:div>
                  </w:divsChild>
                </w:div>
                <w:div w:id="827939276">
                  <w:marLeft w:val="0"/>
                  <w:marRight w:val="0"/>
                  <w:marTop w:val="0"/>
                  <w:marBottom w:val="0"/>
                  <w:divBdr>
                    <w:top w:val="none" w:sz="0" w:space="0" w:color="auto"/>
                    <w:left w:val="none" w:sz="0" w:space="0" w:color="auto"/>
                    <w:bottom w:val="none" w:sz="0" w:space="0" w:color="auto"/>
                    <w:right w:val="none" w:sz="0" w:space="0" w:color="auto"/>
                  </w:divBdr>
                  <w:divsChild>
                    <w:div w:id="1582787346">
                      <w:marLeft w:val="0"/>
                      <w:marRight w:val="0"/>
                      <w:marTop w:val="0"/>
                      <w:marBottom w:val="0"/>
                      <w:divBdr>
                        <w:top w:val="none" w:sz="0" w:space="0" w:color="auto"/>
                        <w:left w:val="none" w:sz="0" w:space="0" w:color="auto"/>
                        <w:bottom w:val="none" w:sz="0" w:space="0" w:color="auto"/>
                        <w:right w:val="none" w:sz="0" w:space="0" w:color="auto"/>
                      </w:divBdr>
                    </w:div>
                  </w:divsChild>
                </w:div>
                <w:div w:id="835800858">
                  <w:marLeft w:val="0"/>
                  <w:marRight w:val="0"/>
                  <w:marTop w:val="0"/>
                  <w:marBottom w:val="0"/>
                  <w:divBdr>
                    <w:top w:val="none" w:sz="0" w:space="0" w:color="auto"/>
                    <w:left w:val="none" w:sz="0" w:space="0" w:color="auto"/>
                    <w:bottom w:val="none" w:sz="0" w:space="0" w:color="auto"/>
                    <w:right w:val="none" w:sz="0" w:space="0" w:color="auto"/>
                  </w:divBdr>
                  <w:divsChild>
                    <w:div w:id="1287615374">
                      <w:marLeft w:val="0"/>
                      <w:marRight w:val="0"/>
                      <w:marTop w:val="0"/>
                      <w:marBottom w:val="0"/>
                      <w:divBdr>
                        <w:top w:val="none" w:sz="0" w:space="0" w:color="auto"/>
                        <w:left w:val="none" w:sz="0" w:space="0" w:color="auto"/>
                        <w:bottom w:val="none" w:sz="0" w:space="0" w:color="auto"/>
                        <w:right w:val="none" w:sz="0" w:space="0" w:color="auto"/>
                      </w:divBdr>
                    </w:div>
                  </w:divsChild>
                </w:div>
                <w:div w:id="840391807">
                  <w:marLeft w:val="0"/>
                  <w:marRight w:val="0"/>
                  <w:marTop w:val="0"/>
                  <w:marBottom w:val="0"/>
                  <w:divBdr>
                    <w:top w:val="none" w:sz="0" w:space="0" w:color="auto"/>
                    <w:left w:val="none" w:sz="0" w:space="0" w:color="auto"/>
                    <w:bottom w:val="none" w:sz="0" w:space="0" w:color="auto"/>
                    <w:right w:val="none" w:sz="0" w:space="0" w:color="auto"/>
                  </w:divBdr>
                  <w:divsChild>
                    <w:div w:id="2030907844">
                      <w:marLeft w:val="0"/>
                      <w:marRight w:val="0"/>
                      <w:marTop w:val="0"/>
                      <w:marBottom w:val="0"/>
                      <w:divBdr>
                        <w:top w:val="none" w:sz="0" w:space="0" w:color="auto"/>
                        <w:left w:val="none" w:sz="0" w:space="0" w:color="auto"/>
                        <w:bottom w:val="none" w:sz="0" w:space="0" w:color="auto"/>
                        <w:right w:val="none" w:sz="0" w:space="0" w:color="auto"/>
                      </w:divBdr>
                    </w:div>
                  </w:divsChild>
                </w:div>
                <w:div w:id="847712374">
                  <w:marLeft w:val="0"/>
                  <w:marRight w:val="0"/>
                  <w:marTop w:val="0"/>
                  <w:marBottom w:val="0"/>
                  <w:divBdr>
                    <w:top w:val="none" w:sz="0" w:space="0" w:color="auto"/>
                    <w:left w:val="none" w:sz="0" w:space="0" w:color="auto"/>
                    <w:bottom w:val="none" w:sz="0" w:space="0" w:color="auto"/>
                    <w:right w:val="none" w:sz="0" w:space="0" w:color="auto"/>
                  </w:divBdr>
                  <w:divsChild>
                    <w:div w:id="1133597943">
                      <w:marLeft w:val="0"/>
                      <w:marRight w:val="0"/>
                      <w:marTop w:val="0"/>
                      <w:marBottom w:val="0"/>
                      <w:divBdr>
                        <w:top w:val="none" w:sz="0" w:space="0" w:color="auto"/>
                        <w:left w:val="none" w:sz="0" w:space="0" w:color="auto"/>
                        <w:bottom w:val="none" w:sz="0" w:space="0" w:color="auto"/>
                        <w:right w:val="none" w:sz="0" w:space="0" w:color="auto"/>
                      </w:divBdr>
                    </w:div>
                  </w:divsChild>
                </w:div>
                <w:div w:id="852495829">
                  <w:marLeft w:val="0"/>
                  <w:marRight w:val="0"/>
                  <w:marTop w:val="0"/>
                  <w:marBottom w:val="0"/>
                  <w:divBdr>
                    <w:top w:val="none" w:sz="0" w:space="0" w:color="auto"/>
                    <w:left w:val="none" w:sz="0" w:space="0" w:color="auto"/>
                    <w:bottom w:val="none" w:sz="0" w:space="0" w:color="auto"/>
                    <w:right w:val="none" w:sz="0" w:space="0" w:color="auto"/>
                  </w:divBdr>
                  <w:divsChild>
                    <w:div w:id="170144035">
                      <w:marLeft w:val="0"/>
                      <w:marRight w:val="0"/>
                      <w:marTop w:val="0"/>
                      <w:marBottom w:val="0"/>
                      <w:divBdr>
                        <w:top w:val="none" w:sz="0" w:space="0" w:color="auto"/>
                        <w:left w:val="none" w:sz="0" w:space="0" w:color="auto"/>
                        <w:bottom w:val="none" w:sz="0" w:space="0" w:color="auto"/>
                        <w:right w:val="none" w:sz="0" w:space="0" w:color="auto"/>
                      </w:divBdr>
                    </w:div>
                  </w:divsChild>
                </w:div>
                <w:div w:id="869994235">
                  <w:marLeft w:val="0"/>
                  <w:marRight w:val="0"/>
                  <w:marTop w:val="0"/>
                  <w:marBottom w:val="0"/>
                  <w:divBdr>
                    <w:top w:val="none" w:sz="0" w:space="0" w:color="auto"/>
                    <w:left w:val="none" w:sz="0" w:space="0" w:color="auto"/>
                    <w:bottom w:val="none" w:sz="0" w:space="0" w:color="auto"/>
                    <w:right w:val="none" w:sz="0" w:space="0" w:color="auto"/>
                  </w:divBdr>
                  <w:divsChild>
                    <w:div w:id="1659455918">
                      <w:marLeft w:val="0"/>
                      <w:marRight w:val="0"/>
                      <w:marTop w:val="0"/>
                      <w:marBottom w:val="0"/>
                      <w:divBdr>
                        <w:top w:val="none" w:sz="0" w:space="0" w:color="auto"/>
                        <w:left w:val="none" w:sz="0" w:space="0" w:color="auto"/>
                        <w:bottom w:val="none" w:sz="0" w:space="0" w:color="auto"/>
                        <w:right w:val="none" w:sz="0" w:space="0" w:color="auto"/>
                      </w:divBdr>
                    </w:div>
                  </w:divsChild>
                </w:div>
                <w:div w:id="888569288">
                  <w:marLeft w:val="0"/>
                  <w:marRight w:val="0"/>
                  <w:marTop w:val="0"/>
                  <w:marBottom w:val="0"/>
                  <w:divBdr>
                    <w:top w:val="none" w:sz="0" w:space="0" w:color="auto"/>
                    <w:left w:val="none" w:sz="0" w:space="0" w:color="auto"/>
                    <w:bottom w:val="none" w:sz="0" w:space="0" w:color="auto"/>
                    <w:right w:val="none" w:sz="0" w:space="0" w:color="auto"/>
                  </w:divBdr>
                  <w:divsChild>
                    <w:div w:id="976833339">
                      <w:marLeft w:val="0"/>
                      <w:marRight w:val="0"/>
                      <w:marTop w:val="0"/>
                      <w:marBottom w:val="0"/>
                      <w:divBdr>
                        <w:top w:val="none" w:sz="0" w:space="0" w:color="auto"/>
                        <w:left w:val="none" w:sz="0" w:space="0" w:color="auto"/>
                        <w:bottom w:val="none" w:sz="0" w:space="0" w:color="auto"/>
                        <w:right w:val="none" w:sz="0" w:space="0" w:color="auto"/>
                      </w:divBdr>
                    </w:div>
                  </w:divsChild>
                </w:div>
                <w:div w:id="893351819">
                  <w:marLeft w:val="0"/>
                  <w:marRight w:val="0"/>
                  <w:marTop w:val="0"/>
                  <w:marBottom w:val="0"/>
                  <w:divBdr>
                    <w:top w:val="none" w:sz="0" w:space="0" w:color="auto"/>
                    <w:left w:val="none" w:sz="0" w:space="0" w:color="auto"/>
                    <w:bottom w:val="none" w:sz="0" w:space="0" w:color="auto"/>
                    <w:right w:val="none" w:sz="0" w:space="0" w:color="auto"/>
                  </w:divBdr>
                  <w:divsChild>
                    <w:div w:id="239339909">
                      <w:marLeft w:val="0"/>
                      <w:marRight w:val="0"/>
                      <w:marTop w:val="0"/>
                      <w:marBottom w:val="0"/>
                      <w:divBdr>
                        <w:top w:val="none" w:sz="0" w:space="0" w:color="auto"/>
                        <w:left w:val="none" w:sz="0" w:space="0" w:color="auto"/>
                        <w:bottom w:val="none" w:sz="0" w:space="0" w:color="auto"/>
                        <w:right w:val="none" w:sz="0" w:space="0" w:color="auto"/>
                      </w:divBdr>
                    </w:div>
                  </w:divsChild>
                </w:div>
                <w:div w:id="900479860">
                  <w:marLeft w:val="0"/>
                  <w:marRight w:val="0"/>
                  <w:marTop w:val="0"/>
                  <w:marBottom w:val="0"/>
                  <w:divBdr>
                    <w:top w:val="none" w:sz="0" w:space="0" w:color="auto"/>
                    <w:left w:val="none" w:sz="0" w:space="0" w:color="auto"/>
                    <w:bottom w:val="none" w:sz="0" w:space="0" w:color="auto"/>
                    <w:right w:val="none" w:sz="0" w:space="0" w:color="auto"/>
                  </w:divBdr>
                  <w:divsChild>
                    <w:div w:id="417557303">
                      <w:marLeft w:val="0"/>
                      <w:marRight w:val="0"/>
                      <w:marTop w:val="0"/>
                      <w:marBottom w:val="0"/>
                      <w:divBdr>
                        <w:top w:val="none" w:sz="0" w:space="0" w:color="auto"/>
                        <w:left w:val="none" w:sz="0" w:space="0" w:color="auto"/>
                        <w:bottom w:val="none" w:sz="0" w:space="0" w:color="auto"/>
                        <w:right w:val="none" w:sz="0" w:space="0" w:color="auto"/>
                      </w:divBdr>
                    </w:div>
                  </w:divsChild>
                </w:div>
                <w:div w:id="909578155">
                  <w:marLeft w:val="0"/>
                  <w:marRight w:val="0"/>
                  <w:marTop w:val="0"/>
                  <w:marBottom w:val="0"/>
                  <w:divBdr>
                    <w:top w:val="none" w:sz="0" w:space="0" w:color="auto"/>
                    <w:left w:val="none" w:sz="0" w:space="0" w:color="auto"/>
                    <w:bottom w:val="none" w:sz="0" w:space="0" w:color="auto"/>
                    <w:right w:val="none" w:sz="0" w:space="0" w:color="auto"/>
                  </w:divBdr>
                  <w:divsChild>
                    <w:div w:id="503738527">
                      <w:marLeft w:val="0"/>
                      <w:marRight w:val="0"/>
                      <w:marTop w:val="0"/>
                      <w:marBottom w:val="0"/>
                      <w:divBdr>
                        <w:top w:val="none" w:sz="0" w:space="0" w:color="auto"/>
                        <w:left w:val="none" w:sz="0" w:space="0" w:color="auto"/>
                        <w:bottom w:val="none" w:sz="0" w:space="0" w:color="auto"/>
                        <w:right w:val="none" w:sz="0" w:space="0" w:color="auto"/>
                      </w:divBdr>
                    </w:div>
                  </w:divsChild>
                </w:div>
                <w:div w:id="915669629">
                  <w:marLeft w:val="0"/>
                  <w:marRight w:val="0"/>
                  <w:marTop w:val="0"/>
                  <w:marBottom w:val="0"/>
                  <w:divBdr>
                    <w:top w:val="none" w:sz="0" w:space="0" w:color="auto"/>
                    <w:left w:val="none" w:sz="0" w:space="0" w:color="auto"/>
                    <w:bottom w:val="none" w:sz="0" w:space="0" w:color="auto"/>
                    <w:right w:val="none" w:sz="0" w:space="0" w:color="auto"/>
                  </w:divBdr>
                  <w:divsChild>
                    <w:div w:id="115687163">
                      <w:marLeft w:val="0"/>
                      <w:marRight w:val="0"/>
                      <w:marTop w:val="0"/>
                      <w:marBottom w:val="0"/>
                      <w:divBdr>
                        <w:top w:val="none" w:sz="0" w:space="0" w:color="auto"/>
                        <w:left w:val="none" w:sz="0" w:space="0" w:color="auto"/>
                        <w:bottom w:val="none" w:sz="0" w:space="0" w:color="auto"/>
                        <w:right w:val="none" w:sz="0" w:space="0" w:color="auto"/>
                      </w:divBdr>
                    </w:div>
                  </w:divsChild>
                </w:div>
                <w:div w:id="927420080">
                  <w:marLeft w:val="0"/>
                  <w:marRight w:val="0"/>
                  <w:marTop w:val="0"/>
                  <w:marBottom w:val="0"/>
                  <w:divBdr>
                    <w:top w:val="none" w:sz="0" w:space="0" w:color="auto"/>
                    <w:left w:val="none" w:sz="0" w:space="0" w:color="auto"/>
                    <w:bottom w:val="none" w:sz="0" w:space="0" w:color="auto"/>
                    <w:right w:val="none" w:sz="0" w:space="0" w:color="auto"/>
                  </w:divBdr>
                  <w:divsChild>
                    <w:div w:id="1192188338">
                      <w:marLeft w:val="0"/>
                      <w:marRight w:val="0"/>
                      <w:marTop w:val="0"/>
                      <w:marBottom w:val="0"/>
                      <w:divBdr>
                        <w:top w:val="none" w:sz="0" w:space="0" w:color="auto"/>
                        <w:left w:val="none" w:sz="0" w:space="0" w:color="auto"/>
                        <w:bottom w:val="none" w:sz="0" w:space="0" w:color="auto"/>
                        <w:right w:val="none" w:sz="0" w:space="0" w:color="auto"/>
                      </w:divBdr>
                    </w:div>
                  </w:divsChild>
                </w:div>
                <w:div w:id="937131133">
                  <w:marLeft w:val="0"/>
                  <w:marRight w:val="0"/>
                  <w:marTop w:val="0"/>
                  <w:marBottom w:val="0"/>
                  <w:divBdr>
                    <w:top w:val="none" w:sz="0" w:space="0" w:color="auto"/>
                    <w:left w:val="none" w:sz="0" w:space="0" w:color="auto"/>
                    <w:bottom w:val="none" w:sz="0" w:space="0" w:color="auto"/>
                    <w:right w:val="none" w:sz="0" w:space="0" w:color="auto"/>
                  </w:divBdr>
                  <w:divsChild>
                    <w:div w:id="682711448">
                      <w:marLeft w:val="0"/>
                      <w:marRight w:val="0"/>
                      <w:marTop w:val="0"/>
                      <w:marBottom w:val="0"/>
                      <w:divBdr>
                        <w:top w:val="none" w:sz="0" w:space="0" w:color="auto"/>
                        <w:left w:val="none" w:sz="0" w:space="0" w:color="auto"/>
                        <w:bottom w:val="none" w:sz="0" w:space="0" w:color="auto"/>
                        <w:right w:val="none" w:sz="0" w:space="0" w:color="auto"/>
                      </w:divBdr>
                    </w:div>
                  </w:divsChild>
                </w:div>
                <w:div w:id="940989537">
                  <w:marLeft w:val="0"/>
                  <w:marRight w:val="0"/>
                  <w:marTop w:val="0"/>
                  <w:marBottom w:val="0"/>
                  <w:divBdr>
                    <w:top w:val="none" w:sz="0" w:space="0" w:color="auto"/>
                    <w:left w:val="none" w:sz="0" w:space="0" w:color="auto"/>
                    <w:bottom w:val="none" w:sz="0" w:space="0" w:color="auto"/>
                    <w:right w:val="none" w:sz="0" w:space="0" w:color="auto"/>
                  </w:divBdr>
                  <w:divsChild>
                    <w:div w:id="1722442253">
                      <w:marLeft w:val="0"/>
                      <w:marRight w:val="0"/>
                      <w:marTop w:val="0"/>
                      <w:marBottom w:val="0"/>
                      <w:divBdr>
                        <w:top w:val="none" w:sz="0" w:space="0" w:color="auto"/>
                        <w:left w:val="none" w:sz="0" w:space="0" w:color="auto"/>
                        <w:bottom w:val="none" w:sz="0" w:space="0" w:color="auto"/>
                        <w:right w:val="none" w:sz="0" w:space="0" w:color="auto"/>
                      </w:divBdr>
                    </w:div>
                  </w:divsChild>
                </w:div>
                <w:div w:id="941062257">
                  <w:marLeft w:val="0"/>
                  <w:marRight w:val="0"/>
                  <w:marTop w:val="0"/>
                  <w:marBottom w:val="0"/>
                  <w:divBdr>
                    <w:top w:val="none" w:sz="0" w:space="0" w:color="auto"/>
                    <w:left w:val="none" w:sz="0" w:space="0" w:color="auto"/>
                    <w:bottom w:val="none" w:sz="0" w:space="0" w:color="auto"/>
                    <w:right w:val="none" w:sz="0" w:space="0" w:color="auto"/>
                  </w:divBdr>
                  <w:divsChild>
                    <w:div w:id="485242018">
                      <w:marLeft w:val="0"/>
                      <w:marRight w:val="0"/>
                      <w:marTop w:val="0"/>
                      <w:marBottom w:val="0"/>
                      <w:divBdr>
                        <w:top w:val="none" w:sz="0" w:space="0" w:color="auto"/>
                        <w:left w:val="none" w:sz="0" w:space="0" w:color="auto"/>
                        <w:bottom w:val="none" w:sz="0" w:space="0" w:color="auto"/>
                        <w:right w:val="none" w:sz="0" w:space="0" w:color="auto"/>
                      </w:divBdr>
                    </w:div>
                  </w:divsChild>
                </w:div>
                <w:div w:id="961349075">
                  <w:marLeft w:val="0"/>
                  <w:marRight w:val="0"/>
                  <w:marTop w:val="0"/>
                  <w:marBottom w:val="0"/>
                  <w:divBdr>
                    <w:top w:val="none" w:sz="0" w:space="0" w:color="auto"/>
                    <w:left w:val="none" w:sz="0" w:space="0" w:color="auto"/>
                    <w:bottom w:val="none" w:sz="0" w:space="0" w:color="auto"/>
                    <w:right w:val="none" w:sz="0" w:space="0" w:color="auto"/>
                  </w:divBdr>
                  <w:divsChild>
                    <w:div w:id="1447849846">
                      <w:marLeft w:val="0"/>
                      <w:marRight w:val="0"/>
                      <w:marTop w:val="0"/>
                      <w:marBottom w:val="0"/>
                      <w:divBdr>
                        <w:top w:val="none" w:sz="0" w:space="0" w:color="auto"/>
                        <w:left w:val="none" w:sz="0" w:space="0" w:color="auto"/>
                        <w:bottom w:val="none" w:sz="0" w:space="0" w:color="auto"/>
                        <w:right w:val="none" w:sz="0" w:space="0" w:color="auto"/>
                      </w:divBdr>
                    </w:div>
                  </w:divsChild>
                </w:div>
                <w:div w:id="967781903">
                  <w:marLeft w:val="0"/>
                  <w:marRight w:val="0"/>
                  <w:marTop w:val="0"/>
                  <w:marBottom w:val="0"/>
                  <w:divBdr>
                    <w:top w:val="none" w:sz="0" w:space="0" w:color="auto"/>
                    <w:left w:val="none" w:sz="0" w:space="0" w:color="auto"/>
                    <w:bottom w:val="none" w:sz="0" w:space="0" w:color="auto"/>
                    <w:right w:val="none" w:sz="0" w:space="0" w:color="auto"/>
                  </w:divBdr>
                  <w:divsChild>
                    <w:div w:id="1974167260">
                      <w:marLeft w:val="0"/>
                      <w:marRight w:val="0"/>
                      <w:marTop w:val="0"/>
                      <w:marBottom w:val="0"/>
                      <w:divBdr>
                        <w:top w:val="none" w:sz="0" w:space="0" w:color="auto"/>
                        <w:left w:val="none" w:sz="0" w:space="0" w:color="auto"/>
                        <w:bottom w:val="none" w:sz="0" w:space="0" w:color="auto"/>
                        <w:right w:val="none" w:sz="0" w:space="0" w:color="auto"/>
                      </w:divBdr>
                    </w:div>
                  </w:divsChild>
                </w:div>
                <w:div w:id="968248180">
                  <w:marLeft w:val="0"/>
                  <w:marRight w:val="0"/>
                  <w:marTop w:val="0"/>
                  <w:marBottom w:val="0"/>
                  <w:divBdr>
                    <w:top w:val="none" w:sz="0" w:space="0" w:color="auto"/>
                    <w:left w:val="none" w:sz="0" w:space="0" w:color="auto"/>
                    <w:bottom w:val="none" w:sz="0" w:space="0" w:color="auto"/>
                    <w:right w:val="none" w:sz="0" w:space="0" w:color="auto"/>
                  </w:divBdr>
                  <w:divsChild>
                    <w:div w:id="1816290646">
                      <w:marLeft w:val="0"/>
                      <w:marRight w:val="0"/>
                      <w:marTop w:val="0"/>
                      <w:marBottom w:val="0"/>
                      <w:divBdr>
                        <w:top w:val="none" w:sz="0" w:space="0" w:color="auto"/>
                        <w:left w:val="none" w:sz="0" w:space="0" w:color="auto"/>
                        <w:bottom w:val="none" w:sz="0" w:space="0" w:color="auto"/>
                        <w:right w:val="none" w:sz="0" w:space="0" w:color="auto"/>
                      </w:divBdr>
                    </w:div>
                  </w:divsChild>
                </w:div>
                <w:div w:id="971982297">
                  <w:marLeft w:val="0"/>
                  <w:marRight w:val="0"/>
                  <w:marTop w:val="0"/>
                  <w:marBottom w:val="0"/>
                  <w:divBdr>
                    <w:top w:val="none" w:sz="0" w:space="0" w:color="auto"/>
                    <w:left w:val="none" w:sz="0" w:space="0" w:color="auto"/>
                    <w:bottom w:val="none" w:sz="0" w:space="0" w:color="auto"/>
                    <w:right w:val="none" w:sz="0" w:space="0" w:color="auto"/>
                  </w:divBdr>
                  <w:divsChild>
                    <w:div w:id="863906994">
                      <w:marLeft w:val="0"/>
                      <w:marRight w:val="0"/>
                      <w:marTop w:val="0"/>
                      <w:marBottom w:val="0"/>
                      <w:divBdr>
                        <w:top w:val="none" w:sz="0" w:space="0" w:color="auto"/>
                        <w:left w:val="none" w:sz="0" w:space="0" w:color="auto"/>
                        <w:bottom w:val="none" w:sz="0" w:space="0" w:color="auto"/>
                        <w:right w:val="none" w:sz="0" w:space="0" w:color="auto"/>
                      </w:divBdr>
                    </w:div>
                  </w:divsChild>
                </w:div>
                <w:div w:id="974796766">
                  <w:marLeft w:val="0"/>
                  <w:marRight w:val="0"/>
                  <w:marTop w:val="0"/>
                  <w:marBottom w:val="0"/>
                  <w:divBdr>
                    <w:top w:val="none" w:sz="0" w:space="0" w:color="auto"/>
                    <w:left w:val="none" w:sz="0" w:space="0" w:color="auto"/>
                    <w:bottom w:val="none" w:sz="0" w:space="0" w:color="auto"/>
                    <w:right w:val="none" w:sz="0" w:space="0" w:color="auto"/>
                  </w:divBdr>
                  <w:divsChild>
                    <w:div w:id="11298137">
                      <w:marLeft w:val="0"/>
                      <w:marRight w:val="0"/>
                      <w:marTop w:val="0"/>
                      <w:marBottom w:val="0"/>
                      <w:divBdr>
                        <w:top w:val="none" w:sz="0" w:space="0" w:color="auto"/>
                        <w:left w:val="none" w:sz="0" w:space="0" w:color="auto"/>
                        <w:bottom w:val="none" w:sz="0" w:space="0" w:color="auto"/>
                        <w:right w:val="none" w:sz="0" w:space="0" w:color="auto"/>
                      </w:divBdr>
                    </w:div>
                  </w:divsChild>
                </w:div>
                <w:div w:id="991180133">
                  <w:marLeft w:val="0"/>
                  <w:marRight w:val="0"/>
                  <w:marTop w:val="0"/>
                  <w:marBottom w:val="0"/>
                  <w:divBdr>
                    <w:top w:val="none" w:sz="0" w:space="0" w:color="auto"/>
                    <w:left w:val="none" w:sz="0" w:space="0" w:color="auto"/>
                    <w:bottom w:val="none" w:sz="0" w:space="0" w:color="auto"/>
                    <w:right w:val="none" w:sz="0" w:space="0" w:color="auto"/>
                  </w:divBdr>
                  <w:divsChild>
                    <w:div w:id="9727422">
                      <w:marLeft w:val="0"/>
                      <w:marRight w:val="0"/>
                      <w:marTop w:val="0"/>
                      <w:marBottom w:val="0"/>
                      <w:divBdr>
                        <w:top w:val="none" w:sz="0" w:space="0" w:color="auto"/>
                        <w:left w:val="none" w:sz="0" w:space="0" w:color="auto"/>
                        <w:bottom w:val="none" w:sz="0" w:space="0" w:color="auto"/>
                        <w:right w:val="none" w:sz="0" w:space="0" w:color="auto"/>
                      </w:divBdr>
                    </w:div>
                  </w:divsChild>
                </w:div>
                <w:div w:id="1006320969">
                  <w:marLeft w:val="0"/>
                  <w:marRight w:val="0"/>
                  <w:marTop w:val="0"/>
                  <w:marBottom w:val="0"/>
                  <w:divBdr>
                    <w:top w:val="none" w:sz="0" w:space="0" w:color="auto"/>
                    <w:left w:val="none" w:sz="0" w:space="0" w:color="auto"/>
                    <w:bottom w:val="none" w:sz="0" w:space="0" w:color="auto"/>
                    <w:right w:val="none" w:sz="0" w:space="0" w:color="auto"/>
                  </w:divBdr>
                  <w:divsChild>
                    <w:div w:id="855464037">
                      <w:marLeft w:val="0"/>
                      <w:marRight w:val="0"/>
                      <w:marTop w:val="0"/>
                      <w:marBottom w:val="0"/>
                      <w:divBdr>
                        <w:top w:val="none" w:sz="0" w:space="0" w:color="auto"/>
                        <w:left w:val="none" w:sz="0" w:space="0" w:color="auto"/>
                        <w:bottom w:val="none" w:sz="0" w:space="0" w:color="auto"/>
                        <w:right w:val="none" w:sz="0" w:space="0" w:color="auto"/>
                      </w:divBdr>
                    </w:div>
                  </w:divsChild>
                </w:div>
                <w:div w:id="1032849738">
                  <w:marLeft w:val="0"/>
                  <w:marRight w:val="0"/>
                  <w:marTop w:val="0"/>
                  <w:marBottom w:val="0"/>
                  <w:divBdr>
                    <w:top w:val="none" w:sz="0" w:space="0" w:color="auto"/>
                    <w:left w:val="none" w:sz="0" w:space="0" w:color="auto"/>
                    <w:bottom w:val="none" w:sz="0" w:space="0" w:color="auto"/>
                    <w:right w:val="none" w:sz="0" w:space="0" w:color="auto"/>
                  </w:divBdr>
                  <w:divsChild>
                    <w:div w:id="1614508532">
                      <w:marLeft w:val="0"/>
                      <w:marRight w:val="0"/>
                      <w:marTop w:val="0"/>
                      <w:marBottom w:val="0"/>
                      <w:divBdr>
                        <w:top w:val="none" w:sz="0" w:space="0" w:color="auto"/>
                        <w:left w:val="none" w:sz="0" w:space="0" w:color="auto"/>
                        <w:bottom w:val="none" w:sz="0" w:space="0" w:color="auto"/>
                        <w:right w:val="none" w:sz="0" w:space="0" w:color="auto"/>
                      </w:divBdr>
                    </w:div>
                  </w:divsChild>
                </w:div>
                <w:div w:id="1040281896">
                  <w:marLeft w:val="0"/>
                  <w:marRight w:val="0"/>
                  <w:marTop w:val="0"/>
                  <w:marBottom w:val="0"/>
                  <w:divBdr>
                    <w:top w:val="none" w:sz="0" w:space="0" w:color="auto"/>
                    <w:left w:val="none" w:sz="0" w:space="0" w:color="auto"/>
                    <w:bottom w:val="none" w:sz="0" w:space="0" w:color="auto"/>
                    <w:right w:val="none" w:sz="0" w:space="0" w:color="auto"/>
                  </w:divBdr>
                  <w:divsChild>
                    <w:div w:id="646514006">
                      <w:marLeft w:val="0"/>
                      <w:marRight w:val="0"/>
                      <w:marTop w:val="0"/>
                      <w:marBottom w:val="0"/>
                      <w:divBdr>
                        <w:top w:val="none" w:sz="0" w:space="0" w:color="auto"/>
                        <w:left w:val="none" w:sz="0" w:space="0" w:color="auto"/>
                        <w:bottom w:val="none" w:sz="0" w:space="0" w:color="auto"/>
                        <w:right w:val="none" w:sz="0" w:space="0" w:color="auto"/>
                      </w:divBdr>
                    </w:div>
                  </w:divsChild>
                </w:div>
                <w:div w:id="1050572709">
                  <w:marLeft w:val="0"/>
                  <w:marRight w:val="0"/>
                  <w:marTop w:val="0"/>
                  <w:marBottom w:val="0"/>
                  <w:divBdr>
                    <w:top w:val="none" w:sz="0" w:space="0" w:color="auto"/>
                    <w:left w:val="none" w:sz="0" w:space="0" w:color="auto"/>
                    <w:bottom w:val="none" w:sz="0" w:space="0" w:color="auto"/>
                    <w:right w:val="none" w:sz="0" w:space="0" w:color="auto"/>
                  </w:divBdr>
                  <w:divsChild>
                    <w:div w:id="1139690032">
                      <w:marLeft w:val="0"/>
                      <w:marRight w:val="0"/>
                      <w:marTop w:val="0"/>
                      <w:marBottom w:val="0"/>
                      <w:divBdr>
                        <w:top w:val="none" w:sz="0" w:space="0" w:color="auto"/>
                        <w:left w:val="none" w:sz="0" w:space="0" w:color="auto"/>
                        <w:bottom w:val="none" w:sz="0" w:space="0" w:color="auto"/>
                        <w:right w:val="none" w:sz="0" w:space="0" w:color="auto"/>
                      </w:divBdr>
                    </w:div>
                  </w:divsChild>
                </w:div>
                <w:div w:id="1050691259">
                  <w:marLeft w:val="0"/>
                  <w:marRight w:val="0"/>
                  <w:marTop w:val="0"/>
                  <w:marBottom w:val="0"/>
                  <w:divBdr>
                    <w:top w:val="none" w:sz="0" w:space="0" w:color="auto"/>
                    <w:left w:val="none" w:sz="0" w:space="0" w:color="auto"/>
                    <w:bottom w:val="none" w:sz="0" w:space="0" w:color="auto"/>
                    <w:right w:val="none" w:sz="0" w:space="0" w:color="auto"/>
                  </w:divBdr>
                  <w:divsChild>
                    <w:div w:id="716705988">
                      <w:marLeft w:val="0"/>
                      <w:marRight w:val="0"/>
                      <w:marTop w:val="0"/>
                      <w:marBottom w:val="0"/>
                      <w:divBdr>
                        <w:top w:val="none" w:sz="0" w:space="0" w:color="auto"/>
                        <w:left w:val="none" w:sz="0" w:space="0" w:color="auto"/>
                        <w:bottom w:val="none" w:sz="0" w:space="0" w:color="auto"/>
                        <w:right w:val="none" w:sz="0" w:space="0" w:color="auto"/>
                      </w:divBdr>
                    </w:div>
                  </w:divsChild>
                </w:div>
                <w:div w:id="1056271362">
                  <w:marLeft w:val="0"/>
                  <w:marRight w:val="0"/>
                  <w:marTop w:val="0"/>
                  <w:marBottom w:val="0"/>
                  <w:divBdr>
                    <w:top w:val="none" w:sz="0" w:space="0" w:color="auto"/>
                    <w:left w:val="none" w:sz="0" w:space="0" w:color="auto"/>
                    <w:bottom w:val="none" w:sz="0" w:space="0" w:color="auto"/>
                    <w:right w:val="none" w:sz="0" w:space="0" w:color="auto"/>
                  </w:divBdr>
                  <w:divsChild>
                    <w:div w:id="750345968">
                      <w:marLeft w:val="0"/>
                      <w:marRight w:val="0"/>
                      <w:marTop w:val="0"/>
                      <w:marBottom w:val="0"/>
                      <w:divBdr>
                        <w:top w:val="none" w:sz="0" w:space="0" w:color="auto"/>
                        <w:left w:val="none" w:sz="0" w:space="0" w:color="auto"/>
                        <w:bottom w:val="none" w:sz="0" w:space="0" w:color="auto"/>
                        <w:right w:val="none" w:sz="0" w:space="0" w:color="auto"/>
                      </w:divBdr>
                    </w:div>
                  </w:divsChild>
                </w:div>
                <w:div w:id="1080366135">
                  <w:marLeft w:val="0"/>
                  <w:marRight w:val="0"/>
                  <w:marTop w:val="0"/>
                  <w:marBottom w:val="0"/>
                  <w:divBdr>
                    <w:top w:val="none" w:sz="0" w:space="0" w:color="auto"/>
                    <w:left w:val="none" w:sz="0" w:space="0" w:color="auto"/>
                    <w:bottom w:val="none" w:sz="0" w:space="0" w:color="auto"/>
                    <w:right w:val="none" w:sz="0" w:space="0" w:color="auto"/>
                  </w:divBdr>
                  <w:divsChild>
                    <w:div w:id="762603906">
                      <w:marLeft w:val="0"/>
                      <w:marRight w:val="0"/>
                      <w:marTop w:val="0"/>
                      <w:marBottom w:val="0"/>
                      <w:divBdr>
                        <w:top w:val="none" w:sz="0" w:space="0" w:color="auto"/>
                        <w:left w:val="none" w:sz="0" w:space="0" w:color="auto"/>
                        <w:bottom w:val="none" w:sz="0" w:space="0" w:color="auto"/>
                        <w:right w:val="none" w:sz="0" w:space="0" w:color="auto"/>
                      </w:divBdr>
                    </w:div>
                  </w:divsChild>
                </w:div>
                <w:div w:id="1083183618">
                  <w:marLeft w:val="0"/>
                  <w:marRight w:val="0"/>
                  <w:marTop w:val="0"/>
                  <w:marBottom w:val="0"/>
                  <w:divBdr>
                    <w:top w:val="none" w:sz="0" w:space="0" w:color="auto"/>
                    <w:left w:val="none" w:sz="0" w:space="0" w:color="auto"/>
                    <w:bottom w:val="none" w:sz="0" w:space="0" w:color="auto"/>
                    <w:right w:val="none" w:sz="0" w:space="0" w:color="auto"/>
                  </w:divBdr>
                  <w:divsChild>
                    <w:div w:id="627665399">
                      <w:marLeft w:val="0"/>
                      <w:marRight w:val="0"/>
                      <w:marTop w:val="0"/>
                      <w:marBottom w:val="0"/>
                      <w:divBdr>
                        <w:top w:val="none" w:sz="0" w:space="0" w:color="auto"/>
                        <w:left w:val="none" w:sz="0" w:space="0" w:color="auto"/>
                        <w:bottom w:val="none" w:sz="0" w:space="0" w:color="auto"/>
                        <w:right w:val="none" w:sz="0" w:space="0" w:color="auto"/>
                      </w:divBdr>
                    </w:div>
                  </w:divsChild>
                </w:div>
                <w:div w:id="1087767242">
                  <w:marLeft w:val="0"/>
                  <w:marRight w:val="0"/>
                  <w:marTop w:val="0"/>
                  <w:marBottom w:val="0"/>
                  <w:divBdr>
                    <w:top w:val="none" w:sz="0" w:space="0" w:color="auto"/>
                    <w:left w:val="none" w:sz="0" w:space="0" w:color="auto"/>
                    <w:bottom w:val="none" w:sz="0" w:space="0" w:color="auto"/>
                    <w:right w:val="none" w:sz="0" w:space="0" w:color="auto"/>
                  </w:divBdr>
                  <w:divsChild>
                    <w:div w:id="323896146">
                      <w:marLeft w:val="0"/>
                      <w:marRight w:val="0"/>
                      <w:marTop w:val="0"/>
                      <w:marBottom w:val="0"/>
                      <w:divBdr>
                        <w:top w:val="none" w:sz="0" w:space="0" w:color="auto"/>
                        <w:left w:val="none" w:sz="0" w:space="0" w:color="auto"/>
                        <w:bottom w:val="none" w:sz="0" w:space="0" w:color="auto"/>
                        <w:right w:val="none" w:sz="0" w:space="0" w:color="auto"/>
                      </w:divBdr>
                    </w:div>
                  </w:divsChild>
                </w:div>
                <w:div w:id="1089472474">
                  <w:marLeft w:val="0"/>
                  <w:marRight w:val="0"/>
                  <w:marTop w:val="0"/>
                  <w:marBottom w:val="0"/>
                  <w:divBdr>
                    <w:top w:val="none" w:sz="0" w:space="0" w:color="auto"/>
                    <w:left w:val="none" w:sz="0" w:space="0" w:color="auto"/>
                    <w:bottom w:val="none" w:sz="0" w:space="0" w:color="auto"/>
                    <w:right w:val="none" w:sz="0" w:space="0" w:color="auto"/>
                  </w:divBdr>
                  <w:divsChild>
                    <w:div w:id="1232886662">
                      <w:marLeft w:val="0"/>
                      <w:marRight w:val="0"/>
                      <w:marTop w:val="0"/>
                      <w:marBottom w:val="0"/>
                      <w:divBdr>
                        <w:top w:val="none" w:sz="0" w:space="0" w:color="auto"/>
                        <w:left w:val="none" w:sz="0" w:space="0" w:color="auto"/>
                        <w:bottom w:val="none" w:sz="0" w:space="0" w:color="auto"/>
                        <w:right w:val="none" w:sz="0" w:space="0" w:color="auto"/>
                      </w:divBdr>
                    </w:div>
                  </w:divsChild>
                </w:div>
                <w:div w:id="1116558565">
                  <w:marLeft w:val="0"/>
                  <w:marRight w:val="0"/>
                  <w:marTop w:val="0"/>
                  <w:marBottom w:val="0"/>
                  <w:divBdr>
                    <w:top w:val="none" w:sz="0" w:space="0" w:color="auto"/>
                    <w:left w:val="none" w:sz="0" w:space="0" w:color="auto"/>
                    <w:bottom w:val="none" w:sz="0" w:space="0" w:color="auto"/>
                    <w:right w:val="none" w:sz="0" w:space="0" w:color="auto"/>
                  </w:divBdr>
                  <w:divsChild>
                    <w:div w:id="1654676988">
                      <w:marLeft w:val="0"/>
                      <w:marRight w:val="0"/>
                      <w:marTop w:val="0"/>
                      <w:marBottom w:val="0"/>
                      <w:divBdr>
                        <w:top w:val="none" w:sz="0" w:space="0" w:color="auto"/>
                        <w:left w:val="none" w:sz="0" w:space="0" w:color="auto"/>
                        <w:bottom w:val="none" w:sz="0" w:space="0" w:color="auto"/>
                        <w:right w:val="none" w:sz="0" w:space="0" w:color="auto"/>
                      </w:divBdr>
                    </w:div>
                  </w:divsChild>
                </w:div>
                <w:div w:id="1116801448">
                  <w:marLeft w:val="0"/>
                  <w:marRight w:val="0"/>
                  <w:marTop w:val="0"/>
                  <w:marBottom w:val="0"/>
                  <w:divBdr>
                    <w:top w:val="none" w:sz="0" w:space="0" w:color="auto"/>
                    <w:left w:val="none" w:sz="0" w:space="0" w:color="auto"/>
                    <w:bottom w:val="none" w:sz="0" w:space="0" w:color="auto"/>
                    <w:right w:val="none" w:sz="0" w:space="0" w:color="auto"/>
                  </w:divBdr>
                  <w:divsChild>
                    <w:div w:id="974873679">
                      <w:marLeft w:val="0"/>
                      <w:marRight w:val="0"/>
                      <w:marTop w:val="0"/>
                      <w:marBottom w:val="0"/>
                      <w:divBdr>
                        <w:top w:val="none" w:sz="0" w:space="0" w:color="auto"/>
                        <w:left w:val="none" w:sz="0" w:space="0" w:color="auto"/>
                        <w:bottom w:val="none" w:sz="0" w:space="0" w:color="auto"/>
                        <w:right w:val="none" w:sz="0" w:space="0" w:color="auto"/>
                      </w:divBdr>
                    </w:div>
                  </w:divsChild>
                </w:div>
                <w:div w:id="1167135470">
                  <w:marLeft w:val="0"/>
                  <w:marRight w:val="0"/>
                  <w:marTop w:val="0"/>
                  <w:marBottom w:val="0"/>
                  <w:divBdr>
                    <w:top w:val="none" w:sz="0" w:space="0" w:color="auto"/>
                    <w:left w:val="none" w:sz="0" w:space="0" w:color="auto"/>
                    <w:bottom w:val="none" w:sz="0" w:space="0" w:color="auto"/>
                    <w:right w:val="none" w:sz="0" w:space="0" w:color="auto"/>
                  </w:divBdr>
                  <w:divsChild>
                    <w:div w:id="2094432116">
                      <w:marLeft w:val="0"/>
                      <w:marRight w:val="0"/>
                      <w:marTop w:val="0"/>
                      <w:marBottom w:val="0"/>
                      <w:divBdr>
                        <w:top w:val="none" w:sz="0" w:space="0" w:color="auto"/>
                        <w:left w:val="none" w:sz="0" w:space="0" w:color="auto"/>
                        <w:bottom w:val="none" w:sz="0" w:space="0" w:color="auto"/>
                        <w:right w:val="none" w:sz="0" w:space="0" w:color="auto"/>
                      </w:divBdr>
                    </w:div>
                  </w:divsChild>
                </w:div>
                <w:div w:id="1172571083">
                  <w:marLeft w:val="0"/>
                  <w:marRight w:val="0"/>
                  <w:marTop w:val="0"/>
                  <w:marBottom w:val="0"/>
                  <w:divBdr>
                    <w:top w:val="none" w:sz="0" w:space="0" w:color="auto"/>
                    <w:left w:val="none" w:sz="0" w:space="0" w:color="auto"/>
                    <w:bottom w:val="none" w:sz="0" w:space="0" w:color="auto"/>
                    <w:right w:val="none" w:sz="0" w:space="0" w:color="auto"/>
                  </w:divBdr>
                  <w:divsChild>
                    <w:div w:id="517621143">
                      <w:marLeft w:val="0"/>
                      <w:marRight w:val="0"/>
                      <w:marTop w:val="0"/>
                      <w:marBottom w:val="0"/>
                      <w:divBdr>
                        <w:top w:val="none" w:sz="0" w:space="0" w:color="auto"/>
                        <w:left w:val="none" w:sz="0" w:space="0" w:color="auto"/>
                        <w:bottom w:val="none" w:sz="0" w:space="0" w:color="auto"/>
                        <w:right w:val="none" w:sz="0" w:space="0" w:color="auto"/>
                      </w:divBdr>
                    </w:div>
                  </w:divsChild>
                </w:div>
                <w:div w:id="1192106410">
                  <w:marLeft w:val="0"/>
                  <w:marRight w:val="0"/>
                  <w:marTop w:val="0"/>
                  <w:marBottom w:val="0"/>
                  <w:divBdr>
                    <w:top w:val="none" w:sz="0" w:space="0" w:color="auto"/>
                    <w:left w:val="none" w:sz="0" w:space="0" w:color="auto"/>
                    <w:bottom w:val="none" w:sz="0" w:space="0" w:color="auto"/>
                    <w:right w:val="none" w:sz="0" w:space="0" w:color="auto"/>
                  </w:divBdr>
                  <w:divsChild>
                    <w:div w:id="1763602395">
                      <w:marLeft w:val="0"/>
                      <w:marRight w:val="0"/>
                      <w:marTop w:val="0"/>
                      <w:marBottom w:val="0"/>
                      <w:divBdr>
                        <w:top w:val="none" w:sz="0" w:space="0" w:color="auto"/>
                        <w:left w:val="none" w:sz="0" w:space="0" w:color="auto"/>
                        <w:bottom w:val="none" w:sz="0" w:space="0" w:color="auto"/>
                        <w:right w:val="none" w:sz="0" w:space="0" w:color="auto"/>
                      </w:divBdr>
                    </w:div>
                  </w:divsChild>
                </w:div>
                <w:div w:id="1201549856">
                  <w:marLeft w:val="0"/>
                  <w:marRight w:val="0"/>
                  <w:marTop w:val="0"/>
                  <w:marBottom w:val="0"/>
                  <w:divBdr>
                    <w:top w:val="none" w:sz="0" w:space="0" w:color="auto"/>
                    <w:left w:val="none" w:sz="0" w:space="0" w:color="auto"/>
                    <w:bottom w:val="none" w:sz="0" w:space="0" w:color="auto"/>
                    <w:right w:val="none" w:sz="0" w:space="0" w:color="auto"/>
                  </w:divBdr>
                  <w:divsChild>
                    <w:div w:id="117335749">
                      <w:marLeft w:val="0"/>
                      <w:marRight w:val="0"/>
                      <w:marTop w:val="0"/>
                      <w:marBottom w:val="0"/>
                      <w:divBdr>
                        <w:top w:val="none" w:sz="0" w:space="0" w:color="auto"/>
                        <w:left w:val="none" w:sz="0" w:space="0" w:color="auto"/>
                        <w:bottom w:val="none" w:sz="0" w:space="0" w:color="auto"/>
                        <w:right w:val="none" w:sz="0" w:space="0" w:color="auto"/>
                      </w:divBdr>
                    </w:div>
                  </w:divsChild>
                </w:div>
                <w:div w:id="1210532071">
                  <w:marLeft w:val="0"/>
                  <w:marRight w:val="0"/>
                  <w:marTop w:val="0"/>
                  <w:marBottom w:val="0"/>
                  <w:divBdr>
                    <w:top w:val="none" w:sz="0" w:space="0" w:color="auto"/>
                    <w:left w:val="none" w:sz="0" w:space="0" w:color="auto"/>
                    <w:bottom w:val="none" w:sz="0" w:space="0" w:color="auto"/>
                    <w:right w:val="none" w:sz="0" w:space="0" w:color="auto"/>
                  </w:divBdr>
                  <w:divsChild>
                    <w:div w:id="1387486143">
                      <w:marLeft w:val="0"/>
                      <w:marRight w:val="0"/>
                      <w:marTop w:val="0"/>
                      <w:marBottom w:val="0"/>
                      <w:divBdr>
                        <w:top w:val="none" w:sz="0" w:space="0" w:color="auto"/>
                        <w:left w:val="none" w:sz="0" w:space="0" w:color="auto"/>
                        <w:bottom w:val="none" w:sz="0" w:space="0" w:color="auto"/>
                        <w:right w:val="none" w:sz="0" w:space="0" w:color="auto"/>
                      </w:divBdr>
                    </w:div>
                  </w:divsChild>
                </w:div>
                <w:div w:id="1218201151">
                  <w:marLeft w:val="0"/>
                  <w:marRight w:val="0"/>
                  <w:marTop w:val="0"/>
                  <w:marBottom w:val="0"/>
                  <w:divBdr>
                    <w:top w:val="none" w:sz="0" w:space="0" w:color="auto"/>
                    <w:left w:val="none" w:sz="0" w:space="0" w:color="auto"/>
                    <w:bottom w:val="none" w:sz="0" w:space="0" w:color="auto"/>
                    <w:right w:val="none" w:sz="0" w:space="0" w:color="auto"/>
                  </w:divBdr>
                  <w:divsChild>
                    <w:div w:id="1486315782">
                      <w:marLeft w:val="0"/>
                      <w:marRight w:val="0"/>
                      <w:marTop w:val="0"/>
                      <w:marBottom w:val="0"/>
                      <w:divBdr>
                        <w:top w:val="none" w:sz="0" w:space="0" w:color="auto"/>
                        <w:left w:val="none" w:sz="0" w:space="0" w:color="auto"/>
                        <w:bottom w:val="none" w:sz="0" w:space="0" w:color="auto"/>
                        <w:right w:val="none" w:sz="0" w:space="0" w:color="auto"/>
                      </w:divBdr>
                    </w:div>
                  </w:divsChild>
                </w:div>
                <w:div w:id="1220283317">
                  <w:marLeft w:val="0"/>
                  <w:marRight w:val="0"/>
                  <w:marTop w:val="0"/>
                  <w:marBottom w:val="0"/>
                  <w:divBdr>
                    <w:top w:val="none" w:sz="0" w:space="0" w:color="auto"/>
                    <w:left w:val="none" w:sz="0" w:space="0" w:color="auto"/>
                    <w:bottom w:val="none" w:sz="0" w:space="0" w:color="auto"/>
                    <w:right w:val="none" w:sz="0" w:space="0" w:color="auto"/>
                  </w:divBdr>
                  <w:divsChild>
                    <w:div w:id="1299529781">
                      <w:marLeft w:val="0"/>
                      <w:marRight w:val="0"/>
                      <w:marTop w:val="0"/>
                      <w:marBottom w:val="0"/>
                      <w:divBdr>
                        <w:top w:val="none" w:sz="0" w:space="0" w:color="auto"/>
                        <w:left w:val="none" w:sz="0" w:space="0" w:color="auto"/>
                        <w:bottom w:val="none" w:sz="0" w:space="0" w:color="auto"/>
                        <w:right w:val="none" w:sz="0" w:space="0" w:color="auto"/>
                      </w:divBdr>
                    </w:div>
                  </w:divsChild>
                </w:div>
                <w:div w:id="1225798959">
                  <w:marLeft w:val="0"/>
                  <w:marRight w:val="0"/>
                  <w:marTop w:val="0"/>
                  <w:marBottom w:val="0"/>
                  <w:divBdr>
                    <w:top w:val="none" w:sz="0" w:space="0" w:color="auto"/>
                    <w:left w:val="none" w:sz="0" w:space="0" w:color="auto"/>
                    <w:bottom w:val="none" w:sz="0" w:space="0" w:color="auto"/>
                    <w:right w:val="none" w:sz="0" w:space="0" w:color="auto"/>
                  </w:divBdr>
                  <w:divsChild>
                    <w:div w:id="1421441731">
                      <w:marLeft w:val="0"/>
                      <w:marRight w:val="0"/>
                      <w:marTop w:val="0"/>
                      <w:marBottom w:val="0"/>
                      <w:divBdr>
                        <w:top w:val="none" w:sz="0" w:space="0" w:color="auto"/>
                        <w:left w:val="none" w:sz="0" w:space="0" w:color="auto"/>
                        <w:bottom w:val="none" w:sz="0" w:space="0" w:color="auto"/>
                        <w:right w:val="none" w:sz="0" w:space="0" w:color="auto"/>
                      </w:divBdr>
                    </w:div>
                  </w:divsChild>
                </w:div>
                <w:div w:id="1227258378">
                  <w:marLeft w:val="0"/>
                  <w:marRight w:val="0"/>
                  <w:marTop w:val="0"/>
                  <w:marBottom w:val="0"/>
                  <w:divBdr>
                    <w:top w:val="none" w:sz="0" w:space="0" w:color="auto"/>
                    <w:left w:val="none" w:sz="0" w:space="0" w:color="auto"/>
                    <w:bottom w:val="none" w:sz="0" w:space="0" w:color="auto"/>
                    <w:right w:val="none" w:sz="0" w:space="0" w:color="auto"/>
                  </w:divBdr>
                  <w:divsChild>
                    <w:div w:id="198595255">
                      <w:marLeft w:val="0"/>
                      <w:marRight w:val="0"/>
                      <w:marTop w:val="0"/>
                      <w:marBottom w:val="0"/>
                      <w:divBdr>
                        <w:top w:val="none" w:sz="0" w:space="0" w:color="auto"/>
                        <w:left w:val="none" w:sz="0" w:space="0" w:color="auto"/>
                        <w:bottom w:val="none" w:sz="0" w:space="0" w:color="auto"/>
                        <w:right w:val="none" w:sz="0" w:space="0" w:color="auto"/>
                      </w:divBdr>
                    </w:div>
                  </w:divsChild>
                </w:div>
                <w:div w:id="1232616563">
                  <w:marLeft w:val="0"/>
                  <w:marRight w:val="0"/>
                  <w:marTop w:val="0"/>
                  <w:marBottom w:val="0"/>
                  <w:divBdr>
                    <w:top w:val="none" w:sz="0" w:space="0" w:color="auto"/>
                    <w:left w:val="none" w:sz="0" w:space="0" w:color="auto"/>
                    <w:bottom w:val="none" w:sz="0" w:space="0" w:color="auto"/>
                    <w:right w:val="none" w:sz="0" w:space="0" w:color="auto"/>
                  </w:divBdr>
                  <w:divsChild>
                    <w:div w:id="117336193">
                      <w:marLeft w:val="0"/>
                      <w:marRight w:val="0"/>
                      <w:marTop w:val="0"/>
                      <w:marBottom w:val="0"/>
                      <w:divBdr>
                        <w:top w:val="none" w:sz="0" w:space="0" w:color="auto"/>
                        <w:left w:val="none" w:sz="0" w:space="0" w:color="auto"/>
                        <w:bottom w:val="none" w:sz="0" w:space="0" w:color="auto"/>
                        <w:right w:val="none" w:sz="0" w:space="0" w:color="auto"/>
                      </w:divBdr>
                    </w:div>
                  </w:divsChild>
                </w:div>
                <w:div w:id="1235703058">
                  <w:marLeft w:val="0"/>
                  <w:marRight w:val="0"/>
                  <w:marTop w:val="0"/>
                  <w:marBottom w:val="0"/>
                  <w:divBdr>
                    <w:top w:val="none" w:sz="0" w:space="0" w:color="auto"/>
                    <w:left w:val="none" w:sz="0" w:space="0" w:color="auto"/>
                    <w:bottom w:val="none" w:sz="0" w:space="0" w:color="auto"/>
                    <w:right w:val="none" w:sz="0" w:space="0" w:color="auto"/>
                  </w:divBdr>
                  <w:divsChild>
                    <w:div w:id="1252204812">
                      <w:marLeft w:val="0"/>
                      <w:marRight w:val="0"/>
                      <w:marTop w:val="0"/>
                      <w:marBottom w:val="0"/>
                      <w:divBdr>
                        <w:top w:val="none" w:sz="0" w:space="0" w:color="auto"/>
                        <w:left w:val="none" w:sz="0" w:space="0" w:color="auto"/>
                        <w:bottom w:val="none" w:sz="0" w:space="0" w:color="auto"/>
                        <w:right w:val="none" w:sz="0" w:space="0" w:color="auto"/>
                      </w:divBdr>
                    </w:div>
                  </w:divsChild>
                </w:div>
                <w:div w:id="1253781686">
                  <w:marLeft w:val="0"/>
                  <w:marRight w:val="0"/>
                  <w:marTop w:val="0"/>
                  <w:marBottom w:val="0"/>
                  <w:divBdr>
                    <w:top w:val="none" w:sz="0" w:space="0" w:color="auto"/>
                    <w:left w:val="none" w:sz="0" w:space="0" w:color="auto"/>
                    <w:bottom w:val="none" w:sz="0" w:space="0" w:color="auto"/>
                    <w:right w:val="none" w:sz="0" w:space="0" w:color="auto"/>
                  </w:divBdr>
                  <w:divsChild>
                    <w:div w:id="272131611">
                      <w:marLeft w:val="0"/>
                      <w:marRight w:val="0"/>
                      <w:marTop w:val="0"/>
                      <w:marBottom w:val="0"/>
                      <w:divBdr>
                        <w:top w:val="none" w:sz="0" w:space="0" w:color="auto"/>
                        <w:left w:val="none" w:sz="0" w:space="0" w:color="auto"/>
                        <w:bottom w:val="none" w:sz="0" w:space="0" w:color="auto"/>
                        <w:right w:val="none" w:sz="0" w:space="0" w:color="auto"/>
                      </w:divBdr>
                    </w:div>
                  </w:divsChild>
                </w:div>
                <w:div w:id="1257980733">
                  <w:marLeft w:val="0"/>
                  <w:marRight w:val="0"/>
                  <w:marTop w:val="0"/>
                  <w:marBottom w:val="0"/>
                  <w:divBdr>
                    <w:top w:val="none" w:sz="0" w:space="0" w:color="auto"/>
                    <w:left w:val="none" w:sz="0" w:space="0" w:color="auto"/>
                    <w:bottom w:val="none" w:sz="0" w:space="0" w:color="auto"/>
                    <w:right w:val="none" w:sz="0" w:space="0" w:color="auto"/>
                  </w:divBdr>
                  <w:divsChild>
                    <w:div w:id="156461429">
                      <w:marLeft w:val="0"/>
                      <w:marRight w:val="0"/>
                      <w:marTop w:val="0"/>
                      <w:marBottom w:val="0"/>
                      <w:divBdr>
                        <w:top w:val="none" w:sz="0" w:space="0" w:color="auto"/>
                        <w:left w:val="none" w:sz="0" w:space="0" w:color="auto"/>
                        <w:bottom w:val="none" w:sz="0" w:space="0" w:color="auto"/>
                        <w:right w:val="none" w:sz="0" w:space="0" w:color="auto"/>
                      </w:divBdr>
                    </w:div>
                  </w:divsChild>
                </w:div>
                <w:div w:id="1284847559">
                  <w:marLeft w:val="0"/>
                  <w:marRight w:val="0"/>
                  <w:marTop w:val="0"/>
                  <w:marBottom w:val="0"/>
                  <w:divBdr>
                    <w:top w:val="none" w:sz="0" w:space="0" w:color="auto"/>
                    <w:left w:val="none" w:sz="0" w:space="0" w:color="auto"/>
                    <w:bottom w:val="none" w:sz="0" w:space="0" w:color="auto"/>
                    <w:right w:val="none" w:sz="0" w:space="0" w:color="auto"/>
                  </w:divBdr>
                  <w:divsChild>
                    <w:div w:id="179396546">
                      <w:marLeft w:val="0"/>
                      <w:marRight w:val="0"/>
                      <w:marTop w:val="0"/>
                      <w:marBottom w:val="0"/>
                      <w:divBdr>
                        <w:top w:val="none" w:sz="0" w:space="0" w:color="auto"/>
                        <w:left w:val="none" w:sz="0" w:space="0" w:color="auto"/>
                        <w:bottom w:val="none" w:sz="0" w:space="0" w:color="auto"/>
                        <w:right w:val="none" w:sz="0" w:space="0" w:color="auto"/>
                      </w:divBdr>
                    </w:div>
                  </w:divsChild>
                </w:div>
                <w:div w:id="1304776956">
                  <w:marLeft w:val="0"/>
                  <w:marRight w:val="0"/>
                  <w:marTop w:val="0"/>
                  <w:marBottom w:val="0"/>
                  <w:divBdr>
                    <w:top w:val="none" w:sz="0" w:space="0" w:color="auto"/>
                    <w:left w:val="none" w:sz="0" w:space="0" w:color="auto"/>
                    <w:bottom w:val="none" w:sz="0" w:space="0" w:color="auto"/>
                    <w:right w:val="none" w:sz="0" w:space="0" w:color="auto"/>
                  </w:divBdr>
                  <w:divsChild>
                    <w:div w:id="157425915">
                      <w:marLeft w:val="0"/>
                      <w:marRight w:val="0"/>
                      <w:marTop w:val="0"/>
                      <w:marBottom w:val="0"/>
                      <w:divBdr>
                        <w:top w:val="none" w:sz="0" w:space="0" w:color="auto"/>
                        <w:left w:val="none" w:sz="0" w:space="0" w:color="auto"/>
                        <w:bottom w:val="none" w:sz="0" w:space="0" w:color="auto"/>
                        <w:right w:val="none" w:sz="0" w:space="0" w:color="auto"/>
                      </w:divBdr>
                    </w:div>
                  </w:divsChild>
                </w:div>
                <w:div w:id="1316714824">
                  <w:marLeft w:val="0"/>
                  <w:marRight w:val="0"/>
                  <w:marTop w:val="0"/>
                  <w:marBottom w:val="0"/>
                  <w:divBdr>
                    <w:top w:val="none" w:sz="0" w:space="0" w:color="auto"/>
                    <w:left w:val="none" w:sz="0" w:space="0" w:color="auto"/>
                    <w:bottom w:val="none" w:sz="0" w:space="0" w:color="auto"/>
                    <w:right w:val="none" w:sz="0" w:space="0" w:color="auto"/>
                  </w:divBdr>
                  <w:divsChild>
                    <w:div w:id="79065001">
                      <w:marLeft w:val="0"/>
                      <w:marRight w:val="0"/>
                      <w:marTop w:val="0"/>
                      <w:marBottom w:val="0"/>
                      <w:divBdr>
                        <w:top w:val="none" w:sz="0" w:space="0" w:color="auto"/>
                        <w:left w:val="none" w:sz="0" w:space="0" w:color="auto"/>
                        <w:bottom w:val="none" w:sz="0" w:space="0" w:color="auto"/>
                        <w:right w:val="none" w:sz="0" w:space="0" w:color="auto"/>
                      </w:divBdr>
                    </w:div>
                  </w:divsChild>
                </w:div>
                <w:div w:id="1320961489">
                  <w:marLeft w:val="0"/>
                  <w:marRight w:val="0"/>
                  <w:marTop w:val="0"/>
                  <w:marBottom w:val="0"/>
                  <w:divBdr>
                    <w:top w:val="none" w:sz="0" w:space="0" w:color="auto"/>
                    <w:left w:val="none" w:sz="0" w:space="0" w:color="auto"/>
                    <w:bottom w:val="none" w:sz="0" w:space="0" w:color="auto"/>
                    <w:right w:val="none" w:sz="0" w:space="0" w:color="auto"/>
                  </w:divBdr>
                  <w:divsChild>
                    <w:div w:id="455373987">
                      <w:marLeft w:val="0"/>
                      <w:marRight w:val="0"/>
                      <w:marTop w:val="0"/>
                      <w:marBottom w:val="0"/>
                      <w:divBdr>
                        <w:top w:val="none" w:sz="0" w:space="0" w:color="auto"/>
                        <w:left w:val="none" w:sz="0" w:space="0" w:color="auto"/>
                        <w:bottom w:val="none" w:sz="0" w:space="0" w:color="auto"/>
                        <w:right w:val="none" w:sz="0" w:space="0" w:color="auto"/>
                      </w:divBdr>
                    </w:div>
                  </w:divsChild>
                </w:div>
                <w:div w:id="1326785805">
                  <w:marLeft w:val="0"/>
                  <w:marRight w:val="0"/>
                  <w:marTop w:val="0"/>
                  <w:marBottom w:val="0"/>
                  <w:divBdr>
                    <w:top w:val="none" w:sz="0" w:space="0" w:color="auto"/>
                    <w:left w:val="none" w:sz="0" w:space="0" w:color="auto"/>
                    <w:bottom w:val="none" w:sz="0" w:space="0" w:color="auto"/>
                    <w:right w:val="none" w:sz="0" w:space="0" w:color="auto"/>
                  </w:divBdr>
                  <w:divsChild>
                    <w:div w:id="231738885">
                      <w:marLeft w:val="0"/>
                      <w:marRight w:val="0"/>
                      <w:marTop w:val="0"/>
                      <w:marBottom w:val="0"/>
                      <w:divBdr>
                        <w:top w:val="none" w:sz="0" w:space="0" w:color="auto"/>
                        <w:left w:val="none" w:sz="0" w:space="0" w:color="auto"/>
                        <w:bottom w:val="none" w:sz="0" w:space="0" w:color="auto"/>
                        <w:right w:val="none" w:sz="0" w:space="0" w:color="auto"/>
                      </w:divBdr>
                    </w:div>
                  </w:divsChild>
                </w:div>
                <w:div w:id="1356423821">
                  <w:marLeft w:val="0"/>
                  <w:marRight w:val="0"/>
                  <w:marTop w:val="0"/>
                  <w:marBottom w:val="0"/>
                  <w:divBdr>
                    <w:top w:val="none" w:sz="0" w:space="0" w:color="auto"/>
                    <w:left w:val="none" w:sz="0" w:space="0" w:color="auto"/>
                    <w:bottom w:val="none" w:sz="0" w:space="0" w:color="auto"/>
                    <w:right w:val="none" w:sz="0" w:space="0" w:color="auto"/>
                  </w:divBdr>
                  <w:divsChild>
                    <w:div w:id="689068234">
                      <w:marLeft w:val="0"/>
                      <w:marRight w:val="0"/>
                      <w:marTop w:val="0"/>
                      <w:marBottom w:val="0"/>
                      <w:divBdr>
                        <w:top w:val="none" w:sz="0" w:space="0" w:color="auto"/>
                        <w:left w:val="none" w:sz="0" w:space="0" w:color="auto"/>
                        <w:bottom w:val="none" w:sz="0" w:space="0" w:color="auto"/>
                        <w:right w:val="none" w:sz="0" w:space="0" w:color="auto"/>
                      </w:divBdr>
                    </w:div>
                  </w:divsChild>
                </w:div>
                <w:div w:id="1360202369">
                  <w:marLeft w:val="0"/>
                  <w:marRight w:val="0"/>
                  <w:marTop w:val="0"/>
                  <w:marBottom w:val="0"/>
                  <w:divBdr>
                    <w:top w:val="none" w:sz="0" w:space="0" w:color="auto"/>
                    <w:left w:val="none" w:sz="0" w:space="0" w:color="auto"/>
                    <w:bottom w:val="none" w:sz="0" w:space="0" w:color="auto"/>
                    <w:right w:val="none" w:sz="0" w:space="0" w:color="auto"/>
                  </w:divBdr>
                  <w:divsChild>
                    <w:div w:id="591355199">
                      <w:marLeft w:val="0"/>
                      <w:marRight w:val="0"/>
                      <w:marTop w:val="0"/>
                      <w:marBottom w:val="0"/>
                      <w:divBdr>
                        <w:top w:val="none" w:sz="0" w:space="0" w:color="auto"/>
                        <w:left w:val="none" w:sz="0" w:space="0" w:color="auto"/>
                        <w:bottom w:val="none" w:sz="0" w:space="0" w:color="auto"/>
                        <w:right w:val="none" w:sz="0" w:space="0" w:color="auto"/>
                      </w:divBdr>
                    </w:div>
                  </w:divsChild>
                </w:div>
                <w:div w:id="1367947384">
                  <w:marLeft w:val="0"/>
                  <w:marRight w:val="0"/>
                  <w:marTop w:val="0"/>
                  <w:marBottom w:val="0"/>
                  <w:divBdr>
                    <w:top w:val="none" w:sz="0" w:space="0" w:color="auto"/>
                    <w:left w:val="none" w:sz="0" w:space="0" w:color="auto"/>
                    <w:bottom w:val="none" w:sz="0" w:space="0" w:color="auto"/>
                    <w:right w:val="none" w:sz="0" w:space="0" w:color="auto"/>
                  </w:divBdr>
                  <w:divsChild>
                    <w:div w:id="268196819">
                      <w:marLeft w:val="0"/>
                      <w:marRight w:val="0"/>
                      <w:marTop w:val="0"/>
                      <w:marBottom w:val="0"/>
                      <w:divBdr>
                        <w:top w:val="none" w:sz="0" w:space="0" w:color="auto"/>
                        <w:left w:val="none" w:sz="0" w:space="0" w:color="auto"/>
                        <w:bottom w:val="none" w:sz="0" w:space="0" w:color="auto"/>
                        <w:right w:val="none" w:sz="0" w:space="0" w:color="auto"/>
                      </w:divBdr>
                    </w:div>
                  </w:divsChild>
                </w:div>
                <w:div w:id="1388920812">
                  <w:marLeft w:val="0"/>
                  <w:marRight w:val="0"/>
                  <w:marTop w:val="0"/>
                  <w:marBottom w:val="0"/>
                  <w:divBdr>
                    <w:top w:val="none" w:sz="0" w:space="0" w:color="auto"/>
                    <w:left w:val="none" w:sz="0" w:space="0" w:color="auto"/>
                    <w:bottom w:val="none" w:sz="0" w:space="0" w:color="auto"/>
                    <w:right w:val="none" w:sz="0" w:space="0" w:color="auto"/>
                  </w:divBdr>
                  <w:divsChild>
                    <w:div w:id="2009290406">
                      <w:marLeft w:val="0"/>
                      <w:marRight w:val="0"/>
                      <w:marTop w:val="0"/>
                      <w:marBottom w:val="0"/>
                      <w:divBdr>
                        <w:top w:val="none" w:sz="0" w:space="0" w:color="auto"/>
                        <w:left w:val="none" w:sz="0" w:space="0" w:color="auto"/>
                        <w:bottom w:val="none" w:sz="0" w:space="0" w:color="auto"/>
                        <w:right w:val="none" w:sz="0" w:space="0" w:color="auto"/>
                      </w:divBdr>
                    </w:div>
                  </w:divsChild>
                </w:div>
                <w:div w:id="1392344801">
                  <w:marLeft w:val="0"/>
                  <w:marRight w:val="0"/>
                  <w:marTop w:val="0"/>
                  <w:marBottom w:val="0"/>
                  <w:divBdr>
                    <w:top w:val="none" w:sz="0" w:space="0" w:color="auto"/>
                    <w:left w:val="none" w:sz="0" w:space="0" w:color="auto"/>
                    <w:bottom w:val="none" w:sz="0" w:space="0" w:color="auto"/>
                    <w:right w:val="none" w:sz="0" w:space="0" w:color="auto"/>
                  </w:divBdr>
                  <w:divsChild>
                    <w:div w:id="513303848">
                      <w:marLeft w:val="0"/>
                      <w:marRight w:val="0"/>
                      <w:marTop w:val="0"/>
                      <w:marBottom w:val="0"/>
                      <w:divBdr>
                        <w:top w:val="none" w:sz="0" w:space="0" w:color="auto"/>
                        <w:left w:val="none" w:sz="0" w:space="0" w:color="auto"/>
                        <w:bottom w:val="none" w:sz="0" w:space="0" w:color="auto"/>
                        <w:right w:val="none" w:sz="0" w:space="0" w:color="auto"/>
                      </w:divBdr>
                    </w:div>
                  </w:divsChild>
                </w:div>
                <w:div w:id="1399018857">
                  <w:marLeft w:val="0"/>
                  <w:marRight w:val="0"/>
                  <w:marTop w:val="0"/>
                  <w:marBottom w:val="0"/>
                  <w:divBdr>
                    <w:top w:val="none" w:sz="0" w:space="0" w:color="auto"/>
                    <w:left w:val="none" w:sz="0" w:space="0" w:color="auto"/>
                    <w:bottom w:val="none" w:sz="0" w:space="0" w:color="auto"/>
                    <w:right w:val="none" w:sz="0" w:space="0" w:color="auto"/>
                  </w:divBdr>
                  <w:divsChild>
                    <w:div w:id="596523915">
                      <w:marLeft w:val="0"/>
                      <w:marRight w:val="0"/>
                      <w:marTop w:val="0"/>
                      <w:marBottom w:val="0"/>
                      <w:divBdr>
                        <w:top w:val="none" w:sz="0" w:space="0" w:color="auto"/>
                        <w:left w:val="none" w:sz="0" w:space="0" w:color="auto"/>
                        <w:bottom w:val="none" w:sz="0" w:space="0" w:color="auto"/>
                        <w:right w:val="none" w:sz="0" w:space="0" w:color="auto"/>
                      </w:divBdr>
                    </w:div>
                  </w:divsChild>
                </w:div>
                <w:div w:id="1405183499">
                  <w:marLeft w:val="0"/>
                  <w:marRight w:val="0"/>
                  <w:marTop w:val="0"/>
                  <w:marBottom w:val="0"/>
                  <w:divBdr>
                    <w:top w:val="none" w:sz="0" w:space="0" w:color="auto"/>
                    <w:left w:val="none" w:sz="0" w:space="0" w:color="auto"/>
                    <w:bottom w:val="none" w:sz="0" w:space="0" w:color="auto"/>
                    <w:right w:val="none" w:sz="0" w:space="0" w:color="auto"/>
                  </w:divBdr>
                  <w:divsChild>
                    <w:div w:id="932471583">
                      <w:marLeft w:val="0"/>
                      <w:marRight w:val="0"/>
                      <w:marTop w:val="0"/>
                      <w:marBottom w:val="0"/>
                      <w:divBdr>
                        <w:top w:val="none" w:sz="0" w:space="0" w:color="auto"/>
                        <w:left w:val="none" w:sz="0" w:space="0" w:color="auto"/>
                        <w:bottom w:val="none" w:sz="0" w:space="0" w:color="auto"/>
                        <w:right w:val="none" w:sz="0" w:space="0" w:color="auto"/>
                      </w:divBdr>
                    </w:div>
                  </w:divsChild>
                </w:div>
                <w:div w:id="1409881421">
                  <w:marLeft w:val="0"/>
                  <w:marRight w:val="0"/>
                  <w:marTop w:val="0"/>
                  <w:marBottom w:val="0"/>
                  <w:divBdr>
                    <w:top w:val="none" w:sz="0" w:space="0" w:color="auto"/>
                    <w:left w:val="none" w:sz="0" w:space="0" w:color="auto"/>
                    <w:bottom w:val="none" w:sz="0" w:space="0" w:color="auto"/>
                    <w:right w:val="none" w:sz="0" w:space="0" w:color="auto"/>
                  </w:divBdr>
                  <w:divsChild>
                    <w:div w:id="1951551652">
                      <w:marLeft w:val="0"/>
                      <w:marRight w:val="0"/>
                      <w:marTop w:val="0"/>
                      <w:marBottom w:val="0"/>
                      <w:divBdr>
                        <w:top w:val="none" w:sz="0" w:space="0" w:color="auto"/>
                        <w:left w:val="none" w:sz="0" w:space="0" w:color="auto"/>
                        <w:bottom w:val="none" w:sz="0" w:space="0" w:color="auto"/>
                        <w:right w:val="none" w:sz="0" w:space="0" w:color="auto"/>
                      </w:divBdr>
                    </w:div>
                  </w:divsChild>
                </w:div>
                <w:div w:id="1411582064">
                  <w:marLeft w:val="0"/>
                  <w:marRight w:val="0"/>
                  <w:marTop w:val="0"/>
                  <w:marBottom w:val="0"/>
                  <w:divBdr>
                    <w:top w:val="none" w:sz="0" w:space="0" w:color="auto"/>
                    <w:left w:val="none" w:sz="0" w:space="0" w:color="auto"/>
                    <w:bottom w:val="none" w:sz="0" w:space="0" w:color="auto"/>
                    <w:right w:val="none" w:sz="0" w:space="0" w:color="auto"/>
                  </w:divBdr>
                  <w:divsChild>
                    <w:div w:id="1365209758">
                      <w:marLeft w:val="0"/>
                      <w:marRight w:val="0"/>
                      <w:marTop w:val="0"/>
                      <w:marBottom w:val="0"/>
                      <w:divBdr>
                        <w:top w:val="none" w:sz="0" w:space="0" w:color="auto"/>
                        <w:left w:val="none" w:sz="0" w:space="0" w:color="auto"/>
                        <w:bottom w:val="none" w:sz="0" w:space="0" w:color="auto"/>
                        <w:right w:val="none" w:sz="0" w:space="0" w:color="auto"/>
                      </w:divBdr>
                    </w:div>
                  </w:divsChild>
                </w:div>
                <w:div w:id="1420638749">
                  <w:marLeft w:val="0"/>
                  <w:marRight w:val="0"/>
                  <w:marTop w:val="0"/>
                  <w:marBottom w:val="0"/>
                  <w:divBdr>
                    <w:top w:val="none" w:sz="0" w:space="0" w:color="auto"/>
                    <w:left w:val="none" w:sz="0" w:space="0" w:color="auto"/>
                    <w:bottom w:val="none" w:sz="0" w:space="0" w:color="auto"/>
                    <w:right w:val="none" w:sz="0" w:space="0" w:color="auto"/>
                  </w:divBdr>
                  <w:divsChild>
                    <w:div w:id="420685245">
                      <w:marLeft w:val="0"/>
                      <w:marRight w:val="0"/>
                      <w:marTop w:val="0"/>
                      <w:marBottom w:val="0"/>
                      <w:divBdr>
                        <w:top w:val="none" w:sz="0" w:space="0" w:color="auto"/>
                        <w:left w:val="none" w:sz="0" w:space="0" w:color="auto"/>
                        <w:bottom w:val="none" w:sz="0" w:space="0" w:color="auto"/>
                        <w:right w:val="none" w:sz="0" w:space="0" w:color="auto"/>
                      </w:divBdr>
                    </w:div>
                  </w:divsChild>
                </w:div>
                <w:div w:id="1431320542">
                  <w:marLeft w:val="0"/>
                  <w:marRight w:val="0"/>
                  <w:marTop w:val="0"/>
                  <w:marBottom w:val="0"/>
                  <w:divBdr>
                    <w:top w:val="none" w:sz="0" w:space="0" w:color="auto"/>
                    <w:left w:val="none" w:sz="0" w:space="0" w:color="auto"/>
                    <w:bottom w:val="none" w:sz="0" w:space="0" w:color="auto"/>
                    <w:right w:val="none" w:sz="0" w:space="0" w:color="auto"/>
                  </w:divBdr>
                  <w:divsChild>
                    <w:div w:id="736826568">
                      <w:marLeft w:val="0"/>
                      <w:marRight w:val="0"/>
                      <w:marTop w:val="0"/>
                      <w:marBottom w:val="0"/>
                      <w:divBdr>
                        <w:top w:val="none" w:sz="0" w:space="0" w:color="auto"/>
                        <w:left w:val="none" w:sz="0" w:space="0" w:color="auto"/>
                        <w:bottom w:val="none" w:sz="0" w:space="0" w:color="auto"/>
                        <w:right w:val="none" w:sz="0" w:space="0" w:color="auto"/>
                      </w:divBdr>
                    </w:div>
                  </w:divsChild>
                </w:div>
                <w:div w:id="1450121494">
                  <w:marLeft w:val="0"/>
                  <w:marRight w:val="0"/>
                  <w:marTop w:val="0"/>
                  <w:marBottom w:val="0"/>
                  <w:divBdr>
                    <w:top w:val="none" w:sz="0" w:space="0" w:color="auto"/>
                    <w:left w:val="none" w:sz="0" w:space="0" w:color="auto"/>
                    <w:bottom w:val="none" w:sz="0" w:space="0" w:color="auto"/>
                    <w:right w:val="none" w:sz="0" w:space="0" w:color="auto"/>
                  </w:divBdr>
                  <w:divsChild>
                    <w:div w:id="578441544">
                      <w:marLeft w:val="0"/>
                      <w:marRight w:val="0"/>
                      <w:marTop w:val="0"/>
                      <w:marBottom w:val="0"/>
                      <w:divBdr>
                        <w:top w:val="none" w:sz="0" w:space="0" w:color="auto"/>
                        <w:left w:val="none" w:sz="0" w:space="0" w:color="auto"/>
                        <w:bottom w:val="none" w:sz="0" w:space="0" w:color="auto"/>
                        <w:right w:val="none" w:sz="0" w:space="0" w:color="auto"/>
                      </w:divBdr>
                    </w:div>
                  </w:divsChild>
                </w:div>
                <w:div w:id="1464545123">
                  <w:marLeft w:val="0"/>
                  <w:marRight w:val="0"/>
                  <w:marTop w:val="0"/>
                  <w:marBottom w:val="0"/>
                  <w:divBdr>
                    <w:top w:val="none" w:sz="0" w:space="0" w:color="auto"/>
                    <w:left w:val="none" w:sz="0" w:space="0" w:color="auto"/>
                    <w:bottom w:val="none" w:sz="0" w:space="0" w:color="auto"/>
                    <w:right w:val="none" w:sz="0" w:space="0" w:color="auto"/>
                  </w:divBdr>
                  <w:divsChild>
                    <w:div w:id="2098398587">
                      <w:marLeft w:val="0"/>
                      <w:marRight w:val="0"/>
                      <w:marTop w:val="0"/>
                      <w:marBottom w:val="0"/>
                      <w:divBdr>
                        <w:top w:val="none" w:sz="0" w:space="0" w:color="auto"/>
                        <w:left w:val="none" w:sz="0" w:space="0" w:color="auto"/>
                        <w:bottom w:val="none" w:sz="0" w:space="0" w:color="auto"/>
                        <w:right w:val="none" w:sz="0" w:space="0" w:color="auto"/>
                      </w:divBdr>
                    </w:div>
                  </w:divsChild>
                </w:div>
                <w:div w:id="1475756821">
                  <w:marLeft w:val="0"/>
                  <w:marRight w:val="0"/>
                  <w:marTop w:val="0"/>
                  <w:marBottom w:val="0"/>
                  <w:divBdr>
                    <w:top w:val="none" w:sz="0" w:space="0" w:color="auto"/>
                    <w:left w:val="none" w:sz="0" w:space="0" w:color="auto"/>
                    <w:bottom w:val="none" w:sz="0" w:space="0" w:color="auto"/>
                    <w:right w:val="none" w:sz="0" w:space="0" w:color="auto"/>
                  </w:divBdr>
                  <w:divsChild>
                    <w:div w:id="359400060">
                      <w:marLeft w:val="0"/>
                      <w:marRight w:val="0"/>
                      <w:marTop w:val="0"/>
                      <w:marBottom w:val="0"/>
                      <w:divBdr>
                        <w:top w:val="none" w:sz="0" w:space="0" w:color="auto"/>
                        <w:left w:val="none" w:sz="0" w:space="0" w:color="auto"/>
                        <w:bottom w:val="none" w:sz="0" w:space="0" w:color="auto"/>
                        <w:right w:val="none" w:sz="0" w:space="0" w:color="auto"/>
                      </w:divBdr>
                    </w:div>
                  </w:divsChild>
                </w:div>
                <w:div w:id="1499997157">
                  <w:marLeft w:val="0"/>
                  <w:marRight w:val="0"/>
                  <w:marTop w:val="0"/>
                  <w:marBottom w:val="0"/>
                  <w:divBdr>
                    <w:top w:val="none" w:sz="0" w:space="0" w:color="auto"/>
                    <w:left w:val="none" w:sz="0" w:space="0" w:color="auto"/>
                    <w:bottom w:val="none" w:sz="0" w:space="0" w:color="auto"/>
                    <w:right w:val="none" w:sz="0" w:space="0" w:color="auto"/>
                  </w:divBdr>
                  <w:divsChild>
                    <w:div w:id="2003853127">
                      <w:marLeft w:val="0"/>
                      <w:marRight w:val="0"/>
                      <w:marTop w:val="0"/>
                      <w:marBottom w:val="0"/>
                      <w:divBdr>
                        <w:top w:val="none" w:sz="0" w:space="0" w:color="auto"/>
                        <w:left w:val="none" w:sz="0" w:space="0" w:color="auto"/>
                        <w:bottom w:val="none" w:sz="0" w:space="0" w:color="auto"/>
                        <w:right w:val="none" w:sz="0" w:space="0" w:color="auto"/>
                      </w:divBdr>
                    </w:div>
                  </w:divsChild>
                </w:div>
                <w:div w:id="1516648443">
                  <w:marLeft w:val="0"/>
                  <w:marRight w:val="0"/>
                  <w:marTop w:val="0"/>
                  <w:marBottom w:val="0"/>
                  <w:divBdr>
                    <w:top w:val="none" w:sz="0" w:space="0" w:color="auto"/>
                    <w:left w:val="none" w:sz="0" w:space="0" w:color="auto"/>
                    <w:bottom w:val="none" w:sz="0" w:space="0" w:color="auto"/>
                    <w:right w:val="none" w:sz="0" w:space="0" w:color="auto"/>
                  </w:divBdr>
                  <w:divsChild>
                    <w:div w:id="1908759747">
                      <w:marLeft w:val="0"/>
                      <w:marRight w:val="0"/>
                      <w:marTop w:val="0"/>
                      <w:marBottom w:val="0"/>
                      <w:divBdr>
                        <w:top w:val="none" w:sz="0" w:space="0" w:color="auto"/>
                        <w:left w:val="none" w:sz="0" w:space="0" w:color="auto"/>
                        <w:bottom w:val="none" w:sz="0" w:space="0" w:color="auto"/>
                        <w:right w:val="none" w:sz="0" w:space="0" w:color="auto"/>
                      </w:divBdr>
                    </w:div>
                  </w:divsChild>
                </w:div>
                <w:div w:id="1528524467">
                  <w:marLeft w:val="0"/>
                  <w:marRight w:val="0"/>
                  <w:marTop w:val="0"/>
                  <w:marBottom w:val="0"/>
                  <w:divBdr>
                    <w:top w:val="none" w:sz="0" w:space="0" w:color="auto"/>
                    <w:left w:val="none" w:sz="0" w:space="0" w:color="auto"/>
                    <w:bottom w:val="none" w:sz="0" w:space="0" w:color="auto"/>
                    <w:right w:val="none" w:sz="0" w:space="0" w:color="auto"/>
                  </w:divBdr>
                  <w:divsChild>
                    <w:div w:id="1365130920">
                      <w:marLeft w:val="0"/>
                      <w:marRight w:val="0"/>
                      <w:marTop w:val="0"/>
                      <w:marBottom w:val="0"/>
                      <w:divBdr>
                        <w:top w:val="none" w:sz="0" w:space="0" w:color="auto"/>
                        <w:left w:val="none" w:sz="0" w:space="0" w:color="auto"/>
                        <w:bottom w:val="none" w:sz="0" w:space="0" w:color="auto"/>
                        <w:right w:val="none" w:sz="0" w:space="0" w:color="auto"/>
                      </w:divBdr>
                    </w:div>
                  </w:divsChild>
                </w:div>
                <w:div w:id="1532642561">
                  <w:marLeft w:val="0"/>
                  <w:marRight w:val="0"/>
                  <w:marTop w:val="0"/>
                  <w:marBottom w:val="0"/>
                  <w:divBdr>
                    <w:top w:val="none" w:sz="0" w:space="0" w:color="auto"/>
                    <w:left w:val="none" w:sz="0" w:space="0" w:color="auto"/>
                    <w:bottom w:val="none" w:sz="0" w:space="0" w:color="auto"/>
                    <w:right w:val="none" w:sz="0" w:space="0" w:color="auto"/>
                  </w:divBdr>
                  <w:divsChild>
                    <w:div w:id="237568032">
                      <w:marLeft w:val="0"/>
                      <w:marRight w:val="0"/>
                      <w:marTop w:val="0"/>
                      <w:marBottom w:val="0"/>
                      <w:divBdr>
                        <w:top w:val="none" w:sz="0" w:space="0" w:color="auto"/>
                        <w:left w:val="none" w:sz="0" w:space="0" w:color="auto"/>
                        <w:bottom w:val="none" w:sz="0" w:space="0" w:color="auto"/>
                        <w:right w:val="none" w:sz="0" w:space="0" w:color="auto"/>
                      </w:divBdr>
                    </w:div>
                    <w:div w:id="1597447005">
                      <w:marLeft w:val="0"/>
                      <w:marRight w:val="0"/>
                      <w:marTop w:val="0"/>
                      <w:marBottom w:val="0"/>
                      <w:divBdr>
                        <w:top w:val="none" w:sz="0" w:space="0" w:color="auto"/>
                        <w:left w:val="none" w:sz="0" w:space="0" w:color="auto"/>
                        <w:bottom w:val="none" w:sz="0" w:space="0" w:color="auto"/>
                        <w:right w:val="none" w:sz="0" w:space="0" w:color="auto"/>
                      </w:divBdr>
                    </w:div>
                  </w:divsChild>
                </w:div>
                <w:div w:id="1534928117">
                  <w:marLeft w:val="0"/>
                  <w:marRight w:val="0"/>
                  <w:marTop w:val="0"/>
                  <w:marBottom w:val="0"/>
                  <w:divBdr>
                    <w:top w:val="none" w:sz="0" w:space="0" w:color="auto"/>
                    <w:left w:val="none" w:sz="0" w:space="0" w:color="auto"/>
                    <w:bottom w:val="none" w:sz="0" w:space="0" w:color="auto"/>
                    <w:right w:val="none" w:sz="0" w:space="0" w:color="auto"/>
                  </w:divBdr>
                  <w:divsChild>
                    <w:div w:id="407658228">
                      <w:marLeft w:val="0"/>
                      <w:marRight w:val="0"/>
                      <w:marTop w:val="0"/>
                      <w:marBottom w:val="0"/>
                      <w:divBdr>
                        <w:top w:val="none" w:sz="0" w:space="0" w:color="auto"/>
                        <w:left w:val="none" w:sz="0" w:space="0" w:color="auto"/>
                        <w:bottom w:val="none" w:sz="0" w:space="0" w:color="auto"/>
                        <w:right w:val="none" w:sz="0" w:space="0" w:color="auto"/>
                      </w:divBdr>
                    </w:div>
                  </w:divsChild>
                </w:div>
                <w:div w:id="1536578204">
                  <w:marLeft w:val="0"/>
                  <w:marRight w:val="0"/>
                  <w:marTop w:val="0"/>
                  <w:marBottom w:val="0"/>
                  <w:divBdr>
                    <w:top w:val="none" w:sz="0" w:space="0" w:color="auto"/>
                    <w:left w:val="none" w:sz="0" w:space="0" w:color="auto"/>
                    <w:bottom w:val="none" w:sz="0" w:space="0" w:color="auto"/>
                    <w:right w:val="none" w:sz="0" w:space="0" w:color="auto"/>
                  </w:divBdr>
                  <w:divsChild>
                    <w:div w:id="480776209">
                      <w:marLeft w:val="0"/>
                      <w:marRight w:val="0"/>
                      <w:marTop w:val="0"/>
                      <w:marBottom w:val="0"/>
                      <w:divBdr>
                        <w:top w:val="none" w:sz="0" w:space="0" w:color="auto"/>
                        <w:left w:val="none" w:sz="0" w:space="0" w:color="auto"/>
                        <w:bottom w:val="none" w:sz="0" w:space="0" w:color="auto"/>
                        <w:right w:val="none" w:sz="0" w:space="0" w:color="auto"/>
                      </w:divBdr>
                    </w:div>
                  </w:divsChild>
                </w:div>
                <w:div w:id="1544705979">
                  <w:marLeft w:val="0"/>
                  <w:marRight w:val="0"/>
                  <w:marTop w:val="0"/>
                  <w:marBottom w:val="0"/>
                  <w:divBdr>
                    <w:top w:val="none" w:sz="0" w:space="0" w:color="auto"/>
                    <w:left w:val="none" w:sz="0" w:space="0" w:color="auto"/>
                    <w:bottom w:val="none" w:sz="0" w:space="0" w:color="auto"/>
                    <w:right w:val="none" w:sz="0" w:space="0" w:color="auto"/>
                  </w:divBdr>
                  <w:divsChild>
                    <w:div w:id="1703901698">
                      <w:marLeft w:val="0"/>
                      <w:marRight w:val="0"/>
                      <w:marTop w:val="0"/>
                      <w:marBottom w:val="0"/>
                      <w:divBdr>
                        <w:top w:val="none" w:sz="0" w:space="0" w:color="auto"/>
                        <w:left w:val="none" w:sz="0" w:space="0" w:color="auto"/>
                        <w:bottom w:val="none" w:sz="0" w:space="0" w:color="auto"/>
                        <w:right w:val="none" w:sz="0" w:space="0" w:color="auto"/>
                      </w:divBdr>
                    </w:div>
                  </w:divsChild>
                </w:div>
                <w:div w:id="1555698309">
                  <w:marLeft w:val="0"/>
                  <w:marRight w:val="0"/>
                  <w:marTop w:val="0"/>
                  <w:marBottom w:val="0"/>
                  <w:divBdr>
                    <w:top w:val="none" w:sz="0" w:space="0" w:color="auto"/>
                    <w:left w:val="none" w:sz="0" w:space="0" w:color="auto"/>
                    <w:bottom w:val="none" w:sz="0" w:space="0" w:color="auto"/>
                    <w:right w:val="none" w:sz="0" w:space="0" w:color="auto"/>
                  </w:divBdr>
                  <w:divsChild>
                    <w:div w:id="391855564">
                      <w:marLeft w:val="0"/>
                      <w:marRight w:val="0"/>
                      <w:marTop w:val="0"/>
                      <w:marBottom w:val="0"/>
                      <w:divBdr>
                        <w:top w:val="none" w:sz="0" w:space="0" w:color="auto"/>
                        <w:left w:val="none" w:sz="0" w:space="0" w:color="auto"/>
                        <w:bottom w:val="none" w:sz="0" w:space="0" w:color="auto"/>
                        <w:right w:val="none" w:sz="0" w:space="0" w:color="auto"/>
                      </w:divBdr>
                    </w:div>
                  </w:divsChild>
                </w:div>
                <w:div w:id="1563522576">
                  <w:marLeft w:val="0"/>
                  <w:marRight w:val="0"/>
                  <w:marTop w:val="0"/>
                  <w:marBottom w:val="0"/>
                  <w:divBdr>
                    <w:top w:val="none" w:sz="0" w:space="0" w:color="auto"/>
                    <w:left w:val="none" w:sz="0" w:space="0" w:color="auto"/>
                    <w:bottom w:val="none" w:sz="0" w:space="0" w:color="auto"/>
                    <w:right w:val="none" w:sz="0" w:space="0" w:color="auto"/>
                  </w:divBdr>
                  <w:divsChild>
                    <w:div w:id="1073814472">
                      <w:marLeft w:val="0"/>
                      <w:marRight w:val="0"/>
                      <w:marTop w:val="0"/>
                      <w:marBottom w:val="0"/>
                      <w:divBdr>
                        <w:top w:val="none" w:sz="0" w:space="0" w:color="auto"/>
                        <w:left w:val="none" w:sz="0" w:space="0" w:color="auto"/>
                        <w:bottom w:val="none" w:sz="0" w:space="0" w:color="auto"/>
                        <w:right w:val="none" w:sz="0" w:space="0" w:color="auto"/>
                      </w:divBdr>
                    </w:div>
                  </w:divsChild>
                </w:div>
                <w:div w:id="1565020198">
                  <w:marLeft w:val="0"/>
                  <w:marRight w:val="0"/>
                  <w:marTop w:val="0"/>
                  <w:marBottom w:val="0"/>
                  <w:divBdr>
                    <w:top w:val="none" w:sz="0" w:space="0" w:color="auto"/>
                    <w:left w:val="none" w:sz="0" w:space="0" w:color="auto"/>
                    <w:bottom w:val="none" w:sz="0" w:space="0" w:color="auto"/>
                    <w:right w:val="none" w:sz="0" w:space="0" w:color="auto"/>
                  </w:divBdr>
                  <w:divsChild>
                    <w:div w:id="248274392">
                      <w:marLeft w:val="0"/>
                      <w:marRight w:val="0"/>
                      <w:marTop w:val="0"/>
                      <w:marBottom w:val="0"/>
                      <w:divBdr>
                        <w:top w:val="none" w:sz="0" w:space="0" w:color="auto"/>
                        <w:left w:val="none" w:sz="0" w:space="0" w:color="auto"/>
                        <w:bottom w:val="none" w:sz="0" w:space="0" w:color="auto"/>
                        <w:right w:val="none" w:sz="0" w:space="0" w:color="auto"/>
                      </w:divBdr>
                    </w:div>
                  </w:divsChild>
                </w:div>
                <w:div w:id="1583295477">
                  <w:marLeft w:val="0"/>
                  <w:marRight w:val="0"/>
                  <w:marTop w:val="0"/>
                  <w:marBottom w:val="0"/>
                  <w:divBdr>
                    <w:top w:val="none" w:sz="0" w:space="0" w:color="auto"/>
                    <w:left w:val="none" w:sz="0" w:space="0" w:color="auto"/>
                    <w:bottom w:val="none" w:sz="0" w:space="0" w:color="auto"/>
                    <w:right w:val="none" w:sz="0" w:space="0" w:color="auto"/>
                  </w:divBdr>
                  <w:divsChild>
                    <w:div w:id="1040205314">
                      <w:marLeft w:val="0"/>
                      <w:marRight w:val="0"/>
                      <w:marTop w:val="0"/>
                      <w:marBottom w:val="0"/>
                      <w:divBdr>
                        <w:top w:val="none" w:sz="0" w:space="0" w:color="auto"/>
                        <w:left w:val="none" w:sz="0" w:space="0" w:color="auto"/>
                        <w:bottom w:val="none" w:sz="0" w:space="0" w:color="auto"/>
                        <w:right w:val="none" w:sz="0" w:space="0" w:color="auto"/>
                      </w:divBdr>
                    </w:div>
                  </w:divsChild>
                </w:div>
                <w:div w:id="1583493841">
                  <w:marLeft w:val="0"/>
                  <w:marRight w:val="0"/>
                  <w:marTop w:val="0"/>
                  <w:marBottom w:val="0"/>
                  <w:divBdr>
                    <w:top w:val="none" w:sz="0" w:space="0" w:color="auto"/>
                    <w:left w:val="none" w:sz="0" w:space="0" w:color="auto"/>
                    <w:bottom w:val="none" w:sz="0" w:space="0" w:color="auto"/>
                    <w:right w:val="none" w:sz="0" w:space="0" w:color="auto"/>
                  </w:divBdr>
                  <w:divsChild>
                    <w:div w:id="861476504">
                      <w:marLeft w:val="0"/>
                      <w:marRight w:val="0"/>
                      <w:marTop w:val="0"/>
                      <w:marBottom w:val="0"/>
                      <w:divBdr>
                        <w:top w:val="none" w:sz="0" w:space="0" w:color="auto"/>
                        <w:left w:val="none" w:sz="0" w:space="0" w:color="auto"/>
                        <w:bottom w:val="none" w:sz="0" w:space="0" w:color="auto"/>
                        <w:right w:val="none" w:sz="0" w:space="0" w:color="auto"/>
                      </w:divBdr>
                    </w:div>
                  </w:divsChild>
                </w:div>
                <w:div w:id="1585190465">
                  <w:marLeft w:val="0"/>
                  <w:marRight w:val="0"/>
                  <w:marTop w:val="0"/>
                  <w:marBottom w:val="0"/>
                  <w:divBdr>
                    <w:top w:val="none" w:sz="0" w:space="0" w:color="auto"/>
                    <w:left w:val="none" w:sz="0" w:space="0" w:color="auto"/>
                    <w:bottom w:val="none" w:sz="0" w:space="0" w:color="auto"/>
                    <w:right w:val="none" w:sz="0" w:space="0" w:color="auto"/>
                  </w:divBdr>
                  <w:divsChild>
                    <w:div w:id="1765109700">
                      <w:marLeft w:val="0"/>
                      <w:marRight w:val="0"/>
                      <w:marTop w:val="0"/>
                      <w:marBottom w:val="0"/>
                      <w:divBdr>
                        <w:top w:val="none" w:sz="0" w:space="0" w:color="auto"/>
                        <w:left w:val="none" w:sz="0" w:space="0" w:color="auto"/>
                        <w:bottom w:val="none" w:sz="0" w:space="0" w:color="auto"/>
                        <w:right w:val="none" w:sz="0" w:space="0" w:color="auto"/>
                      </w:divBdr>
                    </w:div>
                  </w:divsChild>
                </w:div>
                <w:div w:id="1589149176">
                  <w:marLeft w:val="0"/>
                  <w:marRight w:val="0"/>
                  <w:marTop w:val="0"/>
                  <w:marBottom w:val="0"/>
                  <w:divBdr>
                    <w:top w:val="none" w:sz="0" w:space="0" w:color="auto"/>
                    <w:left w:val="none" w:sz="0" w:space="0" w:color="auto"/>
                    <w:bottom w:val="none" w:sz="0" w:space="0" w:color="auto"/>
                    <w:right w:val="none" w:sz="0" w:space="0" w:color="auto"/>
                  </w:divBdr>
                  <w:divsChild>
                    <w:div w:id="520314966">
                      <w:marLeft w:val="0"/>
                      <w:marRight w:val="0"/>
                      <w:marTop w:val="0"/>
                      <w:marBottom w:val="0"/>
                      <w:divBdr>
                        <w:top w:val="none" w:sz="0" w:space="0" w:color="auto"/>
                        <w:left w:val="none" w:sz="0" w:space="0" w:color="auto"/>
                        <w:bottom w:val="none" w:sz="0" w:space="0" w:color="auto"/>
                        <w:right w:val="none" w:sz="0" w:space="0" w:color="auto"/>
                      </w:divBdr>
                    </w:div>
                  </w:divsChild>
                </w:div>
                <w:div w:id="1589656118">
                  <w:marLeft w:val="0"/>
                  <w:marRight w:val="0"/>
                  <w:marTop w:val="0"/>
                  <w:marBottom w:val="0"/>
                  <w:divBdr>
                    <w:top w:val="none" w:sz="0" w:space="0" w:color="auto"/>
                    <w:left w:val="none" w:sz="0" w:space="0" w:color="auto"/>
                    <w:bottom w:val="none" w:sz="0" w:space="0" w:color="auto"/>
                    <w:right w:val="none" w:sz="0" w:space="0" w:color="auto"/>
                  </w:divBdr>
                  <w:divsChild>
                    <w:div w:id="1868173883">
                      <w:marLeft w:val="0"/>
                      <w:marRight w:val="0"/>
                      <w:marTop w:val="0"/>
                      <w:marBottom w:val="0"/>
                      <w:divBdr>
                        <w:top w:val="none" w:sz="0" w:space="0" w:color="auto"/>
                        <w:left w:val="none" w:sz="0" w:space="0" w:color="auto"/>
                        <w:bottom w:val="none" w:sz="0" w:space="0" w:color="auto"/>
                        <w:right w:val="none" w:sz="0" w:space="0" w:color="auto"/>
                      </w:divBdr>
                    </w:div>
                  </w:divsChild>
                </w:div>
                <w:div w:id="1602490037">
                  <w:marLeft w:val="0"/>
                  <w:marRight w:val="0"/>
                  <w:marTop w:val="0"/>
                  <w:marBottom w:val="0"/>
                  <w:divBdr>
                    <w:top w:val="none" w:sz="0" w:space="0" w:color="auto"/>
                    <w:left w:val="none" w:sz="0" w:space="0" w:color="auto"/>
                    <w:bottom w:val="none" w:sz="0" w:space="0" w:color="auto"/>
                    <w:right w:val="none" w:sz="0" w:space="0" w:color="auto"/>
                  </w:divBdr>
                  <w:divsChild>
                    <w:div w:id="1248880736">
                      <w:marLeft w:val="0"/>
                      <w:marRight w:val="0"/>
                      <w:marTop w:val="0"/>
                      <w:marBottom w:val="0"/>
                      <w:divBdr>
                        <w:top w:val="none" w:sz="0" w:space="0" w:color="auto"/>
                        <w:left w:val="none" w:sz="0" w:space="0" w:color="auto"/>
                        <w:bottom w:val="none" w:sz="0" w:space="0" w:color="auto"/>
                        <w:right w:val="none" w:sz="0" w:space="0" w:color="auto"/>
                      </w:divBdr>
                    </w:div>
                  </w:divsChild>
                </w:div>
                <w:div w:id="1602837934">
                  <w:marLeft w:val="0"/>
                  <w:marRight w:val="0"/>
                  <w:marTop w:val="0"/>
                  <w:marBottom w:val="0"/>
                  <w:divBdr>
                    <w:top w:val="none" w:sz="0" w:space="0" w:color="auto"/>
                    <w:left w:val="none" w:sz="0" w:space="0" w:color="auto"/>
                    <w:bottom w:val="none" w:sz="0" w:space="0" w:color="auto"/>
                    <w:right w:val="none" w:sz="0" w:space="0" w:color="auto"/>
                  </w:divBdr>
                  <w:divsChild>
                    <w:div w:id="23404648">
                      <w:marLeft w:val="0"/>
                      <w:marRight w:val="0"/>
                      <w:marTop w:val="0"/>
                      <w:marBottom w:val="0"/>
                      <w:divBdr>
                        <w:top w:val="none" w:sz="0" w:space="0" w:color="auto"/>
                        <w:left w:val="none" w:sz="0" w:space="0" w:color="auto"/>
                        <w:bottom w:val="none" w:sz="0" w:space="0" w:color="auto"/>
                        <w:right w:val="none" w:sz="0" w:space="0" w:color="auto"/>
                      </w:divBdr>
                    </w:div>
                    <w:div w:id="1256985050">
                      <w:marLeft w:val="0"/>
                      <w:marRight w:val="0"/>
                      <w:marTop w:val="0"/>
                      <w:marBottom w:val="0"/>
                      <w:divBdr>
                        <w:top w:val="none" w:sz="0" w:space="0" w:color="auto"/>
                        <w:left w:val="none" w:sz="0" w:space="0" w:color="auto"/>
                        <w:bottom w:val="none" w:sz="0" w:space="0" w:color="auto"/>
                        <w:right w:val="none" w:sz="0" w:space="0" w:color="auto"/>
                      </w:divBdr>
                    </w:div>
                  </w:divsChild>
                </w:div>
                <w:div w:id="1614096403">
                  <w:marLeft w:val="0"/>
                  <w:marRight w:val="0"/>
                  <w:marTop w:val="0"/>
                  <w:marBottom w:val="0"/>
                  <w:divBdr>
                    <w:top w:val="none" w:sz="0" w:space="0" w:color="auto"/>
                    <w:left w:val="none" w:sz="0" w:space="0" w:color="auto"/>
                    <w:bottom w:val="none" w:sz="0" w:space="0" w:color="auto"/>
                    <w:right w:val="none" w:sz="0" w:space="0" w:color="auto"/>
                  </w:divBdr>
                  <w:divsChild>
                    <w:div w:id="1582595850">
                      <w:marLeft w:val="0"/>
                      <w:marRight w:val="0"/>
                      <w:marTop w:val="0"/>
                      <w:marBottom w:val="0"/>
                      <w:divBdr>
                        <w:top w:val="none" w:sz="0" w:space="0" w:color="auto"/>
                        <w:left w:val="none" w:sz="0" w:space="0" w:color="auto"/>
                        <w:bottom w:val="none" w:sz="0" w:space="0" w:color="auto"/>
                        <w:right w:val="none" w:sz="0" w:space="0" w:color="auto"/>
                      </w:divBdr>
                    </w:div>
                  </w:divsChild>
                </w:div>
                <w:div w:id="1635283524">
                  <w:marLeft w:val="0"/>
                  <w:marRight w:val="0"/>
                  <w:marTop w:val="0"/>
                  <w:marBottom w:val="0"/>
                  <w:divBdr>
                    <w:top w:val="none" w:sz="0" w:space="0" w:color="auto"/>
                    <w:left w:val="none" w:sz="0" w:space="0" w:color="auto"/>
                    <w:bottom w:val="none" w:sz="0" w:space="0" w:color="auto"/>
                    <w:right w:val="none" w:sz="0" w:space="0" w:color="auto"/>
                  </w:divBdr>
                  <w:divsChild>
                    <w:div w:id="1068923635">
                      <w:marLeft w:val="0"/>
                      <w:marRight w:val="0"/>
                      <w:marTop w:val="0"/>
                      <w:marBottom w:val="0"/>
                      <w:divBdr>
                        <w:top w:val="none" w:sz="0" w:space="0" w:color="auto"/>
                        <w:left w:val="none" w:sz="0" w:space="0" w:color="auto"/>
                        <w:bottom w:val="none" w:sz="0" w:space="0" w:color="auto"/>
                        <w:right w:val="none" w:sz="0" w:space="0" w:color="auto"/>
                      </w:divBdr>
                    </w:div>
                  </w:divsChild>
                </w:div>
                <w:div w:id="1638799889">
                  <w:marLeft w:val="0"/>
                  <w:marRight w:val="0"/>
                  <w:marTop w:val="0"/>
                  <w:marBottom w:val="0"/>
                  <w:divBdr>
                    <w:top w:val="none" w:sz="0" w:space="0" w:color="auto"/>
                    <w:left w:val="none" w:sz="0" w:space="0" w:color="auto"/>
                    <w:bottom w:val="none" w:sz="0" w:space="0" w:color="auto"/>
                    <w:right w:val="none" w:sz="0" w:space="0" w:color="auto"/>
                  </w:divBdr>
                  <w:divsChild>
                    <w:div w:id="803155550">
                      <w:marLeft w:val="0"/>
                      <w:marRight w:val="0"/>
                      <w:marTop w:val="0"/>
                      <w:marBottom w:val="0"/>
                      <w:divBdr>
                        <w:top w:val="none" w:sz="0" w:space="0" w:color="auto"/>
                        <w:left w:val="none" w:sz="0" w:space="0" w:color="auto"/>
                        <w:bottom w:val="none" w:sz="0" w:space="0" w:color="auto"/>
                        <w:right w:val="none" w:sz="0" w:space="0" w:color="auto"/>
                      </w:divBdr>
                    </w:div>
                  </w:divsChild>
                </w:div>
                <w:div w:id="1658222114">
                  <w:marLeft w:val="0"/>
                  <w:marRight w:val="0"/>
                  <w:marTop w:val="0"/>
                  <w:marBottom w:val="0"/>
                  <w:divBdr>
                    <w:top w:val="none" w:sz="0" w:space="0" w:color="auto"/>
                    <w:left w:val="none" w:sz="0" w:space="0" w:color="auto"/>
                    <w:bottom w:val="none" w:sz="0" w:space="0" w:color="auto"/>
                    <w:right w:val="none" w:sz="0" w:space="0" w:color="auto"/>
                  </w:divBdr>
                  <w:divsChild>
                    <w:div w:id="2042626371">
                      <w:marLeft w:val="0"/>
                      <w:marRight w:val="0"/>
                      <w:marTop w:val="0"/>
                      <w:marBottom w:val="0"/>
                      <w:divBdr>
                        <w:top w:val="none" w:sz="0" w:space="0" w:color="auto"/>
                        <w:left w:val="none" w:sz="0" w:space="0" w:color="auto"/>
                        <w:bottom w:val="none" w:sz="0" w:space="0" w:color="auto"/>
                        <w:right w:val="none" w:sz="0" w:space="0" w:color="auto"/>
                      </w:divBdr>
                    </w:div>
                  </w:divsChild>
                </w:div>
                <w:div w:id="1660377990">
                  <w:marLeft w:val="0"/>
                  <w:marRight w:val="0"/>
                  <w:marTop w:val="0"/>
                  <w:marBottom w:val="0"/>
                  <w:divBdr>
                    <w:top w:val="none" w:sz="0" w:space="0" w:color="auto"/>
                    <w:left w:val="none" w:sz="0" w:space="0" w:color="auto"/>
                    <w:bottom w:val="none" w:sz="0" w:space="0" w:color="auto"/>
                    <w:right w:val="none" w:sz="0" w:space="0" w:color="auto"/>
                  </w:divBdr>
                  <w:divsChild>
                    <w:div w:id="1751847726">
                      <w:marLeft w:val="0"/>
                      <w:marRight w:val="0"/>
                      <w:marTop w:val="0"/>
                      <w:marBottom w:val="0"/>
                      <w:divBdr>
                        <w:top w:val="none" w:sz="0" w:space="0" w:color="auto"/>
                        <w:left w:val="none" w:sz="0" w:space="0" w:color="auto"/>
                        <w:bottom w:val="none" w:sz="0" w:space="0" w:color="auto"/>
                        <w:right w:val="none" w:sz="0" w:space="0" w:color="auto"/>
                      </w:divBdr>
                    </w:div>
                  </w:divsChild>
                </w:div>
                <w:div w:id="1682006061">
                  <w:marLeft w:val="0"/>
                  <w:marRight w:val="0"/>
                  <w:marTop w:val="0"/>
                  <w:marBottom w:val="0"/>
                  <w:divBdr>
                    <w:top w:val="none" w:sz="0" w:space="0" w:color="auto"/>
                    <w:left w:val="none" w:sz="0" w:space="0" w:color="auto"/>
                    <w:bottom w:val="none" w:sz="0" w:space="0" w:color="auto"/>
                    <w:right w:val="none" w:sz="0" w:space="0" w:color="auto"/>
                  </w:divBdr>
                  <w:divsChild>
                    <w:div w:id="660811141">
                      <w:marLeft w:val="0"/>
                      <w:marRight w:val="0"/>
                      <w:marTop w:val="0"/>
                      <w:marBottom w:val="0"/>
                      <w:divBdr>
                        <w:top w:val="none" w:sz="0" w:space="0" w:color="auto"/>
                        <w:left w:val="none" w:sz="0" w:space="0" w:color="auto"/>
                        <w:bottom w:val="none" w:sz="0" w:space="0" w:color="auto"/>
                        <w:right w:val="none" w:sz="0" w:space="0" w:color="auto"/>
                      </w:divBdr>
                    </w:div>
                  </w:divsChild>
                </w:div>
                <w:div w:id="1685277119">
                  <w:marLeft w:val="0"/>
                  <w:marRight w:val="0"/>
                  <w:marTop w:val="0"/>
                  <w:marBottom w:val="0"/>
                  <w:divBdr>
                    <w:top w:val="none" w:sz="0" w:space="0" w:color="auto"/>
                    <w:left w:val="none" w:sz="0" w:space="0" w:color="auto"/>
                    <w:bottom w:val="none" w:sz="0" w:space="0" w:color="auto"/>
                    <w:right w:val="none" w:sz="0" w:space="0" w:color="auto"/>
                  </w:divBdr>
                  <w:divsChild>
                    <w:div w:id="1022390816">
                      <w:marLeft w:val="0"/>
                      <w:marRight w:val="0"/>
                      <w:marTop w:val="0"/>
                      <w:marBottom w:val="0"/>
                      <w:divBdr>
                        <w:top w:val="none" w:sz="0" w:space="0" w:color="auto"/>
                        <w:left w:val="none" w:sz="0" w:space="0" w:color="auto"/>
                        <w:bottom w:val="none" w:sz="0" w:space="0" w:color="auto"/>
                        <w:right w:val="none" w:sz="0" w:space="0" w:color="auto"/>
                      </w:divBdr>
                    </w:div>
                  </w:divsChild>
                </w:div>
                <w:div w:id="1703819339">
                  <w:marLeft w:val="0"/>
                  <w:marRight w:val="0"/>
                  <w:marTop w:val="0"/>
                  <w:marBottom w:val="0"/>
                  <w:divBdr>
                    <w:top w:val="none" w:sz="0" w:space="0" w:color="auto"/>
                    <w:left w:val="none" w:sz="0" w:space="0" w:color="auto"/>
                    <w:bottom w:val="none" w:sz="0" w:space="0" w:color="auto"/>
                    <w:right w:val="none" w:sz="0" w:space="0" w:color="auto"/>
                  </w:divBdr>
                  <w:divsChild>
                    <w:div w:id="208810537">
                      <w:marLeft w:val="0"/>
                      <w:marRight w:val="0"/>
                      <w:marTop w:val="0"/>
                      <w:marBottom w:val="0"/>
                      <w:divBdr>
                        <w:top w:val="none" w:sz="0" w:space="0" w:color="auto"/>
                        <w:left w:val="none" w:sz="0" w:space="0" w:color="auto"/>
                        <w:bottom w:val="none" w:sz="0" w:space="0" w:color="auto"/>
                        <w:right w:val="none" w:sz="0" w:space="0" w:color="auto"/>
                      </w:divBdr>
                    </w:div>
                  </w:divsChild>
                </w:div>
                <w:div w:id="1704940423">
                  <w:marLeft w:val="0"/>
                  <w:marRight w:val="0"/>
                  <w:marTop w:val="0"/>
                  <w:marBottom w:val="0"/>
                  <w:divBdr>
                    <w:top w:val="none" w:sz="0" w:space="0" w:color="auto"/>
                    <w:left w:val="none" w:sz="0" w:space="0" w:color="auto"/>
                    <w:bottom w:val="none" w:sz="0" w:space="0" w:color="auto"/>
                    <w:right w:val="none" w:sz="0" w:space="0" w:color="auto"/>
                  </w:divBdr>
                  <w:divsChild>
                    <w:div w:id="97648836">
                      <w:marLeft w:val="0"/>
                      <w:marRight w:val="0"/>
                      <w:marTop w:val="0"/>
                      <w:marBottom w:val="0"/>
                      <w:divBdr>
                        <w:top w:val="none" w:sz="0" w:space="0" w:color="auto"/>
                        <w:left w:val="none" w:sz="0" w:space="0" w:color="auto"/>
                        <w:bottom w:val="none" w:sz="0" w:space="0" w:color="auto"/>
                        <w:right w:val="none" w:sz="0" w:space="0" w:color="auto"/>
                      </w:divBdr>
                    </w:div>
                  </w:divsChild>
                </w:div>
                <w:div w:id="1712879792">
                  <w:marLeft w:val="0"/>
                  <w:marRight w:val="0"/>
                  <w:marTop w:val="0"/>
                  <w:marBottom w:val="0"/>
                  <w:divBdr>
                    <w:top w:val="none" w:sz="0" w:space="0" w:color="auto"/>
                    <w:left w:val="none" w:sz="0" w:space="0" w:color="auto"/>
                    <w:bottom w:val="none" w:sz="0" w:space="0" w:color="auto"/>
                    <w:right w:val="none" w:sz="0" w:space="0" w:color="auto"/>
                  </w:divBdr>
                  <w:divsChild>
                    <w:div w:id="2032762751">
                      <w:marLeft w:val="0"/>
                      <w:marRight w:val="0"/>
                      <w:marTop w:val="0"/>
                      <w:marBottom w:val="0"/>
                      <w:divBdr>
                        <w:top w:val="none" w:sz="0" w:space="0" w:color="auto"/>
                        <w:left w:val="none" w:sz="0" w:space="0" w:color="auto"/>
                        <w:bottom w:val="none" w:sz="0" w:space="0" w:color="auto"/>
                        <w:right w:val="none" w:sz="0" w:space="0" w:color="auto"/>
                      </w:divBdr>
                    </w:div>
                  </w:divsChild>
                </w:div>
                <w:div w:id="1737582654">
                  <w:marLeft w:val="0"/>
                  <w:marRight w:val="0"/>
                  <w:marTop w:val="0"/>
                  <w:marBottom w:val="0"/>
                  <w:divBdr>
                    <w:top w:val="none" w:sz="0" w:space="0" w:color="auto"/>
                    <w:left w:val="none" w:sz="0" w:space="0" w:color="auto"/>
                    <w:bottom w:val="none" w:sz="0" w:space="0" w:color="auto"/>
                    <w:right w:val="none" w:sz="0" w:space="0" w:color="auto"/>
                  </w:divBdr>
                  <w:divsChild>
                    <w:div w:id="1218779327">
                      <w:marLeft w:val="0"/>
                      <w:marRight w:val="0"/>
                      <w:marTop w:val="0"/>
                      <w:marBottom w:val="0"/>
                      <w:divBdr>
                        <w:top w:val="none" w:sz="0" w:space="0" w:color="auto"/>
                        <w:left w:val="none" w:sz="0" w:space="0" w:color="auto"/>
                        <w:bottom w:val="none" w:sz="0" w:space="0" w:color="auto"/>
                        <w:right w:val="none" w:sz="0" w:space="0" w:color="auto"/>
                      </w:divBdr>
                    </w:div>
                  </w:divsChild>
                </w:div>
                <w:div w:id="1751080504">
                  <w:marLeft w:val="0"/>
                  <w:marRight w:val="0"/>
                  <w:marTop w:val="0"/>
                  <w:marBottom w:val="0"/>
                  <w:divBdr>
                    <w:top w:val="none" w:sz="0" w:space="0" w:color="auto"/>
                    <w:left w:val="none" w:sz="0" w:space="0" w:color="auto"/>
                    <w:bottom w:val="none" w:sz="0" w:space="0" w:color="auto"/>
                    <w:right w:val="none" w:sz="0" w:space="0" w:color="auto"/>
                  </w:divBdr>
                  <w:divsChild>
                    <w:div w:id="430047908">
                      <w:marLeft w:val="0"/>
                      <w:marRight w:val="0"/>
                      <w:marTop w:val="0"/>
                      <w:marBottom w:val="0"/>
                      <w:divBdr>
                        <w:top w:val="none" w:sz="0" w:space="0" w:color="auto"/>
                        <w:left w:val="none" w:sz="0" w:space="0" w:color="auto"/>
                        <w:bottom w:val="none" w:sz="0" w:space="0" w:color="auto"/>
                        <w:right w:val="none" w:sz="0" w:space="0" w:color="auto"/>
                      </w:divBdr>
                    </w:div>
                  </w:divsChild>
                </w:div>
                <w:div w:id="1755206997">
                  <w:marLeft w:val="0"/>
                  <w:marRight w:val="0"/>
                  <w:marTop w:val="0"/>
                  <w:marBottom w:val="0"/>
                  <w:divBdr>
                    <w:top w:val="none" w:sz="0" w:space="0" w:color="auto"/>
                    <w:left w:val="none" w:sz="0" w:space="0" w:color="auto"/>
                    <w:bottom w:val="none" w:sz="0" w:space="0" w:color="auto"/>
                    <w:right w:val="none" w:sz="0" w:space="0" w:color="auto"/>
                  </w:divBdr>
                  <w:divsChild>
                    <w:div w:id="1896165285">
                      <w:marLeft w:val="0"/>
                      <w:marRight w:val="0"/>
                      <w:marTop w:val="0"/>
                      <w:marBottom w:val="0"/>
                      <w:divBdr>
                        <w:top w:val="none" w:sz="0" w:space="0" w:color="auto"/>
                        <w:left w:val="none" w:sz="0" w:space="0" w:color="auto"/>
                        <w:bottom w:val="none" w:sz="0" w:space="0" w:color="auto"/>
                        <w:right w:val="none" w:sz="0" w:space="0" w:color="auto"/>
                      </w:divBdr>
                    </w:div>
                  </w:divsChild>
                </w:div>
                <w:div w:id="1764301968">
                  <w:marLeft w:val="0"/>
                  <w:marRight w:val="0"/>
                  <w:marTop w:val="0"/>
                  <w:marBottom w:val="0"/>
                  <w:divBdr>
                    <w:top w:val="none" w:sz="0" w:space="0" w:color="auto"/>
                    <w:left w:val="none" w:sz="0" w:space="0" w:color="auto"/>
                    <w:bottom w:val="none" w:sz="0" w:space="0" w:color="auto"/>
                    <w:right w:val="none" w:sz="0" w:space="0" w:color="auto"/>
                  </w:divBdr>
                  <w:divsChild>
                    <w:div w:id="1045176925">
                      <w:marLeft w:val="0"/>
                      <w:marRight w:val="0"/>
                      <w:marTop w:val="0"/>
                      <w:marBottom w:val="0"/>
                      <w:divBdr>
                        <w:top w:val="none" w:sz="0" w:space="0" w:color="auto"/>
                        <w:left w:val="none" w:sz="0" w:space="0" w:color="auto"/>
                        <w:bottom w:val="none" w:sz="0" w:space="0" w:color="auto"/>
                        <w:right w:val="none" w:sz="0" w:space="0" w:color="auto"/>
                      </w:divBdr>
                    </w:div>
                  </w:divsChild>
                </w:div>
                <w:div w:id="1777827088">
                  <w:marLeft w:val="0"/>
                  <w:marRight w:val="0"/>
                  <w:marTop w:val="0"/>
                  <w:marBottom w:val="0"/>
                  <w:divBdr>
                    <w:top w:val="none" w:sz="0" w:space="0" w:color="auto"/>
                    <w:left w:val="none" w:sz="0" w:space="0" w:color="auto"/>
                    <w:bottom w:val="none" w:sz="0" w:space="0" w:color="auto"/>
                    <w:right w:val="none" w:sz="0" w:space="0" w:color="auto"/>
                  </w:divBdr>
                  <w:divsChild>
                    <w:div w:id="841775806">
                      <w:marLeft w:val="0"/>
                      <w:marRight w:val="0"/>
                      <w:marTop w:val="0"/>
                      <w:marBottom w:val="0"/>
                      <w:divBdr>
                        <w:top w:val="none" w:sz="0" w:space="0" w:color="auto"/>
                        <w:left w:val="none" w:sz="0" w:space="0" w:color="auto"/>
                        <w:bottom w:val="none" w:sz="0" w:space="0" w:color="auto"/>
                        <w:right w:val="none" w:sz="0" w:space="0" w:color="auto"/>
                      </w:divBdr>
                    </w:div>
                  </w:divsChild>
                </w:div>
                <w:div w:id="1785731765">
                  <w:marLeft w:val="0"/>
                  <w:marRight w:val="0"/>
                  <w:marTop w:val="0"/>
                  <w:marBottom w:val="0"/>
                  <w:divBdr>
                    <w:top w:val="none" w:sz="0" w:space="0" w:color="auto"/>
                    <w:left w:val="none" w:sz="0" w:space="0" w:color="auto"/>
                    <w:bottom w:val="none" w:sz="0" w:space="0" w:color="auto"/>
                    <w:right w:val="none" w:sz="0" w:space="0" w:color="auto"/>
                  </w:divBdr>
                  <w:divsChild>
                    <w:div w:id="770586624">
                      <w:marLeft w:val="0"/>
                      <w:marRight w:val="0"/>
                      <w:marTop w:val="0"/>
                      <w:marBottom w:val="0"/>
                      <w:divBdr>
                        <w:top w:val="none" w:sz="0" w:space="0" w:color="auto"/>
                        <w:left w:val="none" w:sz="0" w:space="0" w:color="auto"/>
                        <w:bottom w:val="none" w:sz="0" w:space="0" w:color="auto"/>
                        <w:right w:val="none" w:sz="0" w:space="0" w:color="auto"/>
                      </w:divBdr>
                    </w:div>
                  </w:divsChild>
                </w:div>
                <w:div w:id="1801260031">
                  <w:marLeft w:val="0"/>
                  <w:marRight w:val="0"/>
                  <w:marTop w:val="0"/>
                  <w:marBottom w:val="0"/>
                  <w:divBdr>
                    <w:top w:val="none" w:sz="0" w:space="0" w:color="auto"/>
                    <w:left w:val="none" w:sz="0" w:space="0" w:color="auto"/>
                    <w:bottom w:val="none" w:sz="0" w:space="0" w:color="auto"/>
                    <w:right w:val="none" w:sz="0" w:space="0" w:color="auto"/>
                  </w:divBdr>
                  <w:divsChild>
                    <w:div w:id="1220898593">
                      <w:marLeft w:val="0"/>
                      <w:marRight w:val="0"/>
                      <w:marTop w:val="0"/>
                      <w:marBottom w:val="0"/>
                      <w:divBdr>
                        <w:top w:val="none" w:sz="0" w:space="0" w:color="auto"/>
                        <w:left w:val="none" w:sz="0" w:space="0" w:color="auto"/>
                        <w:bottom w:val="none" w:sz="0" w:space="0" w:color="auto"/>
                        <w:right w:val="none" w:sz="0" w:space="0" w:color="auto"/>
                      </w:divBdr>
                    </w:div>
                  </w:divsChild>
                </w:div>
                <w:div w:id="1805658092">
                  <w:marLeft w:val="0"/>
                  <w:marRight w:val="0"/>
                  <w:marTop w:val="0"/>
                  <w:marBottom w:val="0"/>
                  <w:divBdr>
                    <w:top w:val="none" w:sz="0" w:space="0" w:color="auto"/>
                    <w:left w:val="none" w:sz="0" w:space="0" w:color="auto"/>
                    <w:bottom w:val="none" w:sz="0" w:space="0" w:color="auto"/>
                    <w:right w:val="none" w:sz="0" w:space="0" w:color="auto"/>
                  </w:divBdr>
                  <w:divsChild>
                    <w:div w:id="960040316">
                      <w:marLeft w:val="0"/>
                      <w:marRight w:val="0"/>
                      <w:marTop w:val="0"/>
                      <w:marBottom w:val="0"/>
                      <w:divBdr>
                        <w:top w:val="none" w:sz="0" w:space="0" w:color="auto"/>
                        <w:left w:val="none" w:sz="0" w:space="0" w:color="auto"/>
                        <w:bottom w:val="none" w:sz="0" w:space="0" w:color="auto"/>
                        <w:right w:val="none" w:sz="0" w:space="0" w:color="auto"/>
                      </w:divBdr>
                    </w:div>
                  </w:divsChild>
                </w:div>
                <w:div w:id="1816794659">
                  <w:marLeft w:val="0"/>
                  <w:marRight w:val="0"/>
                  <w:marTop w:val="0"/>
                  <w:marBottom w:val="0"/>
                  <w:divBdr>
                    <w:top w:val="none" w:sz="0" w:space="0" w:color="auto"/>
                    <w:left w:val="none" w:sz="0" w:space="0" w:color="auto"/>
                    <w:bottom w:val="none" w:sz="0" w:space="0" w:color="auto"/>
                    <w:right w:val="none" w:sz="0" w:space="0" w:color="auto"/>
                  </w:divBdr>
                  <w:divsChild>
                    <w:div w:id="527908514">
                      <w:marLeft w:val="0"/>
                      <w:marRight w:val="0"/>
                      <w:marTop w:val="0"/>
                      <w:marBottom w:val="0"/>
                      <w:divBdr>
                        <w:top w:val="none" w:sz="0" w:space="0" w:color="auto"/>
                        <w:left w:val="none" w:sz="0" w:space="0" w:color="auto"/>
                        <w:bottom w:val="none" w:sz="0" w:space="0" w:color="auto"/>
                        <w:right w:val="none" w:sz="0" w:space="0" w:color="auto"/>
                      </w:divBdr>
                    </w:div>
                  </w:divsChild>
                </w:div>
                <w:div w:id="1832138848">
                  <w:marLeft w:val="0"/>
                  <w:marRight w:val="0"/>
                  <w:marTop w:val="0"/>
                  <w:marBottom w:val="0"/>
                  <w:divBdr>
                    <w:top w:val="none" w:sz="0" w:space="0" w:color="auto"/>
                    <w:left w:val="none" w:sz="0" w:space="0" w:color="auto"/>
                    <w:bottom w:val="none" w:sz="0" w:space="0" w:color="auto"/>
                    <w:right w:val="none" w:sz="0" w:space="0" w:color="auto"/>
                  </w:divBdr>
                  <w:divsChild>
                    <w:div w:id="1479759184">
                      <w:marLeft w:val="0"/>
                      <w:marRight w:val="0"/>
                      <w:marTop w:val="0"/>
                      <w:marBottom w:val="0"/>
                      <w:divBdr>
                        <w:top w:val="none" w:sz="0" w:space="0" w:color="auto"/>
                        <w:left w:val="none" w:sz="0" w:space="0" w:color="auto"/>
                        <w:bottom w:val="none" w:sz="0" w:space="0" w:color="auto"/>
                        <w:right w:val="none" w:sz="0" w:space="0" w:color="auto"/>
                      </w:divBdr>
                    </w:div>
                  </w:divsChild>
                </w:div>
                <w:div w:id="1832714316">
                  <w:marLeft w:val="0"/>
                  <w:marRight w:val="0"/>
                  <w:marTop w:val="0"/>
                  <w:marBottom w:val="0"/>
                  <w:divBdr>
                    <w:top w:val="none" w:sz="0" w:space="0" w:color="auto"/>
                    <w:left w:val="none" w:sz="0" w:space="0" w:color="auto"/>
                    <w:bottom w:val="none" w:sz="0" w:space="0" w:color="auto"/>
                    <w:right w:val="none" w:sz="0" w:space="0" w:color="auto"/>
                  </w:divBdr>
                  <w:divsChild>
                    <w:div w:id="1847205789">
                      <w:marLeft w:val="0"/>
                      <w:marRight w:val="0"/>
                      <w:marTop w:val="0"/>
                      <w:marBottom w:val="0"/>
                      <w:divBdr>
                        <w:top w:val="none" w:sz="0" w:space="0" w:color="auto"/>
                        <w:left w:val="none" w:sz="0" w:space="0" w:color="auto"/>
                        <w:bottom w:val="none" w:sz="0" w:space="0" w:color="auto"/>
                        <w:right w:val="none" w:sz="0" w:space="0" w:color="auto"/>
                      </w:divBdr>
                    </w:div>
                  </w:divsChild>
                </w:div>
                <w:div w:id="1849753786">
                  <w:marLeft w:val="0"/>
                  <w:marRight w:val="0"/>
                  <w:marTop w:val="0"/>
                  <w:marBottom w:val="0"/>
                  <w:divBdr>
                    <w:top w:val="none" w:sz="0" w:space="0" w:color="auto"/>
                    <w:left w:val="none" w:sz="0" w:space="0" w:color="auto"/>
                    <w:bottom w:val="none" w:sz="0" w:space="0" w:color="auto"/>
                    <w:right w:val="none" w:sz="0" w:space="0" w:color="auto"/>
                  </w:divBdr>
                  <w:divsChild>
                    <w:div w:id="16396524">
                      <w:marLeft w:val="0"/>
                      <w:marRight w:val="0"/>
                      <w:marTop w:val="0"/>
                      <w:marBottom w:val="0"/>
                      <w:divBdr>
                        <w:top w:val="none" w:sz="0" w:space="0" w:color="auto"/>
                        <w:left w:val="none" w:sz="0" w:space="0" w:color="auto"/>
                        <w:bottom w:val="none" w:sz="0" w:space="0" w:color="auto"/>
                        <w:right w:val="none" w:sz="0" w:space="0" w:color="auto"/>
                      </w:divBdr>
                    </w:div>
                  </w:divsChild>
                </w:div>
                <w:div w:id="1853177778">
                  <w:marLeft w:val="0"/>
                  <w:marRight w:val="0"/>
                  <w:marTop w:val="0"/>
                  <w:marBottom w:val="0"/>
                  <w:divBdr>
                    <w:top w:val="none" w:sz="0" w:space="0" w:color="auto"/>
                    <w:left w:val="none" w:sz="0" w:space="0" w:color="auto"/>
                    <w:bottom w:val="none" w:sz="0" w:space="0" w:color="auto"/>
                    <w:right w:val="none" w:sz="0" w:space="0" w:color="auto"/>
                  </w:divBdr>
                  <w:divsChild>
                    <w:div w:id="1147478375">
                      <w:marLeft w:val="0"/>
                      <w:marRight w:val="0"/>
                      <w:marTop w:val="0"/>
                      <w:marBottom w:val="0"/>
                      <w:divBdr>
                        <w:top w:val="none" w:sz="0" w:space="0" w:color="auto"/>
                        <w:left w:val="none" w:sz="0" w:space="0" w:color="auto"/>
                        <w:bottom w:val="none" w:sz="0" w:space="0" w:color="auto"/>
                        <w:right w:val="none" w:sz="0" w:space="0" w:color="auto"/>
                      </w:divBdr>
                    </w:div>
                  </w:divsChild>
                </w:div>
                <w:div w:id="1856454543">
                  <w:marLeft w:val="0"/>
                  <w:marRight w:val="0"/>
                  <w:marTop w:val="0"/>
                  <w:marBottom w:val="0"/>
                  <w:divBdr>
                    <w:top w:val="none" w:sz="0" w:space="0" w:color="auto"/>
                    <w:left w:val="none" w:sz="0" w:space="0" w:color="auto"/>
                    <w:bottom w:val="none" w:sz="0" w:space="0" w:color="auto"/>
                    <w:right w:val="none" w:sz="0" w:space="0" w:color="auto"/>
                  </w:divBdr>
                  <w:divsChild>
                    <w:div w:id="1662469621">
                      <w:marLeft w:val="0"/>
                      <w:marRight w:val="0"/>
                      <w:marTop w:val="0"/>
                      <w:marBottom w:val="0"/>
                      <w:divBdr>
                        <w:top w:val="none" w:sz="0" w:space="0" w:color="auto"/>
                        <w:left w:val="none" w:sz="0" w:space="0" w:color="auto"/>
                        <w:bottom w:val="none" w:sz="0" w:space="0" w:color="auto"/>
                        <w:right w:val="none" w:sz="0" w:space="0" w:color="auto"/>
                      </w:divBdr>
                    </w:div>
                  </w:divsChild>
                </w:div>
                <w:div w:id="1856571249">
                  <w:marLeft w:val="0"/>
                  <w:marRight w:val="0"/>
                  <w:marTop w:val="0"/>
                  <w:marBottom w:val="0"/>
                  <w:divBdr>
                    <w:top w:val="none" w:sz="0" w:space="0" w:color="auto"/>
                    <w:left w:val="none" w:sz="0" w:space="0" w:color="auto"/>
                    <w:bottom w:val="none" w:sz="0" w:space="0" w:color="auto"/>
                    <w:right w:val="none" w:sz="0" w:space="0" w:color="auto"/>
                  </w:divBdr>
                  <w:divsChild>
                    <w:div w:id="38363863">
                      <w:marLeft w:val="0"/>
                      <w:marRight w:val="0"/>
                      <w:marTop w:val="0"/>
                      <w:marBottom w:val="0"/>
                      <w:divBdr>
                        <w:top w:val="none" w:sz="0" w:space="0" w:color="auto"/>
                        <w:left w:val="none" w:sz="0" w:space="0" w:color="auto"/>
                        <w:bottom w:val="none" w:sz="0" w:space="0" w:color="auto"/>
                        <w:right w:val="none" w:sz="0" w:space="0" w:color="auto"/>
                      </w:divBdr>
                    </w:div>
                  </w:divsChild>
                </w:div>
                <w:div w:id="1857845327">
                  <w:marLeft w:val="0"/>
                  <w:marRight w:val="0"/>
                  <w:marTop w:val="0"/>
                  <w:marBottom w:val="0"/>
                  <w:divBdr>
                    <w:top w:val="none" w:sz="0" w:space="0" w:color="auto"/>
                    <w:left w:val="none" w:sz="0" w:space="0" w:color="auto"/>
                    <w:bottom w:val="none" w:sz="0" w:space="0" w:color="auto"/>
                    <w:right w:val="none" w:sz="0" w:space="0" w:color="auto"/>
                  </w:divBdr>
                  <w:divsChild>
                    <w:div w:id="1000696545">
                      <w:marLeft w:val="0"/>
                      <w:marRight w:val="0"/>
                      <w:marTop w:val="0"/>
                      <w:marBottom w:val="0"/>
                      <w:divBdr>
                        <w:top w:val="none" w:sz="0" w:space="0" w:color="auto"/>
                        <w:left w:val="none" w:sz="0" w:space="0" w:color="auto"/>
                        <w:bottom w:val="none" w:sz="0" w:space="0" w:color="auto"/>
                        <w:right w:val="none" w:sz="0" w:space="0" w:color="auto"/>
                      </w:divBdr>
                    </w:div>
                  </w:divsChild>
                </w:div>
                <w:div w:id="1868906673">
                  <w:marLeft w:val="0"/>
                  <w:marRight w:val="0"/>
                  <w:marTop w:val="0"/>
                  <w:marBottom w:val="0"/>
                  <w:divBdr>
                    <w:top w:val="none" w:sz="0" w:space="0" w:color="auto"/>
                    <w:left w:val="none" w:sz="0" w:space="0" w:color="auto"/>
                    <w:bottom w:val="none" w:sz="0" w:space="0" w:color="auto"/>
                    <w:right w:val="none" w:sz="0" w:space="0" w:color="auto"/>
                  </w:divBdr>
                  <w:divsChild>
                    <w:div w:id="444078251">
                      <w:marLeft w:val="0"/>
                      <w:marRight w:val="0"/>
                      <w:marTop w:val="0"/>
                      <w:marBottom w:val="0"/>
                      <w:divBdr>
                        <w:top w:val="none" w:sz="0" w:space="0" w:color="auto"/>
                        <w:left w:val="none" w:sz="0" w:space="0" w:color="auto"/>
                        <w:bottom w:val="none" w:sz="0" w:space="0" w:color="auto"/>
                        <w:right w:val="none" w:sz="0" w:space="0" w:color="auto"/>
                      </w:divBdr>
                    </w:div>
                  </w:divsChild>
                </w:div>
                <w:div w:id="1873565849">
                  <w:marLeft w:val="0"/>
                  <w:marRight w:val="0"/>
                  <w:marTop w:val="0"/>
                  <w:marBottom w:val="0"/>
                  <w:divBdr>
                    <w:top w:val="none" w:sz="0" w:space="0" w:color="auto"/>
                    <w:left w:val="none" w:sz="0" w:space="0" w:color="auto"/>
                    <w:bottom w:val="none" w:sz="0" w:space="0" w:color="auto"/>
                    <w:right w:val="none" w:sz="0" w:space="0" w:color="auto"/>
                  </w:divBdr>
                  <w:divsChild>
                    <w:div w:id="1490707512">
                      <w:marLeft w:val="0"/>
                      <w:marRight w:val="0"/>
                      <w:marTop w:val="0"/>
                      <w:marBottom w:val="0"/>
                      <w:divBdr>
                        <w:top w:val="none" w:sz="0" w:space="0" w:color="auto"/>
                        <w:left w:val="none" w:sz="0" w:space="0" w:color="auto"/>
                        <w:bottom w:val="none" w:sz="0" w:space="0" w:color="auto"/>
                        <w:right w:val="none" w:sz="0" w:space="0" w:color="auto"/>
                      </w:divBdr>
                    </w:div>
                  </w:divsChild>
                </w:div>
                <w:div w:id="1914583034">
                  <w:marLeft w:val="0"/>
                  <w:marRight w:val="0"/>
                  <w:marTop w:val="0"/>
                  <w:marBottom w:val="0"/>
                  <w:divBdr>
                    <w:top w:val="none" w:sz="0" w:space="0" w:color="auto"/>
                    <w:left w:val="none" w:sz="0" w:space="0" w:color="auto"/>
                    <w:bottom w:val="none" w:sz="0" w:space="0" w:color="auto"/>
                    <w:right w:val="none" w:sz="0" w:space="0" w:color="auto"/>
                  </w:divBdr>
                  <w:divsChild>
                    <w:div w:id="1254162972">
                      <w:marLeft w:val="0"/>
                      <w:marRight w:val="0"/>
                      <w:marTop w:val="0"/>
                      <w:marBottom w:val="0"/>
                      <w:divBdr>
                        <w:top w:val="none" w:sz="0" w:space="0" w:color="auto"/>
                        <w:left w:val="none" w:sz="0" w:space="0" w:color="auto"/>
                        <w:bottom w:val="none" w:sz="0" w:space="0" w:color="auto"/>
                        <w:right w:val="none" w:sz="0" w:space="0" w:color="auto"/>
                      </w:divBdr>
                    </w:div>
                  </w:divsChild>
                </w:div>
                <w:div w:id="1923446915">
                  <w:marLeft w:val="0"/>
                  <w:marRight w:val="0"/>
                  <w:marTop w:val="0"/>
                  <w:marBottom w:val="0"/>
                  <w:divBdr>
                    <w:top w:val="none" w:sz="0" w:space="0" w:color="auto"/>
                    <w:left w:val="none" w:sz="0" w:space="0" w:color="auto"/>
                    <w:bottom w:val="none" w:sz="0" w:space="0" w:color="auto"/>
                    <w:right w:val="none" w:sz="0" w:space="0" w:color="auto"/>
                  </w:divBdr>
                  <w:divsChild>
                    <w:div w:id="1344278488">
                      <w:marLeft w:val="0"/>
                      <w:marRight w:val="0"/>
                      <w:marTop w:val="0"/>
                      <w:marBottom w:val="0"/>
                      <w:divBdr>
                        <w:top w:val="none" w:sz="0" w:space="0" w:color="auto"/>
                        <w:left w:val="none" w:sz="0" w:space="0" w:color="auto"/>
                        <w:bottom w:val="none" w:sz="0" w:space="0" w:color="auto"/>
                        <w:right w:val="none" w:sz="0" w:space="0" w:color="auto"/>
                      </w:divBdr>
                    </w:div>
                    <w:div w:id="1845585346">
                      <w:marLeft w:val="0"/>
                      <w:marRight w:val="0"/>
                      <w:marTop w:val="0"/>
                      <w:marBottom w:val="0"/>
                      <w:divBdr>
                        <w:top w:val="none" w:sz="0" w:space="0" w:color="auto"/>
                        <w:left w:val="none" w:sz="0" w:space="0" w:color="auto"/>
                        <w:bottom w:val="none" w:sz="0" w:space="0" w:color="auto"/>
                        <w:right w:val="none" w:sz="0" w:space="0" w:color="auto"/>
                      </w:divBdr>
                    </w:div>
                  </w:divsChild>
                </w:div>
                <w:div w:id="1928423722">
                  <w:marLeft w:val="0"/>
                  <w:marRight w:val="0"/>
                  <w:marTop w:val="0"/>
                  <w:marBottom w:val="0"/>
                  <w:divBdr>
                    <w:top w:val="none" w:sz="0" w:space="0" w:color="auto"/>
                    <w:left w:val="none" w:sz="0" w:space="0" w:color="auto"/>
                    <w:bottom w:val="none" w:sz="0" w:space="0" w:color="auto"/>
                    <w:right w:val="none" w:sz="0" w:space="0" w:color="auto"/>
                  </w:divBdr>
                  <w:divsChild>
                    <w:div w:id="557664187">
                      <w:marLeft w:val="0"/>
                      <w:marRight w:val="0"/>
                      <w:marTop w:val="0"/>
                      <w:marBottom w:val="0"/>
                      <w:divBdr>
                        <w:top w:val="none" w:sz="0" w:space="0" w:color="auto"/>
                        <w:left w:val="none" w:sz="0" w:space="0" w:color="auto"/>
                        <w:bottom w:val="none" w:sz="0" w:space="0" w:color="auto"/>
                        <w:right w:val="none" w:sz="0" w:space="0" w:color="auto"/>
                      </w:divBdr>
                    </w:div>
                  </w:divsChild>
                </w:div>
                <w:div w:id="1948072630">
                  <w:marLeft w:val="0"/>
                  <w:marRight w:val="0"/>
                  <w:marTop w:val="0"/>
                  <w:marBottom w:val="0"/>
                  <w:divBdr>
                    <w:top w:val="none" w:sz="0" w:space="0" w:color="auto"/>
                    <w:left w:val="none" w:sz="0" w:space="0" w:color="auto"/>
                    <w:bottom w:val="none" w:sz="0" w:space="0" w:color="auto"/>
                    <w:right w:val="none" w:sz="0" w:space="0" w:color="auto"/>
                  </w:divBdr>
                  <w:divsChild>
                    <w:div w:id="1629167885">
                      <w:marLeft w:val="0"/>
                      <w:marRight w:val="0"/>
                      <w:marTop w:val="0"/>
                      <w:marBottom w:val="0"/>
                      <w:divBdr>
                        <w:top w:val="none" w:sz="0" w:space="0" w:color="auto"/>
                        <w:left w:val="none" w:sz="0" w:space="0" w:color="auto"/>
                        <w:bottom w:val="none" w:sz="0" w:space="0" w:color="auto"/>
                        <w:right w:val="none" w:sz="0" w:space="0" w:color="auto"/>
                      </w:divBdr>
                    </w:div>
                  </w:divsChild>
                </w:div>
                <w:div w:id="1963145838">
                  <w:marLeft w:val="0"/>
                  <w:marRight w:val="0"/>
                  <w:marTop w:val="0"/>
                  <w:marBottom w:val="0"/>
                  <w:divBdr>
                    <w:top w:val="none" w:sz="0" w:space="0" w:color="auto"/>
                    <w:left w:val="none" w:sz="0" w:space="0" w:color="auto"/>
                    <w:bottom w:val="none" w:sz="0" w:space="0" w:color="auto"/>
                    <w:right w:val="none" w:sz="0" w:space="0" w:color="auto"/>
                  </w:divBdr>
                  <w:divsChild>
                    <w:div w:id="1873153552">
                      <w:marLeft w:val="0"/>
                      <w:marRight w:val="0"/>
                      <w:marTop w:val="0"/>
                      <w:marBottom w:val="0"/>
                      <w:divBdr>
                        <w:top w:val="none" w:sz="0" w:space="0" w:color="auto"/>
                        <w:left w:val="none" w:sz="0" w:space="0" w:color="auto"/>
                        <w:bottom w:val="none" w:sz="0" w:space="0" w:color="auto"/>
                        <w:right w:val="none" w:sz="0" w:space="0" w:color="auto"/>
                      </w:divBdr>
                    </w:div>
                  </w:divsChild>
                </w:div>
                <w:div w:id="1972594372">
                  <w:marLeft w:val="0"/>
                  <w:marRight w:val="0"/>
                  <w:marTop w:val="0"/>
                  <w:marBottom w:val="0"/>
                  <w:divBdr>
                    <w:top w:val="none" w:sz="0" w:space="0" w:color="auto"/>
                    <w:left w:val="none" w:sz="0" w:space="0" w:color="auto"/>
                    <w:bottom w:val="none" w:sz="0" w:space="0" w:color="auto"/>
                    <w:right w:val="none" w:sz="0" w:space="0" w:color="auto"/>
                  </w:divBdr>
                  <w:divsChild>
                    <w:div w:id="1704020613">
                      <w:marLeft w:val="0"/>
                      <w:marRight w:val="0"/>
                      <w:marTop w:val="0"/>
                      <w:marBottom w:val="0"/>
                      <w:divBdr>
                        <w:top w:val="none" w:sz="0" w:space="0" w:color="auto"/>
                        <w:left w:val="none" w:sz="0" w:space="0" w:color="auto"/>
                        <w:bottom w:val="none" w:sz="0" w:space="0" w:color="auto"/>
                        <w:right w:val="none" w:sz="0" w:space="0" w:color="auto"/>
                      </w:divBdr>
                    </w:div>
                  </w:divsChild>
                </w:div>
                <w:div w:id="1975404334">
                  <w:marLeft w:val="0"/>
                  <w:marRight w:val="0"/>
                  <w:marTop w:val="0"/>
                  <w:marBottom w:val="0"/>
                  <w:divBdr>
                    <w:top w:val="none" w:sz="0" w:space="0" w:color="auto"/>
                    <w:left w:val="none" w:sz="0" w:space="0" w:color="auto"/>
                    <w:bottom w:val="none" w:sz="0" w:space="0" w:color="auto"/>
                    <w:right w:val="none" w:sz="0" w:space="0" w:color="auto"/>
                  </w:divBdr>
                  <w:divsChild>
                    <w:div w:id="461120050">
                      <w:marLeft w:val="0"/>
                      <w:marRight w:val="0"/>
                      <w:marTop w:val="0"/>
                      <w:marBottom w:val="0"/>
                      <w:divBdr>
                        <w:top w:val="none" w:sz="0" w:space="0" w:color="auto"/>
                        <w:left w:val="none" w:sz="0" w:space="0" w:color="auto"/>
                        <w:bottom w:val="none" w:sz="0" w:space="0" w:color="auto"/>
                        <w:right w:val="none" w:sz="0" w:space="0" w:color="auto"/>
                      </w:divBdr>
                    </w:div>
                  </w:divsChild>
                </w:div>
                <w:div w:id="1977761606">
                  <w:marLeft w:val="0"/>
                  <w:marRight w:val="0"/>
                  <w:marTop w:val="0"/>
                  <w:marBottom w:val="0"/>
                  <w:divBdr>
                    <w:top w:val="none" w:sz="0" w:space="0" w:color="auto"/>
                    <w:left w:val="none" w:sz="0" w:space="0" w:color="auto"/>
                    <w:bottom w:val="none" w:sz="0" w:space="0" w:color="auto"/>
                    <w:right w:val="none" w:sz="0" w:space="0" w:color="auto"/>
                  </w:divBdr>
                  <w:divsChild>
                    <w:div w:id="1116094211">
                      <w:marLeft w:val="0"/>
                      <w:marRight w:val="0"/>
                      <w:marTop w:val="0"/>
                      <w:marBottom w:val="0"/>
                      <w:divBdr>
                        <w:top w:val="none" w:sz="0" w:space="0" w:color="auto"/>
                        <w:left w:val="none" w:sz="0" w:space="0" w:color="auto"/>
                        <w:bottom w:val="none" w:sz="0" w:space="0" w:color="auto"/>
                        <w:right w:val="none" w:sz="0" w:space="0" w:color="auto"/>
                      </w:divBdr>
                    </w:div>
                  </w:divsChild>
                </w:div>
                <w:div w:id="1978149130">
                  <w:marLeft w:val="0"/>
                  <w:marRight w:val="0"/>
                  <w:marTop w:val="0"/>
                  <w:marBottom w:val="0"/>
                  <w:divBdr>
                    <w:top w:val="none" w:sz="0" w:space="0" w:color="auto"/>
                    <w:left w:val="none" w:sz="0" w:space="0" w:color="auto"/>
                    <w:bottom w:val="none" w:sz="0" w:space="0" w:color="auto"/>
                    <w:right w:val="none" w:sz="0" w:space="0" w:color="auto"/>
                  </w:divBdr>
                  <w:divsChild>
                    <w:div w:id="811409296">
                      <w:marLeft w:val="0"/>
                      <w:marRight w:val="0"/>
                      <w:marTop w:val="0"/>
                      <w:marBottom w:val="0"/>
                      <w:divBdr>
                        <w:top w:val="none" w:sz="0" w:space="0" w:color="auto"/>
                        <w:left w:val="none" w:sz="0" w:space="0" w:color="auto"/>
                        <w:bottom w:val="none" w:sz="0" w:space="0" w:color="auto"/>
                        <w:right w:val="none" w:sz="0" w:space="0" w:color="auto"/>
                      </w:divBdr>
                    </w:div>
                  </w:divsChild>
                </w:div>
                <w:div w:id="1987858926">
                  <w:marLeft w:val="0"/>
                  <w:marRight w:val="0"/>
                  <w:marTop w:val="0"/>
                  <w:marBottom w:val="0"/>
                  <w:divBdr>
                    <w:top w:val="none" w:sz="0" w:space="0" w:color="auto"/>
                    <w:left w:val="none" w:sz="0" w:space="0" w:color="auto"/>
                    <w:bottom w:val="none" w:sz="0" w:space="0" w:color="auto"/>
                    <w:right w:val="none" w:sz="0" w:space="0" w:color="auto"/>
                  </w:divBdr>
                  <w:divsChild>
                    <w:div w:id="1015689523">
                      <w:marLeft w:val="0"/>
                      <w:marRight w:val="0"/>
                      <w:marTop w:val="0"/>
                      <w:marBottom w:val="0"/>
                      <w:divBdr>
                        <w:top w:val="none" w:sz="0" w:space="0" w:color="auto"/>
                        <w:left w:val="none" w:sz="0" w:space="0" w:color="auto"/>
                        <w:bottom w:val="none" w:sz="0" w:space="0" w:color="auto"/>
                        <w:right w:val="none" w:sz="0" w:space="0" w:color="auto"/>
                      </w:divBdr>
                    </w:div>
                  </w:divsChild>
                </w:div>
                <w:div w:id="1988242690">
                  <w:marLeft w:val="0"/>
                  <w:marRight w:val="0"/>
                  <w:marTop w:val="0"/>
                  <w:marBottom w:val="0"/>
                  <w:divBdr>
                    <w:top w:val="none" w:sz="0" w:space="0" w:color="auto"/>
                    <w:left w:val="none" w:sz="0" w:space="0" w:color="auto"/>
                    <w:bottom w:val="none" w:sz="0" w:space="0" w:color="auto"/>
                    <w:right w:val="none" w:sz="0" w:space="0" w:color="auto"/>
                  </w:divBdr>
                  <w:divsChild>
                    <w:div w:id="1951931597">
                      <w:marLeft w:val="0"/>
                      <w:marRight w:val="0"/>
                      <w:marTop w:val="0"/>
                      <w:marBottom w:val="0"/>
                      <w:divBdr>
                        <w:top w:val="none" w:sz="0" w:space="0" w:color="auto"/>
                        <w:left w:val="none" w:sz="0" w:space="0" w:color="auto"/>
                        <w:bottom w:val="none" w:sz="0" w:space="0" w:color="auto"/>
                        <w:right w:val="none" w:sz="0" w:space="0" w:color="auto"/>
                      </w:divBdr>
                    </w:div>
                  </w:divsChild>
                </w:div>
                <w:div w:id="2002847775">
                  <w:marLeft w:val="0"/>
                  <w:marRight w:val="0"/>
                  <w:marTop w:val="0"/>
                  <w:marBottom w:val="0"/>
                  <w:divBdr>
                    <w:top w:val="none" w:sz="0" w:space="0" w:color="auto"/>
                    <w:left w:val="none" w:sz="0" w:space="0" w:color="auto"/>
                    <w:bottom w:val="none" w:sz="0" w:space="0" w:color="auto"/>
                    <w:right w:val="none" w:sz="0" w:space="0" w:color="auto"/>
                  </w:divBdr>
                  <w:divsChild>
                    <w:div w:id="154493455">
                      <w:marLeft w:val="0"/>
                      <w:marRight w:val="0"/>
                      <w:marTop w:val="0"/>
                      <w:marBottom w:val="0"/>
                      <w:divBdr>
                        <w:top w:val="none" w:sz="0" w:space="0" w:color="auto"/>
                        <w:left w:val="none" w:sz="0" w:space="0" w:color="auto"/>
                        <w:bottom w:val="none" w:sz="0" w:space="0" w:color="auto"/>
                        <w:right w:val="none" w:sz="0" w:space="0" w:color="auto"/>
                      </w:divBdr>
                    </w:div>
                  </w:divsChild>
                </w:div>
                <w:div w:id="2005432340">
                  <w:marLeft w:val="0"/>
                  <w:marRight w:val="0"/>
                  <w:marTop w:val="0"/>
                  <w:marBottom w:val="0"/>
                  <w:divBdr>
                    <w:top w:val="none" w:sz="0" w:space="0" w:color="auto"/>
                    <w:left w:val="none" w:sz="0" w:space="0" w:color="auto"/>
                    <w:bottom w:val="none" w:sz="0" w:space="0" w:color="auto"/>
                    <w:right w:val="none" w:sz="0" w:space="0" w:color="auto"/>
                  </w:divBdr>
                  <w:divsChild>
                    <w:div w:id="573245016">
                      <w:marLeft w:val="0"/>
                      <w:marRight w:val="0"/>
                      <w:marTop w:val="0"/>
                      <w:marBottom w:val="0"/>
                      <w:divBdr>
                        <w:top w:val="none" w:sz="0" w:space="0" w:color="auto"/>
                        <w:left w:val="none" w:sz="0" w:space="0" w:color="auto"/>
                        <w:bottom w:val="none" w:sz="0" w:space="0" w:color="auto"/>
                        <w:right w:val="none" w:sz="0" w:space="0" w:color="auto"/>
                      </w:divBdr>
                    </w:div>
                  </w:divsChild>
                </w:div>
                <w:div w:id="2021420435">
                  <w:marLeft w:val="0"/>
                  <w:marRight w:val="0"/>
                  <w:marTop w:val="0"/>
                  <w:marBottom w:val="0"/>
                  <w:divBdr>
                    <w:top w:val="none" w:sz="0" w:space="0" w:color="auto"/>
                    <w:left w:val="none" w:sz="0" w:space="0" w:color="auto"/>
                    <w:bottom w:val="none" w:sz="0" w:space="0" w:color="auto"/>
                    <w:right w:val="none" w:sz="0" w:space="0" w:color="auto"/>
                  </w:divBdr>
                  <w:divsChild>
                    <w:div w:id="248543067">
                      <w:marLeft w:val="0"/>
                      <w:marRight w:val="0"/>
                      <w:marTop w:val="0"/>
                      <w:marBottom w:val="0"/>
                      <w:divBdr>
                        <w:top w:val="none" w:sz="0" w:space="0" w:color="auto"/>
                        <w:left w:val="none" w:sz="0" w:space="0" w:color="auto"/>
                        <w:bottom w:val="none" w:sz="0" w:space="0" w:color="auto"/>
                        <w:right w:val="none" w:sz="0" w:space="0" w:color="auto"/>
                      </w:divBdr>
                    </w:div>
                  </w:divsChild>
                </w:div>
                <w:div w:id="2022777338">
                  <w:marLeft w:val="0"/>
                  <w:marRight w:val="0"/>
                  <w:marTop w:val="0"/>
                  <w:marBottom w:val="0"/>
                  <w:divBdr>
                    <w:top w:val="none" w:sz="0" w:space="0" w:color="auto"/>
                    <w:left w:val="none" w:sz="0" w:space="0" w:color="auto"/>
                    <w:bottom w:val="none" w:sz="0" w:space="0" w:color="auto"/>
                    <w:right w:val="none" w:sz="0" w:space="0" w:color="auto"/>
                  </w:divBdr>
                  <w:divsChild>
                    <w:div w:id="245506103">
                      <w:marLeft w:val="0"/>
                      <w:marRight w:val="0"/>
                      <w:marTop w:val="0"/>
                      <w:marBottom w:val="0"/>
                      <w:divBdr>
                        <w:top w:val="none" w:sz="0" w:space="0" w:color="auto"/>
                        <w:left w:val="none" w:sz="0" w:space="0" w:color="auto"/>
                        <w:bottom w:val="none" w:sz="0" w:space="0" w:color="auto"/>
                        <w:right w:val="none" w:sz="0" w:space="0" w:color="auto"/>
                      </w:divBdr>
                    </w:div>
                  </w:divsChild>
                </w:div>
                <w:div w:id="2027559965">
                  <w:marLeft w:val="0"/>
                  <w:marRight w:val="0"/>
                  <w:marTop w:val="0"/>
                  <w:marBottom w:val="0"/>
                  <w:divBdr>
                    <w:top w:val="none" w:sz="0" w:space="0" w:color="auto"/>
                    <w:left w:val="none" w:sz="0" w:space="0" w:color="auto"/>
                    <w:bottom w:val="none" w:sz="0" w:space="0" w:color="auto"/>
                    <w:right w:val="none" w:sz="0" w:space="0" w:color="auto"/>
                  </w:divBdr>
                  <w:divsChild>
                    <w:div w:id="1123615320">
                      <w:marLeft w:val="0"/>
                      <w:marRight w:val="0"/>
                      <w:marTop w:val="0"/>
                      <w:marBottom w:val="0"/>
                      <w:divBdr>
                        <w:top w:val="none" w:sz="0" w:space="0" w:color="auto"/>
                        <w:left w:val="none" w:sz="0" w:space="0" w:color="auto"/>
                        <w:bottom w:val="none" w:sz="0" w:space="0" w:color="auto"/>
                        <w:right w:val="none" w:sz="0" w:space="0" w:color="auto"/>
                      </w:divBdr>
                    </w:div>
                  </w:divsChild>
                </w:div>
                <w:div w:id="2036886101">
                  <w:marLeft w:val="0"/>
                  <w:marRight w:val="0"/>
                  <w:marTop w:val="0"/>
                  <w:marBottom w:val="0"/>
                  <w:divBdr>
                    <w:top w:val="none" w:sz="0" w:space="0" w:color="auto"/>
                    <w:left w:val="none" w:sz="0" w:space="0" w:color="auto"/>
                    <w:bottom w:val="none" w:sz="0" w:space="0" w:color="auto"/>
                    <w:right w:val="none" w:sz="0" w:space="0" w:color="auto"/>
                  </w:divBdr>
                  <w:divsChild>
                    <w:div w:id="1164471547">
                      <w:marLeft w:val="0"/>
                      <w:marRight w:val="0"/>
                      <w:marTop w:val="0"/>
                      <w:marBottom w:val="0"/>
                      <w:divBdr>
                        <w:top w:val="none" w:sz="0" w:space="0" w:color="auto"/>
                        <w:left w:val="none" w:sz="0" w:space="0" w:color="auto"/>
                        <w:bottom w:val="none" w:sz="0" w:space="0" w:color="auto"/>
                        <w:right w:val="none" w:sz="0" w:space="0" w:color="auto"/>
                      </w:divBdr>
                    </w:div>
                  </w:divsChild>
                </w:div>
                <w:div w:id="2042243850">
                  <w:marLeft w:val="0"/>
                  <w:marRight w:val="0"/>
                  <w:marTop w:val="0"/>
                  <w:marBottom w:val="0"/>
                  <w:divBdr>
                    <w:top w:val="none" w:sz="0" w:space="0" w:color="auto"/>
                    <w:left w:val="none" w:sz="0" w:space="0" w:color="auto"/>
                    <w:bottom w:val="none" w:sz="0" w:space="0" w:color="auto"/>
                    <w:right w:val="none" w:sz="0" w:space="0" w:color="auto"/>
                  </w:divBdr>
                  <w:divsChild>
                    <w:div w:id="1186283511">
                      <w:marLeft w:val="0"/>
                      <w:marRight w:val="0"/>
                      <w:marTop w:val="0"/>
                      <w:marBottom w:val="0"/>
                      <w:divBdr>
                        <w:top w:val="none" w:sz="0" w:space="0" w:color="auto"/>
                        <w:left w:val="none" w:sz="0" w:space="0" w:color="auto"/>
                        <w:bottom w:val="none" w:sz="0" w:space="0" w:color="auto"/>
                        <w:right w:val="none" w:sz="0" w:space="0" w:color="auto"/>
                      </w:divBdr>
                    </w:div>
                  </w:divsChild>
                </w:div>
                <w:div w:id="2065835955">
                  <w:marLeft w:val="0"/>
                  <w:marRight w:val="0"/>
                  <w:marTop w:val="0"/>
                  <w:marBottom w:val="0"/>
                  <w:divBdr>
                    <w:top w:val="none" w:sz="0" w:space="0" w:color="auto"/>
                    <w:left w:val="none" w:sz="0" w:space="0" w:color="auto"/>
                    <w:bottom w:val="none" w:sz="0" w:space="0" w:color="auto"/>
                    <w:right w:val="none" w:sz="0" w:space="0" w:color="auto"/>
                  </w:divBdr>
                  <w:divsChild>
                    <w:div w:id="160051467">
                      <w:marLeft w:val="0"/>
                      <w:marRight w:val="0"/>
                      <w:marTop w:val="0"/>
                      <w:marBottom w:val="0"/>
                      <w:divBdr>
                        <w:top w:val="none" w:sz="0" w:space="0" w:color="auto"/>
                        <w:left w:val="none" w:sz="0" w:space="0" w:color="auto"/>
                        <w:bottom w:val="none" w:sz="0" w:space="0" w:color="auto"/>
                        <w:right w:val="none" w:sz="0" w:space="0" w:color="auto"/>
                      </w:divBdr>
                    </w:div>
                  </w:divsChild>
                </w:div>
                <w:div w:id="2069330801">
                  <w:marLeft w:val="0"/>
                  <w:marRight w:val="0"/>
                  <w:marTop w:val="0"/>
                  <w:marBottom w:val="0"/>
                  <w:divBdr>
                    <w:top w:val="none" w:sz="0" w:space="0" w:color="auto"/>
                    <w:left w:val="none" w:sz="0" w:space="0" w:color="auto"/>
                    <w:bottom w:val="none" w:sz="0" w:space="0" w:color="auto"/>
                    <w:right w:val="none" w:sz="0" w:space="0" w:color="auto"/>
                  </w:divBdr>
                  <w:divsChild>
                    <w:div w:id="172645866">
                      <w:marLeft w:val="0"/>
                      <w:marRight w:val="0"/>
                      <w:marTop w:val="0"/>
                      <w:marBottom w:val="0"/>
                      <w:divBdr>
                        <w:top w:val="none" w:sz="0" w:space="0" w:color="auto"/>
                        <w:left w:val="none" w:sz="0" w:space="0" w:color="auto"/>
                        <w:bottom w:val="none" w:sz="0" w:space="0" w:color="auto"/>
                        <w:right w:val="none" w:sz="0" w:space="0" w:color="auto"/>
                      </w:divBdr>
                    </w:div>
                  </w:divsChild>
                </w:div>
                <w:div w:id="2096587531">
                  <w:marLeft w:val="0"/>
                  <w:marRight w:val="0"/>
                  <w:marTop w:val="0"/>
                  <w:marBottom w:val="0"/>
                  <w:divBdr>
                    <w:top w:val="none" w:sz="0" w:space="0" w:color="auto"/>
                    <w:left w:val="none" w:sz="0" w:space="0" w:color="auto"/>
                    <w:bottom w:val="none" w:sz="0" w:space="0" w:color="auto"/>
                    <w:right w:val="none" w:sz="0" w:space="0" w:color="auto"/>
                  </w:divBdr>
                  <w:divsChild>
                    <w:div w:id="385881219">
                      <w:marLeft w:val="0"/>
                      <w:marRight w:val="0"/>
                      <w:marTop w:val="0"/>
                      <w:marBottom w:val="0"/>
                      <w:divBdr>
                        <w:top w:val="none" w:sz="0" w:space="0" w:color="auto"/>
                        <w:left w:val="none" w:sz="0" w:space="0" w:color="auto"/>
                        <w:bottom w:val="none" w:sz="0" w:space="0" w:color="auto"/>
                        <w:right w:val="none" w:sz="0" w:space="0" w:color="auto"/>
                      </w:divBdr>
                    </w:div>
                  </w:divsChild>
                </w:div>
                <w:div w:id="2105219740">
                  <w:marLeft w:val="0"/>
                  <w:marRight w:val="0"/>
                  <w:marTop w:val="0"/>
                  <w:marBottom w:val="0"/>
                  <w:divBdr>
                    <w:top w:val="none" w:sz="0" w:space="0" w:color="auto"/>
                    <w:left w:val="none" w:sz="0" w:space="0" w:color="auto"/>
                    <w:bottom w:val="none" w:sz="0" w:space="0" w:color="auto"/>
                    <w:right w:val="none" w:sz="0" w:space="0" w:color="auto"/>
                  </w:divBdr>
                  <w:divsChild>
                    <w:div w:id="171922614">
                      <w:marLeft w:val="0"/>
                      <w:marRight w:val="0"/>
                      <w:marTop w:val="0"/>
                      <w:marBottom w:val="0"/>
                      <w:divBdr>
                        <w:top w:val="none" w:sz="0" w:space="0" w:color="auto"/>
                        <w:left w:val="none" w:sz="0" w:space="0" w:color="auto"/>
                        <w:bottom w:val="none" w:sz="0" w:space="0" w:color="auto"/>
                        <w:right w:val="none" w:sz="0" w:space="0" w:color="auto"/>
                      </w:divBdr>
                    </w:div>
                  </w:divsChild>
                </w:div>
                <w:div w:id="2108114650">
                  <w:marLeft w:val="0"/>
                  <w:marRight w:val="0"/>
                  <w:marTop w:val="0"/>
                  <w:marBottom w:val="0"/>
                  <w:divBdr>
                    <w:top w:val="none" w:sz="0" w:space="0" w:color="auto"/>
                    <w:left w:val="none" w:sz="0" w:space="0" w:color="auto"/>
                    <w:bottom w:val="none" w:sz="0" w:space="0" w:color="auto"/>
                    <w:right w:val="none" w:sz="0" w:space="0" w:color="auto"/>
                  </w:divBdr>
                  <w:divsChild>
                    <w:div w:id="1133212880">
                      <w:marLeft w:val="0"/>
                      <w:marRight w:val="0"/>
                      <w:marTop w:val="0"/>
                      <w:marBottom w:val="0"/>
                      <w:divBdr>
                        <w:top w:val="none" w:sz="0" w:space="0" w:color="auto"/>
                        <w:left w:val="none" w:sz="0" w:space="0" w:color="auto"/>
                        <w:bottom w:val="none" w:sz="0" w:space="0" w:color="auto"/>
                        <w:right w:val="none" w:sz="0" w:space="0" w:color="auto"/>
                      </w:divBdr>
                    </w:div>
                  </w:divsChild>
                </w:div>
                <w:div w:id="2121222092">
                  <w:marLeft w:val="0"/>
                  <w:marRight w:val="0"/>
                  <w:marTop w:val="0"/>
                  <w:marBottom w:val="0"/>
                  <w:divBdr>
                    <w:top w:val="none" w:sz="0" w:space="0" w:color="auto"/>
                    <w:left w:val="none" w:sz="0" w:space="0" w:color="auto"/>
                    <w:bottom w:val="none" w:sz="0" w:space="0" w:color="auto"/>
                    <w:right w:val="none" w:sz="0" w:space="0" w:color="auto"/>
                  </w:divBdr>
                  <w:divsChild>
                    <w:div w:id="245455812">
                      <w:marLeft w:val="0"/>
                      <w:marRight w:val="0"/>
                      <w:marTop w:val="0"/>
                      <w:marBottom w:val="0"/>
                      <w:divBdr>
                        <w:top w:val="none" w:sz="0" w:space="0" w:color="auto"/>
                        <w:left w:val="none" w:sz="0" w:space="0" w:color="auto"/>
                        <w:bottom w:val="none" w:sz="0" w:space="0" w:color="auto"/>
                        <w:right w:val="none" w:sz="0" w:space="0" w:color="auto"/>
                      </w:divBdr>
                    </w:div>
                  </w:divsChild>
                </w:div>
                <w:div w:id="2129739992">
                  <w:marLeft w:val="0"/>
                  <w:marRight w:val="0"/>
                  <w:marTop w:val="0"/>
                  <w:marBottom w:val="0"/>
                  <w:divBdr>
                    <w:top w:val="none" w:sz="0" w:space="0" w:color="auto"/>
                    <w:left w:val="none" w:sz="0" w:space="0" w:color="auto"/>
                    <w:bottom w:val="none" w:sz="0" w:space="0" w:color="auto"/>
                    <w:right w:val="none" w:sz="0" w:space="0" w:color="auto"/>
                  </w:divBdr>
                  <w:divsChild>
                    <w:div w:id="2098096055">
                      <w:marLeft w:val="0"/>
                      <w:marRight w:val="0"/>
                      <w:marTop w:val="0"/>
                      <w:marBottom w:val="0"/>
                      <w:divBdr>
                        <w:top w:val="none" w:sz="0" w:space="0" w:color="auto"/>
                        <w:left w:val="none" w:sz="0" w:space="0" w:color="auto"/>
                        <w:bottom w:val="none" w:sz="0" w:space="0" w:color="auto"/>
                        <w:right w:val="none" w:sz="0" w:space="0" w:color="auto"/>
                      </w:divBdr>
                    </w:div>
                  </w:divsChild>
                </w:div>
                <w:div w:id="2132280482">
                  <w:marLeft w:val="0"/>
                  <w:marRight w:val="0"/>
                  <w:marTop w:val="0"/>
                  <w:marBottom w:val="0"/>
                  <w:divBdr>
                    <w:top w:val="none" w:sz="0" w:space="0" w:color="auto"/>
                    <w:left w:val="none" w:sz="0" w:space="0" w:color="auto"/>
                    <w:bottom w:val="none" w:sz="0" w:space="0" w:color="auto"/>
                    <w:right w:val="none" w:sz="0" w:space="0" w:color="auto"/>
                  </w:divBdr>
                  <w:divsChild>
                    <w:div w:id="171990900">
                      <w:marLeft w:val="0"/>
                      <w:marRight w:val="0"/>
                      <w:marTop w:val="0"/>
                      <w:marBottom w:val="0"/>
                      <w:divBdr>
                        <w:top w:val="none" w:sz="0" w:space="0" w:color="auto"/>
                        <w:left w:val="none" w:sz="0" w:space="0" w:color="auto"/>
                        <w:bottom w:val="none" w:sz="0" w:space="0" w:color="auto"/>
                        <w:right w:val="none" w:sz="0" w:space="0" w:color="auto"/>
                      </w:divBdr>
                    </w:div>
                  </w:divsChild>
                </w:div>
                <w:div w:id="2143960513">
                  <w:marLeft w:val="0"/>
                  <w:marRight w:val="0"/>
                  <w:marTop w:val="0"/>
                  <w:marBottom w:val="0"/>
                  <w:divBdr>
                    <w:top w:val="none" w:sz="0" w:space="0" w:color="auto"/>
                    <w:left w:val="none" w:sz="0" w:space="0" w:color="auto"/>
                    <w:bottom w:val="none" w:sz="0" w:space="0" w:color="auto"/>
                    <w:right w:val="none" w:sz="0" w:space="0" w:color="auto"/>
                  </w:divBdr>
                  <w:divsChild>
                    <w:div w:id="1056077869">
                      <w:marLeft w:val="0"/>
                      <w:marRight w:val="0"/>
                      <w:marTop w:val="0"/>
                      <w:marBottom w:val="0"/>
                      <w:divBdr>
                        <w:top w:val="none" w:sz="0" w:space="0" w:color="auto"/>
                        <w:left w:val="none" w:sz="0" w:space="0" w:color="auto"/>
                        <w:bottom w:val="none" w:sz="0" w:space="0" w:color="auto"/>
                        <w:right w:val="none" w:sz="0" w:space="0" w:color="auto"/>
                      </w:divBdr>
                    </w:div>
                  </w:divsChild>
                </w:div>
                <w:div w:id="2145735874">
                  <w:marLeft w:val="0"/>
                  <w:marRight w:val="0"/>
                  <w:marTop w:val="0"/>
                  <w:marBottom w:val="0"/>
                  <w:divBdr>
                    <w:top w:val="none" w:sz="0" w:space="0" w:color="auto"/>
                    <w:left w:val="none" w:sz="0" w:space="0" w:color="auto"/>
                    <w:bottom w:val="none" w:sz="0" w:space="0" w:color="auto"/>
                    <w:right w:val="none" w:sz="0" w:space="0" w:color="auto"/>
                  </w:divBdr>
                  <w:divsChild>
                    <w:div w:id="4958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008193">
          <w:marLeft w:val="0"/>
          <w:marRight w:val="0"/>
          <w:marTop w:val="0"/>
          <w:marBottom w:val="0"/>
          <w:divBdr>
            <w:top w:val="none" w:sz="0" w:space="0" w:color="auto"/>
            <w:left w:val="none" w:sz="0" w:space="0" w:color="auto"/>
            <w:bottom w:val="none" w:sz="0" w:space="0" w:color="auto"/>
            <w:right w:val="none" w:sz="0" w:space="0" w:color="auto"/>
          </w:divBdr>
        </w:div>
        <w:div w:id="1041708747">
          <w:marLeft w:val="0"/>
          <w:marRight w:val="0"/>
          <w:marTop w:val="0"/>
          <w:marBottom w:val="0"/>
          <w:divBdr>
            <w:top w:val="none" w:sz="0" w:space="0" w:color="auto"/>
            <w:left w:val="none" w:sz="0" w:space="0" w:color="auto"/>
            <w:bottom w:val="none" w:sz="0" w:space="0" w:color="auto"/>
            <w:right w:val="none" w:sz="0" w:space="0" w:color="auto"/>
          </w:divBdr>
        </w:div>
        <w:div w:id="1087651950">
          <w:marLeft w:val="0"/>
          <w:marRight w:val="0"/>
          <w:marTop w:val="0"/>
          <w:marBottom w:val="0"/>
          <w:divBdr>
            <w:top w:val="none" w:sz="0" w:space="0" w:color="auto"/>
            <w:left w:val="none" w:sz="0" w:space="0" w:color="auto"/>
            <w:bottom w:val="none" w:sz="0" w:space="0" w:color="auto"/>
            <w:right w:val="none" w:sz="0" w:space="0" w:color="auto"/>
          </w:divBdr>
        </w:div>
        <w:div w:id="1112553203">
          <w:marLeft w:val="0"/>
          <w:marRight w:val="0"/>
          <w:marTop w:val="0"/>
          <w:marBottom w:val="0"/>
          <w:divBdr>
            <w:top w:val="none" w:sz="0" w:space="0" w:color="auto"/>
            <w:left w:val="none" w:sz="0" w:space="0" w:color="auto"/>
            <w:bottom w:val="none" w:sz="0" w:space="0" w:color="auto"/>
            <w:right w:val="none" w:sz="0" w:space="0" w:color="auto"/>
          </w:divBdr>
        </w:div>
        <w:div w:id="1154220323">
          <w:marLeft w:val="0"/>
          <w:marRight w:val="0"/>
          <w:marTop w:val="0"/>
          <w:marBottom w:val="0"/>
          <w:divBdr>
            <w:top w:val="none" w:sz="0" w:space="0" w:color="auto"/>
            <w:left w:val="none" w:sz="0" w:space="0" w:color="auto"/>
            <w:bottom w:val="none" w:sz="0" w:space="0" w:color="auto"/>
            <w:right w:val="none" w:sz="0" w:space="0" w:color="auto"/>
          </w:divBdr>
          <w:divsChild>
            <w:div w:id="2061857555">
              <w:marLeft w:val="-75"/>
              <w:marRight w:val="0"/>
              <w:marTop w:val="30"/>
              <w:marBottom w:val="30"/>
              <w:divBdr>
                <w:top w:val="none" w:sz="0" w:space="0" w:color="auto"/>
                <w:left w:val="none" w:sz="0" w:space="0" w:color="auto"/>
                <w:bottom w:val="none" w:sz="0" w:space="0" w:color="auto"/>
                <w:right w:val="none" w:sz="0" w:space="0" w:color="auto"/>
              </w:divBdr>
              <w:divsChild>
                <w:div w:id="2175576">
                  <w:marLeft w:val="0"/>
                  <w:marRight w:val="0"/>
                  <w:marTop w:val="0"/>
                  <w:marBottom w:val="0"/>
                  <w:divBdr>
                    <w:top w:val="none" w:sz="0" w:space="0" w:color="auto"/>
                    <w:left w:val="none" w:sz="0" w:space="0" w:color="auto"/>
                    <w:bottom w:val="none" w:sz="0" w:space="0" w:color="auto"/>
                    <w:right w:val="none" w:sz="0" w:space="0" w:color="auto"/>
                  </w:divBdr>
                  <w:divsChild>
                    <w:div w:id="1036586175">
                      <w:marLeft w:val="0"/>
                      <w:marRight w:val="0"/>
                      <w:marTop w:val="0"/>
                      <w:marBottom w:val="0"/>
                      <w:divBdr>
                        <w:top w:val="none" w:sz="0" w:space="0" w:color="auto"/>
                        <w:left w:val="none" w:sz="0" w:space="0" w:color="auto"/>
                        <w:bottom w:val="none" w:sz="0" w:space="0" w:color="auto"/>
                        <w:right w:val="none" w:sz="0" w:space="0" w:color="auto"/>
                      </w:divBdr>
                    </w:div>
                  </w:divsChild>
                </w:div>
                <w:div w:id="18553581">
                  <w:marLeft w:val="0"/>
                  <w:marRight w:val="0"/>
                  <w:marTop w:val="0"/>
                  <w:marBottom w:val="0"/>
                  <w:divBdr>
                    <w:top w:val="none" w:sz="0" w:space="0" w:color="auto"/>
                    <w:left w:val="none" w:sz="0" w:space="0" w:color="auto"/>
                    <w:bottom w:val="none" w:sz="0" w:space="0" w:color="auto"/>
                    <w:right w:val="none" w:sz="0" w:space="0" w:color="auto"/>
                  </w:divBdr>
                  <w:divsChild>
                    <w:div w:id="568461322">
                      <w:marLeft w:val="0"/>
                      <w:marRight w:val="0"/>
                      <w:marTop w:val="0"/>
                      <w:marBottom w:val="0"/>
                      <w:divBdr>
                        <w:top w:val="none" w:sz="0" w:space="0" w:color="auto"/>
                        <w:left w:val="none" w:sz="0" w:space="0" w:color="auto"/>
                        <w:bottom w:val="none" w:sz="0" w:space="0" w:color="auto"/>
                        <w:right w:val="none" w:sz="0" w:space="0" w:color="auto"/>
                      </w:divBdr>
                    </w:div>
                  </w:divsChild>
                </w:div>
                <w:div w:id="19474761">
                  <w:marLeft w:val="0"/>
                  <w:marRight w:val="0"/>
                  <w:marTop w:val="0"/>
                  <w:marBottom w:val="0"/>
                  <w:divBdr>
                    <w:top w:val="none" w:sz="0" w:space="0" w:color="auto"/>
                    <w:left w:val="none" w:sz="0" w:space="0" w:color="auto"/>
                    <w:bottom w:val="none" w:sz="0" w:space="0" w:color="auto"/>
                    <w:right w:val="none" w:sz="0" w:space="0" w:color="auto"/>
                  </w:divBdr>
                  <w:divsChild>
                    <w:div w:id="850340056">
                      <w:marLeft w:val="0"/>
                      <w:marRight w:val="0"/>
                      <w:marTop w:val="0"/>
                      <w:marBottom w:val="0"/>
                      <w:divBdr>
                        <w:top w:val="none" w:sz="0" w:space="0" w:color="auto"/>
                        <w:left w:val="none" w:sz="0" w:space="0" w:color="auto"/>
                        <w:bottom w:val="none" w:sz="0" w:space="0" w:color="auto"/>
                        <w:right w:val="none" w:sz="0" w:space="0" w:color="auto"/>
                      </w:divBdr>
                    </w:div>
                  </w:divsChild>
                </w:div>
                <w:div w:id="20475016">
                  <w:marLeft w:val="0"/>
                  <w:marRight w:val="0"/>
                  <w:marTop w:val="0"/>
                  <w:marBottom w:val="0"/>
                  <w:divBdr>
                    <w:top w:val="none" w:sz="0" w:space="0" w:color="auto"/>
                    <w:left w:val="none" w:sz="0" w:space="0" w:color="auto"/>
                    <w:bottom w:val="none" w:sz="0" w:space="0" w:color="auto"/>
                    <w:right w:val="none" w:sz="0" w:space="0" w:color="auto"/>
                  </w:divBdr>
                  <w:divsChild>
                    <w:div w:id="598678039">
                      <w:marLeft w:val="0"/>
                      <w:marRight w:val="0"/>
                      <w:marTop w:val="0"/>
                      <w:marBottom w:val="0"/>
                      <w:divBdr>
                        <w:top w:val="none" w:sz="0" w:space="0" w:color="auto"/>
                        <w:left w:val="none" w:sz="0" w:space="0" w:color="auto"/>
                        <w:bottom w:val="none" w:sz="0" w:space="0" w:color="auto"/>
                        <w:right w:val="none" w:sz="0" w:space="0" w:color="auto"/>
                      </w:divBdr>
                    </w:div>
                  </w:divsChild>
                </w:div>
                <w:div w:id="27607203">
                  <w:marLeft w:val="0"/>
                  <w:marRight w:val="0"/>
                  <w:marTop w:val="0"/>
                  <w:marBottom w:val="0"/>
                  <w:divBdr>
                    <w:top w:val="none" w:sz="0" w:space="0" w:color="auto"/>
                    <w:left w:val="none" w:sz="0" w:space="0" w:color="auto"/>
                    <w:bottom w:val="none" w:sz="0" w:space="0" w:color="auto"/>
                    <w:right w:val="none" w:sz="0" w:space="0" w:color="auto"/>
                  </w:divBdr>
                  <w:divsChild>
                    <w:div w:id="1129938623">
                      <w:marLeft w:val="0"/>
                      <w:marRight w:val="0"/>
                      <w:marTop w:val="0"/>
                      <w:marBottom w:val="0"/>
                      <w:divBdr>
                        <w:top w:val="none" w:sz="0" w:space="0" w:color="auto"/>
                        <w:left w:val="none" w:sz="0" w:space="0" w:color="auto"/>
                        <w:bottom w:val="none" w:sz="0" w:space="0" w:color="auto"/>
                        <w:right w:val="none" w:sz="0" w:space="0" w:color="auto"/>
                      </w:divBdr>
                    </w:div>
                  </w:divsChild>
                </w:div>
                <w:div w:id="30570999">
                  <w:marLeft w:val="0"/>
                  <w:marRight w:val="0"/>
                  <w:marTop w:val="0"/>
                  <w:marBottom w:val="0"/>
                  <w:divBdr>
                    <w:top w:val="none" w:sz="0" w:space="0" w:color="auto"/>
                    <w:left w:val="none" w:sz="0" w:space="0" w:color="auto"/>
                    <w:bottom w:val="none" w:sz="0" w:space="0" w:color="auto"/>
                    <w:right w:val="none" w:sz="0" w:space="0" w:color="auto"/>
                  </w:divBdr>
                  <w:divsChild>
                    <w:div w:id="1725836918">
                      <w:marLeft w:val="0"/>
                      <w:marRight w:val="0"/>
                      <w:marTop w:val="0"/>
                      <w:marBottom w:val="0"/>
                      <w:divBdr>
                        <w:top w:val="none" w:sz="0" w:space="0" w:color="auto"/>
                        <w:left w:val="none" w:sz="0" w:space="0" w:color="auto"/>
                        <w:bottom w:val="none" w:sz="0" w:space="0" w:color="auto"/>
                        <w:right w:val="none" w:sz="0" w:space="0" w:color="auto"/>
                      </w:divBdr>
                    </w:div>
                  </w:divsChild>
                </w:div>
                <w:div w:id="115219511">
                  <w:marLeft w:val="0"/>
                  <w:marRight w:val="0"/>
                  <w:marTop w:val="0"/>
                  <w:marBottom w:val="0"/>
                  <w:divBdr>
                    <w:top w:val="none" w:sz="0" w:space="0" w:color="auto"/>
                    <w:left w:val="none" w:sz="0" w:space="0" w:color="auto"/>
                    <w:bottom w:val="none" w:sz="0" w:space="0" w:color="auto"/>
                    <w:right w:val="none" w:sz="0" w:space="0" w:color="auto"/>
                  </w:divBdr>
                  <w:divsChild>
                    <w:div w:id="295336525">
                      <w:marLeft w:val="0"/>
                      <w:marRight w:val="0"/>
                      <w:marTop w:val="0"/>
                      <w:marBottom w:val="0"/>
                      <w:divBdr>
                        <w:top w:val="none" w:sz="0" w:space="0" w:color="auto"/>
                        <w:left w:val="none" w:sz="0" w:space="0" w:color="auto"/>
                        <w:bottom w:val="none" w:sz="0" w:space="0" w:color="auto"/>
                        <w:right w:val="none" w:sz="0" w:space="0" w:color="auto"/>
                      </w:divBdr>
                    </w:div>
                  </w:divsChild>
                </w:div>
                <w:div w:id="117994050">
                  <w:marLeft w:val="0"/>
                  <w:marRight w:val="0"/>
                  <w:marTop w:val="0"/>
                  <w:marBottom w:val="0"/>
                  <w:divBdr>
                    <w:top w:val="none" w:sz="0" w:space="0" w:color="auto"/>
                    <w:left w:val="none" w:sz="0" w:space="0" w:color="auto"/>
                    <w:bottom w:val="none" w:sz="0" w:space="0" w:color="auto"/>
                    <w:right w:val="none" w:sz="0" w:space="0" w:color="auto"/>
                  </w:divBdr>
                  <w:divsChild>
                    <w:div w:id="646789991">
                      <w:marLeft w:val="0"/>
                      <w:marRight w:val="0"/>
                      <w:marTop w:val="0"/>
                      <w:marBottom w:val="0"/>
                      <w:divBdr>
                        <w:top w:val="none" w:sz="0" w:space="0" w:color="auto"/>
                        <w:left w:val="none" w:sz="0" w:space="0" w:color="auto"/>
                        <w:bottom w:val="none" w:sz="0" w:space="0" w:color="auto"/>
                        <w:right w:val="none" w:sz="0" w:space="0" w:color="auto"/>
                      </w:divBdr>
                    </w:div>
                  </w:divsChild>
                </w:div>
                <w:div w:id="121003185">
                  <w:marLeft w:val="0"/>
                  <w:marRight w:val="0"/>
                  <w:marTop w:val="0"/>
                  <w:marBottom w:val="0"/>
                  <w:divBdr>
                    <w:top w:val="none" w:sz="0" w:space="0" w:color="auto"/>
                    <w:left w:val="none" w:sz="0" w:space="0" w:color="auto"/>
                    <w:bottom w:val="none" w:sz="0" w:space="0" w:color="auto"/>
                    <w:right w:val="none" w:sz="0" w:space="0" w:color="auto"/>
                  </w:divBdr>
                  <w:divsChild>
                    <w:div w:id="88670508">
                      <w:marLeft w:val="0"/>
                      <w:marRight w:val="0"/>
                      <w:marTop w:val="0"/>
                      <w:marBottom w:val="0"/>
                      <w:divBdr>
                        <w:top w:val="none" w:sz="0" w:space="0" w:color="auto"/>
                        <w:left w:val="none" w:sz="0" w:space="0" w:color="auto"/>
                        <w:bottom w:val="none" w:sz="0" w:space="0" w:color="auto"/>
                        <w:right w:val="none" w:sz="0" w:space="0" w:color="auto"/>
                      </w:divBdr>
                    </w:div>
                  </w:divsChild>
                </w:div>
                <w:div w:id="143939729">
                  <w:marLeft w:val="0"/>
                  <w:marRight w:val="0"/>
                  <w:marTop w:val="0"/>
                  <w:marBottom w:val="0"/>
                  <w:divBdr>
                    <w:top w:val="none" w:sz="0" w:space="0" w:color="auto"/>
                    <w:left w:val="none" w:sz="0" w:space="0" w:color="auto"/>
                    <w:bottom w:val="none" w:sz="0" w:space="0" w:color="auto"/>
                    <w:right w:val="none" w:sz="0" w:space="0" w:color="auto"/>
                  </w:divBdr>
                  <w:divsChild>
                    <w:div w:id="565648660">
                      <w:marLeft w:val="0"/>
                      <w:marRight w:val="0"/>
                      <w:marTop w:val="0"/>
                      <w:marBottom w:val="0"/>
                      <w:divBdr>
                        <w:top w:val="none" w:sz="0" w:space="0" w:color="auto"/>
                        <w:left w:val="none" w:sz="0" w:space="0" w:color="auto"/>
                        <w:bottom w:val="none" w:sz="0" w:space="0" w:color="auto"/>
                        <w:right w:val="none" w:sz="0" w:space="0" w:color="auto"/>
                      </w:divBdr>
                    </w:div>
                  </w:divsChild>
                </w:div>
                <w:div w:id="150752514">
                  <w:marLeft w:val="0"/>
                  <w:marRight w:val="0"/>
                  <w:marTop w:val="0"/>
                  <w:marBottom w:val="0"/>
                  <w:divBdr>
                    <w:top w:val="none" w:sz="0" w:space="0" w:color="auto"/>
                    <w:left w:val="none" w:sz="0" w:space="0" w:color="auto"/>
                    <w:bottom w:val="none" w:sz="0" w:space="0" w:color="auto"/>
                    <w:right w:val="none" w:sz="0" w:space="0" w:color="auto"/>
                  </w:divBdr>
                  <w:divsChild>
                    <w:div w:id="878082040">
                      <w:marLeft w:val="0"/>
                      <w:marRight w:val="0"/>
                      <w:marTop w:val="0"/>
                      <w:marBottom w:val="0"/>
                      <w:divBdr>
                        <w:top w:val="none" w:sz="0" w:space="0" w:color="auto"/>
                        <w:left w:val="none" w:sz="0" w:space="0" w:color="auto"/>
                        <w:bottom w:val="none" w:sz="0" w:space="0" w:color="auto"/>
                        <w:right w:val="none" w:sz="0" w:space="0" w:color="auto"/>
                      </w:divBdr>
                    </w:div>
                  </w:divsChild>
                </w:div>
                <w:div w:id="157427216">
                  <w:marLeft w:val="0"/>
                  <w:marRight w:val="0"/>
                  <w:marTop w:val="0"/>
                  <w:marBottom w:val="0"/>
                  <w:divBdr>
                    <w:top w:val="none" w:sz="0" w:space="0" w:color="auto"/>
                    <w:left w:val="none" w:sz="0" w:space="0" w:color="auto"/>
                    <w:bottom w:val="none" w:sz="0" w:space="0" w:color="auto"/>
                    <w:right w:val="none" w:sz="0" w:space="0" w:color="auto"/>
                  </w:divBdr>
                  <w:divsChild>
                    <w:div w:id="1151100462">
                      <w:marLeft w:val="0"/>
                      <w:marRight w:val="0"/>
                      <w:marTop w:val="0"/>
                      <w:marBottom w:val="0"/>
                      <w:divBdr>
                        <w:top w:val="none" w:sz="0" w:space="0" w:color="auto"/>
                        <w:left w:val="none" w:sz="0" w:space="0" w:color="auto"/>
                        <w:bottom w:val="none" w:sz="0" w:space="0" w:color="auto"/>
                        <w:right w:val="none" w:sz="0" w:space="0" w:color="auto"/>
                      </w:divBdr>
                    </w:div>
                  </w:divsChild>
                </w:div>
                <w:div w:id="157811429">
                  <w:marLeft w:val="0"/>
                  <w:marRight w:val="0"/>
                  <w:marTop w:val="0"/>
                  <w:marBottom w:val="0"/>
                  <w:divBdr>
                    <w:top w:val="none" w:sz="0" w:space="0" w:color="auto"/>
                    <w:left w:val="none" w:sz="0" w:space="0" w:color="auto"/>
                    <w:bottom w:val="none" w:sz="0" w:space="0" w:color="auto"/>
                    <w:right w:val="none" w:sz="0" w:space="0" w:color="auto"/>
                  </w:divBdr>
                  <w:divsChild>
                    <w:div w:id="1228146568">
                      <w:marLeft w:val="0"/>
                      <w:marRight w:val="0"/>
                      <w:marTop w:val="0"/>
                      <w:marBottom w:val="0"/>
                      <w:divBdr>
                        <w:top w:val="none" w:sz="0" w:space="0" w:color="auto"/>
                        <w:left w:val="none" w:sz="0" w:space="0" w:color="auto"/>
                        <w:bottom w:val="none" w:sz="0" w:space="0" w:color="auto"/>
                        <w:right w:val="none" w:sz="0" w:space="0" w:color="auto"/>
                      </w:divBdr>
                    </w:div>
                  </w:divsChild>
                </w:div>
                <w:div w:id="183828831">
                  <w:marLeft w:val="0"/>
                  <w:marRight w:val="0"/>
                  <w:marTop w:val="0"/>
                  <w:marBottom w:val="0"/>
                  <w:divBdr>
                    <w:top w:val="none" w:sz="0" w:space="0" w:color="auto"/>
                    <w:left w:val="none" w:sz="0" w:space="0" w:color="auto"/>
                    <w:bottom w:val="none" w:sz="0" w:space="0" w:color="auto"/>
                    <w:right w:val="none" w:sz="0" w:space="0" w:color="auto"/>
                  </w:divBdr>
                  <w:divsChild>
                    <w:div w:id="1432555091">
                      <w:marLeft w:val="0"/>
                      <w:marRight w:val="0"/>
                      <w:marTop w:val="0"/>
                      <w:marBottom w:val="0"/>
                      <w:divBdr>
                        <w:top w:val="none" w:sz="0" w:space="0" w:color="auto"/>
                        <w:left w:val="none" w:sz="0" w:space="0" w:color="auto"/>
                        <w:bottom w:val="none" w:sz="0" w:space="0" w:color="auto"/>
                        <w:right w:val="none" w:sz="0" w:space="0" w:color="auto"/>
                      </w:divBdr>
                    </w:div>
                  </w:divsChild>
                </w:div>
                <w:div w:id="190799064">
                  <w:marLeft w:val="0"/>
                  <w:marRight w:val="0"/>
                  <w:marTop w:val="0"/>
                  <w:marBottom w:val="0"/>
                  <w:divBdr>
                    <w:top w:val="none" w:sz="0" w:space="0" w:color="auto"/>
                    <w:left w:val="none" w:sz="0" w:space="0" w:color="auto"/>
                    <w:bottom w:val="none" w:sz="0" w:space="0" w:color="auto"/>
                    <w:right w:val="none" w:sz="0" w:space="0" w:color="auto"/>
                  </w:divBdr>
                  <w:divsChild>
                    <w:div w:id="85149431">
                      <w:marLeft w:val="0"/>
                      <w:marRight w:val="0"/>
                      <w:marTop w:val="0"/>
                      <w:marBottom w:val="0"/>
                      <w:divBdr>
                        <w:top w:val="none" w:sz="0" w:space="0" w:color="auto"/>
                        <w:left w:val="none" w:sz="0" w:space="0" w:color="auto"/>
                        <w:bottom w:val="none" w:sz="0" w:space="0" w:color="auto"/>
                        <w:right w:val="none" w:sz="0" w:space="0" w:color="auto"/>
                      </w:divBdr>
                    </w:div>
                  </w:divsChild>
                </w:div>
                <w:div w:id="204487573">
                  <w:marLeft w:val="0"/>
                  <w:marRight w:val="0"/>
                  <w:marTop w:val="0"/>
                  <w:marBottom w:val="0"/>
                  <w:divBdr>
                    <w:top w:val="none" w:sz="0" w:space="0" w:color="auto"/>
                    <w:left w:val="none" w:sz="0" w:space="0" w:color="auto"/>
                    <w:bottom w:val="none" w:sz="0" w:space="0" w:color="auto"/>
                    <w:right w:val="none" w:sz="0" w:space="0" w:color="auto"/>
                  </w:divBdr>
                  <w:divsChild>
                    <w:div w:id="1378315579">
                      <w:marLeft w:val="0"/>
                      <w:marRight w:val="0"/>
                      <w:marTop w:val="0"/>
                      <w:marBottom w:val="0"/>
                      <w:divBdr>
                        <w:top w:val="none" w:sz="0" w:space="0" w:color="auto"/>
                        <w:left w:val="none" w:sz="0" w:space="0" w:color="auto"/>
                        <w:bottom w:val="none" w:sz="0" w:space="0" w:color="auto"/>
                        <w:right w:val="none" w:sz="0" w:space="0" w:color="auto"/>
                      </w:divBdr>
                    </w:div>
                  </w:divsChild>
                </w:div>
                <w:div w:id="211043970">
                  <w:marLeft w:val="0"/>
                  <w:marRight w:val="0"/>
                  <w:marTop w:val="0"/>
                  <w:marBottom w:val="0"/>
                  <w:divBdr>
                    <w:top w:val="none" w:sz="0" w:space="0" w:color="auto"/>
                    <w:left w:val="none" w:sz="0" w:space="0" w:color="auto"/>
                    <w:bottom w:val="none" w:sz="0" w:space="0" w:color="auto"/>
                    <w:right w:val="none" w:sz="0" w:space="0" w:color="auto"/>
                  </w:divBdr>
                  <w:divsChild>
                    <w:div w:id="1028138771">
                      <w:marLeft w:val="0"/>
                      <w:marRight w:val="0"/>
                      <w:marTop w:val="0"/>
                      <w:marBottom w:val="0"/>
                      <w:divBdr>
                        <w:top w:val="none" w:sz="0" w:space="0" w:color="auto"/>
                        <w:left w:val="none" w:sz="0" w:space="0" w:color="auto"/>
                        <w:bottom w:val="none" w:sz="0" w:space="0" w:color="auto"/>
                        <w:right w:val="none" w:sz="0" w:space="0" w:color="auto"/>
                      </w:divBdr>
                    </w:div>
                  </w:divsChild>
                </w:div>
                <w:div w:id="224729958">
                  <w:marLeft w:val="0"/>
                  <w:marRight w:val="0"/>
                  <w:marTop w:val="0"/>
                  <w:marBottom w:val="0"/>
                  <w:divBdr>
                    <w:top w:val="none" w:sz="0" w:space="0" w:color="auto"/>
                    <w:left w:val="none" w:sz="0" w:space="0" w:color="auto"/>
                    <w:bottom w:val="none" w:sz="0" w:space="0" w:color="auto"/>
                    <w:right w:val="none" w:sz="0" w:space="0" w:color="auto"/>
                  </w:divBdr>
                  <w:divsChild>
                    <w:div w:id="1827821184">
                      <w:marLeft w:val="0"/>
                      <w:marRight w:val="0"/>
                      <w:marTop w:val="0"/>
                      <w:marBottom w:val="0"/>
                      <w:divBdr>
                        <w:top w:val="none" w:sz="0" w:space="0" w:color="auto"/>
                        <w:left w:val="none" w:sz="0" w:space="0" w:color="auto"/>
                        <w:bottom w:val="none" w:sz="0" w:space="0" w:color="auto"/>
                        <w:right w:val="none" w:sz="0" w:space="0" w:color="auto"/>
                      </w:divBdr>
                    </w:div>
                  </w:divsChild>
                </w:div>
                <w:div w:id="238444187">
                  <w:marLeft w:val="0"/>
                  <w:marRight w:val="0"/>
                  <w:marTop w:val="0"/>
                  <w:marBottom w:val="0"/>
                  <w:divBdr>
                    <w:top w:val="none" w:sz="0" w:space="0" w:color="auto"/>
                    <w:left w:val="none" w:sz="0" w:space="0" w:color="auto"/>
                    <w:bottom w:val="none" w:sz="0" w:space="0" w:color="auto"/>
                    <w:right w:val="none" w:sz="0" w:space="0" w:color="auto"/>
                  </w:divBdr>
                  <w:divsChild>
                    <w:div w:id="390926200">
                      <w:marLeft w:val="0"/>
                      <w:marRight w:val="0"/>
                      <w:marTop w:val="0"/>
                      <w:marBottom w:val="0"/>
                      <w:divBdr>
                        <w:top w:val="none" w:sz="0" w:space="0" w:color="auto"/>
                        <w:left w:val="none" w:sz="0" w:space="0" w:color="auto"/>
                        <w:bottom w:val="none" w:sz="0" w:space="0" w:color="auto"/>
                        <w:right w:val="none" w:sz="0" w:space="0" w:color="auto"/>
                      </w:divBdr>
                    </w:div>
                  </w:divsChild>
                </w:div>
                <w:div w:id="266354533">
                  <w:marLeft w:val="0"/>
                  <w:marRight w:val="0"/>
                  <w:marTop w:val="0"/>
                  <w:marBottom w:val="0"/>
                  <w:divBdr>
                    <w:top w:val="none" w:sz="0" w:space="0" w:color="auto"/>
                    <w:left w:val="none" w:sz="0" w:space="0" w:color="auto"/>
                    <w:bottom w:val="none" w:sz="0" w:space="0" w:color="auto"/>
                    <w:right w:val="none" w:sz="0" w:space="0" w:color="auto"/>
                  </w:divBdr>
                  <w:divsChild>
                    <w:div w:id="1905486252">
                      <w:marLeft w:val="0"/>
                      <w:marRight w:val="0"/>
                      <w:marTop w:val="0"/>
                      <w:marBottom w:val="0"/>
                      <w:divBdr>
                        <w:top w:val="none" w:sz="0" w:space="0" w:color="auto"/>
                        <w:left w:val="none" w:sz="0" w:space="0" w:color="auto"/>
                        <w:bottom w:val="none" w:sz="0" w:space="0" w:color="auto"/>
                        <w:right w:val="none" w:sz="0" w:space="0" w:color="auto"/>
                      </w:divBdr>
                    </w:div>
                  </w:divsChild>
                </w:div>
                <w:div w:id="346442822">
                  <w:marLeft w:val="0"/>
                  <w:marRight w:val="0"/>
                  <w:marTop w:val="0"/>
                  <w:marBottom w:val="0"/>
                  <w:divBdr>
                    <w:top w:val="none" w:sz="0" w:space="0" w:color="auto"/>
                    <w:left w:val="none" w:sz="0" w:space="0" w:color="auto"/>
                    <w:bottom w:val="none" w:sz="0" w:space="0" w:color="auto"/>
                    <w:right w:val="none" w:sz="0" w:space="0" w:color="auto"/>
                  </w:divBdr>
                  <w:divsChild>
                    <w:div w:id="541599690">
                      <w:marLeft w:val="0"/>
                      <w:marRight w:val="0"/>
                      <w:marTop w:val="0"/>
                      <w:marBottom w:val="0"/>
                      <w:divBdr>
                        <w:top w:val="none" w:sz="0" w:space="0" w:color="auto"/>
                        <w:left w:val="none" w:sz="0" w:space="0" w:color="auto"/>
                        <w:bottom w:val="none" w:sz="0" w:space="0" w:color="auto"/>
                        <w:right w:val="none" w:sz="0" w:space="0" w:color="auto"/>
                      </w:divBdr>
                    </w:div>
                  </w:divsChild>
                </w:div>
                <w:div w:id="358239262">
                  <w:marLeft w:val="0"/>
                  <w:marRight w:val="0"/>
                  <w:marTop w:val="0"/>
                  <w:marBottom w:val="0"/>
                  <w:divBdr>
                    <w:top w:val="none" w:sz="0" w:space="0" w:color="auto"/>
                    <w:left w:val="none" w:sz="0" w:space="0" w:color="auto"/>
                    <w:bottom w:val="none" w:sz="0" w:space="0" w:color="auto"/>
                    <w:right w:val="none" w:sz="0" w:space="0" w:color="auto"/>
                  </w:divBdr>
                  <w:divsChild>
                    <w:div w:id="821700951">
                      <w:marLeft w:val="0"/>
                      <w:marRight w:val="0"/>
                      <w:marTop w:val="0"/>
                      <w:marBottom w:val="0"/>
                      <w:divBdr>
                        <w:top w:val="none" w:sz="0" w:space="0" w:color="auto"/>
                        <w:left w:val="none" w:sz="0" w:space="0" w:color="auto"/>
                        <w:bottom w:val="none" w:sz="0" w:space="0" w:color="auto"/>
                        <w:right w:val="none" w:sz="0" w:space="0" w:color="auto"/>
                      </w:divBdr>
                    </w:div>
                  </w:divsChild>
                </w:div>
                <w:div w:id="358505211">
                  <w:marLeft w:val="0"/>
                  <w:marRight w:val="0"/>
                  <w:marTop w:val="0"/>
                  <w:marBottom w:val="0"/>
                  <w:divBdr>
                    <w:top w:val="none" w:sz="0" w:space="0" w:color="auto"/>
                    <w:left w:val="none" w:sz="0" w:space="0" w:color="auto"/>
                    <w:bottom w:val="none" w:sz="0" w:space="0" w:color="auto"/>
                    <w:right w:val="none" w:sz="0" w:space="0" w:color="auto"/>
                  </w:divBdr>
                  <w:divsChild>
                    <w:div w:id="1555774265">
                      <w:marLeft w:val="0"/>
                      <w:marRight w:val="0"/>
                      <w:marTop w:val="0"/>
                      <w:marBottom w:val="0"/>
                      <w:divBdr>
                        <w:top w:val="none" w:sz="0" w:space="0" w:color="auto"/>
                        <w:left w:val="none" w:sz="0" w:space="0" w:color="auto"/>
                        <w:bottom w:val="none" w:sz="0" w:space="0" w:color="auto"/>
                        <w:right w:val="none" w:sz="0" w:space="0" w:color="auto"/>
                      </w:divBdr>
                    </w:div>
                  </w:divsChild>
                </w:div>
                <w:div w:id="387802185">
                  <w:marLeft w:val="0"/>
                  <w:marRight w:val="0"/>
                  <w:marTop w:val="0"/>
                  <w:marBottom w:val="0"/>
                  <w:divBdr>
                    <w:top w:val="none" w:sz="0" w:space="0" w:color="auto"/>
                    <w:left w:val="none" w:sz="0" w:space="0" w:color="auto"/>
                    <w:bottom w:val="none" w:sz="0" w:space="0" w:color="auto"/>
                    <w:right w:val="none" w:sz="0" w:space="0" w:color="auto"/>
                  </w:divBdr>
                  <w:divsChild>
                    <w:div w:id="558369153">
                      <w:marLeft w:val="0"/>
                      <w:marRight w:val="0"/>
                      <w:marTop w:val="0"/>
                      <w:marBottom w:val="0"/>
                      <w:divBdr>
                        <w:top w:val="none" w:sz="0" w:space="0" w:color="auto"/>
                        <w:left w:val="none" w:sz="0" w:space="0" w:color="auto"/>
                        <w:bottom w:val="none" w:sz="0" w:space="0" w:color="auto"/>
                        <w:right w:val="none" w:sz="0" w:space="0" w:color="auto"/>
                      </w:divBdr>
                    </w:div>
                    <w:div w:id="676154481">
                      <w:marLeft w:val="0"/>
                      <w:marRight w:val="0"/>
                      <w:marTop w:val="0"/>
                      <w:marBottom w:val="0"/>
                      <w:divBdr>
                        <w:top w:val="none" w:sz="0" w:space="0" w:color="auto"/>
                        <w:left w:val="none" w:sz="0" w:space="0" w:color="auto"/>
                        <w:bottom w:val="none" w:sz="0" w:space="0" w:color="auto"/>
                        <w:right w:val="none" w:sz="0" w:space="0" w:color="auto"/>
                      </w:divBdr>
                    </w:div>
                  </w:divsChild>
                </w:div>
                <w:div w:id="401484104">
                  <w:marLeft w:val="0"/>
                  <w:marRight w:val="0"/>
                  <w:marTop w:val="0"/>
                  <w:marBottom w:val="0"/>
                  <w:divBdr>
                    <w:top w:val="none" w:sz="0" w:space="0" w:color="auto"/>
                    <w:left w:val="none" w:sz="0" w:space="0" w:color="auto"/>
                    <w:bottom w:val="none" w:sz="0" w:space="0" w:color="auto"/>
                    <w:right w:val="none" w:sz="0" w:space="0" w:color="auto"/>
                  </w:divBdr>
                  <w:divsChild>
                    <w:div w:id="156041387">
                      <w:marLeft w:val="0"/>
                      <w:marRight w:val="0"/>
                      <w:marTop w:val="0"/>
                      <w:marBottom w:val="0"/>
                      <w:divBdr>
                        <w:top w:val="none" w:sz="0" w:space="0" w:color="auto"/>
                        <w:left w:val="none" w:sz="0" w:space="0" w:color="auto"/>
                        <w:bottom w:val="none" w:sz="0" w:space="0" w:color="auto"/>
                        <w:right w:val="none" w:sz="0" w:space="0" w:color="auto"/>
                      </w:divBdr>
                    </w:div>
                  </w:divsChild>
                </w:div>
                <w:div w:id="413941305">
                  <w:marLeft w:val="0"/>
                  <w:marRight w:val="0"/>
                  <w:marTop w:val="0"/>
                  <w:marBottom w:val="0"/>
                  <w:divBdr>
                    <w:top w:val="none" w:sz="0" w:space="0" w:color="auto"/>
                    <w:left w:val="none" w:sz="0" w:space="0" w:color="auto"/>
                    <w:bottom w:val="none" w:sz="0" w:space="0" w:color="auto"/>
                    <w:right w:val="none" w:sz="0" w:space="0" w:color="auto"/>
                  </w:divBdr>
                  <w:divsChild>
                    <w:div w:id="303314538">
                      <w:marLeft w:val="0"/>
                      <w:marRight w:val="0"/>
                      <w:marTop w:val="0"/>
                      <w:marBottom w:val="0"/>
                      <w:divBdr>
                        <w:top w:val="none" w:sz="0" w:space="0" w:color="auto"/>
                        <w:left w:val="none" w:sz="0" w:space="0" w:color="auto"/>
                        <w:bottom w:val="none" w:sz="0" w:space="0" w:color="auto"/>
                        <w:right w:val="none" w:sz="0" w:space="0" w:color="auto"/>
                      </w:divBdr>
                    </w:div>
                  </w:divsChild>
                </w:div>
                <w:div w:id="453058728">
                  <w:marLeft w:val="0"/>
                  <w:marRight w:val="0"/>
                  <w:marTop w:val="0"/>
                  <w:marBottom w:val="0"/>
                  <w:divBdr>
                    <w:top w:val="none" w:sz="0" w:space="0" w:color="auto"/>
                    <w:left w:val="none" w:sz="0" w:space="0" w:color="auto"/>
                    <w:bottom w:val="none" w:sz="0" w:space="0" w:color="auto"/>
                    <w:right w:val="none" w:sz="0" w:space="0" w:color="auto"/>
                  </w:divBdr>
                  <w:divsChild>
                    <w:div w:id="1179351566">
                      <w:marLeft w:val="0"/>
                      <w:marRight w:val="0"/>
                      <w:marTop w:val="0"/>
                      <w:marBottom w:val="0"/>
                      <w:divBdr>
                        <w:top w:val="none" w:sz="0" w:space="0" w:color="auto"/>
                        <w:left w:val="none" w:sz="0" w:space="0" w:color="auto"/>
                        <w:bottom w:val="none" w:sz="0" w:space="0" w:color="auto"/>
                        <w:right w:val="none" w:sz="0" w:space="0" w:color="auto"/>
                      </w:divBdr>
                    </w:div>
                  </w:divsChild>
                </w:div>
                <w:div w:id="456685900">
                  <w:marLeft w:val="0"/>
                  <w:marRight w:val="0"/>
                  <w:marTop w:val="0"/>
                  <w:marBottom w:val="0"/>
                  <w:divBdr>
                    <w:top w:val="none" w:sz="0" w:space="0" w:color="auto"/>
                    <w:left w:val="none" w:sz="0" w:space="0" w:color="auto"/>
                    <w:bottom w:val="none" w:sz="0" w:space="0" w:color="auto"/>
                    <w:right w:val="none" w:sz="0" w:space="0" w:color="auto"/>
                  </w:divBdr>
                  <w:divsChild>
                    <w:div w:id="539826859">
                      <w:marLeft w:val="0"/>
                      <w:marRight w:val="0"/>
                      <w:marTop w:val="0"/>
                      <w:marBottom w:val="0"/>
                      <w:divBdr>
                        <w:top w:val="none" w:sz="0" w:space="0" w:color="auto"/>
                        <w:left w:val="none" w:sz="0" w:space="0" w:color="auto"/>
                        <w:bottom w:val="none" w:sz="0" w:space="0" w:color="auto"/>
                        <w:right w:val="none" w:sz="0" w:space="0" w:color="auto"/>
                      </w:divBdr>
                    </w:div>
                  </w:divsChild>
                </w:div>
                <w:div w:id="486362948">
                  <w:marLeft w:val="0"/>
                  <w:marRight w:val="0"/>
                  <w:marTop w:val="0"/>
                  <w:marBottom w:val="0"/>
                  <w:divBdr>
                    <w:top w:val="none" w:sz="0" w:space="0" w:color="auto"/>
                    <w:left w:val="none" w:sz="0" w:space="0" w:color="auto"/>
                    <w:bottom w:val="none" w:sz="0" w:space="0" w:color="auto"/>
                    <w:right w:val="none" w:sz="0" w:space="0" w:color="auto"/>
                  </w:divBdr>
                  <w:divsChild>
                    <w:div w:id="1558323126">
                      <w:marLeft w:val="0"/>
                      <w:marRight w:val="0"/>
                      <w:marTop w:val="0"/>
                      <w:marBottom w:val="0"/>
                      <w:divBdr>
                        <w:top w:val="none" w:sz="0" w:space="0" w:color="auto"/>
                        <w:left w:val="none" w:sz="0" w:space="0" w:color="auto"/>
                        <w:bottom w:val="none" w:sz="0" w:space="0" w:color="auto"/>
                        <w:right w:val="none" w:sz="0" w:space="0" w:color="auto"/>
                      </w:divBdr>
                    </w:div>
                  </w:divsChild>
                </w:div>
                <w:div w:id="494808555">
                  <w:marLeft w:val="0"/>
                  <w:marRight w:val="0"/>
                  <w:marTop w:val="0"/>
                  <w:marBottom w:val="0"/>
                  <w:divBdr>
                    <w:top w:val="none" w:sz="0" w:space="0" w:color="auto"/>
                    <w:left w:val="none" w:sz="0" w:space="0" w:color="auto"/>
                    <w:bottom w:val="none" w:sz="0" w:space="0" w:color="auto"/>
                    <w:right w:val="none" w:sz="0" w:space="0" w:color="auto"/>
                  </w:divBdr>
                  <w:divsChild>
                    <w:div w:id="1960137811">
                      <w:marLeft w:val="0"/>
                      <w:marRight w:val="0"/>
                      <w:marTop w:val="0"/>
                      <w:marBottom w:val="0"/>
                      <w:divBdr>
                        <w:top w:val="none" w:sz="0" w:space="0" w:color="auto"/>
                        <w:left w:val="none" w:sz="0" w:space="0" w:color="auto"/>
                        <w:bottom w:val="none" w:sz="0" w:space="0" w:color="auto"/>
                        <w:right w:val="none" w:sz="0" w:space="0" w:color="auto"/>
                      </w:divBdr>
                    </w:div>
                  </w:divsChild>
                </w:div>
                <w:div w:id="518085664">
                  <w:marLeft w:val="0"/>
                  <w:marRight w:val="0"/>
                  <w:marTop w:val="0"/>
                  <w:marBottom w:val="0"/>
                  <w:divBdr>
                    <w:top w:val="none" w:sz="0" w:space="0" w:color="auto"/>
                    <w:left w:val="none" w:sz="0" w:space="0" w:color="auto"/>
                    <w:bottom w:val="none" w:sz="0" w:space="0" w:color="auto"/>
                    <w:right w:val="none" w:sz="0" w:space="0" w:color="auto"/>
                  </w:divBdr>
                  <w:divsChild>
                    <w:div w:id="489566843">
                      <w:marLeft w:val="0"/>
                      <w:marRight w:val="0"/>
                      <w:marTop w:val="0"/>
                      <w:marBottom w:val="0"/>
                      <w:divBdr>
                        <w:top w:val="none" w:sz="0" w:space="0" w:color="auto"/>
                        <w:left w:val="none" w:sz="0" w:space="0" w:color="auto"/>
                        <w:bottom w:val="none" w:sz="0" w:space="0" w:color="auto"/>
                        <w:right w:val="none" w:sz="0" w:space="0" w:color="auto"/>
                      </w:divBdr>
                    </w:div>
                  </w:divsChild>
                </w:div>
                <w:div w:id="548492432">
                  <w:marLeft w:val="0"/>
                  <w:marRight w:val="0"/>
                  <w:marTop w:val="0"/>
                  <w:marBottom w:val="0"/>
                  <w:divBdr>
                    <w:top w:val="none" w:sz="0" w:space="0" w:color="auto"/>
                    <w:left w:val="none" w:sz="0" w:space="0" w:color="auto"/>
                    <w:bottom w:val="none" w:sz="0" w:space="0" w:color="auto"/>
                    <w:right w:val="none" w:sz="0" w:space="0" w:color="auto"/>
                  </w:divBdr>
                  <w:divsChild>
                    <w:div w:id="2032797240">
                      <w:marLeft w:val="0"/>
                      <w:marRight w:val="0"/>
                      <w:marTop w:val="0"/>
                      <w:marBottom w:val="0"/>
                      <w:divBdr>
                        <w:top w:val="none" w:sz="0" w:space="0" w:color="auto"/>
                        <w:left w:val="none" w:sz="0" w:space="0" w:color="auto"/>
                        <w:bottom w:val="none" w:sz="0" w:space="0" w:color="auto"/>
                        <w:right w:val="none" w:sz="0" w:space="0" w:color="auto"/>
                      </w:divBdr>
                    </w:div>
                  </w:divsChild>
                </w:div>
                <w:div w:id="557207117">
                  <w:marLeft w:val="0"/>
                  <w:marRight w:val="0"/>
                  <w:marTop w:val="0"/>
                  <w:marBottom w:val="0"/>
                  <w:divBdr>
                    <w:top w:val="none" w:sz="0" w:space="0" w:color="auto"/>
                    <w:left w:val="none" w:sz="0" w:space="0" w:color="auto"/>
                    <w:bottom w:val="none" w:sz="0" w:space="0" w:color="auto"/>
                    <w:right w:val="none" w:sz="0" w:space="0" w:color="auto"/>
                  </w:divBdr>
                  <w:divsChild>
                    <w:div w:id="1185633196">
                      <w:marLeft w:val="0"/>
                      <w:marRight w:val="0"/>
                      <w:marTop w:val="0"/>
                      <w:marBottom w:val="0"/>
                      <w:divBdr>
                        <w:top w:val="none" w:sz="0" w:space="0" w:color="auto"/>
                        <w:left w:val="none" w:sz="0" w:space="0" w:color="auto"/>
                        <w:bottom w:val="none" w:sz="0" w:space="0" w:color="auto"/>
                        <w:right w:val="none" w:sz="0" w:space="0" w:color="auto"/>
                      </w:divBdr>
                    </w:div>
                  </w:divsChild>
                </w:div>
                <w:div w:id="602035906">
                  <w:marLeft w:val="0"/>
                  <w:marRight w:val="0"/>
                  <w:marTop w:val="0"/>
                  <w:marBottom w:val="0"/>
                  <w:divBdr>
                    <w:top w:val="none" w:sz="0" w:space="0" w:color="auto"/>
                    <w:left w:val="none" w:sz="0" w:space="0" w:color="auto"/>
                    <w:bottom w:val="none" w:sz="0" w:space="0" w:color="auto"/>
                    <w:right w:val="none" w:sz="0" w:space="0" w:color="auto"/>
                  </w:divBdr>
                  <w:divsChild>
                    <w:div w:id="1165241234">
                      <w:marLeft w:val="0"/>
                      <w:marRight w:val="0"/>
                      <w:marTop w:val="0"/>
                      <w:marBottom w:val="0"/>
                      <w:divBdr>
                        <w:top w:val="none" w:sz="0" w:space="0" w:color="auto"/>
                        <w:left w:val="none" w:sz="0" w:space="0" w:color="auto"/>
                        <w:bottom w:val="none" w:sz="0" w:space="0" w:color="auto"/>
                        <w:right w:val="none" w:sz="0" w:space="0" w:color="auto"/>
                      </w:divBdr>
                    </w:div>
                  </w:divsChild>
                </w:div>
                <w:div w:id="603224867">
                  <w:marLeft w:val="0"/>
                  <w:marRight w:val="0"/>
                  <w:marTop w:val="0"/>
                  <w:marBottom w:val="0"/>
                  <w:divBdr>
                    <w:top w:val="none" w:sz="0" w:space="0" w:color="auto"/>
                    <w:left w:val="none" w:sz="0" w:space="0" w:color="auto"/>
                    <w:bottom w:val="none" w:sz="0" w:space="0" w:color="auto"/>
                    <w:right w:val="none" w:sz="0" w:space="0" w:color="auto"/>
                  </w:divBdr>
                  <w:divsChild>
                    <w:div w:id="591550411">
                      <w:marLeft w:val="0"/>
                      <w:marRight w:val="0"/>
                      <w:marTop w:val="0"/>
                      <w:marBottom w:val="0"/>
                      <w:divBdr>
                        <w:top w:val="none" w:sz="0" w:space="0" w:color="auto"/>
                        <w:left w:val="none" w:sz="0" w:space="0" w:color="auto"/>
                        <w:bottom w:val="none" w:sz="0" w:space="0" w:color="auto"/>
                        <w:right w:val="none" w:sz="0" w:space="0" w:color="auto"/>
                      </w:divBdr>
                    </w:div>
                  </w:divsChild>
                </w:div>
                <w:div w:id="609554471">
                  <w:marLeft w:val="0"/>
                  <w:marRight w:val="0"/>
                  <w:marTop w:val="0"/>
                  <w:marBottom w:val="0"/>
                  <w:divBdr>
                    <w:top w:val="none" w:sz="0" w:space="0" w:color="auto"/>
                    <w:left w:val="none" w:sz="0" w:space="0" w:color="auto"/>
                    <w:bottom w:val="none" w:sz="0" w:space="0" w:color="auto"/>
                    <w:right w:val="none" w:sz="0" w:space="0" w:color="auto"/>
                  </w:divBdr>
                  <w:divsChild>
                    <w:div w:id="6249329">
                      <w:marLeft w:val="0"/>
                      <w:marRight w:val="0"/>
                      <w:marTop w:val="0"/>
                      <w:marBottom w:val="0"/>
                      <w:divBdr>
                        <w:top w:val="none" w:sz="0" w:space="0" w:color="auto"/>
                        <w:left w:val="none" w:sz="0" w:space="0" w:color="auto"/>
                        <w:bottom w:val="none" w:sz="0" w:space="0" w:color="auto"/>
                        <w:right w:val="none" w:sz="0" w:space="0" w:color="auto"/>
                      </w:divBdr>
                    </w:div>
                  </w:divsChild>
                </w:div>
                <w:div w:id="615985894">
                  <w:marLeft w:val="0"/>
                  <w:marRight w:val="0"/>
                  <w:marTop w:val="0"/>
                  <w:marBottom w:val="0"/>
                  <w:divBdr>
                    <w:top w:val="none" w:sz="0" w:space="0" w:color="auto"/>
                    <w:left w:val="none" w:sz="0" w:space="0" w:color="auto"/>
                    <w:bottom w:val="none" w:sz="0" w:space="0" w:color="auto"/>
                    <w:right w:val="none" w:sz="0" w:space="0" w:color="auto"/>
                  </w:divBdr>
                  <w:divsChild>
                    <w:div w:id="1327977078">
                      <w:marLeft w:val="0"/>
                      <w:marRight w:val="0"/>
                      <w:marTop w:val="0"/>
                      <w:marBottom w:val="0"/>
                      <w:divBdr>
                        <w:top w:val="none" w:sz="0" w:space="0" w:color="auto"/>
                        <w:left w:val="none" w:sz="0" w:space="0" w:color="auto"/>
                        <w:bottom w:val="none" w:sz="0" w:space="0" w:color="auto"/>
                        <w:right w:val="none" w:sz="0" w:space="0" w:color="auto"/>
                      </w:divBdr>
                    </w:div>
                  </w:divsChild>
                </w:div>
                <w:div w:id="621351559">
                  <w:marLeft w:val="0"/>
                  <w:marRight w:val="0"/>
                  <w:marTop w:val="0"/>
                  <w:marBottom w:val="0"/>
                  <w:divBdr>
                    <w:top w:val="none" w:sz="0" w:space="0" w:color="auto"/>
                    <w:left w:val="none" w:sz="0" w:space="0" w:color="auto"/>
                    <w:bottom w:val="none" w:sz="0" w:space="0" w:color="auto"/>
                    <w:right w:val="none" w:sz="0" w:space="0" w:color="auto"/>
                  </w:divBdr>
                  <w:divsChild>
                    <w:div w:id="1618685125">
                      <w:marLeft w:val="0"/>
                      <w:marRight w:val="0"/>
                      <w:marTop w:val="0"/>
                      <w:marBottom w:val="0"/>
                      <w:divBdr>
                        <w:top w:val="none" w:sz="0" w:space="0" w:color="auto"/>
                        <w:left w:val="none" w:sz="0" w:space="0" w:color="auto"/>
                        <w:bottom w:val="none" w:sz="0" w:space="0" w:color="auto"/>
                        <w:right w:val="none" w:sz="0" w:space="0" w:color="auto"/>
                      </w:divBdr>
                    </w:div>
                  </w:divsChild>
                </w:div>
                <w:div w:id="629480054">
                  <w:marLeft w:val="0"/>
                  <w:marRight w:val="0"/>
                  <w:marTop w:val="0"/>
                  <w:marBottom w:val="0"/>
                  <w:divBdr>
                    <w:top w:val="none" w:sz="0" w:space="0" w:color="auto"/>
                    <w:left w:val="none" w:sz="0" w:space="0" w:color="auto"/>
                    <w:bottom w:val="none" w:sz="0" w:space="0" w:color="auto"/>
                    <w:right w:val="none" w:sz="0" w:space="0" w:color="auto"/>
                  </w:divBdr>
                  <w:divsChild>
                    <w:div w:id="1329098814">
                      <w:marLeft w:val="0"/>
                      <w:marRight w:val="0"/>
                      <w:marTop w:val="0"/>
                      <w:marBottom w:val="0"/>
                      <w:divBdr>
                        <w:top w:val="none" w:sz="0" w:space="0" w:color="auto"/>
                        <w:left w:val="none" w:sz="0" w:space="0" w:color="auto"/>
                        <w:bottom w:val="none" w:sz="0" w:space="0" w:color="auto"/>
                        <w:right w:val="none" w:sz="0" w:space="0" w:color="auto"/>
                      </w:divBdr>
                    </w:div>
                  </w:divsChild>
                </w:div>
                <w:div w:id="637955308">
                  <w:marLeft w:val="0"/>
                  <w:marRight w:val="0"/>
                  <w:marTop w:val="0"/>
                  <w:marBottom w:val="0"/>
                  <w:divBdr>
                    <w:top w:val="none" w:sz="0" w:space="0" w:color="auto"/>
                    <w:left w:val="none" w:sz="0" w:space="0" w:color="auto"/>
                    <w:bottom w:val="none" w:sz="0" w:space="0" w:color="auto"/>
                    <w:right w:val="none" w:sz="0" w:space="0" w:color="auto"/>
                  </w:divBdr>
                  <w:divsChild>
                    <w:div w:id="623198737">
                      <w:marLeft w:val="0"/>
                      <w:marRight w:val="0"/>
                      <w:marTop w:val="0"/>
                      <w:marBottom w:val="0"/>
                      <w:divBdr>
                        <w:top w:val="none" w:sz="0" w:space="0" w:color="auto"/>
                        <w:left w:val="none" w:sz="0" w:space="0" w:color="auto"/>
                        <w:bottom w:val="none" w:sz="0" w:space="0" w:color="auto"/>
                        <w:right w:val="none" w:sz="0" w:space="0" w:color="auto"/>
                      </w:divBdr>
                    </w:div>
                  </w:divsChild>
                </w:div>
                <w:div w:id="645085561">
                  <w:marLeft w:val="0"/>
                  <w:marRight w:val="0"/>
                  <w:marTop w:val="0"/>
                  <w:marBottom w:val="0"/>
                  <w:divBdr>
                    <w:top w:val="none" w:sz="0" w:space="0" w:color="auto"/>
                    <w:left w:val="none" w:sz="0" w:space="0" w:color="auto"/>
                    <w:bottom w:val="none" w:sz="0" w:space="0" w:color="auto"/>
                    <w:right w:val="none" w:sz="0" w:space="0" w:color="auto"/>
                  </w:divBdr>
                  <w:divsChild>
                    <w:div w:id="1250581608">
                      <w:marLeft w:val="0"/>
                      <w:marRight w:val="0"/>
                      <w:marTop w:val="0"/>
                      <w:marBottom w:val="0"/>
                      <w:divBdr>
                        <w:top w:val="none" w:sz="0" w:space="0" w:color="auto"/>
                        <w:left w:val="none" w:sz="0" w:space="0" w:color="auto"/>
                        <w:bottom w:val="none" w:sz="0" w:space="0" w:color="auto"/>
                        <w:right w:val="none" w:sz="0" w:space="0" w:color="auto"/>
                      </w:divBdr>
                    </w:div>
                  </w:divsChild>
                </w:div>
                <w:div w:id="653875706">
                  <w:marLeft w:val="0"/>
                  <w:marRight w:val="0"/>
                  <w:marTop w:val="0"/>
                  <w:marBottom w:val="0"/>
                  <w:divBdr>
                    <w:top w:val="none" w:sz="0" w:space="0" w:color="auto"/>
                    <w:left w:val="none" w:sz="0" w:space="0" w:color="auto"/>
                    <w:bottom w:val="none" w:sz="0" w:space="0" w:color="auto"/>
                    <w:right w:val="none" w:sz="0" w:space="0" w:color="auto"/>
                  </w:divBdr>
                  <w:divsChild>
                    <w:div w:id="976761197">
                      <w:marLeft w:val="0"/>
                      <w:marRight w:val="0"/>
                      <w:marTop w:val="0"/>
                      <w:marBottom w:val="0"/>
                      <w:divBdr>
                        <w:top w:val="none" w:sz="0" w:space="0" w:color="auto"/>
                        <w:left w:val="none" w:sz="0" w:space="0" w:color="auto"/>
                        <w:bottom w:val="none" w:sz="0" w:space="0" w:color="auto"/>
                        <w:right w:val="none" w:sz="0" w:space="0" w:color="auto"/>
                      </w:divBdr>
                    </w:div>
                  </w:divsChild>
                </w:div>
                <w:div w:id="664937753">
                  <w:marLeft w:val="0"/>
                  <w:marRight w:val="0"/>
                  <w:marTop w:val="0"/>
                  <w:marBottom w:val="0"/>
                  <w:divBdr>
                    <w:top w:val="none" w:sz="0" w:space="0" w:color="auto"/>
                    <w:left w:val="none" w:sz="0" w:space="0" w:color="auto"/>
                    <w:bottom w:val="none" w:sz="0" w:space="0" w:color="auto"/>
                    <w:right w:val="none" w:sz="0" w:space="0" w:color="auto"/>
                  </w:divBdr>
                  <w:divsChild>
                    <w:div w:id="1761173605">
                      <w:marLeft w:val="0"/>
                      <w:marRight w:val="0"/>
                      <w:marTop w:val="0"/>
                      <w:marBottom w:val="0"/>
                      <w:divBdr>
                        <w:top w:val="none" w:sz="0" w:space="0" w:color="auto"/>
                        <w:left w:val="none" w:sz="0" w:space="0" w:color="auto"/>
                        <w:bottom w:val="none" w:sz="0" w:space="0" w:color="auto"/>
                        <w:right w:val="none" w:sz="0" w:space="0" w:color="auto"/>
                      </w:divBdr>
                    </w:div>
                  </w:divsChild>
                </w:div>
                <w:div w:id="672295022">
                  <w:marLeft w:val="0"/>
                  <w:marRight w:val="0"/>
                  <w:marTop w:val="0"/>
                  <w:marBottom w:val="0"/>
                  <w:divBdr>
                    <w:top w:val="none" w:sz="0" w:space="0" w:color="auto"/>
                    <w:left w:val="none" w:sz="0" w:space="0" w:color="auto"/>
                    <w:bottom w:val="none" w:sz="0" w:space="0" w:color="auto"/>
                    <w:right w:val="none" w:sz="0" w:space="0" w:color="auto"/>
                  </w:divBdr>
                  <w:divsChild>
                    <w:div w:id="1567566638">
                      <w:marLeft w:val="0"/>
                      <w:marRight w:val="0"/>
                      <w:marTop w:val="0"/>
                      <w:marBottom w:val="0"/>
                      <w:divBdr>
                        <w:top w:val="none" w:sz="0" w:space="0" w:color="auto"/>
                        <w:left w:val="none" w:sz="0" w:space="0" w:color="auto"/>
                        <w:bottom w:val="none" w:sz="0" w:space="0" w:color="auto"/>
                        <w:right w:val="none" w:sz="0" w:space="0" w:color="auto"/>
                      </w:divBdr>
                    </w:div>
                  </w:divsChild>
                </w:div>
                <w:div w:id="682165872">
                  <w:marLeft w:val="0"/>
                  <w:marRight w:val="0"/>
                  <w:marTop w:val="0"/>
                  <w:marBottom w:val="0"/>
                  <w:divBdr>
                    <w:top w:val="none" w:sz="0" w:space="0" w:color="auto"/>
                    <w:left w:val="none" w:sz="0" w:space="0" w:color="auto"/>
                    <w:bottom w:val="none" w:sz="0" w:space="0" w:color="auto"/>
                    <w:right w:val="none" w:sz="0" w:space="0" w:color="auto"/>
                  </w:divBdr>
                  <w:divsChild>
                    <w:div w:id="642589159">
                      <w:marLeft w:val="0"/>
                      <w:marRight w:val="0"/>
                      <w:marTop w:val="0"/>
                      <w:marBottom w:val="0"/>
                      <w:divBdr>
                        <w:top w:val="none" w:sz="0" w:space="0" w:color="auto"/>
                        <w:left w:val="none" w:sz="0" w:space="0" w:color="auto"/>
                        <w:bottom w:val="none" w:sz="0" w:space="0" w:color="auto"/>
                        <w:right w:val="none" w:sz="0" w:space="0" w:color="auto"/>
                      </w:divBdr>
                    </w:div>
                  </w:divsChild>
                </w:div>
                <w:div w:id="684022259">
                  <w:marLeft w:val="0"/>
                  <w:marRight w:val="0"/>
                  <w:marTop w:val="0"/>
                  <w:marBottom w:val="0"/>
                  <w:divBdr>
                    <w:top w:val="none" w:sz="0" w:space="0" w:color="auto"/>
                    <w:left w:val="none" w:sz="0" w:space="0" w:color="auto"/>
                    <w:bottom w:val="none" w:sz="0" w:space="0" w:color="auto"/>
                    <w:right w:val="none" w:sz="0" w:space="0" w:color="auto"/>
                  </w:divBdr>
                  <w:divsChild>
                    <w:div w:id="1887256311">
                      <w:marLeft w:val="0"/>
                      <w:marRight w:val="0"/>
                      <w:marTop w:val="0"/>
                      <w:marBottom w:val="0"/>
                      <w:divBdr>
                        <w:top w:val="none" w:sz="0" w:space="0" w:color="auto"/>
                        <w:left w:val="none" w:sz="0" w:space="0" w:color="auto"/>
                        <w:bottom w:val="none" w:sz="0" w:space="0" w:color="auto"/>
                        <w:right w:val="none" w:sz="0" w:space="0" w:color="auto"/>
                      </w:divBdr>
                    </w:div>
                  </w:divsChild>
                </w:div>
                <w:div w:id="688213473">
                  <w:marLeft w:val="0"/>
                  <w:marRight w:val="0"/>
                  <w:marTop w:val="0"/>
                  <w:marBottom w:val="0"/>
                  <w:divBdr>
                    <w:top w:val="none" w:sz="0" w:space="0" w:color="auto"/>
                    <w:left w:val="none" w:sz="0" w:space="0" w:color="auto"/>
                    <w:bottom w:val="none" w:sz="0" w:space="0" w:color="auto"/>
                    <w:right w:val="none" w:sz="0" w:space="0" w:color="auto"/>
                  </w:divBdr>
                  <w:divsChild>
                    <w:div w:id="1435974958">
                      <w:marLeft w:val="0"/>
                      <w:marRight w:val="0"/>
                      <w:marTop w:val="0"/>
                      <w:marBottom w:val="0"/>
                      <w:divBdr>
                        <w:top w:val="none" w:sz="0" w:space="0" w:color="auto"/>
                        <w:left w:val="none" w:sz="0" w:space="0" w:color="auto"/>
                        <w:bottom w:val="none" w:sz="0" w:space="0" w:color="auto"/>
                        <w:right w:val="none" w:sz="0" w:space="0" w:color="auto"/>
                      </w:divBdr>
                    </w:div>
                  </w:divsChild>
                </w:div>
                <w:div w:id="751707998">
                  <w:marLeft w:val="0"/>
                  <w:marRight w:val="0"/>
                  <w:marTop w:val="0"/>
                  <w:marBottom w:val="0"/>
                  <w:divBdr>
                    <w:top w:val="none" w:sz="0" w:space="0" w:color="auto"/>
                    <w:left w:val="none" w:sz="0" w:space="0" w:color="auto"/>
                    <w:bottom w:val="none" w:sz="0" w:space="0" w:color="auto"/>
                    <w:right w:val="none" w:sz="0" w:space="0" w:color="auto"/>
                  </w:divBdr>
                  <w:divsChild>
                    <w:div w:id="347802829">
                      <w:marLeft w:val="0"/>
                      <w:marRight w:val="0"/>
                      <w:marTop w:val="0"/>
                      <w:marBottom w:val="0"/>
                      <w:divBdr>
                        <w:top w:val="none" w:sz="0" w:space="0" w:color="auto"/>
                        <w:left w:val="none" w:sz="0" w:space="0" w:color="auto"/>
                        <w:bottom w:val="none" w:sz="0" w:space="0" w:color="auto"/>
                        <w:right w:val="none" w:sz="0" w:space="0" w:color="auto"/>
                      </w:divBdr>
                    </w:div>
                  </w:divsChild>
                </w:div>
                <w:div w:id="753547864">
                  <w:marLeft w:val="0"/>
                  <w:marRight w:val="0"/>
                  <w:marTop w:val="0"/>
                  <w:marBottom w:val="0"/>
                  <w:divBdr>
                    <w:top w:val="none" w:sz="0" w:space="0" w:color="auto"/>
                    <w:left w:val="none" w:sz="0" w:space="0" w:color="auto"/>
                    <w:bottom w:val="none" w:sz="0" w:space="0" w:color="auto"/>
                    <w:right w:val="none" w:sz="0" w:space="0" w:color="auto"/>
                  </w:divBdr>
                  <w:divsChild>
                    <w:div w:id="1080755218">
                      <w:marLeft w:val="0"/>
                      <w:marRight w:val="0"/>
                      <w:marTop w:val="0"/>
                      <w:marBottom w:val="0"/>
                      <w:divBdr>
                        <w:top w:val="none" w:sz="0" w:space="0" w:color="auto"/>
                        <w:left w:val="none" w:sz="0" w:space="0" w:color="auto"/>
                        <w:bottom w:val="none" w:sz="0" w:space="0" w:color="auto"/>
                        <w:right w:val="none" w:sz="0" w:space="0" w:color="auto"/>
                      </w:divBdr>
                    </w:div>
                  </w:divsChild>
                </w:div>
                <w:div w:id="780759357">
                  <w:marLeft w:val="0"/>
                  <w:marRight w:val="0"/>
                  <w:marTop w:val="0"/>
                  <w:marBottom w:val="0"/>
                  <w:divBdr>
                    <w:top w:val="none" w:sz="0" w:space="0" w:color="auto"/>
                    <w:left w:val="none" w:sz="0" w:space="0" w:color="auto"/>
                    <w:bottom w:val="none" w:sz="0" w:space="0" w:color="auto"/>
                    <w:right w:val="none" w:sz="0" w:space="0" w:color="auto"/>
                  </w:divBdr>
                  <w:divsChild>
                    <w:div w:id="123158116">
                      <w:marLeft w:val="0"/>
                      <w:marRight w:val="0"/>
                      <w:marTop w:val="0"/>
                      <w:marBottom w:val="0"/>
                      <w:divBdr>
                        <w:top w:val="none" w:sz="0" w:space="0" w:color="auto"/>
                        <w:left w:val="none" w:sz="0" w:space="0" w:color="auto"/>
                        <w:bottom w:val="none" w:sz="0" w:space="0" w:color="auto"/>
                        <w:right w:val="none" w:sz="0" w:space="0" w:color="auto"/>
                      </w:divBdr>
                    </w:div>
                  </w:divsChild>
                </w:div>
                <w:div w:id="780807725">
                  <w:marLeft w:val="0"/>
                  <w:marRight w:val="0"/>
                  <w:marTop w:val="0"/>
                  <w:marBottom w:val="0"/>
                  <w:divBdr>
                    <w:top w:val="none" w:sz="0" w:space="0" w:color="auto"/>
                    <w:left w:val="none" w:sz="0" w:space="0" w:color="auto"/>
                    <w:bottom w:val="none" w:sz="0" w:space="0" w:color="auto"/>
                    <w:right w:val="none" w:sz="0" w:space="0" w:color="auto"/>
                  </w:divBdr>
                  <w:divsChild>
                    <w:div w:id="1233808076">
                      <w:marLeft w:val="0"/>
                      <w:marRight w:val="0"/>
                      <w:marTop w:val="0"/>
                      <w:marBottom w:val="0"/>
                      <w:divBdr>
                        <w:top w:val="none" w:sz="0" w:space="0" w:color="auto"/>
                        <w:left w:val="none" w:sz="0" w:space="0" w:color="auto"/>
                        <w:bottom w:val="none" w:sz="0" w:space="0" w:color="auto"/>
                        <w:right w:val="none" w:sz="0" w:space="0" w:color="auto"/>
                      </w:divBdr>
                    </w:div>
                  </w:divsChild>
                </w:div>
                <w:div w:id="788864681">
                  <w:marLeft w:val="0"/>
                  <w:marRight w:val="0"/>
                  <w:marTop w:val="0"/>
                  <w:marBottom w:val="0"/>
                  <w:divBdr>
                    <w:top w:val="none" w:sz="0" w:space="0" w:color="auto"/>
                    <w:left w:val="none" w:sz="0" w:space="0" w:color="auto"/>
                    <w:bottom w:val="none" w:sz="0" w:space="0" w:color="auto"/>
                    <w:right w:val="none" w:sz="0" w:space="0" w:color="auto"/>
                  </w:divBdr>
                  <w:divsChild>
                    <w:div w:id="275062500">
                      <w:marLeft w:val="0"/>
                      <w:marRight w:val="0"/>
                      <w:marTop w:val="0"/>
                      <w:marBottom w:val="0"/>
                      <w:divBdr>
                        <w:top w:val="none" w:sz="0" w:space="0" w:color="auto"/>
                        <w:left w:val="none" w:sz="0" w:space="0" w:color="auto"/>
                        <w:bottom w:val="none" w:sz="0" w:space="0" w:color="auto"/>
                        <w:right w:val="none" w:sz="0" w:space="0" w:color="auto"/>
                      </w:divBdr>
                    </w:div>
                  </w:divsChild>
                </w:div>
                <w:div w:id="822039921">
                  <w:marLeft w:val="0"/>
                  <w:marRight w:val="0"/>
                  <w:marTop w:val="0"/>
                  <w:marBottom w:val="0"/>
                  <w:divBdr>
                    <w:top w:val="none" w:sz="0" w:space="0" w:color="auto"/>
                    <w:left w:val="none" w:sz="0" w:space="0" w:color="auto"/>
                    <w:bottom w:val="none" w:sz="0" w:space="0" w:color="auto"/>
                    <w:right w:val="none" w:sz="0" w:space="0" w:color="auto"/>
                  </w:divBdr>
                  <w:divsChild>
                    <w:div w:id="1217820074">
                      <w:marLeft w:val="0"/>
                      <w:marRight w:val="0"/>
                      <w:marTop w:val="0"/>
                      <w:marBottom w:val="0"/>
                      <w:divBdr>
                        <w:top w:val="none" w:sz="0" w:space="0" w:color="auto"/>
                        <w:left w:val="none" w:sz="0" w:space="0" w:color="auto"/>
                        <w:bottom w:val="none" w:sz="0" w:space="0" w:color="auto"/>
                        <w:right w:val="none" w:sz="0" w:space="0" w:color="auto"/>
                      </w:divBdr>
                    </w:div>
                  </w:divsChild>
                </w:div>
                <w:div w:id="839975167">
                  <w:marLeft w:val="0"/>
                  <w:marRight w:val="0"/>
                  <w:marTop w:val="0"/>
                  <w:marBottom w:val="0"/>
                  <w:divBdr>
                    <w:top w:val="none" w:sz="0" w:space="0" w:color="auto"/>
                    <w:left w:val="none" w:sz="0" w:space="0" w:color="auto"/>
                    <w:bottom w:val="none" w:sz="0" w:space="0" w:color="auto"/>
                    <w:right w:val="none" w:sz="0" w:space="0" w:color="auto"/>
                  </w:divBdr>
                  <w:divsChild>
                    <w:div w:id="812716551">
                      <w:marLeft w:val="0"/>
                      <w:marRight w:val="0"/>
                      <w:marTop w:val="0"/>
                      <w:marBottom w:val="0"/>
                      <w:divBdr>
                        <w:top w:val="none" w:sz="0" w:space="0" w:color="auto"/>
                        <w:left w:val="none" w:sz="0" w:space="0" w:color="auto"/>
                        <w:bottom w:val="none" w:sz="0" w:space="0" w:color="auto"/>
                        <w:right w:val="none" w:sz="0" w:space="0" w:color="auto"/>
                      </w:divBdr>
                    </w:div>
                  </w:divsChild>
                </w:div>
                <w:div w:id="874196943">
                  <w:marLeft w:val="0"/>
                  <w:marRight w:val="0"/>
                  <w:marTop w:val="0"/>
                  <w:marBottom w:val="0"/>
                  <w:divBdr>
                    <w:top w:val="none" w:sz="0" w:space="0" w:color="auto"/>
                    <w:left w:val="none" w:sz="0" w:space="0" w:color="auto"/>
                    <w:bottom w:val="none" w:sz="0" w:space="0" w:color="auto"/>
                    <w:right w:val="none" w:sz="0" w:space="0" w:color="auto"/>
                  </w:divBdr>
                  <w:divsChild>
                    <w:div w:id="1934313311">
                      <w:marLeft w:val="0"/>
                      <w:marRight w:val="0"/>
                      <w:marTop w:val="0"/>
                      <w:marBottom w:val="0"/>
                      <w:divBdr>
                        <w:top w:val="none" w:sz="0" w:space="0" w:color="auto"/>
                        <w:left w:val="none" w:sz="0" w:space="0" w:color="auto"/>
                        <w:bottom w:val="none" w:sz="0" w:space="0" w:color="auto"/>
                        <w:right w:val="none" w:sz="0" w:space="0" w:color="auto"/>
                      </w:divBdr>
                    </w:div>
                  </w:divsChild>
                </w:div>
                <w:div w:id="886843129">
                  <w:marLeft w:val="0"/>
                  <w:marRight w:val="0"/>
                  <w:marTop w:val="0"/>
                  <w:marBottom w:val="0"/>
                  <w:divBdr>
                    <w:top w:val="none" w:sz="0" w:space="0" w:color="auto"/>
                    <w:left w:val="none" w:sz="0" w:space="0" w:color="auto"/>
                    <w:bottom w:val="none" w:sz="0" w:space="0" w:color="auto"/>
                    <w:right w:val="none" w:sz="0" w:space="0" w:color="auto"/>
                  </w:divBdr>
                  <w:divsChild>
                    <w:div w:id="168981727">
                      <w:marLeft w:val="0"/>
                      <w:marRight w:val="0"/>
                      <w:marTop w:val="0"/>
                      <w:marBottom w:val="0"/>
                      <w:divBdr>
                        <w:top w:val="none" w:sz="0" w:space="0" w:color="auto"/>
                        <w:left w:val="none" w:sz="0" w:space="0" w:color="auto"/>
                        <w:bottom w:val="none" w:sz="0" w:space="0" w:color="auto"/>
                        <w:right w:val="none" w:sz="0" w:space="0" w:color="auto"/>
                      </w:divBdr>
                    </w:div>
                  </w:divsChild>
                </w:div>
                <w:div w:id="912083978">
                  <w:marLeft w:val="0"/>
                  <w:marRight w:val="0"/>
                  <w:marTop w:val="0"/>
                  <w:marBottom w:val="0"/>
                  <w:divBdr>
                    <w:top w:val="none" w:sz="0" w:space="0" w:color="auto"/>
                    <w:left w:val="none" w:sz="0" w:space="0" w:color="auto"/>
                    <w:bottom w:val="none" w:sz="0" w:space="0" w:color="auto"/>
                    <w:right w:val="none" w:sz="0" w:space="0" w:color="auto"/>
                  </w:divBdr>
                  <w:divsChild>
                    <w:div w:id="125855402">
                      <w:marLeft w:val="0"/>
                      <w:marRight w:val="0"/>
                      <w:marTop w:val="0"/>
                      <w:marBottom w:val="0"/>
                      <w:divBdr>
                        <w:top w:val="none" w:sz="0" w:space="0" w:color="auto"/>
                        <w:left w:val="none" w:sz="0" w:space="0" w:color="auto"/>
                        <w:bottom w:val="none" w:sz="0" w:space="0" w:color="auto"/>
                        <w:right w:val="none" w:sz="0" w:space="0" w:color="auto"/>
                      </w:divBdr>
                    </w:div>
                  </w:divsChild>
                </w:div>
                <w:div w:id="930821611">
                  <w:marLeft w:val="0"/>
                  <w:marRight w:val="0"/>
                  <w:marTop w:val="0"/>
                  <w:marBottom w:val="0"/>
                  <w:divBdr>
                    <w:top w:val="none" w:sz="0" w:space="0" w:color="auto"/>
                    <w:left w:val="none" w:sz="0" w:space="0" w:color="auto"/>
                    <w:bottom w:val="none" w:sz="0" w:space="0" w:color="auto"/>
                    <w:right w:val="none" w:sz="0" w:space="0" w:color="auto"/>
                  </w:divBdr>
                  <w:divsChild>
                    <w:div w:id="899559939">
                      <w:marLeft w:val="0"/>
                      <w:marRight w:val="0"/>
                      <w:marTop w:val="0"/>
                      <w:marBottom w:val="0"/>
                      <w:divBdr>
                        <w:top w:val="none" w:sz="0" w:space="0" w:color="auto"/>
                        <w:left w:val="none" w:sz="0" w:space="0" w:color="auto"/>
                        <w:bottom w:val="none" w:sz="0" w:space="0" w:color="auto"/>
                        <w:right w:val="none" w:sz="0" w:space="0" w:color="auto"/>
                      </w:divBdr>
                    </w:div>
                  </w:divsChild>
                </w:div>
                <w:div w:id="940064943">
                  <w:marLeft w:val="0"/>
                  <w:marRight w:val="0"/>
                  <w:marTop w:val="0"/>
                  <w:marBottom w:val="0"/>
                  <w:divBdr>
                    <w:top w:val="none" w:sz="0" w:space="0" w:color="auto"/>
                    <w:left w:val="none" w:sz="0" w:space="0" w:color="auto"/>
                    <w:bottom w:val="none" w:sz="0" w:space="0" w:color="auto"/>
                    <w:right w:val="none" w:sz="0" w:space="0" w:color="auto"/>
                  </w:divBdr>
                  <w:divsChild>
                    <w:div w:id="1442603970">
                      <w:marLeft w:val="0"/>
                      <w:marRight w:val="0"/>
                      <w:marTop w:val="0"/>
                      <w:marBottom w:val="0"/>
                      <w:divBdr>
                        <w:top w:val="none" w:sz="0" w:space="0" w:color="auto"/>
                        <w:left w:val="none" w:sz="0" w:space="0" w:color="auto"/>
                        <w:bottom w:val="none" w:sz="0" w:space="0" w:color="auto"/>
                        <w:right w:val="none" w:sz="0" w:space="0" w:color="auto"/>
                      </w:divBdr>
                    </w:div>
                  </w:divsChild>
                </w:div>
                <w:div w:id="940332568">
                  <w:marLeft w:val="0"/>
                  <w:marRight w:val="0"/>
                  <w:marTop w:val="0"/>
                  <w:marBottom w:val="0"/>
                  <w:divBdr>
                    <w:top w:val="none" w:sz="0" w:space="0" w:color="auto"/>
                    <w:left w:val="none" w:sz="0" w:space="0" w:color="auto"/>
                    <w:bottom w:val="none" w:sz="0" w:space="0" w:color="auto"/>
                    <w:right w:val="none" w:sz="0" w:space="0" w:color="auto"/>
                  </w:divBdr>
                  <w:divsChild>
                    <w:div w:id="803042587">
                      <w:marLeft w:val="0"/>
                      <w:marRight w:val="0"/>
                      <w:marTop w:val="0"/>
                      <w:marBottom w:val="0"/>
                      <w:divBdr>
                        <w:top w:val="none" w:sz="0" w:space="0" w:color="auto"/>
                        <w:left w:val="none" w:sz="0" w:space="0" w:color="auto"/>
                        <w:bottom w:val="none" w:sz="0" w:space="0" w:color="auto"/>
                        <w:right w:val="none" w:sz="0" w:space="0" w:color="auto"/>
                      </w:divBdr>
                    </w:div>
                  </w:divsChild>
                </w:div>
                <w:div w:id="946350595">
                  <w:marLeft w:val="0"/>
                  <w:marRight w:val="0"/>
                  <w:marTop w:val="0"/>
                  <w:marBottom w:val="0"/>
                  <w:divBdr>
                    <w:top w:val="none" w:sz="0" w:space="0" w:color="auto"/>
                    <w:left w:val="none" w:sz="0" w:space="0" w:color="auto"/>
                    <w:bottom w:val="none" w:sz="0" w:space="0" w:color="auto"/>
                    <w:right w:val="none" w:sz="0" w:space="0" w:color="auto"/>
                  </w:divBdr>
                  <w:divsChild>
                    <w:div w:id="967853005">
                      <w:marLeft w:val="0"/>
                      <w:marRight w:val="0"/>
                      <w:marTop w:val="0"/>
                      <w:marBottom w:val="0"/>
                      <w:divBdr>
                        <w:top w:val="none" w:sz="0" w:space="0" w:color="auto"/>
                        <w:left w:val="none" w:sz="0" w:space="0" w:color="auto"/>
                        <w:bottom w:val="none" w:sz="0" w:space="0" w:color="auto"/>
                        <w:right w:val="none" w:sz="0" w:space="0" w:color="auto"/>
                      </w:divBdr>
                    </w:div>
                  </w:divsChild>
                </w:div>
                <w:div w:id="949822724">
                  <w:marLeft w:val="0"/>
                  <w:marRight w:val="0"/>
                  <w:marTop w:val="0"/>
                  <w:marBottom w:val="0"/>
                  <w:divBdr>
                    <w:top w:val="none" w:sz="0" w:space="0" w:color="auto"/>
                    <w:left w:val="none" w:sz="0" w:space="0" w:color="auto"/>
                    <w:bottom w:val="none" w:sz="0" w:space="0" w:color="auto"/>
                    <w:right w:val="none" w:sz="0" w:space="0" w:color="auto"/>
                  </w:divBdr>
                  <w:divsChild>
                    <w:div w:id="1462074792">
                      <w:marLeft w:val="0"/>
                      <w:marRight w:val="0"/>
                      <w:marTop w:val="0"/>
                      <w:marBottom w:val="0"/>
                      <w:divBdr>
                        <w:top w:val="none" w:sz="0" w:space="0" w:color="auto"/>
                        <w:left w:val="none" w:sz="0" w:space="0" w:color="auto"/>
                        <w:bottom w:val="none" w:sz="0" w:space="0" w:color="auto"/>
                        <w:right w:val="none" w:sz="0" w:space="0" w:color="auto"/>
                      </w:divBdr>
                    </w:div>
                  </w:divsChild>
                </w:div>
                <w:div w:id="1005669273">
                  <w:marLeft w:val="0"/>
                  <w:marRight w:val="0"/>
                  <w:marTop w:val="0"/>
                  <w:marBottom w:val="0"/>
                  <w:divBdr>
                    <w:top w:val="none" w:sz="0" w:space="0" w:color="auto"/>
                    <w:left w:val="none" w:sz="0" w:space="0" w:color="auto"/>
                    <w:bottom w:val="none" w:sz="0" w:space="0" w:color="auto"/>
                    <w:right w:val="none" w:sz="0" w:space="0" w:color="auto"/>
                  </w:divBdr>
                  <w:divsChild>
                    <w:div w:id="1198010249">
                      <w:marLeft w:val="0"/>
                      <w:marRight w:val="0"/>
                      <w:marTop w:val="0"/>
                      <w:marBottom w:val="0"/>
                      <w:divBdr>
                        <w:top w:val="none" w:sz="0" w:space="0" w:color="auto"/>
                        <w:left w:val="none" w:sz="0" w:space="0" w:color="auto"/>
                        <w:bottom w:val="none" w:sz="0" w:space="0" w:color="auto"/>
                        <w:right w:val="none" w:sz="0" w:space="0" w:color="auto"/>
                      </w:divBdr>
                    </w:div>
                  </w:divsChild>
                </w:div>
                <w:div w:id="1018695146">
                  <w:marLeft w:val="0"/>
                  <w:marRight w:val="0"/>
                  <w:marTop w:val="0"/>
                  <w:marBottom w:val="0"/>
                  <w:divBdr>
                    <w:top w:val="none" w:sz="0" w:space="0" w:color="auto"/>
                    <w:left w:val="none" w:sz="0" w:space="0" w:color="auto"/>
                    <w:bottom w:val="none" w:sz="0" w:space="0" w:color="auto"/>
                    <w:right w:val="none" w:sz="0" w:space="0" w:color="auto"/>
                  </w:divBdr>
                  <w:divsChild>
                    <w:div w:id="644555717">
                      <w:marLeft w:val="0"/>
                      <w:marRight w:val="0"/>
                      <w:marTop w:val="0"/>
                      <w:marBottom w:val="0"/>
                      <w:divBdr>
                        <w:top w:val="none" w:sz="0" w:space="0" w:color="auto"/>
                        <w:left w:val="none" w:sz="0" w:space="0" w:color="auto"/>
                        <w:bottom w:val="none" w:sz="0" w:space="0" w:color="auto"/>
                        <w:right w:val="none" w:sz="0" w:space="0" w:color="auto"/>
                      </w:divBdr>
                    </w:div>
                  </w:divsChild>
                </w:div>
                <w:div w:id="1026831896">
                  <w:marLeft w:val="0"/>
                  <w:marRight w:val="0"/>
                  <w:marTop w:val="0"/>
                  <w:marBottom w:val="0"/>
                  <w:divBdr>
                    <w:top w:val="none" w:sz="0" w:space="0" w:color="auto"/>
                    <w:left w:val="none" w:sz="0" w:space="0" w:color="auto"/>
                    <w:bottom w:val="none" w:sz="0" w:space="0" w:color="auto"/>
                    <w:right w:val="none" w:sz="0" w:space="0" w:color="auto"/>
                  </w:divBdr>
                  <w:divsChild>
                    <w:div w:id="1349020541">
                      <w:marLeft w:val="0"/>
                      <w:marRight w:val="0"/>
                      <w:marTop w:val="0"/>
                      <w:marBottom w:val="0"/>
                      <w:divBdr>
                        <w:top w:val="none" w:sz="0" w:space="0" w:color="auto"/>
                        <w:left w:val="none" w:sz="0" w:space="0" w:color="auto"/>
                        <w:bottom w:val="none" w:sz="0" w:space="0" w:color="auto"/>
                        <w:right w:val="none" w:sz="0" w:space="0" w:color="auto"/>
                      </w:divBdr>
                    </w:div>
                  </w:divsChild>
                </w:div>
                <w:div w:id="1031882783">
                  <w:marLeft w:val="0"/>
                  <w:marRight w:val="0"/>
                  <w:marTop w:val="0"/>
                  <w:marBottom w:val="0"/>
                  <w:divBdr>
                    <w:top w:val="none" w:sz="0" w:space="0" w:color="auto"/>
                    <w:left w:val="none" w:sz="0" w:space="0" w:color="auto"/>
                    <w:bottom w:val="none" w:sz="0" w:space="0" w:color="auto"/>
                    <w:right w:val="none" w:sz="0" w:space="0" w:color="auto"/>
                  </w:divBdr>
                  <w:divsChild>
                    <w:div w:id="669061059">
                      <w:marLeft w:val="0"/>
                      <w:marRight w:val="0"/>
                      <w:marTop w:val="0"/>
                      <w:marBottom w:val="0"/>
                      <w:divBdr>
                        <w:top w:val="none" w:sz="0" w:space="0" w:color="auto"/>
                        <w:left w:val="none" w:sz="0" w:space="0" w:color="auto"/>
                        <w:bottom w:val="none" w:sz="0" w:space="0" w:color="auto"/>
                        <w:right w:val="none" w:sz="0" w:space="0" w:color="auto"/>
                      </w:divBdr>
                    </w:div>
                  </w:divsChild>
                </w:div>
                <w:div w:id="1034113750">
                  <w:marLeft w:val="0"/>
                  <w:marRight w:val="0"/>
                  <w:marTop w:val="0"/>
                  <w:marBottom w:val="0"/>
                  <w:divBdr>
                    <w:top w:val="none" w:sz="0" w:space="0" w:color="auto"/>
                    <w:left w:val="none" w:sz="0" w:space="0" w:color="auto"/>
                    <w:bottom w:val="none" w:sz="0" w:space="0" w:color="auto"/>
                    <w:right w:val="none" w:sz="0" w:space="0" w:color="auto"/>
                  </w:divBdr>
                  <w:divsChild>
                    <w:div w:id="776753166">
                      <w:marLeft w:val="0"/>
                      <w:marRight w:val="0"/>
                      <w:marTop w:val="0"/>
                      <w:marBottom w:val="0"/>
                      <w:divBdr>
                        <w:top w:val="none" w:sz="0" w:space="0" w:color="auto"/>
                        <w:left w:val="none" w:sz="0" w:space="0" w:color="auto"/>
                        <w:bottom w:val="none" w:sz="0" w:space="0" w:color="auto"/>
                        <w:right w:val="none" w:sz="0" w:space="0" w:color="auto"/>
                      </w:divBdr>
                    </w:div>
                  </w:divsChild>
                </w:div>
                <w:div w:id="1040011301">
                  <w:marLeft w:val="0"/>
                  <w:marRight w:val="0"/>
                  <w:marTop w:val="0"/>
                  <w:marBottom w:val="0"/>
                  <w:divBdr>
                    <w:top w:val="none" w:sz="0" w:space="0" w:color="auto"/>
                    <w:left w:val="none" w:sz="0" w:space="0" w:color="auto"/>
                    <w:bottom w:val="none" w:sz="0" w:space="0" w:color="auto"/>
                    <w:right w:val="none" w:sz="0" w:space="0" w:color="auto"/>
                  </w:divBdr>
                  <w:divsChild>
                    <w:div w:id="1901087697">
                      <w:marLeft w:val="0"/>
                      <w:marRight w:val="0"/>
                      <w:marTop w:val="0"/>
                      <w:marBottom w:val="0"/>
                      <w:divBdr>
                        <w:top w:val="none" w:sz="0" w:space="0" w:color="auto"/>
                        <w:left w:val="none" w:sz="0" w:space="0" w:color="auto"/>
                        <w:bottom w:val="none" w:sz="0" w:space="0" w:color="auto"/>
                        <w:right w:val="none" w:sz="0" w:space="0" w:color="auto"/>
                      </w:divBdr>
                    </w:div>
                  </w:divsChild>
                </w:div>
                <w:div w:id="1085036883">
                  <w:marLeft w:val="0"/>
                  <w:marRight w:val="0"/>
                  <w:marTop w:val="0"/>
                  <w:marBottom w:val="0"/>
                  <w:divBdr>
                    <w:top w:val="none" w:sz="0" w:space="0" w:color="auto"/>
                    <w:left w:val="none" w:sz="0" w:space="0" w:color="auto"/>
                    <w:bottom w:val="none" w:sz="0" w:space="0" w:color="auto"/>
                    <w:right w:val="none" w:sz="0" w:space="0" w:color="auto"/>
                  </w:divBdr>
                  <w:divsChild>
                    <w:div w:id="64109297">
                      <w:marLeft w:val="0"/>
                      <w:marRight w:val="0"/>
                      <w:marTop w:val="0"/>
                      <w:marBottom w:val="0"/>
                      <w:divBdr>
                        <w:top w:val="none" w:sz="0" w:space="0" w:color="auto"/>
                        <w:left w:val="none" w:sz="0" w:space="0" w:color="auto"/>
                        <w:bottom w:val="none" w:sz="0" w:space="0" w:color="auto"/>
                        <w:right w:val="none" w:sz="0" w:space="0" w:color="auto"/>
                      </w:divBdr>
                    </w:div>
                  </w:divsChild>
                </w:div>
                <w:div w:id="1086801505">
                  <w:marLeft w:val="0"/>
                  <w:marRight w:val="0"/>
                  <w:marTop w:val="0"/>
                  <w:marBottom w:val="0"/>
                  <w:divBdr>
                    <w:top w:val="none" w:sz="0" w:space="0" w:color="auto"/>
                    <w:left w:val="none" w:sz="0" w:space="0" w:color="auto"/>
                    <w:bottom w:val="none" w:sz="0" w:space="0" w:color="auto"/>
                    <w:right w:val="none" w:sz="0" w:space="0" w:color="auto"/>
                  </w:divBdr>
                  <w:divsChild>
                    <w:div w:id="1935086258">
                      <w:marLeft w:val="0"/>
                      <w:marRight w:val="0"/>
                      <w:marTop w:val="0"/>
                      <w:marBottom w:val="0"/>
                      <w:divBdr>
                        <w:top w:val="none" w:sz="0" w:space="0" w:color="auto"/>
                        <w:left w:val="none" w:sz="0" w:space="0" w:color="auto"/>
                        <w:bottom w:val="none" w:sz="0" w:space="0" w:color="auto"/>
                        <w:right w:val="none" w:sz="0" w:space="0" w:color="auto"/>
                      </w:divBdr>
                    </w:div>
                  </w:divsChild>
                </w:div>
                <w:div w:id="1089616450">
                  <w:marLeft w:val="0"/>
                  <w:marRight w:val="0"/>
                  <w:marTop w:val="0"/>
                  <w:marBottom w:val="0"/>
                  <w:divBdr>
                    <w:top w:val="none" w:sz="0" w:space="0" w:color="auto"/>
                    <w:left w:val="none" w:sz="0" w:space="0" w:color="auto"/>
                    <w:bottom w:val="none" w:sz="0" w:space="0" w:color="auto"/>
                    <w:right w:val="none" w:sz="0" w:space="0" w:color="auto"/>
                  </w:divBdr>
                  <w:divsChild>
                    <w:div w:id="755058217">
                      <w:marLeft w:val="0"/>
                      <w:marRight w:val="0"/>
                      <w:marTop w:val="0"/>
                      <w:marBottom w:val="0"/>
                      <w:divBdr>
                        <w:top w:val="none" w:sz="0" w:space="0" w:color="auto"/>
                        <w:left w:val="none" w:sz="0" w:space="0" w:color="auto"/>
                        <w:bottom w:val="none" w:sz="0" w:space="0" w:color="auto"/>
                        <w:right w:val="none" w:sz="0" w:space="0" w:color="auto"/>
                      </w:divBdr>
                    </w:div>
                  </w:divsChild>
                </w:div>
                <w:div w:id="1097679569">
                  <w:marLeft w:val="0"/>
                  <w:marRight w:val="0"/>
                  <w:marTop w:val="0"/>
                  <w:marBottom w:val="0"/>
                  <w:divBdr>
                    <w:top w:val="none" w:sz="0" w:space="0" w:color="auto"/>
                    <w:left w:val="none" w:sz="0" w:space="0" w:color="auto"/>
                    <w:bottom w:val="none" w:sz="0" w:space="0" w:color="auto"/>
                    <w:right w:val="none" w:sz="0" w:space="0" w:color="auto"/>
                  </w:divBdr>
                  <w:divsChild>
                    <w:div w:id="676420606">
                      <w:marLeft w:val="0"/>
                      <w:marRight w:val="0"/>
                      <w:marTop w:val="0"/>
                      <w:marBottom w:val="0"/>
                      <w:divBdr>
                        <w:top w:val="none" w:sz="0" w:space="0" w:color="auto"/>
                        <w:left w:val="none" w:sz="0" w:space="0" w:color="auto"/>
                        <w:bottom w:val="none" w:sz="0" w:space="0" w:color="auto"/>
                        <w:right w:val="none" w:sz="0" w:space="0" w:color="auto"/>
                      </w:divBdr>
                    </w:div>
                  </w:divsChild>
                </w:div>
                <w:div w:id="1111627597">
                  <w:marLeft w:val="0"/>
                  <w:marRight w:val="0"/>
                  <w:marTop w:val="0"/>
                  <w:marBottom w:val="0"/>
                  <w:divBdr>
                    <w:top w:val="none" w:sz="0" w:space="0" w:color="auto"/>
                    <w:left w:val="none" w:sz="0" w:space="0" w:color="auto"/>
                    <w:bottom w:val="none" w:sz="0" w:space="0" w:color="auto"/>
                    <w:right w:val="none" w:sz="0" w:space="0" w:color="auto"/>
                  </w:divBdr>
                  <w:divsChild>
                    <w:div w:id="1648169516">
                      <w:marLeft w:val="0"/>
                      <w:marRight w:val="0"/>
                      <w:marTop w:val="0"/>
                      <w:marBottom w:val="0"/>
                      <w:divBdr>
                        <w:top w:val="none" w:sz="0" w:space="0" w:color="auto"/>
                        <w:left w:val="none" w:sz="0" w:space="0" w:color="auto"/>
                        <w:bottom w:val="none" w:sz="0" w:space="0" w:color="auto"/>
                        <w:right w:val="none" w:sz="0" w:space="0" w:color="auto"/>
                      </w:divBdr>
                    </w:div>
                  </w:divsChild>
                </w:div>
                <w:div w:id="1129126711">
                  <w:marLeft w:val="0"/>
                  <w:marRight w:val="0"/>
                  <w:marTop w:val="0"/>
                  <w:marBottom w:val="0"/>
                  <w:divBdr>
                    <w:top w:val="none" w:sz="0" w:space="0" w:color="auto"/>
                    <w:left w:val="none" w:sz="0" w:space="0" w:color="auto"/>
                    <w:bottom w:val="none" w:sz="0" w:space="0" w:color="auto"/>
                    <w:right w:val="none" w:sz="0" w:space="0" w:color="auto"/>
                  </w:divBdr>
                  <w:divsChild>
                    <w:div w:id="1600411102">
                      <w:marLeft w:val="0"/>
                      <w:marRight w:val="0"/>
                      <w:marTop w:val="0"/>
                      <w:marBottom w:val="0"/>
                      <w:divBdr>
                        <w:top w:val="none" w:sz="0" w:space="0" w:color="auto"/>
                        <w:left w:val="none" w:sz="0" w:space="0" w:color="auto"/>
                        <w:bottom w:val="none" w:sz="0" w:space="0" w:color="auto"/>
                        <w:right w:val="none" w:sz="0" w:space="0" w:color="auto"/>
                      </w:divBdr>
                    </w:div>
                  </w:divsChild>
                </w:div>
                <w:div w:id="1146315025">
                  <w:marLeft w:val="0"/>
                  <w:marRight w:val="0"/>
                  <w:marTop w:val="0"/>
                  <w:marBottom w:val="0"/>
                  <w:divBdr>
                    <w:top w:val="none" w:sz="0" w:space="0" w:color="auto"/>
                    <w:left w:val="none" w:sz="0" w:space="0" w:color="auto"/>
                    <w:bottom w:val="none" w:sz="0" w:space="0" w:color="auto"/>
                    <w:right w:val="none" w:sz="0" w:space="0" w:color="auto"/>
                  </w:divBdr>
                  <w:divsChild>
                    <w:div w:id="56367888">
                      <w:marLeft w:val="0"/>
                      <w:marRight w:val="0"/>
                      <w:marTop w:val="0"/>
                      <w:marBottom w:val="0"/>
                      <w:divBdr>
                        <w:top w:val="none" w:sz="0" w:space="0" w:color="auto"/>
                        <w:left w:val="none" w:sz="0" w:space="0" w:color="auto"/>
                        <w:bottom w:val="none" w:sz="0" w:space="0" w:color="auto"/>
                        <w:right w:val="none" w:sz="0" w:space="0" w:color="auto"/>
                      </w:divBdr>
                    </w:div>
                  </w:divsChild>
                </w:div>
                <w:div w:id="1148211840">
                  <w:marLeft w:val="0"/>
                  <w:marRight w:val="0"/>
                  <w:marTop w:val="0"/>
                  <w:marBottom w:val="0"/>
                  <w:divBdr>
                    <w:top w:val="none" w:sz="0" w:space="0" w:color="auto"/>
                    <w:left w:val="none" w:sz="0" w:space="0" w:color="auto"/>
                    <w:bottom w:val="none" w:sz="0" w:space="0" w:color="auto"/>
                    <w:right w:val="none" w:sz="0" w:space="0" w:color="auto"/>
                  </w:divBdr>
                  <w:divsChild>
                    <w:div w:id="1726685131">
                      <w:marLeft w:val="0"/>
                      <w:marRight w:val="0"/>
                      <w:marTop w:val="0"/>
                      <w:marBottom w:val="0"/>
                      <w:divBdr>
                        <w:top w:val="none" w:sz="0" w:space="0" w:color="auto"/>
                        <w:left w:val="none" w:sz="0" w:space="0" w:color="auto"/>
                        <w:bottom w:val="none" w:sz="0" w:space="0" w:color="auto"/>
                        <w:right w:val="none" w:sz="0" w:space="0" w:color="auto"/>
                      </w:divBdr>
                    </w:div>
                  </w:divsChild>
                </w:div>
                <w:div w:id="1182627480">
                  <w:marLeft w:val="0"/>
                  <w:marRight w:val="0"/>
                  <w:marTop w:val="0"/>
                  <w:marBottom w:val="0"/>
                  <w:divBdr>
                    <w:top w:val="none" w:sz="0" w:space="0" w:color="auto"/>
                    <w:left w:val="none" w:sz="0" w:space="0" w:color="auto"/>
                    <w:bottom w:val="none" w:sz="0" w:space="0" w:color="auto"/>
                    <w:right w:val="none" w:sz="0" w:space="0" w:color="auto"/>
                  </w:divBdr>
                  <w:divsChild>
                    <w:div w:id="1813714303">
                      <w:marLeft w:val="0"/>
                      <w:marRight w:val="0"/>
                      <w:marTop w:val="0"/>
                      <w:marBottom w:val="0"/>
                      <w:divBdr>
                        <w:top w:val="none" w:sz="0" w:space="0" w:color="auto"/>
                        <w:left w:val="none" w:sz="0" w:space="0" w:color="auto"/>
                        <w:bottom w:val="none" w:sz="0" w:space="0" w:color="auto"/>
                        <w:right w:val="none" w:sz="0" w:space="0" w:color="auto"/>
                      </w:divBdr>
                    </w:div>
                  </w:divsChild>
                </w:div>
                <w:div w:id="1196387367">
                  <w:marLeft w:val="0"/>
                  <w:marRight w:val="0"/>
                  <w:marTop w:val="0"/>
                  <w:marBottom w:val="0"/>
                  <w:divBdr>
                    <w:top w:val="none" w:sz="0" w:space="0" w:color="auto"/>
                    <w:left w:val="none" w:sz="0" w:space="0" w:color="auto"/>
                    <w:bottom w:val="none" w:sz="0" w:space="0" w:color="auto"/>
                    <w:right w:val="none" w:sz="0" w:space="0" w:color="auto"/>
                  </w:divBdr>
                  <w:divsChild>
                    <w:div w:id="1247959195">
                      <w:marLeft w:val="0"/>
                      <w:marRight w:val="0"/>
                      <w:marTop w:val="0"/>
                      <w:marBottom w:val="0"/>
                      <w:divBdr>
                        <w:top w:val="none" w:sz="0" w:space="0" w:color="auto"/>
                        <w:left w:val="none" w:sz="0" w:space="0" w:color="auto"/>
                        <w:bottom w:val="none" w:sz="0" w:space="0" w:color="auto"/>
                        <w:right w:val="none" w:sz="0" w:space="0" w:color="auto"/>
                      </w:divBdr>
                    </w:div>
                  </w:divsChild>
                </w:div>
                <w:div w:id="1210651126">
                  <w:marLeft w:val="0"/>
                  <w:marRight w:val="0"/>
                  <w:marTop w:val="0"/>
                  <w:marBottom w:val="0"/>
                  <w:divBdr>
                    <w:top w:val="none" w:sz="0" w:space="0" w:color="auto"/>
                    <w:left w:val="none" w:sz="0" w:space="0" w:color="auto"/>
                    <w:bottom w:val="none" w:sz="0" w:space="0" w:color="auto"/>
                    <w:right w:val="none" w:sz="0" w:space="0" w:color="auto"/>
                  </w:divBdr>
                  <w:divsChild>
                    <w:div w:id="96565515">
                      <w:marLeft w:val="0"/>
                      <w:marRight w:val="0"/>
                      <w:marTop w:val="0"/>
                      <w:marBottom w:val="0"/>
                      <w:divBdr>
                        <w:top w:val="none" w:sz="0" w:space="0" w:color="auto"/>
                        <w:left w:val="none" w:sz="0" w:space="0" w:color="auto"/>
                        <w:bottom w:val="none" w:sz="0" w:space="0" w:color="auto"/>
                        <w:right w:val="none" w:sz="0" w:space="0" w:color="auto"/>
                      </w:divBdr>
                    </w:div>
                  </w:divsChild>
                </w:div>
                <w:div w:id="1214274294">
                  <w:marLeft w:val="0"/>
                  <w:marRight w:val="0"/>
                  <w:marTop w:val="0"/>
                  <w:marBottom w:val="0"/>
                  <w:divBdr>
                    <w:top w:val="none" w:sz="0" w:space="0" w:color="auto"/>
                    <w:left w:val="none" w:sz="0" w:space="0" w:color="auto"/>
                    <w:bottom w:val="none" w:sz="0" w:space="0" w:color="auto"/>
                    <w:right w:val="none" w:sz="0" w:space="0" w:color="auto"/>
                  </w:divBdr>
                  <w:divsChild>
                    <w:div w:id="1158692850">
                      <w:marLeft w:val="0"/>
                      <w:marRight w:val="0"/>
                      <w:marTop w:val="0"/>
                      <w:marBottom w:val="0"/>
                      <w:divBdr>
                        <w:top w:val="none" w:sz="0" w:space="0" w:color="auto"/>
                        <w:left w:val="none" w:sz="0" w:space="0" w:color="auto"/>
                        <w:bottom w:val="none" w:sz="0" w:space="0" w:color="auto"/>
                        <w:right w:val="none" w:sz="0" w:space="0" w:color="auto"/>
                      </w:divBdr>
                    </w:div>
                  </w:divsChild>
                </w:div>
                <w:div w:id="1225986749">
                  <w:marLeft w:val="0"/>
                  <w:marRight w:val="0"/>
                  <w:marTop w:val="0"/>
                  <w:marBottom w:val="0"/>
                  <w:divBdr>
                    <w:top w:val="none" w:sz="0" w:space="0" w:color="auto"/>
                    <w:left w:val="none" w:sz="0" w:space="0" w:color="auto"/>
                    <w:bottom w:val="none" w:sz="0" w:space="0" w:color="auto"/>
                    <w:right w:val="none" w:sz="0" w:space="0" w:color="auto"/>
                  </w:divBdr>
                  <w:divsChild>
                    <w:div w:id="114906734">
                      <w:marLeft w:val="0"/>
                      <w:marRight w:val="0"/>
                      <w:marTop w:val="0"/>
                      <w:marBottom w:val="0"/>
                      <w:divBdr>
                        <w:top w:val="none" w:sz="0" w:space="0" w:color="auto"/>
                        <w:left w:val="none" w:sz="0" w:space="0" w:color="auto"/>
                        <w:bottom w:val="none" w:sz="0" w:space="0" w:color="auto"/>
                        <w:right w:val="none" w:sz="0" w:space="0" w:color="auto"/>
                      </w:divBdr>
                    </w:div>
                  </w:divsChild>
                </w:div>
                <w:div w:id="1249537395">
                  <w:marLeft w:val="0"/>
                  <w:marRight w:val="0"/>
                  <w:marTop w:val="0"/>
                  <w:marBottom w:val="0"/>
                  <w:divBdr>
                    <w:top w:val="none" w:sz="0" w:space="0" w:color="auto"/>
                    <w:left w:val="none" w:sz="0" w:space="0" w:color="auto"/>
                    <w:bottom w:val="none" w:sz="0" w:space="0" w:color="auto"/>
                    <w:right w:val="none" w:sz="0" w:space="0" w:color="auto"/>
                  </w:divBdr>
                  <w:divsChild>
                    <w:div w:id="1711109634">
                      <w:marLeft w:val="0"/>
                      <w:marRight w:val="0"/>
                      <w:marTop w:val="0"/>
                      <w:marBottom w:val="0"/>
                      <w:divBdr>
                        <w:top w:val="none" w:sz="0" w:space="0" w:color="auto"/>
                        <w:left w:val="none" w:sz="0" w:space="0" w:color="auto"/>
                        <w:bottom w:val="none" w:sz="0" w:space="0" w:color="auto"/>
                        <w:right w:val="none" w:sz="0" w:space="0" w:color="auto"/>
                      </w:divBdr>
                    </w:div>
                  </w:divsChild>
                </w:div>
                <w:div w:id="1252012705">
                  <w:marLeft w:val="0"/>
                  <w:marRight w:val="0"/>
                  <w:marTop w:val="0"/>
                  <w:marBottom w:val="0"/>
                  <w:divBdr>
                    <w:top w:val="none" w:sz="0" w:space="0" w:color="auto"/>
                    <w:left w:val="none" w:sz="0" w:space="0" w:color="auto"/>
                    <w:bottom w:val="none" w:sz="0" w:space="0" w:color="auto"/>
                    <w:right w:val="none" w:sz="0" w:space="0" w:color="auto"/>
                  </w:divBdr>
                  <w:divsChild>
                    <w:div w:id="1959947066">
                      <w:marLeft w:val="0"/>
                      <w:marRight w:val="0"/>
                      <w:marTop w:val="0"/>
                      <w:marBottom w:val="0"/>
                      <w:divBdr>
                        <w:top w:val="none" w:sz="0" w:space="0" w:color="auto"/>
                        <w:left w:val="none" w:sz="0" w:space="0" w:color="auto"/>
                        <w:bottom w:val="none" w:sz="0" w:space="0" w:color="auto"/>
                        <w:right w:val="none" w:sz="0" w:space="0" w:color="auto"/>
                      </w:divBdr>
                    </w:div>
                  </w:divsChild>
                </w:div>
                <w:div w:id="1253124537">
                  <w:marLeft w:val="0"/>
                  <w:marRight w:val="0"/>
                  <w:marTop w:val="0"/>
                  <w:marBottom w:val="0"/>
                  <w:divBdr>
                    <w:top w:val="none" w:sz="0" w:space="0" w:color="auto"/>
                    <w:left w:val="none" w:sz="0" w:space="0" w:color="auto"/>
                    <w:bottom w:val="none" w:sz="0" w:space="0" w:color="auto"/>
                    <w:right w:val="none" w:sz="0" w:space="0" w:color="auto"/>
                  </w:divBdr>
                  <w:divsChild>
                    <w:div w:id="1721782563">
                      <w:marLeft w:val="0"/>
                      <w:marRight w:val="0"/>
                      <w:marTop w:val="0"/>
                      <w:marBottom w:val="0"/>
                      <w:divBdr>
                        <w:top w:val="none" w:sz="0" w:space="0" w:color="auto"/>
                        <w:left w:val="none" w:sz="0" w:space="0" w:color="auto"/>
                        <w:bottom w:val="none" w:sz="0" w:space="0" w:color="auto"/>
                        <w:right w:val="none" w:sz="0" w:space="0" w:color="auto"/>
                      </w:divBdr>
                    </w:div>
                  </w:divsChild>
                </w:div>
                <w:div w:id="1260093254">
                  <w:marLeft w:val="0"/>
                  <w:marRight w:val="0"/>
                  <w:marTop w:val="0"/>
                  <w:marBottom w:val="0"/>
                  <w:divBdr>
                    <w:top w:val="none" w:sz="0" w:space="0" w:color="auto"/>
                    <w:left w:val="none" w:sz="0" w:space="0" w:color="auto"/>
                    <w:bottom w:val="none" w:sz="0" w:space="0" w:color="auto"/>
                    <w:right w:val="none" w:sz="0" w:space="0" w:color="auto"/>
                  </w:divBdr>
                  <w:divsChild>
                    <w:div w:id="2118715324">
                      <w:marLeft w:val="0"/>
                      <w:marRight w:val="0"/>
                      <w:marTop w:val="0"/>
                      <w:marBottom w:val="0"/>
                      <w:divBdr>
                        <w:top w:val="none" w:sz="0" w:space="0" w:color="auto"/>
                        <w:left w:val="none" w:sz="0" w:space="0" w:color="auto"/>
                        <w:bottom w:val="none" w:sz="0" w:space="0" w:color="auto"/>
                        <w:right w:val="none" w:sz="0" w:space="0" w:color="auto"/>
                      </w:divBdr>
                    </w:div>
                  </w:divsChild>
                </w:div>
                <w:div w:id="1301156237">
                  <w:marLeft w:val="0"/>
                  <w:marRight w:val="0"/>
                  <w:marTop w:val="0"/>
                  <w:marBottom w:val="0"/>
                  <w:divBdr>
                    <w:top w:val="none" w:sz="0" w:space="0" w:color="auto"/>
                    <w:left w:val="none" w:sz="0" w:space="0" w:color="auto"/>
                    <w:bottom w:val="none" w:sz="0" w:space="0" w:color="auto"/>
                    <w:right w:val="none" w:sz="0" w:space="0" w:color="auto"/>
                  </w:divBdr>
                  <w:divsChild>
                    <w:div w:id="741949500">
                      <w:marLeft w:val="0"/>
                      <w:marRight w:val="0"/>
                      <w:marTop w:val="0"/>
                      <w:marBottom w:val="0"/>
                      <w:divBdr>
                        <w:top w:val="none" w:sz="0" w:space="0" w:color="auto"/>
                        <w:left w:val="none" w:sz="0" w:space="0" w:color="auto"/>
                        <w:bottom w:val="none" w:sz="0" w:space="0" w:color="auto"/>
                        <w:right w:val="none" w:sz="0" w:space="0" w:color="auto"/>
                      </w:divBdr>
                    </w:div>
                  </w:divsChild>
                </w:div>
                <w:div w:id="1313020997">
                  <w:marLeft w:val="0"/>
                  <w:marRight w:val="0"/>
                  <w:marTop w:val="0"/>
                  <w:marBottom w:val="0"/>
                  <w:divBdr>
                    <w:top w:val="none" w:sz="0" w:space="0" w:color="auto"/>
                    <w:left w:val="none" w:sz="0" w:space="0" w:color="auto"/>
                    <w:bottom w:val="none" w:sz="0" w:space="0" w:color="auto"/>
                    <w:right w:val="none" w:sz="0" w:space="0" w:color="auto"/>
                  </w:divBdr>
                  <w:divsChild>
                    <w:div w:id="1109622088">
                      <w:marLeft w:val="0"/>
                      <w:marRight w:val="0"/>
                      <w:marTop w:val="0"/>
                      <w:marBottom w:val="0"/>
                      <w:divBdr>
                        <w:top w:val="none" w:sz="0" w:space="0" w:color="auto"/>
                        <w:left w:val="none" w:sz="0" w:space="0" w:color="auto"/>
                        <w:bottom w:val="none" w:sz="0" w:space="0" w:color="auto"/>
                        <w:right w:val="none" w:sz="0" w:space="0" w:color="auto"/>
                      </w:divBdr>
                    </w:div>
                  </w:divsChild>
                </w:div>
                <w:div w:id="1327244749">
                  <w:marLeft w:val="0"/>
                  <w:marRight w:val="0"/>
                  <w:marTop w:val="0"/>
                  <w:marBottom w:val="0"/>
                  <w:divBdr>
                    <w:top w:val="none" w:sz="0" w:space="0" w:color="auto"/>
                    <w:left w:val="none" w:sz="0" w:space="0" w:color="auto"/>
                    <w:bottom w:val="none" w:sz="0" w:space="0" w:color="auto"/>
                    <w:right w:val="none" w:sz="0" w:space="0" w:color="auto"/>
                  </w:divBdr>
                  <w:divsChild>
                    <w:div w:id="569191576">
                      <w:marLeft w:val="0"/>
                      <w:marRight w:val="0"/>
                      <w:marTop w:val="0"/>
                      <w:marBottom w:val="0"/>
                      <w:divBdr>
                        <w:top w:val="none" w:sz="0" w:space="0" w:color="auto"/>
                        <w:left w:val="none" w:sz="0" w:space="0" w:color="auto"/>
                        <w:bottom w:val="none" w:sz="0" w:space="0" w:color="auto"/>
                        <w:right w:val="none" w:sz="0" w:space="0" w:color="auto"/>
                      </w:divBdr>
                    </w:div>
                  </w:divsChild>
                </w:div>
                <w:div w:id="1327707109">
                  <w:marLeft w:val="0"/>
                  <w:marRight w:val="0"/>
                  <w:marTop w:val="0"/>
                  <w:marBottom w:val="0"/>
                  <w:divBdr>
                    <w:top w:val="none" w:sz="0" w:space="0" w:color="auto"/>
                    <w:left w:val="none" w:sz="0" w:space="0" w:color="auto"/>
                    <w:bottom w:val="none" w:sz="0" w:space="0" w:color="auto"/>
                    <w:right w:val="none" w:sz="0" w:space="0" w:color="auto"/>
                  </w:divBdr>
                  <w:divsChild>
                    <w:div w:id="466750283">
                      <w:marLeft w:val="0"/>
                      <w:marRight w:val="0"/>
                      <w:marTop w:val="0"/>
                      <w:marBottom w:val="0"/>
                      <w:divBdr>
                        <w:top w:val="none" w:sz="0" w:space="0" w:color="auto"/>
                        <w:left w:val="none" w:sz="0" w:space="0" w:color="auto"/>
                        <w:bottom w:val="none" w:sz="0" w:space="0" w:color="auto"/>
                        <w:right w:val="none" w:sz="0" w:space="0" w:color="auto"/>
                      </w:divBdr>
                    </w:div>
                  </w:divsChild>
                </w:div>
                <w:div w:id="1338966153">
                  <w:marLeft w:val="0"/>
                  <w:marRight w:val="0"/>
                  <w:marTop w:val="0"/>
                  <w:marBottom w:val="0"/>
                  <w:divBdr>
                    <w:top w:val="none" w:sz="0" w:space="0" w:color="auto"/>
                    <w:left w:val="none" w:sz="0" w:space="0" w:color="auto"/>
                    <w:bottom w:val="none" w:sz="0" w:space="0" w:color="auto"/>
                    <w:right w:val="none" w:sz="0" w:space="0" w:color="auto"/>
                  </w:divBdr>
                  <w:divsChild>
                    <w:div w:id="128213364">
                      <w:marLeft w:val="0"/>
                      <w:marRight w:val="0"/>
                      <w:marTop w:val="0"/>
                      <w:marBottom w:val="0"/>
                      <w:divBdr>
                        <w:top w:val="none" w:sz="0" w:space="0" w:color="auto"/>
                        <w:left w:val="none" w:sz="0" w:space="0" w:color="auto"/>
                        <w:bottom w:val="none" w:sz="0" w:space="0" w:color="auto"/>
                        <w:right w:val="none" w:sz="0" w:space="0" w:color="auto"/>
                      </w:divBdr>
                    </w:div>
                  </w:divsChild>
                </w:div>
                <w:div w:id="1345747248">
                  <w:marLeft w:val="0"/>
                  <w:marRight w:val="0"/>
                  <w:marTop w:val="0"/>
                  <w:marBottom w:val="0"/>
                  <w:divBdr>
                    <w:top w:val="none" w:sz="0" w:space="0" w:color="auto"/>
                    <w:left w:val="none" w:sz="0" w:space="0" w:color="auto"/>
                    <w:bottom w:val="none" w:sz="0" w:space="0" w:color="auto"/>
                    <w:right w:val="none" w:sz="0" w:space="0" w:color="auto"/>
                  </w:divBdr>
                  <w:divsChild>
                    <w:div w:id="966162185">
                      <w:marLeft w:val="0"/>
                      <w:marRight w:val="0"/>
                      <w:marTop w:val="0"/>
                      <w:marBottom w:val="0"/>
                      <w:divBdr>
                        <w:top w:val="none" w:sz="0" w:space="0" w:color="auto"/>
                        <w:left w:val="none" w:sz="0" w:space="0" w:color="auto"/>
                        <w:bottom w:val="none" w:sz="0" w:space="0" w:color="auto"/>
                        <w:right w:val="none" w:sz="0" w:space="0" w:color="auto"/>
                      </w:divBdr>
                    </w:div>
                  </w:divsChild>
                </w:div>
                <w:div w:id="1350447283">
                  <w:marLeft w:val="0"/>
                  <w:marRight w:val="0"/>
                  <w:marTop w:val="0"/>
                  <w:marBottom w:val="0"/>
                  <w:divBdr>
                    <w:top w:val="none" w:sz="0" w:space="0" w:color="auto"/>
                    <w:left w:val="none" w:sz="0" w:space="0" w:color="auto"/>
                    <w:bottom w:val="none" w:sz="0" w:space="0" w:color="auto"/>
                    <w:right w:val="none" w:sz="0" w:space="0" w:color="auto"/>
                  </w:divBdr>
                  <w:divsChild>
                    <w:div w:id="444349389">
                      <w:marLeft w:val="0"/>
                      <w:marRight w:val="0"/>
                      <w:marTop w:val="0"/>
                      <w:marBottom w:val="0"/>
                      <w:divBdr>
                        <w:top w:val="none" w:sz="0" w:space="0" w:color="auto"/>
                        <w:left w:val="none" w:sz="0" w:space="0" w:color="auto"/>
                        <w:bottom w:val="none" w:sz="0" w:space="0" w:color="auto"/>
                        <w:right w:val="none" w:sz="0" w:space="0" w:color="auto"/>
                      </w:divBdr>
                    </w:div>
                  </w:divsChild>
                </w:div>
                <w:div w:id="1386222591">
                  <w:marLeft w:val="0"/>
                  <w:marRight w:val="0"/>
                  <w:marTop w:val="0"/>
                  <w:marBottom w:val="0"/>
                  <w:divBdr>
                    <w:top w:val="none" w:sz="0" w:space="0" w:color="auto"/>
                    <w:left w:val="none" w:sz="0" w:space="0" w:color="auto"/>
                    <w:bottom w:val="none" w:sz="0" w:space="0" w:color="auto"/>
                    <w:right w:val="none" w:sz="0" w:space="0" w:color="auto"/>
                  </w:divBdr>
                  <w:divsChild>
                    <w:div w:id="476647574">
                      <w:marLeft w:val="0"/>
                      <w:marRight w:val="0"/>
                      <w:marTop w:val="0"/>
                      <w:marBottom w:val="0"/>
                      <w:divBdr>
                        <w:top w:val="none" w:sz="0" w:space="0" w:color="auto"/>
                        <w:left w:val="none" w:sz="0" w:space="0" w:color="auto"/>
                        <w:bottom w:val="none" w:sz="0" w:space="0" w:color="auto"/>
                        <w:right w:val="none" w:sz="0" w:space="0" w:color="auto"/>
                      </w:divBdr>
                    </w:div>
                  </w:divsChild>
                </w:div>
                <w:div w:id="1405759300">
                  <w:marLeft w:val="0"/>
                  <w:marRight w:val="0"/>
                  <w:marTop w:val="0"/>
                  <w:marBottom w:val="0"/>
                  <w:divBdr>
                    <w:top w:val="none" w:sz="0" w:space="0" w:color="auto"/>
                    <w:left w:val="none" w:sz="0" w:space="0" w:color="auto"/>
                    <w:bottom w:val="none" w:sz="0" w:space="0" w:color="auto"/>
                    <w:right w:val="none" w:sz="0" w:space="0" w:color="auto"/>
                  </w:divBdr>
                  <w:divsChild>
                    <w:div w:id="1987666509">
                      <w:marLeft w:val="0"/>
                      <w:marRight w:val="0"/>
                      <w:marTop w:val="0"/>
                      <w:marBottom w:val="0"/>
                      <w:divBdr>
                        <w:top w:val="none" w:sz="0" w:space="0" w:color="auto"/>
                        <w:left w:val="none" w:sz="0" w:space="0" w:color="auto"/>
                        <w:bottom w:val="none" w:sz="0" w:space="0" w:color="auto"/>
                        <w:right w:val="none" w:sz="0" w:space="0" w:color="auto"/>
                      </w:divBdr>
                    </w:div>
                  </w:divsChild>
                </w:div>
                <w:div w:id="1416593262">
                  <w:marLeft w:val="0"/>
                  <w:marRight w:val="0"/>
                  <w:marTop w:val="0"/>
                  <w:marBottom w:val="0"/>
                  <w:divBdr>
                    <w:top w:val="none" w:sz="0" w:space="0" w:color="auto"/>
                    <w:left w:val="none" w:sz="0" w:space="0" w:color="auto"/>
                    <w:bottom w:val="none" w:sz="0" w:space="0" w:color="auto"/>
                    <w:right w:val="none" w:sz="0" w:space="0" w:color="auto"/>
                  </w:divBdr>
                  <w:divsChild>
                    <w:div w:id="1228612182">
                      <w:marLeft w:val="0"/>
                      <w:marRight w:val="0"/>
                      <w:marTop w:val="0"/>
                      <w:marBottom w:val="0"/>
                      <w:divBdr>
                        <w:top w:val="none" w:sz="0" w:space="0" w:color="auto"/>
                        <w:left w:val="none" w:sz="0" w:space="0" w:color="auto"/>
                        <w:bottom w:val="none" w:sz="0" w:space="0" w:color="auto"/>
                        <w:right w:val="none" w:sz="0" w:space="0" w:color="auto"/>
                      </w:divBdr>
                    </w:div>
                  </w:divsChild>
                </w:div>
                <w:div w:id="1437871522">
                  <w:marLeft w:val="0"/>
                  <w:marRight w:val="0"/>
                  <w:marTop w:val="0"/>
                  <w:marBottom w:val="0"/>
                  <w:divBdr>
                    <w:top w:val="none" w:sz="0" w:space="0" w:color="auto"/>
                    <w:left w:val="none" w:sz="0" w:space="0" w:color="auto"/>
                    <w:bottom w:val="none" w:sz="0" w:space="0" w:color="auto"/>
                    <w:right w:val="none" w:sz="0" w:space="0" w:color="auto"/>
                  </w:divBdr>
                  <w:divsChild>
                    <w:div w:id="1989092123">
                      <w:marLeft w:val="0"/>
                      <w:marRight w:val="0"/>
                      <w:marTop w:val="0"/>
                      <w:marBottom w:val="0"/>
                      <w:divBdr>
                        <w:top w:val="none" w:sz="0" w:space="0" w:color="auto"/>
                        <w:left w:val="none" w:sz="0" w:space="0" w:color="auto"/>
                        <w:bottom w:val="none" w:sz="0" w:space="0" w:color="auto"/>
                        <w:right w:val="none" w:sz="0" w:space="0" w:color="auto"/>
                      </w:divBdr>
                    </w:div>
                  </w:divsChild>
                </w:div>
                <w:div w:id="1444885853">
                  <w:marLeft w:val="0"/>
                  <w:marRight w:val="0"/>
                  <w:marTop w:val="0"/>
                  <w:marBottom w:val="0"/>
                  <w:divBdr>
                    <w:top w:val="none" w:sz="0" w:space="0" w:color="auto"/>
                    <w:left w:val="none" w:sz="0" w:space="0" w:color="auto"/>
                    <w:bottom w:val="none" w:sz="0" w:space="0" w:color="auto"/>
                    <w:right w:val="none" w:sz="0" w:space="0" w:color="auto"/>
                  </w:divBdr>
                  <w:divsChild>
                    <w:div w:id="1191453724">
                      <w:marLeft w:val="0"/>
                      <w:marRight w:val="0"/>
                      <w:marTop w:val="0"/>
                      <w:marBottom w:val="0"/>
                      <w:divBdr>
                        <w:top w:val="none" w:sz="0" w:space="0" w:color="auto"/>
                        <w:left w:val="none" w:sz="0" w:space="0" w:color="auto"/>
                        <w:bottom w:val="none" w:sz="0" w:space="0" w:color="auto"/>
                        <w:right w:val="none" w:sz="0" w:space="0" w:color="auto"/>
                      </w:divBdr>
                    </w:div>
                  </w:divsChild>
                </w:div>
                <w:div w:id="1451319122">
                  <w:marLeft w:val="0"/>
                  <w:marRight w:val="0"/>
                  <w:marTop w:val="0"/>
                  <w:marBottom w:val="0"/>
                  <w:divBdr>
                    <w:top w:val="none" w:sz="0" w:space="0" w:color="auto"/>
                    <w:left w:val="none" w:sz="0" w:space="0" w:color="auto"/>
                    <w:bottom w:val="none" w:sz="0" w:space="0" w:color="auto"/>
                    <w:right w:val="none" w:sz="0" w:space="0" w:color="auto"/>
                  </w:divBdr>
                  <w:divsChild>
                    <w:div w:id="16851923">
                      <w:marLeft w:val="0"/>
                      <w:marRight w:val="0"/>
                      <w:marTop w:val="0"/>
                      <w:marBottom w:val="0"/>
                      <w:divBdr>
                        <w:top w:val="none" w:sz="0" w:space="0" w:color="auto"/>
                        <w:left w:val="none" w:sz="0" w:space="0" w:color="auto"/>
                        <w:bottom w:val="none" w:sz="0" w:space="0" w:color="auto"/>
                        <w:right w:val="none" w:sz="0" w:space="0" w:color="auto"/>
                      </w:divBdr>
                    </w:div>
                  </w:divsChild>
                </w:div>
                <w:div w:id="1451365472">
                  <w:marLeft w:val="0"/>
                  <w:marRight w:val="0"/>
                  <w:marTop w:val="0"/>
                  <w:marBottom w:val="0"/>
                  <w:divBdr>
                    <w:top w:val="none" w:sz="0" w:space="0" w:color="auto"/>
                    <w:left w:val="none" w:sz="0" w:space="0" w:color="auto"/>
                    <w:bottom w:val="none" w:sz="0" w:space="0" w:color="auto"/>
                    <w:right w:val="none" w:sz="0" w:space="0" w:color="auto"/>
                  </w:divBdr>
                  <w:divsChild>
                    <w:div w:id="2067870566">
                      <w:marLeft w:val="0"/>
                      <w:marRight w:val="0"/>
                      <w:marTop w:val="0"/>
                      <w:marBottom w:val="0"/>
                      <w:divBdr>
                        <w:top w:val="none" w:sz="0" w:space="0" w:color="auto"/>
                        <w:left w:val="none" w:sz="0" w:space="0" w:color="auto"/>
                        <w:bottom w:val="none" w:sz="0" w:space="0" w:color="auto"/>
                        <w:right w:val="none" w:sz="0" w:space="0" w:color="auto"/>
                      </w:divBdr>
                    </w:div>
                  </w:divsChild>
                </w:div>
                <w:div w:id="1452243259">
                  <w:marLeft w:val="0"/>
                  <w:marRight w:val="0"/>
                  <w:marTop w:val="0"/>
                  <w:marBottom w:val="0"/>
                  <w:divBdr>
                    <w:top w:val="none" w:sz="0" w:space="0" w:color="auto"/>
                    <w:left w:val="none" w:sz="0" w:space="0" w:color="auto"/>
                    <w:bottom w:val="none" w:sz="0" w:space="0" w:color="auto"/>
                    <w:right w:val="none" w:sz="0" w:space="0" w:color="auto"/>
                  </w:divBdr>
                  <w:divsChild>
                    <w:div w:id="551187226">
                      <w:marLeft w:val="0"/>
                      <w:marRight w:val="0"/>
                      <w:marTop w:val="0"/>
                      <w:marBottom w:val="0"/>
                      <w:divBdr>
                        <w:top w:val="none" w:sz="0" w:space="0" w:color="auto"/>
                        <w:left w:val="none" w:sz="0" w:space="0" w:color="auto"/>
                        <w:bottom w:val="none" w:sz="0" w:space="0" w:color="auto"/>
                        <w:right w:val="none" w:sz="0" w:space="0" w:color="auto"/>
                      </w:divBdr>
                    </w:div>
                  </w:divsChild>
                </w:div>
                <w:div w:id="1457793368">
                  <w:marLeft w:val="0"/>
                  <w:marRight w:val="0"/>
                  <w:marTop w:val="0"/>
                  <w:marBottom w:val="0"/>
                  <w:divBdr>
                    <w:top w:val="none" w:sz="0" w:space="0" w:color="auto"/>
                    <w:left w:val="none" w:sz="0" w:space="0" w:color="auto"/>
                    <w:bottom w:val="none" w:sz="0" w:space="0" w:color="auto"/>
                    <w:right w:val="none" w:sz="0" w:space="0" w:color="auto"/>
                  </w:divBdr>
                  <w:divsChild>
                    <w:div w:id="77483629">
                      <w:marLeft w:val="0"/>
                      <w:marRight w:val="0"/>
                      <w:marTop w:val="0"/>
                      <w:marBottom w:val="0"/>
                      <w:divBdr>
                        <w:top w:val="none" w:sz="0" w:space="0" w:color="auto"/>
                        <w:left w:val="none" w:sz="0" w:space="0" w:color="auto"/>
                        <w:bottom w:val="none" w:sz="0" w:space="0" w:color="auto"/>
                        <w:right w:val="none" w:sz="0" w:space="0" w:color="auto"/>
                      </w:divBdr>
                    </w:div>
                  </w:divsChild>
                </w:div>
                <w:div w:id="1460031224">
                  <w:marLeft w:val="0"/>
                  <w:marRight w:val="0"/>
                  <w:marTop w:val="0"/>
                  <w:marBottom w:val="0"/>
                  <w:divBdr>
                    <w:top w:val="none" w:sz="0" w:space="0" w:color="auto"/>
                    <w:left w:val="none" w:sz="0" w:space="0" w:color="auto"/>
                    <w:bottom w:val="none" w:sz="0" w:space="0" w:color="auto"/>
                    <w:right w:val="none" w:sz="0" w:space="0" w:color="auto"/>
                  </w:divBdr>
                  <w:divsChild>
                    <w:div w:id="1677725666">
                      <w:marLeft w:val="0"/>
                      <w:marRight w:val="0"/>
                      <w:marTop w:val="0"/>
                      <w:marBottom w:val="0"/>
                      <w:divBdr>
                        <w:top w:val="none" w:sz="0" w:space="0" w:color="auto"/>
                        <w:left w:val="none" w:sz="0" w:space="0" w:color="auto"/>
                        <w:bottom w:val="none" w:sz="0" w:space="0" w:color="auto"/>
                        <w:right w:val="none" w:sz="0" w:space="0" w:color="auto"/>
                      </w:divBdr>
                    </w:div>
                  </w:divsChild>
                </w:div>
                <w:div w:id="1464693018">
                  <w:marLeft w:val="0"/>
                  <w:marRight w:val="0"/>
                  <w:marTop w:val="0"/>
                  <w:marBottom w:val="0"/>
                  <w:divBdr>
                    <w:top w:val="none" w:sz="0" w:space="0" w:color="auto"/>
                    <w:left w:val="none" w:sz="0" w:space="0" w:color="auto"/>
                    <w:bottom w:val="none" w:sz="0" w:space="0" w:color="auto"/>
                    <w:right w:val="none" w:sz="0" w:space="0" w:color="auto"/>
                  </w:divBdr>
                  <w:divsChild>
                    <w:div w:id="556823452">
                      <w:marLeft w:val="0"/>
                      <w:marRight w:val="0"/>
                      <w:marTop w:val="0"/>
                      <w:marBottom w:val="0"/>
                      <w:divBdr>
                        <w:top w:val="none" w:sz="0" w:space="0" w:color="auto"/>
                        <w:left w:val="none" w:sz="0" w:space="0" w:color="auto"/>
                        <w:bottom w:val="none" w:sz="0" w:space="0" w:color="auto"/>
                        <w:right w:val="none" w:sz="0" w:space="0" w:color="auto"/>
                      </w:divBdr>
                    </w:div>
                  </w:divsChild>
                </w:div>
                <w:div w:id="1469788034">
                  <w:marLeft w:val="0"/>
                  <w:marRight w:val="0"/>
                  <w:marTop w:val="0"/>
                  <w:marBottom w:val="0"/>
                  <w:divBdr>
                    <w:top w:val="none" w:sz="0" w:space="0" w:color="auto"/>
                    <w:left w:val="none" w:sz="0" w:space="0" w:color="auto"/>
                    <w:bottom w:val="none" w:sz="0" w:space="0" w:color="auto"/>
                    <w:right w:val="none" w:sz="0" w:space="0" w:color="auto"/>
                  </w:divBdr>
                  <w:divsChild>
                    <w:div w:id="1928229174">
                      <w:marLeft w:val="0"/>
                      <w:marRight w:val="0"/>
                      <w:marTop w:val="0"/>
                      <w:marBottom w:val="0"/>
                      <w:divBdr>
                        <w:top w:val="none" w:sz="0" w:space="0" w:color="auto"/>
                        <w:left w:val="none" w:sz="0" w:space="0" w:color="auto"/>
                        <w:bottom w:val="none" w:sz="0" w:space="0" w:color="auto"/>
                        <w:right w:val="none" w:sz="0" w:space="0" w:color="auto"/>
                      </w:divBdr>
                    </w:div>
                  </w:divsChild>
                </w:div>
                <w:div w:id="1470047307">
                  <w:marLeft w:val="0"/>
                  <w:marRight w:val="0"/>
                  <w:marTop w:val="0"/>
                  <w:marBottom w:val="0"/>
                  <w:divBdr>
                    <w:top w:val="none" w:sz="0" w:space="0" w:color="auto"/>
                    <w:left w:val="none" w:sz="0" w:space="0" w:color="auto"/>
                    <w:bottom w:val="none" w:sz="0" w:space="0" w:color="auto"/>
                    <w:right w:val="none" w:sz="0" w:space="0" w:color="auto"/>
                  </w:divBdr>
                  <w:divsChild>
                    <w:div w:id="1773354537">
                      <w:marLeft w:val="0"/>
                      <w:marRight w:val="0"/>
                      <w:marTop w:val="0"/>
                      <w:marBottom w:val="0"/>
                      <w:divBdr>
                        <w:top w:val="none" w:sz="0" w:space="0" w:color="auto"/>
                        <w:left w:val="none" w:sz="0" w:space="0" w:color="auto"/>
                        <w:bottom w:val="none" w:sz="0" w:space="0" w:color="auto"/>
                        <w:right w:val="none" w:sz="0" w:space="0" w:color="auto"/>
                      </w:divBdr>
                    </w:div>
                  </w:divsChild>
                </w:div>
                <w:div w:id="1471289476">
                  <w:marLeft w:val="0"/>
                  <w:marRight w:val="0"/>
                  <w:marTop w:val="0"/>
                  <w:marBottom w:val="0"/>
                  <w:divBdr>
                    <w:top w:val="none" w:sz="0" w:space="0" w:color="auto"/>
                    <w:left w:val="none" w:sz="0" w:space="0" w:color="auto"/>
                    <w:bottom w:val="none" w:sz="0" w:space="0" w:color="auto"/>
                    <w:right w:val="none" w:sz="0" w:space="0" w:color="auto"/>
                  </w:divBdr>
                  <w:divsChild>
                    <w:div w:id="1804881501">
                      <w:marLeft w:val="0"/>
                      <w:marRight w:val="0"/>
                      <w:marTop w:val="0"/>
                      <w:marBottom w:val="0"/>
                      <w:divBdr>
                        <w:top w:val="none" w:sz="0" w:space="0" w:color="auto"/>
                        <w:left w:val="none" w:sz="0" w:space="0" w:color="auto"/>
                        <w:bottom w:val="none" w:sz="0" w:space="0" w:color="auto"/>
                        <w:right w:val="none" w:sz="0" w:space="0" w:color="auto"/>
                      </w:divBdr>
                    </w:div>
                  </w:divsChild>
                </w:div>
                <w:div w:id="1548375327">
                  <w:marLeft w:val="0"/>
                  <w:marRight w:val="0"/>
                  <w:marTop w:val="0"/>
                  <w:marBottom w:val="0"/>
                  <w:divBdr>
                    <w:top w:val="none" w:sz="0" w:space="0" w:color="auto"/>
                    <w:left w:val="none" w:sz="0" w:space="0" w:color="auto"/>
                    <w:bottom w:val="none" w:sz="0" w:space="0" w:color="auto"/>
                    <w:right w:val="none" w:sz="0" w:space="0" w:color="auto"/>
                  </w:divBdr>
                  <w:divsChild>
                    <w:div w:id="57018758">
                      <w:marLeft w:val="0"/>
                      <w:marRight w:val="0"/>
                      <w:marTop w:val="0"/>
                      <w:marBottom w:val="0"/>
                      <w:divBdr>
                        <w:top w:val="none" w:sz="0" w:space="0" w:color="auto"/>
                        <w:left w:val="none" w:sz="0" w:space="0" w:color="auto"/>
                        <w:bottom w:val="none" w:sz="0" w:space="0" w:color="auto"/>
                        <w:right w:val="none" w:sz="0" w:space="0" w:color="auto"/>
                      </w:divBdr>
                    </w:div>
                  </w:divsChild>
                </w:div>
                <w:div w:id="1548446017">
                  <w:marLeft w:val="0"/>
                  <w:marRight w:val="0"/>
                  <w:marTop w:val="0"/>
                  <w:marBottom w:val="0"/>
                  <w:divBdr>
                    <w:top w:val="none" w:sz="0" w:space="0" w:color="auto"/>
                    <w:left w:val="none" w:sz="0" w:space="0" w:color="auto"/>
                    <w:bottom w:val="none" w:sz="0" w:space="0" w:color="auto"/>
                    <w:right w:val="none" w:sz="0" w:space="0" w:color="auto"/>
                  </w:divBdr>
                  <w:divsChild>
                    <w:div w:id="179587229">
                      <w:marLeft w:val="0"/>
                      <w:marRight w:val="0"/>
                      <w:marTop w:val="0"/>
                      <w:marBottom w:val="0"/>
                      <w:divBdr>
                        <w:top w:val="none" w:sz="0" w:space="0" w:color="auto"/>
                        <w:left w:val="none" w:sz="0" w:space="0" w:color="auto"/>
                        <w:bottom w:val="none" w:sz="0" w:space="0" w:color="auto"/>
                        <w:right w:val="none" w:sz="0" w:space="0" w:color="auto"/>
                      </w:divBdr>
                    </w:div>
                  </w:divsChild>
                </w:div>
                <w:div w:id="1568880976">
                  <w:marLeft w:val="0"/>
                  <w:marRight w:val="0"/>
                  <w:marTop w:val="0"/>
                  <w:marBottom w:val="0"/>
                  <w:divBdr>
                    <w:top w:val="none" w:sz="0" w:space="0" w:color="auto"/>
                    <w:left w:val="none" w:sz="0" w:space="0" w:color="auto"/>
                    <w:bottom w:val="none" w:sz="0" w:space="0" w:color="auto"/>
                    <w:right w:val="none" w:sz="0" w:space="0" w:color="auto"/>
                  </w:divBdr>
                  <w:divsChild>
                    <w:div w:id="126509512">
                      <w:marLeft w:val="0"/>
                      <w:marRight w:val="0"/>
                      <w:marTop w:val="0"/>
                      <w:marBottom w:val="0"/>
                      <w:divBdr>
                        <w:top w:val="none" w:sz="0" w:space="0" w:color="auto"/>
                        <w:left w:val="none" w:sz="0" w:space="0" w:color="auto"/>
                        <w:bottom w:val="none" w:sz="0" w:space="0" w:color="auto"/>
                        <w:right w:val="none" w:sz="0" w:space="0" w:color="auto"/>
                      </w:divBdr>
                    </w:div>
                  </w:divsChild>
                </w:div>
                <w:div w:id="1607611290">
                  <w:marLeft w:val="0"/>
                  <w:marRight w:val="0"/>
                  <w:marTop w:val="0"/>
                  <w:marBottom w:val="0"/>
                  <w:divBdr>
                    <w:top w:val="none" w:sz="0" w:space="0" w:color="auto"/>
                    <w:left w:val="none" w:sz="0" w:space="0" w:color="auto"/>
                    <w:bottom w:val="none" w:sz="0" w:space="0" w:color="auto"/>
                    <w:right w:val="none" w:sz="0" w:space="0" w:color="auto"/>
                  </w:divBdr>
                  <w:divsChild>
                    <w:div w:id="1222640716">
                      <w:marLeft w:val="0"/>
                      <w:marRight w:val="0"/>
                      <w:marTop w:val="0"/>
                      <w:marBottom w:val="0"/>
                      <w:divBdr>
                        <w:top w:val="none" w:sz="0" w:space="0" w:color="auto"/>
                        <w:left w:val="none" w:sz="0" w:space="0" w:color="auto"/>
                        <w:bottom w:val="none" w:sz="0" w:space="0" w:color="auto"/>
                        <w:right w:val="none" w:sz="0" w:space="0" w:color="auto"/>
                      </w:divBdr>
                    </w:div>
                  </w:divsChild>
                </w:div>
                <w:div w:id="1608927280">
                  <w:marLeft w:val="0"/>
                  <w:marRight w:val="0"/>
                  <w:marTop w:val="0"/>
                  <w:marBottom w:val="0"/>
                  <w:divBdr>
                    <w:top w:val="none" w:sz="0" w:space="0" w:color="auto"/>
                    <w:left w:val="none" w:sz="0" w:space="0" w:color="auto"/>
                    <w:bottom w:val="none" w:sz="0" w:space="0" w:color="auto"/>
                    <w:right w:val="none" w:sz="0" w:space="0" w:color="auto"/>
                  </w:divBdr>
                  <w:divsChild>
                    <w:div w:id="1694459266">
                      <w:marLeft w:val="0"/>
                      <w:marRight w:val="0"/>
                      <w:marTop w:val="0"/>
                      <w:marBottom w:val="0"/>
                      <w:divBdr>
                        <w:top w:val="none" w:sz="0" w:space="0" w:color="auto"/>
                        <w:left w:val="none" w:sz="0" w:space="0" w:color="auto"/>
                        <w:bottom w:val="none" w:sz="0" w:space="0" w:color="auto"/>
                        <w:right w:val="none" w:sz="0" w:space="0" w:color="auto"/>
                      </w:divBdr>
                    </w:div>
                  </w:divsChild>
                </w:div>
                <w:div w:id="1633750174">
                  <w:marLeft w:val="0"/>
                  <w:marRight w:val="0"/>
                  <w:marTop w:val="0"/>
                  <w:marBottom w:val="0"/>
                  <w:divBdr>
                    <w:top w:val="none" w:sz="0" w:space="0" w:color="auto"/>
                    <w:left w:val="none" w:sz="0" w:space="0" w:color="auto"/>
                    <w:bottom w:val="none" w:sz="0" w:space="0" w:color="auto"/>
                    <w:right w:val="none" w:sz="0" w:space="0" w:color="auto"/>
                  </w:divBdr>
                  <w:divsChild>
                    <w:div w:id="430779845">
                      <w:marLeft w:val="0"/>
                      <w:marRight w:val="0"/>
                      <w:marTop w:val="0"/>
                      <w:marBottom w:val="0"/>
                      <w:divBdr>
                        <w:top w:val="none" w:sz="0" w:space="0" w:color="auto"/>
                        <w:left w:val="none" w:sz="0" w:space="0" w:color="auto"/>
                        <w:bottom w:val="none" w:sz="0" w:space="0" w:color="auto"/>
                        <w:right w:val="none" w:sz="0" w:space="0" w:color="auto"/>
                      </w:divBdr>
                    </w:div>
                  </w:divsChild>
                </w:div>
                <w:div w:id="1637683695">
                  <w:marLeft w:val="0"/>
                  <w:marRight w:val="0"/>
                  <w:marTop w:val="0"/>
                  <w:marBottom w:val="0"/>
                  <w:divBdr>
                    <w:top w:val="none" w:sz="0" w:space="0" w:color="auto"/>
                    <w:left w:val="none" w:sz="0" w:space="0" w:color="auto"/>
                    <w:bottom w:val="none" w:sz="0" w:space="0" w:color="auto"/>
                    <w:right w:val="none" w:sz="0" w:space="0" w:color="auto"/>
                  </w:divBdr>
                  <w:divsChild>
                    <w:div w:id="882863518">
                      <w:marLeft w:val="0"/>
                      <w:marRight w:val="0"/>
                      <w:marTop w:val="0"/>
                      <w:marBottom w:val="0"/>
                      <w:divBdr>
                        <w:top w:val="none" w:sz="0" w:space="0" w:color="auto"/>
                        <w:left w:val="none" w:sz="0" w:space="0" w:color="auto"/>
                        <w:bottom w:val="none" w:sz="0" w:space="0" w:color="auto"/>
                        <w:right w:val="none" w:sz="0" w:space="0" w:color="auto"/>
                      </w:divBdr>
                    </w:div>
                  </w:divsChild>
                </w:div>
                <w:div w:id="1646541344">
                  <w:marLeft w:val="0"/>
                  <w:marRight w:val="0"/>
                  <w:marTop w:val="0"/>
                  <w:marBottom w:val="0"/>
                  <w:divBdr>
                    <w:top w:val="none" w:sz="0" w:space="0" w:color="auto"/>
                    <w:left w:val="none" w:sz="0" w:space="0" w:color="auto"/>
                    <w:bottom w:val="none" w:sz="0" w:space="0" w:color="auto"/>
                    <w:right w:val="none" w:sz="0" w:space="0" w:color="auto"/>
                  </w:divBdr>
                  <w:divsChild>
                    <w:div w:id="482742512">
                      <w:marLeft w:val="0"/>
                      <w:marRight w:val="0"/>
                      <w:marTop w:val="0"/>
                      <w:marBottom w:val="0"/>
                      <w:divBdr>
                        <w:top w:val="none" w:sz="0" w:space="0" w:color="auto"/>
                        <w:left w:val="none" w:sz="0" w:space="0" w:color="auto"/>
                        <w:bottom w:val="none" w:sz="0" w:space="0" w:color="auto"/>
                        <w:right w:val="none" w:sz="0" w:space="0" w:color="auto"/>
                      </w:divBdr>
                    </w:div>
                  </w:divsChild>
                </w:div>
                <w:div w:id="1659651374">
                  <w:marLeft w:val="0"/>
                  <w:marRight w:val="0"/>
                  <w:marTop w:val="0"/>
                  <w:marBottom w:val="0"/>
                  <w:divBdr>
                    <w:top w:val="none" w:sz="0" w:space="0" w:color="auto"/>
                    <w:left w:val="none" w:sz="0" w:space="0" w:color="auto"/>
                    <w:bottom w:val="none" w:sz="0" w:space="0" w:color="auto"/>
                    <w:right w:val="none" w:sz="0" w:space="0" w:color="auto"/>
                  </w:divBdr>
                  <w:divsChild>
                    <w:div w:id="396366148">
                      <w:marLeft w:val="0"/>
                      <w:marRight w:val="0"/>
                      <w:marTop w:val="0"/>
                      <w:marBottom w:val="0"/>
                      <w:divBdr>
                        <w:top w:val="none" w:sz="0" w:space="0" w:color="auto"/>
                        <w:left w:val="none" w:sz="0" w:space="0" w:color="auto"/>
                        <w:bottom w:val="none" w:sz="0" w:space="0" w:color="auto"/>
                        <w:right w:val="none" w:sz="0" w:space="0" w:color="auto"/>
                      </w:divBdr>
                    </w:div>
                  </w:divsChild>
                </w:div>
                <w:div w:id="1674448929">
                  <w:marLeft w:val="0"/>
                  <w:marRight w:val="0"/>
                  <w:marTop w:val="0"/>
                  <w:marBottom w:val="0"/>
                  <w:divBdr>
                    <w:top w:val="none" w:sz="0" w:space="0" w:color="auto"/>
                    <w:left w:val="none" w:sz="0" w:space="0" w:color="auto"/>
                    <w:bottom w:val="none" w:sz="0" w:space="0" w:color="auto"/>
                    <w:right w:val="none" w:sz="0" w:space="0" w:color="auto"/>
                  </w:divBdr>
                  <w:divsChild>
                    <w:div w:id="522476296">
                      <w:marLeft w:val="0"/>
                      <w:marRight w:val="0"/>
                      <w:marTop w:val="0"/>
                      <w:marBottom w:val="0"/>
                      <w:divBdr>
                        <w:top w:val="none" w:sz="0" w:space="0" w:color="auto"/>
                        <w:left w:val="none" w:sz="0" w:space="0" w:color="auto"/>
                        <w:bottom w:val="none" w:sz="0" w:space="0" w:color="auto"/>
                        <w:right w:val="none" w:sz="0" w:space="0" w:color="auto"/>
                      </w:divBdr>
                    </w:div>
                  </w:divsChild>
                </w:div>
                <w:div w:id="1712459451">
                  <w:marLeft w:val="0"/>
                  <w:marRight w:val="0"/>
                  <w:marTop w:val="0"/>
                  <w:marBottom w:val="0"/>
                  <w:divBdr>
                    <w:top w:val="none" w:sz="0" w:space="0" w:color="auto"/>
                    <w:left w:val="none" w:sz="0" w:space="0" w:color="auto"/>
                    <w:bottom w:val="none" w:sz="0" w:space="0" w:color="auto"/>
                    <w:right w:val="none" w:sz="0" w:space="0" w:color="auto"/>
                  </w:divBdr>
                  <w:divsChild>
                    <w:div w:id="136648318">
                      <w:marLeft w:val="0"/>
                      <w:marRight w:val="0"/>
                      <w:marTop w:val="0"/>
                      <w:marBottom w:val="0"/>
                      <w:divBdr>
                        <w:top w:val="none" w:sz="0" w:space="0" w:color="auto"/>
                        <w:left w:val="none" w:sz="0" w:space="0" w:color="auto"/>
                        <w:bottom w:val="none" w:sz="0" w:space="0" w:color="auto"/>
                        <w:right w:val="none" w:sz="0" w:space="0" w:color="auto"/>
                      </w:divBdr>
                    </w:div>
                  </w:divsChild>
                </w:div>
                <w:div w:id="1726027421">
                  <w:marLeft w:val="0"/>
                  <w:marRight w:val="0"/>
                  <w:marTop w:val="0"/>
                  <w:marBottom w:val="0"/>
                  <w:divBdr>
                    <w:top w:val="none" w:sz="0" w:space="0" w:color="auto"/>
                    <w:left w:val="none" w:sz="0" w:space="0" w:color="auto"/>
                    <w:bottom w:val="none" w:sz="0" w:space="0" w:color="auto"/>
                    <w:right w:val="none" w:sz="0" w:space="0" w:color="auto"/>
                  </w:divBdr>
                  <w:divsChild>
                    <w:div w:id="1895390434">
                      <w:marLeft w:val="0"/>
                      <w:marRight w:val="0"/>
                      <w:marTop w:val="0"/>
                      <w:marBottom w:val="0"/>
                      <w:divBdr>
                        <w:top w:val="none" w:sz="0" w:space="0" w:color="auto"/>
                        <w:left w:val="none" w:sz="0" w:space="0" w:color="auto"/>
                        <w:bottom w:val="none" w:sz="0" w:space="0" w:color="auto"/>
                        <w:right w:val="none" w:sz="0" w:space="0" w:color="auto"/>
                      </w:divBdr>
                    </w:div>
                  </w:divsChild>
                </w:div>
                <w:div w:id="1747726164">
                  <w:marLeft w:val="0"/>
                  <w:marRight w:val="0"/>
                  <w:marTop w:val="0"/>
                  <w:marBottom w:val="0"/>
                  <w:divBdr>
                    <w:top w:val="none" w:sz="0" w:space="0" w:color="auto"/>
                    <w:left w:val="none" w:sz="0" w:space="0" w:color="auto"/>
                    <w:bottom w:val="none" w:sz="0" w:space="0" w:color="auto"/>
                    <w:right w:val="none" w:sz="0" w:space="0" w:color="auto"/>
                  </w:divBdr>
                  <w:divsChild>
                    <w:div w:id="1204682818">
                      <w:marLeft w:val="0"/>
                      <w:marRight w:val="0"/>
                      <w:marTop w:val="0"/>
                      <w:marBottom w:val="0"/>
                      <w:divBdr>
                        <w:top w:val="none" w:sz="0" w:space="0" w:color="auto"/>
                        <w:left w:val="none" w:sz="0" w:space="0" w:color="auto"/>
                        <w:bottom w:val="none" w:sz="0" w:space="0" w:color="auto"/>
                        <w:right w:val="none" w:sz="0" w:space="0" w:color="auto"/>
                      </w:divBdr>
                    </w:div>
                  </w:divsChild>
                </w:div>
                <w:div w:id="1772240813">
                  <w:marLeft w:val="0"/>
                  <w:marRight w:val="0"/>
                  <w:marTop w:val="0"/>
                  <w:marBottom w:val="0"/>
                  <w:divBdr>
                    <w:top w:val="none" w:sz="0" w:space="0" w:color="auto"/>
                    <w:left w:val="none" w:sz="0" w:space="0" w:color="auto"/>
                    <w:bottom w:val="none" w:sz="0" w:space="0" w:color="auto"/>
                    <w:right w:val="none" w:sz="0" w:space="0" w:color="auto"/>
                  </w:divBdr>
                  <w:divsChild>
                    <w:div w:id="721444106">
                      <w:marLeft w:val="0"/>
                      <w:marRight w:val="0"/>
                      <w:marTop w:val="0"/>
                      <w:marBottom w:val="0"/>
                      <w:divBdr>
                        <w:top w:val="none" w:sz="0" w:space="0" w:color="auto"/>
                        <w:left w:val="none" w:sz="0" w:space="0" w:color="auto"/>
                        <w:bottom w:val="none" w:sz="0" w:space="0" w:color="auto"/>
                        <w:right w:val="none" w:sz="0" w:space="0" w:color="auto"/>
                      </w:divBdr>
                    </w:div>
                  </w:divsChild>
                </w:div>
                <w:div w:id="1783912055">
                  <w:marLeft w:val="0"/>
                  <w:marRight w:val="0"/>
                  <w:marTop w:val="0"/>
                  <w:marBottom w:val="0"/>
                  <w:divBdr>
                    <w:top w:val="none" w:sz="0" w:space="0" w:color="auto"/>
                    <w:left w:val="none" w:sz="0" w:space="0" w:color="auto"/>
                    <w:bottom w:val="none" w:sz="0" w:space="0" w:color="auto"/>
                    <w:right w:val="none" w:sz="0" w:space="0" w:color="auto"/>
                  </w:divBdr>
                  <w:divsChild>
                    <w:div w:id="405033972">
                      <w:marLeft w:val="0"/>
                      <w:marRight w:val="0"/>
                      <w:marTop w:val="0"/>
                      <w:marBottom w:val="0"/>
                      <w:divBdr>
                        <w:top w:val="none" w:sz="0" w:space="0" w:color="auto"/>
                        <w:left w:val="none" w:sz="0" w:space="0" w:color="auto"/>
                        <w:bottom w:val="none" w:sz="0" w:space="0" w:color="auto"/>
                        <w:right w:val="none" w:sz="0" w:space="0" w:color="auto"/>
                      </w:divBdr>
                    </w:div>
                  </w:divsChild>
                </w:div>
                <w:div w:id="1794401826">
                  <w:marLeft w:val="0"/>
                  <w:marRight w:val="0"/>
                  <w:marTop w:val="0"/>
                  <w:marBottom w:val="0"/>
                  <w:divBdr>
                    <w:top w:val="none" w:sz="0" w:space="0" w:color="auto"/>
                    <w:left w:val="none" w:sz="0" w:space="0" w:color="auto"/>
                    <w:bottom w:val="none" w:sz="0" w:space="0" w:color="auto"/>
                    <w:right w:val="none" w:sz="0" w:space="0" w:color="auto"/>
                  </w:divBdr>
                  <w:divsChild>
                    <w:div w:id="1928885172">
                      <w:marLeft w:val="0"/>
                      <w:marRight w:val="0"/>
                      <w:marTop w:val="0"/>
                      <w:marBottom w:val="0"/>
                      <w:divBdr>
                        <w:top w:val="none" w:sz="0" w:space="0" w:color="auto"/>
                        <w:left w:val="none" w:sz="0" w:space="0" w:color="auto"/>
                        <w:bottom w:val="none" w:sz="0" w:space="0" w:color="auto"/>
                        <w:right w:val="none" w:sz="0" w:space="0" w:color="auto"/>
                      </w:divBdr>
                    </w:div>
                  </w:divsChild>
                </w:div>
                <w:div w:id="1817256683">
                  <w:marLeft w:val="0"/>
                  <w:marRight w:val="0"/>
                  <w:marTop w:val="0"/>
                  <w:marBottom w:val="0"/>
                  <w:divBdr>
                    <w:top w:val="none" w:sz="0" w:space="0" w:color="auto"/>
                    <w:left w:val="none" w:sz="0" w:space="0" w:color="auto"/>
                    <w:bottom w:val="none" w:sz="0" w:space="0" w:color="auto"/>
                    <w:right w:val="none" w:sz="0" w:space="0" w:color="auto"/>
                  </w:divBdr>
                  <w:divsChild>
                    <w:div w:id="939025321">
                      <w:marLeft w:val="0"/>
                      <w:marRight w:val="0"/>
                      <w:marTop w:val="0"/>
                      <w:marBottom w:val="0"/>
                      <w:divBdr>
                        <w:top w:val="none" w:sz="0" w:space="0" w:color="auto"/>
                        <w:left w:val="none" w:sz="0" w:space="0" w:color="auto"/>
                        <w:bottom w:val="none" w:sz="0" w:space="0" w:color="auto"/>
                        <w:right w:val="none" w:sz="0" w:space="0" w:color="auto"/>
                      </w:divBdr>
                    </w:div>
                  </w:divsChild>
                </w:div>
                <w:div w:id="1822187902">
                  <w:marLeft w:val="0"/>
                  <w:marRight w:val="0"/>
                  <w:marTop w:val="0"/>
                  <w:marBottom w:val="0"/>
                  <w:divBdr>
                    <w:top w:val="none" w:sz="0" w:space="0" w:color="auto"/>
                    <w:left w:val="none" w:sz="0" w:space="0" w:color="auto"/>
                    <w:bottom w:val="none" w:sz="0" w:space="0" w:color="auto"/>
                    <w:right w:val="none" w:sz="0" w:space="0" w:color="auto"/>
                  </w:divBdr>
                  <w:divsChild>
                    <w:div w:id="995183924">
                      <w:marLeft w:val="0"/>
                      <w:marRight w:val="0"/>
                      <w:marTop w:val="0"/>
                      <w:marBottom w:val="0"/>
                      <w:divBdr>
                        <w:top w:val="none" w:sz="0" w:space="0" w:color="auto"/>
                        <w:left w:val="none" w:sz="0" w:space="0" w:color="auto"/>
                        <w:bottom w:val="none" w:sz="0" w:space="0" w:color="auto"/>
                        <w:right w:val="none" w:sz="0" w:space="0" w:color="auto"/>
                      </w:divBdr>
                    </w:div>
                  </w:divsChild>
                </w:div>
                <w:div w:id="1835686894">
                  <w:marLeft w:val="0"/>
                  <w:marRight w:val="0"/>
                  <w:marTop w:val="0"/>
                  <w:marBottom w:val="0"/>
                  <w:divBdr>
                    <w:top w:val="none" w:sz="0" w:space="0" w:color="auto"/>
                    <w:left w:val="none" w:sz="0" w:space="0" w:color="auto"/>
                    <w:bottom w:val="none" w:sz="0" w:space="0" w:color="auto"/>
                    <w:right w:val="none" w:sz="0" w:space="0" w:color="auto"/>
                  </w:divBdr>
                  <w:divsChild>
                    <w:div w:id="2037348557">
                      <w:marLeft w:val="0"/>
                      <w:marRight w:val="0"/>
                      <w:marTop w:val="0"/>
                      <w:marBottom w:val="0"/>
                      <w:divBdr>
                        <w:top w:val="none" w:sz="0" w:space="0" w:color="auto"/>
                        <w:left w:val="none" w:sz="0" w:space="0" w:color="auto"/>
                        <w:bottom w:val="none" w:sz="0" w:space="0" w:color="auto"/>
                        <w:right w:val="none" w:sz="0" w:space="0" w:color="auto"/>
                      </w:divBdr>
                    </w:div>
                  </w:divsChild>
                </w:div>
                <w:div w:id="1839342865">
                  <w:marLeft w:val="0"/>
                  <w:marRight w:val="0"/>
                  <w:marTop w:val="0"/>
                  <w:marBottom w:val="0"/>
                  <w:divBdr>
                    <w:top w:val="none" w:sz="0" w:space="0" w:color="auto"/>
                    <w:left w:val="none" w:sz="0" w:space="0" w:color="auto"/>
                    <w:bottom w:val="none" w:sz="0" w:space="0" w:color="auto"/>
                    <w:right w:val="none" w:sz="0" w:space="0" w:color="auto"/>
                  </w:divBdr>
                  <w:divsChild>
                    <w:div w:id="1746802489">
                      <w:marLeft w:val="0"/>
                      <w:marRight w:val="0"/>
                      <w:marTop w:val="0"/>
                      <w:marBottom w:val="0"/>
                      <w:divBdr>
                        <w:top w:val="none" w:sz="0" w:space="0" w:color="auto"/>
                        <w:left w:val="none" w:sz="0" w:space="0" w:color="auto"/>
                        <w:bottom w:val="none" w:sz="0" w:space="0" w:color="auto"/>
                        <w:right w:val="none" w:sz="0" w:space="0" w:color="auto"/>
                      </w:divBdr>
                    </w:div>
                  </w:divsChild>
                </w:div>
                <w:div w:id="1840386167">
                  <w:marLeft w:val="0"/>
                  <w:marRight w:val="0"/>
                  <w:marTop w:val="0"/>
                  <w:marBottom w:val="0"/>
                  <w:divBdr>
                    <w:top w:val="none" w:sz="0" w:space="0" w:color="auto"/>
                    <w:left w:val="none" w:sz="0" w:space="0" w:color="auto"/>
                    <w:bottom w:val="none" w:sz="0" w:space="0" w:color="auto"/>
                    <w:right w:val="none" w:sz="0" w:space="0" w:color="auto"/>
                  </w:divBdr>
                  <w:divsChild>
                    <w:div w:id="456024641">
                      <w:marLeft w:val="0"/>
                      <w:marRight w:val="0"/>
                      <w:marTop w:val="0"/>
                      <w:marBottom w:val="0"/>
                      <w:divBdr>
                        <w:top w:val="none" w:sz="0" w:space="0" w:color="auto"/>
                        <w:left w:val="none" w:sz="0" w:space="0" w:color="auto"/>
                        <w:bottom w:val="none" w:sz="0" w:space="0" w:color="auto"/>
                        <w:right w:val="none" w:sz="0" w:space="0" w:color="auto"/>
                      </w:divBdr>
                    </w:div>
                  </w:divsChild>
                </w:div>
                <w:div w:id="1860467267">
                  <w:marLeft w:val="0"/>
                  <w:marRight w:val="0"/>
                  <w:marTop w:val="0"/>
                  <w:marBottom w:val="0"/>
                  <w:divBdr>
                    <w:top w:val="none" w:sz="0" w:space="0" w:color="auto"/>
                    <w:left w:val="none" w:sz="0" w:space="0" w:color="auto"/>
                    <w:bottom w:val="none" w:sz="0" w:space="0" w:color="auto"/>
                    <w:right w:val="none" w:sz="0" w:space="0" w:color="auto"/>
                  </w:divBdr>
                  <w:divsChild>
                    <w:div w:id="1479028472">
                      <w:marLeft w:val="0"/>
                      <w:marRight w:val="0"/>
                      <w:marTop w:val="0"/>
                      <w:marBottom w:val="0"/>
                      <w:divBdr>
                        <w:top w:val="none" w:sz="0" w:space="0" w:color="auto"/>
                        <w:left w:val="none" w:sz="0" w:space="0" w:color="auto"/>
                        <w:bottom w:val="none" w:sz="0" w:space="0" w:color="auto"/>
                        <w:right w:val="none" w:sz="0" w:space="0" w:color="auto"/>
                      </w:divBdr>
                    </w:div>
                  </w:divsChild>
                </w:div>
                <w:div w:id="1945651172">
                  <w:marLeft w:val="0"/>
                  <w:marRight w:val="0"/>
                  <w:marTop w:val="0"/>
                  <w:marBottom w:val="0"/>
                  <w:divBdr>
                    <w:top w:val="none" w:sz="0" w:space="0" w:color="auto"/>
                    <w:left w:val="none" w:sz="0" w:space="0" w:color="auto"/>
                    <w:bottom w:val="none" w:sz="0" w:space="0" w:color="auto"/>
                    <w:right w:val="none" w:sz="0" w:space="0" w:color="auto"/>
                  </w:divBdr>
                  <w:divsChild>
                    <w:div w:id="1081834918">
                      <w:marLeft w:val="0"/>
                      <w:marRight w:val="0"/>
                      <w:marTop w:val="0"/>
                      <w:marBottom w:val="0"/>
                      <w:divBdr>
                        <w:top w:val="none" w:sz="0" w:space="0" w:color="auto"/>
                        <w:left w:val="none" w:sz="0" w:space="0" w:color="auto"/>
                        <w:bottom w:val="none" w:sz="0" w:space="0" w:color="auto"/>
                        <w:right w:val="none" w:sz="0" w:space="0" w:color="auto"/>
                      </w:divBdr>
                    </w:div>
                  </w:divsChild>
                </w:div>
                <w:div w:id="1951814756">
                  <w:marLeft w:val="0"/>
                  <w:marRight w:val="0"/>
                  <w:marTop w:val="0"/>
                  <w:marBottom w:val="0"/>
                  <w:divBdr>
                    <w:top w:val="none" w:sz="0" w:space="0" w:color="auto"/>
                    <w:left w:val="none" w:sz="0" w:space="0" w:color="auto"/>
                    <w:bottom w:val="none" w:sz="0" w:space="0" w:color="auto"/>
                    <w:right w:val="none" w:sz="0" w:space="0" w:color="auto"/>
                  </w:divBdr>
                  <w:divsChild>
                    <w:div w:id="1361737529">
                      <w:marLeft w:val="0"/>
                      <w:marRight w:val="0"/>
                      <w:marTop w:val="0"/>
                      <w:marBottom w:val="0"/>
                      <w:divBdr>
                        <w:top w:val="none" w:sz="0" w:space="0" w:color="auto"/>
                        <w:left w:val="none" w:sz="0" w:space="0" w:color="auto"/>
                        <w:bottom w:val="none" w:sz="0" w:space="0" w:color="auto"/>
                        <w:right w:val="none" w:sz="0" w:space="0" w:color="auto"/>
                      </w:divBdr>
                    </w:div>
                  </w:divsChild>
                </w:div>
                <w:div w:id="1958291918">
                  <w:marLeft w:val="0"/>
                  <w:marRight w:val="0"/>
                  <w:marTop w:val="0"/>
                  <w:marBottom w:val="0"/>
                  <w:divBdr>
                    <w:top w:val="none" w:sz="0" w:space="0" w:color="auto"/>
                    <w:left w:val="none" w:sz="0" w:space="0" w:color="auto"/>
                    <w:bottom w:val="none" w:sz="0" w:space="0" w:color="auto"/>
                    <w:right w:val="none" w:sz="0" w:space="0" w:color="auto"/>
                  </w:divBdr>
                  <w:divsChild>
                    <w:div w:id="1049575578">
                      <w:marLeft w:val="0"/>
                      <w:marRight w:val="0"/>
                      <w:marTop w:val="0"/>
                      <w:marBottom w:val="0"/>
                      <w:divBdr>
                        <w:top w:val="none" w:sz="0" w:space="0" w:color="auto"/>
                        <w:left w:val="none" w:sz="0" w:space="0" w:color="auto"/>
                        <w:bottom w:val="none" w:sz="0" w:space="0" w:color="auto"/>
                        <w:right w:val="none" w:sz="0" w:space="0" w:color="auto"/>
                      </w:divBdr>
                    </w:div>
                  </w:divsChild>
                </w:div>
                <w:div w:id="1998338230">
                  <w:marLeft w:val="0"/>
                  <w:marRight w:val="0"/>
                  <w:marTop w:val="0"/>
                  <w:marBottom w:val="0"/>
                  <w:divBdr>
                    <w:top w:val="none" w:sz="0" w:space="0" w:color="auto"/>
                    <w:left w:val="none" w:sz="0" w:space="0" w:color="auto"/>
                    <w:bottom w:val="none" w:sz="0" w:space="0" w:color="auto"/>
                    <w:right w:val="none" w:sz="0" w:space="0" w:color="auto"/>
                  </w:divBdr>
                  <w:divsChild>
                    <w:div w:id="636183338">
                      <w:marLeft w:val="0"/>
                      <w:marRight w:val="0"/>
                      <w:marTop w:val="0"/>
                      <w:marBottom w:val="0"/>
                      <w:divBdr>
                        <w:top w:val="none" w:sz="0" w:space="0" w:color="auto"/>
                        <w:left w:val="none" w:sz="0" w:space="0" w:color="auto"/>
                        <w:bottom w:val="none" w:sz="0" w:space="0" w:color="auto"/>
                        <w:right w:val="none" w:sz="0" w:space="0" w:color="auto"/>
                      </w:divBdr>
                    </w:div>
                  </w:divsChild>
                </w:div>
                <w:div w:id="2007443087">
                  <w:marLeft w:val="0"/>
                  <w:marRight w:val="0"/>
                  <w:marTop w:val="0"/>
                  <w:marBottom w:val="0"/>
                  <w:divBdr>
                    <w:top w:val="none" w:sz="0" w:space="0" w:color="auto"/>
                    <w:left w:val="none" w:sz="0" w:space="0" w:color="auto"/>
                    <w:bottom w:val="none" w:sz="0" w:space="0" w:color="auto"/>
                    <w:right w:val="none" w:sz="0" w:space="0" w:color="auto"/>
                  </w:divBdr>
                  <w:divsChild>
                    <w:div w:id="1866357506">
                      <w:marLeft w:val="0"/>
                      <w:marRight w:val="0"/>
                      <w:marTop w:val="0"/>
                      <w:marBottom w:val="0"/>
                      <w:divBdr>
                        <w:top w:val="none" w:sz="0" w:space="0" w:color="auto"/>
                        <w:left w:val="none" w:sz="0" w:space="0" w:color="auto"/>
                        <w:bottom w:val="none" w:sz="0" w:space="0" w:color="auto"/>
                        <w:right w:val="none" w:sz="0" w:space="0" w:color="auto"/>
                      </w:divBdr>
                    </w:div>
                  </w:divsChild>
                </w:div>
                <w:div w:id="2045324069">
                  <w:marLeft w:val="0"/>
                  <w:marRight w:val="0"/>
                  <w:marTop w:val="0"/>
                  <w:marBottom w:val="0"/>
                  <w:divBdr>
                    <w:top w:val="none" w:sz="0" w:space="0" w:color="auto"/>
                    <w:left w:val="none" w:sz="0" w:space="0" w:color="auto"/>
                    <w:bottom w:val="none" w:sz="0" w:space="0" w:color="auto"/>
                    <w:right w:val="none" w:sz="0" w:space="0" w:color="auto"/>
                  </w:divBdr>
                  <w:divsChild>
                    <w:div w:id="1782188860">
                      <w:marLeft w:val="0"/>
                      <w:marRight w:val="0"/>
                      <w:marTop w:val="0"/>
                      <w:marBottom w:val="0"/>
                      <w:divBdr>
                        <w:top w:val="none" w:sz="0" w:space="0" w:color="auto"/>
                        <w:left w:val="none" w:sz="0" w:space="0" w:color="auto"/>
                        <w:bottom w:val="none" w:sz="0" w:space="0" w:color="auto"/>
                        <w:right w:val="none" w:sz="0" w:space="0" w:color="auto"/>
                      </w:divBdr>
                    </w:div>
                  </w:divsChild>
                </w:div>
                <w:div w:id="2054380091">
                  <w:marLeft w:val="0"/>
                  <w:marRight w:val="0"/>
                  <w:marTop w:val="0"/>
                  <w:marBottom w:val="0"/>
                  <w:divBdr>
                    <w:top w:val="none" w:sz="0" w:space="0" w:color="auto"/>
                    <w:left w:val="none" w:sz="0" w:space="0" w:color="auto"/>
                    <w:bottom w:val="none" w:sz="0" w:space="0" w:color="auto"/>
                    <w:right w:val="none" w:sz="0" w:space="0" w:color="auto"/>
                  </w:divBdr>
                  <w:divsChild>
                    <w:div w:id="1115556648">
                      <w:marLeft w:val="0"/>
                      <w:marRight w:val="0"/>
                      <w:marTop w:val="0"/>
                      <w:marBottom w:val="0"/>
                      <w:divBdr>
                        <w:top w:val="none" w:sz="0" w:space="0" w:color="auto"/>
                        <w:left w:val="none" w:sz="0" w:space="0" w:color="auto"/>
                        <w:bottom w:val="none" w:sz="0" w:space="0" w:color="auto"/>
                        <w:right w:val="none" w:sz="0" w:space="0" w:color="auto"/>
                      </w:divBdr>
                    </w:div>
                  </w:divsChild>
                </w:div>
                <w:div w:id="2067758693">
                  <w:marLeft w:val="0"/>
                  <w:marRight w:val="0"/>
                  <w:marTop w:val="0"/>
                  <w:marBottom w:val="0"/>
                  <w:divBdr>
                    <w:top w:val="none" w:sz="0" w:space="0" w:color="auto"/>
                    <w:left w:val="none" w:sz="0" w:space="0" w:color="auto"/>
                    <w:bottom w:val="none" w:sz="0" w:space="0" w:color="auto"/>
                    <w:right w:val="none" w:sz="0" w:space="0" w:color="auto"/>
                  </w:divBdr>
                  <w:divsChild>
                    <w:div w:id="1941914779">
                      <w:marLeft w:val="0"/>
                      <w:marRight w:val="0"/>
                      <w:marTop w:val="0"/>
                      <w:marBottom w:val="0"/>
                      <w:divBdr>
                        <w:top w:val="none" w:sz="0" w:space="0" w:color="auto"/>
                        <w:left w:val="none" w:sz="0" w:space="0" w:color="auto"/>
                        <w:bottom w:val="none" w:sz="0" w:space="0" w:color="auto"/>
                        <w:right w:val="none" w:sz="0" w:space="0" w:color="auto"/>
                      </w:divBdr>
                    </w:div>
                  </w:divsChild>
                </w:div>
                <w:div w:id="2070960514">
                  <w:marLeft w:val="0"/>
                  <w:marRight w:val="0"/>
                  <w:marTop w:val="0"/>
                  <w:marBottom w:val="0"/>
                  <w:divBdr>
                    <w:top w:val="none" w:sz="0" w:space="0" w:color="auto"/>
                    <w:left w:val="none" w:sz="0" w:space="0" w:color="auto"/>
                    <w:bottom w:val="none" w:sz="0" w:space="0" w:color="auto"/>
                    <w:right w:val="none" w:sz="0" w:space="0" w:color="auto"/>
                  </w:divBdr>
                  <w:divsChild>
                    <w:div w:id="980962809">
                      <w:marLeft w:val="0"/>
                      <w:marRight w:val="0"/>
                      <w:marTop w:val="0"/>
                      <w:marBottom w:val="0"/>
                      <w:divBdr>
                        <w:top w:val="none" w:sz="0" w:space="0" w:color="auto"/>
                        <w:left w:val="none" w:sz="0" w:space="0" w:color="auto"/>
                        <w:bottom w:val="none" w:sz="0" w:space="0" w:color="auto"/>
                        <w:right w:val="none" w:sz="0" w:space="0" w:color="auto"/>
                      </w:divBdr>
                    </w:div>
                  </w:divsChild>
                </w:div>
                <w:div w:id="2072077271">
                  <w:marLeft w:val="0"/>
                  <w:marRight w:val="0"/>
                  <w:marTop w:val="0"/>
                  <w:marBottom w:val="0"/>
                  <w:divBdr>
                    <w:top w:val="none" w:sz="0" w:space="0" w:color="auto"/>
                    <w:left w:val="none" w:sz="0" w:space="0" w:color="auto"/>
                    <w:bottom w:val="none" w:sz="0" w:space="0" w:color="auto"/>
                    <w:right w:val="none" w:sz="0" w:space="0" w:color="auto"/>
                  </w:divBdr>
                  <w:divsChild>
                    <w:div w:id="939263029">
                      <w:marLeft w:val="0"/>
                      <w:marRight w:val="0"/>
                      <w:marTop w:val="0"/>
                      <w:marBottom w:val="0"/>
                      <w:divBdr>
                        <w:top w:val="none" w:sz="0" w:space="0" w:color="auto"/>
                        <w:left w:val="none" w:sz="0" w:space="0" w:color="auto"/>
                        <w:bottom w:val="none" w:sz="0" w:space="0" w:color="auto"/>
                        <w:right w:val="none" w:sz="0" w:space="0" w:color="auto"/>
                      </w:divBdr>
                    </w:div>
                  </w:divsChild>
                </w:div>
                <w:div w:id="2074428824">
                  <w:marLeft w:val="0"/>
                  <w:marRight w:val="0"/>
                  <w:marTop w:val="0"/>
                  <w:marBottom w:val="0"/>
                  <w:divBdr>
                    <w:top w:val="none" w:sz="0" w:space="0" w:color="auto"/>
                    <w:left w:val="none" w:sz="0" w:space="0" w:color="auto"/>
                    <w:bottom w:val="none" w:sz="0" w:space="0" w:color="auto"/>
                    <w:right w:val="none" w:sz="0" w:space="0" w:color="auto"/>
                  </w:divBdr>
                  <w:divsChild>
                    <w:div w:id="477576153">
                      <w:marLeft w:val="0"/>
                      <w:marRight w:val="0"/>
                      <w:marTop w:val="0"/>
                      <w:marBottom w:val="0"/>
                      <w:divBdr>
                        <w:top w:val="none" w:sz="0" w:space="0" w:color="auto"/>
                        <w:left w:val="none" w:sz="0" w:space="0" w:color="auto"/>
                        <w:bottom w:val="none" w:sz="0" w:space="0" w:color="auto"/>
                        <w:right w:val="none" w:sz="0" w:space="0" w:color="auto"/>
                      </w:divBdr>
                    </w:div>
                  </w:divsChild>
                </w:div>
                <w:div w:id="2076778928">
                  <w:marLeft w:val="0"/>
                  <w:marRight w:val="0"/>
                  <w:marTop w:val="0"/>
                  <w:marBottom w:val="0"/>
                  <w:divBdr>
                    <w:top w:val="none" w:sz="0" w:space="0" w:color="auto"/>
                    <w:left w:val="none" w:sz="0" w:space="0" w:color="auto"/>
                    <w:bottom w:val="none" w:sz="0" w:space="0" w:color="auto"/>
                    <w:right w:val="none" w:sz="0" w:space="0" w:color="auto"/>
                  </w:divBdr>
                  <w:divsChild>
                    <w:div w:id="1789156415">
                      <w:marLeft w:val="0"/>
                      <w:marRight w:val="0"/>
                      <w:marTop w:val="0"/>
                      <w:marBottom w:val="0"/>
                      <w:divBdr>
                        <w:top w:val="none" w:sz="0" w:space="0" w:color="auto"/>
                        <w:left w:val="none" w:sz="0" w:space="0" w:color="auto"/>
                        <w:bottom w:val="none" w:sz="0" w:space="0" w:color="auto"/>
                        <w:right w:val="none" w:sz="0" w:space="0" w:color="auto"/>
                      </w:divBdr>
                    </w:div>
                  </w:divsChild>
                </w:div>
                <w:div w:id="2078169470">
                  <w:marLeft w:val="0"/>
                  <w:marRight w:val="0"/>
                  <w:marTop w:val="0"/>
                  <w:marBottom w:val="0"/>
                  <w:divBdr>
                    <w:top w:val="none" w:sz="0" w:space="0" w:color="auto"/>
                    <w:left w:val="none" w:sz="0" w:space="0" w:color="auto"/>
                    <w:bottom w:val="none" w:sz="0" w:space="0" w:color="auto"/>
                    <w:right w:val="none" w:sz="0" w:space="0" w:color="auto"/>
                  </w:divBdr>
                  <w:divsChild>
                    <w:div w:id="2077121826">
                      <w:marLeft w:val="0"/>
                      <w:marRight w:val="0"/>
                      <w:marTop w:val="0"/>
                      <w:marBottom w:val="0"/>
                      <w:divBdr>
                        <w:top w:val="none" w:sz="0" w:space="0" w:color="auto"/>
                        <w:left w:val="none" w:sz="0" w:space="0" w:color="auto"/>
                        <w:bottom w:val="none" w:sz="0" w:space="0" w:color="auto"/>
                        <w:right w:val="none" w:sz="0" w:space="0" w:color="auto"/>
                      </w:divBdr>
                    </w:div>
                  </w:divsChild>
                </w:div>
                <w:div w:id="2105877101">
                  <w:marLeft w:val="0"/>
                  <w:marRight w:val="0"/>
                  <w:marTop w:val="0"/>
                  <w:marBottom w:val="0"/>
                  <w:divBdr>
                    <w:top w:val="none" w:sz="0" w:space="0" w:color="auto"/>
                    <w:left w:val="none" w:sz="0" w:space="0" w:color="auto"/>
                    <w:bottom w:val="none" w:sz="0" w:space="0" w:color="auto"/>
                    <w:right w:val="none" w:sz="0" w:space="0" w:color="auto"/>
                  </w:divBdr>
                  <w:divsChild>
                    <w:div w:id="1263227346">
                      <w:marLeft w:val="0"/>
                      <w:marRight w:val="0"/>
                      <w:marTop w:val="0"/>
                      <w:marBottom w:val="0"/>
                      <w:divBdr>
                        <w:top w:val="none" w:sz="0" w:space="0" w:color="auto"/>
                        <w:left w:val="none" w:sz="0" w:space="0" w:color="auto"/>
                        <w:bottom w:val="none" w:sz="0" w:space="0" w:color="auto"/>
                        <w:right w:val="none" w:sz="0" w:space="0" w:color="auto"/>
                      </w:divBdr>
                    </w:div>
                  </w:divsChild>
                </w:div>
                <w:div w:id="2121139558">
                  <w:marLeft w:val="0"/>
                  <w:marRight w:val="0"/>
                  <w:marTop w:val="0"/>
                  <w:marBottom w:val="0"/>
                  <w:divBdr>
                    <w:top w:val="none" w:sz="0" w:space="0" w:color="auto"/>
                    <w:left w:val="none" w:sz="0" w:space="0" w:color="auto"/>
                    <w:bottom w:val="none" w:sz="0" w:space="0" w:color="auto"/>
                    <w:right w:val="none" w:sz="0" w:space="0" w:color="auto"/>
                  </w:divBdr>
                  <w:divsChild>
                    <w:div w:id="1179657322">
                      <w:marLeft w:val="0"/>
                      <w:marRight w:val="0"/>
                      <w:marTop w:val="0"/>
                      <w:marBottom w:val="0"/>
                      <w:divBdr>
                        <w:top w:val="none" w:sz="0" w:space="0" w:color="auto"/>
                        <w:left w:val="none" w:sz="0" w:space="0" w:color="auto"/>
                        <w:bottom w:val="none" w:sz="0" w:space="0" w:color="auto"/>
                        <w:right w:val="none" w:sz="0" w:space="0" w:color="auto"/>
                      </w:divBdr>
                    </w:div>
                  </w:divsChild>
                </w:div>
                <w:div w:id="2133740990">
                  <w:marLeft w:val="0"/>
                  <w:marRight w:val="0"/>
                  <w:marTop w:val="0"/>
                  <w:marBottom w:val="0"/>
                  <w:divBdr>
                    <w:top w:val="none" w:sz="0" w:space="0" w:color="auto"/>
                    <w:left w:val="none" w:sz="0" w:space="0" w:color="auto"/>
                    <w:bottom w:val="none" w:sz="0" w:space="0" w:color="auto"/>
                    <w:right w:val="none" w:sz="0" w:space="0" w:color="auto"/>
                  </w:divBdr>
                  <w:divsChild>
                    <w:div w:id="288896557">
                      <w:marLeft w:val="0"/>
                      <w:marRight w:val="0"/>
                      <w:marTop w:val="0"/>
                      <w:marBottom w:val="0"/>
                      <w:divBdr>
                        <w:top w:val="none" w:sz="0" w:space="0" w:color="auto"/>
                        <w:left w:val="none" w:sz="0" w:space="0" w:color="auto"/>
                        <w:bottom w:val="none" w:sz="0" w:space="0" w:color="auto"/>
                        <w:right w:val="none" w:sz="0" w:space="0" w:color="auto"/>
                      </w:divBdr>
                    </w:div>
                  </w:divsChild>
                </w:div>
                <w:div w:id="2137985890">
                  <w:marLeft w:val="0"/>
                  <w:marRight w:val="0"/>
                  <w:marTop w:val="0"/>
                  <w:marBottom w:val="0"/>
                  <w:divBdr>
                    <w:top w:val="none" w:sz="0" w:space="0" w:color="auto"/>
                    <w:left w:val="none" w:sz="0" w:space="0" w:color="auto"/>
                    <w:bottom w:val="none" w:sz="0" w:space="0" w:color="auto"/>
                    <w:right w:val="none" w:sz="0" w:space="0" w:color="auto"/>
                  </w:divBdr>
                  <w:divsChild>
                    <w:div w:id="20300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26800">
          <w:marLeft w:val="0"/>
          <w:marRight w:val="0"/>
          <w:marTop w:val="0"/>
          <w:marBottom w:val="0"/>
          <w:divBdr>
            <w:top w:val="none" w:sz="0" w:space="0" w:color="auto"/>
            <w:left w:val="none" w:sz="0" w:space="0" w:color="auto"/>
            <w:bottom w:val="none" w:sz="0" w:space="0" w:color="auto"/>
            <w:right w:val="none" w:sz="0" w:space="0" w:color="auto"/>
          </w:divBdr>
        </w:div>
        <w:div w:id="1194928882">
          <w:marLeft w:val="0"/>
          <w:marRight w:val="0"/>
          <w:marTop w:val="0"/>
          <w:marBottom w:val="0"/>
          <w:divBdr>
            <w:top w:val="none" w:sz="0" w:space="0" w:color="auto"/>
            <w:left w:val="none" w:sz="0" w:space="0" w:color="auto"/>
            <w:bottom w:val="none" w:sz="0" w:space="0" w:color="auto"/>
            <w:right w:val="none" w:sz="0" w:space="0" w:color="auto"/>
          </w:divBdr>
        </w:div>
        <w:div w:id="1219323643">
          <w:marLeft w:val="0"/>
          <w:marRight w:val="0"/>
          <w:marTop w:val="0"/>
          <w:marBottom w:val="0"/>
          <w:divBdr>
            <w:top w:val="none" w:sz="0" w:space="0" w:color="auto"/>
            <w:left w:val="none" w:sz="0" w:space="0" w:color="auto"/>
            <w:bottom w:val="none" w:sz="0" w:space="0" w:color="auto"/>
            <w:right w:val="none" w:sz="0" w:space="0" w:color="auto"/>
          </w:divBdr>
        </w:div>
        <w:div w:id="1246956179">
          <w:marLeft w:val="0"/>
          <w:marRight w:val="0"/>
          <w:marTop w:val="0"/>
          <w:marBottom w:val="0"/>
          <w:divBdr>
            <w:top w:val="none" w:sz="0" w:space="0" w:color="auto"/>
            <w:left w:val="none" w:sz="0" w:space="0" w:color="auto"/>
            <w:bottom w:val="none" w:sz="0" w:space="0" w:color="auto"/>
            <w:right w:val="none" w:sz="0" w:space="0" w:color="auto"/>
          </w:divBdr>
          <w:divsChild>
            <w:div w:id="35085400">
              <w:marLeft w:val="0"/>
              <w:marRight w:val="0"/>
              <w:marTop w:val="0"/>
              <w:marBottom w:val="0"/>
              <w:divBdr>
                <w:top w:val="none" w:sz="0" w:space="0" w:color="auto"/>
                <w:left w:val="none" w:sz="0" w:space="0" w:color="auto"/>
                <w:bottom w:val="none" w:sz="0" w:space="0" w:color="auto"/>
                <w:right w:val="none" w:sz="0" w:space="0" w:color="auto"/>
              </w:divBdr>
            </w:div>
            <w:div w:id="266238816">
              <w:marLeft w:val="0"/>
              <w:marRight w:val="0"/>
              <w:marTop w:val="0"/>
              <w:marBottom w:val="0"/>
              <w:divBdr>
                <w:top w:val="none" w:sz="0" w:space="0" w:color="auto"/>
                <w:left w:val="none" w:sz="0" w:space="0" w:color="auto"/>
                <w:bottom w:val="none" w:sz="0" w:space="0" w:color="auto"/>
                <w:right w:val="none" w:sz="0" w:space="0" w:color="auto"/>
              </w:divBdr>
            </w:div>
            <w:div w:id="840241165">
              <w:marLeft w:val="0"/>
              <w:marRight w:val="0"/>
              <w:marTop w:val="0"/>
              <w:marBottom w:val="0"/>
              <w:divBdr>
                <w:top w:val="none" w:sz="0" w:space="0" w:color="auto"/>
                <w:left w:val="none" w:sz="0" w:space="0" w:color="auto"/>
                <w:bottom w:val="none" w:sz="0" w:space="0" w:color="auto"/>
                <w:right w:val="none" w:sz="0" w:space="0" w:color="auto"/>
              </w:divBdr>
            </w:div>
            <w:div w:id="1043942285">
              <w:marLeft w:val="0"/>
              <w:marRight w:val="0"/>
              <w:marTop w:val="0"/>
              <w:marBottom w:val="0"/>
              <w:divBdr>
                <w:top w:val="none" w:sz="0" w:space="0" w:color="auto"/>
                <w:left w:val="none" w:sz="0" w:space="0" w:color="auto"/>
                <w:bottom w:val="none" w:sz="0" w:space="0" w:color="auto"/>
                <w:right w:val="none" w:sz="0" w:space="0" w:color="auto"/>
              </w:divBdr>
            </w:div>
          </w:divsChild>
        </w:div>
        <w:div w:id="1248034661">
          <w:marLeft w:val="0"/>
          <w:marRight w:val="0"/>
          <w:marTop w:val="0"/>
          <w:marBottom w:val="0"/>
          <w:divBdr>
            <w:top w:val="none" w:sz="0" w:space="0" w:color="auto"/>
            <w:left w:val="none" w:sz="0" w:space="0" w:color="auto"/>
            <w:bottom w:val="none" w:sz="0" w:space="0" w:color="auto"/>
            <w:right w:val="none" w:sz="0" w:space="0" w:color="auto"/>
          </w:divBdr>
          <w:divsChild>
            <w:div w:id="370157656">
              <w:marLeft w:val="0"/>
              <w:marRight w:val="0"/>
              <w:marTop w:val="0"/>
              <w:marBottom w:val="0"/>
              <w:divBdr>
                <w:top w:val="none" w:sz="0" w:space="0" w:color="auto"/>
                <w:left w:val="none" w:sz="0" w:space="0" w:color="auto"/>
                <w:bottom w:val="none" w:sz="0" w:space="0" w:color="auto"/>
                <w:right w:val="none" w:sz="0" w:space="0" w:color="auto"/>
              </w:divBdr>
            </w:div>
            <w:div w:id="601717797">
              <w:marLeft w:val="0"/>
              <w:marRight w:val="0"/>
              <w:marTop w:val="0"/>
              <w:marBottom w:val="0"/>
              <w:divBdr>
                <w:top w:val="none" w:sz="0" w:space="0" w:color="auto"/>
                <w:left w:val="none" w:sz="0" w:space="0" w:color="auto"/>
                <w:bottom w:val="none" w:sz="0" w:space="0" w:color="auto"/>
                <w:right w:val="none" w:sz="0" w:space="0" w:color="auto"/>
              </w:divBdr>
            </w:div>
            <w:div w:id="1154568265">
              <w:marLeft w:val="0"/>
              <w:marRight w:val="0"/>
              <w:marTop w:val="0"/>
              <w:marBottom w:val="0"/>
              <w:divBdr>
                <w:top w:val="none" w:sz="0" w:space="0" w:color="auto"/>
                <w:left w:val="none" w:sz="0" w:space="0" w:color="auto"/>
                <w:bottom w:val="none" w:sz="0" w:space="0" w:color="auto"/>
                <w:right w:val="none" w:sz="0" w:space="0" w:color="auto"/>
              </w:divBdr>
            </w:div>
          </w:divsChild>
        </w:div>
        <w:div w:id="1363168331">
          <w:marLeft w:val="0"/>
          <w:marRight w:val="0"/>
          <w:marTop w:val="0"/>
          <w:marBottom w:val="0"/>
          <w:divBdr>
            <w:top w:val="none" w:sz="0" w:space="0" w:color="auto"/>
            <w:left w:val="none" w:sz="0" w:space="0" w:color="auto"/>
            <w:bottom w:val="none" w:sz="0" w:space="0" w:color="auto"/>
            <w:right w:val="none" w:sz="0" w:space="0" w:color="auto"/>
          </w:divBdr>
        </w:div>
        <w:div w:id="1398165366">
          <w:marLeft w:val="0"/>
          <w:marRight w:val="0"/>
          <w:marTop w:val="0"/>
          <w:marBottom w:val="0"/>
          <w:divBdr>
            <w:top w:val="none" w:sz="0" w:space="0" w:color="auto"/>
            <w:left w:val="none" w:sz="0" w:space="0" w:color="auto"/>
            <w:bottom w:val="none" w:sz="0" w:space="0" w:color="auto"/>
            <w:right w:val="none" w:sz="0" w:space="0" w:color="auto"/>
          </w:divBdr>
        </w:div>
        <w:div w:id="1399135869">
          <w:marLeft w:val="0"/>
          <w:marRight w:val="0"/>
          <w:marTop w:val="0"/>
          <w:marBottom w:val="0"/>
          <w:divBdr>
            <w:top w:val="none" w:sz="0" w:space="0" w:color="auto"/>
            <w:left w:val="none" w:sz="0" w:space="0" w:color="auto"/>
            <w:bottom w:val="none" w:sz="0" w:space="0" w:color="auto"/>
            <w:right w:val="none" w:sz="0" w:space="0" w:color="auto"/>
          </w:divBdr>
        </w:div>
        <w:div w:id="1418139541">
          <w:marLeft w:val="0"/>
          <w:marRight w:val="0"/>
          <w:marTop w:val="0"/>
          <w:marBottom w:val="0"/>
          <w:divBdr>
            <w:top w:val="none" w:sz="0" w:space="0" w:color="auto"/>
            <w:left w:val="none" w:sz="0" w:space="0" w:color="auto"/>
            <w:bottom w:val="none" w:sz="0" w:space="0" w:color="auto"/>
            <w:right w:val="none" w:sz="0" w:space="0" w:color="auto"/>
          </w:divBdr>
        </w:div>
        <w:div w:id="1447848922">
          <w:marLeft w:val="0"/>
          <w:marRight w:val="0"/>
          <w:marTop w:val="0"/>
          <w:marBottom w:val="0"/>
          <w:divBdr>
            <w:top w:val="none" w:sz="0" w:space="0" w:color="auto"/>
            <w:left w:val="none" w:sz="0" w:space="0" w:color="auto"/>
            <w:bottom w:val="none" w:sz="0" w:space="0" w:color="auto"/>
            <w:right w:val="none" w:sz="0" w:space="0" w:color="auto"/>
          </w:divBdr>
        </w:div>
        <w:div w:id="1460955911">
          <w:marLeft w:val="0"/>
          <w:marRight w:val="0"/>
          <w:marTop w:val="0"/>
          <w:marBottom w:val="0"/>
          <w:divBdr>
            <w:top w:val="none" w:sz="0" w:space="0" w:color="auto"/>
            <w:left w:val="none" w:sz="0" w:space="0" w:color="auto"/>
            <w:bottom w:val="none" w:sz="0" w:space="0" w:color="auto"/>
            <w:right w:val="none" w:sz="0" w:space="0" w:color="auto"/>
          </w:divBdr>
        </w:div>
        <w:div w:id="1466894920">
          <w:marLeft w:val="0"/>
          <w:marRight w:val="0"/>
          <w:marTop w:val="0"/>
          <w:marBottom w:val="0"/>
          <w:divBdr>
            <w:top w:val="none" w:sz="0" w:space="0" w:color="auto"/>
            <w:left w:val="none" w:sz="0" w:space="0" w:color="auto"/>
            <w:bottom w:val="none" w:sz="0" w:space="0" w:color="auto"/>
            <w:right w:val="none" w:sz="0" w:space="0" w:color="auto"/>
          </w:divBdr>
        </w:div>
        <w:div w:id="1502157039">
          <w:marLeft w:val="0"/>
          <w:marRight w:val="0"/>
          <w:marTop w:val="0"/>
          <w:marBottom w:val="0"/>
          <w:divBdr>
            <w:top w:val="none" w:sz="0" w:space="0" w:color="auto"/>
            <w:left w:val="none" w:sz="0" w:space="0" w:color="auto"/>
            <w:bottom w:val="none" w:sz="0" w:space="0" w:color="auto"/>
            <w:right w:val="none" w:sz="0" w:space="0" w:color="auto"/>
          </w:divBdr>
        </w:div>
        <w:div w:id="1524394100">
          <w:marLeft w:val="0"/>
          <w:marRight w:val="0"/>
          <w:marTop w:val="0"/>
          <w:marBottom w:val="0"/>
          <w:divBdr>
            <w:top w:val="none" w:sz="0" w:space="0" w:color="auto"/>
            <w:left w:val="none" w:sz="0" w:space="0" w:color="auto"/>
            <w:bottom w:val="none" w:sz="0" w:space="0" w:color="auto"/>
            <w:right w:val="none" w:sz="0" w:space="0" w:color="auto"/>
          </w:divBdr>
        </w:div>
        <w:div w:id="1556895018">
          <w:marLeft w:val="0"/>
          <w:marRight w:val="0"/>
          <w:marTop w:val="0"/>
          <w:marBottom w:val="0"/>
          <w:divBdr>
            <w:top w:val="none" w:sz="0" w:space="0" w:color="auto"/>
            <w:left w:val="none" w:sz="0" w:space="0" w:color="auto"/>
            <w:bottom w:val="none" w:sz="0" w:space="0" w:color="auto"/>
            <w:right w:val="none" w:sz="0" w:space="0" w:color="auto"/>
          </w:divBdr>
        </w:div>
        <w:div w:id="1598367551">
          <w:marLeft w:val="0"/>
          <w:marRight w:val="0"/>
          <w:marTop w:val="0"/>
          <w:marBottom w:val="0"/>
          <w:divBdr>
            <w:top w:val="none" w:sz="0" w:space="0" w:color="auto"/>
            <w:left w:val="none" w:sz="0" w:space="0" w:color="auto"/>
            <w:bottom w:val="none" w:sz="0" w:space="0" w:color="auto"/>
            <w:right w:val="none" w:sz="0" w:space="0" w:color="auto"/>
          </w:divBdr>
        </w:div>
        <w:div w:id="1609041781">
          <w:marLeft w:val="0"/>
          <w:marRight w:val="0"/>
          <w:marTop w:val="0"/>
          <w:marBottom w:val="0"/>
          <w:divBdr>
            <w:top w:val="none" w:sz="0" w:space="0" w:color="auto"/>
            <w:left w:val="none" w:sz="0" w:space="0" w:color="auto"/>
            <w:bottom w:val="none" w:sz="0" w:space="0" w:color="auto"/>
            <w:right w:val="none" w:sz="0" w:space="0" w:color="auto"/>
          </w:divBdr>
          <w:divsChild>
            <w:div w:id="323776253">
              <w:marLeft w:val="0"/>
              <w:marRight w:val="0"/>
              <w:marTop w:val="0"/>
              <w:marBottom w:val="0"/>
              <w:divBdr>
                <w:top w:val="none" w:sz="0" w:space="0" w:color="auto"/>
                <w:left w:val="none" w:sz="0" w:space="0" w:color="auto"/>
                <w:bottom w:val="none" w:sz="0" w:space="0" w:color="auto"/>
                <w:right w:val="none" w:sz="0" w:space="0" w:color="auto"/>
              </w:divBdr>
            </w:div>
            <w:div w:id="1036002537">
              <w:marLeft w:val="0"/>
              <w:marRight w:val="0"/>
              <w:marTop w:val="0"/>
              <w:marBottom w:val="0"/>
              <w:divBdr>
                <w:top w:val="none" w:sz="0" w:space="0" w:color="auto"/>
                <w:left w:val="none" w:sz="0" w:space="0" w:color="auto"/>
                <w:bottom w:val="none" w:sz="0" w:space="0" w:color="auto"/>
                <w:right w:val="none" w:sz="0" w:space="0" w:color="auto"/>
              </w:divBdr>
            </w:div>
            <w:div w:id="1745837074">
              <w:marLeft w:val="0"/>
              <w:marRight w:val="0"/>
              <w:marTop w:val="0"/>
              <w:marBottom w:val="0"/>
              <w:divBdr>
                <w:top w:val="none" w:sz="0" w:space="0" w:color="auto"/>
                <w:left w:val="none" w:sz="0" w:space="0" w:color="auto"/>
                <w:bottom w:val="none" w:sz="0" w:space="0" w:color="auto"/>
                <w:right w:val="none" w:sz="0" w:space="0" w:color="auto"/>
              </w:divBdr>
            </w:div>
            <w:div w:id="1880587483">
              <w:marLeft w:val="0"/>
              <w:marRight w:val="0"/>
              <w:marTop w:val="0"/>
              <w:marBottom w:val="0"/>
              <w:divBdr>
                <w:top w:val="none" w:sz="0" w:space="0" w:color="auto"/>
                <w:left w:val="none" w:sz="0" w:space="0" w:color="auto"/>
                <w:bottom w:val="none" w:sz="0" w:space="0" w:color="auto"/>
                <w:right w:val="none" w:sz="0" w:space="0" w:color="auto"/>
              </w:divBdr>
            </w:div>
            <w:div w:id="2056200290">
              <w:marLeft w:val="0"/>
              <w:marRight w:val="0"/>
              <w:marTop w:val="0"/>
              <w:marBottom w:val="0"/>
              <w:divBdr>
                <w:top w:val="none" w:sz="0" w:space="0" w:color="auto"/>
                <w:left w:val="none" w:sz="0" w:space="0" w:color="auto"/>
                <w:bottom w:val="none" w:sz="0" w:space="0" w:color="auto"/>
                <w:right w:val="none" w:sz="0" w:space="0" w:color="auto"/>
              </w:divBdr>
            </w:div>
          </w:divsChild>
        </w:div>
        <w:div w:id="1665427337">
          <w:marLeft w:val="0"/>
          <w:marRight w:val="0"/>
          <w:marTop w:val="0"/>
          <w:marBottom w:val="0"/>
          <w:divBdr>
            <w:top w:val="none" w:sz="0" w:space="0" w:color="auto"/>
            <w:left w:val="none" w:sz="0" w:space="0" w:color="auto"/>
            <w:bottom w:val="none" w:sz="0" w:space="0" w:color="auto"/>
            <w:right w:val="none" w:sz="0" w:space="0" w:color="auto"/>
          </w:divBdr>
        </w:div>
        <w:div w:id="1707364983">
          <w:marLeft w:val="0"/>
          <w:marRight w:val="0"/>
          <w:marTop w:val="0"/>
          <w:marBottom w:val="0"/>
          <w:divBdr>
            <w:top w:val="none" w:sz="0" w:space="0" w:color="auto"/>
            <w:left w:val="none" w:sz="0" w:space="0" w:color="auto"/>
            <w:bottom w:val="none" w:sz="0" w:space="0" w:color="auto"/>
            <w:right w:val="none" w:sz="0" w:space="0" w:color="auto"/>
          </w:divBdr>
          <w:divsChild>
            <w:div w:id="277376904">
              <w:marLeft w:val="0"/>
              <w:marRight w:val="0"/>
              <w:marTop w:val="0"/>
              <w:marBottom w:val="0"/>
              <w:divBdr>
                <w:top w:val="none" w:sz="0" w:space="0" w:color="auto"/>
                <w:left w:val="none" w:sz="0" w:space="0" w:color="auto"/>
                <w:bottom w:val="none" w:sz="0" w:space="0" w:color="auto"/>
                <w:right w:val="none" w:sz="0" w:space="0" w:color="auto"/>
              </w:divBdr>
            </w:div>
            <w:div w:id="1750686390">
              <w:marLeft w:val="0"/>
              <w:marRight w:val="0"/>
              <w:marTop w:val="0"/>
              <w:marBottom w:val="0"/>
              <w:divBdr>
                <w:top w:val="none" w:sz="0" w:space="0" w:color="auto"/>
                <w:left w:val="none" w:sz="0" w:space="0" w:color="auto"/>
                <w:bottom w:val="none" w:sz="0" w:space="0" w:color="auto"/>
                <w:right w:val="none" w:sz="0" w:space="0" w:color="auto"/>
              </w:divBdr>
            </w:div>
            <w:div w:id="1974870084">
              <w:marLeft w:val="0"/>
              <w:marRight w:val="0"/>
              <w:marTop w:val="0"/>
              <w:marBottom w:val="0"/>
              <w:divBdr>
                <w:top w:val="none" w:sz="0" w:space="0" w:color="auto"/>
                <w:left w:val="none" w:sz="0" w:space="0" w:color="auto"/>
                <w:bottom w:val="none" w:sz="0" w:space="0" w:color="auto"/>
                <w:right w:val="none" w:sz="0" w:space="0" w:color="auto"/>
              </w:divBdr>
            </w:div>
          </w:divsChild>
        </w:div>
        <w:div w:id="1745031545">
          <w:marLeft w:val="0"/>
          <w:marRight w:val="0"/>
          <w:marTop w:val="0"/>
          <w:marBottom w:val="0"/>
          <w:divBdr>
            <w:top w:val="none" w:sz="0" w:space="0" w:color="auto"/>
            <w:left w:val="none" w:sz="0" w:space="0" w:color="auto"/>
            <w:bottom w:val="none" w:sz="0" w:space="0" w:color="auto"/>
            <w:right w:val="none" w:sz="0" w:space="0" w:color="auto"/>
          </w:divBdr>
          <w:divsChild>
            <w:div w:id="410661970">
              <w:marLeft w:val="0"/>
              <w:marRight w:val="0"/>
              <w:marTop w:val="0"/>
              <w:marBottom w:val="0"/>
              <w:divBdr>
                <w:top w:val="none" w:sz="0" w:space="0" w:color="auto"/>
                <w:left w:val="none" w:sz="0" w:space="0" w:color="auto"/>
                <w:bottom w:val="none" w:sz="0" w:space="0" w:color="auto"/>
                <w:right w:val="none" w:sz="0" w:space="0" w:color="auto"/>
              </w:divBdr>
            </w:div>
            <w:div w:id="722755069">
              <w:marLeft w:val="0"/>
              <w:marRight w:val="0"/>
              <w:marTop w:val="0"/>
              <w:marBottom w:val="0"/>
              <w:divBdr>
                <w:top w:val="none" w:sz="0" w:space="0" w:color="auto"/>
                <w:left w:val="none" w:sz="0" w:space="0" w:color="auto"/>
                <w:bottom w:val="none" w:sz="0" w:space="0" w:color="auto"/>
                <w:right w:val="none" w:sz="0" w:space="0" w:color="auto"/>
              </w:divBdr>
            </w:div>
            <w:div w:id="1128206411">
              <w:marLeft w:val="0"/>
              <w:marRight w:val="0"/>
              <w:marTop w:val="0"/>
              <w:marBottom w:val="0"/>
              <w:divBdr>
                <w:top w:val="none" w:sz="0" w:space="0" w:color="auto"/>
                <w:left w:val="none" w:sz="0" w:space="0" w:color="auto"/>
                <w:bottom w:val="none" w:sz="0" w:space="0" w:color="auto"/>
                <w:right w:val="none" w:sz="0" w:space="0" w:color="auto"/>
              </w:divBdr>
            </w:div>
          </w:divsChild>
        </w:div>
        <w:div w:id="1755741534">
          <w:marLeft w:val="0"/>
          <w:marRight w:val="0"/>
          <w:marTop w:val="0"/>
          <w:marBottom w:val="0"/>
          <w:divBdr>
            <w:top w:val="none" w:sz="0" w:space="0" w:color="auto"/>
            <w:left w:val="none" w:sz="0" w:space="0" w:color="auto"/>
            <w:bottom w:val="none" w:sz="0" w:space="0" w:color="auto"/>
            <w:right w:val="none" w:sz="0" w:space="0" w:color="auto"/>
          </w:divBdr>
          <w:divsChild>
            <w:div w:id="1620867530">
              <w:marLeft w:val="-75"/>
              <w:marRight w:val="0"/>
              <w:marTop w:val="30"/>
              <w:marBottom w:val="30"/>
              <w:divBdr>
                <w:top w:val="none" w:sz="0" w:space="0" w:color="auto"/>
                <w:left w:val="none" w:sz="0" w:space="0" w:color="auto"/>
                <w:bottom w:val="none" w:sz="0" w:space="0" w:color="auto"/>
                <w:right w:val="none" w:sz="0" w:space="0" w:color="auto"/>
              </w:divBdr>
              <w:divsChild>
                <w:div w:id="15272745">
                  <w:marLeft w:val="0"/>
                  <w:marRight w:val="0"/>
                  <w:marTop w:val="0"/>
                  <w:marBottom w:val="0"/>
                  <w:divBdr>
                    <w:top w:val="none" w:sz="0" w:space="0" w:color="auto"/>
                    <w:left w:val="none" w:sz="0" w:space="0" w:color="auto"/>
                    <w:bottom w:val="none" w:sz="0" w:space="0" w:color="auto"/>
                    <w:right w:val="none" w:sz="0" w:space="0" w:color="auto"/>
                  </w:divBdr>
                  <w:divsChild>
                    <w:div w:id="94910027">
                      <w:marLeft w:val="0"/>
                      <w:marRight w:val="0"/>
                      <w:marTop w:val="0"/>
                      <w:marBottom w:val="0"/>
                      <w:divBdr>
                        <w:top w:val="none" w:sz="0" w:space="0" w:color="auto"/>
                        <w:left w:val="none" w:sz="0" w:space="0" w:color="auto"/>
                        <w:bottom w:val="none" w:sz="0" w:space="0" w:color="auto"/>
                        <w:right w:val="none" w:sz="0" w:space="0" w:color="auto"/>
                      </w:divBdr>
                    </w:div>
                  </w:divsChild>
                </w:div>
                <w:div w:id="17437641">
                  <w:marLeft w:val="0"/>
                  <w:marRight w:val="0"/>
                  <w:marTop w:val="0"/>
                  <w:marBottom w:val="0"/>
                  <w:divBdr>
                    <w:top w:val="none" w:sz="0" w:space="0" w:color="auto"/>
                    <w:left w:val="none" w:sz="0" w:space="0" w:color="auto"/>
                    <w:bottom w:val="none" w:sz="0" w:space="0" w:color="auto"/>
                    <w:right w:val="none" w:sz="0" w:space="0" w:color="auto"/>
                  </w:divBdr>
                  <w:divsChild>
                    <w:div w:id="62069575">
                      <w:marLeft w:val="0"/>
                      <w:marRight w:val="0"/>
                      <w:marTop w:val="0"/>
                      <w:marBottom w:val="0"/>
                      <w:divBdr>
                        <w:top w:val="none" w:sz="0" w:space="0" w:color="auto"/>
                        <w:left w:val="none" w:sz="0" w:space="0" w:color="auto"/>
                        <w:bottom w:val="none" w:sz="0" w:space="0" w:color="auto"/>
                        <w:right w:val="none" w:sz="0" w:space="0" w:color="auto"/>
                      </w:divBdr>
                    </w:div>
                  </w:divsChild>
                </w:div>
                <w:div w:id="24142523">
                  <w:marLeft w:val="0"/>
                  <w:marRight w:val="0"/>
                  <w:marTop w:val="0"/>
                  <w:marBottom w:val="0"/>
                  <w:divBdr>
                    <w:top w:val="none" w:sz="0" w:space="0" w:color="auto"/>
                    <w:left w:val="none" w:sz="0" w:space="0" w:color="auto"/>
                    <w:bottom w:val="none" w:sz="0" w:space="0" w:color="auto"/>
                    <w:right w:val="none" w:sz="0" w:space="0" w:color="auto"/>
                  </w:divBdr>
                  <w:divsChild>
                    <w:div w:id="192813638">
                      <w:marLeft w:val="0"/>
                      <w:marRight w:val="0"/>
                      <w:marTop w:val="0"/>
                      <w:marBottom w:val="0"/>
                      <w:divBdr>
                        <w:top w:val="none" w:sz="0" w:space="0" w:color="auto"/>
                        <w:left w:val="none" w:sz="0" w:space="0" w:color="auto"/>
                        <w:bottom w:val="none" w:sz="0" w:space="0" w:color="auto"/>
                        <w:right w:val="none" w:sz="0" w:space="0" w:color="auto"/>
                      </w:divBdr>
                    </w:div>
                  </w:divsChild>
                </w:div>
                <w:div w:id="44525688">
                  <w:marLeft w:val="0"/>
                  <w:marRight w:val="0"/>
                  <w:marTop w:val="0"/>
                  <w:marBottom w:val="0"/>
                  <w:divBdr>
                    <w:top w:val="none" w:sz="0" w:space="0" w:color="auto"/>
                    <w:left w:val="none" w:sz="0" w:space="0" w:color="auto"/>
                    <w:bottom w:val="none" w:sz="0" w:space="0" w:color="auto"/>
                    <w:right w:val="none" w:sz="0" w:space="0" w:color="auto"/>
                  </w:divBdr>
                  <w:divsChild>
                    <w:div w:id="1965501623">
                      <w:marLeft w:val="0"/>
                      <w:marRight w:val="0"/>
                      <w:marTop w:val="0"/>
                      <w:marBottom w:val="0"/>
                      <w:divBdr>
                        <w:top w:val="none" w:sz="0" w:space="0" w:color="auto"/>
                        <w:left w:val="none" w:sz="0" w:space="0" w:color="auto"/>
                        <w:bottom w:val="none" w:sz="0" w:space="0" w:color="auto"/>
                        <w:right w:val="none" w:sz="0" w:space="0" w:color="auto"/>
                      </w:divBdr>
                    </w:div>
                  </w:divsChild>
                </w:div>
                <w:div w:id="63601011">
                  <w:marLeft w:val="0"/>
                  <w:marRight w:val="0"/>
                  <w:marTop w:val="0"/>
                  <w:marBottom w:val="0"/>
                  <w:divBdr>
                    <w:top w:val="none" w:sz="0" w:space="0" w:color="auto"/>
                    <w:left w:val="none" w:sz="0" w:space="0" w:color="auto"/>
                    <w:bottom w:val="none" w:sz="0" w:space="0" w:color="auto"/>
                    <w:right w:val="none" w:sz="0" w:space="0" w:color="auto"/>
                  </w:divBdr>
                  <w:divsChild>
                    <w:div w:id="2014335505">
                      <w:marLeft w:val="0"/>
                      <w:marRight w:val="0"/>
                      <w:marTop w:val="0"/>
                      <w:marBottom w:val="0"/>
                      <w:divBdr>
                        <w:top w:val="none" w:sz="0" w:space="0" w:color="auto"/>
                        <w:left w:val="none" w:sz="0" w:space="0" w:color="auto"/>
                        <w:bottom w:val="none" w:sz="0" w:space="0" w:color="auto"/>
                        <w:right w:val="none" w:sz="0" w:space="0" w:color="auto"/>
                      </w:divBdr>
                    </w:div>
                  </w:divsChild>
                </w:div>
                <w:div w:id="108936093">
                  <w:marLeft w:val="0"/>
                  <w:marRight w:val="0"/>
                  <w:marTop w:val="0"/>
                  <w:marBottom w:val="0"/>
                  <w:divBdr>
                    <w:top w:val="none" w:sz="0" w:space="0" w:color="auto"/>
                    <w:left w:val="none" w:sz="0" w:space="0" w:color="auto"/>
                    <w:bottom w:val="none" w:sz="0" w:space="0" w:color="auto"/>
                    <w:right w:val="none" w:sz="0" w:space="0" w:color="auto"/>
                  </w:divBdr>
                  <w:divsChild>
                    <w:div w:id="924416592">
                      <w:marLeft w:val="0"/>
                      <w:marRight w:val="0"/>
                      <w:marTop w:val="0"/>
                      <w:marBottom w:val="0"/>
                      <w:divBdr>
                        <w:top w:val="none" w:sz="0" w:space="0" w:color="auto"/>
                        <w:left w:val="none" w:sz="0" w:space="0" w:color="auto"/>
                        <w:bottom w:val="none" w:sz="0" w:space="0" w:color="auto"/>
                        <w:right w:val="none" w:sz="0" w:space="0" w:color="auto"/>
                      </w:divBdr>
                    </w:div>
                  </w:divsChild>
                </w:div>
                <w:div w:id="130756182">
                  <w:marLeft w:val="0"/>
                  <w:marRight w:val="0"/>
                  <w:marTop w:val="0"/>
                  <w:marBottom w:val="0"/>
                  <w:divBdr>
                    <w:top w:val="none" w:sz="0" w:space="0" w:color="auto"/>
                    <w:left w:val="none" w:sz="0" w:space="0" w:color="auto"/>
                    <w:bottom w:val="none" w:sz="0" w:space="0" w:color="auto"/>
                    <w:right w:val="none" w:sz="0" w:space="0" w:color="auto"/>
                  </w:divBdr>
                  <w:divsChild>
                    <w:div w:id="30762508">
                      <w:marLeft w:val="0"/>
                      <w:marRight w:val="0"/>
                      <w:marTop w:val="0"/>
                      <w:marBottom w:val="0"/>
                      <w:divBdr>
                        <w:top w:val="none" w:sz="0" w:space="0" w:color="auto"/>
                        <w:left w:val="none" w:sz="0" w:space="0" w:color="auto"/>
                        <w:bottom w:val="none" w:sz="0" w:space="0" w:color="auto"/>
                        <w:right w:val="none" w:sz="0" w:space="0" w:color="auto"/>
                      </w:divBdr>
                    </w:div>
                  </w:divsChild>
                </w:div>
                <w:div w:id="137692641">
                  <w:marLeft w:val="0"/>
                  <w:marRight w:val="0"/>
                  <w:marTop w:val="0"/>
                  <w:marBottom w:val="0"/>
                  <w:divBdr>
                    <w:top w:val="none" w:sz="0" w:space="0" w:color="auto"/>
                    <w:left w:val="none" w:sz="0" w:space="0" w:color="auto"/>
                    <w:bottom w:val="none" w:sz="0" w:space="0" w:color="auto"/>
                    <w:right w:val="none" w:sz="0" w:space="0" w:color="auto"/>
                  </w:divBdr>
                  <w:divsChild>
                    <w:div w:id="42222347">
                      <w:marLeft w:val="0"/>
                      <w:marRight w:val="0"/>
                      <w:marTop w:val="0"/>
                      <w:marBottom w:val="0"/>
                      <w:divBdr>
                        <w:top w:val="none" w:sz="0" w:space="0" w:color="auto"/>
                        <w:left w:val="none" w:sz="0" w:space="0" w:color="auto"/>
                        <w:bottom w:val="none" w:sz="0" w:space="0" w:color="auto"/>
                        <w:right w:val="none" w:sz="0" w:space="0" w:color="auto"/>
                      </w:divBdr>
                    </w:div>
                  </w:divsChild>
                </w:div>
                <w:div w:id="141889306">
                  <w:marLeft w:val="0"/>
                  <w:marRight w:val="0"/>
                  <w:marTop w:val="0"/>
                  <w:marBottom w:val="0"/>
                  <w:divBdr>
                    <w:top w:val="none" w:sz="0" w:space="0" w:color="auto"/>
                    <w:left w:val="none" w:sz="0" w:space="0" w:color="auto"/>
                    <w:bottom w:val="none" w:sz="0" w:space="0" w:color="auto"/>
                    <w:right w:val="none" w:sz="0" w:space="0" w:color="auto"/>
                  </w:divBdr>
                  <w:divsChild>
                    <w:div w:id="195892809">
                      <w:marLeft w:val="0"/>
                      <w:marRight w:val="0"/>
                      <w:marTop w:val="0"/>
                      <w:marBottom w:val="0"/>
                      <w:divBdr>
                        <w:top w:val="none" w:sz="0" w:space="0" w:color="auto"/>
                        <w:left w:val="none" w:sz="0" w:space="0" w:color="auto"/>
                        <w:bottom w:val="none" w:sz="0" w:space="0" w:color="auto"/>
                        <w:right w:val="none" w:sz="0" w:space="0" w:color="auto"/>
                      </w:divBdr>
                    </w:div>
                  </w:divsChild>
                </w:div>
                <w:div w:id="146485119">
                  <w:marLeft w:val="0"/>
                  <w:marRight w:val="0"/>
                  <w:marTop w:val="0"/>
                  <w:marBottom w:val="0"/>
                  <w:divBdr>
                    <w:top w:val="none" w:sz="0" w:space="0" w:color="auto"/>
                    <w:left w:val="none" w:sz="0" w:space="0" w:color="auto"/>
                    <w:bottom w:val="none" w:sz="0" w:space="0" w:color="auto"/>
                    <w:right w:val="none" w:sz="0" w:space="0" w:color="auto"/>
                  </w:divBdr>
                  <w:divsChild>
                    <w:div w:id="1343781233">
                      <w:marLeft w:val="0"/>
                      <w:marRight w:val="0"/>
                      <w:marTop w:val="0"/>
                      <w:marBottom w:val="0"/>
                      <w:divBdr>
                        <w:top w:val="none" w:sz="0" w:space="0" w:color="auto"/>
                        <w:left w:val="none" w:sz="0" w:space="0" w:color="auto"/>
                        <w:bottom w:val="none" w:sz="0" w:space="0" w:color="auto"/>
                        <w:right w:val="none" w:sz="0" w:space="0" w:color="auto"/>
                      </w:divBdr>
                    </w:div>
                  </w:divsChild>
                </w:div>
                <w:div w:id="158815819">
                  <w:marLeft w:val="0"/>
                  <w:marRight w:val="0"/>
                  <w:marTop w:val="0"/>
                  <w:marBottom w:val="0"/>
                  <w:divBdr>
                    <w:top w:val="none" w:sz="0" w:space="0" w:color="auto"/>
                    <w:left w:val="none" w:sz="0" w:space="0" w:color="auto"/>
                    <w:bottom w:val="none" w:sz="0" w:space="0" w:color="auto"/>
                    <w:right w:val="none" w:sz="0" w:space="0" w:color="auto"/>
                  </w:divBdr>
                  <w:divsChild>
                    <w:div w:id="1301694482">
                      <w:marLeft w:val="0"/>
                      <w:marRight w:val="0"/>
                      <w:marTop w:val="0"/>
                      <w:marBottom w:val="0"/>
                      <w:divBdr>
                        <w:top w:val="none" w:sz="0" w:space="0" w:color="auto"/>
                        <w:left w:val="none" w:sz="0" w:space="0" w:color="auto"/>
                        <w:bottom w:val="none" w:sz="0" w:space="0" w:color="auto"/>
                        <w:right w:val="none" w:sz="0" w:space="0" w:color="auto"/>
                      </w:divBdr>
                    </w:div>
                  </w:divsChild>
                </w:div>
                <w:div w:id="193229238">
                  <w:marLeft w:val="0"/>
                  <w:marRight w:val="0"/>
                  <w:marTop w:val="0"/>
                  <w:marBottom w:val="0"/>
                  <w:divBdr>
                    <w:top w:val="none" w:sz="0" w:space="0" w:color="auto"/>
                    <w:left w:val="none" w:sz="0" w:space="0" w:color="auto"/>
                    <w:bottom w:val="none" w:sz="0" w:space="0" w:color="auto"/>
                    <w:right w:val="none" w:sz="0" w:space="0" w:color="auto"/>
                  </w:divBdr>
                  <w:divsChild>
                    <w:div w:id="1259873186">
                      <w:marLeft w:val="0"/>
                      <w:marRight w:val="0"/>
                      <w:marTop w:val="0"/>
                      <w:marBottom w:val="0"/>
                      <w:divBdr>
                        <w:top w:val="none" w:sz="0" w:space="0" w:color="auto"/>
                        <w:left w:val="none" w:sz="0" w:space="0" w:color="auto"/>
                        <w:bottom w:val="none" w:sz="0" w:space="0" w:color="auto"/>
                        <w:right w:val="none" w:sz="0" w:space="0" w:color="auto"/>
                      </w:divBdr>
                    </w:div>
                  </w:divsChild>
                </w:div>
                <w:div w:id="194973927">
                  <w:marLeft w:val="0"/>
                  <w:marRight w:val="0"/>
                  <w:marTop w:val="0"/>
                  <w:marBottom w:val="0"/>
                  <w:divBdr>
                    <w:top w:val="none" w:sz="0" w:space="0" w:color="auto"/>
                    <w:left w:val="none" w:sz="0" w:space="0" w:color="auto"/>
                    <w:bottom w:val="none" w:sz="0" w:space="0" w:color="auto"/>
                    <w:right w:val="none" w:sz="0" w:space="0" w:color="auto"/>
                  </w:divBdr>
                  <w:divsChild>
                    <w:div w:id="210728999">
                      <w:marLeft w:val="0"/>
                      <w:marRight w:val="0"/>
                      <w:marTop w:val="0"/>
                      <w:marBottom w:val="0"/>
                      <w:divBdr>
                        <w:top w:val="none" w:sz="0" w:space="0" w:color="auto"/>
                        <w:left w:val="none" w:sz="0" w:space="0" w:color="auto"/>
                        <w:bottom w:val="none" w:sz="0" w:space="0" w:color="auto"/>
                        <w:right w:val="none" w:sz="0" w:space="0" w:color="auto"/>
                      </w:divBdr>
                    </w:div>
                  </w:divsChild>
                </w:div>
                <w:div w:id="208886144">
                  <w:marLeft w:val="0"/>
                  <w:marRight w:val="0"/>
                  <w:marTop w:val="0"/>
                  <w:marBottom w:val="0"/>
                  <w:divBdr>
                    <w:top w:val="none" w:sz="0" w:space="0" w:color="auto"/>
                    <w:left w:val="none" w:sz="0" w:space="0" w:color="auto"/>
                    <w:bottom w:val="none" w:sz="0" w:space="0" w:color="auto"/>
                    <w:right w:val="none" w:sz="0" w:space="0" w:color="auto"/>
                  </w:divBdr>
                  <w:divsChild>
                    <w:div w:id="618416891">
                      <w:marLeft w:val="0"/>
                      <w:marRight w:val="0"/>
                      <w:marTop w:val="0"/>
                      <w:marBottom w:val="0"/>
                      <w:divBdr>
                        <w:top w:val="none" w:sz="0" w:space="0" w:color="auto"/>
                        <w:left w:val="none" w:sz="0" w:space="0" w:color="auto"/>
                        <w:bottom w:val="none" w:sz="0" w:space="0" w:color="auto"/>
                        <w:right w:val="none" w:sz="0" w:space="0" w:color="auto"/>
                      </w:divBdr>
                    </w:div>
                  </w:divsChild>
                </w:div>
                <w:div w:id="225343738">
                  <w:marLeft w:val="0"/>
                  <w:marRight w:val="0"/>
                  <w:marTop w:val="0"/>
                  <w:marBottom w:val="0"/>
                  <w:divBdr>
                    <w:top w:val="none" w:sz="0" w:space="0" w:color="auto"/>
                    <w:left w:val="none" w:sz="0" w:space="0" w:color="auto"/>
                    <w:bottom w:val="none" w:sz="0" w:space="0" w:color="auto"/>
                    <w:right w:val="none" w:sz="0" w:space="0" w:color="auto"/>
                  </w:divBdr>
                  <w:divsChild>
                    <w:div w:id="1133251809">
                      <w:marLeft w:val="0"/>
                      <w:marRight w:val="0"/>
                      <w:marTop w:val="0"/>
                      <w:marBottom w:val="0"/>
                      <w:divBdr>
                        <w:top w:val="none" w:sz="0" w:space="0" w:color="auto"/>
                        <w:left w:val="none" w:sz="0" w:space="0" w:color="auto"/>
                        <w:bottom w:val="none" w:sz="0" w:space="0" w:color="auto"/>
                        <w:right w:val="none" w:sz="0" w:space="0" w:color="auto"/>
                      </w:divBdr>
                    </w:div>
                  </w:divsChild>
                </w:div>
                <w:div w:id="242569488">
                  <w:marLeft w:val="0"/>
                  <w:marRight w:val="0"/>
                  <w:marTop w:val="0"/>
                  <w:marBottom w:val="0"/>
                  <w:divBdr>
                    <w:top w:val="none" w:sz="0" w:space="0" w:color="auto"/>
                    <w:left w:val="none" w:sz="0" w:space="0" w:color="auto"/>
                    <w:bottom w:val="none" w:sz="0" w:space="0" w:color="auto"/>
                    <w:right w:val="none" w:sz="0" w:space="0" w:color="auto"/>
                  </w:divBdr>
                  <w:divsChild>
                    <w:div w:id="2091002640">
                      <w:marLeft w:val="0"/>
                      <w:marRight w:val="0"/>
                      <w:marTop w:val="0"/>
                      <w:marBottom w:val="0"/>
                      <w:divBdr>
                        <w:top w:val="none" w:sz="0" w:space="0" w:color="auto"/>
                        <w:left w:val="none" w:sz="0" w:space="0" w:color="auto"/>
                        <w:bottom w:val="none" w:sz="0" w:space="0" w:color="auto"/>
                        <w:right w:val="none" w:sz="0" w:space="0" w:color="auto"/>
                      </w:divBdr>
                    </w:div>
                  </w:divsChild>
                </w:div>
                <w:div w:id="249243258">
                  <w:marLeft w:val="0"/>
                  <w:marRight w:val="0"/>
                  <w:marTop w:val="0"/>
                  <w:marBottom w:val="0"/>
                  <w:divBdr>
                    <w:top w:val="none" w:sz="0" w:space="0" w:color="auto"/>
                    <w:left w:val="none" w:sz="0" w:space="0" w:color="auto"/>
                    <w:bottom w:val="none" w:sz="0" w:space="0" w:color="auto"/>
                    <w:right w:val="none" w:sz="0" w:space="0" w:color="auto"/>
                  </w:divBdr>
                  <w:divsChild>
                    <w:div w:id="120222959">
                      <w:marLeft w:val="0"/>
                      <w:marRight w:val="0"/>
                      <w:marTop w:val="0"/>
                      <w:marBottom w:val="0"/>
                      <w:divBdr>
                        <w:top w:val="none" w:sz="0" w:space="0" w:color="auto"/>
                        <w:left w:val="none" w:sz="0" w:space="0" w:color="auto"/>
                        <w:bottom w:val="none" w:sz="0" w:space="0" w:color="auto"/>
                        <w:right w:val="none" w:sz="0" w:space="0" w:color="auto"/>
                      </w:divBdr>
                    </w:div>
                  </w:divsChild>
                </w:div>
                <w:div w:id="272640113">
                  <w:marLeft w:val="0"/>
                  <w:marRight w:val="0"/>
                  <w:marTop w:val="0"/>
                  <w:marBottom w:val="0"/>
                  <w:divBdr>
                    <w:top w:val="none" w:sz="0" w:space="0" w:color="auto"/>
                    <w:left w:val="none" w:sz="0" w:space="0" w:color="auto"/>
                    <w:bottom w:val="none" w:sz="0" w:space="0" w:color="auto"/>
                    <w:right w:val="none" w:sz="0" w:space="0" w:color="auto"/>
                  </w:divBdr>
                  <w:divsChild>
                    <w:div w:id="1778333333">
                      <w:marLeft w:val="0"/>
                      <w:marRight w:val="0"/>
                      <w:marTop w:val="0"/>
                      <w:marBottom w:val="0"/>
                      <w:divBdr>
                        <w:top w:val="none" w:sz="0" w:space="0" w:color="auto"/>
                        <w:left w:val="none" w:sz="0" w:space="0" w:color="auto"/>
                        <w:bottom w:val="none" w:sz="0" w:space="0" w:color="auto"/>
                        <w:right w:val="none" w:sz="0" w:space="0" w:color="auto"/>
                      </w:divBdr>
                    </w:div>
                  </w:divsChild>
                </w:div>
                <w:div w:id="282736763">
                  <w:marLeft w:val="0"/>
                  <w:marRight w:val="0"/>
                  <w:marTop w:val="0"/>
                  <w:marBottom w:val="0"/>
                  <w:divBdr>
                    <w:top w:val="none" w:sz="0" w:space="0" w:color="auto"/>
                    <w:left w:val="none" w:sz="0" w:space="0" w:color="auto"/>
                    <w:bottom w:val="none" w:sz="0" w:space="0" w:color="auto"/>
                    <w:right w:val="none" w:sz="0" w:space="0" w:color="auto"/>
                  </w:divBdr>
                  <w:divsChild>
                    <w:div w:id="1740135578">
                      <w:marLeft w:val="0"/>
                      <w:marRight w:val="0"/>
                      <w:marTop w:val="0"/>
                      <w:marBottom w:val="0"/>
                      <w:divBdr>
                        <w:top w:val="none" w:sz="0" w:space="0" w:color="auto"/>
                        <w:left w:val="none" w:sz="0" w:space="0" w:color="auto"/>
                        <w:bottom w:val="none" w:sz="0" w:space="0" w:color="auto"/>
                        <w:right w:val="none" w:sz="0" w:space="0" w:color="auto"/>
                      </w:divBdr>
                    </w:div>
                  </w:divsChild>
                </w:div>
                <w:div w:id="288442471">
                  <w:marLeft w:val="0"/>
                  <w:marRight w:val="0"/>
                  <w:marTop w:val="0"/>
                  <w:marBottom w:val="0"/>
                  <w:divBdr>
                    <w:top w:val="none" w:sz="0" w:space="0" w:color="auto"/>
                    <w:left w:val="none" w:sz="0" w:space="0" w:color="auto"/>
                    <w:bottom w:val="none" w:sz="0" w:space="0" w:color="auto"/>
                    <w:right w:val="none" w:sz="0" w:space="0" w:color="auto"/>
                  </w:divBdr>
                  <w:divsChild>
                    <w:div w:id="1307052590">
                      <w:marLeft w:val="0"/>
                      <w:marRight w:val="0"/>
                      <w:marTop w:val="0"/>
                      <w:marBottom w:val="0"/>
                      <w:divBdr>
                        <w:top w:val="none" w:sz="0" w:space="0" w:color="auto"/>
                        <w:left w:val="none" w:sz="0" w:space="0" w:color="auto"/>
                        <w:bottom w:val="none" w:sz="0" w:space="0" w:color="auto"/>
                        <w:right w:val="none" w:sz="0" w:space="0" w:color="auto"/>
                      </w:divBdr>
                    </w:div>
                  </w:divsChild>
                </w:div>
                <w:div w:id="307705044">
                  <w:marLeft w:val="0"/>
                  <w:marRight w:val="0"/>
                  <w:marTop w:val="0"/>
                  <w:marBottom w:val="0"/>
                  <w:divBdr>
                    <w:top w:val="none" w:sz="0" w:space="0" w:color="auto"/>
                    <w:left w:val="none" w:sz="0" w:space="0" w:color="auto"/>
                    <w:bottom w:val="none" w:sz="0" w:space="0" w:color="auto"/>
                    <w:right w:val="none" w:sz="0" w:space="0" w:color="auto"/>
                  </w:divBdr>
                  <w:divsChild>
                    <w:div w:id="1239053511">
                      <w:marLeft w:val="0"/>
                      <w:marRight w:val="0"/>
                      <w:marTop w:val="0"/>
                      <w:marBottom w:val="0"/>
                      <w:divBdr>
                        <w:top w:val="none" w:sz="0" w:space="0" w:color="auto"/>
                        <w:left w:val="none" w:sz="0" w:space="0" w:color="auto"/>
                        <w:bottom w:val="none" w:sz="0" w:space="0" w:color="auto"/>
                        <w:right w:val="none" w:sz="0" w:space="0" w:color="auto"/>
                      </w:divBdr>
                    </w:div>
                  </w:divsChild>
                </w:div>
                <w:div w:id="307706867">
                  <w:marLeft w:val="0"/>
                  <w:marRight w:val="0"/>
                  <w:marTop w:val="0"/>
                  <w:marBottom w:val="0"/>
                  <w:divBdr>
                    <w:top w:val="none" w:sz="0" w:space="0" w:color="auto"/>
                    <w:left w:val="none" w:sz="0" w:space="0" w:color="auto"/>
                    <w:bottom w:val="none" w:sz="0" w:space="0" w:color="auto"/>
                    <w:right w:val="none" w:sz="0" w:space="0" w:color="auto"/>
                  </w:divBdr>
                  <w:divsChild>
                    <w:div w:id="522062679">
                      <w:marLeft w:val="0"/>
                      <w:marRight w:val="0"/>
                      <w:marTop w:val="0"/>
                      <w:marBottom w:val="0"/>
                      <w:divBdr>
                        <w:top w:val="none" w:sz="0" w:space="0" w:color="auto"/>
                        <w:left w:val="none" w:sz="0" w:space="0" w:color="auto"/>
                        <w:bottom w:val="none" w:sz="0" w:space="0" w:color="auto"/>
                        <w:right w:val="none" w:sz="0" w:space="0" w:color="auto"/>
                      </w:divBdr>
                    </w:div>
                  </w:divsChild>
                </w:div>
                <w:div w:id="370499742">
                  <w:marLeft w:val="0"/>
                  <w:marRight w:val="0"/>
                  <w:marTop w:val="0"/>
                  <w:marBottom w:val="0"/>
                  <w:divBdr>
                    <w:top w:val="none" w:sz="0" w:space="0" w:color="auto"/>
                    <w:left w:val="none" w:sz="0" w:space="0" w:color="auto"/>
                    <w:bottom w:val="none" w:sz="0" w:space="0" w:color="auto"/>
                    <w:right w:val="none" w:sz="0" w:space="0" w:color="auto"/>
                  </w:divBdr>
                  <w:divsChild>
                    <w:div w:id="1032263452">
                      <w:marLeft w:val="0"/>
                      <w:marRight w:val="0"/>
                      <w:marTop w:val="0"/>
                      <w:marBottom w:val="0"/>
                      <w:divBdr>
                        <w:top w:val="none" w:sz="0" w:space="0" w:color="auto"/>
                        <w:left w:val="none" w:sz="0" w:space="0" w:color="auto"/>
                        <w:bottom w:val="none" w:sz="0" w:space="0" w:color="auto"/>
                        <w:right w:val="none" w:sz="0" w:space="0" w:color="auto"/>
                      </w:divBdr>
                    </w:div>
                  </w:divsChild>
                </w:div>
                <w:div w:id="370692967">
                  <w:marLeft w:val="0"/>
                  <w:marRight w:val="0"/>
                  <w:marTop w:val="0"/>
                  <w:marBottom w:val="0"/>
                  <w:divBdr>
                    <w:top w:val="none" w:sz="0" w:space="0" w:color="auto"/>
                    <w:left w:val="none" w:sz="0" w:space="0" w:color="auto"/>
                    <w:bottom w:val="none" w:sz="0" w:space="0" w:color="auto"/>
                    <w:right w:val="none" w:sz="0" w:space="0" w:color="auto"/>
                  </w:divBdr>
                  <w:divsChild>
                    <w:div w:id="546916688">
                      <w:marLeft w:val="0"/>
                      <w:marRight w:val="0"/>
                      <w:marTop w:val="0"/>
                      <w:marBottom w:val="0"/>
                      <w:divBdr>
                        <w:top w:val="none" w:sz="0" w:space="0" w:color="auto"/>
                        <w:left w:val="none" w:sz="0" w:space="0" w:color="auto"/>
                        <w:bottom w:val="none" w:sz="0" w:space="0" w:color="auto"/>
                        <w:right w:val="none" w:sz="0" w:space="0" w:color="auto"/>
                      </w:divBdr>
                    </w:div>
                  </w:divsChild>
                </w:div>
                <w:div w:id="423846168">
                  <w:marLeft w:val="0"/>
                  <w:marRight w:val="0"/>
                  <w:marTop w:val="0"/>
                  <w:marBottom w:val="0"/>
                  <w:divBdr>
                    <w:top w:val="none" w:sz="0" w:space="0" w:color="auto"/>
                    <w:left w:val="none" w:sz="0" w:space="0" w:color="auto"/>
                    <w:bottom w:val="none" w:sz="0" w:space="0" w:color="auto"/>
                    <w:right w:val="none" w:sz="0" w:space="0" w:color="auto"/>
                  </w:divBdr>
                  <w:divsChild>
                    <w:div w:id="1684622632">
                      <w:marLeft w:val="0"/>
                      <w:marRight w:val="0"/>
                      <w:marTop w:val="0"/>
                      <w:marBottom w:val="0"/>
                      <w:divBdr>
                        <w:top w:val="none" w:sz="0" w:space="0" w:color="auto"/>
                        <w:left w:val="none" w:sz="0" w:space="0" w:color="auto"/>
                        <w:bottom w:val="none" w:sz="0" w:space="0" w:color="auto"/>
                        <w:right w:val="none" w:sz="0" w:space="0" w:color="auto"/>
                      </w:divBdr>
                    </w:div>
                  </w:divsChild>
                </w:div>
                <w:div w:id="430275854">
                  <w:marLeft w:val="0"/>
                  <w:marRight w:val="0"/>
                  <w:marTop w:val="0"/>
                  <w:marBottom w:val="0"/>
                  <w:divBdr>
                    <w:top w:val="none" w:sz="0" w:space="0" w:color="auto"/>
                    <w:left w:val="none" w:sz="0" w:space="0" w:color="auto"/>
                    <w:bottom w:val="none" w:sz="0" w:space="0" w:color="auto"/>
                    <w:right w:val="none" w:sz="0" w:space="0" w:color="auto"/>
                  </w:divBdr>
                  <w:divsChild>
                    <w:div w:id="974675895">
                      <w:marLeft w:val="0"/>
                      <w:marRight w:val="0"/>
                      <w:marTop w:val="0"/>
                      <w:marBottom w:val="0"/>
                      <w:divBdr>
                        <w:top w:val="none" w:sz="0" w:space="0" w:color="auto"/>
                        <w:left w:val="none" w:sz="0" w:space="0" w:color="auto"/>
                        <w:bottom w:val="none" w:sz="0" w:space="0" w:color="auto"/>
                        <w:right w:val="none" w:sz="0" w:space="0" w:color="auto"/>
                      </w:divBdr>
                    </w:div>
                  </w:divsChild>
                </w:div>
                <w:div w:id="458912479">
                  <w:marLeft w:val="0"/>
                  <w:marRight w:val="0"/>
                  <w:marTop w:val="0"/>
                  <w:marBottom w:val="0"/>
                  <w:divBdr>
                    <w:top w:val="none" w:sz="0" w:space="0" w:color="auto"/>
                    <w:left w:val="none" w:sz="0" w:space="0" w:color="auto"/>
                    <w:bottom w:val="none" w:sz="0" w:space="0" w:color="auto"/>
                    <w:right w:val="none" w:sz="0" w:space="0" w:color="auto"/>
                  </w:divBdr>
                  <w:divsChild>
                    <w:div w:id="1714882581">
                      <w:marLeft w:val="0"/>
                      <w:marRight w:val="0"/>
                      <w:marTop w:val="0"/>
                      <w:marBottom w:val="0"/>
                      <w:divBdr>
                        <w:top w:val="none" w:sz="0" w:space="0" w:color="auto"/>
                        <w:left w:val="none" w:sz="0" w:space="0" w:color="auto"/>
                        <w:bottom w:val="none" w:sz="0" w:space="0" w:color="auto"/>
                        <w:right w:val="none" w:sz="0" w:space="0" w:color="auto"/>
                      </w:divBdr>
                    </w:div>
                  </w:divsChild>
                </w:div>
                <w:div w:id="462769228">
                  <w:marLeft w:val="0"/>
                  <w:marRight w:val="0"/>
                  <w:marTop w:val="0"/>
                  <w:marBottom w:val="0"/>
                  <w:divBdr>
                    <w:top w:val="none" w:sz="0" w:space="0" w:color="auto"/>
                    <w:left w:val="none" w:sz="0" w:space="0" w:color="auto"/>
                    <w:bottom w:val="none" w:sz="0" w:space="0" w:color="auto"/>
                    <w:right w:val="none" w:sz="0" w:space="0" w:color="auto"/>
                  </w:divBdr>
                  <w:divsChild>
                    <w:div w:id="944578833">
                      <w:marLeft w:val="0"/>
                      <w:marRight w:val="0"/>
                      <w:marTop w:val="0"/>
                      <w:marBottom w:val="0"/>
                      <w:divBdr>
                        <w:top w:val="none" w:sz="0" w:space="0" w:color="auto"/>
                        <w:left w:val="none" w:sz="0" w:space="0" w:color="auto"/>
                        <w:bottom w:val="none" w:sz="0" w:space="0" w:color="auto"/>
                        <w:right w:val="none" w:sz="0" w:space="0" w:color="auto"/>
                      </w:divBdr>
                    </w:div>
                  </w:divsChild>
                </w:div>
                <w:div w:id="477308836">
                  <w:marLeft w:val="0"/>
                  <w:marRight w:val="0"/>
                  <w:marTop w:val="0"/>
                  <w:marBottom w:val="0"/>
                  <w:divBdr>
                    <w:top w:val="none" w:sz="0" w:space="0" w:color="auto"/>
                    <w:left w:val="none" w:sz="0" w:space="0" w:color="auto"/>
                    <w:bottom w:val="none" w:sz="0" w:space="0" w:color="auto"/>
                    <w:right w:val="none" w:sz="0" w:space="0" w:color="auto"/>
                  </w:divBdr>
                  <w:divsChild>
                    <w:div w:id="349265257">
                      <w:marLeft w:val="0"/>
                      <w:marRight w:val="0"/>
                      <w:marTop w:val="0"/>
                      <w:marBottom w:val="0"/>
                      <w:divBdr>
                        <w:top w:val="none" w:sz="0" w:space="0" w:color="auto"/>
                        <w:left w:val="none" w:sz="0" w:space="0" w:color="auto"/>
                        <w:bottom w:val="none" w:sz="0" w:space="0" w:color="auto"/>
                        <w:right w:val="none" w:sz="0" w:space="0" w:color="auto"/>
                      </w:divBdr>
                    </w:div>
                  </w:divsChild>
                </w:div>
                <w:div w:id="477452750">
                  <w:marLeft w:val="0"/>
                  <w:marRight w:val="0"/>
                  <w:marTop w:val="0"/>
                  <w:marBottom w:val="0"/>
                  <w:divBdr>
                    <w:top w:val="none" w:sz="0" w:space="0" w:color="auto"/>
                    <w:left w:val="none" w:sz="0" w:space="0" w:color="auto"/>
                    <w:bottom w:val="none" w:sz="0" w:space="0" w:color="auto"/>
                    <w:right w:val="none" w:sz="0" w:space="0" w:color="auto"/>
                  </w:divBdr>
                  <w:divsChild>
                    <w:div w:id="953173698">
                      <w:marLeft w:val="0"/>
                      <w:marRight w:val="0"/>
                      <w:marTop w:val="0"/>
                      <w:marBottom w:val="0"/>
                      <w:divBdr>
                        <w:top w:val="none" w:sz="0" w:space="0" w:color="auto"/>
                        <w:left w:val="none" w:sz="0" w:space="0" w:color="auto"/>
                        <w:bottom w:val="none" w:sz="0" w:space="0" w:color="auto"/>
                        <w:right w:val="none" w:sz="0" w:space="0" w:color="auto"/>
                      </w:divBdr>
                    </w:div>
                  </w:divsChild>
                </w:div>
                <w:div w:id="503711238">
                  <w:marLeft w:val="0"/>
                  <w:marRight w:val="0"/>
                  <w:marTop w:val="0"/>
                  <w:marBottom w:val="0"/>
                  <w:divBdr>
                    <w:top w:val="none" w:sz="0" w:space="0" w:color="auto"/>
                    <w:left w:val="none" w:sz="0" w:space="0" w:color="auto"/>
                    <w:bottom w:val="none" w:sz="0" w:space="0" w:color="auto"/>
                    <w:right w:val="none" w:sz="0" w:space="0" w:color="auto"/>
                  </w:divBdr>
                  <w:divsChild>
                    <w:div w:id="126972543">
                      <w:marLeft w:val="0"/>
                      <w:marRight w:val="0"/>
                      <w:marTop w:val="0"/>
                      <w:marBottom w:val="0"/>
                      <w:divBdr>
                        <w:top w:val="none" w:sz="0" w:space="0" w:color="auto"/>
                        <w:left w:val="none" w:sz="0" w:space="0" w:color="auto"/>
                        <w:bottom w:val="none" w:sz="0" w:space="0" w:color="auto"/>
                        <w:right w:val="none" w:sz="0" w:space="0" w:color="auto"/>
                      </w:divBdr>
                    </w:div>
                  </w:divsChild>
                </w:div>
                <w:div w:id="528765988">
                  <w:marLeft w:val="0"/>
                  <w:marRight w:val="0"/>
                  <w:marTop w:val="0"/>
                  <w:marBottom w:val="0"/>
                  <w:divBdr>
                    <w:top w:val="none" w:sz="0" w:space="0" w:color="auto"/>
                    <w:left w:val="none" w:sz="0" w:space="0" w:color="auto"/>
                    <w:bottom w:val="none" w:sz="0" w:space="0" w:color="auto"/>
                    <w:right w:val="none" w:sz="0" w:space="0" w:color="auto"/>
                  </w:divBdr>
                  <w:divsChild>
                    <w:div w:id="1692686987">
                      <w:marLeft w:val="0"/>
                      <w:marRight w:val="0"/>
                      <w:marTop w:val="0"/>
                      <w:marBottom w:val="0"/>
                      <w:divBdr>
                        <w:top w:val="none" w:sz="0" w:space="0" w:color="auto"/>
                        <w:left w:val="none" w:sz="0" w:space="0" w:color="auto"/>
                        <w:bottom w:val="none" w:sz="0" w:space="0" w:color="auto"/>
                        <w:right w:val="none" w:sz="0" w:space="0" w:color="auto"/>
                      </w:divBdr>
                    </w:div>
                  </w:divsChild>
                </w:div>
                <w:div w:id="539586009">
                  <w:marLeft w:val="0"/>
                  <w:marRight w:val="0"/>
                  <w:marTop w:val="0"/>
                  <w:marBottom w:val="0"/>
                  <w:divBdr>
                    <w:top w:val="none" w:sz="0" w:space="0" w:color="auto"/>
                    <w:left w:val="none" w:sz="0" w:space="0" w:color="auto"/>
                    <w:bottom w:val="none" w:sz="0" w:space="0" w:color="auto"/>
                    <w:right w:val="none" w:sz="0" w:space="0" w:color="auto"/>
                  </w:divBdr>
                  <w:divsChild>
                    <w:div w:id="708606612">
                      <w:marLeft w:val="0"/>
                      <w:marRight w:val="0"/>
                      <w:marTop w:val="0"/>
                      <w:marBottom w:val="0"/>
                      <w:divBdr>
                        <w:top w:val="none" w:sz="0" w:space="0" w:color="auto"/>
                        <w:left w:val="none" w:sz="0" w:space="0" w:color="auto"/>
                        <w:bottom w:val="none" w:sz="0" w:space="0" w:color="auto"/>
                        <w:right w:val="none" w:sz="0" w:space="0" w:color="auto"/>
                      </w:divBdr>
                    </w:div>
                  </w:divsChild>
                </w:div>
                <w:div w:id="541946698">
                  <w:marLeft w:val="0"/>
                  <w:marRight w:val="0"/>
                  <w:marTop w:val="0"/>
                  <w:marBottom w:val="0"/>
                  <w:divBdr>
                    <w:top w:val="none" w:sz="0" w:space="0" w:color="auto"/>
                    <w:left w:val="none" w:sz="0" w:space="0" w:color="auto"/>
                    <w:bottom w:val="none" w:sz="0" w:space="0" w:color="auto"/>
                    <w:right w:val="none" w:sz="0" w:space="0" w:color="auto"/>
                  </w:divBdr>
                  <w:divsChild>
                    <w:div w:id="1612543298">
                      <w:marLeft w:val="0"/>
                      <w:marRight w:val="0"/>
                      <w:marTop w:val="0"/>
                      <w:marBottom w:val="0"/>
                      <w:divBdr>
                        <w:top w:val="none" w:sz="0" w:space="0" w:color="auto"/>
                        <w:left w:val="none" w:sz="0" w:space="0" w:color="auto"/>
                        <w:bottom w:val="none" w:sz="0" w:space="0" w:color="auto"/>
                        <w:right w:val="none" w:sz="0" w:space="0" w:color="auto"/>
                      </w:divBdr>
                    </w:div>
                  </w:divsChild>
                </w:div>
                <w:div w:id="591403578">
                  <w:marLeft w:val="0"/>
                  <w:marRight w:val="0"/>
                  <w:marTop w:val="0"/>
                  <w:marBottom w:val="0"/>
                  <w:divBdr>
                    <w:top w:val="none" w:sz="0" w:space="0" w:color="auto"/>
                    <w:left w:val="none" w:sz="0" w:space="0" w:color="auto"/>
                    <w:bottom w:val="none" w:sz="0" w:space="0" w:color="auto"/>
                    <w:right w:val="none" w:sz="0" w:space="0" w:color="auto"/>
                  </w:divBdr>
                  <w:divsChild>
                    <w:div w:id="1328243990">
                      <w:marLeft w:val="0"/>
                      <w:marRight w:val="0"/>
                      <w:marTop w:val="0"/>
                      <w:marBottom w:val="0"/>
                      <w:divBdr>
                        <w:top w:val="none" w:sz="0" w:space="0" w:color="auto"/>
                        <w:left w:val="none" w:sz="0" w:space="0" w:color="auto"/>
                        <w:bottom w:val="none" w:sz="0" w:space="0" w:color="auto"/>
                        <w:right w:val="none" w:sz="0" w:space="0" w:color="auto"/>
                      </w:divBdr>
                    </w:div>
                  </w:divsChild>
                </w:div>
                <w:div w:id="601911902">
                  <w:marLeft w:val="0"/>
                  <w:marRight w:val="0"/>
                  <w:marTop w:val="0"/>
                  <w:marBottom w:val="0"/>
                  <w:divBdr>
                    <w:top w:val="none" w:sz="0" w:space="0" w:color="auto"/>
                    <w:left w:val="none" w:sz="0" w:space="0" w:color="auto"/>
                    <w:bottom w:val="none" w:sz="0" w:space="0" w:color="auto"/>
                    <w:right w:val="none" w:sz="0" w:space="0" w:color="auto"/>
                  </w:divBdr>
                  <w:divsChild>
                    <w:div w:id="1478179865">
                      <w:marLeft w:val="0"/>
                      <w:marRight w:val="0"/>
                      <w:marTop w:val="0"/>
                      <w:marBottom w:val="0"/>
                      <w:divBdr>
                        <w:top w:val="none" w:sz="0" w:space="0" w:color="auto"/>
                        <w:left w:val="none" w:sz="0" w:space="0" w:color="auto"/>
                        <w:bottom w:val="none" w:sz="0" w:space="0" w:color="auto"/>
                        <w:right w:val="none" w:sz="0" w:space="0" w:color="auto"/>
                      </w:divBdr>
                    </w:div>
                  </w:divsChild>
                </w:div>
                <w:div w:id="626400395">
                  <w:marLeft w:val="0"/>
                  <w:marRight w:val="0"/>
                  <w:marTop w:val="0"/>
                  <w:marBottom w:val="0"/>
                  <w:divBdr>
                    <w:top w:val="none" w:sz="0" w:space="0" w:color="auto"/>
                    <w:left w:val="none" w:sz="0" w:space="0" w:color="auto"/>
                    <w:bottom w:val="none" w:sz="0" w:space="0" w:color="auto"/>
                    <w:right w:val="none" w:sz="0" w:space="0" w:color="auto"/>
                  </w:divBdr>
                  <w:divsChild>
                    <w:div w:id="486557482">
                      <w:marLeft w:val="0"/>
                      <w:marRight w:val="0"/>
                      <w:marTop w:val="0"/>
                      <w:marBottom w:val="0"/>
                      <w:divBdr>
                        <w:top w:val="none" w:sz="0" w:space="0" w:color="auto"/>
                        <w:left w:val="none" w:sz="0" w:space="0" w:color="auto"/>
                        <w:bottom w:val="none" w:sz="0" w:space="0" w:color="auto"/>
                        <w:right w:val="none" w:sz="0" w:space="0" w:color="auto"/>
                      </w:divBdr>
                    </w:div>
                  </w:divsChild>
                </w:div>
                <w:div w:id="680477058">
                  <w:marLeft w:val="0"/>
                  <w:marRight w:val="0"/>
                  <w:marTop w:val="0"/>
                  <w:marBottom w:val="0"/>
                  <w:divBdr>
                    <w:top w:val="none" w:sz="0" w:space="0" w:color="auto"/>
                    <w:left w:val="none" w:sz="0" w:space="0" w:color="auto"/>
                    <w:bottom w:val="none" w:sz="0" w:space="0" w:color="auto"/>
                    <w:right w:val="none" w:sz="0" w:space="0" w:color="auto"/>
                  </w:divBdr>
                  <w:divsChild>
                    <w:div w:id="1368796991">
                      <w:marLeft w:val="0"/>
                      <w:marRight w:val="0"/>
                      <w:marTop w:val="0"/>
                      <w:marBottom w:val="0"/>
                      <w:divBdr>
                        <w:top w:val="none" w:sz="0" w:space="0" w:color="auto"/>
                        <w:left w:val="none" w:sz="0" w:space="0" w:color="auto"/>
                        <w:bottom w:val="none" w:sz="0" w:space="0" w:color="auto"/>
                        <w:right w:val="none" w:sz="0" w:space="0" w:color="auto"/>
                      </w:divBdr>
                    </w:div>
                  </w:divsChild>
                </w:div>
                <w:div w:id="681324518">
                  <w:marLeft w:val="0"/>
                  <w:marRight w:val="0"/>
                  <w:marTop w:val="0"/>
                  <w:marBottom w:val="0"/>
                  <w:divBdr>
                    <w:top w:val="none" w:sz="0" w:space="0" w:color="auto"/>
                    <w:left w:val="none" w:sz="0" w:space="0" w:color="auto"/>
                    <w:bottom w:val="none" w:sz="0" w:space="0" w:color="auto"/>
                    <w:right w:val="none" w:sz="0" w:space="0" w:color="auto"/>
                  </w:divBdr>
                  <w:divsChild>
                    <w:div w:id="648247762">
                      <w:marLeft w:val="0"/>
                      <w:marRight w:val="0"/>
                      <w:marTop w:val="0"/>
                      <w:marBottom w:val="0"/>
                      <w:divBdr>
                        <w:top w:val="none" w:sz="0" w:space="0" w:color="auto"/>
                        <w:left w:val="none" w:sz="0" w:space="0" w:color="auto"/>
                        <w:bottom w:val="none" w:sz="0" w:space="0" w:color="auto"/>
                        <w:right w:val="none" w:sz="0" w:space="0" w:color="auto"/>
                      </w:divBdr>
                    </w:div>
                  </w:divsChild>
                </w:div>
                <w:div w:id="689339469">
                  <w:marLeft w:val="0"/>
                  <w:marRight w:val="0"/>
                  <w:marTop w:val="0"/>
                  <w:marBottom w:val="0"/>
                  <w:divBdr>
                    <w:top w:val="none" w:sz="0" w:space="0" w:color="auto"/>
                    <w:left w:val="none" w:sz="0" w:space="0" w:color="auto"/>
                    <w:bottom w:val="none" w:sz="0" w:space="0" w:color="auto"/>
                    <w:right w:val="none" w:sz="0" w:space="0" w:color="auto"/>
                  </w:divBdr>
                  <w:divsChild>
                    <w:div w:id="981738089">
                      <w:marLeft w:val="0"/>
                      <w:marRight w:val="0"/>
                      <w:marTop w:val="0"/>
                      <w:marBottom w:val="0"/>
                      <w:divBdr>
                        <w:top w:val="none" w:sz="0" w:space="0" w:color="auto"/>
                        <w:left w:val="none" w:sz="0" w:space="0" w:color="auto"/>
                        <w:bottom w:val="none" w:sz="0" w:space="0" w:color="auto"/>
                        <w:right w:val="none" w:sz="0" w:space="0" w:color="auto"/>
                      </w:divBdr>
                    </w:div>
                  </w:divsChild>
                </w:div>
                <w:div w:id="735128332">
                  <w:marLeft w:val="0"/>
                  <w:marRight w:val="0"/>
                  <w:marTop w:val="0"/>
                  <w:marBottom w:val="0"/>
                  <w:divBdr>
                    <w:top w:val="none" w:sz="0" w:space="0" w:color="auto"/>
                    <w:left w:val="none" w:sz="0" w:space="0" w:color="auto"/>
                    <w:bottom w:val="none" w:sz="0" w:space="0" w:color="auto"/>
                    <w:right w:val="none" w:sz="0" w:space="0" w:color="auto"/>
                  </w:divBdr>
                  <w:divsChild>
                    <w:div w:id="932206833">
                      <w:marLeft w:val="0"/>
                      <w:marRight w:val="0"/>
                      <w:marTop w:val="0"/>
                      <w:marBottom w:val="0"/>
                      <w:divBdr>
                        <w:top w:val="none" w:sz="0" w:space="0" w:color="auto"/>
                        <w:left w:val="none" w:sz="0" w:space="0" w:color="auto"/>
                        <w:bottom w:val="none" w:sz="0" w:space="0" w:color="auto"/>
                        <w:right w:val="none" w:sz="0" w:space="0" w:color="auto"/>
                      </w:divBdr>
                    </w:div>
                  </w:divsChild>
                </w:div>
                <w:div w:id="745762169">
                  <w:marLeft w:val="0"/>
                  <w:marRight w:val="0"/>
                  <w:marTop w:val="0"/>
                  <w:marBottom w:val="0"/>
                  <w:divBdr>
                    <w:top w:val="none" w:sz="0" w:space="0" w:color="auto"/>
                    <w:left w:val="none" w:sz="0" w:space="0" w:color="auto"/>
                    <w:bottom w:val="none" w:sz="0" w:space="0" w:color="auto"/>
                    <w:right w:val="none" w:sz="0" w:space="0" w:color="auto"/>
                  </w:divBdr>
                  <w:divsChild>
                    <w:div w:id="1814252610">
                      <w:marLeft w:val="0"/>
                      <w:marRight w:val="0"/>
                      <w:marTop w:val="0"/>
                      <w:marBottom w:val="0"/>
                      <w:divBdr>
                        <w:top w:val="none" w:sz="0" w:space="0" w:color="auto"/>
                        <w:left w:val="none" w:sz="0" w:space="0" w:color="auto"/>
                        <w:bottom w:val="none" w:sz="0" w:space="0" w:color="auto"/>
                        <w:right w:val="none" w:sz="0" w:space="0" w:color="auto"/>
                      </w:divBdr>
                    </w:div>
                  </w:divsChild>
                </w:div>
                <w:div w:id="755785228">
                  <w:marLeft w:val="0"/>
                  <w:marRight w:val="0"/>
                  <w:marTop w:val="0"/>
                  <w:marBottom w:val="0"/>
                  <w:divBdr>
                    <w:top w:val="none" w:sz="0" w:space="0" w:color="auto"/>
                    <w:left w:val="none" w:sz="0" w:space="0" w:color="auto"/>
                    <w:bottom w:val="none" w:sz="0" w:space="0" w:color="auto"/>
                    <w:right w:val="none" w:sz="0" w:space="0" w:color="auto"/>
                  </w:divBdr>
                  <w:divsChild>
                    <w:div w:id="33621183">
                      <w:marLeft w:val="0"/>
                      <w:marRight w:val="0"/>
                      <w:marTop w:val="0"/>
                      <w:marBottom w:val="0"/>
                      <w:divBdr>
                        <w:top w:val="none" w:sz="0" w:space="0" w:color="auto"/>
                        <w:left w:val="none" w:sz="0" w:space="0" w:color="auto"/>
                        <w:bottom w:val="none" w:sz="0" w:space="0" w:color="auto"/>
                        <w:right w:val="none" w:sz="0" w:space="0" w:color="auto"/>
                      </w:divBdr>
                    </w:div>
                  </w:divsChild>
                </w:div>
                <w:div w:id="783886543">
                  <w:marLeft w:val="0"/>
                  <w:marRight w:val="0"/>
                  <w:marTop w:val="0"/>
                  <w:marBottom w:val="0"/>
                  <w:divBdr>
                    <w:top w:val="none" w:sz="0" w:space="0" w:color="auto"/>
                    <w:left w:val="none" w:sz="0" w:space="0" w:color="auto"/>
                    <w:bottom w:val="none" w:sz="0" w:space="0" w:color="auto"/>
                    <w:right w:val="none" w:sz="0" w:space="0" w:color="auto"/>
                  </w:divBdr>
                  <w:divsChild>
                    <w:div w:id="318463824">
                      <w:marLeft w:val="0"/>
                      <w:marRight w:val="0"/>
                      <w:marTop w:val="0"/>
                      <w:marBottom w:val="0"/>
                      <w:divBdr>
                        <w:top w:val="none" w:sz="0" w:space="0" w:color="auto"/>
                        <w:left w:val="none" w:sz="0" w:space="0" w:color="auto"/>
                        <w:bottom w:val="none" w:sz="0" w:space="0" w:color="auto"/>
                        <w:right w:val="none" w:sz="0" w:space="0" w:color="auto"/>
                      </w:divBdr>
                    </w:div>
                  </w:divsChild>
                </w:div>
                <w:div w:id="801536315">
                  <w:marLeft w:val="0"/>
                  <w:marRight w:val="0"/>
                  <w:marTop w:val="0"/>
                  <w:marBottom w:val="0"/>
                  <w:divBdr>
                    <w:top w:val="none" w:sz="0" w:space="0" w:color="auto"/>
                    <w:left w:val="none" w:sz="0" w:space="0" w:color="auto"/>
                    <w:bottom w:val="none" w:sz="0" w:space="0" w:color="auto"/>
                    <w:right w:val="none" w:sz="0" w:space="0" w:color="auto"/>
                  </w:divBdr>
                  <w:divsChild>
                    <w:div w:id="504520832">
                      <w:marLeft w:val="0"/>
                      <w:marRight w:val="0"/>
                      <w:marTop w:val="0"/>
                      <w:marBottom w:val="0"/>
                      <w:divBdr>
                        <w:top w:val="none" w:sz="0" w:space="0" w:color="auto"/>
                        <w:left w:val="none" w:sz="0" w:space="0" w:color="auto"/>
                        <w:bottom w:val="none" w:sz="0" w:space="0" w:color="auto"/>
                        <w:right w:val="none" w:sz="0" w:space="0" w:color="auto"/>
                      </w:divBdr>
                    </w:div>
                  </w:divsChild>
                </w:div>
                <w:div w:id="807750139">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
                  </w:divsChild>
                </w:div>
                <w:div w:id="813444942">
                  <w:marLeft w:val="0"/>
                  <w:marRight w:val="0"/>
                  <w:marTop w:val="0"/>
                  <w:marBottom w:val="0"/>
                  <w:divBdr>
                    <w:top w:val="none" w:sz="0" w:space="0" w:color="auto"/>
                    <w:left w:val="none" w:sz="0" w:space="0" w:color="auto"/>
                    <w:bottom w:val="none" w:sz="0" w:space="0" w:color="auto"/>
                    <w:right w:val="none" w:sz="0" w:space="0" w:color="auto"/>
                  </w:divBdr>
                  <w:divsChild>
                    <w:div w:id="569846261">
                      <w:marLeft w:val="0"/>
                      <w:marRight w:val="0"/>
                      <w:marTop w:val="0"/>
                      <w:marBottom w:val="0"/>
                      <w:divBdr>
                        <w:top w:val="none" w:sz="0" w:space="0" w:color="auto"/>
                        <w:left w:val="none" w:sz="0" w:space="0" w:color="auto"/>
                        <w:bottom w:val="none" w:sz="0" w:space="0" w:color="auto"/>
                        <w:right w:val="none" w:sz="0" w:space="0" w:color="auto"/>
                      </w:divBdr>
                    </w:div>
                  </w:divsChild>
                </w:div>
                <w:div w:id="815220515">
                  <w:marLeft w:val="0"/>
                  <w:marRight w:val="0"/>
                  <w:marTop w:val="0"/>
                  <w:marBottom w:val="0"/>
                  <w:divBdr>
                    <w:top w:val="none" w:sz="0" w:space="0" w:color="auto"/>
                    <w:left w:val="none" w:sz="0" w:space="0" w:color="auto"/>
                    <w:bottom w:val="none" w:sz="0" w:space="0" w:color="auto"/>
                    <w:right w:val="none" w:sz="0" w:space="0" w:color="auto"/>
                  </w:divBdr>
                  <w:divsChild>
                    <w:div w:id="1998460831">
                      <w:marLeft w:val="0"/>
                      <w:marRight w:val="0"/>
                      <w:marTop w:val="0"/>
                      <w:marBottom w:val="0"/>
                      <w:divBdr>
                        <w:top w:val="none" w:sz="0" w:space="0" w:color="auto"/>
                        <w:left w:val="none" w:sz="0" w:space="0" w:color="auto"/>
                        <w:bottom w:val="none" w:sz="0" w:space="0" w:color="auto"/>
                        <w:right w:val="none" w:sz="0" w:space="0" w:color="auto"/>
                      </w:divBdr>
                    </w:div>
                  </w:divsChild>
                </w:div>
                <w:div w:id="835724459">
                  <w:marLeft w:val="0"/>
                  <w:marRight w:val="0"/>
                  <w:marTop w:val="0"/>
                  <w:marBottom w:val="0"/>
                  <w:divBdr>
                    <w:top w:val="none" w:sz="0" w:space="0" w:color="auto"/>
                    <w:left w:val="none" w:sz="0" w:space="0" w:color="auto"/>
                    <w:bottom w:val="none" w:sz="0" w:space="0" w:color="auto"/>
                    <w:right w:val="none" w:sz="0" w:space="0" w:color="auto"/>
                  </w:divBdr>
                  <w:divsChild>
                    <w:div w:id="75632936">
                      <w:marLeft w:val="0"/>
                      <w:marRight w:val="0"/>
                      <w:marTop w:val="0"/>
                      <w:marBottom w:val="0"/>
                      <w:divBdr>
                        <w:top w:val="none" w:sz="0" w:space="0" w:color="auto"/>
                        <w:left w:val="none" w:sz="0" w:space="0" w:color="auto"/>
                        <w:bottom w:val="none" w:sz="0" w:space="0" w:color="auto"/>
                        <w:right w:val="none" w:sz="0" w:space="0" w:color="auto"/>
                      </w:divBdr>
                    </w:div>
                  </w:divsChild>
                </w:div>
                <w:div w:id="836387837">
                  <w:marLeft w:val="0"/>
                  <w:marRight w:val="0"/>
                  <w:marTop w:val="0"/>
                  <w:marBottom w:val="0"/>
                  <w:divBdr>
                    <w:top w:val="none" w:sz="0" w:space="0" w:color="auto"/>
                    <w:left w:val="none" w:sz="0" w:space="0" w:color="auto"/>
                    <w:bottom w:val="none" w:sz="0" w:space="0" w:color="auto"/>
                    <w:right w:val="none" w:sz="0" w:space="0" w:color="auto"/>
                  </w:divBdr>
                  <w:divsChild>
                    <w:div w:id="354161720">
                      <w:marLeft w:val="0"/>
                      <w:marRight w:val="0"/>
                      <w:marTop w:val="0"/>
                      <w:marBottom w:val="0"/>
                      <w:divBdr>
                        <w:top w:val="none" w:sz="0" w:space="0" w:color="auto"/>
                        <w:left w:val="none" w:sz="0" w:space="0" w:color="auto"/>
                        <w:bottom w:val="none" w:sz="0" w:space="0" w:color="auto"/>
                        <w:right w:val="none" w:sz="0" w:space="0" w:color="auto"/>
                      </w:divBdr>
                    </w:div>
                  </w:divsChild>
                </w:div>
                <w:div w:id="837816579">
                  <w:marLeft w:val="0"/>
                  <w:marRight w:val="0"/>
                  <w:marTop w:val="0"/>
                  <w:marBottom w:val="0"/>
                  <w:divBdr>
                    <w:top w:val="none" w:sz="0" w:space="0" w:color="auto"/>
                    <w:left w:val="none" w:sz="0" w:space="0" w:color="auto"/>
                    <w:bottom w:val="none" w:sz="0" w:space="0" w:color="auto"/>
                    <w:right w:val="none" w:sz="0" w:space="0" w:color="auto"/>
                  </w:divBdr>
                  <w:divsChild>
                    <w:div w:id="1687974991">
                      <w:marLeft w:val="0"/>
                      <w:marRight w:val="0"/>
                      <w:marTop w:val="0"/>
                      <w:marBottom w:val="0"/>
                      <w:divBdr>
                        <w:top w:val="none" w:sz="0" w:space="0" w:color="auto"/>
                        <w:left w:val="none" w:sz="0" w:space="0" w:color="auto"/>
                        <w:bottom w:val="none" w:sz="0" w:space="0" w:color="auto"/>
                        <w:right w:val="none" w:sz="0" w:space="0" w:color="auto"/>
                      </w:divBdr>
                    </w:div>
                  </w:divsChild>
                </w:div>
                <w:div w:id="871964926">
                  <w:marLeft w:val="0"/>
                  <w:marRight w:val="0"/>
                  <w:marTop w:val="0"/>
                  <w:marBottom w:val="0"/>
                  <w:divBdr>
                    <w:top w:val="none" w:sz="0" w:space="0" w:color="auto"/>
                    <w:left w:val="none" w:sz="0" w:space="0" w:color="auto"/>
                    <w:bottom w:val="none" w:sz="0" w:space="0" w:color="auto"/>
                    <w:right w:val="none" w:sz="0" w:space="0" w:color="auto"/>
                  </w:divBdr>
                  <w:divsChild>
                    <w:div w:id="313066921">
                      <w:marLeft w:val="0"/>
                      <w:marRight w:val="0"/>
                      <w:marTop w:val="0"/>
                      <w:marBottom w:val="0"/>
                      <w:divBdr>
                        <w:top w:val="none" w:sz="0" w:space="0" w:color="auto"/>
                        <w:left w:val="none" w:sz="0" w:space="0" w:color="auto"/>
                        <w:bottom w:val="none" w:sz="0" w:space="0" w:color="auto"/>
                        <w:right w:val="none" w:sz="0" w:space="0" w:color="auto"/>
                      </w:divBdr>
                    </w:div>
                  </w:divsChild>
                </w:div>
                <w:div w:id="890656527">
                  <w:marLeft w:val="0"/>
                  <w:marRight w:val="0"/>
                  <w:marTop w:val="0"/>
                  <w:marBottom w:val="0"/>
                  <w:divBdr>
                    <w:top w:val="none" w:sz="0" w:space="0" w:color="auto"/>
                    <w:left w:val="none" w:sz="0" w:space="0" w:color="auto"/>
                    <w:bottom w:val="none" w:sz="0" w:space="0" w:color="auto"/>
                    <w:right w:val="none" w:sz="0" w:space="0" w:color="auto"/>
                  </w:divBdr>
                  <w:divsChild>
                    <w:div w:id="61682266">
                      <w:marLeft w:val="0"/>
                      <w:marRight w:val="0"/>
                      <w:marTop w:val="0"/>
                      <w:marBottom w:val="0"/>
                      <w:divBdr>
                        <w:top w:val="none" w:sz="0" w:space="0" w:color="auto"/>
                        <w:left w:val="none" w:sz="0" w:space="0" w:color="auto"/>
                        <w:bottom w:val="none" w:sz="0" w:space="0" w:color="auto"/>
                        <w:right w:val="none" w:sz="0" w:space="0" w:color="auto"/>
                      </w:divBdr>
                    </w:div>
                  </w:divsChild>
                </w:div>
                <w:div w:id="917784642">
                  <w:marLeft w:val="0"/>
                  <w:marRight w:val="0"/>
                  <w:marTop w:val="0"/>
                  <w:marBottom w:val="0"/>
                  <w:divBdr>
                    <w:top w:val="none" w:sz="0" w:space="0" w:color="auto"/>
                    <w:left w:val="none" w:sz="0" w:space="0" w:color="auto"/>
                    <w:bottom w:val="none" w:sz="0" w:space="0" w:color="auto"/>
                    <w:right w:val="none" w:sz="0" w:space="0" w:color="auto"/>
                  </w:divBdr>
                  <w:divsChild>
                    <w:div w:id="65228753">
                      <w:marLeft w:val="0"/>
                      <w:marRight w:val="0"/>
                      <w:marTop w:val="0"/>
                      <w:marBottom w:val="0"/>
                      <w:divBdr>
                        <w:top w:val="none" w:sz="0" w:space="0" w:color="auto"/>
                        <w:left w:val="none" w:sz="0" w:space="0" w:color="auto"/>
                        <w:bottom w:val="none" w:sz="0" w:space="0" w:color="auto"/>
                        <w:right w:val="none" w:sz="0" w:space="0" w:color="auto"/>
                      </w:divBdr>
                    </w:div>
                  </w:divsChild>
                </w:div>
                <w:div w:id="952858527">
                  <w:marLeft w:val="0"/>
                  <w:marRight w:val="0"/>
                  <w:marTop w:val="0"/>
                  <w:marBottom w:val="0"/>
                  <w:divBdr>
                    <w:top w:val="none" w:sz="0" w:space="0" w:color="auto"/>
                    <w:left w:val="none" w:sz="0" w:space="0" w:color="auto"/>
                    <w:bottom w:val="none" w:sz="0" w:space="0" w:color="auto"/>
                    <w:right w:val="none" w:sz="0" w:space="0" w:color="auto"/>
                  </w:divBdr>
                  <w:divsChild>
                    <w:div w:id="1747410035">
                      <w:marLeft w:val="0"/>
                      <w:marRight w:val="0"/>
                      <w:marTop w:val="0"/>
                      <w:marBottom w:val="0"/>
                      <w:divBdr>
                        <w:top w:val="none" w:sz="0" w:space="0" w:color="auto"/>
                        <w:left w:val="none" w:sz="0" w:space="0" w:color="auto"/>
                        <w:bottom w:val="none" w:sz="0" w:space="0" w:color="auto"/>
                        <w:right w:val="none" w:sz="0" w:space="0" w:color="auto"/>
                      </w:divBdr>
                    </w:div>
                  </w:divsChild>
                </w:div>
                <w:div w:id="984120026">
                  <w:marLeft w:val="0"/>
                  <w:marRight w:val="0"/>
                  <w:marTop w:val="0"/>
                  <w:marBottom w:val="0"/>
                  <w:divBdr>
                    <w:top w:val="none" w:sz="0" w:space="0" w:color="auto"/>
                    <w:left w:val="none" w:sz="0" w:space="0" w:color="auto"/>
                    <w:bottom w:val="none" w:sz="0" w:space="0" w:color="auto"/>
                    <w:right w:val="none" w:sz="0" w:space="0" w:color="auto"/>
                  </w:divBdr>
                  <w:divsChild>
                    <w:div w:id="1819691565">
                      <w:marLeft w:val="0"/>
                      <w:marRight w:val="0"/>
                      <w:marTop w:val="0"/>
                      <w:marBottom w:val="0"/>
                      <w:divBdr>
                        <w:top w:val="none" w:sz="0" w:space="0" w:color="auto"/>
                        <w:left w:val="none" w:sz="0" w:space="0" w:color="auto"/>
                        <w:bottom w:val="none" w:sz="0" w:space="0" w:color="auto"/>
                        <w:right w:val="none" w:sz="0" w:space="0" w:color="auto"/>
                      </w:divBdr>
                    </w:div>
                  </w:divsChild>
                </w:div>
                <w:div w:id="1015307996">
                  <w:marLeft w:val="0"/>
                  <w:marRight w:val="0"/>
                  <w:marTop w:val="0"/>
                  <w:marBottom w:val="0"/>
                  <w:divBdr>
                    <w:top w:val="none" w:sz="0" w:space="0" w:color="auto"/>
                    <w:left w:val="none" w:sz="0" w:space="0" w:color="auto"/>
                    <w:bottom w:val="none" w:sz="0" w:space="0" w:color="auto"/>
                    <w:right w:val="none" w:sz="0" w:space="0" w:color="auto"/>
                  </w:divBdr>
                  <w:divsChild>
                    <w:div w:id="685249152">
                      <w:marLeft w:val="0"/>
                      <w:marRight w:val="0"/>
                      <w:marTop w:val="0"/>
                      <w:marBottom w:val="0"/>
                      <w:divBdr>
                        <w:top w:val="none" w:sz="0" w:space="0" w:color="auto"/>
                        <w:left w:val="none" w:sz="0" w:space="0" w:color="auto"/>
                        <w:bottom w:val="none" w:sz="0" w:space="0" w:color="auto"/>
                        <w:right w:val="none" w:sz="0" w:space="0" w:color="auto"/>
                      </w:divBdr>
                    </w:div>
                  </w:divsChild>
                </w:div>
                <w:div w:id="1035694534">
                  <w:marLeft w:val="0"/>
                  <w:marRight w:val="0"/>
                  <w:marTop w:val="0"/>
                  <w:marBottom w:val="0"/>
                  <w:divBdr>
                    <w:top w:val="none" w:sz="0" w:space="0" w:color="auto"/>
                    <w:left w:val="none" w:sz="0" w:space="0" w:color="auto"/>
                    <w:bottom w:val="none" w:sz="0" w:space="0" w:color="auto"/>
                    <w:right w:val="none" w:sz="0" w:space="0" w:color="auto"/>
                  </w:divBdr>
                  <w:divsChild>
                    <w:div w:id="1748575136">
                      <w:marLeft w:val="0"/>
                      <w:marRight w:val="0"/>
                      <w:marTop w:val="0"/>
                      <w:marBottom w:val="0"/>
                      <w:divBdr>
                        <w:top w:val="none" w:sz="0" w:space="0" w:color="auto"/>
                        <w:left w:val="none" w:sz="0" w:space="0" w:color="auto"/>
                        <w:bottom w:val="none" w:sz="0" w:space="0" w:color="auto"/>
                        <w:right w:val="none" w:sz="0" w:space="0" w:color="auto"/>
                      </w:divBdr>
                    </w:div>
                  </w:divsChild>
                </w:div>
                <w:div w:id="1036661167">
                  <w:marLeft w:val="0"/>
                  <w:marRight w:val="0"/>
                  <w:marTop w:val="0"/>
                  <w:marBottom w:val="0"/>
                  <w:divBdr>
                    <w:top w:val="none" w:sz="0" w:space="0" w:color="auto"/>
                    <w:left w:val="none" w:sz="0" w:space="0" w:color="auto"/>
                    <w:bottom w:val="none" w:sz="0" w:space="0" w:color="auto"/>
                    <w:right w:val="none" w:sz="0" w:space="0" w:color="auto"/>
                  </w:divBdr>
                  <w:divsChild>
                    <w:div w:id="1108237810">
                      <w:marLeft w:val="0"/>
                      <w:marRight w:val="0"/>
                      <w:marTop w:val="0"/>
                      <w:marBottom w:val="0"/>
                      <w:divBdr>
                        <w:top w:val="none" w:sz="0" w:space="0" w:color="auto"/>
                        <w:left w:val="none" w:sz="0" w:space="0" w:color="auto"/>
                        <w:bottom w:val="none" w:sz="0" w:space="0" w:color="auto"/>
                        <w:right w:val="none" w:sz="0" w:space="0" w:color="auto"/>
                      </w:divBdr>
                    </w:div>
                  </w:divsChild>
                </w:div>
                <w:div w:id="1039017231">
                  <w:marLeft w:val="0"/>
                  <w:marRight w:val="0"/>
                  <w:marTop w:val="0"/>
                  <w:marBottom w:val="0"/>
                  <w:divBdr>
                    <w:top w:val="none" w:sz="0" w:space="0" w:color="auto"/>
                    <w:left w:val="none" w:sz="0" w:space="0" w:color="auto"/>
                    <w:bottom w:val="none" w:sz="0" w:space="0" w:color="auto"/>
                    <w:right w:val="none" w:sz="0" w:space="0" w:color="auto"/>
                  </w:divBdr>
                  <w:divsChild>
                    <w:div w:id="830877447">
                      <w:marLeft w:val="0"/>
                      <w:marRight w:val="0"/>
                      <w:marTop w:val="0"/>
                      <w:marBottom w:val="0"/>
                      <w:divBdr>
                        <w:top w:val="none" w:sz="0" w:space="0" w:color="auto"/>
                        <w:left w:val="none" w:sz="0" w:space="0" w:color="auto"/>
                        <w:bottom w:val="none" w:sz="0" w:space="0" w:color="auto"/>
                        <w:right w:val="none" w:sz="0" w:space="0" w:color="auto"/>
                      </w:divBdr>
                    </w:div>
                  </w:divsChild>
                </w:div>
                <w:div w:id="1076395478">
                  <w:marLeft w:val="0"/>
                  <w:marRight w:val="0"/>
                  <w:marTop w:val="0"/>
                  <w:marBottom w:val="0"/>
                  <w:divBdr>
                    <w:top w:val="none" w:sz="0" w:space="0" w:color="auto"/>
                    <w:left w:val="none" w:sz="0" w:space="0" w:color="auto"/>
                    <w:bottom w:val="none" w:sz="0" w:space="0" w:color="auto"/>
                    <w:right w:val="none" w:sz="0" w:space="0" w:color="auto"/>
                  </w:divBdr>
                  <w:divsChild>
                    <w:div w:id="1278291396">
                      <w:marLeft w:val="0"/>
                      <w:marRight w:val="0"/>
                      <w:marTop w:val="0"/>
                      <w:marBottom w:val="0"/>
                      <w:divBdr>
                        <w:top w:val="none" w:sz="0" w:space="0" w:color="auto"/>
                        <w:left w:val="none" w:sz="0" w:space="0" w:color="auto"/>
                        <w:bottom w:val="none" w:sz="0" w:space="0" w:color="auto"/>
                        <w:right w:val="none" w:sz="0" w:space="0" w:color="auto"/>
                      </w:divBdr>
                    </w:div>
                  </w:divsChild>
                </w:div>
                <w:div w:id="1091967642">
                  <w:marLeft w:val="0"/>
                  <w:marRight w:val="0"/>
                  <w:marTop w:val="0"/>
                  <w:marBottom w:val="0"/>
                  <w:divBdr>
                    <w:top w:val="none" w:sz="0" w:space="0" w:color="auto"/>
                    <w:left w:val="none" w:sz="0" w:space="0" w:color="auto"/>
                    <w:bottom w:val="none" w:sz="0" w:space="0" w:color="auto"/>
                    <w:right w:val="none" w:sz="0" w:space="0" w:color="auto"/>
                  </w:divBdr>
                  <w:divsChild>
                    <w:div w:id="568535702">
                      <w:marLeft w:val="0"/>
                      <w:marRight w:val="0"/>
                      <w:marTop w:val="0"/>
                      <w:marBottom w:val="0"/>
                      <w:divBdr>
                        <w:top w:val="none" w:sz="0" w:space="0" w:color="auto"/>
                        <w:left w:val="none" w:sz="0" w:space="0" w:color="auto"/>
                        <w:bottom w:val="none" w:sz="0" w:space="0" w:color="auto"/>
                        <w:right w:val="none" w:sz="0" w:space="0" w:color="auto"/>
                      </w:divBdr>
                    </w:div>
                  </w:divsChild>
                </w:div>
                <w:div w:id="1110587820">
                  <w:marLeft w:val="0"/>
                  <w:marRight w:val="0"/>
                  <w:marTop w:val="0"/>
                  <w:marBottom w:val="0"/>
                  <w:divBdr>
                    <w:top w:val="none" w:sz="0" w:space="0" w:color="auto"/>
                    <w:left w:val="none" w:sz="0" w:space="0" w:color="auto"/>
                    <w:bottom w:val="none" w:sz="0" w:space="0" w:color="auto"/>
                    <w:right w:val="none" w:sz="0" w:space="0" w:color="auto"/>
                  </w:divBdr>
                  <w:divsChild>
                    <w:div w:id="350421330">
                      <w:marLeft w:val="0"/>
                      <w:marRight w:val="0"/>
                      <w:marTop w:val="0"/>
                      <w:marBottom w:val="0"/>
                      <w:divBdr>
                        <w:top w:val="none" w:sz="0" w:space="0" w:color="auto"/>
                        <w:left w:val="none" w:sz="0" w:space="0" w:color="auto"/>
                        <w:bottom w:val="none" w:sz="0" w:space="0" w:color="auto"/>
                        <w:right w:val="none" w:sz="0" w:space="0" w:color="auto"/>
                      </w:divBdr>
                    </w:div>
                  </w:divsChild>
                </w:div>
                <w:div w:id="1116757322">
                  <w:marLeft w:val="0"/>
                  <w:marRight w:val="0"/>
                  <w:marTop w:val="0"/>
                  <w:marBottom w:val="0"/>
                  <w:divBdr>
                    <w:top w:val="none" w:sz="0" w:space="0" w:color="auto"/>
                    <w:left w:val="none" w:sz="0" w:space="0" w:color="auto"/>
                    <w:bottom w:val="none" w:sz="0" w:space="0" w:color="auto"/>
                    <w:right w:val="none" w:sz="0" w:space="0" w:color="auto"/>
                  </w:divBdr>
                  <w:divsChild>
                    <w:div w:id="2073458461">
                      <w:marLeft w:val="0"/>
                      <w:marRight w:val="0"/>
                      <w:marTop w:val="0"/>
                      <w:marBottom w:val="0"/>
                      <w:divBdr>
                        <w:top w:val="none" w:sz="0" w:space="0" w:color="auto"/>
                        <w:left w:val="none" w:sz="0" w:space="0" w:color="auto"/>
                        <w:bottom w:val="none" w:sz="0" w:space="0" w:color="auto"/>
                        <w:right w:val="none" w:sz="0" w:space="0" w:color="auto"/>
                      </w:divBdr>
                    </w:div>
                  </w:divsChild>
                </w:div>
                <w:div w:id="1140420322">
                  <w:marLeft w:val="0"/>
                  <w:marRight w:val="0"/>
                  <w:marTop w:val="0"/>
                  <w:marBottom w:val="0"/>
                  <w:divBdr>
                    <w:top w:val="none" w:sz="0" w:space="0" w:color="auto"/>
                    <w:left w:val="none" w:sz="0" w:space="0" w:color="auto"/>
                    <w:bottom w:val="none" w:sz="0" w:space="0" w:color="auto"/>
                    <w:right w:val="none" w:sz="0" w:space="0" w:color="auto"/>
                  </w:divBdr>
                  <w:divsChild>
                    <w:div w:id="1405227361">
                      <w:marLeft w:val="0"/>
                      <w:marRight w:val="0"/>
                      <w:marTop w:val="0"/>
                      <w:marBottom w:val="0"/>
                      <w:divBdr>
                        <w:top w:val="none" w:sz="0" w:space="0" w:color="auto"/>
                        <w:left w:val="none" w:sz="0" w:space="0" w:color="auto"/>
                        <w:bottom w:val="none" w:sz="0" w:space="0" w:color="auto"/>
                        <w:right w:val="none" w:sz="0" w:space="0" w:color="auto"/>
                      </w:divBdr>
                    </w:div>
                  </w:divsChild>
                </w:div>
                <w:div w:id="1145077058">
                  <w:marLeft w:val="0"/>
                  <w:marRight w:val="0"/>
                  <w:marTop w:val="0"/>
                  <w:marBottom w:val="0"/>
                  <w:divBdr>
                    <w:top w:val="none" w:sz="0" w:space="0" w:color="auto"/>
                    <w:left w:val="none" w:sz="0" w:space="0" w:color="auto"/>
                    <w:bottom w:val="none" w:sz="0" w:space="0" w:color="auto"/>
                    <w:right w:val="none" w:sz="0" w:space="0" w:color="auto"/>
                  </w:divBdr>
                  <w:divsChild>
                    <w:div w:id="543635889">
                      <w:marLeft w:val="0"/>
                      <w:marRight w:val="0"/>
                      <w:marTop w:val="0"/>
                      <w:marBottom w:val="0"/>
                      <w:divBdr>
                        <w:top w:val="none" w:sz="0" w:space="0" w:color="auto"/>
                        <w:left w:val="none" w:sz="0" w:space="0" w:color="auto"/>
                        <w:bottom w:val="none" w:sz="0" w:space="0" w:color="auto"/>
                        <w:right w:val="none" w:sz="0" w:space="0" w:color="auto"/>
                      </w:divBdr>
                    </w:div>
                  </w:divsChild>
                </w:div>
                <w:div w:id="1193418857">
                  <w:marLeft w:val="0"/>
                  <w:marRight w:val="0"/>
                  <w:marTop w:val="0"/>
                  <w:marBottom w:val="0"/>
                  <w:divBdr>
                    <w:top w:val="none" w:sz="0" w:space="0" w:color="auto"/>
                    <w:left w:val="none" w:sz="0" w:space="0" w:color="auto"/>
                    <w:bottom w:val="none" w:sz="0" w:space="0" w:color="auto"/>
                    <w:right w:val="none" w:sz="0" w:space="0" w:color="auto"/>
                  </w:divBdr>
                  <w:divsChild>
                    <w:div w:id="1070034116">
                      <w:marLeft w:val="0"/>
                      <w:marRight w:val="0"/>
                      <w:marTop w:val="0"/>
                      <w:marBottom w:val="0"/>
                      <w:divBdr>
                        <w:top w:val="none" w:sz="0" w:space="0" w:color="auto"/>
                        <w:left w:val="none" w:sz="0" w:space="0" w:color="auto"/>
                        <w:bottom w:val="none" w:sz="0" w:space="0" w:color="auto"/>
                        <w:right w:val="none" w:sz="0" w:space="0" w:color="auto"/>
                      </w:divBdr>
                    </w:div>
                  </w:divsChild>
                </w:div>
                <w:div w:id="1225869966">
                  <w:marLeft w:val="0"/>
                  <w:marRight w:val="0"/>
                  <w:marTop w:val="0"/>
                  <w:marBottom w:val="0"/>
                  <w:divBdr>
                    <w:top w:val="none" w:sz="0" w:space="0" w:color="auto"/>
                    <w:left w:val="none" w:sz="0" w:space="0" w:color="auto"/>
                    <w:bottom w:val="none" w:sz="0" w:space="0" w:color="auto"/>
                    <w:right w:val="none" w:sz="0" w:space="0" w:color="auto"/>
                  </w:divBdr>
                  <w:divsChild>
                    <w:div w:id="1276403937">
                      <w:marLeft w:val="0"/>
                      <w:marRight w:val="0"/>
                      <w:marTop w:val="0"/>
                      <w:marBottom w:val="0"/>
                      <w:divBdr>
                        <w:top w:val="none" w:sz="0" w:space="0" w:color="auto"/>
                        <w:left w:val="none" w:sz="0" w:space="0" w:color="auto"/>
                        <w:bottom w:val="none" w:sz="0" w:space="0" w:color="auto"/>
                        <w:right w:val="none" w:sz="0" w:space="0" w:color="auto"/>
                      </w:divBdr>
                    </w:div>
                  </w:divsChild>
                </w:div>
                <w:div w:id="1244070463">
                  <w:marLeft w:val="0"/>
                  <w:marRight w:val="0"/>
                  <w:marTop w:val="0"/>
                  <w:marBottom w:val="0"/>
                  <w:divBdr>
                    <w:top w:val="none" w:sz="0" w:space="0" w:color="auto"/>
                    <w:left w:val="none" w:sz="0" w:space="0" w:color="auto"/>
                    <w:bottom w:val="none" w:sz="0" w:space="0" w:color="auto"/>
                    <w:right w:val="none" w:sz="0" w:space="0" w:color="auto"/>
                  </w:divBdr>
                  <w:divsChild>
                    <w:div w:id="79065038">
                      <w:marLeft w:val="0"/>
                      <w:marRight w:val="0"/>
                      <w:marTop w:val="0"/>
                      <w:marBottom w:val="0"/>
                      <w:divBdr>
                        <w:top w:val="none" w:sz="0" w:space="0" w:color="auto"/>
                        <w:left w:val="none" w:sz="0" w:space="0" w:color="auto"/>
                        <w:bottom w:val="none" w:sz="0" w:space="0" w:color="auto"/>
                        <w:right w:val="none" w:sz="0" w:space="0" w:color="auto"/>
                      </w:divBdr>
                    </w:div>
                  </w:divsChild>
                </w:div>
                <w:div w:id="1261790588">
                  <w:marLeft w:val="0"/>
                  <w:marRight w:val="0"/>
                  <w:marTop w:val="0"/>
                  <w:marBottom w:val="0"/>
                  <w:divBdr>
                    <w:top w:val="none" w:sz="0" w:space="0" w:color="auto"/>
                    <w:left w:val="none" w:sz="0" w:space="0" w:color="auto"/>
                    <w:bottom w:val="none" w:sz="0" w:space="0" w:color="auto"/>
                    <w:right w:val="none" w:sz="0" w:space="0" w:color="auto"/>
                  </w:divBdr>
                  <w:divsChild>
                    <w:div w:id="342981012">
                      <w:marLeft w:val="0"/>
                      <w:marRight w:val="0"/>
                      <w:marTop w:val="0"/>
                      <w:marBottom w:val="0"/>
                      <w:divBdr>
                        <w:top w:val="none" w:sz="0" w:space="0" w:color="auto"/>
                        <w:left w:val="none" w:sz="0" w:space="0" w:color="auto"/>
                        <w:bottom w:val="none" w:sz="0" w:space="0" w:color="auto"/>
                        <w:right w:val="none" w:sz="0" w:space="0" w:color="auto"/>
                      </w:divBdr>
                    </w:div>
                  </w:divsChild>
                </w:div>
                <w:div w:id="1264412573">
                  <w:marLeft w:val="0"/>
                  <w:marRight w:val="0"/>
                  <w:marTop w:val="0"/>
                  <w:marBottom w:val="0"/>
                  <w:divBdr>
                    <w:top w:val="none" w:sz="0" w:space="0" w:color="auto"/>
                    <w:left w:val="none" w:sz="0" w:space="0" w:color="auto"/>
                    <w:bottom w:val="none" w:sz="0" w:space="0" w:color="auto"/>
                    <w:right w:val="none" w:sz="0" w:space="0" w:color="auto"/>
                  </w:divBdr>
                  <w:divsChild>
                    <w:div w:id="793251486">
                      <w:marLeft w:val="0"/>
                      <w:marRight w:val="0"/>
                      <w:marTop w:val="0"/>
                      <w:marBottom w:val="0"/>
                      <w:divBdr>
                        <w:top w:val="none" w:sz="0" w:space="0" w:color="auto"/>
                        <w:left w:val="none" w:sz="0" w:space="0" w:color="auto"/>
                        <w:bottom w:val="none" w:sz="0" w:space="0" w:color="auto"/>
                        <w:right w:val="none" w:sz="0" w:space="0" w:color="auto"/>
                      </w:divBdr>
                    </w:div>
                  </w:divsChild>
                </w:div>
                <w:div w:id="1301423336">
                  <w:marLeft w:val="0"/>
                  <w:marRight w:val="0"/>
                  <w:marTop w:val="0"/>
                  <w:marBottom w:val="0"/>
                  <w:divBdr>
                    <w:top w:val="none" w:sz="0" w:space="0" w:color="auto"/>
                    <w:left w:val="none" w:sz="0" w:space="0" w:color="auto"/>
                    <w:bottom w:val="none" w:sz="0" w:space="0" w:color="auto"/>
                    <w:right w:val="none" w:sz="0" w:space="0" w:color="auto"/>
                  </w:divBdr>
                  <w:divsChild>
                    <w:div w:id="862323727">
                      <w:marLeft w:val="0"/>
                      <w:marRight w:val="0"/>
                      <w:marTop w:val="0"/>
                      <w:marBottom w:val="0"/>
                      <w:divBdr>
                        <w:top w:val="none" w:sz="0" w:space="0" w:color="auto"/>
                        <w:left w:val="none" w:sz="0" w:space="0" w:color="auto"/>
                        <w:bottom w:val="none" w:sz="0" w:space="0" w:color="auto"/>
                        <w:right w:val="none" w:sz="0" w:space="0" w:color="auto"/>
                      </w:divBdr>
                    </w:div>
                  </w:divsChild>
                </w:div>
                <w:div w:id="1306198650">
                  <w:marLeft w:val="0"/>
                  <w:marRight w:val="0"/>
                  <w:marTop w:val="0"/>
                  <w:marBottom w:val="0"/>
                  <w:divBdr>
                    <w:top w:val="none" w:sz="0" w:space="0" w:color="auto"/>
                    <w:left w:val="none" w:sz="0" w:space="0" w:color="auto"/>
                    <w:bottom w:val="none" w:sz="0" w:space="0" w:color="auto"/>
                    <w:right w:val="none" w:sz="0" w:space="0" w:color="auto"/>
                  </w:divBdr>
                  <w:divsChild>
                    <w:div w:id="496582189">
                      <w:marLeft w:val="0"/>
                      <w:marRight w:val="0"/>
                      <w:marTop w:val="0"/>
                      <w:marBottom w:val="0"/>
                      <w:divBdr>
                        <w:top w:val="none" w:sz="0" w:space="0" w:color="auto"/>
                        <w:left w:val="none" w:sz="0" w:space="0" w:color="auto"/>
                        <w:bottom w:val="none" w:sz="0" w:space="0" w:color="auto"/>
                        <w:right w:val="none" w:sz="0" w:space="0" w:color="auto"/>
                      </w:divBdr>
                    </w:div>
                  </w:divsChild>
                </w:div>
                <w:div w:id="1315449792">
                  <w:marLeft w:val="0"/>
                  <w:marRight w:val="0"/>
                  <w:marTop w:val="0"/>
                  <w:marBottom w:val="0"/>
                  <w:divBdr>
                    <w:top w:val="none" w:sz="0" w:space="0" w:color="auto"/>
                    <w:left w:val="none" w:sz="0" w:space="0" w:color="auto"/>
                    <w:bottom w:val="none" w:sz="0" w:space="0" w:color="auto"/>
                    <w:right w:val="none" w:sz="0" w:space="0" w:color="auto"/>
                  </w:divBdr>
                  <w:divsChild>
                    <w:div w:id="893780367">
                      <w:marLeft w:val="0"/>
                      <w:marRight w:val="0"/>
                      <w:marTop w:val="0"/>
                      <w:marBottom w:val="0"/>
                      <w:divBdr>
                        <w:top w:val="none" w:sz="0" w:space="0" w:color="auto"/>
                        <w:left w:val="none" w:sz="0" w:space="0" w:color="auto"/>
                        <w:bottom w:val="none" w:sz="0" w:space="0" w:color="auto"/>
                        <w:right w:val="none" w:sz="0" w:space="0" w:color="auto"/>
                      </w:divBdr>
                    </w:div>
                  </w:divsChild>
                </w:div>
                <w:div w:id="1328480521">
                  <w:marLeft w:val="0"/>
                  <w:marRight w:val="0"/>
                  <w:marTop w:val="0"/>
                  <w:marBottom w:val="0"/>
                  <w:divBdr>
                    <w:top w:val="none" w:sz="0" w:space="0" w:color="auto"/>
                    <w:left w:val="none" w:sz="0" w:space="0" w:color="auto"/>
                    <w:bottom w:val="none" w:sz="0" w:space="0" w:color="auto"/>
                    <w:right w:val="none" w:sz="0" w:space="0" w:color="auto"/>
                  </w:divBdr>
                  <w:divsChild>
                    <w:div w:id="1128014939">
                      <w:marLeft w:val="0"/>
                      <w:marRight w:val="0"/>
                      <w:marTop w:val="0"/>
                      <w:marBottom w:val="0"/>
                      <w:divBdr>
                        <w:top w:val="none" w:sz="0" w:space="0" w:color="auto"/>
                        <w:left w:val="none" w:sz="0" w:space="0" w:color="auto"/>
                        <w:bottom w:val="none" w:sz="0" w:space="0" w:color="auto"/>
                        <w:right w:val="none" w:sz="0" w:space="0" w:color="auto"/>
                      </w:divBdr>
                    </w:div>
                  </w:divsChild>
                </w:div>
                <w:div w:id="1374383659">
                  <w:marLeft w:val="0"/>
                  <w:marRight w:val="0"/>
                  <w:marTop w:val="0"/>
                  <w:marBottom w:val="0"/>
                  <w:divBdr>
                    <w:top w:val="none" w:sz="0" w:space="0" w:color="auto"/>
                    <w:left w:val="none" w:sz="0" w:space="0" w:color="auto"/>
                    <w:bottom w:val="none" w:sz="0" w:space="0" w:color="auto"/>
                    <w:right w:val="none" w:sz="0" w:space="0" w:color="auto"/>
                  </w:divBdr>
                  <w:divsChild>
                    <w:div w:id="857085869">
                      <w:marLeft w:val="0"/>
                      <w:marRight w:val="0"/>
                      <w:marTop w:val="0"/>
                      <w:marBottom w:val="0"/>
                      <w:divBdr>
                        <w:top w:val="none" w:sz="0" w:space="0" w:color="auto"/>
                        <w:left w:val="none" w:sz="0" w:space="0" w:color="auto"/>
                        <w:bottom w:val="none" w:sz="0" w:space="0" w:color="auto"/>
                        <w:right w:val="none" w:sz="0" w:space="0" w:color="auto"/>
                      </w:divBdr>
                    </w:div>
                  </w:divsChild>
                </w:div>
                <w:div w:id="1385133015">
                  <w:marLeft w:val="0"/>
                  <w:marRight w:val="0"/>
                  <w:marTop w:val="0"/>
                  <w:marBottom w:val="0"/>
                  <w:divBdr>
                    <w:top w:val="none" w:sz="0" w:space="0" w:color="auto"/>
                    <w:left w:val="none" w:sz="0" w:space="0" w:color="auto"/>
                    <w:bottom w:val="none" w:sz="0" w:space="0" w:color="auto"/>
                    <w:right w:val="none" w:sz="0" w:space="0" w:color="auto"/>
                  </w:divBdr>
                  <w:divsChild>
                    <w:div w:id="574322074">
                      <w:marLeft w:val="0"/>
                      <w:marRight w:val="0"/>
                      <w:marTop w:val="0"/>
                      <w:marBottom w:val="0"/>
                      <w:divBdr>
                        <w:top w:val="none" w:sz="0" w:space="0" w:color="auto"/>
                        <w:left w:val="none" w:sz="0" w:space="0" w:color="auto"/>
                        <w:bottom w:val="none" w:sz="0" w:space="0" w:color="auto"/>
                        <w:right w:val="none" w:sz="0" w:space="0" w:color="auto"/>
                      </w:divBdr>
                    </w:div>
                  </w:divsChild>
                </w:div>
                <w:div w:id="1406030277">
                  <w:marLeft w:val="0"/>
                  <w:marRight w:val="0"/>
                  <w:marTop w:val="0"/>
                  <w:marBottom w:val="0"/>
                  <w:divBdr>
                    <w:top w:val="none" w:sz="0" w:space="0" w:color="auto"/>
                    <w:left w:val="none" w:sz="0" w:space="0" w:color="auto"/>
                    <w:bottom w:val="none" w:sz="0" w:space="0" w:color="auto"/>
                    <w:right w:val="none" w:sz="0" w:space="0" w:color="auto"/>
                  </w:divBdr>
                  <w:divsChild>
                    <w:div w:id="2103797399">
                      <w:marLeft w:val="0"/>
                      <w:marRight w:val="0"/>
                      <w:marTop w:val="0"/>
                      <w:marBottom w:val="0"/>
                      <w:divBdr>
                        <w:top w:val="none" w:sz="0" w:space="0" w:color="auto"/>
                        <w:left w:val="none" w:sz="0" w:space="0" w:color="auto"/>
                        <w:bottom w:val="none" w:sz="0" w:space="0" w:color="auto"/>
                        <w:right w:val="none" w:sz="0" w:space="0" w:color="auto"/>
                      </w:divBdr>
                    </w:div>
                  </w:divsChild>
                </w:div>
                <w:div w:id="1449352102">
                  <w:marLeft w:val="0"/>
                  <w:marRight w:val="0"/>
                  <w:marTop w:val="0"/>
                  <w:marBottom w:val="0"/>
                  <w:divBdr>
                    <w:top w:val="none" w:sz="0" w:space="0" w:color="auto"/>
                    <w:left w:val="none" w:sz="0" w:space="0" w:color="auto"/>
                    <w:bottom w:val="none" w:sz="0" w:space="0" w:color="auto"/>
                    <w:right w:val="none" w:sz="0" w:space="0" w:color="auto"/>
                  </w:divBdr>
                  <w:divsChild>
                    <w:div w:id="364253611">
                      <w:marLeft w:val="0"/>
                      <w:marRight w:val="0"/>
                      <w:marTop w:val="0"/>
                      <w:marBottom w:val="0"/>
                      <w:divBdr>
                        <w:top w:val="none" w:sz="0" w:space="0" w:color="auto"/>
                        <w:left w:val="none" w:sz="0" w:space="0" w:color="auto"/>
                        <w:bottom w:val="none" w:sz="0" w:space="0" w:color="auto"/>
                        <w:right w:val="none" w:sz="0" w:space="0" w:color="auto"/>
                      </w:divBdr>
                    </w:div>
                  </w:divsChild>
                </w:div>
                <w:div w:id="1502626480">
                  <w:marLeft w:val="0"/>
                  <w:marRight w:val="0"/>
                  <w:marTop w:val="0"/>
                  <w:marBottom w:val="0"/>
                  <w:divBdr>
                    <w:top w:val="none" w:sz="0" w:space="0" w:color="auto"/>
                    <w:left w:val="none" w:sz="0" w:space="0" w:color="auto"/>
                    <w:bottom w:val="none" w:sz="0" w:space="0" w:color="auto"/>
                    <w:right w:val="none" w:sz="0" w:space="0" w:color="auto"/>
                  </w:divBdr>
                  <w:divsChild>
                    <w:div w:id="545718341">
                      <w:marLeft w:val="0"/>
                      <w:marRight w:val="0"/>
                      <w:marTop w:val="0"/>
                      <w:marBottom w:val="0"/>
                      <w:divBdr>
                        <w:top w:val="none" w:sz="0" w:space="0" w:color="auto"/>
                        <w:left w:val="none" w:sz="0" w:space="0" w:color="auto"/>
                        <w:bottom w:val="none" w:sz="0" w:space="0" w:color="auto"/>
                        <w:right w:val="none" w:sz="0" w:space="0" w:color="auto"/>
                      </w:divBdr>
                    </w:div>
                  </w:divsChild>
                </w:div>
                <w:div w:id="1523471924">
                  <w:marLeft w:val="0"/>
                  <w:marRight w:val="0"/>
                  <w:marTop w:val="0"/>
                  <w:marBottom w:val="0"/>
                  <w:divBdr>
                    <w:top w:val="none" w:sz="0" w:space="0" w:color="auto"/>
                    <w:left w:val="none" w:sz="0" w:space="0" w:color="auto"/>
                    <w:bottom w:val="none" w:sz="0" w:space="0" w:color="auto"/>
                    <w:right w:val="none" w:sz="0" w:space="0" w:color="auto"/>
                  </w:divBdr>
                  <w:divsChild>
                    <w:div w:id="1853370063">
                      <w:marLeft w:val="0"/>
                      <w:marRight w:val="0"/>
                      <w:marTop w:val="0"/>
                      <w:marBottom w:val="0"/>
                      <w:divBdr>
                        <w:top w:val="none" w:sz="0" w:space="0" w:color="auto"/>
                        <w:left w:val="none" w:sz="0" w:space="0" w:color="auto"/>
                        <w:bottom w:val="none" w:sz="0" w:space="0" w:color="auto"/>
                        <w:right w:val="none" w:sz="0" w:space="0" w:color="auto"/>
                      </w:divBdr>
                    </w:div>
                  </w:divsChild>
                </w:div>
                <w:div w:id="1549416608">
                  <w:marLeft w:val="0"/>
                  <w:marRight w:val="0"/>
                  <w:marTop w:val="0"/>
                  <w:marBottom w:val="0"/>
                  <w:divBdr>
                    <w:top w:val="none" w:sz="0" w:space="0" w:color="auto"/>
                    <w:left w:val="none" w:sz="0" w:space="0" w:color="auto"/>
                    <w:bottom w:val="none" w:sz="0" w:space="0" w:color="auto"/>
                    <w:right w:val="none" w:sz="0" w:space="0" w:color="auto"/>
                  </w:divBdr>
                  <w:divsChild>
                    <w:div w:id="481460052">
                      <w:marLeft w:val="0"/>
                      <w:marRight w:val="0"/>
                      <w:marTop w:val="0"/>
                      <w:marBottom w:val="0"/>
                      <w:divBdr>
                        <w:top w:val="none" w:sz="0" w:space="0" w:color="auto"/>
                        <w:left w:val="none" w:sz="0" w:space="0" w:color="auto"/>
                        <w:bottom w:val="none" w:sz="0" w:space="0" w:color="auto"/>
                        <w:right w:val="none" w:sz="0" w:space="0" w:color="auto"/>
                      </w:divBdr>
                    </w:div>
                  </w:divsChild>
                </w:div>
                <w:div w:id="1564759375">
                  <w:marLeft w:val="0"/>
                  <w:marRight w:val="0"/>
                  <w:marTop w:val="0"/>
                  <w:marBottom w:val="0"/>
                  <w:divBdr>
                    <w:top w:val="none" w:sz="0" w:space="0" w:color="auto"/>
                    <w:left w:val="none" w:sz="0" w:space="0" w:color="auto"/>
                    <w:bottom w:val="none" w:sz="0" w:space="0" w:color="auto"/>
                    <w:right w:val="none" w:sz="0" w:space="0" w:color="auto"/>
                  </w:divBdr>
                  <w:divsChild>
                    <w:div w:id="898784542">
                      <w:marLeft w:val="0"/>
                      <w:marRight w:val="0"/>
                      <w:marTop w:val="0"/>
                      <w:marBottom w:val="0"/>
                      <w:divBdr>
                        <w:top w:val="none" w:sz="0" w:space="0" w:color="auto"/>
                        <w:left w:val="none" w:sz="0" w:space="0" w:color="auto"/>
                        <w:bottom w:val="none" w:sz="0" w:space="0" w:color="auto"/>
                        <w:right w:val="none" w:sz="0" w:space="0" w:color="auto"/>
                      </w:divBdr>
                    </w:div>
                  </w:divsChild>
                </w:div>
                <w:div w:id="1564829556">
                  <w:marLeft w:val="0"/>
                  <w:marRight w:val="0"/>
                  <w:marTop w:val="0"/>
                  <w:marBottom w:val="0"/>
                  <w:divBdr>
                    <w:top w:val="none" w:sz="0" w:space="0" w:color="auto"/>
                    <w:left w:val="none" w:sz="0" w:space="0" w:color="auto"/>
                    <w:bottom w:val="none" w:sz="0" w:space="0" w:color="auto"/>
                    <w:right w:val="none" w:sz="0" w:space="0" w:color="auto"/>
                  </w:divBdr>
                  <w:divsChild>
                    <w:div w:id="710301741">
                      <w:marLeft w:val="0"/>
                      <w:marRight w:val="0"/>
                      <w:marTop w:val="0"/>
                      <w:marBottom w:val="0"/>
                      <w:divBdr>
                        <w:top w:val="none" w:sz="0" w:space="0" w:color="auto"/>
                        <w:left w:val="none" w:sz="0" w:space="0" w:color="auto"/>
                        <w:bottom w:val="none" w:sz="0" w:space="0" w:color="auto"/>
                        <w:right w:val="none" w:sz="0" w:space="0" w:color="auto"/>
                      </w:divBdr>
                    </w:div>
                  </w:divsChild>
                </w:div>
                <w:div w:id="1607346662">
                  <w:marLeft w:val="0"/>
                  <w:marRight w:val="0"/>
                  <w:marTop w:val="0"/>
                  <w:marBottom w:val="0"/>
                  <w:divBdr>
                    <w:top w:val="none" w:sz="0" w:space="0" w:color="auto"/>
                    <w:left w:val="none" w:sz="0" w:space="0" w:color="auto"/>
                    <w:bottom w:val="none" w:sz="0" w:space="0" w:color="auto"/>
                    <w:right w:val="none" w:sz="0" w:space="0" w:color="auto"/>
                  </w:divBdr>
                  <w:divsChild>
                    <w:div w:id="1669671815">
                      <w:marLeft w:val="0"/>
                      <w:marRight w:val="0"/>
                      <w:marTop w:val="0"/>
                      <w:marBottom w:val="0"/>
                      <w:divBdr>
                        <w:top w:val="none" w:sz="0" w:space="0" w:color="auto"/>
                        <w:left w:val="none" w:sz="0" w:space="0" w:color="auto"/>
                        <w:bottom w:val="none" w:sz="0" w:space="0" w:color="auto"/>
                        <w:right w:val="none" w:sz="0" w:space="0" w:color="auto"/>
                      </w:divBdr>
                    </w:div>
                  </w:divsChild>
                </w:div>
                <w:div w:id="1614822618">
                  <w:marLeft w:val="0"/>
                  <w:marRight w:val="0"/>
                  <w:marTop w:val="0"/>
                  <w:marBottom w:val="0"/>
                  <w:divBdr>
                    <w:top w:val="none" w:sz="0" w:space="0" w:color="auto"/>
                    <w:left w:val="none" w:sz="0" w:space="0" w:color="auto"/>
                    <w:bottom w:val="none" w:sz="0" w:space="0" w:color="auto"/>
                    <w:right w:val="none" w:sz="0" w:space="0" w:color="auto"/>
                  </w:divBdr>
                  <w:divsChild>
                    <w:div w:id="337733138">
                      <w:marLeft w:val="0"/>
                      <w:marRight w:val="0"/>
                      <w:marTop w:val="0"/>
                      <w:marBottom w:val="0"/>
                      <w:divBdr>
                        <w:top w:val="none" w:sz="0" w:space="0" w:color="auto"/>
                        <w:left w:val="none" w:sz="0" w:space="0" w:color="auto"/>
                        <w:bottom w:val="none" w:sz="0" w:space="0" w:color="auto"/>
                        <w:right w:val="none" w:sz="0" w:space="0" w:color="auto"/>
                      </w:divBdr>
                    </w:div>
                  </w:divsChild>
                </w:div>
                <w:div w:id="1618558041">
                  <w:marLeft w:val="0"/>
                  <w:marRight w:val="0"/>
                  <w:marTop w:val="0"/>
                  <w:marBottom w:val="0"/>
                  <w:divBdr>
                    <w:top w:val="none" w:sz="0" w:space="0" w:color="auto"/>
                    <w:left w:val="none" w:sz="0" w:space="0" w:color="auto"/>
                    <w:bottom w:val="none" w:sz="0" w:space="0" w:color="auto"/>
                    <w:right w:val="none" w:sz="0" w:space="0" w:color="auto"/>
                  </w:divBdr>
                  <w:divsChild>
                    <w:div w:id="1156065392">
                      <w:marLeft w:val="0"/>
                      <w:marRight w:val="0"/>
                      <w:marTop w:val="0"/>
                      <w:marBottom w:val="0"/>
                      <w:divBdr>
                        <w:top w:val="none" w:sz="0" w:space="0" w:color="auto"/>
                        <w:left w:val="none" w:sz="0" w:space="0" w:color="auto"/>
                        <w:bottom w:val="none" w:sz="0" w:space="0" w:color="auto"/>
                        <w:right w:val="none" w:sz="0" w:space="0" w:color="auto"/>
                      </w:divBdr>
                    </w:div>
                  </w:divsChild>
                </w:div>
                <w:div w:id="1662418378">
                  <w:marLeft w:val="0"/>
                  <w:marRight w:val="0"/>
                  <w:marTop w:val="0"/>
                  <w:marBottom w:val="0"/>
                  <w:divBdr>
                    <w:top w:val="none" w:sz="0" w:space="0" w:color="auto"/>
                    <w:left w:val="none" w:sz="0" w:space="0" w:color="auto"/>
                    <w:bottom w:val="none" w:sz="0" w:space="0" w:color="auto"/>
                    <w:right w:val="none" w:sz="0" w:space="0" w:color="auto"/>
                  </w:divBdr>
                  <w:divsChild>
                    <w:div w:id="660499633">
                      <w:marLeft w:val="0"/>
                      <w:marRight w:val="0"/>
                      <w:marTop w:val="0"/>
                      <w:marBottom w:val="0"/>
                      <w:divBdr>
                        <w:top w:val="none" w:sz="0" w:space="0" w:color="auto"/>
                        <w:left w:val="none" w:sz="0" w:space="0" w:color="auto"/>
                        <w:bottom w:val="none" w:sz="0" w:space="0" w:color="auto"/>
                        <w:right w:val="none" w:sz="0" w:space="0" w:color="auto"/>
                      </w:divBdr>
                    </w:div>
                  </w:divsChild>
                </w:div>
                <w:div w:id="1668361039">
                  <w:marLeft w:val="0"/>
                  <w:marRight w:val="0"/>
                  <w:marTop w:val="0"/>
                  <w:marBottom w:val="0"/>
                  <w:divBdr>
                    <w:top w:val="none" w:sz="0" w:space="0" w:color="auto"/>
                    <w:left w:val="none" w:sz="0" w:space="0" w:color="auto"/>
                    <w:bottom w:val="none" w:sz="0" w:space="0" w:color="auto"/>
                    <w:right w:val="none" w:sz="0" w:space="0" w:color="auto"/>
                  </w:divBdr>
                  <w:divsChild>
                    <w:div w:id="982466610">
                      <w:marLeft w:val="0"/>
                      <w:marRight w:val="0"/>
                      <w:marTop w:val="0"/>
                      <w:marBottom w:val="0"/>
                      <w:divBdr>
                        <w:top w:val="none" w:sz="0" w:space="0" w:color="auto"/>
                        <w:left w:val="none" w:sz="0" w:space="0" w:color="auto"/>
                        <w:bottom w:val="none" w:sz="0" w:space="0" w:color="auto"/>
                        <w:right w:val="none" w:sz="0" w:space="0" w:color="auto"/>
                      </w:divBdr>
                    </w:div>
                  </w:divsChild>
                </w:div>
                <w:div w:id="1714500878">
                  <w:marLeft w:val="0"/>
                  <w:marRight w:val="0"/>
                  <w:marTop w:val="0"/>
                  <w:marBottom w:val="0"/>
                  <w:divBdr>
                    <w:top w:val="none" w:sz="0" w:space="0" w:color="auto"/>
                    <w:left w:val="none" w:sz="0" w:space="0" w:color="auto"/>
                    <w:bottom w:val="none" w:sz="0" w:space="0" w:color="auto"/>
                    <w:right w:val="none" w:sz="0" w:space="0" w:color="auto"/>
                  </w:divBdr>
                  <w:divsChild>
                    <w:div w:id="712077599">
                      <w:marLeft w:val="0"/>
                      <w:marRight w:val="0"/>
                      <w:marTop w:val="0"/>
                      <w:marBottom w:val="0"/>
                      <w:divBdr>
                        <w:top w:val="none" w:sz="0" w:space="0" w:color="auto"/>
                        <w:left w:val="none" w:sz="0" w:space="0" w:color="auto"/>
                        <w:bottom w:val="none" w:sz="0" w:space="0" w:color="auto"/>
                        <w:right w:val="none" w:sz="0" w:space="0" w:color="auto"/>
                      </w:divBdr>
                    </w:div>
                  </w:divsChild>
                </w:div>
                <w:div w:id="1779569562">
                  <w:marLeft w:val="0"/>
                  <w:marRight w:val="0"/>
                  <w:marTop w:val="0"/>
                  <w:marBottom w:val="0"/>
                  <w:divBdr>
                    <w:top w:val="none" w:sz="0" w:space="0" w:color="auto"/>
                    <w:left w:val="none" w:sz="0" w:space="0" w:color="auto"/>
                    <w:bottom w:val="none" w:sz="0" w:space="0" w:color="auto"/>
                    <w:right w:val="none" w:sz="0" w:space="0" w:color="auto"/>
                  </w:divBdr>
                  <w:divsChild>
                    <w:div w:id="1420909697">
                      <w:marLeft w:val="0"/>
                      <w:marRight w:val="0"/>
                      <w:marTop w:val="0"/>
                      <w:marBottom w:val="0"/>
                      <w:divBdr>
                        <w:top w:val="none" w:sz="0" w:space="0" w:color="auto"/>
                        <w:left w:val="none" w:sz="0" w:space="0" w:color="auto"/>
                        <w:bottom w:val="none" w:sz="0" w:space="0" w:color="auto"/>
                        <w:right w:val="none" w:sz="0" w:space="0" w:color="auto"/>
                      </w:divBdr>
                    </w:div>
                  </w:divsChild>
                </w:div>
                <w:div w:id="1785074941">
                  <w:marLeft w:val="0"/>
                  <w:marRight w:val="0"/>
                  <w:marTop w:val="0"/>
                  <w:marBottom w:val="0"/>
                  <w:divBdr>
                    <w:top w:val="none" w:sz="0" w:space="0" w:color="auto"/>
                    <w:left w:val="none" w:sz="0" w:space="0" w:color="auto"/>
                    <w:bottom w:val="none" w:sz="0" w:space="0" w:color="auto"/>
                    <w:right w:val="none" w:sz="0" w:space="0" w:color="auto"/>
                  </w:divBdr>
                  <w:divsChild>
                    <w:div w:id="237713208">
                      <w:marLeft w:val="0"/>
                      <w:marRight w:val="0"/>
                      <w:marTop w:val="0"/>
                      <w:marBottom w:val="0"/>
                      <w:divBdr>
                        <w:top w:val="none" w:sz="0" w:space="0" w:color="auto"/>
                        <w:left w:val="none" w:sz="0" w:space="0" w:color="auto"/>
                        <w:bottom w:val="none" w:sz="0" w:space="0" w:color="auto"/>
                        <w:right w:val="none" w:sz="0" w:space="0" w:color="auto"/>
                      </w:divBdr>
                    </w:div>
                  </w:divsChild>
                </w:div>
                <w:div w:id="1805658231">
                  <w:marLeft w:val="0"/>
                  <w:marRight w:val="0"/>
                  <w:marTop w:val="0"/>
                  <w:marBottom w:val="0"/>
                  <w:divBdr>
                    <w:top w:val="none" w:sz="0" w:space="0" w:color="auto"/>
                    <w:left w:val="none" w:sz="0" w:space="0" w:color="auto"/>
                    <w:bottom w:val="none" w:sz="0" w:space="0" w:color="auto"/>
                    <w:right w:val="none" w:sz="0" w:space="0" w:color="auto"/>
                  </w:divBdr>
                  <w:divsChild>
                    <w:div w:id="501698919">
                      <w:marLeft w:val="0"/>
                      <w:marRight w:val="0"/>
                      <w:marTop w:val="0"/>
                      <w:marBottom w:val="0"/>
                      <w:divBdr>
                        <w:top w:val="none" w:sz="0" w:space="0" w:color="auto"/>
                        <w:left w:val="none" w:sz="0" w:space="0" w:color="auto"/>
                        <w:bottom w:val="none" w:sz="0" w:space="0" w:color="auto"/>
                        <w:right w:val="none" w:sz="0" w:space="0" w:color="auto"/>
                      </w:divBdr>
                    </w:div>
                  </w:divsChild>
                </w:div>
                <w:div w:id="1857697626">
                  <w:marLeft w:val="0"/>
                  <w:marRight w:val="0"/>
                  <w:marTop w:val="0"/>
                  <w:marBottom w:val="0"/>
                  <w:divBdr>
                    <w:top w:val="none" w:sz="0" w:space="0" w:color="auto"/>
                    <w:left w:val="none" w:sz="0" w:space="0" w:color="auto"/>
                    <w:bottom w:val="none" w:sz="0" w:space="0" w:color="auto"/>
                    <w:right w:val="none" w:sz="0" w:space="0" w:color="auto"/>
                  </w:divBdr>
                  <w:divsChild>
                    <w:div w:id="939339115">
                      <w:marLeft w:val="0"/>
                      <w:marRight w:val="0"/>
                      <w:marTop w:val="0"/>
                      <w:marBottom w:val="0"/>
                      <w:divBdr>
                        <w:top w:val="none" w:sz="0" w:space="0" w:color="auto"/>
                        <w:left w:val="none" w:sz="0" w:space="0" w:color="auto"/>
                        <w:bottom w:val="none" w:sz="0" w:space="0" w:color="auto"/>
                        <w:right w:val="none" w:sz="0" w:space="0" w:color="auto"/>
                      </w:divBdr>
                    </w:div>
                  </w:divsChild>
                </w:div>
                <w:div w:id="1858232492">
                  <w:marLeft w:val="0"/>
                  <w:marRight w:val="0"/>
                  <w:marTop w:val="0"/>
                  <w:marBottom w:val="0"/>
                  <w:divBdr>
                    <w:top w:val="none" w:sz="0" w:space="0" w:color="auto"/>
                    <w:left w:val="none" w:sz="0" w:space="0" w:color="auto"/>
                    <w:bottom w:val="none" w:sz="0" w:space="0" w:color="auto"/>
                    <w:right w:val="none" w:sz="0" w:space="0" w:color="auto"/>
                  </w:divBdr>
                  <w:divsChild>
                    <w:div w:id="293752704">
                      <w:marLeft w:val="0"/>
                      <w:marRight w:val="0"/>
                      <w:marTop w:val="0"/>
                      <w:marBottom w:val="0"/>
                      <w:divBdr>
                        <w:top w:val="none" w:sz="0" w:space="0" w:color="auto"/>
                        <w:left w:val="none" w:sz="0" w:space="0" w:color="auto"/>
                        <w:bottom w:val="none" w:sz="0" w:space="0" w:color="auto"/>
                        <w:right w:val="none" w:sz="0" w:space="0" w:color="auto"/>
                      </w:divBdr>
                    </w:div>
                  </w:divsChild>
                </w:div>
                <w:div w:id="1876045249">
                  <w:marLeft w:val="0"/>
                  <w:marRight w:val="0"/>
                  <w:marTop w:val="0"/>
                  <w:marBottom w:val="0"/>
                  <w:divBdr>
                    <w:top w:val="none" w:sz="0" w:space="0" w:color="auto"/>
                    <w:left w:val="none" w:sz="0" w:space="0" w:color="auto"/>
                    <w:bottom w:val="none" w:sz="0" w:space="0" w:color="auto"/>
                    <w:right w:val="none" w:sz="0" w:space="0" w:color="auto"/>
                  </w:divBdr>
                  <w:divsChild>
                    <w:div w:id="534272740">
                      <w:marLeft w:val="0"/>
                      <w:marRight w:val="0"/>
                      <w:marTop w:val="0"/>
                      <w:marBottom w:val="0"/>
                      <w:divBdr>
                        <w:top w:val="none" w:sz="0" w:space="0" w:color="auto"/>
                        <w:left w:val="none" w:sz="0" w:space="0" w:color="auto"/>
                        <w:bottom w:val="none" w:sz="0" w:space="0" w:color="auto"/>
                        <w:right w:val="none" w:sz="0" w:space="0" w:color="auto"/>
                      </w:divBdr>
                    </w:div>
                  </w:divsChild>
                </w:div>
                <w:div w:id="1877306380">
                  <w:marLeft w:val="0"/>
                  <w:marRight w:val="0"/>
                  <w:marTop w:val="0"/>
                  <w:marBottom w:val="0"/>
                  <w:divBdr>
                    <w:top w:val="none" w:sz="0" w:space="0" w:color="auto"/>
                    <w:left w:val="none" w:sz="0" w:space="0" w:color="auto"/>
                    <w:bottom w:val="none" w:sz="0" w:space="0" w:color="auto"/>
                    <w:right w:val="none" w:sz="0" w:space="0" w:color="auto"/>
                  </w:divBdr>
                  <w:divsChild>
                    <w:div w:id="140273627">
                      <w:marLeft w:val="0"/>
                      <w:marRight w:val="0"/>
                      <w:marTop w:val="0"/>
                      <w:marBottom w:val="0"/>
                      <w:divBdr>
                        <w:top w:val="none" w:sz="0" w:space="0" w:color="auto"/>
                        <w:left w:val="none" w:sz="0" w:space="0" w:color="auto"/>
                        <w:bottom w:val="none" w:sz="0" w:space="0" w:color="auto"/>
                        <w:right w:val="none" w:sz="0" w:space="0" w:color="auto"/>
                      </w:divBdr>
                    </w:div>
                  </w:divsChild>
                </w:div>
                <w:div w:id="1886871779">
                  <w:marLeft w:val="0"/>
                  <w:marRight w:val="0"/>
                  <w:marTop w:val="0"/>
                  <w:marBottom w:val="0"/>
                  <w:divBdr>
                    <w:top w:val="none" w:sz="0" w:space="0" w:color="auto"/>
                    <w:left w:val="none" w:sz="0" w:space="0" w:color="auto"/>
                    <w:bottom w:val="none" w:sz="0" w:space="0" w:color="auto"/>
                    <w:right w:val="none" w:sz="0" w:space="0" w:color="auto"/>
                  </w:divBdr>
                  <w:divsChild>
                    <w:div w:id="418328248">
                      <w:marLeft w:val="0"/>
                      <w:marRight w:val="0"/>
                      <w:marTop w:val="0"/>
                      <w:marBottom w:val="0"/>
                      <w:divBdr>
                        <w:top w:val="none" w:sz="0" w:space="0" w:color="auto"/>
                        <w:left w:val="none" w:sz="0" w:space="0" w:color="auto"/>
                        <w:bottom w:val="none" w:sz="0" w:space="0" w:color="auto"/>
                        <w:right w:val="none" w:sz="0" w:space="0" w:color="auto"/>
                      </w:divBdr>
                    </w:div>
                  </w:divsChild>
                </w:div>
                <w:div w:id="1887445893">
                  <w:marLeft w:val="0"/>
                  <w:marRight w:val="0"/>
                  <w:marTop w:val="0"/>
                  <w:marBottom w:val="0"/>
                  <w:divBdr>
                    <w:top w:val="none" w:sz="0" w:space="0" w:color="auto"/>
                    <w:left w:val="none" w:sz="0" w:space="0" w:color="auto"/>
                    <w:bottom w:val="none" w:sz="0" w:space="0" w:color="auto"/>
                    <w:right w:val="none" w:sz="0" w:space="0" w:color="auto"/>
                  </w:divBdr>
                  <w:divsChild>
                    <w:div w:id="1295015855">
                      <w:marLeft w:val="0"/>
                      <w:marRight w:val="0"/>
                      <w:marTop w:val="0"/>
                      <w:marBottom w:val="0"/>
                      <w:divBdr>
                        <w:top w:val="none" w:sz="0" w:space="0" w:color="auto"/>
                        <w:left w:val="none" w:sz="0" w:space="0" w:color="auto"/>
                        <w:bottom w:val="none" w:sz="0" w:space="0" w:color="auto"/>
                        <w:right w:val="none" w:sz="0" w:space="0" w:color="auto"/>
                      </w:divBdr>
                    </w:div>
                  </w:divsChild>
                </w:div>
                <w:div w:id="1942253840">
                  <w:marLeft w:val="0"/>
                  <w:marRight w:val="0"/>
                  <w:marTop w:val="0"/>
                  <w:marBottom w:val="0"/>
                  <w:divBdr>
                    <w:top w:val="none" w:sz="0" w:space="0" w:color="auto"/>
                    <w:left w:val="none" w:sz="0" w:space="0" w:color="auto"/>
                    <w:bottom w:val="none" w:sz="0" w:space="0" w:color="auto"/>
                    <w:right w:val="none" w:sz="0" w:space="0" w:color="auto"/>
                  </w:divBdr>
                  <w:divsChild>
                    <w:div w:id="439567614">
                      <w:marLeft w:val="0"/>
                      <w:marRight w:val="0"/>
                      <w:marTop w:val="0"/>
                      <w:marBottom w:val="0"/>
                      <w:divBdr>
                        <w:top w:val="none" w:sz="0" w:space="0" w:color="auto"/>
                        <w:left w:val="none" w:sz="0" w:space="0" w:color="auto"/>
                        <w:bottom w:val="none" w:sz="0" w:space="0" w:color="auto"/>
                        <w:right w:val="none" w:sz="0" w:space="0" w:color="auto"/>
                      </w:divBdr>
                    </w:div>
                  </w:divsChild>
                </w:div>
                <w:div w:id="1947882152">
                  <w:marLeft w:val="0"/>
                  <w:marRight w:val="0"/>
                  <w:marTop w:val="0"/>
                  <w:marBottom w:val="0"/>
                  <w:divBdr>
                    <w:top w:val="none" w:sz="0" w:space="0" w:color="auto"/>
                    <w:left w:val="none" w:sz="0" w:space="0" w:color="auto"/>
                    <w:bottom w:val="none" w:sz="0" w:space="0" w:color="auto"/>
                    <w:right w:val="none" w:sz="0" w:space="0" w:color="auto"/>
                  </w:divBdr>
                  <w:divsChild>
                    <w:div w:id="912544016">
                      <w:marLeft w:val="0"/>
                      <w:marRight w:val="0"/>
                      <w:marTop w:val="0"/>
                      <w:marBottom w:val="0"/>
                      <w:divBdr>
                        <w:top w:val="none" w:sz="0" w:space="0" w:color="auto"/>
                        <w:left w:val="none" w:sz="0" w:space="0" w:color="auto"/>
                        <w:bottom w:val="none" w:sz="0" w:space="0" w:color="auto"/>
                        <w:right w:val="none" w:sz="0" w:space="0" w:color="auto"/>
                      </w:divBdr>
                    </w:div>
                  </w:divsChild>
                </w:div>
                <w:div w:id="1965841609">
                  <w:marLeft w:val="0"/>
                  <w:marRight w:val="0"/>
                  <w:marTop w:val="0"/>
                  <w:marBottom w:val="0"/>
                  <w:divBdr>
                    <w:top w:val="none" w:sz="0" w:space="0" w:color="auto"/>
                    <w:left w:val="none" w:sz="0" w:space="0" w:color="auto"/>
                    <w:bottom w:val="none" w:sz="0" w:space="0" w:color="auto"/>
                    <w:right w:val="none" w:sz="0" w:space="0" w:color="auto"/>
                  </w:divBdr>
                  <w:divsChild>
                    <w:div w:id="389965073">
                      <w:marLeft w:val="0"/>
                      <w:marRight w:val="0"/>
                      <w:marTop w:val="0"/>
                      <w:marBottom w:val="0"/>
                      <w:divBdr>
                        <w:top w:val="none" w:sz="0" w:space="0" w:color="auto"/>
                        <w:left w:val="none" w:sz="0" w:space="0" w:color="auto"/>
                        <w:bottom w:val="none" w:sz="0" w:space="0" w:color="auto"/>
                        <w:right w:val="none" w:sz="0" w:space="0" w:color="auto"/>
                      </w:divBdr>
                    </w:div>
                  </w:divsChild>
                </w:div>
                <w:div w:id="1971586974">
                  <w:marLeft w:val="0"/>
                  <w:marRight w:val="0"/>
                  <w:marTop w:val="0"/>
                  <w:marBottom w:val="0"/>
                  <w:divBdr>
                    <w:top w:val="none" w:sz="0" w:space="0" w:color="auto"/>
                    <w:left w:val="none" w:sz="0" w:space="0" w:color="auto"/>
                    <w:bottom w:val="none" w:sz="0" w:space="0" w:color="auto"/>
                    <w:right w:val="none" w:sz="0" w:space="0" w:color="auto"/>
                  </w:divBdr>
                  <w:divsChild>
                    <w:div w:id="17316634">
                      <w:marLeft w:val="0"/>
                      <w:marRight w:val="0"/>
                      <w:marTop w:val="0"/>
                      <w:marBottom w:val="0"/>
                      <w:divBdr>
                        <w:top w:val="none" w:sz="0" w:space="0" w:color="auto"/>
                        <w:left w:val="none" w:sz="0" w:space="0" w:color="auto"/>
                        <w:bottom w:val="none" w:sz="0" w:space="0" w:color="auto"/>
                        <w:right w:val="none" w:sz="0" w:space="0" w:color="auto"/>
                      </w:divBdr>
                    </w:div>
                  </w:divsChild>
                </w:div>
                <w:div w:id="1977374671">
                  <w:marLeft w:val="0"/>
                  <w:marRight w:val="0"/>
                  <w:marTop w:val="0"/>
                  <w:marBottom w:val="0"/>
                  <w:divBdr>
                    <w:top w:val="none" w:sz="0" w:space="0" w:color="auto"/>
                    <w:left w:val="none" w:sz="0" w:space="0" w:color="auto"/>
                    <w:bottom w:val="none" w:sz="0" w:space="0" w:color="auto"/>
                    <w:right w:val="none" w:sz="0" w:space="0" w:color="auto"/>
                  </w:divBdr>
                  <w:divsChild>
                    <w:div w:id="141699201">
                      <w:marLeft w:val="0"/>
                      <w:marRight w:val="0"/>
                      <w:marTop w:val="0"/>
                      <w:marBottom w:val="0"/>
                      <w:divBdr>
                        <w:top w:val="none" w:sz="0" w:space="0" w:color="auto"/>
                        <w:left w:val="none" w:sz="0" w:space="0" w:color="auto"/>
                        <w:bottom w:val="none" w:sz="0" w:space="0" w:color="auto"/>
                        <w:right w:val="none" w:sz="0" w:space="0" w:color="auto"/>
                      </w:divBdr>
                    </w:div>
                  </w:divsChild>
                </w:div>
                <w:div w:id="1982687441">
                  <w:marLeft w:val="0"/>
                  <w:marRight w:val="0"/>
                  <w:marTop w:val="0"/>
                  <w:marBottom w:val="0"/>
                  <w:divBdr>
                    <w:top w:val="none" w:sz="0" w:space="0" w:color="auto"/>
                    <w:left w:val="none" w:sz="0" w:space="0" w:color="auto"/>
                    <w:bottom w:val="none" w:sz="0" w:space="0" w:color="auto"/>
                    <w:right w:val="none" w:sz="0" w:space="0" w:color="auto"/>
                  </w:divBdr>
                  <w:divsChild>
                    <w:div w:id="568538836">
                      <w:marLeft w:val="0"/>
                      <w:marRight w:val="0"/>
                      <w:marTop w:val="0"/>
                      <w:marBottom w:val="0"/>
                      <w:divBdr>
                        <w:top w:val="none" w:sz="0" w:space="0" w:color="auto"/>
                        <w:left w:val="none" w:sz="0" w:space="0" w:color="auto"/>
                        <w:bottom w:val="none" w:sz="0" w:space="0" w:color="auto"/>
                        <w:right w:val="none" w:sz="0" w:space="0" w:color="auto"/>
                      </w:divBdr>
                    </w:div>
                  </w:divsChild>
                </w:div>
                <w:div w:id="1985040807">
                  <w:marLeft w:val="0"/>
                  <w:marRight w:val="0"/>
                  <w:marTop w:val="0"/>
                  <w:marBottom w:val="0"/>
                  <w:divBdr>
                    <w:top w:val="none" w:sz="0" w:space="0" w:color="auto"/>
                    <w:left w:val="none" w:sz="0" w:space="0" w:color="auto"/>
                    <w:bottom w:val="none" w:sz="0" w:space="0" w:color="auto"/>
                    <w:right w:val="none" w:sz="0" w:space="0" w:color="auto"/>
                  </w:divBdr>
                  <w:divsChild>
                    <w:div w:id="1879320345">
                      <w:marLeft w:val="0"/>
                      <w:marRight w:val="0"/>
                      <w:marTop w:val="0"/>
                      <w:marBottom w:val="0"/>
                      <w:divBdr>
                        <w:top w:val="none" w:sz="0" w:space="0" w:color="auto"/>
                        <w:left w:val="none" w:sz="0" w:space="0" w:color="auto"/>
                        <w:bottom w:val="none" w:sz="0" w:space="0" w:color="auto"/>
                        <w:right w:val="none" w:sz="0" w:space="0" w:color="auto"/>
                      </w:divBdr>
                    </w:div>
                  </w:divsChild>
                </w:div>
                <w:div w:id="2018847158">
                  <w:marLeft w:val="0"/>
                  <w:marRight w:val="0"/>
                  <w:marTop w:val="0"/>
                  <w:marBottom w:val="0"/>
                  <w:divBdr>
                    <w:top w:val="none" w:sz="0" w:space="0" w:color="auto"/>
                    <w:left w:val="none" w:sz="0" w:space="0" w:color="auto"/>
                    <w:bottom w:val="none" w:sz="0" w:space="0" w:color="auto"/>
                    <w:right w:val="none" w:sz="0" w:space="0" w:color="auto"/>
                  </w:divBdr>
                  <w:divsChild>
                    <w:div w:id="1570843878">
                      <w:marLeft w:val="0"/>
                      <w:marRight w:val="0"/>
                      <w:marTop w:val="0"/>
                      <w:marBottom w:val="0"/>
                      <w:divBdr>
                        <w:top w:val="none" w:sz="0" w:space="0" w:color="auto"/>
                        <w:left w:val="none" w:sz="0" w:space="0" w:color="auto"/>
                        <w:bottom w:val="none" w:sz="0" w:space="0" w:color="auto"/>
                        <w:right w:val="none" w:sz="0" w:space="0" w:color="auto"/>
                      </w:divBdr>
                    </w:div>
                  </w:divsChild>
                </w:div>
                <w:div w:id="2040664741">
                  <w:marLeft w:val="0"/>
                  <w:marRight w:val="0"/>
                  <w:marTop w:val="0"/>
                  <w:marBottom w:val="0"/>
                  <w:divBdr>
                    <w:top w:val="none" w:sz="0" w:space="0" w:color="auto"/>
                    <w:left w:val="none" w:sz="0" w:space="0" w:color="auto"/>
                    <w:bottom w:val="none" w:sz="0" w:space="0" w:color="auto"/>
                    <w:right w:val="none" w:sz="0" w:space="0" w:color="auto"/>
                  </w:divBdr>
                  <w:divsChild>
                    <w:div w:id="813720269">
                      <w:marLeft w:val="0"/>
                      <w:marRight w:val="0"/>
                      <w:marTop w:val="0"/>
                      <w:marBottom w:val="0"/>
                      <w:divBdr>
                        <w:top w:val="none" w:sz="0" w:space="0" w:color="auto"/>
                        <w:left w:val="none" w:sz="0" w:space="0" w:color="auto"/>
                        <w:bottom w:val="none" w:sz="0" w:space="0" w:color="auto"/>
                        <w:right w:val="none" w:sz="0" w:space="0" w:color="auto"/>
                      </w:divBdr>
                    </w:div>
                  </w:divsChild>
                </w:div>
                <w:div w:id="2050445562">
                  <w:marLeft w:val="0"/>
                  <w:marRight w:val="0"/>
                  <w:marTop w:val="0"/>
                  <w:marBottom w:val="0"/>
                  <w:divBdr>
                    <w:top w:val="none" w:sz="0" w:space="0" w:color="auto"/>
                    <w:left w:val="none" w:sz="0" w:space="0" w:color="auto"/>
                    <w:bottom w:val="none" w:sz="0" w:space="0" w:color="auto"/>
                    <w:right w:val="none" w:sz="0" w:space="0" w:color="auto"/>
                  </w:divBdr>
                  <w:divsChild>
                    <w:div w:id="1551071677">
                      <w:marLeft w:val="0"/>
                      <w:marRight w:val="0"/>
                      <w:marTop w:val="0"/>
                      <w:marBottom w:val="0"/>
                      <w:divBdr>
                        <w:top w:val="none" w:sz="0" w:space="0" w:color="auto"/>
                        <w:left w:val="none" w:sz="0" w:space="0" w:color="auto"/>
                        <w:bottom w:val="none" w:sz="0" w:space="0" w:color="auto"/>
                        <w:right w:val="none" w:sz="0" w:space="0" w:color="auto"/>
                      </w:divBdr>
                    </w:div>
                  </w:divsChild>
                </w:div>
                <w:div w:id="2062290771">
                  <w:marLeft w:val="0"/>
                  <w:marRight w:val="0"/>
                  <w:marTop w:val="0"/>
                  <w:marBottom w:val="0"/>
                  <w:divBdr>
                    <w:top w:val="none" w:sz="0" w:space="0" w:color="auto"/>
                    <w:left w:val="none" w:sz="0" w:space="0" w:color="auto"/>
                    <w:bottom w:val="none" w:sz="0" w:space="0" w:color="auto"/>
                    <w:right w:val="none" w:sz="0" w:space="0" w:color="auto"/>
                  </w:divBdr>
                  <w:divsChild>
                    <w:div w:id="1291126881">
                      <w:marLeft w:val="0"/>
                      <w:marRight w:val="0"/>
                      <w:marTop w:val="0"/>
                      <w:marBottom w:val="0"/>
                      <w:divBdr>
                        <w:top w:val="none" w:sz="0" w:space="0" w:color="auto"/>
                        <w:left w:val="none" w:sz="0" w:space="0" w:color="auto"/>
                        <w:bottom w:val="none" w:sz="0" w:space="0" w:color="auto"/>
                        <w:right w:val="none" w:sz="0" w:space="0" w:color="auto"/>
                      </w:divBdr>
                    </w:div>
                  </w:divsChild>
                </w:div>
                <w:div w:id="2095085514">
                  <w:marLeft w:val="0"/>
                  <w:marRight w:val="0"/>
                  <w:marTop w:val="0"/>
                  <w:marBottom w:val="0"/>
                  <w:divBdr>
                    <w:top w:val="none" w:sz="0" w:space="0" w:color="auto"/>
                    <w:left w:val="none" w:sz="0" w:space="0" w:color="auto"/>
                    <w:bottom w:val="none" w:sz="0" w:space="0" w:color="auto"/>
                    <w:right w:val="none" w:sz="0" w:space="0" w:color="auto"/>
                  </w:divBdr>
                  <w:divsChild>
                    <w:div w:id="272905143">
                      <w:marLeft w:val="0"/>
                      <w:marRight w:val="0"/>
                      <w:marTop w:val="0"/>
                      <w:marBottom w:val="0"/>
                      <w:divBdr>
                        <w:top w:val="none" w:sz="0" w:space="0" w:color="auto"/>
                        <w:left w:val="none" w:sz="0" w:space="0" w:color="auto"/>
                        <w:bottom w:val="none" w:sz="0" w:space="0" w:color="auto"/>
                        <w:right w:val="none" w:sz="0" w:space="0" w:color="auto"/>
                      </w:divBdr>
                    </w:div>
                  </w:divsChild>
                </w:div>
                <w:div w:id="2109347552">
                  <w:marLeft w:val="0"/>
                  <w:marRight w:val="0"/>
                  <w:marTop w:val="0"/>
                  <w:marBottom w:val="0"/>
                  <w:divBdr>
                    <w:top w:val="none" w:sz="0" w:space="0" w:color="auto"/>
                    <w:left w:val="none" w:sz="0" w:space="0" w:color="auto"/>
                    <w:bottom w:val="none" w:sz="0" w:space="0" w:color="auto"/>
                    <w:right w:val="none" w:sz="0" w:space="0" w:color="auto"/>
                  </w:divBdr>
                  <w:divsChild>
                    <w:div w:id="336808858">
                      <w:marLeft w:val="0"/>
                      <w:marRight w:val="0"/>
                      <w:marTop w:val="0"/>
                      <w:marBottom w:val="0"/>
                      <w:divBdr>
                        <w:top w:val="none" w:sz="0" w:space="0" w:color="auto"/>
                        <w:left w:val="none" w:sz="0" w:space="0" w:color="auto"/>
                        <w:bottom w:val="none" w:sz="0" w:space="0" w:color="auto"/>
                        <w:right w:val="none" w:sz="0" w:space="0" w:color="auto"/>
                      </w:divBdr>
                    </w:div>
                  </w:divsChild>
                </w:div>
                <w:div w:id="2127002313">
                  <w:marLeft w:val="0"/>
                  <w:marRight w:val="0"/>
                  <w:marTop w:val="0"/>
                  <w:marBottom w:val="0"/>
                  <w:divBdr>
                    <w:top w:val="none" w:sz="0" w:space="0" w:color="auto"/>
                    <w:left w:val="none" w:sz="0" w:space="0" w:color="auto"/>
                    <w:bottom w:val="none" w:sz="0" w:space="0" w:color="auto"/>
                    <w:right w:val="none" w:sz="0" w:space="0" w:color="auto"/>
                  </w:divBdr>
                  <w:divsChild>
                    <w:div w:id="734160406">
                      <w:marLeft w:val="0"/>
                      <w:marRight w:val="0"/>
                      <w:marTop w:val="0"/>
                      <w:marBottom w:val="0"/>
                      <w:divBdr>
                        <w:top w:val="none" w:sz="0" w:space="0" w:color="auto"/>
                        <w:left w:val="none" w:sz="0" w:space="0" w:color="auto"/>
                        <w:bottom w:val="none" w:sz="0" w:space="0" w:color="auto"/>
                        <w:right w:val="none" w:sz="0" w:space="0" w:color="auto"/>
                      </w:divBdr>
                    </w:div>
                  </w:divsChild>
                </w:div>
                <w:div w:id="2131364293">
                  <w:marLeft w:val="0"/>
                  <w:marRight w:val="0"/>
                  <w:marTop w:val="0"/>
                  <w:marBottom w:val="0"/>
                  <w:divBdr>
                    <w:top w:val="none" w:sz="0" w:space="0" w:color="auto"/>
                    <w:left w:val="none" w:sz="0" w:space="0" w:color="auto"/>
                    <w:bottom w:val="none" w:sz="0" w:space="0" w:color="auto"/>
                    <w:right w:val="none" w:sz="0" w:space="0" w:color="auto"/>
                  </w:divBdr>
                  <w:divsChild>
                    <w:div w:id="1776250711">
                      <w:marLeft w:val="0"/>
                      <w:marRight w:val="0"/>
                      <w:marTop w:val="0"/>
                      <w:marBottom w:val="0"/>
                      <w:divBdr>
                        <w:top w:val="none" w:sz="0" w:space="0" w:color="auto"/>
                        <w:left w:val="none" w:sz="0" w:space="0" w:color="auto"/>
                        <w:bottom w:val="none" w:sz="0" w:space="0" w:color="auto"/>
                        <w:right w:val="none" w:sz="0" w:space="0" w:color="auto"/>
                      </w:divBdr>
                    </w:div>
                  </w:divsChild>
                </w:div>
                <w:div w:id="2138138694">
                  <w:marLeft w:val="0"/>
                  <w:marRight w:val="0"/>
                  <w:marTop w:val="0"/>
                  <w:marBottom w:val="0"/>
                  <w:divBdr>
                    <w:top w:val="none" w:sz="0" w:space="0" w:color="auto"/>
                    <w:left w:val="none" w:sz="0" w:space="0" w:color="auto"/>
                    <w:bottom w:val="none" w:sz="0" w:space="0" w:color="auto"/>
                    <w:right w:val="none" w:sz="0" w:space="0" w:color="auto"/>
                  </w:divBdr>
                  <w:divsChild>
                    <w:div w:id="1084230363">
                      <w:marLeft w:val="0"/>
                      <w:marRight w:val="0"/>
                      <w:marTop w:val="0"/>
                      <w:marBottom w:val="0"/>
                      <w:divBdr>
                        <w:top w:val="none" w:sz="0" w:space="0" w:color="auto"/>
                        <w:left w:val="none" w:sz="0" w:space="0" w:color="auto"/>
                        <w:bottom w:val="none" w:sz="0" w:space="0" w:color="auto"/>
                        <w:right w:val="none" w:sz="0" w:space="0" w:color="auto"/>
                      </w:divBdr>
                    </w:div>
                  </w:divsChild>
                </w:div>
                <w:div w:id="2142308543">
                  <w:marLeft w:val="0"/>
                  <w:marRight w:val="0"/>
                  <w:marTop w:val="0"/>
                  <w:marBottom w:val="0"/>
                  <w:divBdr>
                    <w:top w:val="none" w:sz="0" w:space="0" w:color="auto"/>
                    <w:left w:val="none" w:sz="0" w:space="0" w:color="auto"/>
                    <w:bottom w:val="none" w:sz="0" w:space="0" w:color="auto"/>
                    <w:right w:val="none" w:sz="0" w:space="0" w:color="auto"/>
                  </w:divBdr>
                  <w:divsChild>
                    <w:div w:id="13870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42326">
          <w:marLeft w:val="0"/>
          <w:marRight w:val="0"/>
          <w:marTop w:val="0"/>
          <w:marBottom w:val="0"/>
          <w:divBdr>
            <w:top w:val="none" w:sz="0" w:space="0" w:color="auto"/>
            <w:left w:val="none" w:sz="0" w:space="0" w:color="auto"/>
            <w:bottom w:val="none" w:sz="0" w:space="0" w:color="auto"/>
            <w:right w:val="none" w:sz="0" w:space="0" w:color="auto"/>
          </w:divBdr>
        </w:div>
        <w:div w:id="1883908286">
          <w:marLeft w:val="0"/>
          <w:marRight w:val="0"/>
          <w:marTop w:val="0"/>
          <w:marBottom w:val="0"/>
          <w:divBdr>
            <w:top w:val="none" w:sz="0" w:space="0" w:color="auto"/>
            <w:left w:val="none" w:sz="0" w:space="0" w:color="auto"/>
            <w:bottom w:val="none" w:sz="0" w:space="0" w:color="auto"/>
            <w:right w:val="none" w:sz="0" w:space="0" w:color="auto"/>
          </w:divBdr>
        </w:div>
        <w:div w:id="1898855583">
          <w:marLeft w:val="0"/>
          <w:marRight w:val="0"/>
          <w:marTop w:val="0"/>
          <w:marBottom w:val="0"/>
          <w:divBdr>
            <w:top w:val="none" w:sz="0" w:space="0" w:color="auto"/>
            <w:left w:val="none" w:sz="0" w:space="0" w:color="auto"/>
            <w:bottom w:val="none" w:sz="0" w:space="0" w:color="auto"/>
            <w:right w:val="none" w:sz="0" w:space="0" w:color="auto"/>
          </w:divBdr>
        </w:div>
        <w:div w:id="1967198826">
          <w:marLeft w:val="0"/>
          <w:marRight w:val="0"/>
          <w:marTop w:val="0"/>
          <w:marBottom w:val="0"/>
          <w:divBdr>
            <w:top w:val="none" w:sz="0" w:space="0" w:color="auto"/>
            <w:left w:val="none" w:sz="0" w:space="0" w:color="auto"/>
            <w:bottom w:val="none" w:sz="0" w:space="0" w:color="auto"/>
            <w:right w:val="none" w:sz="0" w:space="0" w:color="auto"/>
          </w:divBdr>
        </w:div>
        <w:div w:id="1996840249">
          <w:marLeft w:val="0"/>
          <w:marRight w:val="0"/>
          <w:marTop w:val="0"/>
          <w:marBottom w:val="0"/>
          <w:divBdr>
            <w:top w:val="none" w:sz="0" w:space="0" w:color="auto"/>
            <w:left w:val="none" w:sz="0" w:space="0" w:color="auto"/>
            <w:bottom w:val="none" w:sz="0" w:space="0" w:color="auto"/>
            <w:right w:val="none" w:sz="0" w:space="0" w:color="auto"/>
          </w:divBdr>
        </w:div>
        <w:div w:id="2057654533">
          <w:marLeft w:val="0"/>
          <w:marRight w:val="0"/>
          <w:marTop w:val="0"/>
          <w:marBottom w:val="0"/>
          <w:divBdr>
            <w:top w:val="none" w:sz="0" w:space="0" w:color="auto"/>
            <w:left w:val="none" w:sz="0" w:space="0" w:color="auto"/>
            <w:bottom w:val="none" w:sz="0" w:space="0" w:color="auto"/>
            <w:right w:val="none" w:sz="0" w:space="0" w:color="auto"/>
          </w:divBdr>
        </w:div>
      </w:divsChild>
    </w:div>
    <w:div w:id="408700394">
      <w:bodyDiv w:val="1"/>
      <w:marLeft w:val="0"/>
      <w:marRight w:val="0"/>
      <w:marTop w:val="0"/>
      <w:marBottom w:val="0"/>
      <w:divBdr>
        <w:top w:val="none" w:sz="0" w:space="0" w:color="auto"/>
        <w:left w:val="none" w:sz="0" w:space="0" w:color="auto"/>
        <w:bottom w:val="none" w:sz="0" w:space="0" w:color="auto"/>
        <w:right w:val="none" w:sz="0" w:space="0" w:color="auto"/>
      </w:divBdr>
      <w:divsChild>
        <w:div w:id="452291185">
          <w:marLeft w:val="0"/>
          <w:marRight w:val="0"/>
          <w:marTop w:val="0"/>
          <w:marBottom w:val="0"/>
          <w:divBdr>
            <w:top w:val="none" w:sz="0" w:space="0" w:color="auto"/>
            <w:left w:val="none" w:sz="0" w:space="0" w:color="auto"/>
            <w:bottom w:val="none" w:sz="0" w:space="0" w:color="auto"/>
            <w:right w:val="none" w:sz="0" w:space="0" w:color="auto"/>
          </w:divBdr>
        </w:div>
        <w:div w:id="486212079">
          <w:marLeft w:val="0"/>
          <w:marRight w:val="0"/>
          <w:marTop w:val="0"/>
          <w:marBottom w:val="0"/>
          <w:divBdr>
            <w:top w:val="none" w:sz="0" w:space="0" w:color="auto"/>
            <w:left w:val="none" w:sz="0" w:space="0" w:color="auto"/>
            <w:bottom w:val="none" w:sz="0" w:space="0" w:color="auto"/>
            <w:right w:val="none" w:sz="0" w:space="0" w:color="auto"/>
          </w:divBdr>
        </w:div>
        <w:div w:id="560411279">
          <w:marLeft w:val="0"/>
          <w:marRight w:val="0"/>
          <w:marTop w:val="0"/>
          <w:marBottom w:val="0"/>
          <w:divBdr>
            <w:top w:val="none" w:sz="0" w:space="0" w:color="auto"/>
            <w:left w:val="none" w:sz="0" w:space="0" w:color="auto"/>
            <w:bottom w:val="none" w:sz="0" w:space="0" w:color="auto"/>
            <w:right w:val="none" w:sz="0" w:space="0" w:color="auto"/>
          </w:divBdr>
          <w:divsChild>
            <w:div w:id="1278026237">
              <w:marLeft w:val="0"/>
              <w:marRight w:val="0"/>
              <w:marTop w:val="0"/>
              <w:marBottom w:val="0"/>
              <w:divBdr>
                <w:top w:val="none" w:sz="0" w:space="0" w:color="auto"/>
                <w:left w:val="none" w:sz="0" w:space="0" w:color="auto"/>
                <w:bottom w:val="none" w:sz="0" w:space="0" w:color="auto"/>
                <w:right w:val="none" w:sz="0" w:space="0" w:color="auto"/>
              </w:divBdr>
            </w:div>
            <w:div w:id="1697847354">
              <w:marLeft w:val="0"/>
              <w:marRight w:val="0"/>
              <w:marTop w:val="0"/>
              <w:marBottom w:val="0"/>
              <w:divBdr>
                <w:top w:val="none" w:sz="0" w:space="0" w:color="auto"/>
                <w:left w:val="none" w:sz="0" w:space="0" w:color="auto"/>
                <w:bottom w:val="none" w:sz="0" w:space="0" w:color="auto"/>
                <w:right w:val="none" w:sz="0" w:space="0" w:color="auto"/>
              </w:divBdr>
            </w:div>
            <w:div w:id="1707019540">
              <w:marLeft w:val="0"/>
              <w:marRight w:val="0"/>
              <w:marTop w:val="0"/>
              <w:marBottom w:val="0"/>
              <w:divBdr>
                <w:top w:val="none" w:sz="0" w:space="0" w:color="auto"/>
                <w:left w:val="none" w:sz="0" w:space="0" w:color="auto"/>
                <w:bottom w:val="none" w:sz="0" w:space="0" w:color="auto"/>
                <w:right w:val="none" w:sz="0" w:space="0" w:color="auto"/>
              </w:divBdr>
            </w:div>
            <w:div w:id="1843857516">
              <w:marLeft w:val="0"/>
              <w:marRight w:val="0"/>
              <w:marTop w:val="0"/>
              <w:marBottom w:val="0"/>
              <w:divBdr>
                <w:top w:val="none" w:sz="0" w:space="0" w:color="auto"/>
                <w:left w:val="none" w:sz="0" w:space="0" w:color="auto"/>
                <w:bottom w:val="none" w:sz="0" w:space="0" w:color="auto"/>
                <w:right w:val="none" w:sz="0" w:space="0" w:color="auto"/>
              </w:divBdr>
            </w:div>
            <w:div w:id="2084528174">
              <w:marLeft w:val="0"/>
              <w:marRight w:val="0"/>
              <w:marTop w:val="0"/>
              <w:marBottom w:val="0"/>
              <w:divBdr>
                <w:top w:val="none" w:sz="0" w:space="0" w:color="auto"/>
                <w:left w:val="none" w:sz="0" w:space="0" w:color="auto"/>
                <w:bottom w:val="none" w:sz="0" w:space="0" w:color="auto"/>
                <w:right w:val="none" w:sz="0" w:space="0" w:color="auto"/>
              </w:divBdr>
            </w:div>
          </w:divsChild>
        </w:div>
        <w:div w:id="876551412">
          <w:marLeft w:val="0"/>
          <w:marRight w:val="0"/>
          <w:marTop w:val="0"/>
          <w:marBottom w:val="0"/>
          <w:divBdr>
            <w:top w:val="none" w:sz="0" w:space="0" w:color="auto"/>
            <w:left w:val="none" w:sz="0" w:space="0" w:color="auto"/>
            <w:bottom w:val="none" w:sz="0" w:space="0" w:color="auto"/>
            <w:right w:val="none" w:sz="0" w:space="0" w:color="auto"/>
          </w:divBdr>
        </w:div>
        <w:div w:id="1216356991">
          <w:marLeft w:val="0"/>
          <w:marRight w:val="0"/>
          <w:marTop w:val="0"/>
          <w:marBottom w:val="0"/>
          <w:divBdr>
            <w:top w:val="none" w:sz="0" w:space="0" w:color="auto"/>
            <w:left w:val="none" w:sz="0" w:space="0" w:color="auto"/>
            <w:bottom w:val="none" w:sz="0" w:space="0" w:color="auto"/>
            <w:right w:val="none" w:sz="0" w:space="0" w:color="auto"/>
          </w:divBdr>
        </w:div>
        <w:div w:id="1343580533">
          <w:marLeft w:val="0"/>
          <w:marRight w:val="0"/>
          <w:marTop w:val="0"/>
          <w:marBottom w:val="0"/>
          <w:divBdr>
            <w:top w:val="none" w:sz="0" w:space="0" w:color="auto"/>
            <w:left w:val="none" w:sz="0" w:space="0" w:color="auto"/>
            <w:bottom w:val="none" w:sz="0" w:space="0" w:color="auto"/>
            <w:right w:val="none" w:sz="0" w:space="0" w:color="auto"/>
          </w:divBdr>
          <w:divsChild>
            <w:div w:id="107967565">
              <w:marLeft w:val="0"/>
              <w:marRight w:val="0"/>
              <w:marTop w:val="0"/>
              <w:marBottom w:val="0"/>
              <w:divBdr>
                <w:top w:val="none" w:sz="0" w:space="0" w:color="auto"/>
                <w:left w:val="none" w:sz="0" w:space="0" w:color="auto"/>
                <w:bottom w:val="none" w:sz="0" w:space="0" w:color="auto"/>
                <w:right w:val="none" w:sz="0" w:space="0" w:color="auto"/>
              </w:divBdr>
            </w:div>
            <w:div w:id="362824045">
              <w:marLeft w:val="0"/>
              <w:marRight w:val="0"/>
              <w:marTop w:val="0"/>
              <w:marBottom w:val="0"/>
              <w:divBdr>
                <w:top w:val="none" w:sz="0" w:space="0" w:color="auto"/>
                <w:left w:val="none" w:sz="0" w:space="0" w:color="auto"/>
                <w:bottom w:val="none" w:sz="0" w:space="0" w:color="auto"/>
                <w:right w:val="none" w:sz="0" w:space="0" w:color="auto"/>
              </w:divBdr>
            </w:div>
            <w:div w:id="1641615278">
              <w:marLeft w:val="0"/>
              <w:marRight w:val="0"/>
              <w:marTop w:val="0"/>
              <w:marBottom w:val="0"/>
              <w:divBdr>
                <w:top w:val="none" w:sz="0" w:space="0" w:color="auto"/>
                <w:left w:val="none" w:sz="0" w:space="0" w:color="auto"/>
                <w:bottom w:val="none" w:sz="0" w:space="0" w:color="auto"/>
                <w:right w:val="none" w:sz="0" w:space="0" w:color="auto"/>
              </w:divBdr>
            </w:div>
          </w:divsChild>
        </w:div>
        <w:div w:id="1515460334">
          <w:marLeft w:val="0"/>
          <w:marRight w:val="0"/>
          <w:marTop w:val="0"/>
          <w:marBottom w:val="0"/>
          <w:divBdr>
            <w:top w:val="none" w:sz="0" w:space="0" w:color="auto"/>
            <w:left w:val="none" w:sz="0" w:space="0" w:color="auto"/>
            <w:bottom w:val="none" w:sz="0" w:space="0" w:color="auto"/>
            <w:right w:val="none" w:sz="0" w:space="0" w:color="auto"/>
          </w:divBdr>
        </w:div>
        <w:div w:id="1661616597">
          <w:marLeft w:val="0"/>
          <w:marRight w:val="0"/>
          <w:marTop w:val="0"/>
          <w:marBottom w:val="0"/>
          <w:divBdr>
            <w:top w:val="none" w:sz="0" w:space="0" w:color="auto"/>
            <w:left w:val="none" w:sz="0" w:space="0" w:color="auto"/>
            <w:bottom w:val="none" w:sz="0" w:space="0" w:color="auto"/>
            <w:right w:val="none" w:sz="0" w:space="0" w:color="auto"/>
          </w:divBdr>
        </w:div>
        <w:div w:id="2061441799">
          <w:marLeft w:val="0"/>
          <w:marRight w:val="0"/>
          <w:marTop w:val="0"/>
          <w:marBottom w:val="0"/>
          <w:divBdr>
            <w:top w:val="none" w:sz="0" w:space="0" w:color="auto"/>
            <w:left w:val="none" w:sz="0" w:space="0" w:color="auto"/>
            <w:bottom w:val="none" w:sz="0" w:space="0" w:color="auto"/>
            <w:right w:val="none" w:sz="0" w:space="0" w:color="auto"/>
          </w:divBdr>
        </w:div>
      </w:divsChild>
    </w:div>
    <w:div w:id="411395090">
      <w:bodyDiv w:val="1"/>
      <w:marLeft w:val="0"/>
      <w:marRight w:val="0"/>
      <w:marTop w:val="0"/>
      <w:marBottom w:val="0"/>
      <w:divBdr>
        <w:top w:val="none" w:sz="0" w:space="0" w:color="auto"/>
        <w:left w:val="none" w:sz="0" w:space="0" w:color="auto"/>
        <w:bottom w:val="none" w:sz="0" w:space="0" w:color="auto"/>
        <w:right w:val="none" w:sz="0" w:space="0" w:color="auto"/>
      </w:divBdr>
      <w:divsChild>
        <w:div w:id="427965450">
          <w:marLeft w:val="0"/>
          <w:marRight w:val="0"/>
          <w:marTop w:val="0"/>
          <w:marBottom w:val="0"/>
          <w:divBdr>
            <w:top w:val="none" w:sz="0" w:space="0" w:color="auto"/>
            <w:left w:val="none" w:sz="0" w:space="0" w:color="auto"/>
            <w:bottom w:val="none" w:sz="0" w:space="0" w:color="auto"/>
            <w:right w:val="none" w:sz="0" w:space="0" w:color="auto"/>
          </w:divBdr>
          <w:divsChild>
            <w:div w:id="343214994">
              <w:marLeft w:val="0"/>
              <w:marRight w:val="0"/>
              <w:marTop w:val="0"/>
              <w:marBottom w:val="0"/>
              <w:divBdr>
                <w:top w:val="none" w:sz="0" w:space="0" w:color="auto"/>
                <w:left w:val="none" w:sz="0" w:space="0" w:color="auto"/>
                <w:bottom w:val="none" w:sz="0" w:space="0" w:color="auto"/>
                <w:right w:val="none" w:sz="0" w:space="0" w:color="auto"/>
              </w:divBdr>
            </w:div>
            <w:div w:id="2022050404">
              <w:marLeft w:val="0"/>
              <w:marRight w:val="0"/>
              <w:marTop w:val="0"/>
              <w:marBottom w:val="0"/>
              <w:divBdr>
                <w:top w:val="none" w:sz="0" w:space="0" w:color="auto"/>
                <w:left w:val="none" w:sz="0" w:space="0" w:color="auto"/>
                <w:bottom w:val="none" w:sz="0" w:space="0" w:color="auto"/>
                <w:right w:val="none" w:sz="0" w:space="0" w:color="auto"/>
              </w:divBdr>
            </w:div>
          </w:divsChild>
        </w:div>
        <w:div w:id="1410036868">
          <w:marLeft w:val="0"/>
          <w:marRight w:val="0"/>
          <w:marTop w:val="0"/>
          <w:marBottom w:val="0"/>
          <w:divBdr>
            <w:top w:val="none" w:sz="0" w:space="0" w:color="auto"/>
            <w:left w:val="none" w:sz="0" w:space="0" w:color="auto"/>
            <w:bottom w:val="none" w:sz="0" w:space="0" w:color="auto"/>
            <w:right w:val="none" w:sz="0" w:space="0" w:color="auto"/>
          </w:divBdr>
          <w:divsChild>
            <w:div w:id="673070180">
              <w:marLeft w:val="0"/>
              <w:marRight w:val="0"/>
              <w:marTop w:val="0"/>
              <w:marBottom w:val="0"/>
              <w:divBdr>
                <w:top w:val="none" w:sz="0" w:space="0" w:color="auto"/>
                <w:left w:val="none" w:sz="0" w:space="0" w:color="auto"/>
                <w:bottom w:val="none" w:sz="0" w:space="0" w:color="auto"/>
                <w:right w:val="none" w:sz="0" w:space="0" w:color="auto"/>
              </w:divBdr>
            </w:div>
            <w:div w:id="196846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9768">
      <w:bodyDiv w:val="1"/>
      <w:marLeft w:val="0"/>
      <w:marRight w:val="0"/>
      <w:marTop w:val="0"/>
      <w:marBottom w:val="0"/>
      <w:divBdr>
        <w:top w:val="none" w:sz="0" w:space="0" w:color="auto"/>
        <w:left w:val="none" w:sz="0" w:space="0" w:color="auto"/>
        <w:bottom w:val="none" w:sz="0" w:space="0" w:color="auto"/>
        <w:right w:val="none" w:sz="0" w:space="0" w:color="auto"/>
      </w:divBdr>
    </w:div>
    <w:div w:id="427506977">
      <w:bodyDiv w:val="1"/>
      <w:marLeft w:val="0"/>
      <w:marRight w:val="0"/>
      <w:marTop w:val="0"/>
      <w:marBottom w:val="0"/>
      <w:divBdr>
        <w:top w:val="none" w:sz="0" w:space="0" w:color="auto"/>
        <w:left w:val="none" w:sz="0" w:space="0" w:color="auto"/>
        <w:bottom w:val="none" w:sz="0" w:space="0" w:color="auto"/>
        <w:right w:val="none" w:sz="0" w:space="0" w:color="auto"/>
      </w:divBdr>
    </w:div>
    <w:div w:id="428550282">
      <w:bodyDiv w:val="1"/>
      <w:marLeft w:val="0"/>
      <w:marRight w:val="0"/>
      <w:marTop w:val="0"/>
      <w:marBottom w:val="0"/>
      <w:divBdr>
        <w:top w:val="none" w:sz="0" w:space="0" w:color="auto"/>
        <w:left w:val="none" w:sz="0" w:space="0" w:color="auto"/>
        <w:bottom w:val="none" w:sz="0" w:space="0" w:color="auto"/>
        <w:right w:val="none" w:sz="0" w:space="0" w:color="auto"/>
      </w:divBdr>
    </w:div>
    <w:div w:id="431244885">
      <w:bodyDiv w:val="1"/>
      <w:marLeft w:val="0"/>
      <w:marRight w:val="0"/>
      <w:marTop w:val="0"/>
      <w:marBottom w:val="0"/>
      <w:divBdr>
        <w:top w:val="none" w:sz="0" w:space="0" w:color="auto"/>
        <w:left w:val="none" w:sz="0" w:space="0" w:color="auto"/>
        <w:bottom w:val="none" w:sz="0" w:space="0" w:color="auto"/>
        <w:right w:val="none" w:sz="0" w:space="0" w:color="auto"/>
      </w:divBdr>
    </w:div>
    <w:div w:id="433019987">
      <w:bodyDiv w:val="1"/>
      <w:marLeft w:val="0"/>
      <w:marRight w:val="0"/>
      <w:marTop w:val="0"/>
      <w:marBottom w:val="0"/>
      <w:divBdr>
        <w:top w:val="none" w:sz="0" w:space="0" w:color="auto"/>
        <w:left w:val="none" w:sz="0" w:space="0" w:color="auto"/>
        <w:bottom w:val="none" w:sz="0" w:space="0" w:color="auto"/>
        <w:right w:val="none" w:sz="0" w:space="0" w:color="auto"/>
      </w:divBdr>
    </w:div>
    <w:div w:id="435558829">
      <w:bodyDiv w:val="1"/>
      <w:marLeft w:val="0"/>
      <w:marRight w:val="0"/>
      <w:marTop w:val="0"/>
      <w:marBottom w:val="0"/>
      <w:divBdr>
        <w:top w:val="none" w:sz="0" w:space="0" w:color="auto"/>
        <w:left w:val="none" w:sz="0" w:space="0" w:color="auto"/>
        <w:bottom w:val="none" w:sz="0" w:space="0" w:color="auto"/>
        <w:right w:val="none" w:sz="0" w:space="0" w:color="auto"/>
      </w:divBdr>
    </w:div>
    <w:div w:id="445199576">
      <w:bodyDiv w:val="1"/>
      <w:marLeft w:val="0"/>
      <w:marRight w:val="0"/>
      <w:marTop w:val="0"/>
      <w:marBottom w:val="0"/>
      <w:divBdr>
        <w:top w:val="none" w:sz="0" w:space="0" w:color="auto"/>
        <w:left w:val="none" w:sz="0" w:space="0" w:color="auto"/>
        <w:bottom w:val="none" w:sz="0" w:space="0" w:color="auto"/>
        <w:right w:val="none" w:sz="0" w:space="0" w:color="auto"/>
      </w:divBdr>
    </w:div>
    <w:div w:id="460615678">
      <w:bodyDiv w:val="1"/>
      <w:marLeft w:val="0"/>
      <w:marRight w:val="0"/>
      <w:marTop w:val="0"/>
      <w:marBottom w:val="0"/>
      <w:divBdr>
        <w:top w:val="none" w:sz="0" w:space="0" w:color="auto"/>
        <w:left w:val="none" w:sz="0" w:space="0" w:color="auto"/>
        <w:bottom w:val="none" w:sz="0" w:space="0" w:color="auto"/>
        <w:right w:val="none" w:sz="0" w:space="0" w:color="auto"/>
      </w:divBdr>
    </w:div>
    <w:div w:id="463350941">
      <w:bodyDiv w:val="1"/>
      <w:marLeft w:val="0"/>
      <w:marRight w:val="0"/>
      <w:marTop w:val="0"/>
      <w:marBottom w:val="0"/>
      <w:divBdr>
        <w:top w:val="none" w:sz="0" w:space="0" w:color="auto"/>
        <w:left w:val="none" w:sz="0" w:space="0" w:color="auto"/>
        <w:bottom w:val="none" w:sz="0" w:space="0" w:color="auto"/>
        <w:right w:val="none" w:sz="0" w:space="0" w:color="auto"/>
      </w:divBdr>
    </w:div>
    <w:div w:id="470633609">
      <w:bodyDiv w:val="1"/>
      <w:marLeft w:val="0"/>
      <w:marRight w:val="0"/>
      <w:marTop w:val="0"/>
      <w:marBottom w:val="0"/>
      <w:divBdr>
        <w:top w:val="none" w:sz="0" w:space="0" w:color="auto"/>
        <w:left w:val="none" w:sz="0" w:space="0" w:color="auto"/>
        <w:bottom w:val="none" w:sz="0" w:space="0" w:color="auto"/>
        <w:right w:val="none" w:sz="0" w:space="0" w:color="auto"/>
      </w:divBdr>
      <w:divsChild>
        <w:div w:id="692725273">
          <w:marLeft w:val="0"/>
          <w:marRight w:val="0"/>
          <w:marTop w:val="0"/>
          <w:marBottom w:val="0"/>
          <w:divBdr>
            <w:top w:val="none" w:sz="0" w:space="0" w:color="auto"/>
            <w:left w:val="none" w:sz="0" w:space="0" w:color="auto"/>
            <w:bottom w:val="none" w:sz="0" w:space="0" w:color="auto"/>
            <w:right w:val="none" w:sz="0" w:space="0" w:color="auto"/>
          </w:divBdr>
        </w:div>
        <w:div w:id="757605626">
          <w:marLeft w:val="0"/>
          <w:marRight w:val="0"/>
          <w:marTop w:val="0"/>
          <w:marBottom w:val="0"/>
          <w:divBdr>
            <w:top w:val="none" w:sz="0" w:space="0" w:color="auto"/>
            <w:left w:val="none" w:sz="0" w:space="0" w:color="auto"/>
            <w:bottom w:val="none" w:sz="0" w:space="0" w:color="auto"/>
            <w:right w:val="none" w:sz="0" w:space="0" w:color="auto"/>
          </w:divBdr>
        </w:div>
      </w:divsChild>
    </w:div>
    <w:div w:id="474491536">
      <w:bodyDiv w:val="1"/>
      <w:marLeft w:val="0"/>
      <w:marRight w:val="0"/>
      <w:marTop w:val="0"/>
      <w:marBottom w:val="0"/>
      <w:divBdr>
        <w:top w:val="none" w:sz="0" w:space="0" w:color="auto"/>
        <w:left w:val="none" w:sz="0" w:space="0" w:color="auto"/>
        <w:bottom w:val="none" w:sz="0" w:space="0" w:color="auto"/>
        <w:right w:val="none" w:sz="0" w:space="0" w:color="auto"/>
      </w:divBdr>
      <w:divsChild>
        <w:div w:id="352920561">
          <w:marLeft w:val="0"/>
          <w:marRight w:val="0"/>
          <w:marTop w:val="0"/>
          <w:marBottom w:val="0"/>
          <w:divBdr>
            <w:top w:val="none" w:sz="0" w:space="0" w:color="auto"/>
            <w:left w:val="none" w:sz="0" w:space="0" w:color="auto"/>
            <w:bottom w:val="none" w:sz="0" w:space="0" w:color="auto"/>
            <w:right w:val="none" w:sz="0" w:space="0" w:color="auto"/>
          </w:divBdr>
        </w:div>
        <w:div w:id="1879511652">
          <w:marLeft w:val="0"/>
          <w:marRight w:val="0"/>
          <w:marTop w:val="0"/>
          <w:marBottom w:val="0"/>
          <w:divBdr>
            <w:top w:val="none" w:sz="0" w:space="0" w:color="auto"/>
            <w:left w:val="none" w:sz="0" w:space="0" w:color="auto"/>
            <w:bottom w:val="none" w:sz="0" w:space="0" w:color="auto"/>
            <w:right w:val="none" w:sz="0" w:space="0" w:color="auto"/>
          </w:divBdr>
        </w:div>
      </w:divsChild>
    </w:div>
    <w:div w:id="503589305">
      <w:bodyDiv w:val="1"/>
      <w:marLeft w:val="0"/>
      <w:marRight w:val="0"/>
      <w:marTop w:val="0"/>
      <w:marBottom w:val="0"/>
      <w:divBdr>
        <w:top w:val="none" w:sz="0" w:space="0" w:color="auto"/>
        <w:left w:val="none" w:sz="0" w:space="0" w:color="auto"/>
        <w:bottom w:val="none" w:sz="0" w:space="0" w:color="auto"/>
        <w:right w:val="none" w:sz="0" w:space="0" w:color="auto"/>
      </w:divBdr>
      <w:divsChild>
        <w:div w:id="13845748">
          <w:marLeft w:val="0"/>
          <w:marRight w:val="0"/>
          <w:marTop w:val="0"/>
          <w:marBottom w:val="0"/>
          <w:divBdr>
            <w:top w:val="none" w:sz="0" w:space="0" w:color="auto"/>
            <w:left w:val="none" w:sz="0" w:space="0" w:color="auto"/>
            <w:bottom w:val="none" w:sz="0" w:space="0" w:color="auto"/>
            <w:right w:val="none" w:sz="0" w:space="0" w:color="auto"/>
          </w:divBdr>
          <w:divsChild>
            <w:div w:id="56170538">
              <w:marLeft w:val="0"/>
              <w:marRight w:val="0"/>
              <w:marTop w:val="0"/>
              <w:marBottom w:val="0"/>
              <w:divBdr>
                <w:top w:val="none" w:sz="0" w:space="0" w:color="auto"/>
                <w:left w:val="none" w:sz="0" w:space="0" w:color="auto"/>
                <w:bottom w:val="none" w:sz="0" w:space="0" w:color="auto"/>
                <w:right w:val="none" w:sz="0" w:space="0" w:color="auto"/>
              </w:divBdr>
            </w:div>
            <w:div w:id="1188761631">
              <w:marLeft w:val="0"/>
              <w:marRight w:val="0"/>
              <w:marTop w:val="0"/>
              <w:marBottom w:val="0"/>
              <w:divBdr>
                <w:top w:val="none" w:sz="0" w:space="0" w:color="auto"/>
                <w:left w:val="none" w:sz="0" w:space="0" w:color="auto"/>
                <w:bottom w:val="none" w:sz="0" w:space="0" w:color="auto"/>
                <w:right w:val="none" w:sz="0" w:space="0" w:color="auto"/>
              </w:divBdr>
            </w:div>
            <w:div w:id="1915700978">
              <w:marLeft w:val="0"/>
              <w:marRight w:val="0"/>
              <w:marTop w:val="0"/>
              <w:marBottom w:val="0"/>
              <w:divBdr>
                <w:top w:val="none" w:sz="0" w:space="0" w:color="auto"/>
                <w:left w:val="none" w:sz="0" w:space="0" w:color="auto"/>
                <w:bottom w:val="none" w:sz="0" w:space="0" w:color="auto"/>
                <w:right w:val="none" w:sz="0" w:space="0" w:color="auto"/>
              </w:divBdr>
            </w:div>
            <w:div w:id="2096969855">
              <w:marLeft w:val="0"/>
              <w:marRight w:val="0"/>
              <w:marTop w:val="0"/>
              <w:marBottom w:val="0"/>
              <w:divBdr>
                <w:top w:val="none" w:sz="0" w:space="0" w:color="auto"/>
                <w:left w:val="none" w:sz="0" w:space="0" w:color="auto"/>
                <w:bottom w:val="none" w:sz="0" w:space="0" w:color="auto"/>
                <w:right w:val="none" w:sz="0" w:space="0" w:color="auto"/>
              </w:divBdr>
            </w:div>
          </w:divsChild>
        </w:div>
        <w:div w:id="102263704">
          <w:marLeft w:val="0"/>
          <w:marRight w:val="0"/>
          <w:marTop w:val="0"/>
          <w:marBottom w:val="0"/>
          <w:divBdr>
            <w:top w:val="none" w:sz="0" w:space="0" w:color="auto"/>
            <w:left w:val="none" w:sz="0" w:space="0" w:color="auto"/>
            <w:bottom w:val="none" w:sz="0" w:space="0" w:color="auto"/>
            <w:right w:val="none" w:sz="0" w:space="0" w:color="auto"/>
          </w:divBdr>
        </w:div>
        <w:div w:id="185484217">
          <w:marLeft w:val="0"/>
          <w:marRight w:val="0"/>
          <w:marTop w:val="0"/>
          <w:marBottom w:val="0"/>
          <w:divBdr>
            <w:top w:val="none" w:sz="0" w:space="0" w:color="auto"/>
            <w:left w:val="none" w:sz="0" w:space="0" w:color="auto"/>
            <w:bottom w:val="none" w:sz="0" w:space="0" w:color="auto"/>
            <w:right w:val="none" w:sz="0" w:space="0" w:color="auto"/>
          </w:divBdr>
        </w:div>
        <w:div w:id="281035812">
          <w:marLeft w:val="0"/>
          <w:marRight w:val="0"/>
          <w:marTop w:val="0"/>
          <w:marBottom w:val="0"/>
          <w:divBdr>
            <w:top w:val="none" w:sz="0" w:space="0" w:color="auto"/>
            <w:left w:val="none" w:sz="0" w:space="0" w:color="auto"/>
            <w:bottom w:val="none" w:sz="0" w:space="0" w:color="auto"/>
            <w:right w:val="none" w:sz="0" w:space="0" w:color="auto"/>
          </w:divBdr>
          <w:divsChild>
            <w:div w:id="1491949077">
              <w:marLeft w:val="0"/>
              <w:marRight w:val="0"/>
              <w:marTop w:val="0"/>
              <w:marBottom w:val="0"/>
              <w:divBdr>
                <w:top w:val="none" w:sz="0" w:space="0" w:color="auto"/>
                <w:left w:val="none" w:sz="0" w:space="0" w:color="auto"/>
                <w:bottom w:val="none" w:sz="0" w:space="0" w:color="auto"/>
                <w:right w:val="none" w:sz="0" w:space="0" w:color="auto"/>
              </w:divBdr>
            </w:div>
          </w:divsChild>
        </w:div>
        <w:div w:id="331377643">
          <w:marLeft w:val="0"/>
          <w:marRight w:val="0"/>
          <w:marTop w:val="0"/>
          <w:marBottom w:val="0"/>
          <w:divBdr>
            <w:top w:val="none" w:sz="0" w:space="0" w:color="auto"/>
            <w:left w:val="none" w:sz="0" w:space="0" w:color="auto"/>
            <w:bottom w:val="none" w:sz="0" w:space="0" w:color="auto"/>
            <w:right w:val="none" w:sz="0" w:space="0" w:color="auto"/>
          </w:divBdr>
        </w:div>
        <w:div w:id="334723611">
          <w:marLeft w:val="0"/>
          <w:marRight w:val="0"/>
          <w:marTop w:val="0"/>
          <w:marBottom w:val="0"/>
          <w:divBdr>
            <w:top w:val="none" w:sz="0" w:space="0" w:color="auto"/>
            <w:left w:val="none" w:sz="0" w:space="0" w:color="auto"/>
            <w:bottom w:val="none" w:sz="0" w:space="0" w:color="auto"/>
            <w:right w:val="none" w:sz="0" w:space="0" w:color="auto"/>
          </w:divBdr>
        </w:div>
        <w:div w:id="352074767">
          <w:marLeft w:val="0"/>
          <w:marRight w:val="0"/>
          <w:marTop w:val="0"/>
          <w:marBottom w:val="0"/>
          <w:divBdr>
            <w:top w:val="none" w:sz="0" w:space="0" w:color="auto"/>
            <w:left w:val="none" w:sz="0" w:space="0" w:color="auto"/>
            <w:bottom w:val="none" w:sz="0" w:space="0" w:color="auto"/>
            <w:right w:val="none" w:sz="0" w:space="0" w:color="auto"/>
          </w:divBdr>
          <w:divsChild>
            <w:div w:id="597055855">
              <w:marLeft w:val="0"/>
              <w:marRight w:val="0"/>
              <w:marTop w:val="0"/>
              <w:marBottom w:val="0"/>
              <w:divBdr>
                <w:top w:val="none" w:sz="0" w:space="0" w:color="auto"/>
                <w:left w:val="none" w:sz="0" w:space="0" w:color="auto"/>
                <w:bottom w:val="none" w:sz="0" w:space="0" w:color="auto"/>
                <w:right w:val="none" w:sz="0" w:space="0" w:color="auto"/>
              </w:divBdr>
            </w:div>
            <w:div w:id="1569147549">
              <w:marLeft w:val="0"/>
              <w:marRight w:val="0"/>
              <w:marTop w:val="0"/>
              <w:marBottom w:val="0"/>
              <w:divBdr>
                <w:top w:val="none" w:sz="0" w:space="0" w:color="auto"/>
                <w:left w:val="none" w:sz="0" w:space="0" w:color="auto"/>
                <w:bottom w:val="none" w:sz="0" w:space="0" w:color="auto"/>
                <w:right w:val="none" w:sz="0" w:space="0" w:color="auto"/>
              </w:divBdr>
            </w:div>
            <w:div w:id="1615095875">
              <w:marLeft w:val="0"/>
              <w:marRight w:val="0"/>
              <w:marTop w:val="0"/>
              <w:marBottom w:val="0"/>
              <w:divBdr>
                <w:top w:val="none" w:sz="0" w:space="0" w:color="auto"/>
                <w:left w:val="none" w:sz="0" w:space="0" w:color="auto"/>
                <w:bottom w:val="none" w:sz="0" w:space="0" w:color="auto"/>
                <w:right w:val="none" w:sz="0" w:space="0" w:color="auto"/>
              </w:divBdr>
            </w:div>
            <w:div w:id="2077893150">
              <w:marLeft w:val="0"/>
              <w:marRight w:val="0"/>
              <w:marTop w:val="0"/>
              <w:marBottom w:val="0"/>
              <w:divBdr>
                <w:top w:val="none" w:sz="0" w:space="0" w:color="auto"/>
                <w:left w:val="none" w:sz="0" w:space="0" w:color="auto"/>
                <w:bottom w:val="none" w:sz="0" w:space="0" w:color="auto"/>
                <w:right w:val="none" w:sz="0" w:space="0" w:color="auto"/>
              </w:divBdr>
            </w:div>
          </w:divsChild>
        </w:div>
        <w:div w:id="392194123">
          <w:marLeft w:val="0"/>
          <w:marRight w:val="0"/>
          <w:marTop w:val="0"/>
          <w:marBottom w:val="0"/>
          <w:divBdr>
            <w:top w:val="none" w:sz="0" w:space="0" w:color="auto"/>
            <w:left w:val="none" w:sz="0" w:space="0" w:color="auto"/>
            <w:bottom w:val="none" w:sz="0" w:space="0" w:color="auto"/>
            <w:right w:val="none" w:sz="0" w:space="0" w:color="auto"/>
          </w:divBdr>
        </w:div>
        <w:div w:id="493692692">
          <w:marLeft w:val="0"/>
          <w:marRight w:val="0"/>
          <w:marTop w:val="0"/>
          <w:marBottom w:val="0"/>
          <w:divBdr>
            <w:top w:val="none" w:sz="0" w:space="0" w:color="auto"/>
            <w:left w:val="none" w:sz="0" w:space="0" w:color="auto"/>
            <w:bottom w:val="none" w:sz="0" w:space="0" w:color="auto"/>
            <w:right w:val="none" w:sz="0" w:space="0" w:color="auto"/>
          </w:divBdr>
          <w:divsChild>
            <w:div w:id="95299308">
              <w:marLeft w:val="0"/>
              <w:marRight w:val="0"/>
              <w:marTop w:val="0"/>
              <w:marBottom w:val="0"/>
              <w:divBdr>
                <w:top w:val="none" w:sz="0" w:space="0" w:color="auto"/>
                <w:left w:val="none" w:sz="0" w:space="0" w:color="auto"/>
                <w:bottom w:val="none" w:sz="0" w:space="0" w:color="auto"/>
                <w:right w:val="none" w:sz="0" w:space="0" w:color="auto"/>
              </w:divBdr>
            </w:div>
            <w:div w:id="122893000">
              <w:marLeft w:val="0"/>
              <w:marRight w:val="0"/>
              <w:marTop w:val="0"/>
              <w:marBottom w:val="0"/>
              <w:divBdr>
                <w:top w:val="none" w:sz="0" w:space="0" w:color="auto"/>
                <w:left w:val="none" w:sz="0" w:space="0" w:color="auto"/>
                <w:bottom w:val="none" w:sz="0" w:space="0" w:color="auto"/>
                <w:right w:val="none" w:sz="0" w:space="0" w:color="auto"/>
              </w:divBdr>
            </w:div>
            <w:div w:id="309677061">
              <w:marLeft w:val="0"/>
              <w:marRight w:val="0"/>
              <w:marTop w:val="0"/>
              <w:marBottom w:val="0"/>
              <w:divBdr>
                <w:top w:val="none" w:sz="0" w:space="0" w:color="auto"/>
                <w:left w:val="none" w:sz="0" w:space="0" w:color="auto"/>
                <w:bottom w:val="none" w:sz="0" w:space="0" w:color="auto"/>
                <w:right w:val="none" w:sz="0" w:space="0" w:color="auto"/>
              </w:divBdr>
            </w:div>
            <w:div w:id="412632199">
              <w:marLeft w:val="0"/>
              <w:marRight w:val="0"/>
              <w:marTop w:val="0"/>
              <w:marBottom w:val="0"/>
              <w:divBdr>
                <w:top w:val="none" w:sz="0" w:space="0" w:color="auto"/>
                <w:left w:val="none" w:sz="0" w:space="0" w:color="auto"/>
                <w:bottom w:val="none" w:sz="0" w:space="0" w:color="auto"/>
                <w:right w:val="none" w:sz="0" w:space="0" w:color="auto"/>
              </w:divBdr>
            </w:div>
            <w:div w:id="1964265535">
              <w:marLeft w:val="0"/>
              <w:marRight w:val="0"/>
              <w:marTop w:val="0"/>
              <w:marBottom w:val="0"/>
              <w:divBdr>
                <w:top w:val="none" w:sz="0" w:space="0" w:color="auto"/>
                <w:left w:val="none" w:sz="0" w:space="0" w:color="auto"/>
                <w:bottom w:val="none" w:sz="0" w:space="0" w:color="auto"/>
                <w:right w:val="none" w:sz="0" w:space="0" w:color="auto"/>
              </w:divBdr>
            </w:div>
          </w:divsChild>
        </w:div>
        <w:div w:id="514080681">
          <w:marLeft w:val="0"/>
          <w:marRight w:val="0"/>
          <w:marTop w:val="0"/>
          <w:marBottom w:val="0"/>
          <w:divBdr>
            <w:top w:val="none" w:sz="0" w:space="0" w:color="auto"/>
            <w:left w:val="none" w:sz="0" w:space="0" w:color="auto"/>
            <w:bottom w:val="none" w:sz="0" w:space="0" w:color="auto"/>
            <w:right w:val="none" w:sz="0" w:space="0" w:color="auto"/>
          </w:divBdr>
        </w:div>
        <w:div w:id="781997479">
          <w:marLeft w:val="0"/>
          <w:marRight w:val="0"/>
          <w:marTop w:val="0"/>
          <w:marBottom w:val="0"/>
          <w:divBdr>
            <w:top w:val="none" w:sz="0" w:space="0" w:color="auto"/>
            <w:left w:val="none" w:sz="0" w:space="0" w:color="auto"/>
            <w:bottom w:val="none" w:sz="0" w:space="0" w:color="auto"/>
            <w:right w:val="none" w:sz="0" w:space="0" w:color="auto"/>
          </w:divBdr>
        </w:div>
        <w:div w:id="795173628">
          <w:marLeft w:val="0"/>
          <w:marRight w:val="0"/>
          <w:marTop w:val="0"/>
          <w:marBottom w:val="0"/>
          <w:divBdr>
            <w:top w:val="none" w:sz="0" w:space="0" w:color="auto"/>
            <w:left w:val="none" w:sz="0" w:space="0" w:color="auto"/>
            <w:bottom w:val="none" w:sz="0" w:space="0" w:color="auto"/>
            <w:right w:val="none" w:sz="0" w:space="0" w:color="auto"/>
          </w:divBdr>
        </w:div>
        <w:div w:id="979727192">
          <w:marLeft w:val="0"/>
          <w:marRight w:val="0"/>
          <w:marTop w:val="0"/>
          <w:marBottom w:val="0"/>
          <w:divBdr>
            <w:top w:val="none" w:sz="0" w:space="0" w:color="auto"/>
            <w:left w:val="none" w:sz="0" w:space="0" w:color="auto"/>
            <w:bottom w:val="none" w:sz="0" w:space="0" w:color="auto"/>
            <w:right w:val="none" w:sz="0" w:space="0" w:color="auto"/>
          </w:divBdr>
        </w:div>
        <w:div w:id="1196507781">
          <w:marLeft w:val="0"/>
          <w:marRight w:val="0"/>
          <w:marTop w:val="0"/>
          <w:marBottom w:val="0"/>
          <w:divBdr>
            <w:top w:val="none" w:sz="0" w:space="0" w:color="auto"/>
            <w:left w:val="none" w:sz="0" w:space="0" w:color="auto"/>
            <w:bottom w:val="none" w:sz="0" w:space="0" w:color="auto"/>
            <w:right w:val="none" w:sz="0" w:space="0" w:color="auto"/>
          </w:divBdr>
        </w:div>
        <w:div w:id="1202940579">
          <w:marLeft w:val="0"/>
          <w:marRight w:val="0"/>
          <w:marTop w:val="0"/>
          <w:marBottom w:val="0"/>
          <w:divBdr>
            <w:top w:val="none" w:sz="0" w:space="0" w:color="auto"/>
            <w:left w:val="none" w:sz="0" w:space="0" w:color="auto"/>
            <w:bottom w:val="none" w:sz="0" w:space="0" w:color="auto"/>
            <w:right w:val="none" w:sz="0" w:space="0" w:color="auto"/>
          </w:divBdr>
        </w:div>
        <w:div w:id="1208451018">
          <w:marLeft w:val="0"/>
          <w:marRight w:val="0"/>
          <w:marTop w:val="0"/>
          <w:marBottom w:val="0"/>
          <w:divBdr>
            <w:top w:val="none" w:sz="0" w:space="0" w:color="auto"/>
            <w:left w:val="none" w:sz="0" w:space="0" w:color="auto"/>
            <w:bottom w:val="none" w:sz="0" w:space="0" w:color="auto"/>
            <w:right w:val="none" w:sz="0" w:space="0" w:color="auto"/>
          </w:divBdr>
          <w:divsChild>
            <w:div w:id="56781963">
              <w:marLeft w:val="0"/>
              <w:marRight w:val="0"/>
              <w:marTop w:val="0"/>
              <w:marBottom w:val="0"/>
              <w:divBdr>
                <w:top w:val="none" w:sz="0" w:space="0" w:color="auto"/>
                <w:left w:val="none" w:sz="0" w:space="0" w:color="auto"/>
                <w:bottom w:val="none" w:sz="0" w:space="0" w:color="auto"/>
                <w:right w:val="none" w:sz="0" w:space="0" w:color="auto"/>
              </w:divBdr>
            </w:div>
            <w:div w:id="1788889896">
              <w:marLeft w:val="0"/>
              <w:marRight w:val="0"/>
              <w:marTop w:val="0"/>
              <w:marBottom w:val="0"/>
              <w:divBdr>
                <w:top w:val="none" w:sz="0" w:space="0" w:color="auto"/>
                <w:left w:val="none" w:sz="0" w:space="0" w:color="auto"/>
                <w:bottom w:val="none" w:sz="0" w:space="0" w:color="auto"/>
                <w:right w:val="none" w:sz="0" w:space="0" w:color="auto"/>
              </w:divBdr>
            </w:div>
          </w:divsChild>
        </w:div>
        <w:div w:id="1477604233">
          <w:marLeft w:val="0"/>
          <w:marRight w:val="0"/>
          <w:marTop w:val="0"/>
          <w:marBottom w:val="0"/>
          <w:divBdr>
            <w:top w:val="none" w:sz="0" w:space="0" w:color="auto"/>
            <w:left w:val="none" w:sz="0" w:space="0" w:color="auto"/>
            <w:bottom w:val="none" w:sz="0" w:space="0" w:color="auto"/>
            <w:right w:val="none" w:sz="0" w:space="0" w:color="auto"/>
          </w:divBdr>
          <w:divsChild>
            <w:div w:id="159397781">
              <w:marLeft w:val="-75"/>
              <w:marRight w:val="0"/>
              <w:marTop w:val="30"/>
              <w:marBottom w:val="30"/>
              <w:divBdr>
                <w:top w:val="none" w:sz="0" w:space="0" w:color="auto"/>
                <w:left w:val="none" w:sz="0" w:space="0" w:color="auto"/>
                <w:bottom w:val="none" w:sz="0" w:space="0" w:color="auto"/>
                <w:right w:val="none" w:sz="0" w:space="0" w:color="auto"/>
              </w:divBdr>
              <w:divsChild>
                <w:div w:id="108858107">
                  <w:marLeft w:val="0"/>
                  <w:marRight w:val="0"/>
                  <w:marTop w:val="0"/>
                  <w:marBottom w:val="0"/>
                  <w:divBdr>
                    <w:top w:val="none" w:sz="0" w:space="0" w:color="auto"/>
                    <w:left w:val="none" w:sz="0" w:space="0" w:color="auto"/>
                    <w:bottom w:val="none" w:sz="0" w:space="0" w:color="auto"/>
                    <w:right w:val="none" w:sz="0" w:space="0" w:color="auto"/>
                  </w:divBdr>
                  <w:divsChild>
                    <w:div w:id="123544976">
                      <w:marLeft w:val="0"/>
                      <w:marRight w:val="0"/>
                      <w:marTop w:val="0"/>
                      <w:marBottom w:val="0"/>
                      <w:divBdr>
                        <w:top w:val="none" w:sz="0" w:space="0" w:color="auto"/>
                        <w:left w:val="none" w:sz="0" w:space="0" w:color="auto"/>
                        <w:bottom w:val="none" w:sz="0" w:space="0" w:color="auto"/>
                        <w:right w:val="none" w:sz="0" w:space="0" w:color="auto"/>
                      </w:divBdr>
                    </w:div>
                  </w:divsChild>
                </w:div>
                <w:div w:id="131100897">
                  <w:marLeft w:val="0"/>
                  <w:marRight w:val="0"/>
                  <w:marTop w:val="0"/>
                  <w:marBottom w:val="0"/>
                  <w:divBdr>
                    <w:top w:val="none" w:sz="0" w:space="0" w:color="auto"/>
                    <w:left w:val="none" w:sz="0" w:space="0" w:color="auto"/>
                    <w:bottom w:val="none" w:sz="0" w:space="0" w:color="auto"/>
                    <w:right w:val="none" w:sz="0" w:space="0" w:color="auto"/>
                  </w:divBdr>
                  <w:divsChild>
                    <w:div w:id="147019318">
                      <w:marLeft w:val="0"/>
                      <w:marRight w:val="0"/>
                      <w:marTop w:val="0"/>
                      <w:marBottom w:val="0"/>
                      <w:divBdr>
                        <w:top w:val="none" w:sz="0" w:space="0" w:color="auto"/>
                        <w:left w:val="none" w:sz="0" w:space="0" w:color="auto"/>
                        <w:bottom w:val="none" w:sz="0" w:space="0" w:color="auto"/>
                        <w:right w:val="none" w:sz="0" w:space="0" w:color="auto"/>
                      </w:divBdr>
                    </w:div>
                  </w:divsChild>
                </w:div>
                <w:div w:id="147672857">
                  <w:marLeft w:val="0"/>
                  <w:marRight w:val="0"/>
                  <w:marTop w:val="0"/>
                  <w:marBottom w:val="0"/>
                  <w:divBdr>
                    <w:top w:val="none" w:sz="0" w:space="0" w:color="auto"/>
                    <w:left w:val="none" w:sz="0" w:space="0" w:color="auto"/>
                    <w:bottom w:val="none" w:sz="0" w:space="0" w:color="auto"/>
                    <w:right w:val="none" w:sz="0" w:space="0" w:color="auto"/>
                  </w:divBdr>
                  <w:divsChild>
                    <w:div w:id="1674064109">
                      <w:marLeft w:val="0"/>
                      <w:marRight w:val="0"/>
                      <w:marTop w:val="0"/>
                      <w:marBottom w:val="0"/>
                      <w:divBdr>
                        <w:top w:val="none" w:sz="0" w:space="0" w:color="auto"/>
                        <w:left w:val="none" w:sz="0" w:space="0" w:color="auto"/>
                        <w:bottom w:val="none" w:sz="0" w:space="0" w:color="auto"/>
                        <w:right w:val="none" w:sz="0" w:space="0" w:color="auto"/>
                      </w:divBdr>
                    </w:div>
                  </w:divsChild>
                </w:div>
                <w:div w:id="248125548">
                  <w:marLeft w:val="0"/>
                  <w:marRight w:val="0"/>
                  <w:marTop w:val="0"/>
                  <w:marBottom w:val="0"/>
                  <w:divBdr>
                    <w:top w:val="none" w:sz="0" w:space="0" w:color="auto"/>
                    <w:left w:val="none" w:sz="0" w:space="0" w:color="auto"/>
                    <w:bottom w:val="none" w:sz="0" w:space="0" w:color="auto"/>
                    <w:right w:val="none" w:sz="0" w:space="0" w:color="auto"/>
                  </w:divBdr>
                  <w:divsChild>
                    <w:div w:id="123501066">
                      <w:marLeft w:val="0"/>
                      <w:marRight w:val="0"/>
                      <w:marTop w:val="0"/>
                      <w:marBottom w:val="0"/>
                      <w:divBdr>
                        <w:top w:val="none" w:sz="0" w:space="0" w:color="auto"/>
                        <w:left w:val="none" w:sz="0" w:space="0" w:color="auto"/>
                        <w:bottom w:val="none" w:sz="0" w:space="0" w:color="auto"/>
                        <w:right w:val="none" w:sz="0" w:space="0" w:color="auto"/>
                      </w:divBdr>
                    </w:div>
                  </w:divsChild>
                </w:div>
                <w:div w:id="451024126">
                  <w:marLeft w:val="0"/>
                  <w:marRight w:val="0"/>
                  <w:marTop w:val="0"/>
                  <w:marBottom w:val="0"/>
                  <w:divBdr>
                    <w:top w:val="none" w:sz="0" w:space="0" w:color="auto"/>
                    <w:left w:val="none" w:sz="0" w:space="0" w:color="auto"/>
                    <w:bottom w:val="none" w:sz="0" w:space="0" w:color="auto"/>
                    <w:right w:val="none" w:sz="0" w:space="0" w:color="auto"/>
                  </w:divBdr>
                  <w:divsChild>
                    <w:div w:id="436023767">
                      <w:marLeft w:val="0"/>
                      <w:marRight w:val="0"/>
                      <w:marTop w:val="0"/>
                      <w:marBottom w:val="0"/>
                      <w:divBdr>
                        <w:top w:val="none" w:sz="0" w:space="0" w:color="auto"/>
                        <w:left w:val="none" w:sz="0" w:space="0" w:color="auto"/>
                        <w:bottom w:val="none" w:sz="0" w:space="0" w:color="auto"/>
                        <w:right w:val="none" w:sz="0" w:space="0" w:color="auto"/>
                      </w:divBdr>
                    </w:div>
                  </w:divsChild>
                </w:div>
                <w:div w:id="876821437">
                  <w:marLeft w:val="0"/>
                  <w:marRight w:val="0"/>
                  <w:marTop w:val="0"/>
                  <w:marBottom w:val="0"/>
                  <w:divBdr>
                    <w:top w:val="none" w:sz="0" w:space="0" w:color="auto"/>
                    <w:left w:val="none" w:sz="0" w:space="0" w:color="auto"/>
                    <w:bottom w:val="none" w:sz="0" w:space="0" w:color="auto"/>
                    <w:right w:val="none" w:sz="0" w:space="0" w:color="auto"/>
                  </w:divBdr>
                  <w:divsChild>
                    <w:div w:id="1725063750">
                      <w:marLeft w:val="0"/>
                      <w:marRight w:val="0"/>
                      <w:marTop w:val="0"/>
                      <w:marBottom w:val="0"/>
                      <w:divBdr>
                        <w:top w:val="none" w:sz="0" w:space="0" w:color="auto"/>
                        <w:left w:val="none" w:sz="0" w:space="0" w:color="auto"/>
                        <w:bottom w:val="none" w:sz="0" w:space="0" w:color="auto"/>
                        <w:right w:val="none" w:sz="0" w:space="0" w:color="auto"/>
                      </w:divBdr>
                    </w:div>
                  </w:divsChild>
                </w:div>
                <w:div w:id="905457565">
                  <w:marLeft w:val="0"/>
                  <w:marRight w:val="0"/>
                  <w:marTop w:val="0"/>
                  <w:marBottom w:val="0"/>
                  <w:divBdr>
                    <w:top w:val="none" w:sz="0" w:space="0" w:color="auto"/>
                    <w:left w:val="none" w:sz="0" w:space="0" w:color="auto"/>
                    <w:bottom w:val="none" w:sz="0" w:space="0" w:color="auto"/>
                    <w:right w:val="none" w:sz="0" w:space="0" w:color="auto"/>
                  </w:divBdr>
                  <w:divsChild>
                    <w:div w:id="972716195">
                      <w:marLeft w:val="0"/>
                      <w:marRight w:val="0"/>
                      <w:marTop w:val="0"/>
                      <w:marBottom w:val="0"/>
                      <w:divBdr>
                        <w:top w:val="none" w:sz="0" w:space="0" w:color="auto"/>
                        <w:left w:val="none" w:sz="0" w:space="0" w:color="auto"/>
                        <w:bottom w:val="none" w:sz="0" w:space="0" w:color="auto"/>
                        <w:right w:val="none" w:sz="0" w:space="0" w:color="auto"/>
                      </w:divBdr>
                    </w:div>
                  </w:divsChild>
                </w:div>
                <w:div w:id="923761381">
                  <w:marLeft w:val="0"/>
                  <w:marRight w:val="0"/>
                  <w:marTop w:val="0"/>
                  <w:marBottom w:val="0"/>
                  <w:divBdr>
                    <w:top w:val="none" w:sz="0" w:space="0" w:color="auto"/>
                    <w:left w:val="none" w:sz="0" w:space="0" w:color="auto"/>
                    <w:bottom w:val="none" w:sz="0" w:space="0" w:color="auto"/>
                    <w:right w:val="none" w:sz="0" w:space="0" w:color="auto"/>
                  </w:divBdr>
                  <w:divsChild>
                    <w:div w:id="637422635">
                      <w:marLeft w:val="0"/>
                      <w:marRight w:val="0"/>
                      <w:marTop w:val="0"/>
                      <w:marBottom w:val="0"/>
                      <w:divBdr>
                        <w:top w:val="none" w:sz="0" w:space="0" w:color="auto"/>
                        <w:left w:val="none" w:sz="0" w:space="0" w:color="auto"/>
                        <w:bottom w:val="none" w:sz="0" w:space="0" w:color="auto"/>
                        <w:right w:val="none" w:sz="0" w:space="0" w:color="auto"/>
                      </w:divBdr>
                    </w:div>
                  </w:divsChild>
                </w:div>
                <w:div w:id="1051423150">
                  <w:marLeft w:val="0"/>
                  <w:marRight w:val="0"/>
                  <w:marTop w:val="0"/>
                  <w:marBottom w:val="0"/>
                  <w:divBdr>
                    <w:top w:val="none" w:sz="0" w:space="0" w:color="auto"/>
                    <w:left w:val="none" w:sz="0" w:space="0" w:color="auto"/>
                    <w:bottom w:val="none" w:sz="0" w:space="0" w:color="auto"/>
                    <w:right w:val="none" w:sz="0" w:space="0" w:color="auto"/>
                  </w:divBdr>
                  <w:divsChild>
                    <w:div w:id="245580599">
                      <w:marLeft w:val="0"/>
                      <w:marRight w:val="0"/>
                      <w:marTop w:val="0"/>
                      <w:marBottom w:val="0"/>
                      <w:divBdr>
                        <w:top w:val="none" w:sz="0" w:space="0" w:color="auto"/>
                        <w:left w:val="none" w:sz="0" w:space="0" w:color="auto"/>
                        <w:bottom w:val="none" w:sz="0" w:space="0" w:color="auto"/>
                        <w:right w:val="none" w:sz="0" w:space="0" w:color="auto"/>
                      </w:divBdr>
                    </w:div>
                  </w:divsChild>
                </w:div>
                <w:div w:id="1118599486">
                  <w:marLeft w:val="0"/>
                  <w:marRight w:val="0"/>
                  <w:marTop w:val="0"/>
                  <w:marBottom w:val="0"/>
                  <w:divBdr>
                    <w:top w:val="none" w:sz="0" w:space="0" w:color="auto"/>
                    <w:left w:val="none" w:sz="0" w:space="0" w:color="auto"/>
                    <w:bottom w:val="none" w:sz="0" w:space="0" w:color="auto"/>
                    <w:right w:val="none" w:sz="0" w:space="0" w:color="auto"/>
                  </w:divBdr>
                  <w:divsChild>
                    <w:div w:id="1293051329">
                      <w:marLeft w:val="0"/>
                      <w:marRight w:val="0"/>
                      <w:marTop w:val="0"/>
                      <w:marBottom w:val="0"/>
                      <w:divBdr>
                        <w:top w:val="none" w:sz="0" w:space="0" w:color="auto"/>
                        <w:left w:val="none" w:sz="0" w:space="0" w:color="auto"/>
                        <w:bottom w:val="none" w:sz="0" w:space="0" w:color="auto"/>
                        <w:right w:val="none" w:sz="0" w:space="0" w:color="auto"/>
                      </w:divBdr>
                    </w:div>
                  </w:divsChild>
                </w:div>
                <w:div w:id="1231310359">
                  <w:marLeft w:val="0"/>
                  <w:marRight w:val="0"/>
                  <w:marTop w:val="0"/>
                  <w:marBottom w:val="0"/>
                  <w:divBdr>
                    <w:top w:val="none" w:sz="0" w:space="0" w:color="auto"/>
                    <w:left w:val="none" w:sz="0" w:space="0" w:color="auto"/>
                    <w:bottom w:val="none" w:sz="0" w:space="0" w:color="auto"/>
                    <w:right w:val="none" w:sz="0" w:space="0" w:color="auto"/>
                  </w:divBdr>
                  <w:divsChild>
                    <w:div w:id="1504125913">
                      <w:marLeft w:val="0"/>
                      <w:marRight w:val="0"/>
                      <w:marTop w:val="0"/>
                      <w:marBottom w:val="0"/>
                      <w:divBdr>
                        <w:top w:val="none" w:sz="0" w:space="0" w:color="auto"/>
                        <w:left w:val="none" w:sz="0" w:space="0" w:color="auto"/>
                        <w:bottom w:val="none" w:sz="0" w:space="0" w:color="auto"/>
                        <w:right w:val="none" w:sz="0" w:space="0" w:color="auto"/>
                      </w:divBdr>
                    </w:div>
                  </w:divsChild>
                </w:div>
                <w:div w:id="1361514613">
                  <w:marLeft w:val="0"/>
                  <w:marRight w:val="0"/>
                  <w:marTop w:val="0"/>
                  <w:marBottom w:val="0"/>
                  <w:divBdr>
                    <w:top w:val="none" w:sz="0" w:space="0" w:color="auto"/>
                    <w:left w:val="none" w:sz="0" w:space="0" w:color="auto"/>
                    <w:bottom w:val="none" w:sz="0" w:space="0" w:color="auto"/>
                    <w:right w:val="none" w:sz="0" w:space="0" w:color="auto"/>
                  </w:divBdr>
                  <w:divsChild>
                    <w:div w:id="805318284">
                      <w:marLeft w:val="0"/>
                      <w:marRight w:val="0"/>
                      <w:marTop w:val="0"/>
                      <w:marBottom w:val="0"/>
                      <w:divBdr>
                        <w:top w:val="none" w:sz="0" w:space="0" w:color="auto"/>
                        <w:left w:val="none" w:sz="0" w:space="0" w:color="auto"/>
                        <w:bottom w:val="none" w:sz="0" w:space="0" w:color="auto"/>
                        <w:right w:val="none" w:sz="0" w:space="0" w:color="auto"/>
                      </w:divBdr>
                    </w:div>
                  </w:divsChild>
                </w:div>
                <w:div w:id="1441687117">
                  <w:marLeft w:val="0"/>
                  <w:marRight w:val="0"/>
                  <w:marTop w:val="0"/>
                  <w:marBottom w:val="0"/>
                  <w:divBdr>
                    <w:top w:val="none" w:sz="0" w:space="0" w:color="auto"/>
                    <w:left w:val="none" w:sz="0" w:space="0" w:color="auto"/>
                    <w:bottom w:val="none" w:sz="0" w:space="0" w:color="auto"/>
                    <w:right w:val="none" w:sz="0" w:space="0" w:color="auto"/>
                  </w:divBdr>
                  <w:divsChild>
                    <w:div w:id="1875265026">
                      <w:marLeft w:val="0"/>
                      <w:marRight w:val="0"/>
                      <w:marTop w:val="0"/>
                      <w:marBottom w:val="0"/>
                      <w:divBdr>
                        <w:top w:val="none" w:sz="0" w:space="0" w:color="auto"/>
                        <w:left w:val="none" w:sz="0" w:space="0" w:color="auto"/>
                        <w:bottom w:val="none" w:sz="0" w:space="0" w:color="auto"/>
                        <w:right w:val="none" w:sz="0" w:space="0" w:color="auto"/>
                      </w:divBdr>
                    </w:div>
                  </w:divsChild>
                </w:div>
                <w:div w:id="1575974511">
                  <w:marLeft w:val="0"/>
                  <w:marRight w:val="0"/>
                  <w:marTop w:val="0"/>
                  <w:marBottom w:val="0"/>
                  <w:divBdr>
                    <w:top w:val="none" w:sz="0" w:space="0" w:color="auto"/>
                    <w:left w:val="none" w:sz="0" w:space="0" w:color="auto"/>
                    <w:bottom w:val="none" w:sz="0" w:space="0" w:color="auto"/>
                    <w:right w:val="none" w:sz="0" w:space="0" w:color="auto"/>
                  </w:divBdr>
                  <w:divsChild>
                    <w:div w:id="990988596">
                      <w:marLeft w:val="0"/>
                      <w:marRight w:val="0"/>
                      <w:marTop w:val="0"/>
                      <w:marBottom w:val="0"/>
                      <w:divBdr>
                        <w:top w:val="none" w:sz="0" w:space="0" w:color="auto"/>
                        <w:left w:val="none" w:sz="0" w:space="0" w:color="auto"/>
                        <w:bottom w:val="none" w:sz="0" w:space="0" w:color="auto"/>
                        <w:right w:val="none" w:sz="0" w:space="0" w:color="auto"/>
                      </w:divBdr>
                    </w:div>
                  </w:divsChild>
                </w:div>
                <w:div w:id="1679695418">
                  <w:marLeft w:val="0"/>
                  <w:marRight w:val="0"/>
                  <w:marTop w:val="0"/>
                  <w:marBottom w:val="0"/>
                  <w:divBdr>
                    <w:top w:val="none" w:sz="0" w:space="0" w:color="auto"/>
                    <w:left w:val="none" w:sz="0" w:space="0" w:color="auto"/>
                    <w:bottom w:val="none" w:sz="0" w:space="0" w:color="auto"/>
                    <w:right w:val="none" w:sz="0" w:space="0" w:color="auto"/>
                  </w:divBdr>
                  <w:divsChild>
                    <w:div w:id="1583181591">
                      <w:marLeft w:val="0"/>
                      <w:marRight w:val="0"/>
                      <w:marTop w:val="0"/>
                      <w:marBottom w:val="0"/>
                      <w:divBdr>
                        <w:top w:val="none" w:sz="0" w:space="0" w:color="auto"/>
                        <w:left w:val="none" w:sz="0" w:space="0" w:color="auto"/>
                        <w:bottom w:val="none" w:sz="0" w:space="0" w:color="auto"/>
                        <w:right w:val="none" w:sz="0" w:space="0" w:color="auto"/>
                      </w:divBdr>
                    </w:div>
                  </w:divsChild>
                </w:div>
                <w:div w:id="1758864107">
                  <w:marLeft w:val="0"/>
                  <w:marRight w:val="0"/>
                  <w:marTop w:val="0"/>
                  <w:marBottom w:val="0"/>
                  <w:divBdr>
                    <w:top w:val="none" w:sz="0" w:space="0" w:color="auto"/>
                    <w:left w:val="none" w:sz="0" w:space="0" w:color="auto"/>
                    <w:bottom w:val="none" w:sz="0" w:space="0" w:color="auto"/>
                    <w:right w:val="none" w:sz="0" w:space="0" w:color="auto"/>
                  </w:divBdr>
                  <w:divsChild>
                    <w:div w:id="1503159132">
                      <w:marLeft w:val="0"/>
                      <w:marRight w:val="0"/>
                      <w:marTop w:val="0"/>
                      <w:marBottom w:val="0"/>
                      <w:divBdr>
                        <w:top w:val="none" w:sz="0" w:space="0" w:color="auto"/>
                        <w:left w:val="none" w:sz="0" w:space="0" w:color="auto"/>
                        <w:bottom w:val="none" w:sz="0" w:space="0" w:color="auto"/>
                        <w:right w:val="none" w:sz="0" w:space="0" w:color="auto"/>
                      </w:divBdr>
                    </w:div>
                  </w:divsChild>
                </w:div>
                <w:div w:id="1926186938">
                  <w:marLeft w:val="0"/>
                  <w:marRight w:val="0"/>
                  <w:marTop w:val="0"/>
                  <w:marBottom w:val="0"/>
                  <w:divBdr>
                    <w:top w:val="none" w:sz="0" w:space="0" w:color="auto"/>
                    <w:left w:val="none" w:sz="0" w:space="0" w:color="auto"/>
                    <w:bottom w:val="none" w:sz="0" w:space="0" w:color="auto"/>
                    <w:right w:val="none" w:sz="0" w:space="0" w:color="auto"/>
                  </w:divBdr>
                  <w:divsChild>
                    <w:div w:id="304092188">
                      <w:marLeft w:val="0"/>
                      <w:marRight w:val="0"/>
                      <w:marTop w:val="0"/>
                      <w:marBottom w:val="0"/>
                      <w:divBdr>
                        <w:top w:val="none" w:sz="0" w:space="0" w:color="auto"/>
                        <w:left w:val="none" w:sz="0" w:space="0" w:color="auto"/>
                        <w:bottom w:val="none" w:sz="0" w:space="0" w:color="auto"/>
                        <w:right w:val="none" w:sz="0" w:space="0" w:color="auto"/>
                      </w:divBdr>
                    </w:div>
                  </w:divsChild>
                </w:div>
                <w:div w:id="2057074581">
                  <w:marLeft w:val="0"/>
                  <w:marRight w:val="0"/>
                  <w:marTop w:val="0"/>
                  <w:marBottom w:val="0"/>
                  <w:divBdr>
                    <w:top w:val="none" w:sz="0" w:space="0" w:color="auto"/>
                    <w:left w:val="none" w:sz="0" w:space="0" w:color="auto"/>
                    <w:bottom w:val="none" w:sz="0" w:space="0" w:color="auto"/>
                    <w:right w:val="none" w:sz="0" w:space="0" w:color="auto"/>
                  </w:divBdr>
                  <w:divsChild>
                    <w:div w:id="2016492561">
                      <w:marLeft w:val="0"/>
                      <w:marRight w:val="0"/>
                      <w:marTop w:val="0"/>
                      <w:marBottom w:val="0"/>
                      <w:divBdr>
                        <w:top w:val="none" w:sz="0" w:space="0" w:color="auto"/>
                        <w:left w:val="none" w:sz="0" w:space="0" w:color="auto"/>
                        <w:bottom w:val="none" w:sz="0" w:space="0" w:color="auto"/>
                        <w:right w:val="none" w:sz="0" w:space="0" w:color="auto"/>
                      </w:divBdr>
                    </w:div>
                  </w:divsChild>
                </w:div>
                <w:div w:id="2077625370">
                  <w:marLeft w:val="0"/>
                  <w:marRight w:val="0"/>
                  <w:marTop w:val="0"/>
                  <w:marBottom w:val="0"/>
                  <w:divBdr>
                    <w:top w:val="none" w:sz="0" w:space="0" w:color="auto"/>
                    <w:left w:val="none" w:sz="0" w:space="0" w:color="auto"/>
                    <w:bottom w:val="none" w:sz="0" w:space="0" w:color="auto"/>
                    <w:right w:val="none" w:sz="0" w:space="0" w:color="auto"/>
                  </w:divBdr>
                  <w:divsChild>
                    <w:div w:id="11557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588045">
          <w:marLeft w:val="0"/>
          <w:marRight w:val="0"/>
          <w:marTop w:val="0"/>
          <w:marBottom w:val="0"/>
          <w:divBdr>
            <w:top w:val="none" w:sz="0" w:space="0" w:color="auto"/>
            <w:left w:val="none" w:sz="0" w:space="0" w:color="auto"/>
            <w:bottom w:val="none" w:sz="0" w:space="0" w:color="auto"/>
            <w:right w:val="none" w:sz="0" w:space="0" w:color="auto"/>
          </w:divBdr>
          <w:divsChild>
            <w:div w:id="276720657">
              <w:marLeft w:val="0"/>
              <w:marRight w:val="0"/>
              <w:marTop w:val="0"/>
              <w:marBottom w:val="0"/>
              <w:divBdr>
                <w:top w:val="none" w:sz="0" w:space="0" w:color="auto"/>
                <w:left w:val="none" w:sz="0" w:space="0" w:color="auto"/>
                <w:bottom w:val="none" w:sz="0" w:space="0" w:color="auto"/>
                <w:right w:val="none" w:sz="0" w:space="0" w:color="auto"/>
              </w:divBdr>
            </w:div>
            <w:div w:id="977688390">
              <w:marLeft w:val="0"/>
              <w:marRight w:val="0"/>
              <w:marTop w:val="0"/>
              <w:marBottom w:val="0"/>
              <w:divBdr>
                <w:top w:val="none" w:sz="0" w:space="0" w:color="auto"/>
                <w:left w:val="none" w:sz="0" w:space="0" w:color="auto"/>
                <w:bottom w:val="none" w:sz="0" w:space="0" w:color="auto"/>
                <w:right w:val="none" w:sz="0" w:space="0" w:color="auto"/>
              </w:divBdr>
            </w:div>
            <w:div w:id="1617374414">
              <w:marLeft w:val="0"/>
              <w:marRight w:val="0"/>
              <w:marTop w:val="0"/>
              <w:marBottom w:val="0"/>
              <w:divBdr>
                <w:top w:val="none" w:sz="0" w:space="0" w:color="auto"/>
                <w:left w:val="none" w:sz="0" w:space="0" w:color="auto"/>
                <w:bottom w:val="none" w:sz="0" w:space="0" w:color="auto"/>
                <w:right w:val="none" w:sz="0" w:space="0" w:color="auto"/>
              </w:divBdr>
            </w:div>
            <w:div w:id="1983342795">
              <w:marLeft w:val="0"/>
              <w:marRight w:val="0"/>
              <w:marTop w:val="0"/>
              <w:marBottom w:val="0"/>
              <w:divBdr>
                <w:top w:val="none" w:sz="0" w:space="0" w:color="auto"/>
                <w:left w:val="none" w:sz="0" w:space="0" w:color="auto"/>
                <w:bottom w:val="none" w:sz="0" w:space="0" w:color="auto"/>
                <w:right w:val="none" w:sz="0" w:space="0" w:color="auto"/>
              </w:divBdr>
            </w:div>
          </w:divsChild>
        </w:div>
        <w:div w:id="1781729064">
          <w:marLeft w:val="0"/>
          <w:marRight w:val="0"/>
          <w:marTop w:val="0"/>
          <w:marBottom w:val="0"/>
          <w:divBdr>
            <w:top w:val="none" w:sz="0" w:space="0" w:color="auto"/>
            <w:left w:val="none" w:sz="0" w:space="0" w:color="auto"/>
            <w:bottom w:val="none" w:sz="0" w:space="0" w:color="auto"/>
            <w:right w:val="none" w:sz="0" w:space="0" w:color="auto"/>
          </w:divBdr>
        </w:div>
        <w:div w:id="1902136240">
          <w:marLeft w:val="0"/>
          <w:marRight w:val="0"/>
          <w:marTop w:val="0"/>
          <w:marBottom w:val="0"/>
          <w:divBdr>
            <w:top w:val="none" w:sz="0" w:space="0" w:color="auto"/>
            <w:left w:val="none" w:sz="0" w:space="0" w:color="auto"/>
            <w:bottom w:val="none" w:sz="0" w:space="0" w:color="auto"/>
            <w:right w:val="none" w:sz="0" w:space="0" w:color="auto"/>
          </w:divBdr>
          <w:divsChild>
            <w:div w:id="1381633908">
              <w:marLeft w:val="0"/>
              <w:marRight w:val="0"/>
              <w:marTop w:val="0"/>
              <w:marBottom w:val="0"/>
              <w:divBdr>
                <w:top w:val="none" w:sz="0" w:space="0" w:color="auto"/>
                <w:left w:val="none" w:sz="0" w:space="0" w:color="auto"/>
                <w:bottom w:val="none" w:sz="0" w:space="0" w:color="auto"/>
                <w:right w:val="none" w:sz="0" w:space="0" w:color="auto"/>
              </w:divBdr>
            </w:div>
          </w:divsChild>
        </w:div>
        <w:div w:id="1921404278">
          <w:marLeft w:val="0"/>
          <w:marRight w:val="0"/>
          <w:marTop w:val="0"/>
          <w:marBottom w:val="0"/>
          <w:divBdr>
            <w:top w:val="none" w:sz="0" w:space="0" w:color="auto"/>
            <w:left w:val="none" w:sz="0" w:space="0" w:color="auto"/>
            <w:bottom w:val="none" w:sz="0" w:space="0" w:color="auto"/>
            <w:right w:val="none" w:sz="0" w:space="0" w:color="auto"/>
          </w:divBdr>
          <w:divsChild>
            <w:div w:id="1275139670">
              <w:marLeft w:val="0"/>
              <w:marRight w:val="0"/>
              <w:marTop w:val="0"/>
              <w:marBottom w:val="0"/>
              <w:divBdr>
                <w:top w:val="none" w:sz="0" w:space="0" w:color="auto"/>
                <w:left w:val="none" w:sz="0" w:space="0" w:color="auto"/>
                <w:bottom w:val="none" w:sz="0" w:space="0" w:color="auto"/>
                <w:right w:val="none" w:sz="0" w:space="0" w:color="auto"/>
              </w:divBdr>
            </w:div>
          </w:divsChild>
        </w:div>
        <w:div w:id="1959990194">
          <w:marLeft w:val="0"/>
          <w:marRight w:val="0"/>
          <w:marTop w:val="0"/>
          <w:marBottom w:val="0"/>
          <w:divBdr>
            <w:top w:val="none" w:sz="0" w:space="0" w:color="auto"/>
            <w:left w:val="none" w:sz="0" w:space="0" w:color="auto"/>
            <w:bottom w:val="none" w:sz="0" w:space="0" w:color="auto"/>
            <w:right w:val="none" w:sz="0" w:space="0" w:color="auto"/>
          </w:divBdr>
          <w:divsChild>
            <w:div w:id="262612842">
              <w:marLeft w:val="0"/>
              <w:marRight w:val="0"/>
              <w:marTop w:val="0"/>
              <w:marBottom w:val="0"/>
              <w:divBdr>
                <w:top w:val="none" w:sz="0" w:space="0" w:color="auto"/>
                <w:left w:val="none" w:sz="0" w:space="0" w:color="auto"/>
                <w:bottom w:val="none" w:sz="0" w:space="0" w:color="auto"/>
                <w:right w:val="none" w:sz="0" w:space="0" w:color="auto"/>
              </w:divBdr>
            </w:div>
            <w:div w:id="469518353">
              <w:marLeft w:val="0"/>
              <w:marRight w:val="0"/>
              <w:marTop w:val="0"/>
              <w:marBottom w:val="0"/>
              <w:divBdr>
                <w:top w:val="none" w:sz="0" w:space="0" w:color="auto"/>
                <w:left w:val="none" w:sz="0" w:space="0" w:color="auto"/>
                <w:bottom w:val="none" w:sz="0" w:space="0" w:color="auto"/>
                <w:right w:val="none" w:sz="0" w:space="0" w:color="auto"/>
              </w:divBdr>
            </w:div>
            <w:div w:id="1104569961">
              <w:marLeft w:val="0"/>
              <w:marRight w:val="0"/>
              <w:marTop w:val="0"/>
              <w:marBottom w:val="0"/>
              <w:divBdr>
                <w:top w:val="none" w:sz="0" w:space="0" w:color="auto"/>
                <w:left w:val="none" w:sz="0" w:space="0" w:color="auto"/>
                <w:bottom w:val="none" w:sz="0" w:space="0" w:color="auto"/>
                <w:right w:val="none" w:sz="0" w:space="0" w:color="auto"/>
              </w:divBdr>
            </w:div>
            <w:div w:id="1909608456">
              <w:marLeft w:val="0"/>
              <w:marRight w:val="0"/>
              <w:marTop w:val="0"/>
              <w:marBottom w:val="0"/>
              <w:divBdr>
                <w:top w:val="none" w:sz="0" w:space="0" w:color="auto"/>
                <w:left w:val="none" w:sz="0" w:space="0" w:color="auto"/>
                <w:bottom w:val="none" w:sz="0" w:space="0" w:color="auto"/>
                <w:right w:val="none" w:sz="0" w:space="0" w:color="auto"/>
              </w:divBdr>
            </w:div>
          </w:divsChild>
        </w:div>
        <w:div w:id="2075152719">
          <w:marLeft w:val="0"/>
          <w:marRight w:val="0"/>
          <w:marTop w:val="0"/>
          <w:marBottom w:val="0"/>
          <w:divBdr>
            <w:top w:val="none" w:sz="0" w:space="0" w:color="auto"/>
            <w:left w:val="none" w:sz="0" w:space="0" w:color="auto"/>
            <w:bottom w:val="none" w:sz="0" w:space="0" w:color="auto"/>
            <w:right w:val="none" w:sz="0" w:space="0" w:color="auto"/>
          </w:divBdr>
        </w:div>
      </w:divsChild>
    </w:div>
    <w:div w:id="505555690">
      <w:bodyDiv w:val="1"/>
      <w:marLeft w:val="0"/>
      <w:marRight w:val="0"/>
      <w:marTop w:val="0"/>
      <w:marBottom w:val="0"/>
      <w:divBdr>
        <w:top w:val="none" w:sz="0" w:space="0" w:color="auto"/>
        <w:left w:val="none" w:sz="0" w:space="0" w:color="auto"/>
        <w:bottom w:val="none" w:sz="0" w:space="0" w:color="auto"/>
        <w:right w:val="none" w:sz="0" w:space="0" w:color="auto"/>
      </w:divBdr>
    </w:div>
    <w:div w:id="506406299">
      <w:bodyDiv w:val="1"/>
      <w:marLeft w:val="0"/>
      <w:marRight w:val="0"/>
      <w:marTop w:val="0"/>
      <w:marBottom w:val="0"/>
      <w:divBdr>
        <w:top w:val="none" w:sz="0" w:space="0" w:color="auto"/>
        <w:left w:val="none" w:sz="0" w:space="0" w:color="auto"/>
        <w:bottom w:val="none" w:sz="0" w:space="0" w:color="auto"/>
        <w:right w:val="none" w:sz="0" w:space="0" w:color="auto"/>
      </w:divBdr>
      <w:divsChild>
        <w:div w:id="142237922">
          <w:marLeft w:val="0"/>
          <w:marRight w:val="0"/>
          <w:marTop w:val="0"/>
          <w:marBottom w:val="0"/>
          <w:divBdr>
            <w:top w:val="none" w:sz="0" w:space="0" w:color="auto"/>
            <w:left w:val="none" w:sz="0" w:space="0" w:color="auto"/>
            <w:bottom w:val="none" w:sz="0" w:space="0" w:color="auto"/>
            <w:right w:val="none" w:sz="0" w:space="0" w:color="auto"/>
          </w:divBdr>
        </w:div>
        <w:div w:id="508181353">
          <w:marLeft w:val="0"/>
          <w:marRight w:val="0"/>
          <w:marTop w:val="0"/>
          <w:marBottom w:val="0"/>
          <w:divBdr>
            <w:top w:val="none" w:sz="0" w:space="0" w:color="auto"/>
            <w:left w:val="none" w:sz="0" w:space="0" w:color="auto"/>
            <w:bottom w:val="none" w:sz="0" w:space="0" w:color="auto"/>
            <w:right w:val="none" w:sz="0" w:space="0" w:color="auto"/>
          </w:divBdr>
        </w:div>
        <w:div w:id="821316325">
          <w:marLeft w:val="0"/>
          <w:marRight w:val="0"/>
          <w:marTop w:val="0"/>
          <w:marBottom w:val="0"/>
          <w:divBdr>
            <w:top w:val="none" w:sz="0" w:space="0" w:color="auto"/>
            <w:left w:val="none" w:sz="0" w:space="0" w:color="auto"/>
            <w:bottom w:val="none" w:sz="0" w:space="0" w:color="auto"/>
            <w:right w:val="none" w:sz="0" w:space="0" w:color="auto"/>
          </w:divBdr>
        </w:div>
        <w:div w:id="861088117">
          <w:marLeft w:val="0"/>
          <w:marRight w:val="0"/>
          <w:marTop w:val="0"/>
          <w:marBottom w:val="0"/>
          <w:divBdr>
            <w:top w:val="none" w:sz="0" w:space="0" w:color="auto"/>
            <w:left w:val="none" w:sz="0" w:space="0" w:color="auto"/>
            <w:bottom w:val="none" w:sz="0" w:space="0" w:color="auto"/>
            <w:right w:val="none" w:sz="0" w:space="0" w:color="auto"/>
          </w:divBdr>
        </w:div>
        <w:div w:id="1042051116">
          <w:marLeft w:val="0"/>
          <w:marRight w:val="0"/>
          <w:marTop w:val="0"/>
          <w:marBottom w:val="0"/>
          <w:divBdr>
            <w:top w:val="none" w:sz="0" w:space="0" w:color="auto"/>
            <w:left w:val="none" w:sz="0" w:space="0" w:color="auto"/>
            <w:bottom w:val="none" w:sz="0" w:space="0" w:color="auto"/>
            <w:right w:val="none" w:sz="0" w:space="0" w:color="auto"/>
          </w:divBdr>
        </w:div>
        <w:div w:id="1082675276">
          <w:marLeft w:val="0"/>
          <w:marRight w:val="0"/>
          <w:marTop w:val="0"/>
          <w:marBottom w:val="0"/>
          <w:divBdr>
            <w:top w:val="none" w:sz="0" w:space="0" w:color="auto"/>
            <w:left w:val="none" w:sz="0" w:space="0" w:color="auto"/>
            <w:bottom w:val="none" w:sz="0" w:space="0" w:color="auto"/>
            <w:right w:val="none" w:sz="0" w:space="0" w:color="auto"/>
          </w:divBdr>
        </w:div>
        <w:div w:id="1084227659">
          <w:marLeft w:val="0"/>
          <w:marRight w:val="0"/>
          <w:marTop w:val="0"/>
          <w:marBottom w:val="0"/>
          <w:divBdr>
            <w:top w:val="none" w:sz="0" w:space="0" w:color="auto"/>
            <w:left w:val="none" w:sz="0" w:space="0" w:color="auto"/>
            <w:bottom w:val="none" w:sz="0" w:space="0" w:color="auto"/>
            <w:right w:val="none" w:sz="0" w:space="0" w:color="auto"/>
          </w:divBdr>
        </w:div>
        <w:div w:id="1305771229">
          <w:marLeft w:val="0"/>
          <w:marRight w:val="0"/>
          <w:marTop w:val="0"/>
          <w:marBottom w:val="0"/>
          <w:divBdr>
            <w:top w:val="none" w:sz="0" w:space="0" w:color="auto"/>
            <w:left w:val="none" w:sz="0" w:space="0" w:color="auto"/>
            <w:bottom w:val="none" w:sz="0" w:space="0" w:color="auto"/>
            <w:right w:val="none" w:sz="0" w:space="0" w:color="auto"/>
          </w:divBdr>
        </w:div>
        <w:div w:id="1428161857">
          <w:marLeft w:val="0"/>
          <w:marRight w:val="0"/>
          <w:marTop w:val="0"/>
          <w:marBottom w:val="0"/>
          <w:divBdr>
            <w:top w:val="none" w:sz="0" w:space="0" w:color="auto"/>
            <w:left w:val="none" w:sz="0" w:space="0" w:color="auto"/>
            <w:bottom w:val="none" w:sz="0" w:space="0" w:color="auto"/>
            <w:right w:val="none" w:sz="0" w:space="0" w:color="auto"/>
          </w:divBdr>
        </w:div>
        <w:div w:id="1430542313">
          <w:marLeft w:val="0"/>
          <w:marRight w:val="0"/>
          <w:marTop w:val="0"/>
          <w:marBottom w:val="0"/>
          <w:divBdr>
            <w:top w:val="none" w:sz="0" w:space="0" w:color="auto"/>
            <w:left w:val="none" w:sz="0" w:space="0" w:color="auto"/>
            <w:bottom w:val="none" w:sz="0" w:space="0" w:color="auto"/>
            <w:right w:val="none" w:sz="0" w:space="0" w:color="auto"/>
          </w:divBdr>
        </w:div>
        <w:div w:id="1830709497">
          <w:marLeft w:val="0"/>
          <w:marRight w:val="0"/>
          <w:marTop w:val="0"/>
          <w:marBottom w:val="0"/>
          <w:divBdr>
            <w:top w:val="none" w:sz="0" w:space="0" w:color="auto"/>
            <w:left w:val="none" w:sz="0" w:space="0" w:color="auto"/>
            <w:bottom w:val="none" w:sz="0" w:space="0" w:color="auto"/>
            <w:right w:val="none" w:sz="0" w:space="0" w:color="auto"/>
          </w:divBdr>
        </w:div>
        <w:div w:id="1988362722">
          <w:marLeft w:val="0"/>
          <w:marRight w:val="0"/>
          <w:marTop w:val="0"/>
          <w:marBottom w:val="0"/>
          <w:divBdr>
            <w:top w:val="none" w:sz="0" w:space="0" w:color="auto"/>
            <w:left w:val="none" w:sz="0" w:space="0" w:color="auto"/>
            <w:bottom w:val="none" w:sz="0" w:space="0" w:color="auto"/>
            <w:right w:val="none" w:sz="0" w:space="0" w:color="auto"/>
          </w:divBdr>
        </w:div>
        <w:div w:id="2090425983">
          <w:marLeft w:val="0"/>
          <w:marRight w:val="0"/>
          <w:marTop w:val="0"/>
          <w:marBottom w:val="0"/>
          <w:divBdr>
            <w:top w:val="none" w:sz="0" w:space="0" w:color="auto"/>
            <w:left w:val="none" w:sz="0" w:space="0" w:color="auto"/>
            <w:bottom w:val="none" w:sz="0" w:space="0" w:color="auto"/>
            <w:right w:val="none" w:sz="0" w:space="0" w:color="auto"/>
          </w:divBdr>
        </w:div>
      </w:divsChild>
    </w:div>
    <w:div w:id="514422254">
      <w:bodyDiv w:val="1"/>
      <w:marLeft w:val="0"/>
      <w:marRight w:val="0"/>
      <w:marTop w:val="0"/>
      <w:marBottom w:val="0"/>
      <w:divBdr>
        <w:top w:val="none" w:sz="0" w:space="0" w:color="auto"/>
        <w:left w:val="none" w:sz="0" w:space="0" w:color="auto"/>
        <w:bottom w:val="none" w:sz="0" w:space="0" w:color="auto"/>
        <w:right w:val="none" w:sz="0" w:space="0" w:color="auto"/>
      </w:divBdr>
      <w:divsChild>
        <w:div w:id="13657549">
          <w:marLeft w:val="0"/>
          <w:marRight w:val="0"/>
          <w:marTop w:val="0"/>
          <w:marBottom w:val="0"/>
          <w:divBdr>
            <w:top w:val="none" w:sz="0" w:space="0" w:color="auto"/>
            <w:left w:val="none" w:sz="0" w:space="0" w:color="auto"/>
            <w:bottom w:val="none" w:sz="0" w:space="0" w:color="auto"/>
            <w:right w:val="none" w:sz="0" w:space="0" w:color="auto"/>
          </w:divBdr>
          <w:divsChild>
            <w:div w:id="1036388384">
              <w:marLeft w:val="0"/>
              <w:marRight w:val="0"/>
              <w:marTop w:val="0"/>
              <w:marBottom w:val="0"/>
              <w:divBdr>
                <w:top w:val="none" w:sz="0" w:space="0" w:color="auto"/>
                <w:left w:val="none" w:sz="0" w:space="0" w:color="auto"/>
                <w:bottom w:val="none" w:sz="0" w:space="0" w:color="auto"/>
                <w:right w:val="none" w:sz="0" w:space="0" w:color="auto"/>
              </w:divBdr>
            </w:div>
            <w:div w:id="1280645745">
              <w:marLeft w:val="0"/>
              <w:marRight w:val="0"/>
              <w:marTop w:val="0"/>
              <w:marBottom w:val="0"/>
              <w:divBdr>
                <w:top w:val="none" w:sz="0" w:space="0" w:color="auto"/>
                <w:left w:val="none" w:sz="0" w:space="0" w:color="auto"/>
                <w:bottom w:val="none" w:sz="0" w:space="0" w:color="auto"/>
                <w:right w:val="none" w:sz="0" w:space="0" w:color="auto"/>
              </w:divBdr>
            </w:div>
            <w:div w:id="1805463800">
              <w:marLeft w:val="0"/>
              <w:marRight w:val="0"/>
              <w:marTop w:val="0"/>
              <w:marBottom w:val="0"/>
              <w:divBdr>
                <w:top w:val="none" w:sz="0" w:space="0" w:color="auto"/>
                <w:left w:val="none" w:sz="0" w:space="0" w:color="auto"/>
                <w:bottom w:val="none" w:sz="0" w:space="0" w:color="auto"/>
                <w:right w:val="none" w:sz="0" w:space="0" w:color="auto"/>
              </w:divBdr>
            </w:div>
          </w:divsChild>
        </w:div>
        <w:div w:id="258874924">
          <w:marLeft w:val="0"/>
          <w:marRight w:val="0"/>
          <w:marTop w:val="0"/>
          <w:marBottom w:val="0"/>
          <w:divBdr>
            <w:top w:val="none" w:sz="0" w:space="0" w:color="auto"/>
            <w:left w:val="none" w:sz="0" w:space="0" w:color="auto"/>
            <w:bottom w:val="none" w:sz="0" w:space="0" w:color="auto"/>
            <w:right w:val="none" w:sz="0" w:space="0" w:color="auto"/>
          </w:divBdr>
        </w:div>
        <w:div w:id="507184858">
          <w:marLeft w:val="0"/>
          <w:marRight w:val="0"/>
          <w:marTop w:val="0"/>
          <w:marBottom w:val="0"/>
          <w:divBdr>
            <w:top w:val="none" w:sz="0" w:space="0" w:color="auto"/>
            <w:left w:val="none" w:sz="0" w:space="0" w:color="auto"/>
            <w:bottom w:val="none" w:sz="0" w:space="0" w:color="auto"/>
            <w:right w:val="none" w:sz="0" w:space="0" w:color="auto"/>
          </w:divBdr>
        </w:div>
        <w:div w:id="1250846931">
          <w:marLeft w:val="0"/>
          <w:marRight w:val="0"/>
          <w:marTop w:val="0"/>
          <w:marBottom w:val="0"/>
          <w:divBdr>
            <w:top w:val="none" w:sz="0" w:space="0" w:color="auto"/>
            <w:left w:val="none" w:sz="0" w:space="0" w:color="auto"/>
            <w:bottom w:val="none" w:sz="0" w:space="0" w:color="auto"/>
            <w:right w:val="none" w:sz="0" w:space="0" w:color="auto"/>
          </w:divBdr>
        </w:div>
        <w:div w:id="1762264277">
          <w:marLeft w:val="0"/>
          <w:marRight w:val="0"/>
          <w:marTop w:val="0"/>
          <w:marBottom w:val="0"/>
          <w:divBdr>
            <w:top w:val="none" w:sz="0" w:space="0" w:color="auto"/>
            <w:left w:val="none" w:sz="0" w:space="0" w:color="auto"/>
            <w:bottom w:val="none" w:sz="0" w:space="0" w:color="auto"/>
            <w:right w:val="none" w:sz="0" w:space="0" w:color="auto"/>
          </w:divBdr>
        </w:div>
      </w:divsChild>
    </w:div>
    <w:div w:id="522010663">
      <w:bodyDiv w:val="1"/>
      <w:marLeft w:val="0"/>
      <w:marRight w:val="0"/>
      <w:marTop w:val="0"/>
      <w:marBottom w:val="0"/>
      <w:divBdr>
        <w:top w:val="none" w:sz="0" w:space="0" w:color="auto"/>
        <w:left w:val="none" w:sz="0" w:space="0" w:color="auto"/>
        <w:bottom w:val="none" w:sz="0" w:space="0" w:color="auto"/>
        <w:right w:val="none" w:sz="0" w:space="0" w:color="auto"/>
      </w:divBdr>
      <w:divsChild>
        <w:div w:id="489516375">
          <w:marLeft w:val="0"/>
          <w:marRight w:val="0"/>
          <w:marTop w:val="0"/>
          <w:marBottom w:val="0"/>
          <w:divBdr>
            <w:top w:val="none" w:sz="0" w:space="0" w:color="auto"/>
            <w:left w:val="none" w:sz="0" w:space="0" w:color="auto"/>
            <w:bottom w:val="none" w:sz="0" w:space="0" w:color="auto"/>
            <w:right w:val="none" w:sz="0" w:space="0" w:color="auto"/>
          </w:divBdr>
        </w:div>
        <w:div w:id="746879322">
          <w:marLeft w:val="0"/>
          <w:marRight w:val="0"/>
          <w:marTop w:val="0"/>
          <w:marBottom w:val="0"/>
          <w:divBdr>
            <w:top w:val="none" w:sz="0" w:space="0" w:color="auto"/>
            <w:left w:val="none" w:sz="0" w:space="0" w:color="auto"/>
            <w:bottom w:val="none" w:sz="0" w:space="0" w:color="auto"/>
            <w:right w:val="none" w:sz="0" w:space="0" w:color="auto"/>
          </w:divBdr>
        </w:div>
        <w:div w:id="1329944389">
          <w:marLeft w:val="0"/>
          <w:marRight w:val="0"/>
          <w:marTop w:val="0"/>
          <w:marBottom w:val="0"/>
          <w:divBdr>
            <w:top w:val="none" w:sz="0" w:space="0" w:color="auto"/>
            <w:left w:val="none" w:sz="0" w:space="0" w:color="auto"/>
            <w:bottom w:val="none" w:sz="0" w:space="0" w:color="auto"/>
            <w:right w:val="none" w:sz="0" w:space="0" w:color="auto"/>
          </w:divBdr>
        </w:div>
      </w:divsChild>
    </w:div>
    <w:div w:id="528681427">
      <w:bodyDiv w:val="1"/>
      <w:marLeft w:val="0"/>
      <w:marRight w:val="0"/>
      <w:marTop w:val="0"/>
      <w:marBottom w:val="0"/>
      <w:divBdr>
        <w:top w:val="none" w:sz="0" w:space="0" w:color="auto"/>
        <w:left w:val="none" w:sz="0" w:space="0" w:color="auto"/>
        <w:bottom w:val="none" w:sz="0" w:space="0" w:color="auto"/>
        <w:right w:val="none" w:sz="0" w:space="0" w:color="auto"/>
      </w:divBdr>
    </w:div>
    <w:div w:id="542865779">
      <w:bodyDiv w:val="1"/>
      <w:marLeft w:val="0"/>
      <w:marRight w:val="0"/>
      <w:marTop w:val="0"/>
      <w:marBottom w:val="0"/>
      <w:divBdr>
        <w:top w:val="none" w:sz="0" w:space="0" w:color="auto"/>
        <w:left w:val="none" w:sz="0" w:space="0" w:color="auto"/>
        <w:bottom w:val="none" w:sz="0" w:space="0" w:color="auto"/>
        <w:right w:val="none" w:sz="0" w:space="0" w:color="auto"/>
      </w:divBdr>
      <w:divsChild>
        <w:div w:id="18357740">
          <w:marLeft w:val="0"/>
          <w:marRight w:val="0"/>
          <w:marTop w:val="0"/>
          <w:marBottom w:val="0"/>
          <w:divBdr>
            <w:top w:val="none" w:sz="0" w:space="0" w:color="auto"/>
            <w:left w:val="none" w:sz="0" w:space="0" w:color="auto"/>
            <w:bottom w:val="none" w:sz="0" w:space="0" w:color="auto"/>
            <w:right w:val="none" w:sz="0" w:space="0" w:color="auto"/>
          </w:divBdr>
        </w:div>
        <w:div w:id="165823270">
          <w:marLeft w:val="0"/>
          <w:marRight w:val="0"/>
          <w:marTop w:val="0"/>
          <w:marBottom w:val="0"/>
          <w:divBdr>
            <w:top w:val="none" w:sz="0" w:space="0" w:color="auto"/>
            <w:left w:val="none" w:sz="0" w:space="0" w:color="auto"/>
            <w:bottom w:val="none" w:sz="0" w:space="0" w:color="auto"/>
            <w:right w:val="none" w:sz="0" w:space="0" w:color="auto"/>
          </w:divBdr>
          <w:divsChild>
            <w:div w:id="539242663">
              <w:marLeft w:val="-75"/>
              <w:marRight w:val="0"/>
              <w:marTop w:val="30"/>
              <w:marBottom w:val="30"/>
              <w:divBdr>
                <w:top w:val="none" w:sz="0" w:space="0" w:color="auto"/>
                <w:left w:val="none" w:sz="0" w:space="0" w:color="auto"/>
                <w:bottom w:val="none" w:sz="0" w:space="0" w:color="auto"/>
                <w:right w:val="none" w:sz="0" w:space="0" w:color="auto"/>
              </w:divBdr>
              <w:divsChild>
                <w:div w:id="24599793">
                  <w:marLeft w:val="0"/>
                  <w:marRight w:val="0"/>
                  <w:marTop w:val="0"/>
                  <w:marBottom w:val="0"/>
                  <w:divBdr>
                    <w:top w:val="none" w:sz="0" w:space="0" w:color="auto"/>
                    <w:left w:val="none" w:sz="0" w:space="0" w:color="auto"/>
                    <w:bottom w:val="none" w:sz="0" w:space="0" w:color="auto"/>
                    <w:right w:val="none" w:sz="0" w:space="0" w:color="auto"/>
                  </w:divBdr>
                  <w:divsChild>
                    <w:div w:id="1339230405">
                      <w:marLeft w:val="0"/>
                      <w:marRight w:val="0"/>
                      <w:marTop w:val="0"/>
                      <w:marBottom w:val="0"/>
                      <w:divBdr>
                        <w:top w:val="none" w:sz="0" w:space="0" w:color="auto"/>
                        <w:left w:val="none" w:sz="0" w:space="0" w:color="auto"/>
                        <w:bottom w:val="none" w:sz="0" w:space="0" w:color="auto"/>
                        <w:right w:val="none" w:sz="0" w:space="0" w:color="auto"/>
                      </w:divBdr>
                    </w:div>
                  </w:divsChild>
                </w:div>
                <w:div w:id="29188745">
                  <w:marLeft w:val="0"/>
                  <w:marRight w:val="0"/>
                  <w:marTop w:val="0"/>
                  <w:marBottom w:val="0"/>
                  <w:divBdr>
                    <w:top w:val="none" w:sz="0" w:space="0" w:color="auto"/>
                    <w:left w:val="none" w:sz="0" w:space="0" w:color="auto"/>
                    <w:bottom w:val="none" w:sz="0" w:space="0" w:color="auto"/>
                    <w:right w:val="none" w:sz="0" w:space="0" w:color="auto"/>
                  </w:divBdr>
                  <w:divsChild>
                    <w:div w:id="1420100375">
                      <w:marLeft w:val="0"/>
                      <w:marRight w:val="0"/>
                      <w:marTop w:val="0"/>
                      <w:marBottom w:val="0"/>
                      <w:divBdr>
                        <w:top w:val="none" w:sz="0" w:space="0" w:color="auto"/>
                        <w:left w:val="none" w:sz="0" w:space="0" w:color="auto"/>
                        <w:bottom w:val="none" w:sz="0" w:space="0" w:color="auto"/>
                        <w:right w:val="none" w:sz="0" w:space="0" w:color="auto"/>
                      </w:divBdr>
                    </w:div>
                  </w:divsChild>
                </w:div>
                <w:div w:id="30569694">
                  <w:marLeft w:val="0"/>
                  <w:marRight w:val="0"/>
                  <w:marTop w:val="0"/>
                  <w:marBottom w:val="0"/>
                  <w:divBdr>
                    <w:top w:val="none" w:sz="0" w:space="0" w:color="auto"/>
                    <w:left w:val="none" w:sz="0" w:space="0" w:color="auto"/>
                    <w:bottom w:val="none" w:sz="0" w:space="0" w:color="auto"/>
                    <w:right w:val="none" w:sz="0" w:space="0" w:color="auto"/>
                  </w:divBdr>
                  <w:divsChild>
                    <w:div w:id="1998222467">
                      <w:marLeft w:val="0"/>
                      <w:marRight w:val="0"/>
                      <w:marTop w:val="0"/>
                      <w:marBottom w:val="0"/>
                      <w:divBdr>
                        <w:top w:val="none" w:sz="0" w:space="0" w:color="auto"/>
                        <w:left w:val="none" w:sz="0" w:space="0" w:color="auto"/>
                        <w:bottom w:val="none" w:sz="0" w:space="0" w:color="auto"/>
                        <w:right w:val="none" w:sz="0" w:space="0" w:color="auto"/>
                      </w:divBdr>
                    </w:div>
                  </w:divsChild>
                </w:div>
                <w:div w:id="37631262">
                  <w:marLeft w:val="0"/>
                  <w:marRight w:val="0"/>
                  <w:marTop w:val="0"/>
                  <w:marBottom w:val="0"/>
                  <w:divBdr>
                    <w:top w:val="none" w:sz="0" w:space="0" w:color="auto"/>
                    <w:left w:val="none" w:sz="0" w:space="0" w:color="auto"/>
                    <w:bottom w:val="none" w:sz="0" w:space="0" w:color="auto"/>
                    <w:right w:val="none" w:sz="0" w:space="0" w:color="auto"/>
                  </w:divBdr>
                  <w:divsChild>
                    <w:div w:id="2077193531">
                      <w:marLeft w:val="0"/>
                      <w:marRight w:val="0"/>
                      <w:marTop w:val="0"/>
                      <w:marBottom w:val="0"/>
                      <w:divBdr>
                        <w:top w:val="none" w:sz="0" w:space="0" w:color="auto"/>
                        <w:left w:val="none" w:sz="0" w:space="0" w:color="auto"/>
                        <w:bottom w:val="none" w:sz="0" w:space="0" w:color="auto"/>
                        <w:right w:val="none" w:sz="0" w:space="0" w:color="auto"/>
                      </w:divBdr>
                    </w:div>
                  </w:divsChild>
                </w:div>
                <w:div w:id="70124598">
                  <w:marLeft w:val="0"/>
                  <w:marRight w:val="0"/>
                  <w:marTop w:val="0"/>
                  <w:marBottom w:val="0"/>
                  <w:divBdr>
                    <w:top w:val="none" w:sz="0" w:space="0" w:color="auto"/>
                    <w:left w:val="none" w:sz="0" w:space="0" w:color="auto"/>
                    <w:bottom w:val="none" w:sz="0" w:space="0" w:color="auto"/>
                    <w:right w:val="none" w:sz="0" w:space="0" w:color="auto"/>
                  </w:divBdr>
                  <w:divsChild>
                    <w:div w:id="804657784">
                      <w:marLeft w:val="0"/>
                      <w:marRight w:val="0"/>
                      <w:marTop w:val="0"/>
                      <w:marBottom w:val="0"/>
                      <w:divBdr>
                        <w:top w:val="none" w:sz="0" w:space="0" w:color="auto"/>
                        <w:left w:val="none" w:sz="0" w:space="0" w:color="auto"/>
                        <w:bottom w:val="none" w:sz="0" w:space="0" w:color="auto"/>
                        <w:right w:val="none" w:sz="0" w:space="0" w:color="auto"/>
                      </w:divBdr>
                    </w:div>
                  </w:divsChild>
                </w:div>
                <w:div w:id="77101092">
                  <w:marLeft w:val="0"/>
                  <w:marRight w:val="0"/>
                  <w:marTop w:val="0"/>
                  <w:marBottom w:val="0"/>
                  <w:divBdr>
                    <w:top w:val="none" w:sz="0" w:space="0" w:color="auto"/>
                    <w:left w:val="none" w:sz="0" w:space="0" w:color="auto"/>
                    <w:bottom w:val="none" w:sz="0" w:space="0" w:color="auto"/>
                    <w:right w:val="none" w:sz="0" w:space="0" w:color="auto"/>
                  </w:divBdr>
                  <w:divsChild>
                    <w:div w:id="398988890">
                      <w:marLeft w:val="0"/>
                      <w:marRight w:val="0"/>
                      <w:marTop w:val="0"/>
                      <w:marBottom w:val="0"/>
                      <w:divBdr>
                        <w:top w:val="none" w:sz="0" w:space="0" w:color="auto"/>
                        <w:left w:val="none" w:sz="0" w:space="0" w:color="auto"/>
                        <w:bottom w:val="none" w:sz="0" w:space="0" w:color="auto"/>
                        <w:right w:val="none" w:sz="0" w:space="0" w:color="auto"/>
                      </w:divBdr>
                    </w:div>
                  </w:divsChild>
                </w:div>
                <w:div w:id="78910176">
                  <w:marLeft w:val="0"/>
                  <w:marRight w:val="0"/>
                  <w:marTop w:val="0"/>
                  <w:marBottom w:val="0"/>
                  <w:divBdr>
                    <w:top w:val="none" w:sz="0" w:space="0" w:color="auto"/>
                    <w:left w:val="none" w:sz="0" w:space="0" w:color="auto"/>
                    <w:bottom w:val="none" w:sz="0" w:space="0" w:color="auto"/>
                    <w:right w:val="none" w:sz="0" w:space="0" w:color="auto"/>
                  </w:divBdr>
                  <w:divsChild>
                    <w:div w:id="603151483">
                      <w:marLeft w:val="0"/>
                      <w:marRight w:val="0"/>
                      <w:marTop w:val="0"/>
                      <w:marBottom w:val="0"/>
                      <w:divBdr>
                        <w:top w:val="none" w:sz="0" w:space="0" w:color="auto"/>
                        <w:left w:val="none" w:sz="0" w:space="0" w:color="auto"/>
                        <w:bottom w:val="none" w:sz="0" w:space="0" w:color="auto"/>
                        <w:right w:val="none" w:sz="0" w:space="0" w:color="auto"/>
                      </w:divBdr>
                    </w:div>
                  </w:divsChild>
                </w:div>
                <w:div w:id="90860352">
                  <w:marLeft w:val="0"/>
                  <w:marRight w:val="0"/>
                  <w:marTop w:val="0"/>
                  <w:marBottom w:val="0"/>
                  <w:divBdr>
                    <w:top w:val="none" w:sz="0" w:space="0" w:color="auto"/>
                    <w:left w:val="none" w:sz="0" w:space="0" w:color="auto"/>
                    <w:bottom w:val="none" w:sz="0" w:space="0" w:color="auto"/>
                    <w:right w:val="none" w:sz="0" w:space="0" w:color="auto"/>
                  </w:divBdr>
                  <w:divsChild>
                    <w:div w:id="91361848">
                      <w:marLeft w:val="0"/>
                      <w:marRight w:val="0"/>
                      <w:marTop w:val="0"/>
                      <w:marBottom w:val="0"/>
                      <w:divBdr>
                        <w:top w:val="none" w:sz="0" w:space="0" w:color="auto"/>
                        <w:left w:val="none" w:sz="0" w:space="0" w:color="auto"/>
                        <w:bottom w:val="none" w:sz="0" w:space="0" w:color="auto"/>
                        <w:right w:val="none" w:sz="0" w:space="0" w:color="auto"/>
                      </w:divBdr>
                    </w:div>
                  </w:divsChild>
                </w:div>
                <w:div w:id="102117468">
                  <w:marLeft w:val="0"/>
                  <w:marRight w:val="0"/>
                  <w:marTop w:val="0"/>
                  <w:marBottom w:val="0"/>
                  <w:divBdr>
                    <w:top w:val="none" w:sz="0" w:space="0" w:color="auto"/>
                    <w:left w:val="none" w:sz="0" w:space="0" w:color="auto"/>
                    <w:bottom w:val="none" w:sz="0" w:space="0" w:color="auto"/>
                    <w:right w:val="none" w:sz="0" w:space="0" w:color="auto"/>
                  </w:divBdr>
                  <w:divsChild>
                    <w:div w:id="2106411827">
                      <w:marLeft w:val="0"/>
                      <w:marRight w:val="0"/>
                      <w:marTop w:val="0"/>
                      <w:marBottom w:val="0"/>
                      <w:divBdr>
                        <w:top w:val="none" w:sz="0" w:space="0" w:color="auto"/>
                        <w:left w:val="none" w:sz="0" w:space="0" w:color="auto"/>
                        <w:bottom w:val="none" w:sz="0" w:space="0" w:color="auto"/>
                        <w:right w:val="none" w:sz="0" w:space="0" w:color="auto"/>
                      </w:divBdr>
                    </w:div>
                  </w:divsChild>
                </w:div>
                <w:div w:id="105274014">
                  <w:marLeft w:val="0"/>
                  <w:marRight w:val="0"/>
                  <w:marTop w:val="0"/>
                  <w:marBottom w:val="0"/>
                  <w:divBdr>
                    <w:top w:val="none" w:sz="0" w:space="0" w:color="auto"/>
                    <w:left w:val="none" w:sz="0" w:space="0" w:color="auto"/>
                    <w:bottom w:val="none" w:sz="0" w:space="0" w:color="auto"/>
                    <w:right w:val="none" w:sz="0" w:space="0" w:color="auto"/>
                  </w:divBdr>
                  <w:divsChild>
                    <w:div w:id="1524323771">
                      <w:marLeft w:val="0"/>
                      <w:marRight w:val="0"/>
                      <w:marTop w:val="0"/>
                      <w:marBottom w:val="0"/>
                      <w:divBdr>
                        <w:top w:val="none" w:sz="0" w:space="0" w:color="auto"/>
                        <w:left w:val="none" w:sz="0" w:space="0" w:color="auto"/>
                        <w:bottom w:val="none" w:sz="0" w:space="0" w:color="auto"/>
                        <w:right w:val="none" w:sz="0" w:space="0" w:color="auto"/>
                      </w:divBdr>
                    </w:div>
                  </w:divsChild>
                </w:div>
                <w:div w:id="105925798">
                  <w:marLeft w:val="0"/>
                  <w:marRight w:val="0"/>
                  <w:marTop w:val="0"/>
                  <w:marBottom w:val="0"/>
                  <w:divBdr>
                    <w:top w:val="none" w:sz="0" w:space="0" w:color="auto"/>
                    <w:left w:val="none" w:sz="0" w:space="0" w:color="auto"/>
                    <w:bottom w:val="none" w:sz="0" w:space="0" w:color="auto"/>
                    <w:right w:val="none" w:sz="0" w:space="0" w:color="auto"/>
                  </w:divBdr>
                  <w:divsChild>
                    <w:div w:id="1032609992">
                      <w:marLeft w:val="0"/>
                      <w:marRight w:val="0"/>
                      <w:marTop w:val="0"/>
                      <w:marBottom w:val="0"/>
                      <w:divBdr>
                        <w:top w:val="none" w:sz="0" w:space="0" w:color="auto"/>
                        <w:left w:val="none" w:sz="0" w:space="0" w:color="auto"/>
                        <w:bottom w:val="none" w:sz="0" w:space="0" w:color="auto"/>
                        <w:right w:val="none" w:sz="0" w:space="0" w:color="auto"/>
                      </w:divBdr>
                    </w:div>
                  </w:divsChild>
                </w:div>
                <w:div w:id="113138187">
                  <w:marLeft w:val="0"/>
                  <w:marRight w:val="0"/>
                  <w:marTop w:val="0"/>
                  <w:marBottom w:val="0"/>
                  <w:divBdr>
                    <w:top w:val="none" w:sz="0" w:space="0" w:color="auto"/>
                    <w:left w:val="none" w:sz="0" w:space="0" w:color="auto"/>
                    <w:bottom w:val="none" w:sz="0" w:space="0" w:color="auto"/>
                    <w:right w:val="none" w:sz="0" w:space="0" w:color="auto"/>
                  </w:divBdr>
                  <w:divsChild>
                    <w:div w:id="377358493">
                      <w:marLeft w:val="0"/>
                      <w:marRight w:val="0"/>
                      <w:marTop w:val="0"/>
                      <w:marBottom w:val="0"/>
                      <w:divBdr>
                        <w:top w:val="none" w:sz="0" w:space="0" w:color="auto"/>
                        <w:left w:val="none" w:sz="0" w:space="0" w:color="auto"/>
                        <w:bottom w:val="none" w:sz="0" w:space="0" w:color="auto"/>
                        <w:right w:val="none" w:sz="0" w:space="0" w:color="auto"/>
                      </w:divBdr>
                    </w:div>
                  </w:divsChild>
                </w:div>
                <w:div w:id="141849449">
                  <w:marLeft w:val="0"/>
                  <w:marRight w:val="0"/>
                  <w:marTop w:val="0"/>
                  <w:marBottom w:val="0"/>
                  <w:divBdr>
                    <w:top w:val="none" w:sz="0" w:space="0" w:color="auto"/>
                    <w:left w:val="none" w:sz="0" w:space="0" w:color="auto"/>
                    <w:bottom w:val="none" w:sz="0" w:space="0" w:color="auto"/>
                    <w:right w:val="none" w:sz="0" w:space="0" w:color="auto"/>
                  </w:divBdr>
                  <w:divsChild>
                    <w:div w:id="1720131500">
                      <w:marLeft w:val="0"/>
                      <w:marRight w:val="0"/>
                      <w:marTop w:val="0"/>
                      <w:marBottom w:val="0"/>
                      <w:divBdr>
                        <w:top w:val="none" w:sz="0" w:space="0" w:color="auto"/>
                        <w:left w:val="none" w:sz="0" w:space="0" w:color="auto"/>
                        <w:bottom w:val="none" w:sz="0" w:space="0" w:color="auto"/>
                        <w:right w:val="none" w:sz="0" w:space="0" w:color="auto"/>
                      </w:divBdr>
                    </w:div>
                  </w:divsChild>
                </w:div>
                <w:div w:id="151914475">
                  <w:marLeft w:val="0"/>
                  <w:marRight w:val="0"/>
                  <w:marTop w:val="0"/>
                  <w:marBottom w:val="0"/>
                  <w:divBdr>
                    <w:top w:val="none" w:sz="0" w:space="0" w:color="auto"/>
                    <w:left w:val="none" w:sz="0" w:space="0" w:color="auto"/>
                    <w:bottom w:val="none" w:sz="0" w:space="0" w:color="auto"/>
                    <w:right w:val="none" w:sz="0" w:space="0" w:color="auto"/>
                  </w:divBdr>
                  <w:divsChild>
                    <w:div w:id="913005575">
                      <w:marLeft w:val="0"/>
                      <w:marRight w:val="0"/>
                      <w:marTop w:val="0"/>
                      <w:marBottom w:val="0"/>
                      <w:divBdr>
                        <w:top w:val="none" w:sz="0" w:space="0" w:color="auto"/>
                        <w:left w:val="none" w:sz="0" w:space="0" w:color="auto"/>
                        <w:bottom w:val="none" w:sz="0" w:space="0" w:color="auto"/>
                        <w:right w:val="none" w:sz="0" w:space="0" w:color="auto"/>
                      </w:divBdr>
                    </w:div>
                  </w:divsChild>
                </w:div>
                <w:div w:id="158423303">
                  <w:marLeft w:val="0"/>
                  <w:marRight w:val="0"/>
                  <w:marTop w:val="0"/>
                  <w:marBottom w:val="0"/>
                  <w:divBdr>
                    <w:top w:val="none" w:sz="0" w:space="0" w:color="auto"/>
                    <w:left w:val="none" w:sz="0" w:space="0" w:color="auto"/>
                    <w:bottom w:val="none" w:sz="0" w:space="0" w:color="auto"/>
                    <w:right w:val="none" w:sz="0" w:space="0" w:color="auto"/>
                  </w:divBdr>
                  <w:divsChild>
                    <w:div w:id="584655631">
                      <w:marLeft w:val="0"/>
                      <w:marRight w:val="0"/>
                      <w:marTop w:val="0"/>
                      <w:marBottom w:val="0"/>
                      <w:divBdr>
                        <w:top w:val="none" w:sz="0" w:space="0" w:color="auto"/>
                        <w:left w:val="none" w:sz="0" w:space="0" w:color="auto"/>
                        <w:bottom w:val="none" w:sz="0" w:space="0" w:color="auto"/>
                        <w:right w:val="none" w:sz="0" w:space="0" w:color="auto"/>
                      </w:divBdr>
                    </w:div>
                  </w:divsChild>
                </w:div>
                <w:div w:id="170880684">
                  <w:marLeft w:val="0"/>
                  <w:marRight w:val="0"/>
                  <w:marTop w:val="0"/>
                  <w:marBottom w:val="0"/>
                  <w:divBdr>
                    <w:top w:val="none" w:sz="0" w:space="0" w:color="auto"/>
                    <w:left w:val="none" w:sz="0" w:space="0" w:color="auto"/>
                    <w:bottom w:val="none" w:sz="0" w:space="0" w:color="auto"/>
                    <w:right w:val="none" w:sz="0" w:space="0" w:color="auto"/>
                  </w:divBdr>
                  <w:divsChild>
                    <w:div w:id="615017426">
                      <w:marLeft w:val="0"/>
                      <w:marRight w:val="0"/>
                      <w:marTop w:val="0"/>
                      <w:marBottom w:val="0"/>
                      <w:divBdr>
                        <w:top w:val="none" w:sz="0" w:space="0" w:color="auto"/>
                        <w:left w:val="none" w:sz="0" w:space="0" w:color="auto"/>
                        <w:bottom w:val="none" w:sz="0" w:space="0" w:color="auto"/>
                        <w:right w:val="none" w:sz="0" w:space="0" w:color="auto"/>
                      </w:divBdr>
                    </w:div>
                  </w:divsChild>
                </w:div>
                <w:div w:id="172187333">
                  <w:marLeft w:val="0"/>
                  <w:marRight w:val="0"/>
                  <w:marTop w:val="0"/>
                  <w:marBottom w:val="0"/>
                  <w:divBdr>
                    <w:top w:val="none" w:sz="0" w:space="0" w:color="auto"/>
                    <w:left w:val="none" w:sz="0" w:space="0" w:color="auto"/>
                    <w:bottom w:val="none" w:sz="0" w:space="0" w:color="auto"/>
                    <w:right w:val="none" w:sz="0" w:space="0" w:color="auto"/>
                  </w:divBdr>
                  <w:divsChild>
                    <w:div w:id="2060395853">
                      <w:marLeft w:val="0"/>
                      <w:marRight w:val="0"/>
                      <w:marTop w:val="0"/>
                      <w:marBottom w:val="0"/>
                      <w:divBdr>
                        <w:top w:val="none" w:sz="0" w:space="0" w:color="auto"/>
                        <w:left w:val="none" w:sz="0" w:space="0" w:color="auto"/>
                        <w:bottom w:val="none" w:sz="0" w:space="0" w:color="auto"/>
                        <w:right w:val="none" w:sz="0" w:space="0" w:color="auto"/>
                      </w:divBdr>
                    </w:div>
                  </w:divsChild>
                </w:div>
                <w:div w:id="174854891">
                  <w:marLeft w:val="0"/>
                  <w:marRight w:val="0"/>
                  <w:marTop w:val="0"/>
                  <w:marBottom w:val="0"/>
                  <w:divBdr>
                    <w:top w:val="none" w:sz="0" w:space="0" w:color="auto"/>
                    <w:left w:val="none" w:sz="0" w:space="0" w:color="auto"/>
                    <w:bottom w:val="none" w:sz="0" w:space="0" w:color="auto"/>
                    <w:right w:val="none" w:sz="0" w:space="0" w:color="auto"/>
                  </w:divBdr>
                  <w:divsChild>
                    <w:div w:id="587691250">
                      <w:marLeft w:val="0"/>
                      <w:marRight w:val="0"/>
                      <w:marTop w:val="0"/>
                      <w:marBottom w:val="0"/>
                      <w:divBdr>
                        <w:top w:val="none" w:sz="0" w:space="0" w:color="auto"/>
                        <w:left w:val="none" w:sz="0" w:space="0" w:color="auto"/>
                        <w:bottom w:val="none" w:sz="0" w:space="0" w:color="auto"/>
                        <w:right w:val="none" w:sz="0" w:space="0" w:color="auto"/>
                      </w:divBdr>
                    </w:div>
                  </w:divsChild>
                </w:div>
                <w:div w:id="206262734">
                  <w:marLeft w:val="0"/>
                  <w:marRight w:val="0"/>
                  <w:marTop w:val="0"/>
                  <w:marBottom w:val="0"/>
                  <w:divBdr>
                    <w:top w:val="none" w:sz="0" w:space="0" w:color="auto"/>
                    <w:left w:val="none" w:sz="0" w:space="0" w:color="auto"/>
                    <w:bottom w:val="none" w:sz="0" w:space="0" w:color="auto"/>
                    <w:right w:val="none" w:sz="0" w:space="0" w:color="auto"/>
                  </w:divBdr>
                  <w:divsChild>
                    <w:div w:id="57170110">
                      <w:marLeft w:val="0"/>
                      <w:marRight w:val="0"/>
                      <w:marTop w:val="0"/>
                      <w:marBottom w:val="0"/>
                      <w:divBdr>
                        <w:top w:val="none" w:sz="0" w:space="0" w:color="auto"/>
                        <w:left w:val="none" w:sz="0" w:space="0" w:color="auto"/>
                        <w:bottom w:val="none" w:sz="0" w:space="0" w:color="auto"/>
                        <w:right w:val="none" w:sz="0" w:space="0" w:color="auto"/>
                      </w:divBdr>
                    </w:div>
                  </w:divsChild>
                </w:div>
                <w:div w:id="209266826">
                  <w:marLeft w:val="0"/>
                  <w:marRight w:val="0"/>
                  <w:marTop w:val="0"/>
                  <w:marBottom w:val="0"/>
                  <w:divBdr>
                    <w:top w:val="none" w:sz="0" w:space="0" w:color="auto"/>
                    <w:left w:val="none" w:sz="0" w:space="0" w:color="auto"/>
                    <w:bottom w:val="none" w:sz="0" w:space="0" w:color="auto"/>
                    <w:right w:val="none" w:sz="0" w:space="0" w:color="auto"/>
                  </w:divBdr>
                  <w:divsChild>
                    <w:div w:id="686174442">
                      <w:marLeft w:val="0"/>
                      <w:marRight w:val="0"/>
                      <w:marTop w:val="0"/>
                      <w:marBottom w:val="0"/>
                      <w:divBdr>
                        <w:top w:val="none" w:sz="0" w:space="0" w:color="auto"/>
                        <w:left w:val="none" w:sz="0" w:space="0" w:color="auto"/>
                        <w:bottom w:val="none" w:sz="0" w:space="0" w:color="auto"/>
                        <w:right w:val="none" w:sz="0" w:space="0" w:color="auto"/>
                      </w:divBdr>
                    </w:div>
                  </w:divsChild>
                </w:div>
                <w:div w:id="226964393">
                  <w:marLeft w:val="0"/>
                  <w:marRight w:val="0"/>
                  <w:marTop w:val="0"/>
                  <w:marBottom w:val="0"/>
                  <w:divBdr>
                    <w:top w:val="none" w:sz="0" w:space="0" w:color="auto"/>
                    <w:left w:val="none" w:sz="0" w:space="0" w:color="auto"/>
                    <w:bottom w:val="none" w:sz="0" w:space="0" w:color="auto"/>
                    <w:right w:val="none" w:sz="0" w:space="0" w:color="auto"/>
                  </w:divBdr>
                  <w:divsChild>
                    <w:div w:id="353652628">
                      <w:marLeft w:val="0"/>
                      <w:marRight w:val="0"/>
                      <w:marTop w:val="0"/>
                      <w:marBottom w:val="0"/>
                      <w:divBdr>
                        <w:top w:val="none" w:sz="0" w:space="0" w:color="auto"/>
                        <w:left w:val="none" w:sz="0" w:space="0" w:color="auto"/>
                        <w:bottom w:val="none" w:sz="0" w:space="0" w:color="auto"/>
                        <w:right w:val="none" w:sz="0" w:space="0" w:color="auto"/>
                      </w:divBdr>
                    </w:div>
                  </w:divsChild>
                </w:div>
                <w:div w:id="240993001">
                  <w:marLeft w:val="0"/>
                  <w:marRight w:val="0"/>
                  <w:marTop w:val="0"/>
                  <w:marBottom w:val="0"/>
                  <w:divBdr>
                    <w:top w:val="none" w:sz="0" w:space="0" w:color="auto"/>
                    <w:left w:val="none" w:sz="0" w:space="0" w:color="auto"/>
                    <w:bottom w:val="none" w:sz="0" w:space="0" w:color="auto"/>
                    <w:right w:val="none" w:sz="0" w:space="0" w:color="auto"/>
                  </w:divBdr>
                  <w:divsChild>
                    <w:div w:id="599071960">
                      <w:marLeft w:val="0"/>
                      <w:marRight w:val="0"/>
                      <w:marTop w:val="0"/>
                      <w:marBottom w:val="0"/>
                      <w:divBdr>
                        <w:top w:val="none" w:sz="0" w:space="0" w:color="auto"/>
                        <w:left w:val="none" w:sz="0" w:space="0" w:color="auto"/>
                        <w:bottom w:val="none" w:sz="0" w:space="0" w:color="auto"/>
                        <w:right w:val="none" w:sz="0" w:space="0" w:color="auto"/>
                      </w:divBdr>
                    </w:div>
                  </w:divsChild>
                </w:div>
                <w:div w:id="264311219">
                  <w:marLeft w:val="0"/>
                  <w:marRight w:val="0"/>
                  <w:marTop w:val="0"/>
                  <w:marBottom w:val="0"/>
                  <w:divBdr>
                    <w:top w:val="none" w:sz="0" w:space="0" w:color="auto"/>
                    <w:left w:val="none" w:sz="0" w:space="0" w:color="auto"/>
                    <w:bottom w:val="none" w:sz="0" w:space="0" w:color="auto"/>
                    <w:right w:val="none" w:sz="0" w:space="0" w:color="auto"/>
                  </w:divBdr>
                  <w:divsChild>
                    <w:div w:id="1520848895">
                      <w:marLeft w:val="0"/>
                      <w:marRight w:val="0"/>
                      <w:marTop w:val="0"/>
                      <w:marBottom w:val="0"/>
                      <w:divBdr>
                        <w:top w:val="none" w:sz="0" w:space="0" w:color="auto"/>
                        <w:left w:val="none" w:sz="0" w:space="0" w:color="auto"/>
                        <w:bottom w:val="none" w:sz="0" w:space="0" w:color="auto"/>
                        <w:right w:val="none" w:sz="0" w:space="0" w:color="auto"/>
                      </w:divBdr>
                    </w:div>
                  </w:divsChild>
                </w:div>
                <w:div w:id="283316888">
                  <w:marLeft w:val="0"/>
                  <w:marRight w:val="0"/>
                  <w:marTop w:val="0"/>
                  <w:marBottom w:val="0"/>
                  <w:divBdr>
                    <w:top w:val="none" w:sz="0" w:space="0" w:color="auto"/>
                    <w:left w:val="none" w:sz="0" w:space="0" w:color="auto"/>
                    <w:bottom w:val="none" w:sz="0" w:space="0" w:color="auto"/>
                    <w:right w:val="none" w:sz="0" w:space="0" w:color="auto"/>
                  </w:divBdr>
                  <w:divsChild>
                    <w:div w:id="1580476866">
                      <w:marLeft w:val="0"/>
                      <w:marRight w:val="0"/>
                      <w:marTop w:val="0"/>
                      <w:marBottom w:val="0"/>
                      <w:divBdr>
                        <w:top w:val="none" w:sz="0" w:space="0" w:color="auto"/>
                        <w:left w:val="none" w:sz="0" w:space="0" w:color="auto"/>
                        <w:bottom w:val="none" w:sz="0" w:space="0" w:color="auto"/>
                        <w:right w:val="none" w:sz="0" w:space="0" w:color="auto"/>
                      </w:divBdr>
                    </w:div>
                  </w:divsChild>
                </w:div>
                <w:div w:id="283775097">
                  <w:marLeft w:val="0"/>
                  <w:marRight w:val="0"/>
                  <w:marTop w:val="0"/>
                  <w:marBottom w:val="0"/>
                  <w:divBdr>
                    <w:top w:val="none" w:sz="0" w:space="0" w:color="auto"/>
                    <w:left w:val="none" w:sz="0" w:space="0" w:color="auto"/>
                    <w:bottom w:val="none" w:sz="0" w:space="0" w:color="auto"/>
                    <w:right w:val="none" w:sz="0" w:space="0" w:color="auto"/>
                  </w:divBdr>
                  <w:divsChild>
                    <w:div w:id="2136868358">
                      <w:marLeft w:val="0"/>
                      <w:marRight w:val="0"/>
                      <w:marTop w:val="0"/>
                      <w:marBottom w:val="0"/>
                      <w:divBdr>
                        <w:top w:val="none" w:sz="0" w:space="0" w:color="auto"/>
                        <w:left w:val="none" w:sz="0" w:space="0" w:color="auto"/>
                        <w:bottom w:val="none" w:sz="0" w:space="0" w:color="auto"/>
                        <w:right w:val="none" w:sz="0" w:space="0" w:color="auto"/>
                      </w:divBdr>
                    </w:div>
                  </w:divsChild>
                </w:div>
                <w:div w:id="302200613">
                  <w:marLeft w:val="0"/>
                  <w:marRight w:val="0"/>
                  <w:marTop w:val="0"/>
                  <w:marBottom w:val="0"/>
                  <w:divBdr>
                    <w:top w:val="none" w:sz="0" w:space="0" w:color="auto"/>
                    <w:left w:val="none" w:sz="0" w:space="0" w:color="auto"/>
                    <w:bottom w:val="none" w:sz="0" w:space="0" w:color="auto"/>
                    <w:right w:val="none" w:sz="0" w:space="0" w:color="auto"/>
                  </w:divBdr>
                  <w:divsChild>
                    <w:div w:id="725956128">
                      <w:marLeft w:val="0"/>
                      <w:marRight w:val="0"/>
                      <w:marTop w:val="0"/>
                      <w:marBottom w:val="0"/>
                      <w:divBdr>
                        <w:top w:val="none" w:sz="0" w:space="0" w:color="auto"/>
                        <w:left w:val="none" w:sz="0" w:space="0" w:color="auto"/>
                        <w:bottom w:val="none" w:sz="0" w:space="0" w:color="auto"/>
                        <w:right w:val="none" w:sz="0" w:space="0" w:color="auto"/>
                      </w:divBdr>
                    </w:div>
                  </w:divsChild>
                </w:div>
                <w:div w:id="306786636">
                  <w:marLeft w:val="0"/>
                  <w:marRight w:val="0"/>
                  <w:marTop w:val="0"/>
                  <w:marBottom w:val="0"/>
                  <w:divBdr>
                    <w:top w:val="none" w:sz="0" w:space="0" w:color="auto"/>
                    <w:left w:val="none" w:sz="0" w:space="0" w:color="auto"/>
                    <w:bottom w:val="none" w:sz="0" w:space="0" w:color="auto"/>
                    <w:right w:val="none" w:sz="0" w:space="0" w:color="auto"/>
                  </w:divBdr>
                  <w:divsChild>
                    <w:div w:id="170683667">
                      <w:marLeft w:val="0"/>
                      <w:marRight w:val="0"/>
                      <w:marTop w:val="0"/>
                      <w:marBottom w:val="0"/>
                      <w:divBdr>
                        <w:top w:val="none" w:sz="0" w:space="0" w:color="auto"/>
                        <w:left w:val="none" w:sz="0" w:space="0" w:color="auto"/>
                        <w:bottom w:val="none" w:sz="0" w:space="0" w:color="auto"/>
                        <w:right w:val="none" w:sz="0" w:space="0" w:color="auto"/>
                      </w:divBdr>
                    </w:div>
                  </w:divsChild>
                </w:div>
                <w:div w:id="310720822">
                  <w:marLeft w:val="0"/>
                  <w:marRight w:val="0"/>
                  <w:marTop w:val="0"/>
                  <w:marBottom w:val="0"/>
                  <w:divBdr>
                    <w:top w:val="none" w:sz="0" w:space="0" w:color="auto"/>
                    <w:left w:val="none" w:sz="0" w:space="0" w:color="auto"/>
                    <w:bottom w:val="none" w:sz="0" w:space="0" w:color="auto"/>
                    <w:right w:val="none" w:sz="0" w:space="0" w:color="auto"/>
                  </w:divBdr>
                  <w:divsChild>
                    <w:div w:id="1527673487">
                      <w:marLeft w:val="0"/>
                      <w:marRight w:val="0"/>
                      <w:marTop w:val="0"/>
                      <w:marBottom w:val="0"/>
                      <w:divBdr>
                        <w:top w:val="none" w:sz="0" w:space="0" w:color="auto"/>
                        <w:left w:val="none" w:sz="0" w:space="0" w:color="auto"/>
                        <w:bottom w:val="none" w:sz="0" w:space="0" w:color="auto"/>
                        <w:right w:val="none" w:sz="0" w:space="0" w:color="auto"/>
                      </w:divBdr>
                    </w:div>
                  </w:divsChild>
                </w:div>
                <w:div w:id="338580518">
                  <w:marLeft w:val="0"/>
                  <w:marRight w:val="0"/>
                  <w:marTop w:val="0"/>
                  <w:marBottom w:val="0"/>
                  <w:divBdr>
                    <w:top w:val="none" w:sz="0" w:space="0" w:color="auto"/>
                    <w:left w:val="none" w:sz="0" w:space="0" w:color="auto"/>
                    <w:bottom w:val="none" w:sz="0" w:space="0" w:color="auto"/>
                    <w:right w:val="none" w:sz="0" w:space="0" w:color="auto"/>
                  </w:divBdr>
                  <w:divsChild>
                    <w:div w:id="405109472">
                      <w:marLeft w:val="0"/>
                      <w:marRight w:val="0"/>
                      <w:marTop w:val="0"/>
                      <w:marBottom w:val="0"/>
                      <w:divBdr>
                        <w:top w:val="none" w:sz="0" w:space="0" w:color="auto"/>
                        <w:left w:val="none" w:sz="0" w:space="0" w:color="auto"/>
                        <w:bottom w:val="none" w:sz="0" w:space="0" w:color="auto"/>
                        <w:right w:val="none" w:sz="0" w:space="0" w:color="auto"/>
                      </w:divBdr>
                    </w:div>
                  </w:divsChild>
                </w:div>
                <w:div w:id="338852004">
                  <w:marLeft w:val="0"/>
                  <w:marRight w:val="0"/>
                  <w:marTop w:val="0"/>
                  <w:marBottom w:val="0"/>
                  <w:divBdr>
                    <w:top w:val="none" w:sz="0" w:space="0" w:color="auto"/>
                    <w:left w:val="none" w:sz="0" w:space="0" w:color="auto"/>
                    <w:bottom w:val="none" w:sz="0" w:space="0" w:color="auto"/>
                    <w:right w:val="none" w:sz="0" w:space="0" w:color="auto"/>
                  </w:divBdr>
                  <w:divsChild>
                    <w:div w:id="556554500">
                      <w:marLeft w:val="0"/>
                      <w:marRight w:val="0"/>
                      <w:marTop w:val="0"/>
                      <w:marBottom w:val="0"/>
                      <w:divBdr>
                        <w:top w:val="none" w:sz="0" w:space="0" w:color="auto"/>
                        <w:left w:val="none" w:sz="0" w:space="0" w:color="auto"/>
                        <w:bottom w:val="none" w:sz="0" w:space="0" w:color="auto"/>
                        <w:right w:val="none" w:sz="0" w:space="0" w:color="auto"/>
                      </w:divBdr>
                    </w:div>
                  </w:divsChild>
                </w:div>
                <w:div w:id="339430166">
                  <w:marLeft w:val="0"/>
                  <w:marRight w:val="0"/>
                  <w:marTop w:val="0"/>
                  <w:marBottom w:val="0"/>
                  <w:divBdr>
                    <w:top w:val="none" w:sz="0" w:space="0" w:color="auto"/>
                    <w:left w:val="none" w:sz="0" w:space="0" w:color="auto"/>
                    <w:bottom w:val="none" w:sz="0" w:space="0" w:color="auto"/>
                    <w:right w:val="none" w:sz="0" w:space="0" w:color="auto"/>
                  </w:divBdr>
                  <w:divsChild>
                    <w:div w:id="1374772091">
                      <w:marLeft w:val="0"/>
                      <w:marRight w:val="0"/>
                      <w:marTop w:val="0"/>
                      <w:marBottom w:val="0"/>
                      <w:divBdr>
                        <w:top w:val="none" w:sz="0" w:space="0" w:color="auto"/>
                        <w:left w:val="none" w:sz="0" w:space="0" w:color="auto"/>
                        <w:bottom w:val="none" w:sz="0" w:space="0" w:color="auto"/>
                        <w:right w:val="none" w:sz="0" w:space="0" w:color="auto"/>
                      </w:divBdr>
                    </w:div>
                  </w:divsChild>
                </w:div>
                <w:div w:id="342317542">
                  <w:marLeft w:val="0"/>
                  <w:marRight w:val="0"/>
                  <w:marTop w:val="0"/>
                  <w:marBottom w:val="0"/>
                  <w:divBdr>
                    <w:top w:val="none" w:sz="0" w:space="0" w:color="auto"/>
                    <w:left w:val="none" w:sz="0" w:space="0" w:color="auto"/>
                    <w:bottom w:val="none" w:sz="0" w:space="0" w:color="auto"/>
                    <w:right w:val="none" w:sz="0" w:space="0" w:color="auto"/>
                  </w:divBdr>
                  <w:divsChild>
                    <w:div w:id="19166927">
                      <w:marLeft w:val="0"/>
                      <w:marRight w:val="0"/>
                      <w:marTop w:val="0"/>
                      <w:marBottom w:val="0"/>
                      <w:divBdr>
                        <w:top w:val="none" w:sz="0" w:space="0" w:color="auto"/>
                        <w:left w:val="none" w:sz="0" w:space="0" w:color="auto"/>
                        <w:bottom w:val="none" w:sz="0" w:space="0" w:color="auto"/>
                        <w:right w:val="none" w:sz="0" w:space="0" w:color="auto"/>
                      </w:divBdr>
                    </w:div>
                  </w:divsChild>
                </w:div>
                <w:div w:id="344671120">
                  <w:marLeft w:val="0"/>
                  <w:marRight w:val="0"/>
                  <w:marTop w:val="0"/>
                  <w:marBottom w:val="0"/>
                  <w:divBdr>
                    <w:top w:val="none" w:sz="0" w:space="0" w:color="auto"/>
                    <w:left w:val="none" w:sz="0" w:space="0" w:color="auto"/>
                    <w:bottom w:val="none" w:sz="0" w:space="0" w:color="auto"/>
                    <w:right w:val="none" w:sz="0" w:space="0" w:color="auto"/>
                  </w:divBdr>
                  <w:divsChild>
                    <w:div w:id="1743521493">
                      <w:marLeft w:val="0"/>
                      <w:marRight w:val="0"/>
                      <w:marTop w:val="0"/>
                      <w:marBottom w:val="0"/>
                      <w:divBdr>
                        <w:top w:val="none" w:sz="0" w:space="0" w:color="auto"/>
                        <w:left w:val="none" w:sz="0" w:space="0" w:color="auto"/>
                        <w:bottom w:val="none" w:sz="0" w:space="0" w:color="auto"/>
                        <w:right w:val="none" w:sz="0" w:space="0" w:color="auto"/>
                      </w:divBdr>
                    </w:div>
                  </w:divsChild>
                </w:div>
                <w:div w:id="346756243">
                  <w:marLeft w:val="0"/>
                  <w:marRight w:val="0"/>
                  <w:marTop w:val="0"/>
                  <w:marBottom w:val="0"/>
                  <w:divBdr>
                    <w:top w:val="none" w:sz="0" w:space="0" w:color="auto"/>
                    <w:left w:val="none" w:sz="0" w:space="0" w:color="auto"/>
                    <w:bottom w:val="none" w:sz="0" w:space="0" w:color="auto"/>
                    <w:right w:val="none" w:sz="0" w:space="0" w:color="auto"/>
                  </w:divBdr>
                  <w:divsChild>
                    <w:div w:id="724060022">
                      <w:marLeft w:val="0"/>
                      <w:marRight w:val="0"/>
                      <w:marTop w:val="0"/>
                      <w:marBottom w:val="0"/>
                      <w:divBdr>
                        <w:top w:val="none" w:sz="0" w:space="0" w:color="auto"/>
                        <w:left w:val="none" w:sz="0" w:space="0" w:color="auto"/>
                        <w:bottom w:val="none" w:sz="0" w:space="0" w:color="auto"/>
                        <w:right w:val="none" w:sz="0" w:space="0" w:color="auto"/>
                      </w:divBdr>
                    </w:div>
                  </w:divsChild>
                </w:div>
                <w:div w:id="350573180">
                  <w:marLeft w:val="0"/>
                  <w:marRight w:val="0"/>
                  <w:marTop w:val="0"/>
                  <w:marBottom w:val="0"/>
                  <w:divBdr>
                    <w:top w:val="none" w:sz="0" w:space="0" w:color="auto"/>
                    <w:left w:val="none" w:sz="0" w:space="0" w:color="auto"/>
                    <w:bottom w:val="none" w:sz="0" w:space="0" w:color="auto"/>
                    <w:right w:val="none" w:sz="0" w:space="0" w:color="auto"/>
                  </w:divBdr>
                  <w:divsChild>
                    <w:div w:id="1262639858">
                      <w:marLeft w:val="0"/>
                      <w:marRight w:val="0"/>
                      <w:marTop w:val="0"/>
                      <w:marBottom w:val="0"/>
                      <w:divBdr>
                        <w:top w:val="none" w:sz="0" w:space="0" w:color="auto"/>
                        <w:left w:val="none" w:sz="0" w:space="0" w:color="auto"/>
                        <w:bottom w:val="none" w:sz="0" w:space="0" w:color="auto"/>
                        <w:right w:val="none" w:sz="0" w:space="0" w:color="auto"/>
                      </w:divBdr>
                    </w:div>
                  </w:divsChild>
                </w:div>
                <w:div w:id="353189962">
                  <w:marLeft w:val="0"/>
                  <w:marRight w:val="0"/>
                  <w:marTop w:val="0"/>
                  <w:marBottom w:val="0"/>
                  <w:divBdr>
                    <w:top w:val="none" w:sz="0" w:space="0" w:color="auto"/>
                    <w:left w:val="none" w:sz="0" w:space="0" w:color="auto"/>
                    <w:bottom w:val="none" w:sz="0" w:space="0" w:color="auto"/>
                    <w:right w:val="none" w:sz="0" w:space="0" w:color="auto"/>
                  </w:divBdr>
                  <w:divsChild>
                    <w:div w:id="74858721">
                      <w:marLeft w:val="0"/>
                      <w:marRight w:val="0"/>
                      <w:marTop w:val="0"/>
                      <w:marBottom w:val="0"/>
                      <w:divBdr>
                        <w:top w:val="none" w:sz="0" w:space="0" w:color="auto"/>
                        <w:left w:val="none" w:sz="0" w:space="0" w:color="auto"/>
                        <w:bottom w:val="none" w:sz="0" w:space="0" w:color="auto"/>
                        <w:right w:val="none" w:sz="0" w:space="0" w:color="auto"/>
                      </w:divBdr>
                    </w:div>
                  </w:divsChild>
                </w:div>
                <w:div w:id="354237636">
                  <w:marLeft w:val="0"/>
                  <w:marRight w:val="0"/>
                  <w:marTop w:val="0"/>
                  <w:marBottom w:val="0"/>
                  <w:divBdr>
                    <w:top w:val="none" w:sz="0" w:space="0" w:color="auto"/>
                    <w:left w:val="none" w:sz="0" w:space="0" w:color="auto"/>
                    <w:bottom w:val="none" w:sz="0" w:space="0" w:color="auto"/>
                    <w:right w:val="none" w:sz="0" w:space="0" w:color="auto"/>
                  </w:divBdr>
                  <w:divsChild>
                    <w:div w:id="1883590282">
                      <w:marLeft w:val="0"/>
                      <w:marRight w:val="0"/>
                      <w:marTop w:val="0"/>
                      <w:marBottom w:val="0"/>
                      <w:divBdr>
                        <w:top w:val="none" w:sz="0" w:space="0" w:color="auto"/>
                        <w:left w:val="none" w:sz="0" w:space="0" w:color="auto"/>
                        <w:bottom w:val="none" w:sz="0" w:space="0" w:color="auto"/>
                        <w:right w:val="none" w:sz="0" w:space="0" w:color="auto"/>
                      </w:divBdr>
                    </w:div>
                  </w:divsChild>
                </w:div>
                <w:div w:id="356660858">
                  <w:marLeft w:val="0"/>
                  <w:marRight w:val="0"/>
                  <w:marTop w:val="0"/>
                  <w:marBottom w:val="0"/>
                  <w:divBdr>
                    <w:top w:val="none" w:sz="0" w:space="0" w:color="auto"/>
                    <w:left w:val="none" w:sz="0" w:space="0" w:color="auto"/>
                    <w:bottom w:val="none" w:sz="0" w:space="0" w:color="auto"/>
                    <w:right w:val="none" w:sz="0" w:space="0" w:color="auto"/>
                  </w:divBdr>
                  <w:divsChild>
                    <w:div w:id="1920362430">
                      <w:marLeft w:val="0"/>
                      <w:marRight w:val="0"/>
                      <w:marTop w:val="0"/>
                      <w:marBottom w:val="0"/>
                      <w:divBdr>
                        <w:top w:val="none" w:sz="0" w:space="0" w:color="auto"/>
                        <w:left w:val="none" w:sz="0" w:space="0" w:color="auto"/>
                        <w:bottom w:val="none" w:sz="0" w:space="0" w:color="auto"/>
                        <w:right w:val="none" w:sz="0" w:space="0" w:color="auto"/>
                      </w:divBdr>
                    </w:div>
                  </w:divsChild>
                </w:div>
                <w:div w:id="388963276">
                  <w:marLeft w:val="0"/>
                  <w:marRight w:val="0"/>
                  <w:marTop w:val="0"/>
                  <w:marBottom w:val="0"/>
                  <w:divBdr>
                    <w:top w:val="none" w:sz="0" w:space="0" w:color="auto"/>
                    <w:left w:val="none" w:sz="0" w:space="0" w:color="auto"/>
                    <w:bottom w:val="none" w:sz="0" w:space="0" w:color="auto"/>
                    <w:right w:val="none" w:sz="0" w:space="0" w:color="auto"/>
                  </w:divBdr>
                  <w:divsChild>
                    <w:div w:id="1997568556">
                      <w:marLeft w:val="0"/>
                      <w:marRight w:val="0"/>
                      <w:marTop w:val="0"/>
                      <w:marBottom w:val="0"/>
                      <w:divBdr>
                        <w:top w:val="none" w:sz="0" w:space="0" w:color="auto"/>
                        <w:left w:val="none" w:sz="0" w:space="0" w:color="auto"/>
                        <w:bottom w:val="none" w:sz="0" w:space="0" w:color="auto"/>
                        <w:right w:val="none" w:sz="0" w:space="0" w:color="auto"/>
                      </w:divBdr>
                    </w:div>
                  </w:divsChild>
                </w:div>
                <w:div w:id="390233998">
                  <w:marLeft w:val="0"/>
                  <w:marRight w:val="0"/>
                  <w:marTop w:val="0"/>
                  <w:marBottom w:val="0"/>
                  <w:divBdr>
                    <w:top w:val="none" w:sz="0" w:space="0" w:color="auto"/>
                    <w:left w:val="none" w:sz="0" w:space="0" w:color="auto"/>
                    <w:bottom w:val="none" w:sz="0" w:space="0" w:color="auto"/>
                    <w:right w:val="none" w:sz="0" w:space="0" w:color="auto"/>
                  </w:divBdr>
                  <w:divsChild>
                    <w:div w:id="262303075">
                      <w:marLeft w:val="0"/>
                      <w:marRight w:val="0"/>
                      <w:marTop w:val="0"/>
                      <w:marBottom w:val="0"/>
                      <w:divBdr>
                        <w:top w:val="none" w:sz="0" w:space="0" w:color="auto"/>
                        <w:left w:val="none" w:sz="0" w:space="0" w:color="auto"/>
                        <w:bottom w:val="none" w:sz="0" w:space="0" w:color="auto"/>
                        <w:right w:val="none" w:sz="0" w:space="0" w:color="auto"/>
                      </w:divBdr>
                    </w:div>
                  </w:divsChild>
                </w:div>
                <w:div w:id="391126458">
                  <w:marLeft w:val="0"/>
                  <w:marRight w:val="0"/>
                  <w:marTop w:val="0"/>
                  <w:marBottom w:val="0"/>
                  <w:divBdr>
                    <w:top w:val="none" w:sz="0" w:space="0" w:color="auto"/>
                    <w:left w:val="none" w:sz="0" w:space="0" w:color="auto"/>
                    <w:bottom w:val="none" w:sz="0" w:space="0" w:color="auto"/>
                    <w:right w:val="none" w:sz="0" w:space="0" w:color="auto"/>
                  </w:divBdr>
                  <w:divsChild>
                    <w:div w:id="1633169272">
                      <w:marLeft w:val="0"/>
                      <w:marRight w:val="0"/>
                      <w:marTop w:val="0"/>
                      <w:marBottom w:val="0"/>
                      <w:divBdr>
                        <w:top w:val="none" w:sz="0" w:space="0" w:color="auto"/>
                        <w:left w:val="none" w:sz="0" w:space="0" w:color="auto"/>
                        <w:bottom w:val="none" w:sz="0" w:space="0" w:color="auto"/>
                        <w:right w:val="none" w:sz="0" w:space="0" w:color="auto"/>
                      </w:divBdr>
                    </w:div>
                  </w:divsChild>
                </w:div>
                <w:div w:id="391583949">
                  <w:marLeft w:val="0"/>
                  <w:marRight w:val="0"/>
                  <w:marTop w:val="0"/>
                  <w:marBottom w:val="0"/>
                  <w:divBdr>
                    <w:top w:val="none" w:sz="0" w:space="0" w:color="auto"/>
                    <w:left w:val="none" w:sz="0" w:space="0" w:color="auto"/>
                    <w:bottom w:val="none" w:sz="0" w:space="0" w:color="auto"/>
                    <w:right w:val="none" w:sz="0" w:space="0" w:color="auto"/>
                  </w:divBdr>
                  <w:divsChild>
                    <w:div w:id="57435214">
                      <w:marLeft w:val="0"/>
                      <w:marRight w:val="0"/>
                      <w:marTop w:val="0"/>
                      <w:marBottom w:val="0"/>
                      <w:divBdr>
                        <w:top w:val="none" w:sz="0" w:space="0" w:color="auto"/>
                        <w:left w:val="none" w:sz="0" w:space="0" w:color="auto"/>
                        <w:bottom w:val="none" w:sz="0" w:space="0" w:color="auto"/>
                        <w:right w:val="none" w:sz="0" w:space="0" w:color="auto"/>
                      </w:divBdr>
                    </w:div>
                  </w:divsChild>
                </w:div>
                <w:div w:id="411121753">
                  <w:marLeft w:val="0"/>
                  <w:marRight w:val="0"/>
                  <w:marTop w:val="0"/>
                  <w:marBottom w:val="0"/>
                  <w:divBdr>
                    <w:top w:val="none" w:sz="0" w:space="0" w:color="auto"/>
                    <w:left w:val="none" w:sz="0" w:space="0" w:color="auto"/>
                    <w:bottom w:val="none" w:sz="0" w:space="0" w:color="auto"/>
                    <w:right w:val="none" w:sz="0" w:space="0" w:color="auto"/>
                  </w:divBdr>
                  <w:divsChild>
                    <w:div w:id="2146462064">
                      <w:marLeft w:val="0"/>
                      <w:marRight w:val="0"/>
                      <w:marTop w:val="0"/>
                      <w:marBottom w:val="0"/>
                      <w:divBdr>
                        <w:top w:val="none" w:sz="0" w:space="0" w:color="auto"/>
                        <w:left w:val="none" w:sz="0" w:space="0" w:color="auto"/>
                        <w:bottom w:val="none" w:sz="0" w:space="0" w:color="auto"/>
                        <w:right w:val="none" w:sz="0" w:space="0" w:color="auto"/>
                      </w:divBdr>
                    </w:div>
                  </w:divsChild>
                </w:div>
                <w:div w:id="422990773">
                  <w:marLeft w:val="0"/>
                  <w:marRight w:val="0"/>
                  <w:marTop w:val="0"/>
                  <w:marBottom w:val="0"/>
                  <w:divBdr>
                    <w:top w:val="none" w:sz="0" w:space="0" w:color="auto"/>
                    <w:left w:val="none" w:sz="0" w:space="0" w:color="auto"/>
                    <w:bottom w:val="none" w:sz="0" w:space="0" w:color="auto"/>
                    <w:right w:val="none" w:sz="0" w:space="0" w:color="auto"/>
                  </w:divBdr>
                  <w:divsChild>
                    <w:div w:id="655571512">
                      <w:marLeft w:val="0"/>
                      <w:marRight w:val="0"/>
                      <w:marTop w:val="0"/>
                      <w:marBottom w:val="0"/>
                      <w:divBdr>
                        <w:top w:val="none" w:sz="0" w:space="0" w:color="auto"/>
                        <w:left w:val="none" w:sz="0" w:space="0" w:color="auto"/>
                        <w:bottom w:val="none" w:sz="0" w:space="0" w:color="auto"/>
                        <w:right w:val="none" w:sz="0" w:space="0" w:color="auto"/>
                      </w:divBdr>
                    </w:div>
                  </w:divsChild>
                </w:div>
                <w:div w:id="424806007">
                  <w:marLeft w:val="0"/>
                  <w:marRight w:val="0"/>
                  <w:marTop w:val="0"/>
                  <w:marBottom w:val="0"/>
                  <w:divBdr>
                    <w:top w:val="none" w:sz="0" w:space="0" w:color="auto"/>
                    <w:left w:val="none" w:sz="0" w:space="0" w:color="auto"/>
                    <w:bottom w:val="none" w:sz="0" w:space="0" w:color="auto"/>
                    <w:right w:val="none" w:sz="0" w:space="0" w:color="auto"/>
                  </w:divBdr>
                  <w:divsChild>
                    <w:div w:id="798187901">
                      <w:marLeft w:val="0"/>
                      <w:marRight w:val="0"/>
                      <w:marTop w:val="0"/>
                      <w:marBottom w:val="0"/>
                      <w:divBdr>
                        <w:top w:val="none" w:sz="0" w:space="0" w:color="auto"/>
                        <w:left w:val="none" w:sz="0" w:space="0" w:color="auto"/>
                        <w:bottom w:val="none" w:sz="0" w:space="0" w:color="auto"/>
                        <w:right w:val="none" w:sz="0" w:space="0" w:color="auto"/>
                      </w:divBdr>
                    </w:div>
                  </w:divsChild>
                </w:div>
                <w:div w:id="440033012">
                  <w:marLeft w:val="0"/>
                  <w:marRight w:val="0"/>
                  <w:marTop w:val="0"/>
                  <w:marBottom w:val="0"/>
                  <w:divBdr>
                    <w:top w:val="none" w:sz="0" w:space="0" w:color="auto"/>
                    <w:left w:val="none" w:sz="0" w:space="0" w:color="auto"/>
                    <w:bottom w:val="none" w:sz="0" w:space="0" w:color="auto"/>
                    <w:right w:val="none" w:sz="0" w:space="0" w:color="auto"/>
                  </w:divBdr>
                  <w:divsChild>
                    <w:div w:id="1949464431">
                      <w:marLeft w:val="0"/>
                      <w:marRight w:val="0"/>
                      <w:marTop w:val="0"/>
                      <w:marBottom w:val="0"/>
                      <w:divBdr>
                        <w:top w:val="none" w:sz="0" w:space="0" w:color="auto"/>
                        <w:left w:val="none" w:sz="0" w:space="0" w:color="auto"/>
                        <w:bottom w:val="none" w:sz="0" w:space="0" w:color="auto"/>
                        <w:right w:val="none" w:sz="0" w:space="0" w:color="auto"/>
                      </w:divBdr>
                    </w:div>
                  </w:divsChild>
                </w:div>
                <w:div w:id="458382916">
                  <w:marLeft w:val="0"/>
                  <w:marRight w:val="0"/>
                  <w:marTop w:val="0"/>
                  <w:marBottom w:val="0"/>
                  <w:divBdr>
                    <w:top w:val="none" w:sz="0" w:space="0" w:color="auto"/>
                    <w:left w:val="none" w:sz="0" w:space="0" w:color="auto"/>
                    <w:bottom w:val="none" w:sz="0" w:space="0" w:color="auto"/>
                    <w:right w:val="none" w:sz="0" w:space="0" w:color="auto"/>
                  </w:divBdr>
                  <w:divsChild>
                    <w:div w:id="994988422">
                      <w:marLeft w:val="0"/>
                      <w:marRight w:val="0"/>
                      <w:marTop w:val="0"/>
                      <w:marBottom w:val="0"/>
                      <w:divBdr>
                        <w:top w:val="none" w:sz="0" w:space="0" w:color="auto"/>
                        <w:left w:val="none" w:sz="0" w:space="0" w:color="auto"/>
                        <w:bottom w:val="none" w:sz="0" w:space="0" w:color="auto"/>
                        <w:right w:val="none" w:sz="0" w:space="0" w:color="auto"/>
                      </w:divBdr>
                    </w:div>
                  </w:divsChild>
                </w:div>
                <w:div w:id="460539579">
                  <w:marLeft w:val="0"/>
                  <w:marRight w:val="0"/>
                  <w:marTop w:val="0"/>
                  <w:marBottom w:val="0"/>
                  <w:divBdr>
                    <w:top w:val="none" w:sz="0" w:space="0" w:color="auto"/>
                    <w:left w:val="none" w:sz="0" w:space="0" w:color="auto"/>
                    <w:bottom w:val="none" w:sz="0" w:space="0" w:color="auto"/>
                    <w:right w:val="none" w:sz="0" w:space="0" w:color="auto"/>
                  </w:divBdr>
                  <w:divsChild>
                    <w:div w:id="1961454597">
                      <w:marLeft w:val="0"/>
                      <w:marRight w:val="0"/>
                      <w:marTop w:val="0"/>
                      <w:marBottom w:val="0"/>
                      <w:divBdr>
                        <w:top w:val="none" w:sz="0" w:space="0" w:color="auto"/>
                        <w:left w:val="none" w:sz="0" w:space="0" w:color="auto"/>
                        <w:bottom w:val="none" w:sz="0" w:space="0" w:color="auto"/>
                        <w:right w:val="none" w:sz="0" w:space="0" w:color="auto"/>
                      </w:divBdr>
                    </w:div>
                  </w:divsChild>
                </w:div>
                <w:div w:id="476798790">
                  <w:marLeft w:val="0"/>
                  <w:marRight w:val="0"/>
                  <w:marTop w:val="0"/>
                  <w:marBottom w:val="0"/>
                  <w:divBdr>
                    <w:top w:val="none" w:sz="0" w:space="0" w:color="auto"/>
                    <w:left w:val="none" w:sz="0" w:space="0" w:color="auto"/>
                    <w:bottom w:val="none" w:sz="0" w:space="0" w:color="auto"/>
                    <w:right w:val="none" w:sz="0" w:space="0" w:color="auto"/>
                  </w:divBdr>
                  <w:divsChild>
                    <w:div w:id="1473867387">
                      <w:marLeft w:val="0"/>
                      <w:marRight w:val="0"/>
                      <w:marTop w:val="0"/>
                      <w:marBottom w:val="0"/>
                      <w:divBdr>
                        <w:top w:val="none" w:sz="0" w:space="0" w:color="auto"/>
                        <w:left w:val="none" w:sz="0" w:space="0" w:color="auto"/>
                        <w:bottom w:val="none" w:sz="0" w:space="0" w:color="auto"/>
                        <w:right w:val="none" w:sz="0" w:space="0" w:color="auto"/>
                      </w:divBdr>
                    </w:div>
                  </w:divsChild>
                </w:div>
                <w:div w:id="490874451">
                  <w:marLeft w:val="0"/>
                  <w:marRight w:val="0"/>
                  <w:marTop w:val="0"/>
                  <w:marBottom w:val="0"/>
                  <w:divBdr>
                    <w:top w:val="none" w:sz="0" w:space="0" w:color="auto"/>
                    <w:left w:val="none" w:sz="0" w:space="0" w:color="auto"/>
                    <w:bottom w:val="none" w:sz="0" w:space="0" w:color="auto"/>
                    <w:right w:val="none" w:sz="0" w:space="0" w:color="auto"/>
                  </w:divBdr>
                  <w:divsChild>
                    <w:div w:id="508254138">
                      <w:marLeft w:val="0"/>
                      <w:marRight w:val="0"/>
                      <w:marTop w:val="0"/>
                      <w:marBottom w:val="0"/>
                      <w:divBdr>
                        <w:top w:val="none" w:sz="0" w:space="0" w:color="auto"/>
                        <w:left w:val="none" w:sz="0" w:space="0" w:color="auto"/>
                        <w:bottom w:val="none" w:sz="0" w:space="0" w:color="auto"/>
                        <w:right w:val="none" w:sz="0" w:space="0" w:color="auto"/>
                      </w:divBdr>
                    </w:div>
                  </w:divsChild>
                </w:div>
                <w:div w:id="507406040">
                  <w:marLeft w:val="0"/>
                  <w:marRight w:val="0"/>
                  <w:marTop w:val="0"/>
                  <w:marBottom w:val="0"/>
                  <w:divBdr>
                    <w:top w:val="none" w:sz="0" w:space="0" w:color="auto"/>
                    <w:left w:val="none" w:sz="0" w:space="0" w:color="auto"/>
                    <w:bottom w:val="none" w:sz="0" w:space="0" w:color="auto"/>
                    <w:right w:val="none" w:sz="0" w:space="0" w:color="auto"/>
                  </w:divBdr>
                  <w:divsChild>
                    <w:div w:id="364870652">
                      <w:marLeft w:val="0"/>
                      <w:marRight w:val="0"/>
                      <w:marTop w:val="0"/>
                      <w:marBottom w:val="0"/>
                      <w:divBdr>
                        <w:top w:val="none" w:sz="0" w:space="0" w:color="auto"/>
                        <w:left w:val="none" w:sz="0" w:space="0" w:color="auto"/>
                        <w:bottom w:val="none" w:sz="0" w:space="0" w:color="auto"/>
                        <w:right w:val="none" w:sz="0" w:space="0" w:color="auto"/>
                      </w:divBdr>
                    </w:div>
                  </w:divsChild>
                </w:div>
                <w:div w:id="523251798">
                  <w:marLeft w:val="0"/>
                  <w:marRight w:val="0"/>
                  <w:marTop w:val="0"/>
                  <w:marBottom w:val="0"/>
                  <w:divBdr>
                    <w:top w:val="none" w:sz="0" w:space="0" w:color="auto"/>
                    <w:left w:val="none" w:sz="0" w:space="0" w:color="auto"/>
                    <w:bottom w:val="none" w:sz="0" w:space="0" w:color="auto"/>
                    <w:right w:val="none" w:sz="0" w:space="0" w:color="auto"/>
                  </w:divBdr>
                  <w:divsChild>
                    <w:div w:id="50934188">
                      <w:marLeft w:val="0"/>
                      <w:marRight w:val="0"/>
                      <w:marTop w:val="0"/>
                      <w:marBottom w:val="0"/>
                      <w:divBdr>
                        <w:top w:val="none" w:sz="0" w:space="0" w:color="auto"/>
                        <w:left w:val="none" w:sz="0" w:space="0" w:color="auto"/>
                        <w:bottom w:val="none" w:sz="0" w:space="0" w:color="auto"/>
                        <w:right w:val="none" w:sz="0" w:space="0" w:color="auto"/>
                      </w:divBdr>
                    </w:div>
                  </w:divsChild>
                </w:div>
                <w:div w:id="524754846">
                  <w:marLeft w:val="0"/>
                  <w:marRight w:val="0"/>
                  <w:marTop w:val="0"/>
                  <w:marBottom w:val="0"/>
                  <w:divBdr>
                    <w:top w:val="none" w:sz="0" w:space="0" w:color="auto"/>
                    <w:left w:val="none" w:sz="0" w:space="0" w:color="auto"/>
                    <w:bottom w:val="none" w:sz="0" w:space="0" w:color="auto"/>
                    <w:right w:val="none" w:sz="0" w:space="0" w:color="auto"/>
                  </w:divBdr>
                  <w:divsChild>
                    <w:div w:id="917910926">
                      <w:marLeft w:val="0"/>
                      <w:marRight w:val="0"/>
                      <w:marTop w:val="0"/>
                      <w:marBottom w:val="0"/>
                      <w:divBdr>
                        <w:top w:val="none" w:sz="0" w:space="0" w:color="auto"/>
                        <w:left w:val="none" w:sz="0" w:space="0" w:color="auto"/>
                        <w:bottom w:val="none" w:sz="0" w:space="0" w:color="auto"/>
                        <w:right w:val="none" w:sz="0" w:space="0" w:color="auto"/>
                      </w:divBdr>
                    </w:div>
                  </w:divsChild>
                </w:div>
                <w:div w:id="529145625">
                  <w:marLeft w:val="0"/>
                  <w:marRight w:val="0"/>
                  <w:marTop w:val="0"/>
                  <w:marBottom w:val="0"/>
                  <w:divBdr>
                    <w:top w:val="none" w:sz="0" w:space="0" w:color="auto"/>
                    <w:left w:val="none" w:sz="0" w:space="0" w:color="auto"/>
                    <w:bottom w:val="none" w:sz="0" w:space="0" w:color="auto"/>
                    <w:right w:val="none" w:sz="0" w:space="0" w:color="auto"/>
                  </w:divBdr>
                  <w:divsChild>
                    <w:div w:id="222378723">
                      <w:marLeft w:val="0"/>
                      <w:marRight w:val="0"/>
                      <w:marTop w:val="0"/>
                      <w:marBottom w:val="0"/>
                      <w:divBdr>
                        <w:top w:val="none" w:sz="0" w:space="0" w:color="auto"/>
                        <w:left w:val="none" w:sz="0" w:space="0" w:color="auto"/>
                        <w:bottom w:val="none" w:sz="0" w:space="0" w:color="auto"/>
                        <w:right w:val="none" w:sz="0" w:space="0" w:color="auto"/>
                      </w:divBdr>
                    </w:div>
                  </w:divsChild>
                </w:div>
                <w:div w:id="588583678">
                  <w:marLeft w:val="0"/>
                  <w:marRight w:val="0"/>
                  <w:marTop w:val="0"/>
                  <w:marBottom w:val="0"/>
                  <w:divBdr>
                    <w:top w:val="none" w:sz="0" w:space="0" w:color="auto"/>
                    <w:left w:val="none" w:sz="0" w:space="0" w:color="auto"/>
                    <w:bottom w:val="none" w:sz="0" w:space="0" w:color="auto"/>
                    <w:right w:val="none" w:sz="0" w:space="0" w:color="auto"/>
                  </w:divBdr>
                  <w:divsChild>
                    <w:div w:id="914630576">
                      <w:marLeft w:val="0"/>
                      <w:marRight w:val="0"/>
                      <w:marTop w:val="0"/>
                      <w:marBottom w:val="0"/>
                      <w:divBdr>
                        <w:top w:val="none" w:sz="0" w:space="0" w:color="auto"/>
                        <w:left w:val="none" w:sz="0" w:space="0" w:color="auto"/>
                        <w:bottom w:val="none" w:sz="0" w:space="0" w:color="auto"/>
                        <w:right w:val="none" w:sz="0" w:space="0" w:color="auto"/>
                      </w:divBdr>
                    </w:div>
                  </w:divsChild>
                </w:div>
                <w:div w:id="590623281">
                  <w:marLeft w:val="0"/>
                  <w:marRight w:val="0"/>
                  <w:marTop w:val="0"/>
                  <w:marBottom w:val="0"/>
                  <w:divBdr>
                    <w:top w:val="none" w:sz="0" w:space="0" w:color="auto"/>
                    <w:left w:val="none" w:sz="0" w:space="0" w:color="auto"/>
                    <w:bottom w:val="none" w:sz="0" w:space="0" w:color="auto"/>
                    <w:right w:val="none" w:sz="0" w:space="0" w:color="auto"/>
                  </w:divBdr>
                  <w:divsChild>
                    <w:div w:id="936987614">
                      <w:marLeft w:val="0"/>
                      <w:marRight w:val="0"/>
                      <w:marTop w:val="0"/>
                      <w:marBottom w:val="0"/>
                      <w:divBdr>
                        <w:top w:val="none" w:sz="0" w:space="0" w:color="auto"/>
                        <w:left w:val="none" w:sz="0" w:space="0" w:color="auto"/>
                        <w:bottom w:val="none" w:sz="0" w:space="0" w:color="auto"/>
                        <w:right w:val="none" w:sz="0" w:space="0" w:color="auto"/>
                      </w:divBdr>
                    </w:div>
                  </w:divsChild>
                </w:div>
                <w:div w:id="594830486">
                  <w:marLeft w:val="0"/>
                  <w:marRight w:val="0"/>
                  <w:marTop w:val="0"/>
                  <w:marBottom w:val="0"/>
                  <w:divBdr>
                    <w:top w:val="none" w:sz="0" w:space="0" w:color="auto"/>
                    <w:left w:val="none" w:sz="0" w:space="0" w:color="auto"/>
                    <w:bottom w:val="none" w:sz="0" w:space="0" w:color="auto"/>
                    <w:right w:val="none" w:sz="0" w:space="0" w:color="auto"/>
                  </w:divBdr>
                  <w:divsChild>
                    <w:div w:id="1717973553">
                      <w:marLeft w:val="0"/>
                      <w:marRight w:val="0"/>
                      <w:marTop w:val="0"/>
                      <w:marBottom w:val="0"/>
                      <w:divBdr>
                        <w:top w:val="none" w:sz="0" w:space="0" w:color="auto"/>
                        <w:left w:val="none" w:sz="0" w:space="0" w:color="auto"/>
                        <w:bottom w:val="none" w:sz="0" w:space="0" w:color="auto"/>
                        <w:right w:val="none" w:sz="0" w:space="0" w:color="auto"/>
                      </w:divBdr>
                    </w:div>
                  </w:divsChild>
                </w:div>
                <w:div w:id="595403187">
                  <w:marLeft w:val="0"/>
                  <w:marRight w:val="0"/>
                  <w:marTop w:val="0"/>
                  <w:marBottom w:val="0"/>
                  <w:divBdr>
                    <w:top w:val="none" w:sz="0" w:space="0" w:color="auto"/>
                    <w:left w:val="none" w:sz="0" w:space="0" w:color="auto"/>
                    <w:bottom w:val="none" w:sz="0" w:space="0" w:color="auto"/>
                    <w:right w:val="none" w:sz="0" w:space="0" w:color="auto"/>
                  </w:divBdr>
                  <w:divsChild>
                    <w:div w:id="58790270">
                      <w:marLeft w:val="0"/>
                      <w:marRight w:val="0"/>
                      <w:marTop w:val="0"/>
                      <w:marBottom w:val="0"/>
                      <w:divBdr>
                        <w:top w:val="none" w:sz="0" w:space="0" w:color="auto"/>
                        <w:left w:val="none" w:sz="0" w:space="0" w:color="auto"/>
                        <w:bottom w:val="none" w:sz="0" w:space="0" w:color="auto"/>
                        <w:right w:val="none" w:sz="0" w:space="0" w:color="auto"/>
                      </w:divBdr>
                    </w:div>
                  </w:divsChild>
                </w:div>
                <w:div w:id="598102567">
                  <w:marLeft w:val="0"/>
                  <w:marRight w:val="0"/>
                  <w:marTop w:val="0"/>
                  <w:marBottom w:val="0"/>
                  <w:divBdr>
                    <w:top w:val="none" w:sz="0" w:space="0" w:color="auto"/>
                    <w:left w:val="none" w:sz="0" w:space="0" w:color="auto"/>
                    <w:bottom w:val="none" w:sz="0" w:space="0" w:color="auto"/>
                    <w:right w:val="none" w:sz="0" w:space="0" w:color="auto"/>
                  </w:divBdr>
                  <w:divsChild>
                    <w:div w:id="1035161520">
                      <w:marLeft w:val="0"/>
                      <w:marRight w:val="0"/>
                      <w:marTop w:val="0"/>
                      <w:marBottom w:val="0"/>
                      <w:divBdr>
                        <w:top w:val="none" w:sz="0" w:space="0" w:color="auto"/>
                        <w:left w:val="none" w:sz="0" w:space="0" w:color="auto"/>
                        <w:bottom w:val="none" w:sz="0" w:space="0" w:color="auto"/>
                        <w:right w:val="none" w:sz="0" w:space="0" w:color="auto"/>
                      </w:divBdr>
                    </w:div>
                  </w:divsChild>
                </w:div>
                <w:div w:id="599946948">
                  <w:marLeft w:val="0"/>
                  <w:marRight w:val="0"/>
                  <w:marTop w:val="0"/>
                  <w:marBottom w:val="0"/>
                  <w:divBdr>
                    <w:top w:val="none" w:sz="0" w:space="0" w:color="auto"/>
                    <w:left w:val="none" w:sz="0" w:space="0" w:color="auto"/>
                    <w:bottom w:val="none" w:sz="0" w:space="0" w:color="auto"/>
                    <w:right w:val="none" w:sz="0" w:space="0" w:color="auto"/>
                  </w:divBdr>
                  <w:divsChild>
                    <w:div w:id="1065496740">
                      <w:marLeft w:val="0"/>
                      <w:marRight w:val="0"/>
                      <w:marTop w:val="0"/>
                      <w:marBottom w:val="0"/>
                      <w:divBdr>
                        <w:top w:val="none" w:sz="0" w:space="0" w:color="auto"/>
                        <w:left w:val="none" w:sz="0" w:space="0" w:color="auto"/>
                        <w:bottom w:val="none" w:sz="0" w:space="0" w:color="auto"/>
                        <w:right w:val="none" w:sz="0" w:space="0" w:color="auto"/>
                      </w:divBdr>
                    </w:div>
                  </w:divsChild>
                </w:div>
                <w:div w:id="618924478">
                  <w:marLeft w:val="0"/>
                  <w:marRight w:val="0"/>
                  <w:marTop w:val="0"/>
                  <w:marBottom w:val="0"/>
                  <w:divBdr>
                    <w:top w:val="none" w:sz="0" w:space="0" w:color="auto"/>
                    <w:left w:val="none" w:sz="0" w:space="0" w:color="auto"/>
                    <w:bottom w:val="none" w:sz="0" w:space="0" w:color="auto"/>
                    <w:right w:val="none" w:sz="0" w:space="0" w:color="auto"/>
                  </w:divBdr>
                  <w:divsChild>
                    <w:div w:id="312612223">
                      <w:marLeft w:val="0"/>
                      <w:marRight w:val="0"/>
                      <w:marTop w:val="0"/>
                      <w:marBottom w:val="0"/>
                      <w:divBdr>
                        <w:top w:val="none" w:sz="0" w:space="0" w:color="auto"/>
                        <w:left w:val="none" w:sz="0" w:space="0" w:color="auto"/>
                        <w:bottom w:val="none" w:sz="0" w:space="0" w:color="auto"/>
                        <w:right w:val="none" w:sz="0" w:space="0" w:color="auto"/>
                      </w:divBdr>
                    </w:div>
                  </w:divsChild>
                </w:div>
                <w:div w:id="669605768">
                  <w:marLeft w:val="0"/>
                  <w:marRight w:val="0"/>
                  <w:marTop w:val="0"/>
                  <w:marBottom w:val="0"/>
                  <w:divBdr>
                    <w:top w:val="none" w:sz="0" w:space="0" w:color="auto"/>
                    <w:left w:val="none" w:sz="0" w:space="0" w:color="auto"/>
                    <w:bottom w:val="none" w:sz="0" w:space="0" w:color="auto"/>
                    <w:right w:val="none" w:sz="0" w:space="0" w:color="auto"/>
                  </w:divBdr>
                  <w:divsChild>
                    <w:div w:id="692078168">
                      <w:marLeft w:val="0"/>
                      <w:marRight w:val="0"/>
                      <w:marTop w:val="0"/>
                      <w:marBottom w:val="0"/>
                      <w:divBdr>
                        <w:top w:val="none" w:sz="0" w:space="0" w:color="auto"/>
                        <w:left w:val="none" w:sz="0" w:space="0" w:color="auto"/>
                        <w:bottom w:val="none" w:sz="0" w:space="0" w:color="auto"/>
                        <w:right w:val="none" w:sz="0" w:space="0" w:color="auto"/>
                      </w:divBdr>
                    </w:div>
                  </w:divsChild>
                </w:div>
                <w:div w:id="693456677">
                  <w:marLeft w:val="0"/>
                  <w:marRight w:val="0"/>
                  <w:marTop w:val="0"/>
                  <w:marBottom w:val="0"/>
                  <w:divBdr>
                    <w:top w:val="none" w:sz="0" w:space="0" w:color="auto"/>
                    <w:left w:val="none" w:sz="0" w:space="0" w:color="auto"/>
                    <w:bottom w:val="none" w:sz="0" w:space="0" w:color="auto"/>
                    <w:right w:val="none" w:sz="0" w:space="0" w:color="auto"/>
                  </w:divBdr>
                  <w:divsChild>
                    <w:div w:id="775057076">
                      <w:marLeft w:val="0"/>
                      <w:marRight w:val="0"/>
                      <w:marTop w:val="0"/>
                      <w:marBottom w:val="0"/>
                      <w:divBdr>
                        <w:top w:val="none" w:sz="0" w:space="0" w:color="auto"/>
                        <w:left w:val="none" w:sz="0" w:space="0" w:color="auto"/>
                        <w:bottom w:val="none" w:sz="0" w:space="0" w:color="auto"/>
                        <w:right w:val="none" w:sz="0" w:space="0" w:color="auto"/>
                      </w:divBdr>
                    </w:div>
                  </w:divsChild>
                </w:div>
                <w:div w:id="699671375">
                  <w:marLeft w:val="0"/>
                  <w:marRight w:val="0"/>
                  <w:marTop w:val="0"/>
                  <w:marBottom w:val="0"/>
                  <w:divBdr>
                    <w:top w:val="none" w:sz="0" w:space="0" w:color="auto"/>
                    <w:left w:val="none" w:sz="0" w:space="0" w:color="auto"/>
                    <w:bottom w:val="none" w:sz="0" w:space="0" w:color="auto"/>
                    <w:right w:val="none" w:sz="0" w:space="0" w:color="auto"/>
                  </w:divBdr>
                  <w:divsChild>
                    <w:div w:id="600794343">
                      <w:marLeft w:val="0"/>
                      <w:marRight w:val="0"/>
                      <w:marTop w:val="0"/>
                      <w:marBottom w:val="0"/>
                      <w:divBdr>
                        <w:top w:val="none" w:sz="0" w:space="0" w:color="auto"/>
                        <w:left w:val="none" w:sz="0" w:space="0" w:color="auto"/>
                        <w:bottom w:val="none" w:sz="0" w:space="0" w:color="auto"/>
                        <w:right w:val="none" w:sz="0" w:space="0" w:color="auto"/>
                      </w:divBdr>
                    </w:div>
                  </w:divsChild>
                </w:div>
                <w:div w:id="704059140">
                  <w:marLeft w:val="0"/>
                  <w:marRight w:val="0"/>
                  <w:marTop w:val="0"/>
                  <w:marBottom w:val="0"/>
                  <w:divBdr>
                    <w:top w:val="none" w:sz="0" w:space="0" w:color="auto"/>
                    <w:left w:val="none" w:sz="0" w:space="0" w:color="auto"/>
                    <w:bottom w:val="none" w:sz="0" w:space="0" w:color="auto"/>
                    <w:right w:val="none" w:sz="0" w:space="0" w:color="auto"/>
                  </w:divBdr>
                  <w:divsChild>
                    <w:div w:id="446314641">
                      <w:marLeft w:val="0"/>
                      <w:marRight w:val="0"/>
                      <w:marTop w:val="0"/>
                      <w:marBottom w:val="0"/>
                      <w:divBdr>
                        <w:top w:val="none" w:sz="0" w:space="0" w:color="auto"/>
                        <w:left w:val="none" w:sz="0" w:space="0" w:color="auto"/>
                        <w:bottom w:val="none" w:sz="0" w:space="0" w:color="auto"/>
                        <w:right w:val="none" w:sz="0" w:space="0" w:color="auto"/>
                      </w:divBdr>
                    </w:div>
                  </w:divsChild>
                </w:div>
                <w:div w:id="705761997">
                  <w:marLeft w:val="0"/>
                  <w:marRight w:val="0"/>
                  <w:marTop w:val="0"/>
                  <w:marBottom w:val="0"/>
                  <w:divBdr>
                    <w:top w:val="none" w:sz="0" w:space="0" w:color="auto"/>
                    <w:left w:val="none" w:sz="0" w:space="0" w:color="auto"/>
                    <w:bottom w:val="none" w:sz="0" w:space="0" w:color="auto"/>
                    <w:right w:val="none" w:sz="0" w:space="0" w:color="auto"/>
                  </w:divBdr>
                  <w:divsChild>
                    <w:div w:id="1760523890">
                      <w:marLeft w:val="0"/>
                      <w:marRight w:val="0"/>
                      <w:marTop w:val="0"/>
                      <w:marBottom w:val="0"/>
                      <w:divBdr>
                        <w:top w:val="none" w:sz="0" w:space="0" w:color="auto"/>
                        <w:left w:val="none" w:sz="0" w:space="0" w:color="auto"/>
                        <w:bottom w:val="none" w:sz="0" w:space="0" w:color="auto"/>
                        <w:right w:val="none" w:sz="0" w:space="0" w:color="auto"/>
                      </w:divBdr>
                    </w:div>
                  </w:divsChild>
                </w:div>
                <w:div w:id="706949872">
                  <w:marLeft w:val="0"/>
                  <w:marRight w:val="0"/>
                  <w:marTop w:val="0"/>
                  <w:marBottom w:val="0"/>
                  <w:divBdr>
                    <w:top w:val="none" w:sz="0" w:space="0" w:color="auto"/>
                    <w:left w:val="none" w:sz="0" w:space="0" w:color="auto"/>
                    <w:bottom w:val="none" w:sz="0" w:space="0" w:color="auto"/>
                    <w:right w:val="none" w:sz="0" w:space="0" w:color="auto"/>
                  </w:divBdr>
                  <w:divsChild>
                    <w:div w:id="1680355806">
                      <w:marLeft w:val="0"/>
                      <w:marRight w:val="0"/>
                      <w:marTop w:val="0"/>
                      <w:marBottom w:val="0"/>
                      <w:divBdr>
                        <w:top w:val="none" w:sz="0" w:space="0" w:color="auto"/>
                        <w:left w:val="none" w:sz="0" w:space="0" w:color="auto"/>
                        <w:bottom w:val="none" w:sz="0" w:space="0" w:color="auto"/>
                        <w:right w:val="none" w:sz="0" w:space="0" w:color="auto"/>
                      </w:divBdr>
                    </w:div>
                  </w:divsChild>
                </w:div>
                <w:div w:id="739596092">
                  <w:marLeft w:val="0"/>
                  <w:marRight w:val="0"/>
                  <w:marTop w:val="0"/>
                  <w:marBottom w:val="0"/>
                  <w:divBdr>
                    <w:top w:val="none" w:sz="0" w:space="0" w:color="auto"/>
                    <w:left w:val="none" w:sz="0" w:space="0" w:color="auto"/>
                    <w:bottom w:val="none" w:sz="0" w:space="0" w:color="auto"/>
                    <w:right w:val="none" w:sz="0" w:space="0" w:color="auto"/>
                  </w:divBdr>
                  <w:divsChild>
                    <w:div w:id="277224204">
                      <w:marLeft w:val="0"/>
                      <w:marRight w:val="0"/>
                      <w:marTop w:val="0"/>
                      <w:marBottom w:val="0"/>
                      <w:divBdr>
                        <w:top w:val="none" w:sz="0" w:space="0" w:color="auto"/>
                        <w:left w:val="none" w:sz="0" w:space="0" w:color="auto"/>
                        <w:bottom w:val="none" w:sz="0" w:space="0" w:color="auto"/>
                        <w:right w:val="none" w:sz="0" w:space="0" w:color="auto"/>
                      </w:divBdr>
                    </w:div>
                  </w:divsChild>
                </w:div>
                <w:div w:id="740518727">
                  <w:marLeft w:val="0"/>
                  <w:marRight w:val="0"/>
                  <w:marTop w:val="0"/>
                  <w:marBottom w:val="0"/>
                  <w:divBdr>
                    <w:top w:val="none" w:sz="0" w:space="0" w:color="auto"/>
                    <w:left w:val="none" w:sz="0" w:space="0" w:color="auto"/>
                    <w:bottom w:val="none" w:sz="0" w:space="0" w:color="auto"/>
                    <w:right w:val="none" w:sz="0" w:space="0" w:color="auto"/>
                  </w:divBdr>
                  <w:divsChild>
                    <w:div w:id="567113757">
                      <w:marLeft w:val="0"/>
                      <w:marRight w:val="0"/>
                      <w:marTop w:val="0"/>
                      <w:marBottom w:val="0"/>
                      <w:divBdr>
                        <w:top w:val="none" w:sz="0" w:space="0" w:color="auto"/>
                        <w:left w:val="none" w:sz="0" w:space="0" w:color="auto"/>
                        <w:bottom w:val="none" w:sz="0" w:space="0" w:color="auto"/>
                        <w:right w:val="none" w:sz="0" w:space="0" w:color="auto"/>
                      </w:divBdr>
                    </w:div>
                  </w:divsChild>
                </w:div>
                <w:div w:id="787747586">
                  <w:marLeft w:val="0"/>
                  <w:marRight w:val="0"/>
                  <w:marTop w:val="0"/>
                  <w:marBottom w:val="0"/>
                  <w:divBdr>
                    <w:top w:val="none" w:sz="0" w:space="0" w:color="auto"/>
                    <w:left w:val="none" w:sz="0" w:space="0" w:color="auto"/>
                    <w:bottom w:val="none" w:sz="0" w:space="0" w:color="auto"/>
                    <w:right w:val="none" w:sz="0" w:space="0" w:color="auto"/>
                  </w:divBdr>
                  <w:divsChild>
                    <w:div w:id="1502432049">
                      <w:marLeft w:val="0"/>
                      <w:marRight w:val="0"/>
                      <w:marTop w:val="0"/>
                      <w:marBottom w:val="0"/>
                      <w:divBdr>
                        <w:top w:val="none" w:sz="0" w:space="0" w:color="auto"/>
                        <w:left w:val="none" w:sz="0" w:space="0" w:color="auto"/>
                        <w:bottom w:val="none" w:sz="0" w:space="0" w:color="auto"/>
                        <w:right w:val="none" w:sz="0" w:space="0" w:color="auto"/>
                      </w:divBdr>
                    </w:div>
                  </w:divsChild>
                </w:div>
                <w:div w:id="793717885">
                  <w:marLeft w:val="0"/>
                  <w:marRight w:val="0"/>
                  <w:marTop w:val="0"/>
                  <w:marBottom w:val="0"/>
                  <w:divBdr>
                    <w:top w:val="none" w:sz="0" w:space="0" w:color="auto"/>
                    <w:left w:val="none" w:sz="0" w:space="0" w:color="auto"/>
                    <w:bottom w:val="none" w:sz="0" w:space="0" w:color="auto"/>
                    <w:right w:val="none" w:sz="0" w:space="0" w:color="auto"/>
                  </w:divBdr>
                  <w:divsChild>
                    <w:div w:id="731729650">
                      <w:marLeft w:val="0"/>
                      <w:marRight w:val="0"/>
                      <w:marTop w:val="0"/>
                      <w:marBottom w:val="0"/>
                      <w:divBdr>
                        <w:top w:val="none" w:sz="0" w:space="0" w:color="auto"/>
                        <w:left w:val="none" w:sz="0" w:space="0" w:color="auto"/>
                        <w:bottom w:val="none" w:sz="0" w:space="0" w:color="auto"/>
                        <w:right w:val="none" w:sz="0" w:space="0" w:color="auto"/>
                      </w:divBdr>
                    </w:div>
                  </w:divsChild>
                </w:div>
                <w:div w:id="800655969">
                  <w:marLeft w:val="0"/>
                  <w:marRight w:val="0"/>
                  <w:marTop w:val="0"/>
                  <w:marBottom w:val="0"/>
                  <w:divBdr>
                    <w:top w:val="none" w:sz="0" w:space="0" w:color="auto"/>
                    <w:left w:val="none" w:sz="0" w:space="0" w:color="auto"/>
                    <w:bottom w:val="none" w:sz="0" w:space="0" w:color="auto"/>
                    <w:right w:val="none" w:sz="0" w:space="0" w:color="auto"/>
                  </w:divBdr>
                  <w:divsChild>
                    <w:div w:id="1530023312">
                      <w:marLeft w:val="0"/>
                      <w:marRight w:val="0"/>
                      <w:marTop w:val="0"/>
                      <w:marBottom w:val="0"/>
                      <w:divBdr>
                        <w:top w:val="none" w:sz="0" w:space="0" w:color="auto"/>
                        <w:left w:val="none" w:sz="0" w:space="0" w:color="auto"/>
                        <w:bottom w:val="none" w:sz="0" w:space="0" w:color="auto"/>
                        <w:right w:val="none" w:sz="0" w:space="0" w:color="auto"/>
                      </w:divBdr>
                    </w:div>
                  </w:divsChild>
                </w:div>
                <w:div w:id="816189124">
                  <w:marLeft w:val="0"/>
                  <w:marRight w:val="0"/>
                  <w:marTop w:val="0"/>
                  <w:marBottom w:val="0"/>
                  <w:divBdr>
                    <w:top w:val="none" w:sz="0" w:space="0" w:color="auto"/>
                    <w:left w:val="none" w:sz="0" w:space="0" w:color="auto"/>
                    <w:bottom w:val="none" w:sz="0" w:space="0" w:color="auto"/>
                    <w:right w:val="none" w:sz="0" w:space="0" w:color="auto"/>
                  </w:divBdr>
                  <w:divsChild>
                    <w:div w:id="1943805115">
                      <w:marLeft w:val="0"/>
                      <w:marRight w:val="0"/>
                      <w:marTop w:val="0"/>
                      <w:marBottom w:val="0"/>
                      <w:divBdr>
                        <w:top w:val="none" w:sz="0" w:space="0" w:color="auto"/>
                        <w:left w:val="none" w:sz="0" w:space="0" w:color="auto"/>
                        <w:bottom w:val="none" w:sz="0" w:space="0" w:color="auto"/>
                        <w:right w:val="none" w:sz="0" w:space="0" w:color="auto"/>
                      </w:divBdr>
                    </w:div>
                  </w:divsChild>
                </w:div>
                <w:div w:id="856847664">
                  <w:marLeft w:val="0"/>
                  <w:marRight w:val="0"/>
                  <w:marTop w:val="0"/>
                  <w:marBottom w:val="0"/>
                  <w:divBdr>
                    <w:top w:val="none" w:sz="0" w:space="0" w:color="auto"/>
                    <w:left w:val="none" w:sz="0" w:space="0" w:color="auto"/>
                    <w:bottom w:val="none" w:sz="0" w:space="0" w:color="auto"/>
                    <w:right w:val="none" w:sz="0" w:space="0" w:color="auto"/>
                  </w:divBdr>
                  <w:divsChild>
                    <w:div w:id="1953628715">
                      <w:marLeft w:val="0"/>
                      <w:marRight w:val="0"/>
                      <w:marTop w:val="0"/>
                      <w:marBottom w:val="0"/>
                      <w:divBdr>
                        <w:top w:val="none" w:sz="0" w:space="0" w:color="auto"/>
                        <w:left w:val="none" w:sz="0" w:space="0" w:color="auto"/>
                        <w:bottom w:val="none" w:sz="0" w:space="0" w:color="auto"/>
                        <w:right w:val="none" w:sz="0" w:space="0" w:color="auto"/>
                      </w:divBdr>
                    </w:div>
                  </w:divsChild>
                </w:div>
                <w:div w:id="877664263">
                  <w:marLeft w:val="0"/>
                  <w:marRight w:val="0"/>
                  <w:marTop w:val="0"/>
                  <w:marBottom w:val="0"/>
                  <w:divBdr>
                    <w:top w:val="none" w:sz="0" w:space="0" w:color="auto"/>
                    <w:left w:val="none" w:sz="0" w:space="0" w:color="auto"/>
                    <w:bottom w:val="none" w:sz="0" w:space="0" w:color="auto"/>
                    <w:right w:val="none" w:sz="0" w:space="0" w:color="auto"/>
                  </w:divBdr>
                  <w:divsChild>
                    <w:div w:id="710809993">
                      <w:marLeft w:val="0"/>
                      <w:marRight w:val="0"/>
                      <w:marTop w:val="0"/>
                      <w:marBottom w:val="0"/>
                      <w:divBdr>
                        <w:top w:val="none" w:sz="0" w:space="0" w:color="auto"/>
                        <w:left w:val="none" w:sz="0" w:space="0" w:color="auto"/>
                        <w:bottom w:val="none" w:sz="0" w:space="0" w:color="auto"/>
                        <w:right w:val="none" w:sz="0" w:space="0" w:color="auto"/>
                      </w:divBdr>
                    </w:div>
                  </w:divsChild>
                </w:div>
                <w:div w:id="878129808">
                  <w:marLeft w:val="0"/>
                  <w:marRight w:val="0"/>
                  <w:marTop w:val="0"/>
                  <w:marBottom w:val="0"/>
                  <w:divBdr>
                    <w:top w:val="none" w:sz="0" w:space="0" w:color="auto"/>
                    <w:left w:val="none" w:sz="0" w:space="0" w:color="auto"/>
                    <w:bottom w:val="none" w:sz="0" w:space="0" w:color="auto"/>
                    <w:right w:val="none" w:sz="0" w:space="0" w:color="auto"/>
                  </w:divBdr>
                  <w:divsChild>
                    <w:div w:id="1434395942">
                      <w:marLeft w:val="0"/>
                      <w:marRight w:val="0"/>
                      <w:marTop w:val="0"/>
                      <w:marBottom w:val="0"/>
                      <w:divBdr>
                        <w:top w:val="none" w:sz="0" w:space="0" w:color="auto"/>
                        <w:left w:val="none" w:sz="0" w:space="0" w:color="auto"/>
                        <w:bottom w:val="none" w:sz="0" w:space="0" w:color="auto"/>
                        <w:right w:val="none" w:sz="0" w:space="0" w:color="auto"/>
                      </w:divBdr>
                    </w:div>
                  </w:divsChild>
                </w:div>
                <w:div w:id="880627854">
                  <w:marLeft w:val="0"/>
                  <w:marRight w:val="0"/>
                  <w:marTop w:val="0"/>
                  <w:marBottom w:val="0"/>
                  <w:divBdr>
                    <w:top w:val="none" w:sz="0" w:space="0" w:color="auto"/>
                    <w:left w:val="none" w:sz="0" w:space="0" w:color="auto"/>
                    <w:bottom w:val="none" w:sz="0" w:space="0" w:color="auto"/>
                    <w:right w:val="none" w:sz="0" w:space="0" w:color="auto"/>
                  </w:divBdr>
                  <w:divsChild>
                    <w:div w:id="2131974148">
                      <w:marLeft w:val="0"/>
                      <w:marRight w:val="0"/>
                      <w:marTop w:val="0"/>
                      <w:marBottom w:val="0"/>
                      <w:divBdr>
                        <w:top w:val="none" w:sz="0" w:space="0" w:color="auto"/>
                        <w:left w:val="none" w:sz="0" w:space="0" w:color="auto"/>
                        <w:bottom w:val="none" w:sz="0" w:space="0" w:color="auto"/>
                        <w:right w:val="none" w:sz="0" w:space="0" w:color="auto"/>
                      </w:divBdr>
                    </w:div>
                  </w:divsChild>
                </w:div>
                <w:div w:id="899747770">
                  <w:marLeft w:val="0"/>
                  <w:marRight w:val="0"/>
                  <w:marTop w:val="0"/>
                  <w:marBottom w:val="0"/>
                  <w:divBdr>
                    <w:top w:val="none" w:sz="0" w:space="0" w:color="auto"/>
                    <w:left w:val="none" w:sz="0" w:space="0" w:color="auto"/>
                    <w:bottom w:val="none" w:sz="0" w:space="0" w:color="auto"/>
                    <w:right w:val="none" w:sz="0" w:space="0" w:color="auto"/>
                  </w:divBdr>
                  <w:divsChild>
                    <w:div w:id="690448056">
                      <w:marLeft w:val="0"/>
                      <w:marRight w:val="0"/>
                      <w:marTop w:val="0"/>
                      <w:marBottom w:val="0"/>
                      <w:divBdr>
                        <w:top w:val="none" w:sz="0" w:space="0" w:color="auto"/>
                        <w:left w:val="none" w:sz="0" w:space="0" w:color="auto"/>
                        <w:bottom w:val="none" w:sz="0" w:space="0" w:color="auto"/>
                        <w:right w:val="none" w:sz="0" w:space="0" w:color="auto"/>
                      </w:divBdr>
                    </w:div>
                  </w:divsChild>
                </w:div>
                <w:div w:id="907617939">
                  <w:marLeft w:val="0"/>
                  <w:marRight w:val="0"/>
                  <w:marTop w:val="0"/>
                  <w:marBottom w:val="0"/>
                  <w:divBdr>
                    <w:top w:val="none" w:sz="0" w:space="0" w:color="auto"/>
                    <w:left w:val="none" w:sz="0" w:space="0" w:color="auto"/>
                    <w:bottom w:val="none" w:sz="0" w:space="0" w:color="auto"/>
                    <w:right w:val="none" w:sz="0" w:space="0" w:color="auto"/>
                  </w:divBdr>
                  <w:divsChild>
                    <w:div w:id="1184711603">
                      <w:marLeft w:val="0"/>
                      <w:marRight w:val="0"/>
                      <w:marTop w:val="0"/>
                      <w:marBottom w:val="0"/>
                      <w:divBdr>
                        <w:top w:val="none" w:sz="0" w:space="0" w:color="auto"/>
                        <w:left w:val="none" w:sz="0" w:space="0" w:color="auto"/>
                        <w:bottom w:val="none" w:sz="0" w:space="0" w:color="auto"/>
                        <w:right w:val="none" w:sz="0" w:space="0" w:color="auto"/>
                      </w:divBdr>
                    </w:div>
                  </w:divsChild>
                </w:div>
                <w:div w:id="909312730">
                  <w:marLeft w:val="0"/>
                  <w:marRight w:val="0"/>
                  <w:marTop w:val="0"/>
                  <w:marBottom w:val="0"/>
                  <w:divBdr>
                    <w:top w:val="none" w:sz="0" w:space="0" w:color="auto"/>
                    <w:left w:val="none" w:sz="0" w:space="0" w:color="auto"/>
                    <w:bottom w:val="none" w:sz="0" w:space="0" w:color="auto"/>
                    <w:right w:val="none" w:sz="0" w:space="0" w:color="auto"/>
                  </w:divBdr>
                  <w:divsChild>
                    <w:div w:id="1396123562">
                      <w:marLeft w:val="0"/>
                      <w:marRight w:val="0"/>
                      <w:marTop w:val="0"/>
                      <w:marBottom w:val="0"/>
                      <w:divBdr>
                        <w:top w:val="none" w:sz="0" w:space="0" w:color="auto"/>
                        <w:left w:val="none" w:sz="0" w:space="0" w:color="auto"/>
                        <w:bottom w:val="none" w:sz="0" w:space="0" w:color="auto"/>
                        <w:right w:val="none" w:sz="0" w:space="0" w:color="auto"/>
                      </w:divBdr>
                    </w:div>
                  </w:divsChild>
                </w:div>
                <w:div w:id="912936446">
                  <w:marLeft w:val="0"/>
                  <w:marRight w:val="0"/>
                  <w:marTop w:val="0"/>
                  <w:marBottom w:val="0"/>
                  <w:divBdr>
                    <w:top w:val="none" w:sz="0" w:space="0" w:color="auto"/>
                    <w:left w:val="none" w:sz="0" w:space="0" w:color="auto"/>
                    <w:bottom w:val="none" w:sz="0" w:space="0" w:color="auto"/>
                    <w:right w:val="none" w:sz="0" w:space="0" w:color="auto"/>
                  </w:divBdr>
                  <w:divsChild>
                    <w:div w:id="818983">
                      <w:marLeft w:val="0"/>
                      <w:marRight w:val="0"/>
                      <w:marTop w:val="0"/>
                      <w:marBottom w:val="0"/>
                      <w:divBdr>
                        <w:top w:val="none" w:sz="0" w:space="0" w:color="auto"/>
                        <w:left w:val="none" w:sz="0" w:space="0" w:color="auto"/>
                        <w:bottom w:val="none" w:sz="0" w:space="0" w:color="auto"/>
                        <w:right w:val="none" w:sz="0" w:space="0" w:color="auto"/>
                      </w:divBdr>
                    </w:div>
                  </w:divsChild>
                </w:div>
                <w:div w:id="915896745">
                  <w:marLeft w:val="0"/>
                  <w:marRight w:val="0"/>
                  <w:marTop w:val="0"/>
                  <w:marBottom w:val="0"/>
                  <w:divBdr>
                    <w:top w:val="none" w:sz="0" w:space="0" w:color="auto"/>
                    <w:left w:val="none" w:sz="0" w:space="0" w:color="auto"/>
                    <w:bottom w:val="none" w:sz="0" w:space="0" w:color="auto"/>
                    <w:right w:val="none" w:sz="0" w:space="0" w:color="auto"/>
                  </w:divBdr>
                  <w:divsChild>
                    <w:div w:id="1527018329">
                      <w:marLeft w:val="0"/>
                      <w:marRight w:val="0"/>
                      <w:marTop w:val="0"/>
                      <w:marBottom w:val="0"/>
                      <w:divBdr>
                        <w:top w:val="none" w:sz="0" w:space="0" w:color="auto"/>
                        <w:left w:val="none" w:sz="0" w:space="0" w:color="auto"/>
                        <w:bottom w:val="none" w:sz="0" w:space="0" w:color="auto"/>
                        <w:right w:val="none" w:sz="0" w:space="0" w:color="auto"/>
                      </w:divBdr>
                    </w:div>
                  </w:divsChild>
                </w:div>
                <w:div w:id="924069821">
                  <w:marLeft w:val="0"/>
                  <w:marRight w:val="0"/>
                  <w:marTop w:val="0"/>
                  <w:marBottom w:val="0"/>
                  <w:divBdr>
                    <w:top w:val="none" w:sz="0" w:space="0" w:color="auto"/>
                    <w:left w:val="none" w:sz="0" w:space="0" w:color="auto"/>
                    <w:bottom w:val="none" w:sz="0" w:space="0" w:color="auto"/>
                    <w:right w:val="none" w:sz="0" w:space="0" w:color="auto"/>
                  </w:divBdr>
                  <w:divsChild>
                    <w:div w:id="1127820826">
                      <w:marLeft w:val="0"/>
                      <w:marRight w:val="0"/>
                      <w:marTop w:val="0"/>
                      <w:marBottom w:val="0"/>
                      <w:divBdr>
                        <w:top w:val="none" w:sz="0" w:space="0" w:color="auto"/>
                        <w:left w:val="none" w:sz="0" w:space="0" w:color="auto"/>
                        <w:bottom w:val="none" w:sz="0" w:space="0" w:color="auto"/>
                        <w:right w:val="none" w:sz="0" w:space="0" w:color="auto"/>
                      </w:divBdr>
                    </w:div>
                  </w:divsChild>
                </w:div>
                <w:div w:id="986058802">
                  <w:marLeft w:val="0"/>
                  <w:marRight w:val="0"/>
                  <w:marTop w:val="0"/>
                  <w:marBottom w:val="0"/>
                  <w:divBdr>
                    <w:top w:val="none" w:sz="0" w:space="0" w:color="auto"/>
                    <w:left w:val="none" w:sz="0" w:space="0" w:color="auto"/>
                    <w:bottom w:val="none" w:sz="0" w:space="0" w:color="auto"/>
                    <w:right w:val="none" w:sz="0" w:space="0" w:color="auto"/>
                  </w:divBdr>
                  <w:divsChild>
                    <w:div w:id="746850106">
                      <w:marLeft w:val="0"/>
                      <w:marRight w:val="0"/>
                      <w:marTop w:val="0"/>
                      <w:marBottom w:val="0"/>
                      <w:divBdr>
                        <w:top w:val="none" w:sz="0" w:space="0" w:color="auto"/>
                        <w:left w:val="none" w:sz="0" w:space="0" w:color="auto"/>
                        <w:bottom w:val="none" w:sz="0" w:space="0" w:color="auto"/>
                        <w:right w:val="none" w:sz="0" w:space="0" w:color="auto"/>
                      </w:divBdr>
                    </w:div>
                  </w:divsChild>
                </w:div>
                <w:div w:id="989021593">
                  <w:marLeft w:val="0"/>
                  <w:marRight w:val="0"/>
                  <w:marTop w:val="0"/>
                  <w:marBottom w:val="0"/>
                  <w:divBdr>
                    <w:top w:val="none" w:sz="0" w:space="0" w:color="auto"/>
                    <w:left w:val="none" w:sz="0" w:space="0" w:color="auto"/>
                    <w:bottom w:val="none" w:sz="0" w:space="0" w:color="auto"/>
                    <w:right w:val="none" w:sz="0" w:space="0" w:color="auto"/>
                  </w:divBdr>
                  <w:divsChild>
                    <w:div w:id="2076774182">
                      <w:marLeft w:val="0"/>
                      <w:marRight w:val="0"/>
                      <w:marTop w:val="0"/>
                      <w:marBottom w:val="0"/>
                      <w:divBdr>
                        <w:top w:val="none" w:sz="0" w:space="0" w:color="auto"/>
                        <w:left w:val="none" w:sz="0" w:space="0" w:color="auto"/>
                        <w:bottom w:val="none" w:sz="0" w:space="0" w:color="auto"/>
                        <w:right w:val="none" w:sz="0" w:space="0" w:color="auto"/>
                      </w:divBdr>
                    </w:div>
                  </w:divsChild>
                </w:div>
                <w:div w:id="1009134884">
                  <w:marLeft w:val="0"/>
                  <w:marRight w:val="0"/>
                  <w:marTop w:val="0"/>
                  <w:marBottom w:val="0"/>
                  <w:divBdr>
                    <w:top w:val="none" w:sz="0" w:space="0" w:color="auto"/>
                    <w:left w:val="none" w:sz="0" w:space="0" w:color="auto"/>
                    <w:bottom w:val="none" w:sz="0" w:space="0" w:color="auto"/>
                    <w:right w:val="none" w:sz="0" w:space="0" w:color="auto"/>
                  </w:divBdr>
                  <w:divsChild>
                    <w:div w:id="869337067">
                      <w:marLeft w:val="0"/>
                      <w:marRight w:val="0"/>
                      <w:marTop w:val="0"/>
                      <w:marBottom w:val="0"/>
                      <w:divBdr>
                        <w:top w:val="none" w:sz="0" w:space="0" w:color="auto"/>
                        <w:left w:val="none" w:sz="0" w:space="0" w:color="auto"/>
                        <w:bottom w:val="none" w:sz="0" w:space="0" w:color="auto"/>
                        <w:right w:val="none" w:sz="0" w:space="0" w:color="auto"/>
                      </w:divBdr>
                    </w:div>
                  </w:divsChild>
                </w:div>
                <w:div w:id="1026563501">
                  <w:marLeft w:val="0"/>
                  <w:marRight w:val="0"/>
                  <w:marTop w:val="0"/>
                  <w:marBottom w:val="0"/>
                  <w:divBdr>
                    <w:top w:val="none" w:sz="0" w:space="0" w:color="auto"/>
                    <w:left w:val="none" w:sz="0" w:space="0" w:color="auto"/>
                    <w:bottom w:val="none" w:sz="0" w:space="0" w:color="auto"/>
                    <w:right w:val="none" w:sz="0" w:space="0" w:color="auto"/>
                  </w:divBdr>
                  <w:divsChild>
                    <w:div w:id="1048643809">
                      <w:marLeft w:val="0"/>
                      <w:marRight w:val="0"/>
                      <w:marTop w:val="0"/>
                      <w:marBottom w:val="0"/>
                      <w:divBdr>
                        <w:top w:val="none" w:sz="0" w:space="0" w:color="auto"/>
                        <w:left w:val="none" w:sz="0" w:space="0" w:color="auto"/>
                        <w:bottom w:val="none" w:sz="0" w:space="0" w:color="auto"/>
                        <w:right w:val="none" w:sz="0" w:space="0" w:color="auto"/>
                      </w:divBdr>
                    </w:div>
                  </w:divsChild>
                </w:div>
                <w:div w:id="1028677506">
                  <w:marLeft w:val="0"/>
                  <w:marRight w:val="0"/>
                  <w:marTop w:val="0"/>
                  <w:marBottom w:val="0"/>
                  <w:divBdr>
                    <w:top w:val="none" w:sz="0" w:space="0" w:color="auto"/>
                    <w:left w:val="none" w:sz="0" w:space="0" w:color="auto"/>
                    <w:bottom w:val="none" w:sz="0" w:space="0" w:color="auto"/>
                    <w:right w:val="none" w:sz="0" w:space="0" w:color="auto"/>
                  </w:divBdr>
                  <w:divsChild>
                    <w:div w:id="561794262">
                      <w:marLeft w:val="0"/>
                      <w:marRight w:val="0"/>
                      <w:marTop w:val="0"/>
                      <w:marBottom w:val="0"/>
                      <w:divBdr>
                        <w:top w:val="none" w:sz="0" w:space="0" w:color="auto"/>
                        <w:left w:val="none" w:sz="0" w:space="0" w:color="auto"/>
                        <w:bottom w:val="none" w:sz="0" w:space="0" w:color="auto"/>
                        <w:right w:val="none" w:sz="0" w:space="0" w:color="auto"/>
                      </w:divBdr>
                    </w:div>
                  </w:divsChild>
                </w:div>
                <w:div w:id="1036855663">
                  <w:marLeft w:val="0"/>
                  <w:marRight w:val="0"/>
                  <w:marTop w:val="0"/>
                  <w:marBottom w:val="0"/>
                  <w:divBdr>
                    <w:top w:val="none" w:sz="0" w:space="0" w:color="auto"/>
                    <w:left w:val="none" w:sz="0" w:space="0" w:color="auto"/>
                    <w:bottom w:val="none" w:sz="0" w:space="0" w:color="auto"/>
                    <w:right w:val="none" w:sz="0" w:space="0" w:color="auto"/>
                  </w:divBdr>
                  <w:divsChild>
                    <w:div w:id="1155803387">
                      <w:marLeft w:val="0"/>
                      <w:marRight w:val="0"/>
                      <w:marTop w:val="0"/>
                      <w:marBottom w:val="0"/>
                      <w:divBdr>
                        <w:top w:val="none" w:sz="0" w:space="0" w:color="auto"/>
                        <w:left w:val="none" w:sz="0" w:space="0" w:color="auto"/>
                        <w:bottom w:val="none" w:sz="0" w:space="0" w:color="auto"/>
                        <w:right w:val="none" w:sz="0" w:space="0" w:color="auto"/>
                      </w:divBdr>
                    </w:div>
                  </w:divsChild>
                </w:div>
                <w:div w:id="1055934438">
                  <w:marLeft w:val="0"/>
                  <w:marRight w:val="0"/>
                  <w:marTop w:val="0"/>
                  <w:marBottom w:val="0"/>
                  <w:divBdr>
                    <w:top w:val="none" w:sz="0" w:space="0" w:color="auto"/>
                    <w:left w:val="none" w:sz="0" w:space="0" w:color="auto"/>
                    <w:bottom w:val="none" w:sz="0" w:space="0" w:color="auto"/>
                    <w:right w:val="none" w:sz="0" w:space="0" w:color="auto"/>
                  </w:divBdr>
                  <w:divsChild>
                    <w:div w:id="757141820">
                      <w:marLeft w:val="0"/>
                      <w:marRight w:val="0"/>
                      <w:marTop w:val="0"/>
                      <w:marBottom w:val="0"/>
                      <w:divBdr>
                        <w:top w:val="none" w:sz="0" w:space="0" w:color="auto"/>
                        <w:left w:val="none" w:sz="0" w:space="0" w:color="auto"/>
                        <w:bottom w:val="none" w:sz="0" w:space="0" w:color="auto"/>
                        <w:right w:val="none" w:sz="0" w:space="0" w:color="auto"/>
                      </w:divBdr>
                    </w:div>
                  </w:divsChild>
                </w:div>
                <w:div w:id="1082989554">
                  <w:marLeft w:val="0"/>
                  <w:marRight w:val="0"/>
                  <w:marTop w:val="0"/>
                  <w:marBottom w:val="0"/>
                  <w:divBdr>
                    <w:top w:val="none" w:sz="0" w:space="0" w:color="auto"/>
                    <w:left w:val="none" w:sz="0" w:space="0" w:color="auto"/>
                    <w:bottom w:val="none" w:sz="0" w:space="0" w:color="auto"/>
                    <w:right w:val="none" w:sz="0" w:space="0" w:color="auto"/>
                  </w:divBdr>
                  <w:divsChild>
                    <w:div w:id="588975777">
                      <w:marLeft w:val="0"/>
                      <w:marRight w:val="0"/>
                      <w:marTop w:val="0"/>
                      <w:marBottom w:val="0"/>
                      <w:divBdr>
                        <w:top w:val="none" w:sz="0" w:space="0" w:color="auto"/>
                        <w:left w:val="none" w:sz="0" w:space="0" w:color="auto"/>
                        <w:bottom w:val="none" w:sz="0" w:space="0" w:color="auto"/>
                        <w:right w:val="none" w:sz="0" w:space="0" w:color="auto"/>
                      </w:divBdr>
                    </w:div>
                  </w:divsChild>
                </w:div>
                <w:div w:id="1096825598">
                  <w:marLeft w:val="0"/>
                  <w:marRight w:val="0"/>
                  <w:marTop w:val="0"/>
                  <w:marBottom w:val="0"/>
                  <w:divBdr>
                    <w:top w:val="none" w:sz="0" w:space="0" w:color="auto"/>
                    <w:left w:val="none" w:sz="0" w:space="0" w:color="auto"/>
                    <w:bottom w:val="none" w:sz="0" w:space="0" w:color="auto"/>
                    <w:right w:val="none" w:sz="0" w:space="0" w:color="auto"/>
                  </w:divBdr>
                  <w:divsChild>
                    <w:div w:id="406464710">
                      <w:marLeft w:val="0"/>
                      <w:marRight w:val="0"/>
                      <w:marTop w:val="0"/>
                      <w:marBottom w:val="0"/>
                      <w:divBdr>
                        <w:top w:val="none" w:sz="0" w:space="0" w:color="auto"/>
                        <w:left w:val="none" w:sz="0" w:space="0" w:color="auto"/>
                        <w:bottom w:val="none" w:sz="0" w:space="0" w:color="auto"/>
                        <w:right w:val="none" w:sz="0" w:space="0" w:color="auto"/>
                      </w:divBdr>
                    </w:div>
                  </w:divsChild>
                </w:div>
                <w:div w:id="1113868800">
                  <w:marLeft w:val="0"/>
                  <w:marRight w:val="0"/>
                  <w:marTop w:val="0"/>
                  <w:marBottom w:val="0"/>
                  <w:divBdr>
                    <w:top w:val="none" w:sz="0" w:space="0" w:color="auto"/>
                    <w:left w:val="none" w:sz="0" w:space="0" w:color="auto"/>
                    <w:bottom w:val="none" w:sz="0" w:space="0" w:color="auto"/>
                    <w:right w:val="none" w:sz="0" w:space="0" w:color="auto"/>
                  </w:divBdr>
                  <w:divsChild>
                    <w:div w:id="1933777463">
                      <w:marLeft w:val="0"/>
                      <w:marRight w:val="0"/>
                      <w:marTop w:val="0"/>
                      <w:marBottom w:val="0"/>
                      <w:divBdr>
                        <w:top w:val="none" w:sz="0" w:space="0" w:color="auto"/>
                        <w:left w:val="none" w:sz="0" w:space="0" w:color="auto"/>
                        <w:bottom w:val="none" w:sz="0" w:space="0" w:color="auto"/>
                        <w:right w:val="none" w:sz="0" w:space="0" w:color="auto"/>
                      </w:divBdr>
                    </w:div>
                  </w:divsChild>
                </w:div>
                <w:div w:id="1115052486">
                  <w:marLeft w:val="0"/>
                  <w:marRight w:val="0"/>
                  <w:marTop w:val="0"/>
                  <w:marBottom w:val="0"/>
                  <w:divBdr>
                    <w:top w:val="none" w:sz="0" w:space="0" w:color="auto"/>
                    <w:left w:val="none" w:sz="0" w:space="0" w:color="auto"/>
                    <w:bottom w:val="none" w:sz="0" w:space="0" w:color="auto"/>
                    <w:right w:val="none" w:sz="0" w:space="0" w:color="auto"/>
                  </w:divBdr>
                  <w:divsChild>
                    <w:div w:id="2075734301">
                      <w:marLeft w:val="0"/>
                      <w:marRight w:val="0"/>
                      <w:marTop w:val="0"/>
                      <w:marBottom w:val="0"/>
                      <w:divBdr>
                        <w:top w:val="none" w:sz="0" w:space="0" w:color="auto"/>
                        <w:left w:val="none" w:sz="0" w:space="0" w:color="auto"/>
                        <w:bottom w:val="none" w:sz="0" w:space="0" w:color="auto"/>
                        <w:right w:val="none" w:sz="0" w:space="0" w:color="auto"/>
                      </w:divBdr>
                    </w:div>
                  </w:divsChild>
                </w:div>
                <w:div w:id="1115947084">
                  <w:marLeft w:val="0"/>
                  <w:marRight w:val="0"/>
                  <w:marTop w:val="0"/>
                  <w:marBottom w:val="0"/>
                  <w:divBdr>
                    <w:top w:val="none" w:sz="0" w:space="0" w:color="auto"/>
                    <w:left w:val="none" w:sz="0" w:space="0" w:color="auto"/>
                    <w:bottom w:val="none" w:sz="0" w:space="0" w:color="auto"/>
                    <w:right w:val="none" w:sz="0" w:space="0" w:color="auto"/>
                  </w:divBdr>
                  <w:divsChild>
                    <w:div w:id="755053433">
                      <w:marLeft w:val="0"/>
                      <w:marRight w:val="0"/>
                      <w:marTop w:val="0"/>
                      <w:marBottom w:val="0"/>
                      <w:divBdr>
                        <w:top w:val="none" w:sz="0" w:space="0" w:color="auto"/>
                        <w:left w:val="none" w:sz="0" w:space="0" w:color="auto"/>
                        <w:bottom w:val="none" w:sz="0" w:space="0" w:color="auto"/>
                        <w:right w:val="none" w:sz="0" w:space="0" w:color="auto"/>
                      </w:divBdr>
                    </w:div>
                  </w:divsChild>
                </w:div>
                <w:div w:id="1118837037">
                  <w:marLeft w:val="0"/>
                  <w:marRight w:val="0"/>
                  <w:marTop w:val="0"/>
                  <w:marBottom w:val="0"/>
                  <w:divBdr>
                    <w:top w:val="none" w:sz="0" w:space="0" w:color="auto"/>
                    <w:left w:val="none" w:sz="0" w:space="0" w:color="auto"/>
                    <w:bottom w:val="none" w:sz="0" w:space="0" w:color="auto"/>
                    <w:right w:val="none" w:sz="0" w:space="0" w:color="auto"/>
                  </w:divBdr>
                  <w:divsChild>
                    <w:div w:id="123623091">
                      <w:marLeft w:val="0"/>
                      <w:marRight w:val="0"/>
                      <w:marTop w:val="0"/>
                      <w:marBottom w:val="0"/>
                      <w:divBdr>
                        <w:top w:val="none" w:sz="0" w:space="0" w:color="auto"/>
                        <w:left w:val="none" w:sz="0" w:space="0" w:color="auto"/>
                        <w:bottom w:val="none" w:sz="0" w:space="0" w:color="auto"/>
                        <w:right w:val="none" w:sz="0" w:space="0" w:color="auto"/>
                      </w:divBdr>
                    </w:div>
                  </w:divsChild>
                </w:div>
                <w:div w:id="1141732158">
                  <w:marLeft w:val="0"/>
                  <w:marRight w:val="0"/>
                  <w:marTop w:val="0"/>
                  <w:marBottom w:val="0"/>
                  <w:divBdr>
                    <w:top w:val="none" w:sz="0" w:space="0" w:color="auto"/>
                    <w:left w:val="none" w:sz="0" w:space="0" w:color="auto"/>
                    <w:bottom w:val="none" w:sz="0" w:space="0" w:color="auto"/>
                    <w:right w:val="none" w:sz="0" w:space="0" w:color="auto"/>
                  </w:divBdr>
                  <w:divsChild>
                    <w:div w:id="7173477">
                      <w:marLeft w:val="0"/>
                      <w:marRight w:val="0"/>
                      <w:marTop w:val="0"/>
                      <w:marBottom w:val="0"/>
                      <w:divBdr>
                        <w:top w:val="none" w:sz="0" w:space="0" w:color="auto"/>
                        <w:left w:val="none" w:sz="0" w:space="0" w:color="auto"/>
                        <w:bottom w:val="none" w:sz="0" w:space="0" w:color="auto"/>
                        <w:right w:val="none" w:sz="0" w:space="0" w:color="auto"/>
                      </w:divBdr>
                    </w:div>
                  </w:divsChild>
                </w:div>
                <w:div w:id="1143962678">
                  <w:marLeft w:val="0"/>
                  <w:marRight w:val="0"/>
                  <w:marTop w:val="0"/>
                  <w:marBottom w:val="0"/>
                  <w:divBdr>
                    <w:top w:val="none" w:sz="0" w:space="0" w:color="auto"/>
                    <w:left w:val="none" w:sz="0" w:space="0" w:color="auto"/>
                    <w:bottom w:val="none" w:sz="0" w:space="0" w:color="auto"/>
                    <w:right w:val="none" w:sz="0" w:space="0" w:color="auto"/>
                  </w:divBdr>
                  <w:divsChild>
                    <w:div w:id="1644188906">
                      <w:marLeft w:val="0"/>
                      <w:marRight w:val="0"/>
                      <w:marTop w:val="0"/>
                      <w:marBottom w:val="0"/>
                      <w:divBdr>
                        <w:top w:val="none" w:sz="0" w:space="0" w:color="auto"/>
                        <w:left w:val="none" w:sz="0" w:space="0" w:color="auto"/>
                        <w:bottom w:val="none" w:sz="0" w:space="0" w:color="auto"/>
                        <w:right w:val="none" w:sz="0" w:space="0" w:color="auto"/>
                      </w:divBdr>
                    </w:div>
                  </w:divsChild>
                </w:div>
                <w:div w:id="1181240825">
                  <w:marLeft w:val="0"/>
                  <w:marRight w:val="0"/>
                  <w:marTop w:val="0"/>
                  <w:marBottom w:val="0"/>
                  <w:divBdr>
                    <w:top w:val="none" w:sz="0" w:space="0" w:color="auto"/>
                    <w:left w:val="none" w:sz="0" w:space="0" w:color="auto"/>
                    <w:bottom w:val="none" w:sz="0" w:space="0" w:color="auto"/>
                    <w:right w:val="none" w:sz="0" w:space="0" w:color="auto"/>
                  </w:divBdr>
                  <w:divsChild>
                    <w:div w:id="1639650277">
                      <w:marLeft w:val="0"/>
                      <w:marRight w:val="0"/>
                      <w:marTop w:val="0"/>
                      <w:marBottom w:val="0"/>
                      <w:divBdr>
                        <w:top w:val="none" w:sz="0" w:space="0" w:color="auto"/>
                        <w:left w:val="none" w:sz="0" w:space="0" w:color="auto"/>
                        <w:bottom w:val="none" w:sz="0" w:space="0" w:color="auto"/>
                        <w:right w:val="none" w:sz="0" w:space="0" w:color="auto"/>
                      </w:divBdr>
                    </w:div>
                  </w:divsChild>
                </w:div>
                <w:div w:id="1181578545">
                  <w:marLeft w:val="0"/>
                  <w:marRight w:val="0"/>
                  <w:marTop w:val="0"/>
                  <w:marBottom w:val="0"/>
                  <w:divBdr>
                    <w:top w:val="none" w:sz="0" w:space="0" w:color="auto"/>
                    <w:left w:val="none" w:sz="0" w:space="0" w:color="auto"/>
                    <w:bottom w:val="none" w:sz="0" w:space="0" w:color="auto"/>
                    <w:right w:val="none" w:sz="0" w:space="0" w:color="auto"/>
                  </w:divBdr>
                  <w:divsChild>
                    <w:div w:id="845244722">
                      <w:marLeft w:val="0"/>
                      <w:marRight w:val="0"/>
                      <w:marTop w:val="0"/>
                      <w:marBottom w:val="0"/>
                      <w:divBdr>
                        <w:top w:val="none" w:sz="0" w:space="0" w:color="auto"/>
                        <w:left w:val="none" w:sz="0" w:space="0" w:color="auto"/>
                        <w:bottom w:val="none" w:sz="0" w:space="0" w:color="auto"/>
                        <w:right w:val="none" w:sz="0" w:space="0" w:color="auto"/>
                      </w:divBdr>
                    </w:div>
                  </w:divsChild>
                </w:div>
                <w:div w:id="1197430973">
                  <w:marLeft w:val="0"/>
                  <w:marRight w:val="0"/>
                  <w:marTop w:val="0"/>
                  <w:marBottom w:val="0"/>
                  <w:divBdr>
                    <w:top w:val="none" w:sz="0" w:space="0" w:color="auto"/>
                    <w:left w:val="none" w:sz="0" w:space="0" w:color="auto"/>
                    <w:bottom w:val="none" w:sz="0" w:space="0" w:color="auto"/>
                    <w:right w:val="none" w:sz="0" w:space="0" w:color="auto"/>
                  </w:divBdr>
                  <w:divsChild>
                    <w:div w:id="1805926636">
                      <w:marLeft w:val="0"/>
                      <w:marRight w:val="0"/>
                      <w:marTop w:val="0"/>
                      <w:marBottom w:val="0"/>
                      <w:divBdr>
                        <w:top w:val="none" w:sz="0" w:space="0" w:color="auto"/>
                        <w:left w:val="none" w:sz="0" w:space="0" w:color="auto"/>
                        <w:bottom w:val="none" w:sz="0" w:space="0" w:color="auto"/>
                        <w:right w:val="none" w:sz="0" w:space="0" w:color="auto"/>
                      </w:divBdr>
                    </w:div>
                  </w:divsChild>
                </w:div>
                <w:div w:id="1210147881">
                  <w:marLeft w:val="0"/>
                  <w:marRight w:val="0"/>
                  <w:marTop w:val="0"/>
                  <w:marBottom w:val="0"/>
                  <w:divBdr>
                    <w:top w:val="none" w:sz="0" w:space="0" w:color="auto"/>
                    <w:left w:val="none" w:sz="0" w:space="0" w:color="auto"/>
                    <w:bottom w:val="none" w:sz="0" w:space="0" w:color="auto"/>
                    <w:right w:val="none" w:sz="0" w:space="0" w:color="auto"/>
                  </w:divBdr>
                  <w:divsChild>
                    <w:div w:id="1808818732">
                      <w:marLeft w:val="0"/>
                      <w:marRight w:val="0"/>
                      <w:marTop w:val="0"/>
                      <w:marBottom w:val="0"/>
                      <w:divBdr>
                        <w:top w:val="none" w:sz="0" w:space="0" w:color="auto"/>
                        <w:left w:val="none" w:sz="0" w:space="0" w:color="auto"/>
                        <w:bottom w:val="none" w:sz="0" w:space="0" w:color="auto"/>
                        <w:right w:val="none" w:sz="0" w:space="0" w:color="auto"/>
                      </w:divBdr>
                    </w:div>
                  </w:divsChild>
                </w:div>
                <w:div w:id="1223252339">
                  <w:marLeft w:val="0"/>
                  <w:marRight w:val="0"/>
                  <w:marTop w:val="0"/>
                  <w:marBottom w:val="0"/>
                  <w:divBdr>
                    <w:top w:val="none" w:sz="0" w:space="0" w:color="auto"/>
                    <w:left w:val="none" w:sz="0" w:space="0" w:color="auto"/>
                    <w:bottom w:val="none" w:sz="0" w:space="0" w:color="auto"/>
                    <w:right w:val="none" w:sz="0" w:space="0" w:color="auto"/>
                  </w:divBdr>
                  <w:divsChild>
                    <w:div w:id="435562921">
                      <w:marLeft w:val="0"/>
                      <w:marRight w:val="0"/>
                      <w:marTop w:val="0"/>
                      <w:marBottom w:val="0"/>
                      <w:divBdr>
                        <w:top w:val="none" w:sz="0" w:space="0" w:color="auto"/>
                        <w:left w:val="none" w:sz="0" w:space="0" w:color="auto"/>
                        <w:bottom w:val="none" w:sz="0" w:space="0" w:color="auto"/>
                        <w:right w:val="none" w:sz="0" w:space="0" w:color="auto"/>
                      </w:divBdr>
                    </w:div>
                  </w:divsChild>
                </w:div>
                <w:div w:id="1238707611">
                  <w:marLeft w:val="0"/>
                  <w:marRight w:val="0"/>
                  <w:marTop w:val="0"/>
                  <w:marBottom w:val="0"/>
                  <w:divBdr>
                    <w:top w:val="none" w:sz="0" w:space="0" w:color="auto"/>
                    <w:left w:val="none" w:sz="0" w:space="0" w:color="auto"/>
                    <w:bottom w:val="none" w:sz="0" w:space="0" w:color="auto"/>
                    <w:right w:val="none" w:sz="0" w:space="0" w:color="auto"/>
                  </w:divBdr>
                  <w:divsChild>
                    <w:div w:id="555318306">
                      <w:marLeft w:val="0"/>
                      <w:marRight w:val="0"/>
                      <w:marTop w:val="0"/>
                      <w:marBottom w:val="0"/>
                      <w:divBdr>
                        <w:top w:val="none" w:sz="0" w:space="0" w:color="auto"/>
                        <w:left w:val="none" w:sz="0" w:space="0" w:color="auto"/>
                        <w:bottom w:val="none" w:sz="0" w:space="0" w:color="auto"/>
                        <w:right w:val="none" w:sz="0" w:space="0" w:color="auto"/>
                      </w:divBdr>
                    </w:div>
                  </w:divsChild>
                </w:div>
                <w:div w:id="1241137201">
                  <w:marLeft w:val="0"/>
                  <w:marRight w:val="0"/>
                  <w:marTop w:val="0"/>
                  <w:marBottom w:val="0"/>
                  <w:divBdr>
                    <w:top w:val="none" w:sz="0" w:space="0" w:color="auto"/>
                    <w:left w:val="none" w:sz="0" w:space="0" w:color="auto"/>
                    <w:bottom w:val="none" w:sz="0" w:space="0" w:color="auto"/>
                    <w:right w:val="none" w:sz="0" w:space="0" w:color="auto"/>
                  </w:divBdr>
                  <w:divsChild>
                    <w:div w:id="1024289588">
                      <w:marLeft w:val="0"/>
                      <w:marRight w:val="0"/>
                      <w:marTop w:val="0"/>
                      <w:marBottom w:val="0"/>
                      <w:divBdr>
                        <w:top w:val="none" w:sz="0" w:space="0" w:color="auto"/>
                        <w:left w:val="none" w:sz="0" w:space="0" w:color="auto"/>
                        <w:bottom w:val="none" w:sz="0" w:space="0" w:color="auto"/>
                        <w:right w:val="none" w:sz="0" w:space="0" w:color="auto"/>
                      </w:divBdr>
                    </w:div>
                  </w:divsChild>
                </w:div>
                <w:div w:id="1257329683">
                  <w:marLeft w:val="0"/>
                  <w:marRight w:val="0"/>
                  <w:marTop w:val="0"/>
                  <w:marBottom w:val="0"/>
                  <w:divBdr>
                    <w:top w:val="none" w:sz="0" w:space="0" w:color="auto"/>
                    <w:left w:val="none" w:sz="0" w:space="0" w:color="auto"/>
                    <w:bottom w:val="none" w:sz="0" w:space="0" w:color="auto"/>
                    <w:right w:val="none" w:sz="0" w:space="0" w:color="auto"/>
                  </w:divBdr>
                  <w:divsChild>
                    <w:div w:id="577397265">
                      <w:marLeft w:val="0"/>
                      <w:marRight w:val="0"/>
                      <w:marTop w:val="0"/>
                      <w:marBottom w:val="0"/>
                      <w:divBdr>
                        <w:top w:val="none" w:sz="0" w:space="0" w:color="auto"/>
                        <w:left w:val="none" w:sz="0" w:space="0" w:color="auto"/>
                        <w:bottom w:val="none" w:sz="0" w:space="0" w:color="auto"/>
                        <w:right w:val="none" w:sz="0" w:space="0" w:color="auto"/>
                      </w:divBdr>
                    </w:div>
                  </w:divsChild>
                </w:div>
                <w:div w:id="1273902979">
                  <w:marLeft w:val="0"/>
                  <w:marRight w:val="0"/>
                  <w:marTop w:val="0"/>
                  <w:marBottom w:val="0"/>
                  <w:divBdr>
                    <w:top w:val="none" w:sz="0" w:space="0" w:color="auto"/>
                    <w:left w:val="none" w:sz="0" w:space="0" w:color="auto"/>
                    <w:bottom w:val="none" w:sz="0" w:space="0" w:color="auto"/>
                    <w:right w:val="none" w:sz="0" w:space="0" w:color="auto"/>
                  </w:divBdr>
                  <w:divsChild>
                    <w:div w:id="537209134">
                      <w:marLeft w:val="0"/>
                      <w:marRight w:val="0"/>
                      <w:marTop w:val="0"/>
                      <w:marBottom w:val="0"/>
                      <w:divBdr>
                        <w:top w:val="none" w:sz="0" w:space="0" w:color="auto"/>
                        <w:left w:val="none" w:sz="0" w:space="0" w:color="auto"/>
                        <w:bottom w:val="none" w:sz="0" w:space="0" w:color="auto"/>
                        <w:right w:val="none" w:sz="0" w:space="0" w:color="auto"/>
                      </w:divBdr>
                    </w:div>
                  </w:divsChild>
                </w:div>
                <w:div w:id="1289241132">
                  <w:marLeft w:val="0"/>
                  <w:marRight w:val="0"/>
                  <w:marTop w:val="0"/>
                  <w:marBottom w:val="0"/>
                  <w:divBdr>
                    <w:top w:val="none" w:sz="0" w:space="0" w:color="auto"/>
                    <w:left w:val="none" w:sz="0" w:space="0" w:color="auto"/>
                    <w:bottom w:val="none" w:sz="0" w:space="0" w:color="auto"/>
                    <w:right w:val="none" w:sz="0" w:space="0" w:color="auto"/>
                  </w:divBdr>
                  <w:divsChild>
                    <w:div w:id="1164861519">
                      <w:marLeft w:val="0"/>
                      <w:marRight w:val="0"/>
                      <w:marTop w:val="0"/>
                      <w:marBottom w:val="0"/>
                      <w:divBdr>
                        <w:top w:val="none" w:sz="0" w:space="0" w:color="auto"/>
                        <w:left w:val="none" w:sz="0" w:space="0" w:color="auto"/>
                        <w:bottom w:val="none" w:sz="0" w:space="0" w:color="auto"/>
                        <w:right w:val="none" w:sz="0" w:space="0" w:color="auto"/>
                      </w:divBdr>
                    </w:div>
                  </w:divsChild>
                </w:div>
                <w:div w:id="1297180311">
                  <w:marLeft w:val="0"/>
                  <w:marRight w:val="0"/>
                  <w:marTop w:val="0"/>
                  <w:marBottom w:val="0"/>
                  <w:divBdr>
                    <w:top w:val="none" w:sz="0" w:space="0" w:color="auto"/>
                    <w:left w:val="none" w:sz="0" w:space="0" w:color="auto"/>
                    <w:bottom w:val="none" w:sz="0" w:space="0" w:color="auto"/>
                    <w:right w:val="none" w:sz="0" w:space="0" w:color="auto"/>
                  </w:divBdr>
                  <w:divsChild>
                    <w:div w:id="404184800">
                      <w:marLeft w:val="0"/>
                      <w:marRight w:val="0"/>
                      <w:marTop w:val="0"/>
                      <w:marBottom w:val="0"/>
                      <w:divBdr>
                        <w:top w:val="none" w:sz="0" w:space="0" w:color="auto"/>
                        <w:left w:val="none" w:sz="0" w:space="0" w:color="auto"/>
                        <w:bottom w:val="none" w:sz="0" w:space="0" w:color="auto"/>
                        <w:right w:val="none" w:sz="0" w:space="0" w:color="auto"/>
                      </w:divBdr>
                    </w:div>
                  </w:divsChild>
                </w:div>
                <w:div w:id="1313290849">
                  <w:marLeft w:val="0"/>
                  <w:marRight w:val="0"/>
                  <w:marTop w:val="0"/>
                  <w:marBottom w:val="0"/>
                  <w:divBdr>
                    <w:top w:val="none" w:sz="0" w:space="0" w:color="auto"/>
                    <w:left w:val="none" w:sz="0" w:space="0" w:color="auto"/>
                    <w:bottom w:val="none" w:sz="0" w:space="0" w:color="auto"/>
                    <w:right w:val="none" w:sz="0" w:space="0" w:color="auto"/>
                  </w:divBdr>
                  <w:divsChild>
                    <w:div w:id="93131719">
                      <w:marLeft w:val="0"/>
                      <w:marRight w:val="0"/>
                      <w:marTop w:val="0"/>
                      <w:marBottom w:val="0"/>
                      <w:divBdr>
                        <w:top w:val="none" w:sz="0" w:space="0" w:color="auto"/>
                        <w:left w:val="none" w:sz="0" w:space="0" w:color="auto"/>
                        <w:bottom w:val="none" w:sz="0" w:space="0" w:color="auto"/>
                        <w:right w:val="none" w:sz="0" w:space="0" w:color="auto"/>
                      </w:divBdr>
                    </w:div>
                  </w:divsChild>
                </w:div>
                <w:div w:id="1323316570">
                  <w:marLeft w:val="0"/>
                  <w:marRight w:val="0"/>
                  <w:marTop w:val="0"/>
                  <w:marBottom w:val="0"/>
                  <w:divBdr>
                    <w:top w:val="none" w:sz="0" w:space="0" w:color="auto"/>
                    <w:left w:val="none" w:sz="0" w:space="0" w:color="auto"/>
                    <w:bottom w:val="none" w:sz="0" w:space="0" w:color="auto"/>
                    <w:right w:val="none" w:sz="0" w:space="0" w:color="auto"/>
                  </w:divBdr>
                  <w:divsChild>
                    <w:div w:id="1052273543">
                      <w:marLeft w:val="0"/>
                      <w:marRight w:val="0"/>
                      <w:marTop w:val="0"/>
                      <w:marBottom w:val="0"/>
                      <w:divBdr>
                        <w:top w:val="none" w:sz="0" w:space="0" w:color="auto"/>
                        <w:left w:val="none" w:sz="0" w:space="0" w:color="auto"/>
                        <w:bottom w:val="none" w:sz="0" w:space="0" w:color="auto"/>
                        <w:right w:val="none" w:sz="0" w:space="0" w:color="auto"/>
                      </w:divBdr>
                    </w:div>
                  </w:divsChild>
                </w:div>
                <w:div w:id="1330135821">
                  <w:marLeft w:val="0"/>
                  <w:marRight w:val="0"/>
                  <w:marTop w:val="0"/>
                  <w:marBottom w:val="0"/>
                  <w:divBdr>
                    <w:top w:val="none" w:sz="0" w:space="0" w:color="auto"/>
                    <w:left w:val="none" w:sz="0" w:space="0" w:color="auto"/>
                    <w:bottom w:val="none" w:sz="0" w:space="0" w:color="auto"/>
                    <w:right w:val="none" w:sz="0" w:space="0" w:color="auto"/>
                  </w:divBdr>
                  <w:divsChild>
                    <w:div w:id="669069307">
                      <w:marLeft w:val="0"/>
                      <w:marRight w:val="0"/>
                      <w:marTop w:val="0"/>
                      <w:marBottom w:val="0"/>
                      <w:divBdr>
                        <w:top w:val="none" w:sz="0" w:space="0" w:color="auto"/>
                        <w:left w:val="none" w:sz="0" w:space="0" w:color="auto"/>
                        <w:bottom w:val="none" w:sz="0" w:space="0" w:color="auto"/>
                        <w:right w:val="none" w:sz="0" w:space="0" w:color="auto"/>
                      </w:divBdr>
                    </w:div>
                  </w:divsChild>
                </w:div>
                <w:div w:id="1332831807">
                  <w:marLeft w:val="0"/>
                  <w:marRight w:val="0"/>
                  <w:marTop w:val="0"/>
                  <w:marBottom w:val="0"/>
                  <w:divBdr>
                    <w:top w:val="none" w:sz="0" w:space="0" w:color="auto"/>
                    <w:left w:val="none" w:sz="0" w:space="0" w:color="auto"/>
                    <w:bottom w:val="none" w:sz="0" w:space="0" w:color="auto"/>
                    <w:right w:val="none" w:sz="0" w:space="0" w:color="auto"/>
                  </w:divBdr>
                  <w:divsChild>
                    <w:div w:id="2062436996">
                      <w:marLeft w:val="0"/>
                      <w:marRight w:val="0"/>
                      <w:marTop w:val="0"/>
                      <w:marBottom w:val="0"/>
                      <w:divBdr>
                        <w:top w:val="none" w:sz="0" w:space="0" w:color="auto"/>
                        <w:left w:val="none" w:sz="0" w:space="0" w:color="auto"/>
                        <w:bottom w:val="none" w:sz="0" w:space="0" w:color="auto"/>
                        <w:right w:val="none" w:sz="0" w:space="0" w:color="auto"/>
                      </w:divBdr>
                    </w:div>
                  </w:divsChild>
                </w:div>
                <w:div w:id="1353411098">
                  <w:marLeft w:val="0"/>
                  <w:marRight w:val="0"/>
                  <w:marTop w:val="0"/>
                  <w:marBottom w:val="0"/>
                  <w:divBdr>
                    <w:top w:val="none" w:sz="0" w:space="0" w:color="auto"/>
                    <w:left w:val="none" w:sz="0" w:space="0" w:color="auto"/>
                    <w:bottom w:val="none" w:sz="0" w:space="0" w:color="auto"/>
                    <w:right w:val="none" w:sz="0" w:space="0" w:color="auto"/>
                  </w:divBdr>
                  <w:divsChild>
                    <w:div w:id="213859051">
                      <w:marLeft w:val="0"/>
                      <w:marRight w:val="0"/>
                      <w:marTop w:val="0"/>
                      <w:marBottom w:val="0"/>
                      <w:divBdr>
                        <w:top w:val="none" w:sz="0" w:space="0" w:color="auto"/>
                        <w:left w:val="none" w:sz="0" w:space="0" w:color="auto"/>
                        <w:bottom w:val="none" w:sz="0" w:space="0" w:color="auto"/>
                        <w:right w:val="none" w:sz="0" w:space="0" w:color="auto"/>
                      </w:divBdr>
                    </w:div>
                  </w:divsChild>
                </w:div>
                <w:div w:id="1372806158">
                  <w:marLeft w:val="0"/>
                  <w:marRight w:val="0"/>
                  <w:marTop w:val="0"/>
                  <w:marBottom w:val="0"/>
                  <w:divBdr>
                    <w:top w:val="none" w:sz="0" w:space="0" w:color="auto"/>
                    <w:left w:val="none" w:sz="0" w:space="0" w:color="auto"/>
                    <w:bottom w:val="none" w:sz="0" w:space="0" w:color="auto"/>
                    <w:right w:val="none" w:sz="0" w:space="0" w:color="auto"/>
                  </w:divBdr>
                  <w:divsChild>
                    <w:div w:id="1675642290">
                      <w:marLeft w:val="0"/>
                      <w:marRight w:val="0"/>
                      <w:marTop w:val="0"/>
                      <w:marBottom w:val="0"/>
                      <w:divBdr>
                        <w:top w:val="none" w:sz="0" w:space="0" w:color="auto"/>
                        <w:left w:val="none" w:sz="0" w:space="0" w:color="auto"/>
                        <w:bottom w:val="none" w:sz="0" w:space="0" w:color="auto"/>
                        <w:right w:val="none" w:sz="0" w:space="0" w:color="auto"/>
                      </w:divBdr>
                    </w:div>
                  </w:divsChild>
                </w:div>
                <w:div w:id="1380864713">
                  <w:marLeft w:val="0"/>
                  <w:marRight w:val="0"/>
                  <w:marTop w:val="0"/>
                  <w:marBottom w:val="0"/>
                  <w:divBdr>
                    <w:top w:val="none" w:sz="0" w:space="0" w:color="auto"/>
                    <w:left w:val="none" w:sz="0" w:space="0" w:color="auto"/>
                    <w:bottom w:val="none" w:sz="0" w:space="0" w:color="auto"/>
                    <w:right w:val="none" w:sz="0" w:space="0" w:color="auto"/>
                  </w:divBdr>
                  <w:divsChild>
                    <w:div w:id="1783920600">
                      <w:marLeft w:val="0"/>
                      <w:marRight w:val="0"/>
                      <w:marTop w:val="0"/>
                      <w:marBottom w:val="0"/>
                      <w:divBdr>
                        <w:top w:val="none" w:sz="0" w:space="0" w:color="auto"/>
                        <w:left w:val="none" w:sz="0" w:space="0" w:color="auto"/>
                        <w:bottom w:val="none" w:sz="0" w:space="0" w:color="auto"/>
                        <w:right w:val="none" w:sz="0" w:space="0" w:color="auto"/>
                      </w:divBdr>
                    </w:div>
                  </w:divsChild>
                </w:div>
                <w:div w:id="1386756203">
                  <w:marLeft w:val="0"/>
                  <w:marRight w:val="0"/>
                  <w:marTop w:val="0"/>
                  <w:marBottom w:val="0"/>
                  <w:divBdr>
                    <w:top w:val="none" w:sz="0" w:space="0" w:color="auto"/>
                    <w:left w:val="none" w:sz="0" w:space="0" w:color="auto"/>
                    <w:bottom w:val="none" w:sz="0" w:space="0" w:color="auto"/>
                    <w:right w:val="none" w:sz="0" w:space="0" w:color="auto"/>
                  </w:divBdr>
                  <w:divsChild>
                    <w:div w:id="2097168721">
                      <w:marLeft w:val="0"/>
                      <w:marRight w:val="0"/>
                      <w:marTop w:val="0"/>
                      <w:marBottom w:val="0"/>
                      <w:divBdr>
                        <w:top w:val="none" w:sz="0" w:space="0" w:color="auto"/>
                        <w:left w:val="none" w:sz="0" w:space="0" w:color="auto"/>
                        <w:bottom w:val="none" w:sz="0" w:space="0" w:color="auto"/>
                        <w:right w:val="none" w:sz="0" w:space="0" w:color="auto"/>
                      </w:divBdr>
                    </w:div>
                  </w:divsChild>
                </w:div>
                <w:div w:id="1399471902">
                  <w:marLeft w:val="0"/>
                  <w:marRight w:val="0"/>
                  <w:marTop w:val="0"/>
                  <w:marBottom w:val="0"/>
                  <w:divBdr>
                    <w:top w:val="none" w:sz="0" w:space="0" w:color="auto"/>
                    <w:left w:val="none" w:sz="0" w:space="0" w:color="auto"/>
                    <w:bottom w:val="none" w:sz="0" w:space="0" w:color="auto"/>
                    <w:right w:val="none" w:sz="0" w:space="0" w:color="auto"/>
                  </w:divBdr>
                  <w:divsChild>
                    <w:div w:id="701443908">
                      <w:marLeft w:val="0"/>
                      <w:marRight w:val="0"/>
                      <w:marTop w:val="0"/>
                      <w:marBottom w:val="0"/>
                      <w:divBdr>
                        <w:top w:val="none" w:sz="0" w:space="0" w:color="auto"/>
                        <w:left w:val="none" w:sz="0" w:space="0" w:color="auto"/>
                        <w:bottom w:val="none" w:sz="0" w:space="0" w:color="auto"/>
                        <w:right w:val="none" w:sz="0" w:space="0" w:color="auto"/>
                      </w:divBdr>
                    </w:div>
                  </w:divsChild>
                </w:div>
                <w:div w:id="1404716845">
                  <w:marLeft w:val="0"/>
                  <w:marRight w:val="0"/>
                  <w:marTop w:val="0"/>
                  <w:marBottom w:val="0"/>
                  <w:divBdr>
                    <w:top w:val="none" w:sz="0" w:space="0" w:color="auto"/>
                    <w:left w:val="none" w:sz="0" w:space="0" w:color="auto"/>
                    <w:bottom w:val="none" w:sz="0" w:space="0" w:color="auto"/>
                    <w:right w:val="none" w:sz="0" w:space="0" w:color="auto"/>
                  </w:divBdr>
                  <w:divsChild>
                    <w:div w:id="1807164170">
                      <w:marLeft w:val="0"/>
                      <w:marRight w:val="0"/>
                      <w:marTop w:val="0"/>
                      <w:marBottom w:val="0"/>
                      <w:divBdr>
                        <w:top w:val="none" w:sz="0" w:space="0" w:color="auto"/>
                        <w:left w:val="none" w:sz="0" w:space="0" w:color="auto"/>
                        <w:bottom w:val="none" w:sz="0" w:space="0" w:color="auto"/>
                        <w:right w:val="none" w:sz="0" w:space="0" w:color="auto"/>
                      </w:divBdr>
                    </w:div>
                  </w:divsChild>
                </w:div>
                <w:div w:id="1422146412">
                  <w:marLeft w:val="0"/>
                  <w:marRight w:val="0"/>
                  <w:marTop w:val="0"/>
                  <w:marBottom w:val="0"/>
                  <w:divBdr>
                    <w:top w:val="none" w:sz="0" w:space="0" w:color="auto"/>
                    <w:left w:val="none" w:sz="0" w:space="0" w:color="auto"/>
                    <w:bottom w:val="none" w:sz="0" w:space="0" w:color="auto"/>
                    <w:right w:val="none" w:sz="0" w:space="0" w:color="auto"/>
                  </w:divBdr>
                  <w:divsChild>
                    <w:div w:id="1784034557">
                      <w:marLeft w:val="0"/>
                      <w:marRight w:val="0"/>
                      <w:marTop w:val="0"/>
                      <w:marBottom w:val="0"/>
                      <w:divBdr>
                        <w:top w:val="none" w:sz="0" w:space="0" w:color="auto"/>
                        <w:left w:val="none" w:sz="0" w:space="0" w:color="auto"/>
                        <w:bottom w:val="none" w:sz="0" w:space="0" w:color="auto"/>
                        <w:right w:val="none" w:sz="0" w:space="0" w:color="auto"/>
                      </w:divBdr>
                    </w:div>
                  </w:divsChild>
                </w:div>
                <w:div w:id="1456825375">
                  <w:marLeft w:val="0"/>
                  <w:marRight w:val="0"/>
                  <w:marTop w:val="0"/>
                  <w:marBottom w:val="0"/>
                  <w:divBdr>
                    <w:top w:val="none" w:sz="0" w:space="0" w:color="auto"/>
                    <w:left w:val="none" w:sz="0" w:space="0" w:color="auto"/>
                    <w:bottom w:val="none" w:sz="0" w:space="0" w:color="auto"/>
                    <w:right w:val="none" w:sz="0" w:space="0" w:color="auto"/>
                  </w:divBdr>
                  <w:divsChild>
                    <w:div w:id="983848104">
                      <w:marLeft w:val="0"/>
                      <w:marRight w:val="0"/>
                      <w:marTop w:val="0"/>
                      <w:marBottom w:val="0"/>
                      <w:divBdr>
                        <w:top w:val="none" w:sz="0" w:space="0" w:color="auto"/>
                        <w:left w:val="none" w:sz="0" w:space="0" w:color="auto"/>
                        <w:bottom w:val="none" w:sz="0" w:space="0" w:color="auto"/>
                        <w:right w:val="none" w:sz="0" w:space="0" w:color="auto"/>
                      </w:divBdr>
                    </w:div>
                  </w:divsChild>
                </w:div>
                <w:div w:id="1466696985">
                  <w:marLeft w:val="0"/>
                  <w:marRight w:val="0"/>
                  <w:marTop w:val="0"/>
                  <w:marBottom w:val="0"/>
                  <w:divBdr>
                    <w:top w:val="none" w:sz="0" w:space="0" w:color="auto"/>
                    <w:left w:val="none" w:sz="0" w:space="0" w:color="auto"/>
                    <w:bottom w:val="none" w:sz="0" w:space="0" w:color="auto"/>
                    <w:right w:val="none" w:sz="0" w:space="0" w:color="auto"/>
                  </w:divBdr>
                  <w:divsChild>
                    <w:div w:id="269093441">
                      <w:marLeft w:val="0"/>
                      <w:marRight w:val="0"/>
                      <w:marTop w:val="0"/>
                      <w:marBottom w:val="0"/>
                      <w:divBdr>
                        <w:top w:val="none" w:sz="0" w:space="0" w:color="auto"/>
                        <w:left w:val="none" w:sz="0" w:space="0" w:color="auto"/>
                        <w:bottom w:val="none" w:sz="0" w:space="0" w:color="auto"/>
                        <w:right w:val="none" w:sz="0" w:space="0" w:color="auto"/>
                      </w:divBdr>
                    </w:div>
                  </w:divsChild>
                </w:div>
                <w:div w:id="1474448633">
                  <w:marLeft w:val="0"/>
                  <w:marRight w:val="0"/>
                  <w:marTop w:val="0"/>
                  <w:marBottom w:val="0"/>
                  <w:divBdr>
                    <w:top w:val="none" w:sz="0" w:space="0" w:color="auto"/>
                    <w:left w:val="none" w:sz="0" w:space="0" w:color="auto"/>
                    <w:bottom w:val="none" w:sz="0" w:space="0" w:color="auto"/>
                    <w:right w:val="none" w:sz="0" w:space="0" w:color="auto"/>
                  </w:divBdr>
                  <w:divsChild>
                    <w:div w:id="1153764729">
                      <w:marLeft w:val="0"/>
                      <w:marRight w:val="0"/>
                      <w:marTop w:val="0"/>
                      <w:marBottom w:val="0"/>
                      <w:divBdr>
                        <w:top w:val="none" w:sz="0" w:space="0" w:color="auto"/>
                        <w:left w:val="none" w:sz="0" w:space="0" w:color="auto"/>
                        <w:bottom w:val="none" w:sz="0" w:space="0" w:color="auto"/>
                        <w:right w:val="none" w:sz="0" w:space="0" w:color="auto"/>
                      </w:divBdr>
                    </w:div>
                  </w:divsChild>
                </w:div>
                <w:div w:id="1477837139">
                  <w:marLeft w:val="0"/>
                  <w:marRight w:val="0"/>
                  <w:marTop w:val="0"/>
                  <w:marBottom w:val="0"/>
                  <w:divBdr>
                    <w:top w:val="none" w:sz="0" w:space="0" w:color="auto"/>
                    <w:left w:val="none" w:sz="0" w:space="0" w:color="auto"/>
                    <w:bottom w:val="none" w:sz="0" w:space="0" w:color="auto"/>
                    <w:right w:val="none" w:sz="0" w:space="0" w:color="auto"/>
                  </w:divBdr>
                  <w:divsChild>
                    <w:div w:id="987780421">
                      <w:marLeft w:val="0"/>
                      <w:marRight w:val="0"/>
                      <w:marTop w:val="0"/>
                      <w:marBottom w:val="0"/>
                      <w:divBdr>
                        <w:top w:val="none" w:sz="0" w:space="0" w:color="auto"/>
                        <w:left w:val="none" w:sz="0" w:space="0" w:color="auto"/>
                        <w:bottom w:val="none" w:sz="0" w:space="0" w:color="auto"/>
                        <w:right w:val="none" w:sz="0" w:space="0" w:color="auto"/>
                      </w:divBdr>
                    </w:div>
                  </w:divsChild>
                </w:div>
                <w:div w:id="1482115648">
                  <w:marLeft w:val="0"/>
                  <w:marRight w:val="0"/>
                  <w:marTop w:val="0"/>
                  <w:marBottom w:val="0"/>
                  <w:divBdr>
                    <w:top w:val="none" w:sz="0" w:space="0" w:color="auto"/>
                    <w:left w:val="none" w:sz="0" w:space="0" w:color="auto"/>
                    <w:bottom w:val="none" w:sz="0" w:space="0" w:color="auto"/>
                    <w:right w:val="none" w:sz="0" w:space="0" w:color="auto"/>
                  </w:divBdr>
                  <w:divsChild>
                    <w:div w:id="939533784">
                      <w:marLeft w:val="0"/>
                      <w:marRight w:val="0"/>
                      <w:marTop w:val="0"/>
                      <w:marBottom w:val="0"/>
                      <w:divBdr>
                        <w:top w:val="none" w:sz="0" w:space="0" w:color="auto"/>
                        <w:left w:val="none" w:sz="0" w:space="0" w:color="auto"/>
                        <w:bottom w:val="none" w:sz="0" w:space="0" w:color="auto"/>
                        <w:right w:val="none" w:sz="0" w:space="0" w:color="auto"/>
                      </w:divBdr>
                    </w:div>
                  </w:divsChild>
                </w:div>
                <w:div w:id="1495950100">
                  <w:marLeft w:val="0"/>
                  <w:marRight w:val="0"/>
                  <w:marTop w:val="0"/>
                  <w:marBottom w:val="0"/>
                  <w:divBdr>
                    <w:top w:val="none" w:sz="0" w:space="0" w:color="auto"/>
                    <w:left w:val="none" w:sz="0" w:space="0" w:color="auto"/>
                    <w:bottom w:val="none" w:sz="0" w:space="0" w:color="auto"/>
                    <w:right w:val="none" w:sz="0" w:space="0" w:color="auto"/>
                  </w:divBdr>
                  <w:divsChild>
                    <w:div w:id="349528263">
                      <w:marLeft w:val="0"/>
                      <w:marRight w:val="0"/>
                      <w:marTop w:val="0"/>
                      <w:marBottom w:val="0"/>
                      <w:divBdr>
                        <w:top w:val="none" w:sz="0" w:space="0" w:color="auto"/>
                        <w:left w:val="none" w:sz="0" w:space="0" w:color="auto"/>
                        <w:bottom w:val="none" w:sz="0" w:space="0" w:color="auto"/>
                        <w:right w:val="none" w:sz="0" w:space="0" w:color="auto"/>
                      </w:divBdr>
                    </w:div>
                  </w:divsChild>
                </w:div>
                <w:div w:id="1505322536">
                  <w:marLeft w:val="0"/>
                  <w:marRight w:val="0"/>
                  <w:marTop w:val="0"/>
                  <w:marBottom w:val="0"/>
                  <w:divBdr>
                    <w:top w:val="none" w:sz="0" w:space="0" w:color="auto"/>
                    <w:left w:val="none" w:sz="0" w:space="0" w:color="auto"/>
                    <w:bottom w:val="none" w:sz="0" w:space="0" w:color="auto"/>
                    <w:right w:val="none" w:sz="0" w:space="0" w:color="auto"/>
                  </w:divBdr>
                  <w:divsChild>
                    <w:div w:id="1905145752">
                      <w:marLeft w:val="0"/>
                      <w:marRight w:val="0"/>
                      <w:marTop w:val="0"/>
                      <w:marBottom w:val="0"/>
                      <w:divBdr>
                        <w:top w:val="none" w:sz="0" w:space="0" w:color="auto"/>
                        <w:left w:val="none" w:sz="0" w:space="0" w:color="auto"/>
                        <w:bottom w:val="none" w:sz="0" w:space="0" w:color="auto"/>
                        <w:right w:val="none" w:sz="0" w:space="0" w:color="auto"/>
                      </w:divBdr>
                    </w:div>
                  </w:divsChild>
                </w:div>
                <w:div w:id="1509907038">
                  <w:marLeft w:val="0"/>
                  <w:marRight w:val="0"/>
                  <w:marTop w:val="0"/>
                  <w:marBottom w:val="0"/>
                  <w:divBdr>
                    <w:top w:val="none" w:sz="0" w:space="0" w:color="auto"/>
                    <w:left w:val="none" w:sz="0" w:space="0" w:color="auto"/>
                    <w:bottom w:val="none" w:sz="0" w:space="0" w:color="auto"/>
                    <w:right w:val="none" w:sz="0" w:space="0" w:color="auto"/>
                  </w:divBdr>
                  <w:divsChild>
                    <w:div w:id="1232960960">
                      <w:marLeft w:val="0"/>
                      <w:marRight w:val="0"/>
                      <w:marTop w:val="0"/>
                      <w:marBottom w:val="0"/>
                      <w:divBdr>
                        <w:top w:val="none" w:sz="0" w:space="0" w:color="auto"/>
                        <w:left w:val="none" w:sz="0" w:space="0" w:color="auto"/>
                        <w:bottom w:val="none" w:sz="0" w:space="0" w:color="auto"/>
                        <w:right w:val="none" w:sz="0" w:space="0" w:color="auto"/>
                      </w:divBdr>
                    </w:div>
                  </w:divsChild>
                </w:div>
                <w:div w:id="1547721048">
                  <w:marLeft w:val="0"/>
                  <w:marRight w:val="0"/>
                  <w:marTop w:val="0"/>
                  <w:marBottom w:val="0"/>
                  <w:divBdr>
                    <w:top w:val="none" w:sz="0" w:space="0" w:color="auto"/>
                    <w:left w:val="none" w:sz="0" w:space="0" w:color="auto"/>
                    <w:bottom w:val="none" w:sz="0" w:space="0" w:color="auto"/>
                    <w:right w:val="none" w:sz="0" w:space="0" w:color="auto"/>
                  </w:divBdr>
                  <w:divsChild>
                    <w:div w:id="927080422">
                      <w:marLeft w:val="0"/>
                      <w:marRight w:val="0"/>
                      <w:marTop w:val="0"/>
                      <w:marBottom w:val="0"/>
                      <w:divBdr>
                        <w:top w:val="none" w:sz="0" w:space="0" w:color="auto"/>
                        <w:left w:val="none" w:sz="0" w:space="0" w:color="auto"/>
                        <w:bottom w:val="none" w:sz="0" w:space="0" w:color="auto"/>
                        <w:right w:val="none" w:sz="0" w:space="0" w:color="auto"/>
                      </w:divBdr>
                    </w:div>
                  </w:divsChild>
                </w:div>
                <w:div w:id="1574464077">
                  <w:marLeft w:val="0"/>
                  <w:marRight w:val="0"/>
                  <w:marTop w:val="0"/>
                  <w:marBottom w:val="0"/>
                  <w:divBdr>
                    <w:top w:val="none" w:sz="0" w:space="0" w:color="auto"/>
                    <w:left w:val="none" w:sz="0" w:space="0" w:color="auto"/>
                    <w:bottom w:val="none" w:sz="0" w:space="0" w:color="auto"/>
                    <w:right w:val="none" w:sz="0" w:space="0" w:color="auto"/>
                  </w:divBdr>
                  <w:divsChild>
                    <w:div w:id="1422726058">
                      <w:marLeft w:val="0"/>
                      <w:marRight w:val="0"/>
                      <w:marTop w:val="0"/>
                      <w:marBottom w:val="0"/>
                      <w:divBdr>
                        <w:top w:val="none" w:sz="0" w:space="0" w:color="auto"/>
                        <w:left w:val="none" w:sz="0" w:space="0" w:color="auto"/>
                        <w:bottom w:val="none" w:sz="0" w:space="0" w:color="auto"/>
                        <w:right w:val="none" w:sz="0" w:space="0" w:color="auto"/>
                      </w:divBdr>
                    </w:div>
                  </w:divsChild>
                </w:div>
                <w:div w:id="1577545828">
                  <w:marLeft w:val="0"/>
                  <w:marRight w:val="0"/>
                  <w:marTop w:val="0"/>
                  <w:marBottom w:val="0"/>
                  <w:divBdr>
                    <w:top w:val="none" w:sz="0" w:space="0" w:color="auto"/>
                    <w:left w:val="none" w:sz="0" w:space="0" w:color="auto"/>
                    <w:bottom w:val="none" w:sz="0" w:space="0" w:color="auto"/>
                    <w:right w:val="none" w:sz="0" w:space="0" w:color="auto"/>
                  </w:divBdr>
                  <w:divsChild>
                    <w:div w:id="1654528081">
                      <w:marLeft w:val="0"/>
                      <w:marRight w:val="0"/>
                      <w:marTop w:val="0"/>
                      <w:marBottom w:val="0"/>
                      <w:divBdr>
                        <w:top w:val="none" w:sz="0" w:space="0" w:color="auto"/>
                        <w:left w:val="none" w:sz="0" w:space="0" w:color="auto"/>
                        <w:bottom w:val="none" w:sz="0" w:space="0" w:color="auto"/>
                        <w:right w:val="none" w:sz="0" w:space="0" w:color="auto"/>
                      </w:divBdr>
                    </w:div>
                  </w:divsChild>
                </w:div>
                <w:div w:id="1594389090">
                  <w:marLeft w:val="0"/>
                  <w:marRight w:val="0"/>
                  <w:marTop w:val="0"/>
                  <w:marBottom w:val="0"/>
                  <w:divBdr>
                    <w:top w:val="none" w:sz="0" w:space="0" w:color="auto"/>
                    <w:left w:val="none" w:sz="0" w:space="0" w:color="auto"/>
                    <w:bottom w:val="none" w:sz="0" w:space="0" w:color="auto"/>
                    <w:right w:val="none" w:sz="0" w:space="0" w:color="auto"/>
                  </w:divBdr>
                  <w:divsChild>
                    <w:div w:id="2136632483">
                      <w:marLeft w:val="0"/>
                      <w:marRight w:val="0"/>
                      <w:marTop w:val="0"/>
                      <w:marBottom w:val="0"/>
                      <w:divBdr>
                        <w:top w:val="none" w:sz="0" w:space="0" w:color="auto"/>
                        <w:left w:val="none" w:sz="0" w:space="0" w:color="auto"/>
                        <w:bottom w:val="none" w:sz="0" w:space="0" w:color="auto"/>
                        <w:right w:val="none" w:sz="0" w:space="0" w:color="auto"/>
                      </w:divBdr>
                    </w:div>
                  </w:divsChild>
                </w:div>
                <w:div w:id="1613130926">
                  <w:marLeft w:val="0"/>
                  <w:marRight w:val="0"/>
                  <w:marTop w:val="0"/>
                  <w:marBottom w:val="0"/>
                  <w:divBdr>
                    <w:top w:val="none" w:sz="0" w:space="0" w:color="auto"/>
                    <w:left w:val="none" w:sz="0" w:space="0" w:color="auto"/>
                    <w:bottom w:val="none" w:sz="0" w:space="0" w:color="auto"/>
                    <w:right w:val="none" w:sz="0" w:space="0" w:color="auto"/>
                  </w:divBdr>
                  <w:divsChild>
                    <w:div w:id="2136479778">
                      <w:marLeft w:val="0"/>
                      <w:marRight w:val="0"/>
                      <w:marTop w:val="0"/>
                      <w:marBottom w:val="0"/>
                      <w:divBdr>
                        <w:top w:val="none" w:sz="0" w:space="0" w:color="auto"/>
                        <w:left w:val="none" w:sz="0" w:space="0" w:color="auto"/>
                        <w:bottom w:val="none" w:sz="0" w:space="0" w:color="auto"/>
                        <w:right w:val="none" w:sz="0" w:space="0" w:color="auto"/>
                      </w:divBdr>
                    </w:div>
                  </w:divsChild>
                </w:div>
                <w:div w:id="1615163659">
                  <w:marLeft w:val="0"/>
                  <w:marRight w:val="0"/>
                  <w:marTop w:val="0"/>
                  <w:marBottom w:val="0"/>
                  <w:divBdr>
                    <w:top w:val="none" w:sz="0" w:space="0" w:color="auto"/>
                    <w:left w:val="none" w:sz="0" w:space="0" w:color="auto"/>
                    <w:bottom w:val="none" w:sz="0" w:space="0" w:color="auto"/>
                    <w:right w:val="none" w:sz="0" w:space="0" w:color="auto"/>
                  </w:divBdr>
                  <w:divsChild>
                    <w:div w:id="173342862">
                      <w:marLeft w:val="0"/>
                      <w:marRight w:val="0"/>
                      <w:marTop w:val="0"/>
                      <w:marBottom w:val="0"/>
                      <w:divBdr>
                        <w:top w:val="none" w:sz="0" w:space="0" w:color="auto"/>
                        <w:left w:val="none" w:sz="0" w:space="0" w:color="auto"/>
                        <w:bottom w:val="none" w:sz="0" w:space="0" w:color="auto"/>
                        <w:right w:val="none" w:sz="0" w:space="0" w:color="auto"/>
                      </w:divBdr>
                    </w:div>
                  </w:divsChild>
                </w:div>
                <w:div w:id="1630551452">
                  <w:marLeft w:val="0"/>
                  <w:marRight w:val="0"/>
                  <w:marTop w:val="0"/>
                  <w:marBottom w:val="0"/>
                  <w:divBdr>
                    <w:top w:val="none" w:sz="0" w:space="0" w:color="auto"/>
                    <w:left w:val="none" w:sz="0" w:space="0" w:color="auto"/>
                    <w:bottom w:val="none" w:sz="0" w:space="0" w:color="auto"/>
                    <w:right w:val="none" w:sz="0" w:space="0" w:color="auto"/>
                  </w:divBdr>
                  <w:divsChild>
                    <w:div w:id="1790469453">
                      <w:marLeft w:val="0"/>
                      <w:marRight w:val="0"/>
                      <w:marTop w:val="0"/>
                      <w:marBottom w:val="0"/>
                      <w:divBdr>
                        <w:top w:val="none" w:sz="0" w:space="0" w:color="auto"/>
                        <w:left w:val="none" w:sz="0" w:space="0" w:color="auto"/>
                        <w:bottom w:val="none" w:sz="0" w:space="0" w:color="auto"/>
                        <w:right w:val="none" w:sz="0" w:space="0" w:color="auto"/>
                      </w:divBdr>
                    </w:div>
                  </w:divsChild>
                </w:div>
                <w:div w:id="1635059760">
                  <w:marLeft w:val="0"/>
                  <w:marRight w:val="0"/>
                  <w:marTop w:val="0"/>
                  <w:marBottom w:val="0"/>
                  <w:divBdr>
                    <w:top w:val="none" w:sz="0" w:space="0" w:color="auto"/>
                    <w:left w:val="none" w:sz="0" w:space="0" w:color="auto"/>
                    <w:bottom w:val="none" w:sz="0" w:space="0" w:color="auto"/>
                    <w:right w:val="none" w:sz="0" w:space="0" w:color="auto"/>
                  </w:divBdr>
                  <w:divsChild>
                    <w:div w:id="803235079">
                      <w:marLeft w:val="0"/>
                      <w:marRight w:val="0"/>
                      <w:marTop w:val="0"/>
                      <w:marBottom w:val="0"/>
                      <w:divBdr>
                        <w:top w:val="none" w:sz="0" w:space="0" w:color="auto"/>
                        <w:left w:val="none" w:sz="0" w:space="0" w:color="auto"/>
                        <w:bottom w:val="none" w:sz="0" w:space="0" w:color="auto"/>
                        <w:right w:val="none" w:sz="0" w:space="0" w:color="auto"/>
                      </w:divBdr>
                    </w:div>
                  </w:divsChild>
                </w:div>
                <w:div w:id="1645543604">
                  <w:marLeft w:val="0"/>
                  <w:marRight w:val="0"/>
                  <w:marTop w:val="0"/>
                  <w:marBottom w:val="0"/>
                  <w:divBdr>
                    <w:top w:val="none" w:sz="0" w:space="0" w:color="auto"/>
                    <w:left w:val="none" w:sz="0" w:space="0" w:color="auto"/>
                    <w:bottom w:val="none" w:sz="0" w:space="0" w:color="auto"/>
                    <w:right w:val="none" w:sz="0" w:space="0" w:color="auto"/>
                  </w:divBdr>
                  <w:divsChild>
                    <w:div w:id="1418751560">
                      <w:marLeft w:val="0"/>
                      <w:marRight w:val="0"/>
                      <w:marTop w:val="0"/>
                      <w:marBottom w:val="0"/>
                      <w:divBdr>
                        <w:top w:val="none" w:sz="0" w:space="0" w:color="auto"/>
                        <w:left w:val="none" w:sz="0" w:space="0" w:color="auto"/>
                        <w:bottom w:val="none" w:sz="0" w:space="0" w:color="auto"/>
                        <w:right w:val="none" w:sz="0" w:space="0" w:color="auto"/>
                      </w:divBdr>
                    </w:div>
                  </w:divsChild>
                </w:div>
                <w:div w:id="1664776380">
                  <w:marLeft w:val="0"/>
                  <w:marRight w:val="0"/>
                  <w:marTop w:val="0"/>
                  <w:marBottom w:val="0"/>
                  <w:divBdr>
                    <w:top w:val="none" w:sz="0" w:space="0" w:color="auto"/>
                    <w:left w:val="none" w:sz="0" w:space="0" w:color="auto"/>
                    <w:bottom w:val="none" w:sz="0" w:space="0" w:color="auto"/>
                    <w:right w:val="none" w:sz="0" w:space="0" w:color="auto"/>
                  </w:divBdr>
                  <w:divsChild>
                    <w:div w:id="259222258">
                      <w:marLeft w:val="0"/>
                      <w:marRight w:val="0"/>
                      <w:marTop w:val="0"/>
                      <w:marBottom w:val="0"/>
                      <w:divBdr>
                        <w:top w:val="none" w:sz="0" w:space="0" w:color="auto"/>
                        <w:left w:val="none" w:sz="0" w:space="0" w:color="auto"/>
                        <w:bottom w:val="none" w:sz="0" w:space="0" w:color="auto"/>
                        <w:right w:val="none" w:sz="0" w:space="0" w:color="auto"/>
                      </w:divBdr>
                    </w:div>
                  </w:divsChild>
                </w:div>
                <w:div w:id="1667055826">
                  <w:marLeft w:val="0"/>
                  <w:marRight w:val="0"/>
                  <w:marTop w:val="0"/>
                  <w:marBottom w:val="0"/>
                  <w:divBdr>
                    <w:top w:val="none" w:sz="0" w:space="0" w:color="auto"/>
                    <w:left w:val="none" w:sz="0" w:space="0" w:color="auto"/>
                    <w:bottom w:val="none" w:sz="0" w:space="0" w:color="auto"/>
                    <w:right w:val="none" w:sz="0" w:space="0" w:color="auto"/>
                  </w:divBdr>
                  <w:divsChild>
                    <w:div w:id="2008289344">
                      <w:marLeft w:val="0"/>
                      <w:marRight w:val="0"/>
                      <w:marTop w:val="0"/>
                      <w:marBottom w:val="0"/>
                      <w:divBdr>
                        <w:top w:val="none" w:sz="0" w:space="0" w:color="auto"/>
                        <w:left w:val="none" w:sz="0" w:space="0" w:color="auto"/>
                        <w:bottom w:val="none" w:sz="0" w:space="0" w:color="auto"/>
                        <w:right w:val="none" w:sz="0" w:space="0" w:color="auto"/>
                      </w:divBdr>
                    </w:div>
                  </w:divsChild>
                </w:div>
                <w:div w:id="1688166862">
                  <w:marLeft w:val="0"/>
                  <w:marRight w:val="0"/>
                  <w:marTop w:val="0"/>
                  <w:marBottom w:val="0"/>
                  <w:divBdr>
                    <w:top w:val="none" w:sz="0" w:space="0" w:color="auto"/>
                    <w:left w:val="none" w:sz="0" w:space="0" w:color="auto"/>
                    <w:bottom w:val="none" w:sz="0" w:space="0" w:color="auto"/>
                    <w:right w:val="none" w:sz="0" w:space="0" w:color="auto"/>
                  </w:divBdr>
                  <w:divsChild>
                    <w:div w:id="1301108137">
                      <w:marLeft w:val="0"/>
                      <w:marRight w:val="0"/>
                      <w:marTop w:val="0"/>
                      <w:marBottom w:val="0"/>
                      <w:divBdr>
                        <w:top w:val="none" w:sz="0" w:space="0" w:color="auto"/>
                        <w:left w:val="none" w:sz="0" w:space="0" w:color="auto"/>
                        <w:bottom w:val="none" w:sz="0" w:space="0" w:color="auto"/>
                        <w:right w:val="none" w:sz="0" w:space="0" w:color="auto"/>
                      </w:divBdr>
                    </w:div>
                  </w:divsChild>
                </w:div>
                <w:div w:id="1692874286">
                  <w:marLeft w:val="0"/>
                  <w:marRight w:val="0"/>
                  <w:marTop w:val="0"/>
                  <w:marBottom w:val="0"/>
                  <w:divBdr>
                    <w:top w:val="none" w:sz="0" w:space="0" w:color="auto"/>
                    <w:left w:val="none" w:sz="0" w:space="0" w:color="auto"/>
                    <w:bottom w:val="none" w:sz="0" w:space="0" w:color="auto"/>
                    <w:right w:val="none" w:sz="0" w:space="0" w:color="auto"/>
                  </w:divBdr>
                  <w:divsChild>
                    <w:div w:id="1839074621">
                      <w:marLeft w:val="0"/>
                      <w:marRight w:val="0"/>
                      <w:marTop w:val="0"/>
                      <w:marBottom w:val="0"/>
                      <w:divBdr>
                        <w:top w:val="none" w:sz="0" w:space="0" w:color="auto"/>
                        <w:left w:val="none" w:sz="0" w:space="0" w:color="auto"/>
                        <w:bottom w:val="none" w:sz="0" w:space="0" w:color="auto"/>
                        <w:right w:val="none" w:sz="0" w:space="0" w:color="auto"/>
                      </w:divBdr>
                    </w:div>
                  </w:divsChild>
                </w:div>
                <w:div w:id="1696148770">
                  <w:marLeft w:val="0"/>
                  <w:marRight w:val="0"/>
                  <w:marTop w:val="0"/>
                  <w:marBottom w:val="0"/>
                  <w:divBdr>
                    <w:top w:val="none" w:sz="0" w:space="0" w:color="auto"/>
                    <w:left w:val="none" w:sz="0" w:space="0" w:color="auto"/>
                    <w:bottom w:val="none" w:sz="0" w:space="0" w:color="auto"/>
                    <w:right w:val="none" w:sz="0" w:space="0" w:color="auto"/>
                  </w:divBdr>
                  <w:divsChild>
                    <w:div w:id="1852715648">
                      <w:marLeft w:val="0"/>
                      <w:marRight w:val="0"/>
                      <w:marTop w:val="0"/>
                      <w:marBottom w:val="0"/>
                      <w:divBdr>
                        <w:top w:val="none" w:sz="0" w:space="0" w:color="auto"/>
                        <w:left w:val="none" w:sz="0" w:space="0" w:color="auto"/>
                        <w:bottom w:val="none" w:sz="0" w:space="0" w:color="auto"/>
                        <w:right w:val="none" w:sz="0" w:space="0" w:color="auto"/>
                      </w:divBdr>
                    </w:div>
                  </w:divsChild>
                </w:div>
                <w:div w:id="1706128511">
                  <w:marLeft w:val="0"/>
                  <w:marRight w:val="0"/>
                  <w:marTop w:val="0"/>
                  <w:marBottom w:val="0"/>
                  <w:divBdr>
                    <w:top w:val="none" w:sz="0" w:space="0" w:color="auto"/>
                    <w:left w:val="none" w:sz="0" w:space="0" w:color="auto"/>
                    <w:bottom w:val="none" w:sz="0" w:space="0" w:color="auto"/>
                    <w:right w:val="none" w:sz="0" w:space="0" w:color="auto"/>
                  </w:divBdr>
                  <w:divsChild>
                    <w:div w:id="1430586784">
                      <w:marLeft w:val="0"/>
                      <w:marRight w:val="0"/>
                      <w:marTop w:val="0"/>
                      <w:marBottom w:val="0"/>
                      <w:divBdr>
                        <w:top w:val="none" w:sz="0" w:space="0" w:color="auto"/>
                        <w:left w:val="none" w:sz="0" w:space="0" w:color="auto"/>
                        <w:bottom w:val="none" w:sz="0" w:space="0" w:color="auto"/>
                        <w:right w:val="none" w:sz="0" w:space="0" w:color="auto"/>
                      </w:divBdr>
                    </w:div>
                  </w:divsChild>
                </w:div>
                <w:div w:id="1751921687">
                  <w:marLeft w:val="0"/>
                  <w:marRight w:val="0"/>
                  <w:marTop w:val="0"/>
                  <w:marBottom w:val="0"/>
                  <w:divBdr>
                    <w:top w:val="none" w:sz="0" w:space="0" w:color="auto"/>
                    <w:left w:val="none" w:sz="0" w:space="0" w:color="auto"/>
                    <w:bottom w:val="none" w:sz="0" w:space="0" w:color="auto"/>
                    <w:right w:val="none" w:sz="0" w:space="0" w:color="auto"/>
                  </w:divBdr>
                  <w:divsChild>
                    <w:div w:id="500317034">
                      <w:marLeft w:val="0"/>
                      <w:marRight w:val="0"/>
                      <w:marTop w:val="0"/>
                      <w:marBottom w:val="0"/>
                      <w:divBdr>
                        <w:top w:val="none" w:sz="0" w:space="0" w:color="auto"/>
                        <w:left w:val="none" w:sz="0" w:space="0" w:color="auto"/>
                        <w:bottom w:val="none" w:sz="0" w:space="0" w:color="auto"/>
                        <w:right w:val="none" w:sz="0" w:space="0" w:color="auto"/>
                      </w:divBdr>
                    </w:div>
                  </w:divsChild>
                </w:div>
                <w:div w:id="1769423214">
                  <w:marLeft w:val="0"/>
                  <w:marRight w:val="0"/>
                  <w:marTop w:val="0"/>
                  <w:marBottom w:val="0"/>
                  <w:divBdr>
                    <w:top w:val="none" w:sz="0" w:space="0" w:color="auto"/>
                    <w:left w:val="none" w:sz="0" w:space="0" w:color="auto"/>
                    <w:bottom w:val="none" w:sz="0" w:space="0" w:color="auto"/>
                    <w:right w:val="none" w:sz="0" w:space="0" w:color="auto"/>
                  </w:divBdr>
                  <w:divsChild>
                    <w:div w:id="1051811459">
                      <w:marLeft w:val="0"/>
                      <w:marRight w:val="0"/>
                      <w:marTop w:val="0"/>
                      <w:marBottom w:val="0"/>
                      <w:divBdr>
                        <w:top w:val="none" w:sz="0" w:space="0" w:color="auto"/>
                        <w:left w:val="none" w:sz="0" w:space="0" w:color="auto"/>
                        <w:bottom w:val="none" w:sz="0" w:space="0" w:color="auto"/>
                        <w:right w:val="none" w:sz="0" w:space="0" w:color="auto"/>
                      </w:divBdr>
                    </w:div>
                  </w:divsChild>
                </w:div>
                <w:div w:id="1770007872">
                  <w:marLeft w:val="0"/>
                  <w:marRight w:val="0"/>
                  <w:marTop w:val="0"/>
                  <w:marBottom w:val="0"/>
                  <w:divBdr>
                    <w:top w:val="none" w:sz="0" w:space="0" w:color="auto"/>
                    <w:left w:val="none" w:sz="0" w:space="0" w:color="auto"/>
                    <w:bottom w:val="none" w:sz="0" w:space="0" w:color="auto"/>
                    <w:right w:val="none" w:sz="0" w:space="0" w:color="auto"/>
                  </w:divBdr>
                  <w:divsChild>
                    <w:div w:id="2135711974">
                      <w:marLeft w:val="0"/>
                      <w:marRight w:val="0"/>
                      <w:marTop w:val="0"/>
                      <w:marBottom w:val="0"/>
                      <w:divBdr>
                        <w:top w:val="none" w:sz="0" w:space="0" w:color="auto"/>
                        <w:left w:val="none" w:sz="0" w:space="0" w:color="auto"/>
                        <w:bottom w:val="none" w:sz="0" w:space="0" w:color="auto"/>
                        <w:right w:val="none" w:sz="0" w:space="0" w:color="auto"/>
                      </w:divBdr>
                    </w:div>
                  </w:divsChild>
                </w:div>
                <w:div w:id="1781072663">
                  <w:marLeft w:val="0"/>
                  <w:marRight w:val="0"/>
                  <w:marTop w:val="0"/>
                  <w:marBottom w:val="0"/>
                  <w:divBdr>
                    <w:top w:val="none" w:sz="0" w:space="0" w:color="auto"/>
                    <w:left w:val="none" w:sz="0" w:space="0" w:color="auto"/>
                    <w:bottom w:val="none" w:sz="0" w:space="0" w:color="auto"/>
                    <w:right w:val="none" w:sz="0" w:space="0" w:color="auto"/>
                  </w:divBdr>
                  <w:divsChild>
                    <w:div w:id="1518347766">
                      <w:marLeft w:val="0"/>
                      <w:marRight w:val="0"/>
                      <w:marTop w:val="0"/>
                      <w:marBottom w:val="0"/>
                      <w:divBdr>
                        <w:top w:val="none" w:sz="0" w:space="0" w:color="auto"/>
                        <w:left w:val="none" w:sz="0" w:space="0" w:color="auto"/>
                        <w:bottom w:val="none" w:sz="0" w:space="0" w:color="auto"/>
                        <w:right w:val="none" w:sz="0" w:space="0" w:color="auto"/>
                      </w:divBdr>
                    </w:div>
                  </w:divsChild>
                </w:div>
                <w:div w:id="1798065795">
                  <w:marLeft w:val="0"/>
                  <w:marRight w:val="0"/>
                  <w:marTop w:val="0"/>
                  <w:marBottom w:val="0"/>
                  <w:divBdr>
                    <w:top w:val="none" w:sz="0" w:space="0" w:color="auto"/>
                    <w:left w:val="none" w:sz="0" w:space="0" w:color="auto"/>
                    <w:bottom w:val="none" w:sz="0" w:space="0" w:color="auto"/>
                    <w:right w:val="none" w:sz="0" w:space="0" w:color="auto"/>
                  </w:divBdr>
                  <w:divsChild>
                    <w:div w:id="342636113">
                      <w:marLeft w:val="0"/>
                      <w:marRight w:val="0"/>
                      <w:marTop w:val="0"/>
                      <w:marBottom w:val="0"/>
                      <w:divBdr>
                        <w:top w:val="none" w:sz="0" w:space="0" w:color="auto"/>
                        <w:left w:val="none" w:sz="0" w:space="0" w:color="auto"/>
                        <w:bottom w:val="none" w:sz="0" w:space="0" w:color="auto"/>
                        <w:right w:val="none" w:sz="0" w:space="0" w:color="auto"/>
                      </w:divBdr>
                    </w:div>
                  </w:divsChild>
                </w:div>
                <w:div w:id="1802533030">
                  <w:marLeft w:val="0"/>
                  <w:marRight w:val="0"/>
                  <w:marTop w:val="0"/>
                  <w:marBottom w:val="0"/>
                  <w:divBdr>
                    <w:top w:val="none" w:sz="0" w:space="0" w:color="auto"/>
                    <w:left w:val="none" w:sz="0" w:space="0" w:color="auto"/>
                    <w:bottom w:val="none" w:sz="0" w:space="0" w:color="auto"/>
                    <w:right w:val="none" w:sz="0" w:space="0" w:color="auto"/>
                  </w:divBdr>
                  <w:divsChild>
                    <w:div w:id="2009206551">
                      <w:marLeft w:val="0"/>
                      <w:marRight w:val="0"/>
                      <w:marTop w:val="0"/>
                      <w:marBottom w:val="0"/>
                      <w:divBdr>
                        <w:top w:val="none" w:sz="0" w:space="0" w:color="auto"/>
                        <w:left w:val="none" w:sz="0" w:space="0" w:color="auto"/>
                        <w:bottom w:val="none" w:sz="0" w:space="0" w:color="auto"/>
                        <w:right w:val="none" w:sz="0" w:space="0" w:color="auto"/>
                      </w:divBdr>
                    </w:div>
                  </w:divsChild>
                </w:div>
                <w:div w:id="1810439214">
                  <w:marLeft w:val="0"/>
                  <w:marRight w:val="0"/>
                  <w:marTop w:val="0"/>
                  <w:marBottom w:val="0"/>
                  <w:divBdr>
                    <w:top w:val="none" w:sz="0" w:space="0" w:color="auto"/>
                    <w:left w:val="none" w:sz="0" w:space="0" w:color="auto"/>
                    <w:bottom w:val="none" w:sz="0" w:space="0" w:color="auto"/>
                    <w:right w:val="none" w:sz="0" w:space="0" w:color="auto"/>
                  </w:divBdr>
                  <w:divsChild>
                    <w:div w:id="258489614">
                      <w:marLeft w:val="0"/>
                      <w:marRight w:val="0"/>
                      <w:marTop w:val="0"/>
                      <w:marBottom w:val="0"/>
                      <w:divBdr>
                        <w:top w:val="none" w:sz="0" w:space="0" w:color="auto"/>
                        <w:left w:val="none" w:sz="0" w:space="0" w:color="auto"/>
                        <w:bottom w:val="none" w:sz="0" w:space="0" w:color="auto"/>
                        <w:right w:val="none" w:sz="0" w:space="0" w:color="auto"/>
                      </w:divBdr>
                    </w:div>
                  </w:divsChild>
                </w:div>
                <w:div w:id="1832142142">
                  <w:marLeft w:val="0"/>
                  <w:marRight w:val="0"/>
                  <w:marTop w:val="0"/>
                  <w:marBottom w:val="0"/>
                  <w:divBdr>
                    <w:top w:val="none" w:sz="0" w:space="0" w:color="auto"/>
                    <w:left w:val="none" w:sz="0" w:space="0" w:color="auto"/>
                    <w:bottom w:val="none" w:sz="0" w:space="0" w:color="auto"/>
                    <w:right w:val="none" w:sz="0" w:space="0" w:color="auto"/>
                  </w:divBdr>
                  <w:divsChild>
                    <w:div w:id="885945475">
                      <w:marLeft w:val="0"/>
                      <w:marRight w:val="0"/>
                      <w:marTop w:val="0"/>
                      <w:marBottom w:val="0"/>
                      <w:divBdr>
                        <w:top w:val="none" w:sz="0" w:space="0" w:color="auto"/>
                        <w:left w:val="none" w:sz="0" w:space="0" w:color="auto"/>
                        <w:bottom w:val="none" w:sz="0" w:space="0" w:color="auto"/>
                        <w:right w:val="none" w:sz="0" w:space="0" w:color="auto"/>
                      </w:divBdr>
                    </w:div>
                  </w:divsChild>
                </w:div>
                <w:div w:id="1842351106">
                  <w:marLeft w:val="0"/>
                  <w:marRight w:val="0"/>
                  <w:marTop w:val="0"/>
                  <w:marBottom w:val="0"/>
                  <w:divBdr>
                    <w:top w:val="none" w:sz="0" w:space="0" w:color="auto"/>
                    <w:left w:val="none" w:sz="0" w:space="0" w:color="auto"/>
                    <w:bottom w:val="none" w:sz="0" w:space="0" w:color="auto"/>
                    <w:right w:val="none" w:sz="0" w:space="0" w:color="auto"/>
                  </w:divBdr>
                  <w:divsChild>
                    <w:div w:id="2122452729">
                      <w:marLeft w:val="0"/>
                      <w:marRight w:val="0"/>
                      <w:marTop w:val="0"/>
                      <w:marBottom w:val="0"/>
                      <w:divBdr>
                        <w:top w:val="none" w:sz="0" w:space="0" w:color="auto"/>
                        <w:left w:val="none" w:sz="0" w:space="0" w:color="auto"/>
                        <w:bottom w:val="none" w:sz="0" w:space="0" w:color="auto"/>
                        <w:right w:val="none" w:sz="0" w:space="0" w:color="auto"/>
                      </w:divBdr>
                    </w:div>
                  </w:divsChild>
                </w:div>
                <w:div w:id="1855535040">
                  <w:marLeft w:val="0"/>
                  <w:marRight w:val="0"/>
                  <w:marTop w:val="0"/>
                  <w:marBottom w:val="0"/>
                  <w:divBdr>
                    <w:top w:val="none" w:sz="0" w:space="0" w:color="auto"/>
                    <w:left w:val="none" w:sz="0" w:space="0" w:color="auto"/>
                    <w:bottom w:val="none" w:sz="0" w:space="0" w:color="auto"/>
                    <w:right w:val="none" w:sz="0" w:space="0" w:color="auto"/>
                  </w:divBdr>
                  <w:divsChild>
                    <w:div w:id="2004773631">
                      <w:marLeft w:val="0"/>
                      <w:marRight w:val="0"/>
                      <w:marTop w:val="0"/>
                      <w:marBottom w:val="0"/>
                      <w:divBdr>
                        <w:top w:val="none" w:sz="0" w:space="0" w:color="auto"/>
                        <w:left w:val="none" w:sz="0" w:space="0" w:color="auto"/>
                        <w:bottom w:val="none" w:sz="0" w:space="0" w:color="auto"/>
                        <w:right w:val="none" w:sz="0" w:space="0" w:color="auto"/>
                      </w:divBdr>
                    </w:div>
                  </w:divsChild>
                </w:div>
                <w:div w:id="1866670626">
                  <w:marLeft w:val="0"/>
                  <w:marRight w:val="0"/>
                  <w:marTop w:val="0"/>
                  <w:marBottom w:val="0"/>
                  <w:divBdr>
                    <w:top w:val="none" w:sz="0" w:space="0" w:color="auto"/>
                    <w:left w:val="none" w:sz="0" w:space="0" w:color="auto"/>
                    <w:bottom w:val="none" w:sz="0" w:space="0" w:color="auto"/>
                    <w:right w:val="none" w:sz="0" w:space="0" w:color="auto"/>
                  </w:divBdr>
                  <w:divsChild>
                    <w:div w:id="662851843">
                      <w:marLeft w:val="0"/>
                      <w:marRight w:val="0"/>
                      <w:marTop w:val="0"/>
                      <w:marBottom w:val="0"/>
                      <w:divBdr>
                        <w:top w:val="none" w:sz="0" w:space="0" w:color="auto"/>
                        <w:left w:val="none" w:sz="0" w:space="0" w:color="auto"/>
                        <w:bottom w:val="none" w:sz="0" w:space="0" w:color="auto"/>
                        <w:right w:val="none" w:sz="0" w:space="0" w:color="auto"/>
                      </w:divBdr>
                    </w:div>
                  </w:divsChild>
                </w:div>
                <w:div w:id="1910577088">
                  <w:marLeft w:val="0"/>
                  <w:marRight w:val="0"/>
                  <w:marTop w:val="0"/>
                  <w:marBottom w:val="0"/>
                  <w:divBdr>
                    <w:top w:val="none" w:sz="0" w:space="0" w:color="auto"/>
                    <w:left w:val="none" w:sz="0" w:space="0" w:color="auto"/>
                    <w:bottom w:val="none" w:sz="0" w:space="0" w:color="auto"/>
                    <w:right w:val="none" w:sz="0" w:space="0" w:color="auto"/>
                  </w:divBdr>
                  <w:divsChild>
                    <w:div w:id="854882886">
                      <w:marLeft w:val="0"/>
                      <w:marRight w:val="0"/>
                      <w:marTop w:val="0"/>
                      <w:marBottom w:val="0"/>
                      <w:divBdr>
                        <w:top w:val="none" w:sz="0" w:space="0" w:color="auto"/>
                        <w:left w:val="none" w:sz="0" w:space="0" w:color="auto"/>
                        <w:bottom w:val="none" w:sz="0" w:space="0" w:color="auto"/>
                        <w:right w:val="none" w:sz="0" w:space="0" w:color="auto"/>
                      </w:divBdr>
                    </w:div>
                  </w:divsChild>
                </w:div>
                <w:div w:id="1942760169">
                  <w:marLeft w:val="0"/>
                  <w:marRight w:val="0"/>
                  <w:marTop w:val="0"/>
                  <w:marBottom w:val="0"/>
                  <w:divBdr>
                    <w:top w:val="none" w:sz="0" w:space="0" w:color="auto"/>
                    <w:left w:val="none" w:sz="0" w:space="0" w:color="auto"/>
                    <w:bottom w:val="none" w:sz="0" w:space="0" w:color="auto"/>
                    <w:right w:val="none" w:sz="0" w:space="0" w:color="auto"/>
                  </w:divBdr>
                  <w:divsChild>
                    <w:div w:id="1383822277">
                      <w:marLeft w:val="0"/>
                      <w:marRight w:val="0"/>
                      <w:marTop w:val="0"/>
                      <w:marBottom w:val="0"/>
                      <w:divBdr>
                        <w:top w:val="none" w:sz="0" w:space="0" w:color="auto"/>
                        <w:left w:val="none" w:sz="0" w:space="0" w:color="auto"/>
                        <w:bottom w:val="none" w:sz="0" w:space="0" w:color="auto"/>
                        <w:right w:val="none" w:sz="0" w:space="0" w:color="auto"/>
                      </w:divBdr>
                    </w:div>
                  </w:divsChild>
                </w:div>
                <w:div w:id="1956864902">
                  <w:marLeft w:val="0"/>
                  <w:marRight w:val="0"/>
                  <w:marTop w:val="0"/>
                  <w:marBottom w:val="0"/>
                  <w:divBdr>
                    <w:top w:val="none" w:sz="0" w:space="0" w:color="auto"/>
                    <w:left w:val="none" w:sz="0" w:space="0" w:color="auto"/>
                    <w:bottom w:val="none" w:sz="0" w:space="0" w:color="auto"/>
                    <w:right w:val="none" w:sz="0" w:space="0" w:color="auto"/>
                  </w:divBdr>
                  <w:divsChild>
                    <w:div w:id="1419643030">
                      <w:marLeft w:val="0"/>
                      <w:marRight w:val="0"/>
                      <w:marTop w:val="0"/>
                      <w:marBottom w:val="0"/>
                      <w:divBdr>
                        <w:top w:val="none" w:sz="0" w:space="0" w:color="auto"/>
                        <w:left w:val="none" w:sz="0" w:space="0" w:color="auto"/>
                        <w:bottom w:val="none" w:sz="0" w:space="0" w:color="auto"/>
                        <w:right w:val="none" w:sz="0" w:space="0" w:color="auto"/>
                      </w:divBdr>
                    </w:div>
                  </w:divsChild>
                </w:div>
                <w:div w:id="1983849293">
                  <w:marLeft w:val="0"/>
                  <w:marRight w:val="0"/>
                  <w:marTop w:val="0"/>
                  <w:marBottom w:val="0"/>
                  <w:divBdr>
                    <w:top w:val="none" w:sz="0" w:space="0" w:color="auto"/>
                    <w:left w:val="none" w:sz="0" w:space="0" w:color="auto"/>
                    <w:bottom w:val="none" w:sz="0" w:space="0" w:color="auto"/>
                    <w:right w:val="none" w:sz="0" w:space="0" w:color="auto"/>
                  </w:divBdr>
                  <w:divsChild>
                    <w:div w:id="1159612781">
                      <w:marLeft w:val="0"/>
                      <w:marRight w:val="0"/>
                      <w:marTop w:val="0"/>
                      <w:marBottom w:val="0"/>
                      <w:divBdr>
                        <w:top w:val="none" w:sz="0" w:space="0" w:color="auto"/>
                        <w:left w:val="none" w:sz="0" w:space="0" w:color="auto"/>
                        <w:bottom w:val="none" w:sz="0" w:space="0" w:color="auto"/>
                        <w:right w:val="none" w:sz="0" w:space="0" w:color="auto"/>
                      </w:divBdr>
                    </w:div>
                  </w:divsChild>
                </w:div>
                <w:div w:id="1991136105">
                  <w:marLeft w:val="0"/>
                  <w:marRight w:val="0"/>
                  <w:marTop w:val="0"/>
                  <w:marBottom w:val="0"/>
                  <w:divBdr>
                    <w:top w:val="none" w:sz="0" w:space="0" w:color="auto"/>
                    <w:left w:val="none" w:sz="0" w:space="0" w:color="auto"/>
                    <w:bottom w:val="none" w:sz="0" w:space="0" w:color="auto"/>
                    <w:right w:val="none" w:sz="0" w:space="0" w:color="auto"/>
                  </w:divBdr>
                  <w:divsChild>
                    <w:div w:id="1889880145">
                      <w:marLeft w:val="0"/>
                      <w:marRight w:val="0"/>
                      <w:marTop w:val="0"/>
                      <w:marBottom w:val="0"/>
                      <w:divBdr>
                        <w:top w:val="none" w:sz="0" w:space="0" w:color="auto"/>
                        <w:left w:val="none" w:sz="0" w:space="0" w:color="auto"/>
                        <w:bottom w:val="none" w:sz="0" w:space="0" w:color="auto"/>
                        <w:right w:val="none" w:sz="0" w:space="0" w:color="auto"/>
                      </w:divBdr>
                    </w:div>
                  </w:divsChild>
                </w:div>
                <w:div w:id="2031835918">
                  <w:marLeft w:val="0"/>
                  <w:marRight w:val="0"/>
                  <w:marTop w:val="0"/>
                  <w:marBottom w:val="0"/>
                  <w:divBdr>
                    <w:top w:val="none" w:sz="0" w:space="0" w:color="auto"/>
                    <w:left w:val="none" w:sz="0" w:space="0" w:color="auto"/>
                    <w:bottom w:val="none" w:sz="0" w:space="0" w:color="auto"/>
                    <w:right w:val="none" w:sz="0" w:space="0" w:color="auto"/>
                  </w:divBdr>
                  <w:divsChild>
                    <w:div w:id="1046950658">
                      <w:marLeft w:val="0"/>
                      <w:marRight w:val="0"/>
                      <w:marTop w:val="0"/>
                      <w:marBottom w:val="0"/>
                      <w:divBdr>
                        <w:top w:val="none" w:sz="0" w:space="0" w:color="auto"/>
                        <w:left w:val="none" w:sz="0" w:space="0" w:color="auto"/>
                        <w:bottom w:val="none" w:sz="0" w:space="0" w:color="auto"/>
                        <w:right w:val="none" w:sz="0" w:space="0" w:color="auto"/>
                      </w:divBdr>
                    </w:div>
                  </w:divsChild>
                </w:div>
                <w:div w:id="2053574706">
                  <w:marLeft w:val="0"/>
                  <w:marRight w:val="0"/>
                  <w:marTop w:val="0"/>
                  <w:marBottom w:val="0"/>
                  <w:divBdr>
                    <w:top w:val="none" w:sz="0" w:space="0" w:color="auto"/>
                    <w:left w:val="none" w:sz="0" w:space="0" w:color="auto"/>
                    <w:bottom w:val="none" w:sz="0" w:space="0" w:color="auto"/>
                    <w:right w:val="none" w:sz="0" w:space="0" w:color="auto"/>
                  </w:divBdr>
                  <w:divsChild>
                    <w:div w:id="1734041593">
                      <w:marLeft w:val="0"/>
                      <w:marRight w:val="0"/>
                      <w:marTop w:val="0"/>
                      <w:marBottom w:val="0"/>
                      <w:divBdr>
                        <w:top w:val="none" w:sz="0" w:space="0" w:color="auto"/>
                        <w:left w:val="none" w:sz="0" w:space="0" w:color="auto"/>
                        <w:bottom w:val="none" w:sz="0" w:space="0" w:color="auto"/>
                        <w:right w:val="none" w:sz="0" w:space="0" w:color="auto"/>
                      </w:divBdr>
                    </w:div>
                  </w:divsChild>
                </w:div>
                <w:div w:id="2098164788">
                  <w:marLeft w:val="0"/>
                  <w:marRight w:val="0"/>
                  <w:marTop w:val="0"/>
                  <w:marBottom w:val="0"/>
                  <w:divBdr>
                    <w:top w:val="none" w:sz="0" w:space="0" w:color="auto"/>
                    <w:left w:val="none" w:sz="0" w:space="0" w:color="auto"/>
                    <w:bottom w:val="none" w:sz="0" w:space="0" w:color="auto"/>
                    <w:right w:val="none" w:sz="0" w:space="0" w:color="auto"/>
                  </w:divBdr>
                  <w:divsChild>
                    <w:div w:id="1711564080">
                      <w:marLeft w:val="0"/>
                      <w:marRight w:val="0"/>
                      <w:marTop w:val="0"/>
                      <w:marBottom w:val="0"/>
                      <w:divBdr>
                        <w:top w:val="none" w:sz="0" w:space="0" w:color="auto"/>
                        <w:left w:val="none" w:sz="0" w:space="0" w:color="auto"/>
                        <w:bottom w:val="none" w:sz="0" w:space="0" w:color="auto"/>
                        <w:right w:val="none" w:sz="0" w:space="0" w:color="auto"/>
                      </w:divBdr>
                    </w:div>
                  </w:divsChild>
                </w:div>
                <w:div w:id="2107337756">
                  <w:marLeft w:val="0"/>
                  <w:marRight w:val="0"/>
                  <w:marTop w:val="0"/>
                  <w:marBottom w:val="0"/>
                  <w:divBdr>
                    <w:top w:val="none" w:sz="0" w:space="0" w:color="auto"/>
                    <w:left w:val="none" w:sz="0" w:space="0" w:color="auto"/>
                    <w:bottom w:val="none" w:sz="0" w:space="0" w:color="auto"/>
                    <w:right w:val="none" w:sz="0" w:space="0" w:color="auto"/>
                  </w:divBdr>
                  <w:divsChild>
                    <w:div w:id="559443008">
                      <w:marLeft w:val="0"/>
                      <w:marRight w:val="0"/>
                      <w:marTop w:val="0"/>
                      <w:marBottom w:val="0"/>
                      <w:divBdr>
                        <w:top w:val="none" w:sz="0" w:space="0" w:color="auto"/>
                        <w:left w:val="none" w:sz="0" w:space="0" w:color="auto"/>
                        <w:bottom w:val="none" w:sz="0" w:space="0" w:color="auto"/>
                        <w:right w:val="none" w:sz="0" w:space="0" w:color="auto"/>
                      </w:divBdr>
                    </w:div>
                  </w:divsChild>
                </w:div>
                <w:div w:id="2119258185">
                  <w:marLeft w:val="0"/>
                  <w:marRight w:val="0"/>
                  <w:marTop w:val="0"/>
                  <w:marBottom w:val="0"/>
                  <w:divBdr>
                    <w:top w:val="none" w:sz="0" w:space="0" w:color="auto"/>
                    <w:left w:val="none" w:sz="0" w:space="0" w:color="auto"/>
                    <w:bottom w:val="none" w:sz="0" w:space="0" w:color="auto"/>
                    <w:right w:val="none" w:sz="0" w:space="0" w:color="auto"/>
                  </w:divBdr>
                  <w:divsChild>
                    <w:div w:id="1410496717">
                      <w:marLeft w:val="0"/>
                      <w:marRight w:val="0"/>
                      <w:marTop w:val="0"/>
                      <w:marBottom w:val="0"/>
                      <w:divBdr>
                        <w:top w:val="none" w:sz="0" w:space="0" w:color="auto"/>
                        <w:left w:val="none" w:sz="0" w:space="0" w:color="auto"/>
                        <w:bottom w:val="none" w:sz="0" w:space="0" w:color="auto"/>
                        <w:right w:val="none" w:sz="0" w:space="0" w:color="auto"/>
                      </w:divBdr>
                    </w:div>
                  </w:divsChild>
                </w:div>
                <w:div w:id="2123646907">
                  <w:marLeft w:val="0"/>
                  <w:marRight w:val="0"/>
                  <w:marTop w:val="0"/>
                  <w:marBottom w:val="0"/>
                  <w:divBdr>
                    <w:top w:val="none" w:sz="0" w:space="0" w:color="auto"/>
                    <w:left w:val="none" w:sz="0" w:space="0" w:color="auto"/>
                    <w:bottom w:val="none" w:sz="0" w:space="0" w:color="auto"/>
                    <w:right w:val="none" w:sz="0" w:space="0" w:color="auto"/>
                  </w:divBdr>
                  <w:divsChild>
                    <w:div w:id="957489701">
                      <w:marLeft w:val="0"/>
                      <w:marRight w:val="0"/>
                      <w:marTop w:val="0"/>
                      <w:marBottom w:val="0"/>
                      <w:divBdr>
                        <w:top w:val="none" w:sz="0" w:space="0" w:color="auto"/>
                        <w:left w:val="none" w:sz="0" w:space="0" w:color="auto"/>
                        <w:bottom w:val="none" w:sz="0" w:space="0" w:color="auto"/>
                        <w:right w:val="none" w:sz="0" w:space="0" w:color="auto"/>
                      </w:divBdr>
                    </w:div>
                  </w:divsChild>
                </w:div>
                <w:div w:id="2130321830">
                  <w:marLeft w:val="0"/>
                  <w:marRight w:val="0"/>
                  <w:marTop w:val="0"/>
                  <w:marBottom w:val="0"/>
                  <w:divBdr>
                    <w:top w:val="none" w:sz="0" w:space="0" w:color="auto"/>
                    <w:left w:val="none" w:sz="0" w:space="0" w:color="auto"/>
                    <w:bottom w:val="none" w:sz="0" w:space="0" w:color="auto"/>
                    <w:right w:val="none" w:sz="0" w:space="0" w:color="auto"/>
                  </w:divBdr>
                  <w:divsChild>
                    <w:div w:id="108941027">
                      <w:marLeft w:val="0"/>
                      <w:marRight w:val="0"/>
                      <w:marTop w:val="0"/>
                      <w:marBottom w:val="0"/>
                      <w:divBdr>
                        <w:top w:val="none" w:sz="0" w:space="0" w:color="auto"/>
                        <w:left w:val="none" w:sz="0" w:space="0" w:color="auto"/>
                        <w:bottom w:val="none" w:sz="0" w:space="0" w:color="auto"/>
                        <w:right w:val="none" w:sz="0" w:space="0" w:color="auto"/>
                      </w:divBdr>
                    </w:div>
                  </w:divsChild>
                </w:div>
                <w:div w:id="2138528833">
                  <w:marLeft w:val="0"/>
                  <w:marRight w:val="0"/>
                  <w:marTop w:val="0"/>
                  <w:marBottom w:val="0"/>
                  <w:divBdr>
                    <w:top w:val="none" w:sz="0" w:space="0" w:color="auto"/>
                    <w:left w:val="none" w:sz="0" w:space="0" w:color="auto"/>
                    <w:bottom w:val="none" w:sz="0" w:space="0" w:color="auto"/>
                    <w:right w:val="none" w:sz="0" w:space="0" w:color="auto"/>
                  </w:divBdr>
                  <w:divsChild>
                    <w:div w:id="1967199607">
                      <w:marLeft w:val="0"/>
                      <w:marRight w:val="0"/>
                      <w:marTop w:val="0"/>
                      <w:marBottom w:val="0"/>
                      <w:divBdr>
                        <w:top w:val="none" w:sz="0" w:space="0" w:color="auto"/>
                        <w:left w:val="none" w:sz="0" w:space="0" w:color="auto"/>
                        <w:bottom w:val="none" w:sz="0" w:space="0" w:color="auto"/>
                        <w:right w:val="none" w:sz="0" w:space="0" w:color="auto"/>
                      </w:divBdr>
                    </w:div>
                  </w:divsChild>
                </w:div>
                <w:div w:id="2139372541">
                  <w:marLeft w:val="0"/>
                  <w:marRight w:val="0"/>
                  <w:marTop w:val="0"/>
                  <w:marBottom w:val="0"/>
                  <w:divBdr>
                    <w:top w:val="none" w:sz="0" w:space="0" w:color="auto"/>
                    <w:left w:val="none" w:sz="0" w:space="0" w:color="auto"/>
                    <w:bottom w:val="none" w:sz="0" w:space="0" w:color="auto"/>
                    <w:right w:val="none" w:sz="0" w:space="0" w:color="auto"/>
                  </w:divBdr>
                  <w:divsChild>
                    <w:div w:id="2017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9203">
          <w:marLeft w:val="0"/>
          <w:marRight w:val="0"/>
          <w:marTop w:val="0"/>
          <w:marBottom w:val="0"/>
          <w:divBdr>
            <w:top w:val="none" w:sz="0" w:space="0" w:color="auto"/>
            <w:left w:val="none" w:sz="0" w:space="0" w:color="auto"/>
            <w:bottom w:val="none" w:sz="0" w:space="0" w:color="auto"/>
            <w:right w:val="none" w:sz="0" w:space="0" w:color="auto"/>
          </w:divBdr>
        </w:div>
        <w:div w:id="857890053">
          <w:marLeft w:val="0"/>
          <w:marRight w:val="0"/>
          <w:marTop w:val="0"/>
          <w:marBottom w:val="0"/>
          <w:divBdr>
            <w:top w:val="none" w:sz="0" w:space="0" w:color="auto"/>
            <w:left w:val="none" w:sz="0" w:space="0" w:color="auto"/>
            <w:bottom w:val="none" w:sz="0" w:space="0" w:color="auto"/>
            <w:right w:val="none" w:sz="0" w:space="0" w:color="auto"/>
          </w:divBdr>
        </w:div>
        <w:div w:id="954601927">
          <w:marLeft w:val="0"/>
          <w:marRight w:val="0"/>
          <w:marTop w:val="0"/>
          <w:marBottom w:val="0"/>
          <w:divBdr>
            <w:top w:val="none" w:sz="0" w:space="0" w:color="auto"/>
            <w:left w:val="none" w:sz="0" w:space="0" w:color="auto"/>
            <w:bottom w:val="none" w:sz="0" w:space="0" w:color="auto"/>
            <w:right w:val="none" w:sz="0" w:space="0" w:color="auto"/>
          </w:divBdr>
        </w:div>
        <w:div w:id="1412969637">
          <w:marLeft w:val="0"/>
          <w:marRight w:val="0"/>
          <w:marTop w:val="0"/>
          <w:marBottom w:val="0"/>
          <w:divBdr>
            <w:top w:val="none" w:sz="0" w:space="0" w:color="auto"/>
            <w:left w:val="none" w:sz="0" w:space="0" w:color="auto"/>
            <w:bottom w:val="none" w:sz="0" w:space="0" w:color="auto"/>
            <w:right w:val="none" w:sz="0" w:space="0" w:color="auto"/>
          </w:divBdr>
        </w:div>
        <w:div w:id="1747679707">
          <w:marLeft w:val="0"/>
          <w:marRight w:val="0"/>
          <w:marTop w:val="0"/>
          <w:marBottom w:val="0"/>
          <w:divBdr>
            <w:top w:val="none" w:sz="0" w:space="0" w:color="auto"/>
            <w:left w:val="none" w:sz="0" w:space="0" w:color="auto"/>
            <w:bottom w:val="none" w:sz="0" w:space="0" w:color="auto"/>
            <w:right w:val="none" w:sz="0" w:space="0" w:color="auto"/>
          </w:divBdr>
        </w:div>
        <w:div w:id="2083982791">
          <w:marLeft w:val="0"/>
          <w:marRight w:val="0"/>
          <w:marTop w:val="0"/>
          <w:marBottom w:val="0"/>
          <w:divBdr>
            <w:top w:val="none" w:sz="0" w:space="0" w:color="auto"/>
            <w:left w:val="none" w:sz="0" w:space="0" w:color="auto"/>
            <w:bottom w:val="none" w:sz="0" w:space="0" w:color="auto"/>
            <w:right w:val="none" w:sz="0" w:space="0" w:color="auto"/>
          </w:divBdr>
        </w:div>
      </w:divsChild>
    </w:div>
    <w:div w:id="558900986">
      <w:bodyDiv w:val="1"/>
      <w:marLeft w:val="0"/>
      <w:marRight w:val="0"/>
      <w:marTop w:val="0"/>
      <w:marBottom w:val="0"/>
      <w:divBdr>
        <w:top w:val="none" w:sz="0" w:space="0" w:color="auto"/>
        <w:left w:val="none" w:sz="0" w:space="0" w:color="auto"/>
        <w:bottom w:val="none" w:sz="0" w:space="0" w:color="auto"/>
        <w:right w:val="none" w:sz="0" w:space="0" w:color="auto"/>
      </w:divBdr>
      <w:divsChild>
        <w:div w:id="5443474">
          <w:marLeft w:val="0"/>
          <w:marRight w:val="0"/>
          <w:marTop w:val="0"/>
          <w:marBottom w:val="0"/>
          <w:divBdr>
            <w:top w:val="none" w:sz="0" w:space="0" w:color="auto"/>
            <w:left w:val="none" w:sz="0" w:space="0" w:color="auto"/>
            <w:bottom w:val="none" w:sz="0" w:space="0" w:color="auto"/>
            <w:right w:val="none" w:sz="0" w:space="0" w:color="auto"/>
          </w:divBdr>
          <w:divsChild>
            <w:div w:id="620888908">
              <w:marLeft w:val="-75"/>
              <w:marRight w:val="0"/>
              <w:marTop w:val="30"/>
              <w:marBottom w:val="30"/>
              <w:divBdr>
                <w:top w:val="none" w:sz="0" w:space="0" w:color="auto"/>
                <w:left w:val="none" w:sz="0" w:space="0" w:color="auto"/>
                <w:bottom w:val="none" w:sz="0" w:space="0" w:color="auto"/>
                <w:right w:val="none" w:sz="0" w:space="0" w:color="auto"/>
              </w:divBdr>
              <w:divsChild>
                <w:div w:id="1395167">
                  <w:marLeft w:val="0"/>
                  <w:marRight w:val="0"/>
                  <w:marTop w:val="0"/>
                  <w:marBottom w:val="0"/>
                  <w:divBdr>
                    <w:top w:val="none" w:sz="0" w:space="0" w:color="auto"/>
                    <w:left w:val="none" w:sz="0" w:space="0" w:color="auto"/>
                    <w:bottom w:val="none" w:sz="0" w:space="0" w:color="auto"/>
                    <w:right w:val="none" w:sz="0" w:space="0" w:color="auto"/>
                  </w:divBdr>
                  <w:divsChild>
                    <w:div w:id="326980710">
                      <w:marLeft w:val="0"/>
                      <w:marRight w:val="0"/>
                      <w:marTop w:val="0"/>
                      <w:marBottom w:val="0"/>
                      <w:divBdr>
                        <w:top w:val="none" w:sz="0" w:space="0" w:color="auto"/>
                        <w:left w:val="none" w:sz="0" w:space="0" w:color="auto"/>
                        <w:bottom w:val="none" w:sz="0" w:space="0" w:color="auto"/>
                        <w:right w:val="none" w:sz="0" w:space="0" w:color="auto"/>
                      </w:divBdr>
                    </w:div>
                  </w:divsChild>
                </w:div>
                <w:div w:id="4944285">
                  <w:marLeft w:val="0"/>
                  <w:marRight w:val="0"/>
                  <w:marTop w:val="0"/>
                  <w:marBottom w:val="0"/>
                  <w:divBdr>
                    <w:top w:val="none" w:sz="0" w:space="0" w:color="auto"/>
                    <w:left w:val="none" w:sz="0" w:space="0" w:color="auto"/>
                    <w:bottom w:val="none" w:sz="0" w:space="0" w:color="auto"/>
                    <w:right w:val="none" w:sz="0" w:space="0" w:color="auto"/>
                  </w:divBdr>
                  <w:divsChild>
                    <w:div w:id="1977829741">
                      <w:marLeft w:val="0"/>
                      <w:marRight w:val="0"/>
                      <w:marTop w:val="0"/>
                      <w:marBottom w:val="0"/>
                      <w:divBdr>
                        <w:top w:val="none" w:sz="0" w:space="0" w:color="auto"/>
                        <w:left w:val="none" w:sz="0" w:space="0" w:color="auto"/>
                        <w:bottom w:val="none" w:sz="0" w:space="0" w:color="auto"/>
                        <w:right w:val="none" w:sz="0" w:space="0" w:color="auto"/>
                      </w:divBdr>
                    </w:div>
                  </w:divsChild>
                </w:div>
                <w:div w:id="11957878">
                  <w:marLeft w:val="0"/>
                  <w:marRight w:val="0"/>
                  <w:marTop w:val="0"/>
                  <w:marBottom w:val="0"/>
                  <w:divBdr>
                    <w:top w:val="none" w:sz="0" w:space="0" w:color="auto"/>
                    <w:left w:val="none" w:sz="0" w:space="0" w:color="auto"/>
                    <w:bottom w:val="none" w:sz="0" w:space="0" w:color="auto"/>
                    <w:right w:val="none" w:sz="0" w:space="0" w:color="auto"/>
                  </w:divBdr>
                  <w:divsChild>
                    <w:div w:id="1752194868">
                      <w:marLeft w:val="0"/>
                      <w:marRight w:val="0"/>
                      <w:marTop w:val="0"/>
                      <w:marBottom w:val="0"/>
                      <w:divBdr>
                        <w:top w:val="none" w:sz="0" w:space="0" w:color="auto"/>
                        <w:left w:val="none" w:sz="0" w:space="0" w:color="auto"/>
                        <w:bottom w:val="none" w:sz="0" w:space="0" w:color="auto"/>
                        <w:right w:val="none" w:sz="0" w:space="0" w:color="auto"/>
                      </w:divBdr>
                    </w:div>
                  </w:divsChild>
                </w:div>
                <w:div w:id="14621212">
                  <w:marLeft w:val="0"/>
                  <w:marRight w:val="0"/>
                  <w:marTop w:val="0"/>
                  <w:marBottom w:val="0"/>
                  <w:divBdr>
                    <w:top w:val="none" w:sz="0" w:space="0" w:color="auto"/>
                    <w:left w:val="none" w:sz="0" w:space="0" w:color="auto"/>
                    <w:bottom w:val="none" w:sz="0" w:space="0" w:color="auto"/>
                    <w:right w:val="none" w:sz="0" w:space="0" w:color="auto"/>
                  </w:divBdr>
                  <w:divsChild>
                    <w:div w:id="1726172626">
                      <w:marLeft w:val="0"/>
                      <w:marRight w:val="0"/>
                      <w:marTop w:val="0"/>
                      <w:marBottom w:val="0"/>
                      <w:divBdr>
                        <w:top w:val="none" w:sz="0" w:space="0" w:color="auto"/>
                        <w:left w:val="none" w:sz="0" w:space="0" w:color="auto"/>
                        <w:bottom w:val="none" w:sz="0" w:space="0" w:color="auto"/>
                        <w:right w:val="none" w:sz="0" w:space="0" w:color="auto"/>
                      </w:divBdr>
                    </w:div>
                  </w:divsChild>
                </w:div>
                <w:div w:id="43987560">
                  <w:marLeft w:val="0"/>
                  <w:marRight w:val="0"/>
                  <w:marTop w:val="0"/>
                  <w:marBottom w:val="0"/>
                  <w:divBdr>
                    <w:top w:val="none" w:sz="0" w:space="0" w:color="auto"/>
                    <w:left w:val="none" w:sz="0" w:space="0" w:color="auto"/>
                    <w:bottom w:val="none" w:sz="0" w:space="0" w:color="auto"/>
                    <w:right w:val="none" w:sz="0" w:space="0" w:color="auto"/>
                  </w:divBdr>
                  <w:divsChild>
                    <w:div w:id="1230382213">
                      <w:marLeft w:val="0"/>
                      <w:marRight w:val="0"/>
                      <w:marTop w:val="0"/>
                      <w:marBottom w:val="0"/>
                      <w:divBdr>
                        <w:top w:val="none" w:sz="0" w:space="0" w:color="auto"/>
                        <w:left w:val="none" w:sz="0" w:space="0" w:color="auto"/>
                        <w:bottom w:val="none" w:sz="0" w:space="0" w:color="auto"/>
                        <w:right w:val="none" w:sz="0" w:space="0" w:color="auto"/>
                      </w:divBdr>
                    </w:div>
                  </w:divsChild>
                </w:div>
                <w:div w:id="52581637">
                  <w:marLeft w:val="0"/>
                  <w:marRight w:val="0"/>
                  <w:marTop w:val="0"/>
                  <w:marBottom w:val="0"/>
                  <w:divBdr>
                    <w:top w:val="none" w:sz="0" w:space="0" w:color="auto"/>
                    <w:left w:val="none" w:sz="0" w:space="0" w:color="auto"/>
                    <w:bottom w:val="none" w:sz="0" w:space="0" w:color="auto"/>
                    <w:right w:val="none" w:sz="0" w:space="0" w:color="auto"/>
                  </w:divBdr>
                  <w:divsChild>
                    <w:div w:id="133110322">
                      <w:marLeft w:val="0"/>
                      <w:marRight w:val="0"/>
                      <w:marTop w:val="0"/>
                      <w:marBottom w:val="0"/>
                      <w:divBdr>
                        <w:top w:val="none" w:sz="0" w:space="0" w:color="auto"/>
                        <w:left w:val="none" w:sz="0" w:space="0" w:color="auto"/>
                        <w:bottom w:val="none" w:sz="0" w:space="0" w:color="auto"/>
                        <w:right w:val="none" w:sz="0" w:space="0" w:color="auto"/>
                      </w:divBdr>
                    </w:div>
                  </w:divsChild>
                </w:div>
                <w:div w:id="54548636">
                  <w:marLeft w:val="0"/>
                  <w:marRight w:val="0"/>
                  <w:marTop w:val="0"/>
                  <w:marBottom w:val="0"/>
                  <w:divBdr>
                    <w:top w:val="none" w:sz="0" w:space="0" w:color="auto"/>
                    <w:left w:val="none" w:sz="0" w:space="0" w:color="auto"/>
                    <w:bottom w:val="none" w:sz="0" w:space="0" w:color="auto"/>
                    <w:right w:val="none" w:sz="0" w:space="0" w:color="auto"/>
                  </w:divBdr>
                  <w:divsChild>
                    <w:div w:id="1483547317">
                      <w:marLeft w:val="0"/>
                      <w:marRight w:val="0"/>
                      <w:marTop w:val="0"/>
                      <w:marBottom w:val="0"/>
                      <w:divBdr>
                        <w:top w:val="none" w:sz="0" w:space="0" w:color="auto"/>
                        <w:left w:val="none" w:sz="0" w:space="0" w:color="auto"/>
                        <w:bottom w:val="none" w:sz="0" w:space="0" w:color="auto"/>
                        <w:right w:val="none" w:sz="0" w:space="0" w:color="auto"/>
                      </w:divBdr>
                    </w:div>
                  </w:divsChild>
                </w:div>
                <w:div w:id="55251179">
                  <w:marLeft w:val="0"/>
                  <w:marRight w:val="0"/>
                  <w:marTop w:val="0"/>
                  <w:marBottom w:val="0"/>
                  <w:divBdr>
                    <w:top w:val="none" w:sz="0" w:space="0" w:color="auto"/>
                    <w:left w:val="none" w:sz="0" w:space="0" w:color="auto"/>
                    <w:bottom w:val="none" w:sz="0" w:space="0" w:color="auto"/>
                    <w:right w:val="none" w:sz="0" w:space="0" w:color="auto"/>
                  </w:divBdr>
                  <w:divsChild>
                    <w:div w:id="1323855866">
                      <w:marLeft w:val="0"/>
                      <w:marRight w:val="0"/>
                      <w:marTop w:val="0"/>
                      <w:marBottom w:val="0"/>
                      <w:divBdr>
                        <w:top w:val="none" w:sz="0" w:space="0" w:color="auto"/>
                        <w:left w:val="none" w:sz="0" w:space="0" w:color="auto"/>
                        <w:bottom w:val="none" w:sz="0" w:space="0" w:color="auto"/>
                        <w:right w:val="none" w:sz="0" w:space="0" w:color="auto"/>
                      </w:divBdr>
                    </w:div>
                  </w:divsChild>
                </w:div>
                <w:div w:id="85344554">
                  <w:marLeft w:val="0"/>
                  <w:marRight w:val="0"/>
                  <w:marTop w:val="0"/>
                  <w:marBottom w:val="0"/>
                  <w:divBdr>
                    <w:top w:val="none" w:sz="0" w:space="0" w:color="auto"/>
                    <w:left w:val="none" w:sz="0" w:space="0" w:color="auto"/>
                    <w:bottom w:val="none" w:sz="0" w:space="0" w:color="auto"/>
                    <w:right w:val="none" w:sz="0" w:space="0" w:color="auto"/>
                  </w:divBdr>
                  <w:divsChild>
                    <w:div w:id="457384612">
                      <w:marLeft w:val="0"/>
                      <w:marRight w:val="0"/>
                      <w:marTop w:val="0"/>
                      <w:marBottom w:val="0"/>
                      <w:divBdr>
                        <w:top w:val="none" w:sz="0" w:space="0" w:color="auto"/>
                        <w:left w:val="none" w:sz="0" w:space="0" w:color="auto"/>
                        <w:bottom w:val="none" w:sz="0" w:space="0" w:color="auto"/>
                        <w:right w:val="none" w:sz="0" w:space="0" w:color="auto"/>
                      </w:divBdr>
                    </w:div>
                  </w:divsChild>
                </w:div>
                <w:div w:id="99842631">
                  <w:marLeft w:val="0"/>
                  <w:marRight w:val="0"/>
                  <w:marTop w:val="0"/>
                  <w:marBottom w:val="0"/>
                  <w:divBdr>
                    <w:top w:val="none" w:sz="0" w:space="0" w:color="auto"/>
                    <w:left w:val="none" w:sz="0" w:space="0" w:color="auto"/>
                    <w:bottom w:val="none" w:sz="0" w:space="0" w:color="auto"/>
                    <w:right w:val="none" w:sz="0" w:space="0" w:color="auto"/>
                  </w:divBdr>
                  <w:divsChild>
                    <w:div w:id="877858537">
                      <w:marLeft w:val="0"/>
                      <w:marRight w:val="0"/>
                      <w:marTop w:val="0"/>
                      <w:marBottom w:val="0"/>
                      <w:divBdr>
                        <w:top w:val="none" w:sz="0" w:space="0" w:color="auto"/>
                        <w:left w:val="none" w:sz="0" w:space="0" w:color="auto"/>
                        <w:bottom w:val="none" w:sz="0" w:space="0" w:color="auto"/>
                        <w:right w:val="none" w:sz="0" w:space="0" w:color="auto"/>
                      </w:divBdr>
                    </w:div>
                  </w:divsChild>
                </w:div>
                <w:div w:id="115492752">
                  <w:marLeft w:val="0"/>
                  <w:marRight w:val="0"/>
                  <w:marTop w:val="0"/>
                  <w:marBottom w:val="0"/>
                  <w:divBdr>
                    <w:top w:val="none" w:sz="0" w:space="0" w:color="auto"/>
                    <w:left w:val="none" w:sz="0" w:space="0" w:color="auto"/>
                    <w:bottom w:val="none" w:sz="0" w:space="0" w:color="auto"/>
                    <w:right w:val="none" w:sz="0" w:space="0" w:color="auto"/>
                  </w:divBdr>
                  <w:divsChild>
                    <w:div w:id="1127696389">
                      <w:marLeft w:val="0"/>
                      <w:marRight w:val="0"/>
                      <w:marTop w:val="0"/>
                      <w:marBottom w:val="0"/>
                      <w:divBdr>
                        <w:top w:val="none" w:sz="0" w:space="0" w:color="auto"/>
                        <w:left w:val="none" w:sz="0" w:space="0" w:color="auto"/>
                        <w:bottom w:val="none" w:sz="0" w:space="0" w:color="auto"/>
                        <w:right w:val="none" w:sz="0" w:space="0" w:color="auto"/>
                      </w:divBdr>
                    </w:div>
                  </w:divsChild>
                </w:div>
                <w:div w:id="117309574">
                  <w:marLeft w:val="0"/>
                  <w:marRight w:val="0"/>
                  <w:marTop w:val="0"/>
                  <w:marBottom w:val="0"/>
                  <w:divBdr>
                    <w:top w:val="none" w:sz="0" w:space="0" w:color="auto"/>
                    <w:left w:val="none" w:sz="0" w:space="0" w:color="auto"/>
                    <w:bottom w:val="none" w:sz="0" w:space="0" w:color="auto"/>
                    <w:right w:val="none" w:sz="0" w:space="0" w:color="auto"/>
                  </w:divBdr>
                  <w:divsChild>
                    <w:div w:id="736709834">
                      <w:marLeft w:val="0"/>
                      <w:marRight w:val="0"/>
                      <w:marTop w:val="0"/>
                      <w:marBottom w:val="0"/>
                      <w:divBdr>
                        <w:top w:val="none" w:sz="0" w:space="0" w:color="auto"/>
                        <w:left w:val="none" w:sz="0" w:space="0" w:color="auto"/>
                        <w:bottom w:val="none" w:sz="0" w:space="0" w:color="auto"/>
                        <w:right w:val="none" w:sz="0" w:space="0" w:color="auto"/>
                      </w:divBdr>
                    </w:div>
                  </w:divsChild>
                </w:div>
                <w:div w:id="134418503">
                  <w:marLeft w:val="0"/>
                  <w:marRight w:val="0"/>
                  <w:marTop w:val="0"/>
                  <w:marBottom w:val="0"/>
                  <w:divBdr>
                    <w:top w:val="none" w:sz="0" w:space="0" w:color="auto"/>
                    <w:left w:val="none" w:sz="0" w:space="0" w:color="auto"/>
                    <w:bottom w:val="none" w:sz="0" w:space="0" w:color="auto"/>
                    <w:right w:val="none" w:sz="0" w:space="0" w:color="auto"/>
                  </w:divBdr>
                  <w:divsChild>
                    <w:div w:id="579556948">
                      <w:marLeft w:val="0"/>
                      <w:marRight w:val="0"/>
                      <w:marTop w:val="0"/>
                      <w:marBottom w:val="0"/>
                      <w:divBdr>
                        <w:top w:val="none" w:sz="0" w:space="0" w:color="auto"/>
                        <w:left w:val="none" w:sz="0" w:space="0" w:color="auto"/>
                        <w:bottom w:val="none" w:sz="0" w:space="0" w:color="auto"/>
                        <w:right w:val="none" w:sz="0" w:space="0" w:color="auto"/>
                      </w:divBdr>
                    </w:div>
                  </w:divsChild>
                </w:div>
                <w:div w:id="145056316">
                  <w:marLeft w:val="0"/>
                  <w:marRight w:val="0"/>
                  <w:marTop w:val="0"/>
                  <w:marBottom w:val="0"/>
                  <w:divBdr>
                    <w:top w:val="none" w:sz="0" w:space="0" w:color="auto"/>
                    <w:left w:val="none" w:sz="0" w:space="0" w:color="auto"/>
                    <w:bottom w:val="none" w:sz="0" w:space="0" w:color="auto"/>
                    <w:right w:val="none" w:sz="0" w:space="0" w:color="auto"/>
                  </w:divBdr>
                  <w:divsChild>
                    <w:div w:id="1612711963">
                      <w:marLeft w:val="0"/>
                      <w:marRight w:val="0"/>
                      <w:marTop w:val="0"/>
                      <w:marBottom w:val="0"/>
                      <w:divBdr>
                        <w:top w:val="none" w:sz="0" w:space="0" w:color="auto"/>
                        <w:left w:val="none" w:sz="0" w:space="0" w:color="auto"/>
                        <w:bottom w:val="none" w:sz="0" w:space="0" w:color="auto"/>
                        <w:right w:val="none" w:sz="0" w:space="0" w:color="auto"/>
                      </w:divBdr>
                    </w:div>
                  </w:divsChild>
                </w:div>
                <w:div w:id="179585625">
                  <w:marLeft w:val="0"/>
                  <w:marRight w:val="0"/>
                  <w:marTop w:val="0"/>
                  <w:marBottom w:val="0"/>
                  <w:divBdr>
                    <w:top w:val="none" w:sz="0" w:space="0" w:color="auto"/>
                    <w:left w:val="none" w:sz="0" w:space="0" w:color="auto"/>
                    <w:bottom w:val="none" w:sz="0" w:space="0" w:color="auto"/>
                    <w:right w:val="none" w:sz="0" w:space="0" w:color="auto"/>
                  </w:divBdr>
                  <w:divsChild>
                    <w:div w:id="1264528751">
                      <w:marLeft w:val="0"/>
                      <w:marRight w:val="0"/>
                      <w:marTop w:val="0"/>
                      <w:marBottom w:val="0"/>
                      <w:divBdr>
                        <w:top w:val="none" w:sz="0" w:space="0" w:color="auto"/>
                        <w:left w:val="none" w:sz="0" w:space="0" w:color="auto"/>
                        <w:bottom w:val="none" w:sz="0" w:space="0" w:color="auto"/>
                        <w:right w:val="none" w:sz="0" w:space="0" w:color="auto"/>
                      </w:divBdr>
                    </w:div>
                  </w:divsChild>
                </w:div>
                <w:div w:id="180320068">
                  <w:marLeft w:val="0"/>
                  <w:marRight w:val="0"/>
                  <w:marTop w:val="0"/>
                  <w:marBottom w:val="0"/>
                  <w:divBdr>
                    <w:top w:val="none" w:sz="0" w:space="0" w:color="auto"/>
                    <w:left w:val="none" w:sz="0" w:space="0" w:color="auto"/>
                    <w:bottom w:val="none" w:sz="0" w:space="0" w:color="auto"/>
                    <w:right w:val="none" w:sz="0" w:space="0" w:color="auto"/>
                  </w:divBdr>
                  <w:divsChild>
                    <w:div w:id="10693939">
                      <w:marLeft w:val="0"/>
                      <w:marRight w:val="0"/>
                      <w:marTop w:val="0"/>
                      <w:marBottom w:val="0"/>
                      <w:divBdr>
                        <w:top w:val="none" w:sz="0" w:space="0" w:color="auto"/>
                        <w:left w:val="none" w:sz="0" w:space="0" w:color="auto"/>
                        <w:bottom w:val="none" w:sz="0" w:space="0" w:color="auto"/>
                        <w:right w:val="none" w:sz="0" w:space="0" w:color="auto"/>
                      </w:divBdr>
                    </w:div>
                  </w:divsChild>
                </w:div>
                <w:div w:id="183834932">
                  <w:marLeft w:val="0"/>
                  <w:marRight w:val="0"/>
                  <w:marTop w:val="0"/>
                  <w:marBottom w:val="0"/>
                  <w:divBdr>
                    <w:top w:val="none" w:sz="0" w:space="0" w:color="auto"/>
                    <w:left w:val="none" w:sz="0" w:space="0" w:color="auto"/>
                    <w:bottom w:val="none" w:sz="0" w:space="0" w:color="auto"/>
                    <w:right w:val="none" w:sz="0" w:space="0" w:color="auto"/>
                  </w:divBdr>
                  <w:divsChild>
                    <w:div w:id="1913852522">
                      <w:marLeft w:val="0"/>
                      <w:marRight w:val="0"/>
                      <w:marTop w:val="0"/>
                      <w:marBottom w:val="0"/>
                      <w:divBdr>
                        <w:top w:val="none" w:sz="0" w:space="0" w:color="auto"/>
                        <w:left w:val="none" w:sz="0" w:space="0" w:color="auto"/>
                        <w:bottom w:val="none" w:sz="0" w:space="0" w:color="auto"/>
                        <w:right w:val="none" w:sz="0" w:space="0" w:color="auto"/>
                      </w:divBdr>
                    </w:div>
                  </w:divsChild>
                </w:div>
                <w:div w:id="192156656">
                  <w:marLeft w:val="0"/>
                  <w:marRight w:val="0"/>
                  <w:marTop w:val="0"/>
                  <w:marBottom w:val="0"/>
                  <w:divBdr>
                    <w:top w:val="none" w:sz="0" w:space="0" w:color="auto"/>
                    <w:left w:val="none" w:sz="0" w:space="0" w:color="auto"/>
                    <w:bottom w:val="none" w:sz="0" w:space="0" w:color="auto"/>
                    <w:right w:val="none" w:sz="0" w:space="0" w:color="auto"/>
                  </w:divBdr>
                  <w:divsChild>
                    <w:div w:id="1146624225">
                      <w:marLeft w:val="0"/>
                      <w:marRight w:val="0"/>
                      <w:marTop w:val="0"/>
                      <w:marBottom w:val="0"/>
                      <w:divBdr>
                        <w:top w:val="none" w:sz="0" w:space="0" w:color="auto"/>
                        <w:left w:val="none" w:sz="0" w:space="0" w:color="auto"/>
                        <w:bottom w:val="none" w:sz="0" w:space="0" w:color="auto"/>
                        <w:right w:val="none" w:sz="0" w:space="0" w:color="auto"/>
                      </w:divBdr>
                    </w:div>
                  </w:divsChild>
                </w:div>
                <w:div w:id="202713413">
                  <w:marLeft w:val="0"/>
                  <w:marRight w:val="0"/>
                  <w:marTop w:val="0"/>
                  <w:marBottom w:val="0"/>
                  <w:divBdr>
                    <w:top w:val="none" w:sz="0" w:space="0" w:color="auto"/>
                    <w:left w:val="none" w:sz="0" w:space="0" w:color="auto"/>
                    <w:bottom w:val="none" w:sz="0" w:space="0" w:color="auto"/>
                    <w:right w:val="none" w:sz="0" w:space="0" w:color="auto"/>
                  </w:divBdr>
                  <w:divsChild>
                    <w:div w:id="304511151">
                      <w:marLeft w:val="0"/>
                      <w:marRight w:val="0"/>
                      <w:marTop w:val="0"/>
                      <w:marBottom w:val="0"/>
                      <w:divBdr>
                        <w:top w:val="none" w:sz="0" w:space="0" w:color="auto"/>
                        <w:left w:val="none" w:sz="0" w:space="0" w:color="auto"/>
                        <w:bottom w:val="none" w:sz="0" w:space="0" w:color="auto"/>
                        <w:right w:val="none" w:sz="0" w:space="0" w:color="auto"/>
                      </w:divBdr>
                    </w:div>
                  </w:divsChild>
                </w:div>
                <w:div w:id="202716978">
                  <w:marLeft w:val="0"/>
                  <w:marRight w:val="0"/>
                  <w:marTop w:val="0"/>
                  <w:marBottom w:val="0"/>
                  <w:divBdr>
                    <w:top w:val="none" w:sz="0" w:space="0" w:color="auto"/>
                    <w:left w:val="none" w:sz="0" w:space="0" w:color="auto"/>
                    <w:bottom w:val="none" w:sz="0" w:space="0" w:color="auto"/>
                    <w:right w:val="none" w:sz="0" w:space="0" w:color="auto"/>
                  </w:divBdr>
                  <w:divsChild>
                    <w:div w:id="2113821235">
                      <w:marLeft w:val="0"/>
                      <w:marRight w:val="0"/>
                      <w:marTop w:val="0"/>
                      <w:marBottom w:val="0"/>
                      <w:divBdr>
                        <w:top w:val="none" w:sz="0" w:space="0" w:color="auto"/>
                        <w:left w:val="none" w:sz="0" w:space="0" w:color="auto"/>
                        <w:bottom w:val="none" w:sz="0" w:space="0" w:color="auto"/>
                        <w:right w:val="none" w:sz="0" w:space="0" w:color="auto"/>
                      </w:divBdr>
                    </w:div>
                  </w:divsChild>
                </w:div>
                <w:div w:id="210506830">
                  <w:marLeft w:val="0"/>
                  <w:marRight w:val="0"/>
                  <w:marTop w:val="0"/>
                  <w:marBottom w:val="0"/>
                  <w:divBdr>
                    <w:top w:val="none" w:sz="0" w:space="0" w:color="auto"/>
                    <w:left w:val="none" w:sz="0" w:space="0" w:color="auto"/>
                    <w:bottom w:val="none" w:sz="0" w:space="0" w:color="auto"/>
                    <w:right w:val="none" w:sz="0" w:space="0" w:color="auto"/>
                  </w:divBdr>
                  <w:divsChild>
                    <w:div w:id="779373220">
                      <w:marLeft w:val="0"/>
                      <w:marRight w:val="0"/>
                      <w:marTop w:val="0"/>
                      <w:marBottom w:val="0"/>
                      <w:divBdr>
                        <w:top w:val="none" w:sz="0" w:space="0" w:color="auto"/>
                        <w:left w:val="none" w:sz="0" w:space="0" w:color="auto"/>
                        <w:bottom w:val="none" w:sz="0" w:space="0" w:color="auto"/>
                        <w:right w:val="none" w:sz="0" w:space="0" w:color="auto"/>
                      </w:divBdr>
                    </w:div>
                  </w:divsChild>
                </w:div>
                <w:div w:id="213584475">
                  <w:marLeft w:val="0"/>
                  <w:marRight w:val="0"/>
                  <w:marTop w:val="0"/>
                  <w:marBottom w:val="0"/>
                  <w:divBdr>
                    <w:top w:val="none" w:sz="0" w:space="0" w:color="auto"/>
                    <w:left w:val="none" w:sz="0" w:space="0" w:color="auto"/>
                    <w:bottom w:val="none" w:sz="0" w:space="0" w:color="auto"/>
                    <w:right w:val="none" w:sz="0" w:space="0" w:color="auto"/>
                  </w:divBdr>
                  <w:divsChild>
                    <w:div w:id="637104590">
                      <w:marLeft w:val="0"/>
                      <w:marRight w:val="0"/>
                      <w:marTop w:val="0"/>
                      <w:marBottom w:val="0"/>
                      <w:divBdr>
                        <w:top w:val="none" w:sz="0" w:space="0" w:color="auto"/>
                        <w:left w:val="none" w:sz="0" w:space="0" w:color="auto"/>
                        <w:bottom w:val="none" w:sz="0" w:space="0" w:color="auto"/>
                        <w:right w:val="none" w:sz="0" w:space="0" w:color="auto"/>
                      </w:divBdr>
                    </w:div>
                  </w:divsChild>
                </w:div>
                <w:div w:id="214246918">
                  <w:marLeft w:val="0"/>
                  <w:marRight w:val="0"/>
                  <w:marTop w:val="0"/>
                  <w:marBottom w:val="0"/>
                  <w:divBdr>
                    <w:top w:val="none" w:sz="0" w:space="0" w:color="auto"/>
                    <w:left w:val="none" w:sz="0" w:space="0" w:color="auto"/>
                    <w:bottom w:val="none" w:sz="0" w:space="0" w:color="auto"/>
                    <w:right w:val="none" w:sz="0" w:space="0" w:color="auto"/>
                  </w:divBdr>
                  <w:divsChild>
                    <w:div w:id="759063339">
                      <w:marLeft w:val="0"/>
                      <w:marRight w:val="0"/>
                      <w:marTop w:val="0"/>
                      <w:marBottom w:val="0"/>
                      <w:divBdr>
                        <w:top w:val="none" w:sz="0" w:space="0" w:color="auto"/>
                        <w:left w:val="none" w:sz="0" w:space="0" w:color="auto"/>
                        <w:bottom w:val="none" w:sz="0" w:space="0" w:color="auto"/>
                        <w:right w:val="none" w:sz="0" w:space="0" w:color="auto"/>
                      </w:divBdr>
                    </w:div>
                  </w:divsChild>
                </w:div>
                <w:div w:id="217907547">
                  <w:marLeft w:val="0"/>
                  <w:marRight w:val="0"/>
                  <w:marTop w:val="0"/>
                  <w:marBottom w:val="0"/>
                  <w:divBdr>
                    <w:top w:val="none" w:sz="0" w:space="0" w:color="auto"/>
                    <w:left w:val="none" w:sz="0" w:space="0" w:color="auto"/>
                    <w:bottom w:val="none" w:sz="0" w:space="0" w:color="auto"/>
                    <w:right w:val="none" w:sz="0" w:space="0" w:color="auto"/>
                  </w:divBdr>
                  <w:divsChild>
                    <w:div w:id="1854804663">
                      <w:marLeft w:val="0"/>
                      <w:marRight w:val="0"/>
                      <w:marTop w:val="0"/>
                      <w:marBottom w:val="0"/>
                      <w:divBdr>
                        <w:top w:val="none" w:sz="0" w:space="0" w:color="auto"/>
                        <w:left w:val="none" w:sz="0" w:space="0" w:color="auto"/>
                        <w:bottom w:val="none" w:sz="0" w:space="0" w:color="auto"/>
                        <w:right w:val="none" w:sz="0" w:space="0" w:color="auto"/>
                      </w:divBdr>
                    </w:div>
                  </w:divsChild>
                </w:div>
                <w:div w:id="228618249">
                  <w:marLeft w:val="0"/>
                  <w:marRight w:val="0"/>
                  <w:marTop w:val="0"/>
                  <w:marBottom w:val="0"/>
                  <w:divBdr>
                    <w:top w:val="none" w:sz="0" w:space="0" w:color="auto"/>
                    <w:left w:val="none" w:sz="0" w:space="0" w:color="auto"/>
                    <w:bottom w:val="none" w:sz="0" w:space="0" w:color="auto"/>
                    <w:right w:val="none" w:sz="0" w:space="0" w:color="auto"/>
                  </w:divBdr>
                  <w:divsChild>
                    <w:div w:id="1453280915">
                      <w:marLeft w:val="0"/>
                      <w:marRight w:val="0"/>
                      <w:marTop w:val="0"/>
                      <w:marBottom w:val="0"/>
                      <w:divBdr>
                        <w:top w:val="none" w:sz="0" w:space="0" w:color="auto"/>
                        <w:left w:val="none" w:sz="0" w:space="0" w:color="auto"/>
                        <w:bottom w:val="none" w:sz="0" w:space="0" w:color="auto"/>
                        <w:right w:val="none" w:sz="0" w:space="0" w:color="auto"/>
                      </w:divBdr>
                    </w:div>
                  </w:divsChild>
                </w:div>
                <w:div w:id="240142928">
                  <w:marLeft w:val="0"/>
                  <w:marRight w:val="0"/>
                  <w:marTop w:val="0"/>
                  <w:marBottom w:val="0"/>
                  <w:divBdr>
                    <w:top w:val="none" w:sz="0" w:space="0" w:color="auto"/>
                    <w:left w:val="none" w:sz="0" w:space="0" w:color="auto"/>
                    <w:bottom w:val="none" w:sz="0" w:space="0" w:color="auto"/>
                    <w:right w:val="none" w:sz="0" w:space="0" w:color="auto"/>
                  </w:divBdr>
                  <w:divsChild>
                    <w:div w:id="962035411">
                      <w:marLeft w:val="0"/>
                      <w:marRight w:val="0"/>
                      <w:marTop w:val="0"/>
                      <w:marBottom w:val="0"/>
                      <w:divBdr>
                        <w:top w:val="none" w:sz="0" w:space="0" w:color="auto"/>
                        <w:left w:val="none" w:sz="0" w:space="0" w:color="auto"/>
                        <w:bottom w:val="none" w:sz="0" w:space="0" w:color="auto"/>
                        <w:right w:val="none" w:sz="0" w:space="0" w:color="auto"/>
                      </w:divBdr>
                    </w:div>
                  </w:divsChild>
                </w:div>
                <w:div w:id="242878939">
                  <w:marLeft w:val="0"/>
                  <w:marRight w:val="0"/>
                  <w:marTop w:val="0"/>
                  <w:marBottom w:val="0"/>
                  <w:divBdr>
                    <w:top w:val="none" w:sz="0" w:space="0" w:color="auto"/>
                    <w:left w:val="none" w:sz="0" w:space="0" w:color="auto"/>
                    <w:bottom w:val="none" w:sz="0" w:space="0" w:color="auto"/>
                    <w:right w:val="none" w:sz="0" w:space="0" w:color="auto"/>
                  </w:divBdr>
                  <w:divsChild>
                    <w:div w:id="1235697232">
                      <w:marLeft w:val="0"/>
                      <w:marRight w:val="0"/>
                      <w:marTop w:val="0"/>
                      <w:marBottom w:val="0"/>
                      <w:divBdr>
                        <w:top w:val="none" w:sz="0" w:space="0" w:color="auto"/>
                        <w:left w:val="none" w:sz="0" w:space="0" w:color="auto"/>
                        <w:bottom w:val="none" w:sz="0" w:space="0" w:color="auto"/>
                        <w:right w:val="none" w:sz="0" w:space="0" w:color="auto"/>
                      </w:divBdr>
                    </w:div>
                  </w:divsChild>
                </w:div>
                <w:div w:id="259532037">
                  <w:marLeft w:val="0"/>
                  <w:marRight w:val="0"/>
                  <w:marTop w:val="0"/>
                  <w:marBottom w:val="0"/>
                  <w:divBdr>
                    <w:top w:val="none" w:sz="0" w:space="0" w:color="auto"/>
                    <w:left w:val="none" w:sz="0" w:space="0" w:color="auto"/>
                    <w:bottom w:val="none" w:sz="0" w:space="0" w:color="auto"/>
                    <w:right w:val="none" w:sz="0" w:space="0" w:color="auto"/>
                  </w:divBdr>
                  <w:divsChild>
                    <w:div w:id="32854382">
                      <w:marLeft w:val="0"/>
                      <w:marRight w:val="0"/>
                      <w:marTop w:val="0"/>
                      <w:marBottom w:val="0"/>
                      <w:divBdr>
                        <w:top w:val="none" w:sz="0" w:space="0" w:color="auto"/>
                        <w:left w:val="none" w:sz="0" w:space="0" w:color="auto"/>
                        <w:bottom w:val="none" w:sz="0" w:space="0" w:color="auto"/>
                        <w:right w:val="none" w:sz="0" w:space="0" w:color="auto"/>
                      </w:divBdr>
                    </w:div>
                  </w:divsChild>
                </w:div>
                <w:div w:id="298532502">
                  <w:marLeft w:val="0"/>
                  <w:marRight w:val="0"/>
                  <w:marTop w:val="0"/>
                  <w:marBottom w:val="0"/>
                  <w:divBdr>
                    <w:top w:val="none" w:sz="0" w:space="0" w:color="auto"/>
                    <w:left w:val="none" w:sz="0" w:space="0" w:color="auto"/>
                    <w:bottom w:val="none" w:sz="0" w:space="0" w:color="auto"/>
                    <w:right w:val="none" w:sz="0" w:space="0" w:color="auto"/>
                  </w:divBdr>
                  <w:divsChild>
                    <w:div w:id="1634753072">
                      <w:marLeft w:val="0"/>
                      <w:marRight w:val="0"/>
                      <w:marTop w:val="0"/>
                      <w:marBottom w:val="0"/>
                      <w:divBdr>
                        <w:top w:val="none" w:sz="0" w:space="0" w:color="auto"/>
                        <w:left w:val="none" w:sz="0" w:space="0" w:color="auto"/>
                        <w:bottom w:val="none" w:sz="0" w:space="0" w:color="auto"/>
                        <w:right w:val="none" w:sz="0" w:space="0" w:color="auto"/>
                      </w:divBdr>
                    </w:div>
                  </w:divsChild>
                </w:div>
                <w:div w:id="309675878">
                  <w:marLeft w:val="0"/>
                  <w:marRight w:val="0"/>
                  <w:marTop w:val="0"/>
                  <w:marBottom w:val="0"/>
                  <w:divBdr>
                    <w:top w:val="none" w:sz="0" w:space="0" w:color="auto"/>
                    <w:left w:val="none" w:sz="0" w:space="0" w:color="auto"/>
                    <w:bottom w:val="none" w:sz="0" w:space="0" w:color="auto"/>
                    <w:right w:val="none" w:sz="0" w:space="0" w:color="auto"/>
                  </w:divBdr>
                  <w:divsChild>
                    <w:div w:id="551696041">
                      <w:marLeft w:val="0"/>
                      <w:marRight w:val="0"/>
                      <w:marTop w:val="0"/>
                      <w:marBottom w:val="0"/>
                      <w:divBdr>
                        <w:top w:val="none" w:sz="0" w:space="0" w:color="auto"/>
                        <w:left w:val="none" w:sz="0" w:space="0" w:color="auto"/>
                        <w:bottom w:val="none" w:sz="0" w:space="0" w:color="auto"/>
                        <w:right w:val="none" w:sz="0" w:space="0" w:color="auto"/>
                      </w:divBdr>
                    </w:div>
                  </w:divsChild>
                </w:div>
                <w:div w:id="313680252">
                  <w:marLeft w:val="0"/>
                  <w:marRight w:val="0"/>
                  <w:marTop w:val="0"/>
                  <w:marBottom w:val="0"/>
                  <w:divBdr>
                    <w:top w:val="none" w:sz="0" w:space="0" w:color="auto"/>
                    <w:left w:val="none" w:sz="0" w:space="0" w:color="auto"/>
                    <w:bottom w:val="none" w:sz="0" w:space="0" w:color="auto"/>
                    <w:right w:val="none" w:sz="0" w:space="0" w:color="auto"/>
                  </w:divBdr>
                  <w:divsChild>
                    <w:div w:id="494150195">
                      <w:marLeft w:val="0"/>
                      <w:marRight w:val="0"/>
                      <w:marTop w:val="0"/>
                      <w:marBottom w:val="0"/>
                      <w:divBdr>
                        <w:top w:val="none" w:sz="0" w:space="0" w:color="auto"/>
                        <w:left w:val="none" w:sz="0" w:space="0" w:color="auto"/>
                        <w:bottom w:val="none" w:sz="0" w:space="0" w:color="auto"/>
                        <w:right w:val="none" w:sz="0" w:space="0" w:color="auto"/>
                      </w:divBdr>
                    </w:div>
                  </w:divsChild>
                </w:div>
                <w:div w:id="321661921">
                  <w:marLeft w:val="0"/>
                  <w:marRight w:val="0"/>
                  <w:marTop w:val="0"/>
                  <w:marBottom w:val="0"/>
                  <w:divBdr>
                    <w:top w:val="none" w:sz="0" w:space="0" w:color="auto"/>
                    <w:left w:val="none" w:sz="0" w:space="0" w:color="auto"/>
                    <w:bottom w:val="none" w:sz="0" w:space="0" w:color="auto"/>
                    <w:right w:val="none" w:sz="0" w:space="0" w:color="auto"/>
                  </w:divBdr>
                  <w:divsChild>
                    <w:div w:id="685785703">
                      <w:marLeft w:val="0"/>
                      <w:marRight w:val="0"/>
                      <w:marTop w:val="0"/>
                      <w:marBottom w:val="0"/>
                      <w:divBdr>
                        <w:top w:val="none" w:sz="0" w:space="0" w:color="auto"/>
                        <w:left w:val="none" w:sz="0" w:space="0" w:color="auto"/>
                        <w:bottom w:val="none" w:sz="0" w:space="0" w:color="auto"/>
                        <w:right w:val="none" w:sz="0" w:space="0" w:color="auto"/>
                      </w:divBdr>
                    </w:div>
                  </w:divsChild>
                </w:div>
                <w:div w:id="345985429">
                  <w:marLeft w:val="0"/>
                  <w:marRight w:val="0"/>
                  <w:marTop w:val="0"/>
                  <w:marBottom w:val="0"/>
                  <w:divBdr>
                    <w:top w:val="none" w:sz="0" w:space="0" w:color="auto"/>
                    <w:left w:val="none" w:sz="0" w:space="0" w:color="auto"/>
                    <w:bottom w:val="none" w:sz="0" w:space="0" w:color="auto"/>
                    <w:right w:val="none" w:sz="0" w:space="0" w:color="auto"/>
                  </w:divBdr>
                  <w:divsChild>
                    <w:div w:id="78645569">
                      <w:marLeft w:val="0"/>
                      <w:marRight w:val="0"/>
                      <w:marTop w:val="0"/>
                      <w:marBottom w:val="0"/>
                      <w:divBdr>
                        <w:top w:val="none" w:sz="0" w:space="0" w:color="auto"/>
                        <w:left w:val="none" w:sz="0" w:space="0" w:color="auto"/>
                        <w:bottom w:val="none" w:sz="0" w:space="0" w:color="auto"/>
                        <w:right w:val="none" w:sz="0" w:space="0" w:color="auto"/>
                      </w:divBdr>
                    </w:div>
                  </w:divsChild>
                </w:div>
                <w:div w:id="364596545">
                  <w:marLeft w:val="0"/>
                  <w:marRight w:val="0"/>
                  <w:marTop w:val="0"/>
                  <w:marBottom w:val="0"/>
                  <w:divBdr>
                    <w:top w:val="none" w:sz="0" w:space="0" w:color="auto"/>
                    <w:left w:val="none" w:sz="0" w:space="0" w:color="auto"/>
                    <w:bottom w:val="none" w:sz="0" w:space="0" w:color="auto"/>
                    <w:right w:val="none" w:sz="0" w:space="0" w:color="auto"/>
                  </w:divBdr>
                  <w:divsChild>
                    <w:div w:id="133644183">
                      <w:marLeft w:val="0"/>
                      <w:marRight w:val="0"/>
                      <w:marTop w:val="0"/>
                      <w:marBottom w:val="0"/>
                      <w:divBdr>
                        <w:top w:val="none" w:sz="0" w:space="0" w:color="auto"/>
                        <w:left w:val="none" w:sz="0" w:space="0" w:color="auto"/>
                        <w:bottom w:val="none" w:sz="0" w:space="0" w:color="auto"/>
                        <w:right w:val="none" w:sz="0" w:space="0" w:color="auto"/>
                      </w:divBdr>
                    </w:div>
                  </w:divsChild>
                </w:div>
                <w:div w:id="372585045">
                  <w:marLeft w:val="0"/>
                  <w:marRight w:val="0"/>
                  <w:marTop w:val="0"/>
                  <w:marBottom w:val="0"/>
                  <w:divBdr>
                    <w:top w:val="none" w:sz="0" w:space="0" w:color="auto"/>
                    <w:left w:val="none" w:sz="0" w:space="0" w:color="auto"/>
                    <w:bottom w:val="none" w:sz="0" w:space="0" w:color="auto"/>
                    <w:right w:val="none" w:sz="0" w:space="0" w:color="auto"/>
                  </w:divBdr>
                  <w:divsChild>
                    <w:div w:id="2077245075">
                      <w:marLeft w:val="0"/>
                      <w:marRight w:val="0"/>
                      <w:marTop w:val="0"/>
                      <w:marBottom w:val="0"/>
                      <w:divBdr>
                        <w:top w:val="none" w:sz="0" w:space="0" w:color="auto"/>
                        <w:left w:val="none" w:sz="0" w:space="0" w:color="auto"/>
                        <w:bottom w:val="none" w:sz="0" w:space="0" w:color="auto"/>
                        <w:right w:val="none" w:sz="0" w:space="0" w:color="auto"/>
                      </w:divBdr>
                    </w:div>
                  </w:divsChild>
                </w:div>
                <w:div w:id="374349444">
                  <w:marLeft w:val="0"/>
                  <w:marRight w:val="0"/>
                  <w:marTop w:val="0"/>
                  <w:marBottom w:val="0"/>
                  <w:divBdr>
                    <w:top w:val="none" w:sz="0" w:space="0" w:color="auto"/>
                    <w:left w:val="none" w:sz="0" w:space="0" w:color="auto"/>
                    <w:bottom w:val="none" w:sz="0" w:space="0" w:color="auto"/>
                    <w:right w:val="none" w:sz="0" w:space="0" w:color="auto"/>
                  </w:divBdr>
                  <w:divsChild>
                    <w:div w:id="1307853669">
                      <w:marLeft w:val="0"/>
                      <w:marRight w:val="0"/>
                      <w:marTop w:val="0"/>
                      <w:marBottom w:val="0"/>
                      <w:divBdr>
                        <w:top w:val="none" w:sz="0" w:space="0" w:color="auto"/>
                        <w:left w:val="none" w:sz="0" w:space="0" w:color="auto"/>
                        <w:bottom w:val="none" w:sz="0" w:space="0" w:color="auto"/>
                        <w:right w:val="none" w:sz="0" w:space="0" w:color="auto"/>
                      </w:divBdr>
                    </w:div>
                  </w:divsChild>
                </w:div>
                <w:div w:id="381558710">
                  <w:marLeft w:val="0"/>
                  <w:marRight w:val="0"/>
                  <w:marTop w:val="0"/>
                  <w:marBottom w:val="0"/>
                  <w:divBdr>
                    <w:top w:val="none" w:sz="0" w:space="0" w:color="auto"/>
                    <w:left w:val="none" w:sz="0" w:space="0" w:color="auto"/>
                    <w:bottom w:val="none" w:sz="0" w:space="0" w:color="auto"/>
                    <w:right w:val="none" w:sz="0" w:space="0" w:color="auto"/>
                  </w:divBdr>
                  <w:divsChild>
                    <w:div w:id="1513757758">
                      <w:marLeft w:val="0"/>
                      <w:marRight w:val="0"/>
                      <w:marTop w:val="0"/>
                      <w:marBottom w:val="0"/>
                      <w:divBdr>
                        <w:top w:val="none" w:sz="0" w:space="0" w:color="auto"/>
                        <w:left w:val="none" w:sz="0" w:space="0" w:color="auto"/>
                        <w:bottom w:val="none" w:sz="0" w:space="0" w:color="auto"/>
                        <w:right w:val="none" w:sz="0" w:space="0" w:color="auto"/>
                      </w:divBdr>
                    </w:div>
                  </w:divsChild>
                </w:div>
                <w:div w:id="381751637">
                  <w:marLeft w:val="0"/>
                  <w:marRight w:val="0"/>
                  <w:marTop w:val="0"/>
                  <w:marBottom w:val="0"/>
                  <w:divBdr>
                    <w:top w:val="none" w:sz="0" w:space="0" w:color="auto"/>
                    <w:left w:val="none" w:sz="0" w:space="0" w:color="auto"/>
                    <w:bottom w:val="none" w:sz="0" w:space="0" w:color="auto"/>
                    <w:right w:val="none" w:sz="0" w:space="0" w:color="auto"/>
                  </w:divBdr>
                  <w:divsChild>
                    <w:div w:id="1955358277">
                      <w:marLeft w:val="0"/>
                      <w:marRight w:val="0"/>
                      <w:marTop w:val="0"/>
                      <w:marBottom w:val="0"/>
                      <w:divBdr>
                        <w:top w:val="none" w:sz="0" w:space="0" w:color="auto"/>
                        <w:left w:val="none" w:sz="0" w:space="0" w:color="auto"/>
                        <w:bottom w:val="none" w:sz="0" w:space="0" w:color="auto"/>
                        <w:right w:val="none" w:sz="0" w:space="0" w:color="auto"/>
                      </w:divBdr>
                    </w:div>
                  </w:divsChild>
                </w:div>
                <w:div w:id="383137386">
                  <w:marLeft w:val="0"/>
                  <w:marRight w:val="0"/>
                  <w:marTop w:val="0"/>
                  <w:marBottom w:val="0"/>
                  <w:divBdr>
                    <w:top w:val="none" w:sz="0" w:space="0" w:color="auto"/>
                    <w:left w:val="none" w:sz="0" w:space="0" w:color="auto"/>
                    <w:bottom w:val="none" w:sz="0" w:space="0" w:color="auto"/>
                    <w:right w:val="none" w:sz="0" w:space="0" w:color="auto"/>
                  </w:divBdr>
                  <w:divsChild>
                    <w:div w:id="2060322610">
                      <w:marLeft w:val="0"/>
                      <w:marRight w:val="0"/>
                      <w:marTop w:val="0"/>
                      <w:marBottom w:val="0"/>
                      <w:divBdr>
                        <w:top w:val="none" w:sz="0" w:space="0" w:color="auto"/>
                        <w:left w:val="none" w:sz="0" w:space="0" w:color="auto"/>
                        <w:bottom w:val="none" w:sz="0" w:space="0" w:color="auto"/>
                        <w:right w:val="none" w:sz="0" w:space="0" w:color="auto"/>
                      </w:divBdr>
                    </w:div>
                  </w:divsChild>
                </w:div>
                <w:div w:id="398333749">
                  <w:marLeft w:val="0"/>
                  <w:marRight w:val="0"/>
                  <w:marTop w:val="0"/>
                  <w:marBottom w:val="0"/>
                  <w:divBdr>
                    <w:top w:val="none" w:sz="0" w:space="0" w:color="auto"/>
                    <w:left w:val="none" w:sz="0" w:space="0" w:color="auto"/>
                    <w:bottom w:val="none" w:sz="0" w:space="0" w:color="auto"/>
                    <w:right w:val="none" w:sz="0" w:space="0" w:color="auto"/>
                  </w:divBdr>
                  <w:divsChild>
                    <w:div w:id="220337334">
                      <w:marLeft w:val="0"/>
                      <w:marRight w:val="0"/>
                      <w:marTop w:val="0"/>
                      <w:marBottom w:val="0"/>
                      <w:divBdr>
                        <w:top w:val="none" w:sz="0" w:space="0" w:color="auto"/>
                        <w:left w:val="none" w:sz="0" w:space="0" w:color="auto"/>
                        <w:bottom w:val="none" w:sz="0" w:space="0" w:color="auto"/>
                        <w:right w:val="none" w:sz="0" w:space="0" w:color="auto"/>
                      </w:divBdr>
                    </w:div>
                  </w:divsChild>
                </w:div>
                <w:div w:id="419764108">
                  <w:marLeft w:val="0"/>
                  <w:marRight w:val="0"/>
                  <w:marTop w:val="0"/>
                  <w:marBottom w:val="0"/>
                  <w:divBdr>
                    <w:top w:val="none" w:sz="0" w:space="0" w:color="auto"/>
                    <w:left w:val="none" w:sz="0" w:space="0" w:color="auto"/>
                    <w:bottom w:val="none" w:sz="0" w:space="0" w:color="auto"/>
                    <w:right w:val="none" w:sz="0" w:space="0" w:color="auto"/>
                  </w:divBdr>
                  <w:divsChild>
                    <w:div w:id="1311522888">
                      <w:marLeft w:val="0"/>
                      <w:marRight w:val="0"/>
                      <w:marTop w:val="0"/>
                      <w:marBottom w:val="0"/>
                      <w:divBdr>
                        <w:top w:val="none" w:sz="0" w:space="0" w:color="auto"/>
                        <w:left w:val="none" w:sz="0" w:space="0" w:color="auto"/>
                        <w:bottom w:val="none" w:sz="0" w:space="0" w:color="auto"/>
                        <w:right w:val="none" w:sz="0" w:space="0" w:color="auto"/>
                      </w:divBdr>
                    </w:div>
                  </w:divsChild>
                </w:div>
                <w:div w:id="420758798">
                  <w:marLeft w:val="0"/>
                  <w:marRight w:val="0"/>
                  <w:marTop w:val="0"/>
                  <w:marBottom w:val="0"/>
                  <w:divBdr>
                    <w:top w:val="none" w:sz="0" w:space="0" w:color="auto"/>
                    <w:left w:val="none" w:sz="0" w:space="0" w:color="auto"/>
                    <w:bottom w:val="none" w:sz="0" w:space="0" w:color="auto"/>
                    <w:right w:val="none" w:sz="0" w:space="0" w:color="auto"/>
                  </w:divBdr>
                  <w:divsChild>
                    <w:div w:id="1852530959">
                      <w:marLeft w:val="0"/>
                      <w:marRight w:val="0"/>
                      <w:marTop w:val="0"/>
                      <w:marBottom w:val="0"/>
                      <w:divBdr>
                        <w:top w:val="none" w:sz="0" w:space="0" w:color="auto"/>
                        <w:left w:val="none" w:sz="0" w:space="0" w:color="auto"/>
                        <w:bottom w:val="none" w:sz="0" w:space="0" w:color="auto"/>
                        <w:right w:val="none" w:sz="0" w:space="0" w:color="auto"/>
                      </w:divBdr>
                    </w:div>
                  </w:divsChild>
                </w:div>
                <w:div w:id="431052007">
                  <w:marLeft w:val="0"/>
                  <w:marRight w:val="0"/>
                  <w:marTop w:val="0"/>
                  <w:marBottom w:val="0"/>
                  <w:divBdr>
                    <w:top w:val="none" w:sz="0" w:space="0" w:color="auto"/>
                    <w:left w:val="none" w:sz="0" w:space="0" w:color="auto"/>
                    <w:bottom w:val="none" w:sz="0" w:space="0" w:color="auto"/>
                    <w:right w:val="none" w:sz="0" w:space="0" w:color="auto"/>
                  </w:divBdr>
                  <w:divsChild>
                    <w:div w:id="541282320">
                      <w:marLeft w:val="0"/>
                      <w:marRight w:val="0"/>
                      <w:marTop w:val="0"/>
                      <w:marBottom w:val="0"/>
                      <w:divBdr>
                        <w:top w:val="none" w:sz="0" w:space="0" w:color="auto"/>
                        <w:left w:val="none" w:sz="0" w:space="0" w:color="auto"/>
                        <w:bottom w:val="none" w:sz="0" w:space="0" w:color="auto"/>
                        <w:right w:val="none" w:sz="0" w:space="0" w:color="auto"/>
                      </w:divBdr>
                    </w:div>
                  </w:divsChild>
                </w:div>
                <w:div w:id="435058088">
                  <w:marLeft w:val="0"/>
                  <w:marRight w:val="0"/>
                  <w:marTop w:val="0"/>
                  <w:marBottom w:val="0"/>
                  <w:divBdr>
                    <w:top w:val="none" w:sz="0" w:space="0" w:color="auto"/>
                    <w:left w:val="none" w:sz="0" w:space="0" w:color="auto"/>
                    <w:bottom w:val="none" w:sz="0" w:space="0" w:color="auto"/>
                    <w:right w:val="none" w:sz="0" w:space="0" w:color="auto"/>
                  </w:divBdr>
                  <w:divsChild>
                    <w:div w:id="1638484337">
                      <w:marLeft w:val="0"/>
                      <w:marRight w:val="0"/>
                      <w:marTop w:val="0"/>
                      <w:marBottom w:val="0"/>
                      <w:divBdr>
                        <w:top w:val="none" w:sz="0" w:space="0" w:color="auto"/>
                        <w:left w:val="none" w:sz="0" w:space="0" w:color="auto"/>
                        <w:bottom w:val="none" w:sz="0" w:space="0" w:color="auto"/>
                        <w:right w:val="none" w:sz="0" w:space="0" w:color="auto"/>
                      </w:divBdr>
                    </w:div>
                  </w:divsChild>
                </w:div>
                <w:div w:id="448623106">
                  <w:marLeft w:val="0"/>
                  <w:marRight w:val="0"/>
                  <w:marTop w:val="0"/>
                  <w:marBottom w:val="0"/>
                  <w:divBdr>
                    <w:top w:val="none" w:sz="0" w:space="0" w:color="auto"/>
                    <w:left w:val="none" w:sz="0" w:space="0" w:color="auto"/>
                    <w:bottom w:val="none" w:sz="0" w:space="0" w:color="auto"/>
                    <w:right w:val="none" w:sz="0" w:space="0" w:color="auto"/>
                  </w:divBdr>
                  <w:divsChild>
                    <w:div w:id="2130735152">
                      <w:marLeft w:val="0"/>
                      <w:marRight w:val="0"/>
                      <w:marTop w:val="0"/>
                      <w:marBottom w:val="0"/>
                      <w:divBdr>
                        <w:top w:val="none" w:sz="0" w:space="0" w:color="auto"/>
                        <w:left w:val="none" w:sz="0" w:space="0" w:color="auto"/>
                        <w:bottom w:val="none" w:sz="0" w:space="0" w:color="auto"/>
                        <w:right w:val="none" w:sz="0" w:space="0" w:color="auto"/>
                      </w:divBdr>
                    </w:div>
                  </w:divsChild>
                </w:div>
                <w:div w:id="455609169">
                  <w:marLeft w:val="0"/>
                  <w:marRight w:val="0"/>
                  <w:marTop w:val="0"/>
                  <w:marBottom w:val="0"/>
                  <w:divBdr>
                    <w:top w:val="none" w:sz="0" w:space="0" w:color="auto"/>
                    <w:left w:val="none" w:sz="0" w:space="0" w:color="auto"/>
                    <w:bottom w:val="none" w:sz="0" w:space="0" w:color="auto"/>
                    <w:right w:val="none" w:sz="0" w:space="0" w:color="auto"/>
                  </w:divBdr>
                  <w:divsChild>
                    <w:div w:id="675158889">
                      <w:marLeft w:val="0"/>
                      <w:marRight w:val="0"/>
                      <w:marTop w:val="0"/>
                      <w:marBottom w:val="0"/>
                      <w:divBdr>
                        <w:top w:val="none" w:sz="0" w:space="0" w:color="auto"/>
                        <w:left w:val="none" w:sz="0" w:space="0" w:color="auto"/>
                        <w:bottom w:val="none" w:sz="0" w:space="0" w:color="auto"/>
                        <w:right w:val="none" w:sz="0" w:space="0" w:color="auto"/>
                      </w:divBdr>
                    </w:div>
                  </w:divsChild>
                </w:div>
                <w:div w:id="463930935">
                  <w:marLeft w:val="0"/>
                  <w:marRight w:val="0"/>
                  <w:marTop w:val="0"/>
                  <w:marBottom w:val="0"/>
                  <w:divBdr>
                    <w:top w:val="none" w:sz="0" w:space="0" w:color="auto"/>
                    <w:left w:val="none" w:sz="0" w:space="0" w:color="auto"/>
                    <w:bottom w:val="none" w:sz="0" w:space="0" w:color="auto"/>
                    <w:right w:val="none" w:sz="0" w:space="0" w:color="auto"/>
                  </w:divBdr>
                  <w:divsChild>
                    <w:div w:id="769081900">
                      <w:marLeft w:val="0"/>
                      <w:marRight w:val="0"/>
                      <w:marTop w:val="0"/>
                      <w:marBottom w:val="0"/>
                      <w:divBdr>
                        <w:top w:val="none" w:sz="0" w:space="0" w:color="auto"/>
                        <w:left w:val="none" w:sz="0" w:space="0" w:color="auto"/>
                        <w:bottom w:val="none" w:sz="0" w:space="0" w:color="auto"/>
                        <w:right w:val="none" w:sz="0" w:space="0" w:color="auto"/>
                      </w:divBdr>
                    </w:div>
                  </w:divsChild>
                </w:div>
                <w:div w:id="471292116">
                  <w:marLeft w:val="0"/>
                  <w:marRight w:val="0"/>
                  <w:marTop w:val="0"/>
                  <w:marBottom w:val="0"/>
                  <w:divBdr>
                    <w:top w:val="none" w:sz="0" w:space="0" w:color="auto"/>
                    <w:left w:val="none" w:sz="0" w:space="0" w:color="auto"/>
                    <w:bottom w:val="none" w:sz="0" w:space="0" w:color="auto"/>
                    <w:right w:val="none" w:sz="0" w:space="0" w:color="auto"/>
                  </w:divBdr>
                  <w:divsChild>
                    <w:div w:id="483930000">
                      <w:marLeft w:val="0"/>
                      <w:marRight w:val="0"/>
                      <w:marTop w:val="0"/>
                      <w:marBottom w:val="0"/>
                      <w:divBdr>
                        <w:top w:val="none" w:sz="0" w:space="0" w:color="auto"/>
                        <w:left w:val="none" w:sz="0" w:space="0" w:color="auto"/>
                        <w:bottom w:val="none" w:sz="0" w:space="0" w:color="auto"/>
                        <w:right w:val="none" w:sz="0" w:space="0" w:color="auto"/>
                      </w:divBdr>
                    </w:div>
                    <w:div w:id="1062488060">
                      <w:marLeft w:val="0"/>
                      <w:marRight w:val="0"/>
                      <w:marTop w:val="0"/>
                      <w:marBottom w:val="0"/>
                      <w:divBdr>
                        <w:top w:val="none" w:sz="0" w:space="0" w:color="auto"/>
                        <w:left w:val="none" w:sz="0" w:space="0" w:color="auto"/>
                        <w:bottom w:val="none" w:sz="0" w:space="0" w:color="auto"/>
                        <w:right w:val="none" w:sz="0" w:space="0" w:color="auto"/>
                      </w:divBdr>
                    </w:div>
                  </w:divsChild>
                </w:div>
                <w:div w:id="472911373">
                  <w:marLeft w:val="0"/>
                  <w:marRight w:val="0"/>
                  <w:marTop w:val="0"/>
                  <w:marBottom w:val="0"/>
                  <w:divBdr>
                    <w:top w:val="none" w:sz="0" w:space="0" w:color="auto"/>
                    <w:left w:val="none" w:sz="0" w:space="0" w:color="auto"/>
                    <w:bottom w:val="none" w:sz="0" w:space="0" w:color="auto"/>
                    <w:right w:val="none" w:sz="0" w:space="0" w:color="auto"/>
                  </w:divBdr>
                  <w:divsChild>
                    <w:div w:id="2129809097">
                      <w:marLeft w:val="0"/>
                      <w:marRight w:val="0"/>
                      <w:marTop w:val="0"/>
                      <w:marBottom w:val="0"/>
                      <w:divBdr>
                        <w:top w:val="none" w:sz="0" w:space="0" w:color="auto"/>
                        <w:left w:val="none" w:sz="0" w:space="0" w:color="auto"/>
                        <w:bottom w:val="none" w:sz="0" w:space="0" w:color="auto"/>
                        <w:right w:val="none" w:sz="0" w:space="0" w:color="auto"/>
                      </w:divBdr>
                    </w:div>
                  </w:divsChild>
                </w:div>
                <w:div w:id="485822716">
                  <w:marLeft w:val="0"/>
                  <w:marRight w:val="0"/>
                  <w:marTop w:val="0"/>
                  <w:marBottom w:val="0"/>
                  <w:divBdr>
                    <w:top w:val="none" w:sz="0" w:space="0" w:color="auto"/>
                    <w:left w:val="none" w:sz="0" w:space="0" w:color="auto"/>
                    <w:bottom w:val="none" w:sz="0" w:space="0" w:color="auto"/>
                    <w:right w:val="none" w:sz="0" w:space="0" w:color="auto"/>
                  </w:divBdr>
                  <w:divsChild>
                    <w:div w:id="1916740418">
                      <w:marLeft w:val="0"/>
                      <w:marRight w:val="0"/>
                      <w:marTop w:val="0"/>
                      <w:marBottom w:val="0"/>
                      <w:divBdr>
                        <w:top w:val="none" w:sz="0" w:space="0" w:color="auto"/>
                        <w:left w:val="none" w:sz="0" w:space="0" w:color="auto"/>
                        <w:bottom w:val="none" w:sz="0" w:space="0" w:color="auto"/>
                        <w:right w:val="none" w:sz="0" w:space="0" w:color="auto"/>
                      </w:divBdr>
                    </w:div>
                  </w:divsChild>
                </w:div>
                <w:div w:id="487937946">
                  <w:marLeft w:val="0"/>
                  <w:marRight w:val="0"/>
                  <w:marTop w:val="0"/>
                  <w:marBottom w:val="0"/>
                  <w:divBdr>
                    <w:top w:val="none" w:sz="0" w:space="0" w:color="auto"/>
                    <w:left w:val="none" w:sz="0" w:space="0" w:color="auto"/>
                    <w:bottom w:val="none" w:sz="0" w:space="0" w:color="auto"/>
                    <w:right w:val="none" w:sz="0" w:space="0" w:color="auto"/>
                  </w:divBdr>
                  <w:divsChild>
                    <w:div w:id="1079980737">
                      <w:marLeft w:val="0"/>
                      <w:marRight w:val="0"/>
                      <w:marTop w:val="0"/>
                      <w:marBottom w:val="0"/>
                      <w:divBdr>
                        <w:top w:val="none" w:sz="0" w:space="0" w:color="auto"/>
                        <w:left w:val="none" w:sz="0" w:space="0" w:color="auto"/>
                        <w:bottom w:val="none" w:sz="0" w:space="0" w:color="auto"/>
                        <w:right w:val="none" w:sz="0" w:space="0" w:color="auto"/>
                      </w:divBdr>
                    </w:div>
                  </w:divsChild>
                </w:div>
                <w:div w:id="489293555">
                  <w:marLeft w:val="0"/>
                  <w:marRight w:val="0"/>
                  <w:marTop w:val="0"/>
                  <w:marBottom w:val="0"/>
                  <w:divBdr>
                    <w:top w:val="none" w:sz="0" w:space="0" w:color="auto"/>
                    <w:left w:val="none" w:sz="0" w:space="0" w:color="auto"/>
                    <w:bottom w:val="none" w:sz="0" w:space="0" w:color="auto"/>
                    <w:right w:val="none" w:sz="0" w:space="0" w:color="auto"/>
                  </w:divBdr>
                  <w:divsChild>
                    <w:div w:id="1391612754">
                      <w:marLeft w:val="0"/>
                      <w:marRight w:val="0"/>
                      <w:marTop w:val="0"/>
                      <w:marBottom w:val="0"/>
                      <w:divBdr>
                        <w:top w:val="none" w:sz="0" w:space="0" w:color="auto"/>
                        <w:left w:val="none" w:sz="0" w:space="0" w:color="auto"/>
                        <w:bottom w:val="none" w:sz="0" w:space="0" w:color="auto"/>
                        <w:right w:val="none" w:sz="0" w:space="0" w:color="auto"/>
                      </w:divBdr>
                    </w:div>
                  </w:divsChild>
                </w:div>
                <w:div w:id="495729769">
                  <w:marLeft w:val="0"/>
                  <w:marRight w:val="0"/>
                  <w:marTop w:val="0"/>
                  <w:marBottom w:val="0"/>
                  <w:divBdr>
                    <w:top w:val="none" w:sz="0" w:space="0" w:color="auto"/>
                    <w:left w:val="none" w:sz="0" w:space="0" w:color="auto"/>
                    <w:bottom w:val="none" w:sz="0" w:space="0" w:color="auto"/>
                    <w:right w:val="none" w:sz="0" w:space="0" w:color="auto"/>
                  </w:divBdr>
                  <w:divsChild>
                    <w:div w:id="1578830896">
                      <w:marLeft w:val="0"/>
                      <w:marRight w:val="0"/>
                      <w:marTop w:val="0"/>
                      <w:marBottom w:val="0"/>
                      <w:divBdr>
                        <w:top w:val="none" w:sz="0" w:space="0" w:color="auto"/>
                        <w:left w:val="none" w:sz="0" w:space="0" w:color="auto"/>
                        <w:bottom w:val="none" w:sz="0" w:space="0" w:color="auto"/>
                        <w:right w:val="none" w:sz="0" w:space="0" w:color="auto"/>
                      </w:divBdr>
                    </w:div>
                  </w:divsChild>
                </w:div>
                <w:div w:id="495799862">
                  <w:marLeft w:val="0"/>
                  <w:marRight w:val="0"/>
                  <w:marTop w:val="0"/>
                  <w:marBottom w:val="0"/>
                  <w:divBdr>
                    <w:top w:val="none" w:sz="0" w:space="0" w:color="auto"/>
                    <w:left w:val="none" w:sz="0" w:space="0" w:color="auto"/>
                    <w:bottom w:val="none" w:sz="0" w:space="0" w:color="auto"/>
                    <w:right w:val="none" w:sz="0" w:space="0" w:color="auto"/>
                  </w:divBdr>
                  <w:divsChild>
                    <w:div w:id="1531722213">
                      <w:marLeft w:val="0"/>
                      <w:marRight w:val="0"/>
                      <w:marTop w:val="0"/>
                      <w:marBottom w:val="0"/>
                      <w:divBdr>
                        <w:top w:val="none" w:sz="0" w:space="0" w:color="auto"/>
                        <w:left w:val="none" w:sz="0" w:space="0" w:color="auto"/>
                        <w:bottom w:val="none" w:sz="0" w:space="0" w:color="auto"/>
                        <w:right w:val="none" w:sz="0" w:space="0" w:color="auto"/>
                      </w:divBdr>
                    </w:div>
                  </w:divsChild>
                </w:div>
                <w:div w:id="506553318">
                  <w:marLeft w:val="0"/>
                  <w:marRight w:val="0"/>
                  <w:marTop w:val="0"/>
                  <w:marBottom w:val="0"/>
                  <w:divBdr>
                    <w:top w:val="none" w:sz="0" w:space="0" w:color="auto"/>
                    <w:left w:val="none" w:sz="0" w:space="0" w:color="auto"/>
                    <w:bottom w:val="none" w:sz="0" w:space="0" w:color="auto"/>
                    <w:right w:val="none" w:sz="0" w:space="0" w:color="auto"/>
                  </w:divBdr>
                  <w:divsChild>
                    <w:div w:id="770854147">
                      <w:marLeft w:val="0"/>
                      <w:marRight w:val="0"/>
                      <w:marTop w:val="0"/>
                      <w:marBottom w:val="0"/>
                      <w:divBdr>
                        <w:top w:val="none" w:sz="0" w:space="0" w:color="auto"/>
                        <w:left w:val="none" w:sz="0" w:space="0" w:color="auto"/>
                        <w:bottom w:val="none" w:sz="0" w:space="0" w:color="auto"/>
                        <w:right w:val="none" w:sz="0" w:space="0" w:color="auto"/>
                      </w:divBdr>
                    </w:div>
                  </w:divsChild>
                </w:div>
                <w:div w:id="515383819">
                  <w:marLeft w:val="0"/>
                  <w:marRight w:val="0"/>
                  <w:marTop w:val="0"/>
                  <w:marBottom w:val="0"/>
                  <w:divBdr>
                    <w:top w:val="none" w:sz="0" w:space="0" w:color="auto"/>
                    <w:left w:val="none" w:sz="0" w:space="0" w:color="auto"/>
                    <w:bottom w:val="none" w:sz="0" w:space="0" w:color="auto"/>
                    <w:right w:val="none" w:sz="0" w:space="0" w:color="auto"/>
                  </w:divBdr>
                  <w:divsChild>
                    <w:div w:id="172690480">
                      <w:marLeft w:val="0"/>
                      <w:marRight w:val="0"/>
                      <w:marTop w:val="0"/>
                      <w:marBottom w:val="0"/>
                      <w:divBdr>
                        <w:top w:val="none" w:sz="0" w:space="0" w:color="auto"/>
                        <w:left w:val="none" w:sz="0" w:space="0" w:color="auto"/>
                        <w:bottom w:val="none" w:sz="0" w:space="0" w:color="auto"/>
                        <w:right w:val="none" w:sz="0" w:space="0" w:color="auto"/>
                      </w:divBdr>
                    </w:div>
                  </w:divsChild>
                </w:div>
                <w:div w:id="521433397">
                  <w:marLeft w:val="0"/>
                  <w:marRight w:val="0"/>
                  <w:marTop w:val="0"/>
                  <w:marBottom w:val="0"/>
                  <w:divBdr>
                    <w:top w:val="none" w:sz="0" w:space="0" w:color="auto"/>
                    <w:left w:val="none" w:sz="0" w:space="0" w:color="auto"/>
                    <w:bottom w:val="none" w:sz="0" w:space="0" w:color="auto"/>
                    <w:right w:val="none" w:sz="0" w:space="0" w:color="auto"/>
                  </w:divBdr>
                  <w:divsChild>
                    <w:div w:id="683360955">
                      <w:marLeft w:val="0"/>
                      <w:marRight w:val="0"/>
                      <w:marTop w:val="0"/>
                      <w:marBottom w:val="0"/>
                      <w:divBdr>
                        <w:top w:val="none" w:sz="0" w:space="0" w:color="auto"/>
                        <w:left w:val="none" w:sz="0" w:space="0" w:color="auto"/>
                        <w:bottom w:val="none" w:sz="0" w:space="0" w:color="auto"/>
                        <w:right w:val="none" w:sz="0" w:space="0" w:color="auto"/>
                      </w:divBdr>
                    </w:div>
                  </w:divsChild>
                </w:div>
                <w:div w:id="535779917">
                  <w:marLeft w:val="0"/>
                  <w:marRight w:val="0"/>
                  <w:marTop w:val="0"/>
                  <w:marBottom w:val="0"/>
                  <w:divBdr>
                    <w:top w:val="none" w:sz="0" w:space="0" w:color="auto"/>
                    <w:left w:val="none" w:sz="0" w:space="0" w:color="auto"/>
                    <w:bottom w:val="none" w:sz="0" w:space="0" w:color="auto"/>
                    <w:right w:val="none" w:sz="0" w:space="0" w:color="auto"/>
                  </w:divBdr>
                  <w:divsChild>
                    <w:div w:id="2059468911">
                      <w:marLeft w:val="0"/>
                      <w:marRight w:val="0"/>
                      <w:marTop w:val="0"/>
                      <w:marBottom w:val="0"/>
                      <w:divBdr>
                        <w:top w:val="none" w:sz="0" w:space="0" w:color="auto"/>
                        <w:left w:val="none" w:sz="0" w:space="0" w:color="auto"/>
                        <w:bottom w:val="none" w:sz="0" w:space="0" w:color="auto"/>
                        <w:right w:val="none" w:sz="0" w:space="0" w:color="auto"/>
                      </w:divBdr>
                    </w:div>
                  </w:divsChild>
                </w:div>
                <w:div w:id="536938551">
                  <w:marLeft w:val="0"/>
                  <w:marRight w:val="0"/>
                  <w:marTop w:val="0"/>
                  <w:marBottom w:val="0"/>
                  <w:divBdr>
                    <w:top w:val="none" w:sz="0" w:space="0" w:color="auto"/>
                    <w:left w:val="none" w:sz="0" w:space="0" w:color="auto"/>
                    <w:bottom w:val="none" w:sz="0" w:space="0" w:color="auto"/>
                    <w:right w:val="none" w:sz="0" w:space="0" w:color="auto"/>
                  </w:divBdr>
                  <w:divsChild>
                    <w:div w:id="38358072">
                      <w:marLeft w:val="0"/>
                      <w:marRight w:val="0"/>
                      <w:marTop w:val="0"/>
                      <w:marBottom w:val="0"/>
                      <w:divBdr>
                        <w:top w:val="none" w:sz="0" w:space="0" w:color="auto"/>
                        <w:left w:val="none" w:sz="0" w:space="0" w:color="auto"/>
                        <w:bottom w:val="none" w:sz="0" w:space="0" w:color="auto"/>
                        <w:right w:val="none" w:sz="0" w:space="0" w:color="auto"/>
                      </w:divBdr>
                    </w:div>
                  </w:divsChild>
                </w:div>
                <w:div w:id="537355860">
                  <w:marLeft w:val="0"/>
                  <w:marRight w:val="0"/>
                  <w:marTop w:val="0"/>
                  <w:marBottom w:val="0"/>
                  <w:divBdr>
                    <w:top w:val="none" w:sz="0" w:space="0" w:color="auto"/>
                    <w:left w:val="none" w:sz="0" w:space="0" w:color="auto"/>
                    <w:bottom w:val="none" w:sz="0" w:space="0" w:color="auto"/>
                    <w:right w:val="none" w:sz="0" w:space="0" w:color="auto"/>
                  </w:divBdr>
                  <w:divsChild>
                    <w:div w:id="1028020551">
                      <w:marLeft w:val="0"/>
                      <w:marRight w:val="0"/>
                      <w:marTop w:val="0"/>
                      <w:marBottom w:val="0"/>
                      <w:divBdr>
                        <w:top w:val="none" w:sz="0" w:space="0" w:color="auto"/>
                        <w:left w:val="none" w:sz="0" w:space="0" w:color="auto"/>
                        <w:bottom w:val="none" w:sz="0" w:space="0" w:color="auto"/>
                        <w:right w:val="none" w:sz="0" w:space="0" w:color="auto"/>
                      </w:divBdr>
                    </w:div>
                  </w:divsChild>
                </w:div>
                <w:div w:id="545916994">
                  <w:marLeft w:val="0"/>
                  <w:marRight w:val="0"/>
                  <w:marTop w:val="0"/>
                  <w:marBottom w:val="0"/>
                  <w:divBdr>
                    <w:top w:val="none" w:sz="0" w:space="0" w:color="auto"/>
                    <w:left w:val="none" w:sz="0" w:space="0" w:color="auto"/>
                    <w:bottom w:val="none" w:sz="0" w:space="0" w:color="auto"/>
                    <w:right w:val="none" w:sz="0" w:space="0" w:color="auto"/>
                  </w:divBdr>
                  <w:divsChild>
                    <w:div w:id="1165782968">
                      <w:marLeft w:val="0"/>
                      <w:marRight w:val="0"/>
                      <w:marTop w:val="0"/>
                      <w:marBottom w:val="0"/>
                      <w:divBdr>
                        <w:top w:val="none" w:sz="0" w:space="0" w:color="auto"/>
                        <w:left w:val="none" w:sz="0" w:space="0" w:color="auto"/>
                        <w:bottom w:val="none" w:sz="0" w:space="0" w:color="auto"/>
                        <w:right w:val="none" w:sz="0" w:space="0" w:color="auto"/>
                      </w:divBdr>
                    </w:div>
                  </w:divsChild>
                </w:div>
                <w:div w:id="550113754">
                  <w:marLeft w:val="0"/>
                  <w:marRight w:val="0"/>
                  <w:marTop w:val="0"/>
                  <w:marBottom w:val="0"/>
                  <w:divBdr>
                    <w:top w:val="none" w:sz="0" w:space="0" w:color="auto"/>
                    <w:left w:val="none" w:sz="0" w:space="0" w:color="auto"/>
                    <w:bottom w:val="none" w:sz="0" w:space="0" w:color="auto"/>
                    <w:right w:val="none" w:sz="0" w:space="0" w:color="auto"/>
                  </w:divBdr>
                  <w:divsChild>
                    <w:div w:id="916792353">
                      <w:marLeft w:val="0"/>
                      <w:marRight w:val="0"/>
                      <w:marTop w:val="0"/>
                      <w:marBottom w:val="0"/>
                      <w:divBdr>
                        <w:top w:val="none" w:sz="0" w:space="0" w:color="auto"/>
                        <w:left w:val="none" w:sz="0" w:space="0" w:color="auto"/>
                        <w:bottom w:val="none" w:sz="0" w:space="0" w:color="auto"/>
                        <w:right w:val="none" w:sz="0" w:space="0" w:color="auto"/>
                      </w:divBdr>
                    </w:div>
                    <w:div w:id="1417435697">
                      <w:marLeft w:val="0"/>
                      <w:marRight w:val="0"/>
                      <w:marTop w:val="0"/>
                      <w:marBottom w:val="0"/>
                      <w:divBdr>
                        <w:top w:val="none" w:sz="0" w:space="0" w:color="auto"/>
                        <w:left w:val="none" w:sz="0" w:space="0" w:color="auto"/>
                        <w:bottom w:val="none" w:sz="0" w:space="0" w:color="auto"/>
                        <w:right w:val="none" w:sz="0" w:space="0" w:color="auto"/>
                      </w:divBdr>
                    </w:div>
                  </w:divsChild>
                </w:div>
                <w:div w:id="551815049">
                  <w:marLeft w:val="0"/>
                  <w:marRight w:val="0"/>
                  <w:marTop w:val="0"/>
                  <w:marBottom w:val="0"/>
                  <w:divBdr>
                    <w:top w:val="none" w:sz="0" w:space="0" w:color="auto"/>
                    <w:left w:val="none" w:sz="0" w:space="0" w:color="auto"/>
                    <w:bottom w:val="none" w:sz="0" w:space="0" w:color="auto"/>
                    <w:right w:val="none" w:sz="0" w:space="0" w:color="auto"/>
                  </w:divBdr>
                  <w:divsChild>
                    <w:div w:id="1064134664">
                      <w:marLeft w:val="0"/>
                      <w:marRight w:val="0"/>
                      <w:marTop w:val="0"/>
                      <w:marBottom w:val="0"/>
                      <w:divBdr>
                        <w:top w:val="none" w:sz="0" w:space="0" w:color="auto"/>
                        <w:left w:val="none" w:sz="0" w:space="0" w:color="auto"/>
                        <w:bottom w:val="none" w:sz="0" w:space="0" w:color="auto"/>
                        <w:right w:val="none" w:sz="0" w:space="0" w:color="auto"/>
                      </w:divBdr>
                    </w:div>
                  </w:divsChild>
                </w:div>
                <w:div w:id="554894703">
                  <w:marLeft w:val="0"/>
                  <w:marRight w:val="0"/>
                  <w:marTop w:val="0"/>
                  <w:marBottom w:val="0"/>
                  <w:divBdr>
                    <w:top w:val="none" w:sz="0" w:space="0" w:color="auto"/>
                    <w:left w:val="none" w:sz="0" w:space="0" w:color="auto"/>
                    <w:bottom w:val="none" w:sz="0" w:space="0" w:color="auto"/>
                    <w:right w:val="none" w:sz="0" w:space="0" w:color="auto"/>
                  </w:divBdr>
                  <w:divsChild>
                    <w:div w:id="1690326616">
                      <w:marLeft w:val="0"/>
                      <w:marRight w:val="0"/>
                      <w:marTop w:val="0"/>
                      <w:marBottom w:val="0"/>
                      <w:divBdr>
                        <w:top w:val="none" w:sz="0" w:space="0" w:color="auto"/>
                        <w:left w:val="none" w:sz="0" w:space="0" w:color="auto"/>
                        <w:bottom w:val="none" w:sz="0" w:space="0" w:color="auto"/>
                        <w:right w:val="none" w:sz="0" w:space="0" w:color="auto"/>
                      </w:divBdr>
                    </w:div>
                  </w:divsChild>
                </w:div>
                <w:div w:id="582765967">
                  <w:marLeft w:val="0"/>
                  <w:marRight w:val="0"/>
                  <w:marTop w:val="0"/>
                  <w:marBottom w:val="0"/>
                  <w:divBdr>
                    <w:top w:val="none" w:sz="0" w:space="0" w:color="auto"/>
                    <w:left w:val="none" w:sz="0" w:space="0" w:color="auto"/>
                    <w:bottom w:val="none" w:sz="0" w:space="0" w:color="auto"/>
                    <w:right w:val="none" w:sz="0" w:space="0" w:color="auto"/>
                  </w:divBdr>
                  <w:divsChild>
                    <w:div w:id="1359742624">
                      <w:marLeft w:val="0"/>
                      <w:marRight w:val="0"/>
                      <w:marTop w:val="0"/>
                      <w:marBottom w:val="0"/>
                      <w:divBdr>
                        <w:top w:val="none" w:sz="0" w:space="0" w:color="auto"/>
                        <w:left w:val="none" w:sz="0" w:space="0" w:color="auto"/>
                        <w:bottom w:val="none" w:sz="0" w:space="0" w:color="auto"/>
                        <w:right w:val="none" w:sz="0" w:space="0" w:color="auto"/>
                      </w:divBdr>
                    </w:div>
                  </w:divsChild>
                </w:div>
                <w:div w:id="583612190">
                  <w:marLeft w:val="0"/>
                  <w:marRight w:val="0"/>
                  <w:marTop w:val="0"/>
                  <w:marBottom w:val="0"/>
                  <w:divBdr>
                    <w:top w:val="none" w:sz="0" w:space="0" w:color="auto"/>
                    <w:left w:val="none" w:sz="0" w:space="0" w:color="auto"/>
                    <w:bottom w:val="none" w:sz="0" w:space="0" w:color="auto"/>
                    <w:right w:val="none" w:sz="0" w:space="0" w:color="auto"/>
                  </w:divBdr>
                  <w:divsChild>
                    <w:div w:id="853685863">
                      <w:marLeft w:val="0"/>
                      <w:marRight w:val="0"/>
                      <w:marTop w:val="0"/>
                      <w:marBottom w:val="0"/>
                      <w:divBdr>
                        <w:top w:val="none" w:sz="0" w:space="0" w:color="auto"/>
                        <w:left w:val="none" w:sz="0" w:space="0" w:color="auto"/>
                        <w:bottom w:val="none" w:sz="0" w:space="0" w:color="auto"/>
                        <w:right w:val="none" w:sz="0" w:space="0" w:color="auto"/>
                      </w:divBdr>
                    </w:div>
                  </w:divsChild>
                </w:div>
                <w:div w:id="590741813">
                  <w:marLeft w:val="0"/>
                  <w:marRight w:val="0"/>
                  <w:marTop w:val="0"/>
                  <w:marBottom w:val="0"/>
                  <w:divBdr>
                    <w:top w:val="none" w:sz="0" w:space="0" w:color="auto"/>
                    <w:left w:val="none" w:sz="0" w:space="0" w:color="auto"/>
                    <w:bottom w:val="none" w:sz="0" w:space="0" w:color="auto"/>
                    <w:right w:val="none" w:sz="0" w:space="0" w:color="auto"/>
                  </w:divBdr>
                  <w:divsChild>
                    <w:div w:id="947546110">
                      <w:marLeft w:val="0"/>
                      <w:marRight w:val="0"/>
                      <w:marTop w:val="0"/>
                      <w:marBottom w:val="0"/>
                      <w:divBdr>
                        <w:top w:val="none" w:sz="0" w:space="0" w:color="auto"/>
                        <w:left w:val="none" w:sz="0" w:space="0" w:color="auto"/>
                        <w:bottom w:val="none" w:sz="0" w:space="0" w:color="auto"/>
                        <w:right w:val="none" w:sz="0" w:space="0" w:color="auto"/>
                      </w:divBdr>
                    </w:div>
                  </w:divsChild>
                </w:div>
                <w:div w:id="591669199">
                  <w:marLeft w:val="0"/>
                  <w:marRight w:val="0"/>
                  <w:marTop w:val="0"/>
                  <w:marBottom w:val="0"/>
                  <w:divBdr>
                    <w:top w:val="none" w:sz="0" w:space="0" w:color="auto"/>
                    <w:left w:val="none" w:sz="0" w:space="0" w:color="auto"/>
                    <w:bottom w:val="none" w:sz="0" w:space="0" w:color="auto"/>
                    <w:right w:val="none" w:sz="0" w:space="0" w:color="auto"/>
                  </w:divBdr>
                  <w:divsChild>
                    <w:div w:id="1950316003">
                      <w:marLeft w:val="0"/>
                      <w:marRight w:val="0"/>
                      <w:marTop w:val="0"/>
                      <w:marBottom w:val="0"/>
                      <w:divBdr>
                        <w:top w:val="none" w:sz="0" w:space="0" w:color="auto"/>
                        <w:left w:val="none" w:sz="0" w:space="0" w:color="auto"/>
                        <w:bottom w:val="none" w:sz="0" w:space="0" w:color="auto"/>
                        <w:right w:val="none" w:sz="0" w:space="0" w:color="auto"/>
                      </w:divBdr>
                    </w:div>
                  </w:divsChild>
                </w:div>
                <w:div w:id="617222148">
                  <w:marLeft w:val="0"/>
                  <w:marRight w:val="0"/>
                  <w:marTop w:val="0"/>
                  <w:marBottom w:val="0"/>
                  <w:divBdr>
                    <w:top w:val="none" w:sz="0" w:space="0" w:color="auto"/>
                    <w:left w:val="none" w:sz="0" w:space="0" w:color="auto"/>
                    <w:bottom w:val="none" w:sz="0" w:space="0" w:color="auto"/>
                    <w:right w:val="none" w:sz="0" w:space="0" w:color="auto"/>
                  </w:divBdr>
                  <w:divsChild>
                    <w:div w:id="1510175086">
                      <w:marLeft w:val="0"/>
                      <w:marRight w:val="0"/>
                      <w:marTop w:val="0"/>
                      <w:marBottom w:val="0"/>
                      <w:divBdr>
                        <w:top w:val="none" w:sz="0" w:space="0" w:color="auto"/>
                        <w:left w:val="none" w:sz="0" w:space="0" w:color="auto"/>
                        <w:bottom w:val="none" w:sz="0" w:space="0" w:color="auto"/>
                        <w:right w:val="none" w:sz="0" w:space="0" w:color="auto"/>
                      </w:divBdr>
                    </w:div>
                  </w:divsChild>
                </w:div>
                <w:div w:id="635725023">
                  <w:marLeft w:val="0"/>
                  <w:marRight w:val="0"/>
                  <w:marTop w:val="0"/>
                  <w:marBottom w:val="0"/>
                  <w:divBdr>
                    <w:top w:val="none" w:sz="0" w:space="0" w:color="auto"/>
                    <w:left w:val="none" w:sz="0" w:space="0" w:color="auto"/>
                    <w:bottom w:val="none" w:sz="0" w:space="0" w:color="auto"/>
                    <w:right w:val="none" w:sz="0" w:space="0" w:color="auto"/>
                  </w:divBdr>
                  <w:divsChild>
                    <w:div w:id="1755737614">
                      <w:marLeft w:val="0"/>
                      <w:marRight w:val="0"/>
                      <w:marTop w:val="0"/>
                      <w:marBottom w:val="0"/>
                      <w:divBdr>
                        <w:top w:val="none" w:sz="0" w:space="0" w:color="auto"/>
                        <w:left w:val="none" w:sz="0" w:space="0" w:color="auto"/>
                        <w:bottom w:val="none" w:sz="0" w:space="0" w:color="auto"/>
                        <w:right w:val="none" w:sz="0" w:space="0" w:color="auto"/>
                      </w:divBdr>
                    </w:div>
                  </w:divsChild>
                </w:div>
                <w:div w:id="640770371">
                  <w:marLeft w:val="0"/>
                  <w:marRight w:val="0"/>
                  <w:marTop w:val="0"/>
                  <w:marBottom w:val="0"/>
                  <w:divBdr>
                    <w:top w:val="none" w:sz="0" w:space="0" w:color="auto"/>
                    <w:left w:val="none" w:sz="0" w:space="0" w:color="auto"/>
                    <w:bottom w:val="none" w:sz="0" w:space="0" w:color="auto"/>
                    <w:right w:val="none" w:sz="0" w:space="0" w:color="auto"/>
                  </w:divBdr>
                  <w:divsChild>
                    <w:div w:id="476194156">
                      <w:marLeft w:val="0"/>
                      <w:marRight w:val="0"/>
                      <w:marTop w:val="0"/>
                      <w:marBottom w:val="0"/>
                      <w:divBdr>
                        <w:top w:val="none" w:sz="0" w:space="0" w:color="auto"/>
                        <w:left w:val="none" w:sz="0" w:space="0" w:color="auto"/>
                        <w:bottom w:val="none" w:sz="0" w:space="0" w:color="auto"/>
                        <w:right w:val="none" w:sz="0" w:space="0" w:color="auto"/>
                      </w:divBdr>
                    </w:div>
                  </w:divsChild>
                </w:div>
                <w:div w:id="653409487">
                  <w:marLeft w:val="0"/>
                  <w:marRight w:val="0"/>
                  <w:marTop w:val="0"/>
                  <w:marBottom w:val="0"/>
                  <w:divBdr>
                    <w:top w:val="none" w:sz="0" w:space="0" w:color="auto"/>
                    <w:left w:val="none" w:sz="0" w:space="0" w:color="auto"/>
                    <w:bottom w:val="none" w:sz="0" w:space="0" w:color="auto"/>
                    <w:right w:val="none" w:sz="0" w:space="0" w:color="auto"/>
                  </w:divBdr>
                  <w:divsChild>
                    <w:div w:id="2105875592">
                      <w:marLeft w:val="0"/>
                      <w:marRight w:val="0"/>
                      <w:marTop w:val="0"/>
                      <w:marBottom w:val="0"/>
                      <w:divBdr>
                        <w:top w:val="none" w:sz="0" w:space="0" w:color="auto"/>
                        <w:left w:val="none" w:sz="0" w:space="0" w:color="auto"/>
                        <w:bottom w:val="none" w:sz="0" w:space="0" w:color="auto"/>
                        <w:right w:val="none" w:sz="0" w:space="0" w:color="auto"/>
                      </w:divBdr>
                    </w:div>
                  </w:divsChild>
                </w:div>
                <w:div w:id="703410402">
                  <w:marLeft w:val="0"/>
                  <w:marRight w:val="0"/>
                  <w:marTop w:val="0"/>
                  <w:marBottom w:val="0"/>
                  <w:divBdr>
                    <w:top w:val="none" w:sz="0" w:space="0" w:color="auto"/>
                    <w:left w:val="none" w:sz="0" w:space="0" w:color="auto"/>
                    <w:bottom w:val="none" w:sz="0" w:space="0" w:color="auto"/>
                    <w:right w:val="none" w:sz="0" w:space="0" w:color="auto"/>
                  </w:divBdr>
                  <w:divsChild>
                    <w:div w:id="7684268">
                      <w:marLeft w:val="0"/>
                      <w:marRight w:val="0"/>
                      <w:marTop w:val="0"/>
                      <w:marBottom w:val="0"/>
                      <w:divBdr>
                        <w:top w:val="none" w:sz="0" w:space="0" w:color="auto"/>
                        <w:left w:val="none" w:sz="0" w:space="0" w:color="auto"/>
                        <w:bottom w:val="none" w:sz="0" w:space="0" w:color="auto"/>
                        <w:right w:val="none" w:sz="0" w:space="0" w:color="auto"/>
                      </w:divBdr>
                    </w:div>
                  </w:divsChild>
                </w:div>
                <w:div w:id="739443750">
                  <w:marLeft w:val="0"/>
                  <w:marRight w:val="0"/>
                  <w:marTop w:val="0"/>
                  <w:marBottom w:val="0"/>
                  <w:divBdr>
                    <w:top w:val="none" w:sz="0" w:space="0" w:color="auto"/>
                    <w:left w:val="none" w:sz="0" w:space="0" w:color="auto"/>
                    <w:bottom w:val="none" w:sz="0" w:space="0" w:color="auto"/>
                    <w:right w:val="none" w:sz="0" w:space="0" w:color="auto"/>
                  </w:divBdr>
                  <w:divsChild>
                    <w:div w:id="1403790997">
                      <w:marLeft w:val="0"/>
                      <w:marRight w:val="0"/>
                      <w:marTop w:val="0"/>
                      <w:marBottom w:val="0"/>
                      <w:divBdr>
                        <w:top w:val="none" w:sz="0" w:space="0" w:color="auto"/>
                        <w:left w:val="none" w:sz="0" w:space="0" w:color="auto"/>
                        <w:bottom w:val="none" w:sz="0" w:space="0" w:color="auto"/>
                        <w:right w:val="none" w:sz="0" w:space="0" w:color="auto"/>
                      </w:divBdr>
                    </w:div>
                  </w:divsChild>
                </w:div>
                <w:div w:id="755320778">
                  <w:marLeft w:val="0"/>
                  <w:marRight w:val="0"/>
                  <w:marTop w:val="0"/>
                  <w:marBottom w:val="0"/>
                  <w:divBdr>
                    <w:top w:val="none" w:sz="0" w:space="0" w:color="auto"/>
                    <w:left w:val="none" w:sz="0" w:space="0" w:color="auto"/>
                    <w:bottom w:val="none" w:sz="0" w:space="0" w:color="auto"/>
                    <w:right w:val="none" w:sz="0" w:space="0" w:color="auto"/>
                  </w:divBdr>
                  <w:divsChild>
                    <w:div w:id="1857499688">
                      <w:marLeft w:val="0"/>
                      <w:marRight w:val="0"/>
                      <w:marTop w:val="0"/>
                      <w:marBottom w:val="0"/>
                      <w:divBdr>
                        <w:top w:val="none" w:sz="0" w:space="0" w:color="auto"/>
                        <w:left w:val="none" w:sz="0" w:space="0" w:color="auto"/>
                        <w:bottom w:val="none" w:sz="0" w:space="0" w:color="auto"/>
                        <w:right w:val="none" w:sz="0" w:space="0" w:color="auto"/>
                      </w:divBdr>
                    </w:div>
                  </w:divsChild>
                </w:div>
                <w:div w:id="766539610">
                  <w:marLeft w:val="0"/>
                  <w:marRight w:val="0"/>
                  <w:marTop w:val="0"/>
                  <w:marBottom w:val="0"/>
                  <w:divBdr>
                    <w:top w:val="none" w:sz="0" w:space="0" w:color="auto"/>
                    <w:left w:val="none" w:sz="0" w:space="0" w:color="auto"/>
                    <w:bottom w:val="none" w:sz="0" w:space="0" w:color="auto"/>
                    <w:right w:val="none" w:sz="0" w:space="0" w:color="auto"/>
                  </w:divBdr>
                  <w:divsChild>
                    <w:div w:id="322201975">
                      <w:marLeft w:val="0"/>
                      <w:marRight w:val="0"/>
                      <w:marTop w:val="0"/>
                      <w:marBottom w:val="0"/>
                      <w:divBdr>
                        <w:top w:val="none" w:sz="0" w:space="0" w:color="auto"/>
                        <w:left w:val="none" w:sz="0" w:space="0" w:color="auto"/>
                        <w:bottom w:val="none" w:sz="0" w:space="0" w:color="auto"/>
                        <w:right w:val="none" w:sz="0" w:space="0" w:color="auto"/>
                      </w:divBdr>
                    </w:div>
                  </w:divsChild>
                </w:div>
                <w:div w:id="767195856">
                  <w:marLeft w:val="0"/>
                  <w:marRight w:val="0"/>
                  <w:marTop w:val="0"/>
                  <w:marBottom w:val="0"/>
                  <w:divBdr>
                    <w:top w:val="none" w:sz="0" w:space="0" w:color="auto"/>
                    <w:left w:val="none" w:sz="0" w:space="0" w:color="auto"/>
                    <w:bottom w:val="none" w:sz="0" w:space="0" w:color="auto"/>
                    <w:right w:val="none" w:sz="0" w:space="0" w:color="auto"/>
                  </w:divBdr>
                  <w:divsChild>
                    <w:div w:id="1830511424">
                      <w:marLeft w:val="0"/>
                      <w:marRight w:val="0"/>
                      <w:marTop w:val="0"/>
                      <w:marBottom w:val="0"/>
                      <w:divBdr>
                        <w:top w:val="none" w:sz="0" w:space="0" w:color="auto"/>
                        <w:left w:val="none" w:sz="0" w:space="0" w:color="auto"/>
                        <w:bottom w:val="none" w:sz="0" w:space="0" w:color="auto"/>
                        <w:right w:val="none" w:sz="0" w:space="0" w:color="auto"/>
                      </w:divBdr>
                    </w:div>
                  </w:divsChild>
                </w:div>
                <w:div w:id="767458743">
                  <w:marLeft w:val="0"/>
                  <w:marRight w:val="0"/>
                  <w:marTop w:val="0"/>
                  <w:marBottom w:val="0"/>
                  <w:divBdr>
                    <w:top w:val="none" w:sz="0" w:space="0" w:color="auto"/>
                    <w:left w:val="none" w:sz="0" w:space="0" w:color="auto"/>
                    <w:bottom w:val="none" w:sz="0" w:space="0" w:color="auto"/>
                    <w:right w:val="none" w:sz="0" w:space="0" w:color="auto"/>
                  </w:divBdr>
                  <w:divsChild>
                    <w:div w:id="432285703">
                      <w:marLeft w:val="0"/>
                      <w:marRight w:val="0"/>
                      <w:marTop w:val="0"/>
                      <w:marBottom w:val="0"/>
                      <w:divBdr>
                        <w:top w:val="none" w:sz="0" w:space="0" w:color="auto"/>
                        <w:left w:val="none" w:sz="0" w:space="0" w:color="auto"/>
                        <w:bottom w:val="none" w:sz="0" w:space="0" w:color="auto"/>
                        <w:right w:val="none" w:sz="0" w:space="0" w:color="auto"/>
                      </w:divBdr>
                    </w:div>
                  </w:divsChild>
                </w:div>
                <w:div w:id="770005224">
                  <w:marLeft w:val="0"/>
                  <w:marRight w:val="0"/>
                  <w:marTop w:val="0"/>
                  <w:marBottom w:val="0"/>
                  <w:divBdr>
                    <w:top w:val="none" w:sz="0" w:space="0" w:color="auto"/>
                    <w:left w:val="none" w:sz="0" w:space="0" w:color="auto"/>
                    <w:bottom w:val="none" w:sz="0" w:space="0" w:color="auto"/>
                    <w:right w:val="none" w:sz="0" w:space="0" w:color="auto"/>
                  </w:divBdr>
                  <w:divsChild>
                    <w:div w:id="1966304175">
                      <w:marLeft w:val="0"/>
                      <w:marRight w:val="0"/>
                      <w:marTop w:val="0"/>
                      <w:marBottom w:val="0"/>
                      <w:divBdr>
                        <w:top w:val="none" w:sz="0" w:space="0" w:color="auto"/>
                        <w:left w:val="none" w:sz="0" w:space="0" w:color="auto"/>
                        <w:bottom w:val="none" w:sz="0" w:space="0" w:color="auto"/>
                        <w:right w:val="none" w:sz="0" w:space="0" w:color="auto"/>
                      </w:divBdr>
                    </w:div>
                  </w:divsChild>
                </w:div>
                <w:div w:id="798957851">
                  <w:marLeft w:val="0"/>
                  <w:marRight w:val="0"/>
                  <w:marTop w:val="0"/>
                  <w:marBottom w:val="0"/>
                  <w:divBdr>
                    <w:top w:val="none" w:sz="0" w:space="0" w:color="auto"/>
                    <w:left w:val="none" w:sz="0" w:space="0" w:color="auto"/>
                    <w:bottom w:val="none" w:sz="0" w:space="0" w:color="auto"/>
                    <w:right w:val="none" w:sz="0" w:space="0" w:color="auto"/>
                  </w:divBdr>
                  <w:divsChild>
                    <w:div w:id="815148607">
                      <w:marLeft w:val="0"/>
                      <w:marRight w:val="0"/>
                      <w:marTop w:val="0"/>
                      <w:marBottom w:val="0"/>
                      <w:divBdr>
                        <w:top w:val="none" w:sz="0" w:space="0" w:color="auto"/>
                        <w:left w:val="none" w:sz="0" w:space="0" w:color="auto"/>
                        <w:bottom w:val="none" w:sz="0" w:space="0" w:color="auto"/>
                        <w:right w:val="none" w:sz="0" w:space="0" w:color="auto"/>
                      </w:divBdr>
                    </w:div>
                  </w:divsChild>
                </w:div>
                <w:div w:id="802429592">
                  <w:marLeft w:val="0"/>
                  <w:marRight w:val="0"/>
                  <w:marTop w:val="0"/>
                  <w:marBottom w:val="0"/>
                  <w:divBdr>
                    <w:top w:val="none" w:sz="0" w:space="0" w:color="auto"/>
                    <w:left w:val="none" w:sz="0" w:space="0" w:color="auto"/>
                    <w:bottom w:val="none" w:sz="0" w:space="0" w:color="auto"/>
                    <w:right w:val="none" w:sz="0" w:space="0" w:color="auto"/>
                  </w:divBdr>
                  <w:divsChild>
                    <w:div w:id="595595616">
                      <w:marLeft w:val="0"/>
                      <w:marRight w:val="0"/>
                      <w:marTop w:val="0"/>
                      <w:marBottom w:val="0"/>
                      <w:divBdr>
                        <w:top w:val="none" w:sz="0" w:space="0" w:color="auto"/>
                        <w:left w:val="none" w:sz="0" w:space="0" w:color="auto"/>
                        <w:bottom w:val="none" w:sz="0" w:space="0" w:color="auto"/>
                        <w:right w:val="none" w:sz="0" w:space="0" w:color="auto"/>
                      </w:divBdr>
                    </w:div>
                  </w:divsChild>
                </w:div>
                <w:div w:id="812480778">
                  <w:marLeft w:val="0"/>
                  <w:marRight w:val="0"/>
                  <w:marTop w:val="0"/>
                  <w:marBottom w:val="0"/>
                  <w:divBdr>
                    <w:top w:val="none" w:sz="0" w:space="0" w:color="auto"/>
                    <w:left w:val="none" w:sz="0" w:space="0" w:color="auto"/>
                    <w:bottom w:val="none" w:sz="0" w:space="0" w:color="auto"/>
                    <w:right w:val="none" w:sz="0" w:space="0" w:color="auto"/>
                  </w:divBdr>
                  <w:divsChild>
                    <w:div w:id="427308497">
                      <w:marLeft w:val="0"/>
                      <w:marRight w:val="0"/>
                      <w:marTop w:val="0"/>
                      <w:marBottom w:val="0"/>
                      <w:divBdr>
                        <w:top w:val="none" w:sz="0" w:space="0" w:color="auto"/>
                        <w:left w:val="none" w:sz="0" w:space="0" w:color="auto"/>
                        <w:bottom w:val="none" w:sz="0" w:space="0" w:color="auto"/>
                        <w:right w:val="none" w:sz="0" w:space="0" w:color="auto"/>
                      </w:divBdr>
                    </w:div>
                  </w:divsChild>
                </w:div>
                <w:div w:id="819810310">
                  <w:marLeft w:val="0"/>
                  <w:marRight w:val="0"/>
                  <w:marTop w:val="0"/>
                  <w:marBottom w:val="0"/>
                  <w:divBdr>
                    <w:top w:val="none" w:sz="0" w:space="0" w:color="auto"/>
                    <w:left w:val="none" w:sz="0" w:space="0" w:color="auto"/>
                    <w:bottom w:val="none" w:sz="0" w:space="0" w:color="auto"/>
                    <w:right w:val="none" w:sz="0" w:space="0" w:color="auto"/>
                  </w:divBdr>
                  <w:divsChild>
                    <w:div w:id="1881286290">
                      <w:marLeft w:val="0"/>
                      <w:marRight w:val="0"/>
                      <w:marTop w:val="0"/>
                      <w:marBottom w:val="0"/>
                      <w:divBdr>
                        <w:top w:val="none" w:sz="0" w:space="0" w:color="auto"/>
                        <w:left w:val="none" w:sz="0" w:space="0" w:color="auto"/>
                        <w:bottom w:val="none" w:sz="0" w:space="0" w:color="auto"/>
                        <w:right w:val="none" w:sz="0" w:space="0" w:color="auto"/>
                      </w:divBdr>
                    </w:div>
                  </w:divsChild>
                </w:div>
                <w:div w:id="827596936">
                  <w:marLeft w:val="0"/>
                  <w:marRight w:val="0"/>
                  <w:marTop w:val="0"/>
                  <w:marBottom w:val="0"/>
                  <w:divBdr>
                    <w:top w:val="none" w:sz="0" w:space="0" w:color="auto"/>
                    <w:left w:val="none" w:sz="0" w:space="0" w:color="auto"/>
                    <w:bottom w:val="none" w:sz="0" w:space="0" w:color="auto"/>
                    <w:right w:val="none" w:sz="0" w:space="0" w:color="auto"/>
                  </w:divBdr>
                  <w:divsChild>
                    <w:div w:id="226498249">
                      <w:marLeft w:val="0"/>
                      <w:marRight w:val="0"/>
                      <w:marTop w:val="0"/>
                      <w:marBottom w:val="0"/>
                      <w:divBdr>
                        <w:top w:val="none" w:sz="0" w:space="0" w:color="auto"/>
                        <w:left w:val="none" w:sz="0" w:space="0" w:color="auto"/>
                        <w:bottom w:val="none" w:sz="0" w:space="0" w:color="auto"/>
                        <w:right w:val="none" w:sz="0" w:space="0" w:color="auto"/>
                      </w:divBdr>
                    </w:div>
                  </w:divsChild>
                </w:div>
                <w:div w:id="835078147">
                  <w:marLeft w:val="0"/>
                  <w:marRight w:val="0"/>
                  <w:marTop w:val="0"/>
                  <w:marBottom w:val="0"/>
                  <w:divBdr>
                    <w:top w:val="none" w:sz="0" w:space="0" w:color="auto"/>
                    <w:left w:val="none" w:sz="0" w:space="0" w:color="auto"/>
                    <w:bottom w:val="none" w:sz="0" w:space="0" w:color="auto"/>
                    <w:right w:val="none" w:sz="0" w:space="0" w:color="auto"/>
                  </w:divBdr>
                  <w:divsChild>
                    <w:div w:id="1884516575">
                      <w:marLeft w:val="0"/>
                      <w:marRight w:val="0"/>
                      <w:marTop w:val="0"/>
                      <w:marBottom w:val="0"/>
                      <w:divBdr>
                        <w:top w:val="none" w:sz="0" w:space="0" w:color="auto"/>
                        <w:left w:val="none" w:sz="0" w:space="0" w:color="auto"/>
                        <w:bottom w:val="none" w:sz="0" w:space="0" w:color="auto"/>
                        <w:right w:val="none" w:sz="0" w:space="0" w:color="auto"/>
                      </w:divBdr>
                    </w:div>
                  </w:divsChild>
                </w:div>
                <w:div w:id="835147097">
                  <w:marLeft w:val="0"/>
                  <w:marRight w:val="0"/>
                  <w:marTop w:val="0"/>
                  <w:marBottom w:val="0"/>
                  <w:divBdr>
                    <w:top w:val="none" w:sz="0" w:space="0" w:color="auto"/>
                    <w:left w:val="none" w:sz="0" w:space="0" w:color="auto"/>
                    <w:bottom w:val="none" w:sz="0" w:space="0" w:color="auto"/>
                    <w:right w:val="none" w:sz="0" w:space="0" w:color="auto"/>
                  </w:divBdr>
                  <w:divsChild>
                    <w:div w:id="994913488">
                      <w:marLeft w:val="0"/>
                      <w:marRight w:val="0"/>
                      <w:marTop w:val="0"/>
                      <w:marBottom w:val="0"/>
                      <w:divBdr>
                        <w:top w:val="none" w:sz="0" w:space="0" w:color="auto"/>
                        <w:left w:val="none" w:sz="0" w:space="0" w:color="auto"/>
                        <w:bottom w:val="none" w:sz="0" w:space="0" w:color="auto"/>
                        <w:right w:val="none" w:sz="0" w:space="0" w:color="auto"/>
                      </w:divBdr>
                    </w:div>
                  </w:divsChild>
                </w:div>
                <w:div w:id="858471262">
                  <w:marLeft w:val="0"/>
                  <w:marRight w:val="0"/>
                  <w:marTop w:val="0"/>
                  <w:marBottom w:val="0"/>
                  <w:divBdr>
                    <w:top w:val="none" w:sz="0" w:space="0" w:color="auto"/>
                    <w:left w:val="none" w:sz="0" w:space="0" w:color="auto"/>
                    <w:bottom w:val="none" w:sz="0" w:space="0" w:color="auto"/>
                    <w:right w:val="none" w:sz="0" w:space="0" w:color="auto"/>
                  </w:divBdr>
                  <w:divsChild>
                    <w:div w:id="1025980291">
                      <w:marLeft w:val="0"/>
                      <w:marRight w:val="0"/>
                      <w:marTop w:val="0"/>
                      <w:marBottom w:val="0"/>
                      <w:divBdr>
                        <w:top w:val="none" w:sz="0" w:space="0" w:color="auto"/>
                        <w:left w:val="none" w:sz="0" w:space="0" w:color="auto"/>
                        <w:bottom w:val="none" w:sz="0" w:space="0" w:color="auto"/>
                        <w:right w:val="none" w:sz="0" w:space="0" w:color="auto"/>
                      </w:divBdr>
                    </w:div>
                  </w:divsChild>
                </w:div>
                <w:div w:id="861436766">
                  <w:marLeft w:val="0"/>
                  <w:marRight w:val="0"/>
                  <w:marTop w:val="0"/>
                  <w:marBottom w:val="0"/>
                  <w:divBdr>
                    <w:top w:val="none" w:sz="0" w:space="0" w:color="auto"/>
                    <w:left w:val="none" w:sz="0" w:space="0" w:color="auto"/>
                    <w:bottom w:val="none" w:sz="0" w:space="0" w:color="auto"/>
                    <w:right w:val="none" w:sz="0" w:space="0" w:color="auto"/>
                  </w:divBdr>
                  <w:divsChild>
                    <w:div w:id="1050805653">
                      <w:marLeft w:val="0"/>
                      <w:marRight w:val="0"/>
                      <w:marTop w:val="0"/>
                      <w:marBottom w:val="0"/>
                      <w:divBdr>
                        <w:top w:val="none" w:sz="0" w:space="0" w:color="auto"/>
                        <w:left w:val="none" w:sz="0" w:space="0" w:color="auto"/>
                        <w:bottom w:val="none" w:sz="0" w:space="0" w:color="auto"/>
                        <w:right w:val="none" w:sz="0" w:space="0" w:color="auto"/>
                      </w:divBdr>
                    </w:div>
                  </w:divsChild>
                </w:div>
                <w:div w:id="870844188">
                  <w:marLeft w:val="0"/>
                  <w:marRight w:val="0"/>
                  <w:marTop w:val="0"/>
                  <w:marBottom w:val="0"/>
                  <w:divBdr>
                    <w:top w:val="none" w:sz="0" w:space="0" w:color="auto"/>
                    <w:left w:val="none" w:sz="0" w:space="0" w:color="auto"/>
                    <w:bottom w:val="none" w:sz="0" w:space="0" w:color="auto"/>
                    <w:right w:val="none" w:sz="0" w:space="0" w:color="auto"/>
                  </w:divBdr>
                  <w:divsChild>
                    <w:div w:id="4291424">
                      <w:marLeft w:val="0"/>
                      <w:marRight w:val="0"/>
                      <w:marTop w:val="0"/>
                      <w:marBottom w:val="0"/>
                      <w:divBdr>
                        <w:top w:val="none" w:sz="0" w:space="0" w:color="auto"/>
                        <w:left w:val="none" w:sz="0" w:space="0" w:color="auto"/>
                        <w:bottom w:val="none" w:sz="0" w:space="0" w:color="auto"/>
                        <w:right w:val="none" w:sz="0" w:space="0" w:color="auto"/>
                      </w:divBdr>
                    </w:div>
                  </w:divsChild>
                </w:div>
                <w:div w:id="872226305">
                  <w:marLeft w:val="0"/>
                  <w:marRight w:val="0"/>
                  <w:marTop w:val="0"/>
                  <w:marBottom w:val="0"/>
                  <w:divBdr>
                    <w:top w:val="none" w:sz="0" w:space="0" w:color="auto"/>
                    <w:left w:val="none" w:sz="0" w:space="0" w:color="auto"/>
                    <w:bottom w:val="none" w:sz="0" w:space="0" w:color="auto"/>
                    <w:right w:val="none" w:sz="0" w:space="0" w:color="auto"/>
                  </w:divBdr>
                  <w:divsChild>
                    <w:div w:id="888961007">
                      <w:marLeft w:val="0"/>
                      <w:marRight w:val="0"/>
                      <w:marTop w:val="0"/>
                      <w:marBottom w:val="0"/>
                      <w:divBdr>
                        <w:top w:val="none" w:sz="0" w:space="0" w:color="auto"/>
                        <w:left w:val="none" w:sz="0" w:space="0" w:color="auto"/>
                        <w:bottom w:val="none" w:sz="0" w:space="0" w:color="auto"/>
                        <w:right w:val="none" w:sz="0" w:space="0" w:color="auto"/>
                      </w:divBdr>
                    </w:div>
                  </w:divsChild>
                </w:div>
                <w:div w:id="883714204">
                  <w:marLeft w:val="0"/>
                  <w:marRight w:val="0"/>
                  <w:marTop w:val="0"/>
                  <w:marBottom w:val="0"/>
                  <w:divBdr>
                    <w:top w:val="none" w:sz="0" w:space="0" w:color="auto"/>
                    <w:left w:val="none" w:sz="0" w:space="0" w:color="auto"/>
                    <w:bottom w:val="none" w:sz="0" w:space="0" w:color="auto"/>
                    <w:right w:val="none" w:sz="0" w:space="0" w:color="auto"/>
                  </w:divBdr>
                  <w:divsChild>
                    <w:div w:id="1808816676">
                      <w:marLeft w:val="0"/>
                      <w:marRight w:val="0"/>
                      <w:marTop w:val="0"/>
                      <w:marBottom w:val="0"/>
                      <w:divBdr>
                        <w:top w:val="none" w:sz="0" w:space="0" w:color="auto"/>
                        <w:left w:val="none" w:sz="0" w:space="0" w:color="auto"/>
                        <w:bottom w:val="none" w:sz="0" w:space="0" w:color="auto"/>
                        <w:right w:val="none" w:sz="0" w:space="0" w:color="auto"/>
                      </w:divBdr>
                    </w:div>
                  </w:divsChild>
                </w:div>
                <w:div w:id="904493551">
                  <w:marLeft w:val="0"/>
                  <w:marRight w:val="0"/>
                  <w:marTop w:val="0"/>
                  <w:marBottom w:val="0"/>
                  <w:divBdr>
                    <w:top w:val="none" w:sz="0" w:space="0" w:color="auto"/>
                    <w:left w:val="none" w:sz="0" w:space="0" w:color="auto"/>
                    <w:bottom w:val="none" w:sz="0" w:space="0" w:color="auto"/>
                    <w:right w:val="none" w:sz="0" w:space="0" w:color="auto"/>
                  </w:divBdr>
                  <w:divsChild>
                    <w:div w:id="1205287371">
                      <w:marLeft w:val="0"/>
                      <w:marRight w:val="0"/>
                      <w:marTop w:val="0"/>
                      <w:marBottom w:val="0"/>
                      <w:divBdr>
                        <w:top w:val="none" w:sz="0" w:space="0" w:color="auto"/>
                        <w:left w:val="none" w:sz="0" w:space="0" w:color="auto"/>
                        <w:bottom w:val="none" w:sz="0" w:space="0" w:color="auto"/>
                        <w:right w:val="none" w:sz="0" w:space="0" w:color="auto"/>
                      </w:divBdr>
                    </w:div>
                  </w:divsChild>
                </w:div>
                <w:div w:id="919215431">
                  <w:marLeft w:val="0"/>
                  <w:marRight w:val="0"/>
                  <w:marTop w:val="0"/>
                  <w:marBottom w:val="0"/>
                  <w:divBdr>
                    <w:top w:val="none" w:sz="0" w:space="0" w:color="auto"/>
                    <w:left w:val="none" w:sz="0" w:space="0" w:color="auto"/>
                    <w:bottom w:val="none" w:sz="0" w:space="0" w:color="auto"/>
                    <w:right w:val="none" w:sz="0" w:space="0" w:color="auto"/>
                  </w:divBdr>
                  <w:divsChild>
                    <w:div w:id="1351949178">
                      <w:marLeft w:val="0"/>
                      <w:marRight w:val="0"/>
                      <w:marTop w:val="0"/>
                      <w:marBottom w:val="0"/>
                      <w:divBdr>
                        <w:top w:val="none" w:sz="0" w:space="0" w:color="auto"/>
                        <w:left w:val="none" w:sz="0" w:space="0" w:color="auto"/>
                        <w:bottom w:val="none" w:sz="0" w:space="0" w:color="auto"/>
                        <w:right w:val="none" w:sz="0" w:space="0" w:color="auto"/>
                      </w:divBdr>
                    </w:div>
                  </w:divsChild>
                </w:div>
                <w:div w:id="926616190">
                  <w:marLeft w:val="0"/>
                  <w:marRight w:val="0"/>
                  <w:marTop w:val="0"/>
                  <w:marBottom w:val="0"/>
                  <w:divBdr>
                    <w:top w:val="none" w:sz="0" w:space="0" w:color="auto"/>
                    <w:left w:val="none" w:sz="0" w:space="0" w:color="auto"/>
                    <w:bottom w:val="none" w:sz="0" w:space="0" w:color="auto"/>
                    <w:right w:val="none" w:sz="0" w:space="0" w:color="auto"/>
                  </w:divBdr>
                  <w:divsChild>
                    <w:div w:id="284431276">
                      <w:marLeft w:val="0"/>
                      <w:marRight w:val="0"/>
                      <w:marTop w:val="0"/>
                      <w:marBottom w:val="0"/>
                      <w:divBdr>
                        <w:top w:val="none" w:sz="0" w:space="0" w:color="auto"/>
                        <w:left w:val="none" w:sz="0" w:space="0" w:color="auto"/>
                        <w:bottom w:val="none" w:sz="0" w:space="0" w:color="auto"/>
                        <w:right w:val="none" w:sz="0" w:space="0" w:color="auto"/>
                      </w:divBdr>
                    </w:div>
                  </w:divsChild>
                </w:div>
                <w:div w:id="944574777">
                  <w:marLeft w:val="0"/>
                  <w:marRight w:val="0"/>
                  <w:marTop w:val="0"/>
                  <w:marBottom w:val="0"/>
                  <w:divBdr>
                    <w:top w:val="none" w:sz="0" w:space="0" w:color="auto"/>
                    <w:left w:val="none" w:sz="0" w:space="0" w:color="auto"/>
                    <w:bottom w:val="none" w:sz="0" w:space="0" w:color="auto"/>
                    <w:right w:val="none" w:sz="0" w:space="0" w:color="auto"/>
                  </w:divBdr>
                  <w:divsChild>
                    <w:div w:id="1099643779">
                      <w:marLeft w:val="0"/>
                      <w:marRight w:val="0"/>
                      <w:marTop w:val="0"/>
                      <w:marBottom w:val="0"/>
                      <w:divBdr>
                        <w:top w:val="none" w:sz="0" w:space="0" w:color="auto"/>
                        <w:left w:val="none" w:sz="0" w:space="0" w:color="auto"/>
                        <w:bottom w:val="none" w:sz="0" w:space="0" w:color="auto"/>
                        <w:right w:val="none" w:sz="0" w:space="0" w:color="auto"/>
                      </w:divBdr>
                    </w:div>
                  </w:divsChild>
                </w:div>
                <w:div w:id="945889415">
                  <w:marLeft w:val="0"/>
                  <w:marRight w:val="0"/>
                  <w:marTop w:val="0"/>
                  <w:marBottom w:val="0"/>
                  <w:divBdr>
                    <w:top w:val="none" w:sz="0" w:space="0" w:color="auto"/>
                    <w:left w:val="none" w:sz="0" w:space="0" w:color="auto"/>
                    <w:bottom w:val="none" w:sz="0" w:space="0" w:color="auto"/>
                    <w:right w:val="none" w:sz="0" w:space="0" w:color="auto"/>
                  </w:divBdr>
                  <w:divsChild>
                    <w:div w:id="367880137">
                      <w:marLeft w:val="0"/>
                      <w:marRight w:val="0"/>
                      <w:marTop w:val="0"/>
                      <w:marBottom w:val="0"/>
                      <w:divBdr>
                        <w:top w:val="none" w:sz="0" w:space="0" w:color="auto"/>
                        <w:left w:val="none" w:sz="0" w:space="0" w:color="auto"/>
                        <w:bottom w:val="none" w:sz="0" w:space="0" w:color="auto"/>
                        <w:right w:val="none" w:sz="0" w:space="0" w:color="auto"/>
                      </w:divBdr>
                    </w:div>
                  </w:divsChild>
                </w:div>
                <w:div w:id="954676183">
                  <w:marLeft w:val="0"/>
                  <w:marRight w:val="0"/>
                  <w:marTop w:val="0"/>
                  <w:marBottom w:val="0"/>
                  <w:divBdr>
                    <w:top w:val="none" w:sz="0" w:space="0" w:color="auto"/>
                    <w:left w:val="none" w:sz="0" w:space="0" w:color="auto"/>
                    <w:bottom w:val="none" w:sz="0" w:space="0" w:color="auto"/>
                    <w:right w:val="none" w:sz="0" w:space="0" w:color="auto"/>
                  </w:divBdr>
                  <w:divsChild>
                    <w:div w:id="1438522291">
                      <w:marLeft w:val="0"/>
                      <w:marRight w:val="0"/>
                      <w:marTop w:val="0"/>
                      <w:marBottom w:val="0"/>
                      <w:divBdr>
                        <w:top w:val="none" w:sz="0" w:space="0" w:color="auto"/>
                        <w:left w:val="none" w:sz="0" w:space="0" w:color="auto"/>
                        <w:bottom w:val="none" w:sz="0" w:space="0" w:color="auto"/>
                        <w:right w:val="none" w:sz="0" w:space="0" w:color="auto"/>
                      </w:divBdr>
                    </w:div>
                  </w:divsChild>
                </w:div>
                <w:div w:id="957370105">
                  <w:marLeft w:val="0"/>
                  <w:marRight w:val="0"/>
                  <w:marTop w:val="0"/>
                  <w:marBottom w:val="0"/>
                  <w:divBdr>
                    <w:top w:val="none" w:sz="0" w:space="0" w:color="auto"/>
                    <w:left w:val="none" w:sz="0" w:space="0" w:color="auto"/>
                    <w:bottom w:val="none" w:sz="0" w:space="0" w:color="auto"/>
                    <w:right w:val="none" w:sz="0" w:space="0" w:color="auto"/>
                  </w:divBdr>
                  <w:divsChild>
                    <w:div w:id="1431395239">
                      <w:marLeft w:val="0"/>
                      <w:marRight w:val="0"/>
                      <w:marTop w:val="0"/>
                      <w:marBottom w:val="0"/>
                      <w:divBdr>
                        <w:top w:val="none" w:sz="0" w:space="0" w:color="auto"/>
                        <w:left w:val="none" w:sz="0" w:space="0" w:color="auto"/>
                        <w:bottom w:val="none" w:sz="0" w:space="0" w:color="auto"/>
                        <w:right w:val="none" w:sz="0" w:space="0" w:color="auto"/>
                      </w:divBdr>
                    </w:div>
                  </w:divsChild>
                </w:div>
                <w:div w:id="958561303">
                  <w:marLeft w:val="0"/>
                  <w:marRight w:val="0"/>
                  <w:marTop w:val="0"/>
                  <w:marBottom w:val="0"/>
                  <w:divBdr>
                    <w:top w:val="none" w:sz="0" w:space="0" w:color="auto"/>
                    <w:left w:val="none" w:sz="0" w:space="0" w:color="auto"/>
                    <w:bottom w:val="none" w:sz="0" w:space="0" w:color="auto"/>
                    <w:right w:val="none" w:sz="0" w:space="0" w:color="auto"/>
                  </w:divBdr>
                  <w:divsChild>
                    <w:div w:id="1096173484">
                      <w:marLeft w:val="0"/>
                      <w:marRight w:val="0"/>
                      <w:marTop w:val="0"/>
                      <w:marBottom w:val="0"/>
                      <w:divBdr>
                        <w:top w:val="none" w:sz="0" w:space="0" w:color="auto"/>
                        <w:left w:val="none" w:sz="0" w:space="0" w:color="auto"/>
                        <w:bottom w:val="none" w:sz="0" w:space="0" w:color="auto"/>
                        <w:right w:val="none" w:sz="0" w:space="0" w:color="auto"/>
                      </w:divBdr>
                    </w:div>
                  </w:divsChild>
                </w:div>
                <w:div w:id="967784378">
                  <w:marLeft w:val="0"/>
                  <w:marRight w:val="0"/>
                  <w:marTop w:val="0"/>
                  <w:marBottom w:val="0"/>
                  <w:divBdr>
                    <w:top w:val="none" w:sz="0" w:space="0" w:color="auto"/>
                    <w:left w:val="none" w:sz="0" w:space="0" w:color="auto"/>
                    <w:bottom w:val="none" w:sz="0" w:space="0" w:color="auto"/>
                    <w:right w:val="none" w:sz="0" w:space="0" w:color="auto"/>
                  </w:divBdr>
                  <w:divsChild>
                    <w:div w:id="576403678">
                      <w:marLeft w:val="0"/>
                      <w:marRight w:val="0"/>
                      <w:marTop w:val="0"/>
                      <w:marBottom w:val="0"/>
                      <w:divBdr>
                        <w:top w:val="none" w:sz="0" w:space="0" w:color="auto"/>
                        <w:left w:val="none" w:sz="0" w:space="0" w:color="auto"/>
                        <w:bottom w:val="none" w:sz="0" w:space="0" w:color="auto"/>
                        <w:right w:val="none" w:sz="0" w:space="0" w:color="auto"/>
                      </w:divBdr>
                    </w:div>
                  </w:divsChild>
                </w:div>
                <w:div w:id="982274824">
                  <w:marLeft w:val="0"/>
                  <w:marRight w:val="0"/>
                  <w:marTop w:val="0"/>
                  <w:marBottom w:val="0"/>
                  <w:divBdr>
                    <w:top w:val="none" w:sz="0" w:space="0" w:color="auto"/>
                    <w:left w:val="none" w:sz="0" w:space="0" w:color="auto"/>
                    <w:bottom w:val="none" w:sz="0" w:space="0" w:color="auto"/>
                    <w:right w:val="none" w:sz="0" w:space="0" w:color="auto"/>
                  </w:divBdr>
                  <w:divsChild>
                    <w:div w:id="1280994069">
                      <w:marLeft w:val="0"/>
                      <w:marRight w:val="0"/>
                      <w:marTop w:val="0"/>
                      <w:marBottom w:val="0"/>
                      <w:divBdr>
                        <w:top w:val="none" w:sz="0" w:space="0" w:color="auto"/>
                        <w:left w:val="none" w:sz="0" w:space="0" w:color="auto"/>
                        <w:bottom w:val="none" w:sz="0" w:space="0" w:color="auto"/>
                        <w:right w:val="none" w:sz="0" w:space="0" w:color="auto"/>
                      </w:divBdr>
                    </w:div>
                  </w:divsChild>
                </w:div>
                <w:div w:id="995302933">
                  <w:marLeft w:val="0"/>
                  <w:marRight w:val="0"/>
                  <w:marTop w:val="0"/>
                  <w:marBottom w:val="0"/>
                  <w:divBdr>
                    <w:top w:val="none" w:sz="0" w:space="0" w:color="auto"/>
                    <w:left w:val="none" w:sz="0" w:space="0" w:color="auto"/>
                    <w:bottom w:val="none" w:sz="0" w:space="0" w:color="auto"/>
                    <w:right w:val="none" w:sz="0" w:space="0" w:color="auto"/>
                  </w:divBdr>
                  <w:divsChild>
                    <w:div w:id="1075474925">
                      <w:marLeft w:val="0"/>
                      <w:marRight w:val="0"/>
                      <w:marTop w:val="0"/>
                      <w:marBottom w:val="0"/>
                      <w:divBdr>
                        <w:top w:val="none" w:sz="0" w:space="0" w:color="auto"/>
                        <w:left w:val="none" w:sz="0" w:space="0" w:color="auto"/>
                        <w:bottom w:val="none" w:sz="0" w:space="0" w:color="auto"/>
                        <w:right w:val="none" w:sz="0" w:space="0" w:color="auto"/>
                      </w:divBdr>
                    </w:div>
                  </w:divsChild>
                </w:div>
                <w:div w:id="1004086047">
                  <w:marLeft w:val="0"/>
                  <w:marRight w:val="0"/>
                  <w:marTop w:val="0"/>
                  <w:marBottom w:val="0"/>
                  <w:divBdr>
                    <w:top w:val="none" w:sz="0" w:space="0" w:color="auto"/>
                    <w:left w:val="none" w:sz="0" w:space="0" w:color="auto"/>
                    <w:bottom w:val="none" w:sz="0" w:space="0" w:color="auto"/>
                    <w:right w:val="none" w:sz="0" w:space="0" w:color="auto"/>
                  </w:divBdr>
                  <w:divsChild>
                    <w:div w:id="73822531">
                      <w:marLeft w:val="0"/>
                      <w:marRight w:val="0"/>
                      <w:marTop w:val="0"/>
                      <w:marBottom w:val="0"/>
                      <w:divBdr>
                        <w:top w:val="none" w:sz="0" w:space="0" w:color="auto"/>
                        <w:left w:val="none" w:sz="0" w:space="0" w:color="auto"/>
                        <w:bottom w:val="none" w:sz="0" w:space="0" w:color="auto"/>
                        <w:right w:val="none" w:sz="0" w:space="0" w:color="auto"/>
                      </w:divBdr>
                    </w:div>
                  </w:divsChild>
                </w:div>
                <w:div w:id="1004628615">
                  <w:marLeft w:val="0"/>
                  <w:marRight w:val="0"/>
                  <w:marTop w:val="0"/>
                  <w:marBottom w:val="0"/>
                  <w:divBdr>
                    <w:top w:val="none" w:sz="0" w:space="0" w:color="auto"/>
                    <w:left w:val="none" w:sz="0" w:space="0" w:color="auto"/>
                    <w:bottom w:val="none" w:sz="0" w:space="0" w:color="auto"/>
                    <w:right w:val="none" w:sz="0" w:space="0" w:color="auto"/>
                  </w:divBdr>
                  <w:divsChild>
                    <w:div w:id="2027519196">
                      <w:marLeft w:val="0"/>
                      <w:marRight w:val="0"/>
                      <w:marTop w:val="0"/>
                      <w:marBottom w:val="0"/>
                      <w:divBdr>
                        <w:top w:val="none" w:sz="0" w:space="0" w:color="auto"/>
                        <w:left w:val="none" w:sz="0" w:space="0" w:color="auto"/>
                        <w:bottom w:val="none" w:sz="0" w:space="0" w:color="auto"/>
                        <w:right w:val="none" w:sz="0" w:space="0" w:color="auto"/>
                      </w:divBdr>
                    </w:div>
                  </w:divsChild>
                </w:div>
                <w:div w:id="1010521810">
                  <w:marLeft w:val="0"/>
                  <w:marRight w:val="0"/>
                  <w:marTop w:val="0"/>
                  <w:marBottom w:val="0"/>
                  <w:divBdr>
                    <w:top w:val="none" w:sz="0" w:space="0" w:color="auto"/>
                    <w:left w:val="none" w:sz="0" w:space="0" w:color="auto"/>
                    <w:bottom w:val="none" w:sz="0" w:space="0" w:color="auto"/>
                    <w:right w:val="none" w:sz="0" w:space="0" w:color="auto"/>
                  </w:divBdr>
                  <w:divsChild>
                    <w:div w:id="1162962442">
                      <w:marLeft w:val="0"/>
                      <w:marRight w:val="0"/>
                      <w:marTop w:val="0"/>
                      <w:marBottom w:val="0"/>
                      <w:divBdr>
                        <w:top w:val="none" w:sz="0" w:space="0" w:color="auto"/>
                        <w:left w:val="none" w:sz="0" w:space="0" w:color="auto"/>
                        <w:bottom w:val="none" w:sz="0" w:space="0" w:color="auto"/>
                        <w:right w:val="none" w:sz="0" w:space="0" w:color="auto"/>
                      </w:divBdr>
                    </w:div>
                  </w:divsChild>
                </w:div>
                <w:div w:id="1014191695">
                  <w:marLeft w:val="0"/>
                  <w:marRight w:val="0"/>
                  <w:marTop w:val="0"/>
                  <w:marBottom w:val="0"/>
                  <w:divBdr>
                    <w:top w:val="none" w:sz="0" w:space="0" w:color="auto"/>
                    <w:left w:val="none" w:sz="0" w:space="0" w:color="auto"/>
                    <w:bottom w:val="none" w:sz="0" w:space="0" w:color="auto"/>
                    <w:right w:val="none" w:sz="0" w:space="0" w:color="auto"/>
                  </w:divBdr>
                  <w:divsChild>
                    <w:div w:id="1401245603">
                      <w:marLeft w:val="0"/>
                      <w:marRight w:val="0"/>
                      <w:marTop w:val="0"/>
                      <w:marBottom w:val="0"/>
                      <w:divBdr>
                        <w:top w:val="none" w:sz="0" w:space="0" w:color="auto"/>
                        <w:left w:val="none" w:sz="0" w:space="0" w:color="auto"/>
                        <w:bottom w:val="none" w:sz="0" w:space="0" w:color="auto"/>
                        <w:right w:val="none" w:sz="0" w:space="0" w:color="auto"/>
                      </w:divBdr>
                    </w:div>
                  </w:divsChild>
                </w:div>
                <w:div w:id="1033725084">
                  <w:marLeft w:val="0"/>
                  <w:marRight w:val="0"/>
                  <w:marTop w:val="0"/>
                  <w:marBottom w:val="0"/>
                  <w:divBdr>
                    <w:top w:val="none" w:sz="0" w:space="0" w:color="auto"/>
                    <w:left w:val="none" w:sz="0" w:space="0" w:color="auto"/>
                    <w:bottom w:val="none" w:sz="0" w:space="0" w:color="auto"/>
                    <w:right w:val="none" w:sz="0" w:space="0" w:color="auto"/>
                  </w:divBdr>
                  <w:divsChild>
                    <w:div w:id="1679963211">
                      <w:marLeft w:val="0"/>
                      <w:marRight w:val="0"/>
                      <w:marTop w:val="0"/>
                      <w:marBottom w:val="0"/>
                      <w:divBdr>
                        <w:top w:val="none" w:sz="0" w:space="0" w:color="auto"/>
                        <w:left w:val="none" w:sz="0" w:space="0" w:color="auto"/>
                        <w:bottom w:val="none" w:sz="0" w:space="0" w:color="auto"/>
                        <w:right w:val="none" w:sz="0" w:space="0" w:color="auto"/>
                      </w:divBdr>
                    </w:div>
                  </w:divsChild>
                </w:div>
                <w:div w:id="1056734409">
                  <w:marLeft w:val="0"/>
                  <w:marRight w:val="0"/>
                  <w:marTop w:val="0"/>
                  <w:marBottom w:val="0"/>
                  <w:divBdr>
                    <w:top w:val="none" w:sz="0" w:space="0" w:color="auto"/>
                    <w:left w:val="none" w:sz="0" w:space="0" w:color="auto"/>
                    <w:bottom w:val="none" w:sz="0" w:space="0" w:color="auto"/>
                    <w:right w:val="none" w:sz="0" w:space="0" w:color="auto"/>
                  </w:divBdr>
                  <w:divsChild>
                    <w:div w:id="1390498043">
                      <w:marLeft w:val="0"/>
                      <w:marRight w:val="0"/>
                      <w:marTop w:val="0"/>
                      <w:marBottom w:val="0"/>
                      <w:divBdr>
                        <w:top w:val="none" w:sz="0" w:space="0" w:color="auto"/>
                        <w:left w:val="none" w:sz="0" w:space="0" w:color="auto"/>
                        <w:bottom w:val="none" w:sz="0" w:space="0" w:color="auto"/>
                        <w:right w:val="none" w:sz="0" w:space="0" w:color="auto"/>
                      </w:divBdr>
                    </w:div>
                  </w:divsChild>
                </w:div>
                <w:div w:id="1060439921">
                  <w:marLeft w:val="0"/>
                  <w:marRight w:val="0"/>
                  <w:marTop w:val="0"/>
                  <w:marBottom w:val="0"/>
                  <w:divBdr>
                    <w:top w:val="none" w:sz="0" w:space="0" w:color="auto"/>
                    <w:left w:val="none" w:sz="0" w:space="0" w:color="auto"/>
                    <w:bottom w:val="none" w:sz="0" w:space="0" w:color="auto"/>
                    <w:right w:val="none" w:sz="0" w:space="0" w:color="auto"/>
                  </w:divBdr>
                  <w:divsChild>
                    <w:div w:id="1942226389">
                      <w:marLeft w:val="0"/>
                      <w:marRight w:val="0"/>
                      <w:marTop w:val="0"/>
                      <w:marBottom w:val="0"/>
                      <w:divBdr>
                        <w:top w:val="none" w:sz="0" w:space="0" w:color="auto"/>
                        <w:left w:val="none" w:sz="0" w:space="0" w:color="auto"/>
                        <w:bottom w:val="none" w:sz="0" w:space="0" w:color="auto"/>
                        <w:right w:val="none" w:sz="0" w:space="0" w:color="auto"/>
                      </w:divBdr>
                    </w:div>
                  </w:divsChild>
                </w:div>
                <w:div w:id="1060515646">
                  <w:marLeft w:val="0"/>
                  <w:marRight w:val="0"/>
                  <w:marTop w:val="0"/>
                  <w:marBottom w:val="0"/>
                  <w:divBdr>
                    <w:top w:val="none" w:sz="0" w:space="0" w:color="auto"/>
                    <w:left w:val="none" w:sz="0" w:space="0" w:color="auto"/>
                    <w:bottom w:val="none" w:sz="0" w:space="0" w:color="auto"/>
                    <w:right w:val="none" w:sz="0" w:space="0" w:color="auto"/>
                  </w:divBdr>
                  <w:divsChild>
                    <w:div w:id="1977181957">
                      <w:marLeft w:val="0"/>
                      <w:marRight w:val="0"/>
                      <w:marTop w:val="0"/>
                      <w:marBottom w:val="0"/>
                      <w:divBdr>
                        <w:top w:val="none" w:sz="0" w:space="0" w:color="auto"/>
                        <w:left w:val="none" w:sz="0" w:space="0" w:color="auto"/>
                        <w:bottom w:val="none" w:sz="0" w:space="0" w:color="auto"/>
                        <w:right w:val="none" w:sz="0" w:space="0" w:color="auto"/>
                      </w:divBdr>
                    </w:div>
                  </w:divsChild>
                </w:div>
                <w:div w:id="1066759199">
                  <w:marLeft w:val="0"/>
                  <w:marRight w:val="0"/>
                  <w:marTop w:val="0"/>
                  <w:marBottom w:val="0"/>
                  <w:divBdr>
                    <w:top w:val="none" w:sz="0" w:space="0" w:color="auto"/>
                    <w:left w:val="none" w:sz="0" w:space="0" w:color="auto"/>
                    <w:bottom w:val="none" w:sz="0" w:space="0" w:color="auto"/>
                    <w:right w:val="none" w:sz="0" w:space="0" w:color="auto"/>
                  </w:divBdr>
                  <w:divsChild>
                    <w:div w:id="722365940">
                      <w:marLeft w:val="0"/>
                      <w:marRight w:val="0"/>
                      <w:marTop w:val="0"/>
                      <w:marBottom w:val="0"/>
                      <w:divBdr>
                        <w:top w:val="none" w:sz="0" w:space="0" w:color="auto"/>
                        <w:left w:val="none" w:sz="0" w:space="0" w:color="auto"/>
                        <w:bottom w:val="none" w:sz="0" w:space="0" w:color="auto"/>
                        <w:right w:val="none" w:sz="0" w:space="0" w:color="auto"/>
                      </w:divBdr>
                    </w:div>
                  </w:divsChild>
                </w:div>
                <w:div w:id="1070079931">
                  <w:marLeft w:val="0"/>
                  <w:marRight w:val="0"/>
                  <w:marTop w:val="0"/>
                  <w:marBottom w:val="0"/>
                  <w:divBdr>
                    <w:top w:val="none" w:sz="0" w:space="0" w:color="auto"/>
                    <w:left w:val="none" w:sz="0" w:space="0" w:color="auto"/>
                    <w:bottom w:val="none" w:sz="0" w:space="0" w:color="auto"/>
                    <w:right w:val="none" w:sz="0" w:space="0" w:color="auto"/>
                  </w:divBdr>
                  <w:divsChild>
                    <w:div w:id="1880313419">
                      <w:marLeft w:val="0"/>
                      <w:marRight w:val="0"/>
                      <w:marTop w:val="0"/>
                      <w:marBottom w:val="0"/>
                      <w:divBdr>
                        <w:top w:val="none" w:sz="0" w:space="0" w:color="auto"/>
                        <w:left w:val="none" w:sz="0" w:space="0" w:color="auto"/>
                        <w:bottom w:val="none" w:sz="0" w:space="0" w:color="auto"/>
                        <w:right w:val="none" w:sz="0" w:space="0" w:color="auto"/>
                      </w:divBdr>
                    </w:div>
                  </w:divsChild>
                </w:div>
                <w:div w:id="1074232487">
                  <w:marLeft w:val="0"/>
                  <w:marRight w:val="0"/>
                  <w:marTop w:val="0"/>
                  <w:marBottom w:val="0"/>
                  <w:divBdr>
                    <w:top w:val="none" w:sz="0" w:space="0" w:color="auto"/>
                    <w:left w:val="none" w:sz="0" w:space="0" w:color="auto"/>
                    <w:bottom w:val="none" w:sz="0" w:space="0" w:color="auto"/>
                    <w:right w:val="none" w:sz="0" w:space="0" w:color="auto"/>
                  </w:divBdr>
                  <w:divsChild>
                    <w:div w:id="504900893">
                      <w:marLeft w:val="0"/>
                      <w:marRight w:val="0"/>
                      <w:marTop w:val="0"/>
                      <w:marBottom w:val="0"/>
                      <w:divBdr>
                        <w:top w:val="none" w:sz="0" w:space="0" w:color="auto"/>
                        <w:left w:val="none" w:sz="0" w:space="0" w:color="auto"/>
                        <w:bottom w:val="none" w:sz="0" w:space="0" w:color="auto"/>
                        <w:right w:val="none" w:sz="0" w:space="0" w:color="auto"/>
                      </w:divBdr>
                    </w:div>
                  </w:divsChild>
                </w:div>
                <w:div w:id="1075013477">
                  <w:marLeft w:val="0"/>
                  <w:marRight w:val="0"/>
                  <w:marTop w:val="0"/>
                  <w:marBottom w:val="0"/>
                  <w:divBdr>
                    <w:top w:val="none" w:sz="0" w:space="0" w:color="auto"/>
                    <w:left w:val="none" w:sz="0" w:space="0" w:color="auto"/>
                    <w:bottom w:val="none" w:sz="0" w:space="0" w:color="auto"/>
                    <w:right w:val="none" w:sz="0" w:space="0" w:color="auto"/>
                  </w:divBdr>
                  <w:divsChild>
                    <w:div w:id="483468382">
                      <w:marLeft w:val="0"/>
                      <w:marRight w:val="0"/>
                      <w:marTop w:val="0"/>
                      <w:marBottom w:val="0"/>
                      <w:divBdr>
                        <w:top w:val="none" w:sz="0" w:space="0" w:color="auto"/>
                        <w:left w:val="none" w:sz="0" w:space="0" w:color="auto"/>
                        <w:bottom w:val="none" w:sz="0" w:space="0" w:color="auto"/>
                        <w:right w:val="none" w:sz="0" w:space="0" w:color="auto"/>
                      </w:divBdr>
                    </w:div>
                  </w:divsChild>
                </w:div>
                <w:div w:id="1090005487">
                  <w:marLeft w:val="0"/>
                  <w:marRight w:val="0"/>
                  <w:marTop w:val="0"/>
                  <w:marBottom w:val="0"/>
                  <w:divBdr>
                    <w:top w:val="none" w:sz="0" w:space="0" w:color="auto"/>
                    <w:left w:val="none" w:sz="0" w:space="0" w:color="auto"/>
                    <w:bottom w:val="none" w:sz="0" w:space="0" w:color="auto"/>
                    <w:right w:val="none" w:sz="0" w:space="0" w:color="auto"/>
                  </w:divBdr>
                  <w:divsChild>
                    <w:div w:id="2011830025">
                      <w:marLeft w:val="0"/>
                      <w:marRight w:val="0"/>
                      <w:marTop w:val="0"/>
                      <w:marBottom w:val="0"/>
                      <w:divBdr>
                        <w:top w:val="none" w:sz="0" w:space="0" w:color="auto"/>
                        <w:left w:val="none" w:sz="0" w:space="0" w:color="auto"/>
                        <w:bottom w:val="none" w:sz="0" w:space="0" w:color="auto"/>
                        <w:right w:val="none" w:sz="0" w:space="0" w:color="auto"/>
                      </w:divBdr>
                    </w:div>
                  </w:divsChild>
                </w:div>
                <w:div w:id="1111432996">
                  <w:marLeft w:val="0"/>
                  <w:marRight w:val="0"/>
                  <w:marTop w:val="0"/>
                  <w:marBottom w:val="0"/>
                  <w:divBdr>
                    <w:top w:val="none" w:sz="0" w:space="0" w:color="auto"/>
                    <w:left w:val="none" w:sz="0" w:space="0" w:color="auto"/>
                    <w:bottom w:val="none" w:sz="0" w:space="0" w:color="auto"/>
                    <w:right w:val="none" w:sz="0" w:space="0" w:color="auto"/>
                  </w:divBdr>
                  <w:divsChild>
                    <w:div w:id="1976063003">
                      <w:marLeft w:val="0"/>
                      <w:marRight w:val="0"/>
                      <w:marTop w:val="0"/>
                      <w:marBottom w:val="0"/>
                      <w:divBdr>
                        <w:top w:val="none" w:sz="0" w:space="0" w:color="auto"/>
                        <w:left w:val="none" w:sz="0" w:space="0" w:color="auto"/>
                        <w:bottom w:val="none" w:sz="0" w:space="0" w:color="auto"/>
                        <w:right w:val="none" w:sz="0" w:space="0" w:color="auto"/>
                      </w:divBdr>
                    </w:div>
                  </w:divsChild>
                </w:div>
                <w:div w:id="1123306441">
                  <w:marLeft w:val="0"/>
                  <w:marRight w:val="0"/>
                  <w:marTop w:val="0"/>
                  <w:marBottom w:val="0"/>
                  <w:divBdr>
                    <w:top w:val="none" w:sz="0" w:space="0" w:color="auto"/>
                    <w:left w:val="none" w:sz="0" w:space="0" w:color="auto"/>
                    <w:bottom w:val="none" w:sz="0" w:space="0" w:color="auto"/>
                    <w:right w:val="none" w:sz="0" w:space="0" w:color="auto"/>
                  </w:divBdr>
                  <w:divsChild>
                    <w:div w:id="11957785">
                      <w:marLeft w:val="0"/>
                      <w:marRight w:val="0"/>
                      <w:marTop w:val="0"/>
                      <w:marBottom w:val="0"/>
                      <w:divBdr>
                        <w:top w:val="none" w:sz="0" w:space="0" w:color="auto"/>
                        <w:left w:val="none" w:sz="0" w:space="0" w:color="auto"/>
                        <w:bottom w:val="none" w:sz="0" w:space="0" w:color="auto"/>
                        <w:right w:val="none" w:sz="0" w:space="0" w:color="auto"/>
                      </w:divBdr>
                    </w:div>
                  </w:divsChild>
                </w:div>
                <w:div w:id="1123500600">
                  <w:marLeft w:val="0"/>
                  <w:marRight w:val="0"/>
                  <w:marTop w:val="0"/>
                  <w:marBottom w:val="0"/>
                  <w:divBdr>
                    <w:top w:val="none" w:sz="0" w:space="0" w:color="auto"/>
                    <w:left w:val="none" w:sz="0" w:space="0" w:color="auto"/>
                    <w:bottom w:val="none" w:sz="0" w:space="0" w:color="auto"/>
                    <w:right w:val="none" w:sz="0" w:space="0" w:color="auto"/>
                  </w:divBdr>
                  <w:divsChild>
                    <w:div w:id="1626158606">
                      <w:marLeft w:val="0"/>
                      <w:marRight w:val="0"/>
                      <w:marTop w:val="0"/>
                      <w:marBottom w:val="0"/>
                      <w:divBdr>
                        <w:top w:val="none" w:sz="0" w:space="0" w:color="auto"/>
                        <w:left w:val="none" w:sz="0" w:space="0" w:color="auto"/>
                        <w:bottom w:val="none" w:sz="0" w:space="0" w:color="auto"/>
                        <w:right w:val="none" w:sz="0" w:space="0" w:color="auto"/>
                      </w:divBdr>
                    </w:div>
                  </w:divsChild>
                </w:div>
                <w:div w:id="1126583898">
                  <w:marLeft w:val="0"/>
                  <w:marRight w:val="0"/>
                  <w:marTop w:val="0"/>
                  <w:marBottom w:val="0"/>
                  <w:divBdr>
                    <w:top w:val="none" w:sz="0" w:space="0" w:color="auto"/>
                    <w:left w:val="none" w:sz="0" w:space="0" w:color="auto"/>
                    <w:bottom w:val="none" w:sz="0" w:space="0" w:color="auto"/>
                    <w:right w:val="none" w:sz="0" w:space="0" w:color="auto"/>
                  </w:divBdr>
                  <w:divsChild>
                    <w:div w:id="1552107080">
                      <w:marLeft w:val="0"/>
                      <w:marRight w:val="0"/>
                      <w:marTop w:val="0"/>
                      <w:marBottom w:val="0"/>
                      <w:divBdr>
                        <w:top w:val="none" w:sz="0" w:space="0" w:color="auto"/>
                        <w:left w:val="none" w:sz="0" w:space="0" w:color="auto"/>
                        <w:bottom w:val="none" w:sz="0" w:space="0" w:color="auto"/>
                        <w:right w:val="none" w:sz="0" w:space="0" w:color="auto"/>
                      </w:divBdr>
                    </w:div>
                  </w:divsChild>
                </w:div>
                <w:div w:id="1135827821">
                  <w:marLeft w:val="0"/>
                  <w:marRight w:val="0"/>
                  <w:marTop w:val="0"/>
                  <w:marBottom w:val="0"/>
                  <w:divBdr>
                    <w:top w:val="none" w:sz="0" w:space="0" w:color="auto"/>
                    <w:left w:val="none" w:sz="0" w:space="0" w:color="auto"/>
                    <w:bottom w:val="none" w:sz="0" w:space="0" w:color="auto"/>
                    <w:right w:val="none" w:sz="0" w:space="0" w:color="auto"/>
                  </w:divBdr>
                  <w:divsChild>
                    <w:div w:id="504982234">
                      <w:marLeft w:val="0"/>
                      <w:marRight w:val="0"/>
                      <w:marTop w:val="0"/>
                      <w:marBottom w:val="0"/>
                      <w:divBdr>
                        <w:top w:val="none" w:sz="0" w:space="0" w:color="auto"/>
                        <w:left w:val="none" w:sz="0" w:space="0" w:color="auto"/>
                        <w:bottom w:val="none" w:sz="0" w:space="0" w:color="auto"/>
                        <w:right w:val="none" w:sz="0" w:space="0" w:color="auto"/>
                      </w:divBdr>
                    </w:div>
                  </w:divsChild>
                </w:div>
                <w:div w:id="1144543385">
                  <w:marLeft w:val="0"/>
                  <w:marRight w:val="0"/>
                  <w:marTop w:val="0"/>
                  <w:marBottom w:val="0"/>
                  <w:divBdr>
                    <w:top w:val="none" w:sz="0" w:space="0" w:color="auto"/>
                    <w:left w:val="none" w:sz="0" w:space="0" w:color="auto"/>
                    <w:bottom w:val="none" w:sz="0" w:space="0" w:color="auto"/>
                    <w:right w:val="none" w:sz="0" w:space="0" w:color="auto"/>
                  </w:divBdr>
                  <w:divsChild>
                    <w:div w:id="1339695485">
                      <w:marLeft w:val="0"/>
                      <w:marRight w:val="0"/>
                      <w:marTop w:val="0"/>
                      <w:marBottom w:val="0"/>
                      <w:divBdr>
                        <w:top w:val="none" w:sz="0" w:space="0" w:color="auto"/>
                        <w:left w:val="none" w:sz="0" w:space="0" w:color="auto"/>
                        <w:bottom w:val="none" w:sz="0" w:space="0" w:color="auto"/>
                        <w:right w:val="none" w:sz="0" w:space="0" w:color="auto"/>
                      </w:divBdr>
                    </w:div>
                  </w:divsChild>
                </w:div>
                <w:div w:id="1148281239">
                  <w:marLeft w:val="0"/>
                  <w:marRight w:val="0"/>
                  <w:marTop w:val="0"/>
                  <w:marBottom w:val="0"/>
                  <w:divBdr>
                    <w:top w:val="none" w:sz="0" w:space="0" w:color="auto"/>
                    <w:left w:val="none" w:sz="0" w:space="0" w:color="auto"/>
                    <w:bottom w:val="none" w:sz="0" w:space="0" w:color="auto"/>
                    <w:right w:val="none" w:sz="0" w:space="0" w:color="auto"/>
                  </w:divBdr>
                  <w:divsChild>
                    <w:div w:id="1636980327">
                      <w:marLeft w:val="0"/>
                      <w:marRight w:val="0"/>
                      <w:marTop w:val="0"/>
                      <w:marBottom w:val="0"/>
                      <w:divBdr>
                        <w:top w:val="none" w:sz="0" w:space="0" w:color="auto"/>
                        <w:left w:val="none" w:sz="0" w:space="0" w:color="auto"/>
                        <w:bottom w:val="none" w:sz="0" w:space="0" w:color="auto"/>
                        <w:right w:val="none" w:sz="0" w:space="0" w:color="auto"/>
                      </w:divBdr>
                    </w:div>
                  </w:divsChild>
                </w:div>
                <w:div w:id="1150051600">
                  <w:marLeft w:val="0"/>
                  <w:marRight w:val="0"/>
                  <w:marTop w:val="0"/>
                  <w:marBottom w:val="0"/>
                  <w:divBdr>
                    <w:top w:val="none" w:sz="0" w:space="0" w:color="auto"/>
                    <w:left w:val="none" w:sz="0" w:space="0" w:color="auto"/>
                    <w:bottom w:val="none" w:sz="0" w:space="0" w:color="auto"/>
                    <w:right w:val="none" w:sz="0" w:space="0" w:color="auto"/>
                  </w:divBdr>
                  <w:divsChild>
                    <w:div w:id="975448746">
                      <w:marLeft w:val="0"/>
                      <w:marRight w:val="0"/>
                      <w:marTop w:val="0"/>
                      <w:marBottom w:val="0"/>
                      <w:divBdr>
                        <w:top w:val="none" w:sz="0" w:space="0" w:color="auto"/>
                        <w:left w:val="none" w:sz="0" w:space="0" w:color="auto"/>
                        <w:bottom w:val="none" w:sz="0" w:space="0" w:color="auto"/>
                        <w:right w:val="none" w:sz="0" w:space="0" w:color="auto"/>
                      </w:divBdr>
                    </w:div>
                  </w:divsChild>
                </w:div>
                <w:div w:id="1154837325">
                  <w:marLeft w:val="0"/>
                  <w:marRight w:val="0"/>
                  <w:marTop w:val="0"/>
                  <w:marBottom w:val="0"/>
                  <w:divBdr>
                    <w:top w:val="none" w:sz="0" w:space="0" w:color="auto"/>
                    <w:left w:val="none" w:sz="0" w:space="0" w:color="auto"/>
                    <w:bottom w:val="none" w:sz="0" w:space="0" w:color="auto"/>
                    <w:right w:val="none" w:sz="0" w:space="0" w:color="auto"/>
                  </w:divBdr>
                  <w:divsChild>
                    <w:div w:id="1899241819">
                      <w:marLeft w:val="0"/>
                      <w:marRight w:val="0"/>
                      <w:marTop w:val="0"/>
                      <w:marBottom w:val="0"/>
                      <w:divBdr>
                        <w:top w:val="none" w:sz="0" w:space="0" w:color="auto"/>
                        <w:left w:val="none" w:sz="0" w:space="0" w:color="auto"/>
                        <w:bottom w:val="none" w:sz="0" w:space="0" w:color="auto"/>
                        <w:right w:val="none" w:sz="0" w:space="0" w:color="auto"/>
                      </w:divBdr>
                    </w:div>
                  </w:divsChild>
                </w:div>
                <w:div w:id="1158498987">
                  <w:marLeft w:val="0"/>
                  <w:marRight w:val="0"/>
                  <w:marTop w:val="0"/>
                  <w:marBottom w:val="0"/>
                  <w:divBdr>
                    <w:top w:val="none" w:sz="0" w:space="0" w:color="auto"/>
                    <w:left w:val="none" w:sz="0" w:space="0" w:color="auto"/>
                    <w:bottom w:val="none" w:sz="0" w:space="0" w:color="auto"/>
                    <w:right w:val="none" w:sz="0" w:space="0" w:color="auto"/>
                  </w:divBdr>
                  <w:divsChild>
                    <w:div w:id="1871381416">
                      <w:marLeft w:val="0"/>
                      <w:marRight w:val="0"/>
                      <w:marTop w:val="0"/>
                      <w:marBottom w:val="0"/>
                      <w:divBdr>
                        <w:top w:val="none" w:sz="0" w:space="0" w:color="auto"/>
                        <w:left w:val="none" w:sz="0" w:space="0" w:color="auto"/>
                        <w:bottom w:val="none" w:sz="0" w:space="0" w:color="auto"/>
                        <w:right w:val="none" w:sz="0" w:space="0" w:color="auto"/>
                      </w:divBdr>
                    </w:div>
                  </w:divsChild>
                </w:div>
                <w:div w:id="1163354485">
                  <w:marLeft w:val="0"/>
                  <w:marRight w:val="0"/>
                  <w:marTop w:val="0"/>
                  <w:marBottom w:val="0"/>
                  <w:divBdr>
                    <w:top w:val="none" w:sz="0" w:space="0" w:color="auto"/>
                    <w:left w:val="none" w:sz="0" w:space="0" w:color="auto"/>
                    <w:bottom w:val="none" w:sz="0" w:space="0" w:color="auto"/>
                    <w:right w:val="none" w:sz="0" w:space="0" w:color="auto"/>
                  </w:divBdr>
                  <w:divsChild>
                    <w:div w:id="1520461216">
                      <w:marLeft w:val="0"/>
                      <w:marRight w:val="0"/>
                      <w:marTop w:val="0"/>
                      <w:marBottom w:val="0"/>
                      <w:divBdr>
                        <w:top w:val="none" w:sz="0" w:space="0" w:color="auto"/>
                        <w:left w:val="none" w:sz="0" w:space="0" w:color="auto"/>
                        <w:bottom w:val="none" w:sz="0" w:space="0" w:color="auto"/>
                        <w:right w:val="none" w:sz="0" w:space="0" w:color="auto"/>
                      </w:divBdr>
                    </w:div>
                  </w:divsChild>
                </w:div>
                <w:div w:id="1166170981">
                  <w:marLeft w:val="0"/>
                  <w:marRight w:val="0"/>
                  <w:marTop w:val="0"/>
                  <w:marBottom w:val="0"/>
                  <w:divBdr>
                    <w:top w:val="none" w:sz="0" w:space="0" w:color="auto"/>
                    <w:left w:val="none" w:sz="0" w:space="0" w:color="auto"/>
                    <w:bottom w:val="none" w:sz="0" w:space="0" w:color="auto"/>
                    <w:right w:val="none" w:sz="0" w:space="0" w:color="auto"/>
                  </w:divBdr>
                  <w:divsChild>
                    <w:div w:id="1830976609">
                      <w:marLeft w:val="0"/>
                      <w:marRight w:val="0"/>
                      <w:marTop w:val="0"/>
                      <w:marBottom w:val="0"/>
                      <w:divBdr>
                        <w:top w:val="none" w:sz="0" w:space="0" w:color="auto"/>
                        <w:left w:val="none" w:sz="0" w:space="0" w:color="auto"/>
                        <w:bottom w:val="none" w:sz="0" w:space="0" w:color="auto"/>
                        <w:right w:val="none" w:sz="0" w:space="0" w:color="auto"/>
                      </w:divBdr>
                    </w:div>
                  </w:divsChild>
                </w:div>
                <w:div w:id="1167287129">
                  <w:marLeft w:val="0"/>
                  <w:marRight w:val="0"/>
                  <w:marTop w:val="0"/>
                  <w:marBottom w:val="0"/>
                  <w:divBdr>
                    <w:top w:val="none" w:sz="0" w:space="0" w:color="auto"/>
                    <w:left w:val="none" w:sz="0" w:space="0" w:color="auto"/>
                    <w:bottom w:val="none" w:sz="0" w:space="0" w:color="auto"/>
                    <w:right w:val="none" w:sz="0" w:space="0" w:color="auto"/>
                  </w:divBdr>
                  <w:divsChild>
                    <w:div w:id="1254781778">
                      <w:marLeft w:val="0"/>
                      <w:marRight w:val="0"/>
                      <w:marTop w:val="0"/>
                      <w:marBottom w:val="0"/>
                      <w:divBdr>
                        <w:top w:val="none" w:sz="0" w:space="0" w:color="auto"/>
                        <w:left w:val="none" w:sz="0" w:space="0" w:color="auto"/>
                        <w:bottom w:val="none" w:sz="0" w:space="0" w:color="auto"/>
                        <w:right w:val="none" w:sz="0" w:space="0" w:color="auto"/>
                      </w:divBdr>
                    </w:div>
                  </w:divsChild>
                </w:div>
                <w:div w:id="1177035387">
                  <w:marLeft w:val="0"/>
                  <w:marRight w:val="0"/>
                  <w:marTop w:val="0"/>
                  <w:marBottom w:val="0"/>
                  <w:divBdr>
                    <w:top w:val="none" w:sz="0" w:space="0" w:color="auto"/>
                    <w:left w:val="none" w:sz="0" w:space="0" w:color="auto"/>
                    <w:bottom w:val="none" w:sz="0" w:space="0" w:color="auto"/>
                    <w:right w:val="none" w:sz="0" w:space="0" w:color="auto"/>
                  </w:divBdr>
                  <w:divsChild>
                    <w:div w:id="1653026664">
                      <w:marLeft w:val="0"/>
                      <w:marRight w:val="0"/>
                      <w:marTop w:val="0"/>
                      <w:marBottom w:val="0"/>
                      <w:divBdr>
                        <w:top w:val="none" w:sz="0" w:space="0" w:color="auto"/>
                        <w:left w:val="none" w:sz="0" w:space="0" w:color="auto"/>
                        <w:bottom w:val="none" w:sz="0" w:space="0" w:color="auto"/>
                        <w:right w:val="none" w:sz="0" w:space="0" w:color="auto"/>
                      </w:divBdr>
                    </w:div>
                  </w:divsChild>
                </w:div>
                <w:div w:id="1179539824">
                  <w:marLeft w:val="0"/>
                  <w:marRight w:val="0"/>
                  <w:marTop w:val="0"/>
                  <w:marBottom w:val="0"/>
                  <w:divBdr>
                    <w:top w:val="none" w:sz="0" w:space="0" w:color="auto"/>
                    <w:left w:val="none" w:sz="0" w:space="0" w:color="auto"/>
                    <w:bottom w:val="none" w:sz="0" w:space="0" w:color="auto"/>
                    <w:right w:val="none" w:sz="0" w:space="0" w:color="auto"/>
                  </w:divBdr>
                  <w:divsChild>
                    <w:div w:id="549078960">
                      <w:marLeft w:val="0"/>
                      <w:marRight w:val="0"/>
                      <w:marTop w:val="0"/>
                      <w:marBottom w:val="0"/>
                      <w:divBdr>
                        <w:top w:val="none" w:sz="0" w:space="0" w:color="auto"/>
                        <w:left w:val="none" w:sz="0" w:space="0" w:color="auto"/>
                        <w:bottom w:val="none" w:sz="0" w:space="0" w:color="auto"/>
                        <w:right w:val="none" w:sz="0" w:space="0" w:color="auto"/>
                      </w:divBdr>
                    </w:div>
                  </w:divsChild>
                </w:div>
                <w:div w:id="1182430555">
                  <w:marLeft w:val="0"/>
                  <w:marRight w:val="0"/>
                  <w:marTop w:val="0"/>
                  <w:marBottom w:val="0"/>
                  <w:divBdr>
                    <w:top w:val="none" w:sz="0" w:space="0" w:color="auto"/>
                    <w:left w:val="none" w:sz="0" w:space="0" w:color="auto"/>
                    <w:bottom w:val="none" w:sz="0" w:space="0" w:color="auto"/>
                    <w:right w:val="none" w:sz="0" w:space="0" w:color="auto"/>
                  </w:divBdr>
                  <w:divsChild>
                    <w:div w:id="452679057">
                      <w:marLeft w:val="0"/>
                      <w:marRight w:val="0"/>
                      <w:marTop w:val="0"/>
                      <w:marBottom w:val="0"/>
                      <w:divBdr>
                        <w:top w:val="none" w:sz="0" w:space="0" w:color="auto"/>
                        <w:left w:val="none" w:sz="0" w:space="0" w:color="auto"/>
                        <w:bottom w:val="none" w:sz="0" w:space="0" w:color="auto"/>
                        <w:right w:val="none" w:sz="0" w:space="0" w:color="auto"/>
                      </w:divBdr>
                    </w:div>
                  </w:divsChild>
                </w:div>
                <w:div w:id="1185825356">
                  <w:marLeft w:val="0"/>
                  <w:marRight w:val="0"/>
                  <w:marTop w:val="0"/>
                  <w:marBottom w:val="0"/>
                  <w:divBdr>
                    <w:top w:val="none" w:sz="0" w:space="0" w:color="auto"/>
                    <w:left w:val="none" w:sz="0" w:space="0" w:color="auto"/>
                    <w:bottom w:val="none" w:sz="0" w:space="0" w:color="auto"/>
                    <w:right w:val="none" w:sz="0" w:space="0" w:color="auto"/>
                  </w:divBdr>
                  <w:divsChild>
                    <w:div w:id="152112761">
                      <w:marLeft w:val="0"/>
                      <w:marRight w:val="0"/>
                      <w:marTop w:val="0"/>
                      <w:marBottom w:val="0"/>
                      <w:divBdr>
                        <w:top w:val="none" w:sz="0" w:space="0" w:color="auto"/>
                        <w:left w:val="none" w:sz="0" w:space="0" w:color="auto"/>
                        <w:bottom w:val="none" w:sz="0" w:space="0" w:color="auto"/>
                        <w:right w:val="none" w:sz="0" w:space="0" w:color="auto"/>
                      </w:divBdr>
                    </w:div>
                  </w:divsChild>
                </w:div>
                <w:div w:id="1190535055">
                  <w:marLeft w:val="0"/>
                  <w:marRight w:val="0"/>
                  <w:marTop w:val="0"/>
                  <w:marBottom w:val="0"/>
                  <w:divBdr>
                    <w:top w:val="none" w:sz="0" w:space="0" w:color="auto"/>
                    <w:left w:val="none" w:sz="0" w:space="0" w:color="auto"/>
                    <w:bottom w:val="none" w:sz="0" w:space="0" w:color="auto"/>
                    <w:right w:val="none" w:sz="0" w:space="0" w:color="auto"/>
                  </w:divBdr>
                  <w:divsChild>
                    <w:div w:id="1195923107">
                      <w:marLeft w:val="0"/>
                      <w:marRight w:val="0"/>
                      <w:marTop w:val="0"/>
                      <w:marBottom w:val="0"/>
                      <w:divBdr>
                        <w:top w:val="none" w:sz="0" w:space="0" w:color="auto"/>
                        <w:left w:val="none" w:sz="0" w:space="0" w:color="auto"/>
                        <w:bottom w:val="none" w:sz="0" w:space="0" w:color="auto"/>
                        <w:right w:val="none" w:sz="0" w:space="0" w:color="auto"/>
                      </w:divBdr>
                    </w:div>
                  </w:divsChild>
                </w:div>
                <w:div w:id="1197736941">
                  <w:marLeft w:val="0"/>
                  <w:marRight w:val="0"/>
                  <w:marTop w:val="0"/>
                  <w:marBottom w:val="0"/>
                  <w:divBdr>
                    <w:top w:val="none" w:sz="0" w:space="0" w:color="auto"/>
                    <w:left w:val="none" w:sz="0" w:space="0" w:color="auto"/>
                    <w:bottom w:val="none" w:sz="0" w:space="0" w:color="auto"/>
                    <w:right w:val="none" w:sz="0" w:space="0" w:color="auto"/>
                  </w:divBdr>
                  <w:divsChild>
                    <w:div w:id="93747711">
                      <w:marLeft w:val="0"/>
                      <w:marRight w:val="0"/>
                      <w:marTop w:val="0"/>
                      <w:marBottom w:val="0"/>
                      <w:divBdr>
                        <w:top w:val="none" w:sz="0" w:space="0" w:color="auto"/>
                        <w:left w:val="none" w:sz="0" w:space="0" w:color="auto"/>
                        <w:bottom w:val="none" w:sz="0" w:space="0" w:color="auto"/>
                        <w:right w:val="none" w:sz="0" w:space="0" w:color="auto"/>
                      </w:divBdr>
                    </w:div>
                  </w:divsChild>
                </w:div>
                <w:div w:id="1198742601">
                  <w:marLeft w:val="0"/>
                  <w:marRight w:val="0"/>
                  <w:marTop w:val="0"/>
                  <w:marBottom w:val="0"/>
                  <w:divBdr>
                    <w:top w:val="none" w:sz="0" w:space="0" w:color="auto"/>
                    <w:left w:val="none" w:sz="0" w:space="0" w:color="auto"/>
                    <w:bottom w:val="none" w:sz="0" w:space="0" w:color="auto"/>
                    <w:right w:val="none" w:sz="0" w:space="0" w:color="auto"/>
                  </w:divBdr>
                  <w:divsChild>
                    <w:div w:id="1136949352">
                      <w:marLeft w:val="0"/>
                      <w:marRight w:val="0"/>
                      <w:marTop w:val="0"/>
                      <w:marBottom w:val="0"/>
                      <w:divBdr>
                        <w:top w:val="none" w:sz="0" w:space="0" w:color="auto"/>
                        <w:left w:val="none" w:sz="0" w:space="0" w:color="auto"/>
                        <w:bottom w:val="none" w:sz="0" w:space="0" w:color="auto"/>
                        <w:right w:val="none" w:sz="0" w:space="0" w:color="auto"/>
                      </w:divBdr>
                    </w:div>
                  </w:divsChild>
                </w:div>
                <w:div w:id="1202984580">
                  <w:marLeft w:val="0"/>
                  <w:marRight w:val="0"/>
                  <w:marTop w:val="0"/>
                  <w:marBottom w:val="0"/>
                  <w:divBdr>
                    <w:top w:val="none" w:sz="0" w:space="0" w:color="auto"/>
                    <w:left w:val="none" w:sz="0" w:space="0" w:color="auto"/>
                    <w:bottom w:val="none" w:sz="0" w:space="0" w:color="auto"/>
                    <w:right w:val="none" w:sz="0" w:space="0" w:color="auto"/>
                  </w:divBdr>
                  <w:divsChild>
                    <w:div w:id="1625309305">
                      <w:marLeft w:val="0"/>
                      <w:marRight w:val="0"/>
                      <w:marTop w:val="0"/>
                      <w:marBottom w:val="0"/>
                      <w:divBdr>
                        <w:top w:val="none" w:sz="0" w:space="0" w:color="auto"/>
                        <w:left w:val="none" w:sz="0" w:space="0" w:color="auto"/>
                        <w:bottom w:val="none" w:sz="0" w:space="0" w:color="auto"/>
                        <w:right w:val="none" w:sz="0" w:space="0" w:color="auto"/>
                      </w:divBdr>
                    </w:div>
                    <w:div w:id="2044941917">
                      <w:marLeft w:val="0"/>
                      <w:marRight w:val="0"/>
                      <w:marTop w:val="0"/>
                      <w:marBottom w:val="0"/>
                      <w:divBdr>
                        <w:top w:val="none" w:sz="0" w:space="0" w:color="auto"/>
                        <w:left w:val="none" w:sz="0" w:space="0" w:color="auto"/>
                        <w:bottom w:val="none" w:sz="0" w:space="0" w:color="auto"/>
                        <w:right w:val="none" w:sz="0" w:space="0" w:color="auto"/>
                      </w:divBdr>
                    </w:div>
                  </w:divsChild>
                </w:div>
                <w:div w:id="1214586452">
                  <w:marLeft w:val="0"/>
                  <w:marRight w:val="0"/>
                  <w:marTop w:val="0"/>
                  <w:marBottom w:val="0"/>
                  <w:divBdr>
                    <w:top w:val="none" w:sz="0" w:space="0" w:color="auto"/>
                    <w:left w:val="none" w:sz="0" w:space="0" w:color="auto"/>
                    <w:bottom w:val="none" w:sz="0" w:space="0" w:color="auto"/>
                    <w:right w:val="none" w:sz="0" w:space="0" w:color="auto"/>
                  </w:divBdr>
                  <w:divsChild>
                    <w:div w:id="125317789">
                      <w:marLeft w:val="0"/>
                      <w:marRight w:val="0"/>
                      <w:marTop w:val="0"/>
                      <w:marBottom w:val="0"/>
                      <w:divBdr>
                        <w:top w:val="none" w:sz="0" w:space="0" w:color="auto"/>
                        <w:left w:val="none" w:sz="0" w:space="0" w:color="auto"/>
                        <w:bottom w:val="none" w:sz="0" w:space="0" w:color="auto"/>
                        <w:right w:val="none" w:sz="0" w:space="0" w:color="auto"/>
                      </w:divBdr>
                    </w:div>
                  </w:divsChild>
                </w:div>
                <w:div w:id="1215045486">
                  <w:marLeft w:val="0"/>
                  <w:marRight w:val="0"/>
                  <w:marTop w:val="0"/>
                  <w:marBottom w:val="0"/>
                  <w:divBdr>
                    <w:top w:val="none" w:sz="0" w:space="0" w:color="auto"/>
                    <w:left w:val="none" w:sz="0" w:space="0" w:color="auto"/>
                    <w:bottom w:val="none" w:sz="0" w:space="0" w:color="auto"/>
                    <w:right w:val="none" w:sz="0" w:space="0" w:color="auto"/>
                  </w:divBdr>
                  <w:divsChild>
                    <w:div w:id="603999820">
                      <w:marLeft w:val="0"/>
                      <w:marRight w:val="0"/>
                      <w:marTop w:val="0"/>
                      <w:marBottom w:val="0"/>
                      <w:divBdr>
                        <w:top w:val="none" w:sz="0" w:space="0" w:color="auto"/>
                        <w:left w:val="none" w:sz="0" w:space="0" w:color="auto"/>
                        <w:bottom w:val="none" w:sz="0" w:space="0" w:color="auto"/>
                        <w:right w:val="none" w:sz="0" w:space="0" w:color="auto"/>
                      </w:divBdr>
                    </w:div>
                  </w:divsChild>
                </w:div>
                <w:div w:id="1228027700">
                  <w:marLeft w:val="0"/>
                  <w:marRight w:val="0"/>
                  <w:marTop w:val="0"/>
                  <w:marBottom w:val="0"/>
                  <w:divBdr>
                    <w:top w:val="none" w:sz="0" w:space="0" w:color="auto"/>
                    <w:left w:val="none" w:sz="0" w:space="0" w:color="auto"/>
                    <w:bottom w:val="none" w:sz="0" w:space="0" w:color="auto"/>
                    <w:right w:val="none" w:sz="0" w:space="0" w:color="auto"/>
                  </w:divBdr>
                  <w:divsChild>
                    <w:div w:id="2120026228">
                      <w:marLeft w:val="0"/>
                      <w:marRight w:val="0"/>
                      <w:marTop w:val="0"/>
                      <w:marBottom w:val="0"/>
                      <w:divBdr>
                        <w:top w:val="none" w:sz="0" w:space="0" w:color="auto"/>
                        <w:left w:val="none" w:sz="0" w:space="0" w:color="auto"/>
                        <w:bottom w:val="none" w:sz="0" w:space="0" w:color="auto"/>
                        <w:right w:val="none" w:sz="0" w:space="0" w:color="auto"/>
                      </w:divBdr>
                    </w:div>
                  </w:divsChild>
                </w:div>
                <w:div w:id="1245339671">
                  <w:marLeft w:val="0"/>
                  <w:marRight w:val="0"/>
                  <w:marTop w:val="0"/>
                  <w:marBottom w:val="0"/>
                  <w:divBdr>
                    <w:top w:val="none" w:sz="0" w:space="0" w:color="auto"/>
                    <w:left w:val="none" w:sz="0" w:space="0" w:color="auto"/>
                    <w:bottom w:val="none" w:sz="0" w:space="0" w:color="auto"/>
                    <w:right w:val="none" w:sz="0" w:space="0" w:color="auto"/>
                  </w:divBdr>
                  <w:divsChild>
                    <w:div w:id="1744253811">
                      <w:marLeft w:val="0"/>
                      <w:marRight w:val="0"/>
                      <w:marTop w:val="0"/>
                      <w:marBottom w:val="0"/>
                      <w:divBdr>
                        <w:top w:val="none" w:sz="0" w:space="0" w:color="auto"/>
                        <w:left w:val="none" w:sz="0" w:space="0" w:color="auto"/>
                        <w:bottom w:val="none" w:sz="0" w:space="0" w:color="auto"/>
                        <w:right w:val="none" w:sz="0" w:space="0" w:color="auto"/>
                      </w:divBdr>
                    </w:div>
                  </w:divsChild>
                </w:div>
                <w:div w:id="1248878216">
                  <w:marLeft w:val="0"/>
                  <w:marRight w:val="0"/>
                  <w:marTop w:val="0"/>
                  <w:marBottom w:val="0"/>
                  <w:divBdr>
                    <w:top w:val="none" w:sz="0" w:space="0" w:color="auto"/>
                    <w:left w:val="none" w:sz="0" w:space="0" w:color="auto"/>
                    <w:bottom w:val="none" w:sz="0" w:space="0" w:color="auto"/>
                    <w:right w:val="none" w:sz="0" w:space="0" w:color="auto"/>
                  </w:divBdr>
                  <w:divsChild>
                    <w:div w:id="1641616327">
                      <w:marLeft w:val="0"/>
                      <w:marRight w:val="0"/>
                      <w:marTop w:val="0"/>
                      <w:marBottom w:val="0"/>
                      <w:divBdr>
                        <w:top w:val="none" w:sz="0" w:space="0" w:color="auto"/>
                        <w:left w:val="none" w:sz="0" w:space="0" w:color="auto"/>
                        <w:bottom w:val="none" w:sz="0" w:space="0" w:color="auto"/>
                        <w:right w:val="none" w:sz="0" w:space="0" w:color="auto"/>
                      </w:divBdr>
                    </w:div>
                  </w:divsChild>
                </w:div>
                <w:div w:id="1285192753">
                  <w:marLeft w:val="0"/>
                  <w:marRight w:val="0"/>
                  <w:marTop w:val="0"/>
                  <w:marBottom w:val="0"/>
                  <w:divBdr>
                    <w:top w:val="none" w:sz="0" w:space="0" w:color="auto"/>
                    <w:left w:val="none" w:sz="0" w:space="0" w:color="auto"/>
                    <w:bottom w:val="none" w:sz="0" w:space="0" w:color="auto"/>
                    <w:right w:val="none" w:sz="0" w:space="0" w:color="auto"/>
                  </w:divBdr>
                  <w:divsChild>
                    <w:div w:id="962928984">
                      <w:marLeft w:val="0"/>
                      <w:marRight w:val="0"/>
                      <w:marTop w:val="0"/>
                      <w:marBottom w:val="0"/>
                      <w:divBdr>
                        <w:top w:val="none" w:sz="0" w:space="0" w:color="auto"/>
                        <w:left w:val="none" w:sz="0" w:space="0" w:color="auto"/>
                        <w:bottom w:val="none" w:sz="0" w:space="0" w:color="auto"/>
                        <w:right w:val="none" w:sz="0" w:space="0" w:color="auto"/>
                      </w:divBdr>
                    </w:div>
                  </w:divsChild>
                </w:div>
                <w:div w:id="1305430320">
                  <w:marLeft w:val="0"/>
                  <w:marRight w:val="0"/>
                  <w:marTop w:val="0"/>
                  <w:marBottom w:val="0"/>
                  <w:divBdr>
                    <w:top w:val="none" w:sz="0" w:space="0" w:color="auto"/>
                    <w:left w:val="none" w:sz="0" w:space="0" w:color="auto"/>
                    <w:bottom w:val="none" w:sz="0" w:space="0" w:color="auto"/>
                    <w:right w:val="none" w:sz="0" w:space="0" w:color="auto"/>
                  </w:divBdr>
                  <w:divsChild>
                    <w:div w:id="1601329337">
                      <w:marLeft w:val="0"/>
                      <w:marRight w:val="0"/>
                      <w:marTop w:val="0"/>
                      <w:marBottom w:val="0"/>
                      <w:divBdr>
                        <w:top w:val="none" w:sz="0" w:space="0" w:color="auto"/>
                        <w:left w:val="none" w:sz="0" w:space="0" w:color="auto"/>
                        <w:bottom w:val="none" w:sz="0" w:space="0" w:color="auto"/>
                        <w:right w:val="none" w:sz="0" w:space="0" w:color="auto"/>
                      </w:divBdr>
                    </w:div>
                  </w:divsChild>
                </w:div>
                <w:div w:id="1318999671">
                  <w:marLeft w:val="0"/>
                  <w:marRight w:val="0"/>
                  <w:marTop w:val="0"/>
                  <w:marBottom w:val="0"/>
                  <w:divBdr>
                    <w:top w:val="none" w:sz="0" w:space="0" w:color="auto"/>
                    <w:left w:val="none" w:sz="0" w:space="0" w:color="auto"/>
                    <w:bottom w:val="none" w:sz="0" w:space="0" w:color="auto"/>
                    <w:right w:val="none" w:sz="0" w:space="0" w:color="auto"/>
                  </w:divBdr>
                  <w:divsChild>
                    <w:div w:id="196968115">
                      <w:marLeft w:val="0"/>
                      <w:marRight w:val="0"/>
                      <w:marTop w:val="0"/>
                      <w:marBottom w:val="0"/>
                      <w:divBdr>
                        <w:top w:val="none" w:sz="0" w:space="0" w:color="auto"/>
                        <w:left w:val="none" w:sz="0" w:space="0" w:color="auto"/>
                        <w:bottom w:val="none" w:sz="0" w:space="0" w:color="auto"/>
                        <w:right w:val="none" w:sz="0" w:space="0" w:color="auto"/>
                      </w:divBdr>
                    </w:div>
                  </w:divsChild>
                </w:div>
                <w:div w:id="1345478932">
                  <w:marLeft w:val="0"/>
                  <w:marRight w:val="0"/>
                  <w:marTop w:val="0"/>
                  <w:marBottom w:val="0"/>
                  <w:divBdr>
                    <w:top w:val="none" w:sz="0" w:space="0" w:color="auto"/>
                    <w:left w:val="none" w:sz="0" w:space="0" w:color="auto"/>
                    <w:bottom w:val="none" w:sz="0" w:space="0" w:color="auto"/>
                    <w:right w:val="none" w:sz="0" w:space="0" w:color="auto"/>
                  </w:divBdr>
                  <w:divsChild>
                    <w:div w:id="189996500">
                      <w:marLeft w:val="0"/>
                      <w:marRight w:val="0"/>
                      <w:marTop w:val="0"/>
                      <w:marBottom w:val="0"/>
                      <w:divBdr>
                        <w:top w:val="none" w:sz="0" w:space="0" w:color="auto"/>
                        <w:left w:val="none" w:sz="0" w:space="0" w:color="auto"/>
                        <w:bottom w:val="none" w:sz="0" w:space="0" w:color="auto"/>
                        <w:right w:val="none" w:sz="0" w:space="0" w:color="auto"/>
                      </w:divBdr>
                    </w:div>
                  </w:divsChild>
                </w:div>
                <w:div w:id="1382823964">
                  <w:marLeft w:val="0"/>
                  <w:marRight w:val="0"/>
                  <w:marTop w:val="0"/>
                  <w:marBottom w:val="0"/>
                  <w:divBdr>
                    <w:top w:val="none" w:sz="0" w:space="0" w:color="auto"/>
                    <w:left w:val="none" w:sz="0" w:space="0" w:color="auto"/>
                    <w:bottom w:val="none" w:sz="0" w:space="0" w:color="auto"/>
                    <w:right w:val="none" w:sz="0" w:space="0" w:color="auto"/>
                  </w:divBdr>
                  <w:divsChild>
                    <w:div w:id="549609527">
                      <w:marLeft w:val="0"/>
                      <w:marRight w:val="0"/>
                      <w:marTop w:val="0"/>
                      <w:marBottom w:val="0"/>
                      <w:divBdr>
                        <w:top w:val="none" w:sz="0" w:space="0" w:color="auto"/>
                        <w:left w:val="none" w:sz="0" w:space="0" w:color="auto"/>
                        <w:bottom w:val="none" w:sz="0" w:space="0" w:color="auto"/>
                        <w:right w:val="none" w:sz="0" w:space="0" w:color="auto"/>
                      </w:divBdr>
                    </w:div>
                    <w:div w:id="1357923253">
                      <w:marLeft w:val="0"/>
                      <w:marRight w:val="0"/>
                      <w:marTop w:val="0"/>
                      <w:marBottom w:val="0"/>
                      <w:divBdr>
                        <w:top w:val="none" w:sz="0" w:space="0" w:color="auto"/>
                        <w:left w:val="none" w:sz="0" w:space="0" w:color="auto"/>
                        <w:bottom w:val="none" w:sz="0" w:space="0" w:color="auto"/>
                        <w:right w:val="none" w:sz="0" w:space="0" w:color="auto"/>
                      </w:divBdr>
                    </w:div>
                  </w:divsChild>
                </w:div>
                <w:div w:id="1397624861">
                  <w:marLeft w:val="0"/>
                  <w:marRight w:val="0"/>
                  <w:marTop w:val="0"/>
                  <w:marBottom w:val="0"/>
                  <w:divBdr>
                    <w:top w:val="none" w:sz="0" w:space="0" w:color="auto"/>
                    <w:left w:val="none" w:sz="0" w:space="0" w:color="auto"/>
                    <w:bottom w:val="none" w:sz="0" w:space="0" w:color="auto"/>
                    <w:right w:val="none" w:sz="0" w:space="0" w:color="auto"/>
                  </w:divBdr>
                  <w:divsChild>
                    <w:div w:id="281764900">
                      <w:marLeft w:val="0"/>
                      <w:marRight w:val="0"/>
                      <w:marTop w:val="0"/>
                      <w:marBottom w:val="0"/>
                      <w:divBdr>
                        <w:top w:val="none" w:sz="0" w:space="0" w:color="auto"/>
                        <w:left w:val="none" w:sz="0" w:space="0" w:color="auto"/>
                        <w:bottom w:val="none" w:sz="0" w:space="0" w:color="auto"/>
                        <w:right w:val="none" w:sz="0" w:space="0" w:color="auto"/>
                      </w:divBdr>
                    </w:div>
                  </w:divsChild>
                </w:div>
                <w:div w:id="1400128238">
                  <w:marLeft w:val="0"/>
                  <w:marRight w:val="0"/>
                  <w:marTop w:val="0"/>
                  <w:marBottom w:val="0"/>
                  <w:divBdr>
                    <w:top w:val="none" w:sz="0" w:space="0" w:color="auto"/>
                    <w:left w:val="none" w:sz="0" w:space="0" w:color="auto"/>
                    <w:bottom w:val="none" w:sz="0" w:space="0" w:color="auto"/>
                    <w:right w:val="none" w:sz="0" w:space="0" w:color="auto"/>
                  </w:divBdr>
                  <w:divsChild>
                    <w:div w:id="1207251977">
                      <w:marLeft w:val="0"/>
                      <w:marRight w:val="0"/>
                      <w:marTop w:val="0"/>
                      <w:marBottom w:val="0"/>
                      <w:divBdr>
                        <w:top w:val="none" w:sz="0" w:space="0" w:color="auto"/>
                        <w:left w:val="none" w:sz="0" w:space="0" w:color="auto"/>
                        <w:bottom w:val="none" w:sz="0" w:space="0" w:color="auto"/>
                        <w:right w:val="none" w:sz="0" w:space="0" w:color="auto"/>
                      </w:divBdr>
                    </w:div>
                  </w:divsChild>
                </w:div>
                <w:div w:id="1402675454">
                  <w:marLeft w:val="0"/>
                  <w:marRight w:val="0"/>
                  <w:marTop w:val="0"/>
                  <w:marBottom w:val="0"/>
                  <w:divBdr>
                    <w:top w:val="none" w:sz="0" w:space="0" w:color="auto"/>
                    <w:left w:val="none" w:sz="0" w:space="0" w:color="auto"/>
                    <w:bottom w:val="none" w:sz="0" w:space="0" w:color="auto"/>
                    <w:right w:val="none" w:sz="0" w:space="0" w:color="auto"/>
                  </w:divBdr>
                  <w:divsChild>
                    <w:div w:id="760183498">
                      <w:marLeft w:val="0"/>
                      <w:marRight w:val="0"/>
                      <w:marTop w:val="0"/>
                      <w:marBottom w:val="0"/>
                      <w:divBdr>
                        <w:top w:val="none" w:sz="0" w:space="0" w:color="auto"/>
                        <w:left w:val="none" w:sz="0" w:space="0" w:color="auto"/>
                        <w:bottom w:val="none" w:sz="0" w:space="0" w:color="auto"/>
                        <w:right w:val="none" w:sz="0" w:space="0" w:color="auto"/>
                      </w:divBdr>
                    </w:div>
                  </w:divsChild>
                </w:div>
                <w:div w:id="1415317356">
                  <w:marLeft w:val="0"/>
                  <w:marRight w:val="0"/>
                  <w:marTop w:val="0"/>
                  <w:marBottom w:val="0"/>
                  <w:divBdr>
                    <w:top w:val="none" w:sz="0" w:space="0" w:color="auto"/>
                    <w:left w:val="none" w:sz="0" w:space="0" w:color="auto"/>
                    <w:bottom w:val="none" w:sz="0" w:space="0" w:color="auto"/>
                    <w:right w:val="none" w:sz="0" w:space="0" w:color="auto"/>
                  </w:divBdr>
                  <w:divsChild>
                    <w:div w:id="710150937">
                      <w:marLeft w:val="0"/>
                      <w:marRight w:val="0"/>
                      <w:marTop w:val="0"/>
                      <w:marBottom w:val="0"/>
                      <w:divBdr>
                        <w:top w:val="none" w:sz="0" w:space="0" w:color="auto"/>
                        <w:left w:val="none" w:sz="0" w:space="0" w:color="auto"/>
                        <w:bottom w:val="none" w:sz="0" w:space="0" w:color="auto"/>
                        <w:right w:val="none" w:sz="0" w:space="0" w:color="auto"/>
                      </w:divBdr>
                    </w:div>
                    <w:div w:id="1639335672">
                      <w:marLeft w:val="0"/>
                      <w:marRight w:val="0"/>
                      <w:marTop w:val="0"/>
                      <w:marBottom w:val="0"/>
                      <w:divBdr>
                        <w:top w:val="none" w:sz="0" w:space="0" w:color="auto"/>
                        <w:left w:val="none" w:sz="0" w:space="0" w:color="auto"/>
                        <w:bottom w:val="none" w:sz="0" w:space="0" w:color="auto"/>
                        <w:right w:val="none" w:sz="0" w:space="0" w:color="auto"/>
                      </w:divBdr>
                    </w:div>
                  </w:divsChild>
                </w:div>
                <w:div w:id="1421684559">
                  <w:marLeft w:val="0"/>
                  <w:marRight w:val="0"/>
                  <w:marTop w:val="0"/>
                  <w:marBottom w:val="0"/>
                  <w:divBdr>
                    <w:top w:val="none" w:sz="0" w:space="0" w:color="auto"/>
                    <w:left w:val="none" w:sz="0" w:space="0" w:color="auto"/>
                    <w:bottom w:val="none" w:sz="0" w:space="0" w:color="auto"/>
                    <w:right w:val="none" w:sz="0" w:space="0" w:color="auto"/>
                  </w:divBdr>
                  <w:divsChild>
                    <w:div w:id="548953210">
                      <w:marLeft w:val="0"/>
                      <w:marRight w:val="0"/>
                      <w:marTop w:val="0"/>
                      <w:marBottom w:val="0"/>
                      <w:divBdr>
                        <w:top w:val="none" w:sz="0" w:space="0" w:color="auto"/>
                        <w:left w:val="none" w:sz="0" w:space="0" w:color="auto"/>
                        <w:bottom w:val="none" w:sz="0" w:space="0" w:color="auto"/>
                        <w:right w:val="none" w:sz="0" w:space="0" w:color="auto"/>
                      </w:divBdr>
                    </w:div>
                  </w:divsChild>
                </w:div>
                <w:div w:id="1423263846">
                  <w:marLeft w:val="0"/>
                  <w:marRight w:val="0"/>
                  <w:marTop w:val="0"/>
                  <w:marBottom w:val="0"/>
                  <w:divBdr>
                    <w:top w:val="none" w:sz="0" w:space="0" w:color="auto"/>
                    <w:left w:val="none" w:sz="0" w:space="0" w:color="auto"/>
                    <w:bottom w:val="none" w:sz="0" w:space="0" w:color="auto"/>
                    <w:right w:val="none" w:sz="0" w:space="0" w:color="auto"/>
                  </w:divBdr>
                  <w:divsChild>
                    <w:div w:id="1774478292">
                      <w:marLeft w:val="0"/>
                      <w:marRight w:val="0"/>
                      <w:marTop w:val="0"/>
                      <w:marBottom w:val="0"/>
                      <w:divBdr>
                        <w:top w:val="none" w:sz="0" w:space="0" w:color="auto"/>
                        <w:left w:val="none" w:sz="0" w:space="0" w:color="auto"/>
                        <w:bottom w:val="none" w:sz="0" w:space="0" w:color="auto"/>
                        <w:right w:val="none" w:sz="0" w:space="0" w:color="auto"/>
                      </w:divBdr>
                    </w:div>
                  </w:divsChild>
                </w:div>
                <w:div w:id="1451164241">
                  <w:marLeft w:val="0"/>
                  <w:marRight w:val="0"/>
                  <w:marTop w:val="0"/>
                  <w:marBottom w:val="0"/>
                  <w:divBdr>
                    <w:top w:val="none" w:sz="0" w:space="0" w:color="auto"/>
                    <w:left w:val="none" w:sz="0" w:space="0" w:color="auto"/>
                    <w:bottom w:val="none" w:sz="0" w:space="0" w:color="auto"/>
                    <w:right w:val="none" w:sz="0" w:space="0" w:color="auto"/>
                  </w:divBdr>
                  <w:divsChild>
                    <w:div w:id="1437286967">
                      <w:marLeft w:val="0"/>
                      <w:marRight w:val="0"/>
                      <w:marTop w:val="0"/>
                      <w:marBottom w:val="0"/>
                      <w:divBdr>
                        <w:top w:val="none" w:sz="0" w:space="0" w:color="auto"/>
                        <w:left w:val="none" w:sz="0" w:space="0" w:color="auto"/>
                        <w:bottom w:val="none" w:sz="0" w:space="0" w:color="auto"/>
                        <w:right w:val="none" w:sz="0" w:space="0" w:color="auto"/>
                      </w:divBdr>
                    </w:div>
                  </w:divsChild>
                </w:div>
                <w:div w:id="1489595271">
                  <w:marLeft w:val="0"/>
                  <w:marRight w:val="0"/>
                  <w:marTop w:val="0"/>
                  <w:marBottom w:val="0"/>
                  <w:divBdr>
                    <w:top w:val="none" w:sz="0" w:space="0" w:color="auto"/>
                    <w:left w:val="none" w:sz="0" w:space="0" w:color="auto"/>
                    <w:bottom w:val="none" w:sz="0" w:space="0" w:color="auto"/>
                    <w:right w:val="none" w:sz="0" w:space="0" w:color="auto"/>
                  </w:divBdr>
                  <w:divsChild>
                    <w:div w:id="1694309674">
                      <w:marLeft w:val="0"/>
                      <w:marRight w:val="0"/>
                      <w:marTop w:val="0"/>
                      <w:marBottom w:val="0"/>
                      <w:divBdr>
                        <w:top w:val="none" w:sz="0" w:space="0" w:color="auto"/>
                        <w:left w:val="none" w:sz="0" w:space="0" w:color="auto"/>
                        <w:bottom w:val="none" w:sz="0" w:space="0" w:color="auto"/>
                        <w:right w:val="none" w:sz="0" w:space="0" w:color="auto"/>
                      </w:divBdr>
                    </w:div>
                  </w:divsChild>
                </w:div>
                <w:div w:id="1493638513">
                  <w:marLeft w:val="0"/>
                  <w:marRight w:val="0"/>
                  <w:marTop w:val="0"/>
                  <w:marBottom w:val="0"/>
                  <w:divBdr>
                    <w:top w:val="none" w:sz="0" w:space="0" w:color="auto"/>
                    <w:left w:val="none" w:sz="0" w:space="0" w:color="auto"/>
                    <w:bottom w:val="none" w:sz="0" w:space="0" w:color="auto"/>
                    <w:right w:val="none" w:sz="0" w:space="0" w:color="auto"/>
                  </w:divBdr>
                  <w:divsChild>
                    <w:div w:id="1922132845">
                      <w:marLeft w:val="0"/>
                      <w:marRight w:val="0"/>
                      <w:marTop w:val="0"/>
                      <w:marBottom w:val="0"/>
                      <w:divBdr>
                        <w:top w:val="none" w:sz="0" w:space="0" w:color="auto"/>
                        <w:left w:val="none" w:sz="0" w:space="0" w:color="auto"/>
                        <w:bottom w:val="none" w:sz="0" w:space="0" w:color="auto"/>
                        <w:right w:val="none" w:sz="0" w:space="0" w:color="auto"/>
                      </w:divBdr>
                    </w:div>
                  </w:divsChild>
                </w:div>
                <w:div w:id="1495728214">
                  <w:marLeft w:val="0"/>
                  <w:marRight w:val="0"/>
                  <w:marTop w:val="0"/>
                  <w:marBottom w:val="0"/>
                  <w:divBdr>
                    <w:top w:val="none" w:sz="0" w:space="0" w:color="auto"/>
                    <w:left w:val="none" w:sz="0" w:space="0" w:color="auto"/>
                    <w:bottom w:val="none" w:sz="0" w:space="0" w:color="auto"/>
                    <w:right w:val="none" w:sz="0" w:space="0" w:color="auto"/>
                  </w:divBdr>
                  <w:divsChild>
                    <w:div w:id="1423185927">
                      <w:marLeft w:val="0"/>
                      <w:marRight w:val="0"/>
                      <w:marTop w:val="0"/>
                      <w:marBottom w:val="0"/>
                      <w:divBdr>
                        <w:top w:val="none" w:sz="0" w:space="0" w:color="auto"/>
                        <w:left w:val="none" w:sz="0" w:space="0" w:color="auto"/>
                        <w:bottom w:val="none" w:sz="0" w:space="0" w:color="auto"/>
                        <w:right w:val="none" w:sz="0" w:space="0" w:color="auto"/>
                      </w:divBdr>
                    </w:div>
                  </w:divsChild>
                </w:div>
                <w:div w:id="1499998388">
                  <w:marLeft w:val="0"/>
                  <w:marRight w:val="0"/>
                  <w:marTop w:val="0"/>
                  <w:marBottom w:val="0"/>
                  <w:divBdr>
                    <w:top w:val="none" w:sz="0" w:space="0" w:color="auto"/>
                    <w:left w:val="none" w:sz="0" w:space="0" w:color="auto"/>
                    <w:bottom w:val="none" w:sz="0" w:space="0" w:color="auto"/>
                    <w:right w:val="none" w:sz="0" w:space="0" w:color="auto"/>
                  </w:divBdr>
                  <w:divsChild>
                    <w:div w:id="1133907548">
                      <w:marLeft w:val="0"/>
                      <w:marRight w:val="0"/>
                      <w:marTop w:val="0"/>
                      <w:marBottom w:val="0"/>
                      <w:divBdr>
                        <w:top w:val="none" w:sz="0" w:space="0" w:color="auto"/>
                        <w:left w:val="none" w:sz="0" w:space="0" w:color="auto"/>
                        <w:bottom w:val="none" w:sz="0" w:space="0" w:color="auto"/>
                        <w:right w:val="none" w:sz="0" w:space="0" w:color="auto"/>
                      </w:divBdr>
                    </w:div>
                  </w:divsChild>
                </w:div>
                <w:div w:id="1512527906">
                  <w:marLeft w:val="0"/>
                  <w:marRight w:val="0"/>
                  <w:marTop w:val="0"/>
                  <w:marBottom w:val="0"/>
                  <w:divBdr>
                    <w:top w:val="none" w:sz="0" w:space="0" w:color="auto"/>
                    <w:left w:val="none" w:sz="0" w:space="0" w:color="auto"/>
                    <w:bottom w:val="none" w:sz="0" w:space="0" w:color="auto"/>
                    <w:right w:val="none" w:sz="0" w:space="0" w:color="auto"/>
                  </w:divBdr>
                  <w:divsChild>
                    <w:div w:id="466777595">
                      <w:marLeft w:val="0"/>
                      <w:marRight w:val="0"/>
                      <w:marTop w:val="0"/>
                      <w:marBottom w:val="0"/>
                      <w:divBdr>
                        <w:top w:val="none" w:sz="0" w:space="0" w:color="auto"/>
                        <w:left w:val="none" w:sz="0" w:space="0" w:color="auto"/>
                        <w:bottom w:val="none" w:sz="0" w:space="0" w:color="auto"/>
                        <w:right w:val="none" w:sz="0" w:space="0" w:color="auto"/>
                      </w:divBdr>
                    </w:div>
                  </w:divsChild>
                </w:div>
                <w:div w:id="1527523579">
                  <w:marLeft w:val="0"/>
                  <w:marRight w:val="0"/>
                  <w:marTop w:val="0"/>
                  <w:marBottom w:val="0"/>
                  <w:divBdr>
                    <w:top w:val="none" w:sz="0" w:space="0" w:color="auto"/>
                    <w:left w:val="none" w:sz="0" w:space="0" w:color="auto"/>
                    <w:bottom w:val="none" w:sz="0" w:space="0" w:color="auto"/>
                    <w:right w:val="none" w:sz="0" w:space="0" w:color="auto"/>
                  </w:divBdr>
                  <w:divsChild>
                    <w:div w:id="2045862291">
                      <w:marLeft w:val="0"/>
                      <w:marRight w:val="0"/>
                      <w:marTop w:val="0"/>
                      <w:marBottom w:val="0"/>
                      <w:divBdr>
                        <w:top w:val="none" w:sz="0" w:space="0" w:color="auto"/>
                        <w:left w:val="none" w:sz="0" w:space="0" w:color="auto"/>
                        <w:bottom w:val="none" w:sz="0" w:space="0" w:color="auto"/>
                        <w:right w:val="none" w:sz="0" w:space="0" w:color="auto"/>
                      </w:divBdr>
                    </w:div>
                  </w:divsChild>
                </w:div>
                <w:div w:id="1555196052">
                  <w:marLeft w:val="0"/>
                  <w:marRight w:val="0"/>
                  <w:marTop w:val="0"/>
                  <w:marBottom w:val="0"/>
                  <w:divBdr>
                    <w:top w:val="none" w:sz="0" w:space="0" w:color="auto"/>
                    <w:left w:val="none" w:sz="0" w:space="0" w:color="auto"/>
                    <w:bottom w:val="none" w:sz="0" w:space="0" w:color="auto"/>
                    <w:right w:val="none" w:sz="0" w:space="0" w:color="auto"/>
                  </w:divBdr>
                  <w:divsChild>
                    <w:div w:id="180440392">
                      <w:marLeft w:val="0"/>
                      <w:marRight w:val="0"/>
                      <w:marTop w:val="0"/>
                      <w:marBottom w:val="0"/>
                      <w:divBdr>
                        <w:top w:val="none" w:sz="0" w:space="0" w:color="auto"/>
                        <w:left w:val="none" w:sz="0" w:space="0" w:color="auto"/>
                        <w:bottom w:val="none" w:sz="0" w:space="0" w:color="auto"/>
                        <w:right w:val="none" w:sz="0" w:space="0" w:color="auto"/>
                      </w:divBdr>
                    </w:div>
                  </w:divsChild>
                </w:div>
                <w:div w:id="1566724131">
                  <w:marLeft w:val="0"/>
                  <w:marRight w:val="0"/>
                  <w:marTop w:val="0"/>
                  <w:marBottom w:val="0"/>
                  <w:divBdr>
                    <w:top w:val="none" w:sz="0" w:space="0" w:color="auto"/>
                    <w:left w:val="none" w:sz="0" w:space="0" w:color="auto"/>
                    <w:bottom w:val="none" w:sz="0" w:space="0" w:color="auto"/>
                    <w:right w:val="none" w:sz="0" w:space="0" w:color="auto"/>
                  </w:divBdr>
                  <w:divsChild>
                    <w:div w:id="1001200037">
                      <w:marLeft w:val="0"/>
                      <w:marRight w:val="0"/>
                      <w:marTop w:val="0"/>
                      <w:marBottom w:val="0"/>
                      <w:divBdr>
                        <w:top w:val="none" w:sz="0" w:space="0" w:color="auto"/>
                        <w:left w:val="none" w:sz="0" w:space="0" w:color="auto"/>
                        <w:bottom w:val="none" w:sz="0" w:space="0" w:color="auto"/>
                        <w:right w:val="none" w:sz="0" w:space="0" w:color="auto"/>
                      </w:divBdr>
                    </w:div>
                  </w:divsChild>
                </w:div>
                <w:div w:id="1587035003">
                  <w:marLeft w:val="0"/>
                  <w:marRight w:val="0"/>
                  <w:marTop w:val="0"/>
                  <w:marBottom w:val="0"/>
                  <w:divBdr>
                    <w:top w:val="none" w:sz="0" w:space="0" w:color="auto"/>
                    <w:left w:val="none" w:sz="0" w:space="0" w:color="auto"/>
                    <w:bottom w:val="none" w:sz="0" w:space="0" w:color="auto"/>
                    <w:right w:val="none" w:sz="0" w:space="0" w:color="auto"/>
                  </w:divBdr>
                  <w:divsChild>
                    <w:div w:id="44187958">
                      <w:marLeft w:val="0"/>
                      <w:marRight w:val="0"/>
                      <w:marTop w:val="0"/>
                      <w:marBottom w:val="0"/>
                      <w:divBdr>
                        <w:top w:val="none" w:sz="0" w:space="0" w:color="auto"/>
                        <w:left w:val="none" w:sz="0" w:space="0" w:color="auto"/>
                        <w:bottom w:val="none" w:sz="0" w:space="0" w:color="auto"/>
                        <w:right w:val="none" w:sz="0" w:space="0" w:color="auto"/>
                      </w:divBdr>
                    </w:div>
                  </w:divsChild>
                </w:div>
                <w:div w:id="1612739281">
                  <w:marLeft w:val="0"/>
                  <w:marRight w:val="0"/>
                  <w:marTop w:val="0"/>
                  <w:marBottom w:val="0"/>
                  <w:divBdr>
                    <w:top w:val="none" w:sz="0" w:space="0" w:color="auto"/>
                    <w:left w:val="none" w:sz="0" w:space="0" w:color="auto"/>
                    <w:bottom w:val="none" w:sz="0" w:space="0" w:color="auto"/>
                    <w:right w:val="none" w:sz="0" w:space="0" w:color="auto"/>
                  </w:divBdr>
                  <w:divsChild>
                    <w:div w:id="450782007">
                      <w:marLeft w:val="0"/>
                      <w:marRight w:val="0"/>
                      <w:marTop w:val="0"/>
                      <w:marBottom w:val="0"/>
                      <w:divBdr>
                        <w:top w:val="none" w:sz="0" w:space="0" w:color="auto"/>
                        <w:left w:val="none" w:sz="0" w:space="0" w:color="auto"/>
                        <w:bottom w:val="none" w:sz="0" w:space="0" w:color="auto"/>
                        <w:right w:val="none" w:sz="0" w:space="0" w:color="auto"/>
                      </w:divBdr>
                    </w:div>
                  </w:divsChild>
                </w:div>
                <w:div w:id="1645961658">
                  <w:marLeft w:val="0"/>
                  <w:marRight w:val="0"/>
                  <w:marTop w:val="0"/>
                  <w:marBottom w:val="0"/>
                  <w:divBdr>
                    <w:top w:val="none" w:sz="0" w:space="0" w:color="auto"/>
                    <w:left w:val="none" w:sz="0" w:space="0" w:color="auto"/>
                    <w:bottom w:val="none" w:sz="0" w:space="0" w:color="auto"/>
                    <w:right w:val="none" w:sz="0" w:space="0" w:color="auto"/>
                  </w:divBdr>
                  <w:divsChild>
                    <w:div w:id="1263145080">
                      <w:marLeft w:val="0"/>
                      <w:marRight w:val="0"/>
                      <w:marTop w:val="0"/>
                      <w:marBottom w:val="0"/>
                      <w:divBdr>
                        <w:top w:val="none" w:sz="0" w:space="0" w:color="auto"/>
                        <w:left w:val="none" w:sz="0" w:space="0" w:color="auto"/>
                        <w:bottom w:val="none" w:sz="0" w:space="0" w:color="auto"/>
                        <w:right w:val="none" w:sz="0" w:space="0" w:color="auto"/>
                      </w:divBdr>
                    </w:div>
                  </w:divsChild>
                </w:div>
                <w:div w:id="1665160128">
                  <w:marLeft w:val="0"/>
                  <w:marRight w:val="0"/>
                  <w:marTop w:val="0"/>
                  <w:marBottom w:val="0"/>
                  <w:divBdr>
                    <w:top w:val="none" w:sz="0" w:space="0" w:color="auto"/>
                    <w:left w:val="none" w:sz="0" w:space="0" w:color="auto"/>
                    <w:bottom w:val="none" w:sz="0" w:space="0" w:color="auto"/>
                    <w:right w:val="none" w:sz="0" w:space="0" w:color="auto"/>
                  </w:divBdr>
                  <w:divsChild>
                    <w:div w:id="1631978769">
                      <w:marLeft w:val="0"/>
                      <w:marRight w:val="0"/>
                      <w:marTop w:val="0"/>
                      <w:marBottom w:val="0"/>
                      <w:divBdr>
                        <w:top w:val="none" w:sz="0" w:space="0" w:color="auto"/>
                        <w:left w:val="none" w:sz="0" w:space="0" w:color="auto"/>
                        <w:bottom w:val="none" w:sz="0" w:space="0" w:color="auto"/>
                        <w:right w:val="none" w:sz="0" w:space="0" w:color="auto"/>
                      </w:divBdr>
                    </w:div>
                  </w:divsChild>
                </w:div>
                <w:div w:id="1677658599">
                  <w:marLeft w:val="0"/>
                  <w:marRight w:val="0"/>
                  <w:marTop w:val="0"/>
                  <w:marBottom w:val="0"/>
                  <w:divBdr>
                    <w:top w:val="none" w:sz="0" w:space="0" w:color="auto"/>
                    <w:left w:val="none" w:sz="0" w:space="0" w:color="auto"/>
                    <w:bottom w:val="none" w:sz="0" w:space="0" w:color="auto"/>
                    <w:right w:val="none" w:sz="0" w:space="0" w:color="auto"/>
                  </w:divBdr>
                  <w:divsChild>
                    <w:div w:id="638069115">
                      <w:marLeft w:val="0"/>
                      <w:marRight w:val="0"/>
                      <w:marTop w:val="0"/>
                      <w:marBottom w:val="0"/>
                      <w:divBdr>
                        <w:top w:val="none" w:sz="0" w:space="0" w:color="auto"/>
                        <w:left w:val="none" w:sz="0" w:space="0" w:color="auto"/>
                        <w:bottom w:val="none" w:sz="0" w:space="0" w:color="auto"/>
                        <w:right w:val="none" w:sz="0" w:space="0" w:color="auto"/>
                      </w:divBdr>
                    </w:div>
                  </w:divsChild>
                </w:div>
                <w:div w:id="1694526147">
                  <w:marLeft w:val="0"/>
                  <w:marRight w:val="0"/>
                  <w:marTop w:val="0"/>
                  <w:marBottom w:val="0"/>
                  <w:divBdr>
                    <w:top w:val="none" w:sz="0" w:space="0" w:color="auto"/>
                    <w:left w:val="none" w:sz="0" w:space="0" w:color="auto"/>
                    <w:bottom w:val="none" w:sz="0" w:space="0" w:color="auto"/>
                    <w:right w:val="none" w:sz="0" w:space="0" w:color="auto"/>
                  </w:divBdr>
                  <w:divsChild>
                    <w:div w:id="1470854628">
                      <w:marLeft w:val="0"/>
                      <w:marRight w:val="0"/>
                      <w:marTop w:val="0"/>
                      <w:marBottom w:val="0"/>
                      <w:divBdr>
                        <w:top w:val="none" w:sz="0" w:space="0" w:color="auto"/>
                        <w:left w:val="none" w:sz="0" w:space="0" w:color="auto"/>
                        <w:bottom w:val="none" w:sz="0" w:space="0" w:color="auto"/>
                        <w:right w:val="none" w:sz="0" w:space="0" w:color="auto"/>
                      </w:divBdr>
                    </w:div>
                  </w:divsChild>
                </w:div>
                <w:div w:id="1698772661">
                  <w:marLeft w:val="0"/>
                  <w:marRight w:val="0"/>
                  <w:marTop w:val="0"/>
                  <w:marBottom w:val="0"/>
                  <w:divBdr>
                    <w:top w:val="none" w:sz="0" w:space="0" w:color="auto"/>
                    <w:left w:val="none" w:sz="0" w:space="0" w:color="auto"/>
                    <w:bottom w:val="none" w:sz="0" w:space="0" w:color="auto"/>
                    <w:right w:val="none" w:sz="0" w:space="0" w:color="auto"/>
                  </w:divBdr>
                  <w:divsChild>
                    <w:div w:id="161702141">
                      <w:marLeft w:val="0"/>
                      <w:marRight w:val="0"/>
                      <w:marTop w:val="0"/>
                      <w:marBottom w:val="0"/>
                      <w:divBdr>
                        <w:top w:val="none" w:sz="0" w:space="0" w:color="auto"/>
                        <w:left w:val="none" w:sz="0" w:space="0" w:color="auto"/>
                        <w:bottom w:val="none" w:sz="0" w:space="0" w:color="auto"/>
                        <w:right w:val="none" w:sz="0" w:space="0" w:color="auto"/>
                      </w:divBdr>
                    </w:div>
                  </w:divsChild>
                </w:div>
                <w:div w:id="1706635160">
                  <w:marLeft w:val="0"/>
                  <w:marRight w:val="0"/>
                  <w:marTop w:val="0"/>
                  <w:marBottom w:val="0"/>
                  <w:divBdr>
                    <w:top w:val="none" w:sz="0" w:space="0" w:color="auto"/>
                    <w:left w:val="none" w:sz="0" w:space="0" w:color="auto"/>
                    <w:bottom w:val="none" w:sz="0" w:space="0" w:color="auto"/>
                    <w:right w:val="none" w:sz="0" w:space="0" w:color="auto"/>
                  </w:divBdr>
                  <w:divsChild>
                    <w:div w:id="1032656006">
                      <w:marLeft w:val="0"/>
                      <w:marRight w:val="0"/>
                      <w:marTop w:val="0"/>
                      <w:marBottom w:val="0"/>
                      <w:divBdr>
                        <w:top w:val="none" w:sz="0" w:space="0" w:color="auto"/>
                        <w:left w:val="none" w:sz="0" w:space="0" w:color="auto"/>
                        <w:bottom w:val="none" w:sz="0" w:space="0" w:color="auto"/>
                        <w:right w:val="none" w:sz="0" w:space="0" w:color="auto"/>
                      </w:divBdr>
                    </w:div>
                  </w:divsChild>
                </w:div>
                <w:div w:id="1707290992">
                  <w:marLeft w:val="0"/>
                  <w:marRight w:val="0"/>
                  <w:marTop w:val="0"/>
                  <w:marBottom w:val="0"/>
                  <w:divBdr>
                    <w:top w:val="none" w:sz="0" w:space="0" w:color="auto"/>
                    <w:left w:val="none" w:sz="0" w:space="0" w:color="auto"/>
                    <w:bottom w:val="none" w:sz="0" w:space="0" w:color="auto"/>
                    <w:right w:val="none" w:sz="0" w:space="0" w:color="auto"/>
                  </w:divBdr>
                  <w:divsChild>
                    <w:div w:id="1489243777">
                      <w:marLeft w:val="0"/>
                      <w:marRight w:val="0"/>
                      <w:marTop w:val="0"/>
                      <w:marBottom w:val="0"/>
                      <w:divBdr>
                        <w:top w:val="none" w:sz="0" w:space="0" w:color="auto"/>
                        <w:left w:val="none" w:sz="0" w:space="0" w:color="auto"/>
                        <w:bottom w:val="none" w:sz="0" w:space="0" w:color="auto"/>
                        <w:right w:val="none" w:sz="0" w:space="0" w:color="auto"/>
                      </w:divBdr>
                    </w:div>
                  </w:divsChild>
                </w:div>
                <w:div w:id="1711806014">
                  <w:marLeft w:val="0"/>
                  <w:marRight w:val="0"/>
                  <w:marTop w:val="0"/>
                  <w:marBottom w:val="0"/>
                  <w:divBdr>
                    <w:top w:val="none" w:sz="0" w:space="0" w:color="auto"/>
                    <w:left w:val="none" w:sz="0" w:space="0" w:color="auto"/>
                    <w:bottom w:val="none" w:sz="0" w:space="0" w:color="auto"/>
                    <w:right w:val="none" w:sz="0" w:space="0" w:color="auto"/>
                  </w:divBdr>
                  <w:divsChild>
                    <w:div w:id="1872838296">
                      <w:marLeft w:val="0"/>
                      <w:marRight w:val="0"/>
                      <w:marTop w:val="0"/>
                      <w:marBottom w:val="0"/>
                      <w:divBdr>
                        <w:top w:val="none" w:sz="0" w:space="0" w:color="auto"/>
                        <w:left w:val="none" w:sz="0" w:space="0" w:color="auto"/>
                        <w:bottom w:val="none" w:sz="0" w:space="0" w:color="auto"/>
                        <w:right w:val="none" w:sz="0" w:space="0" w:color="auto"/>
                      </w:divBdr>
                    </w:div>
                  </w:divsChild>
                </w:div>
                <w:div w:id="1730154183">
                  <w:marLeft w:val="0"/>
                  <w:marRight w:val="0"/>
                  <w:marTop w:val="0"/>
                  <w:marBottom w:val="0"/>
                  <w:divBdr>
                    <w:top w:val="none" w:sz="0" w:space="0" w:color="auto"/>
                    <w:left w:val="none" w:sz="0" w:space="0" w:color="auto"/>
                    <w:bottom w:val="none" w:sz="0" w:space="0" w:color="auto"/>
                    <w:right w:val="none" w:sz="0" w:space="0" w:color="auto"/>
                  </w:divBdr>
                  <w:divsChild>
                    <w:div w:id="659579373">
                      <w:marLeft w:val="0"/>
                      <w:marRight w:val="0"/>
                      <w:marTop w:val="0"/>
                      <w:marBottom w:val="0"/>
                      <w:divBdr>
                        <w:top w:val="none" w:sz="0" w:space="0" w:color="auto"/>
                        <w:left w:val="none" w:sz="0" w:space="0" w:color="auto"/>
                        <w:bottom w:val="none" w:sz="0" w:space="0" w:color="auto"/>
                        <w:right w:val="none" w:sz="0" w:space="0" w:color="auto"/>
                      </w:divBdr>
                    </w:div>
                  </w:divsChild>
                </w:div>
                <w:div w:id="1730574062">
                  <w:marLeft w:val="0"/>
                  <w:marRight w:val="0"/>
                  <w:marTop w:val="0"/>
                  <w:marBottom w:val="0"/>
                  <w:divBdr>
                    <w:top w:val="none" w:sz="0" w:space="0" w:color="auto"/>
                    <w:left w:val="none" w:sz="0" w:space="0" w:color="auto"/>
                    <w:bottom w:val="none" w:sz="0" w:space="0" w:color="auto"/>
                    <w:right w:val="none" w:sz="0" w:space="0" w:color="auto"/>
                  </w:divBdr>
                  <w:divsChild>
                    <w:div w:id="1533155406">
                      <w:marLeft w:val="0"/>
                      <w:marRight w:val="0"/>
                      <w:marTop w:val="0"/>
                      <w:marBottom w:val="0"/>
                      <w:divBdr>
                        <w:top w:val="none" w:sz="0" w:space="0" w:color="auto"/>
                        <w:left w:val="none" w:sz="0" w:space="0" w:color="auto"/>
                        <w:bottom w:val="none" w:sz="0" w:space="0" w:color="auto"/>
                        <w:right w:val="none" w:sz="0" w:space="0" w:color="auto"/>
                      </w:divBdr>
                    </w:div>
                  </w:divsChild>
                </w:div>
                <w:div w:id="1740126940">
                  <w:marLeft w:val="0"/>
                  <w:marRight w:val="0"/>
                  <w:marTop w:val="0"/>
                  <w:marBottom w:val="0"/>
                  <w:divBdr>
                    <w:top w:val="none" w:sz="0" w:space="0" w:color="auto"/>
                    <w:left w:val="none" w:sz="0" w:space="0" w:color="auto"/>
                    <w:bottom w:val="none" w:sz="0" w:space="0" w:color="auto"/>
                    <w:right w:val="none" w:sz="0" w:space="0" w:color="auto"/>
                  </w:divBdr>
                  <w:divsChild>
                    <w:div w:id="777796978">
                      <w:marLeft w:val="0"/>
                      <w:marRight w:val="0"/>
                      <w:marTop w:val="0"/>
                      <w:marBottom w:val="0"/>
                      <w:divBdr>
                        <w:top w:val="none" w:sz="0" w:space="0" w:color="auto"/>
                        <w:left w:val="none" w:sz="0" w:space="0" w:color="auto"/>
                        <w:bottom w:val="none" w:sz="0" w:space="0" w:color="auto"/>
                        <w:right w:val="none" w:sz="0" w:space="0" w:color="auto"/>
                      </w:divBdr>
                    </w:div>
                  </w:divsChild>
                </w:div>
                <w:div w:id="1751078968">
                  <w:marLeft w:val="0"/>
                  <w:marRight w:val="0"/>
                  <w:marTop w:val="0"/>
                  <w:marBottom w:val="0"/>
                  <w:divBdr>
                    <w:top w:val="none" w:sz="0" w:space="0" w:color="auto"/>
                    <w:left w:val="none" w:sz="0" w:space="0" w:color="auto"/>
                    <w:bottom w:val="none" w:sz="0" w:space="0" w:color="auto"/>
                    <w:right w:val="none" w:sz="0" w:space="0" w:color="auto"/>
                  </w:divBdr>
                  <w:divsChild>
                    <w:div w:id="226305129">
                      <w:marLeft w:val="0"/>
                      <w:marRight w:val="0"/>
                      <w:marTop w:val="0"/>
                      <w:marBottom w:val="0"/>
                      <w:divBdr>
                        <w:top w:val="none" w:sz="0" w:space="0" w:color="auto"/>
                        <w:left w:val="none" w:sz="0" w:space="0" w:color="auto"/>
                        <w:bottom w:val="none" w:sz="0" w:space="0" w:color="auto"/>
                        <w:right w:val="none" w:sz="0" w:space="0" w:color="auto"/>
                      </w:divBdr>
                    </w:div>
                  </w:divsChild>
                </w:div>
                <w:div w:id="1757704639">
                  <w:marLeft w:val="0"/>
                  <w:marRight w:val="0"/>
                  <w:marTop w:val="0"/>
                  <w:marBottom w:val="0"/>
                  <w:divBdr>
                    <w:top w:val="none" w:sz="0" w:space="0" w:color="auto"/>
                    <w:left w:val="none" w:sz="0" w:space="0" w:color="auto"/>
                    <w:bottom w:val="none" w:sz="0" w:space="0" w:color="auto"/>
                    <w:right w:val="none" w:sz="0" w:space="0" w:color="auto"/>
                  </w:divBdr>
                  <w:divsChild>
                    <w:div w:id="411397334">
                      <w:marLeft w:val="0"/>
                      <w:marRight w:val="0"/>
                      <w:marTop w:val="0"/>
                      <w:marBottom w:val="0"/>
                      <w:divBdr>
                        <w:top w:val="none" w:sz="0" w:space="0" w:color="auto"/>
                        <w:left w:val="none" w:sz="0" w:space="0" w:color="auto"/>
                        <w:bottom w:val="none" w:sz="0" w:space="0" w:color="auto"/>
                        <w:right w:val="none" w:sz="0" w:space="0" w:color="auto"/>
                      </w:divBdr>
                    </w:div>
                  </w:divsChild>
                </w:div>
                <w:div w:id="1762330333">
                  <w:marLeft w:val="0"/>
                  <w:marRight w:val="0"/>
                  <w:marTop w:val="0"/>
                  <w:marBottom w:val="0"/>
                  <w:divBdr>
                    <w:top w:val="none" w:sz="0" w:space="0" w:color="auto"/>
                    <w:left w:val="none" w:sz="0" w:space="0" w:color="auto"/>
                    <w:bottom w:val="none" w:sz="0" w:space="0" w:color="auto"/>
                    <w:right w:val="none" w:sz="0" w:space="0" w:color="auto"/>
                  </w:divBdr>
                  <w:divsChild>
                    <w:div w:id="84573112">
                      <w:marLeft w:val="0"/>
                      <w:marRight w:val="0"/>
                      <w:marTop w:val="0"/>
                      <w:marBottom w:val="0"/>
                      <w:divBdr>
                        <w:top w:val="none" w:sz="0" w:space="0" w:color="auto"/>
                        <w:left w:val="none" w:sz="0" w:space="0" w:color="auto"/>
                        <w:bottom w:val="none" w:sz="0" w:space="0" w:color="auto"/>
                        <w:right w:val="none" w:sz="0" w:space="0" w:color="auto"/>
                      </w:divBdr>
                    </w:div>
                  </w:divsChild>
                </w:div>
                <w:div w:id="1762333144">
                  <w:marLeft w:val="0"/>
                  <w:marRight w:val="0"/>
                  <w:marTop w:val="0"/>
                  <w:marBottom w:val="0"/>
                  <w:divBdr>
                    <w:top w:val="none" w:sz="0" w:space="0" w:color="auto"/>
                    <w:left w:val="none" w:sz="0" w:space="0" w:color="auto"/>
                    <w:bottom w:val="none" w:sz="0" w:space="0" w:color="auto"/>
                    <w:right w:val="none" w:sz="0" w:space="0" w:color="auto"/>
                  </w:divBdr>
                  <w:divsChild>
                    <w:div w:id="162360854">
                      <w:marLeft w:val="0"/>
                      <w:marRight w:val="0"/>
                      <w:marTop w:val="0"/>
                      <w:marBottom w:val="0"/>
                      <w:divBdr>
                        <w:top w:val="none" w:sz="0" w:space="0" w:color="auto"/>
                        <w:left w:val="none" w:sz="0" w:space="0" w:color="auto"/>
                        <w:bottom w:val="none" w:sz="0" w:space="0" w:color="auto"/>
                        <w:right w:val="none" w:sz="0" w:space="0" w:color="auto"/>
                      </w:divBdr>
                    </w:div>
                  </w:divsChild>
                </w:div>
                <w:div w:id="1790195883">
                  <w:marLeft w:val="0"/>
                  <w:marRight w:val="0"/>
                  <w:marTop w:val="0"/>
                  <w:marBottom w:val="0"/>
                  <w:divBdr>
                    <w:top w:val="none" w:sz="0" w:space="0" w:color="auto"/>
                    <w:left w:val="none" w:sz="0" w:space="0" w:color="auto"/>
                    <w:bottom w:val="none" w:sz="0" w:space="0" w:color="auto"/>
                    <w:right w:val="none" w:sz="0" w:space="0" w:color="auto"/>
                  </w:divBdr>
                  <w:divsChild>
                    <w:div w:id="1148323296">
                      <w:marLeft w:val="0"/>
                      <w:marRight w:val="0"/>
                      <w:marTop w:val="0"/>
                      <w:marBottom w:val="0"/>
                      <w:divBdr>
                        <w:top w:val="none" w:sz="0" w:space="0" w:color="auto"/>
                        <w:left w:val="none" w:sz="0" w:space="0" w:color="auto"/>
                        <w:bottom w:val="none" w:sz="0" w:space="0" w:color="auto"/>
                        <w:right w:val="none" w:sz="0" w:space="0" w:color="auto"/>
                      </w:divBdr>
                    </w:div>
                  </w:divsChild>
                </w:div>
                <w:div w:id="1792166335">
                  <w:marLeft w:val="0"/>
                  <w:marRight w:val="0"/>
                  <w:marTop w:val="0"/>
                  <w:marBottom w:val="0"/>
                  <w:divBdr>
                    <w:top w:val="none" w:sz="0" w:space="0" w:color="auto"/>
                    <w:left w:val="none" w:sz="0" w:space="0" w:color="auto"/>
                    <w:bottom w:val="none" w:sz="0" w:space="0" w:color="auto"/>
                    <w:right w:val="none" w:sz="0" w:space="0" w:color="auto"/>
                  </w:divBdr>
                  <w:divsChild>
                    <w:div w:id="1373967047">
                      <w:marLeft w:val="0"/>
                      <w:marRight w:val="0"/>
                      <w:marTop w:val="0"/>
                      <w:marBottom w:val="0"/>
                      <w:divBdr>
                        <w:top w:val="none" w:sz="0" w:space="0" w:color="auto"/>
                        <w:left w:val="none" w:sz="0" w:space="0" w:color="auto"/>
                        <w:bottom w:val="none" w:sz="0" w:space="0" w:color="auto"/>
                        <w:right w:val="none" w:sz="0" w:space="0" w:color="auto"/>
                      </w:divBdr>
                    </w:div>
                  </w:divsChild>
                </w:div>
                <w:div w:id="1795564661">
                  <w:marLeft w:val="0"/>
                  <w:marRight w:val="0"/>
                  <w:marTop w:val="0"/>
                  <w:marBottom w:val="0"/>
                  <w:divBdr>
                    <w:top w:val="none" w:sz="0" w:space="0" w:color="auto"/>
                    <w:left w:val="none" w:sz="0" w:space="0" w:color="auto"/>
                    <w:bottom w:val="none" w:sz="0" w:space="0" w:color="auto"/>
                    <w:right w:val="none" w:sz="0" w:space="0" w:color="auto"/>
                  </w:divBdr>
                  <w:divsChild>
                    <w:div w:id="685331515">
                      <w:marLeft w:val="0"/>
                      <w:marRight w:val="0"/>
                      <w:marTop w:val="0"/>
                      <w:marBottom w:val="0"/>
                      <w:divBdr>
                        <w:top w:val="none" w:sz="0" w:space="0" w:color="auto"/>
                        <w:left w:val="none" w:sz="0" w:space="0" w:color="auto"/>
                        <w:bottom w:val="none" w:sz="0" w:space="0" w:color="auto"/>
                        <w:right w:val="none" w:sz="0" w:space="0" w:color="auto"/>
                      </w:divBdr>
                    </w:div>
                  </w:divsChild>
                </w:div>
                <w:div w:id="1799954879">
                  <w:marLeft w:val="0"/>
                  <w:marRight w:val="0"/>
                  <w:marTop w:val="0"/>
                  <w:marBottom w:val="0"/>
                  <w:divBdr>
                    <w:top w:val="none" w:sz="0" w:space="0" w:color="auto"/>
                    <w:left w:val="none" w:sz="0" w:space="0" w:color="auto"/>
                    <w:bottom w:val="none" w:sz="0" w:space="0" w:color="auto"/>
                    <w:right w:val="none" w:sz="0" w:space="0" w:color="auto"/>
                  </w:divBdr>
                  <w:divsChild>
                    <w:div w:id="1801534694">
                      <w:marLeft w:val="0"/>
                      <w:marRight w:val="0"/>
                      <w:marTop w:val="0"/>
                      <w:marBottom w:val="0"/>
                      <w:divBdr>
                        <w:top w:val="none" w:sz="0" w:space="0" w:color="auto"/>
                        <w:left w:val="none" w:sz="0" w:space="0" w:color="auto"/>
                        <w:bottom w:val="none" w:sz="0" w:space="0" w:color="auto"/>
                        <w:right w:val="none" w:sz="0" w:space="0" w:color="auto"/>
                      </w:divBdr>
                    </w:div>
                  </w:divsChild>
                </w:div>
                <w:div w:id="1810827639">
                  <w:marLeft w:val="0"/>
                  <w:marRight w:val="0"/>
                  <w:marTop w:val="0"/>
                  <w:marBottom w:val="0"/>
                  <w:divBdr>
                    <w:top w:val="none" w:sz="0" w:space="0" w:color="auto"/>
                    <w:left w:val="none" w:sz="0" w:space="0" w:color="auto"/>
                    <w:bottom w:val="none" w:sz="0" w:space="0" w:color="auto"/>
                    <w:right w:val="none" w:sz="0" w:space="0" w:color="auto"/>
                  </w:divBdr>
                  <w:divsChild>
                    <w:div w:id="1502772159">
                      <w:marLeft w:val="0"/>
                      <w:marRight w:val="0"/>
                      <w:marTop w:val="0"/>
                      <w:marBottom w:val="0"/>
                      <w:divBdr>
                        <w:top w:val="none" w:sz="0" w:space="0" w:color="auto"/>
                        <w:left w:val="none" w:sz="0" w:space="0" w:color="auto"/>
                        <w:bottom w:val="none" w:sz="0" w:space="0" w:color="auto"/>
                        <w:right w:val="none" w:sz="0" w:space="0" w:color="auto"/>
                      </w:divBdr>
                    </w:div>
                  </w:divsChild>
                </w:div>
                <w:div w:id="1816021923">
                  <w:marLeft w:val="0"/>
                  <w:marRight w:val="0"/>
                  <w:marTop w:val="0"/>
                  <w:marBottom w:val="0"/>
                  <w:divBdr>
                    <w:top w:val="none" w:sz="0" w:space="0" w:color="auto"/>
                    <w:left w:val="none" w:sz="0" w:space="0" w:color="auto"/>
                    <w:bottom w:val="none" w:sz="0" w:space="0" w:color="auto"/>
                    <w:right w:val="none" w:sz="0" w:space="0" w:color="auto"/>
                  </w:divBdr>
                  <w:divsChild>
                    <w:div w:id="1450853520">
                      <w:marLeft w:val="0"/>
                      <w:marRight w:val="0"/>
                      <w:marTop w:val="0"/>
                      <w:marBottom w:val="0"/>
                      <w:divBdr>
                        <w:top w:val="none" w:sz="0" w:space="0" w:color="auto"/>
                        <w:left w:val="none" w:sz="0" w:space="0" w:color="auto"/>
                        <w:bottom w:val="none" w:sz="0" w:space="0" w:color="auto"/>
                        <w:right w:val="none" w:sz="0" w:space="0" w:color="auto"/>
                      </w:divBdr>
                    </w:div>
                  </w:divsChild>
                </w:div>
                <w:div w:id="1851600499">
                  <w:marLeft w:val="0"/>
                  <w:marRight w:val="0"/>
                  <w:marTop w:val="0"/>
                  <w:marBottom w:val="0"/>
                  <w:divBdr>
                    <w:top w:val="none" w:sz="0" w:space="0" w:color="auto"/>
                    <w:left w:val="none" w:sz="0" w:space="0" w:color="auto"/>
                    <w:bottom w:val="none" w:sz="0" w:space="0" w:color="auto"/>
                    <w:right w:val="none" w:sz="0" w:space="0" w:color="auto"/>
                  </w:divBdr>
                  <w:divsChild>
                    <w:div w:id="1245186508">
                      <w:marLeft w:val="0"/>
                      <w:marRight w:val="0"/>
                      <w:marTop w:val="0"/>
                      <w:marBottom w:val="0"/>
                      <w:divBdr>
                        <w:top w:val="none" w:sz="0" w:space="0" w:color="auto"/>
                        <w:left w:val="none" w:sz="0" w:space="0" w:color="auto"/>
                        <w:bottom w:val="none" w:sz="0" w:space="0" w:color="auto"/>
                        <w:right w:val="none" w:sz="0" w:space="0" w:color="auto"/>
                      </w:divBdr>
                    </w:div>
                  </w:divsChild>
                </w:div>
                <w:div w:id="1854684416">
                  <w:marLeft w:val="0"/>
                  <w:marRight w:val="0"/>
                  <w:marTop w:val="0"/>
                  <w:marBottom w:val="0"/>
                  <w:divBdr>
                    <w:top w:val="none" w:sz="0" w:space="0" w:color="auto"/>
                    <w:left w:val="none" w:sz="0" w:space="0" w:color="auto"/>
                    <w:bottom w:val="none" w:sz="0" w:space="0" w:color="auto"/>
                    <w:right w:val="none" w:sz="0" w:space="0" w:color="auto"/>
                  </w:divBdr>
                  <w:divsChild>
                    <w:div w:id="258756062">
                      <w:marLeft w:val="0"/>
                      <w:marRight w:val="0"/>
                      <w:marTop w:val="0"/>
                      <w:marBottom w:val="0"/>
                      <w:divBdr>
                        <w:top w:val="none" w:sz="0" w:space="0" w:color="auto"/>
                        <w:left w:val="none" w:sz="0" w:space="0" w:color="auto"/>
                        <w:bottom w:val="none" w:sz="0" w:space="0" w:color="auto"/>
                        <w:right w:val="none" w:sz="0" w:space="0" w:color="auto"/>
                      </w:divBdr>
                    </w:div>
                  </w:divsChild>
                </w:div>
                <w:div w:id="1861507095">
                  <w:marLeft w:val="0"/>
                  <w:marRight w:val="0"/>
                  <w:marTop w:val="0"/>
                  <w:marBottom w:val="0"/>
                  <w:divBdr>
                    <w:top w:val="none" w:sz="0" w:space="0" w:color="auto"/>
                    <w:left w:val="none" w:sz="0" w:space="0" w:color="auto"/>
                    <w:bottom w:val="none" w:sz="0" w:space="0" w:color="auto"/>
                    <w:right w:val="none" w:sz="0" w:space="0" w:color="auto"/>
                  </w:divBdr>
                  <w:divsChild>
                    <w:div w:id="1231036144">
                      <w:marLeft w:val="0"/>
                      <w:marRight w:val="0"/>
                      <w:marTop w:val="0"/>
                      <w:marBottom w:val="0"/>
                      <w:divBdr>
                        <w:top w:val="none" w:sz="0" w:space="0" w:color="auto"/>
                        <w:left w:val="none" w:sz="0" w:space="0" w:color="auto"/>
                        <w:bottom w:val="none" w:sz="0" w:space="0" w:color="auto"/>
                        <w:right w:val="none" w:sz="0" w:space="0" w:color="auto"/>
                      </w:divBdr>
                    </w:div>
                  </w:divsChild>
                </w:div>
                <w:div w:id="1862743078">
                  <w:marLeft w:val="0"/>
                  <w:marRight w:val="0"/>
                  <w:marTop w:val="0"/>
                  <w:marBottom w:val="0"/>
                  <w:divBdr>
                    <w:top w:val="none" w:sz="0" w:space="0" w:color="auto"/>
                    <w:left w:val="none" w:sz="0" w:space="0" w:color="auto"/>
                    <w:bottom w:val="none" w:sz="0" w:space="0" w:color="auto"/>
                    <w:right w:val="none" w:sz="0" w:space="0" w:color="auto"/>
                  </w:divBdr>
                  <w:divsChild>
                    <w:div w:id="1040400475">
                      <w:marLeft w:val="0"/>
                      <w:marRight w:val="0"/>
                      <w:marTop w:val="0"/>
                      <w:marBottom w:val="0"/>
                      <w:divBdr>
                        <w:top w:val="none" w:sz="0" w:space="0" w:color="auto"/>
                        <w:left w:val="none" w:sz="0" w:space="0" w:color="auto"/>
                        <w:bottom w:val="none" w:sz="0" w:space="0" w:color="auto"/>
                        <w:right w:val="none" w:sz="0" w:space="0" w:color="auto"/>
                      </w:divBdr>
                    </w:div>
                  </w:divsChild>
                </w:div>
                <w:div w:id="1866869095">
                  <w:marLeft w:val="0"/>
                  <w:marRight w:val="0"/>
                  <w:marTop w:val="0"/>
                  <w:marBottom w:val="0"/>
                  <w:divBdr>
                    <w:top w:val="none" w:sz="0" w:space="0" w:color="auto"/>
                    <w:left w:val="none" w:sz="0" w:space="0" w:color="auto"/>
                    <w:bottom w:val="none" w:sz="0" w:space="0" w:color="auto"/>
                    <w:right w:val="none" w:sz="0" w:space="0" w:color="auto"/>
                  </w:divBdr>
                  <w:divsChild>
                    <w:div w:id="305863061">
                      <w:marLeft w:val="0"/>
                      <w:marRight w:val="0"/>
                      <w:marTop w:val="0"/>
                      <w:marBottom w:val="0"/>
                      <w:divBdr>
                        <w:top w:val="none" w:sz="0" w:space="0" w:color="auto"/>
                        <w:left w:val="none" w:sz="0" w:space="0" w:color="auto"/>
                        <w:bottom w:val="none" w:sz="0" w:space="0" w:color="auto"/>
                        <w:right w:val="none" w:sz="0" w:space="0" w:color="auto"/>
                      </w:divBdr>
                    </w:div>
                  </w:divsChild>
                </w:div>
                <w:div w:id="1870295464">
                  <w:marLeft w:val="0"/>
                  <w:marRight w:val="0"/>
                  <w:marTop w:val="0"/>
                  <w:marBottom w:val="0"/>
                  <w:divBdr>
                    <w:top w:val="none" w:sz="0" w:space="0" w:color="auto"/>
                    <w:left w:val="none" w:sz="0" w:space="0" w:color="auto"/>
                    <w:bottom w:val="none" w:sz="0" w:space="0" w:color="auto"/>
                    <w:right w:val="none" w:sz="0" w:space="0" w:color="auto"/>
                  </w:divBdr>
                  <w:divsChild>
                    <w:div w:id="414786635">
                      <w:marLeft w:val="0"/>
                      <w:marRight w:val="0"/>
                      <w:marTop w:val="0"/>
                      <w:marBottom w:val="0"/>
                      <w:divBdr>
                        <w:top w:val="none" w:sz="0" w:space="0" w:color="auto"/>
                        <w:left w:val="none" w:sz="0" w:space="0" w:color="auto"/>
                        <w:bottom w:val="none" w:sz="0" w:space="0" w:color="auto"/>
                        <w:right w:val="none" w:sz="0" w:space="0" w:color="auto"/>
                      </w:divBdr>
                    </w:div>
                  </w:divsChild>
                </w:div>
                <w:div w:id="1935816004">
                  <w:marLeft w:val="0"/>
                  <w:marRight w:val="0"/>
                  <w:marTop w:val="0"/>
                  <w:marBottom w:val="0"/>
                  <w:divBdr>
                    <w:top w:val="none" w:sz="0" w:space="0" w:color="auto"/>
                    <w:left w:val="none" w:sz="0" w:space="0" w:color="auto"/>
                    <w:bottom w:val="none" w:sz="0" w:space="0" w:color="auto"/>
                    <w:right w:val="none" w:sz="0" w:space="0" w:color="auto"/>
                  </w:divBdr>
                  <w:divsChild>
                    <w:div w:id="360017864">
                      <w:marLeft w:val="0"/>
                      <w:marRight w:val="0"/>
                      <w:marTop w:val="0"/>
                      <w:marBottom w:val="0"/>
                      <w:divBdr>
                        <w:top w:val="none" w:sz="0" w:space="0" w:color="auto"/>
                        <w:left w:val="none" w:sz="0" w:space="0" w:color="auto"/>
                        <w:bottom w:val="none" w:sz="0" w:space="0" w:color="auto"/>
                        <w:right w:val="none" w:sz="0" w:space="0" w:color="auto"/>
                      </w:divBdr>
                    </w:div>
                  </w:divsChild>
                </w:div>
                <w:div w:id="1936984060">
                  <w:marLeft w:val="0"/>
                  <w:marRight w:val="0"/>
                  <w:marTop w:val="0"/>
                  <w:marBottom w:val="0"/>
                  <w:divBdr>
                    <w:top w:val="none" w:sz="0" w:space="0" w:color="auto"/>
                    <w:left w:val="none" w:sz="0" w:space="0" w:color="auto"/>
                    <w:bottom w:val="none" w:sz="0" w:space="0" w:color="auto"/>
                    <w:right w:val="none" w:sz="0" w:space="0" w:color="auto"/>
                  </w:divBdr>
                  <w:divsChild>
                    <w:div w:id="33821687">
                      <w:marLeft w:val="0"/>
                      <w:marRight w:val="0"/>
                      <w:marTop w:val="0"/>
                      <w:marBottom w:val="0"/>
                      <w:divBdr>
                        <w:top w:val="none" w:sz="0" w:space="0" w:color="auto"/>
                        <w:left w:val="none" w:sz="0" w:space="0" w:color="auto"/>
                        <w:bottom w:val="none" w:sz="0" w:space="0" w:color="auto"/>
                        <w:right w:val="none" w:sz="0" w:space="0" w:color="auto"/>
                      </w:divBdr>
                    </w:div>
                    <w:div w:id="1386947860">
                      <w:marLeft w:val="0"/>
                      <w:marRight w:val="0"/>
                      <w:marTop w:val="0"/>
                      <w:marBottom w:val="0"/>
                      <w:divBdr>
                        <w:top w:val="none" w:sz="0" w:space="0" w:color="auto"/>
                        <w:left w:val="none" w:sz="0" w:space="0" w:color="auto"/>
                        <w:bottom w:val="none" w:sz="0" w:space="0" w:color="auto"/>
                        <w:right w:val="none" w:sz="0" w:space="0" w:color="auto"/>
                      </w:divBdr>
                    </w:div>
                  </w:divsChild>
                </w:div>
                <w:div w:id="1966962151">
                  <w:marLeft w:val="0"/>
                  <w:marRight w:val="0"/>
                  <w:marTop w:val="0"/>
                  <w:marBottom w:val="0"/>
                  <w:divBdr>
                    <w:top w:val="none" w:sz="0" w:space="0" w:color="auto"/>
                    <w:left w:val="none" w:sz="0" w:space="0" w:color="auto"/>
                    <w:bottom w:val="none" w:sz="0" w:space="0" w:color="auto"/>
                    <w:right w:val="none" w:sz="0" w:space="0" w:color="auto"/>
                  </w:divBdr>
                  <w:divsChild>
                    <w:div w:id="930818988">
                      <w:marLeft w:val="0"/>
                      <w:marRight w:val="0"/>
                      <w:marTop w:val="0"/>
                      <w:marBottom w:val="0"/>
                      <w:divBdr>
                        <w:top w:val="none" w:sz="0" w:space="0" w:color="auto"/>
                        <w:left w:val="none" w:sz="0" w:space="0" w:color="auto"/>
                        <w:bottom w:val="none" w:sz="0" w:space="0" w:color="auto"/>
                        <w:right w:val="none" w:sz="0" w:space="0" w:color="auto"/>
                      </w:divBdr>
                    </w:div>
                  </w:divsChild>
                </w:div>
                <w:div w:id="1967347036">
                  <w:marLeft w:val="0"/>
                  <w:marRight w:val="0"/>
                  <w:marTop w:val="0"/>
                  <w:marBottom w:val="0"/>
                  <w:divBdr>
                    <w:top w:val="none" w:sz="0" w:space="0" w:color="auto"/>
                    <w:left w:val="none" w:sz="0" w:space="0" w:color="auto"/>
                    <w:bottom w:val="none" w:sz="0" w:space="0" w:color="auto"/>
                    <w:right w:val="none" w:sz="0" w:space="0" w:color="auto"/>
                  </w:divBdr>
                  <w:divsChild>
                    <w:div w:id="667907070">
                      <w:marLeft w:val="0"/>
                      <w:marRight w:val="0"/>
                      <w:marTop w:val="0"/>
                      <w:marBottom w:val="0"/>
                      <w:divBdr>
                        <w:top w:val="none" w:sz="0" w:space="0" w:color="auto"/>
                        <w:left w:val="none" w:sz="0" w:space="0" w:color="auto"/>
                        <w:bottom w:val="none" w:sz="0" w:space="0" w:color="auto"/>
                        <w:right w:val="none" w:sz="0" w:space="0" w:color="auto"/>
                      </w:divBdr>
                    </w:div>
                  </w:divsChild>
                </w:div>
                <w:div w:id="1975672126">
                  <w:marLeft w:val="0"/>
                  <w:marRight w:val="0"/>
                  <w:marTop w:val="0"/>
                  <w:marBottom w:val="0"/>
                  <w:divBdr>
                    <w:top w:val="none" w:sz="0" w:space="0" w:color="auto"/>
                    <w:left w:val="none" w:sz="0" w:space="0" w:color="auto"/>
                    <w:bottom w:val="none" w:sz="0" w:space="0" w:color="auto"/>
                    <w:right w:val="none" w:sz="0" w:space="0" w:color="auto"/>
                  </w:divBdr>
                  <w:divsChild>
                    <w:div w:id="1738670440">
                      <w:marLeft w:val="0"/>
                      <w:marRight w:val="0"/>
                      <w:marTop w:val="0"/>
                      <w:marBottom w:val="0"/>
                      <w:divBdr>
                        <w:top w:val="none" w:sz="0" w:space="0" w:color="auto"/>
                        <w:left w:val="none" w:sz="0" w:space="0" w:color="auto"/>
                        <w:bottom w:val="none" w:sz="0" w:space="0" w:color="auto"/>
                        <w:right w:val="none" w:sz="0" w:space="0" w:color="auto"/>
                      </w:divBdr>
                    </w:div>
                  </w:divsChild>
                </w:div>
                <w:div w:id="1976065047">
                  <w:marLeft w:val="0"/>
                  <w:marRight w:val="0"/>
                  <w:marTop w:val="0"/>
                  <w:marBottom w:val="0"/>
                  <w:divBdr>
                    <w:top w:val="none" w:sz="0" w:space="0" w:color="auto"/>
                    <w:left w:val="none" w:sz="0" w:space="0" w:color="auto"/>
                    <w:bottom w:val="none" w:sz="0" w:space="0" w:color="auto"/>
                    <w:right w:val="none" w:sz="0" w:space="0" w:color="auto"/>
                  </w:divBdr>
                  <w:divsChild>
                    <w:div w:id="1167478229">
                      <w:marLeft w:val="0"/>
                      <w:marRight w:val="0"/>
                      <w:marTop w:val="0"/>
                      <w:marBottom w:val="0"/>
                      <w:divBdr>
                        <w:top w:val="none" w:sz="0" w:space="0" w:color="auto"/>
                        <w:left w:val="none" w:sz="0" w:space="0" w:color="auto"/>
                        <w:bottom w:val="none" w:sz="0" w:space="0" w:color="auto"/>
                        <w:right w:val="none" w:sz="0" w:space="0" w:color="auto"/>
                      </w:divBdr>
                    </w:div>
                  </w:divsChild>
                </w:div>
                <w:div w:id="1977568226">
                  <w:marLeft w:val="0"/>
                  <w:marRight w:val="0"/>
                  <w:marTop w:val="0"/>
                  <w:marBottom w:val="0"/>
                  <w:divBdr>
                    <w:top w:val="none" w:sz="0" w:space="0" w:color="auto"/>
                    <w:left w:val="none" w:sz="0" w:space="0" w:color="auto"/>
                    <w:bottom w:val="none" w:sz="0" w:space="0" w:color="auto"/>
                    <w:right w:val="none" w:sz="0" w:space="0" w:color="auto"/>
                  </w:divBdr>
                  <w:divsChild>
                    <w:div w:id="99224223">
                      <w:marLeft w:val="0"/>
                      <w:marRight w:val="0"/>
                      <w:marTop w:val="0"/>
                      <w:marBottom w:val="0"/>
                      <w:divBdr>
                        <w:top w:val="none" w:sz="0" w:space="0" w:color="auto"/>
                        <w:left w:val="none" w:sz="0" w:space="0" w:color="auto"/>
                        <w:bottom w:val="none" w:sz="0" w:space="0" w:color="auto"/>
                        <w:right w:val="none" w:sz="0" w:space="0" w:color="auto"/>
                      </w:divBdr>
                    </w:div>
                  </w:divsChild>
                </w:div>
                <w:div w:id="1984001525">
                  <w:marLeft w:val="0"/>
                  <w:marRight w:val="0"/>
                  <w:marTop w:val="0"/>
                  <w:marBottom w:val="0"/>
                  <w:divBdr>
                    <w:top w:val="none" w:sz="0" w:space="0" w:color="auto"/>
                    <w:left w:val="none" w:sz="0" w:space="0" w:color="auto"/>
                    <w:bottom w:val="none" w:sz="0" w:space="0" w:color="auto"/>
                    <w:right w:val="none" w:sz="0" w:space="0" w:color="auto"/>
                  </w:divBdr>
                  <w:divsChild>
                    <w:div w:id="342241813">
                      <w:marLeft w:val="0"/>
                      <w:marRight w:val="0"/>
                      <w:marTop w:val="0"/>
                      <w:marBottom w:val="0"/>
                      <w:divBdr>
                        <w:top w:val="none" w:sz="0" w:space="0" w:color="auto"/>
                        <w:left w:val="none" w:sz="0" w:space="0" w:color="auto"/>
                        <w:bottom w:val="none" w:sz="0" w:space="0" w:color="auto"/>
                        <w:right w:val="none" w:sz="0" w:space="0" w:color="auto"/>
                      </w:divBdr>
                    </w:div>
                  </w:divsChild>
                </w:div>
                <w:div w:id="1986818404">
                  <w:marLeft w:val="0"/>
                  <w:marRight w:val="0"/>
                  <w:marTop w:val="0"/>
                  <w:marBottom w:val="0"/>
                  <w:divBdr>
                    <w:top w:val="none" w:sz="0" w:space="0" w:color="auto"/>
                    <w:left w:val="none" w:sz="0" w:space="0" w:color="auto"/>
                    <w:bottom w:val="none" w:sz="0" w:space="0" w:color="auto"/>
                    <w:right w:val="none" w:sz="0" w:space="0" w:color="auto"/>
                  </w:divBdr>
                  <w:divsChild>
                    <w:div w:id="1683702321">
                      <w:marLeft w:val="0"/>
                      <w:marRight w:val="0"/>
                      <w:marTop w:val="0"/>
                      <w:marBottom w:val="0"/>
                      <w:divBdr>
                        <w:top w:val="none" w:sz="0" w:space="0" w:color="auto"/>
                        <w:left w:val="none" w:sz="0" w:space="0" w:color="auto"/>
                        <w:bottom w:val="none" w:sz="0" w:space="0" w:color="auto"/>
                        <w:right w:val="none" w:sz="0" w:space="0" w:color="auto"/>
                      </w:divBdr>
                    </w:div>
                  </w:divsChild>
                </w:div>
                <w:div w:id="2000887362">
                  <w:marLeft w:val="0"/>
                  <w:marRight w:val="0"/>
                  <w:marTop w:val="0"/>
                  <w:marBottom w:val="0"/>
                  <w:divBdr>
                    <w:top w:val="none" w:sz="0" w:space="0" w:color="auto"/>
                    <w:left w:val="none" w:sz="0" w:space="0" w:color="auto"/>
                    <w:bottom w:val="none" w:sz="0" w:space="0" w:color="auto"/>
                    <w:right w:val="none" w:sz="0" w:space="0" w:color="auto"/>
                  </w:divBdr>
                  <w:divsChild>
                    <w:div w:id="1643004789">
                      <w:marLeft w:val="0"/>
                      <w:marRight w:val="0"/>
                      <w:marTop w:val="0"/>
                      <w:marBottom w:val="0"/>
                      <w:divBdr>
                        <w:top w:val="none" w:sz="0" w:space="0" w:color="auto"/>
                        <w:left w:val="none" w:sz="0" w:space="0" w:color="auto"/>
                        <w:bottom w:val="none" w:sz="0" w:space="0" w:color="auto"/>
                        <w:right w:val="none" w:sz="0" w:space="0" w:color="auto"/>
                      </w:divBdr>
                    </w:div>
                  </w:divsChild>
                </w:div>
                <w:div w:id="2002737394">
                  <w:marLeft w:val="0"/>
                  <w:marRight w:val="0"/>
                  <w:marTop w:val="0"/>
                  <w:marBottom w:val="0"/>
                  <w:divBdr>
                    <w:top w:val="none" w:sz="0" w:space="0" w:color="auto"/>
                    <w:left w:val="none" w:sz="0" w:space="0" w:color="auto"/>
                    <w:bottom w:val="none" w:sz="0" w:space="0" w:color="auto"/>
                    <w:right w:val="none" w:sz="0" w:space="0" w:color="auto"/>
                  </w:divBdr>
                  <w:divsChild>
                    <w:div w:id="1304116064">
                      <w:marLeft w:val="0"/>
                      <w:marRight w:val="0"/>
                      <w:marTop w:val="0"/>
                      <w:marBottom w:val="0"/>
                      <w:divBdr>
                        <w:top w:val="none" w:sz="0" w:space="0" w:color="auto"/>
                        <w:left w:val="none" w:sz="0" w:space="0" w:color="auto"/>
                        <w:bottom w:val="none" w:sz="0" w:space="0" w:color="auto"/>
                        <w:right w:val="none" w:sz="0" w:space="0" w:color="auto"/>
                      </w:divBdr>
                    </w:div>
                  </w:divsChild>
                </w:div>
                <w:div w:id="2015915481">
                  <w:marLeft w:val="0"/>
                  <w:marRight w:val="0"/>
                  <w:marTop w:val="0"/>
                  <w:marBottom w:val="0"/>
                  <w:divBdr>
                    <w:top w:val="none" w:sz="0" w:space="0" w:color="auto"/>
                    <w:left w:val="none" w:sz="0" w:space="0" w:color="auto"/>
                    <w:bottom w:val="none" w:sz="0" w:space="0" w:color="auto"/>
                    <w:right w:val="none" w:sz="0" w:space="0" w:color="auto"/>
                  </w:divBdr>
                  <w:divsChild>
                    <w:div w:id="1856528754">
                      <w:marLeft w:val="0"/>
                      <w:marRight w:val="0"/>
                      <w:marTop w:val="0"/>
                      <w:marBottom w:val="0"/>
                      <w:divBdr>
                        <w:top w:val="none" w:sz="0" w:space="0" w:color="auto"/>
                        <w:left w:val="none" w:sz="0" w:space="0" w:color="auto"/>
                        <w:bottom w:val="none" w:sz="0" w:space="0" w:color="auto"/>
                        <w:right w:val="none" w:sz="0" w:space="0" w:color="auto"/>
                      </w:divBdr>
                    </w:div>
                  </w:divsChild>
                </w:div>
                <w:div w:id="2046444961">
                  <w:marLeft w:val="0"/>
                  <w:marRight w:val="0"/>
                  <w:marTop w:val="0"/>
                  <w:marBottom w:val="0"/>
                  <w:divBdr>
                    <w:top w:val="none" w:sz="0" w:space="0" w:color="auto"/>
                    <w:left w:val="none" w:sz="0" w:space="0" w:color="auto"/>
                    <w:bottom w:val="none" w:sz="0" w:space="0" w:color="auto"/>
                    <w:right w:val="none" w:sz="0" w:space="0" w:color="auto"/>
                  </w:divBdr>
                  <w:divsChild>
                    <w:div w:id="369233220">
                      <w:marLeft w:val="0"/>
                      <w:marRight w:val="0"/>
                      <w:marTop w:val="0"/>
                      <w:marBottom w:val="0"/>
                      <w:divBdr>
                        <w:top w:val="none" w:sz="0" w:space="0" w:color="auto"/>
                        <w:left w:val="none" w:sz="0" w:space="0" w:color="auto"/>
                        <w:bottom w:val="none" w:sz="0" w:space="0" w:color="auto"/>
                        <w:right w:val="none" w:sz="0" w:space="0" w:color="auto"/>
                      </w:divBdr>
                    </w:div>
                  </w:divsChild>
                </w:div>
                <w:div w:id="2060738439">
                  <w:marLeft w:val="0"/>
                  <w:marRight w:val="0"/>
                  <w:marTop w:val="0"/>
                  <w:marBottom w:val="0"/>
                  <w:divBdr>
                    <w:top w:val="none" w:sz="0" w:space="0" w:color="auto"/>
                    <w:left w:val="none" w:sz="0" w:space="0" w:color="auto"/>
                    <w:bottom w:val="none" w:sz="0" w:space="0" w:color="auto"/>
                    <w:right w:val="none" w:sz="0" w:space="0" w:color="auto"/>
                  </w:divBdr>
                  <w:divsChild>
                    <w:div w:id="572860612">
                      <w:marLeft w:val="0"/>
                      <w:marRight w:val="0"/>
                      <w:marTop w:val="0"/>
                      <w:marBottom w:val="0"/>
                      <w:divBdr>
                        <w:top w:val="none" w:sz="0" w:space="0" w:color="auto"/>
                        <w:left w:val="none" w:sz="0" w:space="0" w:color="auto"/>
                        <w:bottom w:val="none" w:sz="0" w:space="0" w:color="auto"/>
                        <w:right w:val="none" w:sz="0" w:space="0" w:color="auto"/>
                      </w:divBdr>
                    </w:div>
                  </w:divsChild>
                </w:div>
                <w:div w:id="2082673403">
                  <w:marLeft w:val="0"/>
                  <w:marRight w:val="0"/>
                  <w:marTop w:val="0"/>
                  <w:marBottom w:val="0"/>
                  <w:divBdr>
                    <w:top w:val="none" w:sz="0" w:space="0" w:color="auto"/>
                    <w:left w:val="none" w:sz="0" w:space="0" w:color="auto"/>
                    <w:bottom w:val="none" w:sz="0" w:space="0" w:color="auto"/>
                    <w:right w:val="none" w:sz="0" w:space="0" w:color="auto"/>
                  </w:divBdr>
                  <w:divsChild>
                    <w:div w:id="1216893210">
                      <w:marLeft w:val="0"/>
                      <w:marRight w:val="0"/>
                      <w:marTop w:val="0"/>
                      <w:marBottom w:val="0"/>
                      <w:divBdr>
                        <w:top w:val="none" w:sz="0" w:space="0" w:color="auto"/>
                        <w:left w:val="none" w:sz="0" w:space="0" w:color="auto"/>
                        <w:bottom w:val="none" w:sz="0" w:space="0" w:color="auto"/>
                        <w:right w:val="none" w:sz="0" w:space="0" w:color="auto"/>
                      </w:divBdr>
                    </w:div>
                  </w:divsChild>
                </w:div>
                <w:div w:id="2085031268">
                  <w:marLeft w:val="0"/>
                  <w:marRight w:val="0"/>
                  <w:marTop w:val="0"/>
                  <w:marBottom w:val="0"/>
                  <w:divBdr>
                    <w:top w:val="none" w:sz="0" w:space="0" w:color="auto"/>
                    <w:left w:val="none" w:sz="0" w:space="0" w:color="auto"/>
                    <w:bottom w:val="none" w:sz="0" w:space="0" w:color="auto"/>
                    <w:right w:val="none" w:sz="0" w:space="0" w:color="auto"/>
                  </w:divBdr>
                  <w:divsChild>
                    <w:div w:id="40254278">
                      <w:marLeft w:val="0"/>
                      <w:marRight w:val="0"/>
                      <w:marTop w:val="0"/>
                      <w:marBottom w:val="0"/>
                      <w:divBdr>
                        <w:top w:val="none" w:sz="0" w:space="0" w:color="auto"/>
                        <w:left w:val="none" w:sz="0" w:space="0" w:color="auto"/>
                        <w:bottom w:val="none" w:sz="0" w:space="0" w:color="auto"/>
                        <w:right w:val="none" w:sz="0" w:space="0" w:color="auto"/>
                      </w:divBdr>
                    </w:div>
                  </w:divsChild>
                </w:div>
                <w:div w:id="2115396726">
                  <w:marLeft w:val="0"/>
                  <w:marRight w:val="0"/>
                  <w:marTop w:val="0"/>
                  <w:marBottom w:val="0"/>
                  <w:divBdr>
                    <w:top w:val="none" w:sz="0" w:space="0" w:color="auto"/>
                    <w:left w:val="none" w:sz="0" w:space="0" w:color="auto"/>
                    <w:bottom w:val="none" w:sz="0" w:space="0" w:color="auto"/>
                    <w:right w:val="none" w:sz="0" w:space="0" w:color="auto"/>
                  </w:divBdr>
                  <w:divsChild>
                    <w:div w:id="1054738783">
                      <w:marLeft w:val="0"/>
                      <w:marRight w:val="0"/>
                      <w:marTop w:val="0"/>
                      <w:marBottom w:val="0"/>
                      <w:divBdr>
                        <w:top w:val="none" w:sz="0" w:space="0" w:color="auto"/>
                        <w:left w:val="none" w:sz="0" w:space="0" w:color="auto"/>
                        <w:bottom w:val="none" w:sz="0" w:space="0" w:color="auto"/>
                        <w:right w:val="none" w:sz="0" w:space="0" w:color="auto"/>
                      </w:divBdr>
                    </w:div>
                  </w:divsChild>
                </w:div>
                <w:div w:id="2133596584">
                  <w:marLeft w:val="0"/>
                  <w:marRight w:val="0"/>
                  <w:marTop w:val="0"/>
                  <w:marBottom w:val="0"/>
                  <w:divBdr>
                    <w:top w:val="none" w:sz="0" w:space="0" w:color="auto"/>
                    <w:left w:val="none" w:sz="0" w:space="0" w:color="auto"/>
                    <w:bottom w:val="none" w:sz="0" w:space="0" w:color="auto"/>
                    <w:right w:val="none" w:sz="0" w:space="0" w:color="auto"/>
                  </w:divBdr>
                  <w:divsChild>
                    <w:div w:id="1895921469">
                      <w:marLeft w:val="0"/>
                      <w:marRight w:val="0"/>
                      <w:marTop w:val="0"/>
                      <w:marBottom w:val="0"/>
                      <w:divBdr>
                        <w:top w:val="none" w:sz="0" w:space="0" w:color="auto"/>
                        <w:left w:val="none" w:sz="0" w:space="0" w:color="auto"/>
                        <w:bottom w:val="none" w:sz="0" w:space="0" w:color="auto"/>
                        <w:right w:val="none" w:sz="0" w:space="0" w:color="auto"/>
                      </w:divBdr>
                    </w:div>
                  </w:divsChild>
                </w:div>
                <w:div w:id="2135978541">
                  <w:marLeft w:val="0"/>
                  <w:marRight w:val="0"/>
                  <w:marTop w:val="0"/>
                  <w:marBottom w:val="0"/>
                  <w:divBdr>
                    <w:top w:val="none" w:sz="0" w:space="0" w:color="auto"/>
                    <w:left w:val="none" w:sz="0" w:space="0" w:color="auto"/>
                    <w:bottom w:val="none" w:sz="0" w:space="0" w:color="auto"/>
                    <w:right w:val="none" w:sz="0" w:space="0" w:color="auto"/>
                  </w:divBdr>
                  <w:divsChild>
                    <w:div w:id="1168446542">
                      <w:marLeft w:val="0"/>
                      <w:marRight w:val="0"/>
                      <w:marTop w:val="0"/>
                      <w:marBottom w:val="0"/>
                      <w:divBdr>
                        <w:top w:val="none" w:sz="0" w:space="0" w:color="auto"/>
                        <w:left w:val="none" w:sz="0" w:space="0" w:color="auto"/>
                        <w:bottom w:val="none" w:sz="0" w:space="0" w:color="auto"/>
                        <w:right w:val="none" w:sz="0" w:space="0" w:color="auto"/>
                      </w:divBdr>
                    </w:div>
                  </w:divsChild>
                </w:div>
                <w:div w:id="2140222024">
                  <w:marLeft w:val="0"/>
                  <w:marRight w:val="0"/>
                  <w:marTop w:val="0"/>
                  <w:marBottom w:val="0"/>
                  <w:divBdr>
                    <w:top w:val="none" w:sz="0" w:space="0" w:color="auto"/>
                    <w:left w:val="none" w:sz="0" w:space="0" w:color="auto"/>
                    <w:bottom w:val="none" w:sz="0" w:space="0" w:color="auto"/>
                    <w:right w:val="none" w:sz="0" w:space="0" w:color="auto"/>
                  </w:divBdr>
                  <w:divsChild>
                    <w:div w:id="158715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331">
          <w:marLeft w:val="0"/>
          <w:marRight w:val="0"/>
          <w:marTop w:val="0"/>
          <w:marBottom w:val="0"/>
          <w:divBdr>
            <w:top w:val="none" w:sz="0" w:space="0" w:color="auto"/>
            <w:left w:val="none" w:sz="0" w:space="0" w:color="auto"/>
            <w:bottom w:val="none" w:sz="0" w:space="0" w:color="auto"/>
            <w:right w:val="none" w:sz="0" w:space="0" w:color="auto"/>
          </w:divBdr>
        </w:div>
        <w:div w:id="95101795">
          <w:marLeft w:val="0"/>
          <w:marRight w:val="0"/>
          <w:marTop w:val="0"/>
          <w:marBottom w:val="0"/>
          <w:divBdr>
            <w:top w:val="none" w:sz="0" w:space="0" w:color="auto"/>
            <w:left w:val="none" w:sz="0" w:space="0" w:color="auto"/>
            <w:bottom w:val="none" w:sz="0" w:space="0" w:color="auto"/>
            <w:right w:val="none" w:sz="0" w:space="0" w:color="auto"/>
          </w:divBdr>
        </w:div>
        <w:div w:id="111368394">
          <w:marLeft w:val="0"/>
          <w:marRight w:val="0"/>
          <w:marTop w:val="0"/>
          <w:marBottom w:val="0"/>
          <w:divBdr>
            <w:top w:val="none" w:sz="0" w:space="0" w:color="auto"/>
            <w:left w:val="none" w:sz="0" w:space="0" w:color="auto"/>
            <w:bottom w:val="none" w:sz="0" w:space="0" w:color="auto"/>
            <w:right w:val="none" w:sz="0" w:space="0" w:color="auto"/>
          </w:divBdr>
        </w:div>
        <w:div w:id="112486735">
          <w:marLeft w:val="0"/>
          <w:marRight w:val="0"/>
          <w:marTop w:val="0"/>
          <w:marBottom w:val="0"/>
          <w:divBdr>
            <w:top w:val="none" w:sz="0" w:space="0" w:color="auto"/>
            <w:left w:val="none" w:sz="0" w:space="0" w:color="auto"/>
            <w:bottom w:val="none" w:sz="0" w:space="0" w:color="auto"/>
            <w:right w:val="none" w:sz="0" w:space="0" w:color="auto"/>
          </w:divBdr>
        </w:div>
        <w:div w:id="138883485">
          <w:marLeft w:val="0"/>
          <w:marRight w:val="0"/>
          <w:marTop w:val="0"/>
          <w:marBottom w:val="0"/>
          <w:divBdr>
            <w:top w:val="none" w:sz="0" w:space="0" w:color="auto"/>
            <w:left w:val="none" w:sz="0" w:space="0" w:color="auto"/>
            <w:bottom w:val="none" w:sz="0" w:space="0" w:color="auto"/>
            <w:right w:val="none" w:sz="0" w:space="0" w:color="auto"/>
          </w:divBdr>
          <w:divsChild>
            <w:div w:id="1151293867">
              <w:marLeft w:val="-75"/>
              <w:marRight w:val="0"/>
              <w:marTop w:val="30"/>
              <w:marBottom w:val="30"/>
              <w:divBdr>
                <w:top w:val="none" w:sz="0" w:space="0" w:color="auto"/>
                <w:left w:val="none" w:sz="0" w:space="0" w:color="auto"/>
                <w:bottom w:val="none" w:sz="0" w:space="0" w:color="auto"/>
                <w:right w:val="none" w:sz="0" w:space="0" w:color="auto"/>
              </w:divBdr>
              <w:divsChild>
                <w:div w:id="85349803">
                  <w:marLeft w:val="0"/>
                  <w:marRight w:val="0"/>
                  <w:marTop w:val="0"/>
                  <w:marBottom w:val="0"/>
                  <w:divBdr>
                    <w:top w:val="none" w:sz="0" w:space="0" w:color="auto"/>
                    <w:left w:val="none" w:sz="0" w:space="0" w:color="auto"/>
                    <w:bottom w:val="none" w:sz="0" w:space="0" w:color="auto"/>
                    <w:right w:val="none" w:sz="0" w:space="0" w:color="auto"/>
                  </w:divBdr>
                  <w:divsChild>
                    <w:div w:id="103697183">
                      <w:marLeft w:val="0"/>
                      <w:marRight w:val="0"/>
                      <w:marTop w:val="0"/>
                      <w:marBottom w:val="0"/>
                      <w:divBdr>
                        <w:top w:val="none" w:sz="0" w:space="0" w:color="auto"/>
                        <w:left w:val="none" w:sz="0" w:space="0" w:color="auto"/>
                        <w:bottom w:val="none" w:sz="0" w:space="0" w:color="auto"/>
                        <w:right w:val="none" w:sz="0" w:space="0" w:color="auto"/>
                      </w:divBdr>
                    </w:div>
                  </w:divsChild>
                </w:div>
                <w:div w:id="93794733">
                  <w:marLeft w:val="0"/>
                  <w:marRight w:val="0"/>
                  <w:marTop w:val="0"/>
                  <w:marBottom w:val="0"/>
                  <w:divBdr>
                    <w:top w:val="none" w:sz="0" w:space="0" w:color="auto"/>
                    <w:left w:val="none" w:sz="0" w:space="0" w:color="auto"/>
                    <w:bottom w:val="none" w:sz="0" w:space="0" w:color="auto"/>
                    <w:right w:val="none" w:sz="0" w:space="0" w:color="auto"/>
                  </w:divBdr>
                  <w:divsChild>
                    <w:div w:id="40911713">
                      <w:marLeft w:val="0"/>
                      <w:marRight w:val="0"/>
                      <w:marTop w:val="0"/>
                      <w:marBottom w:val="0"/>
                      <w:divBdr>
                        <w:top w:val="none" w:sz="0" w:space="0" w:color="auto"/>
                        <w:left w:val="none" w:sz="0" w:space="0" w:color="auto"/>
                        <w:bottom w:val="none" w:sz="0" w:space="0" w:color="auto"/>
                        <w:right w:val="none" w:sz="0" w:space="0" w:color="auto"/>
                      </w:divBdr>
                    </w:div>
                  </w:divsChild>
                </w:div>
                <w:div w:id="347372180">
                  <w:marLeft w:val="0"/>
                  <w:marRight w:val="0"/>
                  <w:marTop w:val="0"/>
                  <w:marBottom w:val="0"/>
                  <w:divBdr>
                    <w:top w:val="none" w:sz="0" w:space="0" w:color="auto"/>
                    <w:left w:val="none" w:sz="0" w:space="0" w:color="auto"/>
                    <w:bottom w:val="none" w:sz="0" w:space="0" w:color="auto"/>
                    <w:right w:val="none" w:sz="0" w:space="0" w:color="auto"/>
                  </w:divBdr>
                  <w:divsChild>
                    <w:div w:id="1783837617">
                      <w:marLeft w:val="0"/>
                      <w:marRight w:val="0"/>
                      <w:marTop w:val="0"/>
                      <w:marBottom w:val="0"/>
                      <w:divBdr>
                        <w:top w:val="none" w:sz="0" w:space="0" w:color="auto"/>
                        <w:left w:val="none" w:sz="0" w:space="0" w:color="auto"/>
                        <w:bottom w:val="none" w:sz="0" w:space="0" w:color="auto"/>
                        <w:right w:val="none" w:sz="0" w:space="0" w:color="auto"/>
                      </w:divBdr>
                    </w:div>
                  </w:divsChild>
                </w:div>
                <w:div w:id="349264141">
                  <w:marLeft w:val="0"/>
                  <w:marRight w:val="0"/>
                  <w:marTop w:val="0"/>
                  <w:marBottom w:val="0"/>
                  <w:divBdr>
                    <w:top w:val="none" w:sz="0" w:space="0" w:color="auto"/>
                    <w:left w:val="none" w:sz="0" w:space="0" w:color="auto"/>
                    <w:bottom w:val="none" w:sz="0" w:space="0" w:color="auto"/>
                    <w:right w:val="none" w:sz="0" w:space="0" w:color="auto"/>
                  </w:divBdr>
                  <w:divsChild>
                    <w:div w:id="1755010541">
                      <w:marLeft w:val="0"/>
                      <w:marRight w:val="0"/>
                      <w:marTop w:val="0"/>
                      <w:marBottom w:val="0"/>
                      <w:divBdr>
                        <w:top w:val="none" w:sz="0" w:space="0" w:color="auto"/>
                        <w:left w:val="none" w:sz="0" w:space="0" w:color="auto"/>
                        <w:bottom w:val="none" w:sz="0" w:space="0" w:color="auto"/>
                        <w:right w:val="none" w:sz="0" w:space="0" w:color="auto"/>
                      </w:divBdr>
                    </w:div>
                  </w:divsChild>
                </w:div>
                <w:div w:id="431127374">
                  <w:marLeft w:val="0"/>
                  <w:marRight w:val="0"/>
                  <w:marTop w:val="0"/>
                  <w:marBottom w:val="0"/>
                  <w:divBdr>
                    <w:top w:val="none" w:sz="0" w:space="0" w:color="auto"/>
                    <w:left w:val="none" w:sz="0" w:space="0" w:color="auto"/>
                    <w:bottom w:val="none" w:sz="0" w:space="0" w:color="auto"/>
                    <w:right w:val="none" w:sz="0" w:space="0" w:color="auto"/>
                  </w:divBdr>
                  <w:divsChild>
                    <w:div w:id="55054328">
                      <w:marLeft w:val="0"/>
                      <w:marRight w:val="0"/>
                      <w:marTop w:val="0"/>
                      <w:marBottom w:val="0"/>
                      <w:divBdr>
                        <w:top w:val="none" w:sz="0" w:space="0" w:color="auto"/>
                        <w:left w:val="none" w:sz="0" w:space="0" w:color="auto"/>
                        <w:bottom w:val="none" w:sz="0" w:space="0" w:color="auto"/>
                        <w:right w:val="none" w:sz="0" w:space="0" w:color="auto"/>
                      </w:divBdr>
                    </w:div>
                  </w:divsChild>
                </w:div>
                <w:div w:id="490028133">
                  <w:marLeft w:val="0"/>
                  <w:marRight w:val="0"/>
                  <w:marTop w:val="0"/>
                  <w:marBottom w:val="0"/>
                  <w:divBdr>
                    <w:top w:val="none" w:sz="0" w:space="0" w:color="auto"/>
                    <w:left w:val="none" w:sz="0" w:space="0" w:color="auto"/>
                    <w:bottom w:val="none" w:sz="0" w:space="0" w:color="auto"/>
                    <w:right w:val="none" w:sz="0" w:space="0" w:color="auto"/>
                  </w:divBdr>
                  <w:divsChild>
                    <w:div w:id="27068727">
                      <w:marLeft w:val="0"/>
                      <w:marRight w:val="0"/>
                      <w:marTop w:val="0"/>
                      <w:marBottom w:val="0"/>
                      <w:divBdr>
                        <w:top w:val="none" w:sz="0" w:space="0" w:color="auto"/>
                        <w:left w:val="none" w:sz="0" w:space="0" w:color="auto"/>
                        <w:bottom w:val="none" w:sz="0" w:space="0" w:color="auto"/>
                        <w:right w:val="none" w:sz="0" w:space="0" w:color="auto"/>
                      </w:divBdr>
                    </w:div>
                  </w:divsChild>
                </w:div>
                <w:div w:id="511721637">
                  <w:marLeft w:val="0"/>
                  <w:marRight w:val="0"/>
                  <w:marTop w:val="0"/>
                  <w:marBottom w:val="0"/>
                  <w:divBdr>
                    <w:top w:val="none" w:sz="0" w:space="0" w:color="auto"/>
                    <w:left w:val="none" w:sz="0" w:space="0" w:color="auto"/>
                    <w:bottom w:val="none" w:sz="0" w:space="0" w:color="auto"/>
                    <w:right w:val="none" w:sz="0" w:space="0" w:color="auto"/>
                  </w:divBdr>
                  <w:divsChild>
                    <w:div w:id="186992259">
                      <w:marLeft w:val="0"/>
                      <w:marRight w:val="0"/>
                      <w:marTop w:val="0"/>
                      <w:marBottom w:val="0"/>
                      <w:divBdr>
                        <w:top w:val="none" w:sz="0" w:space="0" w:color="auto"/>
                        <w:left w:val="none" w:sz="0" w:space="0" w:color="auto"/>
                        <w:bottom w:val="none" w:sz="0" w:space="0" w:color="auto"/>
                        <w:right w:val="none" w:sz="0" w:space="0" w:color="auto"/>
                      </w:divBdr>
                    </w:div>
                    <w:div w:id="2035617923">
                      <w:marLeft w:val="0"/>
                      <w:marRight w:val="0"/>
                      <w:marTop w:val="0"/>
                      <w:marBottom w:val="0"/>
                      <w:divBdr>
                        <w:top w:val="none" w:sz="0" w:space="0" w:color="auto"/>
                        <w:left w:val="none" w:sz="0" w:space="0" w:color="auto"/>
                        <w:bottom w:val="none" w:sz="0" w:space="0" w:color="auto"/>
                        <w:right w:val="none" w:sz="0" w:space="0" w:color="auto"/>
                      </w:divBdr>
                    </w:div>
                  </w:divsChild>
                </w:div>
                <w:div w:id="608781920">
                  <w:marLeft w:val="0"/>
                  <w:marRight w:val="0"/>
                  <w:marTop w:val="0"/>
                  <w:marBottom w:val="0"/>
                  <w:divBdr>
                    <w:top w:val="none" w:sz="0" w:space="0" w:color="auto"/>
                    <w:left w:val="none" w:sz="0" w:space="0" w:color="auto"/>
                    <w:bottom w:val="none" w:sz="0" w:space="0" w:color="auto"/>
                    <w:right w:val="none" w:sz="0" w:space="0" w:color="auto"/>
                  </w:divBdr>
                  <w:divsChild>
                    <w:div w:id="747846721">
                      <w:marLeft w:val="0"/>
                      <w:marRight w:val="0"/>
                      <w:marTop w:val="0"/>
                      <w:marBottom w:val="0"/>
                      <w:divBdr>
                        <w:top w:val="none" w:sz="0" w:space="0" w:color="auto"/>
                        <w:left w:val="none" w:sz="0" w:space="0" w:color="auto"/>
                        <w:bottom w:val="none" w:sz="0" w:space="0" w:color="auto"/>
                        <w:right w:val="none" w:sz="0" w:space="0" w:color="auto"/>
                      </w:divBdr>
                    </w:div>
                  </w:divsChild>
                </w:div>
                <w:div w:id="740299705">
                  <w:marLeft w:val="0"/>
                  <w:marRight w:val="0"/>
                  <w:marTop w:val="0"/>
                  <w:marBottom w:val="0"/>
                  <w:divBdr>
                    <w:top w:val="none" w:sz="0" w:space="0" w:color="auto"/>
                    <w:left w:val="none" w:sz="0" w:space="0" w:color="auto"/>
                    <w:bottom w:val="none" w:sz="0" w:space="0" w:color="auto"/>
                    <w:right w:val="none" w:sz="0" w:space="0" w:color="auto"/>
                  </w:divBdr>
                  <w:divsChild>
                    <w:div w:id="1047416452">
                      <w:marLeft w:val="0"/>
                      <w:marRight w:val="0"/>
                      <w:marTop w:val="0"/>
                      <w:marBottom w:val="0"/>
                      <w:divBdr>
                        <w:top w:val="none" w:sz="0" w:space="0" w:color="auto"/>
                        <w:left w:val="none" w:sz="0" w:space="0" w:color="auto"/>
                        <w:bottom w:val="none" w:sz="0" w:space="0" w:color="auto"/>
                        <w:right w:val="none" w:sz="0" w:space="0" w:color="auto"/>
                      </w:divBdr>
                    </w:div>
                  </w:divsChild>
                </w:div>
                <w:div w:id="827475783">
                  <w:marLeft w:val="0"/>
                  <w:marRight w:val="0"/>
                  <w:marTop w:val="0"/>
                  <w:marBottom w:val="0"/>
                  <w:divBdr>
                    <w:top w:val="none" w:sz="0" w:space="0" w:color="auto"/>
                    <w:left w:val="none" w:sz="0" w:space="0" w:color="auto"/>
                    <w:bottom w:val="none" w:sz="0" w:space="0" w:color="auto"/>
                    <w:right w:val="none" w:sz="0" w:space="0" w:color="auto"/>
                  </w:divBdr>
                  <w:divsChild>
                    <w:div w:id="665744330">
                      <w:marLeft w:val="0"/>
                      <w:marRight w:val="0"/>
                      <w:marTop w:val="0"/>
                      <w:marBottom w:val="0"/>
                      <w:divBdr>
                        <w:top w:val="none" w:sz="0" w:space="0" w:color="auto"/>
                        <w:left w:val="none" w:sz="0" w:space="0" w:color="auto"/>
                        <w:bottom w:val="none" w:sz="0" w:space="0" w:color="auto"/>
                        <w:right w:val="none" w:sz="0" w:space="0" w:color="auto"/>
                      </w:divBdr>
                    </w:div>
                  </w:divsChild>
                </w:div>
                <w:div w:id="906648165">
                  <w:marLeft w:val="0"/>
                  <w:marRight w:val="0"/>
                  <w:marTop w:val="0"/>
                  <w:marBottom w:val="0"/>
                  <w:divBdr>
                    <w:top w:val="none" w:sz="0" w:space="0" w:color="auto"/>
                    <w:left w:val="none" w:sz="0" w:space="0" w:color="auto"/>
                    <w:bottom w:val="none" w:sz="0" w:space="0" w:color="auto"/>
                    <w:right w:val="none" w:sz="0" w:space="0" w:color="auto"/>
                  </w:divBdr>
                  <w:divsChild>
                    <w:div w:id="440271206">
                      <w:marLeft w:val="0"/>
                      <w:marRight w:val="0"/>
                      <w:marTop w:val="0"/>
                      <w:marBottom w:val="0"/>
                      <w:divBdr>
                        <w:top w:val="none" w:sz="0" w:space="0" w:color="auto"/>
                        <w:left w:val="none" w:sz="0" w:space="0" w:color="auto"/>
                        <w:bottom w:val="none" w:sz="0" w:space="0" w:color="auto"/>
                        <w:right w:val="none" w:sz="0" w:space="0" w:color="auto"/>
                      </w:divBdr>
                    </w:div>
                  </w:divsChild>
                </w:div>
                <w:div w:id="1007558090">
                  <w:marLeft w:val="0"/>
                  <w:marRight w:val="0"/>
                  <w:marTop w:val="0"/>
                  <w:marBottom w:val="0"/>
                  <w:divBdr>
                    <w:top w:val="none" w:sz="0" w:space="0" w:color="auto"/>
                    <w:left w:val="none" w:sz="0" w:space="0" w:color="auto"/>
                    <w:bottom w:val="none" w:sz="0" w:space="0" w:color="auto"/>
                    <w:right w:val="none" w:sz="0" w:space="0" w:color="auto"/>
                  </w:divBdr>
                  <w:divsChild>
                    <w:div w:id="217591639">
                      <w:marLeft w:val="0"/>
                      <w:marRight w:val="0"/>
                      <w:marTop w:val="0"/>
                      <w:marBottom w:val="0"/>
                      <w:divBdr>
                        <w:top w:val="none" w:sz="0" w:space="0" w:color="auto"/>
                        <w:left w:val="none" w:sz="0" w:space="0" w:color="auto"/>
                        <w:bottom w:val="none" w:sz="0" w:space="0" w:color="auto"/>
                        <w:right w:val="none" w:sz="0" w:space="0" w:color="auto"/>
                      </w:divBdr>
                    </w:div>
                  </w:divsChild>
                </w:div>
                <w:div w:id="1040668354">
                  <w:marLeft w:val="0"/>
                  <w:marRight w:val="0"/>
                  <w:marTop w:val="0"/>
                  <w:marBottom w:val="0"/>
                  <w:divBdr>
                    <w:top w:val="none" w:sz="0" w:space="0" w:color="auto"/>
                    <w:left w:val="none" w:sz="0" w:space="0" w:color="auto"/>
                    <w:bottom w:val="none" w:sz="0" w:space="0" w:color="auto"/>
                    <w:right w:val="none" w:sz="0" w:space="0" w:color="auto"/>
                  </w:divBdr>
                  <w:divsChild>
                    <w:div w:id="841507398">
                      <w:marLeft w:val="0"/>
                      <w:marRight w:val="0"/>
                      <w:marTop w:val="0"/>
                      <w:marBottom w:val="0"/>
                      <w:divBdr>
                        <w:top w:val="none" w:sz="0" w:space="0" w:color="auto"/>
                        <w:left w:val="none" w:sz="0" w:space="0" w:color="auto"/>
                        <w:bottom w:val="none" w:sz="0" w:space="0" w:color="auto"/>
                        <w:right w:val="none" w:sz="0" w:space="0" w:color="auto"/>
                      </w:divBdr>
                    </w:div>
                  </w:divsChild>
                </w:div>
                <w:div w:id="1082070414">
                  <w:marLeft w:val="0"/>
                  <w:marRight w:val="0"/>
                  <w:marTop w:val="0"/>
                  <w:marBottom w:val="0"/>
                  <w:divBdr>
                    <w:top w:val="none" w:sz="0" w:space="0" w:color="auto"/>
                    <w:left w:val="none" w:sz="0" w:space="0" w:color="auto"/>
                    <w:bottom w:val="none" w:sz="0" w:space="0" w:color="auto"/>
                    <w:right w:val="none" w:sz="0" w:space="0" w:color="auto"/>
                  </w:divBdr>
                  <w:divsChild>
                    <w:div w:id="203757258">
                      <w:marLeft w:val="0"/>
                      <w:marRight w:val="0"/>
                      <w:marTop w:val="0"/>
                      <w:marBottom w:val="0"/>
                      <w:divBdr>
                        <w:top w:val="none" w:sz="0" w:space="0" w:color="auto"/>
                        <w:left w:val="none" w:sz="0" w:space="0" w:color="auto"/>
                        <w:bottom w:val="none" w:sz="0" w:space="0" w:color="auto"/>
                        <w:right w:val="none" w:sz="0" w:space="0" w:color="auto"/>
                      </w:divBdr>
                    </w:div>
                  </w:divsChild>
                </w:div>
                <w:div w:id="1206722586">
                  <w:marLeft w:val="0"/>
                  <w:marRight w:val="0"/>
                  <w:marTop w:val="0"/>
                  <w:marBottom w:val="0"/>
                  <w:divBdr>
                    <w:top w:val="none" w:sz="0" w:space="0" w:color="auto"/>
                    <w:left w:val="none" w:sz="0" w:space="0" w:color="auto"/>
                    <w:bottom w:val="none" w:sz="0" w:space="0" w:color="auto"/>
                    <w:right w:val="none" w:sz="0" w:space="0" w:color="auto"/>
                  </w:divBdr>
                  <w:divsChild>
                    <w:div w:id="1233615893">
                      <w:marLeft w:val="0"/>
                      <w:marRight w:val="0"/>
                      <w:marTop w:val="0"/>
                      <w:marBottom w:val="0"/>
                      <w:divBdr>
                        <w:top w:val="none" w:sz="0" w:space="0" w:color="auto"/>
                        <w:left w:val="none" w:sz="0" w:space="0" w:color="auto"/>
                        <w:bottom w:val="none" w:sz="0" w:space="0" w:color="auto"/>
                        <w:right w:val="none" w:sz="0" w:space="0" w:color="auto"/>
                      </w:divBdr>
                    </w:div>
                    <w:div w:id="1600405600">
                      <w:marLeft w:val="0"/>
                      <w:marRight w:val="0"/>
                      <w:marTop w:val="0"/>
                      <w:marBottom w:val="0"/>
                      <w:divBdr>
                        <w:top w:val="none" w:sz="0" w:space="0" w:color="auto"/>
                        <w:left w:val="none" w:sz="0" w:space="0" w:color="auto"/>
                        <w:bottom w:val="none" w:sz="0" w:space="0" w:color="auto"/>
                        <w:right w:val="none" w:sz="0" w:space="0" w:color="auto"/>
                      </w:divBdr>
                    </w:div>
                  </w:divsChild>
                </w:div>
                <w:div w:id="1423793354">
                  <w:marLeft w:val="0"/>
                  <w:marRight w:val="0"/>
                  <w:marTop w:val="0"/>
                  <w:marBottom w:val="0"/>
                  <w:divBdr>
                    <w:top w:val="none" w:sz="0" w:space="0" w:color="auto"/>
                    <w:left w:val="none" w:sz="0" w:space="0" w:color="auto"/>
                    <w:bottom w:val="none" w:sz="0" w:space="0" w:color="auto"/>
                    <w:right w:val="none" w:sz="0" w:space="0" w:color="auto"/>
                  </w:divBdr>
                  <w:divsChild>
                    <w:div w:id="1246573550">
                      <w:marLeft w:val="0"/>
                      <w:marRight w:val="0"/>
                      <w:marTop w:val="0"/>
                      <w:marBottom w:val="0"/>
                      <w:divBdr>
                        <w:top w:val="none" w:sz="0" w:space="0" w:color="auto"/>
                        <w:left w:val="none" w:sz="0" w:space="0" w:color="auto"/>
                        <w:bottom w:val="none" w:sz="0" w:space="0" w:color="auto"/>
                        <w:right w:val="none" w:sz="0" w:space="0" w:color="auto"/>
                      </w:divBdr>
                    </w:div>
                  </w:divsChild>
                </w:div>
                <w:div w:id="1429737188">
                  <w:marLeft w:val="0"/>
                  <w:marRight w:val="0"/>
                  <w:marTop w:val="0"/>
                  <w:marBottom w:val="0"/>
                  <w:divBdr>
                    <w:top w:val="none" w:sz="0" w:space="0" w:color="auto"/>
                    <w:left w:val="none" w:sz="0" w:space="0" w:color="auto"/>
                    <w:bottom w:val="none" w:sz="0" w:space="0" w:color="auto"/>
                    <w:right w:val="none" w:sz="0" w:space="0" w:color="auto"/>
                  </w:divBdr>
                  <w:divsChild>
                    <w:div w:id="425273479">
                      <w:marLeft w:val="0"/>
                      <w:marRight w:val="0"/>
                      <w:marTop w:val="0"/>
                      <w:marBottom w:val="0"/>
                      <w:divBdr>
                        <w:top w:val="none" w:sz="0" w:space="0" w:color="auto"/>
                        <w:left w:val="none" w:sz="0" w:space="0" w:color="auto"/>
                        <w:bottom w:val="none" w:sz="0" w:space="0" w:color="auto"/>
                        <w:right w:val="none" w:sz="0" w:space="0" w:color="auto"/>
                      </w:divBdr>
                    </w:div>
                    <w:div w:id="1813668895">
                      <w:marLeft w:val="0"/>
                      <w:marRight w:val="0"/>
                      <w:marTop w:val="0"/>
                      <w:marBottom w:val="0"/>
                      <w:divBdr>
                        <w:top w:val="none" w:sz="0" w:space="0" w:color="auto"/>
                        <w:left w:val="none" w:sz="0" w:space="0" w:color="auto"/>
                        <w:bottom w:val="none" w:sz="0" w:space="0" w:color="auto"/>
                        <w:right w:val="none" w:sz="0" w:space="0" w:color="auto"/>
                      </w:divBdr>
                    </w:div>
                  </w:divsChild>
                </w:div>
                <w:div w:id="1445222654">
                  <w:marLeft w:val="0"/>
                  <w:marRight w:val="0"/>
                  <w:marTop w:val="0"/>
                  <w:marBottom w:val="0"/>
                  <w:divBdr>
                    <w:top w:val="none" w:sz="0" w:space="0" w:color="auto"/>
                    <w:left w:val="none" w:sz="0" w:space="0" w:color="auto"/>
                    <w:bottom w:val="none" w:sz="0" w:space="0" w:color="auto"/>
                    <w:right w:val="none" w:sz="0" w:space="0" w:color="auto"/>
                  </w:divBdr>
                  <w:divsChild>
                    <w:div w:id="133178037">
                      <w:marLeft w:val="0"/>
                      <w:marRight w:val="0"/>
                      <w:marTop w:val="0"/>
                      <w:marBottom w:val="0"/>
                      <w:divBdr>
                        <w:top w:val="none" w:sz="0" w:space="0" w:color="auto"/>
                        <w:left w:val="none" w:sz="0" w:space="0" w:color="auto"/>
                        <w:bottom w:val="none" w:sz="0" w:space="0" w:color="auto"/>
                        <w:right w:val="none" w:sz="0" w:space="0" w:color="auto"/>
                      </w:divBdr>
                    </w:div>
                    <w:div w:id="214004910">
                      <w:marLeft w:val="0"/>
                      <w:marRight w:val="0"/>
                      <w:marTop w:val="0"/>
                      <w:marBottom w:val="0"/>
                      <w:divBdr>
                        <w:top w:val="none" w:sz="0" w:space="0" w:color="auto"/>
                        <w:left w:val="none" w:sz="0" w:space="0" w:color="auto"/>
                        <w:bottom w:val="none" w:sz="0" w:space="0" w:color="auto"/>
                        <w:right w:val="none" w:sz="0" w:space="0" w:color="auto"/>
                      </w:divBdr>
                    </w:div>
                  </w:divsChild>
                </w:div>
                <w:div w:id="1448544744">
                  <w:marLeft w:val="0"/>
                  <w:marRight w:val="0"/>
                  <w:marTop w:val="0"/>
                  <w:marBottom w:val="0"/>
                  <w:divBdr>
                    <w:top w:val="none" w:sz="0" w:space="0" w:color="auto"/>
                    <w:left w:val="none" w:sz="0" w:space="0" w:color="auto"/>
                    <w:bottom w:val="none" w:sz="0" w:space="0" w:color="auto"/>
                    <w:right w:val="none" w:sz="0" w:space="0" w:color="auto"/>
                  </w:divBdr>
                  <w:divsChild>
                    <w:div w:id="1824542588">
                      <w:marLeft w:val="0"/>
                      <w:marRight w:val="0"/>
                      <w:marTop w:val="0"/>
                      <w:marBottom w:val="0"/>
                      <w:divBdr>
                        <w:top w:val="none" w:sz="0" w:space="0" w:color="auto"/>
                        <w:left w:val="none" w:sz="0" w:space="0" w:color="auto"/>
                        <w:bottom w:val="none" w:sz="0" w:space="0" w:color="auto"/>
                        <w:right w:val="none" w:sz="0" w:space="0" w:color="auto"/>
                      </w:divBdr>
                    </w:div>
                  </w:divsChild>
                </w:div>
                <w:div w:id="1468425977">
                  <w:marLeft w:val="0"/>
                  <w:marRight w:val="0"/>
                  <w:marTop w:val="0"/>
                  <w:marBottom w:val="0"/>
                  <w:divBdr>
                    <w:top w:val="none" w:sz="0" w:space="0" w:color="auto"/>
                    <w:left w:val="none" w:sz="0" w:space="0" w:color="auto"/>
                    <w:bottom w:val="none" w:sz="0" w:space="0" w:color="auto"/>
                    <w:right w:val="none" w:sz="0" w:space="0" w:color="auto"/>
                  </w:divBdr>
                  <w:divsChild>
                    <w:div w:id="1091777308">
                      <w:marLeft w:val="0"/>
                      <w:marRight w:val="0"/>
                      <w:marTop w:val="0"/>
                      <w:marBottom w:val="0"/>
                      <w:divBdr>
                        <w:top w:val="none" w:sz="0" w:space="0" w:color="auto"/>
                        <w:left w:val="none" w:sz="0" w:space="0" w:color="auto"/>
                        <w:bottom w:val="none" w:sz="0" w:space="0" w:color="auto"/>
                        <w:right w:val="none" w:sz="0" w:space="0" w:color="auto"/>
                      </w:divBdr>
                    </w:div>
                  </w:divsChild>
                </w:div>
                <w:div w:id="1636907626">
                  <w:marLeft w:val="0"/>
                  <w:marRight w:val="0"/>
                  <w:marTop w:val="0"/>
                  <w:marBottom w:val="0"/>
                  <w:divBdr>
                    <w:top w:val="none" w:sz="0" w:space="0" w:color="auto"/>
                    <w:left w:val="none" w:sz="0" w:space="0" w:color="auto"/>
                    <w:bottom w:val="none" w:sz="0" w:space="0" w:color="auto"/>
                    <w:right w:val="none" w:sz="0" w:space="0" w:color="auto"/>
                  </w:divBdr>
                  <w:divsChild>
                    <w:div w:id="1484463452">
                      <w:marLeft w:val="0"/>
                      <w:marRight w:val="0"/>
                      <w:marTop w:val="0"/>
                      <w:marBottom w:val="0"/>
                      <w:divBdr>
                        <w:top w:val="none" w:sz="0" w:space="0" w:color="auto"/>
                        <w:left w:val="none" w:sz="0" w:space="0" w:color="auto"/>
                        <w:bottom w:val="none" w:sz="0" w:space="0" w:color="auto"/>
                        <w:right w:val="none" w:sz="0" w:space="0" w:color="auto"/>
                      </w:divBdr>
                    </w:div>
                  </w:divsChild>
                </w:div>
                <w:div w:id="1638992836">
                  <w:marLeft w:val="0"/>
                  <w:marRight w:val="0"/>
                  <w:marTop w:val="0"/>
                  <w:marBottom w:val="0"/>
                  <w:divBdr>
                    <w:top w:val="none" w:sz="0" w:space="0" w:color="auto"/>
                    <w:left w:val="none" w:sz="0" w:space="0" w:color="auto"/>
                    <w:bottom w:val="none" w:sz="0" w:space="0" w:color="auto"/>
                    <w:right w:val="none" w:sz="0" w:space="0" w:color="auto"/>
                  </w:divBdr>
                  <w:divsChild>
                    <w:div w:id="1444763443">
                      <w:marLeft w:val="0"/>
                      <w:marRight w:val="0"/>
                      <w:marTop w:val="0"/>
                      <w:marBottom w:val="0"/>
                      <w:divBdr>
                        <w:top w:val="none" w:sz="0" w:space="0" w:color="auto"/>
                        <w:left w:val="none" w:sz="0" w:space="0" w:color="auto"/>
                        <w:bottom w:val="none" w:sz="0" w:space="0" w:color="auto"/>
                        <w:right w:val="none" w:sz="0" w:space="0" w:color="auto"/>
                      </w:divBdr>
                    </w:div>
                  </w:divsChild>
                </w:div>
                <w:div w:id="1668245370">
                  <w:marLeft w:val="0"/>
                  <w:marRight w:val="0"/>
                  <w:marTop w:val="0"/>
                  <w:marBottom w:val="0"/>
                  <w:divBdr>
                    <w:top w:val="none" w:sz="0" w:space="0" w:color="auto"/>
                    <w:left w:val="none" w:sz="0" w:space="0" w:color="auto"/>
                    <w:bottom w:val="none" w:sz="0" w:space="0" w:color="auto"/>
                    <w:right w:val="none" w:sz="0" w:space="0" w:color="auto"/>
                  </w:divBdr>
                  <w:divsChild>
                    <w:div w:id="825391539">
                      <w:marLeft w:val="0"/>
                      <w:marRight w:val="0"/>
                      <w:marTop w:val="0"/>
                      <w:marBottom w:val="0"/>
                      <w:divBdr>
                        <w:top w:val="none" w:sz="0" w:space="0" w:color="auto"/>
                        <w:left w:val="none" w:sz="0" w:space="0" w:color="auto"/>
                        <w:bottom w:val="none" w:sz="0" w:space="0" w:color="auto"/>
                        <w:right w:val="none" w:sz="0" w:space="0" w:color="auto"/>
                      </w:divBdr>
                    </w:div>
                  </w:divsChild>
                </w:div>
                <w:div w:id="1835487554">
                  <w:marLeft w:val="0"/>
                  <w:marRight w:val="0"/>
                  <w:marTop w:val="0"/>
                  <w:marBottom w:val="0"/>
                  <w:divBdr>
                    <w:top w:val="none" w:sz="0" w:space="0" w:color="auto"/>
                    <w:left w:val="none" w:sz="0" w:space="0" w:color="auto"/>
                    <w:bottom w:val="none" w:sz="0" w:space="0" w:color="auto"/>
                    <w:right w:val="none" w:sz="0" w:space="0" w:color="auto"/>
                  </w:divBdr>
                  <w:divsChild>
                    <w:div w:id="70584200">
                      <w:marLeft w:val="0"/>
                      <w:marRight w:val="0"/>
                      <w:marTop w:val="0"/>
                      <w:marBottom w:val="0"/>
                      <w:divBdr>
                        <w:top w:val="none" w:sz="0" w:space="0" w:color="auto"/>
                        <w:left w:val="none" w:sz="0" w:space="0" w:color="auto"/>
                        <w:bottom w:val="none" w:sz="0" w:space="0" w:color="auto"/>
                        <w:right w:val="none" w:sz="0" w:space="0" w:color="auto"/>
                      </w:divBdr>
                    </w:div>
                  </w:divsChild>
                </w:div>
                <w:div w:id="1888564167">
                  <w:marLeft w:val="0"/>
                  <w:marRight w:val="0"/>
                  <w:marTop w:val="0"/>
                  <w:marBottom w:val="0"/>
                  <w:divBdr>
                    <w:top w:val="none" w:sz="0" w:space="0" w:color="auto"/>
                    <w:left w:val="none" w:sz="0" w:space="0" w:color="auto"/>
                    <w:bottom w:val="none" w:sz="0" w:space="0" w:color="auto"/>
                    <w:right w:val="none" w:sz="0" w:space="0" w:color="auto"/>
                  </w:divBdr>
                  <w:divsChild>
                    <w:div w:id="1855149832">
                      <w:marLeft w:val="0"/>
                      <w:marRight w:val="0"/>
                      <w:marTop w:val="0"/>
                      <w:marBottom w:val="0"/>
                      <w:divBdr>
                        <w:top w:val="none" w:sz="0" w:space="0" w:color="auto"/>
                        <w:left w:val="none" w:sz="0" w:space="0" w:color="auto"/>
                        <w:bottom w:val="none" w:sz="0" w:space="0" w:color="auto"/>
                        <w:right w:val="none" w:sz="0" w:space="0" w:color="auto"/>
                      </w:divBdr>
                    </w:div>
                  </w:divsChild>
                </w:div>
                <w:div w:id="1907521353">
                  <w:marLeft w:val="0"/>
                  <w:marRight w:val="0"/>
                  <w:marTop w:val="0"/>
                  <w:marBottom w:val="0"/>
                  <w:divBdr>
                    <w:top w:val="none" w:sz="0" w:space="0" w:color="auto"/>
                    <w:left w:val="none" w:sz="0" w:space="0" w:color="auto"/>
                    <w:bottom w:val="none" w:sz="0" w:space="0" w:color="auto"/>
                    <w:right w:val="none" w:sz="0" w:space="0" w:color="auto"/>
                  </w:divBdr>
                  <w:divsChild>
                    <w:div w:id="2103453535">
                      <w:marLeft w:val="0"/>
                      <w:marRight w:val="0"/>
                      <w:marTop w:val="0"/>
                      <w:marBottom w:val="0"/>
                      <w:divBdr>
                        <w:top w:val="none" w:sz="0" w:space="0" w:color="auto"/>
                        <w:left w:val="none" w:sz="0" w:space="0" w:color="auto"/>
                        <w:bottom w:val="none" w:sz="0" w:space="0" w:color="auto"/>
                        <w:right w:val="none" w:sz="0" w:space="0" w:color="auto"/>
                      </w:divBdr>
                    </w:div>
                  </w:divsChild>
                </w:div>
                <w:div w:id="1921863170">
                  <w:marLeft w:val="0"/>
                  <w:marRight w:val="0"/>
                  <w:marTop w:val="0"/>
                  <w:marBottom w:val="0"/>
                  <w:divBdr>
                    <w:top w:val="none" w:sz="0" w:space="0" w:color="auto"/>
                    <w:left w:val="none" w:sz="0" w:space="0" w:color="auto"/>
                    <w:bottom w:val="none" w:sz="0" w:space="0" w:color="auto"/>
                    <w:right w:val="none" w:sz="0" w:space="0" w:color="auto"/>
                  </w:divBdr>
                  <w:divsChild>
                    <w:div w:id="397942906">
                      <w:marLeft w:val="0"/>
                      <w:marRight w:val="0"/>
                      <w:marTop w:val="0"/>
                      <w:marBottom w:val="0"/>
                      <w:divBdr>
                        <w:top w:val="none" w:sz="0" w:space="0" w:color="auto"/>
                        <w:left w:val="none" w:sz="0" w:space="0" w:color="auto"/>
                        <w:bottom w:val="none" w:sz="0" w:space="0" w:color="auto"/>
                        <w:right w:val="none" w:sz="0" w:space="0" w:color="auto"/>
                      </w:divBdr>
                    </w:div>
                  </w:divsChild>
                </w:div>
                <w:div w:id="1954434170">
                  <w:marLeft w:val="0"/>
                  <w:marRight w:val="0"/>
                  <w:marTop w:val="0"/>
                  <w:marBottom w:val="0"/>
                  <w:divBdr>
                    <w:top w:val="none" w:sz="0" w:space="0" w:color="auto"/>
                    <w:left w:val="none" w:sz="0" w:space="0" w:color="auto"/>
                    <w:bottom w:val="none" w:sz="0" w:space="0" w:color="auto"/>
                    <w:right w:val="none" w:sz="0" w:space="0" w:color="auto"/>
                  </w:divBdr>
                  <w:divsChild>
                    <w:div w:id="1134174140">
                      <w:marLeft w:val="0"/>
                      <w:marRight w:val="0"/>
                      <w:marTop w:val="0"/>
                      <w:marBottom w:val="0"/>
                      <w:divBdr>
                        <w:top w:val="none" w:sz="0" w:space="0" w:color="auto"/>
                        <w:left w:val="none" w:sz="0" w:space="0" w:color="auto"/>
                        <w:bottom w:val="none" w:sz="0" w:space="0" w:color="auto"/>
                        <w:right w:val="none" w:sz="0" w:space="0" w:color="auto"/>
                      </w:divBdr>
                    </w:div>
                  </w:divsChild>
                </w:div>
                <w:div w:id="2025134232">
                  <w:marLeft w:val="0"/>
                  <w:marRight w:val="0"/>
                  <w:marTop w:val="0"/>
                  <w:marBottom w:val="0"/>
                  <w:divBdr>
                    <w:top w:val="none" w:sz="0" w:space="0" w:color="auto"/>
                    <w:left w:val="none" w:sz="0" w:space="0" w:color="auto"/>
                    <w:bottom w:val="none" w:sz="0" w:space="0" w:color="auto"/>
                    <w:right w:val="none" w:sz="0" w:space="0" w:color="auto"/>
                  </w:divBdr>
                  <w:divsChild>
                    <w:div w:id="141391591">
                      <w:marLeft w:val="0"/>
                      <w:marRight w:val="0"/>
                      <w:marTop w:val="0"/>
                      <w:marBottom w:val="0"/>
                      <w:divBdr>
                        <w:top w:val="none" w:sz="0" w:space="0" w:color="auto"/>
                        <w:left w:val="none" w:sz="0" w:space="0" w:color="auto"/>
                        <w:bottom w:val="none" w:sz="0" w:space="0" w:color="auto"/>
                        <w:right w:val="none" w:sz="0" w:space="0" w:color="auto"/>
                      </w:divBdr>
                    </w:div>
                    <w:div w:id="823857099">
                      <w:marLeft w:val="0"/>
                      <w:marRight w:val="0"/>
                      <w:marTop w:val="0"/>
                      <w:marBottom w:val="0"/>
                      <w:divBdr>
                        <w:top w:val="none" w:sz="0" w:space="0" w:color="auto"/>
                        <w:left w:val="none" w:sz="0" w:space="0" w:color="auto"/>
                        <w:bottom w:val="none" w:sz="0" w:space="0" w:color="auto"/>
                        <w:right w:val="none" w:sz="0" w:space="0" w:color="auto"/>
                      </w:divBdr>
                    </w:div>
                  </w:divsChild>
                </w:div>
                <w:div w:id="2081515235">
                  <w:marLeft w:val="0"/>
                  <w:marRight w:val="0"/>
                  <w:marTop w:val="0"/>
                  <w:marBottom w:val="0"/>
                  <w:divBdr>
                    <w:top w:val="none" w:sz="0" w:space="0" w:color="auto"/>
                    <w:left w:val="none" w:sz="0" w:space="0" w:color="auto"/>
                    <w:bottom w:val="none" w:sz="0" w:space="0" w:color="auto"/>
                    <w:right w:val="none" w:sz="0" w:space="0" w:color="auto"/>
                  </w:divBdr>
                  <w:divsChild>
                    <w:div w:id="25409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3871">
          <w:marLeft w:val="0"/>
          <w:marRight w:val="0"/>
          <w:marTop w:val="0"/>
          <w:marBottom w:val="0"/>
          <w:divBdr>
            <w:top w:val="none" w:sz="0" w:space="0" w:color="auto"/>
            <w:left w:val="none" w:sz="0" w:space="0" w:color="auto"/>
            <w:bottom w:val="none" w:sz="0" w:space="0" w:color="auto"/>
            <w:right w:val="none" w:sz="0" w:space="0" w:color="auto"/>
          </w:divBdr>
        </w:div>
        <w:div w:id="168836147">
          <w:marLeft w:val="0"/>
          <w:marRight w:val="0"/>
          <w:marTop w:val="0"/>
          <w:marBottom w:val="0"/>
          <w:divBdr>
            <w:top w:val="none" w:sz="0" w:space="0" w:color="auto"/>
            <w:left w:val="none" w:sz="0" w:space="0" w:color="auto"/>
            <w:bottom w:val="none" w:sz="0" w:space="0" w:color="auto"/>
            <w:right w:val="none" w:sz="0" w:space="0" w:color="auto"/>
          </w:divBdr>
          <w:divsChild>
            <w:div w:id="880364182">
              <w:marLeft w:val="-75"/>
              <w:marRight w:val="0"/>
              <w:marTop w:val="30"/>
              <w:marBottom w:val="30"/>
              <w:divBdr>
                <w:top w:val="none" w:sz="0" w:space="0" w:color="auto"/>
                <w:left w:val="none" w:sz="0" w:space="0" w:color="auto"/>
                <w:bottom w:val="none" w:sz="0" w:space="0" w:color="auto"/>
                <w:right w:val="none" w:sz="0" w:space="0" w:color="auto"/>
              </w:divBdr>
              <w:divsChild>
                <w:div w:id="17708954">
                  <w:marLeft w:val="0"/>
                  <w:marRight w:val="0"/>
                  <w:marTop w:val="0"/>
                  <w:marBottom w:val="0"/>
                  <w:divBdr>
                    <w:top w:val="none" w:sz="0" w:space="0" w:color="auto"/>
                    <w:left w:val="none" w:sz="0" w:space="0" w:color="auto"/>
                    <w:bottom w:val="none" w:sz="0" w:space="0" w:color="auto"/>
                    <w:right w:val="none" w:sz="0" w:space="0" w:color="auto"/>
                  </w:divBdr>
                  <w:divsChild>
                    <w:div w:id="1784152277">
                      <w:marLeft w:val="0"/>
                      <w:marRight w:val="0"/>
                      <w:marTop w:val="0"/>
                      <w:marBottom w:val="0"/>
                      <w:divBdr>
                        <w:top w:val="none" w:sz="0" w:space="0" w:color="auto"/>
                        <w:left w:val="none" w:sz="0" w:space="0" w:color="auto"/>
                        <w:bottom w:val="none" w:sz="0" w:space="0" w:color="auto"/>
                        <w:right w:val="none" w:sz="0" w:space="0" w:color="auto"/>
                      </w:divBdr>
                    </w:div>
                  </w:divsChild>
                </w:div>
                <w:div w:id="52655071">
                  <w:marLeft w:val="0"/>
                  <w:marRight w:val="0"/>
                  <w:marTop w:val="0"/>
                  <w:marBottom w:val="0"/>
                  <w:divBdr>
                    <w:top w:val="none" w:sz="0" w:space="0" w:color="auto"/>
                    <w:left w:val="none" w:sz="0" w:space="0" w:color="auto"/>
                    <w:bottom w:val="none" w:sz="0" w:space="0" w:color="auto"/>
                    <w:right w:val="none" w:sz="0" w:space="0" w:color="auto"/>
                  </w:divBdr>
                  <w:divsChild>
                    <w:div w:id="171335039">
                      <w:marLeft w:val="0"/>
                      <w:marRight w:val="0"/>
                      <w:marTop w:val="0"/>
                      <w:marBottom w:val="0"/>
                      <w:divBdr>
                        <w:top w:val="none" w:sz="0" w:space="0" w:color="auto"/>
                        <w:left w:val="none" w:sz="0" w:space="0" w:color="auto"/>
                        <w:bottom w:val="none" w:sz="0" w:space="0" w:color="auto"/>
                        <w:right w:val="none" w:sz="0" w:space="0" w:color="auto"/>
                      </w:divBdr>
                    </w:div>
                  </w:divsChild>
                </w:div>
                <w:div w:id="54818620">
                  <w:marLeft w:val="0"/>
                  <w:marRight w:val="0"/>
                  <w:marTop w:val="0"/>
                  <w:marBottom w:val="0"/>
                  <w:divBdr>
                    <w:top w:val="none" w:sz="0" w:space="0" w:color="auto"/>
                    <w:left w:val="none" w:sz="0" w:space="0" w:color="auto"/>
                    <w:bottom w:val="none" w:sz="0" w:space="0" w:color="auto"/>
                    <w:right w:val="none" w:sz="0" w:space="0" w:color="auto"/>
                  </w:divBdr>
                  <w:divsChild>
                    <w:div w:id="224875316">
                      <w:marLeft w:val="0"/>
                      <w:marRight w:val="0"/>
                      <w:marTop w:val="0"/>
                      <w:marBottom w:val="0"/>
                      <w:divBdr>
                        <w:top w:val="none" w:sz="0" w:space="0" w:color="auto"/>
                        <w:left w:val="none" w:sz="0" w:space="0" w:color="auto"/>
                        <w:bottom w:val="none" w:sz="0" w:space="0" w:color="auto"/>
                        <w:right w:val="none" w:sz="0" w:space="0" w:color="auto"/>
                      </w:divBdr>
                    </w:div>
                  </w:divsChild>
                </w:div>
                <w:div w:id="72048019">
                  <w:marLeft w:val="0"/>
                  <w:marRight w:val="0"/>
                  <w:marTop w:val="0"/>
                  <w:marBottom w:val="0"/>
                  <w:divBdr>
                    <w:top w:val="none" w:sz="0" w:space="0" w:color="auto"/>
                    <w:left w:val="none" w:sz="0" w:space="0" w:color="auto"/>
                    <w:bottom w:val="none" w:sz="0" w:space="0" w:color="auto"/>
                    <w:right w:val="none" w:sz="0" w:space="0" w:color="auto"/>
                  </w:divBdr>
                  <w:divsChild>
                    <w:div w:id="1972007944">
                      <w:marLeft w:val="0"/>
                      <w:marRight w:val="0"/>
                      <w:marTop w:val="0"/>
                      <w:marBottom w:val="0"/>
                      <w:divBdr>
                        <w:top w:val="none" w:sz="0" w:space="0" w:color="auto"/>
                        <w:left w:val="none" w:sz="0" w:space="0" w:color="auto"/>
                        <w:bottom w:val="none" w:sz="0" w:space="0" w:color="auto"/>
                        <w:right w:val="none" w:sz="0" w:space="0" w:color="auto"/>
                      </w:divBdr>
                    </w:div>
                  </w:divsChild>
                </w:div>
                <w:div w:id="89203796">
                  <w:marLeft w:val="0"/>
                  <w:marRight w:val="0"/>
                  <w:marTop w:val="0"/>
                  <w:marBottom w:val="0"/>
                  <w:divBdr>
                    <w:top w:val="none" w:sz="0" w:space="0" w:color="auto"/>
                    <w:left w:val="none" w:sz="0" w:space="0" w:color="auto"/>
                    <w:bottom w:val="none" w:sz="0" w:space="0" w:color="auto"/>
                    <w:right w:val="none" w:sz="0" w:space="0" w:color="auto"/>
                  </w:divBdr>
                  <w:divsChild>
                    <w:div w:id="850531296">
                      <w:marLeft w:val="0"/>
                      <w:marRight w:val="0"/>
                      <w:marTop w:val="0"/>
                      <w:marBottom w:val="0"/>
                      <w:divBdr>
                        <w:top w:val="none" w:sz="0" w:space="0" w:color="auto"/>
                        <w:left w:val="none" w:sz="0" w:space="0" w:color="auto"/>
                        <w:bottom w:val="none" w:sz="0" w:space="0" w:color="auto"/>
                        <w:right w:val="none" w:sz="0" w:space="0" w:color="auto"/>
                      </w:divBdr>
                    </w:div>
                  </w:divsChild>
                </w:div>
                <w:div w:id="117995057">
                  <w:marLeft w:val="0"/>
                  <w:marRight w:val="0"/>
                  <w:marTop w:val="0"/>
                  <w:marBottom w:val="0"/>
                  <w:divBdr>
                    <w:top w:val="none" w:sz="0" w:space="0" w:color="auto"/>
                    <w:left w:val="none" w:sz="0" w:space="0" w:color="auto"/>
                    <w:bottom w:val="none" w:sz="0" w:space="0" w:color="auto"/>
                    <w:right w:val="none" w:sz="0" w:space="0" w:color="auto"/>
                  </w:divBdr>
                  <w:divsChild>
                    <w:div w:id="959845985">
                      <w:marLeft w:val="0"/>
                      <w:marRight w:val="0"/>
                      <w:marTop w:val="0"/>
                      <w:marBottom w:val="0"/>
                      <w:divBdr>
                        <w:top w:val="none" w:sz="0" w:space="0" w:color="auto"/>
                        <w:left w:val="none" w:sz="0" w:space="0" w:color="auto"/>
                        <w:bottom w:val="none" w:sz="0" w:space="0" w:color="auto"/>
                        <w:right w:val="none" w:sz="0" w:space="0" w:color="auto"/>
                      </w:divBdr>
                    </w:div>
                  </w:divsChild>
                </w:div>
                <w:div w:id="153689640">
                  <w:marLeft w:val="0"/>
                  <w:marRight w:val="0"/>
                  <w:marTop w:val="0"/>
                  <w:marBottom w:val="0"/>
                  <w:divBdr>
                    <w:top w:val="none" w:sz="0" w:space="0" w:color="auto"/>
                    <w:left w:val="none" w:sz="0" w:space="0" w:color="auto"/>
                    <w:bottom w:val="none" w:sz="0" w:space="0" w:color="auto"/>
                    <w:right w:val="none" w:sz="0" w:space="0" w:color="auto"/>
                  </w:divBdr>
                  <w:divsChild>
                    <w:div w:id="1726484204">
                      <w:marLeft w:val="0"/>
                      <w:marRight w:val="0"/>
                      <w:marTop w:val="0"/>
                      <w:marBottom w:val="0"/>
                      <w:divBdr>
                        <w:top w:val="none" w:sz="0" w:space="0" w:color="auto"/>
                        <w:left w:val="none" w:sz="0" w:space="0" w:color="auto"/>
                        <w:bottom w:val="none" w:sz="0" w:space="0" w:color="auto"/>
                        <w:right w:val="none" w:sz="0" w:space="0" w:color="auto"/>
                      </w:divBdr>
                    </w:div>
                  </w:divsChild>
                </w:div>
                <w:div w:id="165024536">
                  <w:marLeft w:val="0"/>
                  <w:marRight w:val="0"/>
                  <w:marTop w:val="0"/>
                  <w:marBottom w:val="0"/>
                  <w:divBdr>
                    <w:top w:val="none" w:sz="0" w:space="0" w:color="auto"/>
                    <w:left w:val="none" w:sz="0" w:space="0" w:color="auto"/>
                    <w:bottom w:val="none" w:sz="0" w:space="0" w:color="auto"/>
                    <w:right w:val="none" w:sz="0" w:space="0" w:color="auto"/>
                  </w:divBdr>
                  <w:divsChild>
                    <w:div w:id="1372607524">
                      <w:marLeft w:val="0"/>
                      <w:marRight w:val="0"/>
                      <w:marTop w:val="0"/>
                      <w:marBottom w:val="0"/>
                      <w:divBdr>
                        <w:top w:val="none" w:sz="0" w:space="0" w:color="auto"/>
                        <w:left w:val="none" w:sz="0" w:space="0" w:color="auto"/>
                        <w:bottom w:val="none" w:sz="0" w:space="0" w:color="auto"/>
                        <w:right w:val="none" w:sz="0" w:space="0" w:color="auto"/>
                      </w:divBdr>
                    </w:div>
                  </w:divsChild>
                </w:div>
                <w:div w:id="174805689">
                  <w:marLeft w:val="0"/>
                  <w:marRight w:val="0"/>
                  <w:marTop w:val="0"/>
                  <w:marBottom w:val="0"/>
                  <w:divBdr>
                    <w:top w:val="none" w:sz="0" w:space="0" w:color="auto"/>
                    <w:left w:val="none" w:sz="0" w:space="0" w:color="auto"/>
                    <w:bottom w:val="none" w:sz="0" w:space="0" w:color="auto"/>
                    <w:right w:val="none" w:sz="0" w:space="0" w:color="auto"/>
                  </w:divBdr>
                  <w:divsChild>
                    <w:div w:id="52461354">
                      <w:marLeft w:val="0"/>
                      <w:marRight w:val="0"/>
                      <w:marTop w:val="0"/>
                      <w:marBottom w:val="0"/>
                      <w:divBdr>
                        <w:top w:val="none" w:sz="0" w:space="0" w:color="auto"/>
                        <w:left w:val="none" w:sz="0" w:space="0" w:color="auto"/>
                        <w:bottom w:val="none" w:sz="0" w:space="0" w:color="auto"/>
                        <w:right w:val="none" w:sz="0" w:space="0" w:color="auto"/>
                      </w:divBdr>
                    </w:div>
                  </w:divsChild>
                </w:div>
                <w:div w:id="220095815">
                  <w:marLeft w:val="0"/>
                  <w:marRight w:val="0"/>
                  <w:marTop w:val="0"/>
                  <w:marBottom w:val="0"/>
                  <w:divBdr>
                    <w:top w:val="none" w:sz="0" w:space="0" w:color="auto"/>
                    <w:left w:val="none" w:sz="0" w:space="0" w:color="auto"/>
                    <w:bottom w:val="none" w:sz="0" w:space="0" w:color="auto"/>
                    <w:right w:val="none" w:sz="0" w:space="0" w:color="auto"/>
                  </w:divBdr>
                  <w:divsChild>
                    <w:div w:id="1156995676">
                      <w:marLeft w:val="0"/>
                      <w:marRight w:val="0"/>
                      <w:marTop w:val="0"/>
                      <w:marBottom w:val="0"/>
                      <w:divBdr>
                        <w:top w:val="none" w:sz="0" w:space="0" w:color="auto"/>
                        <w:left w:val="none" w:sz="0" w:space="0" w:color="auto"/>
                        <w:bottom w:val="none" w:sz="0" w:space="0" w:color="auto"/>
                        <w:right w:val="none" w:sz="0" w:space="0" w:color="auto"/>
                      </w:divBdr>
                    </w:div>
                  </w:divsChild>
                </w:div>
                <w:div w:id="223218536">
                  <w:marLeft w:val="0"/>
                  <w:marRight w:val="0"/>
                  <w:marTop w:val="0"/>
                  <w:marBottom w:val="0"/>
                  <w:divBdr>
                    <w:top w:val="none" w:sz="0" w:space="0" w:color="auto"/>
                    <w:left w:val="none" w:sz="0" w:space="0" w:color="auto"/>
                    <w:bottom w:val="none" w:sz="0" w:space="0" w:color="auto"/>
                    <w:right w:val="none" w:sz="0" w:space="0" w:color="auto"/>
                  </w:divBdr>
                  <w:divsChild>
                    <w:div w:id="1995599900">
                      <w:marLeft w:val="0"/>
                      <w:marRight w:val="0"/>
                      <w:marTop w:val="0"/>
                      <w:marBottom w:val="0"/>
                      <w:divBdr>
                        <w:top w:val="none" w:sz="0" w:space="0" w:color="auto"/>
                        <w:left w:val="none" w:sz="0" w:space="0" w:color="auto"/>
                        <w:bottom w:val="none" w:sz="0" w:space="0" w:color="auto"/>
                        <w:right w:val="none" w:sz="0" w:space="0" w:color="auto"/>
                      </w:divBdr>
                    </w:div>
                  </w:divsChild>
                </w:div>
                <w:div w:id="224074209">
                  <w:marLeft w:val="0"/>
                  <w:marRight w:val="0"/>
                  <w:marTop w:val="0"/>
                  <w:marBottom w:val="0"/>
                  <w:divBdr>
                    <w:top w:val="none" w:sz="0" w:space="0" w:color="auto"/>
                    <w:left w:val="none" w:sz="0" w:space="0" w:color="auto"/>
                    <w:bottom w:val="none" w:sz="0" w:space="0" w:color="auto"/>
                    <w:right w:val="none" w:sz="0" w:space="0" w:color="auto"/>
                  </w:divBdr>
                  <w:divsChild>
                    <w:div w:id="1346590963">
                      <w:marLeft w:val="0"/>
                      <w:marRight w:val="0"/>
                      <w:marTop w:val="0"/>
                      <w:marBottom w:val="0"/>
                      <w:divBdr>
                        <w:top w:val="none" w:sz="0" w:space="0" w:color="auto"/>
                        <w:left w:val="none" w:sz="0" w:space="0" w:color="auto"/>
                        <w:bottom w:val="none" w:sz="0" w:space="0" w:color="auto"/>
                        <w:right w:val="none" w:sz="0" w:space="0" w:color="auto"/>
                      </w:divBdr>
                    </w:div>
                  </w:divsChild>
                </w:div>
                <w:div w:id="232784012">
                  <w:marLeft w:val="0"/>
                  <w:marRight w:val="0"/>
                  <w:marTop w:val="0"/>
                  <w:marBottom w:val="0"/>
                  <w:divBdr>
                    <w:top w:val="none" w:sz="0" w:space="0" w:color="auto"/>
                    <w:left w:val="none" w:sz="0" w:space="0" w:color="auto"/>
                    <w:bottom w:val="none" w:sz="0" w:space="0" w:color="auto"/>
                    <w:right w:val="none" w:sz="0" w:space="0" w:color="auto"/>
                  </w:divBdr>
                  <w:divsChild>
                    <w:div w:id="793476826">
                      <w:marLeft w:val="0"/>
                      <w:marRight w:val="0"/>
                      <w:marTop w:val="0"/>
                      <w:marBottom w:val="0"/>
                      <w:divBdr>
                        <w:top w:val="none" w:sz="0" w:space="0" w:color="auto"/>
                        <w:left w:val="none" w:sz="0" w:space="0" w:color="auto"/>
                        <w:bottom w:val="none" w:sz="0" w:space="0" w:color="auto"/>
                        <w:right w:val="none" w:sz="0" w:space="0" w:color="auto"/>
                      </w:divBdr>
                    </w:div>
                  </w:divsChild>
                </w:div>
                <w:div w:id="246185209">
                  <w:marLeft w:val="0"/>
                  <w:marRight w:val="0"/>
                  <w:marTop w:val="0"/>
                  <w:marBottom w:val="0"/>
                  <w:divBdr>
                    <w:top w:val="none" w:sz="0" w:space="0" w:color="auto"/>
                    <w:left w:val="none" w:sz="0" w:space="0" w:color="auto"/>
                    <w:bottom w:val="none" w:sz="0" w:space="0" w:color="auto"/>
                    <w:right w:val="none" w:sz="0" w:space="0" w:color="auto"/>
                  </w:divBdr>
                  <w:divsChild>
                    <w:div w:id="1308583753">
                      <w:marLeft w:val="0"/>
                      <w:marRight w:val="0"/>
                      <w:marTop w:val="0"/>
                      <w:marBottom w:val="0"/>
                      <w:divBdr>
                        <w:top w:val="none" w:sz="0" w:space="0" w:color="auto"/>
                        <w:left w:val="none" w:sz="0" w:space="0" w:color="auto"/>
                        <w:bottom w:val="none" w:sz="0" w:space="0" w:color="auto"/>
                        <w:right w:val="none" w:sz="0" w:space="0" w:color="auto"/>
                      </w:divBdr>
                    </w:div>
                  </w:divsChild>
                </w:div>
                <w:div w:id="280888689">
                  <w:marLeft w:val="0"/>
                  <w:marRight w:val="0"/>
                  <w:marTop w:val="0"/>
                  <w:marBottom w:val="0"/>
                  <w:divBdr>
                    <w:top w:val="none" w:sz="0" w:space="0" w:color="auto"/>
                    <w:left w:val="none" w:sz="0" w:space="0" w:color="auto"/>
                    <w:bottom w:val="none" w:sz="0" w:space="0" w:color="auto"/>
                    <w:right w:val="none" w:sz="0" w:space="0" w:color="auto"/>
                  </w:divBdr>
                  <w:divsChild>
                    <w:div w:id="470903199">
                      <w:marLeft w:val="0"/>
                      <w:marRight w:val="0"/>
                      <w:marTop w:val="0"/>
                      <w:marBottom w:val="0"/>
                      <w:divBdr>
                        <w:top w:val="none" w:sz="0" w:space="0" w:color="auto"/>
                        <w:left w:val="none" w:sz="0" w:space="0" w:color="auto"/>
                        <w:bottom w:val="none" w:sz="0" w:space="0" w:color="auto"/>
                        <w:right w:val="none" w:sz="0" w:space="0" w:color="auto"/>
                      </w:divBdr>
                    </w:div>
                  </w:divsChild>
                </w:div>
                <w:div w:id="281154005">
                  <w:marLeft w:val="0"/>
                  <w:marRight w:val="0"/>
                  <w:marTop w:val="0"/>
                  <w:marBottom w:val="0"/>
                  <w:divBdr>
                    <w:top w:val="none" w:sz="0" w:space="0" w:color="auto"/>
                    <w:left w:val="none" w:sz="0" w:space="0" w:color="auto"/>
                    <w:bottom w:val="none" w:sz="0" w:space="0" w:color="auto"/>
                    <w:right w:val="none" w:sz="0" w:space="0" w:color="auto"/>
                  </w:divBdr>
                  <w:divsChild>
                    <w:div w:id="1159930516">
                      <w:marLeft w:val="0"/>
                      <w:marRight w:val="0"/>
                      <w:marTop w:val="0"/>
                      <w:marBottom w:val="0"/>
                      <w:divBdr>
                        <w:top w:val="none" w:sz="0" w:space="0" w:color="auto"/>
                        <w:left w:val="none" w:sz="0" w:space="0" w:color="auto"/>
                        <w:bottom w:val="none" w:sz="0" w:space="0" w:color="auto"/>
                        <w:right w:val="none" w:sz="0" w:space="0" w:color="auto"/>
                      </w:divBdr>
                    </w:div>
                  </w:divsChild>
                </w:div>
                <w:div w:id="285043826">
                  <w:marLeft w:val="0"/>
                  <w:marRight w:val="0"/>
                  <w:marTop w:val="0"/>
                  <w:marBottom w:val="0"/>
                  <w:divBdr>
                    <w:top w:val="none" w:sz="0" w:space="0" w:color="auto"/>
                    <w:left w:val="none" w:sz="0" w:space="0" w:color="auto"/>
                    <w:bottom w:val="none" w:sz="0" w:space="0" w:color="auto"/>
                    <w:right w:val="none" w:sz="0" w:space="0" w:color="auto"/>
                  </w:divBdr>
                  <w:divsChild>
                    <w:div w:id="1873104812">
                      <w:marLeft w:val="0"/>
                      <w:marRight w:val="0"/>
                      <w:marTop w:val="0"/>
                      <w:marBottom w:val="0"/>
                      <w:divBdr>
                        <w:top w:val="none" w:sz="0" w:space="0" w:color="auto"/>
                        <w:left w:val="none" w:sz="0" w:space="0" w:color="auto"/>
                        <w:bottom w:val="none" w:sz="0" w:space="0" w:color="auto"/>
                        <w:right w:val="none" w:sz="0" w:space="0" w:color="auto"/>
                      </w:divBdr>
                    </w:div>
                  </w:divsChild>
                </w:div>
                <w:div w:id="292712116">
                  <w:marLeft w:val="0"/>
                  <w:marRight w:val="0"/>
                  <w:marTop w:val="0"/>
                  <w:marBottom w:val="0"/>
                  <w:divBdr>
                    <w:top w:val="none" w:sz="0" w:space="0" w:color="auto"/>
                    <w:left w:val="none" w:sz="0" w:space="0" w:color="auto"/>
                    <w:bottom w:val="none" w:sz="0" w:space="0" w:color="auto"/>
                    <w:right w:val="none" w:sz="0" w:space="0" w:color="auto"/>
                  </w:divBdr>
                  <w:divsChild>
                    <w:div w:id="1227642139">
                      <w:marLeft w:val="0"/>
                      <w:marRight w:val="0"/>
                      <w:marTop w:val="0"/>
                      <w:marBottom w:val="0"/>
                      <w:divBdr>
                        <w:top w:val="none" w:sz="0" w:space="0" w:color="auto"/>
                        <w:left w:val="none" w:sz="0" w:space="0" w:color="auto"/>
                        <w:bottom w:val="none" w:sz="0" w:space="0" w:color="auto"/>
                        <w:right w:val="none" w:sz="0" w:space="0" w:color="auto"/>
                      </w:divBdr>
                    </w:div>
                  </w:divsChild>
                </w:div>
                <w:div w:id="306983515">
                  <w:marLeft w:val="0"/>
                  <w:marRight w:val="0"/>
                  <w:marTop w:val="0"/>
                  <w:marBottom w:val="0"/>
                  <w:divBdr>
                    <w:top w:val="none" w:sz="0" w:space="0" w:color="auto"/>
                    <w:left w:val="none" w:sz="0" w:space="0" w:color="auto"/>
                    <w:bottom w:val="none" w:sz="0" w:space="0" w:color="auto"/>
                    <w:right w:val="none" w:sz="0" w:space="0" w:color="auto"/>
                  </w:divBdr>
                  <w:divsChild>
                    <w:div w:id="1992709987">
                      <w:marLeft w:val="0"/>
                      <w:marRight w:val="0"/>
                      <w:marTop w:val="0"/>
                      <w:marBottom w:val="0"/>
                      <w:divBdr>
                        <w:top w:val="none" w:sz="0" w:space="0" w:color="auto"/>
                        <w:left w:val="none" w:sz="0" w:space="0" w:color="auto"/>
                        <w:bottom w:val="none" w:sz="0" w:space="0" w:color="auto"/>
                        <w:right w:val="none" w:sz="0" w:space="0" w:color="auto"/>
                      </w:divBdr>
                    </w:div>
                  </w:divsChild>
                </w:div>
                <w:div w:id="317423174">
                  <w:marLeft w:val="0"/>
                  <w:marRight w:val="0"/>
                  <w:marTop w:val="0"/>
                  <w:marBottom w:val="0"/>
                  <w:divBdr>
                    <w:top w:val="none" w:sz="0" w:space="0" w:color="auto"/>
                    <w:left w:val="none" w:sz="0" w:space="0" w:color="auto"/>
                    <w:bottom w:val="none" w:sz="0" w:space="0" w:color="auto"/>
                    <w:right w:val="none" w:sz="0" w:space="0" w:color="auto"/>
                  </w:divBdr>
                  <w:divsChild>
                    <w:div w:id="1228225160">
                      <w:marLeft w:val="0"/>
                      <w:marRight w:val="0"/>
                      <w:marTop w:val="0"/>
                      <w:marBottom w:val="0"/>
                      <w:divBdr>
                        <w:top w:val="none" w:sz="0" w:space="0" w:color="auto"/>
                        <w:left w:val="none" w:sz="0" w:space="0" w:color="auto"/>
                        <w:bottom w:val="none" w:sz="0" w:space="0" w:color="auto"/>
                        <w:right w:val="none" w:sz="0" w:space="0" w:color="auto"/>
                      </w:divBdr>
                    </w:div>
                  </w:divsChild>
                </w:div>
                <w:div w:id="329450865">
                  <w:marLeft w:val="0"/>
                  <w:marRight w:val="0"/>
                  <w:marTop w:val="0"/>
                  <w:marBottom w:val="0"/>
                  <w:divBdr>
                    <w:top w:val="none" w:sz="0" w:space="0" w:color="auto"/>
                    <w:left w:val="none" w:sz="0" w:space="0" w:color="auto"/>
                    <w:bottom w:val="none" w:sz="0" w:space="0" w:color="auto"/>
                    <w:right w:val="none" w:sz="0" w:space="0" w:color="auto"/>
                  </w:divBdr>
                  <w:divsChild>
                    <w:div w:id="39131018">
                      <w:marLeft w:val="0"/>
                      <w:marRight w:val="0"/>
                      <w:marTop w:val="0"/>
                      <w:marBottom w:val="0"/>
                      <w:divBdr>
                        <w:top w:val="none" w:sz="0" w:space="0" w:color="auto"/>
                        <w:left w:val="none" w:sz="0" w:space="0" w:color="auto"/>
                        <w:bottom w:val="none" w:sz="0" w:space="0" w:color="auto"/>
                        <w:right w:val="none" w:sz="0" w:space="0" w:color="auto"/>
                      </w:divBdr>
                    </w:div>
                  </w:divsChild>
                </w:div>
                <w:div w:id="334184835">
                  <w:marLeft w:val="0"/>
                  <w:marRight w:val="0"/>
                  <w:marTop w:val="0"/>
                  <w:marBottom w:val="0"/>
                  <w:divBdr>
                    <w:top w:val="none" w:sz="0" w:space="0" w:color="auto"/>
                    <w:left w:val="none" w:sz="0" w:space="0" w:color="auto"/>
                    <w:bottom w:val="none" w:sz="0" w:space="0" w:color="auto"/>
                    <w:right w:val="none" w:sz="0" w:space="0" w:color="auto"/>
                  </w:divBdr>
                  <w:divsChild>
                    <w:div w:id="325406916">
                      <w:marLeft w:val="0"/>
                      <w:marRight w:val="0"/>
                      <w:marTop w:val="0"/>
                      <w:marBottom w:val="0"/>
                      <w:divBdr>
                        <w:top w:val="none" w:sz="0" w:space="0" w:color="auto"/>
                        <w:left w:val="none" w:sz="0" w:space="0" w:color="auto"/>
                        <w:bottom w:val="none" w:sz="0" w:space="0" w:color="auto"/>
                        <w:right w:val="none" w:sz="0" w:space="0" w:color="auto"/>
                      </w:divBdr>
                    </w:div>
                  </w:divsChild>
                </w:div>
                <w:div w:id="334958482">
                  <w:marLeft w:val="0"/>
                  <w:marRight w:val="0"/>
                  <w:marTop w:val="0"/>
                  <w:marBottom w:val="0"/>
                  <w:divBdr>
                    <w:top w:val="none" w:sz="0" w:space="0" w:color="auto"/>
                    <w:left w:val="none" w:sz="0" w:space="0" w:color="auto"/>
                    <w:bottom w:val="none" w:sz="0" w:space="0" w:color="auto"/>
                    <w:right w:val="none" w:sz="0" w:space="0" w:color="auto"/>
                  </w:divBdr>
                  <w:divsChild>
                    <w:div w:id="1350374902">
                      <w:marLeft w:val="0"/>
                      <w:marRight w:val="0"/>
                      <w:marTop w:val="0"/>
                      <w:marBottom w:val="0"/>
                      <w:divBdr>
                        <w:top w:val="none" w:sz="0" w:space="0" w:color="auto"/>
                        <w:left w:val="none" w:sz="0" w:space="0" w:color="auto"/>
                        <w:bottom w:val="none" w:sz="0" w:space="0" w:color="auto"/>
                        <w:right w:val="none" w:sz="0" w:space="0" w:color="auto"/>
                      </w:divBdr>
                    </w:div>
                  </w:divsChild>
                </w:div>
                <w:div w:id="369301682">
                  <w:marLeft w:val="0"/>
                  <w:marRight w:val="0"/>
                  <w:marTop w:val="0"/>
                  <w:marBottom w:val="0"/>
                  <w:divBdr>
                    <w:top w:val="none" w:sz="0" w:space="0" w:color="auto"/>
                    <w:left w:val="none" w:sz="0" w:space="0" w:color="auto"/>
                    <w:bottom w:val="none" w:sz="0" w:space="0" w:color="auto"/>
                    <w:right w:val="none" w:sz="0" w:space="0" w:color="auto"/>
                  </w:divBdr>
                  <w:divsChild>
                    <w:div w:id="284847085">
                      <w:marLeft w:val="0"/>
                      <w:marRight w:val="0"/>
                      <w:marTop w:val="0"/>
                      <w:marBottom w:val="0"/>
                      <w:divBdr>
                        <w:top w:val="none" w:sz="0" w:space="0" w:color="auto"/>
                        <w:left w:val="none" w:sz="0" w:space="0" w:color="auto"/>
                        <w:bottom w:val="none" w:sz="0" w:space="0" w:color="auto"/>
                        <w:right w:val="none" w:sz="0" w:space="0" w:color="auto"/>
                      </w:divBdr>
                    </w:div>
                  </w:divsChild>
                </w:div>
                <w:div w:id="371853407">
                  <w:marLeft w:val="0"/>
                  <w:marRight w:val="0"/>
                  <w:marTop w:val="0"/>
                  <w:marBottom w:val="0"/>
                  <w:divBdr>
                    <w:top w:val="none" w:sz="0" w:space="0" w:color="auto"/>
                    <w:left w:val="none" w:sz="0" w:space="0" w:color="auto"/>
                    <w:bottom w:val="none" w:sz="0" w:space="0" w:color="auto"/>
                    <w:right w:val="none" w:sz="0" w:space="0" w:color="auto"/>
                  </w:divBdr>
                  <w:divsChild>
                    <w:div w:id="1819221048">
                      <w:marLeft w:val="0"/>
                      <w:marRight w:val="0"/>
                      <w:marTop w:val="0"/>
                      <w:marBottom w:val="0"/>
                      <w:divBdr>
                        <w:top w:val="none" w:sz="0" w:space="0" w:color="auto"/>
                        <w:left w:val="none" w:sz="0" w:space="0" w:color="auto"/>
                        <w:bottom w:val="none" w:sz="0" w:space="0" w:color="auto"/>
                        <w:right w:val="none" w:sz="0" w:space="0" w:color="auto"/>
                      </w:divBdr>
                    </w:div>
                  </w:divsChild>
                </w:div>
                <w:div w:id="382950196">
                  <w:marLeft w:val="0"/>
                  <w:marRight w:val="0"/>
                  <w:marTop w:val="0"/>
                  <w:marBottom w:val="0"/>
                  <w:divBdr>
                    <w:top w:val="none" w:sz="0" w:space="0" w:color="auto"/>
                    <w:left w:val="none" w:sz="0" w:space="0" w:color="auto"/>
                    <w:bottom w:val="none" w:sz="0" w:space="0" w:color="auto"/>
                    <w:right w:val="none" w:sz="0" w:space="0" w:color="auto"/>
                  </w:divBdr>
                  <w:divsChild>
                    <w:div w:id="1373728503">
                      <w:marLeft w:val="0"/>
                      <w:marRight w:val="0"/>
                      <w:marTop w:val="0"/>
                      <w:marBottom w:val="0"/>
                      <w:divBdr>
                        <w:top w:val="none" w:sz="0" w:space="0" w:color="auto"/>
                        <w:left w:val="none" w:sz="0" w:space="0" w:color="auto"/>
                        <w:bottom w:val="none" w:sz="0" w:space="0" w:color="auto"/>
                        <w:right w:val="none" w:sz="0" w:space="0" w:color="auto"/>
                      </w:divBdr>
                    </w:div>
                  </w:divsChild>
                </w:div>
                <w:div w:id="394397895">
                  <w:marLeft w:val="0"/>
                  <w:marRight w:val="0"/>
                  <w:marTop w:val="0"/>
                  <w:marBottom w:val="0"/>
                  <w:divBdr>
                    <w:top w:val="none" w:sz="0" w:space="0" w:color="auto"/>
                    <w:left w:val="none" w:sz="0" w:space="0" w:color="auto"/>
                    <w:bottom w:val="none" w:sz="0" w:space="0" w:color="auto"/>
                    <w:right w:val="none" w:sz="0" w:space="0" w:color="auto"/>
                  </w:divBdr>
                  <w:divsChild>
                    <w:div w:id="85880540">
                      <w:marLeft w:val="0"/>
                      <w:marRight w:val="0"/>
                      <w:marTop w:val="0"/>
                      <w:marBottom w:val="0"/>
                      <w:divBdr>
                        <w:top w:val="none" w:sz="0" w:space="0" w:color="auto"/>
                        <w:left w:val="none" w:sz="0" w:space="0" w:color="auto"/>
                        <w:bottom w:val="none" w:sz="0" w:space="0" w:color="auto"/>
                        <w:right w:val="none" w:sz="0" w:space="0" w:color="auto"/>
                      </w:divBdr>
                    </w:div>
                  </w:divsChild>
                </w:div>
                <w:div w:id="421953286">
                  <w:marLeft w:val="0"/>
                  <w:marRight w:val="0"/>
                  <w:marTop w:val="0"/>
                  <w:marBottom w:val="0"/>
                  <w:divBdr>
                    <w:top w:val="none" w:sz="0" w:space="0" w:color="auto"/>
                    <w:left w:val="none" w:sz="0" w:space="0" w:color="auto"/>
                    <w:bottom w:val="none" w:sz="0" w:space="0" w:color="auto"/>
                    <w:right w:val="none" w:sz="0" w:space="0" w:color="auto"/>
                  </w:divBdr>
                  <w:divsChild>
                    <w:div w:id="1019239504">
                      <w:marLeft w:val="0"/>
                      <w:marRight w:val="0"/>
                      <w:marTop w:val="0"/>
                      <w:marBottom w:val="0"/>
                      <w:divBdr>
                        <w:top w:val="none" w:sz="0" w:space="0" w:color="auto"/>
                        <w:left w:val="none" w:sz="0" w:space="0" w:color="auto"/>
                        <w:bottom w:val="none" w:sz="0" w:space="0" w:color="auto"/>
                        <w:right w:val="none" w:sz="0" w:space="0" w:color="auto"/>
                      </w:divBdr>
                    </w:div>
                  </w:divsChild>
                </w:div>
                <w:div w:id="424232119">
                  <w:marLeft w:val="0"/>
                  <w:marRight w:val="0"/>
                  <w:marTop w:val="0"/>
                  <w:marBottom w:val="0"/>
                  <w:divBdr>
                    <w:top w:val="none" w:sz="0" w:space="0" w:color="auto"/>
                    <w:left w:val="none" w:sz="0" w:space="0" w:color="auto"/>
                    <w:bottom w:val="none" w:sz="0" w:space="0" w:color="auto"/>
                    <w:right w:val="none" w:sz="0" w:space="0" w:color="auto"/>
                  </w:divBdr>
                  <w:divsChild>
                    <w:div w:id="1641350762">
                      <w:marLeft w:val="0"/>
                      <w:marRight w:val="0"/>
                      <w:marTop w:val="0"/>
                      <w:marBottom w:val="0"/>
                      <w:divBdr>
                        <w:top w:val="none" w:sz="0" w:space="0" w:color="auto"/>
                        <w:left w:val="none" w:sz="0" w:space="0" w:color="auto"/>
                        <w:bottom w:val="none" w:sz="0" w:space="0" w:color="auto"/>
                        <w:right w:val="none" w:sz="0" w:space="0" w:color="auto"/>
                      </w:divBdr>
                    </w:div>
                  </w:divsChild>
                </w:div>
                <w:div w:id="436213273">
                  <w:marLeft w:val="0"/>
                  <w:marRight w:val="0"/>
                  <w:marTop w:val="0"/>
                  <w:marBottom w:val="0"/>
                  <w:divBdr>
                    <w:top w:val="none" w:sz="0" w:space="0" w:color="auto"/>
                    <w:left w:val="none" w:sz="0" w:space="0" w:color="auto"/>
                    <w:bottom w:val="none" w:sz="0" w:space="0" w:color="auto"/>
                    <w:right w:val="none" w:sz="0" w:space="0" w:color="auto"/>
                  </w:divBdr>
                  <w:divsChild>
                    <w:div w:id="888961230">
                      <w:marLeft w:val="0"/>
                      <w:marRight w:val="0"/>
                      <w:marTop w:val="0"/>
                      <w:marBottom w:val="0"/>
                      <w:divBdr>
                        <w:top w:val="none" w:sz="0" w:space="0" w:color="auto"/>
                        <w:left w:val="none" w:sz="0" w:space="0" w:color="auto"/>
                        <w:bottom w:val="none" w:sz="0" w:space="0" w:color="auto"/>
                        <w:right w:val="none" w:sz="0" w:space="0" w:color="auto"/>
                      </w:divBdr>
                    </w:div>
                  </w:divsChild>
                </w:div>
                <w:div w:id="450439912">
                  <w:marLeft w:val="0"/>
                  <w:marRight w:val="0"/>
                  <w:marTop w:val="0"/>
                  <w:marBottom w:val="0"/>
                  <w:divBdr>
                    <w:top w:val="none" w:sz="0" w:space="0" w:color="auto"/>
                    <w:left w:val="none" w:sz="0" w:space="0" w:color="auto"/>
                    <w:bottom w:val="none" w:sz="0" w:space="0" w:color="auto"/>
                    <w:right w:val="none" w:sz="0" w:space="0" w:color="auto"/>
                  </w:divBdr>
                  <w:divsChild>
                    <w:div w:id="698314787">
                      <w:marLeft w:val="0"/>
                      <w:marRight w:val="0"/>
                      <w:marTop w:val="0"/>
                      <w:marBottom w:val="0"/>
                      <w:divBdr>
                        <w:top w:val="none" w:sz="0" w:space="0" w:color="auto"/>
                        <w:left w:val="none" w:sz="0" w:space="0" w:color="auto"/>
                        <w:bottom w:val="none" w:sz="0" w:space="0" w:color="auto"/>
                        <w:right w:val="none" w:sz="0" w:space="0" w:color="auto"/>
                      </w:divBdr>
                    </w:div>
                  </w:divsChild>
                </w:div>
                <w:div w:id="452553274">
                  <w:marLeft w:val="0"/>
                  <w:marRight w:val="0"/>
                  <w:marTop w:val="0"/>
                  <w:marBottom w:val="0"/>
                  <w:divBdr>
                    <w:top w:val="none" w:sz="0" w:space="0" w:color="auto"/>
                    <w:left w:val="none" w:sz="0" w:space="0" w:color="auto"/>
                    <w:bottom w:val="none" w:sz="0" w:space="0" w:color="auto"/>
                    <w:right w:val="none" w:sz="0" w:space="0" w:color="auto"/>
                  </w:divBdr>
                  <w:divsChild>
                    <w:div w:id="1008483673">
                      <w:marLeft w:val="0"/>
                      <w:marRight w:val="0"/>
                      <w:marTop w:val="0"/>
                      <w:marBottom w:val="0"/>
                      <w:divBdr>
                        <w:top w:val="none" w:sz="0" w:space="0" w:color="auto"/>
                        <w:left w:val="none" w:sz="0" w:space="0" w:color="auto"/>
                        <w:bottom w:val="none" w:sz="0" w:space="0" w:color="auto"/>
                        <w:right w:val="none" w:sz="0" w:space="0" w:color="auto"/>
                      </w:divBdr>
                    </w:div>
                  </w:divsChild>
                </w:div>
                <w:div w:id="492263328">
                  <w:marLeft w:val="0"/>
                  <w:marRight w:val="0"/>
                  <w:marTop w:val="0"/>
                  <w:marBottom w:val="0"/>
                  <w:divBdr>
                    <w:top w:val="none" w:sz="0" w:space="0" w:color="auto"/>
                    <w:left w:val="none" w:sz="0" w:space="0" w:color="auto"/>
                    <w:bottom w:val="none" w:sz="0" w:space="0" w:color="auto"/>
                    <w:right w:val="none" w:sz="0" w:space="0" w:color="auto"/>
                  </w:divBdr>
                  <w:divsChild>
                    <w:div w:id="1453135791">
                      <w:marLeft w:val="0"/>
                      <w:marRight w:val="0"/>
                      <w:marTop w:val="0"/>
                      <w:marBottom w:val="0"/>
                      <w:divBdr>
                        <w:top w:val="none" w:sz="0" w:space="0" w:color="auto"/>
                        <w:left w:val="none" w:sz="0" w:space="0" w:color="auto"/>
                        <w:bottom w:val="none" w:sz="0" w:space="0" w:color="auto"/>
                        <w:right w:val="none" w:sz="0" w:space="0" w:color="auto"/>
                      </w:divBdr>
                    </w:div>
                  </w:divsChild>
                </w:div>
                <w:div w:id="498354410">
                  <w:marLeft w:val="0"/>
                  <w:marRight w:val="0"/>
                  <w:marTop w:val="0"/>
                  <w:marBottom w:val="0"/>
                  <w:divBdr>
                    <w:top w:val="none" w:sz="0" w:space="0" w:color="auto"/>
                    <w:left w:val="none" w:sz="0" w:space="0" w:color="auto"/>
                    <w:bottom w:val="none" w:sz="0" w:space="0" w:color="auto"/>
                    <w:right w:val="none" w:sz="0" w:space="0" w:color="auto"/>
                  </w:divBdr>
                  <w:divsChild>
                    <w:div w:id="1476919834">
                      <w:marLeft w:val="0"/>
                      <w:marRight w:val="0"/>
                      <w:marTop w:val="0"/>
                      <w:marBottom w:val="0"/>
                      <w:divBdr>
                        <w:top w:val="none" w:sz="0" w:space="0" w:color="auto"/>
                        <w:left w:val="none" w:sz="0" w:space="0" w:color="auto"/>
                        <w:bottom w:val="none" w:sz="0" w:space="0" w:color="auto"/>
                        <w:right w:val="none" w:sz="0" w:space="0" w:color="auto"/>
                      </w:divBdr>
                    </w:div>
                  </w:divsChild>
                </w:div>
                <w:div w:id="502745413">
                  <w:marLeft w:val="0"/>
                  <w:marRight w:val="0"/>
                  <w:marTop w:val="0"/>
                  <w:marBottom w:val="0"/>
                  <w:divBdr>
                    <w:top w:val="none" w:sz="0" w:space="0" w:color="auto"/>
                    <w:left w:val="none" w:sz="0" w:space="0" w:color="auto"/>
                    <w:bottom w:val="none" w:sz="0" w:space="0" w:color="auto"/>
                    <w:right w:val="none" w:sz="0" w:space="0" w:color="auto"/>
                  </w:divBdr>
                  <w:divsChild>
                    <w:div w:id="614680732">
                      <w:marLeft w:val="0"/>
                      <w:marRight w:val="0"/>
                      <w:marTop w:val="0"/>
                      <w:marBottom w:val="0"/>
                      <w:divBdr>
                        <w:top w:val="none" w:sz="0" w:space="0" w:color="auto"/>
                        <w:left w:val="none" w:sz="0" w:space="0" w:color="auto"/>
                        <w:bottom w:val="none" w:sz="0" w:space="0" w:color="auto"/>
                        <w:right w:val="none" w:sz="0" w:space="0" w:color="auto"/>
                      </w:divBdr>
                    </w:div>
                  </w:divsChild>
                </w:div>
                <w:div w:id="504328127">
                  <w:marLeft w:val="0"/>
                  <w:marRight w:val="0"/>
                  <w:marTop w:val="0"/>
                  <w:marBottom w:val="0"/>
                  <w:divBdr>
                    <w:top w:val="none" w:sz="0" w:space="0" w:color="auto"/>
                    <w:left w:val="none" w:sz="0" w:space="0" w:color="auto"/>
                    <w:bottom w:val="none" w:sz="0" w:space="0" w:color="auto"/>
                    <w:right w:val="none" w:sz="0" w:space="0" w:color="auto"/>
                  </w:divBdr>
                  <w:divsChild>
                    <w:div w:id="253831328">
                      <w:marLeft w:val="0"/>
                      <w:marRight w:val="0"/>
                      <w:marTop w:val="0"/>
                      <w:marBottom w:val="0"/>
                      <w:divBdr>
                        <w:top w:val="none" w:sz="0" w:space="0" w:color="auto"/>
                        <w:left w:val="none" w:sz="0" w:space="0" w:color="auto"/>
                        <w:bottom w:val="none" w:sz="0" w:space="0" w:color="auto"/>
                        <w:right w:val="none" w:sz="0" w:space="0" w:color="auto"/>
                      </w:divBdr>
                    </w:div>
                  </w:divsChild>
                </w:div>
                <w:div w:id="539171183">
                  <w:marLeft w:val="0"/>
                  <w:marRight w:val="0"/>
                  <w:marTop w:val="0"/>
                  <w:marBottom w:val="0"/>
                  <w:divBdr>
                    <w:top w:val="none" w:sz="0" w:space="0" w:color="auto"/>
                    <w:left w:val="none" w:sz="0" w:space="0" w:color="auto"/>
                    <w:bottom w:val="none" w:sz="0" w:space="0" w:color="auto"/>
                    <w:right w:val="none" w:sz="0" w:space="0" w:color="auto"/>
                  </w:divBdr>
                  <w:divsChild>
                    <w:div w:id="212279499">
                      <w:marLeft w:val="0"/>
                      <w:marRight w:val="0"/>
                      <w:marTop w:val="0"/>
                      <w:marBottom w:val="0"/>
                      <w:divBdr>
                        <w:top w:val="none" w:sz="0" w:space="0" w:color="auto"/>
                        <w:left w:val="none" w:sz="0" w:space="0" w:color="auto"/>
                        <w:bottom w:val="none" w:sz="0" w:space="0" w:color="auto"/>
                        <w:right w:val="none" w:sz="0" w:space="0" w:color="auto"/>
                      </w:divBdr>
                    </w:div>
                  </w:divsChild>
                </w:div>
                <w:div w:id="542593982">
                  <w:marLeft w:val="0"/>
                  <w:marRight w:val="0"/>
                  <w:marTop w:val="0"/>
                  <w:marBottom w:val="0"/>
                  <w:divBdr>
                    <w:top w:val="none" w:sz="0" w:space="0" w:color="auto"/>
                    <w:left w:val="none" w:sz="0" w:space="0" w:color="auto"/>
                    <w:bottom w:val="none" w:sz="0" w:space="0" w:color="auto"/>
                    <w:right w:val="none" w:sz="0" w:space="0" w:color="auto"/>
                  </w:divBdr>
                  <w:divsChild>
                    <w:div w:id="248776699">
                      <w:marLeft w:val="0"/>
                      <w:marRight w:val="0"/>
                      <w:marTop w:val="0"/>
                      <w:marBottom w:val="0"/>
                      <w:divBdr>
                        <w:top w:val="none" w:sz="0" w:space="0" w:color="auto"/>
                        <w:left w:val="none" w:sz="0" w:space="0" w:color="auto"/>
                        <w:bottom w:val="none" w:sz="0" w:space="0" w:color="auto"/>
                        <w:right w:val="none" w:sz="0" w:space="0" w:color="auto"/>
                      </w:divBdr>
                    </w:div>
                  </w:divsChild>
                </w:div>
                <w:div w:id="565531070">
                  <w:marLeft w:val="0"/>
                  <w:marRight w:val="0"/>
                  <w:marTop w:val="0"/>
                  <w:marBottom w:val="0"/>
                  <w:divBdr>
                    <w:top w:val="none" w:sz="0" w:space="0" w:color="auto"/>
                    <w:left w:val="none" w:sz="0" w:space="0" w:color="auto"/>
                    <w:bottom w:val="none" w:sz="0" w:space="0" w:color="auto"/>
                    <w:right w:val="none" w:sz="0" w:space="0" w:color="auto"/>
                  </w:divBdr>
                  <w:divsChild>
                    <w:div w:id="953826926">
                      <w:marLeft w:val="0"/>
                      <w:marRight w:val="0"/>
                      <w:marTop w:val="0"/>
                      <w:marBottom w:val="0"/>
                      <w:divBdr>
                        <w:top w:val="none" w:sz="0" w:space="0" w:color="auto"/>
                        <w:left w:val="none" w:sz="0" w:space="0" w:color="auto"/>
                        <w:bottom w:val="none" w:sz="0" w:space="0" w:color="auto"/>
                        <w:right w:val="none" w:sz="0" w:space="0" w:color="auto"/>
                      </w:divBdr>
                    </w:div>
                  </w:divsChild>
                </w:div>
                <w:div w:id="569972010">
                  <w:marLeft w:val="0"/>
                  <w:marRight w:val="0"/>
                  <w:marTop w:val="0"/>
                  <w:marBottom w:val="0"/>
                  <w:divBdr>
                    <w:top w:val="none" w:sz="0" w:space="0" w:color="auto"/>
                    <w:left w:val="none" w:sz="0" w:space="0" w:color="auto"/>
                    <w:bottom w:val="none" w:sz="0" w:space="0" w:color="auto"/>
                    <w:right w:val="none" w:sz="0" w:space="0" w:color="auto"/>
                  </w:divBdr>
                  <w:divsChild>
                    <w:div w:id="125122942">
                      <w:marLeft w:val="0"/>
                      <w:marRight w:val="0"/>
                      <w:marTop w:val="0"/>
                      <w:marBottom w:val="0"/>
                      <w:divBdr>
                        <w:top w:val="none" w:sz="0" w:space="0" w:color="auto"/>
                        <w:left w:val="none" w:sz="0" w:space="0" w:color="auto"/>
                        <w:bottom w:val="none" w:sz="0" w:space="0" w:color="auto"/>
                        <w:right w:val="none" w:sz="0" w:space="0" w:color="auto"/>
                      </w:divBdr>
                    </w:div>
                  </w:divsChild>
                </w:div>
                <w:div w:id="594901541">
                  <w:marLeft w:val="0"/>
                  <w:marRight w:val="0"/>
                  <w:marTop w:val="0"/>
                  <w:marBottom w:val="0"/>
                  <w:divBdr>
                    <w:top w:val="none" w:sz="0" w:space="0" w:color="auto"/>
                    <w:left w:val="none" w:sz="0" w:space="0" w:color="auto"/>
                    <w:bottom w:val="none" w:sz="0" w:space="0" w:color="auto"/>
                    <w:right w:val="none" w:sz="0" w:space="0" w:color="auto"/>
                  </w:divBdr>
                  <w:divsChild>
                    <w:div w:id="1964846274">
                      <w:marLeft w:val="0"/>
                      <w:marRight w:val="0"/>
                      <w:marTop w:val="0"/>
                      <w:marBottom w:val="0"/>
                      <w:divBdr>
                        <w:top w:val="none" w:sz="0" w:space="0" w:color="auto"/>
                        <w:left w:val="none" w:sz="0" w:space="0" w:color="auto"/>
                        <w:bottom w:val="none" w:sz="0" w:space="0" w:color="auto"/>
                        <w:right w:val="none" w:sz="0" w:space="0" w:color="auto"/>
                      </w:divBdr>
                    </w:div>
                  </w:divsChild>
                </w:div>
                <w:div w:id="602878728">
                  <w:marLeft w:val="0"/>
                  <w:marRight w:val="0"/>
                  <w:marTop w:val="0"/>
                  <w:marBottom w:val="0"/>
                  <w:divBdr>
                    <w:top w:val="none" w:sz="0" w:space="0" w:color="auto"/>
                    <w:left w:val="none" w:sz="0" w:space="0" w:color="auto"/>
                    <w:bottom w:val="none" w:sz="0" w:space="0" w:color="auto"/>
                    <w:right w:val="none" w:sz="0" w:space="0" w:color="auto"/>
                  </w:divBdr>
                  <w:divsChild>
                    <w:div w:id="1060251164">
                      <w:marLeft w:val="0"/>
                      <w:marRight w:val="0"/>
                      <w:marTop w:val="0"/>
                      <w:marBottom w:val="0"/>
                      <w:divBdr>
                        <w:top w:val="none" w:sz="0" w:space="0" w:color="auto"/>
                        <w:left w:val="none" w:sz="0" w:space="0" w:color="auto"/>
                        <w:bottom w:val="none" w:sz="0" w:space="0" w:color="auto"/>
                        <w:right w:val="none" w:sz="0" w:space="0" w:color="auto"/>
                      </w:divBdr>
                    </w:div>
                  </w:divsChild>
                </w:div>
                <w:div w:id="615990352">
                  <w:marLeft w:val="0"/>
                  <w:marRight w:val="0"/>
                  <w:marTop w:val="0"/>
                  <w:marBottom w:val="0"/>
                  <w:divBdr>
                    <w:top w:val="none" w:sz="0" w:space="0" w:color="auto"/>
                    <w:left w:val="none" w:sz="0" w:space="0" w:color="auto"/>
                    <w:bottom w:val="none" w:sz="0" w:space="0" w:color="auto"/>
                    <w:right w:val="none" w:sz="0" w:space="0" w:color="auto"/>
                  </w:divBdr>
                  <w:divsChild>
                    <w:div w:id="1144006196">
                      <w:marLeft w:val="0"/>
                      <w:marRight w:val="0"/>
                      <w:marTop w:val="0"/>
                      <w:marBottom w:val="0"/>
                      <w:divBdr>
                        <w:top w:val="none" w:sz="0" w:space="0" w:color="auto"/>
                        <w:left w:val="none" w:sz="0" w:space="0" w:color="auto"/>
                        <w:bottom w:val="none" w:sz="0" w:space="0" w:color="auto"/>
                        <w:right w:val="none" w:sz="0" w:space="0" w:color="auto"/>
                      </w:divBdr>
                    </w:div>
                  </w:divsChild>
                </w:div>
                <w:div w:id="649139065">
                  <w:marLeft w:val="0"/>
                  <w:marRight w:val="0"/>
                  <w:marTop w:val="0"/>
                  <w:marBottom w:val="0"/>
                  <w:divBdr>
                    <w:top w:val="none" w:sz="0" w:space="0" w:color="auto"/>
                    <w:left w:val="none" w:sz="0" w:space="0" w:color="auto"/>
                    <w:bottom w:val="none" w:sz="0" w:space="0" w:color="auto"/>
                    <w:right w:val="none" w:sz="0" w:space="0" w:color="auto"/>
                  </w:divBdr>
                  <w:divsChild>
                    <w:div w:id="1451972295">
                      <w:marLeft w:val="0"/>
                      <w:marRight w:val="0"/>
                      <w:marTop w:val="0"/>
                      <w:marBottom w:val="0"/>
                      <w:divBdr>
                        <w:top w:val="none" w:sz="0" w:space="0" w:color="auto"/>
                        <w:left w:val="none" w:sz="0" w:space="0" w:color="auto"/>
                        <w:bottom w:val="none" w:sz="0" w:space="0" w:color="auto"/>
                        <w:right w:val="none" w:sz="0" w:space="0" w:color="auto"/>
                      </w:divBdr>
                    </w:div>
                  </w:divsChild>
                </w:div>
                <w:div w:id="683751732">
                  <w:marLeft w:val="0"/>
                  <w:marRight w:val="0"/>
                  <w:marTop w:val="0"/>
                  <w:marBottom w:val="0"/>
                  <w:divBdr>
                    <w:top w:val="none" w:sz="0" w:space="0" w:color="auto"/>
                    <w:left w:val="none" w:sz="0" w:space="0" w:color="auto"/>
                    <w:bottom w:val="none" w:sz="0" w:space="0" w:color="auto"/>
                    <w:right w:val="none" w:sz="0" w:space="0" w:color="auto"/>
                  </w:divBdr>
                  <w:divsChild>
                    <w:div w:id="363947273">
                      <w:marLeft w:val="0"/>
                      <w:marRight w:val="0"/>
                      <w:marTop w:val="0"/>
                      <w:marBottom w:val="0"/>
                      <w:divBdr>
                        <w:top w:val="none" w:sz="0" w:space="0" w:color="auto"/>
                        <w:left w:val="none" w:sz="0" w:space="0" w:color="auto"/>
                        <w:bottom w:val="none" w:sz="0" w:space="0" w:color="auto"/>
                        <w:right w:val="none" w:sz="0" w:space="0" w:color="auto"/>
                      </w:divBdr>
                    </w:div>
                  </w:divsChild>
                </w:div>
                <w:div w:id="690112177">
                  <w:marLeft w:val="0"/>
                  <w:marRight w:val="0"/>
                  <w:marTop w:val="0"/>
                  <w:marBottom w:val="0"/>
                  <w:divBdr>
                    <w:top w:val="none" w:sz="0" w:space="0" w:color="auto"/>
                    <w:left w:val="none" w:sz="0" w:space="0" w:color="auto"/>
                    <w:bottom w:val="none" w:sz="0" w:space="0" w:color="auto"/>
                    <w:right w:val="none" w:sz="0" w:space="0" w:color="auto"/>
                  </w:divBdr>
                  <w:divsChild>
                    <w:div w:id="1872913586">
                      <w:marLeft w:val="0"/>
                      <w:marRight w:val="0"/>
                      <w:marTop w:val="0"/>
                      <w:marBottom w:val="0"/>
                      <w:divBdr>
                        <w:top w:val="none" w:sz="0" w:space="0" w:color="auto"/>
                        <w:left w:val="none" w:sz="0" w:space="0" w:color="auto"/>
                        <w:bottom w:val="none" w:sz="0" w:space="0" w:color="auto"/>
                        <w:right w:val="none" w:sz="0" w:space="0" w:color="auto"/>
                      </w:divBdr>
                    </w:div>
                  </w:divsChild>
                </w:div>
                <w:div w:id="704215098">
                  <w:marLeft w:val="0"/>
                  <w:marRight w:val="0"/>
                  <w:marTop w:val="0"/>
                  <w:marBottom w:val="0"/>
                  <w:divBdr>
                    <w:top w:val="none" w:sz="0" w:space="0" w:color="auto"/>
                    <w:left w:val="none" w:sz="0" w:space="0" w:color="auto"/>
                    <w:bottom w:val="none" w:sz="0" w:space="0" w:color="auto"/>
                    <w:right w:val="none" w:sz="0" w:space="0" w:color="auto"/>
                  </w:divBdr>
                  <w:divsChild>
                    <w:div w:id="991255926">
                      <w:marLeft w:val="0"/>
                      <w:marRight w:val="0"/>
                      <w:marTop w:val="0"/>
                      <w:marBottom w:val="0"/>
                      <w:divBdr>
                        <w:top w:val="none" w:sz="0" w:space="0" w:color="auto"/>
                        <w:left w:val="none" w:sz="0" w:space="0" w:color="auto"/>
                        <w:bottom w:val="none" w:sz="0" w:space="0" w:color="auto"/>
                        <w:right w:val="none" w:sz="0" w:space="0" w:color="auto"/>
                      </w:divBdr>
                    </w:div>
                  </w:divsChild>
                </w:div>
                <w:div w:id="723723685">
                  <w:marLeft w:val="0"/>
                  <w:marRight w:val="0"/>
                  <w:marTop w:val="0"/>
                  <w:marBottom w:val="0"/>
                  <w:divBdr>
                    <w:top w:val="none" w:sz="0" w:space="0" w:color="auto"/>
                    <w:left w:val="none" w:sz="0" w:space="0" w:color="auto"/>
                    <w:bottom w:val="none" w:sz="0" w:space="0" w:color="auto"/>
                    <w:right w:val="none" w:sz="0" w:space="0" w:color="auto"/>
                  </w:divBdr>
                  <w:divsChild>
                    <w:div w:id="1139809096">
                      <w:marLeft w:val="0"/>
                      <w:marRight w:val="0"/>
                      <w:marTop w:val="0"/>
                      <w:marBottom w:val="0"/>
                      <w:divBdr>
                        <w:top w:val="none" w:sz="0" w:space="0" w:color="auto"/>
                        <w:left w:val="none" w:sz="0" w:space="0" w:color="auto"/>
                        <w:bottom w:val="none" w:sz="0" w:space="0" w:color="auto"/>
                        <w:right w:val="none" w:sz="0" w:space="0" w:color="auto"/>
                      </w:divBdr>
                    </w:div>
                  </w:divsChild>
                </w:div>
                <w:div w:id="744185023">
                  <w:marLeft w:val="0"/>
                  <w:marRight w:val="0"/>
                  <w:marTop w:val="0"/>
                  <w:marBottom w:val="0"/>
                  <w:divBdr>
                    <w:top w:val="none" w:sz="0" w:space="0" w:color="auto"/>
                    <w:left w:val="none" w:sz="0" w:space="0" w:color="auto"/>
                    <w:bottom w:val="none" w:sz="0" w:space="0" w:color="auto"/>
                    <w:right w:val="none" w:sz="0" w:space="0" w:color="auto"/>
                  </w:divBdr>
                  <w:divsChild>
                    <w:div w:id="423571277">
                      <w:marLeft w:val="0"/>
                      <w:marRight w:val="0"/>
                      <w:marTop w:val="0"/>
                      <w:marBottom w:val="0"/>
                      <w:divBdr>
                        <w:top w:val="none" w:sz="0" w:space="0" w:color="auto"/>
                        <w:left w:val="none" w:sz="0" w:space="0" w:color="auto"/>
                        <w:bottom w:val="none" w:sz="0" w:space="0" w:color="auto"/>
                        <w:right w:val="none" w:sz="0" w:space="0" w:color="auto"/>
                      </w:divBdr>
                    </w:div>
                  </w:divsChild>
                </w:div>
                <w:div w:id="788354699">
                  <w:marLeft w:val="0"/>
                  <w:marRight w:val="0"/>
                  <w:marTop w:val="0"/>
                  <w:marBottom w:val="0"/>
                  <w:divBdr>
                    <w:top w:val="none" w:sz="0" w:space="0" w:color="auto"/>
                    <w:left w:val="none" w:sz="0" w:space="0" w:color="auto"/>
                    <w:bottom w:val="none" w:sz="0" w:space="0" w:color="auto"/>
                    <w:right w:val="none" w:sz="0" w:space="0" w:color="auto"/>
                  </w:divBdr>
                  <w:divsChild>
                    <w:div w:id="387579932">
                      <w:marLeft w:val="0"/>
                      <w:marRight w:val="0"/>
                      <w:marTop w:val="0"/>
                      <w:marBottom w:val="0"/>
                      <w:divBdr>
                        <w:top w:val="none" w:sz="0" w:space="0" w:color="auto"/>
                        <w:left w:val="none" w:sz="0" w:space="0" w:color="auto"/>
                        <w:bottom w:val="none" w:sz="0" w:space="0" w:color="auto"/>
                        <w:right w:val="none" w:sz="0" w:space="0" w:color="auto"/>
                      </w:divBdr>
                    </w:div>
                  </w:divsChild>
                </w:div>
                <w:div w:id="804127352">
                  <w:marLeft w:val="0"/>
                  <w:marRight w:val="0"/>
                  <w:marTop w:val="0"/>
                  <w:marBottom w:val="0"/>
                  <w:divBdr>
                    <w:top w:val="none" w:sz="0" w:space="0" w:color="auto"/>
                    <w:left w:val="none" w:sz="0" w:space="0" w:color="auto"/>
                    <w:bottom w:val="none" w:sz="0" w:space="0" w:color="auto"/>
                    <w:right w:val="none" w:sz="0" w:space="0" w:color="auto"/>
                  </w:divBdr>
                  <w:divsChild>
                    <w:div w:id="1506703193">
                      <w:marLeft w:val="0"/>
                      <w:marRight w:val="0"/>
                      <w:marTop w:val="0"/>
                      <w:marBottom w:val="0"/>
                      <w:divBdr>
                        <w:top w:val="none" w:sz="0" w:space="0" w:color="auto"/>
                        <w:left w:val="none" w:sz="0" w:space="0" w:color="auto"/>
                        <w:bottom w:val="none" w:sz="0" w:space="0" w:color="auto"/>
                        <w:right w:val="none" w:sz="0" w:space="0" w:color="auto"/>
                      </w:divBdr>
                    </w:div>
                  </w:divsChild>
                </w:div>
                <w:div w:id="838808777">
                  <w:marLeft w:val="0"/>
                  <w:marRight w:val="0"/>
                  <w:marTop w:val="0"/>
                  <w:marBottom w:val="0"/>
                  <w:divBdr>
                    <w:top w:val="none" w:sz="0" w:space="0" w:color="auto"/>
                    <w:left w:val="none" w:sz="0" w:space="0" w:color="auto"/>
                    <w:bottom w:val="none" w:sz="0" w:space="0" w:color="auto"/>
                    <w:right w:val="none" w:sz="0" w:space="0" w:color="auto"/>
                  </w:divBdr>
                  <w:divsChild>
                    <w:div w:id="293145705">
                      <w:marLeft w:val="0"/>
                      <w:marRight w:val="0"/>
                      <w:marTop w:val="0"/>
                      <w:marBottom w:val="0"/>
                      <w:divBdr>
                        <w:top w:val="none" w:sz="0" w:space="0" w:color="auto"/>
                        <w:left w:val="none" w:sz="0" w:space="0" w:color="auto"/>
                        <w:bottom w:val="none" w:sz="0" w:space="0" w:color="auto"/>
                        <w:right w:val="none" w:sz="0" w:space="0" w:color="auto"/>
                      </w:divBdr>
                    </w:div>
                  </w:divsChild>
                </w:div>
                <w:div w:id="843326270">
                  <w:marLeft w:val="0"/>
                  <w:marRight w:val="0"/>
                  <w:marTop w:val="0"/>
                  <w:marBottom w:val="0"/>
                  <w:divBdr>
                    <w:top w:val="none" w:sz="0" w:space="0" w:color="auto"/>
                    <w:left w:val="none" w:sz="0" w:space="0" w:color="auto"/>
                    <w:bottom w:val="none" w:sz="0" w:space="0" w:color="auto"/>
                    <w:right w:val="none" w:sz="0" w:space="0" w:color="auto"/>
                  </w:divBdr>
                  <w:divsChild>
                    <w:div w:id="1119494671">
                      <w:marLeft w:val="0"/>
                      <w:marRight w:val="0"/>
                      <w:marTop w:val="0"/>
                      <w:marBottom w:val="0"/>
                      <w:divBdr>
                        <w:top w:val="none" w:sz="0" w:space="0" w:color="auto"/>
                        <w:left w:val="none" w:sz="0" w:space="0" w:color="auto"/>
                        <w:bottom w:val="none" w:sz="0" w:space="0" w:color="auto"/>
                        <w:right w:val="none" w:sz="0" w:space="0" w:color="auto"/>
                      </w:divBdr>
                    </w:div>
                  </w:divsChild>
                </w:div>
                <w:div w:id="876503816">
                  <w:marLeft w:val="0"/>
                  <w:marRight w:val="0"/>
                  <w:marTop w:val="0"/>
                  <w:marBottom w:val="0"/>
                  <w:divBdr>
                    <w:top w:val="none" w:sz="0" w:space="0" w:color="auto"/>
                    <w:left w:val="none" w:sz="0" w:space="0" w:color="auto"/>
                    <w:bottom w:val="none" w:sz="0" w:space="0" w:color="auto"/>
                    <w:right w:val="none" w:sz="0" w:space="0" w:color="auto"/>
                  </w:divBdr>
                  <w:divsChild>
                    <w:div w:id="109593125">
                      <w:marLeft w:val="0"/>
                      <w:marRight w:val="0"/>
                      <w:marTop w:val="0"/>
                      <w:marBottom w:val="0"/>
                      <w:divBdr>
                        <w:top w:val="none" w:sz="0" w:space="0" w:color="auto"/>
                        <w:left w:val="none" w:sz="0" w:space="0" w:color="auto"/>
                        <w:bottom w:val="none" w:sz="0" w:space="0" w:color="auto"/>
                        <w:right w:val="none" w:sz="0" w:space="0" w:color="auto"/>
                      </w:divBdr>
                    </w:div>
                  </w:divsChild>
                </w:div>
                <w:div w:id="885533272">
                  <w:marLeft w:val="0"/>
                  <w:marRight w:val="0"/>
                  <w:marTop w:val="0"/>
                  <w:marBottom w:val="0"/>
                  <w:divBdr>
                    <w:top w:val="none" w:sz="0" w:space="0" w:color="auto"/>
                    <w:left w:val="none" w:sz="0" w:space="0" w:color="auto"/>
                    <w:bottom w:val="none" w:sz="0" w:space="0" w:color="auto"/>
                    <w:right w:val="none" w:sz="0" w:space="0" w:color="auto"/>
                  </w:divBdr>
                  <w:divsChild>
                    <w:div w:id="1172142960">
                      <w:marLeft w:val="0"/>
                      <w:marRight w:val="0"/>
                      <w:marTop w:val="0"/>
                      <w:marBottom w:val="0"/>
                      <w:divBdr>
                        <w:top w:val="none" w:sz="0" w:space="0" w:color="auto"/>
                        <w:left w:val="none" w:sz="0" w:space="0" w:color="auto"/>
                        <w:bottom w:val="none" w:sz="0" w:space="0" w:color="auto"/>
                        <w:right w:val="none" w:sz="0" w:space="0" w:color="auto"/>
                      </w:divBdr>
                    </w:div>
                  </w:divsChild>
                </w:div>
                <w:div w:id="885725337">
                  <w:marLeft w:val="0"/>
                  <w:marRight w:val="0"/>
                  <w:marTop w:val="0"/>
                  <w:marBottom w:val="0"/>
                  <w:divBdr>
                    <w:top w:val="none" w:sz="0" w:space="0" w:color="auto"/>
                    <w:left w:val="none" w:sz="0" w:space="0" w:color="auto"/>
                    <w:bottom w:val="none" w:sz="0" w:space="0" w:color="auto"/>
                    <w:right w:val="none" w:sz="0" w:space="0" w:color="auto"/>
                  </w:divBdr>
                  <w:divsChild>
                    <w:div w:id="136380934">
                      <w:marLeft w:val="0"/>
                      <w:marRight w:val="0"/>
                      <w:marTop w:val="0"/>
                      <w:marBottom w:val="0"/>
                      <w:divBdr>
                        <w:top w:val="none" w:sz="0" w:space="0" w:color="auto"/>
                        <w:left w:val="none" w:sz="0" w:space="0" w:color="auto"/>
                        <w:bottom w:val="none" w:sz="0" w:space="0" w:color="auto"/>
                        <w:right w:val="none" w:sz="0" w:space="0" w:color="auto"/>
                      </w:divBdr>
                    </w:div>
                  </w:divsChild>
                </w:div>
                <w:div w:id="888110169">
                  <w:marLeft w:val="0"/>
                  <w:marRight w:val="0"/>
                  <w:marTop w:val="0"/>
                  <w:marBottom w:val="0"/>
                  <w:divBdr>
                    <w:top w:val="none" w:sz="0" w:space="0" w:color="auto"/>
                    <w:left w:val="none" w:sz="0" w:space="0" w:color="auto"/>
                    <w:bottom w:val="none" w:sz="0" w:space="0" w:color="auto"/>
                    <w:right w:val="none" w:sz="0" w:space="0" w:color="auto"/>
                  </w:divBdr>
                  <w:divsChild>
                    <w:div w:id="1898735187">
                      <w:marLeft w:val="0"/>
                      <w:marRight w:val="0"/>
                      <w:marTop w:val="0"/>
                      <w:marBottom w:val="0"/>
                      <w:divBdr>
                        <w:top w:val="none" w:sz="0" w:space="0" w:color="auto"/>
                        <w:left w:val="none" w:sz="0" w:space="0" w:color="auto"/>
                        <w:bottom w:val="none" w:sz="0" w:space="0" w:color="auto"/>
                        <w:right w:val="none" w:sz="0" w:space="0" w:color="auto"/>
                      </w:divBdr>
                    </w:div>
                  </w:divsChild>
                </w:div>
                <w:div w:id="910580527">
                  <w:marLeft w:val="0"/>
                  <w:marRight w:val="0"/>
                  <w:marTop w:val="0"/>
                  <w:marBottom w:val="0"/>
                  <w:divBdr>
                    <w:top w:val="none" w:sz="0" w:space="0" w:color="auto"/>
                    <w:left w:val="none" w:sz="0" w:space="0" w:color="auto"/>
                    <w:bottom w:val="none" w:sz="0" w:space="0" w:color="auto"/>
                    <w:right w:val="none" w:sz="0" w:space="0" w:color="auto"/>
                  </w:divBdr>
                  <w:divsChild>
                    <w:div w:id="1582982346">
                      <w:marLeft w:val="0"/>
                      <w:marRight w:val="0"/>
                      <w:marTop w:val="0"/>
                      <w:marBottom w:val="0"/>
                      <w:divBdr>
                        <w:top w:val="none" w:sz="0" w:space="0" w:color="auto"/>
                        <w:left w:val="none" w:sz="0" w:space="0" w:color="auto"/>
                        <w:bottom w:val="none" w:sz="0" w:space="0" w:color="auto"/>
                        <w:right w:val="none" w:sz="0" w:space="0" w:color="auto"/>
                      </w:divBdr>
                    </w:div>
                  </w:divsChild>
                </w:div>
                <w:div w:id="922028152">
                  <w:marLeft w:val="0"/>
                  <w:marRight w:val="0"/>
                  <w:marTop w:val="0"/>
                  <w:marBottom w:val="0"/>
                  <w:divBdr>
                    <w:top w:val="none" w:sz="0" w:space="0" w:color="auto"/>
                    <w:left w:val="none" w:sz="0" w:space="0" w:color="auto"/>
                    <w:bottom w:val="none" w:sz="0" w:space="0" w:color="auto"/>
                    <w:right w:val="none" w:sz="0" w:space="0" w:color="auto"/>
                  </w:divBdr>
                  <w:divsChild>
                    <w:div w:id="550385089">
                      <w:marLeft w:val="0"/>
                      <w:marRight w:val="0"/>
                      <w:marTop w:val="0"/>
                      <w:marBottom w:val="0"/>
                      <w:divBdr>
                        <w:top w:val="none" w:sz="0" w:space="0" w:color="auto"/>
                        <w:left w:val="none" w:sz="0" w:space="0" w:color="auto"/>
                        <w:bottom w:val="none" w:sz="0" w:space="0" w:color="auto"/>
                        <w:right w:val="none" w:sz="0" w:space="0" w:color="auto"/>
                      </w:divBdr>
                    </w:div>
                  </w:divsChild>
                </w:div>
                <w:div w:id="926496356">
                  <w:marLeft w:val="0"/>
                  <w:marRight w:val="0"/>
                  <w:marTop w:val="0"/>
                  <w:marBottom w:val="0"/>
                  <w:divBdr>
                    <w:top w:val="none" w:sz="0" w:space="0" w:color="auto"/>
                    <w:left w:val="none" w:sz="0" w:space="0" w:color="auto"/>
                    <w:bottom w:val="none" w:sz="0" w:space="0" w:color="auto"/>
                    <w:right w:val="none" w:sz="0" w:space="0" w:color="auto"/>
                  </w:divBdr>
                  <w:divsChild>
                    <w:div w:id="1417824466">
                      <w:marLeft w:val="0"/>
                      <w:marRight w:val="0"/>
                      <w:marTop w:val="0"/>
                      <w:marBottom w:val="0"/>
                      <w:divBdr>
                        <w:top w:val="none" w:sz="0" w:space="0" w:color="auto"/>
                        <w:left w:val="none" w:sz="0" w:space="0" w:color="auto"/>
                        <w:bottom w:val="none" w:sz="0" w:space="0" w:color="auto"/>
                        <w:right w:val="none" w:sz="0" w:space="0" w:color="auto"/>
                      </w:divBdr>
                    </w:div>
                  </w:divsChild>
                </w:div>
                <w:div w:id="947392736">
                  <w:marLeft w:val="0"/>
                  <w:marRight w:val="0"/>
                  <w:marTop w:val="0"/>
                  <w:marBottom w:val="0"/>
                  <w:divBdr>
                    <w:top w:val="none" w:sz="0" w:space="0" w:color="auto"/>
                    <w:left w:val="none" w:sz="0" w:space="0" w:color="auto"/>
                    <w:bottom w:val="none" w:sz="0" w:space="0" w:color="auto"/>
                    <w:right w:val="none" w:sz="0" w:space="0" w:color="auto"/>
                  </w:divBdr>
                  <w:divsChild>
                    <w:div w:id="1223560197">
                      <w:marLeft w:val="0"/>
                      <w:marRight w:val="0"/>
                      <w:marTop w:val="0"/>
                      <w:marBottom w:val="0"/>
                      <w:divBdr>
                        <w:top w:val="none" w:sz="0" w:space="0" w:color="auto"/>
                        <w:left w:val="none" w:sz="0" w:space="0" w:color="auto"/>
                        <w:bottom w:val="none" w:sz="0" w:space="0" w:color="auto"/>
                        <w:right w:val="none" w:sz="0" w:space="0" w:color="auto"/>
                      </w:divBdr>
                    </w:div>
                  </w:divsChild>
                </w:div>
                <w:div w:id="967737062">
                  <w:marLeft w:val="0"/>
                  <w:marRight w:val="0"/>
                  <w:marTop w:val="0"/>
                  <w:marBottom w:val="0"/>
                  <w:divBdr>
                    <w:top w:val="none" w:sz="0" w:space="0" w:color="auto"/>
                    <w:left w:val="none" w:sz="0" w:space="0" w:color="auto"/>
                    <w:bottom w:val="none" w:sz="0" w:space="0" w:color="auto"/>
                    <w:right w:val="none" w:sz="0" w:space="0" w:color="auto"/>
                  </w:divBdr>
                  <w:divsChild>
                    <w:div w:id="760679867">
                      <w:marLeft w:val="0"/>
                      <w:marRight w:val="0"/>
                      <w:marTop w:val="0"/>
                      <w:marBottom w:val="0"/>
                      <w:divBdr>
                        <w:top w:val="none" w:sz="0" w:space="0" w:color="auto"/>
                        <w:left w:val="none" w:sz="0" w:space="0" w:color="auto"/>
                        <w:bottom w:val="none" w:sz="0" w:space="0" w:color="auto"/>
                        <w:right w:val="none" w:sz="0" w:space="0" w:color="auto"/>
                      </w:divBdr>
                    </w:div>
                  </w:divsChild>
                </w:div>
                <w:div w:id="981278594">
                  <w:marLeft w:val="0"/>
                  <w:marRight w:val="0"/>
                  <w:marTop w:val="0"/>
                  <w:marBottom w:val="0"/>
                  <w:divBdr>
                    <w:top w:val="none" w:sz="0" w:space="0" w:color="auto"/>
                    <w:left w:val="none" w:sz="0" w:space="0" w:color="auto"/>
                    <w:bottom w:val="none" w:sz="0" w:space="0" w:color="auto"/>
                    <w:right w:val="none" w:sz="0" w:space="0" w:color="auto"/>
                  </w:divBdr>
                  <w:divsChild>
                    <w:div w:id="1922829311">
                      <w:marLeft w:val="0"/>
                      <w:marRight w:val="0"/>
                      <w:marTop w:val="0"/>
                      <w:marBottom w:val="0"/>
                      <w:divBdr>
                        <w:top w:val="none" w:sz="0" w:space="0" w:color="auto"/>
                        <w:left w:val="none" w:sz="0" w:space="0" w:color="auto"/>
                        <w:bottom w:val="none" w:sz="0" w:space="0" w:color="auto"/>
                        <w:right w:val="none" w:sz="0" w:space="0" w:color="auto"/>
                      </w:divBdr>
                    </w:div>
                  </w:divsChild>
                </w:div>
                <w:div w:id="990720770">
                  <w:marLeft w:val="0"/>
                  <w:marRight w:val="0"/>
                  <w:marTop w:val="0"/>
                  <w:marBottom w:val="0"/>
                  <w:divBdr>
                    <w:top w:val="none" w:sz="0" w:space="0" w:color="auto"/>
                    <w:left w:val="none" w:sz="0" w:space="0" w:color="auto"/>
                    <w:bottom w:val="none" w:sz="0" w:space="0" w:color="auto"/>
                    <w:right w:val="none" w:sz="0" w:space="0" w:color="auto"/>
                  </w:divBdr>
                  <w:divsChild>
                    <w:div w:id="1637100772">
                      <w:marLeft w:val="0"/>
                      <w:marRight w:val="0"/>
                      <w:marTop w:val="0"/>
                      <w:marBottom w:val="0"/>
                      <w:divBdr>
                        <w:top w:val="none" w:sz="0" w:space="0" w:color="auto"/>
                        <w:left w:val="none" w:sz="0" w:space="0" w:color="auto"/>
                        <w:bottom w:val="none" w:sz="0" w:space="0" w:color="auto"/>
                        <w:right w:val="none" w:sz="0" w:space="0" w:color="auto"/>
                      </w:divBdr>
                    </w:div>
                  </w:divsChild>
                </w:div>
                <w:div w:id="994802144">
                  <w:marLeft w:val="0"/>
                  <w:marRight w:val="0"/>
                  <w:marTop w:val="0"/>
                  <w:marBottom w:val="0"/>
                  <w:divBdr>
                    <w:top w:val="none" w:sz="0" w:space="0" w:color="auto"/>
                    <w:left w:val="none" w:sz="0" w:space="0" w:color="auto"/>
                    <w:bottom w:val="none" w:sz="0" w:space="0" w:color="auto"/>
                    <w:right w:val="none" w:sz="0" w:space="0" w:color="auto"/>
                  </w:divBdr>
                  <w:divsChild>
                    <w:div w:id="1866669963">
                      <w:marLeft w:val="0"/>
                      <w:marRight w:val="0"/>
                      <w:marTop w:val="0"/>
                      <w:marBottom w:val="0"/>
                      <w:divBdr>
                        <w:top w:val="none" w:sz="0" w:space="0" w:color="auto"/>
                        <w:left w:val="none" w:sz="0" w:space="0" w:color="auto"/>
                        <w:bottom w:val="none" w:sz="0" w:space="0" w:color="auto"/>
                        <w:right w:val="none" w:sz="0" w:space="0" w:color="auto"/>
                      </w:divBdr>
                    </w:div>
                  </w:divsChild>
                </w:div>
                <w:div w:id="1046758931">
                  <w:marLeft w:val="0"/>
                  <w:marRight w:val="0"/>
                  <w:marTop w:val="0"/>
                  <w:marBottom w:val="0"/>
                  <w:divBdr>
                    <w:top w:val="none" w:sz="0" w:space="0" w:color="auto"/>
                    <w:left w:val="none" w:sz="0" w:space="0" w:color="auto"/>
                    <w:bottom w:val="none" w:sz="0" w:space="0" w:color="auto"/>
                    <w:right w:val="none" w:sz="0" w:space="0" w:color="auto"/>
                  </w:divBdr>
                  <w:divsChild>
                    <w:div w:id="161236985">
                      <w:marLeft w:val="0"/>
                      <w:marRight w:val="0"/>
                      <w:marTop w:val="0"/>
                      <w:marBottom w:val="0"/>
                      <w:divBdr>
                        <w:top w:val="none" w:sz="0" w:space="0" w:color="auto"/>
                        <w:left w:val="none" w:sz="0" w:space="0" w:color="auto"/>
                        <w:bottom w:val="none" w:sz="0" w:space="0" w:color="auto"/>
                        <w:right w:val="none" w:sz="0" w:space="0" w:color="auto"/>
                      </w:divBdr>
                    </w:div>
                  </w:divsChild>
                </w:div>
                <w:div w:id="1054963356">
                  <w:marLeft w:val="0"/>
                  <w:marRight w:val="0"/>
                  <w:marTop w:val="0"/>
                  <w:marBottom w:val="0"/>
                  <w:divBdr>
                    <w:top w:val="none" w:sz="0" w:space="0" w:color="auto"/>
                    <w:left w:val="none" w:sz="0" w:space="0" w:color="auto"/>
                    <w:bottom w:val="none" w:sz="0" w:space="0" w:color="auto"/>
                    <w:right w:val="none" w:sz="0" w:space="0" w:color="auto"/>
                  </w:divBdr>
                  <w:divsChild>
                    <w:div w:id="166024286">
                      <w:marLeft w:val="0"/>
                      <w:marRight w:val="0"/>
                      <w:marTop w:val="0"/>
                      <w:marBottom w:val="0"/>
                      <w:divBdr>
                        <w:top w:val="none" w:sz="0" w:space="0" w:color="auto"/>
                        <w:left w:val="none" w:sz="0" w:space="0" w:color="auto"/>
                        <w:bottom w:val="none" w:sz="0" w:space="0" w:color="auto"/>
                        <w:right w:val="none" w:sz="0" w:space="0" w:color="auto"/>
                      </w:divBdr>
                    </w:div>
                  </w:divsChild>
                </w:div>
                <w:div w:id="1087923696">
                  <w:marLeft w:val="0"/>
                  <w:marRight w:val="0"/>
                  <w:marTop w:val="0"/>
                  <w:marBottom w:val="0"/>
                  <w:divBdr>
                    <w:top w:val="none" w:sz="0" w:space="0" w:color="auto"/>
                    <w:left w:val="none" w:sz="0" w:space="0" w:color="auto"/>
                    <w:bottom w:val="none" w:sz="0" w:space="0" w:color="auto"/>
                    <w:right w:val="none" w:sz="0" w:space="0" w:color="auto"/>
                  </w:divBdr>
                  <w:divsChild>
                    <w:div w:id="762604580">
                      <w:marLeft w:val="0"/>
                      <w:marRight w:val="0"/>
                      <w:marTop w:val="0"/>
                      <w:marBottom w:val="0"/>
                      <w:divBdr>
                        <w:top w:val="none" w:sz="0" w:space="0" w:color="auto"/>
                        <w:left w:val="none" w:sz="0" w:space="0" w:color="auto"/>
                        <w:bottom w:val="none" w:sz="0" w:space="0" w:color="auto"/>
                        <w:right w:val="none" w:sz="0" w:space="0" w:color="auto"/>
                      </w:divBdr>
                    </w:div>
                  </w:divsChild>
                </w:div>
                <w:div w:id="1091656935">
                  <w:marLeft w:val="0"/>
                  <w:marRight w:val="0"/>
                  <w:marTop w:val="0"/>
                  <w:marBottom w:val="0"/>
                  <w:divBdr>
                    <w:top w:val="none" w:sz="0" w:space="0" w:color="auto"/>
                    <w:left w:val="none" w:sz="0" w:space="0" w:color="auto"/>
                    <w:bottom w:val="none" w:sz="0" w:space="0" w:color="auto"/>
                    <w:right w:val="none" w:sz="0" w:space="0" w:color="auto"/>
                  </w:divBdr>
                  <w:divsChild>
                    <w:div w:id="1125779868">
                      <w:marLeft w:val="0"/>
                      <w:marRight w:val="0"/>
                      <w:marTop w:val="0"/>
                      <w:marBottom w:val="0"/>
                      <w:divBdr>
                        <w:top w:val="none" w:sz="0" w:space="0" w:color="auto"/>
                        <w:left w:val="none" w:sz="0" w:space="0" w:color="auto"/>
                        <w:bottom w:val="none" w:sz="0" w:space="0" w:color="auto"/>
                        <w:right w:val="none" w:sz="0" w:space="0" w:color="auto"/>
                      </w:divBdr>
                    </w:div>
                  </w:divsChild>
                </w:div>
                <w:div w:id="1094781394">
                  <w:marLeft w:val="0"/>
                  <w:marRight w:val="0"/>
                  <w:marTop w:val="0"/>
                  <w:marBottom w:val="0"/>
                  <w:divBdr>
                    <w:top w:val="none" w:sz="0" w:space="0" w:color="auto"/>
                    <w:left w:val="none" w:sz="0" w:space="0" w:color="auto"/>
                    <w:bottom w:val="none" w:sz="0" w:space="0" w:color="auto"/>
                    <w:right w:val="none" w:sz="0" w:space="0" w:color="auto"/>
                  </w:divBdr>
                  <w:divsChild>
                    <w:div w:id="736173857">
                      <w:marLeft w:val="0"/>
                      <w:marRight w:val="0"/>
                      <w:marTop w:val="0"/>
                      <w:marBottom w:val="0"/>
                      <w:divBdr>
                        <w:top w:val="none" w:sz="0" w:space="0" w:color="auto"/>
                        <w:left w:val="none" w:sz="0" w:space="0" w:color="auto"/>
                        <w:bottom w:val="none" w:sz="0" w:space="0" w:color="auto"/>
                        <w:right w:val="none" w:sz="0" w:space="0" w:color="auto"/>
                      </w:divBdr>
                    </w:div>
                  </w:divsChild>
                </w:div>
                <w:div w:id="1094785159">
                  <w:marLeft w:val="0"/>
                  <w:marRight w:val="0"/>
                  <w:marTop w:val="0"/>
                  <w:marBottom w:val="0"/>
                  <w:divBdr>
                    <w:top w:val="none" w:sz="0" w:space="0" w:color="auto"/>
                    <w:left w:val="none" w:sz="0" w:space="0" w:color="auto"/>
                    <w:bottom w:val="none" w:sz="0" w:space="0" w:color="auto"/>
                    <w:right w:val="none" w:sz="0" w:space="0" w:color="auto"/>
                  </w:divBdr>
                  <w:divsChild>
                    <w:div w:id="814760663">
                      <w:marLeft w:val="0"/>
                      <w:marRight w:val="0"/>
                      <w:marTop w:val="0"/>
                      <w:marBottom w:val="0"/>
                      <w:divBdr>
                        <w:top w:val="none" w:sz="0" w:space="0" w:color="auto"/>
                        <w:left w:val="none" w:sz="0" w:space="0" w:color="auto"/>
                        <w:bottom w:val="none" w:sz="0" w:space="0" w:color="auto"/>
                        <w:right w:val="none" w:sz="0" w:space="0" w:color="auto"/>
                      </w:divBdr>
                    </w:div>
                  </w:divsChild>
                </w:div>
                <w:div w:id="1123035494">
                  <w:marLeft w:val="0"/>
                  <w:marRight w:val="0"/>
                  <w:marTop w:val="0"/>
                  <w:marBottom w:val="0"/>
                  <w:divBdr>
                    <w:top w:val="none" w:sz="0" w:space="0" w:color="auto"/>
                    <w:left w:val="none" w:sz="0" w:space="0" w:color="auto"/>
                    <w:bottom w:val="none" w:sz="0" w:space="0" w:color="auto"/>
                    <w:right w:val="none" w:sz="0" w:space="0" w:color="auto"/>
                  </w:divBdr>
                  <w:divsChild>
                    <w:div w:id="615210029">
                      <w:marLeft w:val="0"/>
                      <w:marRight w:val="0"/>
                      <w:marTop w:val="0"/>
                      <w:marBottom w:val="0"/>
                      <w:divBdr>
                        <w:top w:val="none" w:sz="0" w:space="0" w:color="auto"/>
                        <w:left w:val="none" w:sz="0" w:space="0" w:color="auto"/>
                        <w:bottom w:val="none" w:sz="0" w:space="0" w:color="auto"/>
                        <w:right w:val="none" w:sz="0" w:space="0" w:color="auto"/>
                      </w:divBdr>
                    </w:div>
                  </w:divsChild>
                </w:div>
                <w:div w:id="1138955999">
                  <w:marLeft w:val="0"/>
                  <w:marRight w:val="0"/>
                  <w:marTop w:val="0"/>
                  <w:marBottom w:val="0"/>
                  <w:divBdr>
                    <w:top w:val="none" w:sz="0" w:space="0" w:color="auto"/>
                    <w:left w:val="none" w:sz="0" w:space="0" w:color="auto"/>
                    <w:bottom w:val="none" w:sz="0" w:space="0" w:color="auto"/>
                    <w:right w:val="none" w:sz="0" w:space="0" w:color="auto"/>
                  </w:divBdr>
                  <w:divsChild>
                    <w:div w:id="785734577">
                      <w:marLeft w:val="0"/>
                      <w:marRight w:val="0"/>
                      <w:marTop w:val="0"/>
                      <w:marBottom w:val="0"/>
                      <w:divBdr>
                        <w:top w:val="none" w:sz="0" w:space="0" w:color="auto"/>
                        <w:left w:val="none" w:sz="0" w:space="0" w:color="auto"/>
                        <w:bottom w:val="none" w:sz="0" w:space="0" w:color="auto"/>
                        <w:right w:val="none" w:sz="0" w:space="0" w:color="auto"/>
                      </w:divBdr>
                    </w:div>
                  </w:divsChild>
                </w:div>
                <w:div w:id="1153793670">
                  <w:marLeft w:val="0"/>
                  <w:marRight w:val="0"/>
                  <w:marTop w:val="0"/>
                  <w:marBottom w:val="0"/>
                  <w:divBdr>
                    <w:top w:val="none" w:sz="0" w:space="0" w:color="auto"/>
                    <w:left w:val="none" w:sz="0" w:space="0" w:color="auto"/>
                    <w:bottom w:val="none" w:sz="0" w:space="0" w:color="auto"/>
                    <w:right w:val="none" w:sz="0" w:space="0" w:color="auto"/>
                  </w:divBdr>
                  <w:divsChild>
                    <w:div w:id="364529110">
                      <w:marLeft w:val="0"/>
                      <w:marRight w:val="0"/>
                      <w:marTop w:val="0"/>
                      <w:marBottom w:val="0"/>
                      <w:divBdr>
                        <w:top w:val="none" w:sz="0" w:space="0" w:color="auto"/>
                        <w:left w:val="none" w:sz="0" w:space="0" w:color="auto"/>
                        <w:bottom w:val="none" w:sz="0" w:space="0" w:color="auto"/>
                        <w:right w:val="none" w:sz="0" w:space="0" w:color="auto"/>
                      </w:divBdr>
                    </w:div>
                  </w:divsChild>
                </w:div>
                <w:div w:id="1158040192">
                  <w:marLeft w:val="0"/>
                  <w:marRight w:val="0"/>
                  <w:marTop w:val="0"/>
                  <w:marBottom w:val="0"/>
                  <w:divBdr>
                    <w:top w:val="none" w:sz="0" w:space="0" w:color="auto"/>
                    <w:left w:val="none" w:sz="0" w:space="0" w:color="auto"/>
                    <w:bottom w:val="none" w:sz="0" w:space="0" w:color="auto"/>
                    <w:right w:val="none" w:sz="0" w:space="0" w:color="auto"/>
                  </w:divBdr>
                  <w:divsChild>
                    <w:div w:id="1746683467">
                      <w:marLeft w:val="0"/>
                      <w:marRight w:val="0"/>
                      <w:marTop w:val="0"/>
                      <w:marBottom w:val="0"/>
                      <w:divBdr>
                        <w:top w:val="none" w:sz="0" w:space="0" w:color="auto"/>
                        <w:left w:val="none" w:sz="0" w:space="0" w:color="auto"/>
                        <w:bottom w:val="none" w:sz="0" w:space="0" w:color="auto"/>
                        <w:right w:val="none" w:sz="0" w:space="0" w:color="auto"/>
                      </w:divBdr>
                    </w:div>
                  </w:divsChild>
                </w:div>
                <w:div w:id="1173840796">
                  <w:marLeft w:val="0"/>
                  <w:marRight w:val="0"/>
                  <w:marTop w:val="0"/>
                  <w:marBottom w:val="0"/>
                  <w:divBdr>
                    <w:top w:val="none" w:sz="0" w:space="0" w:color="auto"/>
                    <w:left w:val="none" w:sz="0" w:space="0" w:color="auto"/>
                    <w:bottom w:val="none" w:sz="0" w:space="0" w:color="auto"/>
                    <w:right w:val="none" w:sz="0" w:space="0" w:color="auto"/>
                  </w:divBdr>
                  <w:divsChild>
                    <w:div w:id="130364261">
                      <w:marLeft w:val="0"/>
                      <w:marRight w:val="0"/>
                      <w:marTop w:val="0"/>
                      <w:marBottom w:val="0"/>
                      <w:divBdr>
                        <w:top w:val="none" w:sz="0" w:space="0" w:color="auto"/>
                        <w:left w:val="none" w:sz="0" w:space="0" w:color="auto"/>
                        <w:bottom w:val="none" w:sz="0" w:space="0" w:color="auto"/>
                        <w:right w:val="none" w:sz="0" w:space="0" w:color="auto"/>
                      </w:divBdr>
                    </w:div>
                  </w:divsChild>
                </w:div>
                <w:div w:id="1195003235">
                  <w:marLeft w:val="0"/>
                  <w:marRight w:val="0"/>
                  <w:marTop w:val="0"/>
                  <w:marBottom w:val="0"/>
                  <w:divBdr>
                    <w:top w:val="none" w:sz="0" w:space="0" w:color="auto"/>
                    <w:left w:val="none" w:sz="0" w:space="0" w:color="auto"/>
                    <w:bottom w:val="none" w:sz="0" w:space="0" w:color="auto"/>
                    <w:right w:val="none" w:sz="0" w:space="0" w:color="auto"/>
                  </w:divBdr>
                  <w:divsChild>
                    <w:div w:id="75129608">
                      <w:marLeft w:val="0"/>
                      <w:marRight w:val="0"/>
                      <w:marTop w:val="0"/>
                      <w:marBottom w:val="0"/>
                      <w:divBdr>
                        <w:top w:val="none" w:sz="0" w:space="0" w:color="auto"/>
                        <w:left w:val="none" w:sz="0" w:space="0" w:color="auto"/>
                        <w:bottom w:val="none" w:sz="0" w:space="0" w:color="auto"/>
                        <w:right w:val="none" w:sz="0" w:space="0" w:color="auto"/>
                      </w:divBdr>
                    </w:div>
                  </w:divsChild>
                </w:div>
                <w:div w:id="1243443813">
                  <w:marLeft w:val="0"/>
                  <w:marRight w:val="0"/>
                  <w:marTop w:val="0"/>
                  <w:marBottom w:val="0"/>
                  <w:divBdr>
                    <w:top w:val="none" w:sz="0" w:space="0" w:color="auto"/>
                    <w:left w:val="none" w:sz="0" w:space="0" w:color="auto"/>
                    <w:bottom w:val="none" w:sz="0" w:space="0" w:color="auto"/>
                    <w:right w:val="none" w:sz="0" w:space="0" w:color="auto"/>
                  </w:divBdr>
                  <w:divsChild>
                    <w:div w:id="732045610">
                      <w:marLeft w:val="0"/>
                      <w:marRight w:val="0"/>
                      <w:marTop w:val="0"/>
                      <w:marBottom w:val="0"/>
                      <w:divBdr>
                        <w:top w:val="none" w:sz="0" w:space="0" w:color="auto"/>
                        <w:left w:val="none" w:sz="0" w:space="0" w:color="auto"/>
                        <w:bottom w:val="none" w:sz="0" w:space="0" w:color="auto"/>
                        <w:right w:val="none" w:sz="0" w:space="0" w:color="auto"/>
                      </w:divBdr>
                    </w:div>
                  </w:divsChild>
                </w:div>
                <w:div w:id="1255241468">
                  <w:marLeft w:val="0"/>
                  <w:marRight w:val="0"/>
                  <w:marTop w:val="0"/>
                  <w:marBottom w:val="0"/>
                  <w:divBdr>
                    <w:top w:val="none" w:sz="0" w:space="0" w:color="auto"/>
                    <w:left w:val="none" w:sz="0" w:space="0" w:color="auto"/>
                    <w:bottom w:val="none" w:sz="0" w:space="0" w:color="auto"/>
                    <w:right w:val="none" w:sz="0" w:space="0" w:color="auto"/>
                  </w:divBdr>
                  <w:divsChild>
                    <w:div w:id="845825795">
                      <w:marLeft w:val="0"/>
                      <w:marRight w:val="0"/>
                      <w:marTop w:val="0"/>
                      <w:marBottom w:val="0"/>
                      <w:divBdr>
                        <w:top w:val="none" w:sz="0" w:space="0" w:color="auto"/>
                        <w:left w:val="none" w:sz="0" w:space="0" w:color="auto"/>
                        <w:bottom w:val="none" w:sz="0" w:space="0" w:color="auto"/>
                        <w:right w:val="none" w:sz="0" w:space="0" w:color="auto"/>
                      </w:divBdr>
                    </w:div>
                  </w:divsChild>
                </w:div>
                <w:div w:id="1278291761">
                  <w:marLeft w:val="0"/>
                  <w:marRight w:val="0"/>
                  <w:marTop w:val="0"/>
                  <w:marBottom w:val="0"/>
                  <w:divBdr>
                    <w:top w:val="none" w:sz="0" w:space="0" w:color="auto"/>
                    <w:left w:val="none" w:sz="0" w:space="0" w:color="auto"/>
                    <w:bottom w:val="none" w:sz="0" w:space="0" w:color="auto"/>
                    <w:right w:val="none" w:sz="0" w:space="0" w:color="auto"/>
                  </w:divBdr>
                  <w:divsChild>
                    <w:div w:id="131366799">
                      <w:marLeft w:val="0"/>
                      <w:marRight w:val="0"/>
                      <w:marTop w:val="0"/>
                      <w:marBottom w:val="0"/>
                      <w:divBdr>
                        <w:top w:val="none" w:sz="0" w:space="0" w:color="auto"/>
                        <w:left w:val="none" w:sz="0" w:space="0" w:color="auto"/>
                        <w:bottom w:val="none" w:sz="0" w:space="0" w:color="auto"/>
                        <w:right w:val="none" w:sz="0" w:space="0" w:color="auto"/>
                      </w:divBdr>
                    </w:div>
                  </w:divsChild>
                </w:div>
                <w:div w:id="1309631754">
                  <w:marLeft w:val="0"/>
                  <w:marRight w:val="0"/>
                  <w:marTop w:val="0"/>
                  <w:marBottom w:val="0"/>
                  <w:divBdr>
                    <w:top w:val="none" w:sz="0" w:space="0" w:color="auto"/>
                    <w:left w:val="none" w:sz="0" w:space="0" w:color="auto"/>
                    <w:bottom w:val="none" w:sz="0" w:space="0" w:color="auto"/>
                    <w:right w:val="none" w:sz="0" w:space="0" w:color="auto"/>
                  </w:divBdr>
                  <w:divsChild>
                    <w:div w:id="2119252167">
                      <w:marLeft w:val="0"/>
                      <w:marRight w:val="0"/>
                      <w:marTop w:val="0"/>
                      <w:marBottom w:val="0"/>
                      <w:divBdr>
                        <w:top w:val="none" w:sz="0" w:space="0" w:color="auto"/>
                        <w:left w:val="none" w:sz="0" w:space="0" w:color="auto"/>
                        <w:bottom w:val="none" w:sz="0" w:space="0" w:color="auto"/>
                        <w:right w:val="none" w:sz="0" w:space="0" w:color="auto"/>
                      </w:divBdr>
                    </w:div>
                  </w:divsChild>
                </w:div>
                <w:div w:id="1322349229">
                  <w:marLeft w:val="0"/>
                  <w:marRight w:val="0"/>
                  <w:marTop w:val="0"/>
                  <w:marBottom w:val="0"/>
                  <w:divBdr>
                    <w:top w:val="none" w:sz="0" w:space="0" w:color="auto"/>
                    <w:left w:val="none" w:sz="0" w:space="0" w:color="auto"/>
                    <w:bottom w:val="none" w:sz="0" w:space="0" w:color="auto"/>
                    <w:right w:val="none" w:sz="0" w:space="0" w:color="auto"/>
                  </w:divBdr>
                  <w:divsChild>
                    <w:div w:id="2069761721">
                      <w:marLeft w:val="0"/>
                      <w:marRight w:val="0"/>
                      <w:marTop w:val="0"/>
                      <w:marBottom w:val="0"/>
                      <w:divBdr>
                        <w:top w:val="none" w:sz="0" w:space="0" w:color="auto"/>
                        <w:left w:val="none" w:sz="0" w:space="0" w:color="auto"/>
                        <w:bottom w:val="none" w:sz="0" w:space="0" w:color="auto"/>
                        <w:right w:val="none" w:sz="0" w:space="0" w:color="auto"/>
                      </w:divBdr>
                    </w:div>
                  </w:divsChild>
                </w:div>
                <w:div w:id="1332023820">
                  <w:marLeft w:val="0"/>
                  <w:marRight w:val="0"/>
                  <w:marTop w:val="0"/>
                  <w:marBottom w:val="0"/>
                  <w:divBdr>
                    <w:top w:val="none" w:sz="0" w:space="0" w:color="auto"/>
                    <w:left w:val="none" w:sz="0" w:space="0" w:color="auto"/>
                    <w:bottom w:val="none" w:sz="0" w:space="0" w:color="auto"/>
                    <w:right w:val="none" w:sz="0" w:space="0" w:color="auto"/>
                  </w:divBdr>
                  <w:divsChild>
                    <w:div w:id="1834447055">
                      <w:marLeft w:val="0"/>
                      <w:marRight w:val="0"/>
                      <w:marTop w:val="0"/>
                      <w:marBottom w:val="0"/>
                      <w:divBdr>
                        <w:top w:val="none" w:sz="0" w:space="0" w:color="auto"/>
                        <w:left w:val="none" w:sz="0" w:space="0" w:color="auto"/>
                        <w:bottom w:val="none" w:sz="0" w:space="0" w:color="auto"/>
                        <w:right w:val="none" w:sz="0" w:space="0" w:color="auto"/>
                      </w:divBdr>
                    </w:div>
                  </w:divsChild>
                </w:div>
                <w:div w:id="1335911986">
                  <w:marLeft w:val="0"/>
                  <w:marRight w:val="0"/>
                  <w:marTop w:val="0"/>
                  <w:marBottom w:val="0"/>
                  <w:divBdr>
                    <w:top w:val="none" w:sz="0" w:space="0" w:color="auto"/>
                    <w:left w:val="none" w:sz="0" w:space="0" w:color="auto"/>
                    <w:bottom w:val="none" w:sz="0" w:space="0" w:color="auto"/>
                    <w:right w:val="none" w:sz="0" w:space="0" w:color="auto"/>
                  </w:divBdr>
                  <w:divsChild>
                    <w:div w:id="1743598931">
                      <w:marLeft w:val="0"/>
                      <w:marRight w:val="0"/>
                      <w:marTop w:val="0"/>
                      <w:marBottom w:val="0"/>
                      <w:divBdr>
                        <w:top w:val="none" w:sz="0" w:space="0" w:color="auto"/>
                        <w:left w:val="none" w:sz="0" w:space="0" w:color="auto"/>
                        <w:bottom w:val="none" w:sz="0" w:space="0" w:color="auto"/>
                        <w:right w:val="none" w:sz="0" w:space="0" w:color="auto"/>
                      </w:divBdr>
                    </w:div>
                  </w:divsChild>
                </w:div>
                <w:div w:id="1337342824">
                  <w:marLeft w:val="0"/>
                  <w:marRight w:val="0"/>
                  <w:marTop w:val="0"/>
                  <w:marBottom w:val="0"/>
                  <w:divBdr>
                    <w:top w:val="none" w:sz="0" w:space="0" w:color="auto"/>
                    <w:left w:val="none" w:sz="0" w:space="0" w:color="auto"/>
                    <w:bottom w:val="none" w:sz="0" w:space="0" w:color="auto"/>
                    <w:right w:val="none" w:sz="0" w:space="0" w:color="auto"/>
                  </w:divBdr>
                  <w:divsChild>
                    <w:div w:id="811024934">
                      <w:marLeft w:val="0"/>
                      <w:marRight w:val="0"/>
                      <w:marTop w:val="0"/>
                      <w:marBottom w:val="0"/>
                      <w:divBdr>
                        <w:top w:val="none" w:sz="0" w:space="0" w:color="auto"/>
                        <w:left w:val="none" w:sz="0" w:space="0" w:color="auto"/>
                        <w:bottom w:val="none" w:sz="0" w:space="0" w:color="auto"/>
                        <w:right w:val="none" w:sz="0" w:space="0" w:color="auto"/>
                      </w:divBdr>
                    </w:div>
                  </w:divsChild>
                </w:div>
                <w:div w:id="1361011856">
                  <w:marLeft w:val="0"/>
                  <w:marRight w:val="0"/>
                  <w:marTop w:val="0"/>
                  <w:marBottom w:val="0"/>
                  <w:divBdr>
                    <w:top w:val="none" w:sz="0" w:space="0" w:color="auto"/>
                    <w:left w:val="none" w:sz="0" w:space="0" w:color="auto"/>
                    <w:bottom w:val="none" w:sz="0" w:space="0" w:color="auto"/>
                    <w:right w:val="none" w:sz="0" w:space="0" w:color="auto"/>
                  </w:divBdr>
                  <w:divsChild>
                    <w:div w:id="2104564330">
                      <w:marLeft w:val="0"/>
                      <w:marRight w:val="0"/>
                      <w:marTop w:val="0"/>
                      <w:marBottom w:val="0"/>
                      <w:divBdr>
                        <w:top w:val="none" w:sz="0" w:space="0" w:color="auto"/>
                        <w:left w:val="none" w:sz="0" w:space="0" w:color="auto"/>
                        <w:bottom w:val="none" w:sz="0" w:space="0" w:color="auto"/>
                        <w:right w:val="none" w:sz="0" w:space="0" w:color="auto"/>
                      </w:divBdr>
                    </w:div>
                  </w:divsChild>
                </w:div>
                <w:div w:id="1393626237">
                  <w:marLeft w:val="0"/>
                  <w:marRight w:val="0"/>
                  <w:marTop w:val="0"/>
                  <w:marBottom w:val="0"/>
                  <w:divBdr>
                    <w:top w:val="none" w:sz="0" w:space="0" w:color="auto"/>
                    <w:left w:val="none" w:sz="0" w:space="0" w:color="auto"/>
                    <w:bottom w:val="none" w:sz="0" w:space="0" w:color="auto"/>
                    <w:right w:val="none" w:sz="0" w:space="0" w:color="auto"/>
                  </w:divBdr>
                  <w:divsChild>
                    <w:div w:id="1364209873">
                      <w:marLeft w:val="0"/>
                      <w:marRight w:val="0"/>
                      <w:marTop w:val="0"/>
                      <w:marBottom w:val="0"/>
                      <w:divBdr>
                        <w:top w:val="none" w:sz="0" w:space="0" w:color="auto"/>
                        <w:left w:val="none" w:sz="0" w:space="0" w:color="auto"/>
                        <w:bottom w:val="none" w:sz="0" w:space="0" w:color="auto"/>
                        <w:right w:val="none" w:sz="0" w:space="0" w:color="auto"/>
                      </w:divBdr>
                    </w:div>
                  </w:divsChild>
                </w:div>
                <w:div w:id="1402100338">
                  <w:marLeft w:val="0"/>
                  <w:marRight w:val="0"/>
                  <w:marTop w:val="0"/>
                  <w:marBottom w:val="0"/>
                  <w:divBdr>
                    <w:top w:val="none" w:sz="0" w:space="0" w:color="auto"/>
                    <w:left w:val="none" w:sz="0" w:space="0" w:color="auto"/>
                    <w:bottom w:val="none" w:sz="0" w:space="0" w:color="auto"/>
                    <w:right w:val="none" w:sz="0" w:space="0" w:color="auto"/>
                  </w:divBdr>
                  <w:divsChild>
                    <w:div w:id="417605096">
                      <w:marLeft w:val="0"/>
                      <w:marRight w:val="0"/>
                      <w:marTop w:val="0"/>
                      <w:marBottom w:val="0"/>
                      <w:divBdr>
                        <w:top w:val="none" w:sz="0" w:space="0" w:color="auto"/>
                        <w:left w:val="none" w:sz="0" w:space="0" w:color="auto"/>
                        <w:bottom w:val="none" w:sz="0" w:space="0" w:color="auto"/>
                        <w:right w:val="none" w:sz="0" w:space="0" w:color="auto"/>
                      </w:divBdr>
                    </w:div>
                  </w:divsChild>
                </w:div>
                <w:div w:id="1409956805">
                  <w:marLeft w:val="0"/>
                  <w:marRight w:val="0"/>
                  <w:marTop w:val="0"/>
                  <w:marBottom w:val="0"/>
                  <w:divBdr>
                    <w:top w:val="none" w:sz="0" w:space="0" w:color="auto"/>
                    <w:left w:val="none" w:sz="0" w:space="0" w:color="auto"/>
                    <w:bottom w:val="none" w:sz="0" w:space="0" w:color="auto"/>
                    <w:right w:val="none" w:sz="0" w:space="0" w:color="auto"/>
                  </w:divBdr>
                  <w:divsChild>
                    <w:div w:id="1841577660">
                      <w:marLeft w:val="0"/>
                      <w:marRight w:val="0"/>
                      <w:marTop w:val="0"/>
                      <w:marBottom w:val="0"/>
                      <w:divBdr>
                        <w:top w:val="none" w:sz="0" w:space="0" w:color="auto"/>
                        <w:left w:val="none" w:sz="0" w:space="0" w:color="auto"/>
                        <w:bottom w:val="none" w:sz="0" w:space="0" w:color="auto"/>
                        <w:right w:val="none" w:sz="0" w:space="0" w:color="auto"/>
                      </w:divBdr>
                    </w:div>
                  </w:divsChild>
                </w:div>
                <w:div w:id="1412390801">
                  <w:marLeft w:val="0"/>
                  <w:marRight w:val="0"/>
                  <w:marTop w:val="0"/>
                  <w:marBottom w:val="0"/>
                  <w:divBdr>
                    <w:top w:val="none" w:sz="0" w:space="0" w:color="auto"/>
                    <w:left w:val="none" w:sz="0" w:space="0" w:color="auto"/>
                    <w:bottom w:val="none" w:sz="0" w:space="0" w:color="auto"/>
                    <w:right w:val="none" w:sz="0" w:space="0" w:color="auto"/>
                  </w:divBdr>
                  <w:divsChild>
                    <w:div w:id="759133167">
                      <w:marLeft w:val="0"/>
                      <w:marRight w:val="0"/>
                      <w:marTop w:val="0"/>
                      <w:marBottom w:val="0"/>
                      <w:divBdr>
                        <w:top w:val="none" w:sz="0" w:space="0" w:color="auto"/>
                        <w:left w:val="none" w:sz="0" w:space="0" w:color="auto"/>
                        <w:bottom w:val="none" w:sz="0" w:space="0" w:color="auto"/>
                        <w:right w:val="none" w:sz="0" w:space="0" w:color="auto"/>
                      </w:divBdr>
                    </w:div>
                  </w:divsChild>
                </w:div>
                <w:div w:id="1427195898">
                  <w:marLeft w:val="0"/>
                  <w:marRight w:val="0"/>
                  <w:marTop w:val="0"/>
                  <w:marBottom w:val="0"/>
                  <w:divBdr>
                    <w:top w:val="none" w:sz="0" w:space="0" w:color="auto"/>
                    <w:left w:val="none" w:sz="0" w:space="0" w:color="auto"/>
                    <w:bottom w:val="none" w:sz="0" w:space="0" w:color="auto"/>
                    <w:right w:val="none" w:sz="0" w:space="0" w:color="auto"/>
                  </w:divBdr>
                  <w:divsChild>
                    <w:div w:id="1774200403">
                      <w:marLeft w:val="0"/>
                      <w:marRight w:val="0"/>
                      <w:marTop w:val="0"/>
                      <w:marBottom w:val="0"/>
                      <w:divBdr>
                        <w:top w:val="none" w:sz="0" w:space="0" w:color="auto"/>
                        <w:left w:val="none" w:sz="0" w:space="0" w:color="auto"/>
                        <w:bottom w:val="none" w:sz="0" w:space="0" w:color="auto"/>
                        <w:right w:val="none" w:sz="0" w:space="0" w:color="auto"/>
                      </w:divBdr>
                    </w:div>
                  </w:divsChild>
                </w:div>
                <w:div w:id="1438407308">
                  <w:marLeft w:val="0"/>
                  <w:marRight w:val="0"/>
                  <w:marTop w:val="0"/>
                  <w:marBottom w:val="0"/>
                  <w:divBdr>
                    <w:top w:val="none" w:sz="0" w:space="0" w:color="auto"/>
                    <w:left w:val="none" w:sz="0" w:space="0" w:color="auto"/>
                    <w:bottom w:val="none" w:sz="0" w:space="0" w:color="auto"/>
                    <w:right w:val="none" w:sz="0" w:space="0" w:color="auto"/>
                  </w:divBdr>
                  <w:divsChild>
                    <w:div w:id="526603509">
                      <w:marLeft w:val="0"/>
                      <w:marRight w:val="0"/>
                      <w:marTop w:val="0"/>
                      <w:marBottom w:val="0"/>
                      <w:divBdr>
                        <w:top w:val="none" w:sz="0" w:space="0" w:color="auto"/>
                        <w:left w:val="none" w:sz="0" w:space="0" w:color="auto"/>
                        <w:bottom w:val="none" w:sz="0" w:space="0" w:color="auto"/>
                        <w:right w:val="none" w:sz="0" w:space="0" w:color="auto"/>
                      </w:divBdr>
                    </w:div>
                  </w:divsChild>
                </w:div>
                <w:div w:id="1467238995">
                  <w:marLeft w:val="0"/>
                  <w:marRight w:val="0"/>
                  <w:marTop w:val="0"/>
                  <w:marBottom w:val="0"/>
                  <w:divBdr>
                    <w:top w:val="none" w:sz="0" w:space="0" w:color="auto"/>
                    <w:left w:val="none" w:sz="0" w:space="0" w:color="auto"/>
                    <w:bottom w:val="none" w:sz="0" w:space="0" w:color="auto"/>
                    <w:right w:val="none" w:sz="0" w:space="0" w:color="auto"/>
                  </w:divBdr>
                  <w:divsChild>
                    <w:div w:id="2126727495">
                      <w:marLeft w:val="0"/>
                      <w:marRight w:val="0"/>
                      <w:marTop w:val="0"/>
                      <w:marBottom w:val="0"/>
                      <w:divBdr>
                        <w:top w:val="none" w:sz="0" w:space="0" w:color="auto"/>
                        <w:left w:val="none" w:sz="0" w:space="0" w:color="auto"/>
                        <w:bottom w:val="none" w:sz="0" w:space="0" w:color="auto"/>
                        <w:right w:val="none" w:sz="0" w:space="0" w:color="auto"/>
                      </w:divBdr>
                    </w:div>
                  </w:divsChild>
                </w:div>
                <w:div w:id="1479954413">
                  <w:marLeft w:val="0"/>
                  <w:marRight w:val="0"/>
                  <w:marTop w:val="0"/>
                  <w:marBottom w:val="0"/>
                  <w:divBdr>
                    <w:top w:val="none" w:sz="0" w:space="0" w:color="auto"/>
                    <w:left w:val="none" w:sz="0" w:space="0" w:color="auto"/>
                    <w:bottom w:val="none" w:sz="0" w:space="0" w:color="auto"/>
                    <w:right w:val="none" w:sz="0" w:space="0" w:color="auto"/>
                  </w:divBdr>
                  <w:divsChild>
                    <w:div w:id="1535262903">
                      <w:marLeft w:val="0"/>
                      <w:marRight w:val="0"/>
                      <w:marTop w:val="0"/>
                      <w:marBottom w:val="0"/>
                      <w:divBdr>
                        <w:top w:val="none" w:sz="0" w:space="0" w:color="auto"/>
                        <w:left w:val="none" w:sz="0" w:space="0" w:color="auto"/>
                        <w:bottom w:val="none" w:sz="0" w:space="0" w:color="auto"/>
                        <w:right w:val="none" w:sz="0" w:space="0" w:color="auto"/>
                      </w:divBdr>
                    </w:div>
                  </w:divsChild>
                </w:div>
                <w:div w:id="1482621173">
                  <w:marLeft w:val="0"/>
                  <w:marRight w:val="0"/>
                  <w:marTop w:val="0"/>
                  <w:marBottom w:val="0"/>
                  <w:divBdr>
                    <w:top w:val="none" w:sz="0" w:space="0" w:color="auto"/>
                    <w:left w:val="none" w:sz="0" w:space="0" w:color="auto"/>
                    <w:bottom w:val="none" w:sz="0" w:space="0" w:color="auto"/>
                    <w:right w:val="none" w:sz="0" w:space="0" w:color="auto"/>
                  </w:divBdr>
                  <w:divsChild>
                    <w:div w:id="2087456044">
                      <w:marLeft w:val="0"/>
                      <w:marRight w:val="0"/>
                      <w:marTop w:val="0"/>
                      <w:marBottom w:val="0"/>
                      <w:divBdr>
                        <w:top w:val="none" w:sz="0" w:space="0" w:color="auto"/>
                        <w:left w:val="none" w:sz="0" w:space="0" w:color="auto"/>
                        <w:bottom w:val="none" w:sz="0" w:space="0" w:color="auto"/>
                        <w:right w:val="none" w:sz="0" w:space="0" w:color="auto"/>
                      </w:divBdr>
                    </w:div>
                  </w:divsChild>
                </w:div>
                <w:div w:id="1482884503">
                  <w:marLeft w:val="0"/>
                  <w:marRight w:val="0"/>
                  <w:marTop w:val="0"/>
                  <w:marBottom w:val="0"/>
                  <w:divBdr>
                    <w:top w:val="none" w:sz="0" w:space="0" w:color="auto"/>
                    <w:left w:val="none" w:sz="0" w:space="0" w:color="auto"/>
                    <w:bottom w:val="none" w:sz="0" w:space="0" w:color="auto"/>
                    <w:right w:val="none" w:sz="0" w:space="0" w:color="auto"/>
                  </w:divBdr>
                  <w:divsChild>
                    <w:div w:id="1726635023">
                      <w:marLeft w:val="0"/>
                      <w:marRight w:val="0"/>
                      <w:marTop w:val="0"/>
                      <w:marBottom w:val="0"/>
                      <w:divBdr>
                        <w:top w:val="none" w:sz="0" w:space="0" w:color="auto"/>
                        <w:left w:val="none" w:sz="0" w:space="0" w:color="auto"/>
                        <w:bottom w:val="none" w:sz="0" w:space="0" w:color="auto"/>
                        <w:right w:val="none" w:sz="0" w:space="0" w:color="auto"/>
                      </w:divBdr>
                    </w:div>
                  </w:divsChild>
                </w:div>
                <w:div w:id="1488521059">
                  <w:marLeft w:val="0"/>
                  <w:marRight w:val="0"/>
                  <w:marTop w:val="0"/>
                  <w:marBottom w:val="0"/>
                  <w:divBdr>
                    <w:top w:val="none" w:sz="0" w:space="0" w:color="auto"/>
                    <w:left w:val="none" w:sz="0" w:space="0" w:color="auto"/>
                    <w:bottom w:val="none" w:sz="0" w:space="0" w:color="auto"/>
                    <w:right w:val="none" w:sz="0" w:space="0" w:color="auto"/>
                  </w:divBdr>
                  <w:divsChild>
                    <w:div w:id="161355456">
                      <w:marLeft w:val="0"/>
                      <w:marRight w:val="0"/>
                      <w:marTop w:val="0"/>
                      <w:marBottom w:val="0"/>
                      <w:divBdr>
                        <w:top w:val="none" w:sz="0" w:space="0" w:color="auto"/>
                        <w:left w:val="none" w:sz="0" w:space="0" w:color="auto"/>
                        <w:bottom w:val="none" w:sz="0" w:space="0" w:color="auto"/>
                        <w:right w:val="none" w:sz="0" w:space="0" w:color="auto"/>
                      </w:divBdr>
                    </w:div>
                  </w:divsChild>
                </w:div>
                <w:div w:id="1491478841">
                  <w:marLeft w:val="0"/>
                  <w:marRight w:val="0"/>
                  <w:marTop w:val="0"/>
                  <w:marBottom w:val="0"/>
                  <w:divBdr>
                    <w:top w:val="none" w:sz="0" w:space="0" w:color="auto"/>
                    <w:left w:val="none" w:sz="0" w:space="0" w:color="auto"/>
                    <w:bottom w:val="none" w:sz="0" w:space="0" w:color="auto"/>
                    <w:right w:val="none" w:sz="0" w:space="0" w:color="auto"/>
                  </w:divBdr>
                  <w:divsChild>
                    <w:div w:id="897208221">
                      <w:marLeft w:val="0"/>
                      <w:marRight w:val="0"/>
                      <w:marTop w:val="0"/>
                      <w:marBottom w:val="0"/>
                      <w:divBdr>
                        <w:top w:val="none" w:sz="0" w:space="0" w:color="auto"/>
                        <w:left w:val="none" w:sz="0" w:space="0" w:color="auto"/>
                        <w:bottom w:val="none" w:sz="0" w:space="0" w:color="auto"/>
                        <w:right w:val="none" w:sz="0" w:space="0" w:color="auto"/>
                      </w:divBdr>
                    </w:div>
                  </w:divsChild>
                </w:div>
                <w:div w:id="1511139978">
                  <w:marLeft w:val="0"/>
                  <w:marRight w:val="0"/>
                  <w:marTop w:val="0"/>
                  <w:marBottom w:val="0"/>
                  <w:divBdr>
                    <w:top w:val="none" w:sz="0" w:space="0" w:color="auto"/>
                    <w:left w:val="none" w:sz="0" w:space="0" w:color="auto"/>
                    <w:bottom w:val="none" w:sz="0" w:space="0" w:color="auto"/>
                    <w:right w:val="none" w:sz="0" w:space="0" w:color="auto"/>
                  </w:divBdr>
                  <w:divsChild>
                    <w:div w:id="1837302600">
                      <w:marLeft w:val="0"/>
                      <w:marRight w:val="0"/>
                      <w:marTop w:val="0"/>
                      <w:marBottom w:val="0"/>
                      <w:divBdr>
                        <w:top w:val="none" w:sz="0" w:space="0" w:color="auto"/>
                        <w:left w:val="none" w:sz="0" w:space="0" w:color="auto"/>
                        <w:bottom w:val="none" w:sz="0" w:space="0" w:color="auto"/>
                        <w:right w:val="none" w:sz="0" w:space="0" w:color="auto"/>
                      </w:divBdr>
                    </w:div>
                  </w:divsChild>
                </w:div>
                <w:div w:id="1518540828">
                  <w:marLeft w:val="0"/>
                  <w:marRight w:val="0"/>
                  <w:marTop w:val="0"/>
                  <w:marBottom w:val="0"/>
                  <w:divBdr>
                    <w:top w:val="none" w:sz="0" w:space="0" w:color="auto"/>
                    <w:left w:val="none" w:sz="0" w:space="0" w:color="auto"/>
                    <w:bottom w:val="none" w:sz="0" w:space="0" w:color="auto"/>
                    <w:right w:val="none" w:sz="0" w:space="0" w:color="auto"/>
                  </w:divBdr>
                  <w:divsChild>
                    <w:div w:id="493571136">
                      <w:marLeft w:val="0"/>
                      <w:marRight w:val="0"/>
                      <w:marTop w:val="0"/>
                      <w:marBottom w:val="0"/>
                      <w:divBdr>
                        <w:top w:val="none" w:sz="0" w:space="0" w:color="auto"/>
                        <w:left w:val="none" w:sz="0" w:space="0" w:color="auto"/>
                        <w:bottom w:val="none" w:sz="0" w:space="0" w:color="auto"/>
                        <w:right w:val="none" w:sz="0" w:space="0" w:color="auto"/>
                      </w:divBdr>
                    </w:div>
                  </w:divsChild>
                </w:div>
                <w:div w:id="1519076336">
                  <w:marLeft w:val="0"/>
                  <w:marRight w:val="0"/>
                  <w:marTop w:val="0"/>
                  <w:marBottom w:val="0"/>
                  <w:divBdr>
                    <w:top w:val="none" w:sz="0" w:space="0" w:color="auto"/>
                    <w:left w:val="none" w:sz="0" w:space="0" w:color="auto"/>
                    <w:bottom w:val="none" w:sz="0" w:space="0" w:color="auto"/>
                    <w:right w:val="none" w:sz="0" w:space="0" w:color="auto"/>
                  </w:divBdr>
                  <w:divsChild>
                    <w:div w:id="2004776086">
                      <w:marLeft w:val="0"/>
                      <w:marRight w:val="0"/>
                      <w:marTop w:val="0"/>
                      <w:marBottom w:val="0"/>
                      <w:divBdr>
                        <w:top w:val="none" w:sz="0" w:space="0" w:color="auto"/>
                        <w:left w:val="none" w:sz="0" w:space="0" w:color="auto"/>
                        <w:bottom w:val="none" w:sz="0" w:space="0" w:color="auto"/>
                        <w:right w:val="none" w:sz="0" w:space="0" w:color="auto"/>
                      </w:divBdr>
                    </w:div>
                  </w:divsChild>
                </w:div>
                <w:div w:id="1538393265">
                  <w:marLeft w:val="0"/>
                  <w:marRight w:val="0"/>
                  <w:marTop w:val="0"/>
                  <w:marBottom w:val="0"/>
                  <w:divBdr>
                    <w:top w:val="none" w:sz="0" w:space="0" w:color="auto"/>
                    <w:left w:val="none" w:sz="0" w:space="0" w:color="auto"/>
                    <w:bottom w:val="none" w:sz="0" w:space="0" w:color="auto"/>
                    <w:right w:val="none" w:sz="0" w:space="0" w:color="auto"/>
                  </w:divBdr>
                  <w:divsChild>
                    <w:div w:id="716512564">
                      <w:marLeft w:val="0"/>
                      <w:marRight w:val="0"/>
                      <w:marTop w:val="0"/>
                      <w:marBottom w:val="0"/>
                      <w:divBdr>
                        <w:top w:val="none" w:sz="0" w:space="0" w:color="auto"/>
                        <w:left w:val="none" w:sz="0" w:space="0" w:color="auto"/>
                        <w:bottom w:val="none" w:sz="0" w:space="0" w:color="auto"/>
                        <w:right w:val="none" w:sz="0" w:space="0" w:color="auto"/>
                      </w:divBdr>
                    </w:div>
                  </w:divsChild>
                </w:div>
                <w:div w:id="1555848136">
                  <w:marLeft w:val="0"/>
                  <w:marRight w:val="0"/>
                  <w:marTop w:val="0"/>
                  <w:marBottom w:val="0"/>
                  <w:divBdr>
                    <w:top w:val="none" w:sz="0" w:space="0" w:color="auto"/>
                    <w:left w:val="none" w:sz="0" w:space="0" w:color="auto"/>
                    <w:bottom w:val="none" w:sz="0" w:space="0" w:color="auto"/>
                    <w:right w:val="none" w:sz="0" w:space="0" w:color="auto"/>
                  </w:divBdr>
                  <w:divsChild>
                    <w:div w:id="1525485261">
                      <w:marLeft w:val="0"/>
                      <w:marRight w:val="0"/>
                      <w:marTop w:val="0"/>
                      <w:marBottom w:val="0"/>
                      <w:divBdr>
                        <w:top w:val="none" w:sz="0" w:space="0" w:color="auto"/>
                        <w:left w:val="none" w:sz="0" w:space="0" w:color="auto"/>
                        <w:bottom w:val="none" w:sz="0" w:space="0" w:color="auto"/>
                        <w:right w:val="none" w:sz="0" w:space="0" w:color="auto"/>
                      </w:divBdr>
                    </w:div>
                  </w:divsChild>
                </w:div>
                <w:div w:id="1556578292">
                  <w:marLeft w:val="0"/>
                  <w:marRight w:val="0"/>
                  <w:marTop w:val="0"/>
                  <w:marBottom w:val="0"/>
                  <w:divBdr>
                    <w:top w:val="none" w:sz="0" w:space="0" w:color="auto"/>
                    <w:left w:val="none" w:sz="0" w:space="0" w:color="auto"/>
                    <w:bottom w:val="none" w:sz="0" w:space="0" w:color="auto"/>
                    <w:right w:val="none" w:sz="0" w:space="0" w:color="auto"/>
                  </w:divBdr>
                  <w:divsChild>
                    <w:div w:id="1911424797">
                      <w:marLeft w:val="0"/>
                      <w:marRight w:val="0"/>
                      <w:marTop w:val="0"/>
                      <w:marBottom w:val="0"/>
                      <w:divBdr>
                        <w:top w:val="none" w:sz="0" w:space="0" w:color="auto"/>
                        <w:left w:val="none" w:sz="0" w:space="0" w:color="auto"/>
                        <w:bottom w:val="none" w:sz="0" w:space="0" w:color="auto"/>
                        <w:right w:val="none" w:sz="0" w:space="0" w:color="auto"/>
                      </w:divBdr>
                    </w:div>
                  </w:divsChild>
                </w:div>
                <w:div w:id="1571887707">
                  <w:marLeft w:val="0"/>
                  <w:marRight w:val="0"/>
                  <w:marTop w:val="0"/>
                  <w:marBottom w:val="0"/>
                  <w:divBdr>
                    <w:top w:val="none" w:sz="0" w:space="0" w:color="auto"/>
                    <w:left w:val="none" w:sz="0" w:space="0" w:color="auto"/>
                    <w:bottom w:val="none" w:sz="0" w:space="0" w:color="auto"/>
                    <w:right w:val="none" w:sz="0" w:space="0" w:color="auto"/>
                  </w:divBdr>
                  <w:divsChild>
                    <w:div w:id="1913618056">
                      <w:marLeft w:val="0"/>
                      <w:marRight w:val="0"/>
                      <w:marTop w:val="0"/>
                      <w:marBottom w:val="0"/>
                      <w:divBdr>
                        <w:top w:val="none" w:sz="0" w:space="0" w:color="auto"/>
                        <w:left w:val="none" w:sz="0" w:space="0" w:color="auto"/>
                        <w:bottom w:val="none" w:sz="0" w:space="0" w:color="auto"/>
                        <w:right w:val="none" w:sz="0" w:space="0" w:color="auto"/>
                      </w:divBdr>
                    </w:div>
                  </w:divsChild>
                </w:div>
                <w:div w:id="1572036776">
                  <w:marLeft w:val="0"/>
                  <w:marRight w:val="0"/>
                  <w:marTop w:val="0"/>
                  <w:marBottom w:val="0"/>
                  <w:divBdr>
                    <w:top w:val="none" w:sz="0" w:space="0" w:color="auto"/>
                    <w:left w:val="none" w:sz="0" w:space="0" w:color="auto"/>
                    <w:bottom w:val="none" w:sz="0" w:space="0" w:color="auto"/>
                    <w:right w:val="none" w:sz="0" w:space="0" w:color="auto"/>
                  </w:divBdr>
                  <w:divsChild>
                    <w:div w:id="112134470">
                      <w:marLeft w:val="0"/>
                      <w:marRight w:val="0"/>
                      <w:marTop w:val="0"/>
                      <w:marBottom w:val="0"/>
                      <w:divBdr>
                        <w:top w:val="none" w:sz="0" w:space="0" w:color="auto"/>
                        <w:left w:val="none" w:sz="0" w:space="0" w:color="auto"/>
                        <w:bottom w:val="none" w:sz="0" w:space="0" w:color="auto"/>
                        <w:right w:val="none" w:sz="0" w:space="0" w:color="auto"/>
                      </w:divBdr>
                    </w:div>
                  </w:divsChild>
                </w:div>
                <w:div w:id="1592278697">
                  <w:marLeft w:val="0"/>
                  <w:marRight w:val="0"/>
                  <w:marTop w:val="0"/>
                  <w:marBottom w:val="0"/>
                  <w:divBdr>
                    <w:top w:val="none" w:sz="0" w:space="0" w:color="auto"/>
                    <w:left w:val="none" w:sz="0" w:space="0" w:color="auto"/>
                    <w:bottom w:val="none" w:sz="0" w:space="0" w:color="auto"/>
                    <w:right w:val="none" w:sz="0" w:space="0" w:color="auto"/>
                  </w:divBdr>
                  <w:divsChild>
                    <w:div w:id="952135183">
                      <w:marLeft w:val="0"/>
                      <w:marRight w:val="0"/>
                      <w:marTop w:val="0"/>
                      <w:marBottom w:val="0"/>
                      <w:divBdr>
                        <w:top w:val="none" w:sz="0" w:space="0" w:color="auto"/>
                        <w:left w:val="none" w:sz="0" w:space="0" w:color="auto"/>
                        <w:bottom w:val="none" w:sz="0" w:space="0" w:color="auto"/>
                        <w:right w:val="none" w:sz="0" w:space="0" w:color="auto"/>
                      </w:divBdr>
                    </w:div>
                  </w:divsChild>
                </w:div>
                <w:div w:id="1597329024">
                  <w:marLeft w:val="0"/>
                  <w:marRight w:val="0"/>
                  <w:marTop w:val="0"/>
                  <w:marBottom w:val="0"/>
                  <w:divBdr>
                    <w:top w:val="none" w:sz="0" w:space="0" w:color="auto"/>
                    <w:left w:val="none" w:sz="0" w:space="0" w:color="auto"/>
                    <w:bottom w:val="none" w:sz="0" w:space="0" w:color="auto"/>
                    <w:right w:val="none" w:sz="0" w:space="0" w:color="auto"/>
                  </w:divBdr>
                  <w:divsChild>
                    <w:div w:id="1016036817">
                      <w:marLeft w:val="0"/>
                      <w:marRight w:val="0"/>
                      <w:marTop w:val="0"/>
                      <w:marBottom w:val="0"/>
                      <w:divBdr>
                        <w:top w:val="none" w:sz="0" w:space="0" w:color="auto"/>
                        <w:left w:val="none" w:sz="0" w:space="0" w:color="auto"/>
                        <w:bottom w:val="none" w:sz="0" w:space="0" w:color="auto"/>
                        <w:right w:val="none" w:sz="0" w:space="0" w:color="auto"/>
                      </w:divBdr>
                    </w:div>
                  </w:divsChild>
                </w:div>
                <w:div w:id="1602224478">
                  <w:marLeft w:val="0"/>
                  <w:marRight w:val="0"/>
                  <w:marTop w:val="0"/>
                  <w:marBottom w:val="0"/>
                  <w:divBdr>
                    <w:top w:val="none" w:sz="0" w:space="0" w:color="auto"/>
                    <w:left w:val="none" w:sz="0" w:space="0" w:color="auto"/>
                    <w:bottom w:val="none" w:sz="0" w:space="0" w:color="auto"/>
                    <w:right w:val="none" w:sz="0" w:space="0" w:color="auto"/>
                  </w:divBdr>
                  <w:divsChild>
                    <w:div w:id="1625892052">
                      <w:marLeft w:val="0"/>
                      <w:marRight w:val="0"/>
                      <w:marTop w:val="0"/>
                      <w:marBottom w:val="0"/>
                      <w:divBdr>
                        <w:top w:val="none" w:sz="0" w:space="0" w:color="auto"/>
                        <w:left w:val="none" w:sz="0" w:space="0" w:color="auto"/>
                        <w:bottom w:val="none" w:sz="0" w:space="0" w:color="auto"/>
                        <w:right w:val="none" w:sz="0" w:space="0" w:color="auto"/>
                      </w:divBdr>
                    </w:div>
                  </w:divsChild>
                </w:div>
                <w:div w:id="1611473678">
                  <w:marLeft w:val="0"/>
                  <w:marRight w:val="0"/>
                  <w:marTop w:val="0"/>
                  <w:marBottom w:val="0"/>
                  <w:divBdr>
                    <w:top w:val="none" w:sz="0" w:space="0" w:color="auto"/>
                    <w:left w:val="none" w:sz="0" w:space="0" w:color="auto"/>
                    <w:bottom w:val="none" w:sz="0" w:space="0" w:color="auto"/>
                    <w:right w:val="none" w:sz="0" w:space="0" w:color="auto"/>
                  </w:divBdr>
                  <w:divsChild>
                    <w:div w:id="774374052">
                      <w:marLeft w:val="0"/>
                      <w:marRight w:val="0"/>
                      <w:marTop w:val="0"/>
                      <w:marBottom w:val="0"/>
                      <w:divBdr>
                        <w:top w:val="none" w:sz="0" w:space="0" w:color="auto"/>
                        <w:left w:val="none" w:sz="0" w:space="0" w:color="auto"/>
                        <w:bottom w:val="none" w:sz="0" w:space="0" w:color="auto"/>
                        <w:right w:val="none" w:sz="0" w:space="0" w:color="auto"/>
                      </w:divBdr>
                    </w:div>
                  </w:divsChild>
                </w:div>
                <w:div w:id="1623532913">
                  <w:marLeft w:val="0"/>
                  <w:marRight w:val="0"/>
                  <w:marTop w:val="0"/>
                  <w:marBottom w:val="0"/>
                  <w:divBdr>
                    <w:top w:val="none" w:sz="0" w:space="0" w:color="auto"/>
                    <w:left w:val="none" w:sz="0" w:space="0" w:color="auto"/>
                    <w:bottom w:val="none" w:sz="0" w:space="0" w:color="auto"/>
                    <w:right w:val="none" w:sz="0" w:space="0" w:color="auto"/>
                  </w:divBdr>
                  <w:divsChild>
                    <w:div w:id="1121340103">
                      <w:marLeft w:val="0"/>
                      <w:marRight w:val="0"/>
                      <w:marTop w:val="0"/>
                      <w:marBottom w:val="0"/>
                      <w:divBdr>
                        <w:top w:val="none" w:sz="0" w:space="0" w:color="auto"/>
                        <w:left w:val="none" w:sz="0" w:space="0" w:color="auto"/>
                        <w:bottom w:val="none" w:sz="0" w:space="0" w:color="auto"/>
                        <w:right w:val="none" w:sz="0" w:space="0" w:color="auto"/>
                      </w:divBdr>
                    </w:div>
                  </w:divsChild>
                </w:div>
                <w:div w:id="1626886787">
                  <w:marLeft w:val="0"/>
                  <w:marRight w:val="0"/>
                  <w:marTop w:val="0"/>
                  <w:marBottom w:val="0"/>
                  <w:divBdr>
                    <w:top w:val="none" w:sz="0" w:space="0" w:color="auto"/>
                    <w:left w:val="none" w:sz="0" w:space="0" w:color="auto"/>
                    <w:bottom w:val="none" w:sz="0" w:space="0" w:color="auto"/>
                    <w:right w:val="none" w:sz="0" w:space="0" w:color="auto"/>
                  </w:divBdr>
                  <w:divsChild>
                    <w:div w:id="1476533663">
                      <w:marLeft w:val="0"/>
                      <w:marRight w:val="0"/>
                      <w:marTop w:val="0"/>
                      <w:marBottom w:val="0"/>
                      <w:divBdr>
                        <w:top w:val="none" w:sz="0" w:space="0" w:color="auto"/>
                        <w:left w:val="none" w:sz="0" w:space="0" w:color="auto"/>
                        <w:bottom w:val="none" w:sz="0" w:space="0" w:color="auto"/>
                        <w:right w:val="none" w:sz="0" w:space="0" w:color="auto"/>
                      </w:divBdr>
                    </w:div>
                  </w:divsChild>
                </w:div>
                <w:div w:id="1631739889">
                  <w:marLeft w:val="0"/>
                  <w:marRight w:val="0"/>
                  <w:marTop w:val="0"/>
                  <w:marBottom w:val="0"/>
                  <w:divBdr>
                    <w:top w:val="none" w:sz="0" w:space="0" w:color="auto"/>
                    <w:left w:val="none" w:sz="0" w:space="0" w:color="auto"/>
                    <w:bottom w:val="none" w:sz="0" w:space="0" w:color="auto"/>
                    <w:right w:val="none" w:sz="0" w:space="0" w:color="auto"/>
                  </w:divBdr>
                  <w:divsChild>
                    <w:div w:id="1679044634">
                      <w:marLeft w:val="0"/>
                      <w:marRight w:val="0"/>
                      <w:marTop w:val="0"/>
                      <w:marBottom w:val="0"/>
                      <w:divBdr>
                        <w:top w:val="none" w:sz="0" w:space="0" w:color="auto"/>
                        <w:left w:val="none" w:sz="0" w:space="0" w:color="auto"/>
                        <w:bottom w:val="none" w:sz="0" w:space="0" w:color="auto"/>
                        <w:right w:val="none" w:sz="0" w:space="0" w:color="auto"/>
                      </w:divBdr>
                    </w:div>
                  </w:divsChild>
                </w:div>
                <w:div w:id="1633244005">
                  <w:marLeft w:val="0"/>
                  <w:marRight w:val="0"/>
                  <w:marTop w:val="0"/>
                  <w:marBottom w:val="0"/>
                  <w:divBdr>
                    <w:top w:val="none" w:sz="0" w:space="0" w:color="auto"/>
                    <w:left w:val="none" w:sz="0" w:space="0" w:color="auto"/>
                    <w:bottom w:val="none" w:sz="0" w:space="0" w:color="auto"/>
                    <w:right w:val="none" w:sz="0" w:space="0" w:color="auto"/>
                  </w:divBdr>
                  <w:divsChild>
                    <w:div w:id="926839582">
                      <w:marLeft w:val="0"/>
                      <w:marRight w:val="0"/>
                      <w:marTop w:val="0"/>
                      <w:marBottom w:val="0"/>
                      <w:divBdr>
                        <w:top w:val="none" w:sz="0" w:space="0" w:color="auto"/>
                        <w:left w:val="none" w:sz="0" w:space="0" w:color="auto"/>
                        <w:bottom w:val="none" w:sz="0" w:space="0" w:color="auto"/>
                        <w:right w:val="none" w:sz="0" w:space="0" w:color="auto"/>
                      </w:divBdr>
                    </w:div>
                  </w:divsChild>
                </w:div>
                <w:div w:id="1644038679">
                  <w:marLeft w:val="0"/>
                  <w:marRight w:val="0"/>
                  <w:marTop w:val="0"/>
                  <w:marBottom w:val="0"/>
                  <w:divBdr>
                    <w:top w:val="none" w:sz="0" w:space="0" w:color="auto"/>
                    <w:left w:val="none" w:sz="0" w:space="0" w:color="auto"/>
                    <w:bottom w:val="none" w:sz="0" w:space="0" w:color="auto"/>
                    <w:right w:val="none" w:sz="0" w:space="0" w:color="auto"/>
                  </w:divBdr>
                  <w:divsChild>
                    <w:div w:id="1807772208">
                      <w:marLeft w:val="0"/>
                      <w:marRight w:val="0"/>
                      <w:marTop w:val="0"/>
                      <w:marBottom w:val="0"/>
                      <w:divBdr>
                        <w:top w:val="none" w:sz="0" w:space="0" w:color="auto"/>
                        <w:left w:val="none" w:sz="0" w:space="0" w:color="auto"/>
                        <w:bottom w:val="none" w:sz="0" w:space="0" w:color="auto"/>
                        <w:right w:val="none" w:sz="0" w:space="0" w:color="auto"/>
                      </w:divBdr>
                    </w:div>
                  </w:divsChild>
                </w:div>
                <w:div w:id="1661687327">
                  <w:marLeft w:val="0"/>
                  <w:marRight w:val="0"/>
                  <w:marTop w:val="0"/>
                  <w:marBottom w:val="0"/>
                  <w:divBdr>
                    <w:top w:val="none" w:sz="0" w:space="0" w:color="auto"/>
                    <w:left w:val="none" w:sz="0" w:space="0" w:color="auto"/>
                    <w:bottom w:val="none" w:sz="0" w:space="0" w:color="auto"/>
                    <w:right w:val="none" w:sz="0" w:space="0" w:color="auto"/>
                  </w:divBdr>
                  <w:divsChild>
                    <w:div w:id="678891263">
                      <w:marLeft w:val="0"/>
                      <w:marRight w:val="0"/>
                      <w:marTop w:val="0"/>
                      <w:marBottom w:val="0"/>
                      <w:divBdr>
                        <w:top w:val="none" w:sz="0" w:space="0" w:color="auto"/>
                        <w:left w:val="none" w:sz="0" w:space="0" w:color="auto"/>
                        <w:bottom w:val="none" w:sz="0" w:space="0" w:color="auto"/>
                        <w:right w:val="none" w:sz="0" w:space="0" w:color="auto"/>
                      </w:divBdr>
                    </w:div>
                  </w:divsChild>
                </w:div>
                <w:div w:id="1666475734">
                  <w:marLeft w:val="0"/>
                  <w:marRight w:val="0"/>
                  <w:marTop w:val="0"/>
                  <w:marBottom w:val="0"/>
                  <w:divBdr>
                    <w:top w:val="none" w:sz="0" w:space="0" w:color="auto"/>
                    <w:left w:val="none" w:sz="0" w:space="0" w:color="auto"/>
                    <w:bottom w:val="none" w:sz="0" w:space="0" w:color="auto"/>
                    <w:right w:val="none" w:sz="0" w:space="0" w:color="auto"/>
                  </w:divBdr>
                  <w:divsChild>
                    <w:div w:id="2064255633">
                      <w:marLeft w:val="0"/>
                      <w:marRight w:val="0"/>
                      <w:marTop w:val="0"/>
                      <w:marBottom w:val="0"/>
                      <w:divBdr>
                        <w:top w:val="none" w:sz="0" w:space="0" w:color="auto"/>
                        <w:left w:val="none" w:sz="0" w:space="0" w:color="auto"/>
                        <w:bottom w:val="none" w:sz="0" w:space="0" w:color="auto"/>
                        <w:right w:val="none" w:sz="0" w:space="0" w:color="auto"/>
                      </w:divBdr>
                    </w:div>
                  </w:divsChild>
                </w:div>
                <w:div w:id="1707440015">
                  <w:marLeft w:val="0"/>
                  <w:marRight w:val="0"/>
                  <w:marTop w:val="0"/>
                  <w:marBottom w:val="0"/>
                  <w:divBdr>
                    <w:top w:val="none" w:sz="0" w:space="0" w:color="auto"/>
                    <w:left w:val="none" w:sz="0" w:space="0" w:color="auto"/>
                    <w:bottom w:val="none" w:sz="0" w:space="0" w:color="auto"/>
                    <w:right w:val="none" w:sz="0" w:space="0" w:color="auto"/>
                  </w:divBdr>
                  <w:divsChild>
                    <w:div w:id="1191988235">
                      <w:marLeft w:val="0"/>
                      <w:marRight w:val="0"/>
                      <w:marTop w:val="0"/>
                      <w:marBottom w:val="0"/>
                      <w:divBdr>
                        <w:top w:val="none" w:sz="0" w:space="0" w:color="auto"/>
                        <w:left w:val="none" w:sz="0" w:space="0" w:color="auto"/>
                        <w:bottom w:val="none" w:sz="0" w:space="0" w:color="auto"/>
                        <w:right w:val="none" w:sz="0" w:space="0" w:color="auto"/>
                      </w:divBdr>
                    </w:div>
                  </w:divsChild>
                </w:div>
                <w:div w:id="1722746176">
                  <w:marLeft w:val="0"/>
                  <w:marRight w:val="0"/>
                  <w:marTop w:val="0"/>
                  <w:marBottom w:val="0"/>
                  <w:divBdr>
                    <w:top w:val="none" w:sz="0" w:space="0" w:color="auto"/>
                    <w:left w:val="none" w:sz="0" w:space="0" w:color="auto"/>
                    <w:bottom w:val="none" w:sz="0" w:space="0" w:color="auto"/>
                    <w:right w:val="none" w:sz="0" w:space="0" w:color="auto"/>
                  </w:divBdr>
                  <w:divsChild>
                    <w:div w:id="560941467">
                      <w:marLeft w:val="0"/>
                      <w:marRight w:val="0"/>
                      <w:marTop w:val="0"/>
                      <w:marBottom w:val="0"/>
                      <w:divBdr>
                        <w:top w:val="none" w:sz="0" w:space="0" w:color="auto"/>
                        <w:left w:val="none" w:sz="0" w:space="0" w:color="auto"/>
                        <w:bottom w:val="none" w:sz="0" w:space="0" w:color="auto"/>
                        <w:right w:val="none" w:sz="0" w:space="0" w:color="auto"/>
                      </w:divBdr>
                    </w:div>
                  </w:divsChild>
                </w:div>
                <w:div w:id="1723169723">
                  <w:marLeft w:val="0"/>
                  <w:marRight w:val="0"/>
                  <w:marTop w:val="0"/>
                  <w:marBottom w:val="0"/>
                  <w:divBdr>
                    <w:top w:val="none" w:sz="0" w:space="0" w:color="auto"/>
                    <w:left w:val="none" w:sz="0" w:space="0" w:color="auto"/>
                    <w:bottom w:val="none" w:sz="0" w:space="0" w:color="auto"/>
                    <w:right w:val="none" w:sz="0" w:space="0" w:color="auto"/>
                  </w:divBdr>
                  <w:divsChild>
                    <w:div w:id="1519660675">
                      <w:marLeft w:val="0"/>
                      <w:marRight w:val="0"/>
                      <w:marTop w:val="0"/>
                      <w:marBottom w:val="0"/>
                      <w:divBdr>
                        <w:top w:val="none" w:sz="0" w:space="0" w:color="auto"/>
                        <w:left w:val="none" w:sz="0" w:space="0" w:color="auto"/>
                        <w:bottom w:val="none" w:sz="0" w:space="0" w:color="auto"/>
                        <w:right w:val="none" w:sz="0" w:space="0" w:color="auto"/>
                      </w:divBdr>
                    </w:div>
                  </w:divsChild>
                </w:div>
                <w:div w:id="1741244866">
                  <w:marLeft w:val="0"/>
                  <w:marRight w:val="0"/>
                  <w:marTop w:val="0"/>
                  <w:marBottom w:val="0"/>
                  <w:divBdr>
                    <w:top w:val="none" w:sz="0" w:space="0" w:color="auto"/>
                    <w:left w:val="none" w:sz="0" w:space="0" w:color="auto"/>
                    <w:bottom w:val="none" w:sz="0" w:space="0" w:color="auto"/>
                    <w:right w:val="none" w:sz="0" w:space="0" w:color="auto"/>
                  </w:divBdr>
                  <w:divsChild>
                    <w:div w:id="1226572729">
                      <w:marLeft w:val="0"/>
                      <w:marRight w:val="0"/>
                      <w:marTop w:val="0"/>
                      <w:marBottom w:val="0"/>
                      <w:divBdr>
                        <w:top w:val="none" w:sz="0" w:space="0" w:color="auto"/>
                        <w:left w:val="none" w:sz="0" w:space="0" w:color="auto"/>
                        <w:bottom w:val="none" w:sz="0" w:space="0" w:color="auto"/>
                        <w:right w:val="none" w:sz="0" w:space="0" w:color="auto"/>
                      </w:divBdr>
                    </w:div>
                  </w:divsChild>
                </w:div>
                <w:div w:id="1742825421">
                  <w:marLeft w:val="0"/>
                  <w:marRight w:val="0"/>
                  <w:marTop w:val="0"/>
                  <w:marBottom w:val="0"/>
                  <w:divBdr>
                    <w:top w:val="none" w:sz="0" w:space="0" w:color="auto"/>
                    <w:left w:val="none" w:sz="0" w:space="0" w:color="auto"/>
                    <w:bottom w:val="none" w:sz="0" w:space="0" w:color="auto"/>
                    <w:right w:val="none" w:sz="0" w:space="0" w:color="auto"/>
                  </w:divBdr>
                  <w:divsChild>
                    <w:div w:id="1086071256">
                      <w:marLeft w:val="0"/>
                      <w:marRight w:val="0"/>
                      <w:marTop w:val="0"/>
                      <w:marBottom w:val="0"/>
                      <w:divBdr>
                        <w:top w:val="none" w:sz="0" w:space="0" w:color="auto"/>
                        <w:left w:val="none" w:sz="0" w:space="0" w:color="auto"/>
                        <w:bottom w:val="none" w:sz="0" w:space="0" w:color="auto"/>
                        <w:right w:val="none" w:sz="0" w:space="0" w:color="auto"/>
                      </w:divBdr>
                    </w:div>
                  </w:divsChild>
                </w:div>
                <w:div w:id="1766612556">
                  <w:marLeft w:val="0"/>
                  <w:marRight w:val="0"/>
                  <w:marTop w:val="0"/>
                  <w:marBottom w:val="0"/>
                  <w:divBdr>
                    <w:top w:val="none" w:sz="0" w:space="0" w:color="auto"/>
                    <w:left w:val="none" w:sz="0" w:space="0" w:color="auto"/>
                    <w:bottom w:val="none" w:sz="0" w:space="0" w:color="auto"/>
                    <w:right w:val="none" w:sz="0" w:space="0" w:color="auto"/>
                  </w:divBdr>
                  <w:divsChild>
                    <w:div w:id="1623076243">
                      <w:marLeft w:val="0"/>
                      <w:marRight w:val="0"/>
                      <w:marTop w:val="0"/>
                      <w:marBottom w:val="0"/>
                      <w:divBdr>
                        <w:top w:val="none" w:sz="0" w:space="0" w:color="auto"/>
                        <w:left w:val="none" w:sz="0" w:space="0" w:color="auto"/>
                        <w:bottom w:val="none" w:sz="0" w:space="0" w:color="auto"/>
                        <w:right w:val="none" w:sz="0" w:space="0" w:color="auto"/>
                      </w:divBdr>
                    </w:div>
                    <w:div w:id="1758869197">
                      <w:marLeft w:val="0"/>
                      <w:marRight w:val="0"/>
                      <w:marTop w:val="0"/>
                      <w:marBottom w:val="0"/>
                      <w:divBdr>
                        <w:top w:val="none" w:sz="0" w:space="0" w:color="auto"/>
                        <w:left w:val="none" w:sz="0" w:space="0" w:color="auto"/>
                        <w:bottom w:val="none" w:sz="0" w:space="0" w:color="auto"/>
                        <w:right w:val="none" w:sz="0" w:space="0" w:color="auto"/>
                      </w:divBdr>
                    </w:div>
                  </w:divsChild>
                </w:div>
                <w:div w:id="1777603708">
                  <w:marLeft w:val="0"/>
                  <w:marRight w:val="0"/>
                  <w:marTop w:val="0"/>
                  <w:marBottom w:val="0"/>
                  <w:divBdr>
                    <w:top w:val="none" w:sz="0" w:space="0" w:color="auto"/>
                    <w:left w:val="none" w:sz="0" w:space="0" w:color="auto"/>
                    <w:bottom w:val="none" w:sz="0" w:space="0" w:color="auto"/>
                    <w:right w:val="none" w:sz="0" w:space="0" w:color="auto"/>
                  </w:divBdr>
                  <w:divsChild>
                    <w:div w:id="1006902460">
                      <w:marLeft w:val="0"/>
                      <w:marRight w:val="0"/>
                      <w:marTop w:val="0"/>
                      <w:marBottom w:val="0"/>
                      <w:divBdr>
                        <w:top w:val="none" w:sz="0" w:space="0" w:color="auto"/>
                        <w:left w:val="none" w:sz="0" w:space="0" w:color="auto"/>
                        <w:bottom w:val="none" w:sz="0" w:space="0" w:color="auto"/>
                        <w:right w:val="none" w:sz="0" w:space="0" w:color="auto"/>
                      </w:divBdr>
                    </w:div>
                  </w:divsChild>
                </w:div>
                <w:div w:id="1787237633">
                  <w:marLeft w:val="0"/>
                  <w:marRight w:val="0"/>
                  <w:marTop w:val="0"/>
                  <w:marBottom w:val="0"/>
                  <w:divBdr>
                    <w:top w:val="none" w:sz="0" w:space="0" w:color="auto"/>
                    <w:left w:val="none" w:sz="0" w:space="0" w:color="auto"/>
                    <w:bottom w:val="none" w:sz="0" w:space="0" w:color="auto"/>
                    <w:right w:val="none" w:sz="0" w:space="0" w:color="auto"/>
                  </w:divBdr>
                  <w:divsChild>
                    <w:div w:id="979462351">
                      <w:marLeft w:val="0"/>
                      <w:marRight w:val="0"/>
                      <w:marTop w:val="0"/>
                      <w:marBottom w:val="0"/>
                      <w:divBdr>
                        <w:top w:val="none" w:sz="0" w:space="0" w:color="auto"/>
                        <w:left w:val="none" w:sz="0" w:space="0" w:color="auto"/>
                        <w:bottom w:val="none" w:sz="0" w:space="0" w:color="auto"/>
                        <w:right w:val="none" w:sz="0" w:space="0" w:color="auto"/>
                      </w:divBdr>
                    </w:div>
                  </w:divsChild>
                </w:div>
                <w:div w:id="1796633821">
                  <w:marLeft w:val="0"/>
                  <w:marRight w:val="0"/>
                  <w:marTop w:val="0"/>
                  <w:marBottom w:val="0"/>
                  <w:divBdr>
                    <w:top w:val="none" w:sz="0" w:space="0" w:color="auto"/>
                    <w:left w:val="none" w:sz="0" w:space="0" w:color="auto"/>
                    <w:bottom w:val="none" w:sz="0" w:space="0" w:color="auto"/>
                    <w:right w:val="none" w:sz="0" w:space="0" w:color="auto"/>
                  </w:divBdr>
                  <w:divsChild>
                    <w:div w:id="2032602656">
                      <w:marLeft w:val="0"/>
                      <w:marRight w:val="0"/>
                      <w:marTop w:val="0"/>
                      <w:marBottom w:val="0"/>
                      <w:divBdr>
                        <w:top w:val="none" w:sz="0" w:space="0" w:color="auto"/>
                        <w:left w:val="none" w:sz="0" w:space="0" w:color="auto"/>
                        <w:bottom w:val="none" w:sz="0" w:space="0" w:color="auto"/>
                        <w:right w:val="none" w:sz="0" w:space="0" w:color="auto"/>
                      </w:divBdr>
                    </w:div>
                  </w:divsChild>
                </w:div>
                <w:div w:id="1814515693">
                  <w:marLeft w:val="0"/>
                  <w:marRight w:val="0"/>
                  <w:marTop w:val="0"/>
                  <w:marBottom w:val="0"/>
                  <w:divBdr>
                    <w:top w:val="none" w:sz="0" w:space="0" w:color="auto"/>
                    <w:left w:val="none" w:sz="0" w:space="0" w:color="auto"/>
                    <w:bottom w:val="none" w:sz="0" w:space="0" w:color="auto"/>
                    <w:right w:val="none" w:sz="0" w:space="0" w:color="auto"/>
                  </w:divBdr>
                  <w:divsChild>
                    <w:div w:id="1650745126">
                      <w:marLeft w:val="0"/>
                      <w:marRight w:val="0"/>
                      <w:marTop w:val="0"/>
                      <w:marBottom w:val="0"/>
                      <w:divBdr>
                        <w:top w:val="none" w:sz="0" w:space="0" w:color="auto"/>
                        <w:left w:val="none" w:sz="0" w:space="0" w:color="auto"/>
                        <w:bottom w:val="none" w:sz="0" w:space="0" w:color="auto"/>
                        <w:right w:val="none" w:sz="0" w:space="0" w:color="auto"/>
                      </w:divBdr>
                    </w:div>
                  </w:divsChild>
                </w:div>
                <w:div w:id="1838884170">
                  <w:marLeft w:val="0"/>
                  <w:marRight w:val="0"/>
                  <w:marTop w:val="0"/>
                  <w:marBottom w:val="0"/>
                  <w:divBdr>
                    <w:top w:val="none" w:sz="0" w:space="0" w:color="auto"/>
                    <w:left w:val="none" w:sz="0" w:space="0" w:color="auto"/>
                    <w:bottom w:val="none" w:sz="0" w:space="0" w:color="auto"/>
                    <w:right w:val="none" w:sz="0" w:space="0" w:color="auto"/>
                  </w:divBdr>
                  <w:divsChild>
                    <w:div w:id="1711687067">
                      <w:marLeft w:val="0"/>
                      <w:marRight w:val="0"/>
                      <w:marTop w:val="0"/>
                      <w:marBottom w:val="0"/>
                      <w:divBdr>
                        <w:top w:val="none" w:sz="0" w:space="0" w:color="auto"/>
                        <w:left w:val="none" w:sz="0" w:space="0" w:color="auto"/>
                        <w:bottom w:val="none" w:sz="0" w:space="0" w:color="auto"/>
                        <w:right w:val="none" w:sz="0" w:space="0" w:color="auto"/>
                      </w:divBdr>
                    </w:div>
                  </w:divsChild>
                </w:div>
                <w:div w:id="1841658604">
                  <w:marLeft w:val="0"/>
                  <w:marRight w:val="0"/>
                  <w:marTop w:val="0"/>
                  <w:marBottom w:val="0"/>
                  <w:divBdr>
                    <w:top w:val="none" w:sz="0" w:space="0" w:color="auto"/>
                    <w:left w:val="none" w:sz="0" w:space="0" w:color="auto"/>
                    <w:bottom w:val="none" w:sz="0" w:space="0" w:color="auto"/>
                    <w:right w:val="none" w:sz="0" w:space="0" w:color="auto"/>
                  </w:divBdr>
                  <w:divsChild>
                    <w:div w:id="315647960">
                      <w:marLeft w:val="0"/>
                      <w:marRight w:val="0"/>
                      <w:marTop w:val="0"/>
                      <w:marBottom w:val="0"/>
                      <w:divBdr>
                        <w:top w:val="none" w:sz="0" w:space="0" w:color="auto"/>
                        <w:left w:val="none" w:sz="0" w:space="0" w:color="auto"/>
                        <w:bottom w:val="none" w:sz="0" w:space="0" w:color="auto"/>
                        <w:right w:val="none" w:sz="0" w:space="0" w:color="auto"/>
                      </w:divBdr>
                    </w:div>
                  </w:divsChild>
                </w:div>
                <w:div w:id="1859082174">
                  <w:marLeft w:val="0"/>
                  <w:marRight w:val="0"/>
                  <w:marTop w:val="0"/>
                  <w:marBottom w:val="0"/>
                  <w:divBdr>
                    <w:top w:val="none" w:sz="0" w:space="0" w:color="auto"/>
                    <w:left w:val="none" w:sz="0" w:space="0" w:color="auto"/>
                    <w:bottom w:val="none" w:sz="0" w:space="0" w:color="auto"/>
                    <w:right w:val="none" w:sz="0" w:space="0" w:color="auto"/>
                  </w:divBdr>
                  <w:divsChild>
                    <w:div w:id="286473600">
                      <w:marLeft w:val="0"/>
                      <w:marRight w:val="0"/>
                      <w:marTop w:val="0"/>
                      <w:marBottom w:val="0"/>
                      <w:divBdr>
                        <w:top w:val="none" w:sz="0" w:space="0" w:color="auto"/>
                        <w:left w:val="none" w:sz="0" w:space="0" w:color="auto"/>
                        <w:bottom w:val="none" w:sz="0" w:space="0" w:color="auto"/>
                        <w:right w:val="none" w:sz="0" w:space="0" w:color="auto"/>
                      </w:divBdr>
                    </w:div>
                  </w:divsChild>
                </w:div>
                <w:div w:id="1862164893">
                  <w:marLeft w:val="0"/>
                  <w:marRight w:val="0"/>
                  <w:marTop w:val="0"/>
                  <w:marBottom w:val="0"/>
                  <w:divBdr>
                    <w:top w:val="none" w:sz="0" w:space="0" w:color="auto"/>
                    <w:left w:val="none" w:sz="0" w:space="0" w:color="auto"/>
                    <w:bottom w:val="none" w:sz="0" w:space="0" w:color="auto"/>
                    <w:right w:val="none" w:sz="0" w:space="0" w:color="auto"/>
                  </w:divBdr>
                  <w:divsChild>
                    <w:div w:id="1283222398">
                      <w:marLeft w:val="0"/>
                      <w:marRight w:val="0"/>
                      <w:marTop w:val="0"/>
                      <w:marBottom w:val="0"/>
                      <w:divBdr>
                        <w:top w:val="none" w:sz="0" w:space="0" w:color="auto"/>
                        <w:left w:val="none" w:sz="0" w:space="0" w:color="auto"/>
                        <w:bottom w:val="none" w:sz="0" w:space="0" w:color="auto"/>
                        <w:right w:val="none" w:sz="0" w:space="0" w:color="auto"/>
                      </w:divBdr>
                    </w:div>
                  </w:divsChild>
                </w:div>
                <w:div w:id="1886484807">
                  <w:marLeft w:val="0"/>
                  <w:marRight w:val="0"/>
                  <w:marTop w:val="0"/>
                  <w:marBottom w:val="0"/>
                  <w:divBdr>
                    <w:top w:val="none" w:sz="0" w:space="0" w:color="auto"/>
                    <w:left w:val="none" w:sz="0" w:space="0" w:color="auto"/>
                    <w:bottom w:val="none" w:sz="0" w:space="0" w:color="auto"/>
                    <w:right w:val="none" w:sz="0" w:space="0" w:color="auto"/>
                  </w:divBdr>
                  <w:divsChild>
                    <w:div w:id="1555266418">
                      <w:marLeft w:val="0"/>
                      <w:marRight w:val="0"/>
                      <w:marTop w:val="0"/>
                      <w:marBottom w:val="0"/>
                      <w:divBdr>
                        <w:top w:val="none" w:sz="0" w:space="0" w:color="auto"/>
                        <w:left w:val="none" w:sz="0" w:space="0" w:color="auto"/>
                        <w:bottom w:val="none" w:sz="0" w:space="0" w:color="auto"/>
                        <w:right w:val="none" w:sz="0" w:space="0" w:color="auto"/>
                      </w:divBdr>
                    </w:div>
                  </w:divsChild>
                </w:div>
                <w:div w:id="1943370588">
                  <w:marLeft w:val="0"/>
                  <w:marRight w:val="0"/>
                  <w:marTop w:val="0"/>
                  <w:marBottom w:val="0"/>
                  <w:divBdr>
                    <w:top w:val="none" w:sz="0" w:space="0" w:color="auto"/>
                    <w:left w:val="none" w:sz="0" w:space="0" w:color="auto"/>
                    <w:bottom w:val="none" w:sz="0" w:space="0" w:color="auto"/>
                    <w:right w:val="none" w:sz="0" w:space="0" w:color="auto"/>
                  </w:divBdr>
                  <w:divsChild>
                    <w:div w:id="2025860806">
                      <w:marLeft w:val="0"/>
                      <w:marRight w:val="0"/>
                      <w:marTop w:val="0"/>
                      <w:marBottom w:val="0"/>
                      <w:divBdr>
                        <w:top w:val="none" w:sz="0" w:space="0" w:color="auto"/>
                        <w:left w:val="none" w:sz="0" w:space="0" w:color="auto"/>
                        <w:bottom w:val="none" w:sz="0" w:space="0" w:color="auto"/>
                        <w:right w:val="none" w:sz="0" w:space="0" w:color="auto"/>
                      </w:divBdr>
                    </w:div>
                  </w:divsChild>
                </w:div>
                <w:div w:id="1986812105">
                  <w:marLeft w:val="0"/>
                  <w:marRight w:val="0"/>
                  <w:marTop w:val="0"/>
                  <w:marBottom w:val="0"/>
                  <w:divBdr>
                    <w:top w:val="none" w:sz="0" w:space="0" w:color="auto"/>
                    <w:left w:val="none" w:sz="0" w:space="0" w:color="auto"/>
                    <w:bottom w:val="none" w:sz="0" w:space="0" w:color="auto"/>
                    <w:right w:val="none" w:sz="0" w:space="0" w:color="auto"/>
                  </w:divBdr>
                  <w:divsChild>
                    <w:div w:id="1896812722">
                      <w:marLeft w:val="0"/>
                      <w:marRight w:val="0"/>
                      <w:marTop w:val="0"/>
                      <w:marBottom w:val="0"/>
                      <w:divBdr>
                        <w:top w:val="none" w:sz="0" w:space="0" w:color="auto"/>
                        <w:left w:val="none" w:sz="0" w:space="0" w:color="auto"/>
                        <w:bottom w:val="none" w:sz="0" w:space="0" w:color="auto"/>
                        <w:right w:val="none" w:sz="0" w:space="0" w:color="auto"/>
                      </w:divBdr>
                    </w:div>
                  </w:divsChild>
                </w:div>
                <w:div w:id="2014531205">
                  <w:marLeft w:val="0"/>
                  <w:marRight w:val="0"/>
                  <w:marTop w:val="0"/>
                  <w:marBottom w:val="0"/>
                  <w:divBdr>
                    <w:top w:val="none" w:sz="0" w:space="0" w:color="auto"/>
                    <w:left w:val="none" w:sz="0" w:space="0" w:color="auto"/>
                    <w:bottom w:val="none" w:sz="0" w:space="0" w:color="auto"/>
                    <w:right w:val="none" w:sz="0" w:space="0" w:color="auto"/>
                  </w:divBdr>
                  <w:divsChild>
                    <w:div w:id="1910537631">
                      <w:marLeft w:val="0"/>
                      <w:marRight w:val="0"/>
                      <w:marTop w:val="0"/>
                      <w:marBottom w:val="0"/>
                      <w:divBdr>
                        <w:top w:val="none" w:sz="0" w:space="0" w:color="auto"/>
                        <w:left w:val="none" w:sz="0" w:space="0" w:color="auto"/>
                        <w:bottom w:val="none" w:sz="0" w:space="0" w:color="auto"/>
                        <w:right w:val="none" w:sz="0" w:space="0" w:color="auto"/>
                      </w:divBdr>
                    </w:div>
                  </w:divsChild>
                </w:div>
                <w:div w:id="2020813409">
                  <w:marLeft w:val="0"/>
                  <w:marRight w:val="0"/>
                  <w:marTop w:val="0"/>
                  <w:marBottom w:val="0"/>
                  <w:divBdr>
                    <w:top w:val="none" w:sz="0" w:space="0" w:color="auto"/>
                    <w:left w:val="none" w:sz="0" w:space="0" w:color="auto"/>
                    <w:bottom w:val="none" w:sz="0" w:space="0" w:color="auto"/>
                    <w:right w:val="none" w:sz="0" w:space="0" w:color="auto"/>
                  </w:divBdr>
                  <w:divsChild>
                    <w:div w:id="1987122908">
                      <w:marLeft w:val="0"/>
                      <w:marRight w:val="0"/>
                      <w:marTop w:val="0"/>
                      <w:marBottom w:val="0"/>
                      <w:divBdr>
                        <w:top w:val="none" w:sz="0" w:space="0" w:color="auto"/>
                        <w:left w:val="none" w:sz="0" w:space="0" w:color="auto"/>
                        <w:bottom w:val="none" w:sz="0" w:space="0" w:color="auto"/>
                        <w:right w:val="none" w:sz="0" w:space="0" w:color="auto"/>
                      </w:divBdr>
                    </w:div>
                  </w:divsChild>
                </w:div>
                <w:div w:id="2028864860">
                  <w:marLeft w:val="0"/>
                  <w:marRight w:val="0"/>
                  <w:marTop w:val="0"/>
                  <w:marBottom w:val="0"/>
                  <w:divBdr>
                    <w:top w:val="none" w:sz="0" w:space="0" w:color="auto"/>
                    <w:left w:val="none" w:sz="0" w:space="0" w:color="auto"/>
                    <w:bottom w:val="none" w:sz="0" w:space="0" w:color="auto"/>
                    <w:right w:val="none" w:sz="0" w:space="0" w:color="auto"/>
                  </w:divBdr>
                  <w:divsChild>
                    <w:div w:id="2011177699">
                      <w:marLeft w:val="0"/>
                      <w:marRight w:val="0"/>
                      <w:marTop w:val="0"/>
                      <w:marBottom w:val="0"/>
                      <w:divBdr>
                        <w:top w:val="none" w:sz="0" w:space="0" w:color="auto"/>
                        <w:left w:val="none" w:sz="0" w:space="0" w:color="auto"/>
                        <w:bottom w:val="none" w:sz="0" w:space="0" w:color="auto"/>
                        <w:right w:val="none" w:sz="0" w:space="0" w:color="auto"/>
                      </w:divBdr>
                    </w:div>
                  </w:divsChild>
                </w:div>
                <w:div w:id="2056852743">
                  <w:marLeft w:val="0"/>
                  <w:marRight w:val="0"/>
                  <w:marTop w:val="0"/>
                  <w:marBottom w:val="0"/>
                  <w:divBdr>
                    <w:top w:val="none" w:sz="0" w:space="0" w:color="auto"/>
                    <w:left w:val="none" w:sz="0" w:space="0" w:color="auto"/>
                    <w:bottom w:val="none" w:sz="0" w:space="0" w:color="auto"/>
                    <w:right w:val="none" w:sz="0" w:space="0" w:color="auto"/>
                  </w:divBdr>
                  <w:divsChild>
                    <w:div w:id="1855848494">
                      <w:marLeft w:val="0"/>
                      <w:marRight w:val="0"/>
                      <w:marTop w:val="0"/>
                      <w:marBottom w:val="0"/>
                      <w:divBdr>
                        <w:top w:val="none" w:sz="0" w:space="0" w:color="auto"/>
                        <w:left w:val="none" w:sz="0" w:space="0" w:color="auto"/>
                        <w:bottom w:val="none" w:sz="0" w:space="0" w:color="auto"/>
                        <w:right w:val="none" w:sz="0" w:space="0" w:color="auto"/>
                      </w:divBdr>
                    </w:div>
                  </w:divsChild>
                </w:div>
                <w:div w:id="2079785822">
                  <w:marLeft w:val="0"/>
                  <w:marRight w:val="0"/>
                  <w:marTop w:val="0"/>
                  <w:marBottom w:val="0"/>
                  <w:divBdr>
                    <w:top w:val="none" w:sz="0" w:space="0" w:color="auto"/>
                    <w:left w:val="none" w:sz="0" w:space="0" w:color="auto"/>
                    <w:bottom w:val="none" w:sz="0" w:space="0" w:color="auto"/>
                    <w:right w:val="none" w:sz="0" w:space="0" w:color="auto"/>
                  </w:divBdr>
                  <w:divsChild>
                    <w:div w:id="571476028">
                      <w:marLeft w:val="0"/>
                      <w:marRight w:val="0"/>
                      <w:marTop w:val="0"/>
                      <w:marBottom w:val="0"/>
                      <w:divBdr>
                        <w:top w:val="none" w:sz="0" w:space="0" w:color="auto"/>
                        <w:left w:val="none" w:sz="0" w:space="0" w:color="auto"/>
                        <w:bottom w:val="none" w:sz="0" w:space="0" w:color="auto"/>
                        <w:right w:val="none" w:sz="0" w:space="0" w:color="auto"/>
                      </w:divBdr>
                    </w:div>
                  </w:divsChild>
                </w:div>
                <w:div w:id="2081824124">
                  <w:marLeft w:val="0"/>
                  <w:marRight w:val="0"/>
                  <w:marTop w:val="0"/>
                  <w:marBottom w:val="0"/>
                  <w:divBdr>
                    <w:top w:val="none" w:sz="0" w:space="0" w:color="auto"/>
                    <w:left w:val="none" w:sz="0" w:space="0" w:color="auto"/>
                    <w:bottom w:val="none" w:sz="0" w:space="0" w:color="auto"/>
                    <w:right w:val="none" w:sz="0" w:space="0" w:color="auto"/>
                  </w:divBdr>
                  <w:divsChild>
                    <w:div w:id="1865482470">
                      <w:marLeft w:val="0"/>
                      <w:marRight w:val="0"/>
                      <w:marTop w:val="0"/>
                      <w:marBottom w:val="0"/>
                      <w:divBdr>
                        <w:top w:val="none" w:sz="0" w:space="0" w:color="auto"/>
                        <w:left w:val="none" w:sz="0" w:space="0" w:color="auto"/>
                        <w:bottom w:val="none" w:sz="0" w:space="0" w:color="auto"/>
                        <w:right w:val="none" w:sz="0" w:space="0" w:color="auto"/>
                      </w:divBdr>
                    </w:div>
                  </w:divsChild>
                </w:div>
                <w:div w:id="2099402865">
                  <w:marLeft w:val="0"/>
                  <w:marRight w:val="0"/>
                  <w:marTop w:val="0"/>
                  <w:marBottom w:val="0"/>
                  <w:divBdr>
                    <w:top w:val="none" w:sz="0" w:space="0" w:color="auto"/>
                    <w:left w:val="none" w:sz="0" w:space="0" w:color="auto"/>
                    <w:bottom w:val="none" w:sz="0" w:space="0" w:color="auto"/>
                    <w:right w:val="none" w:sz="0" w:space="0" w:color="auto"/>
                  </w:divBdr>
                  <w:divsChild>
                    <w:div w:id="374550845">
                      <w:marLeft w:val="0"/>
                      <w:marRight w:val="0"/>
                      <w:marTop w:val="0"/>
                      <w:marBottom w:val="0"/>
                      <w:divBdr>
                        <w:top w:val="none" w:sz="0" w:space="0" w:color="auto"/>
                        <w:left w:val="none" w:sz="0" w:space="0" w:color="auto"/>
                        <w:bottom w:val="none" w:sz="0" w:space="0" w:color="auto"/>
                        <w:right w:val="none" w:sz="0" w:space="0" w:color="auto"/>
                      </w:divBdr>
                    </w:div>
                  </w:divsChild>
                </w:div>
                <w:div w:id="2101176994">
                  <w:marLeft w:val="0"/>
                  <w:marRight w:val="0"/>
                  <w:marTop w:val="0"/>
                  <w:marBottom w:val="0"/>
                  <w:divBdr>
                    <w:top w:val="none" w:sz="0" w:space="0" w:color="auto"/>
                    <w:left w:val="none" w:sz="0" w:space="0" w:color="auto"/>
                    <w:bottom w:val="none" w:sz="0" w:space="0" w:color="auto"/>
                    <w:right w:val="none" w:sz="0" w:space="0" w:color="auto"/>
                  </w:divBdr>
                  <w:divsChild>
                    <w:div w:id="1122771847">
                      <w:marLeft w:val="0"/>
                      <w:marRight w:val="0"/>
                      <w:marTop w:val="0"/>
                      <w:marBottom w:val="0"/>
                      <w:divBdr>
                        <w:top w:val="none" w:sz="0" w:space="0" w:color="auto"/>
                        <w:left w:val="none" w:sz="0" w:space="0" w:color="auto"/>
                        <w:bottom w:val="none" w:sz="0" w:space="0" w:color="auto"/>
                        <w:right w:val="none" w:sz="0" w:space="0" w:color="auto"/>
                      </w:divBdr>
                    </w:div>
                  </w:divsChild>
                </w:div>
                <w:div w:id="2104062861">
                  <w:marLeft w:val="0"/>
                  <w:marRight w:val="0"/>
                  <w:marTop w:val="0"/>
                  <w:marBottom w:val="0"/>
                  <w:divBdr>
                    <w:top w:val="none" w:sz="0" w:space="0" w:color="auto"/>
                    <w:left w:val="none" w:sz="0" w:space="0" w:color="auto"/>
                    <w:bottom w:val="none" w:sz="0" w:space="0" w:color="auto"/>
                    <w:right w:val="none" w:sz="0" w:space="0" w:color="auto"/>
                  </w:divBdr>
                  <w:divsChild>
                    <w:div w:id="1384907246">
                      <w:marLeft w:val="0"/>
                      <w:marRight w:val="0"/>
                      <w:marTop w:val="0"/>
                      <w:marBottom w:val="0"/>
                      <w:divBdr>
                        <w:top w:val="none" w:sz="0" w:space="0" w:color="auto"/>
                        <w:left w:val="none" w:sz="0" w:space="0" w:color="auto"/>
                        <w:bottom w:val="none" w:sz="0" w:space="0" w:color="auto"/>
                        <w:right w:val="none" w:sz="0" w:space="0" w:color="auto"/>
                      </w:divBdr>
                    </w:div>
                  </w:divsChild>
                </w:div>
                <w:div w:id="2118871674">
                  <w:marLeft w:val="0"/>
                  <w:marRight w:val="0"/>
                  <w:marTop w:val="0"/>
                  <w:marBottom w:val="0"/>
                  <w:divBdr>
                    <w:top w:val="none" w:sz="0" w:space="0" w:color="auto"/>
                    <w:left w:val="none" w:sz="0" w:space="0" w:color="auto"/>
                    <w:bottom w:val="none" w:sz="0" w:space="0" w:color="auto"/>
                    <w:right w:val="none" w:sz="0" w:space="0" w:color="auto"/>
                  </w:divBdr>
                  <w:divsChild>
                    <w:div w:id="80957732">
                      <w:marLeft w:val="0"/>
                      <w:marRight w:val="0"/>
                      <w:marTop w:val="0"/>
                      <w:marBottom w:val="0"/>
                      <w:divBdr>
                        <w:top w:val="none" w:sz="0" w:space="0" w:color="auto"/>
                        <w:left w:val="none" w:sz="0" w:space="0" w:color="auto"/>
                        <w:bottom w:val="none" w:sz="0" w:space="0" w:color="auto"/>
                        <w:right w:val="none" w:sz="0" w:space="0" w:color="auto"/>
                      </w:divBdr>
                    </w:div>
                  </w:divsChild>
                </w:div>
                <w:div w:id="2122987466">
                  <w:marLeft w:val="0"/>
                  <w:marRight w:val="0"/>
                  <w:marTop w:val="0"/>
                  <w:marBottom w:val="0"/>
                  <w:divBdr>
                    <w:top w:val="none" w:sz="0" w:space="0" w:color="auto"/>
                    <w:left w:val="none" w:sz="0" w:space="0" w:color="auto"/>
                    <w:bottom w:val="none" w:sz="0" w:space="0" w:color="auto"/>
                    <w:right w:val="none" w:sz="0" w:space="0" w:color="auto"/>
                  </w:divBdr>
                  <w:divsChild>
                    <w:div w:id="1306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9804">
          <w:marLeft w:val="0"/>
          <w:marRight w:val="0"/>
          <w:marTop w:val="0"/>
          <w:marBottom w:val="0"/>
          <w:divBdr>
            <w:top w:val="none" w:sz="0" w:space="0" w:color="auto"/>
            <w:left w:val="none" w:sz="0" w:space="0" w:color="auto"/>
            <w:bottom w:val="none" w:sz="0" w:space="0" w:color="auto"/>
            <w:right w:val="none" w:sz="0" w:space="0" w:color="auto"/>
          </w:divBdr>
        </w:div>
        <w:div w:id="291984797">
          <w:marLeft w:val="0"/>
          <w:marRight w:val="0"/>
          <w:marTop w:val="0"/>
          <w:marBottom w:val="0"/>
          <w:divBdr>
            <w:top w:val="none" w:sz="0" w:space="0" w:color="auto"/>
            <w:left w:val="none" w:sz="0" w:space="0" w:color="auto"/>
            <w:bottom w:val="none" w:sz="0" w:space="0" w:color="auto"/>
            <w:right w:val="none" w:sz="0" w:space="0" w:color="auto"/>
          </w:divBdr>
        </w:div>
        <w:div w:id="294799901">
          <w:marLeft w:val="0"/>
          <w:marRight w:val="0"/>
          <w:marTop w:val="0"/>
          <w:marBottom w:val="0"/>
          <w:divBdr>
            <w:top w:val="none" w:sz="0" w:space="0" w:color="auto"/>
            <w:left w:val="none" w:sz="0" w:space="0" w:color="auto"/>
            <w:bottom w:val="none" w:sz="0" w:space="0" w:color="auto"/>
            <w:right w:val="none" w:sz="0" w:space="0" w:color="auto"/>
          </w:divBdr>
        </w:div>
        <w:div w:id="393966873">
          <w:marLeft w:val="0"/>
          <w:marRight w:val="0"/>
          <w:marTop w:val="0"/>
          <w:marBottom w:val="0"/>
          <w:divBdr>
            <w:top w:val="none" w:sz="0" w:space="0" w:color="auto"/>
            <w:left w:val="none" w:sz="0" w:space="0" w:color="auto"/>
            <w:bottom w:val="none" w:sz="0" w:space="0" w:color="auto"/>
            <w:right w:val="none" w:sz="0" w:space="0" w:color="auto"/>
          </w:divBdr>
        </w:div>
        <w:div w:id="416102260">
          <w:marLeft w:val="0"/>
          <w:marRight w:val="0"/>
          <w:marTop w:val="0"/>
          <w:marBottom w:val="0"/>
          <w:divBdr>
            <w:top w:val="none" w:sz="0" w:space="0" w:color="auto"/>
            <w:left w:val="none" w:sz="0" w:space="0" w:color="auto"/>
            <w:bottom w:val="none" w:sz="0" w:space="0" w:color="auto"/>
            <w:right w:val="none" w:sz="0" w:space="0" w:color="auto"/>
          </w:divBdr>
        </w:div>
        <w:div w:id="416833109">
          <w:marLeft w:val="0"/>
          <w:marRight w:val="0"/>
          <w:marTop w:val="0"/>
          <w:marBottom w:val="0"/>
          <w:divBdr>
            <w:top w:val="none" w:sz="0" w:space="0" w:color="auto"/>
            <w:left w:val="none" w:sz="0" w:space="0" w:color="auto"/>
            <w:bottom w:val="none" w:sz="0" w:space="0" w:color="auto"/>
            <w:right w:val="none" w:sz="0" w:space="0" w:color="auto"/>
          </w:divBdr>
        </w:div>
        <w:div w:id="421294936">
          <w:marLeft w:val="0"/>
          <w:marRight w:val="0"/>
          <w:marTop w:val="0"/>
          <w:marBottom w:val="0"/>
          <w:divBdr>
            <w:top w:val="none" w:sz="0" w:space="0" w:color="auto"/>
            <w:left w:val="none" w:sz="0" w:space="0" w:color="auto"/>
            <w:bottom w:val="none" w:sz="0" w:space="0" w:color="auto"/>
            <w:right w:val="none" w:sz="0" w:space="0" w:color="auto"/>
          </w:divBdr>
        </w:div>
        <w:div w:id="461576374">
          <w:marLeft w:val="0"/>
          <w:marRight w:val="0"/>
          <w:marTop w:val="0"/>
          <w:marBottom w:val="0"/>
          <w:divBdr>
            <w:top w:val="none" w:sz="0" w:space="0" w:color="auto"/>
            <w:left w:val="none" w:sz="0" w:space="0" w:color="auto"/>
            <w:bottom w:val="none" w:sz="0" w:space="0" w:color="auto"/>
            <w:right w:val="none" w:sz="0" w:space="0" w:color="auto"/>
          </w:divBdr>
          <w:divsChild>
            <w:div w:id="92090182">
              <w:marLeft w:val="0"/>
              <w:marRight w:val="0"/>
              <w:marTop w:val="0"/>
              <w:marBottom w:val="0"/>
              <w:divBdr>
                <w:top w:val="none" w:sz="0" w:space="0" w:color="auto"/>
                <w:left w:val="none" w:sz="0" w:space="0" w:color="auto"/>
                <w:bottom w:val="none" w:sz="0" w:space="0" w:color="auto"/>
                <w:right w:val="none" w:sz="0" w:space="0" w:color="auto"/>
              </w:divBdr>
            </w:div>
            <w:div w:id="101997954">
              <w:marLeft w:val="0"/>
              <w:marRight w:val="0"/>
              <w:marTop w:val="0"/>
              <w:marBottom w:val="0"/>
              <w:divBdr>
                <w:top w:val="none" w:sz="0" w:space="0" w:color="auto"/>
                <w:left w:val="none" w:sz="0" w:space="0" w:color="auto"/>
                <w:bottom w:val="none" w:sz="0" w:space="0" w:color="auto"/>
                <w:right w:val="none" w:sz="0" w:space="0" w:color="auto"/>
              </w:divBdr>
            </w:div>
            <w:div w:id="459223683">
              <w:marLeft w:val="0"/>
              <w:marRight w:val="0"/>
              <w:marTop w:val="0"/>
              <w:marBottom w:val="0"/>
              <w:divBdr>
                <w:top w:val="none" w:sz="0" w:space="0" w:color="auto"/>
                <w:left w:val="none" w:sz="0" w:space="0" w:color="auto"/>
                <w:bottom w:val="none" w:sz="0" w:space="0" w:color="auto"/>
                <w:right w:val="none" w:sz="0" w:space="0" w:color="auto"/>
              </w:divBdr>
            </w:div>
            <w:div w:id="1071928242">
              <w:marLeft w:val="0"/>
              <w:marRight w:val="0"/>
              <w:marTop w:val="0"/>
              <w:marBottom w:val="0"/>
              <w:divBdr>
                <w:top w:val="none" w:sz="0" w:space="0" w:color="auto"/>
                <w:left w:val="none" w:sz="0" w:space="0" w:color="auto"/>
                <w:bottom w:val="none" w:sz="0" w:space="0" w:color="auto"/>
                <w:right w:val="none" w:sz="0" w:space="0" w:color="auto"/>
              </w:divBdr>
            </w:div>
            <w:div w:id="1470631779">
              <w:marLeft w:val="0"/>
              <w:marRight w:val="0"/>
              <w:marTop w:val="0"/>
              <w:marBottom w:val="0"/>
              <w:divBdr>
                <w:top w:val="none" w:sz="0" w:space="0" w:color="auto"/>
                <w:left w:val="none" w:sz="0" w:space="0" w:color="auto"/>
                <w:bottom w:val="none" w:sz="0" w:space="0" w:color="auto"/>
                <w:right w:val="none" w:sz="0" w:space="0" w:color="auto"/>
              </w:divBdr>
            </w:div>
            <w:div w:id="1728916755">
              <w:marLeft w:val="0"/>
              <w:marRight w:val="0"/>
              <w:marTop w:val="0"/>
              <w:marBottom w:val="0"/>
              <w:divBdr>
                <w:top w:val="none" w:sz="0" w:space="0" w:color="auto"/>
                <w:left w:val="none" w:sz="0" w:space="0" w:color="auto"/>
                <w:bottom w:val="none" w:sz="0" w:space="0" w:color="auto"/>
                <w:right w:val="none" w:sz="0" w:space="0" w:color="auto"/>
              </w:divBdr>
            </w:div>
            <w:div w:id="1829709904">
              <w:marLeft w:val="0"/>
              <w:marRight w:val="0"/>
              <w:marTop w:val="0"/>
              <w:marBottom w:val="0"/>
              <w:divBdr>
                <w:top w:val="none" w:sz="0" w:space="0" w:color="auto"/>
                <w:left w:val="none" w:sz="0" w:space="0" w:color="auto"/>
                <w:bottom w:val="none" w:sz="0" w:space="0" w:color="auto"/>
                <w:right w:val="none" w:sz="0" w:space="0" w:color="auto"/>
              </w:divBdr>
            </w:div>
            <w:div w:id="1847018857">
              <w:marLeft w:val="0"/>
              <w:marRight w:val="0"/>
              <w:marTop w:val="0"/>
              <w:marBottom w:val="0"/>
              <w:divBdr>
                <w:top w:val="none" w:sz="0" w:space="0" w:color="auto"/>
                <w:left w:val="none" w:sz="0" w:space="0" w:color="auto"/>
                <w:bottom w:val="none" w:sz="0" w:space="0" w:color="auto"/>
                <w:right w:val="none" w:sz="0" w:space="0" w:color="auto"/>
              </w:divBdr>
            </w:div>
            <w:div w:id="1941912640">
              <w:marLeft w:val="0"/>
              <w:marRight w:val="0"/>
              <w:marTop w:val="0"/>
              <w:marBottom w:val="0"/>
              <w:divBdr>
                <w:top w:val="none" w:sz="0" w:space="0" w:color="auto"/>
                <w:left w:val="none" w:sz="0" w:space="0" w:color="auto"/>
                <w:bottom w:val="none" w:sz="0" w:space="0" w:color="auto"/>
                <w:right w:val="none" w:sz="0" w:space="0" w:color="auto"/>
              </w:divBdr>
            </w:div>
            <w:div w:id="2109228147">
              <w:marLeft w:val="0"/>
              <w:marRight w:val="0"/>
              <w:marTop w:val="0"/>
              <w:marBottom w:val="0"/>
              <w:divBdr>
                <w:top w:val="none" w:sz="0" w:space="0" w:color="auto"/>
                <w:left w:val="none" w:sz="0" w:space="0" w:color="auto"/>
                <w:bottom w:val="none" w:sz="0" w:space="0" w:color="auto"/>
                <w:right w:val="none" w:sz="0" w:space="0" w:color="auto"/>
              </w:divBdr>
            </w:div>
          </w:divsChild>
        </w:div>
        <w:div w:id="463625473">
          <w:marLeft w:val="0"/>
          <w:marRight w:val="0"/>
          <w:marTop w:val="0"/>
          <w:marBottom w:val="0"/>
          <w:divBdr>
            <w:top w:val="none" w:sz="0" w:space="0" w:color="auto"/>
            <w:left w:val="none" w:sz="0" w:space="0" w:color="auto"/>
            <w:bottom w:val="none" w:sz="0" w:space="0" w:color="auto"/>
            <w:right w:val="none" w:sz="0" w:space="0" w:color="auto"/>
          </w:divBdr>
        </w:div>
        <w:div w:id="517084035">
          <w:marLeft w:val="0"/>
          <w:marRight w:val="0"/>
          <w:marTop w:val="0"/>
          <w:marBottom w:val="0"/>
          <w:divBdr>
            <w:top w:val="none" w:sz="0" w:space="0" w:color="auto"/>
            <w:left w:val="none" w:sz="0" w:space="0" w:color="auto"/>
            <w:bottom w:val="none" w:sz="0" w:space="0" w:color="auto"/>
            <w:right w:val="none" w:sz="0" w:space="0" w:color="auto"/>
          </w:divBdr>
        </w:div>
        <w:div w:id="533082442">
          <w:marLeft w:val="0"/>
          <w:marRight w:val="0"/>
          <w:marTop w:val="0"/>
          <w:marBottom w:val="0"/>
          <w:divBdr>
            <w:top w:val="none" w:sz="0" w:space="0" w:color="auto"/>
            <w:left w:val="none" w:sz="0" w:space="0" w:color="auto"/>
            <w:bottom w:val="none" w:sz="0" w:space="0" w:color="auto"/>
            <w:right w:val="none" w:sz="0" w:space="0" w:color="auto"/>
          </w:divBdr>
        </w:div>
        <w:div w:id="546142521">
          <w:marLeft w:val="0"/>
          <w:marRight w:val="0"/>
          <w:marTop w:val="0"/>
          <w:marBottom w:val="0"/>
          <w:divBdr>
            <w:top w:val="none" w:sz="0" w:space="0" w:color="auto"/>
            <w:left w:val="none" w:sz="0" w:space="0" w:color="auto"/>
            <w:bottom w:val="none" w:sz="0" w:space="0" w:color="auto"/>
            <w:right w:val="none" w:sz="0" w:space="0" w:color="auto"/>
          </w:divBdr>
        </w:div>
        <w:div w:id="596864085">
          <w:marLeft w:val="0"/>
          <w:marRight w:val="0"/>
          <w:marTop w:val="0"/>
          <w:marBottom w:val="0"/>
          <w:divBdr>
            <w:top w:val="none" w:sz="0" w:space="0" w:color="auto"/>
            <w:left w:val="none" w:sz="0" w:space="0" w:color="auto"/>
            <w:bottom w:val="none" w:sz="0" w:space="0" w:color="auto"/>
            <w:right w:val="none" w:sz="0" w:space="0" w:color="auto"/>
          </w:divBdr>
        </w:div>
        <w:div w:id="629484466">
          <w:marLeft w:val="0"/>
          <w:marRight w:val="0"/>
          <w:marTop w:val="0"/>
          <w:marBottom w:val="0"/>
          <w:divBdr>
            <w:top w:val="none" w:sz="0" w:space="0" w:color="auto"/>
            <w:left w:val="none" w:sz="0" w:space="0" w:color="auto"/>
            <w:bottom w:val="none" w:sz="0" w:space="0" w:color="auto"/>
            <w:right w:val="none" w:sz="0" w:space="0" w:color="auto"/>
          </w:divBdr>
        </w:div>
        <w:div w:id="638457336">
          <w:marLeft w:val="0"/>
          <w:marRight w:val="0"/>
          <w:marTop w:val="0"/>
          <w:marBottom w:val="0"/>
          <w:divBdr>
            <w:top w:val="none" w:sz="0" w:space="0" w:color="auto"/>
            <w:left w:val="none" w:sz="0" w:space="0" w:color="auto"/>
            <w:bottom w:val="none" w:sz="0" w:space="0" w:color="auto"/>
            <w:right w:val="none" w:sz="0" w:space="0" w:color="auto"/>
          </w:divBdr>
        </w:div>
        <w:div w:id="654844138">
          <w:marLeft w:val="0"/>
          <w:marRight w:val="0"/>
          <w:marTop w:val="0"/>
          <w:marBottom w:val="0"/>
          <w:divBdr>
            <w:top w:val="none" w:sz="0" w:space="0" w:color="auto"/>
            <w:left w:val="none" w:sz="0" w:space="0" w:color="auto"/>
            <w:bottom w:val="none" w:sz="0" w:space="0" w:color="auto"/>
            <w:right w:val="none" w:sz="0" w:space="0" w:color="auto"/>
          </w:divBdr>
        </w:div>
        <w:div w:id="684134831">
          <w:marLeft w:val="0"/>
          <w:marRight w:val="0"/>
          <w:marTop w:val="0"/>
          <w:marBottom w:val="0"/>
          <w:divBdr>
            <w:top w:val="none" w:sz="0" w:space="0" w:color="auto"/>
            <w:left w:val="none" w:sz="0" w:space="0" w:color="auto"/>
            <w:bottom w:val="none" w:sz="0" w:space="0" w:color="auto"/>
            <w:right w:val="none" w:sz="0" w:space="0" w:color="auto"/>
          </w:divBdr>
        </w:div>
        <w:div w:id="687096680">
          <w:marLeft w:val="0"/>
          <w:marRight w:val="0"/>
          <w:marTop w:val="0"/>
          <w:marBottom w:val="0"/>
          <w:divBdr>
            <w:top w:val="none" w:sz="0" w:space="0" w:color="auto"/>
            <w:left w:val="none" w:sz="0" w:space="0" w:color="auto"/>
            <w:bottom w:val="none" w:sz="0" w:space="0" w:color="auto"/>
            <w:right w:val="none" w:sz="0" w:space="0" w:color="auto"/>
          </w:divBdr>
        </w:div>
        <w:div w:id="694308766">
          <w:marLeft w:val="0"/>
          <w:marRight w:val="0"/>
          <w:marTop w:val="0"/>
          <w:marBottom w:val="0"/>
          <w:divBdr>
            <w:top w:val="none" w:sz="0" w:space="0" w:color="auto"/>
            <w:left w:val="none" w:sz="0" w:space="0" w:color="auto"/>
            <w:bottom w:val="none" w:sz="0" w:space="0" w:color="auto"/>
            <w:right w:val="none" w:sz="0" w:space="0" w:color="auto"/>
          </w:divBdr>
        </w:div>
        <w:div w:id="711467221">
          <w:marLeft w:val="0"/>
          <w:marRight w:val="0"/>
          <w:marTop w:val="0"/>
          <w:marBottom w:val="0"/>
          <w:divBdr>
            <w:top w:val="none" w:sz="0" w:space="0" w:color="auto"/>
            <w:left w:val="none" w:sz="0" w:space="0" w:color="auto"/>
            <w:bottom w:val="none" w:sz="0" w:space="0" w:color="auto"/>
            <w:right w:val="none" w:sz="0" w:space="0" w:color="auto"/>
          </w:divBdr>
        </w:div>
        <w:div w:id="746149326">
          <w:marLeft w:val="0"/>
          <w:marRight w:val="0"/>
          <w:marTop w:val="0"/>
          <w:marBottom w:val="0"/>
          <w:divBdr>
            <w:top w:val="none" w:sz="0" w:space="0" w:color="auto"/>
            <w:left w:val="none" w:sz="0" w:space="0" w:color="auto"/>
            <w:bottom w:val="none" w:sz="0" w:space="0" w:color="auto"/>
            <w:right w:val="none" w:sz="0" w:space="0" w:color="auto"/>
          </w:divBdr>
        </w:div>
        <w:div w:id="860817937">
          <w:marLeft w:val="0"/>
          <w:marRight w:val="0"/>
          <w:marTop w:val="0"/>
          <w:marBottom w:val="0"/>
          <w:divBdr>
            <w:top w:val="none" w:sz="0" w:space="0" w:color="auto"/>
            <w:left w:val="none" w:sz="0" w:space="0" w:color="auto"/>
            <w:bottom w:val="none" w:sz="0" w:space="0" w:color="auto"/>
            <w:right w:val="none" w:sz="0" w:space="0" w:color="auto"/>
          </w:divBdr>
        </w:div>
        <w:div w:id="925117460">
          <w:marLeft w:val="0"/>
          <w:marRight w:val="0"/>
          <w:marTop w:val="0"/>
          <w:marBottom w:val="0"/>
          <w:divBdr>
            <w:top w:val="none" w:sz="0" w:space="0" w:color="auto"/>
            <w:left w:val="none" w:sz="0" w:space="0" w:color="auto"/>
            <w:bottom w:val="none" w:sz="0" w:space="0" w:color="auto"/>
            <w:right w:val="none" w:sz="0" w:space="0" w:color="auto"/>
          </w:divBdr>
        </w:div>
        <w:div w:id="948513201">
          <w:marLeft w:val="0"/>
          <w:marRight w:val="0"/>
          <w:marTop w:val="0"/>
          <w:marBottom w:val="0"/>
          <w:divBdr>
            <w:top w:val="none" w:sz="0" w:space="0" w:color="auto"/>
            <w:left w:val="none" w:sz="0" w:space="0" w:color="auto"/>
            <w:bottom w:val="none" w:sz="0" w:space="0" w:color="auto"/>
            <w:right w:val="none" w:sz="0" w:space="0" w:color="auto"/>
          </w:divBdr>
        </w:div>
        <w:div w:id="988095023">
          <w:marLeft w:val="0"/>
          <w:marRight w:val="0"/>
          <w:marTop w:val="0"/>
          <w:marBottom w:val="0"/>
          <w:divBdr>
            <w:top w:val="none" w:sz="0" w:space="0" w:color="auto"/>
            <w:left w:val="none" w:sz="0" w:space="0" w:color="auto"/>
            <w:bottom w:val="none" w:sz="0" w:space="0" w:color="auto"/>
            <w:right w:val="none" w:sz="0" w:space="0" w:color="auto"/>
          </w:divBdr>
          <w:divsChild>
            <w:div w:id="342778361">
              <w:marLeft w:val="0"/>
              <w:marRight w:val="0"/>
              <w:marTop w:val="0"/>
              <w:marBottom w:val="0"/>
              <w:divBdr>
                <w:top w:val="none" w:sz="0" w:space="0" w:color="auto"/>
                <w:left w:val="none" w:sz="0" w:space="0" w:color="auto"/>
                <w:bottom w:val="none" w:sz="0" w:space="0" w:color="auto"/>
                <w:right w:val="none" w:sz="0" w:space="0" w:color="auto"/>
              </w:divBdr>
            </w:div>
            <w:div w:id="976034467">
              <w:marLeft w:val="0"/>
              <w:marRight w:val="0"/>
              <w:marTop w:val="0"/>
              <w:marBottom w:val="0"/>
              <w:divBdr>
                <w:top w:val="none" w:sz="0" w:space="0" w:color="auto"/>
                <w:left w:val="none" w:sz="0" w:space="0" w:color="auto"/>
                <w:bottom w:val="none" w:sz="0" w:space="0" w:color="auto"/>
                <w:right w:val="none" w:sz="0" w:space="0" w:color="auto"/>
              </w:divBdr>
            </w:div>
            <w:div w:id="1318263817">
              <w:marLeft w:val="0"/>
              <w:marRight w:val="0"/>
              <w:marTop w:val="0"/>
              <w:marBottom w:val="0"/>
              <w:divBdr>
                <w:top w:val="none" w:sz="0" w:space="0" w:color="auto"/>
                <w:left w:val="none" w:sz="0" w:space="0" w:color="auto"/>
                <w:bottom w:val="none" w:sz="0" w:space="0" w:color="auto"/>
                <w:right w:val="none" w:sz="0" w:space="0" w:color="auto"/>
              </w:divBdr>
            </w:div>
            <w:div w:id="1727946550">
              <w:marLeft w:val="0"/>
              <w:marRight w:val="0"/>
              <w:marTop w:val="0"/>
              <w:marBottom w:val="0"/>
              <w:divBdr>
                <w:top w:val="none" w:sz="0" w:space="0" w:color="auto"/>
                <w:left w:val="none" w:sz="0" w:space="0" w:color="auto"/>
                <w:bottom w:val="none" w:sz="0" w:space="0" w:color="auto"/>
                <w:right w:val="none" w:sz="0" w:space="0" w:color="auto"/>
              </w:divBdr>
            </w:div>
            <w:div w:id="1770655965">
              <w:marLeft w:val="0"/>
              <w:marRight w:val="0"/>
              <w:marTop w:val="0"/>
              <w:marBottom w:val="0"/>
              <w:divBdr>
                <w:top w:val="none" w:sz="0" w:space="0" w:color="auto"/>
                <w:left w:val="none" w:sz="0" w:space="0" w:color="auto"/>
                <w:bottom w:val="none" w:sz="0" w:space="0" w:color="auto"/>
                <w:right w:val="none" w:sz="0" w:space="0" w:color="auto"/>
              </w:divBdr>
            </w:div>
          </w:divsChild>
        </w:div>
        <w:div w:id="992608901">
          <w:marLeft w:val="0"/>
          <w:marRight w:val="0"/>
          <w:marTop w:val="0"/>
          <w:marBottom w:val="0"/>
          <w:divBdr>
            <w:top w:val="none" w:sz="0" w:space="0" w:color="auto"/>
            <w:left w:val="none" w:sz="0" w:space="0" w:color="auto"/>
            <w:bottom w:val="none" w:sz="0" w:space="0" w:color="auto"/>
            <w:right w:val="none" w:sz="0" w:space="0" w:color="auto"/>
          </w:divBdr>
        </w:div>
        <w:div w:id="1065102215">
          <w:marLeft w:val="0"/>
          <w:marRight w:val="0"/>
          <w:marTop w:val="0"/>
          <w:marBottom w:val="0"/>
          <w:divBdr>
            <w:top w:val="none" w:sz="0" w:space="0" w:color="auto"/>
            <w:left w:val="none" w:sz="0" w:space="0" w:color="auto"/>
            <w:bottom w:val="none" w:sz="0" w:space="0" w:color="auto"/>
            <w:right w:val="none" w:sz="0" w:space="0" w:color="auto"/>
          </w:divBdr>
          <w:divsChild>
            <w:div w:id="296372879">
              <w:marLeft w:val="0"/>
              <w:marRight w:val="0"/>
              <w:marTop w:val="0"/>
              <w:marBottom w:val="0"/>
              <w:divBdr>
                <w:top w:val="none" w:sz="0" w:space="0" w:color="auto"/>
                <w:left w:val="none" w:sz="0" w:space="0" w:color="auto"/>
                <w:bottom w:val="none" w:sz="0" w:space="0" w:color="auto"/>
                <w:right w:val="none" w:sz="0" w:space="0" w:color="auto"/>
              </w:divBdr>
            </w:div>
            <w:div w:id="527642292">
              <w:marLeft w:val="0"/>
              <w:marRight w:val="0"/>
              <w:marTop w:val="0"/>
              <w:marBottom w:val="0"/>
              <w:divBdr>
                <w:top w:val="none" w:sz="0" w:space="0" w:color="auto"/>
                <w:left w:val="none" w:sz="0" w:space="0" w:color="auto"/>
                <w:bottom w:val="none" w:sz="0" w:space="0" w:color="auto"/>
                <w:right w:val="none" w:sz="0" w:space="0" w:color="auto"/>
              </w:divBdr>
            </w:div>
            <w:div w:id="1630016267">
              <w:marLeft w:val="0"/>
              <w:marRight w:val="0"/>
              <w:marTop w:val="0"/>
              <w:marBottom w:val="0"/>
              <w:divBdr>
                <w:top w:val="none" w:sz="0" w:space="0" w:color="auto"/>
                <w:left w:val="none" w:sz="0" w:space="0" w:color="auto"/>
                <w:bottom w:val="none" w:sz="0" w:space="0" w:color="auto"/>
                <w:right w:val="none" w:sz="0" w:space="0" w:color="auto"/>
              </w:divBdr>
            </w:div>
          </w:divsChild>
        </w:div>
        <w:div w:id="1069228916">
          <w:marLeft w:val="0"/>
          <w:marRight w:val="0"/>
          <w:marTop w:val="0"/>
          <w:marBottom w:val="0"/>
          <w:divBdr>
            <w:top w:val="none" w:sz="0" w:space="0" w:color="auto"/>
            <w:left w:val="none" w:sz="0" w:space="0" w:color="auto"/>
            <w:bottom w:val="none" w:sz="0" w:space="0" w:color="auto"/>
            <w:right w:val="none" w:sz="0" w:space="0" w:color="auto"/>
          </w:divBdr>
        </w:div>
        <w:div w:id="1087535652">
          <w:marLeft w:val="0"/>
          <w:marRight w:val="0"/>
          <w:marTop w:val="0"/>
          <w:marBottom w:val="0"/>
          <w:divBdr>
            <w:top w:val="none" w:sz="0" w:space="0" w:color="auto"/>
            <w:left w:val="none" w:sz="0" w:space="0" w:color="auto"/>
            <w:bottom w:val="none" w:sz="0" w:space="0" w:color="auto"/>
            <w:right w:val="none" w:sz="0" w:space="0" w:color="auto"/>
          </w:divBdr>
          <w:divsChild>
            <w:div w:id="682126887">
              <w:marLeft w:val="0"/>
              <w:marRight w:val="0"/>
              <w:marTop w:val="0"/>
              <w:marBottom w:val="0"/>
              <w:divBdr>
                <w:top w:val="none" w:sz="0" w:space="0" w:color="auto"/>
                <w:left w:val="none" w:sz="0" w:space="0" w:color="auto"/>
                <w:bottom w:val="none" w:sz="0" w:space="0" w:color="auto"/>
                <w:right w:val="none" w:sz="0" w:space="0" w:color="auto"/>
              </w:divBdr>
            </w:div>
            <w:div w:id="1723556563">
              <w:marLeft w:val="0"/>
              <w:marRight w:val="0"/>
              <w:marTop w:val="0"/>
              <w:marBottom w:val="0"/>
              <w:divBdr>
                <w:top w:val="none" w:sz="0" w:space="0" w:color="auto"/>
                <w:left w:val="none" w:sz="0" w:space="0" w:color="auto"/>
                <w:bottom w:val="none" w:sz="0" w:space="0" w:color="auto"/>
                <w:right w:val="none" w:sz="0" w:space="0" w:color="auto"/>
              </w:divBdr>
            </w:div>
            <w:div w:id="2130859122">
              <w:marLeft w:val="0"/>
              <w:marRight w:val="0"/>
              <w:marTop w:val="0"/>
              <w:marBottom w:val="0"/>
              <w:divBdr>
                <w:top w:val="none" w:sz="0" w:space="0" w:color="auto"/>
                <w:left w:val="none" w:sz="0" w:space="0" w:color="auto"/>
                <w:bottom w:val="none" w:sz="0" w:space="0" w:color="auto"/>
                <w:right w:val="none" w:sz="0" w:space="0" w:color="auto"/>
              </w:divBdr>
            </w:div>
          </w:divsChild>
        </w:div>
        <w:div w:id="1192182366">
          <w:marLeft w:val="0"/>
          <w:marRight w:val="0"/>
          <w:marTop w:val="0"/>
          <w:marBottom w:val="0"/>
          <w:divBdr>
            <w:top w:val="none" w:sz="0" w:space="0" w:color="auto"/>
            <w:left w:val="none" w:sz="0" w:space="0" w:color="auto"/>
            <w:bottom w:val="none" w:sz="0" w:space="0" w:color="auto"/>
            <w:right w:val="none" w:sz="0" w:space="0" w:color="auto"/>
          </w:divBdr>
        </w:div>
        <w:div w:id="1236623848">
          <w:marLeft w:val="0"/>
          <w:marRight w:val="0"/>
          <w:marTop w:val="0"/>
          <w:marBottom w:val="0"/>
          <w:divBdr>
            <w:top w:val="none" w:sz="0" w:space="0" w:color="auto"/>
            <w:left w:val="none" w:sz="0" w:space="0" w:color="auto"/>
            <w:bottom w:val="none" w:sz="0" w:space="0" w:color="auto"/>
            <w:right w:val="none" w:sz="0" w:space="0" w:color="auto"/>
          </w:divBdr>
        </w:div>
        <w:div w:id="1237283232">
          <w:marLeft w:val="0"/>
          <w:marRight w:val="0"/>
          <w:marTop w:val="0"/>
          <w:marBottom w:val="0"/>
          <w:divBdr>
            <w:top w:val="none" w:sz="0" w:space="0" w:color="auto"/>
            <w:left w:val="none" w:sz="0" w:space="0" w:color="auto"/>
            <w:bottom w:val="none" w:sz="0" w:space="0" w:color="auto"/>
            <w:right w:val="none" w:sz="0" w:space="0" w:color="auto"/>
          </w:divBdr>
        </w:div>
        <w:div w:id="1261909623">
          <w:marLeft w:val="0"/>
          <w:marRight w:val="0"/>
          <w:marTop w:val="0"/>
          <w:marBottom w:val="0"/>
          <w:divBdr>
            <w:top w:val="none" w:sz="0" w:space="0" w:color="auto"/>
            <w:left w:val="none" w:sz="0" w:space="0" w:color="auto"/>
            <w:bottom w:val="none" w:sz="0" w:space="0" w:color="auto"/>
            <w:right w:val="none" w:sz="0" w:space="0" w:color="auto"/>
          </w:divBdr>
        </w:div>
        <w:div w:id="1292901098">
          <w:marLeft w:val="0"/>
          <w:marRight w:val="0"/>
          <w:marTop w:val="0"/>
          <w:marBottom w:val="0"/>
          <w:divBdr>
            <w:top w:val="none" w:sz="0" w:space="0" w:color="auto"/>
            <w:left w:val="none" w:sz="0" w:space="0" w:color="auto"/>
            <w:bottom w:val="none" w:sz="0" w:space="0" w:color="auto"/>
            <w:right w:val="none" w:sz="0" w:space="0" w:color="auto"/>
          </w:divBdr>
        </w:div>
        <w:div w:id="1340081330">
          <w:marLeft w:val="0"/>
          <w:marRight w:val="0"/>
          <w:marTop w:val="0"/>
          <w:marBottom w:val="0"/>
          <w:divBdr>
            <w:top w:val="none" w:sz="0" w:space="0" w:color="auto"/>
            <w:left w:val="none" w:sz="0" w:space="0" w:color="auto"/>
            <w:bottom w:val="none" w:sz="0" w:space="0" w:color="auto"/>
            <w:right w:val="none" w:sz="0" w:space="0" w:color="auto"/>
          </w:divBdr>
        </w:div>
        <w:div w:id="1439982060">
          <w:marLeft w:val="0"/>
          <w:marRight w:val="0"/>
          <w:marTop w:val="0"/>
          <w:marBottom w:val="0"/>
          <w:divBdr>
            <w:top w:val="none" w:sz="0" w:space="0" w:color="auto"/>
            <w:left w:val="none" w:sz="0" w:space="0" w:color="auto"/>
            <w:bottom w:val="none" w:sz="0" w:space="0" w:color="auto"/>
            <w:right w:val="none" w:sz="0" w:space="0" w:color="auto"/>
          </w:divBdr>
          <w:divsChild>
            <w:div w:id="585726587">
              <w:marLeft w:val="0"/>
              <w:marRight w:val="0"/>
              <w:marTop w:val="0"/>
              <w:marBottom w:val="0"/>
              <w:divBdr>
                <w:top w:val="none" w:sz="0" w:space="0" w:color="auto"/>
                <w:left w:val="none" w:sz="0" w:space="0" w:color="auto"/>
                <w:bottom w:val="none" w:sz="0" w:space="0" w:color="auto"/>
                <w:right w:val="none" w:sz="0" w:space="0" w:color="auto"/>
              </w:divBdr>
            </w:div>
            <w:div w:id="1165785381">
              <w:marLeft w:val="0"/>
              <w:marRight w:val="0"/>
              <w:marTop w:val="0"/>
              <w:marBottom w:val="0"/>
              <w:divBdr>
                <w:top w:val="none" w:sz="0" w:space="0" w:color="auto"/>
                <w:left w:val="none" w:sz="0" w:space="0" w:color="auto"/>
                <w:bottom w:val="none" w:sz="0" w:space="0" w:color="auto"/>
                <w:right w:val="none" w:sz="0" w:space="0" w:color="auto"/>
              </w:divBdr>
            </w:div>
            <w:div w:id="1775977609">
              <w:marLeft w:val="0"/>
              <w:marRight w:val="0"/>
              <w:marTop w:val="0"/>
              <w:marBottom w:val="0"/>
              <w:divBdr>
                <w:top w:val="none" w:sz="0" w:space="0" w:color="auto"/>
                <w:left w:val="none" w:sz="0" w:space="0" w:color="auto"/>
                <w:bottom w:val="none" w:sz="0" w:space="0" w:color="auto"/>
                <w:right w:val="none" w:sz="0" w:space="0" w:color="auto"/>
              </w:divBdr>
            </w:div>
          </w:divsChild>
        </w:div>
        <w:div w:id="1476874896">
          <w:marLeft w:val="0"/>
          <w:marRight w:val="0"/>
          <w:marTop w:val="0"/>
          <w:marBottom w:val="0"/>
          <w:divBdr>
            <w:top w:val="none" w:sz="0" w:space="0" w:color="auto"/>
            <w:left w:val="none" w:sz="0" w:space="0" w:color="auto"/>
            <w:bottom w:val="none" w:sz="0" w:space="0" w:color="auto"/>
            <w:right w:val="none" w:sz="0" w:space="0" w:color="auto"/>
          </w:divBdr>
          <w:divsChild>
            <w:div w:id="785661902">
              <w:marLeft w:val="0"/>
              <w:marRight w:val="0"/>
              <w:marTop w:val="0"/>
              <w:marBottom w:val="0"/>
              <w:divBdr>
                <w:top w:val="none" w:sz="0" w:space="0" w:color="auto"/>
                <w:left w:val="none" w:sz="0" w:space="0" w:color="auto"/>
                <w:bottom w:val="none" w:sz="0" w:space="0" w:color="auto"/>
                <w:right w:val="none" w:sz="0" w:space="0" w:color="auto"/>
              </w:divBdr>
            </w:div>
            <w:div w:id="1304189823">
              <w:marLeft w:val="0"/>
              <w:marRight w:val="0"/>
              <w:marTop w:val="0"/>
              <w:marBottom w:val="0"/>
              <w:divBdr>
                <w:top w:val="none" w:sz="0" w:space="0" w:color="auto"/>
                <w:left w:val="none" w:sz="0" w:space="0" w:color="auto"/>
                <w:bottom w:val="none" w:sz="0" w:space="0" w:color="auto"/>
                <w:right w:val="none" w:sz="0" w:space="0" w:color="auto"/>
              </w:divBdr>
            </w:div>
            <w:div w:id="1585450364">
              <w:marLeft w:val="0"/>
              <w:marRight w:val="0"/>
              <w:marTop w:val="0"/>
              <w:marBottom w:val="0"/>
              <w:divBdr>
                <w:top w:val="none" w:sz="0" w:space="0" w:color="auto"/>
                <w:left w:val="none" w:sz="0" w:space="0" w:color="auto"/>
                <w:bottom w:val="none" w:sz="0" w:space="0" w:color="auto"/>
                <w:right w:val="none" w:sz="0" w:space="0" w:color="auto"/>
              </w:divBdr>
            </w:div>
          </w:divsChild>
        </w:div>
        <w:div w:id="1512719992">
          <w:marLeft w:val="0"/>
          <w:marRight w:val="0"/>
          <w:marTop w:val="0"/>
          <w:marBottom w:val="0"/>
          <w:divBdr>
            <w:top w:val="none" w:sz="0" w:space="0" w:color="auto"/>
            <w:left w:val="none" w:sz="0" w:space="0" w:color="auto"/>
            <w:bottom w:val="none" w:sz="0" w:space="0" w:color="auto"/>
            <w:right w:val="none" w:sz="0" w:space="0" w:color="auto"/>
          </w:divBdr>
        </w:div>
        <w:div w:id="1535385356">
          <w:marLeft w:val="0"/>
          <w:marRight w:val="0"/>
          <w:marTop w:val="0"/>
          <w:marBottom w:val="0"/>
          <w:divBdr>
            <w:top w:val="none" w:sz="0" w:space="0" w:color="auto"/>
            <w:left w:val="none" w:sz="0" w:space="0" w:color="auto"/>
            <w:bottom w:val="none" w:sz="0" w:space="0" w:color="auto"/>
            <w:right w:val="none" w:sz="0" w:space="0" w:color="auto"/>
          </w:divBdr>
        </w:div>
        <w:div w:id="1563057568">
          <w:marLeft w:val="0"/>
          <w:marRight w:val="0"/>
          <w:marTop w:val="0"/>
          <w:marBottom w:val="0"/>
          <w:divBdr>
            <w:top w:val="none" w:sz="0" w:space="0" w:color="auto"/>
            <w:left w:val="none" w:sz="0" w:space="0" w:color="auto"/>
            <w:bottom w:val="none" w:sz="0" w:space="0" w:color="auto"/>
            <w:right w:val="none" w:sz="0" w:space="0" w:color="auto"/>
          </w:divBdr>
        </w:div>
        <w:div w:id="1612399146">
          <w:marLeft w:val="0"/>
          <w:marRight w:val="0"/>
          <w:marTop w:val="0"/>
          <w:marBottom w:val="0"/>
          <w:divBdr>
            <w:top w:val="none" w:sz="0" w:space="0" w:color="auto"/>
            <w:left w:val="none" w:sz="0" w:space="0" w:color="auto"/>
            <w:bottom w:val="none" w:sz="0" w:space="0" w:color="auto"/>
            <w:right w:val="none" w:sz="0" w:space="0" w:color="auto"/>
          </w:divBdr>
        </w:div>
        <w:div w:id="1633706377">
          <w:marLeft w:val="0"/>
          <w:marRight w:val="0"/>
          <w:marTop w:val="0"/>
          <w:marBottom w:val="0"/>
          <w:divBdr>
            <w:top w:val="none" w:sz="0" w:space="0" w:color="auto"/>
            <w:left w:val="none" w:sz="0" w:space="0" w:color="auto"/>
            <w:bottom w:val="none" w:sz="0" w:space="0" w:color="auto"/>
            <w:right w:val="none" w:sz="0" w:space="0" w:color="auto"/>
          </w:divBdr>
          <w:divsChild>
            <w:div w:id="2138256400">
              <w:marLeft w:val="-75"/>
              <w:marRight w:val="0"/>
              <w:marTop w:val="30"/>
              <w:marBottom w:val="30"/>
              <w:divBdr>
                <w:top w:val="none" w:sz="0" w:space="0" w:color="auto"/>
                <w:left w:val="none" w:sz="0" w:space="0" w:color="auto"/>
                <w:bottom w:val="none" w:sz="0" w:space="0" w:color="auto"/>
                <w:right w:val="none" w:sz="0" w:space="0" w:color="auto"/>
              </w:divBdr>
              <w:divsChild>
                <w:div w:id="46608878">
                  <w:marLeft w:val="0"/>
                  <w:marRight w:val="0"/>
                  <w:marTop w:val="0"/>
                  <w:marBottom w:val="0"/>
                  <w:divBdr>
                    <w:top w:val="none" w:sz="0" w:space="0" w:color="auto"/>
                    <w:left w:val="none" w:sz="0" w:space="0" w:color="auto"/>
                    <w:bottom w:val="none" w:sz="0" w:space="0" w:color="auto"/>
                    <w:right w:val="none" w:sz="0" w:space="0" w:color="auto"/>
                  </w:divBdr>
                  <w:divsChild>
                    <w:div w:id="112671968">
                      <w:marLeft w:val="0"/>
                      <w:marRight w:val="0"/>
                      <w:marTop w:val="0"/>
                      <w:marBottom w:val="0"/>
                      <w:divBdr>
                        <w:top w:val="none" w:sz="0" w:space="0" w:color="auto"/>
                        <w:left w:val="none" w:sz="0" w:space="0" w:color="auto"/>
                        <w:bottom w:val="none" w:sz="0" w:space="0" w:color="auto"/>
                        <w:right w:val="none" w:sz="0" w:space="0" w:color="auto"/>
                      </w:divBdr>
                    </w:div>
                  </w:divsChild>
                </w:div>
                <w:div w:id="57048979">
                  <w:marLeft w:val="0"/>
                  <w:marRight w:val="0"/>
                  <w:marTop w:val="0"/>
                  <w:marBottom w:val="0"/>
                  <w:divBdr>
                    <w:top w:val="none" w:sz="0" w:space="0" w:color="auto"/>
                    <w:left w:val="none" w:sz="0" w:space="0" w:color="auto"/>
                    <w:bottom w:val="none" w:sz="0" w:space="0" w:color="auto"/>
                    <w:right w:val="none" w:sz="0" w:space="0" w:color="auto"/>
                  </w:divBdr>
                  <w:divsChild>
                    <w:div w:id="1950117342">
                      <w:marLeft w:val="0"/>
                      <w:marRight w:val="0"/>
                      <w:marTop w:val="0"/>
                      <w:marBottom w:val="0"/>
                      <w:divBdr>
                        <w:top w:val="none" w:sz="0" w:space="0" w:color="auto"/>
                        <w:left w:val="none" w:sz="0" w:space="0" w:color="auto"/>
                        <w:bottom w:val="none" w:sz="0" w:space="0" w:color="auto"/>
                        <w:right w:val="none" w:sz="0" w:space="0" w:color="auto"/>
                      </w:divBdr>
                    </w:div>
                  </w:divsChild>
                </w:div>
                <w:div w:id="58869734">
                  <w:marLeft w:val="0"/>
                  <w:marRight w:val="0"/>
                  <w:marTop w:val="0"/>
                  <w:marBottom w:val="0"/>
                  <w:divBdr>
                    <w:top w:val="none" w:sz="0" w:space="0" w:color="auto"/>
                    <w:left w:val="none" w:sz="0" w:space="0" w:color="auto"/>
                    <w:bottom w:val="none" w:sz="0" w:space="0" w:color="auto"/>
                    <w:right w:val="none" w:sz="0" w:space="0" w:color="auto"/>
                  </w:divBdr>
                  <w:divsChild>
                    <w:div w:id="857155156">
                      <w:marLeft w:val="0"/>
                      <w:marRight w:val="0"/>
                      <w:marTop w:val="0"/>
                      <w:marBottom w:val="0"/>
                      <w:divBdr>
                        <w:top w:val="none" w:sz="0" w:space="0" w:color="auto"/>
                        <w:left w:val="none" w:sz="0" w:space="0" w:color="auto"/>
                        <w:bottom w:val="none" w:sz="0" w:space="0" w:color="auto"/>
                        <w:right w:val="none" w:sz="0" w:space="0" w:color="auto"/>
                      </w:divBdr>
                    </w:div>
                  </w:divsChild>
                </w:div>
                <w:div w:id="59210161">
                  <w:marLeft w:val="0"/>
                  <w:marRight w:val="0"/>
                  <w:marTop w:val="0"/>
                  <w:marBottom w:val="0"/>
                  <w:divBdr>
                    <w:top w:val="none" w:sz="0" w:space="0" w:color="auto"/>
                    <w:left w:val="none" w:sz="0" w:space="0" w:color="auto"/>
                    <w:bottom w:val="none" w:sz="0" w:space="0" w:color="auto"/>
                    <w:right w:val="none" w:sz="0" w:space="0" w:color="auto"/>
                  </w:divBdr>
                  <w:divsChild>
                    <w:div w:id="848789293">
                      <w:marLeft w:val="0"/>
                      <w:marRight w:val="0"/>
                      <w:marTop w:val="0"/>
                      <w:marBottom w:val="0"/>
                      <w:divBdr>
                        <w:top w:val="none" w:sz="0" w:space="0" w:color="auto"/>
                        <w:left w:val="none" w:sz="0" w:space="0" w:color="auto"/>
                        <w:bottom w:val="none" w:sz="0" w:space="0" w:color="auto"/>
                        <w:right w:val="none" w:sz="0" w:space="0" w:color="auto"/>
                      </w:divBdr>
                    </w:div>
                  </w:divsChild>
                </w:div>
                <w:div w:id="63379867">
                  <w:marLeft w:val="0"/>
                  <w:marRight w:val="0"/>
                  <w:marTop w:val="0"/>
                  <w:marBottom w:val="0"/>
                  <w:divBdr>
                    <w:top w:val="none" w:sz="0" w:space="0" w:color="auto"/>
                    <w:left w:val="none" w:sz="0" w:space="0" w:color="auto"/>
                    <w:bottom w:val="none" w:sz="0" w:space="0" w:color="auto"/>
                    <w:right w:val="none" w:sz="0" w:space="0" w:color="auto"/>
                  </w:divBdr>
                  <w:divsChild>
                    <w:div w:id="1429036389">
                      <w:marLeft w:val="0"/>
                      <w:marRight w:val="0"/>
                      <w:marTop w:val="0"/>
                      <w:marBottom w:val="0"/>
                      <w:divBdr>
                        <w:top w:val="none" w:sz="0" w:space="0" w:color="auto"/>
                        <w:left w:val="none" w:sz="0" w:space="0" w:color="auto"/>
                        <w:bottom w:val="none" w:sz="0" w:space="0" w:color="auto"/>
                        <w:right w:val="none" w:sz="0" w:space="0" w:color="auto"/>
                      </w:divBdr>
                    </w:div>
                  </w:divsChild>
                </w:div>
                <w:div w:id="66155330">
                  <w:marLeft w:val="0"/>
                  <w:marRight w:val="0"/>
                  <w:marTop w:val="0"/>
                  <w:marBottom w:val="0"/>
                  <w:divBdr>
                    <w:top w:val="none" w:sz="0" w:space="0" w:color="auto"/>
                    <w:left w:val="none" w:sz="0" w:space="0" w:color="auto"/>
                    <w:bottom w:val="none" w:sz="0" w:space="0" w:color="auto"/>
                    <w:right w:val="none" w:sz="0" w:space="0" w:color="auto"/>
                  </w:divBdr>
                  <w:divsChild>
                    <w:div w:id="463474215">
                      <w:marLeft w:val="0"/>
                      <w:marRight w:val="0"/>
                      <w:marTop w:val="0"/>
                      <w:marBottom w:val="0"/>
                      <w:divBdr>
                        <w:top w:val="none" w:sz="0" w:space="0" w:color="auto"/>
                        <w:left w:val="none" w:sz="0" w:space="0" w:color="auto"/>
                        <w:bottom w:val="none" w:sz="0" w:space="0" w:color="auto"/>
                        <w:right w:val="none" w:sz="0" w:space="0" w:color="auto"/>
                      </w:divBdr>
                    </w:div>
                  </w:divsChild>
                </w:div>
                <w:div w:id="102192522">
                  <w:marLeft w:val="0"/>
                  <w:marRight w:val="0"/>
                  <w:marTop w:val="0"/>
                  <w:marBottom w:val="0"/>
                  <w:divBdr>
                    <w:top w:val="none" w:sz="0" w:space="0" w:color="auto"/>
                    <w:left w:val="none" w:sz="0" w:space="0" w:color="auto"/>
                    <w:bottom w:val="none" w:sz="0" w:space="0" w:color="auto"/>
                    <w:right w:val="none" w:sz="0" w:space="0" w:color="auto"/>
                  </w:divBdr>
                  <w:divsChild>
                    <w:div w:id="273486673">
                      <w:marLeft w:val="0"/>
                      <w:marRight w:val="0"/>
                      <w:marTop w:val="0"/>
                      <w:marBottom w:val="0"/>
                      <w:divBdr>
                        <w:top w:val="none" w:sz="0" w:space="0" w:color="auto"/>
                        <w:left w:val="none" w:sz="0" w:space="0" w:color="auto"/>
                        <w:bottom w:val="none" w:sz="0" w:space="0" w:color="auto"/>
                        <w:right w:val="none" w:sz="0" w:space="0" w:color="auto"/>
                      </w:divBdr>
                    </w:div>
                  </w:divsChild>
                </w:div>
                <w:div w:id="114295872">
                  <w:marLeft w:val="0"/>
                  <w:marRight w:val="0"/>
                  <w:marTop w:val="0"/>
                  <w:marBottom w:val="0"/>
                  <w:divBdr>
                    <w:top w:val="none" w:sz="0" w:space="0" w:color="auto"/>
                    <w:left w:val="none" w:sz="0" w:space="0" w:color="auto"/>
                    <w:bottom w:val="none" w:sz="0" w:space="0" w:color="auto"/>
                    <w:right w:val="none" w:sz="0" w:space="0" w:color="auto"/>
                  </w:divBdr>
                  <w:divsChild>
                    <w:div w:id="40836298">
                      <w:marLeft w:val="0"/>
                      <w:marRight w:val="0"/>
                      <w:marTop w:val="0"/>
                      <w:marBottom w:val="0"/>
                      <w:divBdr>
                        <w:top w:val="none" w:sz="0" w:space="0" w:color="auto"/>
                        <w:left w:val="none" w:sz="0" w:space="0" w:color="auto"/>
                        <w:bottom w:val="none" w:sz="0" w:space="0" w:color="auto"/>
                        <w:right w:val="none" w:sz="0" w:space="0" w:color="auto"/>
                      </w:divBdr>
                    </w:div>
                  </w:divsChild>
                </w:div>
                <w:div w:id="141973640">
                  <w:marLeft w:val="0"/>
                  <w:marRight w:val="0"/>
                  <w:marTop w:val="0"/>
                  <w:marBottom w:val="0"/>
                  <w:divBdr>
                    <w:top w:val="none" w:sz="0" w:space="0" w:color="auto"/>
                    <w:left w:val="none" w:sz="0" w:space="0" w:color="auto"/>
                    <w:bottom w:val="none" w:sz="0" w:space="0" w:color="auto"/>
                    <w:right w:val="none" w:sz="0" w:space="0" w:color="auto"/>
                  </w:divBdr>
                  <w:divsChild>
                    <w:div w:id="1546986158">
                      <w:marLeft w:val="0"/>
                      <w:marRight w:val="0"/>
                      <w:marTop w:val="0"/>
                      <w:marBottom w:val="0"/>
                      <w:divBdr>
                        <w:top w:val="none" w:sz="0" w:space="0" w:color="auto"/>
                        <w:left w:val="none" w:sz="0" w:space="0" w:color="auto"/>
                        <w:bottom w:val="none" w:sz="0" w:space="0" w:color="auto"/>
                        <w:right w:val="none" w:sz="0" w:space="0" w:color="auto"/>
                      </w:divBdr>
                    </w:div>
                  </w:divsChild>
                </w:div>
                <w:div w:id="150830944">
                  <w:marLeft w:val="0"/>
                  <w:marRight w:val="0"/>
                  <w:marTop w:val="0"/>
                  <w:marBottom w:val="0"/>
                  <w:divBdr>
                    <w:top w:val="none" w:sz="0" w:space="0" w:color="auto"/>
                    <w:left w:val="none" w:sz="0" w:space="0" w:color="auto"/>
                    <w:bottom w:val="none" w:sz="0" w:space="0" w:color="auto"/>
                    <w:right w:val="none" w:sz="0" w:space="0" w:color="auto"/>
                  </w:divBdr>
                  <w:divsChild>
                    <w:div w:id="1090659314">
                      <w:marLeft w:val="0"/>
                      <w:marRight w:val="0"/>
                      <w:marTop w:val="0"/>
                      <w:marBottom w:val="0"/>
                      <w:divBdr>
                        <w:top w:val="none" w:sz="0" w:space="0" w:color="auto"/>
                        <w:left w:val="none" w:sz="0" w:space="0" w:color="auto"/>
                        <w:bottom w:val="none" w:sz="0" w:space="0" w:color="auto"/>
                        <w:right w:val="none" w:sz="0" w:space="0" w:color="auto"/>
                      </w:divBdr>
                    </w:div>
                  </w:divsChild>
                </w:div>
                <w:div w:id="153381444">
                  <w:marLeft w:val="0"/>
                  <w:marRight w:val="0"/>
                  <w:marTop w:val="0"/>
                  <w:marBottom w:val="0"/>
                  <w:divBdr>
                    <w:top w:val="none" w:sz="0" w:space="0" w:color="auto"/>
                    <w:left w:val="none" w:sz="0" w:space="0" w:color="auto"/>
                    <w:bottom w:val="none" w:sz="0" w:space="0" w:color="auto"/>
                    <w:right w:val="none" w:sz="0" w:space="0" w:color="auto"/>
                  </w:divBdr>
                  <w:divsChild>
                    <w:div w:id="1830704327">
                      <w:marLeft w:val="0"/>
                      <w:marRight w:val="0"/>
                      <w:marTop w:val="0"/>
                      <w:marBottom w:val="0"/>
                      <w:divBdr>
                        <w:top w:val="none" w:sz="0" w:space="0" w:color="auto"/>
                        <w:left w:val="none" w:sz="0" w:space="0" w:color="auto"/>
                        <w:bottom w:val="none" w:sz="0" w:space="0" w:color="auto"/>
                        <w:right w:val="none" w:sz="0" w:space="0" w:color="auto"/>
                      </w:divBdr>
                    </w:div>
                  </w:divsChild>
                </w:div>
                <w:div w:id="198128905">
                  <w:marLeft w:val="0"/>
                  <w:marRight w:val="0"/>
                  <w:marTop w:val="0"/>
                  <w:marBottom w:val="0"/>
                  <w:divBdr>
                    <w:top w:val="none" w:sz="0" w:space="0" w:color="auto"/>
                    <w:left w:val="none" w:sz="0" w:space="0" w:color="auto"/>
                    <w:bottom w:val="none" w:sz="0" w:space="0" w:color="auto"/>
                    <w:right w:val="none" w:sz="0" w:space="0" w:color="auto"/>
                  </w:divBdr>
                  <w:divsChild>
                    <w:div w:id="1078551222">
                      <w:marLeft w:val="0"/>
                      <w:marRight w:val="0"/>
                      <w:marTop w:val="0"/>
                      <w:marBottom w:val="0"/>
                      <w:divBdr>
                        <w:top w:val="none" w:sz="0" w:space="0" w:color="auto"/>
                        <w:left w:val="none" w:sz="0" w:space="0" w:color="auto"/>
                        <w:bottom w:val="none" w:sz="0" w:space="0" w:color="auto"/>
                        <w:right w:val="none" w:sz="0" w:space="0" w:color="auto"/>
                      </w:divBdr>
                    </w:div>
                  </w:divsChild>
                </w:div>
                <w:div w:id="202258059">
                  <w:marLeft w:val="0"/>
                  <w:marRight w:val="0"/>
                  <w:marTop w:val="0"/>
                  <w:marBottom w:val="0"/>
                  <w:divBdr>
                    <w:top w:val="none" w:sz="0" w:space="0" w:color="auto"/>
                    <w:left w:val="none" w:sz="0" w:space="0" w:color="auto"/>
                    <w:bottom w:val="none" w:sz="0" w:space="0" w:color="auto"/>
                    <w:right w:val="none" w:sz="0" w:space="0" w:color="auto"/>
                  </w:divBdr>
                  <w:divsChild>
                    <w:div w:id="1258518099">
                      <w:marLeft w:val="0"/>
                      <w:marRight w:val="0"/>
                      <w:marTop w:val="0"/>
                      <w:marBottom w:val="0"/>
                      <w:divBdr>
                        <w:top w:val="none" w:sz="0" w:space="0" w:color="auto"/>
                        <w:left w:val="none" w:sz="0" w:space="0" w:color="auto"/>
                        <w:bottom w:val="none" w:sz="0" w:space="0" w:color="auto"/>
                        <w:right w:val="none" w:sz="0" w:space="0" w:color="auto"/>
                      </w:divBdr>
                    </w:div>
                  </w:divsChild>
                </w:div>
                <w:div w:id="212347753">
                  <w:marLeft w:val="0"/>
                  <w:marRight w:val="0"/>
                  <w:marTop w:val="0"/>
                  <w:marBottom w:val="0"/>
                  <w:divBdr>
                    <w:top w:val="none" w:sz="0" w:space="0" w:color="auto"/>
                    <w:left w:val="none" w:sz="0" w:space="0" w:color="auto"/>
                    <w:bottom w:val="none" w:sz="0" w:space="0" w:color="auto"/>
                    <w:right w:val="none" w:sz="0" w:space="0" w:color="auto"/>
                  </w:divBdr>
                  <w:divsChild>
                    <w:div w:id="1699354459">
                      <w:marLeft w:val="0"/>
                      <w:marRight w:val="0"/>
                      <w:marTop w:val="0"/>
                      <w:marBottom w:val="0"/>
                      <w:divBdr>
                        <w:top w:val="none" w:sz="0" w:space="0" w:color="auto"/>
                        <w:left w:val="none" w:sz="0" w:space="0" w:color="auto"/>
                        <w:bottom w:val="none" w:sz="0" w:space="0" w:color="auto"/>
                        <w:right w:val="none" w:sz="0" w:space="0" w:color="auto"/>
                      </w:divBdr>
                    </w:div>
                  </w:divsChild>
                </w:div>
                <w:div w:id="229078053">
                  <w:marLeft w:val="0"/>
                  <w:marRight w:val="0"/>
                  <w:marTop w:val="0"/>
                  <w:marBottom w:val="0"/>
                  <w:divBdr>
                    <w:top w:val="none" w:sz="0" w:space="0" w:color="auto"/>
                    <w:left w:val="none" w:sz="0" w:space="0" w:color="auto"/>
                    <w:bottom w:val="none" w:sz="0" w:space="0" w:color="auto"/>
                    <w:right w:val="none" w:sz="0" w:space="0" w:color="auto"/>
                  </w:divBdr>
                  <w:divsChild>
                    <w:div w:id="1330596206">
                      <w:marLeft w:val="0"/>
                      <w:marRight w:val="0"/>
                      <w:marTop w:val="0"/>
                      <w:marBottom w:val="0"/>
                      <w:divBdr>
                        <w:top w:val="none" w:sz="0" w:space="0" w:color="auto"/>
                        <w:left w:val="none" w:sz="0" w:space="0" w:color="auto"/>
                        <w:bottom w:val="none" w:sz="0" w:space="0" w:color="auto"/>
                        <w:right w:val="none" w:sz="0" w:space="0" w:color="auto"/>
                      </w:divBdr>
                    </w:div>
                  </w:divsChild>
                </w:div>
                <w:div w:id="229661610">
                  <w:marLeft w:val="0"/>
                  <w:marRight w:val="0"/>
                  <w:marTop w:val="0"/>
                  <w:marBottom w:val="0"/>
                  <w:divBdr>
                    <w:top w:val="none" w:sz="0" w:space="0" w:color="auto"/>
                    <w:left w:val="none" w:sz="0" w:space="0" w:color="auto"/>
                    <w:bottom w:val="none" w:sz="0" w:space="0" w:color="auto"/>
                    <w:right w:val="none" w:sz="0" w:space="0" w:color="auto"/>
                  </w:divBdr>
                  <w:divsChild>
                    <w:div w:id="385877743">
                      <w:marLeft w:val="0"/>
                      <w:marRight w:val="0"/>
                      <w:marTop w:val="0"/>
                      <w:marBottom w:val="0"/>
                      <w:divBdr>
                        <w:top w:val="none" w:sz="0" w:space="0" w:color="auto"/>
                        <w:left w:val="none" w:sz="0" w:space="0" w:color="auto"/>
                        <w:bottom w:val="none" w:sz="0" w:space="0" w:color="auto"/>
                        <w:right w:val="none" w:sz="0" w:space="0" w:color="auto"/>
                      </w:divBdr>
                    </w:div>
                  </w:divsChild>
                </w:div>
                <w:div w:id="230622903">
                  <w:marLeft w:val="0"/>
                  <w:marRight w:val="0"/>
                  <w:marTop w:val="0"/>
                  <w:marBottom w:val="0"/>
                  <w:divBdr>
                    <w:top w:val="none" w:sz="0" w:space="0" w:color="auto"/>
                    <w:left w:val="none" w:sz="0" w:space="0" w:color="auto"/>
                    <w:bottom w:val="none" w:sz="0" w:space="0" w:color="auto"/>
                    <w:right w:val="none" w:sz="0" w:space="0" w:color="auto"/>
                  </w:divBdr>
                  <w:divsChild>
                    <w:div w:id="1919826138">
                      <w:marLeft w:val="0"/>
                      <w:marRight w:val="0"/>
                      <w:marTop w:val="0"/>
                      <w:marBottom w:val="0"/>
                      <w:divBdr>
                        <w:top w:val="none" w:sz="0" w:space="0" w:color="auto"/>
                        <w:left w:val="none" w:sz="0" w:space="0" w:color="auto"/>
                        <w:bottom w:val="none" w:sz="0" w:space="0" w:color="auto"/>
                        <w:right w:val="none" w:sz="0" w:space="0" w:color="auto"/>
                      </w:divBdr>
                    </w:div>
                  </w:divsChild>
                </w:div>
                <w:div w:id="241379279">
                  <w:marLeft w:val="0"/>
                  <w:marRight w:val="0"/>
                  <w:marTop w:val="0"/>
                  <w:marBottom w:val="0"/>
                  <w:divBdr>
                    <w:top w:val="none" w:sz="0" w:space="0" w:color="auto"/>
                    <w:left w:val="none" w:sz="0" w:space="0" w:color="auto"/>
                    <w:bottom w:val="none" w:sz="0" w:space="0" w:color="auto"/>
                    <w:right w:val="none" w:sz="0" w:space="0" w:color="auto"/>
                  </w:divBdr>
                  <w:divsChild>
                    <w:div w:id="754402005">
                      <w:marLeft w:val="0"/>
                      <w:marRight w:val="0"/>
                      <w:marTop w:val="0"/>
                      <w:marBottom w:val="0"/>
                      <w:divBdr>
                        <w:top w:val="none" w:sz="0" w:space="0" w:color="auto"/>
                        <w:left w:val="none" w:sz="0" w:space="0" w:color="auto"/>
                        <w:bottom w:val="none" w:sz="0" w:space="0" w:color="auto"/>
                        <w:right w:val="none" w:sz="0" w:space="0" w:color="auto"/>
                      </w:divBdr>
                    </w:div>
                  </w:divsChild>
                </w:div>
                <w:div w:id="255987756">
                  <w:marLeft w:val="0"/>
                  <w:marRight w:val="0"/>
                  <w:marTop w:val="0"/>
                  <w:marBottom w:val="0"/>
                  <w:divBdr>
                    <w:top w:val="none" w:sz="0" w:space="0" w:color="auto"/>
                    <w:left w:val="none" w:sz="0" w:space="0" w:color="auto"/>
                    <w:bottom w:val="none" w:sz="0" w:space="0" w:color="auto"/>
                    <w:right w:val="none" w:sz="0" w:space="0" w:color="auto"/>
                  </w:divBdr>
                  <w:divsChild>
                    <w:div w:id="1668897969">
                      <w:marLeft w:val="0"/>
                      <w:marRight w:val="0"/>
                      <w:marTop w:val="0"/>
                      <w:marBottom w:val="0"/>
                      <w:divBdr>
                        <w:top w:val="none" w:sz="0" w:space="0" w:color="auto"/>
                        <w:left w:val="none" w:sz="0" w:space="0" w:color="auto"/>
                        <w:bottom w:val="none" w:sz="0" w:space="0" w:color="auto"/>
                        <w:right w:val="none" w:sz="0" w:space="0" w:color="auto"/>
                      </w:divBdr>
                    </w:div>
                  </w:divsChild>
                </w:div>
                <w:div w:id="257449928">
                  <w:marLeft w:val="0"/>
                  <w:marRight w:val="0"/>
                  <w:marTop w:val="0"/>
                  <w:marBottom w:val="0"/>
                  <w:divBdr>
                    <w:top w:val="none" w:sz="0" w:space="0" w:color="auto"/>
                    <w:left w:val="none" w:sz="0" w:space="0" w:color="auto"/>
                    <w:bottom w:val="none" w:sz="0" w:space="0" w:color="auto"/>
                    <w:right w:val="none" w:sz="0" w:space="0" w:color="auto"/>
                  </w:divBdr>
                  <w:divsChild>
                    <w:div w:id="1605571552">
                      <w:marLeft w:val="0"/>
                      <w:marRight w:val="0"/>
                      <w:marTop w:val="0"/>
                      <w:marBottom w:val="0"/>
                      <w:divBdr>
                        <w:top w:val="none" w:sz="0" w:space="0" w:color="auto"/>
                        <w:left w:val="none" w:sz="0" w:space="0" w:color="auto"/>
                        <w:bottom w:val="none" w:sz="0" w:space="0" w:color="auto"/>
                        <w:right w:val="none" w:sz="0" w:space="0" w:color="auto"/>
                      </w:divBdr>
                    </w:div>
                  </w:divsChild>
                </w:div>
                <w:div w:id="258605708">
                  <w:marLeft w:val="0"/>
                  <w:marRight w:val="0"/>
                  <w:marTop w:val="0"/>
                  <w:marBottom w:val="0"/>
                  <w:divBdr>
                    <w:top w:val="none" w:sz="0" w:space="0" w:color="auto"/>
                    <w:left w:val="none" w:sz="0" w:space="0" w:color="auto"/>
                    <w:bottom w:val="none" w:sz="0" w:space="0" w:color="auto"/>
                    <w:right w:val="none" w:sz="0" w:space="0" w:color="auto"/>
                  </w:divBdr>
                  <w:divsChild>
                    <w:div w:id="273942292">
                      <w:marLeft w:val="0"/>
                      <w:marRight w:val="0"/>
                      <w:marTop w:val="0"/>
                      <w:marBottom w:val="0"/>
                      <w:divBdr>
                        <w:top w:val="none" w:sz="0" w:space="0" w:color="auto"/>
                        <w:left w:val="none" w:sz="0" w:space="0" w:color="auto"/>
                        <w:bottom w:val="none" w:sz="0" w:space="0" w:color="auto"/>
                        <w:right w:val="none" w:sz="0" w:space="0" w:color="auto"/>
                      </w:divBdr>
                    </w:div>
                  </w:divsChild>
                </w:div>
                <w:div w:id="270863984">
                  <w:marLeft w:val="0"/>
                  <w:marRight w:val="0"/>
                  <w:marTop w:val="0"/>
                  <w:marBottom w:val="0"/>
                  <w:divBdr>
                    <w:top w:val="none" w:sz="0" w:space="0" w:color="auto"/>
                    <w:left w:val="none" w:sz="0" w:space="0" w:color="auto"/>
                    <w:bottom w:val="none" w:sz="0" w:space="0" w:color="auto"/>
                    <w:right w:val="none" w:sz="0" w:space="0" w:color="auto"/>
                  </w:divBdr>
                  <w:divsChild>
                    <w:div w:id="1804927216">
                      <w:marLeft w:val="0"/>
                      <w:marRight w:val="0"/>
                      <w:marTop w:val="0"/>
                      <w:marBottom w:val="0"/>
                      <w:divBdr>
                        <w:top w:val="none" w:sz="0" w:space="0" w:color="auto"/>
                        <w:left w:val="none" w:sz="0" w:space="0" w:color="auto"/>
                        <w:bottom w:val="none" w:sz="0" w:space="0" w:color="auto"/>
                        <w:right w:val="none" w:sz="0" w:space="0" w:color="auto"/>
                      </w:divBdr>
                    </w:div>
                  </w:divsChild>
                </w:div>
                <w:div w:id="280378176">
                  <w:marLeft w:val="0"/>
                  <w:marRight w:val="0"/>
                  <w:marTop w:val="0"/>
                  <w:marBottom w:val="0"/>
                  <w:divBdr>
                    <w:top w:val="none" w:sz="0" w:space="0" w:color="auto"/>
                    <w:left w:val="none" w:sz="0" w:space="0" w:color="auto"/>
                    <w:bottom w:val="none" w:sz="0" w:space="0" w:color="auto"/>
                    <w:right w:val="none" w:sz="0" w:space="0" w:color="auto"/>
                  </w:divBdr>
                  <w:divsChild>
                    <w:div w:id="1365404510">
                      <w:marLeft w:val="0"/>
                      <w:marRight w:val="0"/>
                      <w:marTop w:val="0"/>
                      <w:marBottom w:val="0"/>
                      <w:divBdr>
                        <w:top w:val="none" w:sz="0" w:space="0" w:color="auto"/>
                        <w:left w:val="none" w:sz="0" w:space="0" w:color="auto"/>
                        <w:bottom w:val="none" w:sz="0" w:space="0" w:color="auto"/>
                        <w:right w:val="none" w:sz="0" w:space="0" w:color="auto"/>
                      </w:divBdr>
                    </w:div>
                  </w:divsChild>
                </w:div>
                <w:div w:id="297537637">
                  <w:marLeft w:val="0"/>
                  <w:marRight w:val="0"/>
                  <w:marTop w:val="0"/>
                  <w:marBottom w:val="0"/>
                  <w:divBdr>
                    <w:top w:val="none" w:sz="0" w:space="0" w:color="auto"/>
                    <w:left w:val="none" w:sz="0" w:space="0" w:color="auto"/>
                    <w:bottom w:val="none" w:sz="0" w:space="0" w:color="auto"/>
                    <w:right w:val="none" w:sz="0" w:space="0" w:color="auto"/>
                  </w:divBdr>
                  <w:divsChild>
                    <w:div w:id="1191146831">
                      <w:marLeft w:val="0"/>
                      <w:marRight w:val="0"/>
                      <w:marTop w:val="0"/>
                      <w:marBottom w:val="0"/>
                      <w:divBdr>
                        <w:top w:val="none" w:sz="0" w:space="0" w:color="auto"/>
                        <w:left w:val="none" w:sz="0" w:space="0" w:color="auto"/>
                        <w:bottom w:val="none" w:sz="0" w:space="0" w:color="auto"/>
                        <w:right w:val="none" w:sz="0" w:space="0" w:color="auto"/>
                      </w:divBdr>
                    </w:div>
                  </w:divsChild>
                </w:div>
                <w:div w:id="304702099">
                  <w:marLeft w:val="0"/>
                  <w:marRight w:val="0"/>
                  <w:marTop w:val="0"/>
                  <w:marBottom w:val="0"/>
                  <w:divBdr>
                    <w:top w:val="none" w:sz="0" w:space="0" w:color="auto"/>
                    <w:left w:val="none" w:sz="0" w:space="0" w:color="auto"/>
                    <w:bottom w:val="none" w:sz="0" w:space="0" w:color="auto"/>
                    <w:right w:val="none" w:sz="0" w:space="0" w:color="auto"/>
                  </w:divBdr>
                  <w:divsChild>
                    <w:div w:id="1341467088">
                      <w:marLeft w:val="0"/>
                      <w:marRight w:val="0"/>
                      <w:marTop w:val="0"/>
                      <w:marBottom w:val="0"/>
                      <w:divBdr>
                        <w:top w:val="none" w:sz="0" w:space="0" w:color="auto"/>
                        <w:left w:val="none" w:sz="0" w:space="0" w:color="auto"/>
                        <w:bottom w:val="none" w:sz="0" w:space="0" w:color="auto"/>
                        <w:right w:val="none" w:sz="0" w:space="0" w:color="auto"/>
                      </w:divBdr>
                    </w:div>
                  </w:divsChild>
                </w:div>
                <w:div w:id="314067230">
                  <w:marLeft w:val="0"/>
                  <w:marRight w:val="0"/>
                  <w:marTop w:val="0"/>
                  <w:marBottom w:val="0"/>
                  <w:divBdr>
                    <w:top w:val="none" w:sz="0" w:space="0" w:color="auto"/>
                    <w:left w:val="none" w:sz="0" w:space="0" w:color="auto"/>
                    <w:bottom w:val="none" w:sz="0" w:space="0" w:color="auto"/>
                    <w:right w:val="none" w:sz="0" w:space="0" w:color="auto"/>
                  </w:divBdr>
                  <w:divsChild>
                    <w:div w:id="1039666371">
                      <w:marLeft w:val="0"/>
                      <w:marRight w:val="0"/>
                      <w:marTop w:val="0"/>
                      <w:marBottom w:val="0"/>
                      <w:divBdr>
                        <w:top w:val="none" w:sz="0" w:space="0" w:color="auto"/>
                        <w:left w:val="none" w:sz="0" w:space="0" w:color="auto"/>
                        <w:bottom w:val="none" w:sz="0" w:space="0" w:color="auto"/>
                        <w:right w:val="none" w:sz="0" w:space="0" w:color="auto"/>
                      </w:divBdr>
                    </w:div>
                  </w:divsChild>
                </w:div>
                <w:div w:id="317222798">
                  <w:marLeft w:val="0"/>
                  <w:marRight w:val="0"/>
                  <w:marTop w:val="0"/>
                  <w:marBottom w:val="0"/>
                  <w:divBdr>
                    <w:top w:val="none" w:sz="0" w:space="0" w:color="auto"/>
                    <w:left w:val="none" w:sz="0" w:space="0" w:color="auto"/>
                    <w:bottom w:val="none" w:sz="0" w:space="0" w:color="auto"/>
                    <w:right w:val="none" w:sz="0" w:space="0" w:color="auto"/>
                  </w:divBdr>
                  <w:divsChild>
                    <w:div w:id="218244576">
                      <w:marLeft w:val="0"/>
                      <w:marRight w:val="0"/>
                      <w:marTop w:val="0"/>
                      <w:marBottom w:val="0"/>
                      <w:divBdr>
                        <w:top w:val="none" w:sz="0" w:space="0" w:color="auto"/>
                        <w:left w:val="none" w:sz="0" w:space="0" w:color="auto"/>
                        <w:bottom w:val="none" w:sz="0" w:space="0" w:color="auto"/>
                        <w:right w:val="none" w:sz="0" w:space="0" w:color="auto"/>
                      </w:divBdr>
                    </w:div>
                  </w:divsChild>
                </w:div>
                <w:div w:id="323164246">
                  <w:marLeft w:val="0"/>
                  <w:marRight w:val="0"/>
                  <w:marTop w:val="0"/>
                  <w:marBottom w:val="0"/>
                  <w:divBdr>
                    <w:top w:val="none" w:sz="0" w:space="0" w:color="auto"/>
                    <w:left w:val="none" w:sz="0" w:space="0" w:color="auto"/>
                    <w:bottom w:val="none" w:sz="0" w:space="0" w:color="auto"/>
                    <w:right w:val="none" w:sz="0" w:space="0" w:color="auto"/>
                  </w:divBdr>
                  <w:divsChild>
                    <w:div w:id="236136318">
                      <w:marLeft w:val="0"/>
                      <w:marRight w:val="0"/>
                      <w:marTop w:val="0"/>
                      <w:marBottom w:val="0"/>
                      <w:divBdr>
                        <w:top w:val="none" w:sz="0" w:space="0" w:color="auto"/>
                        <w:left w:val="none" w:sz="0" w:space="0" w:color="auto"/>
                        <w:bottom w:val="none" w:sz="0" w:space="0" w:color="auto"/>
                        <w:right w:val="none" w:sz="0" w:space="0" w:color="auto"/>
                      </w:divBdr>
                    </w:div>
                  </w:divsChild>
                </w:div>
                <w:div w:id="330720248">
                  <w:marLeft w:val="0"/>
                  <w:marRight w:val="0"/>
                  <w:marTop w:val="0"/>
                  <w:marBottom w:val="0"/>
                  <w:divBdr>
                    <w:top w:val="none" w:sz="0" w:space="0" w:color="auto"/>
                    <w:left w:val="none" w:sz="0" w:space="0" w:color="auto"/>
                    <w:bottom w:val="none" w:sz="0" w:space="0" w:color="auto"/>
                    <w:right w:val="none" w:sz="0" w:space="0" w:color="auto"/>
                  </w:divBdr>
                  <w:divsChild>
                    <w:div w:id="101806232">
                      <w:marLeft w:val="0"/>
                      <w:marRight w:val="0"/>
                      <w:marTop w:val="0"/>
                      <w:marBottom w:val="0"/>
                      <w:divBdr>
                        <w:top w:val="none" w:sz="0" w:space="0" w:color="auto"/>
                        <w:left w:val="none" w:sz="0" w:space="0" w:color="auto"/>
                        <w:bottom w:val="none" w:sz="0" w:space="0" w:color="auto"/>
                        <w:right w:val="none" w:sz="0" w:space="0" w:color="auto"/>
                      </w:divBdr>
                    </w:div>
                  </w:divsChild>
                </w:div>
                <w:div w:id="340740783">
                  <w:marLeft w:val="0"/>
                  <w:marRight w:val="0"/>
                  <w:marTop w:val="0"/>
                  <w:marBottom w:val="0"/>
                  <w:divBdr>
                    <w:top w:val="none" w:sz="0" w:space="0" w:color="auto"/>
                    <w:left w:val="none" w:sz="0" w:space="0" w:color="auto"/>
                    <w:bottom w:val="none" w:sz="0" w:space="0" w:color="auto"/>
                    <w:right w:val="none" w:sz="0" w:space="0" w:color="auto"/>
                  </w:divBdr>
                  <w:divsChild>
                    <w:div w:id="1821577524">
                      <w:marLeft w:val="0"/>
                      <w:marRight w:val="0"/>
                      <w:marTop w:val="0"/>
                      <w:marBottom w:val="0"/>
                      <w:divBdr>
                        <w:top w:val="none" w:sz="0" w:space="0" w:color="auto"/>
                        <w:left w:val="none" w:sz="0" w:space="0" w:color="auto"/>
                        <w:bottom w:val="none" w:sz="0" w:space="0" w:color="auto"/>
                        <w:right w:val="none" w:sz="0" w:space="0" w:color="auto"/>
                      </w:divBdr>
                    </w:div>
                  </w:divsChild>
                </w:div>
                <w:div w:id="348680894">
                  <w:marLeft w:val="0"/>
                  <w:marRight w:val="0"/>
                  <w:marTop w:val="0"/>
                  <w:marBottom w:val="0"/>
                  <w:divBdr>
                    <w:top w:val="none" w:sz="0" w:space="0" w:color="auto"/>
                    <w:left w:val="none" w:sz="0" w:space="0" w:color="auto"/>
                    <w:bottom w:val="none" w:sz="0" w:space="0" w:color="auto"/>
                    <w:right w:val="none" w:sz="0" w:space="0" w:color="auto"/>
                  </w:divBdr>
                  <w:divsChild>
                    <w:div w:id="620040824">
                      <w:marLeft w:val="0"/>
                      <w:marRight w:val="0"/>
                      <w:marTop w:val="0"/>
                      <w:marBottom w:val="0"/>
                      <w:divBdr>
                        <w:top w:val="none" w:sz="0" w:space="0" w:color="auto"/>
                        <w:left w:val="none" w:sz="0" w:space="0" w:color="auto"/>
                        <w:bottom w:val="none" w:sz="0" w:space="0" w:color="auto"/>
                        <w:right w:val="none" w:sz="0" w:space="0" w:color="auto"/>
                      </w:divBdr>
                    </w:div>
                  </w:divsChild>
                </w:div>
                <w:div w:id="350032399">
                  <w:marLeft w:val="0"/>
                  <w:marRight w:val="0"/>
                  <w:marTop w:val="0"/>
                  <w:marBottom w:val="0"/>
                  <w:divBdr>
                    <w:top w:val="none" w:sz="0" w:space="0" w:color="auto"/>
                    <w:left w:val="none" w:sz="0" w:space="0" w:color="auto"/>
                    <w:bottom w:val="none" w:sz="0" w:space="0" w:color="auto"/>
                    <w:right w:val="none" w:sz="0" w:space="0" w:color="auto"/>
                  </w:divBdr>
                  <w:divsChild>
                    <w:div w:id="1443384099">
                      <w:marLeft w:val="0"/>
                      <w:marRight w:val="0"/>
                      <w:marTop w:val="0"/>
                      <w:marBottom w:val="0"/>
                      <w:divBdr>
                        <w:top w:val="none" w:sz="0" w:space="0" w:color="auto"/>
                        <w:left w:val="none" w:sz="0" w:space="0" w:color="auto"/>
                        <w:bottom w:val="none" w:sz="0" w:space="0" w:color="auto"/>
                        <w:right w:val="none" w:sz="0" w:space="0" w:color="auto"/>
                      </w:divBdr>
                    </w:div>
                  </w:divsChild>
                </w:div>
                <w:div w:id="372657363">
                  <w:marLeft w:val="0"/>
                  <w:marRight w:val="0"/>
                  <w:marTop w:val="0"/>
                  <w:marBottom w:val="0"/>
                  <w:divBdr>
                    <w:top w:val="none" w:sz="0" w:space="0" w:color="auto"/>
                    <w:left w:val="none" w:sz="0" w:space="0" w:color="auto"/>
                    <w:bottom w:val="none" w:sz="0" w:space="0" w:color="auto"/>
                    <w:right w:val="none" w:sz="0" w:space="0" w:color="auto"/>
                  </w:divBdr>
                  <w:divsChild>
                    <w:div w:id="312637102">
                      <w:marLeft w:val="0"/>
                      <w:marRight w:val="0"/>
                      <w:marTop w:val="0"/>
                      <w:marBottom w:val="0"/>
                      <w:divBdr>
                        <w:top w:val="none" w:sz="0" w:space="0" w:color="auto"/>
                        <w:left w:val="none" w:sz="0" w:space="0" w:color="auto"/>
                        <w:bottom w:val="none" w:sz="0" w:space="0" w:color="auto"/>
                        <w:right w:val="none" w:sz="0" w:space="0" w:color="auto"/>
                      </w:divBdr>
                    </w:div>
                  </w:divsChild>
                </w:div>
                <w:div w:id="390468967">
                  <w:marLeft w:val="0"/>
                  <w:marRight w:val="0"/>
                  <w:marTop w:val="0"/>
                  <w:marBottom w:val="0"/>
                  <w:divBdr>
                    <w:top w:val="none" w:sz="0" w:space="0" w:color="auto"/>
                    <w:left w:val="none" w:sz="0" w:space="0" w:color="auto"/>
                    <w:bottom w:val="none" w:sz="0" w:space="0" w:color="auto"/>
                    <w:right w:val="none" w:sz="0" w:space="0" w:color="auto"/>
                  </w:divBdr>
                  <w:divsChild>
                    <w:div w:id="1018626679">
                      <w:marLeft w:val="0"/>
                      <w:marRight w:val="0"/>
                      <w:marTop w:val="0"/>
                      <w:marBottom w:val="0"/>
                      <w:divBdr>
                        <w:top w:val="none" w:sz="0" w:space="0" w:color="auto"/>
                        <w:left w:val="none" w:sz="0" w:space="0" w:color="auto"/>
                        <w:bottom w:val="none" w:sz="0" w:space="0" w:color="auto"/>
                        <w:right w:val="none" w:sz="0" w:space="0" w:color="auto"/>
                      </w:divBdr>
                    </w:div>
                  </w:divsChild>
                </w:div>
                <w:div w:id="393359674">
                  <w:marLeft w:val="0"/>
                  <w:marRight w:val="0"/>
                  <w:marTop w:val="0"/>
                  <w:marBottom w:val="0"/>
                  <w:divBdr>
                    <w:top w:val="none" w:sz="0" w:space="0" w:color="auto"/>
                    <w:left w:val="none" w:sz="0" w:space="0" w:color="auto"/>
                    <w:bottom w:val="none" w:sz="0" w:space="0" w:color="auto"/>
                    <w:right w:val="none" w:sz="0" w:space="0" w:color="auto"/>
                  </w:divBdr>
                  <w:divsChild>
                    <w:div w:id="2051295354">
                      <w:marLeft w:val="0"/>
                      <w:marRight w:val="0"/>
                      <w:marTop w:val="0"/>
                      <w:marBottom w:val="0"/>
                      <w:divBdr>
                        <w:top w:val="none" w:sz="0" w:space="0" w:color="auto"/>
                        <w:left w:val="none" w:sz="0" w:space="0" w:color="auto"/>
                        <w:bottom w:val="none" w:sz="0" w:space="0" w:color="auto"/>
                        <w:right w:val="none" w:sz="0" w:space="0" w:color="auto"/>
                      </w:divBdr>
                    </w:div>
                  </w:divsChild>
                </w:div>
                <w:div w:id="415828654">
                  <w:marLeft w:val="0"/>
                  <w:marRight w:val="0"/>
                  <w:marTop w:val="0"/>
                  <w:marBottom w:val="0"/>
                  <w:divBdr>
                    <w:top w:val="none" w:sz="0" w:space="0" w:color="auto"/>
                    <w:left w:val="none" w:sz="0" w:space="0" w:color="auto"/>
                    <w:bottom w:val="none" w:sz="0" w:space="0" w:color="auto"/>
                    <w:right w:val="none" w:sz="0" w:space="0" w:color="auto"/>
                  </w:divBdr>
                  <w:divsChild>
                    <w:div w:id="971405234">
                      <w:marLeft w:val="0"/>
                      <w:marRight w:val="0"/>
                      <w:marTop w:val="0"/>
                      <w:marBottom w:val="0"/>
                      <w:divBdr>
                        <w:top w:val="none" w:sz="0" w:space="0" w:color="auto"/>
                        <w:left w:val="none" w:sz="0" w:space="0" w:color="auto"/>
                        <w:bottom w:val="none" w:sz="0" w:space="0" w:color="auto"/>
                        <w:right w:val="none" w:sz="0" w:space="0" w:color="auto"/>
                      </w:divBdr>
                    </w:div>
                  </w:divsChild>
                </w:div>
                <w:div w:id="419449566">
                  <w:marLeft w:val="0"/>
                  <w:marRight w:val="0"/>
                  <w:marTop w:val="0"/>
                  <w:marBottom w:val="0"/>
                  <w:divBdr>
                    <w:top w:val="none" w:sz="0" w:space="0" w:color="auto"/>
                    <w:left w:val="none" w:sz="0" w:space="0" w:color="auto"/>
                    <w:bottom w:val="none" w:sz="0" w:space="0" w:color="auto"/>
                    <w:right w:val="none" w:sz="0" w:space="0" w:color="auto"/>
                  </w:divBdr>
                  <w:divsChild>
                    <w:div w:id="1107501789">
                      <w:marLeft w:val="0"/>
                      <w:marRight w:val="0"/>
                      <w:marTop w:val="0"/>
                      <w:marBottom w:val="0"/>
                      <w:divBdr>
                        <w:top w:val="none" w:sz="0" w:space="0" w:color="auto"/>
                        <w:left w:val="none" w:sz="0" w:space="0" w:color="auto"/>
                        <w:bottom w:val="none" w:sz="0" w:space="0" w:color="auto"/>
                        <w:right w:val="none" w:sz="0" w:space="0" w:color="auto"/>
                      </w:divBdr>
                    </w:div>
                  </w:divsChild>
                </w:div>
                <w:div w:id="420182428">
                  <w:marLeft w:val="0"/>
                  <w:marRight w:val="0"/>
                  <w:marTop w:val="0"/>
                  <w:marBottom w:val="0"/>
                  <w:divBdr>
                    <w:top w:val="none" w:sz="0" w:space="0" w:color="auto"/>
                    <w:left w:val="none" w:sz="0" w:space="0" w:color="auto"/>
                    <w:bottom w:val="none" w:sz="0" w:space="0" w:color="auto"/>
                    <w:right w:val="none" w:sz="0" w:space="0" w:color="auto"/>
                  </w:divBdr>
                  <w:divsChild>
                    <w:div w:id="855339537">
                      <w:marLeft w:val="0"/>
                      <w:marRight w:val="0"/>
                      <w:marTop w:val="0"/>
                      <w:marBottom w:val="0"/>
                      <w:divBdr>
                        <w:top w:val="none" w:sz="0" w:space="0" w:color="auto"/>
                        <w:left w:val="none" w:sz="0" w:space="0" w:color="auto"/>
                        <w:bottom w:val="none" w:sz="0" w:space="0" w:color="auto"/>
                        <w:right w:val="none" w:sz="0" w:space="0" w:color="auto"/>
                      </w:divBdr>
                    </w:div>
                  </w:divsChild>
                </w:div>
                <w:div w:id="436490824">
                  <w:marLeft w:val="0"/>
                  <w:marRight w:val="0"/>
                  <w:marTop w:val="0"/>
                  <w:marBottom w:val="0"/>
                  <w:divBdr>
                    <w:top w:val="none" w:sz="0" w:space="0" w:color="auto"/>
                    <w:left w:val="none" w:sz="0" w:space="0" w:color="auto"/>
                    <w:bottom w:val="none" w:sz="0" w:space="0" w:color="auto"/>
                    <w:right w:val="none" w:sz="0" w:space="0" w:color="auto"/>
                  </w:divBdr>
                  <w:divsChild>
                    <w:div w:id="1695300566">
                      <w:marLeft w:val="0"/>
                      <w:marRight w:val="0"/>
                      <w:marTop w:val="0"/>
                      <w:marBottom w:val="0"/>
                      <w:divBdr>
                        <w:top w:val="none" w:sz="0" w:space="0" w:color="auto"/>
                        <w:left w:val="none" w:sz="0" w:space="0" w:color="auto"/>
                        <w:bottom w:val="none" w:sz="0" w:space="0" w:color="auto"/>
                        <w:right w:val="none" w:sz="0" w:space="0" w:color="auto"/>
                      </w:divBdr>
                    </w:div>
                  </w:divsChild>
                </w:div>
                <w:div w:id="442265746">
                  <w:marLeft w:val="0"/>
                  <w:marRight w:val="0"/>
                  <w:marTop w:val="0"/>
                  <w:marBottom w:val="0"/>
                  <w:divBdr>
                    <w:top w:val="none" w:sz="0" w:space="0" w:color="auto"/>
                    <w:left w:val="none" w:sz="0" w:space="0" w:color="auto"/>
                    <w:bottom w:val="none" w:sz="0" w:space="0" w:color="auto"/>
                    <w:right w:val="none" w:sz="0" w:space="0" w:color="auto"/>
                  </w:divBdr>
                  <w:divsChild>
                    <w:div w:id="791242500">
                      <w:marLeft w:val="0"/>
                      <w:marRight w:val="0"/>
                      <w:marTop w:val="0"/>
                      <w:marBottom w:val="0"/>
                      <w:divBdr>
                        <w:top w:val="none" w:sz="0" w:space="0" w:color="auto"/>
                        <w:left w:val="none" w:sz="0" w:space="0" w:color="auto"/>
                        <w:bottom w:val="none" w:sz="0" w:space="0" w:color="auto"/>
                        <w:right w:val="none" w:sz="0" w:space="0" w:color="auto"/>
                      </w:divBdr>
                    </w:div>
                  </w:divsChild>
                </w:div>
                <w:div w:id="447891668">
                  <w:marLeft w:val="0"/>
                  <w:marRight w:val="0"/>
                  <w:marTop w:val="0"/>
                  <w:marBottom w:val="0"/>
                  <w:divBdr>
                    <w:top w:val="none" w:sz="0" w:space="0" w:color="auto"/>
                    <w:left w:val="none" w:sz="0" w:space="0" w:color="auto"/>
                    <w:bottom w:val="none" w:sz="0" w:space="0" w:color="auto"/>
                    <w:right w:val="none" w:sz="0" w:space="0" w:color="auto"/>
                  </w:divBdr>
                  <w:divsChild>
                    <w:div w:id="1268851114">
                      <w:marLeft w:val="0"/>
                      <w:marRight w:val="0"/>
                      <w:marTop w:val="0"/>
                      <w:marBottom w:val="0"/>
                      <w:divBdr>
                        <w:top w:val="none" w:sz="0" w:space="0" w:color="auto"/>
                        <w:left w:val="none" w:sz="0" w:space="0" w:color="auto"/>
                        <w:bottom w:val="none" w:sz="0" w:space="0" w:color="auto"/>
                        <w:right w:val="none" w:sz="0" w:space="0" w:color="auto"/>
                      </w:divBdr>
                    </w:div>
                  </w:divsChild>
                </w:div>
                <w:div w:id="491067289">
                  <w:marLeft w:val="0"/>
                  <w:marRight w:val="0"/>
                  <w:marTop w:val="0"/>
                  <w:marBottom w:val="0"/>
                  <w:divBdr>
                    <w:top w:val="none" w:sz="0" w:space="0" w:color="auto"/>
                    <w:left w:val="none" w:sz="0" w:space="0" w:color="auto"/>
                    <w:bottom w:val="none" w:sz="0" w:space="0" w:color="auto"/>
                    <w:right w:val="none" w:sz="0" w:space="0" w:color="auto"/>
                  </w:divBdr>
                  <w:divsChild>
                    <w:div w:id="788934827">
                      <w:marLeft w:val="0"/>
                      <w:marRight w:val="0"/>
                      <w:marTop w:val="0"/>
                      <w:marBottom w:val="0"/>
                      <w:divBdr>
                        <w:top w:val="none" w:sz="0" w:space="0" w:color="auto"/>
                        <w:left w:val="none" w:sz="0" w:space="0" w:color="auto"/>
                        <w:bottom w:val="none" w:sz="0" w:space="0" w:color="auto"/>
                        <w:right w:val="none" w:sz="0" w:space="0" w:color="auto"/>
                      </w:divBdr>
                    </w:div>
                  </w:divsChild>
                </w:div>
                <w:div w:id="492532000">
                  <w:marLeft w:val="0"/>
                  <w:marRight w:val="0"/>
                  <w:marTop w:val="0"/>
                  <w:marBottom w:val="0"/>
                  <w:divBdr>
                    <w:top w:val="none" w:sz="0" w:space="0" w:color="auto"/>
                    <w:left w:val="none" w:sz="0" w:space="0" w:color="auto"/>
                    <w:bottom w:val="none" w:sz="0" w:space="0" w:color="auto"/>
                    <w:right w:val="none" w:sz="0" w:space="0" w:color="auto"/>
                  </w:divBdr>
                  <w:divsChild>
                    <w:div w:id="88279248">
                      <w:marLeft w:val="0"/>
                      <w:marRight w:val="0"/>
                      <w:marTop w:val="0"/>
                      <w:marBottom w:val="0"/>
                      <w:divBdr>
                        <w:top w:val="none" w:sz="0" w:space="0" w:color="auto"/>
                        <w:left w:val="none" w:sz="0" w:space="0" w:color="auto"/>
                        <w:bottom w:val="none" w:sz="0" w:space="0" w:color="auto"/>
                        <w:right w:val="none" w:sz="0" w:space="0" w:color="auto"/>
                      </w:divBdr>
                    </w:div>
                  </w:divsChild>
                </w:div>
                <w:div w:id="497158930">
                  <w:marLeft w:val="0"/>
                  <w:marRight w:val="0"/>
                  <w:marTop w:val="0"/>
                  <w:marBottom w:val="0"/>
                  <w:divBdr>
                    <w:top w:val="none" w:sz="0" w:space="0" w:color="auto"/>
                    <w:left w:val="none" w:sz="0" w:space="0" w:color="auto"/>
                    <w:bottom w:val="none" w:sz="0" w:space="0" w:color="auto"/>
                    <w:right w:val="none" w:sz="0" w:space="0" w:color="auto"/>
                  </w:divBdr>
                  <w:divsChild>
                    <w:div w:id="1224681138">
                      <w:marLeft w:val="0"/>
                      <w:marRight w:val="0"/>
                      <w:marTop w:val="0"/>
                      <w:marBottom w:val="0"/>
                      <w:divBdr>
                        <w:top w:val="none" w:sz="0" w:space="0" w:color="auto"/>
                        <w:left w:val="none" w:sz="0" w:space="0" w:color="auto"/>
                        <w:bottom w:val="none" w:sz="0" w:space="0" w:color="auto"/>
                        <w:right w:val="none" w:sz="0" w:space="0" w:color="auto"/>
                      </w:divBdr>
                    </w:div>
                  </w:divsChild>
                </w:div>
                <w:div w:id="507408120">
                  <w:marLeft w:val="0"/>
                  <w:marRight w:val="0"/>
                  <w:marTop w:val="0"/>
                  <w:marBottom w:val="0"/>
                  <w:divBdr>
                    <w:top w:val="none" w:sz="0" w:space="0" w:color="auto"/>
                    <w:left w:val="none" w:sz="0" w:space="0" w:color="auto"/>
                    <w:bottom w:val="none" w:sz="0" w:space="0" w:color="auto"/>
                    <w:right w:val="none" w:sz="0" w:space="0" w:color="auto"/>
                  </w:divBdr>
                  <w:divsChild>
                    <w:div w:id="912273702">
                      <w:marLeft w:val="0"/>
                      <w:marRight w:val="0"/>
                      <w:marTop w:val="0"/>
                      <w:marBottom w:val="0"/>
                      <w:divBdr>
                        <w:top w:val="none" w:sz="0" w:space="0" w:color="auto"/>
                        <w:left w:val="none" w:sz="0" w:space="0" w:color="auto"/>
                        <w:bottom w:val="none" w:sz="0" w:space="0" w:color="auto"/>
                        <w:right w:val="none" w:sz="0" w:space="0" w:color="auto"/>
                      </w:divBdr>
                    </w:div>
                  </w:divsChild>
                </w:div>
                <w:div w:id="510527983">
                  <w:marLeft w:val="0"/>
                  <w:marRight w:val="0"/>
                  <w:marTop w:val="0"/>
                  <w:marBottom w:val="0"/>
                  <w:divBdr>
                    <w:top w:val="none" w:sz="0" w:space="0" w:color="auto"/>
                    <w:left w:val="none" w:sz="0" w:space="0" w:color="auto"/>
                    <w:bottom w:val="none" w:sz="0" w:space="0" w:color="auto"/>
                    <w:right w:val="none" w:sz="0" w:space="0" w:color="auto"/>
                  </w:divBdr>
                  <w:divsChild>
                    <w:div w:id="594094480">
                      <w:marLeft w:val="0"/>
                      <w:marRight w:val="0"/>
                      <w:marTop w:val="0"/>
                      <w:marBottom w:val="0"/>
                      <w:divBdr>
                        <w:top w:val="none" w:sz="0" w:space="0" w:color="auto"/>
                        <w:left w:val="none" w:sz="0" w:space="0" w:color="auto"/>
                        <w:bottom w:val="none" w:sz="0" w:space="0" w:color="auto"/>
                        <w:right w:val="none" w:sz="0" w:space="0" w:color="auto"/>
                      </w:divBdr>
                    </w:div>
                  </w:divsChild>
                </w:div>
                <w:div w:id="519854686">
                  <w:marLeft w:val="0"/>
                  <w:marRight w:val="0"/>
                  <w:marTop w:val="0"/>
                  <w:marBottom w:val="0"/>
                  <w:divBdr>
                    <w:top w:val="none" w:sz="0" w:space="0" w:color="auto"/>
                    <w:left w:val="none" w:sz="0" w:space="0" w:color="auto"/>
                    <w:bottom w:val="none" w:sz="0" w:space="0" w:color="auto"/>
                    <w:right w:val="none" w:sz="0" w:space="0" w:color="auto"/>
                  </w:divBdr>
                  <w:divsChild>
                    <w:div w:id="1378121003">
                      <w:marLeft w:val="0"/>
                      <w:marRight w:val="0"/>
                      <w:marTop w:val="0"/>
                      <w:marBottom w:val="0"/>
                      <w:divBdr>
                        <w:top w:val="none" w:sz="0" w:space="0" w:color="auto"/>
                        <w:left w:val="none" w:sz="0" w:space="0" w:color="auto"/>
                        <w:bottom w:val="none" w:sz="0" w:space="0" w:color="auto"/>
                        <w:right w:val="none" w:sz="0" w:space="0" w:color="auto"/>
                      </w:divBdr>
                    </w:div>
                  </w:divsChild>
                </w:div>
                <w:div w:id="526140600">
                  <w:marLeft w:val="0"/>
                  <w:marRight w:val="0"/>
                  <w:marTop w:val="0"/>
                  <w:marBottom w:val="0"/>
                  <w:divBdr>
                    <w:top w:val="none" w:sz="0" w:space="0" w:color="auto"/>
                    <w:left w:val="none" w:sz="0" w:space="0" w:color="auto"/>
                    <w:bottom w:val="none" w:sz="0" w:space="0" w:color="auto"/>
                    <w:right w:val="none" w:sz="0" w:space="0" w:color="auto"/>
                  </w:divBdr>
                  <w:divsChild>
                    <w:div w:id="513301364">
                      <w:marLeft w:val="0"/>
                      <w:marRight w:val="0"/>
                      <w:marTop w:val="0"/>
                      <w:marBottom w:val="0"/>
                      <w:divBdr>
                        <w:top w:val="none" w:sz="0" w:space="0" w:color="auto"/>
                        <w:left w:val="none" w:sz="0" w:space="0" w:color="auto"/>
                        <w:bottom w:val="none" w:sz="0" w:space="0" w:color="auto"/>
                        <w:right w:val="none" w:sz="0" w:space="0" w:color="auto"/>
                      </w:divBdr>
                    </w:div>
                  </w:divsChild>
                </w:div>
                <w:div w:id="539048209">
                  <w:marLeft w:val="0"/>
                  <w:marRight w:val="0"/>
                  <w:marTop w:val="0"/>
                  <w:marBottom w:val="0"/>
                  <w:divBdr>
                    <w:top w:val="none" w:sz="0" w:space="0" w:color="auto"/>
                    <w:left w:val="none" w:sz="0" w:space="0" w:color="auto"/>
                    <w:bottom w:val="none" w:sz="0" w:space="0" w:color="auto"/>
                    <w:right w:val="none" w:sz="0" w:space="0" w:color="auto"/>
                  </w:divBdr>
                  <w:divsChild>
                    <w:div w:id="1140803670">
                      <w:marLeft w:val="0"/>
                      <w:marRight w:val="0"/>
                      <w:marTop w:val="0"/>
                      <w:marBottom w:val="0"/>
                      <w:divBdr>
                        <w:top w:val="none" w:sz="0" w:space="0" w:color="auto"/>
                        <w:left w:val="none" w:sz="0" w:space="0" w:color="auto"/>
                        <w:bottom w:val="none" w:sz="0" w:space="0" w:color="auto"/>
                        <w:right w:val="none" w:sz="0" w:space="0" w:color="auto"/>
                      </w:divBdr>
                    </w:div>
                  </w:divsChild>
                </w:div>
                <w:div w:id="540627113">
                  <w:marLeft w:val="0"/>
                  <w:marRight w:val="0"/>
                  <w:marTop w:val="0"/>
                  <w:marBottom w:val="0"/>
                  <w:divBdr>
                    <w:top w:val="none" w:sz="0" w:space="0" w:color="auto"/>
                    <w:left w:val="none" w:sz="0" w:space="0" w:color="auto"/>
                    <w:bottom w:val="none" w:sz="0" w:space="0" w:color="auto"/>
                    <w:right w:val="none" w:sz="0" w:space="0" w:color="auto"/>
                  </w:divBdr>
                  <w:divsChild>
                    <w:div w:id="269747394">
                      <w:marLeft w:val="0"/>
                      <w:marRight w:val="0"/>
                      <w:marTop w:val="0"/>
                      <w:marBottom w:val="0"/>
                      <w:divBdr>
                        <w:top w:val="none" w:sz="0" w:space="0" w:color="auto"/>
                        <w:left w:val="none" w:sz="0" w:space="0" w:color="auto"/>
                        <w:bottom w:val="none" w:sz="0" w:space="0" w:color="auto"/>
                        <w:right w:val="none" w:sz="0" w:space="0" w:color="auto"/>
                      </w:divBdr>
                    </w:div>
                  </w:divsChild>
                </w:div>
                <w:div w:id="545719986">
                  <w:marLeft w:val="0"/>
                  <w:marRight w:val="0"/>
                  <w:marTop w:val="0"/>
                  <w:marBottom w:val="0"/>
                  <w:divBdr>
                    <w:top w:val="none" w:sz="0" w:space="0" w:color="auto"/>
                    <w:left w:val="none" w:sz="0" w:space="0" w:color="auto"/>
                    <w:bottom w:val="none" w:sz="0" w:space="0" w:color="auto"/>
                    <w:right w:val="none" w:sz="0" w:space="0" w:color="auto"/>
                  </w:divBdr>
                  <w:divsChild>
                    <w:div w:id="1916357308">
                      <w:marLeft w:val="0"/>
                      <w:marRight w:val="0"/>
                      <w:marTop w:val="0"/>
                      <w:marBottom w:val="0"/>
                      <w:divBdr>
                        <w:top w:val="none" w:sz="0" w:space="0" w:color="auto"/>
                        <w:left w:val="none" w:sz="0" w:space="0" w:color="auto"/>
                        <w:bottom w:val="none" w:sz="0" w:space="0" w:color="auto"/>
                        <w:right w:val="none" w:sz="0" w:space="0" w:color="auto"/>
                      </w:divBdr>
                    </w:div>
                  </w:divsChild>
                </w:div>
                <w:div w:id="552236813">
                  <w:marLeft w:val="0"/>
                  <w:marRight w:val="0"/>
                  <w:marTop w:val="0"/>
                  <w:marBottom w:val="0"/>
                  <w:divBdr>
                    <w:top w:val="none" w:sz="0" w:space="0" w:color="auto"/>
                    <w:left w:val="none" w:sz="0" w:space="0" w:color="auto"/>
                    <w:bottom w:val="none" w:sz="0" w:space="0" w:color="auto"/>
                    <w:right w:val="none" w:sz="0" w:space="0" w:color="auto"/>
                  </w:divBdr>
                  <w:divsChild>
                    <w:div w:id="261112981">
                      <w:marLeft w:val="0"/>
                      <w:marRight w:val="0"/>
                      <w:marTop w:val="0"/>
                      <w:marBottom w:val="0"/>
                      <w:divBdr>
                        <w:top w:val="none" w:sz="0" w:space="0" w:color="auto"/>
                        <w:left w:val="none" w:sz="0" w:space="0" w:color="auto"/>
                        <w:bottom w:val="none" w:sz="0" w:space="0" w:color="auto"/>
                        <w:right w:val="none" w:sz="0" w:space="0" w:color="auto"/>
                      </w:divBdr>
                    </w:div>
                  </w:divsChild>
                </w:div>
                <w:div w:id="607545715">
                  <w:marLeft w:val="0"/>
                  <w:marRight w:val="0"/>
                  <w:marTop w:val="0"/>
                  <w:marBottom w:val="0"/>
                  <w:divBdr>
                    <w:top w:val="none" w:sz="0" w:space="0" w:color="auto"/>
                    <w:left w:val="none" w:sz="0" w:space="0" w:color="auto"/>
                    <w:bottom w:val="none" w:sz="0" w:space="0" w:color="auto"/>
                    <w:right w:val="none" w:sz="0" w:space="0" w:color="auto"/>
                  </w:divBdr>
                  <w:divsChild>
                    <w:div w:id="1412501856">
                      <w:marLeft w:val="0"/>
                      <w:marRight w:val="0"/>
                      <w:marTop w:val="0"/>
                      <w:marBottom w:val="0"/>
                      <w:divBdr>
                        <w:top w:val="none" w:sz="0" w:space="0" w:color="auto"/>
                        <w:left w:val="none" w:sz="0" w:space="0" w:color="auto"/>
                        <w:bottom w:val="none" w:sz="0" w:space="0" w:color="auto"/>
                        <w:right w:val="none" w:sz="0" w:space="0" w:color="auto"/>
                      </w:divBdr>
                    </w:div>
                  </w:divsChild>
                </w:div>
                <w:div w:id="607934008">
                  <w:marLeft w:val="0"/>
                  <w:marRight w:val="0"/>
                  <w:marTop w:val="0"/>
                  <w:marBottom w:val="0"/>
                  <w:divBdr>
                    <w:top w:val="none" w:sz="0" w:space="0" w:color="auto"/>
                    <w:left w:val="none" w:sz="0" w:space="0" w:color="auto"/>
                    <w:bottom w:val="none" w:sz="0" w:space="0" w:color="auto"/>
                    <w:right w:val="none" w:sz="0" w:space="0" w:color="auto"/>
                  </w:divBdr>
                  <w:divsChild>
                    <w:div w:id="285745699">
                      <w:marLeft w:val="0"/>
                      <w:marRight w:val="0"/>
                      <w:marTop w:val="0"/>
                      <w:marBottom w:val="0"/>
                      <w:divBdr>
                        <w:top w:val="none" w:sz="0" w:space="0" w:color="auto"/>
                        <w:left w:val="none" w:sz="0" w:space="0" w:color="auto"/>
                        <w:bottom w:val="none" w:sz="0" w:space="0" w:color="auto"/>
                        <w:right w:val="none" w:sz="0" w:space="0" w:color="auto"/>
                      </w:divBdr>
                    </w:div>
                  </w:divsChild>
                </w:div>
                <w:div w:id="608701811">
                  <w:marLeft w:val="0"/>
                  <w:marRight w:val="0"/>
                  <w:marTop w:val="0"/>
                  <w:marBottom w:val="0"/>
                  <w:divBdr>
                    <w:top w:val="none" w:sz="0" w:space="0" w:color="auto"/>
                    <w:left w:val="none" w:sz="0" w:space="0" w:color="auto"/>
                    <w:bottom w:val="none" w:sz="0" w:space="0" w:color="auto"/>
                    <w:right w:val="none" w:sz="0" w:space="0" w:color="auto"/>
                  </w:divBdr>
                  <w:divsChild>
                    <w:div w:id="1488932176">
                      <w:marLeft w:val="0"/>
                      <w:marRight w:val="0"/>
                      <w:marTop w:val="0"/>
                      <w:marBottom w:val="0"/>
                      <w:divBdr>
                        <w:top w:val="none" w:sz="0" w:space="0" w:color="auto"/>
                        <w:left w:val="none" w:sz="0" w:space="0" w:color="auto"/>
                        <w:bottom w:val="none" w:sz="0" w:space="0" w:color="auto"/>
                        <w:right w:val="none" w:sz="0" w:space="0" w:color="auto"/>
                      </w:divBdr>
                    </w:div>
                  </w:divsChild>
                </w:div>
                <w:div w:id="613370007">
                  <w:marLeft w:val="0"/>
                  <w:marRight w:val="0"/>
                  <w:marTop w:val="0"/>
                  <w:marBottom w:val="0"/>
                  <w:divBdr>
                    <w:top w:val="none" w:sz="0" w:space="0" w:color="auto"/>
                    <w:left w:val="none" w:sz="0" w:space="0" w:color="auto"/>
                    <w:bottom w:val="none" w:sz="0" w:space="0" w:color="auto"/>
                    <w:right w:val="none" w:sz="0" w:space="0" w:color="auto"/>
                  </w:divBdr>
                  <w:divsChild>
                    <w:div w:id="1859927999">
                      <w:marLeft w:val="0"/>
                      <w:marRight w:val="0"/>
                      <w:marTop w:val="0"/>
                      <w:marBottom w:val="0"/>
                      <w:divBdr>
                        <w:top w:val="none" w:sz="0" w:space="0" w:color="auto"/>
                        <w:left w:val="none" w:sz="0" w:space="0" w:color="auto"/>
                        <w:bottom w:val="none" w:sz="0" w:space="0" w:color="auto"/>
                        <w:right w:val="none" w:sz="0" w:space="0" w:color="auto"/>
                      </w:divBdr>
                    </w:div>
                  </w:divsChild>
                </w:div>
                <w:div w:id="618534126">
                  <w:marLeft w:val="0"/>
                  <w:marRight w:val="0"/>
                  <w:marTop w:val="0"/>
                  <w:marBottom w:val="0"/>
                  <w:divBdr>
                    <w:top w:val="none" w:sz="0" w:space="0" w:color="auto"/>
                    <w:left w:val="none" w:sz="0" w:space="0" w:color="auto"/>
                    <w:bottom w:val="none" w:sz="0" w:space="0" w:color="auto"/>
                    <w:right w:val="none" w:sz="0" w:space="0" w:color="auto"/>
                  </w:divBdr>
                  <w:divsChild>
                    <w:div w:id="1111513555">
                      <w:marLeft w:val="0"/>
                      <w:marRight w:val="0"/>
                      <w:marTop w:val="0"/>
                      <w:marBottom w:val="0"/>
                      <w:divBdr>
                        <w:top w:val="none" w:sz="0" w:space="0" w:color="auto"/>
                        <w:left w:val="none" w:sz="0" w:space="0" w:color="auto"/>
                        <w:bottom w:val="none" w:sz="0" w:space="0" w:color="auto"/>
                        <w:right w:val="none" w:sz="0" w:space="0" w:color="auto"/>
                      </w:divBdr>
                    </w:div>
                  </w:divsChild>
                </w:div>
                <w:div w:id="628897245">
                  <w:marLeft w:val="0"/>
                  <w:marRight w:val="0"/>
                  <w:marTop w:val="0"/>
                  <w:marBottom w:val="0"/>
                  <w:divBdr>
                    <w:top w:val="none" w:sz="0" w:space="0" w:color="auto"/>
                    <w:left w:val="none" w:sz="0" w:space="0" w:color="auto"/>
                    <w:bottom w:val="none" w:sz="0" w:space="0" w:color="auto"/>
                    <w:right w:val="none" w:sz="0" w:space="0" w:color="auto"/>
                  </w:divBdr>
                  <w:divsChild>
                    <w:div w:id="1264806123">
                      <w:marLeft w:val="0"/>
                      <w:marRight w:val="0"/>
                      <w:marTop w:val="0"/>
                      <w:marBottom w:val="0"/>
                      <w:divBdr>
                        <w:top w:val="none" w:sz="0" w:space="0" w:color="auto"/>
                        <w:left w:val="none" w:sz="0" w:space="0" w:color="auto"/>
                        <w:bottom w:val="none" w:sz="0" w:space="0" w:color="auto"/>
                        <w:right w:val="none" w:sz="0" w:space="0" w:color="auto"/>
                      </w:divBdr>
                    </w:div>
                  </w:divsChild>
                </w:div>
                <w:div w:id="634263273">
                  <w:marLeft w:val="0"/>
                  <w:marRight w:val="0"/>
                  <w:marTop w:val="0"/>
                  <w:marBottom w:val="0"/>
                  <w:divBdr>
                    <w:top w:val="none" w:sz="0" w:space="0" w:color="auto"/>
                    <w:left w:val="none" w:sz="0" w:space="0" w:color="auto"/>
                    <w:bottom w:val="none" w:sz="0" w:space="0" w:color="auto"/>
                    <w:right w:val="none" w:sz="0" w:space="0" w:color="auto"/>
                  </w:divBdr>
                  <w:divsChild>
                    <w:div w:id="1751385556">
                      <w:marLeft w:val="0"/>
                      <w:marRight w:val="0"/>
                      <w:marTop w:val="0"/>
                      <w:marBottom w:val="0"/>
                      <w:divBdr>
                        <w:top w:val="none" w:sz="0" w:space="0" w:color="auto"/>
                        <w:left w:val="none" w:sz="0" w:space="0" w:color="auto"/>
                        <w:bottom w:val="none" w:sz="0" w:space="0" w:color="auto"/>
                        <w:right w:val="none" w:sz="0" w:space="0" w:color="auto"/>
                      </w:divBdr>
                    </w:div>
                  </w:divsChild>
                </w:div>
                <w:div w:id="679281137">
                  <w:marLeft w:val="0"/>
                  <w:marRight w:val="0"/>
                  <w:marTop w:val="0"/>
                  <w:marBottom w:val="0"/>
                  <w:divBdr>
                    <w:top w:val="none" w:sz="0" w:space="0" w:color="auto"/>
                    <w:left w:val="none" w:sz="0" w:space="0" w:color="auto"/>
                    <w:bottom w:val="none" w:sz="0" w:space="0" w:color="auto"/>
                    <w:right w:val="none" w:sz="0" w:space="0" w:color="auto"/>
                  </w:divBdr>
                  <w:divsChild>
                    <w:div w:id="905918305">
                      <w:marLeft w:val="0"/>
                      <w:marRight w:val="0"/>
                      <w:marTop w:val="0"/>
                      <w:marBottom w:val="0"/>
                      <w:divBdr>
                        <w:top w:val="none" w:sz="0" w:space="0" w:color="auto"/>
                        <w:left w:val="none" w:sz="0" w:space="0" w:color="auto"/>
                        <w:bottom w:val="none" w:sz="0" w:space="0" w:color="auto"/>
                        <w:right w:val="none" w:sz="0" w:space="0" w:color="auto"/>
                      </w:divBdr>
                    </w:div>
                  </w:divsChild>
                </w:div>
                <w:div w:id="682782184">
                  <w:marLeft w:val="0"/>
                  <w:marRight w:val="0"/>
                  <w:marTop w:val="0"/>
                  <w:marBottom w:val="0"/>
                  <w:divBdr>
                    <w:top w:val="none" w:sz="0" w:space="0" w:color="auto"/>
                    <w:left w:val="none" w:sz="0" w:space="0" w:color="auto"/>
                    <w:bottom w:val="none" w:sz="0" w:space="0" w:color="auto"/>
                    <w:right w:val="none" w:sz="0" w:space="0" w:color="auto"/>
                  </w:divBdr>
                  <w:divsChild>
                    <w:div w:id="318775039">
                      <w:marLeft w:val="0"/>
                      <w:marRight w:val="0"/>
                      <w:marTop w:val="0"/>
                      <w:marBottom w:val="0"/>
                      <w:divBdr>
                        <w:top w:val="none" w:sz="0" w:space="0" w:color="auto"/>
                        <w:left w:val="none" w:sz="0" w:space="0" w:color="auto"/>
                        <w:bottom w:val="none" w:sz="0" w:space="0" w:color="auto"/>
                        <w:right w:val="none" w:sz="0" w:space="0" w:color="auto"/>
                      </w:divBdr>
                    </w:div>
                  </w:divsChild>
                </w:div>
                <w:div w:id="688920321">
                  <w:marLeft w:val="0"/>
                  <w:marRight w:val="0"/>
                  <w:marTop w:val="0"/>
                  <w:marBottom w:val="0"/>
                  <w:divBdr>
                    <w:top w:val="none" w:sz="0" w:space="0" w:color="auto"/>
                    <w:left w:val="none" w:sz="0" w:space="0" w:color="auto"/>
                    <w:bottom w:val="none" w:sz="0" w:space="0" w:color="auto"/>
                    <w:right w:val="none" w:sz="0" w:space="0" w:color="auto"/>
                  </w:divBdr>
                  <w:divsChild>
                    <w:div w:id="1364750145">
                      <w:marLeft w:val="0"/>
                      <w:marRight w:val="0"/>
                      <w:marTop w:val="0"/>
                      <w:marBottom w:val="0"/>
                      <w:divBdr>
                        <w:top w:val="none" w:sz="0" w:space="0" w:color="auto"/>
                        <w:left w:val="none" w:sz="0" w:space="0" w:color="auto"/>
                        <w:bottom w:val="none" w:sz="0" w:space="0" w:color="auto"/>
                        <w:right w:val="none" w:sz="0" w:space="0" w:color="auto"/>
                      </w:divBdr>
                    </w:div>
                  </w:divsChild>
                </w:div>
                <w:div w:id="717246356">
                  <w:marLeft w:val="0"/>
                  <w:marRight w:val="0"/>
                  <w:marTop w:val="0"/>
                  <w:marBottom w:val="0"/>
                  <w:divBdr>
                    <w:top w:val="none" w:sz="0" w:space="0" w:color="auto"/>
                    <w:left w:val="none" w:sz="0" w:space="0" w:color="auto"/>
                    <w:bottom w:val="none" w:sz="0" w:space="0" w:color="auto"/>
                    <w:right w:val="none" w:sz="0" w:space="0" w:color="auto"/>
                  </w:divBdr>
                  <w:divsChild>
                    <w:div w:id="1555460028">
                      <w:marLeft w:val="0"/>
                      <w:marRight w:val="0"/>
                      <w:marTop w:val="0"/>
                      <w:marBottom w:val="0"/>
                      <w:divBdr>
                        <w:top w:val="none" w:sz="0" w:space="0" w:color="auto"/>
                        <w:left w:val="none" w:sz="0" w:space="0" w:color="auto"/>
                        <w:bottom w:val="none" w:sz="0" w:space="0" w:color="auto"/>
                        <w:right w:val="none" w:sz="0" w:space="0" w:color="auto"/>
                      </w:divBdr>
                    </w:div>
                  </w:divsChild>
                </w:div>
                <w:div w:id="741492209">
                  <w:marLeft w:val="0"/>
                  <w:marRight w:val="0"/>
                  <w:marTop w:val="0"/>
                  <w:marBottom w:val="0"/>
                  <w:divBdr>
                    <w:top w:val="none" w:sz="0" w:space="0" w:color="auto"/>
                    <w:left w:val="none" w:sz="0" w:space="0" w:color="auto"/>
                    <w:bottom w:val="none" w:sz="0" w:space="0" w:color="auto"/>
                    <w:right w:val="none" w:sz="0" w:space="0" w:color="auto"/>
                  </w:divBdr>
                  <w:divsChild>
                    <w:div w:id="363099068">
                      <w:marLeft w:val="0"/>
                      <w:marRight w:val="0"/>
                      <w:marTop w:val="0"/>
                      <w:marBottom w:val="0"/>
                      <w:divBdr>
                        <w:top w:val="none" w:sz="0" w:space="0" w:color="auto"/>
                        <w:left w:val="none" w:sz="0" w:space="0" w:color="auto"/>
                        <w:bottom w:val="none" w:sz="0" w:space="0" w:color="auto"/>
                        <w:right w:val="none" w:sz="0" w:space="0" w:color="auto"/>
                      </w:divBdr>
                    </w:div>
                  </w:divsChild>
                </w:div>
                <w:div w:id="742216113">
                  <w:marLeft w:val="0"/>
                  <w:marRight w:val="0"/>
                  <w:marTop w:val="0"/>
                  <w:marBottom w:val="0"/>
                  <w:divBdr>
                    <w:top w:val="none" w:sz="0" w:space="0" w:color="auto"/>
                    <w:left w:val="none" w:sz="0" w:space="0" w:color="auto"/>
                    <w:bottom w:val="none" w:sz="0" w:space="0" w:color="auto"/>
                    <w:right w:val="none" w:sz="0" w:space="0" w:color="auto"/>
                  </w:divBdr>
                  <w:divsChild>
                    <w:div w:id="256906116">
                      <w:marLeft w:val="0"/>
                      <w:marRight w:val="0"/>
                      <w:marTop w:val="0"/>
                      <w:marBottom w:val="0"/>
                      <w:divBdr>
                        <w:top w:val="none" w:sz="0" w:space="0" w:color="auto"/>
                        <w:left w:val="none" w:sz="0" w:space="0" w:color="auto"/>
                        <w:bottom w:val="none" w:sz="0" w:space="0" w:color="auto"/>
                        <w:right w:val="none" w:sz="0" w:space="0" w:color="auto"/>
                      </w:divBdr>
                    </w:div>
                  </w:divsChild>
                </w:div>
                <w:div w:id="743064018">
                  <w:marLeft w:val="0"/>
                  <w:marRight w:val="0"/>
                  <w:marTop w:val="0"/>
                  <w:marBottom w:val="0"/>
                  <w:divBdr>
                    <w:top w:val="none" w:sz="0" w:space="0" w:color="auto"/>
                    <w:left w:val="none" w:sz="0" w:space="0" w:color="auto"/>
                    <w:bottom w:val="none" w:sz="0" w:space="0" w:color="auto"/>
                    <w:right w:val="none" w:sz="0" w:space="0" w:color="auto"/>
                  </w:divBdr>
                  <w:divsChild>
                    <w:div w:id="1493250930">
                      <w:marLeft w:val="0"/>
                      <w:marRight w:val="0"/>
                      <w:marTop w:val="0"/>
                      <w:marBottom w:val="0"/>
                      <w:divBdr>
                        <w:top w:val="none" w:sz="0" w:space="0" w:color="auto"/>
                        <w:left w:val="none" w:sz="0" w:space="0" w:color="auto"/>
                        <w:bottom w:val="none" w:sz="0" w:space="0" w:color="auto"/>
                        <w:right w:val="none" w:sz="0" w:space="0" w:color="auto"/>
                      </w:divBdr>
                    </w:div>
                  </w:divsChild>
                </w:div>
                <w:div w:id="744568007">
                  <w:marLeft w:val="0"/>
                  <w:marRight w:val="0"/>
                  <w:marTop w:val="0"/>
                  <w:marBottom w:val="0"/>
                  <w:divBdr>
                    <w:top w:val="none" w:sz="0" w:space="0" w:color="auto"/>
                    <w:left w:val="none" w:sz="0" w:space="0" w:color="auto"/>
                    <w:bottom w:val="none" w:sz="0" w:space="0" w:color="auto"/>
                    <w:right w:val="none" w:sz="0" w:space="0" w:color="auto"/>
                  </w:divBdr>
                  <w:divsChild>
                    <w:div w:id="490367561">
                      <w:marLeft w:val="0"/>
                      <w:marRight w:val="0"/>
                      <w:marTop w:val="0"/>
                      <w:marBottom w:val="0"/>
                      <w:divBdr>
                        <w:top w:val="none" w:sz="0" w:space="0" w:color="auto"/>
                        <w:left w:val="none" w:sz="0" w:space="0" w:color="auto"/>
                        <w:bottom w:val="none" w:sz="0" w:space="0" w:color="auto"/>
                        <w:right w:val="none" w:sz="0" w:space="0" w:color="auto"/>
                      </w:divBdr>
                    </w:div>
                  </w:divsChild>
                </w:div>
                <w:div w:id="754320782">
                  <w:marLeft w:val="0"/>
                  <w:marRight w:val="0"/>
                  <w:marTop w:val="0"/>
                  <w:marBottom w:val="0"/>
                  <w:divBdr>
                    <w:top w:val="none" w:sz="0" w:space="0" w:color="auto"/>
                    <w:left w:val="none" w:sz="0" w:space="0" w:color="auto"/>
                    <w:bottom w:val="none" w:sz="0" w:space="0" w:color="auto"/>
                    <w:right w:val="none" w:sz="0" w:space="0" w:color="auto"/>
                  </w:divBdr>
                  <w:divsChild>
                    <w:div w:id="2140609639">
                      <w:marLeft w:val="0"/>
                      <w:marRight w:val="0"/>
                      <w:marTop w:val="0"/>
                      <w:marBottom w:val="0"/>
                      <w:divBdr>
                        <w:top w:val="none" w:sz="0" w:space="0" w:color="auto"/>
                        <w:left w:val="none" w:sz="0" w:space="0" w:color="auto"/>
                        <w:bottom w:val="none" w:sz="0" w:space="0" w:color="auto"/>
                        <w:right w:val="none" w:sz="0" w:space="0" w:color="auto"/>
                      </w:divBdr>
                    </w:div>
                  </w:divsChild>
                </w:div>
                <w:div w:id="766385086">
                  <w:marLeft w:val="0"/>
                  <w:marRight w:val="0"/>
                  <w:marTop w:val="0"/>
                  <w:marBottom w:val="0"/>
                  <w:divBdr>
                    <w:top w:val="none" w:sz="0" w:space="0" w:color="auto"/>
                    <w:left w:val="none" w:sz="0" w:space="0" w:color="auto"/>
                    <w:bottom w:val="none" w:sz="0" w:space="0" w:color="auto"/>
                    <w:right w:val="none" w:sz="0" w:space="0" w:color="auto"/>
                  </w:divBdr>
                  <w:divsChild>
                    <w:div w:id="1040397744">
                      <w:marLeft w:val="0"/>
                      <w:marRight w:val="0"/>
                      <w:marTop w:val="0"/>
                      <w:marBottom w:val="0"/>
                      <w:divBdr>
                        <w:top w:val="none" w:sz="0" w:space="0" w:color="auto"/>
                        <w:left w:val="none" w:sz="0" w:space="0" w:color="auto"/>
                        <w:bottom w:val="none" w:sz="0" w:space="0" w:color="auto"/>
                        <w:right w:val="none" w:sz="0" w:space="0" w:color="auto"/>
                      </w:divBdr>
                    </w:div>
                  </w:divsChild>
                </w:div>
                <w:div w:id="782262105">
                  <w:marLeft w:val="0"/>
                  <w:marRight w:val="0"/>
                  <w:marTop w:val="0"/>
                  <w:marBottom w:val="0"/>
                  <w:divBdr>
                    <w:top w:val="none" w:sz="0" w:space="0" w:color="auto"/>
                    <w:left w:val="none" w:sz="0" w:space="0" w:color="auto"/>
                    <w:bottom w:val="none" w:sz="0" w:space="0" w:color="auto"/>
                    <w:right w:val="none" w:sz="0" w:space="0" w:color="auto"/>
                  </w:divBdr>
                  <w:divsChild>
                    <w:div w:id="464979212">
                      <w:marLeft w:val="0"/>
                      <w:marRight w:val="0"/>
                      <w:marTop w:val="0"/>
                      <w:marBottom w:val="0"/>
                      <w:divBdr>
                        <w:top w:val="none" w:sz="0" w:space="0" w:color="auto"/>
                        <w:left w:val="none" w:sz="0" w:space="0" w:color="auto"/>
                        <w:bottom w:val="none" w:sz="0" w:space="0" w:color="auto"/>
                        <w:right w:val="none" w:sz="0" w:space="0" w:color="auto"/>
                      </w:divBdr>
                    </w:div>
                  </w:divsChild>
                </w:div>
                <w:div w:id="782774843">
                  <w:marLeft w:val="0"/>
                  <w:marRight w:val="0"/>
                  <w:marTop w:val="0"/>
                  <w:marBottom w:val="0"/>
                  <w:divBdr>
                    <w:top w:val="none" w:sz="0" w:space="0" w:color="auto"/>
                    <w:left w:val="none" w:sz="0" w:space="0" w:color="auto"/>
                    <w:bottom w:val="none" w:sz="0" w:space="0" w:color="auto"/>
                    <w:right w:val="none" w:sz="0" w:space="0" w:color="auto"/>
                  </w:divBdr>
                  <w:divsChild>
                    <w:div w:id="281544212">
                      <w:marLeft w:val="0"/>
                      <w:marRight w:val="0"/>
                      <w:marTop w:val="0"/>
                      <w:marBottom w:val="0"/>
                      <w:divBdr>
                        <w:top w:val="none" w:sz="0" w:space="0" w:color="auto"/>
                        <w:left w:val="none" w:sz="0" w:space="0" w:color="auto"/>
                        <w:bottom w:val="none" w:sz="0" w:space="0" w:color="auto"/>
                        <w:right w:val="none" w:sz="0" w:space="0" w:color="auto"/>
                      </w:divBdr>
                    </w:div>
                  </w:divsChild>
                </w:div>
                <w:div w:id="802816205">
                  <w:marLeft w:val="0"/>
                  <w:marRight w:val="0"/>
                  <w:marTop w:val="0"/>
                  <w:marBottom w:val="0"/>
                  <w:divBdr>
                    <w:top w:val="none" w:sz="0" w:space="0" w:color="auto"/>
                    <w:left w:val="none" w:sz="0" w:space="0" w:color="auto"/>
                    <w:bottom w:val="none" w:sz="0" w:space="0" w:color="auto"/>
                    <w:right w:val="none" w:sz="0" w:space="0" w:color="auto"/>
                  </w:divBdr>
                  <w:divsChild>
                    <w:div w:id="507213170">
                      <w:marLeft w:val="0"/>
                      <w:marRight w:val="0"/>
                      <w:marTop w:val="0"/>
                      <w:marBottom w:val="0"/>
                      <w:divBdr>
                        <w:top w:val="none" w:sz="0" w:space="0" w:color="auto"/>
                        <w:left w:val="none" w:sz="0" w:space="0" w:color="auto"/>
                        <w:bottom w:val="none" w:sz="0" w:space="0" w:color="auto"/>
                        <w:right w:val="none" w:sz="0" w:space="0" w:color="auto"/>
                      </w:divBdr>
                    </w:div>
                  </w:divsChild>
                </w:div>
                <w:div w:id="802846395">
                  <w:marLeft w:val="0"/>
                  <w:marRight w:val="0"/>
                  <w:marTop w:val="0"/>
                  <w:marBottom w:val="0"/>
                  <w:divBdr>
                    <w:top w:val="none" w:sz="0" w:space="0" w:color="auto"/>
                    <w:left w:val="none" w:sz="0" w:space="0" w:color="auto"/>
                    <w:bottom w:val="none" w:sz="0" w:space="0" w:color="auto"/>
                    <w:right w:val="none" w:sz="0" w:space="0" w:color="auto"/>
                  </w:divBdr>
                  <w:divsChild>
                    <w:div w:id="2069456327">
                      <w:marLeft w:val="0"/>
                      <w:marRight w:val="0"/>
                      <w:marTop w:val="0"/>
                      <w:marBottom w:val="0"/>
                      <w:divBdr>
                        <w:top w:val="none" w:sz="0" w:space="0" w:color="auto"/>
                        <w:left w:val="none" w:sz="0" w:space="0" w:color="auto"/>
                        <w:bottom w:val="none" w:sz="0" w:space="0" w:color="auto"/>
                        <w:right w:val="none" w:sz="0" w:space="0" w:color="auto"/>
                      </w:divBdr>
                    </w:div>
                  </w:divsChild>
                </w:div>
                <w:div w:id="808477941">
                  <w:marLeft w:val="0"/>
                  <w:marRight w:val="0"/>
                  <w:marTop w:val="0"/>
                  <w:marBottom w:val="0"/>
                  <w:divBdr>
                    <w:top w:val="none" w:sz="0" w:space="0" w:color="auto"/>
                    <w:left w:val="none" w:sz="0" w:space="0" w:color="auto"/>
                    <w:bottom w:val="none" w:sz="0" w:space="0" w:color="auto"/>
                    <w:right w:val="none" w:sz="0" w:space="0" w:color="auto"/>
                  </w:divBdr>
                  <w:divsChild>
                    <w:div w:id="430131490">
                      <w:marLeft w:val="0"/>
                      <w:marRight w:val="0"/>
                      <w:marTop w:val="0"/>
                      <w:marBottom w:val="0"/>
                      <w:divBdr>
                        <w:top w:val="none" w:sz="0" w:space="0" w:color="auto"/>
                        <w:left w:val="none" w:sz="0" w:space="0" w:color="auto"/>
                        <w:bottom w:val="none" w:sz="0" w:space="0" w:color="auto"/>
                        <w:right w:val="none" w:sz="0" w:space="0" w:color="auto"/>
                      </w:divBdr>
                    </w:div>
                  </w:divsChild>
                </w:div>
                <w:div w:id="809174632">
                  <w:marLeft w:val="0"/>
                  <w:marRight w:val="0"/>
                  <w:marTop w:val="0"/>
                  <w:marBottom w:val="0"/>
                  <w:divBdr>
                    <w:top w:val="none" w:sz="0" w:space="0" w:color="auto"/>
                    <w:left w:val="none" w:sz="0" w:space="0" w:color="auto"/>
                    <w:bottom w:val="none" w:sz="0" w:space="0" w:color="auto"/>
                    <w:right w:val="none" w:sz="0" w:space="0" w:color="auto"/>
                  </w:divBdr>
                  <w:divsChild>
                    <w:div w:id="12387246">
                      <w:marLeft w:val="0"/>
                      <w:marRight w:val="0"/>
                      <w:marTop w:val="0"/>
                      <w:marBottom w:val="0"/>
                      <w:divBdr>
                        <w:top w:val="none" w:sz="0" w:space="0" w:color="auto"/>
                        <w:left w:val="none" w:sz="0" w:space="0" w:color="auto"/>
                        <w:bottom w:val="none" w:sz="0" w:space="0" w:color="auto"/>
                        <w:right w:val="none" w:sz="0" w:space="0" w:color="auto"/>
                      </w:divBdr>
                    </w:div>
                  </w:divsChild>
                </w:div>
                <w:div w:id="843545911">
                  <w:marLeft w:val="0"/>
                  <w:marRight w:val="0"/>
                  <w:marTop w:val="0"/>
                  <w:marBottom w:val="0"/>
                  <w:divBdr>
                    <w:top w:val="none" w:sz="0" w:space="0" w:color="auto"/>
                    <w:left w:val="none" w:sz="0" w:space="0" w:color="auto"/>
                    <w:bottom w:val="none" w:sz="0" w:space="0" w:color="auto"/>
                    <w:right w:val="none" w:sz="0" w:space="0" w:color="auto"/>
                  </w:divBdr>
                  <w:divsChild>
                    <w:div w:id="1260798888">
                      <w:marLeft w:val="0"/>
                      <w:marRight w:val="0"/>
                      <w:marTop w:val="0"/>
                      <w:marBottom w:val="0"/>
                      <w:divBdr>
                        <w:top w:val="none" w:sz="0" w:space="0" w:color="auto"/>
                        <w:left w:val="none" w:sz="0" w:space="0" w:color="auto"/>
                        <w:bottom w:val="none" w:sz="0" w:space="0" w:color="auto"/>
                        <w:right w:val="none" w:sz="0" w:space="0" w:color="auto"/>
                      </w:divBdr>
                    </w:div>
                  </w:divsChild>
                </w:div>
                <w:div w:id="846406061">
                  <w:marLeft w:val="0"/>
                  <w:marRight w:val="0"/>
                  <w:marTop w:val="0"/>
                  <w:marBottom w:val="0"/>
                  <w:divBdr>
                    <w:top w:val="none" w:sz="0" w:space="0" w:color="auto"/>
                    <w:left w:val="none" w:sz="0" w:space="0" w:color="auto"/>
                    <w:bottom w:val="none" w:sz="0" w:space="0" w:color="auto"/>
                    <w:right w:val="none" w:sz="0" w:space="0" w:color="auto"/>
                  </w:divBdr>
                  <w:divsChild>
                    <w:div w:id="1826050058">
                      <w:marLeft w:val="0"/>
                      <w:marRight w:val="0"/>
                      <w:marTop w:val="0"/>
                      <w:marBottom w:val="0"/>
                      <w:divBdr>
                        <w:top w:val="none" w:sz="0" w:space="0" w:color="auto"/>
                        <w:left w:val="none" w:sz="0" w:space="0" w:color="auto"/>
                        <w:bottom w:val="none" w:sz="0" w:space="0" w:color="auto"/>
                        <w:right w:val="none" w:sz="0" w:space="0" w:color="auto"/>
                      </w:divBdr>
                    </w:div>
                  </w:divsChild>
                </w:div>
                <w:div w:id="847255725">
                  <w:marLeft w:val="0"/>
                  <w:marRight w:val="0"/>
                  <w:marTop w:val="0"/>
                  <w:marBottom w:val="0"/>
                  <w:divBdr>
                    <w:top w:val="none" w:sz="0" w:space="0" w:color="auto"/>
                    <w:left w:val="none" w:sz="0" w:space="0" w:color="auto"/>
                    <w:bottom w:val="none" w:sz="0" w:space="0" w:color="auto"/>
                    <w:right w:val="none" w:sz="0" w:space="0" w:color="auto"/>
                  </w:divBdr>
                  <w:divsChild>
                    <w:div w:id="1187408241">
                      <w:marLeft w:val="0"/>
                      <w:marRight w:val="0"/>
                      <w:marTop w:val="0"/>
                      <w:marBottom w:val="0"/>
                      <w:divBdr>
                        <w:top w:val="none" w:sz="0" w:space="0" w:color="auto"/>
                        <w:left w:val="none" w:sz="0" w:space="0" w:color="auto"/>
                        <w:bottom w:val="none" w:sz="0" w:space="0" w:color="auto"/>
                        <w:right w:val="none" w:sz="0" w:space="0" w:color="auto"/>
                      </w:divBdr>
                    </w:div>
                  </w:divsChild>
                </w:div>
                <w:div w:id="889416913">
                  <w:marLeft w:val="0"/>
                  <w:marRight w:val="0"/>
                  <w:marTop w:val="0"/>
                  <w:marBottom w:val="0"/>
                  <w:divBdr>
                    <w:top w:val="none" w:sz="0" w:space="0" w:color="auto"/>
                    <w:left w:val="none" w:sz="0" w:space="0" w:color="auto"/>
                    <w:bottom w:val="none" w:sz="0" w:space="0" w:color="auto"/>
                    <w:right w:val="none" w:sz="0" w:space="0" w:color="auto"/>
                  </w:divBdr>
                  <w:divsChild>
                    <w:div w:id="2130393507">
                      <w:marLeft w:val="0"/>
                      <w:marRight w:val="0"/>
                      <w:marTop w:val="0"/>
                      <w:marBottom w:val="0"/>
                      <w:divBdr>
                        <w:top w:val="none" w:sz="0" w:space="0" w:color="auto"/>
                        <w:left w:val="none" w:sz="0" w:space="0" w:color="auto"/>
                        <w:bottom w:val="none" w:sz="0" w:space="0" w:color="auto"/>
                        <w:right w:val="none" w:sz="0" w:space="0" w:color="auto"/>
                      </w:divBdr>
                    </w:div>
                  </w:divsChild>
                </w:div>
                <w:div w:id="890773718">
                  <w:marLeft w:val="0"/>
                  <w:marRight w:val="0"/>
                  <w:marTop w:val="0"/>
                  <w:marBottom w:val="0"/>
                  <w:divBdr>
                    <w:top w:val="none" w:sz="0" w:space="0" w:color="auto"/>
                    <w:left w:val="none" w:sz="0" w:space="0" w:color="auto"/>
                    <w:bottom w:val="none" w:sz="0" w:space="0" w:color="auto"/>
                    <w:right w:val="none" w:sz="0" w:space="0" w:color="auto"/>
                  </w:divBdr>
                  <w:divsChild>
                    <w:div w:id="77143807">
                      <w:marLeft w:val="0"/>
                      <w:marRight w:val="0"/>
                      <w:marTop w:val="0"/>
                      <w:marBottom w:val="0"/>
                      <w:divBdr>
                        <w:top w:val="none" w:sz="0" w:space="0" w:color="auto"/>
                        <w:left w:val="none" w:sz="0" w:space="0" w:color="auto"/>
                        <w:bottom w:val="none" w:sz="0" w:space="0" w:color="auto"/>
                        <w:right w:val="none" w:sz="0" w:space="0" w:color="auto"/>
                      </w:divBdr>
                    </w:div>
                  </w:divsChild>
                </w:div>
                <w:div w:id="894321046">
                  <w:marLeft w:val="0"/>
                  <w:marRight w:val="0"/>
                  <w:marTop w:val="0"/>
                  <w:marBottom w:val="0"/>
                  <w:divBdr>
                    <w:top w:val="none" w:sz="0" w:space="0" w:color="auto"/>
                    <w:left w:val="none" w:sz="0" w:space="0" w:color="auto"/>
                    <w:bottom w:val="none" w:sz="0" w:space="0" w:color="auto"/>
                    <w:right w:val="none" w:sz="0" w:space="0" w:color="auto"/>
                  </w:divBdr>
                  <w:divsChild>
                    <w:div w:id="50230498">
                      <w:marLeft w:val="0"/>
                      <w:marRight w:val="0"/>
                      <w:marTop w:val="0"/>
                      <w:marBottom w:val="0"/>
                      <w:divBdr>
                        <w:top w:val="none" w:sz="0" w:space="0" w:color="auto"/>
                        <w:left w:val="none" w:sz="0" w:space="0" w:color="auto"/>
                        <w:bottom w:val="none" w:sz="0" w:space="0" w:color="auto"/>
                        <w:right w:val="none" w:sz="0" w:space="0" w:color="auto"/>
                      </w:divBdr>
                    </w:div>
                  </w:divsChild>
                </w:div>
                <w:div w:id="895624211">
                  <w:marLeft w:val="0"/>
                  <w:marRight w:val="0"/>
                  <w:marTop w:val="0"/>
                  <w:marBottom w:val="0"/>
                  <w:divBdr>
                    <w:top w:val="none" w:sz="0" w:space="0" w:color="auto"/>
                    <w:left w:val="none" w:sz="0" w:space="0" w:color="auto"/>
                    <w:bottom w:val="none" w:sz="0" w:space="0" w:color="auto"/>
                    <w:right w:val="none" w:sz="0" w:space="0" w:color="auto"/>
                  </w:divBdr>
                  <w:divsChild>
                    <w:div w:id="1309242477">
                      <w:marLeft w:val="0"/>
                      <w:marRight w:val="0"/>
                      <w:marTop w:val="0"/>
                      <w:marBottom w:val="0"/>
                      <w:divBdr>
                        <w:top w:val="none" w:sz="0" w:space="0" w:color="auto"/>
                        <w:left w:val="none" w:sz="0" w:space="0" w:color="auto"/>
                        <w:bottom w:val="none" w:sz="0" w:space="0" w:color="auto"/>
                        <w:right w:val="none" w:sz="0" w:space="0" w:color="auto"/>
                      </w:divBdr>
                    </w:div>
                  </w:divsChild>
                </w:div>
                <w:div w:id="913511676">
                  <w:marLeft w:val="0"/>
                  <w:marRight w:val="0"/>
                  <w:marTop w:val="0"/>
                  <w:marBottom w:val="0"/>
                  <w:divBdr>
                    <w:top w:val="none" w:sz="0" w:space="0" w:color="auto"/>
                    <w:left w:val="none" w:sz="0" w:space="0" w:color="auto"/>
                    <w:bottom w:val="none" w:sz="0" w:space="0" w:color="auto"/>
                    <w:right w:val="none" w:sz="0" w:space="0" w:color="auto"/>
                  </w:divBdr>
                  <w:divsChild>
                    <w:div w:id="1307978369">
                      <w:marLeft w:val="0"/>
                      <w:marRight w:val="0"/>
                      <w:marTop w:val="0"/>
                      <w:marBottom w:val="0"/>
                      <w:divBdr>
                        <w:top w:val="none" w:sz="0" w:space="0" w:color="auto"/>
                        <w:left w:val="none" w:sz="0" w:space="0" w:color="auto"/>
                        <w:bottom w:val="none" w:sz="0" w:space="0" w:color="auto"/>
                        <w:right w:val="none" w:sz="0" w:space="0" w:color="auto"/>
                      </w:divBdr>
                    </w:div>
                  </w:divsChild>
                </w:div>
                <w:div w:id="938834007">
                  <w:marLeft w:val="0"/>
                  <w:marRight w:val="0"/>
                  <w:marTop w:val="0"/>
                  <w:marBottom w:val="0"/>
                  <w:divBdr>
                    <w:top w:val="none" w:sz="0" w:space="0" w:color="auto"/>
                    <w:left w:val="none" w:sz="0" w:space="0" w:color="auto"/>
                    <w:bottom w:val="none" w:sz="0" w:space="0" w:color="auto"/>
                    <w:right w:val="none" w:sz="0" w:space="0" w:color="auto"/>
                  </w:divBdr>
                  <w:divsChild>
                    <w:div w:id="1999847537">
                      <w:marLeft w:val="0"/>
                      <w:marRight w:val="0"/>
                      <w:marTop w:val="0"/>
                      <w:marBottom w:val="0"/>
                      <w:divBdr>
                        <w:top w:val="none" w:sz="0" w:space="0" w:color="auto"/>
                        <w:left w:val="none" w:sz="0" w:space="0" w:color="auto"/>
                        <w:bottom w:val="none" w:sz="0" w:space="0" w:color="auto"/>
                        <w:right w:val="none" w:sz="0" w:space="0" w:color="auto"/>
                      </w:divBdr>
                    </w:div>
                  </w:divsChild>
                </w:div>
                <w:div w:id="939411645">
                  <w:marLeft w:val="0"/>
                  <w:marRight w:val="0"/>
                  <w:marTop w:val="0"/>
                  <w:marBottom w:val="0"/>
                  <w:divBdr>
                    <w:top w:val="none" w:sz="0" w:space="0" w:color="auto"/>
                    <w:left w:val="none" w:sz="0" w:space="0" w:color="auto"/>
                    <w:bottom w:val="none" w:sz="0" w:space="0" w:color="auto"/>
                    <w:right w:val="none" w:sz="0" w:space="0" w:color="auto"/>
                  </w:divBdr>
                  <w:divsChild>
                    <w:div w:id="652567287">
                      <w:marLeft w:val="0"/>
                      <w:marRight w:val="0"/>
                      <w:marTop w:val="0"/>
                      <w:marBottom w:val="0"/>
                      <w:divBdr>
                        <w:top w:val="none" w:sz="0" w:space="0" w:color="auto"/>
                        <w:left w:val="none" w:sz="0" w:space="0" w:color="auto"/>
                        <w:bottom w:val="none" w:sz="0" w:space="0" w:color="auto"/>
                        <w:right w:val="none" w:sz="0" w:space="0" w:color="auto"/>
                      </w:divBdr>
                    </w:div>
                  </w:divsChild>
                </w:div>
                <w:div w:id="941568289">
                  <w:marLeft w:val="0"/>
                  <w:marRight w:val="0"/>
                  <w:marTop w:val="0"/>
                  <w:marBottom w:val="0"/>
                  <w:divBdr>
                    <w:top w:val="none" w:sz="0" w:space="0" w:color="auto"/>
                    <w:left w:val="none" w:sz="0" w:space="0" w:color="auto"/>
                    <w:bottom w:val="none" w:sz="0" w:space="0" w:color="auto"/>
                    <w:right w:val="none" w:sz="0" w:space="0" w:color="auto"/>
                  </w:divBdr>
                  <w:divsChild>
                    <w:div w:id="1206020355">
                      <w:marLeft w:val="0"/>
                      <w:marRight w:val="0"/>
                      <w:marTop w:val="0"/>
                      <w:marBottom w:val="0"/>
                      <w:divBdr>
                        <w:top w:val="none" w:sz="0" w:space="0" w:color="auto"/>
                        <w:left w:val="none" w:sz="0" w:space="0" w:color="auto"/>
                        <w:bottom w:val="none" w:sz="0" w:space="0" w:color="auto"/>
                        <w:right w:val="none" w:sz="0" w:space="0" w:color="auto"/>
                      </w:divBdr>
                    </w:div>
                  </w:divsChild>
                </w:div>
                <w:div w:id="987437021">
                  <w:marLeft w:val="0"/>
                  <w:marRight w:val="0"/>
                  <w:marTop w:val="0"/>
                  <w:marBottom w:val="0"/>
                  <w:divBdr>
                    <w:top w:val="none" w:sz="0" w:space="0" w:color="auto"/>
                    <w:left w:val="none" w:sz="0" w:space="0" w:color="auto"/>
                    <w:bottom w:val="none" w:sz="0" w:space="0" w:color="auto"/>
                    <w:right w:val="none" w:sz="0" w:space="0" w:color="auto"/>
                  </w:divBdr>
                  <w:divsChild>
                    <w:div w:id="1315837655">
                      <w:marLeft w:val="0"/>
                      <w:marRight w:val="0"/>
                      <w:marTop w:val="0"/>
                      <w:marBottom w:val="0"/>
                      <w:divBdr>
                        <w:top w:val="none" w:sz="0" w:space="0" w:color="auto"/>
                        <w:left w:val="none" w:sz="0" w:space="0" w:color="auto"/>
                        <w:bottom w:val="none" w:sz="0" w:space="0" w:color="auto"/>
                        <w:right w:val="none" w:sz="0" w:space="0" w:color="auto"/>
                      </w:divBdr>
                    </w:div>
                  </w:divsChild>
                </w:div>
                <w:div w:id="997004395">
                  <w:marLeft w:val="0"/>
                  <w:marRight w:val="0"/>
                  <w:marTop w:val="0"/>
                  <w:marBottom w:val="0"/>
                  <w:divBdr>
                    <w:top w:val="none" w:sz="0" w:space="0" w:color="auto"/>
                    <w:left w:val="none" w:sz="0" w:space="0" w:color="auto"/>
                    <w:bottom w:val="none" w:sz="0" w:space="0" w:color="auto"/>
                    <w:right w:val="none" w:sz="0" w:space="0" w:color="auto"/>
                  </w:divBdr>
                  <w:divsChild>
                    <w:div w:id="2018145103">
                      <w:marLeft w:val="0"/>
                      <w:marRight w:val="0"/>
                      <w:marTop w:val="0"/>
                      <w:marBottom w:val="0"/>
                      <w:divBdr>
                        <w:top w:val="none" w:sz="0" w:space="0" w:color="auto"/>
                        <w:left w:val="none" w:sz="0" w:space="0" w:color="auto"/>
                        <w:bottom w:val="none" w:sz="0" w:space="0" w:color="auto"/>
                        <w:right w:val="none" w:sz="0" w:space="0" w:color="auto"/>
                      </w:divBdr>
                    </w:div>
                  </w:divsChild>
                </w:div>
                <w:div w:id="1027023344">
                  <w:marLeft w:val="0"/>
                  <w:marRight w:val="0"/>
                  <w:marTop w:val="0"/>
                  <w:marBottom w:val="0"/>
                  <w:divBdr>
                    <w:top w:val="none" w:sz="0" w:space="0" w:color="auto"/>
                    <w:left w:val="none" w:sz="0" w:space="0" w:color="auto"/>
                    <w:bottom w:val="none" w:sz="0" w:space="0" w:color="auto"/>
                    <w:right w:val="none" w:sz="0" w:space="0" w:color="auto"/>
                  </w:divBdr>
                  <w:divsChild>
                    <w:div w:id="1656838565">
                      <w:marLeft w:val="0"/>
                      <w:marRight w:val="0"/>
                      <w:marTop w:val="0"/>
                      <w:marBottom w:val="0"/>
                      <w:divBdr>
                        <w:top w:val="none" w:sz="0" w:space="0" w:color="auto"/>
                        <w:left w:val="none" w:sz="0" w:space="0" w:color="auto"/>
                        <w:bottom w:val="none" w:sz="0" w:space="0" w:color="auto"/>
                        <w:right w:val="none" w:sz="0" w:space="0" w:color="auto"/>
                      </w:divBdr>
                    </w:div>
                  </w:divsChild>
                </w:div>
                <w:div w:id="1035891874">
                  <w:marLeft w:val="0"/>
                  <w:marRight w:val="0"/>
                  <w:marTop w:val="0"/>
                  <w:marBottom w:val="0"/>
                  <w:divBdr>
                    <w:top w:val="none" w:sz="0" w:space="0" w:color="auto"/>
                    <w:left w:val="none" w:sz="0" w:space="0" w:color="auto"/>
                    <w:bottom w:val="none" w:sz="0" w:space="0" w:color="auto"/>
                    <w:right w:val="none" w:sz="0" w:space="0" w:color="auto"/>
                  </w:divBdr>
                  <w:divsChild>
                    <w:div w:id="819343518">
                      <w:marLeft w:val="0"/>
                      <w:marRight w:val="0"/>
                      <w:marTop w:val="0"/>
                      <w:marBottom w:val="0"/>
                      <w:divBdr>
                        <w:top w:val="none" w:sz="0" w:space="0" w:color="auto"/>
                        <w:left w:val="none" w:sz="0" w:space="0" w:color="auto"/>
                        <w:bottom w:val="none" w:sz="0" w:space="0" w:color="auto"/>
                        <w:right w:val="none" w:sz="0" w:space="0" w:color="auto"/>
                      </w:divBdr>
                    </w:div>
                  </w:divsChild>
                </w:div>
                <w:div w:id="1039433246">
                  <w:marLeft w:val="0"/>
                  <w:marRight w:val="0"/>
                  <w:marTop w:val="0"/>
                  <w:marBottom w:val="0"/>
                  <w:divBdr>
                    <w:top w:val="none" w:sz="0" w:space="0" w:color="auto"/>
                    <w:left w:val="none" w:sz="0" w:space="0" w:color="auto"/>
                    <w:bottom w:val="none" w:sz="0" w:space="0" w:color="auto"/>
                    <w:right w:val="none" w:sz="0" w:space="0" w:color="auto"/>
                  </w:divBdr>
                  <w:divsChild>
                    <w:div w:id="63577145">
                      <w:marLeft w:val="0"/>
                      <w:marRight w:val="0"/>
                      <w:marTop w:val="0"/>
                      <w:marBottom w:val="0"/>
                      <w:divBdr>
                        <w:top w:val="none" w:sz="0" w:space="0" w:color="auto"/>
                        <w:left w:val="none" w:sz="0" w:space="0" w:color="auto"/>
                        <w:bottom w:val="none" w:sz="0" w:space="0" w:color="auto"/>
                        <w:right w:val="none" w:sz="0" w:space="0" w:color="auto"/>
                      </w:divBdr>
                    </w:div>
                  </w:divsChild>
                </w:div>
                <w:div w:id="1044871728">
                  <w:marLeft w:val="0"/>
                  <w:marRight w:val="0"/>
                  <w:marTop w:val="0"/>
                  <w:marBottom w:val="0"/>
                  <w:divBdr>
                    <w:top w:val="none" w:sz="0" w:space="0" w:color="auto"/>
                    <w:left w:val="none" w:sz="0" w:space="0" w:color="auto"/>
                    <w:bottom w:val="none" w:sz="0" w:space="0" w:color="auto"/>
                    <w:right w:val="none" w:sz="0" w:space="0" w:color="auto"/>
                  </w:divBdr>
                  <w:divsChild>
                    <w:div w:id="1455752457">
                      <w:marLeft w:val="0"/>
                      <w:marRight w:val="0"/>
                      <w:marTop w:val="0"/>
                      <w:marBottom w:val="0"/>
                      <w:divBdr>
                        <w:top w:val="none" w:sz="0" w:space="0" w:color="auto"/>
                        <w:left w:val="none" w:sz="0" w:space="0" w:color="auto"/>
                        <w:bottom w:val="none" w:sz="0" w:space="0" w:color="auto"/>
                        <w:right w:val="none" w:sz="0" w:space="0" w:color="auto"/>
                      </w:divBdr>
                    </w:div>
                  </w:divsChild>
                </w:div>
                <w:div w:id="1081487257">
                  <w:marLeft w:val="0"/>
                  <w:marRight w:val="0"/>
                  <w:marTop w:val="0"/>
                  <w:marBottom w:val="0"/>
                  <w:divBdr>
                    <w:top w:val="none" w:sz="0" w:space="0" w:color="auto"/>
                    <w:left w:val="none" w:sz="0" w:space="0" w:color="auto"/>
                    <w:bottom w:val="none" w:sz="0" w:space="0" w:color="auto"/>
                    <w:right w:val="none" w:sz="0" w:space="0" w:color="auto"/>
                  </w:divBdr>
                  <w:divsChild>
                    <w:div w:id="1278370287">
                      <w:marLeft w:val="0"/>
                      <w:marRight w:val="0"/>
                      <w:marTop w:val="0"/>
                      <w:marBottom w:val="0"/>
                      <w:divBdr>
                        <w:top w:val="none" w:sz="0" w:space="0" w:color="auto"/>
                        <w:left w:val="none" w:sz="0" w:space="0" w:color="auto"/>
                        <w:bottom w:val="none" w:sz="0" w:space="0" w:color="auto"/>
                        <w:right w:val="none" w:sz="0" w:space="0" w:color="auto"/>
                      </w:divBdr>
                    </w:div>
                  </w:divsChild>
                </w:div>
                <w:div w:id="1084186262">
                  <w:marLeft w:val="0"/>
                  <w:marRight w:val="0"/>
                  <w:marTop w:val="0"/>
                  <w:marBottom w:val="0"/>
                  <w:divBdr>
                    <w:top w:val="none" w:sz="0" w:space="0" w:color="auto"/>
                    <w:left w:val="none" w:sz="0" w:space="0" w:color="auto"/>
                    <w:bottom w:val="none" w:sz="0" w:space="0" w:color="auto"/>
                    <w:right w:val="none" w:sz="0" w:space="0" w:color="auto"/>
                  </w:divBdr>
                  <w:divsChild>
                    <w:div w:id="868103110">
                      <w:marLeft w:val="0"/>
                      <w:marRight w:val="0"/>
                      <w:marTop w:val="0"/>
                      <w:marBottom w:val="0"/>
                      <w:divBdr>
                        <w:top w:val="none" w:sz="0" w:space="0" w:color="auto"/>
                        <w:left w:val="none" w:sz="0" w:space="0" w:color="auto"/>
                        <w:bottom w:val="none" w:sz="0" w:space="0" w:color="auto"/>
                        <w:right w:val="none" w:sz="0" w:space="0" w:color="auto"/>
                      </w:divBdr>
                    </w:div>
                  </w:divsChild>
                </w:div>
                <w:div w:id="1097671540">
                  <w:marLeft w:val="0"/>
                  <w:marRight w:val="0"/>
                  <w:marTop w:val="0"/>
                  <w:marBottom w:val="0"/>
                  <w:divBdr>
                    <w:top w:val="none" w:sz="0" w:space="0" w:color="auto"/>
                    <w:left w:val="none" w:sz="0" w:space="0" w:color="auto"/>
                    <w:bottom w:val="none" w:sz="0" w:space="0" w:color="auto"/>
                    <w:right w:val="none" w:sz="0" w:space="0" w:color="auto"/>
                  </w:divBdr>
                  <w:divsChild>
                    <w:div w:id="1392188466">
                      <w:marLeft w:val="0"/>
                      <w:marRight w:val="0"/>
                      <w:marTop w:val="0"/>
                      <w:marBottom w:val="0"/>
                      <w:divBdr>
                        <w:top w:val="none" w:sz="0" w:space="0" w:color="auto"/>
                        <w:left w:val="none" w:sz="0" w:space="0" w:color="auto"/>
                        <w:bottom w:val="none" w:sz="0" w:space="0" w:color="auto"/>
                        <w:right w:val="none" w:sz="0" w:space="0" w:color="auto"/>
                      </w:divBdr>
                    </w:div>
                  </w:divsChild>
                </w:div>
                <w:div w:id="1126891663">
                  <w:marLeft w:val="0"/>
                  <w:marRight w:val="0"/>
                  <w:marTop w:val="0"/>
                  <w:marBottom w:val="0"/>
                  <w:divBdr>
                    <w:top w:val="none" w:sz="0" w:space="0" w:color="auto"/>
                    <w:left w:val="none" w:sz="0" w:space="0" w:color="auto"/>
                    <w:bottom w:val="none" w:sz="0" w:space="0" w:color="auto"/>
                    <w:right w:val="none" w:sz="0" w:space="0" w:color="auto"/>
                  </w:divBdr>
                  <w:divsChild>
                    <w:div w:id="229534813">
                      <w:marLeft w:val="0"/>
                      <w:marRight w:val="0"/>
                      <w:marTop w:val="0"/>
                      <w:marBottom w:val="0"/>
                      <w:divBdr>
                        <w:top w:val="none" w:sz="0" w:space="0" w:color="auto"/>
                        <w:left w:val="none" w:sz="0" w:space="0" w:color="auto"/>
                        <w:bottom w:val="none" w:sz="0" w:space="0" w:color="auto"/>
                        <w:right w:val="none" w:sz="0" w:space="0" w:color="auto"/>
                      </w:divBdr>
                    </w:div>
                  </w:divsChild>
                </w:div>
                <w:div w:id="1143429131">
                  <w:marLeft w:val="0"/>
                  <w:marRight w:val="0"/>
                  <w:marTop w:val="0"/>
                  <w:marBottom w:val="0"/>
                  <w:divBdr>
                    <w:top w:val="none" w:sz="0" w:space="0" w:color="auto"/>
                    <w:left w:val="none" w:sz="0" w:space="0" w:color="auto"/>
                    <w:bottom w:val="none" w:sz="0" w:space="0" w:color="auto"/>
                    <w:right w:val="none" w:sz="0" w:space="0" w:color="auto"/>
                  </w:divBdr>
                  <w:divsChild>
                    <w:div w:id="935821119">
                      <w:marLeft w:val="0"/>
                      <w:marRight w:val="0"/>
                      <w:marTop w:val="0"/>
                      <w:marBottom w:val="0"/>
                      <w:divBdr>
                        <w:top w:val="none" w:sz="0" w:space="0" w:color="auto"/>
                        <w:left w:val="none" w:sz="0" w:space="0" w:color="auto"/>
                        <w:bottom w:val="none" w:sz="0" w:space="0" w:color="auto"/>
                        <w:right w:val="none" w:sz="0" w:space="0" w:color="auto"/>
                      </w:divBdr>
                    </w:div>
                  </w:divsChild>
                </w:div>
                <w:div w:id="1166674096">
                  <w:marLeft w:val="0"/>
                  <w:marRight w:val="0"/>
                  <w:marTop w:val="0"/>
                  <w:marBottom w:val="0"/>
                  <w:divBdr>
                    <w:top w:val="none" w:sz="0" w:space="0" w:color="auto"/>
                    <w:left w:val="none" w:sz="0" w:space="0" w:color="auto"/>
                    <w:bottom w:val="none" w:sz="0" w:space="0" w:color="auto"/>
                    <w:right w:val="none" w:sz="0" w:space="0" w:color="auto"/>
                  </w:divBdr>
                  <w:divsChild>
                    <w:div w:id="601644741">
                      <w:marLeft w:val="0"/>
                      <w:marRight w:val="0"/>
                      <w:marTop w:val="0"/>
                      <w:marBottom w:val="0"/>
                      <w:divBdr>
                        <w:top w:val="none" w:sz="0" w:space="0" w:color="auto"/>
                        <w:left w:val="none" w:sz="0" w:space="0" w:color="auto"/>
                        <w:bottom w:val="none" w:sz="0" w:space="0" w:color="auto"/>
                        <w:right w:val="none" w:sz="0" w:space="0" w:color="auto"/>
                      </w:divBdr>
                    </w:div>
                  </w:divsChild>
                </w:div>
                <w:div w:id="1167405504">
                  <w:marLeft w:val="0"/>
                  <w:marRight w:val="0"/>
                  <w:marTop w:val="0"/>
                  <w:marBottom w:val="0"/>
                  <w:divBdr>
                    <w:top w:val="none" w:sz="0" w:space="0" w:color="auto"/>
                    <w:left w:val="none" w:sz="0" w:space="0" w:color="auto"/>
                    <w:bottom w:val="none" w:sz="0" w:space="0" w:color="auto"/>
                    <w:right w:val="none" w:sz="0" w:space="0" w:color="auto"/>
                  </w:divBdr>
                  <w:divsChild>
                    <w:div w:id="1760060605">
                      <w:marLeft w:val="0"/>
                      <w:marRight w:val="0"/>
                      <w:marTop w:val="0"/>
                      <w:marBottom w:val="0"/>
                      <w:divBdr>
                        <w:top w:val="none" w:sz="0" w:space="0" w:color="auto"/>
                        <w:left w:val="none" w:sz="0" w:space="0" w:color="auto"/>
                        <w:bottom w:val="none" w:sz="0" w:space="0" w:color="auto"/>
                        <w:right w:val="none" w:sz="0" w:space="0" w:color="auto"/>
                      </w:divBdr>
                    </w:div>
                  </w:divsChild>
                </w:div>
                <w:div w:id="1185364519">
                  <w:marLeft w:val="0"/>
                  <w:marRight w:val="0"/>
                  <w:marTop w:val="0"/>
                  <w:marBottom w:val="0"/>
                  <w:divBdr>
                    <w:top w:val="none" w:sz="0" w:space="0" w:color="auto"/>
                    <w:left w:val="none" w:sz="0" w:space="0" w:color="auto"/>
                    <w:bottom w:val="none" w:sz="0" w:space="0" w:color="auto"/>
                    <w:right w:val="none" w:sz="0" w:space="0" w:color="auto"/>
                  </w:divBdr>
                  <w:divsChild>
                    <w:div w:id="529299476">
                      <w:marLeft w:val="0"/>
                      <w:marRight w:val="0"/>
                      <w:marTop w:val="0"/>
                      <w:marBottom w:val="0"/>
                      <w:divBdr>
                        <w:top w:val="none" w:sz="0" w:space="0" w:color="auto"/>
                        <w:left w:val="none" w:sz="0" w:space="0" w:color="auto"/>
                        <w:bottom w:val="none" w:sz="0" w:space="0" w:color="auto"/>
                        <w:right w:val="none" w:sz="0" w:space="0" w:color="auto"/>
                      </w:divBdr>
                    </w:div>
                  </w:divsChild>
                </w:div>
                <w:div w:id="1204052552">
                  <w:marLeft w:val="0"/>
                  <w:marRight w:val="0"/>
                  <w:marTop w:val="0"/>
                  <w:marBottom w:val="0"/>
                  <w:divBdr>
                    <w:top w:val="none" w:sz="0" w:space="0" w:color="auto"/>
                    <w:left w:val="none" w:sz="0" w:space="0" w:color="auto"/>
                    <w:bottom w:val="none" w:sz="0" w:space="0" w:color="auto"/>
                    <w:right w:val="none" w:sz="0" w:space="0" w:color="auto"/>
                  </w:divBdr>
                  <w:divsChild>
                    <w:div w:id="1573849177">
                      <w:marLeft w:val="0"/>
                      <w:marRight w:val="0"/>
                      <w:marTop w:val="0"/>
                      <w:marBottom w:val="0"/>
                      <w:divBdr>
                        <w:top w:val="none" w:sz="0" w:space="0" w:color="auto"/>
                        <w:left w:val="none" w:sz="0" w:space="0" w:color="auto"/>
                        <w:bottom w:val="none" w:sz="0" w:space="0" w:color="auto"/>
                        <w:right w:val="none" w:sz="0" w:space="0" w:color="auto"/>
                      </w:divBdr>
                    </w:div>
                  </w:divsChild>
                </w:div>
                <w:div w:id="1210260686">
                  <w:marLeft w:val="0"/>
                  <w:marRight w:val="0"/>
                  <w:marTop w:val="0"/>
                  <w:marBottom w:val="0"/>
                  <w:divBdr>
                    <w:top w:val="none" w:sz="0" w:space="0" w:color="auto"/>
                    <w:left w:val="none" w:sz="0" w:space="0" w:color="auto"/>
                    <w:bottom w:val="none" w:sz="0" w:space="0" w:color="auto"/>
                    <w:right w:val="none" w:sz="0" w:space="0" w:color="auto"/>
                  </w:divBdr>
                  <w:divsChild>
                    <w:div w:id="853878829">
                      <w:marLeft w:val="0"/>
                      <w:marRight w:val="0"/>
                      <w:marTop w:val="0"/>
                      <w:marBottom w:val="0"/>
                      <w:divBdr>
                        <w:top w:val="none" w:sz="0" w:space="0" w:color="auto"/>
                        <w:left w:val="none" w:sz="0" w:space="0" w:color="auto"/>
                        <w:bottom w:val="none" w:sz="0" w:space="0" w:color="auto"/>
                        <w:right w:val="none" w:sz="0" w:space="0" w:color="auto"/>
                      </w:divBdr>
                    </w:div>
                  </w:divsChild>
                </w:div>
                <w:div w:id="1210455411">
                  <w:marLeft w:val="0"/>
                  <w:marRight w:val="0"/>
                  <w:marTop w:val="0"/>
                  <w:marBottom w:val="0"/>
                  <w:divBdr>
                    <w:top w:val="none" w:sz="0" w:space="0" w:color="auto"/>
                    <w:left w:val="none" w:sz="0" w:space="0" w:color="auto"/>
                    <w:bottom w:val="none" w:sz="0" w:space="0" w:color="auto"/>
                    <w:right w:val="none" w:sz="0" w:space="0" w:color="auto"/>
                  </w:divBdr>
                  <w:divsChild>
                    <w:div w:id="2046169691">
                      <w:marLeft w:val="0"/>
                      <w:marRight w:val="0"/>
                      <w:marTop w:val="0"/>
                      <w:marBottom w:val="0"/>
                      <w:divBdr>
                        <w:top w:val="none" w:sz="0" w:space="0" w:color="auto"/>
                        <w:left w:val="none" w:sz="0" w:space="0" w:color="auto"/>
                        <w:bottom w:val="none" w:sz="0" w:space="0" w:color="auto"/>
                        <w:right w:val="none" w:sz="0" w:space="0" w:color="auto"/>
                      </w:divBdr>
                    </w:div>
                  </w:divsChild>
                </w:div>
                <w:div w:id="1211112899">
                  <w:marLeft w:val="0"/>
                  <w:marRight w:val="0"/>
                  <w:marTop w:val="0"/>
                  <w:marBottom w:val="0"/>
                  <w:divBdr>
                    <w:top w:val="none" w:sz="0" w:space="0" w:color="auto"/>
                    <w:left w:val="none" w:sz="0" w:space="0" w:color="auto"/>
                    <w:bottom w:val="none" w:sz="0" w:space="0" w:color="auto"/>
                    <w:right w:val="none" w:sz="0" w:space="0" w:color="auto"/>
                  </w:divBdr>
                  <w:divsChild>
                    <w:div w:id="193423946">
                      <w:marLeft w:val="0"/>
                      <w:marRight w:val="0"/>
                      <w:marTop w:val="0"/>
                      <w:marBottom w:val="0"/>
                      <w:divBdr>
                        <w:top w:val="none" w:sz="0" w:space="0" w:color="auto"/>
                        <w:left w:val="none" w:sz="0" w:space="0" w:color="auto"/>
                        <w:bottom w:val="none" w:sz="0" w:space="0" w:color="auto"/>
                        <w:right w:val="none" w:sz="0" w:space="0" w:color="auto"/>
                      </w:divBdr>
                    </w:div>
                  </w:divsChild>
                </w:div>
                <w:div w:id="1225065128">
                  <w:marLeft w:val="0"/>
                  <w:marRight w:val="0"/>
                  <w:marTop w:val="0"/>
                  <w:marBottom w:val="0"/>
                  <w:divBdr>
                    <w:top w:val="none" w:sz="0" w:space="0" w:color="auto"/>
                    <w:left w:val="none" w:sz="0" w:space="0" w:color="auto"/>
                    <w:bottom w:val="none" w:sz="0" w:space="0" w:color="auto"/>
                    <w:right w:val="none" w:sz="0" w:space="0" w:color="auto"/>
                  </w:divBdr>
                  <w:divsChild>
                    <w:div w:id="2090038465">
                      <w:marLeft w:val="0"/>
                      <w:marRight w:val="0"/>
                      <w:marTop w:val="0"/>
                      <w:marBottom w:val="0"/>
                      <w:divBdr>
                        <w:top w:val="none" w:sz="0" w:space="0" w:color="auto"/>
                        <w:left w:val="none" w:sz="0" w:space="0" w:color="auto"/>
                        <w:bottom w:val="none" w:sz="0" w:space="0" w:color="auto"/>
                        <w:right w:val="none" w:sz="0" w:space="0" w:color="auto"/>
                      </w:divBdr>
                    </w:div>
                  </w:divsChild>
                </w:div>
                <w:div w:id="1251282168">
                  <w:marLeft w:val="0"/>
                  <w:marRight w:val="0"/>
                  <w:marTop w:val="0"/>
                  <w:marBottom w:val="0"/>
                  <w:divBdr>
                    <w:top w:val="none" w:sz="0" w:space="0" w:color="auto"/>
                    <w:left w:val="none" w:sz="0" w:space="0" w:color="auto"/>
                    <w:bottom w:val="none" w:sz="0" w:space="0" w:color="auto"/>
                    <w:right w:val="none" w:sz="0" w:space="0" w:color="auto"/>
                  </w:divBdr>
                  <w:divsChild>
                    <w:div w:id="660743833">
                      <w:marLeft w:val="0"/>
                      <w:marRight w:val="0"/>
                      <w:marTop w:val="0"/>
                      <w:marBottom w:val="0"/>
                      <w:divBdr>
                        <w:top w:val="none" w:sz="0" w:space="0" w:color="auto"/>
                        <w:left w:val="none" w:sz="0" w:space="0" w:color="auto"/>
                        <w:bottom w:val="none" w:sz="0" w:space="0" w:color="auto"/>
                        <w:right w:val="none" w:sz="0" w:space="0" w:color="auto"/>
                      </w:divBdr>
                    </w:div>
                  </w:divsChild>
                </w:div>
                <w:div w:id="1256326768">
                  <w:marLeft w:val="0"/>
                  <w:marRight w:val="0"/>
                  <w:marTop w:val="0"/>
                  <w:marBottom w:val="0"/>
                  <w:divBdr>
                    <w:top w:val="none" w:sz="0" w:space="0" w:color="auto"/>
                    <w:left w:val="none" w:sz="0" w:space="0" w:color="auto"/>
                    <w:bottom w:val="none" w:sz="0" w:space="0" w:color="auto"/>
                    <w:right w:val="none" w:sz="0" w:space="0" w:color="auto"/>
                  </w:divBdr>
                  <w:divsChild>
                    <w:div w:id="1436515816">
                      <w:marLeft w:val="0"/>
                      <w:marRight w:val="0"/>
                      <w:marTop w:val="0"/>
                      <w:marBottom w:val="0"/>
                      <w:divBdr>
                        <w:top w:val="none" w:sz="0" w:space="0" w:color="auto"/>
                        <w:left w:val="none" w:sz="0" w:space="0" w:color="auto"/>
                        <w:bottom w:val="none" w:sz="0" w:space="0" w:color="auto"/>
                        <w:right w:val="none" w:sz="0" w:space="0" w:color="auto"/>
                      </w:divBdr>
                    </w:div>
                  </w:divsChild>
                </w:div>
                <w:div w:id="1261790379">
                  <w:marLeft w:val="0"/>
                  <w:marRight w:val="0"/>
                  <w:marTop w:val="0"/>
                  <w:marBottom w:val="0"/>
                  <w:divBdr>
                    <w:top w:val="none" w:sz="0" w:space="0" w:color="auto"/>
                    <w:left w:val="none" w:sz="0" w:space="0" w:color="auto"/>
                    <w:bottom w:val="none" w:sz="0" w:space="0" w:color="auto"/>
                    <w:right w:val="none" w:sz="0" w:space="0" w:color="auto"/>
                  </w:divBdr>
                  <w:divsChild>
                    <w:div w:id="348023971">
                      <w:marLeft w:val="0"/>
                      <w:marRight w:val="0"/>
                      <w:marTop w:val="0"/>
                      <w:marBottom w:val="0"/>
                      <w:divBdr>
                        <w:top w:val="none" w:sz="0" w:space="0" w:color="auto"/>
                        <w:left w:val="none" w:sz="0" w:space="0" w:color="auto"/>
                        <w:bottom w:val="none" w:sz="0" w:space="0" w:color="auto"/>
                        <w:right w:val="none" w:sz="0" w:space="0" w:color="auto"/>
                      </w:divBdr>
                    </w:div>
                  </w:divsChild>
                </w:div>
                <w:div w:id="1266501297">
                  <w:marLeft w:val="0"/>
                  <w:marRight w:val="0"/>
                  <w:marTop w:val="0"/>
                  <w:marBottom w:val="0"/>
                  <w:divBdr>
                    <w:top w:val="none" w:sz="0" w:space="0" w:color="auto"/>
                    <w:left w:val="none" w:sz="0" w:space="0" w:color="auto"/>
                    <w:bottom w:val="none" w:sz="0" w:space="0" w:color="auto"/>
                    <w:right w:val="none" w:sz="0" w:space="0" w:color="auto"/>
                  </w:divBdr>
                  <w:divsChild>
                    <w:div w:id="1121340673">
                      <w:marLeft w:val="0"/>
                      <w:marRight w:val="0"/>
                      <w:marTop w:val="0"/>
                      <w:marBottom w:val="0"/>
                      <w:divBdr>
                        <w:top w:val="none" w:sz="0" w:space="0" w:color="auto"/>
                        <w:left w:val="none" w:sz="0" w:space="0" w:color="auto"/>
                        <w:bottom w:val="none" w:sz="0" w:space="0" w:color="auto"/>
                        <w:right w:val="none" w:sz="0" w:space="0" w:color="auto"/>
                      </w:divBdr>
                    </w:div>
                  </w:divsChild>
                </w:div>
                <w:div w:id="1285382919">
                  <w:marLeft w:val="0"/>
                  <w:marRight w:val="0"/>
                  <w:marTop w:val="0"/>
                  <w:marBottom w:val="0"/>
                  <w:divBdr>
                    <w:top w:val="none" w:sz="0" w:space="0" w:color="auto"/>
                    <w:left w:val="none" w:sz="0" w:space="0" w:color="auto"/>
                    <w:bottom w:val="none" w:sz="0" w:space="0" w:color="auto"/>
                    <w:right w:val="none" w:sz="0" w:space="0" w:color="auto"/>
                  </w:divBdr>
                  <w:divsChild>
                    <w:div w:id="1938055944">
                      <w:marLeft w:val="0"/>
                      <w:marRight w:val="0"/>
                      <w:marTop w:val="0"/>
                      <w:marBottom w:val="0"/>
                      <w:divBdr>
                        <w:top w:val="none" w:sz="0" w:space="0" w:color="auto"/>
                        <w:left w:val="none" w:sz="0" w:space="0" w:color="auto"/>
                        <w:bottom w:val="none" w:sz="0" w:space="0" w:color="auto"/>
                        <w:right w:val="none" w:sz="0" w:space="0" w:color="auto"/>
                      </w:divBdr>
                    </w:div>
                  </w:divsChild>
                </w:div>
                <w:div w:id="1290893437">
                  <w:marLeft w:val="0"/>
                  <w:marRight w:val="0"/>
                  <w:marTop w:val="0"/>
                  <w:marBottom w:val="0"/>
                  <w:divBdr>
                    <w:top w:val="none" w:sz="0" w:space="0" w:color="auto"/>
                    <w:left w:val="none" w:sz="0" w:space="0" w:color="auto"/>
                    <w:bottom w:val="none" w:sz="0" w:space="0" w:color="auto"/>
                    <w:right w:val="none" w:sz="0" w:space="0" w:color="auto"/>
                  </w:divBdr>
                  <w:divsChild>
                    <w:div w:id="1711757694">
                      <w:marLeft w:val="0"/>
                      <w:marRight w:val="0"/>
                      <w:marTop w:val="0"/>
                      <w:marBottom w:val="0"/>
                      <w:divBdr>
                        <w:top w:val="none" w:sz="0" w:space="0" w:color="auto"/>
                        <w:left w:val="none" w:sz="0" w:space="0" w:color="auto"/>
                        <w:bottom w:val="none" w:sz="0" w:space="0" w:color="auto"/>
                        <w:right w:val="none" w:sz="0" w:space="0" w:color="auto"/>
                      </w:divBdr>
                    </w:div>
                  </w:divsChild>
                </w:div>
                <w:div w:id="1298103682">
                  <w:marLeft w:val="0"/>
                  <w:marRight w:val="0"/>
                  <w:marTop w:val="0"/>
                  <w:marBottom w:val="0"/>
                  <w:divBdr>
                    <w:top w:val="none" w:sz="0" w:space="0" w:color="auto"/>
                    <w:left w:val="none" w:sz="0" w:space="0" w:color="auto"/>
                    <w:bottom w:val="none" w:sz="0" w:space="0" w:color="auto"/>
                    <w:right w:val="none" w:sz="0" w:space="0" w:color="auto"/>
                  </w:divBdr>
                  <w:divsChild>
                    <w:div w:id="917635955">
                      <w:marLeft w:val="0"/>
                      <w:marRight w:val="0"/>
                      <w:marTop w:val="0"/>
                      <w:marBottom w:val="0"/>
                      <w:divBdr>
                        <w:top w:val="none" w:sz="0" w:space="0" w:color="auto"/>
                        <w:left w:val="none" w:sz="0" w:space="0" w:color="auto"/>
                        <w:bottom w:val="none" w:sz="0" w:space="0" w:color="auto"/>
                        <w:right w:val="none" w:sz="0" w:space="0" w:color="auto"/>
                      </w:divBdr>
                    </w:div>
                  </w:divsChild>
                </w:div>
                <w:div w:id="1318605115">
                  <w:marLeft w:val="0"/>
                  <w:marRight w:val="0"/>
                  <w:marTop w:val="0"/>
                  <w:marBottom w:val="0"/>
                  <w:divBdr>
                    <w:top w:val="none" w:sz="0" w:space="0" w:color="auto"/>
                    <w:left w:val="none" w:sz="0" w:space="0" w:color="auto"/>
                    <w:bottom w:val="none" w:sz="0" w:space="0" w:color="auto"/>
                    <w:right w:val="none" w:sz="0" w:space="0" w:color="auto"/>
                  </w:divBdr>
                  <w:divsChild>
                    <w:div w:id="2058968349">
                      <w:marLeft w:val="0"/>
                      <w:marRight w:val="0"/>
                      <w:marTop w:val="0"/>
                      <w:marBottom w:val="0"/>
                      <w:divBdr>
                        <w:top w:val="none" w:sz="0" w:space="0" w:color="auto"/>
                        <w:left w:val="none" w:sz="0" w:space="0" w:color="auto"/>
                        <w:bottom w:val="none" w:sz="0" w:space="0" w:color="auto"/>
                        <w:right w:val="none" w:sz="0" w:space="0" w:color="auto"/>
                      </w:divBdr>
                    </w:div>
                  </w:divsChild>
                </w:div>
                <w:div w:id="1347975250">
                  <w:marLeft w:val="0"/>
                  <w:marRight w:val="0"/>
                  <w:marTop w:val="0"/>
                  <w:marBottom w:val="0"/>
                  <w:divBdr>
                    <w:top w:val="none" w:sz="0" w:space="0" w:color="auto"/>
                    <w:left w:val="none" w:sz="0" w:space="0" w:color="auto"/>
                    <w:bottom w:val="none" w:sz="0" w:space="0" w:color="auto"/>
                    <w:right w:val="none" w:sz="0" w:space="0" w:color="auto"/>
                  </w:divBdr>
                  <w:divsChild>
                    <w:div w:id="268780964">
                      <w:marLeft w:val="0"/>
                      <w:marRight w:val="0"/>
                      <w:marTop w:val="0"/>
                      <w:marBottom w:val="0"/>
                      <w:divBdr>
                        <w:top w:val="none" w:sz="0" w:space="0" w:color="auto"/>
                        <w:left w:val="none" w:sz="0" w:space="0" w:color="auto"/>
                        <w:bottom w:val="none" w:sz="0" w:space="0" w:color="auto"/>
                        <w:right w:val="none" w:sz="0" w:space="0" w:color="auto"/>
                      </w:divBdr>
                    </w:div>
                  </w:divsChild>
                </w:div>
                <w:div w:id="1378895723">
                  <w:marLeft w:val="0"/>
                  <w:marRight w:val="0"/>
                  <w:marTop w:val="0"/>
                  <w:marBottom w:val="0"/>
                  <w:divBdr>
                    <w:top w:val="none" w:sz="0" w:space="0" w:color="auto"/>
                    <w:left w:val="none" w:sz="0" w:space="0" w:color="auto"/>
                    <w:bottom w:val="none" w:sz="0" w:space="0" w:color="auto"/>
                    <w:right w:val="none" w:sz="0" w:space="0" w:color="auto"/>
                  </w:divBdr>
                  <w:divsChild>
                    <w:div w:id="798185490">
                      <w:marLeft w:val="0"/>
                      <w:marRight w:val="0"/>
                      <w:marTop w:val="0"/>
                      <w:marBottom w:val="0"/>
                      <w:divBdr>
                        <w:top w:val="none" w:sz="0" w:space="0" w:color="auto"/>
                        <w:left w:val="none" w:sz="0" w:space="0" w:color="auto"/>
                        <w:bottom w:val="none" w:sz="0" w:space="0" w:color="auto"/>
                        <w:right w:val="none" w:sz="0" w:space="0" w:color="auto"/>
                      </w:divBdr>
                    </w:div>
                  </w:divsChild>
                </w:div>
                <w:div w:id="1385526603">
                  <w:marLeft w:val="0"/>
                  <w:marRight w:val="0"/>
                  <w:marTop w:val="0"/>
                  <w:marBottom w:val="0"/>
                  <w:divBdr>
                    <w:top w:val="none" w:sz="0" w:space="0" w:color="auto"/>
                    <w:left w:val="none" w:sz="0" w:space="0" w:color="auto"/>
                    <w:bottom w:val="none" w:sz="0" w:space="0" w:color="auto"/>
                    <w:right w:val="none" w:sz="0" w:space="0" w:color="auto"/>
                  </w:divBdr>
                  <w:divsChild>
                    <w:div w:id="2035885661">
                      <w:marLeft w:val="0"/>
                      <w:marRight w:val="0"/>
                      <w:marTop w:val="0"/>
                      <w:marBottom w:val="0"/>
                      <w:divBdr>
                        <w:top w:val="none" w:sz="0" w:space="0" w:color="auto"/>
                        <w:left w:val="none" w:sz="0" w:space="0" w:color="auto"/>
                        <w:bottom w:val="none" w:sz="0" w:space="0" w:color="auto"/>
                        <w:right w:val="none" w:sz="0" w:space="0" w:color="auto"/>
                      </w:divBdr>
                    </w:div>
                  </w:divsChild>
                </w:div>
                <w:div w:id="1404984566">
                  <w:marLeft w:val="0"/>
                  <w:marRight w:val="0"/>
                  <w:marTop w:val="0"/>
                  <w:marBottom w:val="0"/>
                  <w:divBdr>
                    <w:top w:val="none" w:sz="0" w:space="0" w:color="auto"/>
                    <w:left w:val="none" w:sz="0" w:space="0" w:color="auto"/>
                    <w:bottom w:val="none" w:sz="0" w:space="0" w:color="auto"/>
                    <w:right w:val="none" w:sz="0" w:space="0" w:color="auto"/>
                  </w:divBdr>
                  <w:divsChild>
                    <w:div w:id="1657806288">
                      <w:marLeft w:val="0"/>
                      <w:marRight w:val="0"/>
                      <w:marTop w:val="0"/>
                      <w:marBottom w:val="0"/>
                      <w:divBdr>
                        <w:top w:val="none" w:sz="0" w:space="0" w:color="auto"/>
                        <w:left w:val="none" w:sz="0" w:space="0" w:color="auto"/>
                        <w:bottom w:val="none" w:sz="0" w:space="0" w:color="auto"/>
                        <w:right w:val="none" w:sz="0" w:space="0" w:color="auto"/>
                      </w:divBdr>
                    </w:div>
                  </w:divsChild>
                </w:div>
                <w:div w:id="1416437855">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
                  </w:divsChild>
                </w:div>
                <w:div w:id="1417559560">
                  <w:marLeft w:val="0"/>
                  <w:marRight w:val="0"/>
                  <w:marTop w:val="0"/>
                  <w:marBottom w:val="0"/>
                  <w:divBdr>
                    <w:top w:val="none" w:sz="0" w:space="0" w:color="auto"/>
                    <w:left w:val="none" w:sz="0" w:space="0" w:color="auto"/>
                    <w:bottom w:val="none" w:sz="0" w:space="0" w:color="auto"/>
                    <w:right w:val="none" w:sz="0" w:space="0" w:color="auto"/>
                  </w:divBdr>
                  <w:divsChild>
                    <w:div w:id="757675267">
                      <w:marLeft w:val="0"/>
                      <w:marRight w:val="0"/>
                      <w:marTop w:val="0"/>
                      <w:marBottom w:val="0"/>
                      <w:divBdr>
                        <w:top w:val="none" w:sz="0" w:space="0" w:color="auto"/>
                        <w:left w:val="none" w:sz="0" w:space="0" w:color="auto"/>
                        <w:bottom w:val="none" w:sz="0" w:space="0" w:color="auto"/>
                        <w:right w:val="none" w:sz="0" w:space="0" w:color="auto"/>
                      </w:divBdr>
                    </w:div>
                  </w:divsChild>
                </w:div>
                <w:div w:id="1437825450">
                  <w:marLeft w:val="0"/>
                  <w:marRight w:val="0"/>
                  <w:marTop w:val="0"/>
                  <w:marBottom w:val="0"/>
                  <w:divBdr>
                    <w:top w:val="none" w:sz="0" w:space="0" w:color="auto"/>
                    <w:left w:val="none" w:sz="0" w:space="0" w:color="auto"/>
                    <w:bottom w:val="none" w:sz="0" w:space="0" w:color="auto"/>
                    <w:right w:val="none" w:sz="0" w:space="0" w:color="auto"/>
                  </w:divBdr>
                  <w:divsChild>
                    <w:div w:id="1928731061">
                      <w:marLeft w:val="0"/>
                      <w:marRight w:val="0"/>
                      <w:marTop w:val="0"/>
                      <w:marBottom w:val="0"/>
                      <w:divBdr>
                        <w:top w:val="none" w:sz="0" w:space="0" w:color="auto"/>
                        <w:left w:val="none" w:sz="0" w:space="0" w:color="auto"/>
                        <w:bottom w:val="none" w:sz="0" w:space="0" w:color="auto"/>
                        <w:right w:val="none" w:sz="0" w:space="0" w:color="auto"/>
                      </w:divBdr>
                    </w:div>
                  </w:divsChild>
                </w:div>
                <w:div w:id="1439328523">
                  <w:marLeft w:val="0"/>
                  <w:marRight w:val="0"/>
                  <w:marTop w:val="0"/>
                  <w:marBottom w:val="0"/>
                  <w:divBdr>
                    <w:top w:val="none" w:sz="0" w:space="0" w:color="auto"/>
                    <w:left w:val="none" w:sz="0" w:space="0" w:color="auto"/>
                    <w:bottom w:val="none" w:sz="0" w:space="0" w:color="auto"/>
                    <w:right w:val="none" w:sz="0" w:space="0" w:color="auto"/>
                  </w:divBdr>
                  <w:divsChild>
                    <w:div w:id="1829399892">
                      <w:marLeft w:val="0"/>
                      <w:marRight w:val="0"/>
                      <w:marTop w:val="0"/>
                      <w:marBottom w:val="0"/>
                      <w:divBdr>
                        <w:top w:val="none" w:sz="0" w:space="0" w:color="auto"/>
                        <w:left w:val="none" w:sz="0" w:space="0" w:color="auto"/>
                        <w:bottom w:val="none" w:sz="0" w:space="0" w:color="auto"/>
                        <w:right w:val="none" w:sz="0" w:space="0" w:color="auto"/>
                      </w:divBdr>
                    </w:div>
                  </w:divsChild>
                </w:div>
                <w:div w:id="1473257542">
                  <w:marLeft w:val="0"/>
                  <w:marRight w:val="0"/>
                  <w:marTop w:val="0"/>
                  <w:marBottom w:val="0"/>
                  <w:divBdr>
                    <w:top w:val="none" w:sz="0" w:space="0" w:color="auto"/>
                    <w:left w:val="none" w:sz="0" w:space="0" w:color="auto"/>
                    <w:bottom w:val="none" w:sz="0" w:space="0" w:color="auto"/>
                    <w:right w:val="none" w:sz="0" w:space="0" w:color="auto"/>
                  </w:divBdr>
                  <w:divsChild>
                    <w:div w:id="1188642305">
                      <w:marLeft w:val="0"/>
                      <w:marRight w:val="0"/>
                      <w:marTop w:val="0"/>
                      <w:marBottom w:val="0"/>
                      <w:divBdr>
                        <w:top w:val="none" w:sz="0" w:space="0" w:color="auto"/>
                        <w:left w:val="none" w:sz="0" w:space="0" w:color="auto"/>
                        <w:bottom w:val="none" w:sz="0" w:space="0" w:color="auto"/>
                        <w:right w:val="none" w:sz="0" w:space="0" w:color="auto"/>
                      </w:divBdr>
                    </w:div>
                  </w:divsChild>
                </w:div>
                <w:div w:id="1482040533">
                  <w:marLeft w:val="0"/>
                  <w:marRight w:val="0"/>
                  <w:marTop w:val="0"/>
                  <w:marBottom w:val="0"/>
                  <w:divBdr>
                    <w:top w:val="none" w:sz="0" w:space="0" w:color="auto"/>
                    <w:left w:val="none" w:sz="0" w:space="0" w:color="auto"/>
                    <w:bottom w:val="none" w:sz="0" w:space="0" w:color="auto"/>
                    <w:right w:val="none" w:sz="0" w:space="0" w:color="auto"/>
                  </w:divBdr>
                  <w:divsChild>
                    <w:div w:id="886650689">
                      <w:marLeft w:val="0"/>
                      <w:marRight w:val="0"/>
                      <w:marTop w:val="0"/>
                      <w:marBottom w:val="0"/>
                      <w:divBdr>
                        <w:top w:val="none" w:sz="0" w:space="0" w:color="auto"/>
                        <w:left w:val="none" w:sz="0" w:space="0" w:color="auto"/>
                        <w:bottom w:val="none" w:sz="0" w:space="0" w:color="auto"/>
                        <w:right w:val="none" w:sz="0" w:space="0" w:color="auto"/>
                      </w:divBdr>
                    </w:div>
                  </w:divsChild>
                </w:div>
                <w:div w:id="1494027502">
                  <w:marLeft w:val="0"/>
                  <w:marRight w:val="0"/>
                  <w:marTop w:val="0"/>
                  <w:marBottom w:val="0"/>
                  <w:divBdr>
                    <w:top w:val="none" w:sz="0" w:space="0" w:color="auto"/>
                    <w:left w:val="none" w:sz="0" w:space="0" w:color="auto"/>
                    <w:bottom w:val="none" w:sz="0" w:space="0" w:color="auto"/>
                    <w:right w:val="none" w:sz="0" w:space="0" w:color="auto"/>
                  </w:divBdr>
                  <w:divsChild>
                    <w:div w:id="848326653">
                      <w:marLeft w:val="0"/>
                      <w:marRight w:val="0"/>
                      <w:marTop w:val="0"/>
                      <w:marBottom w:val="0"/>
                      <w:divBdr>
                        <w:top w:val="none" w:sz="0" w:space="0" w:color="auto"/>
                        <w:left w:val="none" w:sz="0" w:space="0" w:color="auto"/>
                        <w:bottom w:val="none" w:sz="0" w:space="0" w:color="auto"/>
                        <w:right w:val="none" w:sz="0" w:space="0" w:color="auto"/>
                      </w:divBdr>
                    </w:div>
                  </w:divsChild>
                </w:div>
                <w:div w:id="1497960950">
                  <w:marLeft w:val="0"/>
                  <w:marRight w:val="0"/>
                  <w:marTop w:val="0"/>
                  <w:marBottom w:val="0"/>
                  <w:divBdr>
                    <w:top w:val="none" w:sz="0" w:space="0" w:color="auto"/>
                    <w:left w:val="none" w:sz="0" w:space="0" w:color="auto"/>
                    <w:bottom w:val="none" w:sz="0" w:space="0" w:color="auto"/>
                    <w:right w:val="none" w:sz="0" w:space="0" w:color="auto"/>
                  </w:divBdr>
                  <w:divsChild>
                    <w:div w:id="1365129512">
                      <w:marLeft w:val="0"/>
                      <w:marRight w:val="0"/>
                      <w:marTop w:val="0"/>
                      <w:marBottom w:val="0"/>
                      <w:divBdr>
                        <w:top w:val="none" w:sz="0" w:space="0" w:color="auto"/>
                        <w:left w:val="none" w:sz="0" w:space="0" w:color="auto"/>
                        <w:bottom w:val="none" w:sz="0" w:space="0" w:color="auto"/>
                        <w:right w:val="none" w:sz="0" w:space="0" w:color="auto"/>
                      </w:divBdr>
                    </w:div>
                  </w:divsChild>
                </w:div>
                <w:div w:id="1510410794">
                  <w:marLeft w:val="0"/>
                  <w:marRight w:val="0"/>
                  <w:marTop w:val="0"/>
                  <w:marBottom w:val="0"/>
                  <w:divBdr>
                    <w:top w:val="none" w:sz="0" w:space="0" w:color="auto"/>
                    <w:left w:val="none" w:sz="0" w:space="0" w:color="auto"/>
                    <w:bottom w:val="none" w:sz="0" w:space="0" w:color="auto"/>
                    <w:right w:val="none" w:sz="0" w:space="0" w:color="auto"/>
                  </w:divBdr>
                  <w:divsChild>
                    <w:div w:id="1690373974">
                      <w:marLeft w:val="0"/>
                      <w:marRight w:val="0"/>
                      <w:marTop w:val="0"/>
                      <w:marBottom w:val="0"/>
                      <w:divBdr>
                        <w:top w:val="none" w:sz="0" w:space="0" w:color="auto"/>
                        <w:left w:val="none" w:sz="0" w:space="0" w:color="auto"/>
                        <w:bottom w:val="none" w:sz="0" w:space="0" w:color="auto"/>
                        <w:right w:val="none" w:sz="0" w:space="0" w:color="auto"/>
                      </w:divBdr>
                    </w:div>
                  </w:divsChild>
                </w:div>
                <w:div w:id="1516578778">
                  <w:marLeft w:val="0"/>
                  <w:marRight w:val="0"/>
                  <w:marTop w:val="0"/>
                  <w:marBottom w:val="0"/>
                  <w:divBdr>
                    <w:top w:val="none" w:sz="0" w:space="0" w:color="auto"/>
                    <w:left w:val="none" w:sz="0" w:space="0" w:color="auto"/>
                    <w:bottom w:val="none" w:sz="0" w:space="0" w:color="auto"/>
                    <w:right w:val="none" w:sz="0" w:space="0" w:color="auto"/>
                  </w:divBdr>
                  <w:divsChild>
                    <w:div w:id="111940248">
                      <w:marLeft w:val="0"/>
                      <w:marRight w:val="0"/>
                      <w:marTop w:val="0"/>
                      <w:marBottom w:val="0"/>
                      <w:divBdr>
                        <w:top w:val="none" w:sz="0" w:space="0" w:color="auto"/>
                        <w:left w:val="none" w:sz="0" w:space="0" w:color="auto"/>
                        <w:bottom w:val="none" w:sz="0" w:space="0" w:color="auto"/>
                        <w:right w:val="none" w:sz="0" w:space="0" w:color="auto"/>
                      </w:divBdr>
                    </w:div>
                  </w:divsChild>
                </w:div>
                <w:div w:id="1525171656">
                  <w:marLeft w:val="0"/>
                  <w:marRight w:val="0"/>
                  <w:marTop w:val="0"/>
                  <w:marBottom w:val="0"/>
                  <w:divBdr>
                    <w:top w:val="none" w:sz="0" w:space="0" w:color="auto"/>
                    <w:left w:val="none" w:sz="0" w:space="0" w:color="auto"/>
                    <w:bottom w:val="none" w:sz="0" w:space="0" w:color="auto"/>
                    <w:right w:val="none" w:sz="0" w:space="0" w:color="auto"/>
                  </w:divBdr>
                  <w:divsChild>
                    <w:div w:id="24715789">
                      <w:marLeft w:val="0"/>
                      <w:marRight w:val="0"/>
                      <w:marTop w:val="0"/>
                      <w:marBottom w:val="0"/>
                      <w:divBdr>
                        <w:top w:val="none" w:sz="0" w:space="0" w:color="auto"/>
                        <w:left w:val="none" w:sz="0" w:space="0" w:color="auto"/>
                        <w:bottom w:val="none" w:sz="0" w:space="0" w:color="auto"/>
                        <w:right w:val="none" w:sz="0" w:space="0" w:color="auto"/>
                      </w:divBdr>
                    </w:div>
                  </w:divsChild>
                </w:div>
                <w:div w:id="1550876054">
                  <w:marLeft w:val="0"/>
                  <w:marRight w:val="0"/>
                  <w:marTop w:val="0"/>
                  <w:marBottom w:val="0"/>
                  <w:divBdr>
                    <w:top w:val="none" w:sz="0" w:space="0" w:color="auto"/>
                    <w:left w:val="none" w:sz="0" w:space="0" w:color="auto"/>
                    <w:bottom w:val="none" w:sz="0" w:space="0" w:color="auto"/>
                    <w:right w:val="none" w:sz="0" w:space="0" w:color="auto"/>
                  </w:divBdr>
                  <w:divsChild>
                    <w:div w:id="1455441430">
                      <w:marLeft w:val="0"/>
                      <w:marRight w:val="0"/>
                      <w:marTop w:val="0"/>
                      <w:marBottom w:val="0"/>
                      <w:divBdr>
                        <w:top w:val="none" w:sz="0" w:space="0" w:color="auto"/>
                        <w:left w:val="none" w:sz="0" w:space="0" w:color="auto"/>
                        <w:bottom w:val="none" w:sz="0" w:space="0" w:color="auto"/>
                        <w:right w:val="none" w:sz="0" w:space="0" w:color="auto"/>
                      </w:divBdr>
                    </w:div>
                  </w:divsChild>
                </w:div>
                <w:div w:id="1569655223">
                  <w:marLeft w:val="0"/>
                  <w:marRight w:val="0"/>
                  <w:marTop w:val="0"/>
                  <w:marBottom w:val="0"/>
                  <w:divBdr>
                    <w:top w:val="none" w:sz="0" w:space="0" w:color="auto"/>
                    <w:left w:val="none" w:sz="0" w:space="0" w:color="auto"/>
                    <w:bottom w:val="none" w:sz="0" w:space="0" w:color="auto"/>
                    <w:right w:val="none" w:sz="0" w:space="0" w:color="auto"/>
                  </w:divBdr>
                  <w:divsChild>
                    <w:div w:id="842090543">
                      <w:marLeft w:val="0"/>
                      <w:marRight w:val="0"/>
                      <w:marTop w:val="0"/>
                      <w:marBottom w:val="0"/>
                      <w:divBdr>
                        <w:top w:val="none" w:sz="0" w:space="0" w:color="auto"/>
                        <w:left w:val="none" w:sz="0" w:space="0" w:color="auto"/>
                        <w:bottom w:val="none" w:sz="0" w:space="0" w:color="auto"/>
                        <w:right w:val="none" w:sz="0" w:space="0" w:color="auto"/>
                      </w:divBdr>
                    </w:div>
                  </w:divsChild>
                </w:div>
                <w:div w:id="1575508075">
                  <w:marLeft w:val="0"/>
                  <w:marRight w:val="0"/>
                  <w:marTop w:val="0"/>
                  <w:marBottom w:val="0"/>
                  <w:divBdr>
                    <w:top w:val="none" w:sz="0" w:space="0" w:color="auto"/>
                    <w:left w:val="none" w:sz="0" w:space="0" w:color="auto"/>
                    <w:bottom w:val="none" w:sz="0" w:space="0" w:color="auto"/>
                    <w:right w:val="none" w:sz="0" w:space="0" w:color="auto"/>
                  </w:divBdr>
                  <w:divsChild>
                    <w:div w:id="2056814066">
                      <w:marLeft w:val="0"/>
                      <w:marRight w:val="0"/>
                      <w:marTop w:val="0"/>
                      <w:marBottom w:val="0"/>
                      <w:divBdr>
                        <w:top w:val="none" w:sz="0" w:space="0" w:color="auto"/>
                        <w:left w:val="none" w:sz="0" w:space="0" w:color="auto"/>
                        <w:bottom w:val="none" w:sz="0" w:space="0" w:color="auto"/>
                        <w:right w:val="none" w:sz="0" w:space="0" w:color="auto"/>
                      </w:divBdr>
                    </w:div>
                  </w:divsChild>
                </w:div>
                <w:div w:id="1584141929">
                  <w:marLeft w:val="0"/>
                  <w:marRight w:val="0"/>
                  <w:marTop w:val="0"/>
                  <w:marBottom w:val="0"/>
                  <w:divBdr>
                    <w:top w:val="none" w:sz="0" w:space="0" w:color="auto"/>
                    <w:left w:val="none" w:sz="0" w:space="0" w:color="auto"/>
                    <w:bottom w:val="none" w:sz="0" w:space="0" w:color="auto"/>
                    <w:right w:val="none" w:sz="0" w:space="0" w:color="auto"/>
                  </w:divBdr>
                  <w:divsChild>
                    <w:div w:id="471408211">
                      <w:marLeft w:val="0"/>
                      <w:marRight w:val="0"/>
                      <w:marTop w:val="0"/>
                      <w:marBottom w:val="0"/>
                      <w:divBdr>
                        <w:top w:val="none" w:sz="0" w:space="0" w:color="auto"/>
                        <w:left w:val="none" w:sz="0" w:space="0" w:color="auto"/>
                        <w:bottom w:val="none" w:sz="0" w:space="0" w:color="auto"/>
                        <w:right w:val="none" w:sz="0" w:space="0" w:color="auto"/>
                      </w:divBdr>
                    </w:div>
                  </w:divsChild>
                </w:div>
                <w:div w:id="1593391654">
                  <w:marLeft w:val="0"/>
                  <w:marRight w:val="0"/>
                  <w:marTop w:val="0"/>
                  <w:marBottom w:val="0"/>
                  <w:divBdr>
                    <w:top w:val="none" w:sz="0" w:space="0" w:color="auto"/>
                    <w:left w:val="none" w:sz="0" w:space="0" w:color="auto"/>
                    <w:bottom w:val="none" w:sz="0" w:space="0" w:color="auto"/>
                    <w:right w:val="none" w:sz="0" w:space="0" w:color="auto"/>
                  </w:divBdr>
                  <w:divsChild>
                    <w:div w:id="1719351763">
                      <w:marLeft w:val="0"/>
                      <w:marRight w:val="0"/>
                      <w:marTop w:val="0"/>
                      <w:marBottom w:val="0"/>
                      <w:divBdr>
                        <w:top w:val="none" w:sz="0" w:space="0" w:color="auto"/>
                        <w:left w:val="none" w:sz="0" w:space="0" w:color="auto"/>
                        <w:bottom w:val="none" w:sz="0" w:space="0" w:color="auto"/>
                        <w:right w:val="none" w:sz="0" w:space="0" w:color="auto"/>
                      </w:divBdr>
                    </w:div>
                  </w:divsChild>
                </w:div>
                <w:div w:id="1602833951">
                  <w:marLeft w:val="0"/>
                  <w:marRight w:val="0"/>
                  <w:marTop w:val="0"/>
                  <w:marBottom w:val="0"/>
                  <w:divBdr>
                    <w:top w:val="none" w:sz="0" w:space="0" w:color="auto"/>
                    <w:left w:val="none" w:sz="0" w:space="0" w:color="auto"/>
                    <w:bottom w:val="none" w:sz="0" w:space="0" w:color="auto"/>
                    <w:right w:val="none" w:sz="0" w:space="0" w:color="auto"/>
                  </w:divBdr>
                  <w:divsChild>
                    <w:div w:id="1284993148">
                      <w:marLeft w:val="0"/>
                      <w:marRight w:val="0"/>
                      <w:marTop w:val="0"/>
                      <w:marBottom w:val="0"/>
                      <w:divBdr>
                        <w:top w:val="none" w:sz="0" w:space="0" w:color="auto"/>
                        <w:left w:val="none" w:sz="0" w:space="0" w:color="auto"/>
                        <w:bottom w:val="none" w:sz="0" w:space="0" w:color="auto"/>
                        <w:right w:val="none" w:sz="0" w:space="0" w:color="auto"/>
                      </w:divBdr>
                    </w:div>
                  </w:divsChild>
                </w:div>
                <w:div w:id="1608270648">
                  <w:marLeft w:val="0"/>
                  <w:marRight w:val="0"/>
                  <w:marTop w:val="0"/>
                  <w:marBottom w:val="0"/>
                  <w:divBdr>
                    <w:top w:val="none" w:sz="0" w:space="0" w:color="auto"/>
                    <w:left w:val="none" w:sz="0" w:space="0" w:color="auto"/>
                    <w:bottom w:val="none" w:sz="0" w:space="0" w:color="auto"/>
                    <w:right w:val="none" w:sz="0" w:space="0" w:color="auto"/>
                  </w:divBdr>
                  <w:divsChild>
                    <w:div w:id="332950324">
                      <w:marLeft w:val="0"/>
                      <w:marRight w:val="0"/>
                      <w:marTop w:val="0"/>
                      <w:marBottom w:val="0"/>
                      <w:divBdr>
                        <w:top w:val="none" w:sz="0" w:space="0" w:color="auto"/>
                        <w:left w:val="none" w:sz="0" w:space="0" w:color="auto"/>
                        <w:bottom w:val="none" w:sz="0" w:space="0" w:color="auto"/>
                        <w:right w:val="none" w:sz="0" w:space="0" w:color="auto"/>
                      </w:divBdr>
                    </w:div>
                  </w:divsChild>
                </w:div>
                <w:div w:id="1621186923">
                  <w:marLeft w:val="0"/>
                  <w:marRight w:val="0"/>
                  <w:marTop w:val="0"/>
                  <w:marBottom w:val="0"/>
                  <w:divBdr>
                    <w:top w:val="none" w:sz="0" w:space="0" w:color="auto"/>
                    <w:left w:val="none" w:sz="0" w:space="0" w:color="auto"/>
                    <w:bottom w:val="none" w:sz="0" w:space="0" w:color="auto"/>
                    <w:right w:val="none" w:sz="0" w:space="0" w:color="auto"/>
                  </w:divBdr>
                  <w:divsChild>
                    <w:div w:id="828786872">
                      <w:marLeft w:val="0"/>
                      <w:marRight w:val="0"/>
                      <w:marTop w:val="0"/>
                      <w:marBottom w:val="0"/>
                      <w:divBdr>
                        <w:top w:val="none" w:sz="0" w:space="0" w:color="auto"/>
                        <w:left w:val="none" w:sz="0" w:space="0" w:color="auto"/>
                        <w:bottom w:val="none" w:sz="0" w:space="0" w:color="auto"/>
                        <w:right w:val="none" w:sz="0" w:space="0" w:color="auto"/>
                      </w:divBdr>
                    </w:div>
                  </w:divsChild>
                </w:div>
                <w:div w:id="1623417751">
                  <w:marLeft w:val="0"/>
                  <w:marRight w:val="0"/>
                  <w:marTop w:val="0"/>
                  <w:marBottom w:val="0"/>
                  <w:divBdr>
                    <w:top w:val="none" w:sz="0" w:space="0" w:color="auto"/>
                    <w:left w:val="none" w:sz="0" w:space="0" w:color="auto"/>
                    <w:bottom w:val="none" w:sz="0" w:space="0" w:color="auto"/>
                    <w:right w:val="none" w:sz="0" w:space="0" w:color="auto"/>
                  </w:divBdr>
                  <w:divsChild>
                    <w:div w:id="1646935500">
                      <w:marLeft w:val="0"/>
                      <w:marRight w:val="0"/>
                      <w:marTop w:val="0"/>
                      <w:marBottom w:val="0"/>
                      <w:divBdr>
                        <w:top w:val="none" w:sz="0" w:space="0" w:color="auto"/>
                        <w:left w:val="none" w:sz="0" w:space="0" w:color="auto"/>
                        <w:bottom w:val="none" w:sz="0" w:space="0" w:color="auto"/>
                        <w:right w:val="none" w:sz="0" w:space="0" w:color="auto"/>
                      </w:divBdr>
                    </w:div>
                  </w:divsChild>
                </w:div>
                <w:div w:id="1707482146">
                  <w:marLeft w:val="0"/>
                  <w:marRight w:val="0"/>
                  <w:marTop w:val="0"/>
                  <w:marBottom w:val="0"/>
                  <w:divBdr>
                    <w:top w:val="none" w:sz="0" w:space="0" w:color="auto"/>
                    <w:left w:val="none" w:sz="0" w:space="0" w:color="auto"/>
                    <w:bottom w:val="none" w:sz="0" w:space="0" w:color="auto"/>
                    <w:right w:val="none" w:sz="0" w:space="0" w:color="auto"/>
                  </w:divBdr>
                  <w:divsChild>
                    <w:div w:id="262299534">
                      <w:marLeft w:val="0"/>
                      <w:marRight w:val="0"/>
                      <w:marTop w:val="0"/>
                      <w:marBottom w:val="0"/>
                      <w:divBdr>
                        <w:top w:val="none" w:sz="0" w:space="0" w:color="auto"/>
                        <w:left w:val="none" w:sz="0" w:space="0" w:color="auto"/>
                        <w:bottom w:val="none" w:sz="0" w:space="0" w:color="auto"/>
                        <w:right w:val="none" w:sz="0" w:space="0" w:color="auto"/>
                      </w:divBdr>
                    </w:div>
                  </w:divsChild>
                </w:div>
                <w:div w:id="1716613597">
                  <w:marLeft w:val="0"/>
                  <w:marRight w:val="0"/>
                  <w:marTop w:val="0"/>
                  <w:marBottom w:val="0"/>
                  <w:divBdr>
                    <w:top w:val="none" w:sz="0" w:space="0" w:color="auto"/>
                    <w:left w:val="none" w:sz="0" w:space="0" w:color="auto"/>
                    <w:bottom w:val="none" w:sz="0" w:space="0" w:color="auto"/>
                    <w:right w:val="none" w:sz="0" w:space="0" w:color="auto"/>
                  </w:divBdr>
                  <w:divsChild>
                    <w:div w:id="656884553">
                      <w:marLeft w:val="0"/>
                      <w:marRight w:val="0"/>
                      <w:marTop w:val="0"/>
                      <w:marBottom w:val="0"/>
                      <w:divBdr>
                        <w:top w:val="none" w:sz="0" w:space="0" w:color="auto"/>
                        <w:left w:val="none" w:sz="0" w:space="0" w:color="auto"/>
                        <w:bottom w:val="none" w:sz="0" w:space="0" w:color="auto"/>
                        <w:right w:val="none" w:sz="0" w:space="0" w:color="auto"/>
                      </w:divBdr>
                    </w:div>
                  </w:divsChild>
                </w:div>
                <w:div w:id="1721635779">
                  <w:marLeft w:val="0"/>
                  <w:marRight w:val="0"/>
                  <w:marTop w:val="0"/>
                  <w:marBottom w:val="0"/>
                  <w:divBdr>
                    <w:top w:val="none" w:sz="0" w:space="0" w:color="auto"/>
                    <w:left w:val="none" w:sz="0" w:space="0" w:color="auto"/>
                    <w:bottom w:val="none" w:sz="0" w:space="0" w:color="auto"/>
                    <w:right w:val="none" w:sz="0" w:space="0" w:color="auto"/>
                  </w:divBdr>
                  <w:divsChild>
                    <w:div w:id="104740360">
                      <w:marLeft w:val="0"/>
                      <w:marRight w:val="0"/>
                      <w:marTop w:val="0"/>
                      <w:marBottom w:val="0"/>
                      <w:divBdr>
                        <w:top w:val="none" w:sz="0" w:space="0" w:color="auto"/>
                        <w:left w:val="none" w:sz="0" w:space="0" w:color="auto"/>
                        <w:bottom w:val="none" w:sz="0" w:space="0" w:color="auto"/>
                        <w:right w:val="none" w:sz="0" w:space="0" w:color="auto"/>
                      </w:divBdr>
                    </w:div>
                  </w:divsChild>
                </w:div>
                <w:div w:id="1741367420">
                  <w:marLeft w:val="0"/>
                  <w:marRight w:val="0"/>
                  <w:marTop w:val="0"/>
                  <w:marBottom w:val="0"/>
                  <w:divBdr>
                    <w:top w:val="none" w:sz="0" w:space="0" w:color="auto"/>
                    <w:left w:val="none" w:sz="0" w:space="0" w:color="auto"/>
                    <w:bottom w:val="none" w:sz="0" w:space="0" w:color="auto"/>
                    <w:right w:val="none" w:sz="0" w:space="0" w:color="auto"/>
                  </w:divBdr>
                  <w:divsChild>
                    <w:div w:id="359362794">
                      <w:marLeft w:val="0"/>
                      <w:marRight w:val="0"/>
                      <w:marTop w:val="0"/>
                      <w:marBottom w:val="0"/>
                      <w:divBdr>
                        <w:top w:val="none" w:sz="0" w:space="0" w:color="auto"/>
                        <w:left w:val="none" w:sz="0" w:space="0" w:color="auto"/>
                        <w:bottom w:val="none" w:sz="0" w:space="0" w:color="auto"/>
                        <w:right w:val="none" w:sz="0" w:space="0" w:color="auto"/>
                      </w:divBdr>
                    </w:div>
                  </w:divsChild>
                </w:div>
                <w:div w:id="1756896645">
                  <w:marLeft w:val="0"/>
                  <w:marRight w:val="0"/>
                  <w:marTop w:val="0"/>
                  <w:marBottom w:val="0"/>
                  <w:divBdr>
                    <w:top w:val="none" w:sz="0" w:space="0" w:color="auto"/>
                    <w:left w:val="none" w:sz="0" w:space="0" w:color="auto"/>
                    <w:bottom w:val="none" w:sz="0" w:space="0" w:color="auto"/>
                    <w:right w:val="none" w:sz="0" w:space="0" w:color="auto"/>
                  </w:divBdr>
                  <w:divsChild>
                    <w:div w:id="523134092">
                      <w:marLeft w:val="0"/>
                      <w:marRight w:val="0"/>
                      <w:marTop w:val="0"/>
                      <w:marBottom w:val="0"/>
                      <w:divBdr>
                        <w:top w:val="none" w:sz="0" w:space="0" w:color="auto"/>
                        <w:left w:val="none" w:sz="0" w:space="0" w:color="auto"/>
                        <w:bottom w:val="none" w:sz="0" w:space="0" w:color="auto"/>
                        <w:right w:val="none" w:sz="0" w:space="0" w:color="auto"/>
                      </w:divBdr>
                    </w:div>
                  </w:divsChild>
                </w:div>
                <w:div w:id="1759324990">
                  <w:marLeft w:val="0"/>
                  <w:marRight w:val="0"/>
                  <w:marTop w:val="0"/>
                  <w:marBottom w:val="0"/>
                  <w:divBdr>
                    <w:top w:val="none" w:sz="0" w:space="0" w:color="auto"/>
                    <w:left w:val="none" w:sz="0" w:space="0" w:color="auto"/>
                    <w:bottom w:val="none" w:sz="0" w:space="0" w:color="auto"/>
                    <w:right w:val="none" w:sz="0" w:space="0" w:color="auto"/>
                  </w:divBdr>
                  <w:divsChild>
                    <w:div w:id="1700088763">
                      <w:marLeft w:val="0"/>
                      <w:marRight w:val="0"/>
                      <w:marTop w:val="0"/>
                      <w:marBottom w:val="0"/>
                      <w:divBdr>
                        <w:top w:val="none" w:sz="0" w:space="0" w:color="auto"/>
                        <w:left w:val="none" w:sz="0" w:space="0" w:color="auto"/>
                        <w:bottom w:val="none" w:sz="0" w:space="0" w:color="auto"/>
                        <w:right w:val="none" w:sz="0" w:space="0" w:color="auto"/>
                      </w:divBdr>
                    </w:div>
                  </w:divsChild>
                </w:div>
                <w:div w:id="1771703690">
                  <w:marLeft w:val="0"/>
                  <w:marRight w:val="0"/>
                  <w:marTop w:val="0"/>
                  <w:marBottom w:val="0"/>
                  <w:divBdr>
                    <w:top w:val="none" w:sz="0" w:space="0" w:color="auto"/>
                    <w:left w:val="none" w:sz="0" w:space="0" w:color="auto"/>
                    <w:bottom w:val="none" w:sz="0" w:space="0" w:color="auto"/>
                    <w:right w:val="none" w:sz="0" w:space="0" w:color="auto"/>
                  </w:divBdr>
                  <w:divsChild>
                    <w:div w:id="1829710133">
                      <w:marLeft w:val="0"/>
                      <w:marRight w:val="0"/>
                      <w:marTop w:val="0"/>
                      <w:marBottom w:val="0"/>
                      <w:divBdr>
                        <w:top w:val="none" w:sz="0" w:space="0" w:color="auto"/>
                        <w:left w:val="none" w:sz="0" w:space="0" w:color="auto"/>
                        <w:bottom w:val="none" w:sz="0" w:space="0" w:color="auto"/>
                        <w:right w:val="none" w:sz="0" w:space="0" w:color="auto"/>
                      </w:divBdr>
                    </w:div>
                  </w:divsChild>
                </w:div>
                <w:div w:id="1784376590">
                  <w:marLeft w:val="0"/>
                  <w:marRight w:val="0"/>
                  <w:marTop w:val="0"/>
                  <w:marBottom w:val="0"/>
                  <w:divBdr>
                    <w:top w:val="none" w:sz="0" w:space="0" w:color="auto"/>
                    <w:left w:val="none" w:sz="0" w:space="0" w:color="auto"/>
                    <w:bottom w:val="none" w:sz="0" w:space="0" w:color="auto"/>
                    <w:right w:val="none" w:sz="0" w:space="0" w:color="auto"/>
                  </w:divBdr>
                  <w:divsChild>
                    <w:div w:id="582958330">
                      <w:marLeft w:val="0"/>
                      <w:marRight w:val="0"/>
                      <w:marTop w:val="0"/>
                      <w:marBottom w:val="0"/>
                      <w:divBdr>
                        <w:top w:val="none" w:sz="0" w:space="0" w:color="auto"/>
                        <w:left w:val="none" w:sz="0" w:space="0" w:color="auto"/>
                        <w:bottom w:val="none" w:sz="0" w:space="0" w:color="auto"/>
                        <w:right w:val="none" w:sz="0" w:space="0" w:color="auto"/>
                      </w:divBdr>
                    </w:div>
                  </w:divsChild>
                </w:div>
                <w:div w:id="1784491243">
                  <w:marLeft w:val="0"/>
                  <w:marRight w:val="0"/>
                  <w:marTop w:val="0"/>
                  <w:marBottom w:val="0"/>
                  <w:divBdr>
                    <w:top w:val="none" w:sz="0" w:space="0" w:color="auto"/>
                    <w:left w:val="none" w:sz="0" w:space="0" w:color="auto"/>
                    <w:bottom w:val="none" w:sz="0" w:space="0" w:color="auto"/>
                    <w:right w:val="none" w:sz="0" w:space="0" w:color="auto"/>
                  </w:divBdr>
                  <w:divsChild>
                    <w:div w:id="2124761359">
                      <w:marLeft w:val="0"/>
                      <w:marRight w:val="0"/>
                      <w:marTop w:val="0"/>
                      <w:marBottom w:val="0"/>
                      <w:divBdr>
                        <w:top w:val="none" w:sz="0" w:space="0" w:color="auto"/>
                        <w:left w:val="none" w:sz="0" w:space="0" w:color="auto"/>
                        <w:bottom w:val="none" w:sz="0" w:space="0" w:color="auto"/>
                        <w:right w:val="none" w:sz="0" w:space="0" w:color="auto"/>
                      </w:divBdr>
                    </w:div>
                  </w:divsChild>
                </w:div>
                <w:div w:id="1786925068">
                  <w:marLeft w:val="0"/>
                  <w:marRight w:val="0"/>
                  <w:marTop w:val="0"/>
                  <w:marBottom w:val="0"/>
                  <w:divBdr>
                    <w:top w:val="none" w:sz="0" w:space="0" w:color="auto"/>
                    <w:left w:val="none" w:sz="0" w:space="0" w:color="auto"/>
                    <w:bottom w:val="none" w:sz="0" w:space="0" w:color="auto"/>
                    <w:right w:val="none" w:sz="0" w:space="0" w:color="auto"/>
                  </w:divBdr>
                  <w:divsChild>
                    <w:div w:id="1476751274">
                      <w:marLeft w:val="0"/>
                      <w:marRight w:val="0"/>
                      <w:marTop w:val="0"/>
                      <w:marBottom w:val="0"/>
                      <w:divBdr>
                        <w:top w:val="none" w:sz="0" w:space="0" w:color="auto"/>
                        <w:left w:val="none" w:sz="0" w:space="0" w:color="auto"/>
                        <w:bottom w:val="none" w:sz="0" w:space="0" w:color="auto"/>
                        <w:right w:val="none" w:sz="0" w:space="0" w:color="auto"/>
                      </w:divBdr>
                    </w:div>
                  </w:divsChild>
                </w:div>
                <w:div w:id="1799641570">
                  <w:marLeft w:val="0"/>
                  <w:marRight w:val="0"/>
                  <w:marTop w:val="0"/>
                  <w:marBottom w:val="0"/>
                  <w:divBdr>
                    <w:top w:val="none" w:sz="0" w:space="0" w:color="auto"/>
                    <w:left w:val="none" w:sz="0" w:space="0" w:color="auto"/>
                    <w:bottom w:val="none" w:sz="0" w:space="0" w:color="auto"/>
                    <w:right w:val="none" w:sz="0" w:space="0" w:color="auto"/>
                  </w:divBdr>
                  <w:divsChild>
                    <w:div w:id="968629633">
                      <w:marLeft w:val="0"/>
                      <w:marRight w:val="0"/>
                      <w:marTop w:val="0"/>
                      <w:marBottom w:val="0"/>
                      <w:divBdr>
                        <w:top w:val="none" w:sz="0" w:space="0" w:color="auto"/>
                        <w:left w:val="none" w:sz="0" w:space="0" w:color="auto"/>
                        <w:bottom w:val="none" w:sz="0" w:space="0" w:color="auto"/>
                        <w:right w:val="none" w:sz="0" w:space="0" w:color="auto"/>
                      </w:divBdr>
                    </w:div>
                  </w:divsChild>
                </w:div>
                <w:div w:id="1806509729">
                  <w:marLeft w:val="0"/>
                  <w:marRight w:val="0"/>
                  <w:marTop w:val="0"/>
                  <w:marBottom w:val="0"/>
                  <w:divBdr>
                    <w:top w:val="none" w:sz="0" w:space="0" w:color="auto"/>
                    <w:left w:val="none" w:sz="0" w:space="0" w:color="auto"/>
                    <w:bottom w:val="none" w:sz="0" w:space="0" w:color="auto"/>
                    <w:right w:val="none" w:sz="0" w:space="0" w:color="auto"/>
                  </w:divBdr>
                  <w:divsChild>
                    <w:div w:id="95373924">
                      <w:marLeft w:val="0"/>
                      <w:marRight w:val="0"/>
                      <w:marTop w:val="0"/>
                      <w:marBottom w:val="0"/>
                      <w:divBdr>
                        <w:top w:val="none" w:sz="0" w:space="0" w:color="auto"/>
                        <w:left w:val="none" w:sz="0" w:space="0" w:color="auto"/>
                        <w:bottom w:val="none" w:sz="0" w:space="0" w:color="auto"/>
                        <w:right w:val="none" w:sz="0" w:space="0" w:color="auto"/>
                      </w:divBdr>
                    </w:div>
                  </w:divsChild>
                </w:div>
                <w:div w:id="1810903077">
                  <w:marLeft w:val="0"/>
                  <w:marRight w:val="0"/>
                  <w:marTop w:val="0"/>
                  <w:marBottom w:val="0"/>
                  <w:divBdr>
                    <w:top w:val="none" w:sz="0" w:space="0" w:color="auto"/>
                    <w:left w:val="none" w:sz="0" w:space="0" w:color="auto"/>
                    <w:bottom w:val="none" w:sz="0" w:space="0" w:color="auto"/>
                    <w:right w:val="none" w:sz="0" w:space="0" w:color="auto"/>
                  </w:divBdr>
                  <w:divsChild>
                    <w:div w:id="533005378">
                      <w:marLeft w:val="0"/>
                      <w:marRight w:val="0"/>
                      <w:marTop w:val="0"/>
                      <w:marBottom w:val="0"/>
                      <w:divBdr>
                        <w:top w:val="none" w:sz="0" w:space="0" w:color="auto"/>
                        <w:left w:val="none" w:sz="0" w:space="0" w:color="auto"/>
                        <w:bottom w:val="none" w:sz="0" w:space="0" w:color="auto"/>
                        <w:right w:val="none" w:sz="0" w:space="0" w:color="auto"/>
                      </w:divBdr>
                    </w:div>
                  </w:divsChild>
                </w:div>
                <w:div w:id="1814063342">
                  <w:marLeft w:val="0"/>
                  <w:marRight w:val="0"/>
                  <w:marTop w:val="0"/>
                  <w:marBottom w:val="0"/>
                  <w:divBdr>
                    <w:top w:val="none" w:sz="0" w:space="0" w:color="auto"/>
                    <w:left w:val="none" w:sz="0" w:space="0" w:color="auto"/>
                    <w:bottom w:val="none" w:sz="0" w:space="0" w:color="auto"/>
                    <w:right w:val="none" w:sz="0" w:space="0" w:color="auto"/>
                  </w:divBdr>
                  <w:divsChild>
                    <w:div w:id="1859854604">
                      <w:marLeft w:val="0"/>
                      <w:marRight w:val="0"/>
                      <w:marTop w:val="0"/>
                      <w:marBottom w:val="0"/>
                      <w:divBdr>
                        <w:top w:val="none" w:sz="0" w:space="0" w:color="auto"/>
                        <w:left w:val="none" w:sz="0" w:space="0" w:color="auto"/>
                        <w:bottom w:val="none" w:sz="0" w:space="0" w:color="auto"/>
                        <w:right w:val="none" w:sz="0" w:space="0" w:color="auto"/>
                      </w:divBdr>
                    </w:div>
                  </w:divsChild>
                </w:div>
                <w:div w:id="1816215295">
                  <w:marLeft w:val="0"/>
                  <w:marRight w:val="0"/>
                  <w:marTop w:val="0"/>
                  <w:marBottom w:val="0"/>
                  <w:divBdr>
                    <w:top w:val="none" w:sz="0" w:space="0" w:color="auto"/>
                    <w:left w:val="none" w:sz="0" w:space="0" w:color="auto"/>
                    <w:bottom w:val="none" w:sz="0" w:space="0" w:color="auto"/>
                    <w:right w:val="none" w:sz="0" w:space="0" w:color="auto"/>
                  </w:divBdr>
                  <w:divsChild>
                    <w:div w:id="1941373962">
                      <w:marLeft w:val="0"/>
                      <w:marRight w:val="0"/>
                      <w:marTop w:val="0"/>
                      <w:marBottom w:val="0"/>
                      <w:divBdr>
                        <w:top w:val="none" w:sz="0" w:space="0" w:color="auto"/>
                        <w:left w:val="none" w:sz="0" w:space="0" w:color="auto"/>
                        <w:bottom w:val="none" w:sz="0" w:space="0" w:color="auto"/>
                        <w:right w:val="none" w:sz="0" w:space="0" w:color="auto"/>
                      </w:divBdr>
                    </w:div>
                  </w:divsChild>
                </w:div>
                <w:div w:id="1830441094">
                  <w:marLeft w:val="0"/>
                  <w:marRight w:val="0"/>
                  <w:marTop w:val="0"/>
                  <w:marBottom w:val="0"/>
                  <w:divBdr>
                    <w:top w:val="none" w:sz="0" w:space="0" w:color="auto"/>
                    <w:left w:val="none" w:sz="0" w:space="0" w:color="auto"/>
                    <w:bottom w:val="none" w:sz="0" w:space="0" w:color="auto"/>
                    <w:right w:val="none" w:sz="0" w:space="0" w:color="auto"/>
                  </w:divBdr>
                  <w:divsChild>
                    <w:div w:id="1981493818">
                      <w:marLeft w:val="0"/>
                      <w:marRight w:val="0"/>
                      <w:marTop w:val="0"/>
                      <w:marBottom w:val="0"/>
                      <w:divBdr>
                        <w:top w:val="none" w:sz="0" w:space="0" w:color="auto"/>
                        <w:left w:val="none" w:sz="0" w:space="0" w:color="auto"/>
                        <w:bottom w:val="none" w:sz="0" w:space="0" w:color="auto"/>
                        <w:right w:val="none" w:sz="0" w:space="0" w:color="auto"/>
                      </w:divBdr>
                    </w:div>
                  </w:divsChild>
                </w:div>
                <w:div w:id="1849053511">
                  <w:marLeft w:val="0"/>
                  <w:marRight w:val="0"/>
                  <w:marTop w:val="0"/>
                  <w:marBottom w:val="0"/>
                  <w:divBdr>
                    <w:top w:val="none" w:sz="0" w:space="0" w:color="auto"/>
                    <w:left w:val="none" w:sz="0" w:space="0" w:color="auto"/>
                    <w:bottom w:val="none" w:sz="0" w:space="0" w:color="auto"/>
                    <w:right w:val="none" w:sz="0" w:space="0" w:color="auto"/>
                  </w:divBdr>
                  <w:divsChild>
                    <w:div w:id="1017654932">
                      <w:marLeft w:val="0"/>
                      <w:marRight w:val="0"/>
                      <w:marTop w:val="0"/>
                      <w:marBottom w:val="0"/>
                      <w:divBdr>
                        <w:top w:val="none" w:sz="0" w:space="0" w:color="auto"/>
                        <w:left w:val="none" w:sz="0" w:space="0" w:color="auto"/>
                        <w:bottom w:val="none" w:sz="0" w:space="0" w:color="auto"/>
                        <w:right w:val="none" w:sz="0" w:space="0" w:color="auto"/>
                      </w:divBdr>
                    </w:div>
                  </w:divsChild>
                </w:div>
                <w:div w:id="1850950103">
                  <w:marLeft w:val="0"/>
                  <w:marRight w:val="0"/>
                  <w:marTop w:val="0"/>
                  <w:marBottom w:val="0"/>
                  <w:divBdr>
                    <w:top w:val="none" w:sz="0" w:space="0" w:color="auto"/>
                    <w:left w:val="none" w:sz="0" w:space="0" w:color="auto"/>
                    <w:bottom w:val="none" w:sz="0" w:space="0" w:color="auto"/>
                    <w:right w:val="none" w:sz="0" w:space="0" w:color="auto"/>
                  </w:divBdr>
                  <w:divsChild>
                    <w:div w:id="826437122">
                      <w:marLeft w:val="0"/>
                      <w:marRight w:val="0"/>
                      <w:marTop w:val="0"/>
                      <w:marBottom w:val="0"/>
                      <w:divBdr>
                        <w:top w:val="none" w:sz="0" w:space="0" w:color="auto"/>
                        <w:left w:val="none" w:sz="0" w:space="0" w:color="auto"/>
                        <w:bottom w:val="none" w:sz="0" w:space="0" w:color="auto"/>
                        <w:right w:val="none" w:sz="0" w:space="0" w:color="auto"/>
                      </w:divBdr>
                    </w:div>
                  </w:divsChild>
                </w:div>
                <w:div w:id="1866166531">
                  <w:marLeft w:val="0"/>
                  <w:marRight w:val="0"/>
                  <w:marTop w:val="0"/>
                  <w:marBottom w:val="0"/>
                  <w:divBdr>
                    <w:top w:val="none" w:sz="0" w:space="0" w:color="auto"/>
                    <w:left w:val="none" w:sz="0" w:space="0" w:color="auto"/>
                    <w:bottom w:val="none" w:sz="0" w:space="0" w:color="auto"/>
                    <w:right w:val="none" w:sz="0" w:space="0" w:color="auto"/>
                  </w:divBdr>
                  <w:divsChild>
                    <w:div w:id="32311466">
                      <w:marLeft w:val="0"/>
                      <w:marRight w:val="0"/>
                      <w:marTop w:val="0"/>
                      <w:marBottom w:val="0"/>
                      <w:divBdr>
                        <w:top w:val="none" w:sz="0" w:space="0" w:color="auto"/>
                        <w:left w:val="none" w:sz="0" w:space="0" w:color="auto"/>
                        <w:bottom w:val="none" w:sz="0" w:space="0" w:color="auto"/>
                        <w:right w:val="none" w:sz="0" w:space="0" w:color="auto"/>
                      </w:divBdr>
                    </w:div>
                  </w:divsChild>
                </w:div>
                <w:div w:id="1876118793">
                  <w:marLeft w:val="0"/>
                  <w:marRight w:val="0"/>
                  <w:marTop w:val="0"/>
                  <w:marBottom w:val="0"/>
                  <w:divBdr>
                    <w:top w:val="none" w:sz="0" w:space="0" w:color="auto"/>
                    <w:left w:val="none" w:sz="0" w:space="0" w:color="auto"/>
                    <w:bottom w:val="none" w:sz="0" w:space="0" w:color="auto"/>
                    <w:right w:val="none" w:sz="0" w:space="0" w:color="auto"/>
                  </w:divBdr>
                  <w:divsChild>
                    <w:div w:id="659116738">
                      <w:marLeft w:val="0"/>
                      <w:marRight w:val="0"/>
                      <w:marTop w:val="0"/>
                      <w:marBottom w:val="0"/>
                      <w:divBdr>
                        <w:top w:val="none" w:sz="0" w:space="0" w:color="auto"/>
                        <w:left w:val="none" w:sz="0" w:space="0" w:color="auto"/>
                        <w:bottom w:val="none" w:sz="0" w:space="0" w:color="auto"/>
                        <w:right w:val="none" w:sz="0" w:space="0" w:color="auto"/>
                      </w:divBdr>
                    </w:div>
                  </w:divsChild>
                </w:div>
                <w:div w:id="1876499039">
                  <w:marLeft w:val="0"/>
                  <w:marRight w:val="0"/>
                  <w:marTop w:val="0"/>
                  <w:marBottom w:val="0"/>
                  <w:divBdr>
                    <w:top w:val="none" w:sz="0" w:space="0" w:color="auto"/>
                    <w:left w:val="none" w:sz="0" w:space="0" w:color="auto"/>
                    <w:bottom w:val="none" w:sz="0" w:space="0" w:color="auto"/>
                    <w:right w:val="none" w:sz="0" w:space="0" w:color="auto"/>
                  </w:divBdr>
                  <w:divsChild>
                    <w:div w:id="1152719016">
                      <w:marLeft w:val="0"/>
                      <w:marRight w:val="0"/>
                      <w:marTop w:val="0"/>
                      <w:marBottom w:val="0"/>
                      <w:divBdr>
                        <w:top w:val="none" w:sz="0" w:space="0" w:color="auto"/>
                        <w:left w:val="none" w:sz="0" w:space="0" w:color="auto"/>
                        <w:bottom w:val="none" w:sz="0" w:space="0" w:color="auto"/>
                        <w:right w:val="none" w:sz="0" w:space="0" w:color="auto"/>
                      </w:divBdr>
                    </w:div>
                  </w:divsChild>
                </w:div>
                <w:div w:id="1878393851">
                  <w:marLeft w:val="0"/>
                  <w:marRight w:val="0"/>
                  <w:marTop w:val="0"/>
                  <w:marBottom w:val="0"/>
                  <w:divBdr>
                    <w:top w:val="none" w:sz="0" w:space="0" w:color="auto"/>
                    <w:left w:val="none" w:sz="0" w:space="0" w:color="auto"/>
                    <w:bottom w:val="none" w:sz="0" w:space="0" w:color="auto"/>
                    <w:right w:val="none" w:sz="0" w:space="0" w:color="auto"/>
                  </w:divBdr>
                  <w:divsChild>
                    <w:div w:id="1460562808">
                      <w:marLeft w:val="0"/>
                      <w:marRight w:val="0"/>
                      <w:marTop w:val="0"/>
                      <w:marBottom w:val="0"/>
                      <w:divBdr>
                        <w:top w:val="none" w:sz="0" w:space="0" w:color="auto"/>
                        <w:left w:val="none" w:sz="0" w:space="0" w:color="auto"/>
                        <w:bottom w:val="none" w:sz="0" w:space="0" w:color="auto"/>
                        <w:right w:val="none" w:sz="0" w:space="0" w:color="auto"/>
                      </w:divBdr>
                    </w:div>
                  </w:divsChild>
                </w:div>
                <w:div w:id="1886678338">
                  <w:marLeft w:val="0"/>
                  <w:marRight w:val="0"/>
                  <w:marTop w:val="0"/>
                  <w:marBottom w:val="0"/>
                  <w:divBdr>
                    <w:top w:val="none" w:sz="0" w:space="0" w:color="auto"/>
                    <w:left w:val="none" w:sz="0" w:space="0" w:color="auto"/>
                    <w:bottom w:val="none" w:sz="0" w:space="0" w:color="auto"/>
                    <w:right w:val="none" w:sz="0" w:space="0" w:color="auto"/>
                  </w:divBdr>
                  <w:divsChild>
                    <w:div w:id="614561536">
                      <w:marLeft w:val="0"/>
                      <w:marRight w:val="0"/>
                      <w:marTop w:val="0"/>
                      <w:marBottom w:val="0"/>
                      <w:divBdr>
                        <w:top w:val="none" w:sz="0" w:space="0" w:color="auto"/>
                        <w:left w:val="none" w:sz="0" w:space="0" w:color="auto"/>
                        <w:bottom w:val="none" w:sz="0" w:space="0" w:color="auto"/>
                        <w:right w:val="none" w:sz="0" w:space="0" w:color="auto"/>
                      </w:divBdr>
                    </w:div>
                  </w:divsChild>
                </w:div>
                <w:div w:id="1889879240">
                  <w:marLeft w:val="0"/>
                  <w:marRight w:val="0"/>
                  <w:marTop w:val="0"/>
                  <w:marBottom w:val="0"/>
                  <w:divBdr>
                    <w:top w:val="none" w:sz="0" w:space="0" w:color="auto"/>
                    <w:left w:val="none" w:sz="0" w:space="0" w:color="auto"/>
                    <w:bottom w:val="none" w:sz="0" w:space="0" w:color="auto"/>
                    <w:right w:val="none" w:sz="0" w:space="0" w:color="auto"/>
                  </w:divBdr>
                  <w:divsChild>
                    <w:div w:id="547377497">
                      <w:marLeft w:val="0"/>
                      <w:marRight w:val="0"/>
                      <w:marTop w:val="0"/>
                      <w:marBottom w:val="0"/>
                      <w:divBdr>
                        <w:top w:val="none" w:sz="0" w:space="0" w:color="auto"/>
                        <w:left w:val="none" w:sz="0" w:space="0" w:color="auto"/>
                        <w:bottom w:val="none" w:sz="0" w:space="0" w:color="auto"/>
                        <w:right w:val="none" w:sz="0" w:space="0" w:color="auto"/>
                      </w:divBdr>
                    </w:div>
                  </w:divsChild>
                </w:div>
                <w:div w:id="1908225138">
                  <w:marLeft w:val="0"/>
                  <w:marRight w:val="0"/>
                  <w:marTop w:val="0"/>
                  <w:marBottom w:val="0"/>
                  <w:divBdr>
                    <w:top w:val="none" w:sz="0" w:space="0" w:color="auto"/>
                    <w:left w:val="none" w:sz="0" w:space="0" w:color="auto"/>
                    <w:bottom w:val="none" w:sz="0" w:space="0" w:color="auto"/>
                    <w:right w:val="none" w:sz="0" w:space="0" w:color="auto"/>
                  </w:divBdr>
                  <w:divsChild>
                    <w:div w:id="409665979">
                      <w:marLeft w:val="0"/>
                      <w:marRight w:val="0"/>
                      <w:marTop w:val="0"/>
                      <w:marBottom w:val="0"/>
                      <w:divBdr>
                        <w:top w:val="none" w:sz="0" w:space="0" w:color="auto"/>
                        <w:left w:val="none" w:sz="0" w:space="0" w:color="auto"/>
                        <w:bottom w:val="none" w:sz="0" w:space="0" w:color="auto"/>
                        <w:right w:val="none" w:sz="0" w:space="0" w:color="auto"/>
                      </w:divBdr>
                    </w:div>
                  </w:divsChild>
                </w:div>
                <w:div w:id="1912498221">
                  <w:marLeft w:val="0"/>
                  <w:marRight w:val="0"/>
                  <w:marTop w:val="0"/>
                  <w:marBottom w:val="0"/>
                  <w:divBdr>
                    <w:top w:val="none" w:sz="0" w:space="0" w:color="auto"/>
                    <w:left w:val="none" w:sz="0" w:space="0" w:color="auto"/>
                    <w:bottom w:val="none" w:sz="0" w:space="0" w:color="auto"/>
                    <w:right w:val="none" w:sz="0" w:space="0" w:color="auto"/>
                  </w:divBdr>
                  <w:divsChild>
                    <w:div w:id="328606325">
                      <w:marLeft w:val="0"/>
                      <w:marRight w:val="0"/>
                      <w:marTop w:val="0"/>
                      <w:marBottom w:val="0"/>
                      <w:divBdr>
                        <w:top w:val="none" w:sz="0" w:space="0" w:color="auto"/>
                        <w:left w:val="none" w:sz="0" w:space="0" w:color="auto"/>
                        <w:bottom w:val="none" w:sz="0" w:space="0" w:color="auto"/>
                        <w:right w:val="none" w:sz="0" w:space="0" w:color="auto"/>
                      </w:divBdr>
                    </w:div>
                  </w:divsChild>
                </w:div>
                <w:div w:id="1918510219">
                  <w:marLeft w:val="0"/>
                  <w:marRight w:val="0"/>
                  <w:marTop w:val="0"/>
                  <w:marBottom w:val="0"/>
                  <w:divBdr>
                    <w:top w:val="none" w:sz="0" w:space="0" w:color="auto"/>
                    <w:left w:val="none" w:sz="0" w:space="0" w:color="auto"/>
                    <w:bottom w:val="none" w:sz="0" w:space="0" w:color="auto"/>
                    <w:right w:val="none" w:sz="0" w:space="0" w:color="auto"/>
                  </w:divBdr>
                  <w:divsChild>
                    <w:div w:id="1853184676">
                      <w:marLeft w:val="0"/>
                      <w:marRight w:val="0"/>
                      <w:marTop w:val="0"/>
                      <w:marBottom w:val="0"/>
                      <w:divBdr>
                        <w:top w:val="none" w:sz="0" w:space="0" w:color="auto"/>
                        <w:left w:val="none" w:sz="0" w:space="0" w:color="auto"/>
                        <w:bottom w:val="none" w:sz="0" w:space="0" w:color="auto"/>
                        <w:right w:val="none" w:sz="0" w:space="0" w:color="auto"/>
                      </w:divBdr>
                    </w:div>
                  </w:divsChild>
                </w:div>
                <w:div w:id="1937521459">
                  <w:marLeft w:val="0"/>
                  <w:marRight w:val="0"/>
                  <w:marTop w:val="0"/>
                  <w:marBottom w:val="0"/>
                  <w:divBdr>
                    <w:top w:val="none" w:sz="0" w:space="0" w:color="auto"/>
                    <w:left w:val="none" w:sz="0" w:space="0" w:color="auto"/>
                    <w:bottom w:val="none" w:sz="0" w:space="0" w:color="auto"/>
                    <w:right w:val="none" w:sz="0" w:space="0" w:color="auto"/>
                  </w:divBdr>
                  <w:divsChild>
                    <w:div w:id="772432552">
                      <w:marLeft w:val="0"/>
                      <w:marRight w:val="0"/>
                      <w:marTop w:val="0"/>
                      <w:marBottom w:val="0"/>
                      <w:divBdr>
                        <w:top w:val="none" w:sz="0" w:space="0" w:color="auto"/>
                        <w:left w:val="none" w:sz="0" w:space="0" w:color="auto"/>
                        <w:bottom w:val="none" w:sz="0" w:space="0" w:color="auto"/>
                        <w:right w:val="none" w:sz="0" w:space="0" w:color="auto"/>
                      </w:divBdr>
                    </w:div>
                  </w:divsChild>
                </w:div>
                <w:div w:id="1942374097">
                  <w:marLeft w:val="0"/>
                  <w:marRight w:val="0"/>
                  <w:marTop w:val="0"/>
                  <w:marBottom w:val="0"/>
                  <w:divBdr>
                    <w:top w:val="none" w:sz="0" w:space="0" w:color="auto"/>
                    <w:left w:val="none" w:sz="0" w:space="0" w:color="auto"/>
                    <w:bottom w:val="none" w:sz="0" w:space="0" w:color="auto"/>
                    <w:right w:val="none" w:sz="0" w:space="0" w:color="auto"/>
                  </w:divBdr>
                  <w:divsChild>
                    <w:div w:id="1945575226">
                      <w:marLeft w:val="0"/>
                      <w:marRight w:val="0"/>
                      <w:marTop w:val="0"/>
                      <w:marBottom w:val="0"/>
                      <w:divBdr>
                        <w:top w:val="none" w:sz="0" w:space="0" w:color="auto"/>
                        <w:left w:val="none" w:sz="0" w:space="0" w:color="auto"/>
                        <w:bottom w:val="none" w:sz="0" w:space="0" w:color="auto"/>
                        <w:right w:val="none" w:sz="0" w:space="0" w:color="auto"/>
                      </w:divBdr>
                    </w:div>
                  </w:divsChild>
                </w:div>
                <w:div w:id="1955793524">
                  <w:marLeft w:val="0"/>
                  <w:marRight w:val="0"/>
                  <w:marTop w:val="0"/>
                  <w:marBottom w:val="0"/>
                  <w:divBdr>
                    <w:top w:val="none" w:sz="0" w:space="0" w:color="auto"/>
                    <w:left w:val="none" w:sz="0" w:space="0" w:color="auto"/>
                    <w:bottom w:val="none" w:sz="0" w:space="0" w:color="auto"/>
                    <w:right w:val="none" w:sz="0" w:space="0" w:color="auto"/>
                  </w:divBdr>
                  <w:divsChild>
                    <w:div w:id="96601622">
                      <w:marLeft w:val="0"/>
                      <w:marRight w:val="0"/>
                      <w:marTop w:val="0"/>
                      <w:marBottom w:val="0"/>
                      <w:divBdr>
                        <w:top w:val="none" w:sz="0" w:space="0" w:color="auto"/>
                        <w:left w:val="none" w:sz="0" w:space="0" w:color="auto"/>
                        <w:bottom w:val="none" w:sz="0" w:space="0" w:color="auto"/>
                        <w:right w:val="none" w:sz="0" w:space="0" w:color="auto"/>
                      </w:divBdr>
                    </w:div>
                  </w:divsChild>
                </w:div>
                <w:div w:id="2010328346">
                  <w:marLeft w:val="0"/>
                  <w:marRight w:val="0"/>
                  <w:marTop w:val="0"/>
                  <w:marBottom w:val="0"/>
                  <w:divBdr>
                    <w:top w:val="none" w:sz="0" w:space="0" w:color="auto"/>
                    <w:left w:val="none" w:sz="0" w:space="0" w:color="auto"/>
                    <w:bottom w:val="none" w:sz="0" w:space="0" w:color="auto"/>
                    <w:right w:val="none" w:sz="0" w:space="0" w:color="auto"/>
                  </w:divBdr>
                  <w:divsChild>
                    <w:div w:id="1776435474">
                      <w:marLeft w:val="0"/>
                      <w:marRight w:val="0"/>
                      <w:marTop w:val="0"/>
                      <w:marBottom w:val="0"/>
                      <w:divBdr>
                        <w:top w:val="none" w:sz="0" w:space="0" w:color="auto"/>
                        <w:left w:val="none" w:sz="0" w:space="0" w:color="auto"/>
                        <w:bottom w:val="none" w:sz="0" w:space="0" w:color="auto"/>
                        <w:right w:val="none" w:sz="0" w:space="0" w:color="auto"/>
                      </w:divBdr>
                    </w:div>
                  </w:divsChild>
                </w:div>
                <w:div w:id="2019110331">
                  <w:marLeft w:val="0"/>
                  <w:marRight w:val="0"/>
                  <w:marTop w:val="0"/>
                  <w:marBottom w:val="0"/>
                  <w:divBdr>
                    <w:top w:val="none" w:sz="0" w:space="0" w:color="auto"/>
                    <w:left w:val="none" w:sz="0" w:space="0" w:color="auto"/>
                    <w:bottom w:val="none" w:sz="0" w:space="0" w:color="auto"/>
                    <w:right w:val="none" w:sz="0" w:space="0" w:color="auto"/>
                  </w:divBdr>
                  <w:divsChild>
                    <w:div w:id="422534937">
                      <w:marLeft w:val="0"/>
                      <w:marRight w:val="0"/>
                      <w:marTop w:val="0"/>
                      <w:marBottom w:val="0"/>
                      <w:divBdr>
                        <w:top w:val="none" w:sz="0" w:space="0" w:color="auto"/>
                        <w:left w:val="none" w:sz="0" w:space="0" w:color="auto"/>
                        <w:bottom w:val="none" w:sz="0" w:space="0" w:color="auto"/>
                        <w:right w:val="none" w:sz="0" w:space="0" w:color="auto"/>
                      </w:divBdr>
                    </w:div>
                  </w:divsChild>
                </w:div>
                <w:div w:id="2038117069">
                  <w:marLeft w:val="0"/>
                  <w:marRight w:val="0"/>
                  <w:marTop w:val="0"/>
                  <w:marBottom w:val="0"/>
                  <w:divBdr>
                    <w:top w:val="none" w:sz="0" w:space="0" w:color="auto"/>
                    <w:left w:val="none" w:sz="0" w:space="0" w:color="auto"/>
                    <w:bottom w:val="none" w:sz="0" w:space="0" w:color="auto"/>
                    <w:right w:val="none" w:sz="0" w:space="0" w:color="auto"/>
                  </w:divBdr>
                  <w:divsChild>
                    <w:div w:id="891230520">
                      <w:marLeft w:val="0"/>
                      <w:marRight w:val="0"/>
                      <w:marTop w:val="0"/>
                      <w:marBottom w:val="0"/>
                      <w:divBdr>
                        <w:top w:val="none" w:sz="0" w:space="0" w:color="auto"/>
                        <w:left w:val="none" w:sz="0" w:space="0" w:color="auto"/>
                        <w:bottom w:val="none" w:sz="0" w:space="0" w:color="auto"/>
                        <w:right w:val="none" w:sz="0" w:space="0" w:color="auto"/>
                      </w:divBdr>
                    </w:div>
                  </w:divsChild>
                </w:div>
                <w:div w:id="2040084995">
                  <w:marLeft w:val="0"/>
                  <w:marRight w:val="0"/>
                  <w:marTop w:val="0"/>
                  <w:marBottom w:val="0"/>
                  <w:divBdr>
                    <w:top w:val="none" w:sz="0" w:space="0" w:color="auto"/>
                    <w:left w:val="none" w:sz="0" w:space="0" w:color="auto"/>
                    <w:bottom w:val="none" w:sz="0" w:space="0" w:color="auto"/>
                    <w:right w:val="none" w:sz="0" w:space="0" w:color="auto"/>
                  </w:divBdr>
                  <w:divsChild>
                    <w:div w:id="2089110019">
                      <w:marLeft w:val="0"/>
                      <w:marRight w:val="0"/>
                      <w:marTop w:val="0"/>
                      <w:marBottom w:val="0"/>
                      <w:divBdr>
                        <w:top w:val="none" w:sz="0" w:space="0" w:color="auto"/>
                        <w:left w:val="none" w:sz="0" w:space="0" w:color="auto"/>
                        <w:bottom w:val="none" w:sz="0" w:space="0" w:color="auto"/>
                        <w:right w:val="none" w:sz="0" w:space="0" w:color="auto"/>
                      </w:divBdr>
                    </w:div>
                  </w:divsChild>
                </w:div>
                <w:div w:id="2048525509">
                  <w:marLeft w:val="0"/>
                  <w:marRight w:val="0"/>
                  <w:marTop w:val="0"/>
                  <w:marBottom w:val="0"/>
                  <w:divBdr>
                    <w:top w:val="none" w:sz="0" w:space="0" w:color="auto"/>
                    <w:left w:val="none" w:sz="0" w:space="0" w:color="auto"/>
                    <w:bottom w:val="none" w:sz="0" w:space="0" w:color="auto"/>
                    <w:right w:val="none" w:sz="0" w:space="0" w:color="auto"/>
                  </w:divBdr>
                  <w:divsChild>
                    <w:div w:id="1351106427">
                      <w:marLeft w:val="0"/>
                      <w:marRight w:val="0"/>
                      <w:marTop w:val="0"/>
                      <w:marBottom w:val="0"/>
                      <w:divBdr>
                        <w:top w:val="none" w:sz="0" w:space="0" w:color="auto"/>
                        <w:left w:val="none" w:sz="0" w:space="0" w:color="auto"/>
                        <w:bottom w:val="none" w:sz="0" w:space="0" w:color="auto"/>
                        <w:right w:val="none" w:sz="0" w:space="0" w:color="auto"/>
                      </w:divBdr>
                    </w:div>
                  </w:divsChild>
                </w:div>
                <w:div w:id="2081096687">
                  <w:marLeft w:val="0"/>
                  <w:marRight w:val="0"/>
                  <w:marTop w:val="0"/>
                  <w:marBottom w:val="0"/>
                  <w:divBdr>
                    <w:top w:val="none" w:sz="0" w:space="0" w:color="auto"/>
                    <w:left w:val="none" w:sz="0" w:space="0" w:color="auto"/>
                    <w:bottom w:val="none" w:sz="0" w:space="0" w:color="auto"/>
                    <w:right w:val="none" w:sz="0" w:space="0" w:color="auto"/>
                  </w:divBdr>
                  <w:divsChild>
                    <w:div w:id="2009206118">
                      <w:marLeft w:val="0"/>
                      <w:marRight w:val="0"/>
                      <w:marTop w:val="0"/>
                      <w:marBottom w:val="0"/>
                      <w:divBdr>
                        <w:top w:val="none" w:sz="0" w:space="0" w:color="auto"/>
                        <w:left w:val="none" w:sz="0" w:space="0" w:color="auto"/>
                        <w:bottom w:val="none" w:sz="0" w:space="0" w:color="auto"/>
                        <w:right w:val="none" w:sz="0" w:space="0" w:color="auto"/>
                      </w:divBdr>
                    </w:div>
                  </w:divsChild>
                </w:div>
                <w:div w:id="2112118349">
                  <w:marLeft w:val="0"/>
                  <w:marRight w:val="0"/>
                  <w:marTop w:val="0"/>
                  <w:marBottom w:val="0"/>
                  <w:divBdr>
                    <w:top w:val="none" w:sz="0" w:space="0" w:color="auto"/>
                    <w:left w:val="none" w:sz="0" w:space="0" w:color="auto"/>
                    <w:bottom w:val="none" w:sz="0" w:space="0" w:color="auto"/>
                    <w:right w:val="none" w:sz="0" w:space="0" w:color="auto"/>
                  </w:divBdr>
                  <w:divsChild>
                    <w:div w:id="1815440615">
                      <w:marLeft w:val="0"/>
                      <w:marRight w:val="0"/>
                      <w:marTop w:val="0"/>
                      <w:marBottom w:val="0"/>
                      <w:divBdr>
                        <w:top w:val="none" w:sz="0" w:space="0" w:color="auto"/>
                        <w:left w:val="none" w:sz="0" w:space="0" w:color="auto"/>
                        <w:bottom w:val="none" w:sz="0" w:space="0" w:color="auto"/>
                        <w:right w:val="none" w:sz="0" w:space="0" w:color="auto"/>
                      </w:divBdr>
                    </w:div>
                  </w:divsChild>
                </w:div>
                <w:div w:id="2143957347">
                  <w:marLeft w:val="0"/>
                  <w:marRight w:val="0"/>
                  <w:marTop w:val="0"/>
                  <w:marBottom w:val="0"/>
                  <w:divBdr>
                    <w:top w:val="none" w:sz="0" w:space="0" w:color="auto"/>
                    <w:left w:val="none" w:sz="0" w:space="0" w:color="auto"/>
                    <w:bottom w:val="none" w:sz="0" w:space="0" w:color="auto"/>
                    <w:right w:val="none" w:sz="0" w:space="0" w:color="auto"/>
                  </w:divBdr>
                  <w:divsChild>
                    <w:div w:id="2031639231">
                      <w:marLeft w:val="0"/>
                      <w:marRight w:val="0"/>
                      <w:marTop w:val="0"/>
                      <w:marBottom w:val="0"/>
                      <w:divBdr>
                        <w:top w:val="none" w:sz="0" w:space="0" w:color="auto"/>
                        <w:left w:val="none" w:sz="0" w:space="0" w:color="auto"/>
                        <w:bottom w:val="none" w:sz="0" w:space="0" w:color="auto"/>
                        <w:right w:val="none" w:sz="0" w:space="0" w:color="auto"/>
                      </w:divBdr>
                    </w:div>
                  </w:divsChild>
                </w:div>
                <w:div w:id="2146701661">
                  <w:marLeft w:val="0"/>
                  <w:marRight w:val="0"/>
                  <w:marTop w:val="0"/>
                  <w:marBottom w:val="0"/>
                  <w:divBdr>
                    <w:top w:val="none" w:sz="0" w:space="0" w:color="auto"/>
                    <w:left w:val="none" w:sz="0" w:space="0" w:color="auto"/>
                    <w:bottom w:val="none" w:sz="0" w:space="0" w:color="auto"/>
                    <w:right w:val="none" w:sz="0" w:space="0" w:color="auto"/>
                  </w:divBdr>
                  <w:divsChild>
                    <w:div w:id="160630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96198">
          <w:marLeft w:val="0"/>
          <w:marRight w:val="0"/>
          <w:marTop w:val="0"/>
          <w:marBottom w:val="0"/>
          <w:divBdr>
            <w:top w:val="none" w:sz="0" w:space="0" w:color="auto"/>
            <w:left w:val="none" w:sz="0" w:space="0" w:color="auto"/>
            <w:bottom w:val="none" w:sz="0" w:space="0" w:color="auto"/>
            <w:right w:val="none" w:sz="0" w:space="0" w:color="auto"/>
          </w:divBdr>
          <w:divsChild>
            <w:div w:id="1004287669">
              <w:marLeft w:val="-75"/>
              <w:marRight w:val="0"/>
              <w:marTop w:val="30"/>
              <w:marBottom w:val="30"/>
              <w:divBdr>
                <w:top w:val="none" w:sz="0" w:space="0" w:color="auto"/>
                <w:left w:val="none" w:sz="0" w:space="0" w:color="auto"/>
                <w:bottom w:val="none" w:sz="0" w:space="0" w:color="auto"/>
                <w:right w:val="none" w:sz="0" w:space="0" w:color="auto"/>
              </w:divBdr>
              <w:divsChild>
                <w:div w:id="55783844">
                  <w:marLeft w:val="0"/>
                  <w:marRight w:val="0"/>
                  <w:marTop w:val="0"/>
                  <w:marBottom w:val="0"/>
                  <w:divBdr>
                    <w:top w:val="none" w:sz="0" w:space="0" w:color="auto"/>
                    <w:left w:val="none" w:sz="0" w:space="0" w:color="auto"/>
                    <w:bottom w:val="none" w:sz="0" w:space="0" w:color="auto"/>
                    <w:right w:val="none" w:sz="0" w:space="0" w:color="auto"/>
                  </w:divBdr>
                  <w:divsChild>
                    <w:div w:id="841507703">
                      <w:marLeft w:val="0"/>
                      <w:marRight w:val="0"/>
                      <w:marTop w:val="0"/>
                      <w:marBottom w:val="0"/>
                      <w:divBdr>
                        <w:top w:val="none" w:sz="0" w:space="0" w:color="auto"/>
                        <w:left w:val="none" w:sz="0" w:space="0" w:color="auto"/>
                        <w:bottom w:val="none" w:sz="0" w:space="0" w:color="auto"/>
                        <w:right w:val="none" w:sz="0" w:space="0" w:color="auto"/>
                      </w:divBdr>
                    </w:div>
                  </w:divsChild>
                </w:div>
                <w:div w:id="118688524">
                  <w:marLeft w:val="0"/>
                  <w:marRight w:val="0"/>
                  <w:marTop w:val="0"/>
                  <w:marBottom w:val="0"/>
                  <w:divBdr>
                    <w:top w:val="none" w:sz="0" w:space="0" w:color="auto"/>
                    <w:left w:val="none" w:sz="0" w:space="0" w:color="auto"/>
                    <w:bottom w:val="none" w:sz="0" w:space="0" w:color="auto"/>
                    <w:right w:val="none" w:sz="0" w:space="0" w:color="auto"/>
                  </w:divBdr>
                  <w:divsChild>
                    <w:div w:id="1601600724">
                      <w:marLeft w:val="0"/>
                      <w:marRight w:val="0"/>
                      <w:marTop w:val="0"/>
                      <w:marBottom w:val="0"/>
                      <w:divBdr>
                        <w:top w:val="none" w:sz="0" w:space="0" w:color="auto"/>
                        <w:left w:val="none" w:sz="0" w:space="0" w:color="auto"/>
                        <w:bottom w:val="none" w:sz="0" w:space="0" w:color="auto"/>
                        <w:right w:val="none" w:sz="0" w:space="0" w:color="auto"/>
                      </w:divBdr>
                    </w:div>
                  </w:divsChild>
                </w:div>
                <w:div w:id="142697107">
                  <w:marLeft w:val="0"/>
                  <w:marRight w:val="0"/>
                  <w:marTop w:val="0"/>
                  <w:marBottom w:val="0"/>
                  <w:divBdr>
                    <w:top w:val="none" w:sz="0" w:space="0" w:color="auto"/>
                    <w:left w:val="none" w:sz="0" w:space="0" w:color="auto"/>
                    <w:bottom w:val="none" w:sz="0" w:space="0" w:color="auto"/>
                    <w:right w:val="none" w:sz="0" w:space="0" w:color="auto"/>
                  </w:divBdr>
                  <w:divsChild>
                    <w:div w:id="1464884801">
                      <w:marLeft w:val="0"/>
                      <w:marRight w:val="0"/>
                      <w:marTop w:val="0"/>
                      <w:marBottom w:val="0"/>
                      <w:divBdr>
                        <w:top w:val="none" w:sz="0" w:space="0" w:color="auto"/>
                        <w:left w:val="none" w:sz="0" w:space="0" w:color="auto"/>
                        <w:bottom w:val="none" w:sz="0" w:space="0" w:color="auto"/>
                        <w:right w:val="none" w:sz="0" w:space="0" w:color="auto"/>
                      </w:divBdr>
                    </w:div>
                  </w:divsChild>
                </w:div>
                <w:div w:id="296842185">
                  <w:marLeft w:val="0"/>
                  <w:marRight w:val="0"/>
                  <w:marTop w:val="0"/>
                  <w:marBottom w:val="0"/>
                  <w:divBdr>
                    <w:top w:val="none" w:sz="0" w:space="0" w:color="auto"/>
                    <w:left w:val="none" w:sz="0" w:space="0" w:color="auto"/>
                    <w:bottom w:val="none" w:sz="0" w:space="0" w:color="auto"/>
                    <w:right w:val="none" w:sz="0" w:space="0" w:color="auto"/>
                  </w:divBdr>
                  <w:divsChild>
                    <w:div w:id="998774803">
                      <w:marLeft w:val="0"/>
                      <w:marRight w:val="0"/>
                      <w:marTop w:val="0"/>
                      <w:marBottom w:val="0"/>
                      <w:divBdr>
                        <w:top w:val="none" w:sz="0" w:space="0" w:color="auto"/>
                        <w:left w:val="none" w:sz="0" w:space="0" w:color="auto"/>
                        <w:bottom w:val="none" w:sz="0" w:space="0" w:color="auto"/>
                        <w:right w:val="none" w:sz="0" w:space="0" w:color="auto"/>
                      </w:divBdr>
                    </w:div>
                  </w:divsChild>
                </w:div>
                <w:div w:id="363486903">
                  <w:marLeft w:val="0"/>
                  <w:marRight w:val="0"/>
                  <w:marTop w:val="0"/>
                  <w:marBottom w:val="0"/>
                  <w:divBdr>
                    <w:top w:val="none" w:sz="0" w:space="0" w:color="auto"/>
                    <w:left w:val="none" w:sz="0" w:space="0" w:color="auto"/>
                    <w:bottom w:val="none" w:sz="0" w:space="0" w:color="auto"/>
                    <w:right w:val="none" w:sz="0" w:space="0" w:color="auto"/>
                  </w:divBdr>
                  <w:divsChild>
                    <w:div w:id="1362166648">
                      <w:marLeft w:val="0"/>
                      <w:marRight w:val="0"/>
                      <w:marTop w:val="0"/>
                      <w:marBottom w:val="0"/>
                      <w:divBdr>
                        <w:top w:val="none" w:sz="0" w:space="0" w:color="auto"/>
                        <w:left w:val="none" w:sz="0" w:space="0" w:color="auto"/>
                        <w:bottom w:val="none" w:sz="0" w:space="0" w:color="auto"/>
                        <w:right w:val="none" w:sz="0" w:space="0" w:color="auto"/>
                      </w:divBdr>
                    </w:div>
                  </w:divsChild>
                </w:div>
                <w:div w:id="578321686">
                  <w:marLeft w:val="0"/>
                  <w:marRight w:val="0"/>
                  <w:marTop w:val="0"/>
                  <w:marBottom w:val="0"/>
                  <w:divBdr>
                    <w:top w:val="none" w:sz="0" w:space="0" w:color="auto"/>
                    <w:left w:val="none" w:sz="0" w:space="0" w:color="auto"/>
                    <w:bottom w:val="none" w:sz="0" w:space="0" w:color="auto"/>
                    <w:right w:val="none" w:sz="0" w:space="0" w:color="auto"/>
                  </w:divBdr>
                  <w:divsChild>
                    <w:div w:id="2075202125">
                      <w:marLeft w:val="0"/>
                      <w:marRight w:val="0"/>
                      <w:marTop w:val="0"/>
                      <w:marBottom w:val="0"/>
                      <w:divBdr>
                        <w:top w:val="none" w:sz="0" w:space="0" w:color="auto"/>
                        <w:left w:val="none" w:sz="0" w:space="0" w:color="auto"/>
                        <w:bottom w:val="none" w:sz="0" w:space="0" w:color="auto"/>
                        <w:right w:val="none" w:sz="0" w:space="0" w:color="auto"/>
                      </w:divBdr>
                    </w:div>
                  </w:divsChild>
                </w:div>
                <w:div w:id="695469809">
                  <w:marLeft w:val="0"/>
                  <w:marRight w:val="0"/>
                  <w:marTop w:val="0"/>
                  <w:marBottom w:val="0"/>
                  <w:divBdr>
                    <w:top w:val="none" w:sz="0" w:space="0" w:color="auto"/>
                    <w:left w:val="none" w:sz="0" w:space="0" w:color="auto"/>
                    <w:bottom w:val="none" w:sz="0" w:space="0" w:color="auto"/>
                    <w:right w:val="none" w:sz="0" w:space="0" w:color="auto"/>
                  </w:divBdr>
                  <w:divsChild>
                    <w:div w:id="2114014204">
                      <w:marLeft w:val="0"/>
                      <w:marRight w:val="0"/>
                      <w:marTop w:val="0"/>
                      <w:marBottom w:val="0"/>
                      <w:divBdr>
                        <w:top w:val="none" w:sz="0" w:space="0" w:color="auto"/>
                        <w:left w:val="none" w:sz="0" w:space="0" w:color="auto"/>
                        <w:bottom w:val="none" w:sz="0" w:space="0" w:color="auto"/>
                        <w:right w:val="none" w:sz="0" w:space="0" w:color="auto"/>
                      </w:divBdr>
                    </w:div>
                  </w:divsChild>
                </w:div>
                <w:div w:id="750349033">
                  <w:marLeft w:val="0"/>
                  <w:marRight w:val="0"/>
                  <w:marTop w:val="0"/>
                  <w:marBottom w:val="0"/>
                  <w:divBdr>
                    <w:top w:val="none" w:sz="0" w:space="0" w:color="auto"/>
                    <w:left w:val="none" w:sz="0" w:space="0" w:color="auto"/>
                    <w:bottom w:val="none" w:sz="0" w:space="0" w:color="auto"/>
                    <w:right w:val="none" w:sz="0" w:space="0" w:color="auto"/>
                  </w:divBdr>
                  <w:divsChild>
                    <w:div w:id="67768342">
                      <w:marLeft w:val="0"/>
                      <w:marRight w:val="0"/>
                      <w:marTop w:val="0"/>
                      <w:marBottom w:val="0"/>
                      <w:divBdr>
                        <w:top w:val="none" w:sz="0" w:space="0" w:color="auto"/>
                        <w:left w:val="none" w:sz="0" w:space="0" w:color="auto"/>
                        <w:bottom w:val="none" w:sz="0" w:space="0" w:color="auto"/>
                        <w:right w:val="none" w:sz="0" w:space="0" w:color="auto"/>
                      </w:divBdr>
                    </w:div>
                  </w:divsChild>
                </w:div>
                <w:div w:id="989553149">
                  <w:marLeft w:val="0"/>
                  <w:marRight w:val="0"/>
                  <w:marTop w:val="0"/>
                  <w:marBottom w:val="0"/>
                  <w:divBdr>
                    <w:top w:val="none" w:sz="0" w:space="0" w:color="auto"/>
                    <w:left w:val="none" w:sz="0" w:space="0" w:color="auto"/>
                    <w:bottom w:val="none" w:sz="0" w:space="0" w:color="auto"/>
                    <w:right w:val="none" w:sz="0" w:space="0" w:color="auto"/>
                  </w:divBdr>
                  <w:divsChild>
                    <w:div w:id="293171356">
                      <w:marLeft w:val="0"/>
                      <w:marRight w:val="0"/>
                      <w:marTop w:val="0"/>
                      <w:marBottom w:val="0"/>
                      <w:divBdr>
                        <w:top w:val="none" w:sz="0" w:space="0" w:color="auto"/>
                        <w:left w:val="none" w:sz="0" w:space="0" w:color="auto"/>
                        <w:bottom w:val="none" w:sz="0" w:space="0" w:color="auto"/>
                        <w:right w:val="none" w:sz="0" w:space="0" w:color="auto"/>
                      </w:divBdr>
                    </w:div>
                  </w:divsChild>
                </w:div>
                <w:div w:id="1080062213">
                  <w:marLeft w:val="0"/>
                  <w:marRight w:val="0"/>
                  <w:marTop w:val="0"/>
                  <w:marBottom w:val="0"/>
                  <w:divBdr>
                    <w:top w:val="none" w:sz="0" w:space="0" w:color="auto"/>
                    <w:left w:val="none" w:sz="0" w:space="0" w:color="auto"/>
                    <w:bottom w:val="none" w:sz="0" w:space="0" w:color="auto"/>
                    <w:right w:val="none" w:sz="0" w:space="0" w:color="auto"/>
                  </w:divBdr>
                  <w:divsChild>
                    <w:div w:id="1990012579">
                      <w:marLeft w:val="0"/>
                      <w:marRight w:val="0"/>
                      <w:marTop w:val="0"/>
                      <w:marBottom w:val="0"/>
                      <w:divBdr>
                        <w:top w:val="none" w:sz="0" w:space="0" w:color="auto"/>
                        <w:left w:val="none" w:sz="0" w:space="0" w:color="auto"/>
                        <w:bottom w:val="none" w:sz="0" w:space="0" w:color="auto"/>
                        <w:right w:val="none" w:sz="0" w:space="0" w:color="auto"/>
                      </w:divBdr>
                    </w:div>
                  </w:divsChild>
                </w:div>
                <w:div w:id="1204364967">
                  <w:marLeft w:val="0"/>
                  <w:marRight w:val="0"/>
                  <w:marTop w:val="0"/>
                  <w:marBottom w:val="0"/>
                  <w:divBdr>
                    <w:top w:val="none" w:sz="0" w:space="0" w:color="auto"/>
                    <w:left w:val="none" w:sz="0" w:space="0" w:color="auto"/>
                    <w:bottom w:val="none" w:sz="0" w:space="0" w:color="auto"/>
                    <w:right w:val="none" w:sz="0" w:space="0" w:color="auto"/>
                  </w:divBdr>
                  <w:divsChild>
                    <w:div w:id="1911885957">
                      <w:marLeft w:val="0"/>
                      <w:marRight w:val="0"/>
                      <w:marTop w:val="0"/>
                      <w:marBottom w:val="0"/>
                      <w:divBdr>
                        <w:top w:val="none" w:sz="0" w:space="0" w:color="auto"/>
                        <w:left w:val="none" w:sz="0" w:space="0" w:color="auto"/>
                        <w:bottom w:val="none" w:sz="0" w:space="0" w:color="auto"/>
                        <w:right w:val="none" w:sz="0" w:space="0" w:color="auto"/>
                      </w:divBdr>
                    </w:div>
                  </w:divsChild>
                </w:div>
                <w:div w:id="1436902871">
                  <w:marLeft w:val="0"/>
                  <w:marRight w:val="0"/>
                  <w:marTop w:val="0"/>
                  <w:marBottom w:val="0"/>
                  <w:divBdr>
                    <w:top w:val="none" w:sz="0" w:space="0" w:color="auto"/>
                    <w:left w:val="none" w:sz="0" w:space="0" w:color="auto"/>
                    <w:bottom w:val="none" w:sz="0" w:space="0" w:color="auto"/>
                    <w:right w:val="none" w:sz="0" w:space="0" w:color="auto"/>
                  </w:divBdr>
                  <w:divsChild>
                    <w:div w:id="1319764851">
                      <w:marLeft w:val="0"/>
                      <w:marRight w:val="0"/>
                      <w:marTop w:val="0"/>
                      <w:marBottom w:val="0"/>
                      <w:divBdr>
                        <w:top w:val="none" w:sz="0" w:space="0" w:color="auto"/>
                        <w:left w:val="none" w:sz="0" w:space="0" w:color="auto"/>
                        <w:bottom w:val="none" w:sz="0" w:space="0" w:color="auto"/>
                        <w:right w:val="none" w:sz="0" w:space="0" w:color="auto"/>
                      </w:divBdr>
                    </w:div>
                  </w:divsChild>
                </w:div>
                <w:div w:id="1547913254">
                  <w:marLeft w:val="0"/>
                  <w:marRight w:val="0"/>
                  <w:marTop w:val="0"/>
                  <w:marBottom w:val="0"/>
                  <w:divBdr>
                    <w:top w:val="none" w:sz="0" w:space="0" w:color="auto"/>
                    <w:left w:val="none" w:sz="0" w:space="0" w:color="auto"/>
                    <w:bottom w:val="none" w:sz="0" w:space="0" w:color="auto"/>
                    <w:right w:val="none" w:sz="0" w:space="0" w:color="auto"/>
                  </w:divBdr>
                  <w:divsChild>
                    <w:div w:id="141896452">
                      <w:marLeft w:val="0"/>
                      <w:marRight w:val="0"/>
                      <w:marTop w:val="0"/>
                      <w:marBottom w:val="0"/>
                      <w:divBdr>
                        <w:top w:val="none" w:sz="0" w:space="0" w:color="auto"/>
                        <w:left w:val="none" w:sz="0" w:space="0" w:color="auto"/>
                        <w:bottom w:val="none" w:sz="0" w:space="0" w:color="auto"/>
                        <w:right w:val="none" w:sz="0" w:space="0" w:color="auto"/>
                      </w:divBdr>
                    </w:div>
                  </w:divsChild>
                </w:div>
                <w:div w:id="1688677014">
                  <w:marLeft w:val="0"/>
                  <w:marRight w:val="0"/>
                  <w:marTop w:val="0"/>
                  <w:marBottom w:val="0"/>
                  <w:divBdr>
                    <w:top w:val="none" w:sz="0" w:space="0" w:color="auto"/>
                    <w:left w:val="none" w:sz="0" w:space="0" w:color="auto"/>
                    <w:bottom w:val="none" w:sz="0" w:space="0" w:color="auto"/>
                    <w:right w:val="none" w:sz="0" w:space="0" w:color="auto"/>
                  </w:divBdr>
                  <w:divsChild>
                    <w:div w:id="1118796868">
                      <w:marLeft w:val="0"/>
                      <w:marRight w:val="0"/>
                      <w:marTop w:val="0"/>
                      <w:marBottom w:val="0"/>
                      <w:divBdr>
                        <w:top w:val="none" w:sz="0" w:space="0" w:color="auto"/>
                        <w:left w:val="none" w:sz="0" w:space="0" w:color="auto"/>
                        <w:bottom w:val="none" w:sz="0" w:space="0" w:color="auto"/>
                        <w:right w:val="none" w:sz="0" w:space="0" w:color="auto"/>
                      </w:divBdr>
                    </w:div>
                  </w:divsChild>
                </w:div>
                <w:div w:id="1768844087">
                  <w:marLeft w:val="0"/>
                  <w:marRight w:val="0"/>
                  <w:marTop w:val="0"/>
                  <w:marBottom w:val="0"/>
                  <w:divBdr>
                    <w:top w:val="none" w:sz="0" w:space="0" w:color="auto"/>
                    <w:left w:val="none" w:sz="0" w:space="0" w:color="auto"/>
                    <w:bottom w:val="none" w:sz="0" w:space="0" w:color="auto"/>
                    <w:right w:val="none" w:sz="0" w:space="0" w:color="auto"/>
                  </w:divBdr>
                  <w:divsChild>
                    <w:div w:id="1920559571">
                      <w:marLeft w:val="0"/>
                      <w:marRight w:val="0"/>
                      <w:marTop w:val="0"/>
                      <w:marBottom w:val="0"/>
                      <w:divBdr>
                        <w:top w:val="none" w:sz="0" w:space="0" w:color="auto"/>
                        <w:left w:val="none" w:sz="0" w:space="0" w:color="auto"/>
                        <w:bottom w:val="none" w:sz="0" w:space="0" w:color="auto"/>
                        <w:right w:val="none" w:sz="0" w:space="0" w:color="auto"/>
                      </w:divBdr>
                    </w:div>
                  </w:divsChild>
                </w:div>
                <w:div w:id="1821187224">
                  <w:marLeft w:val="0"/>
                  <w:marRight w:val="0"/>
                  <w:marTop w:val="0"/>
                  <w:marBottom w:val="0"/>
                  <w:divBdr>
                    <w:top w:val="none" w:sz="0" w:space="0" w:color="auto"/>
                    <w:left w:val="none" w:sz="0" w:space="0" w:color="auto"/>
                    <w:bottom w:val="none" w:sz="0" w:space="0" w:color="auto"/>
                    <w:right w:val="none" w:sz="0" w:space="0" w:color="auto"/>
                  </w:divBdr>
                  <w:divsChild>
                    <w:div w:id="945774488">
                      <w:marLeft w:val="0"/>
                      <w:marRight w:val="0"/>
                      <w:marTop w:val="0"/>
                      <w:marBottom w:val="0"/>
                      <w:divBdr>
                        <w:top w:val="none" w:sz="0" w:space="0" w:color="auto"/>
                        <w:left w:val="none" w:sz="0" w:space="0" w:color="auto"/>
                        <w:bottom w:val="none" w:sz="0" w:space="0" w:color="auto"/>
                        <w:right w:val="none" w:sz="0" w:space="0" w:color="auto"/>
                      </w:divBdr>
                    </w:div>
                  </w:divsChild>
                </w:div>
                <w:div w:id="1873491101">
                  <w:marLeft w:val="0"/>
                  <w:marRight w:val="0"/>
                  <w:marTop w:val="0"/>
                  <w:marBottom w:val="0"/>
                  <w:divBdr>
                    <w:top w:val="none" w:sz="0" w:space="0" w:color="auto"/>
                    <w:left w:val="none" w:sz="0" w:space="0" w:color="auto"/>
                    <w:bottom w:val="none" w:sz="0" w:space="0" w:color="auto"/>
                    <w:right w:val="none" w:sz="0" w:space="0" w:color="auto"/>
                  </w:divBdr>
                  <w:divsChild>
                    <w:div w:id="1467434152">
                      <w:marLeft w:val="0"/>
                      <w:marRight w:val="0"/>
                      <w:marTop w:val="0"/>
                      <w:marBottom w:val="0"/>
                      <w:divBdr>
                        <w:top w:val="none" w:sz="0" w:space="0" w:color="auto"/>
                        <w:left w:val="none" w:sz="0" w:space="0" w:color="auto"/>
                        <w:bottom w:val="none" w:sz="0" w:space="0" w:color="auto"/>
                        <w:right w:val="none" w:sz="0" w:space="0" w:color="auto"/>
                      </w:divBdr>
                    </w:div>
                  </w:divsChild>
                </w:div>
                <w:div w:id="1962104171">
                  <w:marLeft w:val="0"/>
                  <w:marRight w:val="0"/>
                  <w:marTop w:val="0"/>
                  <w:marBottom w:val="0"/>
                  <w:divBdr>
                    <w:top w:val="none" w:sz="0" w:space="0" w:color="auto"/>
                    <w:left w:val="none" w:sz="0" w:space="0" w:color="auto"/>
                    <w:bottom w:val="none" w:sz="0" w:space="0" w:color="auto"/>
                    <w:right w:val="none" w:sz="0" w:space="0" w:color="auto"/>
                  </w:divBdr>
                  <w:divsChild>
                    <w:div w:id="2032367624">
                      <w:marLeft w:val="0"/>
                      <w:marRight w:val="0"/>
                      <w:marTop w:val="0"/>
                      <w:marBottom w:val="0"/>
                      <w:divBdr>
                        <w:top w:val="none" w:sz="0" w:space="0" w:color="auto"/>
                        <w:left w:val="none" w:sz="0" w:space="0" w:color="auto"/>
                        <w:bottom w:val="none" w:sz="0" w:space="0" w:color="auto"/>
                        <w:right w:val="none" w:sz="0" w:space="0" w:color="auto"/>
                      </w:divBdr>
                    </w:div>
                  </w:divsChild>
                </w:div>
                <w:div w:id="2018117438">
                  <w:marLeft w:val="0"/>
                  <w:marRight w:val="0"/>
                  <w:marTop w:val="0"/>
                  <w:marBottom w:val="0"/>
                  <w:divBdr>
                    <w:top w:val="none" w:sz="0" w:space="0" w:color="auto"/>
                    <w:left w:val="none" w:sz="0" w:space="0" w:color="auto"/>
                    <w:bottom w:val="none" w:sz="0" w:space="0" w:color="auto"/>
                    <w:right w:val="none" w:sz="0" w:space="0" w:color="auto"/>
                  </w:divBdr>
                  <w:divsChild>
                    <w:div w:id="366177871">
                      <w:marLeft w:val="0"/>
                      <w:marRight w:val="0"/>
                      <w:marTop w:val="0"/>
                      <w:marBottom w:val="0"/>
                      <w:divBdr>
                        <w:top w:val="none" w:sz="0" w:space="0" w:color="auto"/>
                        <w:left w:val="none" w:sz="0" w:space="0" w:color="auto"/>
                        <w:bottom w:val="none" w:sz="0" w:space="0" w:color="auto"/>
                        <w:right w:val="none" w:sz="0" w:space="0" w:color="auto"/>
                      </w:divBdr>
                    </w:div>
                  </w:divsChild>
                </w:div>
                <w:div w:id="2020765183">
                  <w:marLeft w:val="0"/>
                  <w:marRight w:val="0"/>
                  <w:marTop w:val="0"/>
                  <w:marBottom w:val="0"/>
                  <w:divBdr>
                    <w:top w:val="none" w:sz="0" w:space="0" w:color="auto"/>
                    <w:left w:val="none" w:sz="0" w:space="0" w:color="auto"/>
                    <w:bottom w:val="none" w:sz="0" w:space="0" w:color="auto"/>
                    <w:right w:val="none" w:sz="0" w:space="0" w:color="auto"/>
                  </w:divBdr>
                  <w:divsChild>
                    <w:div w:id="1339845185">
                      <w:marLeft w:val="0"/>
                      <w:marRight w:val="0"/>
                      <w:marTop w:val="0"/>
                      <w:marBottom w:val="0"/>
                      <w:divBdr>
                        <w:top w:val="none" w:sz="0" w:space="0" w:color="auto"/>
                        <w:left w:val="none" w:sz="0" w:space="0" w:color="auto"/>
                        <w:bottom w:val="none" w:sz="0" w:space="0" w:color="auto"/>
                        <w:right w:val="none" w:sz="0" w:space="0" w:color="auto"/>
                      </w:divBdr>
                    </w:div>
                  </w:divsChild>
                </w:div>
                <w:div w:id="2047102025">
                  <w:marLeft w:val="0"/>
                  <w:marRight w:val="0"/>
                  <w:marTop w:val="0"/>
                  <w:marBottom w:val="0"/>
                  <w:divBdr>
                    <w:top w:val="none" w:sz="0" w:space="0" w:color="auto"/>
                    <w:left w:val="none" w:sz="0" w:space="0" w:color="auto"/>
                    <w:bottom w:val="none" w:sz="0" w:space="0" w:color="auto"/>
                    <w:right w:val="none" w:sz="0" w:space="0" w:color="auto"/>
                  </w:divBdr>
                  <w:divsChild>
                    <w:div w:id="83764426">
                      <w:marLeft w:val="0"/>
                      <w:marRight w:val="0"/>
                      <w:marTop w:val="0"/>
                      <w:marBottom w:val="0"/>
                      <w:divBdr>
                        <w:top w:val="none" w:sz="0" w:space="0" w:color="auto"/>
                        <w:left w:val="none" w:sz="0" w:space="0" w:color="auto"/>
                        <w:bottom w:val="none" w:sz="0" w:space="0" w:color="auto"/>
                        <w:right w:val="none" w:sz="0" w:space="0" w:color="auto"/>
                      </w:divBdr>
                    </w:div>
                  </w:divsChild>
                </w:div>
                <w:div w:id="2106723302">
                  <w:marLeft w:val="0"/>
                  <w:marRight w:val="0"/>
                  <w:marTop w:val="0"/>
                  <w:marBottom w:val="0"/>
                  <w:divBdr>
                    <w:top w:val="none" w:sz="0" w:space="0" w:color="auto"/>
                    <w:left w:val="none" w:sz="0" w:space="0" w:color="auto"/>
                    <w:bottom w:val="none" w:sz="0" w:space="0" w:color="auto"/>
                    <w:right w:val="none" w:sz="0" w:space="0" w:color="auto"/>
                  </w:divBdr>
                  <w:divsChild>
                    <w:div w:id="19109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65456">
          <w:marLeft w:val="0"/>
          <w:marRight w:val="0"/>
          <w:marTop w:val="0"/>
          <w:marBottom w:val="0"/>
          <w:divBdr>
            <w:top w:val="none" w:sz="0" w:space="0" w:color="auto"/>
            <w:left w:val="none" w:sz="0" w:space="0" w:color="auto"/>
            <w:bottom w:val="none" w:sz="0" w:space="0" w:color="auto"/>
            <w:right w:val="none" w:sz="0" w:space="0" w:color="auto"/>
          </w:divBdr>
        </w:div>
        <w:div w:id="1698651622">
          <w:marLeft w:val="0"/>
          <w:marRight w:val="0"/>
          <w:marTop w:val="0"/>
          <w:marBottom w:val="0"/>
          <w:divBdr>
            <w:top w:val="none" w:sz="0" w:space="0" w:color="auto"/>
            <w:left w:val="none" w:sz="0" w:space="0" w:color="auto"/>
            <w:bottom w:val="none" w:sz="0" w:space="0" w:color="auto"/>
            <w:right w:val="none" w:sz="0" w:space="0" w:color="auto"/>
          </w:divBdr>
        </w:div>
        <w:div w:id="1752576460">
          <w:marLeft w:val="0"/>
          <w:marRight w:val="0"/>
          <w:marTop w:val="0"/>
          <w:marBottom w:val="0"/>
          <w:divBdr>
            <w:top w:val="none" w:sz="0" w:space="0" w:color="auto"/>
            <w:left w:val="none" w:sz="0" w:space="0" w:color="auto"/>
            <w:bottom w:val="none" w:sz="0" w:space="0" w:color="auto"/>
            <w:right w:val="none" w:sz="0" w:space="0" w:color="auto"/>
          </w:divBdr>
          <w:divsChild>
            <w:div w:id="70203371">
              <w:marLeft w:val="0"/>
              <w:marRight w:val="0"/>
              <w:marTop w:val="0"/>
              <w:marBottom w:val="0"/>
              <w:divBdr>
                <w:top w:val="none" w:sz="0" w:space="0" w:color="auto"/>
                <w:left w:val="none" w:sz="0" w:space="0" w:color="auto"/>
                <w:bottom w:val="none" w:sz="0" w:space="0" w:color="auto"/>
                <w:right w:val="none" w:sz="0" w:space="0" w:color="auto"/>
              </w:divBdr>
            </w:div>
            <w:div w:id="1719354216">
              <w:marLeft w:val="0"/>
              <w:marRight w:val="0"/>
              <w:marTop w:val="0"/>
              <w:marBottom w:val="0"/>
              <w:divBdr>
                <w:top w:val="none" w:sz="0" w:space="0" w:color="auto"/>
                <w:left w:val="none" w:sz="0" w:space="0" w:color="auto"/>
                <w:bottom w:val="none" w:sz="0" w:space="0" w:color="auto"/>
                <w:right w:val="none" w:sz="0" w:space="0" w:color="auto"/>
              </w:divBdr>
            </w:div>
            <w:div w:id="2074159663">
              <w:marLeft w:val="0"/>
              <w:marRight w:val="0"/>
              <w:marTop w:val="0"/>
              <w:marBottom w:val="0"/>
              <w:divBdr>
                <w:top w:val="none" w:sz="0" w:space="0" w:color="auto"/>
                <w:left w:val="none" w:sz="0" w:space="0" w:color="auto"/>
                <w:bottom w:val="none" w:sz="0" w:space="0" w:color="auto"/>
                <w:right w:val="none" w:sz="0" w:space="0" w:color="auto"/>
              </w:divBdr>
            </w:div>
          </w:divsChild>
        </w:div>
        <w:div w:id="1786264609">
          <w:marLeft w:val="0"/>
          <w:marRight w:val="0"/>
          <w:marTop w:val="0"/>
          <w:marBottom w:val="0"/>
          <w:divBdr>
            <w:top w:val="none" w:sz="0" w:space="0" w:color="auto"/>
            <w:left w:val="none" w:sz="0" w:space="0" w:color="auto"/>
            <w:bottom w:val="none" w:sz="0" w:space="0" w:color="auto"/>
            <w:right w:val="none" w:sz="0" w:space="0" w:color="auto"/>
          </w:divBdr>
          <w:divsChild>
            <w:div w:id="292751809">
              <w:marLeft w:val="0"/>
              <w:marRight w:val="0"/>
              <w:marTop w:val="0"/>
              <w:marBottom w:val="0"/>
              <w:divBdr>
                <w:top w:val="none" w:sz="0" w:space="0" w:color="auto"/>
                <w:left w:val="none" w:sz="0" w:space="0" w:color="auto"/>
                <w:bottom w:val="none" w:sz="0" w:space="0" w:color="auto"/>
                <w:right w:val="none" w:sz="0" w:space="0" w:color="auto"/>
              </w:divBdr>
            </w:div>
            <w:div w:id="323244461">
              <w:marLeft w:val="0"/>
              <w:marRight w:val="0"/>
              <w:marTop w:val="0"/>
              <w:marBottom w:val="0"/>
              <w:divBdr>
                <w:top w:val="none" w:sz="0" w:space="0" w:color="auto"/>
                <w:left w:val="none" w:sz="0" w:space="0" w:color="auto"/>
                <w:bottom w:val="none" w:sz="0" w:space="0" w:color="auto"/>
                <w:right w:val="none" w:sz="0" w:space="0" w:color="auto"/>
              </w:divBdr>
            </w:div>
            <w:div w:id="858351947">
              <w:marLeft w:val="0"/>
              <w:marRight w:val="0"/>
              <w:marTop w:val="0"/>
              <w:marBottom w:val="0"/>
              <w:divBdr>
                <w:top w:val="none" w:sz="0" w:space="0" w:color="auto"/>
                <w:left w:val="none" w:sz="0" w:space="0" w:color="auto"/>
                <w:bottom w:val="none" w:sz="0" w:space="0" w:color="auto"/>
                <w:right w:val="none" w:sz="0" w:space="0" w:color="auto"/>
              </w:divBdr>
            </w:div>
            <w:div w:id="1993633746">
              <w:marLeft w:val="0"/>
              <w:marRight w:val="0"/>
              <w:marTop w:val="0"/>
              <w:marBottom w:val="0"/>
              <w:divBdr>
                <w:top w:val="none" w:sz="0" w:space="0" w:color="auto"/>
                <w:left w:val="none" w:sz="0" w:space="0" w:color="auto"/>
                <w:bottom w:val="none" w:sz="0" w:space="0" w:color="auto"/>
                <w:right w:val="none" w:sz="0" w:space="0" w:color="auto"/>
              </w:divBdr>
            </w:div>
          </w:divsChild>
        </w:div>
        <w:div w:id="1839347525">
          <w:marLeft w:val="0"/>
          <w:marRight w:val="0"/>
          <w:marTop w:val="0"/>
          <w:marBottom w:val="0"/>
          <w:divBdr>
            <w:top w:val="none" w:sz="0" w:space="0" w:color="auto"/>
            <w:left w:val="none" w:sz="0" w:space="0" w:color="auto"/>
            <w:bottom w:val="none" w:sz="0" w:space="0" w:color="auto"/>
            <w:right w:val="none" w:sz="0" w:space="0" w:color="auto"/>
          </w:divBdr>
        </w:div>
        <w:div w:id="1884058880">
          <w:marLeft w:val="0"/>
          <w:marRight w:val="0"/>
          <w:marTop w:val="0"/>
          <w:marBottom w:val="0"/>
          <w:divBdr>
            <w:top w:val="none" w:sz="0" w:space="0" w:color="auto"/>
            <w:left w:val="none" w:sz="0" w:space="0" w:color="auto"/>
            <w:bottom w:val="none" w:sz="0" w:space="0" w:color="auto"/>
            <w:right w:val="none" w:sz="0" w:space="0" w:color="auto"/>
          </w:divBdr>
        </w:div>
        <w:div w:id="1893689055">
          <w:marLeft w:val="0"/>
          <w:marRight w:val="0"/>
          <w:marTop w:val="0"/>
          <w:marBottom w:val="0"/>
          <w:divBdr>
            <w:top w:val="none" w:sz="0" w:space="0" w:color="auto"/>
            <w:left w:val="none" w:sz="0" w:space="0" w:color="auto"/>
            <w:bottom w:val="none" w:sz="0" w:space="0" w:color="auto"/>
            <w:right w:val="none" w:sz="0" w:space="0" w:color="auto"/>
          </w:divBdr>
          <w:divsChild>
            <w:div w:id="580603445">
              <w:marLeft w:val="-75"/>
              <w:marRight w:val="0"/>
              <w:marTop w:val="30"/>
              <w:marBottom w:val="30"/>
              <w:divBdr>
                <w:top w:val="none" w:sz="0" w:space="0" w:color="auto"/>
                <w:left w:val="none" w:sz="0" w:space="0" w:color="auto"/>
                <w:bottom w:val="none" w:sz="0" w:space="0" w:color="auto"/>
                <w:right w:val="none" w:sz="0" w:space="0" w:color="auto"/>
              </w:divBdr>
              <w:divsChild>
                <w:div w:id="123155624">
                  <w:marLeft w:val="0"/>
                  <w:marRight w:val="0"/>
                  <w:marTop w:val="0"/>
                  <w:marBottom w:val="0"/>
                  <w:divBdr>
                    <w:top w:val="none" w:sz="0" w:space="0" w:color="auto"/>
                    <w:left w:val="none" w:sz="0" w:space="0" w:color="auto"/>
                    <w:bottom w:val="none" w:sz="0" w:space="0" w:color="auto"/>
                    <w:right w:val="none" w:sz="0" w:space="0" w:color="auto"/>
                  </w:divBdr>
                  <w:divsChild>
                    <w:div w:id="1621913244">
                      <w:marLeft w:val="0"/>
                      <w:marRight w:val="0"/>
                      <w:marTop w:val="0"/>
                      <w:marBottom w:val="0"/>
                      <w:divBdr>
                        <w:top w:val="none" w:sz="0" w:space="0" w:color="auto"/>
                        <w:left w:val="none" w:sz="0" w:space="0" w:color="auto"/>
                        <w:bottom w:val="none" w:sz="0" w:space="0" w:color="auto"/>
                        <w:right w:val="none" w:sz="0" w:space="0" w:color="auto"/>
                      </w:divBdr>
                    </w:div>
                  </w:divsChild>
                </w:div>
                <w:div w:id="189219170">
                  <w:marLeft w:val="0"/>
                  <w:marRight w:val="0"/>
                  <w:marTop w:val="0"/>
                  <w:marBottom w:val="0"/>
                  <w:divBdr>
                    <w:top w:val="none" w:sz="0" w:space="0" w:color="auto"/>
                    <w:left w:val="none" w:sz="0" w:space="0" w:color="auto"/>
                    <w:bottom w:val="none" w:sz="0" w:space="0" w:color="auto"/>
                    <w:right w:val="none" w:sz="0" w:space="0" w:color="auto"/>
                  </w:divBdr>
                  <w:divsChild>
                    <w:div w:id="1622765005">
                      <w:marLeft w:val="0"/>
                      <w:marRight w:val="0"/>
                      <w:marTop w:val="0"/>
                      <w:marBottom w:val="0"/>
                      <w:divBdr>
                        <w:top w:val="none" w:sz="0" w:space="0" w:color="auto"/>
                        <w:left w:val="none" w:sz="0" w:space="0" w:color="auto"/>
                        <w:bottom w:val="none" w:sz="0" w:space="0" w:color="auto"/>
                        <w:right w:val="none" w:sz="0" w:space="0" w:color="auto"/>
                      </w:divBdr>
                    </w:div>
                  </w:divsChild>
                </w:div>
                <w:div w:id="242376537">
                  <w:marLeft w:val="0"/>
                  <w:marRight w:val="0"/>
                  <w:marTop w:val="0"/>
                  <w:marBottom w:val="0"/>
                  <w:divBdr>
                    <w:top w:val="none" w:sz="0" w:space="0" w:color="auto"/>
                    <w:left w:val="none" w:sz="0" w:space="0" w:color="auto"/>
                    <w:bottom w:val="none" w:sz="0" w:space="0" w:color="auto"/>
                    <w:right w:val="none" w:sz="0" w:space="0" w:color="auto"/>
                  </w:divBdr>
                  <w:divsChild>
                    <w:div w:id="1863862624">
                      <w:marLeft w:val="0"/>
                      <w:marRight w:val="0"/>
                      <w:marTop w:val="0"/>
                      <w:marBottom w:val="0"/>
                      <w:divBdr>
                        <w:top w:val="none" w:sz="0" w:space="0" w:color="auto"/>
                        <w:left w:val="none" w:sz="0" w:space="0" w:color="auto"/>
                        <w:bottom w:val="none" w:sz="0" w:space="0" w:color="auto"/>
                        <w:right w:val="none" w:sz="0" w:space="0" w:color="auto"/>
                      </w:divBdr>
                    </w:div>
                  </w:divsChild>
                </w:div>
                <w:div w:id="426122149">
                  <w:marLeft w:val="0"/>
                  <w:marRight w:val="0"/>
                  <w:marTop w:val="0"/>
                  <w:marBottom w:val="0"/>
                  <w:divBdr>
                    <w:top w:val="none" w:sz="0" w:space="0" w:color="auto"/>
                    <w:left w:val="none" w:sz="0" w:space="0" w:color="auto"/>
                    <w:bottom w:val="none" w:sz="0" w:space="0" w:color="auto"/>
                    <w:right w:val="none" w:sz="0" w:space="0" w:color="auto"/>
                  </w:divBdr>
                  <w:divsChild>
                    <w:div w:id="333849460">
                      <w:marLeft w:val="0"/>
                      <w:marRight w:val="0"/>
                      <w:marTop w:val="0"/>
                      <w:marBottom w:val="0"/>
                      <w:divBdr>
                        <w:top w:val="none" w:sz="0" w:space="0" w:color="auto"/>
                        <w:left w:val="none" w:sz="0" w:space="0" w:color="auto"/>
                        <w:bottom w:val="none" w:sz="0" w:space="0" w:color="auto"/>
                        <w:right w:val="none" w:sz="0" w:space="0" w:color="auto"/>
                      </w:divBdr>
                    </w:div>
                  </w:divsChild>
                </w:div>
                <w:div w:id="447773587">
                  <w:marLeft w:val="0"/>
                  <w:marRight w:val="0"/>
                  <w:marTop w:val="0"/>
                  <w:marBottom w:val="0"/>
                  <w:divBdr>
                    <w:top w:val="none" w:sz="0" w:space="0" w:color="auto"/>
                    <w:left w:val="none" w:sz="0" w:space="0" w:color="auto"/>
                    <w:bottom w:val="none" w:sz="0" w:space="0" w:color="auto"/>
                    <w:right w:val="none" w:sz="0" w:space="0" w:color="auto"/>
                  </w:divBdr>
                  <w:divsChild>
                    <w:div w:id="214703860">
                      <w:marLeft w:val="0"/>
                      <w:marRight w:val="0"/>
                      <w:marTop w:val="0"/>
                      <w:marBottom w:val="0"/>
                      <w:divBdr>
                        <w:top w:val="none" w:sz="0" w:space="0" w:color="auto"/>
                        <w:left w:val="none" w:sz="0" w:space="0" w:color="auto"/>
                        <w:bottom w:val="none" w:sz="0" w:space="0" w:color="auto"/>
                        <w:right w:val="none" w:sz="0" w:space="0" w:color="auto"/>
                      </w:divBdr>
                    </w:div>
                  </w:divsChild>
                </w:div>
                <w:div w:id="508954874">
                  <w:marLeft w:val="0"/>
                  <w:marRight w:val="0"/>
                  <w:marTop w:val="0"/>
                  <w:marBottom w:val="0"/>
                  <w:divBdr>
                    <w:top w:val="none" w:sz="0" w:space="0" w:color="auto"/>
                    <w:left w:val="none" w:sz="0" w:space="0" w:color="auto"/>
                    <w:bottom w:val="none" w:sz="0" w:space="0" w:color="auto"/>
                    <w:right w:val="none" w:sz="0" w:space="0" w:color="auto"/>
                  </w:divBdr>
                  <w:divsChild>
                    <w:div w:id="1080102427">
                      <w:marLeft w:val="0"/>
                      <w:marRight w:val="0"/>
                      <w:marTop w:val="0"/>
                      <w:marBottom w:val="0"/>
                      <w:divBdr>
                        <w:top w:val="none" w:sz="0" w:space="0" w:color="auto"/>
                        <w:left w:val="none" w:sz="0" w:space="0" w:color="auto"/>
                        <w:bottom w:val="none" w:sz="0" w:space="0" w:color="auto"/>
                        <w:right w:val="none" w:sz="0" w:space="0" w:color="auto"/>
                      </w:divBdr>
                    </w:div>
                  </w:divsChild>
                </w:div>
                <w:div w:id="563108969">
                  <w:marLeft w:val="0"/>
                  <w:marRight w:val="0"/>
                  <w:marTop w:val="0"/>
                  <w:marBottom w:val="0"/>
                  <w:divBdr>
                    <w:top w:val="none" w:sz="0" w:space="0" w:color="auto"/>
                    <w:left w:val="none" w:sz="0" w:space="0" w:color="auto"/>
                    <w:bottom w:val="none" w:sz="0" w:space="0" w:color="auto"/>
                    <w:right w:val="none" w:sz="0" w:space="0" w:color="auto"/>
                  </w:divBdr>
                  <w:divsChild>
                    <w:div w:id="807012797">
                      <w:marLeft w:val="0"/>
                      <w:marRight w:val="0"/>
                      <w:marTop w:val="0"/>
                      <w:marBottom w:val="0"/>
                      <w:divBdr>
                        <w:top w:val="none" w:sz="0" w:space="0" w:color="auto"/>
                        <w:left w:val="none" w:sz="0" w:space="0" w:color="auto"/>
                        <w:bottom w:val="none" w:sz="0" w:space="0" w:color="auto"/>
                        <w:right w:val="none" w:sz="0" w:space="0" w:color="auto"/>
                      </w:divBdr>
                    </w:div>
                  </w:divsChild>
                </w:div>
                <w:div w:id="642079719">
                  <w:marLeft w:val="0"/>
                  <w:marRight w:val="0"/>
                  <w:marTop w:val="0"/>
                  <w:marBottom w:val="0"/>
                  <w:divBdr>
                    <w:top w:val="none" w:sz="0" w:space="0" w:color="auto"/>
                    <w:left w:val="none" w:sz="0" w:space="0" w:color="auto"/>
                    <w:bottom w:val="none" w:sz="0" w:space="0" w:color="auto"/>
                    <w:right w:val="none" w:sz="0" w:space="0" w:color="auto"/>
                  </w:divBdr>
                  <w:divsChild>
                    <w:div w:id="305937877">
                      <w:marLeft w:val="0"/>
                      <w:marRight w:val="0"/>
                      <w:marTop w:val="0"/>
                      <w:marBottom w:val="0"/>
                      <w:divBdr>
                        <w:top w:val="none" w:sz="0" w:space="0" w:color="auto"/>
                        <w:left w:val="none" w:sz="0" w:space="0" w:color="auto"/>
                        <w:bottom w:val="none" w:sz="0" w:space="0" w:color="auto"/>
                        <w:right w:val="none" w:sz="0" w:space="0" w:color="auto"/>
                      </w:divBdr>
                    </w:div>
                  </w:divsChild>
                </w:div>
                <w:div w:id="792096211">
                  <w:marLeft w:val="0"/>
                  <w:marRight w:val="0"/>
                  <w:marTop w:val="0"/>
                  <w:marBottom w:val="0"/>
                  <w:divBdr>
                    <w:top w:val="none" w:sz="0" w:space="0" w:color="auto"/>
                    <w:left w:val="none" w:sz="0" w:space="0" w:color="auto"/>
                    <w:bottom w:val="none" w:sz="0" w:space="0" w:color="auto"/>
                    <w:right w:val="none" w:sz="0" w:space="0" w:color="auto"/>
                  </w:divBdr>
                  <w:divsChild>
                    <w:div w:id="670640322">
                      <w:marLeft w:val="0"/>
                      <w:marRight w:val="0"/>
                      <w:marTop w:val="0"/>
                      <w:marBottom w:val="0"/>
                      <w:divBdr>
                        <w:top w:val="none" w:sz="0" w:space="0" w:color="auto"/>
                        <w:left w:val="none" w:sz="0" w:space="0" w:color="auto"/>
                        <w:bottom w:val="none" w:sz="0" w:space="0" w:color="auto"/>
                        <w:right w:val="none" w:sz="0" w:space="0" w:color="auto"/>
                      </w:divBdr>
                    </w:div>
                  </w:divsChild>
                </w:div>
                <w:div w:id="1020663389">
                  <w:marLeft w:val="0"/>
                  <w:marRight w:val="0"/>
                  <w:marTop w:val="0"/>
                  <w:marBottom w:val="0"/>
                  <w:divBdr>
                    <w:top w:val="none" w:sz="0" w:space="0" w:color="auto"/>
                    <w:left w:val="none" w:sz="0" w:space="0" w:color="auto"/>
                    <w:bottom w:val="none" w:sz="0" w:space="0" w:color="auto"/>
                    <w:right w:val="none" w:sz="0" w:space="0" w:color="auto"/>
                  </w:divBdr>
                  <w:divsChild>
                    <w:div w:id="1440174798">
                      <w:marLeft w:val="0"/>
                      <w:marRight w:val="0"/>
                      <w:marTop w:val="0"/>
                      <w:marBottom w:val="0"/>
                      <w:divBdr>
                        <w:top w:val="none" w:sz="0" w:space="0" w:color="auto"/>
                        <w:left w:val="none" w:sz="0" w:space="0" w:color="auto"/>
                        <w:bottom w:val="none" w:sz="0" w:space="0" w:color="auto"/>
                        <w:right w:val="none" w:sz="0" w:space="0" w:color="auto"/>
                      </w:divBdr>
                    </w:div>
                  </w:divsChild>
                </w:div>
                <w:div w:id="1072236918">
                  <w:marLeft w:val="0"/>
                  <w:marRight w:val="0"/>
                  <w:marTop w:val="0"/>
                  <w:marBottom w:val="0"/>
                  <w:divBdr>
                    <w:top w:val="none" w:sz="0" w:space="0" w:color="auto"/>
                    <w:left w:val="none" w:sz="0" w:space="0" w:color="auto"/>
                    <w:bottom w:val="none" w:sz="0" w:space="0" w:color="auto"/>
                    <w:right w:val="none" w:sz="0" w:space="0" w:color="auto"/>
                  </w:divBdr>
                  <w:divsChild>
                    <w:div w:id="426770660">
                      <w:marLeft w:val="0"/>
                      <w:marRight w:val="0"/>
                      <w:marTop w:val="0"/>
                      <w:marBottom w:val="0"/>
                      <w:divBdr>
                        <w:top w:val="none" w:sz="0" w:space="0" w:color="auto"/>
                        <w:left w:val="none" w:sz="0" w:space="0" w:color="auto"/>
                        <w:bottom w:val="none" w:sz="0" w:space="0" w:color="auto"/>
                        <w:right w:val="none" w:sz="0" w:space="0" w:color="auto"/>
                      </w:divBdr>
                    </w:div>
                  </w:divsChild>
                </w:div>
                <w:div w:id="1303193558">
                  <w:marLeft w:val="0"/>
                  <w:marRight w:val="0"/>
                  <w:marTop w:val="0"/>
                  <w:marBottom w:val="0"/>
                  <w:divBdr>
                    <w:top w:val="none" w:sz="0" w:space="0" w:color="auto"/>
                    <w:left w:val="none" w:sz="0" w:space="0" w:color="auto"/>
                    <w:bottom w:val="none" w:sz="0" w:space="0" w:color="auto"/>
                    <w:right w:val="none" w:sz="0" w:space="0" w:color="auto"/>
                  </w:divBdr>
                  <w:divsChild>
                    <w:div w:id="103379835">
                      <w:marLeft w:val="0"/>
                      <w:marRight w:val="0"/>
                      <w:marTop w:val="0"/>
                      <w:marBottom w:val="0"/>
                      <w:divBdr>
                        <w:top w:val="none" w:sz="0" w:space="0" w:color="auto"/>
                        <w:left w:val="none" w:sz="0" w:space="0" w:color="auto"/>
                        <w:bottom w:val="none" w:sz="0" w:space="0" w:color="auto"/>
                        <w:right w:val="none" w:sz="0" w:space="0" w:color="auto"/>
                      </w:divBdr>
                    </w:div>
                  </w:divsChild>
                </w:div>
                <w:div w:id="1355303250">
                  <w:marLeft w:val="0"/>
                  <w:marRight w:val="0"/>
                  <w:marTop w:val="0"/>
                  <w:marBottom w:val="0"/>
                  <w:divBdr>
                    <w:top w:val="none" w:sz="0" w:space="0" w:color="auto"/>
                    <w:left w:val="none" w:sz="0" w:space="0" w:color="auto"/>
                    <w:bottom w:val="none" w:sz="0" w:space="0" w:color="auto"/>
                    <w:right w:val="none" w:sz="0" w:space="0" w:color="auto"/>
                  </w:divBdr>
                  <w:divsChild>
                    <w:div w:id="1571504128">
                      <w:marLeft w:val="0"/>
                      <w:marRight w:val="0"/>
                      <w:marTop w:val="0"/>
                      <w:marBottom w:val="0"/>
                      <w:divBdr>
                        <w:top w:val="none" w:sz="0" w:space="0" w:color="auto"/>
                        <w:left w:val="none" w:sz="0" w:space="0" w:color="auto"/>
                        <w:bottom w:val="none" w:sz="0" w:space="0" w:color="auto"/>
                        <w:right w:val="none" w:sz="0" w:space="0" w:color="auto"/>
                      </w:divBdr>
                    </w:div>
                  </w:divsChild>
                </w:div>
                <w:div w:id="1417285919">
                  <w:marLeft w:val="0"/>
                  <w:marRight w:val="0"/>
                  <w:marTop w:val="0"/>
                  <w:marBottom w:val="0"/>
                  <w:divBdr>
                    <w:top w:val="none" w:sz="0" w:space="0" w:color="auto"/>
                    <w:left w:val="none" w:sz="0" w:space="0" w:color="auto"/>
                    <w:bottom w:val="none" w:sz="0" w:space="0" w:color="auto"/>
                    <w:right w:val="none" w:sz="0" w:space="0" w:color="auto"/>
                  </w:divBdr>
                  <w:divsChild>
                    <w:div w:id="1092773157">
                      <w:marLeft w:val="0"/>
                      <w:marRight w:val="0"/>
                      <w:marTop w:val="0"/>
                      <w:marBottom w:val="0"/>
                      <w:divBdr>
                        <w:top w:val="none" w:sz="0" w:space="0" w:color="auto"/>
                        <w:left w:val="none" w:sz="0" w:space="0" w:color="auto"/>
                        <w:bottom w:val="none" w:sz="0" w:space="0" w:color="auto"/>
                        <w:right w:val="none" w:sz="0" w:space="0" w:color="auto"/>
                      </w:divBdr>
                    </w:div>
                  </w:divsChild>
                </w:div>
                <w:div w:id="1521117045">
                  <w:marLeft w:val="0"/>
                  <w:marRight w:val="0"/>
                  <w:marTop w:val="0"/>
                  <w:marBottom w:val="0"/>
                  <w:divBdr>
                    <w:top w:val="none" w:sz="0" w:space="0" w:color="auto"/>
                    <w:left w:val="none" w:sz="0" w:space="0" w:color="auto"/>
                    <w:bottom w:val="none" w:sz="0" w:space="0" w:color="auto"/>
                    <w:right w:val="none" w:sz="0" w:space="0" w:color="auto"/>
                  </w:divBdr>
                  <w:divsChild>
                    <w:div w:id="148179544">
                      <w:marLeft w:val="0"/>
                      <w:marRight w:val="0"/>
                      <w:marTop w:val="0"/>
                      <w:marBottom w:val="0"/>
                      <w:divBdr>
                        <w:top w:val="none" w:sz="0" w:space="0" w:color="auto"/>
                        <w:left w:val="none" w:sz="0" w:space="0" w:color="auto"/>
                        <w:bottom w:val="none" w:sz="0" w:space="0" w:color="auto"/>
                        <w:right w:val="none" w:sz="0" w:space="0" w:color="auto"/>
                      </w:divBdr>
                    </w:div>
                  </w:divsChild>
                </w:div>
                <w:div w:id="1641232880">
                  <w:marLeft w:val="0"/>
                  <w:marRight w:val="0"/>
                  <w:marTop w:val="0"/>
                  <w:marBottom w:val="0"/>
                  <w:divBdr>
                    <w:top w:val="none" w:sz="0" w:space="0" w:color="auto"/>
                    <w:left w:val="none" w:sz="0" w:space="0" w:color="auto"/>
                    <w:bottom w:val="none" w:sz="0" w:space="0" w:color="auto"/>
                    <w:right w:val="none" w:sz="0" w:space="0" w:color="auto"/>
                  </w:divBdr>
                  <w:divsChild>
                    <w:div w:id="1434864134">
                      <w:marLeft w:val="0"/>
                      <w:marRight w:val="0"/>
                      <w:marTop w:val="0"/>
                      <w:marBottom w:val="0"/>
                      <w:divBdr>
                        <w:top w:val="none" w:sz="0" w:space="0" w:color="auto"/>
                        <w:left w:val="none" w:sz="0" w:space="0" w:color="auto"/>
                        <w:bottom w:val="none" w:sz="0" w:space="0" w:color="auto"/>
                        <w:right w:val="none" w:sz="0" w:space="0" w:color="auto"/>
                      </w:divBdr>
                    </w:div>
                  </w:divsChild>
                </w:div>
                <w:div w:id="1825928587">
                  <w:marLeft w:val="0"/>
                  <w:marRight w:val="0"/>
                  <w:marTop w:val="0"/>
                  <w:marBottom w:val="0"/>
                  <w:divBdr>
                    <w:top w:val="none" w:sz="0" w:space="0" w:color="auto"/>
                    <w:left w:val="none" w:sz="0" w:space="0" w:color="auto"/>
                    <w:bottom w:val="none" w:sz="0" w:space="0" w:color="auto"/>
                    <w:right w:val="none" w:sz="0" w:space="0" w:color="auto"/>
                  </w:divBdr>
                  <w:divsChild>
                    <w:div w:id="523371967">
                      <w:marLeft w:val="0"/>
                      <w:marRight w:val="0"/>
                      <w:marTop w:val="0"/>
                      <w:marBottom w:val="0"/>
                      <w:divBdr>
                        <w:top w:val="none" w:sz="0" w:space="0" w:color="auto"/>
                        <w:left w:val="none" w:sz="0" w:space="0" w:color="auto"/>
                        <w:bottom w:val="none" w:sz="0" w:space="0" w:color="auto"/>
                        <w:right w:val="none" w:sz="0" w:space="0" w:color="auto"/>
                      </w:divBdr>
                    </w:div>
                  </w:divsChild>
                </w:div>
                <w:div w:id="1926299815">
                  <w:marLeft w:val="0"/>
                  <w:marRight w:val="0"/>
                  <w:marTop w:val="0"/>
                  <w:marBottom w:val="0"/>
                  <w:divBdr>
                    <w:top w:val="none" w:sz="0" w:space="0" w:color="auto"/>
                    <w:left w:val="none" w:sz="0" w:space="0" w:color="auto"/>
                    <w:bottom w:val="none" w:sz="0" w:space="0" w:color="auto"/>
                    <w:right w:val="none" w:sz="0" w:space="0" w:color="auto"/>
                  </w:divBdr>
                  <w:divsChild>
                    <w:div w:id="1414085075">
                      <w:marLeft w:val="0"/>
                      <w:marRight w:val="0"/>
                      <w:marTop w:val="0"/>
                      <w:marBottom w:val="0"/>
                      <w:divBdr>
                        <w:top w:val="none" w:sz="0" w:space="0" w:color="auto"/>
                        <w:left w:val="none" w:sz="0" w:space="0" w:color="auto"/>
                        <w:bottom w:val="none" w:sz="0" w:space="0" w:color="auto"/>
                        <w:right w:val="none" w:sz="0" w:space="0" w:color="auto"/>
                      </w:divBdr>
                    </w:div>
                  </w:divsChild>
                </w:div>
                <w:div w:id="1930579140">
                  <w:marLeft w:val="0"/>
                  <w:marRight w:val="0"/>
                  <w:marTop w:val="0"/>
                  <w:marBottom w:val="0"/>
                  <w:divBdr>
                    <w:top w:val="none" w:sz="0" w:space="0" w:color="auto"/>
                    <w:left w:val="none" w:sz="0" w:space="0" w:color="auto"/>
                    <w:bottom w:val="none" w:sz="0" w:space="0" w:color="auto"/>
                    <w:right w:val="none" w:sz="0" w:space="0" w:color="auto"/>
                  </w:divBdr>
                  <w:divsChild>
                    <w:div w:id="2057076134">
                      <w:marLeft w:val="0"/>
                      <w:marRight w:val="0"/>
                      <w:marTop w:val="0"/>
                      <w:marBottom w:val="0"/>
                      <w:divBdr>
                        <w:top w:val="none" w:sz="0" w:space="0" w:color="auto"/>
                        <w:left w:val="none" w:sz="0" w:space="0" w:color="auto"/>
                        <w:bottom w:val="none" w:sz="0" w:space="0" w:color="auto"/>
                        <w:right w:val="none" w:sz="0" w:space="0" w:color="auto"/>
                      </w:divBdr>
                    </w:div>
                  </w:divsChild>
                </w:div>
                <w:div w:id="1966736638">
                  <w:marLeft w:val="0"/>
                  <w:marRight w:val="0"/>
                  <w:marTop w:val="0"/>
                  <w:marBottom w:val="0"/>
                  <w:divBdr>
                    <w:top w:val="none" w:sz="0" w:space="0" w:color="auto"/>
                    <w:left w:val="none" w:sz="0" w:space="0" w:color="auto"/>
                    <w:bottom w:val="none" w:sz="0" w:space="0" w:color="auto"/>
                    <w:right w:val="none" w:sz="0" w:space="0" w:color="auto"/>
                  </w:divBdr>
                  <w:divsChild>
                    <w:div w:id="425804781">
                      <w:marLeft w:val="0"/>
                      <w:marRight w:val="0"/>
                      <w:marTop w:val="0"/>
                      <w:marBottom w:val="0"/>
                      <w:divBdr>
                        <w:top w:val="none" w:sz="0" w:space="0" w:color="auto"/>
                        <w:left w:val="none" w:sz="0" w:space="0" w:color="auto"/>
                        <w:bottom w:val="none" w:sz="0" w:space="0" w:color="auto"/>
                        <w:right w:val="none" w:sz="0" w:space="0" w:color="auto"/>
                      </w:divBdr>
                    </w:div>
                  </w:divsChild>
                </w:div>
                <w:div w:id="1968776062">
                  <w:marLeft w:val="0"/>
                  <w:marRight w:val="0"/>
                  <w:marTop w:val="0"/>
                  <w:marBottom w:val="0"/>
                  <w:divBdr>
                    <w:top w:val="none" w:sz="0" w:space="0" w:color="auto"/>
                    <w:left w:val="none" w:sz="0" w:space="0" w:color="auto"/>
                    <w:bottom w:val="none" w:sz="0" w:space="0" w:color="auto"/>
                    <w:right w:val="none" w:sz="0" w:space="0" w:color="auto"/>
                  </w:divBdr>
                  <w:divsChild>
                    <w:div w:id="702441686">
                      <w:marLeft w:val="0"/>
                      <w:marRight w:val="0"/>
                      <w:marTop w:val="0"/>
                      <w:marBottom w:val="0"/>
                      <w:divBdr>
                        <w:top w:val="none" w:sz="0" w:space="0" w:color="auto"/>
                        <w:left w:val="none" w:sz="0" w:space="0" w:color="auto"/>
                        <w:bottom w:val="none" w:sz="0" w:space="0" w:color="auto"/>
                        <w:right w:val="none" w:sz="0" w:space="0" w:color="auto"/>
                      </w:divBdr>
                    </w:div>
                  </w:divsChild>
                </w:div>
                <w:div w:id="2106685181">
                  <w:marLeft w:val="0"/>
                  <w:marRight w:val="0"/>
                  <w:marTop w:val="0"/>
                  <w:marBottom w:val="0"/>
                  <w:divBdr>
                    <w:top w:val="none" w:sz="0" w:space="0" w:color="auto"/>
                    <w:left w:val="none" w:sz="0" w:space="0" w:color="auto"/>
                    <w:bottom w:val="none" w:sz="0" w:space="0" w:color="auto"/>
                    <w:right w:val="none" w:sz="0" w:space="0" w:color="auto"/>
                  </w:divBdr>
                  <w:divsChild>
                    <w:div w:id="16427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861277">
          <w:marLeft w:val="0"/>
          <w:marRight w:val="0"/>
          <w:marTop w:val="0"/>
          <w:marBottom w:val="0"/>
          <w:divBdr>
            <w:top w:val="none" w:sz="0" w:space="0" w:color="auto"/>
            <w:left w:val="none" w:sz="0" w:space="0" w:color="auto"/>
            <w:bottom w:val="none" w:sz="0" w:space="0" w:color="auto"/>
            <w:right w:val="none" w:sz="0" w:space="0" w:color="auto"/>
          </w:divBdr>
        </w:div>
        <w:div w:id="1903710451">
          <w:marLeft w:val="0"/>
          <w:marRight w:val="0"/>
          <w:marTop w:val="0"/>
          <w:marBottom w:val="0"/>
          <w:divBdr>
            <w:top w:val="none" w:sz="0" w:space="0" w:color="auto"/>
            <w:left w:val="none" w:sz="0" w:space="0" w:color="auto"/>
            <w:bottom w:val="none" w:sz="0" w:space="0" w:color="auto"/>
            <w:right w:val="none" w:sz="0" w:space="0" w:color="auto"/>
          </w:divBdr>
        </w:div>
        <w:div w:id="1979534189">
          <w:marLeft w:val="0"/>
          <w:marRight w:val="0"/>
          <w:marTop w:val="0"/>
          <w:marBottom w:val="0"/>
          <w:divBdr>
            <w:top w:val="none" w:sz="0" w:space="0" w:color="auto"/>
            <w:left w:val="none" w:sz="0" w:space="0" w:color="auto"/>
            <w:bottom w:val="none" w:sz="0" w:space="0" w:color="auto"/>
            <w:right w:val="none" w:sz="0" w:space="0" w:color="auto"/>
          </w:divBdr>
        </w:div>
        <w:div w:id="2051302193">
          <w:marLeft w:val="0"/>
          <w:marRight w:val="0"/>
          <w:marTop w:val="0"/>
          <w:marBottom w:val="0"/>
          <w:divBdr>
            <w:top w:val="none" w:sz="0" w:space="0" w:color="auto"/>
            <w:left w:val="none" w:sz="0" w:space="0" w:color="auto"/>
            <w:bottom w:val="none" w:sz="0" w:space="0" w:color="auto"/>
            <w:right w:val="none" w:sz="0" w:space="0" w:color="auto"/>
          </w:divBdr>
        </w:div>
        <w:div w:id="2097239581">
          <w:marLeft w:val="0"/>
          <w:marRight w:val="0"/>
          <w:marTop w:val="0"/>
          <w:marBottom w:val="0"/>
          <w:divBdr>
            <w:top w:val="none" w:sz="0" w:space="0" w:color="auto"/>
            <w:left w:val="none" w:sz="0" w:space="0" w:color="auto"/>
            <w:bottom w:val="none" w:sz="0" w:space="0" w:color="auto"/>
            <w:right w:val="none" w:sz="0" w:space="0" w:color="auto"/>
          </w:divBdr>
          <w:divsChild>
            <w:div w:id="1372608585">
              <w:marLeft w:val="0"/>
              <w:marRight w:val="0"/>
              <w:marTop w:val="0"/>
              <w:marBottom w:val="0"/>
              <w:divBdr>
                <w:top w:val="none" w:sz="0" w:space="0" w:color="auto"/>
                <w:left w:val="none" w:sz="0" w:space="0" w:color="auto"/>
                <w:bottom w:val="none" w:sz="0" w:space="0" w:color="auto"/>
                <w:right w:val="none" w:sz="0" w:space="0" w:color="auto"/>
              </w:divBdr>
            </w:div>
            <w:div w:id="1495560947">
              <w:marLeft w:val="0"/>
              <w:marRight w:val="0"/>
              <w:marTop w:val="0"/>
              <w:marBottom w:val="0"/>
              <w:divBdr>
                <w:top w:val="none" w:sz="0" w:space="0" w:color="auto"/>
                <w:left w:val="none" w:sz="0" w:space="0" w:color="auto"/>
                <w:bottom w:val="none" w:sz="0" w:space="0" w:color="auto"/>
                <w:right w:val="none" w:sz="0" w:space="0" w:color="auto"/>
              </w:divBdr>
            </w:div>
            <w:div w:id="1605264244">
              <w:marLeft w:val="0"/>
              <w:marRight w:val="0"/>
              <w:marTop w:val="0"/>
              <w:marBottom w:val="0"/>
              <w:divBdr>
                <w:top w:val="none" w:sz="0" w:space="0" w:color="auto"/>
                <w:left w:val="none" w:sz="0" w:space="0" w:color="auto"/>
                <w:bottom w:val="none" w:sz="0" w:space="0" w:color="auto"/>
                <w:right w:val="none" w:sz="0" w:space="0" w:color="auto"/>
              </w:divBdr>
            </w:div>
            <w:div w:id="2141531378">
              <w:marLeft w:val="0"/>
              <w:marRight w:val="0"/>
              <w:marTop w:val="0"/>
              <w:marBottom w:val="0"/>
              <w:divBdr>
                <w:top w:val="none" w:sz="0" w:space="0" w:color="auto"/>
                <w:left w:val="none" w:sz="0" w:space="0" w:color="auto"/>
                <w:bottom w:val="none" w:sz="0" w:space="0" w:color="auto"/>
                <w:right w:val="none" w:sz="0" w:space="0" w:color="auto"/>
              </w:divBdr>
            </w:div>
          </w:divsChild>
        </w:div>
        <w:div w:id="2120836055">
          <w:marLeft w:val="0"/>
          <w:marRight w:val="0"/>
          <w:marTop w:val="0"/>
          <w:marBottom w:val="0"/>
          <w:divBdr>
            <w:top w:val="none" w:sz="0" w:space="0" w:color="auto"/>
            <w:left w:val="none" w:sz="0" w:space="0" w:color="auto"/>
            <w:bottom w:val="none" w:sz="0" w:space="0" w:color="auto"/>
            <w:right w:val="none" w:sz="0" w:space="0" w:color="auto"/>
          </w:divBdr>
          <w:divsChild>
            <w:div w:id="1205823912">
              <w:marLeft w:val="-75"/>
              <w:marRight w:val="0"/>
              <w:marTop w:val="30"/>
              <w:marBottom w:val="30"/>
              <w:divBdr>
                <w:top w:val="none" w:sz="0" w:space="0" w:color="auto"/>
                <w:left w:val="none" w:sz="0" w:space="0" w:color="auto"/>
                <w:bottom w:val="none" w:sz="0" w:space="0" w:color="auto"/>
                <w:right w:val="none" w:sz="0" w:space="0" w:color="auto"/>
              </w:divBdr>
              <w:divsChild>
                <w:div w:id="1132089">
                  <w:marLeft w:val="0"/>
                  <w:marRight w:val="0"/>
                  <w:marTop w:val="0"/>
                  <w:marBottom w:val="0"/>
                  <w:divBdr>
                    <w:top w:val="none" w:sz="0" w:space="0" w:color="auto"/>
                    <w:left w:val="none" w:sz="0" w:space="0" w:color="auto"/>
                    <w:bottom w:val="none" w:sz="0" w:space="0" w:color="auto"/>
                    <w:right w:val="none" w:sz="0" w:space="0" w:color="auto"/>
                  </w:divBdr>
                  <w:divsChild>
                    <w:div w:id="863251539">
                      <w:marLeft w:val="0"/>
                      <w:marRight w:val="0"/>
                      <w:marTop w:val="0"/>
                      <w:marBottom w:val="0"/>
                      <w:divBdr>
                        <w:top w:val="none" w:sz="0" w:space="0" w:color="auto"/>
                        <w:left w:val="none" w:sz="0" w:space="0" w:color="auto"/>
                        <w:bottom w:val="none" w:sz="0" w:space="0" w:color="auto"/>
                        <w:right w:val="none" w:sz="0" w:space="0" w:color="auto"/>
                      </w:divBdr>
                    </w:div>
                  </w:divsChild>
                </w:div>
                <w:div w:id="1978072">
                  <w:marLeft w:val="0"/>
                  <w:marRight w:val="0"/>
                  <w:marTop w:val="0"/>
                  <w:marBottom w:val="0"/>
                  <w:divBdr>
                    <w:top w:val="none" w:sz="0" w:space="0" w:color="auto"/>
                    <w:left w:val="none" w:sz="0" w:space="0" w:color="auto"/>
                    <w:bottom w:val="none" w:sz="0" w:space="0" w:color="auto"/>
                    <w:right w:val="none" w:sz="0" w:space="0" w:color="auto"/>
                  </w:divBdr>
                  <w:divsChild>
                    <w:div w:id="1488548612">
                      <w:marLeft w:val="0"/>
                      <w:marRight w:val="0"/>
                      <w:marTop w:val="0"/>
                      <w:marBottom w:val="0"/>
                      <w:divBdr>
                        <w:top w:val="none" w:sz="0" w:space="0" w:color="auto"/>
                        <w:left w:val="none" w:sz="0" w:space="0" w:color="auto"/>
                        <w:bottom w:val="none" w:sz="0" w:space="0" w:color="auto"/>
                        <w:right w:val="none" w:sz="0" w:space="0" w:color="auto"/>
                      </w:divBdr>
                    </w:div>
                  </w:divsChild>
                </w:div>
                <w:div w:id="48774734">
                  <w:marLeft w:val="0"/>
                  <w:marRight w:val="0"/>
                  <w:marTop w:val="0"/>
                  <w:marBottom w:val="0"/>
                  <w:divBdr>
                    <w:top w:val="none" w:sz="0" w:space="0" w:color="auto"/>
                    <w:left w:val="none" w:sz="0" w:space="0" w:color="auto"/>
                    <w:bottom w:val="none" w:sz="0" w:space="0" w:color="auto"/>
                    <w:right w:val="none" w:sz="0" w:space="0" w:color="auto"/>
                  </w:divBdr>
                  <w:divsChild>
                    <w:div w:id="953288384">
                      <w:marLeft w:val="0"/>
                      <w:marRight w:val="0"/>
                      <w:marTop w:val="0"/>
                      <w:marBottom w:val="0"/>
                      <w:divBdr>
                        <w:top w:val="none" w:sz="0" w:space="0" w:color="auto"/>
                        <w:left w:val="none" w:sz="0" w:space="0" w:color="auto"/>
                        <w:bottom w:val="none" w:sz="0" w:space="0" w:color="auto"/>
                        <w:right w:val="none" w:sz="0" w:space="0" w:color="auto"/>
                      </w:divBdr>
                    </w:div>
                  </w:divsChild>
                </w:div>
                <w:div w:id="55706185">
                  <w:marLeft w:val="0"/>
                  <w:marRight w:val="0"/>
                  <w:marTop w:val="0"/>
                  <w:marBottom w:val="0"/>
                  <w:divBdr>
                    <w:top w:val="none" w:sz="0" w:space="0" w:color="auto"/>
                    <w:left w:val="none" w:sz="0" w:space="0" w:color="auto"/>
                    <w:bottom w:val="none" w:sz="0" w:space="0" w:color="auto"/>
                    <w:right w:val="none" w:sz="0" w:space="0" w:color="auto"/>
                  </w:divBdr>
                  <w:divsChild>
                    <w:div w:id="1755123039">
                      <w:marLeft w:val="0"/>
                      <w:marRight w:val="0"/>
                      <w:marTop w:val="0"/>
                      <w:marBottom w:val="0"/>
                      <w:divBdr>
                        <w:top w:val="none" w:sz="0" w:space="0" w:color="auto"/>
                        <w:left w:val="none" w:sz="0" w:space="0" w:color="auto"/>
                        <w:bottom w:val="none" w:sz="0" w:space="0" w:color="auto"/>
                        <w:right w:val="none" w:sz="0" w:space="0" w:color="auto"/>
                      </w:divBdr>
                    </w:div>
                  </w:divsChild>
                </w:div>
                <w:div w:id="59326202">
                  <w:marLeft w:val="0"/>
                  <w:marRight w:val="0"/>
                  <w:marTop w:val="0"/>
                  <w:marBottom w:val="0"/>
                  <w:divBdr>
                    <w:top w:val="none" w:sz="0" w:space="0" w:color="auto"/>
                    <w:left w:val="none" w:sz="0" w:space="0" w:color="auto"/>
                    <w:bottom w:val="none" w:sz="0" w:space="0" w:color="auto"/>
                    <w:right w:val="none" w:sz="0" w:space="0" w:color="auto"/>
                  </w:divBdr>
                  <w:divsChild>
                    <w:div w:id="882059707">
                      <w:marLeft w:val="0"/>
                      <w:marRight w:val="0"/>
                      <w:marTop w:val="0"/>
                      <w:marBottom w:val="0"/>
                      <w:divBdr>
                        <w:top w:val="none" w:sz="0" w:space="0" w:color="auto"/>
                        <w:left w:val="none" w:sz="0" w:space="0" w:color="auto"/>
                        <w:bottom w:val="none" w:sz="0" w:space="0" w:color="auto"/>
                        <w:right w:val="none" w:sz="0" w:space="0" w:color="auto"/>
                      </w:divBdr>
                    </w:div>
                  </w:divsChild>
                </w:div>
                <w:div w:id="90469936">
                  <w:marLeft w:val="0"/>
                  <w:marRight w:val="0"/>
                  <w:marTop w:val="0"/>
                  <w:marBottom w:val="0"/>
                  <w:divBdr>
                    <w:top w:val="none" w:sz="0" w:space="0" w:color="auto"/>
                    <w:left w:val="none" w:sz="0" w:space="0" w:color="auto"/>
                    <w:bottom w:val="none" w:sz="0" w:space="0" w:color="auto"/>
                    <w:right w:val="none" w:sz="0" w:space="0" w:color="auto"/>
                  </w:divBdr>
                  <w:divsChild>
                    <w:div w:id="1675305159">
                      <w:marLeft w:val="0"/>
                      <w:marRight w:val="0"/>
                      <w:marTop w:val="0"/>
                      <w:marBottom w:val="0"/>
                      <w:divBdr>
                        <w:top w:val="none" w:sz="0" w:space="0" w:color="auto"/>
                        <w:left w:val="none" w:sz="0" w:space="0" w:color="auto"/>
                        <w:bottom w:val="none" w:sz="0" w:space="0" w:color="auto"/>
                        <w:right w:val="none" w:sz="0" w:space="0" w:color="auto"/>
                      </w:divBdr>
                    </w:div>
                  </w:divsChild>
                </w:div>
                <w:div w:id="91826584">
                  <w:marLeft w:val="0"/>
                  <w:marRight w:val="0"/>
                  <w:marTop w:val="0"/>
                  <w:marBottom w:val="0"/>
                  <w:divBdr>
                    <w:top w:val="none" w:sz="0" w:space="0" w:color="auto"/>
                    <w:left w:val="none" w:sz="0" w:space="0" w:color="auto"/>
                    <w:bottom w:val="none" w:sz="0" w:space="0" w:color="auto"/>
                    <w:right w:val="none" w:sz="0" w:space="0" w:color="auto"/>
                  </w:divBdr>
                  <w:divsChild>
                    <w:div w:id="91361007">
                      <w:marLeft w:val="0"/>
                      <w:marRight w:val="0"/>
                      <w:marTop w:val="0"/>
                      <w:marBottom w:val="0"/>
                      <w:divBdr>
                        <w:top w:val="none" w:sz="0" w:space="0" w:color="auto"/>
                        <w:left w:val="none" w:sz="0" w:space="0" w:color="auto"/>
                        <w:bottom w:val="none" w:sz="0" w:space="0" w:color="auto"/>
                        <w:right w:val="none" w:sz="0" w:space="0" w:color="auto"/>
                      </w:divBdr>
                    </w:div>
                  </w:divsChild>
                </w:div>
                <w:div w:id="98644042">
                  <w:marLeft w:val="0"/>
                  <w:marRight w:val="0"/>
                  <w:marTop w:val="0"/>
                  <w:marBottom w:val="0"/>
                  <w:divBdr>
                    <w:top w:val="none" w:sz="0" w:space="0" w:color="auto"/>
                    <w:left w:val="none" w:sz="0" w:space="0" w:color="auto"/>
                    <w:bottom w:val="none" w:sz="0" w:space="0" w:color="auto"/>
                    <w:right w:val="none" w:sz="0" w:space="0" w:color="auto"/>
                  </w:divBdr>
                  <w:divsChild>
                    <w:div w:id="1180311651">
                      <w:marLeft w:val="0"/>
                      <w:marRight w:val="0"/>
                      <w:marTop w:val="0"/>
                      <w:marBottom w:val="0"/>
                      <w:divBdr>
                        <w:top w:val="none" w:sz="0" w:space="0" w:color="auto"/>
                        <w:left w:val="none" w:sz="0" w:space="0" w:color="auto"/>
                        <w:bottom w:val="none" w:sz="0" w:space="0" w:color="auto"/>
                        <w:right w:val="none" w:sz="0" w:space="0" w:color="auto"/>
                      </w:divBdr>
                    </w:div>
                  </w:divsChild>
                </w:div>
                <w:div w:id="134959172">
                  <w:marLeft w:val="0"/>
                  <w:marRight w:val="0"/>
                  <w:marTop w:val="0"/>
                  <w:marBottom w:val="0"/>
                  <w:divBdr>
                    <w:top w:val="none" w:sz="0" w:space="0" w:color="auto"/>
                    <w:left w:val="none" w:sz="0" w:space="0" w:color="auto"/>
                    <w:bottom w:val="none" w:sz="0" w:space="0" w:color="auto"/>
                    <w:right w:val="none" w:sz="0" w:space="0" w:color="auto"/>
                  </w:divBdr>
                  <w:divsChild>
                    <w:div w:id="414979417">
                      <w:marLeft w:val="0"/>
                      <w:marRight w:val="0"/>
                      <w:marTop w:val="0"/>
                      <w:marBottom w:val="0"/>
                      <w:divBdr>
                        <w:top w:val="none" w:sz="0" w:space="0" w:color="auto"/>
                        <w:left w:val="none" w:sz="0" w:space="0" w:color="auto"/>
                        <w:bottom w:val="none" w:sz="0" w:space="0" w:color="auto"/>
                        <w:right w:val="none" w:sz="0" w:space="0" w:color="auto"/>
                      </w:divBdr>
                    </w:div>
                  </w:divsChild>
                </w:div>
                <w:div w:id="142279459">
                  <w:marLeft w:val="0"/>
                  <w:marRight w:val="0"/>
                  <w:marTop w:val="0"/>
                  <w:marBottom w:val="0"/>
                  <w:divBdr>
                    <w:top w:val="none" w:sz="0" w:space="0" w:color="auto"/>
                    <w:left w:val="none" w:sz="0" w:space="0" w:color="auto"/>
                    <w:bottom w:val="none" w:sz="0" w:space="0" w:color="auto"/>
                    <w:right w:val="none" w:sz="0" w:space="0" w:color="auto"/>
                  </w:divBdr>
                  <w:divsChild>
                    <w:div w:id="1795710352">
                      <w:marLeft w:val="0"/>
                      <w:marRight w:val="0"/>
                      <w:marTop w:val="0"/>
                      <w:marBottom w:val="0"/>
                      <w:divBdr>
                        <w:top w:val="none" w:sz="0" w:space="0" w:color="auto"/>
                        <w:left w:val="none" w:sz="0" w:space="0" w:color="auto"/>
                        <w:bottom w:val="none" w:sz="0" w:space="0" w:color="auto"/>
                        <w:right w:val="none" w:sz="0" w:space="0" w:color="auto"/>
                      </w:divBdr>
                    </w:div>
                  </w:divsChild>
                </w:div>
                <w:div w:id="157616531">
                  <w:marLeft w:val="0"/>
                  <w:marRight w:val="0"/>
                  <w:marTop w:val="0"/>
                  <w:marBottom w:val="0"/>
                  <w:divBdr>
                    <w:top w:val="none" w:sz="0" w:space="0" w:color="auto"/>
                    <w:left w:val="none" w:sz="0" w:space="0" w:color="auto"/>
                    <w:bottom w:val="none" w:sz="0" w:space="0" w:color="auto"/>
                    <w:right w:val="none" w:sz="0" w:space="0" w:color="auto"/>
                  </w:divBdr>
                  <w:divsChild>
                    <w:div w:id="2068915790">
                      <w:marLeft w:val="0"/>
                      <w:marRight w:val="0"/>
                      <w:marTop w:val="0"/>
                      <w:marBottom w:val="0"/>
                      <w:divBdr>
                        <w:top w:val="none" w:sz="0" w:space="0" w:color="auto"/>
                        <w:left w:val="none" w:sz="0" w:space="0" w:color="auto"/>
                        <w:bottom w:val="none" w:sz="0" w:space="0" w:color="auto"/>
                        <w:right w:val="none" w:sz="0" w:space="0" w:color="auto"/>
                      </w:divBdr>
                    </w:div>
                  </w:divsChild>
                </w:div>
                <w:div w:id="181214613">
                  <w:marLeft w:val="0"/>
                  <w:marRight w:val="0"/>
                  <w:marTop w:val="0"/>
                  <w:marBottom w:val="0"/>
                  <w:divBdr>
                    <w:top w:val="none" w:sz="0" w:space="0" w:color="auto"/>
                    <w:left w:val="none" w:sz="0" w:space="0" w:color="auto"/>
                    <w:bottom w:val="none" w:sz="0" w:space="0" w:color="auto"/>
                    <w:right w:val="none" w:sz="0" w:space="0" w:color="auto"/>
                  </w:divBdr>
                  <w:divsChild>
                    <w:div w:id="542668381">
                      <w:marLeft w:val="0"/>
                      <w:marRight w:val="0"/>
                      <w:marTop w:val="0"/>
                      <w:marBottom w:val="0"/>
                      <w:divBdr>
                        <w:top w:val="none" w:sz="0" w:space="0" w:color="auto"/>
                        <w:left w:val="none" w:sz="0" w:space="0" w:color="auto"/>
                        <w:bottom w:val="none" w:sz="0" w:space="0" w:color="auto"/>
                        <w:right w:val="none" w:sz="0" w:space="0" w:color="auto"/>
                      </w:divBdr>
                    </w:div>
                  </w:divsChild>
                </w:div>
                <w:div w:id="213204214">
                  <w:marLeft w:val="0"/>
                  <w:marRight w:val="0"/>
                  <w:marTop w:val="0"/>
                  <w:marBottom w:val="0"/>
                  <w:divBdr>
                    <w:top w:val="none" w:sz="0" w:space="0" w:color="auto"/>
                    <w:left w:val="none" w:sz="0" w:space="0" w:color="auto"/>
                    <w:bottom w:val="none" w:sz="0" w:space="0" w:color="auto"/>
                    <w:right w:val="none" w:sz="0" w:space="0" w:color="auto"/>
                  </w:divBdr>
                  <w:divsChild>
                    <w:div w:id="1643729149">
                      <w:marLeft w:val="0"/>
                      <w:marRight w:val="0"/>
                      <w:marTop w:val="0"/>
                      <w:marBottom w:val="0"/>
                      <w:divBdr>
                        <w:top w:val="none" w:sz="0" w:space="0" w:color="auto"/>
                        <w:left w:val="none" w:sz="0" w:space="0" w:color="auto"/>
                        <w:bottom w:val="none" w:sz="0" w:space="0" w:color="auto"/>
                        <w:right w:val="none" w:sz="0" w:space="0" w:color="auto"/>
                      </w:divBdr>
                    </w:div>
                  </w:divsChild>
                </w:div>
                <w:div w:id="253517635">
                  <w:marLeft w:val="0"/>
                  <w:marRight w:val="0"/>
                  <w:marTop w:val="0"/>
                  <w:marBottom w:val="0"/>
                  <w:divBdr>
                    <w:top w:val="none" w:sz="0" w:space="0" w:color="auto"/>
                    <w:left w:val="none" w:sz="0" w:space="0" w:color="auto"/>
                    <w:bottom w:val="none" w:sz="0" w:space="0" w:color="auto"/>
                    <w:right w:val="none" w:sz="0" w:space="0" w:color="auto"/>
                  </w:divBdr>
                  <w:divsChild>
                    <w:div w:id="1591619988">
                      <w:marLeft w:val="0"/>
                      <w:marRight w:val="0"/>
                      <w:marTop w:val="0"/>
                      <w:marBottom w:val="0"/>
                      <w:divBdr>
                        <w:top w:val="none" w:sz="0" w:space="0" w:color="auto"/>
                        <w:left w:val="none" w:sz="0" w:space="0" w:color="auto"/>
                        <w:bottom w:val="none" w:sz="0" w:space="0" w:color="auto"/>
                        <w:right w:val="none" w:sz="0" w:space="0" w:color="auto"/>
                      </w:divBdr>
                    </w:div>
                  </w:divsChild>
                </w:div>
                <w:div w:id="304093498">
                  <w:marLeft w:val="0"/>
                  <w:marRight w:val="0"/>
                  <w:marTop w:val="0"/>
                  <w:marBottom w:val="0"/>
                  <w:divBdr>
                    <w:top w:val="none" w:sz="0" w:space="0" w:color="auto"/>
                    <w:left w:val="none" w:sz="0" w:space="0" w:color="auto"/>
                    <w:bottom w:val="none" w:sz="0" w:space="0" w:color="auto"/>
                    <w:right w:val="none" w:sz="0" w:space="0" w:color="auto"/>
                  </w:divBdr>
                  <w:divsChild>
                    <w:div w:id="1063025299">
                      <w:marLeft w:val="0"/>
                      <w:marRight w:val="0"/>
                      <w:marTop w:val="0"/>
                      <w:marBottom w:val="0"/>
                      <w:divBdr>
                        <w:top w:val="none" w:sz="0" w:space="0" w:color="auto"/>
                        <w:left w:val="none" w:sz="0" w:space="0" w:color="auto"/>
                        <w:bottom w:val="none" w:sz="0" w:space="0" w:color="auto"/>
                        <w:right w:val="none" w:sz="0" w:space="0" w:color="auto"/>
                      </w:divBdr>
                    </w:div>
                  </w:divsChild>
                </w:div>
                <w:div w:id="335768909">
                  <w:marLeft w:val="0"/>
                  <w:marRight w:val="0"/>
                  <w:marTop w:val="0"/>
                  <w:marBottom w:val="0"/>
                  <w:divBdr>
                    <w:top w:val="none" w:sz="0" w:space="0" w:color="auto"/>
                    <w:left w:val="none" w:sz="0" w:space="0" w:color="auto"/>
                    <w:bottom w:val="none" w:sz="0" w:space="0" w:color="auto"/>
                    <w:right w:val="none" w:sz="0" w:space="0" w:color="auto"/>
                  </w:divBdr>
                  <w:divsChild>
                    <w:div w:id="235557340">
                      <w:marLeft w:val="0"/>
                      <w:marRight w:val="0"/>
                      <w:marTop w:val="0"/>
                      <w:marBottom w:val="0"/>
                      <w:divBdr>
                        <w:top w:val="none" w:sz="0" w:space="0" w:color="auto"/>
                        <w:left w:val="none" w:sz="0" w:space="0" w:color="auto"/>
                        <w:bottom w:val="none" w:sz="0" w:space="0" w:color="auto"/>
                        <w:right w:val="none" w:sz="0" w:space="0" w:color="auto"/>
                      </w:divBdr>
                    </w:div>
                  </w:divsChild>
                </w:div>
                <w:div w:id="354506581">
                  <w:marLeft w:val="0"/>
                  <w:marRight w:val="0"/>
                  <w:marTop w:val="0"/>
                  <w:marBottom w:val="0"/>
                  <w:divBdr>
                    <w:top w:val="none" w:sz="0" w:space="0" w:color="auto"/>
                    <w:left w:val="none" w:sz="0" w:space="0" w:color="auto"/>
                    <w:bottom w:val="none" w:sz="0" w:space="0" w:color="auto"/>
                    <w:right w:val="none" w:sz="0" w:space="0" w:color="auto"/>
                  </w:divBdr>
                  <w:divsChild>
                    <w:div w:id="661933712">
                      <w:marLeft w:val="0"/>
                      <w:marRight w:val="0"/>
                      <w:marTop w:val="0"/>
                      <w:marBottom w:val="0"/>
                      <w:divBdr>
                        <w:top w:val="none" w:sz="0" w:space="0" w:color="auto"/>
                        <w:left w:val="none" w:sz="0" w:space="0" w:color="auto"/>
                        <w:bottom w:val="none" w:sz="0" w:space="0" w:color="auto"/>
                        <w:right w:val="none" w:sz="0" w:space="0" w:color="auto"/>
                      </w:divBdr>
                    </w:div>
                  </w:divsChild>
                </w:div>
                <w:div w:id="370690275">
                  <w:marLeft w:val="0"/>
                  <w:marRight w:val="0"/>
                  <w:marTop w:val="0"/>
                  <w:marBottom w:val="0"/>
                  <w:divBdr>
                    <w:top w:val="none" w:sz="0" w:space="0" w:color="auto"/>
                    <w:left w:val="none" w:sz="0" w:space="0" w:color="auto"/>
                    <w:bottom w:val="none" w:sz="0" w:space="0" w:color="auto"/>
                    <w:right w:val="none" w:sz="0" w:space="0" w:color="auto"/>
                  </w:divBdr>
                  <w:divsChild>
                    <w:div w:id="1102381904">
                      <w:marLeft w:val="0"/>
                      <w:marRight w:val="0"/>
                      <w:marTop w:val="0"/>
                      <w:marBottom w:val="0"/>
                      <w:divBdr>
                        <w:top w:val="none" w:sz="0" w:space="0" w:color="auto"/>
                        <w:left w:val="none" w:sz="0" w:space="0" w:color="auto"/>
                        <w:bottom w:val="none" w:sz="0" w:space="0" w:color="auto"/>
                        <w:right w:val="none" w:sz="0" w:space="0" w:color="auto"/>
                      </w:divBdr>
                    </w:div>
                  </w:divsChild>
                </w:div>
                <w:div w:id="407918754">
                  <w:marLeft w:val="0"/>
                  <w:marRight w:val="0"/>
                  <w:marTop w:val="0"/>
                  <w:marBottom w:val="0"/>
                  <w:divBdr>
                    <w:top w:val="none" w:sz="0" w:space="0" w:color="auto"/>
                    <w:left w:val="none" w:sz="0" w:space="0" w:color="auto"/>
                    <w:bottom w:val="none" w:sz="0" w:space="0" w:color="auto"/>
                    <w:right w:val="none" w:sz="0" w:space="0" w:color="auto"/>
                  </w:divBdr>
                  <w:divsChild>
                    <w:div w:id="811294714">
                      <w:marLeft w:val="0"/>
                      <w:marRight w:val="0"/>
                      <w:marTop w:val="0"/>
                      <w:marBottom w:val="0"/>
                      <w:divBdr>
                        <w:top w:val="none" w:sz="0" w:space="0" w:color="auto"/>
                        <w:left w:val="none" w:sz="0" w:space="0" w:color="auto"/>
                        <w:bottom w:val="none" w:sz="0" w:space="0" w:color="auto"/>
                        <w:right w:val="none" w:sz="0" w:space="0" w:color="auto"/>
                      </w:divBdr>
                    </w:div>
                  </w:divsChild>
                </w:div>
                <w:div w:id="421025474">
                  <w:marLeft w:val="0"/>
                  <w:marRight w:val="0"/>
                  <w:marTop w:val="0"/>
                  <w:marBottom w:val="0"/>
                  <w:divBdr>
                    <w:top w:val="none" w:sz="0" w:space="0" w:color="auto"/>
                    <w:left w:val="none" w:sz="0" w:space="0" w:color="auto"/>
                    <w:bottom w:val="none" w:sz="0" w:space="0" w:color="auto"/>
                    <w:right w:val="none" w:sz="0" w:space="0" w:color="auto"/>
                  </w:divBdr>
                  <w:divsChild>
                    <w:div w:id="1825125243">
                      <w:marLeft w:val="0"/>
                      <w:marRight w:val="0"/>
                      <w:marTop w:val="0"/>
                      <w:marBottom w:val="0"/>
                      <w:divBdr>
                        <w:top w:val="none" w:sz="0" w:space="0" w:color="auto"/>
                        <w:left w:val="none" w:sz="0" w:space="0" w:color="auto"/>
                        <w:bottom w:val="none" w:sz="0" w:space="0" w:color="auto"/>
                        <w:right w:val="none" w:sz="0" w:space="0" w:color="auto"/>
                      </w:divBdr>
                    </w:div>
                  </w:divsChild>
                </w:div>
                <w:div w:id="441146137">
                  <w:marLeft w:val="0"/>
                  <w:marRight w:val="0"/>
                  <w:marTop w:val="0"/>
                  <w:marBottom w:val="0"/>
                  <w:divBdr>
                    <w:top w:val="none" w:sz="0" w:space="0" w:color="auto"/>
                    <w:left w:val="none" w:sz="0" w:space="0" w:color="auto"/>
                    <w:bottom w:val="none" w:sz="0" w:space="0" w:color="auto"/>
                    <w:right w:val="none" w:sz="0" w:space="0" w:color="auto"/>
                  </w:divBdr>
                  <w:divsChild>
                    <w:div w:id="1573465202">
                      <w:marLeft w:val="0"/>
                      <w:marRight w:val="0"/>
                      <w:marTop w:val="0"/>
                      <w:marBottom w:val="0"/>
                      <w:divBdr>
                        <w:top w:val="none" w:sz="0" w:space="0" w:color="auto"/>
                        <w:left w:val="none" w:sz="0" w:space="0" w:color="auto"/>
                        <w:bottom w:val="none" w:sz="0" w:space="0" w:color="auto"/>
                        <w:right w:val="none" w:sz="0" w:space="0" w:color="auto"/>
                      </w:divBdr>
                    </w:div>
                  </w:divsChild>
                </w:div>
                <w:div w:id="452789813">
                  <w:marLeft w:val="0"/>
                  <w:marRight w:val="0"/>
                  <w:marTop w:val="0"/>
                  <w:marBottom w:val="0"/>
                  <w:divBdr>
                    <w:top w:val="none" w:sz="0" w:space="0" w:color="auto"/>
                    <w:left w:val="none" w:sz="0" w:space="0" w:color="auto"/>
                    <w:bottom w:val="none" w:sz="0" w:space="0" w:color="auto"/>
                    <w:right w:val="none" w:sz="0" w:space="0" w:color="auto"/>
                  </w:divBdr>
                  <w:divsChild>
                    <w:div w:id="1030106733">
                      <w:marLeft w:val="0"/>
                      <w:marRight w:val="0"/>
                      <w:marTop w:val="0"/>
                      <w:marBottom w:val="0"/>
                      <w:divBdr>
                        <w:top w:val="none" w:sz="0" w:space="0" w:color="auto"/>
                        <w:left w:val="none" w:sz="0" w:space="0" w:color="auto"/>
                        <w:bottom w:val="none" w:sz="0" w:space="0" w:color="auto"/>
                        <w:right w:val="none" w:sz="0" w:space="0" w:color="auto"/>
                      </w:divBdr>
                    </w:div>
                  </w:divsChild>
                </w:div>
                <w:div w:id="458500446">
                  <w:marLeft w:val="0"/>
                  <w:marRight w:val="0"/>
                  <w:marTop w:val="0"/>
                  <w:marBottom w:val="0"/>
                  <w:divBdr>
                    <w:top w:val="none" w:sz="0" w:space="0" w:color="auto"/>
                    <w:left w:val="none" w:sz="0" w:space="0" w:color="auto"/>
                    <w:bottom w:val="none" w:sz="0" w:space="0" w:color="auto"/>
                    <w:right w:val="none" w:sz="0" w:space="0" w:color="auto"/>
                  </w:divBdr>
                  <w:divsChild>
                    <w:div w:id="524946307">
                      <w:marLeft w:val="0"/>
                      <w:marRight w:val="0"/>
                      <w:marTop w:val="0"/>
                      <w:marBottom w:val="0"/>
                      <w:divBdr>
                        <w:top w:val="none" w:sz="0" w:space="0" w:color="auto"/>
                        <w:left w:val="none" w:sz="0" w:space="0" w:color="auto"/>
                        <w:bottom w:val="none" w:sz="0" w:space="0" w:color="auto"/>
                        <w:right w:val="none" w:sz="0" w:space="0" w:color="auto"/>
                      </w:divBdr>
                    </w:div>
                  </w:divsChild>
                </w:div>
                <w:div w:id="463894696">
                  <w:marLeft w:val="0"/>
                  <w:marRight w:val="0"/>
                  <w:marTop w:val="0"/>
                  <w:marBottom w:val="0"/>
                  <w:divBdr>
                    <w:top w:val="none" w:sz="0" w:space="0" w:color="auto"/>
                    <w:left w:val="none" w:sz="0" w:space="0" w:color="auto"/>
                    <w:bottom w:val="none" w:sz="0" w:space="0" w:color="auto"/>
                    <w:right w:val="none" w:sz="0" w:space="0" w:color="auto"/>
                  </w:divBdr>
                  <w:divsChild>
                    <w:div w:id="1623877256">
                      <w:marLeft w:val="0"/>
                      <w:marRight w:val="0"/>
                      <w:marTop w:val="0"/>
                      <w:marBottom w:val="0"/>
                      <w:divBdr>
                        <w:top w:val="none" w:sz="0" w:space="0" w:color="auto"/>
                        <w:left w:val="none" w:sz="0" w:space="0" w:color="auto"/>
                        <w:bottom w:val="none" w:sz="0" w:space="0" w:color="auto"/>
                        <w:right w:val="none" w:sz="0" w:space="0" w:color="auto"/>
                      </w:divBdr>
                    </w:div>
                  </w:divsChild>
                </w:div>
                <w:div w:id="476731429">
                  <w:marLeft w:val="0"/>
                  <w:marRight w:val="0"/>
                  <w:marTop w:val="0"/>
                  <w:marBottom w:val="0"/>
                  <w:divBdr>
                    <w:top w:val="none" w:sz="0" w:space="0" w:color="auto"/>
                    <w:left w:val="none" w:sz="0" w:space="0" w:color="auto"/>
                    <w:bottom w:val="none" w:sz="0" w:space="0" w:color="auto"/>
                    <w:right w:val="none" w:sz="0" w:space="0" w:color="auto"/>
                  </w:divBdr>
                  <w:divsChild>
                    <w:div w:id="787237227">
                      <w:marLeft w:val="0"/>
                      <w:marRight w:val="0"/>
                      <w:marTop w:val="0"/>
                      <w:marBottom w:val="0"/>
                      <w:divBdr>
                        <w:top w:val="none" w:sz="0" w:space="0" w:color="auto"/>
                        <w:left w:val="none" w:sz="0" w:space="0" w:color="auto"/>
                        <w:bottom w:val="none" w:sz="0" w:space="0" w:color="auto"/>
                        <w:right w:val="none" w:sz="0" w:space="0" w:color="auto"/>
                      </w:divBdr>
                    </w:div>
                  </w:divsChild>
                </w:div>
                <w:div w:id="478765447">
                  <w:marLeft w:val="0"/>
                  <w:marRight w:val="0"/>
                  <w:marTop w:val="0"/>
                  <w:marBottom w:val="0"/>
                  <w:divBdr>
                    <w:top w:val="none" w:sz="0" w:space="0" w:color="auto"/>
                    <w:left w:val="none" w:sz="0" w:space="0" w:color="auto"/>
                    <w:bottom w:val="none" w:sz="0" w:space="0" w:color="auto"/>
                    <w:right w:val="none" w:sz="0" w:space="0" w:color="auto"/>
                  </w:divBdr>
                  <w:divsChild>
                    <w:div w:id="1838305910">
                      <w:marLeft w:val="0"/>
                      <w:marRight w:val="0"/>
                      <w:marTop w:val="0"/>
                      <w:marBottom w:val="0"/>
                      <w:divBdr>
                        <w:top w:val="none" w:sz="0" w:space="0" w:color="auto"/>
                        <w:left w:val="none" w:sz="0" w:space="0" w:color="auto"/>
                        <w:bottom w:val="none" w:sz="0" w:space="0" w:color="auto"/>
                        <w:right w:val="none" w:sz="0" w:space="0" w:color="auto"/>
                      </w:divBdr>
                    </w:div>
                  </w:divsChild>
                </w:div>
                <w:div w:id="533932972">
                  <w:marLeft w:val="0"/>
                  <w:marRight w:val="0"/>
                  <w:marTop w:val="0"/>
                  <w:marBottom w:val="0"/>
                  <w:divBdr>
                    <w:top w:val="none" w:sz="0" w:space="0" w:color="auto"/>
                    <w:left w:val="none" w:sz="0" w:space="0" w:color="auto"/>
                    <w:bottom w:val="none" w:sz="0" w:space="0" w:color="auto"/>
                    <w:right w:val="none" w:sz="0" w:space="0" w:color="auto"/>
                  </w:divBdr>
                  <w:divsChild>
                    <w:div w:id="379746620">
                      <w:marLeft w:val="0"/>
                      <w:marRight w:val="0"/>
                      <w:marTop w:val="0"/>
                      <w:marBottom w:val="0"/>
                      <w:divBdr>
                        <w:top w:val="none" w:sz="0" w:space="0" w:color="auto"/>
                        <w:left w:val="none" w:sz="0" w:space="0" w:color="auto"/>
                        <w:bottom w:val="none" w:sz="0" w:space="0" w:color="auto"/>
                        <w:right w:val="none" w:sz="0" w:space="0" w:color="auto"/>
                      </w:divBdr>
                    </w:div>
                  </w:divsChild>
                </w:div>
                <w:div w:id="545534710">
                  <w:marLeft w:val="0"/>
                  <w:marRight w:val="0"/>
                  <w:marTop w:val="0"/>
                  <w:marBottom w:val="0"/>
                  <w:divBdr>
                    <w:top w:val="none" w:sz="0" w:space="0" w:color="auto"/>
                    <w:left w:val="none" w:sz="0" w:space="0" w:color="auto"/>
                    <w:bottom w:val="none" w:sz="0" w:space="0" w:color="auto"/>
                    <w:right w:val="none" w:sz="0" w:space="0" w:color="auto"/>
                  </w:divBdr>
                  <w:divsChild>
                    <w:div w:id="1904562980">
                      <w:marLeft w:val="0"/>
                      <w:marRight w:val="0"/>
                      <w:marTop w:val="0"/>
                      <w:marBottom w:val="0"/>
                      <w:divBdr>
                        <w:top w:val="none" w:sz="0" w:space="0" w:color="auto"/>
                        <w:left w:val="none" w:sz="0" w:space="0" w:color="auto"/>
                        <w:bottom w:val="none" w:sz="0" w:space="0" w:color="auto"/>
                        <w:right w:val="none" w:sz="0" w:space="0" w:color="auto"/>
                      </w:divBdr>
                    </w:div>
                  </w:divsChild>
                </w:div>
                <w:div w:id="549222998">
                  <w:marLeft w:val="0"/>
                  <w:marRight w:val="0"/>
                  <w:marTop w:val="0"/>
                  <w:marBottom w:val="0"/>
                  <w:divBdr>
                    <w:top w:val="none" w:sz="0" w:space="0" w:color="auto"/>
                    <w:left w:val="none" w:sz="0" w:space="0" w:color="auto"/>
                    <w:bottom w:val="none" w:sz="0" w:space="0" w:color="auto"/>
                    <w:right w:val="none" w:sz="0" w:space="0" w:color="auto"/>
                  </w:divBdr>
                  <w:divsChild>
                    <w:div w:id="950818803">
                      <w:marLeft w:val="0"/>
                      <w:marRight w:val="0"/>
                      <w:marTop w:val="0"/>
                      <w:marBottom w:val="0"/>
                      <w:divBdr>
                        <w:top w:val="none" w:sz="0" w:space="0" w:color="auto"/>
                        <w:left w:val="none" w:sz="0" w:space="0" w:color="auto"/>
                        <w:bottom w:val="none" w:sz="0" w:space="0" w:color="auto"/>
                        <w:right w:val="none" w:sz="0" w:space="0" w:color="auto"/>
                      </w:divBdr>
                    </w:div>
                  </w:divsChild>
                </w:div>
                <w:div w:id="550003524">
                  <w:marLeft w:val="0"/>
                  <w:marRight w:val="0"/>
                  <w:marTop w:val="0"/>
                  <w:marBottom w:val="0"/>
                  <w:divBdr>
                    <w:top w:val="none" w:sz="0" w:space="0" w:color="auto"/>
                    <w:left w:val="none" w:sz="0" w:space="0" w:color="auto"/>
                    <w:bottom w:val="none" w:sz="0" w:space="0" w:color="auto"/>
                    <w:right w:val="none" w:sz="0" w:space="0" w:color="auto"/>
                  </w:divBdr>
                  <w:divsChild>
                    <w:div w:id="1468550620">
                      <w:marLeft w:val="0"/>
                      <w:marRight w:val="0"/>
                      <w:marTop w:val="0"/>
                      <w:marBottom w:val="0"/>
                      <w:divBdr>
                        <w:top w:val="none" w:sz="0" w:space="0" w:color="auto"/>
                        <w:left w:val="none" w:sz="0" w:space="0" w:color="auto"/>
                        <w:bottom w:val="none" w:sz="0" w:space="0" w:color="auto"/>
                        <w:right w:val="none" w:sz="0" w:space="0" w:color="auto"/>
                      </w:divBdr>
                    </w:div>
                  </w:divsChild>
                </w:div>
                <w:div w:id="556933451">
                  <w:marLeft w:val="0"/>
                  <w:marRight w:val="0"/>
                  <w:marTop w:val="0"/>
                  <w:marBottom w:val="0"/>
                  <w:divBdr>
                    <w:top w:val="none" w:sz="0" w:space="0" w:color="auto"/>
                    <w:left w:val="none" w:sz="0" w:space="0" w:color="auto"/>
                    <w:bottom w:val="none" w:sz="0" w:space="0" w:color="auto"/>
                    <w:right w:val="none" w:sz="0" w:space="0" w:color="auto"/>
                  </w:divBdr>
                  <w:divsChild>
                    <w:div w:id="843515028">
                      <w:marLeft w:val="0"/>
                      <w:marRight w:val="0"/>
                      <w:marTop w:val="0"/>
                      <w:marBottom w:val="0"/>
                      <w:divBdr>
                        <w:top w:val="none" w:sz="0" w:space="0" w:color="auto"/>
                        <w:left w:val="none" w:sz="0" w:space="0" w:color="auto"/>
                        <w:bottom w:val="none" w:sz="0" w:space="0" w:color="auto"/>
                        <w:right w:val="none" w:sz="0" w:space="0" w:color="auto"/>
                      </w:divBdr>
                    </w:div>
                  </w:divsChild>
                </w:div>
                <w:div w:id="596207667">
                  <w:marLeft w:val="0"/>
                  <w:marRight w:val="0"/>
                  <w:marTop w:val="0"/>
                  <w:marBottom w:val="0"/>
                  <w:divBdr>
                    <w:top w:val="none" w:sz="0" w:space="0" w:color="auto"/>
                    <w:left w:val="none" w:sz="0" w:space="0" w:color="auto"/>
                    <w:bottom w:val="none" w:sz="0" w:space="0" w:color="auto"/>
                    <w:right w:val="none" w:sz="0" w:space="0" w:color="auto"/>
                  </w:divBdr>
                  <w:divsChild>
                    <w:div w:id="1014459030">
                      <w:marLeft w:val="0"/>
                      <w:marRight w:val="0"/>
                      <w:marTop w:val="0"/>
                      <w:marBottom w:val="0"/>
                      <w:divBdr>
                        <w:top w:val="none" w:sz="0" w:space="0" w:color="auto"/>
                        <w:left w:val="none" w:sz="0" w:space="0" w:color="auto"/>
                        <w:bottom w:val="none" w:sz="0" w:space="0" w:color="auto"/>
                        <w:right w:val="none" w:sz="0" w:space="0" w:color="auto"/>
                      </w:divBdr>
                    </w:div>
                  </w:divsChild>
                </w:div>
                <w:div w:id="608784052">
                  <w:marLeft w:val="0"/>
                  <w:marRight w:val="0"/>
                  <w:marTop w:val="0"/>
                  <w:marBottom w:val="0"/>
                  <w:divBdr>
                    <w:top w:val="none" w:sz="0" w:space="0" w:color="auto"/>
                    <w:left w:val="none" w:sz="0" w:space="0" w:color="auto"/>
                    <w:bottom w:val="none" w:sz="0" w:space="0" w:color="auto"/>
                    <w:right w:val="none" w:sz="0" w:space="0" w:color="auto"/>
                  </w:divBdr>
                  <w:divsChild>
                    <w:div w:id="211237770">
                      <w:marLeft w:val="0"/>
                      <w:marRight w:val="0"/>
                      <w:marTop w:val="0"/>
                      <w:marBottom w:val="0"/>
                      <w:divBdr>
                        <w:top w:val="none" w:sz="0" w:space="0" w:color="auto"/>
                        <w:left w:val="none" w:sz="0" w:space="0" w:color="auto"/>
                        <w:bottom w:val="none" w:sz="0" w:space="0" w:color="auto"/>
                        <w:right w:val="none" w:sz="0" w:space="0" w:color="auto"/>
                      </w:divBdr>
                    </w:div>
                  </w:divsChild>
                </w:div>
                <w:div w:id="613906024">
                  <w:marLeft w:val="0"/>
                  <w:marRight w:val="0"/>
                  <w:marTop w:val="0"/>
                  <w:marBottom w:val="0"/>
                  <w:divBdr>
                    <w:top w:val="none" w:sz="0" w:space="0" w:color="auto"/>
                    <w:left w:val="none" w:sz="0" w:space="0" w:color="auto"/>
                    <w:bottom w:val="none" w:sz="0" w:space="0" w:color="auto"/>
                    <w:right w:val="none" w:sz="0" w:space="0" w:color="auto"/>
                  </w:divBdr>
                  <w:divsChild>
                    <w:div w:id="619455248">
                      <w:marLeft w:val="0"/>
                      <w:marRight w:val="0"/>
                      <w:marTop w:val="0"/>
                      <w:marBottom w:val="0"/>
                      <w:divBdr>
                        <w:top w:val="none" w:sz="0" w:space="0" w:color="auto"/>
                        <w:left w:val="none" w:sz="0" w:space="0" w:color="auto"/>
                        <w:bottom w:val="none" w:sz="0" w:space="0" w:color="auto"/>
                        <w:right w:val="none" w:sz="0" w:space="0" w:color="auto"/>
                      </w:divBdr>
                    </w:div>
                  </w:divsChild>
                </w:div>
                <w:div w:id="637538446">
                  <w:marLeft w:val="0"/>
                  <w:marRight w:val="0"/>
                  <w:marTop w:val="0"/>
                  <w:marBottom w:val="0"/>
                  <w:divBdr>
                    <w:top w:val="none" w:sz="0" w:space="0" w:color="auto"/>
                    <w:left w:val="none" w:sz="0" w:space="0" w:color="auto"/>
                    <w:bottom w:val="none" w:sz="0" w:space="0" w:color="auto"/>
                    <w:right w:val="none" w:sz="0" w:space="0" w:color="auto"/>
                  </w:divBdr>
                  <w:divsChild>
                    <w:div w:id="1240289530">
                      <w:marLeft w:val="0"/>
                      <w:marRight w:val="0"/>
                      <w:marTop w:val="0"/>
                      <w:marBottom w:val="0"/>
                      <w:divBdr>
                        <w:top w:val="none" w:sz="0" w:space="0" w:color="auto"/>
                        <w:left w:val="none" w:sz="0" w:space="0" w:color="auto"/>
                        <w:bottom w:val="none" w:sz="0" w:space="0" w:color="auto"/>
                        <w:right w:val="none" w:sz="0" w:space="0" w:color="auto"/>
                      </w:divBdr>
                    </w:div>
                  </w:divsChild>
                </w:div>
                <w:div w:id="639044892">
                  <w:marLeft w:val="0"/>
                  <w:marRight w:val="0"/>
                  <w:marTop w:val="0"/>
                  <w:marBottom w:val="0"/>
                  <w:divBdr>
                    <w:top w:val="none" w:sz="0" w:space="0" w:color="auto"/>
                    <w:left w:val="none" w:sz="0" w:space="0" w:color="auto"/>
                    <w:bottom w:val="none" w:sz="0" w:space="0" w:color="auto"/>
                    <w:right w:val="none" w:sz="0" w:space="0" w:color="auto"/>
                  </w:divBdr>
                  <w:divsChild>
                    <w:div w:id="545069412">
                      <w:marLeft w:val="0"/>
                      <w:marRight w:val="0"/>
                      <w:marTop w:val="0"/>
                      <w:marBottom w:val="0"/>
                      <w:divBdr>
                        <w:top w:val="none" w:sz="0" w:space="0" w:color="auto"/>
                        <w:left w:val="none" w:sz="0" w:space="0" w:color="auto"/>
                        <w:bottom w:val="none" w:sz="0" w:space="0" w:color="auto"/>
                        <w:right w:val="none" w:sz="0" w:space="0" w:color="auto"/>
                      </w:divBdr>
                    </w:div>
                  </w:divsChild>
                </w:div>
                <w:div w:id="668600161">
                  <w:marLeft w:val="0"/>
                  <w:marRight w:val="0"/>
                  <w:marTop w:val="0"/>
                  <w:marBottom w:val="0"/>
                  <w:divBdr>
                    <w:top w:val="none" w:sz="0" w:space="0" w:color="auto"/>
                    <w:left w:val="none" w:sz="0" w:space="0" w:color="auto"/>
                    <w:bottom w:val="none" w:sz="0" w:space="0" w:color="auto"/>
                    <w:right w:val="none" w:sz="0" w:space="0" w:color="auto"/>
                  </w:divBdr>
                  <w:divsChild>
                    <w:div w:id="30350536">
                      <w:marLeft w:val="0"/>
                      <w:marRight w:val="0"/>
                      <w:marTop w:val="0"/>
                      <w:marBottom w:val="0"/>
                      <w:divBdr>
                        <w:top w:val="none" w:sz="0" w:space="0" w:color="auto"/>
                        <w:left w:val="none" w:sz="0" w:space="0" w:color="auto"/>
                        <w:bottom w:val="none" w:sz="0" w:space="0" w:color="auto"/>
                        <w:right w:val="none" w:sz="0" w:space="0" w:color="auto"/>
                      </w:divBdr>
                    </w:div>
                  </w:divsChild>
                </w:div>
                <w:div w:id="692726318">
                  <w:marLeft w:val="0"/>
                  <w:marRight w:val="0"/>
                  <w:marTop w:val="0"/>
                  <w:marBottom w:val="0"/>
                  <w:divBdr>
                    <w:top w:val="none" w:sz="0" w:space="0" w:color="auto"/>
                    <w:left w:val="none" w:sz="0" w:space="0" w:color="auto"/>
                    <w:bottom w:val="none" w:sz="0" w:space="0" w:color="auto"/>
                    <w:right w:val="none" w:sz="0" w:space="0" w:color="auto"/>
                  </w:divBdr>
                  <w:divsChild>
                    <w:div w:id="575629334">
                      <w:marLeft w:val="0"/>
                      <w:marRight w:val="0"/>
                      <w:marTop w:val="0"/>
                      <w:marBottom w:val="0"/>
                      <w:divBdr>
                        <w:top w:val="none" w:sz="0" w:space="0" w:color="auto"/>
                        <w:left w:val="none" w:sz="0" w:space="0" w:color="auto"/>
                        <w:bottom w:val="none" w:sz="0" w:space="0" w:color="auto"/>
                        <w:right w:val="none" w:sz="0" w:space="0" w:color="auto"/>
                      </w:divBdr>
                    </w:div>
                  </w:divsChild>
                </w:div>
                <w:div w:id="741026848">
                  <w:marLeft w:val="0"/>
                  <w:marRight w:val="0"/>
                  <w:marTop w:val="0"/>
                  <w:marBottom w:val="0"/>
                  <w:divBdr>
                    <w:top w:val="none" w:sz="0" w:space="0" w:color="auto"/>
                    <w:left w:val="none" w:sz="0" w:space="0" w:color="auto"/>
                    <w:bottom w:val="none" w:sz="0" w:space="0" w:color="auto"/>
                    <w:right w:val="none" w:sz="0" w:space="0" w:color="auto"/>
                  </w:divBdr>
                  <w:divsChild>
                    <w:div w:id="1542941114">
                      <w:marLeft w:val="0"/>
                      <w:marRight w:val="0"/>
                      <w:marTop w:val="0"/>
                      <w:marBottom w:val="0"/>
                      <w:divBdr>
                        <w:top w:val="none" w:sz="0" w:space="0" w:color="auto"/>
                        <w:left w:val="none" w:sz="0" w:space="0" w:color="auto"/>
                        <w:bottom w:val="none" w:sz="0" w:space="0" w:color="auto"/>
                        <w:right w:val="none" w:sz="0" w:space="0" w:color="auto"/>
                      </w:divBdr>
                    </w:div>
                  </w:divsChild>
                </w:div>
                <w:div w:id="770316310">
                  <w:marLeft w:val="0"/>
                  <w:marRight w:val="0"/>
                  <w:marTop w:val="0"/>
                  <w:marBottom w:val="0"/>
                  <w:divBdr>
                    <w:top w:val="none" w:sz="0" w:space="0" w:color="auto"/>
                    <w:left w:val="none" w:sz="0" w:space="0" w:color="auto"/>
                    <w:bottom w:val="none" w:sz="0" w:space="0" w:color="auto"/>
                    <w:right w:val="none" w:sz="0" w:space="0" w:color="auto"/>
                  </w:divBdr>
                  <w:divsChild>
                    <w:div w:id="511454656">
                      <w:marLeft w:val="0"/>
                      <w:marRight w:val="0"/>
                      <w:marTop w:val="0"/>
                      <w:marBottom w:val="0"/>
                      <w:divBdr>
                        <w:top w:val="none" w:sz="0" w:space="0" w:color="auto"/>
                        <w:left w:val="none" w:sz="0" w:space="0" w:color="auto"/>
                        <w:bottom w:val="none" w:sz="0" w:space="0" w:color="auto"/>
                        <w:right w:val="none" w:sz="0" w:space="0" w:color="auto"/>
                      </w:divBdr>
                    </w:div>
                  </w:divsChild>
                </w:div>
                <w:div w:id="771898550">
                  <w:marLeft w:val="0"/>
                  <w:marRight w:val="0"/>
                  <w:marTop w:val="0"/>
                  <w:marBottom w:val="0"/>
                  <w:divBdr>
                    <w:top w:val="none" w:sz="0" w:space="0" w:color="auto"/>
                    <w:left w:val="none" w:sz="0" w:space="0" w:color="auto"/>
                    <w:bottom w:val="none" w:sz="0" w:space="0" w:color="auto"/>
                    <w:right w:val="none" w:sz="0" w:space="0" w:color="auto"/>
                  </w:divBdr>
                  <w:divsChild>
                    <w:div w:id="1631354403">
                      <w:marLeft w:val="0"/>
                      <w:marRight w:val="0"/>
                      <w:marTop w:val="0"/>
                      <w:marBottom w:val="0"/>
                      <w:divBdr>
                        <w:top w:val="none" w:sz="0" w:space="0" w:color="auto"/>
                        <w:left w:val="none" w:sz="0" w:space="0" w:color="auto"/>
                        <w:bottom w:val="none" w:sz="0" w:space="0" w:color="auto"/>
                        <w:right w:val="none" w:sz="0" w:space="0" w:color="auto"/>
                      </w:divBdr>
                    </w:div>
                  </w:divsChild>
                </w:div>
                <w:div w:id="848760262">
                  <w:marLeft w:val="0"/>
                  <w:marRight w:val="0"/>
                  <w:marTop w:val="0"/>
                  <w:marBottom w:val="0"/>
                  <w:divBdr>
                    <w:top w:val="none" w:sz="0" w:space="0" w:color="auto"/>
                    <w:left w:val="none" w:sz="0" w:space="0" w:color="auto"/>
                    <w:bottom w:val="none" w:sz="0" w:space="0" w:color="auto"/>
                    <w:right w:val="none" w:sz="0" w:space="0" w:color="auto"/>
                  </w:divBdr>
                  <w:divsChild>
                    <w:div w:id="1555850388">
                      <w:marLeft w:val="0"/>
                      <w:marRight w:val="0"/>
                      <w:marTop w:val="0"/>
                      <w:marBottom w:val="0"/>
                      <w:divBdr>
                        <w:top w:val="none" w:sz="0" w:space="0" w:color="auto"/>
                        <w:left w:val="none" w:sz="0" w:space="0" w:color="auto"/>
                        <w:bottom w:val="none" w:sz="0" w:space="0" w:color="auto"/>
                        <w:right w:val="none" w:sz="0" w:space="0" w:color="auto"/>
                      </w:divBdr>
                    </w:div>
                  </w:divsChild>
                </w:div>
                <w:div w:id="870456290">
                  <w:marLeft w:val="0"/>
                  <w:marRight w:val="0"/>
                  <w:marTop w:val="0"/>
                  <w:marBottom w:val="0"/>
                  <w:divBdr>
                    <w:top w:val="none" w:sz="0" w:space="0" w:color="auto"/>
                    <w:left w:val="none" w:sz="0" w:space="0" w:color="auto"/>
                    <w:bottom w:val="none" w:sz="0" w:space="0" w:color="auto"/>
                    <w:right w:val="none" w:sz="0" w:space="0" w:color="auto"/>
                  </w:divBdr>
                  <w:divsChild>
                    <w:div w:id="1491873990">
                      <w:marLeft w:val="0"/>
                      <w:marRight w:val="0"/>
                      <w:marTop w:val="0"/>
                      <w:marBottom w:val="0"/>
                      <w:divBdr>
                        <w:top w:val="none" w:sz="0" w:space="0" w:color="auto"/>
                        <w:left w:val="none" w:sz="0" w:space="0" w:color="auto"/>
                        <w:bottom w:val="none" w:sz="0" w:space="0" w:color="auto"/>
                        <w:right w:val="none" w:sz="0" w:space="0" w:color="auto"/>
                      </w:divBdr>
                    </w:div>
                  </w:divsChild>
                </w:div>
                <w:div w:id="880749331">
                  <w:marLeft w:val="0"/>
                  <w:marRight w:val="0"/>
                  <w:marTop w:val="0"/>
                  <w:marBottom w:val="0"/>
                  <w:divBdr>
                    <w:top w:val="none" w:sz="0" w:space="0" w:color="auto"/>
                    <w:left w:val="none" w:sz="0" w:space="0" w:color="auto"/>
                    <w:bottom w:val="none" w:sz="0" w:space="0" w:color="auto"/>
                    <w:right w:val="none" w:sz="0" w:space="0" w:color="auto"/>
                  </w:divBdr>
                  <w:divsChild>
                    <w:div w:id="711659079">
                      <w:marLeft w:val="0"/>
                      <w:marRight w:val="0"/>
                      <w:marTop w:val="0"/>
                      <w:marBottom w:val="0"/>
                      <w:divBdr>
                        <w:top w:val="none" w:sz="0" w:space="0" w:color="auto"/>
                        <w:left w:val="none" w:sz="0" w:space="0" w:color="auto"/>
                        <w:bottom w:val="none" w:sz="0" w:space="0" w:color="auto"/>
                        <w:right w:val="none" w:sz="0" w:space="0" w:color="auto"/>
                      </w:divBdr>
                    </w:div>
                  </w:divsChild>
                </w:div>
                <w:div w:id="881134200">
                  <w:marLeft w:val="0"/>
                  <w:marRight w:val="0"/>
                  <w:marTop w:val="0"/>
                  <w:marBottom w:val="0"/>
                  <w:divBdr>
                    <w:top w:val="none" w:sz="0" w:space="0" w:color="auto"/>
                    <w:left w:val="none" w:sz="0" w:space="0" w:color="auto"/>
                    <w:bottom w:val="none" w:sz="0" w:space="0" w:color="auto"/>
                    <w:right w:val="none" w:sz="0" w:space="0" w:color="auto"/>
                  </w:divBdr>
                  <w:divsChild>
                    <w:div w:id="1406107298">
                      <w:marLeft w:val="0"/>
                      <w:marRight w:val="0"/>
                      <w:marTop w:val="0"/>
                      <w:marBottom w:val="0"/>
                      <w:divBdr>
                        <w:top w:val="none" w:sz="0" w:space="0" w:color="auto"/>
                        <w:left w:val="none" w:sz="0" w:space="0" w:color="auto"/>
                        <w:bottom w:val="none" w:sz="0" w:space="0" w:color="auto"/>
                        <w:right w:val="none" w:sz="0" w:space="0" w:color="auto"/>
                      </w:divBdr>
                    </w:div>
                  </w:divsChild>
                </w:div>
                <w:div w:id="890770247">
                  <w:marLeft w:val="0"/>
                  <w:marRight w:val="0"/>
                  <w:marTop w:val="0"/>
                  <w:marBottom w:val="0"/>
                  <w:divBdr>
                    <w:top w:val="none" w:sz="0" w:space="0" w:color="auto"/>
                    <w:left w:val="none" w:sz="0" w:space="0" w:color="auto"/>
                    <w:bottom w:val="none" w:sz="0" w:space="0" w:color="auto"/>
                    <w:right w:val="none" w:sz="0" w:space="0" w:color="auto"/>
                  </w:divBdr>
                  <w:divsChild>
                    <w:div w:id="498737806">
                      <w:marLeft w:val="0"/>
                      <w:marRight w:val="0"/>
                      <w:marTop w:val="0"/>
                      <w:marBottom w:val="0"/>
                      <w:divBdr>
                        <w:top w:val="none" w:sz="0" w:space="0" w:color="auto"/>
                        <w:left w:val="none" w:sz="0" w:space="0" w:color="auto"/>
                        <w:bottom w:val="none" w:sz="0" w:space="0" w:color="auto"/>
                        <w:right w:val="none" w:sz="0" w:space="0" w:color="auto"/>
                      </w:divBdr>
                    </w:div>
                  </w:divsChild>
                </w:div>
                <w:div w:id="894850375">
                  <w:marLeft w:val="0"/>
                  <w:marRight w:val="0"/>
                  <w:marTop w:val="0"/>
                  <w:marBottom w:val="0"/>
                  <w:divBdr>
                    <w:top w:val="none" w:sz="0" w:space="0" w:color="auto"/>
                    <w:left w:val="none" w:sz="0" w:space="0" w:color="auto"/>
                    <w:bottom w:val="none" w:sz="0" w:space="0" w:color="auto"/>
                    <w:right w:val="none" w:sz="0" w:space="0" w:color="auto"/>
                  </w:divBdr>
                  <w:divsChild>
                    <w:div w:id="1496187946">
                      <w:marLeft w:val="0"/>
                      <w:marRight w:val="0"/>
                      <w:marTop w:val="0"/>
                      <w:marBottom w:val="0"/>
                      <w:divBdr>
                        <w:top w:val="none" w:sz="0" w:space="0" w:color="auto"/>
                        <w:left w:val="none" w:sz="0" w:space="0" w:color="auto"/>
                        <w:bottom w:val="none" w:sz="0" w:space="0" w:color="auto"/>
                        <w:right w:val="none" w:sz="0" w:space="0" w:color="auto"/>
                      </w:divBdr>
                    </w:div>
                  </w:divsChild>
                </w:div>
                <w:div w:id="897983626">
                  <w:marLeft w:val="0"/>
                  <w:marRight w:val="0"/>
                  <w:marTop w:val="0"/>
                  <w:marBottom w:val="0"/>
                  <w:divBdr>
                    <w:top w:val="none" w:sz="0" w:space="0" w:color="auto"/>
                    <w:left w:val="none" w:sz="0" w:space="0" w:color="auto"/>
                    <w:bottom w:val="none" w:sz="0" w:space="0" w:color="auto"/>
                    <w:right w:val="none" w:sz="0" w:space="0" w:color="auto"/>
                  </w:divBdr>
                  <w:divsChild>
                    <w:div w:id="1879971623">
                      <w:marLeft w:val="0"/>
                      <w:marRight w:val="0"/>
                      <w:marTop w:val="0"/>
                      <w:marBottom w:val="0"/>
                      <w:divBdr>
                        <w:top w:val="none" w:sz="0" w:space="0" w:color="auto"/>
                        <w:left w:val="none" w:sz="0" w:space="0" w:color="auto"/>
                        <w:bottom w:val="none" w:sz="0" w:space="0" w:color="auto"/>
                        <w:right w:val="none" w:sz="0" w:space="0" w:color="auto"/>
                      </w:divBdr>
                    </w:div>
                  </w:divsChild>
                </w:div>
                <w:div w:id="910432845">
                  <w:marLeft w:val="0"/>
                  <w:marRight w:val="0"/>
                  <w:marTop w:val="0"/>
                  <w:marBottom w:val="0"/>
                  <w:divBdr>
                    <w:top w:val="none" w:sz="0" w:space="0" w:color="auto"/>
                    <w:left w:val="none" w:sz="0" w:space="0" w:color="auto"/>
                    <w:bottom w:val="none" w:sz="0" w:space="0" w:color="auto"/>
                    <w:right w:val="none" w:sz="0" w:space="0" w:color="auto"/>
                  </w:divBdr>
                  <w:divsChild>
                    <w:div w:id="130175340">
                      <w:marLeft w:val="0"/>
                      <w:marRight w:val="0"/>
                      <w:marTop w:val="0"/>
                      <w:marBottom w:val="0"/>
                      <w:divBdr>
                        <w:top w:val="none" w:sz="0" w:space="0" w:color="auto"/>
                        <w:left w:val="none" w:sz="0" w:space="0" w:color="auto"/>
                        <w:bottom w:val="none" w:sz="0" w:space="0" w:color="auto"/>
                        <w:right w:val="none" w:sz="0" w:space="0" w:color="auto"/>
                      </w:divBdr>
                    </w:div>
                  </w:divsChild>
                </w:div>
                <w:div w:id="943880115">
                  <w:marLeft w:val="0"/>
                  <w:marRight w:val="0"/>
                  <w:marTop w:val="0"/>
                  <w:marBottom w:val="0"/>
                  <w:divBdr>
                    <w:top w:val="none" w:sz="0" w:space="0" w:color="auto"/>
                    <w:left w:val="none" w:sz="0" w:space="0" w:color="auto"/>
                    <w:bottom w:val="none" w:sz="0" w:space="0" w:color="auto"/>
                    <w:right w:val="none" w:sz="0" w:space="0" w:color="auto"/>
                  </w:divBdr>
                  <w:divsChild>
                    <w:div w:id="829295878">
                      <w:marLeft w:val="0"/>
                      <w:marRight w:val="0"/>
                      <w:marTop w:val="0"/>
                      <w:marBottom w:val="0"/>
                      <w:divBdr>
                        <w:top w:val="none" w:sz="0" w:space="0" w:color="auto"/>
                        <w:left w:val="none" w:sz="0" w:space="0" w:color="auto"/>
                        <w:bottom w:val="none" w:sz="0" w:space="0" w:color="auto"/>
                        <w:right w:val="none" w:sz="0" w:space="0" w:color="auto"/>
                      </w:divBdr>
                    </w:div>
                  </w:divsChild>
                </w:div>
                <w:div w:id="949705331">
                  <w:marLeft w:val="0"/>
                  <w:marRight w:val="0"/>
                  <w:marTop w:val="0"/>
                  <w:marBottom w:val="0"/>
                  <w:divBdr>
                    <w:top w:val="none" w:sz="0" w:space="0" w:color="auto"/>
                    <w:left w:val="none" w:sz="0" w:space="0" w:color="auto"/>
                    <w:bottom w:val="none" w:sz="0" w:space="0" w:color="auto"/>
                    <w:right w:val="none" w:sz="0" w:space="0" w:color="auto"/>
                  </w:divBdr>
                  <w:divsChild>
                    <w:div w:id="1342119516">
                      <w:marLeft w:val="0"/>
                      <w:marRight w:val="0"/>
                      <w:marTop w:val="0"/>
                      <w:marBottom w:val="0"/>
                      <w:divBdr>
                        <w:top w:val="none" w:sz="0" w:space="0" w:color="auto"/>
                        <w:left w:val="none" w:sz="0" w:space="0" w:color="auto"/>
                        <w:bottom w:val="none" w:sz="0" w:space="0" w:color="auto"/>
                        <w:right w:val="none" w:sz="0" w:space="0" w:color="auto"/>
                      </w:divBdr>
                    </w:div>
                  </w:divsChild>
                </w:div>
                <w:div w:id="993794706">
                  <w:marLeft w:val="0"/>
                  <w:marRight w:val="0"/>
                  <w:marTop w:val="0"/>
                  <w:marBottom w:val="0"/>
                  <w:divBdr>
                    <w:top w:val="none" w:sz="0" w:space="0" w:color="auto"/>
                    <w:left w:val="none" w:sz="0" w:space="0" w:color="auto"/>
                    <w:bottom w:val="none" w:sz="0" w:space="0" w:color="auto"/>
                    <w:right w:val="none" w:sz="0" w:space="0" w:color="auto"/>
                  </w:divBdr>
                  <w:divsChild>
                    <w:div w:id="919174338">
                      <w:marLeft w:val="0"/>
                      <w:marRight w:val="0"/>
                      <w:marTop w:val="0"/>
                      <w:marBottom w:val="0"/>
                      <w:divBdr>
                        <w:top w:val="none" w:sz="0" w:space="0" w:color="auto"/>
                        <w:left w:val="none" w:sz="0" w:space="0" w:color="auto"/>
                        <w:bottom w:val="none" w:sz="0" w:space="0" w:color="auto"/>
                        <w:right w:val="none" w:sz="0" w:space="0" w:color="auto"/>
                      </w:divBdr>
                    </w:div>
                  </w:divsChild>
                </w:div>
                <w:div w:id="994994309">
                  <w:marLeft w:val="0"/>
                  <w:marRight w:val="0"/>
                  <w:marTop w:val="0"/>
                  <w:marBottom w:val="0"/>
                  <w:divBdr>
                    <w:top w:val="none" w:sz="0" w:space="0" w:color="auto"/>
                    <w:left w:val="none" w:sz="0" w:space="0" w:color="auto"/>
                    <w:bottom w:val="none" w:sz="0" w:space="0" w:color="auto"/>
                    <w:right w:val="none" w:sz="0" w:space="0" w:color="auto"/>
                  </w:divBdr>
                  <w:divsChild>
                    <w:div w:id="21515084">
                      <w:marLeft w:val="0"/>
                      <w:marRight w:val="0"/>
                      <w:marTop w:val="0"/>
                      <w:marBottom w:val="0"/>
                      <w:divBdr>
                        <w:top w:val="none" w:sz="0" w:space="0" w:color="auto"/>
                        <w:left w:val="none" w:sz="0" w:space="0" w:color="auto"/>
                        <w:bottom w:val="none" w:sz="0" w:space="0" w:color="auto"/>
                        <w:right w:val="none" w:sz="0" w:space="0" w:color="auto"/>
                      </w:divBdr>
                    </w:div>
                  </w:divsChild>
                </w:div>
                <w:div w:id="995189933">
                  <w:marLeft w:val="0"/>
                  <w:marRight w:val="0"/>
                  <w:marTop w:val="0"/>
                  <w:marBottom w:val="0"/>
                  <w:divBdr>
                    <w:top w:val="none" w:sz="0" w:space="0" w:color="auto"/>
                    <w:left w:val="none" w:sz="0" w:space="0" w:color="auto"/>
                    <w:bottom w:val="none" w:sz="0" w:space="0" w:color="auto"/>
                    <w:right w:val="none" w:sz="0" w:space="0" w:color="auto"/>
                  </w:divBdr>
                  <w:divsChild>
                    <w:div w:id="1564370462">
                      <w:marLeft w:val="0"/>
                      <w:marRight w:val="0"/>
                      <w:marTop w:val="0"/>
                      <w:marBottom w:val="0"/>
                      <w:divBdr>
                        <w:top w:val="none" w:sz="0" w:space="0" w:color="auto"/>
                        <w:left w:val="none" w:sz="0" w:space="0" w:color="auto"/>
                        <w:bottom w:val="none" w:sz="0" w:space="0" w:color="auto"/>
                        <w:right w:val="none" w:sz="0" w:space="0" w:color="auto"/>
                      </w:divBdr>
                    </w:div>
                  </w:divsChild>
                </w:div>
                <w:div w:id="1039667880">
                  <w:marLeft w:val="0"/>
                  <w:marRight w:val="0"/>
                  <w:marTop w:val="0"/>
                  <w:marBottom w:val="0"/>
                  <w:divBdr>
                    <w:top w:val="none" w:sz="0" w:space="0" w:color="auto"/>
                    <w:left w:val="none" w:sz="0" w:space="0" w:color="auto"/>
                    <w:bottom w:val="none" w:sz="0" w:space="0" w:color="auto"/>
                    <w:right w:val="none" w:sz="0" w:space="0" w:color="auto"/>
                  </w:divBdr>
                  <w:divsChild>
                    <w:div w:id="334039346">
                      <w:marLeft w:val="0"/>
                      <w:marRight w:val="0"/>
                      <w:marTop w:val="0"/>
                      <w:marBottom w:val="0"/>
                      <w:divBdr>
                        <w:top w:val="none" w:sz="0" w:space="0" w:color="auto"/>
                        <w:left w:val="none" w:sz="0" w:space="0" w:color="auto"/>
                        <w:bottom w:val="none" w:sz="0" w:space="0" w:color="auto"/>
                        <w:right w:val="none" w:sz="0" w:space="0" w:color="auto"/>
                      </w:divBdr>
                    </w:div>
                  </w:divsChild>
                </w:div>
                <w:div w:id="1042251158">
                  <w:marLeft w:val="0"/>
                  <w:marRight w:val="0"/>
                  <w:marTop w:val="0"/>
                  <w:marBottom w:val="0"/>
                  <w:divBdr>
                    <w:top w:val="none" w:sz="0" w:space="0" w:color="auto"/>
                    <w:left w:val="none" w:sz="0" w:space="0" w:color="auto"/>
                    <w:bottom w:val="none" w:sz="0" w:space="0" w:color="auto"/>
                    <w:right w:val="none" w:sz="0" w:space="0" w:color="auto"/>
                  </w:divBdr>
                  <w:divsChild>
                    <w:div w:id="2031451190">
                      <w:marLeft w:val="0"/>
                      <w:marRight w:val="0"/>
                      <w:marTop w:val="0"/>
                      <w:marBottom w:val="0"/>
                      <w:divBdr>
                        <w:top w:val="none" w:sz="0" w:space="0" w:color="auto"/>
                        <w:left w:val="none" w:sz="0" w:space="0" w:color="auto"/>
                        <w:bottom w:val="none" w:sz="0" w:space="0" w:color="auto"/>
                        <w:right w:val="none" w:sz="0" w:space="0" w:color="auto"/>
                      </w:divBdr>
                    </w:div>
                  </w:divsChild>
                </w:div>
                <w:div w:id="1061489876">
                  <w:marLeft w:val="0"/>
                  <w:marRight w:val="0"/>
                  <w:marTop w:val="0"/>
                  <w:marBottom w:val="0"/>
                  <w:divBdr>
                    <w:top w:val="none" w:sz="0" w:space="0" w:color="auto"/>
                    <w:left w:val="none" w:sz="0" w:space="0" w:color="auto"/>
                    <w:bottom w:val="none" w:sz="0" w:space="0" w:color="auto"/>
                    <w:right w:val="none" w:sz="0" w:space="0" w:color="auto"/>
                  </w:divBdr>
                  <w:divsChild>
                    <w:div w:id="322971449">
                      <w:marLeft w:val="0"/>
                      <w:marRight w:val="0"/>
                      <w:marTop w:val="0"/>
                      <w:marBottom w:val="0"/>
                      <w:divBdr>
                        <w:top w:val="none" w:sz="0" w:space="0" w:color="auto"/>
                        <w:left w:val="none" w:sz="0" w:space="0" w:color="auto"/>
                        <w:bottom w:val="none" w:sz="0" w:space="0" w:color="auto"/>
                        <w:right w:val="none" w:sz="0" w:space="0" w:color="auto"/>
                      </w:divBdr>
                    </w:div>
                  </w:divsChild>
                </w:div>
                <w:div w:id="1100107020">
                  <w:marLeft w:val="0"/>
                  <w:marRight w:val="0"/>
                  <w:marTop w:val="0"/>
                  <w:marBottom w:val="0"/>
                  <w:divBdr>
                    <w:top w:val="none" w:sz="0" w:space="0" w:color="auto"/>
                    <w:left w:val="none" w:sz="0" w:space="0" w:color="auto"/>
                    <w:bottom w:val="none" w:sz="0" w:space="0" w:color="auto"/>
                    <w:right w:val="none" w:sz="0" w:space="0" w:color="auto"/>
                  </w:divBdr>
                  <w:divsChild>
                    <w:div w:id="1464348013">
                      <w:marLeft w:val="0"/>
                      <w:marRight w:val="0"/>
                      <w:marTop w:val="0"/>
                      <w:marBottom w:val="0"/>
                      <w:divBdr>
                        <w:top w:val="none" w:sz="0" w:space="0" w:color="auto"/>
                        <w:left w:val="none" w:sz="0" w:space="0" w:color="auto"/>
                        <w:bottom w:val="none" w:sz="0" w:space="0" w:color="auto"/>
                        <w:right w:val="none" w:sz="0" w:space="0" w:color="auto"/>
                      </w:divBdr>
                    </w:div>
                  </w:divsChild>
                </w:div>
                <w:div w:id="1112894744">
                  <w:marLeft w:val="0"/>
                  <w:marRight w:val="0"/>
                  <w:marTop w:val="0"/>
                  <w:marBottom w:val="0"/>
                  <w:divBdr>
                    <w:top w:val="none" w:sz="0" w:space="0" w:color="auto"/>
                    <w:left w:val="none" w:sz="0" w:space="0" w:color="auto"/>
                    <w:bottom w:val="none" w:sz="0" w:space="0" w:color="auto"/>
                    <w:right w:val="none" w:sz="0" w:space="0" w:color="auto"/>
                  </w:divBdr>
                  <w:divsChild>
                    <w:div w:id="1510018751">
                      <w:marLeft w:val="0"/>
                      <w:marRight w:val="0"/>
                      <w:marTop w:val="0"/>
                      <w:marBottom w:val="0"/>
                      <w:divBdr>
                        <w:top w:val="none" w:sz="0" w:space="0" w:color="auto"/>
                        <w:left w:val="none" w:sz="0" w:space="0" w:color="auto"/>
                        <w:bottom w:val="none" w:sz="0" w:space="0" w:color="auto"/>
                        <w:right w:val="none" w:sz="0" w:space="0" w:color="auto"/>
                      </w:divBdr>
                    </w:div>
                  </w:divsChild>
                </w:div>
                <w:div w:id="1115440753">
                  <w:marLeft w:val="0"/>
                  <w:marRight w:val="0"/>
                  <w:marTop w:val="0"/>
                  <w:marBottom w:val="0"/>
                  <w:divBdr>
                    <w:top w:val="none" w:sz="0" w:space="0" w:color="auto"/>
                    <w:left w:val="none" w:sz="0" w:space="0" w:color="auto"/>
                    <w:bottom w:val="none" w:sz="0" w:space="0" w:color="auto"/>
                    <w:right w:val="none" w:sz="0" w:space="0" w:color="auto"/>
                  </w:divBdr>
                  <w:divsChild>
                    <w:div w:id="1963993493">
                      <w:marLeft w:val="0"/>
                      <w:marRight w:val="0"/>
                      <w:marTop w:val="0"/>
                      <w:marBottom w:val="0"/>
                      <w:divBdr>
                        <w:top w:val="none" w:sz="0" w:space="0" w:color="auto"/>
                        <w:left w:val="none" w:sz="0" w:space="0" w:color="auto"/>
                        <w:bottom w:val="none" w:sz="0" w:space="0" w:color="auto"/>
                        <w:right w:val="none" w:sz="0" w:space="0" w:color="auto"/>
                      </w:divBdr>
                    </w:div>
                  </w:divsChild>
                </w:div>
                <w:div w:id="1133523052">
                  <w:marLeft w:val="0"/>
                  <w:marRight w:val="0"/>
                  <w:marTop w:val="0"/>
                  <w:marBottom w:val="0"/>
                  <w:divBdr>
                    <w:top w:val="none" w:sz="0" w:space="0" w:color="auto"/>
                    <w:left w:val="none" w:sz="0" w:space="0" w:color="auto"/>
                    <w:bottom w:val="none" w:sz="0" w:space="0" w:color="auto"/>
                    <w:right w:val="none" w:sz="0" w:space="0" w:color="auto"/>
                  </w:divBdr>
                  <w:divsChild>
                    <w:div w:id="751656775">
                      <w:marLeft w:val="0"/>
                      <w:marRight w:val="0"/>
                      <w:marTop w:val="0"/>
                      <w:marBottom w:val="0"/>
                      <w:divBdr>
                        <w:top w:val="none" w:sz="0" w:space="0" w:color="auto"/>
                        <w:left w:val="none" w:sz="0" w:space="0" w:color="auto"/>
                        <w:bottom w:val="none" w:sz="0" w:space="0" w:color="auto"/>
                        <w:right w:val="none" w:sz="0" w:space="0" w:color="auto"/>
                      </w:divBdr>
                    </w:div>
                  </w:divsChild>
                </w:div>
                <w:div w:id="1148984371">
                  <w:marLeft w:val="0"/>
                  <w:marRight w:val="0"/>
                  <w:marTop w:val="0"/>
                  <w:marBottom w:val="0"/>
                  <w:divBdr>
                    <w:top w:val="none" w:sz="0" w:space="0" w:color="auto"/>
                    <w:left w:val="none" w:sz="0" w:space="0" w:color="auto"/>
                    <w:bottom w:val="none" w:sz="0" w:space="0" w:color="auto"/>
                    <w:right w:val="none" w:sz="0" w:space="0" w:color="auto"/>
                  </w:divBdr>
                  <w:divsChild>
                    <w:div w:id="1843661870">
                      <w:marLeft w:val="0"/>
                      <w:marRight w:val="0"/>
                      <w:marTop w:val="0"/>
                      <w:marBottom w:val="0"/>
                      <w:divBdr>
                        <w:top w:val="none" w:sz="0" w:space="0" w:color="auto"/>
                        <w:left w:val="none" w:sz="0" w:space="0" w:color="auto"/>
                        <w:bottom w:val="none" w:sz="0" w:space="0" w:color="auto"/>
                        <w:right w:val="none" w:sz="0" w:space="0" w:color="auto"/>
                      </w:divBdr>
                    </w:div>
                  </w:divsChild>
                </w:div>
                <w:div w:id="1154294846">
                  <w:marLeft w:val="0"/>
                  <w:marRight w:val="0"/>
                  <w:marTop w:val="0"/>
                  <w:marBottom w:val="0"/>
                  <w:divBdr>
                    <w:top w:val="none" w:sz="0" w:space="0" w:color="auto"/>
                    <w:left w:val="none" w:sz="0" w:space="0" w:color="auto"/>
                    <w:bottom w:val="none" w:sz="0" w:space="0" w:color="auto"/>
                    <w:right w:val="none" w:sz="0" w:space="0" w:color="auto"/>
                  </w:divBdr>
                  <w:divsChild>
                    <w:div w:id="1542090508">
                      <w:marLeft w:val="0"/>
                      <w:marRight w:val="0"/>
                      <w:marTop w:val="0"/>
                      <w:marBottom w:val="0"/>
                      <w:divBdr>
                        <w:top w:val="none" w:sz="0" w:space="0" w:color="auto"/>
                        <w:left w:val="none" w:sz="0" w:space="0" w:color="auto"/>
                        <w:bottom w:val="none" w:sz="0" w:space="0" w:color="auto"/>
                        <w:right w:val="none" w:sz="0" w:space="0" w:color="auto"/>
                      </w:divBdr>
                    </w:div>
                  </w:divsChild>
                </w:div>
                <w:div w:id="1182208496">
                  <w:marLeft w:val="0"/>
                  <w:marRight w:val="0"/>
                  <w:marTop w:val="0"/>
                  <w:marBottom w:val="0"/>
                  <w:divBdr>
                    <w:top w:val="none" w:sz="0" w:space="0" w:color="auto"/>
                    <w:left w:val="none" w:sz="0" w:space="0" w:color="auto"/>
                    <w:bottom w:val="none" w:sz="0" w:space="0" w:color="auto"/>
                    <w:right w:val="none" w:sz="0" w:space="0" w:color="auto"/>
                  </w:divBdr>
                  <w:divsChild>
                    <w:div w:id="752435016">
                      <w:marLeft w:val="0"/>
                      <w:marRight w:val="0"/>
                      <w:marTop w:val="0"/>
                      <w:marBottom w:val="0"/>
                      <w:divBdr>
                        <w:top w:val="none" w:sz="0" w:space="0" w:color="auto"/>
                        <w:left w:val="none" w:sz="0" w:space="0" w:color="auto"/>
                        <w:bottom w:val="none" w:sz="0" w:space="0" w:color="auto"/>
                        <w:right w:val="none" w:sz="0" w:space="0" w:color="auto"/>
                      </w:divBdr>
                    </w:div>
                  </w:divsChild>
                </w:div>
                <w:div w:id="1186864523">
                  <w:marLeft w:val="0"/>
                  <w:marRight w:val="0"/>
                  <w:marTop w:val="0"/>
                  <w:marBottom w:val="0"/>
                  <w:divBdr>
                    <w:top w:val="none" w:sz="0" w:space="0" w:color="auto"/>
                    <w:left w:val="none" w:sz="0" w:space="0" w:color="auto"/>
                    <w:bottom w:val="none" w:sz="0" w:space="0" w:color="auto"/>
                    <w:right w:val="none" w:sz="0" w:space="0" w:color="auto"/>
                  </w:divBdr>
                  <w:divsChild>
                    <w:div w:id="937099716">
                      <w:marLeft w:val="0"/>
                      <w:marRight w:val="0"/>
                      <w:marTop w:val="0"/>
                      <w:marBottom w:val="0"/>
                      <w:divBdr>
                        <w:top w:val="none" w:sz="0" w:space="0" w:color="auto"/>
                        <w:left w:val="none" w:sz="0" w:space="0" w:color="auto"/>
                        <w:bottom w:val="none" w:sz="0" w:space="0" w:color="auto"/>
                        <w:right w:val="none" w:sz="0" w:space="0" w:color="auto"/>
                      </w:divBdr>
                    </w:div>
                  </w:divsChild>
                </w:div>
                <w:div w:id="1191069876">
                  <w:marLeft w:val="0"/>
                  <w:marRight w:val="0"/>
                  <w:marTop w:val="0"/>
                  <w:marBottom w:val="0"/>
                  <w:divBdr>
                    <w:top w:val="none" w:sz="0" w:space="0" w:color="auto"/>
                    <w:left w:val="none" w:sz="0" w:space="0" w:color="auto"/>
                    <w:bottom w:val="none" w:sz="0" w:space="0" w:color="auto"/>
                    <w:right w:val="none" w:sz="0" w:space="0" w:color="auto"/>
                  </w:divBdr>
                  <w:divsChild>
                    <w:div w:id="738402558">
                      <w:marLeft w:val="0"/>
                      <w:marRight w:val="0"/>
                      <w:marTop w:val="0"/>
                      <w:marBottom w:val="0"/>
                      <w:divBdr>
                        <w:top w:val="none" w:sz="0" w:space="0" w:color="auto"/>
                        <w:left w:val="none" w:sz="0" w:space="0" w:color="auto"/>
                        <w:bottom w:val="none" w:sz="0" w:space="0" w:color="auto"/>
                        <w:right w:val="none" w:sz="0" w:space="0" w:color="auto"/>
                      </w:divBdr>
                    </w:div>
                  </w:divsChild>
                </w:div>
                <w:div w:id="1229531251">
                  <w:marLeft w:val="0"/>
                  <w:marRight w:val="0"/>
                  <w:marTop w:val="0"/>
                  <w:marBottom w:val="0"/>
                  <w:divBdr>
                    <w:top w:val="none" w:sz="0" w:space="0" w:color="auto"/>
                    <w:left w:val="none" w:sz="0" w:space="0" w:color="auto"/>
                    <w:bottom w:val="none" w:sz="0" w:space="0" w:color="auto"/>
                    <w:right w:val="none" w:sz="0" w:space="0" w:color="auto"/>
                  </w:divBdr>
                  <w:divsChild>
                    <w:div w:id="828210814">
                      <w:marLeft w:val="0"/>
                      <w:marRight w:val="0"/>
                      <w:marTop w:val="0"/>
                      <w:marBottom w:val="0"/>
                      <w:divBdr>
                        <w:top w:val="none" w:sz="0" w:space="0" w:color="auto"/>
                        <w:left w:val="none" w:sz="0" w:space="0" w:color="auto"/>
                        <w:bottom w:val="none" w:sz="0" w:space="0" w:color="auto"/>
                        <w:right w:val="none" w:sz="0" w:space="0" w:color="auto"/>
                      </w:divBdr>
                    </w:div>
                  </w:divsChild>
                </w:div>
                <w:div w:id="1235319030">
                  <w:marLeft w:val="0"/>
                  <w:marRight w:val="0"/>
                  <w:marTop w:val="0"/>
                  <w:marBottom w:val="0"/>
                  <w:divBdr>
                    <w:top w:val="none" w:sz="0" w:space="0" w:color="auto"/>
                    <w:left w:val="none" w:sz="0" w:space="0" w:color="auto"/>
                    <w:bottom w:val="none" w:sz="0" w:space="0" w:color="auto"/>
                    <w:right w:val="none" w:sz="0" w:space="0" w:color="auto"/>
                  </w:divBdr>
                  <w:divsChild>
                    <w:div w:id="1351100337">
                      <w:marLeft w:val="0"/>
                      <w:marRight w:val="0"/>
                      <w:marTop w:val="0"/>
                      <w:marBottom w:val="0"/>
                      <w:divBdr>
                        <w:top w:val="none" w:sz="0" w:space="0" w:color="auto"/>
                        <w:left w:val="none" w:sz="0" w:space="0" w:color="auto"/>
                        <w:bottom w:val="none" w:sz="0" w:space="0" w:color="auto"/>
                        <w:right w:val="none" w:sz="0" w:space="0" w:color="auto"/>
                      </w:divBdr>
                    </w:div>
                  </w:divsChild>
                </w:div>
                <w:div w:id="1244418277">
                  <w:marLeft w:val="0"/>
                  <w:marRight w:val="0"/>
                  <w:marTop w:val="0"/>
                  <w:marBottom w:val="0"/>
                  <w:divBdr>
                    <w:top w:val="none" w:sz="0" w:space="0" w:color="auto"/>
                    <w:left w:val="none" w:sz="0" w:space="0" w:color="auto"/>
                    <w:bottom w:val="none" w:sz="0" w:space="0" w:color="auto"/>
                    <w:right w:val="none" w:sz="0" w:space="0" w:color="auto"/>
                  </w:divBdr>
                  <w:divsChild>
                    <w:div w:id="1666393286">
                      <w:marLeft w:val="0"/>
                      <w:marRight w:val="0"/>
                      <w:marTop w:val="0"/>
                      <w:marBottom w:val="0"/>
                      <w:divBdr>
                        <w:top w:val="none" w:sz="0" w:space="0" w:color="auto"/>
                        <w:left w:val="none" w:sz="0" w:space="0" w:color="auto"/>
                        <w:bottom w:val="none" w:sz="0" w:space="0" w:color="auto"/>
                        <w:right w:val="none" w:sz="0" w:space="0" w:color="auto"/>
                      </w:divBdr>
                    </w:div>
                  </w:divsChild>
                </w:div>
                <w:div w:id="1288196499">
                  <w:marLeft w:val="0"/>
                  <w:marRight w:val="0"/>
                  <w:marTop w:val="0"/>
                  <w:marBottom w:val="0"/>
                  <w:divBdr>
                    <w:top w:val="none" w:sz="0" w:space="0" w:color="auto"/>
                    <w:left w:val="none" w:sz="0" w:space="0" w:color="auto"/>
                    <w:bottom w:val="none" w:sz="0" w:space="0" w:color="auto"/>
                    <w:right w:val="none" w:sz="0" w:space="0" w:color="auto"/>
                  </w:divBdr>
                  <w:divsChild>
                    <w:div w:id="693962057">
                      <w:marLeft w:val="0"/>
                      <w:marRight w:val="0"/>
                      <w:marTop w:val="0"/>
                      <w:marBottom w:val="0"/>
                      <w:divBdr>
                        <w:top w:val="none" w:sz="0" w:space="0" w:color="auto"/>
                        <w:left w:val="none" w:sz="0" w:space="0" w:color="auto"/>
                        <w:bottom w:val="none" w:sz="0" w:space="0" w:color="auto"/>
                        <w:right w:val="none" w:sz="0" w:space="0" w:color="auto"/>
                      </w:divBdr>
                    </w:div>
                  </w:divsChild>
                </w:div>
                <w:div w:id="1294796795">
                  <w:marLeft w:val="0"/>
                  <w:marRight w:val="0"/>
                  <w:marTop w:val="0"/>
                  <w:marBottom w:val="0"/>
                  <w:divBdr>
                    <w:top w:val="none" w:sz="0" w:space="0" w:color="auto"/>
                    <w:left w:val="none" w:sz="0" w:space="0" w:color="auto"/>
                    <w:bottom w:val="none" w:sz="0" w:space="0" w:color="auto"/>
                    <w:right w:val="none" w:sz="0" w:space="0" w:color="auto"/>
                  </w:divBdr>
                  <w:divsChild>
                    <w:div w:id="1578978361">
                      <w:marLeft w:val="0"/>
                      <w:marRight w:val="0"/>
                      <w:marTop w:val="0"/>
                      <w:marBottom w:val="0"/>
                      <w:divBdr>
                        <w:top w:val="none" w:sz="0" w:space="0" w:color="auto"/>
                        <w:left w:val="none" w:sz="0" w:space="0" w:color="auto"/>
                        <w:bottom w:val="none" w:sz="0" w:space="0" w:color="auto"/>
                        <w:right w:val="none" w:sz="0" w:space="0" w:color="auto"/>
                      </w:divBdr>
                    </w:div>
                  </w:divsChild>
                </w:div>
                <w:div w:id="1311013444">
                  <w:marLeft w:val="0"/>
                  <w:marRight w:val="0"/>
                  <w:marTop w:val="0"/>
                  <w:marBottom w:val="0"/>
                  <w:divBdr>
                    <w:top w:val="none" w:sz="0" w:space="0" w:color="auto"/>
                    <w:left w:val="none" w:sz="0" w:space="0" w:color="auto"/>
                    <w:bottom w:val="none" w:sz="0" w:space="0" w:color="auto"/>
                    <w:right w:val="none" w:sz="0" w:space="0" w:color="auto"/>
                  </w:divBdr>
                  <w:divsChild>
                    <w:div w:id="1327123773">
                      <w:marLeft w:val="0"/>
                      <w:marRight w:val="0"/>
                      <w:marTop w:val="0"/>
                      <w:marBottom w:val="0"/>
                      <w:divBdr>
                        <w:top w:val="none" w:sz="0" w:space="0" w:color="auto"/>
                        <w:left w:val="none" w:sz="0" w:space="0" w:color="auto"/>
                        <w:bottom w:val="none" w:sz="0" w:space="0" w:color="auto"/>
                        <w:right w:val="none" w:sz="0" w:space="0" w:color="auto"/>
                      </w:divBdr>
                    </w:div>
                  </w:divsChild>
                </w:div>
                <w:div w:id="1313218904">
                  <w:marLeft w:val="0"/>
                  <w:marRight w:val="0"/>
                  <w:marTop w:val="0"/>
                  <w:marBottom w:val="0"/>
                  <w:divBdr>
                    <w:top w:val="none" w:sz="0" w:space="0" w:color="auto"/>
                    <w:left w:val="none" w:sz="0" w:space="0" w:color="auto"/>
                    <w:bottom w:val="none" w:sz="0" w:space="0" w:color="auto"/>
                    <w:right w:val="none" w:sz="0" w:space="0" w:color="auto"/>
                  </w:divBdr>
                  <w:divsChild>
                    <w:div w:id="2042706967">
                      <w:marLeft w:val="0"/>
                      <w:marRight w:val="0"/>
                      <w:marTop w:val="0"/>
                      <w:marBottom w:val="0"/>
                      <w:divBdr>
                        <w:top w:val="none" w:sz="0" w:space="0" w:color="auto"/>
                        <w:left w:val="none" w:sz="0" w:space="0" w:color="auto"/>
                        <w:bottom w:val="none" w:sz="0" w:space="0" w:color="auto"/>
                        <w:right w:val="none" w:sz="0" w:space="0" w:color="auto"/>
                      </w:divBdr>
                    </w:div>
                  </w:divsChild>
                </w:div>
                <w:div w:id="1348946268">
                  <w:marLeft w:val="0"/>
                  <w:marRight w:val="0"/>
                  <w:marTop w:val="0"/>
                  <w:marBottom w:val="0"/>
                  <w:divBdr>
                    <w:top w:val="none" w:sz="0" w:space="0" w:color="auto"/>
                    <w:left w:val="none" w:sz="0" w:space="0" w:color="auto"/>
                    <w:bottom w:val="none" w:sz="0" w:space="0" w:color="auto"/>
                    <w:right w:val="none" w:sz="0" w:space="0" w:color="auto"/>
                  </w:divBdr>
                  <w:divsChild>
                    <w:div w:id="427428203">
                      <w:marLeft w:val="0"/>
                      <w:marRight w:val="0"/>
                      <w:marTop w:val="0"/>
                      <w:marBottom w:val="0"/>
                      <w:divBdr>
                        <w:top w:val="none" w:sz="0" w:space="0" w:color="auto"/>
                        <w:left w:val="none" w:sz="0" w:space="0" w:color="auto"/>
                        <w:bottom w:val="none" w:sz="0" w:space="0" w:color="auto"/>
                        <w:right w:val="none" w:sz="0" w:space="0" w:color="auto"/>
                      </w:divBdr>
                    </w:div>
                  </w:divsChild>
                </w:div>
                <w:div w:id="1351831610">
                  <w:marLeft w:val="0"/>
                  <w:marRight w:val="0"/>
                  <w:marTop w:val="0"/>
                  <w:marBottom w:val="0"/>
                  <w:divBdr>
                    <w:top w:val="none" w:sz="0" w:space="0" w:color="auto"/>
                    <w:left w:val="none" w:sz="0" w:space="0" w:color="auto"/>
                    <w:bottom w:val="none" w:sz="0" w:space="0" w:color="auto"/>
                    <w:right w:val="none" w:sz="0" w:space="0" w:color="auto"/>
                  </w:divBdr>
                  <w:divsChild>
                    <w:div w:id="409809989">
                      <w:marLeft w:val="0"/>
                      <w:marRight w:val="0"/>
                      <w:marTop w:val="0"/>
                      <w:marBottom w:val="0"/>
                      <w:divBdr>
                        <w:top w:val="none" w:sz="0" w:space="0" w:color="auto"/>
                        <w:left w:val="none" w:sz="0" w:space="0" w:color="auto"/>
                        <w:bottom w:val="none" w:sz="0" w:space="0" w:color="auto"/>
                        <w:right w:val="none" w:sz="0" w:space="0" w:color="auto"/>
                      </w:divBdr>
                    </w:div>
                  </w:divsChild>
                </w:div>
                <w:div w:id="1361393195">
                  <w:marLeft w:val="0"/>
                  <w:marRight w:val="0"/>
                  <w:marTop w:val="0"/>
                  <w:marBottom w:val="0"/>
                  <w:divBdr>
                    <w:top w:val="none" w:sz="0" w:space="0" w:color="auto"/>
                    <w:left w:val="none" w:sz="0" w:space="0" w:color="auto"/>
                    <w:bottom w:val="none" w:sz="0" w:space="0" w:color="auto"/>
                    <w:right w:val="none" w:sz="0" w:space="0" w:color="auto"/>
                  </w:divBdr>
                  <w:divsChild>
                    <w:div w:id="1612785745">
                      <w:marLeft w:val="0"/>
                      <w:marRight w:val="0"/>
                      <w:marTop w:val="0"/>
                      <w:marBottom w:val="0"/>
                      <w:divBdr>
                        <w:top w:val="none" w:sz="0" w:space="0" w:color="auto"/>
                        <w:left w:val="none" w:sz="0" w:space="0" w:color="auto"/>
                        <w:bottom w:val="none" w:sz="0" w:space="0" w:color="auto"/>
                        <w:right w:val="none" w:sz="0" w:space="0" w:color="auto"/>
                      </w:divBdr>
                    </w:div>
                  </w:divsChild>
                </w:div>
                <w:div w:id="1368607846">
                  <w:marLeft w:val="0"/>
                  <w:marRight w:val="0"/>
                  <w:marTop w:val="0"/>
                  <w:marBottom w:val="0"/>
                  <w:divBdr>
                    <w:top w:val="none" w:sz="0" w:space="0" w:color="auto"/>
                    <w:left w:val="none" w:sz="0" w:space="0" w:color="auto"/>
                    <w:bottom w:val="none" w:sz="0" w:space="0" w:color="auto"/>
                    <w:right w:val="none" w:sz="0" w:space="0" w:color="auto"/>
                  </w:divBdr>
                  <w:divsChild>
                    <w:div w:id="1594975091">
                      <w:marLeft w:val="0"/>
                      <w:marRight w:val="0"/>
                      <w:marTop w:val="0"/>
                      <w:marBottom w:val="0"/>
                      <w:divBdr>
                        <w:top w:val="none" w:sz="0" w:space="0" w:color="auto"/>
                        <w:left w:val="none" w:sz="0" w:space="0" w:color="auto"/>
                        <w:bottom w:val="none" w:sz="0" w:space="0" w:color="auto"/>
                        <w:right w:val="none" w:sz="0" w:space="0" w:color="auto"/>
                      </w:divBdr>
                    </w:div>
                  </w:divsChild>
                </w:div>
                <w:div w:id="1368990838">
                  <w:marLeft w:val="0"/>
                  <w:marRight w:val="0"/>
                  <w:marTop w:val="0"/>
                  <w:marBottom w:val="0"/>
                  <w:divBdr>
                    <w:top w:val="none" w:sz="0" w:space="0" w:color="auto"/>
                    <w:left w:val="none" w:sz="0" w:space="0" w:color="auto"/>
                    <w:bottom w:val="none" w:sz="0" w:space="0" w:color="auto"/>
                    <w:right w:val="none" w:sz="0" w:space="0" w:color="auto"/>
                  </w:divBdr>
                  <w:divsChild>
                    <w:div w:id="741412010">
                      <w:marLeft w:val="0"/>
                      <w:marRight w:val="0"/>
                      <w:marTop w:val="0"/>
                      <w:marBottom w:val="0"/>
                      <w:divBdr>
                        <w:top w:val="none" w:sz="0" w:space="0" w:color="auto"/>
                        <w:left w:val="none" w:sz="0" w:space="0" w:color="auto"/>
                        <w:bottom w:val="none" w:sz="0" w:space="0" w:color="auto"/>
                        <w:right w:val="none" w:sz="0" w:space="0" w:color="auto"/>
                      </w:divBdr>
                    </w:div>
                  </w:divsChild>
                </w:div>
                <w:div w:id="1400786071">
                  <w:marLeft w:val="0"/>
                  <w:marRight w:val="0"/>
                  <w:marTop w:val="0"/>
                  <w:marBottom w:val="0"/>
                  <w:divBdr>
                    <w:top w:val="none" w:sz="0" w:space="0" w:color="auto"/>
                    <w:left w:val="none" w:sz="0" w:space="0" w:color="auto"/>
                    <w:bottom w:val="none" w:sz="0" w:space="0" w:color="auto"/>
                    <w:right w:val="none" w:sz="0" w:space="0" w:color="auto"/>
                  </w:divBdr>
                  <w:divsChild>
                    <w:div w:id="456678815">
                      <w:marLeft w:val="0"/>
                      <w:marRight w:val="0"/>
                      <w:marTop w:val="0"/>
                      <w:marBottom w:val="0"/>
                      <w:divBdr>
                        <w:top w:val="none" w:sz="0" w:space="0" w:color="auto"/>
                        <w:left w:val="none" w:sz="0" w:space="0" w:color="auto"/>
                        <w:bottom w:val="none" w:sz="0" w:space="0" w:color="auto"/>
                        <w:right w:val="none" w:sz="0" w:space="0" w:color="auto"/>
                      </w:divBdr>
                    </w:div>
                  </w:divsChild>
                </w:div>
                <w:div w:id="1427767689">
                  <w:marLeft w:val="0"/>
                  <w:marRight w:val="0"/>
                  <w:marTop w:val="0"/>
                  <w:marBottom w:val="0"/>
                  <w:divBdr>
                    <w:top w:val="none" w:sz="0" w:space="0" w:color="auto"/>
                    <w:left w:val="none" w:sz="0" w:space="0" w:color="auto"/>
                    <w:bottom w:val="none" w:sz="0" w:space="0" w:color="auto"/>
                    <w:right w:val="none" w:sz="0" w:space="0" w:color="auto"/>
                  </w:divBdr>
                  <w:divsChild>
                    <w:div w:id="1742556461">
                      <w:marLeft w:val="0"/>
                      <w:marRight w:val="0"/>
                      <w:marTop w:val="0"/>
                      <w:marBottom w:val="0"/>
                      <w:divBdr>
                        <w:top w:val="none" w:sz="0" w:space="0" w:color="auto"/>
                        <w:left w:val="none" w:sz="0" w:space="0" w:color="auto"/>
                        <w:bottom w:val="none" w:sz="0" w:space="0" w:color="auto"/>
                        <w:right w:val="none" w:sz="0" w:space="0" w:color="auto"/>
                      </w:divBdr>
                    </w:div>
                  </w:divsChild>
                </w:div>
                <w:div w:id="1487741453">
                  <w:marLeft w:val="0"/>
                  <w:marRight w:val="0"/>
                  <w:marTop w:val="0"/>
                  <w:marBottom w:val="0"/>
                  <w:divBdr>
                    <w:top w:val="none" w:sz="0" w:space="0" w:color="auto"/>
                    <w:left w:val="none" w:sz="0" w:space="0" w:color="auto"/>
                    <w:bottom w:val="none" w:sz="0" w:space="0" w:color="auto"/>
                    <w:right w:val="none" w:sz="0" w:space="0" w:color="auto"/>
                  </w:divBdr>
                  <w:divsChild>
                    <w:div w:id="1802378524">
                      <w:marLeft w:val="0"/>
                      <w:marRight w:val="0"/>
                      <w:marTop w:val="0"/>
                      <w:marBottom w:val="0"/>
                      <w:divBdr>
                        <w:top w:val="none" w:sz="0" w:space="0" w:color="auto"/>
                        <w:left w:val="none" w:sz="0" w:space="0" w:color="auto"/>
                        <w:bottom w:val="none" w:sz="0" w:space="0" w:color="auto"/>
                        <w:right w:val="none" w:sz="0" w:space="0" w:color="auto"/>
                      </w:divBdr>
                    </w:div>
                  </w:divsChild>
                </w:div>
                <w:div w:id="1503272738">
                  <w:marLeft w:val="0"/>
                  <w:marRight w:val="0"/>
                  <w:marTop w:val="0"/>
                  <w:marBottom w:val="0"/>
                  <w:divBdr>
                    <w:top w:val="none" w:sz="0" w:space="0" w:color="auto"/>
                    <w:left w:val="none" w:sz="0" w:space="0" w:color="auto"/>
                    <w:bottom w:val="none" w:sz="0" w:space="0" w:color="auto"/>
                    <w:right w:val="none" w:sz="0" w:space="0" w:color="auto"/>
                  </w:divBdr>
                  <w:divsChild>
                    <w:div w:id="146553766">
                      <w:marLeft w:val="0"/>
                      <w:marRight w:val="0"/>
                      <w:marTop w:val="0"/>
                      <w:marBottom w:val="0"/>
                      <w:divBdr>
                        <w:top w:val="none" w:sz="0" w:space="0" w:color="auto"/>
                        <w:left w:val="none" w:sz="0" w:space="0" w:color="auto"/>
                        <w:bottom w:val="none" w:sz="0" w:space="0" w:color="auto"/>
                        <w:right w:val="none" w:sz="0" w:space="0" w:color="auto"/>
                      </w:divBdr>
                    </w:div>
                  </w:divsChild>
                </w:div>
                <w:div w:id="1536120537">
                  <w:marLeft w:val="0"/>
                  <w:marRight w:val="0"/>
                  <w:marTop w:val="0"/>
                  <w:marBottom w:val="0"/>
                  <w:divBdr>
                    <w:top w:val="none" w:sz="0" w:space="0" w:color="auto"/>
                    <w:left w:val="none" w:sz="0" w:space="0" w:color="auto"/>
                    <w:bottom w:val="none" w:sz="0" w:space="0" w:color="auto"/>
                    <w:right w:val="none" w:sz="0" w:space="0" w:color="auto"/>
                  </w:divBdr>
                  <w:divsChild>
                    <w:div w:id="610627224">
                      <w:marLeft w:val="0"/>
                      <w:marRight w:val="0"/>
                      <w:marTop w:val="0"/>
                      <w:marBottom w:val="0"/>
                      <w:divBdr>
                        <w:top w:val="none" w:sz="0" w:space="0" w:color="auto"/>
                        <w:left w:val="none" w:sz="0" w:space="0" w:color="auto"/>
                        <w:bottom w:val="none" w:sz="0" w:space="0" w:color="auto"/>
                        <w:right w:val="none" w:sz="0" w:space="0" w:color="auto"/>
                      </w:divBdr>
                    </w:div>
                  </w:divsChild>
                </w:div>
                <w:div w:id="1536388754">
                  <w:marLeft w:val="0"/>
                  <w:marRight w:val="0"/>
                  <w:marTop w:val="0"/>
                  <w:marBottom w:val="0"/>
                  <w:divBdr>
                    <w:top w:val="none" w:sz="0" w:space="0" w:color="auto"/>
                    <w:left w:val="none" w:sz="0" w:space="0" w:color="auto"/>
                    <w:bottom w:val="none" w:sz="0" w:space="0" w:color="auto"/>
                    <w:right w:val="none" w:sz="0" w:space="0" w:color="auto"/>
                  </w:divBdr>
                  <w:divsChild>
                    <w:div w:id="2071881831">
                      <w:marLeft w:val="0"/>
                      <w:marRight w:val="0"/>
                      <w:marTop w:val="0"/>
                      <w:marBottom w:val="0"/>
                      <w:divBdr>
                        <w:top w:val="none" w:sz="0" w:space="0" w:color="auto"/>
                        <w:left w:val="none" w:sz="0" w:space="0" w:color="auto"/>
                        <w:bottom w:val="none" w:sz="0" w:space="0" w:color="auto"/>
                        <w:right w:val="none" w:sz="0" w:space="0" w:color="auto"/>
                      </w:divBdr>
                    </w:div>
                  </w:divsChild>
                </w:div>
                <w:div w:id="1563448428">
                  <w:marLeft w:val="0"/>
                  <w:marRight w:val="0"/>
                  <w:marTop w:val="0"/>
                  <w:marBottom w:val="0"/>
                  <w:divBdr>
                    <w:top w:val="none" w:sz="0" w:space="0" w:color="auto"/>
                    <w:left w:val="none" w:sz="0" w:space="0" w:color="auto"/>
                    <w:bottom w:val="none" w:sz="0" w:space="0" w:color="auto"/>
                    <w:right w:val="none" w:sz="0" w:space="0" w:color="auto"/>
                  </w:divBdr>
                  <w:divsChild>
                    <w:div w:id="596643920">
                      <w:marLeft w:val="0"/>
                      <w:marRight w:val="0"/>
                      <w:marTop w:val="0"/>
                      <w:marBottom w:val="0"/>
                      <w:divBdr>
                        <w:top w:val="none" w:sz="0" w:space="0" w:color="auto"/>
                        <w:left w:val="none" w:sz="0" w:space="0" w:color="auto"/>
                        <w:bottom w:val="none" w:sz="0" w:space="0" w:color="auto"/>
                        <w:right w:val="none" w:sz="0" w:space="0" w:color="auto"/>
                      </w:divBdr>
                    </w:div>
                  </w:divsChild>
                </w:div>
                <w:div w:id="1582912573">
                  <w:marLeft w:val="0"/>
                  <w:marRight w:val="0"/>
                  <w:marTop w:val="0"/>
                  <w:marBottom w:val="0"/>
                  <w:divBdr>
                    <w:top w:val="none" w:sz="0" w:space="0" w:color="auto"/>
                    <w:left w:val="none" w:sz="0" w:space="0" w:color="auto"/>
                    <w:bottom w:val="none" w:sz="0" w:space="0" w:color="auto"/>
                    <w:right w:val="none" w:sz="0" w:space="0" w:color="auto"/>
                  </w:divBdr>
                  <w:divsChild>
                    <w:div w:id="1262185108">
                      <w:marLeft w:val="0"/>
                      <w:marRight w:val="0"/>
                      <w:marTop w:val="0"/>
                      <w:marBottom w:val="0"/>
                      <w:divBdr>
                        <w:top w:val="none" w:sz="0" w:space="0" w:color="auto"/>
                        <w:left w:val="none" w:sz="0" w:space="0" w:color="auto"/>
                        <w:bottom w:val="none" w:sz="0" w:space="0" w:color="auto"/>
                        <w:right w:val="none" w:sz="0" w:space="0" w:color="auto"/>
                      </w:divBdr>
                    </w:div>
                  </w:divsChild>
                </w:div>
                <w:div w:id="1606569726">
                  <w:marLeft w:val="0"/>
                  <w:marRight w:val="0"/>
                  <w:marTop w:val="0"/>
                  <w:marBottom w:val="0"/>
                  <w:divBdr>
                    <w:top w:val="none" w:sz="0" w:space="0" w:color="auto"/>
                    <w:left w:val="none" w:sz="0" w:space="0" w:color="auto"/>
                    <w:bottom w:val="none" w:sz="0" w:space="0" w:color="auto"/>
                    <w:right w:val="none" w:sz="0" w:space="0" w:color="auto"/>
                  </w:divBdr>
                  <w:divsChild>
                    <w:div w:id="481893637">
                      <w:marLeft w:val="0"/>
                      <w:marRight w:val="0"/>
                      <w:marTop w:val="0"/>
                      <w:marBottom w:val="0"/>
                      <w:divBdr>
                        <w:top w:val="none" w:sz="0" w:space="0" w:color="auto"/>
                        <w:left w:val="none" w:sz="0" w:space="0" w:color="auto"/>
                        <w:bottom w:val="none" w:sz="0" w:space="0" w:color="auto"/>
                        <w:right w:val="none" w:sz="0" w:space="0" w:color="auto"/>
                      </w:divBdr>
                    </w:div>
                  </w:divsChild>
                </w:div>
                <w:div w:id="1637025345">
                  <w:marLeft w:val="0"/>
                  <w:marRight w:val="0"/>
                  <w:marTop w:val="0"/>
                  <w:marBottom w:val="0"/>
                  <w:divBdr>
                    <w:top w:val="none" w:sz="0" w:space="0" w:color="auto"/>
                    <w:left w:val="none" w:sz="0" w:space="0" w:color="auto"/>
                    <w:bottom w:val="none" w:sz="0" w:space="0" w:color="auto"/>
                    <w:right w:val="none" w:sz="0" w:space="0" w:color="auto"/>
                  </w:divBdr>
                  <w:divsChild>
                    <w:div w:id="657148025">
                      <w:marLeft w:val="0"/>
                      <w:marRight w:val="0"/>
                      <w:marTop w:val="0"/>
                      <w:marBottom w:val="0"/>
                      <w:divBdr>
                        <w:top w:val="none" w:sz="0" w:space="0" w:color="auto"/>
                        <w:left w:val="none" w:sz="0" w:space="0" w:color="auto"/>
                        <w:bottom w:val="none" w:sz="0" w:space="0" w:color="auto"/>
                        <w:right w:val="none" w:sz="0" w:space="0" w:color="auto"/>
                      </w:divBdr>
                    </w:div>
                  </w:divsChild>
                </w:div>
                <w:div w:id="1642152985">
                  <w:marLeft w:val="0"/>
                  <w:marRight w:val="0"/>
                  <w:marTop w:val="0"/>
                  <w:marBottom w:val="0"/>
                  <w:divBdr>
                    <w:top w:val="none" w:sz="0" w:space="0" w:color="auto"/>
                    <w:left w:val="none" w:sz="0" w:space="0" w:color="auto"/>
                    <w:bottom w:val="none" w:sz="0" w:space="0" w:color="auto"/>
                    <w:right w:val="none" w:sz="0" w:space="0" w:color="auto"/>
                  </w:divBdr>
                  <w:divsChild>
                    <w:div w:id="1439788793">
                      <w:marLeft w:val="0"/>
                      <w:marRight w:val="0"/>
                      <w:marTop w:val="0"/>
                      <w:marBottom w:val="0"/>
                      <w:divBdr>
                        <w:top w:val="none" w:sz="0" w:space="0" w:color="auto"/>
                        <w:left w:val="none" w:sz="0" w:space="0" w:color="auto"/>
                        <w:bottom w:val="none" w:sz="0" w:space="0" w:color="auto"/>
                        <w:right w:val="none" w:sz="0" w:space="0" w:color="auto"/>
                      </w:divBdr>
                    </w:div>
                  </w:divsChild>
                </w:div>
                <w:div w:id="1683822060">
                  <w:marLeft w:val="0"/>
                  <w:marRight w:val="0"/>
                  <w:marTop w:val="0"/>
                  <w:marBottom w:val="0"/>
                  <w:divBdr>
                    <w:top w:val="none" w:sz="0" w:space="0" w:color="auto"/>
                    <w:left w:val="none" w:sz="0" w:space="0" w:color="auto"/>
                    <w:bottom w:val="none" w:sz="0" w:space="0" w:color="auto"/>
                    <w:right w:val="none" w:sz="0" w:space="0" w:color="auto"/>
                  </w:divBdr>
                  <w:divsChild>
                    <w:div w:id="2100325069">
                      <w:marLeft w:val="0"/>
                      <w:marRight w:val="0"/>
                      <w:marTop w:val="0"/>
                      <w:marBottom w:val="0"/>
                      <w:divBdr>
                        <w:top w:val="none" w:sz="0" w:space="0" w:color="auto"/>
                        <w:left w:val="none" w:sz="0" w:space="0" w:color="auto"/>
                        <w:bottom w:val="none" w:sz="0" w:space="0" w:color="auto"/>
                        <w:right w:val="none" w:sz="0" w:space="0" w:color="auto"/>
                      </w:divBdr>
                    </w:div>
                  </w:divsChild>
                </w:div>
                <w:div w:id="1683825442">
                  <w:marLeft w:val="0"/>
                  <w:marRight w:val="0"/>
                  <w:marTop w:val="0"/>
                  <w:marBottom w:val="0"/>
                  <w:divBdr>
                    <w:top w:val="none" w:sz="0" w:space="0" w:color="auto"/>
                    <w:left w:val="none" w:sz="0" w:space="0" w:color="auto"/>
                    <w:bottom w:val="none" w:sz="0" w:space="0" w:color="auto"/>
                    <w:right w:val="none" w:sz="0" w:space="0" w:color="auto"/>
                  </w:divBdr>
                  <w:divsChild>
                    <w:div w:id="1593391117">
                      <w:marLeft w:val="0"/>
                      <w:marRight w:val="0"/>
                      <w:marTop w:val="0"/>
                      <w:marBottom w:val="0"/>
                      <w:divBdr>
                        <w:top w:val="none" w:sz="0" w:space="0" w:color="auto"/>
                        <w:left w:val="none" w:sz="0" w:space="0" w:color="auto"/>
                        <w:bottom w:val="none" w:sz="0" w:space="0" w:color="auto"/>
                        <w:right w:val="none" w:sz="0" w:space="0" w:color="auto"/>
                      </w:divBdr>
                    </w:div>
                  </w:divsChild>
                </w:div>
                <w:div w:id="1698433989">
                  <w:marLeft w:val="0"/>
                  <w:marRight w:val="0"/>
                  <w:marTop w:val="0"/>
                  <w:marBottom w:val="0"/>
                  <w:divBdr>
                    <w:top w:val="none" w:sz="0" w:space="0" w:color="auto"/>
                    <w:left w:val="none" w:sz="0" w:space="0" w:color="auto"/>
                    <w:bottom w:val="none" w:sz="0" w:space="0" w:color="auto"/>
                    <w:right w:val="none" w:sz="0" w:space="0" w:color="auto"/>
                  </w:divBdr>
                  <w:divsChild>
                    <w:div w:id="1771581716">
                      <w:marLeft w:val="0"/>
                      <w:marRight w:val="0"/>
                      <w:marTop w:val="0"/>
                      <w:marBottom w:val="0"/>
                      <w:divBdr>
                        <w:top w:val="none" w:sz="0" w:space="0" w:color="auto"/>
                        <w:left w:val="none" w:sz="0" w:space="0" w:color="auto"/>
                        <w:bottom w:val="none" w:sz="0" w:space="0" w:color="auto"/>
                        <w:right w:val="none" w:sz="0" w:space="0" w:color="auto"/>
                      </w:divBdr>
                    </w:div>
                  </w:divsChild>
                </w:div>
                <w:div w:id="1701395595">
                  <w:marLeft w:val="0"/>
                  <w:marRight w:val="0"/>
                  <w:marTop w:val="0"/>
                  <w:marBottom w:val="0"/>
                  <w:divBdr>
                    <w:top w:val="none" w:sz="0" w:space="0" w:color="auto"/>
                    <w:left w:val="none" w:sz="0" w:space="0" w:color="auto"/>
                    <w:bottom w:val="none" w:sz="0" w:space="0" w:color="auto"/>
                    <w:right w:val="none" w:sz="0" w:space="0" w:color="auto"/>
                  </w:divBdr>
                  <w:divsChild>
                    <w:div w:id="1272204493">
                      <w:marLeft w:val="0"/>
                      <w:marRight w:val="0"/>
                      <w:marTop w:val="0"/>
                      <w:marBottom w:val="0"/>
                      <w:divBdr>
                        <w:top w:val="none" w:sz="0" w:space="0" w:color="auto"/>
                        <w:left w:val="none" w:sz="0" w:space="0" w:color="auto"/>
                        <w:bottom w:val="none" w:sz="0" w:space="0" w:color="auto"/>
                        <w:right w:val="none" w:sz="0" w:space="0" w:color="auto"/>
                      </w:divBdr>
                    </w:div>
                  </w:divsChild>
                </w:div>
                <w:div w:id="1724328842">
                  <w:marLeft w:val="0"/>
                  <w:marRight w:val="0"/>
                  <w:marTop w:val="0"/>
                  <w:marBottom w:val="0"/>
                  <w:divBdr>
                    <w:top w:val="none" w:sz="0" w:space="0" w:color="auto"/>
                    <w:left w:val="none" w:sz="0" w:space="0" w:color="auto"/>
                    <w:bottom w:val="none" w:sz="0" w:space="0" w:color="auto"/>
                    <w:right w:val="none" w:sz="0" w:space="0" w:color="auto"/>
                  </w:divBdr>
                  <w:divsChild>
                    <w:div w:id="149903906">
                      <w:marLeft w:val="0"/>
                      <w:marRight w:val="0"/>
                      <w:marTop w:val="0"/>
                      <w:marBottom w:val="0"/>
                      <w:divBdr>
                        <w:top w:val="none" w:sz="0" w:space="0" w:color="auto"/>
                        <w:left w:val="none" w:sz="0" w:space="0" w:color="auto"/>
                        <w:bottom w:val="none" w:sz="0" w:space="0" w:color="auto"/>
                        <w:right w:val="none" w:sz="0" w:space="0" w:color="auto"/>
                      </w:divBdr>
                    </w:div>
                  </w:divsChild>
                </w:div>
                <w:div w:id="1740900772">
                  <w:marLeft w:val="0"/>
                  <w:marRight w:val="0"/>
                  <w:marTop w:val="0"/>
                  <w:marBottom w:val="0"/>
                  <w:divBdr>
                    <w:top w:val="none" w:sz="0" w:space="0" w:color="auto"/>
                    <w:left w:val="none" w:sz="0" w:space="0" w:color="auto"/>
                    <w:bottom w:val="none" w:sz="0" w:space="0" w:color="auto"/>
                    <w:right w:val="none" w:sz="0" w:space="0" w:color="auto"/>
                  </w:divBdr>
                  <w:divsChild>
                    <w:div w:id="1462109991">
                      <w:marLeft w:val="0"/>
                      <w:marRight w:val="0"/>
                      <w:marTop w:val="0"/>
                      <w:marBottom w:val="0"/>
                      <w:divBdr>
                        <w:top w:val="none" w:sz="0" w:space="0" w:color="auto"/>
                        <w:left w:val="none" w:sz="0" w:space="0" w:color="auto"/>
                        <w:bottom w:val="none" w:sz="0" w:space="0" w:color="auto"/>
                        <w:right w:val="none" w:sz="0" w:space="0" w:color="auto"/>
                      </w:divBdr>
                    </w:div>
                  </w:divsChild>
                </w:div>
                <w:div w:id="1755709976">
                  <w:marLeft w:val="0"/>
                  <w:marRight w:val="0"/>
                  <w:marTop w:val="0"/>
                  <w:marBottom w:val="0"/>
                  <w:divBdr>
                    <w:top w:val="none" w:sz="0" w:space="0" w:color="auto"/>
                    <w:left w:val="none" w:sz="0" w:space="0" w:color="auto"/>
                    <w:bottom w:val="none" w:sz="0" w:space="0" w:color="auto"/>
                    <w:right w:val="none" w:sz="0" w:space="0" w:color="auto"/>
                  </w:divBdr>
                  <w:divsChild>
                    <w:div w:id="562834241">
                      <w:marLeft w:val="0"/>
                      <w:marRight w:val="0"/>
                      <w:marTop w:val="0"/>
                      <w:marBottom w:val="0"/>
                      <w:divBdr>
                        <w:top w:val="none" w:sz="0" w:space="0" w:color="auto"/>
                        <w:left w:val="none" w:sz="0" w:space="0" w:color="auto"/>
                        <w:bottom w:val="none" w:sz="0" w:space="0" w:color="auto"/>
                        <w:right w:val="none" w:sz="0" w:space="0" w:color="auto"/>
                      </w:divBdr>
                    </w:div>
                  </w:divsChild>
                </w:div>
                <w:div w:id="1773548882">
                  <w:marLeft w:val="0"/>
                  <w:marRight w:val="0"/>
                  <w:marTop w:val="0"/>
                  <w:marBottom w:val="0"/>
                  <w:divBdr>
                    <w:top w:val="none" w:sz="0" w:space="0" w:color="auto"/>
                    <w:left w:val="none" w:sz="0" w:space="0" w:color="auto"/>
                    <w:bottom w:val="none" w:sz="0" w:space="0" w:color="auto"/>
                    <w:right w:val="none" w:sz="0" w:space="0" w:color="auto"/>
                  </w:divBdr>
                  <w:divsChild>
                    <w:div w:id="95757287">
                      <w:marLeft w:val="0"/>
                      <w:marRight w:val="0"/>
                      <w:marTop w:val="0"/>
                      <w:marBottom w:val="0"/>
                      <w:divBdr>
                        <w:top w:val="none" w:sz="0" w:space="0" w:color="auto"/>
                        <w:left w:val="none" w:sz="0" w:space="0" w:color="auto"/>
                        <w:bottom w:val="none" w:sz="0" w:space="0" w:color="auto"/>
                        <w:right w:val="none" w:sz="0" w:space="0" w:color="auto"/>
                      </w:divBdr>
                    </w:div>
                  </w:divsChild>
                </w:div>
                <w:div w:id="1794057833">
                  <w:marLeft w:val="0"/>
                  <w:marRight w:val="0"/>
                  <w:marTop w:val="0"/>
                  <w:marBottom w:val="0"/>
                  <w:divBdr>
                    <w:top w:val="none" w:sz="0" w:space="0" w:color="auto"/>
                    <w:left w:val="none" w:sz="0" w:space="0" w:color="auto"/>
                    <w:bottom w:val="none" w:sz="0" w:space="0" w:color="auto"/>
                    <w:right w:val="none" w:sz="0" w:space="0" w:color="auto"/>
                  </w:divBdr>
                  <w:divsChild>
                    <w:div w:id="132213410">
                      <w:marLeft w:val="0"/>
                      <w:marRight w:val="0"/>
                      <w:marTop w:val="0"/>
                      <w:marBottom w:val="0"/>
                      <w:divBdr>
                        <w:top w:val="none" w:sz="0" w:space="0" w:color="auto"/>
                        <w:left w:val="none" w:sz="0" w:space="0" w:color="auto"/>
                        <w:bottom w:val="none" w:sz="0" w:space="0" w:color="auto"/>
                        <w:right w:val="none" w:sz="0" w:space="0" w:color="auto"/>
                      </w:divBdr>
                    </w:div>
                  </w:divsChild>
                </w:div>
                <w:div w:id="1819371583">
                  <w:marLeft w:val="0"/>
                  <w:marRight w:val="0"/>
                  <w:marTop w:val="0"/>
                  <w:marBottom w:val="0"/>
                  <w:divBdr>
                    <w:top w:val="none" w:sz="0" w:space="0" w:color="auto"/>
                    <w:left w:val="none" w:sz="0" w:space="0" w:color="auto"/>
                    <w:bottom w:val="none" w:sz="0" w:space="0" w:color="auto"/>
                    <w:right w:val="none" w:sz="0" w:space="0" w:color="auto"/>
                  </w:divBdr>
                  <w:divsChild>
                    <w:div w:id="1895726989">
                      <w:marLeft w:val="0"/>
                      <w:marRight w:val="0"/>
                      <w:marTop w:val="0"/>
                      <w:marBottom w:val="0"/>
                      <w:divBdr>
                        <w:top w:val="none" w:sz="0" w:space="0" w:color="auto"/>
                        <w:left w:val="none" w:sz="0" w:space="0" w:color="auto"/>
                        <w:bottom w:val="none" w:sz="0" w:space="0" w:color="auto"/>
                        <w:right w:val="none" w:sz="0" w:space="0" w:color="auto"/>
                      </w:divBdr>
                    </w:div>
                  </w:divsChild>
                </w:div>
                <w:div w:id="1823889597">
                  <w:marLeft w:val="0"/>
                  <w:marRight w:val="0"/>
                  <w:marTop w:val="0"/>
                  <w:marBottom w:val="0"/>
                  <w:divBdr>
                    <w:top w:val="none" w:sz="0" w:space="0" w:color="auto"/>
                    <w:left w:val="none" w:sz="0" w:space="0" w:color="auto"/>
                    <w:bottom w:val="none" w:sz="0" w:space="0" w:color="auto"/>
                    <w:right w:val="none" w:sz="0" w:space="0" w:color="auto"/>
                  </w:divBdr>
                  <w:divsChild>
                    <w:div w:id="1867988645">
                      <w:marLeft w:val="0"/>
                      <w:marRight w:val="0"/>
                      <w:marTop w:val="0"/>
                      <w:marBottom w:val="0"/>
                      <w:divBdr>
                        <w:top w:val="none" w:sz="0" w:space="0" w:color="auto"/>
                        <w:left w:val="none" w:sz="0" w:space="0" w:color="auto"/>
                        <w:bottom w:val="none" w:sz="0" w:space="0" w:color="auto"/>
                        <w:right w:val="none" w:sz="0" w:space="0" w:color="auto"/>
                      </w:divBdr>
                    </w:div>
                  </w:divsChild>
                </w:div>
                <w:div w:id="1844011313">
                  <w:marLeft w:val="0"/>
                  <w:marRight w:val="0"/>
                  <w:marTop w:val="0"/>
                  <w:marBottom w:val="0"/>
                  <w:divBdr>
                    <w:top w:val="none" w:sz="0" w:space="0" w:color="auto"/>
                    <w:left w:val="none" w:sz="0" w:space="0" w:color="auto"/>
                    <w:bottom w:val="none" w:sz="0" w:space="0" w:color="auto"/>
                    <w:right w:val="none" w:sz="0" w:space="0" w:color="auto"/>
                  </w:divBdr>
                  <w:divsChild>
                    <w:div w:id="16320482">
                      <w:marLeft w:val="0"/>
                      <w:marRight w:val="0"/>
                      <w:marTop w:val="0"/>
                      <w:marBottom w:val="0"/>
                      <w:divBdr>
                        <w:top w:val="none" w:sz="0" w:space="0" w:color="auto"/>
                        <w:left w:val="none" w:sz="0" w:space="0" w:color="auto"/>
                        <w:bottom w:val="none" w:sz="0" w:space="0" w:color="auto"/>
                        <w:right w:val="none" w:sz="0" w:space="0" w:color="auto"/>
                      </w:divBdr>
                    </w:div>
                  </w:divsChild>
                </w:div>
                <w:div w:id="1900896740">
                  <w:marLeft w:val="0"/>
                  <w:marRight w:val="0"/>
                  <w:marTop w:val="0"/>
                  <w:marBottom w:val="0"/>
                  <w:divBdr>
                    <w:top w:val="none" w:sz="0" w:space="0" w:color="auto"/>
                    <w:left w:val="none" w:sz="0" w:space="0" w:color="auto"/>
                    <w:bottom w:val="none" w:sz="0" w:space="0" w:color="auto"/>
                    <w:right w:val="none" w:sz="0" w:space="0" w:color="auto"/>
                  </w:divBdr>
                  <w:divsChild>
                    <w:div w:id="2116823403">
                      <w:marLeft w:val="0"/>
                      <w:marRight w:val="0"/>
                      <w:marTop w:val="0"/>
                      <w:marBottom w:val="0"/>
                      <w:divBdr>
                        <w:top w:val="none" w:sz="0" w:space="0" w:color="auto"/>
                        <w:left w:val="none" w:sz="0" w:space="0" w:color="auto"/>
                        <w:bottom w:val="none" w:sz="0" w:space="0" w:color="auto"/>
                        <w:right w:val="none" w:sz="0" w:space="0" w:color="auto"/>
                      </w:divBdr>
                    </w:div>
                  </w:divsChild>
                </w:div>
                <w:div w:id="1953392834">
                  <w:marLeft w:val="0"/>
                  <w:marRight w:val="0"/>
                  <w:marTop w:val="0"/>
                  <w:marBottom w:val="0"/>
                  <w:divBdr>
                    <w:top w:val="none" w:sz="0" w:space="0" w:color="auto"/>
                    <w:left w:val="none" w:sz="0" w:space="0" w:color="auto"/>
                    <w:bottom w:val="none" w:sz="0" w:space="0" w:color="auto"/>
                    <w:right w:val="none" w:sz="0" w:space="0" w:color="auto"/>
                  </w:divBdr>
                  <w:divsChild>
                    <w:div w:id="1921059964">
                      <w:marLeft w:val="0"/>
                      <w:marRight w:val="0"/>
                      <w:marTop w:val="0"/>
                      <w:marBottom w:val="0"/>
                      <w:divBdr>
                        <w:top w:val="none" w:sz="0" w:space="0" w:color="auto"/>
                        <w:left w:val="none" w:sz="0" w:space="0" w:color="auto"/>
                        <w:bottom w:val="none" w:sz="0" w:space="0" w:color="auto"/>
                        <w:right w:val="none" w:sz="0" w:space="0" w:color="auto"/>
                      </w:divBdr>
                    </w:div>
                  </w:divsChild>
                </w:div>
                <w:div w:id="1953901584">
                  <w:marLeft w:val="0"/>
                  <w:marRight w:val="0"/>
                  <w:marTop w:val="0"/>
                  <w:marBottom w:val="0"/>
                  <w:divBdr>
                    <w:top w:val="none" w:sz="0" w:space="0" w:color="auto"/>
                    <w:left w:val="none" w:sz="0" w:space="0" w:color="auto"/>
                    <w:bottom w:val="none" w:sz="0" w:space="0" w:color="auto"/>
                    <w:right w:val="none" w:sz="0" w:space="0" w:color="auto"/>
                  </w:divBdr>
                  <w:divsChild>
                    <w:div w:id="3898837">
                      <w:marLeft w:val="0"/>
                      <w:marRight w:val="0"/>
                      <w:marTop w:val="0"/>
                      <w:marBottom w:val="0"/>
                      <w:divBdr>
                        <w:top w:val="none" w:sz="0" w:space="0" w:color="auto"/>
                        <w:left w:val="none" w:sz="0" w:space="0" w:color="auto"/>
                        <w:bottom w:val="none" w:sz="0" w:space="0" w:color="auto"/>
                        <w:right w:val="none" w:sz="0" w:space="0" w:color="auto"/>
                      </w:divBdr>
                    </w:div>
                  </w:divsChild>
                </w:div>
                <w:div w:id="1956476184">
                  <w:marLeft w:val="0"/>
                  <w:marRight w:val="0"/>
                  <w:marTop w:val="0"/>
                  <w:marBottom w:val="0"/>
                  <w:divBdr>
                    <w:top w:val="none" w:sz="0" w:space="0" w:color="auto"/>
                    <w:left w:val="none" w:sz="0" w:space="0" w:color="auto"/>
                    <w:bottom w:val="none" w:sz="0" w:space="0" w:color="auto"/>
                    <w:right w:val="none" w:sz="0" w:space="0" w:color="auto"/>
                  </w:divBdr>
                  <w:divsChild>
                    <w:div w:id="343243697">
                      <w:marLeft w:val="0"/>
                      <w:marRight w:val="0"/>
                      <w:marTop w:val="0"/>
                      <w:marBottom w:val="0"/>
                      <w:divBdr>
                        <w:top w:val="none" w:sz="0" w:space="0" w:color="auto"/>
                        <w:left w:val="none" w:sz="0" w:space="0" w:color="auto"/>
                        <w:bottom w:val="none" w:sz="0" w:space="0" w:color="auto"/>
                        <w:right w:val="none" w:sz="0" w:space="0" w:color="auto"/>
                      </w:divBdr>
                    </w:div>
                  </w:divsChild>
                </w:div>
                <w:div w:id="1973705257">
                  <w:marLeft w:val="0"/>
                  <w:marRight w:val="0"/>
                  <w:marTop w:val="0"/>
                  <w:marBottom w:val="0"/>
                  <w:divBdr>
                    <w:top w:val="none" w:sz="0" w:space="0" w:color="auto"/>
                    <w:left w:val="none" w:sz="0" w:space="0" w:color="auto"/>
                    <w:bottom w:val="none" w:sz="0" w:space="0" w:color="auto"/>
                    <w:right w:val="none" w:sz="0" w:space="0" w:color="auto"/>
                  </w:divBdr>
                  <w:divsChild>
                    <w:div w:id="1046640521">
                      <w:marLeft w:val="0"/>
                      <w:marRight w:val="0"/>
                      <w:marTop w:val="0"/>
                      <w:marBottom w:val="0"/>
                      <w:divBdr>
                        <w:top w:val="none" w:sz="0" w:space="0" w:color="auto"/>
                        <w:left w:val="none" w:sz="0" w:space="0" w:color="auto"/>
                        <w:bottom w:val="none" w:sz="0" w:space="0" w:color="auto"/>
                        <w:right w:val="none" w:sz="0" w:space="0" w:color="auto"/>
                      </w:divBdr>
                    </w:div>
                  </w:divsChild>
                </w:div>
                <w:div w:id="1980911920">
                  <w:marLeft w:val="0"/>
                  <w:marRight w:val="0"/>
                  <w:marTop w:val="0"/>
                  <w:marBottom w:val="0"/>
                  <w:divBdr>
                    <w:top w:val="none" w:sz="0" w:space="0" w:color="auto"/>
                    <w:left w:val="none" w:sz="0" w:space="0" w:color="auto"/>
                    <w:bottom w:val="none" w:sz="0" w:space="0" w:color="auto"/>
                    <w:right w:val="none" w:sz="0" w:space="0" w:color="auto"/>
                  </w:divBdr>
                  <w:divsChild>
                    <w:div w:id="1737821688">
                      <w:marLeft w:val="0"/>
                      <w:marRight w:val="0"/>
                      <w:marTop w:val="0"/>
                      <w:marBottom w:val="0"/>
                      <w:divBdr>
                        <w:top w:val="none" w:sz="0" w:space="0" w:color="auto"/>
                        <w:left w:val="none" w:sz="0" w:space="0" w:color="auto"/>
                        <w:bottom w:val="none" w:sz="0" w:space="0" w:color="auto"/>
                        <w:right w:val="none" w:sz="0" w:space="0" w:color="auto"/>
                      </w:divBdr>
                    </w:div>
                  </w:divsChild>
                </w:div>
                <w:div w:id="1985349785">
                  <w:marLeft w:val="0"/>
                  <w:marRight w:val="0"/>
                  <w:marTop w:val="0"/>
                  <w:marBottom w:val="0"/>
                  <w:divBdr>
                    <w:top w:val="none" w:sz="0" w:space="0" w:color="auto"/>
                    <w:left w:val="none" w:sz="0" w:space="0" w:color="auto"/>
                    <w:bottom w:val="none" w:sz="0" w:space="0" w:color="auto"/>
                    <w:right w:val="none" w:sz="0" w:space="0" w:color="auto"/>
                  </w:divBdr>
                  <w:divsChild>
                    <w:div w:id="1696540117">
                      <w:marLeft w:val="0"/>
                      <w:marRight w:val="0"/>
                      <w:marTop w:val="0"/>
                      <w:marBottom w:val="0"/>
                      <w:divBdr>
                        <w:top w:val="none" w:sz="0" w:space="0" w:color="auto"/>
                        <w:left w:val="none" w:sz="0" w:space="0" w:color="auto"/>
                        <w:bottom w:val="none" w:sz="0" w:space="0" w:color="auto"/>
                        <w:right w:val="none" w:sz="0" w:space="0" w:color="auto"/>
                      </w:divBdr>
                    </w:div>
                  </w:divsChild>
                </w:div>
                <w:div w:id="2005471648">
                  <w:marLeft w:val="0"/>
                  <w:marRight w:val="0"/>
                  <w:marTop w:val="0"/>
                  <w:marBottom w:val="0"/>
                  <w:divBdr>
                    <w:top w:val="none" w:sz="0" w:space="0" w:color="auto"/>
                    <w:left w:val="none" w:sz="0" w:space="0" w:color="auto"/>
                    <w:bottom w:val="none" w:sz="0" w:space="0" w:color="auto"/>
                    <w:right w:val="none" w:sz="0" w:space="0" w:color="auto"/>
                  </w:divBdr>
                  <w:divsChild>
                    <w:div w:id="561675049">
                      <w:marLeft w:val="0"/>
                      <w:marRight w:val="0"/>
                      <w:marTop w:val="0"/>
                      <w:marBottom w:val="0"/>
                      <w:divBdr>
                        <w:top w:val="none" w:sz="0" w:space="0" w:color="auto"/>
                        <w:left w:val="none" w:sz="0" w:space="0" w:color="auto"/>
                        <w:bottom w:val="none" w:sz="0" w:space="0" w:color="auto"/>
                        <w:right w:val="none" w:sz="0" w:space="0" w:color="auto"/>
                      </w:divBdr>
                    </w:div>
                  </w:divsChild>
                </w:div>
                <w:div w:id="2025670956">
                  <w:marLeft w:val="0"/>
                  <w:marRight w:val="0"/>
                  <w:marTop w:val="0"/>
                  <w:marBottom w:val="0"/>
                  <w:divBdr>
                    <w:top w:val="none" w:sz="0" w:space="0" w:color="auto"/>
                    <w:left w:val="none" w:sz="0" w:space="0" w:color="auto"/>
                    <w:bottom w:val="none" w:sz="0" w:space="0" w:color="auto"/>
                    <w:right w:val="none" w:sz="0" w:space="0" w:color="auto"/>
                  </w:divBdr>
                  <w:divsChild>
                    <w:div w:id="1916087602">
                      <w:marLeft w:val="0"/>
                      <w:marRight w:val="0"/>
                      <w:marTop w:val="0"/>
                      <w:marBottom w:val="0"/>
                      <w:divBdr>
                        <w:top w:val="none" w:sz="0" w:space="0" w:color="auto"/>
                        <w:left w:val="none" w:sz="0" w:space="0" w:color="auto"/>
                        <w:bottom w:val="none" w:sz="0" w:space="0" w:color="auto"/>
                        <w:right w:val="none" w:sz="0" w:space="0" w:color="auto"/>
                      </w:divBdr>
                    </w:div>
                  </w:divsChild>
                </w:div>
                <w:div w:id="2047440345">
                  <w:marLeft w:val="0"/>
                  <w:marRight w:val="0"/>
                  <w:marTop w:val="0"/>
                  <w:marBottom w:val="0"/>
                  <w:divBdr>
                    <w:top w:val="none" w:sz="0" w:space="0" w:color="auto"/>
                    <w:left w:val="none" w:sz="0" w:space="0" w:color="auto"/>
                    <w:bottom w:val="none" w:sz="0" w:space="0" w:color="auto"/>
                    <w:right w:val="none" w:sz="0" w:space="0" w:color="auto"/>
                  </w:divBdr>
                  <w:divsChild>
                    <w:div w:id="2125538853">
                      <w:marLeft w:val="0"/>
                      <w:marRight w:val="0"/>
                      <w:marTop w:val="0"/>
                      <w:marBottom w:val="0"/>
                      <w:divBdr>
                        <w:top w:val="none" w:sz="0" w:space="0" w:color="auto"/>
                        <w:left w:val="none" w:sz="0" w:space="0" w:color="auto"/>
                        <w:bottom w:val="none" w:sz="0" w:space="0" w:color="auto"/>
                        <w:right w:val="none" w:sz="0" w:space="0" w:color="auto"/>
                      </w:divBdr>
                    </w:div>
                  </w:divsChild>
                </w:div>
                <w:div w:id="2053536624">
                  <w:marLeft w:val="0"/>
                  <w:marRight w:val="0"/>
                  <w:marTop w:val="0"/>
                  <w:marBottom w:val="0"/>
                  <w:divBdr>
                    <w:top w:val="none" w:sz="0" w:space="0" w:color="auto"/>
                    <w:left w:val="none" w:sz="0" w:space="0" w:color="auto"/>
                    <w:bottom w:val="none" w:sz="0" w:space="0" w:color="auto"/>
                    <w:right w:val="none" w:sz="0" w:space="0" w:color="auto"/>
                  </w:divBdr>
                  <w:divsChild>
                    <w:div w:id="483163952">
                      <w:marLeft w:val="0"/>
                      <w:marRight w:val="0"/>
                      <w:marTop w:val="0"/>
                      <w:marBottom w:val="0"/>
                      <w:divBdr>
                        <w:top w:val="none" w:sz="0" w:space="0" w:color="auto"/>
                        <w:left w:val="none" w:sz="0" w:space="0" w:color="auto"/>
                        <w:bottom w:val="none" w:sz="0" w:space="0" w:color="auto"/>
                        <w:right w:val="none" w:sz="0" w:space="0" w:color="auto"/>
                      </w:divBdr>
                    </w:div>
                  </w:divsChild>
                </w:div>
                <w:div w:id="2059939900">
                  <w:marLeft w:val="0"/>
                  <w:marRight w:val="0"/>
                  <w:marTop w:val="0"/>
                  <w:marBottom w:val="0"/>
                  <w:divBdr>
                    <w:top w:val="none" w:sz="0" w:space="0" w:color="auto"/>
                    <w:left w:val="none" w:sz="0" w:space="0" w:color="auto"/>
                    <w:bottom w:val="none" w:sz="0" w:space="0" w:color="auto"/>
                    <w:right w:val="none" w:sz="0" w:space="0" w:color="auto"/>
                  </w:divBdr>
                  <w:divsChild>
                    <w:div w:id="1179543949">
                      <w:marLeft w:val="0"/>
                      <w:marRight w:val="0"/>
                      <w:marTop w:val="0"/>
                      <w:marBottom w:val="0"/>
                      <w:divBdr>
                        <w:top w:val="none" w:sz="0" w:space="0" w:color="auto"/>
                        <w:left w:val="none" w:sz="0" w:space="0" w:color="auto"/>
                        <w:bottom w:val="none" w:sz="0" w:space="0" w:color="auto"/>
                        <w:right w:val="none" w:sz="0" w:space="0" w:color="auto"/>
                      </w:divBdr>
                    </w:div>
                  </w:divsChild>
                </w:div>
                <w:div w:id="2098866375">
                  <w:marLeft w:val="0"/>
                  <w:marRight w:val="0"/>
                  <w:marTop w:val="0"/>
                  <w:marBottom w:val="0"/>
                  <w:divBdr>
                    <w:top w:val="none" w:sz="0" w:space="0" w:color="auto"/>
                    <w:left w:val="none" w:sz="0" w:space="0" w:color="auto"/>
                    <w:bottom w:val="none" w:sz="0" w:space="0" w:color="auto"/>
                    <w:right w:val="none" w:sz="0" w:space="0" w:color="auto"/>
                  </w:divBdr>
                  <w:divsChild>
                    <w:div w:id="722293729">
                      <w:marLeft w:val="0"/>
                      <w:marRight w:val="0"/>
                      <w:marTop w:val="0"/>
                      <w:marBottom w:val="0"/>
                      <w:divBdr>
                        <w:top w:val="none" w:sz="0" w:space="0" w:color="auto"/>
                        <w:left w:val="none" w:sz="0" w:space="0" w:color="auto"/>
                        <w:bottom w:val="none" w:sz="0" w:space="0" w:color="auto"/>
                        <w:right w:val="none" w:sz="0" w:space="0" w:color="auto"/>
                      </w:divBdr>
                    </w:div>
                  </w:divsChild>
                </w:div>
                <w:div w:id="2104371555">
                  <w:marLeft w:val="0"/>
                  <w:marRight w:val="0"/>
                  <w:marTop w:val="0"/>
                  <w:marBottom w:val="0"/>
                  <w:divBdr>
                    <w:top w:val="none" w:sz="0" w:space="0" w:color="auto"/>
                    <w:left w:val="none" w:sz="0" w:space="0" w:color="auto"/>
                    <w:bottom w:val="none" w:sz="0" w:space="0" w:color="auto"/>
                    <w:right w:val="none" w:sz="0" w:space="0" w:color="auto"/>
                  </w:divBdr>
                  <w:divsChild>
                    <w:div w:id="1925147866">
                      <w:marLeft w:val="0"/>
                      <w:marRight w:val="0"/>
                      <w:marTop w:val="0"/>
                      <w:marBottom w:val="0"/>
                      <w:divBdr>
                        <w:top w:val="none" w:sz="0" w:space="0" w:color="auto"/>
                        <w:left w:val="none" w:sz="0" w:space="0" w:color="auto"/>
                        <w:bottom w:val="none" w:sz="0" w:space="0" w:color="auto"/>
                        <w:right w:val="none" w:sz="0" w:space="0" w:color="auto"/>
                      </w:divBdr>
                    </w:div>
                  </w:divsChild>
                </w:div>
                <w:div w:id="2109352767">
                  <w:marLeft w:val="0"/>
                  <w:marRight w:val="0"/>
                  <w:marTop w:val="0"/>
                  <w:marBottom w:val="0"/>
                  <w:divBdr>
                    <w:top w:val="none" w:sz="0" w:space="0" w:color="auto"/>
                    <w:left w:val="none" w:sz="0" w:space="0" w:color="auto"/>
                    <w:bottom w:val="none" w:sz="0" w:space="0" w:color="auto"/>
                    <w:right w:val="none" w:sz="0" w:space="0" w:color="auto"/>
                  </w:divBdr>
                  <w:divsChild>
                    <w:div w:id="88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396708">
      <w:bodyDiv w:val="1"/>
      <w:marLeft w:val="0"/>
      <w:marRight w:val="0"/>
      <w:marTop w:val="0"/>
      <w:marBottom w:val="0"/>
      <w:divBdr>
        <w:top w:val="none" w:sz="0" w:space="0" w:color="auto"/>
        <w:left w:val="none" w:sz="0" w:space="0" w:color="auto"/>
        <w:bottom w:val="none" w:sz="0" w:space="0" w:color="auto"/>
        <w:right w:val="none" w:sz="0" w:space="0" w:color="auto"/>
      </w:divBdr>
    </w:div>
    <w:div w:id="588974209">
      <w:bodyDiv w:val="1"/>
      <w:marLeft w:val="0"/>
      <w:marRight w:val="0"/>
      <w:marTop w:val="0"/>
      <w:marBottom w:val="0"/>
      <w:divBdr>
        <w:top w:val="none" w:sz="0" w:space="0" w:color="auto"/>
        <w:left w:val="none" w:sz="0" w:space="0" w:color="auto"/>
        <w:bottom w:val="none" w:sz="0" w:space="0" w:color="auto"/>
        <w:right w:val="none" w:sz="0" w:space="0" w:color="auto"/>
      </w:divBdr>
    </w:div>
    <w:div w:id="593631447">
      <w:bodyDiv w:val="1"/>
      <w:marLeft w:val="0"/>
      <w:marRight w:val="0"/>
      <w:marTop w:val="0"/>
      <w:marBottom w:val="0"/>
      <w:divBdr>
        <w:top w:val="none" w:sz="0" w:space="0" w:color="auto"/>
        <w:left w:val="none" w:sz="0" w:space="0" w:color="auto"/>
        <w:bottom w:val="none" w:sz="0" w:space="0" w:color="auto"/>
        <w:right w:val="none" w:sz="0" w:space="0" w:color="auto"/>
      </w:divBdr>
      <w:divsChild>
        <w:div w:id="48384527">
          <w:marLeft w:val="0"/>
          <w:marRight w:val="0"/>
          <w:marTop w:val="0"/>
          <w:marBottom w:val="0"/>
          <w:divBdr>
            <w:top w:val="none" w:sz="0" w:space="0" w:color="auto"/>
            <w:left w:val="none" w:sz="0" w:space="0" w:color="auto"/>
            <w:bottom w:val="none" w:sz="0" w:space="0" w:color="auto"/>
            <w:right w:val="none" w:sz="0" w:space="0" w:color="auto"/>
          </w:divBdr>
        </w:div>
        <w:div w:id="1067413002">
          <w:marLeft w:val="0"/>
          <w:marRight w:val="0"/>
          <w:marTop w:val="0"/>
          <w:marBottom w:val="0"/>
          <w:divBdr>
            <w:top w:val="none" w:sz="0" w:space="0" w:color="auto"/>
            <w:left w:val="none" w:sz="0" w:space="0" w:color="auto"/>
            <w:bottom w:val="none" w:sz="0" w:space="0" w:color="auto"/>
            <w:right w:val="none" w:sz="0" w:space="0" w:color="auto"/>
          </w:divBdr>
        </w:div>
      </w:divsChild>
    </w:div>
    <w:div w:id="595554455">
      <w:bodyDiv w:val="1"/>
      <w:marLeft w:val="0"/>
      <w:marRight w:val="0"/>
      <w:marTop w:val="0"/>
      <w:marBottom w:val="0"/>
      <w:divBdr>
        <w:top w:val="none" w:sz="0" w:space="0" w:color="auto"/>
        <w:left w:val="none" w:sz="0" w:space="0" w:color="auto"/>
        <w:bottom w:val="none" w:sz="0" w:space="0" w:color="auto"/>
        <w:right w:val="none" w:sz="0" w:space="0" w:color="auto"/>
      </w:divBdr>
      <w:divsChild>
        <w:div w:id="1435201665">
          <w:marLeft w:val="0"/>
          <w:marRight w:val="0"/>
          <w:marTop w:val="0"/>
          <w:marBottom w:val="0"/>
          <w:divBdr>
            <w:top w:val="none" w:sz="0" w:space="0" w:color="auto"/>
            <w:left w:val="none" w:sz="0" w:space="0" w:color="auto"/>
            <w:bottom w:val="none" w:sz="0" w:space="0" w:color="auto"/>
            <w:right w:val="none" w:sz="0" w:space="0" w:color="auto"/>
          </w:divBdr>
        </w:div>
        <w:div w:id="2115401532">
          <w:marLeft w:val="0"/>
          <w:marRight w:val="0"/>
          <w:marTop w:val="0"/>
          <w:marBottom w:val="0"/>
          <w:divBdr>
            <w:top w:val="none" w:sz="0" w:space="0" w:color="auto"/>
            <w:left w:val="none" w:sz="0" w:space="0" w:color="auto"/>
            <w:bottom w:val="none" w:sz="0" w:space="0" w:color="auto"/>
            <w:right w:val="none" w:sz="0" w:space="0" w:color="auto"/>
          </w:divBdr>
        </w:div>
      </w:divsChild>
    </w:div>
    <w:div w:id="597102965">
      <w:bodyDiv w:val="1"/>
      <w:marLeft w:val="0"/>
      <w:marRight w:val="0"/>
      <w:marTop w:val="0"/>
      <w:marBottom w:val="0"/>
      <w:divBdr>
        <w:top w:val="none" w:sz="0" w:space="0" w:color="auto"/>
        <w:left w:val="none" w:sz="0" w:space="0" w:color="auto"/>
        <w:bottom w:val="none" w:sz="0" w:space="0" w:color="auto"/>
        <w:right w:val="none" w:sz="0" w:space="0" w:color="auto"/>
      </w:divBdr>
      <w:divsChild>
        <w:div w:id="430247971">
          <w:marLeft w:val="0"/>
          <w:marRight w:val="0"/>
          <w:marTop w:val="0"/>
          <w:marBottom w:val="0"/>
          <w:divBdr>
            <w:top w:val="none" w:sz="0" w:space="0" w:color="auto"/>
            <w:left w:val="none" w:sz="0" w:space="0" w:color="auto"/>
            <w:bottom w:val="none" w:sz="0" w:space="0" w:color="auto"/>
            <w:right w:val="none" w:sz="0" w:space="0" w:color="auto"/>
          </w:divBdr>
        </w:div>
        <w:div w:id="483856041">
          <w:marLeft w:val="0"/>
          <w:marRight w:val="0"/>
          <w:marTop w:val="0"/>
          <w:marBottom w:val="0"/>
          <w:divBdr>
            <w:top w:val="none" w:sz="0" w:space="0" w:color="auto"/>
            <w:left w:val="none" w:sz="0" w:space="0" w:color="auto"/>
            <w:bottom w:val="none" w:sz="0" w:space="0" w:color="auto"/>
            <w:right w:val="none" w:sz="0" w:space="0" w:color="auto"/>
          </w:divBdr>
        </w:div>
      </w:divsChild>
    </w:div>
    <w:div w:id="601449383">
      <w:bodyDiv w:val="1"/>
      <w:marLeft w:val="0"/>
      <w:marRight w:val="0"/>
      <w:marTop w:val="0"/>
      <w:marBottom w:val="0"/>
      <w:divBdr>
        <w:top w:val="none" w:sz="0" w:space="0" w:color="auto"/>
        <w:left w:val="none" w:sz="0" w:space="0" w:color="auto"/>
        <w:bottom w:val="none" w:sz="0" w:space="0" w:color="auto"/>
        <w:right w:val="none" w:sz="0" w:space="0" w:color="auto"/>
      </w:divBdr>
    </w:div>
    <w:div w:id="602736451">
      <w:bodyDiv w:val="1"/>
      <w:marLeft w:val="0"/>
      <w:marRight w:val="0"/>
      <w:marTop w:val="0"/>
      <w:marBottom w:val="0"/>
      <w:divBdr>
        <w:top w:val="none" w:sz="0" w:space="0" w:color="auto"/>
        <w:left w:val="none" w:sz="0" w:space="0" w:color="auto"/>
        <w:bottom w:val="none" w:sz="0" w:space="0" w:color="auto"/>
        <w:right w:val="none" w:sz="0" w:space="0" w:color="auto"/>
      </w:divBdr>
    </w:div>
    <w:div w:id="609239418">
      <w:bodyDiv w:val="1"/>
      <w:marLeft w:val="0"/>
      <w:marRight w:val="0"/>
      <w:marTop w:val="0"/>
      <w:marBottom w:val="0"/>
      <w:divBdr>
        <w:top w:val="none" w:sz="0" w:space="0" w:color="auto"/>
        <w:left w:val="none" w:sz="0" w:space="0" w:color="auto"/>
        <w:bottom w:val="none" w:sz="0" w:space="0" w:color="auto"/>
        <w:right w:val="none" w:sz="0" w:space="0" w:color="auto"/>
      </w:divBdr>
    </w:div>
    <w:div w:id="610867803">
      <w:bodyDiv w:val="1"/>
      <w:marLeft w:val="0"/>
      <w:marRight w:val="0"/>
      <w:marTop w:val="0"/>
      <w:marBottom w:val="0"/>
      <w:divBdr>
        <w:top w:val="none" w:sz="0" w:space="0" w:color="auto"/>
        <w:left w:val="none" w:sz="0" w:space="0" w:color="auto"/>
        <w:bottom w:val="none" w:sz="0" w:space="0" w:color="auto"/>
        <w:right w:val="none" w:sz="0" w:space="0" w:color="auto"/>
      </w:divBdr>
    </w:div>
    <w:div w:id="611982455">
      <w:bodyDiv w:val="1"/>
      <w:marLeft w:val="0"/>
      <w:marRight w:val="0"/>
      <w:marTop w:val="0"/>
      <w:marBottom w:val="0"/>
      <w:divBdr>
        <w:top w:val="none" w:sz="0" w:space="0" w:color="auto"/>
        <w:left w:val="none" w:sz="0" w:space="0" w:color="auto"/>
        <w:bottom w:val="none" w:sz="0" w:space="0" w:color="auto"/>
        <w:right w:val="none" w:sz="0" w:space="0" w:color="auto"/>
      </w:divBdr>
    </w:div>
    <w:div w:id="614755213">
      <w:bodyDiv w:val="1"/>
      <w:marLeft w:val="0"/>
      <w:marRight w:val="0"/>
      <w:marTop w:val="0"/>
      <w:marBottom w:val="0"/>
      <w:divBdr>
        <w:top w:val="none" w:sz="0" w:space="0" w:color="auto"/>
        <w:left w:val="none" w:sz="0" w:space="0" w:color="auto"/>
        <w:bottom w:val="none" w:sz="0" w:space="0" w:color="auto"/>
        <w:right w:val="none" w:sz="0" w:space="0" w:color="auto"/>
      </w:divBdr>
      <w:divsChild>
        <w:div w:id="780419493">
          <w:marLeft w:val="0"/>
          <w:marRight w:val="0"/>
          <w:marTop w:val="0"/>
          <w:marBottom w:val="0"/>
          <w:divBdr>
            <w:top w:val="none" w:sz="0" w:space="0" w:color="auto"/>
            <w:left w:val="none" w:sz="0" w:space="0" w:color="auto"/>
            <w:bottom w:val="none" w:sz="0" w:space="0" w:color="auto"/>
            <w:right w:val="none" w:sz="0" w:space="0" w:color="auto"/>
          </w:divBdr>
          <w:divsChild>
            <w:div w:id="1179779667">
              <w:marLeft w:val="0"/>
              <w:marRight w:val="0"/>
              <w:marTop w:val="0"/>
              <w:marBottom w:val="0"/>
              <w:divBdr>
                <w:top w:val="none" w:sz="0" w:space="0" w:color="auto"/>
                <w:left w:val="none" w:sz="0" w:space="0" w:color="auto"/>
                <w:bottom w:val="none" w:sz="0" w:space="0" w:color="auto"/>
                <w:right w:val="none" w:sz="0" w:space="0" w:color="auto"/>
              </w:divBdr>
              <w:divsChild>
                <w:div w:id="1917086192">
                  <w:marLeft w:val="0"/>
                  <w:marRight w:val="0"/>
                  <w:marTop w:val="0"/>
                  <w:marBottom w:val="0"/>
                  <w:divBdr>
                    <w:top w:val="none" w:sz="0" w:space="0" w:color="auto"/>
                    <w:left w:val="none" w:sz="0" w:space="0" w:color="auto"/>
                    <w:bottom w:val="none" w:sz="0" w:space="0" w:color="auto"/>
                    <w:right w:val="none" w:sz="0" w:space="0" w:color="auto"/>
                  </w:divBdr>
                  <w:divsChild>
                    <w:div w:id="12681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17423">
      <w:bodyDiv w:val="1"/>
      <w:marLeft w:val="0"/>
      <w:marRight w:val="0"/>
      <w:marTop w:val="0"/>
      <w:marBottom w:val="0"/>
      <w:divBdr>
        <w:top w:val="none" w:sz="0" w:space="0" w:color="auto"/>
        <w:left w:val="none" w:sz="0" w:space="0" w:color="auto"/>
        <w:bottom w:val="none" w:sz="0" w:space="0" w:color="auto"/>
        <w:right w:val="none" w:sz="0" w:space="0" w:color="auto"/>
      </w:divBdr>
    </w:div>
    <w:div w:id="626352701">
      <w:bodyDiv w:val="1"/>
      <w:marLeft w:val="0"/>
      <w:marRight w:val="0"/>
      <w:marTop w:val="0"/>
      <w:marBottom w:val="0"/>
      <w:divBdr>
        <w:top w:val="none" w:sz="0" w:space="0" w:color="auto"/>
        <w:left w:val="none" w:sz="0" w:space="0" w:color="auto"/>
        <w:bottom w:val="none" w:sz="0" w:space="0" w:color="auto"/>
        <w:right w:val="none" w:sz="0" w:space="0" w:color="auto"/>
      </w:divBdr>
      <w:divsChild>
        <w:div w:id="151916587">
          <w:marLeft w:val="0"/>
          <w:marRight w:val="0"/>
          <w:marTop w:val="0"/>
          <w:marBottom w:val="0"/>
          <w:divBdr>
            <w:top w:val="none" w:sz="0" w:space="0" w:color="auto"/>
            <w:left w:val="none" w:sz="0" w:space="0" w:color="auto"/>
            <w:bottom w:val="none" w:sz="0" w:space="0" w:color="auto"/>
            <w:right w:val="none" w:sz="0" w:space="0" w:color="auto"/>
          </w:divBdr>
          <w:divsChild>
            <w:div w:id="441649660">
              <w:marLeft w:val="-75"/>
              <w:marRight w:val="0"/>
              <w:marTop w:val="30"/>
              <w:marBottom w:val="30"/>
              <w:divBdr>
                <w:top w:val="none" w:sz="0" w:space="0" w:color="auto"/>
                <w:left w:val="none" w:sz="0" w:space="0" w:color="auto"/>
                <w:bottom w:val="none" w:sz="0" w:space="0" w:color="auto"/>
                <w:right w:val="none" w:sz="0" w:space="0" w:color="auto"/>
              </w:divBdr>
              <w:divsChild>
                <w:div w:id="10185098">
                  <w:marLeft w:val="0"/>
                  <w:marRight w:val="0"/>
                  <w:marTop w:val="0"/>
                  <w:marBottom w:val="0"/>
                  <w:divBdr>
                    <w:top w:val="none" w:sz="0" w:space="0" w:color="auto"/>
                    <w:left w:val="none" w:sz="0" w:space="0" w:color="auto"/>
                    <w:bottom w:val="none" w:sz="0" w:space="0" w:color="auto"/>
                    <w:right w:val="none" w:sz="0" w:space="0" w:color="auto"/>
                  </w:divBdr>
                  <w:divsChild>
                    <w:div w:id="1268124229">
                      <w:marLeft w:val="0"/>
                      <w:marRight w:val="0"/>
                      <w:marTop w:val="0"/>
                      <w:marBottom w:val="0"/>
                      <w:divBdr>
                        <w:top w:val="none" w:sz="0" w:space="0" w:color="auto"/>
                        <w:left w:val="none" w:sz="0" w:space="0" w:color="auto"/>
                        <w:bottom w:val="none" w:sz="0" w:space="0" w:color="auto"/>
                        <w:right w:val="none" w:sz="0" w:space="0" w:color="auto"/>
                      </w:divBdr>
                    </w:div>
                  </w:divsChild>
                </w:div>
                <w:div w:id="19938596">
                  <w:marLeft w:val="0"/>
                  <w:marRight w:val="0"/>
                  <w:marTop w:val="0"/>
                  <w:marBottom w:val="0"/>
                  <w:divBdr>
                    <w:top w:val="none" w:sz="0" w:space="0" w:color="auto"/>
                    <w:left w:val="none" w:sz="0" w:space="0" w:color="auto"/>
                    <w:bottom w:val="none" w:sz="0" w:space="0" w:color="auto"/>
                    <w:right w:val="none" w:sz="0" w:space="0" w:color="auto"/>
                  </w:divBdr>
                  <w:divsChild>
                    <w:div w:id="487328131">
                      <w:marLeft w:val="0"/>
                      <w:marRight w:val="0"/>
                      <w:marTop w:val="0"/>
                      <w:marBottom w:val="0"/>
                      <w:divBdr>
                        <w:top w:val="none" w:sz="0" w:space="0" w:color="auto"/>
                        <w:left w:val="none" w:sz="0" w:space="0" w:color="auto"/>
                        <w:bottom w:val="none" w:sz="0" w:space="0" w:color="auto"/>
                        <w:right w:val="none" w:sz="0" w:space="0" w:color="auto"/>
                      </w:divBdr>
                    </w:div>
                  </w:divsChild>
                </w:div>
                <w:div w:id="24647078">
                  <w:marLeft w:val="0"/>
                  <w:marRight w:val="0"/>
                  <w:marTop w:val="0"/>
                  <w:marBottom w:val="0"/>
                  <w:divBdr>
                    <w:top w:val="none" w:sz="0" w:space="0" w:color="auto"/>
                    <w:left w:val="none" w:sz="0" w:space="0" w:color="auto"/>
                    <w:bottom w:val="none" w:sz="0" w:space="0" w:color="auto"/>
                    <w:right w:val="none" w:sz="0" w:space="0" w:color="auto"/>
                  </w:divBdr>
                  <w:divsChild>
                    <w:div w:id="791556883">
                      <w:marLeft w:val="0"/>
                      <w:marRight w:val="0"/>
                      <w:marTop w:val="0"/>
                      <w:marBottom w:val="0"/>
                      <w:divBdr>
                        <w:top w:val="none" w:sz="0" w:space="0" w:color="auto"/>
                        <w:left w:val="none" w:sz="0" w:space="0" w:color="auto"/>
                        <w:bottom w:val="none" w:sz="0" w:space="0" w:color="auto"/>
                        <w:right w:val="none" w:sz="0" w:space="0" w:color="auto"/>
                      </w:divBdr>
                    </w:div>
                  </w:divsChild>
                </w:div>
                <w:div w:id="69425199">
                  <w:marLeft w:val="0"/>
                  <w:marRight w:val="0"/>
                  <w:marTop w:val="0"/>
                  <w:marBottom w:val="0"/>
                  <w:divBdr>
                    <w:top w:val="none" w:sz="0" w:space="0" w:color="auto"/>
                    <w:left w:val="none" w:sz="0" w:space="0" w:color="auto"/>
                    <w:bottom w:val="none" w:sz="0" w:space="0" w:color="auto"/>
                    <w:right w:val="none" w:sz="0" w:space="0" w:color="auto"/>
                  </w:divBdr>
                  <w:divsChild>
                    <w:div w:id="1874538623">
                      <w:marLeft w:val="0"/>
                      <w:marRight w:val="0"/>
                      <w:marTop w:val="0"/>
                      <w:marBottom w:val="0"/>
                      <w:divBdr>
                        <w:top w:val="none" w:sz="0" w:space="0" w:color="auto"/>
                        <w:left w:val="none" w:sz="0" w:space="0" w:color="auto"/>
                        <w:bottom w:val="none" w:sz="0" w:space="0" w:color="auto"/>
                        <w:right w:val="none" w:sz="0" w:space="0" w:color="auto"/>
                      </w:divBdr>
                    </w:div>
                  </w:divsChild>
                </w:div>
                <w:div w:id="93132285">
                  <w:marLeft w:val="0"/>
                  <w:marRight w:val="0"/>
                  <w:marTop w:val="0"/>
                  <w:marBottom w:val="0"/>
                  <w:divBdr>
                    <w:top w:val="none" w:sz="0" w:space="0" w:color="auto"/>
                    <w:left w:val="none" w:sz="0" w:space="0" w:color="auto"/>
                    <w:bottom w:val="none" w:sz="0" w:space="0" w:color="auto"/>
                    <w:right w:val="none" w:sz="0" w:space="0" w:color="auto"/>
                  </w:divBdr>
                  <w:divsChild>
                    <w:div w:id="1320379549">
                      <w:marLeft w:val="0"/>
                      <w:marRight w:val="0"/>
                      <w:marTop w:val="0"/>
                      <w:marBottom w:val="0"/>
                      <w:divBdr>
                        <w:top w:val="none" w:sz="0" w:space="0" w:color="auto"/>
                        <w:left w:val="none" w:sz="0" w:space="0" w:color="auto"/>
                        <w:bottom w:val="none" w:sz="0" w:space="0" w:color="auto"/>
                        <w:right w:val="none" w:sz="0" w:space="0" w:color="auto"/>
                      </w:divBdr>
                    </w:div>
                  </w:divsChild>
                </w:div>
                <w:div w:id="105194376">
                  <w:marLeft w:val="0"/>
                  <w:marRight w:val="0"/>
                  <w:marTop w:val="0"/>
                  <w:marBottom w:val="0"/>
                  <w:divBdr>
                    <w:top w:val="none" w:sz="0" w:space="0" w:color="auto"/>
                    <w:left w:val="none" w:sz="0" w:space="0" w:color="auto"/>
                    <w:bottom w:val="none" w:sz="0" w:space="0" w:color="auto"/>
                    <w:right w:val="none" w:sz="0" w:space="0" w:color="auto"/>
                  </w:divBdr>
                  <w:divsChild>
                    <w:div w:id="590822000">
                      <w:marLeft w:val="0"/>
                      <w:marRight w:val="0"/>
                      <w:marTop w:val="0"/>
                      <w:marBottom w:val="0"/>
                      <w:divBdr>
                        <w:top w:val="none" w:sz="0" w:space="0" w:color="auto"/>
                        <w:left w:val="none" w:sz="0" w:space="0" w:color="auto"/>
                        <w:bottom w:val="none" w:sz="0" w:space="0" w:color="auto"/>
                        <w:right w:val="none" w:sz="0" w:space="0" w:color="auto"/>
                      </w:divBdr>
                    </w:div>
                  </w:divsChild>
                </w:div>
                <w:div w:id="113212507">
                  <w:marLeft w:val="0"/>
                  <w:marRight w:val="0"/>
                  <w:marTop w:val="0"/>
                  <w:marBottom w:val="0"/>
                  <w:divBdr>
                    <w:top w:val="none" w:sz="0" w:space="0" w:color="auto"/>
                    <w:left w:val="none" w:sz="0" w:space="0" w:color="auto"/>
                    <w:bottom w:val="none" w:sz="0" w:space="0" w:color="auto"/>
                    <w:right w:val="none" w:sz="0" w:space="0" w:color="auto"/>
                  </w:divBdr>
                  <w:divsChild>
                    <w:div w:id="538203709">
                      <w:marLeft w:val="0"/>
                      <w:marRight w:val="0"/>
                      <w:marTop w:val="0"/>
                      <w:marBottom w:val="0"/>
                      <w:divBdr>
                        <w:top w:val="none" w:sz="0" w:space="0" w:color="auto"/>
                        <w:left w:val="none" w:sz="0" w:space="0" w:color="auto"/>
                        <w:bottom w:val="none" w:sz="0" w:space="0" w:color="auto"/>
                        <w:right w:val="none" w:sz="0" w:space="0" w:color="auto"/>
                      </w:divBdr>
                    </w:div>
                  </w:divsChild>
                </w:div>
                <w:div w:id="115567254">
                  <w:marLeft w:val="0"/>
                  <w:marRight w:val="0"/>
                  <w:marTop w:val="0"/>
                  <w:marBottom w:val="0"/>
                  <w:divBdr>
                    <w:top w:val="none" w:sz="0" w:space="0" w:color="auto"/>
                    <w:left w:val="none" w:sz="0" w:space="0" w:color="auto"/>
                    <w:bottom w:val="none" w:sz="0" w:space="0" w:color="auto"/>
                    <w:right w:val="none" w:sz="0" w:space="0" w:color="auto"/>
                  </w:divBdr>
                  <w:divsChild>
                    <w:div w:id="938946827">
                      <w:marLeft w:val="0"/>
                      <w:marRight w:val="0"/>
                      <w:marTop w:val="0"/>
                      <w:marBottom w:val="0"/>
                      <w:divBdr>
                        <w:top w:val="none" w:sz="0" w:space="0" w:color="auto"/>
                        <w:left w:val="none" w:sz="0" w:space="0" w:color="auto"/>
                        <w:bottom w:val="none" w:sz="0" w:space="0" w:color="auto"/>
                        <w:right w:val="none" w:sz="0" w:space="0" w:color="auto"/>
                      </w:divBdr>
                    </w:div>
                  </w:divsChild>
                </w:div>
                <w:div w:id="124858514">
                  <w:marLeft w:val="0"/>
                  <w:marRight w:val="0"/>
                  <w:marTop w:val="0"/>
                  <w:marBottom w:val="0"/>
                  <w:divBdr>
                    <w:top w:val="none" w:sz="0" w:space="0" w:color="auto"/>
                    <w:left w:val="none" w:sz="0" w:space="0" w:color="auto"/>
                    <w:bottom w:val="none" w:sz="0" w:space="0" w:color="auto"/>
                    <w:right w:val="none" w:sz="0" w:space="0" w:color="auto"/>
                  </w:divBdr>
                  <w:divsChild>
                    <w:div w:id="642588050">
                      <w:marLeft w:val="0"/>
                      <w:marRight w:val="0"/>
                      <w:marTop w:val="0"/>
                      <w:marBottom w:val="0"/>
                      <w:divBdr>
                        <w:top w:val="none" w:sz="0" w:space="0" w:color="auto"/>
                        <w:left w:val="none" w:sz="0" w:space="0" w:color="auto"/>
                        <w:bottom w:val="none" w:sz="0" w:space="0" w:color="auto"/>
                        <w:right w:val="none" w:sz="0" w:space="0" w:color="auto"/>
                      </w:divBdr>
                    </w:div>
                  </w:divsChild>
                </w:div>
                <w:div w:id="156767426">
                  <w:marLeft w:val="0"/>
                  <w:marRight w:val="0"/>
                  <w:marTop w:val="0"/>
                  <w:marBottom w:val="0"/>
                  <w:divBdr>
                    <w:top w:val="none" w:sz="0" w:space="0" w:color="auto"/>
                    <w:left w:val="none" w:sz="0" w:space="0" w:color="auto"/>
                    <w:bottom w:val="none" w:sz="0" w:space="0" w:color="auto"/>
                    <w:right w:val="none" w:sz="0" w:space="0" w:color="auto"/>
                  </w:divBdr>
                  <w:divsChild>
                    <w:div w:id="1795248621">
                      <w:marLeft w:val="0"/>
                      <w:marRight w:val="0"/>
                      <w:marTop w:val="0"/>
                      <w:marBottom w:val="0"/>
                      <w:divBdr>
                        <w:top w:val="none" w:sz="0" w:space="0" w:color="auto"/>
                        <w:left w:val="none" w:sz="0" w:space="0" w:color="auto"/>
                        <w:bottom w:val="none" w:sz="0" w:space="0" w:color="auto"/>
                        <w:right w:val="none" w:sz="0" w:space="0" w:color="auto"/>
                      </w:divBdr>
                    </w:div>
                  </w:divsChild>
                </w:div>
                <w:div w:id="158010718">
                  <w:marLeft w:val="0"/>
                  <w:marRight w:val="0"/>
                  <w:marTop w:val="0"/>
                  <w:marBottom w:val="0"/>
                  <w:divBdr>
                    <w:top w:val="none" w:sz="0" w:space="0" w:color="auto"/>
                    <w:left w:val="none" w:sz="0" w:space="0" w:color="auto"/>
                    <w:bottom w:val="none" w:sz="0" w:space="0" w:color="auto"/>
                    <w:right w:val="none" w:sz="0" w:space="0" w:color="auto"/>
                  </w:divBdr>
                  <w:divsChild>
                    <w:div w:id="322467782">
                      <w:marLeft w:val="0"/>
                      <w:marRight w:val="0"/>
                      <w:marTop w:val="0"/>
                      <w:marBottom w:val="0"/>
                      <w:divBdr>
                        <w:top w:val="none" w:sz="0" w:space="0" w:color="auto"/>
                        <w:left w:val="none" w:sz="0" w:space="0" w:color="auto"/>
                        <w:bottom w:val="none" w:sz="0" w:space="0" w:color="auto"/>
                        <w:right w:val="none" w:sz="0" w:space="0" w:color="auto"/>
                      </w:divBdr>
                    </w:div>
                  </w:divsChild>
                </w:div>
                <w:div w:id="174879032">
                  <w:marLeft w:val="0"/>
                  <w:marRight w:val="0"/>
                  <w:marTop w:val="0"/>
                  <w:marBottom w:val="0"/>
                  <w:divBdr>
                    <w:top w:val="none" w:sz="0" w:space="0" w:color="auto"/>
                    <w:left w:val="none" w:sz="0" w:space="0" w:color="auto"/>
                    <w:bottom w:val="none" w:sz="0" w:space="0" w:color="auto"/>
                    <w:right w:val="none" w:sz="0" w:space="0" w:color="auto"/>
                  </w:divBdr>
                  <w:divsChild>
                    <w:div w:id="917052858">
                      <w:marLeft w:val="0"/>
                      <w:marRight w:val="0"/>
                      <w:marTop w:val="0"/>
                      <w:marBottom w:val="0"/>
                      <w:divBdr>
                        <w:top w:val="none" w:sz="0" w:space="0" w:color="auto"/>
                        <w:left w:val="none" w:sz="0" w:space="0" w:color="auto"/>
                        <w:bottom w:val="none" w:sz="0" w:space="0" w:color="auto"/>
                        <w:right w:val="none" w:sz="0" w:space="0" w:color="auto"/>
                      </w:divBdr>
                    </w:div>
                  </w:divsChild>
                </w:div>
                <w:div w:id="175850562">
                  <w:marLeft w:val="0"/>
                  <w:marRight w:val="0"/>
                  <w:marTop w:val="0"/>
                  <w:marBottom w:val="0"/>
                  <w:divBdr>
                    <w:top w:val="none" w:sz="0" w:space="0" w:color="auto"/>
                    <w:left w:val="none" w:sz="0" w:space="0" w:color="auto"/>
                    <w:bottom w:val="none" w:sz="0" w:space="0" w:color="auto"/>
                    <w:right w:val="none" w:sz="0" w:space="0" w:color="auto"/>
                  </w:divBdr>
                  <w:divsChild>
                    <w:div w:id="1955748667">
                      <w:marLeft w:val="0"/>
                      <w:marRight w:val="0"/>
                      <w:marTop w:val="0"/>
                      <w:marBottom w:val="0"/>
                      <w:divBdr>
                        <w:top w:val="none" w:sz="0" w:space="0" w:color="auto"/>
                        <w:left w:val="none" w:sz="0" w:space="0" w:color="auto"/>
                        <w:bottom w:val="none" w:sz="0" w:space="0" w:color="auto"/>
                        <w:right w:val="none" w:sz="0" w:space="0" w:color="auto"/>
                      </w:divBdr>
                    </w:div>
                  </w:divsChild>
                </w:div>
                <w:div w:id="196822373">
                  <w:marLeft w:val="0"/>
                  <w:marRight w:val="0"/>
                  <w:marTop w:val="0"/>
                  <w:marBottom w:val="0"/>
                  <w:divBdr>
                    <w:top w:val="none" w:sz="0" w:space="0" w:color="auto"/>
                    <w:left w:val="none" w:sz="0" w:space="0" w:color="auto"/>
                    <w:bottom w:val="none" w:sz="0" w:space="0" w:color="auto"/>
                    <w:right w:val="none" w:sz="0" w:space="0" w:color="auto"/>
                  </w:divBdr>
                  <w:divsChild>
                    <w:div w:id="274678185">
                      <w:marLeft w:val="0"/>
                      <w:marRight w:val="0"/>
                      <w:marTop w:val="0"/>
                      <w:marBottom w:val="0"/>
                      <w:divBdr>
                        <w:top w:val="none" w:sz="0" w:space="0" w:color="auto"/>
                        <w:left w:val="none" w:sz="0" w:space="0" w:color="auto"/>
                        <w:bottom w:val="none" w:sz="0" w:space="0" w:color="auto"/>
                        <w:right w:val="none" w:sz="0" w:space="0" w:color="auto"/>
                      </w:divBdr>
                    </w:div>
                  </w:divsChild>
                </w:div>
                <w:div w:id="212086435">
                  <w:marLeft w:val="0"/>
                  <w:marRight w:val="0"/>
                  <w:marTop w:val="0"/>
                  <w:marBottom w:val="0"/>
                  <w:divBdr>
                    <w:top w:val="none" w:sz="0" w:space="0" w:color="auto"/>
                    <w:left w:val="none" w:sz="0" w:space="0" w:color="auto"/>
                    <w:bottom w:val="none" w:sz="0" w:space="0" w:color="auto"/>
                    <w:right w:val="none" w:sz="0" w:space="0" w:color="auto"/>
                  </w:divBdr>
                  <w:divsChild>
                    <w:div w:id="941759947">
                      <w:marLeft w:val="0"/>
                      <w:marRight w:val="0"/>
                      <w:marTop w:val="0"/>
                      <w:marBottom w:val="0"/>
                      <w:divBdr>
                        <w:top w:val="none" w:sz="0" w:space="0" w:color="auto"/>
                        <w:left w:val="none" w:sz="0" w:space="0" w:color="auto"/>
                        <w:bottom w:val="none" w:sz="0" w:space="0" w:color="auto"/>
                        <w:right w:val="none" w:sz="0" w:space="0" w:color="auto"/>
                      </w:divBdr>
                    </w:div>
                  </w:divsChild>
                </w:div>
                <w:div w:id="221449175">
                  <w:marLeft w:val="0"/>
                  <w:marRight w:val="0"/>
                  <w:marTop w:val="0"/>
                  <w:marBottom w:val="0"/>
                  <w:divBdr>
                    <w:top w:val="none" w:sz="0" w:space="0" w:color="auto"/>
                    <w:left w:val="none" w:sz="0" w:space="0" w:color="auto"/>
                    <w:bottom w:val="none" w:sz="0" w:space="0" w:color="auto"/>
                    <w:right w:val="none" w:sz="0" w:space="0" w:color="auto"/>
                  </w:divBdr>
                  <w:divsChild>
                    <w:div w:id="1846362854">
                      <w:marLeft w:val="0"/>
                      <w:marRight w:val="0"/>
                      <w:marTop w:val="0"/>
                      <w:marBottom w:val="0"/>
                      <w:divBdr>
                        <w:top w:val="none" w:sz="0" w:space="0" w:color="auto"/>
                        <w:left w:val="none" w:sz="0" w:space="0" w:color="auto"/>
                        <w:bottom w:val="none" w:sz="0" w:space="0" w:color="auto"/>
                        <w:right w:val="none" w:sz="0" w:space="0" w:color="auto"/>
                      </w:divBdr>
                    </w:div>
                  </w:divsChild>
                </w:div>
                <w:div w:id="223562216">
                  <w:marLeft w:val="0"/>
                  <w:marRight w:val="0"/>
                  <w:marTop w:val="0"/>
                  <w:marBottom w:val="0"/>
                  <w:divBdr>
                    <w:top w:val="none" w:sz="0" w:space="0" w:color="auto"/>
                    <w:left w:val="none" w:sz="0" w:space="0" w:color="auto"/>
                    <w:bottom w:val="none" w:sz="0" w:space="0" w:color="auto"/>
                    <w:right w:val="none" w:sz="0" w:space="0" w:color="auto"/>
                  </w:divBdr>
                  <w:divsChild>
                    <w:div w:id="327176735">
                      <w:marLeft w:val="0"/>
                      <w:marRight w:val="0"/>
                      <w:marTop w:val="0"/>
                      <w:marBottom w:val="0"/>
                      <w:divBdr>
                        <w:top w:val="none" w:sz="0" w:space="0" w:color="auto"/>
                        <w:left w:val="none" w:sz="0" w:space="0" w:color="auto"/>
                        <w:bottom w:val="none" w:sz="0" w:space="0" w:color="auto"/>
                        <w:right w:val="none" w:sz="0" w:space="0" w:color="auto"/>
                      </w:divBdr>
                    </w:div>
                  </w:divsChild>
                </w:div>
                <w:div w:id="244533891">
                  <w:marLeft w:val="0"/>
                  <w:marRight w:val="0"/>
                  <w:marTop w:val="0"/>
                  <w:marBottom w:val="0"/>
                  <w:divBdr>
                    <w:top w:val="none" w:sz="0" w:space="0" w:color="auto"/>
                    <w:left w:val="none" w:sz="0" w:space="0" w:color="auto"/>
                    <w:bottom w:val="none" w:sz="0" w:space="0" w:color="auto"/>
                    <w:right w:val="none" w:sz="0" w:space="0" w:color="auto"/>
                  </w:divBdr>
                  <w:divsChild>
                    <w:div w:id="1667512765">
                      <w:marLeft w:val="0"/>
                      <w:marRight w:val="0"/>
                      <w:marTop w:val="0"/>
                      <w:marBottom w:val="0"/>
                      <w:divBdr>
                        <w:top w:val="none" w:sz="0" w:space="0" w:color="auto"/>
                        <w:left w:val="none" w:sz="0" w:space="0" w:color="auto"/>
                        <w:bottom w:val="none" w:sz="0" w:space="0" w:color="auto"/>
                        <w:right w:val="none" w:sz="0" w:space="0" w:color="auto"/>
                      </w:divBdr>
                    </w:div>
                  </w:divsChild>
                </w:div>
                <w:div w:id="260721776">
                  <w:marLeft w:val="0"/>
                  <w:marRight w:val="0"/>
                  <w:marTop w:val="0"/>
                  <w:marBottom w:val="0"/>
                  <w:divBdr>
                    <w:top w:val="none" w:sz="0" w:space="0" w:color="auto"/>
                    <w:left w:val="none" w:sz="0" w:space="0" w:color="auto"/>
                    <w:bottom w:val="none" w:sz="0" w:space="0" w:color="auto"/>
                    <w:right w:val="none" w:sz="0" w:space="0" w:color="auto"/>
                  </w:divBdr>
                  <w:divsChild>
                    <w:div w:id="618032900">
                      <w:marLeft w:val="0"/>
                      <w:marRight w:val="0"/>
                      <w:marTop w:val="0"/>
                      <w:marBottom w:val="0"/>
                      <w:divBdr>
                        <w:top w:val="none" w:sz="0" w:space="0" w:color="auto"/>
                        <w:left w:val="none" w:sz="0" w:space="0" w:color="auto"/>
                        <w:bottom w:val="none" w:sz="0" w:space="0" w:color="auto"/>
                        <w:right w:val="none" w:sz="0" w:space="0" w:color="auto"/>
                      </w:divBdr>
                    </w:div>
                  </w:divsChild>
                </w:div>
                <w:div w:id="268052987">
                  <w:marLeft w:val="0"/>
                  <w:marRight w:val="0"/>
                  <w:marTop w:val="0"/>
                  <w:marBottom w:val="0"/>
                  <w:divBdr>
                    <w:top w:val="none" w:sz="0" w:space="0" w:color="auto"/>
                    <w:left w:val="none" w:sz="0" w:space="0" w:color="auto"/>
                    <w:bottom w:val="none" w:sz="0" w:space="0" w:color="auto"/>
                    <w:right w:val="none" w:sz="0" w:space="0" w:color="auto"/>
                  </w:divBdr>
                  <w:divsChild>
                    <w:div w:id="602297797">
                      <w:marLeft w:val="0"/>
                      <w:marRight w:val="0"/>
                      <w:marTop w:val="0"/>
                      <w:marBottom w:val="0"/>
                      <w:divBdr>
                        <w:top w:val="none" w:sz="0" w:space="0" w:color="auto"/>
                        <w:left w:val="none" w:sz="0" w:space="0" w:color="auto"/>
                        <w:bottom w:val="none" w:sz="0" w:space="0" w:color="auto"/>
                        <w:right w:val="none" w:sz="0" w:space="0" w:color="auto"/>
                      </w:divBdr>
                    </w:div>
                  </w:divsChild>
                </w:div>
                <w:div w:id="276568941">
                  <w:marLeft w:val="0"/>
                  <w:marRight w:val="0"/>
                  <w:marTop w:val="0"/>
                  <w:marBottom w:val="0"/>
                  <w:divBdr>
                    <w:top w:val="none" w:sz="0" w:space="0" w:color="auto"/>
                    <w:left w:val="none" w:sz="0" w:space="0" w:color="auto"/>
                    <w:bottom w:val="none" w:sz="0" w:space="0" w:color="auto"/>
                    <w:right w:val="none" w:sz="0" w:space="0" w:color="auto"/>
                  </w:divBdr>
                  <w:divsChild>
                    <w:div w:id="155459396">
                      <w:marLeft w:val="0"/>
                      <w:marRight w:val="0"/>
                      <w:marTop w:val="0"/>
                      <w:marBottom w:val="0"/>
                      <w:divBdr>
                        <w:top w:val="none" w:sz="0" w:space="0" w:color="auto"/>
                        <w:left w:val="none" w:sz="0" w:space="0" w:color="auto"/>
                        <w:bottom w:val="none" w:sz="0" w:space="0" w:color="auto"/>
                        <w:right w:val="none" w:sz="0" w:space="0" w:color="auto"/>
                      </w:divBdr>
                    </w:div>
                  </w:divsChild>
                </w:div>
                <w:div w:id="279336634">
                  <w:marLeft w:val="0"/>
                  <w:marRight w:val="0"/>
                  <w:marTop w:val="0"/>
                  <w:marBottom w:val="0"/>
                  <w:divBdr>
                    <w:top w:val="none" w:sz="0" w:space="0" w:color="auto"/>
                    <w:left w:val="none" w:sz="0" w:space="0" w:color="auto"/>
                    <w:bottom w:val="none" w:sz="0" w:space="0" w:color="auto"/>
                    <w:right w:val="none" w:sz="0" w:space="0" w:color="auto"/>
                  </w:divBdr>
                  <w:divsChild>
                    <w:div w:id="2110391163">
                      <w:marLeft w:val="0"/>
                      <w:marRight w:val="0"/>
                      <w:marTop w:val="0"/>
                      <w:marBottom w:val="0"/>
                      <w:divBdr>
                        <w:top w:val="none" w:sz="0" w:space="0" w:color="auto"/>
                        <w:left w:val="none" w:sz="0" w:space="0" w:color="auto"/>
                        <w:bottom w:val="none" w:sz="0" w:space="0" w:color="auto"/>
                        <w:right w:val="none" w:sz="0" w:space="0" w:color="auto"/>
                      </w:divBdr>
                    </w:div>
                  </w:divsChild>
                </w:div>
                <w:div w:id="296229037">
                  <w:marLeft w:val="0"/>
                  <w:marRight w:val="0"/>
                  <w:marTop w:val="0"/>
                  <w:marBottom w:val="0"/>
                  <w:divBdr>
                    <w:top w:val="none" w:sz="0" w:space="0" w:color="auto"/>
                    <w:left w:val="none" w:sz="0" w:space="0" w:color="auto"/>
                    <w:bottom w:val="none" w:sz="0" w:space="0" w:color="auto"/>
                    <w:right w:val="none" w:sz="0" w:space="0" w:color="auto"/>
                  </w:divBdr>
                  <w:divsChild>
                    <w:div w:id="1337922895">
                      <w:marLeft w:val="0"/>
                      <w:marRight w:val="0"/>
                      <w:marTop w:val="0"/>
                      <w:marBottom w:val="0"/>
                      <w:divBdr>
                        <w:top w:val="none" w:sz="0" w:space="0" w:color="auto"/>
                        <w:left w:val="none" w:sz="0" w:space="0" w:color="auto"/>
                        <w:bottom w:val="none" w:sz="0" w:space="0" w:color="auto"/>
                        <w:right w:val="none" w:sz="0" w:space="0" w:color="auto"/>
                      </w:divBdr>
                    </w:div>
                  </w:divsChild>
                </w:div>
                <w:div w:id="300161959">
                  <w:marLeft w:val="0"/>
                  <w:marRight w:val="0"/>
                  <w:marTop w:val="0"/>
                  <w:marBottom w:val="0"/>
                  <w:divBdr>
                    <w:top w:val="none" w:sz="0" w:space="0" w:color="auto"/>
                    <w:left w:val="none" w:sz="0" w:space="0" w:color="auto"/>
                    <w:bottom w:val="none" w:sz="0" w:space="0" w:color="auto"/>
                    <w:right w:val="none" w:sz="0" w:space="0" w:color="auto"/>
                  </w:divBdr>
                  <w:divsChild>
                    <w:div w:id="983701336">
                      <w:marLeft w:val="0"/>
                      <w:marRight w:val="0"/>
                      <w:marTop w:val="0"/>
                      <w:marBottom w:val="0"/>
                      <w:divBdr>
                        <w:top w:val="none" w:sz="0" w:space="0" w:color="auto"/>
                        <w:left w:val="none" w:sz="0" w:space="0" w:color="auto"/>
                        <w:bottom w:val="none" w:sz="0" w:space="0" w:color="auto"/>
                        <w:right w:val="none" w:sz="0" w:space="0" w:color="auto"/>
                      </w:divBdr>
                    </w:div>
                  </w:divsChild>
                </w:div>
                <w:div w:id="336467077">
                  <w:marLeft w:val="0"/>
                  <w:marRight w:val="0"/>
                  <w:marTop w:val="0"/>
                  <w:marBottom w:val="0"/>
                  <w:divBdr>
                    <w:top w:val="none" w:sz="0" w:space="0" w:color="auto"/>
                    <w:left w:val="none" w:sz="0" w:space="0" w:color="auto"/>
                    <w:bottom w:val="none" w:sz="0" w:space="0" w:color="auto"/>
                    <w:right w:val="none" w:sz="0" w:space="0" w:color="auto"/>
                  </w:divBdr>
                  <w:divsChild>
                    <w:div w:id="2003269694">
                      <w:marLeft w:val="0"/>
                      <w:marRight w:val="0"/>
                      <w:marTop w:val="0"/>
                      <w:marBottom w:val="0"/>
                      <w:divBdr>
                        <w:top w:val="none" w:sz="0" w:space="0" w:color="auto"/>
                        <w:left w:val="none" w:sz="0" w:space="0" w:color="auto"/>
                        <w:bottom w:val="none" w:sz="0" w:space="0" w:color="auto"/>
                        <w:right w:val="none" w:sz="0" w:space="0" w:color="auto"/>
                      </w:divBdr>
                    </w:div>
                  </w:divsChild>
                </w:div>
                <w:div w:id="341904572">
                  <w:marLeft w:val="0"/>
                  <w:marRight w:val="0"/>
                  <w:marTop w:val="0"/>
                  <w:marBottom w:val="0"/>
                  <w:divBdr>
                    <w:top w:val="none" w:sz="0" w:space="0" w:color="auto"/>
                    <w:left w:val="none" w:sz="0" w:space="0" w:color="auto"/>
                    <w:bottom w:val="none" w:sz="0" w:space="0" w:color="auto"/>
                    <w:right w:val="none" w:sz="0" w:space="0" w:color="auto"/>
                  </w:divBdr>
                  <w:divsChild>
                    <w:div w:id="2019887522">
                      <w:marLeft w:val="0"/>
                      <w:marRight w:val="0"/>
                      <w:marTop w:val="0"/>
                      <w:marBottom w:val="0"/>
                      <w:divBdr>
                        <w:top w:val="none" w:sz="0" w:space="0" w:color="auto"/>
                        <w:left w:val="none" w:sz="0" w:space="0" w:color="auto"/>
                        <w:bottom w:val="none" w:sz="0" w:space="0" w:color="auto"/>
                        <w:right w:val="none" w:sz="0" w:space="0" w:color="auto"/>
                      </w:divBdr>
                    </w:div>
                  </w:divsChild>
                </w:div>
                <w:div w:id="371924382">
                  <w:marLeft w:val="0"/>
                  <w:marRight w:val="0"/>
                  <w:marTop w:val="0"/>
                  <w:marBottom w:val="0"/>
                  <w:divBdr>
                    <w:top w:val="none" w:sz="0" w:space="0" w:color="auto"/>
                    <w:left w:val="none" w:sz="0" w:space="0" w:color="auto"/>
                    <w:bottom w:val="none" w:sz="0" w:space="0" w:color="auto"/>
                    <w:right w:val="none" w:sz="0" w:space="0" w:color="auto"/>
                  </w:divBdr>
                  <w:divsChild>
                    <w:div w:id="1652556217">
                      <w:marLeft w:val="0"/>
                      <w:marRight w:val="0"/>
                      <w:marTop w:val="0"/>
                      <w:marBottom w:val="0"/>
                      <w:divBdr>
                        <w:top w:val="none" w:sz="0" w:space="0" w:color="auto"/>
                        <w:left w:val="none" w:sz="0" w:space="0" w:color="auto"/>
                        <w:bottom w:val="none" w:sz="0" w:space="0" w:color="auto"/>
                        <w:right w:val="none" w:sz="0" w:space="0" w:color="auto"/>
                      </w:divBdr>
                    </w:div>
                  </w:divsChild>
                </w:div>
                <w:div w:id="374618007">
                  <w:marLeft w:val="0"/>
                  <w:marRight w:val="0"/>
                  <w:marTop w:val="0"/>
                  <w:marBottom w:val="0"/>
                  <w:divBdr>
                    <w:top w:val="none" w:sz="0" w:space="0" w:color="auto"/>
                    <w:left w:val="none" w:sz="0" w:space="0" w:color="auto"/>
                    <w:bottom w:val="none" w:sz="0" w:space="0" w:color="auto"/>
                    <w:right w:val="none" w:sz="0" w:space="0" w:color="auto"/>
                  </w:divBdr>
                  <w:divsChild>
                    <w:div w:id="1239897818">
                      <w:marLeft w:val="0"/>
                      <w:marRight w:val="0"/>
                      <w:marTop w:val="0"/>
                      <w:marBottom w:val="0"/>
                      <w:divBdr>
                        <w:top w:val="none" w:sz="0" w:space="0" w:color="auto"/>
                        <w:left w:val="none" w:sz="0" w:space="0" w:color="auto"/>
                        <w:bottom w:val="none" w:sz="0" w:space="0" w:color="auto"/>
                        <w:right w:val="none" w:sz="0" w:space="0" w:color="auto"/>
                      </w:divBdr>
                    </w:div>
                  </w:divsChild>
                </w:div>
                <w:div w:id="388892180">
                  <w:marLeft w:val="0"/>
                  <w:marRight w:val="0"/>
                  <w:marTop w:val="0"/>
                  <w:marBottom w:val="0"/>
                  <w:divBdr>
                    <w:top w:val="none" w:sz="0" w:space="0" w:color="auto"/>
                    <w:left w:val="none" w:sz="0" w:space="0" w:color="auto"/>
                    <w:bottom w:val="none" w:sz="0" w:space="0" w:color="auto"/>
                    <w:right w:val="none" w:sz="0" w:space="0" w:color="auto"/>
                  </w:divBdr>
                  <w:divsChild>
                    <w:div w:id="318387031">
                      <w:marLeft w:val="0"/>
                      <w:marRight w:val="0"/>
                      <w:marTop w:val="0"/>
                      <w:marBottom w:val="0"/>
                      <w:divBdr>
                        <w:top w:val="none" w:sz="0" w:space="0" w:color="auto"/>
                        <w:left w:val="none" w:sz="0" w:space="0" w:color="auto"/>
                        <w:bottom w:val="none" w:sz="0" w:space="0" w:color="auto"/>
                        <w:right w:val="none" w:sz="0" w:space="0" w:color="auto"/>
                      </w:divBdr>
                    </w:div>
                  </w:divsChild>
                </w:div>
                <w:div w:id="400831348">
                  <w:marLeft w:val="0"/>
                  <w:marRight w:val="0"/>
                  <w:marTop w:val="0"/>
                  <w:marBottom w:val="0"/>
                  <w:divBdr>
                    <w:top w:val="none" w:sz="0" w:space="0" w:color="auto"/>
                    <w:left w:val="none" w:sz="0" w:space="0" w:color="auto"/>
                    <w:bottom w:val="none" w:sz="0" w:space="0" w:color="auto"/>
                    <w:right w:val="none" w:sz="0" w:space="0" w:color="auto"/>
                  </w:divBdr>
                  <w:divsChild>
                    <w:div w:id="410394650">
                      <w:marLeft w:val="0"/>
                      <w:marRight w:val="0"/>
                      <w:marTop w:val="0"/>
                      <w:marBottom w:val="0"/>
                      <w:divBdr>
                        <w:top w:val="none" w:sz="0" w:space="0" w:color="auto"/>
                        <w:left w:val="none" w:sz="0" w:space="0" w:color="auto"/>
                        <w:bottom w:val="none" w:sz="0" w:space="0" w:color="auto"/>
                        <w:right w:val="none" w:sz="0" w:space="0" w:color="auto"/>
                      </w:divBdr>
                    </w:div>
                  </w:divsChild>
                </w:div>
                <w:div w:id="404452205">
                  <w:marLeft w:val="0"/>
                  <w:marRight w:val="0"/>
                  <w:marTop w:val="0"/>
                  <w:marBottom w:val="0"/>
                  <w:divBdr>
                    <w:top w:val="none" w:sz="0" w:space="0" w:color="auto"/>
                    <w:left w:val="none" w:sz="0" w:space="0" w:color="auto"/>
                    <w:bottom w:val="none" w:sz="0" w:space="0" w:color="auto"/>
                    <w:right w:val="none" w:sz="0" w:space="0" w:color="auto"/>
                  </w:divBdr>
                  <w:divsChild>
                    <w:div w:id="988747358">
                      <w:marLeft w:val="0"/>
                      <w:marRight w:val="0"/>
                      <w:marTop w:val="0"/>
                      <w:marBottom w:val="0"/>
                      <w:divBdr>
                        <w:top w:val="none" w:sz="0" w:space="0" w:color="auto"/>
                        <w:left w:val="none" w:sz="0" w:space="0" w:color="auto"/>
                        <w:bottom w:val="none" w:sz="0" w:space="0" w:color="auto"/>
                        <w:right w:val="none" w:sz="0" w:space="0" w:color="auto"/>
                      </w:divBdr>
                    </w:div>
                  </w:divsChild>
                </w:div>
                <w:div w:id="407507804">
                  <w:marLeft w:val="0"/>
                  <w:marRight w:val="0"/>
                  <w:marTop w:val="0"/>
                  <w:marBottom w:val="0"/>
                  <w:divBdr>
                    <w:top w:val="none" w:sz="0" w:space="0" w:color="auto"/>
                    <w:left w:val="none" w:sz="0" w:space="0" w:color="auto"/>
                    <w:bottom w:val="none" w:sz="0" w:space="0" w:color="auto"/>
                    <w:right w:val="none" w:sz="0" w:space="0" w:color="auto"/>
                  </w:divBdr>
                  <w:divsChild>
                    <w:div w:id="425344212">
                      <w:marLeft w:val="0"/>
                      <w:marRight w:val="0"/>
                      <w:marTop w:val="0"/>
                      <w:marBottom w:val="0"/>
                      <w:divBdr>
                        <w:top w:val="none" w:sz="0" w:space="0" w:color="auto"/>
                        <w:left w:val="none" w:sz="0" w:space="0" w:color="auto"/>
                        <w:bottom w:val="none" w:sz="0" w:space="0" w:color="auto"/>
                        <w:right w:val="none" w:sz="0" w:space="0" w:color="auto"/>
                      </w:divBdr>
                    </w:div>
                  </w:divsChild>
                </w:div>
                <w:div w:id="408818508">
                  <w:marLeft w:val="0"/>
                  <w:marRight w:val="0"/>
                  <w:marTop w:val="0"/>
                  <w:marBottom w:val="0"/>
                  <w:divBdr>
                    <w:top w:val="none" w:sz="0" w:space="0" w:color="auto"/>
                    <w:left w:val="none" w:sz="0" w:space="0" w:color="auto"/>
                    <w:bottom w:val="none" w:sz="0" w:space="0" w:color="auto"/>
                    <w:right w:val="none" w:sz="0" w:space="0" w:color="auto"/>
                  </w:divBdr>
                  <w:divsChild>
                    <w:div w:id="1079207116">
                      <w:marLeft w:val="0"/>
                      <w:marRight w:val="0"/>
                      <w:marTop w:val="0"/>
                      <w:marBottom w:val="0"/>
                      <w:divBdr>
                        <w:top w:val="none" w:sz="0" w:space="0" w:color="auto"/>
                        <w:left w:val="none" w:sz="0" w:space="0" w:color="auto"/>
                        <w:bottom w:val="none" w:sz="0" w:space="0" w:color="auto"/>
                        <w:right w:val="none" w:sz="0" w:space="0" w:color="auto"/>
                      </w:divBdr>
                    </w:div>
                  </w:divsChild>
                </w:div>
                <w:div w:id="412775120">
                  <w:marLeft w:val="0"/>
                  <w:marRight w:val="0"/>
                  <w:marTop w:val="0"/>
                  <w:marBottom w:val="0"/>
                  <w:divBdr>
                    <w:top w:val="none" w:sz="0" w:space="0" w:color="auto"/>
                    <w:left w:val="none" w:sz="0" w:space="0" w:color="auto"/>
                    <w:bottom w:val="none" w:sz="0" w:space="0" w:color="auto"/>
                    <w:right w:val="none" w:sz="0" w:space="0" w:color="auto"/>
                  </w:divBdr>
                  <w:divsChild>
                    <w:div w:id="883294359">
                      <w:marLeft w:val="0"/>
                      <w:marRight w:val="0"/>
                      <w:marTop w:val="0"/>
                      <w:marBottom w:val="0"/>
                      <w:divBdr>
                        <w:top w:val="none" w:sz="0" w:space="0" w:color="auto"/>
                        <w:left w:val="none" w:sz="0" w:space="0" w:color="auto"/>
                        <w:bottom w:val="none" w:sz="0" w:space="0" w:color="auto"/>
                        <w:right w:val="none" w:sz="0" w:space="0" w:color="auto"/>
                      </w:divBdr>
                    </w:div>
                  </w:divsChild>
                </w:div>
                <w:div w:id="443231963">
                  <w:marLeft w:val="0"/>
                  <w:marRight w:val="0"/>
                  <w:marTop w:val="0"/>
                  <w:marBottom w:val="0"/>
                  <w:divBdr>
                    <w:top w:val="none" w:sz="0" w:space="0" w:color="auto"/>
                    <w:left w:val="none" w:sz="0" w:space="0" w:color="auto"/>
                    <w:bottom w:val="none" w:sz="0" w:space="0" w:color="auto"/>
                    <w:right w:val="none" w:sz="0" w:space="0" w:color="auto"/>
                  </w:divBdr>
                  <w:divsChild>
                    <w:div w:id="1923178990">
                      <w:marLeft w:val="0"/>
                      <w:marRight w:val="0"/>
                      <w:marTop w:val="0"/>
                      <w:marBottom w:val="0"/>
                      <w:divBdr>
                        <w:top w:val="none" w:sz="0" w:space="0" w:color="auto"/>
                        <w:left w:val="none" w:sz="0" w:space="0" w:color="auto"/>
                        <w:bottom w:val="none" w:sz="0" w:space="0" w:color="auto"/>
                        <w:right w:val="none" w:sz="0" w:space="0" w:color="auto"/>
                      </w:divBdr>
                    </w:div>
                  </w:divsChild>
                </w:div>
                <w:div w:id="460806022">
                  <w:marLeft w:val="0"/>
                  <w:marRight w:val="0"/>
                  <w:marTop w:val="0"/>
                  <w:marBottom w:val="0"/>
                  <w:divBdr>
                    <w:top w:val="none" w:sz="0" w:space="0" w:color="auto"/>
                    <w:left w:val="none" w:sz="0" w:space="0" w:color="auto"/>
                    <w:bottom w:val="none" w:sz="0" w:space="0" w:color="auto"/>
                    <w:right w:val="none" w:sz="0" w:space="0" w:color="auto"/>
                  </w:divBdr>
                  <w:divsChild>
                    <w:div w:id="110324854">
                      <w:marLeft w:val="0"/>
                      <w:marRight w:val="0"/>
                      <w:marTop w:val="0"/>
                      <w:marBottom w:val="0"/>
                      <w:divBdr>
                        <w:top w:val="none" w:sz="0" w:space="0" w:color="auto"/>
                        <w:left w:val="none" w:sz="0" w:space="0" w:color="auto"/>
                        <w:bottom w:val="none" w:sz="0" w:space="0" w:color="auto"/>
                        <w:right w:val="none" w:sz="0" w:space="0" w:color="auto"/>
                      </w:divBdr>
                    </w:div>
                  </w:divsChild>
                </w:div>
                <w:div w:id="479267515">
                  <w:marLeft w:val="0"/>
                  <w:marRight w:val="0"/>
                  <w:marTop w:val="0"/>
                  <w:marBottom w:val="0"/>
                  <w:divBdr>
                    <w:top w:val="none" w:sz="0" w:space="0" w:color="auto"/>
                    <w:left w:val="none" w:sz="0" w:space="0" w:color="auto"/>
                    <w:bottom w:val="none" w:sz="0" w:space="0" w:color="auto"/>
                    <w:right w:val="none" w:sz="0" w:space="0" w:color="auto"/>
                  </w:divBdr>
                  <w:divsChild>
                    <w:div w:id="1001280178">
                      <w:marLeft w:val="0"/>
                      <w:marRight w:val="0"/>
                      <w:marTop w:val="0"/>
                      <w:marBottom w:val="0"/>
                      <w:divBdr>
                        <w:top w:val="none" w:sz="0" w:space="0" w:color="auto"/>
                        <w:left w:val="none" w:sz="0" w:space="0" w:color="auto"/>
                        <w:bottom w:val="none" w:sz="0" w:space="0" w:color="auto"/>
                        <w:right w:val="none" w:sz="0" w:space="0" w:color="auto"/>
                      </w:divBdr>
                    </w:div>
                  </w:divsChild>
                </w:div>
                <w:div w:id="486483411">
                  <w:marLeft w:val="0"/>
                  <w:marRight w:val="0"/>
                  <w:marTop w:val="0"/>
                  <w:marBottom w:val="0"/>
                  <w:divBdr>
                    <w:top w:val="none" w:sz="0" w:space="0" w:color="auto"/>
                    <w:left w:val="none" w:sz="0" w:space="0" w:color="auto"/>
                    <w:bottom w:val="none" w:sz="0" w:space="0" w:color="auto"/>
                    <w:right w:val="none" w:sz="0" w:space="0" w:color="auto"/>
                  </w:divBdr>
                  <w:divsChild>
                    <w:div w:id="594244213">
                      <w:marLeft w:val="0"/>
                      <w:marRight w:val="0"/>
                      <w:marTop w:val="0"/>
                      <w:marBottom w:val="0"/>
                      <w:divBdr>
                        <w:top w:val="none" w:sz="0" w:space="0" w:color="auto"/>
                        <w:left w:val="none" w:sz="0" w:space="0" w:color="auto"/>
                        <w:bottom w:val="none" w:sz="0" w:space="0" w:color="auto"/>
                        <w:right w:val="none" w:sz="0" w:space="0" w:color="auto"/>
                      </w:divBdr>
                    </w:div>
                  </w:divsChild>
                </w:div>
                <w:div w:id="533811418">
                  <w:marLeft w:val="0"/>
                  <w:marRight w:val="0"/>
                  <w:marTop w:val="0"/>
                  <w:marBottom w:val="0"/>
                  <w:divBdr>
                    <w:top w:val="none" w:sz="0" w:space="0" w:color="auto"/>
                    <w:left w:val="none" w:sz="0" w:space="0" w:color="auto"/>
                    <w:bottom w:val="none" w:sz="0" w:space="0" w:color="auto"/>
                    <w:right w:val="none" w:sz="0" w:space="0" w:color="auto"/>
                  </w:divBdr>
                  <w:divsChild>
                    <w:div w:id="1408575021">
                      <w:marLeft w:val="0"/>
                      <w:marRight w:val="0"/>
                      <w:marTop w:val="0"/>
                      <w:marBottom w:val="0"/>
                      <w:divBdr>
                        <w:top w:val="none" w:sz="0" w:space="0" w:color="auto"/>
                        <w:left w:val="none" w:sz="0" w:space="0" w:color="auto"/>
                        <w:bottom w:val="none" w:sz="0" w:space="0" w:color="auto"/>
                        <w:right w:val="none" w:sz="0" w:space="0" w:color="auto"/>
                      </w:divBdr>
                    </w:div>
                  </w:divsChild>
                </w:div>
                <w:div w:id="534196339">
                  <w:marLeft w:val="0"/>
                  <w:marRight w:val="0"/>
                  <w:marTop w:val="0"/>
                  <w:marBottom w:val="0"/>
                  <w:divBdr>
                    <w:top w:val="none" w:sz="0" w:space="0" w:color="auto"/>
                    <w:left w:val="none" w:sz="0" w:space="0" w:color="auto"/>
                    <w:bottom w:val="none" w:sz="0" w:space="0" w:color="auto"/>
                    <w:right w:val="none" w:sz="0" w:space="0" w:color="auto"/>
                  </w:divBdr>
                  <w:divsChild>
                    <w:div w:id="1135218389">
                      <w:marLeft w:val="0"/>
                      <w:marRight w:val="0"/>
                      <w:marTop w:val="0"/>
                      <w:marBottom w:val="0"/>
                      <w:divBdr>
                        <w:top w:val="none" w:sz="0" w:space="0" w:color="auto"/>
                        <w:left w:val="none" w:sz="0" w:space="0" w:color="auto"/>
                        <w:bottom w:val="none" w:sz="0" w:space="0" w:color="auto"/>
                        <w:right w:val="none" w:sz="0" w:space="0" w:color="auto"/>
                      </w:divBdr>
                    </w:div>
                  </w:divsChild>
                </w:div>
                <w:div w:id="551430789">
                  <w:marLeft w:val="0"/>
                  <w:marRight w:val="0"/>
                  <w:marTop w:val="0"/>
                  <w:marBottom w:val="0"/>
                  <w:divBdr>
                    <w:top w:val="none" w:sz="0" w:space="0" w:color="auto"/>
                    <w:left w:val="none" w:sz="0" w:space="0" w:color="auto"/>
                    <w:bottom w:val="none" w:sz="0" w:space="0" w:color="auto"/>
                    <w:right w:val="none" w:sz="0" w:space="0" w:color="auto"/>
                  </w:divBdr>
                  <w:divsChild>
                    <w:div w:id="262616946">
                      <w:marLeft w:val="0"/>
                      <w:marRight w:val="0"/>
                      <w:marTop w:val="0"/>
                      <w:marBottom w:val="0"/>
                      <w:divBdr>
                        <w:top w:val="none" w:sz="0" w:space="0" w:color="auto"/>
                        <w:left w:val="none" w:sz="0" w:space="0" w:color="auto"/>
                        <w:bottom w:val="none" w:sz="0" w:space="0" w:color="auto"/>
                        <w:right w:val="none" w:sz="0" w:space="0" w:color="auto"/>
                      </w:divBdr>
                    </w:div>
                  </w:divsChild>
                </w:div>
                <w:div w:id="557712056">
                  <w:marLeft w:val="0"/>
                  <w:marRight w:val="0"/>
                  <w:marTop w:val="0"/>
                  <w:marBottom w:val="0"/>
                  <w:divBdr>
                    <w:top w:val="none" w:sz="0" w:space="0" w:color="auto"/>
                    <w:left w:val="none" w:sz="0" w:space="0" w:color="auto"/>
                    <w:bottom w:val="none" w:sz="0" w:space="0" w:color="auto"/>
                    <w:right w:val="none" w:sz="0" w:space="0" w:color="auto"/>
                  </w:divBdr>
                  <w:divsChild>
                    <w:div w:id="1756827039">
                      <w:marLeft w:val="0"/>
                      <w:marRight w:val="0"/>
                      <w:marTop w:val="0"/>
                      <w:marBottom w:val="0"/>
                      <w:divBdr>
                        <w:top w:val="none" w:sz="0" w:space="0" w:color="auto"/>
                        <w:left w:val="none" w:sz="0" w:space="0" w:color="auto"/>
                        <w:bottom w:val="none" w:sz="0" w:space="0" w:color="auto"/>
                        <w:right w:val="none" w:sz="0" w:space="0" w:color="auto"/>
                      </w:divBdr>
                    </w:div>
                  </w:divsChild>
                </w:div>
                <w:div w:id="592591860">
                  <w:marLeft w:val="0"/>
                  <w:marRight w:val="0"/>
                  <w:marTop w:val="0"/>
                  <w:marBottom w:val="0"/>
                  <w:divBdr>
                    <w:top w:val="none" w:sz="0" w:space="0" w:color="auto"/>
                    <w:left w:val="none" w:sz="0" w:space="0" w:color="auto"/>
                    <w:bottom w:val="none" w:sz="0" w:space="0" w:color="auto"/>
                    <w:right w:val="none" w:sz="0" w:space="0" w:color="auto"/>
                  </w:divBdr>
                  <w:divsChild>
                    <w:div w:id="569342208">
                      <w:marLeft w:val="0"/>
                      <w:marRight w:val="0"/>
                      <w:marTop w:val="0"/>
                      <w:marBottom w:val="0"/>
                      <w:divBdr>
                        <w:top w:val="none" w:sz="0" w:space="0" w:color="auto"/>
                        <w:left w:val="none" w:sz="0" w:space="0" w:color="auto"/>
                        <w:bottom w:val="none" w:sz="0" w:space="0" w:color="auto"/>
                        <w:right w:val="none" w:sz="0" w:space="0" w:color="auto"/>
                      </w:divBdr>
                    </w:div>
                  </w:divsChild>
                </w:div>
                <w:div w:id="598871343">
                  <w:marLeft w:val="0"/>
                  <w:marRight w:val="0"/>
                  <w:marTop w:val="0"/>
                  <w:marBottom w:val="0"/>
                  <w:divBdr>
                    <w:top w:val="none" w:sz="0" w:space="0" w:color="auto"/>
                    <w:left w:val="none" w:sz="0" w:space="0" w:color="auto"/>
                    <w:bottom w:val="none" w:sz="0" w:space="0" w:color="auto"/>
                    <w:right w:val="none" w:sz="0" w:space="0" w:color="auto"/>
                  </w:divBdr>
                  <w:divsChild>
                    <w:div w:id="1492401868">
                      <w:marLeft w:val="0"/>
                      <w:marRight w:val="0"/>
                      <w:marTop w:val="0"/>
                      <w:marBottom w:val="0"/>
                      <w:divBdr>
                        <w:top w:val="none" w:sz="0" w:space="0" w:color="auto"/>
                        <w:left w:val="none" w:sz="0" w:space="0" w:color="auto"/>
                        <w:bottom w:val="none" w:sz="0" w:space="0" w:color="auto"/>
                        <w:right w:val="none" w:sz="0" w:space="0" w:color="auto"/>
                      </w:divBdr>
                    </w:div>
                  </w:divsChild>
                </w:div>
                <w:div w:id="620039356">
                  <w:marLeft w:val="0"/>
                  <w:marRight w:val="0"/>
                  <w:marTop w:val="0"/>
                  <w:marBottom w:val="0"/>
                  <w:divBdr>
                    <w:top w:val="none" w:sz="0" w:space="0" w:color="auto"/>
                    <w:left w:val="none" w:sz="0" w:space="0" w:color="auto"/>
                    <w:bottom w:val="none" w:sz="0" w:space="0" w:color="auto"/>
                    <w:right w:val="none" w:sz="0" w:space="0" w:color="auto"/>
                  </w:divBdr>
                  <w:divsChild>
                    <w:div w:id="1693337462">
                      <w:marLeft w:val="0"/>
                      <w:marRight w:val="0"/>
                      <w:marTop w:val="0"/>
                      <w:marBottom w:val="0"/>
                      <w:divBdr>
                        <w:top w:val="none" w:sz="0" w:space="0" w:color="auto"/>
                        <w:left w:val="none" w:sz="0" w:space="0" w:color="auto"/>
                        <w:bottom w:val="none" w:sz="0" w:space="0" w:color="auto"/>
                        <w:right w:val="none" w:sz="0" w:space="0" w:color="auto"/>
                      </w:divBdr>
                    </w:div>
                  </w:divsChild>
                </w:div>
                <w:div w:id="630476867">
                  <w:marLeft w:val="0"/>
                  <w:marRight w:val="0"/>
                  <w:marTop w:val="0"/>
                  <w:marBottom w:val="0"/>
                  <w:divBdr>
                    <w:top w:val="none" w:sz="0" w:space="0" w:color="auto"/>
                    <w:left w:val="none" w:sz="0" w:space="0" w:color="auto"/>
                    <w:bottom w:val="none" w:sz="0" w:space="0" w:color="auto"/>
                    <w:right w:val="none" w:sz="0" w:space="0" w:color="auto"/>
                  </w:divBdr>
                  <w:divsChild>
                    <w:div w:id="814951468">
                      <w:marLeft w:val="0"/>
                      <w:marRight w:val="0"/>
                      <w:marTop w:val="0"/>
                      <w:marBottom w:val="0"/>
                      <w:divBdr>
                        <w:top w:val="none" w:sz="0" w:space="0" w:color="auto"/>
                        <w:left w:val="none" w:sz="0" w:space="0" w:color="auto"/>
                        <w:bottom w:val="none" w:sz="0" w:space="0" w:color="auto"/>
                        <w:right w:val="none" w:sz="0" w:space="0" w:color="auto"/>
                      </w:divBdr>
                    </w:div>
                  </w:divsChild>
                </w:div>
                <w:div w:id="644311786">
                  <w:marLeft w:val="0"/>
                  <w:marRight w:val="0"/>
                  <w:marTop w:val="0"/>
                  <w:marBottom w:val="0"/>
                  <w:divBdr>
                    <w:top w:val="none" w:sz="0" w:space="0" w:color="auto"/>
                    <w:left w:val="none" w:sz="0" w:space="0" w:color="auto"/>
                    <w:bottom w:val="none" w:sz="0" w:space="0" w:color="auto"/>
                    <w:right w:val="none" w:sz="0" w:space="0" w:color="auto"/>
                  </w:divBdr>
                  <w:divsChild>
                    <w:div w:id="996418720">
                      <w:marLeft w:val="0"/>
                      <w:marRight w:val="0"/>
                      <w:marTop w:val="0"/>
                      <w:marBottom w:val="0"/>
                      <w:divBdr>
                        <w:top w:val="none" w:sz="0" w:space="0" w:color="auto"/>
                        <w:left w:val="none" w:sz="0" w:space="0" w:color="auto"/>
                        <w:bottom w:val="none" w:sz="0" w:space="0" w:color="auto"/>
                        <w:right w:val="none" w:sz="0" w:space="0" w:color="auto"/>
                      </w:divBdr>
                    </w:div>
                  </w:divsChild>
                </w:div>
                <w:div w:id="658002772">
                  <w:marLeft w:val="0"/>
                  <w:marRight w:val="0"/>
                  <w:marTop w:val="0"/>
                  <w:marBottom w:val="0"/>
                  <w:divBdr>
                    <w:top w:val="none" w:sz="0" w:space="0" w:color="auto"/>
                    <w:left w:val="none" w:sz="0" w:space="0" w:color="auto"/>
                    <w:bottom w:val="none" w:sz="0" w:space="0" w:color="auto"/>
                    <w:right w:val="none" w:sz="0" w:space="0" w:color="auto"/>
                  </w:divBdr>
                  <w:divsChild>
                    <w:div w:id="516119489">
                      <w:marLeft w:val="0"/>
                      <w:marRight w:val="0"/>
                      <w:marTop w:val="0"/>
                      <w:marBottom w:val="0"/>
                      <w:divBdr>
                        <w:top w:val="none" w:sz="0" w:space="0" w:color="auto"/>
                        <w:left w:val="none" w:sz="0" w:space="0" w:color="auto"/>
                        <w:bottom w:val="none" w:sz="0" w:space="0" w:color="auto"/>
                        <w:right w:val="none" w:sz="0" w:space="0" w:color="auto"/>
                      </w:divBdr>
                    </w:div>
                  </w:divsChild>
                </w:div>
                <w:div w:id="674452579">
                  <w:marLeft w:val="0"/>
                  <w:marRight w:val="0"/>
                  <w:marTop w:val="0"/>
                  <w:marBottom w:val="0"/>
                  <w:divBdr>
                    <w:top w:val="none" w:sz="0" w:space="0" w:color="auto"/>
                    <w:left w:val="none" w:sz="0" w:space="0" w:color="auto"/>
                    <w:bottom w:val="none" w:sz="0" w:space="0" w:color="auto"/>
                    <w:right w:val="none" w:sz="0" w:space="0" w:color="auto"/>
                  </w:divBdr>
                  <w:divsChild>
                    <w:div w:id="1366834948">
                      <w:marLeft w:val="0"/>
                      <w:marRight w:val="0"/>
                      <w:marTop w:val="0"/>
                      <w:marBottom w:val="0"/>
                      <w:divBdr>
                        <w:top w:val="none" w:sz="0" w:space="0" w:color="auto"/>
                        <w:left w:val="none" w:sz="0" w:space="0" w:color="auto"/>
                        <w:bottom w:val="none" w:sz="0" w:space="0" w:color="auto"/>
                        <w:right w:val="none" w:sz="0" w:space="0" w:color="auto"/>
                      </w:divBdr>
                    </w:div>
                  </w:divsChild>
                </w:div>
                <w:div w:id="678315284">
                  <w:marLeft w:val="0"/>
                  <w:marRight w:val="0"/>
                  <w:marTop w:val="0"/>
                  <w:marBottom w:val="0"/>
                  <w:divBdr>
                    <w:top w:val="none" w:sz="0" w:space="0" w:color="auto"/>
                    <w:left w:val="none" w:sz="0" w:space="0" w:color="auto"/>
                    <w:bottom w:val="none" w:sz="0" w:space="0" w:color="auto"/>
                    <w:right w:val="none" w:sz="0" w:space="0" w:color="auto"/>
                  </w:divBdr>
                  <w:divsChild>
                    <w:div w:id="2093501616">
                      <w:marLeft w:val="0"/>
                      <w:marRight w:val="0"/>
                      <w:marTop w:val="0"/>
                      <w:marBottom w:val="0"/>
                      <w:divBdr>
                        <w:top w:val="none" w:sz="0" w:space="0" w:color="auto"/>
                        <w:left w:val="none" w:sz="0" w:space="0" w:color="auto"/>
                        <w:bottom w:val="none" w:sz="0" w:space="0" w:color="auto"/>
                        <w:right w:val="none" w:sz="0" w:space="0" w:color="auto"/>
                      </w:divBdr>
                    </w:div>
                  </w:divsChild>
                </w:div>
                <w:div w:id="681006289">
                  <w:marLeft w:val="0"/>
                  <w:marRight w:val="0"/>
                  <w:marTop w:val="0"/>
                  <w:marBottom w:val="0"/>
                  <w:divBdr>
                    <w:top w:val="none" w:sz="0" w:space="0" w:color="auto"/>
                    <w:left w:val="none" w:sz="0" w:space="0" w:color="auto"/>
                    <w:bottom w:val="none" w:sz="0" w:space="0" w:color="auto"/>
                    <w:right w:val="none" w:sz="0" w:space="0" w:color="auto"/>
                  </w:divBdr>
                  <w:divsChild>
                    <w:div w:id="1307853653">
                      <w:marLeft w:val="0"/>
                      <w:marRight w:val="0"/>
                      <w:marTop w:val="0"/>
                      <w:marBottom w:val="0"/>
                      <w:divBdr>
                        <w:top w:val="none" w:sz="0" w:space="0" w:color="auto"/>
                        <w:left w:val="none" w:sz="0" w:space="0" w:color="auto"/>
                        <w:bottom w:val="none" w:sz="0" w:space="0" w:color="auto"/>
                        <w:right w:val="none" w:sz="0" w:space="0" w:color="auto"/>
                      </w:divBdr>
                    </w:div>
                  </w:divsChild>
                </w:div>
                <w:div w:id="685986121">
                  <w:marLeft w:val="0"/>
                  <w:marRight w:val="0"/>
                  <w:marTop w:val="0"/>
                  <w:marBottom w:val="0"/>
                  <w:divBdr>
                    <w:top w:val="none" w:sz="0" w:space="0" w:color="auto"/>
                    <w:left w:val="none" w:sz="0" w:space="0" w:color="auto"/>
                    <w:bottom w:val="none" w:sz="0" w:space="0" w:color="auto"/>
                    <w:right w:val="none" w:sz="0" w:space="0" w:color="auto"/>
                  </w:divBdr>
                  <w:divsChild>
                    <w:div w:id="2048484490">
                      <w:marLeft w:val="0"/>
                      <w:marRight w:val="0"/>
                      <w:marTop w:val="0"/>
                      <w:marBottom w:val="0"/>
                      <w:divBdr>
                        <w:top w:val="none" w:sz="0" w:space="0" w:color="auto"/>
                        <w:left w:val="none" w:sz="0" w:space="0" w:color="auto"/>
                        <w:bottom w:val="none" w:sz="0" w:space="0" w:color="auto"/>
                        <w:right w:val="none" w:sz="0" w:space="0" w:color="auto"/>
                      </w:divBdr>
                    </w:div>
                  </w:divsChild>
                </w:div>
                <w:div w:id="698048861">
                  <w:marLeft w:val="0"/>
                  <w:marRight w:val="0"/>
                  <w:marTop w:val="0"/>
                  <w:marBottom w:val="0"/>
                  <w:divBdr>
                    <w:top w:val="none" w:sz="0" w:space="0" w:color="auto"/>
                    <w:left w:val="none" w:sz="0" w:space="0" w:color="auto"/>
                    <w:bottom w:val="none" w:sz="0" w:space="0" w:color="auto"/>
                    <w:right w:val="none" w:sz="0" w:space="0" w:color="auto"/>
                  </w:divBdr>
                  <w:divsChild>
                    <w:div w:id="1497108966">
                      <w:marLeft w:val="0"/>
                      <w:marRight w:val="0"/>
                      <w:marTop w:val="0"/>
                      <w:marBottom w:val="0"/>
                      <w:divBdr>
                        <w:top w:val="none" w:sz="0" w:space="0" w:color="auto"/>
                        <w:left w:val="none" w:sz="0" w:space="0" w:color="auto"/>
                        <w:bottom w:val="none" w:sz="0" w:space="0" w:color="auto"/>
                        <w:right w:val="none" w:sz="0" w:space="0" w:color="auto"/>
                      </w:divBdr>
                    </w:div>
                  </w:divsChild>
                </w:div>
                <w:div w:id="703141332">
                  <w:marLeft w:val="0"/>
                  <w:marRight w:val="0"/>
                  <w:marTop w:val="0"/>
                  <w:marBottom w:val="0"/>
                  <w:divBdr>
                    <w:top w:val="none" w:sz="0" w:space="0" w:color="auto"/>
                    <w:left w:val="none" w:sz="0" w:space="0" w:color="auto"/>
                    <w:bottom w:val="none" w:sz="0" w:space="0" w:color="auto"/>
                    <w:right w:val="none" w:sz="0" w:space="0" w:color="auto"/>
                  </w:divBdr>
                  <w:divsChild>
                    <w:div w:id="1258489978">
                      <w:marLeft w:val="0"/>
                      <w:marRight w:val="0"/>
                      <w:marTop w:val="0"/>
                      <w:marBottom w:val="0"/>
                      <w:divBdr>
                        <w:top w:val="none" w:sz="0" w:space="0" w:color="auto"/>
                        <w:left w:val="none" w:sz="0" w:space="0" w:color="auto"/>
                        <w:bottom w:val="none" w:sz="0" w:space="0" w:color="auto"/>
                        <w:right w:val="none" w:sz="0" w:space="0" w:color="auto"/>
                      </w:divBdr>
                    </w:div>
                  </w:divsChild>
                </w:div>
                <w:div w:id="742725432">
                  <w:marLeft w:val="0"/>
                  <w:marRight w:val="0"/>
                  <w:marTop w:val="0"/>
                  <w:marBottom w:val="0"/>
                  <w:divBdr>
                    <w:top w:val="none" w:sz="0" w:space="0" w:color="auto"/>
                    <w:left w:val="none" w:sz="0" w:space="0" w:color="auto"/>
                    <w:bottom w:val="none" w:sz="0" w:space="0" w:color="auto"/>
                    <w:right w:val="none" w:sz="0" w:space="0" w:color="auto"/>
                  </w:divBdr>
                  <w:divsChild>
                    <w:div w:id="613247612">
                      <w:marLeft w:val="0"/>
                      <w:marRight w:val="0"/>
                      <w:marTop w:val="0"/>
                      <w:marBottom w:val="0"/>
                      <w:divBdr>
                        <w:top w:val="none" w:sz="0" w:space="0" w:color="auto"/>
                        <w:left w:val="none" w:sz="0" w:space="0" w:color="auto"/>
                        <w:bottom w:val="none" w:sz="0" w:space="0" w:color="auto"/>
                        <w:right w:val="none" w:sz="0" w:space="0" w:color="auto"/>
                      </w:divBdr>
                    </w:div>
                  </w:divsChild>
                </w:div>
                <w:div w:id="744495411">
                  <w:marLeft w:val="0"/>
                  <w:marRight w:val="0"/>
                  <w:marTop w:val="0"/>
                  <w:marBottom w:val="0"/>
                  <w:divBdr>
                    <w:top w:val="none" w:sz="0" w:space="0" w:color="auto"/>
                    <w:left w:val="none" w:sz="0" w:space="0" w:color="auto"/>
                    <w:bottom w:val="none" w:sz="0" w:space="0" w:color="auto"/>
                    <w:right w:val="none" w:sz="0" w:space="0" w:color="auto"/>
                  </w:divBdr>
                  <w:divsChild>
                    <w:div w:id="1837768357">
                      <w:marLeft w:val="0"/>
                      <w:marRight w:val="0"/>
                      <w:marTop w:val="0"/>
                      <w:marBottom w:val="0"/>
                      <w:divBdr>
                        <w:top w:val="none" w:sz="0" w:space="0" w:color="auto"/>
                        <w:left w:val="none" w:sz="0" w:space="0" w:color="auto"/>
                        <w:bottom w:val="none" w:sz="0" w:space="0" w:color="auto"/>
                        <w:right w:val="none" w:sz="0" w:space="0" w:color="auto"/>
                      </w:divBdr>
                    </w:div>
                  </w:divsChild>
                </w:div>
                <w:div w:id="750154791">
                  <w:marLeft w:val="0"/>
                  <w:marRight w:val="0"/>
                  <w:marTop w:val="0"/>
                  <w:marBottom w:val="0"/>
                  <w:divBdr>
                    <w:top w:val="none" w:sz="0" w:space="0" w:color="auto"/>
                    <w:left w:val="none" w:sz="0" w:space="0" w:color="auto"/>
                    <w:bottom w:val="none" w:sz="0" w:space="0" w:color="auto"/>
                    <w:right w:val="none" w:sz="0" w:space="0" w:color="auto"/>
                  </w:divBdr>
                  <w:divsChild>
                    <w:div w:id="1366635201">
                      <w:marLeft w:val="0"/>
                      <w:marRight w:val="0"/>
                      <w:marTop w:val="0"/>
                      <w:marBottom w:val="0"/>
                      <w:divBdr>
                        <w:top w:val="none" w:sz="0" w:space="0" w:color="auto"/>
                        <w:left w:val="none" w:sz="0" w:space="0" w:color="auto"/>
                        <w:bottom w:val="none" w:sz="0" w:space="0" w:color="auto"/>
                        <w:right w:val="none" w:sz="0" w:space="0" w:color="auto"/>
                      </w:divBdr>
                    </w:div>
                  </w:divsChild>
                </w:div>
                <w:div w:id="751662951">
                  <w:marLeft w:val="0"/>
                  <w:marRight w:val="0"/>
                  <w:marTop w:val="0"/>
                  <w:marBottom w:val="0"/>
                  <w:divBdr>
                    <w:top w:val="none" w:sz="0" w:space="0" w:color="auto"/>
                    <w:left w:val="none" w:sz="0" w:space="0" w:color="auto"/>
                    <w:bottom w:val="none" w:sz="0" w:space="0" w:color="auto"/>
                    <w:right w:val="none" w:sz="0" w:space="0" w:color="auto"/>
                  </w:divBdr>
                  <w:divsChild>
                    <w:div w:id="732700652">
                      <w:marLeft w:val="0"/>
                      <w:marRight w:val="0"/>
                      <w:marTop w:val="0"/>
                      <w:marBottom w:val="0"/>
                      <w:divBdr>
                        <w:top w:val="none" w:sz="0" w:space="0" w:color="auto"/>
                        <w:left w:val="none" w:sz="0" w:space="0" w:color="auto"/>
                        <w:bottom w:val="none" w:sz="0" w:space="0" w:color="auto"/>
                        <w:right w:val="none" w:sz="0" w:space="0" w:color="auto"/>
                      </w:divBdr>
                    </w:div>
                  </w:divsChild>
                </w:div>
                <w:div w:id="754399694">
                  <w:marLeft w:val="0"/>
                  <w:marRight w:val="0"/>
                  <w:marTop w:val="0"/>
                  <w:marBottom w:val="0"/>
                  <w:divBdr>
                    <w:top w:val="none" w:sz="0" w:space="0" w:color="auto"/>
                    <w:left w:val="none" w:sz="0" w:space="0" w:color="auto"/>
                    <w:bottom w:val="none" w:sz="0" w:space="0" w:color="auto"/>
                    <w:right w:val="none" w:sz="0" w:space="0" w:color="auto"/>
                  </w:divBdr>
                  <w:divsChild>
                    <w:div w:id="1760756190">
                      <w:marLeft w:val="0"/>
                      <w:marRight w:val="0"/>
                      <w:marTop w:val="0"/>
                      <w:marBottom w:val="0"/>
                      <w:divBdr>
                        <w:top w:val="none" w:sz="0" w:space="0" w:color="auto"/>
                        <w:left w:val="none" w:sz="0" w:space="0" w:color="auto"/>
                        <w:bottom w:val="none" w:sz="0" w:space="0" w:color="auto"/>
                        <w:right w:val="none" w:sz="0" w:space="0" w:color="auto"/>
                      </w:divBdr>
                    </w:div>
                  </w:divsChild>
                </w:div>
                <w:div w:id="780418965">
                  <w:marLeft w:val="0"/>
                  <w:marRight w:val="0"/>
                  <w:marTop w:val="0"/>
                  <w:marBottom w:val="0"/>
                  <w:divBdr>
                    <w:top w:val="none" w:sz="0" w:space="0" w:color="auto"/>
                    <w:left w:val="none" w:sz="0" w:space="0" w:color="auto"/>
                    <w:bottom w:val="none" w:sz="0" w:space="0" w:color="auto"/>
                    <w:right w:val="none" w:sz="0" w:space="0" w:color="auto"/>
                  </w:divBdr>
                  <w:divsChild>
                    <w:div w:id="276179702">
                      <w:marLeft w:val="0"/>
                      <w:marRight w:val="0"/>
                      <w:marTop w:val="0"/>
                      <w:marBottom w:val="0"/>
                      <w:divBdr>
                        <w:top w:val="none" w:sz="0" w:space="0" w:color="auto"/>
                        <w:left w:val="none" w:sz="0" w:space="0" w:color="auto"/>
                        <w:bottom w:val="none" w:sz="0" w:space="0" w:color="auto"/>
                        <w:right w:val="none" w:sz="0" w:space="0" w:color="auto"/>
                      </w:divBdr>
                    </w:div>
                  </w:divsChild>
                </w:div>
                <w:div w:id="798837582">
                  <w:marLeft w:val="0"/>
                  <w:marRight w:val="0"/>
                  <w:marTop w:val="0"/>
                  <w:marBottom w:val="0"/>
                  <w:divBdr>
                    <w:top w:val="none" w:sz="0" w:space="0" w:color="auto"/>
                    <w:left w:val="none" w:sz="0" w:space="0" w:color="auto"/>
                    <w:bottom w:val="none" w:sz="0" w:space="0" w:color="auto"/>
                    <w:right w:val="none" w:sz="0" w:space="0" w:color="auto"/>
                  </w:divBdr>
                  <w:divsChild>
                    <w:div w:id="1303465420">
                      <w:marLeft w:val="0"/>
                      <w:marRight w:val="0"/>
                      <w:marTop w:val="0"/>
                      <w:marBottom w:val="0"/>
                      <w:divBdr>
                        <w:top w:val="none" w:sz="0" w:space="0" w:color="auto"/>
                        <w:left w:val="none" w:sz="0" w:space="0" w:color="auto"/>
                        <w:bottom w:val="none" w:sz="0" w:space="0" w:color="auto"/>
                        <w:right w:val="none" w:sz="0" w:space="0" w:color="auto"/>
                      </w:divBdr>
                    </w:div>
                  </w:divsChild>
                </w:div>
                <w:div w:id="815952292">
                  <w:marLeft w:val="0"/>
                  <w:marRight w:val="0"/>
                  <w:marTop w:val="0"/>
                  <w:marBottom w:val="0"/>
                  <w:divBdr>
                    <w:top w:val="none" w:sz="0" w:space="0" w:color="auto"/>
                    <w:left w:val="none" w:sz="0" w:space="0" w:color="auto"/>
                    <w:bottom w:val="none" w:sz="0" w:space="0" w:color="auto"/>
                    <w:right w:val="none" w:sz="0" w:space="0" w:color="auto"/>
                  </w:divBdr>
                  <w:divsChild>
                    <w:div w:id="2015838460">
                      <w:marLeft w:val="0"/>
                      <w:marRight w:val="0"/>
                      <w:marTop w:val="0"/>
                      <w:marBottom w:val="0"/>
                      <w:divBdr>
                        <w:top w:val="none" w:sz="0" w:space="0" w:color="auto"/>
                        <w:left w:val="none" w:sz="0" w:space="0" w:color="auto"/>
                        <w:bottom w:val="none" w:sz="0" w:space="0" w:color="auto"/>
                        <w:right w:val="none" w:sz="0" w:space="0" w:color="auto"/>
                      </w:divBdr>
                    </w:div>
                  </w:divsChild>
                </w:div>
                <w:div w:id="851794827">
                  <w:marLeft w:val="0"/>
                  <w:marRight w:val="0"/>
                  <w:marTop w:val="0"/>
                  <w:marBottom w:val="0"/>
                  <w:divBdr>
                    <w:top w:val="none" w:sz="0" w:space="0" w:color="auto"/>
                    <w:left w:val="none" w:sz="0" w:space="0" w:color="auto"/>
                    <w:bottom w:val="none" w:sz="0" w:space="0" w:color="auto"/>
                    <w:right w:val="none" w:sz="0" w:space="0" w:color="auto"/>
                  </w:divBdr>
                  <w:divsChild>
                    <w:div w:id="1097212338">
                      <w:marLeft w:val="0"/>
                      <w:marRight w:val="0"/>
                      <w:marTop w:val="0"/>
                      <w:marBottom w:val="0"/>
                      <w:divBdr>
                        <w:top w:val="none" w:sz="0" w:space="0" w:color="auto"/>
                        <w:left w:val="none" w:sz="0" w:space="0" w:color="auto"/>
                        <w:bottom w:val="none" w:sz="0" w:space="0" w:color="auto"/>
                        <w:right w:val="none" w:sz="0" w:space="0" w:color="auto"/>
                      </w:divBdr>
                    </w:div>
                  </w:divsChild>
                </w:div>
                <w:div w:id="853768665">
                  <w:marLeft w:val="0"/>
                  <w:marRight w:val="0"/>
                  <w:marTop w:val="0"/>
                  <w:marBottom w:val="0"/>
                  <w:divBdr>
                    <w:top w:val="none" w:sz="0" w:space="0" w:color="auto"/>
                    <w:left w:val="none" w:sz="0" w:space="0" w:color="auto"/>
                    <w:bottom w:val="none" w:sz="0" w:space="0" w:color="auto"/>
                    <w:right w:val="none" w:sz="0" w:space="0" w:color="auto"/>
                  </w:divBdr>
                  <w:divsChild>
                    <w:div w:id="71855893">
                      <w:marLeft w:val="0"/>
                      <w:marRight w:val="0"/>
                      <w:marTop w:val="0"/>
                      <w:marBottom w:val="0"/>
                      <w:divBdr>
                        <w:top w:val="none" w:sz="0" w:space="0" w:color="auto"/>
                        <w:left w:val="none" w:sz="0" w:space="0" w:color="auto"/>
                        <w:bottom w:val="none" w:sz="0" w:space="0" w:color="auto"/>
                        <w:right w:val="none" w:sz="0" w:space="0" w:color="auto"/>
                      </w:divBdr>
                    </w:div>
                  </w:divsChild>
                </w:div>
                <w:div w:id="864755337">
                  <w:marLeft w:val="0"/>
                  <w:marRight w:val="0"/>
                  <w:marTop w:val="0"/>
                  <w:marBottom w:val="0"/>
                  <w:divBdr>
                    <w:top w:val="none" w:sz="0" w:space="0" w:color="auto"/>
                    <w:left w:val="none" w:sz="0" w:space="0" w:color="auto"/>
                    <w:bottom w:val="none" w:sz="0" w:space="0" w:color="auto"/>
                    <w:right w:val="none" w:sz="0" w:space="0" w:color="auto"/>
                  </w:divBdr>
                  <w:divsChild>
                    <w:div w:id="905145359">
                      <w:marLeft w:val="0"/>
                      <w:marRight w:val="0"/>
                      <w:marTop w:val="0"/>
                      <w:marBottom w:val="0"/>
                      <w:divBdr>
                        <w:top w:val="none" w:sz="0" w:space="0" w:color="auto"/>
                        <w:left w:val="none" w:sz="0" w:space="0" w:color="auto"/>
                        <w:bottom w:val="none" w:sz="0" w:space="0" w:color="auto"/>
                        <w:right w:val="none" w:sz="0" w:space="0" w:color="auto"/>
                      </w:divBdr>
                    </w:div>
                  </w:divsChild>
                </w:div>
                <w:div w:id="867765827">
                  <w:marLeft w:val="0"/>
                  <w:marRight w:val="0"/>
                  <w:marTop w:val="0"/>
                  <w:marBottom w:val="0"/>
                  <w:divBdr>
                    <w:top w:val="none" w:sz="0" w:space="0" w:color="auto"/>
                    <w:left w:val="none" w:sz="0" w:space="0" w:color="auto"/>
                    <w:bottom w:val="none" w:sz="0" w:space="0" w:color="auto"/>
                    <w:right w:val="none" w:sz="0" w:space="0" w:color="auto"/>
                  </w:divBdr>
                  <w:divsChild>
                    <w:div w:id="1341930698">
                      <w:marLeft w:val="0"/>
                      <w:marRight w:val="0"/>
                      <w:marTop w:val="0"/>
                      <w:marBottom w:val="0"/>
                      <w:divBdr>
                        <w:top w:val="none" w:sz="0" w:space="0" w:color="auto"/>
                        <w:left w:val="none" w:sz="0" w:space="0" w:color="auto"/>
                        <w:bottom w:val="none" w:sz="0" w:space="0" w:color="auto"/>
                        <w:right w:val="none" w:sz="0" w:space="0" w:color="auto"/>
                      </w:divBdr>
                    </w:div>
                  </w:divsChild>
                </w:div>
                <w:div w:id="872694786">
                  <w:marLeft w:val="0"/>
                  <w:marRight w:val="0"/>
                  <w:marTop w:val="0"/>
                  <w:marBottom w:val="0"/>
                  <w:divBdr>
                    <w:top w:val="none" w:sz="0" w:space="0" w:color="auto"/>
                    <w:left w:val="none" w:sz="0" w:space="0" w:color="auto"/>
                    <w:bottom w:val="none" w:sz="0" w:space="0" w:color="auto"/>
                    <w:right w:val="none" w:sz="0" w:space="0" w:color="auto"/>
                  </w:divBdr>
                  <w:divsChild>
                    <w:div w:id="2002737797">
                      <w:marLeft w:val="0"/>
                      <w:marRight w:val="0"/>
                      <w:marTop w:val="0"/>
                      <w:marBottom w:val="0"/>
                      <w:divBdr>
                        <w:top w:val="none" w:sz="0" w:space="0" w:color="auto"/>
                        <w:left w:val="none" w:sz="0" w:space="0" w:color="auto"/>
                        <w:bottom w:val="none" w:sz="0" w:space="0" w:color="auto"/>
                        <w:right w:val="none" w:sz="0" w:space="0" w:color="auto"/>
                      </w:divBdr>
                    </w:div>
                  </w:divsChild>
                </w:div>
                <w:div w:id="873495252">
                  <w:marLeft w:val="0"/>
                  <w:marRight w:val="0"/>
                  <w:marTop w:val="0"/>
                  <w:marBottom w:val="0"/>
                  <w:divBdr>
                    <w:top w:val="none" w:sz="0" w:space="0" w:color="auto"/>
                    <w:left w:val="none" w:sz="0" w:space="0" w:color="auto"/>
                    <w:bottom w:val="none" w:sz="0" w:space="0" w:color="auto"/>
                    <w:right w:val="none" w:sz="0" w:space="0" w:color="auto"/>
                  </w:divBdr>
                  <w:divsChild>
                    <w:div w:id="1606814202">
                      <w:marLeft w:val="0"/>
                      <w:marRight w:val="0"/>
                      <w:marTop w:val="0"/>
                      <w:marBottom w:val="0"/>
                      <w:divBdr>
                        <w:top w:val="none" w:sz="0" w:space="0" w:color="auto"/>
                        <w:left w:val="none" w:sz="0" w:space="0" w:color="auto"/>
                        <w:bottom w:val="none" w:sz="0" w:space="0" w:color="auto"/>
                        <w:right w:val="none" w:sz="0" w:space="0" w:color="auto"/>
                      </w:divBdr>
                    </w:div>
                  </w:divsChild>
                </w:div>
                <w:div w:id="884874719">
                  <w:marLeft w:val="0"/>
                  <w:marRight w:val="0"/>
                  <w:marTop w:val="0"/>
                  <w:marBottom w:val="0"/>
                  <w:divBdr>
                    <w:top w:val="none" w:sz="0" w:space="0" w:color="auto"/>
                    <w:left w:val="none" w:sz="0" w:space="0" w:color="auto"/>
                    <w:bottom w:val="none" w:sz="0" w:space="0" w:color="auto"/>
                    <w:right w:val="none" w:sz="0" w:space="0" w:color="auto"/>
                  </w:divBdr>
                  <w:divsChild>
                    <w:div w:id="313417462">
                      <w:marLeft w:val="0"/>
                      <w:marRight w:val="0"/>
                      <w:marTop w:val="0"/>
                      <w:marBottom w:val="0"/>
                      <w:divBdr>
                        <w:top w:val="none" w:sz="0" w:space="0" w:color="auto"/>
                        <w:left w:val="none" w:sz="0" w:space="0" w:color="auto"/>
                        <w:bottom w:val="none" w:sz="0" w:space="0" w:color="auto"/>
                        <w:right w:val="none" w:sz="0" w:space="0" w:color="auto"/>
                      </w:divBdr>
                    </w:div>
                  </w:divsChild>
                </w:div>
                <w:div w:id="890506593">
                  <w:marLeft w:val="0"/>
                  <w:marRight w:val="0"/>
                  <w:marTop w:val="0"/>
                  <w:marBottom w:val="0"/>
                  <w:divBdr>
                    <w:top w:val="none" w:sz="0" w:space="0" w:color="auto"/>
                    <w:left w:val="none" w:sz="0" w:space="0" w:color="auto"/>
                    <w:bottom w:val="none" w:sz="0" w:space="0" w:color="auto"/>
                    <w:right w:val="none" w:sz="0" w:space="0" w:color="auto"/>
                  </w:divBdr>
                  <w:divsChild>
                    <w:div w:id="1382824812">
                      <w:marLeft w:val="0"/>
                      <w:marRight w:val="0"/>
                      <w:marTop w:val="0"/>
                      <w:marBottom w:val="0"/>
                      <w:divBdr>
                        <w:top w:val="none" w:sz="0" w:space="0" w:color="auto"/>
                        <w:left w:val="none" w:sz="0" w:space="0" w:color="auto"/>
                        <w:bottom w:val="none" w:sz="0" w:space="0" w:color="auto"/>
                        <w:right w:val="none" w:sz="0" w:space="0" w:color="auto"/>
                      </w:divBdr>
                    </w:div>
                  </w:divsChild>
                </w:div>
                <w:div w:id="898632822">
                  <w:marLeft w:val="0"/>
                  <w:marRight w:val="0"/>
                  <w:marTop w:val="0"/>
                  <w:marBottom w:val="0"/>
                  <w:divBdr>
                    <w:top w:val="none" w:sz="0" w:space="0" w:color="auto"/>
                    <w:left w:val="none" w:sz="0" w:space="0" w:color="auto"/>
                    <w:bottom w:val="none" w:sz="0" w:space="0" w:color="auto"/>
                    <w:right w:val="none" w:sz="0" w:space="0" w:color="auto"/>
                  </w:divBdr>
                  <w:divsChild>
                    <w:div w:id="1030447242">
                      <w:marLeft w:val="0"/>
                      <w:marRight w:val="0"/>
                      <w:marTop w:val="0"/>
                      <w:marBottom w:val="0"/>
                      <w:divBdr>
                        <w:top w:val="none" w:sz="0" w:space="0" w:color="auto"/>
                        <w:left w:val="none" w:sz="0" w:space="0" w:color="auto"/>
                        <w:bottom w:val="none" w:sz="0" w:space="0" w:color="auto"/>
                        <w:right w:val="none" w:sz="0" w:space="0" w:color="auto"/>
                      </w:divBdr>
                    </w:div>
                  </w:divsChild>
                </w:div>
                <w:div w:id="899025477">
                  <w:marLeft w:val="0"/>
                  <w:marRight w:val="0"/>
                  <w:marTop w:val="0"/>
                  <w:marBottom w:val="0"/>
                  <w:divBdr>
                    <w:top w:val="none" w:sz="0" w:space="0" w:color="auto"/>
                    <w:left w:val="none" w:sz="0" w:space="0" w:color="auto"/>
                    <w:bottom w:val="none" w:sz="0" w:space="0" w:color="auto"/>
                    <w:right w:val="none" w:sz="0" w:space="0" w:color="auto"/>
                  </w:divBdr>
                  <w:divsChild>
                    <w:div w:id="1271662857">
                      <w:marLeft w:val="0"/>
                      <w:marRight w:val="0"/>
                      <w:marTop w:val="0"/>
                      <w:marBottom w:val="0"/>
                      <w:divBdr>
                        <w:top w:val="none" w:sz="0" w:space="0" w:color="auto"/>
                        <w:left w:val="none" w:sz="0" w:space="0" w:color="auto"/>
                        <w:bottom w:val="none" w:sz="0" w:space="0" w:color="auto"/>
                        <w:right w:val="none" w:sz="0" w:space="0" w:color="auto"/>
                      </w:divBdr>
                    </w:div>
                  </w:divsChild>
                </w:div>
                <w:div w:id="908614329">
                  <w:marLeft w:val="0"/>
                  <w:marRight w:val="0"/>
                  <w:marTop w:val="0"/>
                  <w:marBottom w:val="0"/>
                  <w:divBdr>
                    <w:top w:val="none" w:sz="0" w:space="0" w:color="auto"/>
                    <w:left w:val="none" w:sz="0" w:space="0" w:color="auto"/>
                    <w:bottom w:val="none" w:sz="0" w:space="0" w:color="auto"/>
                    <w:right w:val="none" w:sz="0" w:space="0" w:color="auto"/>
                  </w:divBdr>
                  <w:divsChild>
                    <w:div w:id="1067729062">
                      <w:marLeft w:val="0"/>
                      <w:marRight w:val="0"/>
                      <w:marTop w:val="0"/>
                      <w:marBottom w:val="0"/>
                      <w:divBdr>
                        <w:top w:val="none" w:sz="0" w:space="0" w:color="auto"/>
                        <w:left w:val="none" w:sz="0" w:space="0" w:color="auto"/>
                        <w:bottom w:val="none" w:sz="0" w:space="0" w:color="auto"/>
                        <w:right w:val="none" w:sz="0" w:space="0" w:color="auto"/>
                      </w:divBdr>
                    </w:div>
                  </w:divsChild>
                </w:div>
                <w:div w:id="910970073">
                  <w:marLeft w:val="0"/>
                  <w:marRight w:val="0"/>
                  <w:marTop w:val="0"/>
                  <w:marBottom w:val="0"/>
                  <w:divBdr>
                    <w:top w:val="none" w:sz="0" w:space="0" w:color="auto"/>
                    <w:left w:val="none" w:sz="0" w:space="0" w:color="auto"/>
                    <w:bottom w:val="none" w:sz="0" w:space="0" w:color="auto"/>
                    <w:right w:val="none" w:sz="0" w:space="0" w:color="auto"/>
                  </w:divBdr>
                  <w:divsChild>
                    <w:div w:id="56051441">
                      <w:marLeft w:val="0"/>
                      <w:marRight w:val="0"/>
                      <w:marTop w:val="0"/>
                      <w:marBottom w:val="0"/>
                      <w:divBdr>
                        <w:top w:val="none" w:sz="0" w:space="0" w:color="auto"/>
                        <w:left w:val="none" w:sz="0" w:space="0" w:color="auto"/>
                        <w:bottom w:val="none" w:sz="0" w:space="0" w:color="auto"/>
                        <w:right w:val="none" w:sz="0" w:space="0" w:color="auto"/>
                      </w:divBdr>
                    </w:div>
                  </w:divsChild>
                </w:div>
                <w:div w:id="925309786">
                  <w:marLeft w:val="0"/>
                  <w:marRight w:val="0"/>
                  <w:marTop w:val="0"/>
                  <w:marBottom w:val="0"/>
                  <w:divBdr>
                    <w:top w:val="none" w:sz="0" w:space="0" w:color="auto"/>
                    <w:left w:val="none" w:sz="0" w:space="0" w:color="auto"/>
                    <w:bottom w:val="none" w:sz="0" w:space="0" w:color="auto"/>
                    <w:right w:val="none" w:sz="0" w:space="0" w:color="auto"/>
                  </w:divBdr>
                  <w:divsChild>
                    <w:div w:id="526874667">
                      <w:marLeft w:val="0"/>
                      <w:marRight w:val="0"/>
                      <w:marTop w:val="0"/>
                      <w:marBottom w:val="0"/>
                      <w:divBdr>
                        <w:top w:val="none" w:sz="0" w:space="0" w:color="auto"/>
                        <w:left w:val="none" w:sz="0" w:space="0" w:color="auto"/>
                        <w:bottom w:val="none" w:sz="0" w:space="0" w:color="auto"/>
                        <w:right w:val="none" w:sz="0" w:space="0" w:color="auto"/>
                      </w:divBdr>
                    </w:div>
                  </w:divsChild>
                </w:div>
                <w:div w:id="927736534">
                  <w:marLeft w:val="0"/>
                  <w:marRight w:val="0"/>
                  <w:marTop w:val="0"/>
                  <w:marBottom w:val="0"/>
                  <w:divBdr>
                    <w:top w:val="none" w:sz="0" w:space="0" w:color="auto"/>
                    <w:left w:val="none" w:sz="0" w:space="0" w:color="auto"/>
                    <w:bottom w:val="none" w:sz="0" w:space="0" w:color="auto"/>
                    <w:right w:val="none" w:sz="0" w:space="0" w:color="auto"/>
                  </w:divBdr>
                  <w:divsChild>
                    <w:div w:id="1107307518">
                      <w:marLeft w:val="0"/>
                      <w:marRight w:val="0"/>
                      <w:marTop w:val="0"/>
                      <w:marBottom w:val="0"/>
                      <w:divBdr>
                        <w:top w:val="none" w:sz="0" w:space="0" w:color="auto"/>
                        <w:left w:val="none" w:sz="0" w:space="0" w:color="auto"/>
                        <w:bottom w:val="none" w:sz="0" w:space="0" w:color="auto"/>
                        <w:right w:val="none" w:sz="0" w:space="0" w:color="auto"/>
                      </w:divBdr>
                    </w:div>
                  </w:divsChild>
                </w:div>
                <w:div w:id="936257055">
                  <w:marLeft w:val="0"/>
                  <w:marRight w:val="0"/>
                  <w:marTop w:val="0"/>
                  <w:marBottom w:val="0"/>
                  <w:divBdr>
                    <w:top w:val="none" w:sz="0" w:space="0" w:color="auto"/>
                    <w:left w:val="none" w:sz="0" w:space="0" w:color="auto"/>
                    <w:bottom w:val="none" w:sz="0" w:space="0" w:color="auto"/>
                    <w:right w:val="none" w:sz="0" w:space="0" w:color="auto"/>
                  </w:divBdr>
                  <w:divsChild>
                    <w:div w:id="857698720">
                      <w:marLeft w:val="0"/>
                      <w:marRight w:val="0"/>
                      <w:marTop w:val="0"/>
                      <w:marBottom w:val="0"/>
                      <w:divBdr>
                        <w:top w:val="none" w:sz="0" w:space="0" w:color="auto"/>
                        <w:left w:val="none" w:sz="0" w:space="0" w:color="auto"/>
                        <w:bottom w:val="none" w:sz="0" w:space="0" w:color="auto"/>
                        <w:right w:val="none" w:sz="0" w:space="0" w:color="auto"/>
                      </w:divBdr>
                    </w:div>
                  </w:divsChild>
                </w:div>
                <w:div w:id="941031904">
                  <w:marLeft w:val="0"/>
                  <w:marRight w:val="0"/>
                  <w:marTop w:val="0"/>
                  <w:marBottom w:val="0"/>
                  <w:divBdr>
                    <w:top w:val="none" w:sz="0" w:space="0" w:color="auto"/>
                    <w:left w:val="none" w:sz="0" w:space="0" w:color="auto"/>
                    <w:bottom w:val="none" w:sz="0" w:space="0" w:color="auto"/>
                    <w:right w:val="none" w:sz="0" w:space="0" w:color="auto"/>
                  </w:divBdr>
                  <w:divsChild>
                    <w:div w:id="1125738471">
                      <w:marLeft w:val="0"/>
                      <w:marRight w:val="0"/>
                      <w:marTop w:val="0"/>
                      <w:marBottom w:val="0"/>
                      <w:divBdr>
                        <w:top w:val="none" w:sz="0" w:space="0" w:color="auto"/>
                        <w:left w:val="none" w:sz="0" w:space="0" w:color="auto"/>
                        <w:bottom w:val="none" w:sz="0" w:space="0" w:color="auto"/>
                        <w:right w:val="none" w:sz="0" w:space="0" w:color="auto"/>
                      </w:divBdr>
                    </w:div>
                  </w:divsChild>
                </w:div>
                <w:div w:id="955335161">
                  <w:marLeft w:val="0"/>
                  <w:marRight w:val="0"/>
                  <w:marTop w:val="0"/>
                  <w:marBottom w:val="0"/>
                  <w:divBdr>
                    <w:top w:val="none" w:sz="0" w:space="0" w:color="auto"/>
                    <w:left w:val="none" w:sz="0" w:space="0" w:color="auto"/>
                    <w:bottom w:val="none" w:sz="0" w:space="0" w:color="auto"/>
                    <w:right w:val="none" w:sz="0" w:space="0" w:color="auto"/>
                  </w:divBdr>
                  <w:divsChild>
                    <w:div w:id="1906605753">
                      <w:marLeft w:val="0"/>
                      <w:marRight w:val="0"/>
                      <w:marTop w:val="0"/>
                      <w:marBottom w:val="0"/>
                      <w:divBdr>
                        <w:top w:val="none" w:sz="0" w:space="0" w:color="auto"/>
                        <w:left w:val="none" w:sz="0" w:space="0" w:color="auto"/>
                        <w:bottom w:val="none" w:sz="0" w:space="0" w:color="auto"/>
                        <w:right w:val="none" w:sz="0" w:space="0" w:color="auto"/>
                      </w:divBdr>
                    </w:div>
                  </w:divsChild>
                </w:div>
                <w:div w:id="974598941">
                  <w:marLeft w:val="0"/>
                  <w:marRight w:val="0"/>
                  <w:marTop w:val="0"/>
                  <w:marBottom w:val="0"/>
                  <w:divBdr>
                    <w:top w:val="none" w:sz="0" w:space="0" w:color="auto"/>
                    <w:left w:val="none" w:sz="0" w:space="0" w:color="auto"/>
                    <w:bottom w:val="none" w:sz="0" w:space="0" w:color="auto"/>
                    <w:right w:val="none" w:sz="0" w:space="0" w:color="auto"/>
                  </w:divBdr>
                  <w:divsChild>
                    <w:div w:id="41488670">
                      <w:marLeft w:val="0"/>
                      <w:marRight w:val="0"/>
                      <w:marTop w:val="0"/>
                      <w:marBottom w:val="0"/>
                      <w:divBdr>
                        <w:top w:val="none" w:sz="0" w:space="0" w:color="auto"/>
                        <w:left w:val="none" w:sz="0" w:space="0" w:color="auto"/>
                        <w:bottom w:val="none" w:sz="0" w:space="0" w:color="auto"/>
                        <w:right w:val="none" w:sz="0" w:space="0" w:color="auto"/>
                      </w:divBdr>
                    </w:div>
                  </w:divsChild>
                </w:div>
                <w:div w:id="997806953">
                  <w:marLeft w:val="0"/>
                  <w:marRight w:val="0"/>
                  <w:marTop w:val="0"/>
                  <w:marBottom w:val="0"/>
                  <w:divBdr>
                    <w:top w:val="none" w:sz="0" w:space="0" w:color="auto"/>
                    <w:left w:val="none" w:sz="0" w:space="0" w:color="auto"/>
                    <w:bottom w:val="none" w:sz="0" w:space="0" w:color="auto"/>
                    <w:right w:val="none" w:sz="0" w:space="0" w:color="auto"/>
                  </w:divBdr>
                  <w:divsChild>
                    <w:div w:id="742992543">
                      <w:marLeft w:val="0"/>
                      <w:marRight w:val="0"/>
                      <w:marTop w:val="0"/>
                      <w:marBottom w:val="0"/>
                      <w:divBdr>
                        <w:top w:val="none" w:sz="0" w:space="0" w:color="auto"/>
                        <w:left w:val="none" w:sz="0" w:space="0" w:color="auto"/>
                        <w:bottom w:val="none" w:sz="0" w:space="0" w:color="auto"/>
                        <w:right w:val="none" w:sz="0" w:space="0" w:color="auto"/>
                      </w:divBdr>
                    </w:div>
                  </w:divsChild>
                </w:div>
                <w:div w:id="1011643423">
                  <w:marLeft w:val="0"/>
                  <w:marRight w:val="0"/>
                  <w:marTop w:val="0"/>
                  <w:marBottom w:val="0"/>
                  <w:divBdr>
                    <w:top w:val="none" w:sz="0" w:space="0" w:color="auto"/>
                    <w:left w:val="none" w:sz="0" w:space="0" w:color="auto"/>
                    <w:bottom w:val="none" w:sz="0" w:space="0" w:color="auto"/>
                    <w:right w:val="none" w:sz="0" w:space="0" w:color="auto"/>
                  </w:divBdr>
                  <w:divsChild>
                    <w:div w:id="107356911">
                      <w:marLeft w:val="0"/>
                      <w:marRight w:val="0"/>
                      <w:marTop w:val="0"/>
                      <w:marBottom w:val="0"/>
                      <w:divBdr>
                        <w:top w:val="none" w:sz="0" w:space="0" w:color="auto"/>
                        <w:left w:val="none" w:sz="0" w:space="0" w:color="auto"/>
                        <w:bottom w:val="none" w:sz="0" w:space="0" w:color="auto"/>
                        <w:right w:val="none" w:sz="0" w:space="0" w:color="auto"/>
                      </w:divBdr>
                    </w:div>
                  </w:divsChild>
                </w:div>
                <w:div w:id="1035693939">
                  <w:marLeft w:val="0"/>
                  <w:marRight w:val="0"/>
                  <w:marTop w:val="0"/>
                  <w:marBottom w:val="0"/>
                  <w:divBdr>
                    <w:top w:val="none" w:sz="0" w:space="0" w:color="auto"/>
                    <w:left w:val="none" w:sz="0" w:space="0" w:color="auto"/>
                    <w:bottom w:val="none" w:sz="0" w:space="0" w:color="auto"/>
                    <w:right w:val="none" w:sz="0" w:space="0" w:color="auto"/>
                  </w:divBdr>
                  <w:divsChild>
                    <w:div w:id="1104770341">
                      <w:marLeft w:val="0"/>
                      <w:marRight w:val="0"/>
                      <w:marTop w:val="0"/>
                      <w:marBottom w:val="0"/>
                      <w:divBdr>
                        <w:top w:val="none" w:sz="0" w:space="0" w:color="auto"/>
                        <w:left w:val="none" w:sz="0" w:space="0" w:color="auto"/>
                        <w:bottom w:val="none" w:sz="0" w:space="0" w:color="auto"/>
                        <w:right w:val="none" w:sz="0" w:space="0" w:color="auto"/>
                      </w:divBdr>
                    </w:div>
                  </w:divsChild>
                </w:div>
                <w:div w:id="1046759186">
                  <w:marLeft w:val="0"/>
                  <w:marRight w:val="0"/>
                  <w:marTop w:val="0"/>
                  <w:marBottom w:val="0"/>
                  <w:divBdr>
                    <w:top w:val="none" w:sz="0" w:space="0" w:color="auto"/>
                    <w:left w:val="none" w:sz="0" w:space="0" w:color="auto"/>
                    <w:bottom w:val="none" w:sz="0" w:space="0" w:color="auto"/>
                    <w:right w:val="none" w:sz="0" w:space="0" w:color="auto"/>
                  </w:divBdr>
                  <w:divsChild>
                    <w:div w:id="1430277734">
                      <w:marLeft w:val="0"/>
                      <w:marRight w:val="0"/>
                      <w:marTop w:val="0"/>
                      <w:marBottom w:val="0"/>
                      <w:divBdr>
                        <w:top w:val="none" w:sz="0" w:space="0" w:color="auto"/>
                        <w:left w:val="none" w:sz="0" w:space="0" w:color="auto"/>
                        <w:bottom w:val="none" w:sz="0" w:space="0" w:color="auto"/>
                        <w:right w:val="none" w:sz="0" w:space="0" w:color="auto"/>
                      </w:divBdr>
                    </w:div>
                  </w:divsChild>
                </w:div>
                <w:div w:id="1051610345">
                  <w:marLeft w:val="0"/>
                  <w:marRight w:val="0"/>
                  <w:marTop w:val="0"/>
                  <w:marBottom w:val="0"/>
                  <w:divBdr>
                    <w:top w:val="none" w:sz="0" w:space="0" w:color="auto"/>
                    <w:left w:val="none" w:sz="0" w:space="0" w:color="auto"/>
                    <w:bottom w:val="none" w:sz="0" w:space="0" w:color="auto"/>
                    <w:right w:val="none" w:sz="0" w:space="0" w:color="auto"/>
                  </w:divBdr>
                  <w:divsChild>
                    <w:div w:id="1518688053">
                      <w:marLeft w:val="0"/>
                      <w:marRight w:val="0"/>
                      <w:marTop w:val="0"/>
                      <w:marBottom w:val="0"/>
                      <w:divBdr>
                        <w:top w:val="none" w:sz="0" w:space="0" w:color="auto"/>
                        <w:left w:val="none" w:sz="0" w:space="0" w:color="auto"/>
                        <w:bottom w:val="none" w:sz="0" w:space="0" w:color="auto"/>
                        <w:right w:val="none" w:sz="0" w:space="0" w:color="auto"/>
                      </w:divBdr>
                    </w:div>
                  </w:divsChild>
                </w:div>
                <w:div w:id="1079130716">
                  <w:marLeft w:val="0"/>
                  <w:marRight w:val="0"/>
                  <w:marTop w:val="0"/>
                  <w:marBottom w:val="0"/>
                  <w:divBdr>
                    <w:top w:val="none" w:sz="0" w:space="0" w:color="auto"/>
                    <w:left w:val="none" w:sz="0" w:space="0" w:color="auto"/>
                    <w:bottom w:val="none" w:sz="0" w:space="0" w:color="auto"/>
                    <w:right w:val="none" w:sz="0" w:space="0" w:color="auto"/>
                  </w:divBdr>
                  <w:divsChild>
                    <w:div w:id="1944803072">
                      <w:marLeft w:val="0"/>
                      <w:marRight w:val="0"/>
                      <w:marTop w:val="0"/>
                      <w:marBottom w:val="0"/>
                      <w:divBdr>
                        <w:top w:val="none" w:sz="0" w:space="0" w:color="auto"/>
                        <w:left w:val="none" w:sz="0" w:space="0" w:color="auto"/>
                        <w:bottom w:val="none" w:sz="0" w:space="0" w:color="auto"/>
                        <w:right w:val="none" w:sz="0" w:space="0" w:color="auto"/>
                      </w:divBdr>
                    </w:div>
                  </w:divsChild>
                </w:div>
                <w:div w:id="1085608558">
                  <w:marLeft w:val="0"/>
                  <w:marRight w:val="0"/>
                  <w:marTop w:val="0"/>
                  <w:marBottom w:val="0"/>
                  <w:divBdr>
                    <w:top w:val="none" w:sz="0" w:space="0" w:color="auto"/>
                    <w:left w:val="none" w:sz="0" w:space="0" w:color="auto"/>
                    <w:bottom w:val="none" w:sz="0" w:space="0" w:color="auto"/>
                    <w:right w:val="none" w:sz="0" w:space="0" w:color="auto"/>
                  </w:divBdr>
                  <w:divsChild>
                    <w:div w:id="1034497662">
                      <w:marLeft w:val="0"/>
                      <w:marRight w:val="0"/>
                      <w:marTop w:val="0"/>
                      <w:marBottom w:val="0"/>
                      <w:divBdr>
                        <w:top w:val="none" w:sz="0" w:space="0" w:color="auto"/>
                        <w:left w:val="none" w:sz="0" w:space="0" w:color="auto"/>
                        <w:bottom w:val="none" w:sz="0" w:space="0" w:color="auto"/>
                        <w:right w:val="none" w:sz="0" w:space="0" w:color="auto"/>
                      </w:divBdr>
                    </w:div>
                  </w:divsChild>
                </w:div>
                <w:div w:id="1092821698">
                  <w:marLeft w:val="0"/>
                  <w:marRight w:val="0"/>
                  <w:marTop w:val="0"/>
                  <w:marBottom w:val="0"/>
                  <w:divBdr>
                    <w:top w:val="none" w:sz="0" w:space="0" w:color="auto"/>
                    <w:left w:val="none" w:sz="0" w:space="0" w:color="auto"/>
                    <w:bottom w:val="none" w:sz="0" w:space="0" w:color="auto"/>
                    <w:right w:val="none" w:sz="0" w:space="0" w:color="auto"/>
                  </w:divBdr>
                  <w:divsChild>
                    <w:div w:id="325714162">
                      <w:marLeft w:val="0"/>
                      <w:marRight w:val="0"/>
                      <w:marTop w:val="0"/>
                      <w:marBottom w:val="0"/>
                      <w:divBdr>
                        <w:top w:val="none" w:sz="0" w:space="0" w:color="auto"/>
                        <w:left w:val="none" w:sz="0" w:space="0" w:color="auto"/>
                        <w:bottom w:val="none" w:sz="0" w:space="0" w:color="auto"/>
                        <w:right w:val="none" w:sz="0" w:space="0" w:color="auto"/>
                      </w:divBdr>
                    </w:div>
                  </w:divsChild>
                </w:div>
                <w:div w:id="1097558136">
                  <w:marLeft w:val="0"/>
                  <w:marRight w:val="0"/>
                  <w:marTop w:val="0"/>
                  <w:marBottom w:val="0"/>
                  <w:divBdr>
                    <w:top w:val="none" w:sz="0" w:space="0" w:color="auto"/>
                    <w:left w:val="none" w:sz="0" w:space="0" w:color="auto"/>
                    <w:bottom w:val="none" w:sz="0" w:space="0" w:color="auto"/>
                    <w:right w:val="none" w:sz="0" w:space="0" w:color="auto"/>
                  </w:divBdr>
                  <w:divsChild>
                    <w:div w:id="967904652">
                      <w:marLeft w:val="0"/>
                      <w:marRight w:val="0"/>
                      <w:marTop w:val="0"/>
                      <w:marBottom w:val="0"/>
                      <w:divBdr>
                        <w:top w:val="none" w:sz="0" w:space="0" w:color="auto"/>
                        <w:left w:val="none" w:sz="0" w:space="0" w:color="auto"/>
                        <w:bottom w:val="none" w:sz="0" w:space="0" w:color="auto"/>
                        <w:right w:val="none" w:sz="0" w:space="0" w:color="auto"/>
                      </w:divBdr>
                    </w:div>
                  </w:divsChild>
                </w:div>
                <w:div w:id="1118523166">
                  <w:marLeft w:val="0"/>
                  <w:marRight w:val="0"/>
                  <w:marTop w:val="0"/>
                  <w:marBottom w:val="0"/>
                  <w:divBdr>
                    <w:top w:val="none" w:sz="0" w:space="0" w:color="auto"/>
                    <w:left w:val="none" w:sz="0" w:space="0" w:color="auto"/>
                    <w:bottom w:val="none" w:sz="0" w:space="0" w:color="auto"/>
                    <w:right w:val="none" w:sz="0" w:space="0" w:color="auto"/>
                  </w:divBdr>
                  <w:divsChild>
                    <w:div w:id="590891582">
                      <w:marLeft w:val="0"/>
                      <w:marRight w:val="0"/>
                      <w:marTop w:val="0"/>
                      <w:marBottom w:val="0"/>
                      <w:divBdr>
                        <w:top w:val="none" w:sz="0" w:space="0" w:color="auto"/>
                        <w:left w:val="none" w:sz="0" w:space="0" w:color="auto"/>
                        <w:bottom w:val="none" w:sz="0" w:space="0" w:color="auto"/>
                        <w:right w:val="none" w:sz="0" w:space="0" w:color="auto"/>
                      </w:divBdr>
                    </w:div>
                  </w:divsChild>
                </w:div>
                <w:div w:id="1125809203">
                  <w:marLeft w:val="0"/>
                  <w:marRight w:val="0"/>
                  <w:marTop w:val="0"/>
                  <w:marBottom w:val="0"/>
                  <w:divBdr>
                    <w:top w:val="none" w:sz="0" w:space="0" w:color="auto"/>
                    <w:left w:val="none" w:sz="0" w:space="0" w:color="auto"/>
                    <w:bottom w:val="none" w:sz="0" w:space="0" w:color="auto"/>
                    <w:right w:val="none" w:sz="0" w:space="0" w:color="auto"/>
                  </w:divBdr>
                  <w:divsChild>
                    <w:div w:id="1355233002">
                      <w:marLeft w:val="0"/>
                      <w:marRight w:val="0"/>
                      <w:marTop w:val="0"/>
                      <w:marBottom w:val="0"/>
                      <w:divBdr>
                        <w:top w:val="none" w:sz="0" w:space="0" w:color="auto"/>
                        <w:left w:val="none" w:sz="0" w:space="0" w:color="auto"/>
                        <w:bottom w:val="none" w:sz="0" w:space="0" w:color="auto"/>
                        <w:right w:val="none" w:sz="0" w:space="0" w:color="auto"/>
                      </w:divBdr>
                    </w:div>
                  </w:divsChild>
                </w:div>
                <w:div w:id="1141000265">
                  <w:marLeft w:val="0"/>
                  <w:marRight w:val="0"/>
                  <w:marTop w:val="0"/>
                  <w:marBottom w:val="0"/>
                  <w:divBdr>
                    <w:top w:val="none" w:sz="0" w:space="0" w:color="auto"/>
                    <w:left w:val="none" w:sz="0" w:space="0" w:color="auto"/>
                    <w:bottom w:val="none" w:sz="0" w:space="0" w:color="auto"/>
                    <w:right w:val="none" w:sz="0" w:space="0" w:color="auto"/>
                  </w:divBdr>
                  <w:divsChild>
                    <w:div w:id="1501769476">
                      <w:marLeft w:val="0"/>
                      <w:marRight w:val="0"/>
                      <w:marTop w:val="0"/>
                      <w:marBottom w:val="0"/>
                      <w:divBdr>
                        <w:top w:val="none" w:sz="0" w:space="0" w:color="auto"/>
                        <w:left w:val="none" w:sz="0" w:space="0" w:color="auto"/>
                        <w:bottom w:val="none" w:sz="0" w:space="0" w:color="auto"/>
                        <w:right w:val="none" w:sz="0" w:space="0" w:color="auto"/>
                      </w:divBdr>
                    </w:div>
                  </w:divsChild>
                </w:div>
                <w:div w:id="1142386829">
                  <w:marLeft w:val="0"/>
                  <w:marRight w:val="0"/>
                  <w:marTop w:val="0"/>
                  <w:marBottom w:val="0"/>
                  <w:divBdr>
                    <w:top w:val="none" w:sz="0" w:space="0" w:color="auto"/>
                    <w:left w:val="none" w:sz="0" w:space="0" w:color="auto"/>
                    <w:bottom w:val="none" w:sz="0" w:space="0" w:color="auto"/>
                    <w:right w:val="none" w:sz="0" w:space="0" w:color="auto"/>
                  </w:divBdr>
                  <w:divsChild>
                    <w:div w:id="2051489902">
                      <w:marLeft w:val="0"/>
                      <w:marRight w:val="0"/>
                      <w:marTop w:val="0"/>
                      <w:marBottom w:val="0"/>
                      <w:divBdr>
                        <w:top w:val="none" w:sz="0" w:space="0" w:color="auto"/>
                        <w:left w:val="none" w:sz="0" w:space="0" w:color="auto"/>
                        <w:bottom w:val="none" w:sz="0" w:space="0" w:color="auto"/>
                        <w:right w:val="none" w:sz="0" w:space="0" w:color="auto"/>
                      </w:divBdr>
                    </w:div>
                  </w:divsChild>
                </w:div>
                <w:div w:id="1147160403">
                  <w:marLeft w:val="0"/>
                  <w:marRight w:val="0"/>
                  <w:marTop w:val="0"/>
                  <w:marBottom w:val="0"/>
                  <w:divBdr>
                    <w:top w:val="none" w:sz="0" w:space="0" w:color="auto"/>
                    <w:left w:val="none" w:sz="0" w:space="0" w:color="auto"/>
                    <w:bottom w:val="none" w:sz="0" w:space="0" w:color="auto"/>
                    <w:right w:val="none" w:sz="0" w:space="0" w:color="auto"/>
                  </w:divBdr>
                  <w:divsChild>
                    <w:div w:id="1078552628">
                      <w:marLeft w:val="0"/>
                      <w:marRight w:val="0"/>
                      <w:marTop w:val="0"/>
                      <w:marBottom w:val="0"/>
                      <w:divBdr>
                        <w:top w:val="none" w:sz="0" w:space="0" w:color="auto"/>
                        <w:left w:val="none" w:sz="0" w:space="0" w:color="auto"/>
                        <w:bottom w:val="none" w:sz="0" w:space="0" w:color="auto"/>
                        <w:right w:val="none" w:sz="0" w:space="0" w:color="auto"/>
                      </w:divBdr>
                    </w:div>
                  </w:divsChild>
                </w:div>
                <w:div w:id="1167205930">
                  <w:marLeft w:val="0"/>
                  <w:marRight w:val="0"/>
                  <w:marTop w:val="0"/>
                  <w:marBottom w:val="0"/>
                  <w:divBdr>
                    <w:top w:val="none" w:sz="0" w:space="0" w:color="auto"/>
                    <w:left w:val="none" w:sz="0" w:space="0" w:color="auto"/>
                    <w:bottom w:val="none" w:sz="0" w:space="0" w:color="auto"/>
                    <w:right w:val="none" w:sz="0" w:space="0" w:color="auto"/>
                  </w:divBdr>
                  <w:divsChild>
                    <w:div w:id="1587837585">
                      <w:marLeft w:val="0"/>
                      <w:marRight w:val="0"/>
                      <w:marTop w:val="0"/>
                      <w:marBottom w:val="0"/>
                      <w:divBdr>
                        <w:top w:val="none" w:sz="0" w:space="0" w:color="auto"/>
                        <w:left w:val="none" w:sz="0" w:space="0" w:color="auto"/>
                        <w:bottom w:val="none" w:sz="0" w:space="0" w:color="auto"/>
                        <w:right w:val="none" w:sz="0" w:space="0" w:color="auto"/>
                      </w:divBdr>
                    </w:div>
                  </w:divsChild>
                </w:div>
                <w:div w:id="1174760111">
                  <w:marLeft w:val="0"/>
                  <w:marRight w:val="0"/>
                  <w:marTop w:val="0"/>
                  <w:marBottom w:val="0"/>
                  <w:divBdr>
                    <w:top w:val="none" w:sz="0" w:space="0" w:color="auto"/>
                    <w:left w:val="none" w:sz="0" w:space="0" w:color="auto"/>
                    <w:bottom w:val="none" w:sz="0" w:space="0" w:color="auto"/>
                    <w:right w:val="none" w:sz="0" w:space="0" w:color="auto"/>
                  </w:divBdr>
                  <w:divsChild>
                    <w:div w:id="1622151608">
                      <w:marLeft w:val="0"/>
                      <w:marRight w:val="0"/>
                      <w:marTop w:val="0"/>
                      <w:marBottom w:val="0"/>
                      <w:divBdr>
                        <w:top w:val="none" w:sz="0" w:space="0" w:color="auto"/>
                        <w:left w:val="none" w:sz="0" w:space="0" w:color="auto"/>
                        <w:bottom w:val="none" w:sz="0" w:space="0" w:color="auto"/>
                        <w:right w:val="none" w:sz="0" w:space="0" w:color="auto"/>
                      </w:divBdr>
                    </w:div>
                  </w:divsChild>
                </w:div>
                <w:div w:id="1184321545">
                  <w:marLeft w:val="0"/>
                  <w:marRight w:val="0"/>
                  <w:marTop w:val="0"/>
                  <w:marBottom w:val="0"/>
                  <w:divBdr>
                    <w:top w:val="none" w:sz="0" w:space="0" w:color="auto"/>
                    <w:left w:val="none" w:sz="0" w:space="0" w:color="auto"/>
                    <w:bottom w:val="none" w:sz="0" w:space="0" w:color="auto"/>
                    <w:right w:val="none" w:sz="0" w:space="0" w:color="auto"/>
                  </w:divBdr>
                  <w:divsChild>
                    <w:div w:id="310445568">
                      <w:marLeft w:val="0"/>
                      <w:marRight w:val="0"/>
                      <w:marTop w:val="0"/>
                      <w:marBottom w:val="0"/>
                      <w:divBdr>
                        <w:top w:val="none" w:sz="0" w:space="0" w:color="auto"/>
                        <w:left w:val="none" w:sz="0" w:space="0" w:color="auto"/>
                        <w:bottom w:val="none" w:sz="0" w:space="0" w:color="auto"/>
                        <w:right w:val="none" w:sz="0" w:space="0" w:color="auto"/>
                      </w:divBdr>
                    </w:div>
                  </w:divsChild>
                </w:div>
                <w:div w:id="1195774064">
                  <w:marLeft w:val="0"/>
                  <w:marRight w:val="0"/>
                  <w:marTop w:val="0"/>
                  <w:marBottom w:val="0"/>
                  <w:divBdr>
                    <w:top w:val="none" w:sz="0" w:space="0" w:color="auto"/>
                    <w:left w:val="none" w:sz="0" w:space="0" w:color="auto"/>
                    <w:bottom w:val="none" w:sz="0" w:space="0" w:color="auto"/>
                    <w:right w:val="none" w:sz="0" w:space="0" w:color="auto"/>
                  </w:divBdr>
                  <w:divsChild>
                    <w:div w:id="933323528">
                      <w:marLeft w:val="0"/>
                      <w:marRight w:val="0"/>
                      <w:marTop w:val="0"/>
                      <w:marBottom w:val="0"/>
                      <w:divBdr>
                        <w:top w:val="none" w:sz="0" w:space="0" w:color="auto"/>
                        <w:left w:val="none" w:sz="0" w:space="0" w:color="auto"/>
                        <w:bottom w:val="none" w:sz="0" w:space="0" w:color="auto"/>
                        <w:right w:val="none" w:sz="0" w:space="0" w:color="auto"/>
                      </w:divBdr>
                    </w:div>
                  </w:divsChild>
                </w:div>
                <w:div w:id="1203521044">
                  <w:marLeft w:val="0"/>
                  <w:marRight w:val="0"/>
                  <w:marTop w:val="0"/>
                  <w:marBottom w:val="0"/>
                  <w:divBdr>
                    <w:top w:val="none" w:sz="0" w:space="0" w:color="auto"/>
                    <w:left w:val="none" w:sz="0" w:space="0" w:color="auto"/>
                    <w:bottom w:val="none" w:sz="0" w:space="0" w:color="auto"/>
                    <w:right w:val="none" w:sz="0" w:space="0" w:color="auto"/>
                  </w:divBdr>
                  <w:divsChild>
                    <w:div w:id="1471362951">
                      <w:marLeft w:val="0"/>
                      <w:marRight w:val="0"/>
                      <w:marTop w:val="0"/>
                      <w:marBottom w:val="0"/>
                      <w:divBdr>
                        <w:top w:val="none" w:sz="0" w:space="0" w:color="auto"/>
                        <w:left w:val="none" w:sz="0" w:space="0" w:color="auto"/>
                        <w:bottom w:val="none" w:sz="0" w:space="0" w:color="auto"/>
                        <w:right w:val="none" w:sz="0" w:space="0" w:color="auto"/>
                      </w:divBdr>
                    </w:div>
                  </w:divsChild>
                </w:div>
                <w:div w:id="1218249875">
                  <w:marLeft w:val="0"/>
                  <w:marRight w:val="0"/>
                  <w:marTop w:val="0"/>
                  <w:marBottom w:val="0"/>
                  <w:divBdr>
                    <w:top w:val="none" w:sz="0" w:space="0" w:color="auto"/>
                    <w:left w:val="none" w:sz="0" w:space="0" w:color="auto"/>
                    <w:bottom w:val="none" w:sz="0" w:space="0" w:color="auto"/>
                    <w:right w:val="none" w:sz="0" w:space="0" w:color="auto"/>
                  </w:divBdr>
                  <w:divsChild>
                    <w:div w:id="1118255497">
                      <w:marLeft w:val="0"/>
                      <w:marRight w:val="0"/>
                      <w:marTop w:val="0"/>
                      <w:marBottom w:val="0"/>
                      <w:divBdr>
                        <w:top w:val="none" w:sz="0" w:space="0" w:color="auto"/>
                        <w:left w:val="none" w:sz="0" w:space="0" w:color="auto"/>
                        <w:bottom w:val="none" w:sz="0" w:space="0" w:color="auto"/>
                        <w:right w:val="none" w:sz="0" w:space="0" w:color="auto"/>
                      </w:divBdr>
                    </w:div>
                  </w:divsChild>
                </w:div>
                <w:div w:id="1242643302">
                  <w:marLeft w:val="0"/>
                  <w:marRight w:val="0"/>
                  <w:marTop w:val="0"/>
                  <w:marBottom w:val="0"/>
                  <w:divBdr>
                    <w:top w:val="none" w:sz="0" w:space="0" w:color="auto"/>
                    <w:left w:val="none" w:sz="0" w:space="0" w:color="auto"/>
                    <w:bottom w:val="none" w:sz="0" w:space="0" w:color="auto"/>
                    <w:right w:val="none" w:sz="0" w:space="0" w:color="auto"/>
                  </w:divBdr>
                  <w:divsChild>
                    <w:div w:id="1863586709">
                      <w:marLeft w:val="0"/>
                      <w:marRight w:val="0"/>
                      <w:marTop w:val="0"/>
                      <w:marBottom w:val="0"/>
                      <w:divBdr>
                        <w:top w:val="none" w:sz="0" w:space="0" w:color="auto"/>
                        <w:left w:val="none" w:sz="0" w:space="0" w:color="auto"/>
                        <w:bottom w:val="none" w:sz="0" w:space="0" w:color="auto"/>
                        <w:right w:val="none" w:sz="0" w:space="0" w:color="auto"/>
                      </w:divBdr>
                    </w:div>
                  </w:divsChild>
                </w:div>
                <w:div w:id="1290740750">
                  <w:marLeft w:val="0"/>
                  <w:marRight w:val="0"/>
                  <w:marTop w:val="0"/>
                  <w:marBottom w:val="0"/>
                  <w:divBdr>
                    <w:top w:val="none" w:sz="0" w:space="0" w:color="auto"/>
                    <w:left w:val="none" w:sz="0" w:space="0" w:color="auto"/>
                    <w:bottom w:val="none" w:sz="0" w:space="0" w:color="auto"/>
                    <w:right w:val="none" w:sz="0" w:space="0" w:color="auto"/>
                  </w:divBdr>
                  <w:divsChild>
                    <w:div w:id="1711954552">
                      <w:marLeft w:val="0"/>
                      <w:marRight w:val="0"/>
                      <w:marTop w:val="0"/>
                      <w:marBottom w:val="0"/>
                      <w:divBdr>
                        <w:top w:val="none" w:sz="0" w:space="0" w:color="auto"/>
                        <w:left w:val="none" w:sz="0" w:space="0" w:color="auto"/>
                        <w:bottom w:val="none" w:sz="0" w:space="0" w:color="auto"/>
                        <w:right w:val="none" w:sz="0" w:space="0" w:color="auto"/>
                      </w:divBdr>
                    </w:div>
                  </w:divsChild>
                </w:div>
                <w:div w:id="1297487505">
                  <w:marLeft w:val="0"/>
                  <w:marRight w:val="0"/>
                  <w:marTop w:val="0"/>
                  <w:marBottom w:val="0"/>
                  <w:divBdr>
                    <w:top w:val="none" w:sz="0" w:space="0" w:color="auto"/>
                    <w:left w:val="none" w:sz="0" w:space="0" w:color="auto"/>
                    <w:bottom w:val="none" w:sz="0" w:space="0" w:color="auto"/>
                    <w:right w:val="none" w:sz="0" w:space="0" w:color="auto"/>
                  </w:divBdr>
                  <w:divsChild>
                    <w:div w:id="1141725946">
                      <w:marLeft w:val="0"/>
                      <w:marRight w:val="0"/>
                      <w:marTop w:val="0"/>
                      <w:marBottom w:val="0"/>
                      <w:divBdr>
                        <w:top w:val="none" w:sz="0" w:space="0" w:color="auto"/>
                        <w:left w:val="none" w:sz="0" w:space="0" w:color="auto"/>
                        <w:bottom w:val="none" w:sz="0" w:space="0" w:color="auto"/>
                        <w:right w:val="none" w:sz="0" w:space="0" w:color="auto"/>
                      </w:divBdr>
                    </w:div>
                  </w:divsChild>
                </w:div>
                <w:div w:id="1313370021">
                  <w:marLeft w:val="0"/>
                  <w:marRight w:val="0"/>
                  <w:marTop w:val="0"/>
                  <w:marBottom w:val="0"/>
                  <w:divBdr>
                    <w:top w:val="none" w:sz="0" w:space="0" w:color="auto"/>
                    <w:left w:val="none" w:sz="0" w:space="0" w:color="auto"/>
                    <w:bottom w:val="none" w:sz="0" w:space="0" w:color="auto"/>
                    <w:right w:val="none" w:sz="0" w:space="0" w:color="auto"/>
                  </w:divBdr>
                  <w:divsChild>
                    <w:div w:id="1944339980">
                      <w:marLeft w:val="0"/>
                      <w:marRight w:val="0"/>
                      <w:marTop w:val="0"/>
                      <w:marBottom w:val="0"/>
                      <w:divBdr>
                        <w:top w:val="none" w:sz="0" w:space="0" w:color="auto"/>
                        <w:left w:val="none" w:sz="0" w:space="0" w:color="auto"/>
                        <w:bottom w:val="none" w:sz="0" w:space="0" w:color="auto"/>
                        <w:right w:val="none" w:sz="0" w:space="0" w:color="auto"/>
                      </w:divBdr>
                    </w:div>
                  </w:divsChild>
                </w:div>
                <w:div w:id="1319387737">
                  <w:marLeft w:val="0"/>
                  <w:marRight w:val="0"/>
                  <w:marTop w:val="0"/>
                  <w:marBottom w:val="0"/>
                  <w:divBdr>
                    <w:top w:val="none" w:sz="0" w:space="0" w:color="auto"/>
                    <w:left w:val="none" w:sz="0" w:space="0" w:color="auto"/>
                    <w:bottom w:val="none" w:sz="0" w:space="0" w:color="auto"/>
                    <w:right w:val="none" w:sz="0" w:space="0" w:color="auto"/>
                  </w:divBdr>
                  <w:divsChild>
                    <w:div w:id="83112385">
                      <w:marLeft w:val="0"/>
                      <w:marRight w:val="0"/>
                      <w:marTop w:val="0"/>
                      <w:marBottom w:val="0"/>
                      <w:divBdr>
                        <w:top w:val="none" w:sz="0" w:space="0" w:color="auto"/>
                        <w:left w:val="none" w:sz="0" w:space="0" w:color="auto"/>
                        <w:bottom w:val="none" w:sz="0" w:space="0" w:color="auto"/>
                        <w:right w:val="none" w:sz="0" w:space="0" w:color="auto"/>
                      </w:divBdr>
                    </w:div>
                  </w:divsChild>
                </w:div>
                <w:div w:id="1324434824">
                  <w:marLeft w:val="0"/>
                  <w:marRight w:val="0"/>
                  <w:marTop w:val="0"/>
                  <w:marBottom w:val="0"/>
                  <w:divBdr>
                    <w:top w:val="none" w:sz="0" w:space="0" w:color="auto"/>
                    <w:left w:val="none" w:sz="0" w:space="0" w:color="auto"/>
                    <w:bottom w:val="none" w:sz="0" w:space="0" w:color="auto"/>
                    <w:right w:val="none" w:sz="0" w:space="0" w:color="auto"/>
                  </w:divBdr>
                  <w:divsChild>
                    <w:div w:id="962232061">
                      <w:marLeft w:val="0"/>
                      <w:marRight w:val="0"/>
                      <w:marTop w:val="0"/>
                      <w:marBottom w:val="0"/>
                      <w:divBdr>
                        <w:top w:val="none" w:sz="0" w:space="0" w:color="auto"/>
                        <w:left w:val="none" w:sz="0" w:space="0" w:color="auto"/>
                        <w:bottom w:val="none" w:sz="0" w:space="0" w:color="auto"/>
                        <w:right w:val="none" w:sz="0" w:space="0" w:color="auto"/>
                      </w:divBdr>
                    </w:div>
                  </w:divsChild>
                </w:div>
                <w:div w:id="1335262133">
                  <w:marLeft w:val="0"/>
                  <w:marRight w:val="0"/>
                  <w:marTop w:val="0"/>
                  <w:marBottom w:val="0"/>
                  <w:divBdr>
                    <w:top w:val="none" w:sz="0" w:space="0" w:color="auto"/>
                    <w:left w:val="none" w:sz="0" w:space="0" w:color="auto"/>
                    <w:bottom w:val="none" w:sz="0" w:space="0" w:color="auto"/>
                    <w:right w:val="none" w:sz="0" w:space="0" w:color="auto"/>
                  </w:divBdr>
                  <w:divsChild>
                    <w:div w:id="1531917351">
                      <w:marLeft w:val="0"/>
                      <w:marRight w:val="0"/>
                      <w:marTop w:val="0"/>
                      <w:marBottom w:val="0"/>
                      <w:divBdr>
                        <w:top w:val="none" w:sz="0" w:space="0" w:color="auto"/>
                        <w:left w:val="none" w:sz="0" w:space="0" w:color="auto"/>
                        <w:bottom w:val="none" w:sz="0" w:space="0" w:color="auto"/>
                        <w:right w:val="none" w:sz="0" w:space="0" w:color="auto"/>
                      </w:divBdr>
                    </w:div>
                  </w:divsChild>
                </w:div>
                <w:div w:id="1345788048">
                  <w:marLeft w:val="0"/>
                  <w:marRight w:val="0"/>
                  <w:marTop w:val="0"/>
                  <w:marBottom w:val="0"/>
                  <w:divBdr>
                    <w:top w:val="none" w:sz="0" w:space="0" w:color="auto"/>
                    <w:left w:val="none" w:sz="0" w:space="0" w:color="auto"/>
                    <w:bottom w:val="none" w:sz="0" w:space="0" w:color="auto"/>
                    <w:right w:val="none" w:sz="0" w:space="0" w:color="auto"/>
                  </w:divBdr>
                  <w:divsChild>
                    <w:div w:id="1310745709">
                      <w:marLeft w:val="0"/>
                      <w:marRight w:val="0"/>
                      <w:marTop w:val="0"/>
                      <w:marBottom w:val="0"/>
                      <w:divBdr>
                        <w:top w:val="none" w:sz="0" w:space="0" w:color="auto"/>
                        <w:left w:val="none" w:sz="0" w:space="0" w:color="auto"/>
                        <w:bottom w:val="none" w:sz="0" w:space="0" w:color="auto"/>
                        <w:right w:val="none" w:sz="0" w:space="0" w:color="auto"/>
                      </w:divBdr>
                    </w:div>
                  </w:divsChild>
                </w:div>
                <w:div w:id="1351755671">
                  <w:marLeft w:val="0"/>
                  <w:marRight w:val="0"/>
                  <w:marTop w:val="0"/>
                  <w:marBottom w:val="0"/>
                  <w:divBdr>
                    <w:top w:val="none" w:sz="0" w:space="0" w:color="auto"/>
                    <w:left w:val="none" w:sz="0" w:space="0" w:color="auto"/>
                    <w:bottom w:val="none" w:sz="0" w:space="0" w:color="auto"/>
                    <w:right w:val="none" w:sz="0" w:space="0" w:color="auto"/>
                  </w:divBdr>
                  <w:divsChild>
                    <w:div w:id="1434783450">
                      <w:marLeft w:val="0"/>
                      <w:marRight w:val="0"/>
                      <w:marTop w:val="0"/>
                      <w:marBottom w:val="0"/>
                      <w:divBdr>
                        <w:top w:val="none" w:sz="0" w:space="0" w:color="auto"/>
                        <w:left w:val="none" w:sz="0" w:space="0" w:color="auto"/>
                        <w:bottom w:val="none" w:sz="0" w:space="0" w:color="auto"/>
                        <w:right w:val="none" w:sz="0" w:space="0" w:color="auto"/>
                      </w:divBdr>
                    </w:div>
                  </w:divsChild>
                </w:div>
                <w:div w:id="1376347773">
                  <w:marLeft w:val="0"/>
                  <w:marRight w:val="0"/>
                  <w:marTop w:val="0"/>
                  <w:marBottom w:val="0"/>
                  <w:divBdr>
                    <w:top w:val="none" w:sz="0" w:space="0" w:color="auto"/>
                    <w:left w:val="none" w:sz="0" w:space="0" w:color="auto"/>
                    <w:bottom w:val="none" w:sz="0" w:space="0" w:color="auto"/>
                    <w:right w:val="none" w:sz="0" w:space="0" w:color="auto"/>
                  </w:divBdr>
                  <w:divsChild>
                    <w:div w:id="837697349">
                      <w:marLeft w:val="0"/>
                      <w:marRight w:val="0"/>
                      <w:marTop w:val="0"/>
                      <w:marBottom w:val="0"/>
                      <w:divBdr>
                        <w:top w:val="none" w:sz="0" w:space="0" w:color="auto"/>
                        <w:left w:val="none" w:sz="0" w:space="0" w:color="auto"/>
                        <w:bottom w:val="none" w:sz="0" w:space="0" w:color="auto"/>
                        <w:right w:val="none" w:sz="0" w:space="0" w:color="auto"/>
                      </w:divBdr>
                    </w:div>
                  </w:divsChild>
                </w:div>
                <w:div w:id="1415199634">
                  <w:marLeft w:val="0"/>
                  <w:marRight w:val="0"/>
                  <w:marTop w:val="0"/>
                  <w:marBottom w:val="0"/>
                  <w:divBdr>
                    <w:top w:val="none" w:sz="0" w:space="0" w:color="auto"/>
                    <w:left w:val="none" w:sz="0" w:space="0" w:color="auto"/>
                    <w:bottom w:val="none" w:sz="0" w:space="0" w:color="auto"/>
                    <w:right w:val="none" w:sz="0" w:space="0" w:color="auto"/>
                  </w:divBdr>
                  <w:divsChild>
                    <w:div w:id="1070227481">
                      <w:marLeft w:val="0"/>
                      <w:marRight w:val="0"/>
                      <w:marTop w:val="0"/>
                      <w:marBottom w:val="0"/>
                      <w:divBdr>
                        <w:top w:val="none" w:sz="0" w:space="0" w:color="auto"/>
                        <w:left w:val="none" w:sz="0" w:space="0" w:color="auto"/>
                        <w:bottom w:val="none" w:sz="0" w:space="0" w:color="auto"/>
                        <w:right w:val="none" w:sz="0" w:space="0" w:color="auto"/>
                      </w:divBdr>
                    </w:div>
                  </w:divsChild>
                </w:div>
                <w:div w:id="1420249253">
                  <w:marLeft w:val="0"/>
                  <w:marRight w:val="0"/>
                  <w:marTop w:val="0"/>
                  <w:marBottom w:val="0"/>
                  <w:divBdr>
                    <w:top w:val="none" w:sz="0" w:space="0" w:color="auto"/>
                    <w:left w:val="none" w:sz="0" w:space="0" w:color="auto"/>
                    <w:bottom w:val="none" w:sz="0" w:space="0" w:color="auto"/>
                    <w:right w:val="none" w:sz="0" w:space="0" w:color="auto"/>
                  </w:divBdr>
                  <w:divsChild>
                    <w:div w:id="720251115">
                      <w:marLeft w:val="0"/>
                      <w:marRight w:val="0"/>
                      <w:marTop w:val="0"/>
                      <w:marBottom w:val="0"/>
                      <w:divBdr>
                        <w:top w:val="none" w:sz="0" w:space="0" w:color="auto"/>
                        <w:left w:val="none" w:sz="0" w:space="0" w:color="auto"/>
                        <w:bottom w:val="none" w:sz="0" w:space="0" w:color="auto"/>
                        <w:right w:val="none" w:sz="0" w:space="0" w:color="auto"/>
                      </w:divBdr>
                    </w:div>
                  </w:divsChild>
                </w:div>
                <w:div w:id="1437286009">
                  <w:marLeft w:val="0"/>
                  <w:marRight w:val="0"/>
                  <w:marTop w:val="0"/>
                  <w:marBottom w:val="0"/>
                  <w:divBdr>
                    <w:top w:val="none" w:sz="0" w:space="0" w:color="auto"/>
                    <w:left w:val="none" w:sz="0" w:space="0" w:color="auto"/>
                    <w:bottom w:val="none" w:sz="0" w:space="0" w:color="auto"/>
                    <w:right w:val="none" w:sz="0" w:space="0" w:color="auto"/>
                  </w:divBdr>
                  <w:divsChild>
                    <w:div w:id="1154762005">
                      <w:marLeft w:val="0"/>
                      <w:marRight w:val="0"/>
                      <w:marTop w:val="0"/>
                      <w:marBottom w:val="0"/>
                      <w:divBdr>
                        <w:top w:val="none" w:sz="0" w:space="0" w:color="auto"/>
                        <w:left w:val="none" w:sz="0" w:space="0" w:color="auto"/>
                        <w:bottom w:val="none" w:sz="0" w:space="0" w:color="auto"/>
                        <w:right w:val="none" w:sz="0" w:space="0" w:color="auto"/>
                      </w:divBdr>
                    </w:div>
                  </w:divsChild>
                </w:div>
                <w:div w:id="1443188170">
                  <w:marLeft w:val="0"/>
                  <w:marRight w:val="0"/>
                  <w:marTop w:val="0"/>
                  <w:marBottom w:val="0"/>
                  <w:divBdr>
                    <w:top w:val="none" w:sz="0" w:space="0" w:color="auto"/>
                    <w:left w:val="none" w:sz="0" w:space="0" w:color="auto"/>
                    <w:bottom w:val="none" w:sz="0" w:space="0" w:color="auto"/>
                    <w:right w:val="none" w:sz="0" w:space="0" w:color="auto"/>
                  </w:divBdr>
                  <w:divsChild>
                    <w:div w:id="753939789">
                      <w:marLeft w:val="0"/>
                      <w:marRight w:val="0"/>
                      <w:marTop w:val="0"/>
                      <w:marBottom w:val="0"/>
                      <w:divBdr>
                        <w:top w:val="none" w:sz="0" w:space="0" w:color="auto"/>
                        <w:left w:val="none" w:sz="0" w:space="0" w:color="auto"/>
                        <w:bottom w:val="none" w:sz="0" w:space="0" w:color="auto"/>
                        <w:right w:val="none" w:sz="0" w:space="0" w:color="auto"/>
                      </w:divBdr>
                    </w:div>
                  </w:divsChild>
                </w:div>
                <w:div w:id="1446118265">
                  <w:marLeft w:val="0"/>
                  <w:marRight w:val="0"/>
                  <w:marTop w:val="0"/>
                  <w:marBottom w:val="0"/>
                  <w:divBdr>
                    <w:top w:val="none" w:sz="0" w:space="0" w:color="auto"/>
                    <w:left w:val="none" w:sz="0" w:space="0" w:color="auto"/>
                    <w:bottom w:val="none" w:sz="0" w:space="0" w:color="auto"/>
                    <w:right w:val="none" w:sz="0" w:space="0" w:color="auto"/>
                  </w:divBdr>
                  <w:divsChild>
                    <w:div w:id="1483038549">
                      <w:marLeft w:val="0"/>
                      <w:marRight w:val="0"/>
                      <w:marTop w:val="0"/>
                      <w:marBottom w:val="0"/>
                      <w:divBdr>
                        <w:top w:val="none" w:sz="0" w:space="0" w:color="auto"/>
                        <w:left w:val="none" w:sz="0" w:space="0" w:color="auto"/>
                        <w:bottom w:val="none" w:sz="0" w:space="0" w:color="auto"/>
                        <w:right w:val="none" w:sz="0" w:space="0" w:color="auto"/>
                      </w:divBdr>
                    </w:div>
                  </w:divsChild>
                </w:div>
                <w:div w:id="1448812210">
                  <w:marLeft w:val="0"/>
                  <w:marRight w:val="0"/>
                  <w:marTop w:val="0"/>
                  <w:marBottom w:val="0"/>
                  <w:divBdr>
                    <w:top w:val="none" w:sz="0" w:space="0" w:color="auto"/>
                    <w:left w:val="none" w:sz="0" w:space="0" w:color="auto"/>
                    <w:bottom w:val="none" w:sz="0" w:space="0" w:color="auto"/>
                    <w:right w:val="none" w:sz="0" w:space="0" w:color="auto"/>
                  </w:divBdr>
                  <w:divsChild>
                    <w:div w:id="1006860048">
                      <w:marLeft w:val="0"/>
                      <w:marRight w:val="0"/>
                      <w:marTop w:val="0"/>
                      <w:marBottom w:val="0"/>
                      <w:divBdr>
                        <w:top w:val="none" w:sz="0" w:space="0" w:color="auto"/>
                        <w:left w:val="none" w:sz="0" w:space="0" w:color="auto"/>
                        <w:bottom w:val="none" w:sz="0" w:space="0" w:color="auto"/>
                        <w:right w:val="none" w:sz="0" w:space="0" w:color="auto"/>
                      </w:divBdr>
                    </w:div>
                  </w:divsChild>
                </w:div>
                <w:div w:id="1450394140">
                  <w:marLeft w:val="0"/>
                  <w:marRight w:val="0"/>
                  <w:marTop w:val="0"/>
                  <w:marBottom w:val="0"/>
                  <w:divBdr>
                    <w:top w:val="none" w:sz="0" w:space="0" w:color="auto"/>
                    <w:left w:val="none" w:sz="0" w:space="0" w:color="auto"/>
                    <w:bottom w:val="none" w:sz="0" w:space="0" w:color="auto"/>
                    <w:right w:val="none" w:sz="0" w:space="0" w:color="auto"/>
                  </w:divBdr>
                  <w:divsChild>
                    <w:div w:id="1734809357">
                      <w:marLeft w:val="0"/>
                      <w:marRight w:val="0"/>
                      <w:marTop w:val="0"/>
                      <w:marBottom w:val="0"/>
                      <w:divBdr>
                        <w:top w:val="none" w:sz="0" w:space="0" w:color="auto"/>
                        <w:left w:val="none" w:sz="0" w:space="0" w:color="auto"/>
                        <w:bottom w:val="none" w:sz="0" w:space="0" w:color="auto"/>
                        <w:right w:val="none" w:sz="0" w:space="0" w:color="auto"/>
                      </w:divBdr>
                    </w:div>
                  </w:divsChild>
                </w:div>
                <w:div w:id="1451165161">
                  <w:marLeft w:val="0"/>
                  <w:marRight w:val="0"/>
                  <w:marTop w:val="0"/>
                  <w:marBottom w:val="0"/>
                  <w:divBdr>
                    <w:top w:val="none" w:sz="0" w:space="0" w:color="auto"/>
                    <w:left w:val="none" w:sz="0" w:space="0" w:color="auto"/>
                    <w:bottom w:val="none" w:sz="0" w:space="0" w:color="auto"/>
                    <w:right w:val="none" w:sz="0" w:space="0" w:color="auto"/>
                  </w:divBdr>
                  <w:divsChild>
                    <w:div w:id="1633949666">
                      <w:marLeft w:val="0"/>
                      <w:marRight w:val="0"/>
                      <w:marTop w:val="0"/>
                      <w:marBottom w:val="0"/>
                      <w:divBdr>
                        <w:top w:val="none" w:sz="0" w:space="0" w:color="auto"/>
                        <w:left w:val="none" w:sz="0" w:space="0" w:color="auto"/>
                        <w:bottom w:val="none" w:sz="0" w:space="0" w:color="auto"/>
                        <w:right w:val="none" w:sz="0" w:space="0" w:color="auto"/>
                      </w:divBdr>
                    </w:div>
                  </w:divsChild>
                </w:div>
                <w:div w:id="1462653372">
                  <w:marLeft w:val="0"/>
                  <w:marRight w:val="0"/>
                  <w:marTop w:val="0"/>
                  <w:marBottom w:val="0"/>
                  <w:divBdr>
                    <w:top w:val="none" w:sz="0" w:space="0" w:color="auto"/>
                    <w:left w:val="none" w:sz="0" w:space="0" w:color="auto"/>
                    <w:bottom w:val="none" w:sz="0" w:space="0" w:color="auto"/>
                    <w:right w:val="none" w:sz="0" w:space="0" w:color="auto"/>
                  </w:divBdr>
                  <w:divsChild>
                    <w:div w:id="721709733">
                      <w:marLeft w:val="0"/>
                      <w:marRight w:val="0"/>
                      <w:marTop w:val="0"/>
                      <w:marBottom w:val="0"/>
                      <w:divBdr>
                        <w:top w:val="none" w:sz="0" w:space="0" w:color="auto"/>
                        <w:left w:val="none" w:sz="0" w:space="0" w:color="auto"/>
                        <w:bottom w:val="none" w:sz="0" w:space="0" w:color="auto"/>
                        <w:right w:val="none" w:sz="0" w:space="0" w:color="auto"/>
                      </w:divBdr>
                    </w:div>
                  </w:divsChild>
                </w:div>
                <w:div w:id="1464883865">
                  <w:marLeft w:val="0"/>
                  <w:marRight w:val="0"/>
                  <w:marTop w:val="0"/>
                  <w:marBottom w:val="0"/>
                  <w:divBdr>
                    <w:top w:val="none" w:sz="0" w:space="0" w:color="auto"/>
                    <w:left w:val="none" w:sz="0" w:space="0" w:color="auto"/>
                    <w:bottom w:val="none" w:sz="0" w:space="0" w:color="auto"/>
                    <w:right w:val="none" w:sz="0" w:space="0" w:color="auto"/>
                  </w:divBdr>
                  <w:divsChild>
                    <w:div w:id="868446965">
                      <w:marLeft w:val="0"/>
                      <w:marRight w:val="0"/>
                      <w:marTop w:val="0"/>
                      <w:marBottom w:val="0"/>
                      <w:divBdr>
                        <w:top w:val="none" w:sz="0" w:space="0" w:color="auto"/>
                        <w:left w:val="none" w:sz="0" w:space="0" w:color="auto"/>
                        <w:bottom w:val="none" w:sz="0" w:space="0" w:color="auto"/>
                        <w:right w:val="none" w:sz="0" w:space="0" w:color="auto"/>
                      </w:divBdr>
                    </w:div>
                  </w:divsChild>
                </w:div>
                <w:div w:id="1469738043">
                  <w:marLeft w:val="0"/>
                  <w:marRight w:val="0"/>
                  <w:marTop w:val="0"/>
                  <w:marBottom w:val="0"/>
                  <w:divBdr>
                    <w:top w:val="none" w:sz="0" w:space="0" w:color="auto"/>
                    <w:left w:val="none" w:sz="0" w:space="0" w:color="auto"/>
                    <w:bottom w:val="none" w:sz="0" w:space="0" w:color="auto"/>
                    <w:right w:val="none" w:sz="0" w:space="0" w:color="auto"/>
                  </w:divBdr>
                  <w:divsChild>
                    <w:div w:id="1622807565">
                      <w:marLeft w:val="0"/>
                      <w:marRight w:val="0"/>
                      <w:marTop w:val="0"/>
                      <w:marBottom w:val="0"/>
                      <w:divBdr>
                        <w:top w:val="none" w:sz="0" w:space="0" w:color="auto"/>
                        <w:left w:val="none" w:sz="0" w:space="0" w:color="auto"/>
                        <w:bottom w:val="none" w:sz="0" w:space="0" w:color="auto"/>
                        <w:right w:val="none" w:sz="0" w:space="0" w:color="auto"/>
                      </w:divBdr>
                    </w:div>
                  </w:divsChild>
                </w:div>
                <w:div w:id="1470055881">
                  <w:marLeft w:val="0"/>
                  <w:marRight w:val="0"/>
                  <w:marTop w:val="0"/>
                  <w:marBottom w:val="0"/>
                  <w:divBdr>
                    <w:top w:val="none" w:sz="0" w:space="0" w:color="auto"/>
                    <w:left w:val="none" w:sz="0" w:space="0" w:color="auto"/>
                    <w:bottom w:val="none" w:sz="0" w:space="0" w:color="auto"/>
                    <w:right w:val="none" w:sz="0" w:space="0" w:color="auto"/>
                  </w:divBdr>
                  <w:divsChild>
                    <w:div w:id="2044094463">
                      <w:marLeft w:val="0"/>
                      <w:marRight w:val="0"/>
                      <w:marTop w:val="0"/>
                      <w:marBottom w:val="0"/>
                      <w:divBdr>
                        <w:top w:val="none" w:sz="0" w:space="0" w:color="auto"/>
                        <w:left w:val="none" w:sz="0" w:space="0" w:color="auto"/>
                        <w:bottom w:val="none" w:sz="0" w:space="0" w:color="auto"/>
                        <w:right w:val="none" w:sz="0" w:space="0" w:color="auto"/>
                      </w:divBdr>
                    </w:div>
                  </w:divsChild>
                </w:div>
                <w:div w:id="1483695437">
                  <w:marLeft w:val="0"/>
                  <w:marRight w:val="0"/>
                  <w:marTop w:val="0"/>
                  <w:marBottom w:val="0"/>
                  <w:divBdr>
                    <w:top w:val="none" w:sz="0" w:space="0" w:color="auto"/>
                    <w:left w:val="none" w:sz="0" w:space="0" w:color="auto"/>
                    <w:bottom w:val="none" w:sz="0" w:space="0" w:color="auto"/>
                    <w:right w:val="none" w:sz="0" w:space="0" w:color="auto"/>
                  </w:divBdr>
                  <w:divsChild>
                    <w:div w:id="1582987752">
                      <w:marLeft w:val="0"/>
                      <w:marRight w:val="0"/>
                      <w:marTop w:val="0"/>
                      <w:marBottom w:val="0"/>
                      <w:divBdr>
                        <w:top w:val="none" w:sz="0" w:space="0" w:color="auto"/>
                        <w:left w:val="none" w:sz="0" w:space="0" w:color="auto"/>
                        <w:bottom w:val="none" w:sz="0" w:space="0" w:color="auto"/>
                        <w:right w:val="none" w:sz="0" w:space="0" w:color="auto"/>
                      </w:divBdr>
                    </w:div>
                  </w:divsChild>
                </w:div>
                <w:div w:id="1488545535">
                  <w:marLeft w:val="0"/>
                  <w:marRight w:val="0"/>
                  <w:marTop w:val="0"/>
                  <w:marBottom w:val="0"/>
                  <w:divBdr>
                    <w:top w:val="none" w:sz="0" w:space="0" w:color="auto"/>
                    <w:left w:val="none" w:sz="0" w:space="0" w:color="auto"/>
                    <w:bottom w:val="none" w:sz="0" w:space="0" w:color="auto"/>
                    <w:right w:val="none" w:sz="0" w:space="0" w:color="auto"/>
                  </w:divBdr>
                  <w:divsChild>
                    <w:div w:id="1690789530">
                      <w:marLeft w:val="0"/>
                      <w:marRight w:val="0"/>
                      <w:marTop w:val="0"/>
                      <w:marBottom w:val="0"/>
                      <w:divBdr>
                        <w:top w:val="none" w:sz="0" w:space="0" w:color="auto"/>
                        <w:left w:val="none" w:sz="0" w:space="0" w:color="auto"/>
                        <w:bottom w:val="none" w:sz="0" w:space="0" w:color="auto"/>
                        <w:right w:val="none" w:sz="0" w:space="0" w:color="auto"/>
                      </w:divBdr>
                    </w:div>
                  </w:divsChild>
                </w:div>
                <w:div w:id="1515802507">
                  <w:marLeft w:val="0"/>
                  <w:marRight w:val="0"/>
                  <w:marTop w:val="0"/>
                  <w:marBottom w:val="0"/>
                  <w:divBdr>
                    <w:top w:val="none" w:sz="0" w:space="0" w:color="auto"/>
                    <w:left w:val="none" w:sz="0" w:space="0" w:color="auto"/>
                    <w:bottom w:val="none" w:sz="0" w:space="0" w:color="auto"/>
                    <w:right w:val="none" w:sz="0" w:space="0" w:color="auto"/>
                  </w:divBdr>
                  <w:divsChild>
                    <w:div w:id="1953592424">
                      <w:marLeft w:val="0"/>
                      <w:marRight w:val="0"/>
                      <w:marTop w:val="0"/>
                      <w:marBottom w:val="0"/>
                      <w:divBdr>
                        <w:top w:val="none" w:sz="0" w:space="0" w:color="auto"/>
                        <w:left w:val="none" w:sz="0" w:space="0" w:color="auto"/>
                        <w:bottom w:val="none" w:sz="0" w:space="0" w:color="auto"/>
                        <w:right w:val="none" w:sz="0" w:space="0" w:color="auto"/>
                      </w:divBdr>
                    </w:div>
                  </w:divsChild>
                </w:div>
                <w:div w:id="1517496676">
                  <w:marLeft w:val="0"/>
                  <w:marRight w:val="0"/>
                  <w:marTop w:val="0"/>
                  <w:marBottom w:val="0"/>
                  <w:divBdr>
                    <w:top w:val="none" w:sz="0" w:space="0" w:color="auto"/>
                    <w:left w:val="none" w:sz="0" w:space="0" w:color="auto"/>
                    <w:bottom w:val="none" w:sz="0" w:space="0" w:color="auto"/>
                    <w:right w:val="none" w:sz="0" w:space="0" w:color="auto"/>
                  </w:divBdr>
                  <w:divsChild>
                    <w:div w:id="225456247">
                      <w:marLeft w:val="0"/>
                      <w:marRight w:val="0"/>
                      <w:marTop w:val="0"/>
                      <w:marBottom w:val="0"/>
                      <w:divBdr>
                        <w:top w:val="none" w:sz="0" w:space="0" w:color="auto"/>
                        <w:left w:val="none" w:sz="0" w:space="0" w:color="auto"/>
                        <w:bottom w:val="none" w:sz="0" w:space="0" w:color="auto"/>
                        <w:right w:val="none" w:sz="0" w:space="0" w:color="auto"/>
                      </w:divBdr>
                    </w:div>
                  </w:divsChild>
                </w:div>
                <w:div w:id="1520583817">
                  <w:marLeft w:val="0"/>
                  <w:marRight w:val="0"/>
                  <w:marTop w:val="0"/>
                  <w:marBottom w:val="0"/>
                  <w:divBdr>
                    <w:top w:val="none" w:sz="0" w:space="0" w:color="auto"/>
                    <w:left w:val="none" w:sz="0" w:space="0" w:color="auto"/>
                    <w:bottom w:val="none" w:sz="0" w:space="0" w:color="auto"/>
                    <w:right w:val="none" w:sz="0" w:space="0" w:color="auto"/>
                  </w:divBdr>
                  <w:divsChild>
                    <w:div w:id="1894346445">
                      <w:marLeft w:val="0"/>
                      <w:marRight w:val="0"/>
                      <w:marTop w:val="0"/>
                      <w:marBottom w:val="0"/>
                      <w:divBdr>
                        <w:top w:val="none" w:sz="0" w:space="0" w:color="auto"/>
                        <w:left w:val="none" w:sz="0" w:space="0" w:color="auto"/>
                        <w:bottom w:val="none" w:sz="0" w:space="0" w:color="auto"/>
                        <w:right w:val="none" w:sz="0" w:space="0" w:color="auto"/>
                      </w:divBdr>
                    </w:div>
                  </w:divsChild>
                </w:div>
                <w:div w:id="1532915611">
                  <w:marLeft w:val="0"/>
                  <w:marRight w:val="0"/>
                  <w:marTop w:val="0"/>
                  <w:marBottom w:val="0"/>
                  <w:divBdr>
                    <w:top w:val="none" w:sz="0" w:space="0" w:color="auto"/>
                    <w:left w:val="none" w:sz="0" w:space="0" w:color="auto"/>
                    <w:bottom w:val="none" w:sz="0" w:space="0" w:color="auto"/>
                    <w:right w:val="none" w:sz="0" w:space="0" w:color="auto"/>
                  </w:divBdr>
                  <w:divsChild>
                    <w:div w:id="1891383766">
                      <w:marLeft w:val="0"/>
                      <w:marRight w:val="0"/>
                      <w:marTop w:val="0"/>
                      <w:marBottom w:val="0"/>
                      <w:divBdr>
                        <w:top w:val="none" w:sz="0" w:space="0" w:color="auto"/>
                        <w:left w:val="none" w:sz="0" w:space="0" w:color="auto"/>
                        <w:bottom w:val="none" w:sz="0" w:space="0" w:color="auto"/>
                        <w:right w:val="none" w:sz="0" w:space="0" w:color="auto"/>
                      </w:divBdr>
                    </w:div>
                  </w:divsChild>
                </w:div>
                <w:div w:id="1551771164">
                  <w:marLeft w:val="0"/>
                  <w:marRight w:val="0"/>
                  <w:marTop w:val="0"/>
                  <w:marBottom w:val="0"/>
                  <w:divBdr>
                    <w:top w:val="none" w:sz="0" w:space="0" w:color="auto"/>
                    <w:left w:val="none" w:sz="0" w:space="0" w:color="auto"/>
                    <w:bottom w:val="none" w:sz="0" w:space="0" w:color="auto"/>
                    <w:right w:val="none" w:sz="0" w:space="0" w:color="auto"/>
                  </w:divBdr>
                  <w:divsChild>
                    <w:div w:id="633632619">
                      <w:marLeft w:val="0"/>
                      <w:marRight w:val="0"/>
                      <w:marTop w:val="0"/>
                      <w:marBottom w:val="0"/>
                      <w:divBdr>
                        <w:top w:val="none" w:sz="0" w:space="0" w:color="auto"/>
                        <w:left w:val="none" w:sz="0" w:space="0" w:color="auto"/>
                        <w:bottom w:val="none" w:sz="0" w:space="0" w:color="auto"/>
                        <w:right w:val="none" w:sz="0" w:space="0" w:color="auto"/>
                      </w:divBdr>
                    </w:div>
                  </w:divsChild>
                </w:div>
                <w:div w:id="1558007631">
                  <w:marLeft w:val="0"/>
                  <w:marRight w:val="0"/>
                  <w:marTop w:val="0"/>
                  <w:marBottom w:val="0"/>
                  <w:divBdr>
                    <w:top w:val="none" w:sz="0" w:space="0" w:color="auto"/>
                    <w:left w:val="none" w:sz="0" w:space="0" w:color="auto"/>
                    <w:bottom w:val="none" w:sz="0" w:space="0" w:color="auto"/>
                    <w:right w:val="none" w:sz="0" w:space="0" w:color="auto"/>
                  </w:divBdr>
                  <w:divsChild>
                    <w:div w:id="1110970348">
                      <w:marLeft w:val="0"/>
                      <w:marRight w:val="0"/>
                      <w:marTop w:val="0"/>
                      <w:marBottom w:val="0"/>
                      <w:divBdr>
                        <w:top w:val="none" w:sz="0" w:space="0" w:color="auto"/>
                        <w:left w:val="none" w:sz="0" w:space="0" w:color="auto"/>
                        <w:bottom w:val="none" w:sz="0" w:space="0" w:color="auto"/>
                        <w:right w:val="none" w:sz="0" w:space="0" w:color="auto"/>
                      </w:divBdr>
                    </w:div>
                  </w:divsChild>
                </w:div>
                <w:div w:id="1558586355">
                  <w:marLeft w:val="0"/>
                  <w:marRight w:val="0"/>
                  <w:marTop w:val="0"/>
                  <w:marBottom w:val="0"/>
                  <w:divBdr>
                    <w:top w:val="none" w:sz="0" w:space="0" w:color="auto"/>
                    <w:left w:val="none" w:sz="0" w:space="0" w:color="auto"/>
                    <w:bottom w:val="none" w:sz="0" w:space="0" w:color="auto"/>
                    <w:right w:val="none" w:sz="0" w:space="0" w:color="auto"/>
                  </w:divBdr>
                  <w:divsChild>
                    <w:div w:id="1413818493">
                      <w:marLeft w:val="0"/>
                      <w:marRight w:val="0"/>
                      <w:marTop w:val="0"/>
                      <w:marBottom w:val="0"/>
                      <w:divBdr>
                        <w:top w:val="none" w:sz="0" w:space="0" w:color="auto"/>
                        <w:left w:val="none" w:sz="0" w:space="0" w:color="auto"/>
                        <w:bottom w:val="none" w:sz="0" w:space="0" w:color="auto"/>
                        <w:right w:val="none" w:sz="0" w:space="0" w:color="auto"/>
                      </w:divBdr>
                    </w:div>
                  </w:divsChild>
                </w:div>
                <w:div w:id="1567571778">
                  <w:marLeft w:val="0"/>
                  <w:marRight w:val="0"/>
                  <w:marTop w:val="0"/>
                  <w:marBottom w:val="0"/>
                  <w:divBdr>
                    <w:top w:val="none" w:sz="0" w:space="0" w:color="auto"/>
                    <w:left w:val="none" w:sz="0" w:space="0" w:color="auto"/>
                    <w:bottom w:val="none" w:sz="0" w:space="0" w:color="auto"/>
                    <w:right w:val="none" w:sz="0" w:space="0" w:color="auto"/>
                  </w:divBdr>
                  <w:divsChild>
                    <w:div w:id="924653866">
                      <w:marLeft w:val="0"/>
                      <w:marRight w:val="0"/>
                      <w:marTop w:val="0"/>
                      <w:marBottom w:val="0"/>
                      <w:divBdr>
                        <w:top w:val="none" w:sz="0" w:space="0" w:color="auto"/>
                        <w:left w:val="none" w:sz="0" w:space="0" w:color="auto"/>
                        <w:bottom w:val="none" w:sz="0" w:space="0" w:color="auto"/>
                        <w:right w:val="none" w:sz="0" w:space="0" w:color="auto"/>
                      </w:divBdr>
                    </w:div>
                  </w:divsChild>
                </w:div>
                <w:div w:id="1578124598">
                  <w:marLeft w:val="0"/>
                  <w:marRight w:val="0"/>
                  <w:marTop w:val="0"/>
                  <w:marBottom w:val="0"/>
                  <w:divBdr>
                    <w:top w:val="none" w:sz="0" w:space="0" w:color="auto"/>
                    <w:left w:val="none" w:sz="0" w:space="0" w:color="auto"/>
                    <w:bottom w:val="none" w:sz="0" w:space="0" w:color="auto"/>
                    <w:right w:val="none" w:sz="0" w:space="0" w:color="auto"/>
                  </w:divBdr>
                  <w:divsChild>
                    <w:div w:id="472793345">
                      <w:marLeft w:val="0"/>
                      <w:marRight w:val="0"/>
                      <w:marTop w:val="0"/>
                      <w:marBottom w:val="0"/>
                      <w:divBdr>
                        <w:top w:val="none" w:sz="0" w:space="0" w:color="auto"/>
                        <w:left w:val="none" w:sz="0" w:space="0" w:color="auto"/>
                        <w:bottom w:val="none" w:sz="0" w:space="0" w:color="auto"/>
                        <w:right w:val="none" w:sz="0" w:space="0" w:color="auto"/>
                      </w:divBdr>
                    </w:div>
                  </w:divsChild>
                </w:div>
                <w:div w:id="1580627295">
                  <w:marLeft w:val="0"/>
                  <w:marRight w:val="0"/>
                  <w:marTop w:val="0"/>
                  <w:marBottom w:val="0"/>
                  <w:divBdr>
                    <w:top w:val="none" w:sz="0" w:space="0" w:color="auto"/>
                    <w:left w:val="none" w:sz="0" w:space="0" w:color="auto"/>
                    <w:bottom w:val="none" w:sz="0" w:space="0" w:color="auto"/>
                    <w:right w:val="none" w:sz="0" w:space="0" w:color="auto"/>
                  </w:divBdr>
                  <w:divsChild>
                    <w:div w:id="109710866">
                      <w:marLeft w:val="0"/>
                      <w:marRight w:val="0"/>
                      <w:marTop w:val="0"/>
                      <w:marBottom w:val="0"/>
                      <w:divBdr>
                        <w:top w:val="none" w:sz="0" w:space="0" w:color="auto"/>
                        <w:left w:val="none" w:sz="0" w:space="0" w:color="auto"/>
                        <w:bottom w:val="none" w:sz="0" w:space="0" w:color="auto"/>
                        <w:right w:val="none" w:sz="0" w:space="0" w:color="auto"/>
                      </w:divBdr>
                    </w:div>
                  </w:divsChild>
                </w:div>
                <w:div w:id="1585992268">
                  <w:marLeft w:val="0"/>
                  <w:marRight w:val="0"/>
                  <w:marTop w:val="0"/>
                  <w:marBottom w:val="0"/>
                  <w:divBdr>
                    <w:top w:val="none" w:sz="0" w:space="0" w:color="auto"/>
                    <w:left w:val="none" w:sz="0" w:space="0" w:color="auto"/>
                    <w:bottom w:val="none" w:sz="0" w:space="0" w:color="auto"/>
                    <w:right w:val="none" w:sz="0" w:space="0" w:color="auto"/>
                  </w:divBdr>
                  <w:divsChild>
                    <w:div w:id="206994813">
                      <w:marLeft w:val="0"/>
                      <w:marRight w:val="0"/>
                      <w:marTop w:val="0"/>
                      <w:marBottom w:val="0"/>
                      <w:divBdr>
                        <w:top w:val="none" w:sz="0" w:space="0" w:color="auto"/>
                        <w:left w:val="none" w:sz="0" w:space="0" w:color="auto"/>
                        <w:bottom w:val="none" w:sz="0" w:space="0" w:color="auto"/>
                        <w:right w:val="none" w:sz="0" w:space="0" w:color="auto"/>
                      </w:divBdr>
                    </w:div>
                  </w:divsChild>
                </w:div>
                <w:div w:id="1620724941">
                  <w:marLeft w:val="0"/>
                  <w:marRight w:val="0"/>
                  <w:marTop w:val="0"/>
                  <w:marBottom w:val="0"/>
                  <w:divBdr>
                    <w:top w:val="none" w:sz="0" w:space="0" w:color="auto"/>
                    <w:left w:val="none" w:sz="0" w:space="0" w:color="auto"/>
                    <w:bottom w:val="none" w:sz="0" w:space="0" w:color="auto"/>
                    <w:right w:val="none" w:sz="0" w:space="0" w:color="auto"/>
                  </w:divBdr>
                  <w:divsChild>
                    <w:div w:id="1322588478">
                      <w:marLeft w:val="0"/>
                      <w:marRight w:val="0"/>
                      <w:marTop w:val="0"/>
                      <w:marBottom w:val="0"/>
                      <w:divBdr>
                        <w:top w:val="none" w:sz="0" w:space="0" w:color="auto"/>
                        <w:left w:val="none" w:sz="0" w:space="0" w:color="auto"/>
                        <w:bottom w:val="none" w:sz="0" w:space="0" w:color="auto"/>
                        <w:right w:val="none" w:sz="0" w:space="0" w:color="auto"/>
                      </w:divBdr>
                    </w:div>
                  </w:divsChild>
                </w:div>
                <w:div w:id="1623226445">
                  <w:marLeft w:val="0"/>
                  <w:marRight w:val="0"/>
                  <w:marTop w:val="0"/>
                  <w:marBottom w:val="0"/>
                  <w:divBdr>
                    <w:top w:val="none" w:sz="0" w:space="0" w:color="auto"/>
                    <w:left w:val="none" w:sz="0" w:space="0" w:color="auto"/>
                    <w:bottom w:val="none" w:sz="0" w:space="0" w:color="auto"/>
                    <w:right w:val="none" w:sz="0" w:space="0" w:color="auto"/>
                  </w:divBdr>
                  <w:divsChild>
                    <w:div w:id="1329136679">
                      <w:marLeft w:val="0"/>
                      <w:marRight w:val="0"/>
                      <w:marTop w:val="0"/>
                      <w:marBottom w:val="0"/>
                      <w:divBdr>
                        <w:top w:val="none" w:sz="0" w:space="0" w:color="auto"/>
                        <w:left w:val="none" w:sz="0" w:space="0" w:color="auto"/>
                        <w:bottom w:val="none" w:sz="0" w:space="0" w:color="auto"/>
                        <w:right w:val="none" w:sz="0" w:space="0" w:color="auto"/>
                      </w:divBdr>
                    </w:div>
                  </w:divsChild>
                </w:div>
                <w:div w:id="1624918475">
                  <w:marLeft w:val="0"/>
                  <w:marRight w:val="0"/>
                  <w:marTop w:val="0"/>
                  <w:marBottom w:val="0"/>
                  <w:divBdr>
                    <w:top w:val="none" w:sz="0" w:space="0" w:color="auto"/>
                    <w:left w:val="none" w:sz="0" w:space="0" w:color="auto"/>
                    <w:bottom w:val="none" w:sz="0" w:space="0" w:color="auto"/>
                    <w:right w:val="none" w:sz="0" w:space="0" w:color="auto"/>
                  </w:divBdr>
                  <w:divsChild>
                    <w:div w:id="1911383340">
                      <w:marLeft w:val="0"/>
                      <w:marRight w:val="0"/>
                      <w:marTop w:val="0"/>
                      <w:marBottom w:val="0"/>
                      <w:divBdr>
                        <w:top w:val="none" w:sz="0" w:space="0" w:color="auto"/>
                        <w:left w:val="none" w:sz="0" w:space="0" w:color="auto"/>
                        <w:bottom w:val="none" w:sz="0" w:space="0" w:color="auto"/>
                        <w:right w:val="none" w:sz="0" w:space="0" w:color="auto"/>
                      </w:divBdr>
                    </w:div>
                  </w:divsChild>
                </w:div>
                <w:div w:id="1634169630">
                  <w:marLeft w:val="0"/>
                  <w:marRight w:val="0"/>
                  <w:marTop w:val="0"/>
                  <w:marBottom w:val="0"/>
                  <w:divBdr>
                    <w:top w:val="none" w:sz="0" w:space="0" w:color="auto"/>
                    <w:left w:val="none" w:sz="0" w:space="0" w:color="auto"/>
                    <w:bottom w:val="none" w:sz="0" w:space="0" w:color="auto"/>
                    <w:right w:val="none" w:sz="0" w:space="0" w:color="auto"/>
                  </w:divBdr>
                  <w:divsChild>
                    <w:div w:id="152599676">
                      <w:marLeft w:val="0"/>
                      <w:marRight w:val="0"/>
                      <w:marTop w:val="0"/>
                      <w:marBottom w:val="0"/>
                      <w:divBdr>
                        <w:top w:val="none" w:sz="0" w:space="0" w:color="auto"/>
                        <w:left w:val="none" w:sz="0" w:space="0" w:color="auto"/>
                        <w:bottom w:val="none" w:sz="0" w:space="0" w:color="auto"/>
                        <w:right w:val="none" w:sz="0" w:space="0" w:color="auto"/>
                      </w:divBdr>
                    </w:div>
                  </w:divsChild>
                </w:div>
                <w:div w:id="1644197802">
                  <w:marLeft w:val="0"/>
                  <w:marRight w:val="0"/>
                  <w:marTop w:val="0"/>
                  <w:marBottom w:val="0"/>
                  <w:divBdr>
                    <w:top w:val="none" w:sz="0" w:space="0" w:color="auto"/>
                    <w:left w:val="none" w:sz="0" w:space="0" w:color="auto"/>
                    <w:bottom w:val="none" w:sz="0" w:space="0" w:color="auto"/>
                    <w:right w:val="none" w:sz="0" w:space="0" w:color="auto"/>
                  </w:divBdr>
                  <w:divsChild>
                    <w:div w:id="323508810">
                      <w:marLeft w:val="0"/>
                      <w:marRight w:val="0"/>
                      <w:marTop w:val="0"/>
                      <w:marBottom w:val="0"/>
                      <w:divBdr>
                        <w:top w:val="none" w:sz="0" w:space="0" w:color="auto"/>
                        <w:left w:val="none" w:sz="0" w:space="0" w:color="auto"/>
                        <w:bottom w:val="none" w:sz="0" w:space="0" w:color="auto"/>
                        <w:right w:val="none" w:sz="0" w:space="0" w:color="auto"/>
                      </w:divBdr>
                    </w:div>
                  </w:divsChild>
                </w:div>
                <w:div w:id="1678341515">
                  <w:marLeft w:val="0"/>
                  <w:marRight w:val="0"/>
                  <w:marTop w:val="0"/>
                  <w:marBottom w:val="0"/>
                  <w:divBdr>
                    <w:top w:val="none" w:sz="0" w:space="0" w:color="auto"/>
                    <w:left w:val="none" w:sz="0" w:space="0" w:color="auto"/>
                    <w:bottom w:val="none" w:sz="0" w:space="0" w:color="auto"/>
                    <w:right w:val="none" w:sz="0" w:space="0" w:color="auto"/>
                  </w:divBdr>
                  <w:divsChild>
                    <w:div w:id="766467872">
                      <w:marLeft w:val="0"/>
                      <w:marRight w:val="0"/>
                      <w:marTop w:val="0"/>
                      <w:marBottom w:val="0"/>
                      <w:divBdr>
                        <w:top w:val="none" w:sz="0" w:space="0" w:color="auto"/>
                        <w:left w:val="none" w:sz="0" w:space="0" w:color="auto"/>
                        <w:bottom w:val="none" w:sz="0" w:space="0" w:color="auto"/>
                        <w:right w:val="none" w:sz="0" w:space="0" w:color="auto"/>
                      </w:divBdr>
                    </w:div>
                  </w:divsChild>
                </w:div>
                <w:div w:id="1695420660">
                  <w:marLeft w:val="0"/>
                  <w:marRight w:val="0"/>
                  <w:marTop w:val="0"/>
                  <w:marBottom w:val="0"/>
                  <w:divBdr>
                    <w:top w:val="none" w:sz="0" w:space="0" w:color="auto"/>
                    <w:left w:val="none" w:sz="0" w:space="0" w:color="auto"/>
                    <w:bottom w:val="none" w:sz="0" w:space="0" w:color="auto"/>
                    <w:right w:val="none" w:sz="0" w:space="0" w:color="auto"/>
                  </w:divBdr>
                  <w:divsChild>
                    <w:div w:id="1534539028">
                      <w:marLeft w:val="0"/>
                      <w:marRight w:val="0"/>
                      <w:marTop w:val="0"/>
                      <w:marBottom w:val="0"/>
                      <w:divBdr>
                        <w:top w:val="none" w:sz="0" w:space="0" w:color="auto"/>
                        <w:left w:val="none" w:sz="0" w:space="0" w:color="auto"/>
                        <w:bottom w:val="none" w:sz="0" w:space="0" w:color="auto"/>
                        <w:right w:val="none" w:sz="0" w:space="0" w:color="auto"/>
                      </w:divBdr>
                    </w:div>
                  </w:divsChild>
                </w:div>
                <w:div w:id="1721973913">
                  <w:marLeft w:val="0"/>
                  <w:marRight w:val="0"/>
                  <w:marTop w:val="0"/>
                  <w:marBottom w:val="0"/>
                  <w:divBdr>
                    <w:top w:val="none" w:sz="0" w:space="0" w:color="auto"/>
                    <w:left w:val="none" w:sz="0" w:space="0" w:color="auto"/>
                    <w:bottom w:val="none" w:sz="0" w:space="0" w:color="auto"/>
                    <w:right w:val="none" w:sz="0" w:space="0" w:color="auto"/>
                  </w:divBdr>
                  <w:divsChild>
                    <w:div w:id="695692391">
                      <w:marLeft w:val="0"/>
                      <w:marRight w:val="0"/>
                      <w:marTop w:val="0"/>
                      <w:marBottom w:val="0"/>
                      <w:divBdr>
                        <w:top w:val="none" w:sz="0" w:space="0" w:color="auto"/>
                        <w:left w:val="none" w:sz="0" w:space="0" w:color="auto"/>
                        <w:bottom w:val="none" w:sz="0" w:space="0" w:color="auto"/>
                        <w:right w:val="none" w:sz="0" w:space="0" w:color="auto"/>
                      </w:divBdr>
                    </w:div>
                  </w:divsChild>
                </w:div>
                <w:div w:id="1729108389">
                  <w:marLeft w:val="0"/>
                  <w:marRight w:val="0"/>
                  <w:marTop w:val="0"/>
                  <w:marBottom w:val="0"/>
                  <w:divBdr>
                    <w:top w:val="none" w:sz="0" w:space="0" w:color="auto"/>
                    <w:left w:val="none" w:sz="0" w:space="0" w:color="auto"/>
                    <w:bottom w:val="none" w:sz="0" w:space="0" w:color="auto"/>
                    <w:right w:val="none" w:sz="0" w:space="0" w:color="auto"/>
                  </w:divBdr>
                  <w:divsChild>
                    <w:div w:id="1534153823">
                      <w:marLeft w:val="0"/>
                      <w:marRight w:val="0"/>
                      <w:marTop w:val="0"/>
                      <w:marBottom w:val="0"/>
                      <w:divBdr>
                        <w:top w:val="none" w:sz="0" w:space="0" w:color="auto"/>
                        <w:left w:val="none" w:sz="0" w:space="0" w:color="auto"/>
                        <w:bottom w:val="none" w:sz="0" w:space="0" w:color="auto"/>
                        <w:right w:val="none" w:sz="0" w:space="0" w:color="auto"/>
                      </w:divBdr>
                    </w:div>
                  </w:divsChild>
                </w:div>
                <w:div w:id="1733576248">
                  <w:marLeft w:val="0"/>
                  <w:marRight w:val="0"/>
                  <w:marTop w:val="0"/>
                  <w:marBottom w:val="0"/>
                  <w:divBdr>
                    <w:top w:val="none" w:sz="0" w:space="0" w:color="auto"/>
                    <w:left w:val="none" w:sz="0" w:space="0" w:color="auto"/>
                    <w:bottom w:val="none" w:sz="0" w:space="0" w:color="auto"/>
                    <w:right w:val="none" w:sz="0" w:space="0" w:color="auto"/>
                  </w:divBdr>
                  <w:divsChild>
                    <w:div w:id="514075380">
                      <w:marLeft w:val="0"/>
                      <w:marRight w:val="0"/>
                      <w:marTop w:val="0"/>
                      <w:marBottom w:val="0"/>
                      <w:divBdr>
                        <w:top w:val="none" w:sz="0" w:space="0" w:color="auto"/>
                        <w:left w:val="none" w:sz="0" w:space="0" w:color="auto"/>
                        <w:bottom w:val="none" w:sz="0" w:space="0" w:color="auto"/>
                        <w:right w:val="none" w:sz="0" w:space="0" w:color="auto"/>
                      </w:divBdr>
                    </w:div>
                  </w:divsChild>
                </w:div>
                <w:div w:id="1747143782">
                  <w:marLeft w:val="0"/>
                  <w:marRight w:val="0"/>
                  <w:marTop w:val="0"/>
                  <w:marBottom w:val="0"/>
                  <w:divBdr>
                    <w:top w:val="none" w:sz="0" w:space="0" w:color="auto"/>
                    <w:left w:val="none" w:sz="0" w:space="0" w:color="auto"/>
                    <w:bottom w:val="none" w:sz="0" w:space="0" w:color="auto"/>
                    <w:right w:val="none" w:sz="0" w:space="0" w:color="auto"/>
                  </w:divBdr>
                  <w:divsChild>
                    <w:div w:id="50275363">
                      <w:marLeft w:val="0"/>
                      <w:marRight w:val="0"/>
                      <w:marTop w:val="0"/>
                      <w:marBottom w:val="0"/>
                      <w:divBdr>
                        <w:top w:val="none" w:sz="0" w:space="0" w:color="auto"/>
                        <w:left w:val="none" w:sz="0" w:space="0" w:color="auto"/>
                        <w:bottom w:val="none" w:sz="0" w:space="0" w:color="auto"/>
                        <w:right w:val="none" w:sz="0" w:space="0" w:color="auto"/>
                      </w:divBdr>
                    </w:div>
                  </w:divsChild>
                </w:div>
                <w:div w:id="1778403771">
                  <w:marLeft w:val="0"/>
                  <w:marRight w:val="0"/>
                  <w:marTop w:val="0"/>
                  <w:marBottom w:val="0"/>
                  <w:divBdr>
                    <w:top w:val="none" w:sz="0" w:space="0" w:color="auto"/>
                    <w:left w:val="none" w:sz="0" w:space="0" w:color="auto"/>
                    <w:bottom w:val="none" w:sz="0" w:space="0" w:color="auto"/>
                    <w:right w:val="none" w:sz="0" w:space="0" w:color="auto"/>
                  </w:divBdr>
                  <w:divsChild>
                    <w:div w:id="580063559">
                      <w:marLeft w:val="0"/>
                      <w:marRight w:val="0"/>
                      <w:marTop w:val="0"/>
                      <w:marBottom w:val="0"/>
                      <w:divBdr>
                        <w:top w:val="none" w:sz="0" w:space="0" w:color="auto"/>
                        <w:left w:val="none" w:sz="0" w:space="0" w:color="auto"/>
                        <w:bottom w:val="none" w:sz="0" w:space="0" w:color="auto"/>
                        <w:right w:val="none" w:sz="0" w:space="0" w:color="auto"/>
                      </w:divBdr>
                    </w:div>
                  </w:divsChild>
                </w:div>
                <w:div w:id="1785802707">
                  <w:marLeft w:val="0"/>
                  <w:marRight w:val="0"/>
                  <w:marTop w:val="0"/>
                  <w:marBottom w:val="0"/>
                  <w:divBdr>
                    <w:top w:val="none" w:sz="0" w:space="0" w:color="auto"/>
                    <w:left w:val="none" w:sz="0" w:space="0" w:color="auto"/>
                    <w:bottom w:val="none" w:sz="0" w:space="0" w:color="auto"/>
                    <w:right w:val="none" w:sz="0" w:space="0" w:color="auto"/>
                  </w:divBdr>
                  <w:divsChild>
                    <w:div w:id="857081402">
                      <w:marLeft w:val="0"/>
                      <w:marRight w:val="0"/>
                      <w:marTop w:val="0"/>
                      <w:marBottom w:val="0"/>
                      <w:divBdr>
                        <w:top w:val="none" w:sz="0" w:space="0" w:color="auto"/>
                        <w:left w:val="none" w:sz="0" w:space="0" w:color="auto"/>
                        <w:bottom w:val="none" w:sz="0" w:space="0" w:color="auto"/>
                        <w:right w:val="none" w:sz="0" w:space="0" w:color="auto"/>
                      </w:divBdr>
                    </w:div>
                  </w:divsChild>
                </w:div>
                <w:div w:id="1802307990">
                  <w:marLeft w:val="0"/>
                  <w:marRight w:val="0"/>
                  <w:marTop w:val="0"/>
                  <w:marBottom w:val="0"/>
                  <w:divBdr>
                    <w:top w:val="none" w:sz="0" w:space="0" w:color="auto"/>
                    <w:left w:val="none" w:sz="0" w:space="0" w:color="auto"/>
                    <w:bottom w:val="none" w:sz="0" w:space="0" w:color="auto"/>
                    <w:right w:val="none" w:sz="0" w:space="0" w:color="auto"/>
                  </w:divBdr>
                  <w:divsChild>
                    <w:div w:id="594090886">
                      <w:marLeft w:val="0"/>
                      <w:marRight w:val="0"/>
                      <w:marTop w:val="0"/>
                      <w:marBottom w:val="0"/>
                      <w:divBdr>
                        <w:top w:val="none" w:sz="0" w:space="0" w:color="auto"/>
                        <w:left w:val="none" w:sz="0" w:space="0" w:color="auto"/>
                        <w:bottom w:val="none" w:sz="0" w:space="0" w:color="auto"/>
                        <w:right w:val="none" w:sz="0" w:space="0" w:color="auto"/>
                      </w:divBdr>
                    </w:div>
                  </w:divsChild>
                </w:div>
                <w:div w:id="1831560128">
                  <w:marLeft w:val="0"/>
                  <w:marRight w:val="0"/>
                  <w:marTop w:val="0"/>
                  <w:marBottom w:val="0"/>
                  <w:divBdr>
                    <w:top w:val="none" w:sz="0" w:space="0" w:color="auto"/>
                    <w:left w:val="none" w:sz="0" w:space="0" w:color="auto"/>
                    <w:bottom w:val="none" w:sz="0" w:space="0" w:color="auto"/>
                    <w:right w:val="none" w:sz="0" w:space="0" w:color="auto"/>
                  </w:divBdr>
                  <w:divsChild>
                    <w:div w:id="2032678498">
                      <w:marLeft w:val="0"/>
                      <w:marRight w:val="0"/>
                      <w:marTop w:val="0"/>
                      <w:marBottom w:val="0"/>
                      <w:divBdr>
                        <w:top w:val="none" w:sz="0" w:space="0" w:color="auto"/>
                        <w:left w:val="none" w:sz="0" w:space="0" w:color="auto"/>
                        <w:bottom w:val="none" w:sz="0" w:space="0" w:color="auto"/>
                        <w:right w:val="none" w:sz="0" w:space="0" w:color="auto"/>
                      </w:divBdr>
                    </w:div>
                  </w:divsChild>
                </w:div>
                <w:div w:id="1847397185">
                  <w:marLeft w:val="0"/>
                  <w:marRight w:val="0"/>
                  <w:marTop w:val="0"/>
                  <w:marBottom w:val="0"/>
                  <w:divBdr>
                    <w:top w:val="none" w:sz="0" w:space="0" w:color="auto"/>
                    <w:left w:val="none" w:sz="0" w:space="0" w:color="auto"/>
                    <w:bottom w:val="none" w:sz="0" w:space="0" w:color="auto"/>
                    <w:right w:val="none" w:sz="0" w:space="0" w:color="auto"/>
                  </w:divBdr>
                  <w:divsChild>
                    <w:div w:id="486824585">
                      <w:marLeft w:val="0"/>
                      <w:marRight w:val="0"/>
                      <w:marTop w:val="0"/>
                      <w:marBottom w:val="0"/>
                      <w:divBdr>
                        <w:top w:val="none" w:sz="0" w:space="0" w:color="auto"/>
                        <w:left w:val="none" w:sz="0" w:space="0" w:color="auto"/>
                        <w:bottom w:val="none" w:sz="0" w:space="0" w:color="auto"/>
                        <w:right w:val="none" w:sz="0" w:space="0" w:color="auto"/>
                      </w:divBdr>
                    </w:div>
                  </w:divsChild>
                </w:div>
                <w:div w:id="1850562227">
                  <w:marLeft w:val="0"/>
                  <w:marRight w:val="0"/>
                  <w:marTop w:val="0"/>
                  <w:marBottom w:val="0"/>
                  <w:divBdr>
                    <w:top w:val="none" w:sz="0" w:space="0" w:color="auto"/>
                    <w:left w:val="none" w:sz="0" w:space="0" w:color="auto"/>
                    <w:bottom w:val="none" w:sz="0" w:space="0" w:color="auto"/>
                    <w:right w:val="none" w:sz="0" w:space="0" w:color="auto"/>
                  </w:divBdr>
                  <w:divsChild>
                    <w:div w:id="157690899">
                      <w:marLeft w:val="0"/>
                      <w:marRight w:val="0"/>
                      <w:marTop w:val="0"/>
                      <w:marBottom w:val="0"/>
                      <w:divBdr>
                        <w:top w:val="none" w:sz="0" w:space="0" w:color="auto"/>
                        <w:left w:val="none" w:sz="0" w:space="0" w:color="auto"/>
                        <w:bottom w:val="none" w:sz="0" w:space="0" w:color="auto"/>
                        <w:right w:val="none" w:sz="0" w:space="0" w:color="auto"/>
                      </w:divBdr>
                    </w:div>
                  </w:divsChild>
                </w:div>
                <w:div w:id="1853567603">
                  <w:marLeft w:val="0"/>
                  <w:marRight w:val="0"/>
                  <w:marTop w:val="0"/>
                  <w:marBottom w:val="0"/>
                  <w:divBdr>
                    <w:top w:val="none" w:sz="0" w:space="0" w:color="auto"/>
                    <w:left w:val="none" w:sz="0" w:space="0" w:color="auto"/>
                    <w:bottom w:val="none" w:sz="0" w:space="0" w:color="auto"/>
                    <w:right w:val="none" w:sz="0" w:space="0" w:color="auto"/>
                  </w:divBdr>
                  <w:divsChild>
                    <w:div w:id="1679581991">
                      <w:marLeft w:val="0"/>
                      <w:marRight w:val="0"/>
                      <w:marTop w:val="0"/>
                      <w:marBottom w:val="0"/>
                      <w:divBdr>
                        <w:top w:val="none" w:sz="0" w:space="0" w:color="auto"/>
                        <w:left w:val="none" w:sz="0" w:space="0" w:color="auto"/>
                        <w:bottom w:val="none" w:sz="0" w:space="0" w:color="auto"/>
                        <w:right w:val="none" w:sz="0" w:space="0" w:color="auto"/>
                      </w:divBdr>
                    </w:div>
                  </w:divsChild>
                </w:div>
                <w:div w:id="1863663438">
                  <w:marLeft w:val="0"/>
                  <w:marRight w:val="0"/>
                  <w:marTop w:val="0"/>
                  <w:marBottom w:val="0"/>
                  <w:divBdr>
                    <w:top w:val="none" w:sz="0" w:space="0" w:color="auto"/>
                    <w:left w:val="none" w:sz="0" w:space="0" w:color="auto"/>
                    <w:bottom w:val="none" w:sz="0" w:space="0" w:color="auto"/>
                    <w:right w:val="none" w:sz="0" w:space="0" w:color="auto"/>
                  </w:divBdr>
                  <w:divsChild>
                    <w:div w:id="1409497535">
                      <w:marLeft w:val="0"/>
                      <w:marRight w:val="0"/>
                      <w:marTop w:val="0"/>
                      <w:marBottom w:val="0"/>
                      <w:divBdr>
                        <w:top w:val="none" w:sz="0" w:space="0" w:color="auto"/>
                        <w:left w:val="none" w:sz="0" w:space="0" w:color="auto"/>
                        <w:bottom w:val="none" w:sz="0" w:space="0" w:color="auto"/>
                        <w:right w:val="none" w:sz="0" w:space="0" w:color="auto"/>
                      </w:divBdr>
                    </w:div>
                  </w:divsChild>
                </w:div>
                <w:div w:id="1881211141">
                  <w:marLeft w:val="0"/>
                  <w:marRight w:val="0"/>
                  <w:marTop w:val="0"/>
                  <w:marBottom w:val="0"/>
                  <w:divBdr>
                    <w:top w:val="none" w:sz="0" w:space="0" w:color="auto"/>
                    <w:left w:val="none" w:sz="0" w:space="0" w:color="auto"/>
                    <w:bottom w:val="none" w:sz="0" w:space="0" w:color="auto"/>
                    <w:right w:val="none" w:sz="0" w:space="0" w:color="auto"/>
                  </w:divBdr>
                  <w:divsChild>
                    <w:div w:id="955987955">
                      <w:marLeft w:val="0"/>
                      <w:marRight w:val="0"/>
                      <w:marTop w:val="0"/>
                      <w:marBottom w:val="0"/>
                      <w:divBdr>
                        <w:top w:val="none" w:sz="0" w:space="0" w:color="auto"/>
                        <w:left w:val="none" w:sz="0" w:space="0" w:color="auto"/>
                        <w:bottom w:val="none" w:sz="0" w:space="0" w:color="auto"/>
                        <w:right w:val="none" w:sz="0" w:space="0" w:color="auto"/>
                      </w:divBdr>
                    </w:div>
                  </w:divsChild>
                </w:div>
                <w:div w:id="1895307974">
                  <w:marLeft w:val="0"/>
                  <w:marRight w:val="0"/>
                  <w:marTop w:val="0"/>
                  <w:marBottom w:val="0"/>
                  <w:divBdr>
                    <w:top w:val="none" w:sz="0" w:space="0" w:color="auto"/>
                    <w:left w:val="none" w:sz="0" w:space="0" w:color="auto"/>
                    <w:bottom w:val="none" w:sz="0" w:space="0" w:color="auto"/>
                    <w:right w:val="none" w:sz="0" w:space="0" w:color="auto"/>
                  </w:divBdr>
                  <w:divsChild>
                    <w:div w:id="107360119">
                      <w:marLeft w:val="0"/>
                      <w:marRight w:val="0"/>
                      <w:marTop w:val="0"/>
                      <w:marBottom w:val="0"/>
                      <w:divBdr>
                        <w:top w:val="none" w:sz="0" w:space="0" w:color="auto"/>
                        <w:left w:val="none" w:sz="0" w:space="0" w:color="auto"/>
                        <w:bottom w:val="none" w:sz="0" w:space="0" w:color="auto"/>
                        <w:right w:val="none" w:sz="0" w:space="0" w:color="auto"/>
                      </w:divBdr>
                    </w:div>
                  </w:divsChild>
                </w:div>
                <w:div w:id="1909339228">
                  <w:marLeft w:val="0"/>
                  <w:marRight w:val="0"/>
                  <w:marTop w:val="0"/>
                  <w:marBottom w:val="0"/>
                  <w:divBdr>
                    <w:top w:val="none" w:sz="0" w:space="0" w:color="auto"/>
                    <w:left w:val="none" w:sz="0" w:space="0" w:color="auto"/>
                    <w:bottom w:val="none" w:sz="0" w:space="0" w:color="auto"/>
                    <w:right w:val="none" w:sz="0" w:space="0" w:color="auto"/>
                  </w:divBdr>
                  <w:divsChild>
                    <w:div w:id="545871994">
                      <w:marLeft w:val="0"/>
                      <w:marRight w:val="0"/>
                      <w:marTop w:val="0"/>
                      <w:marBottom w:val="0"/>
                      <w:divBdr>
                        <w:top w:val="none" w:sz="0" w:space="0" w:color="auto"/>
                        <w:left w:val="none" w:sz="0" w:space="0" w:color="auto"/>
                        <w:bottom w:val="none" w:sz="0" w:space="0" w:color="auto"/>
                        <w:right w:val="none" w:sz="0" w:space="0" w:color="auto"/>
                      </w:divBdr>
                    </w:div>
                  </w:divsChild>
                </w:div>
                <w:div w:id="1916746898">
                  <w:marLeft w:val="0"/>
                  <w:marRight w:val="0"/>
                  <w:marTop w:val="0"/>
                  <w:marBottom w:val="0"/>
                  <w:divBdr>
                    <w:top w:val="none" w:sz="0" w:space="0" w:color="auto"/>
                    <w:left w:val="none" w:sz="0" w:space="0" w:color="auto"/>
                    <w:bottom w:val="none" w:sz="0" w:space="0" w:color="auto"/>
                    <w:right w:val="none" w:sz="0" w:space="0" w:color="auto"/>
                  </w:divBdr>
                  <w:divsChild>
                    <w:div w:id="1993369437">
                      <w:marLeft w:val="0"/>
                      <w:marRight w:val="0"/>
                      <w:marTop w:val="0"/>
                      <w:marBottom w:val="0"/>
                      <w:divBdr>
                        <w:top w:val="none" w:sz="0" w:space="0" w:color="auto"/>
                        <w:left w:val="none" w:sz="0" w:space="0" w:color="auto"/>
                        <w:bottom w:val="none" w:sz="0" w:space="0" w:color="auto"/>
                        <w:right w:val="none" w:sz="0" w:space="0" w:color="auto"/>
                      </w:divBdr>
                    </w:div>
                  </w:divsChild>
                </w:div>
                <w:div w:id="1919051666">
                  <w:marLeft w:val="0"/>
                  <w:marRight w:val="0"/>
                  <w:marTop w:val="0"/>
                  <w:marBottom w:val="0"/>
                  <w:divBdr>
                    <w:top w:val="none" w:sz="0" w:space="0" w:color="auto"/>
                    <w:left w:val="none" w:sz="0" w:space="0" w:color="auto"/>
                    <w:bottom w:val="none" w:sz="0" w:space="0" w:color="auto"/>
                    <w:right w:val="none" w:sz="0" w:space="0" w:color="auto"/>
                  </w:divBdr>
                  <w:divsChild>
                    <w:div w:id="1667781003">
                      <w:marLeft w:val="0"/>
                      <w:marRight w:val="0"/>
                      <w:marTop w:val="0"/>
                      <w:marBottom w:val="0"/>
                      <w:divBdr>
                        <w:top w:val="none" w:sz="0" w:space="0" w:color="auto"/>
                        <w:left w:val="none" w:sz="0" w:space="0" w:color="auto"/>
                        <w:bottom w:val="none" w:sz="0" w:space="0" w:color="auto"/>
                        <w:right w:val="none" w:sz="0" w:space="0" w:color="auto"/>
                      </w:divBdr>
                    </w:div>
                  </w:divsChild>
                </w:div>
                <w:div w:id="1924023866">
                  <w:marLeft w:val="0"/>
                  <w:marRight w:val="0"/>
                  <w:marTop w:val="0"/>
                  <w:marBottom w:val="0"/>
                  <w:divBdr>
                    <w:top w:val="none" w:sz="0" w:space="0" w:color="auto"/>
                    <w:left w:val="none" w:sz="0" w:space="0" w:color="auto"/>
                    <w:bottom w:val="none" w:sz="0" w:space="0" w:color="auto"/>
                    <w:right w:val="none" w:sz="0" w:space="0" w:color="auto"/>
                  </w:divBdr>
                  <w:divsChild>
                    <w:div w:id="1536505903">
                      <w:marLeft w:val="0"/>
                      <w:marRight w:val="0"/>
                      <w:marTop w:val="0"/>
                      <w:marBottom w:val="0"/>
                      <w:divBdr>
                        <w:top w:val="none" w:sz="0" w:space="0" w:color="auto"/>
                        <w:left w:val="none" w:sz="0" w:space="0" w:color="auto"/>
                        <w:bottom w:val="none" w:sz="0" w:space="0" w:color="auto"/>
                        <w:right w:val="none" w:sz="0" w:space="0" w:color="auto"/>
                      </w:divBdr>
                    </w:div>
                  </w:divsChild>
                </w:div>
                <w:div w:id="1933196123">
                  <w:marLeft w:val="0"/>
                  <w:marRight w:val="0"/>
                  <w:marTop w:val="0"/>
                  <w:marBottom w:val="0"/>
                  <w:divBdr>
                    <w:top w:val="none" w:sz="0" w:space="0" w:color="auto"/>
                    <w:left w:val="none" w:sz="0" w:space="0" w:color="auto"/>
                    <w:bottom w:val="none" w:sz="0" w:space="0" w:color="auto"/>
                    <w:right w:val="none" w:sz="0" w:space="0" w:color="auto"/>
                  </w:divBdr>
                  <w:divsChild>
                    <w:div w:id="513232594">
                      <w:marLeft w:val="0"/>
                      <w:marRight w:val="0"/>
                      <w:marTop w:val="0"/>
                      <w:marBottom w:val="0"/>
                      <w:divBdr>
                        <w:top w:val="none" w:sz="0" w:space="0" w:color="auto"/>
                        <w:left w:val="none" w:sz="0" w:space="0" w:color="auto"/>
                        <w:bottom w:val="none" w:sz="0" w:space="0" w:color="auto"/>
                        <w:right w:val="none" w:sz="0" w:space="0" w:color="auto"/>
                      </w:divBdr>
                    </w:div>
                  </w:divsChild>
                </w:div>
                <w:div w:id="1942907001">
                  <w:marLeft w:val="0"/>
                  <w:marRight w:val="0"/>
                  <w:marTop w:val="0"/>
                  <w:marBottom w:val="0"/>
                  <w:divBdr>
                    <w:top w:val="none" w:sz="0" w:space="0" w:color="auto"/>
                    <w:left w:val="none" w:sz="0" w:space="0" w:color="auto"/>
                    <w:bottom w:val="none" w:sz="0" w:space="0" w:color="auto"/>
                    <w:right w:val="none" w:sz="0" w:space="0" w:color="auto"/>
                  </w:divBdr>
                  <w:divsChild>
                    <w:div w:id="1719238274">
                      <w:marLeft w:val="0"/>
                      <w:marRight w:val="0"/>
                      <w:marTop w:val="0"/>
                      <w:marBottom w:val="0"/>
                      <w:divBdr>
                        <w:top w:val="none" w:sz="0" w:space="0" w:color="auto"/>
                        <w:left w:val="none" w:sz="0" w:space="0" w:color="auto"/>
                        <w:bottom w:val="none" w:sz="0" w:space="0" w:color="auto"/>
                        <w:right w:val="none" w:sz="0" w:space="0" w:color="auto"/>
                      </w:divBdr>
                    </w:div>
                  </w:divsChild>
                </w:div>
                <w:div w:id="1971157964">
                  <w:marLeft w:val="0"/>
                  <w:marRight w:val="0"/>
                  <w:marTop w:val="0"/>
                  <w:marBottom w:val="0"/>
                  <w:divBdr>
                    <w:top w:val="none" w:sz="0" w:space="0" w:color="auto"/>
                    <w:left w:val="none" w:sz="0" w:space="0" w:color="auto"/>
                    <w:bottom w:val="none" w:sz="0" w:space="0" w:color="auto"/>
                    <w:right w:val="none" w:sz="0" w:space="0" w:color="auto"/>
                  </w:divBdr>
                  <w:divsChild>
                    <w:div w:id="329527746">
                      <w:marLeft w:val="0"/>
                      <w:marRight w:val="0"/>
                      <w:marTop w:val="0"/>
                      <w:marBottom w:val="0"/>
                      <w:divBdr>
                        <w:top w:val="none" w:sz="0" w:space="0" w:color="auto"/>
                        <w:left w:val="none" w:sz="0" w:space="0" w:color="auto"/>
                        <w:bottom w:val="none" w:sz="0" w:space="0" w:color="auto"/>
                        <w:right w:val="none" w:sz="0" w:space="0" w:color="auto"/>
                      </w:divBdr>
                    </w:div>
                  </w:divsChild>
                </w:div>
                <w:div w:id="1977755482">
                  <w:marLeft w:val="0"/>
                  <w:marRight w:val="0"/>
                  <w:marTop w:val="0"/>
                  <w:marBottom w:val="0"/>
                  <w:divBdr>
                    <w:top w:val="none" w:sz="0" w:space="0" w:color="auto"/>
                    <w:left w:val="none" w:sz="0" w:space="0" w:color="auto"/>
                    <w:bottom w:val="none" w:sz="0" w:space="0" w:color="auto"/>
                    <w:right w:val="none" w:sz="0" w:space="0" w:color="auto"/>
                  </w:divBdr>
                  <w:divsChild>
                    <w:div w:id="1547335011">
                      <w:marLeft w:val="0"/>
                      <w:marRight w:val="0"/>
                      <w:marTop w:val="0"/>
                      <w:marBottom w:val="0"/>
                      <w:divBdr>
                        <w:top w:val="none" w:sz="0" w:space="0" w:color="auto"/>
                        <w:left w:val="none" w:sz="0" w:space="0" w:color="auto"/>
                        <w:bottom w:val="none" w:sz="0" w:space="0" w:color="auto"/>
                        <w:right w:val="none" w:sz="0" w:space="0" w:color="auto"/>
                      </w:divBdr>
                    </w:div>
                  </w:divsChild>
                </w:div>
                <w:div w:id="1981687212">
                  <w:marLeft w:val="0"/>
                  <w:marRight w:val="0"/>
                  <w:marTop w:val="0"/>
                  <w:marBottom w:val="0"/>
                  <w:divBdr>
                    <w:top w:val="none" w:sz="0" w:space="0" w:color="auto"/>
                    <w:left w:val="none" w:sz="0" w:space="0" w:color="auto"/>
                    <w:bottom w:val="none" w:sz="0" w:space="0" w:color="auto"/>
                    <w:right w:val="none" w:sz="0" w:space="0" w:color="auto"/>
                  </w:divBdr>
                  <w:divsChild>
                    <w:div w:id="982347820">
                      <w:marLeft w:val="0"/>
                      <w:marRight w:val="0"/>
                      <w:marTop w:val="0"/>
                      <w:marBottom w:val="0"/>
                      <w:divBdr>
                        <w:top w:val="none" w:sz="0" w:space="0" w:color="auto"/>
                        <w:left w:val="none" w:sz="0" w:space="0" w:color="auto"/>
                        <w:bottom w:val="none" w:sz="0" w:space="0" w:color="auto"/>
                        <w:right w:val="none" w:sz="0" w:space="0" w:color="auto"/>
                      </w:divBdr>
                    </w:div>
                  </w:divsChild>
                </w:div>
                <w:div w:id="2001734757">
                  <w:marLeft w:val="0"/>
                  <w:marRight w:val="0"/>
                  <w:marTop w:val="0"/>
                  <w:marBottom w:val="0"/>
                  <w:divBdr>
                    <w:top w:val="none" w:sz="0" w:space="0" w:color="auto"/>
                    <w:left w:val="none" w:sz="0" w:space="0" w:color="auto"/>
                    <w:bottom w:val="none" w:sz="0" w:space="0" w:color="auto"/>
                    <w:right w:val="none" w:sz="0" w:space="0" w:color="auto"/>
                  </w:divBdr>
                  <w:divsChild>
                    <w:div w:id="1156916657">
                      <w:marLeft w:val="0"/>
                      <w:marRight w:val="0"/>
                      <w:marTop w:val="0"/>
                      <w:marBottom w:val="0"/>
                      <w:divBdr>
                        <w:top w:val="none" w:sz="0" w:space="0" w:color="auto"/>
                        <w:left w:val="none" w:sz="0" w:space="0" w:color="auto"/>
                        <w:bottom w:val="none" w:sz="0" w:space="0" w:color="auto"/>
                        <w:right w:val="none" w:sz="0" w:space="0" w:color="auto"/>
                      </w:divBdr>
                    </w:div>
                  </w:divsChild>
                </w:div>
                <w:div w:id="2011177577">
                  <w:marLeft w:val="0"/>
                  <w:marRight w:val="0"/>
                  <w:marTop w:val="0"/>
                  <w:marBottom w:val="0"/>
                  <w:divBdr>
                    <w:top w:val="none" w:sz="0" w:space="0" w:color="auto"/>
                    <w:left w:val="none" w:sz="0" w:space="0" w:color="auto"/>
                    <w:bottom w:val="none" w:sz="0" w:space="0" w:color="auto"/>
                    <w:right w:val="none" w:sz="0" w:space="0" w:color="auto"/>
                  </w:divBdr>
                  <w:divsChild>
                    <w:div w:id="1517649869">
                      <w:marLeft w:val="0"/>
                      <w:marRight w:val="0"/>
                      <w:marTop w:val="0"/>
                      <w:marBottom w:val="0"/>
                      <w:divBdr>
                        <w:top w:val="none" w:sz="0" w:space="0" w:color="auto"/>
                        <w:left w:val="none" w:sz="0" w:space="0" w:color="auto"/>
                        <w:bottom w:val="none" w:sz="0" w:space="0" w:color="auto"/>
                        <w:right w:val="none" w:sz="0" w:space="0" w:color="auto"/>
                      </w:divBdr>
                    </w:div>
                  </w:divsChild>
                </w:div>
                <w:div w:id="2014721968">
                  <w:marLeft w:val="0"/>
                  <w:marRight w:val="0"/>
                  <w:marTop w:val="0"/>
                  <w:marBottom w:val="0"/>
                  <w:divBdr>
                    <w:top w:val="none" w:sz="0" w:space="0" w:color="auto"/>
                    <w:left w:val="none" w:sz="0" w:space="0" w:color="auto"/>
                    <w:bottom w:val="none" w:sz="0" w:space="0" w:color="auto"/>
                    <w:right w:val="none" w:sz="0" w:space="0" w:color="auto"/>
                  </w:divBdr>
                  <w:divsChild>
                    <w:div w:id="1994676183">
                      <w:marLeft w:val="0"/>
                      <w:marRight w:val="0"/>
                      <w:marTop w:val="0"/>
                      <w:marBottom w:val="0"/>
                      <w:divBdr>
                        <w:top w:val="none" w:sz="0" w:space="0" w:color="auto"/>
                        <w:left w:val="none" w:sz="0" w:space="0" w:color="auto"/>
                        <w:bottom w:val="none" w:sz="0" w:space="0" w:color="auto"/>
                        <w:right w:val="none" w:sz="0" w:space="0" w:color="auto"/>
                      </w:divBdr>
                    </w:div>
                  </w:divsChild>
                </w:div>
                <w:div w:id="2021856692">
                  <w:marLeft w:val="0"/>
                  <w:marRight w:val="0"/>
                  <w:marTop w:val="0"/>
                  <w:marBottom w:val="0"/>
                  <w:divBdr>
                    <w:top w:val="none" w:sz="0" w:space="0" w:color="auto"/>
                    <w:left w:val="none" w:sz="0" w:space="0" w:color="auto"/>
                    <w:bottom w:val="none" w:sz="0" w:space="0" w:color="auto"/>
                    <w:right w:val="none" w:sz="0" w:space="0" w:color="auto"/>
                  </w:divBdr>
                  <w:divsChild>
                    <w:div w:id="1129125285">
                      <w:marLeft w:val="0"/>
                      <w:marRight w:val="0"/>
                      <w:marTop w:val="0"/>
                      <w:marBottom w:val="0"/>
                      <w:divBdr>
                        <w:top w:val="none" w:sz="0" w:space="0" w:color="auto"/>
                        <w:left w:val="none" w:sz="0" w:space="0" w:color="auto"/>
                        <w:bottom w:val="none" w:sz="0" w:space="0" w:color="auto"/>
                        <w:right w:val="none" w:sz="0" w:space="0" w:color="auto"/>
                      </w:divBdr>
                    </w:div>
                  </w:divsChild>
                </w:div>
                <w:div w:id="2027518804">
                  <w:marLeft w:val="0"/>
                  <w:marRight w:val="0"/>
                  <w:marTop w:val="0"/>
                  <w:marBottom w:val="0"/>
                  <w:divBdr>
                    <w:top w:val="none" w:sz="0" w:space="0" w:color="auto"/>
                    <w:left w:val="none" w:sz="0" w:space="0" w:color="auto"/>
                    <w:bottom w:val="none" w:sz="0" w:space="0" w:color="auto"/>
                    <w:right w:val="none" w:sz="0" w:space="0" w:color="auto"/>
                  </w:divBdr>
                  <w:divsChild>
                    <w:div w:id="864295881">
                      <w:marLeft w:val="0"/>
                      <w:marRight w:val="0"/>
                      <w:marTop w:val="0"/>
                      <w:marBottom w:val="0"/>
                      <w:divBdr>
                        <w:top w:val="none" w:sz="0" w:space="0" w:color="auto"/>
                        <w:left w:val="none" w:sz="0" w:space="0" w:color="auto"/>
                        <w:bottom w:val="none" w:sz="0" w:space="0" w:color="auto"/>
                        <w:right w:val="none" w:sz="0" w:space="0" w:color="auto"/>
                      </w:divBdr>
                    </w:div>
                  </w:divsChild>
                </w:div>
                <w:div w:id="2050834046">
                  <w:marLeft w:val="0"/>
                  <w:marRight w:val="0"/>
                  <w:marTop w:val="0"/>
                  <w:marBottom w:val="0"/>
                  <w:divBdr>
                    <w:top w:val="none" w:sz="0" w:space="0" w:color="auto"/>
                    <w:left w:val="none" w:sz="0" w:space="0" w:color="auto"/>
                    <w:bottom w:val="none" w:sz="0" w:space="0" w:color="auto"/>
                    <w:right w:val="none" w:sz="0" w:space="0" w:color="auto"/>
                  </w:divBdr>
                  <w:divsChild>
                    <w:div w:id="865755359">
                      <w:marLeft w:val="0"/>
                      <w:marRight w:val="0"/>
                      <w:marTop w:val="0"/>
                      <w:marBottom w:val="0"/>
                      <w:divBdr>
                        <w:top w:val="none" w:sz="0" w:space="0" w:color="auto"/>
                        <w:left w:val="none" w:sz="0" w:space="0" w:color="auto"/>
                        <w:bottom w:val="none" w:sz="0" w:space="0" w:color="auto"/>
                        <w:right w:val="none" w:sz="0" w:space="0" w:color="auto"/>
                      </w:divBdr>
                    </w:div>
                  </w:divsChild>
                </w:div>
                <w:div w:id="2052805019">
                  <w:marLeft w:val="0"/>
                  <w:marRight w:val="0"/>
                  <w:marTop w:val="0"/>
                  <w:marBottom w:val="0"/>
                  <w:divBdr>
                    <w:top w:val="none" w:sz="0" w:space="0" w:color="auto"/>
                    <w:left w:val="none" w:sz="0" w:space="0" w:color="auto"/>
                    <w:bottom w:val="none" w:sz="0" w:space="0" w:color="auto"/>
                    <w:right w:val="none" w:sz="0" w:space="0" w:color="auto"/>
                  </w:divBdr>
                  <w:divsChild>
                    <w:div w:id="99836564">
                      <w:marLeft w:val="0"/>
                      <w:marRight w:val="0"/>
                      <w:marTop w:val="0"/>
                      <w:marBottom w:val="0"/>
                      <w:divBdr>
                        <w:top w:val="none" w:sz="0" w:space="0" w:color="auto"/>
                        <w:left w:val="none" w:sz="0" w:space="0" w:color="auto"/>
                        <w:bottom w:val="none" w:sz="0" w:space="0" w:color="auto"/>
                        <w:right w:val="none" w:sz="0" w:space="0" w:color="auto"/>
                      </w:divBdr>
                    </w:div>
                  </w:divsChild>
                </w:div>
                <w:div w:id="2057659123">
                  <w:marLeft w:val="0"/>
                  <w:marRight w:val="0"/>
                  <w:marTop w:val="0"/>
                  <w:marBottom w:val="0"/>
                  <w:divBdr>
                    <w:top w:val="none" w:sz="0" w:space="0" w:color="auto"/>
                    <w:left w:val="none" w:sz="0" w:space="0" w:color="auto"/>
                    <w:bottom w:val="none" w:sz="0" w:space="0" w:color="auto"/>
                    <w:right w:val="none" w:sz="0" w:space="0" w:color="auto"/>
                  </w:divBdr>
                  <w:divsChild>
                    <w:div w:id="443694161">
                      <w:marLeft w:val="0"/>
                      <w:marRight w:val="0"/>
                      <w:marTop w:val="0"/>
                      <w:marBottom w:val="0"/>
                      <w:divBdr>
                        <w:top w:val="none" w:sz="0" w:space="0" w:color="auto"/>
                        <w:left w:val="none" w:sz="0" w:space="0" w:color="auto"/>
                        <w:bottom w:val="none" w:sz="0" w:space="0" w:color="auto"/>
                        <w:right w:val="none" w:sz="0" w:space="0" w:color="auto"/>
                      </w:divBdr>
                    </w:div>
                  </w:divsChild>
                </w:div>
                <w:div w:id="2075277408">
                  <w:marLeft w:val="0"/>
                  <w:marRight w:val="0"/>
                  <w:marTop w:val="0"/>
                  <w:marBottom w:val="0"/>
                  <w:divBdr>
                    <w:top w:val="none" w:sz="0" w:space="0" w:color="auto"/>
                    <w:left w:val="none" w:sz="0" w:space="0" w:color="auto"/>
                    <w:bottom w:val="none" w:sz="0" w:space="0" w:color="auto"/>
                    <w:right w:val="none" w:sz="0" w:space="0" w:color="auto"/>
                  </w:divBdr>
                  <w:divsChild>
                    <w:div w:id="2120369837">
                      <w:marLeft w:val="0"/>
                      <w:marRight w:val="0"/>
                      <w:marTop w:val="0"/>
                      <w:marBottom w:val="0"/>
                      <w:divBdr>
                        <w:top w:val="none" w:sz="0" w:space="0" w:color="auto"/>
                        <w:left w:val="none" w:sz="0" w:space="0" w:color="auto"/>
                        <w:bottom w:val="none" w:sz="0" w:space="0" w:color="auto"/>
                        <w:right w:val="none" w:sz="0" w:space="0" w:color="auto"/>
                      </w:divBdr>
                    </w:div>
                  </w:divsChild>
                </w:div>
                <w:div w:id="2079595075">
                  <w:marLeft w:val="0"/>
                  <w:marRight w:val="0"/>
                  <w:marTop w:val="0"/>
                  <w:marBottom w:val="0"/>
                  <w:divBdr>
                    <w:top w:val="none" w:sz="0" w:space="0" w:color="auto"/>
                    <w:left w:val="none" w:sz="0" w:space="0" w:color="auto"/>
                    <w:bottom w:val="none" w:sz="0" w:space="0" w:color="auto"/>
                    <w:right w:val="none" w:sz="0" w:space="0" w:color="auto"/>
                  </w:divBdr>
                  <w:divsChild>
                    <w:div w:id="1634360777">
                      <w:marLeft w:val="0"/>
                      <w:marRight w:val="0"/>
                      <w:marTop w:val="0"/>
                      <w:marBottom w:val="0"/>
                      <w:divBdr>
                        <w:top w:val="none" w:sz="0" w:space="0" w:color="auto"/>
                        <w:left w:val="none" w:sz="0" w:space="0" w:color="auto"/>
                        <w:bottom w:val="none" w:sz="0" w:space="0" w:color="auto"/>
                        <w:right w:val="none" w:sz="0" w:space="0" w:color="auto"/>
                      </w:divBdr>
                    </w:div>
                  </w:divsChild>
                </w:div>
                <w:div w:id="2080515143">
                  <w:marLeft w:val="0"/>
                  <w:marRight w:val="0"/>
                  <w:marTop w:val="0"/>
                  <w:marBottom w:val="0"/>
                  <w:divBdr>
                    <w:top w:val="none" w:sz="0" w:space="0" w:color="auto"/>
                    <w:left w:val="none" w:sz="0" w:space="0" w:color="auto"/>
                    <w:bottom w:val="none" w:sz="0" w:space="0" w:color="auto"/>
                    <w:right w:val="none" w:sz="0" w:space="0" w:color="auto"/>
                  </w:divBdr>
                  <w:divsChild>
                    <w:div w:id="1087776273">
                      <w:marLeft w:val="0"/>
                      <w:marRight w:val="0"/>
                      <w:marTop w:val="0"/>
                      <w:marBottom w:val="0"/>
                      <w:divBdr>
                        <w:top w:val="none" w:sz="0" w:space="0" w:color="auto"/>
                        <w:left w:val="none" w:sz="0" w:space="0" w:color="auto"/>
                        <w:bottom w:val="none" w:sz="0" w:space="0" w:color="auto"/>
                        <w:right w:val="none" w:sz="0" w:space="0" w:color="auto"/>
                      </w:divBdr>
                    </w:div>
                  </w:divsChild>
                </w:div>
                <w:div w:id="2104106546">
                  <w:marLeft w:val="0"/>
                  <w:marRight w:val="0"/>
                  <w:marTop w:val="0"/>
                  <w:marBottom w:val="0"/>
                  <w:divBdr>
                    <w:top w:val="none" w:sz="0" w:space="0" w:color="auto"/>
                    <w:left w:val="none" w:sz="0" w:space="0" w:color="auto"/>
                    <w:bottom w:val="none" w:sz="0" w:space="0" w:color="auto"/>
                    <w:right w:val="none" w:sz="0" w:space="0" w:color="auto"/>
                  </w:divBdr>
                  <w:divsChild>
                    <w:div w:id="1126238739">
                      <w:marLeft w:val="0"/>
                      <w:marRight w:val="0"/>
                      <w:marTop w:val="0"/>
                      <w:marBottom w:val="0"/>
                      <w:divBdr>
                        <w:top w:val="none" w:sz="0" w:space="0" w:color="auto"/>
                        <w:left w:val="none" w:sz="0" w:space="0" w:color="auto"/>
                        <w:bottom w:val="none" w:sz="0" w:space="0" w:color="auto"/>
                        <w:right w:val="none" w:sz="0" w:space="0" w:color="auto"/>
                      </w:divBdr>
                    </w:div>
                  </w:divsChild>
                </w:div>
                <w:div w:id="2105496571">
                  <w:marLeft w:val="0"/>
                  <w:marRight w:val="0"/>
                  <w:marTop w:val="0"/>
                  <w:marBottom w:val="0"/>
                  <w:divBdr>
                    <w:top w:val="none" w:sz="0" w:space="0" w:color="auto"/>
                    <w:left w:val="none" w:sz="0" w:space="0" w:color="auto"/>
                    <w:bottom w:val="none" w:sz="0" w:space="0" w:color="auto"/>
                    <w:right w:val="none" w:sz="0" w:space="0" w:color="auto"/>
                  </w:divBdr>
                  <w:divsChild>
                    <w:div w:id="1218975986">
                      <w:marLeft w:val="0"/>
                      <w:marRight w:val="0"/>
                      <w:marTop w:val="0"/>
                      <w:marBottom w:val="0"/>
                      <w:divBdr>
                        <w:top w:val="none" w:sz="0" w:space="0" w:color="auto"/>
                        <w:left w:val="none" w:sz="0" w:space="0" w:color="auto"/>
                        <w:bottom w:val="none" w:sz="0" w:space="0" w:color="auto"/>
                        <w:right w:val="none" w:sz="0" w:space="0" w:color="auto"/>
                      </w:divBdr>
                    </w:div>
                  </w:divsChild>
                </w:div>
                <w:div w:id="2110084064">
                  <w:marLeft w:val="0"/>
                  <w:marRight w:val="0"/>
                  <w:marTop w:val="0"/>
                  <w:marBottom w:val="0"/>
                  <w:divBdr>
                    <w:top w:val="none" w:sz="0" w:space="0" w:color="auto"/>
                    <w:left w:val="none" w:sz="0" w:space="0" w:color="auto"/>
                    <w:bottom w:val="none" w:sz="0" w:space="0" w:color="auto"/>
                    <w:right w:val="none" w:sz="0" w:space="0" w:color="auto"/>
                  </w:divBdr>
                  <w:divsChild>
                    <w:div w:id="1646424492">
                      <w:marLeft w:val="0"/>
                      <w:marRight w:val="0"/>
                      <w:marTop w:val="0"/>
                      <w:marBottom w:val="0"/>
                      <w:divBdr>
                        <w:top w:val="none" w:sz="0" w:space="0" w:color="auto"/>
                        <w:left w:val="none" w:sz="0" w:space="0" w:color="auto"/>
                        <w:bottom w:val="none" w:sz="0" w:space="0" w:color="auto"/>
                        <w:right w:val="none" w:sz="0" w:space="0" w:color="auto"/>
                      </w:divBdr>
                    </w:div>
                  </w:divsChild>
                </w:div>
                <w:div w:id="2116824129">
                  <w:marLeft w:val="0"/>
                  <w:marRight w:val="0"/>
                  <w:marTop w:val="0"/>
                  <w:marBottom w:val="0"/>
                  <w:divBdr>
                    <w:top w:val="none" w:sz="0" w:space="0" w:color="auto"/>
                    <w:left w:val="none" w:sz="0" w:space="0" w:color="auto"/>
                    <w:bottom w:val="none" w:sz="0" w:space="0" w:color="auto"/>
                    <w:right w:val="none" w:sz="0" w:space="0" w:color="auto"/>
                  </w:divBdr>
                  <w:divsChild>
                    <w:div w:id="15772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99886">
          <w:marLeft w:val="0"/>
          <w:marRight w:val="0"/>
          <w:marTop w:val="0"/>
          <w:marBottom w:val="0"/>
          <w:divBdr>
            <w:top w:val="none" w:sz="0" w:space="0" w:color="auto"/>
            <w:left w:val="none" w:sz="0" w:space="0" w:color="auto"/>
            <w:bottom w:val="none" w:sz="0" w:space="0" w:color="auto"/>
            <w:right w:val="none" w:sz="0" w:space="0" w:color="auto"/>
          </w:divBdr>
        </w:div>
        <w:div w:id="1292051876">
          <w:marLeft w:val="0"/>
          <w:marRight w:val="0"/>
          <w:marTop w:val="0"/>
          <w:marBottom w:val="0"/>
          <w:divBdr>
            <w:top w:val="none" w:sz="0" w:space="0" w:color="auto"/>
            <w:left w:val="none" w:sz="0" w:space="0" w:color="auto"/>
            <w:bottom w:val="none" w:sz="0" w:space="0" w:color="auto"/>
            <w:right w:val="none" w:sz="0" w:space="0" w:color="auto"/>
          </w:divBdr>
        </w:div>
        <w:div w:id="1475027775">
          <w:marLeft w:val="0"/>
          <w:marRight w:val="0"/>
          <w:marTop w:val="0"/>
          <w:marBottom w:val="0"/>
          <w:divBdr>
            <w:top w:val="none" w:sz="0" w:space="0" w:color="auto"/>
            <w:left w:val="none" w:sz="0" w:space="0" w:color="auto"/>
            <w:bottom w:val="none" w:sz="0" w:space="0" w:color="auto"/>
            <w:right w:val="none" w:sz="0" w:space="0" w:color="auto"/>
          </w:divBdr>
        </w:div>
        <w:div w:id="1626230887">
          <w:marLeft w:val="0"/>
          <w:marRight w:val="0"/>
          <w:marTop w:val="0"/>
          <w:marBottom w:val="0"/>
          <w:divBdr>
            <w:top w:val="none" w:sz="0" w:space="0" w:color="auto"/>
            <w:left w:val="none" w:sz="0" w:space="0" w:color="auto"/>
            <w:bottom w:val="none" w:sz="0" w:space="0" w:color="auto"/>
            <w:right w:val="none" w:sz="0" w:space="0" w:color="auto"/>
          </w:divBdr>
          <w:divsChild>
            <w:div w:id="1311254827">
              <w:marLeft w:val="0"/>
              <w:marRight w:val="0"/>
              <w:marTop w:val="0"/>
              <w:marBottom w:val="0"/>
              <w:divBdr>
                <w:top w:val="none" w:sz="0" w:space="0" w:color="auto"/>
                <w:left w:val="none" w:sz="0" w:space="0" w:color="auto"/>
                <w:bottom w:val="none" w:sz="0" w:space="0" w:color="auto"/>
                <w:right w:val="none" w:sz="0" w:space="0" w:color="auto"/>
              </w:divBdr>
            </w:div>
            <w:div w:id="1954095079">
              <w:marLeft w:val="0"/>
              <w:marRight w:val="0"/>
              <w:marTop w:val="0"/>
              <w:marBottom w:val="0"/>
              <w:divBdr>
                <w:top w:val="none" w:sz="0" w:space="0" w:color="auto"/>
                <w:left w:val="none" w:sz="0" w:space="0" w:color="auto"/>
                <w:bottom w:val="none" w:sz="0" w:space="0" w:color="auto"/>
                <w:right w:val="none" w:sz="0" w:space="0" w:color="auto"/>
              </w:divBdr>
            </w:div>
          </w:divsChild>
        </w:div>
        <w:div w:id="1826706461">
          <w:marLeft w:val="0"/>
          <w:marRight w:val="0"/>
          <w:marTop w:val="0"/>
          <w:marBottom w:val="0"/>
          <w:divBdr>
            <w:top w:val="none" w:sz="0" w:space="0" w:color="auto"/>
            <w:left w:val="none" w:sz="0" w:space="0" w:color="auto"/>
            <w:bottom w:val="none" w:sz="0" w:space="0" w:color="auto"/>
            <w:right w:val="none" w:sz="0" w:space="0" w:color="auto"/>
          </w:divBdr>
          <w:divsChild>
            <w:div w:id="7022682">
              <w:marLeft w:val="0"/>
              <w:marRight w:val="0"/>
              <w:marTop w:val="0"/>
              <w:marBottom w:val="0"/>
              <w:divBdr>
                <w:top w:val="none" w:sz="0" w:space="0" w:color="auto"/>
                <w:left w:val="none" w:sz="0" w:space="0" w:color="auto"/>
                <w:bottom w:val="none" w:sz="0" w:space="0" w:color="auto"/>
                <w:right w:val="none" w:sz="0" w:space="0" w:color="auto"/>
              </w:divBdr>
            </w:div>
            <w:div w:id="312560698">
              <w:marLeft w:val="0"/>
              <w:marRight w:val="0"/>
              <w:marTop w:val="0"/>
              <w:marBottom w:val="0"/>
              <w:divBdr>
                <w:top w:val="none" w:sz="0" w:space="0" w:color="auto"/>
                <w:left w:val="none" w:sz="0" w:space="0" w:color="auto"/>
                <w:bottom w:val="none" w:sz="0" w:space="0" w:color="auto"/>
                <w:right w:val="none" w:sz="0" w:space="0" w:color="auto"/>
              </w:divBdr>
            </w:div>
            <w:div w:id="1556307424">
              <w:marLeft w:val="0"/>
              <w:marRight w:val="0"/>
              <w:marTop w:val="0"/>
              <w:marBottom w:val="0"/>
              <w:divBdr>
                <w:top w:val="none" w:sz="0" w:space="0" w:color="auto"/>
                <w:left w:val="none" w:sz="0" w:space="0" w:color="auto"/>
                <w:bottom w:val="none" w:sz="0" w:space="0" w:color="auto"/>
                <w:right w:val="none" w:sz="0" w:space="0" w:color="auto"/>
              </w:divBdr>
            </w:div>
            <w:div w:id="1892843505">
              <w:marLeft w:val="0"/>
              <w:marRight w:val="0"/>
              <w:marTop w:val="0"/>
              <w:marBottom w:val="0"/>
              <w:divBdr>
                <w:top w:val="none" w:sz="0" w:space="0" w:color="auto"/>
                <w:left w:val="none" w:sz="0" w:space="0" w:color="auto"/>
                <w:bottom w:val="none" w:sz="0" w:space="0" w:color="auto"/>
                <w:right w:val="none" w:sz="0" w:space="0" w:color="auto"/>
              </w:divBdr>
            </w:div>
          </w:divsChild>
        </w:div>
        <w:div w:id="1941374209">
          <w:marLeft w:val="0"/>
          <w:marRight w:val="0"/>
          <w:marTop w:val="0"/>
          <w:marBottom w:val="0"/>
          <w:divBdr>
            <w:top w:val="none" w:sz="0" w:space="0" w:color="auto"/>
            <w:left w:val="none" w:sz="0" w:space="0" w:color="auto"/>
            <w:bottom w:val="none" w:sz="0" w:space="0" w:color="auto"/>
            <w:right w:val="none" w:sz="0" w:space="0" w:color="auto"/>
          </w:divBdr>
        </w:div>
        <w:div w:id="1942373243">
          <w:marLeft w:val="0"/>
          <w:marRight w:val="0"/>
          <w:marTop w:val="0"/>
          <w:marBottom w:val="0"/>
          <w:divBdr>
            <w:top w:val="none" w:sz="0" w:space="0" w:color="auto"/>
            <w:left w:val="none" w:sz="0" w:space="0" w:color="auto"/>
            <w:bottom w:val="none" w:sz="0" w:space="0" w:color="auto"/>
            <w:right w:val="none" w:sz="0" w:space="0" w:color="auto"/>
          </w:divBdr>
          <w:divsChild>
            <w:div w:id="189727334">
              <w:marLeft w:val="0"/>
              <w:marRight w:val="0"/>
              <w:marTop w:val="0"/>
              <w:marBottom w:val="0"/>
              <w:divBdr>
                <w:top w:val="none" w:sz="0" w:space="0" w:color="auto"/>
                <w:left w:val="none" w:sz="0" w:space="0" w:color="auto"/>
                <w:bottom w:val="none" w:sz="0" w:space="0" w:color="auto"/>
                <w:right w:val="none" w:sz="0" w:space="0" w:color="auto"/>
              </w:divBdr>
            </w:div>
            <w:div w:id="1154100583">
              <w:marLeft w:val="0"/>
              <w:marRight w:val="0"/>
              <w:marTop w:val="0"/>
              <w:marBottom w:val="0"/>
              <w:divBdr>
                <w:top w:val="none" w:sz="0" w:space="0" w:color="auto"/>
                <w:left w:val="none" w:sz="0" w:space="0" w:color="auto"/>
                <w:bottom w:val="none" w:sz="0" w:space="0" w:color="auto"/>
                <w:right w:val="none" w:sz="0" w:space="0" w:color="auto"/>
              </w:divBdr>
            </w:div>
            <w:div w:id="1290817263">
              <w:marLeft w:val="0"/>
              <w:marRight w:val="0"/>
              <w:marTop w:val="0"/>
              <w:marBottom w:val="0"/>
              <w:divBdr>
                <w:top w:val="none" w:sz="0" w:space="0" w:color="auto"/>
                <w:left w:val="none" w:sz="0" w:space="0" w:color="auto"/>
                <w:bottom w:val="none" w:sz="0" w:space="0" w:color="auto"/>
                <w:right w:val="none" w:sz="0" w:space="0" w:color="auto"/>
              </w:divBdr>
            </w:div>
            <w:div w:id="1434126383">
              <w:marLeft w:val="0"/>
              <w:marRight w:val="0"/>
              <w:marTop w:val="0"/>
              <w:marBottom w:val="0"/>
              <w:divBdr>
                <w:top w:val="none" w:sz="0" w:space="0" w:color="auto"/>
                <w:left w:val="none" w:sz="0" w:space="0" w:color="auto"/>
                <w:bottom w:val="none" w:sz="0" w:space="0" w:color="auto"/>
                <w:right w:val="none" w:sz="0" w:space="0" w:color="auto"/>
              </w:divBdr>
            </w:div>
            <w:div w:id="20596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6923">
      <w:bodyDiv w:val="1"/>
      <w:marLeft w:val="0"/>
      <w:marRight w:val="0"/>
      <w:marTop w:val="0"/>
      <w:marBottom w:val="0"/>
      <w:divBdr>
        <w:top w:val="none" w:sz="0" w:space="0" w:color="auto"/>
        <w:left w:val="none" w:sz="0" w:space="0" w:color="auto"/>
        <w:bottom w:val="none" w:sz="0" w:space="0" w:color="auto"/>
        <w:right w:val="none" w:sz="0" w:space="0" w:color="auto"/>
      </w:divBdr>
    </w:div>
    <w:div w:id="632252786">
      <w:bodyDiv w:val="1"/>
      <w:marLeft w:val="0"/>
      <w:marRight w:val="0"/>
      <w:marTop w:val="0"/>
      <w:marBottom w:val="0"/>
      <w:divBdr>
        <w:top w:val="none" w:sz="0" w:space="0" w:color="auto"/>
        <w:left w:val="none" w:sz="0" w:space="0" w:color="auto"/>
        <w:bottom w:val="none" w:sz="0" w:space="0" w:color="auto"/>
        <w:right w:val="none" w:sz="0" w:space="0" w:color="auto"/>
      </w:divBdr>
    </w:div>
    <w:div w:id="637537012">
      <w:bodyDiv w:val="1"/>
      <w:marLeft w:val="0"/>
      <w:marRight w:val="0"/>
      <w:marTop w:val="0"/>
      <w:marBottom w:val="0"/>
      <w:divBdr>
        <w:top w:val="none" w:sz="0" w:space="0" w:color="auto"/>
        <w:left w:val="none" w:sz="0" w:space="0" w:color="auto"/>
        <w:bottom w:val="none" w:sz="0" w:space="0" w:color="auto"/>
        <w:right w:val="none" w:sz="0" w:space="0" w:color="auto"/>
      </w:divBdr>
    </w:div>
    <w:div w:id="638611018">
      <w:bodyDiv w:val="1"/>
      <w:marLeft w:val="0"/>
      <w:marRight w:val="0"/>
      <w:marTop w:val="0"/>
      <w:marBottom w:val="0"/>
      <w:divBdr>
        <w:top w:val="none" w:sz="0" w:space="0" w:color="auto"/>
        <w:left w:val="none" w:sz="0" w:space="0" w:color="auto"/>
        <w:bottom w:val="none" w:sz="0" w:space="0" w:color="auto"/>
        <w:right w:val="none" w:sz="0" w:space="0" w:color="auto"/>
      </w:divBdr>
    </w:div>
    <w:div w:id="661858494">
      <w:bodyDiv w:val="1"/>
      <w:marLeft w:val="0"/>
      <w:marRight w:val="0"/>
      <w:marTop w:val="0"/>
      <w:marBottom w:val="0"/>
      <w:divBdr>
        <w:top w:val="none" w:sz="0" w:space="0" w:color="auto"/>
        <w:left w:val="none" w:sz="0" w:space="0" w:color="auto"/>
        <w:bottom w:val="none" w:sz="0" w:space="0" w:color="auto"/>
        <w:right w:val="none" w:sz="0" w:space="0" w:color="auto"/>
      </w:divBdr>
      <w:divsChild>
        <w:div w:id="61372442">
          <w:marLeft w:val="0"/>
          <w:marRight w:val="0"/>
          <w:marTop w:val="0"/>
          <w:marBottom w:val="0"/>
          <w:divBdr>
            <w:top w:val="none" w:sz="0" w:space="0" w:color="auto"/>
            <w:left w:val="none" w:sz="0" w:space="0" w:color="auto"/>
            <w:bottom w:val="none" w:sz="0" w:space="0" w:color="auto"/>
            <w:right w:val="none" w:sz="0" w:space="0" w:color="auto"/>
          </w:divBdr>
        </w:div>
        <w:div w:id="525870445">
          <w:marLeft w:val="0"/>
          <w:marRight w:val="0"/>
          <w:marTop w:val="0"/>
          <w:marBottom w:val="0"/>
          <w:divBdr>
            <w:top w:val="none" w:sz="0" w:space="0" w:color="auto"/>
            <w:left w:val="none" w:sz="0" w:space="0" w:color="auto"/>
            <w:bottom w:val="none" w:sz="0" w:space="0" w:color="auto"/>
            <w:right w:val="none" w:sz="0" w:space="0" w:color="auto"/>
          </w:divBdr>
        </w:div>
        <w:div w:id="927543518">
          <w:marLeft w:val="0"/>
          <w:marRight w:val="0"/>
          <w:marTop w:val="0"/>
          <w:marBottom w:val="0"/>
          <w:divBdr>
            <w:top w:val="none" w:sz="0" w:space="0" w:color="auto"/>
            <w:left w:val="none" w:sz="0" w:space="0" w:color="auto"/>
            <w:bottom w:val="none" w:sz="0" w:space="0" w:color="auto"/>
            <w:right w:val="none" w:sz="0" w:space="0" w:color="auto"/>
          </w:divBdr>
        </w:div>
        <w:div w:id="960692859">
          <w:marLeft w:val="0"/>
          <w:marRight w:val="0"/>
          <w:marTop w:val="0"/>
          <w:marBottom w:val="0"/>
          <w:divBdr>
            <w:top w:val="none" w:sz="0" w:space="0" w:color="auto"/>
            <w:left w:val="none" w:sz="0" w:space="0" w:color="auto"/>
            <w:bottom w:val="none" w:sz="0" w:space="0" w:color="auto"/>
            <w:right w:val="none" w:sz="0" w:space="0" w:color="auto"/>
          </w:divBdr>
        </w:div>
        <w:div w:id="1367415465">
          <w:marLeft w:val="0"/>
          <w:marRight w:val="0"/>
          <w:marTop w:val="0"/>
          <w:marBottom w:val="0"/>
          <w:divBdr>
            <w:top w:val="none" w:sz="0" w:space="0" w:color="auto"/>
            <w:left w:val="none" w:sz="0" w:space="0" w:color="auto"/>
            <w:bottom w:val="none" w:sz="0" w:space="0" w:color="auto"/>
            <w:right w:val="none" w:sz="0" w:space="0" w:color="auto"/>
          </w:divBdr>
          <w:divsChild>
            <w:div w:id="230503646">
              <w:marLeft w:val="0"/>
              <w:marRight w:val="0"/>
              <w:marTop w:val="0"/>
              <w:marBottom w:val="0"/>
              <w:divBdr>
                <w:top w:val="none" w:sz="0" w:space="0" w:color="auto"/>
                <w:left w:val="none" w:sz="0" w:space="0" w:color="auto"/>
                <w:bottom w:val="none" w:sz="0" w:space="0" w:color="auto"/>
                <w:right w:val="none" w:sz="0" w:space="0" w:color="auto"/>
              </w:divBdr>
            </w:div>
            <w:div w:id="944965180">
              <w:marLeft w:val="0"/>
              <w:marRight w:val="0"/>
              <w:marTop w:val="0"/>
              <w:marBottom w:val="0"/>
              <w:divBdr>
                <w:top w:val="none" w:sz="0" w:space="0" w:color="auto"/>
                <w:left w:val="none" w:sz="0" w:space="0" w:color="auto"/>
                <w:bottom w:val="none" w:sz="0" w:space="0" w:color="auto"/>
                <w:right w:val="none" w:sz="0" w:space="0" w:color="auto"/>
              </w:divBdr>
            </w:div>
            <w:div w:id="1107507021">
              <w:marLeft w:val="0"/>
              <w:marRight w:val="0"/>
              <w:marTop w:val="0"/>
              <w:marBottom w:val="0"/>
              <w:divBdr>
                <w:top w:val="none" w:sz="0" w:space="0" w:color="auto"/>
                <w:left w:val="none" w:sz="0" w:space="0" w:color="auto"/>
                <w:bottom w:val="none" w:sz="0" w:space="0" w:color="auto"/>
                <w:right w:val="none" w:sz="0" w:space="0" w:color="auto"/>
              </w:divBdr>
            </w:div>
            <w:div w:id="1407415177">
              <w:marLeft w:val="0"/>
              <w:marRight w:val="0"/>
              <w:marTop w:val="0"/>
              <w:marBottom w:val="0"/>
              <w:divBdr>
                <w:top w:val="none" w:sz="0" w:space="0" w:color="auto"/>
                <w:left w:val="none" w:sz="0" w:space="0" w:color="auto"/>
                <w:bottom w:val="none" w:sz="0" w:space="0" w:color="auto"/>
                <w:right w:val="none" w:sz="0" w:space="0" w:color="auto"/>
              </w:divBdr>
            </w:div>
            <w:div w:id="1963611567">
              <w:marLeft w:val="0"/>
              <w:marRight w:val="0"/>
              <w:marTop w:val="0"/>
              <w:marBottom w:val="0"/>
              <w:divBdr>
                <w:top w:val="none" w:sz="0" w:space="0" w:color="auto"/>
                <w:left w:val="none" w:sz="0" w:space="0" w:color="auto"/>
                <w:bottom w:val="none" w:sz="0" w:space="0" w:color="auto"/>
                <w:right w:val="none" w:sz="0" w:space="0" w:color="auto"/>
              </w:divBdr>
            </w:div>
          </w:divsChild>
        </w:div>
        <w:div w:id="1514145213">
          <w:marLeft w:val="0"/>
          <w:marRight w:val="0"/>
          <w:marTop w:val="0"/>
          <w:marBottom w:val="0"/>
          <w:divBdr>
            <w:top w:val="none" w:sz="0" w:space="0" w:color="auto"/>
            <w:left w:val="none" w:sz="0" w:space="0" w:color="auto"/>
            <w:bottom w:val="none" w:sz="0" w:space="0" w:color="auto"/>
            <w:right w:val="none" w:sz="0" w:space="0" w:color="auto"/>
          </w:divBdr>
        </w:div>
        <w:div w:id="1564873783">
          <w:marLeft w:val="0"/>
          <w:marRight w:val="0"/>
          <w:marTop w:val="0"/>
          <w:marBottom w:val="0"/>
          <w:divBdr>
            <w:top w:val="none" w:sz="0" w:space="0" w:color="auto"/>
            <w:left w:val="none" w:sz="0" w:space="0" w:color="auto"/>
            <w:bottom w:val="none" w:sz="0" w:space="0" w:color="auto"/>
            <w:right w:val="none" w:sz="0" w:space="0" w:color="auto"/>
          </w:divBdr>
        </w:div>
        <w:div w:id="1910187746">
          <w:marLeft w:val="0"/>
          <w:marRight w:val="0"/>
          <w:marTop w:val="0"/>
          <w:marBottom w:val="0"/>
          <w:divBdr>
            <w:top w:val="none" w:sz="0" w:space="0" w:color="auto"/>
            <w:left w:val="none" w:sz="0" w:space="0" w:color="auto"/>
            <w:bottom w:val="none" w:sz="0" w:space="0" w:color="auto"/>
            <w:right w:val="none" w:sz="0" w:space="0" w:color="auto"/>
          </w:divBdr>
          <w:divsChild>
            <w:div w:id="272789703">
              <w:marLeft w:val="0"/>
              <w:marRight w:val="0"/>
              <w:marTop w:val="0"/>
              <w:marBottom w:val="0"/>
              <w:divBdr>
                <w:top w:val="none" w:sz="0" w:space="0" w:color="auto"/>
                <w:left w:val="none" w:sz="0" w:space="0" w:color="auto"/>
                <w:bottom w:val="none" w:sz="0" w:space="0" w:color="auto"/>
                <w:right w:val="none" w:sz="0" w:space="0" w:color="auto"/>
              </w:divBdr>
            </w:div>
            <w:div w:id="439840182">
              <w:marLeft w:val="0"/>
              <w:marRight w:val="0"/>
              <w:marTop w:val="0"/>
              <w:marBottom w:val="0"/>
              <w:divBdr>
                <w:top w:val="none" w:sz="0" w:space="0" w:color="auto"/>
                <w:left w:val="none" w:sz="0" w:space="0" w:color="auto"/>
                <w:bottom w:val="none" w:sz="0" w:space="0" w:color="auto"/>
                <w:right w:val="none" w:sz="0" w:space="0" w:color="auto"/>
              </w:divBdr>
            </w:div>
            <w:div w:id="660616505">
              <w:marLeft w:val="0"/>
              <w:marRight w:val="0"/>
              <w:marTop w:val="0"/>
              <w:marBottom w:val="0"/>
              <w:divBdr>
                <w:top w:val="none" w:sz="0" w:space="0" w:color="auto"/>
                <w:left w:val="none" w:sz="0" w:space="0" w:color="auto"/>
                <w:bottom w:val="none" w:sz="0" w:space="0" w:color="auto"/>
                <w:right w:val="none" w:sz="0" w:space="0" w:color="auto"/>
              </w:divBdr>
            </w:div>
            <w:div w:id="1460951646">
              <w:marLeft w:val="0"/>
              <w:marRight w:val="0"/>
              <w:marTop w:val="0"/>
              <w:marBottom w:val="0"/>
              <w:divBdr>
                <w:top w:val="none" w:sz="0" w:space="0" w:color="auto"/>
                <w:left w:val="none" w:sz="0" w:space="0" w:color="auto"/>
                <w:bottom w:val="none" w:sz="0" w:space="0" w:color="auto"/>
                <w:right w:val="none" w:sz="0" w:space="0" w:color="auto"/>
              </w:divBdr>
            </w:div>
          </w:divsChild>
        </w:div>
        <w:div w:id="2065711781">
          <w:marLeft w:val="0"/>
          <w:marRight w:val="0"/>
          <w:marTop w:val="0"/>
          <w:marBottom w:val="0"/>
          <w:divBdr>
            <w:top w:val="none" w:sz="0" w:space="0" w:color="auto"/>
            <w:left w:val="none" w:sz="0" w:space="0" w:color="auto"/>
            <w:bottom w:val="none" w:sz="0" w:space="0" w:color="auto"/>
            <w:right w:val="none" w:sz="0" w:space="0" w:color="auto"/>
          </w:divBdr>
          <w:divsChild>
            <w:div w:id="209927539">
              <w:marLeft w:val="0"/>
              <w:marRight w:val="0"/>
              <w:marTop w:val="0"/>
              <w:marBottom w:val="0"/>
              <w:divBdr>
                <w:top w:val="none" w:sz="0" w:space="0" w:color="auto"/>
                <w:left w:val="none" w:sz="0" w:space="0" w:color="auto"/>
                <w:bottom w:val="none" w:sz="0" w:space="0" w:color="auto"/>
                <w:right w:val="none" w:sz="0" w:space="0" w:color="auto"/>
              </w:divBdr>
            </w:div>
            <w:div w:id="1314529472">
              <w:marLeft w:val="0"/>
              <w:marRight w:val="0"/>
              <w:marTop w:val="0"/>
              <w:marBottom w:val="0"/>
              <w:divBdr>
                <w:top w:val="none" w:sz="0" w:space="0" w:color="auto"/>
                <w:left w:val="none" w:sz="0" w:space="0" w:color="auto"/>
                <w:bottom w:val="none" w:sz="0" w:space="0" w:color="auto"/>
                <w:right w:val="none" w:sz="0" w:space="0" w:color="auto"/>
              </w:divBdr>
            </w:div>
            <w:div w:id="1480607502">
              <w:marLeft w:val="0"/>
              <w:marRight w:val="0"/>
              <w:marTop w:val="0"/>
              <w:marBottom w:val="0"/>
              <w:divBdr>
                <w:top w:val="none" w:sz="0" w:space="0" w:color="auto"/>
                <w:left w:val="none" w:sz="0" w:space="0" w:color="auto"/>
                <w:bottom w:val="none" w:sz="0" w:space="0" w:color="auto"/>
                <w:right w:val="none" w:sz="0" w:space="0" w:color="auto"/>
              </w:divBdr>
            </w:div>
            <w:div w:id="19989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54500">
      <w:bodyDiv w:val="1"/>
      <w:marLeft w:val="0"/>
      <w:marRight w:val="0"/>
      <w:marTop w:val="0"/>
      <w:marBottom w:val="0"/>
      <w:divBdr>
        <w:top w:val="none" w:sz="0" w:space="0" w:color="auto"/>
        <w:left w:val="none" w:sz="0" w:space="0" w:color="auto"/>
        <w:bottom w:val="none" w:sz="0" w:space="0" w:color="auto"/>
        <w:right w:val="none" w:sz="0" w:space="0" w:color="auto"/>
      </w:divBdr>
    </w:div>
    <w:div w:id="681472447">
      <w:bodyDiv w:val="1"/>
      <w:marLeft w:val="0"/>
      <w:marRight w:val="0"/>
      <w:marTop w:val="0"/>
      <w:marBottom w:val="0"/>
      <w:divBdr>
        <w:top w:val="none" w:sz="0" w:space="0" w:color="auto"/>
        <w:left w:val="none" w:sz="0" w:space="0" w:color="auto"/>
        <w:bottom w:val="none" w:sz="0" w:space="0" w:color="auto"/>
        <w:right w:val="none" w:sz="0" w:space="0" w:color="auto"/>
      </w:divBdr>
    </w:div>
    <w:div w:id="683359283">
      <w:bodyDiv w:val="1"/>
      <w:marLeft w:val="0"/>
      <w:marRight w:val="0"/>
      <w:marTop w:val="0"/>
      <w:marBottom w:val="0"/>
      <w:divBdr>
        <w:top w:val="none" w:sz="0" w:space="0" w:color="auto"/>
        <w:left w:val="none" w:sz="0" w:space="0" w:color="auto"/>
        <w:bottom w:val="none" w:sz="0" w:space="0" w:color="auto"/>
        <w:right w:val="none" w:sz="0" w:space="0" w:color="auto"/>
      </w:divBdr>
    </w:div>
    <w:div w:id="685978576">
      <w:bodyDiv w:val="1"/>
      <w:marLeft w:val="0"/>
      <w:marRight w:val="0"/>
      <w:marTop w:val="0"/>
      <w:marBottom w:val="0"/>
      <w:divBdr>
        <w:top w:val="none" w:sz="0" w:space="0" w:color="auto"/>
        <w:left w:val="none" w:sz="0" w:space="0" w:color="auto"/>
        <w:bottom w:val="none" w:sz="0" w:space="0" w:color="auto"/>
        <w:right w:val="none" w:sz="0" w:space="0" w:color="auto"/>
      </w:divBdr>
    </w:div>
    <w:div w:id="687364887">
      <w:bodyDiv w:val="1"/>
      <w:marLeft w:val="0"/>
      <w:marRight w:val="0"/>
      <w:marTop w:val="0"/>
      <w:marBottom w:val="0"/>
      <w:divBdr>
        <w:top w:val="none" w:sz="0" w:space="0" w:color="auto"/>
        <w:left w:val="none" w:sz="0" w:space="0" w:color="auto"/>
        <w:bottom w:val="none" w:sz="0" w:space="0" w:color="auto"/>
        <w:right w:val="none" w:sz="0" w:space="0" w:color="auto"/>
      </w:divBdr>
      <w:divsChild>
        <w:div w:id="9455623">
          <w:marLeft w:val="0"/>
          <w:marRight w:val="0"/>
          <w:marTop w:val="0"/>
          <w:marBottom w:val="0"/>
          <w:divBdr>
            <w:top w:val="none" w:sz="0" w:space="0" w:color="auto"/>
            <w:left w:val="none" w:sz="0" w:space="0" w:color="auto"/>
            <w:bottom w:val="none" w:sz="0" w:space="0" w:color="auto"/>
            <w:right w:val="none" w:sz="0" w:space="0" w:color="auto"/>
          </w:divBdr>
        </w:div>
        <w:div w:id="1305892267">
          <w:marLeft w:val="0"/>
          <w:marRight w:val="0"/>
          <w:marTop w:val="0"/>
          <w:marBottom w:val="0"/>
          <w:divBdr>
            <w:top w:val="none" w:sz="0" w:space="0" w:color="auto"/>
            <w:left w:val="none" w:sz="0" w:space="0" w:color="auto"/>
            <w:bottom w:val="none" w:sz="0" w:space="0" w:color="auto"/>
            <w:right w:val="none" w:sz="0" w:space="0" w:color="auto"/>
          </w:divBdr>
        </w:div>
        <w:div w:id="1548949511">
          <w:marLeft w:val="0"/>
          <w:marRight w:val="0"/>
          <w:marTop w:val="0"/>
          <w:marBottom w:val="0"/>
          <w:divBdr>
            <w:top w:val="none" w:sz="0" w:space="0" w:color="auto"/>
            <w:left w:val="none" w:sz="0" w:space="0" w:color="auto"/>
            <w:bottom w:val="none" w:sz="0" w:space="0" w:color="auto"/>
            <w:right w:val="none" w:sz="0" w:space="0" w:color="auto"/>
          </w:divBdr>
        </w:div>
        <w:div w:id="1612515231">
          <w:marLeft w:val="0"/>
          <w:marRight w:val="0"/>
          <w:marTop w:val="0"/>
          <w:marBottom w:val="0"/>
          <w:divBdr>
            <w:top w:val="none" w:sz="0" w:space="0" w:color="auto"/>
            <w:left w:val="none" w:sz="0" w:space="0" w:color="auto"/>
            <w:bottom w:val="none" w:sz="0" w:space="0" w:color="auto"/>
            <w:right w:val="none" w:sz="0" w:space="0" w:color="auto"/>
          </w:divBdr>
        </w:div>
        <w:div w:id="1667510385">
          <w:marLeft w:val="0"/>
          <w:marRight w:val="0"/>
          <w:marTop w:val="0"/>
          <w:marBottom w:val="0"/>
          <w:divBdr>
            <w:top w:val="none" w:sz="0" w:space="0" w:color="auto"/>
            <w:left w:val="none" w:sz="0" w:space="0" w:color="auto"/>
            <w:bottom w:val="none" w:sz="0" w:space="0" w:color="auto"/>
            <w:right w:val="none" w:sz="0" w:space="0" w:color="auto"/>
          </w:divBdr>
        </w:div>
      </w:divsChild>
    </w:div>
    <w:div w:id="689990132">
      <w:bodyDiv w:val="1"/>
      <w:marLeft w:val="0"/>
      <w:marRight w:val="0"/>
      <w:marTop w:val="0"/>
      <w:marBottom w:val="0"/>
      <w:divBdr>
        <w:top w:val="none" w:sz="0" w:space="0" w:color="auto"/>
        <w:left w:val="none" w:sz="0" w:space="0" w:color="auto"/>
        <w:bottom w:val="none" w:sz="0" w:space="0" w:color="auto"/>
        <w:right w:val="none" w:sz="0" w:space="0" w:color="auto"/>
      </w:divBdr>
    </w:div>
    <w:div w:id="695736764">
      <w:bodyDiv w:val="1"/>
      <w:marLeft w:val="0"/>
      <w:marRight w:val="0"/>
      <w:marTop w:val="0"/>
      <w:marBottom w:val="0"/>
      <w:divBdr>
        <w:top w:val="none" w:sz="0" w:space="0" w:color="auto"/>
        <w:left w:val="none" w:sz="0" w:space="0" w:color="auto"/>
        <w:bottom w:val="none" w:sz="0" w:space="0" w:color="auto"/>
        <w:right w:val="none" w:sz="0" w:space="0" w:color="auto"/>
      </w:divBdr>
    </w:div>
    <w:div w:id="707921709">
      <w:bodyDiv w:val="1"/>
      <w:marLeft w:val="0"/>
      <w:marRight w:val="0"/>
      <w:marTop w:val="0"/>
      <w:marBottom w:val="0"/>
      <w:divBdr>
        <w:top w:val="none" w:sz="0" w:space="0" w:color="auto"/>
        <w:left w:val="none" w:sz="0" w:space="0" w:color="auto"/>
        <w:bottom w:val="none" w:sz="0" w:space="0" w:color="auto"/>
        <w:right w:val="none" w:sz="0" w:space="0" w:color="auto"/>
      </w:divBdr>
    </w:div>
    <w:div w:id="723136665">
      <w:bodyDiv w:val="1"/>
      <w:marLeft w:val="0"/>
      <w:marRight w:val="0"/>
      <w:marTop w:val="0"/>
      <w:marBottom w:val="0"/>
      <w:divBdr>
        <w:top w:val="none" w:sz="0" w:space="0" w:color="auto"/>
        <w:left w:val="none" w:sz="0" w:space="0" w:color="auto"/>
        <w:bottom w:val="none" w:sz="0" w:space="0" w:color="auto"/>
        <w:right w:val="none" w:sz="0" w:space="0" w:color="auto"/>
      </w:divBdr>
    </w:div>
    <w:div w:id="736248241">
      <w:bodyDiv w:val="1"/>
      <w:marLeft w:val="0"/>
      <w:marRight w:val="0"/>
      <w:marTop w:val="0"/>
      <w:marBottom w:val="0"/>
      <w:divBdr>
        <w:top w:val="none" w:sz="0" w:space="0" w:color="auto"/>
        <w:left w:val="none" w:sz="0" w:space="0" w:color="auto"/>
        <w:bottom w:val="none" w:sz="0" w:space="0" w:color="auto"/>
        <w:right w:val="none" w:sz="0" w:space="0" w:color="auto"/>
      </w:divBdr>
    </w:div>
    <w:div w:id="749277468">
      <w:bodyDiv w:val="1"/>
      <w:marLeft w:val="0"/>
      <w:marRight w:val="0"/>
      <w:marTop w:val="0"/>
      <w:marBottom w:val="0"/>
      <w:divBdr>
        <w:top w:val="none" w:sz="0" w:space="0" w:color="auto"/>
        <w:left w:val="none" w:sz="0" w:space="0" w:color="auto"/>
        <w:bottom w:val="none" w:sz="0" w:space="0" w:color="auto"/>
        <w:right w:val="none" w:sz="0" w:space="0" w:color="auto"/>
      </w:divBdr>
      <w:divsChild>
        <w:div w:id="299845831">
          <w:marLeft w:val="0"/>
          <w:marRight w:val="0"/>
          <w:marTop w:val="0"/>
          <w:marBottom w:val="0"/>
          <w:divBdr>
            <w:top w:val="none" w:sz="0" w:space="0" w:color="auto"/>
            <w:left w:val="none" w:sz="0" w:space="0" w:color="auto"/>
            <w:bottom w:val="none" w:sz="0" w:space="0" w:color="auto"/>
            <w:right w:val="none" w:sz="0" w:space="0" w:color="auto"/>
          </w:divBdr>
        </w:div>
        <w:div w:id="387339346">
          <w:marLeft w:val="0"/>
          <w:marRight w:val="0"/>
          <w:marTop w:val="0"/>
          <w:marBottom w:val="0"/>
          <w:divBdr>
            <w:top w:val="none" w:sz="0" w:space="0" w:color="auto"/>
            <w:left w:val="none" w:sz="0" w:space="0" w:color="auto"/>
            <w:bottom w:val="none" w:sz="0" w:space="0" w:color="auto"/>
            <w:right w:val="none" w:sz="0" w:space="0" w:color="auto"/>
          </w:divBdr>
        </w:div>
        <w:div w:id="815994910">
          <w:marLeft w:val="0"/>
          <w:marRight w:val="0"/>
          <w:marTop w:val="0"/>
          <w:marBottom w:val="0"/>
          <w:divBdr>
            <w:top w:val="none" w:sz="0" w:space="0" w:color="auto"/>
            <w:left w:val="none" w:sz="0" w:space="0" w:color="auto"/>
            <w:bottom w:val="none" w:sz="0" w:space="0" w:color="auto"/>
            <w:right w:val="none" w:sz="0" w:space="0" w:color="auto"/>
          </w:divBdr>
        </w:div>
        <w:div w:id="1159803672">
          <w:marLeft w:val="0"/>
          <w:marRight w:val="0"/>
          <w:marTop w:val="0"/>
          <w:marBottom w:val="0"/>
          <w:divBdr>
            <w:top w:val="none" w:sz="0" w:space="0" w:color="auto"/>
            <w:left w:val="none" w:sz="0" w:space="0" w:color="auto"/>
            <w:bottom w:val="none" w:sz="0" w:space="0" w:color="auto"/>
            <w:right w:val="none" w:sz="0" w:space="0" w:color="auto"/>
          </w:divBdr>
        </w:div>
        <w:div w:id="1381515782">
          <w:marLeft w:val="0"/>
          <w:marRight w:val="0"/>
          <w:marTop w:val="0"/>
          <w:marBottom w:val="0"/>
          <w:divBdr>
            <w:top w:val="none" w:sz="0" w:space="0" w:color="auto"/>
            <w:left w:val="none" w:sz="0" w:space="0" w:color="auto"/>
            <w:bottom w:val="none" w:sz="0" w:space="0" w:color="auto"/>
            <w:right w:val="none" w:sz="0" w:space="0" w:color="auto"/>
          </w:divBdr>
        </w:div>
        <w:div w:id="1590581833">
          <w:marLeft w:val="0"/>
          <w:marRight w:val="0"/>
          <w:marTop w:val="0"/>
          <w:marBottom w:val="0"/>
          <w:divBdr>
            <w:top w:val="none" w:sz="0" w:space="0" w:color="auto"/>
            <w:left w:val="none" w:sz="0" w:space="0" w:color="auto"/>
            <w:bottom w:val="none" w:sz="0" w:space="0" w:color="auto"/>
            <w:right w:val="none" w:sz="0" w:space="0" w:color="auto"/>
          </w:divBdr>
        </w:div>
        <w:div w:id="1591114978">
          <w:marLeft w:val="0"/>
          <w:marRight w:val="0"/>
          <w:marTop w:val="0"/>
          <w:marBottom w:val="0"/>
          <w:divBdr>
            <w:top w:val="none" w:sz="0" w:space="0" w:color="auto"/>
            <w:left w:val="none" w:sz="0" w:space="0" w:color="auto"/>
            <w:bottom w:val="none" w:sz="0" w:space="0" w:color="auto"/>
            <w:right w:val="none" w:sz="0" w:space="0" w:color="auto"/>
          </w:divBdr>
        </w:div>
        <w:div w:id="1997996919">
          <w:marLeft w:val="0"/>
          <w:marRight w:val="0"/>
          <w:marTop w:val="0"/>
          <w:marBottom w:val="0"/>
          <w:divBdr>
            <w:top w:val="none" w:sz="0" w:space="0" w:color="auto"/>
            <w:left w:val="none" w:sz="0" w:space="0" w:color="auto"/>
            <w:bottom w:val="none" w:sz="0" w:space="0" w:color="auto"/>
            <w:right w:val="none" w:sz="0" w:space="0" w:color="auto"/>
          </w:divBdr>
        </w:div>
        <w:div w:id="2044281031">
          <w:marLeft w:val="0"/>
          <w:marRight w:val="0"/>
          <w:marTop w:val="0"/>
          <w:marBottom w:val="0"/>
          <w:divBdr>
            <w:top w:val="none" w:sz="0" w:space="0" w:color="auto"/>
            <w:left w:val="none" w:sz="0" w:space="0" w:color="auto"/>
            <w:bottom w:val="none" w:sz="0" w:space="0" w:color="auto"/>
            <w:right w:val="none" w:sz="0" w:space="0" w:color="auto"/>
          </w:divBdr>
        </w:div>
        <w:div w:id="2064209244">
          <w:marLeft w:val="0"/>
          <w:marRight w:val="0"/>
          <w:marTop w:val="0"/>
          <w:marBottom w:val="0"/>
          <w:divBdr>
            <w:top w:val="none" w:sz="0" w:space="0" w:color="auto"/>
            <w:left w:val="none" w:sz="0" w:space="0" w:color="auto"/>
            <w:bottom w:val="none" w:sz="0" w:space="0" w:color="auto"/>
            <w:right w:val="none" w:sz="0" w:space="0" w:color="auto"/>
          </w:divBdr>
        </w:div>
      </w:divsChild>
    </w:div>
    <w:div w:id="750396316">
      <w:bodyDiv w:val="1"/>
      <w:marLeft w:val="0"/>
      <w:marRight w:val="0"/>
      <w:marTop w:val="0"/>
      <w:marBottom w:val="0"/>
      <w:divBdr>
        <w:top w:val="none" w:sz="0" w:space="0" w:color="auto"/>
        <w:left w:val="none" w:sz="0" w:space="0" w:color="auto"/>
        <w:bottom w:val="none" w:sz="0" w:space="0" w:color="auto"/>
        <w:right w:val="none" w:sz="0" w:space="0" w:color="auto"/>
      </w:divBdr>
    </w:div>
    <w:div w:id="757213944">
      <w:bodyDiv w:val="1"/>
      <w:marLeft w:val="0"/>
      <w:marRight w:val="0"/>
      <w:marTop w:val="0"/>
      <w:marBottom w:val="0"/>
      <w:divBdr>
        <w:top w:val="none" w:sz="0" w:space="0" w:color="auto"/>
        <w:left w:val="none" w:sz="0" w:space="0" w:color="auto"/>
        <w:bottom w:val="none" w:sz="0" w:space="0" w:color="auto"/>
        <w:right w:val="none" w:sz="0" w:space="0" w:color="auto"/>
      </w:divBdr>
    </w:div>
    <w:div w:id="757292937">
      <w:bodyDiv w:val="1"/>
      <w:marLeft w:val="0"/>
      <w:marRight w:val="0"/>
      <w:marTop w:val="0"/>
      <w:marBottom w:val="0"/>
      <w:divBdr>
        <w:top w:val="none" w:sz="0" w:space="0" w:color="auto"/>
        <w:left w:val="none" w:sz="0" w:space="0" w:color="auto"/>
        <w:bottom w:val="none" w:sz="0" w:space="0" w:color="auto"/>
        <w:right w:val="none" w:sz="0" w:space="0" w:color="auto"/>
      </w:divBdr>
    </w:div>
    <w:div w:id="763691509">
      <w:bodyDiv w:val="1"/>
      <w:marLeft w:val="0"/>
      <w:marRight w:val="0"/>
      <w:marTop w:val="0"/>
      <w:marBottom w:val="0"/>
      <w:divBdr>
        <w:top w:val="none" w:sz="0" w:space="0" w:color="auto"/>
        <w:left w:val="none" w:sz="0" w:space="0" w:color="auto"/>
        <w:bottom w:val="none" w:sz="0" w:space="0" w:color="auto"/>
        <w:right w:val="none" w:sz="0" w:space="0" w:color="auto"/>
      </w:divBdr>
    </w:div>
    <w:div w:id="792410178">
      <w:bodyDiv w:val="1"/>
      <w:marLeft w:val="0"/>
      <w:marRight w:val="0"/>
      <w:marTop w:val="0"/>
      <w:marBottom w:val="0"/>
      <w:divBdr>
        <w:top w:val="none" w:sz="0" w:space="0" w:color="auto"/>
        <w:left w:val="none" w:sz="0" w:space="0" w:color="auto"/>
        <w:bottom w:val="none" w:sz="0" w:space="0" w:color="auto"/>
        <w:right w:val="none" w:sz="0" w:space="0" w:color="auto"/>
      </w:divBdr>
      <w:divsChild>
        <w:div w:id="1879198506">
          <w:marLeft w:val="0"/>
          <w:marRight w:val="0"/>
          <w:marTop w:val="0"/>
          <w:marBottom w:val="0"/>
          <w:divBdr>
            <w:top w:val="none" w:sz="0" w:space="0" w:color="auto"/>
            <w:left w:val="none" w:sz="0" w:space="0" w:color="auto"/>
            <w:bottom w:val="none" w:sz="0" w:space="0" w:color="auto"/>
            <w:right w:val="none" w:sz="0" w:space="0" w:color="auto"/>
          </w:divBdr>
        </w:div>
      </w:divsChild>
    </w:div>
    <w:div w:id="796679672">
      <w:bodyDiv w:val="1"/>
      <w:marLeft w:val="0"/>
      <w:marRight w:val="0"/>
      <w:marTop w:val="0"/>
      <w:marBottom w:val="0"/>
      <w:divBdr>
        <w:top w:val="none" w:sz="0" w:space="0" w:color="auto"/>
        <w:left w:val="none" w:sz="0" w:space="0" w:color="auto"/>
        <w:bottom w:val="none" w:sz="0" w:space="0" w:color="auto"/>
        <w:right w:val="none" w:sz="0" w:space="0" w:color="auto"/>
      </w:divBdr>
      <w:divsChild>
        <w:div w:id="353043618">
          <w:marLeft w:val="0"/>
          <w:marRight w:val="0"/>
          <w:marTop w:val="0"/>
          <w:marBottom w:val="0"/>
          <w:divBdr>
            <w:top w:val="none" w:sz="0" w:space="0" w:color="auto"/>
            <w:left w:val="none" w:sz="0" w:space="0" w:color="auto"/>
            <w:bottom w:val="none" w:sz="0" w:space="0" w:color="auto"/>
            <w:right w:val="none" w:sz="0" w:space="0" w:color="auto"/>
          </w:divBdr>
        </w:div>
        <w:div w:id="513615658">
          <w:marLeft w:val="0"/>
          <w:marRight w:val="0"/>
          <w:marTop w:val="0"/>
          <w:marBottom w:val="0"/>
          <w:divBdr>
            <w:top w:val="none" w:sz="0" w:space="0" w:color="auto"/>
            <w:left w:val="none" w:sz="0" w:space="0" w:color="auto"/>
            <w:bottom w:val="none" w:sz="0" w:space="0" w:color="auto"/>
            <w:right w:val="none" w:sz="0" w:space="0" w:color="auto"/>
          </w:divBdr>
        </w:div>
        <w:div w:id="986979576">
          <w:marLeft w:val="0"/>
          <w:marRight w:val="0"/>
          <w:marTop w:val="0"/>
          <w:marBottom w:val="0"/>
          <w:divBdr>
            <w:top w:val="none" w:sz="0" w:space="0" w:color="auto"/>
            <w:left w:val="none" w:sz="0" w:space="0" w:color="auto"/>
            <w:bottom w:val="none" w:sz="0" w:space="0" w:color="auto"/>
            <w:right w:val="none" w:sz="0" w:space="0" w:color="auto"/>
          </w:divBdr>
        </w:div>
        <w:div w:id="1008293192">
          <w:marLeft w:val="0"/>
          <w:marRight w:val="0"/>
          <w:marTop w:val="0"/>
          <w:marBottom w:val="0"/>
          <w:divBdr>
            <w:top w:val="none" w:sz="0" w:space="0" w:color="auto"/>
            <w:left w:val="none" w:sz="0" w:space="0" w:color="auto"/>
            <w:bottom w:val="none" w:sz="0" w:space="0" w:color="auto"/>
            <w:right w:val="none" w:sz="0" w:space="0" w:color="auto"/>
          </w:divBdr>
        </w:div>
        <w:div w:id="1045135131">
          <w:marLeft w:val="0"/>
          <w:marRight w:val="0"/>
          <w:marTop w:val="0"/>
          <w:marBottom w:val="0"/>
          <w:divBdr>
            <w:top w:val="none" w:sz="0" w:space="0" w:color="auto"/>
            <w:left w:val="none" w:sz="0" w:space="0" w:color="auto"/>
            <w:bottom w:val="none" w:sz="0" w:space="0" w:color="auto"/>
            <w:right w:val="none" w:sz="0" w:space="0" w:color="auto"/>
          </w:divBdr>
        </w:div>
        <w:div w:id="1532182554">
          <w:marLeft w:val="0"/>
          <w:marRight w:val="0"/>
          <w:marTop w:val="0"/>
          <w:marBottom w:val="0"/>
          <w:divBdr>
            <w:top w:val="none" w:sz="0" w:space="0" w:color="auto"/>
            <w:left w:val="none" w:sz="0" w:space="0" w:color="auto"/>
            <w:bottom w:val="none" w:sz="0" w:space="0" w:color="auto"/>
            <w:right w:val="none" w:sz="0" w:space="0" w:color="auto"/>
          </w:divBdr>
        </w:div>
        <w:div w:id="1900170430">
          <w:marLeft w:val="0"/>
          <w:marRight w:val="0"/>
          <w:marTop w:val="0"/>
          <w:marBottom w:val="0"/>
          <w:divBdr>
            <w:top w:val="none" w:sz="0" w:space="0" w:color="auto"/>
            <w:left w:val="none" w:sz="0" w:space="0" w:color="auto"/>
            <w:bottom w:val="none" w:sz="0" w:space="0" w:color="auto"/>
            <w:right w:val="none" w:sz="0" w:space="0" w:color="auto"/>
          </w:divBdr>
        </w:div>
      </w:divsChild>
    </w:div>
    <w:div w:id="799424607">
      <w:bodyDiv w:val="1"/>
      <w:marLeft w:val="0"/>
      <w:marRight w:val="0"/>
      <w:marTop w:val="0"/>
      <w:marBottom w:val="0"/>
      <w:divBdr>
        <w:top w:val="none" w:sz="0" w:space="0" w:color="auto"/>
        <w:left w:val="none" w:sz="0" w:space="0" w:color="auto"/>
        <w:bottom w:val="none" w:sz="0" w:space="0" w:color="auto"/>
        <w:right w:val="none" w:sz="0" w:space="0" w:color="auto"/>
      </w:divBdr>
    </w:div>
    <w:div w:id="812216236">
      <w:bodyDiv w:val="1"/>
      <w:marLeft w:val="0"/>
      <w:marRight w:val="0"/>
      <w:marTop w:val="0"/>
      <w:marBottom w:val="0"/>
      <w:divBdr>
        <w:top w:val="none" w:sz="0" w:space="0" w:color="auto"/>
        <w:left w:val="none" w:sz="0" w:space="0" w:color="auto"/>
        <w:bottom w:val="none" w:sz="0" w:space="0" w:color="auto"/>
        <w:right w:val="none" w:sz="0" w:space="0" w:color="auto"/>
      </w:divBdr>
      <w:divsChild>
        <w:div w:id="402159">
          <w:marLeft w:val="0"/>
          <w:marRight w:val="0"/>
          <w:marTop w:val="0"/>
          <w:marBottom w:val="0"/>
          <w:divBdr>
            <w:top w:val="none" w:sz="0" w:space="0" w:color="auto"/>
            <w:left w:val="none" w:sz="0" w:space="0" w:color="auto"/>
            <w:bottom w:val="none" w:sz="0" w:space="0" w:color="auto"/>
            <w:right w:val="none" w:sz="0" w:space="0" w:color="auto"/>
          </w:divBdr>
          <w:divsChild>
            <w:div w:id="673336302">
              <w:marLeft w:val="0"/>
              <w:marRight w:val="0"/>
              <w:marTop w:val="0"/>
              <w:marBottom w:val="0"/>
              <w:divBdr>
                <w:top w:val="none" w:sz="0" w:space="0" w:color="auto"/>
                <w:left w:val="none" w:sz="0" w:space="0" w:color="auto"/>
                <w:bottom w:val="none" w:sz="0" w:space="0" w:color="auto"/>
                <w:right w:val="none" w:sz="0" w:space="0" w:color="auto"/>
              </w:divBdr>
            </w:div>
          </w:divsChild>
        </w:div>
        <w:div w:id="3635866">
          <w:marLeft w:val="0"/>
          <w:marRight w:val="0"/>
          <w:marTop w:val="0"/>
          <w:marBottom w:val="0"/>
          <w:divBdr>
            <w:top w:val="none" w:sz="0" w:space="0" w:color="auto"/>
            <w:left w:val="none" w:sz="0" w:space="0" w:color="auto"/>
            <w:bottom w:val="none" w:sz="0" w:space="0" w:color="auto"/>
            <w:right w:val="none" w:sz="0" w:space="0" w:color="auto"/>
          </w:divBdr>
          <w:divsChild>
            <w:div w:id="1807505864">
              <w:marLeft w:val="0"/>
              <w:marRight w:val="0"/>
              <w:marTop w:val="0"/>
              <w:marBottom w:val="0"/>
              <w:divBdr>
                <w:top w:val="none" w:sz="0" w:space="0" w:color="auto"/>
                <w:left w:val="none" w:sz="0" w:space="0" w:color="auto"/>
                <w:bottom w:val="none" w:sz="0" w:space="0" w:color="auto"/>
                <w:right w:val="none" w:sz="0" w:space="0" w:color="auto"/>
              </w:divBdr>
            </w:div>
          </w:divsChild>
        </w:div>
        <w:div w:id="54017196">
          <w:marLeft w:val="0"/>
          <w:marRight w:val="0"/>
          <w:marTop w:val="0"/>
          <w:marBottom w:val="0"/>
          <w:divBdr>
            <w:top w:val="none" w:sz="0" w:space="0" w:color="auto"/>
            <w:left w:val="none" w:sz="0" w:space="0" w:color="auto"/>
            <w:bottom w:val="none" w:sz="0" w:space="0" w:color="auto"/>
            <w:right w:val="none" w:sz="0" w:space="0" w:color="auto"/>
          </w:divBdr>
          <w:divsChild>
            <w:div w:id="1061290267">
              <w:marLeft w:val="0"/>
              <w:marRight w:val="0"/>
              <w:marTop w:val="0"/>
              <w:marBottom w:val="0"/>
              <w:divBdr>
                <w:top w:val="none" w:sz="0" w:space="0" w:color="auto"/>
                <w:left w:val="none" w:sz="0" w:space="0" w:color="auto"/>
                <w:bottom w:val="none" w:sz="0" w:space="0" w:color="auto"/>
                <w:right w:val="none" w:sz="0" w:space="0" w:color="auto"/>
              </w:divBdr>
            </w:div>
          </w:divsChild>
        </w:div>
        <w:div w:id="59839002">
          <w:marLeft w:val="0"/>
          <w:marRight w:val="0"/>
          <w:marTop w:val="0"/>
          <w:marBottom w:val="0"/>
          <w:divBdr>
            <w:top w:val="none" w:sz="0" w:space="0" w:color="auto"/>
            <w:left w:val="none" w:sz="0" w:space="0" w:color="auto"/>
            <w:bottom w:val="none" w:sz="0" w:space="0" w:color="auto"/>
            <w:right w:val="none" w:sz="0" w:space="0" w:color="auto"/>
          </w:divBdr>
          <w:divsChild>
            <w:div w:id="862280834">
              <w:marLeft w:val="0"/>
              <w:marRight w:val="0"/>
              <w:marTop w:val="0"/>
              <w:marBottom w:val="0"/>
              <w:divBdr>
                <w:top w:val="none" w:sz="0" w:space="0" w:color="auto"/>
                <w:left w:val="none" w:sz="0" w:space="0" w:color="auto"/>
                <w:bottom w:val="none" w:sz="0" w:space="0" w:color="auto"/>
                <w:right w:val="none" w:sz="0" w:space="0" w:color="auto"/>
              </w:divBdr>
            </w:div>
          </w:divsChild>
        </w:div>
        <w:div w:id="134108525">
          <w:marLeft w:val="0"/>
          <w:marRight w:val="0"/>
          <w:marTop w:val="0"/>
          <w:marBottom w:val="0"/>
          <w:divBdr>
            <w:top w:val="none" w:sz="0" w:space="0" w:color="auto"/>
            <w:left w:val="none" w:sz="0" w:space="0" w:color="auto"/>
            <w:bottom w:val="none" w:sz="0" w:space="0" w:color="auto"/>
            <w:right w:val="none" w:sz="0" w:space="0" w:color="auto"/>
          </w:divBdr>
          <w:divsChild>
            <w:div w:id="57024161">
              <w:marLeft w:val="0"/>
              <w:marRight w:val="0"/>
              <w:marTop w:val="0"/>
              <w:marBottom w:val="0"/>
              <w:divBdr>
                <w:top w:val="none" w:sz="0" w:space="0" w:color="auto"/>
                <w:left w:val="none" w:sz="0" w:space="0" w:color="auto"/>
                <w:bottom w:val="none" w:sz="0" w:space="0" w:color="auto"/>
                <w:right w:val="none" w:sz="0" w:space="0" w:color="auto"/>
              </w:divBdr>
            </w:div>
          </w:divsChild>
        </w:div>
        <w:div w:id="176165313">
          <w:marLeft w:val="0"/>
          <w:marRight w:val="0"/>
          <w:marTop w:val="0"/>
          <w:marBottom w:val="0"/>
          <w:divBdr>
            <w:top w:val="none" w:sz="0" w:space="0" w:color="auto"/>
            <w:left w:val="none" w:sz="0" w:space="0" w:color="auto"/>
            <w:bottom w:val="none" w:sz="0" w:space="0" w:color="auto"/>
            <w:right w:val="none" w:sz="0" w:space="0" w:color="auto"/>
          </w:divBdr>
          <w:divsChild>
            <w:div w:id="81417189">
              <w:marLeft w:val="0"/>
              <w:marRight w:val="0"/>
              <w:marTop w:val="0"/>
              <w:marBottom w:val="0"/>
              <w:divBdr>
                <w:top w:val="none" w:sz="0" w:space="0" w:color="auto"/>
                <w:left w:val="none" w:sz="0" w:space="0" w:color="auto"/>
                <w:bottom w:val="none" w:sz="0" w:space="0" w:color="auto"/>
                <w:right w:val="none" w:sz="0" w:space="0" w:color="auto"/>
              </w:divBdr>
            </w:div>
          </w:divsChild>
        </w:div>
        <w:div w:id="200676487">
          <w:marLeft w:val="0"/>
          <w:marRight w:val="0"/>
          <w:marTop w:val="0"/>
          <w:marBottom w:val="0"/>
          <w:divBdr>
            <w:top w:val="none" w:sz="0" w:space="0" w:color="auto"/>
            <w:left w:val="none" w:sz="0" w:space="0" w:color="auto"/>
            <w:bottom w:val="none" w:sz="0" w:space="0" w:color="auto"/>
            <w:right w:val="none" w:sz="0" w:space="0" w:color="auto"/>
          </w:divBdr>
          <w:divsChild>
            <w:div w:id="1346979975">
              <w:marLeft w:val="0"/>
              <w:marRight w:val="0"/>
              <w:marTop w:val="0"/>
              <w:marBottom w:val="0"/>
              <w:divBdr>
                <w:top w:val="none" w:sz="0" w:space="0" w:color="auto"/>
                <w:left w:val="none" w:sz="0" w:space="0" w:color="auto"/>
                <w:bottom w:val="none" w:sz="0" w:space="0" w:color="auto"/>
                <w:right w:val="none" w:sz="0" w:space="0" w:color="auto"/>
              </w:divBdr>
            </w:div>
          </w:divsChild>
        </w:div>
        <w:div w:id="217129846">
          <w:marLeft w:val="0"/>
          <w:marRight w:val="0"/>
          <w:marTop w:val="0"/>
          <w:marBottom w:val="0"/>
          <w:divBdr>
            <w:top w:val="none" w:sz="0" w:space="0" w:color="auto"/>
            <w:left w:val="none" w:sz="0" w:space="0" w:color="auto"/>
            <w:bottom w:val="none" w:sz="0" w:space="0" w:color="auto"/>
            <w:right w:val="none" w:sz="0" w:space="0" w:color="auto"/>
          </w:divBdr>
          <w:divsChild>
            <w:div w:id="1543858110">
              <w:marLeft w:val="0"/>
              <w:marRight w:val="0"/>
              <w:marTop w:val="0"/>
              <w:marBottom w:val="0"/>
              <w:divBdr>
                <w:top w:val="none" w:sz="0" w:space="0" w:color="auto"/>
                <w:left w:val="none" w:sz="0" w:space="0" w:color="auto"/>
                <w:bottom w:val="none" w:sz="0" w:space="0" w:color="auto"/>
                <w:right w:val="none" w:sz="0" w:space="0" w:color="auto"/>
              </w:divBdr>
            </w:div>
          </w:divsChild>
        </w:div>
        <w:div w:id="227765268">
          <w:marLeft w:val="0"/>
          <w:marRight w:val="0"/>
          <w:marTop w:val="0"/>
          <w:marBottom w:val="0"/>
          <w:divBdr>
            <w:top w:val="none" w:sz="0" w:space="0" w:color="auto"/>
            <w:left w:val="none" w:sz="0" w:space="0" w:color="auto"/>
            <w:bottom w:val="none" w:sz="0" w:space="0" w:color="auto"/>
            <w:right w:val="none" w:sz="0" w:space="0" w:color="auto"/>
          </w:divBdr>
          <w:divsChild>
            <w:div w:id="404494928">
              <w:marLeft w:val="0"/>
              <w:marRight w:val="0"/>
              <w:marTop w:val="0"/>
              <w:marBottom w:val="0"/>
              <w:divBdr>
                <w:top w:val="none" w:sz="0" w:space="0" w:color="auto"/>
                <w:left w:val="none" w:sz="0" w:space="0" w:color="auto"/>
                <w:bottom w:val="none" w:sz="0" w:space="0" w:color="auto"/>
                <w:right w:val="none" w:sz="0" w:space="0" w:color="auto"/>
              </w:divBdr>
            </w:div>
          </w:divsChild>
        </w:div>
        <w:div w:id="236015758">
          <w:marLeft w:val="0"/>
          <w:marRight w:val="0"/>
          <w:marTop w:val="0"/>
          <w:marBottom w:val="0"/>
          <w:divBdr>
            <w:top w:val="none" w:sz="0" w:space="0" w:color="auto"/>
            <w:left w:val="none" w:sz="0" w:space="0" w:color="auto"/>
            <w:bottom w:val="none" w:sz="0" w:space="0" w:color="auto"/>
            <w:right w:val="none" w:sz="0" w:space="0" w:color="auto"/>
          </w:divBdr>
          <w:divsChild>
            <w:div w:id="661158310">
              <w:marLeft w:val="0"/>
              <w:marRight w:val="0"/>
              <w:marTop w:val="0"/>
              <w:marBottom w:val="0"/>
              <w:divBdr>
                <w:top w:val="none" w:sz="0" w:space="0" w:color="auto"/>
                <w:left w:val="none" w:sz="0" w:space="0" w:color="auto"/>
                <w:bottom w:val="none" w:sz="0" w:space="0" w:color="auto"/>
                <w:right w:val="none" w:sz="0" w:space="0" w:color="auto"/>
              </w:divBdr>
            </w:div>
          </w:divsChild>
        </w:div>
        <w:div w:id="243345172">
          <w:marLeft w:val="0"/>
          <w:marRight w:val="0"/>
          <w:marTop w:val="0"/>
          <w:marBottom w:val="0"/>
          <w:divBdr>
            <w:top w:val="none" w:sz="0" w:space="0" w:color="auto"/>
            <w:left w:val="none" w:sz="0" w:space="0" w:color="auto"/>
            <w:bottom w:val="none" w:sz="0" w:space="0" w:color="auto"/>
            <w:right w:val="none" w:sz="0" w:space="0" w:color="auto"/>
          </w:divBdr>
          <w:divsChild>
            <w:div w:id="2101950231">
              <w:marLeft w:val="0"/>
              <w:marRight w:val="0"/>
              <w:marTop w:val="0"/>
              <w:marBottom w:val="0"/>
              <w:divBdr>
                <w:top w:val="none" w:sz="0" w:space="0" w:color="auto"/>
                <w:left w:val="none" w:sz="0" w:space="0" w:color="auto"/>
                <w:bottom w:val="none" w:sz="0" w:space="0" w:color="auto"/>
                <w:right w:val="none" w:sz="0" w:space="0" w:color="auto"/>
              </w:divBdr>
            </w:div>
          </w:divsChild>
        </w:div>
        <w:div w:id="252201660">
          <w:marLeft w:val="0"/>
          <w:marRight w:val="0"/>
          <w:marTop w:val="0"/>
          <w:marBottom w:val="0"/>
          <w:divBdr>
            <w:top w:val="none" w:sz="0" w:space="0" w:color="auto"/>
            <w:left w:val="none" w:sz="0" w:space="0" w:color="auto"/>
            <w:bottom w:val="none" w:sz="0" w:space="0" w:color="auto"/>
            <w:right w:val="none" w:sz="0" w:space="0" w:color="auto"/>
          </w:divBdr>
          <w:divsChild>
            <w:div w:id="1152256985">
              <w:marLeft w:val="0"/>
              <w:marRight w:val="0"/>
              <w:marTop w:val="0"/>
              <w:marBottom w:val="0"/>
              <w:divBdr>
                <w:top w:val="none" w:sz="0" w:space="0" w:color="auto"/>
                <w:left w:val="none" w:sz="0" w:space="0" w:color="auto"/>
                <w:bottom w:val="none" w:sz="0" w:space="0" w:color="auto"/>
                <w:right w:val="none" w:sz="0" w:space="0" w:color="auto"/>
              </w:divBdr>
            </w:div>
          </w:divsChild>
        </w:div>
        <w:div w:id="287862089">
          <w:marLeft w:val="0"/>
          <w:marRight w:val="0"/>
          <w:marTop w:val="0"/>
          <w:marBottom w:val="0"/>
          <w:divBdr>
            <w:top w:val="none" w:sz="0" w:space="0" w:color="auto"/>
            <w:left w:val="none" w:sz="0" w:space="0" w:color="auto"/>
            <w:bottom w:val="none" w:sz="0" w:space="0" w:color="auto"/>
            <w:right w:val="none" w:sz="0" w:space="0" w:color="auto"/>
          </w:divBdr>
          <w:divsChild>
            <w:div w:id="978459036">
              <w:marLeft w:val="0"/>
              <w:marRight w:val="0"/>
              <w:marTop w:val="0"/>
              <w:marBottom w:val="0"/>
              <w:divBdr>
                <w:top w:val="none" w:sz="0" w:space="0" w:color="auto"/>
                <w:left w:val="none" w:sz="0" w:space="0" w:color="auto"/>
                <w:bottom w:val="none" w:sz="0" w:space="0" w:color="auto"/>
                <w:right w:val="none" w:sz="0" w:space="0" w:color="auto"/>
              </w:divBdr>
            </w:div>
          </w:divsChild>
        </w:div>
        <w:div w:id="310597177">
          <w:marLeft w:val="0"/>
          <w:marRight w:val="0"/>
          <w:marTop w:val="0"/>
          <w:marBottom w:val="0"/>
          <w:divBdr>
            <w:top w:val="none" w:sz="0" w:space="0" w:color="auto"/>
            <w:left w:val="none" w:sz="0" w:space="0" w:color="auto"/>
            <w:bottom w:val="none" w:sz="0" w:space="0" w:color="auto"/>
            <w:right w:val="none" w:sz="0" w:space="0" w:color="auto"/>
          </w:divBdr>
          <w:divsChild>
            <w:div w:id="1580941660">
              <w:marLeft w:val="0"/>
              <w:marRight w:val="0"/>
              <w:marTop w:val="0"/>
              <w:marBottom w:val="0"/>
              <w:divBdr>
                <w:top w:val="none" w:sz="0" w:space="0" w:color="auto"/>
                <w:left w:val="none" w:sz="0" w:space="0" w:color="auto"/>
                <w:bottom w:val="none" w:sz="0" w:space="0" w:color="auto"/>
                <w:right w:val="none" w:sz="0" w:space="0" w:color="auto"/>
              </w:divBdr>
            </w:div>
          </w:divsChild>
        </w:div>
        <w:div w:id="330764038">
          <w:marLeft w:val="0"/>
          <w:marRight w:val="0"/>
          <w:marTop w:val="0"/>
          <w:marBottom w:val="0"/>
          <w:divBdr>
            <w:top w:val="none" w:sz="0" w:space="0" w:color="auto"/>
            <w:left w:val="none" w:sz="0" w:space="0" w:color="auto"/>
            <w:bottom w:val="none" w:sz="0" w:space="0" w:color="auto"/>
            <w:right w:val="none" w:sz="0" w:space="0" w:color="auto"/>
          </w:divBdr>
          <w:divsChild>
            <w:div w:id="1830124653">
              <w:marLeft w:val="0"/>
              <w:marRight w:val="0"/>
              <w:marTop w:val="0"/>
              <w:marBottom w:val="0"/>
              <w:divBdr>
                <w:top w:val="none" w:sz="0" w:space="0" w:color="auto"/>
                <w:left w:val="none" w:sz="0" w:space="0" w:color="auto"/>
                <w:bottom w:val="none" w:sz="0" w:space="0" w:color="auto"/>
                <w:right w:val="none" w:sz="0" w:space="0" w:color="auto"/>
              </w:divBdr>
            </w:div>
          </w:divsChild>
        </w:div>
        <w:div w:id="361170190">
          <w:marLeft w:val="0"/>
          <w:marRight w:val="0"/>
          <w:marTop w:val="0"/>
          <w:marBottom w:val="0"/>
          <w:divBdr>
            <w:top w:val="none" w:sz="0" w:space="0" w:color="auto"/>
            <w:left w:val="none" w:sz="0" w:space="0" w:color="auto"/>
            <w:bottom w:val="none" w:sz="0" w:space="0" w:color="auto"/>
            <w:right w:val="none" w:sz="0" w:space="0" w:color="auto"/>
          </w:divBdr>
          <w:divsChild>
            <w:div w:id="123424223">
              <w:marLeft w:val="0"/>
              <w:marRight w:val="0"/>
              <w:marTop w:val="0"/>
              <w:marBottom w:val="0"/>
              <w:divBdr>
                <w:top w:val="none" w:sz="0" w:space="0" w:color="auto"/>
                <w:left w:val="none" w:sz="0" w:space="0" w:color="auto"/>
                <w:bottom w:val="none" w:sz="0" w:space="0" w:color="auto"/>
                <w:right w:val="none" w:sz="0" w:space="0" w:color="auto"/>
              </w:divBdr>
            </w:div>
          </w:divsChild>
        </w:div>
        <w:div w:id="491796334">
          <w:marLeft w:val="0"/>
          <w:marRight w:val="0"/>
          <w:marTop w:val="0"/>
          <w:marBottom w:val="0"/>
          <w:divBdr>
            <w:top w:val="none" w:sz="0" w:space="0" w:color="auto"/>
            <w:left w:val="none" w:sz="0" w:space="0" w:color="auto"/>
            <w:bottom w:val="none" w:sz="0" w:space="0" w:color="auto"/>
            <w:right w:val="none" w:sz="0" w:space="0" w:color="auto"/>
          </w:divBdr>
          <w:divsChild>
            <w:div w:id="1724061491">
              <w:marLeft w:val="0"/>
              <w:marRight w:val="0"/>
              <w:marTop w:val="0"/>
              <w:marBottom w:val="0"/>
              <w:divBdr>
                <w:top w:val="none" w:sz="0" w:space="0" w:color="auto"/>
                <w:left w:val="none" w:sz="0" w:space="0" w:color="auto"/>
                <w:bottom w:val="none" w:sz="0" w:space="0" w:color="auto"/>
                <w:right w:val="none" w:sz="0" w:space="0" w:color="auto"/>
              </w:divBdr>
            </w:div>
          </w:divsChild>
        </w:div>
        <w:div w:id="532302839">
          <w:marLeft w:val="0"/>
          <w:marRight w:val="0"/>
          <w:marTop w:val="0"/>
          <w:marBottom w:val="0"/>
          <w:divBdr>
            <w:top w:val="none" w:sz="0" w:space="0" w:color="auto"/>
            <w:left w:val="none" w:sz="0" w:space="0" w:color="auto"/>
            <w:bottom w:val="none" w:sz="0" w:space="0" w:color="auto"/>
            <w:right w:val="none" w:sz="0" w:space="0" w:color="auto"/>
          </w:divBdr>
          <w:divsChild>
            <w:div w:id="708187562">
              <w:marLeft w:val="0"/>
              <w:marRight w:val="0"/>
              <w:marTop w:val="0"/>
              <w:marBottom w:val="0"/>
              <w:divBdr>
                <w:top w:val="none" w:sz="0" w:space="0" w:color="auto"/>
                <w:left w:val="none" w:sz="0" w:space="0" w:color="auto"/>
                <w:bottom w:val="none" w:sz="0" w:space="0" w:color="auto"/>
                <w:right w:val="none" w:sz="0" w:space="0" w:color="auto"/>
              </w:divBdr>
            </w:div>
          </w:divsChild>
        </w:div>
        <w:div w:id="571425451">
          <w:marLeft w:val="0"/>
          <w:marRight w:val="0"/>
          <w:marTop w:val="0"/>
          <w:marBottom w:val="0"/>
          <w:divBdr>
            <w:top w:val="none" w:sz="0" w:space="0" w:color="auto"/>
            <w:left w:val="none" w:sz="0" w:space="0" w:color="auto"/>
            <w:bottom w:val="none" w:sz="0" w:space="0" w:color="auto"/>
            <w:right w:val="none" w:sz="0" w:space="0" w:color="auto"/>
          </w:divBdr>
          <w:divsChild>
            <w:div w:id="940721678">
              <w:marLeft w:val="0"/>
              <w:marRight w:val="0"/>
              <w:marTop w:val="0"/>
              <w:marBottom w:val="0"/>
              <w:divBdr>
                <w:top w:val="none" w:sz="0" w:space="0" w:color="auto"/>
                <w:left w:val="none" w:sz="0" w:space="0" w:color="auto"/>
                <w:bottom w:val="none" w:sz="0" w:space="0" w:color="auto"/>
                <w:right w:val="none" w:sz="0" w:space="0" w:color="auto"/>
              </w:divBdr>
            </w:div>
          </w:divsChild>
        </w:div>
        <w:div w:id="589192862">
          <w:marLeft w:val="0"/>
          <w:marRight w:val="0"/>
          <w:marTop w:val="0"/>
          <w:marBottom w:val="0"/>
          <w:divBdr>
            <w:top w:val="none" w:sz="0" w:space="0" w:color="auto"/>
            <w:left w:val="none" w:sz="0" w:space="0" w:color="auto"/>
            <w:bottom w:val="none" w:sz="0" w:space="0" w:color="auto"/>
            <w:right w:val="none" w:sz="0" w:space="0" w:color="auto"/>
          </w:divBdr>
          <w:divsChild>
            <w:div w:id="1634604758">
              <w:marLeft w:val="0"/>
              <w:marRight w:val="0"/>
              <w:marTop w:val="0"/>
              <w:marBottom w:val="0"/>
              <w:divBdr>
                <w:top w:val="none" w:sz="0" w:space="0" w:color="auto"/>
                <w:left w:val="none" w:sz="0" w:space="0" w:color="auto"/>
                <w:bottom w:val="none" w:sz="0" w:space="0" w:color="auto"/>
                <w:right w:val="none" w:sz="0" w:space="0" w:color="auto"/>
              </w:divBdr>
            </w:div>
          </w:divsChild>
        </w:div>
        <w:div w:id="596671044">
          <w:marLeft w:val="0"/>
          <w:marRight w:val="0"/>
          <w:marTop w:val="0"/>
          <w:marBottom w:val="0"/>
          <w:divBdr>
            <w:top w:val="none" w:sz="0" w:space="0" w:color="auto"/>
            <w:left w:val="none" w:sz="0" w:space="0" w:color="auto"/>
            <w:bottom w:val="none" w:sz="0" w:space="0" w:color="auto"/>
            <w:right w:val="none" w:sz="0" w:space="0" w:color="auto"/>
          </w:divBdr>
          <w:divsChild>
            <w:div w:id="1505165473">
              <w:marLeft w:val="0"/>
              <w:marRight w:val="0"/>
              <w:marTop w:val="0"/>
              <w:marBottom w:val="0"/>
              <w:divBdr>
                <w:top w:val="none" w:sz="0" w:space="0" w:color="auto"/>
                <w:left w:val="none" w:sz="0" w:space="0" w:color="auto"/>
                <w:bottom w:val="none" w:sz="0" w:space="0" w:color="auto"/>
                <w:right w:val="none" w:sz="0" w:space="0" w:color="auto"/>
              </w:divBdr>
            </w:div>
          </w:divsChild>
        </w:div>
        <w:div w:id="636381098">
          <w:marLeft w:val="0"/>
          <w:marRight w:val="0"/>
          <w:marTop w:val="0"/>
          <w:marBottom w:val="0"/>
          <w:divBdr>
            <w:top w:val="none" w:sz="0" w:space="0" w:color="auto"/>
            <w:left w:val="none" w:sz="0" w:space="0" w:color="auto"/>
            <w:bottom w:val="none" w:sz="0" w:space="0" w:color="auto"/>
            <w:right w:val="none" w:sz="0" w:space="0" w:color="auto"/>
          </w:divBdr>
          <w:divsChild>
            <w:div w:id="878053464">
              <w:marLeft w:val="0"/>
              <w:marRight w:val="0"/>
              <w:marTop w:val="0"/>
              <w:marBottom w:val="0"/>
              <w:divBdr>
                <w:top w:val="none" w:sz="0" w:space="0" w:color="auto"/>
                <w:left w:val="none" w:sz="0" w:space="0" w:color="auto"/>
                <w:bottom w:val="none" w:sz="0" w:space="0" w:color="auto"/>
                <w:right w:val="none" w:sz="0" w:space="0" w:color="auto"/>
              </w:divBdr>
            </w:div>
          </w:divsChild>
        </w:div>
        <w:div w:id="650642626">
          <w:marLeft w:val="0"/>
          <w:marRight w:val="0"/>
          <w:marTop w:val="0"/>
          <w:marBottom w:val="0"/>
          <w:divBdr>
            <w:top w:val="none" w:sz="0" w:space="0" w:color="auto"/>
            <w:left w:val="none" w:sz="0" w:space="0" w:color="auto"/>
            <w:bottom w:val="none" w:sz="0" w:space="0" w:color="auto"/>
            <w:right w:val="none" w:sz="0" w:space="0" w:color="auto"/>
          </w:divBdr>
          <w:divsChild>
            <w:div w:id="1529441342">
              <w:marLeft w:val="0"/>
              <w:marRight w:val="0"/>
              <w:marTop w:val="0"/>
              <w:marBottom w:val="0"/>
              <w:divBdr>
                <w:top w:val="none" w:sz="0" w:space="0" w:color="auto"/>
                <w:left w:val="none" w:sz="0" w:space="0" w:color="auto"/>
                <w:bottom w:val="none" w:sz="0" w:space="0" w:color="auto"/>
                <w:right w:val="none" w:sz="0" w:space="0" w:color="auto"/>
              </w:divBdr>
            </w:div>
          </w:divsChild>
        </w:div>
        <w:div w:id="667556608">
          <w:marLeft w:val="0"/>
          <w:marRight w:val="0"/>
          <w:marTop w:val="0"/>
          <w:marBottom w:val="0"/>
          <w:divBdr>
            <w:top w:val="none" w:sz="0" w:space="0" w:color="auto"/>
            <w:left w:val="none" w:sz="0" w:space="0" w:color="auto"/>
            <w:bottom w:val="none" w:sz="0" w:space="0" w:color="auto"/>
            <w:right w:val="none" w:sz="0" w:space="0" w:color="auto"/>
          </w:divBdr>
          <w:divsChild>
            <w:div w:id="178472499">
              <w:marLeft w:val="0"/>
              <w:marRight w:val="0"/>
              <w:marTop w:val="0"/>
              <w:marBottom w:val="0"/>
              <w:divBdr>
                <w:top w:val="none" w:sz="0" w:space="0" w:color="auto"/>
                <w:left w:val="none" w:sz="0" w:space="0" w:color="auto"/>
                <w:bottom w:val="none" w:sz="0" w:space="0" w:color="auto"/>
                <w:right w:val="none" w:sz="0" w:space="0" w:color="auto"/>
              </w:divBdr>
            </w:div>
          </w:divsChild>
        </w:div>
        <w:div w:id="674453664">
          <w:marLeft w:val="0"/>
          <w:marRight w:val="0"/>
          <w:marTop w:val="0"/>
          <w:marBottom w:val="0"/>
          <w:divBdr>
            <w:top w:val="none" w:sz="0" w:space="0" w:color="auto"/>
            <w:left w:val="none" w:sz="0" w:space="0" w:color="auto"/>
            <w:bottom w:val="none" w:sz="0" w:space="0" w:color="auto"/>
            <w:right w:val="none" w:sz="0" w:space="0" w:color="auto"/>
          </w:divBdr>
          <w:divsChild>
            <w:div w:id="1231424000">
              <w:marLeft w:val="0"/>
              <w:marRight w:val="0"/>
              <w:marTop w:val="0"/>
              <w:marBottom w:val="0"/>
              <w:divBdr>
                <w:top w:val="none" w:sz="0" w:space="0" w:color="auto"/>
                <w:left w:val="none" w:sz="0" w:space="0" w:color="auto"/>
                <w:bottom w:val="none" w:sz="0" w:space="0" w:color="auto"/>
                <w:right w:val="none" w:sz="0" w:space="0" w:color="auto"/>
              </w:divBdr>
            </w:div>
          </w:divsChild>
        </w:div>
        <w:div w:id="690881559">
          <w:marLeft w:val="0"/>
          <w:marRight w:val="0"/>
          <w:marTop w:val="0"/>
          <w:marBottom w:val="0"/>
          <w:divBdr>
            <w:top w:val="none" w:sz="0" w:space="0" w:color="auto"/>
            <w:left w:val="none" w:sz="0" w:space="0" w:color="auto"/>
            <w:bottom w:val="none" w:sz="0" w:space="0" w:color="auto"/>
            <w:right w:val="none" w:sz="0" w:space="0" w:color="auto"/>
          </w:divBdr>
          <w:divsChild>
            <w:div w:id="713308245">
              <w:marLeft w:val="0"/>
              <w:marRight w:val="0"/>
              <w:marTop w:val="0"/>
              <w:marBottom w:val="0"/>
              <w:divBdr>
                <w:top w:val="none" w:sz="0" w:space="0" w:color="auto"/>
                <w:left w:val="none" w:sz="0" w:space="0" w:color="auto"/>
                <w:bottom w:val="none" w:sz="0" w:space="0" w:color="auto"/>
                <w:right w:val="none" w:sz="0" w:space="0" w:color="auto"/>
              </w:divBdr>
            </w:div>
          </w:divsChild>
        </w:div>
        <w:div w:id="699278749">
          <w:marLeft w:val="0"/>
          <w:marRight w:val="0"/>
          <w:marTop w:val="0"/>
          <w:marBottom w:val="0"/>
          <w:divBdr>
            <w:top w:val="none" w:sz="0" w:space="0" w:color="auto"/>
            <w:left w:val="none" w:sz="0" w:space="0" w:color="auto"/>
            <w:bottom w:val="none" w:sz="0" w:space="0" w:color="auto"/>
            <w:right w:val="none" w:sz="0" w:space="0" w:color="auto"/>
          </w:divBdr>
          <w:divsChild>
            <w:div w:id="202982789">
              <w:marLeft w:val="0"/>
              <w:marRight w:val="0"/>
              <w:marTop w:val="0"/>
              <w:marBottom w:val="0"/>
              <w:divBdr>
                <w:top w:val="none" w:sz="0" w:space="0" w:color="auto"/>
                <w:left w:val="none" w:sz="0" w:space="0" w:color="auto"/>
                <w:bottom w:val="none" w:sz="0" w:space="0" w:color="auto"/>
                <w:right w:val="none" w:sz="0" w:space="0" w:color="auto"/>
              </w:divBdr>
            </w:div>
          </w:divsChild>
        </w:div>
        <w:div w:id="747768471">
          <w:marLeft w:val="0"/>
          <w:marRight w:val="0"/>
          <w:marTop w:val="0"/>
          <w:marBottom w:val="0"/>
          <w:divBdr>
            <w:top w:val="none" w:sz="0" w:space="0" w:color="auto"/>
            <w:left w:val="none" w:sz="0" w:space="0" w:color="auto"/>
            <w:bottom w:val="none" w:sz="0" w:space="0" w:color="auto"/>
            <w:right w:val="none" w:sz="0" w:space="0" w:color="auto"/>
          </w:divBdr>
          <w:divsChild>
            <w:div w:id="1219363037">
              <w:marLeft w:val="0"/>
              <w:marRight w:val="0"/>
              <w:marTop w:val="0"/>
              <w:marBottom w:val="0"/>
              <w:divBdr>
                <w:top w:val="none" w:sz="0" w:space="0" w:color="auto"/>
                <w:left w:val="none" w:sz="0" w:space="0" w:color="auto"/>
                <w:bottom w:val="none" w:sz="0" w:space="0" w:color="auto"/>
                <w:right w:val="none" w:sz="0" w:space="0" w:color="auto"/>
              </w:divBdr>
            </w:div>
          </w:divsChild>
        </w:div>
        <w:div w:id="761923139">
          <w:marLeft w:val="0"/>
          <w:marRight w:val="0"/>
          <w:marTop w:val="0"/>
          <w:marBottom w:val="0"/>
          <w:divBdr>
            <w:top w:val="none" w:sz="0" w:space="0" w:color="auto"/>
            <w:left w:val="none" w:sz="0" w:space="0" w:color="auto"/>
            <w:bottom w:val="none" w:sz="0" w:space="0" w:color="auto"/>
            <w:right w:val="none" w:sz="0" w:space="0" w:color="auto"/>
          </w:divBdr>
          <w:divsChild>
            <w:div w:id="342098852">
              <w:marLeft w:val="0"/>
              <w:marRight w:val="0"/>
              <w:marTop w:val="0"/>
              <w:marBottom w:val="0"/>
              <w:divBdr>
                <w:top w:val="none" w:sz="0" w:space="0" w:color="auto"/>
                <w:left w:val="none" w:sz="0" w:space="0" w:color="auto"/>
                <w:bottom w:val="none" w:sz="0" w:space="0" w:color="auto"/>
                <w:right w:val="none" w:sz="0" w:space="0" w:color="auto"/>
              </w:divBdr>
            </w:div>
          </w:divsChild>
        </w:div>
        <w:div w:id="780147626">
          <w:marLeft w:val="0"/>
          <w:marRight w:val="0"/>
          <w:marTop w:val="0"/>
          <w:marBottom w:val="0"/>
          <w:divBdr>
            <w:top w:val="none" w:sz="0" w:space="0" w:color="auto"/>
            <w:left w:val="none" w:sz="0" w:space="0" w:color="auto"/>
            <w:bottom w:val="none" w:sz="0" w:space="0" w:color="auto"/>
            <w:right w:val="none" w:sz="0" w:space="0" w:color="auto"/>
          </w:divBdr>
          <w:divsChild>
            <w:div w:id="435909951">
              <w:marLeft w:val="0"/>
              <w:marRight w:val="0"/>
              <w:marTop w:val="0"/>
              <w:marBottom w:val="0"/>
              <w:divBdr>
                <w:top w:val="none" w:sz="0" w:space="0" w:color="auto"/>
                <w:left w:val="none" w:sz="0" w:space="0" w:color="auto"/>
                <w:bottom w:val="none" w:sz="0" w:space="0" w:color="auto"/>
                <w:right w:val="none" w:sz="0" w:space="0" w:color="auto"/>
              </w:divBdr>
            </w:div>
          </w:divsChild>
        </w:div>
        <w:div w:id="785544019">
          <w:marLeft w:val="0"/>
          <w:marRight w:val="0"/>
          <w:marTop w:val="0"/>
          <w:marBottom w:val="0"/>
          <w:divBdr>
            <w:top w:val="none" w:sz="0" w:space="0" w:color="auto"/>
            <w:left w:val="none" w:sz="0" w:space="0" w:color="auto"/>
            <w:bottom w:val="none" w:sz="0" w:space="0" w:color="auto"/>
            <w:right w:val="none" w:sz="0" w:space="0" w:color="auto"/>
          </w:divBdr>
          <w:divsChild>
            <w:div w:id="139423419">
              <w:marLeft w:val="0"/>
              <w:marRight w:val="0"/>
              <w:marTop w:val="0"/>
              <w:marBottom w:val="0"/>
              <w:divBdr>
                <w:top w:val="none" w:sz="0" w:space="0" w:color="auto"/>
                <w:left w:val="none" w:sz="0" w:space="0" w:color="auto"/>
                <w:bottom w:val="none" w:sz="0" w:space="0" w:color="auto"/>
                <w:right w:val="none" w:sz="0" w:space="0" w:color="auto"/>
              </w:divBdr>
            </w:div>
          </w:divsChild>
        </w:div>
        <w:div w:id="808549629">
          <w:marLeft w:val="0"/>
          <w:marRight w:val="0"/>
          <w:marTop w:val="0"/>
          <w:marBottom w:val="0"/>
          <w:divBdr>
            <w:top w:val="none" w:sz="0" w:space="0" w:color="auto"/>
            <w:left w:val="none" w:sz="0" w:space="0" w:color="auto"/>
            <w:bottom w:val="none" w:sz="0" w:space="0" w:color="auto"/>
            <w:right w:val="none" w:sz="0" w:space="0" w:color="auto"/>
          </w:divBdr>
          <w:divsChild>
            <w:div w:id="882595477">
              <w:marLeft w:val="0"/>
              <w:marRight w:val="0"/>
              <w:marTop w:val="0"/>
              <w:marBottom w:val="0"/>
              <w:divBdr>
                <w:top w:val="none" w:sz="0" w:space="0" w:color="auto"/>
                <w:left w:val="none" w:sz="0" w:space="0" w:color="auto"/>
                <w:bottom w:val="none" w:sz="0" w:space="0" w:color="auto"/>
                <w:right w:val="none" w:sz="0" w:space="0" w:color="auto"/>
              </w:divBdr>
            </w:div>
          </w:divsChild>
        </w:div>
        <w:div w:id="875892390">
          <w:marLeft w:val="0"/>
          <w:marRight w:val="0"/>
          <w:marTop w:val="0"/>
          <w:marBottom w:val="0"/>
          <w:divBdr>
            <w:top w:val="none" w:sz="0" w:space="0" w:color="auto"/>
            <w:left w:val="none" w:sz="0" w:space="0" w:color="auto"/>
            <w:bottom w:val="none" w:sz="0" w:space="0" w:color="auto"/>
            <w:right w:val="none" w:sz="0" w:space="0" w:color="auto"/>
          </w:divBdr>
          <w:divsChild>
            <w:div w:id="948851989">
              <w:marLeft w:val="0"/>
              <w:marRight w:val="0"/>
              <w:marTop w:val="0"/>
              <w:marBottom w:val="0"/>
              <w:divBdr>
                <w:top w:val="none" w:sz="0" w:space="0" w:color="auto"/>
                <w:left w:val="none" w:sz="0" w:space="0" w:color="auto"/>
                <w:bottom w:val="none" w:sz="0" w:space="0" w:color="auto"/>
                <w:right w:val="none" w:sz="0" w:space="0" w:color="auto"/>
              </w:divBdr>
            </w:div>
          </w:divsChild>
        </w:div>
        <w:div w:id="904099440">
          <w:marLeft w:val="0"/>
          <w:marRight w:val="0"/>
          <w:marTop w:val="0"/>
          <w:marBottom w:val="0"/>
          <w:divBdr>
            <w:top w:val="none" w:sz="0" w:space="0" w:color="auto"/>
            <w:left w:val="none" w:sz="0" w:space="0" w:color="auto"/>
            <w:bottom w:val="none" w:sz="0" w:space="0" w:color="auto"/>
            <w:right w:val="none" w:sz="0" w:space="0" w:color="auto"/>
          </w:divBdr>
          <w:divsChild>
            <w:div w:id="871651846">
              <w:marLeft w:val="0"/>
              <w:marRight w:val="0"/>
              <w:marTop w:val="0"/>
              <w:marBottom w:val="0"/>
              <w:divBdr>
                <w:top w:val="none" w:sz="0" w:space="0" w:color="auto"/>
                <w:left w:val="none" w:sz="0" w:space="0" w:color="auto"/>
                <w:bottom w:val="none" w:sz="0" w:space="0" w:color="auto"/>
                <w:right w:val="none" w:sz="0" w:space="0" w:color="auto"/>
              </w:divBdr>
            </w:div>
          </w:divsChild>
        </w:div>
        <w:div w:id="943461373">
          <w:marLeft w:val="0"/>
          <w:marRight w:val="0"/>
          <w:marTop w:val="0"/>
          <w:marBottom w:val="0"/>
          <w:divBdr>
            <w:top w:val="none" w:sz="0" w:space="0" w:color="auto"/>
            <w:left w:val="none" w:sz="0" w:space="0" w:color="auto"/>
            <w:bottom w:val="none" w:sz="0" w:space="0" w:color="auto"/>
            <w:right w:val="none" w:sz="0" w:space="0" w:color="auto"/>
          </w:divBdr>
          <w:divsChild>
            <w:div w:id="883063284">
              <w:marLeft w:val="0"/>
              <w:marRight w:val="0"/>
              <w:marTop w:val="0"/>
              <w:marBottom w:val="0"/>
              <w:divBdr>
                <w:top w:val="none" w:sz="0" w:space="0" w:color="auto"/>
                <w:left w:val="none" w:sz="0" w:space="0" w:color="auto"/>
                <w:bottom w:val="none" w:sz="0" w:space="0" w:color="auto"/>
                <w:right w:val="none" w:sz="0" w:space="0" w:color="auto"/>
              </w:divBdr>
            </w:div>
          </w:divsChild>
        </w:div>
        <w:div w:id="961420391">
          <w:marLeft w:val="0"/>
          <w:marRight w:val="0"/>
          <w:marTop w:val="0"/>
          <w:marBottom w:val="0"/>
          <w:divBdr>
            <w:top w:val="none" w:sz="0" w:space="0" w:color="auto"/>
            <w:left w:val="none" w:sz="0" w:space="0" w:color="auto"/>
            <w:bottom w:val="none" w:sz="0" w:space="0" w:color="auto"/>
            <w:right w:val="none" w:sz="0" w:space="0" w:color="auto"/>
          </w:divBdr>
          <w:divsChild>
            <w:div w:id="409739194">
              <w:marLeft w:val="0"/>
              <w:marRight w:val="0"/>
              <w:marTop w:val="0"/>
              <w:marBottom w:val="0"/>
              <w:divBdr>
                <w:top w:val="none" w:sz="0" w:space="0" w:color="auto"/>
                <w:left w:val="none" w:sz="0" w:space="0" w:color="auto"/>
                <w:bottom w:val="none" w:sz="0" w:space="0" w:color="auto"/>
                <w:right w:val="none" w:sz="0" w:space="0" w:color="auto"/>
              </w:divBdr>
            </w:div>
          </w:divsChild>
        </w:div>
        <w:div w:id="1014385274">
          <w:marLeft w:val="0"/>
          <w:marRight w:val="0"/>
          <w:marTop w:val="0"/>
          <w:marBottom w:val="0"/>
          <w:divBdr>
            <w:top w:val="none" w:sz="0" w:space="0" w:color="auto"/>
            <w:left w:val="none" w:sz="0" w:space="0" w:color="auto"/>
            <w:bottom w:val="none" w:sz="0" w:space="0" w:color="auto"/>
            <w:right w:val="none" w:sz="0" w:space="0" w:color="auto"/>
          </w:divBdr>
          <w:divsChild>
            <w:div w:id="1493180213">
              <w:marLeft w:val="0"/>
              <w:marRight w:val="0"/>
              <w:marTop w:val="0"/>
              <w:marBottom w:val="0"/>
              <w:divBdr>
                <w:top w:val="none" w:sz="0" w:space="0" w:color="auto"/>
                <w:left w:val="none" w:sz="0" w:space="0" w:color="auto"/>
                <w:bottom w:val="none" w:sz="0" w:space="0" w:color="auto"/>
                <w:right w:val="none" w:sz="0" w:space="0" w:color="auto"/>
              </w:divBdr>
            </w:div>
          </w:divsChild>
        </w:div>
        <w:div w:id="1021661556">
          <w:marLeft w:val="0"/>
          <w:marRight w:val="0"/>
          <w:marTop w:val="0"/>
          <w:marBottom w:val="0"/>
          <w:divBdr>
            <w:top w:val="none" w:sz="0" w:space="0" w:color="auto"/>
            <w:left w:val="none" w:sz="0" w:space="0" w:color="auto"/>
            <w:bottom w:val="none" w:sz="0" w:space="0" w:color="auto"/>
            <w:right w:val="none" w:sz="0" w:space="0" w:color="auto"/>
          </w:divBdr>
          <w:divsChild>
            <w:div w:id="166136187">
              <w:marLeft w:val="0"/>
              <w:marRight w:val="0"/>
              <w:marTop w:val="0"/>
              <w:marBottom w:val="0"/>
              <w:divBdr>
                <w:top w:val="none" w:sz="0" w:space="0" w:color="auto"/>
                <w:left w:val="none" w:sz="0" w:space="0" w:color="auto"/>
                <w:bottom w:val="none" w:sz="0" w:space="0" w:color="auto"/>
                <w:right w:val="none" w:sz="0" w:space="0" w:color="auto"/>
              </w:divBdr>
            </w:div>
          </w:divsChild>
        </w:div>
        <w:div w:id="1069696808">
          <w:marLeft w:val="0"/>
          <w:marRight w:val="0"/>
          <w:marTop w:val="0"/>
          <w:marBottom w:val="0"/>
          <w:divBdr>
            <w:top w:val="none" w:sz="0" w:space="0" w:color="auto"/>
            <w:left w:val="none" w:sz="0" w:space="0" w:color="auto"/>
            <w:bottom w:val="none" w:sz="0" w:space="0" w:color="auto"/>
            <w:right w:val="none" w:sz="0" w:space="0" w:color="auto"/>
          </w:divBdr>
          <w:divsChild>
            <w:div w:id="780959277">
              <w:marLeft w:val="0"/>
              <w:marRight w:val="0"/>
              <w:marTop w:val="0"/>
              <w:marBottom w:val="0"/>
              <w:divBdr>
                <w:top w:val="none" w:sz="0" w:space="0" w:color="auto"/>
                <w:left w:val="none" w:sz="0" w:space="0" w:color="auto"/>
                <w:bottom w:val="none" w:sz="0" w:space="0" w:color="auto"/>
                <w:right w:val="none" w:sz="0" w:space="0" w:color="auto"/>
              </w:divBdr>
            </w:div>
          </w:divsChild>
        </w:div>
        <w:div w:id="1107889065">
          <w:marLeft w:val="0"/>
          <w:marRight w:val="0"/>
          <w:marTop w:val="0"/>
          <w:marBottom w:val="0"/>
          <w:divBdr>
            <w:top w:val="none" w:sz="0" w:space="0" w:color="auto"/>
            <w:left w:val="none" w:sz="0" w:space="0" w:color="auto"/>
            <w:bottom w:val="none" w:sz="0" w:space="0" w:color="auto"/>
            <w:right w:val="none" w:sz="0" w:space="0" w:color="auto"/>
          </w:divBdr>
          <w:divsChild>
            <w:div w:id="686911497">
              <w:marLeft w:val="0"/>
              <w:marRight w:val="0"/>
              <w:marTop w:val="0"/>
              <w:marBottom w:val="0"/>
              <w:divBdr>
                <w:top w:val="none" w:sz="0" w:space="0" w:color="auto"/>
                <w:left w:val="none" w:sz="0" w:space="0" w:color="auto"/>
                <w:bottom w:val="none" w:sz="0" w:space="0" w:color="auto"/>
                <w:right w:val="none" w:sz="0" w:space="0" w:color="auto"/>
              </w:divBdr>
            </w:div>
          </w:divsChild>
        </w:div>
        <w:div w:id="1134979491">
          <w:marLeft w:val="0"/>
          <w:marRight w:val="0"/>
          <w:marTop w:val="0"/>
          <w:marBottom w:val="0"/>
          <w:divBdr>
            <w:top w:val="none" w:sz="0" w:space="0" w:color="auto"/>
            <w:left w:val="none" w:sz="0" w:space="0" w:color="auto"/>
            <w:bottom w:val="none" w:sz="0" w:space="0" w:color="auto"/>
            <w:right w:val="none" w:sz="0" w:space="0" w:color="auto"/>
          </w:divBdr>
          <w:divsChild>
            <w:div w:id="2015723327">
              <w:marLeft w:val="0"/>
              <w:marRight w:val="0"/>
              <w:marTop w:val="0"/>
              <w:marBottom w:val="0"/>
              <w:divBdr>
                <w:top w:val="none" w:sz="0" w:space="0" w:color="auto"/>
                <w:left w:val="none" w:sz="0" w:space="0" w:color="auto"/>
                <w:bottom w:val="none" w:sz="0" w:space="0" w:color="auto"/>
                <w:right w:val="none" w:sz="0" w:space="0" w:color="auto"/>
              </w:divBdr>
            </w:div>
          </w:divsChild>
        </w:div>
        <w:div w:id="1183780409">
          <w:marLeft w:val="0"/>
          <w:marRight w:val="0"/>
          <w:marTop w:val="0"/>
          <w:marBottom w:val="0"/>
          <w:divBdr>
            <w:top w:val="none" w:sz="0" w:space="0" w:color="auto"/>
            <w:left w:val="none" w:sz="0" w:space="0" w:color="auto"/>
            <w:bottom w:val="none" w:sz="0" w:space="0" w:color="auto"/>
            <w:right w:val="none" w:sz="0" w:space="0" w:color="auto"/>
          </w:divBdr>
          <w:divsChild>
            <w:div w:id="147671237">
              <w:marLeft w:val="0"/>
              <w:marRight w:val="0"/>
              <w:marTop w:val="0"/>
              <w:marBottom w:val="0"/>
              <w:divBdr>
                <w:top w:val="none" w:sz="0" w:space="0" w:color="auto"/>
                <w:left w:val="none" w:sz="0" w:space="0" w:color="auto"/>
                <w:bottom w:val="none" w:sz="0" w:space="0" w:color="auto"/>
                <w:right w:val="none" w:sz="0" w:space="0" w:color="auto"/>
              </w:divBdr>
            </w:div>
          </w:divsChild>
        </w:div>
        <w:div w:id="1185244566">
          <w:marLeft w:val="0"/>
          <w:marRight w:val="0"/>
          <w:marTop w:val="0"/>
          <w:marBottom w:val="0"/>
          <w:divBdr>
            <w:top w:val="none" w:sz="0" w:space="0" w:color="auto"/>
            <w:left w:val="none" w:sz="0" w:space="0" w:color="auto"/>
            <w:bottom w:val="none" w:sz="0" w:space="0" w:color="auto"/>
            <w:right w:val="none" w:sz="0" w:space="0" w:color="auto"/>
          </w:divBdr>
          <w:divsChild>
            <w:div w:id="2039159808">
              <w:marLeft w:val="0"/>
              <w:marRight w:val="0"/>
              <w:marTop w:val="0"/>
              <w:marBottom w:val="0"/>
              <w:divBdr>
                <w:top w:val="none" w:sz="0" w:space="0" w:color="auto"/>
                <w:left w:val="none" w:sz="0" w:space="0" w:color="auto"/>
                <w:bottom w:val="none" w:sz="0" w:space="0" w:color="auto"/>
                <w:right w:val="none" w:sz="0" w:space="0" w:color="auto"/>
              </w:divBdr>
            </w:div>
          </w:divsChild>
        </w:div>
        <w:div w:id="1199124353">
          <w:marLeft w:val="0"/>
          <w:marRight w:val="0"/>
          <w:marTop w:val="0"/>
          <w:marBottom w:val="0"/>
          <w:divBdr>
            <w:top w:val="none" w:sz="0" w:space="0" w:color="auto"/>
            <w:left w:val="none" w:sz="0" w:space="0" w:color="auto"/>
            <w:bottom w:val="none" w:sz="0" w:space="0" w:color="auto"/>
            <w:right w:val="none" w:sz="0" w:space="0" w:color="auto"/>
          </w:divBdr>
          <w:divsChild>
            <w:div w:id="1079716548">
              <w:marLeft w:val="0"/>
              <w:marRight w:val="0"/>
              <w:marTop w:val="0"/>
              <w:marBottom w:val="0"/>
              <w:divBdr>
                <w:top w:val="none" w:sz="0" w:space="0" w:color="auto"/>
                <w:left w:val="none" w:sz="0" w:space="0" w:color="auto"/>
                <w:bottom w:val="none" w:sz="0" w:space="0" w:color="auto"/>
                <w:right w:val="none" w:sz="0" w:space="0" w:color="auto"/>
              </w:divBdr>
            </w:div>
          </w:divsChild>
        </w:div>
        <w:div w:id="1222667818">
          <w:marLeft w:val="0"/>
          <w:marRight w:val="0"/>
          <w:marTop w:val="0"/>
          <w:marBottom w:val="0"/>
          <w:divBdr>
            <w:top w:val="none" w:sz="0" w:space="0" w:color="auto"/>
            <w:left w:val="none" w:sz="0" w:space="0" w:color="auto"/>
            <w:bottom w:val="none" w:sz="0" w:space="0" w:color="auto"/>
            <w:right w:val="none" w:sz="0" w:space="0" w:color="auto"/>
          </w:divBdr>
          <w:divsChild>
            <w:div w:id="1138113045">
              <w:marLeft w:val="0"/>
              <w:marRight w:val="0"/>
              <w:marTop w:val="0"/>
              <w:marBottom w:val="0"/>
              <w:divBdr>
                <w:top w:val="none" w:sz="0" w:space="0" w:color="auto"/>
                <w:left w:val="none" w:sz="0" w:space="0" w:color="auto"/>
                <w:bottom w:val="none" w:sz="0" w:space="0" w:color="auto"/>
                <w:right w:val="none" w:sz="0" w:space="0" w:color="auto"/>
              </w:divBdr>
            </w:div>
          </w:divsChild>
        </w:div>
        <w:div w:id="1235120198">
          <w:marLeft w:val="0"/>
          <w:marRight w:val="0"/>
          <w:marTop w:val="0"/>
          <w:marBottom w:val="0"/>
          <w:divBdr>
            <w:top w:val="none" w:sz="0" w:space="0" w:color="auto"/>
            <w:left w:val="none" w:sz="0" w:space="0" w:color="auto"/>
            <w:bottom w:val="none" w:sz="0" w:space="0" w:color="auto"/>
            <w:right w:val="none" w:sz="0" w:space="0" w:color="auto"/>
          </w:divBdr>
          <w:divsChild>
            <w:div w:id="1450319949">
              <w:marLeft w:val="0"/>
              <w:marRight w:val="0"/>
              <w:marTop w:val="0"/>
              <w:marBottom w:val="0"/>
              <w:divBdr>
                <w:top w:val="none" w:sz="0" w:space="0" w:color="auto"/>
                <w:left w:val="none" w:sz="0" w:space="0" w:color="auto"/>
                <w:bottom w:val="none" w:sz="0" w:space="0" w:color="auto"/>
                <w:right w:val="none" w:sz="0" w:space="0" w:color="auto"/>
              </w:divBdr>
            </w:div>
          </w:divsChild>
        </w:div>
        <w:div w:id="1240477677">
          <w:marLeft w:val="0"/>
          <w:marRight w:val="0"/>
          <w:marTop w:val="0"/>
          <w:marBottom w:val="0"/>
          <w:divBdr>
            <w:top w:val="none" w:sz="0" w:space="0" w:color="auto"/>
            <w:left w:val="none" w:sz="0" w:space="0" w:color="auto"/>
            <w:bottom w:val="none" w:sz="0" w:space="0" w:color="auto"/>
            <w:right w:val="none" w:sz="0" w:space="0" w:color="auto"/>
          </w:divBdr>
          <w:divsChild>
            <w:div w:id="1548565954">
              <w:marLeft w:val="0"/>
              <w:marRight w:val="0"/>
              <w:marTop w:val="0"/>
              <w:marBottom w:val="0"/>
              <w:divBdr>
                <w:top w:val="none" w:sz="0" w:space="0" w:color="auto"/>
                <w:left w:val="none" w:sz="0" w:space="0" w:color="auto"/>
                <w:bottom w:val="none" w:sz="0" w:space="0" w:color="auto"/>
                <w:right w:val="none" w:sz="0" w:space="0" w:color="auto"/>
              </w:divBdr>
            </w:div>
          </w:divsChild>
        </w:div>
        <w:div w:id="1245794749">
          <w:marLeft w:val="0"/>
          <w:marRight w:val="0"/>
          <w:marTop w:val="0"/>
          <w:marBottom w:val="0"/>
          <w:divBdr>
            <w:top w:val="none" w:sz="0" w:space="0" w:color="auto"/>
            <w:left w:val="none" w:sz="0" w:space="0" w:color="auto"/>
            <w:bottom w:val="none" w:sz="0" w:space="0" w:color="auto"/>
            <w:right w:val="none" w:sz="0" w:space="0" w:color="auto"/>
          </w:divBdr>
          <w:divsChild>
            <w:div w:id="1890990212">
              <w:marLeft w:val="0"/>
              <w:marRight w:val="0"/>
              <w:marTop w:val="0"/>
              <w:marBottom w:val="0"/>
              <w:divBdr>
                <w:top w:val="none" w:sz="0" w:space="0" w:color="auto"/>
                <w:left w:val="none" w:sz="0" w:space="0" w:color="auto"/>
                <w:bottom w:val="none" w:sz="0" w:space="0" w:color="auto"/>
                <w:right w:val="none" w:sz="0" w:space="0" w:color="auto"/>
              </w:divBdr>
            </w:div>
          </w:divsChild>
        </w:div>
        <w:div w:id="1248345286">
          <w:marLeft w:val="0"/>
          <w:marRight w:val="0"/>
          <w:marTop w:val="0"/>
          <w:marBottom w:val="0"/>
          <w:divBdr>
            <w:top w:val="none" w:sz="0" w:space="0" w:color="auto"/>
            <w:left w:val="none" w:sz="0" w:space="0" w:color="auto"/>
            <w:bottom w:val="none" w:sz="0" w:space="0" w:color="auto"/>
            <w:right w:val="none" w:sz="0" w:space="0" w:color="auto"/>
          </w:divBdr>
          <w:divsChild>
            <w:div w:id="1173691226">
              <w:marLeft w:val="0"/>
              <w:marRight w:val="0"/>
              <w:marTop w:val="0"/>
              <w:marBottom w:val="0"/>
              <w:divBdr>
                <w:top w:val="none" w:sz="0" w:space="0" w:color="auto"/>
                <w:left w:val="none" w:sz="0" w:space="0" w:color="auto"/>
                <w:bottom w:val="none" w:sz="0" w:space="0" w:color="auto"/>
                <w:right w:val="none" w:sz="0" w:space="0" w:color="auto"/>
              </w:divBdr>
            </w:div>
          </w:divsChild>
        </w:div>
        <w:div w:id="1248998766">
          <w:marLeft w:val="0"/>
          <w:marRight w:val="0"/>
          <w:marTop w:val="0"/>
          <w:marBottom w:val="0"/>
          <w:divBdr>
            <w:top w:val="none" w:sz="0" w:space="0" w:color="auto"/>
            <w:left w:val="none" w:sz="0" w:space="0" w:color="auto"/>
            <w:bottom w:val="none" w:sz="0" w:space="0" w:color="auto"/>
            <w:right w:val="none" w:sz="0" w:space="0" w:color="auto"/>
          </w:divBdr>
          <w:divsChild>
            <w:div w:id="188766029">
              <w:marLeft w:val="0"/>
              <w:marRight w:val="0"/>
              <w:marTop w:val="0"/>
              <w:marBottom w:val="0"/>
              <w:divBdr>
                <w:top w:val="none" w:sz="0" w:space="0" w:color="auto"/>
                <w:left w:val="none" w:sz="0" w:space="0" w:color="auto"/>
                <w:bottom w:val="none" w:sz="0" w:space="0" w:color="auto"/>
                <w:right w:val="none" w:sz="0" w:space="0" w:color="auto"/>
              </w:divBdr>
            </w:div>
          </w:divsChild>
        </w:div>
        <w:div w:id="1272400077">
          <w:marLeft w:val="0"/>
          <w:marRight w:val="0"/>
          <w:marTop w:val="0"/>
          <w:marBottom w:val="0"/>
          <w:divBdr>
            <w:top w:val="none" w:sz="0" w:space="0" w:color="auto"/>
            <w:left w:val="none" w:sz="0" w:space="0" w:color="auto"/>
            <w:bottom w:val="none" w:sz="0" w:space="0" w:color="auto"/>
            <w:right w:val="none" w:sz="0" w:space="0" w:color="auto"/>
          </w:divBdr>
          <w:divsChild>
            <w:div w:id="391735605">
              <w:marLeft w:val="0"/>
              <w:marRight w:val="0"/>
              <w:marTop w:val="0"/>
              <w:marBottom w:val="0"/>
              <w:divBdr>
                <w:top w:val="none" w:sz="0" w:space="0" w:color="auto"/>
                <w:left w:val="none" w:sz="0" w:space="0" w:color="auto"/>
                <w:bottom w:val="none" w:sz="0" w:space="0" w:color="auto"/>
                <w:right w:val="none" w:sz="0" w:space="0" w:color="auto"/>
              </w:divBdr>
            </w:div>
            <w:div w:id="2133475987">
              <w:marLeft w:val="0"/>
              <w:marRight w:val="0"/>
              <w:marTop w:val="0"/>
              <w:marBottom w:val="0"/>
              <w:divBdr>
                <w:top w:val="none" w:sz="0" w:space="0" w:color="auto"/>
                <w:left w:val="none" w:sz="0" w:space="0" w:color="auto"/>
                <w:bottom w:val="none" w:sz="0" w:space="0" w:color="auto"/>
                <w:right w:val="none" w:sz="0" w:space="0" w:color="auto"/>
              </w:divBdr>
            </w:div>
          </w:divsChild>
        </w:div>
        <w:div w:id="1286547427">
          <w:marLeft w:val="0"/>
          <w:marRight w:val="0"/>
          <w:marTop w:val="0"/>
          <w:marBottom w:val="0"/>
          <w:divBdr>
            <w:top w:val="none" w:sz="0" w:space="0" w:color="auto"/>
            <w:left w:val="none" w:sz="0" w:space="0" w:color="auto"/>
            <w:bottom w:val="none" w:sz="0" w:space="0" w:color="auto"/>
            <w:right w:val="none" w:sz="0" w:space="0" w:color="auto"/>
          </w:divBdr>
          <w:divsChild>
            <w:div w:id="283512074">
              <w:marLeft w:val="0"/>
              <w:marRight w:val="0"/>
              <w:marTop w:val="0"/>
              <w:marBottom w:val="0"/>
              <w:divBdr>
                <w:top w:val="none" w:sz="0" w:space="0" w:color="auto"/>
                <w:left w:val="none" w:sz="0" w:space="0" w:color="auto"/>
                <w:bottom w:val="none" w:sz="0" w:space="0" w:color="auto"/>
                <w:right w:val="none" w:sz="0" w:space="0" w:color="auto"/>
              </w:divBdr>
            </w:div>
          </w:divsChild>
        </w:div>
        <w:div w:id="1297879285">
          <w:marLeft w:val="0"/>
          <w:marRight w:val="0"/>
          <w:marTop w:val="0"/>
          <w:marBottom w:val="0"/>
          <w:divBdr>
            <w:top w:val="none" w:sz="0" w:space="0" w:color="auto"/>
            <w:left w:val="none" w:sz="0" w:space="0" w:color="auto"/>
            <w:bottom w:val="none" w:sz="0" w:space="0" w:color="auto"/>
            <w:right w:val="none" w:sz="0" w:space="0" w:color="auto"/>
          </w:divBdr>
          <w:divsChild>
            <w:div w:id="6442145">
              <w:marLeft w:val="0"/>
              <w:marRight w:val="0"/>
              <w:marTop w:val="0"/>
              <w:marBottom w:val="0"/>
              <w:divBdr>
                <w:top w:val="none" w:sz="0" w:space="0" w:color="auto"/>
                <w:left w:val="none" w:sz="0" w:space="0" w:color="auto"/>
                <w:bottom w:val="none" w:sz="0" w:space="0" w:color="auto"/>
                <w:right w:val="none" w:sz="0" w:space="0" w:color="auto"/>
              </w:divBdr>
            </w:div>
          </w:divsChild>
        </w:div>
        <w:div w:id="1299802885">
          <w:marLeft w:val="0"/>
          <w:marRight w:val="0"/>
          <w:marTop w:val="0"/>
          <w:marBottom w:val="0"/>
          <w:divBdr>
            <w:top w:val="none" w:sz="0" w:space="0" w:color="auto"/>
            <w:left w:val="none" w:sz="0" w:space="0" w:color="auto"/>
            <w:bottom w:val="none" w:sz="0" w:space="0" w:color="auto"/>
            <w:right w:val="none" w:sz="0" w:space="0" w:color="auto"/>
          </w:divBdr>
          <w:divsChild>
            <w:div w:id="1528180511">
              <w:marLeft w:val="0"/>
              <w:marRight w:val="0"/>
              <w:marTop w:val="0"/>
              <w:marBottom w:val="0"/>
              <w:divBdr>
                <w:top w:val="none" w:sz="0" w:space="0" w:color="auto"/>
                <w:left w:val="none" w:sz="0" w:space="0" w:color="auto"/>
                <w:bottom w:val="none" w:sz="0" w:space="0" w:color="auto"/>
                <w:right w:val="none" w:sz="0" w:space="0" w:color="auto"/>
              </w:divBdr>
            </w:div>
          </w:divsChild>
        </w:div>
        <w:div w:id="1356269063">
          <w:marLeft w:val="0"/>
          <w:marRight w:val="0"/>
          <w:marTop w:val="0"/>
          <w:marBottom w:val="0"/>
          <w:divBdr>
            <w:top w:val="none" w:sz="0" w:space="0" w:color="auto"/>
            <w:left w:val="none" w:sz="0" w:space="0" w:color="auto"/>
            <w:bottom w:val="none" w:sz="0" w:space="0" w:color="auto"/>
            <w:right w:val="none" w:sz="0" w:space="0" w:color="auto"/>
          </w:divBdr>
          <w:divsChild>
            <w:div w:id="626854771">
              <w:marLeft w:val="0"/>
              <w:marRight w:val="0"/>
              <w:marTop w:val="0"/>
              <w:marBottom w:val="0"/>
              <w:divBdr>
                <w:top w:val="none" w:sz="0" w:space="0" w:color="auto"/>
                <w:left w:val="none" w:sz="0" w:space="0" w:color="auto"/>
                <w:bottom w:val="none" w:sz="0" w:space="0" w:color="auto"/>
                <w:right w:val="none" w:sz="0" w:space="0" w:color="auto"/>
              </w:divBdr>
            </w:div>
          </w:divsChild>
        </w:div>
        <w:div w:id="1393380918">
          <w:marLeft w:val="0"/>
          <w:marRight w:val="0"/>
          <w:marTop w:val="0"/>
          <w:marBottom w:val="0"/>
          <w:divBdr>
            <w:top w:val="none" w:sz="0" w:space="0" w:color="auto"/>
            <w:left w:val="none" w:sz="0" w:space="0" w:color="auto"/>
            <w:bottom w:val="none" w:sz="0" w:space="0" w:color="auto"/>
            <w:right w:val="none" w:sz="0" w:space="0" w:color="auto"/>
          </w:divBdr>
          <w:divsChild>
            <w:div w:id="1633091689">
              <w:marLeft w:val="0"/>
              <w:marRight w:val="0"/>
              <w:marTop w:val="0"/>
              <w:marBottom w:val="0"/>
              <w:divBdr>
                <w:top w:val="none" w:sz="0" w:space="0" w:color="auto"/>
                <w:left w:val="none" w:sz="0" w:space="0" w:color="auto"/>
                <w:bottom w:val="none" w:sz="0" w:space="0" w:color="auto"/>
                <w:right w:val="none" w:sz="0" w:space="0" w:color="auto"/>
              </w:divBdr>
            </w:div>
          </w:divsChild>
        </w:div>
        <w:div w:id="1400130923">
          <w:marLeft w:val="0"/>
          <w:marRight w:val="0"/>
          <w:marTop w:val="0"/>
          <w:marBottom w:val="0"/>
          <w:divBdr>
            <w:top w:val="none" w:sz="0" w:space="0" w:color="auto"/>
            <w:left w:val="none" w:sz="0" w:space="0" w:color="auto"/>
            <w:bottom w:val="none" w:sz="0" w:space="0" w:color="auto"/>
            <w:right w:val="none" w:sz="0" w:space="0" w:color="auto"/>
          </w:divBdr>
          <w:divsChild>
            <w:div w:id="466820073">
              <w:marLeft w:val="0"/>
              <w:marRight w:val="0"/>
              <w:marTop w:val="0"/>
              <w:marBottom w:val="0"/>
              <w:divBdr>
                <w:top w:val="none" w:sz="0" w:space="0" w:color="auto"/>
                <w:left w:val="none" w:sz="0" w:space="0" w:color="auto"/>
                <w:bottom w:val="none" w:sz="0" w:space="0" w:color="auto"/>
                <w:right w:val="none" w:sz="0" w:space="0" w:color="auto"/>
              </w:divBdr>
            </w:div>
          </w:divsChild>
        </w:div>
        <w:div w:id="1502240148">
          <w:marLeft w:val="0"/>
          <w:marRight w:val="0"/>
          <w:marTop w:val="0"/>
          <w:marBottom w:val="0"/>
          <w:divBdr>
            <w:top w:val="none" w:sz="0" w:space="0" w:color="auto"/>
            <w:left w:val="none" w:sz="0" w:space="0" w:color="auto"/>
            <w:bottom w:val="none" w:sz="0" w:space="0" w:color="auto"/>
            <w:right w:val="none" w:sz="0" w:space="0" w:color="auto"/>
          </w:divBdr>
          <w:divsChild>
            <w:div w:id="1307932172">
              <w:marLeft w:val="0"/>
              <w:marRight w:val="0"/>
              <w:marTop w:val="0"/>
              <w:marBottom w:val="0"/>
              <w:divBdr>
                <w:top w:val="none" w:sz="0" w:space="0" w:color="auto"/>
                <w:left w:val="none" w:sz="0" w:space="0" w:color="auto"/>
                <w:bottom w:val="none" w:sz="0" w:space="0" w:color="auto"/>
                <w:right w:val="none" w:sz="0" w:space="0" w:color="auto"/>
              </w:divBdr>
            </w:div>
          </w:divsChild>
        </w:div>
        <w:div w:id="1530097161">
          <w:marLeft w:val="0"/>
          <w:marRight w:val="0"/>
          <w:marTop w:val="0"/>
          <w:marBottom w:val="0"/>
          <w:divBdr>
            <w:top w:val="none" w:sz="0" w:space="0" w:color="auto"/>
            <w:left w:val="none" w:sz="0" w:space="0" w:color="auto"/>
            <w:bottom w:val="none" w:sz="0" w:space="0" w:color="auto"/>
            <w:right w:val="none" w:sz="0" w:space="0" w:color="auto"/>
          </w:divBdr>
          <w:divsChild>
            <w:div w:id="2086685680">
              <w:marLeft w:val="0"/>
              <w:marRight w:val="0"/>
              <w:marTop w:val="0"/>
              <w:marBottom w:val="0"/>
              <w:divBdr>
                <w:top w:val="none" w:sz="0" w:space="0" w:color="auto"/>
                <w:left w:val="none" w:sz="0" w:space="0" w:color="auto"/>
                <w:bottom w:val="none" w:sz="0" w:space="0" w:color="auto"/>
                <w:right w:val="none" w:sz="0" w:space="0" w:color="auto"/>
              </w:divBdr>
            </w:div>
          </w:divsChild>
        </w:div>
        <w:div w:id="1530559279">
          <w:marLeft w:val="0"/>
          <w:marRight w:val="0"/>
          <w:marTop w:val="0"/>
          <w:marBottom w:val="0"/>
          <w:divBdr>
            <w:top w:val="none" w:sz="0" w:space="0" w:color="auto"/>
            <w:left w:val="none" w:sz="0" w:space="0" w:color="auto"/>
            <w:bottom w:val="none" w:sz="0" w:space="0" w:color="auto"/>
            <w:right w:val="none" w:sz="0" w:space="0" w:color="auto"/>
          </w:divBdr>
          <w:divsChild>
            <w:div w:id="1020395983">
              <w:marLeft w:val="0"/>
              <w:marRight w:val="0"/>
              <w:marTop w:val="0"/>
              <w:marBottom w:val="0"/>
              <w:divBdr>
                <w:top w:val="none" w:sz="0" w:space="0" w:color="auto"/>
                <w:left w:val="none" w:sz="0" w:space="0" w:color="auto"/>
                <w:bottom w:val="none" w:sz="0" w:space="0" w:color="auto"/>
                <w:right w:val="none" w:sz="0" w:space="0" w:color="auto"/>
              </w:divBdr>
            </w:div>
          </w:divsChild>
        </w:div>
        <w:div w:id="1600984970">
          <w:marLeft w:val="0"/>
          <w:marRight w:val="0"/>
          <w:marTop w:val="0"/>
          <w:marBottom w:val="0"/>
          <w:divBdr>
            <w:top w:val="none" w:sz="0" w:space="0" w:color="auto"/>
            <w:left w:val="none" w:sz="0" w:space="0" w:color="auto"/>
            <w:bottom w:val="none" w:sz="0" w:space="0" w:color="auto"/>
            <w:right w:val="none" w:sz="0" w:space="0" w:color="auto"/>
          </w:divBdr>
          <w:divsChild>
            <w:div w:id="1939098748">
              <w:marLeft w:val="0"/>
              <w:marRight w:val="0"/>
              <w:marTop w:val="0"/>
              <w:marBottom w:val="0"/>
              <w:divBdr>
                <w:top w:val="none" w:sz="0" w:space="0" w:color="auto"/>
                <w:left w:val="none" w:sz="0" w:space="0" w:color="auto"/>
                <w:bottom w:val="none" w:sz="0" w:space="0" w:color="auto"/>
                <w:right w:val="none" w:sz="0" w:space="0" w:color="auto"/>
              </w:divBdr>
            </w:div>
          </w:divsChild>
        </w:div>
        <w:div w:id="1606225961">
          <w:marLeft w:val="0"/>
          <w:marRight w:val="0"/>
          <w:marTop w:val="0"/>
          <w:marBottom w:val="0"/>
          <w:divBdr>
            <w:top w:val="none" w:sz="0" w:space="0" w:color="auto"/>
            <w:left w:val="none" w:sz="0" w:space="0" w:color="auto"/>
            <w:bottom w:val="none" w:sz="0" w:space="0" w:color="auto"/>
            <w:right w:val="none" w:sz="0" w:space="0" w:color="auto"/>
          </w:divBdr>
          <w:divsChild>
            <w:div w:id="1984045134">
              <w:marLeft w:val="0"/>
              <w:marRight w:val="0"/>
              <w:marTop w:val="0"/>
              <w:marBottom w:val="0"/>
              <w:divBdr>
                <w:top w:val="none" w:sz="0" w:space="0" w:color="auto"/>
                <w:left w:val="none" w:sz="0" w:space="0" w:color="auto"/>
                <w:bottom w:val="none" w:sz="0" w:space="0" w:color="auto"/>
                <w:right w:val="none" w:sz="0" w:space="0" w:color="auto"/>
              </w:divBdr>
            </w:div>
          </w:divsChild>
        </w:div>
        <w:div w:id="1620994482">
          <w:marLeft w:val="0"/>
          <w:marRight w:val="0"/>
          <w:marTop w:val="0"/>
          <w:marBottom w:val="0"/>
          <w:divBdr>
            <w:top w:val="none" w:sz="0" w:space="0" w:color="auto"/>
            <w:left w:val="none" w:sz="0" w:space="0" w:color="auto"/>
            <w:bottom w:val="none" w:sz="0" w:space="0" w:color="auto"/>
            <w:right w:val="none" w:sz="0" w:space="0" w:color="auto"/>
          </w:divBdr>
          <w:divsChild>
            <w:div w:id="1056049722">
              <w:marLeft w:val="0"/>
              <w:marRight w:val="0"/>
              <w:marTop w:val="0"/>
              <w:marBottom w:val="0"/>
              <w:divBdr>
                <w:top w:val="none" w:sz="0" w:space="0" w:color="auto"/>
                <w:left w:val="none" w:sz="0" w:space="0" w:color="auto"/>
                <w:bottom w:val="none" w:sz="0" w:space="0" w:color="auto"/>
                <w:right w:val="none" w:sz="0" w:space="0" w:color="auto"/>
              </w:divBdr>
            </w:div>
          </w:divsChild>
        </w:div>
        <w:div w:id="1621719036">
          <w:marLeft w:val="0"/>
          <w:marRight w:val="0"/>
          <w:marTop w:val="0"/>
          <w:marBottom w:val="0"/>
          <w:divBdr>
            <w:top w:val="none" w:sz="0" w:space="0" w:color="auto"/>
            <w:left w:val="none" w:sz="0" w:space="0" w:color="auto"/>
            <w:bottom w:val="none" w:sz="0" w:space="0" w:color="auto"/>
            <w:right w:val="none" w:sz="0" w:space="0" w:color="auto"/>
          </w:divBdr>
          <w:divsChild>
            <w:div w:id="1693527389">
              <w:marLeft w:val="0"/>
              <w:marRight w:val="0"/>
              <w:marTop w:val="0"/>
              <w:marBottom w:val="0"/>
              <w:divBdr>
                <w:top w:val="none" w:sz="0" w:space="0" w:color="auto"/>
                <w:left w:val="none" w:sz="0" w:space="0" w:color="auto"/>
                <w:bottom w:val="none" w:sz="0" w:space="0" w:color="auto"/>
                <w:right w:val="none" w:sz="0" w:space="0" w:color="auto"/>
              </w:divBdr>
            </w:div>
          </w:divsChild>
        </w:div>
        <w:div w:id="1664354467">
          <w:marLeft w:val="0"/>
          <w:marRight w:val="0"/>
          <w:marTop w:val="0"/>
          <w:marBottom w:val="0"/>
          <w:divBdr>
            <w:top w:val="none" w:sz="0" w:space="0" w:color="auto"/>
            <w:left w:val="none" w:sz="0" w:space="0" w:color="auto"/>
            <w:bottom w:val="none" w:sz="0" w:space="0" w:color="auto"/>
            <w:right w:val="none" w:sz="0" w:space="0" w:color="auto"/>
          </w:divBdr>
          <w:divsChild>
            <w:div w:id="118961689">
              <w:marLeft w:val="0"/>
              <w:marRight w:val="0"/>
              <w:marTop w:val="0"/>
              <w:marBottom w:val="0"/>
              <w:divBdr>
                <w:top w:val="none" w:sz="0" w:space="0" w:color="auto"/>
                <w:left w:val="none" w:sz="0" w:space="0" w:color="auto"/>
                <w:bottom w:val="none" w:sz="0" w:space="0" w:color="auto"/>
                <w:right w:val="none" w:sz="0" w:space="0" w:color="auto"/>
              </w:divBdr>
            </w:div>
          </w:divsChild>
        </w:div>
        <w:div w:id="1672565122">
          <w:marLeft w:val="0"/>
          <w:marRight w:val="0"/>
          <w:marTop w:val="0"/>
          <w:marBottom w:val="0"/>
          <w:divBdr>
            <w:top w:val="none" w:sz="0" w:space="0" w:color="auto"/>
            <w:left w:val="none" w:sz="0" w:space="0" w:color="auto"/>
            <w:bottom w:val="none" w:sz="0" w:space="0" w:color="auto"/>
            <w:right w:val="none" w:sz="0" w:space="0" w:color="auto"/>
          </w:divBdr>
          <w:divsChild>
            <w:div w:id="1382091142">
              <w:marLeft w:val="0"/>
              <w:marRight w:val="0"/>
              <w:marTop w:val="0"/>
              <w:marBottom w:val="0"/>
              <w:divBdr>
                <w:top w:val="none" w:sz="0" w:space="0" w:color="auto"/>
                <w:left w:val="none" w:sz="0" w:space="0" w:color="auto"/>
                <w:bottom w:val="none" w:sz="0" w:space="0" w:color="auto"/>
                <w:right w:val="none" w:sz="0" w:space="0" w:color="auto"/>
              </w:divBdr>
            </w:div>
          </w:divsChild>
        </w:div>
        <w:div w:id="1701668449">
          <w:marLeft w:val="0"/>
          <w:marRight w:val="0"/>
          <w:marTop w:val="0"/>
          <w:marBottom w:val="0"/>
          <w:divBdr>
            <w:top w:val="none" w:sz="0" w:space="0" w:color="auto"/>
            <w:left w:val="none" w:sz="0" w:space="0" w:color="auto"/>
            <w:bottom w:val="none" w:sz="0" w:space="0" w:color="auto"/>
            <w:right w:val="none" w:sz="0" w:space="0" w:color="auto"/>
          </w:divBdr>
          <w:divsChild>
            <w:div w:id="1693796920">
              <w:marLeft w:val="0"/>
              <w:marRight w:val="0"/>
              <w:marTop w:val="0"/>
              <w:marBottom w:val="0"/>
              <w:divBdr>
                <w:top w:val="none" w:sz="0" w:space="0" w:color="auto"/>
                <w:left w:val="none" w:sz="0" w:space="0" w:color="auto"/>
                <w:bottom w:val="none" w:sz="0" w:space="0" w:color="auto"/>
                <w:right w:val="none" w:sz="0" w:space="0" w:color="auto"/>
              </w:divBdr>
            </w:div>
          </w:divsChild>
        </w:div>
        <w:div w:id="1730683797">
          <w:marLeft w:val="0"/>
          <w:marRight w:val="0"/>
          <w:marTop w:val="0"/>
          <w:marBottom w:val="0"/>
          <w:divBdr>
            <w:top w:val="none" w:sz="0" w:space="0" w:color="auto"/>
            <w:left w:val="none" w:sz="0" w:space="0" w:color="auto"/>
            <w:bottom w:val="none" w:sz="0" w:space="0" w:color="auto"/>
            <w:right w:val="none" w:sz="0" w:space="0" w:color="auto"/>
          </w:divBdr>
          <w:divsChild>
            <w:div w:id="38870361">
              <w:marLeft w:val="0"/>
              <w:marRight w:val="0"/>
              <w:marTop w:val="0"/>
              <w:marBottom w:val="0"/>
              <w:divBdr>
                <w:top w:val="none" w:sz="0" w:space="0" w:color="auto"/>
                <w:left w:val="none" w:sz="0" w:space="0" w:color="auto"/>
                <w:bottom w:val="none" w:sz="0" w:space="0" w:color="auto"/>
                <w:right w:val="none" w:sz="0" w:space="0" w:color="auto"/>
              </w:divBdr>
            </w:div>
          </w:divsChild>
        </w:div>
        <w:div w:id="1732077717">
          <w:marLeft w:val="0"/>
          <w:marRight w:val="0"/>
          <w:marTop w:val="0"/>
          <w:marBottom w:val="0"/>
          <w:divBdr>
            <w:top w:val="none" w:sz="0" w:space="0" w:color="auto"/>
            <w:left w:val="none" w:sz="0" w:space="0" w:color="auto"/>
            <w:bottom w:val="none" w:sz="0" w:space="0" w:color="auto"/>
            <w:right w:val="none" w:sz="0" w:space="0" w:color="auto"/>
          </w:divBdr>
          <w:divsChild>
            <w:div w:id="60714791">
              <w:marLeft w:val="0"/>
              <w:marRight w:val="0"/>
              <w:marTop w:val="0"/>
              <w:marBottom w:val="0"/>
              <w:divBdr>
                <w:top w:val="none" w:sz="0" w:space="0" w:color="auto"/>
                <w:left w:val="none" w:sz="0" w:space="0" w:color="auto"/>
                <w:bottom w:val="none" w:sz="0" w:space="0" w:color="auto"/>
                <w:right w:val="none" w:sz="0" w:space="0" w:color="auto"/>
              </w:divBdr>
            </w:div>
          </w:divsChild>
        </w:div>
        <w:div w:id="1761826324">
          <w:marLeft w:val="0"/>
          <w:marRight w:val="0"/>
          <w:marTop w:val="0"/>
          <w:marBottom w:val="0"/>
          <w:divBdr>
            <w:top w:val="none" w:sz="0" w:space="0" w:color="auto"/>
            <w:left w:val="none" w:sz="0" w:space="0" w:color="auto"/>
            <w:bottom w:val="none" w:sz="0" w:space="0" w:color="auto"/>
            <w:right w:val="none" w:sz="0" w:space="0" w:color="auto"/>
          </w:divBdr>
          <w:divsChild>
            <w:div w:id="1432818812">
              <w:marLeft w:val="0"/>
              <w:marRight w:val="0"/>
              <w:marTop w:val="0"/>
              <w:marBottom w:val="0"/>
              <w:divBdr>
                <w:top w:val="none" w:sz="0" w:space="0" w:color="auto"/>
                <w:left w:val="none" w:sz="0" w:space="0" w:color="auto"/>
                <w:bottom w:val="none" w:sz="0" w:space="0" w:color="auto"/>
                <w:right w:val="none" w:sz="0" w:space="0" w:color="auto"/>
              </w:divBdr>
            </w:div>
          </w:divsChild>
        </w:div>
        <w:div w:id="1774284560">
          <w:marLeft w:val="0"/>
          <w:marRight w:val="0"/>
          <w:marTop w:val="0"/>
          <w:marBottom w:val="0"/>
          <w:divBdr>
            <w:top w:val="none" w:sz="0" w:space="0" w:color="auto"/>
            <w:left w:val="none" w:sz="0" w:space="0" w:color="auto"/>
            <w:bottom w:val="none" w:sz="0" w:space="0" w:color="auto"/>
            <w:right w:val="none" w:sz="0" w:space="0" w:color="auto"/>
          </w:divBdr>
          <w:divsChild>
            <w:div w:id="1750808009">
              <w:marLeft w:val="0"/>
              <w:marRight w:val="0"/>
              <w:marTop w:val="0"/>
              <w:marBottom w:val="0"/>
              <w:divBdr>
                <w:top w:val="none" w:sz="0" w:space="0" w:color="auto"/>
                <w:left w:val="none" w:sz="0" w:space="0" w:color="auto"/>
                <w:bottom w:val="none" w:sz="0" w:space="0" w:color="auto"/>
                <w:right w:val="none" w:sz="0" w:space="0" w:color="auto"/>
              </w:divBdr>
            </w:div>
          </w:divsChild>
        </w:div>
        <w:div w:id="1783911737">
          <w:marLeft w:val="0"/>
          <w:marRight w:val="0"/>
          <w:marTop w:val="0"/>
          <w:marBottom w:val="0"/>
          <w:divBdr>
            <w:top w:val="none" w:sz="0" w:space="0" w:color="auto"/>
            <w:left w:val="none" w:sz="0" w:space="0" w:color="auto"/>
            <w:bottom w:val="none" w:sz="0" w:space="0" w:color="auto"/>
            <w:right w:val="none" w:sz="0" w:space="0" w:color="auto"/>
          </w:divBdr>
          <w:divsChild>
            <w:div w:id="1835563419">
              <w:marLeft w:val="0"/>
              <w:marRight w:val="0"/>
              <w:marTop w:val="0"/>
              <w:marBottom w:val="0"/>
              <w:divBdr>
                <w:top w:val="none" w:sz="0" w:space="0" w:color="auto"/>
                <w:left w:val="none" w:sz="0" w:space="0" w:color="auto"/>
                <w:bottom w:val="none" w:sz="0" w:space="0" w:color="auto"/>
                <w:right w:val="none" w:sz="0" w:space="0" w:color="auto"/>
              </w:divBdr>
            </w:div>
          </w:divsChild>
        </w:div>
        <w:div w:id="1821924896">
          <w:marLeft w:val="0"/>
          <w:marRight w:val="0"/>
          <w:marTop w:val="0"/>
          <w:marBottom w:val="0"/>
          <w:divBdr>
            <w:top w:val="none" w:sz="0" w:space="0" w:color="auto"/>
            <w:left w:val="none" w:sz="0" w:space="0" w:color="auto"/>
            <w:bottom w:val="none" w:sz="0" w:space="0" w:color="auto"/>
            <w:right w:val="none" w:sz="0" w:space="0" w:color="auto"/>
          </w:divBdr>
          <w:divsChild>
            <w:div w:id="1694575515">
              <w:marLeft w:val="0"/>
              <w:marRight w:val="0"/>
              <w:marTop w:val="0"/>
              <w:marBottom w:val="0"/>
              <w:divBdr>
                <w:top w:val="none" w:sz="0" w:space="0" w:color="auto"/>
                <w:left w:val="none" w:sz="0" w:space="0" w:color="auto"/>
                <w:bottom w:val="none" w:sz="0" w:space="0" w:color="auto"/>
                <w:right w:val="none" w:sz="0" w:space="0" w:color="auto"/>
              </w:divBdr>
            </w:div>
          </w:divsChild>
        </w:div>
        <w:div w:id="1857575882">
          <w:marLeft w:val="0"/>
          <w:marRight w:val="0"/>
          <w:marTop w:val="0"/>
          <w:marBottom w:val="0"/>
          <w:divBdr>
            <w:top w:val="none" w:sz="0" w:space="0" w:color="auto"/>
            <w:left w:val="none" w:sz="0" w:space="0" w:color="auto"/>
            <w:bottom w:val="none" w:sz="0" w:space="0" w:color="auto"/>
            <w:right w:val="none" w:sz="0" w:space="0" w:color="auto"/>
          </w:divBdr>
          <w:divsChild>
            <w:div w:id="663819932">
              <w:marLeft w:val="0"/>
              <w:marRight w:val="0"/>
              <w:marTop w:val="0"/>
              <w:marBottom w:val="0"/>
              <w:divBdr>
                <w:top w:val="none" w:sz="0" w:space="0" w:color="auto"/>
                <w:left w:val="none" w:sz="0" w:space="0" w:color="auto"/>
                <w:bottom w:val="none" w:sz="0" w:space="0" w:color="auto"/>
                <w:right w:val="none" w:sz="0" w:space="0" w:color="auto"/>
              </w:divBdr>
            </w:div>
          </w:divsChild>
        </w:div>
        <w:div w:id="1903104610">
          <w:marLeft w:val="0"/>
          <w:marRight w:val="0"/>
          <w:marTop w:val="0"/>
          <w:marBottom w:val="0"/>
          <w:divBdr>
            <w:top w:val="none" w:sz="0" w:space="0" w:color="auto"/>
            <w:left w:val="none" w:sz="0" w:space="0" w:color="auto"/>
            <w:bottom w:val="none" w:sz="0" w:space="0" w:color="auto"/>
            <w:right w:val="none" w:sz="0" w:space="0" w:color="auto"/>
          </w:divBdr>
          <w:divsChild>
            <w:div w:id="647779967">
              <w:marLeft w:val="0"/>
              <w:marRight w:val="0"/>
              <w:marTop w:val="0"/>
              <w:marBottom w:val="0"/>
              <w:divBdr>
                <w:top w:val="none" w:sz="0" w:space="0" w:color="auto"/>
                <w:left w:val="none" w:sz="0" w:space="0" w:color="auto"/>
                <w:bottom w:val="none" w:sz="0" w:space="0" w:color="auto"/>
                <w:right w:val="none" w:sz="0" w:space="0" w:color="auto"/>
              </w:divBdr>
            </w:div>
          </w:divsChild>
        </w:div>
        <w:div w:id="1934124206">
          <w:marLeft w:val="0"/>
          <w:marRight w:val="0"/>
          <w:marTop w:val="0"/>
          <w:marBottom w:val="0"/>
          <w:divBdr>
            <w:top w:val="none" w:sz="0" w:space="0" w:color="auto"/>
            <w:left w:val="none" w:sz="0" w:space="0" w:color="auto"/>
            <w:bottom w:val="none" w:sz="0" w:space="0" w:color="auto"/>
            <w:right w:val="none" w:sz="0" w:space="0" w:color="auto"/>
          </w:divBdr>
          <w:divsChild>
            <w:div w:id="601298241">
              <w:marLeft w:val="0"/>
              <w:marRight w:val="0"/>
              <w:marTop w:val="0"/>
              <w:marBottom w:val="0"/>
              <w:divBdr>
                <w:top w:val="none" w:sz="0" w:space="0" w:color="auto"/>
                <w:left w:val="none" w:sz="0" w:space="0" w:color="auto"/>
                <w:bottom w:val="none" w:sz="0" w:space="0" w:color="auto"/>
                <w:right w:val="none" w:sz="0" w:space="0" w:color="auto"/>
              </w:divBdr>
            </w:div>
          </w:divsChild>
        </w:div>
        <w:div w:id="1937056518">
          <w:marLeft w:val="0"/>
          <w:marRight w:val="0"/>
          <w:marTop w:val="0"/>
          <w:marBottom w:val="0"/>
          <w:divBdr>
            <w:top w:val="none" w:sz="0" w:space="0" w:color="auto"/>
            <w:left w:val="none" w:sz="0" w:space="0" w:color="auto"/>
            <w:bottom w:val="none" w:sz="0" w:space="0" w:color="auto"/>
            <w:right w:val="none" w:sz="0" w:space="0" w:color="auto"/>
          </w:divBdr>
          <w:divsChild>
            <w:div w:id="970551614">
              <w:marLeft w:val="0"/>
              <w:marRight w:val="0"/>
              <w:marTop w:val="0"/>
              <w:marBottom w:val="0"/>
              <w:divBdr>
                <w:top w:val="none" w:sz="0" w:space="0" w:color="auto"/>
                <w:left w:val="none" w:sz="0" w:space="0" w:color="auto"/>
                <w:bottom w:val="none" w:sz="0" w:space="0" w:color="auto"/>
                <w:right w:val="none" w:sz="0" w:space="0" w:color="auto"/>
              </w:divBdr>
            </w:div>
          </w:divsChild>
        </w:div>
        <w:div w:id="1955868461">
          <w:marLeft w:val="0"/>
          <w:marRight w:val="0"/>
          <w:marTop w:val="0"/>
          <w:marBottom w:val="0"/>
          <w:divBdr>
            <w:top w:val="none" w:sz="0" w:space="0" w:color="auto"/>
            <w:left w:val="none" w:sz="0" w:space="0" w:color="auto"/>
            <w:bottom w:val="none" w:sz="0" w:space="0" w:color="auto"/>
            <w:right w:val="none" w:sz="0" w:space="0" w:color="auto"/>
          </w:divBdr>
          <w:divsChild>
            <w:div w:id="370111099">
              <w:marLeft w:val="0"/>
              <w:marRight w:val="0"/>
              <w:marTop w:val="0"/>
              <w:marBottom w:val="0"/>
              <w:divBdr>
                <w:top w:val="none" w:sz="0" w:space="0" w:color="auto"/>
                <w:left w:val="none" w:sz="0" w:space="0" w:color="auto"/>
                <w:bottom w:val="none" w:sz="0" w:space="0" w:color="auto"/>
                <w:right w:val="none" w:sz="0" w:space="0" w:color="auto"/>
              </w:divBdr>
            </w:div>
          </w:divsChild>
        </w:div>
        <w:div w:id="1961107901">
          <w:marLeft w:val="0"/>
          <w:marRight w:val="0"/>
          <w:marTop w:val="0"/>
          <w:marBottom w:val="0"/>
          <w:divBdr>
            <w:top w:val="none" w:sz="0" w:space="0" w:color="auto"/>
            <w:left w:val="none" w:sz="0" w:space="0" w:color="auto"/>
            <w:bottom w:val="none" w:sz="0" w:space="0" w:color="auto"/>
            <w:right w:val="none" w:sz="0" w:space="0" w:color="auto"/>
          </w:divBdr>
          <w:divsChild>
            <w:div w:id="182668310">
              <w:marLeft w:val="0"/>
              <w:marRight w:val="0"/>
              <w:marTop w:val="0"/>
              <w:marBottom w:val="0"/>
              <w:divBdr>
                <w:top w:val="none" w:sz="0" w:space="0" w:color="auto"/>
                <w:left w:val="none" w:sz="0" w:space="0" w:color="auto"/>
                <w:bottom w:val="none" w:sz="0" w:space="0" w:color="auto"/>
                <w:right w:val="none" w:sz="0" w:space="0" w:color="auto"/>
              </w:divBdr>
            </w:div>
          </w:divsChild>
        </w:div>
        <w:div w:id="1965691519">
          <w:marLeft w:val="0"/>
          <w:marRight w:val="0"/>
          <w:marTop w:val="0"/>
          <w:marBottom w:val="0"/>
          <w:divBdr>
            <w:top w:val="none" w:sz="0" w:space="0" w:color="auto"/>
            <w:left w:val="none" w:sz="0" w:space="0" w:color="auto"/>
            <w:bottom w:val="none" w:sz="0" w:space="0" w:color="auto"/>
            <w:right w:val="none" w:sz="0" w:space="0" w:color="auto"/>
          </w:divBdr>
          <w:divsChild>
            <w:div w:id="2050568982">
              <w:marLeft w:val="0"/>
              <w:marRight w:val="0"/>
              <w:marTop w:val="0"/>
              <w:marBottom w:val="0"/>
              <w:divBdr>
                <w:top w:val="none" w:sz="0" w:space="0" w:color="auto"/>
                <w:left w:val="none" w:sz="0" w:space="0" w:color="auto"/>
                <w:bottom w:val="none" w:sz="0" w:space="0" w:color="auto"/>
                <w:right w:val="none" w:sz="0" w:space="0" w:color="auto"/>
              </w:divBdr>
            </w:div>
          </w:divsChild>
        </w:div>
        <w:div w:id="1978104933">
          <w:marLeft w:val="0"/>
          <w:marRight w:val="0"/>
          <w:marTop w:val="0"/>
          <w:marBottom w:val="0"/>
          <w:divBdr>
            <w:top w:val="none" w:sz="0" w:space="0" w:color="auto"/>
            <w:left w:val="none" w:sz="0" w:space="0" w:color="auto"/>
            <w:bottom w:val="none" w:sz="0" w:space="0" w:color="auto"/>
            <w:right w:val="none" w:sz="0" w:space="0" w:color="auto"/>
          </w:divBdr>
          <w:divsChild>
            <w:div w:id="2081520184">
              <w:marLeft w:val="0"/>
              <w:marRight w:val="0"/>
              <w:marTop w:val="0"/>
              <w:marBottom w:val="0"/>
              <w:divBdr>
                <w:top w:val="none" w:sz="0" w:space="0" w:color="auto"/>
                <w:left w:val="none" w:sz="0" w:space="0" w:color="auto"/>
                <w:bottom w:val="none" w:sz="0" w:space="0" w:color="auto"/>
                <w:right w:val="none" w:sz="0" w:space="0" w:color="auto"/>
              </w:divBdr>
            </w:div>
          </w:divsChild>
        </w:div>
        <w:div w:id="2006200252">
          <w:marLeft w:val="0"/>
          <w:marRight w:val="0"/>
          <w:marTop w:val="0"/>
          <w:marBottom w:val="0"/>
          <w:divBdr>
            <w:top w:val="none" w:sz="0" w:space="0" w:color="auto"/>
            <w:left w:val="none" w:sz="0" w:space="0" w:color="auto"/>
            <w:bottom w:val="none" w:sz="0" w:space="0" w:color="auto"/>
            <w:right w:val="none" w:sz="0" w:space="0" w:color="auto"/>
          </w:divBdr>
          <w:divsChild>
            <w:div w:id="1386097483">
              <w:marLeft w:val="0"/>
              <w:marRight w:val="0"/>
              <w:marTop w:val="0"/>
              <w:marBottom w:val="0"/>
              <w:divBdr>
                <w:top w:val="none" w:sz="0" w:space="0" w:color="auto"/>
                <w:left w:val="none" w:sz="0" w:space="0" w:color="auto"/>
                <w:bottom w:val="none" w:sz="0" w:space="0" w:color="auto"/>
                <w:right w:val="none" w:sz="0" w:space="0" w:color="auto"/>
              </w:divBdr>
            </w:div>
          </w:divsChild>
        </w:div>
        <w:div w:id="2061785477">
          <w:marLeft w:val="0"/>
          <w:marRight w:val="0"/>
          <w:marTop w:val="0"/>
          <w:marBottom w:val="0"/>
          <w:divBdr>
            <w:top w:val="none" w:sz="0" w:space="0" w:color="auto"/>
            <w:left w:val="none" w:sz="0" w:space="0" w:color="auto"/>
            <w:bottom w:val="none" w:sz="0" w:space="0" w:color="auto"/>
            <w:right w:val="none" w:sz="0" w:space="0" w:color="auto"/>
          </w:divBdr>
          <w:divsChild>
            <w:div w:id="165175259">
              <w:marLeft w:val="0"/>
              <w:marRight w:val="0"/>
              <w:marTop w:val="0"/>
              <w:marBottom w:val="0"/>
              <w:divBdr>
                <w:top w:val="none" w:sz="0" w:space="0" w:color="auto"/>
                <w:left w:val="none" w:sz="0" w:space="0" w:color="auto"/>
                <w:bottom w:val="none" w:sz="0" w:space="0" w:color="auto"/>
                <w:right w:val="none" w:sz="0" w:space="0" w:color="auto"/>
              </w:divBdr>
            </w:div>
          </w:divsChild>
        </w:div>
        <w:div w:id="2092463132">
          <w:marLeft w:val="0"/>
          <w:marRight w:val="0"/>
          <w:marTop w:val="0"/>
          <w:marBottom w:val="0"/>
          <w:divBdr>
            <w:top w:val="none" w:sz="0" w:space="0" w:color="auto"/>
            <w:left w:val="none" w:sz="0" w:space="0" w:color="auto"/>
            <w:bottom w:val="none" w:sz="0" w:space="0" w:color="auto"/>
            <w:right w:val="none" w:sz="0" w:space="0" w:color="auto"/>
          </w:divBdr>
          <w:divsChild>
            <w:div w:id="207273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07144">
      <w:bodyDiv w:val="1"/>
      <w:marLeft w:val="0"/>
      <w:marRight w:val="0"/>
      <w:marTop w:val="0"/>
      <w:marBottom w:val="0"/>
      <w:divBdr>
        <w:top w:val="none" w:sz="0" w:space="0" w:color="auto"/>
        <w:left w:val="none" w:sz="0" w:space="0" w:color="auto"/>
        <w:bottom w:val="none" w:sz="0" w:space="0" w:color="auto"/>
        <w:right w:val="none" w:sz="0" w:space="0" w:color="auto"/>
      </w:divBdr>
    </w:div>
    <w:div w:id="838159372">
      <w:bodyDiv w:val="1"/>
      <w:marLeft w:val="0"/>
      <w:marRight w:val="0"/>
      <w:marTop w:val="0"/>
      <w:marBottom w:val="0"/>
      <w:divBdr>
        <w:top w:val="none" w:sz="0" w:space="0" w:color="auto"/>
        <w:left w:val="none" w:sz="0" w:space="0" w:color="auto"/>
        <w:bottom w:val="none" w:sz="0" w:space="0" w:color="auto"/>
        <w:right w:val="none" w:sz="0" w:space="0" w:color="auto"/>
      </w:divBdr>
    </w:div>
    <w:div w:id="841548482">
      <w:bodyDiv w:val="1"/>
      <w:marLeft w:val="0"/>
      <w:marRight w:val="0"/>
      <w:marTop w:val="0"/>
      <w:marBottom w:val="0"/>
      <w:divBdr>
        <w:top w:val="none" w:sz="0" w:space="0" w:color="auto"/>
        <w:left w:val="none" w:sz="0" w:space="0" w:color="auto"/>
        <w:bottom w:val="none" w:sz="0" w:space="0" w:color="auto"/>
        <w:right w:val="none" w:sz="0" w:space="0" w:color="auto"/>
      </w:divBdr>
      <w:divsChild>
        <w:div w:id="954750813">
          <w:marLeft w:val="0"/>
          <w:marRight w:val="0"/>
          <w:marTop w:val="0"/>
          <w:marBottom w:val="0"/>
          <w:divBdr>
            <w:top w:val="none" w:sz="0" w:space="0" w:color="auto"/>
            <w:left w:val="none" w:sz="0" w:space="0" w:color="auto"/>
            <w:bottom w:val="none" w:sz="0" w:space="0" w:color="auto"/>
            <w:right w:val="none" w:sz="0" w:space="0" w:color="auto"/>
          </w:divBdr>
        </w:div>
        <w:div w:id="1323700828">
          <w:marLeft w:val="0"/>
          <w:marRight w:val="0"/>
          <w:marTop w:val="0"/>
          <w:marBottom w:val="0"/>
          <w:divBdr>
            <w:top w:val="none" w:sz="0" w:space="0" w:color="auto"/>
            <w:left w:val="none" w:sz="0" w:space="0" w:color="auto"/>
            <w:bottom w:val="none" w:sz="0" w:space="0" w:color="auto"/>
            <w:right w:val="none" w:sz="0" w:space="0" w:color="auto"/>
          </w:divBdr>
        </w:div>
        <w:div w:id="1473864946">
          <w:marLeft w:val="0"/>
          <w:marRight w:val="0"/>
          <w:marTop w:val="0"/>
          <w:marBottom w:val="0"/>
          <w:divBdr>
            <w:top w:val="none" w:sz="0" w:space="0" w:color="auto"/>
            <w:left w:val="none" w:sz="0" w:space="0" w:color="auto"/>
            <w:bottom w:val="none" w:sz="0" w:space="0" w:color="auto"/>
            <w:right w:val="none" w:sz="0" w:space="0" w:color="auto"/>
          </w:divBdr>
        </w:div>
        <w:div w:id="1515342081">
          <w:marLeft w:val="0"/>
          <w:marRight w:val="0"/>
          <w:marTop w:val="0"/>
          <w:marBottom w:val="0"/>
          <w:divBdr>
            <w:top w:val="none" w:sz="0" w:space="0" w:color="auto"/>
            <w:left w:val="none" w:sz="0" w:space="0" w:color="auto"/>
            <w:bottom w:val="none" w:sz="0" w:space="0" w:color="auto"/>
            <w:right w:val="none" w:sz="0" w:space="0" w:color="auto"/>
          </w:divBdr>
        </w:div>
        <w:div w:id="1864203534">
          <w:marLeft w:val="0"/>
          <w:marRight w:val="0"/>
          <w:marTop w:val="0"/>
          <w:marBottom w:val="0"/>
          <w:divBdr>
            <w:top w:val="none" w:sz="0" w:space="0" w:color="auto"/>
            <w:left w:val="none" w:sz="0" w:space="0" w:color="auto"/>
            <w:bottom w:val="none" w:sz="0" w:space="0" w:color="auto"/>
            <w:right w:val="none" w:sz="0" w:space="0" w:color="auto"/>
          </w:divBdr>
        </w:div>
      </w:divsChild>
    </w:div>
    <w:div w:id="850026222">
      <w:bodyDiv w:val="1"/>
      <w:marLeft w:val="0"/>
      <w:marRight w:val="0"/>
      <w:marTop w:val="0"/>
      <w:marBottom w:val="0"/>
      <w:divBdr>
        <w:top w:val="none" w:sz="0" w:space="0" w:color="auto"/>
        <w:left w:val="none" w:sz="0" w:space="0" w:color="auto"/>
        <w:bottom w:val="none" w:sz="0" w:space="0" w:color="auto"/>
        <w:right w:val="none" w:sz="0" w:space="0" w:color="auto"/>
      </w:divBdr>
    </w:div>
    <w:div w:id="862480752">
      <w:bodyDiv w:val="1"/>
      <w:marLeft w:val="0"/>
      <w:marRight w:val="0"/>
      <w:marTop w:val="0"/>
      <w:marBottom w:val="0"/>
      <w:divBdr>
        <w:top w:val="none" w:sz="0" w:space="0" w:color="auto"/>
        <w:left w:val="none" w:sz="0" w:space="0" w:color="auto"/>
        <w:bottom w:val="none" w:sz="0" w:space="0" w:color="auto"/>
        <w:right w:val="none" w:sz="0" w:space="0" w:color="auto"/>
      </w:divBdr>
    </w:div>
    <w:div w:id="872809522">
      <w:bodyDiv w:val="1"/>
      <w:marLeft w:val="0"/>
      <w:marRight w:val="0"/>
      <w:marTop w:val="0"/>
      <w:marBottom w:val="0"/>
      <w:divBdr>
        <w:top w:val="none" w:sz="0" w:space="0" w:color="auto"/>
        <w:left w:val="none" w:sz="0" w:space="0" w:color="auto"/>
        <w:bottom w:val="none" w:sz="0" w:space="0" w:color="auto"/>
        <w:right w:val="none" w:sz="0" w:space="0" w:color="auto"/>
      </w:divBdr>
      <w:divsChild>
        <w:div w:id="1350253253">
          <w:marLeft w:val="0"/>
          <w:marRight w:val="0"/>
          <w:marTop w:val="0"/>
          <w:marBottom w:val="0"/>
          <w:divBdr>
            <w:top w:val="none" w:sz="0" w:space="0" w:color="auto"/>
            <w:left w:val="none" w:sz="0" w:space="0" w:color="auto"/>
            <w:bottom w:val="none" w:sz="0" w:space="0" w:color="auto"/>
            <w:right w:val="none" w:sz="0" w:space="0" w:color="auto"/>
          </w:divBdr>
          <w:divsChild>
            <w:div w:id="615675477">
              <w:marLeft w:val="0"/>
              <w:marRight w:val="0"/>
              <w:marTop w:val="0"/>
              <w:marBottom w:val="0"/>
              <w:divBdr>
                <w:top w:val="none" w:sz="0" w:space="0" w:color="auto"/>
                <w:left w:val="none" w:sz="0" w:space="0" w:color="auto"/>
                <w:bottom w:val="none" w:sz="0" w:space="0" w:color="auto"/>
                <w:right w:val="none" w:sz="0" w:space="0" w:color="auto"/>
              </w:divBdr>
            </w:div>
            <w:div w:id="893197542">
              <w:marLeft w:val="0"/>
              <w:marRight w:val="0"/>
              <w:marTop w:val="0"/>
              <w:marBottom w:val="0"/>
              <w:divBdr>
                <w:top w:val="none" w:sz="0" w:space="0" w:color="auto"/>
                <w:left w:val="none" w:sz="0" w:space="0" w:color="auto"/>
                <w:bottom w:val="none" w:sz="0" w:space="0" w:color="auto"/>
                <w:right w:val="none" w:sz="0" w:space="0" w:color="auto"/>
              </w:divBdr>
            </w:div>
          </w:divsChild>
        </w:div>
        <w:div w:id="1499733819">
          <w:marLeft w:val="0"/>
          <w:marRight w:val="0"/>
          <w:marTop w:val="0"/>
          <w:marBottom w:val="0"/>
          <w:divBdr>
            <w:top w:val="none" w:sz="0" w:space="0" w:color="auto"/>
            <w:left w:val="none" w:sz="0" w:space="0" w:color="auto"/>
            <w:bottom w:val="none" w:sz="0" w:space="0" w:color="auto"/>
            <w:right w:val="none" w:sz="0" w:space="0" w:color="auto"/>
          </w:divBdr>
          <w:divsChild>
            <w:div w:id="1108887543">
              <w:marLeft w:val="0"/>
              <w:marRight w:val="0"/>
              <w:marTop w:val="0"/>
              <w:marBottom w:val="0"/>
              <w:divBdr>
                <w:top w:val="none" w:sz="0" w:space="0" w:color="auto"/>
                <w:left w:val="none" w:sz="0" w:space="0" w:color="auto"/>
                <w:bottom w:val="none" w:sz="0" w:space="0" w:color="auto"/>
                <w:right w:val="none" w:sz="0" w:space="0" w:color="auto"/>
              </w:divBdr>
            </w:div>
            <w:div w:id="14652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41720">
      <w:bodyDiv w:val="1"/>
      <w:marLeft w:val="0"/>
      <w:marRight w:val="0"/>
      <w:marTop w:val="0"/>
      <w:marBottom w:val="0"/>
      <w:divBdr>
        <w:top w:val="none" w:sz="0" w:space="0" w:color="auto"/>
        <w:left w:val="none" w:sz="0" w:space="0" w:color="auto"/>
        <w:bottom w:val="none" w:sz="0" w:space="0" w:color="auto"/>
        <w:right w:val="none" w:sz="0" w:space="0" w:color="auto"/>
      </w:divBdr>
    </w:div>
    <w:div w:id="875853198">
      <w:bodyDiv w:val="1"/>
      <w:marLeft w:val="0"/>
      <w:marRight w:val="0"/>
      <w:marTop w:val="0"/>
      <w:marBottom w:val="0"/>
      <w:divBdr>
        <w:top w:val="none" w:sz="0" w:space="0" w:color="auto"/>
        <w:left w:val="none" w:sz="0" w:space="0" w:color="auto"/>
        <w:bottom w:val="none" w:sz="0" w:space="0" w:color="auto"/>
        <w:right w:val="none" w:sz="0" w:space="0" w:color="auto"/>
      </w:divBdr>
    </w:div>
    <w:div w:id="892278236">
      <w:bodyDiv w:val="1"/>
      <w:marLeft w:val="0"/>
      <w:marRight w:val="0"/>
      <w:marTop w:val="0"/>
      <w:marBottom w:val="0"/>
      <w:divBdr>
        <w:top w:val="none" w:sz="0" w:space="0" w:color="auto"/>
        <w:left w:val="none" w:sz="0" w:space="0" w:color="auto"/>
        <w:bottom w:val="none" w:sz="0" w:space="0" w:color="auto"/>
        <w:right w:val="none" w:sz="0" w:space="0" w:color="auto"/>
      </w:divBdr>
      <w:divsChild>
        <w:div w:id="98066223">
          <w:marLeft w:val="0"/>
          <w:marRight w:val="0"/>
          <w:marTop w:val="0"/>
          <w:marBottom w:val="0"/>
          <w:divBdr>
            <w:top w:val="none" w:sz="0" w:space="0" w:color="auto"/>
            <w:left w:val="none" w:sz="0" w:space="0" w:color="auto"/>
            <w:bottom w:val="none" w:sz="0" w:space="0" w:color="auto"/>
            <w:right w:val="none" w:sz="0" w:space="0" w:color="auto"/>
          </w:divBdr>
        </w:div>
        <w:div w:id="112286913">
          <w:marLeft w:val="0"/>
          <w:marRight w:val="0"/>
          <w:marTop w:val="0"/>
          <w:marBottom w:val="0"/>
          <w:divBdr>
            <w:top w:val="none" w:sz="0" w:space="0" w:color="auto"/>
            <w:left w:val="none" w:sz="0" w:space="0" w:color="auto"/>
            <w:bottom w:val="none" w:sz="0" w:space="0" w:color="auto"/>
            <w:right w:val="none" w:sz="0" w:space="0" w:color="auto"/>
          </w:divBdr>
        </w:div>
        <w:div w:id="126708635">
          <w:marLeft w:val="0"/>
          <w:marRight w:val="0"/>
          <w:marTop w:val="0"/>
          <w:marBottom w:val="0"/>
          <w:divBdr>
            <w:top w:val="none" w:sz="0" w:space="0" w:color="auto"/>
            <w:left w:val="none" w:sz="0" w:space="0" w:color="auto"/>
            <w:bottom w:val="none" w:sz="0" w:space="0" w:color="auto"/>
            <w:right w:val="none" w:sz="0" w:space="0" w:color="auto"/>
          </w:divBdr>
        </w:div>
        <w:div w:id="144048817">
          <w:marLeft w:val="0"/>
          <w:marRight w:val="0"/>
          <w:marTop w:val="0"/>
          <w:marBottom w:val="0"/>
          <w:divBdr>
            <w:top w:val="none" w:sz="0" w:space="0" w:color="auto"/>
            <w:left w:val="none" w:sz="0" w:space="0" w:color="auto"/>
            <w:bottom w:val="none" w:sz="0" w:space="0" w:color="auto"/>
            <w:right w:val="none" w:sz="0" w:space="0" w:color="auto"/>
          </w:divBdr>
        </w:div>
        <w:div w:id="266231509">
          <w:marLeft w:val="0"/>
          <w:marRight w:val="0"/>
          <w:marTop w:val="0"/>
          <w:marBottom w:val="0"/>
          <w:divBdr>
            <w:top w:val="none" w:sz="0" w:space="0" w:color="auto"/>
            <w:left w:val="none" w:sz="0" w:space="0" w:color="auto"/>
            <w:bottom w:val="none" w:sz="0" w:space="0" w:color="auto"/>
            <w:right w:val="none" w:sz="0" w:space="0" w:color="auto"/>
          </w:divBdr>
        </w:div>
        <w:div w:id="451556932">
          <w:marLeft w:val="0"/>
          <w:marRight w:val="0"/>
          <w:marTop w:val="0"/>
          <w:marBottom w:val="0"/>
          <w:divBdr>
            <w:top w:val="none" w:sz="0" w:space="0" w:color="auto"/>
            <w:left w:val="none" w:sz="0" w:space="0" w:color="auto"/>
            <w:bottom w:val="none" w:sz="0" w:space="0" w:color="auto"/>
            <w:right w:val="none" w:sz="0" w:space="0" w:color="auto"/>
          </w:divBdr>
        </w:div>
        <w:div w:id="457575293">
          <w:marLeft w:val="0"/>
          <w:marRight w:val="0"/>
          <w:marTop w:val="0"/>
          <w:marBottom w:val="0"/>
          <w:divBdr>
            <w:top w:val="none" w:sz="0" w:space="0" w:color="auto"/>
            <w:left w:val="none" w:sz="0" w:space="0" w:color="auto"/>
            <w:bottom w:val="none" w:sz="0" w:space="0" w:color="auto"/>
            <w:right w:val="none" w:sz="0" w:space="0" w:color="auto"/>
          </w:divBdr>
        </w:div>
        <w:div w:id="497355294">
          <w:marLeft w:val="0"/>
          <w:marRight w:val="0"/>
          <w:marTop w:val="0"/>
          <w:marBottom w:val="0"/>
          <w:divBdr>
            <w:top w:val="none" w:sz="0" w:space="0" w:color="auto"/>
            <w:left w:val="none" w:sz="0" w:space="0" w:color="auto"/>
            <w:bottom w:val="none" w:sz="0" w:space="0" w:color="auto"/>
            <w:right w:val="none" w:sz="0" w:space="0" w:color="auto"/>
          </w:divBdr>
        </w:div>
        <w:div w:id="700668421">
          <w:marLeft w:val="0"/>
          <w:marRight w:val="0"/>
          <w:marTop w:val="0"/>
          <w:marBottom w:val="0"/>
          <w:divBdr>
            <w:top w:val="none" w:sz="0" w:space="0" w:color="auto"/>
            <w:left w:val="none" w:sz="0" w:space="0" w:color="auto"/>
            <w:bottom w:val="none" w:sz="0" w:space="0" w:color="auto"/>
            <w:right w:val="none" w:sz="0" w:space="0" w:color="auto"/>
          </w:divBdr>
        </w:div>
        <w:div w:id="903300374">
          <w:marLeft w:val="0"/>
          <w:marRight w:val="0"/>
          <w:marTop w:val="0"/>
          <w:marBottom w:val="0"/>
          <w:divBdr>
            <w:top w:val="none" w:sz="0" w:space="0" w:color="auto"/>
            <w:left w:val="none" w:sz="0" w:space="0" w:color="auto"/>
            <w:bottom w:val="none" w:sz="0" w:space="0" w:color="auto"/>
            <w:right w:val="none" w:sz="0" w:space="0" w:color="auto"/>
          </w:divBdr>
        </w:div>
        <w:div w:id="921330918">
          <w:marLeft w:val="0"/>
          <w:marRight w:val="0"/>
          <w:marTop w:val="0"/>
          <w:marBottom w:val="0"/>
          <w:divBdr>
            <w:top w:val="none" w:sz="0" w:space="0" w:color="auto"/>
            <w:left w:val="none" w:sz="0" w:space="0" w:color="auto"/>
            <w:bottom w:val="none" w:sz="0" w:space="0" w:color="auto"/>
            <w:right w:val="none" w:sz="0" w:space="0" w:color="auto"/>
          </w:divBdr>
        </w:div>
        <w:div w:id="1069378844">
          <w:marLeft w:val="0"/>
          <w:marRight w:val="0"/>
          <w:marTop w:val="0"/>
          <w:marBottom w:val="0"/>
          <w:divBdr>
            <w:top w:val="none" w:sz="0" w:space="0" w:color="auto"/>
            <w:left w:val="none" w:sz="0" w:space="0" w:color="auto"/>
            <w:bottom w:val="none" w:sz="0" w:space="0" w:color="auto"/>
            <w:right w:val="none" w:sz="0" w:space="0" w:color="auto"/>
          </w:divBdr>
        </w:div>
        <w:div w:id="1225600410">
          <w:marLeft w:val="0"/>
          <w:marRight w:val="0"/>
          <w:marTop w:val="0"/>
          <w:marBottom w:val="0"/>
          <w:divBdr>
            <w:top w:val="none" w:sz="0" w:space="0" w:color="auto"/>
            <w:left w:val="none" w:sz="0" w:space="0" w:color="auto"/>
            <w:bottom w:val="none" w:sz="0" w:space="0" w:color="auto"/>
            <w:right w:val="none" w:sz="0" w:space="0" w:color="auto"/>
          </w:divBdr>
        </w:div>
        <w:div w:id="1233782821">
          <w:marLeft w:val="0"/>
          <w:marRight w:val="0"/>
          <w:marTop w:val="0"/>
          <w:marBottom w:val="0"/>
          <w:divBdr>
            <w:top w:val="none" w:sz="0" w:space="0" w:color="auto"/>
            <w:left w:val="none" w:sz="0" w:space="0" w:color="auto"/>
            <w:bottom w:val="none" w:sz="0" w:space="0" w:color="auto"/>
            <w:right w:val="none" w:sz="0" w:space="0" w:color="auto"/>
          </w:divBdr>
        </w:div>
        <w:div w:id="1261523380">
          <w:marLeft w:val="0"/>
          <w:marRight w:val="0"/>
          <w:marTop w:val="0"/>
          <w:marBottom w:val="0"/>
          <w:divBdr>
            <w:top w:val="none" w:sz="0" w:space="0" w:color="auto"/>
            <w:left w:val="none" w:sz="0" w:space="0" w:color="auto"/>
            <w:bottom w:val="none" w:sz="0" w:space="0" w:color="auto"/>
            <w:right w:val="none" w:sz="0" w:space="0" w:color="auto"/>
          </w:divBdr>
        </w:div>
        <w:div w:id="1623728068">
          <w:marLeft w:val="0"/>
          <w:marRight w:val="0"/>
          <w:marTop w:val="0"/>
          <w:marBottom w:val="0"/>
          <w:divBdr>
            <w:top w:val="none" w:sz="0" w:space="0" w:color="auto"/>
            <w:left w:val="none" w:sz="0" w:space="0" w:color="auto"/>
            <w:bottom w:val="none" w:sz="0" w:space="0" w:color="auto"/>
            <w:right w:val="none" w:sz="0" w:space="0" w:color="auto"/>
          </w:divBdr>
        </w:div>
        <w:div w:id="1694920800">
          <w:marLeft w:val="0"/>
          <w:marRight w:val="0"/>
          <w:marTop w:val="0"/>
          <w:marBottom w:val="0"/>
          <w:divBdr>
            <w:top w:val="none" w:sz="0" w:space="0" w:color="auto"/>
            <w:left w:val="none" w:sz="0" w:space="0" w:color="auto"/>
            <w:bottom w:val="none" w:sz="0" w:space="0" w:color="auto"/>
            <w:right w:val="none" w:sz="0" w:space="0" w:color="auto"/>
          </w:divBdr>
        </w:div>
        <w:div w:id="1776173468">
          <w:marLeft w:val="0"/>
          <w:marRight w:val="0"/>
          <w:marTop w:val="0"/>
          <w:marBottom w:val="0"/>
          <w:divBdr>
            <w:top w:val="none" w:sz="0" w:space="0" w:color="auto"/>
            <w:left w:val="none" w:sz="0" w:space="0" w:color="auto"/>
            <w:bottom w:val="none" w:sz="0" w:space="0" w:color="auto"/>
            <w:right w:val="none" w:sz="0" w:space="0" w:color="auto"/>
          </w:divBdr>
        </w:div>
        <w:div w:id="1802720998">
          <w:marLeft w:val="0"/>
          <w:marRight w:val="0"/>
          <w:marTop w:val="0"/>
          <w:marBottom w:val="0"/>
          <w:divBdr>
            <w:top w:val="none" w:sz="0" w:space="0" w:color="auto"/>
            <w:left w:val="none" w:sz="0" w:space="0" w:color="auto"/>
            <w:bottom w:val="none" w:sz="0" w:space="0" w:color="auto"/>
            <w:right w:val="none" w:sz="0" w:space="0" w:color="auto"/>
          </w:divBdr>
        </w:div>
        <w:div w:id="2113743082">
          <w:marLeft w:val="0"/>
          <w:marRight w:val="0"/>
          <w:marTop w:val="0"/>
          <w:marBottom w:val="0"/>
          <w:divBdr>
            <w:top w:val="none" w:sz="0" w:space="0" w:color="auto"/>
            <w:left w:val="none" w:sz="0" w:space="0" w:color="auto"/>
            <w:bottom w:val="none" w:sz="0" w:space="0" w:color="auto"/>
            <w:right w:val="none" w:sz="0" w:space="0" w:color="auto"/>
          </w:divBdr>
        </w:div>
      </w:divsChild>
    </w:div>
    <w:div w:id="894895694">
      <w:bodyDiv w:val="1"/>
      <w:marLeft w:val="0"/>
      <w:marRight w:val="0"/>
      <w:marTop w:val="0"/>
      <w:marBottom w:val="0"/>
      <w:divBdr>
        <w:top w:val="none" w:sz="0" w:space="0" w:color="auto"/>
        <w:left w:val="none" w:sz="0" w:space="0" w:color="auto"/>
        <w:bottom w:val="none" w:sz="0" w:space="0" w:color="auto"/>
        <w:right w:val="none" w:sz="0" w:space="0" w:color="auto"/>
      </w:divBdr>
      <w:divsChild>
        <w:div w:id="1007711638">
          <w:marLeft w:val="0"/>
          <w:marRight w:val="0"/>
          <w:marTop w:val="0"/>
          <w:marBottom w:val="0"/>
          <w:divBdr>
            <w:top w:val="none" w:sz="0" w:space="0" w:color="auto"/>
            <w:left w:val="none" w:sz="0" w:space="0" w:color="auto"/>
            <w:bottom w:val="none" w:sz="0" w:space="0" w:color="auto"/>
            <w:right w:val="none" w:sz="0" w:space="0" w:color="auto"/>
          </w:divBdr>
        </w:div>
        <w:div w:id="1559779868">
          <w:marLeft w:val="0"/>
          <w:marRight w:val="0"/>
          <w:marTop w:val="0"/>
          <w:marBottom w:val="0"/>
          <w:divBdr>
            <w:top w:val="none" w:sz="0" w:space="0" w:color="auto"/>
            <w:left w:val="none" w:sz="0" w:space="0" w:color="auto"/>
            <w:bottom w:val="none" w:sz="0" w:space="0" w:color="auto"/>
            <w:right w:val="none" w:sz="0" w:space="0" w:color="auto"/>
          </w:divBdr>
          <w:divsChild>
            <w:div w:id="544171975">
              <w:marLeft w:val="0"/>
              <w:marRight w:val="0"/>
              <w:marTop w:val="0"/>
              <w:marBottom w:val="0"/>
              <w:divBdr>
                <w:top w:val="none" w:sz="0" w:space="0" w:color="auto"/>
                <w:left w:val="none" w:sz="0" w:space="0" w:color="auto"/>
                <w:bottom w:val="none" w:sz="0" w:space="0" w:color="auto"/>
                <w:right w:val="none" w:sz="0" w:space="0" w:color="auto"/>
              </w:divBdr>
            </w:div>
            <w:div w:id="590163283">
              <w:marLeft w:val="0"/>
              <w:marRight w:val="0"/>
              <w:marTop w:val="0"/>
              <w:marBottom w:val="0"/>
              <w:divBdr>
                <w:top w:val="none" w:sz="0" w:space="0" w:color="auto"/>
                <w:left w:val="none" w:sz="0" w:space="0" w:color="auto"/>
                <w:bottom w:val="none" w:sz="0" w:space="0" w:color="auto"/>
                <w:right w:val="none" w:sz="0" w:space="0" w:color="auto"/>
              </w:divBdr>
            </w:div>
            <w:div w:id="1212305778">
              <w:marLeft w:val="0"/>
              <w:marRight w:val="0"/>
              <w:marTop w:val="0"/>
              <w:marBottom w:val="0"/>
              <w:divBdr>
                <w:top w:val="none" w:sz="0" w:space="0" w:color="auto"/>
                <w:left w:val="none" w:sz="0" w:space="0" w:color="auto"/>
                <w:bottom w:val="none" w:sz="0" w:space="0" w:color="auto"/>
                <w:right w:val="none" w:sz="0" w:space="0" w:color="auto"/>
              </w:divBdr>
            </w:div>
          </w:divsChild>
        </w:div>
        <w:div w:id="2089113337">
          <w:marLeft w:val="0"/>
          <w:marRight w:val="0"/>
          <w:marTop w:val="0"/>
          <w:marBottom w:val="0"/>
          <w:divBdr>
            <w:top w:val="none" w:sz="0" w:space="0" w:color="auto"/>
            <w:left w:val="none" w:sz="0" w:space="0" w:color="auto"/>
            <w:bottom w:val="none" w:sz="0" w:space="0" w:color="auto"/>
            <w:right w:val="none" w:sz="0" w:space="0" w:color="auto"/>
          </w:divBdr>
          <w:divsChild>
            <w:div w:id="16859602">
              <w:marLeft w:val="0"/>
              <w:marRight w:val="0"/>
              <w:marTop w:val="0"/>
              <w:marBottom w:val="0"/>
              <w:divBdr>
                <w:top w:val="none" w:sz="0" w:space="0" w:color="auto"/>
                <w:left w:val="none" w:sz="0" w:space="0" w:color="auto"/>
                <w:bottom w:val="none" w:sz="0" w:space="0" w:color="auto"/>
                <w:right w:val="none" w:sz="0" w:space="0" w:color="auto"/>
              </w:divBdr>
            </w:div>
            <w:div w:id="454645124">
              <w:marLeft w:val="0"/>
              <w:marRight w:val="0"/>
              <w:marTop w:val="0"/>
              <w:marBottom w:val="0"/>
              <w:divBdr>
                <w:top w:val="none" w:sz="0" w:space="0" w:color="auto"/>
                <w:left w:val="none" w:sz="0" w:space="0" w:color="auto"/>
                <w:bottom w:val="none" w:sz="0" w:space="0" w:color="auto"/>
                <w:right w:val="none" w:sz="0" w:space="0" w:color="auto"/>
              </w:divBdr>
            </w:div>
            <w:div w:id="967399990">
              <w:marLeft w:val="0"/>
              <w:marRight w:val="0"/>
              <w:marTop w:val="0"/>
              <w:marBottom w:val="0"/>
              <w:divBdr>
                <w:top w:val="none" w:sz="0" w:space="0" w:color="auto"/>
                <w:left w:val="none" w:sz="0" w:space="0" w:color="auto"/>
                <w:bottom w:val="none" w:sz="0" w:space="0" w:color="auto"/>
                <w:right w:val="none" w:sz="0" w:space="0" w:color="auto"/>
              </w:divBdr>
            </w:div>
            <w:div w:id="1136290117">
              <w:marLeft w:val="0"/>
              <w:marRight w:val="0"/>
              <w:marTop w:val="0"/>
              <w:marBottom w:val="0"/>
              <w:divBdr>
                <w:top w:val="none" w:sz="0" w:space="0" w:color="auto"/>
                <w:left w:val="none" w:sz="0" w:space="0" w:color="auto"/>
                <w:bottom w:val="none" w:sz="0" w:space="0" w:color="auto"/>
                <w:right w:val="none" w:sz="0" w:space="0" w:color="auto"/>
              </w:divBdr>
            </w:div>
            <w:div w:id="18152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8818">
      <w:bodyDiv w:val="1"/>
      <w:marLeft w:val="0"/>
      <w:marRight w:val="0"/>
      <w:marTop w:val="0"/>
      <w:marBottom w:val="0"/>
      <w:divBdr>
        <w:top w:val="none" w:sz="0" w:space="0" w:color="auto"/>
        <w:left w:val="none" w:sz="0" w:space="0" w:color="auto"/>
        <w:bottom w:val="none" w:sz="0" w:space="0" w:color="auto"/>
        <w:right w:val="none" w:sz="0" w:space="0" w:color="auto"/>
      </w:divBdr>
    </w:div>
    <w:div w:id="916548076">
      <w:bodyDiv w:val="1"/>
      <w:marLeft w:val="0"/>
      <w:marRight w:val="0"/>
      <w:marTop w:val="0"/>
      <w:marBottom w:val="0"/>
      <w:divBdr>
        <w:top w:val="none" w:sz="0" w:space="0" w:color="auto"/>
        <w:left w:val="none" w:sz="0" w:space="0" w:color="auto"/>
        <w:bottom w:val="none" w:sz="0" w:space="0" w:color="auto"/>
        <w:right w:val="none" w:sz="0" w:space="0" w:color="auto"/>
      </w:divBdr>
      <w:divsChild>
        <w:div w:id="127746439">
          <w:marLeft w:val="0"/>
          <w:marRight w:val="0"/>
          <w:marTop w:val="0"/>
          <w:marBottom w:val="0"/>
          <w:divBdr>
            <w:top w:val="none" w:sz="0" w:space="0" w:color="auto"/>
            <w:left w:val="none" w:sz="0" w:space="0" w:color="auto"/>
            <w:bottom w:val="none" w:sz="0" w:space="0" w:color="auto"/>
            <w:right w:val="none" w:sz="0" w:space="0" w:color="auto"/>
          </w:divBdr>
          <w:divsChild>
            <w:div w:id="704255305">
              <w:marLeft w:val="0"/>
              <w:marRight w:val="0"/>
              <w:marTop w:val="0"/>
              <w:marBottom w:val="0"/>
              <w:divBdr>
                <w:top w:val="none" w:sz="0" w:space="0" w:color="auto"/>
                <w:left w:val="none" w:sz="0" w:space="0" w:color="auto"/>
                <w:bottom w:val="none" w:sz="0" w:space="0" w:color="auto"/>
                <w:right w:val="none" w:sz="0" w:space="0" w:color="auto"/>
              </w:divBdr>
            </w:div>
            <w:div w:id="1800686050">
              <w:marLeft w:val="0"/>
              <w:marRight w:val="0"/>
              <w:marTop w:val="0"/>
              <w:marBottom w:val="0"/>
              <w:divBdr>
                <w:top w:val="none" w:sz="0" w:space="0" w:color="auto"/>
                <w:left w:val="none" w:sz="0" w:space="0" w:color="auto"/>
                <w:bottom w:val="none" w:sz="0" w:space="0" w:color="auto"/>
                <w:right w:val="none" w:sz="0" w:space="0" w:color="auto"/>
              </w:divBdr>
            </w:div>
            <w:div w:id="1884052769">
              <w:marLeft w:val="0"/>
              <w:marRight w:val="0"/>
              <w:marTop w:val="0"/>
              <w:marBottom w:val="0"/>
              <w:divBdr>
                <w:top w:val="none" w:sz="0" w:space="0" w:color="auto"/>
                <w:left w:val="none" w:sz="0" w:space="0" w:color="auto"/>
                <w:bottom w:val="none" w:sz="0" w:space="0" w:color="auto"/>
                <w:right w:val="none" w:sz="0" w:space="0" w:color="auto"/>
              </w:divBdr>
            </w:div>
          </w:divsChild>
        </w:div>
        <w:div w:id="432476601">
          <w:marLeft w:val="0"/>
          <w:marRight w:val="0"/>
          <w:marTop w:val="0"/>
          <w:marBottom w:val="0"/>
          <w:divBdr>
            <w:top w:val="none" w:sz="0" w:space="0" w:color="auto"/>
            <w:left w:val="none" w:sz="0" w:space="0" w:color="auto"/>
            <w:bottom w:val="none" w:sz="0" w:space="0" w:color="auto"/>
            <w:right w:val="none" w:sz="0" w:space="0" w:color="auto"/>
          </w:divBdr>
        </w:div>
        <w:div w:id="991179326">
          <w:marLeft w:val="0"/>
          <w:marRight w:val="0"/>
          <w:marTop w:val="0"/>
          <w:marBottom w:val="0"/>
          <w:divBdr>
            <w:top w:val="none" w:sz="0" w:space="0" w:color="auto"/>
            <w:left w:val="none" w:sz="0" w:space="0" w:color="auto"/>
            <w:bottom w:val="none" w:sz="0" w:space="0" w:color="auto"/>
            <w:right w:val="none" w:sz="0" w:space="0" w:color="auto"/>
          </w:divBdr>
        </w:div>
        <w:div w:id="2005232877">
          <w:marLeft w:val="0"/>
          <w:marRight w:val="0"/>
          <w:marTop w:val="0"/>
          <w:marBottom w:val="0"/>
          <w:divBdr>
            <w:top w:val="none" w:sz="0" w:space="0" w:color="auto"/>
            <w:left w:val="none" w:sz="0" w:space="0" w:color="auto"/>
            <w:bottom w:val="none" w:sz="0" w:space="0" w:color="auto"/>
            <w:right w:val="none" w:sz="0" w:space="0" w:color="auto"/>
          </w:divBdr>
        </w:div>
        <w:div w:id="2144884540">
          <w:marLeft w:val="0"/>
          <w:marRight w:val="0"/>
          <w:marTop w:val="0"/>
          <w:marBottom w:val="0"/>
          <w:divBdr>
            <w:top w:val="none" w:sz="0" w:space="0" w:color="auto"/>
            <w:left w:val="none" w:sz="0" w:space="0" w:color="auto"/>
            <w:bottom w:val="none" w:sz="0" w:space="0" w:color="auto"/>
            <w:right w:val="none" w:sz="0" w:space="0" w:color="auto"/>
          </w:divBdr>
        </w:div>
      </w:divsChild>
    </w:div>
    <w:div w:id="929200695">
      <w:bodyDiv w:val="1"/>
      <w:marLeft w:val="0"/>
      <w:marRight w:val="0"/>
      <w:marTop w:val="0"/>
      <w:marBottom w:val="0"/>
      <w:divBdr>
        <w:top w:val="none" w:sz="0" w:space="0" w:color="auto"/>
        <w:left w:val="none" w:sz="0" w:space="0" w:color="auto"/>
        <w:bottom w:val="none" w:sz="0" w:space="0" w:color="auto"/>
        <w:right w:val="none" w:sz="0" w:space="0" w:color="auto"/>
      </w:divBdr>
      <w:divsChild>
        <w:div w:id="161968634">
          <w:marLeft w:val="0"/>
          <w:marRight w:val="0"/>
          <w:marTop w:val="0"/>
          <w:marBottom w:val="0"/>
          <w:divBdr>
            <w:top w:val="none" w:sz="0" w:space="0" w:color="auto"/>
            <w:left w:val="none" w:sz="0" w:space="0" w:color="auto"/>
            <w:bottom w:val="none" w:sz="0" w:space="0" w:color="auto"/>
            <w:right w:val="none" w:sz="0" w:space="0" w:color="auto"/>
          </w:divBdr>
        </w:div>
        <w:div w:id="179009424">
          <w:marLeft w:val="0"/>
          <w:marRight w:val="0"/>
          <w:marTop w:val="0"/>
          <w:marBottom w:val="0"/>
          <w:divBdr>
            <w:top w:val="none" w:sz="0" w:space="0" w:color="auto"/>
            <w:left w:val="none" w:sz="0" w:space="0" w:color="auto"/>
            <w:bottom w:val="none" w:sz="0" w:space="0" w:color="auto"/>
            <w:right w:val="none" w:sz="0" w:space="0" w:color="auto"/>
          </w:divBdr>
        </w:div>
        <w:div w:id="194387945">
          <w:marLeft w:val="0"/>
          <w:marRight w:val="0"/>
          <w:marTop w:val="0"/>
          <w:marBottom w:val="0"/>
          <w:divBdr>
            <w:top w:val="none" w:sz="0" w:space="0" w:color="auto"/>
            <w:left w:val="none" w:sz="0" w:space="0" w:color="auto"/>
            <w:bottom w:val="none" w:sz="0" w:space="0" w:color="auto"/>
            <w:right w:val="none" w:sz="0" w:space="0" w:color="auto"/>
          </w:divBdr>
        </w:div>
        <w:div w:id="1067075966">
          <w:marLeft w:val="0"/>
          <w:marRight w:val="0"/>
          <w:marTop w:val="0"/>
          <w:marBottom w:val="0"/>
          <w:divBdr>
            <w:top w:val="none" w:sz="0" w:space="0" w:color="auto"/>
            <w:left w:val="none" w:sz="0" w:space="0" w:color="auto"/>
            <w:bottom w:val="none" w:sz="0" w:space="0" w:color="auto"/>
            <w:right w:val="none" w:sz="0" w:space="0" w:color="auto"/>
          </w:divBdr>
        </w:div>
        <w:div w:id="1612009070">
          <w:marLeft w:val="0"/>
          <w:marRight w:val="0"/>
          <w:marTop w:val="0"/>
          <w:marBottom w:val="0"/>
          <w:divBdr>
            <w:top w:val="none" w:sz="0" w:space="0" w:color="auto"/>
            <w:left w:val="none" w:sz="0" w:space="0" w:color="auto"/>
            <w:bottom w:val="none" w:sz="0" w:space="0" w:color="auto"/>
            <w:right w:val="none" w:sz="0" w:space="0" w:color="auto"/>
          </w:divBdr>
        </w:div>
        <w:div w:id="1634948476">
          <w:marLeft w:val="0"/>
          <w:marRight w:val="0"/>
          <w:marTop w:val="0"/>
          <w:marBottom w:val="0"/>
          <w:divBdr>
            <w:top w:val="none" w:sz="0" w:space="0" w:color="auto"/>
            <w:left w:val="none" w:sz="0" w:space="0" w:color="auto"/>
            <w:bottom w:val="none" w:sz="0" w:space="0" w:color="auto"/>
            <w:right w:val="none" w:sz="0" w:space="0" w:color="auto"/>
          </w:divBdr>
          <w:divsChild>
            <w:div w:id="702756183">
              <w:marLeft w:val="-75"/>
              <w:marRight w:val="0"/>
              <w:marTop w:val="30"/>
              <w:marBottom w:val="30"/>
              <w:divBdr>
                <w:top w:val="none" w:sz="0" w:space="0" w:color="auto"/>
                <w:left w:val="none" w:sz="0" w:space="0" w:color="auto"/>
                <w:bottom w:val="none" w:sz="0" w:space="0" w:color="auto"/>
                <w:right w:val="none" w:sz="0" w:space="0" w:color="auto"/>
              </w:divBdr>
              <w:divsChild>
                <w:div w:id="6637742">
                  <w:marLeft w:val="0"/>
                  <w:marRight w:val="0"/>
                  <w:marTop w:val="0"/>
                  <w:marBottom w:val="0"/>
                  <w:divBdr>
                    <w:top w:val="none" w:sz="0" w:space="0" w:color="auto"/>
                    <w:left w:val="none" w:sz="0" w:space="0" w:color="auto"/>
                    <w:bottom w:val="none" w:sz="0" w:space="0" w:color="auto"/>
                    <w:right w:val="none" w:sz="0" w:space="0" w:color="auto"/>
                  </w:divBdr>
                  <w:divsChild>
                    <w:div w:id="936136729">
                      <w:marLeft w:val="0"/>
                      <w:marRight w:val="0"/>
                      <w:marTop w:val="0"/>
                      <w:marBottom w:val="0"/>
                      <w:divBdr>
                        <w:top w:val="none" w:sz="0" w:space="0" w:color="auto"/>
                        <w:left w:val="none" w:sz="0" w:space="0" w:color="auto"/>
                        <w:bottom w:val="none" w:sz="0" w:space="0" w:color="auto"/>
                        <w:right w:val="none" w:sz="0" w:space="0" w:color="auto"/>
                      </w:divBdr>
                    </w:div>
                  </w:divsChild>
                </w:div>
                <w:div w:id="12730231">
                  <w:marLeft w:val="0"/>
                  <w:marRight w:val="0"/>
                  <w:marTop w:val="0"/>
                  <w:marBottom w:val="0"/>
                  <w:divBdr>
                    <w:top w:val="none" w:sz="0" w:space="0" w:color="auto"/>
                    <w:left w:val="none" w:sz="0" w:space="0" w:color="auto"/>
                    <w:bottom w:val="none" w:sz="0" w:space="0" w:color="auto"/>
                    <w:right w:val="none" w:sz="0" w:space="0" w:color="auto"/>
                  </w:divBdr>
                  <w:divsChild>
                    <w:div w:id="593824819">
                      <w:marLeft w:val="0"/>
                      <w:marRight w:val="0"/>
                      <w:marTop w:val="0"/>
                      <w:marBottom w:val="0"/>
                      <w:divBdr>
                        <w:top w:val="none" w:sz="0" w:space="0" w:color="auto"/>
                        <w:left w:val="none" w:sz="0" w:space="0" w:color="auto"/>
                        <w:bottom w:val="none" w:sz="0" w:space="0" w:color="auto"/>
                        <w:right w:val="none" w:sz="0" w:space="0" w:color="auto"/>
                      </w:divBdr>
                    </w:div>
                  </w:divsChild>
                </w:div>
                <w:div w:id="17894186">
                  <w:marLeft w:val="0"/>
                  <w:marRight w:val="0"/>
                  <w:marTop w:val="0"/>
                  <w:marBottom w:val="0"/>
                  <w:divBdr>
                    <w:top w:val="none" w:sz="0" w:space="0" w:color="auto"/>
                    <w:left w:val="none" w:sz="0" w:space="0" w:color="auto"/>
                    <w:bottom w:val="none" w:sz="0" w:space="0" w:color="auto"/>
                    <w:right w:val="none" w:sz="0" w:space="0" w:color="auto"/>
                  </w:divBdr>
                  <w:divsChild>
                    <w:div w:id="251479041">
                      <w:marLeft w:val="0"/>
                      <w:marRight w:val="0"/>
                      <w:marTop w:val="0"/>
                      <w:marBottom w:val="0"/>
                      <w:divBdr>
                        <w:top w:val="none" w:sz="0" w:space="0" w:color="auto"/>
                        <w:left w:val="none" w:sz="0" w:space="0" w:color="auto"/>
                        <w:bottom w:val="none" w:sz="0" w:space="0" w:color="auto"/>
                        <w:right w:val="none" w:sz="0" w:space="0" w:color="auto"/>
                      </w:divBdr>
                    </w:div>
                  </w:divsChild>
                </w:div>
                <w:div w:id="62142389">
                  <w:marLeft w:val="0"/>
                  <w:marRight w:val="0"/>
                  <w:marTop w:val="0"/>
                  <w:marBottom w:val="0"/>
                  <w:divBdr>
                    <w:top w:val="none" w:sz="0" w:space="0" w:color="auto"/>
                    <w:left w:val="none" w:sz="0" w:space="0" w:color="auto"/>
                    <w:bottom w:val="none" w:sz="0" w:space="0" w:color="auto"/>
                    <w:right w:val="none" w:sz="0" w:space="0" w:color="auto"/>
                  </w:divBdr>
                  <w:divsChild>
                    <w:div w:id="966013405">
                      <w:marLeft w:val="0"/>
                      <w:marRight w:val="0"/>
                      <w:marTop w:val="0"/>
                      <w:marBottom w:val="0"/>
                      <w:divBdr>
                        <w:top w:val="none" w:sz="0" w:space="0" w:color="auto"/>
                        <w:left w:val="none" w:sz="0" w:space="0" w:color="auto"/>
                        <w:bottom w:val="none" w:sz="0" w:space="0" w:color="auto"/>
                        <w:right w:val="none" w:sz="0" w:space="0" w:color="auto"/>
                      </w:divBdr>
                    </w:div>
                  </w:divsChild>
                </w:div>
                <w:div w:id="76291688">
                  <w:marLeft w:val="0"/>
                  <w:marRight w:val="0"/>
                  <w:marTop w:val="0"/>
                  <w:marBottom w:val="0"/>
                  <w:divBdr>
                    <w:top w:val="none" w:sz="0" w:space="0" w:color="auto"/>
                    <w:left w:val="none" w:sz="0" w:space="0" w:color="auto"/>
                    <w:bottom w:val="none" w:sz="0" w:space="0" w:color="auto"/>
                    <w:right w:val="none" w:sz="0" w:space="0" w:color="auto"/>
                  </w:divBdr>
                  <w:divsChild>
                    <w:div w:id="377975960">
                      <w:marLeft w:val="0"/>
                      <w:marRight w:val="0"/>
                      <w:marTop w:val="0"/>
                      <w:marBottom w:val="0"/>
                      <w:divBdr>
                        <w:top w:val="none" w:sz="0" w:space="0" w:color="auto"/>
                        <w:left w:val="none" w:sz="0" w:space="0" w:color="auto"/>
                        <w:bottom w:val="none" w:sz="0" w:space="0" w:color="auto"/>
                        <w:right w:val="none" w:sz="0" w:space="0" w:color="auto"/>
                      </w:divBdr>
                    </w:div>
                  </w:divsChild>
                </w:div>
                <w:div w:id="78446773">
                  <w:marLeft w:val="0"/>
                  <w:marRight w:val="0"/>
                  <w:marTop w:val="0"/>
                  <w:marBottom w:val="0"/>
                  <w:divBdr>
                    <w:top w:val="none" w:sz="0" w:space="0" w:color="auto"/>
                    <w:left w:val="none" w:sz="0" w:space="0" w:color="auto"/>
                    <w:bottom w:val="none" w:sz="0" w:space="0" w:color="auto"/>
                    <w:right w:val="none" w:sz="0" w:space="0" w:color="auto"/>
                  </w:divBdr>
                  <w:divsChild>
                    <w:div w:id="1676836129">
                      <w:marLeft w:val="0"/>
                      <w:marRight w:val="0"/>
                      <w:marTop w:val="0"/>
                      <w:marBottom w:val="0"/>
                      <w:divBdr>
                        <w:top w:val="none" w:sz="0" w:space="0" w:color="auto"/>
                        <w:left w:val="none" w:sz="0" w:space="0" w:color="auto"/>
                        <w:bottom w:val="none" w:sz="0" w:space="0" w:color="auto"/>
                        <w:right w:val="none" w:sz="0" w:space="0" w:color="auto"/>
                      </w:divBdr>
                    </w:div>
                  </w:divsChild>
                </w:div>
                <w:div w:id="85008282">
                  <w:marLeft w:val="0"/>
                  <w:marRight w:val="0"/>
                  <w:marTop w:val="0"/>
                  <w:marBottom w:val="0"/>
                  <w:divBdr>
                    <w:top w:val="none" w:sz="0" w:space="0" w:color="auto"/>
                    <w:left w:val="none" w:sz="0" w:space="0" w:color="auto"/>
                    <w:bottom w:val="none" w:sz="0" w:space="0" w:color="auto"/>
                    <w:right w:val="none" w:sz="0" w:space="0" w:color="auto"/>
                  </w:divBdr>
                  <w:divsChild>
                    <w:div w:id="1812600397">
                      <w:marLeft w:val="0"/>
                      <w:marRight w:val="0"/>
                      <w:marTop w:val="0"/>
                      <w:marBottom w:val="0"/>
                      <w:divBdr>
                        <w:top w:val="none" w:sz="0" w:space="0" w:color="auto"/>
                        <w:left w:val="none" w:sz="0" w:space="0" w:color="auto"/>
                        <w:bottom w:val="none" w:sz="0" w:space="0" w:color="auto"/>
                        <w:right w:val="none" w:sz="0" w:space="0" w:color="auto"/>
                      </w:divBdr>
                    </w:div>
                  </w:divsChild>
                </w:div>
                <w:div w:id="95370214">
                  <w:marLeft w:val="0"/>
                  <w:marRight w:val="0"/>
                  <w:marTop w:val="0"/>
                  <w:marBottom w:val="0"/>
                  <w:divBdr>
                    <w:top w:val="none" w:sz="0" w:space="0" w:color="auto"/>
                    <w:left w:val="none" w:sz="0" w:space="0" w:color="auto"/>
                    <w:bottom w:val="none" w:sz="0" w:space="0" w:color="auto"/>
                    <w:right w:val="none" w:sz="0" w:space="0" w:color="auto"/>
                  </w:divBdr>
                  <w:divsChild>
                    <w:div w:id="518156356">
                      <w:marLeft w:val="0"/>
                      <w:marRight w:val="0"/>
                      <w:marTop w:val="0"/>
                      <w:marBottom w:val="0"/>
                      <w:divBdr>
                        <w:top w:val="none" w:sz="0" w:space="0" w:color="auto"/>
                        <w:left w:val="none" w:sz="0" w:space="0" w:color="auto"/>
                        <w:bottom w:val="none" w:sz="0" w:space="0" w:color="auto"/>
                        <w:right w:val="none" w:sz="0" w:space="0" w:color="auto"/>
                      </w:divBdr>
                    </w:div>
                  </w:divsChild>
                </w:div>
                <w:div w:id="117798207">
                  <w:marLeft w:val="0"/>
                  <w:marRight w:val="0"/>
                  <w:marTop w:val="0"/>
                  <w:marBottom w:val="0"/>
                  <w:divBdr>
                    <w:top w:val="none" w:sz="0" w:space="0" w:color="auto"/>
                    <w:left w:val="none" w:sz="0" w:space="0" w:color="auto"/>
                    <w:bottom w:val="none" w:sz="0" w:space="0" w:color="auto"/>
                    <w:right w:val="none" w:sz="0" w:space="0" w:color="auto"/>
                  </w:divBdr>
                  <w:divsChild>
                    <w:div w:id="780420585">
                      <w:marLeft w:val="0"/>
                      <w:marRight w:val="0"/>
                      <w:marTop w:val="0"/>
                      <w:marBottom w:val="0"/>
                      <w:divBdr>
                        <w:top w:val="none" w:sz="0" w:space="0" w:color="auto"/>
                        <w:left w:val="none" w:sz="0" w:space="0" w:color="auto"/>
                        <w:bottom w:val="none" w:sz="0" w:space="0" w:color="auto"/>
                        <w:right w:val="none" w:sz="0" w:space="0" w:color="auto"/>
                      </w:divBdr>
                    </w:div>
                  </w:divsChild>
                </w:div>
                <w:div w:id="129368383">
                  <w:marLeft w:val="0"/>
                  <w:marRight w:val="0"/>
                  <w:marTop w:val="0"/>
                  <w:marBottom w:val="0"/>
                  <w:divBdr>
                    <w:top w:val="none" w:sz="0" w:space="0" w:color="auto"/>
                    <w:left w:val="none" w:sz="0" w:space="0" w:color="auto"/>
                    <w:bottom w:val="none" w:sz="0" w:space="0" w:color="auto"/>
                    <w:right w:val="none" w:sz="0" w:space="0" w:color="auto"/>
                  </w:divBdr>
                  <w:divsChild>
                    <w:div w:id="152913051">
                      <w:marLeft w:val="0"/>
                      <w:marRight w:val="0"/>
                      <w:marTop w:val="0"/>
                      <w:marBottom w:val="0"/>
                      <w:divBdr>
                        <w:top w:val="none" w:sz="0" w:space="0" w:color="auto"/>
                        <w:left w:val="none" w:sz="0" w:space="0" w:color="auto"/>
                        <w:bottom w:val="none" w:sz="0" w:space="0" w:color="auto"/>
                        <w:right w:val="none" w:sz="0" w:space="0" w:color="auto"/>
                      </w:divBdr>
                    </w:div>
                  </w:divsChild>
                </w:div>
                <w:div w:id="132529913">
                  <w:marLeft w:val="0"/>
                  <w:marRight w:val="0"/>
                  <w:marTop w:val="0"/>
                  <w:marBottom w:val="0"/>
                  <w:divBdr>
                    <w:top w:val="none" w:sz="0" w:space="0" w:color="auto"/>
                    <w:left w:val="none" w:sz="0" w:space="0" w:color="auto"/>
                    <w:bottom w:val="none" w:sz="0" w:space="0" w:color="auto"/>
                    <w:right w:val="none" w:sz="0" w:space="0" w:color="auto"/>
                  </w:divBdr>
                  <w:divsChild>
                    <w:div w:id="52705538">
                      <w:marLeft w:val="0"/>
                      <w:marRight w:val="0"/>
                      <w:marTop w:val="0"/>
                      <w:marBottom w:val="0"/>
                      <w:divBdr>
                        <w:top w:val="none" w:sz="0" w:space="0" w:color="auto"/>
                        <w:left w:val="none" w:sz="0" w:space="0" w:color="auto"/>
                        <w:bottom w:val="none" w:sz="0" w:space="0" w:color="auto"/>
                        <w:right w:val="none" w:sz="0" w:space="0" w:color="auto"/>
                      </w:divBdr>
                    </w:div>
                  </w:divsChild>
                </w:div>
                <w:div w:id="186405527">
                  <w:marLeft w:val="0"/>
                  <w:marRight w:val="0"/>
                  <w:marTop w:val="0"/>
                  <w:marBottom w:val="0"/>
                  <w:divBdr>
                    <w:top w:val="none" w:sz="0" w:space="0" w:color="auto"/>
                    <w:left w:val="none" w:sz="0" w:space="0" w:color="auto"/>
                    <w:bottom w:val="none" w:sz="0" w:space="0" w:color="auto"/>
                    <w:right w:val="none" w:sz="0" w:space="0" w:color="auto"/>
                  </w:divBdr>
                  <w:divsChild>
                    <w:div w:id="809598111">
                      <w:marLeft w:val="0"/>
                      <w:marRight w:val="0"/>
                      <w:marTop w:val="0"/>
                      <w:marBottom w:val="0"/>
                      <w:divBdr>
                        <w:top w:val="none" w:sz="0" w:space="0" w:color="auto"/>
                        <w:left w:val="none" w:sz="0" w:space="0" w:color="auto"/>
                        <w:bottom w:val="none" w:sz="0" w:space="0" w:color="auto"/>
                        <w:right w:val="none" w:sz="0" w:space="0" w:color="auto"/>
                      </w:divBdr>
                    </w:div>
                  </w:divsChild>
                </w:div>
                <w:div w:id="193419480">
                  <w:marLeft w:val="0"/>
                  <w:marRight w:val="0"/>
                  <w:marTop w:val="0"/>
                  <w:marBottom w:val="0"/>
                  <w:divBdr>
                    <w:top w:val="none" w:sz="0" w:space="0" w:color="auto"/>
                    <w:left w:val="none" w:sz="0" w:space="0" w:color="auto"/>
                    <w:bottom w:val="none" w:sz="0" w:space="0" w:color="auto"/>
                    <w:right w:val="none" w:sz="0" w:space="0" w:color="auto"/>
                  </w:divBdr>
                  <w:divsChild>
                    <w:div w:id="2101755822">
                      <w:marLeft w:val="0"/>
                      <w:marRight w:val="0"/>
                      <w:marTop w:val="0"/>
                      <w:marBottom w:val="0"/>
                      <w:divBdr>
                        <w:top w:val="none" w:sz="0" w:space="0" w:color="auto"/>
                        <w:left w:val="none" w:sz="0" w:space="0" w:color="auto"/>
                        <w:bottom w:val="none" w:sz="0" w:space="0" w:color="auto"/>
                        <w:right w:val="none" w:sz="0" w:space="0" w:color="auto"/>
                      </w:divBdr>
                    </w:div>
                  </w:divsChild>
                </w:div>
                <w:div w:id="196965363">
                  <w:marLeft w:val="0"/>
                  <w:marRight w:val="0"/>
                  <w:marTop w:val="0"/>
                  <w:marBottom w:val="0"/>
                  <w:divBdr>
                    <w:top w:val="none" w:sz="0" w:space="0" w:color="auto"/>
                    <w:left w:val="none" w:sz="0" w:space="0" w:color="auto"/>
                    <w:bottom w:val="none" w:sz="0" w:space="0" w:color="auto"/>
                    <w:right w:val="none" w:sz="0" w:space="0" w:color="auto"/>
                  </w:divBdr>
                  <w:divsChild>
                    <w:div w:id="1509714768">
                      <w:marLeft w:val="0"/>
                      <w:marRight w:val="0"/>
                      <w:marTop w:val="0"/>
                      <w:marBottom w:val="0"/>
                      <w:divBdr>
                        <w:top w:val="none" w:sz="0" w:space="0" w:color="auto"/>
                        <w:left w:val="none" w:sz="0" w:space="0" w:color="auto"/>
                        <w:bottom w:val="none" w:sz="0" w:space="0" w:color="auto"/>
                        <w:right w:val="none" w:sz="0" w:space="0" w:color="auto"/>
                      </w:divBdr>
                    </w:div>
                  </w:divsChild>
                </w:div>
                <w:div w:id="208418891">
                  <w:marLeft w:val="0"/>
                  <w:marRight w:val="0"/>
                  <w:marTop w:val="0"/>
                  <w:marBottom w:val="0"/>
                  <w:divBdr>
                    <w:top w:val="none" w:sz="0" w:space="0" w:color="auto"/>
                    <w:left w:val="none" w:sz="0" w:space="0" w:color="auto"/>
                    <w:bottom w:val="none" w:sz="0" w:space="0" w:color="auto"/>
                    <w:right w:val="none" w:sz="0" w:space="0" w:color="auto"/>
                  </w:divBdr>
                  <w:divsChild>
                    <w:div w:id="1734235849">
                      <w:marLeft w:val="0"/>
                      <w:marRight w:val="0"/>
                      <w:marTop w:val="0"/>
                      <w:marBottom w:val="0"/>
                      <w:divBdr>
                        <w:top w:val="none" w:sz="0" w:space="0" w:color="auto"/>
                        <w:left w:val="none" w:sz="0" w:space="0" w:color="auto"/>
                        <w:bottom w:val="none" w:sz="0" w:space="0" w:color="auto"/>
                        <w:right w:val="none" w:sz="0" w:space="0" w:color="auto"/>
                      </w:divBdr>
                    </w:div>
                  </w:divsChild>
                </w:div>
                <w:div w:id="210072411">
                  <w:marLeft w:val="0"/>
                  <w:marRight w:val="0"/>
                  <w:marTop w:val="0"/>
                  <w:marBottom w:val="0"/>
                  <w:divBdr>
                    <w:top w:val="none" w:sz="0" w:space="0" w:color="auto"/>
                    <w:left w:val="none" w:sz="0" w:space="0" w:color="auto"/>
                    <w:bottom w:val="none" w:sz="0" w:space="0" w:color="auto"/>
                    <w:right w:val="none" w:sz="0" w:space="0" w:color="auto"/>
                  </w:divBdr>
                  <w:divsChild>
                    <w:div w:id="553470338">
                      <w:marLeft w:val="0"/>
                      <w:marRight w:val="0"/>
                      <w:marTop w:val="0"/>
                      <w:marBottom w:val="0"/>
                      <w:divBdr>
                        <w:top w:val="none" w:sz="0" w:space="0" w:color="auto"/>
                        <w:left w:val="none" w:sz="0" w:space="0" w:color="auto"/>
                        <w:bottom w:val="none" w:sz="0" w:space="0" w:color="auto"/>
                        <w:right w:val="none" w:sz="0" w:space="0" w:color="auto"/>
                      </w:divBdr>
                    </w:div>
                  </w:divsChild>
                </w:div>
                <w:div w:id="291667884">
                  <w:marLeft w:val="0"/>
                  <w:marRight w:val="0"/>
                  <w:marTop w:val="0"/>
                  <w:marBottom w:val="0"/>
                  <w:divBdr>
                    <w:top w:val="none" w:sz="0" w:space="0" w:color="auto"/>
                    <w:left w:val="none" w:sz="0" w:space="0" w:color="auto"/>
                    <w:bottom w:val="none" w:sz="0" w:space="0" w:color="auto"/>
                    <w:right w:val="none" w:sz="0" w:space="0" w:color="auto"/>
                  </w:divBdr>
                  <w:divsChild>
                    <w:div w:id="1930145">
                      <w:marLeft w:val="0"/>
                      <w:marRight w:val="0"/>
                      <w:marTop w:val="0"/>
                      <w:marBottom w:val="0"/>
                      <w:divBdr>
                        <w:top w:val="none" w:sz="0" w:space="0" w:color="auto"/>
                        <w:left w:val="none" w:sz="0" w:space="0" w:color="auto"/>
                        <w:bottom w:val="none" w:sz="0" w:space="0" w:color="auto"/>
                        <w:right w:val="none" w:sz="0" w:space="0" w:color="auto"/>
                      </w:divBdr>
                    </w:div>
                  </w:divsChild>
                </w:div>
                <w:div w:id="292948151">
                  <w:marLeft w:val="0"/>
                  <w:marRight w:val="0"/>
                  <w:marTop w:val="0"/>
                  <w:marBottom w:val="0"/>
                  <w:divBdr>
                    <w:top w:val="none" w:sz="0" w:space="0" w:color="auto"/>
                    <w:left w:val="none" w:sz="0" w:space="0" w:color="auto"/>
                    <w:bottom w:val="none" w:sz="0" w:space="0" w:color="auto"/>
                    <w:right w:val="none" w:sz="0" w:space="0" w:color="auto"/>
                  </w:divBdr>
                  <w:divsChild>
                    <w:div w:id="1185630377">
                      <w:marLeft w:val="0"/>
                      <w:marRight w:val="0"/>
                      <w:marTop w:val="0"/>
                      <w:marBottom w:val="0"/>
                      <w:divBdr>
                        <w:top w:val="none" w:sz="0" w:space="0" w:color="auto"/>
                        <w:left w:val="none" w:sz="0" w:space="0" w:color="auto"/>
                        <w:bottom w:val="none" w:sz="0" w:space="0" w:color="auto"/>
                        <w:right w:val="none" w:sz="0" w:space="0" w:color="auto"/>
                      </w:divBdr>
                    </w:div>
                  </w:divsChild>
                </w:div>
                <w:div w:id="302195250">
                  <w:marLeft w:val="0"/>
                  <w:marRight w:val="0"/>
                  <w:marTop w:val="0"/>
                  <w:marBottom w:val="0"/>
                  <w:divBdr>
                    <w:top w:val="none" w:sz="0" w:space="0" w:color="auto"/>
                    <w:left w:val="none" w:sz="0" w:space="0" w:color="auto"/>
                    <w:bottom w:val="none" w:sz="0" w:space="0" w:color="auto"/>
                    <w:right w:val="none" w:sz="0" w:space="0" w:color="auto"/>
                  </w:divBdr>
                  <w:divsChild>
                    <w:div w:id="2105804797">
                      <w:marLeft w:val="0"/>
                      <w:marRight w:val="0"/>
                      <w:marTop w:val="0"/>
                      <w:marBottom w:val="0"/>
                      <w:divBdr>
                        <w:top w:val="none" w:sz="0" w:space="0" w:color="auto"/>
                        <w:left w:val="none" w:sz="0" w:space="0" w:color="auto"/>
                        <w:bottom w:val="none" w:sz="0" w:space="0" w:color="auto"/>
                        <w:right w:val="none" w:sz="0" w:space="0" w:color="auto"/>
                      </w:divBdr>
                    </w:div>
                  </w:divsChild>
                </w:div>
                <w:div w:id="306708491">
                  <w:marLeft w:val="0"/>
                  <w:marRight w:val="0"/>
                  <w:marTop w:val="0"/>
                  <w:marBottom w:val="0"/>
                  <w:divBdr>
                    <w:top w:val="none" w:sz="0" w:space="0" w:color="auto"/>
                    <w:left w:val="none" w:sz="0" w:space="0" w:color="auto"/>
                    <w:bottom w:val="none" w:sz="0" w:space="0" w:color="auto"/>
                    <w:right w:val="none" w:sz="0" w:space="0" w:color="auto"/>
                  </w:divBdr>
                  <w:divsChild>
                    <w:div w:id="1800175462">
                      <w:marLeft w:val="0"/>
                      <w:marRight w:val="0"/>
                      <w:marTop w:val="0"/>
                      <w:marBottom w:val="0"/>
                      <w:divBdr>
                        <w:top w:val="none" w:sz="0" w:space="0" w:color="auto"/>
                        <w:left w:val="none" w:sz="0" w:space="0" w:color="auto"/>
                        <w:bottom w:val="none" w:sz="0" w:space="0" w:color="auto"/>
                        <w:right w:val="none" w:sz="0" w:space="0" w:color="auto"/>
                      </w:divBdr>
                    </w:div>
                  </w:divsChild>
                </w:div>
                <w:div w:id="312564287">
                  <w:marLeft w:val="0"/>
                  <w:marRight w:val="0"/>
                  <w:marTop w:val="0"/>
                  <w:marBottom w:val="0"/>
                  <w:divBdr>
                    <w:top w:val="none" w:sz="0" w:space="0" w:color="auto"/>
                    <w:left w:val="none" w:sz="0" w:space="0" w:color="auto"/>
                    <w:bottom w:val="none" w:sz="0" w:space="0" w:color="auto"/>
                    <w:right w:val="none" w:sz="0" w:space="0" w:color="auto"/>
                  </w:divBdr>
                  <w:divsChild>
                    <w:div w:id="1581914601">
                      <w:marLeft w:val="0"/>
                      <w:marRight w:val="0"/>
                      <w:marTop w:val="0"/>
                      <w:marBottom w:val="0"/>
                      <w:divBdr>
                        <w:top w:val="none" w:sz="0" w:space="0" w:color="auto"/>
                        <w:left w:val="none" w:sz="0" w:space="0" w:color="auto"/>
                        <w:bottom w:val="none" w:sz="0" w:space="0" w:color="auto"/>
                        <w:right w:val="none" w:sz="0" w:space="0" w:color="auto"/>
                      </w:divBdr>
                    </w:div>
                  </w:divsChild>
                </w:div>
                <w:div w:id="317003963">
                  <w:marLeft w:val="0"/>
                  <w:marRight w:val="0"/>
                  <w:marTop w:val="0"/>
                  <w:marBottom w:val="0"/>
                  <w:divBdr>
                    <w:top w:val="none" w:sz="0" w:space="0" w:color="auto"/>
                    <w:left w:val="none" w:sz="0" w:space="0" w:color="auto"/>
                    <w:bottom w:val="none" w:sz="0" w:space="0" w:color="auto"/>
                    <w:right w:val="none" w:sz="0" w:space="0" w:color="auto"/>
                  </w:divBdr>
                  <w:divsChild>
                    <w:div w:id="1303926163">
                      <w:marLeft w:val="0"/>
                      <w:marRight w:val="0"/>
                      <w:marTop w:val="0"/>
                      <w:marBottom w:val="0"/>
                      <w:divBdr>
                        <w:top w:val="none" w:sz="0" w:space="0" w:color="auto"/>
                        <w:left w:val="none" w:sz="0" w:space="0" w:color="auto"/>
                        <w:bottom w:val="none" w:sz="0" w:space="0" w:color="auto"/>
                        <w:right w:val="none" w:sz="0" w:space="0" w:color="auto"/>
                      </w:divBdr>
                    </w:div>
                  </w:divsChild>
                </w:div>
                <w:div w:id="322928077">
                  <w:marLeft w:val="0"/>
                  <w:marRight w:val="0"/>
                  <w:marTop w:val="0"/>
                  <w:marBottom w:val="0"/>
                  <w:divBdr>
                    <w:top w:val="none" w:sz="0" w:space="0" w:color="auto"/>
                    <w:left w:val="none" w:sz="0" w:space="0" w:color="auto"/>
                    <w:bottom w:val="none" w:sz="0" w:space="0" w:color="auto"/>
                    <w:right w:val="none" w:sz="0" w:space="0" w:color="auto"/>
                  </w:divBdr>
                  <w:divsChild>
                    <w:div w:id="1172601061">
                      <w:marLeft w:val="0"/>
                      <w:marRight w:val="0"/>
                      <w:marTop w:val="0"/>
                      <w:marBottom w:val="0"/>
                      <w:divBdr>
                        <w:top w:val="none" w:sz="0" w:space="0" w:color="auto"/>
                        <w:left w:val="none" w:sz="0" w:space="0" w:color="auto"/>
                        <w:bottom w:val="none" w:sz="0" w:space="0" w:color="auto"/>
                        <w:right w:val="none" w:sz="0" w:space="0" w:color="auto"/>
                      </w:divBdr>
                    </w:div>
                  </w:divsChild>
                </w:div>
                <w:div w:id="335571023">
                  <w:marLeft w:val="0"/>
                  <w:marRight w:val="0"/>
                  <w:marTop w:val="0"/>
                  <w:marBottom w:val="0"/>
                  <w:divBdr>
                    <w:top w:val="none" w:sz="0" w:space="0" w:color="auto"/>
                    <w:left w:val="none" w:sz="0" w:space="0" w:color="auto"/>
                    <w:bottom w:val="none" w:sz="0" w:space="0" w:color="auto"/>
                    <w:right w:val="none" w:sz="0" w:space="0" w:color="auto"/>
                  </w:divBdr>
                  <w:divsChild>
                    <w:div w:id="1494108696">
                      <w:marLeft w:val="0"/>
                      <w:marRight w:val="0"/>
                      <w:marTop w:val="0"/>
                      <w:marBottom w:val="0"/>
                      <w:divBdr>
                        <w:top w:val="none" w:sz="0" w:space="0" w:color="auto"/>
                        <w:left w:val="none" w:sz="0" w:space="0" w:color="auto"/>
                        <w:bottom w:val="none" w:sz="0" w:space="0" w:color="auto"/>
                        <w:right w:val="none" w:sz="0" w:space="0" w:color="auto"/>
                      </w:divBdr>
                    </w:div>
                  </w:divsChild>
                </w:div>
                <w:div w:id="366756541">
                  <w:marLeft w:val="0"/>
                  <w:marRight w:val="0"/>
                  <w:marTop w:val="0"/>
                  <w:marBottom w:val="0"/>
                  <w:divBdr>
                    <w:top w:val="none" w:sz="0" w:space="0" w:color="auto"/>
                    <w:left w:val="none" w:sz="0" w:space="0" w:color="auto"/>
                    <w:bottom w:val="none" w:sz="0" w:space="0" w:color="auto"/>
                    <w:right w:val="none" w:sz="0" w:space="0" w:color="auto"/>
                  </w:divBdr>
                  <w:divsChild>
                    <w:div w:id="469059353">
                      <w:marLeft w:val="0"/>
                      <w:marRight w:val="0"/>
                      <w:marTop w:val="0"/>
                      <w:marBottom w:val="0"/>
                      <w:divBdr>
                        <w:top w:val="none" w:sz="0" w:space="0" w:color="auto"/>
                        <w:left w:val="none" w:sz="0" w:space="0" w:color="auto"/>
                        <w:bottom w:val="none" w:sz="0" w:space="0" w:color="auto"/>
                        <w:right w:val="none" w:sz="0" w:space="0" w:color="auto"/>
                      </w:divBdr>
                    </w:div>
                  </w:divsChild>
                </w:div>
                <w:div w:id="371687078">
                  <w:marLeft w:val="0"/>
                  <w:marRight w:val="0"/>
                  <w:marTop w:val="0"/>
                  <w:marBottom w:val="0"/>
                  <w:divBdr>
                    <w:top w:val="none" w:sz="0" w:space="0" w:color="auto"/>
                    <w:left w:val="none" w:sz="0" w:space="0" w:color="auto"/>
                    <w:bottom w:val="none" w:sz="0" w:space="0" w:color="auto"/>
                    <w:right w:val="none" w:sz="0" w:space="0" w:color="auto"/>
                  </w:divBdr>
                  <w:divsChild>
                    <w:div w:id="1472332107">
                      <w:marLeft w:val="0"/>
                      <w:marRight w:val="0"/>
                      <w:marTop w:val="0"/>
                      <w:marBottom w:val="0"/>
                      <w:divBdr>
                        <w:top w:val="none" w:sz="0" w:space="0" w:color="auto"/>
                        <w:left w:val="none" w:sz="0" w:space="0" w:color="auto"/>
                        <w:bottom w:val="none" w:sz="0" w:space="0" w:color="auto"/>
                        <w:right w:val="none" w:sz="0" w:space="0" w:color="auto"/>
                      </w:divBdr>
                    </w:div>
                  </w:divsChild>
                </w:div>
                <w:div w:id="382364978">
                  <w:marLeft w:val="0"/>
                  <w:marRight w:val="0"/>
                  <w:marTop w:val="0"/>
                  <w:marBottom w:val="0"/>
                  <w:divBdr>
                    <w:top w:val="none" w:sz="0" w:space="0" w:color="auto"/>
                    <w:left w:val="none" w:sz="0" w:space="0" w:color="auto"/>
                    <w:bottom w:val="none" w:sz="0" w:space="0" w:color="auto"/>
                    <w:right w:val="none" w:sz="0" w:space="0" w:color="auto"/>
                  </w:divBdr>
                  <w:divsChild>
                    <w:div w:id="450560137">
                      <w:marLeft w:val="0"/>
                      <w:marRight w:val="0"/>
                      <w:marTop w:val="0"/>
                      <w:marBottom w:val="0"/>
                      <w:divBdr>
                        <w:top w:val="none" w:sz="0" w:space="0" w:color="auto"/>
                        <w:left w:val="none" w:sz="0" w:space="0" w:color="auto"/>
                        <w:bottom w:val="none" w:sz="0" w:space="0" w:color="auto"/>
                        <w:right w:val="none" w:sz="0" w:space="0" w:color="auto"/>
                      </w:divBdr>
                    </w:div>
                  </w:divsChild>
                </w:div>
                <w:div w:id="384989946">
                  <w:marLeft w:val="0"/>
                  <w:marRight w:val="0"/>
                  <w:marTop w:val="0"/>
                  <w:marBottom w:val="0"/>
                  <w:divBdr>
                    <w:top w:val="none" w:sz="0" w:space="0" w:color="auto"/>
                    <w:left w:val="none" w:sz="0" w:space="0" w:color="auto"/>
                    <w:bottom w:val="none" w:sz="0" w:space="0" w:color="auto"/>
                    <w:right w:val="none" w:sz="0" w:space="0" w:color="auto"/>
                  </w:divBdr>
                  <w:divsChild>
                    <w:div w:id="1466895982">
                      <w:marLeft w:val="0"/>
                      <w:marRight w:val="0"/>
                      <w:marTop w:val="0"/>
                      <w:marBottom w:val="0"/>
                      <w:divBdr>
                        <w:top w:val="none" w:sz="0" w:space="0" w:color="auto"/>
                        <w:left w:val="none" w:sz="0" w:space="0" w:color="auto"/>
                        <w:bottom w:val="none" w:sz="0" w:space="0" w:color="auto"/>
                        <w:right w:val="none" w:sz="0" w:space="0" w:color="auto"/>
                      </w:divBdr>
                    </w:div>
                  </w:divsChild>
                </w:div>
                <w:div w:id="396637686">
                  <w:marLeft w:val="0"/>
                  <w:marRight w:val="0"/>
                  <w:marTop w:val="0"/>
                  <w:marBottom w:val="0"/>
                  <w:divBdr>
                    <w:top w:val="none" w:sz="0" w:space="0" w:color="auto"/>
                    <w:left w:val="none" w:sz="0" w:space="0" w:color="auto"/>
                    <w:bottom w:val="none" w:sz="0" w:space="0" w:color="auto"/>
                    <w:right w:val="none" w:sz="0" w:space="0" w:color="auto"/>
                  </w:divBdr>
                  <w:divsChild>
                    <w:div w:id="1669867797">
                      <w:marLeft w:val="0"/>
                      <w:marRight w:val="0"/>
                      <w:marTop w:val="0"/>
                      <w:marBottom w:val="0"/>
                      <w:divBdr>
                        <w:top w:val="none" w:sz="0" w:space="0" w:color="auto"/>
                        <w:left w:val="none" w:sz="0" w:space="0" w:color="auto"/>
                        <w:bottom w:val="none" w:sz="0" w:space="0" w:color="auto"/>
                        <w:right w:val="none" w:sz="0" w:space="0" w:color="auto"/>
                      </w:divBdr>
                    </w:div>
                  </w:divsChild>
                </w:div>
                <w:div w:id="405886589">
                  <w:marLeft w:val="0"/>
                  <w:marRight w:val="0"/>
                  <w:marTop w:val="0"/>
                  <w:marBottom w:val="0"/>
                  <w:divBdr>
                    <w:top w:val="none" w:sz="0" w:space="0" w:color="auto"/>
                    <w:left w:val="none" w:sz="0" w:space="0" w:color="auto"/>
                    <w:bottom w:val="none" w:sz="0" w:space="0" w:color="auto"/>
                    <w:right w:val="none" w:sz="0" w:space="0" w:color="auto"/>
                  </w:divBdr>
                  <w:divsChild>
                    <w:div w:id="1009453384">
                      <w:marLeft w:val="0"/>
                      <w:marRight w:val="0"/>
                      <w:marTop w:val="0"/>
                      <w:marBottom w:val="0"/>
                      <w:divBdr>
                        <w:top w:val="none" w:sz="0" w:space="0" w:color="auto"/>
                        <w:left w:val="none" w:sz="0" w:space="0" w:color="auto"/>
                        <w:bottom w:val="none" w:sz="0" w:space="0" w:color="auto"/>
                        <w:right w:val="none" w:sz="0" w:space="0" w:color="auto"/>
                      </w:divBdr>
                    </w:div>
                  </w:divsChild>
                </w:div>
                <w:div w:id="409622649">
                  <w:marLeft w:val="0"/>
                  <w:marRight w:val="0"/>
                  <w:marTop w:val="0"/>
                  <w:marBottom w:val="0"/>
                  <w:divBdr>
                    <w:top w:val="none" w:sz="0" w:space="0" w:color="auto"/>
                    <w:left w:val="none" w:sz="0" w:space="0" w:color="auto"/>
                    <w:bottom w:val="none" w:sz="0" w:space="0" w:color="auto"/>
                    <w:right w:val="none" w:sz="0" w:space="0" w:color="auto"/>
                  </w:divBdr>
                  <w:divsChild>
                    <w:div w:id="66808940">
                      <w:marLeft w:val="0"/>
                      <w:marRight w:val="0"/>
                      <w:marTop w:val="0"/>
                      <w:marBottom w:val="0"/>
                      <w:divBdr>
                        <w:top w:val="none" w:sz="0" w:space="0" w:color="auto"/>
                        <w:left w:val="none" w:sz="0" w:space="0" w:color="auto"/>
                        <w:bottom w:val="none" w:sz="0" w:space="0" w:color="auto"/>
                        <w:right w:val="none" w:sz="0" w:space="0" w:color="auto"/>
                      </w:divBdr>
                    </w:div>
                  </w:divsChild>
                </w:div>
                <w:div w:id="420028979">
                  <w:marLeft w:val="0"/>
                  <w:marRight w:val="0"/>
                  <w:marTop w:val="0"/>
                  <w:marBottom w:val="0"/>
                  <w:divBdr>
                    <w:top w:val="none" w:sz="0" w:space="0" w:color="auto"/>
                    <w:left w:val="none" w:sz="0" w:space="0" w:color="auto"/>
                    <w:bottom w:val="none" w:sz="0" w:space="0" w:color="auto"/>
                    <w:right w:val="none" w:sz="0" w:space="0" w:color="auto"/>
                  </w:divBdr>
                  <w:divsChild>
                    <w:div w:id="1773623653">
                      <w:marLeft w:val="0"/>
                      <w:marRight w:val="0"/>
                      <w:marTop w:val="0"/>
                      <w:marBottom w:val="0"/>
                      <w:divBdr>
                        <w:top w:val="none" w:sz="0" w:space="0" w:color="auto"/>
                        <w:left w:val="none" w:sz="0" w:space="0" w:color="auto"/>
                        <w:bottom w:val="none" w:sz="0" w:space="0" w:color="auto"/>
                        <w:right w:val="none" w:sz="0" w:space="0" w:color="auto"/>
                      </w:divBdr>
                    </w:div>
                  </w:divsChild>
                </w:div>
                <w:div w:id="430786667">
                  <w:marLeft w:val="0"/>
                  <w:marRight w:val="0"/>
                  <w:marTop w:val="0"/>
                  <w:marBottom w:val="0"/>
                  <w:divBdr>
                    <w:top w:val="none" w:sz="0" w:space="0" w:color="auto"/>
                    <w:left w:val="none" w:sz="0" w:space="0" w:color="auto"/>
                    <w:bottom w:val="none" w:sz="0" w:space="0" w:color="auto"/>
                    <w:right w:val="none" w:sz="0" w:space="0" w:color="auto"/>
                  </w:divBdr>
                  <w:divsChild>
                    <w:div w:id="77096811">
                      <w:marLeft w:val="0"/>
                      <w:marRight w:val="0"/>
                      <w:marTop w:val="0"/>
                      <w:marBottom w:val="0"/>
                      <w:divBdr>
                        <w:top w:val="none" w:sz="0" w:space="0" w:color="auto"/>
                        <w:left w:val="none" w:sz="0" w:space="0" w:color="auto"/>
                        <w:bottom w:val="none" w:sz="0" w:space="0" w:color="auto"/>
                        <w:right w:val="none" w:sz="0" w:space="0" w:color="auto"/>
                      </w:divBdr>
                    </w:div>
                  </w:divsChild>
                </w:div>
                <w:div w:id="443157667">
                  <w:marLeft w:val="0"/>
                  <w:marRight w:val="0"/>
                  <w:marTop w:val="0"/>
                  <w:marBottom w:val="0"/>
                  <w:divBdr>
                    <w:top w:val="none" w:sz="0" w:space="0" w:color="auto"/>
                    <w:left w:val="none" w:sz="0" w:space="0" w:color="auto"/>
                    <w:bottom w:val="none" w:sz="0" w:space="0" w:color="auto"/>
                    <w:right w:val="none" w:sz="0" w:space="0" w:color="auto"/>
                  </w:divBdr>
                  <w:divsChild>
                    <w:div w:id="1344894685">
                      <w:marLeft w:val="0"/>
                      <w:marRight w:val="0"/>
                      <w:marTop w:val="0"/>
                      <w:marBottom w:val="0"/>
                      <w:divBdr>
                        <w:top w:val="none" w:sz="0" w:space="0" w:color="auto"/>
                        <w:left w:val="none" w:sz="0" w:space="0" w:color="auto"/>
                        <w:bottom w:val="none" w:sz="0" w:space="0" w:color="auto"/>
                        <w:right w:val="none" w:sz="0" w:space="0" w:color="auto"/>
                      </w:divBdr>
                    </w:div>
                  </w:divsChild>
                </w:div>
                <w:div w:id="457261868">
                  <w:marLeft w:val="0"/>
                  <w:marRight w:val="0"/>
                  <w:marTop w:val="0"/>
                  <w:marBottom w:val="0"/>
                  <w:divBdr>
                    <w:top w:val="none" w:sz="0" w:space="0" w:color="auto"/>
                    <w:left w:val="none" w:sz="0" w:space="0" w:color="auto"/>
                    <w:bottom w:val="none" w:sz="0" w:space="0" w:color="auto"/>
                    <w:right w:val="none" w:sz="0" w:space="0" w:color="auto"/>
                  </w:divBdr>
                  <w:divsChild>
                    <w:div w:id="97792941">
                      <w:marLeft w:val="0"/>
                      <w:marRight w:val="0"/>
                      <w:marTop w:val="0"/>
                      <w:marBottom w:val="0"/>
                      <w:divBdr>
                        <w:top w:val="none" w:sz="0" w:space="0" w:color="auto"/>
                        <w:left w:val="none" w:sz="0" w:space="0" w:color="auto"/>
                        <w:bottom w:val="none" w:sz="0" w:space="0" w:color="auto"/>
                        <w:right w:val="none" w:sz="0" w:space="0" w:color="auto"/>
                      </w:divBdr>
                    </w:div>
                  </w:divsChild>
                </w:div>
                <w:div w:id="462967214">
                  <w:marLeft w:val="0"/>
                  <w:marRight w:val="0"/>
                  <w:marTop w:val="0"/>
                  <w:marBottom w:val="0"/>
                  <w:divBdr>
                    <w:top w:val="none" w:sz="0" w:space="0" w:color="auto"/>
                    <w:left w:val="none" w:sz="0" w:space="0" w:color="auto"/>
                    <w:bottom w:val="none" w:sz="0" w:space="0" w:color="auto"/>
                    <w:right w:val="none" w:sz="0" w:space="0" w:color="auto"/>
                  </w:divBdr>
                  <w:divsChild>
                    <w:div w:id="1624194930">
                      <w:marLeft w:val="0"/>
                      <w:marRight w:val="0"/>
                      <w:marTop w:val="0"/>
                      <w:marBottom w:val="0"/>
                      <w:divBdr>
                        <w:top w:val="none" w:sz="0" w:space="0" w:color="auto"/>
                        <w:left w:val="none" w:sz="0" w:space="0" w:color="auto"/>
                        <w:bottom w:val="none" w:sz="0" w:space="0" w:color="auto"/>
                        <w:right w:val="none" w:sz="0" w:space="0" w:color="auto"/>
                      </w:divBdr>
                    </w:div>
                  </w:divsChild>
                </w:div>
                <w:div w:id="466321315">
                  <w:marLeft w:val="0"/>
                  <w:marRight w:val="0"/>
                  <w:marTop w:val="0"/>
                  <w:marBottom w:val="0"/>
                  <w:divBdr>
                    <w:top w:val="none" w:sz="0" w:space="0" w:color="auto"/>
                    <w:left w:val="none" w:sz="0" w:space="0" w:color="auto"/>
                    <w:bottom w:val="none" w:sz="0" w:space="0" w:color="auto"/>
                    <w:right w:val="none" w:sz="0" w:space="0" w:color="auto"/>
                  </w:divBdr>
                  <w:divsChild>
                    <w:div w:id="1740707278">
                      <w:marLeft w:val="0"/>
                      <w:marRight w:val="0"/>
                      <w:marTop w:val="0"/>
                      <w:marBottom w:val="0"/>
                      <w:divBdr>
                        <w:top w:val="none" w:sz="0" w:space="0" w:color="auto"/>
                        <w:left w:val="none" w:sz="0" w:space="0" w:color="auto"/>
                        <w:bottom w:val="none" w:sz="0" w:space="0" w:color="auto"/>
                        <w:right w:val="none" w:sz="0" w:space="0" w:color="auto"/>
                      </w:divBdr>
                    </w:div>
                  </w:divsChild>
                </w:div>
                <w:div w:id="519666335">
                  <w:marLeft w:val="0"/>
                  <w:marRight w:val="0"/>
                  <w:marTop w:val="0"/>
                  <w:marBottom w:val="0"/>
                  <w:divBdr>
                    <w:top w:val="none" w:sz="0" w:space="0" w:color="auto"/>
                    <w:left w:val="none" w:sz="0" w:space="0" w:color="auto"/>
                    <w:bottom w:val="none" w:sz="0" w:space="0" w:color="auto"/>
                    <w:right w:val="none" w:sz="0" w:space="0" w:color="auto"/>
                  </w:divBdr>
                  <w:divsChild>
                    <w:div w:id="279190654">
                      <w:marLeft w:val="0"/>
                      <w:marRight w:val="0"/>
                      <w:marTop w:val="0"/>
                      <w:marBottom w:val="0"/>
                      <w:divBdr>
                        <w:top w:val="none" w:sz="0" w:space="0" w:color="auto"/>
                        <w:left w:val="none" w:sz="0" w:space="0" w:color="auto"/>
                        <w:bottom w:val="none" w:sz="0" w:space="0" w:color="auto"/>
                        <w:right w:val="none" w:sz="0" w:space="0" w:color="auto"/>
                      </w:divBdr>
                    </w:div>
                  </w:divsChild>
                </w:div>
                <w:div w:id="525751847">
                  <w:marLeft w:val="0"/>
                  <w:marRight w:val="0"/>
                  <w:marTop w:val="0"/>
                  <w:marBottom w:val="0"/>
                  <w:divBdr>
                    <w:top w:val="none" w:sz="0" w:space="0" w:color="auto"/>
                    <w:left w:val="none" w:sz="0" w:space="0" w:color="auto"/>
                    <w:bottom w:val="none" w:sz="0" w:space="0" w:color="auto"/>
                    <w:right w:val="none" w:sz="0" w:space="0" w:color="auto"/>
                  </w:divBdr>
                  <w:divsChild>
                    <w:div w:id="744107572">
                      <w:marLeft w:val="0"/>
                      <w:marRight w:val="0"/>
                      <w:marTop w:val="0"/>
                      <w:marBottom w:val="0"/>
                      <w:divBdr>
                        <w:top w:val="none" w:sz="0" w:space="0" w:color="auto"/>
                        <w:left w:val="none" w:sz="0" w:space="0" w:color="auto"/>
                        <w:bottom w:val="none" w:sz="0" w:space="0" w:color="auto"/>
                        <w:right w:val="none" w:sz="0" w:space="0" w:color="auto"/>
                      </w:divBdr>
                    </w:div>
                  </w:divsChild>
                </w:div>
                <w:div w:id="536552906">
                  <w:marLeft w:val="0"/>
                  <w:marRight w:val="0"/>
                  <w:marTop w:val="0"/>
                  <w:marBottom w:val="0"/>
                  <w:divBdr>
                    <w:top w:val="none" w:sz="0" w:space="0" w:color="auto"/>
                    <w:left w:val="none" w:sz="0" w:space="0" w:color="auto"/>
                    <w:bottom w:val="none" w:sz="0" w:space="0" w:color="auto"/>
                    <w:right w:val="none" w:sz="0" w:space="0" w:color="auto"/>
                  </w:divBdr>
                  <w:divsChild>
                    <w:div w:id="1502349583">
                      <w:marLeft w:val="0"/>
                      <w:marRight w:val="0"/>
                      <w:marTop w:val="0"/>
                      <w:marBottom w:val="0"/>
                      <w:divBdr>
                        <w:top w:val="none" w:sz="0" w:space="0" w:color="auto"/>
                        <w:left w:val="none" w:sz="0" w:space="0" w:color="auto"/>
                        <w:bottom w:val="none" w:sz="0" w:space="0" w:color="auto"/>
                        <w:right w:val="none" w:sz="0" w:space="0" w:color="auto"/>
                      </w:divBdr>
                    </w:div>
                  </w:divsChild>
                </w:div>
                <w:div w:id="544681925">
                  <w:marLeft w:val="0"/>
                  <w:marRight w:val="0"/>
                  <w:marTop w:val="0"/>
                  <w:marBottom w:val="0"/>
                  <w:divBdr>
                    <w:top w:val="none" w:sz="0" w:space="0" w:color="auto"/>
                    <w:left w:val="none" w:sz="0" w:space="0" w:color="auto"/>
                    <w:bottom w:val="none" w:sz="0" w:space="0" w:color="auto"/>
                    <w:right w:val="none" w:sz="0" w:space="0" w:color="auto"/>
                  </w:divBdr>
                  <w:divsChild>
                    <w:div w:id="1486118436">
                      <w:marLeft w:val="0"/>
                      <w:marRight w:val="0"/>
                      <w:marTop w:val="0"/>
                      <w:marBottom w:val="0"/>
                      <w:divBdr>
                        <w:top w:val="none" w:sz="0" w:space="0" w:color="auto"/>
                        <w:left w:val="none" w:sz="0" w:space="0" w:color="auto"/>
                        <w:bottom w:val="none" w:sz="0" w:space="0" w:color="auto"/>
                        <w:right w:val="none" w:sz="0" w:space="0" w:color="auto"/>
                      </w:divBdr>
                    </w:div>
                  </w:divsChild>
                </w:div>
                <w:div w:id="546648378">
                  <w:marLeft w:val="0"/>
                  <w:marRight w:val="0"/>
                  <w:marTop w:val="0"/>
                  <w:marBottom w:val="0"/>
                  <w:divBdr>
                    <w:top w:val="none" w:sz="0" w:space="0" w:color="auto"/>
                    <w:left w:val="none" w:sz="0" w:space="0" w:color="auto"/>
                    <w:bottom w:val="none" w:sz="0" w:space="0" w:color="auto"/>
                    <w:right w:val="none" w:sz="0" w:space="0" w:color="auto"/>
                  </w:divBdr>
                  <w:divsChild>
                    <w:div w:id="1768191929">
                      <w:marLeft w:val="0"/>
                      <w:marRight w:val="0"/>
                      <w:marTop w:val="0"/>
                      <w:marBottom w:val="0"/>
                      <w:divBdr>
                        <w:top w:val="none" w:sz="0" w:space="0" w:color="auto"/>
                        <w:left w:val="none" w:sz="0" w:space="0" w:color="auto"/>
                        <w:bottom w:val="none" w:sz="0" w:space="0" w:color="auto"/>
                        <w:right w:val="none" w:sz="0" w:space="0" w:color="auto"/>
                      </w:divBdr>
                    </w:div>
                  </w:divsChild>
                </w:div>
                <w:div w:id="554467082">
                  <w:marLeft w:val="0"/>
                  <w:marRight w:val="0"/>
                  <w:marTop w:val="0"/>
                  <w:marBottom w:val="0"/>
                  <w:divBdr>
                    <w:top w:val="none" w:sz="0" w:space="0" w:color="auto"/>
                    <w:left w:val="none" w:sz="0" w:space="0" w:color="auto"/>
                    <w:bottom w:val="none" w:sz="0" w:space="0" w:color="auto"/>
                    <w:right w:val="none" w:sz="0" w:space="0" w:color="auto"/>
                  </w:divBdr>
                  <w:divsChild>
                    <w:div w:id="59061709">
                      <w:marLeft w:val="0"/>
                      <w:marRight w:val="0"/>
                      <w:marTop w:val="0"/>
                      <w:marBottom w:val="0"/>
                      <w:divBdr>
                        <w:top w:val="none" w:sz="0" w:space="0" w:color="auto"/>
                        <w:left w:val="none" w:sz="0" w:space="0" w:color="auto"/>
                        <w:bottom w:val="none" w:sz="0" w:space="0" w:color="auto"/>
                        <w:right w:val="none" w:sz="0" w:space="0" w:color="auto"/>
                      </w:divBdr>
                    </w:div>
                  </w:divsChild>
                </w:div>
                <w:div w:id="558518899">
                  <w:marLeft w:val="0"/>
                  <w:marRight w:val="0"/>
                  <w:marTop w:val="0"/>
                  <w:marBottom w:val="0"/>
                  <w:divBdr>
                    <w:top w:val="none" w:sz="0" w:space="0" w:color="auto"/>
                    <w:left w:val="none" w:sz="0" w:space="0" w:color="auto"/>
                    <w:bottom w:val="none" w:sz="0" w:space="0" w:color="auto"/>
                    <w:right w:val="none" w:sz="0" w:space="0" w:color="auto"/>
                  </w:divBdr>
                  <w:divsChild>
                    <w:div w:id="816992346">
                      <w:marLeft w:val="0"/>
                      <w:marRight w:val="0"/>
                      <w:marTop w:val="0"/>
                      <w:marBottom w:val="0"/>
                      <w:divBdr>
                        <w:top w:val="none" w:sz="0" w:space="0" w:color="auto"/>
                        <w:left w:val="none" w:sz="0" w:space="0" w:color="auto"/>
                        <w:bottom w:val="none" w:sz="0" w:space="0" w:color="auto"/>
                        <w:right w:val="none" w:sz="0" w:space="0" w:color="auto"/>
                      </w:divBdr>
                    </w:div>
                  </w:divsChild>
                </w:div>
                <w:div w:id="560596819">
                  <w:marLeft w:val="0"/>
                  <w:marRight w:val="0"/>
                  <w:marTop w:val="0"/>
                  <w:marBottom w:val="0"/>
                  <w:divBdr>
                    <w:top w:val="none" w:sz="0" w:space="0" w:color="auto"/>
                    <w:left w:val="none" w:sz="0" w:space="0" w:color="auto"/>
                    <w:bottom w:val="none" w:sz="0" w:space="0" w:color="auto"/>
                    <w:right w:val="none" w:sz="0" w:space="0" w:color="auto"/>
                  </w:divBdr>
                  <w:divsChild>
                    <w:div w:id="1764060001">
                      <w:marLeft w:val="0"/>
                      <w:marRight w:val="0"/>
                      <w:marTop w:val="0"/>
                      <w:marBottom w:val="0"/>
                      <w:divBdr>
                        <w:top w:val="none" w:sz="0" w:space="0" w:color="auto"/>
                        <w:left w:val="none" w:sz="0" w:space="0" w:color="auto"/>
                        <w:bottom w:val="none" w:sz="0" w:space="0" w:color="auto"/>
                        <w:right w:val="none" w:sz="0" w:space="0" w:color="auto"/>
                      </w:divBdr>
                    </w:div>
                  </w:divsChild>
                </w:div>
                <w:div w:id="586811906">
                  <w:marLeft w:val="0"/>
                  <w:marRight w:val="0"/>
                  <w:marTop w:val="0"/>
                  <w:marBottom w:val="0"/>
                  <w:divBdr>
                    <w:top w:val="none" w:sz="0" w:space="0" w:color="auto"/>
                    <w:left w:val="none" w:sz="0" w:space="0" w:color="auto"/>
                    <w:bottom w:val="none" w:sz="0" w:space="0" w:color="auto"/>
                    <w:right w:val="none" w:sz="0" w:space="0" w:color="auto"/>
                  </w:divBdr>
                  <w:divsChild>
                    <w:div w:id="2071686930">
                      <w:marLeft w:val="0"/>
                      <w:marRight w:val="0"/>
                      <w:marTop w:val="0"/>
                      <w:marBottom w:val="0"/>
                      <w:divBdr>
                        <w:top w:val="none" w:sz="0" w:space="0" w:color="auto"/>
                        <w:left w:val="none" w:sz="0" w:space="0" w:color="auto"/>
                        <w:bottom w:val="none" w:sz="0" w:space="0" w:color="auto"/>
                        <w:right w:val="none" w:sz="0" w:space="0" w:color="auto"/>
                      </w:divBdr>
                    </w:div>
                  </w:divsChild>
                </w:div>
                <w:div w:id="600526021">
                  <w:marLeft w:val="0"/>
                  <w:marRight w:val="0"/>
                  <w:marTop w:val="0"/>
                  <w:marBottom w:val="0"/>
                  <w:divBdr>
                    <w:top w:val="none" w:sz="0" w:space="0" w:color="auto"/>
                    <w:left w:val="none" w:sz="0" w:space="0" w:color="auto"/>
                    <w:bottom w:val="none" w:sz="0" w:space="0" w:color="auto"/>
                    <w:right w:val="none" w:sz="0" w:space="0" w:color="auto"/>
                  </w:divBdr>
                  <w:divsChild>
                    <w:div w:id="202056924">
                      <w:marLeft w:val="0"/>
                      <w:marRight w:val="0"/>
                      <w:marTop w:val="0"/>
                      <w:marBottom w:val="0"/>
                      <w:divBdr>
                        <w:top w:val="none" w:sz="0" w:space="0" w:color="auto"/>
                        <w:left w:val="none" w:sz="0" w:space="0" w:color="auto"/>
                        <w:bottom w:val="none" w:sz="0" w:space="0" w:color="auto"/>
                        <w:right w:val="none" w:sz="0" w:space="0" w:color="auto"/>
                      </w:divBdr>
                    </w:div>
                  </w:divsChild>
                </w:div>
                <w:div w:id="619535092">
                  <w:marLeft w:val="0"/>
                  <w:marRight w:val="0"/>
                  <w:marTop w:val="0"/>
                  <w:marBottom w:val="0"/>
                  <w:divBdr>
                    <w:top w:val="none" w:sz="0" w:space="0" w:color="auto"/>
                    <w:left w:val="none" w:sz="0" w:space="0" w:color="auto"/>
                    <w:bottom w:val="none" w:sz="0" w:space="0" w:color="auto"/>
                    <w:right w:val="none" w:sz="0" w:space="0" w:color="auto"/>
                  </w:divBdr>
                  <w:divsChild>
                    <w:div w:id="2085443174">
                      <w:marLeft w:val="0"/>
                      <w:marRight w:val="0"/>
                      <w:marTop w:val="0"/>
                      <w:marBottom w:val="0"/>
                      <w:divBdr>
                        <w:top w:val="none" w:sz="0" w:space="0" w:color="auto"/>
                        <w:left w:val="none" w:sz="0" w:space="0" w:color="auto"/>
                        <w:bottom w:val="none" w:sz="0" w:space="0" w:color="auto"/>
                        <w:right w:val="none" w:sz="0" w:space="0" w:color="auto"/>
                      </w:divBdr>
                    </w:div>
                  </w:divsChild>
                </w:div>
                <w:div w:id="650251314">
                  <w:marLeft w:val="0"/>
                  <w:marRight w:val="0"/>
                  <w:marTop w:val="0"/>
                  <w:marBottom w:val="0"/>
                  <w:divBdr>
                    <w:top w:val="none" w:sz="0" w:space="0" w:color="auto"/>
                    <w:left w:val="none" w:sz="0" w:space="0" w:color="auto"/>
                    <w:bottom w:val="none" w:sz="0" w:space="0" w:color="auto"/>
                    <w:right w:val="none" w:sz="0" w:space="0" w:color="auto"/>
                  </w:divBdr>
                  <w:divsChild>
                    <w:div w:id="399787958">
                      <w:marLeft w:val="0"/>
                      <w:marRight w:val="0"/>
                      <w:marTop w:val="0"/>
                      <w:marBottom w:val="0"/>
                      <w:divBdr>
                        <w:top w:val="none" w:sz="0" w:space="0" w:color="auto"/>
                        <w:left w:val="none" w:sz="0" w:space="0" w:color="auto"/>
                        <w:bottom w:val="none" w:sz="0" w:space="0" w:color="auto"/>
                        <w:right w:val="none" w:sz="0" w:space="0" w:color="auto"/>
                      </w:divBdr>
                    </w:div>
                  </w:divsChild>
                </w:div>
                <w:div w:id="656038588">
                  <w:marLeft w:val="0"/>
                  <w:marRight w:val="0"/>
                  <w:marTop w:val="0"/>
                  <w:marBottom w:val="0"/>
                  <w:divBdr>
                    <w:top w:val="none" w:sz="0" w:space="0" w:color="auto"/>
                    <w:left w:val="none" w:sz="0" w:space="0" w:color="auto"/>
                    <w:bottom w:val="none" w:sz="0" w:space="0" w:color="auto"/>
                    <w:right w:val="none" w:sz="0" w:space="0" w:color="auto"/>
                  </w:divBdr>
                  <w:divsChild>
                    <w:div w:id="1010839423">
                      <w:marLeft w:val="0"/>
                      <w:marRight w:val="0"/>
                      <w:marTop w:val="0"/>
                      <w:marBottom w:val="0"/>
                      <w:divBdr>
                        <w:top w:val="none" w:sz="0" w:space="0" w:color="auto"/>
                        <w:left w:val="none" w:sz="0" w:space="0" w:color="auto"/>
                        <w:bottom w:val="none" w:sz="0" w:space="0" w:color="auto"/>
                        <w:right w:val="none" w:sz="0" w:space="0" w:color="auto"/>
                      </w:divBdr>
                    </w:div>
                  </w:divsChild>
                </w:div>
                <w:div w:id="672995268">
                  <w:marLeft w:val="0"/>
                  <w:marRight w:val="0"/>
                  <w:marTop w:val="0"/>
                  <w:marBottom w:val="0"/>
                  <w:divBdr>
                    <w:top w:val="none" w:sz="0" w:space="0" w:color="auto"/>
                    <w:left w:val="none" w:sz="0" w:space="0" w:color="auto"/>
                    <w:bottom w:val="none" w:sz="0" w:space="0" w:color="auto"/>
                    <w:right w:val="none" w:sz="0" w:space="0" w:color="auto"/>
                  </w:divBdr>
                  <w:divsChild>
                    <w:div w:id="1916430871">
                      <w:marLeft w:val="0"/>
                      <w:marRight w:val="0"/>
                      <w:marTop w:val="0"/>
                      <w:marBottom w:val="0"/>
                      <w:divBdr>
                        <w:top w:val="none" w:sz="0" w:space="0" w:color="auto"/>
                        <w:left w:val="none" w:sz="0" w:space="0" w:color="auto"/>
                        <w:bottom w:val="none" w:sz="0" w:space="0" w:color="auto"/>
                        <w:right w:val="none" w:sz="0" w:space="0" w:color="auto"/>
                      </w:divBdr>
                    </w:div>
                  </w:divsChild>
                </w:div>
                <w:div w:id="677005009">
                  <w:marLeft w:val="0"/>
                  <w:marRight w:val="0"/>
                  <w:marTop w:val="0"/>
                  <w:marBottom w:val="0"/>
                  <w:divBdr>
                    <w:top w:val="none" w:sz="0" w:space="0" w:color="auto"/>
                    <w:left w:val="none" w:sz="0" w:space="0" w:color="auto"/>
                    <w:bottom w:val="none" w:sz="0" w:space="0" w:color="auto"/>
                    <w:right w:val="none" w:sz="0" w:space="0" w:color="auto"/>
                  </w:divBdr>
                  <w:divsChild>
                    <w:div w:id="962926344">
                      <w:marLeft w:val="0"/>
                      <w:marRight w:val="0"/>
                      <w:marTop w:val="0"/>
                      <w:marBottom w:val="0"/>
                      <w:divBdr>
                        <w:top w:val="none" w:sz="0" w:space="0" w:color="auto"/>
                        <w:left w:val="none" w:sz="0" w:space="0" w:color="auto"/>
                        <w:bottom w:val="none" w:sz="0" w:space="0" w:color="auto"/>
                        <w:right w:val="none" w:sz="0" w:space="0" w:color="auto"/>
                      </w:divBdr>
                    </w:div>
                  </w:divsChild>
                </w:div>
                <w:div w:id="699208771">
                  <w:marLeft w:val="0"/>
                  <w:marRight w:val="0"/>
                  <w:marTop w:val="0"/>
                  <w:marBottom w:val="0"/>
                  <w:divBdr>
                    <w:top w:val="none" w:sz="0" w:space="0" w:color="auto"/>
                    <w:left w:val="none" w:sz="0" w:space="0" w:color="auto"/>
                    <w:bottom w:val="none" w:sz="0" w:space="0" w:color="auto"/>
                    <w:right w:val="none" w:sz="0" w:space="0" w:color="auto"/>
                  </w:divBdr>
                  <w:divsChild>
                    <w:div w:id="1623000162">
                      <w:marLeft w:val="0"/>
                      <w:marRight w:val="0"/>
                      <w:marTop w:val="0"/>
                      <w:marBottom w:val="0"/>
                      <w:divBdr>
                        <w:top w:val="none" w:sz="0" w:space="0" w:color="auto"/>
                        <w:left w:val="none" w:sz="0" w:space="0" w:color="auto"/>
                        <w:bottom w:val="none" w:sz="0" w:space="0" w:color="auto"/>
                        <w:right w:val="none" w:sz="0" w:space="0" w:color="auto"/>
                      </w:divBdr>
                    </w:div>
                  </w:divsChild>
                </w:div>
                <w:div w:id="708258060">
                  <w:marLeft w:val="0"/>
                  <w:marRight w:val="0"/>
                  <w:marTop w:val="0"/>
                  <w:marBottom w:val="0"/>
                  <w:divBdr>
                    <w:top w:val="none" w:sz="0" w:space="0" w:color="auto"/>
                    <w:left w:val="none" w:sz="0" w:space="0" w:color="auto"/>
                    <w:bottom w:val="none" w:sz="0" w:space="0" w:color="auto"/>
                    <w:right w:val="none" w:sz="0" w:space="0" w:color="auto"/>
                  </w:divBdr>
                  <w:divsChild>
                    <w:div w:id="1743408992">
                      <w:marLeft w:val="0"/>
                      <w:marRight w:val="0"/>
                      <w:marTop w:val="0"/>
                      <w:marBottom w:val="0"/>
                      <w:divBdr>
                        <w:top w:val="none" w:sz="0" w:space="0" w:color="auto"/>
                        <w:left w:val="none" w:sz="0" w:space="0" w:color="auto"/>
                        <w:bottom w:val="none" w:sz="0" w:space="0" w:color="auto"/>
                        <w:right w:val="none" w:sz="0" w:space="0" w:color="auto"/>
                      </w:divBdr>
                    </w:div>
                  </w:divsChild>
                </w:div>
                <w:div w:id="709913307">
                  <w:marLeft w:val="0"/>
                  <w:marRight w:val="0"/>
                  <w:marTop w:val="0"/>
                  <w:marBottom w:val="0"/>
                  <w:divBdr>
                    <w:top w:val="none" w:sz="0" w:space="0" w:color="auto"/>
                    <w:left w:val="none" w:sz="0" w:space="0" w:color="auto"/>
                    <w:bottom w:val="none" w:sz="0" w:space="0" w:color="auto"/>
                    <w:right w:val="none" w:sz="0" w:space="0" w:color="auto"/>
                  </w:divBdr>
                  <w:divsChild>
                    <w:div w:id="1941257084">
                      <w:marLeft w:val="0"/>
                      <w:marRight w:val="0"/>
                      <w:marTop w:val="0"/>
                      <w:marBottom w:val="0"/>
                      <w:divBdr>
                        <w:top w:val="none" w:sz="0" w:space="0" w:color="auto"/>
                        <w:left w:val="none" w:sz="0" w:space="0" w:color="auto"/>
                        <w:bottom w:val="none" w:sz="0" w:space="0" w:color="auto"/>
                        <w:right w:val="none" w:sz="0" w:space="0" w:color="auto"/>
                      </w:divBdr>
                    </w:div>
                  </w:divsChild>
                </w:div>
                <w:div w:id="733701956">
                  <w:marLeft w:val="0"/>
                  <w:marRight w:val="0"/>
                  <w:marTop w:val="0"/>
                  <w:marBottom w:val="0"/>
                  <w:divBdr>
                    <w:top w:val="none" w:sz="0" w:space="0" w:color="auto"/>
                    <w:left w:val="none" w:sz="0" w:space="0" w:color="auto"/>
                    <w:bottom w:val="none" w:sz="0" w:space="0" w:color="auto"/>
                    <w:right w:val="none" w:sz="0" w:space="0" w:color="auto"/>
                  </w:divBdr>
                  <w:divsChild>
                    <w:div w:id="40985982">
                      <w:marLeft w:val="0"/>
                      <w:marRight w:val="0"/>
                      <w:marTop w:val="0"/>
                      <w:marBottom w:val="0"/>
                      <w:divBdr>
                        <w:top w:val="none" w:sz="0" w:space="0" w:color="auto"/>
                        <w:left w:val="none" w:sz="0" w:space="0" w:color="auto"/>
                        <w:bottom w:val="none" w:sz="0" w:space="0" w:color="auto"/>
                        <w:right w:val="none" w:sz="0" w:space="0" w:color="auto"/>
                      </w:divBdr>
                    </w:div>
                  </w:divsChild>
                </w:div>
                <w:div w:id="746923914">
                  <w:marLeft w:val="0"/>
                  <w:marRight w:val="0"/>
                  <w:marTop w:val="0"/>
                  <w:marBottom w:val="0"/>
                  <w:divBdr>
                    <w:top w:val="none" w:sz="0" w:space="0" w:color="auto"/>
                    <w:left w:val="none" w:sz="0" w:space="0" w:color="auto"/>
                    <w:bottom w:val="none" w:sz="0" w:space="0" w:color="auto"/>
                    <w:right w:val="none" w:sz="0" w:space="0" w:color="auto"/>
                  </w:divBdr>
                  <w:divsChild>
                    <w:div w:id="361521674">
                      <w:marLeft w:val="0"/>
                      <w:marRight w:val="0"/>
                      <w:marTop w:val="0"/>
                      <w:marBottom w:val="0"/>
                      <w:divBdr>
                        <w:top w:val="none" w:sz="0" w:space="0" w:color="auto"/>
                        <w:left w:val="none" w:sz="0" w:space="0" w:color="auto"/>
                        <w:bottom w:val="none" w:sz="0" w:space="0" w:color="auto"/>
                        <w:right w:val="none" w:sz="0" w:space="0" w:color="auto"/>
                      </w:divBdr>
                    </w:div>
                  </w:divsChild>
                </w:div>
                <w:div w:id="755320581">
                  <w:marLeft w:val="0"/>
                  <w:marRight w:val="0"/>
                  <w:marTop w:val="0"/>
                  <w:marBottom w:val="0"/>
                  <w:divBdr>
                    <w:top w:val="none" w:sz="0" w:space="0" w:color="auto"/>
                    <w:left w:val="none" w:sz="0" w:space="0" w:color="auto"/>
                    <w:bottom w:val="none" w:sz="0" w:space="0" w:color="auto"/>
                    <w:right w:val="none" w:sz="0" w:space="0" w:color="auto"/>
                  </w:divBdr>
                  <w:divsChild>
                    <w:div w:id="115026564">
                      <w:marLeft w:val="0"/>
                      <w:marRight w:val="0"/>
                      <w:marTop w:val="0"/>
                      <w:marBottom w:val="0"/>
                      <w:divBdr>
                        <w:top w:val="none" w:sz="0" w:space="0" w:color="auto"/>
                        <w:left w:val="none" w:sz="0" w:space="0" w:color="auto"/>
                        <w:bottom w:val="none" w:sz="0" w:space="0" w:color="auto"/>
                        <w:right w:val="none" w:sz="0" w:space="0" w:color="auto"/>
                      </w:divBdr>
                    </w:div>
                  </w:divsChild>
                </w:div>
                <w:div w:id="767043539">
                  <w:marLeft w:val="0"/>
                  <w:marRight w:val="0"/>
                  <w:marTop w:val="0"/>
                  <w:marBottom w:val="0"/>
                  <w:divBdr>
                    <w:top w:val="none" w:sz="0" w:space="0" w:color="auto"/>
                    <w:left w:val="none" w:sz="0" w:space="0" w:color="auto"/>
                    <w:bottom w:val="none" w:sz="0" w:space="0" w:color="auto"/>
                    <w:right w:val="none" w:sz="0" w:space="0" w:color="auto"/>
                  </w:divBdr>
                  <w:divsChild>
                    <w:div w:id="842471250">
                      <w:marLeft w:val="0"/>
                      <w:marRight w:val="0"/>
                      <w:marTop w:val="0"/>
                      <w:marBottom w:val="0"/>
                      <w:divBdr>
                        <w:top w:val="none" w:sz="0" w:space="0" w:color="auto"/>
                        <w:left w:val="none" w:sz="0" w:space="0" w:color="auto"/>
                        <w:bottom w:val="none" w:sz="0" w:space="0" w:color="auto"/>
                        <w:right w:val="none" w:sz="0" w:space="0" w:color="auto"/>
                      </w:divBdr>
                    </w:div>
                  </w:divsChild>
                </w:div>
                <w:div w:id="776027870">
                  <w:marLeft w:val="0"/>
                  <w:marRight w:val="0"/>
                  <w:marTop w:val="0"/>
                  <w:marBottom w:val="0"/>
                  <w:divBdr>
                    <w:top w:val="none" w:sz="0" w:space="0" w:color="auto"/>
                    <w:left w:val="none" w:sz="0" w:space="0" w:color="auto"/>
                    <w:bottom w:val="none" w:sz="0" w:space="0" w:color="auto"/>
                    <w:right w:val="none" w:sz="0" w:space="0" w:color="auto"/>
                  </w:divBdr>
                  <w:divsChild>
                    <w:div w:id="857082018">
                      <w:marLeft w:val="0"/>
                      <w:marRight w:val="0"/>
                      <w:marTop w:val="0"/>
                      <w:marBottom w:val="0"/>
                      <w:divBdr>
                        <w:top w:val="none" w:sz="0" w:space="0" w:color="auto"/>
                        <w:left w:val="none" w:sz="0" w:space="0" w:color="auto"/>
                        <w:bottom w:val="none" w:sz="0" w:space="0" w:color="auto"/>
                        <w:right w:val="none" w:sz="0" w:space="0" w:color="auto"/>
                      </w:divBdr>
                    </w:div>
                  </w:divsChild>
                </w:div>
                <w:div w:id="784808959">
                  <w:marLeft w:val="0"/>
                  <w:marRight w:val="0"/>
                  <w:marTop w:val="0"/>
                  <w:marBottom w:val="0"/>
                  <w:divBdr>
                    <w:top w:val="none" w:sz="0" w:space="0" w:color="auto"/>
                    <w:left w:val="none" w:sz="0" w:space="0" w:color="auto"/>
                    <w:bottom w:val="none" w:sz="0" w:space="0" w:color="auto"/>
                    <w:right w:val="none" w:sz="0" w:space="0" w:color="auto"/>
                  </w:divBdr>
                  <w:divsChild>
                    <w:div w:id="120465358">
                      <w:marLeft w:val="0"/>
                      <w:marRight w:val="0"/>
                      <w:marTop w:val="0"/>
                      <w:marBottom w:val="0"/>
                      <w:divBdr>
                        <w:top w:val="none" w:sz="0" w:space="0" w:color="auto"/>
                        <w:left w:val="none" w:sz="0" w:space="0" w:color="auto"/>
                        <w:bottom w:val="none" w:sz="0" w:space="0" w:color="auto"/>
                        <w:right w:val="none" w:sz="0" w:space="0" w:color="auto"/>
                      </w:divBdr>
                    </w:div>
                  </w:divsChild>
                </w:div>
                <w:div w:id="820582033">
                  <w:marLeft w:val="0"/>
                  <w:marRight w:val="0"/>
                  <w:marTop w:val="0"/>
                  <w:marBottom w:val="0"/>
                  <w:divBdr>
                    <w:top w:val="none" w:sz="0" w:space="0" w:color="auto"/>
                    <w:left w:val="none" w:sz="0" w:space="0" w:color="auto"/>
                    <w:bottom w:val="none" w:sz="0" w:space="0" w:color="auto"/>
                    <w:right w:val="none" w:sz="0" w:space="0" w:color="auto"/>
                  </w:divBdr>
                  <w:divsChild>
                    <w:div w:id="1462649772">
                      <w:marLeft w:val="0"/>
                      <w:marRight w:val="0"/>
                      <w:marTop w:val="0"/>
                      <w:marBottom w:val="0"/>
                      <w:divBdr>
                        <w:top w:val="none" w:sz="0" w:space="0" w:color="auto"/>
                        <w:left w:val="none" w:sz="0" w:space="0" w:color="auto"/>
                        <w:bottom w:val="none" w:sz="0" w:space="0" w:color="auto"/>
                        <w:right w:val="none" w:sz="0" w:space="0" w:color="auto"/>
                      </w:divBdr>
                    </w:div>
                  </w:divsChild>
                </w:div>
                <w:div w:id="822745483">
                  <w:marLeft w:val="0"/>
                  <w:marRight w:val="0"/>
                  <w:marTop w:val="0"/>
                  <w:marBottom w:val="0"/>
                  <w:divBdr>
                    <w:top w:val="none" w:sz="0" w:space="0" w:color="auto"/>
                    <w:left w:val="none" w:sz="0" w:space="0" w:color="auto"/>
                    <w:bottom w:val="none" w:sz="0" w:space="0" w:color="auto"/>
                    <w:right w:val="none" w:sz="0" w:space="0" w:color="auto"/>
                  </w:divBdr>
                  <w:divsChild>
                    <w:div w:id="1006174860">
                      <w:marLeft w:val="0"/>
                      <w:marRight w:val="0"/>
                      <w:marTop w:val="0"/>
                      <w:marBottom w:val="0"/>
                      <w:divBdr>
                        <w:top w:val="none" w:sz="0" w:space="0" w:color="auto"/>
                        <w:left w:val="none" w:sz="0" w:space="0" w:color="auto"/>
                        <w:bottom w:val="none" w:sz="0" w:space="0" w:color="auto"/>
                        <w:right w:val="none" w:sz="0" w:space="0" w:color="auto"/>
                      </w:divBdr>
                    </w:div>
                  </w:divsChild>
                </w:div>
                <w:div w:id="828903007">
                  <w:marLeft w:val="0"/>
                  <w:marRight w:val="0"/>
                  <w:marTop w:val="0"/>
                  <w:marBottom w:val="0"/>
                  <w:divBdr>
                    <w:top w:val="none" w:sz="0" w:space="0" w:color="auto"/>
                    <w:left w:val="none" w:sz="0" w:space="0" w:color="auto"/>
                    <w:bottom w:val="none" w:sz="0" w:space="0" w:color="auto"/>
                    <w:right w:val="none" w:sz="0" w:space="0" w:color="auto"/>
                  </w:divBdr>
                  <w:divsChild>
                    <w:div w:id="1250113524">
                      <w:marLeft w:val="0"/>
                      <w:marRight w:val="0"/>
                      <w:marTop w:val="0"/>
                      <w:marBottom w:val="0"/>
                      <w:divBdr>
                        <w:top w:val="none" w:sz="0" w:space="0" w:color="auto"/>
                        <w:left w:val="none" w:sz="0" w:space="0" w:color="auto"/>
                        <w:bottom w:val="none" w:sz="0" w:space="0" w:color="auto"/>
                        <w:right w:val="none" w:sz="0" w:space="0" w:color="auto"/>
                      </w:divBdr>
                    </w:div>
                  </w:divsChild>
                </w:div>
                <w:div w:id="834608554">
                  <w:marLeft w:val="0"/>
                  <w:marRight w:val="0"/>
                  <w:marTop w:val="0"/>
                  <w:marBottom w:val="0"/>
                  <w:divBdr>
                    <w:top w:val="none" w:sz="0" w:space="0" w:color="auto"/>
                    <w:left w:val="none" w:sz="0" w:space="0" w:color="auto"/>
                    <w:bottom w:val="none" w:sz="0" w:space="0" w:color="auto"/>
                    <w:right w:val="none" w:sz="0" w:space="0" w:color="auto"/>
                  </w:divBdr>
                  <w:divsChild>
                    <w:div w:id="635069415">
                      <w:marLeft w:val="0"/>
                      <w:marRight w:val="0"/>
                      <w:marTop w:val="0"/>
                      <w:marBottom w:val="0"/>
                      <w:divBdr>
                        <w:top w:val="none" w:sz="0" w:space="0" w:color="auto"/>
                        <w:left w:val="none" w:sz="0" w:space="0" w:color="auto"/>
                        <w:bottom w:val="none" w:sz="0" w:space="0" w:color="auto"/>
                        <w:right w:val="none" w:sz="0" w:space="0" w:color="auto"/>
                      </w:divBdr>
                    </w:div>
                  </w:divsChild>
                </w:div>
                <w:div w:id="834732975">
                  <w:marLeft w:val="0"/>
                  <w:marRight w:val="0"/>
                  <w:marTop w:val="0"/>
                  <w:marBottom w:val="0"/>
                  <w:divBdr>
                    <w:top w:val="none" w:sz="0" w:space="0" w:color="auto"/>
                    <w:left w:val="none" w:sz="0" w:space="0" w:color="auto"/>
                    <w:bottom w:val="none" w:sz="0" w:space="0" w:color="auto"/>
                    <w:right w:val="none" w:sz="0" w:space="0" w:color="auto"/>
                  </w:divBdr>
                  <w:divsChild>
                    <w:div w:id="1631860554">
                      <w:marLeft w:val="0"/>
                      <w:marRight w:val="0"/>
                      <w:marTop w:val="0"/>
                      <w:marBottom w:val="0"/>
                      <w:divBdr>
                        <w:top w:val="none" w:sz="0" w:space="0" w:color="auto"/>
                        <w:left w:val="none" w:sz="0" w:space="0" w:color="auto"/>
                        <w:bottom w:val="none" w:sz="0" w:space="0" w:color="auto"/>
                        <w:right w:val="none" w:sz="0" w:space="0" w:color="auto"/>
                      </w:divBdr>
                    </w:div>
                  </w:divsChild>
                </w:div>
                <w:div w:id="837647226">
                  <w:marLeft w:val="0"/>
                  <w:marRight w:val="0"/>
                  <w:marTop w:val="0"/>
                  <w:marBottom w:val="0"/>
                  <w:divBdr>
                    <w:top w:val="none" w:sz="0" w:space="0" w:color="auto"/>
                    <w:left w:val="none" w:sz="0" w:space="0" w:color="auto"/>
                    <w:bottom w:val="none" w:sz="0" w:space="0" w:color="auto"/>
                    <w:right w:val="none" w:sz="0" w:space="0" w:color="auto"/>
                  </w:divBdr>
                  <w:divsChild>
                    <w:div w:id="1855067609">
                      <w:marLeft w:val="0"/>
                      <w:marRight w:val="0"/>
                      <w:marTop w:val="0"/>
                      <w:marBottom w:val="0"/>
                      <w:divBdr>
                        <w:top w:val="none" w:sz="0" w:space="0" w:color="auto"/>
                        <w:left w:val="none" w:sz="0" w:space="0" w:color="auto"/>
                        <w:bottom w:val="none" w:sz="0" w:space="0" w:color="auto"/>
                        <w:right w:val="none" w:sz="0" w:space="0" w:color="auto"/>
                      </w:divBdr>
                    </w:div>
                  </w:divsChild>
                </w:div>
                <w:div w:id="839003214">
                  <w:marLeft w:val="0"/>
                  <w:marRight w:val="0"/>
                  <w:marTop w:val="0"/>
                  <w:marBottom w:val="0"/>
                  <w:divBdr>
                    <w:top w:val="none" w:sz="0" w:space="0" w:color="auto"/>
                    <w:left w:val="none" w:sz="0" w:space="0" w:color="auto"/>
                    <w:bottom w:val="none" w:sz="0" w:space="0" w:color="auto"/>
                    <w:right w:val="none" w:sz="0" w:space="0" w:color="auto"/>
                  </w:divBdr>
                  <w:divsChild>
                    <w:div w:id="1221945402">
                      <w:marLeft w:val="0"/>
                      <w:marRight w:val="0"/>
                      <w:marTop w:val="0"/>
                      <w:marBottom w:val="0"/>
                      <w:divBdr>
                        <w:top w:val="none" w:sz="0" w:space="0" w:color="auto"/>
                        <w:left w:val="none" w:sz="0" w:space="0" w:color="auto"/>
                        <w:bottom w:val="none" w:sz="0" w:space="0" w:color="auto"/>
                        <w:right w:val="none" w:sz="0" w:space="0" w:color="auto"/>
                      </w:divBdr>
                    </w:div>
                  </w:divsChild>
                </w:div>
                <w:div w:id="851914814">
                  <w:marLeft w:val="0"/>
                  <w:marRight w:val="0"/>
                  <w:marTop w:val="0"/>
                  <w:marBottom w:val="0"/>
                  <w:divBdr>
                    <w:top w:val="none" w:sz="0" w:space="0" w:color="auto"/>
                    <w:left w:val="none" w:sz="0" w:space="0" w:color="auto"/>
                    <w:bottom w:val="none" w:sz="0" w:space="0" w:color="auto"/>
                    <w:right w:val="none" w:sz="0" w:space="0" w:color="auto"/>
                  </w:divBdr>
                  <w:divsChild>
                    <w:div w:id="804856072">
                      <w:marLeft w:val="0"/>
                      <w:marRight w:val="0"/>
                      <w:marTop w:val="0"/>
                      <w:marBottom w:val="0"/>
                      <w:divBdr>
                        <w:top w:val="none" w:sz="0" w:space="0" w:color="auto"/>
                        <w:left w:val="none" w:sz="0" w:space="0" w:color="auto"/>
                        <w:bottom w:val="none" w:sz="0" w:space="0" w:color="auto"/>
                        <w:right w:val="none" w:sz="0" w:space="0" w:color="auto"/>
                      </w:divBdr>
                    </w:div>
                  </w:divsChild>
                </w:div>
                <w:div w:id="862941822">
                  <w:marLeft w:val="0"/>
                  <w:marRight w:val="0"/>
                  <w:marTop w:val="0"/>
                  <w:marBottom w:val="0"/>
                  <w:divBdr>
                    <w:top w:val="none" w:sz="0" w:space="0" w:color="auto"/>
                    <w:left w:val="none" w:sz="0" w:space="0" w:color="auto"/>
                    <w:bottom w:val="none" w:sz="0" w:space="0" w:color="auto"/>
                    <w:right w:val="none" w:sz="0" w:space="0" w:color="auto"/>
                  </w:divBdr>
                  <w:divsChild>
                    <w:div w:id="33502947">
                      <w:marLeft w:val="0"/>
                      <w:marRight w:val="0"/>
                      <w:marTop w:val="0"/>
                      <w:marBottom w:val="0"/>
                      <w:divBdr>
                        <w:top w:val="none" w:sz="0" w:space="0" w:color="auto"/>
                        <w:left w:val="none" w:sz="0" w:space="0" w:color="auto"/>
                        <w:bottom w:val="none" w:sz="0" w:space="0" w:color="auto"/>
                        <w:right w:val="none" w:sz="0" w:space="0" w:color="auto"/>
                      </w:divBdr>
                    </w:div>
                  </w:divsChild>
                </w:div>
                <w:div w:id="874543527">
                  <w:marLeft w:val="0"/>
                  <w:marRight w:val="0"/>
                  <w:marTop w:val="0"/>
                  <w:marBottom w:val="0"/>
                  <w:divBdr>
                    <w:top w:val="none" w:sz="0" w:space="0" w:color="auto"/>
                    <w:left w:val="none" w:sz="0" w:space="0" w:color="auto"/>
                    <w:bottom w:val="none" w:sz="0" w:space="0" w:color="auto"/>
                    <w:right w:val="none" w:sz="0" w:space="0" w:color="auto"/>
                  </w:divBdr>
                  <w:divsChild>
                    <w:div w:id="1717579484">
                      <w:marLeft w:val="0"/>
                      <w:marRight w:val="0"/>
                      <w:marTop w:val="0"/>
                      <w:marBottom w:val="0"/>
                      <w:divBdr>
                        <w:top w:val="none" w:sz="0" w:space="0" w:color="auto"/>
                        <w:left w:val="none" w:sz="0" w:space="0" w:color="auto"/>
                        <w:bottom w:val="none" w:sz="0" w:space="0" w:color="auto"/>
                        <w:right w:val="none" w:sz="0" w:space="0" w:color="auto"/>
                      </w:divBdr>
                    </w:div>
                  </w:divsChild>
                </w:div>
                <w:div w:id="874733944">
                  <w:marLeft w:val="0"/>
                  <w:marRight w:val="0"/>
                  <w:marTop w:val="0"/>
                  <w:marBottom w:val="0"/>
                  <w:divBdr>
                    <w:top w:val="none" w:sz="0" w:space="0" w:color="auto"/>
                    <w:left w:val="none" w:sz="0" w:space="0" w:color="auto"/>
                    <w:bottom w:val="none" w:sz="0" w:space="0" w:color="auto"/>
                    <w:right w:val="none" w:sz="0" w:space="0" w:color="auto"/>
                  </w:divBdr>
                  <w:divsChild>
                    <w:div w:id="1787308960">
                      <w:marLeft w:val="0"/>
                      <w:marRight w:val="0"/>
                      <w:marTop w:val="0"/>
                      <w:marBottom w:val="0"/>
                      <w:divBdr>
                        <w:top w:val="none" w:sz="0" w:space="0" w:color="auto"/>
                        <w:left w:val="none" w:sz="0" w:space="0" w:color="auto"/>
                        <w:bottom w:val="none" w:sz="0" w:space="0" w:color="auto"/>
                        <w:right w:val="none" w:sz="0" w:space="0" w:color="auto"/>
                      </w:divBdr>
                    </w:div>
                  </w:divsChild>
                </w:div>
                <w:div w:id="886648823">
                  <w:marLeft w:val="0"/>
                  <w:marRight w:val="0"/>
                  <w:marTop w:val="0"/>
                  <w:marBottom w:val="0"/>
                  <w:divBdr>
                    <w:top w:val="none" w:sz="0" w:space="0" w:color="auto"/>
                    <w:left w:val="none" w:sz="0" w:space="0" w:color="auto"/>
                    <w:bottom w:val="none" w:sz="0" w:space="0" w:color="auto"/>
                    <w:right w:val="none" w:sz="0" w:space="0" w:color="auto"/>
                  </w:divBdr>
                  <w:divsChild>
                    <w:div w:id="432286824">
                      <w:marLeft w:val="0"/>
                      <w:marRight w:val="0"/>
                      <w:marTop w:val="0"/>
                      <w:marBottom w:val="0"/>
                      <w:divBdr>
                        <w:top w:val="none" w:sz="0" w:space="0" w:color="auto"/>
                        <w:left w:val="none" w:sz="0" w:space="0" w:color="auto"/>
                        <w:bottom w:val="none" w:sz="0" w:space="0" w:color="auto"/>
                        <w:right w:val="none" w:sz="0" w:space="0" w:color="auto"/>
                      </w:divBdr>
                    </w:div>
                  </w:divsChild>
                </w:div>
                <w:div w:id="900361473">
                  <w:marLeft w:val="0"/>
                  <w:marRight w:val="0"/>
                  <w:marTop w:val="0"/>
                  <w:marBottom w:val="0"/>
                  <w:divBdr>
                    <w:top w:val="none" w:sz="0" w:space="0" w:color="auto"/>
                    <w:left w:val="none" w:sz="0" w:space="0" w:color="auto"/>
                    <w:bottom w:val="none" w:sz="0" w:space="0" w:color="auto"/>
                    <w:right w:val="none" w:sz="0" w:space="0" w:color="auto"/>
                  </w:divBdr>
                  <w:divsChild>
                    <w:div w:id="436676495">
                      <w:marLeft w:val="0"/>
                      <w:marRight w:val="0"/>
                      <w:marTop w:val="0"/>
                      <w:marBottom w:val="0"/>
                      <w:divBdr>
                        <w:top w:val="none" w:sz="0" w:space="0" w:color="auto"/>
                        <w:left w:val="none" w:sz="0" w:space="0" w:color="auto"/>
                        <w:bottom w:val="none" w:sz="0" w:space="0" w:color="auto"/>
                        <w:right w:val="none" w:sz="0" w:space="0" w:color="auto"/>
                      </w:divBdr>
                    </w:div>
                  </w:divsChild>
                </w:div>
                <w:div w:id="914049477">
                  <w:marLeft w:val="0"/>
                  <w:marRight w:val="0"/>
                  <w:marTop w:val="0"/>
                  <w:marBottom w:val="0"/>
                  <w:divBdr>
                    <w:top w:val="none" w:sz="0" w:space="0" w:color="auto"/>
                    <w:left w:val="none" w:sz="0" w:space="0" w:color="auto"/>
                    <w:bottom w:val="none" w:sz="0" w:space="0" w:color="auto"/>
                    <w:right w:val="none" w:sz="0" w:space="0" w:color="auto"/>
                  </w:divBdr>
                  <w:divsChild>
                    <w:div w:id="225266111">
                      <w:marLeft w:val="0"/>
                      <w:marRight w:val="0"/>
                      <w:marTop w:val="0"/>
                      <w:marBottom w:val="0"/>
                      <w:divBdr>
                        <w:top w:val="none" w:sz="0" w:space="0" w:color="auto"/>
                        <w:left w:val="none" w:sz="0" w:space="0" w:color="auto"/>
                        <w:bottom w:val="none" w:sz="0" w:space="0" w:color="auto"/>
                        <w:right w:val="none" w:sz="0" w:space="0" w:color="auto"/>
                      </w:divBdr>
                    </w:div>
                  </w:divsChild>
                </w:div>
                <w:div w:id="923339469">
                  <w:marLeft w:val="0"/>
                  <w:marRight w:val="0"/>
                  <w:marTop w:val="0"/>
                  <w:marBottom w:val="0"/>
                  <w:divBdr>
                    <w:top w:val="none" w:sz="0" w:space="0" w:color="auto"/>
                    <w:left w:val="none" w:sz="0" w:space="0" w:color="auto"/>
                    <w:bottom w:val="none" w:sz="0" w:space="0" w:color="auto"/>
                    <w:right w:val="none" w:sz="0" w:space="0" w:color="auto"/>
                  </w:divBdr>
                  <w:divsChild>
                    <w:div w:id="596795934">
                      <w:marLeft w:val="0"/>
                      <w:marRight w:val="0"/>
                      <w:marTop w:val="0"/>
                      <w:marBottom w:val="0"/>
                      <w:divBdr>
                        <w:top w:val="none" w:sz="0" w:space="0" w:color="auto"/>
                        <w:left w:val="none" w:sz="0" w:space="0" w:color="auto"/>
                        <w:bottom w:val="none" w:sz="0" w:space="0" w:color="auto"/>
                        <w:right w:val="none" w:sz="0" w:space="0" w:color="auto"/>
                      </w:divBdr>
                    </w:div>
                  </w:divsChild>
                </w:div>
                <w:div w:id="929243830">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
                  </w:divsChild>
                </w:div>
                <w:div w:id="937644214">
                  <w:marLeft w:val="0"/>
                  <w:marRight w:val="0"/>
                  <w:marTop w:val="0"/>
                  <w:marBottom w:val="0"/>
                  <w:divBdr>
                    <w:top w:val="none" w:sz="0" w:space="0" w:color="auto"/>
                    <w:left w:val="none" w:sz="0" w:space="0" w:color="auto"/>
                    <w:bottom w:val="none" w:sz="0" w:space="0" w:color="auto"/>
                    <w:right w:val="none" w:sz="0" w:space="0" w:color="auto"/>
                  </w:divBdr>
                  <w:divsChild>
                    <w:div w:id="2095322552">
                      <w:marLeft w:val="0"/>
                      <w:marRight w:val="0"/>
                      <w:marTop w:val="0"/>
                      <w:marBottom w:val="0"/>
                      <w:divBdr>
                        <w:top w:val="none" w:sz="0" w:space="0" w:color="auto"/>
                        <w:left w:val="none" w:sz="0" w:space="0" w:color="auto"/>
                        <w:bottom w:val="none" w:sz="0" w:space="0" w:color="auto"/>
                        <w:right w:val="none" w:sz="0" w:space="0" w:color="auto"/>
                      </w:divBdr>
                    </w:div>
                  </w:divsChild>
                </w:div>
                <w:div w:id="940576475">
                  <w:marLeft w:val="0"/>
                  <w:marRight w:val="0"/>
                  <w:marTop w:val="0"/>
                  <w:marBottom w:val="0"/>
                  <w:divBdr>
                    <w:top w:val="none" w:sz="0" w:space="0" w:color="auto"/>
                    <w:left w:val="none" w:sz="0" w:space="0" w:color="auto"/>
                    <w:bottom w:val="none" w:sz="0" w:space="0" w:color="auto"/>
                    <w:right w:val="none" w:sz="0" w:space="0" w:color="auto"/>
                  </w:divBdr>
                  <w:divsChild>
                    <w:div w:id="539246027">
                      <w:marLeft w:val="0"/>
                      <w:marRight w:val="0"/>
                      <w:marTop w:val="0"/>
                      <w:marBottom w:val="0"/>
                      <w:divBdr>
                        <w:top w:val="none" w:sz="0" w:space="0" w:color="auto"/>
                        <w:left w:val="none" w:sz="0" w:space="0" w:color="auto"/>
                        <w:bottom w:val="none" w:sz="0" w:space="0" w:color="auto"/>
                        <w:right w:val="none" w:sz="0" w:space="0" w:color="auto"/>
                      </w:divBdr>
                    </w:div>
                  </w:divsChild>
                </w:div>
                <w:div w:id="962271799">
                  <w:marLeft w:val="0"/>
                  <w:marRight w:val="0"/>
                  <w:marTop w:val="0"/>
                  <w:marBottom w:val="0"/>
                  <w:divBdr>
                    <w:top w:val="none" w:sz="0" w:space="0" w:color="auto"/>
                    <w:left w:val="none" w:sz="0" w:space="0" w:color="auto"/>
                    <w:bottom w:val="none" w:sz="0" w:space="0" w:color="auto"/>
                    <w:right w:val="none" w:sz="0" w:space="0" w:color="auto"/>
                  </w:divBdr>
                  <w:divsChild>
                    <w:div w:id="2023582118">
                      <w:marLeft w:val="0"/>
                      <w:marRight w:val="0"/>
                      <w:marTop w:val="0"/>
                      <w:marBottom w:val="0"/>
                      <w:divBdr>
                        <w:top w:val="none" w:sz="0" w:space="0" w:color="auto"/>
                        <w:left w:val="none" w:sz="0" w:space="0" w:color="auto"/>
                        <w:bottom w:val="none" w:sz="0" w:space="0" w:color="auto"/>
                        <w:right w:val="none" w:sz="0" w:space="0" w:color="auto"/>
                      </w:divBdr>
                    </w:div>
                  </w:divsChild>
                </w:div>
                <w:div w:id="978611730">
                  <w:marLeft w:val="0"/>
                  <w:marRight w:val="0"/>
                  <w:marTop w:val="0"/>
                  <w:marBottom w:val="0"/>
                  <w:divBdr>
                    <w:top w:val="none" w:sz="0" w:space="0" w:color="auto"/>
                    <w:left w:val="none" w:sz="0" w:space="0" w:color="auto"/>
                    <w:bottom w:val="none" w:sz="0" w:space="0" w:color="auto"/>
                    <w:right w:val="none" w:sz="0" w:space="0" w:color="auto"/>
                  </w:divBdr>
                  <w:divsChild>
                    <w:div w:id="791363683">
                      <w:marLeft w:val="0"/>
                      <w:marRight w:val="0"/>
                      <w:marTop w:val="0"/>
                      <w:marBottom w:val="0"/>
                      <w:divBdr>
                        <w:top w:val="none" w:sz="0" w:space="0" w:color="auto"/>
                        <w:left w:val="none" w:sz="0" w:space="0" w:color="auto"/>
                        <w:bottom w:val="none" w:sz="0" w:space="0" w:color="auto"/>
                        <w:right w:val="none" w:sz="0" w:space="0" w:color="auto"/>
                      </w:divBdr>
                    </w:div>
                  </w:divsChild>
                </w:div>
                <w:div w:id="1001666846">
                  <w:marLeft w:val="0"/>
                  <w:marRight w:val="0"/>
                  <w:marTop w:val="0"/>
                  <w:marBottom w:val="0"/>
                  <w:divBdr>
                    <w:top w:val="none" w:sz="0" w:space="0" w:color="auto"/>
                    <w:left w:val="none" w:sz="0" w:space="0" w:color="auto"/>
                    <w:bottom w:val="none" w:sz="0" w:space="0" w:color="auto"/>
                    <w:right w:val="none" w:sz="0" w:space="0" w:color="auto"/>
                  </w:divBdr>
                  <w:divsChild>
                    <w:div w:id="334187206">
                      <w:marLeft w:val="0"/>
                      <w:marRight w:val="0"/>
                      <w:marTop w:val="0"/>
                      <w:marBottom w:val="0"/>
                      <w:divBdr>
                        <w:top w:val="none" w:sz="0" w:space="0" w:color="auto"/>
                        <w:left w:val="none" w:sz="0" w:space="0" w:color="auto"/>
                        <w:bottom w:val="none" w:sz="0" w:space="0" w:color="auto"/>
                        <w:right w:val="none" w:sz="0" w:space="0" w:color="auto"/>
                      </w:divBdr>
                    </w:div>
                  </w:divsChild>
                </w:div>
                <w:div w:id="1006248065">
                  <w:marLeft w:val="0"/>
                  <w:marRight w:val="0"/>
                  <w:marTop w:val="0"/>
                  <w:marBottom w:val="0"/>
                  <w:divBdr>
                    <w:top w:val="none" w:sz="0" w:space="0" w:color="auto"/>
                    <w:left w:val="none" w:sz="0" w:space="0" w:color="auto"/>
                    <w:bottom w:val="none" w:sz="0" w:space="0" w:color="auto"/>
                    <w:right w:val="none" w:sz="0" w:space="0" w:color="auto"/>
                  </w:divBdr>
                  <w:divsChild>
                    <w:div w:id="1432629066">
                      <w:marLeft w:val="0"/>
                      <w:marRight w:val="0"/>
                      <w:marTop w:val="0"/>
                      <w:marBottom w:val="0"/>
                      <w:divBdr>
                        <w:top w:val="none" w:sz="0" w:space="0" w:color="auto"/>
                        <w:left w:val="none" w:sz="0" w:space="0" w:color="auto"/>
                        <w:bottom w:val="none" w:sz="0" w:space="0" w:color="auto"/>
                        <w:right w:val="none" w:sz="0" w:space="0" w:color="auto"/>
                      </w:divBdr>
                    </w:div>
                  </w:divsChild>
                </w:div>
                <w:div w:id="1028987459">
                  <w:marLeft w:val="0"/>
                  <w:marRight w:val="0"/>
                  <w:marTop w:val="0"/>
                  <w:marBottom w:val="0"/>
                  <w:divBdr>
                    <w:top w:val="none" w:sz="0" w:space="0" w:color="auto"/>
                    <w:left w:val="none" w:sz="0" w:space="0" w:color="auto"/>
                    <w:bottom w:val="none" w:sz="0" w:space="0" w:color="auto"/>
                    <w:right w:val="none" w:sz="0" w:space="0" w:color="auto"/>
                  </w:divBdr>
                  <w:divsChild>
                    <w:div w:id="539825885">
                      <w:marLeft w:val="0"/>
                      <w:marRight w:val="0"/>
                      <w:marTop w:val="0"/>
                      <w:marBottom w:val="0"/>
                      <w:divBdr>
                        <w:top w:val="none" w:sz="0" w:space="0" w:color="auto"/>
                        <w:left w:val="none" w:sz="0" w:space="0" w:color="auto"/>
                        <w:bottom w:val="none" w:sz="0" w:space="0" w:color="auto"/>
                        <w:right w:val="none" w:sz="0" w:space="0" w:color="auto"/>
                      </w:divBdr>
                    </w:div>
                  </w:divsChild>
                </w:div>
                <w:div w:id="1053119222">
                  <w:marLeft w:val="0"/>
                  <w:marRight w:val="0"/>
                  <w:marTop w:val="0"/>
                  <w:marBottom w:val="0"/>
                  <w:divBdr>
                    <w:top w:val="none" w:sz="0" w:space="0" w:color="auto"/>
                    <w:left w:val="none" w:sz="0" w:space="0" w:color="auto"/>
                    <w:bottom w:val="none" w:sz="0" w:space="0" w:color="auto"/>
                    <w:right w:val="none" w:sz="0" w:space="0" w:color="auto"/>
                  </w:divBdr>
                  <w:divsChild>
                    <w:div w:id="2049335434">
                      <w:marLeft w:val="0"/>
                      <w:marRight w:val="0"/>
                      <w:marTop w:val="0"/>
                      <w:marBottom w:val="0"/>
                      <w:divBdr>
                        <w:top w:val="none" w:sz="0" w:space="0" w:color="auto"/>
                        <w:left w:val="none" w:sz="0" w:space="0" w:color="auto"/>
                        <w:bottom w:val="none" w:sz="0" w:space="0" w:color="auto"/>
                        <w:right w:val="none" w:sz="0" w:space="0" w:color="auto"/>
                      </w:divBdr>
                    </w:div>
                  </w:divsChild>
                </w:div>
                <w:div w:id="1113551370">
                  <w:marLeft w:val="0"/>
                  <w:marRight w:val="0"/>
                  <w:marTop w:val="0"/>
                  <w:marBottom w:val="0"/>
                  <w:divBdr>
                    <w:top w:val="none" w:sz="0" w:space="0" w:color="auto"/>
                    <w:left w:val="none" w:sz="0" w:space="0" w:color="auto"/>
                    <w:bottom w:val="none" w:sz="0" w:space="0" w:color="auto"/>
                    <w:right w:val="none" w:sz="0" w:space="0" w:color="auto"/>
                  </w:divBdr>
                  <w:divsChild>
                    <w:div w:id="1385180772">
                      <w:marLeft w:val="0"/>
                      <w:marRight w:val="0"/>
                      <w:marTop w:val="0"/>
                      <w:marBottom w:val="0"/>
                      <w:divBdr>
                        <w:top w:val="none" w:sz="0" w:space="0" w:color="auto"/>
                        <w:left w:val="none" w:sz="0" w:space="0" w:color="auto"/>
                        <w:bottom w:val="none" w:sz="0" w:space="0" w:color="auto"/>
                        <w:right w:val="none" w:sz="0" w:space="0" w:color="auto"/>
                      </w:divBdr>
                    </w:div>
                  </w:divsChild>
                </w:div>
                <w:div w:id="1117719845">
                  <w:marLeft w:val="0"/>
                  <w:marRight w:val="0"/>
                  <w:marTop w:val="0"/>
                  <w:marBottom w:val="0"/>
                  <w:divBdr>
                    <w:top w:val="none" w:sz="0" w:space="0" w:color="auto"/>
                    <w:left w:val="none" w:sz="0" w:space="0" w:color="auto"/>
                    <w:bottom w:val="none" w:sz="0" w:space="0" w:color="auto"/>
                    <w:right w:val="none" w:sz="0" w:space="0" w:color="auto"/>
                  </w:divBdr>
                  <w:divsChild>
                    <w:div w:id="1411199201">
                      <w:marLeft w:val="0"/>
                      <w:marRight w:val="0"/>
                      <w:marTop w:val="0"/>
                      <w:marBottom w:val="0"/>
                      <w:divBdr>
                        <w:top w:val="none" w:sz="0" w:space="0" w:color="auto"/>
                        <w:left w:val="none" w:sz="0" w:space="0" w:color="auto"/>
                        <w:bottom w:val="none" w:sz="0" w:space="0" w:color="auto"/>
                        <w:right w:val="none" w:sz="0" w:space="0" w:color="auto"/>
                      </w:divBdr>
                    </w:div>
                  </w:divsChild>
                </w:div>
                <w:div w:id="1131940593">
                  <w:marLeft w:val="0"/>
                  <w:marRight w:val="0"/>
                  <w:marTop w:val="0"/>
                  <w:marBottom w:val="0"/>
                  <w:divBdr>
                    <w:top w:val="none" w:sz="0" w:space="0" w:color="auto"/>
                    <w:left w:val="none" w:sz="0" w:space="0" w:color="auto"/>
                    <w:bottom w:val="none" w:sz="0" w:space="0" w:color="auto"/>
                    <w:right w:val="none" w:sz="0" w:space="0" w:color="auto"/>
                  </w:divBdr>
                  <w:divsChild>
                    <w:div w:id="684555178">
                      <w:marLeft w:val="0"/>
                      <w:marRight w:val="0"/>
                      <w:marTop w:val="0"/>
                      <w:marBottom w:val="0"/>
                      <w:divBdr>
                        <w:top w:val="none" w:sz="0" w:space="0" w:color="auto"/>
                        <w:left w:val="none" w:sz="0" w:space="0" w:color="auto"/>
                        <w:bottom w:val="none" w:sz="0" w:space="0" w:color="auto"/>
                        <w:right w:val="none" w:sz="0" w:space="0" w:color="auto"/>
                      </w:divBdr>
                    </w:div>
                  </w:divsChild>
                </w:div>
                <w:div w:id="1139811124">
                  <w:marLeft w:val="0"/>
                  <w:marRight w:val="0"/>
                  <w:marTop w:val="0"/>
                  <w:marBottom w:val="0"/>
                  <w:divBdr>
                    <w:top w:val="none" w:sz="0" w:space="0" w:color="auto"/>
                    <w:left w:val="none" w:sz="0" w:space="0" w:color="auto"/>
                    <w:bottom w:val="none" w:sz="0" w:space="0" w:color="auto"/>
                    <w:right w:val="none" w:sz="0" w:space="0" w:color="auto"/>
                  </w:divBdr>
                  <w:divsChild>
                    <w:div w:id="1873105213">
                      <w:marLeft w:val="0"/>
                      <w:marRight w:val="0"/>
                      <w:marTop w:val="0"/>
                      <w:marBottom w:val="0"/>
                      <w:divBdr>
                        <w:top w:val="none" w:sz="0" w:space="0" w:color="auto"/>
                        <w:left w:val="none" w:sz="0" w:space="0" w:color="auto"/>
                        <w:bottom w:val="none" w:sz="0" w:space="0" w:color="auto"/>
                        <w:right w:val="none" w:sz="0" w:space="0" w:color="auto"/>
                      </w:divBdr>
                    </w:div>
                  </w:divsChild>
                </w:div>
                <w:div w:id="1159686590">
                  <w:marLeft w:val="0"/>
                  <w:marRight w:val="0"/>
                  <w:marTop w:val="0"/>
                  <w:marBottom w:val="0"/>
                  <w:divBdr>
                    <w:top w:val="none" w:sz="0" w:space="0" w:color="auto"/>
                    <w:left w:val="none" w:sz="0" w:space="0" w:color="auto"/>
                    <w:bottom w:val="none" w:sz="0" w:space="0" w:color="auto"/>
                    <w:right w:val="none" w:sz="0" w:space="0" w:color="auto"/>
                  </w:divBdr>
                  <w:divsChild>
                    <w:div w:id="988436912">
                      <w:marLeft w:val="0"/>
                      <w:marRight w:val="0"/>
                      <w:marTop w:val="0"/>
                      <w:marBottom w:val="0"/>
                      <w:divBdr>
                        <w:top w:val="none" w:sz="0" w:space="0" w:color="auto"/>
                        <w:left w:val="none" w:sz="0" w:space="0" w:color="auto"/>
                        <w:bottom w:val="none" w:sz="0" w:space="0" w:color="auto"/>
                        <w:right w:val="none" w:sz="0" w:space="0" w:color="auto"/>
                      </w:divBdr>
                    </w:div>
                  </w:divsChild>
                </w:div>
                <w:div w:id="1184975102">
                  <w:marLeft w:val="0"/>
                  <w:marRight w:val="0"/>
                  <w:marTop w:val="0"/>
                  <w:marBottom w:val="0"/>
                  <w:divBdr>
                    <w:top w:val="none" w:sz="0" w:space="0" w:color="auto"/>
                    <w:left w:val="none" w:sz="0" w:space="0" w:color="auto"/>
                    <w:bottom w:val="none" w:sz="0" w:space="0" w:color="auto"/>
                    <w:right w:val="none" w:sz="0" w:space="0" w:color="auto"/>
                  </w:divBdr>
                  <w:divsChild>
                    <w:div w:id="798692048">
                      <w:marLeft w:val="0"/>
                      <w:marRight w:val="0"/>
                      <w:marTop w:val="0"/>
                      <w:marBottom w:val="0"/>
                      <w:divBdr>
                        <w:top w:val="none" w:sz="0" w:space="0" w:color="auto"/>
                        <w:left w:val="none" w:sz="0" w:space="0" w:color="auto"/>
                        <w:bottom w:val="none" w:sz="0" w:space="0" w:color="auto"/>
                        <w:right w:val="none" w:sz="0" w:space="0" w:color="auto"/>
                      </w:divBdr>
                    </w:div>
                  </w:divsChild>
                </w:div>
                <w:div w:id="1190606545">
                  <w:marLeft w:val="0"/>
                  <w:marRight w:val="0"/>
                  <w:marTop w:val="0"/>
                  <w:marBottom w:val="0"/>
                  <w:divBdr>
                    <w:top w:val="none" w:sz="0" w:space="0" w:color="auto"/>
                    <w:left w:val="none" w:sz="0" w:space="0" w:color="auto"/>
                    <w:bottom w:val="none" w:sz="0" w:space="0" w:color="auto"/>
                    <w:right w:val="none" w:sz="0" w:space="0" w:color="auto"/>
                  </w:divBdr>
                  <w:divsChild>
                    <w:div w:id="1176192924">
                      <w:marLeft w:val="0"/>
                      <w:marRight w:val="0"/>
                      <w:marTop w:val="0"/>
                      <w:marBottom w:val="0"/>
                      <w:divBdr>
                        <w:top w:val="none" w:sz="0" w:space="0" w:color="auto"/>
                        <w:left w:val="none" w:sz="0" w:space="0" w:color="auto"/>
                        <w:bottom w:val="none" w:sz="0" w:space="0" w:color="auto"/>
                        <w:right w:val="none" w:sz="0" w:space="0" w:color="auto"/>
                      </w:divBdr>
                    </w:div>
                  </w:divsChild>
                </w:div>
                <w:div w:id="1191601991">
                  <w:marLeft w:val="0"/>
                  <w:marRight w:val="0"/>
                  <w:marTop w:val="0"/>
                  <w:marBottom w:val="0"/>
                  <w:divBdr>
                    <w:top w:val="none" w:sz="0" w:space="0" w:color="auto"/>
                    <w:left w:val="none" w:sz="0" w:space="0" w:color="auto"/>
                    <w:bottom w:val="none" w:sz="0" w:space="0" w:color="auto"/>
                    <w:right w:val="none" w:sz="0" w:space="0" w:color="auto"/>
                  </w:divBdr>
                  <w:divsChild>
                    <w:div w:id="1165196545">
                      <w:marLeft w:val="0"/>
                      <w:marRight w:val="0"/>
                      <w:marTop w:val="0"/>
                      <w:marBottom w:val="0"/>
                      <w:divBdr>
                        <w:top w:val="none" w:sz="0" w:space="0" w:color="auto"/>
                        <w:left w:val="none" w:sz="0" w:space="0" w:color="auto"/>
                        <w:bottom w:val="none" w:sz="0" w:space="0" w:color="auto"/>
                        <w:right w:val="none" w:sz="0" w:space="0" w:color="auto"/>
                      </w:divBdr>
                    </w:div>
                  </w:divsChild>
                </w:div>
                <w:div w:id="1207983285">
                  <w:marLeft w:val="0"/>
                  <w:marRight w:val="0"/>
                  <w:marTop w:val="0"/>
                  <w:marBottom w:val="0"/>
                  <w:divBdr>
                    <w:top w:val="none" w:sz="0" w:space="0" w:color="auto"/>
                    <w:left w:val="none" w:sz="0" w:space="0" w:color="auto"/>
                    <w:bottom w:val="none" w:sz="0" w:space="0" w:color="auto"/>
                    <w:right w:val="none" w:sz="0" w:space="0" w:color="auto"/>
                  </w:divBdr>
                  <w:divsChild>
                    <w:div w:id="1371805836">
                      <w:marLeft w:val="0"/>
                      <w:marRight w:val="0"/>
                      <w:marTop w:val="0"/>
                      <w:marBottom w:val="0"/>
                      <w:divBdr>
                        <w:top w:val="none" w:sz="0" w:space="0" w:color="auto"/>
                        <w:left w:val="none" w:sz="0" w:space="0" w:color="auto"/>
                        <w:bottom w:val="none" w:sz="0" w:space="0" w:color="auto"/>
                        <w:right w:val="none" w:sz="0" w:space="0" w:color="auto"/>
                      </w:divBdr>
                    </w:div>
                  </w:divsChild>
                </w:div>
                <w:div w:id="1218279781">
                  <w:marLeft w:val="0"/>
                  <w:marRight w:val="0"/>
                  <w:marTop w:val="0"/>
                  <w:marBottom w:val="0"/>
                  <w:divBdr>
                    <w:top w:val="none" w:sz="0" w:space="0" w:color="auto"/>
                    <w:left w:val="none" w:sz="0" w:space="0" w:color="auto"/>
                    <w:bottom w:val="none" w:sz="0" w:space="0" w:color="auto"/>
                    <w:right w:val="none" w:sz="0" w:space="0" w:color="auto"/>
                  </w:divBdr>
                  <w:divsChild>
                    <w:div w:id="1984042488">
                      <w:marLeft w:val="0"/>
                      <w:marRight w:val="0"/>
                      <w:marTop w:val="0"/>
                      <w:marBottom w:val="0"/>
                      <w:divBdr>
                        <w:top w:val="none" w:sz="0" w:space="0" w:color="auto"/>
                        <w:left w:val="none" w:sz="0" w:space="0" w:color="auto"/>
                        <w:bottom w:val="none" w:sz="0" w:space="0" w:color="auto"/>
                        <w:right w:val="none" w:sz="0" w:space="0" w:color="auto"/>
                      </w:divBdr>
                    </w:div>
                  </w:divsChild>
                </w:div>
                <w:div w:id="1229345937">
                  <w:marLeft w:val="0"/>
                  <w:marRight w:val="0"/>
                  <w:marTop w:val="0"/>
                  <w:marBottom w:val="0"/>
                  <w:divBdr>
                    <w:top w:val="none" w:sz="0" w:space="0" w:color="auto"/>
                    <w:left w:val="none" w:sz="0" w:space="0" w:color="auto"/>
                    <w:bottom w:val="none" w:sz="0" w:space="0" w:color="auto"/>
                    <w:right w:val="none" w:sz="0" w:space="0" w:color="auto"/>
                  </w:divBdr>
                  <w:divsChild>
                    <w:div w:id="1912083352">
                      <w:marLeft w:val="0"/>
                      <w:marRight w:val="0"/>
                      <w:marTop w:val="0"/>
                      <w:marBottom w:val="0"/>
                      <w:divBdr>
                        <w:top w:val="none" w:sz="0" w:space="0" w:color="auto"/>
                        <w:left w:val="none" w:sz="0" w:space="0" w:color="auto"/>
                        <w:bottom w:val="none" w:sz="0" w:space="0" w:color="auto"/>
                        <w:right w:val="none" w:sz="0" w:space="0" w:color="auto"/>
                      </w:divBdr>
                    </w:div>
                  </w:divsChild>
                </w:div>
                <w:div w:id="1236013339">
                  <w:marLeft w:val="0"/>
                  <w:marRight w:val="0"/>
                  <w:marTop w:val="0"/>
                  <w:marBottom w:val="0"/>
                  <w:divBdr>
                    <w:top w:val="none" w:sz="0" w:space="0" w:color="auto"/>
                    <w:left w:val="none" w:sz="0" w:space="0" w:color="auto"/>
                    <w:bottom w:val="none" w:sz="0" w:space="0" w:color="auto"/>
                    <w:right w:val="none" w:sz="0" w:space="0" w:color="auto"/>
                  </w:divBdr>
                  <w:divsChild>
                    <w:div w:id="1503084897">
                      <w:marLeft w:val="0"/>
                      <w:marRight w:val="0"/>
                      <w:marTop w:val="0"/>
                      <w:marBottom w:val="0"/>
                      <w:divBdr>
                        <w:top w:val="none" w:sz="0" w:space="0" w:color="auto"/>
                        <w:left w:val="none" w:sz="0" w:space="0" w:color="auto"/>
                        <w:bottom w:val="none" w:sz="0" w:space="0" w:color="auto"/>
                        <w:right w:val="none" w:sz="0" w:space="0" w:color="auto"/>
                      </w:divBdr>
                    </w:div>
                  </w:divsChild>
                </w:div>
                <w:div w:id="1243949261">
                  <w:marLeft w:val="0"/>
                  <w:marRight w:val="0"/>
                  <w:marTop w:val="0"/>
                  <w:marBottom w:val="0"/>
                  <w:divBdr>
                    <w:top w:val="none" w:sz="0" w:space="0" w:color="auto"/>
                    <w:left w:val="none" w:sz="0" w:space="0" w:color="auto"/>
                    <w:bottom w:val="none" w:sz="0" w:space="0" w:color="auto"/>
                    <w:right w:val="none" w:sz="0" w:space="0" w:color="auto"/>
                  </w:divBdr>
                  <w:divsChild>
                    <w:div w:id="1812746765">
                      <w:marLeft w:val="0"/>
                      <w:marRight w:val="0"/>
                      <w:marTop w:val="0"/>
                      <w:marBottom w:val="0"/>
                      <w:divBdr>
                        <w:top w:val="none" w:sz="0" w:space="0" w:color="auto"/>
                        <w:left w:val="none" w:sz="0" w:space="0" w:color="auto"/>
                        <w:bottom w:val="none" w:sz="0" w:space="0" w:color="auto"/>
                        <w:right w:val="none" w:sz="0" w:space="0" w:color="auto"/>
                      </w:divBdr>
                    </w:div>
                  </w:divsChild>
                </w:div>
                <w:div w:id="1259950282">
                  <w:marLeft w:val="0"/>
                  <w:marRight w:val="0"/>
                  <w:marTop w:val="0"/>
                  <w:marBottom w:val="0"/>
                  <w:divBdr>
                    <w:top w:val="none" w:sz="0" w:space="0" w:color="auto"/>
                    <w:left w:val="none" w:sz="0" w:space="0" w:color="auto"/>
                    <w:bottom w:val="none" w:sz="0" w:space="0" w:color="auto"/>
                    <w:right w:val="none" w:sz="0" w:space="0" w:color="auto"/>
                  </w:divBdr>
                  <w:divsChild>
                    <w:div w:id="1139880789">
                      <w:marLeft w:val="0"/>
                      <w:marRight w:val="0"/>
                      <w:marTop w:val="0"/>
                      <w:marBottom w:val="0"/>
                      <w:divBdr>
                        <w:top w:val="none" w:sz="0" w:space="0" w:color="auto"/>
                        <w:left w:val="none" w:sz="0" w:space="0" w:color="auto"/>
                        <w:bottom w:val="none" w:sz="0" w:space="0" w:color="auto"/>
                        <w:right w:val="none" w:sz="0" w:space="0" w:color="auto"/>
                      </w:divBdr>
                    </w:div>
                  </w:divsChild>
                </w:div>
                <w:div w:id="1280913321">
                  <w:marLeft w:val="0"/>
                  <w:marRight w:val="0"/>
                  <w:marTop w:val="0"/>
                  <w:marBottom w:val="0"/>
                  <w:divBdr>
                    <w:top w:val="none" w:sz="0" w:space="0" w:color="auto"/>
                    <w:left w:val="none" w:sz="0" w:space="0" w:color="auto"/>
                    <w:bottom w:val="none" w:sz="0" w:space="0" w:color="auto"/>
                    <w:right w:val="none" w:sz="0" w:space="0" w:color="auto"/>
                  </w:divBdr>
                  <w:divsChild>
                    <w:div w:id="1650860970">
                      <w:marLeft w:val="0"/>
                      <w:marRight w:val="0"/>
                      <w:marTop w:val="0"/>
                      <w:marBottom w:val="0"/>
                      <w:divBdr>
                        <w:top w:val="none" w:sz="0" w:space="0" w:color="auto"/>
                        <w:left w:val="none" w:sz="0" w:space="0" w:color="auto"/>
                        <w:bottom w:val="none" w:sz="0" w:space="0" w:color="auto"/>
                        <w:right w:val="none" w:sz="0" w:space="0" w:color="auto"/>
                      </w:divBdr>
                    </w:div>
                  </w:divsChild>
                </w:div>
                <w:div w:id="1286153661">
                  <w:marLeft w:val="0"/>
                  <w:marRight w:val="0"/>
                  <w:marTop w:val="0"/>
                  <w:marBottom w:val="0"/>
                  <w:divBdr>
                    <w:top w:val="none" w:sz="0" w:space="0" w:color="auto"/>
                    <w:left w:val="none" w:sz="0" w:space="0" w:color="auto"/>
                    <w:bottom w:val="none" w:sz="0" w:space="0" w:color="auto"/>
                    <w:right w:val="none" w:sz="0" w:space="0" w:color="auto"/>
                  </w:divBdr>
                  <w:divsChild>
                    <w:div w:id="1414546856">
                      <w:marLeft w:val="0"/>
                      <w:marRight w:val="0"/>
                      <w:marTop w:val="0"/>
                      <w:marBottom w:val="0"/>
                      <w:divBdr>
                        <w:top w:val="none" w:sz="0" w:space="0" w:color="auto"/>
                        <w:left w:val="none" w:sz="0" w:space="0" w:color="auto"/>
                        <w:bottom w:val="none" w:sz="0" w:space="0" w:color="auto"/>
                        <w:right w:val="none" w:sz="0" w:space="0" w:color="auto"/>
                      </w:divBdr>
                    </w:div>
                  </w:divsChild>
                </w:div>
                <w:div w:id="1301037286">
                  <w:marLeft w:val="0"/>
                  <w:marRight w:val="0"/>
                  <w:marTop w:val="0"/>
                  <w:marBottom w:val="0"/>
                  <w:divBdr>
                    <w:top w:val="none" w:sz="0" w:space="0" w:color="auto"/>
                    <w:left w:val="none" w:sz="0" w:space="0" w:color="auto"/>
                    <w:bottom w:val="none" w:sz="0" w:space="0" w:color="auto"/>
                    <w:right w:val="none" w:sz="0" w:space="0" w:color="auto"/>
                  </w:divBdr>
                  <w:divsChild>
                    <w:div w:id="310527316">
                      <w:marLeft w:val="0"/>
                      <w:marRight w:val="0"/>
                      <w:marTop w:val="0"/>
                      <w:marBottom w:val="0"/>
                      <w:divBdr>
                        <w:top w:val="none" w:sz="0" w:space="0" w:color="auto"/>
                        <w:left w:val="none" w:sz="0" w:space="0" w:color="auto"/>
                        <w:bottom w:val="none" w:sz="0" w:space="0" w:color="auto"/>
                        <w:right w:val="none" w:sz="0" w:space="0" w:color="auto"/>
                      </w:divBdr>
                    </w:div>
                  </w:divsChild>
                </w:div>
                <w:div w:id="1314867865">
                  <w:marLeft w:val="0"/>
                  <w:marRight w:val="0"/>
                  <w:marTop w:val="0"/>
                  <w:marBottom w:val="0"/>
                  <w:divBdr>
                    <w:top w:val="none" w:sz="0" w:space="0" w:color="auto"/>
                    <w:left w:val="none" w:sz="0" w:space="0" w:color="auto"/>
                    <w:bottom w:val="none" w:sz="0" w:space="0" w:color="auto"/>
                    <w:right w:val="none" w:sz="0" w:space="0" w:color="auto"/>
                  </w:divBdr>
                  <w:divsChild>
                    <w:div w:id="2030252694">
                      <w:marLeft w:val="0"/>
                      <w:marRight w:val="0"/>
                      <w:marTop w:val="0"/>
                      <w:marBottom w:val="0"/>
                      <w:divBdr>
                        <w:top w:val="none" w:sz="0" w:space="0" w:color="auto"/>
                        <w:left w:val="none" w:sz="0" w:space="0" w:color="auto"/>
                        <w:bottom w:val="none" w:sz="0" w:space="0" w:color="auto"/>
                        <w:right w:val="none" w:sz="0" w:space="0" w:color="auto"/>
                      </w:divBdr>
                    </w:div>
                  </w:divsChild>
                </w:div>
                <w:div w:id="1319075028">
                  <w:marLeft w:val="0"/>
                  <w:marRight w:val="0"/>
                  <w:marTop w:val="0"/>
                  <w:marBottom w:val="0"/>
                  <w:divBdr>
                    <w:top w:val="none" w:sz="0" w:space="0" w:color="auto"/>
                    <w:left w:val="none" w:sz="0" w:space="0" w:color="auto"/>
                    <w:bottom w:val="none" w:sz="0" w:space="0" w:color="auto"/>
                    <w:right w:val="none" w:sz="0" w:space="0" w:color="auto"/>
                  </w:divBdr>
                  <w:divsChild>
                    <w:div w:id="230425739">
                      <w:marLeft w:val="0"/>
                      <w:marRight w:val="0"/>
                      <w:marTop w:val="0"/>
                      <w:marBottom w:val="0"/>
                      <w:divBdr>
                        <w:top w:val="none" w:sz="0" w:space="0" w:color="auto"/>
                        <w:left w:val="none" w:sz="0" w:space="0" w:color="auto"/>
                        <w:bottom w:val="none" w:sz="0" w:space="0" w:color="auto"/>
                        <w:right w:val="none" w:sz="0" w:space="0" w:color="auto"/>
                      </w:divBdr>
                    </w:div>
                  </w:divsChild>
                </w:div>
                <w:div w:id="1341666910">
                  <w:marLeft w:val="0"/>
                  <w:marRight w:val="0"/>
                  <w:marTop w:val="0"/>
                  <w:marBottom w:val="0"/>
                  <w:divBdr>
                    <w:top w:val="none" w:sz="0" w:space="0" w:color="auto"/>
                    <w:left w:val="none" w:sz="0" w:space="0" w:color="auto"/>
                    <w:bottom w:val="none" w:sz="0" w:space="0" w:color="auto"/>
                    <w:right w:val="none" w:sz="0" w:space="0" w:color="auto"/>
                  </w:divBdr>
                  <w:divsChild>
                    <w:div w:id="1405882675">
                      <w:marLeft w:val="0"/>
                      <w:marRight w:val="0"/>
                      <w:marTop w:val="0"/>
                      <w:marBottom w:val="0"/>
                      <w:divBdr>
                        <w:top w:val="none" w:sz="0" w:space="0" w:color="auto"/>
                        <w:left w:val="none" w:sz="0" w:space="0" w:color="auto"/>
                        <w:bottom w:val="none" w:sz="0" w:space="0" w:color="auto"/>
                        <w:right w:val="none" w:sz="0" w:space="0" w:color="auto"/>
                      </w:divBdr>
                    </w:div>
                  </w:divsChild>
                </w:div>
                <w:div w:id="1348606149">
                  <w:marLeft w:val="0"/>
                  <w:marRight w:val="0"/>
                  <w:marTop w:val="0"/>
                  <w:marBottom w:val="0"/>
                  <w:divBdr>
                    <w:top w:val="none" w:sz="0" w:space="0" w:color="auto"/>
                    <w:left w:val="none" w:sz="0" w:space="0" w:color="auto"/>
                    <w:bottom w:val="none" w:sz="0" w:space="0" w:color="auto"/>
                    <w:right w:val="none" w:sz="0" w:space="0" w:color="auto"/>
                  </w:divBdr>
                  <w:divsChild>
                    <w:div w:id="796801757">
                      <w:marLeft w:val="0"/>
                      <w:marRight w:val="0"/>
                      <w:marTop w:val="0"/>
                      <w:marBottom w:val="0"/>
                      <w:divBdr>
                        <w:top w:val="none" w:sz="0" w:space="0" w:color="auto"/>
                        <w:left w:val="none" w:sz="0" w:space="0" w:color="auto"/>
                        <w:bottom w:val="none" w:sz="0" w:space="0" w:color="auto"/>
                        <w:right w:val="none" w:sz="0" w:space="0" w:color="auto"/>
                      </w:divBdr>
                    </w:div>
                  </w:divsChild>
                </w:div>
                <w:div w:id="1360350922">
                  <w:marLeft w:val="0"/>
                  <w:marRight w:val="0"/>
                  <w:marTop w:val="0"/>
                  <w:marBottom w:val="0"/>
                  <w:divBdr>
                    <w:top w:val="none" w:sz="0" w:space="0" w:color="auto"/>
                    <w:left w:val="none" w:sz="0" w:space="0" w:color="auto"/>
                    <w:bottom w:val="none" w:sz="0" w:space="0" w:color="auto"/>
                    <w:right w:val="none" w:sz="0" w:space="0" w:color="auto"/>
                  </w:divBdr>
                  <w:divsChild>
                    <w:div w:id="324668285">
                      <w:marLeft w:val="0"/>
                      <w:marRight w:val="0"/>
                      <w:marTop w:val="0"/>
                      <w:marBottom w:val="0"/>
                      <w:divBdr>
                        <w:top w:val="none" w:sz="0" w:space="0" w:color="auto"/>
                        <w:left w:val="none" w:sz="0" w:space="0" w:color="auto"/>
                        <w:bottom w:val="none" w:sz="0" w:space="0" w:color="auto"/>
                        <w:right w:val="none" w:sz="0" w:space="0" w:color="auto"/>
                      </w:divBdr>
                    </w:div>
                  </w:divsChild>
                </w:div>
                <w:div w:id="1370179197">
                  <w:marLeft w:val="0"/>
                  <w:marRight w:val="0"/>
                  <w:marTop w:val="0"/>
                  <w:marBottom w:val="0"/>
                  <w:divBdr>
                    <w:top w:val="none" w:sz="0" w:space="0" w:color="auto"/>
                    <w:left w:val="none" w:sz="0" w:space="0" w:color="auto"/>
                    <w:bottom w:val="none" w:sz="0" w:space="0" w:color="auto"/>
                    <w:right w:val="none" w:sz="0" w:space="0" w:color="auto"/>
                  </w:divBdr>
                  <w:divsChild>
                    <w:div w:id="1693065440">
                      <w:marLeft w:val="0"/>
                      <w:marRight w:val="0"/>
                      <w:marTop w:val="0"/>
                      <w:marBottom w:val="0"/>
                      <w:divBdr>
                        <w:top w:val="none" w:sz="0" w:space="0" w:color="auto"/>
                        <w:left w:val="none" w:sz="0" w:space="0" w:color="auto"/>
                        <w:bottom w:val="none" w:sz="0" w:space="0" w:color="auto"/>
                        <w:right w:val="none" w:sz="0" w:space="0" w:color="auto"/>
                      </w:divBdr>
                    </w:div>
                  </w:divsChild>
                </w:div>
                <w:div w:id="1378892407">
                  <w:marLeft w:val="0"/>
                  <w:marRight w:val="0"/>
                  <w:marTop w:val="0"/>
                  <w:marBottom w:val="0"/>
                  <w:divBdr>
                    <w:top w:val="none" w:sz="0" w:space="0" w:color="auto"/>
                    <w:left w:val="none" w:sz="0" w:space="0" w:color="auto"/>
                    <w:bottom w:val="none" w:sz="0" w:space="0" w:color="auto"/>
                    <w:right w:val="none" w:sz="0" w:space="0" w:color="auto"/>
                  </w:divBdr>
                  <w:divsChild>
                    <w:div w:id="1502352671">
                      <w:marLeft w:val="0"/>
                      <w:marRight w:val="0"/>
                      <w:marTop w:val="0"/>
                      <w:marBottom w:val="0"/>
                      <w:divBdr>
                        <w:top w:val="none" w:sz="0" w:space="0" w:color="auto"/>
                        <w:left w:val="none" w:sz="0" w:space="0" w:color="auto"/>
                        <w:bottom w:val="none" w:sz="0" w:space="0" w:color="auto"/>
                        <w:right w:val="none" w:sz="0" w:space="0" w:color="auto"/>
                      </w:divBdr>
                    </w:div>
                  </w:divsChild>
                </w:div>
                <w:div w:id="1397389222">
                  <w:marLeft w:val="0"/>
                  <w:marRight w:val="0"/>
                  <w:marTop w:val="0"/>
                  <w:marBottom w:val="0"/>
                  <w:divBdr>
                    <w:top w:val="none" w:sz="0" w:space="0" w:color="auto"/>
                    <w:left w:val="none" w:sz="0" w:space="0" w:color="auto"/>
                    <w:bottom w:val="none" w:sz="0" w:space="0" w:color="auto"/>
                    <w:right w:val="none" w:sz="0" w:space="0" w:color="auto"/>
                  </w:divBdr>
                  <w:divsChild>
                    <w:div w:id="721370368">
                      <w:marLeft w:val="0"/>
                      <w:marRight w:val="0"/>
                      <w:marTop w:val="0"/>
                      <w:marBottom w:val="0"/>
                      <w:divBdr>
                        <w:top w:val="none" w:sz="0" w:space="0" w:color="auto"/>
                        <w:left w:val="none" w:sz="0" w:space="0" w:color="auto"/>
                        <w:bottom w:val="none" w:sz="0" w:space="0" w:color="auto"/>
                        <w:right w:val="none" w:sz="0" w:space="0" w:color="auto"/>
                      </w:divBdr>
                    </w:div>
                  </w:divsChild>
                </w:div>
                <w:div w:id="1421440763">
                  <w:marLeft w:val="0"/>
                  <w:marRight w:val="0"/>
                  <w:marTop w:val="0"/>
                  <w:marBottom w:val="0"/>
                  <w:divBdr>
                    <w:top w:val="none" w:sz="0" w:space="0" w:color="auto"/>
                    <w:left w:val="none" w:sz="0" w:space="0" w:color="auto"/>
                    <w:bottom w:val="none" w:sz="0" w:space="0" w:color="auto"/>
                    <w:right w:val="none" w:sz="0" w:space="0" w:color="auto"/>
                  </w:divBdr>
                  <w:divsChild>
                    <w:div w:id="1461803090">
                      <w:marLeft w:val="0"/>
                      <w:marRight w:val="0"/>
                      <w:marTop w:val="0"/>
                      <w:marBottom w:val="0"/>
                      <w:divBdr>
                        <w:top w:val="none" w:sz="0" w:space="0" w:color="auto"/>
                        <w:left w:val="none" w:sz="0" w:space="0" w:color="auto"/>
                        <w:bottom w:val="none" w:sz="0" w:space="0" w:color="auto"/>
                        <w:right w:val="none" w:sz="0" w:space="0" w:color="auto"/>
                      </w:divBdr>
                    </w:div>
                  </w:divsChild>
                </w:div>
                <w:div w:id="1451195831">
                  <w:marLeft w:val="0"/>
                  <w:marRight w:val="0"/>
                  <w:marTop w:val="0"/>
                  <w:marBottom w:val="0"/>
                  <w:divBdr>
                    <w:top w:val="none" w:sz="0" w:space="0" w:color="auto"/>
                    <w:left w:val="none" w:sz="0" w:space="0" w:color="auto"/>
                    <w:bottom w:val="none" w:sz="0" w:space="0" w:color="auto"/>
                    <w:right w:val="none" w:sz="0" w:space="0" w:color="auto"/>
                  </w:divBdr>
                  <w:divsChild>
                    <w:div w:id="147793511">
                      <w:marLeft w:val="0"/>
                      <w:marRight w:val="0"/>
                      <w:marTop w:val="0"/>
                      <w:marBottom w:val="0"/>
                      <w:divBdr>
                        <w:top w:val="none" w:sz="0" w:space="0" w:color="auto"/>
                        <w:left w:val="none" w:sz="0" w:space="0" w:color="auto"/>
                        <w:bottom w:val="none" w:sz="0" w:space="0" w:color="auto"/>
                        <w:right w:val="none" w:sz="0" w:space="0" w:color="auto"/>
                      </w:divBdr>
                    </w:div>
                  </w:divsChild>
                </w:div>
                <w:div w:id="1451709095">
                  <w:marLeft w:val="0"/>
                  <w:marRight w:val="0"/>
                  <w:marTop w:val="0"/>
                  <w:marBottom w:val="0"/>
                  <w:divBdr>
                    <w:top w:val="none" w:sz="0" w:space="0" w:color="auto"/>
                    <w:left w:val="none" w:sz="0" w:space="0" w:color="auto"/>
                    <w:bottom w:val="none" w:sz="0" w:space="0" w:color="auto"/>
                    <w:right w:val="none" w:sz="0" w:space="0" w:color="auto"/>
                  </w:divBdr>
                  <w:divsChild>
                    <w:div w:id="1397968050">
                      <w:marLeft w:val="0"/>
                      <w:marRight w:val="0"/>
                      <w:marTop w:val="0"/>
                      <w:marBottom w:val="0"/>
                      <w:divBdr>
                        <w:top w:val="none" w:sz="0" w:space="0" w:color="auto"/>
                        <w:left w:val="none" w:sz="0" w:space="0" w:color="auto"/>
                        <w:bottom w:val="none" w:sz="0" w:space="0" w:color="auto"/>
                        <w:right w:val="none" w:sz="0" w:space="0" w:color="auto"/>
                      </w:divBdr>
                    </w:div>
                  </w:divsChild>
                </w:div>
                <w:div w:id="1466851123">
                  <w:marLeft w:val="0"/>
                  <w:marRight w:val="0"/>
                  <w:marTop w:val="0"/>
                  <w:marBottom w:val="0"/>
                  <w:divBdr>
                    <w:top w:val="none" w:sz="0" w:space="0" w:color="auto"/>
                    <w:left w:val="none" w:sz="0" w:space="0" w:color="auto"/>
                    <w:bottom w:val="none" w:sz="0" w:space="0" w:color="auto"/>
                    <w:right w:val="none" w:sz="0" w:space="0" w:color="auto"/>
                  </w:divBdr>
                  <w:divsChild>
                    <w:div w:id="388459493">
                      <w:marLeft w:val="0"/>
                      <w:marRight w:val="0"/>
                      <w:marTop w:val="0"/>
                      <w:marBottom w:val="0"/>
                      <w:divBdr>
                        <w:top w:val="none" w:sz="0" w:space="0" w:color="auto"/>
                        <w:left w:val="none" w:sz="0" w:space="0" w:color="auto"/>
                        <w:bottom w:val="none" w:sz="0" w:space="0" w:color="auto"/>
                        <w:right w:val="none" w:sz="0" w:space="0" w:color="auto"/>
                      </w:divBdr>
                    </w:div>
                  </w:divsChild>
                </w:div>
                <w:div w:id="1472601044">
                  <w:marLeft w:val="0"/>
                  <w:marRight w:val="0"/>
                  <w:marTop w:val="0"/>
                  <w:marBottom w:val="0"/>
                  <w:divBdr>
                    <w:top w:val="none" w:sz="0" w:space="0" w:color="auto"/>
                    <w:left w:val="none" w:sz="0" w:space="0" w:color="auto"/>
                    <w:bottom w:val="none" w:sz="0" w:space="0" w:color="auto"/>
                    <w:right w:val="none" w:sz="0" w:space="0" w:color="auto"/>
                  </w:divBdr>
                  <w:divsChild>
                    <w:div w:id="1701585628">
                      <w:marLeft w:val="0"/>
                      <w:marRight w:val="0"/>
                      <w:marTop w:val="0"/>
                      <w:marBottom w:val="0"/>
                      <w:divBdr>
                        <w:top w:val="none" w:sz="0" w:space="0" w:color="auto"/>
                        <w:left w:val="none" w:sz="0" w:space="0" w:color="auto"/>
                        <w:bottom w:val="none" w:sz="0" w:space="0" w:color="auto"/>
                        <w:right w:val="none" w:sz="0" w:space="0" w:color="auto"/>
                      </w:divBdr>
                    </w:div>
                  </w:divsChild>
                </w:div>
                <w:div w:id="1489901171">
                  <w:marLeft w:val="0"/>
                  <w:marRight w:val="0"/>
                  <w:marTop w:val="0"/>
                  <w:marBottom w:val="0"/>
                  <w:divBdr>
                    <w:top w:val="none" w:sz="0" w:space="0" w:color="auto"/>
                    <w:left w:val="none" w:sz="0" w:space="0" w:color="auto"/>
                    <w:bottom w:val="none" w:sz="0" w:space="0" w:color="auto"/>
                    <w:right w:val="none" w:sz="0" w:space="0" w:color="auto"/>
                  </w:divBdr>
                  <w:divsChild>
                    <w:div w:id="522598082">
                      <w:marLeft w:val="0"/>
                      <w:marRight w:val="0"/>
                      <w:marTop w:val="0"/>
                      <w:marBottom w:val="0"/>
                      <w:divBdr>
                        <w:top w:val="none" w:sz="0" w:space="0" w:color="auto"/>
                        <w:left w:val="none" w:sz="0" w:space="0" w:color="auto"/>
                        <w:bottom w:val="none" w:sz="0" w:space="0" w:color="auto"/>
                        <w:right w:val="none" w:sz="0" w:space="0" w:color="auto"/>
                      </w:divBdr>
                    </w:div>
                  </w:divsChild>
                </w:div>
                <w:div w:id="1547908624">
                  <w:marLeft w:val="0"/>
                  <w:marRight w:val="0"/>
                  <w:marTop w:val="0"/>
                  <w:marBottom w:val="0"/>
                  <w:divBdr>
                    <w:top w:val="none" w:sz="0" w:space="0" w:color="auto"/>
                    <w:left w:val="none" w:sz="0" w:space="0" w:color="auto"/>
                    <w:bottom w:val="none" w:sz="0" w:space="0" w:color="auto"/>
                    <w:right w:val="none" w:sz="0" w:space="0" w:color="auto"/>
                  </w:divBdr>
                  <w:divsChild>
                    <w:div w:id="2019885212">
                      <w:marLeft w:val="0"/>
                      <w:marRight w:val="0"/>
                      <w:marTop w:val="0"/>
                      <w:marBottom w:val="0"/>
                      <w:divBdr>
                        <w:top w:val="none" w:sz="0" w:space="0" w:color="auto"/>
                        <w:left w:val="none" w:sz="0" w:space="0" w:color="auto"/>
                        <w:bottom w:val="none" w:sz="0" w:space="0" w:color="auto"/>
                        <w:right w:val="none" w:sz="0" w:space="0" w:color="auto"/>
                      </w:divBdr>
                    </w:div>
                  </w:divsChild>
                </w:div>
                <w:div w:id="1557622140">
                  <w:marLeft w:val="0"/>
                  <w:marRight w:val="0"/>
                  <w:marTop w:val="0"/>
                  <w:marBottom w:val="0"/>
                  <w:divBdr>
                    <w:top w:val="none" w:sz="0" w:space="0" w:color="auto"/>
                    <w:left w:val="none" w:sz="0" w:space="0" w:color="auto"/>
                    <w:bottom w:val="none" w:sz="0" w:space="0" w:color="auto"/>
                    <w:right w:val="none" w:sz="0" w:space="0" w:color="auto"/>
                  </w:divBdr>
                  <w:divsChild>
                    <w:div w:id="1296134201">
                      <w:marLeft w:val="0"/>
                      <w:marRight w:val="0"/>
                      <w:marTop w:val="0"/>
                      <w:marBottom w:val="0"/>
                      <w:divBdr>
                        <w:top w:val="none" w:sz="0" w:space="0" w:color="auto"/>
                        <w:left w:val="none" w:sz="0" w:space="0" w:color="auto"/>
                        <w:bottom w:val="none" w:sz="0" w:space="0" w:color="auto"/>
                        <w:right w:val="none" w:sz="0" w:space="0" w:color="auto"/>
                      </w:divBdr>
                    </w:div>
                  </w:divsChild>
                </w:div>
                <w:div w:id="1558782078">
                  <w:marLeft w:val="0"/>
                  <w:marRight w:val="0"/>
                  <w:marTop w:val="0"/>
                  <w:marBottom w:val="0"/>
                  <w:divBdr>
                    <w:top w:val="none" w:sz="0" w:space="0" w:color="auto"/>
                    <w:left w:val="none" w:sz="0" w:space="0" w:color="auto"/>
                    <w:bottom w:val="none" w:sz="0" w:space="0" w:color="auto"/>
                    <w:right w:val="none" w:sz="0" w:space="0" w:color="auto"/>
                  </w:divBdr>
                  <w:divsChild>
                    <w:div w:id="183442560">
                      <w:marLeft w:val="0"/>
                      <w:marRight w:val="0"/>
                      <w:marTop w:val="0"/>
                      <w:marBottom w:val="0"/>
                      <w:divBdr>
                        <w:top w:val="none" w:sz="0" w:space="0" w:color="auto"/>
                        <w:left w:val="none" w:sz="0" w:space="0" w:color="auto"/>
                        <w:bottom w:val="none" w:sz="0" w:space="0" w:color="auto"/>
                        <w:right w:val="none" w:sz="0" w:space="0" w:color="auto"/>
                      </w:divBdr>
                    </w:div>
                  </w:divsChild>
                </w:div>
                <w:div w:id="1569221359">
                  <w:marLeft w:val="0"/>
                  <w:marRight w:val="0"/>
                  <w:marTop w:val="0"/>
                  <w:marBottom w:val="0"/>
                  <w:divBdr>
                    <w:top w:val="none" w:sz="0" w:space="0" w:color="auto"/>
                    <w:left w:val="none" w:sz="0" w:space="0" w:color="auto"/>
                    <w:bottom w:val="none" w:sz="0" w:space="0" w:color="auto"/>
                    <w:right w:val="none" w:sz="0" w:space="0" w:color="auto"/>
                  </w:divBdr>
                  <w:divsChild>
                    <w:div w:id="1350908461">
                      <w:marLeft w:val="0"/>
                      <w:marRight w:val="0"/>
                      <w:marTop w:val="0"/>
                      <w:marBottom w:val="0"/>
                      <w:divBdr>
                        <w:top w:val="none" w:sz="0" w:space="0" w:color="auto"/>
                        <w:left w:val="none" w:sz="0" w:space="0" w:color="auto"/>
                        <w:bottom w:val="none" w:sz="0" w:space="0" w:color="auto"/>
                        <w:right w:val="none" w:sz="0" w:space="0" w:color="auto"/>
                      </w:divBdr>
                    </w:div>
                  </w:divsChild>
                </w:div>
                <w:div w:id="1588883104">
                  <w:marLeft w:val="0"/>
                  <w:marRight w:val="0"/>
                  <w:marTop w:val="0"/>
                  <w:marBottom w:val="0"/>
                  <w:divBdr>
                    <w:top w:val="none" w:sz="0" w:space="0" w:color="auto"/>
                    <w:left w:val="none" w:sz="0" w:space="0" w:color="auto"/>
                    <w:bottom w:val="none" w:sz="0" w:space="0" w:color="auto"/>
                    <w:right w:val="none" w:sz="0" w:space="0" w:color="auto"/>
                  </w:divBdr>
                  <w:divsChild>
                    <w:div w:id="2017465218">
                      <w:marLeft w:val="0"/>
                      <w:marRight w:val="0"/>
                      <w:marTop w:val="0"/>
                      <w:marBottom w:val="0"/>
                      <w:divBdr>
                        <w:top w:val="none" w:sz="0" w:space="0" w:color="auto"/>
                        <w:left w:val="none" w:sz="0" w:space="0" w:color="auto"/>
                        <w:bottom w:val="none" w:sz="0" w:space="0" w:color="auto"/>
                        <w:right w:val="none" w:sz="0" w:space="0" w:color="auto"/>
                      </w:divBdr>
                    </w:div>
                  </w:divsChild>
                </w:div>
                <w:div w:id="1592814355">
                  <w:marLeft w:val="0"/>
                  <w:marRight w:val="0"/>
                  <w:marTop w:val="0"/>
                  <w:marBottom w:val="0"/>
                  <w:divBdr>
                    <w:top w:val="none" w:sz="0" w:space="0" w:color="auto"/>
                    <w:left w:val="none" w:sz="0" w:space="0" w:color="auto"/>
                    <w:bottom w:val="none" w:sz="0" w:space="0" w:color="auto"/>
                    <w:right w:val="none" w:sz="0" w:space="0" w:color="auto"/>
                  </w:divBdr>
                  <w:divsChild>
                    <w:div w:id="1205292680">
                      <w:marLeft w:val="0"/>
                      <w:marRight w:val="0"/>
                      <w:marTop w:val="0"/>
                      <w:marBottom w:val="0"/>
                      <w:divBdr>
                        <w:top w:val="none" w:sz="0" w:space="0" w:color="auto"/>
                        <w:left w:val="none" w:sz="0" w:space="0" w:color="auto"/>
                        <w:bottom w:val="none" w:sz="0" w:space="0" w:color="auto"/>
                        <w:right w:val="none" w:sz="0" w:space="0" w:color="auto"/>
                      </w:divBdr>
                    </w:div>
                  </w:divsChild>
                </w:div>
                <w:div w:id="1601528837">
                  <w:marLeft w:val="0"/>
                  <w:marRight w:val="0"/>
                  <w:marTop w:val="0"/>
                  <w:marBottom w:val="0"/>
                  <w:divBdr>
                    <w:top w:val="none" w:sz="0" w:space="0" w:color="auto"/>
                    <w:left w:val="none" w:sz="0" w:space="0" w:color="auto"/>
                    <w:bottom w:val="none" w:sz="0" w:space="0" w:color="auto"/>
                    <w:right w:val="none" w:sz="0" w:space="0" w:color="auto"/>
                  </w:divBdr>
                  <w:divsChild>
                    <w:div w:id="1314748600">
                      <w:marLeft w:val="0"/>
                      <w:marRight w:val="0"/>
                      <w:marTop w:val="0"/>
                      <w:marBottom w:val="0"/>
                      <w:divBdr>
                        <w:top w:val="none" w:sz="0" w:space="0" w:color="auto"/>
                        <w:left w:val="none" w:sz="0" w:space="0" w:color="auto"/>
                        <w:bottom w:val="none" w:sz="0" w:space="0" w:color="auto"/>
                        <w:right w:val="none" w:sz="0" w:space="0" w:color="auto"/>
                      </w:divBdr>
                    </w:div>
                  </w:divsChild>
                </w:div>
                <w:div w:id="1605720894">
                  <w:marLeft w:val="0"/>
                  <w:marRight w:val="0"/>
                  <w:marTop w:val="0"/>
                  <w:marBottom w:val="0"/>
                  <w:divBdr>
                    <w:top w:val="none" w:sz="0" w:space="0" w:color="auto"/>
                    <w:left w:val="none" w:sz="0" w:space="0" w:color="auto"/>
                    <w:bottom w:val="none" w:sz="0" w:space="0" w:color="auto"/>
                    <w:right w:val="none" w:sz="0" w:space="0" w:color="auto"/>
                  </w:divBdr>
                  <w:divsChild>
                    <w:div w:id="1981374583">
                      <w:marLeft w:val="0"/>
                      <w:marRight w:val="0"/>
                      <w:marTop w:val="0"/>
                      <w:marBottom w:val="0"/>
                      <w:divBdr>
                        <w:top w:val="none" w:sz="0" w:space="0" w:color="auto"/>
                        <w:left w:val="none" w:sz="0" w:space="0" w:color="auto"/>
                        <w:bottom w:val="none" w:sz="0" w:space="0" w:color="auto"/>
                        <w:right w:val="none" w:sz="0" w:space="0" w:color="auto"/>
                      </w:divBdr>
                    </w:div>
                  </w:divsChild>
                </w:div>
                <w:div w:id="1622566065">
                  <w:marLeft w:val="0"/>
                  <w:marRight w:val="0"/>
                  <w:marTop w:val="0"/>
                  <w:marBottom w:val="0"/>
                  <w:divBdr>
                    <w:top w:val="none" w:sz="0" w:space="0" w:color="auto"/>
                    <w:left w:val="none" w:sz="0" w:space="0" w:color="auto"/>
                    <w:bottom w:val="none" w:sz="0" w:space="0" w:color="auto"/>
                    <w:right w:val="none" w:sz="0" w:space="0" w:color="auto"/>
                  </w:divBdr>
                  <w:divsChild>
                    <w:div w:id="20209500">
                      <w:marLeft w:val="0"/>
                      <w:marRight w:val="0"/>
                      <w:marTop w:val="0"/>
                      <w:marBottom w:val="0"/>
                      <w:divBdr>
                        <w:top w:val="none" w:sz="0" w:space="0" w:color="auto"/>
                        <w:left w:val="none" w:sz="0" w:space="0" w:color="auto"/>
                        <w:bottom w:val="none" w:sz="0" w:space="0" w:color="auto"/>
                        <w:right w:val="none" w:sz="0" w:space="0" w:color="auto"/>
                      </w:divBdr>
                    </w:div>
                  </w:divsChild>
                </w:div>
                <w:div w:id="1639526732">
                  <w:marLeft w:val="0"/>
                  <w:marRight w:val="0"/>
                  <w:marTop w:val="0"/>
                  <w:marBottom w:val="0"/>
                  <w:divBdr>
                    <w:top w:val="none" w:sz="0" w:space="0" w:color="auto"/>
                    <w:left w:val="none" w:sz="0" w:space="0" w:color="auto"/>
                    <w:bottom w:val="none" w:sz="0" w:space="0" w:color="auto"/>
                    <w:right w:val="none" w:sz="0" w:space="0" w:color="auto"/>
                  </w:divBdr>
                  <w:divsChild>
                    <w:div w:id="1949238638">
                      <w:marLeft w:val="0"/>
                      <w:marRight w:val="0"/>
                      <w:marTop w:val="0"/>
                      <w:marBottom w:val="0"/>
                      <w:divBdr>
                        <w:top w:val="none" w:sz="0" w:space="0" w:color="auto"/>
                        <w:left w:val="none" w:sz="0" w:space="0" w:color="auto"/>
                        <w:bottom w:val="none" w:sz="0" w:space="0" w:color="auto"/>
                        <w:right w:val="none" w:sz="0" w:space="0" w:color="auto"/>
                      </w:divBdr>
                    </w:div>
                  </w:divsChild>
                </w:div>
                <w:div w:id="1648589185">
                  <w:marLeft w:val="0"/>
                  <w:marRight w:val="0"/>
                  <w:marTop w:val="0"/>
                  <w:marBottom w:val="0"/>
                  <w:divBdr>
                    <w:top w:val="none" w:sz="0" w:space="0" w:color="auto"/>
                    <w:left w:val="none" w:sz="0" w:space="0" w:color="auto"/>
                    <w:bottom w:val="none" w:sz="0" w:space="0" w:color="auto"/>
                    <w:right w:val="none" w:sz="0" w:space="0" w:color="auto"/>
                  </w:divBdr>
                  <w:divsChild>
                    <w:div w:id="765534923">
                      <w:marLeft w:val="0"/>
                      <w:marRight w:val="0"/>
                      <w:marTop w:val="0"/>
                      <w:marBottom w:val="0"/>
                      <w:divBdr>
                        <w:top w:val="none" w:sz="0" w:space="0" w:color="auto"/>
                        <w:left w:val="none" w:sz="0" w:space="0" w:color="auto"/>
                        <w:bottom w:val="none" w:sz="0" w:space="0" w:color="auto"/>
                        <w:right w:val="none" w:sz="0" w:space="0" w:color="auto"/>
                      </w:divBdr>
                    </w:div>
                  </w:divsChild>
                </w:div>
                <w:div w:id="1662460648">
                  <w:marLeft w:val="0"/>
                  <w:marRight w:val="0"/>
                  <w:marTop w:val="0"/>
                  <w:marBottom w:val="0"/>
                  <w:divBdr>
                    <w:top w:val="none" w:sz="0" w:space="0" w:color="auto"/>
                    <w:left w:val="none" w:sz="0" w:space="0" w:color="auto"/>
                    <w:bottom w:val="none" w:sz="0" w:space="0" w:color="auto"/>
                    <w:right w:val="none" w:sz="0" w:space="0" w:color="auto"/>
                  </w:divBdr>
                  <w:divsChild>
                    <w:div w:id="1084759875">
                      <w:marLeft w:val="0"/>
                      <w:marRight w:val="0"/>
                      <w:marTop w:val="0"/>
                      <w:marBottom w:val="0"/>
                      <w:divBdr>
                        <w:top w:val="none" w:sz="0" w:space="0" w:color="auto"/>
                        <w:left w:val="none" w:sz="0" w:space="0" w:color="auto"/>
                        <w:bottom w:val="none" w:sz="0" w:space="0" w:color="auto"/>
                        <w:right w:val="none" w:sz="0" w:space="0" w:color="auto"/>
                      </w:divBdr>
                    </w:div>
                  </w:divsChild>
                </w:div>
                <w:div w:id="1678386822">
                  <w:marLeft w:val="0"/>
                  <w:marRight w:val="0"/>
                  <w:marTop w:val="0"/>
                  <w:marBottom w:val="0"/>
                  <w:divBdr>
                    <w:top w:val="none" w:sz="0" w:space="0" w:color="auto"/>
                    <w:left w:val="none" w:sz="0" w:space="0" w:color="auto"/>
                    <w:bottom w:val="none" w:sz="0" w:space="0" w:color="auto"/>
                    <w:right w:val="none" w:sz="0" w:space="0" w:color="auto"/>
                  </w:divBdr>
                  <w:divsChild>
                    <w:div w:id="1007290571">
                      <w:marLeft w:val="0"/>
                      <w:marRight w:val="0"/>
                      <w:marTop w:val="0"/>
                      <w:marBottom w:val="0"/>
                      <w:divBdr>
                        <w:top w:val="none" w:sz="0" w:space="0" w:color="auto"/>
                        <w:left w:val="none" w:sz="0" w:space="0" w:color="auto"/>
                        <w:bottom w:val="none" w:sz="0" w:space="0" w:color="auto"/>
                        <w:right w:val="none" w:sz="0" w:space="0" w:color="auto"/>
                      </w:divBdr>
                    </w:div>
                  </w:divsChild>
                </w:div>
                <w:div w:id="1697730189">
                  <w:marLeft w:val="0"/>
                  <w:marRight w:val="0"/>
                  <w:marTop w:val="0"/>
                  <w:marBottom w:val="0"/>
                  <w:divBdr>
                    <w:top w:val="none" w:sz="0" w:space="0" w:color="auto"/>
                    <w:left w:val="none" w:sz="0" w:space="0" w:color="auto"/>
                    <w:bottom w:val="none" w:sz="0" w:space="0" w:color="auto"/>
                    <w:right w:val="none" w:sz="0" w:space="0" w:color="auto"/>
                  </w:divBdr>
                  <w:divsChild>
                    <w:div w:id="155612698">
                      <w:marLeft w:val="0"/>
                      <w:marRight w:val="0"/>
                      <w:marTop w:val="0"/>
                      <w:marBottom w:val="0"/>
                      <w:divBdr>
                        <w:top w:val="none" w:sz="0" w:space="0" w:color="auto"/>
                        <w:left w:val="none" w:sz="0" w:space="0" w:color="auto"/>
                        <w:bottom w:val="none" w:sz="0" w:space="0" w:color="auto"/>
                        <w:right w:val="none" w:sz="0" w:space="0" w:color="auto"/>
                      </w:divBdr>
                    </w:div>
                  </w:divsChild>
                </w:div>
                <w:div w:id="1730615361">
                  <w:marLeft w:val="0"/>
                  <w:marRight w:val="0"/>
                  <w:marTop w:val="0"/>
                  <w:marBottom w:val="0"/>
                  <w:divBdr>
                    <w:top w:val="none" w:sz="0" w:space="0" w:color="auto"/>
                    <w:left w:val="none" w:sz="0" w:space="0" w:color="auto"/>
                    <w:bottom w:val="none" w:sz="0" w:space="0" w:color="auto"/>
                    <w:right w:val="none" w:sz="0" w:space="0" w:color="auto"/>
                  </w:divBdr>
                  <w:divsChild>
                    <w:div w:id="287703396">
                      <w:marLeft w:val="0"/>
                      <w:marRight w:val="0"/>
                      <w:marTop w:val="0"/>
                      <w:marBottom w:val="0"/>
                      <w:divBdr>
                        <w:top w:val="none" w:sz="0" w:space="0" w:color="auto"/>
                        <w:left w:val="none" w:sz="0" w:space="0" w:color="auto"/>
                        <w:bottom w:val="none" w:sz="0" w:space="0" w:color="auto"/>
                        <w:right w:val="none" w:sz="0" w:space="0" w:color="auto"/>
                      </w:divBdr>
                    </w:div>
                  </w:divsChild>
                </w:div>
                <w:div w:id="1732073842">
                  <w:marLeft w:val="0"/>
                  <w:marRight w:val="0"/>
                  <w:marTop w:val="0"/>
                  <w:marBottom w:val="0"/>
                  <w:divBdr>
                    <w:top w:val="none" w:sz="0" w:space="0" w:color="auto"/>
                    <w:left w:val="none" w:sz="0" w:space="0" w:color="auto"/>
                    <w:bottom w:val="none" w:sz="0" w:space="0" w:color="auto"/>
                    <w:right w:val="none" w:sz="0" w:space="0" w:color="auto"/>
                  </w:divBdr>
                  <w:divsChild>
                    <w:div w:id="746193452">
                      <w:marLeft w:val="0"/>
                      <w:marRight w:val="0"/>
                      <w:marTop w:val="0"/>
                      <w:marBottom w:val="0"/>
                      <w:divBdr>
                        <w:top w:val="none" w:sz="0" w:space="0" w:color="auto"/>
                        <w:left w:val="none" w:sz="0" w:space="0" w:color="auto"/>
                        <w:bottom w:val="none" w:sz="0" w:space="0" w:color="auto"/>
                        <w:right w:val="none" w:sz="0" w:space="0" w:color="auto"/>
                      </w:divBdr>
                    </w:div>
                  </w:divsChild>
                </w:div>
                <w:div w:id="1740712183">
                  <w:marLeft w:val="0"/>
                  <w:marRight w:val="0"/>
                  <w:marTop w:val="0"/>
                  <w:marBottom w:val="0"/>
                  <w:divBdr>
                    <w:top w:val="none" w:sz="0" w:space="0" w:color="auto"/>
                    <w:left w:val="none" w:sz="0" w:space="0" w:color="auto"/>
                    <w:bottom w:val="none" w:sz="0" w:space="0" w:color="auto"/>
                    <w:right w:val="none" w:sz="0" w:space="0" w:color="auto"/>
                  </w:divBdr>
                  <w:divsChild>
                    <w:div w:id="955209416">
                      <w:marLeft w:val="0"/>
                      <w:marRight w:val="0"/>
                      <w:marTop w:val="0"/>
                      <w:marBottom w:val="0"/>
                      <w:divBdr>
                        <w:top w:val="none" w:sz="0" w:space="0" w:color="auto"/>
                        <w:left w:val="none" w:sz="0" w:space="0" w:color="auto"/>
                        <w:bottom w:val="none" w:sz="0" w:space="0" w:color="auto"/>
                        <w:right w:val="none" w:sz="0" w:space="0" w:color="auto"/>
                      </w:divBdr>
                    </w:div>
                  </w:divsChild>
                </w:div>
                <w:div w:id="1742101644">
                  <w:marLeft w:val="0"/>
                  <w:marRight w:val="0"/>
                  <w:marTop w:val="0"/>
                  <w:marBottom w:val="0"/>
                  <w:divBdr>
                    <w:top w:val="none" w:sz="0" w:space="0" w:color="auto"/>
                    <w:left w:val="none" w:sz="0" w:space="0" w:color="auto"/>
                    <w:bottom w:val="none" w:sz="0" w:space="0" w:color="auto"/>
                    <w:right w:val="none" w:sz="0" w:space="0" w:color="auto"/>
                  </w:divBdr>
                  <w:divsChild>
                    <w:div w:id="1717047563">
                      <w:marLeft w:val="0"/>
                      <w:marRight w:val="0"/>
                      <w:marTop w:val="0"/>
                      <w:marBottom w:val="0"/>
                      <w:divBdr>
                        <w:top w:val="none" w:sz="0" w:space="0" w:color="auto"/>
                        <w:left w:val="none" w:sz="0" w:space="0" w:color="auto"/>
                        <w:bottom w:val="none" w:sz="0" w:space="0" w:color="auto"/>
                        <w:right w:val="none" w:sz="0" w:space="0" w:color="auto"/>
                      </w:divBdr>
                    </w:div>
                  </w:divsChild>
                </w:div>
                <w:div w:id="1752579365">
                  <w:marLeft w:val="0"/>
                  <w:marRight w:val="0"/>
                  <w:marTop w:val="0"/>
                  <w:marBottom w:val="0"/>
                  <w:divBdr>
                    <w:top w:val="none" w:sz="0" w:space="0" w:color="auto"/>
                    <w:left w:val="none" w:sz="0" w:space="0" w:color="auto"/>
                    <w:bottom w:val="none" w:sz="0" w:space="0" w:color="auto"/>
                    <w:right w:val="none" w:sz="0" w:space="0" w:color="auto"/>
                  </w:divBdr>
                  <w:divsChild>
                    <w:div w:id="414862674">
                      <w:marLeft w:val="0"/>
                      <w:marRight w:val="0"/>
                      <w:marTop w:val="0"/>
                      <w:marBottom w:val="0"/>
                      <w:divBdr>
                        <w:top w:val="none" w:sz="0" w:space="0" w:color="auto"/>
                        <w:left w:val="none" w:sz="0" w:space="0" w:color="auto"/>
                        <w:bottom w:val="none" w:sz="0" w:space="0" w:color="auto"/>
                        <w:right w:val="none" w:sz="0" w:space="0" w:color="auto"/>
                      </w:divBdr>
                    </w:div>
                  </w:divsChild>
                </w:div>
                <w:div w:id="1758012722">
                  <w:marLeft w:val="0"/>
                  <w:marRight w:val="0"/>
                  <w:marTop w:val="0"/>
                  <w:marBottom w:val="0"/>
                  <w:divBdr>
                    <w:top w:val="none" w:sz="0" w:space="0" w:color="auto"/>
                    <w:left w:val="none" w:sz="0" w:space="0" w:color="auto"/>
                    <w:bottom w:val="none" w:sz="0" w:space="0" w:color="auto"/>
                    <w:right w:val="none" w:sz="0" w:space="0" w:color="auto"/>
                  </w:divBdr>
                  <w:divsChild>
                    <w:div w:id="1123843374">
                      <w:marLeft w:val="0"/>
                      <w:marRight w:val="0"/>
                      <w:marTop w:val="0"/>
                      <w:marBottom w:val="0"/>
                      <w:divBdr>
                        <w:top w:val="none" w:sz="0" w:space="0" w:color="auto"/>
                        <w:left w:val="none" w:sz="0" w:space="0" w:color="auto"/>
                        <w:bottom w:val="none" w:sz="0" w:space="0" w:color="auto"/>
                        <w:right w:val="none" w:sz="0" w:space="0" w:color="auto"/>
                      </w:divBdr>
                    </w:div>
                  </w:divsChild>
                </w:div>
                <w:div w:id="1762145814">
                  <w:marLeft w:val="0"/>
                  <w:marRight w:val="0"/>
                  <w:marTop w:val="0"/>
                  <w:marBottom w:val="0"/>
                  <w:divBdr>
                    <w:top w:val="none" w:sz="0" w:space="0" w:color="auto"/>
                    <w:left w:val="none" w:sz="0" w:space="0" w:color="auto"/>
                    <w:bottom w:val="none" w:sz="0" w:space="0" w:color="auto"/>
                    <w:right w:val="none" w:sz="0" w:space="0" w:color="auto"/>
                  </w:divBdr>
                  <w:divsChild>
                    <w:div w:id="2079397385">
                      <w:marLeft w:val="0"/>
                      <w:marRight w:val="0"/>
                      <w:marTop w:val="0"/>
                      <w:marBottom w:val="0"/>
                      <w:divBdr>
                        <w:top w:val="none" w:sz="0" w:space="0" w:color="auto"/>
                        <w:left w:val="none" w:sz="0" w:space="0" w:color="auto"/>
                        <w:bottom w:val="none" w:sz="0" w:space="0" w:color="auto"/>
                        <w:right w:val="none" w:sz="0" w:space="0" w:color="auto"/>
                      </w:divBdr>
                    </w:div>
                  </w:divsChild>
                </w:div>
                <w:div w:id="1769424374">
                  <w:marLeft w:val="0"/>
                  <w:marRight w:val="0"/>
                  <w:marTop w:val="0"/>
                  <w:marBottom w:val="0"/>
                  <w:divBdr>
                    <w:top w:val="none" w:sz="0" w:space="0" w:color="auto"/>
                    <w:left w:val="none" w:sz="0" w:space="0" w:color="auto"/>
                    <w:bottom w:val="none" w:sz="0" w:space="0" w:color="auto"/>
                    <w:right w:val="none" w:sz="0" w:space="0" w:color="auto"/>
                  </w:divBdr>
                  <w:divsChild>
                    <w:div w:id="964776101">
                      <w:marLeft w:val="0"/>
                      <w:marRight w:val="0"/>
                      <w:marTop w:val="0"/>
                      <w:marBottom w:val="0"/>
                      <w:divBdr>
                        <w:top w:val="none" w:sz="0" w:space="0" w:color="auto"/>
                        <w:left w:val="none" w:sz="0" w:space="0" w:color="auto"/>
                        <w:bottom w:val="none" w:sz="0" w:space="0" w:color="auto"/>
                        <w:right w:val="none" w:sz="0" w:space="0" w:color="auto"/>
                      </w:divBdr>
                    </w:div>
                  </w:divsChild>
                </w:div>
                <w:div w:id="1817061742">
                  <w:marLeft w:val="0"/>
                  <w:marRight w:val="0"/>
                  <w:marTop w:val="0"/>
                  <w:marBottom w:val="0"/>
                  <w:divBdr>
                    <w:top w:val="none" w:sz="0" w:space="0" w:color="auto"/>
                    <w:left w:val="none" w:sz="0" w:space="0" w:color="auto"/>
                    <w:bottom w:val="none" w:sz="0" w:space="0" w:color="auto"/>
                    <w:right w:val="none" w:sz="0" w:space="0" w:color="auto"/>
                  </w:divBdr>
                  <w:divsChild>
                    <w:div w:id="1393389829">
                      <w:marLeft w:val="0"/>
                      <w:marRight w:val="0"/>
                      <w:marTop w:val="0"/>
                      <w:marBottom w:val="0"/>
                      <w:divBdr>
                        <w:top w:val="none" w:sz="0" w:space="0" w:color="auto"/>
                        <w:left w:val="none" w:sz="0" w:space="0" w:color="auto"/>
                        <w:bottom w:val="none" w:sz="0" w:space="0" w:color="auto"/>
                        <w:right w:val="none" w:sz="0" w:space="0" w:color="auto"/>
                      </w:divBdr>
                    </w:div>
                  </w:divsChild>
                </w:div>
                <w:div w:id="1819148519">
                  <w:marLeft w:val="0"/>
                  <w:marRight w:val="0"/>
                  <w:marTop w:val="0"/>
                  <w:marBottom w:val="0"/>
                  <w:divBdr>
                    <w:top w:val="none" w:sz="0" w:space="0" w:color="auto"/>
                    <w:left w:val="none" w:sz="0" w:space="0" w:color="auto"/>
                    <w:bottom w:val="none" w:sz="0" w:space="0" w:color="auto"/>
                    <w:right w:val="none" w:sz="0" w:space="0" w:color="auto"/>
                  </w:divBdr>
                  <w:divsChild>
                    <w:div w:id="1875726615">
                      <w:marLeft w:val="0"/>
                      <w:marRight w:val="0"/>
                      <w:marTop w:val="0"/>
                      <w:marBottom w:val="0"/>
                      <w:divBdr>
                        <w:top w:val="none" w:sz="0" w:space="0" w:color="auto"/>
                        <w:left w:val="none" w:sz="0" w:space="0" w:color="auto"/>
                        <w:bottom w:val="none" w:sz="0" w:space="0" w:color="auto"/>
                        <w:right w:val="none" w:sz="0" w:space="0" w:color="auto"/>
                      </w:divBdr>
                    </w:div>
                  </w:divsChild>
                </w:div>
                <w:div w:id="1820415311">
                  <w:marLeft w:val="0"/>
                  <w:marRight w:val="0"/>
                  <w:marTop w:val="0"/>
                  <w:marBottom w:val="0"/>
                  <w:divBdr>
                    <w:top w:val="none" w:sz="0" w:space="0" w:color="auto"/>
                    <w:left w:val="none" w:sz="0" w:space="0" w:color="auto"/>
                    <w:bottom w:val="none" w:sz="0" w:space="0" w:color="auto"/>
                    <w:right w:val="none" w:sz="0" w:space="0" w:color="auto"/>
                  </w:divBdr>
                  <w:divsChild>
                    <w:div w:id="783576411">
                      <w:marLeft w:val="0"/>
                      <w:marRight w:val="0"/>
                      <w:marTop w:val="0"/>
                      <w:marBottom w:val="0"/>
                      <w:divBdr>
                        <w:top w:val="none" w:sz="0" w:space="0" w:color="auto"/>
                        <w:left w:val="none" w:sz="0" w:space="0" w:color="auto"/>
                        <w:bottom w:val="none" w:sz="0" w:space="0" w:color="auto"/>
                        <w:right w:val="none" w:sz="0" w:space="0" w:color="auto"/>
                      </w:divBdr>
                    </w:div>
                  </w:divsChild>
                </w:div>
                <w:div w:id="1820731557">
                  <w:marLeft w:val="0"/>
                  <w:marRight w:val="0"/>
                  <w:marTop w:val="0"/>
                  <w:marBottom w:val="0"/>
                  <w:divBdr>
                    <w:top w:val="none" w:sz="0" w:space="0" w:color="auto"/>
                    <w:left w:val="none" w:sz="0" w:space="0" w:color="auto"/>
                    <w:bottom w:val="none" w:sz="0" w:space="0" w:color="auto"/>
                    <w:right w:val="none" w:sz="0" w:space="0" w:color="auto"/>
                  </w:divBdr>
                  <w:divsChild>
                    <w:div w:id="528109436">
                      <w:marLeft w:val="0"/>
                      <w:marRight w:val="0"/>
                      <w:marTop w:val="0"/>
                      <w:marBottom w:val="0"/>
                      <w:divBdr>
                        <w:top w:val="none" w:sz="0" w:space="0" w:color="auto"/>
                        <w:left w:val="none" w:sz="0" w:space="0" w:color="auto"/>
                        <w:bottom w:val="none" w:sz="0" w:space="0" w:color="auto"/>
                        <w:right w:val="none" w:sz="0" w:space="0" w:color="auto"/>
                      </w:divBdr>
                    </w:div>
                  </w:divsChild>
                </w:div>
                <w:div w:id="1829007495">
                  <w:marLeft w:val="0"/>
                  <w:marRight w:val="0"/>
                  <w:marTop w:val="0"/>
                  <w:marBottom w:val="0"/>
                  <w:divBdr>
                    <w:top w:val="none" w:sz="0" w:space="0" w:color="auto"/>
                    <w:left w:val="none" w:sz="0" w:space="0" w:color="auto"/>
                    <w:bottom w:val="none" w:sz="0" w:space="0" w:color="auto"/>
                    <w:right w:val="none" w:sz="0" w:space="0" w:color="auto"/>
                  </w:divBdr>
                  <w:divsChild>
                    <w:div w:id="287514492">
                      <w:marLeft w:val="0"/>
                      <w:marRight w:val="0"/>
                      <w:marTop w:val="0"/>
                      <w:marBottom w:val="0"/>
                      <w:divBdr>
                        <w:top w:val="none" w:sz="0" w:space="0" w:color="auto"/>
                        <w:left w:val="none" w:sz="0" w:space="0" w:color="auto"/>
                        <w:bottom w:val="none" w:sz="0" w:space="0" w:color="auto"/>
                        <w:right w:val="none" w:sz="0" w:space="0" w:color="auto"/>
                      </w:divBdr>
                    </w:div>
                  </w:divsChild>
                </w:div>
                <w:div w:id="1843351814">
                  <w:marLeft w:val="0"/>
                  <w:marRight w:val="0"/>
                  <w:marTop w:val="0"/>
                  <w:marBottom w:val="0"/>
                  <w:divBdr>
                    <w:top w:val="none" w:sz="0" w:space="0" w:color="auto"/>
                    <w:left w:val="none" w:sz="0" w:space="0" w:color="auto"/>
                    <w:bottom w:val="none" w:sz="0" w:space="0" w:color="auto"/>
                    <w:right w:val="none" w:sz="0" w:space="0" w:color="auto"/>
                  </w:divBdr>
                  <w:divsChild>
                    <w:div w:id="706805936">
                      <w:marLeft w:val="0"/>
                      <w:marRight w:val="0"/>
                      <w:marTop w:val="0"/>
                      <w:marBottom w:val="0"/>
                      <w:divBdr>
                        <w:top w:val="none" w:sz="0" w:space="0" w:color="auto"/>
                        <w:left w:val="none" w:sz="0" w:space="0" w:color="auto"/>
                        <w:bottom w:val="none" w:sz="0" w:space="0" w:color="auto"/>
                        <w:right w:val="none" w:sz="0" w:space="0" w:color="auto"/>
                      </w:divBdr>
                    </w:div>
                  </w:divsChild>
                </w:div>
                <w:div w:id="1862892823">
                  <w:marLeft w:val="0"/>
                  <w:marRight w:val="0"/>
                  <w:marTop w:val="0"/>
                  <w:marBottom w:val="0"/>
                  <w:divBdr>
                    <w:top w:val="none" w:sz="0" w:space="0" w:color="auto"/>
                    <w:left w:val="none" w:sz="0" w:space="0" w:color="auto"/>
                    <w:bottom w:val="none" w:sz="0" w:space="0" w:color="auto"/>
                    <w:right w:val="none" w:sz="0" w:space="0" w:color="auto"/>
                  </w:divBdr>
                  <w:divsChild>
                    <w:div w:id="1187714613">
                      <w:marLeft w:val="0"/>
                      <w:marRight w:val="0"/>
                      <w:marTop w:val="0"/>
                      <w:marBottom w:val="0"/>
                      <w:divBdr>
                        <w:top w:val="none" w:sz="0" w:space="0" w:color="auto"/>
                        <w:left w:val="none" w:sz="0" w:space="0" w:color="auto"/>
                        <w:bottom w:val="none" w:sz="0" w:space="0" w:color="auto"/>
                        <w:right w:val="none" w:sz="0" w:space="0" w:color="auto"/>
                      </w:divBdr>
                    </w:div>
                  </w:divsChild>
                </w:div>
                <w:div w:id="1864172838">
                  <w:marLeft w:val="0"/>
                  <w:marRight w:val="0"/>
                  <w:marTop w:val="0"/>
                  <w:marBottom w:val="0"/>
                  <w:divBdr>
                    <w:top w:val="none" w:sz="0" w:space="0" w:color="auto"/>
                    <w:left w:val="none" w:sz="0" w:space="0" w:color="auto"/>
                    <w:bottom w:val="none" w:sz="0" w:space="0" w:color="auto"/>
                    <w:right w:val="none" w:sz="0" w:space="0" w:color="auto"/>
                  </w:divBdr>
                  <w:divsChild>
                    <w:div w:id="1992322439">
                      <w:marLeft w:val="0"/>
                      <w:marRight w:val="0"/>
                      <w:marTop w:val="0"/>
                      <w:marBottom w:val="0"/>
                      <w:divBdr>
                        <w:top w:val="none" w:sz="0" w:space="0" w:color="auto"/>
                        <w:left w:val="none" w:sz="0" w:space="0" w:color="auto"/>
                        <w:bottom w:val="none" w:sz="0" w:space="0" w:color="auto"/>
                        <w:right w:val="none" w:sz="0" w:space="0" w:color="auto"/>
                      </w:divBdr>
                    </w:div>
                  </w:divsChild>
                </w:div>
                <w:div w:id="1865946603">
                  <w:marLeft w:val="0"/>
                  <w:marRight w:val="0"/>
                  <w:marTop w:val="0"/>
                  <w:marBottom w:val="0"/>
                  <w:divBdr>
                    <w:top w:val="none" w:sz="0" w:space="0" w:color="auto"/>
                    <w:left w:val="none" w:sz="0" w:space="0" w:color="auto"/>
                    <w:bottom w:val="none" w:sz="0" w:space="0" w:color="auto"/>
                    <w:right w:val="none" w:sz="0" w:space="0" w:color="auto"/>
                  </w:divBdr>
                  <w:divsChild>
                    <w:div w:id="1646279981">
                      <w:marLeft w:val="0"/>
                      <w:marRight w:val="0"/>
                      <w:marTop w:val="0"/>
                      <w:marBottom w:val="0"/>
                      <w:divBdr>
                        <w:top w:val="none" w:sz="0" w:space="0" w:color="auto"/>
                        <w:left w:val="none" w:sz="0" w:space="0" w:color="auto"/>
                        <w:bottom w:val="none" w:sz="0" w:space="0" w:color="auto"/>
                        <w:right w:val="none" w:sz="0" w:space="0" w:color="auto"/>
                      </w:divBdr>
                    </w:div>
                  </w:divsChild>
                </w:div>
                <w:div w:id="1871601217">
                  <w:marLeft w:val="0"/>
                  <w:marRight w:val="0"/>
                  <w:marTop w:val="0"/>
                  <w:marBottom w:val="0"/>
                  <w:divBdr>
                    <w:top w:val="none" w:sz="0" w:space="0" w:color="auto"/>
                    <w:left w:val="none" w:sz="0" w:space="0" w:color="auto"/>
                    <w:bottom w:val="none" w:sz="0" w:space="0" w:color="auto"/>
                    <w:right w:val="none" w:sz="0" w:space="0" w:color="auto"/>
                  </w:divBdr>
                  <w:divsChild>
                    <w:div w:id="2083287111">
                      <w:marLeft w:val="0"/>
                      <w:marRight w:val="0"/>
                      <w:marTop w:val="0"/>
                      <w:marBottom w:val="0"/>
                      <w:divBdr>
                        <w:top w:val="none" w:sz="0" w:space="0" w:color="auto"/>
                        <w:left w:val="none" w:sz="0" w:space="0" w:color="auto"/>
                        <w:bottom w:val="none" w:sz="0" w:space="0" w:color="auto"/>
                        <w:right w:val="none" w:sz="0" w:space="0" w:color="auto"/>
                      </w:divBdr>
                    </w:div>
                  </w:divsChild>
                </w:div>
                <w:div w:id="1873691839">
                  <w:marLeft w:val="0"/>
                  <w:marRight w:val="0"/>
                  <w:marTop w:val="0"/>
                  <w:marBottom w:val="0"/>
                  <w:divBdr>
                    <w:top w:val="none" w:sz="0" w:space="0" w:color="auto"/>
                    <w:left w:val="none" w:sz="0" w:space="0" w:color="auto"/>
                    <w:bottom w:val="none" w:sz="0" w:space="0" w:color="auto"/>
                    <w:right w:val="none" w:sz="0" w:space="0" w:color="auto"/>
                  </w:divBdr>
                  <w:divsChild>
                    <w:div w:id="1639606469">
                      <w:marLeft w:val="0"/>
                      <w:marRight w:val="0"/>
                      <w:marTop w:val="0"/>
                      <w:marBottom w:val="0"/>
                      <w:divBdr>
                        <w:top w:val="none" w:sz="0" w:space="0" w:color="auto"/>
                        <w:left w:val="none" w:sz="0" w:space="0" w:color="auto"/>
                        <w:bottom w:val="none" w:sz="0" w:space="0" w:color="auto"/>
                        <w:right w:val="none" w:sz="0" w:space="0" w:color="auto"/>
                      </w:divBdr>
                    </w:div>
                  </w:divsChild>
                </w:div>
                <w:div w:id="1886215796">
                  <w:marLeft w:val="0"/>
                  <w:marRight w:val="0"/>
                  <w:marTop w:val="0"/>
                  <w:marBottom w:val="0"/>
                  <w:divBdr>
                    <w:top w:val="none" w:sz="0" w:space="0" w:color="auto"/>
                    <w:left w:val="none" w:sz="0" w:space="0" w:color="auto"/>
                    <w:bottom w:val="none" w:sz="0" w:space="0" w:color="auto"/>
                    <w:right w:val="none" w:sz="0" w:space="0" w:color="auto"/>
                  </w:divBdr>
                  <w:divsChild>
                    <w:div w:id="1755131747">
                      <w:marLeft w:val="0"/>
                      <w:marRight w:val="0"/>
                      <w:marTop w:val="0"/>
                      <w:marBottom w:val="0"/>
                      <w:divBdr>
                        <w:top w:val="none" w:sz="0" w:space="0" w:color="auto"/>
                        <w:left w:val="none" w:sz="0" w:space="0" w:color="auto"/>
                        <w:bottom w:val="none" w:sz="0" w:space="0" w:color="auto"/>
                        <w:right w:val="none" w:sz="0" w:space="0" w:color="auto"/>
                      </w:divBdr>
                    </w:div>
                  </w:divsChild>
                </w:div>
                <w:div w:id="1893467493">
                  <w:marLeft w:val="0"/>
                  <w:marRight w:val="0"/>
                  <w:marTop w:val="0"/>
                  <w:marBottom w:val="0"/>
                  <w:divBdr>
                    <w:top w:val="none" w:sz="0" w:space="0" w:color="auto"/>
                    <w:left w:val="none" w:sz="0" w:space="0" w:color="auto"/>
                    <w:bottom w:val="none" w:sz="0" w:space="0" w:color="auto"/>
                    <w:right w:val="none" w:sz="0" w:space="0" w:color="auto"/>
                  </w:divBdr>
                  <w:divsChild>
                    <w:div w:id="285820746">
                      <w:marLeft w:val="0"/>
                      <w:marRight w:val="0"/>
                      <w:marTop w:val="0"/>
                      <w:marBottom w:val="0"/>
                      <w:divBdr>
                        <w:top w:val="none" w:sz="0" w:space="0" w:color="auto"/>
                        <w:left w:val="none" w:sz="0" w:space="0" w:color="auto"/>
                        <w:bottom w:val="none" w:sz="0" w:space="0" w:color="auto"/>
                        <w:right w:val="none" w:sz="0" w:space="0" w:color="auto"/>
                      </w:divBdr>
                    </w:div>
                  </w:divsChild>
                </w:div>
                <w:div w:id="1910312303">
                  <w:marLeft w:val="0"/>
                  <w:marRight w:val="0"/>
                  <w:marTop w:val="0"/>
                  <w:marBottom w:val="0"/>
                  <w:divBdr>
                    <w:top w:val="none" w:sz="0" w:space="0" w:color="auto"/>
                    <w:left w:val="none" w:sz="0" w:space="0" w:color="auto"/>
                    <w:bottom w:val="none" w:sz="0" w:space="0" w:color="auto"/>
                    <w:right w:val="none" w:sz="0" w:space="0" w:color="auto"/>
                  </w:divBdr>
                  <w:divsChild>
                    <w:div w:id="773591361">
                      <w:marLeft w:val="0"/>
                      <w:marRight w:val="0"/>
                      <w:marTop w:val="0"/>
                      <w:marBottom w:val="0"/>
                      <w:divBdr>
                        <w:top w:val="none" w:sz="0" w:space="0" w:color="auto"/>
                        <w:left w:val="none" w:sz="0" w:space="0" w:color="auto"/>
                        <w:bottom w:val="none" w:sz="0" w:space="0" w:color="auto"/>
                        <w:right w:val="none" w:sz="0" w:space="0" w:color="auto"/>
                      </w:divBdr>
                    </w:div>
                  </w:divsChild>
                </w:div>
                <w:div w:id="1924492210">
                  <w:marLeft w:val="0"/>
                  <w:marRight w:val="0"/>
                  <w:marTop w:val="0"/>
                  <w:marBottom w:val="0"/>
                  <w:divBdr>
                    <w:top w:val="none" w:sz="0" w:space="0" w:color="auto"/>
                    <w:left w:val="none" w:sz="0" w:space="0" w:color="auto"/>
                    <w:bottom w:val="none" w:sz="0" w:space="0" w:color="auto"/>
                    <w:right w:val="none" w:sz="0" w:space="0" w:color="auto"/>
                  </w:divBdr>
                  <w:divsChild>
                    <w:div w:id="999041807">
                      <w:marLeft w:val="0"/>
                      <w:marRight w:val="0"/>
                      <w:marTop w:val="0"/>
                      <w:marBottom w:val="0"/>
                      <w:divBdr>
                        <w:top w:val="none" w:sz="0" w:space="0" w:color="auto"/>
                        <w:left w:val="none" w:sz="0" w:space="0" w:color="auto"/>
                        <w:bottom w:val="none" w:sz="0" w:space="0" w:color="auto"/>
                        <w:right w:val="none" w:sz="0" w:space="0" w:color="auto"/>
                      </w:divBdr>
                    </w:div>
                  </w:divsChild>
                </w:div>
                <w:div w:id="1951819941">
                  <w:marLeft w:val="0"/>
                  <w:marRight w:val="0"/>
                  <w:marTop w:val="0"/>
                  <w:marBottom w:val="0"/>
                  <w:divBdr>
                    <w:top w:val="none" w:sz="0" w:space="0" w:color="auto"/>
                    <w:left w:val="none" w:sz="0" w:space="0" w:color="auto"/>
                    <w:bottom w:val="none" w:sz="0" w:space="0" w:color="auto"/>
                    <w:right w:val="none" w:sz="0" w:space="0" w:color="auto"/>
                  </w:divBdr>
                  <w:divsChild>
                    <w:div w:id="1060055980">
                      <w:marLeft w:val="0"/>
                      <w:marRight w:val="0"/>
                      <w:marTop w:val="0"/>
                      <w:marBottom w:val="0"/>
                      <w:divBdr>
                        <w:top w:val="none" w:sz="0" w:space="0" w:color="auto"/>
                        <w:left w:val="none" w:sz="0" w:space="0" w:color="auto"/>
                        <w:bottom w:val="none" w:sz="0" w:space="0" w:color="auto"/>
                        <w:right w:val="none" w:sz="0" w:space="0" w:color="auto"/>
                      </w:divBdr>
                    </w:div>
                  </w:divsChild>
                </w:div>
                <w:div w:id="1958901335">
                  <w:marLeft w:val="0"/>
                  <w:marRight w:val="0"/>
                  <w:marTop w:val="0"/>
                  <w:marBottom w:val="0"/>
                  <w:divBdr>
                    <w:top w:val="none" w:sz="0" w:space="0" w:color="auto"/>
                    <w:left w:val="none" w:sz="0" w:space="0" w:color="auto"/>
                    <w:bottom w:val="none" w:sz="0" w:space="0" w:color="auto"/>
                    <w:right w:val="none" w:sz="0" w:space="0" w:color="auto"/>
                  </w:divBdr>
                  <w:divsChild>
                    <w:div w:id="1491562777">
                      <w:marLeft w:val="0"/>
                      <w:marRight w:val="0"/>
                      <w:marTop w:val="0"/>
                      <w:marBottom w:val="0"/>
                      <w:divBdr>
                        <w:top w:val="none" w:sz="0" w:space="0" w:color="auto"/>
                        <w:left w:val="none" w:sz="0" w:space="0" w:color="auto"/>
                        <w:bottom w:val="none" w:sz="0" w:space="0" w:color="auto"/>
                        <w:right w:val="none" w:sz="0" w:space="0" w:color="auto"/>
                      </w:divBdr>
                    </w:div>
                  </w:divsChild>
                </w:div>
                <w:div w:id="1982005298">
                  <w:marLeft w:val="0"/>
                  <w:marRight w:val="0"/>
                  <w:marTop w:val="0"/>
                  <w:marBottom w:val="0"/>
                  <w:divBdr>
                    <w:top w:val="none" w:sz="0" w:space="0" w:color="auto"/>
                    <w:left w:val="none" w:sz="0" w:space="0" w:color="auto"/>
                    <w:bottom w:val="none" w:sz="0" w:space="0" w:color="auto"/>
                    <w:right w:val="none" w:sz="0" w:space="0" w:color="auto"/>
                  </w:divBdr>
                  <w:divsChild>
                    <w:div w:id="1380586827">
                      <w:marLeft w:val="0"/>
                      <w:marRight w:val="0"/>
                      <w:marTop w:val="0"/>
                      <w:marBottom w:val="0"/>
                      <w:divBdr>
                        <w:top w:val="none" w:sz="0" w:space="0" w:color="auto"/>
                        <w:left w:val="none" w:sz="0" w:space="0" w:color="auto"/>
                        <w:bottom w:val="none" w:sz="0" w:space="0" w:color="auto"/>
                        <w:right w:val="none" w:sz="0" w:space="0" w:color="auto"/>
                      </w:divBdr>
                    </w:div>
                  </w:divsChild>
                </w:div>
                <w:div w:id="1989939806">
                  <w:marLeft w:val="0"/>
                  <w:marRight w:val="0"/>
                  <w:marTop w:val="0"/>
                  <w:marBottom w:val="0"/>
                  <w:divBdr>
                    <w:top w:val="none" w:sz="0" w:space="0" w:color="auto"/>
                    <w:left w:val="none" w:sz="0" w:space="0" w:color="auto"/>
                    <w:bottom w:val="none" w:sz="0" w:space="0" w:color="auto"/>
                    <w:right w:val="none" w:sz="0" w:space="0" w:color="auto"/>
                  </w:divBdr>
                  <w:divsChild>
                    <w:div w:id="740758049">
                      <w:marLeft w:val="0"/>
                      <w:marRight w:val="0"/>
                      <w:marTop w:val="0"/>
                      <w:marBottom w:val="0"/>
                      <w:divBdr>
                        <w:top w:val="none" w:sz="0" w:space="0" w:color="auto"/>
                        <w:left w:val="none" w:sz="0" w:space="0" w:color="auto"/>
                        <w:bottom w:val="none" w:sz="0" w:space="0" w:color="auto"/>
                        <w:right w:val="none" w:sz="0" w:space="0" w:color="auto"/>
                      </w:divBdr>
                    </w:div>
                  </w:divsChild>
                </w:div>
                <w:div w:id="1997804142">
                  <w:marLeft w:val="0"/>
                  <w:marRight w:val="0"/>
                  <w:marTop w:val="0"/>
                  <w:marBottom w:val="0"/>
                  <w:divBdr>
                    <w:top w:val="none" w:sz="0" w:space="0" w:color="auto"/>
                    <w:left w:val="none" w:sz="0" w:space="0" w:color="auto"/>
                    <w:bottom w:val="none" w:sz="0" w:space="0" w:color="auto"/>
                    <w:right w:val="none" w:sz="0" w:space="0" w:color="auto"/>
                  </w:divBdr>
                  <w:divsChild>
                    <w:div w:id="1685743409">
                      <w:marLeft w:val="0"/>
                      <w:marRight w:val="0"/>
                      <w:marTop w:val="0"/>
                      <w:marBottom w:val="0"/>
                      <w:divBdr>
                        <w:top w:val="none" w:sz="0" w:space="0" w:color="auto"/>
                        <w:left w:val="none" w:sz="0" w:space="0" w:color="auto"/>
                        <w:bottom w:val="none" w:sz="0" w:space="0" w:color="auto"/>
                        <w:right w:val="none" w:sz="0" w:space="0" w:color="auto"/>
                      </w:divBdr>
                    </w:div>
                  </w:divsChild>
                </w:div>
                <w:div w:id="2001957009">
                  <w:marLeft w:val="0"/>
                  <w:marRight w:val="0"/>
                  <w:marTop w:val="0"/>
                  <w:marBottom w:val="0"/>
                  <w:divBdr>
                    <w:top w:val="none" w:sz="0" w:space="0" w:color="auto"/>
                    <w:left w:val="none" w:sz="0" w:space="0" w:color="auto"/>
                    <w:bottom w:val="none" w:sz="0" w:space="0" w:color="auto"/>
                    <w:right w:val="none" w:sz="0" w:space="0" w:color="auto"/>
                  </w:divBdr>
                  <w:divsChild>
                    <w:div w:id="1298298644">
                      <w:marLeft w:val="0"/>
                      <w:marRight w:val="0"/>
                      <w:marTop w:val="0"/>
                      <w:marBottom w:val="0"/>
                      <w:divBdr>
                        <w:top w:val="none" w:sz="0" w:space="0" w:color="auto"/>
                        <w:left w:val="none" w:sz="0" w:space="0" w:color="auto"/>
                        <w:bottom w:val="none" w:sz="0" w:space="0" w:color="auto"/>
                        <w:right w:val="none" w:sz="0" w:space="0" w:color="auto"/>
                      </w:divBdr>
                    </w:div>
                  </w:divsChild>
                </w:div>
                <w:div w:id="2016031813">
                  <w:marLeft w:val="0"/>
                  <w:marRight w:val="0"/>
                  <w:marTop w:val="0"/>
                  <w:marBottom w:val="0"/>
                  <w:divBdr>
                    <w:top w:val="none" w:sz="0" w:space="0" w:color="auto"/>
                    <w:left w:val="none" w:sz="0" w:space="0" w:color="auto"/>
                    <w:bottom w:val="none" w:sz="0" w:space="0" w:color="auto"/>
                    <w:right w:val="none" w:sz="0" w:space="0" w:color="auto"/>
                  </w:divBdr>
                  <w:divsChild>
                    <w:div w:id="1815022729">
                      <w:marLeft w:val="0"/>
                      <w:marRight w:val="0"/>
                      <w:marTop w:val="0"/>
                      <w:marBottom w:val="0"/>
                      <w:divBdr>
                        <w:top w:val="none" w:sz="0" w:space="0" w:color="auto"/>
                        <w:left w:val="none" w:sz="0" w:space="0" w:color="auto"/>
                        <w:bottom w:val="none" w:sz="0" w:space="0" w:color="auto"/>
                        <w:right w:val="none" w:sz="0" w:space="0" w:color="auto"/>
                      </w:divBdr>
                    </w:div>
                  </w:divsChild>
                </w:div>
                <w:div w:id="2016877253">
                  <w:marLeft w:val="0"/>
                  <w:marRight w:val="0"/>
                  <w:marTop w:val="0"/>
                  <w:marBottom w:val="0"/>
                  <w:divBdr>
                    <w:top w:val="none" w:sz="0" w:space="0" w:color="auto"/>
                    <w:left w:val="none" w:sz="0" w:space="0" w:color="auto"/>
                    <w:bottom w:val="none" w:sz="0" w:space="0" w:color="auto"/>
                    <w:right w:val="none" w:sz="0" w:space="0" w:color="auto"/>
                  </w:divBdr>
                  <w:divsChild>
                    <w:div w:id="243681879">
                      <w:marLeft w:val="0"/>
                      <w:marRight w:val="0"/>
                      <w:marTop w:val="0"/>
                      <w:marBottom w:val="0"/>
                      <w:divBdr>
                        <w:top w:val="none" w:sz="0" w:space="0" w:color="auto"/>
                        <w:left w:val="none" w:sz="0" w:space="0" w:color="auto"/>
                        <w:bottom w:val="none" w:sz="0" w:space="0" w:color="auto"/>
                        <w:right w:val="none" w:sz="0" w:space="0" w:color="auto"/>
                      </w:divBdr>
                    </w:div>
                  </w:divsChild>
                </w:div>
                <w:div w:id="2024672179">
                  <w:marLeft w:val="0"/>
                  <w:marRight w:val="0"/>
                  <w:marTop w:val="0"/>
                  <w:marBottom w:val="0"/>
                  <w:divBdr>
                    <w:top w:val="none" w:sz="0" w:space="0" w:color="auto"/>
                    <w:left w:val="none" w:sz="0" w:space="0" w:color="auto"/>
                    <w:bottom w:val="none" w:sz="0" w:space="0" w:color="auto"/>
                    <w:right w:val="none" w:sz="0" w:space="0" w:color="auto"/>
                  </w:divBdr>
                  <w:divsChild>
                    <w:div w:id="1333485898">
                      <w:marLeft w:val="0"/>
                      <w:marRight w:val="0"/>
                      <w:marTop w:val="0"/>
                      <w:marBottom w:val="0"/>
                      <w:divBdr>
                        <w:top w:val="none" w:sz="0" w:space="0" w:color="auto"/>
                        <w:left w:val="none" w:sz="0" w:space="0" w:color="auto"/>
                        <w:bottom w:val="none" w:sz="0" w:space="0" w:color="auto"/>
                        <w:right w:val="none" w:sz="0" w:space="0" w:color="auto"/>
                      </w:divBdr>
                    </w:div>
                  </w:divsChild>
                </w:div>
                <w:div w:id="2047369888">
                  <w:marLeft w:val="0"/>
                  <w:marRight w:val="0"/>
                  <w:marTop w:val="0"/>
                  <w:marBottom w:val="0"/>
                  <w:divBdr>
                    <w:top w:val="none" w:sz="0" w:space="0" w:color="auto"/>
                    <w:left w:val="none" w:sz="0" w:space="0" w:color="auto"/>
                    <w:bottom w:val="none" w:sz="0" w:space="0" w:color="auto"/>
                    <w:right w:val="none" w:sz="0" w:space="0" w:color="auto"/>
                  </w:divBdr>
                  <w:divsChild>
                    <w:div w:id="1187325177">
                      <w:marLeft w:val="0"/>
                      <w:marRight w:val="0"/>
                      <w:marTop w:val="0"/>
                      <w:marBottom w:val="0"/>
                      <w:divBdr>
                        <w:top w:val="none" w:sz="0" w:space="0" w:color="auto"/>
                        <w:left w:val="none" w:sz="0" w:space="0" w:color="auto"/>
                        <w:bottom w:val="none" w:sz="0" w:space="0" w:color="auto"/>
                        <w:right w:val="none" w:sz="0" w:space="0" w:color="auto"/>
                      </w:divBdr>
                    </w:div>
                  </w:divsChild>
                </w:div>
                <w:div w:id="2073847205">
                  <w:marLeft w:val="0"/>
                  <w:marRight w:val="0"/>
                  <w:marTop w:val="0"/>
                  <w:marBottom w:val="0"/>
                  <w:divBdr>
                    <w:top w:val="none" w:sz="0" w:space="0" w:color="auto"/>
                    <w:left w:val="none" w:sz="0" w:space="0" w:color="auto"/>
                    <w:bottom w:val="none" w:sz="0" w:space="0" w:color="auto"/>
                    <w:right w:val="none" w:sz="0" w:space="0" w:color="auto"/>
                  </w:divBdr>
                  <w:divsChild>
                    <w:div w:id="1248340698">
                      <w:marLeft w:val="0"/>
                      <w:marRight w:val="0"/>
                      <w:marTop w:val="0"/>
                      <w:marBottom w:val="0"/>
                      <w:divBdr>
                        <w:top w:val="none" w:sz="0" w:space="0" w:color="auto"/>
                        <w:left w:val="none" w:sz="0" w:space="0" w:color="auto"/>
                        <w:bottom w:val="none" w:sz="0" w:space="0" w:color="auto"/>
                        <w:right w:val="none" w:sz="0" w:space="0" w:color="auto"/>
                      </w:divBdr>
                    </w:div>
                  </w:divsChild>
                </w:div>
                <w:div w:id="2087485020">
                  <w:marLeft w:val="0"/>
                  <w:marRight w:val="0"/>
                  <w:marTop w:val="0"/>
                  <w:marBottom w:val="0"/>
                  <w:divBdr>
                    <w:top w:val="none" w:sz="0" w:space="0" w:color="auto"/>
                    <w:left w:val="none" w:sz="0" w:space="0" w:color="auto"/>
                    <w:bottom w:val="none" w:sz="0" w:space="0" w:color="auto"/>
                    <w:right w:val="none" w:sz="0" w:space="0" w:color="auto"/>
                  </w:divBdr>
                  <w:divsChild>
                    <w:div w:id="932055304">
                      <w:marLeft w:val="0"/>
                      <w:marRight w:val="0"/>
                      <w:marTop w:val="0"/>
                      <w:marBottom w:val="0"/>
                      <w:divBdr>
                        <w:top w:val="none" w:sz="0" w:space="0" w:color="auto"/>
                        <w:left w:val="none" w:sz="0" w:space="0" w:color="auto"/>
                        <w:bottom w:val="none" w:sz="0" w:space="0" w:color="auto"/>
                        <w:right w:val="none" w:sz="0" w:space="0" w:color="auto"/>
                      </w:divBdr>
                    </w:div>
                  </w:divsChild>
                </w:div>
                <w:div w:id="2116631991">
                  <w:marLeft w:val="0"/>
                  <w:marRight w:val="0"/>
                  <w:marTop w:val="0"/>
                  <w:marBottom w:val="0"/>
                  <w:divBdr>
                    <w:top w:val="none" w:sz="0" w:space="0" w:color="auto"/>
                    <w:left w:val="none" w:sz="0" w:space="0" w:color="auto"/>
                    <w:bottom w:val="none" w:sz="0" w:space="0" w:color="auto"/>
                    <w:right w:val="none" w:sz="0" w:space="0" w:color="auto"/>
                  </w:divBdr>
                  <w:divsChild>
                    <w:div w:id="521281004">
                      <w:marLeft w:val="0"/>
                      <w:marRight w:val="0"/>
                      <w:marTop w:val="0"/>
                      <w:marBottom w:val="0"/>
                      <w:divBdr>
                        <w:top w:val="none" w:sz="0" w:space="0" w:color="auto"/>
                        <w:left w:val="none" w:sz="0" w:space="0" w:color="auto"/>
                        <w:bottom w:val="none" w:sz="0" w:space="0" w:color="auto"/>
                        <w:right w:val="none" w:sz="0" w:space="0" w:color="auto"/>
                      </w:divBdr>
                    </w:div>
                  </w:divsChild>
                </w:div>
                <w:div w:id="2139031267">
                  <w:marLeft w:val="0"/>
                  <w:marRight w:val="0"/>
                  <w:marTop w:val="0"/>
                  <w:marBottom w:val="0"/>
                  <w:divBdr>
                    <w:top w:val="none" w:sz="0" w:space="0" w:color="auto"/>
                    <w:left w:val="none" w:sz="0" w:space="0" w:color="auto"/>
                    <w:bottom w:val="none" w:sz="0" w:space="0" w:color="auto"/>
                    <w:right w:val="none" w:sz="0" w:space="0" w:color="auto"/>
                  </w:divBdr>
                  <w:divsChild>
                    <w:div w:id="190463831">
                      <w:marLeft w:val="0"/>
                      <w:marRight w:val="0"/>
                      <w:marTop w:val="0"/>
                      <w:marBottom w:val="0"/>
                      <w:divBdr>
                        <w:top w:val="none" w:sz="0" w:space="0" w:color="auto"/>
                        <w:left w:val="none" w:sz="0" w:space="0" w:color="auto"/>
                        <w:bottom w:val="none" w:sz="0" w:space="0" w:color="auto"/>
                        <w:right w:val="none" w:sz="0" w:space="0" w:color="auto"/>
                      </w:divBdr>
                    </w:div>
                  </w:divsChild>
                </w:div>
                <w:div w:id="2140026282">
                  <w:marLeft w:val="0"/>
                  <w:marRight w:val="0"/>
                  <w:marTop w:val="0"/>
                  <w:marBottom w:val="0"/>
                  <w:divBdr>
                    <w:top w:val="none" w:sz="0" w:space="0" w:color="auto"/>
                    <w:left w:val="none" w:sz="0" w:space="0" w:color="auto"/>
                    <w:bottom w:val="none" w:sz="0" w:space="0" w:color="auto"/>
                    <w:right w:val="none" w:sz="0" w:space="0" w:color="auto"/>
                  </w:divBdr>
                  <w:divsChild>
                    <w:div w:id="6056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47695">
          <w:marLeft w:val="0"/>
          <w:marRight w:val="0"/>
          <w:marTop w:val="0"/>
          <w:marBottom w:val="0"/>
          <w:divBdr>
            <w:top w:val="none" w:sz="0" w:space="0" w:color="auto"/>
            <w:left w:val="none" w:sz="0" w:space="0" w:color="auto"/>
            <w:bottom w:val="none" w:sz="0" w:space="0" w:color="auto"/>
            <w:right w:val="none" w:sz="0" w:space="0" w:color="auto"/>
          </w:divBdr>
        </w:div>
        <w:div w:id="2018187668">
          <w:marLeft w:val="0"/>
          <w:marRight w:val="0"/>
          <w:marTop w:val="0"/>
          <w:marBottom w:val="0"/>
          <w:divBdr>
            <w:top w:val="none" w:sz="0" w:space="0" w:color="auto"/>
            <w:left w:val="none" w:sz="0" w:space="0" w:color="auto"/>
            <w:bottom w:val="none" w:sz="0" w:space="0" w:color="auto"/>
            <w:right w:val="none" w:sz="0" w:space="0" w:color="auto"/>
          </w:divBdr>
        </w:div>
      </w:divsChild>
    </w:div>
    <w:div w:id="933131014">
      <w:bodyDiv w:val="1"/>
      <w:marLeft w:val="0"/>
      <w:marRight w:val="0"/>
      <w:marTop w:val="0"/>
      <w:marBottom w:val="0"/>
      <w:divBdr>
        <w:top w:val="none" w:sz="0" w:space="0" w:color="auto"/>
        <w:left w:val="none" w:sz="0" w:space="0" w:color="auto"/>
        <w:bottom w:val="none" w:sz="0" w:space="0" w:color="auto"/>
        <w:right w:val="none" w:sz="0" w:space="0" w:color="auto"/>
      </w:divBdr>
      <w:divsChild>
        <w:div w:id="759835469">
          <w:marLeft w:val="0"/>
          <w:marRight w:val="0"/>
          <w:marTop w:val="0"/>
          <w:marBottom w:val="0"/>
          <w:divBdr>
            <w:top w:val="none" w:sz="0" w:space="0" w:color="auto"/>
            <w:left w:val="none" w:sz="0" w:space="0" w:color="auto"/>
            <w:bottom w:val="none" w:sz="0" w:space="0" w:color="auto"/>
            <w:right w:val="none" w:sz="0" w:space="0" w:color="auto"/>
          </w:divBdr>
        </w:div>
        <w:div w:id="885026802">
          <w:marLeft w:val="0"/>
          <w:marRight w:val="0"/>
          <w:marTop w:val="0"/>
          <w:marBottom w:val="0"/>
          <w:divBdr>
            <w:top w:val="none" w:sz="0" w:space="0" w:color="auto"/>
            <w:left w:val="none" w:sz="0" w:space="0" w:color="auto"/>
            <w:bottom w:val="none" w:sz="0" w:space="0" w:color="auto"/>
            <w:right w:val="none" w:sz="0" w:space="0" w:color="auto"/>
          </w:divBdr>
        </w:div>
      </w:divsChild>
    </w:div>
    <w:div w:id="947859908">
      <w:bodyDiv w:val="1"/>
      <w:marLeft w:val="0"/>
      <w:marRight w:val="0"/>
      <w:marTop w:val="0"/>
      <w:marBottom w:val="0"/>
      <w:divBdr>
        <w:top w:val="none" w:sz="0" w:space="0" w:color="auto"/>
        <w:left w:val="none" w:sz="0" w:space="0" w:color="auto"/>
        <w:bottom w:val="none" w:sz="0" w:space="0" w:color="auto"/>
        <w:right w:val="none" w:sz="0" w:space="0" w:color="auto"/>
      </w:divBdr>
      <w:divsChild>
        <w:div w:id="87507555">
          <w:marLeft w:val="0"/>
          <w:marRight w:val="0"/>
          <w:marTop w:val="0"/>
          <w:marBottom w:val="0"/>
          <w:divBdr>
            <w:top w:val="none" w:sz="0" w:space="0" w:color="auto"/>
            <w:left w:val="none" w:sz="0" w:space="0" w:color="auto"/>
            <w:bottom w:val="none" w:sz="0" w:space="0" w:color="auto"/>
            <w:right w:val="none" w:sz="0" w:space="0" w:color="auto"/>
          </w:divBdr>
        </w:div>
        <w:div w:id="99569468">
          <w:marLeft w:val="0"/>
          <w:marRight w:val="0"/>
          <w:marTop w:val="0"/>
          <w:marBottom w:val="0"/>
          <w:divBdr>
            <w:top w:val="none" w:sz="0" w:space="0" w:color="auto"/>
            <w:left w:val="none" w:sz="0" w:space="0" w:color="auto"/>
            <w:bottom w:val="none" w:sz="0" w:space="0" w:color="auto"/>
            <w:right w:val="none" w:sz="0" w:space="0" w:color="auto"/>
          </w:divBdr>
        </w:div>
        <w:div w:id="201942628">
          <w:marLeft w:val="0"/>
          <w:marRight w:val="0"/>
          <w:marTop w:val="0"/>
          <w:marBottom w:val="0"/>
          <w:divBdr>
            <w:top w:val="none" w:sz="0" w:space="0" w:color="auto"/>
            <w:left w:val="none" w:sz="0" w:space="0" w:color="auto"/>
            <w:bottom w:val="none" w:sz="0" w:space="0" w:color="auto"/>
            <w:right w:val="none" w:sz="0" w:space="0" w:color="auto"/>
          </w:divBdr>
        </w:div>
        <w:div w:id="254095385">
          <w:marLeft w:val="0"/>
          <w:marRight w:val="0"/>
          <w:marTop w:val="0"/>
          <w:marBottom w:val="0"/>
          <w:divBdr>
            <w:top w:val="none" w:sz="0" w:space="0" w:color="auto"/>
            <w:left w:val="none" w:sz="0" w:space="0" w:color="auto"/>
            <w:bottom w:val="none" w:sz="0" w:space="0" w:color="auto"/>
            <w:right w:val="none" w:sz="0" w:space="0" w:color="auto"/>
          </w:divBdr>
        </w:div>
        <w:div w:id="364215945">
          <w:marLeft w:val="0"/>
          <w:marRight w:val="0"/>
          <w:marTop w:val="0"/>
          <w:marBottom w:val="0"/>
          <w:divBdr>
            <w:top w:val="none" w:sz="0" w:space="0" w:color="auto"/>
            <w:left w:val="none" w:sz="0" w:space="0" w:color="auto"/>
            <w:bottom w:val="none" w:sz="0" w:space="0" w:color="auto"/>
            <w:right w:val="none" w:sz="0" w:space="0" w:color="auto"/>
          </w:divBdr>
        </w:div>
        <w:div w:id="368341488">
          <w:marLeft w:val="0"/>
          <w:marRight w:val="0"/>
          <w:marTop w:val="0"/>
          <w:marBottom w:val="0"/>
          <w:divBdr>
            <w:top w:val="none" w:sz="0" w:space="0" w:color="auto"/>
            <w:left w:val="none" w:sz="0" w:space="0" w:color="auto"/>
            <w:bottom w:val="none" w:sz="0" w:space="0" w:color="auto"/>
            <w:right w:val="none" w:sz="0" w:space="0" w:color="auto"/>
          </w:divBdr>
        </w:div>
        <w:div w:id="479881947">
          <w:marLeft w:val="0"/>
          <w:marRight w:val="0"/>
          <w:marTop w:val="0"/>
          <w:marBottom w:val="0"/>
          <w:divBdr>
            <w:top w:val="none" w:sz="0" w:space="0" w:color="auto"/>
            <w:left w:val="none" w:sz="0" w:space="0" w:color="auto"/>
            <w:bottom w:val="none" w:sz="0" w:space="0" w:color="auto"/>
            <w:right w:val="none" w:sz="0" w:space="0" w:color="auto"/>
          </w:divBdr>
          <w:divsChild>
            <w:div w:id="132605586">
              <w:marLeft w:val="0"/>
              <w:marRight w:val="0"/>
              <w:marTop w:val="0"/>
              <w:marBottom w:val="0"/>
              <w:divBdr>
                <w:top w:val="none" w:sz="0" w:space="0" w:color="auto"/>
                <w:left w:val="none" w:sz="0" w:space="0" w:color="auto"/>
                <w:bottom w:val="none" w:sz="0" w:space="0" w:color="auto"/>
                <w:right w:val="none" w:sz="0" w:space="0" w:color="auto"/>
              </w:divBdr>
            </w:div>
            <w:div w:id="368074136">
              <w:marLeft w:val="0"/>
              <w:marRight w:val="0"/>
              <w:marTop w:val="0"/>
              <w:marBottom w:val="0"/>
              <w:divBdr>
                <w:top w:val="none" w:sz="0" w:space="0" w:color="auto"/>
                <w:left w:val="none" w:sz="0" w:space="0" w:color="auto"/>
                <w:bottom w:val="none" w:sz="0" w:space="0" w:color="auto"/>
                <w:right w:val="none" w:sz="0" w:space="0" w:color="auto"/>
              </w:divBdr>
            </w:div>
            <w:div w:id="598830692">
              <w:marLeft w:val="0"/>
              <w:marRight w:val="0"/>
              <w:marTop w:val="0"/>
              <w:marBottom w:val="0"/>
              <w:divBdr>
                <w:top w:val="none" w:sz="0" w:space="0" w:color="auto"/>
                <w:left w:val="none" w:sz="0" w:space="0" w:color="auto"/>
                <w:bottom w:val="none" w:sz="0" w:space="0" w:color="auto"/>
                <w:right w:val="none" w:sz="0" w:space="0" w:color="auto"/>
              </w:divBdr>
            </w:div>
            <w:div w:id="875504101">
              <w:marLeft w:val="0"/>
              <w:marRight w:val="0"/>
              <w:marTop w:val="0"/>
              <w:marBottom w:val="0"/>
              <w:divBdr>
                <w:top w:val="none" w:sz="0" w:space="0" w:color="auto"/>
                <w:left w:val="none" w:sz="0" w:space="0" w:color="auto"/>
                <w:bottom w:val="none" w:sz="0" w:space="0" w:color="auto"/>
                <w:right w:val="none" w:sz="0" w:space="0" w:color="auto"/>
              </w:divBdr>
            </w:div>
            <w:div w:id="1329406272">
              <w:marLeft w:val="0"/>
              <w:marRight w:val="0"/>
              <w:marTop w:val="0"/>
              <w:marBottom w:val="0"/>
              <w:divBdr>
                <w:top w:val="none" w:sz="0" w:space="0" w:color="auto"/>
                <w:left w:val="none" w:sz="0" w:space="0" w:color="auto"/>
                <w:bottom w:val="none" w:sz="0" w:space="0" w:color="auto"/>
                <w:right w:val="none" w:sz="0" w:space="0" w:color="auto"/>
              </w:divBdr>
            </w:div>
          </w:divsChild>
        </w:div>
        <w:div w:id="505704836">
          <w:marLeft w:val="0"/>
          <w:marRight w:val="0"/>
          <w:marTop w:val="0"/>
          <w:marBottom w:val="0"/>
          <w:divBdr>
            <w:top w:val="none" w:sz="0" w:space="0" w:color="auto"/>
            <w:left w:val="none" w:sz="0" w:space="0" w:color="auto"/>
            <w:bottom w:val="none" w:sz="0" w:space="0" w:color="auto"/>
            <w:right w:val="none" w:sz="0" w:space="0" w:color="auto"/>
          </w:divBdr>
        </w:div>
        <w:div w:id="629092440">
          <w:marLeft w:val="0"/>
          <w:marRight w:val="0"/>
          <w:marTop w:val="0"/>
          <w:marBottom w:val="0"/>
          <w:divBdr>
            <w:top w:val="none" w:sz="0" w:space="0" w:color="auto"/>
            <w:left w:val="none" w:sz="0" w:space="0" w:color="auto"/>
            <w:bottom w:val="none" w:sz="0" w:space="0" w:color="auto"/>
            <w:right w:val="none" w:sz="0" w:space="0" w:color="auto"/>
          </w:divBdr>
        </w:div>
        <w:div w:id="669911576">
          <w:marLeft w:val="0"/>
          <w:marRight w:val="0"/>
          <w:marTop w:val="0"/>
          <w:marBottom w:val="0"/>
          <w:divBdr>
            <w:top w:val="none" w:sz="0" w:space="0" w:color="auto"/>
            <w:left w:val="none" w:sz="0" w:space="0" w:color="auto"/>
            <w:bottom w:val="none" w:sz="0" w:space="0" w:color="auto"/>
            <w:right w:val="none" w:sz="0" w:space="0" w:color="auto"/>
          </w:divBdr>
        </w:div>
        <w:div w:id="782916760">
          <w:marLeft w:val="0"/>
          <w:marRight w:val="0"/>
          <w:marTop w:val="0"/>
          <w:marBottom w:val="0"/>
          <w:divBdr>
            <w:top w:val="none" w:sz="0" w:space="0" w:color="auto"/>
            <w:left w:val="none" w:sz="0" w:space="0" w:color="auto"/>
            <w:bottom w:val="none" w:sz="0" w:space="0" w:color="auto"/>
            <w:right w:val="none" w:sz="0" w:space="0" w:color="auto"/>
          </w:divBdr>
          <w:divsChild>
            <w:div w:id="1017003068">
              <w:marLeft w:val="0"/>
              <w:marRight w:val="0"/>
              <w:marTop w:val="0"/>
              <w:marBottom w:val="0"/>
              <w:divBdr>
                <w:top w:val="none" w:sz="0" w:space="0" w:color="auto"/>
                <w:left w:val="none" w:sz="0" w:space="0" w:color="auto"/>
                <w:bottom w:val="none" w:sz="0" w:space="0" w:color="auto"/>
                <w:right w:val="none" w:sz="0" w:space="0" w:color="auto"/>
              </w:divBdr>
            </w:div>
            <w:div w:id="1107651837">
              <w:marLeft w:val="0"/>
              <w:marRight w:val="0"/>
              <w:marTop w:val="0"/>
              <w:marBottom w:val="0"/>
              <w:divBdr>
                <w:top w:val="none" w:sz="0" w:space="0" w:color="auto"/>
                <w:left w:val="none" w:sz="0" w:space="0" w:color="auto"/>
                <w:bottom w:val="none" w:sz="0" w:space="0" w:color="auto"/>
                <w:right w:val="none" w:sz="0" w:space="0" w:color="auto"/>
              </w:divBdr>
            </w:div>
            <w:div w:id="1210341287">
              <w:marLeft w:val="0"/>
              <w:marRight w:val="0"/>
              <w:marTop w:val="0"/>
              <w:marBottom w:val="0"/>
              <w:divBdr>
                <w:top w:val="none" w:sz="0" w:space="0" w:color="auto"/>
                <w:left w:val="none" w:sz="0" w:space="0" w:color="auto"/>
                <w:bottom w:val="none" w:sz="0" w:space="0" w:color="auto"/>
                <w:right w:val="none" w:sz="0" w:space="0" w:color="auto"/>
              </w:divBdr>
            </w:div>
            <w:div w:id="1245992400">
              <w:marLeft w:val="0"/>
              <w:marRight w:val="0"/>
              <w:marTop w:val="0"/>
              <w:marBottom w:val="0"/>
              <w:divBdr>
                <w:top w:val="none" w:sz="0" w:space="0" w:color="auto"/>
                <w:left w:val="none" w:sz="0" w:space="0" w:color="auto"/>
                <w:bottom w:val="none" w:sz="0" w:space="0" w:color="auto"/>
                <w:right w:val="none" w:sz="0" w:space="0" w:color="auto"/>
              </w:divBdr>
            </w:div>
            <w:div w:id="1694918075">
              <w:marLeft w:val="0"/>
              <w:marRight w:val="0"/>
              <w:marTop w:val="0"/>
              <w:marBottom w:val="0"/>
              <w:divBdr>
                <w:top w:val="none" w:sz="0" w:space="0" w:color="auto"/>
                <w:left w:val="none" w:sz="0" w:space="0" w:color="auto"/>
                <w:bottom w:val="none" w:sz="0" w:space="0" w:color="auto"/>
                <w:right w:val="none" w:sz="0" w:space="0" w:color="auto"/>
              </w:divBdr>
            </w:div>
          </w:divsChild>
        </w:div>
        <w:div w:id="792165798">
          <w:marLeft w:val="0"/>
          <w:marRight w:val="0"/>
          <w:marTop w:val="0"/>
          <w:marBottom w:val="0"/>
          <w:divBdr>
            <w:top w:val="none" w:sz="0" w:space="0" w:color="auto"/>
            <w:left w:val="none" w:sz="0" w:space="0" w:color="auto"/>
            <w:bottom w:val="none" w:sz="0" w:space="0" w:color="auto"/>
            <w:right w:val="none" w:sz="0" w:space="0" w:color="auto"/>
          </w:divBdr>
        </w:div>
        <w:div w:id="866482501">
          <w:marLeft w:val="0"/>
          <w:marRight w:val="0"/>
          <w:marTop w:val="0"/>
          <w:marBottom w:val="0"/>
          <w:divBdr>
            <w:top w:val="none" w:sz="0" w:space="0" w:color="auto"/>
            <w:left w:val="none" w:sz="0" w:space="0" w:color="auto"/>
            <w:bottom w:val="none" w:sz="0" w:space="0" w:color="auto"/>
            <w:right w:val="none" w:sz="0" w:space="0" w:color="auto"/>
          </w:divBdr>
        </w:div>
        <w:div w:id="893003008">
          <w:marLeft w:val="0"/>
          <w:marRight w:val="0"/>
          <w:marTop w:val="0"/>
          <w:marBottom w:val="0"/>
          <w:divBdr>
            <w:top w:val="none" w:sz="0" w:space="0" w:color="auto"/>
            <w:left w:val="none" w:sz="0" w:space="0" w:color="auto"/>
            <w:bottom w:val="none" w:sz="0" w:space="0" w:color="auto"/>
            <w:right w:val="none" w:sz="0" w:space="0" w:color="auto"/>
          </w:divBdr>
        </w:div>
        <w:div w:id="1011637445">
          <w:marLeft w:val="0"/>
          <w:marRight w:val="0"/>
          <w:marTop w:val="0"/>
          <w:marBottom w:val="0"/>
          <w:divBdr>
            <w:top w:val="none" w:sz="0" w:space="0" w:color="auto"/>
            <w:left w:val="none" w:sz="0" w:space="0" w:color="auto"/>
            <w:bottom w:val="none" w:sz="0" w:space="0" w:color="auto"/>
            <w:right w:val="none" w:sz="0" w:space="0" w:color="auto"/>
          </w:divBdr>
          <w:divsChild>
            <w:div w:id="1109936955">
              <w:marLeft w:val="-75"/>
              <w:marRight w:val="0"/>
              <w:marTop w:val="30"/>
              <w:marBottom w:val="30"/>
              <w:divBdr>
                <w:top w:val="none" w:sz="0" w:space="0" w:color="auto"/>
                <w:left w:val="none" w:sz="0" w:space="0" w:color="auto"/>
                <w:bottom w:val="none" w:sz="0" w:space="0" w:color="auto"/>
                <w:right w:val="none" w:sz="0" w:space="0" w:color="auto"/>
              </w:divBdr>
              <w:divsChild>
                <w:div w:id="133527812">
                  <w:marLeft w:val="0"/>
                  <w:marRight w:val="0"/>
                  <w:marTop w:val="0"/>
                  <w:marBottom w:val="0"/>
                  <w:divBdr>
                    <w:top w:val="none" w:sz="0" w:space="0" w:color="auto"/>
                    <w:left w:val="none" w:sz="0" w:space="0" w:color="auto"/>
                    <w:bottom w:val="none" w:sz="0" w:space="0" w:color="auto"/>
                    <w:right w:val="none" w:sz="0" w:space="0" w:color="auto"/>
                  </w:divBdr>
                  <w:divsChild>
                    <w:div w:id="386151995">
                      <w:marLeft w:val="0"/>
                      <w:marRight w:val="0"/>
                      <w:marTop w:val="0"/>
                      <w:marBottom w:val="0"/>
                      <w:divBdr>
                        <w:top w:val="none" w:sz="0" w:space="0" w:color="auto"/>
                        <w:left w:val="none" w:sz="0" w:space="0" w:color="auto"/>
                        <w:bottom w:val="none" w:sz="0" w:space="0" w:color="auto"/>
                        <w:right w:val="none" w:sz="0" w:space="0" w:color="auto"/>
                      </w:divBdr>
                    </w:div>
                  </w:divsChild>
                </w:div>
                <w:div w:id="280839931">
                  <w:marLeft w:val="0"/>
                  <w:marRight w:val="0"/>
                  <w:marTop w:val="0"/>
                  <w:marBottom w:val="0"/>
                  <w:divBdr>
                    <w:top w:val="none" w:sz="0" w:space="0" w:color="auto"/>
                    <w:left w:val="none" w:sz="0" w:space="0" w:color="auto"/>
                    <w:bottom w:val="none" w:sz="0" w:space="0" w:color="auto"/>
                    <w:right w:val="none" w:sz="0" w:space="0" w:color="auto"/>
                  </w:divBdr>
                  <w:divsChild>
                    <w:div w:id="1572538589">
                      <w:marLeft w:val="0"/>
                      <w:marRight w:val="0"/>
                      <w:marTop w:val="0"/>
                      <w:marBottom w:val="0"/>
                      <w:divBdr>
                        <w:top w:val="none" w:sz="0" w:space="0" w:color="auto"/>
                        <w:left w:val="none" w:sz="0" w:space="0" w:color="auto"/>
                        <w:bottom w:val="none" w:sz="0" w:space="0" w:color="auto"/>
                        <w:right w:val="none" w:sz="0" w:space="0" w:color="auto"/>
                      </w:divBdr>
                    </w:div>
                  </w:divsChild>
                </w:div>
                <w:div w:id="291208954">
                  <w:marLeft w:val="0"/>
                  <w:marRight w:val="0"/>
                  <w:marTop w:val="0"/>
                  <w:marBottom w:val="0"/>
                  <w:divBdr>
                    <w:top w:val="none" w:sz="0" w:space="0" w:color="auto"/>
                    <w:left w:val="none" w:sz="0" w:space="0" w:color="auto"/>
                    <w:bottom w:val="none" w:sz="0" w:space="0" w:color="auto"/>
                    <w:right w:val="none" w:sz="0" w:space="0" w:color="auto"/>
                  </w:divBdr>
                  <w:divsChild>
                    <w:div w:id="1935281533">
                      <w:marLeft w:val="0"/>
                      <w:marRight w:val="0"/>
                      <w:marTop w:val="0"/>
                      <w:marBottom w:val="0"/>
                      <w:divBdr>
                        <w:top w:val="none" w:sz="0" w:space="0" w:color="auto"/>
                        <w:left w:val="none" w:sz="0" w:space="0" w:color="auto"/>
                        <w:bottom w:val="none" w:sz="0" w:space="0" w:color="auto"/>
                        <w:right w:val="none" w:sz="0" w:space="0" w:color="auto"/>
                      </w:divBdr>
                    </w:div>
                  </w:divsChild>
                </w:div>
                <w:div w:id="605578046">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
                  </w:divsChild>
                </w:div>
                <w:div w:id="627005381">
                  <w:marLeft w:val="0"/>
                  <w:marRight w:val="0"/>
                  <w:marTop w:val="0"/>
                  <w:marBottom w:val="0"/>
                  <w:divBdr>
                    <w:top w:val="none" w:sz="0" w:space="0" w:color="auto"/>
                    <w:left w:val="none" w:sz="0" w:space="0" w:color="auto"/>
                    <w:bottom w:val="none" w:sz="0" w:space="0" w:color="auto"/>
                    <w:right w:val="none" w:sz="0" w:space="0" w:color="auto"/>
                  </w:divBdr>
                  <w:divsChild>
                    <w:div w:id="290671395">
                      <w:marLeft w:val="0"/>
                      <w:marRight w:val="0"/>
                      <w:marTop w:val="0"/>
                      <w:marBottom w:val="0"/>
                      <w:divBdr>
                        <w:top w:val="none" w:sz="0" w:space="0" w:color="auto"/>
                        <w:left w:val="none" w:sz="0" w:space="0" w:color="auto"/>
                        <w:bottom w:val="none" w:sz="0" w:space="0" w:color="auto"/>
                        <w:right w:val="none" w:sz="0" w:space="0" w:color="auto"/>
                      </w:divBdr>
                    </w:div>
                  </w:divsChild>
                </w:div>
                <w:div w:id="700595505">
                  <w:marLeft w:val="0"/>
                  <w:marRight w:val="0"/>
                  <w:marTop w:val="0"/>
                  <w:marBottom w:val="0"/>
                  <w:divBdr>
                    <w:top w:val="none" w:sz="0" w:space="0" w:color="auto"/>
                    <w:left w:val="none" w:sz="0" w:space="0" w:color="auto"/>
                    <w:bottom w:val="none" w:sz="0" w:space="0" w:color="auto"/>
                    <w:right w:val="none" w:sz="0" w:space="0" w:color="auto"/>
                  </w:divBdr>
                  <w:divsChild>
                    <w:div w:id="678460486">
                      <w:marLeft w:val="0"/>
                      <w:marRight w:val="0"/>
                      <w:marTop w:val="0"/>
                      <w:marBottom w:val="0"/>
                      <w:divBdr>
                        <w:top w:val="none" w:sz="0" w:space="0" w:color="auto"/>
                        <w:left w:val="none" w:sz="0" w:space="0" w:color="auto"/>
                        <w:bottom w:val="none" w:sz="0" w:space="0" w:color="auto"/>
                        <w:right w:val="none" w:sz="0" w:space="0" w:color="auto"/>
                      </w:divBdr>
                    </w:div>
                  </w:divsChild>
                </w:div>
                <w:div w:id="1012221634">
                  <w:marLeft w:val="0"/>
                  <w:marRight w:val="0"/>
                  <w:marTop w:val="0"/>
                  <w:marBottom w:val="0"/>
                  <w:divBdr>
                    <w:top w:val="none" w:sz="0" w:space="0" w:color="auto"/>
                    <w:left w:val="none" w:sz="0" w:space="0" w:color="auto"/>
                    <w:bottom w:val="none" w:sz="0" w:space="0" w:color="auto"/>
                    <w:right w:val="none" w:sz="0" w:space="0" w:color="auto"/>
                  </w:divBdr>
                  <w:divsChild>
                    <w:div w:id="1010990153">
                      <w:marLeft w:val="0"/>
                      <w:marRight w:val="0"/>
                      <w:marTop w:val="0"/>
                      <w:marBottom w:val="0"/>
                      <w:divBdr>
                        <w:top w:val="none" w:sz="0" w:space="0" w:color="auto"/>
                        <w:left w:val="none" w:sz="0" w:space="0" w:color="auto"/>
                        <w:bottom w:val="none" w:sz="0" w:space="0" w:color="auto"/>
                        <w:right w:val="none" w:sz="0" w:space="0" w:color="auto"/>
                      </w:divBdr>
                    </w:div>
                  </w:divsChild>
                </w:div>
                <w:div w:id="1214660028">
                  <w:marLeft w:val="0"/>
                  <w:marRight w:val="0"/>
                  <w:marTop w:val="0"/>
                  <w:marBottom w:val="0"/>
                  <w:divBdr>
                    <w:top w:val="none" w:sz="0" w:space="0" w:color="auto"/>
                    <w:left w:val="none" w:sz="0" w:space="0" w:color="auto"/>
                    <w:bottom w:val="none" w:sz="0" w:space="0" w:color="auto"/>
                    <w:right w:val="none" w:sz="0" w:space="0" w:color="auto"/>
                  </w:divBdr>
                  <w:divsChild>
                    <w:div w:id="1494225279">
                      <w:marLeft w:val="0"/>
                      <w:marRight w:val="0"/>
                      <w:marTop w:val="0"/>
                      <w:marBottom w:val="0"/>
                      <w:divBdr>
                        <w:top w:val="none" w:sz="0" w:space="0" w:color="auto"/>
                        <w:left w:val="none" w:sz="0" w:space="0" w:color="auto"/>
                        <w:bottom w:val="none" w:sz="0" w:space="0" w:color="auto"/>
                        <w:right w:val="none" w:sz="0" w:space="0" w:color="auto"/>
                      </w:divBdr>
                    </w:div>
                  </w:divsChild>
                </w:div>
                <w:div w:id="1260138321">
                  <w:marLeft w:val="0"/>
                  <w:marRight w:val="0"/>
                  <w:marTop w:val="0"/>
                  <w:marBottom w:val="0"/>
                  <w:divBdr>
                    <w:top w:val="none" w:sz="0" w:space="0" w:color="auto"/>
                    <w:left w:val="none" w:sz="0" w:space="0" w:color="auto"/>
                    <w:bottom w:val="none" w:sz="0" w:space="0" w:color="auto"/>
                    <w:right w:val="none" w:sz="0" w:space="0" w:color="auto"/>
                  </w:divBdr>
                  <w:divsChild>
                    <w:div w:id="497883730">
                      <w:marLeft w:val="0"/>
                      <w:marRight w:val="0"/>
                      <w:marTop w:val="0"/>
                      <w:marBottom w:val="0"/>
                      <w:divBdr>
                        <w:top w:val="none" w:sz="0" w:space="0" w:color="auto"/>
                        <w:left w:val="none" w:sz="0" w:space="0" w:color="auto"/>
                        <w:bottom w:val="none" w:sz="0" w:space="0" w:color="auto"/>
                        <w:right w:val="none" w:sz="0" w:space="0" w:color="auto"/>
                      </w:divBdr>
                    </w:div>
                  </w:divsChild>
                </w:div>
                <w:div w:id="1584299781">
                  <w:marLeft w:val="0"/>
                  <w:marRight w:val="0"/>
                  <w:marTop w:val="0"/>
                  <w:marBottom w:val="0"/>
                  <w:divBdr>
                    <w:top w:val="none" w:sz="0" w:space="0" w:color="auto"/>
                    <w:left w:val="none" w:sz="0" w:space="0" w:color="auto"/>
                    <w:bottom w:val="none" w:sz="0" w:space="0" w:color="auto"/>
                    <w:right w:val="none" w:sz="0" w:space="0" w:color="auto"/>
                  </w:divBdr>
                  <w:divsChild>
                    <w:div w:id="229972132">
                      <w:marLeft w:val="0"/>
                      <w:marRight w:val="0"/>
                      <w:marTop w:val="0"/>
                      <w:marBottom w:val="0"/>
                      <w:divBdr>
                        <w:top w:val="none" w:sz="0" w:space="0" w:color="auto"/>
                        <w:left w:val="none" w:sz="0" w:space="0" w:color="auto"/>
                        <w:bottom w:val="none" w:sz="0" w:space="0" w:color="auto"/>
                        <w:right w:val="none" w:sz="0" w:space="0" w:color="auto"/>
                      </w:divBdr>
                    </w:div>
                  </w:divsChild>
                </w:div>
                <w:div w:id="1753548252">
                  <w:marLeft w:val="0"/>
                  <w:marRight w:val="0"/>
                  <w:marTop w:val="0"/>
                  <w:marBottom w:val="0"/>
                  <w:divBdr>
                    <w:top w:val="none" w:sz="0" w:space="0" w:color="auto"/>
                    <w:left w:val="none" w:sz="0" w:space="0" w:color="auto"/>
                    <w:bottom w:val="none" w:sz="0" w:space="0" w:color="auto"/>
                    <w:right w:val="none" w:sz="0" w:space="0" w:color="auto"/>
                  </w:divBdr>
                  <w:divsChild>
                    <w:div w:id="746267800">
                      <w:marLeft w:val="0"/>
                      <w:marRight w:val="0"/>
                      <w:marTop w:val="0"/>
                      <w:marBottom w:val="0"/>
                      <w:divBdr>
                        <w:top w:val="none" w:sz="0" w:space="0" w:color="auto"/>
                        <w:left w:val="none" w:sz="0" w:space="0" w:color="auto"/>
                        <w:bottom w:val="none" w:sz="0" w:space="0" w:color="auto"/>
                        <w:right w:val="none" w:sz="0" w:space="0" w:color="auto"/>
                      </w:divBdr>
                    </w:div>
                  </w:divsChild>
                </w:div>
                <w:div w:id="1792282669">
                  <w:marLeft w:val="0"/>
                  <w:marRight w:val="0"/>
                  <w:marTop w:val="0"/>
                  <w:marBottom w:val="0"/>
                  <w:divBdr>
                    <w:top w:val="none" w:sz="0" w:space="0" w:color="auto"/>
                    <w:left w:val="none" w:sz="0" w:space="0" w:color="auto"/>
                    <w:bottom w:val="none" w:sz="0" w:space="0" w:color="auto"/>
                    <w:right w:val="none" w:sz="0" w:space="0" w:color="auto"/>
                  </w:divBdr>
                  <w:divsChild>
                    <w:div w:id="1706709030">
                      <w:marLeft w:val="0"/>
                      <w:marRight w:val="0"/>
                      <w:marTop w:val="0"/>
                      <w:marBottom w:val="0"/>
                      <w:divBdr>
                        <w:top w:val="none" w:sz="0" w:space="0" w:color="auto"/>
                        <w:left w:val="none" w:sz="0" w:space="0" w:color="auto"/>
                        <w:bottom w:val="none" w:sz="0" w:space="0" w:color="auto"/>
                        <w:right w:val="none" w:sz="0" w:space="0" w:color="auto"/>
                      </w:divBdr>
                    </w:div>
                  </w:divsChild>
                </w:div>
                <w:div w:id="2040231845">
                  <w:marLeft w:val="0"/>
                  <w:marRight w:val="0"/>
                  <w:marTop w:val="0"/>
                  <w:marBottom w:val="0"/>
                  <w:divBdr>
                    <w:top w:val="none" w:sz="0" w:space="0" w:color="auto"/>
                    <w:left w:val="none" w:sz="0" w:space="0" w:color="auto"/>
                    <w:bottom w:val="none" w:sz="0" w:space="0" w:color="auto"/>
                    <w:right w:val="none" w:sz="0" w:space="0" w:color="auto"/>
                  </w:divBdr>
                  <w:divsChild>
                    <w:div w:id="1699233229">
                      <w:marLeft w:val="0"/>
                      <w:marRight w:val="0"/>
                      <w:marTop w:val="0"/>
                      <w:marBottom w:val="0"/>
                      <w:divBdr>
                        <w:top w:val="none" w:sz="0" w:space="0" w:color="auto"/>
                        <w:left w:val="none" w:sz="0" w:space="0" w:color="auto"/>
                        <w:bottom w:val="none" w:sz="0" w:space="0" w:color="auto"/>
                        <w:right w:val="none" w:sz="0" w:space="0" w:color="auto"/>
                      </w:divBdr>
                    </w:div>
                  </w:divsChild>
                </w:div>
                <w:div w:id="2072578886">
                  <w:marLeft w:val="0"/>
                  <w:marRight w:val="0"/>
                  <w:marTop w:val="0"/>
                  <w:marBottom w:val="0"/>
                  <w:divBdr>
                    <w:top w:val="none" w:sz="0" w:space="0" w:color="auto"/>
                    <w:left w:val="none" w:sz="0" w:space="0" w:color="auto"/>
                    <w:bottom w:val="none" w:sz="0" w:space="0" w:color="auto"/>
                    <w:right w:val="none" w:sz="0" w:space="0" w:color="auto"/>
                  </w:divBdr>
                  <w:divsChild>
                    <w:div w:id="1784690715">
                      <w:marLeft w:val="0"/>
                      <w:marRight w:val="0"/>
                      <w:marTop w:val="0"/>
                      <w:marBottom w:val="0"/>
                      <w:divBdr>
                        <w:top w:val="none" w:sz="0" w:space="0" w:color="auto"/>
                        <w:left w:val="none" w:sz="0" w:space="0" w:color="auto"/>
                        <w:bottom w:val="none" w:sz="0" w:space="0" w:color="auto"/>
                        <w:right w:val="none" w:sz="0" w:space="0" w:color="auto"/>
                      </w:divBdr>
                    </w:div>
                  </w:divsChild>
                </w:div>
                <w:div w:id="2093157826">
                  <w:marLeft w:val="0"/>
                  <w:marRight w:val="0"/>
                  <w:marTop w:val="0"/>
                  <w:marBottom w:val="0"/>
                  <w:divBdr>
                    <w:top w:val="none" w:sz="0" w:space="0" w:color="auto"/>
                    <w:left w:val="none" w:sz="0" w:space="0" w:color="auto"/>
                    <w:bottom w:val="none" w:sz="0" w:space="0" w:color="auto"/>
                    <w:right w:val="none" w:sz="0" w:space="0" w:color="auto"/>
                  </w:divBdr>
                  <w:divsChild>
                    <w:div w:id="52405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9436">
          <w:marLeft w:val="0"/>
          <w:marRight w:val="0"/>
          <w:marTop w:val="0"/>
          <w:marBottom w:val="0"/>
          <w:divBdr>
            <w:top w:val="none" w:sz="0" w:space="0" w:color="auto"/>
            <w:left w:val="none" w:sz="0" w:space="0" w:color="auto"/>
            <w:bottom w:val="none" w:sz="0" w:space="0" w:color="auto"/>
            <w:right w:val="none" w:sz="0" w:space="0" w:color="auto"/>
          </w:divBdr>
        </w:div>
        <w:div w:id="1152024184">
          <w:marLeft w:val="0"/>
          <w:marRight w:val="0"/>
          <w:marTop w:val="0"/>
          <w:marBottom w:val="0"/>
          <w:divBdr>
            <w:top w:val="none" w:sz="0" w:space="0" w:color="auto"/>
            <w:left w:val="none" w:sz="0" w:space="0" w:color="auto"/>
            <w:bottom w:val="none" w:sz="0" w:space="0" w:color="auto"/>
            <w:right w:val="none" w:sz="0" w:space="0" w:color="auto"/>
          </w:divBdr>
        </w:div>
        <w:div w:id="1414088824">
          <w:marLeft w:val="0"/>
          <w:marRight w:val="0"/>
          <w:marTop w:val="0"/>
          <w:marBottom w:val="0"/>
          <w:divBdr>
            <w:top w:val="none" w:sz="0" w:space="0" w:color="auto"/>
            <w:left w:val="none" w:sz="0" w:space="0" w:color="auto"/>
            <w:bottom w:val="none" w:sz="0" w:space="0" w:color="auto"/>
            <w:right w:val="none" w:sz="0" w:space="0" w:color="auto"/>
          </w:divBdr>
          <w:divsChild>
            <w:div w:id="441338317">
              <w:marLeft w:val="0"/>
              <w:marRight w:val="0"/>
              <w:marTop w:val="0"/>
              <w:marBottom w:val="0"/>
              <w:divBdr>
                <w:top w:val="none" w:sz="0" w:space="0" w:color="auto"/>
                <w:left w:val="none" w:sz="0" w:space="0" w:color="auto"/>
                <w:bottom w:val="none" w:sz="0" w:space="0" w:color="auto"/>
                <w:right w:val="none" w:sz="0" w:space="0" w:color="auto"/>
              </w:divBdr>
            </w:div>
            <w:div w:id="1293100347">
              <w:marLeft w:val="0"/>
              <w:marRight w:val="0"/>
              <w:marTop w:val="0"/>
              <w:marBottom w:val="0"/>
              <w:divBdr>
                <w:top w:val="none" w:sz="0" w:space="0" w:color="auto"/>
                <w:left w:val="none" w:sz="0" w:space="0" w:color="auto"/>
                <w:bottom w:val="none" w:sz="0" w:space="0" w:color="auto"/>
                <w:right w:val="none" w:sz="0" w:space="0" w:color="auto"/>
              </w:divBdr>
            </w:div>
            <w:div w:id="1434937847">
              <w:marLeft w:val="0"/>
              <w:marRight w:val="0"/>
              <w:marTop w:val="0"/>
              <w:marBottom w:val="0"/>
              <w:divBdr>
                <w:top w:val="none" w:sz="0" w:space="0" w:color="auto"/>
                <w:left w:val="none" w:sz="0" w:space="0" w:color="auto"/>
                <w:bottom w:val="none" w:sz="0" w:space="0" w:color="auto"/>
                <w:right w:val="none" w:sz="0" w:space="0" w:color="auto"/>
              </w:divBdr>
            </w:div>
          </w:divsChild>
        </w:div>
        <w:div w:id="1422603074">
          <w:marLeft w:val="0"/>
          <w:marRight w:val="0"/>
          <w:marTop w:val="0"/>
          <w:marBottom w:val="0"/>
          <w:divBdr>
            <w:top w:val="none" w:sz="0" w:space="0" w:color="auto"/>
            <w:left w:val="none" w:sz="0" w:space="0" w:color="auto"/>
            <w:bottom w:val="none" w:sz="0" w:space="0" w:color="auto"/>
            <w:right w:val="none" w:sz="0" w:space="0" w:color="auto"/>
          </w:divBdr>
        </w:div>
        <w:div w:id="1434741418">
          <w:marLeft w:val="0"/>
          <w:marRight w:val="0"/>
          <w:marTop w:val="0"/>
          <w:marBottom w:val="0"/>
          <w:divBdr>
            <w:top w:val="none" w:sz="0" w:space="0" w:color="auto"/>
            <w:left w:val="none" w:sz="0" w:space="0" w:color="auto"/>
            <w:bottom w:val="none" w:sz="0" w:space="0" w:color="auto"/>
            <w:right w:val="none" w:sz="0" w:space="0" w:color="auto"/>
          </w:divBdr>
        </w:div>
        <w:div w:id="1470778362">
          <w:marLeft w:val="0"/>
          <w:marRight w:val="0"/>
          <w:marTop w:val="0"/>
          <w:marBottom w:val="0"/>
          <w:divBdr>
            <w:top w:val="none" w:sz="0" w:space="0" w:color="auto"/>
            <w:left w:val="none" w:sz="0" w:space="0" w:color="auto"/>
            <w:bottom w:val="none" w:sz="0" w:space="0" w:color="auto"/>
            <w:right w:val="none" w:sz="0" w:space="0" w:color="auto"/>
          </w:divBdr>
        </w:div>
        <w:div w:id="1484420635">
          <w:marLeft w:val="0"/>
          <w:marRight w:val="0"/>
          <w:marTop w:val="0"/>
          <w:marBottom w:val="0"/>
          <w:divBdr>
            <w:top w:val="none" w:sz="0" w:space="0" w:color="auto"/>
            <w:left w:val="none" w:sz="0" w:space="0" w:color="auto"/>
            <w:bottom w:val="none" w:sz="0" w:space="0" w:color="auto"/>
            <w:right w:val="none" w:sz="0" w:space="0" w:color="auto"/>
          </w:divBdr>
        </w:div>
        <w:div w:id="1485513167">
          <w:marLeft w:val="0"/>
          <w:marRight w:val="0"/>
          <w:marTop w:val="0"/>
          <w:marBottom w:val="0"/>
          <w:divBdr>
            <w:top w:val="none" w:sz="0" w:space="0" w:color="auto"/>
            <w:left w:val="none" w:sz="0" w:space="0" w:color="auto"/>
            <w:bottom w:val="none" w:sz="0" w:space="0" w:color="auto"/>
            <w:right w:val="none" w:sz="0" w:space="0" w:color="auto"/>
          </w:divBdr>
        </w:div>
        <w:div w:id="1576234119">
          <w:marLeft w:val="0"/>
          <w:marRight w:val="0"/>
          <w:marTop w:val="0"/>
          <w:marBottom w:val="0"/>
          <w:divBdr>
            <w:top w:val="none" w:sz="0" w:space="0" w:color="auto"/>
            <w:left w:val="none" w:sz="0" w:space="0" w:color="auto"/>
            <w:bottom w:val="none" w:sz="0" w:space="0" w:color="auto"/>
            <w:right w:val="none" w:sz="0" w:space="0" w:color="auto"/>
          </w:divBdr>
          <w:divsChild>
            <w:div w:id="245463181">
              <w:marLeft w:val="0"/>
              <w:marRight w:val="0"/>
              <w:marTop w:val="0"/>
              <w:marBottom w:val="0"/>
              <w:divBdr>
                <w:top w:val="none" w:sz="0" w:space="0" w:color="auto"/>
                <w:left w:val="none" w:sz="0" w:space="0" w:color="auto"/>
                <w:bottom w:val="none" w:sz="0" w:space="0" w:color="auto"/>
                <w:right w:val="none" w:sz="0" w:space="0" w:color="auto"/>
              </w:divBdr>
            </w:div>
            <w:div w:id="504978682">
              <w:marLeft w:val="0"/>
              <w:marRight w:val="0"/>
              <w:marTop w:val="0"/>
              <w:marBottom w:val="0"/>
              <w:divBdr>
                <w:top w:val="none" w:sz="0" w:space="0" w:color="auto"/>
                <w:left w:val="none" w:sz="0" w:space="0" w:color="auto"/>
                <w:bottom w:val="none" w:sz="0" w:space="0" w:color="auto"/>
                <w:right w:val="none" w:sz="0" w:space="0" w:color="auto"/>
              </w:divBdr>
            </w:div>
            <w:div w:id="1608732000">
              <w:marLeft w:val="0"/>
              <w:marRight w:val="0"/>
              <w:marTop w:val="0"/>
              <w:marBottom w:val="0"/>
              <w:divBdr>
                <w:top w:val="none" w:sz="0" w:space="0" w:color="auto"/>
                <w:left w:val="none" w:sz="0" w:space="0" w:color="auto"/>
                <w:bottom w:val="none" w:sz="0" w:space="0" w:color="auto"/>
                <w:right w:val="none" w:sz="0" w:space="0" w:color="auto"/>
              </w:divBdr>
            </w:div>
            <w:div w:id="1757362017">
              <w:marLeft w:val="0"/>
              <w:marRight w:val="0"/>
              <w:marTop w:val="0"/>
              <w:marBottom w:val="0"/>
              <w:divBdr>
                <w:top w:val="none" w:sz="0" w:space="0" w:color="auto"/>
                <w:left w:val="none" w:sz="0" w:space="0" w:color="auto"/>
                <w:bottom w:val="none" w:sz="0" w:space="0" w:color="auto"/>
                <w:right w:val="none" w:sz="0" w:space="0" w:color="auto"/>
              </w:divBdr>
            </w:div>
            <w:div w:id="2027246038">
              <w:marLeft w:val="0"/>
              <w:marRight w:val="0"/>
              <w:marTop w:val="0"/>
              <w:marBottom w:val="0"/>
              <w:divBdr>
                <w:top w:val="none" w:sz="0" w:space="0" w:color="auto"/>
                <w:left w:val="none" w:sz="0" w:space="0" w:color="auto"/>
                <w:bottom w:val="none" w:sz="0" w:space="0" w:color="auto"/>
                <w:right w:val="none" w:sz="0" w:space="0" w:color="auto"/>
              </w:divBdr>
            </w:div>
          </w:divsChild>
        </w:div>
        <w:div w:id="1638872617">
          <w:marLeft w:val="0"/>
          <w:marRight w:val="0"/>
          <w:marTop w:val="0"/>
          <w:marBottom w:val="0"/>
          <w:divBdr>
            <w:top w:val="none" w:sz="0" w:space="0" w:color="auto"/>
            <w:left w:val="none" w:sz="0" w:space="0" w:color="auto"/>
            <w:bottom w:val="none" w:sz="0" w:space="0" w:color="auto"/>
            <w:right w:val="none" w:sz="0" w:space="0" w:color="auto"/>
          </w:divBdr>
        </w:div>
        <w:div w:id="1644919804">
          <w:marLeft w:val="0"/>
          <w:marRight w:val="0"/>
          <w:marTop w:val="0"/>
          <w:marBottom w:val="0"/>
          <w:divBdr>
            <w:top w:val="none" w:sz="0" w:space="0" w:color="auto"/>
            <w:left w:val="none" w:sz="0" w:space="0" w:color="auto"/>
            <w:bottom w:val="none" w:sz="0" w:space="0" w:color="auto"/>
            <w:right w:val="none" w:sz="0" w:space="0" w:color="auto"/>
          </w:divBdr>
        </w:div>
        <w:div w:id="1683773534">
          <w:marLeft w:val="0"/>
          <w:marRight w:val="0"/>
          <w:marTop w:val="0"/>
          <w:marBottom w:val="0"/>
          <w:divBdr>
            <w:top w:val="none" w:sz="0" w:space="0" w:color="auto"/>
            <w:left w:val="none" w:sz="0" w:space="0" w:color="auto"/>
            <w:bottom w:val="none" w:sz="0" w:space="0" w:color="auto"/>
            <w:right w:val="none" w:sz="0" w:space="0" w:color="auto"/>
          </w:divBdr>
        </w:div>
        <w:div w:id="1765220547">
          <w:marLeft w:val="0"/>
          <w:marRight w:val="0"/>
          <w:marTop w:val="0"/>
          <w:marBottom w:val="0"/>
          <w:divBdr>
            <w:top w:val="none" w:sz="0" w:space="0" w:color="auto"/>
            <w:left w:val="none" w:sz="0" w:space="0" w:color="auto"/>
            <w:bottom w:val="none" w:sz="0" w:space="0" w:color="auto"/>
            <w:right w:val="none" w:sz="0" w:space="0" w:color="auto"/>
          </w:divBdr>
        </w:div>
        <w:div w:id="1829588258">
          <w:marLeft w:val="0"/>
          <w:marRight w:val="0"/>
          <w:marTop w:val="0"/>
          <w:marBottom w:val="0"/>
          <w:divBdr>
            <w:top w:val="none" w:sz="0" w:space="0" w:color="auto"/>
            <w:left w:val="none" w:sz="0" w:space="0" w:color="auto"/>
            <w:bottom w:val="none" w:sz="0" w:space="0" w:color="auto"/>
            <w:right w:val="none" w:sz="0" w:space="0" w:color="auto"/>
          </w:divBdr>
          <w:divsChild>
            <w:div w:id="619797657">
              <w:marLeft w:val="0"/>
              <w:marRight w:val="0"/>
              <w:marTop w:val="0"/>
              <w:marBottom w:val="0"/>
              <w:divBdr>
                <w:top w:val="none" w:sz="0" w:space="0" w:color="auto"/>
                <w:left w:val="none" w:sz="0" w:space="0" w:color="auto"/>
                <w:bottom w:val="none" w:sz="0" w:space="0" w:color="auto"/>
                <w:right w:val="none" w:sz="0" w:space="0" w:color="auto"/>
              </w:divBdr>
            </w:div>
            <w:div w:id="768044846">
              <w:marLeft w:val="0"/>
              <w:marRight w:val="0"/>
              <w:marTop w:val="0"/>
              <w:marBottom w:val="0"/>
              <w:divBdr>
                <w:top w:val="none" w:sz="0" w:space="0" w:color="auto"/>
                <w:left w:val="none" w:sz="0" w:space="0" w:color="auto"/>
                <w:bottom w:val="none" w:sz="0" w:space="0" w:color="auto"/>
                <w:right w:val="none" w:sz="0" w:space="0" w:color="auto"/>
              </w:divBdr>
            </w:div>
            <w:div w:id="1675842093">
              <w:marLeft w:val="0"/>
              <w:marRight w:val="0"/>
              <w:marTop w:val="0"/>
              <w:marBottom w:val="0"/>
              <w:divBdr>
                <w:top w:val="none" w:sz="0" w:space="0" w:color="auto"/>
                <w:left w:val="none" w:sz="0" w:space="0" w:color="auto"/>
                <w:bottom w:val="none" w:sz="0" w:space="0" w:color="auto"/>
                <w:right w:val="none" w:sz="0" w:space="0" w:color="auto"/>
              </w:divBdr>
            </w:div>
            <w:div w:id="1933784349">
              <w:marLeft w:val="0"/>
              <w:marRight w:val="0"/>
              <w:marTop w:val="0"/>
              <w:marBottom w:val="0"/>
              <w:divBdr>
                <w:top w:val="none" w:sz="0" w:space="0" w:color="auto"/>
                <w:left w:val="none" w:sz="0" w:space="0" w:color="auto"/>
                <w:bottom w:val="none" w:sz="0" w:space="0" w:color="auto"/>
                <w:right w:val="none" w:sz="0" w:space="0" w:color="auto"/>
              </w:divBdr>
            </w:div>
          </w:divsChild>
        </w:div>
        <w:div w:id="2041130409">
          <w:marLeft w:val="0"/>
          <w:marRight w:val="0"/>
          <w:marTop w:val="0"/>
          <w:marBottom w:val="0"/>
          <w:divBdr>
            <w:top w:val="none" w:sz="0" w:space="0" w:color="auto"/>
            <w:left w:val="none" w:sz="0" w:space="0" w:color="auto"/>
            <w:bottom w:val="none" w:sz="0" w:space="0" w:color="auto"/>
            <w:right w:val="none" w:sz="0" w:space="0" w:color="auto"/>
          </w:divBdr>
        </w:div>
        <w:div w:id="2084134891">
          <w:marLeft w:val="0"/>
          <w:marRight w:val="0"/>
          <w:marTop w:val="0"/>
          <w:marBottom w:val="0"/>
          <w:divBdr>
            <w:top w:val="none" w:sz="0" w:space="0" w:color="auto"/>
            <w:left w:val="none" w:sz="0" w:space="0" w:color="auto"/>
            <w:bottom w:val="none" w:sz="0" w:space="0" w:color="auto"/>
            <w:right w:val="none" w:sz="0" w:space="0" w:color="auto"/>
          </w:divBdr>
        </w:div>
      </w:divsChild>
    </w:div>
    <w:div w:id="965433007">
      <w:bodyDiv w:val="1"/>
      <w:marLeft w:val="0"/>
      <w:marRight w:val="0"/>
      <w:marTop w:val="0"/>
      <w:marBottom w:val="0"/>
      <w:divBdr>
        <w:top w:val="none" w:sz="0" w:space="0" w:color="auto"/>
        <w:left w:val="none" w:sz="0" w:space="0" w:color="auto"/>
        <w:bottom w:val="none" w:sz="0" w:space="0" w:color="auto"/>
        <w:right w:val="none" w:sz="0" w:space="0" w:color="auto"/>
      </w:divBdr>
      <w:divsChild>
        <w:div w:id="261229358">
          <w:marLeft w:val="0"/>
          <w:marRight w:val="0"/>
          <w:marTop w:val="0"/>
          <w:marBottom w:val="0"/>
          <w:divBdr>
            <w:top w:val="none" w:sz="0" w:space="0" w:color="auto"/>
            <w:left w:val="none" w:sz="0" w:space="0" w:color="auto"/>
            <w:bottom w:val="none" w:sz="0" w:space="0" w:color="auto"/>
            <w:right w:val="none" w:sz="0" w:space="0" w:color="auto"/>
          </w:divBdr>
          <w:divsChild>
            <w:div w:id="655763570">
              <w:marLeft w:val="0"/>
              <w:marRight w:val="0"/>
              <w:marTop w:val="0"/>
              <w:marBottom w:val="0"/>
              <w:divBdr>
                <w:top w:val="none" w:sz="0" w:space="0" w:color="auto"/>
                <w:left w:val="none" w:sz="0" w:space="0" w:color="auto"/>
                <w:bottom w:val="none" w:sz="0" w:space="0" w:color="auto"/>
                <w:right w:val="none" w:sz="0" w:space="0" w:color="auto"/>
              </w:divBdr>
            </w:div>
            <w:div w:id="881551244">
              <w:marLeft w:val="0"/>
              <w:marRight w:val="0"/>
              <w:marTop w:val="0"/>
              <w:marBottom w:val="0"/>
              <w:divBdr>
                <w:top w:val="none" w:sz="0" w:space="0" w:color="auto"/>
                <w:left w:val="none" w:sz="0" w:space="0" w:color="auto"/>
                <w:bottom w:val="none" w:sz="0" w:space="0" w:color="auto"/>
                <w:right w:val="none" w:sz="0" w:space="0" w:color="auto"/>
              </w:divBdr>
            </w:div>
            <w:div w:id="1002585831">
              <w:marLeft w:val="0"/>
              <w:marRight w:val="0"/>
              <w:marTop w:val="0"/>
              <w:marBottom w:val="0"/>
              <w:divBdr>
                <w:top w:val="none" w:sz="0" w:space="0" w:color="auto"/>
                <w:left w:val="none" w:sz="0" w:space="0" w:color="auto"/>
                <w:bottom w:val="none" w:sz="0" w:space="0" w:color="auto"/>
                <w:right w:val="none" w:sz="0" w:space="0" w:color="auto"/>
              </w:divBdr>
            </w:div>
            <w:div w:id="1013728520">
              <w:marLeft w:val="0"/>
              <w:marRight w:val="0"/>
              <w:marTop w:val="0"/>
              <w:marBottom w:val="0"/>
              <w:divBdr>
                <w:top w:val="none" w:sz="0" w:space="0" w:color="auto"/>
                <w:left w:val="none" w:sz="0" w:space="0" w:color="auto"/>
                <w:bottom w:val="none" w:sz="0" w:space="0" w:color="auto"/>
                <w:right w:val="none" w:sz="0" w:space="0" w:color="auto"/>
              </w:divBdr>
            </w:div>
            <w:div w:id="1966081117">
              <w:marLeft w:val="0"/>
              <w:marRight w:val="0"/>
              <w:marTop w:val="0"/>
              <w:marBottom w:val="0"/>
              <w:divBdr>
                <w:top w:val="none" w:sz="0" w:space="0" w:color="auto"/>
                <w:left w:val="none" w:sz="0" w:space="0" w:color="auto"/>
                <w:bottom w:val="none" w:sz="0" w:space="0" w:color="auto"/>
                <w:right w:val="none" w:sz="0" w:space="0" w:color="auto"/>
              </w:divBdr>
            </w:div>
          </w:divsChild>
        </w:div>
        <w:div w:id="1643270908">
          <w:marLeft w:val="0"/>
          <w:marRight w:val="0"/>
          <w:marTop w:val="0"/>
          <w:marBottom w:val="0"/>
          <w:divBdr>
            <w:top w:val="none" w:sz="0" w:space="0" w:color="auto"/>
            <w:left w:val="none" w:sz="0" w:space="0" w:color="auto"/>
            <w:bottom w:val="none" w:sz="0" w:space="0" w:color="auto"/>
            <w:right w:val="none" w:sz="0" w:space="0" w:color="auto"/>
          </w:divBdr>
          <w:divsChild>
            <w:div w:id="217785502">
              <w:marLeft w:val="0"/>
              <w:marRight w:val="0"/>
              <w:marTop w:val="0"/>
              <w:marBottom w:val="0"/>
              <w:divBdr>
                <w:top w:val="none" w:sz="0" w:space="0" w:color="auto"/>
                <w:left w:val="none" w:sz="0" w:space="0" w:color="auto"/>
                <w:bottom w:val="none" w:sz="0" w:space="0" w:color="auto"/>
                <w:right w:val="none" w:sz="0" w:space="0" w:color="auto"/>
              </w:divBdr>
            </w:div>
            <w:div w:id="497040784">
              <w:marLeft w:val="0"/>
              <w:marRight w:val="0"/>
              <w:marTop w:val="0"/>
              <w:marBottom w:val="0"/>
              <w:divBdr>
                <w:top w:val="none" w:sz="0" w:space="0" w:color="auto"/>
                <w:left w:val="none" w:sz="0" w:space="0" w:color="auto"/>
                <w:bottom w:val="none" w:sz="0" w:space="0" w:color="auto"/>
                <w:right w:val="none" w:sz="0" w:space="0" w:color="auto"/>
              </w:divBdr>
            </w:div>
            <w:div w:id="884952420">
              <w:marLeft w:val="0"/>
              <w:marRight w:val="0"/>
              <w:marTop w:val="0"/>
              <w:marBottom w:val="0"/>
              <w:divBdr>
                <w:top w:val="none" w:sz="0" w:space="0" w:color="auto"/>
                <w:left w:val="none" w:sz="0" w:space="0" w:color="auto"/>
                <w:bottom w:val="none" w:sz="0" w:space="0" w:color="auto"/>
                <w:right w:val="none" w:sz="0" w:space="0" w:color="auto"/>
              </w:divBdr>
            </w:div>
          </w:divsChild>
        </w:div>
        <w:div w:id="1926300370">
          <w:marLeft w:val="0"/>
          <w:marRight w:val="0"/>
          <w:marTop w:val="0"/>
          <w:marBottom w:val="0"/>
          <w:divBdr>
            <w:top w:val="none" w:sz="0" w:space="0" w:color="auto"/>
            <w:left w:val="none" w:sz="0" w:space="0" w:color="auto"/>
            <w:bottom w:val="none" w:sz="0" w:space="0" w:color="auto"/>
            <w:right w:val="none" w:sz="0" w:space="0" w:color="auto"/>
          </w:divBdr>
        </w:div>
      </w:divsChild>
    </w:div>
    <w:div w:id="967396986">
      <w:bodyDiv w:val="1"/>
      <w:marLeft w:val="0"/>
      <w:marRight w:val="0"/>
      <w:marTop w:val="0"/>
      <w:marBottom w:val="0"/>
      <w:divBdr>
        <w:top w:val="none" w:sz="0" w:space="0" w:color="auto"/>
        <w:left w:val="none" w:sz="0" w:space="0" w:color="auto"/>
        <w:bottom w:val="none" w:sz="0" w:space="0" w:color="auto"/>
        <w:right w:val="none" w:sz="0" w:space="0" w:color="auto"/>
      </w:divBdr>
    </w:div>
    <w:div w:id="968363369">
      <w:bodyDiv w:val="1"/>
      <w:marLeft w:val="0"/>
      <w:marRight w:val="0"/>
      <w:marTop w:val="0"/>
      <w:marBottom w:val="0"/>
      <w:divBdr>
        <w:top w:val="none" w:sz="0" w:space="0" w:color="auto"/>
        <w:left w:val="none" w:sz="0" w:space="0" w:color="auto"/>
        <w:bottom w:val="none" w:sz="0" w:space="0" w:color="auto"/>
        <w:right w:val="none" w:sz="0" w:space="0" w:color="auto"/>
      </w:divBdr>
    </w:div>
    <w:div w:id="975378181">
      <w:bodyDiv w:val="1"/>
      <w:marLeft w:val="0"/>
      <w:marRight w:val="0"/>
      <w:marTop w:val="0"/>
      <w:marBottom w:val="0"/>
      <w:divBdr>
        <w:top w:val="none" w:sz="0" w:space="0" w:color="auto"/>
        <w:left w:val="none" w:sz="0" w:space="0" w:color="auto"/>
        <w:bottom w:val="none" w:sz="0" w:space="0" w:color="auto"/>
        <w:right w:val="none" w:sz="0" w:space="0" w:color="auto"/>
      </w:divBdr>
    </w:div>
    <w:div w:id="986399677">
      <w:bodyDiv w:val="1"/>
      <w:marLeft w:val="0"/>
      <w:marRight w:val="0"/>
      <w:marTop w:val="0"/>
      <w:marBottom w:val="0"/>
      <w:divBdr>
        <w:top w:val="none" w:sz="0" w:space="0" w:color="auto"/>
        <w:left w:val="none" w:sz="0" w:space="0" w:color="auto"/>
        <w:bottom w:val="none" w:sz="0" w:space="0" w:color="auto"/>
        <w:right w:val="none" w:sz="0" w:space="0" w:color="auto"/>
      </w:divBdr>
      <w:divsChild>
        <w:div w:id="518130241">
          <w:marLeft w:val="0"/>
          <w:marRight w:val="0"/>
          <w:marTop w:val="0"/>
          <w:marBottom w:val="0"/>
          <w:divBdr>
            <w:top w:val="none" w:sz="0" w:space="0" w:color="auto"/>
            <w:left w:val="none" w:sz="0" w:space="0" w:color="auto"/>
            <w:bottom w:val="none" w:sz="0" w:space="0" w:color="auto"/>
            <w:right w:val="none" w:sz="0" w:space="0" w:color="auto"/>
          </w:divBdr>
          <w:divsChild>
            <w:div w:id="54360987">
              <w:marLeft w:val="0"/>
              <w:marRight w:val="0"/>
              <w:marTop w:val="0"/>
              <w:marBottom w:val="0"/>
              <w:divBdr>
                <w:top w:val="none" w:sz="0" w:space="0" w:color="auto"/>
                <w:left w:val="none" w:sz="0" w:space="0" w:color="auto"/>
                <w:bottom w:val="none" w:sz="0" w:space="0" w:color="auto"/>
                <w:right w:val="none" w:sz="0" w:space="0" w:color="auto"/>
              </w:divBdr>
            </w:div>
            <w:div w:id="275215348">
              <w:marLeft w:val="0"/>
              <w:marRight w:val="0"/>
              <w:marTop w:val="0"/>
              <w:marBottom w:val="0"/>
              <w:divBdr>
                <w:top w:val="none" w:sz="0" w:space="0" w:color="auto"/>
                <w:left w:val="none" w:sz="0" w:space="0" w:color="auto"/>
                <w:bottom w:val="none" w:sz="0" w:space="0" w:color="auto"/>
                <w:right w:val="none" w:sz="0" w:space="0" w:color="auto"/>
              </w:divBdr>
            </w:div>
            <w:div w:id="366639703">
              <w:marLeft w:val="0"/>
              <w:marRight w:val="0"/>
              <w:marTop w:val="0"/>
              <w:marBottom w:val="0"/>
              <w:divBdr>
                <w:top w:val="none" w:sz="0" w:space="0" w:color="auto"/>
                <w:left w:val="none" w:sz="0" w:space="0" w:color="auto"/>
                <w:bottom w:val="none" w:sz="0" w:space="0" w:color="auto"/>
                <w:right w:val="none" w:sz="0" w:space="0" w:color="auto"/>
              </w:divBdr>
            </w:div>
            <w:div w:id="1065222752">
              <w:marLeft w:val="0"/>
              <w:marRight w:val="0"/>
              <w:marTop w:val="0"/>
              <w:marBottom w:val="0"/>
              <w:divBdr>
                <w:top w:val="none" w:sz="0" w:space="0" w:color="auto"/>
                <w:left w:val="none" w:sz="0" w:space="0" w:color="auto"/>
                <w:bottom w:val="none" w:sz="0" w:space="0" w:color="auto"/>
                <w:right w:val="none" w:sz="0" w:space="0" w:color="auto"/>
              </w:divBdr>
            </w:div>
            <w:div w:id="1743720680">
              <w:marLeft w:val="0"/>
              <w:marRight w:val="0"/>
              <w:marTop w:val="0"/>
              <w:marBottom w:val="0"/>
              <w:divBdr>
                <w:top w:val="none" w:sz="0" w:space="0" w:color="auto"/>
                <w:left w:val="none" w:sz="0" w:space="0" w:color="auto"/>
                <w:bottom w:val="none" w:sz="0" w:space="0" w:color="auto"/>
                <w:right w:val="none" w:sz="0" w:space="0" w:color="auto"/>
              </w:divBdr>
            </w:div>
          </w:divsChild>
        </w:div>
        <w:div w:id="820855500">
          <w:marLeft w:val="0"/>
          <w:marRight w:val="0"/>
          <w:marTop w:val="0"/>
          <w:marBottom w:val="0"/>
          <w:divBdr>
            <w:top w:val="none" w:sz="0" w:space="0" w:color="auto"/>
            <w:left w:val="none" w:sz="0" w:space="0" w:color="auto"/>
            <w:bottom w:val="none" w:sz="0" w:space="0" w:color="auto"/>
            <w:right w:val="none" w:sz="0" w:space="0" w:color="auto"/>
          </w:divBdr>
          <w:divsChild>
            <w:div w:id="526068030">
              <w:marLeft w:val="0"/>
              <w:marRight w:val="0"/>
              <w:marTop w:val="0"/>
              <w:marBottom w:val="0"/>
              <w:divBdr>
                <w:top w:val="none" w:sz="0" w:space="0" w:color="auto"/>
                <w:left w:val="none" w:sz="0" w:space="0" w:color="auto"/>
                <w:bottom w:val="none" w:sz="0" w:space="0" w:color="auto"/>
                <w:right w:val="none" w:sz="0" w:space="0" w:color="auto"/>
              </w:divBdr>
            </w:div>
            <w:div w:id="546332973">
              <w:marLeft w:val="0"/>
              <w:marRight w:val="0"/>
              <w:marTop w:val="0"/>
              <w:marBottom w:val="0"/>
              <w:divBdr>
                <w:top w:val="none" w:sz="0" w:space="0" w:color="auto"/>
                <w:left w:val="none" w:sz="0" w:space="0" w:color="auto"/>
                <w:bottom w:val="none" w:sz="0" w:space="0" w:color="auto"/>
                <w:right w:val="none" w:sz="0" w:space="0" w:color="auto"/>
              </w:divBdr>
            </w:div>
            <w:div w:id="993752747">
              <w:marLeft w:val="0"/>
              <w:marRight w:val="0"/>
              <w:marTop w:val="0"/>
              <w:marBottom w:val="0"/>
              <w:divBdr>
                <w:top w:val="none" w:sz="0" w:space="0" w:color="auto"/>
                <w:left w:val="none" w:sz="0" w:space="0" w:color="auto"/>
                <w:bottom w:val="none" w:sz="0" w:space="0" w:color="auto"/>
                <w:right w:val="none" w:sz="0" w:space="0" w:color="auto"/>
              </w:divBdr>
            </w:div>
          </w:divsChild>
        </w:div>
        <w:div w:id="1071007794">
          <w:marLeft w:val="0"/>
          <w:marRight w:val="0"/>
          <w:marTop w:val="0"/>
          <w:marBottom w:val="0"/>
          <w:divBdr>
            <w:top w:val="none" w:sz="0" w:space="0" w:color="auto"/>
            <w:left w:val="none" w:sz="0" w:space="0" w:color="auto"/>
            <w:bottom w:val="none" w:sz="0" w:space="0" w:color="auto"/>
            <w:right w:val="none" w:sz="0" w:space="0" w:color="auto"/>
          </w:divBdr>
        </w:div>
        <w:div w:id="1275135960">
          <w:marLeft w:val="0"/>
          <w:marRight w:val="0"/>
          <w:marTop w:val="0"/>
          <w:marBottom w:val="0"/>
          <w:divBdr>
            <w:top w:val="none" w:sz="0" w:space="0" w:color="auto"/>
            <w:left w:val="none" w:sz="0" w:space="0" w:color="auto"/>
            <w:bottom w:val="none" w:sz="0" w:space="0" w:color="auto"/>
            <w:right w:val="none" w:sz="0" w:space="0" w:color="auto"/>
          </w:divBdr>
        </w:div>
        <w:div w:id="1707834156">
          <w:marLeft w:val="0"/>
          <w:marRight w:val="0"/>
          <w:marTop w:val="0"/>
          <w:marBottom w:val="0"/>
          <w:divBdr>
            <w:top w:val="none" w:sz="0" w:space="0" w:color="auto"/>
            <w:left w:val="none" w:sz="0" w:space="0" w:color="auto"/>
            <w:bottom w:val="none" w:sz="0" w:space="0" w:color="auto"/>
            <w:right w:val="none" w:sz="0" w:space="0" w:color="auto"/>
          </w:divBdr>
        </w:div>
        <w:div w:id="1997684782">
          <w:marLeft w:val="0"/>
          <w:marRight w:val="0"/>
          <w:marTop w:val="0"/>
          <w:marBottom w:val="0"/>
          <w:divBdr>
            <w:top w:val="none" w:sz="0" w:space="0" w:color="auto"/>
            <w:left w:val="none" w:sz="0" w:space="0" w:color="auto"/>
            <w:bottom w:val="none" w:sz="0" w:space="0" w:color="auto"/>
            <w:right w:val="none" w:sz="0" w:space="0" w:color="auto"/>
          </w:divBdr>
        </w:div>
      </w:divsChild>
    </w:div>
    <w:div w:id="994846097">
      <w:bodyDiv w:val="1"/>
      <w:marLeft w:val="0"/>
      <w:marRight w:val="0"/>
      <w:marTop w:val="0"/>
      <w:marBottom w:val="0"/>
      <w:divBdr>
        <w:top w:val="none" w:sz="0" w:space="0" w:color="auto"/>
        <w:left w:val="none" w:sz="0" w:space="0" w:color="auto"/>
        <w:bottom w:val="none" w:sz="0" w:space="0" w:color="auto"/>
        <w:right w:val="none" w:sz="0" w:space="0" w:color="auto"/>
      </w:divBdr>
    </w:div>
    <w:div w:id="1016157060">
      <w:bodyDiv w:val="1"/>
      <w:marLeft w:val="0"/>
      <w:marRight w:val="0"/>
      <w:marTop w:val="0"/>
      <w:marBottom w:val="0"/>
      <w:divBdr>
        <w:top w:val="none" w:sz="0" w:space="0" w:color="auto"/>
        <w:left w:val="none" w:sz="0" w:space="0" w:color="auto"/>
        <w:bottom w:val="none" w:sz="0" w:space="0" w:color="auto"/>
        <w:right w:val="none" w:sz="0" w:space="0" w:color="auto"/>
      </w:divBdr>
    </w:div>
    <w:div w:id="1018848030">
      <w:bodyDiv w:val="1"/>
      <w:marLeft w:val="0"/>
      <w:marRight w:val="0"/>
      <w:marTop w:val="0"/>
      <w:marBottom w:val="0"/>
      <w:divBdr>
        <w:top w:val="none" w:sz="0" w:space="0" w:color="auto"/>
        <w:left w:val="none" w:sz="0" w:space="0" w:color="auto"/>
        <w:bottom w:val="none" w:sz="0" w:space="0" w:color="auto"/>
        <w:right w:val="none" w:sz="0" w:space="0" w:color="auto"/>
      </w:divBdr>
    </w:div>
    <w:div w:id="1024751023">
      <w:bodyDiv w:val="1"/>
      <w:marLeft w:val="0"/>
      <w:marRight w:val="0"/>
      <w:marTop w:val="0"/>
      <w:marBottom w:val="0"/>
      <w:divBdr>
        <w:top w:val="none" w:sz="0" w:space="0" w:color="auto"/>
        <w:left w:val="none" w:sz="0" w:space="0" w:color="auto"/>
        <w:bottom w:val="none" w:sz="0" w:space="0" w:color="auto"/>
        <w:right w:val="none" w:sz="0" w:space="0" w:color="auto"/>
      </w:divBdr>
      <w:divsChild>
        <w:div w:id="1496795429">
          <w:marLeft w:val="0"/>
          <w:marRight w:val="0"/>
          <w:marTop w:val="0"/>
          <w:marBottom w:val="0"/>
          <w:divBdr>
            <w:top w:val="none" w:sz="0" w:space="0" w:color="auto"/>
            <w:left w:val="none" w:sz="0" w:space="0" w:color="auto"/>
            <w:bottom w:val="none" w:sz="0" w:space="0" w:color="auto"/>
            <w:right w:val="none" w:sz="0" w:space="0" w:color="auto"/>
          </w:divBdr>
        </w:div>
      </w:divsChild>
    </w:div>
    <w:div w:id="1045254929">
      <w:bodyDiv w:val="1"/>
      <w:marLeft w:val="0"/>
      <w:marRight w:val="0"/>
      <w:marTop w:val="0"/>
      <w:marBottom w:val="0"/>
      <w:divBdr>
        <w:top w:val="none" w:sz="0" w:space="0" w:color="auto"/>
        <w:left w:val="none" w:sz="0" w:space="0" w:color="auto"/>
        <w:bottom w:val="none" w:sz="0" w:space="0" w:color="auto"/>
        <w:right w:val="none" w:sz="0" w:space="0" w:color="auto"/>
      </w:divBdr>
    </w:div>
    <w:div w:id="1056320180">
      <w:bodyDiv w:val="1"/>
      <w:marLeft w:val="0"/>
      <w:marRight w:val="0"/>
      <w:marTop w:val="0"/>
      <w:marBottom w:val="0"/>
      <w:divBdr>
        <w:top w:val="none" w:sz="0" w:space="0" w:color="auto"/>
        <w:left w:val="none" w:sz="0" w:space="0" w:color="auto"/>
        <w:bottom w:val="none" w:sz="0" w:space="0" w:color="auto"/>
        <w:right w:val="none" w:sz="0" w:space="0" w:color="auto"/>
      </w:divBdr>
    </w:div>
    <w:div w:id="1057968437">
      <w:bodyDiv w:val="1"/>
      <w:marLeft w:val="0"/>
      <w:marRight w:val="0"/>
      <w:marTop w:val="0"/>
      <w:marBottom w:val="0"/>
      <w:divBdr>
        <w:top w:val="none" w:sz="0" w:space="0" w:color="auto"/>
        <w:left w:val="none" w:sz="0" w:space="0" w:color="auto"/>
        <w:bottom w:val="none" w:sz="0" w:space="0" w:color="auto"/>
        <w:right w:val="none" w:sz="0" w:space="0" w:color="auto"/>
      </w:divBdr>
    </w:div>
    <w:div w:id="1065685839">
      <w:bodyDiv w:val="1"/>
      <w:marLeft w:val="0"/>
      <w:marRight w:val="0"/>
      <w:marTop w:val="0"/>
      <w:marBottom w:val="0"/>
      <w:divBdr>
        <w:top w:val="none" w:sz="0" w:space="0" w:color="auto"/>
        <w:left w:val="none" w:sz="0" w:space="0" w:color="auto"/>
        <w:bottom w:val="none" w:sz="0" w:space="0" w:color="auto"/>
        <w:right w:val="none" w:sz="0" w:space="0" w:color="auto"/>
      </w:divBdr>
    </w:div>
    <w:div w:id="1066414991">
      <w:bodyDiv w:val="1"/>
      <w:marLeft w:val="0"/>
      <w:marRight w:val="0"/>
      <w:marTop w:val="0"/>
      <w:marBottom w:val="0"/>
      <w:divBdr>
        <w:top w:val="none" w:sz="0" w:space="0" w:color="auto"/>
        <w:left w:val="none" w:sz="0" w:space="0" w:color="auto"/>
        <w:bottom w:val="none" w:sz="0" w:space="0" w:color="auto"/>
        <w:right w:val="none" w:sz="0" w:space="0" w:color="auto"/>
      </w:divBdr>
    </w:div>
    <w:div w:id="1075585897">
      <w:bodyDiv w:val="1"/>
      <w:marLeft w:val="0"/>
      <w:marRight w:val="0"/>
      <w:marTop w:val="0"/>
      <w:marBottom w:val="0"/>
      <w:divBdr>
        <w:top w:val="none" w:sz="0" w:space="0" w:color="auto"/>
        <w:left w:val="none" w:sz="0" w:space="0" w:color="auto"/>
        <w:bottom w:val="none" w:sz="0" w:space="0" w:color="auto"/>
        <w:right w:val="none" w:sz="0" w:space="0" w:color="auto"/>
      </w:divBdr>
      <w:divsChild>
        <w:div w:id="37245985">
          <w:marLeft w:val="0"/>
          <w:marRight w:val="0"/>
          <w:marTop w:val="0"/>
          <w:marBottom w:val="0"/>
          <w:divBdr>
            <w:top w:val="none" w:sz="0" w:space="0" w:color="auto"/>
            <w:left w:val="none" w:sz="0" w:space="0" w:color="auto"/>
            <w:bottom w:val="none" w:sz="0" w:space="0" w:color="auto"/>
            <w:right w:val="none" w:sz="0" w:space="0" w:color="auto"/>
          </w:divBdr>
        </w:div>
        <w:div w:id="640187819">
          <w:marLeft w:val="0"/>
          <w:marRight w:val="0"/>
          <w:marTop w:val="0"/>
          <w:marBottom w:val="0"/>
          <w:divBdr>
            <w:top w:val="none" w:sz="0" w:space="0" w:color="auto"/>
            <w:left w:val="none" w:sz="0" w:space="0" w:color="auto"/>
            <w:bottom w:val="none" w:sz="0" w:space="0" w:color="auto"/>
            <w:right w:val="none" w:sz="0" w:space="0" w:color="auto"/>
          </w:divBdr>
        </w:div>
      </w:divsChild>
    </w:div>
    <w:div w:id="1107045595">
      <w:bodyDiv w:val="1"/>
      <w:marLeft w:val="0"/>
      <w:marRight w:val="0"/>
      <w:marTop w:val="0"/>
      <w:marBottom w:val="0"/>
      <w:divBdr>
        <w:top w:val="none" w:sz="0" w:space="0" w:color="auto"/>
        <w:left w:val="none" w:sz="0" w:space="0" w:color="auto"/>
        <w:bottom w:val="none" w:sz="0" w:space="0" w:color="auto"/>
        <w:right w:val="none" w:sz="0" w:space="0" w:color="auto"/>
      </w:divBdr>
    </w:div>
    <w:div w:id="1116944473">
      <w:bodyDiv w:val="1"/>
      <w:marLeft w:val="0"/>
      <w:marRight w:val="0"/>
      <w:marTop w:val="0"/>
      <w:marBottom w:val="0"/>
      <w:divBdr>
        <w:top w:val="none" w:sz="0" w:space="0" w:color="auto"/>
        <w:left w:val="none" w:sz="0" w:space="0" w:color="auto"/>
        <w:bottom w:val="none" w:sz="0" w:space="0" w:color="auto"/>
        <w:right w:val="none" w:sz="0" w:space="0" w:color="auto"/>
      </w:divBdr>
      <w:divsChild>
        <w:div w:id="515315752">
          <w:marLeft w:val="0"/>
          <w:marRight w:val="0"/>
          <w:marTop w:val="0"/>
          <w:marBottom w:val="0"/>
          <w:divBdr>
            <w:top w:val="none" w:sz="0" w:space="0" w:color="auto"/>
            <w:left w:val="none" w:sz="0" w:space="0" w:color="auto"/>
            <w:bottom w:val="none" w:sz="0" w:space="0" w:color="auto"/>
            <w:right w:val="none" w:sz="0" w:space="0" w:color="auto"/>
          </w:divBdr>
          <w:divsChild>
            <w:div w:id="502013177">
              <w:marLeft w:val="0"/>
              <w:marRight w:val="0"/>
              <w:marTop w:val="30"/>
              <w:marBottom w:val="30"/>
              <w:divBdr>
                <w:top w:val="none" w:sz="0" w:space="0" w:color="auto"/>
                <w:left w:val="none" w:sz="0" w:space="0" w:color="auto"/>
                <w:bottom w:val="none" w:sz="0" w:space="0" w:color="auto"/>
                <w:right w:val="none" w:sz="0" w:space="0" w:color="auto"/>
              </w:divBdr>
              <w:divsChild>
                <w:div w:id="4014833">
                  <w:marLeft w:val="0"/>
                  <w:marRight w:val="0"/>
                  <w:marTop w:val="0"/>
                  <w:marBottom w:val="0"/>
                  <w:divBdr>
                    <w:top w:val="none" w:sz="0" w:space="0" w:color="auto"/>
                    <w:left w:val="none" w:sz="0" w:space="0" w:color="auto"/>
                    <w:bottom w:val="none" w:sz="0" w:space="0" w:color="auto"/>
                    <w:right w:val="none" w:sz="0" w:space="0" w:color="auto"/>
                  </w:divBdr>
                  <w:divsChild>
                    <w:div w:id="1867713313">
                      <w:marLeft w:val="0"/>
                      <w:marRight w:val="0"/>
                      <w:marTop w:val="0"/>
                      <w:marBottom w:val="0"/>
                      <w:divBdr>
                        <w:top w:val="none" w:sz="0" w:space="0" w:color="auto"/>
                        <w:left w:val="none" w:sz="0" w:space="0" w:color="auto"/>
                        <w:bottom w:val="none" w:sz="0" w:space="0" w:color="auto"/>
                        <w:right w:val="none" w:sz="0" w:space="0" w:color="auto"/>
                      </w:divBdr>
                    </w:div>
                  </w:divsChild>
                </w:div>
                <w:div w:id="25303376">
                  <w:marLeft w:val="0"/>
                  <w:marRight w:val="0"/>
                  <w:marTop w:val="0"/>
                  <w:marBottom w:val="0"/>
                  <w:divBdr>
                    <w:top w:val="none" w:sz="0" w:space="0" w:color="auto"/>
                    <w:left w:val="none" w:sz="0" w:space="0" w:color="auto"/>
                    <w:bottom w:val="none" w:sz="0" w:space="0" w:color="auto"/>
                    <w:right w:val="none" w:sz="0" w:space="0" w:color="auto"/>
                  </w:divBdr>
                  <w:divsChild>
                    <w:div w:id="1269389091">
                      <w:marLeft w:val="0"/>
                      <w:marRight w:val="0"/>
                      <w:marTop w:val="0"/>
                      <w:marBottom w:val="0"/>
                      <w:divBdr>
                        <w:top w:val="none" w:sz="0" w:space="0" w:color="auto"/>
                        <w:left w:val="none" w:sz="0" w:space="0" w:color="auto"/>
                        <w:bottom w:val="none" w:sz="0" w:space="0" w:color="auto"/>
                        <w:right w:val="none" w:sz="0" w:space="0" w:color="auto"/>
                      </w:divBdr>
                    </w:div>
                  </w:divsChild>
                </w:div>
                <w:div w:id="35812478">
                  <w:marLeft w:val="0"/>
                  <w:marRight w:val="0"/>
                  <w:marTop w:val="0"/>
                  <w:marBottom w:val="0"/>
                  <w:divBdr>
                    <w:top w:val="none" w:sz="0" w:space="0" w:color="auto"/>
                    <w:left w:val="none" w:sz="0" w:space="0" w:color="auto"/>
                    <w:bottom w:val="none" w:sz="0" w:space="0" w:color="auto"/>
                    <w:right w:val="none" w:sz="0" w:space="0" w:color="auto"/>
                  </w:divBdr>
                  <w:divsChild>
                    <w:div w:id="1251235452">
                      <w:marLeft w:val="0"/>
                      <w:marRight w:val="0"/>
                      <w:marTop w:val="0"/>
                      <w:marBottom w:val="0"/>
                      <w:divBdr>
                        <w:top w:val="none" w:sz="0" w:space="0" w:color="auto"/>
                        <w:left w:val="none" w:sz="0" w:space="0" w:color="auto"/>
                        <w:bottom w:val="none" w:sz="0" w:space="0" w:color="auto"/>
                        <w:right w:val="none" w:sz="0" w:space="0" w:color="auto"/>
                      </w:divBdr>
                    </w:div>
                  </w:divsChild>
                </w:div>
                <w:div w:id="61294018">
                  <w:marLeft w:val="0"/>
                  <w:marRight w:val="0"/>
                  <w:marTop w:val="0"/>
                  <w:marBottom w:val="0"/>
                  <w:divBdr>
                    <w:top w:val="none" w:sz="0" w:space="0" w:color="auto"/>
                    <w:left w:val="none" w:sz="0" w:space="0" w:color="auto"/>
                    <w:bottom w:val="none" w:sz="0" w:space="0" w:color="auto"/>
                    <w:right w:val="none" w:sz="0" w:space="0" w:color="auto"/>
                  </w:divBdr>
                  <w:divsChild>
                    <w:div w:id="1676882020">
                      <w:marLeft w:val="0"/>
                      <w:marRight w:val="0"/>
                      <w:marTop w:val="0"/>
                      <w:marBottom w:val="0"/>
                      <w:divBdr>
                        <w:top w:val="none" w:sz="0" w:space="0" w:color="auto"/>
                        <w:left w:val="none" w:sz="0" w:space="0" w:color="auto"/>
                        <w:bottom w:val="none" w:sz="0" w:space="0" w:color="auto"/>
                        <w:right w:val="none" w:sz="0" w:space="0" w:color="auto"/>
                      </w:divBdr>
                    </w:div>
                  </w:divsChild>
                </w:div>
                <w:div w:id="67263881">
                  <w:marLeft w:val="0"/>
                  <w:marRight w:val="0"/>
                  <w:marTop w:val="0"/>
                  <w:marBottom w:val="0"/>
                  <w:divBdr>
                    <w:top w:val="none" w:sz="0" w:space="0" w:color="auto"/>
                    <w:left w:val="none" w:sz="0" w:space="0" w:color="auto"/>
                    <w:bottom w:val="none" w:sz="0" w:space="0" w:color="auto"/>
                    <w:right w:val="none" w:sz="0" w:space="0" w:color="auto"/>
                  </w:divBdr>
                  <w:divsChild>
                    <w:div w:id="1937787502">
                      <w:marLeft w:val="0"/>
                      <w:marRight w:val="0"/>
                      <w:marTop w:val="0"/>
                      <w:marBottom w:val="0"/>
                      <w:divBdr>
                        <w:top w:val="none" w:sz="0" w:space="0" w:color="auto"/>
                        <w:left w:val="none" w:sz="0" w:space="0" w:color="auto"/>
                        <w:bottom w:val="none" w:sz="0" w:space="0" w:color="auto"/>
                        <w:right w:val="none" w:sz="0" w:space="0" w:color="auto"/>
                      </w:divBdr>
                    </w:div>
                  </w:divsChild>
                </w:div>
                <w:div w:id="95907366">
                  <w:marLeft w:val="0"/>
                  <w:marRight w:val="0"/>
                  <w:marTop w:val="0"/>
                  <w:marBottom w:val="0"/>
                  <w:divBdr>
                    <w:top w:val="none" w:sz="0" w:space="0" w:color="auto"/>
                    <w:left w:val="none" w:sz="0" w:space="0" w:color="auto"/>
                    <w:bottom w:val="none" w:sz="0" w:space="0" w:color="auto"/>
                    <w:right w:val="none" w:sz="0" w:space="0" w:color="auto"/>
                  </w:divBdr>
                  <w:divsChild>
                    <w:div w:id="677851236">
                      <w:marLeft w:val="0"/>
                      <w:marRight w:val="0"/>
                      <w:marTop w:val="0"/>
                      <w:marBottom w:val="0"/>
                      <w:divBdr>
                        <w:top w:val="none" w:sz="0" w:space="0" w:color="auto"/>
                        <w:left w:val="none" w:sz="0" w:space="0" w:color="auto"/>
                        <w:bottom w:val="none" w:sz="0" w:space="0" w:color="auto"/>
                        <w:right w:val="none" w:sz="0" w:space="0" w:color="auto"/>
                      </w:divBdr>
                    </w:div>
                  </w:divsChild>
                </w:div>
                <w:div w:id="110444311">
                  <w:marLeft w:val="0"/>
                  <w:marRight w:val="0"/>
                  <w:marTop w:val="0"/>
                  <w:marBottom w:val="0"/>
                  <w:divBdr>
                    <w:top w:val="none" w:sz="0" w:space="0" w:color="auto"/>
                    <w:left w:val="none" w:sz="0" w:space="0" w:color="auto"/>
                    <w:bottom w:val="none" w:sz="0" w:space="0" w:color="auto"/>
                    <w:right w:val="none" w:sz="0" w:space="0" w:color="auto"/>
                  </w:divBdr>
                  <w:divsChild>
                    <w:div w:id="1480003895">
                      <w:marLeft w:val="0"/>
                      <w:marRight w:val="0"/>
                      <w:marTop w:val="0"/>
                      <w:marBottom w:val="0"/>
                      <w:divBdr>
                        <w:top w:val="none" w:sz="0" w:space="0" w:color="auto"/>
                        <w:left w:val="none" w:sz="0" w:space="0" w:color="auto"/>
                        <w:bottom w:val="none" w:sz="0" w:space="0" w:color="auto"/>
                        <w:right w:val="none" w:sz="0" w:space="0" w:color="auto"/>
                      </w:divBdr>
                    </w:div>
                  </w:divsChild>
                </w:div>
                <w:div w:id="121265464">
                  <w:marLeft w:val="0"/>
                  <w:marRight w:val="0"/>
                  <w:marTop w:val="0"/>
                  <w:marBottom w:val="0"/>
                  <w:divBdr>
                    <w:top w:val="none" w:sz="0" w:space="0" w:color="auto"/>
                    <w:left w:val="none" w:sz="0" w:space="0" w:color="auto"/>
                    <w:bottom w:val="none" w:sz="0" w:space="0" w:color="auto"/>
                    <w:right w:val="none" w:sz="0" w:space="0" w:color="auto"/>
                  </w:divBdr>
                  <w:divsChild>
                    <w:div w:id="792863626">
                      <w:marLeft w:val="0"/>
                      <w:marRight w:val="0"/>
                      <w:marTop w:val="0"/>
                      <w:marBottom w:val="0"/>
                      <w:divBdr>
                        <w:top w:val="none" w:sz="0" w:space="0" w:color="auto"/>
                        <w:left w:val="none" w:sz="0" w:space="0" w:color="auto"/>
                        <w:bottom w:val="none" w:sz="0" w:space="0" w:color="auto"/>
                        <w:right w:val="none" w:sz="0" w:space="0" w:color="auto"/>
                      </w:divBdr>
                    </w:div>
                  </w:divsChild>
                </w:div>
                <w:div w:id="133568531">
                  <w:marLeft w:val="0"/>
                  <w:marRight w:val="0"/>
                  <w:marTop w:val="0"/>
                  <w:marBottom w:val="0"/>
                  <w:divBdr>
                    <w:top w:val="none" w:sz="0" w:space="0" w:color="auto"/>
                    <w:left w:val="none" w:sz="0" w:space="0" w:color="auto"/>
                    <w:bottom w:val="none" w:sz="0" w:space="0" w:color="auto"/>
                    <w:right w:val="none" w:sz="0" w:space="0" w:color="auto"/>
                  </w:divBdr>
                  <w:divsChild>
                    <w:div w:id="540750284">
                      <w:marLeft w:val="0"/>
                      <w:marRight w:val="0"/>
                      <w:marTop w:val="0"/>
                      <w:marBottom w:val="0"/>
                      <w:divBdr>
                        <w:top w:val="none" w:sz="0" w:space="0" w:color="auto"/>
                        <w:left w:val="none" w:sz="0" w:space="0" w:color="auto"/>
                        <w:bottom w:val="none" w:sz="0" w:space="0" w:color="auto"/>
                        <w:right w:val="none" w:sz="0" w:space="0" w:color="auto"/>
                      </w:divBdr>
                    </w:div>
                  </w:divsChild>
                </w:div>
                <w:div w:id="141361292">
                  <w:marLeft w:val="0"/>
                  <w:marRight w:val="0"/>
                  <w:marTop w:val="0"/>
                  <w:marBottom w:val="0"/>
                  <w:divBdr>
                    <w:top w:val="none" w:sz="0" w:space="0" w:color="auto"/>
                    <w:left w:val="none" w:sz="0" w:space="0" w:color="auto"/>
                    <w:bottom w:val="none" w:sz="0" w:space="0" w:color="auto"/>
                    <w:right w:val="none" w:sz="0" w:space="0" w:color="auto"/>
                  </w:divBdr>
                  <w:divsChild>
                    <w:div w:id="1276058466">
                      <w:marLeft w:val="0"/>
                      <w:marRight w:val="0"/>
                      <w:marTop w:val="0"/>
                      <w:marBottom w:val="0"/>
                      <w:divBdr>
                        <w:top w:val="none" w:sz="0" w:space="0" w:color="auto"/>
                        <w:left w:val="none" w:sz="0" w:space="0" w:color="auto"/>
                        <w:bottom w:val="none" w:sz="0" w:space="0" w:color="auto"/>
                        <w:right w:val="none" w:sz="0" w:space="0" w:color="auto"/>
                      </w:divBdr>
                    </w:div>
                  </w:divsChild>
                </w:div>
                <w:div w:id="142503790">
                  <w:marLeft w:val="0"/>
                  <w:marRight w:val="0"/>
                  <w:marTop w:val="0"/>
                  <w:marBottom w:val="0"/>
                  <w:divBdr>
                    <w:top w:val="none" w:sz="0" w:space="0" w:color="auto"/>
                    <w:left w:val="none" w:sz="0" w:space="0" w:color="auto"/>
                    <w:bottom w:val="none" w:sz="0" w:space="0" w:color="auto"/>
                    <w:right w:val="none" w:sz="0" w:space="0" w:color="auto"/>
                  </w:divBdr>
                  <w:divsChild>
                    <w:div w:id="163008448">
                      <w:marLeft w:val="0"/>
                      <w:marRight w:val="0"/>
                      <w:marTop w:val="0"/>
                      <w:marBottom w:val="0"/>
                      <w:divBdr>
                        <w:top w:val="none" w:sz="0" w:space="0" w:color="auto"/>
                        <w:left w:val="none" w:sz="0" w:space="0" w:color="auto"/>
                        <w:bottom w:val="none" w:sz="0" w:space="0" w:color="auto"/>
                        <w:right w:val="none" w:sz="0" w:space="0" w:color="auto"/>
                      </w:divBdr>
                    </w:div>
                  </w:divsChild>
                </w:div>
                <w:div w:id="160702207">
                  <w:marLeft w:val="0"/>
                  <w:marRight w:val="0"/>
                  <w:marTop w:val="0"/>
                  <w:marBottom w:val="0"/>
                  <w:divBdr>
                    <w:top w:val="none" w:sz="0" w:space="0" w:color="auto"/>
                    <w:left w:val="none" w:sz="0" w:space="0" w:color="auto"/>
                    <w:bottom w:val="none" w:sz="0" w:space="0" w:color="auto"/>
                    <w:right w:val="none" w:sz="0" w:space="0" w:color="auto"/>
                  </w:divBdr>
                  <w:divsChild>
                    <w:div w:id="828593522">
                      <w:marLeft w:val="0"/>
                      <w:marRight w:val="0"/>
                      <w:marTop w:val="0"/>
                      <w:marBottom w:val="0"/>
                      <w:divBdr>
                        <w:top w:val="none" w:sz="0" w:space="0" w:color="auto"/>
                        <w:left w:val="none" w:sz="0" w:space="0" w:color="auto"/>
                        <w:bottom w:val="none" w:sz="0" w:space="0" w:color="auto"/>
                        <w:right w:val="none" w:sz="0" w:space="0" w:color="auto"/>
                      </w:divBdr>
                    </w:div>
                  </w:divsChild>
                </w:div>
                <w:div w:id="171915998">
                  <w:marLeft w:val="0"/>
                  <w:marRight w:val="0"/>
                  <w:marTop w:val="0"/>
                  <w:marBottom w:val="0"/>
                  <w:divBdr>
                    <w:top w:val="none" w:sz="0" w:space="0" w:color="auto"/>
                    <w:left w:val="none" w:sz="0" w:space="0" w:color="auto"/>
                    <w:bottom w:val="none" w:sz="0" w:space="0" w:color="auto"/>
                    <w:right w:val="none" w:sz="0" w:space="0" w:color="auto"/>
                  </w:divBdr>
                  <w:divsChild>
                    <w:div w:id="2066903011">
                      <w:marLeft w:val="0"/>
                      <w:marRight w:val="0"/>
                      <w:marTop w:val="0"/>
                      <w:marBottom w:val="0"/>
                      <w:divBdr>
                        <w:top w:val="none" w:sz="0" w:space="0" w:color="auto"/>
                        <w:left w:val="none" w:sz="0" w:space="0" w:color="auto"/>
                        <w:bottom w:val="none" w:sz="0" w:space="0" w:color="auto"/>
                        <w:right w:val="none" w:sz="0" w:space="0" w:color="auto"/>
                      </w:divBdr>
                    </w:div>
                  </w:divsChild>
                </w:div>
                <w:div w:id="178587348">
                  <w:marLeft w:val="0"/>
                  <w:marRight w:val="0"/>
                  <w:marTop w:val="0"/>
                  <w:marBottom w:val="0"/>
                  <w:divBdr>
                    <w:top w:val="none" w:sz="0" w:space="0" w:color="auto"/>
                    <w:left w:val="none" w:sz="0" w:space="0" w:color="auto"/>
                    <w:bottom w:val="none" w:sz="0" w:space="0" w:color="auto"/>
                    <w:right w:val="none" w:sz="0" w:space="0" w:color="auto"/>
                  </w:divBdr>
                  <w:divsChild>
                    <w:div w:id="90862880">
                      <w:marLeft w:val="0"/>
                      <w:marRight w:val="0"/>
                      <w:marTop w:val="0"/>
                      <w:marBottom w:val="0"/>
                      <w:divBdr>
                        <w:top w:val="none" w:sz="0" w:space="0" w:color="auto"/>
                        <w:left w:val="none" w:sz="0" w:space="0" w:color="auto"/>
                        <w:bottom w:val="none" w:sz="0" w:space="0" w:color="auto"/>
                        <w:right w:val="none" w:sz="0" w:space="0" w:color="auto"/>
                      </w:divBdr>
                    </w:div>
                  </w:divsChild>
                </w:div>
                <w:div w:id="193347307">
                  <w:marLeft w:val="0"/>
                  <w:marRight w:val="0"/>
                  <w:marTop w:val="0"/>
                  <w:marBottom w:val="0"/>
                  <w:divBdr>
                    <w:top w:val="none" w:sz="0" w:space="0" w:color="auto"/>
                    <w:left w:val="none" w:sz="0" w:space="0" w:color="auto"/>
                    <w:bottom w:val="none" w:sz="0" w:space="0" w:color="auto"/>
                    <w:right w:val="none" w:sz="0" w:space="0" w:color="auto"/>
                  </w:divBdr>
                  <w:divsChild>
                    <w:div w:id="223374027">
                      <w:marLeft w:val="0"/>
                      <w:marRight w:val="0"/>
                      <w:marTop w:val="0"/>
                      <w:marBottom w:val="0"/>
                      <w:divBdr>
                        <w:top w:val="none" w:sz="0" w:space="0" w:color="auto"/>
                        <w:left w:val="none" w:sz="0" w:space="0" w:color="auto"/>
                        <w:bottom w:val="none" w:sz="0" w:space="0" w:color="auto"/>
                        <w:right w:val="none" w:sz="0" w:space="0" w:color="auto"/>
                      </w:divBdr>
                    </w:div>
                  </w:divsChild>
                </w:div>
                <w:div w:id="196889353">
                  <w:marLeft w:val="0"/>
                  <w:marRight w:val="0"/>
                  <w:marTop w:val="0"/>
                  <w:marBottom w:val="0"/>
                  <w:divBdr>
                    <w:top w:val="none" w:sz="0" w:space="0" w:color="auto"/>
                    <w:left w:val="none" w:sz="0" w:space="0" w:color="auto"/>
                    <w:bottom w:val="none" w:sz="0" w:space="0" w:color="auto"/>
                    <w:right w:val="none" w:sz="0" w:space="0" w:color="auto"/>
                  </w:divBdr>
                  <w:divsChild>
                    <w:div w:id="2067684335">
                      <w:marLeft w:val="0"/>
                      <w:marRight w:val="0"/>
                      <w:marTop w:val="0"/>
                      <w:marBottom w:val="0"/>
                      <w:divBdr>
                        <w:top w:val="none" w:sz="0" w:space="0" w:color="auto"/>
                        <w:left w:val="none" w:sz="0" w:space="0" w:color="auto"/>
                        <w:bottom w:val="none" w:sz="0" w:space="0" w:color="auto"/>
                        <w:right w:val="none" w:sz="0" w:space="0" w:color="auto"/>
                      </w:divBdr>
                    </w:div>
                  </w:divsChild>
                </w:div>
                <w:div w:id="224610109">
                  <w:marLeft w:val="0"/>
                  <w:marRight w:val="0"/>
                  <w:marTop w:val="0"/>
                  <w:marBottom w:val="0"/>
                  <w:divBdr>
                    <w:top w:val="none" w:sz="0" w:space="0" w:color="auto"/>
                    <w:left w:val="none" w:sz="0" w:space="0" w:color="auto"/>
                    <w:bottom w:val="none" w:sz="0" w:space="0" w:color="auto"/>
                    <w:right w:val="none" w:sz="0" w:space="0" w:color="auto"/>
                  </w:divBdr>
                  <w:divsChild>
                    <w:div w:id="141429444">
                      <w:marLeft w:val="0"/>
                      <w:marRight w:val="0"/>
                      <w:marTop w:val="0"/>
                      <w:marBottom w:val="0"/>
                      <w:divBdr>
                        <w:top w:val="none" w:sz="0" w:space="0" w:color="auto"/>
                        <w:left w:val="none" w:sz="0" w:space="0" w:color="auto"/>
                        <w:bottom w:val="none" w:sz="0" w:space="0" w:color="auto"/>
                        <w:right w:val="none" w:sz="0" w:space="0" w:color="auto"/>
                      </w:divBdr>
                    </w:div>
                  </w:divsChild>
                </w:div>
                <w:div w:id="227619927">
                  <w:marLeft w:val="0"/>
                  <w:marRight w:val="0"/>
                  <w:marTop w:val="0"/>
                  <w:marBottom w:val="0"/>
                  <w:divBdr>
                    <w:top w:val="none" w:sz="0" w:space="0" w:color="auto"/>
                    <w:left w:val="none" w:sz="0" w:space="0" w:color="auto"/>
                    <w:bottom w:val="none" w:sz="0" w:space="0" w:color="auto"/>
                    <w:right w:val="none" w:sz="0" w:space="0" w:color="auto"/>
                  </w:divBdr>
                  <w:divsChild>
                    <w:div w:id="1978219414">
                      <w:marLeft w:val="0"/>
                      <w:marRight w:val="0"/>
                      <w:marTop w:val="0"/>
                      <w:marBottom w:val="0"/>
                      <w:divBdr>
                        <w:top w:val="none" w:sz="0" w:space="0" w:color="auto"/>
                        <w:left w:val="none" w:sz="0" w:space="0" w:color="auto"/>
                        <w:bottom w:val="none" w:sz="0" w:space="0" w:color="auto"/>
                        <w:right w:val="none" w:sz="0" w:space="0" w:color="auto"/>
                      </w:divBdr>
                    </w:div>
                  </w:divsChild>
                </w:div>
                <w:div w:id="232933257">
                  <w:marLeft w:val="0"/>
                  <w:marRight w:val="0"/>
                  <w:marTop w:val="0"/>
                  <w:marBottom w:val="0"/>
                  <w:divBdr>
                    <w:top w:val="none" w:sz="0" w:space="0" w:color="auto"/>
                    <w:left w:val="none" w:sz="0" w:space="0" w:color="auto"/>
                    <w:bottom w:val="none" w:sz="0" w:space="0" w:color="auto"/>
                    <w:right w:val="none" w:sz="0" w:space="0" w:color="auto"/>
                  </w:divBdr>
                  <w:divsChild>
                    <w:div w:id="451289251">
                      <w:marLeft w:val="0"/>
                      <w:marRight w:val="0"/>
                      <w:marTop w:val="0"/>
                      <w:marBottom w:val="0"/>
                      <w:divBdr>
                        <w:top w:val="none" w:sz="0" w:space="0" w:color="auto"/>
                        <w:left w:val="none" w:sz="0" w:space="0" w:color="auto"/>
                        <w:bottom w:val="none" w:sz="0" w:space="0" w:color="auto"/>
                        <w:right w:val="none" w:sz="0" w:space="0" w:color="auto"/>
                      </w:divBdr>
                    </w:div>
                  </w:divsChild>
                </w:div>
                <w:div w:id="237522214">
                  <w:marLeft w:val="0"/>
                  <w:marRight w:val="0"/>
                  <w:marTop w:val="0"/>
                  <w:marBottom w:val="0"/>
                  <w:divBdr>
                    <w:top w:val="none" w:sz="0" w:space="0" w:color="auto"/>
                    <w:left w:val="none" w:sz="0" w:space="0" w:color="auto"/>
                    <w:bottom w:val="none" w:sz="0" w:space="0" w:color="auto"/>
                    <w:right w:val="none" w:sz="0" w:space="0" w:color="auto"/>
                  </w:divBdr>
                  <w:divsChild>
                    <w:div w:id="638146480">
                      <w:marLeft w:val="0"/>
                      <w:marRight w:val="0"/>
                      <w:marTop w:val="0"/>
                      <w:marBottom w:val="0"/>
                      <w:divBdr>
                        <w:top w:val="none" w:sz="0" w:space="0" w:color="auto"/>
                        <w:left w:val="none" w:sz="0" w:space="0" w:color="auto"/>
                        <w:bottom w:val="none" w:sz="0" w:space="0" w:color="auto"/>
                        <w:right w:val="none" w:sz="0" w:space="0" w:color="auto"/>
                      </w:divBdr>
                    </w:div>
                  </w:divsChild>
                </w:div>
                <w:div w:id="257640537">
                  <w:marLeft w:val="0"/>
                  <w:marRight w:val="0"/>
                  <w:marTop w:val="0"/>
                  <w:marBottom w:val="0"/>
                  <w:divBdr>
                    <w:top w:val="none" w:sz="0" w:space="0" w:color="auto"/>
                    <w:left w:val="none" w:sz="0" w:space="0" w:color="auto"/>
                    <w:bottom w:val="none" w:sz="0" w:space="0" w:color="auto"/>
                    <w:right w:val="none" w:sz="0" w:space="0" w:color="auto"/>
                  </w:divBdr>
                  <w:divsChild>
                    <w:div w:id="1357653435">
                      <w:marLeft w:val="0"/>
                      <w:marRight w:val="0"/>
                      <w:marTop w:val="0"/>
                      <w:marBottom w:val="0"/>
                      <w:divBdr>
                        <w:top w:val="none" w:sz="0" w:space="0" w:color="auto"/>
                        <w:left w:val="none" w:sz="0" w:space="0" w:color="auto"/>
                        <w:bottom w:val="none" w:sz="0" w:space="0" w:color="auto"/>
                        <w:right w:val="none" w:sz="0" w:space="0" w:color="auto"/>
                      </w:divBdr>
                    </w:div>
                  </w:divsChild>
                </w:div>
                <w:div w:id="260603063">
                  <w:marLeft w:val="0"/>
                  <w:marRight w:val="0"/>
                  <w:marTop w:val="0"/>
                  <w:marBottom w:val="0"/>
                  <w:divBdr>
                    <w:top w:val="none" w:sz="0" w:space="0" w:color="auto"/>
                    <w:left w:val="none" w:sz="0" w:space="0" w:color="auto"/>
                    <w:bottom w:val="none" w:sz="0" w:space="0" w:color="auto"/>
                    <w:right w:val="none" w:sz="0" w:space="0" w:color="auto"/>
                  </w:divBdr>
                  <w:divsChild>
                    <w:div w:id="840243078">
                      <w:marLeft w:val="0"/>
                      <w:marRight w:val="0"/>
                      <w:marTop w:val="0"/>
                      <w:marBottom w:val="0"/>
                      <w:divBdr>
                        <w:top w:val="none" w:sz="0" w:space="0" w:color="auto"/>
                        <w:left w:val="none" w:sz="0" w:space="0" w:color="auto"/>
                        <w:bottom w:val="none" w:sz="0" w:space="0" w:color="auto"/>
                        <w:right w:val="none" w:sz="0" w:space="0" w:color="auto"/>
                      </w:divBdr>
                    </w:div>
                  </w:divsChild>
                </w:div>
                <w:div w:id="282201583">
                  <w:marLeft w:val="0"/>
                  <w:marRight w:val="0"/>
                  <w:marTop w:val="0"/>
                  <w:marBottom w:val="0"/>
                  <w:divBdr>
                    <w:top w:val="none" w:sz="0" w:space="0" w:color="auto"/>
                    <w:left w:val="none" w:sz="0" w:space="0" w:color="auto"/>
                    <w:bottom w:val="none" w:sz="0" w:space="0" w:color="auto"/>
                    <w:right w:val="none" w:sz="0" w:space="0" w:color="auto"/>
                  </w:divBdr>
                  <w:divsChild>
                    <w:div w:id="108404155">
                      <w:marLeft w:val="0"/>
                      <w:marRight w:val="0"/>
                      <w:marTop w:val="0"/>
                      <w:marBottom w:val="0"/>
                      <w:divBdr>
                        <w:top w:val="none" w:sz="0" w:space="0" w:color="auto"/>
                        <w:left w:val="none" w:sz="0" w:space="0" w:color="auto"/>
                        <w:bottom w:val="none" w:sz="0" w:space="0" w:color="auto"/>
                        <w:right w:val="none" w:sz="0" w:space="0" w:color="auto"/>
                      </w:divBdr>
                    </w:div>
                  </w:divsChild>
                </w:div>
                <w:div w:id="284581915">
                  <w:marLeft w:val="0"/>
                  <w:marRight w:val="0"/>
                  <w:marTop w:val="0"/>
                  <w:marBottom w:val="0"/>
                  <w:divBdr>
                    <w:top w:val="none" w:sz="0" w:space="0" w:color="auto"/>
                    <w:left w:val="none" w:sz="0" w:space="0" w:color="auto"/>
                    <w:bottom w:val="none" w:sz="0" w:space="0" w:color="auto"/>
                    <w:right w:val="none" w:sz="0" w:space="0" w:color="auto"/>
                  </w:divBdr>
                  <w:divsChild>
                    <w:div w:id="1679961388">
                      <w:marLeft w:val="0"/>
                      <w:marRight w:val="0"/>
                      <w:marTop w:val="0"/>
                      <w:marBottom w:val="0"/>
                      <w:divBdr>
                        <w:top w:val="none" w:sz="0" w:space="0" w:color="auto"/>
                        <w:left w:val="none" w:sz="0" w:space="0" w:color="auto"/>
                        <w:bottom w:val="none" w:sz="0" w:space="0" w:color="auto"/>
                        <w:right w:val="none" w:sz="0" w:space="0" w:color="auto"/>
                      </w:divBdr>
                    </w:div>
                  </w:divsChild>
                </w:div>
                <w:div w:id="300500171">
                  <w:marLeft w:val="0"/>
                  <w:marRight w:val="0"/>
                  <w:marTop w:val="0"/>
                  <w:marBottom w:val="0"/>
                  <w:divBdr>
                    <w:top w:val="none" w:sz="0" w:space="0" w:color="auto"/>
                    <w:left w:val="none" w:sz="0" w:space="0" w:color="auto"/>
                    <w:bottom w:val="none" w:sz="0" w:space="0" w:color="auto"/>
                    <w:right w:val="none" w:sz="0" w:space="0" w:color="auto"/>
                  </w:divBdr>
                  <w:divsChild>
                    <w:div w:id="1831404438">
                      <w:marLeft w:val="0"/>
                      <w:marRight w:val="0"/>
                      <w:marTop w:val="0"/>
                      <w:marBottom w:val="0"/>
                      <w:divBdr>
                        <w:top w:val="none" w:sz="0" w:space="0" w:color="auto"/>
                        <w:left w:val="none" w:sz="0" w:space="0" w:color="auto"/>
                        <w:bottom w:val="none" w:sz="0" w:space="0" w:color="auto"/>
                        <w:right w:val="none" w:sz="0" w:space="0" w:color="auto"/>
                      </w:divBdr>
                    </w:div>
                  </w:divsChild>
                </w:div>
                <w:div w:id="332539050">
                  <w:marLeft w:val="0"/>
                  <w:marRight w:val="0"/>
                  <w:marTop w:val="0"/>
                  <w:marBottom w:val="0"/>
                  <w:divBdr>
                    <w:top w:val="none" w:sz="0" w:space="0" w:color="auto"/>
                    <w:left w:val="none" w:sz="0" w:space="0" w:color="auto"/>
                    <w:bottom w:val="none" w:sz="0" w:space="0" w:color="auto"/>
                    <w:right w:val="none" w:sz="0" w:space="0" w:color="auto"/>
                  </w:divBdr>
                  <w:divsChild>
                    <w:div w:id="1098065136">
                      <w:marLeft w:val="0"/>
                      <w:marRight w:val="0"/>
                      <w:marTop w:val="0"/>
                      <w:marBottom w:val="0"/>
                      <w:divBdr>
                        <w:top w:val="none" w:sz="0" w:space="0" w:color="auto"/>
                        <w:left w:val="none" w:sz="0" w:space="0" w:color="auto"/>
                        <w:bottom w:val="none" w:sz="0" w:space="0" w:color="auto"/>
                        <w:right w:val="none" w:sz="0" w:space="0" w:color="auto"/>
                      </w:divBdr>
                    </w:div>
                  </w:divsChild>
                </w:div>
                <w:div w:id="351345093">
                  <w:marLeft w:val="0"/>
                  <w:marRight w:val="0"/>
                  <w:marTop w:val="0"/>
                  <w:marBottom w:val="0"/>
                  <w:divBdr>
                    <w:top w:val="none" w:sz="0" w:space="0" w:color="auto"/>
                    <w:left w:val="none" w:sz="0" w:space="0" w:color="auto"/>
                    <w:bottom w:val="none" w:sz="0" w:space="0" w:color="auto"/>
                    <w:right w:val="none" w:sz="0" w:space="0" w:color="auto"/>
                  </w:divBdr>
                  <w:divsChild>
                    <w:div w:id="221865948">
                      <w:marLeft w:val="0"/>
                      <w:marRight w:val="0"/>
                      <w:marTop w:val="0"/>
                      <w:marBottom w:val="0"/>
                      <w:divBdr>
                        <w:top w:val="none" w:sz="0" w:space="0" w:color="auto"/>
                        <w:left w:val="none" w:sz="0" w:space="0" w:color="auto"/>
                        <w:bottom w:val="none" w:sz="0" w:space="0" w:color="auto"/>
                        <w:right w:val="none" w:sz="0" w:space="0" w:color="auto"/>
                      </w:divBdr>
                    </w:div>
                  </w:divsChild>
                </w:div>
                <w:div w:id="351928423">
                  <w:marLeft w:val="0"/>
                  <w:marRight w:val="0"/>
                  <w:marTop w:val="0"/>
                  <w:marBottom w:val="0"/>
                  <w:divBdr>
                    <w:top w:val="none" w:sz="0" w:space="0" w:color="auto"/>
                    <w:left w:val="none" w:sz="0" w:space="0" w:color="auto"/>
                    <w:bottom w:val="none" w:sz="0" w:space="0" w:color="auto"/>
                    <w:right w:val="none" w:sz="0" w:space="0" w:color="auto"/>
                  </w:divBdr>
                  <w:divsChild>
                    <w:div w:id="954946309">
                      <w:marLeft w:val="0"/>
                      <w:marRight w:val="0"/>
                      <w:marTop w:val="0"/>
                      <w:marBottom w:val="0"/>
                      <w:divBdr>
                        <w:top w:val="none" w:sz="0" w:space="0" w:color="auto"/>
                        <w:left w:val="none" w:sz="0" w:space="0" w:color="auto"/>
                        <w:bottom w:val="none" w:sz="0" w:space="0" w:color="auto"/>
                        <w:right w:val="none" w:sz="0" w:space="0" w:color="auto"/>
                      </w:divBdr>
                    </w:div>
                  </w:divsChild>
                </w:div>
                <w:div w:id="354885204">
                  <w:marLeft w:val="0"/>
                  <w:marRight w:val="0"/>
                  <w:marTop w:val="0"/>
                  <w:marBottom w:val="0"/>
                  <w:divBdr>
                    <w:top w:val="none" w:sz="0" w:space="0" w:color="auto"/>
                    <w:left w:val="none" w:sz="0" w:space="0" w:color="auto"/>
                    <w:bottom w:val="none" w:sz="0" w:space="0" w:color="auto"/>
                    <w:right w:val="none" w:sz="0" w:space="0" w:color="auto"/>
                  </w:divBdr>
                  <w:divsChild>
                    <w:div w:id="1745494339">
                      <w:marLeft w:val="0"/>
                      <w:marRight w:val="0"/>
                      <w:marTop w:val="0"/>
                      <w:marBottom w:val="0"/>
                      <w:divBdr>
                        <w:top w:val="none" w:sz="0" w:space="0" w:color="auto"/>
                        <w:left w:val="none" w:sz="0" w:space="0" w:color="auto"/>
                        <w:bottom w:val="none" w:sz="0" w:space="0" w:color="auto"/>
                        <w:right w:val="none" w:sz="0" w:space="0" w:color="auto"/>
                      </w:divBdr>
                    </w:div>
                  </w:divsChild>
                </w:div>
                <w:div w:id="363559583">
                  <w:marLeft w:val="0"/>
                  <w:marRight w:val="0"/>
                  <w:marTop w:val="0"/>
                  <w:marBottom w:val="0"/>
                  <w:divBdr>
                    <w:top w:val="none" w:sz="0" w:space="0" w:color="auto"/>
                    <w:left w:val="none" w:sz="0" w:space="0" w:color="auto"/>
                    <w:bottom w:val="none" w:sz="0" w:space="0" w:color="auto"/>
                    <w:right w:val="none" w:sz="0" w:space="0" w:color="auto"/>
                  </w:divBdr>
                  <w:divsChild>
                    <w:div w:id="1326282994">
                      <w:marLeft w:val="0"/>
                      <w:marRight w:val="0"/>
                      <w:marTop w:val="0"/>
                      <w:marBottom w:val="0"/>
                      <w:divBdr>
                        <w:top w:val="none" w:sz="0" w:space="0" w:color="auto"/>
                        <w:left w:val="none" w:sz="0" w:space="0" w:color="auto"/>
                        <w:bottom w:val="none" w:sz="0" w:space="0" w:color="auto"/>
                        <w:right w:val="none" w:sz="0" w:space="0" w:color="auto"/>
                      </w:divBdr>
                    </w:div>
                  </w:divsChild>
                </w:div>
                <w:div w:id="374431529">
                  <w:marLeft w:val="0"/>
                  <w:marRight w:val="0"/>
                  <w:marTop w:val="0"/>
                  <w:marBottom w:val="0"/>
                  <w:divBdr>
                    <w:top w:val="none" w:sz="0" w:space="0" w:color="auto"/>
                    <w:left w:val="none" w:sz="0" w:space="0" w:color="auto"/>
                    <w:bottom w:val="none" w:sz="0" w:space="0" w:color="auto"/>
                    <w:right w:val="none" w:sz="0" w:space="0" w:color="auto"/>
                  </w:divBdr>
                  <w:divsChild>
                    <w:div w:id="1985967379">
                      <w:marLeft w:val="0"/>
                      <w:marRight w:val="0"/>
                      <w:marTop w:val="0"/>
                      <w:marBottom w:val="0"/>
                      <w:divBdr>
                        <w:top w:val="none" w:sz="0" w:space="0" w:color="auto"/>
                        <w:left w:val="none" w:sz="0" w:space="0" w:color="auto"/>
                        <w:bottom w:val="none" w:sz="0" w:space="0" w:color="auto"/>
                        <w:right w:val="none" w:sz="0" w:space="0" w:color="auto"/>
                      </w:divBdr>
                    </w:div>
                  </w:divsChild>
                </w:div>
                <w:div w:id="384793339">
                  <w:marLeft w:val="0"/>
                  <w:marRight w:val="0"/>
                  <w:marTop w:val="0"/>
                  <w:marBottom w:val="0"/>
                  <w:divBdr>
                    <w:top w:val="none" w:sz="0" w:space="0" w:color="auto"/>
                    <w:left w:val="none" w:sz="0" w:space="0" w:color="auto"/>
                    <w:bottom w:val="none" w:sz="0" w:space="0" w:color="auto"/>
                    <w:right w:val="none" w:sz="0" w:space="0" w:color="auto"/>
                  </w:divBdr>
                  <w:divsChild>
                    <w:div w:id="1035618523">
                      <w:marLeft w:val="0"/>
                      <w:marRight w:val="0"/>
                      <w:marTop w:val="0"/>
                      <w:marBottom w:val="0"/>
                      <w:divBdr>
                        <w:top w:val="none" w:sz="0" w:space="0" w:color="auto"/>
                        <w:left w:val="none" w:sz="0" w:space="0" w:color="auto"/>
                        <w:bottom w:val="none" w:sz="0" w:space="0" w:color="auto"/>
                        <w:right w:val="none" w:sz="0" w:space="0" w:color="auto"/>
                      </w:divBdr>
                    </w:div>
                  </w:divsChild>
                </w:div>
                <w:div w:id="391150335">
                  <w:marLeft w:val="0"/>
                  <w:marRight w:val="0"/>
                  <w:marTop w:val="0"/>
                  <w:marBottom w:val="0"/>
                  <w:divBdr>
                    <w:top w:val="none" w:sz="0" w:space="0" w:color="auto"/>
                    <w:left w:val="none" w:sz="0" w:space="0" w:color="auto"/>
                    <w:bottom w:val="none" w:sz="0" w:space="0" w:color="auto"/>
                    <w:right w:val="none" w:sz="0" w:space="0" w:color="auto"/>
                  </w:divBdr>
                  <w:divsChild>
                    <w:div w:id="863522859">
                      <w:marLeft w:val="0"/>
                      <w:marRight w:val="0"/>
                      <w:marTop w:val="0"/>
                      <w:marBottom w:val="0"/>
                      <w:divBdr>
                        <w:top w:val="none" w:sz="0" w:space="0" w:color="auto"/>
                        <w:left w:val="none" w:sz="0" w:space="0" w:color="auto"/>
                        <w:bottom w:val="none" w:sz="0" w:space="0" w:color="auto"/>
                        <w:right w:val="none" w:sz="0" w:space="0" w:color="auto"/>
                      </w:divBdr>
                    </w:div>
                  </w:divsChild>
                </w:div>
                <w:div w:id="397289461">
                  <w:marLeft w:val="0"/>
                  <w:marRight w:val="0"/>
                  <w:marTop w:val="0"/>
                  <w:marBottom w:val="0"/>
                  <w:divBdr>
                    <w:top w:val="none" w:sz="0" w:space="0" w:color="auto"/>
                    <w:left w:val="none" w:sz="0" w:space="0" w:color="auto"/>
                    <w:bottom w:val="none" w:sz="0" w:space="0" w:color="auto"/>
                    <w:right w:val="none" w:sz="0" w:space="0" w:color="auto"/>
                  </w:divBdr>
                  <w:divsChild>
                    <w:div w:id="681398715">
                      <w:marLeft w:val="0"/>
                      <w:marRight w:val="0"/>
                      <w:marTop w:val="0"/>
                      <w:marBottom w:val="0"/>
                      <w:divBdr>
                        <w:top w:val="none" w:sz="0" w:space="0" w:color="auto"/>
                        <w:left w:val="none" w:sz="0" w:space="0" w:color="auto"/>
                        <w:bottom w:val="none" w:sz="0" w:space="0" w:color="auto"/>
                        <w:right w:val="none" w:sz="0" w:space="0" w:color="auto"/>
                      </w:divBdr>
                    </w:div>
                  </w:divsChild>
                </w:div>
                <w:div w:id="397674784">
                  <w:marLeft w:val="0"/>
                  <w:marRight w:val="0"/>
                  <w:marTop w:val="0"/>
                  <w:marBottom w:val="0"/>
                  <w:divBdr>
                    <w:top w:val="none" w:sz="0" w:space="0" w:color="auto"/>
                    <w:left w:val="none" w:sz="0" w:space="0" w:color="auto"/>
                    <w:bottom w:val="none" w:sz="0" w:space="0" w:color="auto"/>
                    <w:right w:val="none" w:sz="0" w:space="0" w:color="auto"/>
                  </w:divBdr>
                  <w:divsChild>
                    <w:div w:id="1394038771">
                      <w:marLeft w:val="0"/>
                      <w:marRight w:val="0"/>
                      <w:marTop w:val="0"/>
                      <w:marBottom w:val="0"/>
                      <w:divBdr>
                        <w:top w:val="none" w:sz="0" w:space="0" w:color="auto"/>
                        <w:left w:val="none" w:sz="0" w:space="0" w:color="auto"/>
                        <w:bottom w:val="none" w:sz="0" w:space="0" w:color="auto"/>
                        <w:right w:val="none" w:sz="0" w:space="0" w:color="auto"/>
                      </w:divBdr>
                    </w:div>
                  </w:divsChild>
                </w:div>
                <w:div w:id="398943884">
                  <w:marLeft w:val="0"/>
                  <w:marRight w:val="0"/>
                  <w:marTop w:val="0"/>
                  <w:marBottom w:val="0"/>
                  <w:divBdr>
                    <w:top w:val="none" w:sz="0" w:space="0" w:color="auto"/>
                    <w:left w:val="none" w:sz="0" w:space="0" w:color="auto"/>
                    <w:bottom w:val="none" w:sz="0" w:space="0" w:color="auto"/>
                    <w:right w:val="none" w:sz="0" w:space="0" w:color="auto"/>
                  </w:divBdr>
                  <w:divsChild>
                    <w:div w:id="159589666">
                      <w:marLeft w:val="0"/>
                      <w:marRight w:val="0"/>
                      <w:marTop w:val="0"/>
                      <w:marBottom w:val="0"/>
                      <w:divBdr>
                        <w:top w:val="none" w:sz="0" w:space="0" w:color="auto"/>
                        <w:left w:val="none" w:sz="0" w:space="0" w:color="auto"/>
                        <w:bottom w:val="none" w:sz="0" w:space="0" w:color="auto"/>
                        <w:right w:val="none" w:sz="0" w:space="0" w:color="auto"/>
                      </w:divBdr>
                    </w:div>
                  </w:divsChild>
                </w:div>
                <w:div w:id="417099862">
                  <w:marLeft w:val="0"/>
                  <w:marRight w:val="0"/>
                  <w:marTop w:val="0"/>
                  <w:marBottom w:val="0"/>
                  <w:divBdr>
                    <w:top w:val="none" w:sz="0" w:space="0" w:color="auto"/>
                    <w:left w:val="none" w:sz="0" w:space="0" w:color="auto"/>
                    <w:bottom w:val="none" w:sz="0" w:space="0" w:color="auto"/>
                    <w:right w:val="none" w:sz="0" w:space="0" w:color="auto"/>
                  </w:divBdr>
                  <w:divsChild>
                    <w:div w:id="1248885089">
                      <w:marLeft w:val="0"/>
                      <w:marRight w:val="0"/>
                      <w:marTop w:val="0"/>
                      <w:marBottom w:val="0"/>
                      <w:divBdr>
                        <w:top w:val="none" w:sz="0" w:space="0" w:color="auto"/>
                        <w:left w:val="none" w:sz="0" w:space="0" w:color="auto"/>
                        <w:bottom w:val="none" w:sz="0" w:space="0" w:color="auto"/>
                        <w:right w:val="none" w:sz="0" w:space="0" w:color="auto"/>
                      </w:divBdr>
                    </w:div>
                  </w:divsChild>
                </w:div>
                <w:div w:id="444547642">
                  <w:marLeft w:val="0"/>
                  <w:marRight w:val="0"/>
                  <w:marTop w:val="0"/>
                  <w:marBottom w:val="0"/>
                  <w:divBdr>
                    <w:top w:val="none" w:sz="0" w:space="0" w:color="auto"/>
                    <w:left w:val="none" w:sz="0" w:space="0" w:color="auto"/>
                    <w:bottom w:val="none" w:sz="0" w:space="0" w:color="auto"/>
                    <w:right w:val="none" w:sz="0" w:space="0" w:color="auto"/>
                  </w:divBdr>
                  <w:divsChild>
                    <w:div w:id="1976711473">
                      <w:marLeft w:val="0"/>
                      <w:marRight w:val="0"/>
                      <w:marTop w:val="0"/>
                      <w:marBottom w:val="0"/>
                      <w:divBdr>
                        <w:top w:val="none" w:sz="0" w:space="0" w:color="auto"/>
                        <w:left w:val="none" w:sz="0" w:space="0" w:color="auto"/>
                        <w:bottom w:val="none" w:sz="0" w:space="0" w:color="auto"/>
                        <w:right w:val="none" w:sz="0" w:space="0" w:color="auto"/>
                      </w:divBdr>
                    </w:div>
                  </w:divsChild>
                </w:div>
                <w:div w:id="460150940">
                  <w:marLeft w:val="0"/>
                  <w:marRight w:val="0"/>
                  <w:marTop w:val="0"/>
                  <w:marBottom w:val="0"/>
                  <w:divBdr>
                    <w:top w:val="none" w:sz="0" w:space="0" w:color="auto"/>
                    <w:left w:val="none" w:sz="0" w:space="0" w:color="auto"/>
                    <w:bottom w:val="none" w:sz="0" w:space="0" w:color="auto"/>
                    <w:right w:val="none" w:sz="0" w:space="0" w:color="auto"/>
                  </w:divBdr>
                  <w:divsChild>
                    <w:div w:id="1734891834">
                      <w:marLeft w:val="0"/>
                      <w:marRight w:val="0"/>
                      <w:marTop w:val="0"/>
                      <w:marBottom w:val="0"/>
                      <w:divBdr>
                        <w:top w:val="none" w:sz="0" w:space="0" w:color="auto"/>
                        <w:left w:val="none" w:sz="0" w:space="0" w:color="auto"/>
                        <w:bottom w:val="none" w:sz="0" w:space="0" w:color="auto"/>
                        <w:right w:val="none" w:sz="0" w:space="0" w:color="auto"/>
                      </w:divBdr>
                    </w:div>
                  </w:divsChild>
                </w:div>
                <w:div w:id="464079688">
                  <w:marLeft w:val="0"/>
                  <w:marRight w:val="0"/>
                  <w:marTop w:val="0"/>
                  <w:marBottom w:val="0"/>
                  <w:divBdr>
                    <w:top w:val="none" w:sz="0" w:space="0" w:color="auto"/>
                    <w:left w:val="none" w:sz="0" w:space="0" w:color="auto"/>
                    <w:bottom w:val="none" w:sz="0" w:space="0" w:color="auto"/>
                    <w:right w:val="none" w:sz="0" w:space="0" w:color="auto"/>
                  </w:divBdr>
                  <w:divsChild>
                    <w:div w:id="1113400607">
                      <w:marLeft w:val="0"/>
                      <w:marRight w:val="0"/>
                      <w:marTop w:val="0"/>
                      <w:marBottom w:val="0"/>
                      <w:divBdr>
                        <w:top w:val="none" w:sz="0" w:space="0" w:color="auto"/>
                        <w:left w:val="none" w:sz="0" w:space="0" w:color="auto"/>
                        <w:bottom w:val="none" w:sz="0" w:space="0" w:color="auto"/>
                        <w:right w:val="none" w:sz="0" w:space="0" w:color="auto"/>
                      </w:divBdr>
                    </w:div>
                  </w:divsChild>
                </w:div>
                <w:div w:id="470051706">
                  <w:marLeft w:val="0"/>
                  <w:marRight w:val="0"/>
                  <w:marTop w:val="0"/>
                  <w:marBottom w:val="0"/>
                  <w:divBdr>
                    <w:top w:val="none" w:sz="0" w:space="0" w:color="auto"/>
                    <w:left w:val="none" w:sz="0" w:space="0" w:color="auto"/>
                    <w:bottom w:val="none" w:sz="0" w:space="0" w:color="auto"/>
                    <w:right w:val="none" w:sz="0" w:space="0" w:color="auto"/>
                  </w:divBdr>
                  <w:divsChild>
                    <w:div w:id="500268915">
                      <w:marLeft w:val="0"/>
                      <w:marRight w:val="0"/>
                      <w:marTop w:val="0"/>
                      <w:marBottom w:val="0"/>
                      <w:divBdr>
                        <w:top w:val="none" w:sz="0" w:space="0" w:color="auto"/>
                        <w:left w:val="none" w:sz="0" w:space="0" w:color="auto"/>
                        <w:bottom w:val="none" w:sz="0" w:space="0" w:color="auto"/>
                        <w:right w:val="none" w:sz="0" w:space="0" w:color="auto"/>
                      </w:divBdr>
                    </w:div>
                  </w:divsChild>
                </w:div>
                <w:div w:id="476722375">
                  <w:marLeft w:val="0"/>
                  <w:marRight w:val="0"/>
                  <w:marTop w:val="0"/>
                  <w:marBottom w:val="0"/>
                  <w:divBdr>
                    <w:top w:val="none" w:sz="0" w:space="0" w:color="auto"/>
                    <w:left w:val="none" w:sz="0" w:space="0" w:color="auto"/>
                    <w:bottom w:val="none" w:sz="0" w:space="0" w:color="auto"/>
                    <w:right w:val="none" w:sz="0" w:space="0" w:color="auto"/>
                  </w:divBdr>
                  <w:divsChild>
                    <w:div w:id="962734624">
                      <w:marLeft w:val="0"/>
                      <w:marRight w:val="0"/>
                      <w:marTop w:val="0"/>
                      <w:marBottom w:val="0"/>
                      <w:divBdr>
                        <w:top w:val="none" w:sz="0" w:space="0" w:color="auto"/>
                        <w:left w:val="none" w:sz="0" w:space="0" w:color="auto"/>
                        <w:bottom w:val="none" w:sz="0" w:space="0" w:color="auto"/>
                        <w:right w:val="none" w:sz="0" w:space="0" w:color="auto"/>
                      </w:divBdr>
                    </w:div>
                  </w:divsChild>
                </w:div>
                <w:div w:id="520359808">
                  <w:marLeft w:val="0"/>
                  <w:marRight w:val="0"/>
                  <w:marTop w:val="0"/>
                  <w:marBottom w:val="0"/>
                  <w:divBdr>
                    <w:top w:val="none" w:sz="0" w:space="0" w:color="auto"/>
                    <w:left w:val="none" w:sz="0" w:space="0" w:color="auto"/>
                    <w:bottom w:val="none" w:sz="0" w:space="0" w:color="auto"/>
                    <w:right w:val="none" w:sz="0" w:space="0" w:color="auto"/>
                  </w:divBdr>
                  <w:divsChild>
                    <w:div w:id="766735919">
                      <w:marLeft w:val="0"/>
                      <w:marRight w:val="0"/>
                      <w:marTop w:val="0"/>
                      <w:marBottom w:val="0"/>
                      <w:divBdr>
                        <w:top w:val="none" w:sz="0" w:space="0" w:color="auto"/>
                        <w:left w:val="none" w:sz="0" w:space="0" w:color="auto"/>
                        <w:bottom w:val="none" w:sz="0" w:space="0" w:color="auto"/>
                        <w:right w:val="none" w:sz="0" w:space="0" w:color="auto"/>
                      </w:divBdr>
                    </w:div>
                  </w:divsChild>
                </w:div>
                <w:div w:id="526722539">
                  <w:marLeft w:val="0"/>
                  <w:marRight w:val="0"/>
                  <w:marTop w:val="0"/>
                  <w:marBottom w:val="0"/>
                  <w:divBdr>
                    <w:top w:val="none" w:sz="0" w:space="0" w:color="auto"/>
                    <w:left w:val="none" w:sz="0" w:space="0" w:color="auto"/>
                    <w:bottom w:val="none" w:sz="0" w:space="0" w:color="auto"/>
                    <w:right w:val="none" w:sz="0" w:space="0" w:color="auto"/>
                  </w:divBdr>
                  <w:divsChild>
                    <w:div w:id="1816750305">
                      <w:marLeft w:val="0"/>
                      <w:marRight w:val="0"/>
                      <w:marTop w:val="0"/>
                      <w:marBottom w:val="0"/>
                      <w:divBdr>
                        <w:top w:val="none" w:sz="0" w:space="0" w:color="auto"/>
                        <w:left w:val="none" w:sz="0" w:space="0" w:color="auto"/>
                        <w:bottom w:val="none" w:sz="0" w:space="0" w:color="auto"/>
                        <w:right w:val="none" w:sz="0" w:space="0" w:color="auto"/>
                      </w:divBdr>
                    </w:div>
                  </w:divsChild>
                </w:div>
                <w:div w:id="533999757">
                  <w:marLeft w:val="0"/>
                  <w:marRight w:val="0"/>
                  <w:marTop w:val="0"/>
                  <w:marBottom w:val="0"/>
                  <w:divBdr>
                    <w:top w:val="none" w:sz="0" w:space="0" w:color="auto"/>
                    <w:left w:val="none" w:sz="0" w:space="0" w:color="auto"/>
                    <w:bottom w:val="none" w:sz="0" w:space="0" w:color="auto"/>
                    <w:right w:val="none" w:sz="0" w:space="0" w:color="auto"/>
                  </w:divBdr>
                  <w:divsChild>
                    <w:div w:id="455173778">
                      <w:marLeft w:val="0"/>
                      <w:marRight w:val="0"/>
                      <w:marTop w:val="0"/>
                      <w:marBottom w:val="0"/>
                      <w:divBdr>
                        <w:top w:val="none" w:sz="0" w:space="0" w:color="auto"/>
                        <w:left w:val="none" w:sz="0" w:space="0" w:color="auto"/>
                        <w:bottom w:val="none" w:sz="0" w:space="0" w:color="auto"/>
                        <w:right w:val="none" w:sz="0" w:space="0" w:color="auto"/>
                      </w:divBdr>
                    </w:div>
                  </w:divsChild>
                </w:div>
                <w:div w:id="536891938">
                  <w:marLeft w:val="0"/>
                  <w:marRight w:val="0"/>
                  <w:marTop w:val="0"/>
                  <w:marBottom w:val="0"/>
                  <w:divBdr>
                    <w:top w:val="none" w:sz="0" w:space="0" w:color="auto"/>
                    <w:left w:val="none" w:sz="0" w:space="0" w:color="auto"/>
                    <w:bottom w:val="none" w:sz="0" w:space="0" w:color="auto"/>
                    <w:right w:val="none" w:sz="0" w:space="0" w:color="auto"/>
                  </w:divBdr>
                  <w:divsChild>
                    <w:div w:id="48919534">
                      <w:marLeft w:val="0"/>
                      <w:marRight w:val="0"/>
                      <w:marTop w:val="0"/>
                      <w:marBottom w:val="0"/>
                      <w:divBdr>
                        <w:top w:val="none" w:sz="0" w:space="0" w:color="auto"/>
                        <w:left w:val="none" w:sz="0" w:space="0" w:color="auto"/>
                        <w:bottom w:val="none" w:sz="0" w:space="0" w:color="auto"/>
                        <w:right w:val="none" w:sz="0" w:space="0" w:color="auto"/>
                      </w:divBdr>
                    </w:div>
                  </w:divsChild>
                </w:div>
                <w:div w:id="538320445">
                  <w:marLeft w:val="0"/>
                  <w:marRight w:val="0"/>
                  <w:marTop w:val="0"/>
                  <w:marBottom w:val="0"/>
                  <w:divBdr>
                    <w:top w:val="none" w:sz="0" w:space="0" w:color="auto"/>
                    <w:left w:val="none" w:sz="0" w:space="0" w:color="auto"/>
                    <w:bottom w:val="none" w:sz="0" w:space="0" w:color="auto"/>
                    <w:right w:val="none" w:sz="0" w:space="0" w:color="auto"/>
                  </w:divBdr>
                  <w:divsChild>
                    <w:div w:id="656152038">
                      <w:marLeft w:val="0"/>
                      <w:marRight w:val="0"/>
                      <w:marTop w:val="0"/>
                      <w:marBottom w:val="0"/>
                      <w:divBdr>
                        <w:top w:val="none" w:sz="0" w:space="0" w:color="auto"/>
                        <w:left w:val="none" w:sz="0" w:space="0" w:color="auto"/>
                        <w:bottom w:val="none" w:sz="0" w:space="0" w:color="auto"/>
                        <w:right w:val="none" w:sz="0" w:space="0" w:color="auto"/>
                      </w:divBdr>
                    </w:div>
                  </w:divsChild>
                </w:div>
                <w:div w:id="540753849">
                  <w:marLeft w:val="0"/>
                  <w:marRight w:val="0"/>
                  <w:marTop w:val="0"/>
                  <w:marBottom w:val="0"/>
                  <w:divBdr>
                    <w:top w:val="none" w:sz="0" w:space="0" w:color="auto"/>
                    <w:left w:val="none" w:sz="0" w:space="0" w:color="auto"/>
                    <w:bottom w:val="none" w:sz="0" w:space="0" w:color="auto"/>
                    <w:right w:val="none" w:sz="0" w:space="0" w:color="auto"/>
                  </w:divBdr>
                  <w:divsChild>
                    <w:div w:id="1785035175">
                      <w:marLeft w:val="0"/>
                      <w:marRight w:val="0"/>
                      <w:marTop w:val="0"/>
                      <w:marBottom w:val="0"/>
                      <w:divBdr>
                        <w:top w:val="none" w:sz="0" w:space="0" w:color="auto"/>
                        <w:left w:val="none" w:sz="0" w:space="0" w:color="auto"/>
                        <w:bottom w:val="none" w:sz="0" w:space="0" w:color="auto"/>
                        <w:right w:val="none" w:sz="0" w:space="0" w:color="auto"/>
                      </w:divBdr>
                    </w:div>
                  </w:divsChild>
                </w:div>
                <w:div w:id="544680113">
                  <w:marLeft w:val="0"/>
                  <w:marRight w:val="0"/>
                  <w:marTop w:val="0"/>
                  <w:marBottom w:val="0"/>
                  <w:divBdr>
                    <w:top w:val="none" w:sz="0" w:space="0" w:color="auto"/>
                    <w:left w:val="none" w:sz="0" w:space="0" w:color="auto"/>
                    <w:bottom w:val="none" w:sz="0" w:space="0" w:color="auto"/>
                    <w:right w:val="none" w:sz="0" w:space="0" w:color="auto"/>
                  </w:divBdr>
                  <w:divsChild>
                    <w:div w:id="168059268">
                      <w:marLeft w:val="0"/>
                      <w:marRight w:val="0"/>
                      <w:marTop w:val="0"/>
                      <w:marBottom w:val="0"/>
                      <w:divBdr>
                        <w:top w:val="none" w:sz="0" w:space="0" w:color="auto"/>
                        <w:left w:val="none" w:sz="0" w:space="0" w:color="auto"/>
                        <w:bottom w:val="none" w:sz="0" w:space="0" w:color="auto"/>
                        <w:right w:val="none" w:sz="0" w:space="0" w:color="auto"/>
                      </w:divBdr>
                    </w:div>
                  </w:divsChild>
                </w:div>
                <w:div w:id="552039309">
                  <w:marLeft w:val="0"/>
                  <w:marRight w:val="0"/>
                  <w:marTop w:val="0"/>
                  <w:marBottom w:val="0"/>
                  <w:divBdr>
                    <w:top w:val="none" w:sz="0" w:space="0" w:color="auto"/>
                    <w:left w:val="none" w:sz="0" w:space="0" w:color="auto"/>
                    <w:bottom w:val="none" w:sz="0" w:space="0" w:color="auto"/>
                    <w:right w:val="none" w:sz="0" w:space="0" w:color="auto"/>
                  </w:divBdr>
                  <w:divsChild>
                    <w:div w:id="2078625398">
                      <w:marLeft w:val="0"/>
                      <w:marRight w:val="0"/>
                      <w:marTop w:val="0"/>
                      <w:marBottom w:val="0"/>
                      <w:divBdr>
                        <w:top w:val="none" w:sz="0" w:space="0" w:color="auto"/>
                        <w:left w:val="none" w:sz="0" w:space="0" w:color="auto"/>
                        <w:bottom w:val="none" w:sz="0" w:space="0" w:color="auto"/>
                        <w:right w:val="none" w:sz="0" w:space="0" w:color="auto"/>
                      </w:divBdr>
                    </w:div>
                  </w:divsChild>
                </w:div>
                <w:div w:id="565646450">
                  <w:marLeft w:val="0"/>
                  <w:marRight w:val="0"/>
                  <w:marTop w:val="0"/>
                  <w:marBottom w:val="0"/>
                  <w:divBdr>
                    <w:top w:val="none" w:sz="0" w:space="0" w:color="auto"/>
                    <w:left w:val="none" w:sz="0" w:space="0" w:color="auto"/>
                    <w:bottom w:val="none" w:sz="0" w:space="0" w:color="auto"/>
                    <w:right w:val="none" w:sz="0" w:space="0" w:color="auto"/>
                  </w:divBdr>
                  <w:divsChild>
                    <w:div w:id="1598051652">
                      <w:marLeft w:val="0"/>
                      <w:marRight w:val="0"/>
                      <w:marTop w:val="0"/>
                      <w:marBottom w:val="0"/>
                      <w:divBdr>
                        <w:top w:val="none" w:sz="0" w:space="0" w:color="auto"/>
                        <w:left w:val="none" w:sz="0" w:space="0" w:color="auto"/>
                        <w:bottom w:val="none" w:sz="0" w:space="0" w:color="auto"/>
                        <w:right w:val="none" w:sz="0" w:space="0" w:color="auto"/>
                      </w:divBdr>
                    </w:div>
                  </w:divsChild>
                </w:div>
                <w:div w:id="571430836">
                  <w:marLeft w:val="0"/>
                  <w:marRight w:val="0"/>
                  <w:marTop w:val="0"/>
                  <w:marBottom w:val="0"/>
                  <w:divBdr>
                    <w:top w:val="none" w:sz="0" w:space="0" w:color="auto"/>
                    <w:left w:val="none" w:sz="0" w:space="0" w:color="auto"/>
                    <w:bottom w:val="none" w:sz="0" w:space="0" w:color="auto"/>
                    <w:right w:val="none" w:sz="0" w:space="0" w:color="auto"/>
                  </w:divBdr>
                  <w:divsChild>
                    <w:div w:id="1954046330">
                      <w:marLeft w:val="0"/>
                      <w:marRight w:val="0"/>
                      <w:marTop w:val="0"/>
                      <w:marBottom w:val="0"/>
                      <w:divBdr>
                        <w:top w:val="none" w:sz="0" w:space="0" w:color="auto"/>
                        <w:left w:val="none" w:sz="0" w:space="0" w:color="auto"/>
                        <w:bottom w:val="none" w:sz="0" w:space="0" w:color="auto"/>
                        <w:right w:val="none" w:sz="0" w:space="0" w:color="auto"/>
                      </w:divBdr>
                    </w:div>
                  </w:divsChild>
                </w:div>
                <w:div w:id="618148018">
                  <w:marLeft w:val="0"/>
                  <w:marRight w:val="0"/>
                  <w:marTop w:val="0"/>
                  <w:marBottom w:val="0"/>
                  <w:divBdr>
                    <w:top w:val="none" w:sz="0" w:space="0" w:color="auto"/>
                    <w:left w:val="none" w:sz="0" w:space="0" w:color="auto"/>
                    <w:bottom w:val="none" w:sz="0" w:space="0" w:color="auto"/>
                    <w:right w:val="none" w:sz="0" w:space="0" w:color="auto"/>
                  </w:divBdr>
                  <w:divsChild>
                    <w:div w:id="124932443">
                      <w:marLeft w:val="0"/>
                      <w:marRight w:val="0"/>
                      <w:marTop w:val="0"/>
                      <w:marBottom w:val="0"/>
                      <w:divBdr>
                        <w:top w:val="none" w:sz="0" w:space="0" w:color="auto"/>
                        <w:left w:val="none" w:sz="0" w:space="0" w:color="auto"/>
                        <w:bottom w:val="none" w:sz="0" w:space="0" w:color="auto"/>
                        <w:right w:val="none" w:sz="0" w:space="0" w:color="auto"/>
                      </w:divBdr>
                    </w:div>
                  </w:divsChild>
                </w:div>
                <w:div w:id="639265582">
                  <w:marLeft w:val="0"/>
                  <w:marRight w:val="0"/>
                  <w:marTop w:val="0"/>
                  <w:marBottom w:val="0"/>
                  <w:divBdr>
                    <w:top w:val="none" w:sz="0" w:space="0" w:color="auto"/>
                    <w:left w:val="none" w:sz="0" w:space="0" w:color="auto"/>
                    <w:bottom w:val="none" w:sz="0" w:space="0" w:color="auto"/>
                    <w:right w:val="none" w:sz="0" w:space="0" w:color="auto"/>
                  </w:divBdr>
                  <w:divsChild>
                    <w:div w:id="974288972">
                      <w:marLeft w:val="0"/>
                      <w:marRight w:val="0"/>
                      <w:marTop w:val="0"/>
                      <w:marBottom w:val="0"/>
                      <w:divBdr>
                        <w:top w:val="none" w:sz="0" w:space="0" w:color="auto"/>
                        <w:left w:val="none" w:sz="0" w:space="0" w:color="auto"/>
                        <w:bottom w:val="none" w:sz="0" w:space="0" w:color="auto"/>
                        <w:right w:val="none" w:sz="0" w:space="0" w:color="auto"/>
                      </w:divBdr>
                    </w:div>
                  </w:divsChild>
                </w:div>
                <w:div w:id="645285303">
                  <w:marLeft w:val="0"/>
                  <w:marRight w:val="0"/>
                  <w:marTop w:val="0"/>
                  <w:marBottom w:val="0"/>
                  <w:divBdr>
                    <w:top w:val="none" w:sz="0" w:space="0" w:color="auto"/>
                    <w:left w:val="none" w:sz="0" w:space="0" w:color="auto"/>
                    <w:bottom w:val="none" w:sz="0" w:space="0" w:color="auto"/>
                    <w:right w:val="none" w:sz="0" w:space="0" w:color="auto"/>
                  </w:divBdr>
                  <w:divsChild>
                    <w:div w:id="647368519">
                      <w:marLeft w:val="0"/>
                      <w:marRight w:val="0"/>
                      <w:marTop w:val="0"/>
                      <w:marBottom w:val="0"/>
                      <w:divBdr>
                        <w:top w:val="none" w:sz="0" w:space="0" w:color="auto"/>
                        <w:left w:val="none" w:sz="0" w:space="0" w:color="auto"/>
                        <w:bottom w:val="none" w:sz="0" w:space="0" w:color="auto"/>
                        <w:right w:val="none" w:sz="0" w:space="0" w:color="auto"/>
                      </w:divBdr>
                    </w:div>
                  </w:divsChild>
                </w:div>
                <w:div w:id="681587055">
                  <w:marLeft w:val="0"/>
                  <w:marRight w:val="0"/>
                  <w:marTop w:val="0"/>
                  <w:marBottom w:val="0"/>
                  <w:divBdr>
                    <w:top w:val="none" w:sz="0" w:space="0" w:color="auto"/>
                    <w:left w:val="none" w:sz="0" w:space="0" w:color="auto"/>
                    <w:bottom w:val="none" w:sz="0" w:space="0" w:color="auto"/>
                    <w:right w:val="none" w:sz="0" w:space="0" w:color="auto"/>
                  </w:divBdr>
                  <w:divsChild>
                    <w:div w:id="1087845631">
                      <w:marLeft w:val="0"/>
                      <w:marRight w:val="0"/>
                      <w:marTop w:val="0"/>
                      <w:marBottom w:val="0"/>
                      <w:divBdr>
                        <w:top w:val="none" w:sz="0" w:space="0" w:color="auto"/>
                        <w:left w:val="none" w:sz="0" w:space="0" w:color="auto"/>
                        <w:bottom w:val="none" w:sz="0" w:space="0" w:color="auto"/>
                        <w:right w:val="none" w:sz="0" w:space="0" w:color="auto"/>
                      </w:divBdr>
                    </w:div>
                  </w:divsChild>
                </w:div>
                <w:div w:id="690496755">
                  <w:marLeft w:val="0"/>
                  <w:marRight w:val="0"/>
                  <w:marTop w:val="0"/>
                  <w:marBottom w:val="0"/>
                  <w:divBdr>
                    <w:top w:val="none" w:sz="0" w:space="0" w:color="auto"/>
                    <w:left w:val="none" w:sz="0" w:space="0" w:color="auto"/>
                    <w:bottom w:val="none" w:sz="0" w:space="0" w:color="auto"/>
                    <w:right w:val="none" w:sz="0" w:space="0" w:color="auto"/>
                  </w:divBdr>
                  <w:divsChild>
                    <w:div w:id="201137599">
                      <w:marLeft w:val="0"/>
                      <w:marRight w:val="0"/>
                      <w:marTop w:val="0"/>
                      <w:marBottom w:val="0"/>
                      <w:divBdr>
                        <w:top w:val="none" w:sz="0" w:space="0" w:color="auto"/>
                        <w:left w:val="none" w:sz="0" w:space="0" w:color="auto"/>
                        <w:bottom w:val="none" w:sz="0" w:space="0" w:color="auto"/>
                        <w:right w:val="none" w:sz="0" w:space="0" w:color="auto"/>
                      </w:divBdr>
                    </w:div>
                  </w:divsChild>
                </w:div>
                <w:div w:id="701588992">
                  <w:marLeft w:val="0"/>
                  <w:marRight w:val="0"/>
                  <w:marTop w:val="0"/>
                  <w:marBottom w:val="0"/>
                  <w:divBdr>
                    <w:top w:val="none" w:sz="0" w:space="0" w:color="auto"/>
                    <w:left w:val="none" w:sz="0" w:space="0" w:color="auto"/>
                    <w:bottom w:val="none" w:sz="0" w:space="0" w:color="auto"/>
                    <w:right w:val="none" w:sz="0" w:space="0" w:color="auto"/>
                  </w:divBdr>
                  <w:divsChild>
                    <w:div w:id="2108115534">
                      <w:marLeft w:val="0"/>
                      <w:marRight w:val="0"/>
                      <w:marTop w:val="0"/>
                      <w:marBottom w:val="0"/>
                      <w:divBdr>
                        <w:top w:val="none" w:sz="0" w:space="0" w:color="auto"/>
                        <w:left w:val="none" w:sz="0" w:space="0" w:color="auto"/>
                        <w:bottom w:val="none" w:sz="0" w:space="0" w:color="auto"/>
                        <w:right w:val="none" w:sz="0" w:space="0" w:color="auto"/>
                      </w:divBdr>
                    </w:div>
                  </w:divsChild>
                </w:div>
                <w:div w:id="719092108">
                  <w:marLeft w:val="0"/>
                  <w:marRight w:val="0"/>
                  <w:marTop w:val="0"/>
                  <w:marBottom w:val="0"/>
                  <w:divBdr>
                    <w:top w:val="none" w:sz="0" w:space="0" w:color="auto"/>
                    <w:left w:val="none" w:sz="0" w:space="0" w:color="auto"/>
                    <w:bottom w:val="none" w:sz="0" w:space="0" w:color="auto"/>
                    <w:right w:val="none" w:sz="0" w:space="0" w:color="auto"/>
                  </w:divBdr>
                  <w:divsChild>
                    <w:div w:id="1407531683">
                      <w:marLeft w:val="0"/>
                      <w:marRight w:val="0"/>
                      <w:marTop w:val="0"/>
                      <w:marBottom w:val="0"/>
                      <w:divBdr>
                        <w:top w:val="none" w:sz="0" w:space="0" w:color="auto"/>
                        <w:left w:val="none" w:sz="0" w:space="0" w:color="auto"/>
                        <w:bottom w:val="none" w:sz="0" w:space="0" w:color="auto"/>
                        <w:right w:val="none" w:sz="0" w:space="0" w:color="auto"/>
                      </w:divBdr>
                    </w:div>
                  </w:divsChild>
                </w:div>
                <w:div w:id="725103124">
                  <w:marLeft w:val="0"/>
                  <w:marRight w:val="0"/>
                  <w:marTop w:val="0"/>
                  <w:marBottom w:val="0"/>
                  <w:divBdr>
                    <w:top w:val="none" w:sz="0" w:space="0" w:color="auto"/>
                    <w:left w:val="none" w:sz="0" w:space="0" w:color="auto"/>
                    <w:bottom w:val="none" w:sz="0" w:space="0" w:color="auto"/>
                    <w:right w:val="none" w:sz="0" w:space="0" w:color="auto"/>
                  </w:divBdr>
                  <w:divsChild>
                    <w:div w:id="43068393">
                      <w:marLeft w:val="0"/>
                      <w:marRight w:val="0"/>
                      <w:marTop w:val="0"/>
                      <w:marBottom w:val="0"/>
                      <w:divBdr>
                        <w:top w:val="none" w:sz="0" w:space="0" w:color="auto"/>
                        <w:left w:val="none" w:sz="0" w:space="0" w:color="auto"/>
                        <w:bottom w:val="none" w:sz="0" w:space="0" w:color="auto"/>
                        <w:right w:val="none" w:sz="0" w:space="0" w:color="auto"/>
                      </w:divBdr>
                    </w:div>
                  </w:divsChild>
                </w:div>
                <w:div w:id="725879124">
                  <w:marLeft w:val="0"/>
                  <w:marRight w:val="0"/>
                  <w:marTop w:val="0"/>
                  <w:marBottom w:val="0"/>
                  <w:divBdr>
                    <w:top w:val="none" w:sz="0" w:space="0" w:color="auto"/>
                    <w:left w:val="none" w:sz="0" w:space="0" w:color="auto"/>
                    <w:bottom w:val="none" w:sz="0" w:space="0" w:color="auto"/>
                    <w:right w:val="none" w:sz="0" w:space="0" w:color="auto"/>
                  </w:divBdr>
                  <w:divsChild>
                    <w:div w:id="385228726">
                      <w:marLeft w:val="0"/>
                      <w:marRight w:val="0"/>
                      <w:marTop w:val="0"/>
                      <w:marBottom w:val="0"/>
                      <w:divBdr>
                        <w:top w:val="none" w:sz="0" w:space="0" w:color="auto"/>
                        <w:left w:val="none" w:sz="0" w:space="0" w:color="auto"/>
                        <w:bottom w:val="none" w:sz="0" w:space="0" w:color="auto"/>
                        <w:right w:val="none" w:sz="0" w:space="0" w:color="auto"/>
                      </w:divBdr>
                    </w:div>
                  </w:divsChild>
                </w:div>
                <w:div w:id="726800585">
                  <w:marLeft w:val="0"/>
                  <w:marRight w:val="0"/>
                  <w:marTop w:val="0"/>
                  <w:marBottom w:val="0"/>
                  <w:divBdr>
                    <w:top w:val="none" w:sz="0" w:space="0" w:color="auto"/>
                    <w:left w:val="none" w:sz="0" w:space="0" w:color="auto"/>
                    <w:bottom w:val="none" w:sz="0" w:space="0" w:color="auto"/>
                    <w:right w:val="none" w:sz="0" w:space="0" w:color="auto"/>
                  </w:divBdr>
                  <w:divsChild>
                    <w:div w:id="2097314102">
                      <w:marLeft w:val="0"/>
                      <w:marRight w:val="0"/>
                      <w:marTop w:val="0"/>
                      <w:marBottom w:val="0"/>
                      <w:divBdr>
                        <w:top w:val="none" w:sz="0" w:space="0" w:color="auto"/>
                        <w:left w:val="none" w:sz="0" w:space="0" w:color="auto"/>
                        <w:bottom w:val="none" w:sz="0" w:space="0" w:color="auto"/>
                        <w:right w:val="none" w:sz="0" w:space="0" w:color="auto"/>
                      </w:divBdr>
                    </w:div>
                  </w:divsChild>
                </w:div>
                <w:div w:id="740758527">
                  <w:marLeft w:val="0"/>
                  <w:marRight w:val="0"/>
                  <w:marTop w:val="0"/>
                  <w:marBottom w:val="0"/>
                  <w:divBdr>
                    <w:top w:val="none" w:sz="0" w:space="0" w:color="auto"/>
                    <w:left w:val="none" w:sz="0" w:space="0" w:color="auto"/>
                    <w:bottom w:val="none" w:sz="0" w:space="0" w:color="auto"/>
                    <w:right w:val="none" w:sz="0" w:space="0" w:color="auto"/>
                  </w:divBdr>
                  <w:divsChild>
                    <w:div w:id="911237725">
                      <w:marLeft w:val="0"/>
                      <w:marRight w:val="0"/>
                      <w:marTop w:val="0"/>
                      <w:marBottom w:val="0"/>
                      <w:divBdr>
                        <w:top w:val="none" w:sz="0" w:space="0" w:color="auto"/>
                        <w:left w:val="none" w:sz="0" w:space="0" w:color="auto"/>
                        <w:bottom w:val="none" w:sz="0" w:space="0" w:color="auto"/>
                        <w:right w:val="none" w:sz="0" w:space="0" w:color="auto"/>
                      </w:divBdr>
                    </w:div>
                  </w:divsChild>
                </w:div>
                <w:div w:id="754134495">
                  <w:marLeft w:val="0"/>
                  <w:marRight w:val="0"/>
                  <w:marTop w:val="0"/>
                  <w:marBottom w:val="0"/>
                  <w:divBdr>
                    <w:top w:val="none" w:sz="0" w:space="0" w:color="auto"/>
                    <w:left w:val="none" w:sz="0" w:space="0" w:color="auto"/>
                    <w:bottom w:val="none" w:sz="0" w:space="0" w:color="auto"/>
                    <w:right w:val="none" w:sz="0" w:space="0" w:color="auto"/>
                  </w:divBdr>
                  <w:divsChild>
                    <w:div w:id="1533418706">
                      <w:marLeft w:val="0"/>
                      <w:marRight w:val="0"/>
                      <w:marTop w:val="0"/>
                      <w:marBottom w:val="0"/>
                      <w:divBdr>
                        <w:top w:val="none" w:sz="0" w:space="0" w:color="auto"/>
                        <w:left w:val="none" w:sz="0" w:space="0" w:color="auto"/>
                        <w:bottom w:val="none" w:sz="0" w:space="0" w:color="auto"/>
                        <w:right w:val="none" w:sz="0" w:space="0" w:color="auto"/>
                      </w:divBdr>
                    </w:div>
                  </w:divsChild>
                </w:div>
                <w:div w:id="761531523">
                  <w:marLeft w:val="0"/>
                  <w:marRight w:val="0"/>
                  <w:marTop w:val="0"/>
                  <w:marBottom w:val="0"/>
                  <w:divBdr>
                    <w:top w:val="none" w:sz="0" w:space="0" w:color="auto"/>
                    <w:left w:val="none" w:sz="0" w:space="0" w:color="auto"/>
                    <w:bottom w:val="none" w:sz="0" w:space="0" w:color="auto"/>
                    <w:right w:val="none" w:sz="0" w:space="0" w:color="auto"/>
                  </w:divBdr>
                  <w:divsChild>
                    <w:div w:id="1025863719">
                      <w:marLeft w:val="0"/>
                      <w:marRight w:val="0"/>
                      <w:marTop w:val="0"/>
                      <w:marBottom w:val="0"/>
                      <w:divBdr>
                        <w:top w:val="none" w:sz="0" w:space="0" w:color="auto"/>
                        <w:left w:val="none" w:sz="0" w:space="0" w:color="auto"/>
                        <w:bottom w:val="none" w:sz="0" w:space="0" w:color="auto"/>
                        <w:right w:val="none" w:sz="0" w:space="0" w:color="auto"/>
                      </w:divBdr>
                    </w:div>
                  </w:divsChild>
                </w:div>
                <w:div w:id="777138741">
                  <w:marLeft w:val="0"/>
                  <w:marRight w:val="0"/>
                  <w:marTop w:val="0"/>
                  <w:marBottom w:val="0"/>
                  <w:divBdr>
                    <w:top w:val="none" w:sz="0" w:space="0" w:color="auto"/>
                    <w:left w:val="none" w:sz="0" w:space="0" w:color="auto"/>
                    <w:bottom w:val="none" w:sz="0" w:space="0" w:color="auto"/>
                    <w:right w:val="none" w:sz="0" w:space="0" w:color="auto"/>
                  </w:divBdr>
                  <w:divsChild>
                    <w:div w:id="1896239775">
                      <w:marLeft w:val="0"/>
                      <w:marRight w:val="0"/>
                      <w:marTop w:val="0"/>
                      <w:marBottom w:val="0"/>
                      <w:divBdr>
                        <w:top w:val="none" w:sz="0" w:space="0" w:color="auto"/>
                        <w:left w:val="none" w:sz="0" w:space="0" w:color="auto"/>
                        <w:bottom w:val="none" w:sz="0" w:space="0" w:color="auto"/>
                        <w:right w:val="none" w:sz="0" w:space="0" w:color="auto"/>
                      </w:divBdr>
                    </w:div>
                  </w:divsChild>
                </w:div>
                <w:div w:id="784689945">
                  <w:marLeft w:val="0"/>
                  <w:marRight w:val="0"/>
                  <w:marTop w:val="0"/>
                  <w:marBottom w:val="0"/>
                  <w:divBdr>
                    <w:top w:val="none" w:sz="0" w:space="0" w:color="auto"/>
                    <w:left w:val="none" w:sz="0" w:space="0" w:color="auto"/>
                    <w:bottom w:val="none" w:sz="0" w:space="0" w:color="auto"/>
                    <w:right w:val="none" w:sz="0" w:space="0" w:color="auto"/>
                  </w:divBdr>
                  <w:divsChild>
                    <w:div w:id="1290818390">
                      <w:marLeft w:val="0"/>
                      <w:marRight w:val="0"/>
                      <w:marTop w:val="0"/>
                      <w:marBottom w:val="0"/>
                      <w:divBdr>
                        <w:top w:val="none" w:sz="0" w:space="0" w:color="auto"/>
                        <w:left w:val="none" w:sz="0" w:space="0" w:color="auto"/>
                        <w:bottom w:val="none" w:sz="0" w:space="0" w:color="auto"/>
                        <w:right w:val="none" w:sz="0" w:space="0" w:color="auto"/>
                      </w:divBdr>
                    </w:div>
                  </w:divsChild>
                </w:div>
                <w:div w:id="792938636">
                  <w:marLeft w:val="0"/>
                  <w:marRight w:val="0"/>
                  <w:marTop w:val="0"/>
                  <w:marBottom w:val="0"/>
                  <w:divBdr>
                    <w:top w:val="none" w:sz="0" w:space="0" w:color="auto"/>
                    <w:left w:val="none" w:sz="0" w:space="0" w:color="auto"/>
                    <w:bottom w:val="none" w:sz="0" w:space="0" w:color="auto"/>
                    <w:right w:val="none" w:sz="0" w:space="0" w:color="auto"/>
                  </w:divBdr>
                  <w:divsChild>
                    <w:div w:id="1098258969">
                      <w:marLeft w:val="0"/>
                      <w:marRight w:val="0"/>
                      <w:marTop w:val="0"/>
                      <w:marBottom w:val="0"/>
                      <w:divBdr>
                        <w:top w:val="none" w:sz="0" w:space="0" w:color="auto"/>
                        <w:left w:val="none" w:sz="0" w:space="0" w:color="auto"/>
                        <w:bottom w:val="none" w:sz="0" w:space="0" w:color="auto"/>
                        <w:right w:val="none" w:sz="0" w:space="0" w:color="auto"/>
                      </w:divBdr>
                    </w:div>
                  </w:divsChild>
                </w:div>
                <w:div w:id="797266068">
                  <w:marLeft w:val="0"/>
                  <w:marRight w:val="0"/>
                  <w:marTop w:val="0"/>
                  <w:marBottom w:val="0"/>
                  <w:divBdr>
                    <w:top w:val="none" w:sz="0" w:space="0" w:color="auto"/>
                    <w:left w:val="none" w:sz="0" w:space="0" w:color="auto"/>
                    <w:bottom w:val="none" w:sz="0" w:space="0" w:color="auto"/>
                    <w:right w:val="none" w:sz="0" w:space="0" w:color="auto"/>
                  </w:divBdr>
                  <w:divsChild>
                    <w:div w:id="711658104">
                      <w:marLeft w:val="0"/>
                      <w:marRight w:val="0"/>
                      <w:marTop w:val="0"/>
                      <w:marBottom w:val="0"/>
                      <w:divBdr>
                        <w:top w:val="none" w:sz="0" w:space="0" w:color="auto"/>
                        <w:left w:val="none" w:sz="0" w:space="0" w:color="auto"/>
                        <w:bottom w:val="none" w:sz="0" w:space="0" w:color="auto"/>
                        <w:right w:val="none" w:sz="0" w:space="0" w:color="auto"/>
                      </w:divBdr>
                    </w:div>
                  </w:divsChild>
                </w:div>
                <w:div w:id="804396893">
                  <w:marLeft w:val="0"/>
                  <w:marRight w:val="0"/>
                  <w:marTop w:val="0"/>
                  <w:marBottom w:val="0"/>
                  <w:divBdr>
                    <w:top w:val="none" w:sz="0" w:space="0" w:color="auto"/>
                    <w:left w:val="none" w:sz="0" w:space="0" w:color="auto"/>
                    <w:bottom w:val="none" w:sz="0" w:space="0" w:color="auto"/>
                    <w:right w:val="none" w:sz="0" w:space="0" w:color="auto"/>
                  </w:divBdr>
                  <w:divsChild>
                    <w:div w:id="14187953">
                      <w:marLeft w:val="0"/>
                      <w:marRight w:val="0"/>
                      <w:marTop w:val="0"/>
                      <w:marBottom w:val="0"/>
                      <w:divBdr>
                        <w:top w:val="none" w:sz="0" w:space="0" w:color="auto"/>
                        <w:left w:val="none" w:sz="0" w:space="0" w:color="auto"/>
                        <w:bottom w:val="none" w:sz="0" w:space="0" w:color="auto"/>
                        <w:right w:val="none" w:sz="0" w:space="0" w:color="auto"/>
                      </w:divBdr>
                    </w:div>
                  </w:divsChild>
                </w:div>
                <w:div w:id="857308028">
                  <w:marLeft w:val="0"/>
                  <w:marRight w:val="0"/>
                  <w:marTop w:val="0"/>
                  <w:marBottom w:val="0"/>
                  <w:divBdr>
                    <w:top w:val="none" w:sz="0" w:space="0" w:color="auto"/>
                    <w:left w:val="none" w:sz="0" w:space="0" w:color="auto"/>
                    <w:bottom w:val="none" w:sz="0" w:space="0" w:color="auto"/>
                    <w:right w:val="none" w:sz="0" w:space="0" w:color="auto"/>
                  </w:divBdr>
                  <w:divsChild>
                    <w:div w:id="1511873283">
                      <w:marLeft w:val="0"/>
                      <w:marRight w:val="0"/>
                      <w:marTop w:val="0"/>
                      <w:marBottom w:val="0"/>
                      <w:divBdr>
                        <w:top w:val="none" w:sz="0" w:space="0" w:color="auto"/>
                        <w:left w:val="none" w:sz="0" w:space="0" w:color="auto"/>
                        <w:bottom w:val="none" w:sz="0" w:space="0" w:color="auto"/>
                        <w:right w:val="none" w:sz="0" w:space="0" w:color="auto"/>
                      </w:divBdr>
                    </w:div>
                  </w:divsChild>
                </w:div>
                <w:div w:id="860364855">
                  <w:marLeft w:val="0"/>
                  <w:marRight w:val="0"/>
                  <w:marTop w:val="0"/>
                  <w:marBottom w:val="0"/>
                  <w:divBdr>
                    <w:top w:val="none" w:sz="0" w:space="0" w:color="auto"/>
                    <w:left w:val="none" w:sz="0" w:space="0" w:color="auto"/>
                    <w:bottom w:val="none" w:sz="0" w:space="0" w:color="auto"/>
                    <w:right w:val="none" w:sz="0" w:space="0" w:color="auto"/>
                  </w:divBdr>
                  <w:divsChild>
                    <w:div w:id="1532448698">
                      <w:marLeft w:val="0"/>
                      <w:marRight w:val="0"/>
                      <w:marTop w:val="0"/>
                      <w:marBottom w:val="0"/>
                      <w:divBdr>
                        <w:top w:val="none" w:sz="0" w:space="0" w:color="auto"/>
                        <w:left w:val="none" w:sz="0" w:space="0" w:color="auto"/>
                        <w:bottom w:val="none" w:sz="0" w:space="0" w:color="auto"/>
                        <w:right w:val="none" w:sz="0" w:space="0" w:color="auto"/>
                      </w:divBdr>
                    </w:div>
                  </w:divsChild>
                </w:div>
                <w:div w:id="928388445">
                  <w:marLeft w:val="0"/>
                  <w:marRight w:val="0"/>
                  <w:marTop w:val="0"/>
                  <w:marBottom w:val="0"/>
                  <w:divBdr>
                    <w:top w:val="none" w:sz="0" w:space="0" w:color="auto"/>
                    <w:left w:val="none" w:sz="0" w:space="0" w:color="auto"/>
                    <w:bottom w:val="none" w:sz="0" w:space="0" w:color="auto"/>
                    <w:right w:val="none" w:sz="0" w:space="0" w:color="auto"/>
                  </w:divBdr>
                  <w:divsChild>
                    <w:div w:id="584919968">
                      <w:marLeft w:val="0"/>
                      <w:marRight w:val="0"/>
                      <w:marTop w:val="0"/>
                      <w:marBottom w:val="0"/>
                      <w:divBdr>
                        <w:top w:val="none" w:sz="0" w:space="0" w:color="auto"/>
                        <w:left w:val="none" w:sz="0" w:space="0" w:color="auto"/>
                        <w:bottom w:val="none" w:sz="0" w:space="0" w:color="auto"/>
                        <w:right w:val="none" w:sz="0" w:space="0" w:color="auto"/>
                      </w:divBdr>
                    </w:div>
                  </w:divsChild>
                </w:div>
                <w:div w:id="932861354">
                  <w:marLeft w:val="0"/>
                  <w:marRight w:val="0"/>
                  <w:marTop w:val="0"/>
                  <w:marBottom w:val="0"/>
                  <w:divBdr>
                    <w:top w:val="none" w:sz="0" w:space="0" w:color="auto"/>
                    <w:left w:val="none" w:sz="0" w:space="0" w:color="auto"/>
                    <w:bottom w:val="none" w:sz="0" w:space="0" w:color="auto"/>
                    <w:right w:val="none" w:sz="0" w:space="0" w:color="auto"/>
                  </w:divBdr>
                  <w:divsChild>
                    <w:div w:id="399913926">
                      <w:marLeft w:val="0"/>
                      <w:marRight w:val="0"/>
                      <w:marTop w:val="0"/>
                      <w:marBottom w:val="0"/>
                      <w:divBdr>
                        <w:top w:val="none" w:sz="0" w:space="0" w:color="auto"/>
                        <w:left w:val="none" w:sz="0" w:space="0" w:color="auto"/>
                        <w:bottom w:val="none" w:sz="0" w:space="0" w:color="auto"/>
                        <w:right w:val="none" w:sz="0" w:space="0" w:color="auto"/>
                      </w:divBdr>
                    </w:div>
                  </w:divsChild>
                </w:div>
                <w:div w:id="971911435">
                  <w:marLeft w:val="0"/>
                  <w:marRight w:val="0"/>
                  <w:marTop w:val="0"/>
                  <w:marBottom w:val="0"/>
                  <w:divBdr>
                    <w:top w:val="none" w:sz="0" w:space="0" w:color="auto"/>
                    <w:left w:val="none" w:sz="0" w:space="0" w:color="auto"/>
                    <w:bottom w:val="none" w:sz="0" w:space="0" w:color="auto"/>
                    <w:right w:val="none" w:sz="0" w:space="0" w:color="auto"/>
                  </w:divBdr>
                  <w:divsChild>
                    <w:div w:id="297957469">
                      <w:marLeft w:val="0"/>
                      <w:marRight w:val="0"/>
                      <w:marTop w:val="0"/>
                      <w:marBottom w:val="0"/>
                      <w:divBdr>
                        <w:top w:val="none" w:sz="0" w:space="0" w:color="auto"/>
                        <w:left w:val="none" w:sz="0" w:space="0" w:color="auto"/>
                        <w:bottom w:val="none" w:sz="0" w:space="0" w:color="auto"/>
                        <w:right w:val="none" w:sz="0" w:space="0" w:color="auto"/>
                      </w:divBdr>
                    </w:div>
                  </w:divsChild>
                </w:div>
                <w:div w:id="976255316">
                  <w:marLeft w:val="0"/>
                  <w:marRight w:val="0"/>
                  <w:marTop w:val="0"/>
                  <w:marBottom w:val="0"/>
                  <w:divBdr>
                    <w:top w:val="none" w:sz="0" w:space="0" w:color="auto"/>
                    <w:left w:val="none" w:sz="0" w:space="0" w:color="auto"/>
                    <w:bottom w:val="none" w:sz="0" w:space="0" w:color="auto"/>
                    <w:right w:val="none" w:sz="0" w:space="0" w:color="auto"/>
                  </w:divBdr>
                  <w:divsChild>
                    <w:div w:id="297272822">
                      <w:marLeft w:val="0"/>
                      <w:marRight w:val="0"/>
                      <w:marTop w:val="0"/>
                      <w:marBottom w:val="0"/>
                      <w:divBdr>
                        <w:top w:val="none" w:sz="0" w:space="0" w:color="auto"/>
                        <w:left w:val="none" w:sz="0" w:space="0" w:color="auto"/>
                        <w:bottom w:val="none" w:sz="0" w:space="0" w:color="auto"/>
                        <w:right w:val="none" w:sz="0" w:space="0" w:color="auto"/>
                      </w:divBdr>
                    </w:div>
                  </w:divsChild>
                </w:div>
                <w:div w:id="982780953">
                  <w:marLeft w:val="0"/>
                  <w:marRight w:val="0"/>
                  <w:marTop w:val="0"/>
                  <w:marBottom w:val="0"/>
                  <w:divBdr>
                    <w:top w:val="none" w:sz="0" w:space="0" w:color="auto"/>
                    <w:left w:val="none" w:sz="0" w:space="0" w:color="auto"/>
                    <w:bottom w:val="none" w:sz="0" w:space="0" w:color="auto"/>
                    <w:right w:val="none" w:sz="0" w:space="0" w:color="auto"/>
                  </w:divBdr>
                  <w:divsChild>
                    <w:div w:id="775564746">
                      <w:marLeft w:val="0"/>
                      <w:marRight w:val="0"/>
                      <w:marTop w:val="0"/>
                      <w:marBottom w:val="0"/>
                      <w:divBdr>
                        <w:top w:val="none" w:sz="0" w:space="0" w:color="auto"/>
                        <w:left w:val="none" w:sz="0" w:space="0" w:color="auto"/>
                        <w:bottom w:val="none" w:sz="0" w:space="0" w:color="auto"/>
                        <w:right w:val="none" w:sz="0" w:space="0" w:color="auto"/>
                      </w:divBdr>
                    </w:div>
                  </w:divsChild>
                </w:div>
                <w:div w:id="1022365248">
                  <w:marLeft w:val="0"/>
                  <w:marRight w:val="0"/>
                  <w:marTop w:val="0"/>
                  <w:marBottom w:val="0"/>
                  <w:divBdr>
                    <w:top w:val="none" w:sz="0" w:space="0" w:color="auto"/>
                    <w:left w:val="none" w:sz="0" w:space="0" w:color="auto"/>
                    <w:bottom w:val="none" w:sz="0" w:space="0" w:color="auto"/>
                    <w:right w:val="none" w:sz="0" w:space="0" w:color="auto"/>
                  </w:divBdr>
                  <w:divsChild>
                    <w:div w:id="1859155584">
                      <w:marLeft w:val="0"/>
                      <w:marRight w:val="0"/>
                      <w:marTop w:val="0"/>
                      <w:marBottom w:val="0"/>
                      <w:divBdr>
                        <w:top w:val="none" w:sz="0" w:space="0" w:color="auto"/>
                        <w:left w:val="none" w:sz="0" w:space="0" w:color="auto"/>
                        <w:bottom w:val="none" w:sz="0" w:space="0" w:color="auto"/>
                        <w:right w:val="none" w:sz="0" w:space="0" w:color="auto"/>
                      </w:divBdr>
                    </w:div>
                  </w:divsChild>
                </w:div>
                <w:div w:id="1024139120">
                  <w:marLeft w:val="0"/>
                  <w:marRight w:val="0"/>
                  <w:marTop w:val="0"/>
                  <w:marBottom w:val="0"/>
                  <w:divBdr>
                    <w:top w:val="none" w:sz="0" w:space="0" w:color="auto"/>
                    <w:left w:val="none" w:sz="0" w:space="0" w:color="auto"/>
                    <w:bottom w:val="none" w:sz="0" w:space="0" w:color="auto"/>
                    <w:right w:val="none" w:sz="0" w:space="0" w:color="auto"/>
                  </w:divBdr>
                  <w:divsChild>
                    <w:div w:id="12728369">
                      <w:marLeft w:val="0"/>
                      <w:marRight w:val="0"/>
                      <w:marTop w:val="0"/>
                      <w:marBottom w:val="0"/>
                      <w:divBdr>
                        <w:top w:val="none" w:sz="0" w:space="0" w:color="auto"/>
                        <w:left w:val="none" w:sz="0" w:space="0" w:color="auto"/>
                        <w:bottom w:val="none" w:sz="0" w:space="0" w:color="auto"/>
                        <w:right w:val="none" w:sz="0" w:space="0" w:color="auto"/>
                      </w:divBdr>
                    </w:div>
                  </w:divsChild>
                </w:div>
                <w:div w:id="1024985598">
                  <w:marLeft w:val="0"/>
                  <w:marRight w:val="0"/>
                  <w:marTop w:val="0"/>
                  <w:marBottom w:val="0"/>
                  <w:divBdr>
                    <w:top w:val="none" w:sz="0" w:space="0" w:color="auto"/>
                    <w:left w:val="none" w:sz="0" w:space="0" w:color="auto"/>
                    <w:bottom w:val="none" w:sz="0" w:space="0" w:color="auto"/>
                    <w:right w:val="none" w:sz="0" w:space="0" w:color="auto"/>
                  </w:divBdr>
                  <w:divsChild>
                    <w:div w:id="886726200">
                      <w:marLeft w:val="0"/>
                      <w:marRight w:val="0"/>
                      <w:marTop w:val="0"/>
                      <w:marBottom w:val="0"/>
                      <w:divBdr>
                        <w:top w:val="none" w:sz="0" w:space="0" w:color="auto"/>
                        <w:left w:val="none" w:sz="0" w:space="0" w:color="auto"/>
                        <w:bottom w:val="none" w:sz="0" w:space="0" w:color="auto"/>
                        <w:right w:val="none" w:sz="0" w:space="0" w:color="auto"/>
                      </w:divBdr>
                    </w:div>
                  </w:divsChild>
                </w:div>
                <w:div w:id="1044209863">
                  <w:marLeft w:val="0"/>
                  <w:marRight w:val="0"/>
                  <w:marTop w:val="0"/>
                  <w:marBottom w:val="0"/>
                  <w:divBdr>
                    <w:top w:val="none" w:sz="0" w:space="0" w:color="auto"/>
                    <w:left w:val="none" w:sz="0" w:space="0" w:color="auto"/>
                    <w:bottom w:val="none" w:sz="0" w:space="0" w:color="auto"/>
                    <w:right w:val="none" w:sz="0" w:space="0" w:color="auto"/>
                  </w:divBdr>
                  <w:divsChild>
                    <w:div w:id="732310316">
                      <w:marLeft w:val="0"/>
                      <w:marRight w:val="0"/>
                      <w:marTop w:val="0"/>
                      <w:marBottom w:val="0"/>
                      <w:divBdr>
                        <w:top w:val="none" w:sz="0" w:space="0" w:color="auto"/>
                        <w:left w:val="none" w:sz="0" w:space="0" w:color="auto"/>
                        <w:bottom w:val="none" w:sz="0" w:space="0" w:color="auto"/>
                        <w:right w:val="none" w:sz="0" w:space="0" w:color="auto"/>
                      </w:divBdr>
                    </w:div>
                  </w:divsChild>
                </w:div>
                <w:div w:id="1044526602">
                  <w:marLeft w:val="0"/>
                  <w:marRight w:val="0"/>
                  <w:marTop w:val="0"/>
                  <w:marBottom w:val="0"/>
                  <w:divBdr>
                    <w:top w:val="none" w:sz="0" w:space="0" w:color="auto"/>
                    <w:left w:val="none" w:sz="0" w:space="0" w:color="auto"/>
                    <w:bottom w:val="none" w:sz="0" w:space="0" w:color="auto"/>
                    <w:right w:val="none" w:sz="0" w:space="0" w:color="auto"/>
                  </w:divBdr>
                  <w:divsChild>
                    <w:div w:id="1302226949">
                      <w:marLeft w:val="0"/>
                      <w:marRight w:val="0"/>
                      <w:marTop w:val="0"/>
                      <w:marBottom w:val="0"/>
                      <w:divBdr>
                        <w:top w:val="none" w:sz="0" w:space="0" w:color="auto"/>
                        <w:left w:val="none" w:sz="0" w:space="0" w:color="auto"/>
                        <w:bottom w:val="none" w:sz="0" w:space="0" w:color="auto"/>
                        <w:right w:val="none" w:sz="0" w:space="0" w:color="auto"/>
                      </w:divBdr>
                    </w:div>
                  </w:divsChild>
                </w:div>
                <w:div w:id="1074857999">
                  <w:marLeft w:val="0"/>
                  <w:marRight w:val="0"/>
                  <w:marTop w:val="0"/>
                  <w:marBottom w:val="0"/>
                  <w:divBdr>
                    <w:top w:val="none" w:sz="0" w:space="0" w:color="auto"/>
                    <w:left w:val="none" w:sz="0" w:space="0" w:color="auto"/>
                    <w:bottom w:val="none" w:sz="0" w:space="0" w:color="auto"/>
                    <w:right w:val="none" w:sz="0" w:space="0" w:color="auto"/>
                  </w:divBdr>
                  <w:divsChild>
                    <w:div w:id="1305626724">
                      <w:marLeft w:val="0"/>
                      <w:marRight w:val="0"/>
                      <w:marTop w:val="0"/>
                      <w:marBottom w:val="0"/>
                      <w:divBdr>
                        <w:top w:val="none" w:sz="0" w:space="0" w:color="auto"/>
                        <w:left w:val="none" w:sz="0" w:space="0" w:color="auto"/>
                        <w:bottom w:val="none" w:sz="0" w:space="0" w:color="auto"/>
                        <w:right w:val="none" w:sz="0" w:space="0" w:color="auto"/>
                      </w:divBdr>
                    </w:div>
                  </w:divsChild>
                </w:div>
                <w:div w:id="1085230469">
                  <w:marLeft w:val="0"/>
                  <w:marRight w:val="0"/>
                  <w:marTop w:val="0"/>
                  <w:marBottom w:val="0"/>
                  <w:divBdr>
                    <w:top w:val="none" w:sz="0" w:space="0" w:color="auto"/>
                    <w:left w:val="none" w:sz="0" w:space="0" w:color="auto"/>
                    <w:bottom w:val="none" w:sz="0" w:space="0" w:color="auto"/>
                    <w:right w:val="none" w:sz="0" w:space="0" w:color="auto"/>
                  </w:divBdr>
                  <w:divsChild>
                    <w:div w:id="276571454">
                      <w:marLeft w:val="0"/>
                      <w:marRight w:val="0"/>
                      <w:marTop w:val="0"/>
                      <w:marBottom w:val="0"/>
                      <w:divBdr>
                        <w:top w:val="none" w:sz="0" w:space="0" w:color="auto"/>
                        <w:left w:val="none" w:sz="0" w:space="0" w:color="auto"/>
                        <w:bottom w:val="none" w:sz="0" w:space="0" w:color="auto"/>
                        <w:right w:val="none" w:sz="0" w:space="0" w:color="auto"/>
                      </w:divBdr>
                    </w:div>
                  </w:divsChild>
                </w:div>
                <w:div w:id="1094864167">
                  <w:marLeft w:val="0"/>
                  <w:marRight w:val="0"/>
                  <w:marTop w:val="0"/>
                  <w:marBottom w:val="0"/>
                  <w:divBdr>
                    <w:top w:val="none" w:sz="0" w:space="0" w:color="auto"/>
                    <w:left w:val="none" w:sz="0" w:space="0" w:color="auto"/>
                    <w:bottom w:val="none" w:sz="0" w:space="0" w:color="auto"/>
                    <w:right w:val="none" w:sz="0" w:space="0" w:color="auto"/>
                  </w:divBdr>
                  <w:divsChild>
                    <w:div w:id="330525902">
                      <w:marLeft w:val="0"/>
                      <w:marRight w:val="0"/>
                      <w:marTop w:val="0"/>
                      <w:marBottom w:val="0"/>
                      <w:divBdr>
                        <w:top w:val="none" w:sz="0" w:space="0" w:color="auto"/>
                        <w:left w:val="none" w:sz="0" w:space="0" w:color="auto"/>
                        <w:bottom w:val="none" w:sz="0" w:space="0" w:color="auto"/>
                        <w:right w:val="none" w:sz="0" w:space="0" w:color="auto"/>
                      </w:divBdr>
                    </w:div>
                  </w:divsChild>
                </w:div>
                <w:div w:id="1123889802">
                  <w:marLeft w:val="0"/>
                  <w:marRight w:val="0"/>
                  <w:marTop w:val="0"/>
                  <w:marBottom w:val="0"/>
                  <w:divBdr>
                    <w:top w:val="none" w:sz="0" w:space="0" w:color="auto"/>
                    <w:left w:val="none" w:sz="0" w:space="0" w:color="auto"/>
                    <w:bottom w:val="none" w:sz="0" w:space="0" w:color="auto"/>
                    <w:right w:val="none" w:sz="0" w:space="0" w:color="auto"/>
                  </w:divBdr>
                  <w:divsChild>
                    <w:div w:id="1985966643">
                      <w:marLeft w:val="0"/>
                      <w:marRight w:val="0"/>
                      <w:marTop w:val="0"/>
                      <w:marBottom w:val="0"/>
                      <w:divBdr>
                        <w:top w:val="none" w:sz="0" w:space="0" w:color="auto"/>
                        <w:left w:val="none" w:sz="0" w:space="0" w:color="auto"/>
                        <w:bottom w:val="none" w:sz="0" w:space="0" w:color="auto"/>
                        <w:right w:val="none" w:sz="0" w:space="0" w:color="auto"/>
                      </w:divBdr>
                    </w:div>
                  </w:divsChild>
                </w:div>
                <w:div w:id="1127744840">
                  <w:marLeft w:val="0"/>
                  <w:marRight w:val="0"/>
                  <w:marTop w:val="0"/>
                  <w:marBottom w:val="0"/>
                  <w:divBdr>
                    <w:top w:val="none" w:sz="0" w:space="0" w:color="auto"/>
                    <w:left w:val="none" w:sz="0" w:space="0" w:color="auto"/>
                    <w:bottom w:val="none" w:sz="0" w:space="0" w:color="auto"/>
                    <w:right w:val="none" w:sz="0" w:space="0" w:color="auto"/>
                  </w:divBdr>
                  <w:divsChild>
                    <w:div w:id="1468662242">
                      <w:marLeft w:val="0"/>
                      <w:marRight w:val="0"/>
                      <w:marTop w:val="0"/>
                      <w:marBottom w:val="0"/>
                      <w:divBdr>
                        <w:top w:val="none" w:sz="0" w:space="0" w:color="auto"/>
                        <w:left w:val="none" w:sz="0" w:space="0" w:color="auto"/>
                        <w:bottom w:val="none" w:sz="0" w:space="0" w:color="auto"/>
                        <w:right w:val="none" w:sz="0" w:space="0" w:color="auto"/>
                      </w:divBdr>
                    </w:div>
                  </w:divsChild>
                </w:div>
                <w:div w:id="1135294440">
                  <w:marLeft w:val="0"/>
                  <w:marRight w:val="0"/>
                  <w:marTop w:val="0"/>
                  <w:marBottom w:val="0"/>
                  <w:divBdr>
                    <w:top w:val="none" w:sz="0" w:space="0" w:color="auto"/>
                    <w:left w:val="none" w:sz="0" w:space="0" w:color="auto"/>
                    <w:bottom w:val="none" w:sz="0" w:space="0" w:color="auto"/>
                    <w:right w:val="none" w:sz="0" w:space="0" w:color="auto"/>
                  </w:divBdr>
                  <w:divsChild>
                    <w:div w:id="1488782298">
                      <w:marLeft w:val="0"/>
                      <w:marRight w:val="0"/>
                      <w:marTop w:val="0"/>
                      <w:marBottom w:val="0"/>
                      <w:divBdr>
                        <w:top w:val="none" w:sz="0" w:space="0" w:color="auto"/>
                        <w:left w:val="none" w:sz="0" w:space="0" w:color="auto"/>
                        <w:bottom w:val="none" w:sz="0" w:space="0" w:color="auto"/>
                        <w:right w:val="none" w:sz="0" w:space="0" w:color="auto"/>
                      </w:divBdr>
                    </w:div>
                  </w:divsChild>
                </w:div>
                <w:div w:id="1143934177">
                  <w:marLeft w:val="0"/>
                  <w:marRight w:val="0"/>
                  <w:marTop w:val="0"/>
                  <w:marBottom w:val="0"/>
                  <w:divBdr>
                    <w:top w:val="none" w:sz="0" w:space="0" w:color="auto"/>
                    <w:left w:val="none" w:sz="0" w:space="0" w:color="auto"/>
                    <w:bottom w:val="none" w:sz="0" w:space="0" w:color="auto"/>
                    <w:right w:val="none" w:sz="0" w:space="0" w:color="auto"/>
                  </w:divBdr>
                  <w:divsChild>
                    <w:div w:id="634330766">
                      <w:marLeft w:val="0"/>
                      <w:marRight w:val="0"/>
                      <w:marTop w:val="0"/>
                      <w:marBottom w:val="0"/>
                      <w:divBdr>
                        <w:top w:val="none" w:sz="0" w:space="0" w:color="auto"/>
                        <w:left w:val="none" w:sz="0" w:space="0" w:color="auto"/>
                        <w:bottom w:val="none" w:sz="0" w:space="0" w:color="auto"/>
                        <w:right w:val="none" w:sz="0" w:space="0" w:color="auto"/>
                      </w:divBdr>
                    </w:div>
                  </w:divsChild>
                </w:div>
                <w:div w:id="1148206337">
                  <w:marLeft w:val="0"/>
                  <w:marRight w:val="0"/>
                  <w:marTop w:val="0"/>
                  <w:marBottom w:val="0"/>
                  <w:divBdr>
                    <w:top w:val="none" w:sz="0" w:space="0" w:color="auto"/>
                    <w:left w:val="none" w:sz="0" w:space="0" w:color="auto"/>
                    <w:bottom w:val="none" w:sz="0" w:space="0" w:color="auto"/>
                    <w:right w:val="none" w:sz="0" w:space="0" w:color="auto"/>
                  </w:divBdr>
                  <w:divsChild>
                    <w:div w:id="1096943328">
                      <w:marLeft w:val="0"/>
                      <w:marRight w:val="0"/>
                      <w:marTop w:val="0"/>
                      <w:marBottom w:val="0"/>
                      <w:divBdr>
                        <w:top w:val="none" w:sz="0" w:space="0" w:color="auto"/>
                        <w:left w:val="none" w:sz="0" w:space="0" w:color="auto"/>
                        <w:bottom w:val="none" w:sz="0" w:space="0" w:color="auto"/>
                        <w:right w:val="none" w:sz="0" w:space="0" w:color="auto"/>
                      </w:divBdr>
                    </w:div>
                  </w:divsChild>
                </w:div>
                <w:div w:id="1150250079">
                  <w:marLeft w:val="0"/>
                  <w:marRight w:val="0"/>
                  <w:marTop w:val="0"/>
                  <w:marBottom w:val="0"/>
                  <w:divBdr>
                    <w:top w:val="none" w:sz="0" w:space="0" w:color="auto"/>
                    <w:left w:val="none" w:sz="0" w:space="0" w:color="auto"/>
                    <w:bottom w:val="none" w:sz="0" w:space="0" w:color="auto"/>
                    <w:right w:val="none" w:sz="0" w:space="0" w:color="auto"/>
                  </w:divBdr>
                  <w:divsChild>
                    <w:div w:id="44530518">
                      <w:marLeft w:val="0"/>
                      <w:marRight w:val="0"/>
                      <w:marTop w:val="0"/>
                      <w:marBottom w:val="0"/>
                      <w:divBdr>
                        <w:top w:val="none" w:sz="0" w:space="0" w:color="auto"/>
                        <w:left w:val="none" w:sz="0" w:space="0" w:color="auto"/>
                        <w:bottom w:val="none" w:sz="0" w:space="0" w:color="auto"/>
                        <w:right w:val="none" w:sz="0" w:space="0" w:color="auto"/>
                      </w:divBdr>
                    </w:div>
                  </w:divsChild>
                </w:div>
                <w:div w:id="1161000246">
                  <w:marLeft w:val="0"/>
                  <w:marRight w:val="0"/>
                  <w:marTop w:val="0"/>
                  <w:marBottom w:val="0"/>
                  <w:divBdr>
                    <w:top w:val="none" w:sz="0" w:space="0" w:color="auto"/>
                    <w:left w:val="none" w:sz="0" w:space="0" w:color="auto"/>
                    <w:bottom w:val="none" w:sz="0" w:space="0" w:color="auto"/>
                    <w:right w:val="none" w:sz="0" w:space="0" w:color="auto"/>
                  </w:divBdr>
                  <w:divsChild>
                    <w:div w:id="114907638">
                      <w:marLeft w:val="0"/>
                      <w:marRight w:val="0"/>
                      <w:marTop w:val="0"/>
                      <w:marBottom w:val="0"/>
                      <w:divBdr>
                        <w:top w:val="none" w:sz="0" w:space="0" w:color="auto"/>
                        <w:left w:val="none" w:sz="0" w:space="0" w:color="auto"/>
                        <w:bottom w:val="none" w:sz="0" w:space="0" w:color="auto"/>
                        <w:right w:val="none" w:sz="0" w:space="0" w:color="auto"/>
                      </w:divBdr>
                    </w:div>
                  </w:divsChild>
                </w:div>
                <w:div w:id="1173884188">
                  <w:marLeft w:val="0"/>
                  <w:marRight w:val="0"/>
                  <w:marTop w:val="0"/>
                  <w:marBottom w:val="0"/>
                  <w:divBdr>
                    <w:top w:val="none" w:sz="0" w:space="0" w:color="auto"/>
                    <w:left w:val="none" w:sz="0" w:space="0" w:color="auto"/>
                    <w:bottom w:val="none" w:sz="0" w:space="0" w:color="auto"/>
                    <w:right w:val="none" w:sz="0" w:space="0" w:color="auto"/>
                  </w:divBdr>
                  <w:divsChild>
                    <w:div w:id="1893809431">
                      <w:marLeft w:val="0"/>
                      <w:marRight w:val="0"/>
                      <w:marTop w:val="0"/>
                      <w:marBottom w:val="0"/>
                      <w:divBdr>
                        <w:top w:val="none" w:sz="0" w:space="0" w:color="auto"/>
                        <w:left w:val="none" w:sz="0" w:space="0" w:color="auto"/>
                        <w:bottom w:val="none" w:sz="0" w:space="0" w:color="auto"/>
                        <w:right w:val="none" w:sz="0" w:space="0" w:color="auto"/>
                      </w:divBdr>
                    </w:div>
                  </w:divsChild>
                </w:div>
                <w:div w:id="1207836487">
                  <w:marLeft w:val="0"/>
                  <w:marRight w:val="0"/>
                  <w:marTop w:val="0"/>
                  <w:marBottom w:val="0"/>
                  <w:divBdr>
                    <w:top w:val="none" w:sz="0" w:space="0" w:color="auto"/>
                    <w:left w:val="none" w:sz="0" w:space="0" w:color="auto"/>
                    <w:bottom w:val="none" w:sz="0" w:space="0" w:color="auto"/>
                    <w:right w:val="none" w:sz="0" w:space="0" w:color="auto"/>
                  </w:divBdr>
                  <w:divsChild>
                    <w:div w:id="1826972681">
                      <w:marLeft w:val="0"/>
                      <w:marRight w:val="0"/>
                      <w:marTop w:val="0"/>
                      <w:marBottom w:val="0"/>
                      <w:divBdr>
                        <w:top w:val="none" w:sz="0" w:space="0" w:color="auto"/>
                        <w:left w:val="none" w:sz="0" w:space="0" w:color="auto"/>
                        <w:bottom w:val="none" w:sz="0" w:space="0" w:color="auto"/>
                        <w:right w:val="none" w:sz="0" w:space="0" w:color="auto"/>
                      </w:divBdr>
                    </w:div>
                  </w:divsChild>
                </w:div>
                <w:div w:id="1220360818">
                  <w:marLeft w:val="0"/>
                  <w:marRight w:val="0"/>
                  <w:marTop w:val="0"/>
                  <w:marBottom w:val="0"/>
                  <w:divBdr>
                    <w:top w:val="none" w:sz="0" w:space="0" w:color="auto"/>
                    <w:left w:val="none" w:sz="0" w:space="0" w:color="auto"/>
                    <w:bottom w:val="none" w:sz="0" w:space="0" w:color="auto"/>
                    <w:right w:val="none" w:sz="0" w:space="0" w:color="auto"/>
                  </w:divBdr>
                  <w:divsChild>
                    <w:div w:id="1126587807">
                      <w:marLeft w:val="0"/>
                      <w:marRight w:val="0"/>
                      <w:marTop w:val="0"/>
                      <w:marBottom w:val="0"/>
                      <w:divBdr>
                        <w:top w:val="none" w:sz="0" w:space="0" w:color="auto"/>
                        <w:left w:val="none" w:sz="0" w:space="0" w:color="auto"/>
                        <w:bottom w:val="none" w:sz="0" w:space="0" w:color="auto"/>
                        <w:right w:val="none" w:sz="0" w:space="0" w:color="auto"/>
                      </w:divBdr>
                    </w:div>
                  </w:divsChild>
                </w:div>
                <w:div w:id="1226648016">
                  <w:marLeft w:val="0"/>
                  <w:marRight w:val="0"/>
                  <w:marTop w:val="0"/>
                  <w:marBottom w:val="0"/>
                  <w:divBdr>
                    <w:top w:val="none" w:sz="0" w:space="0" w:color="auto"/>
                    <w:left w:val="none" w:sz="0" w:space="0" w:color="auto"/>
                    <w:bottom w:val="none" w:sz="0" w:space="0" w:color="auto"/>
                    <w:right w:val="none" w:sz="0" w:space="0" w:color="auto"/>
                  </w:divBdr>
                  <w:divsChild>
                    <w:div w:id="210701995">
                      <w:marLeft w:val="0"/>
                      <w:marRight w:val="0"/>
                      <w:marTop w:val="0"/>
                      <w:marBottom w:val="0"/>
                      <w:divBdr>
                        <w:top w:val="none" w:sz="0" w:space="0" w:color="auto"/>
                        <w:left w:val="none" w:sz="0" w:space="0" w:color="auto"/>
                        <w:bottom w:val="none" w:sz="0" w:space="0" w:color="auto"/>
                        <w:right w:val="none" w:sz="0" w:space="0" w:color="auto"/>
                      </w:divBdr>
                    </w:div>
                  </w:divsChild>
                </w:div>
                <w:div w:id="1248466145">
                  <w:marLeft w:val="0"/>
                  <w:marRight w:val="0"/>
                  <w:marTop w:val="0"/>
                  <w:marBottom w:val="0"/>
                  <w:divBdr>
                    <w:top w:val="none" w:sz="0" w:space="0" w:color="auto"/>
                    <w:left w:val="none" w:sz="0" w:space="0" w:color="auto"/>
                    <w:bottom w:val="none" w:sz="0" w:space="0" w:color="auto"/>
                    <w:right w:val="none" w:sz="0" w:space="0" w:color="auto"/>
                  </w:divBdr>
                  <w:divsChild>
                    <w:div w:id="779229568">
                      <w:marLeft w:val="0"/>
                      <w:marRight w:val="0"/>
                      <w:marTop w:val="0"/>
                      <w:marBottom w:val="0"/>
                      <w:divBdr>
                        <w:top w:val="none" w:sz="0" w:space="0" w:color="auto"/>
                        <w:left w:val="none" w:sz="0" w:space="0" w:color="auto"/>
                        <w:bottom w:val="none" w:sz="0" w:space="0" w:color="auto"/>
                        <w:right w:val="none" w:sz="0" w:space="0" w:color="auto"/>
                      </w:divBdr>
                    </w:div>
                  </w:divsChild>
                </w:div>
                <w:div w:id="1263994055">
                  <w:marLeft w:val="0"/>
                  <w:marRight w:val="0"/>
                  <w:marTop w:val="0"/>
                  <w:marBottom w:val="0"/>
                  <w:divBdr>
                    <w:top w:val="none" w:sz="0" w:space="0" w:color="auto"/>
                    <w:left w:val="none" w:sz="0" w:space="0" w:color="auto"/>
                    <w:bottom w:val="none" w:sz="0" w:space="0" w:color="auto"/>
                    <w:right w:val="none" w:sz="0" w:space="0" w:color="auto"/>
                  </w:divBdr>
                  <w:divsChild>
                    <w:div w:id="1024358821">
                      <w:marLeft w:val="0"/>
                      <w:marRight w:val="0"/>
                      <w:marTop w:val="0"/>
                      <w:marBottom w:val="0"/>
                      <w:divBdr>
                        <w:top w:val="none" w:sz="0" w:space="0" w:color="auto"/>
                        <w:left w:val="none" w:sz="0" w:space="0" w:color="auto"/>
                        <w:bottom w:val="none" w:sz="0" w:space="0" w:color="auto"/>
                        <w:right w:val="none" w:sz="0" w:space="0" w:color="auto"/>
                      </w:divBdr>
                    </w:div>
                  </w:divsChild>
                </w:div>
                <w:div w:id="1269772831">
                  <w:marLeft w:val="0"/>
                  <w:marRight w:val="0"/>
                  <w:marTop w:val="0"/>
                  <w:marBottom w:val="0"/>
                  <w:divBdr>
                    <w:top w:val="none" w:sz="0" w:space="0" w:color="auto"/>
                    <w:left w:val="none" w:sz="0" w:space="0" w:color="auto"/>
                    <w:bottom w:val="none" w:sz="0" w:space="0" w:color="auto"/>
                    <w:right w:val="none" w:sz="0" w:space="0" w:color="auto"/>
                  </w:divBdr>
                  <w:divsChild>
                    <w:div w:id="1403409366">
                      <w:marLeft w:val="0"/>
                      <w:marRight w:val="0"/>
                      <w:marTop w:val="0"/>
                      <w:marBottom w:val="0"/>
                      <w:divBdr>
                        <w:top w:val="none" w:sz="0" w:space="0" w:color="auto"/>
                        <w:left w:val="none" w:sz="0" w:space="0" w:color="auto"/>
                        <w:bottom w:val="none" w:sz="0" w:space="0" w:color="auto"/>
                        <w:right w:val="none" w:sz="0" w:space="0" w:color="auto"/>
                      </w:divBdr>
                    </w:div>
                  </w:divsChild>
                </w:div>
                <w:div w:id="1273512446">
                  <w:marLeft w:val="0"/>
                  <w:marRight w:val="0"/>
                  <w:marTop w:val="0"/>
                  <w:marBottom w:val="0"/>
                  <w:divBdr>
                    <w:top w:val="none" w:sz="0" w:space="0" w:color="auto"/>
                    <w:left w:val="none" w:sz="0" w:space="0" w:color="auto"/>
                    <w:bottom w:val="none" w:sz="0" w:space="0" w:color="auto"/>
                    <w:right w:val="none" w:sz="0" w:space="0" w:color="auto"/>
                  </w:divBdr>
                  <w:divsChild>
                    <w:div w:id="996881504">
                      <w:marLeft w:val="0"/>
                      <w:marRight w:val="0"/>
                      <w:marTop w:val="0"/>
                      <w:marBottom w:val="0"/>
                      <w:divBdr>
                        <w:top w:val="none" w:sz="0" w:space="0" w:color="auto"/>
                        <w:left w:val="none" w:sz="0" w:space="0" w:color="auto"/>
                        <w:bottom w:val="none" w:sz="0" w:space="0" w:color="auto"/>
                        <w:right w:val="none" w:sz="0" w:space="0" w:color="auto"/>
                      </w:divBdr>
                    </w:div>
                  </w:divsChild>
                </w:div>
                <w:div w:id="1279020079">
                  <w:marLeft w:val="0"/>
                  <w:marRight w:val="0"/>
                  <w:marTop w:val="0"/>
                  <w:marBottom w:val="0"/>
                  <w:divBdr>
                    <w:top w:val="none" w:sz="0" w:space="0" w:color="auto"/>
                    <w:left w:val="none" w:sz="0" w:space="0" w:color="auto"/>
                    <w:bottom w:val="none" w:sz="0" w:space="0" w:color="auto"/>
                    <w:right w:val="none" w:sz="0" w:space="0" w:color="auto"/>
                  </w:divBdr>
                  <w:divsChild>
                    <w:div w:id="1835291789">
                      <w:marLeft w:val="0"/>
                      <w:marRight w:val="0"/>
                      <w:marTop w:val="0"/>
                      <w:marBottom w:val="0"/>
                      <w:divBdr>
                        <w:top w:val="none" w:sz="0" w:space="0" w:color="auto"/>
                        <w:left w:val="none" w:sz="0" w:space="0" w:color="auto"/>
                        <w:bottom w:val="none" w:sz="0" w:space="0" w:color="auto"/>
                        <w:right w:val="none" w:sz="0" w:space="0" w:color="auto"/>
                      </w:divBdr>
                    </w:div>
                  </w:divsChild>
                </w:div>
                <w:div w:id="1283877667">
                  <w:marLeft w:val="0"/>
                  <w:marRight w:val="0"/>
                  <w:marTop w:val="0"/>
                  <w:marBottom w:val="0"/>
                  <w:divBdr>
                    <w:top w:val="none" w:sz="0" w:space="0" w:color="auto"/>
                    <w:left w:val="none" w:sz="0" w:space="0" w:color="auto"/>
                    <w:bottom w:val="none" w:sz="0" w:space="0" w:color="auto"/>
                    <w:right w:val="none" w:sz="0" w:space="0" w:color="auto"/>
                  </w:divBdr>
                  <w:divsChild>
                    <w:div w:id="785003239">
                      <w:marLeft w:val="0"/>
                      <w:marRight w:val="0"/>
                      <w:marTop w:val="0"/>
                      <w:marBottom w:val="0"/>
                      <w:divBdr>
                        <w:top w:val="none" w:sz="0" w:space="0" w:color="auto"/>
                        <w:left w:val="none" w:sz="0" w:space="0" w:color="auto"/>
                        <w:bottom w:val="none" w:sz="0" w:space="0" w:color="auto"/>
                        <w:right w:val="none" w:sz="0" w:space="0" w:color="auto"/>
                      </w:divBdr>
                    </w:div>
                  </w:divsChild>
                </w:div>
                <w:div w:id="1289509659">
                  <w:marLeft w:val="0"/>
                  <w:marRight w:val="0"/>
                  <w:marTop w:val="0"/>
                  <w:marBottom w:val="0"/>
                  <w:divBdr>
                    <w:top w:val="none" w:sz="0" w:space="0" w:color="auto"/>
                    <w:left w:val="none" w:sz="0" w:space="0" w:color="auto"/>
                    <w:bottom w:val="none" w:sz="0" w:space="0" w:color="auto"/>
                    <w:right w:val="none" w:sz="0" w:space="0" w:color="auto"/>
                  </w:divBdr>
                  <w:divsChild>
                    <w:div w:id="1788887597">
                      <w:marLeft w:val="0"/>
                      <w:marRight w:val="0"/>
                      <w:marTop w:val="0"/>
                      <w:marBottom w:val="0"/>
                      <w:divBdr>
                        <w:top w:val="none" w:sz="0" w:space="0" w:color="auto"/>
                        <w:left w:val="none" w:sz="0" w:space="0" w:color="auto"/>
                        <w:bottom w:val="none" w:sz="0" w:space="0" w:color="auto"/>
                        <w:right w:val="none" w:sz="0" w:space="0" w:color="auto"/>
                      </w:divBdr>
                    </w:div>
                  </w:divsChild>
                </w:div>
                <w:div w:id="1292708687">
                  <w:marLeft w:val="0"/>
                  <w:marRight w:val="0"/>
                  <w:marTop w:val="0"/>
                  <w:marBottom w:val="0"/>
                  <w:divBdr>
                    <w:top w:val="none" w:sz="0" w:space="0" w:color="auto"/>
                    <w:left w:val="none" w:sz="0" w:space="0" w:color="auto"/>
                    <w:bottom w:val="none" w:sz="0" w:space="0" w:color="auto"/>
                    <w:right w:val="none" w:sz="0" w:space="0" w:color="auto"/>
                  </w:divBdr>
                  <w:divsChild>
                    <w:div w:id="1573614689">
                      <w:marLeft w:val="0"/>
                      <w:marRight w:val="0"/>
                      <w:marTop w:val="0"/>
                      <w:marBottom w:val="0"/>
                      <w:divBdr>
                        <w:top w:val="none" w:sz="0" w:space="0" w:color="auto"/>
                        <w:left w:val="none" w:sz="0" w:space="0" w:color="auto"/>
                        <w:bottom w:val="none" w:sz="0" w:space="0" w:color="auto"/>
                        <w:right w:val="none" w:sz="0" w:space="0" w:color="auto"/>
                      </w:divBdr>
                    </w:div>
                  </w:divsChild>
                </w:div>
                <w:div w:id="1301690614">
                  <w:marLeft w:val="0"/>
                  <w:marRight w:val="0"/>
                  <w:marTop w:val="0"/>
                  <w:marBottom w:val="0"/>
                  <w:divBdr>
                    <w:top w:val="none" w:sz="0" w:space="0" w:color="auto"/>
                    <w:left w:val="none" w:sz="0" w:space="0" w:color="auto"/>
                    <w:bottom w:val="none" w:sz="0" w:space="0" w:color="auto"/>
                    <w:right w:val="none" w:sz="0" w:space="0" w:color="auto"/>
                  </w:divBdr>
                  <w:divsChild>
                    <w:div w:id="98570960">
                      <w:marLeft w:val="0"/>
                      <w:marRight w:val="0"/>
                      <w:marTop w:val="0"/>
                      <w:marBottom w:val="0"/>
                      <w:divBdr>
                        <w:top w:val="none" w:sz="0" w:space="0" w:color="auto"/>
                        <w:left w:val="none" w:sz="0" w:space="0" w:color="auto"/>
                        <w:bottom w:val="none" w:sz="0" w:space="0" w:color="auto"/>
                        <w:right w:val="none" w:sz="0" w:space="0" w:color="auto"/>
                      </w:divBdr>
                    </w:div>
                  </w:divsChild>
                </w:div>
                <w:div w:id="1303269274">
                  <w:marLeft w:val="0"/>
                  <w:marRight w:val="0"/>
                  <w:marTop w:val="0"/>
                  <w:marBottom w:val="0"/>
                  <w:divBdr>
                    <w:top w:val="none" w:sz="0" w:space="0" w:color="auto"/>
                    <w:left w:val="none" w:sz="0" w:space="0" w:color="auto"/>
                    <w:bottom w:val="none" w:sz="0" w:space="0" w:color="auto"/>
                    <w:right w:val="none" w:sz="0" w:space="0" w:color="auto"/>
                  </w:divBdr>
                  <w:divsChild>
                    <w:div w:id="1106316084">
                      <w:marLeft w:val="0"/>
                      <w:marRight w:val="0"/>
                      <w:marTop w:val="0"/>
                      <w:marBottom w:val="0"/>
                      <w:divBdr>
                        <w:top w:val="none" w:sz="0" w:space="0" w:color="auto"/>
                        <w:left w:val="none" w:sz="0" w:space="0" w:color="auto"/>
                        <w:bottom w:val="none" w:sz="0" w:space="0" w:color="auto"/>
                        <w:right w:val="none" w:sz="0" w:space="0" w:color="auto"/>
                      </w:divBdr>
                    </w:div>
                  </w:divsChild>
                </w:div>
                <w:div w:id="1314411089">
                  <w:marLeft w:val="0"/>
                  <w:marRight w:val="0"/>
                  <w:marTop w:val="0"/>
                  <w:marBottom w:val="0"/>
                  <w:divBdr>
                    <w:top w:val="none" w:sz="0" w:space="0" w:color="auto"/>
                    <w:left w:val="none" w:sz="0" w:space="0" w:color="auto"/>
                    <w:bottom w:val="none" w:sz="0" w:space="0" w:color="auto"/>
                    <w:right w:val="none" w:sz="0" w:space="0" w:color="auto"/>
                  </w:divBdr>
                  <w:divsChild>
                    <w:div w:id="74523342">
                      <w:marLeft w:val="0"/>
                      <w:marRight w:val="0"/>
                      <w:marTop w:val="0"/>
                      <w:marBottom w:val="0"/>
                      <w:divBdr>
                        <w:top w:val="none" w:sz="0" w:space="0" w:color="auto"/>
                        <w:left w:val="none" w:sz="0" w:space="0" w:color="auto"/>
                        <w:bottom w:val="none" w:sz="0" w:space="0" w:color="auto"/>
                        <w:right w:val="none" w:sz="0" w:space="0" w:color="auto"/>
                      </w:divBdr>
                    </w:div>
                  </w:divsChild>
                </w:div>
                <w:div w:id="1322387776">
                  <w:marLeft w:val="0"/>
                  <w:marRight w:val="0"/>
                  <w:marTop w:val="0"/>
                  <w:marBottom w:val="0"/>
                  <w:divBdr>
                    <w:top w:val="none" w:sz="0" w:space="0" w:color="auto"/>
                    <w:left w:val="none" w:sz="0" w:space="0" w:color="auto"/>
                    <w:bottom w:val="none" w:sz="0" w:space="0" w:color="auto"/>
                    <w:right w:val="none" w:sz="0" w:space="0" w:color="auto"/>
                  </w:divBdr>
                  <w:divsChild>
                    <w:div w:id="1848982781">
                      <w:marLeft w:val="0"/>
                      <w:marRight w:val="0"/>
                      <w:marTop w:val="0"/>
                      <w:marBottom w:val="0"/>
                      <w:divBdr>
                        <w:top w:val="none" w:sz="0" w:space="0" w:color="auto"/>
                        <w:left w:val="none" w:sz="0" w:space="0" w:color="auto"/>
                        <w:bottom w:val="none" w:sz="0" w:space="0" w:color="auto"/>
                        <w:right w:val="none" w:sz="0" w:space="0" w:color="auto"/>
                      </w:divBdr>
                    </w:div>
                  </w:divsChild>
                </w:div>
                <w:div w:id="1338463266">
                  <w:marLeft w:val="0"/>
                  <w:marRight w:val="0"/>
                  <w:marTop w:val="0"/>
                  <w:marBottom w:val="0"/>
                  <w:divBdr>
                    <w:top w:val="none" w:sz="0" w:space="0" w:color="auto"/>
                    <w:left w:val="none" w:sz="0" w:space="0" w:color="auto"/>
                    <w:bottom w:val="none" w:sz="0" w:space="0" w:color="auto"/>
                    <w:right w:val="none" w:sz="0" w:space="0" w:color="auto"/>
                  </w:divBdr>
                  <w:divsChild>
                    <w:div w:id="68354253">
                      <w:marLeft w:val="0"/>
                      <w:marRight w:val="0"/>
                      <w:marTop w:val="0"/>
                      <w:marBottom w:val="0"/>
                      <w:divBdr>
                        <w:top w:val="none" w:sz="0" w:space="0" w:color="auto"/>
                        <w:left w:val="none" w:sz="0" w:space="0" w:color="auto"/>
                        <w:bottom w:val="none" w:sz="0" w:space="0" w:color="auto"/>
                        <w:right w:val="none" w:sz="0" w:space="0" w:color="auto"/>
                      </w:divBdr>
                    </w:div>
                  </w:divsChild>
                </w:div>
                <w:div w:id="1353457737">
                  <w:marLeft w:val="0"/>
                  <w:marRight w:val="0"/>
                  <w:marTop w:val="0"/>
                  <w:marBottom w:val="0"/>
                  <w:divBdr>
                    <w:top w:val="none" w:sz="0" w:space="0" w:color="auto"/>
                    <w:left w:val="none" w:sz="0" w:space="0" w:color="auto"/>
                    <w:bottom w:val="none" w:sz="0" w:space="0" w:color="auto"/>
                    <w:right w:val="none" w:sz="0" w:space="0" w:color="auto"/>
                  </w:divBdr>
                  <w:divsChild>
                    <w:div w:id="540897540">
                      <w:marLeft w:val="0"/>
                      <w:marRight w:val="0"/>
                      <w:marTop w:val="0"/>
                      <w:marBottom w:val="0"/>
                      <w:divBdr>
                        <w:top w:val="none" w:sz="0" w:space="0" w:color="auto"/>
                        <w:left w:val="none" w:sz="0" w:space="0" w:color="auto"/>
                        <w:bottom w:val="none" w:sz="0" w:space="0" w:color="auto"/>
                        <w:right w:val="none" w:sz="0" w:space="0" w:color="auto"/>
                      </w:divBdr>
                    </w:div>
                  </w:divsChild>
                </w:div>
                <w:div w:id="1364869749">
                  <w:marLeft w:val="0"/>
                  <w:marRight w:val="0"/>
                  <w:marTop w:val="0"/>
                  <w:marBottom w:val="0"/>
                  <w:divBdr>
                    <w:top w:val="none" w:sz="0" w:space="0" w:color="auto"/>
                    <w:left w:val="none" w:sz="0" w:space="0" w:color="auto"/>
                    <w:bottom w:val="none" w:sz="0" w:space="0" w:color="auto"/>
                    <w:right w:val="none" w:sz="0" w:space="0" w:color="auto"/>
                  </w:divBdr>
                  <w:divsChild>
                    <w:div w:id="1125851771">
                      <w:marLeft w:val="0"/>
                      <w:marRight w:val="0"/>
                      <w:marTop w:val="0"/>
                      <w:marBottom w:val="0"/>
                      <w:divBdr>
                        <w:top w:val="none" w:sz="0" w:space="0" w:color="auto"/>
                        <w:left w:val="none" w:sz="0" w:space="0" w:color="auto"/>
                        <w:bottom w:val="none" w:sz="0" w:space="0" w:color="auto"/>
                        <w:right w:val="none" w:sz="0" w:space="0" w:color="auto"/>
                      </w:divBdr>
                    </w:div>
                  </w:divsChild>
                </w:div>
                <w:div w:id="1375039438">
                  <w:marLeft w:val="0"/>
                  <w:marRight w:val="0"/>
                  <w:marTop w:val="0"/>
                  <w:marBottom w:val="0"/>
                  <w:divBdr>
                    <w:top w:val="none" w:sz="0" w:space="0" w:color="auto"/>
                    <w:left w:val="none" w:sz="0" w:space="0" w:color="auto"/>
                    <w:bottom w:val="none" w:sz="0" w:space="0" w:color="auto"/>
                    <w:right w:val="none" w:sz="0" w:space="0" w:color="auto"/>
                  </w:divBdr>
                  <w:divsChild>
                    <w:div w:id="974061930">
                      <w:marLeft w:val="0"/>
                      <w:marRight w:val="0"/>
                      <w:marTop w:val="0"/>
                      <w:marBottom w:val="0"/>
                      <w:divBdr>
                        <w:top w:val="none" w:sz="0" w:space="0" w:color="auto"/>
                        <w:left w:val="none" w:sz="0" w:space="0" w:color="auto"/>
                        <w:bottom w:val="none" w:sz="0" w:space="0" w:color="auto"/>
                        <w:right w:val="none" w:sz="0" w:space="0" w:color="auto"/>
                      </w:divBdr>
                    </w:div>
                  </w:divsChild>
                </w:div>
                <w:div w:id="1383598927">
                  <w:marLeft w:val="0"/>
                  <w:marRight w:val="0"/>
                  <w:marTop w:val="0"/>
                  <w:marBottom w:val="0"/>
                  <w:divBdr>
                    <w:top w:val="none" w:sz="0" w:space="0" w:color="auto"/>
                    <w:left w:val="none" w:sz="0" w:space="0" w:color="auto"/>
                    <w:bottom w:val="none" w:sz="0" w:space="0" w:color="auto"/>
                    <w:right w:val="none" w:sz="0" w:space="0" w:color="auto"/>
                  </w:divBdr>
                  <w:divsChild>
                    <w:div w:id="33118153">
                      <w:marLeft w:val="0"/>
                      <w:marRight w:val="0"/>
                      <w:marTop w:val="0"/>
                      <w:marBottom w:val="0"/>
                      <w:divBdr>
                        <w:top w:val="none" w:sz="0" w:space="0" w:color="auto"/>
                        <w:left w:val="none" w:sz="0" w:space="0" w:color="auto"/>
                        <w:bottom w:val="none" w:sz="0" w:space="0" w:color="auto"/>
                        <w:right w:val="none" w:sz="0" w:space="0" w:color="auto"/>
                      </w:divBdr>
                    </w:div>
                  </w:divsChild>
                </w:div>
                <w:div w:id="1387946692">
                  <w:marLeft w:val="0"/>
                  <w:marRight w:val="0"/>
                  <w:marTop w:val="0"/>
                  <w:marBottom w:val="0"/>
                  <w:divBdr>
                    <w:top w:val="none" w:sz="0" w:space="0" w:color="auto"/>
                    <w:left w:val="none" w:sz="0" w:space="0" w:color="auto"/>
                    <w:bottom w:val="none" w:sz="0" w:space="0" w:color="auto"/>
                    <w:right w:val="none" w:sz="0" w:space="0" w:color="auto"/>
                  </w:divBdr>
                  <w:divsChild>
                    <w:div w:id="262081616">
                      <w:marLeft w:val="0"/>
                      <w:marRight w:val="0"/>
                      <w:marTop w:val="0"/>
                      <w:marBottom w:val="0"/>
                      <w:divBdr>
                        <w:top w:val="none" w:sz="0" w:space="0" w:color="auto"/>
                        <w:left w:val="none" w:sz="0" w:space="0" w:color="auto"/>
                        <w:bottom w:val="none" w:sz="0" w:space="0" w:color="auto"/>
                        <w:right w:val="none" w:sz="0" w:space="0" w:color="auto"/>
                      </w:divBdr>
                    </w:div>
                  </w:divsChild>
                </w:div>
                <w:div w:id="1410036597">
                  <w:marLeft w:val="0"/>
                  <w:marRight w:val="0"/>
                  <w:marTop w:val="0"/>
                  <w:marBottom w:val="0"/>
                  <w:divBdr>
                    <w:top w:val="none" w:sz="0" w:space="0" w:color="auto"/>
                    <w:left w:val="none" w:sz="0" w:space="0" w:color="auto"/>
                    <w:bottom w:val="none" w:sz="0" w:space="0" w:color="auto"/>
                    <w:right w:val="none" w:sz="0" w:space="0" w:color="auto"/>
                  </w:divBdr>
                  <w:divsChild>
                    <w:div w:id="2146003217">
                      <w:marLeft w:val="0"/>
                      <w:marRight w:val="0"/>
                      <w:marTop w:val="0"/>
                      <w:marBottom w:val="0"/>
                      <w:divBdr>
                        <w:top w:val="none" w:sz="0" w:space="0" w:color="auto"/>
                        <w:left w:val="none" w:sz="0" w:space="0" w:color="auto"/>
                        <w:bottom w:val="none" w:sz="0" w:space="0" w:color="auto"/>
                        <w:right w:val="none" w:sz="0" w:space="0" w:color="auto"/>
                      </w:divBdr>
                    </w:div>
                  </w:divsChild>
                </w:div>
                <w:div w:id="1419520242">
                  <w:marLeft w:val="0"/>
                  <w:marRight w:val="0"/>
                  <w:marTop w:val="0"/>
                  <w:marBottom w:val="0"/>
                  <w:divBdr>
                    <w:top w:val="none" w:sz="0" w:space="0" w:color="auto"/>
                    <w:left w:val="none" w:sz="0" w:space="0" w:color="auto"/>
                    <w:bottom w:val="none" w:sz="0" w:space="0" w:color="auto"/>
                    <w:right w:val="none" w:sz="0" w:space="0" w:color="auto"/>
                  </w:divBdr>
                  <w:divsChild>
                    <w:div w:id="252855767">
                      <w:marLeft w:val="0"/>
                      <w:marRight w:val="0"/>
                      <w:marTop w:val="0"/>
                      <w:marBottom w:val="0"/>
                      <w:divBdr>
                        <w:top w:val="none" w:sz="0" w:space="0" w:color="auto"/>
                        <w:left w:val="none" w:sz="0" w:space="0" w:color="auto"/>
                        <w:bottom w:val="none" w:sz="0" w:space="0" w:color="auto"/>
                        <w:right w:val="none" w:sz="0" w:space="0" w:color="auto"/>
                      </w:divBdr>
                    </w:div>
                  </w:divsChild>
                </w:div>
                <w:div w:id="1478455615">
                  <w:marLeft w:val="0"/>
                  <w:marRight w:val="0"/>
                  <w:marTop w:val="0"/>
                  <w:marBottom w:val="0"/>
                  <w:divBdr>
                    <w:top w:val="none" w:sz="0" w:space="0" w:color="auto"/>
                    <w:left w:val="none" w:sz="0" w:space="0" w:color="auto"/>
                    <w:bottom w:val="none" w:sz="0" w:space="0" w:color="auto"/>
                    <w:right w:val="none" w:sz="0" w:space="0" w:color="auto"/>
                  </w:divBdr>
                  <w:divsChild>
                    <w:div w:id="1250000647">
                      <w:marLeft w:val="0"/>
                      <w:marRight w:val="0"/>
                      <w:marTop w:val="0"/>
                      <w:marBottom w:val="0"/>
                      <w:divBdr>
                        <w:top w:val="none" w:sz="0" w:space="0" w:color="auto"/>
                        <w:left w:val="none" w:sz="0" w:space="0" w:color="auto"/>
                        <w:bottom w:val="none" w:sz="0" w:space="0" w:color="auto"/>
                        <w:right w:val="none" w:sz="0" w:space="0" w:color="auto"/>
                      </w:divBdr>
                    </w:div>
                  </w:divsChild>
                </w:div>
                <w:div w:id="1478642702">
                  <w:marLeft w:val="0"/>
                  <w:marRight w:val="0"/>
                  <w:marTop w:val="0"/>
                  <w:marBottom w:val="0"/>
                  <w:divBdr>
                    <w:top w:val="none" w:sz="0" w:space="0" w:color="auto"/>
                    <w:left w:val="none" w:sz="0" w:space="0" w:color="auto"/>
                    <w:bottom w:val="none" w:sz="0" w:space="0" w:color="auto"/>
                    <w:right w:val="none" w:sz="0" w:space="0" w:color="auto"/>
                  </w:divBdr>
                  <w:divsChild>
                    <w:div w:id="1369452269">
                      <w:marLeft w:val="0"/>
                      <w:marRight w:val="0"/>
                      <w:marTop w:val="0"/>
                      <w:marBottom w:val="0"/>
                      <w:divBdr>
                        <w:top w:val="none" w:sz="0" w:space="0" w:color="auto"/>
                        <w:left w:val="none" w:sz="0" w:space="0" w:color="auto"/>
                        <w:bottom w:val="none" w:sz="0" w:space="0" w:color="auto"/>
                        <w:right w:val="none" w:sz="0" w:space="0" w:color="auto"/>
                      </w:divBdr>
                    </w:div>
                  </w:divsChild>
                </w:div>
                <w:div w:id="1486774662">
                  <w:marLeft w:val="0"/>
                  <w:marRight w:val="0"/>
                  <w:marTop w:val="0"/>
                  <w:marBottom w:val="0"/>
                  <w:divBdr>
                    <w:top w:val="none" w:sz="0" w:space="0" w:color="auto"/>
                    <w:left w:val="none" w:sz="0" w:space="0" w:color="auto"/>
                    <w:bottom w:val="none" w:sz="0" w:space="0" w:color="auto"/>
                    <w:right w:val="none" w:sz="0" w:space="0" w:color="auto"/>
                  </w:divBdr>
                  <w:divsChild>
                    <w:div w:id="190190055">
                      <w:marLeft w:val="0"/>
                      <w:marRight w:val="0"/>
                      <w:marTop w:val="0"/>
                      <w:marBottom w:val="0"/>
                      <w:divBdr>
                        <w:top w:val="none" w:sz="0" w:space="0" w:color="auto"/>
                        <w:left w:val="none" w:sz="0" w:space="0" w:color="auto"/>
                        <w:bottom w:val="none" w:sz="0" w:space="0" w:color="auto"/>
                        <w:right w:val="none" w:sz="0" w:space="0" w:color="auto"/>
                      </w:divBdr>
                    </w:div>
                  </w:divsChild>
                </w:div>
                <w:div w:id="1498230307">
                  <w:marLeft w:val="0"/>
                  <w:marRight w:val="0"/>
                  <w:marTop w:val="0"/>
                  <w:marBottom w:val="0"/>
                  <w:divBdr>
                    <w:top w:val="none" w:sz="0" w:space="0" w:color="auto"/>
                    <w:left w:val="none" w:sz="0" w:space="0" w:color="auto"/>
                    <w:bottom w:val="none" w:sz="0" w:space="0" w:color="auto"/>
                    <w:right w:val="none" w:sz="0" w:space="0" w:color="auto"/>
                  </w:divBdr>
                  <w:divsChild>
                    <w:div w:id="516895543">
                      <w:marLeft w:val="0"/>
                      <w:marRight w:val="0"/>
                      <w:marTop w:val="0"/>
                      <w:marBottom w:val="0"/>
                      <w:divBdr>
                        <w:top w:val="none" w:sz="0" w:space="0" w:color="auto"/>
                        <w:left w:val="none" w:sz="0" w:space="0" w:color="auto"/>
                        <w:bottom w:val="none" w:sz="0" w:space="0" w:color="auto"/>
                        <w:right w:val="none" w:sz="0" w:space="0" w:color="auto"/>
                      </w:divBdr>
                    </w:div>
                  </w:divsChild>
                </w:div>
                <w:div w:id="1501579858">
                  <w:marLeft w:val="0"/>
                  <w:marRight w:val="0"/>
                  <w:marTop w:val="0"/>
                  <w:marBottom w:val="0"/>
                  <w:divBdr>
                    <w:top w:val="none" w:sz="0" w:space="0" w:color="auto"/>
                    <w:left w:val="none" w:sz="0" w:space="0" w:color="auto"/>
                    <w:bottom w:val="none" w:sz="0" w:space="0" w:color="auto"/>
                    <w:right w:val="none" w:sz="0" w:space="0" w:color="auto"/>
                  </w:divBdr>
                  <w:divsChild>
                    <w:div w:id="1128819828">
                      <w:marLeft w:val="0"/>
                      <w:marRight w:val="0"/>
                      <w:marTop w:val="0"/>
                      <w:marBottom w:val="0"/>
                      <w:divBdr>
                        <w:top w:val="none" w:sz="0" w:space="0" w:color="auto"/>
                        <w:left w:val="none" w:sz="0" w:space="0" w:color="auto"/>
                        <w:bottom w:val="none" w:sz="0" w:space="0" w:color="auto"/>
                        <w:right w:val="none" w:sz="0" w:space="0" w:color="auto"/>
                      </w:divBdr>
                    </w:div>
                  </w:divsChild>
                </w:div>
                <w:div w:id="1524585736">
                  <w:marLeft w:val="0"/>
                  <w:marRight w:val="0"/>
                  <w:marTop w:val="0"/>
                  <w:marBottom w:val="0"/>
                  <w:divBdr>
                    <w:top w:val="none" w:sz="0" w:space="0" w:color="auto"/>
                    <w:left w:val="none" w:sz="0" w:space="0" w:color="auto"/>
                    <w:bottom w:val="none" w:sz="0" w:space="0" w:color="auto"/>
                    <w:right w:val="none" w:sz="0" w:space="0" w:color="auto"/>
                  </w:divBdr>
                  <w:divsChild>
                    <w:div w:id="1312252604">
                      <w:marLeft w:val="0"/>
                      <w:marRight w:val="0"/>
                      <w:marTop w:val="0"/>
                      <w:marBottom w:val="0"/>
                      <w:divBdr>
                        <w:top w:val="none" w:sz="0" w:space="0" w:color="auto"/>
                        <w:left w:val="none" w:sz="0" w:space="0" w:color="auto"/>
                        <w:bottom w:val="none" w:sz="0" w:space="0" w:color="auto"/>
                        <w:right w:val="none" w:sz="0" w:space="0" w:color="auto"/>
                      </w:divBdr>
                    </w:div>
                  </w:divsChild>
                </w:div>
                <w:div w:id="1527405480">
                  <w:marLeft w:val="0"/>
                  <w:marRight w:val="0"/>
                  <w:marTop w:val="0"/>
                  <w:marBottom w:val="0"/>
                  <w:divBdr>
                    <w:top w:val="none" w:sz="0" w:space="0" w:color="auto"/>
                    <w:left w:val="none" w:sz="0" w:space="0" w:color="auto"/>
                    <w:bottom w:val="none" w:sz="0" w:space="0" w:color="auto"/>
                    <w:right w:val="none" w:sz="0" w:space="0" w:color="auto"/>
                  </w:divBdr>
                  <w:divsChild>
                    <w:div w:id="767580172">
                      <w:marLeft w:val="0"/>
                      <w:marRight w:val="0"/>
                      <w:marTop w:val="0"/>
                      <w:marBottom w:val="0"/>
                      <w:divBdr>
                        <w:top w:val="none" w:sz="0" w:space="0" w:color="auto"/>
                        <w:left w:val="none" w:sz="0" w:space="0" w:color="auto"/>
                        <w:bottom w:val="none" w:sz="0" w:space="0" w:color="auto"/>
                        <w:right w:val="none" w:sz="0" w:space="0" w:color="auto"/>
                      </w:divBdr>
                    </w:div>
                  </w:divsChild>
                </w:div>
                <w:div w:id="1539125942">
                  <w:marLeft w:val="0"/>
                  <w:marRight w:val="0"/>
                  <w:marTop w:val="0"/>
                  <w:marBottom w:val="0"/>
                  <w:divBdr>
                    <w:top w:val="none" w:sz="0" w:space="0" w:color="auto"/>
                    <w:left w:val="none" w:sz="0" w:space="0" w:color="auto"/>
                    <w:bottom w:val="none" w:sz="0" w:space="0" w:color="auto"/>
                    <w:right w:val="none" w:sz="0" w:space="0" w:color="auto"/>
                  </w:divBdr>
                  <w:divsChild>
                    <w:div w:id="2080714170">
                      <w:marLeft w:val="0"/>
                      <w:marRight w:val="0"/>
                      <w:marTop w:val="0"/>
                      <w:marBottom w:val="0"/>
                      <w:divBdr>
                        <w:top w:val="none" w:sz="0" w:space="0" w:color="auto"/>
                        <w:left w:val="none" w:sz="0" w:space="0" w:color="auto"/>
                        <w:bottom w:val="none" w:sz="0" w:space="0" w:color="auto"/>
                        <w:right w:val="none" w:sz="0" w:space="0" w:color="auto"/>
                      </w:divBdr>
                    </w:div>
                  </w:divsChild>
                </w:div>
                <w:div w:id="1543445058">
                  <w:marLeft w:val="0"/>
                  <w:marRight w:val="0"/>
                  <w:marTop w:val="0"/>
                  <w:marBottom w:val="0"/>
                  <w:divBdr>
                    <w:top w:val="none" w:sz="0" w:space="0" w:color="auto"/>
                    <w:left w:val="none" w:sz="0" w:space="0" w:color="auto"/>
                    <w:bottom w:val="none" w:sz="0" w:space="0" w:color="auto"/>
                    <w:right w:val="none" w:sz="0" w:space="0" w:color="auto"/>
                  </w:divBdr>
                  <w:divsChild>
                    <w:div w:id="434523033">
                      <w:marLeft w:val="0"/>
                      <w:marRight w:val="0"/>
                      <w:marTop w:val="0"/>
                      <w:marBottom w:val="0"/>
                      <w:divBdr>
                        <w:top w:val="none" w:sz="0" w:space="0" w:color="auto"/>
                        <w:left w:val="none" w:sz="0" w:space="0" w:color="auto"/>
                        <w:bottom w:val="none" w:sz="0" w:space="0" w:color="auto"/>
                        <w:right w:val="none" w:sz="0" w:space="0" w:color="auto"/>
                      </w:divBdr>
                    </w:div>
                  </w:divsChild>
                </w:div>
                <w:div w:id="1546873174">
                  <w:marLeft w:val="0"/>
                  <w:marRight w:val="0"/>
                  <w:marTop w:val="0"/>
                  <w:marBottom w:val="0"/>
                  <w:divBdr>
                    <w:top w:val="none" w:sz="0" w:space="0" w:color="auto"/>
                    <w:left w:val="none" w:sz="0" w:space="0" w:color="auto"/>
                    <w:bottom w:val="none" w:sz="0" w:space="0" w:color="auto"/>
                    <w:right w:val="none" w:sz="0" w:space="0" w:color="auto"/>
                  </w:divBdr>
                  <w:divsChild>
                    <w:div w:id="1052729900">
                      <w:marLeft w:val="0"/>
                      <w:marRight w:val="0"/>
                      <w:marTop w:val="0"/>
                      <w:marBottom w:val="0"/>
                      <w:divBdr>
                        <w:top w:val="none" w:sz="0" w:space="0" w:color="auto"/>
                        <w:left w:val="none" w:sz="0" w:space="0" w:color="auto"/>
                        <w:bottom w:val="none" w:sz="0" w:space="0" w:color="auto"/>
                        <w:right w:val="none" w:sz="0" w:space="0" w:color="auto"/>
                      </w:divBdr>
                    </w:div>
                  </w:divsChild>
                </w:div>
                <w:div w:id="1556313990">
                  <w:marLeft w:val="0"/>
                  <w:marRight w:val="0"/>
                  <w:marTop w:val="0"/>
                  <w:marBottom w:val="0"/>
                  <w:divBdr>
                    <w:top w:val="none" w:sz="0" w:space="0" w:color="auto"/>
                    <w:left w:val="none" w:sz="0" w:space="0" w:color="auto"/>
                    <w:bottom w:val="none" w:sz="0" w:space="0" w:color="auto"/>
                    <w:right w:val="none" w:sz="0" w:space="0" w:color="auto"/>
                  </w:divBdr>
                  <w:divsChild>
                    <w:div w:id="289749162">
                      <w:marLeft w:val="0"/>
                      <w:marRight w:val="0"/>
                      <w:marTop w:val="0"/>
                      <w:marBottom w:val="0"/>
                      <w:divBdr>
                        <w:top w:val="none" w:sz="0" w:space="0" w:color="auto"/>
                        <w:left w:val="none" w:sz="0" w:space="0" w:color="auto"/>
                        <w:bottom w:val="none" w:sz="0" w:space="0" w:color="auto"/>
                        <w:right w:val="none" w:sz="0" w:space="0" w:color="auto"/>
                      </w:divBdr>
                    </w:div>
                  </w:divsChild>
                </w:div>
                <w:div w:id="1574857276">
                  <w:marLeft w:val="0"/>
                  <w:marRight w:val="0"/>
                  <w:marTop w:val="0"/>
                  <w:marBottom w:val="0"/>
                  <w:divBdr>
                    <w:top w:val="none" w:sz="0" w:space="0" w:color="auto"/>
                    <w:left w:val="none" w:sz="0" w:space="0" w:color="auto"/>
                    <w:bottom w:val="none" w:sz="0" w:space="0" w:color="auto"/>
                    <w:right w:val="none" w:sz="0" w:space="0" w:color="auto"/>
                  </w:divBdr>
                  <w:divsChild>
                    <w:div w:id="1814639659">
                      <w:marLeft w:val="0"/>
                      <w:marRight w:val="0"/>
                      <w:marTop w:val="0"/>
                      <w:marBottom w:val="0"/>
                      <w:divBdr>
                        <w:top w:val="none" w:sz="0" w:space="0" w:color="auto"/>
                        <w:left w:val="none" w:sz="0" w:space="0" w:color="auto"/>
                        <w:bottom w:val="none" w:sz="0" w:space="0" w:color="auto"/>
                        <w:right w:val="none" w:sz="0" w:space="0" w:color="auto"/>
                      </w:divBdr>
                    </w:div>
                  </w:divsChild>
                </w:div>
                <w:div w:id="1589340329">
                  <w:marLeft w:val="0"/>
                  <w:marRight w:val="0"/>
                  <w:marTop w:val="0"/>
                  <w:marBottom w:val="0"/>
                  <w:divBdr>
                    <w:top w:val="none" w:sz="0" w:space="0" w:color="auto"/>
                    <w:left w:val="none" w:sz="0" w:space="0" w:color="auto"/>
                    <w:bottom w:val="none" w:sz="0" w:space="0" w:color="auto"/>
                    <w:right w:val="none" w:sz="0" w:space="0" w:color="auto"/>
                  </w:divBdr>
                  <w:divsChild>
                    <w:div w:id="785730611">
                      <w:marLeft w:val="0"/>
                      <w:marRight w:val="0"/>
                      <w:marTop w:val="0"/>
                      <w:marBottom w:val="0"/>
                      <w:divBdr>
                        <w:top w:val="none" w:sz="0" w:space="0" w:color="auto"/>
                        <w:left w:val="none" w:sz="0" w:space="0" w:color="auto"/>
                        <w:bottom w:val="none" w:sz="0" w:space="0" w:color="auto"/>
                        <w:right w:val="none" w:sz="0" w:space="0" w:color="auto"/>
                      </w:divBdr>
                    </w:div>
                  </w:divsChild>
                </w:div>
                <w:div w:id="1593201266">
                  <w:marLeft w:val="0"/>
                  <w:marRight w:val="0"/>
                  <w:marTop w:val="0"/>
                  <w:marBottom w:val="0"/>
                  <w:divBdr>
                    <w:top w:val="none" w:sz="0" w:space="0" w:color="auto"/>
                    <w:left w:val="none" w:sz="0" w:space="0" w:color="auto"/>
                    <w:bottom w:val="none" w:sz="0" w:space="0" w:color="auto"/>
                    <w:right w:val="none" w:sz="0" w:space="0" w:color="auto"/>
                  </w:divBdr>
                  <w:divsChild>
                    <w:div w:id="1620409882">
                      <w:marLeft w:val="0"/>
                      <w:marRight w:val="0"/>
                      <w:marTop w:val="0"/>
                      <w:marBottom w:val="0"/>
                      <w:divBdr>
                        <w:top w:val="none" w:sz="0" w:space="0" w:color="auto"/>
                        <w:left w:val="none" w:sz="0" w:space="0" w:color="auto"/>
                        <w:bottom w:val="none" w:sz="0" w:space="0" w:color="auto"/>
                        <w:right w:val="none" w:sz="0" w:space="0" w:color="auto"/>
                      </w:divBdr>
                    </w:div>
                  </w:divsChild>
                </w:div>
                <w:div w:id="1598903658">
                  <w:marLeft w:val="0"/>
                  <w:marRight w:val="0"/>
                  <w:marTop w:val="0"/>
                  <w:marBottom w:val="0"/>
                  <w:divBdr>
                    <w:top w:val="none" w:sz="0" w:space="0" w:color="auto"/>
                    <w:left w:val="none" w:sz="0" w:space="0" w:color="auto"/>
                    <w:bottom w:val="none" w:sz="0" w:space="0" w:color="auto"/>
                    <w:right w:val="none" w:sz="0" w:space="0" w:color="auto"/>
                  </w:divBdr>
                  <w:divsChild>
                    <w:div w:id="657612108">
                      <w:marLeft w:val="0"/>
                      <w:marRight w:val="0"/>
                      <w:marTop w:val="0"/>
                      <w:marBottom w:val="0"/>
                      <w:divBdr>
                        <w:top w:val="none" w:sz="0" w:space="0" w:color="auto"/>
                        <w:left w:val="none" w:sz="0" w:space="0" w:color="auto"/>
                        <w:bottom w:val="none" w:sz="0" w:space="0" w:color="auto"/>
                        <w:right w:val="none" w:sz="0" w:space="0" w:color="auto"/>
                      </w:divBdr>
                    </w:div>
                  </w:divsChild>
                </w:div>
                <w:div w:id="1605187971">
                  <w:marLeft w:val="0"/>
                  <w:marRight w:val="0"/>
                  <w:marTop w:val="0"/>
                  <w:marBottom w:val="0"/>
                  <w:divBdr>
                    <w:top w:val="none" w:sz="0" w:space="0" w:color="auto"/>
                    <w:left w:val="none" w:sz="0" w:space="0" w:color="auto"/>
                    <w:bottom w:val="none" w:sz="0" w:space="0" w:color="auto"/>
                    <w:right w:val="none" w:sz="0" w:space="0" w:color="auto"/>
                  </w:divBdr>
                  <w:divsChild>
                    <w:div w:id="1044912919">
                      <w:marLeft w:val="0"/>
                      <w:marRight w:val="0"/>
                      <w:marTop w:val="0"/>
                      <w:marBottom w:val="0"/>
                      <w:divBdr>
                        <w:top w:val="none" w:sz="0" w:space="0" w:color="auto"/>
                        <w:left w:val="none" w:sz="0" w:space="0" w:color="auto"/>
                        <w:bottom w:val="none" w:sz="0" w:space="0" w:color="auto"/>
                        <w:right w:val="none" w:sz="0" w:space="0" w:color="auto"/>
                      </w:divBdr>
                    </w:div>
                  </w:divsChild>
                </w:div>
                <w:div w:id="1622496123">
                  <w:marLeft w:val="0"/>
                  <w:marRight w:val="0"/>
                  <w:marTop w:val="0"/>
                  <w:marBottom w:val="0"/>
                  <w:divBdr>
                    <w:top w:val="none" w:sz="0" w:space="0" w:color="auto"/>
                    <w:left w:val="none" w:sz="0" w:space="0" w:color="auto"/>
                    <w:bottom w:val="none" w:sz="0" w:space="0" w:color="auto"/>
                    <w:right w:val="none" w:sz="0" w:space="0" w:color="auto"/>
                  </w:divBdr>
                  <w:divsChild>
                    <w:div w:id="282883406">
                      <w:marLeft w:val="0"/>
                      <w:marRight w:val="0"/>
                      <w:marTop w:val="0"/>
                      <w:marBottom w:val="0"/>
                      <w:divBdr>
                        <w:top w:val="none" w:sz="0" w:space="0" w:color="auto"/>
                        <w:left w:val="none" w:sz="0" w:space="0" w:color="auto"/>
                        <w:bottom w:val="none" w:sz="0" w:space="0" w:color="auto"/>
                        <w:right w:val="none" w:sz="0" w:space="0" w:color="auto"/>
                      </w:divBdr>
                    </w:div>
                  </w:divsChild>
                </w:div>
                <w:div w:id="1636181683">
                  <w:marLeft w:val="0"/>
                  <w:marRight w:val="0"/>
                  <w:marTop w:val="0"/>
                  <w:marBottom w:val="0"/>
                  <w:divBdr>
                    <w:top w:val="none" w:sz="0" w:space="0" w:color="auto"/>
                    <w:left w:val="none" w:sz="0" w:space="0" w:color="auto"/>
                    <w:bottom w:val="none" w:sz="0" w:space="0" w:color="auto"/>
                    <w:right w:val="none" w:sz="0" w:space="0" w:color="auto"/>
                  </w:divBdr>
                  <w:divsChild>
                    <w:div w:id="158234201">
                      <w:marLeft w:val="0"/>
                      <w:marRight w:val="0"/>
                      <w:marTop w:val="0"/>
                      <w:marBottom w:val="0"/>
                      <w:divBdr>
                        <w:top w:val="none" w:sz="0" w:space="0" w:color="auto"/>
                        <w:left w:val="none" w:sz="0" w:space="0" w:color="auto"/>
                        <w:bottom w:val="none" w:sz="0" w:space="0" w:color="auto"/>
                        <w:right w:val="none" w:sz="0" w:space="0" w:color="auto"/>
                      </w:divBdr>
                    </w:div>
                  </w:divsChild>
                </w:div>
                <w:div w:id="1690839671">
                  <w:marLeft w:val="0"/>
                  <w:marRight w:val="0"/>
                  <w:marTop w:val="0"/>
                  <w:marBottom w:val="0"/>
                  <w:divBdr>
                    <w:top w:val="none" w:sz="0" w:space="0" w:color="auto"/>
                    <w:left w:val="none" w:sz="0" w:space="0" w:color="auto"/>
                    <w:bottom w:val="none" w:sz="0" w:space="0" w:color="auto"/>
                    <w:right w:val="none" w:sz="0" w:space="0" w:color="auto"/>
                  </w:divBdr>
                  <w:divsChild>
                    <w:div w:id="605502000">
                      <w:marLeft w:val="0"/>
                      <w:marRight w:val="0"/>
                      <w:marTop w:val="0"/>
                      <w:marBottom w:val="0"/>
                      <w:divBdr>
                        <w:top w:val="none" w:sz="0" w:space="0" w:color="auto"/>
                        <w:left w:val="none" w:sz="0" w:space="0" w:color="auto"/>
                        <w:bottom w:val="none" w:sz="0" w:space="0" w:color="auto"/>
                        <w:right w:val="none" w:sz="0" w:space="0" w:color="auto"/>
                      </w:divBdr>
                    </w:div>
                  </w:divsChild>
                </w:div>
                <w:div w:id="1700665381">
                  <w:marLeft w:val="0"/>
                  <w:marRight w:val="0"/>
                  <w:marTop w:val="0"/>
                  <w:marBottom w:val="0"/>
                  <w:divBdr>
                    <w:top w:val="none" w:sz="0" w:space="0" w:color="auto"/>
                    <w:left w:val="none" w:sz="0" w:space="0" w:color="auto"/>
                    <w:bottom w:val="none" w:sz="0" w:space="0" w:color="auto"/>
                    <w:right w:val="none" w:sz="0" w:space="0" w:color="auto"/>
                  </w:divBdr>
                  <w:divsChild>
                    <w:div w:id="1804230725">
                      <w:marLeft w:val="0"/>
                      <w:marRight w:val="0"/>
                      <w:marTop w:val="0"/>
                      <w:marBottom w:val="0"/>
                      <w:divBdr>
                        <w:top w:val="none" w:sz="0" w:space="0" w:color="auto"/>
                        <w:left w:val="none" w:sz="0" w:space="0" w:color="auto"/>
                        <w:bottom w:val="none" w:sz="0" w:space="0" w:color="auto"/>
                        <w:right w:val="none" w:sz="0" w:space="0" w:color="auto"/>
                      </w:divBdr>
                    </w:div>
                  </w:divsChild>
                </w:div>
                <w:div w:id="1714307036">
                  <w:marLeft w:val="0"/>
                  <w:marRight w:val="0"/>
                  <w:marTop w:val="0"/>
                  <w:marBottom w:val="0"/>
                  <w:divBdr>
                    <w:top w:val="none" w:sz="0" w:space="0" w:color="auto"/>
                    <w:left w:val="none" w:sz="0" w:space="0" w:color="auto"/>
                    <w:bottom w:val="none" w:sz="0" w:space="0" w:color="auto"/>
                    <w:right w:val="none" w:sz="0" w:space="0" w:color="auto"/>
                  </w:divBdr>
                  <w:divsChild>
                    <w:div w:id="106850350">
                      <w:marLeft w:val="0"/>
                      <w:marRight w:val="0"/>
                      <w:marTop w:val="0"/>
                      <w:marBottom w:val="0"/>
                      <w:divBdr>
                        <w:top w:val="none" w:sz="0" w:space="0" w:color="auto"/>
                        <w:left w:val="none" w:sz="0" w:space="0" w:color="auto"/>
                        <w:bottom w:val="none" w:sz="0" w:space="0" w:color="auto"/>
                        <w:right w:val="none" w:sz="0" w:space="0" w:color="auto"/>
                      </w:divBdr>
                    </w:div>
                  </w:divsChild>
                </w:div>
                <w:div w:id="1747612424">
                  <w:marLeft w:val="0"/>
                  <w:marRight w:val="0"/>
                  <w:marTop w:val="0"/>
                  <w:marBottom w:val="0"/>
                  <w:divBdr>
                    <w:top w:val="none" w:sz="0" w:space="0" w:color="auto"/>
                    <w:left w:val="none" w:sz="0" w:space="0" w:color="auto"/>
                    <w:bottom w:val="none" w:sz="0" w:space="0" w:color="auto"/>
                    <w:right w:val="none" w:sz="0" w:space="0" w:color="auto"/>
                  </w:divBdr>
                  <w:divsChild>
                    <w:div w:id="654840916">
                      <w:marLeft w:val="0"/>
                      <w:marRight w:val="0"/>
                      <w:marTop w:val="0"/>
                      <w:marBottom w:val="0"/>
                      <w:divBdr>
                        <w:top w:val="none" w:sz="0" w:space="0" w:color="auto"/>
                        <w:left w:val="none" w:sz="0" w:space="0" w:color="auto"/>
                        <w:bottom w:val="none" w:sz="0" w:space="0" w:color="auto"/>
                        <w:right w:val="none" w:sz="0" w:space="0" w:color="auto"/>
                      </w:divBdr>
                    </w:div>
                  </w:divsChild>
                </w:div>
                <w:div w:id="1775397195">
                  <w:marLeft w:val="0"/>
                  <w:marRight w:val="0"/>
                  <w:marTop w:val="0"/>
                  <w:marBottom w:val="0"/>
                  <w:divBdr>
                    <w:top w:val="none" w:sz="0" w:space="0" w:color="auto"/>
                    <w:left w:val="none" w:sz="0" w:space="0" w:color="auto"/>
                    <w:bottom w:val="none" w:sz="0" w:space="0" w:color="auto"/>
                    <w:right w:val="none" w:sz="0" w:space="0" w:color="auto"/>
                  </w:divBdr>
                  <w:divsChild>
                    <w:div w:id="2038579688">
                      <w:marLeft w:val="0"/>
                      <w:marRight w:val="0"/>
                      <w:marTop w:val="0"/>
                      <w:marBottom w:val="0"/>
                      <w:divBdr>
                        <w:top w:val="none" w:sz="0" w:space="0" w:color="auto"/>
                        <w:left w:val="none" w:sz="0" w:space="0" w:color="auto"/>
                        <w:bottom w:val="none" w:sz="0" w:space="0" w:color="auto"/>
                        <w:right w:val="none" w:sz="0" w:space="0" w:color="auto"/>
                      </w:divBdr>
                    </w:div>
                  </w:divsChild>
                </w:div>
                <w:div w:id="1775981424">
                  <w:marLeft w:val="0"/>
                  <w:marRight w:val="0"/>
                  <w:marTop w:val="0"/>
                  <w:marBottom w:val="0"/>
                  <w:divBdr>
                    <w:top w:val="none" w:sz="0" w:space="0" w:color="auto"/>
                    <w:left w:val="none" w:sz="0" w:space="0" w:color="auto"/>
                    <w:bottom w:val="none" w:sz="0" w:space="0" w:color="auto"/>
                    <w:right w:val="none" w:sz="0" w:space="0" w:color="auto"/>
                  </w:divBdr>
                  <w:divsChild>
                    <w:div w:id="1366716527">
                      <w:marLeft w:val="0"/>
                      <w:marRight w:val="0"/>
                      <w:marTop w:val="0"/>
                      <w:marBottom w:val="0"/>
                      <w:divBdr>
                        <w:top w:val="none" w:sz="0" w:space="0" w:color="auto"/>
                        <w:left w:val="none" w:sz="0" w:space="0" w:color="auto"/>
                        <w:bottom w:val="none" w:sz="0" w:space="0" w:color="auto"/>
                        <w:right w:val="none" w:sz="0" w:space="0" w:color="auto"/>
                      </w:divBdr>
                    </w:div>
                  </w:divsChild>
                </w:div>
                <w:div w:id="1776712200">
                  <w:marLeft w:val="0"/>
                  <w:marRight w:val="0"/>
                  <w:marTop w:val="0"/>
                  <w:marBottom w:val="0"/>
                  <w:divBdr>
                    <w:top w:val="none" w:sz="0" w:space="0" w:color="auto"/>
                    <w:left w:val="none" w:sz="0" w:space="0" w:color="auto"/>
                    <w:bottom w:val="none" w:sz="0" w:space="0" w:color="auto"/>
                    <w:right w:val="none" w:sz="0" w:space="0" w:color="auto"/>
                  </w:divBdr>
                  <w:divsChild>
                    <w:div w:id="1855193431">
                      <w:marLeft w:val="0"/>
                      <w:marRight w:val="0"/>
                      <w:marTop w:val="0"/>
                      <w:marBottom w:val="0"/>
                      <w:divBdr>
                        <w:top w:val="none" w:sz="0" w:space="0" w:color="auto"/>
                        <w:left w:val="none" w:sz="0" w:space="0" w:color="auto"/>
                        <w:bottom w:val="none" w:sz="0" w:space="0" w:color="auto"/>
                        <w:right w:val="none" w:sz="0" w:space="0" w:color="auto"/>
                      </w:divBdr>
                    </w:div>
                  </w:divsChild>
                </w:div>
                <w:div w:id="1778793913">
                  <w:marLeft w:val="0"/>
                  <w:marRight w:val="0"/>
                  <w:marTop w:val="0"/>
                  <w:marBottom w:val="0"/>
                  <w:divBdr>
                    <w:top w:val="none" w:sz="0" w:space="0" w:color="auto"/>
                    <w:left w:val="none" w:sz="0" w:space="0" w:color="auto"/>
                    <w:bottom w:val="none" w:sz="0" w:space="0" w:color="auto"/>
                    <w:right w:val="none" w:sz="0" w:space="0" w:color="auto"/>
                  </w:divBdr>
                  <w:divsChild>
                    <w:div w:id="93135153">
                      <w:marLeft w:val="0"/>
                      <w:marRight w:val="0"/>
                      <w:marTop w:val="0"/>
                      <w:marBottom w:val="0"/>
                      <w:divBdr>
                        <w:top w:val="none" w:sz="0" w:space="0" w:color="auto"/>
                        <w:left w:val="none" w:sz="0" w:space="0" w:color="auto"/>
                        <w:bottom w:val="none" w:sz="0" w:space="0" w:color="auto"/>
                        <w:right w:val="none" w:sz="0" w:space="0" w:color="auto"/>
                      </w:divBdr>
                    </w:div>
                  </w:divsChild>
                </w:div>
                <w:div w:id="1803502120">
                  <w:marLeft w:val="0"/>
                  <w:marRight w:val="0"/>
                  <w:marTop w:val="0"/>
                  <w:marBottom w:val="0"/>
                  <w:divBdr>
                    <w:top w:val="none" w:sz="0" w:space="0" w:color="auto"/>
                    <w:left w:val="none" w:sz="0" w:space="0" w:color="auto"/>
                    <w:bottom w:val="none" w:sz="0" w:space="0" w:color="auto"/>
                    <w:right w:val="none" w:sz="0" w:space="0" w:color="auto"/>
                  </w:divBdr>
                  <w:divsChild>
                    <w:div w:id="1230187272">
                      <w:marLeft w:val="0"/>
                      <w:marRight w:val="0"/>
                      <w:marTop w:val="0"/>
                      <w:marBottom w:val="0"/>
                      <w:divBdr>
                        <w:top w:val="none" w:sz="0" w:space="0" w:color="auto"/>
                        <w:left w:val="none" w:sz="0" w:space="0" w:color="auto"/>
                        <w:bottom w:val="none" w:sz="0" w:space="0" w:color="auto"/>
                        <w:right w:val="none" w:sz="0" w:space="0" w:color="auto"/>
                      </w:divBdr>
                    </w:div>
                  </w:divsChild>
                </w:div>
                <w:div w:id="1804423040">
                  <w:marLeft w:val="0"/>
                  <w:marRight w:val="0"/>
                  <w:marTop w:val="0"/>
                  <w:marBottom w:val="0"/>
                  <w:divBdr>
                    <w:top w:val="none" w:sz="0" w:space="0" w:color="auto"/>
                    <w:left w:val="none" w:sz="0" w:space="0" w:color="auto"/>
                    <w:bottom w:val="none" w:sz="0" w:space="0" w:color="auto"/>
                    <w:right w:val="none" w:sz="0" w:space="0" w:color="auto"/>
                  </w:divBdr>
                  <w:divsChild>
                    <w:div w:id="1494222341">
                      <w:marLeft w:val="0"/>
                      <w:marRight w:val="0"/>
                      <w:marTop w:val="0"/>
                      <w:marBottom w:val="0"/>
                      <w:divBdr>
                        <w:top w:val="none" w:sz="0" w:space="0" w:color="auto"/>
                        <w:left w:val="none" w:sz="0" w:space="0" w:color="auto"/>
                        <w:bottom w:val="none" w:sz="0" w:space="0" w:color="auto"/>
                        <w:right w:val="none" w:sz="0" w:space="0" w:color="auto"/>
                      </w:divBdr>
                    </w:div>
                  </w:divsChild>
                </w:div>
                <w:div w:id="1818261936">
                  <w:marLeft w:val="0"/>
                  <w:marRight w:val="0"/>
                  <w:marTop w:val="0"/>
                  <w:marBottom w:val="0"/>
                  <w:divBdr>
                    <w:top w:val="none" w:sz="0" w:space="0" w:color="auto"/>
                    <w:left w:val="none" w:sz="0" w:space="0" w:color="auto"/>
                    <w:bottom w:val="none" w:sz="0" w:space="0" w:color="auto"/>
                    <w:right w:val="none" w:sz="0" w:space="0" w:color="auto"/>
                  </w:divBdr>
                  <w:divsChild>
                    <w:div w:id="98718829">
                      <w:marLeft w:val="0"/>
                      <w:marRight w:val="0"/>
                      <w:marTop w:val="0"/>
                      <w:marBottom w:val="0"/>
                      <w:divBdr>
                        <w:top w:val="none" w:sz="0" w:space="0" w:color="auto"/>
                        <w:left w:val="none" w:sz="0" w:space="0" w:color="auto"/>
                        <w:bottom w:val="none" w:sz="0" w:space="0" w:color="auto"/>
                        <w:right w:val="none" w:sz="0" w:space="0" w:color="auto"/>
                      </w:divBdr>
                    </w:div>
                  </w:divsChild>
                </w:div>
                <w:div w:id="1828666025">
                  <w:marLeft w:val="0"/>
                  <w:marRight w:val="0"/>
                  <w:marTop w:val="0"/>
                  <w:marBottom w:val="0"/>
                  <w:divBdr>
                    <w:top w:val="none" w:sz="0" w:space="0" w:color="auto"/>
                    <w:left w:val="none" w:sz="0" w:space="0" w:color="auto"/>
                    <w:bottom w:val="none" w:sz="0" w:space="0" w:color="auto"/>
                    <w:right w:val="none" w:sz="0" w:space="0" w:color="auto"/>
                  </w:divBdr>
                  <w:divsChild>
                    <w:div w:id="1097943408">
                      <w:marLeft w:val="0"/>
                      <w:marRight w:val="0"/>
                      <w:marTop w:val="0"/>
                      <w:marBottom w:val="0"/>
                      <w:divBdr>
                        <w:top w:val="none" w:sz="0" w:space="0" w:color="auto"/>
                        <w:left w:val="none" w:sz="0" w:space="0" w:color="auto"/>
                        <w:bottom w:val="none" w:sz="0" w:space="0" w:color="auto"/>
                        <w:right w:val="none" w:sz="0" w:space="0" w:color="auto"/>
                      </w:divBdr>
                    </w:div>
                  </w:divsChild>
                </w:div>
                <w:div w:id="1829905654">
                  <w:marLeft w:val="0"/>
                  <w:marRight w:val="0"/>
                  <w:marTop w:val="0"/>
                  <w:marBottom w:val="0"/>
                  <w:divBdr>
                    <w:top w:val="none" w:sz="0" w:space="0" w:color="auto"/>
                    <w:left w:val="none" w:sz="0" w:space="0" w:color="auto"/>
                    <w:bottom w:val="none" w:sz="0" w:space="0" w:color="auto"/>
                    <w:right w:val="none" w:sz="0" w:space="0" w:color="auto"/>
                  </w:divBdr>
                  <w:divsChild>
                    <w:div w:id="1333723939">
                      <w:marLeft w:val="0"/>
                      <w:marRight w:val="0"/>
                      <w:marTop w:val="0"/>
                      <w:marBottom w:val="0"/>
                      <w:divBdr>
                        <w:top w:val="none" w:sz="0" w:space="0" w:color="auto"/>
                        <w:left w:val="none" w:sz="0" w:space="0" w:color="auto"/>
                        <w:bottom w:val="none" w:sz="0" w:space="0" w:color="auto"/>
                        <w:right w:val="none" w:sz="0" w:space="0" w:color="auto"/>
                      </w:divBdr>
                    </w:div>
                  </w:divsChild>
                </w:div>
                <w:div w:id="1831553106">
                  <w:marLeft w:val="0"/>
                  <w:marRight w:val="0"/>
                  <w:marTop w:val="0"/>
                  <w:marBottom w:val="0"/>
                  <w:divBdr>
                    <w:top w:val="none" w:sz="0" w:space="0" w:color="auto"/>
                    <w:left w:val="none" w:sz="0" w:space="0" w:color="auto"/>
                    <w:bottom w:val="none" w:sz="0" w:space="0" w:color="auto"/>
                    <w:right w:val="none" w:sz="0" w:space="0" w:color="auto"/>
                  </w:divBdr>
                  <w:divsChild>
                    <w:div w:id="1981812263">
                      <w:marLeft w:val="0"/>
                      <w:marRight w:val="0"/>
                      <w:marTop w:val="0"/>
                      <w:marBottom w:val="0"/>
                      <w:divBdr>
                        <w:top w:val="none" w:sz="0" w:space="0" w:color="auto"/>
                        <w:left w:val="none" w:sz="0" w:space="0" w:color="auto"/>
                        <w:bottom w:val="none" w:sz="0" w:space="0" w:color="auto"/>
                        <w:right w:val="none" w:sz="0" w:space="0" w:color="auto"/>
                      </w:divBdr>
                    </w:div>
                  </w:divsChild>
                </w:div>
                <w:div w:id="1848639975">
                  <w:marLeft w:val="0"/>
                  <w:marRight w:val="0"/>
                  <w:marTop w:val="0"/>
                  <w:marBottom w:val="0"/>
                  <w:divBdr>
                    <w:top w:val="none" w:sz="0" w:space="0" w:color="auto"/>
                    <w:left w:val="none" w:sz="0" w:space="0" w:color="auto"/>
                    <w:bottom w:val="none" w:sz="0" w:space="0" w:color="auto"/>
                    <w:right w:val="none" w:sz="0" w:space="0" w:color="auto"/>
                  </w:divBdr>
                  <w:divsChild>
                    <w:div w:id="2030905476">
                      <w:marLeft w:val="0"/>
                      <w:marRight w:val="0"/>
                      <w:marTop w:val="0"/>
                      <w:marBottom w:val="0"/>
                      <w:divBdr>
                        <w:top w:val="none" w:sz="0" w:space="0" w:color="auto"/>
                        <w:left w:val="none" w:sz="0" w:space="0" w:color="auto"/>
                        <w:bottom w:val="none" w:sz="0" w:space="0" w:color="auto"/>
                        <w:right w:val="none" w:sz="0" w:space="0" w:color="auto"/>
                      </w:divBdr>
                    </w:div>
                  </w:divsChild>
                </w:div>
                <w:div w:id="1849952442">
                  <w:marLeft w:val="0"/>
                  <w:marRight w:val="0"/>
                  <w:marTop w:val="0"/>
                  <w:marBottom w:val="0"/>
                  <w:divBdr>
                    <w:top w:val="none" w:sz="0" w:space="0" w:color="auto"/>
                    <w:left w:val="none" w:sz="0" w:space="0" w:color="auto"/>
                    <w:bottom w:val="none" w:sz="0" w:space="0" w:color="auto"/>
                    <w:right w:val="none" w:sz="0" w:space="0" w:color="auto"/>
                  </w:divBdr>
                  <w:divsChild>
                    <w:div w:id="775636516">
                      <w:marLeft w:val="0"/>
                      <w:marRight w:val="0"/>
                      <w:marTop w:val="0"/>
                      <w:marBottom w:val="0"/>
                      <w:divBdr>
                        <w:top w:val="none" w:sz="0" w:space="0" w:color="auto"/>
                        <w:left w:val="none" w:sz="0" w:space="0" w:color="auto"/>
                        <w:bottom w:val="none" w:sz="0" w:space="0" w:color="auto"/>
                        <w:right w:val="none" w:sz="0" w:space="0" w:color="auto"/>
                      </w:divBdr>
                    </w:div>
                  </w:divsChild>
                </w:div>
                <w:div w:id="1871717632">
                  <w:marLeft w:val="0"/>
                  <w:marRight w:val="0"/>
                  <w:marTop w:val="0"/>
                  <w:marBottom w:val="0"/>
                  <w:divBdr>
                    <w:top w:val="none" w:sz="0" w:space="0" w:color="auto"/>
                    <w:left w:val="none" w:sz="0" w:space="0" w:color="auto"/>
                    <w:bottom w:val="none" w:sz="0" w:space="0" w:color="auto"/>
                    <w:right w:val="none" w:sz="0" w:space="0" w:color="auto"/>
                  </w:divBdr>
                  <w:divsChild>
                    <w:div w:id="937182306">
                      <w:marLeft w:val="0"/>
                      <w:marRight w:val="0"/>
                      <w:marTop w:val="0"/>
                      <w:marBottom w:val="0"/>
                      <w:divBdr>
                        <w:top w:val="none" w:sz="0" w:space="0" w:color="auto"/>
                        <w:left w:val="none" w:sz="0" w:space="0" w:color="auto"/>
                        <w:bottom w:val="none" w:sz="0" w:space="0" w:color="auto"/>
                        <w:right w:val="none" w:sz="0" w:space="0" w:color="auto"/>
                      </w:divBdr>
                    </w:div>
                  </w:divsChild>
                </w:div>
                <w:div w:id="1888489296">
                  <w:marLeft w:val="0"/>
                  <w:marRight w:val="0"/>
                  <w:marTop w:val="0"/>
                  <w:marBottom w:val="0"/>
                  <w:divBdr>
                    <w:top w:val="none" w:sz="0" w:space="0" w:color="auto"/>
                    <w:left w:val="none" w:sz="0" w:space="0" w:color="auto"/>
                    <w:bottom w:val="none" w:sz="0" w:space="0" w:color="auto"/>
                    <w:right w:val="none" w:sz="0" w:space="0" w:color="auto"/>
                  </w:divBdr>
                  <w:divsChild>
                    <w:div w:id="1388870738">
                      <w:marLeft w:val="0"/>
                      <w:marRight w:val="0"/>
                      <w:marTop w:val="0"/>
                      <w:marBottom w:val="0"/>
                      <w:divBdr>
                        <w:top w:val="none" w:sz="0" w:space="0" w:color="auto"/>
                        <w:left w:val="none" w:sz="0" w:space="0" w:color="auto"/>
                        <w:bottom w:val="none" w:sz="0" w:space="0" w:color="auto"/>
                        <w:right w:val="none" w:sz="0" w:space="0" w:color="auto"/>
                      </w:divBdr>
                    </w:div>
                  </w:divsChild>
                </w:div>
                <w:div w:id="1921791959">
                  <w:marLeft w:val="0"/>
                  <w:marRight w:val="0"/>
                  <w:marTop w:val="0"/>
                  <w:marBottom w:val="0"/>
                  <w:divBdr>
                    <w:top w:val="none" w:sz="0" w:space="0" w:color="auto"/>
                    <w:left w:val="none" w:sz="0" w:space="0" w:color="auto"/>
                    <w:bottom w:val="none" w:sz="0" w:space="0" w:color="auto"/>
                    <w:right w:val="none" w:sz="0" w:space="0" w:color="auto"/>
                  </w:divBdr>
                  <w:divsChild>
                    <w:div w:id="1073086617">
                      <w:marLeft w:val="0"/>
                      <w:marRight w:val="0"/>
                      <w:marTop w:val="0"/>
                      <w:marBottom w:val="0"/>
                      <w:divBdr>
                        <w:top w:val="none" w:sz="0" w:space="0" w:color="auto"/>
                        <w:left w:val="none" w:sz="0" w:space="0" w:color="auto"/>
                        <w:bottom w:val="none" w:sz="0" w:space="0" w:color="auto"/>
                        <w:right w:val="none" w:sz="0" w:space="0" w:color="auto"/>
                      </w:divBdr>
                    </w:div>
                  </w:divsChild>
                </w:div>
                <w:div w:id="1932546324">
                  <w:marLeft w:val="0"/>
                  <w:marRight w:val="0"/>
                  <w:marTop w:val="0"/>
                  <w:marBottom w:val="0"/>
                  <w:divBdr>
                    <w:top w:val="none" w:sz="0" w:space="0" w:color="auto"/>
                    <w:left w:val="none" w:sz="0" w:space="0" w:color="auto"/>
                    <w:bottom w:val="none" w:sz="0" w:space="0" w:color="auto"/>
                    <w:right w:val="none" w:sz="0" w:space="0" w:color="auto"/>
                  </w:divBdr>
                  <w:divsChild>
                    <w:div w:id="1485469500">
                      <w:marLeft w:val="0"/>
                      <w:marRight w:val="0"/>
                      <w:marTop w:val="0"/>
                      <w:marBottom w:val="0"/>
                      <w:divBdr>
                        <w:top w:val="none" w:sz="0" w:space="0" w:color="auto"/>
                        <w:left w:val="none" w:sz="0" w:space="0" w:color="auto"/>
                        <w:bottom w:val="none" w:sz="0" w:space="0" w:color="auto"/>
                        <w:right w:val="none" w:sz="0" w:space="0" w:color="auto"/>
                      </w:divBdr>
                    </w:div>
                  </w:divsChild>
                </w:div>
                <w:div w:id="1933200242">
                  <w:marLeft w:val="0"/>
                  <w:marRight w:val="0"/>
                  <w:marTop w:val="0"/>
                  <w:marBottom w:val="0"/>
                  <w:divBdr>
                    <w:top w:val="none" w:sz="0" w:space="0" w:color="auto"/>
                    <w:left w:val="none" w:sz="0" w:space="0" w:color="auto"/>
                    <w:bottom w:val="none" w:sz="0" w:space="0" w:color="auto"/>
                    <w:right w:val="none" w:sz="0" w:space="0" w:color="auto"/>
                  </w:divBdr>
                  <w:divsChild>
                    <w:div w:id="462433072">
                      <w:marLeft w:val="0"/>
                      <w:marRight w:val="0"/>
                      <w:marTop w:val="0"/>
                      <w:marBottom w:val="0"/>
                      <w:divBdr>
                        <w:top w:val="none" w:sz="0" w:space="0" w:color="auto"/>
                        <w:left w:val="none" w:sz="0" w:space="0" w:color="auto"/>
                        <w:bottom w:val="none" w:sz="0" w:space="0" w:color="auto"/>
                        <w:right w:val="none" w:sz="0" w:space="0" w:color="auto"/>
                      </w:divBdr>
                    </w:div>
                  </w:divsChild>
                </w:div>
                <w:div w:id="1936398332">
                  <w:marLeft w:val="0"/>
                  <w:marRight w:val="0"/>
                  <w:marTop w:val="0"/>
                  <w:marBottom w:val="0"/>
                  <w:divBdr>
                    <w:top w:val="none" w:sz="0" w:space="0" w:color="auto"/>
                    <w:left w:val="none" w:sz="0" w:space="0" w:color="auto"/>
                    <w:bottom w:val="none" w:sz="0" w:space="0" w:color="auto"/>
                    <w:right w:val="none" w:sz="0" w:space="0" w:color="auto"/>
                  </w:divBdr>
                  <w:divsChild>
                    <w:div w:id="605309390">
                      <w:marLeft w:val="0"/>
                      <w:marRight w:val="0"/>
                      <w:marTop w:val="0"/>
                      <w:marBottom w:val="0"/>
                      <w:divBdr>
                        <w:top w:val="none" w:sz="0" w:space="0" w:color="auto"/>
                        <w:left w:val="none" w:sz="0" w:space="0" w:color="auto"/>
                        <w:bottom w:val="none" w:sz="0" w:space="0" w:color="auto"/>
                        <w:right w:val="none" w:sz="0" w:space="0" w:color="auto"/>
                      </w:divBdr>
                    </w:div>
                  </w:divsChild>
                </w:div>
                <w:div w:id="1942564451">
                  <w:marLeft w:val="0"/>
                  <w:marRight w:val="0"/>
                  <w:marTop w:val="0"/>
                  <w:marBottom w:val="0"/>
                  <w:divBdr>
                    <w:top w:val="none" w:sz="0" w:space="0" w:color="auto"/>
                    <w:left w:val="none" w:sz="0" w:space="0" w:color="auto"/>
                    <w:bottom w:val="none" w:sz="0" w:space="0" w:color="auto"/>
                    <w:right w:val="none" w:sz="0" w:space="0" w:color="auto"/>
                  </w:divBdr>
                  <w:divsChild>
                    <w:div w:id="1412703374">
                      <w:marLeft w:val="0"/>
                      <w:marRight w:val="0"/>
                      <w:marTop w:val="0"/>
                      <w:marBottom w:val="0"/>
                      <w:divBdr>
                        <w:top w:val="none" w:sz="0" w:space="0" w:color="auto"/>
                        <w:left w:val="none" w:sz="0" w:space="0" w:color="auto"/>
                        <w:bottom w:val="none" w:sz="0" w:space="0" w:color="auto"/>
                        <w:right w:val="none" w:sz="0" w:space="0" w:color="auto"/>
                      </w:divBdr>
                    </w:div>
                  </w:divsChild>
                </w:div>
                <w:div w:id="1992060260">
                  <w:marLeft w:val="0"/>
                  <w:marRight w:val="0"/>
                  <w:marTop w:val="0"/>
                  <w:marBottom w:val="0"/>
                  <w:divBdr>
                    <w:top w:val="none" w:sz="0" w:space="0" w:color="auto"/>
                    <w:left w:val="none" w:sz="0" w:space="0" w:color="auto"/>
                    <w:bottom w:val="none" w:sz="0" w:space="0" w:color="auto"/>
                    <w:right w:val="none" w:sz="0" w:space="0" w:color="auto"/>
                  </w:divBdr>
                  <w:divsChild>
                    <w:div w:id="2039157724">
                      <w:marLeft w:val="0"/>
                      <w:marRight w:val="0"/>
                      <w:marTop w:val="0"/>
                      <w:marBottom w:val="0"/>
                      <w:divBdr>
                        <w:top w:val="none" w:sz="0" w:space="0" w:color="auto"/>
                        <w:left w:val="none" w:sz="0" w:space="0" w:color="auto"/>
                        <w:bottom w:val="none" w:sz="0" w:space="0" w:color="auto"/>
                        <w:right w:val="none" w:sz="0" w:space="0" w:color="auto"/>
                      </w:divBdr>
                    </w:div>
                  </w:divsChild>
                </w:div>
                <w:div w:id="2008286520">
                  <w:marLeft w:val="0"/>
                  <w:marRight w:val="0"/>
                  <w:marTop w:val="0"/>
                  <w:marBottom w:val="0"/>
                  <w:divBdr>
                    <w:top w:val="none" w:sz="0" w:space="0" w:color="auto"/>
                    <w:left w:val="none" w:sz="0" w:space="0" w:color="auto"/>
                    <w:bottom w:val="none" w:sz="0" w:space="0" w:color="auto"/>
                    <w:right w:val="none" w:sz="0" w:space="0" w:color="auto"/>
                  </w:divBdr>
                  <w:divsChild>
                    <w:div w:id="1852913951">
                      <w:marLeft w:val="0"/>
                      <w:marRight w:val="0"/>
                      <w:marTop w:val="0"/>
                      <w:marBottom w:val="0"/>
                      <w:divBdr>
                        <w:top w:val="none" w:sz="0" w:space="0" w:color="auto"/>
                        <w:left w:val="none" w:sz="0" w:space="0" w:color="auto"/>
                        <w:bottom w:val="none" w:sz="0" w:space="0" w:color="auto"/>
                        <w:right w:val="none" w:sz="0" w:space="0" w:color="auto"/>
                      </w:divBdr>
                    </w:div>
                  </w:divsChild>
                </w:div>
                <w:div w:id="2020816216">
                  <w:marLeft w:val="0"/>
                  <w:marRight w:val="0"/>
                  <w:marTop w:val="0"/>
                  <w:marBottom w:val="0"/>
                  <w:divBdr>
                    <w:top w:val="none" w:sz="0" w:space="0" w:color="auto"/>
                    <w:left w:val="none" w:sz="0" w:space="0" w:color="auto"/>
                    <w:bottom w:val="none" w:sz="0" w:space="0" w:color="auto"/>
                    <w:right w:val="none" w:sz="0" w:space="0" w:color="auto"/>
                  </w:divBdr>
                  <w:divsChild>
                    <w:div w:id="610666563">
                      <w:marLeft w:val="0"/>
                      <w:marRight w:val="0"/>
                      <w:marTop w:val="0"/>
                      <w:marBottom w:val="0"/>
                      <w:divBdr>
                        <w:top w:val="none" w:sz="0" w:space="0" w:color="auto"/>
                        <w:left w:val="none" w:sz="0" w:space="0" w:color="auto"/>
                        <w:bottom w:val="none" w:sz="0" w:space="0" w:color="auto"/>
                        <w:right w:val="none" w:sz="0" w:space="0" w:color="auto"/>
                      </w:divBdr>
                    </w:div>
                  </w:divsChild>
                </w:div>
                <w:div w:id="2054646475">
                  <w:marLeft w:val="0"/>
                  <w:marRight w:val="0"/>
                  <w:marTop w:val="0"/>
                  <w:marBottom w:val="0"/>
                  <w:divBdr>
                    <w:top w:val="none" w:sz="0" w:space="0" w:color="auto"/>
                    <w:left w:val="none" w:sz="0" w:space="0" w:color="auto"/>
                    <w:bottom w:val="none" w:sz="0" w:space="0" w:color="auto"/>
                    <w:right w:val="none" w:sz="0" w:space="0" w:color="auto"/>
                  </w:divBdr>
                  <w:divsChild>
                    <w:div w:id="1346597135">
                      <w:marLeft w:val="0"/>
                      <w:marRight w:val="0"/>
                      <w:marTop w:val="0"/>
                      <w:marBottom w:val="0"/>
                      <w:divBdr>
                        <w:top w:val="none" w:sz="0" w:space="0" w:color="auto"/>
                        <w:left w:val="none" w:sz="0" w:space="0" w:color="auto"/>
                        <w:bottom w:val="none" w:sz="0" w:space="0" w:color="auto"/>
                        <w:right w:val="none" w:sz="0" w:space="0" w:color="auto"/>
                      </w:divBdr>
                    </w:div>
                  </w:divsChild>
                </w:div>
                <w:div w:id="2055303058">
                  <w:marLeft w:val="0"/>
                  <w:marRight w:val="0"/>
                  <w:marTop w:val="0"/>
                  <w:marBottom w:val="0"/>
                  <w:divBdr>
                    <w:top w:val="none" w:sz="0" w:space="0" w:color="auto"/>
                    <w:left w:val="none" w:sz="0" w:space="0" w:color="auto"/>
                    <w:bottom w:val="none" w:sz="0" w:space="0" w:color="auto"/>
                    <w:right w:val="none" w:sz="0" w:space="0" w:color="auto"/>
                  </w:divBdr>
                  <w:divsChild>
                    <w:div w:id="893538496">
                      <w:marLeft w:val="0"/>
                      <w:marRight w:val="0"/>
                      <w:marTop w:val="0"/>
                      <w:marBottom w:val="0"/>
                      <w:divBdr>
                        <w:top w:val="none" w:sz="0" w:space="0" w:color="auto"/>
                        <w:left w:val="none" w:sz="0" w:space="0" w:color="auto"/>
                        <w:bottom w:val="none" w:sz="0" w:space="0" w:color="auto"/>
                        <w:right w:val="none" w:sz="0" w:space="0" w:color="auto"/>
                      </w:divBdr>
                    </w:div>
                  </w:divsChild>
                </w:div>
                <w:div w:id="2056544171">
                  <w:marLeft w:val="0"/>
                  <w:marRight w:val="0"/>
                  <w:marTop w:val="0"/>
                  <w:marBottom w:val="0"/>
                  <w:divBdr>
                    <w:top w:val="none" w:sz="0" w:space="0" w:color="auto"/>
                    <w:left w:val="none" w:sz="0" w:space="0" w:color="auto"/>
                    <w:bottom w:val="none" w:sz="0" w:space="0" w:color="auto"/>
                    <w:right w:val="none" w:sz="0" w:space="0" w:color="auto"/>
                  </w:divBdr>
                  <w:divsChild>
                    <w:div w:id="412434830">
                      <w:marLeft w:val="0"/>
                      <w:marRight w:val="0"/>
                      <w:marTop w:val="0"/>
                      <w:marBottom w:val="0"/>
                      <w:divBdr>
                        <w:top w:val="none" w:sz="0" w:space="0" w:color="auto"/>
                        <w:left w:val="none" w:sz="0" w:space="0" w:color="auto"/>
                        <w:bottom w:val="none" w:sz="0" w:space="0" w:color="auto"/>
                        <w:right w:val="none" w:sz="0" w:space="0" w:color="auto"/>
                      </w:divBdr>
                    </w:div>
                  </w:divsChild>
                </w:div>
                <w:div w:id="2076200967">
                  <w:marLeft w:val="0"/>
                  <w:marRight w:val="0"/>
                  <w:marTop w:val="0"/>
                  <w:marBottom w:val="0"/>
                  <w:divBdr>
                    <w:top w:val="none" w:sz="0" w:space="0" w:color="auto"/>
                    <w:left w:val="none" w:sz="0" w:space="0" w:color="auto"/>
                    <w:bottom w:val="none" w:sz="0" w:space="0" w:color="auto"/>
                    <w:right w:val="none" w:sz="0" w:space="0" w:color="auto"/>
                  </w:divBdr>
                  <w:divsChild>
                    <w:div w:id="349524457">
                      <w:marLeft w:val="0"/>
                      <w:marRight w:val="0"/>
                      <w:marTop w:val="0"/>
                      <w:marBottom w:val="0"/>
                      <w:divBdr>
                        <w:top w:val="none" w:sz="0" w:space="0" w:color="auto"/>
                        <w:left w:val="none" w:sz="0" w:space="0" w:color="auto"/>
                        <w:bottom w:val="none" w:sz="0" w:space="0" w:color="auto"/>
                        <w:right w:val="none" w:sz="0" w:space="0" w:color="auto"/>
                      </w:divBdr>
                    </w:div>
                  </w:divsChild>
                </w:div>
                <w:div w:id="2109502493">
                  <w:marLeft w:val="0"/>
                  <w:marRight w:val="0"/>
                  <w:marTop w:val="0"/>
                  <w:marBottom w:val="0"/>
                  <w:divBdr>
                    <w:top w:val="none" w:sz="0" w:space="0" w:color="auto"/>
                    <w:left w:val="none" w:sz="0" w:space="0" w:color="auto"/>
                    <w:bottom w:val="none" w:sz="0" w:space="0" w:color="auto"/>
                    <w:right w:val="none" w:sz="0" w:space="0" w:color="auto"/>
                  </w:divBdr>
                  <w:divsChild>
                    <w:div w:id="1419598641">
                      <w:marLeft w:val="0"/>
                      <w:marRight w:val="0"/>
                      <w:marTop w:val="0"/>
                      <w:marBottom w:val="0"/>
                      <w:divBdr>
                        <w:top w:val="none" w:sz="0" w:space="0" w:color="auto"/>
                        <w:left w:val="none" w:sz="0" w:space="0" w:color="auto"/>
                        <w:bottom w:val="none" w:sz="0" w:space="0" w:color="auto"/>
                        <w:right w:val="none" w:sz="0" w:space="0" w:color="auto"/>
                      </w:divBdr>
                    </w:div>
                  </w:divsChild>
                </w:div>
                <w:div w:id="2115124275">
                  <w:marLeft w:val="0"/>
                  <w:marRight w:val="0"/>
                  <w:marTop w:val="0"/>
                  <w:marBottom w:val="0"/>
                  <w:divBdr>
                    <w:top w:val="none" w:sz="0" w:space="0" w:color="auto"/>
                    <w:left w:val="none" w:sz="0" w:space="0" w:color="auto"/>
                    <w:bottom w:val="none" w:sz="0" w:space="0" w:color="auto"/>
                    <w:right w:val="none" w:sz="0" w:space="0" w:color="auto"/>
                  </w:divBdr>
                  <w:divsChild>
                    <w:div w:id="59599069">
                      <w:marLeft w:val="0"/>
                      <w:marRight w:val="0"/>
                      <w:marTop w:val="0"/>
                      <w:marBottom w:val="0"/>
                      <w:divBdr>
                        <w:top w:val="none" w:sz="0" w:space="0" w:color="auto"/>
                        <w:left w:val="none" w:sz="0" w:space="0" w:color="auto"/>
                        <w:bottom w:val="none" w:sz="0" w:space="0" w:color="auto"/>
                        <w:right w:val="none" w:sz="0" w:space="0" w:color="auto"/>
                      </w:divBdr>
                    </w:div>
                  </w:divsChild>
                </w:div>
                <w:div w:id="2129351059">
                  <w:marLeft w:val="0"/>
                  <w:marRight w:val="0"/>
                  <w:marTop w:val="0"/>
                  <w:marBottom w:val="0"/>
                  <w:divBdr>
                    <w:top w:val="none" w:sz="0" w:space="0" w:color="auto"/>
                    <w:left w:val="none" w:sz="0" w:space="0" w:color="auto"/>
                    <w:bottom w:val="none" w:sz="0" w:space="0" w:color="auto"/>
                    <w:right w:val="none" w:sz="0" w:space="0" w:color="auto"/>
                  </w:divBdr>
                  <w:divsChild>
                    <w:div w:id="885683458">
                      <w:marLeft w:val="0"/>
                      <w:marRight w:val="0"/>
                      <w:marTop w:val="0"/>
                      <w:marBottom w:val="0"/>
                      <w:divBdr>
                        <w:top w:val="none" w:sz="0" w:space="0" w:color="auto"/>
                        <w:left w:val="none" w:sz="0" w:space="0" w:color="auto"/>
                        <w:bottom w:val="none" w:sz="0" w:space="0" w:color="auto"/>
                        <w:right w:val="none" w:sz="0" w:space="0" w:color="auto"/>
                      </w:divBdr>
                    </w:div>
                  </w:divsChild>
                </w:div>
                <w:div w:id="2146190671">
                  <w:marLeft w:val="0"/>
                  <w:marRight w:val="0"/>
                  <w:marTop w:val="0"/>
                  <w:marBottom w:val="0"/>
                  <w:divBdr>
                    <w:top w:val="none" w:sz="0" w:space="0" w:color="auto"/>
                    <w:left w:val="none" w:sz="0" w:space="0" w:color="auto"/>
                    <w:bottom w:val="none" w:sz="0" w:space="0" w:color="auto"/>
                    <w:right w:val="none" w:sz="0" w:space="0" w:color="auto"/>
                  </w:divBdr>
                  <w:divsChild>
                    <w:div w:id="71061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919721">
          <w:marLeft w:val="0"/>
          <w:marRight w:val="0"/>
          <w:marTop w:val="0"/>
          <w:marBottom w:val="0"/>
          <w:divBdr>
            <w:top w:val="none" w:sz="0" w:space="0" w:color="auto"/>
            <w:left w:val="none" w:sz="0" w:space="0" w:color="auto"/>
            <w:bottom w:val="none" w:sz="0" w:space="0" w:color="auto"/>
            <w:right w:val="none" w:sz="0" w:space="0" w:color="auto"/>
          </w:divBdr>
        </w:div>
      </w:divsChild>
    </w:div>
    <w:div w:id="1122042418">
      <w:bodyDiv w:val="1"/>
      <w:marLeft w:val="0"/>
      <w:marRight w:val="0"/>
      <w:marTop w:val="0"/>
      <w:marBottom w:val="0"/>
      <w:divBdr>
        <w:top w:val="none" w:sz="0" w:space="0" w:color="auto"/>
        <w:left w:val="none" w:sz="0" w:space="0" w:color="auto"/>
        <w:bottom w:val="none" w:sz="0" w:space="0" w:color="auto"/>
        <w:right w:val="none" w:sz="0" w:space="0" w:color="auto"/>
      </w:divBdr>
      <w:divsChild>
        <w:div w:id="1779444817">
          <w:marLeft w:val="0"/>
          <w:marRight w:val="30"/>
          <w:marTop w:val="0"/>
          <w:marBottom w:val="0"/>
          <w:divBdr>
            <w:top w:val="none" w:sz="0" w:space="0" w:color="auto"/>
            <w:left w:val="none" w:sz="0" w:space="0" w:color="auto"/>
            <w:bottom w:val="none" w:sz="0" w:space="0" w:color="auto"/>
            <w:right w:val="none" w:sz="0" w:space="0" w:color="auto"/>
          </w:divBdr>
          <w:divsChild>
            <w:div w:id="173736346">
              <w:marLeft w:val="0"/>
              <w:marRight w:val="0"/>
              <w:marTop w:val="0"/>
              <w:marBottom w:val="0"/>
              <w:divBdr>
                <w:top w:val="none" w:sz="0" w:space="0" w:color="auto"/>
                <w:left w:val="none" w:sz="0" w:space="0" w:color="auto"/>
                <w:bottom w:val="none" w:sz="0" w:space="0" w:color="auto"/>
                <w:right w:val="none" w:sz="0" w:space="0" w:color="auto"/>
              </w:divBdr>
              <w:divsChild>
                <w:div w:id="1388258577">
                  <w:marLeft w:val="0"/>
                  <w:marRight w:val="0"/>
                  <w:marTop w:val="0"/>
                  <w:marBottom w:val="0"/>
                  <w:divBdr>
                    <w:top w:val="none" w:sz="0" w:space="0" w:color="auto"/>
                    <w:left w:val="none" w:sz="0" w:space="0" w:color="auto"/>
                    <w:bottom w:val="none" w:sz="0" w:space="0" w:color="auto"/>
                    <w:right w:val="none" w:sz="0" w:space="0" w:color="auto"/>
                  </w:divBdr>
                  <w:divsChild>
                    <w:div w:id="11366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820960">
      <w:bodyDiv w:val="1"/>
      <w:marLeft w:val="0"/>
      <w:marRight w:val="0"/>
      <w:marTop w:val="0"/>
      <w:marBottom w:val="0"/>
      <w:divBdr>
        <w:top w:val="none" w:sz="0" w:space="0" w:color="auto"/>
        <w:left w:val="none" w:sz="0" w:space="0" w:color="auto"/>
        <w:bottom w:val="none" w:sz="0" w:space="0" w:color="auto"/>
        <w:right w:val="none" w:sz="0" w:space="0" w:color="auto"/>
      </w:divBdr>
      <w:divsChild>
        <w:div w:id="739910530">
          <w:marLeft w:val="0"/>
          <w:marRight w:val="0"/>
          <w:marTop w:val="0"/>
          <w:marBottom w:val="0"/>
          <w:divBdr>
            <w:top w:val="none" w:sz="0" w:space="0" w:color="auto"/>
            <w:left w:val="none" w:sz="0" w:space="0" w:color="auto"/>
            <w:bottom w:val="none" w:sz="0" w:space="0" w:color="auto"/>
            <w:right w:val="none" w:sz="0" w:space="0" w:color="auto"/>
          </w:divBdr>
        </w:div>
        <w:div w:id="854467784">
          <w:marLeft w:val="0"/>
          <w:marRight w:val="0"/>
          <w:marTop w:val="0"/>
          <w:marBottom w:val="0"/>
          <w:divBdr>
            <w:top w:val="none" w:sz="0" w:space="0" w:color="auto"/>
            <w:left w:val="none" w:sz="0" w:space="0" w:color="auto"/>
            <w:bottom w:val="none" w:sz="0" w:space="0" w:color="auto"/>
            <w:right w:val="none" w:sz="0" w:space="0" w:color="auto"/>
          </w:divBdr>
        </w:div>
        <w:div w:id="1602301028">
          <w:marLeft w:val="0"/>
          <w:marRight w:val="0"/>
          <w:marTop w:val="0"/>
          <w:marBottom w:val="0"/>
          <w:divBdr>
            <w:top w:val="none" w:sz="0" w:space="0" w:color="auto"/>
            <w:left w:val="none" w:sz="0" w:space="0" w:color="auto"/>
            <w:bottom w:val="none" w:sz="0" w:space="0" w:color="auto"/>
            <w:right w:val="none" w:sz="0" w:space="0" w:color="auto"/>
          </w:divBdr>
        </w:div>
      </w:divsChild>
    </w:div>
    <w:div w:id="1134300281">
      <w:bodyDiv w:val="1"/>
      <w:marLeft w:val="0"/>
      <w:marRight w:val="0"/>
      <w:marTop w:val="0"/>
      <w:marBottom w:val="0"/>
      <w:divBdr>
        <w:top w:val="none" w:sz="0" w:space="0" w:color="auto"/>
        <w:left w:val="none" w:sz="0" w:space="0" w:color="auto"/>
        <w:bottom w:val="none" w:sz="0" w:space="0" w:color="auto"/>
        <w:right w:val="none" w:sz="0" w:space="0" w:color="auto"/>
      </w:divBdr>
    </w:div>
    <w:div w:id="1145969608">
      <w:bodyDiv w:val="1"/>
      <w:marLeft w:val="0"/>
      <w:marRight w:val="0"/>
      <w:marTop w:val="0"/>
      <w:marBottom w:val="0"/>
      <w:divBdr>
        <w:top w:val="none" w:sz="0" w:space="0" w:color="auto"/>
        <w:left w:val="none" w:sz="0" w:space="0" w:color="auto"/>
        <w:bottom w:val="none" w:sz="0" w:space="0" w:color="auto"/>
        <w:right w:val="none" w:sz="0" w:space="0" w:color="auto"/>
      </w:divBdr>
    </w:div>
    <w:div w:id="1147937732">
      <w:bodyDiv w:val="1"/>
      <w:marLeft w:val="0"/>
      <w:marRight w:val="0"/>
      <w:marTop w:val="0"/>
      <w:marBottom w:val="0"/>
      <w:divBdr>
        <w:top w:val="none" w:sz="0" w:space="0" w:color="auto"/>
        <w:left w:val="none" w:sz="0" w:space="0" w:color="auto"/>
        <w:bottom w:val="none" w:sz="0" w:space="0" w:color="auto"/>
        <w:right w:val="none" w:sz="0" w:space="0" w:color="auto"/>
      </w:divBdr>
    </w:div>
    <w:div w:id="1150441586">
      <w:bodyDiv w:val="1"/>
      <w:marLeft w:val="0"/>
      <w:marRight w:val="0"/>
      <w:marTop w:val="0"/>
      <w:marBottom w:val="0"/>
      <w:divBdr>
        <w:top w:val="none" w:sz="0" w:space="0" w:color="auto"/>
        <w:left w:val="none" w:sz="0" w:space="0" w:color="auto"/>
        <w:bottom w:val="none" w:sz="0" w:space="0" w:color="auto"/>
        <w:right w:val="none" w:sz="0" w:space="0" w:color="auto"/>
      </w:divBdr>
    </w:div>
    <w:div w:id="1154108663">
      <w:bodyDiv w:val="1"/>
      <w:marLeft w:val="0"/>
      <w:marRight w:val="0"/>
      <w:marTop w:val="0"/>
      <w:marBottom w:val="0"/>
      <w:divBdr>
        <w:top w:val="none" w:sz="0" w:space="0" w:color="auto"/>
        <w:left w:val="none" w:sz="0" w:space="0" w:color="auto"/>
        <w:bottom w:val="none" w:sz="0" w:space="0" w:color="auto"/>
        <w:right w:val="none" w:sz="0" w:space="0" w:color="auto"/>
      </w:divBdr>
    </w:div>
    <w:div w:id="1161315454">
      <w:bodyDiv w:val="1"/>
      <w:marLeft w:val="0"/>
      <w:marRight w:val="0"/>
      <w:marTop w:val="0"/>
      <w:marBottom w:val="0"/>
      <w:divBdr>
        <w:top w:val="none" w:sz="0" w:space="0" w:color="auto"/>
        <w:left w:val="none" w:sz="0" w:space="0" w:color="auto"/>
        <w:bottom w:val="none" w:sz="0" w:space="0" w:color="auto"/>
        <w:right w:val="none" w:sz="0" w:space="0" w:color="auto"/>
      </w:divBdr>
      <w:divsChild>
        <w:div w:id="32730195">
          <w:marLeft w:val="0"/>
          <w:marRight w:val="0"/>
          <w:marTop w:val="0"/>
          <w:marBottom w:val="0"/>
          <w:divBdr>
            <w:top w:val="none" w:sz="0" w:space="0" w:color="auto"/>
            <w:left w:val="none" w:sz="0" w:space="0" w:color="auto"/>
            <w:bottom w:val="none" w:sz="0" w:space="0" w:color="auto"/>
            <w:right w:val="none" w:sz="0" w:space="0" w:color="auto"/>
          </w:divBdr>
        </w:div>
        <w:div w:id="159779371">
          <w:marLeft w:val="0"/>
          <w:marRight w:val="0"/>
          <w:marTop w:val="0"/>
          <w:marBottom w:val="0"/>
          <w:divBdr>
            <w:top w:val="none" w:sz="0" w:space="0" w:color="auto"/>
            <w:left w:val="none" w:sz="0" w:space="0" w:color="auto"/>
            <w:bottom w:val="none" w:sz="0" w:space="0" w:color="auto"/>
            <w:right w:val="none" w:sz="0" w:space="0" w:color="auto"/>
          </w:divBdr>
        </w:div>
        <w:div w:id="523401928">
          <w:marLeft w:val="0"/>
          <w:marRight w:val="0"/>
          <w:marTop w:val="0"/>
          <w:marBottom w:val="0"/>
          <w:divBdr>
            <w:top w:val="none" w:sz="0" w:space="0" w:color="auto"/>
            <w:left w:val="none" w:sz="0" w:space="0" w:color="auto"/>
            <w:bottom w:val="none" w:sz="0" w:space="0" w:color="auto"/>
            <w:right w:val="none" w:sz="0" w:space="0" w:color="auto"/>
          </w:divBdr>
        </w:div>
        <w:div w:id="526873070">
          <w:marLeft w:val="0"/>
          <w:marRight w:val="0"/>
          <w:marTop w:val="0"/>
          <w:marBottom w:val="0"/>
          <w:divBdr>
            <w:top w:val="none" w:sz="0" w:space="0" w:color="auto"/>
            <w:left w:val="none" w:sz="0" w:space="0" w:color="auto"/>
            <w:bottom w:val="none" w:sz="0" w:space="0" w:color="auto"/>
            <w:right w:val="none" w:sz="0" w:space="0" w:color="auto"/>
          </w:divBdr>
        </w:div>
        <w:div w:id="545214979">
          <w:marLeft w:val="0"/>
          <w:marRight w:val="0"/>
          <w:marTop w:val="0"/>
          <w:marBottom w:val="0"/>
          <w:divBdr>
            <w:top w:val="none" w:sz="0" w:space="0" w:color="auto"/>
            <w:left w:val="none" w:sz="0" w:space="0" w:color="auto"/>
            <w:bottom w:val="none" w:sz="0" w:space="0" w:color="auto"/>
            <w:right w:val="none" w:sz="0" w:space="0" w:color="auto"/>
          </w:divBdr>
        </w:div>
        <w:div w:id="612594127">
          <w:marLeft w:val="0"/>
          <w:marRight w:val="0"/>
          <w:marTop w:val="0"/>
          <w:marBottom w:val="0"/>
          <w:divBdr>
            <w:top w:val="none" w:sz="0" w:space="0" w:color="auto"/>
            <w:left w:val="none" w:sz="0" w:space="0" w:color="auto"/>
            <w:bottom w:val="none" w:sz="0" w:space="0" w:color="auto"/>
            <w:right w:val="none" w:sz="0" w:space="0" w:color="auto"/>
          </w:divBdr>
          <w:divsChild>
            <w:div w:id="128937025">
              <w:marLeft w:val="0"/>
              <w:marRight w:val="0"/>
              <w:marTop w:val="0"/>
              <w:marBottom w:val="0"/>
              <w:divBdr>
                <w:top w:val="none" w:sz="0" w:space="0" w:color="auto"/>
                <w:left w:val="none" w:sz="0" w:space="0" w:color="auto"/>
                <w:bottom w:val="none" w:sz="0" w:space="0" w:color="auto"/>
                <w:right w:val="none" w:sz="0" w:space="0" w:color="auto"/>
              </w:divBdr>
            </w:div>
            <w:div w:id="456219401">
              <w:marLeft w:val="0"/>
              <w:marRight w:val="0"/>
              <w:marTop w:val="0"/>
              <w:marBottom w:val="0"/>
              <w:divBdr>
                <w:top w:val="none" w:sz="0" w:space="0" w:color="auto"/>
                <w:left w:val="none" w:sz="0" w:space="0" w:color="auto"/>
                <w:bottom w:val="none" w:sz="0" w:space="0" w:color="auto"/>
                <w:right w:val="none" w:sz="0" w:space="0" w:color="auto"/>
              </w:divBdr>
            </w:div>
            <w:div w:id="671950825">
              <w:marLeft w:val="0"/>
              <w:marRight w:val="0"/>
              <w:marTop w:val="0"/>
              <w:marBottom w:val="0"/>
              <w:divBdr>
                <w:top w:val="none" w:sz="0" w:space="0" w:color="auto"/>
                <w:left w:val="none" w:sz="0" w:space="0" w:color="auto"/>
                <w:bottom w:val="none" w:sz="0" w:space="0" w:color="auto"/>
                <w:right w:val="none" w:sz="0" w:space="0" w:color="auto"/>
              </w:divBdr>
            </w:div>
            <w:div w:id="1157649107">
              <w:marLeft w:val="0"/>
              <w:marRight w:val="0"/>
              <w:marTop w:val="0"/>
              <w:marBottom w:val="0"/>
              <w:divBdr>
                <w:top w:val="none" w:sz="0" w:space="0" w:color="auto"/>
                <w:left w:val="none" w:sz="0" w:space="0" w:color="auto"/>
                <w:bottom w:val="none" w:sz="0" w:space="0" w:color="auto"/>
                <w:right w:val="none" w:sz="0" w:space="0" w:color="auto"/>
              </w:divBdr>
            </w:div>
            <w:div w:id="1185440216">
              <w:marLeft w:val="0"/>
              <w:marRight w:val="0"/>
              <w:marTop w:val="0"/>
              <w:marBottom w:val="0"/>
              <w:divBdr>
                <w:top w:val="none" w:sz="0" w:space="0" w:color="auto"/>
                <w:left w:val="none" w:sz="0" w:space="0" w:color="auto"/>
                <w:bottom w:val="none" w:sz="0" w:space="0" w:color="auto"/>
                <w:right w:val="none" w:sz="0" w:space="0" w:color="auto"/>
              </w:divBdr>
            </w:div>
          </w:divsChild>
        </w:div>
        <w:div w:id="663512158">
          <w:marLeft w:val="0"/>
          <w:marRight w:val="0"/>
          <w:marTop w:val="0"/>
          <w:marBottom w:val="0"/>
          <w:divBdr>
            <w:top w:val="none" w:sz="0" w:space="0" w:color="auto"/>
            <w:left w:val="none" w:sz="0" w:space="0" w:color="auto"/>
            <w:bottom w:val="none" w:sz="0" w:space="0" w:color="auto"/>
            <w:right w:val="none" w:sz="0" w:space="0" w:color="auto"/>
          </w:divBdr>
        </w:div>
        <w:div w:id="738479211">
          <w:marLeft w:val="0"/>
          <w:marRight w:val="0"/>
          <w:marTop w:val="0"/>
          <w:marBottom w:val="0"/>
          <w:divBdr>
            <w:top w:val="none" w:sz="0" w:space="0" w:color="auto"/>
            <w:left w:val="none" w:sz="0" w:space="0" w:color="auto"/>
            <w:bottom w:val="none" w:sz="0" w:space="0" w:color="auto"/>
            <w:right w:val="none" w:sz="0" w:space="0" w:color="auto"/>
          </w:divBdr>
        </w:div>
        <w:div w:id="754590953">
          <w:marLeft w:val="0"/>
          <w:marRight w:val="0"/>
          <w:marTop w:val="0"/>
          <w:marBottom w:val="0"/>
          <w:divBdr>
            <w:top w:val="none" w:sz="0" w:space="0" w:color="auto"/>
            <w:left w:val="none" w:sz="0" w:space="0" w:color="auto"/>
            <w:bottom w:val="none" w:sz="0" w:space="0" w:color="auto"/>
            <w:right w:val="none" w:sz="0" w:space="0" w:color="auto"/>
          </w:divBdr>
        </w:div>
        <w:div w:id="831602258">
          <w:marLeft w:val="0"/>
          <w:marRight w:val="0"/>
          <w:marTop w:val="0"/>
          <w:marBottom w:val="0"/>
          <w:divBdr>
            <w:top w:val="none" w:sz="0" w:space="0" w:color="auto"/>
            <w:left w:val="none" w:sz="0" w:space="0" w:color="auto"/>
            <w:bottom w:val="none" w:sz="0" w:space="0" w:color="auto"/>
            <w:right w:val="none" w:sz="0" w:space="0" w:color="auto"/>
          </w:divBdr>
        </w:div>
        <w:div w:id="832456303">
          <w:marLeft w:val="0"/>
          <w:marRight w:val="0"/>
          <w:marTop w:val="0"/>
          <w:marBottom w:val="0"/>
          <w:divBdr>
            <w:top w:val="none" w:sz="0" w:space="0" w:color="auto"/>
            <w:left w:val="none" w:sz="0" w:space="0" w:color="auto"/>
            <w:bottom w:val="none" w:sz="0" w:space="0" w:color="auto"/>
            <w:right w:val="none" w:sz="0" w:space="0" w:color="auto"/>
          </w:divBdr>
        </w:div>
        <w:div w:id="908736060">
          <w:marLeft w:val="0"/>
          <w:marRight w:val="0"/>
          <w:marTop w:val="0"/>
          <w:marBottom w:val="0"/>
          <w:divBdr>
            <w:top w:val="none" w:sz="0" w:space="0" w:color="auto"/>
            <w:left w:val="none" w:sz="0" w:space="0" w:color="auto"/>
            <w:bottom w:val="none" w:sz="0" w:space="0" w:color="auto"/>
            <w:right w:val="none" w:sz="0" w:space="0" w:color="auto"/>
          </w:divBdr>
          <w:divsChild>
            <w:div w:id="168525466">
              <w:marLeft w:val="0"/>
              <w:marRight w:val="0"/>
              <w:marTop w:val="0"/>
              <w:marBottom w:val="0"/>
              <w:divBdr>
                <w:top w:val="none" w:sz="0" w:space="0" w:color="auto"/>
                <w:left w:val="none" w:sz="0" w:space="0" w:color="auto"/>
                <w:bottom w:val="none" w:sz="0" w:space="0" w:color="auto"/>
                <w:right w:val="none" w:sz="0" w:space="0" w:color="auto"/>
              </w:divBdr>
            </w:div>
            <w:div w:id="446393782">
              <w:marLeft w:val="0"/>
              <w:marRight w:val="0"/>
              <w:marTop w:val="0"/>
              <w:marBottom w:val="0"/>
              <w:divBdr>
                <w:top w:val="none" w:sz="0" w:space="0" w:color="auto"/>
                <w:left w:val="none" w:sz="0" w:space="0" w:color="auto"/>
                <w:bottom w:val="none" w:sz="0" w:space="0" w:color="auto"/>
                <w:right w:val="none" w:sz="0" w:space="0" w:color="auto"/>
              </w:divBdr>
            </w:div>
            <w:div w:id="988243062">
              <w:marLeft w:val="0"/>
              <w:marRight w:val="0"/>
              <w:marTop w:val="0"/>
              <w:marBottom w:val="0"/>
              <w:divBdr>
                <w:top w:val="none" w:sz="0" w:space="0" w:color="auto"/>
                <w:left w:val="none" w:sz="0" w:space="0" w:color="auto"/>
                <w:bottom w:val="none" w:sz="0" w:space="0" w:color="auto"/>
                <w:right w:val="none" w:sz="0" w:space="0" w:color="auto"/>
              </w:divBdr>
            </w:div>
            <w:div w:id="1972049629">
              <w:marLeft w:val="0"/>
              <w:marRight w:val="0"/>
              <w:marTop w:val="0"/>
              <w:marBottom w:val="0"/>
              <w:divBdr>
                <w:top w:val="none" w:sz="0" w:space="0" w:color="auto"/>
                <w:left w:val="none" w:sz="0" w:space="0" w:color="auto"/>
                <w:bottom w:val="none" w:sz="0" w:space="0" w:color="auto"/>
                <w:right w:val="none" w:sz="0" w:space="0" w:color="auto"/>
              </w:divBdr>
            </w:div>
          </w:divsChild>
        </w:div>
        <w:div w:id="992493570">
          <w:marLeft w:val="0"/>
          <w:marRight w:val="0"/>
          <w:marTop w:val="0"/>
          <w:marBottom w:val="0"/>
          <w:divBdr>
            <w:top w:val="none" w:sz="0" w:space="0" w:color="auto"/>
            <w:left w:val="none" w:sz="0" w:space="0" w:color="auto"/>
            <w:bottom w:val="none" w:sz="0" w:space="0" w:color="auto"/>
            <w:right w:val="none" w:sz="0" w:space="0" w:color="auto"/>
          </w:divBdr>
        </w:div>
        <w:div w:id="1343777620">
          <w:marLeft w:val="0"/>
          <w:marRight w:val="0"/>
          <w:marTop w:val="0"/>
          <w:marBottom w:val="0"/>
          <w:divBdr>
            <w:top w:val="none" w:sz="0" w:space="0" w:color="auto"/>
            <w:left w:val="none" w:sz="0" w:space="0" w:color="auto"/>
            <w:bottom w:val="none" w:sz="0" w:space="0" w:color="auto"/>
            <w:right w:val="none" w:sz="0" w:space="0" w:color="auto"/>
          </w:divBdr>
        </w:div>
        <w:div w:id="1384867615">
          <w:marLeft w:val="0"/>
          <w:marRight w:val="0"/>
          <w:marTop w:val="0"/>
          <w:marBottom w:val="0"/>
          <w:divBdr>
            <w:top w:val="none" w:sz="0" w:space="0" w:color="auto"/>
            <w:left w:val="none" w:sz="0" w:space="0" w:color="auto"/>
            <w:bottom w:val="none" w:sz="0" w:space="0" w:color="auto"/>
            <w:right w:val="none" w:sz="0" w:space="0" w:color="auto"/>
          </w:divBdr>
        </w:div>
        <w:div w:id="1422264285">
          <w:marLeft w:val="0"/>
          <w:marRight w:val="0"/>
          <w:marTop w:val="0"/>
          <w:marBottom w:val="0"/>
          <w:divBdr>
            <w:top w:val="none" w:sz="0" w:space="0" w:color="auto"/>
            <w:left w:val="none" w:sz="0" w:space="0" w:color="auto"/>
            <w:bottom w:val="none" w:sz="0" w:space="0" w:color="auto"/>
            <w:right w:val="none" w:sz="0" w:space="0" w:color="auto"/>
          </w:divBdr>
        </w:div>
        <w:div w:id="1489249999">
          <w:marLeft w:val="0"/>
          <w:marRight w:val="0"/>
          <w:marTop w:val="0"/>
          <w:marBottom w:val="0"/>
          <w:divBdr>
            <w:top w:val="none" w:sz="0" w:space="0" w:color="auto"/>
            <w:left w:val="none" w:sz="0" w:space="0" w:color="auto"/>
            <w:bottom w:val="none" w:sz="0" w:space="0" w:color="auto"/>
            <w:right w:val="none" w:sz="0" w:space="0" w:color="auto"/>
          </w:divBdr>
        </w:div>
        <w:div w:id="1567951736">
          <w:marLeft w:val="0"/>
          <w:marRight w:val="0"/>
          <w:marTop w:val="0"/>
          <w:marBottom w:val="0"/>
          <w:divBdr>
            <w:top w:val="none" w:sz="0" w:space="0" w:color="auto"/>
            <w:left w:val="none" w:sz="0" w:space="0" w:color="auto"/>
            <w:bottom w:val="none" w:sz="0" w:space="0" w:color="auto"/>
            <w:right w:val="none" w:sz="0" w:space="0" w:color="auto"/>
          </w:divBdr>
        </w:div>
        <w:div w:id="1710256345">
          <w:marLeft w:val="0"/>
          <w:marRight w:val="0"/>
          <w:marTop w:val="0"/>
          <w:marBottom w:val="0"/>
          <w:divBdr>
            <w:top w:val="none" w:sz="0" w:space="0" w:color="auto"/>
            <w:left w:val="none" w:sz="0" w:space="0" w:color="auto"/>
            <w:bottom w:val="none" w:sz="0" w:space="0" w:color="auto"/>
            <w:right w:val="none" w:sz="0" w:space="0" w:color="auto"/>
          </w:divBdr>
        </w:div>
        <w:div w:id="1710952650">
          <w:marLeft w:val="0"/>
          <w:marRight w:val="0"/>
          <w:marTop w:val="0"/>
          <w:marBottom w:val="0"/>
          <w:divBdr>
            <w:top w:val="none" w:sz="0" w:space="0" w:color="auto"/>
            <w:left w:val="none" w:sz="0" w:space="0" w:color="auto"/>
            <w:bottom w:val="none" w:sz="0" w:space="0" w:color="auto"/>
            <w:right w:val="none" w:sz="0" w:space="0" w:color="auto"/>
          </w:divBdr>
        </w:div>
        <w:div w:id="1803767366">
          <w:marLeft w:val="0"/>
          <w:marRight w:val="0"/>
          <w:marTop w:val="0"/>
          <w:marBottom w:val="0"/>
          <w:divBdr>
            <w:top w:val="none" w:sz="0" w:space="0" w:color="auto"/>
            <w:left w:val="none" w:sz="0" w:space="0" w:color="auto"/>
            <w:bottom w:val="none" w:sz="0" w:space="0" w:color="auto"/>
            <w:right w:val="none" w:sz="0" w:space="0" w:color="auto"/>
          </w:divBdr>
        </w:div>
        <w:div w:id="1873223920">
          <w:marLeft w:val="0"/>
          <w:marRight w:val="0"/>
          <w:marTop w:val="0"/>
          <w:marBottom w:val="0"/>
          <w:divBdr>
            <w:top w:val="none" w:sz="0" w:space="0" w:color="auto"/>
            <w:left w:val="none" w:sz="0" w:space="0" w:color="auto"/>
            <w:bottom w:val="none" w:sz="0" w:space="0" w:color="auto"/>
            <w:right w:val="none" w:sz="0" w:space="0" w:color="auto"/>
          </w:divBdr>
        </w:div>
        <w:div w:id="1888910340">
          <w:marLeft w:val="0"/>
          <w:marRight w:val="0"/>
          <w:marTop w:val="0"/>
          <w:marBottom w:val="0"/>
          <w:divBdr>
            <w:top w:val="none" w:sz="0" w:space="0" w:color="auto"/>
            <w:left w:val="none" w:sz="0" w:space="0" w:color="auto"/>
            <w:bottom w:val="none" w:sz="0" w:space="0" w:color="auto"/>
            <w:right w:val="none" w:sz="0" w:space="0" w:color="auto"/>
          </w:divBdr>
        </w:div>
        <w:div w:id="1960406169">
          <w:marLeft w:val="0"/>
          <w:marRight w:val="0"/>
          <w:marTop w:val="0"/>
          <w:marBottom w:val="0"/>
          <w:divBdr>
            <w:top w:val="none" w:sz="0" w:space="0" w:color="auto"/>
            <w:left w:val="none" w:sz="0" w:space="0" w:color="auto"/>
            <w:bottom w:val="none" w:sz="0" w:space="0" w:color="auto"/>
            <w:right w:val="none" w:sz="0" w:space="0" w:color="auto"/>
          </w:divBdr>
        </w:div>
      </w:divsChild>
    </w:div>
    <w:div w:id="1166359650">
      <w:bodyDiv w:val="1"/>
      <w:marLeft w:val="0"/>
      <w:marRight w:val="0"/>
      <w:marTop w:val="0"/>
      <w:marBottom w:val="0"/>
      <w:divBdr>
        <w:top w:val="none" w:sz="0" w:space="0" w:color="auto"/>
        <w:left w:val="none" w:sz="0" w:space="0" w:color="auto"/>
        <w:bottom w:val="none" w:sz="0" w:space="0" w:color="auto"/>
        <w:right w:val="none" w:sz="0" w:space="0" w:color="auto"/>
      </w:divBdr>
      <w:divsChild>
        <w:div w:id="145325878">
          <w:marLeft w:val="0"/>
          <w:marRight w:val="0"/>
          <w:marTop w:val="0"/>
          <w:marBottom w:val="0"/>
          <w:divBdr>
            <w:top w:val="none" w:sz="0" w:space="0" w:color="auto"/>
            <w:left w:val="none" w:sz="0" w:space="0" w:color="auto"/>
            <w:bottom w:val="none" w:sz="0" w:space="0" w:color="auto"/>
            <w:right w:val="none" w:sz="0" w:space="0" w:color="auto"/>
          </w:divBdr>
        </w:div>
        <w:div w:id="434059748">
          <w:marLeft w:val="0"/>
          <w:marRight w:val="0"/>
          <w:marTop w:val="0"/>
          <w:marBottom w:val="0"/>
          <w:divBdr>
            <w:top w:val="none" w:sz="0" w:space="0" w:color="auto"/>
            <w:left w:val="none" w:sz="0" w:space="0" w:color="auto"/>
            <w:bottom w:val="none" w:sz="0" w:space="0" w:color="auto"/>
            <w:right w:val="none" w:sz="0" w:space="0" w:color="auto"/>
          </w:divBdr>
        </w:div>
        <w:div w:id="962077883">
          <w:marLeft w:val="0"/>
          <w:marRight w:val="0"/>
          <w:marTop w:val="0"/>
          <w:marBottom w:val="0"/>
          <w:divBdr>
            <w:top w:val="none" w:sz="0" w:space="0" w:color="auto"/>
            <w:left w:val="none" w:sz="0" w:space="0" w:color="auto"/>
            <w:bottom w:val="none" w:sz="0" w:space="0" w:color="auto"/>
            <w:right w:val="none" w:sz="0" w:space="0" w:color="auto"/>
          </w:divBdr>
        </w:div>
        <w:div w:id="1225020207">
          <w:marLeft w:val="0"/>
          <w:marRight w:val="0"/>
          <w:marTop w:val="0"/>
          <w:marBottom w:val="0"/>
          <w:divBdr>
            <w:top w:val="none" w:sz="0" w:space="0" w:color="auto"/>
            <w:left w:val="none" w:sz="0" w:space="0" w:color="auto"/>
            <w:bottom w:val="none" w:sz="0" w:space="0" w:color="auto"/>
            <w:right w:val="none" w:sz="0" w:space="0" w:color="auto"/>
          </w:divBdr>
        </w:div>
        <w:div w:id="1577086012">
          <w:marLeft w:val="0"/>
          <w:marRight w:val="0"/>
          <w:marTop w:val="0"/>
          <w:marBottom w:val="0"/>
          <w:divBdr>
            <w:top w:val="none" w:sz="0" w:space="0" w:color="auto"/>
            <w:left w:val="none" w:sz="0" w:space="0" w:color="auto"/>
            <w:bottom w:val="none" w:sz="0" w:space="0" w:color="auto"/>
            <w:right w:val="none" w:sz="0" w:space="0" w:color="auto"/>
          </w:divBdr>
        </w:div>
        <w:div w:id="1823890657">
          <w:marLeft w:val="0"/>
          <w:marRight w:val="0"/>
          <w:marTop w:val="0"/>
          <w:marBottom w:val="0"/>
          <w:divBdr>
            <w:top w:val="none" w:sz="0" w:space="0" w:color="auto"/>
            <w:left w:val="none" w:sz="0" w:space="0" w:color="auto"/>
            <w:bottom w:val="none" w:sz="0" w:space="0" w:color="auto"/>
            <w:right w:val="none" w:sz="0" w:space="0" w:color="auto"/>
          </w:divBdr>
        </w:div>
      </w:divsChild>
    </w:div>
    <w:div w:id="1173301980">
      <w:bodyDiv w:val="1"/>
      <w:marLeft w:val="0"/>
      <w:marRight w:val="0"/>
      <w:marTop w:val="0"/>
      <w:marBottom w:val="0"/>
      <w:divBdr>
        <w:top w:val="none" w:sz="0" w:space="0" w:color="auto"/>
        <w:left w:val="none" w:sz="0" w:space="0" w:color="auto"/>
        <w:bottom w:val="none" w:sz="0" w:space="0" w:color="auto"/>
        <w:right w:val="none" w:sz="0" w:space="0" w:color="auto"/>
      </w:divBdr>
    </w:div>
    <w:div w:id="1174877876">
      <w:bodyDiv w:val="1"/>
      <w:marLeft w:val="0"/>
      <w:marRight w:val="0"/>
      <w:marTop w:val="0"/>
      <w:marBottom w:val="0"/>
      <w:divBdr>
        <w:top w:val="none" w:sz="0" w:space="0" w:color="auto"/>
        <w:left w:val="none" w:sz="0" w:space="0" w:color="auto"/>
        <w:bottom w:val="none" w:sz="0" w:space="0" w:color="auto"/>
        <w:right w:val="none" w:sz="0" w:space="0" w:color="auto"/>
      </w:divBdr>
    </w:div>
    <w:div w:id="1174996479">
      <w:bodyDiv w:val="1"/>
      <w:marLeft w:val="0"/>
      <w:marRight w:val="0"/>
      <w:marTop w:val="0"/>
      <w:marBottom w:val="0"/>
      <w:divBdr>
        <w:top w:val="none" w:sz="0" w:space="0" w:color="auto"/>
        <w:left w:val="none" w:sz="0" w:space="0" w:color="auto"/>
        <w:bottom w:val="none" w:sz="0" w:space="0" w:color="auto"/>
        <w:right w:val="none" w:sz="0" w:space="0" w:color="auto"/>
      </w:divBdr>
      <w:divsChild>
        <w:div w:id="81534280">
          <w:marLeft w:val="0"/>
          <w:marRight w:val="0"/>
          <w:marTop w:val="0"/>
          <w:marBottom w:val="0"/>
          <w:divBdr>
            <w:top w:val="none" w:sz="0" w:space="0" w:color="auto"/>
            <w:left w:val="none" w:sz="0" w:space="0" w:color="auto"/>
            <w:bottom w:val="none" w:sz="0" w:space="0" w:color="auto"/>
            <w:right w:val="none" w:sz="0" w:space="0" w:color="auto"/>
          </w:divBdr>
          <w:divsChild>
            <w:div w:id="24864853">
              <w:marLeft w:val="0"/>
              <w:marRight w:val="0"/>
              <w:marTop w:val="0"/>
              <w:marBottom w:val="0"/>
              <w:divBdr>
                <w:top w:val="none" w:sz="0" w:space="0" w:color="auto"/>
                <w:left w:val="none" w:sz="0" w:space="0" w:color="auto"/>
                <w:bottom w:val="none" w:sz="0" w:space="0" w:color="auto"/>
                <w:right w:val="none" w:sz="0" w:space="0" w:color="auto"/>
              </w:divBdr>
            </w:div>
            <w:div w:id="891505173">
              <w:marLeft w:val="0"/>
              <w:marRight w:val="0"/>
              <w:marTop w:val="0"/>
              <w:marBottom w:val="0"/>
              <w:divBdr>
                <w:top w:val="none" w:sz="0" w:space="0" w:color="auto"/>
                <w:left w:val="none" w:sz="0" w:space="0" w:color="auto"/>
                <w:bottom w:val="none" w:sz="0" w:space="0" w:color="auto"/>
                <w:right w:val="none" w:sz="0" w:space="0" w:color="auto"/>
              </w:divBdr>
            </w:div>
            <w:div w:id="975330114">
              <w:marLeft w:val="0"/>
              <w:marRight w:val="0"/>
              <w:marTop w:val="0"/>
              <w:marBottom w:val="0"/>
              <w:divBdr>
                <w:top w:val="none" w:sz="0" w:space="0" w:color="auto"/>
                <w:left w:val="none" w:sz="0" w:space="0" w:color="auto"/>
                <w:bottom w:val="none" w:sz="0" w:space="0" w:color="auto"/>
                <w:right w:val="none" w:sz="0" w:space="0" w:color="auto"/>
              </w:divBdr>
            </w:div>
            <w:div w:id="1116287788">
              <w:marLeft w:val="0"/>
              <w:marRight w:val="0"/>
              <w:marTop w:val="0"/>
              <w:marBottom w:val="0"/>
              <w:divBdr>
                <w:top w:val="none" w:sz="0" w:space="0" w:color="auto"/>
                <w:left w:val="none" w:sz="0" w:space="0" w:color="auto"/>
                <w:bottom w:val="none" w:sz="0" w:space="0" w:color="auto"/>
                <w:right w:val="none" w:sz="0" w:space="0" w:color="auto"/>
              </w:divBdr>
            </w:div>
            <w:div w:id="1690064129">
              <w:marLeft w:val="0"/>
              <w:marRight w:val="0"/>
              <w:marTop w:val="0"/>
              <w:marBottom w:val="0"/>
              <w:divBdr>
                <w:top w:val="none" w:sz="0" w:space="0" w:color="auto"/>
                <w:left w:val="none" w:sz="0" w:space="0" w:color="auto"/>
                <w:bottom w:val="none" w:sz="0" w:space="0" w:color="auto"/>
                <w:right w:val="none" w:sz="0" w:space="0" w:color="auto"/>
              </w:divBdr>
            </w:div>
          </w:divsChild>
        </w:div>
        <w:div w:id="626355680">
          <w:marLeft w:val="0"/>
          <w:marRight w:val="0"/>
          <w:marTop w:val="0"/>
          <w:marBottom w:val="0"/>
          <w:divBdr>
            <w:top w:val="none" w:sz="0" w:space="0" w:color="auto"/>
            <w:left w:val="none" w:sz="0" w:space="0" w:color="auto"/>
            <w:bottom w:val="none" w:sz="0" w:space="0" w:color="auto"/>
            <w:right w:val="none" w:sz="0" w:space="0" w:color="auto"/>
          </w:divBdr>
          <w:divsChild>
            <w:div w:id="350763540">
              <w:marLeft w:val="0"/>
              <w:marRight w:val="0"/>
              <w:marTop w:val="0"/>
              <w:marBottom w:val="0"/>
              <w:divBdr>
                <w:top w:val="none" w:sz="0" w:space="0" w:color="auto"/>
                <w:left w:val="none" w:sz="0" w:space="0" w:color="auto"/>
                <w:bottom w:val="none" w:sz="0" w:space="0" w:color="auto"/>
                <w:right w:val="none" w:sz="0" w:space="0" w:color="auto"/>
              </w:divBdr>
            </w:div>
            <w:div w:id="431509624">
              <w:marLeft w:val="0"/>
              <w:marRight w:val="0"/>
              <w:marTop w:val="0"/>
              <w:marBottom w:val="0"/>
              <w:divBdr>
                <w:top w:val="none" w:sz="0" w:space="0" w:color="auto"/>
                <w:left w:val="none" w:sz="0" w:space="0" w:color="auto"/>
                <w:bottom w:val="none" w:sz="0" w:space="0" w:color="auto"/>
                <w:right w:val="none" w:sz="0" w:space="0" w:color="auto"/>
              </w:divBdr>
            </w:div>
          </w:divsChild>
        </w:div>
        <w:div w:id="663895893">
          <w:marLeft w:val="0"/>
          <w:marRight w:val="0"/>
          <w:marTop w:val="0"/>
          <w:marBottom w:val="0"/>
          <w:divBdr>
            <w:top w:val="none" w:sz="0" w:space="0" w:color="auto"/>
            <w:left w:val="none" w:sz="0" w:space="0" w:color="auto"/>
            <w:bottom w:val="none" w:sz="0" w:space="0" w:color="auto"/>
            <w:right w:val="none" w:sz="0" w:space="0" w:color="auto"/>
          </w:divBdr>
          <w:divsChild>
            <w:div w:id="62993911">
              <w:marLeft w:val="0"/>
              <w:marRight w:val="0"/>
              <w:marTop w:val="0"/>
              <w:marBottom w:val="0"/>
              <w:divBdr>
                <w:top w:val="none" w:sz="0" w:space="0" w:color="auto"/>
                <w:left w:val="none" w:sz="0" w:space="0" w:color="auto"/>
                <w:bottom w:val="none" w:sz="0" w:space="0" w:color="auto"/>
                <w:right w:val="none" w:sz="0" w:space="0" w:color="auto"/>
              </w:divBdr>
            </w:div>
            <w:div w:id="359361549">
              <w:marLeft w:val="0"/>
              <w:marRight w:val="0"/>
              <w:marTop w:val="0"/>
              <w:marBottom w:val="0"/>
              <w:divBdr>
                <w:top w:val="none" w:sz="0" w:space="0" w:color="auto"/>
                <w:left w:val="none" w:sz="0" w:space="0" w:color="auto"/>
                <w:bottom w:val="none" w:sz="0" w:space="0" w:color="auto"/>
                <w:right w:val="none" w:sz="0" w:space="0" w:color="auto"/>
              </w:divBdr>
            </w:div>
            <w:div w:id="882180637">
              <w:marLeft w:val="0"/>
              <w:marRight w:val="0"/>
              <w:marTop w:val="0"/>
              <w:marBottom w:val="0"/>
              <w:divBdr>
                <w:top w:val="none" w:sz="0" w:space="0" w:color="auto"/>
                <w:left w:val="none" w:sz="0" w:space="0" w:color="auto"/>
                <w:bottom w:val="none" w:sz="0" w:space="0" w:color="auto"/>
                <w:right w:val="none" w:sz="0" w:space="0" w:color="auto"/>
              </w:divBdr>
            </w:div>
            <w:div w:id="919950686">
              <w:marLeft w:val="0"/>
              <w:marRight w:val="0"/>
              <w:marTop w:val="0"/>
              <w:marBottom w:val="0"/>
              <w:divBdr>
                <w:top w:val="none" w:sz="0" w:space="0" w:color="auto"/>
                <w:left w:val="none" w:sz="0" w:space="0" w:color="auto"/>
                <w:bottom w:val="none" w:sz="0" w:space="0" w:color="auto"/>
                <w:right w:val="none" w:sz="0" w:space="0" w:color="auto"/>
              </w:divBdr>
            </w:div>
            <w:div w:id="1348941408">
              <w:marLeft w:val="0"/>
              <w:marRight w:val="0"/>
              <w:marTop w:val="0"/>
              <w:marBottom w:val="0"/>
              <w:divBdr>
                <w:top w:val="none" w:sz="0" w:space="0" w:color="auto"/>
                <w:left w:val="none" w:sz="0" w:space="0" w:color="auto"/>
                <w:bottom w:val="none" w:sz="0" w:space="0" w:color="auto"/>
                <w:right w:val="none" w:sz="0" w:space="0" w:color="auto"/>
              </w:divBdr>
            </w:div>
          </w:divsChild>
        </w:div>
        <w:div w:id="1011225927">
          <w:marLeft w:val="0"/>
          <w:marRight w:val="0"/>
          <w:marTop w:val="0"/>
          <w:marBottom w:val="0"/>
          <w:divBdr>
            <w:top w:val="none" w:sz="0" w:space="0" w:color="auto"/>
            <w:left w:val="none" w:sz="0" w:space="0" w:color="auto"/>
            <w:bottom w:val="none" w:sz="0" w:space="0" w:color="auto"/>
            <w:right w:val="none" w:sz="0" w:space="0" w:color="auto"/>
          </w:divBdr>
          <w:divsChild>
            <w:div w:id="69355867">
              <w:marLeft w:val="0"/>
              <w:marRight w:val="0"/>
              <w:marTop w:val="0"/>
              <w:marBottom w:val="0"/>
              <w:divBdr>
                <w:top w:val="none" w:sz="0" w:space="0" w:color="auto"/>
                <w:left w:val="none" w:sz="0" w:space="0" w:color="auto"/>
                <w:bottom w:val="none" w:sz="0" w:space="0" w:color="auto"/>
                <w:right w:val="none" w:sz="0" w:space="0" w:color="auto"/>
              </w:divBdr>
            </w:div>
            <w:div w:id="633683761">
              <w:marLeft w:val="0"/>
              <w:marRight w:val="0"/>
              <w:marTop w:val="0"/>
              <w:marBottom w:val="0"/>
              <w:divBdr>
                <w:top w:val="none" w:sz="0" w:space="0" w:color="auto"/>
                <w:left w:val="none" w:sz="0" w:space="0" w:color="auto"/>
                <w:bottom w:val="none" w:sz="0" w:space="0" w:color="auto"/>
                <w:right w:val="none" w:sz="0" w:space="0" w:color="auto"/>
              </w:divBdr>
            </w:div>
            <w:div w:id="1668362081">
              <w:marLeft w:val="0"/>
              <w:marRight w:val="0"/>
              <w:marTop w:val="0"/>
              <w:marBottom w:val="0"/>
              <w:divBdr>
                <w:top w:val="none" w:sz="0" w:space="0" w:color="auto"/>
                <w:left w:val="none" w:sz="0" w:space="0" w:color="auto"/>
                <w:bottom w:val="none" w:sz="0" w:space="0" w:color="auto"/>
                <w:right w:val="none" w:sz="0" w:space="0" w:color="auto"/>
              </w:divBdr>
            </w:div>
            <w:div w:id="1827043516">
              <w:marLeft w:val="0"/>
              <w:marRight w:val="0"/>
              <w:marTop w:val="0"/>
              <w:marBottom w:val="0"/>
              <w:divBdr>
                <w:top w:val="none" w:sz="0" w:space="0" w:color="auto"/>
                <w:left w:val="none" w:sz="0" w:space="0" w:color="auto"/>
                <w:bottom w:val="none" w:sz="0" w:space="0" w:color="auto"/>
                <w:right w:val="none" w:sz="0" w:space="0" w:color="auto"/>
              </w:divBdr>
            </w:div>
            <w:div w:id="2125230460">
              <w:marLeft w:val="0"/>
              <w:marRight w:val="0"/>
              <w:marTop w:val="0"/>
              <w:marBottom w:val="0"/>
              <w:divBdr>
                <w:top w:val="none" w:sz="0" w:space="0" w:color="auto"/>
                <w:left w:val="none" w:sz="0" w:space="0" w:color="auto"/>
                <w:bottom w:val="none" w:sz="0" w:space="0" w:color="auto"/>
                <w:right w:val="none" w:sz="0" w:space="0" w:color="auto"/>
              </w:divBdr>
            </w:div>
          </w:divsChild>
        </w:div>
        <w:div w:id="1211697464">
          <w:marLeft w:val="0"/>
          <w:marRight w:val="0"/>
          <w:marTop w:val="0"/>
          <w:marBottom w:val="0"/>
          <w:divBdr>
            <w:top w:val="none" w:sz="0" w:space="0" w:color="auto"/>
            <w:left w:val="none" w:sz="0" w:space="0" w:color="auto"/>
            <w:bottom w:val="none" w:sz="0" w:space="0" w:color="auto"/>
            <w:right w:val="none" w:sz="0" w:space="0" w:color="auto"/>
          </w:divBdr>
          <w:divsChild>
            <w:div w:id="522287691">
              <w:marLeft w:val="0"/>
              <w:marRight w:val="0"/>
              <w:marTop w:val="0"/>
              <w:marBottom w:val="0"/>
              <w:divBdr>
                <w:top w:val="none" w:sz="0" w:space="0" w:color="auto"/>
                <w:left w:val="none" w:sz="0" w:space="0" w:color="auto"/>
                <w:bottom w:val="none" w:sz="0" w:space="0" w:color="auto"/>
                <w:right w:val="none" w:sz="0" w:space="0" w:color="auto"/>
              </w:divBdr>
            </w:div>
            <w:div w:id="908610632">
              <w:marLeft w:val="0"/>
              <w:marRight w:val="0"/>
              <w:marTop w:val="0"/>
              <w:marBottom w:val="0"/>
              <w:divBdr>
                <w:top w:val="none" w:sz="0" w:space="0" w:color="auto"/>
                <w:left w:val="none" w:sz="0" w:space="0" w:color="auto"/>
                <w:bottom w:val="none" w:sz="0" w:space="0" w:color="auto"/>
                <w:right w:val="none" w:sz="0" w:space="0" w:color="auto"/>
              </w:divBdr>
            </w:div>
            <w:div w:id="1236280687">
              <w:marLeft w:val="0"/>
              <w:marRight w:val="0"/>
              <w:marTop w:val="0"/>
              <w:marBottom w:val="0"/>
              <w:divBdr>
                <w:top w:val="none" w:sz="0" w:space="0" w:color="auto"/>
                <w:left w:val="none" w:sz="0" w:space="0" w:color="auto"/>
                <w:bottom w:val="none" w:sz="0" w:space="0" w:color="auto"/>
                <w:right w:val="none" w:sz="0" w:space="0" w:color="auto"/>
              </w:divBdr>
            </w:div>
            <w:div w:id="1820266082">
              <w:marLeft w:val="0"/>
              <w:marRight w:val="0"/>
              <w:marTop w:val="0"/>
              <w:marBottom w:val="0"/>
              <w:divBdr>
                <w:top w:val="none" w:sz="0" w:space="0" w:color="auto"/>
                <w:left w:val="none" w:sz="0" w:space="0" w:color="auto"/>
                <w:bottom w:val="none" w:sz="0" w:space="0" w:color="auto"/>
                <w:right w:val="none" w:sz="0" w:space="0" w:color="auto"/>
              </w:divBdr>
            </w:div>
            <w:div w:id="2096389973">
              <w:marLeft w:val="0"/>
              <w:marRight w:val="0"/>
              <w:marTop w:val="0"/>
              <w:marBottom w:val="0"/>
              <w:divBdr>
                <w:top w:val="none" w:sz="0" w:space="0" w:color="auto"/>
                <w:left w:val="none" w:sz="0" w:space="0" w:color="auto"/>
                <w:bottom w:val="none" w:sz="0" w:space="0" w:color="auto"/>
                <w:right w:val="none" w:sz="0" w:space="0" w:color="auto"/>
              </w:divBdr>
            </w:div>
          </w:divsChild>
        </w:div>
        <w:div w:id="1470319930">
          <w:marLeft w:val="0"/>
          <w:marRight w:val="0"/>
          <w:marTop w:val="0"/>
          <w:marBottom w:val="0"/>
          <w:divBdr>
            <w:top w:val="none" w:sz="0" w:space="0" w:color="auto"/>
            <w:left w:val="none" w:sz="0" w:space="0" w:color="auto"/>
            <w:bottom w:val="none" w:sz="0" w:space="0" w:color="auto"/>
            <w:right w:val="none" w:sz="0" w:space="0" w:color="auto"/>
          </w:divBdr>
        </w:div>
        <w:div w:id="1562599918">
          <w:marLeft w:val="0"/>
          <w:marRight w:val="0"/>
          <w:marTop w:val="0"/>
          <w:marBottom w:val="0"/>
          <w:divBdr>
            <w:top w:val="none" w:sz="0" w:space="0" w:color="auto"/>
            <w:left w:val="none" w:sz="0" w:space="0" w:color="auto"/>
            <w:bottom w:val="none" w:sz="0" w:space="0" w:color="auto"/>
            <w:right w:val="none" w:sz="0" w:space="0" w:color="auto"/>
          </w:divBdr>
          <w:divsChild>
            <w:div w:id="1269581170">
              <w:marLeft w:val="0"/>
              <w:marRight w:val="0"/>
              <w:marTop w:val="0"/>
              <w:marBottom w:val="0"/>
              <w:divBdr>
                <w:top w:val="none" w:sz="0" w:space="0" w:color="auto"/>
                <w:left w:val="none" w:sz="0" w:space="0" w:color="auto"/>
                <w:bottom w:val="none" w:sz="0" w:space="0" w:color="auto"/>
                <w:right w:val="none" w:sz="0" w:space="0" w:color="auto"/>
              </w:divBdr>
            </w:div>
            <w:div w:id="1367637510">
              <w:marLeft w:val="0"/>
              <w:marRight w:val="0"/>
              <w:marTop w:val="0"/>
              <w:marBottom w:val="0"/>
              <w:divBdr>
                <w:top w:val="none" w:sz="0" w:space="0" w:color="auto"/>
                <w:left w:val="none" w:sz="0" w:space="0" w:color="auto"/>
                <w:bottom w:val="none" w:sz="0" w:space="0" w:color="auto"/>
                <w:right w:val="none" w:sz="0" w:space="0" w:color="auto"/>
              </w:divBdr>
            </w:div>
            <w:div w:id="1381439282">
              <w:marLeft w:val="0"/>
              <w:marRight w:val="0"/>
              <w:marTop w:val="0"/>
              <w:marBottom w:val="0"/>
              <w:divBdr>
                <w:top w:val="none" w:sz="0" w:space="0" w:color="auto"/>
                <w:left w:val="none" w:sz="0" w:space="0" w:color="auto"/>
                <w:bottom w:val="none" w:sz="0" w:space="0" w:color="auto"/>
                <w:right w:val="none" w:sz="0" w:space="0" w:color="auto"/>
              </w:divBdr>
            </w:div>
            <w:div w:id="1639650362">
              <w:marLeft w:val="0"/>
              <w:marRight w:val="0"/>
              <w:marTop w:val="0"/>
              <w:marBottom w:val="0"/>
              <w:divBdr>
                <w:top w:val="none" w:sz="0" w:space="0" w:color="auto"/>
                <w:left w:val="none" w:sz="0" w:space="0" w:color="auto"/>
                <w:bottom w:val="none" w:sz="0" w:space="0" w:color="auto"/>
                <w:right w:val="none" w:sz="0" w:space="0" w:color="auto"/>
              </w:divBdr>
            </w:div>
            <w:div w:id="2033532311">
              <w:marLeft w:val="0"/>
              <w:marRight w:val="0"/>
              <w:marTop w:val="0"/>
              <w:marBottom w:val="0"/>
              <w:divBdr>
                <w:top w:val="none" w:sz="0" w:space="0" w:color="auto"/>
                <w:left w:val="none" w:sz="0" w:space="0" w:color="auto"/>
                <w:bottom w:val="none" w:sz="0" w:space="0" w:color="auto"/>
                <w:right w:val="none" w:sz="0" w:space="0" w:color="auto"/>
              </w:divBdr>
            </w:div>
          </w:divsChild>
        </w:div>
        <w:div w:id="1907523175">
          <w:marLeft w:val="0"/>
          <w:marRight w:val="0"/>
          <w:marTop w:val="0"/>
          <w:marBottom w:val="0"/>
          <w:divBdr>
            <w:top w:val="none" w:sz="0" w:space="0" w:color="auto"/>
            <w:left w:val="none" w:sz="0" w:space="0" w:color="auto"/>
            <w:bottom w:val="none" w:sz="0" w:space="0" w:color="auto"/>
            <w:right w:val="none" w:sz="0" w:space="0" w:color="auto"/>
          </w:divBdr>
          <w:divsChild>
            <w:div w:id="66155572">
              <w:marLeft w:val="0"/>
              <w:marRight w:val="0"/>
              <w:marTop w:val="0"/>
              <w:marBottom w:val="0"/>
              <w:divBdr>
                <w:top w:val="none" w:sz="0" w:space="0" w:color="auto"/>
                <w:left w:val="none" w:sz="0" w:space="0" w:color="auto"/>
                <w:bottom w:val="none" w:sz="0" w:space="0" w:color="auto"/>
                <w:right w:val="none" w:sz="0" w:space="0" w:color="auto"/>
              </w:divBdr>
            </w:div>
            <w:div w:id="267273782">
              <w:marLeft w:val="0"/>
              <w:marRight w:val="0"/>
              <w:marTop w:val="0"/>
              <w:marBottom w:val="0"/>
              <w:divBdr>
                <w:top w:val="none" w:sz="0" w:space="0" w:color="auto"/>
                <w:left w:val="none" w:sz="0" w:space="0" w:color="auto"/>
                <w:bottom w:val="none" w:sz="0" w:space="0" w:color="auto"/>
                <w:right w:val="none" w:sz="0" w:space="0" w:color="auto"/>
              </w:divBdr>
            </w:div>
            <w:div w:id="828979472">
              <w:marLeft w:val="0"/>
              <w:marRight w:val="0"/>
              <w:marTop w:val="0"/>
              <w:marBottom w:val="0"/>
              <w:divBdr>
                <w:top w:val="none" w:sz="0" w:space="0" w:color="auto"/>
                <w:left w:val="none" w:sz="0" w:space="0" w:color="auto"/>
                <w:bottom w:val="none" w:sz="0" w:space="0" w:color="auto"/>
                <w:right w:val="none" w:sz="0" w:space="0" w:color="auto"/>
              </w:divBdr>
            </w:div>
            <w:div w:id="1232079525">
              <w:marLeft w:val="0"/>
              <w:marRight w:val="0"/>
              <w:marTop w:val="0"/>
              <w:marBottom w:val="0"/>
              <w:divBdr>
                <w:top w:val="none" w:sz="0" w:space="0" w:color="auto"/>
                <w:left w:val="none" w:sz="0" w:space="0" w:color="auto"/>
                <w:bottom w:val="none" w:sz="0" w:space="0" w:color="auto"/>
                <w:right w:val="none" w:sz="0" w:space="0" w:color="auto"/>
              </w:divBdr>
            </w:div>
            <w:div w:id="1295450749">
              <w:marLeft w:val="0"/>
              <w:marRight w:val="0"/>
              <w:marTop w:val="0"/>
              <w:marBottom w:val="0"/>
              <w:divBdr>
                <w:top w:val="none" w:sz="0" w:space="0" w:color="auto"/>
                <w:left w:val="none" w:sz="0" w:space="0" w:color="auto"/>
                <w:bottom w:val="none" w:sz="0" w:space="0" w:color="auto"/>
                <w:right w:val="none" w:sz="0" w:space="0" w:color="auto"/>
              </w:divBdr>
            </w:div>
          </w:divsChild>
        </w:div>
        <w:div w:id="2092967053">
          <w:marLeft w:val="0"/>
          <w:marRight w:val="0"/>
          <w:marTop w:val="0"/>
          <w:marBottom w:val="0"/>
          <w:divBdr>
            <w:top w:val="none" w:sz="0" w:space="0" w:color="auto"/>
            <w:left w:val="none" w:sz="0" w:space="0" w:color="auto"/>
            <w:bottom w:val="none" w:sz="0" w:space="0" w:color="auto"/>
            <w:right w:val="none" w:sz="0" w:space="0" w:color="auto"/>
          </w:divBdr>
          <w:divsChild>
            <w:div w:id="169372592">
              <w:marLeft w:val="0"/>
              <w:marRight w:val="0"/>
              <w:marTop w:val="0"/>
              <w:marBottom w:val="0"/>
              <w:divBdr>
                <w:top w:val="none" w:sz="0" w:space="0" w:color="auto"/>
                <w:left w:val="none" w:sz="0" w:space="0" w:color="auto"/>
                <w:bottom w:val="none" w:sz="0" w:space="0" w:color="auto"/>
                <w:right w:val="none" w:sz="0" w:space="0" w:color="auto"/>
              </w:divBdr>
            </w:div>
            <w:div w:id="618142942">
              <w:marLeft w:val="0"/>
              <w:marRight w:val="0"/>
              <w:marTop w:val="0"/>
              <w:marBottom w:val="0"/>
              <w:divBdr>
                <w:top w:val="none" w:sz="0" w:space="0" w:color="auto"/>
                <w:left w:val="none" w:sz="0" w:space="0" w:color="auto"/>
                <w:bottom w:val="none" w:sz="0" w:space="0" w:color="auto"/>
                <w:right w:val="none" w:sz="0" w:space="0" w:color="auto"/>
              </w:divBdr>
            </w:div>
            <w:div w:id="1232884838">
              <w:marLeft w:val="0"/>
              <w:marRight w:val="0"/>
              <w:marTop w:val="0"/>
              <w:marBottom w:val="0"/>
              <w:divBdr>
                <w:top w:val="none" w:sz="0" w:space="0" w:color="auto"/>
                <w:left w:val="none" w:sz="0" w:space="0" w:color="auto"/>
                <w:bottom w:val="none" w:sz="0" w:space="0" w:color="auto"/>
                <w:right w:val="none" w:sz="0" w:space="0" w:color="auto"/>
              </w:divBdr>
            </w:div>
            <w:div w:id="1337197853">
              <w:marLeft w:val="0"/>
              <w:marRight w:val="0"/>
              <w:marTop w:val="0"/>
              <w:marBottom w:val="0"/>
              <w:divBdr>
                <w:top w:val="none" w:sz="0" w:space="0" w:color="auto"/>
                <w:left w:val="none" w:sz="0" w:space="0" w:color="auto"/>
                <w:bottom w:val="none" w:sz="0" w:space="0" w:color="auto"/>
                <w:right w:val="none" w:sz="0" w:space="0" w:color="auto"/>
              </w:divBdr>
            </w:div>
            <w:div w:id="20668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8348">
      <w:bodyDiv w:val="1"/>
      <w:marLeft w:val="0"/>
      <w:marRight w:val="0"/>
      <w:marTop w:val="0"/>
      <w:marBottom w:val="0"/>
      <w:divBdr>
        <w:top w:val="none" w:sz="0" w:space="0" w:color="auto"/>
        <w:left w:val="none" w:sz="0" w:space="0" w:color="auto"/>
        <w:bottom w:val="none" w:sz="0" w:space="0" w:color="auto"/>
        <w:right w:val="none" w:sz="0" w:space="0" w:color="auto"/>
      </w:divBdr>
    </w:div>
    <w:div w:id="1198547848">
      <w:bodyDiv w:val="1"/>
      <w:marLeft w:val="0"/>
      <w:marRight w:val="0"/>
      <w:marTop w:val="0"/>
      <w:marBottom w:val="0"/>
      <w:divBdr>
        <w:top w:val="none" w:sz="0" w:space="0" w:color="auto"/>
        <w:left w:val="none" w:sz="0" w:space="0" w:color="auto"/>
        <w:bottom w:val="none" w:sz="0" w:space="0" w:color="auto"/>
        <w:right w:val="none" w:sz="0" w:space="0" w:color="auto"/>
      </w:divBdr>
      <w:divsChild>
        <w:div w:id="4213625">
          <w:marLeft w:val="0"/>
          <w:marRight w:val="0"/>
          <w:marTop w:val="0"/>
          <w:marBottom w:val="0"/>
          <w:divBdr>
            <w:top w:val="none" w:sz="0" w:space="0" w:color="auto"/>
            <w:left w:val="none" w:sz="0" w:space="0" w:color="auto"/>
            <w:bottom w:val="none" w:sz="0" w:space="0" w:color="auto"/>
            <w:right w:val="none" w:sz="0" w:space="0" w:color="auto"/>
          </w:divBdr>
        </w:div>
        <w:div w:id="1019509782">
          <w:marLeft w:val="0"/>
          <w:marRight w:val="0"/>
          <w:marTop w:val="0"/>
          <w:marBottom w:val="0"/>
          <w:divBdr>
            <w:top w:val="none" w:sz="0" w:space="0" w:color="auto"/>
            <w:left w:val="none" w:sz="0" w:space="0" w:color="auto"/>
            <w:bottom w:val="none" w:sz="0" w:space="0" w:color="auto"/>
            <w:right w:val="none" w:sz="0" w:space="0" w:color="auto"/>
          </w:divBdr>
        </w:div>
        <w:div w:id="1368064969">
          <w:marLeft w:val="0"/>
          <w:marRight w:val="0"/>
          <w:marTop w:val="0"/>
          <w:marBottom w:val="0"/>
          <w:divBdr>
            <w:top w:val="none" w:sz="0" w:space="0" w:color="auto"/>
            <w:left w:val="none" w:sz="0" w:space="0" w:color="auto"/>
            <w:bottom w:val="none" w:sz="0" w:space="0" w:color="auto"/>
            <w:right w:val="none" w:sz="0" w:space="0" w:color="auto"/>
          </w:divBdr>
        </w:div>
        <w:div w:id="1667434729">
          <w:marLeft w:val="0"/>
          <w:marRight w:val="0"/>
          <w:marTop w:val="0"/>
          <w:marBottom w:val="0"/>
          <w:divBdr>
            <w:top w:val="none" w:sz="0" w:space="0" w:color="auto"/>
            <w:left w:val="none" w:sz="0" w:space="0" w:color="auto"/>
            <w:bottom w:val="none" w:sz="0" w:space="0" w:color="auto"/>
            <w:right w:val="none" w:sz="0" w:space="0" w:color="auto"/>
          </w:divBdr>
        </w:div>
        <w:div w:id="1955483066">
          <w:marLeft w:val="0"/>
          <w:marRight w:val="0"/>
          <w:marTop w:val="0"/>
          <w:marBottom w:val="0"/>
          <w:divBdr>
            <w:top w:val="none" w:sz="0" w:space="0" w:color="auto"/>
            <w:left w:val="none" w:sz="0" w:space="0" w:color="auto"/>
            <w:bottom w:val="none" w:sz="0" w:space="0" w:color="auto"/>
            <w:right w:val="none" w:sz="0" w:space="0" w:color="auto"/>
          </w:divBdr>
        </w:div>
        <w:div w:id="1975870209">
          <w:marLeft w:val="0"/>
          <w:marRight w:val="0"/>
          <w:marTop w:val="0"/>
          <w:marBottom w:val="0"/>
          <w:divBdr>
            <w:top w:val="none" w:sz="0" w:space="0" w:color="auto"/>
            <w:left w:val="none" w:sz="0" w:space="0" w:color="auto"/>
            <w:bottom w:val="none" w:sz="0" w:space="0" w:color="auto"/>
            <w:right w:val="none" w:sz="0" w:space="0" w:color="auto"/>
          </w:divBdr>
        </w:div>
      </w:divsChild>
    </w:div>
    <w:div w:id="1202791734">
      <w:bodyDiv w:val="1"/>
      <w:marLeft w:val="0"/>
      <w:marRight w:val="0"/>
      <w:marTop w:val="0"/>
      <w:marBottom w:val="0"/>
      <w:divBdr>
        <w:top w:val="none" w:sz="0" w:space="0" w:color="auto"/>
        <w:left w:val="none" w:sz="0" w:space="0" w:color="auto"/>
        <w:bottom w:val="none" w:sz="0" w:space="0" w:color="auto"/>
        <w:right w:val="none" w:sz="0" w:space="0" w:color="auto"/>
      </w:divBdr>
    </w:div>
    <w:div w:id="1203638486">
      <w:bodyDiv w:val="1"/>
      <w:marLeft w:val="0"/>
      <w:marRight w:val="0"/>
      <w:marTop w:val="0"/>
      <w:marBottom w:val="0"/>
      <w:divBdr>
        <w:top w:val="none" w:sz="0" w:space="0" w:color="auto"/>
        <w:left w:val="none" w:sz="0" w:space="0" w:color="auto"/>
        <w:bottom w:val="none" w:sz="0" w:space="0" w:color="auto"/>
        <w:right w:val="none" w:sz="0" w:space="0" w:color="auto"/>
      </w:divBdr>
      <w:divsChild>
        <w:div w:id="36666888">
          <w:marLeft w:val="0"/>
          <w:marRight w:val="0"/>
          <w:marTop w:val="0"/>
          <w:marBottom w:val="0"/>
          <w:divBdr>
            <w:top w:val="none" w:sz="0" w:space="0" w:color="auto"/>
            <w:left w:val="none" w:sz="0" w:space="0" w:color="auto"/>
            <w:bottom w:val="none" w:sz="0" w:space="0" w:color="auto"/>
            <w:right w:val="none" w:sz="0" w:space="0" w:color="auto"/>
          </w:divBdr>
          <w:divsChild>
            <w:div w:id="1599287266">
              <w:marLeft w:val="0"/>
              <w:marRight w:val="0"/>
              <w:marTop w:val="0"/>
              <w:marBottom w:val="0"/>
              <w:divBdr>
                <w:top w:val="none" w:sz="0" w:space="0" w:color="auto"/>
                <w:left w:val="none" w:sz="0" w:space="0" w:color="auto"/>
                <w:bottom w:val="none" w:sz="0" w:space="0" w:color="auto"/>
                <w:right w:val="none" w:sz="0" w:space="0" w:color="auto"/>
              </w:divBdr>
            </w:div>
          </w:divsChild>
        </w:div>
        <w:div w:id="61027930">
          <w:marLeft w:val="0"/>
          <w:marRight w:val="0"/>
          <w:marTop w:val="0"/>
          <w:marBottom w:val="0"/>
          <w:divBdr>
            <w:top w:val="none" w:sz="0" w:space="0" w:color="auto"/>
            <w:left w:val="none" w:sz="0" w:space="0" w:color="auto"/>
            <w:bottom w:val="none" w:sz="0" w:space="0" w:color="auto"/>
            <w:right w:val="none" w:sz="0" w:space="0" w:color="auto"/>
          </w:divBdr>
          <w:divsChild>
            <w:div w:id="467359713">
              <w:marLeft w:val="0"/>
              <w:marRight w:val="0"/>
              <w:marTop w:val="0"/>
              <w:marBottom w:val="0"/>
              <w:divBdr>
                <w:top w:val="none" w:sz="0" w:space="0" w:color="auto"/>
                <w:left w:val="none" w:sz="0" w:space="0" w:color="auto"/>
                <w:bottom w:val="none" w:sz="0" w:space="0" w:color="auto"/>
                <w:right w:val="none" w:sz="0" w:space="0" w:color="auto"/>
              </w:divBdr>
            </w:div>
          </w:divsChild>
        </w:div>
        <w:div w:id="68698168">
          <w:marLeft w:val="0"/>
          <w:marRight w:val="0"/>
          <w:marTop w:val="0"/>
          <w:marBottom w:val="0"/>
          <w:divBdr>
            <w:top w:val="none" w:sz="0" w:space="0" w:color="auto"/>
            <w:left w:val="none" w:sz="0" w:space="0" w:color="auto"/>
            <w:bottom w:val="none" w:sz="0" w:space="0" w:color="auto"/>
            <w:right w:val="none" w:sz="0" w:space="0" w:color="auto"/>
          </w:divBdr>
          <w:divsChild>
            <w:div w:id="1715496610">
              <w:marLeft w:val="0"/>
              <w:marRight w:val="0"/>
              <w:marTop w:val="0"/>
              <w:marBottom w:val="0"/>
              <w:divBdr>
                <w:top w:val="none" w:sz="0" w:space="0" w:color="auto"/>
                <w:left w:val="none" w:sz="0" w:space="0" w:color="auto"/>
                <w:bottom w:val="none" w:sz="0" w:space="0" w:color="auto"/>
                <w:right w:val="none" w:sz="0" w:space="0" w:color="auto"/>
              </w:divBdr>
            </w:div>
          </w:divsChild>
        </w:div>
        <w:div w:id="117191929">
          <w:marLeft w:val="0"/>
          <w:marRight w:val="0"/>
          <w:marTop w:val="0"/>
          <w:marBottom w:val="0"/>
          <w:divBdr>
            <w:top w:val="none" w:sz="0" w:space="0" w:color="auto"/>
            <w:left w:val="none" w:sz="0" w:space="0" w:color="auto"/>
            <w:bottom w:val="none" w:sz="0" w:space="0" w:color="auto"/>
            <w:right w:val="none" w:sz="0" w:space="0" w:color="auto"/>
          </w:divBdr>
          <w:divsChild>
            <w:div w:id="1764104621">
              <w:marLeft w:val="0"/>
              <w:marRight w:val="0"/>
              <w:marTop w:val="0"/>
              <w:marBottom w:val="0"/>
              <w:divBdr>
                <w:top w:val="none" w:sz="0" w:space="0" w:color="auto"/>
                <w:left w:val="none" w:sz="0" w:space="0" w:color="auto"/>
                <w:bottom w:val="none" w:sz="0" w:space="0" w:color="auto"/>
                <w:right w:val="none" w:sz="0" w:space="0" w:color="auto"/>
              </w:divBdr>
            </w:div>
          </w:divsChild>
        </w:div>
        <w:div w:id="147329578">
          <w:marLeft w:val="0"/>
          <w:marRight w:val="0"/>
          <w:marTop w:val="0"/>
          <w:marBottom w:val="0"/>
          <w:divBdr>
            <w:top w:val="none" w:sz="0" w:space="0" w:color="auto"/>
            <w:left w:val="none" w:sz="0" w:space="0" w:color="auto"/>
            <w:bottom w:val="none" w:sz="0" w:space="0" w:color="auto"/>
            <w:right w:val="none" w:sz="0" w:space="0" w:color="auto"/>
          </w:divBdr>
          <w:divsChild>
            <w:div w:id="1456679952">
              <w:marLeft w:val="0"/>
              <w:marRight w:val="0"/>
              <w:marTop w:val="0"/>
              <w:marBottom w:val="0"/>
              <w:divBdr>
                <w:top w:val="none" w:sz="0" w:space="0" w:color="auto"/>
                <w:left w:val="none" w:sz="0" w:space="0" w:color="auto"/>
                <w:bottom w:val="none" w:sz="0" w:space="0" w:color="auto"/>
                <w:right w:val="none" w:sz="0" w:space="0" w:color="auto"/>
              </w:divBdr>
            </w:div>
          </w:divsChild>
        </w:div>
        <w:div w:id="171184837">
          <w:marLeft w:val="0"/>
          <w:marRight w:val="0"/>
          <w:marTop w:val="0"/>
          <w:marBottom w:val="0"/>
          <w:divBdr>
            <w:top w:val="none" w:sz="0" w:space="0" w:color="auto"/>
            <w:left w:val="none" w:sz="0" w:space="0" w:color="auto"/>
            <w:bottom w:val="none" w:sz="0" w:space="0" w:color="auto"/>
            <w:right w:val="none" w:sz="0" w:space="0" w:color="auto"/>
          </w:divBdr>
          <w:divsChild>
            <w:div w:id="963121517">
              <w:marLeft w:val="0"/>
              <w:marRight w:val="0"/>
              <w:marTop w:val="0"/>
              <w:marBottom w:val="0"/>
              <w:divBdr>
                <w:top w:val="none" w:sz="0" w:space="0" w:color="auto"/>
                <w:left w:val="none" w:sz="0" w:space="0" w:color="auto"/>
                <w:bottom w:val="none" w:sz="0" w:space="0" w:color="auto"/>
                <w:right w:val="none" w:sz="0" w:space="0" w:color="auto"/>
              </w:divBdr>
            </w:div>
          </w:divsChild>
        </w:div>
        <w:div w:id="192498980">
          <w:marLeft w:val="0"/>
          <w:marRight w:val="0"/>
          <w:marTop w:val="0"/>
          <w:marBottom w:val="0"/>
          <w:divBdr>
            <w:top w:val="none" w:sz="0" w:space="0" w:color="auto"/>
            <w:left w:val="none" w:sz="0" w:space="0" w:color="auto"/>
            <w:bottom w:val="none" w:sz="0" w:space="0" w:color="auto"/>
            <w:right w:val="none" w:sz="0" w:space="0" w:color="auto"/>
          </w:divBdr>
          <w:divsChild>
            <w:div w:id="1250431875">
              <w:marLeft w:val="0"/>
              <w:marRight w:val="0"/>
              <w:marTop w:val="0"/>
              <w:marBottom w:val="0"/>
              <w:divBdr>
                <w:top w:val="none" w:sz="0" w:space="0" w:color="auto"/>
                <w:left w:val="none" w:sz="0" w:space="0" w:color="auto"/>
                <w:bottom w:val="none" w:sz="0" w:space="0" w:color="auto"/>
                <w:right w:val="none" w:sz="0" w:space="0" w:color="auto"/>
              </w:divBdr>
            </w:div>
          </w:divsChild>
        </w:div>
        <w:div w:id="199318700">
          <w:marLeft w:val="0"/>
          <w:marRight w:val="0"/>
          <w:marTop w:val="0"/>
          <w:marBottom w:val="0"/>
          <w:divBdr>
            <w:top w:val="none" w:sz="0" w:space="0" w:color="auto"/>
            <w:left w:val="none" w:sz="0" w:space="0" w:color="auto"/>
            <w:bottom w:val="none" w:sz="0" w:space="0" w:color="auto"/>
            <w:right w:val="none" w:sz="0" w:space="0" w:color="auto"/>
          </w:divBdr>
          <w:divsChild>
            <w:div w:id="1616861037">
              <w:marLeft w:val="0"/>
              <w:marRight w:val="0"/>
              <w:marTop w:val="0"/>
              <w:marBottom w:val="0"/>
              <w:divBdr>
                <w:top w:val="none" w:sz="0" w:space="0" w:color="auto"/>
                <w:left w:val="none" w:sz="0" w:space="0" w:color="auto"/>
                <w:bottom w:val="none" w:sz="0" w:space="0" w:color="auto"/>
                <w:right w:val="none" w:sz="0" w:space="0" w:color="auto"/>
              </w:divBdr>
            </w:div>
          </w:divsChild>
        </w:div>
        <w:div w:id="201093833">
          <w:marLeft w:val="0"/>
          <w:marRight w:val="0"/>
          <w:marTop w:val="0"/>
          <w:marBottom w:val="0"/>
          <w:divBdr>
            <w:top w:val="none" w:sz="0" w:space="0" w:color="auto"/>
            <w:left w:val="none" w:sz="0" w:space="0" w:color="auto"/>
            <w:bottom w:val="none" w:sz="0" w:space="0" w:color="auto"/>
            <w:right w:val="none" w:sz="0" w:space="0" w:color="auto"/>
          </w:divBdr>
          <w:divsChild>
            <w:div w:id="654067354">
              <w:marLeft w:val="0"/>
              <w:marRight w:val="0"/>
              <w:marTop w:val="0"/>
              <w:marBottom w:val="0"/>
              <w:divBdr>
                <w:top w:val="none" w:sz="0" w:space="0" w:color="auto"/>
                <w:left w:val="none" w:sz="0" w:space="0" w:color="auto"/>
                <w:bottom w:val="none" w:sz="0" w:space="0" w:color="auto"/>
                <w:right w:val="none" w:sz="0" w:space="0" w:color="auto"/>
              </w:divBdr>
            </w:div>
          </w:divsChild>
        </w:div>
        <w:div w:id="219172175">
          <w:marLeft w:val="0"/>
          <w:marRight w:val="0"/>
          <w:marTop w:val="0"/>
          <w:marBottom w:val="0"/>
          <w:divBdr>
            <w:top w:val="none" w:sz="0" w:space="0" w:color="auto"/>
            <w:left w:val="none" w:sz="0" w:space="0" w:color="auto"/>
            <w:bottom w:val="none" w:sz="0" w:space="0" w:color="auto"/>
            <w:right w:val="none" w:sz="0" w:space="0" w:color="auto"/>
          </w:divBdr>
          <w:divsChild>
            <w:div w:id="134757814">
              <w:marLeft w:val="0"/>
              <w:marRight w:val="0"/>
              <w:marTop w:val="0"/>
              <w:marBottom w:val="0"/>
              <w:divBdr>
                <w:top w:val="none" w:sz="0" w:space="0" w:color="auto"/>
                <w:left w:val="none" w:sz="0" w:space="0" w:color="auto"/>
                <w:bottom w:val="none" w:sz="0" w:space="0" w:color="auto"/>
                <w:right w:val="none" w:sz="0" w:space="0" w:color="auto"/>
              </w:divBdr>
            </w:div>
          </w:divsChild>
        </w:div>
        <w:div w:id="270402361">
          <w:marLeft w:val="0"/>
          <w:marRight w:val="0"/>
          <w:marTop w:val="0"/>
          <w:marBottom w:val="0"/>
          <w:divBdr>
            <w:top w:val="none" w:sz="0" w:space="0" w:color="auto"/>
            <w:left w:val="none" w:sz="0" w:space="0" w:color="auto"/>
            <w:bottom w:val="none" w:sz="0" w:space="0" w:color="auto"/>
            <w:right w:val="none" w:sz="0" w:space="0" w:color="auto"/>
          </w:divBdr>
          <w:divsChild>
            <w:div w:id="7611044">
              <w:marLeft w:val="0"/>
              <w:marRight w:val="0"/>
              <w:marTop w:val="0"/>
              <w:marBottom w:val="0"/>
              <w:divBdr>
                <w:top w:val="none" w:sz="0" w:space="0" w:color="auto"/>
                <w:left w:val="none" w:sz="0" w:space="0" w:color="auto"/>
                <w:bottom w:val="none" w:sz="0" w:space="0" w:color="auto"/>
                <w:right w:val="none" w:sz="0" w:space="0" w:color="auto"/>
              </w:divBdr>
            </w:div>
          </w:divsChild>
        </w:div>
        <w:div w:id="280694650">
          <w:marLeft w:val="0"/>
          <w:marRight w:val="0"/>
          <w:marTop w:val="0"/>
          <w:marBottom w:val="0"/>
          <w:divBdr>
            <w:top w:val="none" w:sz="0" w:space="0" w:color="auto"/>
            <w:left w:val="none" w:sz="0" w:space="0" w:color="auto"/>
            <w:bottom w:val="none" w:sz="0" w:space="0" w:color="auto"/>
            <w:right w:val="none" w:sz="0" w:space="0" w:color="auto"/>
          </w:divBdr>
          <w:divsChild>
            <w:div w:id="607202498">
              <w:marLeft w:val="0"/>
              <w:marRight w:val="0"/>
              <w:marTop w:val="0"/>
              <w:marBottom w:val="0"/>
              <w:divBdr>
                <w:top w:val="none" w:sz="0" w:space="0" w:color="auto"/>
                <w:left w:val="none" w:sz="0" w:space="0" w:color="auto"/>
                <w:bottom w:val="none" w:sz="0" w:space="0" w:color="auto"/>
                <w:right w:val="none" w:sz="0" w:space="0" w:color="auto"/>
              </w:divBdr>
            </w:div>
          </w:divsChild>
        </w:div>
        <w:div w:id="310673120">
          <w:marLeft w:val="0"/>
          <w:marRight w:val="0"/>
          <w:marTop w:val="0"/>
          <w:marBottom w:val="0"/>
          <w:divBdr>
            <w:top w:val="none" w:sz="0" w:space="0" w:color="auto"/>
            <w:left w:val="none" w:sz="0" w:space="0" w:color="auto"/>
            <w:bottom w:val="none" w:sz="0" w:space="0" w:color="auto"/>
            <w:right w:val="none" w:sz="0" w:space="0" w:color="auto"/>
          </w:divBdr>
          <w:divsChild>
            <w:div w:id="1991859964">
              <w:marLeft w:val="0"/>
              <w:marRight w:val="0"/>
              <w:marTop w:val="0"/>
              <w:marBottom w:val="0"/>
              <w:divBdr>
                <w:top w:val="none" w:sz="0" w:space="0" w:color="auto"/>
                <w:left w:val="none" w:sz="0" w:space="0" w:color="auto"/>
                <w:bottom w:val="none" w:sz="0" w:space="0" w:color="auto"/>
                <w:right w:val="none" w:sz="0" w:space="0" w:color="auto"/>
              </w:divBdr>
            </w:div>
          </w:divsChild>
        </w:div>
        <w:div w:id="373896038">
          <w:marLeft w:val="0"/>
          <w:marRight w:val="0"/>
          <w:marTop w:val="0"/>
          <w:marBottom w:val="0"/>
          <w:divBdr>
            <w:top w:val="none" w:sz="0" w:space="0" w:color="auto"/>
            <w:left w:val="none" w:sz="0" w:space="0" w:color="auto"/>
            <w:bottom w:val="none" w:sz="0" w:space="0" w:color="auto"/>
            <w:right w:val="none" w:sz="0" w:space="0" w:color="auto"/>
          </w:divBdr>
          <w:divsChild>
            <w:div w:id="1496336883">
              <w:marLeft w:val="0"/>
              <w:marRight w:val="0"/>
              <w:marTop w:val="0"/>
              <w:marBottom w:val="0"/>
              <w:divBdr>
                <w:top w:val="none" w:sz="0" w:space="0" w:color="auto"/>
                <w:left w:val="none" w:sz="0" w:space="0" w:color="auto"/>
                <w:bottom w:val="none" w:sz="0" w:space="0" w:color="auto"/>
                <w:right w:val="none" w:sz="0" w:space="0" w:color="auto"/>
              </w:divBdr>
            </w:div>
          </w:divsChild>
        </w:div>
        <w:div w:id="402021472">
          <w:marLeft w:val="0"/>
          <w:marRight w:val="0"/>
          <w:marTop w:val="0"/>
          <w:marBottom w:val="0"/>
          <w:divBdr>
            <w:top w:val="none" w:sz="0" w:space="0" w:color="auto"/>
            <w:left w:val="none" w:sz="0" w:space="0" w:color="auto"/>
            <w:bottom w:val="none" w:sz="0" w:space="0" w:color="auto"/>
            <w:right w:val="none" w:sz="0" w:space="0" w:color="auto"/>
          </w:divBdr>
          <w:divsChild>
            <w:div w:id="732628166">
              <w:marLeft w:val="0"/>
              <w:marRight w:val="0"/>
              <w:marTop w:val="0"/>
              <w:marBottom w:val="0"/>
              <w:divBdr>
                <w:top w:val="none" w:sz="0" w:space="0" w:color="auto"/>
                <w:left w:val="none" w:sz="0" w:space="0" w:color="auto"/>
                <w:bottom w:val="none" w:sz="0" w:space="0" w:color="auto"/>
                <w:right w:val="none" w:sz="0" w:space="0" w:color="auto"/>
              </w:divBdr>
            </w:div>
          </w:divsChild>
        </w:div>
        <w:div w:id="427045889">
          <w:marLeft w:val="0"/>
          <w:marRight w:val="0"/>
          <w:marTop w:val="0"/>
          <w:marBottom w:val="0"/>
          <w:divBdr>
            <w:top w:val="none" w:sz="0" w:space="0" w:color="auto"/>
            <w:left w:val="none" w:sz="0" w:space="0" w:color="auto"/>
            <w:bottom w:val="none" w:sz="0" w:space="0" w:color="auto"/>
            <w:right w:val="none" w:sz="0" w:space="0" w:color="auto"/>
          </w:divBdr>
          <w:divsChild>
            <w:div w:id="2086876845">
              <w:marLeft w:val="0"/>
              <w:marRight w:val="0"/>
              <w:marTop w:val="0"/>
              <w:marBottom w:val="0"/>
              <w:divBdr>
                <w:top w:val="none" w:sz="0" w:space="0" w:color="auto"/>
                <w:left w:val="none" w:sz="0" w:space="0" w:color="auto"/>
                <w:bottom w:val="none" w:sz="0" w:space="0" w:color="auto"/>
                <w:right w:val="none" w:sz="0" w:space="0" w:color="auto"/>
              </w:divBdr>
            </w:div>
          </w:divsChild>
        </w:div>
        <w:div w:id="448282280">
          <w:marLeft w:val="0"/>
          <w:marRight w:val="0"/>
          <w:marTop w:val="0"/>
          <w:marBottom w:val="0"/>
          <w:divBdr>
            <w:top w:val="none" w:sz="0" w:space="0" w:color="auto"/>
            <w:left w:val="none" w:sz="0" w:space="0" w:color="auto"/>
            <w:bottom w:val="none" w:sz="0" w:space="0" w:color="auto"/>
            <w:right w:val="none" w:sz="0" w:space="0" w:color="auto"/>
          </w:divBdr>
          <w:divsChild>
            <w:div w:id="1537697990">
              <w:marLeft w:val="0"/>
              <w:marRight w:val="0"/>
              <w:marTop w:val="0"/>
              <w:marBottom w:val="0"/>
              <w:divBdr>
                <w:top w:val="none" w:sz="0" w:space="0" w:color="auto"/>
                <w:left w:val="none" w:sz="0" w:space="0" w:color="auto"/>
                <w:bottom w:val="none" w:sz="0" w:space="0" w:color="auto"/>
                <w:right w:val="none" w:sz="0" w:space="0" w:color="auto"/>
              </w:divBdr>
            </w:div>
          </w:divsChild>
        </w:div>
        <w:div w:id="507255028">
          <w:marLeft w:val="0"/>
          <w:marRight w:val="0"/>
          <w:marTop w:val="0"/>
          <w:marBottom w:val="0"/>
          <w:divBdr>
            <w:top w:val="none" w:sz="0" w:space="0" w:color="auto"/>
            <w:left w:val="none" w:sz="0" w:space="0" w:color="auto"/>
            <w:bottom w:val="none" w:sz="0" w:space="0" w:color="auto"/>
            <w:right w:val="none" w:sz="0" w:space="0" w:color="auto"/>
          </w:divBdr>
          <w:divsChild>
            <w:div w:id="1448965983">
              <w:marLeft w:val="0"/>
              <w:marRight w:val="0"/>
              <w:marTop w:val="0"/>
              <w:marBottom w:val="0"/>
              <w:divBdr>
                <w:top w:val="none" w:sz="0" w:space="0" w:color="auto"/>
                <w:left w:val="none" w:sz="0" w:space="0" w:color="auto"/>
                <w:bottom w:val="none" w:sz="0" w:space="0" w:color="auto"/>
                <w:right w:val="none" w:sz="0" w:space="0" w:color="auto"/>
              </w:divBdr>
            </w:div>
          </w:divsChild>
        </w:div>
        <w:div w:id="598492350">
          <w:marLeft w:val="0"/>
          <w:marRight w:val="0"/>
          <w:marTop w:val="0"/>
          <w:marBottom w:val="0"/>
          <w:divBdr>
            <w:top w:val="none" w:sz="0" w:space="0" w:color="auto"/>
            <w:left w:val="none" w:sz="0" w:space="0" w:color="auto"/>
            <w:bottom w:val="none" w:sz="0" w:space="0" w:color="auto"/>
            <w:right w:val="none" w:sz="0" w:space="0" w:color="auto"/>
          </w:divBdr>
          <w:divsChild>
            <w:div w:id="262543456">
              <w:marLeft w:val="0"/>
              <w:marRight w:val="0"/>
              <w:marTop w:val="0"/>
              <w:marBottom w:val="0"/>
              <w:divBdr>
                <w:top w:val="none" w:sz="0" w:space="0" w:color="auto"/>
                <w:left w:val="none" w:sz="0" w:space="0" w:color="auto"/>
                <w:bottom w:val="none" w:sz="0" w:space="0" w:color="auto"/>
                <w:right w:val="none" w:sz="0" w:space="0" w:color="auto"/>
              </w:divBdr>
            </w:div>
          </w:divsChild>
        </w:div>
        <w:div w:id="605696418">
          <w:marLeft w:val="0"/>
          <w:marRight w:val="0"/>
          <w:marTop w:val="0"/>
          <w:marBottom w:val="0"/>
          <w:divBdr>
            <w:top w:val="none" w:sz="0" w:space="0" w:color="auto"/>
            <w:left w:val="none" w:sz="0" w:space="0" w:color="auto"/>
            <w:bottom w:val="none" w:sz="0" w:space="0" w:color="auto"/>
            <w:right w:val="none" w:sz="0" w:space="0" w:color="auto"/>
          </w:divBdr>
          <w:divsChild>
            <w:div w:id="2029258663">
              <w:marLeft w:val="0"/>
              <w:marRight w:val="0"/>
              <w:marTop w:val="0"/>
              <w:marBottom w:val="0"/>
              <w:divBdr>
                <w:top w:val="none" w:sz="0" w:space="0" w:color="auto"/>
                <w:left w:val="none" w:sz="0" w:space="0" w:color="auto"/>
                <w:bottom w:val="none" w:sz="0" w:space="0" w:color="auto"/>
                <w:right w:val="none" w:sz="0" w:space="0" w:color="auto"/>
              </w:divBdr>
            </w:div>
          </w:divsChild>
        </w:div>
        <w:div w:id="628242949">
          <w:marLeft w:val="0"/>
          <w:marRight w:val="0"/>
          <w:marTop w:val="0"/>
          <w:marBottom w:val="0"/>
          <w:divBdr>
            <w:top w:val="none" w:sz="0" w:space="0" w:color="auto"/>
            <w:left w:val="none" w:sz="0" w:space="0" w:color="auto"/>
            <w:bottom w:val="none" w:sz="0" w:space="0" w:color="auto"/>
            <w:right w:val="none" w:sz="0" w:space="0" w:color="auto"/>
          </w:divBdr>
          <w:divsChild>
            <w:div w:id="1978535965">
              <w:marLeft w:val="0"/>
              <w:marRight w:val="0"/>
              <w:marTop w:val="0"/>
              <w:marBottom w:val="0"/>
              <w:divBdr>
                <w:top w:val="none" w:sz="0" w:space="0" w:color="auto"/>
                <w:left w:val="none" w:sz="0" w:space="0" w:color="auto"/>
                <w:bottom w:val="none" w:sz="0" w:space="0" w:color="auto"/>
                <w:right w:val="none" w:sz="0" w:space="0" w:color="auto"/>
              </w:divBdr>
            </w:div>
          </w:divsChild>
        </w:div>
        <w:div w:id="642581148">
          <w:marLeft w:val="0"/>
          <w:marRight w:val="0"/>
          <w:marTop w:val="0"/>
          <w:marBottom w:val="0"/>
          <w:divBdr>
            <w:top w:val="none" w:sz="0" w:space="0" w:color="auto"/>
            <w:left w:val="none" w:sz="0" w:space="0" w:color="auto"/>
            <w:bottom w:val="none" w:sz="0" w:space="0" w:color="auto"/>
            <w:right w:val="none" w:sz="0" w:space="0" w:color="auto"/>
          </w:divBdr>
          <w:divsChild>
            <w:div w:id="1807313528">
              <w:marLeft w:val="0"/>
              <w:marRight w:val="0"/>
              <w:marTop w:val="0"/>
              <w:marBottom w:val="0"/>
              <w:divBdr>
                <w:top w:val="none" w:sz="0" w:space="0" w:color="auto"/>
                <w:left w:val="none" w:sz="0" w:space="0" w:color="auto"/>
                <w:bottom w:val="none" w:sz="0" w:space="0" w:color="auto"/>
                <w:right w:val="none" w:sz="0" w:space="0" w:color="auto"/>
              </w:divBdr>
            </w:div>
          </w:divsChild>
        </w:div>
        <w:div w:id="685599821">
          <w:marLeft w:val="0"/>
          <w:marRight w:val="0"/>
          <w:marTop w:val="0"/>
          <w:marBottom w:val="0"/>
          <w:divBdr>
            <w:top w:val="none" w:sz="0" w:space="0" w:color="auto"/>
            <w:left w:val="none" w:sz="0" w:space="0" w:color="auto"/>
            <w:bottom w:val="none" w:sz="0" w:space="0" w:color="auto"/>
            <w:right w:val="none" w:sz="0" w:space="0" w:color="auto"/>
          </w:divBdr>
          <w:divsChild>
            <w:div w:id="565726518">
              <w:marLeft w:val="0"/>
              <w:marRight w:val="0"/>
              <w:marTop w:val="0"/>
              <w:marBottom w:val="0"/>
              <w:divBdr>
                <w:top w:val="none" w:sz="0" w:space="0" w:color="auto"/>
                <w:left w:val="none" w:sz="0" w:space="0" w:color="auto"/>
                <w:bottom w:val="none" w:sz="0" w:space="0" w:color="auto"/>
                <w:right w:val="none" w:sz="0" w:space="0" w:color="auto"/>
              </w:divBdr>
            </w:div>
          </w:divsChild>
        </w:div>
        <w:div w:id="695159408">
          <w:marLeft w:val="0"/>
          <w:marRight w:val="0"/>
          <w:marTop w:val="0"/>
          <w:marBottom w:val="0"/>
          <w:divBdr>
            <w:top w:val="none" w:sz="0" w:space="0" w:color="auto"/>
            <w:left w:val="none" w:sz="0" w:space="0" w:color="auto"/>
            <w:bottom w:val="none" w:sz="0" w:space="0" w:color="auto"/>
            <w:right w:val="none" w:sz="0" w:space="0" w:color="auto"/>
          </w:divBdr>
          <w:divsChild>
            <w:div w:id="496306815">
              <w:marLeft w:val="0"/>
              <w:marRight w:val="0"/>
              <w:marTop w:val="0"/>
              <w:marBottom w:val="0"/>
              <w:divBdr>
                <w:top w:val="none" w:sz="0" w:space="0" w:color="auto"/>
                <w:left w:val="none" w:sz="0" w:space="0" w:color="auto"/>
                <w:bottom w:val="none" w:sz="0" w:space="0" w:color="auto"/>
                <w:right w:val="none" w:sz="0" w:space="0" w:color="auto"/>
              </w:divBdr>
            </w:div>
          </w:divsChild>
        </w:div>
        <w:div w:id="740055658">
          <w:marLeft w:val="0"/>
          <w:marRight w:val="0"/>
          <w:marTop w:val="0"/>
          <w:marBottom w:val="0"/>
          <w:divBdr>
            <w:top w:val="none" w:sz="0" w:space="0" w:color="auto"/>
            <w:left w:val="none" w:sz="0" w:space="0" w:color="auto"/>
            <w:bottom w:val="none" w:sz="0" w:space="0" w:color="auto"/>
            <w:right w:val="none" w:sz="0" w:space="0" w:color="auto"/>
          </w:divBdr>
          <w:divsChild>
            <w:div w:id="1257446610">
              <w:marLeft w:val="0"/>
              <w:marRight w:val="0"/>
              <w:marTop w:val="0"/>
              <w:marBottom w:val="0"/>
              <w:divBdr>
                <w:top w:val="none" w:sz="0" w:space="0" w:color="auto"/>
                <w:left w:val="none" w:sz="0" w:space="0" w:color="auto"/>
                <w:bottom w:val="none" w:sz="0" w:space="0" w:color="auto"/>
                <w:right w:val="none" w:sz="0" w:space="0" w:color="auto"/>
              </w:divBdr>
            </w:div>
          </w:divsChild>
        </w:div>
        <w:div w:id="781077322">
          <w:marLeft w:val="0"/>
          <w:marRight w:val="0"/>
          <w:marTop w:val="0"/>
          <w:marBottom w:val="0"/>
          <w:divBdr>
            <w:top w:val="none" w:sz="0" w:space="0" w:color="auto"/>
            <w:left w:val="none" w:sz="0" w:space="0" w:color="auto"/>
            <w:bottom w:val="none" w:sz="0" w:space="0" w:color="auto"/>
            <w:right w:val="none" w:sz="0" w:space="0" w:color="auto"/>
          </w:divBdr>
          <w:divsChild>
            <w:div w:id="511771019">
              <w:marLeft w:val="0"/>
              <w:marRight w:val="0"/>
              <w:marTop w:val="0"/>
              <w:marBottom w:val="0"/>
              <w:divBdr>
                <w:top w:val="none" w:sz="0" w:space="0" w:color="auto"/>
                <w:left w:val="none" w:sz="0" w:space="0" w:color="auto"/>
                <w:bottom w:val="none" w:sz="0" w:space="0" w:color="auto"/>
                <w:right w:val="none" w:sz="0" w:space="0" w:color="auto"/>
              </w:divBdr>
            </w:div>
          </w:divsChild>
        </w:div>
        <w:div w:id="825900958">
          <w:marLeft w:val="0"/>
          <w:marRight w:val="0"/>
          <w:marTop w:val="0"/>
          <w:marBottom w:val="0"/>
          <w:divBdr>
            <w:top w:val="none" w:sz="0" w:space="0" w:color="auto"/>
            <w:left w:val="none" w:sz="0" w:space="0" w:color="auto"/>
            <w:bottom w:val="none" w:sz="0" w:space="0" w:color="auto"/>
            <w:right w:val="none" w:sz="0" w:space="0" w:color="auto"/>
          </w:divBdr>
          <w:divsChild>
            <w:div w:id="1897859944">
              <w:marLeft w:val="0"/>
              <w:marRight w:val="0"/>
              <w:marTop w:val="0"/>
              <w:marBottom w:val="0"/>
              <w:divBdr>
                <w:top w:val="none" w:sz="0" w:space="0" w:color="auto"/>
                <w:left w:val="none" w:sz="0" w:space="0" w:color="auto"/>
                <w:bottom w:val="none" w:sz="0" w:space="0" w:color="auto"/>
                <w:right w:val="none" w:sz="0" w:space="0" w:color="auto"/>
              </w:divBdr>
            </w:div>
          </w:divsChild>
        </w:div>
        <w:div w:id="829833359">
          <w:marLeft w:val="0"/>
          <w:marRight w:val="0"/>
          <w:marTop w:val="0"/>
          <w:marBottom w:val="0"/>
          <w:divBdr>
            <w:top w:val="none" w:sz="0" w:space="0" w:color="auto"/>
            <w:left w:val="none" w:sz="0" w:space="0" w:color="auto"/>
            <w:bottom w:val="none" w:sz="0" w:space="0" w:color="auto"/>
            <w:right w:val="none" w:sz="0" w:space="0" w:color="auto"/>
          </w:divBdr>
          <w:divsChild>
            <w:div w:id="1010567390">
              <w:marLeft w:val="0"/>
              <w:marRight w:val="0"/>
              <w:marTop w:val="0"/>
              <w:marBottom w:val="0"/>
              <w:divBdr>
                <w:top w:val="none" w:sz="0" w:space="0" w:color="auto"/>
                <w:left w:val="none" w:sz="0" w:space="0" w:color="auto"/>
                <w:bottom w:val="none" w:sz="0" w:space="0" w:color="auto"/>
                <w:right w:val="none" w:sz="0" w:space="0" w:color="auto"/>
              </w:divBdr>
            </w:div>
          </w:divsChild>
        </w:div>
        <w:div w:id="843907645">
          <w:marLeft w:val="0"/>
          <w:marRight w:val="0"/>
          <w:marTop w:val="0"/>
          <w:marBottom w:val="0"/>
          <w:divBdr>
            <w:top w:val="none" w:sz="0" w:space="0" w:color="auto"/>
            <w:left w:val="none" w:sz="0" w:space="0" w:color="auto"/>
            <w:bottom w:val="none" w:sz="0" w:space="0" w:color="auto"/>
            <w:right w:val="none" w:sz="0" w:space="0" w:color="auto"/>
          </w:divBdr>
          <w:divsChild>
            <w:div w:id="1326205992">
              <w:marLeft w:val="0"/>
              <w:marRight w:val="0"/>
              <w:marTop w:val="0"/>
              <w:marBottom w:val="0"/>
              <w:divBdr>
                <w:top w:val="none" w:sz="0" w:space="0" w:color="auto"/>
                <w:left w:val="none" w:sz="0" w:space="0" w:color="auto"/>
                <w:bottom w:val="none" w:sz="0" w:space="0" w:color="auto"/>
                <w:right w:val="none" w:sz="0" w:space="0" w:color="auto"/>
              </w:divBdr>
            </w:div>
          </w:divsChild>
        </w:div>
        <w:div w:id="871264794">
          <w:marLeft w:val="0"/>
          <w:marRight w:val="0"/>
          <w:marTop w:val="0"/>
          <w:marBottom w:val="0"/>
          <w:divBdr>
            <w:top w:val="none" w:sz="0" w:space="0" w:color="auto"/>
            <w:left w:val="none" w:sz="0" w:space="0" w:color="auto"/>
            <w:bottom w:val="none" w:sz="0" w:space="0" w:color="auto"/>
            <w:right w:val="none" w:sz="0" w:space="0" w:color="auto"/>
          </w:divBdr>
          <w:divsChild>
            <w:div w:id="713390787">
              <w:marLeft w:val="0"/>
              <w:marRight w:val="0"/>
              <w:marTop w:val="0"/>
              <w:marBottom w:val="0"/>
              <w:divBdr>
                <w:top w:val="none" w:sz="0" w:space="0" w:color="auto"/>
                <w:left w:val="none" w:sz="0" w:space="0" w:color="auto"/>
                <w:bottom w:val="none" w:sz="0" w:space="0" w:color="auto"/>
                <w:right w:val="none" w:sz="0" w:space="0" w:color="auto"/>
              </w:divBdr>
            </w:div>
          </w:divsChild>
        </w:div>
        <w:div w:id="886719565">
          <w:marLeft w:val="0"/>
          <w:marRight w:val="0"/>
          <w:marTop w:val="0"/>
          <w:marBottom w:val="0"/>
          <w:divBdr>
            <w:top w:val="none" w:sz="0" w:space="0" w:color="auto"/>
            <w:left w:val="none" w:sz="0" w:space="0" w:color="auto"/>
            <w:bottom w:val="none" w:sz="0" w:space="0" w:color="auto"/>
            <w:right w:val="none" w:sz="0" w:space="0" w:color="auto"/>
          </w:divBdr>
          <w:divsChild>
            <w:div w:id="1603879652">
              <w:marLeft w:val="0"/>
              <w:marRight w:val="0"/>
              <w:marTop w:val="0"/>
              <w:marBottom w:val="0"/>
              <w:divBdr>
                <w:top w:val="none" w:sz="0" w:space="0" w:color="auto"/>
                <w:left w:val="none" w:sz="0" w:space="0" w:color="auto"/>
                <w:bottom w:val="none" w:sz="0" w:space="0" w:color="auto"/>
                <w:right w:val="none" w:sz="0" w:space="0" w:color="auto"/>
              </w:divBdr>
            </w:div>
          </w:divsChild>
        </w:div>
        <w:div w:id="922183827">
          <w:marLeft w:val="0"/>
          <w:marRight w:val="0"/>
          <w:marTop w:val="0"/>
          <w:marBottom w:val="0"/>
          <w:divBdr>
            <w:top w:val="none" w:sz="0" w:space="0" w:color="auto"/>
            <w:left w:val="none" w:sz="0" w:space="0" w:color="auto"/>
            <w:bottom w:val="none" w:sz="0" w:space="0" w:color="auto"/>
            <w:right w:val="none" w:sz="0" w:space="0" w:color="auto"/>
          </w:divBdr>
          <w:divsChild>
            <w:div w:id="1034117015">
              <w:marLeft w:val="0"/>
              <w:marRight w:val="0"/>
              <w:marTop w:val="0"/>
              <w:marBottom w:val="0"/>
              <w:divBdr>
                <w:top w:val="none" w:sz="0" w:space="0" w:color="auto"/>
                <w:left w:val="none" w:sz="0" w:space="0" w:color="auto"/>
                <w:bottom w:val="none" w:sz="0" w:space="0" w:color="auto"/>
                <w:right w:val="none" w:sz="0" w:space="0" w:color="auto"/>
              </w:divBdr>
            </w:div>
          </w:divsChild>
        </w:div>
        <w:div w:id="1018387894">
          <w:marLeft w:val="0"/>
          <w:marRight w:val="0"/>
          <w:marTop w:val="0"/>
          <w:marBottom w:val="0"/>
          <w:divBdr>
            <w:top w:val="none" w:sz="0" w:space="0" w:color="auto"/>
            <w:left w:val="none" w:sz="0" w:space="0" w:color="auto"/>
            <w:bottom w:val="none" w:sz="0" w:space="0" w:color="auto"/>
            <w:right w:val="none" w:sz="0" w:space="0" w:color="auto"/>
          </w:divBdr>
          <w:divsChild>
            <w:div w:id="1302226115">
              <w:marLeft w:val="0"/>
              <w:marRight w:val="0"/>
              <w:marTop w:val="0"/>
              <w:marBottom w:val="0"/>
              <w:divBdr>
                <w:top w:val="none" w:sz="0" w:space="0" w:color="auto"/>
                <w:left w:val="none" w:sz="0" w:space="0" w:color="auto"/>
                <w:bottom w:val="none" w:sz="0" w:space="0" w:color="auto"/>
                <w:right w:val="none" w:sz="0" w:space="0" w:color="auto"/>
              </w:divBdr>
            </w:div>
          </w:divsChild>
        </w:div>
        <w:div w:id="1028532053">
          <w:marLeft w:val="0"/>
          <w:marRight w:val="0"/>
          <w:marTop w:val="0"/>
          <w:marBottom w:val="0"/>
          <w:divBdr>
            <w:top w:val="none" w:sz="0" w:space="0" w:color="auto"/>
            <w:left w:val="none" w:sz="0" w:space="0" w:color="auto"/>
            <w:bottom w:val="none" w:sz="0" w:space="0" w:color="auto"/>
            <w:right w:val="none" w:sz="0" w:space="0" w:color="auto"/>
          </w:divBdr>
          <w:divsChild>
            <w:div w:id="471413501">
              <w:marLeft w:val="0"/>
              <w:marRight w:val="0"/>
              <w:marTop w:val="0"/>
              <w:marBottom w:val="0"/>
              <w:divBdr>
                <w:top w:val="none" w:sz="0" w:space="0" w:color="auto"/>
                <w:left w:val="none" w:sz="0" w:space="0" w:color="auto"/>
                <w:bottom w:val="none" w:sz="0" w:space="0" w:color="auto"/>
                <w:right w:val="none" w:sz="0" w:space="0" w:color="auto"/>
              </w:divBdr>
            </w:div>
          </w:divsChild>
        </w:div>
        <w:div w:id="1082726678">
          <w:marLeft w:val="0"/>
          <w:marRight w:val="0"/>
          <w:marTop w:val="0"/>
          <w:marBottom w:val="0"/>
          <w:divBdr>
            <w:top w:val="none" w:sz="0" w:space="0" w:color="auto"/>
            <w:left w:val="none" w:sz="0" w:space="0" w:color="auto"/>
            <w:bottom w:val="none" w:sz="0" w:space="0" w:color="auto"/>
            <w:right w:val="none" w:sz="0" w:space="0" w:color="auto"/>
          </w:divBdr>
          <w:divsChild>
            <w:div w:id="755202642">
              <w:marLeft w:val="0"/>
              <w:marRight w:val="0"/>
              <w:marTop w:val="0"/>
              <w:marBottom w:val="0"/>
              <w:divBdr>
                <w:top w:val="none" w:sz="0" w:space="0" w:color="auto"/>
                <w:left w:val="none" w:sz="0" w:space="0" w:color="auto"/>
                <w:bottom w:val="none" w:sz="0" w:space="0" w:color="auto"/>
                <w:right w:val="none" w:sz="0" w:space="0" w:color="auto"/>
              </w:divBdr>
            </w:div>
          </w:divsChild>
        </w:div>
        <w:div w:id="1106580832">
          <w:marLeft w:val="0"/>
          <w:marRight w:val="0"/>
          <w:marTop w:val="0"/>
          <w:marBottom w:val="0"/>
          <w:divBdr>
            <w:top w:val="none" w:sz="0" w:space="0" w:color="auto"/>
            <w:left w:val="none" w:sz="0" w:space="0" w:color="auto"/>
            <w:bottom w:val="none" w:sz="0" w:space="0" w:color="auto"/>
            <w:right w:val="none" w:sz="0" w:space="0" w:color="auto"/>
          </w:divBdr>
          <w:divsChild>
            <w:div w:id="1975987702">
              <w:marLeft w:val="0"/>
              <w:marRight w:val="0"/>
              <w:marTop w:val="0"/>
              <w:marBottom w:val="0"/>
              <w:divBdr>
                <w:top w:val="none" w:sz="0" w:space="0" w:color="auto"/>
                <w:left w:val="none" w:sz="0" w:space="0" w:color="auto"/>
                <w:bottom w:val="none" w:sz="0" w:space="0" w:color="auto"/>
                <w:right w:val="none" w:sz="0" w:space="0" w:color="auto"/>
              </w:divBdr>
            </w:div>
          </w:divsChild>
        </w:div>
        <w:div w:id="1127046305">
          <w:marLeft w:val="0"/>
          <w:marRight w:val="0"/>
          <w:marTop w:val="0"/>
          <w:marBottom w:val="0"/>
          <w:divBdr>
            <w:top w:val="none" w:sz="0" w:space="0" w:color="auto"/>
            <w:left w:val="none" w:sz="0" w:space="0" w:color="auto"/>
            <w:bottom w:val="none" w:sz="0" w:space="0" w:color="auto"/>
            <w:right w:val="none" w:sz="0" w:space="0" w:color="auto"/>
          </w:divBdr>
          <w:divsChild>
            <w:div w:id="238682734">
              <w:marLeft w:val="0"/>
              <w:marRight w:val="0"/>
              <w:marTop w:val="0"/>
              <w:marBottom w:val="0"/>
              <w:divBdr>
                <w:top w:val="none" w:sz="0" w:space="0" w:color="auto"/>
                <w:left w:val="none" w:sz="0" w:space="0" w:color="auto"/>
                <w:bottom w:val="none" w:sz="0" w:space="0" w:color="auto"/>
                <w:right w:val="none" w:sz="0" w:space="0" w:color="auto"/>
              </w:divBdr>
            </w:div>
          </w:divsChild>
        </w:div>
        <w:div w:id="1172989869">
          <w:marLeft w:val="0"/>
          <w:marRight w:val="0"/>
          <w:marTop w:val="0"/>
          <w:marBottom w:val="0"/>
          <w:divBdr>
            <w:top w:val="none" w:sz="0" w:space="0" w:color="auto"/>
            <w:left w:val="none" w:sz="0" w:space="0" w:color="auto"/>
            <w:bottom w:val="none" w:sz="0" w:space="0" w:color="auto"/>
            <w:right w:val="none" w:sz="0" w:space="0" w:color="auto"/>
          </w:divBdr>
          <w:divsChild>
            <w:div w:id="848371699">
              <w:marLeft w:val="0"/>
              <w:marRight w:val="0"/>
              <w:marTop w:val="0"/>
              <w:marBottom w:val="0"/>
              <w:divBdr>
                <w:top w:val="none" w:sz="0" w:space="0" w:color="auto"/>
                <w:left w:val="none" w:sz="0" w:space="0" w:color="auto"/>
                <w:bottom w:val="none" w:sz="0" w:space="0" w:color="auto"/>
                <w:right w:val="none" w:sz="0" w:space="0" w:color="auto"/>
              </w:divBdr>
            </w:div>
          </w:divsChild>
        </w:div>
        <w:div w:id="1195801356">
          <w:marLeft w:val="0"/>
          <w:marRight w:val="0"/>
          <w:marTop w:val="0"/>
          <w:marBottom w:val="0"/>
          <w:divBdr>
            <w:top w:val="none" w:sz="0" w:space="0" w:color="auto"/>
            <w:left w:val="none" w:sz="0" w:space="0" w:color="auto"/>
            <w:bottom w:val="none" w:sz="0" w:space="0" w:color="auto"/>
            <w:right w:val="none" w:sz="0" w:space="0" w:color="auto"/>
          </w:divBdr>
          <w:divsChild>
            <w:div w:id="984116627">
              <w:marLeft w:val="0"/>
              <w:marRight w:val="0"/>
              <w:marTop w:val="0"/>
              <w:marBottom w:val="0"/>
              <w:divBdr>
                <w:top w:val="none" w:sz="0" w:space="0" w:color="auto"/>
                <w:left w:val="none" w:sz="0" w:space="0" w:color="auto"/>
                <w:bottom w:val="none" w:sz="0" w:space="0" w:color="auto"/>
                <w:right w:val="none" w:sz="0" w:space="0" w:color="auto"/>
              </w:divBdr>
            </w:div>
          </w:divsChild>
        </w:div>
        <w:div w:id="1199392493">
          <w:marLeft w:val="0"/>
          <w:marRight w:val="0"/>
          <w:marTop w:val="0"/>
          <w:marBottom w:val="0"/>
          <w:divBdr>
            <w:top w:val="none" w:sz="0" w:space="0" w:color="auto"/>
            <w:left w:val="none" w:sz="0" w:space="0" w:color="auto"/>
            <w:bottom w:val="none" w:sz="0" w:space="0" w:color="auto"/>
            <w:right w:val="none" w:sz="0" w:space="0" w:color="auto"/>
          </w:divBdr>
          <w:divsChild>
            <w:div w:id="1980764610">
              <w:marLeft w:val="0"/>
              <w:marRight w:val="0"/>
              <w:marTop w:val="0"/>
              <w:marBottom w:val="0"/>
              <w:divBdr>
                <w:top w:val="none" w:sz="0" w:space="0" w:color="auto"/>
                <w:left w:val="none" w:sz="0" w:space="0" w:color="auto"/>
                <w:bottom w:val="none" w:sz="0" w:space="0" w:color="auto"/>
                <w:right w:val="none" w:sz="0" w:space="0" w:color="auto"/>
              </w:divBdr>
            </w:div>
          </w:divsChild>
        </w:div>
        <w:div w:id="1268390639">
          <w:marLeft w:val="0"/>
          <w:marRight w:val="0"/>
          <w:marTop w:val="0"/>
          <w:marBottom w:val="0"/>
          <w:divBdr>
            <w:top w:val="none" w:sz="0" w:space="0" w:color="auto"/>
            <w:left w:val="none" w:sz="0" w:space="0" w:color="auto"/>
            <w:bottom w:val="none" w:sz="0" w:space="0" w:color="auto"/>
            <w:right w:val="none" w:sz="0" w:space="0" w:color="auto"/>
          </w:divBdr>
          <w:divsChild>
            <w:div w:id="300578666">
              <w:marLeft w:val="0"/>
              <w:marRight w:val="0"/>
              <w:marTop w:val="0"/>
              <w:marBottom w:val="0"/>
              <w:divBdr>
                <w:top w:val="none" w:sz="0" w:space="0" w:color="auto"/>
                <w:left w:val="none" w:sz="0" w:space="0" w:color="auto"/>
                <w:bottom w:val="none" w:sz="0" w:space="0" w:color="auto"/>
                <w:right w:val="none" w:sz="0" w:space="0" w:color="auto"/>
              </w:divBdr>
            </w:div>
          </w:divsChild>
        </w:div>
        <w:div w:id="1275868476">
          <w:marLeft w:val="0"/>
          <w:marRight w:val="0"/>
          <w:marTop w:val="0"/>
          <w:marBottom w:val="0"/>
          <w:divBdr>
            <w:top w:val="none" w:sz="0" w:space="0" w:color="auto"/>
            <w:left w:val="none" w:sz="0" w:space="0" w:color="auto"/>
            <w:bottom w:val="none" w:sz="0" w:space="0" w:color="auto"/>
            <w:right w:val="none" w:sz="0" w:space="0" w:color="auto"/>
          </w:divBdr>
          <w:divsChild>
            <w:div w:id="902641126">
              <w:marLeft w:val="0"/>
              <w:marRight w:val="0"/>
              <w:marTop w:val="0"/>
              <w:marBottom w:val="0"/>
              <w:divBdr>
                <w:top w:val="none" w:sz="0" w:space="0" w:color="auto"/>
                <w:left w:val="none" w:sz="0" w:space="0" w:color="auto"/>
                <w:bottom w:val="none" w:sz="0" w:space="0" w:color="auto"/>
                <w:right w:val="none" w:sz="0" w:space="0" w:color="auto"/>
              </w:divBdr>
            </w:div>
          </w:divsChild>
        </w:div>
        <w:div w:id="1293947497">
          <w:marLeft w:val="0"/>
          <w:marRight w:val="0"/>
          <w:marTop w:val="0"/>
          <w:marBottom w:val="0"/>
          <w:divBdr>
            <w:top w:val="none" w:sz="0" w:space="0" w:color="auto"/>
            <w:left w:val="none" w:sz="0" w:space="0" w:color="auto"/>
            <w:bottom w:val="none" w:sz="0" w:space="0" w:color="auto"/>
            <w:right w:val="none" w:sz="0" w:space="0" w:color="auto"/>
          </w:divBdr>
          <w:divsChild>
            <w:div w:id="1663311169">
              <w:marLeft w:val="0"/>
              <w:marRight w:val="0"/>
              <w:marTop w:val="0"/>
              <w:marBottom w:val="0"/>
              <w:divBdr>
                <w:top w:val="none" w:sz="0" w:space="0" w:color="auto"/>
                <w:left w:val="none" w:sz="0" w:space="0" w:color="auto"/>
                <w:bottom w:val="none" w:sz="0" w:space="0" w:color="auto"/>
                <w:right w:val="none" w:sz="0" w:space="0" w:color="auto"/>
              </w:divBdr>
            </w:div>
          </w:divsChild>
        </w:div>
        <w:div w:id="1329553319">
          <w:marLeft w:val="0"/>
          <w:marRight w:val="0"/>
          <w:marTop w:val="0"/>
          <w:marBottom w:val="0"/>
          <w:divBdr>
            <w:top w:val="none" w:sz="0" w:space="0" w:color="auto"/>
            <w:left w:val="none" w:sz="0" w:space="0" w:color="auto"/>
            <w:bottom w:val="none" w:sz="0" w:space="0" w:color="auto"/>
            <w:right w:val="none" w:sz="0" w:space="0" w:color="auto"/>
          </w:divBdr>
          <w:divsChild>
            <w:div w:id="395009409">
              <w:marLeft w:val="0"/>
              <w:marRight w:val="0"/>
              <w:marTop w:val="0"/>
              <w:marBottom w:val="0"/>
              <w:divBdr>
                <w:top w:val="none" w:sz="0" w:space="0" w:color="auto"/>
                <w:left w:val="none" w:sz="0" w:space="0" w:color="auto"/>
                <w:bottom w:val="none" w:sz="0" w:space="0" w:color="auto"/>
                <w:right w:val="none" w:sz="0" w:space="0" w:color="auto"/>
              </w:divBdr>
            </w:div>
          </w:divsChild>
        </w:div>
        <w:div w:id="1347170886">
          <w:marLeft w:val="0"/>
          <w:marRight w:val="0"/>
          <w:marTop w:val="0"/>
          <w:marBottom w:val="0"/>
          <w:divBdr>
            <w:top w:val="none" w:sz="0" w:space="0" w:color="auto"/>
            <w:left w:val="none" w:sz="0" w:space="0" w:color="auto"/>
            <w:bottom w:val="none" w:sz="0" w:space="0" w:color="auto"/>
            <w:right w:val="none" w:sz="0" w:space="0" w:color="auto"/>
          </w:divBdr>
          <w:divsChild>
            <w:div w:id="387456831">
              <w:marLeft w:val="0"/>
              <w:marRight w:val="0"/>
              <w:marTop w:val="0"/>
              <w:marBottom w:val="0"/>
              <w:divBdr>
                <w:top w:val="none" w:sz="0" w:space="0" w:color="auto"/>
                <w:left w:val="none" w:sz="0" w:space="0" w:color="auto"/>
                <w:bottom w:val="none" w:sz="0" w:space="0" w:color="auto"/>
                <w:right w:val="none" w:sz="0" w:space="0" w:color="auto"/>
              </w:divBdr>
            </w:div>
          </w:divsChild>
        </w:div>
        <w:div w:id="1370109092">
          <w:marLeft w:val="0"/>
          <w:marRight w:val="0"/>
          <w:marTop w:val="0"/>
          <w:marBottom w:val="0"/>
          <w:divBdr>
            <w:top w:val="none" w:sz="0" w:space="0" w:color="auto"/>
            <w:left w:val="none" w:sz="0" w:space="0" w:color="auto"/>
            <w:bottom w:val="none" w:sz="0" w:space="0" w:color="auto"/>
            <w:right w:val="none" w:sz="0" w:space="0" w:color="auto"/>
          </w:divBdr>
          <w:divsChild>
            <w:div w:id="1003624999">
              <w:marLeft w:val="0"/>
              <w:marRight w:val="0"/>
              <w:marTop w:val="0"/>
              <w:marBottom w:val="0"/>
              <w:divBdr>
                <w:top w:val="none" w:sz="0" w:space="0" w:color="auto"/>
                <w:left w:val="none" w:sz="0" w:space="0" w:color="auto"/>
                <w:bottom w:val="none" w:sz="0" w:space="0" w:color="auto"/>
                <w:right w:val="none" w:sz="0" w:space="0" w:color="auto"/>
              </w:divBdr>
            </w:div>
          </w:divsChild>
        </w:div>
        <w:div w:id="1385759292">
          <w:marLeft w:val="0"/>
          <w:marRight w:val="0"/>
          <w:marTop w:val="0"/>
          <w:marBottom w:val="0"/>
          <w:divBdr>
            <w:top w:val="none" w:sz="0" w:space="0" w:color="auto"/>
            <w:left w:val="none" w:sz="0" w:space="0" w:color="auto"/>
            <w:bottom w:val="none" w:sz="0" w:space="0" w:color="auto"/>
            <w:right w:val="none" w:sz="0" w:space="0" w:color="auto"/>
          </w:divBdr>
          <w:divsChild>
            <w:div w:id="146556188">
              <w:marLeft w:val="0"/>
              <w:marRight w:val="0"/>
              <w:marTop w:val="0"/>
              <w:marBottom w:val="0"/>
              <w:divBdr>
                <w:top w:val="none" w:sz="0" w:space="0" w:color="auto"/>
                <w:left w:val="none" w:sz="0" w:space="0" w:color="auto"/>
                <w:bottom w:val="none" w:sz="0" w:space="0" w:color="auto"/>
                <w:right w:val="none" w:sz="0" w:space="0" w:color="auto"/>
              </w:divBdr>
            </w:div>
          </w:divsChild>
        </w:div>
        <w:div w:id="1403140229">
          <w:marLeft w:val="0"/>
          <w:marRight w:val="0"/>
          <w:marTop w:val="0"/>
          <w:marBottom w:val="0"/>
          <w:divBdr>
            <w:top w:val="none" w:sz="0" w:space="0" w:color="auto"/>
            <w:left w:val="none" w:sz="0" w:space="0" w:color="auto"/>
            <w:bottom w:val="none" w:sz="0" w:space="0" w:color="auto"/>
            <w:right w:val="none" w:sz="0" w:space="0" w:color="auto"/>
          </w:divBdr>
          <w:divsChild>
            <w:div w:id="1955598733">
              <w:marLeft w:val="0"/>
              <w:marRight w:val="0"/>
              <w:marTop w:val="0"/>
              <w:marBottom w:val="0"/>
              <w:divBdr>
                <w:top w:val="none" w:sz="0" w:space="0" w:color="auto"/>
                <w:left w:val="none" w:sz="0" w:space="0" w:color="auto"/>
                <w:bottom w:val="none" w:sz="0" w:space="0" w:color="auto"/>
                <w:right w:val="none" w:sz="0" w:space="0" w:color="auto"/>
              </w:divBdr>
            </w:div>
          </w:divsChild>
        </w:div>
        <w:div w:id="1407190453">
          <w:marLeft w:val="0"/>
          <w:marRight w:val="0"/>
          <w:marTop w:val="0"/>
          <w:marBottom w:val="0"/>
          <w:divBdr>
            <w:top w:val="none" w:sz="0" w:space="0" w:color="auto"/>
            <w:left w:val="none" w:sz="0" w:space="0" w:color="auto"/>
            <w:bottom w:val="none" w:sz="0" w:space="0" w:color="auto"/>
            <w:right w:val="none" w:sz="0" w:space="0" w:color="auto"/>
          </w:divBdr>
          <w:divsChild>
            <w:div w:id="173080611">
              <w:marLeft w:val="0"/>
              <w:marRight w:val="0"/>
              <w:marTop w:val="0"/>
              <w:marBottom w:val="0"/>
              <w:divBdr>
                <w:top w:val="none" w:sz="0" w:space="0" w:color="auto"/>
                <w:left w:val="none" w:sz="0" w:space="0" w:color="auto"/>
                <w:bottom w:val="none" w:sz="0" w:space="0" w:color="auto"/>
                <w:right w:val="none" w:sz="0" w:space="0" w:color="auto"/>
              </w:divBdr>
            </w:div>
          </w:divsChild>
        </w:div>
        <w:div w:id="1414473870">
          <w:marLeft w:val="0"/>
          <w:marRight w:val="0"/>
          <w:marTop w:val="0"/>
          <w:marBottom w:val="0"/>
          <w:divBdr>
            <w:top w:val="none" w:sz="0" w:space="0" w:color="auto"/>
            <w:left w:val="none" w:sz="0" w:space="0" w:color="auto"/>
            <w:bottom w:val="none" w:sz="0" w:space="0" w:color="auto"/>
            <w:right w:val="none" w:sz="0" w:space="0" w:color="auto"/>
          </w:divBdr>
          <w:divsChild>
            <w:div w:id="1525945064">
              <w:marLeft w:val="0"/>
              <w:marRight w:val="0"/>
              <w:marTop w:val="0"/>
              <w:marBottom w:val="0"/>
              <w:divBdr>
                <w:top w:val="none" w:sz="0" w:space="0" w:color="auto"/>
                <w:left w:val="none" w:sz="0" w:space="0" w:color="auto"/>
                <w:bottom w:val="none" w:sz="0" w:space="0" w:color="auto"/>
                <w:right w:val="none" w:sz="0" w:space="0" w:color="auto"/>
              </w:divBdr>
            </w:div>
          </w:divsChild>
        </w:div>
        <w:div w:id="1454397176">
          <w:marLeft w:val="0"/>
          <w:marRight w:val="0"/>
          <w:marTop w:val="0"/>
          <w:marBottom w:val="0"/>
          <w:divBdr>
            <w:top w:val="none" w:sz="0" w:space="0" w:color="auto"/>
            <w:left w:val="none" w:sz="0" w:space="0" w:color="auto"/>
            <w:bottom w:val="none" w:sz="0" w:space="0" w:color="auto"/>
            <w:right w:val="none" w:sz="0" w:space="0" w:color="auto"/>
          </w:divBdr>
          <w:divsChild>
            <w:div w:id="740058198">
              <w:marLeft w:val="0"/>
              <w:marRight w:val="0"/>
              <w:marTop w:val="0"/>
              <w:marBottom w:val="0"/>
              <w:divBdr>
                <w:top w:val="none" w:sz="0" w:space="0" w:color="auto"/>
                <w:left w:val="none" w:sz="0" w:space="0" w:color="auto"/>
                <w:bottom w:val="none" w:sz="0" w:space="0" w:color="auto"/>
                <w:right w:val="none" w:sz="0" w:space="0" w:color="auto"/>
              </w:divBdr>
            </w:div>
          </w:divsChild>
        </w:div>
        <w:div w:id="1522743949">
          <w:marLeft w:val="0"/>
          <w:marRight w:val="0"/>
          <w:marTop w:val="0"/>
          <w:marBottom w:val="0"/>
          <w:divBdr>
            <w:top w:val="none" w:sz="0" w:space="0" w:color="auto"/>
            <w:left w:val="none" w:sz="0" w:space="0" w:color="auto"/>
            <w:bottom w:val="none" w:sz="0" w:space="0" w:color="auto"/>
            <w:right w:val="none" w:sz="0" w:space="0" w:color="auto"/>
          </w:divBdr>
          <w:divsChild>
            <w:div w:id="1462456668">
              <w:marLeft w:val="0"/>
              <w:marRight w:val="0"/>
              <w:marTop w:val="0"/>
              <w:marBottom w:val="0"/>
              <w:divBdr>
                <w:top w:val="none" w:sz="0" w:space="0" w:color="auto"/>
                <w:left w:val="none" w:sz="0" w:space="0" w:color="auto"/>
                <w:bottom w:val="none" w:sz="0" w:space="0" w:color="auto"/>
                <w:right w:val="none" w:sz="0" w:space="0" w:color="auto"/>
              </w:divBdr>
            </w:div>
          </w:divsChild>
        </w:div>
        <w:div w:id="1531147750">
          <w:marLeft w:val="0"/>
          <w:marRight w:val="0"/>
          <w:marTop w:val="0"/>
          <w:marBottom w:val="0"/>
          <w:divBdr>
            <w:top w:val="none" w:sz="0" w:space="0" w:color="auto"/>
            <w:left w:val="none" w:sz="0" w:space="0" w:color="auto"/>
            <w:bottom w:val="none" w:sz="0" w:space="0" w:color="auto"/>
            <w:right w:val="none" w:sz="0" w:space="0" w:color="auto"/>
          </w:divBdr>
          <w:divsChild>
            <w:div w:id="107704230">
              <w:marLeft w:val="0"/>
              <w:marRight w:val="0"/>
              <w:marTop w:val="0"/>
              <w:marBottom w:val="0"/>
              <w:divBdr>
                <w:top w:val="none" w:sz="0" w:space="0" w:color="auto"/>
                <w:left w:val="none" w:sz="0" w:space="0" w:color="auto"/>
                <w:bottom w:val="none" w:sz="0" w:space="0" w:color="auto"/>
                <w:right w:val="none" w:sz="0" w:space="0" w:color="auto"/>
              </w:divBdr>
            </w:div>
          </w:divsChild>
        </w:div>
        <w:div w:id="1569070151">
          <w:marLeft w:val="0"/>
          <w:marRight w:val="0"/>
          <w:marTop w:val="0"/>
          <w:marBottom w:val="0"/>
          <w:divBdr>
            <w:top w:val="none" w:sz="0" w:space="0" w:color="auto"/>
            <w:left w:val="none" w:sz="0" w:space="0" w:color="auto"/>
            <w:bottom w:val="none" w:sz="0" w:space="0" w:color="auto"/>
            <w:right w:val="none" w:sz="0" w:space="0" w:color="auto"/>
          </w:divBdr>
          <w:divsChild>
            <w:div w:id="23754970">
              <w:marLeft w:val="0"/>
              <w:marRight w:val="0"/>
              <w:marTop w:val="0"/>
              <w:marBottom w:val="0"/>
              <w:divBdr>
                <w:top w:val="none" w:sz="0" w:space="0" w:color="auto"/>
                <w:left w:val="none" w:sz="0" w:space="0" w:color="auto"/>
                <w:bottom w:val="none" w:sz="0" w:space="0" w:color="auto"/>
                <w:right w:val="none" w:sz="0" w:space="0" w:color="auto"/>
              </w:divBdr>
            </w:div>
          </w:divsChild>
        </w:div>
        <w:div w:id="1571962053">
          <w:marLeft w:val="0"/>
          <w:marRight w:val="0"/>
          <w:marTop w:val="0"/>
          <w:marBottom w:val="0"/>
          <w:divBdr>
            <w:top w:val="none" w:sz="0" w:space="0" w:color="auto"/>
            <w:left w:val="none" w:sz="0" w:space="0" w:color="auto"/>
            <w:bottom w:val="none" w:sz="0" w:space="0" w:color="auto"/>
            <w:right w:val="none" w:sz="0" w:space="0" w:color="auto"/>
          </w:divBdr>
          <w:divsChild>
            <w:div w:id="1862621950">
              <w:marLeft w:val="0"/>
              <w:marRight w:val="0"/>
              <w:marTop w:val="0"/>
              <w:marBottom w:val="0"/>
              <w:divBdr>
                <w:top w:val="none" w:sz="0" w:space="0" w:color="auto"/>
                <w:left w:val="none" w:sz="0" w:space="0" w:color="auto"/>
                <w:bottom w:val="none" w:sz="0" w:space="0" w:color="auto"/>
                <w:right w:val="none" w:sz="0" w:space="0" w:color="auto"/>
              </w:divBdr>
            </w:div>
          </w:divsChild>
        </w:div>
        <w:div w:id="1587611448">
          <w:marLeft w:val="0"/>
          <w:marRight w:val="0"/>
          <w:marTop w:val="0"/>
          <w:marBottom w:val="0"/>
          <w:divBdr>
            <w:top w:val="none" w:sz="0" w:space="0" w:color="auto"/>
            <w:left w:val="none" w:sz="0" w:space="0" w:color="auto"/>
            <w:bottom w:val="none" w:sz="0" w:space="0" w:color="auto"/>
            <w:right w:val="none" w:sz="0" w:space="0" w:color="auto"/>
          </w:divBdr>
          <w:divsChild>
            <w:div w:id="455610905">
              <w:marLeft w:val="0"/>
              <w:marRight w:val="0"/>
              <w:marTop w:val="0"/>
              <w:marBottom w:val="0"/>
              <w:divBdr>
                <w:top w:val="none" w:sz="0" w:space="0" w:color="auto"/>
                <w:left w:val="none" w:sz="0" w:space="0" w:color="auto"/>
                <w:bottom w:val="none" w:sz="0" w:space="0" w:color="auto"/>
                <w:right w:val="none" w:sz="0" w:space="0" w:color="auto"/>
              </w:divBdr>
            </w:div>
          </w:divsChild>
        </w:div>
        <w:div w:id="1603688968">
          <w:marLeft w:val="0"/>
          <w:marRight w:val="0"/>
          <w:marTop w:val="0"/>
          <w:marBottom w:val="0"/>
          <w:divBdr>
            <w:top w:val="none" w:sz="0" w:space="0" w:color="auto"/>
            <w:left w:val="none" w:sz="0" w:space="0" w:color="auto"/>
            <w:bottom w:val="none" w:sz="0" w:space="0" w:color="auto"/>
            <w:right w:val="none" w:sz="0" w:space="0" w:color="auto"/>
          </w:divBdr>
          <w:divsChild>
            <w:div w:id="174346545">
              <w:marLeft w:val="0"/>
              <w:marRight w:val="0"/>
              <w:marTop w:val="0"/>
              <w:marBottom w:val="0"/>
              <w:divBdr>
                <w:top w:val="none" w:sz="0" w:space="0" w:color="auto"/>
                <w:left w:val="none" w:sz="0" w:space="0" w:color="auto"/>
                <w:bottom w:val="none" w:sz="0" w:space="0" w:color="auto"/>
                <w:right w:val="none" w:sz="0" w:space="0" w:color="auto"/>
              </w:divBdr>
            </w:div>
          </w:divsChild>
        </w:div>
        <w:div w:id="1607421385">
          <w:marLeft w:val="0"/>
          <w:marRight w:val="0"/>
          <w:marTop w:val="0"/>
          <w:marBottom w:val="0"/>
          <w:divBdr>
            <w:top w:val="none" w:sz="0" w:space="0" w:color="auto"/>
            <w:left w:val="none" w:sz="0" w:space="0" w:color="auto"/>
            <w:bottom w:val="none" w:sz="0" w:space="0" w:color="auto"/>
            <w:right w:val="none" w:sz="0" w:space="0" w:color="auto"/>
          </w:divBdr>
          <w:divsChild>
            <w:div w:id="1188832044">
              <w:marLeft w:val="0"/>
              <w:marRight w:val="0"/>
              <w:marTop w:val="0"/>
              <w:marBottom w:val="0"/>
              <w:divBdr>
                <w:top w:val="none" w:sz="0" w:space="0" w:color="auto"/>
                <w:left w:val="none" w:sz="0" w:space="0" w:color="auto"/>
                <w:bottom w:val="none" w:sz="0" w:space="0" w:color="auto"/>
                <w:right w:val="none" w:sz="0" w:space="0" w:color="auto"/>
              </w:divBdr>
            </w:div>
          </w:divsChild>
        </w:div>
        <w:div w:id="1622683505">
          <w:marLeft w:val="0"/>
          <w:marRight w:val="0"/>
          <w:marTop w:val="0"/>
          <w:marBottom w:val="0"/>
          <w:divBdr>
            <w:top w:val="none" w:sz="0" w:space="0" w:color="auto"/>
            <w:left w:val="none" w:sz="0" w:space="0" w:color="auto"/>
            <w:bottom w:val="none" w:sz="0" w:space="0" w:color="auto"/>
            <w:right w:val="none" w:sz="0" w:space="0" w:color="auto"/>
          </w:divBdr>
          <w:divsChild>
            <w:div w:id="1326666794">
              <w:marLeft w:val="0"/>
              <w:marRight w:val="0"/>
              <w:marTop w:val="0"/>
              <w:marBottom w:val="0"/>
              <w:divBdr>
                <w:top w:val="none" w:sz="0" w:space="0" w:color="auto"/>
                <w:left w:val="none" w:sz="0" w:space="0" w:color="auto"/>
                <w:bottom w:val="none" w:sz="0" w:space="0" w:color="auto"/>
                <w:right w:val="none" w:sz="0" w:space="0" w:color="auto"/>
              </w:divBdr>
            </w:div>
          </w:divsChild>
        </w:div>
        <w:div w:id="1640914257">
          <w:marLeft w:val="0"/>
          <w:marRight w:val="0"/>
          <w:marTop w:val="0"/>
          <w:marBottom w:val="0"/>
          <w:divBdr>
            <w:top w:val="none" w:sz="0" w:space="0" w:color="auto"/>
            <w:left w:val="none" w:sz="0" w:space="0" w:color="auto"/>
            <w:bottom w:val="none" w:sz="0" w:space="0" w:color="auto"/>
            <w:right w:val="none" w:sz="0" w:space="0" w:color="auto"/>
          </w:divBdr>
          <w:divsChild>
            <w:div w:id="601378147">
              <w:marLeft w:val="0"/>
              <w:marRight w:val="0"/>
              <w:marTop w:val="0"/>
              <w:marBottom w:val="0"/>
              <w:divBdr>
                <w:top w:val="none" w:sz="0" w:space="0" w:color="auto"/>
                <w:left w:val="none" w:sz="0" w:space="0" w:color="auto"/>
                <w:bottom w:val="none" w:sz="0" w:space="0" w:color="auto"/>
                <w:right w:val="none" w:sz="0" w:space="0" w:color="auto"/>
              </w:divBdr>
            </w:div>
          </w:divsChild>
        </w:div>
        <w:div w:id="1662153552">
          <w:marLeft w:val="0"/>
          <w:marRight w:val="0"/>
          <w:marTop w:val="0"/>
          <w:marBottom w:val="0"/>
          <w:divBdr>
            <w:top w:val="none" w:sz="0" w:space="0" w:color="auto"/>
            <w:left w:val="none" w:sz="0" w:space="0" w:color="auto"/>
            <w:bottom w:val="none" w:sz="0" w:space="0" w:color="auto"/>
            <w:right w:val="none" w:sz="0" w:space="0" w:color="auto"/>
          </w:divBdr>
          <w:divsChild>
            <w:div w:id="14776284">
              <w:marLeft w:val="0"/>
              <w:marRight w:val="0"/>
              <w:marTop w:val="0"/>
              <w:marBottom w:val="0"/>
              <w:divBdr>
                <w:top w:val="none" w:sz="0" w:space="0" w:color="auto"/>
                <w:left w:val="none" w:sz="0" w:space="0" w:color="auto"/>
                <w:bottom w:val="none" w:sz="0" w:space="0" w:color="auto"/>
                <w:right w:val="none" w:sz="0" w:space="0" w:color="auto"/>
              </w:divBdr>
            </w:div>
            <w:div w:id="1246068118">
              <w:marLeft w:val="0"/>
              <w:marRight w:val="0"/>
              <w:marTop w:val="0"/>
              <w:marBottom w:val="0"/>
              <w:divBdr>
                <w:top w:val="none" w:sz="0" w:space="0" w:color="auto"/>
                <w:left w:val="none" w:sz="0" w:space="0" w:color="auto"/>
                <w:bottom w:val="none" w:sz="0" w:space="0" w:color="auto"/>
                <w:right w:val="none" w:sz="0" w:space="0" w:color="auto"/>
              </w:divBdr>
            </w:div>
          </w:divsChild>
        </w:div>
        <w:div w:id="1682507257">
          <w:marLeft w:val="0"/>
          <w:marRight w:val="0"/>
          <w:marTop w:val="0"/>
          <w:marBottom w:val="0"/>
          <w:divBdr>
            <w:top w:val="none" w:sz="0" w:space="0" w:color="auto"/>
            <w:left w:val="none" w:sz="0" w:space="0" w:color="auto"/>
            <w:bottom w:val="none" w:sz="0" w:space="0" w:color="auto"/>
            <w:right w:val="none" w:sz="0" w:space="0" w:color="auto"/>
          </w:divBdr>
          <w:divsChild>
            <w:div w:id="1707633751">
              <w:marLeft w:val="0"/>
              <w:marRight w:val="0"/>
              <w:marTop w:val="0"/>
              <w:marBottom w:val="0"/>
              <w:divBdr>
                <w:top w:val="none" w:sz="0" w:space="0" w:color="auto"/>
                <w:left w:val="none" w:sz="0" w:space="0" w:color="auto"/>
                <w:bottom w:val="none" w:sz="0" w:space="0" w:color="auto"/>
                <w:right w:val="none" w:sz="0" w:space="0" w:color="auto"/>
              </w:divBdr>
            </w:div>
          </w:divsChild>
        </w:div>
        <w:div w:id="1754425472">
          <w:marLeft w:val="0"/>
          <w:marRight w:val="0"/>
          <w:marTop w:val="0"/>
          <w:marBottom w:val="0"/>
          <w:divBdr>
            <w:top w:val="none" w:sz="0" w:space="0" w:color="auto"/>
            <w:left w:val="none" w:sz="0" w:space="0" w:color="auto"/>
            <w:bottom w:val="none" w:sz="0" w:space="0" w:color="auto"/>
            <w:right w:val="none" w:sz="0" w:space="0" w:color="auto"/>
          </w:divBdr>
          <w:divsChild>
            <w:div w:id="700206108">
              <w:marLeft w:val="0"/>
              <w:marRight w:val="0"/>
              <w:marTop w:val="0"/>
              <w:marBottom w:val="0"/>
              <w:divBdr>
                <w:top w:val="none" w:sz="0" w:space="0" w:color="auto"/>
                <w:left w:val="none" w:sz="0" w:space="0" w:color="auto"/>
                <w:bottom w:val="none" w:sz="0" w:space="0" w:color="auto"/>
                <w:right w:val="none" w:sz="0" w:space="0" w:color="auto"/>
              </w:divBdr>
            </w:div>
          </w:divsChild>
        </w:div>
        <w:div w:id="1785298790">
          <w:marLeft w:val="0"/>
          <w:marRight w:val="0"/>
          <w:marTop w:val="0"/>
          <w:marBottom w:val="0"/>
          <w:divBdr>
            <w:top w:val="none" w:sz="0" w:space="0" w:color="auto"/>
            <w:left w:val="none" w:sz="0" w:space="0" w:color="auto"/>
            <w:bottom w:val="none" w:sz="0" w:space="0" w:color="auto"/>
            <w:right w:val="none" w:sz="0" w:space="0" w:color="auto"/>
          </w:divBdr>
          <w:divsChild>
            <w:div w:id="536241278">
              <w:marLeft w:val="0"/>
              <w:marRight w:val="0"/>
              <w:marTop w:val="0"/>
              <w:marBottom w:val="0"/>
              <w:divBdr>
                <w:top w:val="none" w:sz="0" w:space="0" w:color="auto"/>
                <w:left w:val="none" w:sz="0" w:space="0" w:color="auto"/>
                <w:bottom w:val="none" w:sz="0" w:space="0" w:color="auto"/>
                <w:right w:val="none" w:sz="0" w:space="0" w:color="auto"/>
              </w:divBdr>
            </w:div>
          </w:divsChild>
        </w:div>
        <w:div w:id="1797940604">
          <w:marLeft w:val="0"/>
          <w:marRight w:val="0"/>
          <w:marTop w:val="0"/>
          <w:marBottom w:val="0"/>
          <w:divBdr>
            <w:top w:val="none" w:sz="0" w:space="0" w:color="auto"/>
            <w:left w:val="none" w:sz="0" w:space="0" w:color="auto"/>
            <w:bottom w:val="none" w:sz="0" w:space="0" w:color="auto"/>
            <w:right w:val="none" w:sz="0" w:space="0" w:color="auto"/>
          </w:divBdr>
          <w:divsChild>
            <w:div w:id="196745264">
              <w:marLeft w:val="0"/>
              <w:marRight w:val="0"/>
              <w:marTop w:val="0"/>
              <w:marBottom w:val="0"/>
              <w:divBdr>
                <w:top w:val="none" w:sz="0" w:space="0" w:color="auto"/>
                <w:left w:val="none" w:sz="0" w:space="0" w:color="auto"/>
                <w:bottom w:val="none" w:sz="0" w:space="0" w:color="auto"/>
                <w:right w:val="none" w:sz="0" w:space="0" w:color="auto"/>
              </w:divBdr>
            </w:div>
          </w:divsChild>
        </w:div>
        <w:div w:id="1818838363">
          <w:marLeft w:val="0"/>
          <w:marRight w:val="0"/>
          <w:marTop w:val="0"/>
          <w:marBottom w:val="0"/>
          <w:divBdr>
            <w:top w:val="none" w:sz="0" w:space="0" w:color="auto"/>
            <w:left w:val="none" w:sz="0" w:space="0" w:color="auto"/>
            <w:bottom w:val="none" w:sz="0" w:space="0" w:color="auto"/>
            <w:right w:val="none" w:sz="0" w:space="0" w:color="auto"/>
          </w:divBdr>
          <w:divsChild>
            <w:div w:id="199512049">
              <w:marLeft w:val="0"/>
              <w:marRight w:val="0"/>
              <w:marTop w:val="0"/>
              <w:marBottom w:val="0"/>
              <w:divBdr>
                <w:top w:val="none" w:sz="0" w:space="0" w:color="auto"/>
                <w:left w:val="none" w:sz="0" w:space="0" w:color="auto"/>
                <w:bottom w:val="none" w:sz="0" w:space="0" w:color="auto"/>
                <w:right w:val="none" w:sz="0" w:space="0" w:color="auto"/>
              </w:divBdr>
            </w:div>
          </w:divsChild>
        </w:div>
        <w:div w:id="1832525113">
          <w:marLeft w:val="0"/>
          <w:marRight w:val="0"/>
          <w:marTop w:val="0"/>
          <w:marBottom w:val="0"/>
          <w:divBdr>
            <w:top w:val="none" w:sz="0" w:space="0" w:color="auto"/>
            <w:left w:val="none" w:sz="0" w:space="0" w:color="auto"/>
            <w:bottom w:val="none" w:sz="0" w:space="0" w:color="auto"/>
            <w:right w:val="none" w:sz="0" w:space="0" w:color="auto"/>
          </w:divBdr>
          <w:divsChild>
            <w:div w:id="2053117389">
              <w:marLeft w:val="0"/>
              <w:marRight w:val="0"/>
              <w:marTop w:val="0"/>
              <w:marBottom w:val="0"/>
              <w:divBdr>
                <w:top w:val="none" w:sz="0" w:space="0" w:color="auto"/>
                <w:left w:val="none" w:sz="0" w:space="0" w:color="auto"/>
                <w:bottom w:val="none" w:sz="0" w:space="0" w:color="auto"/>
                <w:right w:val="none" w:sz="0" w:space="0" w:color="auto"/>
              </w:divBdr>
            </w:div>
          </w:divsChild>
        </w:div>
        <w:div w:id="1845588330">
          <w:marLeft w:val="0"/>
          <w:marRight w:val="0"/>
          <w:marTop w:val="0"/>
          <w:marBottom w:val="0"/>
          <w:divBdr>
            <w:top w:val="none" w:sz="0" w:space="0" w:color="auto"/>
            <w:left w:val="none" w:sz="0" w:space="0" w:color="auto"/>
            <w:bottom w:val="none" w:sz="0" w:space="0" w:color="auto"/>
            <w:right w:val="none" w:sz="0" w:space="0" w:color="auto"/>
          </w:divBdr>
          <w:divsChild>
            <w:div w:id="166948498">
              <w:marLeft w:val="0"/>
              <w:marRight w:val="0"/>
              <w:marTop w:val="0"/>
              <w:marBottom w:val="0"/>
              <w:divBdr>
                <w:top w:val="none" w:sz="0" w:space="0" w:color="auto"/>
                <w:left w:val="none" w:sz="0" w:space="0" w:color="auto"/>
                <w:bottom w:val="none" w:sz="0" w:space="0" w:color="auto"/>
                <w:right w:val="none" w:sz="0" w:space="0" w:color="auto"/>
              </w:divBdr>
            </w:div>
          </w:divsChild>
        </w:div>
        <w:div w:id="1849057270">
          <w:marLeft w:val="0"/>
          <w:marRight w:val="0"/>
          <w:marTop w:val="0"/>
          <w:marBottom w:val="0"/>
          <w:divBdr>
            <w:top w:val="none" w:sz="0" w:space="0" w:color="auto"/>
            <w:left w:val="none" w:sz="0" w:space="0" w:color="auto"/>
            <w:bottom w:val="none" w:sz="0" w:space="0" w:color="auto"/>
            <w:right w:val="none" w:sz="0" w:space="0" w:color="auto"/>
          </w:divBdr>
          <w:divsChild>
            <w:div w:id="1884562511">
              <w:marLeft w:val="0"/>
              <w:marRight w:val="0"/>
              <w:marTop w:val="0"/>
              <w:marBottom w:val="0"/>
              <w:divBdr>
                <w:top w:val="none" w:sz="0" w:space="0" w:color="auto"/>
                <w:left w:val="none" w:sz="0" w:space="0" w:color="auto"/>
                <w:bottom w:val="none" w:sz="0" w:space="0" w:color="auto"/>
                <w:right w:val="none" w:sz="0" w:space="0" w:color="auto"/>
              </w:divBdr>
            </w:div>
          </w:divsChild>
        </w:div>
        <w:div w:id="1855146070">
          <w:marLeft w:val="0"/>
          <w:marRight w:val="0"/>
          <w:marTop w:val="0"/>
          <w:marBottom w:val="0"/>
          <w:divBdr>
            <w:top w:val="none" w:sz="0" w:space="0" w:color="auto"/>
            <w:left w:val="none" w:sz="0" w:space="0" w:color="auto"/>
            <w:bottom w:val="none" w:sz="0" w:space="0" w:color="auto"/>
            <w:right w:val="none" w:sz="0" w:space="0" w:color="auto"/>
          </w:divBdr>
          <w:divsChild>
            <w:div w:id="1301809923">
              <w:marLeft w:val="0"/>
              <w:marRight w:val="0"/>
              <w:marTop w:val="0"/>
              <w:marBottom w:val="0"/>
              <w:divBdr>
                <w:top w:val="none" w:sz="0" w:space="0" w:color="auto"/>
                <w:left w:val="none" w:sz="0" w:space="0" w:color="auto"/>
                <w:bottom w:val="none" w:sz="0" w:space="0" w:color="auto"/>
                <w:right w:val="none" w:sz="0" w:space="0" w:color="auto"/>
              </w:divBdr>
            </w:div>
          </w:divsChild>
        </w:div>
        <w:div w:id="1858153098">
          <w:marLeft w:val="0"/>
          <w:marRight w:val="0"/>
          <w:marTop w:val="0"/>
          <w:marBottom w:val="0"/>
          <w:divBdr>
            <w:top w:val="none" w:sz="0" w:space="0" w:color="auto"/>
            <w:left w:val="none" w:sz="0" w:space="0" w:color="auto"/>
            <w:bottom w:val="none" w:sz="0" w:space="0" w:color="auto"/>
            <w:right w:val="none" w:sz="0" w:space="0" w:color="auto"/>
          </w:divBdr>
          <w:divsChild>
            <w:div w:id="1015419381">
              <w:marLeft w:val="0"/>
              <w:marRight w:val="0"/>
              <w:marTop w:val="0"/>
              <w:marBottom w:val="0"/>
              <w:divBdr>
                <w:top w:val="none" w:sz="0" w:space="0" w:color="auto"/>
                <w:left w:val="none" w:sz="0" w:space="0" w:color="auto"/>
                <w:bottom w:val="none" w:sz="0" w:space="0" w:color="auto"/>
                <w:right w:val="none" w:sz="0" w:space="0" w:color="auto"/>
              </w:divBdr>
            </w:div>
          </w:divsChild>
        </w:div>
        <w:div w:id="1867135376">
          <w:marLeft w:val="0"/>
          <w:marRight w:val="0"/>
          <w:marTop w:val="0"/>
          <w:marBottom w:val="0"/>
          <w:divBdr>
            <w:top w:val="none" w:sz="0" w:space="0" w:color="auto"/>
            <w:left w:val="none" w:sz="0" w:space="0" w:color="auto"/>
            <w:bottom w:val="none" w:sz="0" w:space="0" w:color="auto"/>
            <w:right w:val="none" w:sz="0" w:space="0" w:color="auto"/>
          </w:divBdr>
          <w:divsChild>
            <w:div w:id="2011786294">
              <w:marLeft w:val="0"/>
              <w:marRight w:val="0"/>
              <w:marTop w:val="0"/>
              <w:marBottom w:val="0"/>
              <w:divBdr>
                <w:top w:val="none" w:sz="0" w:space="0" w:color="auto"/>
                <w:left w:val="none" w:sz="0" w:space="0" w:color="auto"/>
                <w:bottom w:val="none" w:sz="0" w:space="0" w:color="auto"/>
                <w:right w:val="none" w:sz="0" w:space="0" w:color="auto"/>
              </w:divBdr>
            </w:div>
          </w:divsChild>
        </w:div>
        <w:div w:id="1883399267">
          <w:marLeft w:val="0"/>
          <w:marRight w:val="0"/>
          <w:marTop w:val="0"/>
          <w:marBottom w:val="0"/>
          <w:divBdr>
            <w:top w:val="none" w:sz="0" w:space="0" w:color="auto"/>
            <w:left w:val="none" w:sz="0" w:space="0" w:color="auto"/>
            <w:bottom w:val="none" w:sz="0" w:space="0" w:color="auto"/>
            <w:right w:val="none" w:sz="0" w:space="0" w:color="auto"/>
          </w:divBdr>
          <w:divsChild>
            <w:div w:id="560020604">
              <w:marLeft w:val="0"/>
              <w:marRight w:val="0"/>
              <w:marTop w:val="0"/>
              <w:marBottom w:val="0"/>
              <w:divBdr>
                <w:top w:val="none" w:sz="0" w:space="0" w:color="auto"/>
                <w:left w:val="none" w:sz="0" w:space="0" w:color="auto"/>
                <w:bottom w:val="none" w:sz="0" w:space="0" w:color="auto"/>
                <w:right w:val="none" w:sz="0" w:space="0" w:color="auto"/>
              </w:divBdr>
            </w:div>
          </w:divsChild>
        </w:div>
        <w:div w:id="1920944016">
          <w:marLeft w:val="0"/>
          <w:marRight w:val="0"/>
          <w:marTop w:val="0"/>
          <w:marBottom w:val="0"/>
          <w:divBdr>
            <w:top w:val="none" w:sz="0" w:space="0" w:color="auto"/>
            <w:left w:val="none" w:sz="0" w:space="0" w:color="auto"/>
            <w:bottom w:val="none" w:sz="0" w:space="0" w:color="auto"/>
            <w:right w:val="none" w:sz="0" w:space="0" w:color="auto"/>
          </w:divBdr>
          <w:divsChild>
            <w:div w:id="1450006827">
              <w:marLeft w:val="0"/>
              <w:marRight w:val="0"/>
              <w:marTop w:val="0"/>
              <w:marBottom w:val="0"/>
              <w:divBdr>
                <w:top w:val="none" w:sz="0" w:space="0" w:color="auto"/>
                <w:left w:val="none" w:sz="0" w:space="0" w:color="auto"/>
                <w:bottom w:val="none" w:sz="0" w:space="0" w:color="auto"/>
                <w:right w:val="none" w:sz="0" w:space="0" w:color="auto"/>
              </w:divBdr>
            </w:div>
          </w:divsChild>
        </w:div>
        <w:div w:id="1941059661">
          <w:marLeft w:val="0"/>
          <w:marRight w:val="0"/>
          <w:marTop w:val="0"/>
          <w:marBottom w:val="0"/>
          <w:divBdr>
            <w:top w:val="none" w:sz="0" w:space="0" w:color="auto"/>
            <w:left w:val="none" w:sz="0" w:space="0" w:color="auto"/>
            <w:bottom w:val="none" w:sz="0" w:space="0" w:color="auto"/>
            <w:right w:val="none" w:sz="0" w:space="0" w:color="auto"/>
          </w:divBdr>
          <w:divsChild>
            <w:div w:id="54592078">
              <w:marLeft w:val="0"/>
              <w:marRight w:val="0"/>
              <w:marTop w:val="0"/>
              <w:marBottom w:val="0"/>
              <w:divBdr>
                <w:top w:val="none" w:sz="0" w:space="0" w:color="auto"/>
                <w:left w:val="none" w:sz="0" w:space="0" w:color="auto"/>
                <w:bottom w:val="none" w:sz="0" w:space="0" w:color="auto"/>
                <w:right w:val="none" w:sz="0" w:space="0" w:color="auto"/>
              </w:divBdr>
            </w:div>
          </w:divsChild>
        </w:div>
        <w:div w:id="1945337304">
          <w:marLeft w:val="0"/>
          <w:marRight w:val="0"/>
          <w:marTop w:val="0"/>
          <w:marBottom w:val="0"/>
          <w:divBdr>
            <w:top w:val="none" w:sz="0" w:space="0" w:color="auto"/>
            <w:left w:val="none" w:sz="0" w:space="0" w:color="auto"/>
            <w:bottom w:val="none" w:sz="0" w:space="0" w:color="auto"/>
            <w:right w:val="none" w:sz="0" w:space="0" w:color="auto"/>
          </w:divBdr>
          <w:divsChild>
            <w:div w:id="1115758690">
              <w:marLeft w:val="0"/>
              <w:marRight w:val="0"/>
              <w:marTop w:val="0"/>
              <w:marBottom w:val="0"/>
              <w:divBdr>
                <w:top w:val="none" w:sz="0" w:space="0" w:color="auto"/>
                <w:left w:val="none" w:sz="0" w:space="0" w:color="auto"/>
                <w:bottom w:val="none" w:sz="0" w:space="0" w:color="auto"/>
                <w:right w:val="none" w:sz="0" w:space="0" w:color="auto"/>
              </w:divBdr>
            </w:div>
          </w:divsChild>
        </w:div>
        <w:div w:id="1959020759">
          <w:marLeft w:val="0"/>
          <w:marRight w:val="0"/>
          <w:marTop w:val="0"/>
          <w:marBottom w:val="0"/>
          <w:divBdr>
            <w:top w:val="none" w:sz="0" w:space="0" w:color="auto"/>
            <w:left w:val="none" w:sz="0" w:space="0" w:color="auto"/>
            <w:bottom w:val="none" w:sz="0" w:space="0" w:color="auto"/>
            <w:right w:val="none" w:sz="0" w:space="0" w:color="auto"/>
          </w:divBdr>
          <w:divsChild>
            <w:div w:id="256258161">
              <w:marLeft w:val="0"/>
              <w:marRight w:val="0"/>
              <w:marTop w:val="0"/>
              <w:marBottom w:val="0"/>
              <w:divBdr>
                <w:top w:val="none" w:sz="0" w:space="0" w:color="auto"/>
                <w:left w:val="none" w:sz="0" w:space="0" w:color="auto"/>
                <w:bottom w:val="none" w:sz="0" w:space="0" w:color="auto"/>
                <w:right w:val="none" w:sz="0" w:space="0" w:color="auto"/>
              </w:divBdr>
            </w:div>
          </w:divsChild>
        </w:div>
        <w:div w:id="2000839893">
          <w:marLeft w:val="0"/>
          <w:marRight w:val="0"/>
          <w:marTop w:val="0"/>
          <w:marBottom w:val="0"/>
          <w:divBdr>
            <w:top w:val="none" w:sz="0" w:space="0" w:color="auto"/>
            <w:left w:val="none" w:sz="0" w:space="0" w:color="auto"/>
            <w:bottom w:val="none" w:sz="0" w:space="0" w:color="auto"/>
            <w:right w:val="none" w:sz="0" w:space="0" w:color="auto"/>
          </w:divBdr>
          <w:divsChild>
            <w:div w:id="1862162428">
              <w:marLeft w:val="0"/>
              <w:marRight w:val="0"/>
              <w:marTop w:val="0"/>
              <w:marBottom w:val="0"/>
              <w:divBdr>
                <w:top w:val="none" w:sz="0" w:space="0" w:color="auto"/>
                <w:left w:val="none" w:sz="0" w:space="0" w:color="auto"/>
                <w:bottom w:val="none" w:sz="0" w:space="0" w:color="auto"/>
                <w:right w:val="none" w:sz="0" w:space="0" w:color="auto"/>
              </w:divBdr>
            </w:div>
          </w:divsChild>
        </w:div>
        <w:div w:id="2000882856">
          <w:marLeft w:val="0"/>
          <w:marRight w:val="0"/>
          <w:marTop w:val="0"/>
          <w:marBottom w:val="0"/>
          <w:divBdr>
            <w:top w:val="none" w:sz="0" w:space="0" w:color="auto"/>
            <w:left w:val="none" w:sz="0" w:space="0" w:color="auto"/>
            <w:bottom w:val="none" w:sz="0" w:space="0" w:color="auto"/>
            <w:right w:val="none" w:sz="0" w:space="0" w:color="auto"/>
          </w:divBdr>
          <w:divsChild>
            <w:div w:id="1123427624">
              <w:marLeft w:val="0"/>
              <w:marRight w:val="0"/>
              <w:marTop w:val="0"/>
              <w:marBottom w:val="0"/>
              <w:divBdr>
                <w:top w:val="none" w:sz="0" w:space="0" w:color="auto"/>
                <w:left w:val="none" w:sz="0" w:space="0" w:color="auto"/>
                <w:bottom w:val="none" w:sz="0" w:space="0" w:color="auto"/>
                <w:right w:val="none" w:sz="0" w:space="0" w:color="auto"/>
              </w:divBdr>
            </w:div>
          </w:divsChild>
        </w:div>
        <w:div w:id="2032486274">
          <w:marLeft w:val="0"/>
          <w:marRight w:val="0"/>
          <w:marTop w:val="0"/>
          <w:marBottom w:val="0"/>
          <w:divBdr>
            <w:top w:val="none" w:sz="0" w:space="0" w:color="auto"/>
            <w:left w:val="none" w:sz="0" w:space="0" w:color="auto"/>
            <w:bottom w:val="none" w:sz="0" w:space="0" w:color="auto"/>
            <w:right w:val="none" w:sz="0" w:space="0" w:color="auto"/>
          </w:divBdr>
          <w:divsChild>
            <w:div w:id="173156304">
              <w:marLeft w:val="0"/>
              <w:marRight w:val="0"/>
              <w:marTop w:val="0"/>
              <w:marBottom w:val="0"/>
              <w:divBdr>
                <w:top w:val="none" w:sz="0" w:space="0" w:color="auto"/>
                <w:left w:val="none" w:sz="0" w:space="0" w:color="auto"/>
                <w:bottom w:val="none" w:sz="0" w:space="0" w:color="auto"/>
                <w:right w:val="none" w:sz="0" w:space="0" w:color="auto"/>
              </w:divBdr>
            </w:div>
          </w:divsChild>
        </w:div>
        <w:div w:id="2034381121">
          <w:marLeft w:val="0"/>
          <w:marRight w:val="0"/>
          <w:marTop w:val="0"/>
          <w:marBottom w:val="0"/>
          <w:divBdr>
            <w:top w:val="none" w:sz="0" w:space="0" w:color="auto"/>
            <w:left w:val="none" w:sz="0" w:space="0" w:color="auto"/>
            <w:bottom w:val="none" w:sz="0" w:space="0" w:color="auto"/>
            <w:right w:val="none" w:sz="0" w:space="0" w:color="auto"/>
          </w:divBdr>
          <w:divsChild>
            <w:div w:id="1519347779">
              <w:marLeft w:val="0"/>
              <w:marRight w:val="0"/>
              <w:marTop w:val="0"/>
              <w:marBottom w:val="0"/>
              <w:divBdr>
                <w:top w:val="none" w:sz="0" w:space="0" w:color="auto"/>
                <w:left w:val="none" w:sz="0" w:space="0" w:color="auto"/>
                <w:bottom w:val="none" w:sz="0" w:space="0" w:color="auto"/>
                <w:right w:val="none" w:sz="0" w:space="0" w:color="auto"/>
              </w:divBdr>
            </w:div>
          </w:divsChild>
        </w:div>
        <w:div w:id="2048942008">
          <w:marLeft w:val="0"/>
          <w:marRight w:val="0"/>
          <w:marTop w:val="0"/>
          <w:marBottom w:val="0"/>
          <w:divBdr>
            <w:top w:val="none" w:sz="0" w:space="0" w:color="auto"/>
            <w:left w:val="none" w:sz="0" w:space="0" w:color="auto"/>
            <w:bottom w:val="none" w:sz="0" w:space="0" w:color="auto"/>
            <w:right w:val="none" w:sz="0" w:space="0" w:color="auto"/>
          </w:divBdr>
          <w:divsChild>
            <w:div w:id="1808159386">
              <w:marLeft w:val="0"/>
              <w:marRight w:val="0"/>
              <w:marTop w:val="0"/>
              <w:marBottom w:val="0"/>
              <w:divBdr>
                <w:top w:val="none" w:sz="0" w:space="0" w:color="auto"/>
                <w:left w:val="none" w:sz="0" w:space="0" w:color="auto"/>
                <w:bottom w:val="none" w:sz="0" w:space="0" w:color="auto"/>
                <w:right w:val="none" w:sz="0" w:space="0" w:color="auto"/>
              </w:divBdr>
            </w:div>
          </w:divsChild>
        </w:div>
        <w:div w:id="2069836868">
          <w:marLeft w:val="0"/>
          <w:marRight w:val="0"/>
          <w:marTop w:val="0"/>
          <w:marBottom w:val="0"/>
          <w:divBdr>
            <w:top w:val="none" w:sz="0" w:space="0" w:color="auto"/>
            <w:left w:val="none" w:sz="0" w:space="0" w:color="auto"/>
            <w:bottom w:val="none" w:sz="0" w:space="0" w:color="auto"/>
            <w:right w:val="none" w:sz="0" w:space="0" w:color="auto"/>
          </w:divBdr>
          <w:divsChild>
            <w:div w:id="396706677">
              <w:marLeft w:val="0"/>
              <w:marRight w:val="0"/>
              <w:marTop w:val="0"/>
              <w:marBottom w:val="0"/>
              <w:divBdr>
                <w:top w:val="none" w:sz="0" w:space="0" w:color="auto"/>
                <w:left w:val="none" w:sz="0" w:space="0" w:color="auto"/>
                <w:bottom w:val="none" w:sz="0" w:space="0" w:color="auto"/>
                <w:right w:val="none" w:sz="0" w:space="0" w:color="auto"/>
              </w:divBdr>
            </w:div>
          </w:divsChild>
        </w:div>
        <w:div w:id="2078168244">
          <w:marLeft w:val="0"/>
          <w:marRight w:val="0"/>
          <w:marTop w:val="0"/>
          <w:marBottom w:val="0"/>
          <w:divBdr>
            <w:top w:val="none" w:sz="0" w:space="0" w:color="auto"/>
            <w:left w:val="none" w:sz="0" w:space="0" w:color="auto"/>
            <w:bottom w:val="none" w:sz="0" w:space="0" w:color="auto"/>
            <w:right w:val="none" w:sz="0" w:space="0" w:color="auto"/>
          </w:divBdr>
          <w:divsChild>
            <w:div w:id="16440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64156">
      <w:bodyDiv w:val="1"/>
      <w:marLeft w:val="0"/>
      <w:marRight w:val="0"/>
      <w:marTop w:val="0"/>
      <w:marBottom w:val="0"/>
      <w:divBdr>
        <w:top w:val="none" w:sz="0" w:space="0" w:color="auto"/>
        <w:left w:val="none" w:sz="0" w:space="0" w:color="auto"/>
        <w:bottom w:val="none" w:sz="0" w:space="0" w:color="auto"/>
        <w:right w:val="none" w:sz="0" w:space="0" w:color="auto"/>
      </w:divBdr>
      <w:divsChild>
        <w:div w:id="116919124">
          <w:marLeft w:val="0"/>
          <w:marRight w:val="0"/>
          <w:marTop w:val="0"/>
          <w:marBottom w:val="0"/>
          <w:divBdr>
            <w:top w:val="none" w:sz="0" w:space="0" w:color="auto"/>
            <w:left w:val="none" w:sz="0" w:space="0" w:color="auto"/>
            <w:bottom w:val="none" w:sz="0" w:space="0" w:color="auto"/>
            <w:right w:val="none" w:sz="0" w:space="0" w:color="auto"/>
          </w:divBdr>
        </w:div>
        <w:div w:id="153185134">
          <w:marLeft w:val="0"/>
          <w:marRight w:val="0"/>
          <w:marTop w:val="0"/>
          <w:marBottom w:val="0"/>
          <w:divBdr>
            <w:top w:val="none" w:sz="0" w:space="0" w:color="auto"/>
            <w:left w:val="none" w:sz="0" w:space="0" w:color="auto"/>
            <w:bottom w:val="none" w:sz="0" w:space="0" w:color="auto"/>
            <w:right w:val="none" w:sz="0" w:space="0" w:color="auto"/>
          </w:divBdr>
        </w:div>
        <w:div w:id="399210610">
          <w:marLeft w:val="0"/>
          <w:marRight w:val="0"/>
          <w:marTop w:val="0"/>
          <w:marBottom w:val="0"/>
          <w:divBdr>
            <w:top w:val="none" w:sz="0" w:space="0" w:color="auto"/>
            <w:left w:val="none" w:sz="0" w:space="0" w:color="auto"/>
            <w:bottom w:val="none" w:sz="0" w:space="0" w:color="auto"/>
            <w:right w:val="none" w:sz="0" w:space="0" w:color="auto"/>
          </w:divBdr>
        </w:div>
        <w:div w:id="1157498744">
          <w:marLeft w:val="0"/>
          <w:marRight w:val="0"/>
          <w:marTop w:val="0"/>
          <w:marBottom w:val="0"/>
          <w:divBdr>
            <w:top w:val="none" w:sz="0" w:space="0" w:color="auto"/>
            <w:left w:val="none" w:sz="0" w:space="0" w:color="auto"/>
            <w:bottom w:val="none" w:sz="0" w:space="0" w:color="auto"/>
            <w:right w:val="none" w:sz="0" w:space="0" w:color="auto"/>
          </w:divBdr>
        </w:div>
        <w:div w:id="1524781467">
          <w:marLeft w:val="0"/>
          <w:marRight w:val="0"/>
          <w:marTop w:val="0"/>
          <w:marBottom w:val="0"/>
          <w:divBdr>
            <w:top w:val="none" w:sz="0" w:space="0" w:color="auto"/>
            <w:left w:val="none" w:sz="0" w:space="0" w:color="auto"/>
            <w:bottom w:val="none" w:sz="0" w:space="0" w:color="auto"/>
            <w:right w:val="none" w:sz="0" w:space="0" w:color="auto"/>
          </w:divBdr>
        </w:div>
      </w:divsChild>
    </w:div>
    <w:div w:id="1219437448">
      <w:bodyDiv w:val="1"/>
      <w:marLeft w:val="0"/>
      <w:marRight w:val="0"/>
      <w:marTop w:val="0"/>
      <w:marBottom w:val="0"/>
      <w:divBdr>
        <w:top w:val="none" w:sz="0" w:space="0" w:color="auto"/>
        <w:left w:val="none" w:sz="0" w:space="0" w:color="auto"/>
        <w:bottom w:val="none" w:sz="0" w:space="0" w:color="auto"/>
        <w:right w:val="none" w:sz="0" w:space="0" w:color="auto"/>
      </w:divBdr>
      <w:divsChild>
        <w:div w:id="9377810">
          <w:marLeft w:val="0"/>
          <w:marRight w:val="0"/>
          <w:marTop w:val="0"/>
          <w:marBottom w:val="0"/>
          <w:divBdr>
            <w:top w:val="none" w:sz="0" w:space="0" w:color="auto"/>
            <w:left w:val="none" w:sz="0" w:space="0" w:color="auto"/>
            <w:bottom w:val="none" w:sz="0" w:space="0" w:color="auto"/>
            <w:right w:val="none" w:sz="0" w:space="0" w:color="auto"/>
          </w:divBdr>
        </w:div>
        <w:div w:id="95369115">
          <w:marLeft w:val="0"/>
          <w:marRight w:val="0"/>
          <w:marTop w:val="0"/>
          <w:marBottom w:val="0"/>
          <w:divBdr>
            <w:top w:val="none" w:sz="0" w:space="0" w:color="auto"/>
            <w:left w:val="none" w:sz="0" w:space="0" w:color="auto"/>
            <w:bottom w:val="none" w:sz="0" w:space="0" w:color="auto"/>
            <w:right w:val="none" w:sz="0" w:space="0" w:color="auto"/>
          </w:divBdr>
        </w:div>
        <w:div w:id="464003809">
          <w:marLeft w:val="0"/>
          <w:marRight w:val="0"/>
          <w:marTop w:val="0"/>
          <w:marBottom w:val="0"/>
          <w:divBdr>
            <w:top w:val="none" w:sz="0" w:space="0" w:color="auto"/>
            <w:left w:val="none" w:sz="0" w:space="0" w:color="auto"/>
            <w:bottom w:val="none" w:sz="0" w:space="0" w:color="auto"/>
            <w:right w:val="none" w:sz="0" w:space="0" w:color="auto"/>
          </w:divBdr>
        </w:div>
        <w:div w:id="525607701">
          <w:marLeft w:val="0"/>
          <w:marRight w:val="0"/>
          <w:marTop w:val="0"/>
          <w:marBottom w:val="0"/>
          <w:divBdr>
            <w:top w:val="none" w:sz="0" w:space="0" w:color="auto"/>
            <w:left w:val="none" w:sz="0" w:space="0" w:color="auto"/>
            <w:bottom w:val="none" w:sz="0" w:space="0" w:color="auto"/>
            <w:right w:val="none" w:sz="0" w:space="0" w:color="auto"/>
          </w:divBdr>
        </w:div>
        <w:div w:id="721514395">
          <w:marLeft w:val="0"/>
          <w:marRight w:val="0"/>
          <w:marTop w:val="0"/>
          <w:marBottom w:val="0"/>
          <w:divBdr>
            <w:top w:val="none" w:sz="0" w:space="0" w:color="auto"/>
            <w:left w:val="none" w:sz="0" w:space="0" w:color="auto"/>
            <w:bottom w:val="none" w:sz="0" w:space="0" w:color="auto"/>
            <w:right w:val="none" w:sz="0" w:space="0" w:color="auto"/>
          </w:divBdr>
        </w:div>
        <w:div w:id="796030388">
          <w:marLeft w:val="0"/>
          <w:marRight w:val="0"/>
          <w:marTop w:val="0"/>
          <w:marBottom w:val="0"/>
          <w:divBdr>
            <w:top w:val="none" w:sz="0" w:space="0" w:color="auto"/>
            <w:left w:val="none" w:sz="0" w:space="0" w:color="auto"/>
            <w:bottom w:val="none" w:sz="0" w:space="0" w:color="auto"/>
            <w:right w:val="none" w:sz="0" w:space="0" w:color="auto"/>
          </w:divBdr>
        </w:div>
        <w:div w:id="801386280">
          <w:marLeft w:val="0"/>
          <w:marRight w:val="0"/>
          <w:marTop w:val="0"/>
          <w:marBottom w:val="0"/>
          <w:divBdr>
            <w:top w:val="none" w:sz="0" w:space="0" w:color="auto"/>
            <w:left w:val="none" w:sz="0" w:space="0" w:color="auto"/>
            <w:bottom w:val="none" w:sz="0" w:space="0" w:color="auto"/>
            <w:right w:val="none" w:sz="0" w:space="0" w:color="auto"/>
          </w:divBdr>
        </w:div>
        <w:div w:id="893391451">
          <w:marLeft w:val="0"/>
          <w:marRight w:val="0"/>
          <w:marTop w:val="0"/>
          <w:marBottom w:val="0"/>
          <w:divBdr>
            <w:top w:val="none" w:sz="0" w:space="0" w:color="auto"/>
            <w:left w:val="none" w:sz="0" w:space="0" w:color="auto"/>
            <w:bottom w:val="none" w:sz="0" w:space="0" w:color="auto"/>
            <w:right w:val="none" w:sz="0" w:space="0" w:color="auto"/>
          </w:divBdr>
        </w:div>
        <w:div w:id="1637762760">
          <w:marLeft w:val="0"/>
          <w:marRight w:val="0"/>
          <w:marTop w:val="0"/>
          <w:marBottom w:val="0"/>
          <w:divBdr>
            <w:top w:val="none" w:sz="0" w:space="0" w:color="auto"/>
            <w:left w:val="none" w:sz="0" w:space="0" w:color="auto"/>
            <w:bottom w:val="none" w:sz="0" w:space="0" w:color="auto"/>
            <w:right w:val="none" w:sz="0" w:space="0" w:color="auto"/>
          </w:divBdr>
        </w:div>
        <w:div w:id="1647735220">
          <w:marLeft w:val="0"/>
          <w:marRight w:val="0"/>
          <w:marTop w:val="0"/>
          <w:marBottom w:val="0"/>
          <w:divBdr>
            <w:top w:val="none" w:sz="0" w:space="0" w:color="auto"/>
            <w:left w:val="none" w:sz="0" w:space="0" w:color="auto"/>
            <w:bottom w:val="none" w:sz="0" w:space="0" w:color="auto"/>
            <w:right w:val="none" w:sz="0" w:space="0" w:color="auto"/>
          </w:divBdr>
        </w:div>
        <w:div w:id="1652248317">
          <w:marLeft w:val="0"/>
          <w:marRight w:val="0"/>
          <w:marTop w:val="0"/>
          <w:marBottom w:val="0"/>
          <w:divBdr>
            <w:top w:val="none" w:sz="0" w:space="0" w:color="auto"/>
            <w:left w:val="none" w:sz="0" w:space="0" w:color="auto"/>
            <w:bottom w:val="none" w:sz="0" w:space="0" w:color="auto"/>
            <w:right w:val="none" w:sz="0" w:space="0" w:color="auto"/>
          </w:divBdr>
        </w:div>
        <w:div w:id="1792506571">
          <w:marLeft w:val="0"/>
          <w:marRight w:val="0"/>
          <w:marTop w:val="0"/>
          <w:marBottom w:val="0"/>
          <w:divBdr>
            <w:top w:val="none" w:sz="0" w:space="0" w:color="auto"/>
            <w:left w:val="none" w:sz="0" w:space="0" w:color="auto"/>
            <w:bottom w:val="none" w:sz="0" w:space="0" w:color="auto"/>
            <w:right w:val="none" w:sz="0" w:space="0" w:color="auto"/>
          </w:divBdr>
        </w:div>
        <w:div w:id="1946959145">
          <w:marLeft w:val="0"/>
          <w:marRight w:val="0"/>
          <w:marTop w:val="0"/>
          <w:marBottom w:val="0"/>
          <w:divBdr>
            <w:top w:val="none" w:sz="0" w:space="0" w:color="auto"/>
            <w:left w:val="none" w:sz="0" w:space="0" w:color="auto"/>
            <w:bottom w:val="none" w:sz="0" w:space="0" w:color="auto"/>
            <w:right w:val="none" w:sz="0" w:space="0" w:color="auto"/>
          </w:divBdr>
        </w:div>
      </w:divsChild>
    </w:div>
    <w:div w:id="1228960014">
      <w:bodyDiv w:val="1"/>
      <w:marLeft w:val="0"/>
      <w:marRight w:val="0"/>
      <w:marTop w:val="0"/>
      <w:marBottom w:val="0"/>
      <w:divBdr>
        <w:top w:val="none" w:sz="0" w:space="0" w:color="auto"/>
        <w:left w:val="none" w:sz="0" w:space="0" w:color="auto"/>
        <w:bottom w:val="none" w:sz="0" w:space="0" w:color="auto"/>
        <w:right w:val="none" w:sz="0" w:space="0" w:color="auto"/>
      </w:divBdr>
    </w:div>
    <w:div w:id="1237473767">
      <w:bodyDiv w:val="1"/>
      <w:marLeft w:val="0"/>
      <w:marRight w:val="0"/>
      <w:marTop w:val="0"/>
      <w:marBottom w:val="0"/>
      <w:divBdr>
        <w:top w:val="none" w:sz="0" w:space="0" w:color="auto"/>
        <w:left w:val="none" w:sz="0" w:space="0" w:color="auto"/>
        <w:bottom w:val="none" w:sz="0" w:space="0" w:color="auto"/>
        <w:right w:val="none" w:sz="0" w:space="0" w:color="auto"/>
      </w:divBdr>
    </w:div>
    <w:div w:id="1243947838">
      <w:bodyDiv w:val="1"/>
      <w:marLeft w:val="0"/>
      <w:marRight w:val="0"/>
      <w:marTop w:val="0"/>
      <w:marBottom w:val="0"/>
      <w:divBdr>
        <w:top w:val="none" w:sz="0" w:space="0" w:color="auto"/>
        <w:left w:val="none" w:sz="0" w:space="0" w:color="auto"/>
        <w:bottom w:val="none" w:sz="0" w:space="0" w:color="auto"/>
        <w:right w:val="none" w:sz="0" w:space="0" w:color="auto"/>
      </w:divBdr>
      <w:divsChild>
        <w:div w:id="115298475">
          <w:marLeft w:val="0"/>
          <w:marRight w:val="0"/>
          <w:marTop w:val="0"/>
          <w:marBottom w:val="0"/>
          <w:divBdr>
            <w:top w:val="none" w:sz="0" w:space="0" w:color="auto"/>
            <w:left w:val="none" w:sz="0" w:space="0" w:color="auto"/>
            <w:bottom w:val="none" w:sz="0" w:space="0" w:color="auto"/>
            <w:right w:val="none" w:sz="0" w:space="0" w:color="auto"/>
          </w:divBdr>
        </w:div>
        <w:div w:id="134302520">
          <w:marLeft w:val="0"/>
          <w:marRight w:val="0"/>
          <w:marTop w:val="0"/>
          <w:marBottom w:val="0"/>
          <w:divBdr>
            <w:top w:val="none" w:sz="0" w:space="0" w:color="auto"/>
            <w:left w:val="none" w:sz="0" w:space="0" w:color="auto"/>
            <w:bottom w:val="none" w:sz="0" w:space="0" w:color="auto"/>
            <w:right w:val="none" w:sz="0" w:space="0" w:color="auto"/>
          </w:divBdr>
        </w:div>
        <w:div w:id="137035791">
          <w:marLeft w:val="0"/>
          <w:marRight w:val="0"/>
          <w:marTop w:val="0"/>
          <w:marBottom w:val="0"/>
          <w:divBdr>
            <w:top w:val="none" w:sz="0" w:space="0" w:color="auto"/>
            <w:left w:val="none" w:sz="0" w:space="0" w:color="auto"/>
            <w:bottom w:val="none" w:sz="0" w:space="0" w:color="auto"/>
            <w:right w:val="none" w:sz="0" w:space="0" w:color="auto"/>
          </w:divBdr>
        </w:div>
        <w:div w:id="269242998">
          <w:marLeft w:val="0"/>
          <w:marRight w:val="0"/>
          <w:marTop w:val="0"/>
          <w:marBottom w:val="0"/>
          <w:divBdr>
            <w:top w:val="none" w:sz="0" w:space="0" w:color="auto"/>
            <w:left w:val="none" w:sz="0" w:space="0" w:color="auto"/>
            <w:bottom w:val="none" w:sz="0" w:space="0" w:color="auto"/>
            <w:right w:val="none" w:sz="0" w:space="0" w:color="auto"/>
          </w:divBdr>
        </w:div>
        <w:div w:id="997346327">
          <w:marLeft w:val="0"/>
          <w:marRight w:val="0"/>
          <w:marTop w:val="0"/>
          <w:marBottom w:val="0"/>
          <w:divBdr>
            <w:top w:val="none" w:sz="0" w:space="0" w:color="auto"/>
            <w:left w:val="none" w:sz="0" w:space="0" w:color="auto"/>
            <w:bottom w:val="none" w:sz="0" w:space="0" w:color="auto"/>
            <w:right w:val="none" w:sz="0" w:space="0" w:color="auto"/>
          </w:divBdr>
        </w:div>
        <w:div w:id="1209343719">
          <w:marLeft w:val="0"/>
          <w:marRight w:val="0"/>
          <w:marTop w:val="0"/>
          <w:marBottom w:val="0"/>
          <w:divBdr>
            <w:top w:val="none" w:sz="0" w:space="0" w:color="auto"/>
            <w:left w:val="none" w:sz="0" w:space="0" w:color="auto"/>
            <w:bottom w:val="none" w:sz="0" w:space="0" w:color="auto"/>
            <w:right w:val="none" w:sz="0" w:space="0" w:color="auto"/>
          </w:divBdr>
        </w:div>
        <w:div w:id="1420716610">
          <w:marLeft w:val="0"/>
          <w:marRight w:val="0"/>
          <w:marTop w:val="0"/>
          <w:marBottom w:val="0"/>
          <w:divBdr>
            <w:top w:val="none" w:sz="0" w:space="0" w:color="auto"/>
            <w:left w:val="none" w:sz="0" w:space="0" w:color="auto"/>
            <w:bottom w:val="none" w:sz="0" w:space="0" w:color="auto"/>
            <w:right w:val="none" w:sz="0" w:space="0" w:color="auto"/>
          </w:divBdr>
        </w:div>
        <w:div w:id="1691370322">
          <w:marLeft w:val="0"/>
          <w:marRight w:val="0"/>
          <w:marTop w:val="0"/>
          <w:marBottom w:val="0"/>
          <w:divBdr>
            <w:top w:val="none" w:sz="0" w:space="0" w:color="auto"/>
            <w:left w:val="none" w:sz="0" w:space="0" w:color="auto"/>
            <w:bottom w:val="none" w:sz="0" w:space="0" w:color="auto"/>
            <w:right w:val="none" w:sz="0" w:space="0" w:color="auto"/>
          </w:divBdr>
        </w:div>
      </w:divsChild>
    </w:div>
    <w:div w:id="1257251254">
      <w:bodyDiv w:val="1"/>
      <w:marLeft w:val="0"/>
      <w:marRight w:val="0"/>
      <w:marTop w:val="0"/>
      <w:marBottom w:val="0"/>
      <w:divBdr>
        <w:top w:val="none" w:sz="0" w:space="0" w:color="auto"/>
        <w:left w:val="none" w:sz="0" w:space="0" w:color="auto"/>
        <w:bottom w:val="none" w:sz="0" w:space="0" w:color="auto"/>
        <w:right w:val="none" w:sz="0" w:space="0" w:color="auto"/>
      </w:divBdr>
      <w:divsChild>
        <w:div w:id="947158086">
          <w:marLeft w:val="0"/>
          <w:marRight w:val="0"/>
          <w:marTop w:val="0"/>
          <w:marBottom w:val="0"/>
          <w:divBdr>
            <w:top w:val="none" w:sz="0" w:space="0" w:color="auto"/>
            <w:left w:val="none" w:sz="0" w:space="0" w:color="auto"/>
            <w:bottom w:val="none" w:sz="0" w:space="0" w:color="auto"/>
            <w:right w:val="none" w:sz="0" w:space="0" w:color="auto"/>
          </w:divBdr>
        </w:div>
        <w:div w:id="1827935465">
          <w:marLeft w:val="0"/>
          <w:marRight w:val="0"/>
          <w:marTop w:val="0"/>
          <w:marBottom w:val="0"/>
          <w:divBdr>
            <w:top w:val="none" w:sz="0" w:space="0" w:color="auto"/>
            <w:left w:val="none" w:sz="0" w:space="0" w:color="auto"/>
            <w:bottom w:val="none" w:sz="0" w:space="0" w:color="auto"/>
            <w:right w:val="none" w:sz="0" w:space="0" w:color="auto"/>
          </w:divBdr>
        </w:div>
      </w:divsChild>
    </w:div>
    <w:div w:id="1271278751">
      <w:bodyDiv w:val="1"/>
      <w:marLeft w:val="0"/>
      <w:marRight w:val="0"/>
      <w:marTop w:val="0"/>
      <w:marBottom w:val="0"/>
      <w:divBdr>
        <w:top w:val="none" w:sz="0" w:space="0" w:color="auto"/>
        <w:left w:val="none" w:sz="0" w:space="0" w:color="auto"/>
        <w:bottom w:val="none" w:sz="0" w:space="0" w:color="auto"/>
        <w:right w:val="none" w:sz="0" w:space="0" w:color="auto"/>
      </w:divBdr>
    </w:div>
    <w:div w:id="1273323261">
      <w:bodyDiv w:val="1"/>
      <w:marLeft w:val="0"/>
      <w:marRight w:val="0"/>
      <w:marTop w:val="0"/>
      <w:marBottom w:val="0"/>
      <w:divBdr>
        <w:top w:val="none" w:sz="0" w:space="0" w:color="auto"/>
        <w:left w:val="none" w:sz="0" w:space="0" w:color="auto"/>
        <w:bottom w:val="none" w:sz="0" w:space="0" w:color="auto"/>
        <w:right w:val="none" w:sz="0" w:space="0" w:color="auto"/>
      </w:divBdr>
    </w:div>
    <w:div w:id="1280064054">
      <w:bodyDiv w:val="1"/>
      <w:marLeft w:val="0"/>
      <w:marRight w:val="0"/>
      <w:marTop w:val="0"/>
      <w:marBottom w:val="0"/>
      <w:divBdr>
        <w:top w:val="none" w:sz="0" w:space="0" w:color="auto"/>
        <w:left w:val="none" w:sz="0" w:space="0" w:color="auto"/>
        <w:bottom w:val="none" w:sz="0" w:space="0" w:color="auto"/>
        <w:right w:val="none" w:sz="0" w:space="0" w:color="auto"/>
      </w:divBdr>
    </w:div>
    <w:div w:id="1291781997">
      <w:bodyDiv w:val="1"/>
      <w:marLeft w:val="0"/>
      <w:marRight w:val="0"/>
      <w:marTop w:val="0"/>
      <w:marBottom w:val="0"/>
      <w:divBdr>
        <w:top w:val="none" w:sz="0" w:space="0" w:color="auto"/>
        <w:left w:val="none" w:sz="0" w:space="0" w:color="auto"/>
        <w:bottom w:val="none" w:sz="0" w:space="0" w:color="auto"/>
        <w:right w:val="none" w:sz="0" w:space="0" w:color="auto"/>
      </w:divBdr>
    </w:div>
    <w:div w:id="1297030194">
      <w:bodyDiv w:val="1"/>
      <w:marLeft w:val="0"/>
      <w:marRight w:val="0"/>
      <w:marTop w:val="0"/>
      <w:marBottom w:val="0"/>
      <w:divBdr>
        <w:top w:val="none" w:sz="0" w:space="0" w:color="auto"/>
        <w:left w:val="none" w:sz="0" w:space="0" w:color="auto"/>
        <w:bottom w:val="none" w:sz="0" w:space="0" w:color="auto"/>
        <w:right w:val="none" w:sz="0" w:space="0" w:color="auto"/>
      </w:divBdr>
      <w:divsChild>
        <w:div w:id="545872764">
          <w:marLeft w:val="0"/>
          <w:marRight w:val="0"/>
          <w:marTop w:val="0"/>
          <w:marBottom w:val="0"/>
          <w:divBdr>
            <w:top w:val="none" w:sz="0" w:space="0" w:color="auto"/>
            <w:left w:val="none" w:sz="0" w:space="0" w:color="auto"/>
            <w:bottom w:val="none" w:sz="0" w:space="0" w:color="auto"/>
            <w:right w:val="none" w:sz="0" w:space="0" w:color="auto"/>
          </w:divBdr>
        </w:div>
        <w:div w:id="980691822">
          <w:marLeft w:val="0"/>
          <w:marRight w:val="0"/>
          <w:marTop w:val="0"/>
          <w:marBottom w:val="0"/>
          <w:divBdr>
            <w:top w:val="none" w:sz="0" w:space="0" w:color="auto"/>
            <w:left w:val="none" w:sz="0" w:space="0" w:color="auto"/>
            <w:bottom w:val="none" w:sz="0" w:space="0" w:color="auto"/>
            <w:right w:val="none" w:sz="0" w:space="0" w:color="auto"/>
          </w:divBdr>
        </w:div>
      </w:divsChild>
    </w:div>
    <w:div w:id="1308823469">
      <w:bodyDiv w:val="1"/>
      <w:marLeft w:val="0"/>
      <w:marRight w:val="0"/>
      <w:marTop w:val="0"/>
      <w:marBottom w:val="0"/>
      <w:divBdr>
        <w:top w:val="none" w:sz="0" w:space="0" w:color="auto"/>
        <w:left w:val="none" w:sz="0" w:space="0" w:color="auto"/>
        <w:bottom w:val="none" w:sz="0" w:space="0" w:color="auto"/>
        <w:right w:val="none" w:sz="0" w:space="0" w:color="auto"/>
      </w:divBdr>
      <w:divsChild>
        <w:div w:id="856284">
          <w:marLeft w:val="-75"/>
          <w:marRight w:val="0"/>
          <w:marTop w:val="30"/>
          <w:marBottom w:val="30"/>
          <w:divBdr>
            <w:top w:val="none" w:sz="0" w:space="0" w:color="auto"/>
            <w:left w:val="none" w:sz="0" w:space="0" w:color="auto"/>
            <w:bottom w:val="none" w:sz="0" w:space="0" w:color="auto"/>
            <w:right w:val="none" w:sz="0" w:space="0" w:color="auto"/>
          </w:divBdr>
          <w:divsChild>
            <w:div w:id="14041818">
              <w:marLeft w:val="0"/>
              <w:marRight w:val="0"/>
              <w:marTop w:val="0"/>
              <w:marBottom w:val="0"/>
              <w:divBdr>
                <w:top w:val="none" w:sz="0" w:space="0" w:color="auto"/>
                <w:left w:val="none" w:sz="0" w:space="0" w:color="auto"/>
                <w:bottom w:val="none" w:sz="0" w:space="0" w:color="auto"/>
                <w:right w:val="none" w:sz="0" w:space="0" w:color="auto"/>
              </w:divBdr>
              <w:divsChild>
                <w:div w:id="690104610">
                  <w:marLeft w:val="0"/>
                  <w:marRight w:val="0"/>
                  <w:marTop w:val="0"/>
                  <w:marBottom w:val="0"/>
                  <w:divBdr>
                    <w:top w:val="none" w:sz="0" w:space="0" w:color="auto"/>
                    <w:left w:val="none" w:sz="0" w:space="0" w:color="auto"/>
                    <w:bottom w:val="none" w:sz="0" w:space="0" w:color="auto"/>
                    <w:right w:val="none" w:sz="0" w:space="0" w:color="auto"/>
                  </w:divBdr>
                </w:div>
              </w:divsChild>
            </w:div>
            <w:div w:id="30962914">
              <w:marLeft w:val="0"/>
              <w:marRight w:val="0"/>
              <w:marTop w:val="0"/>
              <w:marBottom w:val="0"/>
              <w:divBdr>
                <w:top w:val="none" w:sz="0" w:space="0" w:color="auto"/>
                <w:left w:val="none" w:sz="0" w:space="0" w:color="auto"/>
                <w:bottom w:val="none" w:sz="0" w:space="0" w:color="auto"/>
                <w:right w:val="none" w:sz="0" w:space="0" w:color="auto"/>
              </w:divBdr>
              <w:divsChild>
                <w:div w:id="1068573351">
                  <w:marLeft w:val="0"/>
                  <w:marRight w:val="0"/>
                  <w:marTop w:val="0"/>
                  <w:marBottom w:val="0"/>
                  <w:divBdr>
                    <w:top w:val="none" w:sz="0" w:space="0" w:color="auto"/>
                    <w:left w:val="none" w:sz="0" w:space="0" w:color="auto"/>
                    <w:bottom w:val="none" w:sz="0" w:space="0" w:color="auto"/>
                    <w:right w:val="none" w:sz="0" w:space="0" w:color="auto"/>
                  </w:divBdr>
                </w:div>
              </w:divsChild>
            </w:div>
            <w:div w:id="82533946">
              <w:marLeft w:val="0"/>
              <w:marRight w:val="0"/>
              <w:marTop w:val="0"/>
              <w:marBottom w:val="0"/>
              <w:divBdr>
                <w:top w:val="none" w:sz="0" w:space="0" w:color="auto"/>
                <w:left w:val="none" w:sz="0" w:space="0" w:color="auto"/>
                <w:bottom w:val="none" w:sz="0" w:space="0" w:color="auto"/>
                <w:right w:val="none" w:sz="0" w:space="0" w:color="auto"/>
              </w:divBdr>
              <w:divsChild>
                <w:div w:id="1131896719">
                  <w:marLeft w:val="0"/>
                  <w:marRight w:val="0"/>
                  <w:marTop w:val="0"/>
                  <w:marBottom w:val="0"/>
                  <w:divBdr>
                    <w:top w:val="none" w:sz="0" w:space="0" w:color="auto"/>
                    <w:left w:val="none" w:sz="0" w:space="0" w:color="auto"/>
                    <w:bottom w:val="none" w:sz="0" w:space="0" w:color="auto"/>
                    <w:right w:val="none" w:sz="0" w:space="0" w:color="auto"/>
                  </w:divBdr>
                </w:div>
              </w:divsChild>
            </w:div>
            <w:div w:id="140078131">
              <w:marLeft w:val="0"/>
              <w:marRight w:val="0"/>
              <w:marTop w:val="0"/>
              <w:marBottom w:val="0"/>
              <w:divBdr>
                <w:top w:val="none" w:sz="0" w:space="0" w:color="auto"/>
                <w:left w:val="none" w:sz="0" w:space="0" w:color="auto"/>
                <w:bottom w:val="none" w:sz="0" w:space="0" w:color="auto"/>
                <w:right w:val="none" w:sz="0" w:space="0" w:color="auto"/>
              </w:divBdr>
              <w:divsChild>
                <w:div w:id="46071815">
                  <w:marLeft w:val="0"/>
                  <w:marRight w:val="0"/>
                  <w:marTop w:val="0"/>
                  <w:marBottom w:val="0"/>
                  <w:divBdr>
                    <w:top w:val="none" w:sz="0" w:space="0" w:color="auto"/>
                    <w:left w:val="none" w:sz="0" w:space="0" w:color="auto"/>
                    <w:bottom w:val="none" w:sz="0" w:space="0" w:color="auto"/>
                    <w:right w:val="none" w:sz="0" w:space="0" w:color="auto"/>
                  </w:divBdr>
                </w:div>
              </w:divsChild>
            </w:div>
            <w:div w:id="168952095">
              <w:marLeft w:val="0"/>
              <w:marRight w:val="0"/>
              <w:marTop w:val="0"/>
              <w:marBottom w:val="0"/>
              <w:divBdr>
                <w:top w:val="none" w:sz="0" w:space="0" w:color="auto"/>
                <w:left w:val="none" w:sz="0" w:space="0" w:color="auto"/>
                <w:bottom w:val="none" w:sz="0" w:space="0" w:color="auto"/>
                <w:right w:val="none" w:sz="0" w:space="0" w:color="auto"/>
              </w:divBdr>
              <w:divsChild>
                <w:div w:id="191842693">
                  <w:marLeft w:val="0"/>
                  <w:marRight w:val="0"/>
                  <w:marTop w:val="0"/>
                  <w:marBottom w:val="0"/>
                  <w:divBdr>
                    <w:top w:val="none" w:sz="0" w:space="0" w:color="auto"/>
                    <w:left w:val="none" w:sz="0" w:space="0" w:color="auto"/>
                    <w:bottom w:val="none" w:sz="0" w:space="0" w:color="auto"/>
                    <w:right w:val="none" w:sz="0" w:space="0" w:color="auto"/>
                  </w:divBdr>
                </w:div>
              </w:divsChild>
            </w:div>
            <w:div w:id="180976670">
              <w:marLeft w:val="0"/>
              <w:marRight w:val="0"/>
              <w:marTop w:val="0"/>
              <w:marBottom w:val="0"/>
              <w:divBdr>
                <w:top w:val="none" w:sz="0" w:space="0" w:color="auto"/>
                <w:left w:val="none" w:sz="0" w:space="0" w:color="auto"/>
                <w:bottom w:val="none" w:sz="0" w:space="0" w:color="auto"/>
                <w:right w:val="none" w:sz="0" w:space="0" w:color="auto"/>
              </w:divBdr>
              <w:divsChild>
                <w:div w:id="1113474190">
                  <w:marLeft w:val="0"/>
                  <w:marRight w:val="0"/>
                  <w:marTop w:val="0"/>
                  <w:marBottom w:val="0"/>
                  <w:divBdr>
                    <w:top w:val="none" w:sz="0" w:space="0" w:color="auto"/>
                    <w:left w:val="none" w:sz="0" w:space="0" w:color="auto"/>
                    <w:bottom w:val="none" w:sz="0" w:space="0" w:color="auto"/>
                    <w:right w:val="none" w:sz="0" w:space="0" w:color="auto"/>
                  </w:divBdr>
                </w:div>
              </w:divsChild>
            </w:div>
            <w:div w:id="204144836">
              <w:marLeft w:val="0"/>
              <w:marRight w:val="0"/>
              <w:marTop w:val="0"/>
              <w:marBottom w:val="0"/>
              <w:divBdr>
                <w:top w:val="none" w:sz="0" w:space="0" w:color="auto"/>
                <w:left w:val="none" w:sz="0" w:space="0" w:color="auto"/>
                <w:bottom w:val="none" w:sz="0" w:space="0" w:color="auto"/>
                <w:right w:val="none" w:sz="0" w:space="0" w:color="auto"/>
              </w:divBdr>
              <w:divsChild>
                <w:div w:id="852185417">
                  <w:marLeft w:val="0"/>
                  <w:marRight w:val="0"/>
                  <w:marTop w:val="0"/>
                  <w:marBottom w:val="0"/>
                  <w:divBdr>
                    <w:top w:val="none" w:sz="0" w:space="0" w:color="auto"/>
                    <w:left w:val="none" w:sz="0" w:space="0" w:color="auto"/>
                    <w:bottom w:val="none" w:sz="0" w:space="0" w:color="auto"/>
                    <w:right w:val="none" w:sz="0" w:space="0" w:color="auto"/>
                  </w:divBdr>
                </w:div>
              </w:divsChild>
            </w:div>
            <w:div w:id="210579170">
              <w:marLeft w:val="0"/>
              <w:marRight w:val="0"/>
              <w:marTop w:val="0"/>
              <w:marBottom w:val="0"/>
              <w:divBdr>
                <w:top w:val="none" w:sz="0" w:space="0" w:color="auto"/>
                <w:left w:val="none" w:sz="0" w:space="0" w:color="auto"/>
                <w:bottom w:val="none" w:sz="0" w:space="0" w:color="auto"/>
                <w:right w:val="none" w:sz="0" w:space="0" w:color="auto"/>
              </w:divBdr>
              <w:divsChild>
                <w:div w:id="890265196">
                  <w:marLeft w:val="0"/>
                  <w:marRight w:val="0"/>
                  <w:marTop w:val="0"/>
                  <w:marBottom w:val="0"/>
                  <w:divBdr>
                    <w:top w:val="none" w:sz="0" w:space="0" w:color="auto"/>
                    <w:left w:val="none" w:sz="0" w:space="0" w:color="auto"/>
                    <w:bottom w:val="none" w:sz="0" w:space="0" w:color="auto"/>
                    <w:right w:val="none" w:sz="0" w:space="0" w:color="auto"/>
                  </w:divBdr>
                </w:div>
              </w:divsChild>
            </w:div>
            <w:div w:id="216087940">
              <w:marLeft w:val="0"/>
              <w:marRight w:val="0"/>
              <w:marTop w:val="0"/>
              <w:marBottom w:val="0"/>
              <w:divBdr>
                <w:top w:val="none" w:sz="0" w:space="0" w:color="auto"/>
                <w:left w:val="none" w:sz="0" w:space="0" w:color="auto"/>
                <w:bottom w:val="none" w:sz="0" w:space="0" w:color="auto"/>
                <w:right w:val="none" w:sz="0" w:space="0" w:color="auto"/>
              </w:divBdr>
              <w:divsChild>
                <w:div w:id="1643850462">
                  <w:marLeft w:val="0"/>
                  <w:marRight w:val="0"/>
                  <w:marTop w:val="0"/>
                  <w:marBottom w:val="0"/>
                  <w:divBdr>
                    <w:top w:val="none" w:sz="0" w:space="0" w:color="auto"/>
                    <w:left w:val="none" w:sz="0" w:space="0" w:color="auto"/>
                    <w:bottom w:val="none" w:sz="0" w:space="0" w:color="auto"/>
                    <w:right w:val="none" w:sz="0" w:space="0" w:color="auto"/>
                  </w:divBdr>
                </w:div>
              </w:divsChild>
            </w:div>
            <w:div w:id="223027124">
              <w:marLeft w:val="0"/>
              <w:marRight w:val="0"/>
              <w:marTop w:val="0"/>
              <w:marBottom w:val="0"/>
              <w:divBdr>
                <w:top w:val="none" w:sz="0" w:space="0" w:color="auto"/>
                <w:left w:val="none" w:sz="0" w:space="0" w:color="auto"/>
                <w:bottom w:val="none" w:sz="0" w:space="0" w:color="auto"/>
                <w:right w:val="none" w:sz="0" w:space="0" w:color="auto"/>
              </w:divBdr>
              <w:divsChild>
                <w:div w:id="1742093366">
                  <w:marLeft w:val="0"/>
                  <w:marRight w:val="0"/>
                  <w:marTop w:val="0"/>
                  <w:marBottom w:val="0"/>
                  <w:divBdr>
                    <w:top w:val="none" w:sz="0" w:space="0" w:color="auto"/>
                    <w:left w:val="none" w:sz="0" w:space="0" w:color="auto"/>
                    <w:bottom w:val="none" w:sz="0" w:space="0" w:color="auto"/>
                    <w:right w:val="none" w:sz="0" w:space="0" w:color="auto"/>
                  </w:divBdr>
                </w:div>
              </w:divsChild>
            </w:div>
            <w:div w:id="225384872">
              <w:marLeft w:val="0"/>
              <w:marRight w:val="0"/>
              <w:marTop w:val="0"/>
              <w:marBottom w:val="0"/>
              <w:divBdr>
                <w:top w:val="none" w:sz="0" w:space="0" w:color="auto"/>
                <w:left w:val="none" w:sz="0" w:space="0" w:color="auto"/>
                <w:bottom w:val="none" w:sz="0" w:space="0" w:color="auto"/>
                <w:right w:val="none" w:sz="0" w:space="0" w:color="auto"/>
              </w:divBdr>
              <w:divsChild>
                <w:div w:id="1614745935">
                  <w:marLeft w:val="0"/>
                  <w:marRight w:val="0"/>
                  <w:marTop w:val="0"/>
                  <w:marBottom w:val="0"/>
                  <w:divBdr>
                    <w:top w:val="none" w:sz="0" w:space="0" w:color="auto"/>
                    <w:left w:val="none" w:sz="0" w:space="0" w:color="auto"/>
                    <w:bottom w:val="none" w:sz="0" w:space="0" w:color="auto"/>
                    <w:right w:val="none" w:sz="0" w:space="0" w:color="auto"/>
                  </w:divBdr>
                </w:div>
              </w:divsChild>
            </w:div>
            <w:div w:id="238294088">
              <w:marLeft w:val="0"/>
              <w:marRight w:val="0"/>
              <w:marTop w:val="0"/>
              <w:marBottom w:val="0"/>
              <w:divBdr>
                <w:top w:val="none" w:sz="0" w:space="0" w:color="auto"/>
                <w:left w:val="none" w:sz="0" w:space="0" w:color="auto"/>
                <w:bottom w:val="none" w:sz="0" w:space="0" w:color="auto"/>
                <w:right w:val="none" w:sz="0" w:space="0" w:color="auto"/>
              </w:divBdr>
              <w:divsChild>
                <w:div w:id="855315808">
                  <w:marLeft w:val="0"/>
                  <w:marRight w:val="0"/>
                  <w:marTop w:val="0"/>
                  <w:marBottom w:val="0"/>
                  <w:divBdr>
                    <w:top w:val="none" w:sz="0" w:space="0" w:color="auto"/>
                    <w:left w:val="none" w:sz="0" w:space="0" w:color="auto"/>
                    <w:bottom w:val="none" w:sz="0" w:space="0" w:color="auto"/>
                    <w:right w:val="none" w:sz="0" w:space="0" w:color="auto"/>
                  </w:divBdr>
                </w:div>
              </w:divsChild>
            </w:div>
            <w:div w:id="247421207">
              <w:marLeft w:val="0"/>
              <w:marRight w:val="0"/>
              <w:marTop w:val="0"/>
              <w:marBottom w:val="0"/>
              <w:divBdr>
                <w:top w:val="none" w:sz="0" w:space="0" w:color="auto"/>
                <w:left w:val="none" w:sz="0" w:space="0" w:color="auto"/>
                <w:bottom w:val="none" w:sz="0" w:space="0" w:color="auto"/>
                <w:right w:val="none" w:sz="0" w:space="0" w:color="auto"/>
              </w:divBdr>
              <w:divsChild>
                <w:div w:id="1271738552">
                  <w:marLeft w:val="0"/>
                  <w:marRight w:val="0"/>
                  <w:marTop w:val="0"/>
                  <w:marBottom w:val="0"/>
                  <w:divBdr>
                    <w:top w:val="none" w:sz="0" w:space="0" w:color="auto"/>
                    <w:left w:val="none" w:sz="0" w:space="0" w:color="auto"/>
                    <w:bottom w:val="none" w:sz="0" w:space="0" w:color="auto"/>
                    <w:right w:val="none" w:sz="0" w:space="0" w:color="auto"/>
                  </w:divBdr>
                </w:div>
              </w:divsChild>
            </w:div>
            <w:div w:id="254019710">
              <w:marLeft w:val="0"/>
              <w:marRight w:val="0"/>
              <w:marTop w:val="0"/>
              <w:marBottom w:val="0"/>
              <w:divBdr>
                <w:top w:val="none" w:sz="0" w:space="0" w:color="auto"/>
                <w:left w:val="none" w:sz="0" w:space="0" w:color="auto"/>
                <w:bottom w:val="none" w:sz="0" w:space="0" w:color="auto"/>
                <w:right w:val="none" w:sz="0" w:space="0" w:color="auto"/>
              </w:divBdr>
              <w:divsChild>
                <w:div w:id="1937473412">
                  <w:marLeft w:val="0"/>
                  <w:marRight w:val="0"/>
                  <w:marTop w:val="0"/>
                  <w:marBottom w:val="0"/>
                  <w:divBdr>
                    <w:top w:val="none" w:sz="0" w:space="0" w:color="auto"/>
                    <w:left w:val="none" w:sz="0" w:space="0" w:color="auto"/>
                    <w:bottom w:val="none" w:sz="0" w:space="0" w:color="auto"/>
                    <w:right w:val="none" w:sz="0" w:space="0" w:color="auto"/>
                  </w:divBdr>
                </w:div>
              </w:divsChild>
            </w:div>
            <w:div w:id="268126763">
              <w:marLeft w:val="0"/>
              <w:marRight w:val="0"/>
              <w:marTop w:val="0"/>
              <w:marBottom w:val="0"/>
              <w:divBdr>
                <w:top w:val="none" w:sz="0" w:space="0" w:color="auto"/>
                <w:left w:val="none" w:sz="0" w:space="0" w:color="auto"/>
                <w:bottom w:val="none" w:sz="0" w:space="0" w:color="auto"/>
                <w:right w:val="none" w:sz="0" w:space="0" w:color="auto"/>
              </w:divBdr>
              <w:divsChild>
                <w:div w:id="499777907">
                  <w:marLeft w:val="0"/>
                  <w:marRight w:val="0"/>
                  <w:marTop w:val="0"/>
                  <w:marBottom w:val="0"/>
                  <w:divBdr>
                    <w:top w:val="none" w:sz="0" w:space="0" w:color="auto"/>
                    <w:left w:val="none" w:sz="0" w:space="0" w:color="auto"/>
                    <w:bottom w:val="none" w:sz="0" w:space="0" w:color="auto"/>
                    <w:right w:val="none" w:sz="0" w:space="0" w:color="auto"/>
                  </w:divBdr>
                </w:div>
              </w:divsChild>
            </w:div>
            <w:div w:id="302121971">
              <w:marLeft w:val="0"/>
              <w:marRight w:val="0"/>
              <w:marTop w:val="0"/>
              <w:marBottom w:val="0"/>
              <w:divBdr>
                <w:top w:val="none" w:sz="0" w:space="0" w:color="auto"/>
                <w:left w:val="none" w:sz="0" w:space="0" w:color="auto"/>
                <w:bottom w:val="none" w:sz="0" w:space="0" w:color="auto"/>
                <w:right w:val="none" w:sz="0" w:space="0" w:color="auto"/>
              </w:divBdr>
              <w:divsChild>
                <w:div w:id="1122453866">
                  <w:marLeft w:val="0"/>
                  <w:marRight w:val="0"/>
                  <w:marTop w:val="0"/>
                  <w:marBottom w:val="0"/>
                  <w:divBdr>
                    <w:top w:val="none" w:sz="0" w:space="0" w:color="auto"/>
                    <w:left w:val="none" w:sz="0" w:space="0" w:color="auto"/>
                    <w:bottom w:val="none" w:sz="0" w:space="0" w:color="auto"/>
                    <w:right w:val="none" w:sz="0" w:space="0" w:color="auto"/>
                  </w:divBdr>
                </w:div>
              </w:divsChild>
            </w:div>
            <w:div w:id="308629657">
              <w:marLeft w:val="0"/>
              <w:marRight w:val="0"/>
              <w:marTop w:val="0"/>
              <w:marBottom w:val="0"/>
              <w:divBdr>
                <w:top w:val="none" w:sz="0" w:space="0" w:color="auto"/>
                <w:left w:val="none" w:sz="0" w:space="0" w:color="auto"/>
                <w:bottom w:val="none" w:sz="0" w:space="0" w:color="auto"/>
                <w:right w:val="none" w:sz="0" w:space="0" w:color="auto"/>
              </w:divBdr>
              <w:divsChild>
                <w:div w:id="311102849">
                  <w:marLeft w:val="0"/>
                  <w:marRight w:val="0"/>
                  <w:marTop w:val="0"/>
                  <w:marBottom w:val="0"/>
                  <w:divBdr>
                    <w:top w:val="none" w:sz="0" w:space="0" w:color="auto"/>
                    <w:left w:val="none" w:sz="0" w:space="0" w:color="auto"/>
                    <w:bottom w:val="none" w:sz="0" w:space="0" w:color="auto"/>
                    <w:right w:val="none" w:sz="0" w:space="0" w:color="auto"/>
                  </w:divBdr>
                </w:div>
              </w:divsChild>
            </w:div>
            <w:div w:id="366948920">
              <w:marLeft w:val="0"/>
              <w:marRight w:val="0"/>
              <w:marTop w:val="0"/>
              <w:marBottom w:val="0"/>
              <w:divBdr>
                <w:top w:val="none" w:sz="0" w:space="0" w:color="auto"/>
                <w:left w:val="none" w:sz="0" w:space="0" w:color="auto"/>
                <w:bottom w:val="none" w:sz="0" w:space="0" w:color="auto"/>
                <w:right w:val="none" w:sz="0" w:space="0" w:color="auto"/>
              </w:divBdr>
              <w:divsChild>
                <w:div w:id="774205001">
                  <w:marLeft w:val="0"/>
                  <w:marRight w:val="0"/>
                  <w:marTop w:val="0"/>
                  <w:marBottom w:val="0"/>
                  <w:divBdr>
                    <w:top w:val="none" w:sz="0" w:space="0" w:color="auto"/>
                    <w:left w:val="none" w:sz="0" w:space="0" w:color="auto"/>
                    <w:bottom w:val="none" w:sz="0" w:space="0" w:color="auto"/>
                    <w:right w:val="none" w:sz="0" w:space="0" w:color="auto"/>
                  </w:divBdr>
                </w:div>
              </w:divsChild>
            </w:div>
            <w:div w:id="410587008">
              <w:marLeft w:val="0"/>
              <w:marRight w:val="0"/>
              <w:marTop w:val="0"/>
              <w:marBottom w:val="0"/>
              <w:divBdr>
                <w:top w:val="none" w:sz="0" w:space="0" w:color="auto"/>
                <w:left w:val="none" w:sz="0" w:space="0" w:color="auto"/>
                <w:bottom w:val="none" w:sz="0" w:space="0" w:color="auto"/>
                <w:right w:val="none" w:sz="0" w:space="0" w:color="auto"/>
              </w:divBdr>
              <w:divsChild>
                <w:div w:id="764500275">
                  <w:marLeft w:val="0"/>
                  <w:marRight w:val="0"/>
                  <w:marTop w:val="0"/>
                  <w:marBottom w:val="0"/>
                  <w:divBdr>
                    <w:top w:val="none" w:sz="0" w:space="0" w:color="auto"/>
                    <w:left w:val="none" w:sz="0" w:space="0" w:color="auto"/>
                    <w:bottom w:val="none" w:sz="0" w:space="0" w:color="auto"/>
                    <w:right w:val="none" w:sz="0" w:space="0" w:color="auto"/>
                  </w:divBdr>
                </w:div>
              </w:divsChild>
            </w:div>
            <w:div w:id="448858874">
              <w:marLeft w:val="0"/>
              <w:marRight w:val="0"/>
              <w:marTop w:val="0"/>
              <w:marBottom w:val="0"/>
              <w:divBdr>
                <w:top w:val="none" w:sz="0" w:space="0" w:color="auto"/>
                <w:left w:val="none" w:sz="0" w:space="0" w:color="auto"/>
                <w:bottom w:val="none" w:sz="0" w:space="0" w:color="auto"/>
                <w:right w:val="none" w:sz="0" w:space="0" w:color="auto"/>
              </w:divBdr>
              <w:divsChild>
                <w:div w:id="695086224">
                  <w:marLeft w:val="0"/>
                  <w:marRight w:val="0"/>
                  <w:marTop w:val="0"/>
                  <w:marBottom w:val="0"/>
                  <w:divBdr>
                    <w:top w:val="none" w:sz="0" w:space="0" w:color="auto"/>
                    <w:left w:val="none" w:sz="0" w:space="0" w:color="auto"/>
                    <w:bottom w:val="none" w:sz="0" w:space="0" w:color="auto"/>
                    <w:right w:val="none" w:sz="0" w:space="0" w:color="auto"/>
                  </w:divBdr>
                </w:div>
              </w:divsChild>
            </w:div>
            <w:div w:id="452600466">
              <w:marLeft w:val="0"/>
              <w:marRight w:val="0"/>
              <w:marTop w:val="0"/>
              <w:marBottom w:val="0"/>
              <w:divBdr>
                <w:top w:val="none" w:sz="0" w:space="0" w:color="auto"/>
                <w:left w:val="none" w:sz="0" w:space="0" w:color="auto"/>
                <w:bottom w:val="none" w:sz="0" w:space="0" w:color="auto"/>
                <w:right w:val="none" w:sz="0" w:space="0" w:color="auto"/>
              </w:divBdr>
              <w:divsChild>
                <w:div w:id="382676018">
                  <w:marLeft w:val="0"/>
                  <w:marRight w:val="0"/>
                  <w:marTop w:val="0"/>
                  <w:marBottom w:val="0"/>
                  <w:divBdr>
                    <w:top w:val="none" w:sz="0" w:space="0" w:color="auto"/>
                    <w:left w:val="none" w:sz="0" w:space="0" w:color="auto"/>
                    <w:bottom w:val="none" w:sz="0" w:space="0" w:color="auto"/>
                    <w:right w:val="none" w:sz="0" w:space="0" w:color="auto"/>
                  </w:divBdr>
                </w:div>
              </w:divsChild>
            </w:div>
            <w:div w:id="452602093">
              <w:marLeft w:val="0"/>
              <w:marRight w:val="0"/>
              <w:marTop w:val="0"/>
              <w:marBottom w:val="0"/>
              <w:divBdr>
                <w:top w:val="none" w:sz="0" w:space="0" w:color="auto"/>
                <w:left w:val="none" w:sz="0" w:space="0" w:color="auto"/>
                <w:bottom w:val="none" w:sz="0" w:space="0" w:color="auto"/>
                <w:right w:val="none" w:sz="0" w:space="0" w:color="auto"/>
              </w:divBdr>
              <w:divsChild>
                <w:div w:id="210314533">
                  <w:marLeft w:val="0"/>
                  <w:marRight w:val="0"/>
                  <w:marTop w:val="0"/>
                  <w:marBottom w:val="0"/>
                  <w:divBdr>
                    <w:top w:val="none" w:sz="0" w:space="0" w:color="auto"/>
                    <w:left w:val="none" w:sz="0" w:space="0" w:color="auto"/>
                    <w:bottom w:val="none" w:sz="0" w:space="0" w:color="auto"/>
                    <w:right w:val="none" w:sz="0" w:space="0" w:color="auto"/>
                  </w:divBdr>
                </w:div>
              </w:divsChild>
            </w:div>
            <w:div w:id="467824662">
              <w:marLeft w:val="0"/>
              <w:marRight w:val="0"/>
              <w:marTop w:val="0"/>
              <w:marBottom w:val="0"/>
              <w:divBdr>
                <w:top w:val="none" w:sz="0" w:space="0" w:color="auto"/>
                <w:left w:val="none" w:sz="0" w:space="0" w:color="auto"/>
                <w:bottom w:val="none" w:sz="0" w:space="0" w:color="auto"/>
                <w:right w:val="none" w:sz="0" w:space="0" w:color="auto"/>
              </w:divBdr>
              <w:divsChild>
                <w:div w:id="7682616">
                  <w:marLeft w:val="0"/>
                  <w:marRight w:val="0"/>
                  <w:marTop w:val="0"/>
                  <w:marBottom w:val="0"/>
                  <w:divBdr>
                    <w:top w:val="none" w:sz="0" w:space="0" w:color="auto"/>
                    <w:left w:val="none" w:sz="0" w:space="0" w:color="auto"/>
                    <w:bottom w:val="none" w:sz="0" w:space="0" w:color="auto"/>
                    <w:right w:val="none" w:sz="0" w:space="0" w:color="auto"/>
                  </w:divBdr>
                </w:div>
              </w:divsChild>
            </w:div>
            <w:div w:id="492647781">
              <w:marLeft w:val="0"/>
              <w:marRight w:val="0"/>
              <w:marTop w:val="0"/>
              <w:marBottom w:val="0"/>
              <w:divBdr>
                <w:top w:val="none" w:sz="0" w:space="0" w:color="auto"/>
                <w:left w:val="none" w:sz="0" w:space="0" w:color="auto"/>
                <w:bottom w:val="none" w:sz="0" w:space="0" w:color="auto"/>
                <w:right w:val="none" w:sz="0" w:space="0" w:color="auto"/>
              </w:divBdr>
              <w:divsChild>
                <w:div w:id="2104447663">
                  <w:marLeft w:val="0"/>
                  <w:marRight w:val="0"/>
                  <w:marTop w:val="0"/>
                  <w:marBottom w:val="0"/>
                  <w:divBdr>
                    <w:top w:val="none" w:sz="0" w:space="0" w:color="auto"/>
                    <w:left w:val="none" w:sz="0" w:space="0" w:color="auto"/>
                    <w:bottom w:val="none" w:sz="0" w:space="0" w:color="auto"/>
                    <w:right w:val="none" w:sz="0" w:space="0" w:color="auto"/>
                  </w:divBdr>
                </w:div>
              </w:divsChild>
            </w:div>
            <w:div w:id="500976353">
              <w:marLeft w:val="0"/>
              <w:marRight w:val="0"/>
              <w:marTop w:val="0"/>
              <w:marBottom w:val="0"/>
              <w:divBdr>
                <w:top w:val="none" w:sz="0" w:space="0" w:color="auto"/>
                <w:left w:val="none" w:sz="0" w:space="0" w:color="auto"/>
                <w:bottom w:val="none" w:sz="0" w:space="0" w:color="auto"/>
                <w:right w:val="none" w:sz="0" w:space="0" w:color="auto"/>
              </w:divBdr>
              <w:divsChild>
                <w:div w:id="2008750870">
                  <w:marLeft w:val="0"/>
                  <w:marRight w:val="0"/>
                  <w:marTop w:val="0"/>
                  <w:marBottom w:val="0"/>
                  <w:divBdr>
                    <w:top w:val="none" w:sz="0" w:space="0" w:color="auto"/>
                    <w:left w:val="none" w:sz="0" w:space="0" w:color="auto"/>
                    <w:bottom w:val="none" w:sz="0" w:space="0" w:color="auto"/>
                    <w:right w:val="none" w:sz="0" w:space="0" w:color="auto"/>
                  </w:divBdr>
                </w:div>
              </w:divsChild>
            </w:div>
            <w:div w:id="527446417">
              <w:marLeft w:val="0"/>
              <w:marRight w:val="0"/>
              <w:marTop w:val="0"/>
              <w:marBottom w:val="0"/>
              <w:divBdr>
                <w:top w:val="none" w:sz="0" w:space="0" w:color="auto"/>
                <w:left w:val="none" w:sz="0" w:space="0" w:color="auto"/>
                <w:bottom w:val="none" w:sz="0" w:space="0" w:color="auto"/>
                <w:right w:val="none" w:sz="0" w:space="0" w:color="auto"/>
              </w:divBdr>
              <w:divsChild>
                <w:div w:id="53622615">
                  <w:marLeft w:val="0"/>
                  <w:marRight w:val="0"/>
                  <w:marTop w:val="0"/>
                  <w:marBottom w:val="0"/>
                  <w:divBdr>
                    <w:top w:val="none" w:sz="0" w:space="0" w:color="auto"/>
                    <w:left w:val="none" w:sz="0" w:space="0" w:color="auto"/>
                    <w:bottom w:val="none" w:sz="0" w:space="0" w:color="auto"/>
                    <w:right w:val="none" w:sz="0" w:space="0" w:color="auto"/>
                  </w:divBdr>
                </w:div>
              </w:divsChild>
            </w:div>
            <w:div w:id="535435122">
              <w:marLeft w:val="0"/>
              <w:marRight w:val="0"/>
              <w:marTop w:val="0"/>
              <w:marBottom w:val="0"/>
              <w:divBdr>
                <w:top w:val="none" w:sz="0" w:space="0" w:color="auto"/>
                <w:left w:val="none" w:sz="0" w:space="0" w:color="auto"/>
                <w:bottom w:val="none" w:sz="0" w:space="0" w:color="auto"/>
                <w:right w:val="none" w:sz="0" w:space="0" w:color="auto"/>
              </w:divBdr>
              <w:divsChild>
                <w:div w:id="1110125398">
                  <w:marLeft w:val="0"/>
                  <w:marRight w:val="0"/>
                  <w:marTop w:val="0"/>
                  <w:marBottom w:val="0"/>
                  <w:divBdr>
                    <w:top w:val="none" w:sz="0" w:space="0" w:color="auto"/>
                    <w:left w:val="none" w:sz="0" w:space="0" w:color="auto"/>
                    <w:bottom w:val="none" w:sz="0" w:space="0" w:color="auto"/>
                    <w:right w:val="none" w:sz="0" w:space="0" w:color="auto"/>
                  </w:divBdr>
                </w:div>
              </w:divsChild>
            </w:div>
            <w:div w:id="543099381">
              <w:marLeft w:val="0"/>
              <w:marRight w:val="0"/>
              <w:marTop w:val="0"/>
              <w:marBottom w:val="0"/>
              <w:divBdr>
                <w:top w:val="none" w:sz="0" w:space="0" w:color="auto"/>
                <w:left w:val="none" w:sz="0" w:space="0" w:color="auto"/>
                <w:bottom w:val="none" w:sz="0" w:space="0" w:color="auto"/>
                <w:right w:val="none" w:sz="0" w:space="0" w:color="auto"/>
              </w:divBdr>
              <w:divsChild>
                <w:div w:id="11959275">
                  <w:marLeft w:val="0"/>
                  <w:marRight w:val="0"/>
                  <w:marTop w:val="0"/>
                  <w:marBottom w:val="0"/>
                  <w:divBdr>
                    <w:top w:val="none" w:sz="0" w:space="0" w:color="auto"/>
                    <w:left w:val="none" w:sz="0" w:space="0" w:color="auto"/>
                    <w:bottom w:val="none" w:sz="0" w:space="0" w:color="auto"/>
                    <w:right w:val="none" w:sz="0" w:space="0" w:color="auto"/>
                  </w:divBdr>
                </w:div>
              </w:divsChild>
            </w:div>
            <w:div w:id="544218710">
              <w:marLeft w:val="0"/>
              <w:marRight w:val="0"/>
              <w:marTop w:val="0"/>
              <w:marBottom w:val="0"/>
              <w:divBdr>
                <w:top w:val="none" w:sz="0" w:space="0" w:color="auto"/>
                <w:left w:val="none" w:sz="0" w:space="0" w:color="auto"/>
                <w:bottom w:val="none" w:sz="0" w:space="0" w:color="auto"/>
                <w:right w:val="none" w:sz="0" w:space="0" w:color="auto"/>
              </w:divBdr>
              <w:divsChild>
                <w:div w:id="146090017">
                  <w:marLeft w:val="0"/>
                  <w:marRight w:val="0"/>
                  <w:marTop w:val="0"/>
                  <w:marBottom w:val="0"/>
                  <w:divBdr>
                    <w:top w:val="none" w:sz="0" w:space="0" w:color="auto"/>
                    <w:left w:val="none" w:sz="0" w:space="0" w:color="auto"/>
                    <w:bottom w:val="none" w:sz="0" w:space="0" w:color="auto"/>
                    <w:right w:val="none" w:sz="0" w:space="0" w:color="auto"/>
                  </w:divBdr>
                </w:div>
              </w:divsChild>
            </w:div>
            <w:div w:id="548802339">
              <w:marLeft w:val="0"/>
              <w:marRight w:val="0"/>
              <w:marTop w:val="0"/>
              <w:marBottom w:val="0"/>
              <w:divBdr>
                <w:top w:val="none" w:sz="0" w:space="0" w:color="auto"/>
                <w:left w:val="none" w:sz="0" w:space="0" w:color="auto"/>
                <w:bottom w:val="none" w:sz="0" w:space="0" w:color="auto"/>
                <w:right w:val="none" w:sz="0" w:space="0" w:color="auto"/>
              </w:divBdr>
              <w:divsChild>
                <w:div w:id="408969447">
                  <w:marLeft w:val="0"/>
                  <w:marRight w:val="0"/>
                  <w:marTop w:val="0"/>
                  <w:marBottom w:val="0"/>
                  <w:divBdr>
                    <w:top w:val="none" w:sz="0" w:space="0" w:color="auto"/>
                    <w:left w:val="none" w:sz="0" w:space="0" w:color="auto"/>
                    <w:bottom w:val="none" w:sz="0" w:space="0" w:color="auto"/>
                    <w:right w:val="none" w:sz="0" w:space="0" w:color="auto"/>
                  </w:divBdr>
                </w:div>
              </w:divsChild>
            </w:div>
            <w:div w:id="559249808">
              <w:marLeft w:val="0"/>
              <w:marRight w:val="0"/>
              <w:marTop w:val="0"/>
              <w:marBottom w:val="0"/>
              <w:divBdr>
                <w:top w:val="none" w:sz="0" w:space="0" w:color="auto"/>
                <w:left w:val="none" w:sz="0" w:space="0" w:color="auto"/>
                <w:bottom w:val="none" w:sz="0" w:space="0" w:color="auto"/>
                <w:right w:val="none" w:sz="0" w:space="0" w:color="auto"/>
              </w:divBdr>
              <w:divsChild>
                <w:div w:id="1012798009">
                  <w:marLeft w:val="0"/>
                  <w:marRight w:val="0"/>
                  <w:marTop w:val="0"/>
                  <w:marBottom w:val="0"/>
                  <w:divBdr>
                    <w:top w:val="none" w:sz="0" w:space="0" w:color="auto"/>
                    <w:left w:val="none" w:sz="0" w:space="0" w:color="auto"/>
                    <w:bottom w:val="none" w:sz="0" w:space="0" w:color="auto"/>
                    <w:right w:val="none" w:sz="0" w:space="0" w:color="auto"/>
                  </w:divBdr>
                </w:div>
              </w:divsChild>
            </w:div>
            <w:div w:id="581185647">
              <w:marLeft w:val="0"/>
              <w:marRight w:val="0"/>
              <w:marTop w:val="0"/>
              <w:marBottom w:val="0"/>
              <w:divBdr>
                <w:top w:val="none" w:sz="0" w:space="0" w:color="auto"/>
                <w:left w:val="none" w:sz="0" w:space="0" w:color="auto"/>
                <w:bottom w:val="none" w:sz="0" w:space="0" w:color="auto"/>
                <w:right w:val="none" w:sz="0" w:space="0" w:color="auto"/>
              </w:divBdr>
              <w:divsChild>
                <w:div w:id="817965510">
                  <w:marLeft w:val="0"/>
                  <w:marRight w:val="0"/>
                  <w:marTop w:val="0"/>
                  <w:marBottom w:val="0"/>
                  <w:divBdr>
                    <w:top w:val="none" w:sz="0" w:space="0" w:color="auto"/>
                    <w:left w:val="none" w:sz="0" w:space="0" w:color="auto"/>
                    <w:bottom w:val="none" w:sz="0" w:space="0" w:color="auto"/>
                    <w:right w:val="none" w:sz="0" w:space="0" w:color="auto"/>
                  </w:divBdr>
                </w:div>
              </w:divsChild>
            </w:div>
            <w:div w:id="595675279">
              <w:marLeft w:val="0"/>
              <w:marRight w:val="0"/>
              <w:marTop w:val="0"/>
              <w:marBottom w:val="0"/>
              <w:divBdr>
                <w:top w:val="none" w:sz="0" w:space="0" w:color="auto"/>
                <w:left w:val="none" w:sz="0" w:space="0" w:color="auto"/>
                <w:bottom w:val="none" w:sz="0" w:space="0" w:color="auto"/>
                <w:right w:val="none" w:sz="0" w:space="0" w:color="auto"/>
              </w:divBdr>
              <w:divsChild>
                <w:div w:id="785656629">
                  <w:marLeft w:val="0"/>
                  <w:marRight w:val="0"/>
                  <w:marTop w:val="0"/>
                  <w:marBottom w:val="0"/>
                  <w:divBdr>
                    <w:top w:val="none" w:sz="0" w:space="0" w:color="auto"/>
                    <w:left w:val="none" w:sz="0" w:space="0" w:color="auto"/>
                    <w:bottom w:val="none" w:sz="0" w:space="0" w:color="auto"/>
                    <w:right w:val="none" w:sz="0" w:space="0" w:color="auto"/>
                  </w:divBdr>
                </w:div>
              </w:divsChild>
            </w:div>
            <w:div w:id="605773658">
              <w:marLeft w:val="0"/>
              <w:marRight w:val="0"/>
              <w:marTop w:val="0"/>
              <w:marBottom w:val="0"/>
              <w:divBdr>
                <w:top w:val="none" w:sz="0" w:space="0" w:color="auto"/>
                <w:left w:val="none" w:sz="0" w:space="0" w:color="auto"/>
                <w:bottom w:val="none" w:sz="0" w:space="0" w:color="auto"/>
                <w:right w:val="none" w:sz="0" w:space="0" w:color="auto"/>
              </w:divBdr>
              <w:divsChild>
                <w:div w:id="814562469">
                  <w:marLeft w:val="0"/>
                  <w:marRight w:val="0"/>
                  <w:marTop w:val="0"/>
                  <w:marBottom w:val="0"/>
                  <w:divBdr>
                    <w:top w:val="none" w:sz="0" w:space="0" w:color="auto"/>
                    <w:left w:val="none" w:sz="0" w:space="0" w:color="auto"/>
                    <w:bottom w:val="none" w:sz="0" w:space="0" w:color="auto"/>
                    <w:right w:val="none" w:sz="0" w:space="0" w:color="auto"/>
                  </w:divBdr>
                </w:div>
              </w:divsChild>
            </w:div>
            <w:div w:id="608317571">
              <w:marLeft w:val="0"/>
              <w:marRight w:val="0"/>
              <w:marTop w:val="0"/>
              <w:marBottom w:val="0"/>
              <w:divBdr>
                <w:top w:val="none" w:sz="0" w:space="0" w:color="auto"/>
                <w:left w:val="none" w:sz="0" w:space="0" w:color="auto"/>
                <w:bottom w:val="none" w:sz="0" w:space="0" w:color="auto"/>
                <w:right w:val="none" w:sz="0" w:space="0" w:color="auto"/>
              </w:divBdr>
              <w:divsChild>
                <w:div w:id="1401251571">
                  <w:marLeft w:val="0"/>
                  <w:marRight w:val="0"/>
                  <w:marTop w:val="0"/>
                  <w:marBottom w:val="0"/>
                  <w:divBdr>
                    <w:top w:val="none" w:sz="0" w:space="0" w:color="auto"/>
                    <w:left w:val="none" w:sz="0" w:space="0" w:color="auto"/>
                    <w:bottom w:val="none" w:sz="0" w:space="0" w:color="auto"/>
                    <w:right w:val="none" w:sz="0" w:space="0" w:color="auto"/>
                  </w:divBdr>
                </w:div>
              </w:divsChild>
            </w:div>
            <w:div w:id="619534122">
              <w:marLeft w:val="0"/>
              <w:marRight w:val="0"/>
              <w:marTop w:val="0"/>
              <w:marBottom w:val="0"/>
              <w:divBdr>
                <w:top w:val="none" w:sz="0" w:space="0" w:color="auto"/>
                <w:left w:val="none" w:sz="0" w:space="0" w:color="auto"/>
                <w:bottom w:val="none" w:sz="0" w:space="0" w:color="auto"/>
                <w:right w:val="none" w:sz="0" w:space="0" w:color="auto"/>
              </w:divBdr>
              <w:divsChild>
                <w:div w:id="1623271951">
                  <w:marLeft w:val="0"/>
                  <w:marRight w:val="0"/>
                  <w:marTop w:val="0"/>
                  <w:marBottom w:val="0"/>
                  <w:divBdr>
                    <w:top w:val="none" w:sz="0" w:space="0" w:color="auto"/>
                    <w:left w:val="none" w:sz="0" w:space="0" w:color="auto"/>
                    <w:bottom w:val="none" w:sz="0" w:space="0" w:color="auto"/>
                    <w:right w:val="none" w:sz="0" w:space="0" w:color="auto"/>
                  </w:divBdr>
                </w:div>
              </w:divsChild>
            </w:div>
            <w:div w:id="658702503">
              <w:marLeft w:val="0"/>
              <w:marRight w:val="0"/>
              <w:marTop w:val="0"/>
              <w:marBottom w:val="0"/>
              <w:divBdr>
                <w:top w:val="none" w:sz="0" w:space="0" w:color="auto"/>
                <w:left w:val="none" w:sz="0" w:space="0" w:color="auto"/>
                <w:bottom w:val="none" w:sz="0" w:space="0" w:color="auto"/>
                <w:right w:val="none" w:sz="0" w:space="0" w:color="auto"/>
              </w:divBdr>
              <w:divsChild>
                <w:div w:id="782309205">
                  <w:marLeft w:val="0"/>
                  <w:marRight w:val="0"/>
                  <w:marTop w:val="0"/>
                  <w:marBottom w:val="0"/>
                  <w:divBdr>
                    <w:top w:val="none" w:sz="0" w:space="0" w:color="auto"/>
                    <w:left w:val="none" w:sz="0" w:space="0" w:color="auto"/>
                    <w:bottom w:val="none" w:sz="0" w:space="0" w:color="auto"/>
                    <w:right w:val="none" w:sz="0" w:space="0" w:color="auto"/>
                  </w:divBdr>
                </w:div>
              </w:divsChild>
            </w:div>
            <w:div w:id="664210677">
              <w:marLeft w:val="0"/>
              <w:marRight w:val="0"/>
              <w:marTop w:val="0"/>
              <w:marBottom w:val="0"/>
              <w:divBdr>
                <w:top w:val="none" w:sz="0" w:space="0" w:color="auto"/>
                <w:left w:val="none" w:sz="0" w:space="0" w:color="auto"/>
                <w:bottom w:val="none" w:sz="0" w:space="0" w:color="auto"/>
                <w:right w:val="none" w:sz="0" w:space="0" w:color="auto"/>
              </w:divBdr>
              <w:divsChild>
                <w:div w:id="2049404923">
                  <w:marLeft w:val="0"/>
                  <w:marRight w:val="0"/>
                  <w:marTop w:val="0"/>
                  <w:marBottom w:val="0"/>
                  <w:divBdr>
                    <w:top w:val="none" w:sz="0" w:space="0" w:color="auto"/>
                    <w:left w:val="none" w:sz="0" w:space="0" w:color="auto"/>
                    <w:bottom w:val="none" w:sz="0" w:space="0" w:color="auto"/>
                    <w:right w:val="none" w:sz="0" w:space="0" w:color="auto"/>
                  </w:divBdr>
                </w:div>
              </w:divsChild>
            </w:div>
            <w:div w:id="672803439">
              <w:marLeft w:val="0"/>
              <w:marRight w:val="0"/>
              <w:marTop w:val="0"/>
              <w:marBottom w:val="0"/>
              <w:divBdr>
                <w:top w:val="none" w:sz="0" w:space="0" w:color="auto"/>
                <w:left w:val="none" w:sz="0" w:space="0" w:color="auto"/>
                <w:bottom w:val="none" w:sz="0" w:space="0" w:color="auto"/>
                <w:right w:val="none" w:sz="0" w:space="0" w:color="auto"/>
              </w:divBdr>
              <w:divsChild>
                <w:div w:id="183440370">
                  <w:marLeft w:val="0"/>
                  <w:marRight w:val="0"/>
                  <w:marTop w:val="0"/>
                  <w:marBottom w:val="0"/>
                  <w:divBdr>
                    <w:top w:val="none" w:sz="0" w:space="0" w:color="auto"/>
                    <w:left w:val="none" w:sz="0" w:space="0" w:color="auto"/>
                    <w:bottom w:val="none" w:sz="0" w:space="0" w:color="auto"/>
                    <w:right w:val="none" w:sz="0" w:space="0" w:color="auto"/>
                  </w:divBdr>
                </w:div>
              </w:divsChild>
            </w:div>
            <w:div w:id="687800807">
              <w:marLeft w:val="0"/>
              <w:marRight w:val="0"/>
              <w:marTop w:val="0"/>
              <w:marBottom w:val="0"/>
              <w:divBdr>
                <w:top w:val="none" w:sz="0" w:space="0" w:color="auto"/>
                <w:left w:val="none" w:sz="0" w:space="0" w:color="auto"/>
                <w:bottom w:val="none" w:sz="0" w:space="0" w:color="auto"/>
                <w:right w:val="none" w:sz="0" w:space="0" w:color="auto"/>
              </w:divBdr>
              <w:divsChild>
                <w:div w:id="1765492168">
                  <w:marLeft w:val="0"/>
                  <w:marRight w:val="0"/>
                  <w:marTop w:val="0"/>
                  <w:marBottom w:val="0"/>
                  <w:divBdr>
                    <w:top w:val="none" w:sz="0" w:space="0" w:color="auto"/>
                    <w:left w:val="none" w:sz="0" w:space="0" w:color="auto"/>
                    <w:bottom w:val="none" w:sz="0" w:space="0" w:color="auto"/>
                    <w:right w:val="none" w:sz="0" w:space="0" w:color="auto"/>
                  </w:divBdr>
                </w:div>
              </w:divsChild>
            </w:div>
            <w:div w:id="720641656">
              <w:marLeft w:val="0"/>
              <w:marRight w:val="0"/>
              <w:marTop w:val="0"/>
              <w:marBottom w:val="0"/>
              <w:divBdr>
                <w:top w:val="none" w:sz="0" w:space="0" w:color="auto"/>
                <w:left w:val="none" w:sz="0" w:space="0" w:color="auto"/>
                <w:bottom w:val="none" w:sz="0" w:space="0" w:color="auto"/>
                <w:right w:val="none" w:sz="0" w:space="0" w:color="auto"/>
              </w:divBdr>
              <w:divsChild>
                <w:div w:id="1916936762">
                  <w:marLeft w:val="0"/>
                  <w:marRight w:val="0"/>
                  <w:marTop w:val="0"/>
                  <w:marBottom w:val="0"/>
                  <w:divBdr>
                    <w:top w:val="none" w:sz="0" w:space="0" w:color="auto"/>
                    <w:left w:val="none" w:sz="0" w:space="0" w:color="auto"/>
                    <w:bottom w:val="none" w:sz="0" w:space="0" w:color="auto"/>
                    <w:right w:val="none" w:sz="0" w:space="0" w:color="auto"/>
                  </w:divBdr>
                </w:div>
              </w:divsChild>
            </w:div>
            <w:div w:id="727801027">
              <w:marLeft w:val="0"/>
              <w:marRight w:val="0"/>
              <w:marTop w:val="0"/>
              <w:marBottom w:val="0"/>
              <w:divBdr>
                <w:top w:val="none" w:sz="0" w:space="0" w:color="auto"/>
                <w:left w:val="none" w:sz="0" w:space="0" w:color="auto"/>
                <w:bottom w:val="none" w:sz="0" w:space="0" w:color="auto"/>
                <w:right w:val="none" w:sz="0" w:space="0" w:color="auto"/>
              </w:divBdr>
              <w:divsChild>
                <w:div w:id="86390579">
                  <w:marLeft w:val="0"/>
                  <w:marRight w:val="0"/>
                  <w:marTop w:val="0"/>
                  <w:marBottom w:val="0"/>
                  <w:divBdr>
                    <w:top w:val="none" w:sz="0" w:space="0" w:color="auto"/>
                    <w:left w:val="none" w:sz="0" w:space="0" w:color="auto"/>
                    <w:bottom w:val="none" w:sz="0" w:space="0" w:color="auto"/>
                    <w:right w:val="none" w:sz="0" w:space="0" w:color="auto"/>
                  </w:divBdr>
                </w:div>
              </w:divsChild>
            </w:div>
            <w:div w:id="730155949">
              <w:marLeft w:val="0"/>
              <w:marRight w:val="0"/>
              <w:marTop w:val="0"/>
              <w:marBottom w:val="0"/>
              <w:divBdr>
                <w:top w:val="none" w:sz="0" w:space="0" w:color="auto"/>
                <w:left w:val="none" w:sz="0" w:space="0" w:color="auto"/>
                <w:bottom w:val="none" w:sz="0" w:space="0" w:color="auto"/>
                <w:right w:val="none" w:sz="0" w:space="0" w:color="auto"/>
              </w:divBdr>
              <w:divsChild>
                <w:div w:id="297495117">
                  <w:marLeft w:val="0"/>
                  <w:marRight w:val="0"/>
                  <w:marTop w:val="0"/>
                  <w:marBottom w:val="0"/>
                  <w:divBdr>
                    <w:top w:val="none" w:sz="0" w:space="0" w:color="auto"/>
                    <w:left w:val="none" w:sz="0" w:space="0" w:color="auto"/>
                    <w:bottom w:val="none" w:sz="0" w:space="0" w:color="auto"/>
                    <w:right w:val="none" w:sz="0" w:space="0" w:color="auto"/>
                  </w:divBdr>
                </w:div>
              </w:divsChild>
            </w:div>
            <w:div w:id="750664867">
              <w:marLeft w:val="0"/>
              <w:marRight w:val="0"/>
              <w:marTop w:val="0"/>
              <w:marBottom w:val="0"/>
              <w:divBdr>
                <w:top w:val="none" w:sz="0" w:space="0" w:color="auto"/>
                <w:left w:val="none" w:sz="0" w:space="0" w:color="auto"/>
                <w:bottom w:val="none" w:sz="0" w:space="0" w:color="auto"/>
                <w:right w:val="none" w:sz="0" w:space="0" w:color="auto"/>
              </w:divBdr>
              <w:divsChild>
                <w:div w:id="1868634608">
                  <w:marLeft w:val="0"/>
                  <w:marRight w:val="0"/>
                  <w:marTop w:val="0"/>
                  <w:marBottom w:val="0"/>
                  <w:divBdr>
                    <w:top w:val="none" w:sz="0" w:space="0" w:color="auto"/>
                    <w:left w:val="none" w:sz="0" w:space="0" w:color="auto"/>
                    <w:bottom w:val="none" w:sz="0" w:space="0" w:color="auto"/>
                    <w:right w:val="none" w:sz="0" w:space="0" w:color="auto"/>
                  </w:divBdr>
                </w:div>
              </w:divsChild>
            </w:div>
            <w:div w:id="799684333">
              <w:marLeft w:val="0"/>
              <w:marRight w:val="0"/>
              <w:marTop w:val="0"/>
              <w:marBottom w:val="0"/>
              <w:divBdr>
                <w:top w:val="none" w:sz="0" w:space="0" w:color="auto"/>
                <w:left w:val="none" w:sz="0" w:space="0" w:color="auto"/>
                <w:bottom w:val="none" w:sz="0" w:space="0" w:color="auto"/>
                <w:right w:val="none" w:sz="0" w:space="0" w:color="auto"/>
              </w:divBdr>
              <w:divsChild>
                <w:div w:id="1125153895">
                  <w:marLeft w:val="0"/>
                  <w:marRight w:val="0"/>
                  <w:marTop w:val="0"/>
                  <w:marBottom w:val="0"/>
                  <w:divBdr>
                    <w:top w:val="none" w:sz="0" w:space="0" w:color="auto"/>
                    <w:left w:val="none" w:sz="0" w:space="0" w:color="auto"/>
                    <w:bottom w:val="none" w:sz="0" w:space="0" w:color="auto"/>
                    <w:right w:val="none" w:sz="0" w:space="0" w:color="auto"/>
                  </w:divBdr>
                </w:div>
              </w:divsChild>
            </w:div>
            <w:div w:id="859048894">
              <w:marLeft w:val="0"/>
              <w:marRight w:val="0"/>
              <w:marTop w:val="0"/>
              <w:marBottom w:val="0"/>
              <w:divBdr>
                <w:top w:val="none" w:sz="0" w:space="0" w:color="auto"/>
                <w:left w:val="none" w:sz="0" w:space="0" w:color="auto"/>
                <w:bottom w:val="none" w:sz="0" w:space="0" w:color="auto"/>
                <w:right w:val="none" w:sz="0" w:space="0" w:color="auto"/>
              </w:divBdr>
              <w:divsChild>
                <w:div w:id="1011492851">
                  <w:marLeft w:val="0"/>
                  <w:marRight w:val="0"/>
                  <w:marTop w:val="0"/>
                  <w:marBottom w:val="0"/>
                  <w:divBdr>
                    <w:top w:val="none" w:sz="0" w:space="0" w:color="auto"/>
                    <w:left w:val="none" w:sz="0" w:space="0" w:color="auto"/>
                    <w:bottom w:val="none" w:sz="0" w:space="0" w:color="auto"/>
                    <w:right w:val="none" w:sz="0" w:space="0" w:color="auto"/>
                  </w:divBdr>
                </w:div>
              </w:divsChild>
            </w:div>
            <w:div w:id="907569454">
              <w:marLeft w:val="0"/>
              <w:marRight w:val="0"/>
              <w:marTop w:val="0"/>
              <w:marBottom w:val="0"/>
              <w:divBdr>
                <w:top w:val="none" w:sz="0" w:space="0" w:color="auto"/>
                <w:left w:val="none" w:sz="0" w:space="0" w:color="auto"/>
                <w:bottom w:val="none" w:sz="0" w:space="0" w:color="auto"/>
                <w:right w:val="none" w:sz="0" w:space="0" w:color="auto"/>
              </w:divBdr>
              <w:divsChild>
                <w:div w:id="1734692204">
                  <w:marLeft w:val="0"/>
                  <w:marRight w:val="0"/>
                  <w:marTop w:val="0"/>
                  <w:marBottom w:val="0"/>
                  <w:divBdr>
                    <w:top w:val="none" w:sz="0" w:space="0" w:color="auto"/>
                    <w:left w:val="none" w:sz="0" w:space="0" w:color="auto"/>
                    <w:bottom w:val="none" w:sz="0" w:space="0" w:color="auto"/>
                    <w:right w:val="none" w:sz="0" w:space="0" w:color="auto"/>
                  </w:divBdr>
                </w:div>
              </w:divsChild>
            </w:div>
            <w:div w:id="923346305">
              <w:marLeft w:val="0"/>
              <w:marRight w:val="0"/>
              <w:marTop w:val="0"/>
              <w:marBottom w:val="0"/>
              <w:divBdr>
                <w:top w:val="none" w:sz="0" w:space="0" w:color="auto"/>
                <w:left w:val="none" w:sz="0" w:space="0" w:color="auto"/>
                <w:bottom w:val="none" w:sz="0" w:space="0" w:color="auto"/>
                <w:right w:val="none" w:sz="0" w:space="0" w:color="auto"/>
              </w:divBdr>
              <w:divsChild>
                <w:div w:id="1368793996">
                  <w:marLeft w:val="0"/>
                  <w:marRight w:val="0"/>
                  <w:marTop w:val="0"/>
                  <w:marBottom w:val="0"/>
                  <w:divBdr>
                    <w:top w:val="none" w:sz="0" w:space="0" w:color="auto"/>
                    <w:left w:val="none" w:sz="0" w:space="0" w:color="auto"/>
                    <w:bottom w:val="none" w:sz="0" w:space="0" w:color="auto"/>
                    <w:right w:val="none" w:sz="0" w:space="0" w:color="auto"/>
                  </w:divBdr>
                </w:div>
              </w:divsChild>
            </w:div>
            <w:div w:id="947658715">
              <w:marLeft w:val="0"/>
              <w:marRight w:val="0"/>
              <w:marTop w:val="0"/>
              <w:marBottom w:val="0"/>
              <w:divBdr>
                <w:top w:val="none" w:sz="0" w:space="0" w:color="auto"/>
                <w:left w:val="none" w:sz="0" w:space="0" w:color="auto"/>
                <w:bottom w:val="none" w:sz="0" w:space="0" w:color="auto"/>
                <w:right w:val="none" w:sz="0" w:space="0" w:color="auto"/>
              </w:divBdr>
              <w:divsChild>
                <w:div w:id="2141146869">
                  <w:marLeft w:val="0"/>
                  <w:marRight w:val="0"/>
                  <w:marTop w:val="0"/>
                  <w:marBottom w:val="0"/>
                  <w:divBdr>
                    <w:top w:val="none" w:sz="0" w:space="0" w:color="auto"/>
                    <w:left w:val="none" w:sz="0" w:space="0" w:color="auto"/>
                    <w:bottom w:val="none" w:sz="0" w:space="0" w:color="auto"/>
                    <w:right w:val="none" w:sz="0" w:space="0" w:color="auto"/>
                  </w:divBdr>
                </w:div>
              </w:divsChild>
            </w:div>
            <w:div w:id="959996304">
              <w:marLeft w:val="0"/>
              <w:marRight w:val="0"/>
              <w:marTop w:val="0"/>
              <w:marBottom w:val="0"/>
              <w:divBdr>
                <w:top w:val="none" w:sz="0" w:space="0" w:color="auto"/>
                <w:left w:val="none" w:sz="0" w:space="0" w:color="auto"/>
                <w:bottom w:val="none" w:sz="0" w:space="0" w:color="auto"/>
                <w:right w:val="none" w:sz="0" w:space="0" w:color="auto"/>
              </w:divBdr>
              <w:divsChild>
                <w:div w:id="1368531351">
                  <w:marLeft w:val="0"/>
                  <w:marRight w:val="0"/>
                  <w:marTop w:val="0"/>
                  <w:marBottom w:val="0"/>
                  <w:divBdr>
                    <w:top w:val="none" w:sz="0" w:space="0" w:color="auto"/>
                    <w:left w:val="none" w:sz="0" w:space="0" w:color="auto"/>
                    <w:bottom w:val="none" w:sz="0" w:space="0" w:color="auto"/>
                    <w:right w:val="none" w:sz="0" w:space="0" w:color="auto"/>
                  </w:divBdr>
                </w:div>
              </w:divsChild>
            </w:div>
            <w:div w:id="964702974">
              <w:marLeft w:val="0"/>
              <w:marRight w:val="0"/>
              <w:marTop w:val="0"/>
              <w:marBottom w:val="0"/>
              <w:divBdr>
                <w:top w:val="none" w:sz="0" w:space="0" w:color="auto"/>
                <w:left w:val="none" w:sz="0" w:space="0" w:color="auto"/>
                <w:bottom w:val="none" w:sz="0" w:space="0" w:color="auto"/>
                <w:right w:val="none" w:sz="0" w:space="0" w:color="auto"/>
              </w:divBdr>
              <w:divsChild>
                <w:div w:id="955449796">
                  <w:marLeft w:val="0"/>
                  <w:marRight w:val="0"/>
                  <w:marTop w:val="0"/>
                  <w:marBottom w:val="0"/>
                  <w:divBdr>
                    <w:top w:val="none" w:sz="0" w:space="0" w:color="auto"/>
                    <w:left w:val="none" w:sz="0" w:space="0" w:color="auto"/>
                    <w:bottom w:val="none" w:sz="0" w:space="0" w:color="auto"/>
                    <w:right w:val="none" w:sz="0" w:space="0" w:color="auto"/>
                  </w:divBdr>
                </w:div>
              </w:divsChild>
            </w:div>
            <w:div w:id="977107368">
              <w:marLeft w:val="0"/>
              <w:marRight w:val="0"/>
              <w:marTop w:val="0"/>
              <w:marBottom w:val="0"/>
              <w:divBdr>
                <w:top w:val="none" w:sz="0" w:space="0" w:color="auto"/>
                <w:left w:val="none" w:sz="0" w:space="0" w:color="auto"/>
                <w:bottom w:val="none" w:sz="0" w:space="0" w:color="auto"/>
                <w:right w:val="none" w:sz="0" w:space="0" w:color="auto"/>
              </w:divBdr>
              <w:divsChild>
                <w:div w:id="910120057">
                  <w:marLeft w:val="0"/>
                  <w:marRight w:val="0"/>
                  <w:marTop w:val="0"/>
                  <w:marBottom w:val="0"/>
                  <w:divBdr>
                    <w:top w:val="none" w:sz="0" w:space="0" w:color="auto"/>
                    <w:left w:val="none" w:sz="0" w:space="0" w:color="auto"/>
                    <w:bottom w:val="none" w:sz="0" w:space="0" w:color="auto"/>
                    <w:right w:val="none" w:sz="0" w:space="0" w:color="auto"/>
                  </w:divBdr>
                </w:div>
              </w:divsChild>
            </w:div>
            <w:div w:id="1037507972">
              <w:marLeft w:val="0"/>
              <w:marRight w:val="0"/>
              <w:marTop w:val="0"/>
              <w:marBottom w:val="0"/>
              <w:divBdr>
                <w:top w:val="none" w:sz="0" w:space="0" w:color="auto"/>
                <w:left w:val="none" w:sz="0" w:space="0" w:color="auto"/>
                <w:bottom w:val="none" w:sz="0" w:space="0" w:color="auto"/>
                <w:right w:val="none" w:sz="0" w:space="0" w:color="auto"/>
              </w:divBdr>
              <w:divsChild>
                <w:div w:id="1898859066">
                  <w:marLeft w:val="0"/>
                  <w:marRight w:val="0"/>
                  <w:marTop w:val="0"/>
                  <w:marBottom w:val="0"/>
                  <w:divBdr>
                    <w:top w:val="none" w:sz="0" w:space="0" w:color="auto"/>
                    <w:left w:val="none" w:sz="0" w:space="0" w:color="auto"/>
                    <w:bottom w:val="none" w:sz="0" w:space="0" w:color="auto"/>
                    <w:right w:val="none" w:sz="0" w:space="0" w:color="auto"/>
                  </w:divBdr>
                </w:div>
              </w:divsChild>
            </w:div>
            <w:div w:id="1038047590">
              <w:marLeft w:val="0"/>
              <w:marRight w:val="0"/>
              <w:marTop w:val="0"/>
              <w:marBottom w:val="0"/>
              <w:divBdr>
                <w:top w:val="none" w:sz="0" w:space="0" w:color="auto"/>
                <w:left w:val="none" w:sz="0" w:space="0" w:color="auto"/>
                <w:bottom w:val="none" w:sz="0" w:space="0" w:color="auto"/>
                <w:right w:val="none" w:sz="0" w:space="0" w:color="auto"/>
              </w:divBdr>
              <w:divsChild>
                <w:div w:id="1362898428">
                  <w:marLeft w:val="0"/>
                  <w:marRight w:val="0"/>
                  <w:marTop w:val="0"/>
                  <w:marBottom w:val="0"/>
                  <w:divBdr>
                    <w:top w:val="none" w:sz="0" w:space="0" w:color="auto"/>
                    <w:left w:val="none" w:sz="0" w:space="0" w:color="auto"/>
                    <w:bottom w:val="none" w:sz="0" w:space="0" w:color="auto"/>
                    <w:right w:val="none" w:sz="0" w:space="0" w:color="auto"/>
                  </w:divBdr>
                </w:div>
              </w:divsChild>
            </w:div>
            <w:div w:id="1047879557">
              <w:marLeft w:val="0"/>
              <w:marRight w:val="0"/>
              <w:marTop w:val="0"/>
              <w:marBottom w:val="0"/>
              <w:divBdr>
                <w:top w:val="none" w:sz="0" w:space="0" w:color="auto"/>
                <w:left w:val="none" w:sz="0" w:space="0" w:color="auto"/>
                <w:bottom w:val="none" w:sz="0" w:space="0" w:color="auto"/>
                <w:right w:val="none" w:sz="0" w:space="0" w:color="auto"/>
              </w:divBdr>
              <w:divsChild>
                <w:div w:id="321080050">
                  <w:marLeft w:val="0"/>
                  <w:marRight w:val="0"/>
                  <w:marTop w:val="0"/>
                  <w:marBottom w:val="0"/>
                  <w:divBdr>
                    <w:top w:val="none" w:sz="0" w:space="0" w:color="auto"/>
                    <w:left w:val="none" w:sz="0" w:space="0" w:color="auto"/>
                    <w:bottom w:val="none" w:sz="0" w:space="0" w:color="auto"/>
                    <w:right w:val="none" w:sz="0" w:space="0" w:color="auto"/>
                  </w:divBdr>
                </w:div>
              </w:divsChild>
            </w:div>
            <w:div w:id="1056047929">
              <w:marLeft w:val="0"/>
              <w:marRight w:val="0"/>
              <w:marTop w:val="0"/>
              <w:marBottom w:val="0"/>
              <w:divBdr>
                <w:top w:val="none" w:sz="0" w:space="0" w:color="auto"/>
                <w:left w:val="none" w:sz="0" w:space="0" w:color="auto"/>
                <w:bottom w:val="none" w:sz="0" w:space="0" w:color="auto"/>
                <w:right w:val="none" w:sz="0" w:space="0" w:color="auto"/>
              </w:divBdr>
              <w:divsChild>
                <w:div w:id="2053073846">
                  <w:marLeft w:val="0"/>
                  <w:marRight w:val="0"/>
                  <w:marTop w:val="0"/>
                  <w:marBottom w:val="0"/>
                  <w:divBdr>
                    <w:top w:val="none" w:sz="0" w:space="0" w:color="auto"/>
                    <w:left w:val="none" w:sz="0" w:space="0" w:color="auto"/>
                    <w:bottom w:val="none" w:sz="0" w:space="0" w:color="auto"/>
                    <w:right w:val="none" w:sz="0" w:space="0" w:color="auto"/>
                  </w:divBdr>
                </w:div>
              </w:divsChild>
            </w:div>
            <w:div w:id="1082071595">
              <w:marLeft w:val="0"/>
              <w:marRight w:val="0"/>
              <w:marTop w:val="0"/>
              <w:marBottom w:val="0"/>
              <w:divBdr>
                <w:top w:val="none" w:sz="0" w:space="0" w:color="auto"/>
                <w:left w:val="none" w:sz="0" w:space="0" w:color="auto"/>
                <w:bottom w:val="none" w:sz="0" w:space="0" w:color="auto"/>
                <w:right w:val="none" w:sz="0" w:space="0" w:color="auto"/>
              </w:divBdr>
              <w:divsChild>
                <w:div w:id="806699204">
                  <w:marLeft w:val="0"/>
                  <w:marRight w:val="0"/>
                  <w:marTop w:val="0"/>
                  <w:marBottom w:val="0"/>
                  <w:divBdr>
                    <w:top w:val="none" w:sz="0" w:space="0" w:color="auto"/>
                    <w:left w:val="none" w:sz="0" w:space="0" w:color="auto"/>
                    <w:bottom w:val="none" w:sz="0" w:space="0" w:color="auto"/>
                    <w:right w:val="none" w:sz="0" w:space="0" w:color="auto"/>
                  </w:divBdr>
                </w:div>
              </w:divsChild>
            </w:div>
            <w:div w:id="1103376891">
              <w:marLeft w:val="0"/>
              <w:marRight w:val="0"/>
              <w:marTop w:val="0"/>
              <w:marBottom w:val="0"/>
              <w:divBdr>
                <w:top w:val="none" w:sz="0" w:space="0" w:color="auto"/>
                <w:left w:val="none" w:sz="0" w:space="0" w:color="auto"/>
                <w:bottom w:val="none" w:sz="0" w:space="0" w:color="auto"/>
                <w:right w:val="none" w:sz="0" w:space="0" w:color="auto"/>
              </w:divBdr>
              <w:divsChild>
                <w:div w:id="143471781">
                  <w:marLeft w:val="0"/>
                  <w:marRight w:val="0"/>
                  <w:marTop w:val="0"/>
                  <w:marBottom w:val="0"/>
                  <w:divBdr>
                    <w:top w:val="none" w:sz="0" w:space="0" w:color="auto"/>
                    <w:left w:val="none" w:sz="0" w:space="0" w:color="auto"/>
                    <w:bottom w:val="none" w:sz="0" w:space="0" w:color="auto"/>
                    <w:right w:val="none" w:sz="0" w:space="0" w:color="auto"/>
                  </w:divBdr>
                </w:div>
              </w:divsChild>
            </w:div>
            <w:div w:id="1104959077">
              <w:marLeft w:val="0"/>
              <w:marRight w:val="0"/>
              <w:marTop w:val="0"/>
              <w:marBottom w:val="0"/>
              <w:divBdr>
                <w:top w:val="none" w:sz="0" w:space="0" w:color="auto"/>
                <w:left w:val="none" w:sz="0" w:space="0" w:color="auto"/>
                <w:bottom w:val="none" w:sz="0" w:space="0" w:color="auto"/>
                <w:right w:val="none" w:sz="0" w:space="0" w:color="auto"/>
              </w:divBdr>
              <w:divsChild>
                <w:div w:id="1982535750">
                  <w:marLeft w:val="0"/>
                  <w:marRight w:val="0"/>
                  <w:marTop w:val="0"/>
                  <w:marBottom w:val="0"/>
                  <w:divBdr>
                    <w:top w:val="none" w:sz="0" w:space="0" w:color="auto"/>
                    <w:left w:val="none" w:sz="0" w:space="0" w:color="auto"/>
                    <w:bottom w:val="none" w:sz="0" w:space="0" w:color="auto"/>
                    <w:right w:val="none" w:sz="0" w:space="0" w:color="auto"/>
                  </w:divBdr>
                </w:div>
              </w:divsChild>
            </w:div>
            <w:div w:id="1106270464">
              <w:marLeft w:val="0"/>
              <w:marRight w:val="0"/>
              <w:marTop w:val="0"/>
              <w:marBottom w:val="0"/>
              <w:divBdr>
                <w:top w:val="none" w:sz="0" w:space="0" w:color="auto"/>
                <w:left w:val="none" w:sz="0" w:space="0" w:color="auto"/>
                <w:bottom w:val="none" w:sz="0" w:space="0" w:color="auto"/>
                <w:right w:val="none" w:sz="0" w:space="0" w:color="auto"/>
              </w:divBdr>
              <w:divsChild>
                <w:div w:id="14424027">
                  <w:marLeft w:val="0"/>
                  <w:marRight w:val="0"/>
                  <w:marTop w:val="0"/>
                  <w:marBottom w:val="0"/>
                  <w:divBdr>
                    <w:top w:val="none" w:sz="0" w:space="0" w:color="auto"/>
                    <w:left w:val="none" w:sz="0" w:space="0" w:color="auto"/>
                    <w:bottom w:val="none" w:sz="0" w:space="0" w:color="auto"/>
                    <w:right w:val="none" w:sz="0" w:space="0" w:color="auto"/>
                  </w:divBdr>
                </w:div>
              </w:divsChild>
            </w:div>
            <w:div w:id="1121218907">
              <w:marLeft w:val="0"/>
              <w:marRight w:val="0"/>
              <w:marTop w:val="0"/>
              <w:marBottom w:val="0"/>
              <w:divBdr>
                <w:top w:val="none" w:sz="0" w:space="0" w:color="auto"/>
                <w:left w:val="none" w:sz="0" w:space="0" w:color="auto"/>
                <w:bottom w:val="none" w:sz="0" w:space="0" w:color="auto"/>
                <w:right w:val="none" w:sz="0" w:space="0" w:color="auto"/>
              </w:divBdr>
              <w:divsChild>
                <w:div w:id="798231628">
                  <w:marLeft w:val="0"/>
                  <w:marRight w:val="0"/>
                  <w:marTop w:val="0"/>
                  <w:marBottom w:val="0"/>
                  <w:divBdr>
                    <w:top w:val="none" w:sz="0" w:space="0" w:color="auto"/>
                    <w:left w:val="none" w:sz="0" w:space="0" w:color="auto"/>
                    <w:bottom w:val="none" w:sz="0" w:space="0" w:color="auto"/>
                    <w:right w:val="none" w:sz="0" w:space="0" w:color="auto"/>
                  </w:divBdr>
                </w:div>
              </w:divsChild>
            </w:div>
            <w:div w:id="1123187728">
              <w:marLeft w:val="0"/>
              <w:marRight w:val="0"/>
              <w:marTop w:val="0"/>
              <w:marBottom w:val="0"/>
              <w:divBdr>
                <w:top w:val="none" w:sz="0" w:space="0" w:color="auto"/>
                <w:left w:val="none" w:sz="0" w:space="0" w:color="auto"/>
                <w:bottom w:val="none" w:sz="0" w:space="0" w:color="auto"/>
                <w:right w:val="none" w:sz="0" w:space="0" w:color="auto"/>
              </w:divBdr>
              <w:divsChild>
                <w:div w:id="303971230">
                  <w:marLeft w:val="0"/>
                  <w:marRight w:val="0"/>
                  <w:marTop w:val="0"/>
                  <w:marBottom w:val="0"/>
                  <w:divBdr>
                    <w:top w:val="none" w:sz="0" w:space="0" w:color="auto"/>
                    <w:left w:val="none" w:sz="0" w:space="0" w:color="auto"/>
                    <w:bottom w:val="none" w:sz="0" w:space="0" w:color="auto"/>
                    <w:right w:val="none" w:sz="0" w:space="0" w:color="auto"/>
                  </w:divBdr>
                </w:div>
              </w:divsChild>
            </w:div>
            <w:div w:id="1180503864">
              <w:marLeft w:val="0"/>
              <w:marRight w:val="0"/>
              <w:marTop w:val="0"/>
              <w:marBottom w:val="0"/>
              <w:divBdr>
                <w:top w:val="none" w:sz="0" w:space="0" w:color="auto"/>
                <w:left w:val="none" w:sz="0" w:space="0" w:color="auto"/>
                <w:bottom w:val="none" w:sz="0" w:space="0" w:color="auto"/>
                <w:right w:val="none" w:sz="0" w:space="0" w:color="auto"/>
              </w:divBdr>
              <w:divsChild>
                <w:div w:id="1195268381">
                  <w:marLeft w:val="0"/>
                  <w:marRight w:val="0"/>
                  <w:marTop w:val="0"/>
                  <w:marBottom w:val="0"/>
                  <w:divBdr>
                    <w:top w:val="none" w:sz="0" w:space="0" w:color="auto"/>
                    <w:left w:val="none" w:sz="0" w:space="0" w:color="auto"/>
                    <w:bottom w:val="none" w:sz="0" w:space="0" w:color="auto"/>
                    <w:right w:val="none" w:sz="0" w:space="0" w:color="auto"/>
                  </w:divBdr>
                </w:div>
              </w:divsChild>
            </w:div>
            <w:div w:id="1245604576">
              <w:marLeft w:val="0"/>
              <w:marRight w:val="0"/>
              <w:marTop w:val="0"/>
              <w:marBottom w:val="0"/>
              <w:divBdr>
                <w:top w:val="none" w:sz="0" w:space="0" w:color="auto"/>
                <w:left w:val="none" w:sz="0" w:space="0" w:color="auto"/>
                <w:bottom w:val="none" w:sz="0" w:space="0" w:color="auto"/>
                <w:right w:val="none" w:sz="0" w:space="0" w:color="auto"/>
              </w:divBdr>
              <w:divsChild>
                <w:div w:id="1167482301">
                  <w:marLeft w:val="0"/>
                  <w:marRight w:val="0"/>
                  <w:marTop w:val="0"/>
                  <w:marBottom w:val="0"/>
                  <w:divBdr>
                    <w:top w:val="none" w:sz="0" w:space="0" w:color="auto"/>
                    <w:left w:val="none" w:sz="0" w:space="0" w:color="auto"/>
                    <w:bottom w:val="none" w:sz="0" w:space="0" w:color="auto"/>
                    <w:right w:val="none" w:sz="0" w:space="0" w:color="auto"/>
                  </w:divBdr>
                </w:div>
              </w:divsChild>
            </w:div>
            <w:div w:id="1278565009">
              <w:marLeft w:val="0"/>
              <w:marRight w:val="0"/>
              <w:marTop w:val="0"/>
              <w:marBottom w:val="0"/>
              <w:divBdr>
                <w:top w:val="none" w:sz="0" w:space="0" w:color="auto"/>
                <w:left w:val="none" w:sz="0" w:space="0" w:color="auto"/>
                <w:bottom w:val="none" w:sz="0" w:space="0" w:color="auto"/>
                <w:right w:val="none" w:sz="0" w:space="0" w:color="auto"/>
              </w:divBdr>
              <w:divsChild>
                <w:div w:id="581835773">
                  <w:marLeft w:val="0"/>
                  <w:marRight w:val="0"/>
                  <w:marTop w:val="0"/>
                  <w:marBottom w:val="0"/>
                  <w:divBdr>
                    <w:top w:val="none" w:sz="0" w:space="0" w:color="auto"/>
                    <w:left w:val="none" w:sz="0" w:space="0" w:color="auto"/>
                    <w:bottom w:val="none" w:sz="0" w:space="0" w:color="auto"/>
                    <w:right w:val="none" w:sz="0" w:space="0" w:color="auto"/>
                  </w:divBdr>
                </w:div>
              </w:divsChild>
            </w:div>
            <w:div w:id="1280532530">
              <w:marLeft w:val="0"/>
              <w:marRight w:val="0"/>
              <w:marTop w:val="0"/>
              <w:marBottom w:val="0"/>
              <w:divBdr>
                <w:top w:val="none" w:sz="0" w:space="0" w:color="auto"/>
                <w:left w:val="none" w:sz="0" w:space="0" w:color="auto"/>
                <w:bottom w:val="none" w:sz="0" w:space="0" w:color="auto"/>
                <w:right w:val="none" w:sz="0" w:space="0" w:color="auto"/>
              </w:divBdr>
              <w:divsChild>
                <w:div w:id="554388070">
                  <w:marLeft w:val="0"/>
                  <w:marRight w:val="0"/>
                  <w:marTop w:val="0"/>
                  <w:marBottom w:val="0"/>
                  <w:divBdr>
                    <w:top w:val="none" w:sz="0" w:space="0" w:color="auto"/>
                    <w:left w:val="none" w:sz="0" w:space="0" w:color="auto"/>
                    <w:bottom w:val="none" w:sz="0" w:space="0" w:color="auto"/>
                    <w:right w:val="none" w:sz="0" w:space="0" w:color="auto"/>
                  </w:divBdr>
                </w:div>
              </w:divsChild>
            </w:div>
            <w:div w:id="1289510570">
              <w:marLeft w:val="0"/>
              <w:marRight w:val="0"/>
              <w:marTop w:val="0"/>
              <w:marBottom w:val="0"/>
              <w:divBdr>
                <w:top w:val="none" w:sz="0" w:space="0" w:color="auto"/>
                <w:left w:val="none" w:sz="0" w:space="0" w:color="auto"/>
                <w:bottom w:val="none" w:sz="0" w:space="0" w:color="auto"/>
                <w:right w:val="none" w:sz="0" w:space="0" w:color="auto"/>
              </w:divBdr>
              <w:divsChild>
                <w:div w:id="2002389818">
                  <w:marLeft w:val="0"/>
                  <w:marRight w:val="0"/>
                  <w:marTop w:val="0"/>
                  <w:marBottom w:val="0"/>
                  <w:divBdr>
                    <w:top w:val="none" w:sz="0" w:space="0" w:color="auto"/>
                    <w:left w:val="none" w:sz="0" w:space="0" w:color="auto"/>
                    <w:bottom w:val="none" w:sz="0" w:space="0" w:color="auto"/>
                    <w:right w:val="none" w:sz="0" w:space="0" w:color="auto"/>
                  </w:divBdr>
                </w:div>
              </w:divsChild>
            </w:div>
            <w:div w:id="1292250252">
              <w:marLeft w:val="0"/>
              <w:marRight w:val="0"/>
              <w:marTop w:val="0"/>
              <w:marBottom w:val="0"/>
              <w:divBdr>
                <w:top w:val="none" w:sz="0" w:space="0" w:color="auto"/>
                <w:left w:val="none" w:sz="0" w:space="0" w:color="auto"/>
                <w:bottom w:val="none" w:sz="0" w:space="0" w:color="auto"/>
                <w:right w:val="none" w:sz="0" w:space="0" w:color="auto"/>
              </w:divBdr>
              <w:divsChild>
                <w:div w:id="1705598341">
                  <w:marLeft w:val="0"/>
                  <w:marRight w:val="0"/>
                  <w:marTop w:val="0"/>
                  <w:marBottom w:val="0"/>
                  <w:divBdr>
                    <w:top w:val="none" w:sz="0" w:space="0" w:color="auto"/>
                    <w:left w:val="none" w:sz="0" w:space="0" w:color="auto"/>
                    <w:bottom w:val="none" w:sz="0" w:space="0" w:color="auto"/>
                    <w:right w:val="none" w:sz="0" w:space="0" w:color="auto"/>
                  </w:divBdr>
                </w:div>
              </w:divsChild>
            </w:div>
            <w:div w:id="1334986657">
              <w:marLeft w:val="0"/>
              <w:marRight w:val="0"/>
              <w:marTop w:val="0"/>
              <w:marBottom w:val="0"/>
              <w:divBdr>
                <w:top w:val="none" w:sz="0" w:space="0" w:color="auto"/>
                <w:left w:val="none" w:sz="0" w:space="0" w:color="auto"/>
                <w:bottom w:val="none" w:sz="0" w:space="0" w:color="auto"/>
                <w:right w:val="none" w:sz="0" w:space="0" w:color="auto"/>
              </w:divBdr>
              <w:divsChild>
                <w:div w:id="1243562948">
                  <w:marLeft w:val="0"/>
                  <w:marRight w:val="0"/>
                  <w:marTop w:val="0"/>
                  <w:marBottom w:val="0"/>
                  <w:divBdr>
                    <w:top w:val="none" w:sz="0" w:space="0" w:color="auto"/>
                    <w:left w:val="none" w:sz="0" w:space="0" w:color="auto"/>
                    <w:bottom w:val="none" w:sz="0" w:space="0" w:color="auto"/>
                    <w:right w:val="none" w:sz="0" w:space="0" w:color="auto"/>
                  </w:divBdr>
                </w:div>
              </w:divsChild>
            </w:div>
            <w:div w:id="1361586984">
              <w:marLeft w:val="0"/>
              <w:marRight w:val="0"/>
              <w:marTop w:val="0"/>
              <w:marBottom w:val="0"/>
              <w:divBdr>
                <w:top w:val="none" w:sz="0" w:space="0" w:color="auto"/>
                <w:left w:val="none" w:sz="0" w:space="0" w:color="auto"/>
                <w:bottom w:val="none" w:sz="0" w:space="0" w:color="auto"/>
                <w:right w:val="none" w:sz="0" w:space="0" w:color="auto"/>
              </w:divBdr>
              <w:divsChild>
                <w:div w:id="1860318087">
                  <w:marLeft w:val="0"/>
                  <w:marRight w:val="0"/>
                  <w:marTop w:val="0"/>
                  <w:marBottom w:val="0"/>
                  <w:divBdr>
                    <w:top w:val="none" w:sz="0" w:space="0" w:color="auto"/>
                    <w:left w:val="none" w:sz="0" w:space="0" w:color="auto"/>
                    <w:bottom w:val="none" w:sz="0" w:space="0" w:color="auto"/>
                    <w:right w:val="none" w:sz="0" w:space="0" w:color="auto"/>
                  </w:divBdr>
                </w:div>
              </w:divsChild>
            </w:div>
            <w:div w:id="1362779138">
              <w:marLeft w:val="0"/>
              <w:marRight w:val="0"/>
              <w:marTop w:val="0"/>
              <w:marBottom w:val="0"/>
              <w:divBdr>
                <w:top w:val="none" w:sz="0" w:space="0" w:color="auto"/>
                <w:left w:val="none" w:sz="0" w:space="0" w:color="auto"/>
                <w:bottom w:val="none" w:sz="0" w:space="0" w:color="auto"/>
                <w:right w:val="none" w:sz="0" w:space="0" w:color="auto"/>
              </w:divBdr>
              <w:divsChild>
                <w:div w:id="2122721628">
                  <w:marLeft w:val="0"/>
                  <w:marRight w:val="0"/>
                  <w:marTop w:val="0"/>
                  <w:marBottom w:val="0"/>
                  <w:divBdr>
                    <w:top w:val="none" w:sz="0" w:space="0" w:color="auto"/>
                    <w:left w:val="none" w:sz="0" w:space="0" w:color="auto"/>
                    <w:bottom w:val="none" w:sz="0" w:space="0" w:color="auto"/>
                    <w:right w:val="none" w:sz="0" w:space="0" w:color="auto"/>
                  </w:divBdr>
                </w:div>
              </w:divsChild>
            </w:div>
            <w:div w:id="1367952487">
              <w:marLeft w:val="0"/>
              <w:marRight w:val="0"/>
              <w:marTop w:val="0"/>
              <w:marBottom w:val="0"/>
              <w:divBdr>
                <w:top w:val="none" w:sz="0" w:space="0" w:color="auto"/>
                <w:left w:val="none" w:sz="0" w:space="0" w:color="auto"/>
                <w:bottom w:val="none" w:sz="0" w:space="0" w:color="auto"/>
                <w:right w:val="none" w:sz="0" w:space="0" w:color="auto"/>
              </w:divBdr>
              <w:divsChild>
                <w:div w:id="65885168">
                  <w:marLeft w:val="0"/>
                  <w:marRight w:val="0"/>
                  <w:marTop w:val="0"/>
                  <w:marBottom w:val="0"/>
                  <w:divBdr>
                    <w:top w:val="none" w:sz="0" w:space="0" w:color="auto"/>
                    <w:left w:val="none" w:sz="0" w:space="0" w:color="auto"/>
                    <w:bottom w:val="none" w:sz="0" w:space="0" w:color="auto"/>
                    <w:right w:val="none" w:sz="0" w:space="0" w:color="auto"/>
                  </w:divBdr>
                </w:div>
              </w:divsChild>
            </w:div>
            <w:div w:id="1371033670">
              <w:marLeft w:val="0"/>
              <w:marRight w:val="0"/>
              <w:marTop w:val="0"/>
              <w:marBottom w:val="0"/>
              <w:divBdr>
                <w:top w:val="none" w:sz="0" w:space="0" w:color="auto"/>
                <w:left w:val="none" w:sz="0" w:space="0" w:color="auto"/>
                <w:bottom w:val="none" w:sz="0" w:space="0" w:color="auto"/>
                <w:right w:val="none" w:sz="0" w:space="0" w:color="auto"/>
              </w:divBdr>
              <w:divsChild>
                <w:div w:id="1733040856">
                  <w:marLeft w:val="0"/>
                  <w:marRight w:val="0"/>
                  <w:marTop w:val="0"/>
                  <w:marBottom w:val="0"/>
                  <w:divBdr>
                    <w:top w:val="none" w:sz="0" w:space="0" w:color="auto"/>
                    <w:left w:val="none" w:sz="0" w:space="0" w:color="auto"/>
                    <w:bottom w:val="none" w:sz="0" w:space="0" w:color="auto"/>
                    <w:right w:val="none" w:sz="0" w:space="0" w:color="auto"/>
                  </w:divBdr>
                </w:div>
              </w:divsChild>
            </w:div>
            <w:div w:id="1372193535">
              <w:marLeft w:val="0"/>
              <w:marRight w:val="0"/>
              <w:marTop w:val="0"/>
              <w:marBottom w:val="0"/>
              <w:divBdr>
                <w:top w:val="none" w:sz="0" w:space="0" w:color="auto"/>
                <w:left w:val="none" w:sz="0" w:space="0" w:color="auto"/>
                <w:bottom w:val="none" w:sz="0" w:space="0" w:color="auto"/>
                <w:right w:val="none" w:sz="0" w:space="0" w:color="auto"/>
              </w:divBdr>
              <w:divsChild>
                <w:div w:id="1237128856">
                  <w:marLeft w:val="0"/>
                  <w:marRight w:val="0"/>
                  <w:marTop w:val="0"/>
                  <w:marBottom w:val="0"/>
                  <w:divBdr>
                    <w:top w:val="none" w:sz="0" w:space="0" w:color="auto"/>
                    <w:left w:val="none" w:sz="0" w:space="0" w:color="auto"/>
                    <w:bottom w:val="none" w:sz="0" w:space="0" w:color="auto"/>
                    <w:right w:val="none" w:sz="0" w:space="0" w:color="auto"/>
                  </w:divBdr>
                </w:div>
              </w:divsChild>
            </w:div>
            <w:div w:id="1407147675">
              <w:marLeft w:val="0"/>
              <w:marRight w:val="0"/>
              <w:marTop w:val="0"/>
              <w:marBottom w:val="0"/>
              <w:divBdr>
                <w:top w:val="none" w:sz="0" w:space="0" w:color="auto"/>
                <w:left w:val="none" w:sz="0" w:space="0" w:color="auto"/>
                <w:bottom w:val="none" w:sz="0" w:space="0" w:color="auto"/>
                <w:right w:val="none" w:sz="0" w:space="0" w:color="auto"/>
              </w:divBdr>
              <w:divsChild>
                <w:div w:id="2124766390">
                  <w:marLeft w:val="0"/>
                  <w:marRight w:val="0"/>
                  <w:marTop w:val="0"/>
                  <w:marBottom w:val="0"/>
                  <w:divBdr>
                    <w:top w:val="none" w:sz="0" w:space="0" w:color="auto"/>
                    <w:left w:val="none" w:sz="0" w:space="0" w:color="auto"/>
                    <w:bottom w:val="none" w:sz="0" w:space="0" w:color="auto"/>
                    <w:right w:val="none" w:sz="0" w:space="0" w:color="auto"/>
                  </w:divBdr>
                </w:div>
              </w:divsChild>
            </w:div>
            <w:div w:id="1434326884">
              <w:marLeft w:val="0"/>
              <w:marRight w:val="0"/>
              <w:marTop w:val="0"/>
              <w:marBottom w:val="0"/>
              <w:divBdr>
                <w:top w:val="none" w:sz="0" w:space="0" w:color="auto"/>
                <w:left w:val="none" w:sz="0" w:space="0" w:color="auto"/>
                <w:bottom w:val="none" w:sz="0" w:space="0" w:color="auto"/>
                <w:right w:val="none" w:sz="0" w:space="0" w:color="auto"/>
              </w:divBdr>
              <w:divsChild>
                <w:div w:id="586692440">
                  <w:marLeft w:val="0"/>
                  <w:marRight w:val="0"/>
                  <w:marTop w:val="0"/>
                  <w:marBottom w:val="0"/>
                  <w:divBdr>
                    <w:top w:val="none" w:sz="0" w:space="0" w:color="auto"/>
                    <w:left w:val="none" w:sz="0" w:space="0" w:color="auto"/>
                    <w:bottom w:val="none" w:sz="0" w:space="0" w:color="auto"/>
                    <w:right w:val="none" w:sz="0" w:space="0" w:color="auto"/>
                  </w:divBdr>
                </w:div>
              </w:divsChild>
            </w:div>
            <w:div w:id="1446270368">
              <w:marLeft w:val="0"/>
              <w:marRight w:val="0"/>
              <w:marTop w:val="0"/>
              <w:marBottom w:val="0"/>
              <w:divBdr>
                <w:top w:val="none" w:sz="0" w:space="0" w:color="auto"/>
                <w:left w:val="none" w:sz="0" w:space="0" w:color="auto"/>
                <w:bottom w:val="none" w:sz="0" w:space="0" w:color="auto"/>
                <w:right w:val="none" w:sz="0" w:space="0" w:color="auto"/>
              </w:divBdr>
              <w:divsChild>
                <w:div w:id="1764643274">
                  <w:marLeft w:val="0"/>
                  <w:marRight w:val="0"/>
                  <w:marTop w:val="0"/>
                  <w:marBottom w:val="0"/>
                  <w:divBdr>
                    <w:top w:val="none" w:sz="0" w:space="0" w:color="auto"/>
                    <w:left w:val="none" w:sz="0" w:space="0" w:color="auto"/>
                    <w:bottom w:val="none" w:sz="0" w:space="0" w:color="auto"/>
                    <w:right w:val="none" w:sz="0" w:space="0" w:color="auto"/>
                  </w:divBdr>
                </w:div>
              </w:divsChild>
            </w:div>
            <w:div w:id="1447046139">
              <w:marLeft w:val="0"/>
              <w:marRight w:val="0"/>
              <w:marTop w:val="0"/>
              <w:marBottom w:val="0"/>
              <w:divBdr>
                <w:top w:val="none" w:sz="0" w:space="0" w:color="auto"/>
                <w:left w:val="none" w:sz="0" w:space="0" w:color="auto"/>
                <w:bottom w:val="none" w:sz="0" w:space="0" w:color="auto"/>
                <w:right w:val="none" w:sz="0" w:space="0" w:color="auto"/>
              </w:divBdr>
              <w:divsChild>
                <w:div w:id="1945072740">
                  <w:marLeft w:val="0"/>
                  <w:marRight w:val="0"/>
                  <w:marTop w:val="0"/>
                  <w:marBottom w:val="0"/>
                  <w:divBdr>
                    <w:top w:val="none" w:sz="0" w:space="0" w:color="auto"/>
                    <w:left w:val="none" w:sz="0" w:space="0" w:color="auto"/>
                    <w:bottom w:val="none" w:sz="0" w:space="0" w:color="auto"/>
                    <w:right w:val="none" w:sz="0" w:space="0" w:color="auto"/>
                  </w:divBdr>
                </w:div>
              </w:divsChild>
            </w:div>
            <w:div w:id="1468739213">
              <w:marLeft w:val="0"/>
              <w:marRight w:val="0"/>
              <w:marTop w:val="0"/>
              <w:marBottom w:val="0"/>
              <w:divBdr>
                <w:top w:val="none" w:sz="0" w:space="0" w:color="auto"/>
                <w:left w:val="none" w:sz="0" w:space="0" w:color="auto"/>
                <w:bottom w:val="none" w:sz="0" w:space="0" w:color="auto"/>
                <w:right w:val="none" w:sz="0" w:space="0" w:color="auto"/>
              </w:divBdr>
              <w:divsChild>
                <w:div w:id="519439499">
                  <w:marLeft w:val="0"/>
                  <w:marRight w:val="0"/>
                  <w:marTop w:val="0"/>
                  <w:marBottom w:val="0"/>
                  <w:divBdr>
                    <w:top w:val="none" w:sz="0" w:space="0" w:color="auto"/>
                    <w:left w:val="none" w:sz="0" w:space="0" w:color="auto"/>
                    <w:bottom w:val="none" w:sz="0" w:space="0" w:color="auto"/>
                    <w:right w:val="none" w:sz="0" w:space="0" w:color="auto"/>
                  </w:divBdr>
                </w:div>
              </w:divsChild>
            </w:div>
            <w:div w:id="1498350255">
              <w:marLeft w:val="0"/>
              <w:marRight w:val="0"/>
              <w:marTop w:val="0"/>
              <w:marBottom w:val="0"/>
              <w:divBdr>
                <w:top w:val="none" w:sz="0" w:space="0" w:color="auto"/>
                <w:left w:val="none" w:sz="0" w:space="0" w:color="auto"/>
                <w:bottom w:val="none" w:sz="0" w:space="0" w:color="auto"/>
                <w:right w:val="none" w:sz="0" w:space="0" w:color="auto"/>
              </w:divBdr>
              <w:divsChild>
                <w:div w:id="836580441">
                  <w:marLeft w:val="0"/>
                  <w:marRight w:val="0"/>
                  <w:marTop w:val="0"/>
                  <w:marBottom w:val="0"/>
                  <w:divBdr>
                    <w:top w:val="none" w:sz="0" w:space="0" w:color="auto"/>
                    <w:left w:val="none" w:sz="0" w:space="0" w:color="auto"/>
                    <w:bottom w:val="none" w:sz="0" w:space="0" w:color="auto"/>
                    <w:right w:val="none" w:sz="0" w:space="0" w:color="auto"/>
                  </w:divBdr>
                </w:div>
              </w:divsChild>
            </w:div>
            <w:div w:id="1499881410">
              <w:marLeft w:val="0"/>
              <w:marRight w:val="0"/>
              <w:marTop w:val="0"/>
              <w:marBottom w:val="0"/>
              <w:divBdr>
                <w:top w:val="none" w:sz="0" w:space="0" w:color="auto"/>
                <w:left w:val="none" w:sz="0" w:space="0" w:color="auto"/>
                <w:bottom w:val="none" w:sz="0" w:space="0" w:color="auto"/>
                <w:right w:val="none" w:sz="0" w:space="0" w:color="auto"/>
              </w:divBdr>
              <w:divsChild>
                <w:div w:id="903487766">
                  <w:marLeft w:val="0"/>
                  <w:marRight w:val="0"/>
                  <w:marTop w:val="0"/>
                  <w:marBottom w:val="0"/>
                  <w:divBdr>
                    <w:top w:val="none" w:sz="0" w:space="0" w:color="auto"/>
                    <w:left w:val="none" w:sz="0" w:space="0" w:color="auto"/>
                    <w:bottom w:val="none" w:sz="0" w:space="0" w:color="auto"/>
                    <w:right w:val="none" w:sz="0" w:space="0" w:color="auto"/>
                  </w:divBdr>
                </w:div>
              </w:divsChild>
            </w:div>
            <w:div w:id="1509253919">
              <w:marLeft w:val="0"/>
              <w:marRight w:val="0"/>
              <w:marTop w:val="0"/>
              <w:marBottom w:val="0"/>
              <w:divBdr>
                <w:top w:val="none" w:sz="0" w:space="0" w:color="auto"/>
                <w:left w:val="none" w:sz="0" w:space="0" w:color="auto"/>
                <w:bottom w:val="none" w:sz="0" w:space="0" w:color="auto"/>
                <w:right w:val="none" w:sz="0" w:space="0" w:color="auto"/>
              </w:divBdr>
              <w:divsChild>
                <w:div w:id="356935189">
                  <w:marLeft w:val="0"/>
                  <w:marRight w:val="0"/>
                  <w:marTop w:val="0"/>
                  <w:marBottom w:val="0"/>
                  <w:divBdr>
                    <w:top w:val="none" w:sz="0" w:space="0" w:color="auto"/>
                    <w:left w:val="none" w:sz="0" w:space="0" w:color="auto"/>
                    <w:bottom w:val="none" w:sz="0" w:space="0" w:color="auto"/>
                    <w:right w:val="none" w:sz="0" w:space="0" w:color="auto"/>
                  </w:divBdr>
                </w:div>
              </w:divsChild>
            </w:div>
            <w:div w:id="1569001668">
              <w:marLeft w:val="0"/>
              <w:marRight w:val="0"/>
              <w:marTop w:val="0"/>
              <w:marBottom w:val="0"/>
              <w:divBdr>
                <w:top w:val="none" w:sz="0" w:space="0" w:color="auto"/>
                <w:left w:val="none" w:sz="0" w:space="0" w:color="auto"/>
                <w:bottom w:val="none" w:sz="0" w:space="0" w:color="auto"/>
                <w:right w:val="none" w:sz="0" w:space="0" w:color="auto"/>
              </w:divBdr>
              <w:divsChild>
                <w:div w:id="1613903127">
                  <w:marLeft w:val="0"/>
                  <w:marRight w:val="0"/>
                  <w:marTop w:val="0"/>
                  <w:marBottom w:val="0"/>
                  <w:divBdr>
                    <w:top w:val="none" w:sz="0" w:space="0" w:color="auto"/>
                    <w:left w:val="none" w:sz="0" w:space="0" w:color="auto"/>
                    <w:bottom w:val="none" w:sz="0" w:space="0" w:color="auto"/>
                    <w:right w:val="none" w:sz="0" w:space="0" w:color="auto"/>
                  </w:divBdr>
                </w:div>
              </w:divsChild>
            </w:div>
            <w:div w:id="1583567094">
              <w:marLeft w:val="0"/>
              <w:marRight w:val="0"/>
              <w:marTop w:val="0"/>
              <w:marBottom w:val="0"/>
              <w:divBdr>
                <w:top w:val="none" w:sz="0" w:space="0" w:color="auto"/>
                <w:left w:val="none" w:sz="0" w:space="0" w:color="auto"/>
                <w:bottom w:val="none" w:sz="0" w:space="0" w:color="auto"/>
                <w:right w:val="none" w:sz="0" w:space="0" w:color="auto"/>
              </w:divBdr>
              <w:divsChild>
                <w:div w:id="1281061291">
                  <w:marLeft w:val="0"/>
                  <w:marRight w:val="0"/>
                  <w:marTop w:val="0"/>
                  <w:marBottom w:val="0"/>
                  <w:divBdr>
                    <w:top w:val="none" w:sz="0" w:space="0" w:color="auto"/>
                    <w:left w:val="none" w:sz="0" w:space="0" w:color="auto"/>
                    <w:bottom w:val="none" w:sz="0" w:space="0" w:color="auto"/>
                    <w:right w:val="none" w:sz="0" w:space="0" w:color="auto"/>
                  </w:divBdr>
                </w:div>
              </w:divsChild>
            </w:div>
            <w:div w:id="1620181426">
              <w:marLeft w:val="0"/>
              <w:marRight w:val="0"/>
              <w:marTop w:val="0"/>
              <w:marBottom w:val="0"/>
              <w:divBdr>
                <w:top w:val="none" w:sz="0" w:space="0" w:color="auto"/>
                <w:left w:val="none" w:sz="0" w:space="0" w:color="auto"/>
                <w:bottom w:val="none" w:sz="0" w:space="0" w:color="auto"/>
                <w:right w:val="none" w:sz="0" w:space="0" w:color="auto"/>
              </w:divBdr>
              <w:divsChild>
                <w:div w:id="1312442162">
                  <w:marLeft w:val="0"/>
                  <w:marRight w:val="0"/>
                  <w:marTop w:val="0"/>
                  <w:marBottom w:val="0"/>
                  <w:divBdr>
                    <w:top w:val="none" w:sz="0" w:space="0" w:color="auto"/>
                    <w:left w:val="none" w:sz="0" w:space="0" w:color="auto"/>
                    <w:bottom w:val="none" w:sz="0" w:space="0" w:color="auto"/>
                    <w:right w:val="none" w:sz="0" w:space="0" w:color="auto"/>
                  </w:divBdr>
                </w:div>
              </w:divsChild>
            </w:div>
            <w:div w:id="1625186894">
              <w:marLeft w:val="0"/>
              <w:marRight w:val="0"/>
              <w:marTop w:val="0"/>
              <w:marBottom w:val="0"/>
              <w:divBdr>
                <w:top w:val="none" w:sz="0" w:space="0" w:color="auto"/>
                <w:left w:val="none" w:sz="0" w:space="0" w:color="auto"/>
                <w:bottom w:val="none" w:sz="0" w:space="0" w:color="auto"/>
                <w:right w:val="none" w:sz="0" w:space="0" w:color="auto"/>
              </w:divBdr>
              <w:divsChild>
                <w:div w:id="738669714">
                  <w:marLeft w:val="0"/>
                  <w:marRight w:val="0"/>
                  <w:marTop w:val="0"/>
                  <w:marBottom w:val="0"/>
                  <w:divBdr>
                    <w:top w:val="none" w:sz="0" w:space="0" w:color="auto"/>
                    <w:left w:val="none" w:sz="0" w:space="0" w:color="auto"/>
                    <w:bottom w:val="none" w:sz="0" w:space="0" w:color="auto"/>
                    <w:right w:val="none" w:sz="0" w:space="0" w:color="auto"/>
                  </w:divBdr>
                </w:div>
              </w:divsChild>
            </w:div>
            <w:div w:id="1644775462">
              <w:marLeft w:val="0"/>
              <w:marRight w:val="0"/>
              <w:marTop w:val="0"/>
              <w:marBottom w:val="0"/>
              <w:divBdr>
                <w:top w:val="none" w:sz="0" w:space="0" w:color="auto"/>
                <w:left w:val="none" w:sz="0" w:space="0" w:color="auto"/>
                <w:bottom w:val="none" w:sz="0" w:space="0" w:color="auto"/>
                <w:right w:val="none" w:sz="0" w:space="0" w:color="auto"/>
              </w:divBdr>
              <w:divsChild>
                <w:div w:id="1394230476">
                  <w:marLeft w:val="0"/>
                  <w:marRight w:val="0"/>
                  <w:marTop w:val="0"/>
                  <w:marBottom w:val="0"/>
                  <w:divBdr>
                    <w:top w:val="none" w:sz="0" w:space="0" w:color="auto"/>
                    <w:left w:val="none" w:sz="0" w:space="0" w:color="auto"/>
                    <w:bottom w:val="none" w:sz="0" w:space="0" w:color="auto"/>
                    <w:right w:val="none" w:sz="0" w:space="0" w:color="auto"/>
                  </w:divBdr>
                </w:div>
              </w:divsChild>
            </w:div>
            <w:div w:id="1668316005">
              <w:marLeft w:val="0"/>
              <w:marRight w:val="0"/>
              <w:marTop w:val="0"/>
              <w:marBottom w:val="0"/>
              <w:divBdr>
                <w:top w:val="none" w:sz="0" w:space="0" w:color="auto"/>
                <w:left w:val="none" w:sz="0" w:space="0" w:color="auto"/>
                <w:bottom w:val="none" w:sz="0" w:space="0" w:color="auto"/>
                <w:right w:val="none" w:sz="0" w:space="0" w:color="auto"/>
              </w:divBdr>
              <w:divsChild>
                <w:div w:id="709106606">
                  <w:marLeft w:val="0"/>
                  <w:marRight w:val="0"/>
                  <w:marTop w:val="0"/>
                  <w:marBottom w:val="0"/>
                  <w:divBdr>
                    <w:top w:val="none" w:sz="0" w:space="0" w:color="auto"/>
                    <w:left w:val="none" w:sz="0" w:space="0" w:color="auto"/>
                    <w:bottom w:val="none" w:sz="0" w:space="0" w:color="auto"/>
                    <w:right w:val="none" w:sz="0" w:space="0" w:color="auto"/>
                  </w:divBdr>
                </w:div>
              </w:divsChild>
            </w:div>
            <w:div w:id="1706103029">
              <w:marLeft w:val="0"/>
              <w:marRight w:val="0"/>
              <w:marTop w:val="0"/>
              <w:marBottom w:val="0"/>
              <w:divBdr>
                <w:top w:val="none" w:sz="0" w:space="0" w:color="auto"/>
                <w:left w:val="none" w:sz="0" w:space="0" w:color="auto"/>
                <w:bottom w:val="none" w:sz="0" w:space="0" w:color="auto"/>
                <w:right w:val="none" w:sz="0" w:space="0" w:color="auto"/>
              </w:divBdr>
              <w:divsChild>
                <w:div w:id="1373578715">
                  <w:marLeft w:val="0"/>
                  <w:marRight w:val="0"/>
                  <w:marTop w:val="0"/>
                  <w:marBottom w:val="0"/>
                  <w:divBdr>
                    <w:top w:val="none" w:sz="0" w:space="0" w:color="auto"/>
                    <w:left w:val="none" w:sz="0" w:space="0" w:color="auto"/>
                    <w:bottom w:val="none" w:sz="0" w:space="0" w:color="auto"/>
                    <w:right w:val="none" w:sz="0" w:space="0" w:color="auto"/>
                  </w:divBdr>
                </w:div>
              </w:divsChild>
            </w:div>
            <w:div w:id="1715808958">
              <w:marLeft w:val="0"/>
              <w:marRight w:val="0"/>
              <w:marTop w:val="0"/>
              <w:marBottom w:val="0"/>
              <w:divBdr>
                <w:top w:val="none" w:sz="0" w:space="0" w:color="auto"/>
                <w:left w:val="none" w:sz="0" w:space="0" w:color="auto"/>
                <w:bottom w:val="none" w:sz="0" w:space="0" w:color="auto"/>
                <w:right w:val="none" w:sz="0" w:space="0" w:color="auto"/>
              </w:divBdr>
              <w:divsChild>
                <w:div w:id="1893687305">
                  <w:marLeft w:val="0"/>
                  <w:marRight w:val="0"/>
                  <w:marTop w:val="0"/>
                  <w:marBottom w:val="0"/>
                  <w:divBdr>
                    <w:top w:val="none" w:sz="0" w:space="0" w:color="auto"/>
                    <w:left w:val="none" w:sz="0" w:space="0" w:color="auto"/>
                    <w:bottom w:val="none" w:sz="0" w:space="0" w:color="auto"/>
                    <w:right w:val="none" w:sz="0" w:space="0" w:color="auto"/>
                  </w:divBdr>
                </w:div>
              </w:divsChild>
            </w:div>
            <w:div w:id="1733455834">
              <w:marLeft w:val="0"/>
              <w:marRight w:val="0"/>
              <w:marTop w:val="0"/>
              <w:marBottom w:val="0"/>
              <w:divBdr>
                <w:top w:val="none" w:sz="0" w:space="0" w:color="auto"/>
                <w:left w:val="none" w:sz="0" w:space="0" w:color="auto"/>
                <w:bottom w:val="none" w:sz="0" w:space="0" w:color="auto"/>
                <w:right w:val="none" w:sz="0" w:space="0" w:color="auto"/>
              </w:divBdr>
              <w:divsChild>
                <w:div w:id="1722165353">
                  <w:marLeft w:val="0"/>
                  <w:marRight w:val="0"/>
                  <w:marTop w:val="0"/>
                  <w:marBottom w:val="0"/>
                  <w:divBdr>
                    <w:top w:val="none" w:sz="0" w:space="0" w:color="auto"/>
                    <w:left w:val="none" w:sz="0" w:space="0" w:color="auto"/>
                    <w:bottom w:val="none" w:sz="0" w:space="0" w:color="auto"/>
                    <w:right w:val="none" w:sz="0" w:space="0" w:color="auto"/>
                  </w:divBdr>
                </w:div>
              </w:divsChild>
            </w:div>
            <w:div w:id="1752459016">
              <w:marLeft w:val="0"/>
              <w:marRight w:val="0"/>
              <w:marTop w:val="0"/>
              <w:marBottom w:val="0"/>
              <w:divBdr>
                <w:top w:val="none" w:sz="0" w:space="0" w:color="auto"/>
                <w:left w:val="none" w:sz="0" w:space="0" w:color="auto"/>
                <w:bottom w:val="none" w:sz="0" w:space="0" w:color="auto"/>
                <w:right w:val="none" w:sz="0" w:space="0" w:color="auto"/>
              </w:divBdr>
              <w:divsChild>
                <w:div w:id="2135710656">
                  <w:marLeft w:val="0"/>
                  <w:marRight w:val="0"/>
                  <w:marTop w:val="0"/>
                  <w:marBottom w:val="0"/>
                  <w:divBdr>
                    <w:top w:val="none" w:sz="0" w:space="0" w:color="auto"/>
                    <w:left w:val="none" w:sz="0" w:space="0" w:color="auto"/>
                    <w:bottom w:val="none" w:sz="0" w:space="0" w:color="auto"/>
                    <w:right w:val="none" w:sz="0" w:space="0" w:color="auto"/>
                  </w:divBdr>
                </w:div>
              </w:divsChild>
            </w:div>
            <w:div w:id="1814908545">
              <w:marLeft w:val="0"/>
              <w:marRight w:val="0"/>
              <w:marTop w:val="0"/>
              <w:marBottom w:val="0"/>
              <w:divBdr>
                <w:top w:val="none" w:sz="0" w:space="0" w:color="auto"/>
                <w:left w:val="none" w:sz="0" w:space="0" w:color="auto"/>
                <w:bottom w:val="none" w:sz="0" w:space="0" w:color="auto"/>
                <w:right w:val="none" w:sz="0" w:space="0" w:color="auto"/>
              </w:divBdr>
              <w:divsChild>
                <w:div w:id="1665010094">
                  <w:marLeft w:val="0"/>
                  <w:marRight w:val="0"/>
                  <w:marTop w:val="0"/>
                  <w:marBottom w:val="0"/>
                  <w:divBdr>
                    <w:top w:val="none" w:sz="0" w:space="0" w:color="auto"/>
                    <w:left w:val="none" w:sz="0" w:space="0" w:color="auto"/>
                    <w:bottom w:val="none" w:sz="0" w:space="0" w:color="auto"/>
                    <w:right w:val="none" w:sz="0" w:space="0" w:color="auto"/>
                  </w:divBdr>
                </w:div>
              </w:divsChild>
            </w:div>
            <w:div w:id="1844583526">
              <w:marLeft w:val="0"/>
              <w:marRight w:val="0"/>
              <w:marTop w:val="0"/>
              <w:marBottom w:val="0"/>
              <w:divBdr>
                <w:top w:val="none" w:sz="0" w:space="0" w:color="auto"/>
                <w:left w:val="none" w:sz="0" w:space="0" w:color="auto"/>
                <w:bottom w:val="none" w:sz="0" w:space="0" w:color="auto"/>
                <w:right w:val="none" w:sz="0" w:space="0" w:color="auto"/>
              </w:divBdr>
              <w:divsChild>
                <w:div w:id="331374388">
                  <w:marLeft w:val="0"/>
                  <w:marRight w:val="0"/>
                  <w:marTop w:val="0"/>
                  <w:marBottom w:val="0"/>
                  <w:divBdr>
                    <w:top w:val="none" w:sz="0" w:space="0" w:color="auto"/>
                    <w:left w:val="none" w:sz="0" w:space="0" w:color="auto"/>
                    <w:bottom w:val="none" w:sz="0" w:space="0" w:color="auto"/>
                    <w:right w:val="none" w:sz="0" w:space="0" w:color="auto"/>
                  </w:divBdr>
                </w:div>
              </w:divsChild>
            </w:div>
            <w:div w:id="1851748096">
              <w:marLeft w:val="0"/>
              <w:marRight w:val="0"/>
              <w:marTop w:val="0"/>
              <w:marBottom w:val="0"/>
              <w:divBdr>
                <w:top w:val="none" w:sz="0" w:space="0" w:color="auto"/>
                <w:left w:val="none" w:sz="0" w:space="0" w:color="auto"/>
                <w:bottom w:val="none" w:sz="0" w:space="0" w:color="auto"/>
                <w:right w:val="none" w:sz="0" w:space="0" w:color="auto"/>
              </w:divBdr>
              <w:divsChild>
                <w:div w:id="259796214">
                  <w:marLeft w:val="0"/>
                  <w:marRight w:val="0"/>
                  <w:marTop w:val="0"/>
                  <w:marBottom w:val="0"/>
                  <w:divBdr>
                    <w:top w:val="none" w:sz="0" w:space="0" w:color="auto"/>
                    <w:left w:val="none" w:sz="0" w:space="0" w:color="auto"/>
                    <w:bottom w:val="none" w:sz="0" w:space="0" w:color="auto"/>
                    <w:right w:val="none" w:sz="0" w:space="0" w:color="auto"/>
                  </w:divBdr>
                </w:div>
              </w:divsChild>
            </w:div>
            <w:div w:id="1856193885">
              <w:marLeft w:val="0"/>
              <w:marRight w:val="0"/>
              <w:marTop w:val="0"/>
              <w:marBottom w:val="0"/>
              <w:divBdr>
                <w:top w:val="none" w:sz="0" w:space="0" w:color="auto"/>
                <w:left w:val="none" w:sz="0" w:space="0" w:color="auto"/>
                <w:bottom w:val="none" w:sz="0" w:space="0" w:color="auto"/>
                <w:right w:val="none" w:sz="0" w:space="0" w:color="auto"/>
              </w:divBdr>
              <w:divsChild>
                <w:div w:id="1892762822">
                  <w:marLeft w:val="0"/>
                  <w:marRight w:val="0"/>
                  <w:marTop w:val="0"/>
                  <w:marBottom w:val="0"/>
                  <w:divBdr>
                    <w:top w:val="none" w:sz="0" w:space="0" w:color="auto"/>
                    <w:left w:val="none" w:sz="0" w:space="0" w:color="auto"/>
                    <w:bottom w:val="none" w:sz="0" w:space="0" w:color="auto"/>
                    <w:right w:val="none" w:sz="0" w:space="0" w:color="auto"/>
                  </w:divBdr>
                </w:div>
              </w:divsChild>
            </w:div>
            <w:div w:id="1874072080">
              <w:marLeft w:val="0"/>
              <w:marRight w:val="0"/>
              <w:marTop w:val="0"/>
              <w:marBottom w:val="0"/>
              <w:divBdr>
                <w:top w:val="none" w:sz="0" w:space="0" w:color="auto"/>
                <w:left w:val="none" w:sz="0" w:space="0" w:color="auto"/>
                <w:bottom w:val="none" w:sz="0" w:space="0" w:color="auto"/>
                <w:right w:val="none" w:sz="0" w:space="0" w:color="auto"/>
              </w:divBdr>
              <w:divsChild>
                <w:div w:id="2058578160">
                  <w:marLeft w:val="0"/>
                  <w:marRight w:val="0"/>
                  <w:marTop w:val="0"/>
                  <w:marBottom w:val="0"/>
                  <w:divBdr>
                    <w:top w:val="none" w:sz="0" w:space="0" w:color="auto"/>
                    <w:left w:val="none" w:sz="0" w:space="0" w:color="auto"/>
                    <w:bottom w:val="none" w:sz="0" w:space="0" w:color="auto"/>
                    <w:right w:val="none" w:sz="0" w:space="0" w:color="auto"/>
                  </w:divBdr>
                </w:div>
              </w:divsChild>
            </w:div>
            <w:div w:id="1874148529">
              <w:marLeft w:val="0"/>
              <w:marRight w:val="0"/>
              <w:marTop w:val="0"/>
              <w:marBottom w:val="0"/>
              <w:divBdr>
                <w:top w:val="none" w:sz="0" w:space="0" w:color="auto"/>
                <w:left w:val="none" w:sz="0" w:space="0" w:color="auto"/>
                <w:bottom w:val="none" w:sz="0" w:space="0" w:color="auto"/>
                <w:right w:val="none" w:sz="0" w:space="0" w:color="auto"/>
              </w:divBdr>
              <w:divsChild>
                <w:div w:id="1775712573">
                  <w:marLeft w:val="0"/>
                  <w:marRight w:val="0"/>
                  <w:marTop w:val="0"/>
                  <w:marBottom w:val="0"/>
                  <w:divBdr>
                    <w:top w:val="none" w:sz="0" w:space="0" w:color="auto"/>
                    <w:left w:val="none" w:sz="0" w:space="0" w:color="auto"/>
                    <w:bottom w:val="none" w:sz="0" w:space="0" w:color="auto"/>
                    <w:right w:val="none" w:sz="0" w:space="0" w:color="auto"/>
                  </w:divBdr>
                </w:div>
              </w:divsChild>
            </w:div>
            <w:div w:id="1897206702">
              <w:marLeft w:val="0"/>
              <w:marRight w:val="0"/>
              <w:marTop w:val="0"/>
              <w:marBottom w:val="0"/>
              <w:divBdr>
                <w:top w:val="none" w:sz="0" w:space="0" w:color="auto"/>
                <w:left w:val="none" w:sz="0" w:space="0" w:color="auto"/>
                <w:bottom w:val="none" w:sz="0" w:space="0" w:color="auto"/>
                <w:right w:val="none" w:sz="0" w:space="0" w:color="auto"/>
              </w:divBdr>
              <w:divsChild>
                <w:div w:id="238637258">
                  <w:marLeft w:val="0"/>
                  <w:marRight w:val="0"/>
                  <w:marTop w:val="0"/>
                  <w:marBottom w:val="0"/>
                  <w:divBdr>
                    <w:top w:val="none" w:sz="0" w:space="0" w:color="auto"/>
                    <w:left w:val="none" w:sz="0" w:space="0" w:color="auto"/>
                    <w:bottom w:val="none" w:sz="0" w:space="0" w:color="auto"/>
                    <w:right w:val="none" w:sz="0" w:space="0" w:color="auto"/>
                  </w:divBdr>
                </w:div>
              </w:divsChild>
            </w:div>
            <w:div w:id="1919704677">
              <w:marLeft w:val="0"/>
              <w:marRight w:val="0"/>
              <w:marTop w:val="0"/>
              <w:marBottom w:val="0"/>
              <w:divBdr>
                <w:top w:val="none" w:sz="0" w:space="0" w:color="auto"/>
                <w:left w:val="none" w:sz="0" w:space="0" w:color="auto"/>
                <w:bottom w:val="none" w:sz="0" w:space="0" w:color="auto"/>
                <w:right w:val="none" w:sz="0" w:space="0" w:color="auto"/>
              </w:divBdr>
              <w:divsChild>
                <w:div w:id="466359257">
                  <w:marLeft w:val="0"/>
                  <w:marRight w:val="0"/>
                  <w:marTop w:val="0"/>
                  <w:marBottom w:val="0"/>
                  <w:divBdr>
                    <w:top w:val="none" w:sz="0" w:space="0" w:color="auto"/>
                    <w:left w:val="none" w:sz="0" w:space="0" w:color="auto"/>
                    <w:bottom w:val="none" w:sz="0" w:space="0" w:color="auto"/>
                    <w:right w:val="none" w:sz="0" w:space="0" w:color="auto"/>
                  </w:divBdr>
                </w:div>
              </w:divsChild>
            </w:div>
            <w:div w:id="1921409230">
              <w:marLeft w:val="0"/>
              <w:marRight w:val="0"/>
              <w:marTop w:val="0"/>
              <w:marBottom w:val="0"/>
              <w:divBdr>
                <w:top w:val="none" w:sz="0" w:space="0" w:color="auto"/>
                <w:left w:val="none" w:sz="0" w:space="0" w:color="auto"/>
                <w:bottom w:val="none" w:sz="0" w:space="0" w:color="auto"/>
                <w:right w:val="none" w:sz="0" w:space="0" w:color="auto"/>
              </w:divBdr>
              <w:divsChild>
                <w:div w:id="1818918754">
                  <w:marLeft w:val="0"/>
                  <w:marRight w:val="0"/>
                  <w:marTop w:val="0"/>
                  <w:marBottom w:val="0"/>
                  <w:divBdr>
                    <w:top w:val="none" w:sz="0" w:space="0" w:color="auto"/>
                    <w:left w:val="none" w:sz="0" w:space="0" w:color="auto"/>
                    <w:bottom w:val="none" w:sz="0" w:space="0" w:color="auto"/>
                    <w:right w:val="none" w:sz="0" w:space="0" w:color="auto"/>
                  </w:divBdr>
                </w:div>
              </w:divsChild>
            </w:div>
            <w:div w:id="1938177395">
              <w:marLeft w:val="0"/>
              <w:marRight w:val="0"/>
              <w:marTop w:val="0"/>
              <w:marBottom w:val="0"/>
              <w:divBdr>
                <w:top w:val="none" w:sz="0" w:space="0" w:color="auto"/>
                <w:left w:val="none" w:sz="0" w:space="0" w:color="auto"/>
                <w:bottom w:val="none" w:sz="0" w:space="0" w:color="auto"/>
                <w:right w:val="none" w:sz="0" w:space="0" w:color="auto"/>
              </w:divBdr>
              <w:divsChild>
                <w:div w:id="9063182">
                  <w:marLeft w:val="0"/>
                  <w:marRight w:val="0"/>
                  <w:marTop w:val="0"/>
                  <w:marBottom w:val="0"/>
                  <w:divBdr>
                    <w:top w:val="none" w:sz="0" w:space="0" w:color="auto"/>
                    <w:left w:val="none" w:sz="0" w:space="0" w:color="auto"/>
                    <w:bottom w:val="none" w:sz="0" w:space="0" w:color="auto"/>
                    <w:right w:val="none" w:sz="0" w:space="0" w:color="auto"/>
                  </w:divBdr>
                </w:div>
              </w:divsChild>
            </w:div>
            <w:div w:id="1938323046">
              <w:marLeft w:val="0"/>
              <w:marRight w:val="0"/>
              <w:marTop w:val="0"/>
              <w:marBottom w:val="0"/>
              <w:divBdr>
                <w:top w:val="none" w:sz="0" w:space="0" w:color="auto"/>
                <w:left w:val="none" w:sz="0" w:space="0" w:color="auto"/>
                <w:bottom w:val="none" w:sz="0" w:space="0" w:color="auto"/>
                <w:right w:val="none" w:sz="0" w:space="0" w:color="auto"/>
              </w:divBdr>
              <w:divsChild>
                <w:div w:id="292754666">
                  <w:marLeft w:val="0"/>
                  <w:marRight w:val="0"/>
                  <w:marTop w:val="0"/>
                  <w:marBottom w:val="0"/>
                  <w:divBdr>
                    <w:top w:val="none" w:sz="0" w:space="0" w:color="auto"/>
                    <w:left w:val="none" w:sz="0" w:space="0" w:color="auto"/>
                    <w:bottom w:val="none" w:sz="0" w:space="0" w:color="auto"/>
                    <w:right w:val="none" w:sz="0" w:space="0" w:color="auto"/>
                  </w:divBdr>
                </w:div>
              </w:divsChild>
            </w:div>
            <w:div w:id="1949314664">
              <w:marLeft w:val="0"/>
              <w:marRight w:val="0"/>
              <w:marTop w:val="0"/>
              <w:marBottom w:val="0"/>
              <w:divBdr>
                <w:top w:val="none" w:sz="0" w:space="0" w:color="auto"/>
                <w:left w:val="none" w:sz="0" w:space="0" w:color="auto"/>
                <w:bottom w:val="none" w:sz="0" w:space="0" w:color="auto"/>
                <w:right w:val="none" w:sz="0" w:space="0" w:color="auto"/>
              </w:divBdr>
              <w:divsChild>
                <w:div w:id="1942952017">
                  <w:marLeft w:val="0"/>
                  <w:marRight w:val="0"/>
                  <w:marTop w:val="0"/>
                  <w:marBottom w:val="0"/>
                  <w:divBdr>
                    <w:top w:val="none" w:sz="0" w:space="0" w:color="auto"/>
                    <w:left w:val="none" w:sz="0" w:space="0" w:color="auto"/>
                    <w:bottom w:val="none" w:sz="0" w:space="0" w:color="auto"/>
                    <w:right w:val="none" w:sz="0" w:space="0" w:color="auto"/>
                  </w:divBdr>
                </w:div>
              </w:divsChild>
            </w:div>
            <w:div w:id="1950427296">
              <w:marLeft w:val="0"/>
              <w:marRight w:val="0"/>
              <w:marTop w:val="0"/>
              <w:marBottom w:val="0"/>
              <w:divBdr>
                <w:top w:val="none" w:sz="0" w:space="0" w:color="auto"/>
                <w:left w:val="none" w:sz="0" w:space="0" w:color="auto"/>
                <w:bottom w:val="none" w:sz="0" w:space="0" w:color="auto"/>
                <w:right w:val="none" w:sz="0" w:space="0" w:color="auto"/>
              </w:divBdr>
              <w:divsChild>
                <w:div w:id="1818717908">
                  <w:marLeft w:val="0"/>
                  <w:marRight w:val="0"/>
                  <w:marTop w:val="0"/>
                  <w:marBottom w:val="0"/>
                  <w:divBdr>
                    <w:top w:val="none" w:sz="0" w:space="0" w:color="auto"/>
                    <w:left w:val="none" w:sz="0" w:space="0" w:color="auto"/>
                    <w:bottom w:val="none" w:sz="0" w:space="0" w:color="auto"/>
                    <w:right w:val="none" w:sz="0" w:space="0" w:color="auto"/>
                  </w:divBdr>
                </w:div>
              </w:divsChild>
            </w:div>
            <w:div w:id="1986885045">
              <w:marLeft w:val="0"/>
              <w:marRight w:val="0"/>
              <w:marTop w:val="0"/>
              <w:marBottom w:val="0"/>
              <w:divBdr>
                <w:top w:val="none" w:sz="0" w:space="0" w:color="auto"/>
                <w:left w:val="none" w:sz="0" w:space="0" w:color="auto"/>
                <w:bottom w:val="none" w:sz="0" w:space="0" w:color="auto"/>
                <w:right w:val="none" w:sz="0" w:space="0" w:color="auto"/>
              </w:divBdr>
              <w:divsChild>
                <w:div w:id="76363055">
                  <w:marLeft w:val="0"/>
                  <w:marRight w:val="0"/>
                  <w:marTop w:val="0"/>
                  <w:marBottom w:val="0"/>
                  <w:divBdr>
                    <w:top w:val="none" w:sz="0" w:space="0" w:color="auto"/>
                    <w:left w:val="none" w:sz="0" w:space="0" w:color="auto"/>
                    <w:bottom w:val="none" w:sz="0" w:space="0" w:color="auto"/>
                    <w:right w:val="none" w:sz="0" w:space="0" w:color="auto"/>
                  </w:divBdr>
                </w:div>
              </w:divsChild>
            </w:div>
            <w:div w:id="2051877190">
              <w:marLeft w:val="0"/>
              <w:marRight w:val="0"/>
              <w:marTop w:val="0"/>
              <w:marBottom w:val="0"/>
              <w:divBdr>
                <w:top w:val="none" w:sz="0" w:space="0" w:color="auto"/>
                <w:left w:val="none" w:sz="0" w:space="0" w:color="auto"/>
                <w:bottom w:val="none" w:sz="0" w:space="0" w:color="auto"/>
                <w:right w:val="none" w:sz="0" w:space="0" w:color="auto"/>
              </w:divBdr>
              <w:divsChild>
                <w:div w:id="222908645">
                  <w:marLeft w:val="0"/>
                  <w:marRight w:val="0"/>
                  <w:marTop w:val="0"/>
                  <w:marBottom w:val="0"/>
                  <w:divBdr>
                    <w:top w:val="none" w:sz="0" w:space="0" w:color="auto"/>
                    <w:left w:val="none" w:sz="0" w:space="0" w:color="auto"/>
                    <w:bottom w:val="none" w:sz="0" w:space="0" w:color="auto"/>
                    <w:right w:val="none" w:sz="0" w:space="0" w:color="auto"/>
                  </w:divBdr>
                </w:div>
              </w:divsChild>
            </w:div>
            <w:div w:id="2057505673">
              <w:marLeft w:val="0"/>
              <w:marRight w:val="0"/>
              <w:marTop w:val="0"/>
              <w:marBottom w:val="0"/>
              <w:divBdr>
                <w:top w:val="none" w:sz="0" w:space="0" w:color="auto"/>
                <w:left w:val="none" w:sz="0" w:space="0" w:color="auto"/>
                <w:bottom w:val="none" w:sz="0" w:space="0" w:color="auto"/>
                <w:right w:val="none" w:sz="0" w:space="0" w:color="auto"/>
              </w:divBdr>
              <w:divsChild>
                <w:div w:id="136067329">
                  <w:marLeft w:val="0"/>
                  <w:marRight w:val="0"/>
                  <w:marTop w:val="0"/>
                  <w:marBottom w:val="0"/>
                  <w:divBdr>
                    <w:top w:val="none" w:sz="0" w:space="0" w:color="auto"/>
                    <w:left w:val="none" w:sz="0" w:space="0" w:color="auto"/>
                    <w:bottom w:val="none" w:sz="0" w:space="0" w:color="auto"/>
                    <w:right w:val="none" w:sz="0" w:space="0" w:color="auto"/>
                  </w:divBdr>
                </w:div>
              </w:divsChild>
            </w:div>
            <w:div w:id="2062169357">
              <w:marLeft w:val="0"/>
              <w:marRight w:val="0"/>
              <w:marTop w:val="0"/>
              <w:marBottom w:val="0"/>
              <w:divBdr>
                <w:top w:val="none" w:sz="0" w:space="0" w:color="auto"/>
                <w:left w:val="none" w:sz="0" w:space="0" w:color="auto"/>
                <w:bottom w:val="none" w:sz="0" w:space="0" w:color="auto"/>
                <w:right w:val="none" w:sz="0" w:space="0" w:color="auto"/>
              </w:divBdr>
              <w:divsChild>
                <w:div w:id="124392633">
                  <w:marLeft w:val="0"/>
                  <w:marRight w:val="0"/>
                  <w:marTop w:val="0"/>
                  <w:marBottom w:val="0"/>
                  <w:divBdr>
                    <w:top w:val="none" w:sz="0" w:space="0" w:color="auto"/>
                    <w:left w:val="none" w:sz="0" w:space="0" w:color="auto"/>
                    <w:bottom w:val="none" w:sz="0" w:space="0" w:color="auto"/>
                    <w:right w:val="none" w:sz="0" w:space="0" w:color="auto"/>
                  </w:divBdr>
                </w:div>
              </w:divsChild>
            </w:div>
            <w:div w:id="2068990645">
              <w:marLeft w:val="0"/>
              <w:marRight w:val="0"/>
              <w:marTop w:val="0"/>
              <w:marBottom w:val="0"/>
              <w:divBdr>
                <w:top w:val="none" w:sz="0" w:space="0" w:color="auto"/>
                <w:left w:val="none" w:sz="0" w:space="0" w:color="auto"/>
                <w:bottom w:val="none" w:sz="0" w:space="0" w:color="auto"/>
                <w:right w:val="none" w:sz="0" w:space="0" w:color="auto"/>
              </w:divBdr>
              <w:divsChild>
                <w:div w:id="1019431010">
                  <w:marLeft w:val="0"/>
                  <w:marRight w:val="0"/>
                  <w:marTop w:val="0"/>
                  <w:marBottom w:val="0"/>
                  <w:divBdr>
                    <w:top w:val="none" w:sz="0" w:space="0" w:color="auto"/>
                    <w:left w:val="none" w:sz="0" w:space="0" w:color="auto"/>
                    <w:bottom w:val="none" w:sz="0" w:space="0" w:color="auto"/>
                    <w:right w:val="none" w:sz="0" w:space="0" w:color="auto"/>
                  </w:divBdr>
                </w:div>
              </w:divsChild>
            </w:div>
            <w:div w:id="2084792934">
              <w:marLeft w:val="0"/>
              <w:marRight w:val="0"/>
              <w:marTop w:val="0"/>
              <w:marBottom w:val="0"/>
              <w:divBdr>
                <w:top w:val="none" w:sz="0" w:space="0" w:color="auto"/>
                <w:left w:val="none" w:sz="0" w:space="0" w:color="auto"/>
                <w:bottom w:val="none" w:sz="0" w:space="0" w:color="auto"/>
                <w:right w:val="none" w:sz="0" w:space="0" w:color="auto"/>
              </w:divBdr>
              <w:divsChild>
                <w:div w:id="2052606020">
                  <w:marLeft w:val="0"/>
                  <w:marRight w:val="0"/>
                  <w:marTop w:val="0"/>
                  <w:marBottom w:val="0"/>
                  <w:divBdr>
                    <w:top w:val="none" w:sz="0" w:space="0" w:color="auto"/>
                    <w:left w:val="none" w:sz="0" w:space="0" w:color="auto"/>
                    <w:bottom w:val="none" w:sz="0" w:space="0" w:color="auto"/>
                    <w:right w:val="none" w:sz="0" w:space="0" w:color="auto"/>
                  </w:divBdr>
                </w:div>
              </w:divsChild>
            </w:div>
            <w:div w:id="2085638496">
              <w:marLeft w:val="0"/>
              <w:marRight w:val="0"/>
              <w:marTop w:val="0"/>
              <w:marBottom w:val="0"/>
              <w:divBdr>
                <w:top w:val="none" w:sz="0" w:space="0" w:color="auto"/>
                <w:left w:val="none" w:sz="0" w:space="0" w:color="auto"/>
                <w:bottom w:val="none" w:sz="0" w:space="0" w:color="auto"/>
                <w:right w:val="none" w:sz="0" w:space="0" w:color="auto"/>
              </w:divBdr>
              <w:divsChild>
                <w:div w:id="1529875527">
                  <w:marLeft w:val="0"/>
                  <w:marRight w:val="0"/>
                  <w:marTop w:val="0"/>
                  <w:marBottom w:val="0"/>
                  <w:divBdr>
                    <w:top w:val="none" w:sz="0" w:space="0" w:color="auto"/>
                    <w:left w:val="none" w:sz="0" w:space="0" w:color="auto"/>
                    <w:bottom w:val="none" w:sz="0" w:space="0" w:color="auto"/>
                    <w:right w:val="none" w:sz="0" w:space="0" w:color="auto"/>
                  </w:divBdr>
                </w:div>
              </w:divsChild>
            </w:div>
            <w:div w:id="2098093105">
              <w:marLeft w:val="0"/>
              <w:marRight w:val="0"/>
              <w:marTop w:val="0"/>
              <w:marBottom w:val="0"/>
              <w:divBdr>
                <w:top w:val="none" w:sz="0" w:space="0" w:color="auto"/>
                <w:left w:val="none" w:sz="0" w:space="0" w:color="auto"/>
                <w:bottom w:val="none" w:sz="0" w:space="0" w:color="auto"/>
                <w:right w:val="none" w:sz="0" w:space="0" w:color="auto"/>
              </w:divBdr>
              <w:divsChild>
                <w:div w:id="1974483532">
                  <w:marLeft w:val="0"/>
                  <w:marRight w:val="0"/>
                  <w:marTop w:val="0"/>
                  <w:marBottom w:val="0"/>
                  <w:divBdr>
                    <w:top w:val="none" w:sz="0" w:space="0" w:color="auto"/>
                    <w:left w:val="none" w:sz="0" w:space="0" w:color="auto"/>
                    <w:bottom w:val="none" w:sz="0" w:space="0" w:color="auto"/>
                    <w:right w:val="none" w:sz="0" w:space="0" w:color="auto"/>
                  </w:divBdr>
                </w:div>
              </w:divsChild>
            </w:div>
            <w:div w:id="2107731701">
              <w:marLeft w:val="0"/>
              <w:marRight w:val="0"/>
              <w:marTop w:val="0"/>
              <w:marBottom w:val="0"/>
              <w:divBdr>
                <w:top w:val="none" w:sz="0" w:space="0" w:color="auto"/>
                <w:left w:val="none" w:sz="0" w:space="0" w:color="auto"/>
                <w:bottom w:val="none" w:sz="0" w:space="0" w:color="auto"/>
                <w:right w:val="none" w:sz="0" w:space="0" w:color="auto"/>
              </w:divBdr>
              <w:divsChild>
                <w:div w:id="1178036348">
                  <w:marLeft w:val="0"/>
                  <w:marRight w:val="0"/>
                  <w:marTop w:val="0"/>
                  <w:marBottom w:val="0"/>
                  <w:divBdr>
                    <w:top w:val="none" w:sz="0" w:space="0" w:color="auto"/>
                    <w:left w:val="none" w:sz="0" w:space="0" w:color="auto"/>
                    <w:bottom w:val="none" w:sz="0" w:space="0" w:color="auto"/>
                    <w:right w:val="none" w:sz="0" w:space="0" w:color="auto"/>
                  </w:divBdr>
                </w:div>
              </w:divsChild>
            </w:div>
            <w:div w:id="2123644531">
              <w:marLeft w:val="0"/>
              <w:marRight w:val="0"/>
              <w:marTop w:val="0"/>
              <w:marBottom w:val="0"/>
              <w:divBdr>
                <w:top w:val="none" w:sz="0" w:space="0" w:color="auto"/>
                <w:left w:val="none" w:sz="0" w:space="0" w:color="auto"/>
                <w:bottom w:val="none" w:sz="0" w:space="0" w:color="auto"/>
                <w:right w:val="none" w:sz="0" w:space="0" w:color="auto"/>
              </w:divBdr>
              <w:divsChild>
                <w:div w:id="848177592">
                  <w:marLeft w:val="0"/>
                  <w:marRight w:val="0"/>
                  <w:marTop w:val="0"/>
                  <w:marBottom w:val="0"/>
                  <w:divBdr>
                    <w:top w:val="none" w:sz="0" w:space="0" w:color="auto"/>
                    <w:left w:val="none" w:sz="0" w:space="0" w:color="auto"/>
                    <w:bottom w:val="none" w:sz="0" w:space="0" w:color="auto"/>
                    <w:right w:val="none" w:sz="0" w:space="0" w:color="auto"/>
                  </w:divBdr>
                </w:div>
              </w:divsChild>
            </w:div>
            <w:div w:id="2147163948">
              <w:marLeft w:val="0"/>
              <w:marRight w:val="0"/>
              <w:marTop w:val="0"/>
              <w:marBottom w:val="0"/>
              <w:divBdr>
                <w:top w:val="none" w:sz="0" w:space="0" w:color="auto"/>
                <w:left w:val="none" w:sz="0" w:space="0" w:color="auto"/>
                <w:bottom w:val="none" w:sz="0" w:space="0" w:color="auto"/>
                <w:right w:val="none" w:sz="0" w:space="0" w:color="auto"/>
              </w:divBdr>
              <w:divsChild>
                <w:div w:id="8214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565">
          <w:marLeft w:val="0"/>
          <w:marRight w:val="0"/>
          <w:marTop w:val="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53742777">
          <w:marLeft w:val="0"/>
          <w:marRight w:val="0"/>
          <w:marTop w:val="0"/>
          <w:marBottom w:val="0"/>
          <w:divBdr>
            <w:top w:val="none" w:sz="0" w:space="0" w:color="auto"/>
            <w:left w:val="none" w:sz="0" w:space="0" w:color="auto"/>
            <w:bottom w:val="none" w:sz="0" w:space="0" w:color="auto"/>
            <w:right w:val="none" w:sz="0" w:space="0" w:color="auto"/>
          </w:divBdr>
        </w:div>
        <w:div w:id="87821647">
          <w:marLeft w:val="-75"/>
          <w:marRight w:val="0"/>
          <w:marTop w:val="30"/>
          <w:marBottom w:val="30"/>
          <w:divBdr>
            <w:top w:val="none" w:sz="0" w:space="0" w:color="auto"/>
            <w:left w:val="none" w:sz="0" w:space="0" w:color="auto"/>
            <w:bottom w:val="none" w:sz="0" w:space="0" w:color="auto"/>
            <w:right w:val="none" w:sz="0" w:space="0" w:color="auto"/>
          </w:divBdr>
          <w:divsChild>
            <w:div w:id="295180639">
              <w:marLeft w:val="0"/>
              <w:marRight w:val="0"/>
              <w:marTop w:val="0"/>
              <w:marBottom w:val="0"/>
              <w:divBdr>
                <w:top w:val="none" w:sz="0" w:space="0" w:color="auto"/>
                <w:left w:val="none" w:sz="0" w:space="0" w:color="auto"/>
                <w:bottom w:val="none" w:sz="0" w:space="0" w:color="auto"/>
                <w:right w:val="none" w:sz="0" w:space="0" w:color="auto"/>
              </w:divBdr>
              <w:divsChild>
                <w:div w:id="243076511">
                  <w:marLeft w:val="0"/>
                  <w:marRight w:val="0"/>
                  <w:marTop w:val="0"/>
                  <w:marBottom w:val="0"/>
                  <w:divBdr>
                    <w:top w:val="none" w:sz="0" w:space="0" w:color="auto"/>
                    <w:left w:val="none" w:sz="0" w:space="0" w:color="auto"/>
                    <w:bottom w:val="none" w:sz="0" w:space="0" w:color="auto"/>
                    <w:right w:val="none" w:sz="0" w:space="0" w:color="auto"/>
                  </w:divBdr>
                </w:div>
              </w:divsChild>
            </w:div>
            <w:div w:id="379331289">
              <w:marLeft w:val="0"/>
              <w:marRight w:val="0"/>
              <w:marTop w:val="0"/>
              <w:marBottom w:val="0"/>
              <w:divBdr>
                <w:top w:val="none" w:sz="0" w:space="0" w:color="auto"/>
                <w:left w:val="none" w:sz="0" w:space="0" w:color="auto"/>
                <w:bottom w:val="none" w:sz="0" w:space="0" w:color="auto"/>
                <w:right w:val="none" w:sz="0" w:space="0" w:color="auto"/>
              </w:divBdr>
              <w:divsChild>
                <w:div w:id="1988783936">
                  <w:marLeft w:val="0"/>
                  <w:marRight w:val="0"/>
                  <w:marTop w:val="0"/>
                  <w:marBottom w:val="0"/>
                  <w:divBdr>
                    <w:top w:val="none" w:sz="0" w:space="0" w:color="auto"/>
                    <w:left w:val="none" w:sz="0" w:space="0" w:color="auto"/>
                    <w:bottom w:val="none" w:sz="0" w:space="0" w:color="auto"/>
                    <w:right w:val="none" w:sz="0" w:space="0" w:color="auto"/>
                  </w:divBdr>
                </w:div>
              </w:divsChild>
            </w:div>
            <w:div w:id="489372154">
              <w:marLeft w:val="0"/>
              <w:marRight w:val="0"/>
              <w:marTop w:val="0"/>
              <w:marBottom w:val="0"/>
              <w:divBdr>
                <w:top w:val="none" w:sz="0" w:space="0" w:color="auto"/>
                <w:left w:val="none" w:sz="0" w:space="0" w:color="auto"/>
                <w:bottom w:val="none" w:sz="0" w:space="0" w:color="auto"/>
                <w:right w:val="none" w:sz="0" w:space="0" w:color="auto"/>
              </w:divBdr>
              <w:divsChild>
                <w:div w:id="341863592">
                  <w:marLeft w:val="0"/>
                  <w:marRight w:val="0"/>
                  <w:marTop w:val="0"/>
                  <w:marBottom w:val="0"/>
                  <w:divBdr>
                    <w:top w:val="none" w:sz="0" w:space="0" w:color="auto"/>
                    <w:left w:val="none" w:sz="0" w:space="0" w:color="auto"/>
                    <w:bottom w:val="none" w:sz="0" w:space="0" w:color="auto"/>
                    <w:right w:val="none" w:sz="0" w:space="0" w:color="auto"/>
                  </w:divBdr>
                </w:div>
              </w:divsChild>
            </w:div>
            <w:div w:id="717822608">
              <w:marLeft w:val="0"/>
              <w:marRight w:val="0"/>
              <w:marTop w:val="0"/>
              <w:marBottom w:val="0"/>
              <w:divBdr>
                <w:top w:val="none" w:sz="0" w:space="0" w:color="auto"/>
                <w:left w:val="none" w:sz="0" w:space="0" w:color="auto"/>
                <w:bottom w:val="none" w:sz="0" w:space="0" w:color="auto"/>
                <w:right w:val="none" w:sz="0" w:space="0" w:color="auto"/>
              </w:divBdr>
              <w:divsChild>
                <w:div w:id="1415712260">
                  <w:marLeft w:val="0"/>
                  <w:marRight w:val="0"/>
                  <w:marTop w:val="0"/>
                  <w:marBottom w:val="0"/>
                  <w:divBdr>
                    <w:top w:val="none" w:sz="0" w:space="0" w:color="auto"/>
                    <w:left w:val="none" w:sz="0" w:space="0" w:color="auto"/>
                    <w:bottom w:val="none" w:sz="0" w:space="0" w:color="auto"/>
                    <w:right w:val="none" w:sz="0" w:space="0" w:color="auto"/>
                  </w:divBdr>
                </w:div>
              </w:divsChild>
            </w:div>
            <w:div w:id="751582491">
              <w:marLeft w:val="0"/>
              <w:marRight w:val="0"/>
              <w:marTop w:val="0"/>
              <w:marBottom w:val="0"/>
              <w:divBdr>
                <w:top w:val="none" w:sz="0" w:space="0" w:color="auto"/>
                <w:left w:val="none" w:sz="0" w:space="0" w:color="auto"/>
                <w:bottom w:val="none" w:sz="0" w:space="0" w:color="auto"/>
                <w:right w:val="none" w:sz="0" w:space="0" w:color="auto"/>
              </w:divBdr>
              <w:divsChild>
                <w:div w:id="1966110102">
                  <w:marLeft w:val="0"/>
                  <w:marRight w:val="0"/>
                  <w:marTop w:val="0"/>
                  <w:marBottom w:val="0"/>
                  <w:divBdr>
                    <w:top w:val="none" w:sz="0" w:space="0" w:color="auto"/>
                    <w:left w:val="none" w:sz="0" w:space="0" w:color="auto"/>
                    <w:bottom w:val="none" w:sz="0" w:space="0" w:color="auto"/>
                    <w:right w:val="none" w:sz="0" w:space="0" w:color="auto"/>
                  </w:divBdr>
                </w:div>
              </w:divsChild>
            </w:div>
            <w:div w:id="1179465213">
              <w:marLeft w:val="0"/>
              <w:marRight w:val="0"/>
              <w:marTop w:val="0"/>
              <w:marBottom w:val="0"/>
              <w:divBdr>
                <w:top w:val="none" w:sz="0" w:space="0" w:color="auto"/>
                <w:left w:val="none" w:sz="0" w:space="0" w:color="auto"/>
                <w:bottom w:val="none" w:sz="0" w:space="0" w:color="auto"/>
                <w:right w:val="none" w:sz="0" w:space="0" w:color="auto"/>
              </w:divBdr>
              <w:divsChild>
                <w:div w:id="148179300">
                  <w:marLeft w:val="0"/>
                  <w:marRight w:val="0"/>
                  <w:marTop w:val="0"/>
                  <w:marBottom w:val="0"/>
                  <w:divBdr>
                    <w:top w:val="none" w:sz="0" w:space="0" w:color="auto"/>
                    <w:left w:val="none" w:sz="0" w:space="0" w:color="auto"/>
                    <w:bottom w:val="none" w:sz="0" w:space="0" w:color="auto"/>
                    <w:right w:val="none" w:sz="0" w:space="0" w:color="auto"/>
                  </w:divBdr>
                </w:div>
              </w:divsChild>
            </w:div>
            <w:div w:id="1184049458">
              <w:marLeft w:val="0"/>
              <w:marRight w:val="0"/>
              <w:marTop w:val="0"/>
              <w:marBottom w:val="0"/>
              <w:divBdr>
                <w:top w:val="none" w:sz="0" w:space="0" w:color="auto"/>
                <w:left w:val="none" w:sz="0" w:space="0" w:color="auto"/>
                <w:bottom w:val="none" w:sz="0" w:space="0" w:color="auto"/>
                <w:right w:val="none" w:sz="0" w:space="0" w:color="auto"/>
              </w:divBdr>
              <w:divsChild>
                <w:div w:id="284897956">
                  <w:marLeft w:val="0"/>
                  <w:marRight w:val="0"/>
                  <w:marTop w:val="0"/>
                  <w:marBottom w:val="0"/>
                  <w:divBdr>
                    <w:top w:val="none" w:sz="0" w:space="0" w:color="auto"/>
                    <w:left w:val="none" w:sz="0" w:space="0" w:color="auto"/>
                    <w:bottom w:val="none" w:sz="0" w:space="0" w:color="auto"/>
                    <w:right w:val="none" w:sz="0" w:space="0" w:color="auto"/>
                  </w:divBdr>
                </w:div>
              </w:divsChild>
            </w:div>
            <w:div w:id="1240479154">
              <w:marLeft w:val="0"/>
              <w:marRight w:val="0"/>
              <w:marTop w:val="0"/>
              <w:marBottom w:val="0"/>
              <w:divBdr>
                <w:top w:val="none" w:sz="0" w:space="0" w:color="auto"/>
                <w:left w:val="none" w:sz="0" w:space="0" w:color="auto"/>
                <w:bottom w:val="none" w:sz="0" w:space="0" w:color="auto"/>
                <w:right w:val="none" w:sz="0" w:space="0" w:color="auto"/>
              </w:divBdr>
              <w:divsChild>
                <w:div w:id="1320381009">
                  <w:marLeft w:val="0"/>
                  <w:marRight w:val="0"/>
                  <w:marTop w:val="0"/>
                  <w:marBottom w:val="0"/>
                  <w:divBdr>
                    <w:top w:val="none" w:sz="0" w:space="0" w:color="auto"/>
                    <w:left w:val="none" w:sz="0" w:space="0" w:color="auto"/>
                    <w:bottom w:val="none" w:sz="0" w:space="0" w:color="auto"/>
                    <w:right w:val="none" w:sz="0" w:space="0" w:color="auto"/>
                  </w:divBdr>
                </w:div>
              </w:divsChild>
            </w:div>
            <w:div w:id="1311521713">
              <w:marLeft w:val="0"/>
              <w:marRight w:val="0"/>
              <w:marTop w:val="0"/>
              <w:marBottom w:val="0"/>
              <w:divBdr>
                <w:top w:val="none" w:sz="0" w:space="0" w:color="auto"/>
                <w:left w:val="none" w:sz="0" w:space="0" w:color="auto"/>
                <w:bottom w:val="none" w:sz="0" w:space="0" w:color="auto"/>
                <w:right w:val="none" w:sz="0" w:space="0" w:color="auto"/>
              </w:divBdr>
              <w:divsChild>
                <w:div w:id="477648597">
                  <w:marLeft w:val="0"/>
                  <w:marRight w:val="0"/>
                  <w:marTop w:val="0"/>
                  <w:marBottom w:val="0"/>
                  <w:divBdr>
                    <w:top w:val="none" w:sz="0" w:space="0" w:color="auto"/>
                    <w:left w:val="none" w:sz="0" w:space="0" w:color="auto"/>
                    <w:bottom w:val="none" w:sz="0" w:space="0" w:color="auto"/>
                    <w:right w:val="none" w:sz="0" w:space="0" w:color="auto"/>
                  </w:divBdr>
                </w:div>
              </w:divsChild>
            </w:div>
            <w:div w:id="1506937109">
              <w:marLeft w:val="0"/>
              <w:marRight w:val="0"/>
              <w:marTop w:val="0"/>
              <w:marBottom w:val="0"/>
              <w:divBdr>
                <w:top w:val="none" w:sz="0" w:space="0" w:color="auto"/>
                <w:left w:val="none" w:sz="0" w:space="0" w:color="auto"/>
                <w:bottom w:val="none" w:sz="0" w:space="0" w:color="auto"/>
                <w:right w:val="none" w:sz="0" w:space="0" w:color="auto"/>
              </w:divBdr>
              <w:divsChild>
                <w:div w:id="392001730">
                  <w:marLeft w:val="0"/>
                  <w:marRight w:val="0"/>
                  <w:marTop w:val="0"/>
                  <w:marBottom w:val="0"/>
                  <w:divBdr>
                    <w:top w:val="none" w:sz="0" w:space="0" w:color="auto"/>
                    <w:left w:val="none" w:sz="0" w:space="0" w:color="auto"/>
                    <w:bottom w:val="none" w:sz="0" w:space="0" w:color="auto"/>
                    <w:right w:val="none" w:sz="0" w:space="0" w:color="auto"/>
                  </w:divBdr>
                </w:div>
              </w:divsChild>
            </w:div>
            <w:div w:id="1528525095">
              <w:marLeft w:val="0"/>
              <w:marRight w:val="0"/>
              <w:marTop w:val="0"/>
              <w:marBottom w:val="0"/>
              <w:divBdr>
                <w:top w:val="none" w:sz="0" w:space="0" w:color="auto"/>
                <w:left w:val="none" w:sz="0" w:space="0" w:color="auto"/>
                <w:bottom w:val="none" w:sz="0" w:space="0" w:color="auto"/>
                <w:right w:val="none" w:sz="0" w:space="0" w:color="auto"/>
              </w:divBdr>
              <w:divsChild>
                <w:div w:id="1116830738">
                  <w:marLeft w:val="0"/>
                  <w:marRight w:val="0"/>
                  <w:marTop w:val="0"/>
                  <w:marBottom w:val="0"/>
                  <w:divBdr>
                    <w:top w:val="none" w:sz="0" w:space="0" w:color="auto"/>
                    <w:left w:val="none" w:sz="0" w:space="0" w:color="auto"/>
                    <w:bottom w:val="none" w:sz="0" w:space="0" w:color="auto"/>
                    <w:right w:val="none" w:sz="0" w:space="0" w:color="auto"/>
                  </w:divBdr>
                </w:div>
              </w:divsChild>
            </w:div>
            <w:div w:id="1559243326">
              <w:marLeft w:val="0"/>
              <w:marRight w:val="0"/>
              <w:marTop w:val="0"/>
              <w:marBottom w:val="0"/>
              <w:divBdr>
                <w:top w:val="none" w:sz="0" w:space="0" w:color="auto"/>
                <w:left w:val="none" w:sz="0" w:space="0" w:color="auto"/>
                <w:bottom w:val="none" w:sz="0" w:space="0" w:color="auto"/>
                <w:right w:val="none" w:sz="0" w:space="0" w:color="auto"/>
              </w:divBdr>
              <w:divsChild>
                <w:div w:id="251134989">
                  <w:marLeft w:val="0"/>
                  <w:marRight w:val="0"/>
                  <w:marTop w:val="0"/>
                  <w:marBottom w:val="0"/>
                  <w:divBdr>
                    <w:top w:val="none" w:sz="0" w:space="0" w:color="auto"/>
                    <w:left w:val="none" w:sz="0" w:space="0" w:color="auto"/>
                    <w:bottom w:val="none" w:sz="0" w:space="0" w:color="auto"/>
                    <w:right w:val="none" w:sz="0" w:space="0" w:color="auto"/>
                  </w:divBdr>
                </w:div>
              </w:divsChild>
            </w:div>
            <w:div w:id="1629815242">
              <w:marLeft w:val="0"/>
              <w:marRight w:val="0"/>
              <w:marTop w:val="0"/>
              <w:marBottom w:val="0"/>
              <w:divBdr>
                <w:top w:val="none" w:sz="0" w:space="0" w:color="auto"/>
                <w:left w:val="none" w:sz="0" w:space="0" w:color="auto"/>
                <w:bottom w:val="none" w:sz="0" w:space="0" w:color="auto"/>
                <w:right w:val="none" w:sz="0" w:space="0" w:color="auto"/>
              </w:divBdr>
              <w:divsChild>
                <w:div w:id="926187108">
                  <w:marLeft w:val="0"/>
                  <w:marRight w:val="0"/>
                  <w:marTop w:val="0"/>
                  <w:marBottom w:val="0"/>
                  <w:divBdr>
                    <w:top w:val="none" w:sz="0" w:space="0" w:color="auto"/>
                    <w:left w:val="none" w:sz="0" w:space="0" w:color="auto"/>
                    <w:bottom w:val="none" w:sz="0" w:space="0" w:color="auto"/>
                    <w:right w:val="none" w:sz="0" w:space="0" w:color="auto"/>
                  </w:divBdr>
                </w:div>
              </w:divsChild>
            </w:div>
            <w:div w:id="1640573928">
              <w:marLeft w:val="0"/>
              <w:marRight w:val="0"/>
              <w:marTop w:val="0"/>
              <w:marBottom w:val="0"/>
              <w:divBdr>
                <w:top w:val="none" w:sz="0" w:space="0" w:color="auto"/>
                <w:left w:val="none" w:sz="0" w:space="0" w:color="auto"/>
                <w:bottom w:val="none" w:sz="0" w:space="0" w:color="auto"/>
                <w:right w:val="none" w:sz="0" w:space="0" w:color="auto"/>
              </w:divBdr>
              <w:divsChild>
                <w:div w:id="1981690436">
                  <w:marLeft w:val="0"/>
                  <w:marRight w:val="0"/>
                  <w:marTop w:val="0"/>
                  <w:marBottom w:val="0"/>
                  <w:divBdr>
                    <w:top w:val="none" w:sz="0" w:space="0" w:color="auto"/>
                    <w:left w:val="none" w:sz="0" w:space="0" w:color="auto"/>
                    <w:bottom w:val="none" w:sz="0" w:space="0" w:color="auto"/>
                    <w:right w:val="none" w:sz="0" w:space="0" w:color="auto"/>
                  </w:divBdr>
                </w:div>
              </w:divsChild>
            </w:div>
            <w:div w:id="1722821971">
              <w:marLeft w:val="0"/>
              <w:marRight w:val="0"/>
              <w:marTop w:val="0"/>
              <w:marBottom w:val="0"/>
              <w:divBdr>
                <w:top w:val="none" w:sz="0" w:space="0" w:color="auto"/>
                <w:left w:val="none" w:sz="0" w:space="0" w:color="auto"/>
                <w:bottom w:val="none" w:sz="0" w:space="0" w:color="auto"/>
                <w:right w:val="none" w:sz="0" w:space="0" w:color="auto"/>
              </w:divBdr>
              <w:divsChild>
                <w:div w:id="302856999">
                  <w:marLeft w:val="0"/>
                  <w:marRight w:val="0"/>
                  <w:marTop w:val="0"/>
                  <w:marBottom w:val="0"/>
                  <w:divBdr>
                    <w:top w:val="none" w:sz="0" w:space="0" w:color="auto"/>
                    <w:left w:val="none" w:sz="0" w:space="0" w:color="auto"/>
                    <w:bottom w:val="none" w:sz="0" w:space="0" w:color="auto"/>
                    <w:right w:val="none" w:sz="0" w:space="0" w:color="auto"/>
                  </w:divBdr>
                </w:div>
              </w:divsChild>
            </w:div>
            <w:div w:id="1895384636">
              <w:marLeft w:val="0"/>
              <w:marRight w:val="0"/>
              <w:marTop w:val="0"/>
              <w:marBottom w:val="0"/>
              <w:divBdr>
                <w:top w:val="none" w:sz="0" w:space="0" w:color="auto"/>
                <w:left w:val="none" w:sz="0" w:space="0" w:color="auto"/>
                <w:bottom w:val="none" w:sz="0" w:space="0" w:color="auto"/>
                <w:right w:val="none" w:sz="0" w:space="0" w:color="auto"/>
              </w:divBdr>
              <w:divsChild>
                <w:div w:id="59567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7169">
          <w:marLeft w:val="0"/>
          <w:marRight w:val="0"/>
          <w:marTop w:val="0"/>
          <w:marBottom w:val="0"/>
          <w:divBdr>
            <w:top w:val="none" w:sz="0" w:space="0" w:color="auto"/>
            <w:left w:val="none" w:sz="0" w:space="0" w:color="auto"/>
            <w:bottom w:val="none" w:sz="0" w:space="0" w:color="auto"/>
            <w:right w:val="none" w:sz="0" w:space="0" w:color="auto"/>
          </w:divBdr>
        </w:div>
        <w:div w:id="137114573">
          <w:marLeft w:val="0"/>
          <w:marRight w:val="0"/>
          <w:marTop w:val="0"/>
          <w:marBottom w:val="0"/>
          <w:divBdr>
            <w:top w:val="none" w:sz="0" w:space="0" w:color="auto"/>
            <w:left w:val="none" w:sz="0" w:space="0" w:color="auto"/>
            <w:bottom w:val="none" w:sz="0" w:space="0" w:color="auto"/>
            <w:right w:val="none" w:sz="0" w:space="0" w:color="auto"/>
          </w:divBdr>
        </w:div>
        <w:div w:id="166865985">
          <w:marLeft w:val="-75"/>
          <w:marRight w:val="0"/>
          <w:marTop w:val="30"/>
          <w:marBottom w:val="30"/>
          <w:divBdr>
            <w:top w:val="none" w:sz="0" w:space="0" w:color="auto"/>
            <w:left w:val="none" w:sz="0" w:space="0" w:color="auto"/>
            <w:bottom w:val="none" w:sz="0" w:space="0" w:color="auto"/>
            <w:right w:val="none" w:sz="0" w:space="0" w:color="auto"/>
          </w:divBdr>
          <w:divsChild>
            <w:div w:id="38555149">
              <w:marLeft w:val="0"/>
              <w:marRight w:val="0"/>
              <w:marTop w:val="0"/>
              <w:marBottom w:val="0"/>
              <w:divBdr>
                <w:top w:val="none" w:sz="0" w:space="0" w:color="auto"/>
                <w:left w:val="none" w:sz="0" w:space="0" w:color="auto"/>
                <w:bottom w:val="none" w:sz="0" w:space="0" w:color="auto"/>
                <w:right w:val="none" w:sz="0" w:space="0" w:color="auto"/>
              </w:divBdr>
              <w:divsChild>
                <w:div w:id="464083744">
                  <w:marLeft w:val="0"/>
                  <w:marRight w:val="0"/>
                  <w:marTop w:val="0"/>
                  <w:marBottom w:val="0"/>
                  <w:divBdr>
                    <w:top w:val="none" w:sz="0" w:space="0" w:color="auto"/>
                    <w:left w:val="none" w:sz="0" w:space="0" w:color="auto"/>
                    <w:bottom w:val="none" w:sz="0" w:space="0" w:color="auto"/>
                    <w:right w:val="none" w:sz="0" w:space="0" w:color="auto"/>
                  </w:divBdr>
                </w:div>
              </w:divsChild>
            </w:div>
            <w:div w:id="49233982">
              <w:marLeft w:val="0"/>
              <w:marRight w:val="0"/>
              <w:marTop w:val="0"/>
              <w:marBottom w:val="0"/>
              <w:divBdr>
                <w:top w:val="none" w:sz="0" w:space="0" w:color="auto"/>
                <w:left w:val="none" w:sz="0" w:space="0" w:color="auto"/>
                <w:bottom w:val="none" w:sz="0" w:space="0" w:color="auto"/>
                <w:right w:val="none" w:sz="0" w:space="0" w:color="auto"/>
              </w:divBdr>
              <w:divsChild>
                <w:div w:id="43528679">
                  <w:marLeft w:val="0"/>
                  <w:marRight w:val="0"/>
                  <w:marTop w:val="0"/>
                  <w:marBottom w:val="0"/>
                  <w:divBdr>
                    <w:top w:val="none" w:sz="0" w:space="0" w:color="auto"/>
                    <w:left w:val="none" w:sz="0" w:space="0" w:color="auto"/>
                    <w:bottom w:val="none" w:sz="0" w:space="0" w:color="auto"/>
                    <w:right w:val="none" w:sz="0" w:space="0" w:color="auto"/>
                  </w:divBdr>
                </w:div>
              </w:divsChild>
            </w:div>
            <w:div w:id="99376495">
              <w:marLeft w:val="0"/>
              <w:marRight w:val="0"/>
              <w:marTop w:val="0"/>
              <w:marBottom w:val="0"/>
              <w:divBdr>
                <w:top w:val="none" w:sz="0" w:space="0" w:color="auto"/>
                <w:left w:val="none" w:sz="0" w:space="0" w:color="auto"/>
                <w:bottom w:val="none" w:sz="0" w:space="0" w:color="auto"/>
                <w:right w:val="none" w:sz="0" w:space="0" w:color="auto"/>
              </w:divBdr>
              <w:divsChild>
                <w:div w:id="412704671">
                  <w:marLeft w:val="0"/>
                  <w:marRight w:val="0"/>
                  <w:marTop w:val="0"/>
                  <w:marBottom w:val="0"/>
                  <w:divBdr>
                    <w:top w:val="none" w:sz="0" w:space="0" w:color="auto"/>
                    <w:left w:val="none" w:sz="0" w:space="0" w:color="auto"/>
                    <w:bottom w:val="none" w:sz="0" w:space="0" w:color="auto"/>
                    <w:right w:val="none" w:sz="0" w:space="0" w:color="auto"/>
                  </w:divBdr>
                </w:div>
              </w:divsChild>
            </w:div>
            <w:div w:id="242302414">
              <w:marLeft w:val="0"/>
              <w:marRight w:val="0"/>
              <w:marTop w:val="0"/>
              <w:marBottom w:val="0"/>
              <w:divBdr>
                <w:top w:val="none" w:sz="0" w:space="0" w:color="auto"/>
                <w:left w:val="none" w:sz="0" w:space="0" w:color="auto"/>
                <w:bottom w:val="none" w:sz="0" w:space="0" w:color="auto"/>
                <w:right w:val="none" w:sz="0" w:space="0" w:color="auto"/>
              </w:divBdr>
              <w:divsChild>
                <w:div w:id="1228304802">
                  <w:marLeft w:val="0"/>
                  <w:marRight w:val="0"/>
                  <w:marTop w:val="0"/>
                  <w:marBottom w:val="0"/>
                  <w:divBdr>
                    <w:top w:val="none" w:sz="0" w:space="0" w:color="auto"/>
                    <w:left w:val="none" w:sz="0" w:space="0" w:color="auto"/>
                    <w:bottom w:val="none" w:sz="0" w:space="0" w:color="auto"/>
                    <w:right w:val="none" w:sz="0" w:space="0" w:color="auto"/>
                  </w:divBdr>
                </w:div>
              </w:divsChild>
            </w:div>
            <w:div w:id="478424271">
              <w:marLeft w:val="0"/>
              <w:marRight w:val="0"/>
              <w:marTop w:val="0"/>
              <w:marBottom w:val="0"/>
              <w:divBdr>
                <w:top w:val="none" w:sz="0" w:space="0" w:color="auto"/>
                <w:left w:val="none" w:sz="0" w:space="0" w:color="auto"/>
                <w:bottom w:val="none" w:sz="0" w:space="0" w:color="auto"/>
                <w:right w:val="none" w:sz="0" w:space="0" w:color="auto"/>
              </w:divBdr>
              <w:divsChild>
                <w:div w:id="2132821661">
                  <w:marLeft w:val="0"/>
                  <w:marRight w:val="0"/>
                  <w:marTop w:val="0"/>
                  <w:marBottom w:val="0"/>
                  <w:divBdr>
                    <w:top w:val="none" w:sz="0" w:space="0" w:color="auto"/>
                    <w:left w:val="none" w:sz="0" w:space="0" w:color="auto"/>
                    <w:bottom w:val="none" w:sz="0" w:space="0" w:color="auto"/>
                    <w:right w:val="none" w:sz="0" w:space="0" w:color="auto"/>
                  </w:divBdr>
                </w:div>
              </w:divsChild>
            </w:div>
            <w:div w:id="544829456">
              <w:marLeft w:val="0"/>
              <w:marRight w:val="0"/>
              <w:marTop w:val="0"/>
              <w:marBottom w:val="0"/>
              <w:divBdr>
                <w:top w:val="none" w:sz="0" w:space="0" w:color="auto"/>
                <w:left w:val="none" w:sz="0" w:space="0" w:color="auto"/>
                <w:bottom w:val="none" w:sz="0" w:space="0" w:color="auto"/>
                <w:right w:val="none" w:sz="0" w:space="0" w:color="auto"/>
              </w:divBdr>
              <w:divsChild>
                <w:div w:id="999507150">
                  <w:marLeft w:val="0"/>
                  <w:marRight w:val="0"/>
                  <w:marTop w:val="0"/>
                  <w:marBottom w:val="0"/>
                  <w:divBdr>
                    <w:top w:val="none" w:sz="0" w:space="0" w:color="auto"/>
                    <w:left w:val="none" w:sz="0" w:space="0" w:color="auto"/>
                    <w:bottom w:val="none" w:sz="0" w:space="0" w:color="auto"/>
                    <w:right w:val="none" w:sz="0" w:space="0" w:color="auto"/>
                  </w:divBdr>
                </w:div>
              </w:divsChild>
            </w:div>
            <w:div w:id="563178352">
              <w:marLeft w:val="0"/>
              <w:marRight w:val="0"/>
              <w:marTop w:val="0"/>
              <w:marBottom w:val="0"/>
              <w:divBdr>
                <w:top w:val="none" w:sz="0" w:space="0" w:color="auto"/>
                <w:left w:val="none" w:sz="0" w:space="0" w:color="auto"/>
                <w:bottom w:val="none" w:sz="0" w:space="0" w:color="auto"/>
                <w:right w:val="none" w:sz="0" w:space="0" w:color="auto"/>
              </w:divBdr>
              <w:divsChild>
                <w:div w:id="804468550">
                  <w:marLeft w:val="0"/>
                  <w:marRight w:val="0"/>
                  <w:marTop w:val="0"/>
                  <w:marBottom w:val="0"/>
                  <w:divBdr>
                    <w:top w:val="none" w:sz="0" w:space="0" w:color="auto"/>
                    <w:left w:val="none" w:sz="0" w:space="0" w:color="auto"/>
                    <w:bottom w:val="none" w:sz="0" w:space="0" w:color="auto"/>
                    <w:right w:val="none" w:sz="0" w:space="0" w:color="auto"/>
                  </w:divBdr>
                </w:div>
              </w:divsChild>
            </w:div>
            <w:div w:id="631980705">
              <w:marLeft w:val="0"/>
              <w:marRight w:val="0"/>
              <w:marTop w:val="0"/>
              <w:marBottom w:val="0"/>
              <w:divBdr>
                <w:top w:val="none" w:sz="0" w:space="0" w:color="auto"/>
                <w:left w:val="none" w:sz="0" w:space="0" w:color="auto"/>
                <w:bottom w:val="none" w:sz="0" w:space="0" w:color="auto"/>
                <w:right w:val="none" w:sz="0" w:space="0" w:color="auto"/>
              </w:divBdr>
              <w:divsChild>
                <w:div w:id="1887638567">
                  <w:marLeft w:val="0"/>
                  <w:marRight w:val="0"/>
                  <w:marTop w:val="0"/>
                  <w:marBottom w:val="0"/>
                  <w:divBdr>
                    <w:top w:val="none" w:sz="0" w:space="0" w:color="auto"/>
                    <w:left w:val="none" w:sz="0" w:space="0" w:color="auto"/>
                    <w:bottom w:val="none" w:sz="0" w:space="0" w:color="auto"/>
                    <w:right w:val="none" w:sz="0" w:space="0" w:color="auto"/>
                  </w:divBdr>
                </w:div>
              </w:divsChild>
            </w:div>
            <w:div w:id="804277628">
              <w:marLeft w:val="0"/>
              <w:marRight w:val="0"/>
              <w:marTop w:val="0"/>
              <w:marBottom w:val="0"/>
              <w:divBdr>
                <w:top w:val="none" w:sz="0" w:space="0" w:color="auto"/>
                <w:left w:val="none" w:sz="0" w:space="0" w:color="auto"/>
                <w:bottom w:val="none" w:sz="0" w:space="0" w:color="auto"/>
                <w:right w:val="none" w:sz="0" w:space="0" w:color="auto"/>
              </w:divBdr>
              <w:divsChild>
                <w:div w:id="1269237548">
                  <w:marLeft w:val="0"/>
                  <w:marRight w:val="0"/>
                  <w:marTop w:val="0"/>
                  <w:marBottom w:val="0"/>
                  <w:divBdr>
                    <w:top w:val="none" w:sz="0" w:space="0" w:color="auto"/>
                    <w:left w:val="none" w:sz="0" w:space="0" w:color="auto"/>
                    <w:bottom w:val="none" w:sz="0" w:space="0" w:color="auto"/>
                    <w:right w:val="none" w:sz="0" w:space="0" w:color="auto"/>
                  </w:divBdr>
                </w:div>
              </w:divsChild>
            </w:div>
            <w:div w:id="895357967">
              <w:marLeft w:val="0"/>
              <w:marRight w:val="0"/>
              <w:marTop w:val="0"/>
              <w:marBottom w:val="0"/>
              <w:divBdr>
                <w:top w:val="none" w:sz="0" w:space="0" w:color="auto"/>
                <w:left w:val="none" w:sz="0" w:space="0" w:color="auto"/>
                <w:bottom w:val="none" w:sz="0" w:space="0" w:color="auto"/>
                <w:right w:val="none" w:sz="0" w:space="0" w:color="auto"/>
              </w:divBdr>
              <w:divsChild>
                <w:div w:id="462963518">
                  <w:marLeft w:val="0"/>
                  <w:marRight w:val="0"/>
                  <w:marTop w:val="0"/>
                  <w:marBottom w:val="0"/>
                  <w:divBdr>
                    <w:top w:val="none" w:sz="0" w:space="0" w:color="auto"/>
                    <w:left w:val="none" w:sz="0" w:space="0" w:color="auto"/>
                    <w:bottom w:val="none" w:sz="0" w:space="0" w:color="auto"/>
                    <w:right w:val="none" w:sz="0" w:space="0" w:color="auto"/>
                  </w:divBdr>
                </w:div>
              </w:divsChild>
            </w:div>
            <w:div w:id="922957750">
              <w:marLeft w:val="0"/>
              <w:marRight w:val="0"/>
              <w:marTop w:val="0"/>
              <w:marBottom w:val="0"/>
              <w:divBdr>
                <w:top w:val="none" w:sz="0" w:space="0" w:color="auto"/>
                <w:left w:val="none" w:sz="0" w:space="0" w:color="auto"/>
                <w:bottom w:val="none" w:sz="0" w:space="0" w:color="auto"/>
                <w:right w:val="none" w:sz="0" w:space="0" w:color="auto"/>
              </w:divBdr>
              <w:divsChild>
                <w:div w:id="717973930">
                  <w:marLeft w:val="0"/>
                  <w:marRight w:val="0"/>
                  <w:marTop w:val="0"/>
                  <w:marBottom w:val="0"/>
                  <w:divBdr>
                    <w:top w:val="none" w:sz="0" w:space="0" w:color="auto"/>
                    <w:left w:val="none" w:sz="0" w:space="0" w:color="auto"/>
                    <w:bottom w:val="none" w:sz="0" w:space="0" w:color="auto"/>
                    <w:right w:val="none" w:sz="0" w:space="0" w:color="auto"/>
                  </w:divBdr>
                </w:div>
              </w:divsChild>
            </w:div>
            <w:div w:id="982345708">
              <w:marLeft w:val="0"/>
              <w:marRight w:val="0"/>
              <w:marTop w:val="0"/>
              <w:marBottom w:val="0"/>
              <w:divBdr>
                <w:top w:val="none" w:sz="0" w:space="0" w:color="auto"/>
                <w:left w:val="none" w:sz="0" w:space="0" w:color="auto"/>
                <w:bottom w:val="none" w:sz="0" w:space="0" w:color="auto"/>
                <w:right w:val="none" w:sz="0" w:space="0" w:color="auto"/>
              </w:divBdr>
              <w:divsChild>
                <w:div w:id="1501503145">
                  <w:marLeft w:val="0"/>
                  <w:marRight w:val="0"/>
                  <w:marTop w:val="0"/>
                  <w:marBottom w:val="0"/>
                  <w:divBdr>
                    <w:top w:val="none" w:sz="0" w:space="0" w:color="auto"/>
                    <w:left w:val="none" w:sz="0" w:space="0" w:color="auto"/>
                    <w:bottom w:val="none" w:sz="0" w:space="0" w:color="auto"/>
                    <w:right w:val="none" w:sz="0" w:space="0" w:color="auto"/>
                  </w:divBdr>
                </w:div>
              </w:divsChild>
            </w:div>
            <w:div w:id="1376084809">
              <w:marLeft w:val="0"/>
              <w:marRight w:val="0"/>
              <w:marTop w:val="0"/>
              <w:marBottom w:val="0"/>
              <w:divBdr>
                <w:top w:val="none" w:sz="0" w:space="0" w:color="auto"/>
                <w:left w:val="none" w:sz="0" w:space="0" w:color="auto"/>
                <w:bottom w:val="none" w:sz="0" w:space="0" w:color="auto"/>
                <w:right w:val="none" w:sz="0" w:space="0" w:color="auto"/>
              </w:divBdr>
              <w:divsChild>
                <w:div w:id="142239056">
                  <w:marLeft w:val="0"/>
                  <w:marRight w:val="0"/>
                  <w:marTop w:val="0"/>
                  <w:marBottom w:val="0"/>
                  <w:divBdr>
                    <w:top w:val="none" w:sz="0" w:space="0" w:color="auto"/>
                    <w:left w:val="none" w:sz="0" w:space="0" w:color="auto"/>
                    <w:bottom w:val="none" w:sz="0" w:space="0" w:color="auto"/>
                    <w:right w:val="none" w:sz="0" w:space="0" w:color="auto"/>
                  </w:divBdr>
                </w:div>
              </w:divsChild>
            </w:div>
            <w:div w:id="1379821497">
              <w:marLeft w:val="0"/>
              <w:marRight w:val="0"/>
              <w:marTop w:val="0"/>
              <w:marBottom w:val="0"/>
              <w:divBdr>
                <w:top w:val="none" w:sz="0" w:space="0" w:color="auto"/>
                <w:left w:val="none" w:sz="0" w:space="0" w:color="auto"/>
                <w:bottom w:val="none" w:sz="0" w:space="0" w:color="auto"/>
                <w:right w:val="none" w:sz="0" w:space="0" w:color="auto"/>
              </w:divBdr>
              <w:divsChild>
                <w:div w:id="1517499378">
                  <w:marLeft w:val="0"/>
                  <w:marRight w:val="0"/>
                  <w:marTop w:val="0"/>
                  <w:marBottom w:val="0"/>
                  <w:divBdr>
                    <w:top w:val="none" w:sz="0" w:space="0" w:color="auto"/>
                    <w:left w:val="none" w:sz="0" w:space="0" w:color="auto"/>
                    <w:bottom w:val="none" w:sz="0" w:space="0" w:color="auto"/>
                    <w:right w:val="none" w:sz="0" w:space="0" w:color="auto"/>
                  </w:divBdr>
                </w:div>
              </w:divsChild>
            </w:div>
            <w:div w:id="1473674148">
              <w:marLeft w:val="0"/>
              <w:marRight w:val="0"/>
              <w:marTop w:val="0"/>
              <w:marBottom w:val="0"/>
              <w:divBdr>
                <w:top w:val="none" w:sz="0" w:space="0" w:color="auto"/>
                <w:left w:val="none" w:sz="0" w:space="0" w:color="auto"/>
                <w:bottom w:val="none" w:sz="0" w:space="0" w:color="auto"/>
                <w:right w:val="none" w:sz="0" w:space="0" w:color="auto"/>
              </w:divBdr>
              <w:divsChild>
                <w:div w:id="1551648245">
                  <w:marLeft w:val="0"/>
                  <w:marRight w:val="0"/>
                  <w:marTop w:val="0"/>
                  <w:marBottom w:val="0"/>
                  <w:divBdr>
                    <w:top w:val="none" w:sz="0" w:space="0" w:color="auto"/>
                    <w:left w:val="none" w:sz="0" w:space="0" w:color="auto"/>
                    <w:bottom w:val="none" w:sz="0" w:space="0" w:color="auto"/>
                    <w:right w:val="none" w:sz="0" w:space="0" w:color="auto"/>
                  </w:divBdr>
                </w:div>
              </w:divsChild>
            </w:div>
            <w:div w:id="1520588098">
              <w:marLeft w:val="0"/>
              <w:marRight w:val="0"/>
              <w:marTop w:val="0"/>
              <w:marBottom w:val="0"/>
              <w:divBdr>
                <w:top w:val="none" w:sz="0" w:space="0" w:color="auto"/>
                <w:left w:val="none" w:sz="0" w:space="0" w:color="auto"/>
                <w:bottom w:val="none" w:sz="0" w:space="0" w:color="auto"/>
                <w:right w:val="none" w:sz="0" w:space="0" w:color="auto"/>
              </w:divBdr>
              <w:divsChild>
                <w:div w:id="1030229929">
                  <w:marLeft w:val="0"/>
                  <w:marRight w:val="0"/>
                  <w:marTop w:val="0"/>
                  <w:marBottom w:val="0"/>
                  <w:divBdr>
                    <w:top w:val="none" w:sz="0" w:space="0" w:color="auto"/>
                    <w:left w:val="none" w:sz="0" w:space="0" w:color="auto"/>
                    <w:bottom w:val="none" w:sz="0" w:space="0" w:color="auto"/>
                    <w:right w:val="none" w:sz="0" w:space="0" w:color="auto"/>
                  </w:divBdr>
                </w:div>
              </w:divsChild>
            </w:div>
            <w:div w:id="1558008122">
              <w:marLeft w:val="0"/>
              <w:marRight w:val="0"/>
              <w:marTop w:val="0"/>
              <w:marBottom w:val="0"/>
              <w:divBdr>
                <w:top w:val="none" w:sz="0" w:space="0" w:color="auto"/>
                <w:left w:val="none" w:sz="0" w:space="0" w:color="auto"/>
                <w:bottom w:val="none" w:sz="0" w:space="0" w:color="auto"/>
                <w:right w:val="none" w:sz="0" w:space="0" w:color="auto"/>
              </w:divBdr>
              <w:divsChild>
                <w:div w:id="897862156">
                  <w:marLeft w:val="0"/>
                  <w:marRight w:val="0"/>
                  <w:marTop w:val="0"/>
                  <w:marBottom w:val="0"/>
                  <w:divBdr>
                    <w:top w:val="none" w:sz="0" w:space="0" w:color="auto"/>
                    <w:left w:val="none" w:sz="0" w:space="0" w:color="auto"/>
                    <w:bottom w:val="none" w:sz="0" w:space="0" w:color="auto"/>
                    <w:right w:val="none" w:sz="0" w:space="0" w:color="auto"/>
                  </w:divBdr>
                </w:div>
              </w:divsChild>
            </w:div>
            <w:div w:id="1749306468">
              <w:marLeft w:val="0"/>
              <w:marRight w:val="0"/>
              <w:marTop w:val="0"/>
              <w:marBottom w:val="0"/>
              <w:divBdr>
                <w:top w:val="none" w:sz="0" w:space="0" w:color="auto"/>
                <w:left w:val="none" w:sz="0" w:space="0" w:color="auto"/>
                <w:bottom w:val="none" w:sz="0" w:space="0" w:color="auto"/>
                <w:right w:val="none" w:sz="0" w:space="0" w:color="auto"/>
              </w:divBdr>
              <w:divsChild>
                <w:div w:id="1075124552">
                  <w:marLeft w:val="0"/>
                  <w:marRight w:val="0"/>
                  <w:marTop w:val="0"/>
                  <w:marBottom w:val="0"/>
                  <w:divBdr>
                    <w:top w:val="none" w:sz="0" w:space="0" w:color="auto"/>
                    <w:left w:val="none" w:sz="0" w:space="0" w:color="auto"/>
                    <w:bottom w:val="none" w:sz="0" w:space="0" w:color="auto"/>
                    <w:right w:val="none" w:sz="0" w:space="0" w:color="auto"/>
                  </w:divBdr>
                </w:div>
              </w:divsChild>
            </w:div>
            <w:div w:id="1921871451">
              <w:marLeft w:val="0"/>
              <w:marRight w:val="0"/>
              <w:marTop w:val="0"/>
              <w:marBottom w:val="0"/>
              <w:divBdr>
                <w:top w:val="none" w:sz="0" w:space="0" w:color="auto"/>
                <w:left w:val="none" w:sz="0" w:space="0" w:color="auto"/>
                <w:bottom w:val="none" w:sz="0" w:space="0" w:color="auto"/>
                <w:right w:val="none" w:sz="0" w:space="0" w:color="auto"/>
              </w:divBdr>
              <w:divsChild>
                <w:div w:id="756950065">
                  <w:marLeft w:val="0"/>
                  <w:marRight w:val="0"/>
                  <w:marTop w:val="0"/>
                  <w:marBottom w:val="0"/>
                  <w:divBdr>
                    <w:top w:val="none" w:sz="0" w:space="0" w:color="auto"/>
                    <w:left w:val="none" w:sz="0" w:space="0" w:color="auto"/>
                    <w:bottom w:val="none" w:sz="0" w:space="0" w:color="auto"/>
                    <w:right w:val="none" w:sz="0" w:space="0" w:color="auto"/>
                  </w:divBdr>
                </w:div>
              </w:divsChild>
            </w:div>
            <w:div w:id="1935236098">
              <w:marLeft w:val="0"/>
              <w:marRight w:val="0"/>
              <w:marTop w:val="0"/>
              <w:marBottom w:val="0"/>
              <w:divBdr>
                <w:top w:val="none" w:sz="0" w:space="0" w:color="auto"/>
                <w:left w:val="none" w:sz="0" w:space="0" w:color="auto"/>
                <w:bottom w:val="none" w:sz="0" w:space="0" w:color="auto"/>
                <w:right w:val="none" w:sz="0" w:space="0" w:color="auto"/>
              </w:divBdr>
              <w:divsChild>
                <w:div w:id="1487044073">
                  <w:marLeft w:val="0"/>
                  <w:marRight w:val="0"/>
                  <w:marTop w:val="0"/>
                  <w:marBottom w:val="0"/>
                  <w:divBdr>
                    <w:top w:val="none" w:sz="0" w:space="0" w:color="auto"/>
                    <w:left w:val="none" w:sz="0" w:space="0" w:color="auto"/>
                    <w:bottom w:val="none" w:sz="0" w:space="0" w:color="auto"/>
                    <w:right w:val="none" w:sz="0" w:space="0" w:color="auto"/>
                  </w:divBdr>
                </w:div>
              </w:divsChild>
            </w:div>
            <w:div w:id="1998679966">
              <w:marLeft w:val="0"/>
              <w:marRight w:val="0"/>
              <w:marTop w:val="0"/>
              <w:marBottom w:val="0"/>
              <w:divBdr>
                <w:top w:val="none" w:sz="0" w:space="0" w:color="auto"/>
                <w:left w:val="none" w:sz="0" w:space="0" w:color="auto"/>
                <w:bottom w:val="none" w:sz="0" w:space="0" w:color="auto"/>
                <w:right w:val="none" w:sz="0" w:space="0" w:color="auto"/>
              </w:divBdr>
              <w:divsChild>
                <w:div w:id="1239947726">
                  <w:marLeft w:val="0"/>
                  <w:marRight w:val="0"/>
                  <w:marTop w:val="0"/>
                  <w:marBottom w:val="0"/>
                  <w:divBdr>
                    <w:top w:val="none" w:sz="0" w:space="0" w:color="auto"/>
                    <w:left w:val="none" w:sz="0" w:space="0" w:color="auto"/>
                    <w:bottom w:val="none" w:sz="0" w:space="0" w:color="auto"/>
                    <w:right w:val="none" w:sz="0" w:space="0" w:color="auto"/>
                  </w:divBdr>
                </w:div>
              </w:divsChild>
            </w:div>
            <w:div w:id="2090926705">
              <w:marLeft w:val="0"/>
              <w:marRight w:val="0"/>
              <w:marTop w:val="0"/>
              <w:marBottom w:val="0"/>
              <w:divBdr>
                <w:top w:val="none" w:sz="0" w:space="0" w:color="auto"/>
                <w:left w:val="none" w:sz="0" w:space="0" w:color="auto"/>
                <w:bottom w:val="none" w:sz="0" w:space="0" w:color="auto"/>
                <w:right w:val="none" w:sz="0" w:space="0" w:color="auto"/>
              </w:divBdr>
              <w:divsChild>
                <w:div w:id="9014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4034">
          <w:marLeft w:val="0"/>
          <w:marRight w:val="0"/>
          <w:marTop w:val="0"/>
          <w:marBottom w:val="0"/>
          <w:divBdr>
            <w:top w:val="none" w:sz="0" w:space="0" w:color="auto"/>
            <w:left w:val="none" w:sz="0" w:space="0" w:color="auto"/>
            <w:bottom w:val="none" w:sz="0" w:space="0" w:color="auto"/>
            <w:right w:val="none" w:sz="0" w:space="0" w:color="auto"/>
          </w:divBdr>
        </w:div>
        <w:div w:id="187109696">
          <w:marLeft w:val="0"/>
          <w:marRight w:val="0"/>
          <w:marTop w:val="0"/>
          <w:marBottom w:val="0"/>
          <w:divBdr>
            <w:top w:val="none" w:sz="0" w:space="0" w:color="auto"/>
            <w:left w:val="none" w:sz="0" w:space="0" w:color="auto"/>
            <w:bottom w:val="none" w:sz="0" w:space="0" w:color="auto"/>
            <w:right w:val="none" w:sz="0" w:space="0" w:color="auto"/>
          </w:divBdr>
        </w:div>
        <w:div w:id="234247677">
          <w:marLeft w:val="0"/>
          <w:marRight w:val="0"/>
          <w:marTop w:val="0"/>
          <w:marBottom w:val="0"/>
          <w:divBdr>
            <w:top w:val="none" w:sz="0" w:space="0" w:color="auto"/>
            <w:left w:val="none" w:sz="0" w:space="0" w:color="auto"/>
            <w:bottom w:val="none" w:sz="0" w:space="0" w:color="auto"/>
            <w:right w:val="none" w:sz="0" w:space="0" w:color="auto"/>
          </w:divBdr>
        </w:div>
        <w:div w:id="285701251">
          <w:marLeft w:val="0"/>
          <w:marRight w:val="0"/>
          <w:marTop w:val="0"/>
          <w:marBottom w:val="0"/>
          <w:divBdr>
            <w:top w:val="none" w:sz="0" w:space="0" w:color="auto"/>
            <w:left w:val="none" w:sz="0" w:space="0" w:color="auto"/>
            <w:bottom w:val="none" w:sz="0" w:space="0" w:color="auto"/>
            <w:right w:val="none" w:sz="0" w:space="0" w:color="auto"/>
          </w:divBdr>
        </w:div>
        <w:div w:id="334580439">
          <w:marLeft w:val="0"/>
          <w:marRight w:val="0"/>
          <w:marTop w:val="0"/>
          <w:marBottom w:val="0"/>
          <w:divBdr>
            <w:top w:val="none" w:sz="0" w:space="0" w:color="auto"/>
            <w:left w:val="none" w:sz="0" w:space="0" w:color="auto"/>
            <w:bottom w:val="none" w:sz="0" w:space="0" w:color="auto"/>
            <w:right w:val="none" w:sz="0" w:space="0" w:color="auto"/>
          </w:divBdr>
        </w:div>
        <w:div w:id="342242146">
          <w:marLeft w:val="0"/>
          <w:marRight w:val="0"/>
          <w:marTop w:val="0"/>
          <w:marBottom w:val="0"/>
          <w:divBdr>
            <w:top w:val="none" w:sz="0" w:space="0" w:color="auto"/>
            <w:left w:val="none" w:sz="0" w:space="0" w:color="auto"/>
            <w:bottom w:val="none" w:sz="0" w:space="0" w:color="auto"/>
            <w:right w:val="none" w:sz="0" w:space="0" w:color="auto"/>
          </w:divBdr>
        </w:div>
        <w:div w:id="359867424">
          <w:marLeft w:val="0"/>
          <w:marRight w:val="0"/>
          <w:marTop w:val="0"/>
          <w:marBottom w:val="0"/>
          <w:divBdr>
            <w:top w:val="none" w:sz="0" w:space="0" w:color="auto"/>
            <w:left w:val="none" w:sz="0" w:space="0" w:color="auto"/>
            <w:bottom w:val="none" w:sz="0" w:space="0" w:color="auto"/>
            <w:right w:val="none" w:sz="0" w:space="0" w:color="auto"/>
          </w:divBdr>
        </w:div>
        <w:div w:id="376439392">
          <w:marLeft w:val="0"/>
          <w:marRight w:val="0"/>
          <w:marTop w:val="0"/>
          <w:marBottom w:val="0"/>
          <w:divBdr>
            <w:top w:val="none" w:sz="0" w:space="0" w:color="auto"/>
            <w:left w:val="none" w:sz="0" w:space="0" w:color="auto"/>
            <w:bottom w:val="none" w:sz="0" w:space="0" w:color="auto"/>
            <w:right w:val="none" w:sz="0" w:space="0" w:color="auto"/>
          </w:divBdr>
        </w:div>
        <w:div w:id="441455883">
          <w:marLeft w:val="0"/>
          <w:marRight w:val="0"/>
          <w:marTop w:val="0"/>
          <w:marBottom w:val="0"/>
          <w:divBdr>
            <w:top w:val="none" w:sz="0" w:space="0" w:color="auto"/>
            <w:left w:val="none" w:sz="0" w:space="0" w:color="auto"/>
            <w:bottom w:val="none" w:sz="0" w:space="0" w:color="auto"/>
            <w:right w:val="none" w:sz="0" w:space="0" w:color="auto"/>
          </w:divBdr>
        </w:div>
        <w:div w:id="451946723">
          <w:marLeft w:val="0"/>
          <w:marRight w:val="0"/>
          <w:marTop w:val="0"/>
          <w:marBottom w:val="0"/>
          <w:divBdr>
            <w:top w:val="none" w:sz="0" w:space="0" w:color="auto"/>
            <w:left w:val="none" w:sz="0" w:space="0" w:color="auto"/>
            <w:bottom w:val="none" w:sz="0" w:space="0" w:color="auto"/>
            <w:right w:val="none" w:sz="0" w:space="0" w:color="auto"/>
          </w:divBdr>
        </w:div>
        <w:div w:id="480391165">
          <w:marLeft w:val="0"/>
          <w:marRight w:val="0"/>
          <w:marTop w:val="0"/>
          <w:marBottom w:val="0"/>
          <w:divBdr>
            <w:top w:val="none" w:sz="0" w:space="0" w:color="auto"/>
            <w:left w:val="none" w:sz="0" w:space="0" w:color="auto"/>
            <w:bottom w:val="none" w:sz="0" w:space="0" w:color="auto"/>
            <w:right w:val="none" w:sz="0" w:space="0" w:color="auto"/>
          </w:divBdr>
        </w:div>
        <w:div w:id="535120542">
          <w:marLeft w:val="0"/>
          <w:marRight w:val="0"/>
          <w:marTop w:val="0"/>
          <w:marBottom w:val="0"/>
          <w:divBdr>
            <w:top w:val="none" w:sz="0" w:space="0" w:color="auto"/>
            <w:left w:val="none" w:sz="0" w:space="0" w:color="auto"/>
            <w:bottom w:val="none" w:sz="0" w:space="0" w:color="auto"/>
            <w:right w:val="none" w:sz="0" w:space="0" w:color="auto"/>
          </w:divBdr>
        </w:div>
        <w:div w:id="552162768">
          <w:marLeft w:val="0"/>
          <w:marRight w:val="0"/>
          <w:marTop w:val="0"/>
          <w:marBottom w:val="0"/>
          <w:divBdr>
            <w:top w:val="none" w:sz="0" w:space="0" w:color="auto"/>
            <w:left w:val="none" w:sz="0" w:space="0" w:color="auto"/>
            <w:bottom w:val="none" w:sz="0" w:space="0" w:color="auto"/>
            <w:right w:val="none" w:sz="0" w:space="0" w:color="auto"/>
          </w:divBdr>
        </w:div>
        <w:div w:id="556550353">
          <w:marLeft w:val="0"/>
          <w:marRight w:val="0"/>
          <w:marTop w:val="0"/>
          <w:marBottom w:val="0"/>
          <w:divBdr>
            <w:top w:val="none" w:sz="0" w:space="0" w:color="auto"/>
            <w:left w:val="none" w:sz="0" w:space="0" w:color="auto"/>
            <w:bottom w:val="none" w:sz="0" w:space="0" w:color="auto"/>
            <w:right w:val="none" w:sz="0" w:space="0" w:color="auto"/>
          </w:divBdr>
        </w:div>
        <w:div w:id="591856886">
          <w:marLeft w:val="0"/>
          <w:marRight w:val="0"/>
          <w:marTop w:val="0"/>
          <w:marBottom w:val="0"/>
          <w:divBdr>
            <w:top w:val="none" w:sz="0" w:space="0" w:color="auto"/>
            <w:left w:val="none" w:sz="0" w:space="0" w:color="auto"/>
            <w:bottom w:val="none" w:sz="0" w:space="0" w:color="auto"/>
            <w:right w:val="none" w:sz="0" w:space="0" w:color="auto"/>
          </w:divBdr>
        </w:div>
        <w:div w:id="598949813">
          <w:marLeft w:val="0"/>
          <w:marRight w:val="0"/>
          <w:marTop w:val="0"/>
          <w:marBottom w:val="0"/>
          <w:divBdr>
            <w:top w:val="none" w:sz="0" w:space="0" w:color="auto"/>
            <w:left w:val="none" w:sz="0" w:space="0" w:color="auto"/>
            <w:bottom w:val="none" w:sz="0" w:space="0" w:color="auto"/>
            <w:right w:val="none" w:sz="0" w:space="0" w:color="auto"/>
          </w:divBdr>
        </w:div>
        <w:div w:id="627249222">
          <w:marLeft w:val="0"/>
          <w:marRight w:val="0"/>
          <w:marTop w:val="0"/>
          <w:marBottom w:val="0"/>
          <w:divBdr>
            <w:top w:val="none" w:sz="0" w:space="0" w:color="auto"/>
            <w:left w:val="none" w:sz="0" w:space="0" w:color="auto"/>
            <w:bottom w:val="none" w:sz="0" w:space="0" w:color="auto"/>
            <w:right w:val="none" w:sz="0" w:space="0" w:color="auto"/>
          </w:divBdr>
        </w:div>
        <w:div w:id="649596551">
          <w:marLeft w:val="0"/>
          <w:marRight w:val="0"/>
          <w:marTop w:val="0"/>
          <w:marBottom w:val="0"/>
          <w:divBdr>
            <w:top w:val="none" w:sz="0" w:space="0" w:color="auto"/>
            <w:left w:val="none" w:sz="0" w:space="0" w:color="auto"/>
            <w:bottom w:val="none" w:sz="0" w:space="0" w:color="auto"/>
            <w:right w:val="none" w:sz="0" w:space="0" w:color="auto"/>
          </w:divBdr>
        </w:div>
        <w:div w:id="658773152">
          <w:marLeft w:val="0"/>
          <w:marRight w:val="0"/>
          <w:marTop w:val="0"/>
          <w:marBottom w:val="0"/>
          <w:divBdr>
            <w:top w:val="none" w:sz="0" w:space="0" w:color="auto"/>
            <w:left w:val="none" w:sz="0" w:space="0" w:color="auto"/>
            <w:bottom w:val="none" w:sz="0" w:space="0" w:color="auto"/>
            <w:right w:val="none" w:sz="0" w:space="0" w:color="auto"/>
          </w:divBdr>
        </w:div>
        <w:div w:id="697437353">
          <w:marLeft w:val="0"/>
          <w:marRight w:val="0"/>
          <w:marTop w:val="0"/>
          <w:marBottom w:val="0"/>
          <w:divBdr>
            <w:top w:val="none" w:sz="0" w:space="0" w:color="auto"/>
            <w:left w:val="none" w:sz="0" w:space="0" w:color="auto"/>
            <w:bottom w:val="none" w:sz="0" w:space="0" w:color="auto"/>
            <w:right w:val="none" w:sz="0" w:space="0" w:color="auto"/>
          </w:divBdr>
        </w:div>
        <w:div w:id="736708826">
          <w:marLeft w:val="0"/>
          <w:marRight w:val="0"/>
          <w:marTop w:val="0"/>
          <w:marBottom w:val="0"/>
          <w:divBdr>
            <w:top w:val="none" w:sz="0" w:space="0" w:color="auto"/>
            <w:left w:val="none" w:sz="0" w:space="0" w:color="auto"/>
            <w:bottom w:val="none" w:sz="0" w:space="0" w:color="auto"/>
            <w:right w:val="none" w:sz="0" w:space="0" w:color="auto"/>
          </w:divBdr>
        </w:div>
        <w:div w:id="755320403">
          <w:marLeft w:val="0"/>
          <w:marRight w:val="0"/>
          <w:marTop w:val="0"/>
          <w:marBottom w:val="0"/>
          <w:divBdr>
            <w:top w:val="none" w:sz="0" w:space="0" w:color="auto"/>
            <w:left w:val="none" w:sz="0" w:space="0" w:color="auto"/>
            <w:bottom w:val="none" w:sz="0" w:space="0" w:color="auto"/>
            <w:right w:val="none" w:sz="0" w:space="0" w:color="auto"/>
          </w:divBdr>
        </w:div>
        <w:div w:id="810750754">
          <w:marLeft w:val="0"/>
          <w:marRight w:val="0"/>
          <w:marTop w:val="0"/>
          <w:marBottom w:val="0"/>
          <w:divBdr>
            <w:top w:val="none" w:sz="0" w:space="0" w:color="auto"/>
            <w:left w:val="none" w:sz="0" w:space="0" w:color="auto"/>
            <w:bottom w:val="none" w:sz="0" w:space="0" w:color="auto"/>
            <w:right w:val="none" w:sz="0" w:space="0" w:color="auto"/>
          </w:divBdr>
        </w:div>
        <w:div w:id="813449058">
          <w:marLeft w:val="0"/>
          <w:marRight w:val="0"/>
          <w:marTop w:val="0"/>
          <w:marBottom w:val="0"/>
          <w:divBdr>
            <w:top w:val="none" w:sz="0" w:space="0" w:color="auto"/>
            <w:left w:val="none" w:sz="0" w:space="0" w:color="auto"/>
            <w:bottom w:val="none" w:sz="0" w:space="0" w:color="auto"/>
            <w:right w:val="none" w:sz="0" w:space="0" w:color="auto"/>
          </w:divBdr>
        </w:div>
        <w:div w:id="819468791">
          <w:marLeft w:val="0"/>
          <w:marRight w:val="0"/>
          <w:marTop w:val="0"/>
          <w:marBottom w:val="0"/>
          <w:divBdr>
            <w:top w:val="none" w:sz="0" w:space="0" w:color="auto"/>
            <w:left w:val="none" w:sz="0" w:space="0" w:color="auto"/>
            <w:bottom w:val="none" w:sz="0" w:space="0" w:color="auto"/>
            <w:right w:val="none" w:sz="0" w:space="0" w:color="auto"/>
          </w:divBdr>
        </w:div>
        <w:div w:id="845048417">
          <w:marLeft w:val="-75"/>
          <w:marRight w:val="0"/>
          <w:marTop w:val="30"/>
          <w:marBottom w:val="30"/>
          <w:divBdr>
            <w:top w:val="none" w:sz="0" w:space="0" w:color="auto"/>
            <w:left w:val="none" w:sz="0" w:space="0" w:color="auto"/>
            <w:bottom w:val="none" w:sz="0" w:space="0" w:color="auto"/>
            <w:right w:val="none" w:sz="0" w:space="0" w:color="auto"/>
          </w:divBdr>
          <w:divsChild>
            <w:div w:id="11880351">
              <w:marLeft w:val="0"/>
              <w:marRight w:val="0"/>
              <w:marTop w:val="0"/>
              <w:marBottom w:val="0"/>
              <w:divBdr>
                <w:top w:val="none" w:sz="0" w:space="0" w:color="auto"/>
                <w:left w:val="none" w:sz="0" w:space="0" w:color="auto"/>
                <w:bottom w:val="none" w:sz="0" w:space="0" w:color="auto"/>
                <w:right w:val="none" w:sz="0" w:space="0" w:color="auto"/>
              </w:divBdr>
              <w:divsChild>
                <w:div w:id="1798181719">
                  <w:marLeft w:val="0"/>
                  <w:marRight w:val="0"/>
                  <w:marTop w:val="0"/>
                  <w:marBottom w:val="0"/>
                  <w:divBdr>
                    <w:top w:val="none" w:sz="0" w:space="0" w:color="auto"/>
                    <w:left w:val="none" w:sz="0" w:space="0" w:color="auto"/>
                    <w:bottom w:val="none" w:sz="0" w:space="0" w:color="auto"/>
                    <w:right w:val="none" w:sz="0" w:space="0" w:color="auto"/>
                  </w:divBdr>
                </w:div>
              </w:divsChild>
            </w:div>
            <w:div w:id="20404373">
              <w:marLeft w:val="0"/>
              <w:marRight w:val="0"/>
              <w:marTop w:val="0"/>
              <w:marBottom w:val="0"/>
              <w:divBdr>
                <w:top w:val="none" w:sz="0" w:space="0" w:color="auto"/>
                <w:left w:val="none" w:sz="0" w:space="0" w:color="auto"/>
                <w:bottom w:val="none" w:sz="0" w:space="0" w:color="auto"/>
                <w:right w:val="none" w:sz="0" w:space="0" w:color="auto"/>
              </w:divBdr>
              <w:divsChild>
                <w:div w:id="2085952290">
                  <w:marLeft w:val="0"/>
                  <w:marRight w:val="0"/>
                  <w:marTop w:val="0"/>
                  <w:marBottom w:val="0"/>
                  <w:divBdr>
                    <w:top w:val="none" w:sz="0" w:space="0" w:color="auto"/>
                    <w:left w:val="none" w:sz="0" w:space="0" w:color="auto"/>
                    <w:bottom w:val="none" w:sz="0" w:space="0" w:color="auto"/>
                    <w:right w:val="none" w:sz="0" w:space="0" w:color="auto"/>
                  </w:divBdr>
                </w:div>
              </w:divsChild>
            </w:div>
            <w:div w:id="23747868">
              <w:marLeft w:val="0"/>
              <w:marRight w:val="0"/>
              <w:marTop w:val="0"/>
              <w:marBottom w:val="0"/>
              <w:divBdr>
                <w:top w:val="none" w:sz="0" w:space="0" w:color="auto"/>
                <w:left w:val="none" w:sz="0" w:space="0" w:color="auto"/>
                <w:bottom w:val="none" w:sz="0" w:space="0" w:color="auto"/>
                <w:right w:val="none" w:sz="0" w:space="0" w:color="auto"/>
              </w:divBdr>
              <w:divsChild>
                <w:div w:id="1285188876">
                  <w:marLeft w:val="0"/>
                  <w:marRight w:val="0"/>
                  <w:marTop w:val="0"/>
                  <w:marBottom w:val="0"/>
                  <w:divBdr>
                    <w:top w:val="none" w:sz="0" w:space="0" w:color="auto"/>
                    <w:left w:val="none" w:sz="0" w:space="0" w:color="auto"/>
                    <w:bottom w:val="none" w:sz="0" w:space="0" w:color="auto"/>
                    <w:right w:val="none" w:sz="0" w:space="0" w:color="auto"/>
                  </w:divBdr>
                </w:div>
              </w:divsChild>
            </w:div>
            <w:div w:id="35668340">
              <w:marLeft w:val="0"/>
              <w:marRight w:val="0"/>
              <w:marTop w:val="0"/>
              <w:marBottom w:val="0"/>
              <w:divBdr>
                <w:top w:val="none" w:sz="0" w:space="0" w:color="auto"/>
                <w:left w:val="none" w:sz="0" w:space="0" w:color="auto"/>
                <w:bottom w:val="none" w:sz="0" w:space="0" w:color="auto"/>
                <w:right w:val="none" w:sz="0" w:space="0" w:color="auto"/>
              </w:divBdr>
              <w:divsChild>
                <w:div w:id="459034493">
                  <w:marLeft w:val="0"/>
                  <w:marRight w:val="0"/>
                  <w:marTop w:val="0"/>
                  <w:marBottom w:val="0"/>
                  <w:divBdr>
                    <w:top w:val="none" w:sz="0" w:space="0" w:color="auto"/>
                    <w:left w:val="none" w:sz="0" w:space="0" w:color="auto"/>
                    <w:bottom w:val="none" w:sz="0" w:space="0" w:color="auto"/>
                    <w:right w:val="none" w:sz="0" w:space="0" w:color="auto"/>
                  </w:divBdr>
                </w:div>
              </w:divsChild>
            </w:div>
            <w:div w:id="61604099">
              <w:marLeft w:val="0"/>
              <w:marRight w:val="0"/>
              <w:marTop w:val="0"/>
              <w:marBottom w:val="0"/>
              <w:divBdr>
                <w:top w:val="none" w:sz="0" w:space="0" w:color="auto"/>
                <w:left w:val="none" w:sz="0" w:space="0" w:color="auto"/>
                <w:bottom w:val="none" w:sz="0" w:space="0" w:color="auto"/>
                <w:right w:val="none" w:sz="0" w:space="0" w:color="auto"/>
              </w:divBdr>
              <w:divsChild>
                <w:div w:id="979502724">
                  <w:marLeft w:val="0"/>
                  <w:marRight w:val="0"/>
                  <w:marTop w:val="0"/>
                  <w:marBottom w:val="0"/>
                  <w:divBdr>
                    <w:top w:val="none" w:sz="0" w:space="0" w:color="auto"/>
                    <w:left w:val="none" w:sz="0" w:space="0" w:color="auto"/>
                    <w:bottom w:val="none" w:sz="0" w:space="0" w:color="auto"/>
                    <w:right w:val="none" w:sz="0" w:space="0" w:color="auto"/>
                  </w:divBdr>
                </w:div>
              </w:divsChild>
            </w:div>
            <w:div w:id="76752314">
              <w:marLeft w:val="0"/>
              <w:marRight w:val="0"/>
              <w:marTop w:val="0"/>
              <w:marBottom w:val="0"/>
              <w:divBdr>
                <w:top w:val="none" w:sz="0" w:space="0" w:color="auto"/>
                <w:left w:val="none" w:sz="0" w:space="0" w:color="auto"/>
                <w:bottom w:val="none" w:sz="0" w:space="0" w:color="auto"/>
                <w:right w:val="none" w:sz="0" w:space="0" w:color="auto"/>
              </w:divBdr>
              <w:divsChild>
                <w:div w:id="1655642584">
                  <w:marLeft w:val="0"/>
                  <w:marRight w:val="0"/>
                  <w:marTop w:val="0"/>
                  <w:marBottom w:val="0"/>
                  <w:divBdr>
                    <w:top w:val="none" w:sz="0" w:space="0" w:color="auto"/>
                    <w:left w:val="none" w:sz="0" w:space="0" w:color="auto"/>
                    <w:bottom w:val="none" w:sz="0" w:space="0" w:color="auto"/>
                    <w:right w:val="none" w:sz="0" w:space="0" w:color="auto"/>
                  </w:divBdr>
                </w:div>
              </w:divsChild>
            </w:div>
            <w:div w:id="121072532">
              <w:marLeft w:val="0"/>
              <w:marRight w:val="0"/>
              <w:marTop w:val="0"/>
              <w:marBottom w:val="0"/>
              <w:divBdr>
                <w:top w:val="none" w:sz="0" w:space="0" w:color="auto"/>
                <w:left w:val="none" w:sz="0" w:space="0" w:color="auto"/>
                <w:bottom w:val="none" w:sz="0" w:space="0" w:color="auto"/>
                <w:right w:val="none" w:sz="0" w:space="0" w:color="auto"/>
              </w:divBdr>
              <w:divsChild>
                <w:div w:id="441538920">
                  <w:marLeft w:val="0"/>
                  <w:marRight w:val="0"/>
                  <w:marTop w:val="0"/>
                  <w:marBottom w:val="0"/>
                  <w:divBdr>
                    <w:top w:val="none" w:sz="0" w:space="0" w:color="auto"/>
                    <w:left w:val="none" w:sz="0" w:space="0" w:color="auto"/>
                    <w:bottom w:val="none" w:sz="0" w:space="0" w:color="auto"/>
                    <w:right w:val="none" w:sz="0" w:space="0" w:color="auto"/>
                  </w:divBdr>
                </w:div>
              </w:divsChild>
            </w:div>
            <w:div w:id="127626971">
              <w:marLeft w:val="0"/>
              <w:marRight w:val="0"/>
              <w:marTop w:val="0"/>
              <w:marBottom w:val="0"/>
              <w:divBdr>
                <w:top w:val="none" w:sz="0" w:space="0" w:color="auto"/>
                <w:left w:val="none" w:sz="0" w:space="0" w:color="auto"/>
                <w:bottom w:val="none" w:sz="0" w:space="0" w:color="auto"/>
                <w:right w:val="none" w:sz="0" w:space="0" w:color="auto"/>
              </w:divBdr>
              <w:divsChild>
                <w:div w:id="1635524977">
                  <w:marLeft w:val="0"/>
                  <w:marRight w:val="0"/>
                  <w:marTop w:val="0"/>
                  <w:marBottom w:val="0"/>
                  <w:divBdr>
                    <w:top w:val="none" w:sz="0" w:space="0" w:color="auto"/>
                    <w:left w:val="none" w:sz="0" w:space="0" w:color="auto"/>
                    <w:bottom w:val="none" w:sz="0" w:space="0" w:color="auto"/>
                    <w:right w:val="none" w:sz="0" w:space="0" w:color="auto"/>
                  </w:divBdr>
                </w:div>
              </w:divsChild>
            </w:div>
            <w:div w:id="143787175">
              <w:marLeft w:val="0"/>
              <w:marRight w:val="0"/>
              <w:marTop w:val="0"/>
              <w:marBottom w:val="0"/>
              <w:divBdr>
                <w:top w:val="none" w:sz="0" w:space="0" w:color="auto"/>
                <w:left w:val="none" w:sz="0" w:space="0" w:color="auto"/>
                <w:bottom w:val="none" w:sz="0" w:space="0" w:color="auto"/>
                <w:right w:val="none" w:sz="0" w:space="0" w:color="auto"/>
              </w:divBdr>
              <w:divsChild>
                <w:div w:id="1752040488">
                  <w:marLeft w:val="0"/>
                  <w:marRight w:val="0"/>
                  <w:marTop w:val="0"/>
                  <w:marBottom w:val="0"/>
                  <w:divBdr>
                    <w:top w:val="none" w:sz="0" w:space="0" w:color="auto"/>
                    <w:left w:val="none" w:sz="0" w:space="0" w:color="auto"/>
                    <w:bottom w:val="none" w:sz="0" w:space="0" w:color="auto"/>
                    <w:right w:val="none" w:sz="0" w:space="0" w:color="auto"/>
                  </w:divBdr>
                </w:div>
              </w:divsChild>
            </w:div>
            <w:div w:id="146945974">
              <w:marLeft w:val="0"/>
              <w:marRight w:val="0"/>
              <w:marTop w:val="0"/>
              <w:marBottom w:val="0"/>
              <w:divBdr>
                <w:top w:val="none" w:sz="0" w:space="0" w:color="auto"/>
                <w:left w:val="none" w:sz="0" w:space="0" w:color="auto"/>
                <w:bottom w:val="none" w:sz="0" w:space="0" w:color="auto"/>
                <w:right w:val="none" w:sz="0" w:space="0" w:color="auto"/>
              </w:divBdr>
              <w:divsChild>
                <w:div w:id="438183759">
                  <w:marLeft w:val="0"/>
                  <w:marRight w:val="0"/>
                  <w:marTop w:val="0"/>
                  <w:marBottom w:val="0"/>
                  <w:divBdr>
                    <w:top w:val="none" w:sz="0" w:space="0" w:color="auto"/>
                    <w:left w:val="none" w:sz="0" w:space="0" w:color="auto"/>
                    <w:bottom w:val="none" w:sz="0" w:space="0" w:color="auto"/>
                    <w:right w:val="none" w:sz="0" w:space="0" w:color="auto"/>
                  </w:divBdr>
                </w:div>
              </w:divsChild>
            </w:div>
            <w:div w:id="153760406">
              <w:marLeft w:val="0"/>
              <w:marRight w:val="0"/>
              <w:marTop w:val="0"/>
              <w:marBottom w:val="0"/>
              <w:divBdr>
                <w:top w:val="none" w:sz="0" w:space="0" w:color="auto"/>
                <w:left w:val="none" w:sz="0" w:space="0" w:color="auto"/>
                <w:bottom w:val="none" w:sz="0" w:space="0" w:color="auto"/>
                <w:right w:val="none" w:sz="0" w:space="0" w:color="auto"/>
              </w:divBdr>
              <w:divsChild>
                <w:div w:id="1844784468">
                  <w:marLeft w:val="0"/>
                  <w:marRight w:val="0"/>
                  <w:marTop w:val="0"/>
                  <w:marBottom w:val="0"/>
                  <w:divBdr>
                    <w:top w:val="none" w:sz="0" w:space="0" w:color="auto"/>
                    <w:left w:val="none" w:sz="0" w:space="0" w:color="auto"/>
                    <w:bottom w:val="none" w:sz="0" w:space="0" w:color="auto"/>
                    <w:right w:val="none" w:sz="0" w:space="0" w:color="auto"/>
                  </w:divBdr>
                </w:div>
              </w:divsChild>
            </w:div>
            <w:div w:id="154303794">
              <w:marLeft w:val="0"/>
              <w:marRight w:val="0"/>
              <w:marTop w:val="0"/>
              <w:marBottom w:val="0"/>
              <w:divBdr>
                <w:top w:val="none" w:sz="0" w:space="0" w:color="auto"/>
                <w:left w:val="none" w:sz="0" w:space="0" w:color="auto"/>
                <w:bottom w:val="none" w:sz="0" w:space="0" w:color="auto"/>
                <w:right w:val="none" w:sz="0" w:space="0" w:color="auto"/>
              </w:divBdr>
              <w:divsChild>
                <w:div w:id="1954092087">
                  <w:marLeft w:val="0"/>
                  <w:marRight w:val="0"/>
                  <w:marTop w:val="0"/>
                  <w:marBottom w:val="0"/>
                  <w:divBdr>
                    <w:top w:val="none" w:sz="0" w:space="0" w:color="auto"/>
                    <w:left w:val="none" w:sz="0" w:space="0" w:color="auto"/>
                    <w:bottom w:val="none" w:sz="0" w:space="0" w:color="auto"/>
                    <w:right w:val="none" w:sz="0" w:space="0" w:color="auto"/>
                  </w:divBdr>
                </w:div>
              </w:divsChild>
            </w:div>
            <w:div w:id="158933718">
              <w:marLeft w:val="0"/>
              <w:marRight w:val="0"/>
              <w:marTop w:val="0"/>
              <w:marBottom w:val="0"/>
              <w:divBdr>
                <w:top w:val="none" w:sz="0" w:space="0" w:color="auto"/>
                <w:left w:val="none" w:sz="0" w:space="0" w:color="auto"/>
                <w:bottom w:val="none" w:sz="0" w:space="0" w:color="auto"/>
                <w:right w:val="none" w:sz="0" w:space="0" w:color="auto"/>
              </w:divBdr>
              <w:divsChild>
                <w:div w:id="1924408793">
                  <w:marLeft w:val="0"/>
                  <w:marRight w:val="0"/>
                  <w:marTop w:val="0"/>
                  <w:marBottom w:val="0"/>
                  <w:divBdr>
                    <w:top w:val="none" w:sz="0" w:space="0" w:color="auto"/>
                    <w:left w:val="none" w:sz="0" w:space="0" w:color="auto"/>
                    <w:bottom w:val="none" w:sz="0" w:space="0" w:color="auto"/>
                    <w:right w:val="none" w:sz="0" w:space="0" w:color="auto"/>
                  </w:divBdr>
                </w:div>
              </w:divsChild>
            </w:div>
            <w:div w:id="165245067">
              <w:marLeft w:val="0"/>
              <w:marRight w:val="0"/>
              <w:marTop w:val="0"/>
              <w:marBottom w:val="0"/>
              <w:divBdr>
                <w:top w:val="none" w:sz="0" w:space="0" w:color="auto"/>
                <w:left w:val="none" w:sz="0" w:space="0" w:color="auto"/>
                <w:bottom w:val="none" w:sz="0" w:space="0" w:color="auto"/>
                <w:right w:val="none" w:sz="0" w:space="0" w:color="auto"/>
              </w:divBdr>
              <w:divsChild>
                <w:div w:id="126361162">
                  <w:marLeft w:val="0"/>
                  <w:marRight w:val="0"/>
                  <w:marTop w:val="0"/>
                  <w:marBottom w:val="0"/>
                  <w:divBdr>
                    <w:top w:val="none" w:sz="0" w:space="0" w:color="auto"/>
                    <w:left w:val="none" w:sz="0" w:space="0" w:color="auto"/>
                    <w:bottom w:val="none" w:sz="0" w:space="0" w:color="auto"/>
                    <w:right w:val="none" w:sz="0" w:space="0" w:color="auto"/>
                  </w:divBdr>
                </w:div>
              </w:divsChild>
            </w:div>
            <w:div w:id="173766134">
              <w:marLeft w:val="0"/>
              <w:marRight w:val="0"/>
              <w:marTop w:val="0"/>
              <w:marBottom w:val="0"/>
              <w:divBdr>
                <w:top w:val="none" w:sz="0" w:space="0" w:color="auto"/>
                <w:left w:val="none" w:sz="0" w:space="0" w:color="auto"/>
                <w:bottom w:val="none" w:sz="0" w:space="0" w:color="auto"/>
                <w:right w:val="none" w:sz="0" w:space="0" w:color="auto"/>
              </w:divBdr>
              <w:divsChild>
                <w:div w:id="1770926691">
                  <w:marLeft w:val="0"/>
                  <w:marRight w:val="0"/>
                  <w:marTop w:val="0"/>
                  <w:marBottom w:val="0"/>
                  <w:divBdr>
                    <w:top w:val="none" w:sz="0" w:space="0" w:color="auto"/>
                    <w:left w:val="none" w:sz="0" w:space="0" w:color="auto"/>
                    <w:bottom w:val="none" w:sz="0" w:space="0" w:color="auto"/>
                    <w:right w:val="none" w:sz="0" w:space="0" w:color="auto"/>
                  </w:divBdr>
                </w:div>
              </w:divsChild>
            </w:div>
            <w:div w:id="187303772">
              <w:marLeft w:val="0"/>
              <w:marRight w:val="0"/>
              <w:marTop w:val="0"/>
              <w:marBottom w:val="0"/>
              <w:divBdr>
                <w:top w:val="none" w:sz="0" w:space="0" w:color="auto"/>
                <w:left w:val="none" w:sz="0" w:space="0" w:color="auto"/>
                <w:bottom w:val="none" w:sz="0" w:space="0" w:color="auto"/>
                <w:right w:val="none" w:sz="0" w:space="0" w:color="auto"/>
              </w:divBdr>
              <w:divsChild>
                <w:div w:id="1559588398">
                  <w:marLeft w:val="0"/>
                  <w:marRight w:val="0"/>
                  <w:marTop w:val="0"/>
                  <w:marBottom w:val="0"/>
                  <w:divBdr>
                    <w:top w:val="none" w:sz="0" w:space="0" w:color="auto"/>
                    <w:left w:val="none" w:sz="0" w:space="0" w:color="auto"/>
                    <w:bottom w:val="none" w:sz="0" w:space="0" w:color="auto"/>
                    <w:right w:val="none" w:sz="0" w:space="0" w:color="auto"/>
                  </w:divBdr>
                </w:div>
              </w:divsChild>
            </w:div>
            <w:div w:id="190530415">
              <w:marLeft w:val="0"/>
              <w:marRight w:val="0"/>
              <w:marTop w:val="0"/>
              <w:marBottom w:val="0"/>
              <w:divBdr>
                <w:top w:val="none" w:sz="0" w:space="0" w:color="auto"/>
                <w:left w:val="none" w:sz="0" w:space="0" w:color="auto"/>
                <w:bottom w:val="none" w:sz="0" w:space="0" w:color="auto"/>
                <w:right w:val="none" w:sz="0" w:space="0" w:color="auto"/>
              </w:divBdr>
              <w:divsChild>
                <w:div w:id="1174027402">
                  <w:marLeft w:val="0"/>
                  <w:marRight w:val="0"/>
                  <w:marTop w:val="0"/>
                  <w:marBottom w:val="0"/>
                  <w:divBdr>
                    <w:top w:val="none" w:sz="0" w:space="0" w:color="auto"/>
                    <w:left w:val="none" w:sz="0" w:space="0" w:color="auto"/>
                    <w:bottom w:val="none" w:sz="0" w:space="0" w:color="auto"/>
                    <w:right w:val="none" w:sz="0" w:space="0" w:color="auto"/>
                  </w:divBdr>
                </w:div>
              </w:divsChild>
            </w:div>
            <w:div w:id="203375750">
              <w:marLeft w:val="0"/>
              <w:marRight w:val="0"/>
              <w:marTop w:val="0"/>
              <w:marBottom w:val="0"/>
              <w:divBdr>
                <w:top w:val="none" w:sz="0" w:space="0" w:color="auto"/>
                <w:left w:val="none" w:sz="0" w:space="0" w:color="auto"/>
                <w:bottom w:val="none" w:sz="0" w:space="0" w:color="auto"/>
                <w:right w:val="none" w:sz="0" w:space="0" w:color="auto"/>
              </w:divBdr>
              <w:divsChild>
                <w:div w:id="1051266376">
                  <w:marLeft w:val="0"/>
                  <w:marRight w:val="0"/>
                  <w:marTop w:val="0"/>
                  <w:marBottom w:val="0"/>
                  <w:divBdr>
                    <w:top w:val="none" w:sz="0" w:space="0" w:color="auto"/>
                    <w:left w:val="none" w:sz="0" w:space="0" w:color="auto"/>
                    <w:bottom w:val="none" w:sz="0" w:space="0" w:color="auto"/>
                    <w:right w:val="none" w:sz="0" w:space="0" w:color="auto"/>
                  </w:divBdr>
                </w:div>
              </w:divsChild>
            </w:div>
            <w:div w:id="206917675">
              <w:marLeft w:val="0"/>
              <w:marRight w:val="0"/>
              <w:marTop w:val="0"/>
              <w:marBottom w:val="0"/>
              <w:divBdr>
                <w:top w:val="none" w:sz="0" w:space="0" w:color="auto"/>
                <w:left w:val="none" w:sz="0" w:space="0" w:color="auto"/>
                <w:bottom w:val="none" w:sz="0" w:space="0" w:color="auto"/>
                <w:right w:val="none" w:sz="0" w:space="0" w:color="auto"/>
              </w:divBdr>
              <w:divsChild>
                <w:div w:id="1772780009">
                  <w:marLeft w:val="0"/>
                  <w:marRight w:val="0"/>
                  <w:marTop w:val="0"/>
                  <w:marBottom w:val="0"/>
                  <w:divBdr>
                    <w:top w:val="none" w:sz="0" w:space="0" w:color="auto"/>
                    <w:left w:val="none" w:sz="0" w:space="0" w:color="auto"/>
                    <w:bottom w:val="none" w:sz="0" w:space="0" w:color="auto"/>
                    <w:right w:val="none" w:sz="0" w:space="0" w:color="auto"/>
                  </w:divBdr>
                </w:div>
              </w:divsChild>
            </w:div>
            <w:div w:id="209616566">
              <w:marLeft w:val="0"/>
              <w:marRight w:val="0"/>
              <w:marTop w:val="0"/>
              <w:marBottom w:val="0"/>
              <w:divBdr>
                <w:top w:val="none" w:sz="0" w:space="0" w:color="auto"/>
                <w:left w:val="none" w:sz="0" w:space="0" w:color="auto"/>
                <w:bottom w:val="none" w:sz="0" w:space="0" w:color="auto"/>
                <w:right w:val="none" w:sz="0" w:space="0" w:color="auto"/>
              </w:divBdr>
              <w:divsChild>
                <w:div w:id="2003318094">
                  <w:marLeft w:val="0"/>
                  <w:marRight w:val="0"/>
                  <w:marTop w:val="0"/>
                  <w:marBottom w:val="0"/>
                  <w:divBdr>
                    <w:top w:val="none" w:sz="0" w:space="0" w:color="auto"/>
                    <w:left w:val="none" w:sz="0" w:space="0" w:color="auto"/>
                    <w:bottom w:val="none" w:sz="0" w:space="0" w:color="auto"/>
                    <w:right w:val="none" w:sz="0" w:space="0" w:color="auto"/>
                  </w:divBdr>
                </w:div>
              </w:divsChild>
            </w:div>
            <w:div w:id="217136678">
              <w:marLeft w:val="0"/>
              <w:marRight w:val="0"/>
              <w:marTop w:val="0"/>
              <w:marBottom w:val="0"/>
              <w:divBdr>
                <w:top w:val="none" w:sz="0" w:space="0" w:color="auto"/>
                <w:left w:val="none" w:sz="0" w:space="0" w:color="auto"/>
                <w:bottom w:val="none" w:sz="0" w:space="0" w:color="auto"/>
                <w:right w:val="none" w:sz="0" w:space="0" w:color="auto"/>
              </w:divBdr>
              <w:divsChild>
                <w:div w:id="394861086">
                  <w:marLeft w:val="0"/>
                  <w:marRight w:val="0"/>
                  <w:marTop w:val="0"/>
                  <w:marBottom w:val="0"/>
                  <w:divBdr>
                    <w:top w:val="none" w:sz="0" w:space="0" w:color="auto"/>
                    <w:left w:val="none" w:sz="0" w:space="0" w:color="auto"/>
                    <w:bottom w:val="none" w:sz="0" w:space="0" w:color="auto"/>
                    <w:right w:val="none" w:sz="0" w:space="0" w:color="auto"/>
                  </w:divBdr>
                </w:div>
              </w:divsChild>
            </w:div>
            <w:div w:id="233510284">
              <w:marLeft w:val="0"/>
              <w:marRight w:val="0"/>
              <w:marTop w:val="0"/>
              <w:marBottom w:val="0"/>
              <w:divBdr>
                <w:top w:val="none" w:sz="0" w:space="0" w:color="auto"/>
                <w:left w:val="none" w:sz="0" w:space="0" w:color="auto"/>
                <w:bottom w:val="none" w:sz="0" w:space="0" w:color="auto"/>
                <w:right w:val="none" w:sz="0" w:space="0" w:color="auto"/>
              </w:divBdr>
              <w:divsChild>
                <w:div w:id="1602682890">
                  <w:marLeft w:val="0"/>
                  <w:marRight w:val="0"/>
                  <w:marTop w:val="0"/>
                  <w:marBottom w:val="0"/>
                  <w:divBdr>
                    <w:top w:val="none" w:sz="0" w:space="0" w:color="auto"/>
                    <w:left w:val="none" w:sz="0" w:space="0" w:color="auto"/>
                    <w:bottom w:val="none" w:sz="0" w:space="0" w:color="auto"/>
                    <w:right w:val="none" w:sz="0" w:space="0" w:color="auto"/>
                  </w:divBdr>
                </w:div>
              </w:divsChild>
            </w:div>
            <w:div w:id="237398383">
              <w:marLeft w:val="0"/>
              <w:marRight w:val="0"/>
              <w:marTop w:val="0"/>
              <w:marBottom w:val="0"/>
              <w:divBdr>
                <w:top w:val="none" w:sz="0" w:space="0" w:color="auto"/>
                <w:left w:val="none" w:sz="0" w:space="0" w:color="auto"/>
                <w:bottom w:val="none" w:sz="0" w:space="0" w:color="auto"/>
                <w:right w:val="none" w:sz="0" w:space="0" w:color="auto"/>
              </w:divBdr>
              <w:divsChild>
                <w:div w:id="622536777">
                  <w:marLeft w:val="0"/>
                  <w:marRight w:val="0"/>
                  <w:marTop w:val="0"/>
                  <w:marBottom w:val="0"/>
                  <w:divBdr>
                    <w:top w:val="none" w:sz="0" w:space="0" w:color="auto"/>
                    <w:left w:val="none" w:sz="0" w:space="0" w:color="auto"/>
                    <w:bottom w:val="none" w:sz="0" w:space="0" w:color="auto"/>
                    <w:right w:val="none" w:sz="0" w:space="0" w:color="auto"/>
                  </w:divBdr>
                </w:div>
              </w:divsChild>
            </w:div>
            <w:div w:id="250165314">
              <w:marLeft w:val="0"/>
              <w:marRight w:val="0"/>
              <w:marTop w:val="0"/>
              <w:marBottom w:val="0"/>
              <w:divBdr>
                <w:top w:val="none" w:sz="0" w:space="0" w:color="auto"/>
                <w:left w:val="none" w:sz="0" w:space="0" w:color="auto"/>
                <w:bottom w:val="none" w:sz="0" w:space="0" w:color="auto"/>
                <w:right w:val="none" w:sz="0" w:space="0" w:color="auto"/>
              </w:divBdr>
              <w:divsChild>
                <w:div w:id="1233465061">
                  <w:marLeft w:val="0"/>
                  <w:marRight w:val="0"/>
                  <w:marTop w:val="0"/>
                  <w:marBottom w:val="0"/>
                  <w:divBdr>
                    <w:top w:val="none" w:sz="0" w:space="0" w:color="auto"/>
                    <w:left w:val="none" w:sz="0" w:space="0" w:color="auto"/>
                    <w:bottom w:val="none" w:sz="0" w:space="0" w:color="auto"/>
                    <w:right w:val="none" w:sz="0" w:space="0" w:color="auto"/>
                  </w:divBdr>
                </w:div>
              </w:divsChild>
            </w:div>
            <w:div w:id="271282026">
              <w:marLeft w:val="0"/>
              <w:marRight w:val="0"/>
              <w:marTop w:val="0"/>
              <w:marBottom w:val="0"/>
              <w:divBdr>
                <w:top w:val="none" w:sz="0" w:space="0" w:color="auto"/>
                <w:left w:val="none" w:sz="0" w:space="0" w:color="auto"/>
                <w:bottom w:val="none" w:sz="0" w:space="0" w:color="auto"/>
                <w:right w:val="none" w:sz="0" w:space="0" w:color="auto"/>
              </w:divBdr>
              <w:divsChild>
                <w:div w:id="1791238794">
                  <w:marLeft w:val="0"/>
                  <w:marRight w:val="0"/>
                  <w:marTop w:val="0"/>
                  <w:marBottom w:val="0"/>
                  <w:divBdr>
                    <w:top w:val="none" w:sz="0" w:space="0" w:color="auto"/>
                    <w:left w:val="none" w:sz="0" w:space="0" w:color="auto"/>
                    <w:bottom w:val="none" w:sz="0" w:space="0" w:color="auto"/>
                    <w:right w:val="none" w:sz="0" w:space="0" w:color="auto"/>
                  </w:divBdr>
                </w:div>
              </w:divsChild>
            </w:div>
            <w:div w:id="276717079">
              <w:marLeft w:val="0"/>
              <w:marRight w:val="0"/>
              <w:marTop w:val="0"/>
              <w:marBottom w:val="0"/>
              <w:divBdr>
                <w:top w:val="none" w:sz="0" w:space="0" w:color="auto"/>
                <w:left w:val="none" w:sz="0" w:space="0" w:color="auto"/>
                <w:bottom w:val="none" w:sz="0" w:space="0" w:color="auto"/>
                <w:right w:val="none" w:sz="0" w:space="0" w:color="auto"/>
              </w:divBdr>
              <w:divsChild>
                <w:div w:id="1282109248">
                  <w:marLeft w:val="0"/>
                  <w:marRight w:val="0"/>
                  <w:marTop w:val="0"/>
                  <w:marBottom w:val="0"/>
                  <w:divBdr>
                    <w:top w:val="none" w:sz="0" w:space="0" w:color="auto"/>
                    <w:left w:val="none" w:sz="0" w:space="0" w:color="auto"/>
                    <w:bottom w:val="none" w:sz="0" w:space="0" w:color="auto"/>
                    <w:right w:val="none" w:sz="0" w:space="0" w:color="auto"/>
                  </w:divBdr>
                </w:div>
              </w:divsChild>
            </w:div>
            <w:div w:id="277569765">
              <w:marLeft w:val="0"/>
              <w:marRight w:val="0"/>
              <w:marTop w:val="0"/>
              <w:marBottom w:val="0"/>
              <w:divBdr>
                <w:top w:val="none" w:sz="0" w:space="0" w:color="auto"/>
                <w:left w:val="none" w:sz="0" w:space="0" w:color="auto"/>
                <w:bottom w:val="none" w:sz="0" w:space="0" w:color="auto"/>
                <w:right w:val="none" w:sz="0" w:space="0" w:color="auto"/>
              </w:divBdr>
              <w:divsChild>
                <w:div w:id="1534341894">
                  <w:marLeft w:val="0"/>
                  <w:marRight w:val="0"/>
                  <w:marTop w:val="0"/>
                  <w:marBottom w:val="0"/>
                  <w:divBdr>
                    <w:top w:val="none" w:sz="0" w:space="0" w:color="auto"/>
                    <w:left w:val="none" w:sz="0" w:space="0" w:color="auto"/>
                    <w:bottom w:val="none" w:sz="0" w:space="0" w:color="auto"/>
                    <w:right w:val="none" w:sz="0" w:space="0" w:color="auto"/>
                  </w:divBdr>
                </w:div>
              </w:divsChild>
            </w:div>
            <w:div w:id="293877974">
              <w:marLeft w:val="0"/>
              <w:marRight w:val="0"/>
              <w:marTop w:val="0"/>
              <w:marBottom w:val="0"/>
              <w:divBdr>
                <w:top w:val="none" w:sz="0" w:space="0" w:color="auto"/>
                <w:left w:val="none" w:sz="0" w:space="0" w:color="auto"/>
                <w:bottom w:val="none" w:sz="0" w:space="0" w:color="auto"/>
                <w:right w:val="none" w:sz="0" w:space="0" w:color="auto"/>
              </w:divBdr>
              <w:divsChild>
                <w:div w:id="302582708">
                  <w:marLeft w:val="0"/>
                  <w:marRight w:val="0"/>
                  <w:marTop w:val="0"/>
                  <w:marBottom w:val="0"/>
                  <w:divBdr>
                    <w:top w:val="none" w:sz="0" w:space="0" w:color="auto"/>
                    <w:left w:val="none" w:sz="0" w:space="0" w:color="auto"/>
                    <w:bottom w:val="none" w:sz="0" w:space="0" w:color="auto"/>
                    <w:right w:val="none" w:sz="0" w:space="0" w:color="auto"/>
                  </w:divBdr>
                </w:div>
                <w:div w:id="2005277665">
                  <w:marLeft w:val="0"/>
                  <w:marRight w:val="0"/>
                  <w:marTop w:val="0"/>
                  <w:marBottom w:val="0"/>
                  <w:divBdr>
                    <w:top w:val="none" w:sz="0" w:space="0" w:color="auto"/>
                    <w:left w:val="none" w:sz="0" w:space="0" w:color="auto"/>
                    <w:bottom w:val="none" w:sz="0" w:space="0" w:color="auto"/>
                    <w:right w:val="none" w:sz="0" w:space="0" w:color="auto"/>
                  </w:divBdr>
                </w:div>
              </w:divsChild>
            </w:div>
            <w:div w:id="294333747">
              <w:marLeft w:val="0"/>
              <w:marRight w:val="0"/>
              <w:marTop w:val="0"/>
              <w:marBottom w:val="0"/>
              <w:divBdr>
                <w:top w:val="none" w:sz="0" w:space="0" w:color="auto"/>
                <w:left w:val="none" w:sz="0" w:space="0" w:color="auto"/>
                <w:bottom w:val="none" w:sz="0" w:space="0" w:color="auto"/>
                <w:right w:val="none" w:sz="0" w:space="0" w:color="auto"/>
              </w:divBdr>
              <w:divsChild>
                <w:div w:id="1277248180">
                  <w:marLeft w:val="0"/>
                  <w:marRight w:val="0"/>
                  <w:marTop w:val="0"/>
                  <w:marBottom w:val="0"/>
                  <w:divBdr>
                    <w:top w:val="none" w:sz="0" w:space="0" w:color="auto"/>
                    <w:left w:val="none" w:sz="0" w:space="0" w:color="auto"/>
                    <w:bottom w:val="none" w:sz="0" w:space="0" w:color="auto"/>
                    <w:right w:val="none" w:sz="0" w:space="0" w:color="auto"/>
                  </w:divBdr>
                </w:div>
              </w:divsChild>
            </w:div>
            <w:div w:id="321737626">
              <w:marLeft w:val="0"/>
              <w:marRight w:val="0"/>
              <w:marTop w:val="0"/>
              <w:marBottom w:val="0"/>
              <w:divBdr>
                <w:top w:val="none" w:sz="0" w:space="0" w:color="auto"/>
                <w:left w:val="none" w:sz="0" w:space="0" w:color="auto"/>
                <w:bottom w:val="none" w:sz="0" w:space="0" w:color="auto"/>
                <w:right w:val="none" w:sz="0" w:space="0" w:color="auto"/>
              </w:divBdr>
              <w:divsChild>
                <w:div w:id="1372263109">
                  <w:marLeft w:val="0"/>
                  <w:marRight w:val="0"/>
                  <w:marTop w:val="0"/>
                  <w:marBottom w:val="0"/>
                  <w:divBdr>
                    <w:top w:val="none" w:sz="0" w:space="0" w:color="auto"/>
                    <w:left w:val="none" w:sz="0" w:space="0" w:color="auto"/>
                    <w:bottom w:val="none" w:sz="0" w:space="0" w:color="auto"/>
                    <w:right w:val="none" w:sz="0" w:space="0" w:color="auto"/>
                  </w:divBdr>
                </w:div>
              </w:divsChild>
            </w:div>
            <w:div w:id="329599474">
              <w:marLeft w:val="0"/>
              <w:marRight w:val="0"/>
              <w:marTop w:val="0"/>
              <w:marBottom w:val="0"/>
              <w:divBdr>
                <w:top w:val="none" w:sz="0" w:space="0" w:color="auto"/>
                <w:left w:val="none" w:sz="0" w:space="0" w:color="auto"/>
                <w:bottom w:val="none" w:sz="0" w:space="0" w:color="auto"/>
                <w:right w:val="none" w:sz="0" w:space="0" w:color="auto"/>
              </w:divBdr>
              <w:divsChild>
                <w:div w:id="891385201">
                  <w:marLeft w:val="0"/>
                  <w:marRight w:val="0"/>
                  <w:marTop w:val="0"/>
                  <w:marBottom w:val="0"/>
                  <w:divBdr>
                    <w:top w:val="none" w:sz="0" w:space="0" w:color="auto"/>
                    <w:left w:val="none" w:sz="0" w:space="0" w:color="auto"/>
                    <w:bottom w:val="none" w:sz="0" w:space="0" w:color="auto"/>
                    <w:right w:val="none" w:sz="0" w:space="0" w:color="auto"/>
                  </w:divBdr>
                </w:div>
              </w:divsChild>
            </w:div>
            <w:div w:id="329721700">
              <w:marLeft w:val="0"/>
              <w:marRight w:val="0"/>
              <w:marTop w:val="0"/>
              <w:marBottom w:val="0"/>
              <w:divBdr>
                <w:top w:val="none" w:sz="0" w:space="0" w:color="auto"/>
                <w:left w:val="none" w:sz="0" w:space="0" w:color="auto"/>
                <w:bottom w:val="none" w:sz="0" w:space="0" w:color="auto"/>
                <w:right w:val="none" w:sz="0" w:space="0" w:color="auto"/>
              </w:divBdr>
              <w:divsChild>
                <w:div w:id="471093294">
                  <w:marLeft w:val="0"/>
                  <w:marRight w:val="0"/>
                  <w:marTop w:val="0"/>
                  <w:marBottom w:val="0"/>
                  <w:divBdr>
                    <w:top w:val="none" w:sz="0" w:space="0" w:color="auto"/>
                    <w:left w:val="none" w:sz="0" w:space="0" w:color="auto"/>
                    <w:bottom w:val="none" w:sz="0" w:space="0" w:color="auto"/>
                    <w:right w:val="none" w:sz="0" w:space="0" w:color="auto"/>
                  </w:divBdr>
                </w:div>
              </w:divsChild>
            </w:div>
            <w:div w:id="349962855">
              <w:marLeft w:val="0"/>
              <w:marRight w:val="0"/>
              <w:marTop w:val="0"/>
              <w:marBottom w:val="0"/>
              <w:divBdr>
                <w:top w:val="none" w:sz="0" w:space="0" w:color="auto"/>
                <w:left w:val="none" w:sz="0" w:space="0" w:color="auto"/>
                <w:bottom w:val="none" w:sz="0" w:space="0" w:color="auto"/>
                <w:right w:val="none" w:sz="0" w:space="0" w:color="auto"/>
              </w:divBdr>
              <w:divsChild>
                <w:div w:id="1557008629">
                  <w:marLeft w:val="0"/>
                  <w:marRight w:val="0"/>
                  <w:marTop w:val="0"/>
                  <w:marBottom w:val="0"/>
                  <w:divBdr>
                    <w:top w:val="none" w:sz="0" w:space="0" w:color="auto"/>
                    <w:left w:val="none" w:sz="0" w:space="0" w:color="auto"/>
                    <w:bottom w:val="none" w:sz="0" w:space="0" w:color="auto"/>
                    <w:right w:val="none" w:sz="0" w:space="0" w:color="auto"/>
                  </w:divBdr>
                </w:div>
              </w:divsChild>
            </w:div>
            <w:div w:id="355542642">
              <w:marLeft w:val="0"/>
              <w:marRight w:val="0"/>
              <w:marTop w:val="0"/>
              <w:marBottom w:val="0"/>
              <w:divBdr>
                <w:top w:val="none" w:sz="0" w:space="0" w:color="auto"/>
                <w:left w:val="none" w:sz="0" w:space="0" w:color="auto"/>
                <w:bottom w:val="none" w:sz="0" w:space="0" w:color="auto"/>
                <w:right w:val="none" w:sz="0" w:space="0" w:color="auto"/>
              </w:divBdr>
              <w:divsChild>
                <w:div w:id="1746800348">
                  <w:marLeft w:val="0"/>
                  <w:marRight w:val="0"/>
                  <w:marTop w:val="0"/>
                  <w:marBottom w:val="0"/>
                  <w:divBdr>
                    <w:top w:val="none" w:sz="0" w:space="0" w:color="auto"/>
                    <w:left w:val="none" w:sz="0" w:space="0" w:color="auto"/>
                    <w:bottom w:val="none" w:sz="0" w:space="0" w:color="auto"/>
                    <w:right w:val="none" w:sz="0" w:space="0" w:color="auto"/>
                  </w:divBdr>
                </w:div>
              </w:divsChild>
            </w:div>
            <w:div w:id="358774407">
              <w:marLeft w:val="0"/>
              <w:marRight w:val="0"/>
              <w:marTop w:val="0"/>
              <w:marBottom w:val="0"/>
              <w:divBdr>
                <w:top w:val="none" w:sz="0" w:space="0" w:color="auto"/>
                <w:left w:val="none" w:sz="0" w:space="0" w:color="auto"/>
                <w:bottom w:val="none" w:sz="0" w:space="0" w:color="auto"/>
                <w:right w:val="none" w:sz="0" w:space="0" w:color="auto"/>
              </w:divBdr>
              <w:divsChild>
                <w:div w:id="1718092033">
                  <w:marLeft w:val="0"/>
                  <w:marRight w:val="0"/>
                  <w:marTop w:val="0"/>
                  <w:marBottom w:val="0"/>
                  <w:divBdr>
                    <w:top w:val="none" w:sz="0" w:space="0" w:color="auto"/>
                    <w:left w:val="none" w:sz="0" w:space="0" w:color="auto"/>
                    <w:bottom w:val="none" w:sz="0" w:space="0" w:color="auto"/>
                    <w:right w:val="none" w:sz="0" w:space="0" w:color="auto"/>
                  </w:divBdr>
                </w:div>
              </w:divsChild>
            </w:div>
            <w:div w:id="364332423">
              <w:marLeft w:val="0"/>
              <w:marRight w:val="0"/>
              <w:marTop w:val="0"/>
              <w:marBottom w:val="0"/>
              <w:divBdr>
                <w:top w:val="none" w:sz="0" w:space="0" w:color="auto"/>
                <w:left w:val="none" w:sz="0" w:space="0" w:color="auto"/>
                <w:bottom w:val="none" w:sz="0" w:space="0" w:color="auto"/>
                <w:right w:val="none" w:sz="0" w:space="0" w:color="auto"/>
              </w:divBdr>
              <w:divsChild>
                <w:div w:id="870149825">
                  <w:marLeft w:val="0"/>
                  <w:marRight w:val="0"/>
                  <w:marTop w:val="0"/>
                  <w:marBottom w:val="0"/>
                  <w:divBdr>
                    <w:top w:val="none" w:sz="0" w:space="0" w:color="auto"/>
                    <w:left w:val="none" w:sz="0" w:space="0" w:color="auto"/>
                    <w:bottom w:val="none" w:sz="0" w:space="0" w:color="auto"/>
                    <w:right w:val="none" w:sz="0" w:space="0" w:color="auto"/>
                  </w:divBdr>
                </w:div>
              </w:divsChild>
            </w:div>
            <w:div w:id="364983012">
              <w:marLeft w:val="0"/>
              <w:marRight w:val="0"/>
              <w:marTop w:val="0"/>
              <w:marBottom w:val="0"/>
              <w:divBdr>
                <w:top w:val="none" w:sz="0" w:space="0" w:color="auto"/>
                <w:left w:val="none" w:sz="0" w:space="0" w:color="auto"/>
                <w:bottom w:val="none" w:sz="0" w:space="0" w:color="auto"/>
                <w:right w:val="none" w:sz="0" w:space="0" w:color="auto"/>
              </w:divBdr>
              <w:divsChild>
                <w:div w:id="485821828">
                  <w:marLeft w:val="0"/>
                  <w:marRight w:val="0"/>
                  <w:marTop w:val="0"/>
                  <w:marBottom w:val="0"/>
                  <w:divBdr>
                    <w:top w:val="none" w:sz="0" w:space="0" w:color="auto"/>
                    <w:left w:val="none" w:sz="0" w:space="0" w:color="auto"/>
                    <w:bottom w:val="none" w:sz="0" w:space="0" w:color="auto"/>
                    <w:right w:val="none" w:sz="0" w:space="0" w:color="auto"/>
                  </w:divBdr>
                </w:div>
              </w:divsChild>
            </w:div>
            <w:div w:id="379789399">
              <w:marLeft w:val="0"/>
              <w:marRight w:val="0"/>
              <w:marTop w:val="0"/>
              <w:marBottom w:val="0"/>
              <w:divBdr>
                <w:top w:val="none" w:sz="0" w:space="0" w:color="auto"/>
                <w:left w:val="none" w:sz="0" w:space="0" w:color="auto"/>
                <w:bottom w:val="none" w:sz="0" w:space="0" w:color="auto"/>
                <w:right w:val="none" w:sz="0" w:space="0" w:color="auto"/>
              </w:divBdr>
              <w:divsChild>
                <w:div w:id="1953784012">
                  <w:marLeft w:val="0"/>
                  <w:marRight w:val="0"/>
                  <w:marTop w:val="0"/>
                  <w:marBottom w:val="0"/>
                  <w:divBdr>
                    <w:top w:val="none" w:sz="0" w:space="0" w:color="auto"/>
                    <w:left w:val="none" w:sz="0" w:space="0" w:color="auto"/>
                    <w:bottom w:val="none" w:sz="0" w:space="0" w:color="auto"/>
                    <w:right w:val="none" w:sz="0" w:space="0" w:color="auto"/>
                  </w:divBdr>
                </w:div>
              </w:divsChild>
            </w:div>
            <w:div w:id="379862577">
              <w:marLeft w:val="0"/>
              <w:marRight w:val="0"/>
              <w:marTop w:val="0"/>
              <w:marBottom w:val="0"/>
              <w:divBdr>
                <w:top w:val="none" w:sz="0" w:space="0" w:color="auto"/>
                <w:left w:val="none" w:sz="0" w:space="0" w:color="auto"/>
                <w:bottom w:val="none" w:sz="0" w:space="0" w:color="auto"/>
                <w:right w:val="none" w:sz="0" w:space="0" w:color="auto"/>
              </w:divBdr>
              <w:divsChild>
                <w:div w:id="852839627">
                  <w:marLeft w:val="0"/>
                  <w:marRight w:val="0"/>
                  <w:marTop w:val="0"/>
                  <w:marBottom w:val="0"/>
                  <w:divBdr>
                    <w:top w:val="none" w:sz="0" w:space="0" w:color="auto"/>
                    <w:left w:val="none" w:sz="0" w:space="0" w:color="auto"/>
                    <w:bottom w:val="none" w:sz="0" w:space="0" w:color="auto"/>
                    <w:right w:val="none" w:sz="0" w:space="0" w:color="auto"/>
                  </w:divBdr>
                </w:div>
              </w:divsChild>
            </w:div>
            <w:div w:id="394820508">
              <w:marLeft w:val="0"/>
              <w:marRight w:val="0"/>
              <w:marTop w:val="0"/>
              <w:marBottom w:val="0"/>
              <w:divBdr>
                <w:top w:val="none" w:sz="0" w:space="0" w:color="auto"/>
                <w:left w:val="none" w:sz="0" w:space="0" w:color="auto"/>
                <w:bottom w:val="none" w:sz="0" w:space="0" w:color="auto"/>
                <w:right w:val="none" w:sz="0" w:space="0" w:color="auto"/>
              </w:divBdr>
              <w:divsChild>
                <w:div w:id="2053074315">
                  <w:marLeft w:val="0"/>
                  <w:marRight w:val="0"/>
                  <w:marTop w:val="0"/>
                  <w:marBottom w:val="0"/>
                  <w:divBdr>
                    <w:top w:val="none" w:sz="0" w:space="0" w:color="auto"/>
                    <w:left w:val="none" w:sz="0" w:space="0" w:color="auto"/>
                    <w:bottom w:val="none" w:sz="0" w:space="0" w:color="auto"/>
                    <w:right w:val="none" w:sz="0" w:space="0" w:color="auto"/>
                  </w:divBdr>
                </w:div>
              </w:divsChild>
            </w:div>
            <w:div w:id="398096845">
              <w:marLeft w:val="0"/>
              <w:marRight w:val="0"/>
              <w:marTop w:val="0"/>
              <w:marBottom w:val="0"/>
              <w:divBdr>
                <w:top w:val="none" w:sz="0" w:space="0" w:color="auto"/>
                <w:left w:val="none" w:sz="0" w:space="0" w:color="auto"/>
                <w:bottom w:val="none" w:sz="0" w:space="0" w:color="auto"/>
                <w:right w:val="none" w:sz="0" w:space="0" w:color="auto"/>
              </w:divBdr>
              <w:divsChild>
                <w:div w:id="2059010636">
                  <w:marLeft w:val="0"/>
                  <w:marRight w:val="0"/>
                  <w:marTop w:val="0"/>
                  <w:marBottom w:val="0"/>
                  <w:divBdr>
                    <w:top w:val="none" w:sz="0" w:space="0" w:color="auto"/>
                    <w:left w:val="none" w:sz="0" w:space="0" w:color="auto"/>
                    <w:bottom w:val="none" w:sz="0" w:space="0" w:color="auto"/>
                    <w:right w:val="none" w:sz="0" w:space="0" w:color="auto"/>
                  </w:divBdr>
                </w:div>
              </w:divsChild>
            </w:div>
            <w:div w:id="427045761">
              <w:marLeft w:val="0"/>
              <w:marRight w:val="0"/>
              <w:marTop w:val="0"/>
              <w:marBottom w:val="0"/>
              <w:divBdr>
                <w:top w:val="none" w:sz="0" w:space="0" w:color="auto"/>
                <w:left w:val="none" w:sz="0" w:space="0" w:color="auto"/>
                <w:bottom w:val="none" w:sz="0" w:space="0" w:color="auto"/>
                <w:right w:val="none" w:sz="0" w:space="0" w:color="auto"/>
              </w:divBdr>
              <w:divsChild>
                <w:div w:id="491680750">
                  <w:marLeft w:val="0"/>
                  <w:marRight w:val="0"/>
                  <w:marTop w:val="0"/>
                  <w:marBottom w:val="0"/>
                  <w:divBdr>
                    <w:top w:val="none" w:sz="0" w:space="0" w:color="auto"/>
                    <w:left w:val="none" w:sz="0" w:space="0" w:color="auto"/>
                    <w:bottom w:val="none" w:sz="0" w:space="0" w:color="auto"/>
                    <w:right w:val="none" w:sz="0" w:space="0" w:color="auto"/>
                  </w:divBdr>
                </w:div>
              </w:divsChild>
            </w:div>
            <w:div w:id="449978958">
              <w:marLeft w:val="0"/>
              <w:marRight w:val="0"/>
              <w:marTop w:val="0"/>
              <w:marBottom w:val="0"/>
              <w:divBdr>
                <w:top w:val="none" w:sz="0" w:space="0" w:color="auto"/>
                <w:left w:val="none" w:sz="0" w:space="0" w:color="auto"/>
                <w:bottom w:val="none" w:sz="0" w:space="0" w:color="auto"/>
                <w:right w:val="none" w:sz="0" w:space="0" w:color="auto"/>
              </w:divBdr>
              <w:divsChild>
                <w:div w:id="1264531901">
                  <w:marLeft w:val="0"/>
                  <w:marRight w:val="0"/>
                  <w:marTop w:val="0"/>
                  <w:marBottom w:val="0"/>
                  <w:divBdr>
                    <w:top w:val="none" w:sz="0" w:space="0" w:color="auto"/>
                    <w:left w:val="none" w:sz="0" w:space="0" w:color="auto"/>
                    <w:bottom w:val="none" w:sz="0" w:space="0" w:color="auto"/>
                    <w:right w:val="none" w:sz="0" w:space="0" w:color="auto"/>
                  </w:divBdr>
                </w:div>
              </w:divsChild>
            </w:div>
            <w:div w:id="462625200">
              <w:marLeft w:val="0"/>
              <w:marRight w:val="0"/>
              <w:marTop w:val="0"/>
              <w:marBottom w:val="0"/>
              <w:divBdr>
                <w:top w:val="none" w:sz="0" w:space="0" w:color="auto"/>
                <w:left w:val="none" w:sz="0" w:space="0" w:color="auto"/>
                <w:bottom w:val="none" w:sz="0" w:space="0" w:color="auto"/>
                <w:right w:val="none" w:sz="0" w:space="0" w:color="auto"/>
              </w:divBdr>
              <w:divsChild>
                <w:div w:id="1702626298">
                  <w:marLeft w:val="0"/>
                  <w:marRight w:val="0"/>
                  <w:marTop w:val="0"/>
                  <w:marBottom w:val="0"/>
                  <w:divBdr>
                    <w:top w:val="none" w:sz="0" w:space="0" w:color="auto"/>
                    <w:left w:val="none" w:sz="0" w:space="0" w:color="auto"/>
                    <w:bottom w:val="none" w:sz="0" w:space="0" w:color="auto"/>
                    <w:right w:val="none" w:sz="0" w:space="0" w:color="auto"/>
                  </w:divBdr>
                </w:div>
              </w:divsChild>
            </w:div>
            <w:div w:id="470561344">
              <w:marLeft w:val="0"/>
              <w:marRight w:val="0"/>
              <w:marTop w:val="0"/>
              <w:marBottom w:val="0"/>
              <w:divBdr>
                <w:top w:val="none" w:sz="0" w:space="0" w:color="auto"/>
                <w:left w:val="none" w:sz="0" w:space="0" w:color="auto"/>
                <w:bottom w:val="none" w:sz="0" w:space="0" w:color="auto"/>
                <w:right w:val="none" w:sz="0" w:space="0" w:color="auto"/>
              </w:divBdr>
              <w:divsChild>
                <w:div w:id="137571662">
                  <w:marLeft w:val="0"/>
                  <w:marRight w:val="0"/>
                  <w:marTop w:val="0"/>
                  <w:marBottom w:val="0"/>
                  <w:divBdr>
                    <w:top w:val="none" w:sz="0" w:space="0" w:color="auto"/>
                    <w:left w:val="none" w:sz="0" w:space="0" w:color="auto"/>
                    <w:bottom w:val="none" w:sz="0" w:space="0" w:color="auto"/>
                    <w:right w:val="none" w:sz="0" w:space="0" w:color="auto"/>
                  </w:divBdr>
                </w:div>
              </w:divsChild>
            </w:div>
            <w:div w:id="483009237">
              <w:marLeft w:val="0"/>
              <w:marRight w:val="0"/>
              <w:marTop w:val="0"/>
              <w:marBottom w:val="0"/>
              <w:divBdr>
                <w:top w:val="none" w:sz="0" w:space="0" w:color="auto"/>
                <w:left w:val="none" w:sz="0" w:space="0" w:color="auto"/>
                <w:bottom w:val="none" w:sz="0" w:space="0" w:color="auto"/>
                <w:right w:val="none" w:sz="0" w:space="0" w:color="auto"/>
              </w:divBdr>
              <w:divsChild>
                <w:div w:id="412894894">
                  <w:marLeft w:val="0"/>
                  <w:marRight w:val="0"/>
                  <w:marTop w:val="0"/>
                  <w:marBottom w:val="0"/>
                  <w:divBdr>
                    <w:top w:val="none" w:sz="0" w:space="0" w:color="auto"/>
                    <w:left w:val="none" w:sz="0" w:space="0" w:color="auto"/>
                    <w:bottom w:val="none" w:sz="0" w:space="0" w:color="auto"/>
                    <w:right w:val="none" w:sz="0" w:space="0" w:color="auto"/>
                  </w:divBdr>
                </w:div>
              </w:divsChild>
            </w:div>
            <w:div w:id="505093906">
              <w:marLeft w:val="0"/>
              <w:marRight w:val="0"/>
              <w:marTop w:val="0"/>
              <w:marBottom w:val="0"/>
              <w:divBdr>
                <w:top w:val="none" w:sz="0" w:space="0" w:color="auto"/>
                <w:left w:val="none" w:sz="0" w:space="0" w:color="auto"/>
                <w:bottom w:val="none" w:sz="0" w:space="0" w:color="auto"/>
                <w:right w:val="none" w:sz="0" w:space="0" w:color="auto"/>
              </w:divBdr>
              <w:divsChild>
                <w:div w:id="627317686">
                  <w:marLeft w:val="0"/>
                  <w:marRight w:val="0"/>
                  <w:marTop w:val="0"/>
                  <w:marBottom w:val="0"/>
                  <w:divBdr>
                    <w:top w:val="none" w:sz="0" w:space="0" w:color="auto"/>
                    <w:left w:val="none" w:sz="0" w:space="0" w:color="auto"/>
                    <w:bottom w:val="none" w:sz="0" w:space="0" w:color="auto"/>
                    <w:right w:val="none" w:sz="0" w:space="0" w:color="auto"/>
                  </w:divBdr>
                </w:div>
              </w:divsChild>
            </w:div>
            <w:div w:id="507140899">
              <w:marLeft w:val="0"/>
              <w:marRight w:val="0"/>
              <w:marTop w:val="0"/>
              <w:marBottom w:val="0"/>
              <w:divBdr>
                <w:top w:val="none" w:sz="0" w:space="0" w:color="auto"/>
                <w:left w:val="none" w:sz="0" w:space="0" w:color="auto"/>
                <w:bottom w:val="none" w:sz="0" w:space="0" w:color="auto"/>
                <w:right w:val="none" w:sz="0" w:space="0" w:color="auto"/>
              </w:divBdr>
              <w:divsChild>
                <w:div w:id="1133330150">
                  <w:marLeft w:val="0"/>
                  <w:marRight w:val="0"/>
                  <w:marTop w:val="0"/>
                  <w:marBottom w:val="0"/>
                  <w:divBdr>
                    <w:top w:val="none" w:sz="0" w:space="0" w:color="auto"/>
                    <w:left w:val="none" w:sz="0" w:space="0" w:color="auto"/>
                    <w:bottom w:val="none" w:sz="0" w:space="0" w:color="auto"/>
                    <w:right w:val="none" w:sz="0" w:space="0" w:color="auto"/>
                  </w:divBdr>
                </w:div>
              </w:divsChild>
            </w:div>
            <w:div w:id="527916228">
              <w:marLeft w:val="0"/>
              <w:marRight w:val="0"/>
              <w:marTop w:val="0"/>
              <w:marBottom w:val="0"/>
              <w:divBdr>
                <w:top w:val="none" w:sz="0" w:space="0" w:color="auto"/>
                <w:left w:val="none" w:sz="0" w:space="0" w:color="auto"/>
                <w:bottom w:val="none" w:sz="0" w:space="0" w:color="auto"/>
                <w:right w:val="none" w:sz="0" w:space="0" w:color="auto"/>
              </w:divBdr>
              <w:divsChild>
                <w:div w:id="190263473">
                  <w:marLeft w:val="0"/>
                  <w:marRight w:val="0"/>
                  <w:marTop w:val="0"/>
                  <w:marBottom w:val="0"/>
                  <w:divBdr>
                    <w:top w:val="none" w:sz="0" w:space="0" w:color="auto"/>
                    <w:left w:val="none" w:sz="0" w:space="0" w:color="auto"/>
                    <w:bottom w:val="none" w:sz="0" w:space="0" w:color="auto"/>
                    <w:right w:val="none" w:sz="0" w:space="0" w:color="auto"/>
                  </w:divBdr>
                </w:div>
              </w:divsChild>
            </w:div>
            <w:div w:id="569270753">
              <w:marLeft w:val="0"/>
              <w:marRight w:val="0"/>
              <w:marTop w:val="0"/>
              <w:marBottom w:val="0"/>
              <w:divBdr>
                <w:top w:val="none" w:sz="0" w:space="0" w:color="auto"/>
                <w:left w:val="none" w:sz="0" w:space="0" w:color="auto"/>
                <w:bottom w:val="none" w:sz="0" w:space="0" w:color="auto"/>
                <w:right w:val="none" w:sz="0" w:space="0" w:color="auto"/>
              </w:divBdr>
              <w:divsChild>
                <w:div w:id="2080712364">
                  <w:marLeft w:val="0"/>
                  <w:marRight w:val="0"/>
                  <w:marTop w:val="0"/>
                  <w:marBottom w:val="0"/>
                  <w:divBdr>
                    <w:top w:val="none" w:sz="0" w:space="0" w:color="auto"/>
                    <w:left w:val="none" w:sz="0" w:space="0" w:color="auto"/>
                    <w:bottom w:val="none" w:sz="0" w:space="0" w:color="auto"/>
                    <w:right w:val="none" w:sz="0" w:space="0" w:color="auto"/>
                  </w:divBdr>
                </w:div>
              </w:divsChild>
            </w:div>
            <w:div w:id="576865284">
              <w:marLeft w:val="0"/>
              <w:marRight w:val="0"/>
              <w:marTop w:val="0"/>
              <w:marBottom w:val="0"/>
              <w:divBdr>
                <w:top w:val="none" w:sz="0" w:space="0" w:color="auto"/>
                <w:left w:val="none" w:sz="0" w:space="0" w:color="auto"/>
                <w:bottom w:val="none" w:sz="0" w:space="0" w:color="auto"/>
                <w:right w:val="none" w:sz="0" w:space="0" w:color="auto"/>
              </w:divBdr>
              <w:divsChild>
                <w:div w:id="527989713">
                  <w:marLeft w:val="0"/>
                  <w:marRight w:val="0"/>
                  <w:marTop w:val="0"/>
                  <w:marBottom w:val="0"/>
                  <w:divBdr>
                    <w:top w:val="none" w:sz="0" w:space="0" w:color="auto"/>
                    <w:left w:val="none" w:sz="0" w:space="0" w:color="auto"/>
                    <w:bottom w:val="none" w:sz="0" w:space="0" w:color="auto"/>
                    <w:right w:val="none" w:sz="0" w:space="0" w:color="auto"/>
                  </w:divBdr>
                </w:div>
              </w:divsChild>
            </w:div>
            <w:div w:id="577833228">
              <w:marLeft w:val="0"/>
              <w:marRight w:val="0"/>
              <w:marTop w:val="0"/>
              <w:marBottom w:val="0"/>
              <w:divBdr>
                <w:top w:val="none" w:sz="0" w:space="0" w:color="auto"/>
                <w:left w:val="none" w:sz="0" w:space="0" w:color="auto"/>
                <w:bottom w:val="none" w:sz="0" w:space="0" w:color="auto"/>
                <w:right w:val="none" w:sz="0" w:space="0" w:color="auto"/>
              </w:divBdr>
              <w:divsChild>
                <w:div w:id="1398431548">
                  <w:marLeft w:val="0"/>
                  <w:marRight w:val="0"/>
                  <w:marTop w:val="0"/>
                  <w:marBottom w:val="0"/>
                  <w:divBdr>
                    <w:top w:val="none" w:sz="0" w:space="0" w:color="auto"/>
                    <w:left w:val="none" w:sz="0" w:space="0" w:color="auto"/>
                    <w:bottom w:val="none" w:sz="0" w:space="0" w:color="auto"/>
                    <w:right w:val="none" w:sz="0" w:space="0" w:color="auto"/>
                  </w:divBdr>
                </w:div>
              </w:divsChild>
            </w:div>
            <w:div w:id="609120290">
              <w:marLeft w:val="0"/>
              <w:marRight w:val="0"/>
              <w:marTop w:val="0"/>
              <w:marBottom w:val="0"/>
              <w:divBdr>
                <w:top w:val="none" w:sz="0" w:space="0" w:color="auto"/>
                <w:left w:val="none" w:sz="0" w:space="0" w:color="auto"/>
                <w:bottom w:val="none" w:sz="0" w:space="0" w:color="auto"/>
                <w:right w:val="none" w:sz="0" w:space="0" w:color="auto"/>
              </w:divBdr>
              <w:divsChild>
                <w:div w:id="654184560">
                  <w:marLeft w:val="0"/>
                  <w:marRight w:val="0"/>
                  <w:marTop w:val="0"/>
                  <w:marBottom w:val="0"/>
                  <w:divBdr>
                    <w:top w:val="none" w:sz="0" w:space="0" w:color="auto"/>
                    <w:left w:val="none" w:sz="0" w:space="0" w:color="auto"/>
                    <w:bottom w:val="none" w:sz="0" w:space="0" w:color="auto"/>
                    <w:right w:val="none" w:sz="0" w:space="0" w:color="auto"/>
                  </w:divBdr>
                </w:div>
              </w:divsChild>
            </w:div>
            <w:div w:id="630327037">
              <w:marLeft w:val="0"/>
              <w:marRight w:val="0"/>
              <w:marTop w:val="0"/>
              <w:marBottom w:val="0"/>
              <w:divBdr>
                <w:top w:val="none" w:sz="0" w:space="0" w:color="auto"/>
                <w:left w:val="none" w:sz="0" w:space="0" w:color="auto"/>
                <w:bottom w:val="none" w:sz="0" w:space="0" w:color="auto"/>
                <w:right w:val="none" w:sz="0" w:space="0" w:color="auto"/>
              </w:divBdr>
              <w:divsChild>
                <w:div w:id="655452255">
                  <w:marLeft w:val="0"/>
                  <w:marRight w:val="0"/>
                  <w:marTop w:val="0"/>
                  <w:marBottom w:val="0"/>
                  <w:divBdr>
                    <w:top w:val="none" w:sz="0" w:space="0" w:color="auto"/>
                    <w:left w:val="none" w:sz="0" w:space="0" w:color="auto"/>
                    <w:bottom w:val="none" w:sz="0" w:space="0" w:color="auto"/>
                    <w:right w:val="none" w:sz="0" w:space="0" w:color="auto"/>
                  </w:divBdr>
                </w:div>
              </w:divsChild>
            </w:div>
            <w:div w:id="677393807">
              <w:marLeft w:val="0"/>
              <w:marRight w:val="0"/>
              <w:marTop w:val="0"/>
              <w:marBottom w:val="0"/>
              <w:divBdr>
                <w:top w:val="none" w:sz="0" w:space="0" w:color="auto"/>
                <w:left w:val="none" w:sz="0" w:space="0" w:color="auto"/>
                <w:bottom w:val="none" w:sz="0" w:space="0" w:color="auto"/>
                <w:right w:val="none" w:sz="0" w:space="0" w:color="auto"/>
              </w:divBdr>
              <w:divsChild>
                <w:div w:id="34935497">
                  <w:marLeft w:val="0"/>
                  <w:marRight w:val="0"/>
                  <w:marTop w:val="0"/>
                  <w:marBottom w:val="0"/>
                  <w:divBdr>
                    <w:top w:val="none" w:sz="0" w:space="0" w:color="auto"/>
                    <w:left w:val="none" w:sz="0" w:space="0" w:color="auto"/>
                    <w:bottom w:val="none" w:sz="0" w:space="0" w:color="auto"/>
                    <w:right w:val="none" w:sz="0" w:space="0" w:color="auto"/>
                  </w:divBdr>
                </w:div>
              </w:divsChild>
            </w:div>
            <w:div w:id="705522884">
              <w:marLeft w:val="0"/>
              <w:marRight w:val="0"/>
              <w:marTop w:val="0"/>
              <w:marBottom w:val="0"/>
              <w:divBdr>
                <w:top w:val="none" w:sz="0" w:space="0" w:color="auto"/>
                <w:left w:val="none" w:sz="0" w:space="0" w:color="auto"/>
                <w:bottom w:val="none" w:sz="0" w:space="0" w:color="auto"/>
                <w:right w:val="none" w:sz="0" w:space="0" w:color="auto"/>
              </w:divBdr>
              <w:divsChild>
                <w:div w:id="1350598499">
                  <w:marLeft w:val="0"/>
                  <w:marRight w:val="0"/>
                  <w:marTop w:val="0"/>
                  <w:marBottom w:val="0"/>
                  <w:divBdr>
                    <w:top w:val="none" w:sz="0" w:space="0" w:color="auto"/>
                    <w:left w:val="none" w:sz="0" w:space="0" w:color="auto"/>
                    <w:bottom w:val="none" w:sz="0" w:space="0" w:color="auto"/>
                    <w:right w:val="none" w:sz="0" w:space="0" w:color="auto"/>
                  </w:divBdr>
                </w:div>
              </w:divsChild>
            </w:div>
            <w:div w:id="712851161">
              <w:marLeft w:val="0"/>
              <w:marRight w:val="0"/>
              <w:marTop w:val="0"/>
              <w:marBottom w:val="0"/>
              <w:divBdr>
                <w:top w:val="none" w:sz="0" w:space="0" w:color="auto"/>
                <w:left w:val="none" w:sz="0" w:space="0" w:color="auto"/>
                <w:bottom w:val="none" w:sz="0" w:space="0" w:color="auto"/>
                <w:right w:val="none" w:sz="0" w:space="0" w:color="auto"/>
              </w:divBdr>
              <w:divsChild>
                <w:div w:id="1296716690">
                  <w:marLeft w:val="0"/>
                  <w:marRight w:val="0"/>
                  <w:marTop w:val="0"/>
                  <w:marBottom w:val="0"/>
                  <w:divBdr>
                    <w:top w:val="none" w:sz="0" w:space="0" w:color="auto"/>
                    <w:left w:val="none" w:sz="0" w:space="0" w:color="auto"/>
                    <w:bottom w:val="none" w:sz="0" w:space="0" w:color="auto"/>
                    <w:right w:val="none" w:sz="0" w:space="0" w:color="auto"/>
                  </w:divBdr>
                </w:div>
              </w:divsChild>
            </w:div>
            <w:div w:id="715281858">
              <w:marLeft w:val="0"/>
              <w:marRight w:val="0"/>
              <w:marTop w:val="0"/>
              <w:marBottom w:val="0"/>
              <w:divBdr>
                <w:top w:val="none" w:sz="0" w:space="0" w:color="auto"/>
                <w:left w:val="none" w:sz="0" w:space="0" w:color="auto"/>
                <w:bottom w:val="none" w:sz="0" w:space="0" w:color="auto"/>
                <w:right w:val="none" w:sz="0" w:space="0" w:color="auto"/>
              </w:divBdr>
              <w:divsChild>
                <w:div w:id="714623536">
                  <w:marLeft w:val="0"/>
                  <w:marRight w:val="0"/>
                  <w:marTop w:val="0"/>
                  <w:marBottom w:val="0"/>
                  <w:divBdr>
                    <w:top w:val="none" w:sz="0" w:space="0" w:color="auto"/>
                    <w:left w:val="none" w:sz="0" w:space="0" w:color="auto"/>
                    <w:bottom w:val="none" w:sz="0" w:space="0" w:color="auto"/>
                    <w:right w:val="none" w:sz="0" w:space="0" w:color="auto"/>
                  </w:divBdr>
                </w:div>
              </w:divsChild>
            </w:div>
            <w:div w:id="716127564">
              <w:marLeft w:val="0"/>
              <w:marRight w:val="0"/>
              <w:marTop w:val="0"/>
              <w:marBottom w:val="0"/>
              <w:divBdr>
                <w:top w:val="none" w:sz="0" w:space="0" w:color="auto"/>
                <w:left w:val="none" w:sz="0" w:space="0" w:color="auto"/>
                <w:bottom w:val="none" w:sz="0" w:space="0" w:color="auto"/>
                <w:right w:val="none" w:sz="0" w:space="0" w:color="auto"/>
              </w:divBdr>
              <w:divsChild>
                <w:div w:id="246160087">
                  <w:marLeft w:val="0"/>
                  <w:marRight w:val="0"/>
                  <w:marTop w:val="0"/>
                  <w:marBottom w:val="0"/>
                  <w:divBdr>
                    <w:top w:val="none" w:sz="0" w:space="0" w:color="auto"/>
                    <w:left w:val="none" w:sz="0" w:space="0" w:color="auto"/>
                    <w:bottom w:val="none" w:sz="0" w:space="0" w:color="auto"/>
                    <w:right w:val="none" w:sz="0" w:space="0" w:color="auto"/>
                  </w:divBdr>
                </w:div>
              </w:divsChild>
            </w:div>
            <w:div w:id="731082346">
              <w:marLeft w:val="0"/>
              <w:marRight w:val="0"/>
              <w:marTop w:val="0"/>
              <w:marBottom w:val="0"/>
              <w:divBdr>
                <w:top w:val="none" w:sz="0" w:space="0" w:color="auto"/>
                <w:left w:val="none" w:sz="0" w:space="0" w:color="auto"/>
                <w:bottom w:val="none" w:sz="0" w:space="0" w:color="auto"/>
                <w:right w:val="none" w:sz="0" w:space="0" w:color="auto"/>
              </w:divBdr>
              <w:divsChild>
                <w:div w:id="1448503351">
                  <w:marLeft w:val="0"/>
                  <w:marRight w:val="0"/>
                  <w:marTop w:val="0"/>
                  <w:marBottom w:val="0"/>
                  <w:divBdr>
                    <w:top w:val="none" w:sz="0" w:space="0" w:color="auto"/>
                    <w:left w:val="none" w:sz="0" w:space="0" w:color="auto"/>
                    <w:bottom w:val="none" w:sz="0" w:space="0" w:color="auto"/>
                    <w:right w:val="none" w:sz="0" w:space="0" w:color="auto"/>
                  </w:divBdr>
                </w:div>
              </w:divsChild>
            </w:div>
            <w:div w:id="732042900">
              <w:marLeft w:val="0"/>
              <w:marRight w:val="0"/>
              <w:marTop w:val="0"/>
              <w:marBottom w:val="0"/>
              <w:divBdr>
                <w:top w:val="none" w:sz="0" w:space="0" w:color="auto"/>
                <w:left w:val="none" w:sz="0" w:space="0" w:color="auto"/>
                <w:bottom w:val="none" w:sz="0" w:space="0" w:color="auto"/>
                <w:right w:val="none" w:sz="0" w:space="0" w:color="auto"/>
              </w:divBdr>
              <w:divsChild>
                <w:div w:id="1125192623">
                  <w:marLeft w:val="0"/>
                  <w:marRight w:val="0"/>
                  <w:marTop w:val="0"/>
                  <w:marBottom w:val="0"/>
                  <w:divBdr>
                    <w:top w:val="none" w:sz="0" w:space="0" w:color="auto"/>
                    <w:left w:val="none" w:sz="0" w:space="0" w:color="auto"/>
                    <w:bottom w:val="none" w:sz="0" w:space="0" w:color="auto"/>
                    <w:right w:val="none" w:sz="0" w:space="0" w:color="auto"/>
                  </w:divBdr>
                </w:div>
              </w:divsChild>
            </w:div>
            <w:div w:id="740061461">
              <w:marLeft w:val="0"/>
              <w:marRight w:val="0"/>
              <w:marTop w:val="0"/>
              <w:marBottom w:val="0"/>
              <w:divBdr>
                <w:top w:val="none" w:sz="0" w:space="0" w:color="auto"/>
                <w:left w:val="none" w:sz="0" w:space="0" w:color="auto"/>
                <w:bottom w:val="none" w:sz="0" w:space="0" w:color="auto"/>
                <w:right w:val="none" w:sz="0" w:space="0" w:color="auto"/>
              </w:divBdr>
              <w:divsChild>
                <w:div w:id="1374043555">
                  <w:marLeft w:val="0"/>
                  <w:marRight w:val="0"/>
                  <w:marTop w:val="0"/>
                  <w:marBottom w:val="0"/>
                  <w:divBdr>
                    <w:top w:val="none" w:sz="0" w:space="0" w:color="auto"/>
                    <w:left w:val="none" w:sz="0" w:space="0" w:color="auto"/>
                    <w:bottom w:val="none" w:sz="0" w:space="0" w:color="auto"/>
                    <w:right w:val="none" w:sz="0" w:space="0" w:color="auto"/>
                  </w:divBdr>
                </w:div>
              </w:divsChild>
            </w:div>
            <w:div w:id="742994368">
              <w:marLeft w:val="0"/>
              <w:marRight w:val="0"/>
              <w:marTop w:val="0"/>
              <w:marBottom w:val="0"/>
              <w:divBdr>
                <w:top w:val="none" w:sz="0" w:space="0" w:color="auto"/>
                <w:left w:val="none" w:sz="0" w:space="0" w:color="auto"/>
                <w:bottom w:val="none" w:sz="0" w:space="0" w:color="auto"/>
                <w:right w:val="none" w:sz="0" w:space="0" w:color="auto"/>
              </w:divBdr>
              <w:divsChild>
                <w:div w:id="1895970264">
                  <w:marLeft w:val="0"/>
                  <w:marRight w:val="0"/>
                  <w:marTop w:val="0"/>
                  <w:marBottom w:val="0"/>
                  <w:divBdr>
                    <w:top w:val="none" w:sz="0" w:space="0" w:color="auto"/>
                    <w:left w:val="none" w:sz="0" w:space="0" w:color="auto"/>
                    <w:bottom w:val="none" w:sz="0" w:space="0" w:color="auto"/>
                    <w:right w:val="none" w:sz="0" w:space="0" w:color="auto"/>
                  </w:divBdr>
                </w:div>
              </w:divsChild>
            </w:div>
            <w:div w:id="751392848">
              <w:marLeft w:val="0"/>
              <w:marRight w:val="0"/>
              <w:marTop w:val="0"/>
              <w:marBottom w:val="0"/>
              <w:divBdr>
                <w:top w:val="none" w:sz="0" w:space="0" w:color="auto"/>
                <w:left w:val="none" w:sz="0" w:space="0" w:color="auto"/>
                <w:bottom w:val="none" w:sz="0" w:space="0" w:color="auto"/>
                <w:right w:val="none" w:sz="0" w:space="0" w:color="auto"/>
              </w:divBdr>
              <w:divsChild>
                <w:div w:id="2127263647">
                  <w:marLeft w:val="0"/>
                  <w:marRight w:val="0"/>
                  <w:marTop w:val="0"/>
                  <w:marBottom w:val="0"/>
                  <w:divBdr>
                    <w:top w:val="none" w:sz="0" w:space="0" w:color="auto"/>
                    <w:left w:val="none" w:sz="0" w:space="0" w:color="auto"/>
                    <w:bottom w:val="none" w:sz="0" w:space="0" w:color="auto"/>
                    <w:right w:val="none" w:sz="0" w:space="0" w:color="auto"/>
                  </w:divBdr>
                </w:div>
              </w:divsChild>
            </w:div>
            <w:div w:id="755857761">
              <w:marLeft w:val="0"/>
              <w:marRight w:val="0"/>
              <w:marTop w:val="0"/>
              <w:marBottom w:val="0"/>
              <w:divBdr>
                <w:top w:val="none" w:sz="0" w:space="0" w:color="auto"/>
                <w:left w:val="none" w:sz="0" w:space="0" w:color="auto"/>
                <w:bottom w:val="none" w:sz="0" w:space="0" w:color="auto"/>
                <w:right w:val="none" w:sz="0" w:space="0" w:color="auto"/>
              </w:divBdr>
              <w:divsChild>
                <w:div w:id="1287349570">
                  <w:marLeft w:val="0"/>
                  <w:marRight w:val="0"/>
                  <w:marTop w:val="0"/>
                  <w:marBottom w:val="0"/>
                  <w:divBdr>
                    <w:top w:val="none" w:sz="0" w:space="0" w:color="auto"/>
                    <w:left w:val="none" w:sz="0" w:space="0" w:color="auto"/>
                    <w:bottom w:val="none" w:sz="0" w:space="0" w:color="auto"/>
                    <w:right w:val="none" w:sz="0" w:space="0" w:color="auto"/>
                  </w:divBdr>
                </w:div>
              </w:divsChild>
            </w:div>
            <w:div w:id="758718507">
              <w:marLeft w:val="0"/>
              <w:marRight w:val="0"/>
              <w:marTop w:val="0"/>
              <w:marBottom w:val="0"/>
              <w:divBdr>
                <w:top w:val="none" w:sz="0" w:space="0" w:color="auto"/>
                <w:left w:val="none" w:sz="0" w:space="0" w:color="auto"/>
                <w:bottom w:val="none" w:sz="0" w:space="0" w:color="auto"/>
                <w:right w:val="none" w:sz="0" w:space="0" w:color="auto"/>
              </w:divBdr>
              <w:divsChild>
                <w:div w:id="383913025">
                  <w:marLeft w:val="0"/>
                  <w:marRight w:val="0"/>
                  <w:marTop w:val="0"/>
                  <w:marBottom w:val="0"/>
                  <w:divBdr>
                    <w:top w:val="none" w:sz="0" w:space="0" w:color="auto"/>
                    <w:left w:val="none" w:sz="0" w:space="0" w:color="auto"/>
                    <w:bottom w:val="none" w:sz="0" w:space="0" w:color="auto"/>
                    <w:right w:val="none" w:sz="0" w:space="0" w:color="auto"/>
                  </w:divBdr>
                </w:div>
              </w:divsChild>
            </w:div>
            <w:div w:id="761532126">
              <w:marLeft w:val="0"/>
              <w:marRight w:val="0"/>
              <w:marTop w:val="0"/>
              <w:marBottom w:val="0"/>
              <w:divBdr>
                <w:top w:val="none" w:sz="0" w:space="0" w:color="auto"/>
                <w:left w:val="none" w:sz="0" w:space="0" w:color="auto"/>
                <w:bottom w:val="none" w:sz="0" w:space="0" w:color="auto"/>
                <w:right w:val="none" w:sz="0" w:space="0" w:color="auto"/>
              </w:divBdr>
              <w:divsChild>
                <w:div w:id="1478455385">
                  <w:marLeft w:val="0"/>
                  <w:marRight w:val="0"/>
                  <w:marTop w:val="0"/>
                  <w:marBottom w:val="0"/>
                  <w:divBdr>
                    <w:top w:val="none" w:sz="0" w:space="0" w:color="auto"/>
                    <w:left w:val="none" w:sz="0" w:space="0" w:color="auto"/>
                    <w:bottom w:val="none" w:sz="0" w:space="0" w:color="auto"/>
                    <w:right w:val="none" w:sz="0" w:space="0" w:color="auto"/>
                  </w:divBdr>
                </w:div>
              </w:divsChild>
            </w:div>
            <w:div w:id="800684677">
              <w:marLeft w:val="0"/>
              <w:marRight w:val="0"/>
              <w:marTop w:val="0"/>
              <w:marBottom w:val="0"/>
              <w:divBdr>
                <w:top w:val="none" w:sz="0" w:space="0" w:color="auto"/>
                <w:left w:val="none" w:sz="0" w:space="0" w:color="auto"/>
                <w:bottom w:val="none" w:sz="0" w:space="0" w:color="auto"/>
                <w:right w:val="none" w:sz="0" w:space="0" w:color="auto"/>
              </w:divBdr>
              <w:divsChild>
                <w:div w:id="2005621120">
                  <w:marLeft w:val="0"/>
                  <w:marRight w:val="0"/>
                  <w:marTop w:val="0"/>
                  <w:marBottom w:val="0"/>
                  <w:divBdr>
                    <w:top w:val="none" w:sz="0" w:space="0" w:color="auto"/>
                    <w:left w:val="none" w:sz="0" w:space="0" w:color="auto"/>
                    <w:bottom w:val="none" w:sz="0" w:space="0" w:color="auto"/>
                    <w:right w:val="none" w:sz="0" w:space="0" w:color="auto"/>
                  </w:divBdr>
                </w:div>
              </w:divsChild>
            </w:div>
            <w:div w:id="808792071">
              <w:marLeft w:val="0"/>
              <w:marRight w:val="0"/>
              <w:marTop w:val="0"/>
              <w:marBottom w:val="0"/>
              <w:divBdr>
                <w:top w:val="none" w:sz="0" w:space="0" w:color="auto"/>
                <w:left w:val="none" w:sz="0" w:space="0" w:color="auto"/>
                <w:bottom w:val="none" w:sz="0" w:space="0" w:color="auto"/>
                <w:right w:val="none" w:sz="0" w:space="0" w:color="auto"/>
              </w:divBdr>
              <w:divsChild>
                <w:div w:id="1007053292">
                  <w:marLeft w:val="0"/>
                  <w:marRight w:val="0"/>
                  <w:marTop w:val="0"/>
                  <w:marBottom w:val="0"/>
                  <w:divBdr>
                    <w:top w:val="none" w:sz="0" w:space="0" w:color="auto"/>
                    <w:left w:val="none" w:sz="0" w:space="0" w:color="auto"/>
                    <w:bottom w:val="none" w:sz="0" w:space="0" w:color="auto"/>
                    <w:right w:val="none" w:sz="0" w:space="0" w:color="auto"/>
                  </w:divBdr>
                </w:div>
              </w:divsChild>
            </w:div>
            <w:div w:id="841554264">
              <w:marLeft w:val="0"/>
              <w:marRight w:val="0"/>
              <w:marTop w:val="0"/>
              <w:marBottom w:val="0"/>
              <w:divBdr>
                <w:top w:val="none" w:sz="0" w:space="0" w:color="auto"/>
                <w:left w:val="none" w:sz="0" w:space="0" w:color="auto"/>
                <w:bottom w:val="none" w:sz="0" w:space="0" w:color="auto"/>
                <w:right w:val="none" w:sz="0" w:space="0" w:color="auto"/>
              </w:divBdr>
              <w:divsChild>
                <w:div w:id="189804612">
                  <w:marLeft w:val="0"/>
                  <w:marRight w:val="0"/>
                  <w:marTop w:val="0"/>
                  <w:marBottom w:val="0"/>
                  <w:divBdr>
                    <w:top w:val="none" w:sz="0" w:space="0" w:color="auto"/>
                    <w:left w:val="none" w:sz="0" w:space="0" w:color="auto"/>
                    <w:bottom w:val="none" w:sz="0" w:space="0" w:color="auto"/>
                    <w:right w:val="none" w:sz="0" w:space="0" w:color="auto"/>
                  </w:divBdr>
                </w:div>
              </w:divsChild>
            </w:div>
            <w:div w:id="860169380">
              <w:marLeft w:val="0"/>
              <w:marRight w:val="0"/>
              <w:marTop w:val="0"/>
              <w:marBottom w:val="0"/>
              <w:divBdr>
                <w:top w:val="none" w:sz="0" w:space="0" w:color="auto"/>
                <w:left w:val="none" w:sz="0" w:space="0" w:color="auto"/>
                <w:bottom w:val="none" w:sz="0" w:space="0" w:color="auto"/>
                <w:right w:val="none" w:sz="0" w:space="0" w:color="auto"/>
              </w:divBdr>
              <w:divsChild>
                <w:div w:id="1115101414">
                  <w:marLeft w:val="0"/>
                  <w:marRight w:val="0"/>
                  <w:marTop w:val="0"/>
                  <w:marBottom w:val="0"/>
                  <w:divBdr>
                    <w:top w:val="none" w:sz="0" w:space="0" w:color="auto"/>
                    <w:left w:val="none" w:sz="0" w:space="0" w:color="auto"/>
                    <w:bottom w:val="none" w:sz="0" w:space="0" w:color="auto"/>
                    <w:right w:val="none" w:sz="0" w:space="0" w:color="auto"/>
                  </w:divBdr>
                </w:div>
              </w:divsChild>
            </w:div>
            <w:div w:id="874658809">
              <w:marLeft w:val="0"/>
              <w:marRight w:val="0"/>
              <w:marTop w:val="0"/>
              <w:marBottom w:val="0"/>
              <w:divBdr>
                <w:top w:val="none" w:sz="0" w:space="0" w:color="auto"/>
                <w:left w:val="none" w:sz="0" w:space="0" w:color="auto"/>
                <w:bottom w:val="none" w:sz="0" w:space="0" w:color="auto"/>
                <w:right w:val="none" w:sz="0" w:space="0" w:color="auto"/>
              </w:divBdr>
              <w:divsChild>
                <w:div w:id="505486893">
                  <w:marLeft w:val="0"/>
                  <w:marRight w:val="0"/>
                  <w:marTop w:val="0"/>
                  <w:marBottom w:val="0"/>
                  <w:divBdr>
                    <w:top w:val="none" w:sz="0" w:space="0" w:color="auto"/>
                    <w:left w:val="none" w:sz="0" w:space="0" w:color="auto"/>
                    <w:bottom w:val="none" w:sz="0" w:space="0" w:color="auto"/>
                    <w:right w:val="none" w:sz="0" w:space="0" w:color="auto"/>
                  </w:divBdr>
                </w:div>
              </w:divsChild>
            </w:div>
            <w:div w:id="883905395">
              <w:marLeft w:val="0"/>
              <w:marRight w:val="0"/>
              <w:marTop w:val="0"/>
              <w:marBottom w:val="0"/>
              <w:divBdr>
                <w:top w:val="none" w:sz="0" w:space="0" w:color="auto"/>
                <w:left w:val="none" w:sz="0" w:space="0" w:color="auto"/>
                <w:bottom w:val="none" w:sz="0" w:space="0" w:color="auto"/>
                <w:right w:val="none" w:sz="0" w:space="0" w:color="auto"/>
              </w:divBdr>
              <w:divsChild>
                <w:div w:id="51849814">
                  <w:marLeft w:val="0"/>
                  <w:marRight w:val="0"/>
                  <w:marTop w:val="0"/>
                  <w:marBottom w:val="0"/>
                  <w:divBdr>
                    <w:top w:val="none" w:sz="0" w:space="0" w:color="auto"/>
                    <w:left w:val="none" w:sz="0" w:space="0" w:color="auto"/>
                    <w:bottom w:val="none" w:sz="0" w:space="0" w:color="auto"/>
                    <w:right w:val="none" w:sz="0" w:space="0" w:color="auto"/>
                  </w:divBdr>
                </w:div>
              </w:divsChild>
            </w:div>
            <w:div w:id="896864101">
              <w:marLeft w:val="0"/>
              <w:marRight w:val="0"/>
              <w:marTop w:val="0"/>
              <w:marBottom w:val="0"/>
              <w:divBdr>
                <w:top w:val="none" w:sz="0" w:space="0" w:color="auto"/>
                <w:left w:val="none" w:sz="0" w:space="0" w:color="auto"/>
                <w:bottom w:val="none" w:sz="0" w:space="0" w:color="auto"/>
                <w:right w:val="none" w:sz="0" w:space="0" w:color="auto"/>
              </w:divBdr>
              <w:divsChild>
                <w:div w:id="395932438">
                  <w:marLeft w:val="0"/>
                  <w:marRight w:val="0"/>
                  <w:marTop w:val="0"/>
                  <w:marBottom w:val="0"/>
                  <w:divBdr>
                    <w:top w:val="none" w:sz="0" w:space="0" w:color="auto"/>
                    <w:left w:val="none" w:sz="0" w:space="0" w:color="auto"/>
                    <w:bottom w:val="none" w:sz="0" w:space="0" w:color="auto"/>
                    <w:right w:val="none" w:sz="0" w:space="0" w:color="auto"/>
                  </w:divBdr>
                </w:div>
              </w:divsChild>
            </w:div>
            <w:div w:id="900019995">
              <w:marLeft w:val="0"/>
              <w:marRight w:val="0"/>
              <w:marTop w:val="0"/>
              <w:marBottom w:val="0"/>
              <w:divBdr>
                <w:top w:val="none" w:sz="0" w:space="0" w:color="auto"/>
                <w:left w:val="none" w:sz="0" w:space="0" w:color="auto"/>
                <w:bottom w:val="none" w:sz="0" w:space="0" w:color="auto"/>
                <w:right w:val="none" w:sz="0" w:space="0" w:color="auto"/>
              </w:divBdr>
              <w:divsChild>
                <w:div w:id="645669178">
                  <w:marLeft w:val="0"/>
                  <w:marRight w:val="0"/>
                  <w:marTop w:val="0"/>
                  <w:marBottom w:val="0"/>
                  <w:divBdr>
                    <w:top w:val="none" w:sz="0" w:space="0" w:color="auto"/>
                    <w:left w:val="none" w:sz="0" w:space="0" w:color="auto"/>
                    <w:bottom w:val="none" w:sz="0" w:space="0" w:color="auto"/>
                    <w:right w:val="none" w:sz="0" w:space="0" w:color="auto"/>
                  </w:divBdr>
                </w:div>
              </w:divsChild>
            </w:div>
            <w:div w:id="903949909">
              <w:marLeft w:val="0"/>
              <w:marRight w:val="0"/>
              <w:marTop w:val="0"/>
              <w:marBottom w:val="0"/>
              <w:divBdr>
                <w:top w:val="none" w:sz="0" w:space="0" w:color="auto"/>
                <w:left w:val="none" w:sz="0" w:space="0" w:color="auto"/>
                <w:bottom w:val="none" w:sz="0" w:space="0" w:color="auto"/>
                <w:right w:val="none" w:sz="0" w:space="0" w:color="auto"/>
              </w:divBdr>
              <w:divsChild>
                <w:div w:id="245187590">
                  <w:marLeft w:val="0"/>
                  <w:marRight w:val="0"/>
                  <w:marTop w:val="0"/>
                  <w:marBottom w:val="0"/>
                  <w:divBdr>
                    <w:top w:val="none" w:sz="0" w:space="0" w:color="auto"/>
                    <w:left w:val="none" w:sz="0" w:space="0" w:color="auto"/>
                    <w:bottom w:val="none" w:sz="0" w:space="0" w:color="auto"/>
                    <w:right w:val="none" w:sz="0" w:space="0" w:color="auto"/>
                  </w:divBdr>
                </w:div>
              </w:divsChild>
            </w:div>
            <w:div w:id="919558282">
              <w:marLeft w:val="0"/>
              <w:marRight w:val="0"/>
              <w:marTop w:val="0"/>
              <w:marBottom w:val="0"/>
              <w:divBdr>
                <w:top w:val="none" w:sz="0" w:space="0" w:color="auto"/>
                <w:left w:val="none" w:sz="0" w:space="0" w:color="auto"/>
                <w:bottom w:val="none" w:sz="0" w:space="0" w:color="auto"/>
                <w:right w:val="none" w:sz="0" w:space="0" w:color="auto"/>
              </w:divBdr>
              <w:divsChild>
                <w:div w:id="822165323">
                  <w:marLeft w:val="0"/>
                  <w:marRight w:val="0"/>
                  <w:marTop w:val="0"/>
                  <w:marBottom w:val="0"/>
                  <w:divBdr>
                    <w:top w:val="none" w:sz="0" w:space="0" w:color="auto"/>
                    <w:left w:val="none" w:sz="0" w:space="0" w:color="auto"/>
                    <w:bottom w:val="none" w:sz="0" w:space="0" w:color="auto"/>
                    <w:right w:val="none" w:sz="0" w:space="0" w:color="auto"/>
                  </w:divBdr>
                </w:div>
              </w:divsChild>
            </w:div>
            <w:div w:id="943806381">
              <w:marLeft w:val="0"/>
              <w:marRight w:val="0"/>
              <w:marTop w:val="0"/>
              <w:marBottom w:val="0"/>
              <w:divBdr>
                <w:top w:val="none" w:sz="0" w:space="0" w:color="auto"/>
                <w:left w:val="none" w:sz="0" w:space="0" w:color="auto"/>
                <w:bottom w:val="none" w:sz="0" w:space="0" w:color="auto"/>
                <w:right w:val="none" w:sz="0" w:space="0" w:color="auto"/>
              </w:divBdr>
              <w:divsChild>
                <w:div w:id="697121958">
                  <w:marLeft w:val="0"/>
                  <w:marRight w:val="0"/>
                  <w:marTop w:val="0"/>
                  <w:marBottom w:val="0"/>
                  <w:divBdr>
                    <w:top w:val="none" w:sz="0" w:space="0" w:color="auto"/>
                    <w:left w:val="none" w:sz="0" w:space="0" w:color="auto"/>
                    <w:bottom w:val="none" w:sz="0" w:space="0" w:color="auto"/>
                    <w:right w:val="none" w:sz="0" w:space="0" w:color="auto"/>
                  </w:divBdr>
                </w:div>
              </w:divsChild>
            </w:div>
            <w:div w:id="975140896">
              <w:marLeft w:val="0"/>
              <w:marRight w:val="0"/>
              <w:marTop w:val="0"/>
              <w:marBottom w:val="0"/>
              <w:divBdr>
                <w:top w:val="none" w:sz="0" w:space="0" w:color="auto"/>
                <w:left w:val="none" w:sz="0" w:space="0" w:color="auto"/>
                <w:bottom w:val="none" w:sz="0" w:space="0" w:color="auto"/>
                <w:right w:val="none" w:sz="0" w:space="0" w:color="auto"/>
              </w:divBdr>
              <w:divsChild>
                <w:div w:id="722143818">
                  <w:marLeft w:val="0"/>
                  <w:marRight w:val="0"/>
                  <w:marTop w:val="0"/>
                  <w:marBottom w:val="0"/>
                  <w:divBdr>
                    <w:top w:val="none" w:sz="0" w:space="0" w:color="auto"/>
                    <w:left w:val="none" w:sz="0" w:space="0" w:color="auto"/>
                    <w:bottom w:val="none" w:sz="0" w:space="0" w:color="auto"/>
                    <w:right w:val="none" w:sz="0" w:space="0" w:color="auto"/>
                  </w:divBdr>
                </w:div>
              </w:divsChild>
            </w:div>
            <w:div w:id="994992217">
              <w:marLeft w:val="0"/>
              <w:marRight w:val="0"/>
              <w:marTop w:val="0"/>
              <w:marBottom w:val="0"/>
              <w:divBdr>
                <w:top w:val="none" w:sz="0" w:space="0" w:color="auto"/>
                <w:left w:val="none" w:sz="0" w:space="0" w:color="auto"/>
                <w:bottom w:val="none" w:sz="0" w:space="0" w:color="auto"/>
                <w:right w:val="none" w:sz="0" w:space="0" w:color="auto"/>
              </w:divBdr>
              <w:divsChild>
                <w:div w:id="82919143">
                  <w:marLeft w:val="0"/>
                  <w:marRight w:val="0"/>
                  <w:marTop w:val="0"/>
                  <w:marBottom w:val="0"/>
                  <w:divBdr>
                    <w:top w:val="none" w:sz="0" w:space="0" w:color="auto"/>
                    <w:left w:val="none" w:sz="0" w:space="0" w:color="auto"/>
                    <w:bottom w:val="none" w:sz="0" w:space="0" w:color="auto"/>
                    <w:right w:val="none" w:sz="0" w:space="0" w:color="auto"/>
                  </w:divBdr>
                </w:div>
              </w:divsChild>
            </w:div>
            <w:div w:id="1018585303">
              <w:marLeft w:val="0"/>
              <w:marRight w:val="0"/>
              <w:marTop w:val="0"/>
              <w:marBottom w:val="0"/>
              <w:divBdr>
                <w:top w:val="none" w:sz="0" w:space="0" w:color="auto"/>
                <w:left w:val="none" w:sz="0" w:space="0" w:color="auto"/>
                <w:bottom w:val="none" w:sz="0" w:space="0" w:color="auto"/>
                <w:right w:val="none" w:sz="0" w:space="0" w:color="auto"/>
              </w:divBdr>
              <w:divsChild>
                <w:div w:id="1260480678">
                  <w:marLeft w:val="0"/>
                  <w:marRight w:val="0"/>
                  <w:marTop w:val="0"/>
                  <w:marBottom w:val="0"/>
                  <w:divBdr>
                    <w:top w:val="none" w:sz="0" w:space="0" w:color="auto"/>
                    <w:left w:val="none" w:sz="0" w:space="0" w:color="auto"/>
                    <w:bottom w:val="none" w:sz="0" w:space="0" w:color="auto"/>
                    <w:right w:val="none" w:sz="0" w:space="0" w:color="auto"/>
                  </w:divBdr>
                </w:div>
              </w:divsChild>
            </w:div>
            <w:div w:id="1030111805">
              <w:marLeft w:val="0"/>
              <w:marRight w:val="0"/>
              <w:marTop w:val="0"/>
              <w:marBottom w:val="0"/>
              <w:divBdr>
                <w:top w:val="none" w:sz="0" w:space="0" w:color="auto"/>
                <w:left w:val="none" w:sz="0" w:space="0" w:color="auto"/>
                <w:bottom w:val="none" w:sz="0" w:space="0" w:color="auto"/>
                <w:right w:val="none" w:sz="0" w:space="0" w:color="auto"/>
              </w:divBdr>
              <w:divsChild>
                <w:div w:id="549726309">
                  <w:marLeft w:val="0"/>
                  <w:marRight w:val="0"/>
                  <w:marTop w:val="0"/>
                  <w:marBottom w:val="0"/>
                  <w:divBdr>
                    <w:top w:val="none" w:sz="0" w:space="0" w:color="auto"/>
                    <w:left w:val="none" w:sz="0" w:space="0" w:color="auto"/>
                    <w:bottom w:val="none" w:sz="0" w:space="0" w:color="auto"/>
                    <w:right w:val="none" w:sz="0" w:space="0" w:color="auto"/>
                  </w:divBdr>
                </w:div>
              </w:divsChild>
            </w:div>
            <w:div w:id="1036735956">
              <w:marLeft w:val="0"/>
              <w:marRight w:val="0"/>
              <w:marTop w:val="0"/>
              <w:marBottom w:val="0"/>
              <w:divBdr>
                <w:top w:val="none" w:sz="0" w:space="0" w:color="auto"/>
                <w:left w:val="none" w:sz="0" w:space="0" w:color="auto"/>
                <w:bottom w:val="none" w:sz="0" w:space="0" w:color="auto"/>
                <w:right w:val="none" w:sz="0" w:space="0" w:color="auto"/>
              </w:divBdr>
              <w:divsChild>
                <w:div w:id="1344209174">
                  <w:marLeft w:val="0"/>
                  <w:marRight w:val="0"/>
                  <w:marTop w:val="0"/>
                  <w:marBottom w:val="0"/>
                  <w:divBdr>
                    <w:top w:val="none" w:sz="0" w:space="0" w:color="auto"/>
                    <w:left w:val="none" w:sz="0" w:space="0" w:color="auto"/>
                    <w:bottom w:val="none" w:sz="0" w:space="0" w:color="auto"/>
                    <w:right w:val="none" w:sz="0" w:space="0" w:color="auto"/>
                  </w:divBdr>
                </w:div>
              </w:divsChild>
            </w:div>
            <w:div w:id="1045175864">
              <w:marLeft w:val="0"/>
              <w:marRight w:val="0"/>
              <w:marTop w:val="0"/>
              <w:marBottom w:val="0"/>
              <w:divBdr>
                <w:top w:val="none" w:sz="0" w:space="0" w:color="auto"/>
                <w:left w:val="none" w:sz="0" w:space="0" w:color="auto"/>
                <w:bottom w:val="none" w:sz="0" w:space="0" w:color="auto"/>
                <w:right w:val="none" w:sz="0" w:space="0" w:color="auto"/>
              </w:divBdr>
              <w:divsChild>
                <w:div w:id="866530940">
                  <w:marLeft w:val="0"/>
                  <w:marRight w:val="0"/>
                  <w:marTop w:val="0"/>
                  <w:marBottom w:val="0"/>
                  <w:divBdr>
                    <w:top w:val="none" w:sz="0" w:space="0" w:color="auto"/>
                    <w:left w:val="none" w:sz="0" w:space="0" w:color="auto"/>
                    <w:bottom w:val="none" w:sz="0" w:space="0" w:color="auto"/>
                    <w:right w:val="none" w:sz="0" w:space="0" w:color="auto"/>
                  </w:divBdr>
                </w:div>
              </w:divsChild>
            </w:div>
            <w:div w:id="1047609151">
              <w:marLeft w:val="0"/>
              <w:marRight w:val="0"/>
              <w:marTop w:val="0"/>
              <w:marBottom w:val="0"/>
              <w:divBdr>
                <w:top w:val="none" w:sz="0" w:space="0" w:color="auto"/>
                <w:left w:val="none" w:sz="0" w:space="0" w:color="auto"/>
                <w:bottom w:val="none" w:sz="0" w:space="0" w:color="auto"/>
                <w:right w:val="none" w:sz="0" w:space="0" w:color="auto"/>
              </w:divBdr>
              <w:divsChild>
                <w:div w:id="650063757">
                  <w:marLeft w:val="0"/>
                  <w:marRight w:val="0"/>
                  <w:marTop w:val="0"/>
                  <w:marBottom w:val="0"/>
                  <w:divBdr>
                    <w:top w:val="none" w:sz="0" w:space="0" w:color="auto"/>
                    <w:left w:val="none" w:sz="0" w:space="0" w:color="auto"/>
                    <w:bottom w:val="none" w:sz="0" w:space="0" w:color="auto"/>
                    <w:right w:val="none" w:sz="0" w:space="0" w:color="auto"/>
                  </w:divBdr>
                </w:div>
              </w:divsChild>
            </w:div>
            <w:div w:id="1048801089">
              <w:marLeft w:val="0"/>
              <w:marRight w:val="0"/>
              <w:marTop w:val="0"/>
              <w:marBottom w:val="0"/>
              <w:divBdr>
                <w:top w:val="none" w:sz="0" w:space="0" w:color="auto"/>
                <w:left w:val="none" w:sz="0" w:space="0" w:color="auto"/>
                <w:bottom w:val="none" w:sz="0" w:space="0" w:color="auto"/>
                <w:right w:val="none" w:sz="0" w:space="0" w:color="auto"/>
              </w:divBdr>
              <w:divsChild>
                <w:div w:id="2049181348">
                  <w:marLeft w:val="0"/>
                  <w:marRight w:val="0"/>
                  <w:marTop w:val="0"/>
                  <w:marBottom w:val="0"/>
                  <w:divBdr>
                    <w:top w:val="none" w:sz="0" w:space="0" w:color="auto"/>
                    <w:left w:val="none" w:sz="0" w:space="0" w:color="auto"/>
                    <w:bottom w:val="none" w:sz="0" w:space="0" w:color="auto"/>
                    <w:right w:val="none" w:sz="0" w:space="0" w:color="auto"/>
                  </w:divBdr>
                </w:div>
              </w:divsChild>
            </w:div>
            <w:div w:id="1077364110">
              <w:marLeft w:val="0"/>
              <w:marRight w:val="0"/>
              <w:marTop w:val="0"/>
              <w:marBottom w:val="0"/>
              <w:divBdr>
                <w:top w:val="none" w:sz="0" w:space="0" w:color="auto"/>
                <w:left w:val="none" w:sz="0" w:space="0" w:color="auto"/>
                <w:bottom w:val="none" w:sz="0" w:space="0" w:color="auto"/>
                <w:right w:val="none" w:sz="0" w:space="0" w:color="auto"/>
              </w:divBdr>
              <w:divsChild>
                <w:div w:id="654721457">
                  <w:marLeft w:val="0"/>
                  <w:marRight w:val="0"/>
                  <w:marTop w:val="0"/>
                  <w:marBottom w:val="0"/>
                  <w:divBdr>
                    <w:top w:val="none" w:sz="0" w:space="0" w:color="auto"/>
                    <w:left w:val="none" w:sz="0" w:space="0" w:color="auto"/>
                    <w:bottom w:val="none" w:sz="0" w:space="0" w:color="auto"/>
                    <w:right w:val="none" w:sz="0" w:space="0" w:color="auto"/>
                  </w:divBdr>
                </w:div>
              </w:divsChild>
            </w:div>
            <w:div w:id="1101997058">
              <w:marLeft w:val="0"/>
              <w:marRight w:val="0"/>
              <w:marTop w:val="0"/>
              <w:marBottom w:val="0"/>
              <w:divBdr>
                <w:top w:val="none" w:sz="0" w:space="0" w:color="auto"/>
                <w:left w:val="none" w:sz="0" w:space="0" w:color="auto"/>
                <w:bottom w:val="none" w:sz="0" w:space="0" w:color="auto"/>
                <w:right w:val="none" w:sz="0" w:space="0" w:color="auto"/>
              </w:divBdr>
              <w:divsChild>
                <w:div w:id="1305157546">
                  <w:marLeft w:val="0"/>
                  <w:marRight w:val="0"/>
                  <w:marTop w:val="0"/>
                  <w:marBottom w:val="0"/>
                  <w:divBdr>
                    <w:top w:val="none" w:sz="0" w:space="0" w:color="auto"/>
                    <w:left w:val="none" w:sz="0" w:space="0" w:color="auto"/>
                    <w:bottom w:val="none" w:sz="0" w:space="0" w:color="auto"/>
                    <w:right w:val="none" w:sz="0" w:space="0" w:color="auto"/>
                  </w:divBdr>
                </w:div>
              </w:divsChild>
            </w:div>
            <w:div w:id="1128009409">
              <w:marLeft w:val="0"/>
              <w:marRight w:val="0"/>
              <w:marTop w:val="0"/>
              <w:marBottom w:val="0"/>
              <w:divBdr>
                <w:top w:val="none" w:sz="0" w:space="0" w:color="auto"/>
                <w:left w:val="none" w:sz="0" w:space="0" w:color="auto"/>
                <w:bottom w:val="none" w:sz="0" w:space="0" w:color="auto"/>
                <w:right w:val="none" w:sz="0" w:space="0" w:color="auto"/>
              </w:divBdr>
              <w:divsChild>
                <w:div w:id="1080055949">
                  <w:marLeft w:val="0"/>
                  <w:marRight w:val="0"/>
                  <w:marTop w:val="0"/>
                  <w:marBottom w:val="0"/>
                  <w:divBdr>
                    <w:top w:val="none" w:sz="0" w:space="0" w:color="auto"/>
                    <w:left w:val="none" w:sz="0" w:space="0" w:color="auto"/>
                    <w:bottom w:val="none" w:sz="0" w:space="0" w:color="auto"/>
                    <w:right w:val="none" w:sz="0" w:space="0" w:color="auto"/>
                  </w:divBdr>
                </w:div>
              </w:divsChild>
            </w:div>
            <w:div w:id="1128282034">
              <w:marLeft w:val="0"/>
              <w:marRight w:val="0"/>
              <w:marTop w:val="0"/>
              <w:marBottom w:val="0"/>
              <w:divBdr>
                <w:top w:val="none" w:sz="0" w:space="0" w:color="auto"/>
                <w:left w:val="none" w:sz="0" w:space="0" w:color="auto"/>
                <w:bottom w:val="none" w:sz="0" w:space="0" w:color="auto"/>
                <w:right w:val="none" w:sz="0" w:space="0" w:color="auto"/>
              </w:divBdr>
              <w:divsChild>
                <w:div w:id="1037853638">
                  <w:marLeft w:val="0"/>
                  <w:marRight w:val="0"/>
                  <w:marTop w:val="0"/>
                  <w:marBottom w:val="0"/>
                  <w:divBdr>
                    <w:top w:val="none" w:sz="0" w:space="0" w:color="auto"/>
                    <w:left w:val="none" w:sz="0" w:space="0" w:color="auto"/>
                    <w:bottom w:val="none" w:sz="0" w:space="0" w:color="auto"/>
                    <w:right w:val="none" w:sz="0" w:space="0" w:color="auto"/>
                  </w:divBdr>
                </w:div>
              </w:divsChild>
            </w:div>
            <w:div w:id="1158883574">
              <w:marLeft w:val="0"/>
              <w:marRight w:val="0"/>
              <w:marTop w:val="0"/>
              <w:marBottom w:val="0"/>
              <w:divBdr>
                <w:top w:val="none" w:sz="0" w:space="0" w:color="auto"/>
                <w:left w:val="none" w:sz="0" w:space="0" w:color="auto"/>
                <w:bottom w:val="none" w:sz="0" w:space="0" w:color="auto"/>
                <w:right w:val="none" w:sz="0" w:space="0" w:color="auto"/>
              </w:divBdr>
              <w:divsChild>
                <w:div w:id="324405434">
                  <w:marLeft w:val="0"/>
                  <w:marRight w:val="0"/>
                  <w:marTop w:val="0"/>
                  <w:marBottom w:val="0"/>
                  <w:divBdr>
                    <w:top w:val="none" w:sz="0" w:space="0" w:color="auto"/>
                    <w:left w:val="none" w:sz="0" w:space="0" w:color="auto"/>
                    <w:bottom w:val="none" w:sz="0" w:space="0" w:color="auto"/>
                    <w:right w:val="none" w:sz="0" w:space="0" w:color="auto"/>
                  </w:divBdr>
                </w:div>
              </w:divsChild>
            </w:div>
            <w:div w:id="1159151585">
              <w:marLeft w:val="0"/>
              <w:marRight w:val="0"/>
              <w:marTop w:val="0"/>
              <w:marBottom w:val="0"/>
              <w:divBdr>
                <w:top w:val="none" w:sz="0" w:space="0" w:color="auto"/>
                <w:left w:val="none" w:sz="0" w:space="0" w:color="auto"/>
                <w:bottom w:val="none" w:sz="0" w:space="0" w:color="auto"/>
                <w:right w:val="none" w:sz="0" w:space="0" w:color="auto"/>
              </w:divBdr>
              <w:divsChild>
                <w:div w:id="187332151">
                  <w:marLeft w:val="0"/>
                  <w:marRight w:val="0"/>
                  <w:marTop w:val="0"/>
                  <w:marBottom w:val="0"/>
                  <w:divBdr>
                    <w:top w:val="none" w:sz="0" w:space="0" w:color="auto"/>
                    <w:left w:val="none" w:sz="0" w:space="0" w:color="auto"/>
                    <w:bottom w:val="none" w:sz="0" w:space="0" w:color="auto"/>
                    <w:right w:val="none" w:sz="0" w:space="0" w:color="auto"/>
                  </w:divBdr>
                </w:div>
              </w:divsChild>
            </w:div>
            <w:div w:id="1175221851">
              <w:marLeft w:val="0"/>
              <w:marRight w:val="0"/>
              <w:marTop w:val="0"/>
              <w:marBottom w:val="0"/>
              <w:divBdr>
                <w:top w:val="none" w:sz="0" w:space="0" w:color="auto"/>
                <w:left w:val="none" w:sz="0" w:space="0" w:color="auto"/>
                <w:bottom w:val="none" w:sz="0" w:space="0" w:color="auto"/>
                <w:right w:val="none" w:sz="0" w:space="0" w:color="auto"/>
              </w:divBdr>
              <w:divsChild>
                <w:div w:id="1898936944">
                  <w:marLeft w:val="0"/>
                  <w:marRight w:val="0"/>
                  <w:marTop w:val="0"/>
                  <w:marBottom w:val="0"/>
                  <w:divBdr>
                    <w:top w:val="none" w:sz="0" w:space="0" w:color="auto"/>
                    <w:left w:val="none" w:sz="0" w:space="0" w:color="auto"/>
                    <w:bottom w:val="none" w:sz="0" w:space="0" w:color="auto"/>
                    <w:right w:val="none" w:sz="0" w:space="0" w:color="auto"/>
                  </w:divBdr>
                </w:div>
              </w:divsChild>
            </w:div>
            <w:div w:id="1178806961">
              <w:marLeft w:val="0"/>
              <w:marRight w:val="0"/>
              <w:marTop w:val="0"/>
              <w:marBottom w:val="0"/>
              <w:divBdr>
                <w:top w:val="none" w:sz="0" w:space="0" w:color="auto"/>
                <w:left w:val="none" w:sz="0" w:space="0" w:color="auto"/>
                <w:bottom w:val="none" w:sz="0" w:space="0" w:color="auto"/>
                <w:right w:val="none" w:sz="0" w:space="0" w:color="auto"/>
              </w:divBdr>
              <w:divsChild>
                <w:div w:id="1698578955">
                  <w:marLeft w:val="0"/>
                  <w:marRight w:val="0"/>
                  <w:marTop w:val="0"/>
                  <w:marBottom w:val="0"/>
                  <w:divBdr>
                    <w:top w:val="none" w:sz="0" w:space="0" w:color="auto"/>
                    <w:left w:val="none" w:sz="0" w:space="0" w:color="auto"/>
                    <w:bottom w:val="none" w:sz="0" w:space="0" w:color="auto"/>
                    <w:right w:val="none" w:sz="0" w:space="0" w:color="auto"/>
                  </w:divBdr>
                </w:div>
              </w:divsChild>
            </w:div>
            <w:div w:id="1194920555">
              <w:marLeft w:val="0"/>
              <w:marRight w:val="0"/>
              <w:marTop w:val="0"/>
              <w:marBottom w:val="0"/>
              <w:divBdr>
                <w:top w:val="none" w:sz="0" w:space="0" w:color="auto"/>
                <w:left w:val="none" w:sz="0" w:space="0" w:color="auto"/>
                <w:bottom w:val="none" w:sz="0" w:space="0" w:color="auto"/>
                <w:right w:val="none" w:sz="0" w:space="0" w:color="auto"/>
              </w:divBdr>
              <w:divsChild>
                <w:div w:id="432212651">
                  <w:marLeft w:val="0"/>
                  <w:marRight w:val="0"/>
                  <w:marTop w:val="0"/>
                  <w:marBottom w:val="0"/>
                  <w:divBdr>
                    <w:top w:val="none" w:sz="0" w:space="0" w:color="auto"/>
                    <w:left w:val="none" w:sz="0" w:space="0" w:color="auto"/>
                    <w:bottom w:val="none" w:sz="0" w:space="0" w:color="auto"/>
                    <w:right w:val="none" w:sz="0" w:space="0" w:color="auto"/>
                  </w:divBdr>
                </w:div>
              </w:divsChild>
            </w:div>
            <w:div w:id="1198398493">
              <w:marLeft w:val="0"/>
              <w:marRight w:val="0"/>
              <w:marTop w:val="0"/>
              <w:marBottom w:val="0"/>
              <w:divBdr>
                <w:top w:val="none" w:sz="0" w:space="0" w:color="auto"/>
                <w:left w:val="none" w:sz="0" w:space="0" w:color="auto"/>
                <w:bottom w:val="none" w:sz="0" w:space="0" w:color="auto"/>
                <w:right w:val="none" w:sz="0" w:space="0" w:color="auto"/>
              </w:divBdr>
              <w:divsChild>
                <w:div w:id="1268003505">
                  <w:marLeft w:val="0"/>
                  <w:marRight w:val="0"/>
                  <w:marTop w:val="0"/>
                  <w:marBottom w:val="0"/>
                  <w:divBdr>
                    <w:top w:val="none" w:sz="0" w:space="0" w:color="auto"/>
                    <w:left w:val="none" w:sz="0" w:space="0" w:color="auto"/>
                    <w:bottom w:val="none" w:sz="0" w:space="0" w:color="auto"/>
                    <w:right w:val="none" w:sz="0" w:space="0" w:color="auto"/>
                  </w:divBdr>
                </w:div>
              </w:divsChild>
            </w:div>
            <w:div w:id="1215846827">
              <w:marLeft w:val="0"/>
              <w:marRight w:val="0"/>
              <w:marTop w:val="0"/>
              <w:marBottom w:val="0"/>
              <w:divBdr>
                <w:top w:val="none" w:sz="0" w:space="0" w:color="auto"/>
                <w:left w:val="none" w:sz="0" w:space="0" w:color="auto"/>
                <w:bottom w:val="none" w:sz="0" w:space="0" w:color="auto"/>
                <w:right w:val="none" w:sz="0" w:space="0" w:color="auto"/>
              </w:divBdr>
              <w:divsChild>
                <w:div w:id="734160018">
                  <w:marLeft w:val="0"/>
                  <w:marRight w:val="0"/>
                  <w:marTop w:val="0"/>
                  <w:marBottom w:val="0"/>
                  <w:divBdr>
                    <w:top w:val="none" w:sz="0" w:space="0" w:color="auto"/>
                    <w:left w:val="none" w:sz="0" w:space="0" w:color="auto"/>
                    <w:bottom w:val="none" w:sz="0" w:space="0" w:color="auto"/>
                    <w:right w:val="none" w:sz="0" w:space="0" w:color="auto"/>
                  </w:divBdr>
                </w:div>
              </w:divsChild>
            </w:div>
            <w:div w:id="1252741330">
              <w:marLeft w:val="0"/>
              <w:marRight w:val="0"/>
              <w:marTop w:val="0"/>
              <w:marBottom w:val="0"/>
              <w:divBdr>
                <w:top w:val="none" w:sz="0" w:space="0" w:color="auto"/>
                <w:left w:val="none" w:sz="0" w:space="0" w:color="auto"/>
                <w:bottom w:val="none" w:sz="0" w:space="0" w:color="auto"/>
                <w:right w:val="none" w:sz="0" w:space="0" w:color="auto"/>
              </w:divBdr>
              <w:divsChild>
                <w:div w:id="483814770">
                  <w:marLeft w:val="0"/>
                  <w:marRight w:val="0"/>
                  <w:marTop w:val="0"/>
                  <w:marBottom w:val="0"/>
                  <w:divBdr>
                    <w:top w:val="none" w:sz="0" w:space="0" w:color="auto"/>
                    <w:left w:val="none" w:sz="0" w:space="0" w:color="auto"/>
                    <w:bottom w:val="none" w:sz="0" w:space="0" w:color="auto"/>
                    <w:right w:val="none" w:sz="0" w:space="0" w:color="auto"/>
                  </w:divBdr>
                </w:div>
              </w:divsChild>
            </w:div>
            <w:div w:id="1266693517">
              <w:marLeft w:val="0"/>
              <w:marRight w:val="0"/>
              <w:marTop w:val="0"/>
              <w:marBottom w:val="0"/>
              <w:divBdr>
                <w:top w:val="none" w:sz="0" w:space="0" w:color="auto"/>
                <w:left w:val="none" w:sz="0" w:space="0" w:color="auto"/>
                <w:bottom w:val="none" w:sz="0" w:space="0" w:color="auto"/>
                <w:right w:val="none" w:sz="0" w:space="0" w:color="auto"/>
              </w:divBdr>
              <w:divsChild>
                <w:div w:id="809593328">
                  <w:marLeft w:val="0"/>
                  <w:marRight w:val="0"/>
                  <w:marTop w:val="0"/>
                  <w:marBottom w:val="0"/>
                  <w:divBdr>
                    <w:top w:val="none" w:sz="0" w:space="0" w:color="auto"/>
                    <w:left w:val="none" w:sz="0" w:space="0" w:color="auto"/>
                    <w:bottom w:val="none" w:sz="0" w:space="0" w:color="auto"/>
                    <w:right w:val="none" w:sz="0" w:space="0" w:color="auto"/>
                  </w:divBdr>
                </w:div>
              </w:divsChild>
            </w:div>
            <w:div w:id="1276136355">
              <w:marLeft w:val="0"/>
              <w:marRight w:val="0"/>
              <w:marTop w:val="0"/>
              <w:marBottom w:val="0"/>
              <w:divBdr>
                <w:top w:val="none" w:sz="0" w:space="0" w:color="auto"/>
                <w:left w:val="none" w:sz="0" w:space="0" w:color="auto"/>
                <w:bottom w:val="none" w:sz="0" w:space="0" w:color="auto"/>
                <w:right w:val="none" w:sz="0" w:space="0" w:color="auto"/>
              </w:divBdr>
              <w:divsChild>
                <w:div w:id="2117287021">
                  <w:marLeft w:val="0"/>
                  <w:marRight w:val="0"/>
                  <w:marTop w:val="0"/>
                  <w:marBottom w:val="0"/>
                  <w:divBdr>
                    <w:top w:val="none" w:sz="0" w:space="0" w:color="auto"/>
                    <w:left w:val="none" w:sz="0" w:space="0" w:color="auto"/>
                    <w:bottom w:val="none" w:sz="0" w:space="0" w:color="auto"/>
                    <w:right w:val="none" w:sz="0" w:space="0" w:color="auto"/>
                  </w:divBdr>
                </w:div>
              </w:divsChild>
            </w:div>
            <w:div w:id="1277444769">
              <w:marLeft w:val="0"/>
              <w:marRight w:val="0"/>
              <w:marTop w:val="0"/>
              <w:marBottom w:val="0"/>
              <w:divBdr>
                <w:top w:val="none" w:sz="0" w:space="0" w:color="auto"/>
                <w:left w:val="none" w:sz="0" w:space="0" w:color="auto"/>
                <w:bottom w:val="none" w:sz="0" w:space="0" w:color="auto"/>
                <w:right w:val="none" w:sz="0" w:space="0" w:color="auto"/>
              </w:divBdr>
              <w:divsChild>
                <w:div w:id="114105802">
                  <w:marLeft w:val="0"/>
                  <w:marRight w:val="0"/>
                  <w:marTop w:val="0"/>
                  <w:marBottom w:val="0"/>
                  <w:divBdr>
                    <w:top w:val="none" w:sz="0" w:space="0" w:color="auto"/>
                    <w:left w:val="none" w:sz="0" w:space="0" w:color="auto"/>
                    <w:bottom w:val="none" w:sz="0" w:space="0" w:color="auto"/>
                    <w:right w:val="none" w:sz="0" w:space="0" w:color="auto"/>
                  </w:divBdr>
                </w:div>
              </w:divsChild>
            </w:div>
            <w:div w:id="1313951405">
              <w:marLeft w:val="0"/>
              <w:marRight w:val="0"/>
              <w:marTop w:val="0"/>
              <w:marBottom w:val="0"/>
              <w:divBdr>
                <w:top w:val="none" w:sz="0" w:space="0" w:color="auto"/>
                <w:left w:val="none" w:sz="0" w:space="0" w:color="auto"/>
                <w:bottom w:val="none" w:sz="0" w:space="0" w:color="auto"/>
                <w:right w:val="none" w:sz="0" w:space="0" w:color="auto"/>
              </w:divBdr>
              <w:divsChild>
                <w:div w:id="1715885367">
                  <w:marLeft w:val="0"/>
                  <w:marRight w:val="0"/>
                  <w:marTop w:val="0"/>
                  <w:marBottom w:val="0"/>
                  <w:divBdr>
                    <w:top w:val="none" w:sz="0" w:space="0" w:color="auto"/>
                    <w:left w:val="none" w:sz="0" w:space="0" w:color="auto"/>
                    <w:bottom w:val="none" w:sz="0" w:space="0" w:color="auto"/>
                    <w:right w:val="none" w:sz="0" w:space="0" w:color="auto"/>
                  </w:divBdr>
                </w:div>
              </w:divsChild>
            </w:div>
            <w:div w:id="1326007766">
              <w:marLeft w:val="0"/>
              <w:marRight w:val="0"/>
              <w:marTop w:val="0"/>
              <w:marBottom w:val="0"/>
              <w:divBdr>
                <w:top w:val="none" w:sz="0" w:space="0" w:color="auto"/>
                <w:left w:val="none" w:sz="0" w:space="0" w:color="auto"/>
                <w:bottom w:val="none" w:sz="0" w:space="0" w:color="auto"/>
                <w:right w:val="none" w:sz="0" w:space="0" w:color="auto"/>
              </w:divBdr>
              <w:divsChild>
                <w:div w:id="1023439118">
                  <w:marLeft w:val="0"/>
                  <w:marRight w:val="0"/>
                  <w:marTop w:val="0"/>
                  <w:marBottom w:val="0"/>
                  <w:divBdr>
                    <w:top w:val="none" w:sz="0" w:space="0" w:color="auto"/>
                    <w:left w:val="none" w:sz="0" w:space="0" w:color="auto"/>
                    <w:bottom w:val="none" w:sz="0" w:space="0" w:color="auto"/>
                    <w:right w:val="none" w:sz="0" w:space="0" w:color="auto"/>
                  </w:divBdr>
                </w:div>
              </w:divsChild>
            </w:div>
            <w:div w:id="1336806402">
              <w:marLeft w:val="0"/>
              <w:marRight w:val="0"/>
              <w:marTop w:val="0"/>
              <w:marBottom w:val="0"/>
              <w:divBdr>
                <w:top w:val="none" w:sz="0" w:space="0" w:color="auto"/>
                <w:left w:val="none" w:sz="0" w:space="0" w:color="auto"/>
                <w:bottom w:val="none" w:sz="0" w:space="0" w:color="auto"/>
                <w:right w:val="none" w:sz="0" w:space="0" w:color="auto"/>
              </w:divBdr>
              <w:divsChild>
                <w:div w:id="1649819938">
                  <w:marLeft w:val="0"/>
                  <w:marRight w:val="0"/>
                  <w:marTop w:val="0"/>
                  <w:marBottom w:val="0"/>
                  <w:divBdr>
                    <w:top w:val="none" w:sz="0" w:space="0" w:color="auto"/>
                    <w:left w:val="none" w:sz="0" w:space="0" w:color="auto"/>
                    <w:bottom w:val="none" w:sz="0" w:space="0" w:color="auto"/>
                    <w:right w:val="none" w:sz="0" w:space="0" w:color="auto"/>
                  </w:divBdr>
                </w:div>
              </w:divsChild>
            </w:div>
            <w:div w:id="1350990543">
              <w:marLeft w:val="0"/>
              <w:marRight w:val="0"/>
              <w:marTop w:val="0"/>
              <w:marBottom w:val="0"/>
              <w:divBdr>
                <w:top w:val="none" w:sz="0" w:space="0" w:color="auto"/>
                <w:left w:val="none" w:sz="0" w:space="0" w:color="auto"/>
                <w:bottom w:val="none" w:sz="0" w:space="0" w:color="auto"/>
                <w:right w:val="none" w:sz="0" w:space="0" w:color="auto"/>
              </w:divBdr>
              <w:divsChild>
                <w:div w:id="2012948305">
                  <w:marLeft w:val="0"/>
                  <w:marRight w:val="0"/>
                  <w:marTop w:val="0"/>
                  <w:marBottom w:val="0"/>
                  <w:divBdr>
                    <w:top w:val="none" w:sz="0" w:space="0" w:color="auto"/>
                    <w:left w:val="none" w:sz="0" w:space="0" w:color="auto"/>
                    <w:bottom w:val="none" w:sz="0" w:space="0" w:color="auto"/>
                    <w:right w:val="none" w:sz="0" w:space="0" w:color="auto"/>
                  </w:divBdr>
                </w:div>
              </w:divsChild>
            </w:div>
            <w:div w:id="1370257703">
              <w:marLeft w:val="0"/>
              <w:marRight w:val="0"/>
              <w:marTop w:val="0"/>
              <w:marBottom w:val="0"/>
              <w:divBdr>
                <w:top w:val="none" w:sz="0" w:space="0" w:color="auto"/>
                <w:left w:val="none" w:sz="0" w:space="0" w:color="auto"/>
                <w:bottom w:val="none" w:sz="0" w:space="0" w:color="auto"/>
                <w:right w:val="none" w:sz="0" w:space="0" w:color="auto"/>
              </w:divBdr>
              <w:divsChild>
                <w:div w:id="312830665">
                  <w:marLeft w:val="0"/>
                  <w:marRight w:val="0"/>
                  <w:marTop w:val="0"/>
                  <w:marBottom w:val="0"/>
                  <w:divBdr>
                    <w:top w:val="none" w:sz="0" w:space="0" w:color="auto"/>
                    <w:left w:val="none" w:sz="0" w:space="0" w:color="auto"/>
                    <w:bottom w:val="none" w:sz="0" w:space="0" w:color="auto"/>
                    <w:right w:val="none" w:sz="0" w:space="0" w:color="auto"/>
                  </w:divBdr>
                </w:div>
              </w:divsChild>
            </w:div>
            <w:div w:id="1372535930">
              <w:marLeft w:val="0"/>
              <w:marRight w:val="0"/>
              <w:marTop w:val="0"/>
              <w:marBottom w:val="0"/>
              <w:divBdr>
                <w:top w:val="none" w:sz="0" w:space="0" w:color="auto"/>
                <w:left w:val="none" w:sz="0" w:space="0" w:color="auto"/>
                <w:bottom w:val="none" w:sz="0" w:space="0" w:color="auto"/>
                <w:right w:val="none" w:sz="0" w:space="0" w:color="auto"/>
              </w:divBdr>
              <w:divsChild>
                <w:div w:id="1858882711">
                  <w:marLeft w:val="0"/>
                  <w:marRight w:val="0"/>
                  <w:marTop w:val="0"/>
                  <w:marBottom w:val="0"/>
                  <w:divBdr>
                    <w:top w:val="none" w:sz="0" w:space="0" w:color="auto"/>
                    <w:left w:val="none" w:sz="0" w:space="0" w:color="auto"/>
                    <w:bottom w:val="none" w:sz="0" w:space="0" w:color="auto"/>
                    <w:right w:val="none" w:sz="0" w:space="0" w:color="auto"/>
                  </w:divBdr>
                </w:div>
              </w:divsChild>
            </w:div>
            <w:div w:id="1382172002">
              <w:marLeft w:val="0"/>
              <w:marRight w:val="0"/>
              <w:marTop w:val="0"/>
              <w:marBottom w:val="0"/>
              <w:divBdr>
                <w:top w:val="none" w:sz="0" w:space="0" w:color="auto"/>
                <w:left w:val="none" w:sz="0" w:space="0" w:color="auto"/>
                <w:bottom w:val="none" w:sz="0" w:space="0" w:color="auto"/>
                <w:right w:val="none" w:sz="0" w:space="0" w:color="auto"/>
              </w:divBdr>
              <w:divsChild>
                <w:div w:id="1393190317">
                  <w:marLeft w:val="0"/>
                  <w:marRight w:val="0"/>
                  <w:marTop w:val="0"/>
                  <w:marBottom w:val="0"/>
                  <w:divBdr>
                    <w:top w:val="none" w:sz="0" w:space="0" w:color="auto"/>
                    <w:left w:val="none" w:sz="0" w:space="0" w:color="auto"/>
                    <w:bottom w:val="none" w:sz="0" w:space="0" w:color="auto"/>
                    <w:right w:val="none" w:sz="0" w:space="0" w:color="auto"/>
                  </w:divBdr>
                </w:div>
              </w:divsChild>
            </w:div>
            <w:div w:id="1413816666">
              <w:marLeft w:val="0"/>
              <w:marRight w:val="0"/>
              <w:marTop w:val="0"/>
              <w:marBottom w:val="0"/>
              <w:divBdr>
                <w:top w:val="none" w:sz="0" w:space="0" w:color="auto"/>
                <w:left w:val="none" w:sz="0" w:space="0" w:color="auto"/>
                <w:bottom w:val="none" w:sz="0" w:space="0" w:color="auto"/>
                <w:right w:val="none" w:sz="0" w:space="0" w:color="auto"/>
              </w:divBdr>
              <w:divsChild>
                <w:div w:id="912400091">
                  <w:marLeft w:val="0"/>
                  <w:marRight w:val="0"/>
                  <w:marTop w:val="0"/>
                  <w:marBottom w:val="0"/>
                  <w:divBdr>
                    <w:top w:val="none" w:sz="0" w:space="0" w:color="auto"/>
                    <w:left w:val="none" w:sz="0" w:space="0" w:color="auto"/>
                    <w:bottom w:val="none" w:sz="0" w:space="0" w:color="auto"/>
                    <w:right w:val="none" w:sz="0" w:space="0" w:color="auto"/>
                  </w:divBdr>
                </w:div>
              </w:divsChild>
            </w:div>
            <w:div w:id="1427456474">
              <w:marLeft w:val="0"/>
              <w:marRight w:val="0"/>
              <w:marTop w:val="0"/>
              <w:marBottom w:val="0"/>
              <w:divBdr>
                <w:top w:val="none" w:sz="0" w:space="0" w:color="auto"/>
                <w:left w:val="none" w:sz="0" w:space="0" w:color="auto"/>
                <w:bottom w:val="none" w:sz="0" w:space="0" w:color="auto"/>
                <w:right w:val="none" w:sz="0" w:space="0" w:color="auto"/>
              </w:divBdr>
              <w:divsChild>
                <w:div w:id="282615383">
                  <w:marLeft w:val="0"/>
                  <w:marRight w:val="0"/>
                  <w:marTop w:val="0"/>
                  <w:marBottom w:val="0"/>
                  <w:divBdr>
                    <w:top w:val="none" w:sz="0" w:space="0" w:color="auto"/>
                    <w:left w:val="none" w:sz="0" w:space="0" w:color="auto"/>
                    <w:bottom w:val="none" w:sz="0" w:space="0" w:color="auto"/>
                    <w:right w:val="none" w:sz="0" w:space="0" w:color="auto"/>
                  </w:divBdr>
                </w:div>
              </w:divsChild>
            </w:div>
            <w:div w:id="1467622143">
              <w:marLeft w:val="0"/>
              <w:marRight w:val="0"/>
              <w:marTop w:val="0"/>
              <w:marBottom w:val="0"/>
              <w:divBdr>
                <w:top w:val="none" w:sz="0" w:space="0" w:color="auto"/>
                <w:left w:val="none" w:sz="0" w:space="0" w:color="auto"/>
                <w:bottom w:val="none" w:sz="0" w:space="0" w:color="auto"/>
                <w:right w:val="none" w:sz="0" w:space="0" w:color="auto"/>
              </w:divBdr>
              <w:divsChild>
                <w:div w:id="1176070998">
                  <w:marLeft w:val="0"/>
                  <w:marRight w:val="0"/>
                  <w:marTop w:val="0"/>
                  <w:marBottom w:val="0"/>
                  <w:divBdr>
                    <w:top w:val="none" w:sz="0" w:space="0" w:color="auto"/>
                    <w:left w:val="none" w:sz="0" w:space="0" w:color="auto"/>
                    <w:bottom w:val="none" w:sz="0" w:space="0" w:color="auto"/>
                    <w:right w:val="none" w:sz="0" w:space="0" w:color="auto"/>
                  </w:divBdr>
                </w:div>
              </w:divsChild>
            </w:div>
            <w:div w:id="1504928284">
              <w:marLeft w:val="0"/>
              <w:marRight w:val="0"/>
              <w:marTop w:val="0"/>
              <w:marBottom w:val="0"/>
              <w:divBdr>
                <w:top w:val="none" w:sz="0" w:space="0" w:color="auto"/>
                <w:left w:val="none" w:sz="0" w:space="0" w:color="auto"/>
                <w:bottom w:val="none" w:sz="0" w:space="0" w:color="auto"/>
                <w:right w:val="none" w:sz="0" w:space="0" w:color="auto"/>
              </w:divBdr>
              <w:divsChild>
                <w:div w:id="593517033">
                  <w:marLeft w:val="0"/>
                  <w:marRight w:val="0"/>
                  <w:marTop w:val="0"/>
                  <w:marBottom w:val="0"/>
                  <w:divBdr>
                    <w:top w:val="none" w:sz="0" w:space="0" w:color="auto"/>
                    <w:left w:val="none" w:sz="0" w:space="0" w:color="auto"/>
                    <w:bottom w:val="none" w:sz="0" w:space="0" w:color="auto"/>
                    <w:right w:val="none" w:sz="0" w:space="0" w:color="auto"/>
                  </w:divBdr>
                </w:div>
              </w:divsChild>
            </w:div>
            <w:div w:id="1515921872">
              <w:marLeft w:val="0"/>
              <w:marRight w:val="0"/>
              <w:marTop w:val="0"/>
              <w:marBottom w:val="0"/>
              <w:divBdr>
                <w:top w:val="none" w:sz="0" w:space="0" w:color="auto"/>
                <w:left w:val="none" w:sz="0" w:space="0" w:color="auto"/>
                <w:bottom w:val="none" w:sz="0" w:space="0" w:color="auto"/>
                <w:right w:val="none" w:sz="0" w:space="0" w:color="auto"/>
              </w:divBdr>
              <w:divsChild>
                <w:div w:id="446239901">
                  <w:marLeft w:val="0"/>
                  <w:marRight w:val="0"/>
                  <w:marTop w:val="0"/>
                  <w:marBottom w:val="0"/>
                  <w:divBdr>
                    <w:top w:val="none" w:sz="0" w:space="0" w:color="auto"/>
                    <w:left w:val="none" w:sz="0" w:space="0" w:color="auto"/>
                    <w:bottom w:val="none" w:sz="0" w:space="0" w:color="auto"/>
                    <w:right w:val="none" w:sz="0" w:space="0" w:color="auto"/>
                  </w:divBdr>
                </w:div>
              </w:divsChild>
            </w:div>
            <w:div w:id="1539926670">
              <w:marLeft w:val="0"/>
              <w:marRight w:val="0"/>
              <w:marTop w:val="0"/>
              <w:marBottom w:val="0"/>
              <w:divBdr>
                <w:top w:val="none" w:sz="0" w:space="0" w:color="auto"/>
                <w:left w:val="none" w:sz="0" w:space="0" w:color="auto"/>
                <w:bottom w:val="none" w:sz="0" w:space="0" w:color="auto"/>
                <w:right w:val="none" w:sz="0" w:space="0" w:color="auto"/>
              </w:divBdr>
              <w:divsChild>
                <w:div w:id="1265530464">
                  <w:marLeft w:val="0"/>
                  <w:marRight w:val="0"/>
                  <w:marTop w:val="0"/>
                  <w:marBottom w:val="0"/>
                  <w:divBdr>
                    <w:top w:val="none" w:sz="0" w:space="0" w:color="auto"/>
                    <w:left w:val="none" w:sz="0" w:space="0" w:color="auto"/>
                    <w:bottom w:val="none" w:sz="0" w:space="0" w:color="auto"/>
                    <w:right w:val="none" w:sz="0" w:space="0" w:color="auto"/>
                  </w:divBdr>
                </w:div>
              </w:divsChild>
            </w:div>
            <w:div w:id="1542549838">
              <w:marLeft w:val="0"/>
              <w:marRight w:val="0"/>
              <w:marTop w:val="0"/>
              <w:marBottom w:val="0"/>
              <w:divBdr>
                <w:top w:val="none" w:sz="0" w:space="0" w:color="auto"/>
                <w:left w:val="none" w:sz="0" w:space="0" w:color="auto"/>
                <w:bottom w:val="none" w:sz="0" w:space="0" w:color="auto"/>
                <w:right w:val="none" w:sz="0" w:space="0" w:color="auto"/>
              </w:divBdr>
              <w:divsChild>
                <w:div w:id="1780098009">
                  <w:marLeft w:val="0"/>
                  <w:marRight w:val="0"/>
                  <w:marTop w:val="0"/>
                  <w:marBottom w:val="0"/>
                  <w:divBdr>
                    <w:top w:val="none" w:sz="0" w:space="0" w:color="auto"/>
                    <w:left w:val="none" w:sz="0" w:space="0" w:color="auto"/>
                    <w:bottom w:val="none" w:sz="0" w:space="0" w:color="auto"/>
                    <w:right w:val="none" w:sz="0" w:space="0" w:color="auto"/>
                  </w:divBdr>
                </w:div>
              </w:divsChild>
            </w:div>
            <w:div w:id="1551915018">
              <w:marLeft w:val="0"/>
              <w:marRight w:val="0"/>
              <w:marTop w:val="0"/>
              <w:marBottom w:val="0"/>
              <w:divBdr>
                <w:top w:val="none" w:sz="0" w:space="0" w:color="auto"/>
                <w:left w:val="none" w:sz="0" w:space="0" w:color="auto"/>
                <w:bottom w:val="none" w:sz="0" w:space="0" w:color="auto"/>
                <w:right w:val="none" w:sz="0" w:space="0" w:color="auto"/>
              </w:divBdr>
              <w:divsChild>
                <w:div w:id="1409691887">
                  <w:marLeft w:val="0"/>
                  <w:marRight w:val="0"/>
                  <w:marTop w:val="0"/>
                  <w:marBottom w:val="0"/>
                  <w:divBdr>
                    <w:top w:val="none" w:sz="0" w:space="0" w:color="auto"/>
                    <w:left w:val="none" w:sz="0" w:space="0" w:color="auto"/>
                    <w:bottom w:val="none" w:sz="0" w:space="0" w:color="auto"/>
                    <w:right w:val="none" w:sz="0" w:space="0" w:color="auto"/>
                  </w:divBdr>
                </w:div>
              </w:divsChild>
            </w:div>
            <w:div w:id="1580745348">
              <w:marLeft w:val="0"/>
              <w:marRight w:val="0"/>
              <w:marTop w:val="0"/>
              <w:marBottom w:val="0"/>
              <w:divBdr>
                <w:top w:val="none" w:sz="0" w:space="0" w:color="auto"/>
                <w:left w:val="none" w:sz="0" w:space="0" w:color="auto"/>
                <w:bottom w:val="none" w:sz="0" w:space="0" w:color="auto"/>
                <w:right w:val="none" w:sz="0" w:space="0" w:color="auto"/>
              </w:divBdr>
              <w:divsChild>
                <w:div w:id="865677414">
                  <w:marLeft w:val="0"/>
                  <w:marRight w:val="0"/>
                  <w:marTop w:val="0"/>
                  <w:marBottom w:val="0"/>
                  <w:divBdr>
                    <w:top w:val="none" w:sz="0" w:space="0" w:color="auto"/>
                    <w:left w:val="none" w:sz="0" w:space="0" w:color="auto"/>
                    <w:bottom w:val="none" w:sz="0" w:space="0" w:color="auto"/>
                    <w:right w:val="none" w:sz="0" w:space="0" w:color="auto"/>
                  </w:divBdr>
                </w:div>
              </w:divsChild>
            </w:div>
            <w:div w:id="1598171113">
              <w:marLeft w:val="0"/>
              <w:marRight w:val="0"/>
              <w:marTop w:val="0"/>
              <w:marBottom w:val="0"/>
              <w:divBdr>
                <w:top w:val="none" w:sz="0" w:space="0" w:color="auto"/>
                <w:left w:val="none" w:sz="0" w:space="0" w:color="auto"/>
                <w:bottom w:val="none" w:sz="0" w:space="0" w:color="auto"/>
                <w:right w:val="none" w:sz="0" w:space="0" w:color="auto"/>
              </w:divBdr>
              <w:divsChild>
                <w:div w:id="194776551">
                  <w:marLeft w:val="0"/>
                  <w:marRight w:val="0"/>
                  <w:marTop w:val="0"/>
                  <w:marBottom w:val="0"/>
                  <w:divBdr>
                    <w:top w:val="none" w:sz="0" w:space="0" w:color="auto"/>
                    <w:left w:val="none" w:sz="0" w:space="0" w:color="auto"/>
                    <w:bottom w:val="none" w:sz="0" w:space="0" w:color="auto"/>
                    <w:right w:val="none" w:sz="0" w:space="0" w:color="auto"/>
                  </w:divBdr>
                </w:div>
              </w:divsChild>
            </w:div>
            <w:div w:id="1606692215">
              <w:marLeft w:val="0"/>
              <w:marRight w:val="0"/>
              <w:marTop w:val="0"/>
              <w:marBottom w:val="0"/>
              <w:divBdr>
                <w:top w:val="none" w:sz="0" w:space="0" w:color="auto"/>
                <w:left w:val="none" w:sz="0" w:space="0" w:color="auto"/>
                <w:bottom w:val="none" w:sz="0" w:space="0" w:color="auto"/>
                <w:right w:val="none" w:sz="0" w:space="0" w:color="auto"/>
              </w:divBdr>
              <w:divsChild>
                <w:div w:id="836072178">
                  <w:marLeft w:val="0"/>
                  <w:marRight w:val="0"/>
                  <w:marTop w:val="0"/>
                  <w:marBottom w:val="0"/>
                  <w:divBdr>
                    <w:top w:val="none" w:sz="0" w:space="0" w:color="auto"/>
                    <w:left w:val="none" w:sz="0" w:space="0" w:color="auto"/>
                    <w:bottom w:val="none" w:sz="0" w:space="0" w:color="auto"/>
                    <w:right w:val="none" w:sz="0" w:space="0" w:color="auto"/>
                  </w:divBdr>
                </w:div>
              </w:divsChild>
            </w:div>
            <w:div w:id="1618945337">
              <w:marLeft w:val="0"/>
              <w:marRight w:val="0"/>
              <w:marTop w:val="0"/>
              <w:marBottom w:val="0"/>
              <w:divBdr>
                <w:top w:val="none" w:sz="0" w:space="0" w:color="auto"/>
                <w:left w:val="none" w:sz="0" w:space="0" w:color="auto"/>
                <w:bottom w:val="none" w:sz="0" w:space="0" w:color="auto"/>
                <w:right w:val="none" w:sz="0" w:space="0" w:color="auto"/>
              </w:divBdr>
              <w:divsChild>
                <w:div w:id="431435975">
                  <w:marLeft w:val="0"/>
                  <w:marRight w:val="0"/>
                  <w:marTop w:val="0"/>
                  <w:marBottom w:val="0"/>
                  <w:divBdr>
                    <w:top w:val="none" w:sz="0" w:space="0" w:color="auto"/>
                    <w:left w:val="none" w:sz="0" w:space="0" w:color="auto"/>
                    <w:bottom w:val="none" w:sz="0" w:space="0" w:color="auto"/>
                    <w:right w:val="none" w:sz="0" w:space="0" w:color="auto"/>
                  </w:divBdr>
                </w:div>
              </w:divsChild>
            </w:div>
            <w:div w:id="1626230865">
              <w:marLeft w:val="0"/>
              <w:marRight w:val="0"/>
              <w:marTop w:val="0"/>
              <w:marBottom w:val="0"/>
              <w:divBdr>
                <w:top w:val="none" w:sz="0" w:space="0" w:color="auto"/>
                <w:left w:val="none" w:sz="0" w:space="0" w:color="auto"/>
                <w:bottom w:val="none" w:sz="0" w:space="0" w:color="auto"/>
                <w:right w:val="none" w:sz="0" w:space="0" w:color="auto"/>
              </w:divBdr>
              <w:divsChild>
                <w:div w:id="681509740">
                  <w:marLeft w:val="0"/>
                  <w:marRight w:val="0"/>
                  <w:marTop w:val="0"/>
                  <w:marBottom w:val="0"/>
                  <w:divBdr>
                    <w:top w:val="none" w:sz="0" w:space="0" w:color="auto"/>
                    <w:left w:val="none" w:sz="0" w:space="0" w:color="auto"/>
                    <w:bottom w:val="none" w:sz="0" w:space="0" w:color="auto"/>
                    <w:right w:val="none" w:sz="0" w:space="0" w:color="auto"/>
                  </w:divBdr>
                </w:div>
              </w:divsChild>
            </w:div>
            <w:div w:id="1628392180">
              <w:marLeft w:val="0"/>
              <w:marRight w:val="0"/>
              <w:marTop w:val="0"/>
              <w:marBottom w:val="0"/>
              <w:divBdr>
                <w:top w:val="none" w:sz="0" w:space="0" w:color="auto"/>
                <w:left w:val="none" w:sz="0" w:space="0" w:color="auto"/>
                <w:bottom w:val="none" w:sz="0" w:space="0" w:color="auto"/>
                <w:right w:val="none" w:sz="0" w:space="0" w:color="auto"/>
              </w:divBdr>
              <w:divsChild>
                <w:div w:id="210312870">
                  <w:marLeft w:val="0"/>
                  <w:marRight w:val="0"/>
                  <w:marTop w:val="0"/>
                  <w:marBottom w:val="0"/>
                  <w:divBdr>
                    <w:top w:val="none" w:sz="0" w:space="0" w:color="auto"/>
                    <w:left w:val="none" w:sz="0" w:space="0" w:color="auto"/>
                    <w:bottom w:val="none" w:sz="0" w:space="0" w:color="auto"/>
                    <w:right w:val="none" w:sz="0" w:space="0" w:color="auto"/>
                  </w:divBdr>
                </w:div>
              </w:divsChild>
            </w:div>
            <w:div w:id="1634362212">
              <w:marLeft w:val="0"/>
              <w:marRight w:val="0"/>
              <w:marTop w:val="0"/>
              <w:marBottom w:val="0"/>
              <w:divBdr>
                <w:top w:val="none" w:sz="0" w:space="0" w:color="auto"/>
                <w:left w:val="none" w:sz="0" w:space="0" w:color="auto"/>
                <w:bottom w:val="none" w:sz="0" w:space="0" w:color="auto"/>
                <w:right w:val="none" w:sz="0" w:space="0" w:color="auto"/>
              </w:divBdr>
              <w:divsChild>
                <w:div w:id="792283681">
                  <w:marLeft w:val="0"/>
                  <w:marRight w:val="0"/>
                  <w:marTop w:val="0"/>
                  <w:marBottom w:val="0"/>
                  <w:divBdr>
                    <w:top w:val="none" w:sz="0" w:space="0" w:color="auto"/>
                    <w:left w:val="none" w:sz="0" w:space="0" w:color="auto"/>
                    <w:bottom w:val="none" w:sz="0" w:space="0" w:color="auto"/>
                    <w:right w:val="none" w:sz="0" w:space="0" w:color="auto"/>
                  </w:divBdr>
                </w:div>
              </w:divsChild>
            </w:div>
            <w:div w:id="1693728237">
              <w:marLeft w:val="0"/>
              <w:marRight w:val="0"/>
              <w:marTop w:val="0"/>
              <w:marBottom w:val="0"/>
              <w:divBdr>
                <w:top w:val="none" w:sz="0" w:space="0" w:color="auto"/>
                <w:left w:val="none" w:sz="0" w:space="0" w:color="auto"/>
                <w:bottom w:val="none" w:sz="0" w:space="0" w:color="auto"/>
                <w:right w:val="none" w:sz="0" w:space="0" w:color="auto"/>
              </w:divBdr>
              <w:divsChild>
                <w:div w:id="830021870">
                  <w:marLeft w:val="0"/>
                  <w:marRight w:val="0"/>
                  <w:marTop w:val="0"/>
                  <w:marBottom w:val="0"/>
                  <w:divBdr>
                    <w:top w:val="none" w:sz="0" w:space="0" w:color="auto"/>
                    <w:left w:val="none" w:sz="0" w:space="0" w:color="auto"/>
                    <w:bottom w:val="none" w:sz="0" w:space="0" w:color="auto"/>
                    <w:right w:val="none" w:sz="0" w:space="0" w:color="auto"/>
                  </w:divBdr>
                </w:div>
              </w:divsChild>
            </w:div>
            <w:div w:id="1694379624">
              <w:marLeft w:val="0"/>
              <w:marRight w:val="0"/>
              <w:marTop w:val="0"/>
              <w:marBottom w:val="0"/>
              <w:divBdr>
                <w:top w:val="none" w:sz="0" w:space="0" w:color="auto"/>
                <w:left w:val="none" w:sz="0" w:space="0" w:color="auto"/>
                <w:bottom w:val="none" w:sz="0" w:space="0" w:color="auto"/>
                <w:right w:val="none" w:sz="0" w:space="0" w:color="auto"/>
              </w:divBdr>
              <w:divsChild>
                <w:div w:id="1210915514">
                  <w:marLeft w:val="0"/>
                  <w:marRight w:val="0"/>
                  <w:marTop w:val="0"/>
                  <w:marBottom w:val="0"/>
                  <w:divBdr>
                    <w:top w:val="none" w:sz="0" w:space="0" w:color="auto"/>
                    <w:left w:val="none" w:sz="0" w:space="0" w:color="auto"/>
                    <w:bottom w:val="none" w:sz="0" w:space="0" w:color="auto"/>
                    <w:right w:val="none" w:sz="0" w:space="0" w:color="auto"/>
                  </w:divBdr>
                </w:div>
              </w:divsChild>
            </w:div>
            <w:div w:id="1730760942">
              <w:marLeft w:val="0"/>
              <w:marRight w:val="0"/>
              <w:marTop w:val="0"/>
              <w:marBottom w:val="0"/>
              <w:divBdr>
                <w:top w:val="none" w:sz="0" w:space="0" w:color="auto"/>
                <w:left w:val="none" w:sz="0" w:space="0" w:color="auto"/>
                <w:bottom w:val="none" w:sz="0" w:space="0" w:color="auto"/>
                <w:right w:val="none" w:sz="0" w:space="0" w:color="auto"/>
              </w:divBdr>
              <w:divsChild>
                <w:div w:id="163783064">
                  <w:marLeft w:val="0"/>
                  <w:marRight w:val="0"/>
                  <w:marTop w:val="0"/>
                  <w:marBottom w:val="0"/>
                  <w:divBdr>
                    <w:top w:val="none" w:sz="0" w:space="0" w:color="auto"/>
                    <w:left w:val="none" w:sz="0" w:space="0" w:color="auto"/>
                    <w:bottom w:val="none" w:sz="0" w:space="0" w:color="auto"/>
                    <w:right w:val="none" w:sz="0" w:space="0" w:color="auto"/>
                  </w:divBdr>
                </w:div>
              </w:divsChild>
            </w:div>
            <w:div w:id="1732652367">
              <w:marLeft w:val="0"/>
              <w:marRight w:val="0"/>
              <w:marTop w:val="0"/>
              <w:marBottom w:val="0"/>
              <w:divBdr>
                <w:top w:val="none" w:sz="0" w:space="0" w:color="auto"/>
                <w:left w:val="none" w:sz="0" w:space="0" w:color="auto"/>
                <w:bottom w:val="none" w:sz="0" w:space="0" w:color="auto"/>
                <w:right w:val="none" w:sz="0" w:space="0" w:color="auto"/>
              </w:divBdr>
              <w:divsChild>
                <w:div w:id="1607275214">
                  <w:marLeft w:val="0"/>
                  <w:marRight w:val="0"/>
                  <w:marTop w:val="0"/>
                  <w:marBottom w:val="0"/>
                  <w:divBdr>
                    <w:top w:val="none" w:sz="0" w:space="0" w:color="auto"/>
                    <w:left w:val="none" w:sz="0" w:space="0" w:color="auto"/>
                    <w:bottom w:val="none" w:sz="0" w:space="0" w:color="auto"/>
                    <w:right w:val="none" w:sz="0" w:space="0" w:color="auto"/>
                  </w:divBdr>
                </w:div>
              </w:divsChild>
            </w:div>
            <w:div w:id="1795367614">
              <w:marLeft w:val="0"/>
              <w:marRight w:val="0"/>
              <w:marTop w:val="0"/>
              <w:marBottom w:val="0"/>
              <w:divBdr>
                <w:top w:val="none" w:sz="0" w:space="0" w:color="auto"/>
                <w:left w:val="none" w:sz="0" w:space="0" w:color="auto"/>
                <w:bottom w:val="none" w:sz="0" w:space="0" w:color="auto"/>
                <w:right w:val="none" w:sz="0" w:space="0" w:color="auto"/>
              </w:divBdr>
              <w:divsChild>
                <w:div w:id="364522201">
                  <w:marLeft w:val="0"/>
                  <w:marRight w:val="0"/>
                  <w:marTop w:val="0"/>
                  <w:marBottom w:val="0"/>
                  <w:divBdr>
                    <w:top w:val="none" w:sz="0" w:space="0" w:color="auto"/>
                    <w:left w:val="none" w:sz="0" w:space="0" w:color="auto"/>
                    <w:bottom w:val="none" w:sz="0" w:space="0" w:color="auto"/>
                    <w:right w:val="none" w:sz="0" w:space="0" w:color="auto"/>
                  </w:divBdr>
                </w:div>
              </w:divsChild>
            </w:div>
            <w:div w:id="1799644392">
              <w:marLeft w:val="0"/>
              <w:marRight w:val="0"/>
              <w:marTop w:val="0"/>
              <w:marBottom w:val="0"/>
              <w:divBdr>
                <w:top w:val="none" w:sz="0" w:space="0" w:color="auto"/>
                <w:left w:val="none" w:sz="0" w:space="0" w:color="auto"/>
                <w:bottom w:val="none" w:sz="0" w:space="0" w:color="auto"/>
                <w:right w:val="none" w:sz="0" w:space="0" w:color="auto"/>
              </w:divBdr>
              <w:divsChild>
                <w:div w:id="1857882365">
                  <w:marLeft w:val="0"/>
                  <w:marRight w:val="0"/>
                  <w:marTop w:val="0"/>
                  <w:marBottom w:val="0"/>
                  <w:divBdr>
                    <w:top w:val="none" w:sz="0" w:space="0" w:color="auto"/>
                    <w:left w:val="none" w:sz="0" w:space="0" w:color="auto"/>
                    <w:bottom w:val="none" w:sz="0" w:space="0" w:color="auto"/>
                    <w:right w:val="none" w:sz="0" w:space="0" w:color="auto"/>
                  </w:divBdr>
                </w:div>
              </w:divsChild>
            </w:div>
            <w:div w:id="1803184558">
              <w:marLeft w:val="0"/>
              <w:marRight w:val="0"/>
              <w:marTop w:val="0"/>
              <w:marBottom w:val="0"/>
              <w:divBdr>
                <w:top w:val="none" w:sz="0" w:space="0" w:color="auto"/>
                <w:left w:val="none" w:sz="0" w:space="0" w:color="auto"/>
                <w:bottom w:val="none" w:sz="0" w:space="0" w:color="auto"/>
                <w:right w:val="none" w:sz="0" w:space="0" w:color="auto"/>
              </w:divBdr>
              <w:divsChild>
                <w:div w:id="2001687827">
                  <w:marLeft w:val="0"/>
                  <w:marRight w:val="0"/>
                  <w:marTop w:val="0"/>
                  <w:marBottom w:val="0"/>
                  <w:divBdr>
                    <w:top w:val="none" w:sz="0" w:space="0" w:color="auto"/>
                    <w:left w:val="none" w:sz="0" w:space="0" w:color="auto"/>
                    <w:bottom w:val="none" w:sz="0" w:space="0" w:color="auto"/>
                    <w:right w:val="none" w:sz="0" w:space="0" w:color="auto"/>
                  </w:divBdr>
                </w:div>
              </w:divsChild>
            </w:div>
            <w:div w:id="1812477866">
              <w:marLeft w:val="0"/>
              <w:marRight w:val="0"/>
              <w:marTop w:val="0"/>
              <w:marBottom w:val="0"/>
              <w:divBdr>
                <w:top w:val="none" w:sz="0" w:space="0" w:color="auto"/>
                <w:left w:val="none" w:sz="0" w:space="0" w:color="auto"/>
                <w:bottom w:val="none" w:sz="0" w:space="0" w:color="auto"/>
                <w:right w:val="none" w:sz="0" w:space="0" w:color="auto"/>
              </w:divBdr>
              <w:divsChild>
                <w:div w:id="1284965172">
                  <w:marLeft w:val="0"/>
                  <w:marRight w:val="0"/>
                  <w:marTop w:val="0"/>
                  <w:marBottom w:val="0"/>
                  <w:divBdr>
                    <w:top w:val="none" w:sz="0" w:space="0" w:color="auto"/>
                    <w:left w:val="none" w:sz="0" w:space="0" w:color="auto"/>
                    <w:bottom w:val="none" w:sz="0" w:space="0" w:color="auto"/>
                    <w:right w:val="none" w:sz="0" w:space="0" w:color="auto"/>
                  </w:divBdr>
                </w:div>
              </w:divsChild>
            </w:div>
            <w:div w:id="1875314168">
              <w:marLeft w:val="0"/>
              <w:marRight w:val="0"/>
              <w:marTop w:val="0"/>
              <w:marBottom w:val="0"/>
              <w:divBdr>
                <w:top w:val="none" w:sz="0" w:space="0" w:color="auto"/>
                <w:left w:val="none" w:sz="0" w:space="0" w:color="auto"/>
                <w:bottom w:val="none" w:sz="0" w:space="0" w:color="auto"/>
                <w:right w:val="none" w:sz="0" w:space="0" w:color="auto"/>
              </w:divBdr>
              <w:divsChild>
                <w:div w:id="641424500">
                  <w:marLeft w:val="0"/>
                  <w:marRight w:val="0"/>
                  <w:marTop w:val="0"/>
                  <w:marBottom w:val="0"/>
                  <w:divBdr>
                    <w:top w:val="none" w:sz="0" w:space="0" w:color="auto"/>
                    <w:left w:val="none" w:sz="0" w:space="0" w:color="auto"/>
                    <w:bottom w:val="none" w:sz="0" w:space="0" w:color="auto"/>
                    <w:right w:val="none" w:sz="0" w:space="0" w:color="auto"/>
                  </w:divBdr>
                </w:div>
              </w:divsChild>
            </w:div>
            <w:div w:id="1875997334">
              <w:marLeft w:val="0"/>
              <w:marRight w:val="0"/>
              <w:marTop w:val="0"/>
              <w:marBottom w:val="0"/>
              <w:divBdr>
                <w:top w:val="none" w:sz="0" w:space="0" w:color="auto"/>
                <w:left w:val="none" w:sz="0" w:space="0" w:color="auto"/>
                <w:bottom w:val="none" w:sz="0" w:space="0" w:color="auto"/>
                <w:right w:val="none" w:sz="0" w:space="0" w:color="auto"/>
              </w:divBdr>
              <w:divsChild>
                <w:div w:id="1236009470">
                  <w:marLeft w:val="0"/>
                  <w:marRight w:val="0"/>
                  <w:marTop w:val="0"/>
                  <w:marBottom w:val="0"/>
                  <w:divBdr>
                    <w:top w:val="none" w:sz="0" w:space="0" w:color="auto"/>
                    <w:left w:val="none" w:sz="0" w:space="0" w:color="auto"/>
                    <w:bottom w:val="none" w:sz="0" w:space="0" w:color="auto"/>
                    <w:right w:val="none" w:sz="0" w:space="0" w:color="auto"/>
                  </w:divBdr>
                </w:div>
              </w:divsChild>
            </w:div>
            <w:div w:id="1901750897">
              <w:marLeft w:val="0"/>
              <w:marRight w:val="0"/>
              <w:marTop w:val="0"/>
              <w:marBottom w:val="0"/>
              <w:divBdr>
                <w:top w:val="none" w:sz="0" w:space="0" w:color="auto"/>
                <w:left w:val="none" w:sz="0" w:space="0" w:color="auto"/>
                <w:bottom w:val="none" w:sz="0" w:space="0" w:color="auto"/>
                <w:right w:val="none" w:sz="0" w:space="0" w:color="auto"/>
              </w:divBdr>
              <w:divsChild>
                <w:div w:id="1834253874">
                  <w:marLeft w:val="0"/>
                  <w:marRight w:val="0"/>
                  <w:marTop w:val="0"/>
                  <w:marBottom w:val="0"/>
                  <w:divBdr>
                    <w:top w:val="none" w:sz="0" w:space="0" w:color="auto"/>
                    <w:left w:val="none" w:sz="0" w:space="0" w:color="auto"/>
                    <w:bottom w:val="none" w:sz="0" w:space="0" w:color="auto"/>
                    <w:right w:val="none" w:sz="0" w:space="0" w:color="auto"/>
                  </w:divBdr>
                </w:div>
              </w:divsChild>
            </w:div>
            <w:div w:id="1952588701">
              <w:marLeft w:val="0"/>
              <w:marRight w:val="0"/>
              <w:marTop w:val="0"/>
              <w:marBottom w:val="0"/>
              <w:divBdr>
                <w:top w:val="none" w:sz="0" w:space="0" w:color="auto"/>
                <w:left w:val="none" w:sz="0" w:space="0" w:color="auto"/>
                <w:bottom w:val="none" w:sz="0" w:space="0" w:color="auto"/>
                <w:right w:val="none" w:sz="0" w:space="0" w:color="auto"/>
              </w:divBdr>
              <w:divsChild>
                <w:div w:id="1707170358">
                  <w:marLeft w:val="0"/>
                  <w:marRight w:val="0"/>
                  <w:marTop w:val="0"/>
                  <w:marBottom w:val="0"/>
                  <w:divBdr>
                    <w:top w:val="none" w:sz="0" w:space="0" w:color="auto"/>
                    <w:left w:val="none" w:sz="0" w:space="0" w:color="auto"/>
                    <w:bottom w:val="none" w:sz="0" w:space="0" w:color="auto"/>
                    <w:right w:val="none" w:sz="0" w:space="0" w:color="auto"/>
                  </w:divBdr>
                </w:div>
              </w:divsChild>
            </w:div>
            <w:div w:id="1982884887">
              <w:marLeft w:val="0"/>
              <w:marRight w:val="0"/>
              <w:marTop w:val="0"/>
              <w:marBottom w:val="0"/>
              <w:divBdr>
                <w:top w:val="none" w:sz="0" w:space="0" w:color="auto"/>
                <w:left w:val="none" w:sz="0" w:space="0" w:color="auto"/>
                <w:bottom w:val="none" w:sz="0" w:space="0" w:color="auto"/>
                <w:right w:val="none" w:sz="0" w:space="0" w:color="auto"/>
              </w:divBdr>
              <w:divsChild>
                <w:div w:id="696469015">
                  <w:marLeft w:val="0"/>
                  <w:marRight w:val="0"/>
                  <w:marTop w:val="0"/>
                  <w:marBottom w:val="0"/>
                  <w:divBdr>
                    <w:top w:val="none" w:sz="0" w:space="0" w:color="auto"/>
                    <w:left w:val="none" w:sz="0" w:space="0" w:color="auto"/>
                    <w:bottom w:val="none" w:sz="0" w:space="0" w:color="auto"/>
                    <w:right w:val="none" w:sz="0" w:space="0" w:color="auto"/>
                  </w:divBdr>
                </w:div>
              </w:divsChild>
            </w:div>
            <w:div w:id="2010671482">
              <w:marLeft w:val="0"/>
              <w:marRight w:val="0"/>
              <w:marTop w:val="0"/>
              <w:marBottom w:val="0"/>
              <w:divBdr>
                <w:top w:val="none" w:sz="0" w:space="0" w:color="auto"/>
                <w:left w:val="none" w:sz="0" w:space="0" w:color="auto"/>
                <w:bottom w:val="none" w:sz="0" w:space="0" w:color="auto"/>
                <w:right w:val="none" w:sz="0" w:space="0" w:color="auto"/>
              </w:divBdr>
              <w:divsChild>
                <w:div w:id="1268849649">
                  <w:marLeft w:val="0"/>
                  <w:marRight w:val="0"/>
                  <w:marTop w:val="0"/>
                  <w:marBottom w:val="0"/>
                  <w:divBdr>
                    <w:top w:val="none" w:sz="0" w:space="0" w:color="auto"/>
                    <w:left w:val="none" w:sz="0" w:space="0" w:color="auto"/>
                    <w:bottom w:val="none" w:sz="0" w:space="0" w:color="auto"/>
                    <w:right w:val="none" w:sz="0" w:space="0" w:color="auto"/>
                  </w:divBdr>
                </w:div>
              </w:divsChild>
            </w:div>
            <w:div w:id="2033605681">
              <w:marLeft w:val="0"/>
              <w:marRight w:val="0"/>
              <w:marTop w:val="0"/>
              <w:marBottom w:val="0"/>
              <w:divBdr>
                <w:top w:val="none" w:sz="0" w:space="0" w:color="auto"/>
                <w:left w:val="none" w:sz="0" w:space="0" w:color="auto"/>
                <w:bottom w:val="none" w:sz="0" w:space="0" w:color="auto"/>
                <w:right w:val="none" w:sz="0" w:space="0" w:color="auto"/>
              </w:divBdr>
              <w:divsChild>
                <w:div w:id="760877971">
                  <w:marLeft w:val="0"/>
                  <w:marRight w:val="0"/>
                  <w:marTop w:val="0"/>
                  <w:marBottom w:val="0"/>
                  <w:divBdr>
                    <w:top w:val="none" w:sz="0" w:space="0" w:color="auto"/>
                    <w:left w:val="none" w:sz="0" w:space="0" w:color="auto"/>
                    <w:bottom w:val="none" w:sz="0" w:space="0" w:color="auto"/>
                    <w:right w:val="none" w:sz="0" w:space="0" w:color="auto"/>
                  </w:divBdr>
                </w:div>
              </w:divsChild>
            </w:div>
            <w:div w:id="2033922602">
              <w:marLeft w:val="0"/>
              <w:marRight w:val="0"/>
              <w:marTop w:val="0"/>
              <w:marBottom w:val="0"/>
              <w:divBdr>
                <w:top w:val="none" w:sz="0" w:space="0" w:color="auto"/>
                <w:left w:val="none" w:sz="0" w:space="0" w:color="auto"/>
                <w:bottom w:val="none" w:sz="0" w:space="0" w:color="auto"/>
                <w:right w:val="none" w:sz="0" w:space="0" w:color="auto"/>
              </w:divBdr>
              <w:divsChild>
                <w:div w:id="1494301460">
                  <w:marLeft w:val="0"/>
                  <w:marRight w:val="0"/>
                  <w:marTop w:val="0"/>
                  <w:marBottom w:val="0"/>
                  <w:divBdr>
                    <w:top w:val="none" w:sz="0" w:space="0" w:color="auto"/>
                    <w:left w:val="none" w:sz="0" w:space="0" w:color="auto"/>
                    <w:bottom w:val="none" w:sz="0" w:space="0" w:color="auto"/>
                    <w:right w:val="none" w:sz="0" w:space="0" w:color="auto"/>
                  </w:divBdr>
                </w:div>
              </w:divsChild>
            </w:div>
            <w:div w:id="2043440307">
              <w:marLeft w:val="0"/>
              <w:marRight w:val="0"/>
              <w:marTop w:val="0"/>
              <w:marBottom w:val="0"/>
              <w:divBdr>
                <w:top w:val="none" w:sz="0" w:space="0" w:color="auto"/>
                <w:left w:val="none" w:sz="0" w:space="0" w:color="auto"/>
                <w:bottom w:val="none" w:sz="0" w:space="0" w:color="auto"/>
                <w:right w:val="none" w:sz="0" w:space="0" w:color="auto"/>
              </w:divBdr>
              <w:divsChild>
                <w:div w:id="970599173">
                  <w:marLeft w:val="0"/>
                  <w:marRight w:val="0"/>
                  <w:marTop w:val="0"/>
                  <w:marBottom w:val="0"/>
                  <w:divBdr>
                    <w:top w:val="none" w:sz="0" w:space="0" w:color="auto"/>
                    <w:left w:val="none" w:sz="0" w:space="0" w:color="auto"/>
                    <w:bottom w:val="none" w:sz="0" w:space="0" w:color="auto"/>
                    <w:right w:val="none" w:sz="0" w:space="0" w:color="auto"/>
                  </w:divBdr>
                </w:div>
              </w:divsChild>
            </w:div>
            <w:div w:id="2063628363">
              <w:marLeft w:val="0"/>
              <w:marRight w:val="0"/>
              <w:marTop w:val="0"/>
              <w:marBottom w:val="0"/>
              <w:divBdr>
                <w:top w:val="none" w:sz="0" w:space="0" w:color="auto"/>
                <w:left w:val="none" w:sz="0" w:space="0" w:color="auto"/>
                <w:bottom w:val="none" w:sz="0" w:space="0" w:color="auto"/>
                <w:right w:val="none" w:sz="0" w:space="0" w:color="auto"/>
              </w:divBdr>
              <w:divsChild>
                <w:div w:id="1862548994">
                  <w:marLeft w:val="0"/>
                  <w:marRight w:val="0"/>
                  <w:marTop w:val="0"/>
                  <w:marBottom w:val="0"/>
                  <w:divBdr>
                    <w:top w:val="none" w:sz="0" w:space="0" w:color="auto"/>
                    <w:left w:val="none" w:sz="0" w:space="0" w:color="auto"/>
                    <w:bottom w:val="none" w:sz="0" w:space="0" w:color="auto"/>
                    <w:right w:val="none" w:sz="0" w:space="0" w:color="auto"/>
                  </w:divBdr>
                </w:div>
              </w:divsChild>
            </w:div>
            <w:div w:id="2064329909">
              <w:marLeft w:val="0"/>
              <w:marRight w:val="0"/>
              <w:marTop w:val="0"/>
              <w:marBottom w:val="0"/>
              <w:divBdr>
                <w:top w:val="none" w:sz="0" w:space="0" w:color="auto"/>
                <w:left w:val="none" w:sz="0" w:space="0" w:color="auto"/>
                <w:bottom w:val="none" w:sz="0" w:space="0" w:color="auto"/>
                <w:right w:val="none" w:sz="0" w:space="0" w:color="auto"/>
              </w:divBdr>
              <w:divsChild>
                <w:div w:id="658995782">
                  <w:marLeft w:val="0"/>
                  <w:marRight w:val="0"/>
                  <w:marTop w:val="0"/>
                  <w:marBottom w:val="0"/>
                  <w:divBdr>
                    <w:top w:val="none" w:sz="0" w:space="0" w:color="auto"/>
                    <w:left w:val="none" w:sz="0" w:space="0" w:color="auto"/>
                    <w:bottom w:val="none" w:sz="0" w:space="0" w:color="auto"/>
                    <w:right w:val="none" w:sz="0" w:space="0" w:color="auto"/>
                  </w:divBdr>
                </w:div>
              </w:divsChild>
            </w:div>
            <w:div w:id="2081441921">
              <w:marLeft w:val="0"/>
              <w:marRight w:val="0"/>
              <w:marTop w:val="0"/>
              <w:marBottom w:val="0"/>
              <w:divBdr>
                <w:top w:val="none" w:sz="0" w:space="0" w:color="auto"/>
                <w:left w:val="none" w:sz="0" w:space="0" w:color="auto"/>
                <w:bottom w:val="none" w:sz="0" w:space="0" w:color="auto"/>
                <w:right w:val="none" w:sz="0" w:space="0" w:color="auto"/>
              </w:divBdr>
              <w:divsChild>
                <w:div w:id="1882935862">
                  <w:marLeft w:val="0"/>
                  <w:marRight w:val="0"/>
                  <w:marTop w:val="0"/>
                  <w:marBottom w:val="0"/>
                  <w:divBdr>
                    <w:top w:val="none" w:sz="0" w:space="0" w:color="auto"/>
                    <w:left w:val="none" w:sz="0" w:space="0" w:color="auto"/>
                    <w:bottom w:val="none" w:sz="0" w:space="0" w:color="auto"/>
                    <w:right w:val="none" w:sz="0" w:space="0" w:color="auto"/>
                  </w:divBdr>
                </w:div>
              </w:divsChild>
            </w:div>
            <w:div w:id="2105151194">
              <w:marLeft w:val="0"/>
              <w:marRight w:val="0"/>
              <w:marTop w:val="0"/>
              <w:marBottom w:val="0"/>
              <w:divBdr>
                <w:top w:val="none" w:sz="0" w:space="0" w:color="auto"/>
                <w:left w:val="none" w:sz="0" w:space="0" w:color="auto"/>
                <w:bottom w:val="none" w:sz="0" w:space="0" w:color="auto"/>
                <w:right w:val="none" w:sz="0" w:space="0" w:color="auto"/>
              </w:divBdr>
              <w:divsChild>
                <w:div w:id="653415099">
                  <w:marLeft w:val="0"/>
                  <w:marRight w:val="0"/>
                  <w:marTop w:val="0"/>
                  <w:marBottom w:val="0"/>
                  <w:divBdr>
                    <w:top w:val="none" w:sz="0" w:space="0" w:color="auto"/>
                    <w:left w:val="none" w:sz="0" w:space="0" w:color="auto"/>
                    <w:bottom w:val="none" w:sz="0" w:space="0" w:color="auto"/>
                    <w:right w:val="none" w:sz="0" w:space="0" w:color="auto"/>
                  </w:divBdr>
                </w:div>
              </w:divsChild>
            </w:div>
            <w:div w:id="2145124719">
              <w:marLeft w:val="0"/>
              <w:marRight w:val="0"/>
              <w:marTop w:val="0"/>
              <w:marBottom w:val="0"/>
              <w:divBdr>
                <w:top w:val="none" w:sz="0" w:space="0" w:color="auto"/>
                <w:left w:val="none" w:sz="0" w:space="0" w:color="auto"/>
                <w:bottom w:val="none" w:sz="0" w:space="0" w:color="auto"/>
                <w:right w:val="none" w:sz="0" w:space="0" w:color="auto"/>
              </w:divBdr>
              <w:divsChild>
                <w:div w:id="164554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0674">
          <w:marLeft w:val="-75"/>
          <w:marRight w:val="0"/>
          <w:marTop w:val="30"/>
          <w:marBottom w:val="30"/>
          <w:divBdr>
            <w:top w:val="none" w:sz="0" w:space="0" w:color="auto"/>
            <w:left w:val="none" w:sz="0" w:space="0" w:color="auto"/>
            <w:bottom w:val="none" w:sz="0" w:space="0" w:color="auto"/>
            <w:right w:val="none" w:sz="0" w:space="0" w:color="auto"/>
          </w:divBdr>
          <w:divsChild>
            <w:div w:id="120196705">
              <w:marLeft w:val="0"/>
              <w:marRight w:val="0"/>
              <w:marTop w:val="0"/>
              <w:marBottom w:val="0"/>
              <w:divBdr>
                <w:top w:val="none" w:sz="0" w:space="0" w:color="auto"/>
                <w:left w:val="none" w:sz="0" w:space="0" w:color="auto"/>
                <w:bottom w:val="none" w:sz="0" w:space="0" w:color="auto"/>
                <w:right w:val="none" w:sz="0" w:space="0" w:color="auto"/>
              </w:divBdr>
              <w:divsChild>
                <w:div w:id="1522671525">
                  <w:marLeft w:val="0"/>
                  <w:marRight w:val="0"/>
                  <w:marTop w:val="0"/>
                  <w:marBottom w:val="0"/>
                  <w:divBdr>
                    <w:top w:val="none" w:sz="0" w:space="0" w:color="auto"/>
                    <w:left w:val="none" w:sz="0" w:space="0" w:color="auto"/>
                    <w:bottom w:val="none" w:sz="0" w:space="0" w:color="auto"/>
                    <w:right w:val="none" w:sz="0" w:space="0" w:color="auto"/>
                  </w:divBdr>
                </w:div>
              </w:divsChild>
            </w:div>
            <w:div w:id="133915164">
              <w:marLeft w:val="0"/>
              <w:marRight w:val="0"/>
              <w:marTop w:val="0"/>
              <w:marBottom w:val="0"/>
              <w:divBdr>
                <w:top w:val="none" w:sz="0" w:space="0" w:color="auto"/>
                <w:left w:val="none" w:sz="0" w:space="0" w:color="auto"/>
                <w:bottom w:val="none" w:sz="0" w:space="0" w:color="auto"/>
                <w:right w:val="none" w:sz="0" w:space="0" w:color="auto"/>
              </w:divBdr>
              <w:divsChild>
                <w:div w:id="1335301845">
                  <w:marLeft w:val="0"/>
                  <w:marRight w:val="0"/>
                  <w:marTop w:val="0"/>
                  <w:marBottom w:val="0"/>
                  <w:divBdr>
                    <w:top w:val="none" w:sz="0" w:space="0" w:color="auto"/>
                    <w:left w:val="none" w:sz="0" w:space="0" w:color="auto"/>
                    <w:bottom w:val="none" w:sz="0" w:space="0" w:color="auto"/>
                    <w:right w:val="none" w:sz="0" w:space="0" w:color="auto"/>
                  </w:divBdr>
                </w:div>
              </w:divsChild>
            </w:div>
            <w:div w:id="139156181">
              <w:marLeft w:val="0"/>
              <w:marRight w:val="0"/>
              <w:marTop w:val="0"/>
              <w:marBottom w:val="0"/>
              <w:divBdr>
                <w:top w:val="none" w:sz="0" w:space="0" w:color="auto"/>
                <w:left w:val="none" w:sz="0" w:space="0" w:color="auto"/>
                <w:bottom w:val="none" w:sz="0" w:space="0" w:color="auto"/>
                <w:right w:val="none" w:sz="0" w:space="0" w:color="auto"/>
              </w:divBdr>
              <w:divsChild>
                <w:div w:id="2105103199">
                  <w:marLeft w:val="0"/>
                  <w:marRight w:val="0"/>
                  <w:marTop w:val="0"/>
                  <w:marBottom w:val="0"/>
                  <w:divBdr>
                    <w:top w:val="none" w:sz="0" w:space="0" w:color="auto"/>
                    <w:left w:val="none" w:sz="0" w:space="0" w:color="auto"/>
                    <w:bottom w:val="none" w:sz="0" w:space="0" w:color="auto"/>
                    <w:right w:val="none" w:sz="0" w:space="0" w:color="auto"/>
                  </w:divBdr>
                </w:div>
              </w:divsChild>
            </w:div>
            <w:div w:id="150144118">
              <w:marLeft w:val="0"/>
              <w:marRight w:val="0"/>
              <w:marTop w:val="0"/>
              <w:marBottom w:val="0"/>
              <w:divBdr>
                <w:top w:val="none" w:sz="0" w:space="0" w:color="auto"/>
                <w:left w:val="none" w:sz="0" w:space="0" w:color="auto"/>
                <w:bottom w:val="none" w:sz="0" w:space="0" w:color="auto"/>
                <w:right w:val="none" w:sz="0" w:space="0" w:color="auto"/>
              </w:divBdr>
              <w:divsChild>
                <w:div w:id="388963877">
                  <w:marLeft w:val="0"/>
                  <w:marRight w:val="0"/>
                  <w:marTop w:val="0"/>
                  <w:marBottom w:val="0"/>
                  <w:divBdr>
                    <w:top w:val="none" w:sz="0" w:space="0" w:color="auto"/>
                    <w:left w:val="none" w:sz="0" w:space="0" w:color="auto"/>
                    <w:bottom w:val="none" w:sz="0" w:space="0" w:color="auto"/>
                    <w:right w:val="none" w:sz="0" w:space="0" w:color="auto"/>
                  </w:divBdr>
                </w:div>
              </w:divsChild>
            </w:div>
            <w:div w:id="348026112">
              <w:marLeft w:val="0"/>
              <w:marRight w:val="0"/>
              <w:marTop w:val="0"/>
              <w:marBottom w:val="0"/>
              <w:divBdr>
                <w:top w:val="none" w:sz="0" w:space="0" w:color="auto"/>
                <w:left w:val="none" w:sz="0" w:space="0" w:color="auto"/>
                <w:bottom w:val="none" w:sz="0" w:space="0" w:color="auto"/>
                <w:right w:val="none" w:sz="0" w:space="0" w:color="auto"/>
              </w:divBdr>
              <w:divsChild>
                <w:div w:id="552542996">
                  <w:marLeft w:val="0"/>
                  <w:marRight w:val="0"/>
                  <w:marTop w:val="0"/>
                  <w:marBottom w:val="0"/>
                  <w:divBdr>
                    <w:top w:val="none" w:sz="0" w:space="0" w:color="auto"/>
                    <w:left w:val="none" w:sz="0" w:space="0" w:color="auto"/>
                    <w:bottom w:val="none" w:sz="0" w:space="0" w:color="auto"/>
                    <w:right w:val="none" w:sz="0" w:space="0" w:color="auto"/>
                  </w:divBdr>
                </w:div>
                <w:div w:id="1122967134">
                  <w:marLeft w:val="0"/>
                  <w:marRight w:val="0"/>
                  <w:marTop w:val="0"/>
                  <w:marBottom w:val="0"/>
                  <w:divBdr>
                    <w:top w:val="none" w:sz="0" w:space="0" w:color="auto"/>
                    <w:left w:val="none" w:sz="0" w:space="0" w:color="auto"/>
                    <w:bottom w:val="none" w:sz="0" w:space="0" w:color="auto"/>
                    <w:right w:val="none" w:sz="0" w:space="0" w:color="auto"/>
                  </w:divBdr>
                </w:div>
              </w:divsChild>
            </w:div>
            <w:div w:id="362941111">
              <w:marLeft w:val="0"/>
              <w:marRight w:val="0"/>
              <w:marTop w:val="0"/>
              <w:marBottom w:val="0"/>
              <w:divBdr>
                <w:top w:val="none" w:sz="0" w:space="0" w:color="auto"/>
                <w:left w:val="none" w:sz="0" w:space="0" w:color="auto"/>
                <w:bottom w:val="none" w:sz="0" w:space="0" w:color="auto"/>
                <w:right w:val="none" w:sz="0" w:space="0" w:color="auto"/>
              </w:divBdr>
              <w:divsChild>
                <w:div w:id="249700068">
                  <w:marLeft w:val="0"/>
                  <w:marRight w:val="0"/>
                  <w:marTop w:val="0"/>
                  <w:marBottom w:val="0"/>
                  <w:divBdr>
                    <w:top w:val="none" w:sz="0" w:space="0" w:color="auto"/>
                    <w:left w:val="none" w:sz="0" w:space="0" w:color="auto"/>
                    <w:bottom w:val="none" w:sz="0" w:space="0" w:color="auto"/>
                    <w:right w:val="none" w:sz="0" w:space="0" w:color="auto"/>
                  </w:divBdr>
                </w:div>
              </w:divsChild>
            </w:div>
            <w:div w:id="443765455">
              <w:marLeft w:val="0"/>
              <w:marRight w:val="0"/>
              <w:marTop w:val="0"/>
              <w:marBottom w:val="0"/>
              <w:divBdr>
                <w:top w:val="none" w:sz="0" w:space="0" w:color="auto"/>
                <w:left w:val="none" w:sz="0" w:space="0" w:color="auto"/>
                <w:bottom w:val="none" w:sz="0" w:space="0" w:color="auto"/>
                <w:right w:val="none" w:sz="0" w:space="0" w:color="auto"/>
              </w:divBdr>
              <w:divsChild>
                <w:div w:id="1273828584">
                  <w:marLeft w:val="0"/>
                  <w:marRight w:val="0"/>
                  <w:marTop w:val="0"/>
                  <w:marBottom w:val="0"/>
                  <w:divBdr>
                    <w:top w:val="none" w:sz="0" w:space="0" w:color="auto"/>
                    <w:left w:val="none" w:sz="0" w:space="0" w:color="auto"/>
                    <w:bottom w:val="none" w:sz="0" w:space="0" w:color="auto"/>
                    <w:right w:val="none" w:sz="0" w:space="0" w:color="auto"/>
                  </w:divBdr>
                </w:div>
              </w:divsChild>
            </w:div>
            <w:div w:id="480004856">
              <w:marLeft w:val="0"/>
              <w:marRight w:val="0"/>
              <w:marTop w:val="0"/>
              <w:marBottom w:val="0"/>
              <w:divBdr>
                <w:top w:val="none" w:sz="0" w:space="0" w:color="auto"/>
                <w:left w:val="none" w:sz="0" w:space="0" w:color="auto"/>
                <w:bottom w:val="none" w:sz="0" w:space="0" w:color="auto"/>
                <w:right w:val="none" w:sz="0" w:space="0" w:color="auto"/>
              </w:divBdr>
              <w:divsChild>
                <w:div w:id="1837500407">
                  <w:marLeft w:val="0"/>
                  <w:marRight w:val="0"/>
                  <w:marTop w:val="0"/>
                  <w:marBottom w:val="0"/>
                  <w:divBdr>
                    <w:top w:val="none" w:sz="0" w:space="0" w:color="auto"/>
                    <w:left w:val="none" w:sz="0" w:space="0" w:color="auto"/>
                    <w:bottom w:val="none" w:sz="0" w:space="0" w:color="auto"/>
                    <w:right w:val="none" w:sz="0" w:space="0" w:color="auto"/>
                  </w:divBdr>
                </w:div>
              </w:divsChild>
            </w:div>
            <w:div w:id="531190952">
              <w:marLeft w:val="0"/>
              <w:marRight w:val="0"/>
              <w:marTop w:val="0"/>
              <w:marBottom w:val="0"/>
              <w:divBdr>
                <w:top w:val="none" w:sz="0" w:space="0" w:color="auto"/>
                <w:left w:val="none" w:sz="0" w:space="0" w:color="auto"/>
                <w:bottom w:val="none" w:sz="0" w:space="0" w:color="auto"/>
                <w:right w:val="none" w:sz="0" w:space="0" w:color="auto"/>
              </w:divBdr>
              <w:divsChild>
                <w:div w:id="1751737185">
                  <w:marLeft w:val="0"/>
                  <w:marRight w:val="0"/>
                  <w:marTop w:val="0"/>
                  <w:marBottom w:val="0"/>
                  <w:divBdr>
                    <w:top w:val="none" w:sz="0" w:space="0" w:color="auto"/>
                    <w:left w:val="none" w:sz="0" w:space="0" w:color="auto"/>
                    <w:bottom w:val="none" w:sz="0" w:space="0" w:color="auto"/>
                    <w:right w:val="none" w:sz="0" w:space="0" w:color="auto"/>
                  </w:divBdr>
                </w:div>
              </w:divsChild>
            </w:div>
            <w:div w:id="572661746">
              <w:marLeft w:val="0"/>
              <w:marRight w:val="0"/>
              <w:marTop w:val="0"/>
              <w:marBottom w:val="0"/>
              <w:divBdr>
                <w:top w:val="none" w:sz="0" w:space="0" w:color="auto"/>
                <w:left w:val="none" w:sz="0" w:space="0" w:color="auto"/>
                <w:bottom w:val="none" w:sz="0" w:space="0" w:color="auto"/>
                <w:right w:val="none" w:sz="0" w:space="0" w:color="auto"/>
              </w:divBdr>
              <w:divsChild>
                <w:div w:id="1443458930">
                  <w:marLeft w:val="0"/>
                  <w:marRight w:val="0"/>
                  <w:marTop w:val="0"/>
                  <w:marBottom w:val="0"/>
                  <w:divBdr>
                    <w:top w:val="none" w:sz="0" w:space="0" w:color="auto"/>
                    <w:left w:val="none" w:sz="0" w:space="0" w:color="auto"/>
                    <w:bottom w:val="none" w:sz="0" w:space="0" w:color="auto"/>
                    <w:right w:val="none" w:sz="0" w:space="0" w:color="auto"/>
                  </w:divBdr>
                </w:div>
              </w:divsChild>
            </w:div>
            <w:div w:id="638339975">
              <w:marLeft w:val="0"/>
              <w:marRight w:val="0"/>
              <w:marTop w:val="0"/>
              <w:marBottom w:val="0"/>
              <w:divBdr>
                <w:top w:val="none" w:sz="0" w:space="0" w:color="auto"/>
                <w:left w:val="none" w:sz="0" w:space="0" w:color="auto"/>
                <w:bottom w:val="none" w:sz="0" w:space="0" w:color="auto"/>
                <w:right w:val="none" w:sz="0" w:space="0" w:color="auto"/>
              </w:divBdr>
              <w:divsChild>
                <w:div w:id="402265013">
                  <w:marLeft w:val="0"/>
                  <w:marRight w:val="0"/>
                  <w:marTop w:val="0"/>
                  <w:marBottom w:val="0"/>
                  <w:divBdr>
                    <w:top w:val="none" w:sz="0" w:space="0" w:color="auto"/>
                    <w:left w:val="none" w:sz="0" w:space="0" w:color="auto"/>
                    <w:bottom w:val="none" w:sz="0" w:space="0" w:color="auto"/>
                    <w:right w:val="none" w:sz="0" w:space="0" w:color="auto"/>
                  </w:divBdr>
                </w:div>
              </w:divsChild>
            </w:div>
            <w:div w:id="654065700">
              <w:marLeft w:val="0"/>
              <w:marRight w:val="0"/>
              <w:marTop w:val="0"/>
              <w:marBottom w:val="0"/>
              <w:divBdr>
                <w:top w:val="none" w:sz="0" w:space="0" w:color="auto"/>
                <w:left w:val="none" w:sz="0" w:space="0" w:color="auto"/>
                <w:bottom w:val="none" w:sz="0" w:space="0" w:color="auto"/>
                <w:right w:val="none" w:sz="0" w:space="0" w:color="auto"/>
              </w:divBdr>
              <w:divsChild>
                <w:div w:id="392704324">
                  <w:marLeft w:val="0"/>
                  <w:marRight w:val="0"/>
                  <w:marTop w:val="0"/>
                  <w:marBottom w:val="0"/>
                  <w:divBdr>
                    <w:top w:val="none" w:sz="0" w:space="0" w:color="auto"/>
                    <w:left w:val="none" w:sz="0" w:space="0" w:color="auto"/>
                    <w:bottom w:val="none" w:sz="0" w:space="0" w:color="auto"/>
                    <w:right w:val="none" w:sz="0" w:space="0" w:color="auto"/>
                  </w:divBdr>
                </w:div>
                <w:div w:id="1508250499">
                  <w:marLeft w:val="0"/>
                  <w:marRight w:val="0"/>
                  <w:marTop w:val="0"/>
                  <w:marBottom w:val="0"/>
                  <w:divBdr>
                    <w:top w:val="none" w:sz="0" w:space="0" w:color="auto"/>
                    <w:left w:val="none" w:sz="0" w:space="0" w:color="auto"/>
                    <w:bottom w:val="none" w:sz="0" w:space="0" w:color="auto"/>
                    <w:right w:val="none" w:sz="0" w:space="0" w:color="auto"/>
                  </w:divBdr>
                </w:div>
              </w:divsChild>
            </w:div>
            <w:div w:id="845095191">
              <w:marLeft w:val="0"/>
              <w:marRight w:val="0"/>
              <w:marTop w:val="0"/>
              <w:marBottom w:val="0"/>
              <w:divBdr>
                <w:top w:val="none" w:sz="0" w:space="0" w:color="auto"/>
                <w:left w:val="none" w:sz="0" w:space="0" w:color="auto"/>
                <w:bottom w:val="none" w:sz="0" w:space="0" w:color="auto"/>
                <w:right w:val="none" w:sz="0" w:space="0" w:color="auto"/>
              </w:divBdr>
              <w:divsChild>
                <w:div w:id="2146270602">
                  <w:marLeft w:val="0"/>
                  <w:marRight w:val="0"/>
                  <w:marTop w:val="0"/>
                  <w:marBottom w:val="0"/>
                  <w:divBdr>
                    <w:top w:val="none" w:sz="0" w:space="0" w:color="auto"/>
                    <w:left w:val="none" w:sz="0" w:space="0" w:color="auto"/>
                    <w:bottom w:val="none" w:sz="0" w:space="0" w:color="auto"/>
                    <w:right w:val="none" w:sz="0" w:space="0" w:color="auto"/>
                  </w:divBdr>
                </w:div>
              </w:divsChild>
            </w:div>
            <w:div w:id="869997148">
              <w:marLeft w:val="0"/>
              <w:marRight w:val="0"/>
              <w:marTop w:val="0"/>
              <w:marBottom w:val="0"/>
              <w:divBdr>
                <w:top w:val="none" w:sz="0" w:space="0" w:color="auto"/>
                <w:left w:val="none" w:sz="0" w:space="0" w:color="auto"/>
                <w:bottom w:val="none" w:sz="0" w:space="0" w:color="auto"/>
                <w:right w:val="none" w:sz="0" w:space="0" w:color="auto"/>
              </w:divBdr>
              <w:divsChild>
                <w:div w:id="923993717">
                  <w:marLeft w:val="0"/>
                  <w:marRight w:val="0"/>
                  <w:marTop w:val="0"/>
                  <w:marBottom w:val="0"/>
                  <w:divBdr>
                    <w:top w:val="none" w:sz="0" w:space="0" w:color="auto"/>
                    <w:left w:val="none" w:sz="0" w:space="0" w:color="auto"/>
                    <w:bottom w:val="none" w:sz="0" w:space="0" w:color="auto"/>
                    <w:right w:val="none" w:sz="0" w:space="0" w:color="auto"/>
                  </w:divBdr>
                </w:div>
              </w:divsChild>
            </w:div>
            <w:div w:id="874193380">
              <w:marLeft w:val="0"/>
              <w:marRight w:val="0"/>
              <w:marTop w:val="0"/>
              <w:marBottom w:val="0"/>
              <w:divBdr>
                <w:top w:val="none" w:sz="0" w:space="0" w:color="auto"/>
                <w:left w:val="none" w:sz="0" w:space="0" w:color="auto"/>
                <w:bottom w:val="none" w:sz="0" w:space="0" w:color="auto"/>
                <w:right w:val="none" w:sz="0" w:space="0" w:color="auto"/>
              </w:divBdr>
              <w:divsChild>
                <w:div w:id="908922138">
                  <w:marLeft w:val="0"/>
                  <w:marRight w:val="0"/>
                  <w:marTop w:val="0"/>
                  <w:marBottom w:val="0"/>
                  <w:divBdr>
                    <w:top w:val="none" w:sz="0" w:space="0" w:color="auto"/>
                    <w:left w:val="none" w:sz="0" w:space="0" w:color="auto"/>
                    <w:bottom w:val="none" w:sz="0" w:space="0" w:color="auto"/>
                    <w:right w:val="none" w:sz="0" w:space="0" w:color="auto"/>
                  </w:divBdr>
                </w:div>
              </w:divsChild>
            </w:div>
            <w:div w:id="1016274588">
              <w:marLeft w:val="0"/>
              <w:marRight w:val="0"/>
              <w:marTop w:val="0"/>
              <w:marBottom w:val="0"/>
              <w:divBdr>
                <w:top w:val="none" w:sz="0" w:space="0" w:color="auto"/>
                <w:left w:val="none" w:sz="0" w:space="0" w:color="auto"/>
                <w:bottom w:val="none" w:sz="0" w:space="0" w:color="auto"/>
                <w:right w:val="none" w:sz="0" w:space="0" w:color="auto"/>
              </w:divBdr>
              <w:divsChild>
                <w:div w:id="999037468">
                  <w:marLeft w:val="0"/>
                  <w:marRight w:val="0"/>
                  <w:marTop w:val="0"/>
                  <w:marBottom w:val="0"/>
                  <w:divBdr>
                    <w:top w:val="none" w:sz="0" w:space="0" w:color="auto"/>
                    <w:left w:val="none" w:sz="0" w:space="0" w:color="auto"/>
                    <w:bottom w:val="none" w:sz="0" w:space="0" w:color="auto"/>
                    <w:right w:val="none" w:sz="0" w:space="0" w:color="auto"/>
                  </w:divBdr>
                </w:div>
              </w:divsChild>
            </w:div>
            <w:div w:id="1098913926">
              <w:marLeft w:val="0"/>
              <w:marRight w:val="0"/>
              <w:marTop w:val="0"/>
              <w:marBottom w:val="0"/>
              <w:divBdr>
                <w:top w:val="none" w:sz="0" w:space="0" w:color="auto"/>
                <w:left w:val="none" w:sz="0" w:space="0" w:color="auto"/>
                <w:bottom w:val="none" w:sz="0" w:space="0" w:color="auto"/>
                <w:right w:val="none" w:sz="0" w:space="0" w:color="auto"/>
              </w:divBdr>
              <w:divsChild>
                <w:div w:id="1598176729">
                  <w:marLeft w:val="0"/>
                  <w:marRight w:val="0"/>
                  <w:marTop w:val="0"/>
                  <w:marBottom w:val="0"/>
                  <w:divBdr>
                    <w:top w:val="none" w:sz="0" w:space="0" w:color="auto"/>
                    <w:left w:val="none" w:sz="0" w:space="0" w:color="auto"/>
                    <w:bottom w:val="none" w:sz="0" w:space="0" w:color="auto"/>
                    <w:right w:val="none" w:sz="0" w:space="0" w:color="auto"/>
                  </w:divBdr>
                </w:div>
              </w:divsChild>
            </w:div>
            <w:div w:id="1244602534">
              <w:marLeft w:val="0"/>
              <w:marRight w:val="0"/>
              <w:marTop w:val="0"/>
              <w:marBottom w:val="0"/>
              <w:divBdr>
                <w:top w:val="none" w:sz="0" w:space="0" w:color="auto"/>
                <w:left w:val="none" w:sz="0" w:space="0" w:color="auto"/>
                <w:bottom w:val="none" w:sz="0" w:space="0" w:color="auto"/>
                <w:right w:val="none" w:sz="0" w:space="0" w:color="auto"/>
              </w:divBdr>
              <w:divsChild>
                <w:div w:id="768236969">
                  <w:marLeft w:val="0"/>
                  <w:marRight w:val="0"/>
                  <w:marTop w:val="0"/>
                  <w:marBottom w:val="0"/>
                  <w:divBdr>
                    <w:top w:val="none" w:sz="0" w:space="0" w:color="auto"/>
                    <w:left w:val="none" w:sz="0" w:space="0" w:color="auto"/>
                    <w:bottom w:val="none" w:sz="0" w:space="0" w:color="auto"/>
                    <w:right w:val="none" w:sz="0" w:space="0" w:color="auto"/>
                  </w:divBdr>
                </w:div>
              </w:divsChild>
            </w:div>
            <w:div w:id="1358695285">
              <w:marLeft w:val="0"/>
              <w:marRight w:val="0"/>
              <w:marTop w:val="0"/>
              <w:marBottom w:val="0"/>
              <w:divBdr>
                <w:top w:val="none" w:sz="0" w:space="0" w:color="auto"/>
                <w:left w:val="none" w:sz="0" w:space="0" w:color="auto"/>
                <w:bottom w:val="none" w:sz="0" w:space="0" w:color="auto"/>
                <w:right w:val="none" w:sz="0" w:space="0" w:color="auto"/>
              </w:divBdr>
              <w:divsChild>
                <w:div w:id="236979165">
                  <w:marLeft w:val="0"/>
                  <w:marRight w:val="0"/>
                  <w:marTop w:val="0"/>
                  <w:marBottom w:val="0"/>
                  <w:divBdr>
                    <w:top w:val="none" w:sz="0" w:space="0" w:color="auto"/>
                    <w:left w:val="none" w:sz="0" w:space="0" w:color="auto"/>
                    <w:bottom w:val="none" w:sz="0" w:space="0" w:color="auto"/>
                    <w:right w:val="none" w:sz="0" w:space="0" w:color="auto"/>
                  </w:divBdr>
                </w:div>
              </w:divsChild>
            </w:div>
            <w:div w:id="1365669724">
              <w:marLeft w:val="0"/>
              <w:marRight w:val="0"/>
              <w:marTop w:val="0"/>
              <w:marBottom w:val="0"/>
              <w:divBdr>
                <w:top w:val="none" w:sz="0" w:space="0" w:color="auto"/>
                <w:left w:val="none" w:sz="0" w:space="0" w:color="auto"/>
                <w:bottom w:val="none" w:sz="0" w:space="0" w:color="auto"/>
                <w:right w:val="none" w:sz="0" w:space="0" w:color="auto"/>
              </w:divBdr>
              <w:divsChild>
                <w:div w:id="410201140">
                  <w:marLeft w:val="0"/>
                  <w:marRight w:val="0"/>
                  <w:marTop w:val="0"/>
                  <w:marBottom w:val="0"/>
                  <w:divBdr>
                    <w:top w:val="none" w:sz="0" w:space="0" w:color="auto"/>
                    <w:left w:val="none" w:sz="0" w:space="0" w:color="auto"/>
                    <w:bottom w:val="none" w:sz="0" w:space="0" w:color="auto"/>
                    <w:right w:val="none" w:sz="0" w:space="0" w:color="auto"/>
                  </w:divBdr>
                </w:div>
              </w:divsChild>
            </w:div>
            <w:div w:id="1441216753">
              <w:marLeft w:val="0"/>
              <w:marRight w:val="0"/>
              <w:marTop w:val="0"/>
              <w:marBottom w:val="0"/>
              <w:divBdr>
                <w:top w:val="none" w:sz="0" w:space="0" w:color="auto"/>
                <w:left w:val="none" w:sz="0" w:space="0" w:color="auto"/>
                <w:bottom w:val="none" w:sz="0" w:space="0" w:color="auto"/>
                <w:right w:val="none" w:sz="0" w:space="0" w:color="auto"/>
              </w:divBdr>
              <w:divsChild>
                <w:div w:id="22901723">
                  <w:marLeft w:val="0"/>
                  <w:marRight w:val="0"/>
                  <w:marTop w:val="0"/>
                  <w:marBottom w:val="0"/>
                  <w:divBdr>
                    <w:top w:val="none" w:sz="0" w:space="0" w:color="auto"/>
                    <w:left w:val="none" w:sz="0" w:space="0" w:color="auto"/>
                    <w:bottom w:val="none" w:sz="0" w:space="0" w:color="auto"/>
                    <w:right w:val="none" w:sz="0" w:space="0" w:color="auto"/>
                  </w:divBdr>
                </w:div>
                <w:div w:id="1089934024">
                  <w:marLeft w:val="0"/>
                  <w:marRight w:val="0"/>
                  <w:marTop w:val="0"/>
                  <w:marBottom w:val="0"/>
                  <w:divBdr>
                    <w:top w:val="none" w:sz="0" w:space="0" w:color="auto"/>
                    <w:left w:val="none" w:sz="0" w:space="0" w:color="auto"/>
                    <w:bottom w:val="none" w:sz="0" w:space="0" w:color="auto"/>
                    <w:right w:val="none" w:sz="0" w:space="0" w:color="auto"/>
                  </w:divBdr>
                </w:div>
              </w:divsChild>
            </w:div>
            <w:div w:id="1526749694">
              <w:marLeft w:val="0"/>
              <w:marRight w:val="0"/>
              <w:marTop w:val="0"/>
              <w:marBottom w:val="0"/>
              <w:divBdr>
                <w:top w:val="none" w:sz="0" w:space="0" w:color="auto"/>
                <w:left w:val="none" w:sz="0" w:space="0" w:color="auto"/>
                <w:bottom w:val="none" w:sz="0" w:space="0" w:color="auto"/>
                <w:right w:val="none" w:sz="0" w:space="0" w:color="auto"/>
              </w:divBdr>
              <w:divsChild>
                <w:div w:id="14816173">
                  <w:marLeft w:val="0"/>
                  <w:marRight w:val="0"/>
                  <w:marTop w:val="0"/>
                  <w:marBottom w:val="0"/>
                  <w:divBdr>
                    <w:top w:val="none" w:sz="0" w:space="0" w:color="auto"/>
                    <w:left w:val="none" w:sz="0" w:space="0" w:color="auto"/>
                    <w:bottom w:val="none" w:sz="0" w:space="0" w:color="auto"/>
                    <w:right w:val="none" w:sz="0" w:space="0" w:color="auto"/>
                  </w:divBdr>
                </w:div>
              </w:divsChild>
            </w:div>
            <w:div w:id="1641880821">
              <w:marLeft w:val="0"/>
              <w:marRight w:val="0"/>
              <w:marTop w:val="0"/>
              <w:marBottom w:val="0"/>
              <w:divBdr>
                <w:top w:val="none" w:sz="0" w:space="0" w:color="auto"/>
                <w:left w:val="none" w:sz="0" w:space="0" w:color="auto"/>
                <w:bottom w:val="none" w:sz="0" w:space="0" w:color="auto"/>
                <w:right w:val="none" w:sz="0" w:space="0" w:color="auto"/>
              </w:divBdr>
              <w:divsChild>
                <w:div w:id="1819686795">
                  <w:marLeft w:val="0"/>
                  <w:marRight w:val="0"/>
                  <w:marTop w:val="0"/>
                  <w:marBottom w:val="0"/>
                  <w:divBdr>
                    <w:top w:val="none" w:sz="0" w:space="0" w:color="auto"/>
                    <w:left w:val="none" w:sz="0" w:space="0" w:color="auto"/>
                    <w:bottom w:val="none" w:sz="0" w:space="0" w:color="auto"/>
                    <w:right w:val="none" w:sz="0" w:space="0" w:color="auto"/>
                  </w:divBdr>
                </w:div>
                <w:div w:id="1854689165">
                  <w:marLeft w:val="0"/>
                  <w:marRight w:val="0"/>
                  <w:marTop w:val="0"/>
                  <w:marBottom w:val="0"/>
                  <w:divBdr>
                    <w:top w:val="none" w:sz="0" w:space="0" w:color="auto"/>
                    <w:left w:val="none" w:sz="0" w:space="0" w:color="auto"/>
                    <w:bottom w:val="none" w:sz="0" w:space="0" w:color="auto"/>
                    <w:right w:val="none" w:sz="0" w:space="0" w:color="auto"/>
                  </w:divBdr>
                </w:div>
              </w:divsChild>
            </w:div>
            <w:div w:id="1869247883">
              <w:marLeft w:val="0"/>
              <w:marRight w:val="0"/>
              <w:marTop w:val="0"/>
              <w:marBottom w:val="0"/>
              <w:divBdr>
                <w:top w:val="none" w:sz="0" w:space="0" w:color="auto"/>
                <w:left w:val="none" w:sz="0" w:space="0" w:color="auto"/>
                <w:bottom w:val="none" w:sz="0" w:space="0" w:color="auto"/>
                <w:right w:val="none" w:sz="0" w:space="0" w:color="auto"/>
              </w:divBdr>
              <w:divsChild>
                <w:div w:id="551767954">
                  <w:marLeft w:val="0"/>
                  <w:marRight w:val="0"/>
                  <w:marTop w:val="0"/>
                  <w:marBottom w:val="0"/>
                  <w:divBdr>
                    <w:top w:val="none" w:sz="0" w:space="0" w:color="auto"/>
                    <w:left w:val="none" w:sz="0" w:space="0" w:color="auto"/>
                    <w:bottom w:val="none" w:sz="0" w:space="0" w:color="auto"/>
                    <w:right w:val="none" w:sz="0" w:space="0" w:color="auto"/>
                  </w:divBdr>
                </w:div>
                <w:div w:id="744037918">
                  <w:marLeft w:val="0"/>
                  <w:marRight w:val="0"/>
                  <w:marTop w:val="0"/>
                  <w:marBottom w:val="0"/>
                  <w:divBdr>
                    <w:top w:val="none" w:sz="0" w:space="0" w:color="auto"/>
                    <w:left w:val="none" w:sz="0" w:space="0" w:color="auto"/>
                    <w:bottom w:val="none" w:sz="0" w:space="0" w:color="auto"/>
                    <w:right w:val="none" w:sz="0" w:space="0" w:color="auto"/>
                  </w:divBdr>
                </w:div>
              </w:divsChild>
            </w:div>
            <w:div w:id="1883394333">
              <w:marLeft w:val="0"/>
              <w:marRight w:val="0"/>
              <w:marTop w:val="0"/>
              <w:marBottom w:val="0"/>
              <w:divBdr>
                <w:top w:val="none" w:sz="0" w:space="0" w:color="auto"/>
                <w:left w:val="none" w:sz="0" w:space="0" w:color="auto"/>
                <w:bottom w:val="none" w:sz="0" w:space="0" w:color="auto"/>
                <w:right w:val="none" w:sz="0" w:space="0" w:color="auto"/>
              </w:divBdr>
              <w:divsChild>
                <w:div w:id="209194398">
                  <w:marLeft w:val="0"/>
                  <w:marRight w:val="0"/>
                  <w:marTop w:val="0"/>
                  <w:marBottom w:val="0"/>
                  <w:divBdr>
                    <w:top w:val="none" w:sz="0" w:space="0" w:color="auto"/>
                    <w:left w:val="none" w:sz="0" w:space="0" w:color="auto"/>
                    <w:bottom w:val="none" w:sz="0" w:space="0" w:color="auto"/>
                    <w:right w:val="none" w:sz="0" w:space="0" w:color="auto"/>
                  </w:divBdr>
                </w:div>
              </w:divsChild>
            </w:div>
            <w:div w:id="2047947365">
              <w:marLeft w:val="0"/>
              <w:marRight w:val="0"/>
              <w:marTop w:val="0"/>
              <w:marBottom w:val="0"/>
              <w:divBdr>
                <w:top w:val="none" w:sz="0" w:space="0" w:color="auto"/>
                <w:left w:val="none" w:sz="0" w:space="0" w:color="auto"/>
                <w:bottom w:val="none" w:sz="0" w:space="0" w:color="auto"/>
                <w:right w:val="none" w:sz="0" w:space="0" w:color="auto"/>
              </w:divBdr>
              <w:divsChild>
                <w:div w:id="107093247">
                  <w:marLeft w:val="0"/>
                  <w:marRight w:val="0"/>
                  <w:marTop w:val="0"/>
                  <w:marBottom w:val="0"/>
                  <w:divBdr>
                    <w:top w:val="none" w:sz="0" w:space="0" w:color="auto"/>
                    <w:left w:val="none" w:sz="0" w:space="0" w:color="auto"/>
                    <w:bottom w:val="none" w:sz="0" w:space="0" w:color="auto"/>
                    <w:right w:val="none" w:sz="0" w:space="0" w:color="auto"/>
                  </w:divBdr>
                </w:div>
              </w:divsChild>
            </w:div>
            <w:div w:id="2051218838">
              <w:marLeft w:val="0"/>
              <w:marRight w:val="0"/>
              <w:marTop w:val="0"/>
              <w:marBottom w:val="0"/>
              <w:divBdr>
                <w:top w:val="none" w:sz="0" w:space="0" w:color="auto"/>
                <w:left w:val="none" w:sz="0" w:space="0" w:color="auto"/>
                <w:bottom w:val="none" w:sz="0" w:space="0" w:color="auto"/>
                <w:right w:val="none" w:sz="0" w:space="0" w:color="auto"/>
              </w:divBdr>
              <w:divsChild>
                <w:div w:id="2105413202">
                  <w:marLeft w:val="0"/>
                  <w:marRight w:val="0"/>
                  <w:marTop w:val="0"/>
                  <w:marBottom w:val="0"/>
                  <w:divBdr>
                    <w:top w:val="none" w:sz="0" w:space="0" w:color="auto"/>
                    <w:left w:val="none" w:sz="0" w:space="0" w:color="auto"/>
                    <w:bottom w:val="none" w:sz="0" w:space="0" w:color="auto"/>
                    <w:right w:val="none" w:sz="0" w:space="0" w:color="auto"/>
                  </w:divBdr>
                </w:div>
              </w:divsChild>
            </w:div>
            <w:div w:id="2095391737">
              <w:marLeft w:val="0"/>
              <w:marRight w:val="0"/>
              <w:marTop w:val="0"/>
              <w:marBottom w:val="0"/>
              <w:divBdr>
                <w:top w:val="none" w:sz="0" w:space="0" w:color="auto"/>
                <w:left w:val="none" w:sz="0" w:space="0" w:color="auto"/>
                <w:bottom w:val="none" w:sz="0" w:space="0" w:color="auto"/>
                <w:right w:val="none" w:sz="0" w:space="0" w:color="auto"/>
              </w:divBdr>
              <w:divsChild>
                <w:div w:id="232787892">
                  <w:marLeft w:val="0"/>
                  <w:marRight w:val="0"/>
                  <w:marTop w:val="0"/>
                  <w:marBottom w:val="0"/>
                  <w:divBdr>
                    <w:top w:val="none" w:sz="0" w:space="0" w:color="auto"/>
                    <w:left w:val="none" w:sz="0" w:space="0" w:color="auto"/>
                    <w:bottom w:val="none" w:sz="0" w:space="0" w:color="auto"/>
                    <w:right w:val="none" w:sz="0" w:space="0" w:color="auto"/>
                  </w:divBdr>
                </w:div>
              </w:divsChild>
            </w:div>
            <w:div w:id="2109422509">
              <w:marLeft w:val="0"/>
              <w:marRight w:val="0"/>
              <w:marTop w:val="0"/>
              <w:marBottom w:val="0"/>
              <w:divBdr>
                <w:top w:val="none" w:sz="0" w:space="0" w:color="auto"/>
                <w:left w:val="none" w:sz="0" w:space="0" w:color="auto"/>
                <w:bottom w:val="none" w:sz="0" w:space="0" w:color="auto"/>
                <w:right w:val="none" w:sz="0" w:space="0" w:color="auto"/>
              </w:divBdr>
              <w:divsChild>
                <w:div w:id="1286038208">
                  <w:marLeft w:val="0"/>
                  <w:marRight w:val="0"/>
                  <w:marTop w:val="0"/>
                  <w:marBottom w:val="0"/>
                  <w:divBdr>
                    <w:top w:val="none" w:sz="0" w:space="0" w:color="auto"/>
                    <w:left w:val="none" w:sz="0" w:space="0" w:color="auto"/>
                    <w:bottom w:val="none" w:sz="0" w:space="0" w:color="auto"/>
                    <w:right w:val="none" w:sz="0" w:space="0" w:color="auto"/>
                  </w:divBdr>
                </w:div>
              </w:divsChild>
            </w:div>
            <w:div w:id="2138792727">
              <w:marLeft w:val="0"/>
              <w:marRight w:val="0"/>
              <w:marTop w:val="0"/>
              <w:marBottom w:val="0"/>
              <w:divBdr>
                <w:top w:val="none" w:sz="0" w:space="0" w:color="auto"/>
                <w:left w:val="none" w:sz="0" w:space="0" w:color="auto"/>
                <w:bottom w:val="none" w:sz="0" w:space="0" w:color="auto"/>
                <w:right w:val="none" w:sz="0" w:space="0" w:color="auto"/>
              </w:divBdr>
              <w:divsChild>
                <w:div w:id="9904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7677">
          <w:marLeft w:val="0"/>
          <w:marRight w:val="0"/>
          <w:marTop w:val="0"/>
          <w:marBottom w:val="0"/>
          <w:divBdr>
            <w:top w:val="none" w:sz="0" w:space="0" w:color="auto"/>
            <w:left w:val="none" w:sz="0" w:space="0" w:color="auto"/>
            <w:bottom w:val="none" w:sz="0" w:space="0" w:color="auto"/>
            <w:right w:val="none" w:sz="0" w:space="0" w:color="auto"/>
          </w:divBdr>
        </w:div>
        <w:div w:id="914054138">
          <w:marLeft w:val="0"/>
          <w:marRight w:val="0"/>
          <w:marTop w:val="0"/>
          <w:marBottom w:val="0"/>
          <w:divBdr>
            <w:top w:val="none" w:sz="0" w:space="0" w:color="auto"/>
            <w:left w:val="none" w:sz="0" w:space="0" w:color="auto"/>
            <w:bottom w:val="none" w:sz="0" w:space="0" w:color="auto"/>
            <w:right w:val="none" w:sz="0" w:space="0" w:color="auto"/>
          </w:divBdr>
        </w:div>
        <w:div w:id="937299835">
          <w:marLeft w:val="0"/>
          <w:marRight w:val="0"/>
          <w:marTop w:val="0"/>
          <w:marBottom w:val="0"/>
          <w:divBdr>
            <w:top w:val="none" w:sz="0" w:space="0" w:color="auto"/>
            <w:left w:val="none" w:sz="0" w:space="0" w:color="auto"/>
            <w:bottom w:val="none" w:sz="0" w:space="0" w:color="auto"/>
            <w:right w:val="none" w:sz="0" w:space="0" w:color="auto"/>
          </w:divBdr>
        </w:div>
        <w:div w:id="974798501">
          <w:marLeft w:val="0"/>
          <w:marRight w:val="0"/>
          <w:marTop w:val="0"/>
          <w:marBottom w:val="0"/>
          <w:divBdr>
            <w:top w:val="none" w:sz="0" w:space="0" w:color="auto"/>
            <w:left w:val="none" w:sz="0" w:space="0" w:color="auto"/>
            <w:bottom w:val="none" w:sz="0" w:space="0" w:color="auto"/>
            <w:right w:val="none" w:sz="0" w:space="0" w:color="auto"/>
          </w:divBdr>
        </w:div>
        <w:div w:id="984239756">
          <w:marLeft w:val="0"/>
          <w:marRight w:val="0"/>
          <w:marTop w:val="0"/>
          <w:marBottom w:val="0"/>
          <w:divBdr>
            <w:top w:val="none" w:sz="0" w:space="0" w:color="auto"/>
            <w:left w:val="none" w:sz="0" w:space="0" w:color="auto"/>
            <w:bottom w:val="none" w:sz="0" w:space="0" w:color="auto"/>
            <w:right w:val="none" w:sz="0" w:space="0" w:color="auto"/>
          </w:divBdr>
        </w:div>
        <w:div w:id="1054233160">
          <w:marLeft w:val="0"/>
          <w:marRight w:val="0"/>
          <w:marTop w:val="0"/>
          <w:marBottom w:val="0"/>
          <w:divBdr>
            <w:top w:val="none" w:sz="0" w:space="0" w:color="auto"/>
            <w:left w:val="none" w:sz="0" w:space="0" w:color="auto"/>
            <w:bottom w:val="none" w:sz="0" w:space="0" w:color="auto"/>
            <w:right w:val="none" w:sz="0" w:space="0" w:color="auto"/>
          </w:divBdr>
        </w:div>
        <w:div w:id="1083530851">
          <w:marLeft w:val="0"/>
          <w:marRight w:val="0"/>
          <w:marTop w:val="0"/>
          <w:marBottom w:val="0"/>
          <w:divBdr>
            <w:top w:val="none" w:sz="0" w:space="0" w:color="auto"/>
            <w:left w:val="none" w:sz="0" w:space="0" w:color="auto"/>
            <w:bottom w:val="none" w:sz="0" w:space="0" w:color="auto"/>
            <w:right w:val="none" w:sz="0" w:space="0" w:color="auto"/>
          </w:divBdr>
        </w:div>
        <w:div w:id="1096243846">
          <w:marLeft w:val="0"/>
          <w:marRight w:val="0"/>
          <w:marTop w:val="0"/>
          <w:marBottom w:val="0"/>
          <w:divBdr>
            <w:top w:val="none" w:sz="0" w:space="0" w:color="auto"/>
            <w:left w:val="none" w:sz="0" w:space="0" w:color="auto"/>
            <w:bottom w:val="none" w:sz="0" w:space="0" w:color="auto"/>
            <w:right w:val="none" w:sz="0" w:space="0" w:color="auto"/>
          </w:divBdr>
        </w:div>
        <w:div w:id="1099637192">
          <w:marLeft w:val="0"/>
          <w:marRight w:val="0"/>
          <w:marTop w:val="0"/>
          <w:marBottom w:val="0"/>
          <w:divBdr>
            <w:top w:val="none" w:sz="0" w:space="0" w:color="auto"/>
            <w:left w:val="none" w:sz="0" w:space="0" w:color="auto"/>
            <w:bottom w:val="none" w:sz="0" w:space="0" w:color="auto"/>
            <w:right w:val="none" w:sz="0" w:space="0" w:color="auto"/>
          </w:divBdr>
        </w:div>
        <w:div w:id="1101875226">
          <w:marLeft w:val="-75"/>
          <w:marRight w:val="0"/>
          <w:marTop w:val="30"/>
          <w:marBottom w:val="30"/>
          <w:divBdr>
            <w:top w:val="none" w:sz="0" w:space="0" w:color="auto"/>
            <w:left w:val="none" w:sz="0" w:space="0" w:color="auto"/>
            <w:bottom w:val="none" w:sz="0" w:space="0" w:color="auto"/>
            <w:right w:val="none" w:sz="0" w:space="0" w:color="auto"/>
          </w:divBdr>
          <w:divsChild>
            <w:div w:id="21102726">
              <w:marLeft w:val="0"/>
              <w:marRight w:val="0"/>
              <w:marTop w:val="0"/>
              <w:marBottom w:val="0"/>
              <w:divBdr>
                <w:top w:val="none" w:sz="0" w:space="0" w:color="auto"/>
                <w:left w:val="none" w:sz="0" w:space="0" w:color="auto"/>
                <w:bottom w:val="none" w:sz="0" w:space="0" w:color="auto"/>
                <w:right w:val="none" w:sz="0" w:space="0" w:color="auto"/>
              </w:divBdr>
              <w:divsChild>
                <w:div w:id="265159800">
                  <w:marLeft w:val="0"/>
                  <w:marRight w:val="0"/>
                  <w:marTop w:val="0"/>
                  <w:marBottom w:val="0"/>
                  <w:divBdr>
                    <w:top w:val="none" w:sz="0" w:space="0" w:color="auto"/>
                    <w:left w:val="none" w:sz="0" w:space="0" w:color="auto"/>
                    <w:bottom w:val="none" w:sz="0" w:space="0" w:color="auto"/>
                    <w:right w:val="none" w:sz="0" w:space="0" w:color="auto"/>
                  </w:divBdr>
                </w:div>
              </w:divsChild>
            </w:div>
            <w:div w:id="233978936">
              <w:marLeft w:val="0"/>
              <w:marRight w:val="0"/>
              <w:marTop w:val="0"/>
              <w:marBottom w:val="0"/>
              <w:divBdr>
                <w:top w:val="none" w:sz="0" w:space="0" w:color="auto"/>
                <w:left w:val="none" w:sz="0" w:space="0" w:color="auto"/>
                <w:bottom w:val="none" w:sz="0" w:space="0" w:color="auto"/>
                <w:right w:val="none" w:sz="0" w:space="0" w:color="auto"/>
              </w:divBdr>
              <w:divsChild>
                <w:div w:id="1416781200">
                  <w:marLeft w:val="0"/>
                  <w:marRight w:val="0"/>
                  <w:marTop w:val="0"/>
                  <w:marBottom w:val="0"/>
                  <w:divBdr>
                    <w:top w:val="none" w:sz="0" w:space="0" w:color="auto"/>
                    <w:left w:val="none" w:sz="0" w:space="0" w:color="auto"/>
                    <w:bottom w:val="none" w:sz="0" w:space="0" w:color="auto"/>
                    <w:right w:val="none" w:sz="0" w:space="0" w:color="auto"/>
                  </w:divBdr>
                </w:div>
              </w:divsChild>
            </w:div>
            <w:div w:id="360057094">
              <w:marLeft w:val="0"/>
              <w:marRight w:val="0"/>
              <w:marTop w:val="0"/>
              <w:marBottom w:val="0"/>
              <w:divBdr>
                <w:top w:val="none" w:sz="0" w:space="0" w:color="auto"/>
                <w:left w:val="none" w:sz="0" w:space="0" w:color="auto"/>
                <w:bottom w:val="none" w:sz="0" w:space="0" w:color="auto"/>
                <w:right w:val="none" w:sz="0" w:space="0" w:color="auto"/>
              </w:divBdr>
              <w:divsChild>
                <w:div w:id="1253703760">
                  <w:marLeft w:val="0"/>
                  <w:marRight w:val="0"/>
                  <w:marTop w:val="0"/>
                  <w:marBottom w:val="0"/>
                  <w:divBdr>
                    <w:top w:val="none" w:sz="0" w:space="0" w:color="auto"/>
                    <w:left w:val="none" w:sz="0" w:space="0" w:color="auto"/>
                    <w:bottom w:val="none" w:sz="0" w:space="0" w:color="auto"/>
                    <w:right w:val="none" w:sz="0" w:space="0" w:color="auto"/>
                  </w:divBdr>
                </w:div>
                <w:div w:id="1925996284">
                  <w:marLeft w:val="0"/>
                  <w:marRight w:val="0"/>
                  <w:marTop w:val="0"/>
                  <w:marBottom w:val="0"/>
                  <w:divBdr>
                    <w:top w:val="none" w:sz="0" w:space="0" w:color="auto"/>
                    <w:left w:val="none" w:sz="0" w:space="0" w:color="auto"/>
                    <w:bottom w:val="none" w:sz="0" w:space="0" w:color="auto"/>
                    <w:right w:val="none" w:sz="0" w:space="0" w:color="auto"/>
                  </w:divBdr>
                </w:div>
              </w:divsChild>
            </w:div>
            <w:div w:id="369036176">
              <w:marLeft w:val="0"/>
              <w:marRight w:val="0"/>
              <w:marTop w:val="0"/>
              <w:marBottom w:val="0"/>
              <w:divBdr>
                <w:top w:val="none" w:sz="0" w:space="0" w:color="auto"/>
                <w:left w:val="none" w:sz="0" w:space="0" w:color="auto"/>
                <w:bottom w:val="none" w:sz="0" w:space="0" w:color="auto"/>
                <w:right w:val="none" w:sz="0" w:space="0" w:color="auto"/>
              </w:divBdr>
              <w:divsChild>
                <w:div w:id="916666132">
                  <w:marLeft w:val="0"/>
                  <w:marRight w:val="0"/>
                  <w:marTop w:val="0"/>
                  <w:marBottom w:val="0"/>
                  <w:divBdr>
                    <w:top w:val="none" w:sz="0" w:space="0" w:color="auto"/>
                    <w:left w:val="none" w:sz="0" w:space="0" w:color="auto"/>
                    <w:bottom w:val="none" w:sz="0" w:space="0" w:color="auto"/>
                    <w:right w:val="none" w:sz="0" w:space="0" w:color="auto"/>
                  </w:divBdr>
                </w:div>
              </w:divsChild>
            </w:div>
            <w:div w:id="401761233">
              <w:marLeft w:val="0"/>
              <w:marRight w:val="0"/>
              <w:marTop w:val="0"/>
              <w:marBottom w:val="0"/>
              <w:divBdr>
                <w:top w:val="none" w:sz="0" w:space="0" w:color="auto"/>
                <w:left w:val="none" w:sz="0" w:space="0" w:color="auto"/>
                <w:bottom w:val="none" w:sz="0" w:space="0" w:color="auto"/>
                <w:right w:val="none" w:sz="0" w:space="0" w:color="auto"/>
              </w:divBdr>
              <w:divsChild>
                <w:div w:id="968589068">
                  <w:marLeft w:val="0"/>
                  <w:marRight w:val="0"/>
                  <w:marTop w:val="0"/>
                  <w:marBottom w:val="0"/>
                  <w:divBdr>
                    <w:top w:val="none" w:sz="0" w:space="0" w:color="auto"/>
                    <w:left w:val="none" w:sz="0" w:space="0" w:color="auto"/>
                    <w:bottom w:val="none" w:sz="0" w:space="0" w:color="auto"/>
                    <w:right w:val="none" w:sz="0" w:space="0" w:color="auto"/>
                  </w:divBdr>
                </w:div>
              </w:divsChild>
            </w:div>
            <w:div w:id="472068578">
              <w:marLeft w:val="0"/>
              <w:marRight w:val="0"/>
              <w:marTop w:val="0"/>
              <w:marBottom w:val="0"/>
              <w:divBdr>
                <w:top w:val="none" w:sz="0" w:space="0" w:color="auto"/>
                <w:left w:val="none" w:sz="0" w:space="0" w:color="auto"/>
                <w:bottom w:val="none" w:sz="0" w:space="0" w:color="auto"/>
                <w:right w:val="none" w:sz="0" w:space="0" w:color="auto"/>
              </w:divBdr>
              <w:divsChild>
                <w:div w:id="1353724335">
                  <w:marLeft w:val="0"/>
                  <w:marRight w:val="0"/>
                  <w:marTop w:val="0"/>
                  <w:marBottom w:val="0"/>
                  <w:divBdr>
                    <w:top w:val="none" w:sz="0" w:space="0" w:color="auto"/>
                    <w:left w:val="none" w:sz="0" w:space="0" w:color="auto"/>
                    <w:bottom w:val="none" w:sz="0" w:space="0" w:color="auto"/>
                    <w:right w:val="none" w:sz="0" w:space="0" w:color="auto"/>
                  </w:divBdr>
                </w:div>
              </w:divsChild>
            </w:div>
            <w:div w:id="488129972">
              <w:marLeft w:val="0"/>
              <w:marRight w:val="0"/>
              <w:marTop w:val="0"/>
              <w:marBottom w:val="0"/>
              <w:divBdr>
                <w:top w:val="none" w:sz="0" w:space="0" w:color="auto"/>
                <w:left w:val="none" w:sz="0" w:space="0" w:color="auto"/>
                <w:bottom w:val="none" w:sz="0" w:space="0" w:color="auto"/>
                <w:right w:val="none" w:sz="0" w:space="0" w:color="auto"/>
              </w:divBdr>
              <w:divsChild>
                <w:div w:id="783504888">
                  <w:marLeft w:val="0"/>
                  <w:marRight w:val="0"/>
                  <w:marTop w:val="0"/>
                  <w:marBottom w:val="0"/>
                  <w:divBdr>
                    <w:top w:val="none" w:sz="0" w:space="0" w:color="auto"/>
                    <w:left w:val="none" w:sz="0" w:space="0" w:color="auto"/>
                    <w:bottom w:val="none" w:sz="0" w:space="0" w:color="auto"/>
                    <w:right w:val="none" w:sz="0" w:space="0" w:color="auto"/>
                  </w:divBdr>
                </w:div>
              </w:divsChild>
            </w:div>
            <w:div w:id="528183509">
              <w:marLeft w:val="0"/>
              <w:marRight w:val="0"/>
              <w:marTop w:val="0"/>
              <w:marBottom w:val="0"/>
              <w:divBdr>
                <w:top w:val="none" w:sz="0" w:space="0" w:color="auto"/>
                <w:left w:val="none" w:sz="0" w:space="0" w:color="auto"/>
                <w:bottom w:val="none" w:sz="0" w:space="0" w:color="auto"/>
                <w:right w:val="none" w:sz="0" w:space="0" w:color="auto"/>
              </w:divBdr>
              <w:divsChild>
                <w:div w:id="87314311">
                  <w:marLeft w:val="0"/>
                  <w:marRight w:val="0"/>
                  <w:marTop w:val="0"/>
                  <w:marBottom w:val="0"/>
                  <w:divBdr>
                    <w:top w:val="none" w:sz="0" w:space="0" w:color="auto"/>
                    <w:left w:val="none" w:sz="0" w:space="0" w:color="auto"/>
                    <w:bottom w:val="none" w:sz="0" w:space="0" w:color="auto"/>
                    <w:right w:val="none" w:sz="0" w:space="0" w:color="auto"/>
                  </w:divBdr>
                </w:div>
              </w:divsChild>
            </w:div>
            <w:div w:id="535968058">
              <w:marLeft w:val="0"/>
              <w:marRight w:val="0"/>
              <w:marTop w:val="0"/>
              <w:marBottom w:val="0"/>
              <w:divBdr>
                <w:top w:val="none" w:sz="0" w:space="0" w:color="auto"/>
                <w:left w:val="none" w:sz="0" w:space="0" w:color="auto"/>
                <w:bottom w:val="none" w:sz="0" w:space="0" w:color="auto"/>
                <w:right w:val="none" w:sz="0" w:space="0" w:color="auto"/>
              </w:divBdr>
              <w:divsChild>
                <w:div w:id="1034041769">
                  <w:marLeft w:val="0"/>
                  <w:marRight w:val="0"/>
                  <w:marTop w:val="0"/>
                  <w:marBottom w:val="0"/>
                  <w:divBdr>
                    <w:top w:val="none" w:sz="0" w:space="0" w:color="auto"/>
                    <w:left w:val="none" w:sz="0" w:space="0" w:color="auto"/>
                    <w:bottom w:val="none" w:sz="0" w:space="0" w:color="auto"/>
                    <w:right w:val="none" w:sz="0" w:space="0" w:color="auto"/>
                  </w:divBdr>
                </w:div>
              </w:divsChild>
            </w:div>
            <w:div w:id="552349486">
              <w:marLeft w:val="0"/>
              <w:marRight w:val="0"/>
              <w:marTop w:val="0"/>
              <w:marBottom w:val="0"/>
              <w:divBdr>
                <w:top w:val="none" w:sz="0" w:space="0" w:color="auto"/>
                <w:left w:val="none" w:sz="0" w:space="0" w:color="auto"/>
                <w:bottom w:val="none" w:sz="0" w:space="0" w:color="auto"/>
                <w:right w:val="none" w:sz="0" w:space="0" w:color="auto"/>
              </w:divBdr>
              <w:divsChild>
                <w:div w:id="213086854">
                  <w:marLeft w:val="0"/>
                  <w:marRight w:val="0"/>
                  <w:marTop w:val="0"/>
                  <w:marBottom w:val="0"/>
                  <w:divBdr>
                    <w:top w:val="none" w:sz="0" w:space="0" w:color="auto"/>
                    <w:left w:val="none" w:sz="0" w:space="0" w:color="auto"/>
                    <w:bottom w:val="none" w:sz="0" w:space="0" w:color="auto"/>
                    <w:right w:val="none" w:sz="0" w:space="0" w:color="auto"/>
                  </w:divBdr>
                </w:div>
              </w:divsChild>
            </w:div>
            <w:div w:id="643510879">
              <w:marLeft w:val="0"/>
              <w:marRight w:val="0"/>
              <w:marTop w:val="0"/>
              <w:marBottom w:val="0"/>
              <w:divBdr>
                <w:top w:val="none" w:sz="0" w:space="0" w:color="auto"/>
                <w:left w:val="none" w:sz="0" w:space="0" w:color="auto"/>
                <w:bottom w:val="none" w:sz="0" w:space="0" w:color="auto"/>
                <w:right w:val="none" w:sz="0" w:space="0" w:color="auto"/>
              </w:divBdr>
              <w:divsChild>
                <w:div w:id="905649568">
                  <w:marLeft w:val="0"/>
                  <w:marRight w:val="0"/>
                  <w:marTop w:val="0"/>
                  <w:marBottom w:val="0"/>
                  <w:divBdr>
                    <w:top w:val="none" w:sz="0" w:space="0" w:color="auto"/>
                    <w:left w:val="none" w:sz="0" w:space="0" w:color="auto"/>
                    <w:bottom w:val="none" w:sz="0" w:space="0" w:color="auto"/>
                    <w:right w:val="none" w:sz="0" w:space="0" w:color="auto"/>
                  </w:divBdr>
                </w:div>
              </w:divsChild>
            </w:div>
            <w:div w:id="737634495">
              <w:marLeft w:val="0"/>
              <w:marRight w:val="0"/>
              <w:marTop w:val="0"/>
              <w:marBottom w:val="0"/>
              <w:divBdr>
                <w:top w:val="none" w:sz="0" w:space="0" w:color="auto"/>
                <w:left w:val="none" w:sz="0" w:space="0" w:color="auto"/>
                <w:bottom w:val="none" w:sz="0" w:space="0" w:color="auto"/>
                <w:right w:val="none" w:sz="0" w:space="0" w:color="auto"/>
              </w:divBdr>
              <w:divsChild>
                <w:div w:id="969021052">
                  <w:marLeft w:val="0"/>
                  <w:marRight w:val="0"/>
                  <w:marTop w:val="0"/>
                  <w:marBottom w:val="0"/>
                  <w:divBdr>
                    <w:top w:val="none" w:sz="0" w:space="0" w:color="auto"/>
                    <w:left w:val="none" w:sz="0" w:space="0" w:color="auto"/>
                    <w:bottom w:val="none" w:sz="0" w:space="0" w:color="auto"/>
                    <w:right w:val="none" w:sz="0" w:space="0" w:color="auto"/>
                  </w:divBdr>
                </w:div>
              </w:divsChild>
            </w:div>
            <w:div w:id="778451658">
              <w:marLeft w:val="0"/>
              <w:marRight w:val="0"/>
              <w:marTop w:val="0"/>
              <w:marBottom w:val="0"/>
              <w:divBdr>
                <w:top w:val="none" w:sz="0" w:space="0" w:color="auto"/>
                <w:left w:val="none" w:sz="0" w:space="0" w:color="auto"/>
                <w:bottom w:val="none" w:sz="0" w:space="0" w:color="auto"/>
                <w:right w:val="none" w:sz="0" w:space="0" w:color="auto"/>
              </w:divBdr>
              <w:divsChild>
                <w:div w:id="763302451">
                  <w:marLeft w:val="0"/>
                  <w:marRight w:val="0"/>
                  <w:marTop w:val="0"/>
                  <w:marBottom w:val="0"/>
                  <w:divBdr>
                    <w:top w:val="none" w:sz="0" w:space="0" w:color="auto"/>
                    <w:left w:val="none" w:sz="0" w:space="0" w:color="auto"/>
                    <w:bottom w:val="none" w:sz="0" w:space="0" w:color="auto"/>
                    <w:right w:val="none" w:sz="0" w:space="0" w:color="auto"/>
                  </w:divBdr>
                </w:div>
              </w:divsChild>
            </w:div>
            <w:div w:id="839857464">
              <w:marLeft w:val="0"/>
              <w:marRight w:val="0"/>
              <w:marTop w:val="0"/>
              <w:marBottom w:val="0"/>
              <w:divBdr>
                <w:top w:val="none" w:sz="0" w:space="0" w:color="auto"/>
                <w:left w:val="none" w:sz="0" w:space="0" w:color="auto"/>
                <w:bottom w:val="none" w:sz="0" w:space="0" w:color="auto"/>
                <w:right w:val="none" w:sz="0" w:space="0" w:color="auto"/>
              </w:divBdr>
              <w:divsChild>
                <w:div w:id="469832603">
                  <w:marLeft w:val="0"/>
                  <w:marRight w:val="0"/>
                  <w:marTop w:val="0"/>
                  <w:marBottom w:val="0"/>
                  <w:divBdr>
                    <w:top w:val="none" w:sz="0" w:space="0" w:color="auto"/>
                    <w:left w:val="none" w:sz="0" w:space="0" w:color="auto"/>
                    <w:bottom w:val="none" w:sz="0" w:space="0" w:color="auto"/>
                    <w:right w:val="none" w:sz="0" w:space="0" w:color="auto"/>
                  </w:divBdr>
                </w:div>
              </w:divsChild>
            </w:div>
            <w:div w:id="842430298">
              <w:marLeft w:val="0"/>
              <w:marRight w:val="0"/>
              <w:marTop w:val="0"/>
              <w:marBottom w:val="0"/>
              <w:divBdr>
                <w:top w:val="none" w:sz="0" w:space="0" w:color="auto"/>
                <w:left w:val="none" w:sz="0" w:space="0" w:color="auto"/>
                <w:bottom w:val="none" w:sz="0" w:space="0" w:color="auto"/>
                <w:right w:val="none" w:sz="0" w:space="0" w:color="auto"/>
              </w:divBdr>
              <w:divsChild>
                <w:div w:id="943734593">
                  <w:marLeft w:val="0"/>
                  <w:marRight w:val="0"/>
                  <w:marTop w:val="0"/>
                  <w:marBottom w:val="0"/>
                  <w:divBdr>
                    <w:top w:val="none" w:sz="0" w:space="0" w:color="auto"/>
                    <w:left w:val="none" w:sz="0" w:space="0" w:color="auto"/>
                    <w:bottom w:val="none" w:sz="0" w:space="0" w:color="auto"/>
                    <w:right w:val="none" w:sz="0" w:space="0" w:color="auto"/>
                  </w:divBdr>
                </w:div>
              </w:divsChild>
            </w:div>
            <w:div w:id="930553406">
              <w:marLeft w:val="0"/>
              <w:marRight w:val="0"/>
              <w:marTop w:val="0"/>
              <w:marBottom w:val="0"/>
              <w:divBdr>
                <w:top w:val="none" w:sz="0" w:space="0" w:color="auto"/>
                <w:left w:val="none" w:sz="0" w:space="0" w:color="auto"/>
                <w:bottom w:val="none" w:sz="0" w:space="0" w:color="auto"/>
                <w:right w:val="none" w:sz="0" w:space="0" w:color="auto"/>
              </w:divBdr>
              <w:divsChild>
                <w:div w:id="88047369">
                  <w:marLeft w:val="0"/>
                  <w:marRight w:val="0"/>
                  <w:marTop w:val="0"/>
                  <w:marBottom w:val="0"/>
                  <w:divBdr>
                    <w:top w:val="none" w:sz="0" w:space="0" w:color="auto"/>
                    <w:left w:val="none" w:sz="0" w:space="0" w:color="auto"/>
                    <w:bottom w:val="none" w:sz="0" w:space="0" w:color="auto"/>
                    <w:right w:val="none" w:sz="0" w:space="0" w:color="auto"/>
                  </w:divBdr>
                </w:div>
              </w:divsChild>
            </w:div>
            <w:div w:id="1015884967">
              <w:marLeft w:val="0"/>
              <w:marRight w:val="0"/>
              <w:marTop w:val="0"/>
              <w:marBottom w:val="0"/>
              <w:divBdr>
                <w:top w:val="none" w:sz="0" w:space="0" w:color="auto"/>
                <w:left w:val="none" w:sz="0" w:space="0" w:color="auto"/>
                <w:bottom w:val="none" w:sz="0" w:space="0" w:color="auto"/>
                <w:right w:val="none" w:sz="0" w:space="0" w:color="auto"/>
              </w:divBdr>
              <w:divsChild>
                <w:div w:id="1071780263">
                  <w:marLeft w:val="0"/>
                  <w:marRight w:val="0"/>
                  <w:marTop w:val="0"/>
                  <w:marBottom w:val="0"/>
                  <w:divBdr>
                    <w:top w:val="none" w:sz="0" w:space="0" w:color="auto"/>
                    <w:left w:val="none" w:sz="0" w:space="0" w:color="auto"/>
                    <w:bottom w:val="none" w:sz="0" w:space="0" w:color="auto"/>
                    <w:right w:val="none" w:sz="0" w:space="0" w:color="auto"/>
                  </w:divBdr>
                </w:div>
              </w:divsChild>
            </w:div>
            <w:div w:id="1032874730">
              <w:marLeft w:val="0"/>
              <w:marRight w:val="0"/>
              <w:marTop w:val="0"/>
              <w:marBottom w:val="0"/>
              <w:divBdr>
                <w:top w:val="none" w:sz="0" w:space="0" w:color="auto"/>
                <w:left w:val="none" w:sz="0" w:space="0" w:color="auto"/>
                <w:bottom w:val="none" w:sz="0" w:space="0" w:color="auto"/>
                <w:right w:val="none" w:sz="0" w:space="0" w:color="auto"/>
              </w:divBdr>
              <w:divsChild>
                <w:div w:id="744500068">
                  <w:marLeft w:val="0"/>
                  <w:marRight w:val="0"/>
                  <w:marTop w:val="0"/>
                  <w:marBottom w:val="0"/>
                  <w:divBdr>
                    <w:top w:val="none" w:sz="0" w:space="0" w:color="auto"/>
                    <w:left w:val="none" w:sz="0" w:space="0" w:color="auto"/>
                    <w:bottom w:val="none" w:sz="0" w:space="0" w:color="auto"/>
                    <w:right w:val="none" w:sz="0" w:space="0" w:color="auto"/>
                  </w:divBdr>
                </w:div>
              </w:divsChild>
            </w:div>
            <w:div w:id="1032999026">
              <w:marLeft w:val="0"/>
              <w:marRight w:val="0"/>
              <w:marTop w:val="0"/>
              <w:marBottom w:val="0"/>
              <w:divBdr>
                <w:top w:val="none" w:sz="0" w:space="0" w:color="auto"/>
                <w:left w:val="none" w:sz="0" w:space="0" w:color="auto"/>
                <w:bottom w:val="none" w:sz="0" w:space="0" w:color="auto"/>
                <w:right w:val="none" w:sz="0" w:space="0" w:color="auto"/>
              </w:divBdr>
              <w:divsChild>
                <w:div w:id="2019044156">
                  <w:marLeft w:val="0"/>
                  <w:marRight w:val="0"/>
                  <w:marTop w:val="0"/>
                  <w:marBottom w:val="0"/>
                  <w:divBdr>
                    <w:top w:val="none" w:sz="0" w:space="0" w:color="auto"/>
                    <w:left w:val="none" w:sz="0" w:space="0" w:color="auto"/>
                    <w:bottom w:val="none" w:sz="0" w:space="0" w:color="auto"/>
                    <w:right w:val="none" w:sz="0" w:space="0" w:color="auto"/>
                  </w:divBdr>
                </w:div>
              </w:divsChild>
            </w:div>
            <w:div w:id="1075128851">
              <w:marLeft w:val="0"/>
              <w:marRight w:val="0"/>
              <w:marTop w:val="0"/>
              <w:marBottom w:val="0"/>
              <w:divBdr>
                <w:top w:val="none" w:sz="0" w:space="0" w:color="auto"/>
                <w:left w:val="none" w:sz="0" w:space="0" w:color="auto"/>
                <w:bottom w:val="none" w:sz="0" w:space="0" w:color="auto"/>
                <w:right w:val="none" w:sz="0" w:space="0" w:color="auto"/>
              </w:divBdr>
              <w:divsChild>
                <w:div w:id="485363361">
                  <w:marLeft w:val="0"/>
                  <w:marRight w:val="0"/>
                  <w:marTop w:val="0"/>
                  <w:marBottom w:val="0"/>
                  <w:divBdr>
                    <w:top w:val="none" w:sz="0" w:space="0" w:color="auto"/>
                    <w:left w:val="none" w:sz="0" w:space="0" w:color="auto"/>
                    <w:bottom w:val="none" w:sz="0" w:space="0" w:color="auto"/>
                    <w:right w:val="none" w:sz="0" w:space="0" w:color="auto"/>
                  </w:divBdr>
                </w:div>
              </w:divsChild>
            </w:div>
            <w:div w:id="1119225104">
              <w:marLeft w:val="0"/>
              <w:marRight w:val="0"/>
              <w:marTop w:val="0"/>
              <w:marBottom w:val="0"/>
              <w:divBdr>
                <w:top w:val="none" w:sz="0" w:space="0" w:color="auto"/>
                <w:left w:val="none" w:sz="0" w:space="0" w:color="auto"/>
                <w:bottom w:val="none" w:sz="0" w:space="0" w:color="auto"/>
                <w:right w:val="none" w:sz="0" w:space="0" w:color="auto"/>
              </w:divBdr>
              <w:divsChild>
                <w:div w:id="1013650622">
                  <w:marLeft w:val="0"/>
                  <w:marRight w:val="0"/>
                  <w:marTop w:val="0"/>
                  <w:marBottom w:val="0"/>
                  <w:divBdr>
                    <w:top w:val="none" w:sz="0" w:space="0" w:color="auto"/>
                    <w:left w:val="none" w:sz="0" w:space="0" w:color="auto"/>
                    <w:bottom w:val="none" w:sz="0" w:space="0" w:color="auto"/>
                    <w:right w:val="none" w:sz="0" w:space="0" w:color="auto"/>
                  </w:divBdr>
                </w:div>
              </w:divsChild>
            </w:div>
            <w:div w:id="1120345986">
              <w:marLeft w:val="0"/>
              <w:marRight w:val="0"/>
              <w:marTop w:val="0"/>
              <w:marBottom w:val="0"/>
              <w:divBdr>
                <w:top w:val="none" w:sz="0" w:space="0" w:color="auto"/>
                <w:left w:val="none" w:sz="0" w:space="0" w:color="auto"/>
                <w:bottom w:val="none" w:sz="0" w:space="0" w:color="auto"/>
                <w:right w:val="none" w:sz="0" w:space="0" w:color="auto"/>
              </w:divBdr>
              <w:divsChild>
                <w:div w:id="894660040">
                  <w:marLeft w:val="0"/>
                  <w:marRight w:val="0"/>
                  <w:marTop w:val="0"/>
                  <w:marBottom w:val="0"/>
                  <w:divBdr>
                    <w:top w:val="none" w:sz="0" w:space="0" w:color="auto"/>
                    <w:left w:val="none" w:sz="0" w:space="0" w:color="auto"/>
                    <w:bottom w:val="none" w:sz="0" w:space="0" w:color="auto"/>
                    <w:right w:val="none" w:sz="0" w:space="0" w:color="auto"/>
                  </w:divBdr>
                </w:div>
              </w:divsChild>
            </w:div>
            <w:div w:id="1128427499">
              <w:marLeft w:val="0"/>
              <w:marRight w:val="0"/>
              <w:marTop w:val="0"/>
              <w:marBottom w:val="0"/>
              <w:divBdr>
                <w:top w:val="none" w:sz="0" w:space="0" w:color="auto"/>
                <w:left w:val="none" w:sz="0" w:space="0" w:color="auto"/>
                <w:bottom w:val="none" w:sz="0" w:space="0" w:color="auto"/>
                <w:right w:val="none" w:sz="0" w:space="0" w:color="auto"/>
              </w:divBdr>
              <w:divsChild>
                <w:div w:id="1070343102">
                  <w:marLeft w:val="0"/>
                  <w:marRight w:val="0"/>
                  <w:marTop w:val="0"/>
                  <w:marBottom w:val="0"/>
                  <w:divBdr>
                    <w:top w:val="none" w:sz="0" w:space="0" w:color="auto"/>
                    <w:left w:val="none" w:sz="0" w:space="0" w:color="auto"/>
                    <w:bottom w:val="none" w:sz="0" w:space="0" w:color="auto"/>
                    <w:right w:val="none" w:sz="0" w:space="0" w:color="auto"/>
                  </w:divBdr>
                </w:div>
              </w:divsChild>
            </w:div>
            <w:div w:id="1134761353">
              <w:marLeft w:val="0"/>
              <w:marRight w:val="0"/>
              <w:marTop w:val="0"/>
              <w:marBottom w:val="0"/>
              <w:divBdr>
                <w:top w:val="none" w:sz="0" w:space="0" w:color="auto"/>
                <w:left w:val="none" w:sz="0" w:space="0" w:color="auto"/>
                <w:bottom w:val="none" w:sz="0" w:space="0" w:color="auto"/>
                <w:right w:val="none" w:sz="0" w:space="0" w:color="auto"/>
              </w:divBdr>
              <w:divsChild>
                <w:div w:id="2076081713">
                  <w:marLeft w:val="0"/>
                  <w:marRight w:val="0"/>
                  <w:marTop w:val="0"/>
                  <w:marBottom w:val="0"/>
                  <w:divBdr>
                    <w:top w:val="none" w:sz="0" w:space="0" w:color="auto"/>
                    <w:left w:val="none" w:sz="0" w:space="0" w:color="auto"/>
                    <w:bottom w:val="none" w:sz="0" w:space="0" w:color="auto"/>
                    <w:right w:val="none" w:sz="0" w:space="0" w:color="auto"/>
                  </w:divBdr>
                </w:div>
              </w:divsChild>
            </w:div>
            <w:div w:id="1184126792">
              <w:marLeft w:val="0"/>
              <w:marRight w:val="0"/>
              <w:marTop w:val="0"/>
              <w:marBottom w:val="0"/>
              <w:divBdr>
                <w:top w:val="none" w:sz="0" w:space="0" w:color="auto"/>
                <w:left w:val="none" w:sz="0" w:space="0" w:color="auto"/>
                <w:bottom w:val="none" w:sz="0" w:space="0" w:color="auto"/>
                <w:right w:val="none" w:sz="0" w:space="0" w:color="auto"/>
              </w:divBdr>
              <w:divsChild>
                <w:div w:id="436557111">
                  <w:marLeft w:val="0"/>
                  <w:marRight w:val="0"/>
                  <w:marTop w:val="0"/>
                  <w:marBottom w:val="0"/>
                  <w:divBdr>
                    <w:top w:val="none" w:sz="0" w:space="0" w:color="auto"/>
                    <w:left w:val="none" w:sz="0" w:space="0" w:color="auto"/>
                    <w:bottom w:val="none" w:sz="0" w:space="0" w:color="auto"/>
                    <w:right w:val="none" w:sz="0" w:space="0" w:color="auto"/>
                  </w:divBdr>
                </w:div>
              </w:divsChild>
            </w:div>
            <w:div w:id="1195659717">
              <w:marLeft w:val="0"/>
              <w:marRight w:val="0"/>
              <w:marTop w:val="0"/>
              <w:marBottom w:val="0"/>
              <w:divBdr>
                <w:top w:val="none" w:sz="0" w:space="0" w:color="auto"/>
                <w:left w:val="none" w:sz="0" w:space="0" w:color="auto"/>
                <w:bottom w:val="none" w:sz="0" w:space="0" w:color="auto"/>
                <w:right w:val="none" w:sz="0" w:space="0" w:color="auto"/>
              </w:divBdr>
              <w:divsChild>
                <w:div w:id="1953397473">
                  <w:marLeft w:val="0"/>
                  <w:marRight w:val="0"/>
                  <w:marTop w:val="0"/>
                  <w:marBottom w:val="0"/>
                  <w:divBdr>
                    <w:top w:val="none" w:sz="0" w:space="0" w:color="auto"/>
                    <w:left w:val="none" w:sz="0" w:space="0" w:color="auto"/>
                    <w:bottom w:val="none" w:sz="0" w:space="0" w:color="auto"/>
                    <w:right w:val="none" w:sz="0" w:space="0" w:color="auto"/>
                  </w:divBdr>
                </w:div>
              </w:divsChild>
            </w:div>
            <w:div w:id="1216039996">
              <w:marLeft w:val="0"/>
              <w:marRight w:val="0"/>
              <w:marTop w:val="0"/>
              <w:marBottom w:val="0"/>
              <w:divBdr>
                <w:top w:val="none" w:sz="0" w:space="0" w:color="auto"/>
                <w:left w:val="none" w:sz="0" w:space="0" w:color="auto"/>
                <w:bottom w:val="none" w:sz="0" w:space="0" w:color="auto"/>
                <w:right w:val="none" w:sz="0" w:space="0" w:color="auto"/>
              </w:divBdr>
              <w:divsChild>
                <w:div w:id="1962301975">
                  <w:marLeft w:val="0"/>
                  <w:marRight w:val="0"/>
                  <w:marTop w:val="0"/>
                  <w:marBottom w:val="0"/>
                  <w:divBdr>
                    <w:top w:val="none" w:sz="0" w:space="0" w:color="auto"/>
                    <w:left w:val="none" w:sz="0" w:space="0" w:color="auto"/>
                    <w:bottom w:val="none" w:sz="0" w:space="0" w:color="auto"/>
                    <w:right w:val="none" w:sz="0" w:space="0" w:color="auto"/>
                  </w:divBdr>
                </w:div>
              </w:divsChild>
            </w:div>
            <w:div w:id="1253202649">
              <w:marLeft w:val="0"/>
              <w:marRight w:val="0"/>
              <w:marTop w:val="0"/>
              <w:marBottom w:val="0"/>
              <w:divBdr>
                <w:top w:val="none" w:sz="0" w:space="0" w:color="auto"/>
                <w:left w:val="none" w:sz="0" w:space="0" w:color="auto"/>
                <w:bottom w:val="none" w:sz="0" w:space="0" w:color="auto"/>
                <w:right w:val="none" w:sz="0" w:space="0" w:color="auto"/>
              </w:divBdr>
              <w:divsChild>
                <w:div w:id="1514372550">
                  <w:marLeft w:val="0"/>
                  <w:marRight w:val="0"/>
                  <w:marTop w:val="0"/>
                  <w:marBottom w:val="0"/>
                  <w:divBdr>
                    <w:top w:val="none" w:sz="0" w:space="0" w:color="auto"/>
                    <w:left w:val="none" w:sz="0" w:space="0" w:color="auto"/>
                    <w:bottom w:val="none" w:sz="0" w:space="0" w:color="auto"/>
                    <w:right w:val="none" w:sz="0" w:space="0" w:color="auto"/>
                  </w:divBdr>
                </w:div>
              </w:divsChild>
            </w:div>
            <w:div w:id="1316715233">
              <w:marLeft w:val="0"/>
              <w:marRight w:val="0"/>
              <w:marTop w:val="0"/>
              <w:marBottom w:val="0"/>
              <w:divBdr>
                <w:top w:val="none" w:sz="0" w:space="0" w:color="auto"/>
                <w:left w:val="none" w:sz="0" w:space="0" w:color="auto"/>
                <w:bottom w:val="none" w:sz="0" w:space="0" w:color="auto"/>
                <w:right w:val="none" w:sz="0" w:space="0" w:color="auto"/>
              </w:divBdr>
              <w:divsChild>
                <w:div w:id="1927036027">
                  <w:marLeft w:val="0"/>
                  <w:marRight w:val="0"/>
                  <w:marTop w:val="0"/>
                  <w:marBottom w:val="0"/>
                  <w:divBdr>
                    <w:top w:val="none" w:sz="0" w:space="0" w:color="auto"/>
                    <w:left w:val="none" w:sz="0" w:space="0" w:color="auto"/>
                    <w:bottom w:val="none" w:sz="0" w:space="0" w:color="auto"/>
                    <w:right w:val="none" w:sz="0" w:space="0" w:color="auto"/>
                  </w:divBdr>
                </w:div>
              </w:divsChild>
            </w:div>
            <w:div w:id="1358845790">
              <w:marLeft w:val="0"/>
              <w:marRight w:val="0"/>
              <w:marTop w:val="0"/>
              <w:marBottom w:val="0"/>
              <w:divBdr>
                <w:top w:val="none" w:sz="0" w:space="0" w:color="auto"/>
                <w:left w:val="none" w:sz="0" w:space="0" w:color="auto"/>
                <w:bottom w:val="none" w:sz="0" w:space="0" w:color="auto"/>
                <w:right w:val="none" w:sz="0" w:space="0" w:color="auto"/>
              </w:divBdr>
              <w:divsChild>
                <w:div w:id="204875394">
                  <w:marLeft w:val="0"/>
                  <w:marRight w:val="0"/>
                  <w:marTop w:val="0"/>
                  <w:marBottom w:val="0"/>
                  <w:divBdr>
                    <w:top w:val="none" w:sz="0" w:space="0" w:color="auto"/>
                    <w:left w:val="none" w:sz="0" w:space="0" w:color="auto"/>
                    <w:bottom w:val="none" w:sz="0" w:space="0" w:color="auto"/>
                    <w:right w:val="none" w:sz="0" w:space="0" w:color="auto"/>
                  </w:divBdr>
                </w:div>
              </w:divsChild>
            </w:div>
            <w:div w:id="1454254143">
              <w:marLeft w:val="0"/>
              <w:marRight w:val="0"/>
              <w:marTop w:val="0"/>
              <w:marBottom w:val="0"/>
              <w:divBdr>
                <w:top w:val="none" w:sz="0" w:space="0" w:color="auto"/>
                <w:left w:val="none" w:sz="0" w:space="0" w:color="auto"/>
                <w:bottom w:val="none" w:sz="0" w:space="0" w:color="auto"/>
                <w:right w:val="none" w:sz="0" w:space="0" w:color="auto"/>
              </w:divBdr>
              <w:divsChild>
                <w:div w:id="658965530">
                  <w:marLeft w:val="0"/>
                  <w:marRight w:val="0"/>
                  <w:marTop w:val="0"/>
                  <w:marBottom w:val="0"/>
                  <w:divBdr>
                    <w:top w:val="none" w:sz="0" w:space="0" w:color="auto"/>
                    <w:left w:val="none" w:sz="0" w:space="0" w:color="auto"/>
                    <w:bottom w:val="none" w:sz="0" w:space="0" w:color="auto"/>
                    <w:right w:val="none" w:sz="0" w:space="0" w:color="auto"/>
                  </w:divBdr>
                </w:div>
              </w:divsChild>
            </w:div>
            <w:div w:id="1459491850">
              <w:marLeft w:val="0"/>
              <w:marRight w:val="0"/>
              <w:marTop w:val="0"/>
              <w:marBottom w:val="0"/>
              <w:divBdr>
                <w:top w:val="none" w:sz="0" w:space="0" w:color="auto"/>
                <w:left w:val="none" w:sz="0" w:space="0" w:color="auto"/>
                <w:bottom w:val="none" w:sz="0" w:space="0" w:color="auto"/>
                <w:right w:val="none" w:sz="0" w:space="0" w:color="auto"/>
              </w:divBdr>
              <w:divsChild>
                <w:div w:id="687408597">
                  <w:marLeft w:val="0"/>
                  <w:marRight w:val="0"/>
                  <w:marTop w:val="0"/>
                  <w:marBottom w:val="0"/>
                  <w:divBdr>
                    <w:top w:val="none" w:sz="0" w:space="0" w:color="auto"/>
                    <w:left w:val="none" w:sz="0" w:space="0" w:color="auto"/>
                    <w:bottom w:val="none" w:sz="0" w:space="0" w:color="auto"/>
                    <w:right w:val="none" w:sz="0" w:space="0" w:color="auto"/>
                  </w:divBdr>
                </w:div>
              </w:divsChild>
            </w:div>
            <w:div w:id="1574730340">
              <w:marLeft w:val="0"/>
              <w:marRight w:val="0"/>
              <w:marTop w:val="0"/>
              <w:marBottom w:val="0"/>
              <w:divBdr>
                <w:top w:val="none" w:sz="0" w:space="0" w:color="auto"/>
                <w:left w:val="none" w:sz="0" w:space="0" w:color="auto"/>
                <w:bottom w:val="none" w:sz="0" w:space="0" w:color="auto"/>
                <w:right w:val="none" w:sz="0" w:space="0" w:color="auto"/>
              </w:divBdr>
              <w:divsChild>
                <w:div w:id="1449935679">
                  <w:marLeft w:val="0"/>
                  <w:marRight w:val="0"/>
                  <w:marTop w:val="0"/>
                  <w:marBottom w:val="0"/>
                  <w:divBdr>
                    <w:top w:val="none" w:sz="0" w:space="0" w:color="auto"/>
                    <w:left w:val="none" w:sz="0" w:space="0" w:color="auto"/>
                    <w:bottom w:val="none" w:sz="0" w:space="0" w:color="auto"/>
                    <w:right w:val="none" w:sz="0" w:space="0" w:color="auto"/>
                  </w:divBdr>
                </w:div>
              </w:divsChild>
            </w:div>
            <w:div w:id="1613198554">
              <w:marLeft w:val="0"/>
              <w:marRight w:val="0"/>
              <w:marTop w:val="0"/>
              <w:marBottom w:val="0"/>
              <w:divBdr>
                <w:top w:val="none" w:sz="0" w:space="0" w:color="auto"/>
                <w:left w:val="none" w:sz="0" w:space="0" w:color="auto"/>
                <w:bottom w:val="none" w:sz="0" w:space="0" w:color="auto"/>
                <w:right w:val="none" w:sz="0" w:space="0" w:color="auto"/>
              </w:divBdr>
              <w:divsChild>
                <w:div w:id="1354770981">
                  <w:marLeft w:val="0"/>
                  <w:marRight w:val="0"/>
                  <w:marTop w:val="0"/>
                  <w:marBottom w:val="0"/>
                  <w:divBdr>
                    <w:top w:val="none" w:sz="0" w:space="0" w:color="auto"/>
                    <w:left w:val="none" w:sz="0" w:space="0" w:color="auto"/>
                    <w:bottom w:val="none" w:sz="0" w:space="0" w:color="auto"/>
                    <w:right w:val="none" w:sz="0" w:space="0" w:color="auto"/>
                  </w:divBdr>
                </w:div>
              </w:divsChild>
            </w:div>
            <w:div w:id="1620406650">
              <w:marLeft w:val="0"/>
              <w:marRight w:val="0"/>
              <w:marTop w:val="0"/>
              <w:marBottom w:val="0"/>
              <w:divBdr>
                <w:top w:val="none" w:sz="0" w:space="0" w:color="auto"/>
                <w:left w:val="none" w:sz="0" w:space="0" w:color="auto"/>
                <w:bottom w:val="none" w:sz="0" w:space="0" w:color="auto"/>
                <w:right w:val="none" w:sz="0" w:space="0" w:color="auto"/>
              </w:divBdr>
              <w:divsChild>
                <w:div w:id="1660692859">
                  <w:marLeft w:val="0"/>
                  <w:marRight w:val="0"/>
                  <w:marTop w:val="0"/>
                  <w:marBottom w:val="0"/>
                  <w:divBdr>
                    <w:top w:val="none" w:sz="0" w:space="0" w:color="auto"/>
                    <w:left w:val="none" w:sz="0" w:space="0" w:color="auto"/>
                    <w:bottom w:val="none" w:sz="0" w:space="0" w:color="auto"/>
                    <w:right w:val="none" w:sz="0" w:space="0" w:color="auto"/>
                  </w:divBdr>
                </w:div>
              </w:divsChild>
            </w:div>
            <w:div w:id="1641304840">
              <w:marLeft w:val="0"/>
              <w:marRight w:val="0"/>
              <w:marTop w:val="0"/>
              <w:marBottom w:val="0"/>
              <w:divBdr>
                <w:top w:val="none" w:sz="0" w:space="0" w:color="auto"/>
                <w:left w:val="none" w:sz="0" w:space="0" w:color="auto"/>
                <w:bottom w:val="none" w:sz="0" w:space="0" w:color="auto"/>
                <w:right w:val="none" w:sz="0" w:space="0" w:color="auto"/>
              </w:divBdr>
              <w:divsChild>
                <w:div w:id="971590750">
                  <w:marLeft w:val="0"/>
                  <w:marRight w:val="0"/>
                  <w:marTop w:val="0"/>
                  <w:marBottom w:val="0"/>
                  <w:divBdr>
                    <w:top w:val="none" w:sz="0" w:space="0" w:color="auto"/>
                    <w:left w:val="none" w:sz="0" w:space="0" w:color="auto"/>
                    <w:bottom w:val="none" w:sz="0" w:space="0" w:color="auto"/>
                    <w:right w:val="none" w:sz="0" w:space="0" w:color="auto"/>
                  </w:divBdr>
                </w:div>
              </w:divsChild>
            </w:div>
            <w:div w:id="1692949605">
              <w:marLeft w:val="0"/>
              <w:marRight w:val="0"/>
              <w:marTop w:val="0"/>
              <w:marBottom w:val="0"/>
              <w:divBdr>
                <w:top w:val="none" w:sz="0" w:space="0" w:color="auto"/>
                <w:left w:val="none" w:sz="0" w:space="0" w:color="auto"/>
                <w:bottom w:val="none" w:sz="0" w:space="0" w:color="auto"/>
                <w:right w:val="none" w:sz="0" w:space="0" w:color="auto"/>
              </w:divBdr>
              <w:divsChild>
                <w:div w:id="843788377">
                  <w:marLeft w:val="0"/>
                  <w:marRight w:val="0"/>
                  <w:marTop w:val="0"/>
                  <w:marBottom w:val="0"/>
                  <w:divBdr>
                    <w:top w:val="none" w:sz="0" w:space="0" w:color="auto"/>
                    <w:left w:val="none" w:sz="0" w:space="0" w:color="auto"/>
                    <w:bottom w:val="none" w:sz="0" w:space="0" w:color="auto"/>
                    <w:right w:val="none" w:sz="0" w:space="0" w:color="auto"/>
                  </w:divBdr>
                </w:div>
              </w:divsChild>
            </w:div>
            <w:div w:id="1972439199">
              <w:marLeft w:val="0"/>
              <w:marRight w:val="0"/>
              <w:marTop w:val="0"/>
              <w:marBottom w:val="0"/>
              <w:divBdr>
                <w:top w:val="none" w:sz="0" w:space="0" w:color="auto"/>
                <w:left w:val="none" w:sz="0" w:space="0" w:color="auto"/>
                <w:bottom w:val="none" w:sz="0" w:space="0" w:color="auto"/>
                <w:right w:val="none" w:sz="0" w:space="0" w:color="auto"/>
              </w:divBdr>
              <w:divsChild>
                <w:div w:id="1097628797">
                  <w:marLeft w:val="0"/>
                  <w:marRight w:val="0"/>
                  <w:marTop w:val="0"/>
                  <w:marBottom w:val="0"/>
                  <w:divBdr>
                    <w:top w:val="none" w:sz="0" w:space="0" w:color="auto"/>
                    <w:left w:val="none" w:sz="0" w:space="0" w:color="auto"/>
                    <w:bottom w:val="none" w:sz="0" w:space="0" w:color="auto"/>
                    <w:right w:val="none" w:sz="0" w:space="0" w:color="auto"/>
                  </w:divBdr>
                </w:div>
              </w:divsChild>
            </w:div>
            <w:div w:id="2020504492">
              <w:marLeft w:val="0"/>
              <w:marRight w:val="0"/>
              <w:marTop w:val="0"/>
              <w:marBottom w:val="0"/>
              <w:divBdr>
                <w:top w:val="none" w:sz="0" w:space="0" w:color="auto"/>
                <w:left w:val="none" w:sz="0" w:space="0" w:color="auto"/>
                <w:bottom w:val="none" w:sz="0" w:space="0" w:color="auto"/>
                <w:right w:val="none" w:sz="0" w:space="0" w:color="auto"/>
              </w:divBdr>
              <w:divsChild>
                <w:div w:id="1107504955">
                  <w:marLeft w:val="0"/>
                  <w:marRight w:val="0"/>
                  <w:marTop w:val="0"/>
                  <w:marBottom w:val="0"/>
                  <w:divBdr>
                    <w:top w:val="none" w:sz="0" w:space="0" w:color="auto"/>
                    <w:left w:val="none" w:sz="0" w:space="0" w:color="auto"/>
                    <w:bottom w:val="none" w:sz="0" w:space="0" w:color="auto"/>
                    <w:right w:val="none" w:sz="0" w:space="0" w:color="auto"/>
                  </w:divBdr>
                </w:div>
              </w:divsChild>
            </w:div>
            <w:div w:id="2105028236">
              <w:marLeft w:val="0"/>
              <w:marRight w:val="0"/>
              <w:marTop w:val="0"/>
              <w:marBottom w:val="0"/>
              <w:divBdr>
                <w:top w:val="none" w:sz="0" w:space="0" w:color="auto"/>
                <w:left w:val="none" w:sz="0" w:space="0" w:color="auto"/>
                <w:bottom w:val="none" w:sz="0" w:space="0" w:color="auto"/>
                <w:right w:val="none" w:sz="0" w:space="0" w:color="auto"/>
              </w:divBdr>
              <w:divsChild>
                <w:div w:id="1066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156">
          <w:marLeft w:val="0"/>
          <w:marRight w:val="0"/>
          <w:marTop w:val="0"/>
          <w:marBottom w:val="0"/>
          <w:divBdr>
            <w:top w:val="none" w:sz="0" w:space="0" w:color="auto"/>
            <w:left w:val="none" w:sz="0" w:space="0" w:color="auto"/>
            <w:bottom w:val="none" w:sz="0" w:space="0" w:color="auto"/>
            <w:right w:val="none" w:sz="0" w:space="0" w:color="auto"/>
          </w:divBdr>
        </w:div>
        <w:div w:id="1185901436">
          <w:marLeft w:val="0"/>
          <w:marRight w:val="0"/>
          <w:marTop w:val="0"/>
          <w:marBottom w:val="0"/>
          <w:divBdr>
            <w:top w:val="none" w:sz="0" w:space="0" w:color="auto"/>
            <w:left w:val="none" w:sz="0" w:space="0" w:color="auto"/>
            <w:bottom w:val="none" w:sz="0" w:space="0" w:color="auto"/>
            <w:right w:val="none" w:sz="0" w:space="0" w:color="auto"/>
          </w:divBdr>
        </w:div>
        <w:div w:id="1221865684">
          <w:marLeft w:val="0"/>
          <w:marRight w:val="0"/>
          <w:marTop w:val="0"/>
          <w:marBottom w:val="0"/>
          <w:divBdr>
            <w:top w:val="none" w:sz="0" w:space="0" w:color="auto"/>
            <w:left w:val="none" w:sz="0" w:space="0" w:color="auto"/>
            <w:bottom w:val="none" w:sz="0" w:space="0" w:color="auto"/>
            <w:right w:val="none" w:sz="0" w:space="0" w:color="auto"/>
          </w:divBdr>
        </w:div>
        <w:div w:id="1252082620">
          <w:marLeft w:val="0"/>
          <w:marRight w:val="0"/>
          <w:marTop w:val="0"/>
          <w:marBottom w:val="0"/>
          <w:divBdr>
            <w:top w:val="none" w:sz="0" w:space="0" w:color="auto"/>
            <w:left w:val="none" w:sz="0" w:space="0" w:color="auto"/>
            <w:bottom w:val="none" w:sz="0" w:space="0" w:color="auto"/>
            <w:right w:val="none" w:sz="0" w:space="0" w:color="auto"/>
          </w:divBdr>
        </w:div>
        <w:div w:id="1258828476">
          <w:marLeft w:val="0"/>
          <w:marRight w:val="0"/>
          <w:marTop w:val="0"/>
          <w:marBottom w:val="0"/>
          <w:divBdr>
            <w:top w:val="none" w:sz="0" w:space="0" w:color="auto"/>
            <w:left w:val="none" w:sz="0" w:space="0" w:color="auto"/>
            <w:bottom w:val="none" w:sz="0" w:space="0" w:color="auto"/>
            <w:right w:val="none" w:sz="0" w:space="0" w:color="auto"/>
          </w:divBdr>
        </w:div>
        <w:div w:id="1305937836">
          <w:marLeft w:val="0"/>
          <w:marRight w:val="0"/>
          <w:marTop w:val="0"/>
          <w:marBottom w:val="0"/>
          <w:divBdr>
            <w:top w:val="none" w:sz="0" w:space="0" w:color="auto"/>
            <w:left w:val="none" w:sz="0" w:space="0" w:color="auto"/>
            <w:bottom w:val="none" w:sz="0" w:space="0" w:color="auto"/>
            <w:right w:val="none" w:sz="0" w:space="0" w:color="auto"/>
          </w:divBdr>
        </w:div>
        <w:div w:id="1335062735">
          <w:marLeft w:val="0"/>
          <w:marRight w:val="0"/>
          <w:marTop w:val="0"/>
          <w:marBottom w:val="0"/>
          <w:divBdr>
            <w:top w:val="none" w:sz="0" w:space="0" w:color="auto"/>
            <w:left w:val="none" w:sz="0" w:space="0" w:color="auto"/>
            <w:bottom w:val="none" w:sz="0" w:space="0" w:color="auto"/>
            <w:right w:val="none" w:sz="0" w:space="0" w:color="auto"/>
          </w:divBdr>
        </w:div>
        <w:div w:id="1365905447">
          <w:marLeft w:val="-75"/>
          <w:marRight w:val="0"/>
          <w:marTop w:val="30"/>
          <w:marBottom w:val="30"/>
          <w:divBdr>
            <w:top w:val="none" w:sz="0" w:space="0" w:color="auto"/>
            <w:left w:val="none" w:sz="0" w:space="0" w:color="auto"/>
            <w:bottom w:val="none" w:sz="0" w:space="0" w:color="auto"/>
            <w:right w:val="none" w:sz="0" w:space="0" w:color="auto"/>
          </w:divBdr>
          <w:divsChild>
            <w:div w:id="59527479">
              <w:marLeft w:val="0"/>
              <w:marRight w:val="0"/>
              <w:marTop w:val="0"/>
              <w:marBottom w:val="0"/>
              <w:divBdr>
                <w:top w:val="none" w:sz="0" w:space="0" w:color="auto"/>
                <w:left w:val="none" w:sz="0" w:space="0" w:color="auto"/>
                <w:bottom w:val="none" w:sz="0" w:space="0" w:color="auto"/>
                <w:right w:val="none" w:sz="0" w:space="0" w:color="auto"/>
              </w:divBdr>
              <w:divsChild>
                <w:div w:id="1444767448">
                  <w:marLeft w:val="0"/>
                  <w:marRight w:val="0"/>
                  <w:marTop w:val="0"/>
                  <w:marBottom w:val="0"/>
                  <w:divBdr>
                    <w:top w:val="none" w:sz="0" w:space="0" w:color="auto"/>
                    <w:left w:val="none" w:sz="0" w:space="0" w:color="auto"/>
                    <w:bottom w:val="none" w:sz="0" w:space="0" w:color="auto"/>
                    <w:right w:val="none" w:sz="0" w:space="0" w:color="auto"/>
                  </w:divBdr>
                </w:div>
              </w:divsChild>
            </w:div>
            <w:div w:id="150759737">
              <w:marLeft w:val="0"/>
              <w:marRight w:val="0"/>
              <w:marTop w:val="0"/>
              <w:marBottom w:val="0"/>
              <w:divBdr>
                <w:top w:val="none" w:sz="0" w:space="0" w:color="auto"/>
                <w:left w:val="none" w:sz="0" w:space="0" w:color="auto"/>
                <w:bottom w:val="none" w:sz="0" w:space="0" w:color="auto"/>
                <w:right w:val="none" w:sz="0" w:space="0" w:color="auto"/>
              </w:divBdr>
              <w:divsChild>
                <w:div w:id="631668401">
                  <w:marLeft w:val="0"/>
                  <w:marRight w:val="0"/>
                  <w:marTop w:val="0"/>
                  <w:marBottom w:val="0"/>
                  <w:divBdr>
                    <w:top w:val="none" w:sz="0" w:space="0" w:color="auto"/>
                    <w:left w:val="none" w:sz="0" w:space="0" w:color="auto"/>
                    <w:bottom w:val="none" w:sz="0" w:space="0" w:color="auto"/>
                    <w:right w:val="none" w:sz="0" w:space="0" w:color="auto"/>
                  </w:divBdr>
                </w:div>
              </w:divsChild>
            </w:div>
            <w:div w:id="319313985">
              <w:marLeft w:val="0"/>
              <w:marRight w:val="0"/>
              <w:marTop w:val="0"/>
              <w:marBottom w:val="0"/>
              <w:divBdr>
                <w:top w:val="none" w:sz="0" w:space="0" w:color="auto"/>
                <w:left w:val="none" w:sz="0" w:space="0" w:color="auto"/>
                <w:bottom w:val="none" w:sz="0" w:space="0" w:color="auto"/>
                <w:right w:val="none" w:sz="0" w:space="0" w:color="auto"/>
              </w:divBdr>
              <w:divsChild>
                <w:div w:id="1244989394">
                  <w:marLeft w:val="0"/>
                  <w:marRight w:val="0"/>
                  <w:marTop w:val="0"/>
                  <w:marBottom w:val="0"/>
                  <w:divBdr>
                    <w:top w:val="none" w:sz="0" w:space="0" w:color="auto"/>
                    <w:left w:val="none" w:sz="0" w:space="0" w:color="auto"/>
                    <w:bottom w:val="none" w:sz="0" w:space="0" w:color="auto"/>
                    <w:right w:val="none" w:sz="0" w:space="0" w:color="auto"/>
                  </w:divBdr>
                </w:div>
              </w:divsChild>
            </w:div>
            <w:div w:id="331565176">
              <w:marLeft w:val="0"/>
              <w:marRight w:val="0"/>
              <w:marTop w:val="0"/>
              <w:marBottom w:val="0"/>
              <w:divBdr>
                <w:top w:val="none" w:sz="0" w:space="0" w:color="auto"/>
                <w:left w:val="none" w:sz="0" w:space="0" w:color="auto"/>
                <w:bottom w:val="none" w:sz="0" w:space="0" w:color="auto"/>
                <w:right w:val="none" w:sz="0" w:space="0" w:color="auto"/>
              </w:divBdr>
              <w:divsChild>
                <w:div w:id="2114666808">
                  <w:marLeft w:val="0"/>
                  <w:marRight w:val="0"/>
                  <w:marTop w:val="0"/>
                  <w:marBottom w:val="0"/>
                  <w:divBdr>
                    <w:top w:val="none" w:sz="0" w:space="0" w:color="auto"/>
                    <w:left w:val="none" w:sz="0" w:space="0" w:color="auto"/>
                    <w:bottom w:val="none" w:sz="0" w:space="0" w:color="auto"/>
                    <w:right w:val="none" w:sz="0" w:space="0" w:color="auto"/>
                  </w:divBdr>
                </w:div>
              </w:divsChild>
            </w:div>
            <w:div w:id="485391133">
              <w:marLeft w:val="0"/>
              <w:marRight w:val="0"/>
              <w:marTop w:val="0"/>
              <w:marBottom w:val="0"/>
              <w:divBdr>
                <w:top w:val="none" w:sz="0" w:space="0" w:color="auto"/>
                <w:left w:val="none" w:sz="0" w:space="0" w:color="auto"/>
                <w:bottom w:val="none" w:sz="0" w:space="0" w:color="auto"/>
                <w:right w:val="none" w:sz="0" w:space="0" w:color="auto"/>
              </w:divBdr>
              <w:divsChild>
                <w:div w:id="1392193176">
                  <w:marLeft w:val="0"/>
                  <w:marRight w:val="0"/>
                  <w:marTop w:val="0"/>
                  <w:marBottom w:val="0"/>
                  <w:divBdr>
                    <w:top w:val="none" w:sz="0" w:space="0" w:color="auto"/>
                    <w:left w:val="none" w:sz="0" w:space="0" w:color="auto"/>
                    <w:bottom w:val="none" w:sz="0" w:space="0" w:color="auto"/>
                    <w:right w:val="none" w:sz="0" w:space="0" w:color="auto"/>
                  </w:divBdr>
                </w:div>
              </w:divsChild>
            </w:div>
            <w:div w:id="569080506">
              <w:marLeft w:val="0"/>
              <w:marRight w:val="0"/>
              <w:marTop w:val="0"/>
              <w:marBottom w:val="0"/>
              <w:divBdr>
                <w:top w:val="none" w:sz="0" w:space="0" w:color="auto"/>
                <w:left w:val="none" w:sz="0" w:space="0" w:color="auto"/>
                <w:bottom w:val="none" w:sz="0" w:space="0" w:color="auto"/>
                <w:right w:val="none" w:sz="0" w:space="0" w:color="auto"/>
              </w:divBdr>
              <w:divsChild>
                <w:div w:id="1898667576">
                  <w:marLeft w:val="0"/>
                  <w:marRight w:val="0"/>
                  <w:marTop w:val="0"/>
                  <w:marBottom w:val="0"/>
                  <w:divBdr>
                    <w:top w:val="none" w:sz="0" w:space="0" w:color="auto"/>
                    <w:left w:val="none" w:sz="0" w:space="0" w:color="auto"/>
                    <w:bottom w:val="none" w:sz="0" w:space="0" w:color="auto"/>
                    <w:right w:val="none" w:sz="0" w:space="0" w:color="auto"/>
                  </w:divBdr>
                </w:div>
              </w:divsChild>
            </w:div>
            <w:div w:id="596325402">
              <w:marLeft w:val="0"/>
              <w:marRight w:val="0"/>
              <w:marTop w:val="0"/>
              <w:marBottom w:val="0"/>
              <w:divBdr>
                <w:top w:val="none" w:sz="0" w:space="0" w:color="auto"/>
                <w:left w:val="none" w:sz="0" w:space="0" w:color="auto"/>
                <w:bottom w:val="none" w:sz="0" w:space="0" w:color="auto"/>
                <w:right w:val="none" w:sz="0" w:space="0" w:color="auto"/>
              </w:divBdr>
              <w:divsChild>
                <w:div w:id="1187334070">
                  <w:marLeft w:val="0"/>
                  <w:marRight w:val="0"/>
                  <w:marTop w:val="0"/>
                  <w:marBottom w:val="0"/>
                  <w:divBdr>
                    <w:top w:val="none" w:sz="0" w:space="0" w:color="auto"/>
                    <w:left w:val="none" w:sz="0" w:space="0" w:color="auto"/>
                    <w:bottom w:val="none" w:sz="0" w:space="0" w:color="auto"/>
                    <w:right w:val="none" w:sz="0" w:space="0" w:color="auto"/>
                  </w:divBdr>
                </w:div>
              </w:divsChild>
            </w:div>
            <w:div w:id="608004711">
              <w:marLeft w:val="0"/>
              <w:marRight w:val="0"/>
              <w:marTop w:val="0"/>
              <w:marBottom w:val="0"/>
              <w:divBdr>
                <w:top w:val="none" w:sz="0" w:space="0" w:color="auto"/>
                <w:left w:val="none" w:sz="0" w:space="0" w:color="auto"/>
                <w:bottom w:val="none" w:sz="0" w:space="0" w:color="auto"/>
                <w:right w:val="none" w:sz="0" w:space="0" w:color="auto"/>
              </w:divBdr>
              <w:divsChild>
                <w:div w:id="1800492536">
                  <w:marLeft w:val="0"/>
                  <w:marRight w:val="0"/>
                  <w:marTop w:val="0"/>
                  <w:marBottom w:val="0"/>
                  <w:divBdr>
                    <w:top w:val="none" w:sz="0" w:space="0" w:color="auto"/>
                    <w:left w:val="none" w:sz="0" w:space="0" w:color="auto"/>
                    <w:bottom w:val="none" w:sz="0" w:space="0" w:color="auto"/>
                    <w:right w:val="none" w:sz="0" w:space="0" w:color="auto"/>
                  </w:divBdr>
                </w:div>
              </w:divsChild>
            </w:div>
            <w:div w:id="674575891">
              <w:marLeft w:val="0"/>
              <w:marRight w:val="0"/>
              <w:marTop w:val="0"/>
              <w:marBottom w:val="0"/>
              <w:divBdr>
                <w:top w:val="none" w:sz="0" w:space="0" w:color="auto"/>
                <w:left w:val="none" w:sz="0" w:space="0" w:color="auto"/>
                <w:bottom w:val="none" w:sz="0" w:space="0" w:color="auto"/>
                <w:right w:val="none" w:sz="0" w:space="0" w:color="auto"/>
              </w:divBdr>
              <w:divsChild>
                <w:div w:id="1766880368">
                  <w:marLeft w:val="0"/>
                  <w:marRight w:val="0"/>
                  <w:marTop w:val="0"/>
                  <w:marBottom w:val="0"/>
                  <w:divBdr>
                    <w:top w:val="none" w:sz="0" w:space="0" w:color="auto"/>
                    <w:left w:val="none" w:sz="0" w:space="0" w:color="auto"/>
                    <w:bottom w:val="none" w:sz="0" w:space="0" w:color="auto"/>
                    <w:right w:val="none" w:sz="0" w:space="0" w:color="auto"/>
                  </w:divBdr>
                </w:div>
              </w:divsChild>
            </w:div>
            <w:div w:id="800851159">
              <w:marLeft w:val="0"/>
              <w:marRight w:val="0"/>
              <w:marTop w:val="0"/>
              <w:marBottom w:val="0"/>
              <w:divBdr>
                <w:top w:val="none" w:sz="0" w:space="0" w:color="auto"/>
                <w:left w:val="none" w:sz="0" w:space="0" w:color="auto"/>
                <w:bottom w:val="none" w:sz="0" w:space="0" w:color="auto"/>
                <w:right w:val="none" w:sz="0" w:space="0" w:color="auto"/>
              </w:divBdr>
              <w:divsChild>
                <w:div w:id="871655009">
                  <w:marLeft w:val="0"/>
                  <w:marRight w:val="0"/>
                  <w:marTop w:val="0"/>
                  <w:marBottom w:val="0"/>
                  <w:divBdr>
                    <w:top w:val="none" w:sz="0" w:space="0" w:color="auto"/>
                    <w:left w:val="none" w:sz="0" w:space="0" w:color="auto"/>
                    <w:bottom w:val="none" w:sz="0" w:space="0" w:color="auto"/>
                    <w:right w:val="none" w:sz="0" w:space="0" w:color="auto"/>
                  </w:divBdr>
                </w:div>
              </w:divsChild>
            </w:div>
            <w:div w:id="915213372">
              <w:marLeft w:val="0"/>
              <w:marRight w:val="0"/>
              <w:marTop w:val="0"/>
              <w:marBottom w:val="0"/>
              <w:divBdr>
                <w:top w:val="none" w:sz="0" w:space="0" w:color="auto"/>
                <w:left w:val="none" w:sz="0" w:space="0" w:color="auto"/>
                <w:bottom w:val="none" w:sz="0" w:space="0" w:color="auto"/>
                <w:right w:val="none" w:sz="0" w:space="0" w:color="auto"/>
              </w:divBdr>
              <w:divsChild>
                <w:div w:id="323123190">
                  <w:marLeft w:val="0"/>
                  <w:marRight w:val="0"/>
                  <w:marTop w:val="0"/>
                  <w:marBottom w:val="0"/>
                  <w:divBdr>
                    <w:top w:val="none" w:sz="0" w:space="0" w:color="auto"/>
                    <w:left w:val="none" w:sz="0" w:space="0" w:color="auto"/>
                    <w:bottom w:val="none" w:sz="0" w:space="0" w:color="auto"/>
                    <w:right w:val="none" w:sz="0" w:space="0" w:color="auto"/>
                  </w:divBdr>
                </w:div>
              </w:divsChild>
            </w:div>
            <w:div w:id="1039210440">
              <w:marLeft w:val="0"/>
              <w:marRight w:val="0"/>
              <w:marTop w:val="0"/>
              <w:marBottom w:val="0"/>
              <w:divBdr>
                <w:top w:val="none" w:sz="0" w:space="0" w:color="auto"/>
                <w:left w:val="none" w:sz="0" w:space="0" w:color="auto"/>
                <w:bottom w:val="none" w:sz="0" w:space="0" w:color="auto"/>
                <w:right w:val="none" w:sz="0" w:space="0" w:color="auto"/>
              </w:divBdr>
              <w:divsChild>
                <w:div w:id="598605946">
                  <w:marLeft w:val="0"/>
                  <w:marRight w:val="0"/>
                  <w:marTop w:val="0"/>
                  <w:marBottom w:val="0"/>
                  <w:divBdr>
                    <w:top w:val="none" w:sz="0" w:space="0" w:color="auto"/>
                    <w:left w:val="none" w:sz="0" w:space="0" w:color="auto"/>
                    <w:bottom w:val="none" w:sz="0" w:space="0" w:color="auto"/>
                    <w:right w:val="none" w:sz="0" w:space="0" w:color="auto"/>
                  </w:divBdr>
                </w:div>
              </w:divsChild>
            </w:div>
            <w:div w:id="1069306642">
              <w:marLeft w:val="0"/>
              <w:marRight w:val="0"/>
              <w:marTop w:val="0"/>
              <w:marBottom w:val="0"/>
              <w:divBdr>
                <w:top w:val="none" w:sz="0" w:space="0" w:color="auto"/>
                <w:left w:val="none" w:sz="0" w:space="0" w:color="auto"/>
                <w:bottom w:val="none" w:sz="0" w:space="0" w:color="auto"/>
                <w:right w:val="none" w:sz="0" w:space="0" w:color="auto"/>
              </w:divBdr>
              <w:divsChild>
                <w:div w:id="1341617218">
                  <w:marLeft w:val="0"/>
                  <w:marRight w:val="0"/>
                  <w:marTop w:val="0"/>
                  <w:marBottom w:val="0"/>
                  <w:divBdr>
                    <w:top w:val="none" w:sz="0" w:space="0" w:color="auto"/>
                    <w:left w:val="none" w:sz="0" w:space="0" w:color="auto"/>
                    <w:bottom w:val="none" w:sz="0" w:space="0" w:color="auto"/>
                    <w:right w:val="none" w:sz="0" w:space="0" w:color="auto"/>
                  </w:divBdr>
                </w:div>
              </w:divsChild>
            </w:div>
            <w:div w:id="1251935436">
              <w:marLeft w:val="0"/>
              <w:marRight w:val="0"/>
              <w:marTop w:val="0"/>
              <w:marBottom w:val="0"/>
              <w:divBdr>
                <w:top w:val="none" w:sz="0" w:space="0" w:color="auto"/>
                <w:left w:val="none" w:sz="0" w:space="0" w:color="auto"/>
                <w:bottom w:val="none" w:sz="0" w:space="0" w:color="auto"/>
                <w:right w:val="none" w:sz="0" w:space="0" w:color="auto"/>
              </w:divBdr>
              <w:divsChild>
                <w:div w:id="459569146">
                  <w:marLeft w:val="0"/>
                  <w:marRight w:val="0"/>
                  <w:marTop w:val="0"/>
                  <w:marBottom w:val="0"/>
                  <w:divBdr>
                    <w:top w:val="none" w:sz="0" w:space="0" w:color="auto"/>
                    <w:left w:val="none" w:sz="0" w:space="0" w:color="auto"/>
                    <w:bottom w:val="none" w:sz="0" w:space="0" w:color="auto"/>
                    <w:right w:val="none" w:sz="0" w:space="0" w:color="auto"/>
                  </w:divBdr>
                </w:div>
              </w:divsChild>
            </w:div>
            <w:div w:id="1366373790">
              <w:marLeft w:val="0"/>
              <w:marRight w:val="0"/>
              <w:marTop w:val="0"/>
              <w:marBottom w:val="0"/>
              <w:divBdr>
                <w:top w:val="none" w:sz="0" w:space="0" w:color="auto"/>
                <w:left w:val="none" w:sz="0" w:space="0" w:color="auto"/>
                <w:bottom w:val="none" w:sz="0" w:space="0" w:color="auto"/>
                <w:right w:val="none" w:sz="0" w:space="0" w:color="auto"/>
              </w:divBdr>
              <w:divsChild>
                <w:div w:id="626665410">
                  <w:marLeft w:val="0"/>
                  <w:marRight w:val="0"/>
                  <w:marTop w:val="0"/>
                  <w:marBottom w:val="0"/>
                  <w:divBdr>
                    <w:top w:val="none" w:sz="0" w:space="0" w:color="auto"/>
                    <w:left w:val="none" w:sz="0" w:space="0" w:color="auto"/>
                    <w:bottom w:val="none" w:sz="0" w:space="0" w:color="auto"/>
                    <w:right w:val="none" w:sz="0" w:space="0" w:color="auto"/>
                  </w:divBdr>
                </w:div>
              </w:divsChild>
            </w:div>
            <w:div w:id="1400863524">
              <w:marLeft w:val="0"/>
              <w:marRight w:val="0"/>
              <w:marTop w:val="0"/>
              <w:marBottom w:val="0"/>
              <w:divBdr>
                <w:top w:val="none" w:sz="0" w:space="0" w:color="auto"/>
                <w:left w:val="none" w:sz="0" w:space="0" w:color="auto"/>
                <w:bottom w:val="none" w:sz="0" w:space="0" w:color="auto"/>
                <w:right w:val="none" w:sz="0" w:space="0" w:color="auto"/>
              </w:divBdr>
              <w:divsChild>
                <w:div w:id="828518052">
                  <w:marLeft w:val="0"/>
                  <w:marRight w:val="0"/>
                  <w:marTop w:val="0"/>
                  <w:marBottom w:val="0"/>
                  <w:divBdr>
                    <w:top w:val="none" w:sz="0" w:space="0" w:color="auto"/>
                    <w:left w:val="none" w:sz="0" w:space="0" w:color="auto"/>
                    <w:bottom w:val="none" w:sz="0" w:space="0" w:color="auto"/>
                    <w:right w:val="none" w:sz="0" w:space="0" w:color="auto"/>
                  </w:divBdr>
                </w:div>
              </w:divsChild>
            </w:div>
            <w:div w:id="1421370511">
              <w:marLeft w:val="0"/>
              <w:marRight w:val="0"/>
              <w:marTop w:val="0"/>
              <w:marBottom w:val="0"/>
              <w:divBdr>
                <w:top w:val="none" w:sz="0" w:space="0" w:color="auto"/>
                <w:left w:val="none" w:sz="0" w:space="0" w:color="auto"/>
                <w:bottom w:val="none" w:sz="0" w:space="0" w:color="auto"/>
                <w:right w:val="none" w:sz="0" w:space="0" w:color="auto"/>
              </w:divBdr>
              <w:divsChild>
                <w:div w:id="1397629710">
                  <w:marLeft w:val="0"/>
                  <w:marRight w:val="0"/>
                  <w:marTop w:val="0"/>
                  <w:marBottom w:val="0"/>
                  <w:divBdr>
                    <w:top w:val="none" w:sz="0" w:space="0" w:color="auto"/>
                    <w:left w:val="none" w:sz="0" w:space="0" w:color="auto"/>
                    <w:bottom w:val="none" w:sz="0" w:space="0" w:color="auto"/>
                    <w:right w:val="none" w:sz="0" w:space="0" w:color="auto"/>
                  </w:divBdr>
                </w:div>
              </w:divsChild>
            </w:div>
            <w:div w:id="1440492104">
              <w:marLeft w:val="0"/>
              <w:marRight w:val="0"/>
              <w:marTop w:val="0"/>
              <w:marBottom w:val="0"/>
              <w:divBdr>
                <w:top w:val="none" w:sz="0" w:space="0" w:color="auto"/>
                <w:left w:val="none" w:sz="0" w:space="0" w:color="auto"/>
                <w:bottom w:val="none" w:sz="0" w:space="0" w:color="auto"/>
                <w:right w:val="none" w:sz="0" w:space="0" w:color="auto"/>
              </w:divBdr>
              <w:divsChild>
                <w:div w:id="1056970529">
                  <w:marLeft w:val="0"/>
                  <w:marRight w:val="0"/>
                  <w:marTop w:val="0"/>
                  <w:marBottom w:val="0"/>
                  <w:divBdr>
                    <w:top w:val="none" w:sz="0" w:space="0" w:color="auto"/>
                    <w:left w:val="none" w:sz="0" w:space="0" w:color="auto"/>
                    <w:bottom w:val="none" w:sz="0" w:space="0" w:color="auto"/>
                    <w:right w:val="none" w:sz="0" w:space="0" w:color="auto"/>
                  </w:divBdr>
                </w:div>
              </w:divsChild>
            </w:div>
            <w:div w:id="1571766136">
              <w:marLeft w:val="0"/>
              <w:marRight w:val="0"/>
              <w:marTop w:val="0"/>
              <w:marBottom w:val="0"/>
              <w:divBdr>
                <w:top w:val="none" w:sz="0" w:space="0" w:color="auto"/>
                <w:left w:val="none" w:sz="0" w:space="0" w:color="auto"/>
                <w:bottom w:val="none" w:sz="0" w:space="0" w:color="auto"/>
                <w:right w:val="none" w:sz="0" w:space="0" w:color="auto"/>
              </w:divBdr>
              <w:divsChild>
                <w:div w:id="1800951122">
                  <w:marLeft w:val="0"/>
                  <w:marRight w:val="0"/>
                  <w:marTop w:val="0"/>
                  <w:marBottom w:val="0"/>
                  <w:divBdr>
                    <w:top w:val="none" w:sz="0" w:space="0" w:color="auto"/>
                    <w:left w:val="none" w:sz="0" w:space="0" w:color="auto"/>
                    <w:bottom w:val="none" w:sz="0" w:space="0" w:color="auto"/>
                    <w:right w:val="none" w:sz="0" w:space="0" w:color="auto"/>
                  </w:divBdr>
                </w:div>
              </w:divsChild>
            </w:div>
            <w:div w:id="1691880824">
              <w:marLeft w:val="0"/>
              <w:marRight w:val="0"/>
              <w:marTop w:val="0"/>
              <w:marBottom w:val="0"/>
              <w:divBdr>
                <w:top w:val="none" w:sz="0" w:space="0" w:color="auto"/>
                <w:left w:val="none" w:sz="0" w:space="0" w:color="auto"/>
                <w:bottom w:val="none" w:sz="0" w:space="0" w:color="auto"/>
                <w:right w:val="none" w:sz="0" w:space="0" w:color="auto"/>
              </w:divBdr>
              <w:divsChild>
                <w:div w:id="1114636828">
                  <w:marLeft w:val="0"/>
                  <w:marRight w:val="0"/>
                  <w:marTop w:val="0"/>
                  <w:marBottom w:val="0"/>
                  <w:divBdr>
                    <w:top w:val="none" w:sz="0" w:space="0" w:color="auto"/>
                    <w:left w:val="none" w:sz="0" w:space="0" w:color="auto"/>
                    <w:bottom w:val="none" w:sz="0" w:space="0" w:color="auto"/>
                    <w:right w:val="none" w:sz="0" w:space="0" w:color="auto"/>
                  </w:divBdr>
                </w:div>
              </w:divsChild>
            </w:div>
            <w:div w:id="1904876704">
              <w:marLeft w:val="0"/>
              <w:marRight w:val="0"/>
              <w:marTop w:val="0"/>
              <w:marBottom w:val="0"/>
              <w:divBdr>
                <w:top w:val="none" w:sz="0" w:space="0" w:color="auto"/>
                <w:left w:val="none" w:sz="0" w:space="0" w:color="auto"/>
                <w:bottom w:val="none" w:sz="0" w:space="0" w:color="auto"/>
                <w:right w:val="none" w:sz="0" w:space="0" w:color="auto"/>
              </w:divBdr>
              <w:divsChild>
                <w:div w:id="120266944">
                  <w:marLeft w:val="0"/>
                  <w:marRight w:val="0"/>
                  <w:marTop w:val="0"/>
                  <w:marBottom w:val="0"/>
                  <w:divBdr>
                    <w:top w:val="none" w:sz="0" w:space="0" w:color="auto"/>
                    <w:left w:val="none" w:sz="0" w:space="0" w:color="auto"/>
                    <w:bottom w:val="none" w:sz="0" w:space="0" w:color="auto"/>
                    <w:right w:val="none" w:sz="0" w:space="0" w:color="auto"/>
                  </w:divBdr>
                </w:div>
              </w:divsChild>
            </w:div>
            <w:div w:id="2121339848">
              <w:marLeft w:val="0"/>
              <w:marRight w:val="0"/>
              <w:marTop w:val="0"/>
              <w:marBottom w:val="0"/>
              <w:divBdr>
                <w:top w:val="none" w:sz="0" w:space="0" w:color="auto"/>
                <w:left w:val="none" w:sz="0" w:space="0" w:color="auto"/>
                <w:bottom w:val="none" w:sz="0" w:space="0" w:color="auto"/>
                <w:right w:val="none" w:sz="0" w:space="0" w:color="auto"/>
              </w:divBdr>
              <w:divsChild>
                <w:div w:id="16146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6652">
          <w:marLeft w:val="0"/>
          <w:marRight w:val="0"/>
          <w:marTop w:val="0"/>
          <w:marBottom w:val="0"/>
          <w:divBdr>
            <w:top w:val="none" w:sz="0" w:space="0" w:color="auto"/>
            <w:left w:val="none" w:sz="0" w:space="0" w:color="auto"/>
            <w:bottom w:val="none" w:sz="0" w:space="0" w:color="auto"/>
            <w:right w:val="none" w:sz="0" w:space="0" w:color="auto"/>
          </w:divBdr>
        </w:div>
        <w:div w:id="1448886501">
          <w:marLeft w:val="0"/>
          <w:marRight w:val="0"/>
          <w:marTop w:val="0"/>
          <w:marBottom w:val="0"/>
          <w:divBdr>
            <w:top w:val="none" w:sz="0" w:space="0" w:color="auto"/>
            <w:left w:val="none" w:sz="0" w:space="0" w:color="auto"/>
            <w:bottom w:val="none" w:sz="0" w:space="0" w:color="auto"/>
            <w:right w:val="none" w:sz="0" w:space="0" w:color="auto"/>
          </w:divBdr>
        </w:div>
        <w:div w:id="1518108205">
          <w:marLeft w:val="0"/>
          <w:marRight w:val="0"/>
          <w:marTop w:val="0"/>
          <w:marBottom w:val="0"/>
          <w:divBdr>
            <w:top w:val="none" w:sz="0" w:space="0" w:color="auto"/>
            <w:left w:val="none" w:sz="0" w:space="0" w:color="auto"/>
            <w:bottom w:val="none" w:sz="0" w:space="0" w:color="auto"/>
            <w:right w:val="none" w:sz="0" w:space="0" w:color="auto"/>
          </w:divBdr>
        </w:div>
        <w:div w:id="1520509831">
          <w:marLeft w:val="0"/>
          <w:marRight w:val="0"/>
          <w:marTop w:val="0"/>
          <w:marBottom w:val="0"/>
          <w:divBdr>
            <w:top w:val="none" w:sz="0" w:space="0" w:color="auto"/>
            <w:left w:val="none" w:sz="0" w:space="0" w:color="auto"/>
            <w:bottom w:val="none" w:sz="0" w:space="0" w:color="auto"/>
            <w:right w:val="none" w:sz="0" w:space="0" w:color="auto"/>
          </w:divBdr>
        </w:div>
        <w:div w:id="1547986130">
          <w:marLeft w:val="0"/>
          <w:marRight w:val="0"/>
          <w:marTop w:val="0"/>
          <w:marBottom w:val="0"/>
          <w:divBdr>
            <w:top w:val="none" w:sz="0" w:space="0" w:color="auto"/>
            <w:left w:val="none" w:sz="0" w:space="0" w:color="auto"/>
            <w:bottom w:val="none" w:sz="0" w:space="0" w:color="auto"/>
            <w:right w:val="none" w:sz="0" w:space="0" w:color="auto"/>
          </w:divBdr>
        </w:div>
        <w:div w:id="1548830620">
          <w:marLeft w:val="0"/>
          <w:marRight w:val="0"/>
          <w:marTop w:val="0"/>
          <w:marBottom w:val="0"/>
          <w:divBdr>
            <w:top w:val="none" w:sz="0" w:space="0" w:color="auto"/>
            <w:left w:val="none" w:sz="0" w:space="0" w:color="auto"/>
            <w:bottom w:val="none" w:sz="0" w:space="0" w:color="auto"/>
            <w:right w:val="none" w:sz="0" w:space="0" w:color="auto"/>
          </w:divBdr>
        </w:div>
        <w:div w:id="1556576561">
          <w:marLeft w:val="0"/>
          <w:marRight w:val="0"/>
          <w:marTop w:val="0"/>
          <w:marBottom w:val="0"/>
          <w:divBdr>
            <w:top w:val="none" w:sz="0" w:space="0" w:color="auto"/>
            <w:left w:val="none" w:sz="0" w:space="0" w:color="auto"/>
            <w:bottom w:val="none" w:sz="0" w:space="0" w:color="auto"/>
            <w:right w:val="none" w:sz="0" w:space="0" w:color="auto"/>
          </w:divBdr>
        </w:div>
        <w:div w:id="1558976944">
          <w:marLeft w:val="0"/>
          <w:marRight w:val="0"/>
          <w:marTop w:val="0"/>
          <w:marBottom w:val="0"/>
          <w:divBdr>
            <w:top w:val="none" w:sz="0" w:space="0" w:color="auto"/>
            <w:left w:val="none" w:sz="0" w:space="0" w:color="auto"/>
            <w:bottom w:val="none" w:sz="0" w:space="0" w:color="auto"/>
            <w:right w:val="none" w:sz="0" w:space="0" w:color="auto"/>
          </w:divBdr>
        </w:div>
        <w:div w:id="1568877453">
          <w:marLeft w:val="0"/>
          <w:marRight w:val="0"/>
          <w:marTop w:val="0"/>
          <w:marBottom w:val="0"/>
          <w:divBdr>
            <w:top w:val="none" w:sz="0" w:space="0" w:color="auto"/>
            <w:left w:val="none" w:sz="0" w:space="0" w:color="auto"/>
            <w:bottom w:val="none" w:sz="0" w:space="0" w:color="auto"/>
            <w:right w:val="none" w:sz="0" w:space="0" w:color="auto"/>
          </w:divBdr>
        </w:div>
        <w:div w:id="1576892604">
          <w:marLeft w:val="0"/>
          <w:marRight w:val="0"/>
          <w:marTop w:val="0"/>
          <w:marBottom w:val="0"/>
          <w:divBdr>
            <w:top w:val="none" w:sz="0" w:space="0" w:color="auto"/>
            <w:left w:val="none" w:sz="0" w:space="0" w:color="auto"/>
            <w:bottom w:val="none" w:sz="0" w:space="0" w:color="auto"/>
            <w:right w:val="none" w:sz="0" w:space="0" w:color="auto"/>
          </w:divBdr>
        </w:div>
        <w:div w:id="1587113017">
          <w:marLeft w:val="0"/>
          <w:marRight w:val="0"/>
          <w:marTop w:val="0"/>
          <w:marBottom w:val="0"/>
          <w:divBdr>
            <w:top w:val="none" w:sz="0" w:space="0" w:color="auto"/>
            <w:left w:val="none" w:sz="0" w:space="0" w:color="auto"/>
            <w:bottom w:val="none" w:sz="0" w:space="0" w:color="auto"/>
            <w:right w:val="none" w:sz="0" w:space="0" w:color="auto"/>
          </w:divBdr>
        </w:div>
        <w:div w:id="1598251187">
          <w:marLeft w:val="0"/>
          <w:marRight w:val="0"/>
          <w:marTop w:val="0"/>
          <w:marBottom w:val="0"/>
          <w:divBdr>
            <w:top w:val="none" w:sz="0" w:space="0" w:color="auto"/>
            <w:left w:val="none" w:sz="0" w:space="0" w:color="auto"/>
            <w:bottom w:val="none" w:sz="0" w:space="0" w:color="auto"/>
            <w:right w:val="none" w:sz="0" w:space="0" w:color="auto"/>
          </w:divBdr>
        </w:div>
        <w:div w:id="1603806428">
          <w:marLeft w:val="0"/>
          <w:marRight w:val="0"/>
          <w:marTop w:val="0"/>
          <w:marBottom w:val="0"/>
          <w:divBdr>
            <w:top w:val="none" w:sz="0" w:space="0" w:color="auto"/>
            <w:left w:val="none" w:sz="0" w:space="0" w:color="auto"/>
            <w:bottom w:val="none" w:sz="0" w:space="0" w:color="auto"/>
            <w:right w:val="none" w:sz="0" w:space="0" w:color="auto"/>
          </w:divBdr>
        </w:div>
        <w:div w:id="1638758631">
          <w:marLeft w:val="0"/>
          <w:marRight w:val="0"/>
          <w:marTop w:val="0"/>
          <w:marBottom w:val="0"/>
          <w:divBdr>
            <w:top w:val="none" w:sz="0" w:space="0" w:color="auto"/>
            <w:left w:val="none" w:sz="0" w:space="0" w:color="auto"/>
            <w:bottom w:val="none" w:sz="0" w:space="0" w:color="auto"/>
            <w:right w:val="none" w:sz="0" w:space="0" w:color="auto"/>
          </w:divBdr>
        </w:div>
        <w:div w:id="1649280361">
          <w:marLeft w:val="0"/>
          <w:marRight w:val="0"/>
          <w:marTop w:val="0"/>
          <w:marBottom w:val="0"/>
          <w:divBdr>
            <w:top w:val="none" w:sz="0" w:space="0" w:color="auto"/>
            <w:left w:val="none" w:sz="0" w:space="0" w:color="auto"/>
            <w:bottom w:val="none" w:sz="0" w:space="0" w:color="auto"/>
            <w:right w:val="none" w:sz="0" w:space="0" w:color="auto"/>
          </w:divBdr>
        </w:div>
        <w:div w:id="1654066279">
          <w:marLeft w:val="0"/>
          <w:marRight w:val="0"/>
          <w:marTop w:val="0"/>
          <w:marBottom w:val="0"/>
          <w:divBdr>
            <w:top w:val="none" w:sz="0" w:space="0" w:color="auto"/>
            <w:left w:val="none" w:sz="0" w:space="0" w:color="auto"/>
            <w:bottom w:val="none" w:sz="0" w:space="0" w:color="auto"/>
            <w:right w:val="none" w:sz="0" w:space="0" w:color="auto"/>
          </w:divBdr>
        </w:div>
        <w:div w:id="1717467615">
          <w:marLeft w:val="0"/>
          <w:marRight w:val="0"/>
          <w:marTop w:val="0"/>
          <w:marBottom w:val="0"/>
          <w:divBdr>
            <w:top w:val="none" w:sz="0" w:space="0" w:color="auto"/>
            <w:left w:val="none" w:sz="0" w:space="0" w:color="auto"/>
            <w:bottom w:val="none" w:sz="0" w:space="0" w:color="auto"/>
            <w:right w:val="none" w:sz="0" w:space="0" w:color="auto"/>
          </w:divBdr>
        </w:div>
        <w:div w:id="1720009889">
          <w:marLeft w:val="0"/>
          <w:marRight w:val="0"/>
          <w:marTop w:val="0"/>
          <w:marBottom w:val="0"/>
          <w:divBdr>
            <w:top w:val="none" w:sz="0" w:space="0" w:color="auto"/>
            <w:left w:val="none" w:sz="0" w:space="0" w:color="auto"/>
            <w:bottom w:val="none" w:sz="0" w:space="0" w:color="auto"/>
            <w:right w:val="none" w:sz="0" w:space="0" w:color="auto"/>
          </w:divBdr>
        </w:div>
        <w:div w:id="1732847157">
          <w:marLeft w:val="0"/>
          <w:marRight w:val="0"/>
          <w:marTop w:val="0"/>
          <w:marBottom w:val="0"/>
          <w:divBdr>
            <w:top w:val="none" w:sz="0" w:space="0" w:color="auto"/>
            <w:left w:val="none" w:sz="0" w:space="0" w:color="auto"/>
            <w:bottom w:val="none" w:sz="0" w:space="0" w:color="auto"/>
            <w:right w:val="none" w:sz="0" w:space="0" w:color="auto"/>
          </w:divBdr>
        </w:div>
        <w:div w:id="1794521432">
          <w:marLeft w:val="0"/>
          <w:marRight w:val="0"/>
          <w:marTop w:val="0"/>
          <w:marBottom w:val="0"/>
          <w:divBdr>
            <w:top w:val="none" w:sz="0" w:space="0" w:color="auto"/>
            <w:left w:val="none" w:sz="0" w:space="0" w:color="auto"/>
            <w:bottom w:val="none" w:sz="0" w:space="0" w:color="auto"/>
            <w:right w:val="none" w:sz="0" w:space="0" w:color="auto"/>
          </w:divBdr>
        </w:div>
        <w:div w:id="1828206198">
          <w:marLeft w:val="0"/>
          <w:marRight w:val="0"/>
          <w:marTop w:val="0"/>
          <w:marBottom w:val="0"/>
          <w:divBdr>
            <w:top w:val="none" w:sz="0" w:space="0" w:color="auto"/>
            <w:left w:val="none" w:sz="0" w:space="0" w:color="auto"/>
            <w:bottom w:val="none" w:sz="0" w:space="0" w:color="auto"/>
            <w:right w:val="none" w:sz="0" w:space="0" w:color="auto"/>
          </w:divBdr>
        </w:div>
        <w:div w:id="1887715122">
          <w:marLeft w:val="0"/>
          <w:marRight w:val="0"/>
          <w:marTop w:val="0"/>
          <w:marBottom w:val="0"/>
          <w:divBdr>
            <w:top w:val="none" w:sz="0" w:space="0" w:color="auto"/>
            <w:left w:val="none" w:sz="0" w:space="0" w:color="auto"/>
            <w:bottom w:val="none" w:sz="0" w:space="0" w:color="auto"/>
            <w:right w:val="none" w:sz="0" w:space="0" w:color="auto"/>
          </w:divBdr>
        </w:div>
        <w:div w:id="1894348410">
          <w:marLeft w:val="0"/>
          <w:marRight w:val="0"/>
          <w:marTop w:val="0"/>
          <w:marBottom w:val="0"/>
          <w:divBdr>
            <w:top w:val="none" w:sz="0" w:space="0" w:color="auto"/>
            <w:left w:val="none" w:sz="0" w:space="0" w:color="auto"/>
            <w:bottom w:val="none" w:sz="0" w:space="0" w:color="auto"/>
            <w:right w:val="none" w:sz="0" w:space="0" w:color="auto"/>
          </w:divBdr>
        </w:div>
        <w:div w:id="1941790904">
          <w:marLeft w:val="0"/>
          <w:marRight w:val="0"/>
          <w:marTop w:val="0"/>
          <w:marBottom w:val="0"/>
          <w:divBdr>
            <w:top w:val="none" w:sz="0" w:space="0" w:color="auto"/>
            <w:left w:val="none" w:sz="0" w:space="0" w:color="auto"/>
            <w:bottom w:val="none" w:sz="0" w:space="0" w:color="auto"/>
            <w:right w:val="none" w:sz="0" w:space="0" w:color="auto"/>
          </w:divBdr>
        </w:div>
        <w:div w:id="1956060562">
          <w:marLeft w:val="0"/>
          <w:marRight w:val="0"/>
          <w:marTop w:val="0"/>
          <w:marBottom w:val="0"/>
          <w:divBdr>
            <w:top w:val="none" w:sz="0" w:space="0" w:color="auto"/>
            <w:left w:val="none" w:sz="0" w:space="0" w:color="auto"/>
            <w:bottom w:val="none" w:sz="0" w:space="0" w:color="auto"/>
            <w:right w:val="none" w:sz="0" w:space="0" w:color="auto"/>
          </w:divBdr>
        </w:div>
        <w:div w:id="1958246382">
          <w:marLeft w:val="0"/>
          <w:marRight w:val="0"/>
          <w:marTop w:val="0"/>
          <w:marBottom w:val="0"/>
          <w:divBdr>
            <w:top w:val="none" w:sz="0" w:space="0" w:color="auto"/>
            <w:left w:val="none" w:sz="0" w:space="0" w:color="auto"/>
            <w:bottom w:val="none" w:sz="0" w:space="0" w:color="auto"/>
            <w:right w:val="none" w:sz="0" w:space="0" w:color="auto"/>
          </w:divBdr>
        </w:div>
        <w:div w:id="1966083351">
          <w:marLeft w:val="0"/>
          <w:marRight w:val="0"/>
          <w:marTop w:val="0"/>
          <w:marBottom w:val="0"/>
          <w:divBdr>
            <w:top w:val="none" w:sz="0" w:space="0" w:color="auto"/>
            <w:left w:val="none" w:sz="0" w:space="0" w:color="auto"/>
            <w:bottom w:val="none" w:sz="0" w:space="0" w:color="auto"/>
            <w:right w:val="none" w:sz="0" w:space="0" w:color="auto"/>
          </w:divBdr>
        </w:div>
        <w:div w:id="1998067702">
          <w:marLeft w:val="0"/>
          <w:marRight w:val="0"/>
          <w:marTop w:val="0"/>
          <w:marBottom w:val="0"/>
          <w:divBdr>
            <w:top w:val="none" w:sz="0" w:space="0" w:color="auto"/>
            <w:left w:val="none" w:sz="0" w:space="0" w:color="auto"/>
            <w:bottom w:val="none" w:sz="0" w:space="0" w:color="auto"/>
            <w:right w:val="none" w:sz="0" w:space="0" w:color="auto"/>
          </w:divBdr>
        </w:div>
        <w:div w:id="2006517013">
          <w:marLeft w:val="0"/>
          <w:marRight w:val="0"/>
          <w:marTop w:val="0"/>
          <w:marBottom w:val="0"/>
          <w:divBdr>
            <w:top w:val="none" w:sz="0" w:space="0" w:color="auto"/>
            <w:left w:val="none" w:sz="0" w:space="0" w:color="auto"/>
            <w:bottom w:val="none" w:sz="0" w:space="0" w:color="auto"/>
            <w:right w:val="none" w:sz="0" w:space="0" w:color="auto"/>
          </w:divBdr>
        </w:div>
        <w:div w:id="2012563658">
          <w:marLeft w:val="0"/>
          <w:marRight w:val="0"/>
          <w:marTop w:val="0"/>
          <w:marBottom w:val="0"/>
          <w:divBdr>
            <w:top w:val="none" w:sz="0" w:space="0" w:color="auto"/>
            <w:left w:val="none" w:sz="0" w:space="0" w:color="auto"/>
            <w:bottom w:val="none" w:sz="0" w:space="0" w:color="auto"/>
            <w:right w:val="none" w:sz="0" w:space="0" w:color="auto"/>
          </w:divBdr>
        </w:div>
        <w:div w:id="2062751934">
          <w:marLeft w:val="0"/>
          <w:marRight w:val="0"/>
          <w:marTop w:val="0"/>
          <w:marBottom w:val="0"/>
          <w:divBdr>
            <w:top w:val="none" w:sz="0" w:space="0" w:color="auto"/>
            <w:left w:val="none" w:sz="0" w:space="0" w:color="auto"/>
            <w:bottom w:val="none" w:sz="0" w:space="0" w:color="auto"/>
            <w:right w:val="none" w:sz="0" w:space="0" w:color="auto"/>
          </w:divBdr>
        </w:div>
        <w:div w:id="2074158285">
          <w:marLeft w:val="0"/>
          <w:marRight w:val="0"/>
          <w:marTop w:val="0"/>
          <w:marBottom w:val="0"/>
          <w:divBdr>
            <w:top w:val="none" w:sz="0" w:space="0" w:color="auto"/>
            <w:left w:val="none" w:sz="0" w:space="0" w:color="auto"/>
            <w:bottom w:val="none" w:sz="0" w:space="0" w:color="auto"/>
            <w:right w:val="none" w:sz="0" w:space="0" w:color="auto"/>
          </w:divBdr>
        </w:div>
        <w:div w:id="2097700556">
          <w:marLeft w:val="0"/>
          <w:marRight w:val="0"/>
          <w:marTop w:val="0"/>
          <w:marBottom w:val="0"/>
          <w:divBdr>
            <w:top w:val="none" w:sz="0" w:space="0" w:color="auto"/>
            <w:left w:val="none" w:sz="0" w:space="0" w:color="auto"/>
            <w:bottom w:val="none" w:sz="0" w:space="0" w:color="auto"/>
            <w:right w:val="none" w:sz="0" w:space="0" w:color="auto"/>
          </w:divBdr>
        </w:div>
        <w:div w:id="2104104963">
          <w:marLeft w:val="0"/>
          <w:marRight w:val="0"/>
          <w:marTop w:val="0"/>
          <w:marBottom w:val="0"/>
          <w:divBdr>
            <w:top w:val="none" w:sz="0" w:space="0" w:color="auto"/>
            <w:left w:val="none" w:sz="0" w:space="0" w:color="auto"/>
            <w:bottom w:val="none" w:sz="0" w:space="0" w:color="auto"/>
            <w:right w:val="none" w:sz="0" w:space="0" w:color="auto"/>
          </w:divBdr>
        </w:div>
        <w:div w:id="2107967063">
          <w:marLeft w:val="0"/>
          <w:marRight w:val="0"/>
          <w:marTop w:val="0"/>
          <w:marBottom w:val="0"/>
          <w:divBdr>
            <w:top w:val="none" w:sz="0" w:space="0" w:color="auto"/>
            <w:left w:val="none" w:sz="0" w:space="0" w:color="auto"/>
            <w:bottom w:val="none" w:sz="0" w:space="0" w:color="auto"/>
            <w:right w:val="none" w:sz="0" w:space="0" w:color="auto"/>
          </w:divBdr>
        </w:div>
      </w:divsChild>
    </w:div>
    <w:div w:id="1309093975">
      <w:bodyDiv w:val="1"/>
      <w:marLeft w:val="0"/>
      <w:marRight w:val="0"/>
      <w:marTop w:val="0"/>
      <w:marBottom w:val="0"/>
      <w:divBdr>
        <w:top w:val="none" w:sz="0" w:space="0" w:color="auto"/>
        <w:left w:val="none" w:sz="0" w:space="0" w:color="auto"/>
        <w:bottom w:val="none" w:sz="0" w:space="0" w:color="auto"/>
        <w:right w:val="none" w:sz="0" w:space="0" w:color="auto"/>
      </w:divBdr>
      <w:divsChild>
        <w:div w:id="264659059">
          <w:marLeft w:val="0"/>
          <w:marRight w:val="0"/>
          <w:marTop w:val="0"/>
          <w:marBottom w:val="0"/>
          <w:divBdr>
            <w:top w:val="none" w:sz="0" w:space="0" w:color="auto"/>
            <w:left w:val="none" w:sz="0" w:space="0" w:color="auto"/>
            <w:bottom w:val="none" w:sz="0" w:space="0" w:color="auto"/>
            <w:right w:val="none" w:sz="0" w:space="0" w:color="auto"/>
          </w:divBdr>
        </w:div>
        <w:div w:id="880551667">
          <w:marLeft w:val="0"/>
          <w:marRight w:val="0"/>
          <w:marTop w:val="0"/>
          <w:marBottom w:val="0"/>
          <w:divBdr>
            <w:top w:val="none" w:sz="0" w:space="0" w:color="auto"/>
            <w:left w:val="none" w:sz="0" w:space="0" w:color="auto"/>
            <w:bottom w:val="none" w:sz="0" w:space="0" w:color="auto"/>
            <w:right w:val="none" w:sz="0" w:space="0" w:color="auto"/>
          </w:divBdr>
        </w:div>
        <w:div w:id="1232347272">
          <w:marLeft w:val="0"/>
          <w:marRight w:val="0"/>
          <w:marTop w:val="0"/>
          <w:marBottom w:val="0"/>
          <w:divBdr>
            <w:top w:val="none" w:sz="0" w:space="0" w:color="auto"/>
            <w:left w:val="none" w:sz="0" w:space="0" w:color="auto"/>
            <w:bottom w:val="none" w:sz="0" w:space="0" w:color="auto"/>
            <w:right w:val="none" w:sz="0" w:space="0" w:color="auto"/>
          </w:divBdr>
        </w:div>
      </w:divsChild>
    </w:div>
    <w:div w:id="1318458855">
      <w:bodyDiv w:val="1"/>
      <w:marLeft w:val="0"/>
      <w:marRight w:val="0"/>
      <w:marTop w:val="0"/>
      <w:marBottom w:val="0"/>
      <w:divBdr>
        <w:top w:val="none" w:sz="0" w:space="0" w:color="auto"/>
        <w:left w:val="none" w:sz="0" w:space="0" w:color="auto"/>
        <w:bottom w:val="none" w:sz="0" w:space="0" w:color="auto"/>
        <w:right w:val="none" w:sz="0" w:space="0" w:color="auto"/>
      </w:divBdr>
      <w:divsChild>
        <w:div w:id="134226082">
          <w:marLeft w:val="0"/>
          <w:marRight w:val="0"/>
          <w:marTop w:val="0"/>
          <w:marBottom w:val="0"/>
          <w:divBdr>
            <w:top w:val="none" w:sz="0" w:space="0" w:color="auto"/>
            <w:left w:val="none" w:sz="0" w:space="0" w:color="auto"/>
            <w:bottom w:val="none" w:sz="0" w:space="0" w:color="auto"/>
            <w:right w:val="none" w:sz="0" w:space="0" w:color="auto"/>
          </w:divBdr>
        </w:div>
        <w:div w:id="137192534">
          <w:marLeft w:val="0"/>
          <w:marRight w:val="0"/>
          <w:marTop w:val="0"/>
          <w:marBottom w:val="0"/>
          <w:divBdr>
            <w:top w:val="none" w:sz="0" w:space="0" w:color="auto"/>
            <w:left w:val="none" w:sz="0" w:space="0" w:color="auto"/>
            <w:bottom w:val="none" w:sz="0" w:space="0" w:color="auto"/>
            <w:right w:val="none" w:sz="0" w:space="0" w:color="auto"/>
          </w:divBdr>
        </w:div>
        <w:div w:id="411581629">
          <w:marLeft w:val="0"/>
          <w:marRight w:val="0"/>
          <w:marTop w:val="0"/>
          <w:marBottom w:val="0"/>
          <w:divBdr>
            <w:top w:val="none" w:sz="0" w:space="0" w:color="auto"/>
            <w:left w:val="none" w:sz="0" w:space="0" w:color="auto"/>
            <w:bottom w:val="none" w:sz="0" w:space="0" w:color="auto"/>
            <w:right w:val="none" w:sz="0" w:space="0" w:color="auto"/>
          </w:divBdr>
        </w:div>
        <w:div w:id="558125964">
          <w:marLeft w:val="0"/>
          <w:marRight w:val="0"/>
          <w:marTop w:val="0"/>
          <w:marBottom w:val="0"/>
          <w:divBdr>
            <w:top w:val="none" w:sz="0" w:space="0" w:color="auto"/>
            <w:left w:val="none" w:sz="0" w:space="0" w:color="auto"/>
            <w:bottom w:val="none" w:sz="0" w:space="0" w:color="auto"/>
            <w:right w:val="none" w:sz="0" w:space="0" w:color="auto"/>
          </w:divBdr>
        </w:div>
        <w:div w:id="707491167">
          <w:marLeft w:val="0"/>
          <w:marRight w:val="0"/>
          <w:marTop w:val="0"/>
          <w:marBottom w:val="0"/>
          <w:divBdr>
            <w:top w:val="none" w:sz="0" w:space="0" w:color="auto"/>
            <w:left w:val="none" w:sz="0" w:space="0" w:color="auto"/>
            <w:bottom w:val="none" w:sz="0" w:space="0" w:color="auto"/>
            <w:right w:val="none" w:sz="0" w:space="0" w:color="auto"/>
          </w:divBdr>
        </w:div>
        <w:div w:id="905073936">
          <w:marLeft w:val="0"/>
          <w:marRight w:val="0"/>
          <w:marTop w:val="0"/>
          <w:marBottom w:val="0"/>
          <w:divBdr>
            <w:top w:val="none" w:sz="0" w:space="0" w:color="auto"/>
            <w:left w:val="none" w:sz="0" w:space="0" w:color="auto"/>
            <w:bottom w:val="none" w:sz="0" w:space="0" w:color="auto"/>
            <w:right w:val="none" w:sz="0" w:space="0" w:color="auto"/>
          </w:divBdr>
        </w:div>
        <w:div w:id="983972811">
          <w:marLeft w:val="0"/>
          <w:marRight w:val="0"/>
          <w:marTop w:val="0"/>
          <w:marBottom w:val="0"/>
          <w:divBdr>
            <w:top w:val="none" w:sz="0" w:space="0" w:color="auto"/>
            <w:left w:val="none" w:sz="0" w:space="0" w:color="auto"/>
            <w:bottom w:val="none" w:sz="0" w:space="0" w:color="auto"/>
            <w:right w:val="none" w:sz="0" w:space="0" w:color="auto"/>
          </w:divBdr>
        </w:div>
        <w:div w:id="1273242320">
          <w:marLeft w:val="0"/>
          <w:marRight w:val="0"/>
          <w:marTop w:val="0"/>
          <w:marBottom w:val="0"/>
          <w:divBdr>
            <w:top w:val="none" w:sz="0" w:space="0" w:color="auto"/>
            <w:left w:val="none" w:sz="0" w:space="0" w:color="auto"/>
            <w:bottom w:val="none" w:sz="0" w:space="0" w:color="auto"/>
            <w:right w:val="none" w:sz="0" w:space="0" w:color="auto"/>
          </w:divBdr>
        </w:div>
        <w:div w:id="1277327958">
          <w:marLeft w:val="0"/>
          <w:marRight w:val="0"/>
          <w:marTop w:val="0"/>
          <w:marBottom w:val="0"/>
          <w:divBdr>
            <w:top w:val="none" w:sz="0" w:space="0" w:color="auto"/>
            <w:left w:val="none" w:sz="0" w:space="0" w:color="auto"/>
            <w:bottom w:val="none" w:sz="0" w:space="0" w:color="auto"/>
            <w:right w:val="none" w:sz="0" w:space="0" w:color="auto"/>
          </w:divBdr>
        </w:div>
        <w:div w:id="1350722039">
          <w:marLeft w:val="0"/>
          <w:marRight w:val="0"/>
          <w:marTop w:val="0"/>
          <w:marBottom w:val="0"/>
          <w:divBdr>
            <w:top w:val="none" w:sz="0" w:space="0" w:color="auto"/>
            <w:left w:val="none" w:sz="0" w:space="0" w:color="auto"/>
            <w:bottom w:val="none" w:sz="0" w:space="0" w:color="auto"/>
            <w:right w:val="none" w:sz="0" w:space="0" w:color="auto"/>
          </w:divBdr>
        </w:div>
        <w:div w:id="1354302907">
          <w:marLeft w:val="0"/>
          <w:marRight w:val="0"/>
          <w:marTop w:val="0"/>
          <w:marBottom w:val="0"/>
          <w:divBdr>
            <w:top w:val="none" w:sz="0" w:space="0" w:color="auto"/>
            <w:left w:val="none" w:sz="0" w:space="0" w:color="auto"/>
            <w:bottom w:val="none" w:sz="0" w:space="0" w:color="auto"/>
            <w:right w:val="none" w:sz="0" w:space="0" w:color="auto"/>
          </w:divBdr>
        </w:div>
        <w:div w:id="1529485585">
          <w:marLeft w:val="0"/>
          <w:marRight w:val="0"/>
          <w:marTop w:val="0"/>
          <w:marBottom w:val="0"/>
          <w:divBdr>
            <w:top w:val="none" w:sz="0" w:space="0" w:color="auto"/>
            <w:left w:val="none" w:sz="0" w:space="0" w:color="auto"/>
            <w:bottom w:val="none" w:sz="0" w:space="0" w:color="auto"/>
            <w:right w:val="none" w:sz="0" w:space="0" w:color="auto"/>
          </w:divBdr>
        </w:div>
        <w:div w:id="1595551713">
          <w:marLeft w:val="0"/>
          <w:marRight w:val="0"/>
          <w:marTop w:val="0"/>
          <w:marBottom w:val="0"/>
          <w:divBdr>
            <w:top w:val="none" w:sz="0" w:space="0" w:color="auto"/>
            <w:left w:val="none" w:sz="0" w:space="0" w:color="auto"/>
            <w:bottom w:val="none" w:sz="0" w:space="0" w:color="auto"/>
            <w:right w:val="none" w:sz="0" w:space="0" w:color="auto"/>
          </w:divBdr>
        </w:div>
        <w:div w:id="1757283594">
          <w:marLeft w:val="0"/>
          <w:marRight w:val="0"/>
          <w:marTop w:val="0"/>
          <w:marBottom w:val="0"/>
          <w:divBdr>
            <w:top w:val="none" w:sz="0" w:space="0" w:color="auto"/>
            <w:left w:val="none" w:sz="0" w:space="0" w:color="auto"/>
            <w:bottom w:val="none" w:sz="0" w:space="0" w:color="auto"/>
            <w:right w:val="none" w:sz="0" w:space="0" w:color="auto"/>
          </w:divBdr>
        </w:div>
        <w:div w:id="1783188090">
          <w:marLeft w:val="0"/>
          <w:marRight w:val="0"/>
          <w:marTop w:val="0"/>
          <w:marBottom w:val="0"/>
          <w:divBdr>
            <w:top w:val="none" w:sz="0" w:space="0" w:color="auto"/>
            <w:left w:val="none" w:sz="0" w:space="0" w:color="auto"/>
            <w:bottom w:val="none" w:sz="0" w:space="0" w:color="auto"/>
            <w:right w:val="none" w:sz="0" w:space="0" w:color="auto"/>
          </w:divBdr>
        </w:div>
        <w:div w:id="1783718659">
          <w:marLeft w:val="0"/>
          <w:marRight w:val="0"/>
          <w:marTop w:val="0"/>
          <w:marBottom w:val="0"/>
          <w:divBdr>
            <w:top w:val="none" w:sz="0" w:space="0" w:color="auto"/>
            <w:left w:val="none" w:sz="0" w:space="0" w:color="auto"/>
            <w:bottom w:val="none" w:sz="0" w:space="0" w:color="auto"/>
            <w:right w:val="none" w:sz="0" w:space="0" w:color="auto"/>
          </w:divBdr>
        </w:div>
        <w:div w:id="1822189500">
          <w:marLeft w:val="0"/>
          <w:marRight w:val="0"/>
          <w:marTop w:val="0"/>
          <w:marBottom w:val="0"/>
          <w:divBdr>
            <w:top w:val="none" w:sz="0" w:space="0" w:color="auto"/>
            <w:left w:val="none" w:sz="0" w:space="0" w:color="auto"/>
            <w:bottom w:val="none" w:sz="0" w:space="0" w:color="auto"/>
            <w:right w:val="none" w:sz="0" w:space="0" w:color="auto"/>
          </w:divBdr>
        </w:div>
        <w:div w:id="1870682071">
          <w:marLeft w:val="0"/>
          <w:marRight w:val="0"/>
          <w:marTop w:val="0"/>
          <w:marBottom w:val="0"/>
          <w:divBdr>
            <w:top w:val="none" w:sz="0" w:space="0" w:color="auto"/>
            <w:left w:val="none" w:sz="0" w:space="0" w:color="auto"/>
            <w:bottom w:val="none" w:sz="0" w:space="0" w:color="auto"/>
            <w:right w:val="none" w:sz="0" w:space="0" w:color="auto"/>
          </w:divBdr>
        </w:div>
        <w:div w:id="1963222847">
          <w:marLeft w:val="0"/>
          <w:marRight w:val="0"/>
          <w:marTop w:val="0"/>
          <w:marBottom w:val="0"/>
          <w:divBdr>
            <w:top w:val="none" w:sz="0" w:space="0" w:color="auto"/>
            <w:left w:val="none" w:sz="0" w:space="0" w:color="auto"/>
            <w:bottom w:val="none" w:sz="0" w:space="0" w:color="auto"/>
            <w:right w:val="none" w:sz="0" w:space="0" w:color="auto"/>
          </w:divBdr>
        </w:div>
        <w:div w:id="2014339371">
          <w:marLeft w:val="0"/>
          <w:marRight w:val="0"/>
          <w:marTop w:val="0"/>
          <w:marBottom w:val="0"/>
          <w:divBdr>
            <w:top w:val="none" w:sz="0" w:space="0" w:color="auto"/>
            <w:left w:val="none" w:sz="0" w:space="0" w:color="auto"/>
            <w:bottom w:val="none" w:sz="0" w:space="0" w:color="auto"/>
            <w:right w:val="none" w:sz="0" w:space="0" w:color="auto"/>
          </w:divBdr>
        </w:div>
      </w:divsChild>
    </w:div>
    <w:div w:id="1325472299">
      <w:bodyDiv w:val="1"/>
      <w:marLeft w:val="0"/>
      <w:marRight w:val="0"/>
      <w:marTop w:val="0"/>
      <w:marBottom w:val="0"/>
      <w:divBdr>
        <w:top w:val="none" w:sz="0" w:space="0" w:color="auto"/>
        <w:left w:val="none" w:sz="0" w:space="0" w:color="auto"/>
        <w:bottom w:val="none" w:sz="0" w:space="0" w:color="auto"/>
        <w:right w:val="none" w:sz="0" w:space="0" w:color="auto"/>
      </w:divBdr>
    </w:div>
    <w:div w:id="1326275795">
      <w:bodyDiv w:val="1"/>
      <w:marLeft w:val="0"/>
      <w:marRight w:val="0"/>
      <w:marTop w:val="0"/>
      <w:marBottom w:val="0"/>
      <w:divBdr>
        <w:top w:val="none" w:sz="0" w:space="0" w:color="auto"/>
        <w:left w:val="none" w:sz="0" w:space="0" w:color="auto"/>
        <w:bottom w:val="none" w:sz="0" w:space="0" w:color="auto"/>
        <w:right w:val="none" w:sz="0" w:space="0" w:color="auto"/>
      </w:divBdr>
    </w:div>
    <w:div w:id="1327709880">
      <w:bodyDiv w:val="1"/>
      <w:marLeft w:val="0"/>
      <w:marRight w:val="0"/>
      <w:marTop w:val="0"/>
      <w:marBottom w:val="0"/>
      <w:divBdr>
        <w:top w:val="none" w:sz="0" w:space="0" w:color="auto"/>
        <w:left w:val="none" w:sz="0" w:space="0" w:color="auto"/>
        <w:bottom w:val="none" w:sz="0" w:space="0" w:color="auto"/>
        <w:right w:val="none" w:sz="0" w:space="0" w:color="auto"/>
      </w:divBdr>
    </w:div>
    <w:div w:id="1331716908">
      <w:bodyDiv w:val="1"/>
      <w:marLeft w:val="0"/>
      <w:marRight w:val="0"/>
      <w:marTop w:val="0"/>
      <w:marBottom w:val="0"/>
      <w:divBdr>
        <w:top w:val="none" w:sz="0" w:space="0" w:color="auto"/>
        <w:left w:val="none" w:sz="0" w:space="0" w:color="auto"/>
        <w:bottom w:val="none" w:sz="0" w:space="0" w:color="auto"/>
        <w:right w:val="none" w:sz="0" w:space="0" w:color="auto"/>
      </w:divBdr>
    </w:div>
    <w:div w:id="1339499753">
      <w:bodyDiv w:val="1"/>
      <w:marLeft w:val="0"/>
      <w:marRight w:val="0"/>
      <w:marTop w:val="0"/>
      <w:marBottom w:val="0"/>
      <w:divBdr>
        <w:top w:val="none" w:sz="0" w:space="0" w:color="auto"/>
        <w:left w:val="none" w:sz="0" w:space="0" w:color="auto"/>
        <w:bottom w:val="none" w:sz="0" w:space="0" w:color="auto"/>
        <w:right w:val="none" w:sz="0" w:space="0" w:color="auto"/>
      </w:divBdr>
      <w:divsChild>
        <w:div w:id="1486045344">
          <w:marLeft w:val="0"/>
          <w:marRight w:val="0"/>
          <w:marTop w:val="0"/>
          <w:marBottom w:val="0"/>
          <w:divBdr>
            <w:top w:val="none" w:sz="0" w:space="0" w:color="auto"/>
            <w:left w:val="none" w:sz="0" w:space="0" w:color="auto"/>
            <w:bottom w:val="none" w:sz="0" w:space="0" w:color="auto"/>
            <w:right w:val="none" w:sz="0" w:space="0" w:color="auto"/>
          </w:divBdr>
        </w:div>
        <w:div w:id="1609965767">
          <w:marLeft w:val="0"/>
          <w:marRight w:val="0"/>
          <w:marTop w:val="0"/>
          <w:marBottom w:val="0"/>
          <w:divBdr>
            <w:top w:val="none" w:sz="0" w:space="0" w:color="auto"/>
            <w:left w:val="none" w:sz="0" w:space="0" w:color="auto"/>
            <w:bottom w:val="none" w:sz="0" w:space="0" w:color="auto"/>
            <w:right w:val="none" w:sz="0" w:space="0" w:color="auto"/>
          </w:divBdr>
        </w:div>
      </w:divsChild>
    </w:div>
    <w:div w:id="1340429659">
      <w:bodyDiv w:val="1"/>
      <w:marLeft w:val="0"/>
      <w:marRight w:val="0"/>
      <w:marTop w:val="0"/>
      <w:marBottom w:val="0"/>
      <w:divBdr>
        <w:top w:val="none" w:sz="0" w:space="0" w:color="auto"/>
        <w:left w:val="none" w:sz="0" w:space="0" w:color="auto"/>
        <w:bottom w:val="none" w:sz="0" w:space="0" w:color="auto"/>
        <w:right w:val="none" w:sz="0" w:space="0" w:color="auto"/>
      </w:divBdr>
      <w:divsChild>
        <w:div w:id="1072190875">
          <w:marLeft w:val="0"/>
          <w:marRight w:val="0"/>
          <w:marTop w:val="0"/>
          <w:marBottom w:val="0"/>
          <w:divBdr>
            <w:top w:val="none" w:sz="0" w:space="0" w:color="auto"/>
            <w:left w:val="none" w:sz="0" w:space="0" w:color="auto"/>
            <w:bottom w:val="none" w:sz="0" w:space="0" w:color="auto"/>
            <w:right w:val="none" w:sz="0" w:space="0" w:color="auto"/>
          </w:divBdr>
          <w:divsChild>
            <w:div w:id="309671594">
              <w:marLeft w:val="0"/>
              <w:marRight w:val="0"/>
              <w:marTop w:val="0"/>
              <w:marBottom w:val="0"/>
              <w:divBdr>
                <w:top w:val="none" w:sz="0" w:space="0" w:color="auto"/>
                <w:left w:val="none" w:sz="0" w:space="0" w:color="auto"/>
                <w:bottom w:val="none" w:sz="0" w:space="0" w:color="auto"/>
                <w:right w:val="none" w:sz="0" w:space="0" w:color="auto"/>
              </w:divBdr>
            </w:div>
            <w:div w:id="312492499">
              <w:marLeft w:val="0"/>
              <w:marRight w:val="0"/>
              <w:marTop w:val="0"/>
              <w:marBottom w:val="0"/>
              <w:divBdr>
                <w:top w:val="none" w:sz="0" w:space="0" w:color="auto"/>
                <w:left w:val="none" w:sz="0" w:space="0" w:color="auto"/>
                <w:bottom w:val="none" w:sz="0" w:space="0" w:color="auto"/>
                <w:right w:val="none" w:sz="0" w:space="0" w:color="auto"/>
              </w:divBdr>
            </w:div>
            <w:div w:id="1408266742">
              <w:marLeft w:val="0"/>
              <w:marRight w:val="0"/>
              <w:marTop w:val="0"/>
              <w:marBottom w:val="0"/>
              <w:divBdr>
                <w:top w:val="none" w:sz="0" w:space="0" w:color="auto"/>
                <w:left w:val="none" w:sz="0" w:space="0" w:color="auto"/>
                <w:bottom w:val="none" w:sz="0" w:space="0" w:color="auto"/>
                <w:right w:val="none" w:sz="0" w:space="0" w:color="auto"/>
              </w:divBdr>
            </w:div>
            <w:div w:id="1672640084">
              <w:marLeft w:val="0"/>
              <w:marRight w:val="0"/>
              <w:marTop w:val="0"/>
              <w:marBottom w:val="0"/>
              <w:divBdr>
                <w:top w:val="none" w:sz="0" w:space="0" w:color="auto"/>
                <w:left w:val="none" w:sz="0" w:space="0" w:color="auto"/>
                <w:bottom w:val="none" w:sz="0" w:space="0" w:color="auto"/>
                <w:right w:val="none" w:sz="0" w:space="0" w:color="auto"/>
              </w:divBdr>
            </w:div>
          </w:divsChild>
        </w:div>
        <w:div w:id="1134443593">
          <w:marLeft w:val="0"/>
          <w:marRight w:val="0"/>
          <w:marTop w:val="0"/>
          <w:marBottom w:val="0"/>
          <w:divBdr>
            <w:top w:val="none" w:sz="0" w:space="0" w:color="auto"/>
            <w:left w:val="none" w:sz="0" w:space="0" w:color="auto"/>
            <w:bottom w:val="none" w:sz="0" w:space="0" w:color="auto"/>
            <w:right w:val="none" w:sz="0" w:space="0" w:color="auto"/>
          </w:divBdr>
          <w:divsChild>
            <w:div w:id="52582114">
              <w:marLeft w:val="0"/>
              <w:marRight w:val="0"/>
              <w:marTop w:val="0"/>
              <w:marBottom w:val="0"/>
              <w:divBdr>
                <w:top w:val="none" w:sz="0" w:space="0" w:color="auto"/>
                <w:left w:val="none" w:sz="0" w:space="0" w:color="auto"/>
                <w:bottom w:val="none" w:sz="0" w:space="0" w:color="auto"/>
                <w:right w:val="none" w:sz="0" w:space="0" w:color="auto"/>
              </w:divBdr>
            </w:div>
            <w:div w:id="182211678">
              <w:marLeft w:val="0"/>
              <w:marRight w:val="0"/>
              <w:marTop w:val="0"/>
              <w:marBottom w:val="0"/>
              <w:divBdr>
                <w:top w:val="none" w:sz="0" w:space="0" w:color="auto"/>
                <w:left w:val="none" w:sz="0" w:space="0" w:color="auto"/>
                <w:bottom w:val="none" w:sz="0" w:space="0" w:color="auto"/>
                <w:right w:val="none" w:sz="0" w:space="0" w:color="auto"/>
              </w:divBdr>
            </w:div>
            <w:div w:id="1162350590">
              <w:marLeft w:val="0"/>
              <w:marRight w:val="0"/>
              <w:marTop w:val="0"/>
              <w:marBottom w:val="0"/>
              <w:divBdr>
                <w:top w:val="none" w:sz="0" w:space="0" w:color="auto"/>
                <w:left w:val="none" w:sz="0" w:space="0" w:color="auto"/>
                <w:bottom w:val="none" w:sz="0" w:space="0" w:color="auto"/>
                <w:right w:val="none" w:sz="0" w:space="0" w:color="auto"/>
              </w:divBdr>
            </w:div>
            <w:div w:id="1269003144">
              <w:marLeft w:val="0"/>
              <w:marRight w:val="0"/>
              <w:marTop w:val="0"/>
              <w:marBottom w:val="0"/>
              <w:divBdr>
                <w:top w:val="none" w:sz="0" w:space="0" w:color="auto"/>
                <w:left w:val="none" w:sz="0" w:space="0" w:color="auto"/>
                <w:bottom w:val="none" w:sz="0" w:space="0" w:color="auto"/>
                <w:right w:val="none" w:sz="0" w:space="0" w:color="auto"/>
              </w:divBdr>
            </w:div>
            <w:div w:id="13035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61339">
      <w:bodyDiv w:val="1"/>
      <w:marLeft w:val="0"/>
      <w:marRight w:val="0"/>
      <w:marTop w:val="0"/>
      <w:marBottom w:val="0"/>
      <w:divBdr>
        <w:top w:val="none" w:sz="0" w:space="0" w:color="auto"/>
        <w:left w:val="none" w:sz="0" w:space="0" w:color="auto"/>
        <w:bottom w:val="none" w:sz="0" w:space="0" w:color="auto"/>
        <w:right w:val="none" w:sz="0" w:space="0" w:color="auto"/>
      </w:divBdr>
    </w:div>
    <w:div w:id="1343969622">
      <w:bodyDiv w:val="1"/>
      <w:marLeft w:val="0"/>
      <w:marRight w:val="0"/>
      <w:marTop w:val="0"/>
      <w:marBottom w:val="0"/>
      <w:divBdr>
        <w:top w:val="none" w:sz="0" w:space="0" w:color="auto"/>
        <w:left w:val="none" w:sz="0" w:space="0" w:color="auto"/>
        <w:bottom w:val="none" w:sz="0" w:space="0" w:color="auto"/>
        <w:right w:val="none" w:sz="0" w:space="0" w:color="auto"/>
      </w:divBdr>
      <w:divsChild>
        <w:div w:id="1900937501">
          <w:marLeft w:val="0"/>
          <w:marRight w:val="0"/>
          <w:marTop w:val="0"/>
          <w:marBottom w:val="0"/>
          <w:divBdr>
            <w:top w:val="none" w:sz="0" w:space="0" w:color="auto"/>
            <w:left w:val="none" w:sz="0" w:space="0" w:color="auto"/>
            <w:bottom w:val="none" w:sz="0" w:space="0" w:color="auto"/>
            <w:right w:val="none" w:sz="0" w:space="0" w:color="auto"/>
          </w:divBdr>
        </w:div>
        <w:div w:id="2043506764">
          <w:marLeft w:val="0"/>
          <w:marRight w:val="0"/>
          <w:marTop w:val="0"/>
          <w:marBottom w:val="0"/>
          <w:divBdr>
            <w:top w:val="none" w:sz="0" w:space="0" w:color="auto"/>
            <w:left w:val="none" w:sz="0" w:space="0" w:color="auto"/>
            <w:bottom w:val="none" w:sz="0" w:space="0" w:color="auto"/>
            <w:right w:val="none" w:sz="0" w:space="0" w:color="auto"/>
          </w:divBdr>
          <w:divsChild>
            <w:div w:id="1199316767">
              <w:marLeft w:val="0"/>
              <w:marRight w:val="0"/>
              <w:marTop w:val="30"/>
              <w:marBottom w:val="30"/>
              <w:divBdr>
                <w:top w:val="none" w:sz="0" w:space="0" w:color="auto"/>
                <w:left w:val="none" w:sz="0" w:space="0" w:color="auto"/>
                <w:bottom w:val="none" w:sz="0" w:space="0" w:color="auto"/>
                <w:right w:val="none" w:sz="0" w:space="0" w:color="auto"/>
              </w:divBdr>
              <w:divsChild>
                <w:div w:id="14117541">
                  <w:marLeft w:val="0"/>
                  <w:marRight w:val="0"/>
                  <w:marTop w:val="0"/>
                  <w:marBottom w:val="0"/>
                  <w:divBdr>
                    <w:top w:val="none" w:sz="0" w:space="0" w:color="auto"/>
                    <w:left w:val="none" w:sz="0" w:space="0" w:color="auto"/>
                    <w:bottom w:val="none" w:sz="0" w:space="0" w:color="auto"/>
                    <w:right w:val="none" w:sz="0" w:space="0" w:color="auto"/>
                  </w:divBdr>
                  <w:divsChild>
                    <w:div w:id="368724276">
                      <w:marLeft w:val="0"/>
                      <w:marRight w:val="0"/>
                      <w:marTop w:val="0"/>
                      <w:marBottom w:val="0"/>
                      <w:divBdr>
                        <w:top w:val="none" w:sz="0" w:space="0" w:color="auto"/>
                        <w:left w:val="none" w:sz="0" w:space="0" w:color="auto"/>
                        <w:bottom w:val="none" w:sz="0" w:space="0" w:color="auto"/>
                        <w:right w:val="none" w:sz="0" w:space="0" w:color="auto"/>
                      </w:divBdr>
                    </w:div>
                  </w:divsChild>
                </w:div>
                <w:div w:id="17969212">
                  <w:marLeft w:val="0"/>
                  <w:marRight w:val="0"/>
                  <w:marTop w:val="0"/>
                  <w:marBottom w:val="0"/>
                  <w:divBdr>
                    <w:top w:val="none" w:sz="0" w:space="0" w:color="auto"/>
                    <w:left w:val="none" w:sz="0" w:space="0" w:color="auto"/>
                    <w:bottom w:val="none" w:sz="0" w:space="0" w:color="auto"/>
                    <w:right w:val="none" w:sz="0" w:space="0" w:color="auto"/>
                  </w:divBdr>
                  <w:divsChild>
                    <w:div w:id="1024941152">
                      <w:marLeft w:val="0"/>
                      <w:marRight w:val="0"/>
                      <w:marTop w:val="0"/>
                      <w:marBottom w:val="0"/>
                      <w:divBdr>
                        <w:top w:val="none" w:sz="0" w:space="0" w:color="auto"/>
                        <w:left w:val="none" w:sz="0" w:space="0" w:color="auto"/>
                        <w:bottom w:val="none" w:sz="0" w:space="0" w:color="auto"/>
                        <w:right w:val="none" w:sz="0" w:space="0" w:color="auto"/>
                      </w:divBdr>
                    </w:div>
                  </w:divsChild>
                </w:div>
                <w:div w:id="27224699">
                  <w:marLeft w:val="0"/>
                  <w:marRight w:val="0"/>
                  <w:marTop w:val="0"/>
                  <w:marBottom w:val="0"/>
                  <w:divBdr>
                    <w:top w:val="none" w:sz="0" w:space="0" w:color="auto"/>
                    <w:left w:val="none" w:sz="0" w:space="0" w:color="auto"/>
                    <w:bottom w:val="none" w:sz="0" w:space="0" w:color="auto"/>
                    <w:right w:val="none" w:sz="0" w:space="0" w:color="auto"/>
                  </w:divBdr>
                  <w:divsChild>
                    <w:div w:id="647827283">
                      <w:marLeft w:val="0"/>
                      <w:marRight w:val="0"/>
                      <w:marTop w:val="0"/>
                      <w:marBottom w:val="0"/>
                      <w:divBdr>
                        <w:top w:val="none" w:sz="0" w:space="0" w:color="auto"/>
                        <w:left w:val="none" w:sz="0" w:space="0" w:color="auto"/>
                        <w:bottom w:val="none" w:sz="0" w:space="0" w:color="auto"/>
                        <w:right w:val="none" w:sz="0" w:space="0" w:color="auto"/>
                      </w:divBdr>
                    </w:div>
                  </w:divsChild>
                </w:div>
                <w:div w:id="45300768">
                  <w:marLeft w:val="0"/>
                  <w:marRight w:val="0"/>
                  <w:marTop w:val="0"/>
                  <w:marBottom w:val="0"/>
                  <w:divBdr>
                    <w:top w:val="none" w:sz="0" w:space="0" w:color="auto"/>
                    <w:left w:val="none" w:sz="0" w:space="0" w:color="auto"/>
                    <w:bottom w:val="none" w:sz="0" w:space="0" w:color="auto"/>
                    <w:right w:val="none" w:sz="0" w:space="0" w:color="auto"/>
                  </w:divBdr>
                  <w:divsChild>
                    <w:div w:id="1180462174">
                      <w:marLeft w:val="0"/>
                      <w:marRight w:val="0"/>
                      <w:marTop w:val="0"/>
                      <w:marBottom w:val="0"/>
                      <w:divBdr>
                        <w:top w:val="none" w:sz="0" w:space="0" w:color="auto"/>
                        <w:left w:val="none" w:sz="0" w:space="0" w:color="auto"/>
                        <w:bottom w:val="none" w:sz="0" w:space="0" w:color="auto"/>
                        <w:right w:val="none" w:sz="0" w:space="0" w:color="auto"/>
                      </w:divBdr>
                    </w:div>
                  </w:divsChild>
                </w:div>
                <w:div w:id="49429552">
                  <w:marLeft w:val="0"/>
                  <w:marRight w:val="0"/>
                  <w:marTop w:val="0"/>
                  <w:marBottom w:val="0"/>
                  <w:divBdr>
                    <w:top w:val="none" w:sz="0" w:space="0" w:color="auto"/>
                    <w:left w:val="none" w:sz="0" w:space="0" w:color="auto"/>
                    <w:bottom w:val="none" w:sz="0" w:space="0" w:color="auto"/>
                    <w:right w:val="none" w:sz="0" w:space="0" w:color="auto"/>
                  </w:divBdr>
                  <w:divsChild>
                    <w:div w:id="1790927322">
                      <w:marLeft w:val="0"/>
                      <w:marRight w:val="0"/>
                      <w:marTop w:val="0"/>
                      <w:marBottom w:val="0"/>
                      <w:divBdr>
                        <w:top w:val="none" w:sz="0" w:space="0" w:color="auto"/>
                        <w:left w:val="none" w:sz="0" w:space="0" w:color="auto"/>
                        <w:bottom w:val="none" w:sz="0" w:space="0" w:color="auto"/>
                        <w:right w:val="none" w:sz="0" w:space="0" w:color="auto"/>
                      </w:divBdr>
                    </w:div>
                  </w:divsChild>
                </w:div>
                <w:div w:id="57093056">
                  <w:marLeft w:val="0"/>
                  <w:marRight w:val="0"/>
                  <w:marTop w:val="0"/>
                  <w:marBottom w:val="0"/>
                  <w:divBdr>
                    <w:top w:val="none" w:sz="0" w:space="0" w:color="auto"/>
                    <w:left w:val="none" w:sz="0" w:space="0" w:color="auto"/>
                    <w:bottom w:val="none" w:sz="0" w:space="0" w:color="auto"/>
                    <w:right w:val="none" w:sz="0" w:space="0" w:color="auto"/>
                  </w:divBdr>
                  <w:divsChild>
                    <w:div w:id="1891840567">
                      <w:marLeft w:val="0"/>
                      <w:marRight w:val="0"/>
                      <w:marTop w:val="0"/>
                      <w:marBottom w:val="0"/>
                      <w:divBdr>
                        <w:top w:val="none" w:sz="0" w:space="0" w:color="auto"/>
                        <w:left w:val="none" w:sz="0" w:space="0" w:color="auto"/>
                        <w:bottom w:val="none" w:sz="0" w:space="0" w:color="auto"/>
                        <w:right w:val="none" w:sz="0" w:space="0" w:color="auto"/>
                      </w:divBdr>
                    </w:div>
                  </w:divsChild>
                </w:div>
                <w:div w:id="68311045">
                  <w:marLeft w:val="0"/>
                  <w:marRight w:val="0"/>
                  <w:marTop w:val="0"/>
                  <w:marBottom w:val="0"/>
                  <w:divBdr>
                    <w:top w:val="none" w:sz="0" w:space="0" w:color="auto"/>
                    <w:left w:val="none" w:sz="0" w:space="0" w:color="auto"/>
                    <w:bottom w:val="none" w:sz="0" w:space="0" w:color="auto"/>
                    <w:right w:val="none" w:sz="0" w:space="0" w:color="auto"/>
                  </w:divBdr>
                  <w:divsChild>
                    <w:div w:id="1942950813">
                      <w:marLeft w:val="0"/>
                      <w:marRight w:val="0"/>
                      <w:marTop w:val="0"/>
                      <w:marBottom w:val="0"/>
                      <w:divBdr>
                        <w:top w:val="none" w:sz="0" w:space="0" w:color="auto"/>
                        <w:left w:val="none" w:sz="0" w:space="0" w:color="auto"/>
                        <w:bottom w:val="none" w:sz="0" w:space="0" w:color="auto"/>
                        <w:right w:val="none" w:sz="0" w:space="0" w:color="auto"/>
                      </w:divBdr>
                    </w:div>
                  </w:divsChild>
                </w:div>
                <w:div w:id="108815734">
                  <w:marLeft w:val="0"/>
                  <w:marRight w:val="0"/>
                  <w:marTop w:val="0"/>
                  <w:marBottom w:val="0"/>
                  <w:divBdr>
                    <w:top w:val="none" w:sz="0" w:space="0" w:color="auto"/>
                    <w:left w:val="none" w:sz="0" w:space="0" w:color="auto"/>
                    <w:bottom w:val="none" w:sz="0" w:space="0" w:color="auto"/>
                    <w:right w:val="none" w:sz="0" w:space="0" w:color="auto"/>
                  </w:divBdr>
                  <w:divsChild>
                    <w:div w:id="1663119700">
                      <w:marLeft w:val="0"/>
                      <w:marRight w:val="0"/>
                      <w:marTop w:val="0"/>
                      <w:marBottom w:val="0"/>
                      <w:divBdr>
                        <w:top w:val="none" w:sz="0" w:space="0" w:color="auto"/>
                        <w:left w:val="none" w:sz="0" w:space="0" w:color="auto"/>
                        <w:bottom w:val="none" w:sz="0" w:space="0" w:color="auto"/>
                        <w:right w:val="none" w:sz="0" w:space="0" w:color="auto"/>
                      </w:divBdr>
                    </w:div>
                  </w:divsChild>
                </w:div>
                <w:div w:id="131799921">
                  <w:marLeft w:val="0"/>
                  <w:marRight w:val="0"/>
                  <w:marTop w:val="0"/>
                  <w:marBottom w:val="0"/>
                  <w:divBdr>
                    <w:top w:val="none" w:sz="0" w:space="0" w:color="auto"/>
                    <w:left w:val="none" w:sz="0" w:space="0" w:color="auto"/>
                    <w:bottom w:val="none" w:sz="0" w:space="0" w:color="auto"/>
                    <w:right w:val="none" w:sz="0" w:space="0" w:color="auto"/>
                  </w:divBdr>
                  <w:divsChild>
                    <w:div w:id="77757042">
                      <w:marLeft w:val="0"/>
                      <w:marRight w:val="0"/>
                      <w:marTop w:val="0"/>
                      <w:marBottom w:val="0"/>
                      <w:divBdr>
                        <w:top w:val="none" w:sz="0" w:space="0" w:color="auto"/>
                        <w:left w:val="none" w:sz="0" w:space="0" w:color="auto"/>
                        <w:bottom w:val="none" w:sz="0" w:space="0" w:color="auto"/>
                        <w:right w:val="none" w:sz="0" w:space="0" w:color="auto"/>
                      </w:divBdr>
                    </w:div>
                  </w:divsChild>
                </w:div>
                <w:div w:id="170603294">
                  <w:marLeft w:val="0"/>
                  <w:marRight w:val="0"/>
                  <w:marTop w:val="0"/>
                  <w:marBottom w:val="0"/>
                  <w:divBdr>
                    <w:top w:val="none" w:sz="0" w:space="0" w:color="auto"/>
                    <w:left w:val="none" w:sz="0" w:space="0" w:color="auto"/>
                    <w:bottom w:val="none" w:sz="0" w:space="0" w:color="auto"/>
                    <w:right w:val="none" w:sz="0" w:space="0" w:color="auto"/>
                  </w:divBdr>
                  <w:divsChild>
                    <w:div w:id="1667897369">
                      <w:marLeft w:val="0"/>
                      <w:marRight w:val="0"/>
                      <w:marTop w:val="0"/>
                      <w:marBottom w:val="0"/>
                      <w:divBdr>
                        <w:top w:val="none" w:sz="0" w:space="0" w:color="auto"/>
                        <w:left w:val="none" w:sz="0" w:space="0" w:color="auto"/>
                        <w:bottom w:val="none" w:sz="0" w:space="0" w:color="auto"/>
                        <w:right w:val="none" w:sz="0" w:space="0" w:color="auto"/>
                      </w:divBdr>
                    </w:div>
                  </w:divsChild>
                </w:div>
                <w:div w:id="188374636">
                  <w:marLeft w:val="0"/>
                  <w:marRight w:val="0"/>
                  <w:marTop w:val="0"/>
                  <w:marBottom w:val="0"/>
                  <w:divBdr>
                    <w:top w:val="none" w:sz="0" w:space="0" w:color="auto"/>
                    <w:left w:val="none" w:sz="0" w:space="0" w:color="auto"/>
                    <w:bottom w:val="none" w:sz="0" w:space="0" w:color="auto"/>
                    <w:right w:val="none" w:sz="0" w:space="0" w:color="auto"/>
                  </w:divBdr>
                  <w:divsChild>
                    <w:div w:id="2111274907">
                      <w:marLeft w:val="0"/>
                      <w:marRight w:val="0"/>
                      <w:marTop w:val="0"/>
                      <w:marBottom w:val="0"/>
                      <w:divBdr>
                        <w:top w:val="none" w:sz="0" w:space="0" w:color="auto"/>
                        <w:left w:val="none" w:sz="0" w:space="0" w:color="auto"/>
                        <w:bottom w:val="none" w:sz="0" w:space="0" w:color="auto"/>
                        <w:right w:val="none" w:sz="0" w:space="0" w:color="auto"/>
                      </w:divBdr>
                    </w:div>
                  </w:divsChild>
                </w:div>
                <w:div w:id="223610208">
                  <w:marLeft w:val="0"/>
                  <w:marRight w:val="0"/>
                  <w:marTop w:val="0"/>
                  <w:marBottom w:val="0"/>
                  <w:divBdr>
                    <w:top w:val="none" w:sz="0" w:space="0" w:color="auto"/>
                    <w:left w:val="none" w:sz="0" w:space="0" w:color="auto"/>
                    <w:bottom w:val="none" w:sz="0" w:space="0" w:color="auto"/>
                    <w:right w:val="none" w:sz="0" w:space="0" w:color="auto"/>
                  </w:divBdr>
                  <w:divsChild>
                    <w:div w:id="1404067383">
                      <w:marLeft w:val="0"/>
                      <w:marRight w:val="0"/>
                      <w:marTop w:val="0"/>
                      <w:marBottom w:val="0"/>
                      <w:divBdr>
                        <w:top w:val="none" w:sz="0" w:space="0" w:color="auto"/>
                        <w:left w:val="none" w:sz="0" w:space="0" w:color="auto"/>
                        <w:bottom w:val="none" w:sz="0" w:space="0" w:color="auto"/>
                        <w:right w:val="none" w:sz="0" w:space="0" w:color="auto"/>
                      </w:divBdr>
                    </w:div>
                  </w:divsChild>
                </w:div>
                <w:div w:id="244606141">
                  <w:marLeft w:val="0"/>
                  <w:marRight w:val="0"/>
                  <w:marTop w:val="0"/>
                  <w:marBottom w:val="0"/>
                  <w:divBdr>
                    <w:top w:val="none" w:sz="0" w:space="0" w:color="auto"/>
                    <w:left w:val="none" w:sz="0" w:space="0" w:color="auto"/>
                    <w:bottom w:val="none" w:sz="0" w:space="0" w:color="auto"/>
                    <w:right w:val="none" w:sz="0" w:space="0" w:color="auto"/>
                  </w:divBdr>
                  <w:divsChild>
                    <w:div w:id="2004357328">
                      <w:marLeft w:val="0"/>
                      <w:marRight w:val="0"/>
                      <w:marTop w:val="0"/>
                      <w:marBottom w:val="0"/>
                      <w:divBdr>
                        <w:top w:val="none" w:sz="0" w:space="0" w:color="auto"/>
                        <w:left w:val="none" w:sz="0" w:space="0" w:color="auto"/>
                        <w:bottom w:val="none" w:sz="0" w:space="0" w:color="auto"/>
                        <w:right w:val="none" w:sz="0" w:space="0" w:color="auto"/>
                      </w:divBdr>
                    </w:div>
                  </w:divsChild>
                </w:div>
                <w:div w:id="256014251">
                  <w:marLeft w:val="0"/>
                  <w:marRight w:val="0"/>
                  <w:marTop w:val="0"/>
                  <w:marBottom w:val="0"/>
                  <w:divBdr>
                    <w:top w:val="none" w:sz="0" w:space="0" w:color="auto"/>
                    <w:left w:val="none" w:sz="0" w:space="0" w:color="auto"/>
                    <w:bottom w:val="none" w:sz="0" w:space="0" w:color="auto"/>
                    <w:right w:val="none" w:sz="0" w:space="0" w:color="auto"/>
                  </w:divBdr>
                  <w:divsChild>
                    <w:div w:id="1537960514">
                      <w:marLeft w:val="0"/>
                      <w:marRight w:val="0"/>
                      <w:marTop w:val="0"/>
                      <w:marBottom w:val="0"/>
                      <w:divBdr>
                        <w:top w:val="none" w:sz="0" w:space="0" w:color="auto"/>
                        <w:left w:val="none" w:sz="0" w:space="0" w:color="auto"/>
                        <w:bottom w:val="none" w:sz="0" w:space="0" w:color="auto"/>
                        <w:right w:val="none" w:sz="0" w:space="0" w:color="auto"/>
                      </w:divBdr>
                    </w:div>
                  </w:divsChild>
                </w:div>
                <w:div w:id="261114115">
                  <w:marLeft w:val="0"/>
                  <w:marRight w:val="0"/>
                  <w:marTop w:val="0"/>
                  <w:marBottom w:val="0"/>
                  <w:divBdr>
                    <w:top w:val="none" w:sz="0" w:space="0" w:color="auto"/>
                    <w:left w:val="none" w:sz="0" w:space="0" w:color="auto"/>
                    <w:bottom w:val="none" w:sz="0" w:space="0" w:color="auto"/>
                    <w:right w:val="none" w:sz="0" w:space="0" w:color="auto"/>
                  </w:divBdr>
                  <w:divsChild>
                    <w:div w:id="602299916">
                      <w:marLeft w:val="0"/>
                      <w:marRight w:val="0"/>
                      <w:marTop w:val="0"/>
                      <w:marBottom w:val="0"/>
                      <w:divBdr>
                        <w:top w:val="none" w:sz="0" w:space="0" w:color="auto"/>
                        <w:left w:val="none" w:sz="0" w:space="0" w:color="auto"/>
                        <w:bottom w:val="none" w:sz="0" w:space="0" w:color="auto"/>
                        <w:right w:val="none" w:sz="0" w:space="0" w:color="auto"/>
                      </w:divBdr>
                    </w:div>
                  </w:divsChild>
                </w:div>
                <w:div w:id="318391475">
                  <w:marLeft w:val="0"/>
                  <w:marRight w:val="0"/>
                  <w:marTop w:val="0"/>
                  <w:marBottom w:val="0"/>
                  <w:divBdr>
                    <w:top w:val="none" w:sz="0" w:space="0" w:color="auto"/>
                    <w:left w:val="none" w:sz="0" w:space="0" w:color="auto"/>
                    <w:bottom w:val="none" w:sz="0" w:space="0" w:color="auto"/>
                    <w:right w:val="none" w:sz="0" w:space="0" w:color="auto"/>
                  </w:divBdr>
                  <w:divsChild>
                    <w:div w:id="964240203">
                      <w:marLeft w:val="0"/>
                      <w:marRight w:val="0"/>
                      <w:marTop w:val="0"/>
                      <w:marBottom w:val="0"/>
                      <w:divBdr>
                        <w:top w:val="none" w:sz="0" w:space="0" w:color="auto"/>
                        <w:left w:val="none" w:sz="0" w:space="0" w:color="auto"/>
                        <w:bottom w:val="none" w:sz="0" w:space="0" w:color="auto"/>
                        <w:right w:val="none" w:sz="0" w:space="0" w:color="auto"/>
                      </w:divBdr>
                    </w:div>
                  </w:divsChild>
                </w:div>
                <w:div w:id="333148991">
                  <w:marLeft w:val="0"/>
                  <w:marRight w:val="0"/>
                  <w:marTop w:val="0"/>
                  <w:marBottom w:val="0"/>
                  <w:divBdr>
                    <w:top w:val="none" w:sz="0" w:space="0" w:color="auto"/>
                    <w:left w:val="none" w:sz="0" w:space="0" w:color="auto"/>
                    <w:bottom w:val="none" w:sz="0" w:space="0" w:color="auto"/>
                    <w:right w:val="none" w:sz="0" w:space="0" w:color="auto"/>
                  </w:divBdr>
                  <w:divsChild>
                    <w:div w:id="882329285">
                      <w:marLeft w:val="0"/>
                      <w:marRight w:val="0"/>
                      <w:marTop w:val="0"/>
                      <w:marBottom w:val="0"/>
                      <w:divBdr>
                        <w:top w:val="none" w:sz="0" w:space="0" w:color="auto"/>
                        <w:left w:val="none" w:sz="0" w:space="0" w:color="auto"/>
                        <w:bottom w:val="none" w:sz="0" w:space="0" w:color="auto"/>
                        <w:right w:val="none" w:sz="0" w:space="0" w:color="auto"/>
                      </w:divBdr>
                    </w:div>
                  </w:divsChild>
                </w:div>
                <w:div w:id="375936785">
                  <w:marLeft w:val="0"/>
                  <w:marRight w:val="0"/>
                  <w:marTop w:val="0"/>
                  <w:marBottom w:val="0"/>
                  <w:divBdr>
                    <w:top w:val="none" w:sz="0" w:space="0" w:color="auto"/>
                    <w:left w:val="none" w:sz="0" w:space="0" w:color="auto"/>
                    <w:bottom w:val="none" w:sz="0" w:space="0" w:color="auto"/>
                    <w:right w:val="none" w:sz="0" w:space="0" w:color="auto"/>
                  </w:divBdr>
                  <w:divsChild>
                    <w:div w:id="125315616">
                      <w:marLeft w:val="0"/>
                      <w:marRight w:val="0"/>
                      <w:marTop w:val="0"/>
                      <w:marBottom w:val="0"/>
                      <w:divBdr>
                        <w:top w:val="none" w:sz="0" w:space="0" w:color="auto"/>
                        <w:left w:val="none" w:sz="0" w:space="0" w:color="auto"/>
                        <w:bottom w:val="none" w:sz="0" w:space="0" w:color="auto"/>
                        <w:right w:val="none" w:sz="0" w:space="0" w:color="auto"/>
                      </w:divBdr>
                    </w:div>
                  </w:divsChild>
                </w:div>
                <w:div w:id="392850151">
                  <w:marLeft w:val="0"/>
                  <w:marRight w:val="0"/>
                  <w:marTop w:val="0"/>
                  <w:marBottom w:val="0"/>
                  <w:divBdr>
                    <w:top w:val="none" w:sz="0" w:space="0" w:color="auto"/>
                    <w:left w:val="none" w:sz="0" w:space="0" w:color="auto"/>
                    <w:bottom w:val="none" w:sz="0" w:space="0" w:color="auto"/>
                    <w:right w:val="none" w:sz="0" w:space="0" w:color="auto"/>
                  </w:divBdr>
                  <w:divsChild>
                    <w:div w:id="1393578093">
                      <w:marLeft w:val="0"/>
                      <w:marRight w:val="0"/>
                      <w:marTop w:val="0"/>
                      <w:marBottom w:val="0"/>
                      <w:divBdr>
                        <w:top w:val="none" w:sz="0" w:space="0" w:color="auto"/>
                        <w:left w:val="none" w:sz="0" w:space="0" w:color="auto"/>
                        <w:bottom w:val="none" w:sz="0" w:space="0" w:color="auto"/>
                        <w:right w:val="none" w:sz="0" w:space="0" w:color="auto"/>
                      </w:divBdr>
                    </w:div>
                  </w:divsChild>
                </w:div>
                <w:div w:id="411702413">
                  <w:marLeft w:val="0"/>
                  <w:marRight w:val="0"/>
                  <w:marTop w:val="0"/>
                  <w:marBottom w:val="0"/>
                  <w:divBdr>
                    <w:top w:val="none" w:sz="0" w:space="0" w:color="auto"/>
                    <w:left w:val="none" w:sz="0" w:space="0" w:color="auto"/>
                    <w:bottom w:val="none" w:sz="0" w:space="0" w:color="auto"/>
                    <w:right w:val="none" w:sz="0" w:space="0" w:color="auto"/>
                  </w:divBdr>
                  <w:divsChild>
                    <w:div w:id="1179349758">
                      <w:marLeft w:val="0"/>
                      <w:marRight w:val="0"/>
                      <w:marTop w:val="0"/>
                      <w:marBottom w:val="0"/>
                      <w:divBdr>
                        <w:top w:val="none" w:sz="0" w:space="0" w:color="auto"/>
                        <w:left w:val="none" w:sz="0" w:space="0" w:color="auto"/>
                        <w:bottom w:val="none" w:sz="0" w:space="0" w:color="auto"/>
                        <w:right w:val="none" w:sz="0" w:space="0" w:color="auto"/>
                      </w:divBdr>
                    </w:div>
                  </w:divsChild>
                </w:div>
                <w:div w:id="414284317">
                  <w:marLeft w:val="0"/>
                  <w:marRight w:val="0"/>
                  <w:marTop w:val="0"/>
                  <w:marBottom w:val="0"/>
                  <w:divBdr>
                    <w:top w:val="none" w:sz="0" w:space="0" w:color="auto"/>
                    <w:left w:val="none" w:sz="0" w:space="0" w:color="auto"/>
                    <w:bottom w:val="none" w:sz="0" w:space="0" w:color="auto"/>
                    <w:right w:val="none" w:sz="0" w:space="0" w:color="auto"/>
                  </w:divBdr>
                  <w:divsChild>
                    <w:div w:id="1717586706">
                      <w:marLeft w:val="0"/>
                      <w:marRight w:val="0"/>
                      <w:marTop w:val="0"/>
                      <w:marBottom w:val="0"/>
                      <w:divBdr>
                        <w:top w:val="none" w:sz="0" w:space="0" w:color="auto"/>
                        <w:left w:val="none" w:sz="0" w:space="0" w:color="auto"/>
                        <w:bottom w:val="none" w:sz="0" w:space="0" w:color="auto"/>
                        <w:right w:val="none" w:sz="0" w:space="0" w:color="auto"/>
                      </w:divBdr>
                    </w:div>
                  </w:divsChild>
                </w:div>
                <w:div w:id="417410200">
                  <w:marLeft w:val="0"/>
                  <w:marRight w:val="0"/>
                  <w:marTop w:val="0"/>
                  <w:marBottom w:val="0"/>
                  <w:divBdr>
                    <w:top w:val="none" w:sz="0" w:space="0" w:color="auto"/>
                    <w:left w:val="none" w:sz="0" w:space="0" w:color="auto"/>
                    <w:bottom w:val="none" w:sz="0" w:space="0" w:color="auto"/>
                    <w:right w:val="none" w:sz="0" w:space="0" w:color="auto"/>
                  </w:divBdr>
                  <w:divsChild>
                    <w:div w:id="1346977630">
                      <w:marLeft w:val="0"/>
                      <w:marRight w:val="0"/>
                      <w:marTop w:val="0"/>
                      <w:marBottom w:val="0"/>
                      <w:divBdr>
                        <w:top w:val="none" w:sz="0" w:space="0" w:color="auto"/>
                        <w:left w:val="none" w:sz="0" w:space="0" w:color="auto"/>
                        <w:bottom w:val="none" w:sz="0" w:space="0" w:color="auto"/>
                        <w:right w:val="none" w:sz="0" w:space="0" w:color="auto"/>
                      </w:divBdr>
                    </w:div>
                  </w:divsChild>
                </w:div>
                <w:div w:id="428355323">
                  <w:marLeft w:val="0"/>
                  <w:marRight w:val="0"/>
                  <w:marTop w:val="0"/>
                  <w:marBottom w:val="0"/>
                  <w:divBdr>
                    <w:top w:val="none" w:sz="0" w:space="0" w:color="auto"/>
                    <w:left w:val="none" w:sz="0" w:space="0" w:color="auto"/>
                    <w:bottom w:val="none" w:sz="0" w:space="0" w:color="auto"/>
                    <w:right w:val="none" w:sz="0" w:space="0" w:color="auto"/>
                  </w:divBdr>
                  <w:divsChild>
                    <w:div w:id="616915915">
                      <w:marLeft w:val="0"/>
                      <w:marRight w:val="0"/>
                      <w:marTop w:val="0"/>
                      <w:marBottom w:val="0"/>
                      <w:divBdr>
                        <w:top w:val="none" w:sz="0" w:space="0" w:color="auto"/>
                        <w:left w:val="none" w:sz="0" w:space="0" w:color="auto"/>
                        <w:bottom w:val="none" w:sz="0" w:space="0" w:color="auto"/>
                        <w:right w:val="none" w:sz="0" w:space="0" w:color="auto"/>
                      </w:divBdr>
                    </w:div>
                  </w:divsChild>
                </w:div>
                <w:div w:id="430322933">
                  <w:marLeft w:val="0"/>
                  <w:marRight w:val="0"/>
                  <w:marTop w:val="0"/>
                  <w:marBottom w:val="0"/>
                  <w:divBdr>
                    <w:top w:val="none" w:sz="0" w:space="0" w:color="auto"/>
                    <w:left w:val="none" w:sz="0" w:space="0" w:color="auto"/>
                    <w:bottom w:val="none" w:sz="0" w:space="0" w:color="auto"/>
                    <w:right w:val="none" w:sz="0" w:space="0" w:color="auto"/>
                  </w:divBdr>
                  <w:divsChild>
                    <w:div w:id="2024625275">
                      <w:marLeft w:val="0"/>
                      <w:marRight w:val="0"/>
                      <w:marTop w:val="0"/>
                      <w:marBottom w:val="0"/>
                      <w:divBdr>
                        <w:top w:val="none" w:sz="0" w:space="0" w:color="auto"/>
                        <w:left w:val="none" w:sz="0" w:space="0" w:color="auto"/>
                        <w:bottom w:val="none" w:sz="0" w:space="0" w:color="auto"/>
                        <w:right w:val="none" w:sz="0" w:space="0" w:color="auto"/>
                      </w:divBdr>
                    </w:div>
                  </w:divsChild>
                </w:div>
                <w:div w:id="431706843">
                  <w:marLeft w:val="0"/>
                  <w:marRight w:val="0"/>
                  <w:marTop w:val="0"/>
                  <w:marBottom w:val="0"/>
                  <w:divBdr>
                    <w:top w:val="none" w:sz="0" w:space="0" w:color="auto"/>
                    <w:left w:val="none" w:sz="0" w:space="0" w:color="auto"/>
                    <w:bottom w:val="none" w:sz="0" w:space="0" w:color="auto"/>
                    <w:right w:val="none" w:sz="0" w:space="0" w:color="auto"/>
                  </w:divBdr>
                  <w:divsChild>
                    <w:div w:id="1672635323">
                      <w:marLeft w:val="0"/>
                      <w:marRight w:val="0"/>
                      <w:marTop w:val="0"/>
                      <w:marBottom w:val="0"/>
                      <w:divBdr>
                        <w:top w:val="none" w:sz="0" w:space="0" w:color="auto"/>
                        <w:left w:val="none" w:sz="0" w:space="0" w:color="auto"/>
                        <w:bottom w:val="none" w:sz="0" w:space="0" w:color="auto"/>
                        <w:right w:val="none" w:sz="0" w:space="0" w:color="auto"/>
                      </w:divBdr>
                    </w:div>
                  </w:divsChild>
                </w:div>
                <w:div w:id="431901469">
                  <w:marLeft w:val="0"/>
                  <w:marRight w:val="0"/>
                  <w:marTop w:val="0"/>
                  <w:marBottom w:val="0"/>
                  <w:divBdr>
                    <w:top w:val="none" w:sz="0" w:space="0" w:color="auto"/>
                    <w:left w:val="none" w:sz="0" w:space="0" w:color="auto"/>
                    <w:bottom w:val="none" w:sz="0" w:space="0" w:color="auto"/>
                    <w:right w:val="none" w:sz="0" w:space="0" w:color="auto"/>
                  </w:divBdr>
                  <w:divsChild>
                    <w:div w:id="114713321">
                      <w:marLeft w:val="0"/>
                      <w:marRight w:val="0"/>
                      <w:marTop w:val="0"/>
                      <w:marBottom w:val="0"/>
                      <w:divBdr>
                        <w:top w:val="none" w:sz="0" w:space="0" w:color="auto"/>
                        <w:left w:val="none" w:sz="0" w:space="0" w:color="auto"/>
                        <w:bottom w:val="none" w:sz="0" w:space="0" w:color="auto"/>
                        <w:right w:val="none" w:sz="0" w:space="0" w:color="auto"/>
                      </w:divBdr>
                    </w:div>
                  </w:divsChild>
                </w:div>
                <w:div w:id="440997314">
                  <w:marLeft w:val="0"/>
                  <w:marRight w:val="0"/>
                  <w:marTop w:val="0"/>
                  <w:marBottom w:val="0"/>
                  <w:divBdr>
                    <w:top w:val="none" w:sz="0" w:space="0" w:color="auto"/>
                    <w:left w:val="none" w:sz="0" w:space="0" w:color="auto"/>
                    <w:bottom w:val="none" w:sz="0" w:space="0" w:color="auto"/>
                    <w:right w:val="none" w:sz="0" w:space="0" w:color="auto"/>
                  </w:divBdr>
                  <w:divsChild>
                    <w:div w:id="1534343993">
                      <w:marLeft w:val="0"/>
                      <w:marRight w:val="0"/>
                      <w:marTop w:val="0"/>
                      <w:marBottom w:val="0"/>
                      <w:divBdr>
                        <w:top w:val="none" w:sz="0" w:space="0" w:color="auto"/>
                        <w:left w:val="none" w:sz="0" w:space="0" w:color="auto"/>
                        <w:bottom w:val="none" w:sz="0" w:space="0" w:color="auto"/>
                        <w:right w:val="none" w:sz="0" w:space="0" w:color="auto"/>
                      </w:divBdr>
                    </w:div>
                  </w:divsChild>
                </w:div>
                <w:div w:id="454450112">
                  <w:marLeft w:val="0"/>
                  <w:marRight w:val="0"/>
                  <w:marTop w:val="0"/>
                  <w:marBottom w:val="0"/>
                  <w:divBdr>
                    <w:top w:val="none" w:sz="0" w:space="0" w:color="auto"/>
                    <w:left w:val="none" w:sz="0" w:space="0" w:color="auto"/>
                    <w:bottom w:val="none" w:sz="0" w:space="0" w:color="auto"/>
                    <w:right w:val="none" w:sz="0" w:space="0" w:color="auto"/>
                  </w:divBdr>
                  <w:divsChild>
                    <w:div w:id="1251349242">
                      <w:marLeft w:val="0"/>
                      <w:marRight w:val="0"/>
                      <w:marTop w:val="0"/>
                      <w:marBottom w:val="0"/>
                      <w:divBdr>
                        <w:top w:val="none" w:sz="0" w:space="0" w:color="auto"/>
                        <w:left w:val="none" w:sz="0" w:space="0" w:color="auto"/>
                        <w:bottom w:val="none" w:sz="0" w:space="0" w:color="auto"/>
                        <w:right w:val="none" w:sz="0" w:space="0" w:color="auto"/>
                      </w:divBdr>
                    </w:div>
                  </w:divsChild>
                </w:div>
                <w:div w:id="457069235">
                  <w:marLeft w:val="0"/>
                  <w:marRight w:val="0"/>
                  <w:marTop w:val="0"/>
                  <w:marBottom w:val="0"/>
                  <w:divBdr>
                    <w:top w:val="none" w:sz="0" w:space="0" w:color="auto"/>
                    <w:left w:val="none" w:sz="0" w:space="0" w:color="auto"/>
                    <w:bottom w:val="none" w:sz="0" w:space="0" w:color="auto"/>
                    <w:right w:val="none" w:sz="0" w:space="0" w:color="auto"/>
                  </w:divBdr>
                  <w:divsChild>
                    <w:div w:id="1919242733">
                      <w:marLeft w:val="0"/>
                      <w:marRight w:val="0"/>
                      <w:marTop w:val="0"/>
                      <w:marBottom w:val="0"/>
                      <w:divBdr>
                        <w:top w:val="none" w:sz="0" w:space="0" w:color="auto"/>
                        <w:left w:val="none" w:sz="0" w:space="0" w:color="auto"/>
                        <w:bottom w:val="none" w:sz="0" w:space="0" w:color="auto"/>
                        <w:right w:val="none" w:sz="0" w:space="0" w:color="auto"/>
                      </w:divBdr>
                    </w:div>
                  </w:divsChild>
                </w:div>
                <w:div w:id="473836770">
                  <w:marLeft w:val="0"/>
                  <w:marRight w:val="0"/>
                  <w:marTop w:val="0"/>
                  <w:marBottom w:val="0"/>
                  <w:divBdr>
                    <w:top w:val="none" w:sz="0" w:space="0" w:color="auto"/>
                    <w:left w:val="none" w:sz="0" w:space="0" w:color="auto"/>
                    <w:bottom w:val="none" w:sz="0" w:space="0" w:color="auto"/>
                    <w:right w:val="none" w:sz="0" w:space="0" w:color="auto"/>
                  </w:divBdr>
                  <w:divsChild>
                    <w:div w:id="2142796149">
                      <w:marLeft w:val="0"/>
                      <w:marRight w:val="0"/>
                      <w:marTop w:val="0"/>
                      <w:marBottom w:val="0"/>
                      <w:divBdr>
                        <w:top w:val="none" w:sz="0" w:space="0" w:color="auto"/>
                        <w:left w:val="none" w:sz="0" w:space="0" w:color="auto"/>
                        <w:bottom w:val="none" w:sz="0" w:space="0" w:color="auto"/>
                        <w:right w:val="none" w:sz="0" w:space="0" w:color="auto"/>
                      </w:divBdr>
                    </w:div>
                  </w:divsChild>
                </w:div>
                <w:div w:id="488325540">
                  <w:marLeft w:val="0"/>
                  <w:marRight w:val="0"/>
                  <w:marTop w:val="0"/>
                  <w:marBottom w:val="0"/>
                  <w:divBdr>
                    <w:top w:val="none" w:sz="0" w:space="0" w:color="auto"/>
                    <w:left w:val="none" w:sz="0" w:space="0" w:color="auto"/>
                    <w:bottom w:val="none" w:sz="0" w:space="0" w:color="auto"/>
                    <w:right w:val="none" w:sz="0" w:space="0" w:color="auto"/>
                  </w:divBdr>
                  <w:divsChild>
                    <w:div w:id="701176407">
                      <w:marLeft w:val="0"/>
                      <w:marRight w:val="0"/>
                      <w:marTop w:val="0"/>
                      <w:marBottom w:val="0"/>
                      <w:divBdr>
                        <w:top w:val="none" w:sz="0" w:space="0" w:color="auto"/>
                        <w:left w:val="none" w:sz="0" w:space="0" w:color="auto"/>
                        <w:bottom w:val="none" w:sz="0" w:space="0" w:color="auto"/>
                        <w:right w:val="none" w:sz="0" w:space="0" w:color="auto"/>
                      </w:divBdr>
                    </w:div>
                  </w:divsChild>
                </w:div>
                <w:div w:id="491601620">
                  <w:marLeft w:val="0"/>
                  <w:marRight w:val="0"/>
                  <w:marTop w:val="0"/>
                  <w:marBottom w:val="0"/>
                  <w:divBdr>
                    <w:top w:val="none" w:sz="0" w:space="0" w:color="auto"/>
                    <w:left w:val="none" w:sz="0" w:space="0" w:color="auto"/>
                    <w:bottom w:val="none" w:sz="0" w:space="0" w:color="auto"/>
                    <w:right w:val="none" w:sz="0" w:space="0" w:color="auto"/>
                  </w:divBdr>
                  <w:divsChild>
                    <w:div w:id="1794134693">
                      <w:marLeft w:val="0"/>
                      <w:marRight w:val="0"/>
                      <w:marTop w:val="0"/>
                      <w:marBottom w:val="0"/>
                      <w:divBdr>
                        <w:top w:val="none" w:sz="0" w:space="0" w:color="auto"/>
                        <w:left w:val="none" w:sz="0" w:space="0" w:color="auto"/>
                        <w:bottom w:val="none" w:sz="0" w:space="0" w:color="auto"/>
                        <w:right w:val="none" w:sz="0" w:space="0" w:color="auto"/>
                      </w:divBdr>
                    </w:div>
                  </w:divsChild>
                </w:div>
                <w:div w:id="547910947">
                  <w:marLeft w:val="0"/>
                  <w:marRight w:val="0"/>
                  <w:marTop w:val="0"/>
                  <w:marBottom w:val="0"/>
                  <w:divBdr>
                    <w:top w:val="none" w:sz="0" w:space="0" w:color="auto"/>
                    <w:left w:val="none" w:sz="0" w:space="0" w:color="auto"/>
                    <w:bottom w:val="none" w:sz="0" w:space="0" w:color="auto"/>
                    <w:right w:val="none" w:sz="0" w:space="0" w:color="auto"/>
                  </w:divBdr>
                  <w:divsChild>
                    <w:div w:id="1539200230">
                      <w:marLeft w:val="0"/>
                      <w:marRight w:val="0"/>
                      <w:marTop w:val="0"/>
                      <w:marBottom w:val="0"/>
                      <w:divBdr>
                        <w:top w:val="none" w:sz="0" w:space="0" w:color="auto"/>
                        <w:left w:val="none" w:sz="0" w:space="0" w:color="auto"/>
                        <w:bottom w:val="none" w:sz="0" w:space="0" w:color="auto"/>
                        <w:right w:val="none" w:sz="0" w:space="0" w:color="auto"/>
                      </w:divBdr>
                    </w:div>
                  </w:divsChild>
                </w:div>
                <w:div w:id="554199780">
                  <w:marLeft w:val="0"/>
                  <w:marRight w:val="0"/>
                  <w:marTop w:val="0"/>
                  <w:marBottom w:val="0"/>
                  <w:divBdr>
                    <w:top w:val="none" w:sz="0" w:space="0" w:color="auto"/>
                    <w:left w:val="none" w:sz="0" w:space="0" w:color="auto"/>
                    <w:bottom w:val="none" w:sz="0" w:space="0" w:color="auto"/>
                    <w:right w:val="none" w:sz="0" w:space="0" w:color="auto"/>
                  </w:divBdr>
                  <w:divsChild>
                    <w:div w:id="1243177521">
                      <w:marLeft w:val="0"/>
                      <w:marRight w:val="0"/>
                      <w:marTop w:val="0"/>
                      <w:marBottom w:val="0"/>
                      <w:divBdr>
                        <w:top w:val="none" w:sz="0" w:space="0" w:color="auto"/>
                        <w:left w:val="none" w:sz="0" w:space="0" w:color="auto"/>
                        <w:bottom w:val="none" w:sz="0" w:space="0" w:color="auto"/>
                        <w:right w:val="none" w:sz="0" w:space="0" w:color="auto"/>
                      </w:divBdr>
                    </w:div>
                  </w:divsChild>
                </w:div>
                <w:div w:id="557712834">
                  <w:marLeft w:val="0"/>
                  <w:marRight w:val="0"/>
                  <w:marTop w:val="0"/>
                  <w:marBottom w:val="0"/>
                  <w:divBdr>
                    <w:top w:val="none" w:sz="0" w:space="0" w:color="auto"/>
                    <w:left w:val="none" w:sz="0" w:space="0" w:color="auto"/>
                    <w:bottom w:val="none" w:sz="0" w:space="0" w:color="auto"/>
                    <w:right w:val="none" w:sz="0" w:space="0" w:color="auto"/>
                  </w:divBdr>
                  <w:divsChild>
                    <w:div w:id="1052920998">
                      <w:marLeft w:val="0"/>
                      <w:marRight w:val="0"/>
                      <w:marTop w:val="0"/>
                      <w:marBottom w:val="0"/>
                      <w:divBdr>
                        <w:top w:val="none" w:sz="0" w:space="0" w:color="auto"/>
                        <w:left w:val="none" w:sz="0" w:space="0" w:color="auto"/>
                        <w:bottom w:val="none" w:sz="0" w:space="0" w:color="auto"/>
                        <w:right w:val="none" w:sz="0" w:space="0" w:color="auto"/>
                      </w:divBdr>
                    </w:div>
                  </w:divsChild>
                </w:div>
                <w:div w:id="560093992">
                  <w:marLeft w:val="0"/>
                  <w:marRight w:val="0"/>
                  <w:marTop w:val="0"/>
                  <w:marBottom w:val="0"/>
                  <w:divBdr>
                    <w:top w:val="none" w:sz="0" w:space="0" w:color="auto"/>
                    <w:left w:val="none" w:sz="0" w:space="0" w:color="auto"/>
                    <w:bottom w:val="none" w:sz="0" w:space="0" w:color="auto"/>
                    <w:right w:val="none" w:sz="0" w:space="0" w:color="auto"/>
                  </w:divBdr>
                  <w:divsChild>
                    <w:div w:id="1372263243">
                      <w:marLeft w:val="0"/>
                      <w:marRight w:val="0"/>
                      <w:marTop w:val="0"/>
                      <w:marBottom w:val="0"/>
                      <w:divBdr>
                        <w:top w:val="none" w:sz="0" w:space="0" w:color="auto"/>
                        <w:left w:val="none" w:sz="0" w:space="0" w:color="auto"/>
                        <w:bottom w:val="none" w:sz="0" w:space="0" w:color="auto"/>
                        <w:right w:val="none" w:sz="0" w:space="0" w:color="auto"/>
                      </w:divBdr>
                    </w:div>
                  </w:divsChild>
                </w:div>
                <w:div w:id="598684238">
                  <w:marLeft w:val="0"/>
                  <w:marRight w:val="0"/>
                  <w:marTop w:val="0"/>
                  <w:marBottom w:val="0"/>
                  <w:divBdr>
                    <w:top w:val="none" w:sz="0" w:space="0" w:color="auto"/>
                    <w:left w:val="none" w:sz="0" w:space="0" w:color="auto"/>
                    <w:bottom w:val="none" w:sz="0" w:space="0" w:color="auto"/>
                    <w:right w:val="none" w:sz="0" w:space="0" w:color="auto"/>
                  </w:divBdr>
                  <w:divsChild>
                    <w:div w:id="1645086898">
                      <w:marLeft w:val="0"/>
                      <w:marRight w:val="0"/>
                      <w:marTop w:val="0"/>
                      <w:marBottom w:val="0"/>
                      <w:divBdr>
                        <w:top w:val="none" w:sz="0" w:space="0" w:color="auto"/>
                        <w:left w:val="none" w:sz="0" w:space="0" w:color="auto"/>
                        <w:bottom w:val="none" w:sz="0" w:space="0" w:color="auto"/>
                        <w:right w:val="none" w:sz="0" w:space="0" w:color="auto"/>
                      </w:divBdr>
                    </w:div>
                  </w:divsChild>
                </w:div>
                <w:div w:id="598762133">
                  <w:marLeft w:val="0"/>
                  <w:marRight w:val="0"/>
                  <w:marTop w:val="0"/>
                  <w:marBottom w:val="0"/>
                  <w:divBdr>
                    <w:top w:val="none" w:sz="0" w:space="0" w:color="auto"/>
                    <w:left w:val="none" w:sz="0" w:space="0" w:color="auto"/>
                    <w:bottom w:val="none" w:sz="0" w:space="0" w:color="auto"/>
                    <w:right w:val="none" w:sz="0" w:space="0" w:color="auto"/>
                  </w:divBdr>
                  <w:divsChild>
                    <w:div w:id="1097557717">
                      <w:marLeft w:val="0"/>
                      <w:marRight w:val="0"/>
                      <w:marTop w:val="0"/>
                      <w:marBottom w:val="0"/>
                      <w:divBdr>
                        <w:top w:val="none" w:sz="0" w:space="0" w:color="auto"/>
                        <w:left w:val="none" w:sz="0" w:space="0" w:color="auto"/>
                        <w:bottom w:val="none" w:sz="0" w:space="0" w:color="auto"/>
                        <w:right w:val="none" w:sz="0" w:space="0" w:color="auto"/>
                      </w:divBdr>
                    </w:div>
                  </w:divsChild>
                </w:div>
                <w:div w:id="613942000">
                  <w:marLeft w:val="0"/>
                  <w:marRight w:val="0"/>
                  <w:marTop w:val="0"/>
                  <w:marBottom w:val="0"/>
                  <w:divBdr>
                    <w:top w:val="none" w:sz="0" w:space="0" w:color="auto"/>
                    <w:left w:val="none" w:sz="0" w:space="0" w:color="auto"/>
                    <w:bottom w:val="none" w:sz="0" w:space="0" w:color="auto"/>
                    <w:right w:val="none" w:sz="0" w:space="0" w:color="auto"/>
                  </w:divBdr>
                  <w:divsChild>
                    <w:div w:id="1393624826">
                      <w:marLeft w:val="0"/>
                      <w:marRight w:val="0"/>
                      <w:marTop w:val="0"/>
                      <w:marBottom w:val="0"/>
                      <w:divBdr>
                        <w:top w:val="none" w:sz="0" w:space="0" w:color="auto"/>
                        <w:left w:val="none" w:sz="0" w:space="0" w:color="auto"/>
                        <w:bottom w:val="none" w:sz="0" w:space="0" w:color="auto"/>
                        <w:right w:val="none" w:sz="0" w:space="0" w:color="auto"/>
                      </w:divBdr>
                    </w:div>
                  </w:divsChild>
                </w:div>
                <w:div w:id="643774337">
                  <w:marLeft w:val="0"/>
                  <w:marRight w:val="0"/>
                  <w:marTop w:val="0"/>
                  <w:marBottom w:val="0"/>
                  <w:divBdr>
                    <w:top w:val="none" w:sz="0" w:space="0" w:color="auto"/>
                    <w:left w:val="none" w:sz="0" w:space="0" w:color="auto"/>
                    <w:bottom w:val="none" w:sz="0" w:space="0" w:color="auto"/>
                    <w:right w:val="none" w:sz="0" w:space="0" w:color="auto"/>
                  </w:divBdr>
                  <w:divsChild>
                    <w:div w:id="347369591">
                      <w:marLeft w:val="0"/>
                      <w:marRight w:val="0"/>
                      <w:marTop w:val="0"/>
                      <w:marBottom w:val="0"/>
                      <w:divBdr>
                        <w:top w:val="none" w:sz="0" w:space="0" w:color="auto"/>
                        <w:left w:val="none" w:sz="0" w:space="0" w:color="auto"/>
                        <w:bottom w:val="none" w:sz="0" w:space="0" w:color="auto"/>
                        <w:right w:val="none" w:sz="0" w:space="0" w:color="auto"/>
                      </w:divBdr>
                    </w:div>
                  </w:divsChild>
                </w:div>
                <w:div w:id="649795837">
                  <w:marLeft w:val="0"/>
                  <w:marRight w:val="0"/>
                  <w:marTop w:val="0"/>
                  <w:marBottom w:val="0"/>
                  <w:divBdr>
                    <w:top w:val="none" w:sz="0" w:space="0" w:color="auto"/>
                    <w:left w:val="none" w:sz="0" w:space="0" w:color="auto"/>
                    <w:bottom w:val="none" w:sz="0" w:space="0" w:color="auto"/>
                    <w:right w:val="none" w:sz="0" w:space="0" w:color="auto"/>
                  </w:divBdr>
                  <w:divsChild>
                    <w:div w:id="198862629">
                      <w:marLeft w:val="0"/>
                      <w:marRight w:val="0"/>
                      <w:marTop w:val="0"/>
                      <w:marBottom w:val="0"/>
                      <w:divBdr>
                        <w:top w:val="none" w:sz="0" w:space="0" w:color="auto"/>
                        <w:left w:val="none" w:sz="0" w:space="0" w:color="auto"/>
                        <w:bottom w:val="none" w:sz="0" w:space="0" w:color="auto"/>
                        <w:right w:val="none" w:sz="0" w:space="0" w:color="auto"/>
                      </w:divBdr>
                    </w:div>
                  </w:divsChild>
                </w:div>
                <w:div w:id="649868823">
                  <w:marLeft w:val="0"/>
                  <w:marRight w:val="0"/>
                  <w:marTop w:val="0"/>
                  <w:marBottom w:val="0"/>
                  <w:divBdr>
                    <w:top w:val="none" w:sz="0" w:space="0" w:color="auto"/>
                    <w:left w:val="none" w:sz="0" w:space="0" w:color="auto"/>
                    <w:bottom w:val="none" w:sz="0" w:space="0" w:color="auto"/>
                    <w:right w:val="none" w:sz="0" w:space="0" w:color="auto"/>
                  </w:divBdr>
                  <w:divsChild>
                    <w:div w:id="1845704278">
                      <w:marLeft w:val="0"/>
                      <w:marRight w:val="0"/>
                      <w:marTop w:val="0"/>
                      <w:marBottom w:val="0"/>
                      <w:divBdr>
                        <w:top w:val="none" w:sz="0" w:space="0" w:color="auto"/>
                        <w:left w:val="none" w:sz="0" w:space="0" w:color="auto"/>
                        <w:bottom w:val="none" w:sz="0" w:space="0" w:color="auto"/>
                        <w:right w:val="none" w:sz="0" w:space="0" w:color="auto"/>
                      </w:divBdr>
                    </w:div>
                  </w:divsChild>
                </w:div>
                <w:div w:id="655650512">
                  <w:marLeft w:val="0"/>
                  <w:marRight w:val="0"/>
                  <w:marTop w:val="0"/>
                  <w:marBottom w:val="0"/>
                  <w:divBdr>
                    <w:top w:val="none" w:sz="0" w:space="0" w:color="auto"/>
                    <w:left w:val="none" w:sz="0" w:space="0" w:color="auto"/>
                    <w:bottom w:val="none" w:sz="0" w:space="0" w:color="auto"/>
                    <w:right w:val="none" w:sz="0" w:space="0" w:color="auto"/>
                  </w:divBdr>
                  <w:divsChild>
                    <w:div w:id="2022967988">
                      <w:marLeft w:val="0"/>
                      <w:marRight w:val="0"/>
                      <w:marTop w:val="0"/>
                      <w:marBottom w:val="0"/>
                      <w:divBdr>
                        <w:top w:val="none" w:sz="0" w:space="0" w:color="auto"/>
                        <w:left w:val="none" w:sz="0" w:space="0" w:color="auto"/>
                        <w:bottom w:val="none" w:sz="0" w:space="0" w:color="auto"/>
                        <w:right w:val="none" w:sz="0" w:space="0" w:color="auto"/>
                      </w:divBdr>
                    </w:div>
                  </w:divsChild>
                </w:div>
                <w:div w:id="696930311">
                  <w:marLeft w:val="0"/>
                  <w:marRight w:val="0"/>
                  <w:marTop w:val="0"/>
                  <w:marBottom w:val="0"/>
                  <w:divBdr>
                    <w:top w:val="none" w:sz="0" w:space="0" w:color="auto"/>
                    <w:left w:val="none" w:sz="0" w:space="0" w:color="auto"/>
                    <w:bottom w:val="none" w:sz="0" w:space="0" w:color="auto"/>
                    <w:right w:val="none" w:sz="0" w:space="0" w:color="auto"/>
                  </w:divBdr>
                  <w:divsChild>
                    <w:div w:id="1005864225">
                      <w:marLeft w:val="0"/>
                      <w:marRight w:val="0"/>
                      <w:marTop w:val="0"/>
                      <w:marBottom w:val="0"/>
                      <w:divBdr>
                        <w:top w:val="none" w:sz="0" w:space="0" w:color="auto"/>
                        <w:left w:val="none" w:sz="0" w:space="0" w:color="auto"/>
                        <w:bottom w:val="none" w:sz="0" w:space="0" w:color="auto"/>
                        <w:right w:val="none" w:sz="0" w:space="0" w:color="auto"/>
                      </w:divBdr>
                    </w:div>
                  </w:divsChild>
                </w:div>
                <w:div w:id="701200896">
                  <w:marLeft w:val="0"/>
                  <w:marRight w:val="0"/>
                  <w:marTop w:val="0"/>
                  <w:marBottom w:val="0"/>
                  <w:divBdr>
                    <w:top w:val="none" w:sz="0" w:space="0" w:color="auto"/>
                    <w:left w:val="none" w:sz="0" w:space="0" w:color="auto"/>
                    <w:bottom w:val="none" w:sz="0" w:space="0" w:color="auto"/>
                    <w:right w:val="none" w:sz="0" w:space="0" w:color="auto"/>
                  </w:divBdr>
                  <w:divsChild>
                    <w:div w:id="1214345145">
                      <w:marLeft w:val="0"/>
                      <w:marRight w:val="0"/>
                      <w:marTop w:val="0"/>
                      <w:marBottom w:val="0"/>
                      <w:divBdr>
                        <w:top w:val="none" w:sz="0" w:space="0" w:color="auto"/>
                        <w:left w:val="none" w:sz="0" w:space="0" w:color="auto"/>
                        <w:bottom w:val="none" w:sz="0" w:space="0" w:color="auto"/>
                        <w:right w:val="none" w:sz="0" w:space="0" w:color="auto"/>
                      </w:divBdr>
                    </w:div>
                  </w:divsChild>
                </w:div>
                <w:div w:id="725569903">
                  <w:marLeft w:val="0"/>
                  <w:marRight w:val="0"/>
                  <w:marTop w:val="0"/>
                  <w:marBottom w:val="0"/>
                  <w:divBdr>
                    <w:top w:val="none" w:sz="0" w:space="0" w:color="auto"/>
                    <w:left w:val="none" w:sz="0" w:space="0" w:color="auto"/>
                    <w:bottom w:val="none" w:sz="0" w:space="0" w:color="auto"/>
                    <w:right w:val="none" w:sz="0" w:space="0" w:color="auto"/>
                  </w:divBdr>
                  <w:divsChild>
                    <w:div w:id="844629380">
                      <w:marLeft w:val="0"/>
                      <w:marRight w:val="0"/>
                      <w:marTop w:val="0"/>
                      <w:marBottom w:val="0"/>
                      <w:divBdr>
                        <w:top w:val="none" w:sz="0" w:space="0" w:color="auto"/>
                        <w:left w:val="none" w:sz="0" w:space="0" w:color="auto"/>
                        <w:bottom w:val="none" w:sz="0" w:space="0" w:color="auto"/>
                        <w:right w:val="none" w:sz="0" w:space="0" w:color="auto"/>
                      </w:divBdr>
                    </w:div>
                  </w:divsChild>
                </w:div>
                <w:div w:id="732700232">
                  <w:marLeft w:val="0"/>
                  <w:marRight w:val="0"/>
                  <w:marTop w:val="0"/>
                  <w:marBottom w:val="0"/>
                  <w:divBdr>
                    <w:top w:val="none" w:sz="0" w:space="0" w:color="auto"/>
                    <w:left w:val="none" w:sz="0" w:space="0" w:color="auto"/>
                    <w:bottom w:val="none" w:sz="0" w:space="0" w:color="auto"/>
                    <w:right w:val="none" w:sz="0" w:space="0" w:color="auto"/>
                  </w:divBdr>
                  <w:divsChild>
                    <w:div w:id="558782248">
                      <w:marLeft w:val="0"/>
                      <w:marRight w:val="0"/>
                      <w:marTop w:val="0"/>
                      <w:marBottom w:val="0"/>
                      <w:divBdr>
                        <w:top w:val="none" w:sz="0" w:space="0" w:color="auto"/>
                        <w:left w:val="none" w:sz="0" w:space="0" w:color="auto"/>
                        <w:bottom w:val="none" w:sz="0" w:space="0" w:color="auto"/>
                        <w:right w:val="none" w:sz="0" w:space="0" w:color="auto"/>
                      </w:divBdr>
                    </w:div>
                  </w:divsChild>
                </w:div>
                <w:div w:id="752311563">
                  <w:marLeft w:val="0"/>
                  <w:marRight w:val="0"/>
                  <w:marTop w:val="0"/>
                  <w:marBottom w:val="0"/>
                  <w:divBdr>
                    <w:top w:val="none" w:sz="0" w:space="0" w:color="auto"/>
                    <w:left w:val="none" w:sz="0" w:space="0" w:color="auto"/>
                    <w:bottom w:val="none" w:sz="0" w:space="0" w:color="auto"/>
                    <w:right w:val="none" w:sz="0" w:space="0" w:color="auto"/>
                  </w:divBdr>
                  <w:divsChild>
                    <w:div w:id="1249772352">
                      <w:marLeft w:val="0"/>
                      <w:marRight w:val="0"/>
                      <w:marTop w:val="0"/>
                      <w:marBottom w:val="0"/>
                      <w:divBdr>
                        <w:top w:val="none" w:sz="0" w:space="0" w:color="auto"/>
                        <w:left w:val="none" w:sz="0" w:space="0" w:color="auto"/>
                        <w:bottom w:val="none" w:sz="0" w:space="0" w:color="auto"/>
                        <w:right w:val="none" w:sz="0" w:space="0" w:color="auto"/>
                      </w:divBdr>
                    </w:div>
                  </w:divsChild>
                </w:div>
                <w:div w:id="766317174">
                  <w:marLeft w:val="0"/>
                  <w:marRight w:val="0"/>
                  <w:marTop w:val="0"/>
                  <w:marBottom w:val="0"/>
                  <w:divBdr>
                    <w:top w:val="none" w:sz="0" w:space="0" w:color="auto"/>
                    <w:left w:val="none" w:sz="0" w:space="0" w:color="auto"/>
                    <w:bottom w:val="none" w:sz="0" w:space="0" w:color="auto"/>
                    <w:right w:val="none" w:sz="0" w:space="0" w:color="auto"/>
                  </w:divBdr>
                  <w:divsChild>
                    <w:div w:id="62682692">
                      <w:marLeft w:val="0"/>
                      <w:marRight w:val="0"/>
                      <w:marTop w:val="0"/>
                      <w:marBottom w:val="0"/>
                      <w:divBdr>
                        <w:top w:val="none" w:sz="0" w:space="0" w:color="auto"/>
                        <w:left w:val="none" w:sz="0" w:space="0" w:color="auto"/>
                        <w:bottom w:val="none" w:sz="0" w:space="0" w:color="auto"/>
                        <w:right w:val="none" w:sz="0" w:space="0" w:color="auto"/>
                      </w:divBdr>
                    </w:div>
                  </w:divsChild>
                </w:div>
                <w:div w:id="768282540">
                  <w:marLeft w:val="0"/>
                  <w:marRight w:val="0"/>
                  <w:marTop w:val="0"/>
                  <w:marBottom w:val="0"/>
                  <w:divBdr>
                    <w:top w:val="none" w:sz="0" w:space="0" w:color="auto"/>
                    <w:left w:val="none" w:sz="0" w:space="0" w:color="auto"/>
                    <w:bottom w:val="none" w:sz="0" w:space="0" w:color="auto"/>
                    <w:right w:val="none" w:sz="0" w:space="0" w:color="auto"/>
                  </w:divBdr>
                  <w:divsChild>
                    <w:div w:id="1243446318">
                      <w:marLeft w:val="0"/>
                      <w:marRight w:val="0"/>
                      <w:marTop w:val="0"/>
                      <w:marBottom w:val="0"/>
                      <w:divBdr>
                        <w:top w:val="none" w:sz="0" w:space="0" w:color="auto"/>
                        <w:left w:val="none" w:sz="0" w:space="0" w:color="auto"/>
                        <w:bottom w:val="none" w:sz="0" w:space="0" w:color="auto"/>
                        <w:right w:val="none" w:sz="0" w:space="0" w:color="auto"/>
                      </w:divBdr>
                    </w:div>
                  </w:divsChild>
                </w:div>
                <w:div w:id="772868100">
                  <w:marLeft w:val="0"/>
                  <w:marRight w:val="0"/>
                  <w:marTop w:val="0"/>
                  <w:marBottom w:val="0"/>
                  <w:divBdr>
                    <w:top w:val="none" w:sz="0" w:space="0" w:color="auto"/>
                    <w:left w:val="none" w:sz="0" w:space="0" w:color="auto"/>
                    <w:bottom w:val="none" w:sz="0" w:space="0" w:color="auto"/>
                    <w:right w:val="none" w:sz="0" w:space="0" w:color="auto"/>
                  </w:divBdr>
                  <w:divsChild>
                    <w:div w:id="28381823">
                      <w:marLeft w:val="0"/>
                      <w:marRight w:val="0"/>
                      <w:marTop w:val="0"/>
                      <w:marBottom w:val="0"/>
                      <w:divBdr>
                        <w:top w:val="none" w:sz="0" w:space="0" w:color="auto"/>
                        <w:left w:val="none" w:sz="0" w:space="0" w:color="auto"/>
                        <w:bottom w:val="none" w:sz="0" w:space="0" w:color="auto"/>
                        <w:right w:val="none" w:sz="0" w:space="0" w:color="auto"/>
                      </w:divBdr>
                    </w:div>
                  </w:divsChild>
                </w:div>
                <w:div w:id="773938635">
                  <w:marLeft w:val="0"/>
                  <w:marRight w:val="0"/>
                  <w:marTop w:val="0"/>
                  <w:marBottom w:val="0"/>
                  <w:divBdr>
                    <w:top w:val="none" w:sz="0" w:space="0" w:color="auto"/>
                    <w:left w:val="none" w:sz="0" w:space="0" w:color="auto"/>
                    <w:bottom w:val="none" w:sz="0" w:space="0" w:color="auto"/>
                    <w:right w:val="none" w:sz="0" w:space="0" w:color="auto"/>
                  </w:divBdr>
                  <w:divsChild>
                    <w:div w:id="1192961291">
                      <w:marLeft w:val="0"/>
                      <w:marRight w:val="0"/>
                      <w:marTop w:val="0"/>
                      <w:marBottom w:val="0"/>
                      <w:divBdr>
                        <w:top w:val="none" w:sz="0" w:space="0" w:color="auto"/>
                        <w:left w:val="none" w:sz="0" w:space="0" w:color="auto"/>
                        <w:bottom w:val="none" w:sz="0" w:space="0" w:color="auto"/>
                        <w:right w:val="none" w:sz="0" w:space="0" w:color="auto"/>
                      </w:divBdr>
                    </w:div>
                  </w:divsChild>
                </w:div>
                <w:div w:id="785201709">
                  <w:marLeft w:val="0"/>
                  <w:marRight w:val="0"/>
                  <w:marTop w:val="0"/>
                  <w:marBottom w:val="0"/>
                  <w:divBdr>
                    <w:top w:val="none" w:sz="0" w:space="0" w:color="auto"/>
                    <w:left w:val="none" w:sz="0" w:space="0" w:color="auto"/>
                    <w:bottom w:val="none" w:sz="0" w:space="0" w:color="auto"/>
                    <w:right w:val="none" w:sz="0" w:space="0" w:color="auto"/>
                  </w:divBdr>
                  <w:divsChild>
                    <w:div w:id="1236671391">
                      <w:marLeft w:val="0"/>
                      <w:marRight w:val="0"/>
                      <w:marTop w:val="0"/>
                      <w:marBottom w:val="0"/>
                      <w:divBdr>
                        <w:top w:val="none" w:sz="0" w:space="0" w:color="auto"/>
                        <w:left w:val="none" w:sz="0" w:space="0" w:color="auto"/>
                        <w:bottom w:val="none" w:sz="0" w:space="0" w:color="auto"/>
                        <w:right w:val="none" w:sz="0" w:space="0" w:color="auto"/>
                      </w:divBdr>
                    </w:div>
                  </w:divsChild>
                </w:div>
                <w:div w:id="798962437">
                  <w:marLeft w:val="0"/>
                  <w:marRight w:val="0"/>
                  <w:marTop w:val="0"/>
                  <w:marBottom w:val="0"/>
                  <w:divBdr>
                    <w:top w:val="none" w:sz="0" w:space="0" w:color="auto"/>
                    <w:left w:val="none" w:sz="0" w:space="0" w:color="auto"/>
                    <w:bottom w:val="none" w:sz="0" w:space="0" w:color="auto"/>
                    <w:right w:val="none" w:sz="0" w:space="0" w:color="auto"/>
                  </w:divBdr>
                  <w:divsChild>
                    <w:div w:id="1650330673">
                      <w:marLeft w:val="0"/>
                      <w:marRight w:val="0"/>
                      <w:marTop w:val="0"/>
                      <w:marBottom w:val="0"/>
                      <w:divBdr>
                        <w:top w:val="none" w:sz="0" w:space="0" w:color="auto"/>
                        <w:left w:val="none" w:sz="0" w:space="0" w:color="auto"/>
                        <w:bottom w:val="none" w:sz="0" w:space="0" w:color="auto"/>
                        <w:right w:val="none" w:sz="0" w:space="0" w:color="auto"/>
                      </w:divBdr>
                    </w:div>
                  </w:divsChild>
                </w:div>
                <w:div w:id="840387338">
                  <w:marLeft w:val="0"/>
                  <w:marRight w:val="0"/>
                  <w:marTop w:val="0"/>
                  <w:marBottom w:val="0"/>
                  <w:divBdr>
                    <w:top w:val="none" w:sz="0" w:space="0" w:color="auto"/>
                    <w:left w:val="none" w:sz="0" w:space="0" w:color="auto"/>
                    <w:bottom w:val="none" w:sz="0" w:space="0" w:color="auto"/>
                    <w:right w:val="none" w:sz="0" w:space="0" w:color="auto"/>
                  </w:divBdr>
                  <w:divsChild>
                    <w:div w:id="1270429718">
                      <w:marLeft w:val="0"/>
                      <w:marRight w:val="0"/>
                      <w:marTop w:val="0"/>
                      <w:marBottom w:val="0"/>
                      <w:divBdr>
                        <w:top w:val="none" w:sz="0" w:space="0" w:color="auto"/>
                        <w:left w:val="none" w:sz="0" w:space="0" w:color="auto"/>
                        <w:bottom w:val="none" w:sz="0" w:space="0" w:color="auto"/>
                        <w:right w:val="none" w:sz="0" w:space="0" w:color="auto"/>
                      </w:divBdr>
                    </w:div>
                  </w:divsChild>
                </w:div>
                <w:div w:id="843398128">
                  <w:marLeft w:val="0"/>
                  <w:marRight w:val="0"/>
                  <w:marTop w:val="0"/>
                  <w:marBottom w:val="0"/>
                  <w:divBdr>
                    <w:top w:val="none" w:sz="0" w:space="0" w:color="auto"/>
                    <w:left w:val="none" w:sz="0" w:space="0" w:color="auto"/>
                    <w:bottom w:val="none" w:sz="0" w:space="0" w:color="auto"/>
                    <w:right w:val="none" w:sz="0" w:space="0" w:color="auto"/>
                  </w:divBdr>
                  <w:divsChild>
                    <w:div w:id="1896623972">
                      <w:marLeft w:val="0"/>
                      <w:marRight w:val="0"/>
                      <w:marTop w:val="0"/>
                      <w:marBottom w:val="0"/>
                      <w:divBdr>
                        <w:top w:val="none" w:sz="0" w:space="0" w:color="auto"/>
                        <w:left w:val="none" w:sz="0" w:space="0" w:color="auto"/>
                        <w:bottom w:val="none" w:sz="0" w:space="0" w:color="auto"/>
                        <w:right w:val="none" w:sz="0" w:space="0" w:color="auto"/>
                      </w:divBdr>
                    </w:div>
                  </w:divsChild>
                </w:div>
                <w:div w:id="846016866">
                  <w:marLeft w:val="0"/>
                  <w:marRight w:val="0"/>
                  <w:marTop w:val="0"/>
                  <w:marBottom w:val="0"/>
                  <w:divBdr>
                    <w:top w:val="none" w:sz="0" w:space="0" w:color="auto"/>
                    <w:left w:val="none" w:sz="0" w:space="0" w:color="auto"/>
                    <w:bottom w:val="none" w:sz="0" w:space="0" w:color="auto"/>
                    <w:right w:val="none" w:sz="0" w:space="0" w:color="auto"/>
                  </w:divBdr>
                  <w:divsChild>
                    <w:div w:id="1392267481">
                      <w:marLeft w:val="0"/>
                      <w:marRight w:val="0"/>
                      <w:marTop w:val="0"/>
                      <w:marBottom w:val="0"/>
                      <w:divBdr>
                        <w:top w:val="none" w:sz="0" w:space="0" w:color="auto"/>
                        <w:left w:val="none" w:sz="0" w:space="0" w:color="auto"/>
                        <w:bottom w:val="none" w:sz="0" w:space="0" w:color="auto"/>
                        <w:right w:val="none" w:sz="0" w:space="0" w:color="auto"/>
                      </w:divBdr>
                    </w:div>
                  </w:divsChild>
                </w:div>
                <w:div w:id="850333766">
                  <w:marLeft w:val="0"/>
                  <w:marRight w:val="0"/>
                  <w:marTop w:val="0"/>
                  <w:marBottom w:val="0"/>
                  <w:divBdr>
                    <w:top w:val="none" w:sz="0" w:space="0" w:color="auto"/>
                    <w:left w:val="none" w:sz="0" w:space="0" w:color="auto"/>
                    <w:bottom w:val="none" w:sz="0" w:space="0" w:color="auto"/>
                    <w:right w:val="none" w:sz="0" w:space="0" w:color="auto"/>
                  </w:divBdr>
                  <w:divsChild>
                    <w:div w:id="635181549">
                      <w:marLeft w:val="0"/>
                      <w:marRight w:val="0"/>
                      <w:marTop w:val="0"/>
                      <w:marBottom w:val="0"/>
                      <w:divBdr>
                        <w:top w:val="none" w:sz="0" w:space="0" w:color="auto"/>
                        <w:left w:val="none" w:sz="0" w:space="0" w:color="auto"/>
                        <w:bottom w:val="none" w:sz="0" w:space="0" w:color="auto"/>
                        <w:right w:val="none" w:sz="0" w:space="0" w:color="auto"/>
                      </w:divBdr>
                    </w:div>
                  </w:divsChild>
                </w:div>
                <w:div w:id="856117785">
                  <w:marLeft w:val="0"/>
                  <w:marRight w:val="0"/>
                  <w:marTop w:val="0"/>
                  <w:marBottom w:val="0"/>
                  <w:divBdr>
                    <w:top w:val="none" w:sz="0" w:space="0" w:color="auto"/>
                    <w:left w:val="none" w:sz="0" w:space="0" w:color="auto"/>
                    <w:bottom w:val="none" w:sz="0" w:space="0" w:color="auto"/>
                    <w:right w:val="none" w:sz="0" w:space="0" w:color="auto"/>
                  </w:divBdr>
                  <w:divsChild>
                    <w:div w:id="1765150579">
                      <w:marLeft w:val="0"/>
                      <w:marRight w:val="0"/>
                      <w:marTop w:val="0"/>
                      <w:marBottom w:val="0"/>
                      <w:divBdr>
                        <w:top w:val="none" w:sz="0" w:space="0" w:color="auto"/>
                        <w:left w:val="none" w:sz="0" w:space="0" w:color="auto"/>
                        <w:bottom w:val="none" w:sz="0" w:space="0" w:color="auto"/>
                        <w:right w:val="none" w:sz="0" w:space="0" w:color="auto"/>
                      </w:divBdr>
                    </w:div>
                  </w:divsChild>
                </w:div>
                <w:div w:id="869029865">
                  <w:marLeft w:val="0"/>
                  <w:marRight w:val="0"/>
                  <w:marTop w:val="0"/>
                  <w:marBottom w:val="0"/>
                  <w:divBdr>
                    <w:top w:val="none" w:sz="0" w:space="0" w:color="auto"/>
                    <w:left w:val="none" w:sz="0" w:space="0" w:color="auto"/>
                    <w:bottom w:val="none" w:sz="0" w:space="0" w:color="auto"/>
                    <w:right w:val="none" w:sz="0" w:space="0" w:color="auto"/>
                  </w:divBdr>
                  <w:divsChild>
                    <w:div w:id="912006207">
                      <w:marLeft w:val="0"/>
                      <w:marRight w:val="0"/>
                      <w:marTop w:val="0"/>
                      <w:marBottom w:val="0"/>
                      <w:divBdr>
                        <w:top w:val="none" w:sz="0" w:space="0" w:color="auto"/>
                        <w:left w:val="none" w:sz="0" w:space="0" w:color="auto"/>
                        <w:bottom w:val="none" w:sz="0" w:space="0" w:color="auto"/>
                        <w:right w:val="none" w:sz="0" w:space="0" w:color="auto"/>
                      </w:divBdr>
                    </w:div>
                  </w:divsChild>
                </w:div>
                <w:div w:id="880442123">
                  <w:marLeft w:val="0"/>
                  <w:marRight w:val="0"/>
                  <w:marTop w:val="0"/>
                  <w:marBottom w:val="0"/>
                  <w:divBdr>
                    <w:top w:val="none" w:sz="0" w:space="0" w:color="auto"/>
                    <w:left w:val="none" w:sz="0" w:space="0" w:color="auto"/>
                    <w:bottom w:val="none" w:sz="0" w:space="0" w:color="auto"/>
                    <w:right w:val="none" w:sz="0" w:space="0" w:color="auto"/>
                  </w:divBdr>
                  <w:divsChild>
                    <w:div w:id="1780484962">
                      <w:marLeft w:val="0"/>
                      <w:marRight w:val="0"/>
                      <w:marTop w:val="0"/>
                      <w:marBottom w:val="0"/>
                      <w:divBdr>
                        <w:top w:val="none" w:sz="0" w:space="0" w:color="auto"/>
                        <w:left w:val="none" w:sz="0" w:space="0" w:color="auto"/>
                        <w:bottom w:val="none" w:sz="0" w:space="0" w:color="auto"/>
                        <w:right w:val="none" w:sz="0" w:space="0" w:color="auto"/>
                      </w:divBdr>
                    </w:div>
                  </w:divsChild>
                </w:div>
                <w:div w:id="893198055">
                  <w:marLeft w:val="0"/>
                  <w:marRight w:val="0"/>
                  <w:marTop w:val="0"/>
                  <w:marBottom w:val="0"/>
                  <w:divBdr>
                    <w:top w:val="none" w:sz="0" w:space="0" w:color="auto"/>
                    <w:left w:val="none" w:sz="0" w:space="0" w:color="auto"/>
                    <w:bottom w:val="none" w:sz="0" w:space="0" w:color="auto"/>
                    <w:right w:val="none" w:sz="0" w:space="0" w:color="auto"/>
                  </w:divBdr>
                  <w:divsChild>
                    <w:div w:id="1474912528">
                      <w:marLeft w:val="0"/>
                      <w:marRight w:val="0"/>
                      <w:marTop w:val="0"/>
                      <w:marBottom w:val="0"/>
                      <w:divBdr>
                        <w:top w:val="none" w:sz="0" w:space="0" w:color="auto"/>
                        <w:left w:val="none" w:sz="0" w:space="0" w:color="auto"/>
                        <w:bottom w:val="none" w:sz="0" w:space="0" w:color="auto"/>
                        <w:right w:val="none" w:sz="0" w:space="0" w:color="auto"/>
                      </w:divBdr>
                    </w:div>
                  </w:divsChild>
                </w:div>
                <w:div w:id="897938395">
                  <w:marLeft w:val="0"/>
                  <w:marRight w:val="0"/>
                  <w:marTop w:val="0"/>
                  <w:marBottom w:val="0"/>
                  <w:divBdr>
                    <w:top w:val="none" w:sz="0" w:space="0" w:color="auto"/>
                    <w:left w:val="none" w:sz="0" w:space="0" w:color="auto"/>
                    <w:bottom w:val="none" w:sz="0" w:space="0" w:color="auto"/>
                    <w:right w:val="none" w:sz="0" w:space="0" w:color="auto"/>
                  </w:divBdr>
                  <w:divsChild>
                    <w:div w:id="1963421622">
                      <w:marLeft w:val="0"/>
                      <w:marRight w:val="0"/>
                      <w:marTop w:val="0"/>
                      <w:marBottom w:val="0"/>
                      <w:divBdr>
                        <w:top w:val="none" w:sz="0" w:space="0" w:color="auto"/>
                        <w:left w:val="none" w:sz="0" w:space="0" w:color="auto"/>
                        <w:bottom w:val="none" w:sz="0" w:space="0" w:color="auto"/>
                        <w:right w:val="none" w:sz="0" w:space="0" w:color="auto"/>
                      </w:divBdr>
                    </w:div>
                  </w:divsChild>
                </w:div>
                <w:div w:id="900479274">
                  <w:marLeft w:val="0"/>
                  <w:marRight w:val="0"/>
                  <w:marTop w:val="0"/>
                  <w:marBottom w:val="0"/>
                  <w:divBdr>
                    <w:top w:val="none" w:sz="0" w:space="0" w:color="auto"/>
                    <w:left w:val="none" w:sz="0" w:space="0" w:color="auto"/>
                    <w:bottom w:val="none" w:sz="0" w:space="0" w:color="auto"/>
                    <w:right w:val="none" w:sz="0" w:space="0" w:color="auto"/>
                  </w:divBdr>
                  <w:divsChild>
                    <w:div w:id="1032800613">
                      <w:marLeft w:val="0"/>
                      <w:marRight w:val="0"/>
                      <w:marTop w:val="0"/>
                      <w:marBottom w:val="0"/>
                      <w:divBdr>
                        <w:top w:val="none" w:sz="0" w:space="0" w:color="auto"/>
                        <w:left w:val="none" w:sz="0" w:space="0" w:color="auto"/>
                        <w:bottom w:val="none" w:sz="0" w:space="0" w:color="auto"/>
                        <w:right w:val="none" w:sz="0" w:space="0" w:color="auto"/>
                      </w:divBdr>
                    </w:div>
                  </w:divsChild>
                </w:div>
                <w:div w:id="903182931">
                  <w:marLeft w:val="0"/>
                  <w:marRight w:val="0"/>
                  <w:marTop w:val="0"/>
                  <w:marBottom w:val="0"/>
                  <w:divBdr>
                    <w:top w:val="none" w:sz="0" w:space="0" w:color="auto"/>
                    <w:left w:val="none" w:sz="0" w:space="0" w:color="auto"/>
                    <w:bottom w:val="none" w:sz="0" w:space="0" w:color="auto"/>
                    <w:right w:val="none" w:sz="0" w:space="0" w:color="auto"/>
                  </w:divBdr>
                  <w:divsChild>
                    <w:div w:id="903877371">
                      <w:marLeft w:val="0"/>
                      <w:marRight w:val="0"/>
                      <w:marTop w:val="0"/>
                      <w:marBottom w:val="0"/>
                      <w:divBdr>
                        <w:top w:val="none" w:sz="0" w:space="0" w:color="auto"/>
                        <w:left w:val="none" w:sz="0" w:space="0" w:color="auto"/>
                        <w:bottom w:val="none" w:sz="0" w:space="0" w:color="auto"/>
                        <w:right w:val="none" w:sz="0" w:space="0" w:color="auto"/>
                      </w:divBdr>
                    </w:div>
                  </w:divsChild>
                </w:div>
                <w:div w:id="931621748">
                  <w:marLeft w:val="0"/>
                  <w:marRight w:val="0"/>
                  <w:marTop w:val="0"/>
                  <w:marBottom w:val="0"/>
                  <w:divBdr>
                    <w:top w:val="none" w:sz="0" w:space="0" w:color="auto"/>
                    <w:left w:val="none" w:sz="0" w:space="0" w:color="auto"/>
                    <w:bottom w:val="none" w:sz="0" w:space="0" w:color="auto"/>
                    <w:right w:val="none" w:sz="0" w:space="0" w:color="auto"/>
                  </w:divBdr>
                  <w:divsChild>
                    <w:div w:id="2110343998">
                      <w:marLeft w:val="0"/>
                      <w:marRight w:val="0"/>
                      <w:marTop w:val="0"/>
                      <w:marBottom w:val="0"/>
                      <w:divBdr>
                        <w:top w:val="none" w:sz="0" w:space="0" w:color="auto"/>
                        <w:left w:val="none" w:sz="0" w:space="0" w:color="auto"/>
                        <w:bottom w:val="none" w:sz="0" w:space="0" w:color="auto"/>
                        <w:right w:val="none" w:sz="0" w:space="0" w:color="auto"/>
                      </w:divBdr>
                    </w:div>
                  </w:divsChild>
                </w:div>
                <w:div w:id="935021795">
                  <w:marLeft w:val="0"/>
                  <w:marRight w:val="0"/>
                  <w:marTop w:val="0"/>
                  <w:marBottom w:val="0"/>
                  <w:divBdr>
                    <w:top w:val="none" w:sz="0" w:space="0" w:color="auto"/>
                    <w:left w:val="none" w:sz="0" w:space="0" w:color="auto"/>
                    <w:bottom w:val="none" w:sz="0" w:space="0" w:color="auto"/>
                    <w:right w:val="none" w:sz="0" w:space="0" w:color="auto"/>
                  </w:divBdr>
                  <w:divsChild>
                    <w:div w:id="533615763">
                      <w:marLeft w:val="0"/>
                      <w:marRight w:val="0"/>
                      <w:marTop w:val="0"/>
                      <w:marBottom w:val="0"/>
                      <w:divBdr>
                        <w:top w:val="none" w:sz="0" w:space="0" w:color="auto"/>
                        <w:left w:val="none" w:sz="0" w:space="0" w:color="auto"/>
                        <w:bottom w:val="none" w:sz="0" w:space="0" w:color="auto"/>
                        <w:right w:val="none" w:sz="0" w:space="0" w:color="auto"/>
                      </w:divBdr>
                    </w:div>
                  </w:divsChild>
                </w:div>
                <w:div w:id="950940184">
                  <w:marLeft w:val="0"/>
                  <w:marRight w:val="0"/>
                  <w:marTop w:val="0"/>
                  <w:marBottom w:val="0"/>
                  <w:divBdr>
                    <w:top w:val="none" w:sz="0" w:space="0" w:color="auto"/>
                    <w:left w:val="none" w:sz="0" w:space="0" w:color="auto"/>
                    <w:bottom w:val="none" w:sz="0" w:space="0" w:color="auto"/>
                    <w:right w:val="none" w:sz="0" w:space="0" w:color="auto"/>
                  </w:divBdr>
                  <w:divsChild>
                    <w:div w:id="690841041">
                      <w:marLeft w:val="0"/>
                      <w:marRight w:val="0"/>
                      <w:marTop w:val="0"/>
                      <w:marBottom w:val="0"/>
                      <w:divBdr>
                        <w:top w:val="none" w:sz="0" w:space="0" w:color="auto"/>
                        <w:left w:val="none" w:sz="0" w:space="0" w:color="auto"/>
                        <w:bottom w:val="none" w:sz="0" w:space="0" w:color="auto"/>
                        <w:right w:val="none" w:sz="0" w:space="0" w:color="auto"/>
                      </w:divBdr>
                    </w:div>
                  </w:divsChild>
                </w:div>
                <w:div w:id="952975195">
                  <w:marLeft w:val="0"/>
                  <w:marRight w:val="0"/>
                  <w:marTop w:val="0"/>
                  <w:marBottom w:val="0"/>
                  <w:divBdr>
                    <w:top w:val="none" w:sz="0" w:space="0" w:color="auto"/>
                    <w:left w:val="none" w:sz="0" w:space="0" w:color="auto"/>
                    <w:bottom w:val="none" w:sz="0" w:space="0" w:color="auto"/>
                    <w:right w:val="none" w:sz="0" w:space="0" w:color="auto"/>
                  </w:divBdr>
                  <w:divsChild>
                    <w:div w:id="1415586930">
                      <w:marLeft w:val="0"/>
                      <w:marRight w:val="0"/>
                      <w:marTop w:val="0"/>
                      <w:marBottom w:val="0"/>
                      <w:divBdr>
                        <w:top w:val="none" w:sz="0" w:space="0" w:color="auto"/>
                        <w:left w:val="none" w:sz="0" w:space="0" w:color="auto"/>
                        <w:bottom w:val="none" w:sz="0" w:space="0" w:color="auto"/>
                        <w:right w:val="none" w:sz="0" w:space="0" w:color="auto"/>
                      </w:divBdr>
                    </w:div>
                  </w:divsChild>
                </w:div>
                <w:div w:id="988631443">
                  <w:marLeft w:val="0"/>
                  <w:marRight w:val="0"/>
                  <w:marTop w:val="0"/>
                  <w:marBottom w:val="0"/>
                  <w:divBdr>
                    <w:top w:val="none" w:sz="0" w:space="0" w:color="auto"/>
                    <w:left w:val="none" w:sz="0" w:space="0" w:color="auto"/>
                    <w:bottom w:val="none" w:sz="0" w:space="0" w:color="auto"/>
                    <w:right w:val="none" w:sz="0" w:space="0" w:color="auto"/>
                  </w:divBdr>
                  <w:divsChild>
                    <w:div w:id="580334123">
                      <w:marLeft w:val="0"/>
                      <w:marRight w:val="0"/>
                      <w:marTop w:val="0"/>
                      <w:marBottom w:val="0"/>
                      <w:divBdr>
                        <w:top w:val="none" w:sz="0" w:space="0" w:color="auto"/>
                        <w:left w:val="none" w:sz="0" w:space="0" w:color="auto"/>
                        <w:bottom w:val="none" w:sz="0" w:space="0" w:color="auto"/>
                        <w:right w:val="none" w:sz="0" w:space="0" w:color="auto"/>
                      </w:divBdr>
                    </w:div>
                  </w:divsChild>
                </w:div>
                <w:div w:id="994795888">
                  <w:marLeft w:val="0"/>
                  <w:marRight w:val="0"/>
                  <w:marTop w:val="0"/>
                  <w:marBottom w:val="0"/>
                  <w:divBdr>
                    <w:top w:val="none" w:sz="0" w:space="0" w:color="auto"/>
                    <w:left w:val="none" w:sz="0" w:space="0" w:color="auto"/>
                    <w:bottom w:val="none" w:sz="0" w:space="0" w:color="auto"/>
                    <w:right w:val="none" w:sz="0" w:space="0" w:color="auto"/>
                  </w:divBdr>
                  <w:divsChild>
                    <w:div w:id="265160145">
                      <w:marLeft w:val="0"/>
                      <w:marRight w:val="0"/>
                      <w:marTop w:val="0"/>
                      <w:marBottom w:val="0"/>
                      <w:divBdr>
                        <w:top w:val="none" w:sz="0" w:space="0" w:color="auto"/>
                        <w:left w:val="none" w:sz="0" w:space="0" w:color="auto"/>
                        <w:bottom w:val="none" w:sz="0" w:space="0" w:color="auto"/>
                        <w:right w:val="none" w:sz="0" w:space="0" w:color="auto"/>
                      </w:divBdr>
                    </w:div>
                  </w:divsChild>
                </w:div>
                <w:div w:id="1015765965">
                  <w:marLeft w:val="0"/>
                  <w:marRight w:val="0"/>
                  <w:marTop w:val="0"/>
                  <w:marBottom w:val="0"/>
                  <w:divBdr>
                    <w:top w:val="none" w:sz="0" w:space="0" w:color="auto"/>
                    <w:left w:val="none" w:sz="0" w:space="0" w:color="auto"/>
                    <w:bottom w:val="none" w:sz="0" w:space="0" w:color="auto"/>
                    <w:right w:val="none" w:sz="0" w:space="0" w:color="auto"/>
                  </w:divBdr>
                  <w:divsChild>
                    <w:div w:id="365645934">
                      <w:marLeft w:val="0"/>
                      <w:marRight w:val="0"/>
                      <w:marTop w:val="0"/>
                      <w:marBottom w:val="0"/>
                      <w:divBdr>
                        <w:top w:val="none" w:sz="0" w:space="0" w:color="auto"/>
                        <w:left w:val="none" w:sz="0" w:space="0" w:color="auto"/>
                        <w:bottom w:val="none" w:sz="0" w:space="0" w:color="auto"/>
                        <w:right w:val="none" w:sz="0" w:space="0" w:color="auto"/>
                      </w:divBdr>
                    </w:div>
                  </w:divsChild>
                </w:div>
                <w:div w:id="1070080412">
                  <w:marLeft w:val="0"/>
                  <w:marRight w:val="0"/>
                  <w:marTop w:val="0"/>
                  <w:marBottom w:val="0"/>
                  <w:divBdr>
                    <w:top w:val="none" w:sz="0" w:space="0" w:color="auto"/>
                    <w:left w:val="none" w:sz="0" w:space="0" w:color="auto"/>
                    <w:bottom w:val="none" w:sz="0" w:space="0" w:color="auto"/>
                    <w:right w:val="none" w:sz="0" w:space="0" w:color="auto"/>
                  </w:divBdr>
                  <w:divsChild>
                    <w:div w:id="1726683193">
                      <w:marLeft w:val="0"/>
                      <w:marRight w:val="0"/>
                      <w:marTop w:val="0"/>
                      <w:marBottom w:val="0"/>
                      <w:divBdr>
                        <w:top w:val="none" w:sz="0" w:space="0" w:color="auto"/>
                        <w:left w:val="none" w:sz="0" w:space="0" w:color="auto"/>
                        <w:bottom w:val="none" w:sz="0" w:space="0" w:color="auto"/>
                        <w:right w:val="none" w:sz="0" w:space="0" w:color="auto"/>
                      </w:divBdr>
                    </w:div>
                  </w:divsChild>
                </w:div>
                <w:div w:id="1087727001">
                  <w:marLeft w:val="0"/>
                  <w:marRight w:val="0"/>
                  <w:marTop w:val="0"/>
                  <w:marBottom w:val="0"/>
                  <w:divBdr>
                    <w:top w:val="none" w:sz="0" w:space="0" w:color="auto"/>
                    <w:left w:val="none" w:sz="0" w:space="0" w:color="auto"/>
                    <w:bottom w:val="none" w:sz="0" w:space="0" w:color="auto"/>
                    <w:right w:val="none" w:sz="0" w:space="0" w:color="auto"/>
                  </w:divBdr>
                  <w:divsChild>
                    <w:div w:id="1182746570">
                      <w:marLeft w:val="0"/>
                      <w:marRight w:val="0"/>
                      <w:marTop w:val="0"/>
                      <w:marBottom w:val="0"/>
                      <w:divBdr>
                        <w:top w:val="none" w:sz="0" w:space="0" w:color="auto"/>
                        <w:left w:val="none" w:sz="0" w:space="0" w:color="auto"/>
                        <w:bottom w:val="none" w:sz="0" w:space="0" w:color="auto"/>
                        <w:right w:val="none" w:sz="0" w:space="0" w:color="auto"/>
                      </w:divBdr>
                    </w:div>
                  </w:divsChild>
                </w:div>
                <w:div w:id="1117336347">
                  <w:marLeft w:val="0"/>
                  <w:marRight w:val="0"/>
                  <w:marTop w:val="0"/>
                  <w:marBottom w:val="0"/>
                  <w:divBdr>
                    <w:top w:val="none" w:sz="0" w:space="0" w:color="auto"/>
                    <w:left w:val="none" w:sz="0" w:space="0" w:color="auto"/>
                    <w:bottom w:val="none" w:sz="0" w:space="0" w:color="auto"/>
                    <w:right w:val="none" w:sz="0" w:space="0" w:color="auto"/>
                  </w:divBdr>
                  <w:divsChild>
                    <w:div w:id="1587378116">
                      <w:marLeft w:val="0"/>
                      <w:marRight w:val="0"/>
                      <w:marTop w:val="0"/>
                      <w:marBottom w:val="0"/>
                      <w:divBdr>
                        <w:top w:val="none" w:sz="0" w:space="0" w:color="auto"/>
                        <w:left w:val="none" w:sz="0" w:space="0" w:color="auto"/>
                        <w:bottom w:val="none" w:sz="0" w:space="0" w:color="auto"/>
                        <w:right w:val="none" w:sz="0" w:space="0" w:color="auto"/>
                      </w:divBdr>
                    </w:div>
                  </w:divsChild>
                </w:div>
                <w:div w:id="1118833447">
                  <w:marLeft w:val="0"/>
                  <w:marRight w:val="0"/>
                  <w:marTop w:val="0"/>
                  <w:marBottom w:val="0"/>
                  <w:divBdr>
                    <w:top w:val="none" w:sz="0" w:space="0" w:color="auto"/>
                    <w:left w:val="none" w:sz="0" w:space="0" w:color="auto"/>
                    <w:bottom w:val="none" w:sz="0" w:space="0" w:color="auto"/>
                    <w:right w:val="none" w:sz="0" w:space="0" w:color="auto"/>
                  </w:divBdr>
                  <w:divsChild>
                    <w:div w:id="645203820">
                      <w:marLeft w:val="0"/>
                      <w:marRight w:val="0"/>
                      <w:marTop w:val="0"/>
                      <w:marBottom w:val="0"/>
                      <w:divBdr>
                        <w:top w:val="none" w:sz="0" w:space="0" w:color="auto"/>
                        <w:left w:val="none" w:sz="0" w:space="0" w:color="auto"/>
                        <w:bottom w:val="none" w:sz="0" w:space="0" w:color="auto"/>
                        <w:right w:val="none" w:sz="0" w:space="0" w:color="auto"/>
                      </w:divBdr>
                    </w:div>
                  </w:divsChild>
                </w:div>
                <w:div w:id="1121849083">
                  <w:marLeft w:val="0"/>
                  <w:marRight w:val="0"/>
                  <w:marTop w:val="0"/>
                  <w:marBottom w:val="0"/>
                  <w:divBdr>
                    <w:top w:val="none" w:sz="0" w:space="0" w:color="auto"/>
                    <w:left w:val="none" w:sz="0" w:space="0" w:color="auto"/>
                    <w:bottom w:val="none" w:sz="0" w:space="0" w:color="auto"/>
                    <w:right w:val="none" w:sz="0" w:space="0" w:color="auto"/>
                  </w:divBdr>
                  <w:divsChild>
                    <w:div w:id="427701180">
                      <w:marLeft w:val="0"/>
                      <w:marRight w:val="0"/>
                      <w:marTop w:val="0"/>
                      <w:marBottom w:val="0"/>
                      <w:divBdr>
                        <w:top w:val="none" w:sz="0" w:space="0" w:color="auto"/>
                        <w:left w:val="none" w:sz="0" w:space="0" w:color="auto"/>
                        <w:bottom w:val="none" w:sz="0" w:space="0" w:color="auto"/>
                        <w:right w:val="none" w:sz="0" w:space="0" w:color="auto"/>
                      </w:divBdr>
                    </w:div>
                  </w:divsChild>
                </w:div>
                <w:div w:id="1124467002">
                  <w:marLeft w:val="0"/>
                  <w:marRight w:val="0"/>
                  <w:marTop w:val="0"/>
                  <w:marBottom w:val="0"/>
                  <w:divBdr>
                    <w:top w:val="none" w:sz="0" w:space="0" w:color="auto"/>
                    <w:left w:val="none" w:sz="0" w:space="0" w:color="auto"/>
                    <w:bottom w:val="none" w:sz="0" w:space="0" w:color="auto"/>
                    <w:right w:val="none" w:sz="0" w:space="0" w:color="auto"/>
                  </w:divBdr>
                  <w:divsChild>
                    <w:div w:id="2143037761">
                      <w:marLeft w:val="0"/>
                      <w:marRight w:val="0"/>
                      <w:marTop w:val="0"/>
                      <w:marBottom w:val="0"/>
                      <w:divBdr>
                        <w:top w:val="none" w:sz="0" w:space="0" w:color="auto"/>
                        <w:left w:val="none" w:sz="0" w:space="0" w:color="auto"/>
                        <w:bottom w:val="none" w:sz="0" w:space="0" w:color="auto"/>
                        <w:right w:val="none" w:sz="0" w:space="0" w:color="auto"/>
                      </w:divBdr>
                    </w:div>
                  </w:divsChild>
                </w:div>
                <w:div w:id="1127162907">
                  <w:marLeft w:val="0"/>
                  <w:marRight w:val="0"/>
                  <w:marTop w:val="0"/>
                  <w:marBottom w:val="0"/>
                  <w:divBdr>
                    <w:top w:val="none" w:sz="0" w:space="0" w:color="auto"/>
                    <w:left w:val="none" w:sz="0" w:space="0" w:color="auto"/>
                    <w:bottom w:val="none" w:sz="0" w:space="0" w:color="auto"/>
                    <w:right w:val="none" w:sz="0" w:space="0" w:color="auto"/>
                  </w:divBdr>
                  <w:divsChild>
                    <w:div w:id="349525383">
                      <w:marLeft w:val="0"/>
                      <w:marRight w:val="0"/>
                      <w:marTop w:val="0"/>
                      <w:marBottom w:val="0"/>
                      <w:divBdr>
                        <w:top w:val="none" w:sz="0" w:space="0" w:color="auto"/>
                        <w:left w:val="none" w:sz="0" w:space="0" w:color="auto"/>
                        <w:bottom w:val="none" w:sz="0" w:space="0" w:color="auto"/>
                        <w:right w:val="none" w:sz="0" w:space="0" w:color="auto"/>
                      </w:divBdr>
                    </w:div>
                  </w:divsChild>
                </w:div>
                <w:div w:id="1141461589">
                  <w:marLeft w:val="0"/>
                  <w:marRight w:val="0"/>
                  <w:marTop w:val="0"/>
                  <w:marBottom w:val="0"/>
                  <w:divBdr>
                    <w:top w:val="none" w:sz="0" w:space="0" w:color="auto"/>
                    <w:left w:val="none" w:sz="0" w:space="0" w:color="auto"/>
                    <w:bottom w:val="none" w:sz="0" w:space="0" w:color="auto"/>
                    <w:right w:val="none" w:sz="0" w:space="0" w:color="auto"/>
                  </w:divBdr>
                  <w:divsChild>
                    <w:div w:id="1011296854">
                      <w:marLeft w:val="0"/>
                      <w:marRight w:val="0"/>
                      <w:marTop w:val="0"/>
                      <w:marBottom w:val="0"/>
                      <w:divBdr>
                        <w:top w:val="none" w:sz="0" w:space="0" w:color="auto"/>
                        <w:left w:val="none" w:sz="0" w:space="0" w:color="auto"/>
                        <w:bottom w:val="none" w:sz="0" w:space="0" w:color="auto"/>
                        <w:right w:val="none" w:sz="0" w:space="0" w:color="auto"/>
                      </w:divBdr>
                    </w:div>
                  </w:divsChild>
                </w:div>
                <w:div w:id="1142694392">
                  <w:marLeft w:val="0"/>
                  <w:marRight w:val="0"/>
                  <w:marTop w:val="0"/>
                  <w:marBottom w:val="0"/>
                  <w:divBdr>
                    <w:top w:val="none" w:sz="0" w:space="0" w:color="auto"/>
                    <w:left w:val="none" w:sz="0" w:space="0" w:color="auto"/>
                    <w:bottom w:val="none" w:sz="0" w:space="0" w:color="auto"/>
                    <w:right w:val="none" w:sz="0" w:space="0" w:color="auto"/>
                  </w:divBdr>
                  <w:divsChild>
                    <w:div w:id="351734773">
                      <w:marLeft w:val="0"/>
                      <w:marRight w:val="0"/>
                      <w:marTop w:val="0"/>
                      <w:marBottom w:val="0"/>
                      <w:divBdr>
                        <w:top w:val="none" w:sz="0" w:space="0" w:color="auto"/>
                        <w:left w:val="none" w:sz="0" w:space="0" w:color="auto"/>
                        <w:bottom w:val="none" w:sz="0" w:space="0" w:color="auto"/>
                        <w:right w:val="none" w:sz="0" w:space="0" w:color="auto"/>
                      </w:divBdr>
                    </w:div>
                  </w:divsChild>
                </w:div>
                <w:div w:id="1147893700">
                  <w:marLeft w:val="0"/>
                  <w:marRight w:val="0"/>
                  <w:marTop w:val="0"/>
                  <w:marBottom w:val="0"/>
                  <w:divBdr>
                    <w:top w:val="none" w:sz="0" w:space="0" w:color="auto"/>
                    <w:left w:val="none" w:sz="0" w:space="0" w:color="auto"/>
                    <w:bottom w:val="none" w:sz="0" w:space="0" w:color="auto"/>
                    <w:right w:val="none" w:sz="0" w:space="0" w:color="auto"/>
                  </w:divBdr>
                  <w:divsChild>
                    <w:div w:id="1965498806">
                      <w:marLeft w:val="0"/>
                      <w:marRight w:val="0"/>
                      <w:marTop w:val="0"/>
                      <w:marBottom w:val="0"/>
                      <w:divBdr>
                        <w:top w:val="none" w:sz="0" w:space="0" w:color="auto"/>
                        <w:left w:val="none" w:sz="0" w:space="0" w:color="auto"/>
                        <w:bottom w:val="none" w:sz="0" w:space="0" w:color="auto"/>
                        <w:right w:val="none" w:sz="0" w:space="0" w:color="auto"/>
                      </w:divBdr>
                    </w:div>
                  </w:divsChild>
                </w:div>
                <w:div w:id="1167673834">
                  <w:marLeft w:val="0"/>
                  <w:marRight w:val="0"/>
                  <w:marTop w:val="0"/>
                  <w:marBottom w:val="0"/>
                  <w:divBdr>
                    <w:top w:val="none" w:sz="0" w:space="0" w:color="auto"/>
                    <w:left w:val="none" w:sz="0" w:space="0" w:color="auto"/>
                    <w:bottom w:val="none" w:sz="0" w:space="0" w:color="auto"/>
                    <w:right w:val="none" w:sz="0" w:space="0" w:color="auto"/>
                  </w:divBdr>
                  <w:divsChild>
                    <w:div w:id="353460686">
                      <w:marLeft w:val="0"/>
                      <w:marRight w:val="0"/>
                      <w:marTop w:val="0"/>
                      <w:marBottom w:val="0"/>
                      <w:divBdr>
                        <w:top w:val="none" w:sz="0" w:space="0" w:color="auto"/>
                        <w:left w:val="none" w:sz="0" w:space="0" w:color="auto"/>
                        <w:bottom w:val="none" w:sz="0" w:space="0" w:color="auto"/>
                        <w:right w:val="none" w:sz="0" w:space="0" w:color="auto"/>
                      </w:divBdr>
                    </w:div>
                  </w:divsChild>
                </w:div>
                <w:div w:id="1170566137">
                  <w:marLeft w:val="0"/>
                  <w:marRight w:val="0"/>
                  <w:marTop w:val="0"/>
                  <w:marBottom w:val="0"/>
                  <w:divBdr>
                    <w:top w:val="none" w:sz="0" w:space="0" w:color="auto"/>
                    <w:left w:val="none" w:sz="0" w:space="0" w:color="auto"/>
                    <w:bottom w:val="none" w:sz="0" w:space="0" w:color="auto"/>
                    <w:right w:val="none" w:sz="0" w:space="0" w:color="auto"/>
                  </w:divBdr>
                  <w:divsChild>
                    <w:div w:id="190997686">
                      <w:marLeft w:val="0"/>
                      <w:marRight w:val="0"/>
                      <w:marTop w:val="0"/>
                      <w:marBottom w:val="0"/>
                      <w:divBdr>
                        <w:top w:val="none" w:sz="0" w:space="0" w:color="auto"/>
                        <w:left w:val="none" w:sz="0" w:space="0" w:color="auto"/>
                        <w:bottom w:val="none" w:sz="0" w:space="0" w:color="auto"/>
                        <w:right w:val="none" w:sz="0" w:space="0" w:color="auto"/>
                      </w:divBdr>
                    </w:div>
                  </w:divsChild>
                </w:div>
                <w:div w:id="1177813742">
                  <w:marLeft w:val="0"/>
                  <w:marRight w:val="0"/>
                  <w:marTop w:val="0"/>
                  <w:marBottom w:val="0"/>
                  <w:divBdr>
                    <w:top w:val="none" w:sz="0" w:space="0" w:color="auto"/>
                    <w:left w:val="none" w:sz="0" w:space="0" w:color="auto"/>
                    <w:bottom w:val="none" w:sz="0" w:space="0" w:color="auto"/>
                    <w:right w:val="none" w:sz="0" w:space="0" w:color="auto"/>
                  </w:divBdr>
                  <w:divsChild>
                    <w:div w:id="130635697">
                      <w:marLeft w:val="0"/>
                      <w:marRight w:val="0"/>
                      <w:marTop w:val="0"/>
                      <w:marBottom w:val="0"/>
                      <w:divBdr>
                        <w:top w:val="none" w:sz="0" w:space="0" w:color="auto"/>
                        <w:left w:val="none" w:sz="0" w:space="0" w:color="auto"/>
                        <w:bottom w:val="none" w:sz="0" w:space="0" w:color="auto"/>
                        <w:right w:val="none" w:sz="0" w:space="0" w:color="auto"/>
                      </w:divBdr>
                    </w:div>
                  </w:divsChild>
                </w:div>
                <w:div w:id="1184904334">
                  <w:marLeft w:val="0"/>
                  <w:marRight w:val="0"/>
                  <w:marTop w:val="0"/>
                  <w:marBottom w:val="0"/>
                  <w:divBdr>
                    <w:top w:val="none" w:sz="0" w:space="0" w:color="auto"/>
                    <w:left w:val="none" w:sz="0" w:space="0" w:color="auto"/>
                    <w:bottom w:val="none" w:sz="0" w:space="0" w:color="auto"/>
                    <w:right w:val="none" w:sz="0" w:space="0" w:color="auto"/>
                  </w:divBdr>
                  <w:divsChild>
                    <w:div w:id="1496261519">
                      <w:marLeft w:val="0"/>
                      <w:marRight w:val="0"/>
                      <w:marTop w:val="0"/>
                      <w:marBottom w:val="0"/>
                      <w:divBdr>
                        <w:top w:val="none" w:sz="0" w:space="0" w:color="auto"/>
                        <w:left w:val="none" w:sz="0" w:space="0" w:color="auto"/>
                        <w:bottom w:val="none" w:sz="0" w:space="0" w:color="auto"/>
                        <w:right w:val="none" w:sz="0" w:space="0" w:color="auto"/>
                      </w:divBdr>
                    </w:div>
                  </w:divsChild>
                </w:div>
                <w:div w:id="1188326247">
                  <w:marLeft w:val="0"/>
                  <w:marRight w:val="0"/>
                  <w:marTop w:val="0"/>
                  <w:marBottom w:val="0"/>
                  <w:divBdr>
                    <w:top w:val="none" w:sz="0" w:space="0" w:color="auto"/>
                    <w:left w:val="none" w:sz="0" w:space="0" w:color="auto"/>
                    <w:bottom w:val="none" w:sz="0" w:space="0" w:color="auto"/>
                    <w:right w:val="none" w:sz="0" w:space="0" w:color="auto"/>
                  </w:divBdr>
                  <w:divsChild>
                    <w:div w:id="1634214072">
                      <w:marLeft w:val="0"/>
                      <w:marRight w:val="0"/>
                      <w:marTop w:val="0"/>
                      <w:marBottom w:val="0"/>
                      <w:divBdr>
                        <w:top w:val="none" w:sz="0" w:space="0" w:color="auto"/>
                        <w:left w:val="none" w:sz="0" w:space="0" w:color="auto"/>
                        <w:bottom w:val="none" w:sz="0" w:space="0" w:color="auto"/>
                        <w:right w:val="none" w:sz="0" w:space="0" w:color="auto"/>
                      </w:divBdr>
                    </w:div>
                  </w:divsChild>
                </w:div>
                <w:div w:id="1190294478">
                  <w:marLeft w:val="0"/>
                  <w:marRight w:val="0"/>
                  <w:marTop w:val="0"/>
                  <w:marBottom w:val="0"/>
                  <w:divBdr>
                    <w:top w:val="none" w:sz="0" w:space="0" w:color="auto"/>
                    <w:left w:val="none" w:sz="0" w:space="0" w:color="auto"/>
                    <w:bottom w:val="none" w:sz="0" w:space="0" w:color="auto"/>
                    <w:right w:val="none" w:sz="0" w:space="0" w:color="auto"/>
                  </w:divBdr>
                  <w:divsChild>
                    <w:div w:id="849294315">
                      <w:marLeft w:val="0"/>
                      <w:marRight w:val="0"/>
                      <w:marTop w:val="0"/>
                      <w:marBottom w:val="0"/>
                      <w:divBdr>
                        <w:top w:val="none" w:sz="0" w:space="0" w:color="auto"/>
                        <w:left w:val="none" w:sz="0" w:space="0" w:color="auto"/>
                        <w:bottom w:val="none" w:sz="0" w:space="0" w:color="auto"/>
                        <w:right w:val="none" w:sz="0" w:space="0" w:color="auto"/>
                      </w:divBdr>
                    </w:div>
                  </w:divsChild>
                </w:div>
                <w:div w:id="1231185851">
                  <w:marLeft w:val="0"/>
                  <w:marRight w:val="0"/>
                  <w:marTop w:val="0"/>
                  <w:marBottom w:val="0"/>
                  <w:divBdr>
                    <w:top w:val="none" w:sz="0" w:space="0" w:color="auto"/>
                    <w:left w:val="none" w:sz="0" w:space="0" w:color="auto"/>
                    <w:bottom w:val="none" w:sz="0" w:space="0" w:color="auto"/>
                    <w:right w:val="none" w:sz="0" w:space="0" w:color="auto"/>
                  </w:divBdr>
                  <w:divsChild>
                    <w:div w:id="828131001">
                      <w:marLeft w:val="0"/>
                      <w:marRight w:val="0"/>
                      <w:marTop w:val="0"/>
                      <w:marBottom w:val="0"/>
                      <w:divBdr>
                        <w:top w:val="none" w:sz="0" w:space="0" w:color="auto"/>
                        <w:left w:val="none" w:sz="0" w:space="0" w:color="auto"/>
                        <w:bottom w:val="none" w:sz="0" w:space="0" w:color="auto"/>
                        <w:right w:val="none" w:sz="0" w:space="0" w:color="auto"/>
                      </w:divBdr>
                    </w:div>
                  </w:divsChild>
                </w:div>
                <w:div w:id="1237133320">
                  <w:marLeft w:val="0"/>
                  <w:marRight w:val="0"/>
                  <w:marTop w:val="0"/>
                  <w:marBottom w:val="0"/>
                  <w:divBdr>
                    <w:top w:val="none" w:sz="0" w:space="0" w:color="auto"/>
                    <w:left w:val="none" w:sz="0" w:space="0" w:color="auto"/>
                    <w:bottom w:val="none" w:sz="0" w:space="0" w:color="auto"/>
                    <w:right w:val="none" w:sz="0" w:space="0" w:color="auto"/>
                  </w:divBdr>
                  <w:divsChild>
                    <w:div w:id="64111719">
                      <w:marLeft w:val="0"/>
                      <w:marRight w:val="0"/>
                      <w:marTop w:val="0"/>
                      <w:marBottom w:val="0"/>
                      <w:divBdr>
                        <w:top w:val="none" w:sz="0" w:space="0" w:color="auto"/>
                        <w:left w:val="none" w:sz="0" w:space="0" w:color="auto"/>
                        <w:bottom w:val="none" w:sz="0" w:space="0" w:color="auto"/>
                        <w:right w:val="none" w:sz="0" w:space="0" w:color="auto"/>
                      </w:divBdr>
                    </w:div>
                  </w:divsChild>
                </w:div>
                <w:div w:id="1237518819">
                  <w:marLeft w:val="0"/>
                  <w:marRight w:val="0"/>
                  <w:marTop w:val="0"/>
                  <w:marBottom w:val="0"/>
                  <w:divBdr>
                    <w:top w:val="none" w:sz="0" w:space="0" w:color="auto"/>
                    <w:left w:val="none" w:sz="0" w:space="0" w:color="auto"/>
                    <w:bottom w:val="none" w:sz="0" w:space="0" w:color="auto"/>
                    <w:right w:val="none" w:sz="0" w:space="0" w:color="auto"/>
                  </w:divBdr>
                  <w:divsChild>
                    <w:div w:id="1738093106">
                      <w:marLeft w:val="0"/>
                      <w:marRight w:val="0"/>
                      <w:marTop w:val="0"/>
                      <w:marBottom w:val="0"/>
                      <w:divBdr>
                        <w:top w:val="none" w:sz="0" w:space="0" w:color="auto"/>
                        <w:left w:val="none" w:sz="0" w:space="0" w:color="auto"/>
                        <w:bottom w:val="none" w:sz="0" w:space="0" w:color="auto"/>
                        <w:right w:val="none" w:sz="0" w:space="0" w:color="auto"/>
                      </w:divBdr>
                    </w:div>
                  </w:divsChild>
                </w:div>
                <w:div w:id="1252666870">
                  <w:marLeft w:val="0"/>
                  <w:marRight w:val="0"/>
                  <w:marTop w:val="0"/>
                  <w:marBottom w:val="0"/>
                  <w:divBdr>
                    <w:top w:val="none" w:sz="0" w:space="0" w:color="auto"/>
                    <w:left w:val="none" w:sz="0" w:space="0" w:color="auto"/>
                    <w:bottom w:val="none" w:sz="0" w:space="0" w:color="auto"/>
                    <w:right w:val="none" w:sz="0" w:space="0" w:color="auto"/>
                  </w:divBdr>
                  <w:divsChild>
                    <w:div w:id="2088963869">
                      <w:marLeft w:val="0"/>
                      <w:marRight w:val="0"/>
                      <w:marTop w:val="0"/>
                      <w:marBottom w:val="0"/>
                      <w:divBdr>
                        <w:top w:val="none" w:sz="0" w:space="0" w:color="auto"/>
                        <w:left w:val="none" w:sz="0" w:space="0" w:color="auto"/>
                        <w:bottom w:val="none" w:sz="0" w:space="0" w:color="auto"/>
                        <w:right w:val="none" w:sz="0" w:space="0" w:color="auto"/>
                      </w:divBdr>
                    </w:div>
                  </w:divsChild>
                </w:div>
                <w:div w:id="1262301997">
                  <w:marLeft w:val="0"/>
                  <w:marRight w:val="0"/>
                  <w:marTop w:val="0"/>
                  <w:marBottom w:val="0"/>
                  <w:divBdr>
                    <w:top w:val="none" w:sz="0" w:space="0" w:color="auto"/>
                    <w:left w:val="none" w:sz="0" w:space="0" w:color="auto"/>
                    <w:bottom w:val="none" w:sz="0" w:space="0" w:color="auto"/>
                    <w:right w:val="none" w:sz="0" w:space="0" w:color="auto"/>
                  </w:divBdr>
                  <w:divsChild>
                    <w:div w:id="862598086">
                      <w:marLeft w:val="0"/>
                      <w:marRight w:val="0"/>
                      <w:marTop w:val="0"/>
                      <w:marBottom w:val="0"/>
                      <w:divBdr>
                        <w:top w:val="none" w:sz="0" w:space="0" w:color="auto"/>
                        <w:left w:val="none" w:sz="0" w:space="0" w:color="auto"/>
                        <w:bottom w:val="none" w:sz="0" w:space="0" w:color="auto"/>
                        <w:right w:val="none" w:sz="0" w:space="0" w:color="auto"/>
                      </w:divBdr>
                    </w:div>
                  </w:divsChild>
                </w:div>
                <w:div w:id="1274553633">
                  <w:marLeft w:val="0"/>
                  <w:marRight w:val="0"/>
                  <w:marTop w:val="0"/>
                  <w:marBottom w:val="0"/>
                  <w:divBdr>
                    <w:top w:val="none" w:sz="0" w:space="0" w:color="auto"/>
                    <w:left w:val="none" w:sz="0" w:space="0" w:color="auto"/>
                    <w:bottom w:val="none" w:sz="0" w:space="0" w:color="auto"/>
                    <w:right w:val="none" w:sz="0" w:space="0" w:color="auto"/>
                  </w:divBdr>
                  <w:divsChild>
                    <w:div w:id="1013531044">
                      <w:marLeft w:val="0"/>
                      <w:marRight w:val="0"/>
                      <w:marTop w:val="0"/>
                      <w:marBottom w:val="0"/>
                      <w:divBdr>
                        <w:top w:val="none" w:sz="0" w:space="0" w:color="auto"/>
                        <w:left w:val="none" w:sz="0" w:space="0" w:color="auto"/>
                        <w:bottom w:val="none" w:sz="0" w:space="0" w:color="auto"/>
                        <w:right w:val="none" w:sz="0" w:space="0" w:color="auto"/>
                      </w:divBdr>
                    </w:div>
                  </w:divsChild>
                </w:div>
                <w:div w:id="1285118593">
                  <w:marLeft w:val="0"/>
                  <w:marRight w:val="0"/>
                  <w:marTop w:val="0"/>
                  <w:marBottom w:val="0"/>
                  <w:divBdr>
                    <w:top w:val="none" w:sz="0" w:space="0" w:color="auto"/>
                    <w:left w:val="none" w:sz="0" w:space="0" w:color="auto"/>
                    <w:bottom w:val="none" w:sz="0" w:space="0" w:color="auto"/>
                    <w:right w:val="none" w:sz="0" w:space="0" w:color="auto"/>
                  </w:divBdr>
                  <w:divsChild>
                    <w:div w:id="1033193716">
                      <w:marLeft w:val="0"/>
                      <w:marRight w:val="0"/>
                      <w:marTop w:val="0"/>
                      <w:marBottom w:val="0"/>
                      <w:divBdr>
                        <w:top w:val="none" w:sz="0" w:space="0" w:color="auto"/>
                        <w:left w:val="none" w:sz="0" w:space="0" w:color="auto"/>
                        <w:bottom w:val="none" w:sz="0" w:space="0" w:color="auto"/>
                        <w:right w:val="none" w:sz="0" w:space="0" w:color="auto"/>
                      </w:divBdr>
                    </w:div>
                  </w:divsChild>
                </w:div>
                <w:div w:id="1292902528">
                  <w:marLeft w:val="0"/>
                  <w:marRight w:val="0"/>
                  <w:marTop w:val="0"/>
                  <w:marBottom w:val="0"/>
                  <w:divBdr>
                    <w:top w:val="none" w:sz="0" w:space="0" w:color="auto"/>
                    <w:left w:val="none" w:sz="0" w:space="0" w:color="auto"/>
                    <w:bottom w:val="none" w:sz="0" w:space="0" w:color="auto"/>
                    <w:right w:val="none" w:sz="0" w:space="0" w:color="auto"/>
                  </w:divBdr>
                  <w:divsChild>
                    <w:div w:id="714040419">
                      <w:marLeft w:val="0"/>
                      <w:marRight w:val="0"/>
                      <w:marTop w:val="0"/>
                      <w:marBottom w:val="0"/>
                      <w:divBdr>
                        <w:top w:val="none" w:sz="0" w:space="0" w:color="auto"/>
                        <w:left w:val="none" w:sz="0" w:space="0" w:color="auto"/>
                        <w:bottom w:val="none" w:sz="0" w:space="0" w:color="auto"/>
                        <w:right w:val="none" w:sz="0" w:space="0" w:color="auto"/>
                      </w:divBdr>
                    </w:div>
                  </w:divsChild>
                </w:div>
                <w:div w:id="1307854097">
                  <w:marLeft w:val="0"/>
                  <w:marRight w:val="0"/>
                  <w:marTop w:val="0"/>
                  <w:marBottom w:val="0"/>
                  <w:divBdr>
                    <w:top w:val="none" w:sz="0" w:space="0" w:color="auto"/>
                    <w:left w:val="none" w:sz="0" w:space="0" w:color="auto"/>
                    <w:bottom w:val="none" w:sz="0" w:space="0" w:color="auto"/>
                    <w:right w:val="none" w:sz="0" w:space="0" w:color="auto"/>
                  </w:divBdr>
                  <w:divsChild>
                    <w:div w:id="290409022">
                      <w:marLeft w:val="0"/>
                      <w:marRight w:val="0"/>
                      <w:marTop w:val="0"/>
                      <w:marBottom w:val="0"/>
                      <w:divBdr>
                        <w:top w:val="none" w:sz="0" w:space="0" w:color="auto"/>
                        <w:left w:val="none" w:sz="0" w:space="0" w:color="auto"/>
                        <w:bottom w:val="none" w:sz="0" w:space="0" w:color="auto"/>
                        <w:right w:val="none" w:sz="0" w:space="0" w:color="auto"/>
                      </w:divBdr>
                    </w:div>
                  </w:divsChild>
                </w:div>
                <w:div w:id="1312058729">
                  <w:marLeft w:val="0"/>
                  <w:marRight w:val="0"/>
                  <w:marTop w:val="0"/>
                  <w:marBottom w:val="0"/>
                  <w:divBdr>
                    <w:top w:val="none" w:sz="0" w:space="0" w:color="auto"/>
                    <w:left w:val="none" w:sz="0" w:space="0" w:color="auto"/>
                    <w:bottom w:val="none" w:sz="0" w:space="0" w:color="auto"/>
                    <w:right w:val="none" w:sz="0" w:space="0" w:color="auto"/>
                  </w:divBdr>
                  <w:divsChild>
                    <w:div w:id="1840536524">
                      <w:marLeft w:val="0"/>
                      <w:marRight w:val="0"/>
                      <w:marTop w:val="0"/>
                      <w:marBottom w:val="0"/>
                      <w:divBdr>
                        <w:top w:val="none" w:sz="0" w:space="0" w:color="auto"/>
                        <w:left w:val="none" w:sz="0" w:space="0" w:color="auto"/>
                        <w:bottom w:val="none" w:sz="0" w:space="0" w:color="auto"/>
                        <w:right w:val="none" w:sz="0" w:space="0" w:color="auto"/>
                      </w:divBdr>
                    </w:div>
                  </w:divsChild>
                </w:div>
                <w:div w:id="1318072430">
                  <w:marLeft w:val="0"/>
                  <w:marRight w:val="0"/>
                  <w:marTop w:val="0"/>
                  <w:marBottom w:val="0"/>
                  <w:divBdr>
                    <w:top w:val="none" w:sz="0" w:space="0" w:color="auto"/>
                    <w:left w:val="none" w:sz="0" w:space="0" w:color="auto"/>
                    <w:bottom w:val="none" w:sz="0" w:space="0" w:color="auto"/>
                    <w:right w:val="none" w:sz="0" w:space="0" w:color="auto"/>
                  </w:divBdr>
                  <w:divsChild>
                    <w:div w:id="663355914">
                      <w:marLeft w:val="0"/>
                      <w:marRight w:val="0"/>
                      <w:marTop w:val="0"/>
                      <w:marBottom w:val="0"/>
                      <w:divBdr>
                        <w:top w:val="none" w:sz="0" w:space="0" w:color="auto"/>
                        <w:left w:val="none" w:sz="0" w:space="0" w:color="auto"/>
                        <w:bottom w:val="none" w:sz="0" w:space="0" w:color="auto"/>
                        <w:right w:val="none" w:sz="0" w:space="0" w:color="auto"/>
                      </w:divBdr>
                    </w:div>
                  </w:divsChild>
                </w:div>
                <w:div w:id="1320235505">
                  <w:marLeft w:val="0"/>
                  <w:marRight w:val="0"/>
                  <w:marTop w:val="0"/>
                  <w:marBottom w:val="0"/>
                  <w:divBdr>
                    <w:top w:val="none" w:sz="0" w:space="0" w:color="auto"/>
                    <w:left w:val="none" w:sz="0" w:space="0" w:color="auto"/>
                    <w:bottom w:val="none" w:sz="0" w:space="0" w:color="auto"/>
                    <w:right w:val="none" w:sz="0" w:space="0" w:color="auto"/>
                  </w:divBdr>
                  <w:divsChild>
                    <w:div w:id="1852143446">
                      <w:marLeft w:val="0"/>
                      <w:marRight w:val="0"/>
                      <w:marTop w:val="0"/>
                      <w:marBottom w:val="0"/>
                      <w:divBdr>
                        <w:top w:val="none" w:sz="0" w:space="0" w:color="auto"/>
                        <w:left w:val="none" w:sz="0" w:space="0" w:color="auto"/>
                        <w:bottom w:val="none" w:sz="0" w:space="0" w:color="auto"/>
                        <w:right w:val="none" w:sz="0" w:space="0" w:color="auto"/>
                      </w:divBdr>
                    </w:div>
                  </w:divsChild>
                </w:div>
                <w:div w:id="1320815529">
                  <w:marLeft w:val="0"/>
                  <w:marRight w:val="0"/>
                  <w:marTop w:val="0"/>
                  <w:marBottom w:val="0"/>
                  <w:divBdr>
                    <w:top w:val="none" w:sz="0" w:space="0" w:color="auto"/>
                    <w:left w:val="none" w:sz="0" w:space="0" w:color="auto"/>
                    <w:bottom w:val="none" w:sz="0" w:space="0" w:color="auto"/>
                    <w:right w:val="none" w:sz="0" w:space="0" w:color="auto"/>
                  </w:divBdr>
                  <w:divsChild>
                    <w:div w:id="594635896">
                      <w:marLeft w:val="0"/>
                      <w:marRight w:val="0"/>
                      <w:marTop w:val="0"/>
                      <w:marBottom w:val="0"/>
                      <w:divBdr>
                        <w:top w:val="none" w:sz="0" w:space="0" w:color="auto"/>
                        <w:left w:val="none" w:sz="0" w:space="0" w:color="auto"/>
                        <w:bottom w:val="none" w:sz="0" w:space="0" w:color="auto"/>
                        <w:right w:val="none" w:sz="0" w:space="0" w:color="auto"/>
                      </w:divBdr>
                    </w:div>
                  </w:divsChild>
                </w:div>
                <w:div w:id="1325085960">
                  <w:marLeft w:val="0"/>
                  <w:marRight w:val="0"/>
                  <w:marTop w:val="0"/>
                  <w:marBottom w:val="0"/>
                  <w:divBdr>
                    <w:top w:val="none" w:sz="0" w:space="0" w:color="auto"/>
                    <w:left w:val="none" w:sz="0" w:space="0" w:color="auto"/>
                    <w:bottom w:val="none" w:sz="0" w:space="0" w:color="auto"/>
                    <w:right w:val="none" w:sz="0" w:space="0" w:color="auto"/>
                  </w:divBdr>
                  <w:divsChild>
                    <w:div w:id="872496214">
                      <w:marLeft w:val="0"/>
                      <w:marRight w:val="0"/>
                      <w:marTop w:val="0"/>
                      <w:marBottom w:val="0"/>
                      <w:divBdr>
                        <w:top w:val="none" w:sz="0" w:space="0" w:color="auto"/>
                        <w:left w:val="none" w:sz="0" w:space="0" w:color="auto"/>
                        <w:bottom w:val="none" w:sz="0" w:space="0" w:color="auto"/>
                        <w:right w:val="none" w:sz="0" w:space="0" w:color="auto"/>
                      </w:divBdr>
                    </w:div>
                  </w:divsChild>
                </w:div>
                <w:div w:id="1335914570">
                  <w:marLeft w:val="0"/>
                  <w:marRight w:val="0"/>
                  <w:marTop w:val="0"/>
                  <w:marBottom w:val="0"/>
                  <w:divBdr>
                    <w:top w:val="none" w:sz="0" w:space="0" w:color="auto"/>
                    <w:left w:val="none" w:sz="0" w:space="0" w:color="auto"/>
                    <w:bottom w:val="none" w:sz="0" w:space="0" w:color="auto"/>
                    <w:right w:val="none" w:sz="0" w:space="0" w:color="auto"/>
                  </w:divBdr>
                  <w:divsChild>
                    <w:div w:id="931013093">
                      <w:marLeft w:val="0"/>
                      <w:marRight w:val="0"/>
                      <w:marTop w:val="0"/>
                      <w:marBottom w:val="0"/>
                      <w:divBdr>
                        <w:top w:val="none" w:sz="0" w:space="0" w:color="auto"/>
                        <w:left w:val="none" w:sz="0" w:space="0" w:color="auto"/>
                        <w:bottom w:val="none" w:sz="0" w:space="0" w:color="auto"/>
                        <w:right w:val="none" w:sz="0" w:space="0" w:color="auto"/>
                      </w:divBdr>
                    </w:div>
                  </w:divsChild>
                </w:div>
                <w:div w:id="1347294551">
                  <w:marLeft w:val="0"/>
                  <w:marRight w:val="0"/>
                  <w:marTop w:val="0"/>
                  <w:marBottom w:val="0"/>
                  <w:divBdr>
                    <w:top w:val="none" w:sz="0" w:space="0" w:color="auto"/>
                    <w:left w:val="none" w:sz="0" w:space="0" w:color="auto"/>
                    <w:bottom w:val="none" w:sz="0" w:space="0" w:color="auto"/>
                    <w:right w:val="none" w:sz="0" w:space="0" w:color="auto"/>
                  </w:divBdr>
                  <w:divsChild>
                    <w:div w:id="663321517">
                      <w:marLeft w:val="0"/>
                      <w:marRight w:val="0"/>
                      <w:marTop w:val="0"/>
                      <w:marBottom w:val="0"/>
                      <w:divBdr>
                        <w:top w:val="none" w:sz="0" w:space="0" w:color="auto"/>
                        <w:left w:val="none" w:sz="0" w:space="0" w:color="auto"/>
                        <w:bottom w:val="none" w:sz="0" w:space="0" w:color="auto"/>
                        <w:right w:val="none" w:sz="0" w:space="0" w:color="auto"/>
                      </w:divBdr>
                    </w:div>
                  </w:divsChild>
                </w:div>
                <w:div w:id="1351685277">
                  <w:marLeft w:val="0"/>
                  <w:marRight w:val="0"/>
                  <w:marTop w:val="0"/>
                  <w:marBottom w:val="0"/>
                  <w:divBdr>
                    <w:top w:val="none" w:sz="0" w:space="0" w:color="auto"/>
                    <w:left w:val="none" w:sz="0" w:space="0" w:color="auto"/>
                    <w:bottom w:val="none" w:sz="0" w:space="0" w:color="auto"/>
                    <w:right w:val="none" w:sz="0" w:space="0" w:color="auto"/>
                  </w:divBdr>
                  <w:divsChild>
                    <w:div w:id="1975715882">
                      <w:marLeft w:val="0"/>
                      <w:marRight w:val="0"/>
                      <w:marTop w:val="0"/>
                      <w:marBottom w:val="0"/>
                      <w:divBdr>
                        <w:top w:val="none" w:sz="0" w:space="0" w:color="auto"/>
                        <w:left w:val="none" w:sz="0" w:space="0" w:color="auto"/>
                        <w:bottom w:val="none" w:sz="0" w:space="0" w:color="auto"/>
                        <w:right w:val="none" w:sz="0" w:space="0" w:color="auto"/>
                      </w:divBdr>
                    </w:div>
                  </w:divsChild>
                </w:div>
                <w:div w:id="1362701470">
                  <w:marLeft w:val="0"/>
                  <w:marRight w:val="0"/>
                  <w:marTop w:val="0"/>
                  <w:marBottom w:val="0"/>
                  <w:divBdr>
                    <w:top w:val="none" w:sz="0" w:space="0" w:color="auto"/>
                    <w:left w:val="none" w:sz="0" w:space="0" w:color="auto"/>
                    <w:bottom w:val="none" w:sz="0" w:space="0" w:color="auto"/>
                    <w:right w:val="none" w:sz="0" w:space="0" w:color="auto"/>
                  </w:divBdr>
                  <w:divsChild>
                    <w:div w:id="1552689931">
                      <w:marLeft w:val="0"/>
                      <w:marRight w:val="0"/>
                      <w:marTop w:val="0"/>
                      <w:marBottom w:val="0"/>
                      <w:divBdr>
                        <w:top w:val="none" w:sz="0" w:space="0" w:color="auto"/>
                        <w:left w:val="none" w:sz="0" w:space="0" w:color="auto"/>
                        <w:bottom w:val="none" w:sz="0" w:space="0" w:color="auto"/>
                        <w:right w:val="none" w:sz="0" w:space="0" w:color="auto"/>
                      </w:divBdr>
                    </w:div>
                  </w:divsChild>
                </w:div>
                <w:div w:id="1378049299">
                  <w:marLeft w:val="0"/>
                  <w:marRight w:val="0"/>
                  <w:marTop w:val="0"/>
                  <w:marBottom w:val="0"/>
                  <w:divBdr>
                    <w:top w:val="none" w:sz="0" w:space="0" w:color="auto"/>
                    <w:left w:val="none" w:sz="0" w:space="0" w:color="auto"/>
                    <w:bottom w:val="none" w:sz="0" w:space="0" w:color="auto"/>
                    <w:right w:val="none" w:sz="0" w:space="0" w:color="auto"/>
                  </w:divBdr>
                  <w:divsChild>
                    <w:div w:id="1172716106">
                      <w:marLeft w:val="0"/>
                      <w:marRight w:val="0"/>
                      <w:marTop w:val="0"/>
                      <w:marBottom w:val="0"/>
                      <w:divBdr>
                        <w:top w:val="none" w:sz="0" w:space="0" w:color="auto"/>
                        <w:left w:val="none" w:sz="0" w:space="0" w:color="auto"/>
                        <w:bottom w:val="none" w:sz="0" w:space="0" w:color="auto"/>
                        <w:right w:val="none" w:sz="0" w:space="0" w:color="auto"/>
                      </w:divBdr>
                    </w:div>
                  </w:divsChild>
                </w:div>
                <w:div w:id="1394545146">
                  <w:marLeft w:val="0"/>
                  <w:marRight w:val="0"/>
                  <w:marTop w:val="0"/>
                  <w:marBottom w:val="0"/>
                  <w:divBdr>
                    <w:top w:val="none" w:sz="0" w:space="0" w:color="auto"/>
                    <w:left w:val="none" w:sz="0" w:space="0" w:color="auto"/>
                    <w:bottom w:val="none" w:sz="0" w:space="0" w:color="auto"/>
                    <w:right w:val="none" w:sz="0" w:space="0" w:color="auto"/>
                  </w:divBdr>
                  <w:divsChild>
                    <w:div w:id="770931990">
                      <w:marLeft w:val="0"/>
                      <w:marRight w:val="0"/>
                      <w:marTop w:val="0"/>
                      <w:marBottom w:val="0"/>
                      <w:divBdr>
                        <w:top w:val="none" w:sz="0" w:space="0" w:color="auto"/>
                        <w:left w:val="none" w:sz="0" w:space="0" w:color="auto"/>
                        <w:bottom w:val="none" w:sz="0" w:space="0" w:color="auto"/>
                        <w:right w:val="none" w:sz="0" w:space="0" w:color="auto"/>
                      </w:divBdr>
                    </w:div>
                  </w:divsChild>
                </w:div>
                <w:div w:id="1398167296">
                  <w:marLeft w:val="0"/>
                  <w:marRight w:val="0"/>
                  <w:marTop w:val="0"/>
                  <w:marBottom w:val="0"/>
                  <w:divBdr>
                    <w:top w:val="none" w:sz="0" w:space="0" w:color="auto"/>
                    <w:left w:val="none" w:sz="0" w:space="0" w:color="auto"/>
                    <w:bottom w:val="none" w:sz="0" w:space="0" w:color="auto"/>
                    <w:right w:val="none" w:sz="0" w:space="0" w:color="auto"/>
                  </w:divBdr>
                  <w:divsChild>
                    <w:div w:id="2099518088">
                      <w:marLeft w:val="0"/>
                      <w:marRight w:val="0"/>
                      <w:marTop w:val="0"/>
                      <w:marBottom w:val="0"/>
                      <w:divBdr>
                        <w:top w:val="none" w:sz="0" w:space="0" w:color="auto"/>
                        <w:left w:val="none" w:sz="0" w:space="0" w:color="auto"/>
                        <w:bottom w:val="none" w:sz="0" w:space="0" w:color="auto"/>
                        <w:right w:val="none" w:sz="0" w:space="0" w:color="auto"/>
                      </w:divBdr>
                    </w:div>
                  </w:divsChild>
                </w:div>
                <w:div w:id="1403526745">
                  <w:marLeft w:val="0"/>
                  <w:marRight w:val="0"/>
                  <w:marTop w:val="0"/>
                  <w:marBottom w:val="0"/>
                  <w:divBdr>
                    <w:top w:val="none" w:sz="0" w:space="0" w:color="auto"/>
                    <w:left w:val="none" w:sz="0" w:space="0" w:color="auto"/>
                    <w:bottom w:val="none" w:sz="0" w:space="0" w:color="auto"/>
                    <w:right w:val="none" w:sz="0" w:space="0" w:color="auto"/>
                  </w:divBdr>
                  <w:divsChild>
                    <w:div w:id="461537111">
                      <w:marLeft w:val="0"/>
                      <w:marRight w:val="0"/>
                      <w:marTop w:val="0"/>
                      <w:marBottom w:val="0"/>
                      <w:divBdr>
                        <w:top w:val="none" w:sz="0" w:space="0" w:color="auto"/>
                        <w:left w:val="none" w:sz="0" w:space="0" w:color="auto"/>
                        <w:bottom w:val="none" w:sz="0" w:space="0" w:color="auto"/>
                        <w:right w:val="none" w:sz="0" w:space="0" w:color="auto"/>
                      </w:divBdr>
                    </w:div>
                  </w:divsChild>
                </w:div>
                <w:div w:id="1404452069">
                  <w:marLeft w:val="0"/>
                  <w:marRight w:val="0"/>
                  <w:marTop w:val="0"/>
                  <w:marBottom w:val="0"/>
                  <w:divBdr>
                    <w:top w:val="none" w:sz="0" w:space="0" w:color="auto"/>
                    <w:left w:val="none" w:sz="0" w:space="0" w:color="auto"/>
                    <w:bottom w:val="none" w:sz="0" w:space="0" w:color="auto"/>
                    <w:right w:val="none" w:sz="0" w:space="0" w:color="auto"/>
                  </w:divBdr>
                  <w:divsChild>
                    <w:div w:id="1886868932">
                      <w:marLeft w:val="0"/>
                      <w:marRight w:val="0"/>
                      <w:marTop w:val="0"/>
                      <w:marBottom w:val="0"/>
                      <w:divBdr>
                        <w:top w:val="none" w:sz="0" w:space="0" w:color="auto"/>
                        <w:left w:val="none" w:sz="0" w:space="0" w:color="auto"/>
                        <w:bottom w:val="none" w:sz="0" w:space="0" w:color="auto"/>
                        <w:right w:val="none" w:sz="0" w:space="0" w:color="auto"/>
                      </w:divBdr>
                    </w:div>
                  </w:divsChild>
                </w:div>
                <w:div w:id="1424839082">
                  <w:marLeft w:val="0"/>
                  <w:marRight w:val="0"/>
                  <w:marTop w:val="0"/>
                  <w:marBottom w:val="0"/>
                  <w:divBdr>
                    <w:top w:val="none" w:sz="0" w:space="0" w:color="auto"/>
                    <w:left w:val="none" w:sz="0" w:space="0" w:color="auto"/>
                    <w:bottom w:val="none" w:sz="0" w:space="0" w:color="auto"/>
                    <w:right w:val="none" w:sz="0" w:space="0" w:color="auto"/>
                  </w:divBdr>
                  <w:divsChild>
                    <w:div w:id="1556428979">
                      <w:marLeft w:val="0"/>
                      <w:marRight w:val="0"/>
                      <w:marTop w:val="0"/>
                      <w:marBottom w:val="0"/>
                      <w:divBdr>
                        <w:top w:val="none" w:sz="0" w:space="0" w:color="auto"/>
                        <w:left w:val="none" w:sz="0" w:space="0" w:color="auto"/>
                        <w:bottom w:val="none" w:sz="0" w:space="0" w:color="auto"/>
                        <w:right w:val="none" w:sz="0" w:space="0" w:color="auto"/>
                      </w:divBdr>
                    </w:div>
                  </w:divsChild>
                </w:div>
                <w:div w:id="1437092483">
                  <w:marLeft w:val="0"/>
                  <w:marRight w:val="0"/>
                  <w:marTop w:val="0"/>
                  <w:marBottom w:val="0"/>
                  <w:divBdr>
                    <w:top w:val="none" w:sz="0" w:space="0" w:color="auto"/>
                    <w:left w:val="none" w:sz="0" w:space="0" w:color="auto"/>
                    <w:bottom w:val="none" w:sz="0" w:space="0" w:color="auto"/>
                    <w:right w:val="none" w:sz="0" w:space="0" w:color="auto"/>
                  </w:divBdr>
                  <w:divsChild>
                    <w:div w:id="1964193491">
                      <w:marLeft w:val="0"/>
                      <w:marRight w:val="0"/>
                      <w:marTop w:val="0"/>
                      <w:marBottom w:val="0"/>
                      <w:divBdr>
                        <w:top w:val="none" w:sz="0" w:space="0" w:color="auto"/>
                        <w:left w:val="none" w:sz="0" w:space="0" w:color="auto"/>
                        <w:bottom w:val="none" w:sz="0" w:space="0" w:color="auto"/>
                        <w:right w:val="none" w:sz="0" w:space="0" w:color="auto"/>
                      </w:divBdr>
                    </w:div>
                  </w:divsChild>
                </w:div>
                <w:div w:id="1445540826">
                  <w:marLeft w:val="0"/>
                  <w:marRight w:val="0"/>
                  <w:marTop w:val="0"/>
                  <w:marBottom w:val="0"/>
                  <w:divBdr>
                    <w:top w:val="none" w:sz="0" w:space="0" w:color="auto"/>
                    <w:left w:val="none" w:sz="0" w:space="0" w:color="auto"/>
                    <w:bottom w:val="none" w:sz="0" w:space="0" w:color="auto"/>
                    <w:right w:val="none" w:sz="0" w:space="0" w:color="auto"/>
                  </w:divBdr>
                  <w:divsChild>
                    <w:div w:id="662124587">
                      <w:marLeft w:val="0"/>
                      <w:marRight w:val="0"/>
                      <w:marTop w:val="0"/>
                      <w:marBottom w:val="0"/>
                      <w:divBdr>
                        <w:top w:val="none" w:sz="0" w:space="0" w:color="auto"/>
                        <w:left w:val="none" w:sz="0" w:space="0" w:color="auto"/>
                        <w:bottom w:val="none" w:sz="0" w:space="0" w:color="auto"/>
                        <w:right w:val="none" w:sz="0" w:space="0" w:color="auto"/>
                      </w:divBdr>
                    </w:div>
                  </w:divsChild>
                </w:div>
                <w:div w:id="1448280537">
                  <w:marLeft w:val="0"/>
                  <w:marRight w:val="0"/>
                  <w:marTop w:val="0"/>
                  <w:marBottom w:val="0"/>
                  <w:divBdr>
                    <w:top w:val="none" w:sz="0" w:space="0" w:color="auto"/>
                    <w:left w:val="none" w:sz="0" w:space="0" w:color="auto"/>
                    <w:bottom w:val="none" w:sz="0" w:space="0" w:color="auto"/>
                    <w:right w:val="none" w:sz="0" w:space="0" w:color="auto"/>
                  </w:divBdr>
                  <w:divsChild>
                    <w:div w:id="498691519">
                      <w:marLeft w:val="0"/>
                      <w:marRight w:val="0"/>
                      <w:marTop w:val="0"/>
                      <w:marBottom w:val="0"/>
                      <w:divBdr>
                        <w:top w:val="none" w:sz="0" w:space="0" w:color="auto"/>
                        <w:left w:val="none" w:sz="0" w:space="0" w:color="auto"/>
                        <w:bottom w:val="none" w:sz="0" w:space="0" w:color="auto"/>
                        <w:right w:val="none" w:sz="0" w:space="0" w:color="auto"/>
                      </w:divBdr>
                    </w:div>
                  </w:divsChild>
                </w:div>
                <w:div w:id="1458915437">
                  <w:marLeft w:val="0"/>
                  <w:marRight w:val="0"/>
                  <w:marTop w:val="0"/>
                  <w:marBottom w:val="0"/>
                  <w:divBdr>
                    <w:top w:val="none" w:sz="0" w:space="0" w:color="auto"/>
                    <w:left w:val="none" w:sz="0" w:space="0" w:color="auto"/>
                    <w:bottom w:val="none" w:sz="0" w:space="0" w:color="auto"/>
                    <w:right w:val="none" w:sz="0" w:space="0" w:color="auto"/>
                  </w:divBdr>
                  <w:divsChild>
                    <w:div w:id="80879023">
                      <w:marLeft w:val="0"/>
                      <w:marRight w:val="0"/>
                      <w:marTop w:val="0"/>
                      <w:marBottom w:val="0"/>
                      <w:divBdr>
                        <w:top w:val="none" w:sz="0" w:space="0" w:color="auto"/>
                        <w:left w:val="none" w:sz="0" w:space="0" w:color="auto"/>
                        <w:bottom w:val="none" w:sz="0" w:space="0" w:color="auto"/>
                        <w:right w:val="none" w:sz="0" w:space="0" w:color="auto"/>
                      </w:divBdr>
                    </w:div>
                  </w:divsChild>
                </w:div>
                <w:div w:id="1472668950">
                  <w:marLeft w:val="0"/>
                  <w:marRight w:val="0"/>
                  <w:marTop w:val="0"/>
                  <w:marBottom w:val="0"/>
                  <w:divBdr>
                    <w:top w:val="none" w:sz="0" w:space="0" w:color="auto"/>
                    <w:left w:val="none" w:sz="0" w:space="0" w:color="auto"/>
                    <w:bottom w:val="none" w:sz="0" w:space="0" w:color="auto"/>
                    <w:right w:val="none" w:sz="0" w:space="0" w:color="auto"/>
                  </w:divBdr>
                  <w:divsChild>
                    <w:div w:id="274750266">
                      <w:marLeft w:val="0"/>
                      <w:marRight w:val="0"/>
                      <w:marTop w:val="0"/>
                      <w:marBottom w:val="0"/>
                      <w:divBdr>
                        <w:top w:val="none" w:sz="0" w:space="0" w:color="auto"/>
                        <w:left w:val="none" w:sz="0" w:space="0" w:color="auto"/>
                        <w:bottom w:val="none" w:sz="0" w:space="0" w:color="auto"/>
                        <w:right w:val="none" w:sz="0" w:space="0" w:color="auto"/>
                      </w:divBdr>
                    </w:div>
                  </w:divsChild>
                </w:div>
                <w:div w:id="1485196992">
                  <w:marLeft w:val="0"/>
                  <w:marRight w:val="0"/>
                  <w:marTop w:val="0"/>
                  <w:marBottom w:val="0"/>
                  <w:divBdr>
                    <w:top w:val="none" w:sz="0" w:space="0" w:color="auto"/>
                    <w:left w:val="none" w:sz="0" w:space="0" w:color="auto"/>
                    <w:bottom w:val="none" w:sz="0" w:space="0" w:color="auto"/>
                    <w:right w:val="none" w:sz="0" w:space="0" w:color="auto"/>
                  </w:divBdr>
                  <w:divsChild>
                    <w:div w:id="2132354456">
                      <w:marLeft w:val="0"/>
                      <w:marRight w:val="0"/>
                      <w:marTop w:val="0"/>
                      <w:marBottom w:val="0"/>
                      <w:divBdr>
                        <w:top w:val="none" w:sz="0" w:space="0" w:color="auto"/>
                        <w:left w:val="none" w:sz="0" w:space="0" w:color="auto"/>
                        <w:bottom w:val="none" w:sz="0" w:space="0" w:color="auto"/>
                        <w:right w:val="none" w:sz="0" w:space="0" w:color="auto"/>
                      </w:divBdr>
                    </w:div>
                  </w:divsChild>
                </w:div>
                <w:div w:id="1488088719">
                  <w:marLeft w:val="0"/>
                  <w:marRight w:val="0"/>
                  <w:marTop w:val="0"/>
                  <w:marBottom w:val="0"/>
                  <w:divBdr>
                    <w:top w:val="none" w:sz="0" w:space="0" w:color="auto"/>
                    <w:left w:val="none" w:sz="0" w:space="0" w:color="auto"/>
                    <w:bottom w:val="none" w:sz="0" w:space="0" w:color="auto"/>
                    <w:right w:val="none" w:sz="0" w:space="0" w:color="auto"/>
                  </w:divBdr>
                  <w:divsChild>
                    <w:div w:id="1687636806">
                      <w:marLeft w:val="0"/>
                      <w:marRight w:val="0"/>
                      <w:marTop w:val="0"/>
                      <w:marBottom w:val="0"/>
                      <w:divBdr>
                        <w:top w:val="none" w:sz="0" w:space="0" w:color="auto"/>
                        <w:left w:val="none" w:sz="0" w:space="0" w:color="auto"/>
                        <w:bottom w:val="none" w:sz="0" w:space="0" w:color="auto"/>
                        <w:right w:val="none" w:sz="0" w:space="0" w:color="auto"/>
                      </w:divBdr>
                    </w:div>
                  </w:divsChild>
                </w:div>
                <w:div w:id="1498691154">
                  <w:marLeft w:val="0"/>
                  <w:marRight w:val="0"/>
                  <w:marTop w:val="0"/>
                  <w:marBottom w:val="0"/>
                  <w:divBdr>
                    <w:top w:val="none" w:sz="0" w:space="0" w:color="auto"/>
                    <w:left w:val="none" w:sz="0" w:space="0" w:color="auto"/>
                    <w:bottom w:val="none" w:sz="0" w:space="0" w:color="auto"/>
                    <w:right w:val="none" w:sz="0" w:space="0" w:color="auto"/>
                  </w:divBdr>
                  <w:divsChild>
                    <w:div w:id="1234468044">
                      <w:marLeft w:val="0"/>
                      <w:marRight w:val="0"/>
                      <w:marTop w:val="0"/>
                      <w:marBottom w:val="0"/>
                      <w:divBdr>
                        <w:top w:val="none" w:sz="0" w:space="0" w:color="auto"/>
                        <w:left w:val="none" w:sz="0" w:space="0" w:color="auto"/>
                        <w:bottom w:val="none" w:sz="0" w:space="0" w:color="auto"/>
                        <w:right w:val="none" w:sz="0" w:space="0" w:color="auto"/>
                      </w:divBdr>
                    </w:div>
                  </w:divsChild>
                </w:div>
                <w:div w:id="1529367296">
                  <w:marLeft w:val="0"/>
                  <w:marRight w:val="0"/>
                  <w:marTop w:val="0"/>
                  <w:marBottom w:val="0"/>
                  <w:divBdr>
                    <w:top w:val="none" w:sz="0" w:space="0" w:color="auto"/>
                    <w:left w:val="none" w:sz="0" w:space="0" w:color="auto"/>
                    <w:bottom w:val="none" w:sz="0" w:space="0" w:color="auto"/>
                    <w:right w:val="none" w:sz="0" w:space="0" w:color="auto"/>
                  </w:divBdr>
                  <w:divsChild>
                    <w:div w:id="1008411209">
                      <w:marLeft w:val="0"/>
                      <w:marRight w:val="0"/>
                      <w:marTop w:val="0"/>
                      <w:marBottom w:val="0"/>
                      <w:divBdr>
                        <w:top w:val="none" w:sz="0" w:space="0" w:color="auto"/>
                        <w:left w:val="none" w:sz="0" w:space="0" w:color="auto"/>
                        <w:bottom w:val="none" w:sz="0" w:space="0" w:color="auto"/>
                        <w:right w:val="none" w:sz="0" w:space="0" w:color="auto"/>
                      </w:divBdr>
                    </w:div>
                  </w:divsChild>
                </w:div>
                <w:div w:id="1547640191">
                  <w:marLeft w:val="0"/>
                  <w:marRight w:val="0"/>
                  <w:marTop w:val="0"/>
                  <w:marBottom w:val="0"/>
                  <w:divBdr>
                    <w:top w:val="none" w:sz="0" w:space="0" w:color="auto"/>
                    <w:left w:val="none" w:sz="0" w:space="0" w:color="auto"/>
                    <w:bottom w:val="none" w:sz="0" w:space="0" w:color="auto"/>
                    <w:right w:val="none" w:sz="0" w:space="0" w:color="auto"/>
                  </w:divBdr>
                  <w:divsChild>
                    <w:div w:id="531457253">
                      <w:marLeft w:val="0"/>
                      <w:marRight w:val="0"/>
                      <w:marTop w:val="0"/>
                      <w:marBottom w:val="0"/>
                      <w:divBdr>
                        <w:top w:val="none" w:sz="0" w:space="0" w:color="auto"/>
                        <w:left w:val="none" w:sz="0" w:space="0" w:color="auto"/>
                        <w:bottom w:val="none" w:sz="0" w:space="0" w:color="auto"/>
                        <w:right w:val="none" w:sz="0" w:space="0" w:color="auto"/>
                      </w:divBdr>
                    </w:div>
                  </w:divsChild>
                </w:div>
                <w:div w:id="1606691024">
                  <w:marLeft w:val="0"/>
                  <w:marRight w:val="0"/>
                  <w:marTop w:val="0"/>
                  <w:marBottom w:val="0"/>
                  <w:divBdr>
                    <w:top w:val="none" w:sz="0" w:space="0" w:color="auto"/>
                    <w:left w:val="none" w:sz="0" w:space="0" w:color="auto"/>
                    <w:bottom w:val="none" w:sz="0" w:space="0" w:color="auto"/>
                    <w:right w:val="none" w:sz="0" w:space="0" w:color="auto"/>
                  </w:divBdr>
                  <w:divsChild>
                    <w:div w:id="1688435643">
                      <w:marLeft w:val="0"/>
                      <w:marRight w:val="0"/>
                      <w:marTop w:val="0"/>
                      <w:marBottom w:val="0"/>
                      <w:divBdr>
                        <w:top w:val="none" w:sz="0" w:space="0" w:color="auto"/>
                        <w:left w:val="none" w:sz="0" w:space="0" w:color="auto"/>
                        <w:bottom w:val="none" w:sz="0" w:space="0" w:color="auto"/>
                        <w:right w:val="none" w:sz="0" w:space="0" w:color="auto"/>
                      </w:divBdr>
                    </w:div>
                  </w:divsChild>
                </w:div>
                <w:div w:id="1672829641">
                  <w:marLeft w:val="0"/>
                  <w:marRight w:val="0"/>
                  <w:marTop w:val="0"/>
                  <w:marBottom w:val="0"/>
                  <w:divBdr>
                    <w:top w:val="none" w:sz="0" w:space="0" w:color="auto"/>
                    <w:left w:val="none" w:sz="0" w:space="0" w:color="auto"/>
                    <w:bottom w:val="none" w:sz="0" w:space="0" w:color="auto"/>
                    <w:right w:val="none" w:sz="0" w:space="0" w:color="auto"/>
                  </w:divBdr>
                  <w:divsChild>
                    <w:div w:id="1177421613">
                      <w:marLeft w:val="0"/>
                      <w:marRight w:val="0"/>
                      <w:marTop w:val="0"/>
                      <w:marBottom w:val="0"/>
                      <w:divBdr>
                        <w:top w:val="none" w:sz="0" w:space="0" w:color="auto"/>
                        <w:left w:val="none" w:sz="0" w:space="0" w:color="auto"/>
                        <w:bottom w:val="none" w:sz="0" w:space="0" w:color="auto"/>
                        <w:right w:val="none" w:sz="0" w:space="0" w:color="auto"/>
                      </w:divBdr>
                    </w:div>
                  </w:divsChild>
                </w:div>
                <w:div w:id="1681659460">
                  <w:marLeft w:val="0"/>
                  <w:marRight w:val="0"/>
                  <w:marTop w:val="0"/>
                  <w:marBottom w:val="0"/>
                  <w:divBdr>
                    <w:top w:val="none" w:sz="0" w:space="0" w:color="auto"/>
                    <w:left w:val="none" w:sz="0" w:space="0" w:color="auto"/>
                    <w:bottom w:val="none" w:sz="0" w:space="0" w:color="auto"/>
                    <w:right w:val="none" w:sz="0" w:space="0" w:color="auto"/>
                  </w:divBdr>
                  <w:divsChild>
                    <w:div w:id="948245721">
                      <w:marLeft w:val="0"/>
                      <w:marRight w:val="0"/>
                      <w:marTop w:val="0"/>
                      <w:marBottom w:val="0"/>
                      <w:divBdr>
                        <w:top w:val="none" w:sz="0" w:space="0" w:color="auto"/>
                        <w:left w:val="none" w:sz="0" w:space="0" w:color="auto"/>
                        <w:bottom w:val="none" w:sz="0" w:space="0" w:color="auto"/>
                        <w:right w:val="none" w:sz="0" w:space="0" w:color="auto"/>
                      </w:divBdr>
                    </w:div>
                  </w:divsChild>
                </w:div>
                <w:div w:id="1691300865">
                  <w:marLeft w:val="0"/>
                  <w:marRight w:val="0"/>
                  <w:marTop w:val="0"/>
                  <w:marBottom w:val="0"/>
                  <w:divBdr>
                    <w:top w:val="none" w:sz="0" w:space="0" w:color="auto"/>
                    <w:left w:val="none" w:sz="0" w:space="0" w:color="auto"/>
                    <w:bottom w:val="none" w:sz="0" w:space="0" w:color="auto"/>
                    <w:right w:val="none" w:sz="0" w:space="0" w:color="auto"/>
                  </w:divBdr>
                  <w:divsChild>
                    <w:div w:id="899438744">
                      <w:marLeft w:val="0"/>
                      <w:marRight w:val="0"/>
                      <w:marTop w:val="0"/>
                      <w:marBottom w:val="0"/>
                      <w:divBdr>
                        <w:top w:val="none" w:sz="0" w:space="0" w:color="auto"/>
                        <w:left w:val="none" w:sz="0" w:space="0" w:color="auto"/>
                        <w:bottom w:val="none" w:sz="0" w:space="0" w:color="auto"/>
                        <w:right w:val="none" w:sz="0" w:space="0" w:color="auto"/>
                      </w:divBdr>
                    </w:div>
                  </w:divsChild>
                </w:div>
                <w:div w:id="1691485665">
                  <w:marLeft w:val="0"/>
                  <w:marRight w:val="0"/>
                  <w:marTop w:val="0"/>
                  <w:marBottom w:val="0"/>
                  <w:divBdr>
                    <w:top w:val="none" w:sz="0" w:space="0" w:color="auto"/>
                    <w:left w:val="none" w:sz="0" w:space="0" w:color="auto"/>
                    <w:bottom w:val="none" w:sz="0" w:space="0" w:color="auto"/>
                    <w:right w:val="none" w:sz="0" w:space="0" w:color="auto"/>
                  </w:divBdr>
                  <w:divsChild>
                    <w:div w:id="1842349920">
                      <w:marLeft w:val="0"/>
                      <w:marRight w:val="0"/>
                      <w:marTop w:val="0"/>
                      <w:marBottom w:val="0"/>
                      <w:divBdr>
                        <w:top w:val="none" w:sz="0" w:space="0" w:color="auto"/>
                        <w:left w:val="none" w:sz="0" w:space="0" w:color="auto"/>
                        <w:bottom w:val="none" w:sz="0" w:space="0" w:color="auto"/>
                        <w:right w:val="none" w:sz="0" w:space="0" w:color="auto"/>
                      </w:divBdr>
                    </w:div>
                  </w:divsChild>
                </w:div>
                <w:div w:id="1703822053">
                  <w:marLeft w:val="0"/>
                  <w:marRight w:val="0"/>
                  <w:marTop w:val="0"/>
                  <w:marBottom w:val="0"/>
                  <w:divBdr>
                    <w:top w:val="none" w:sz="0" w:space="0" w:color="auto"/>
                    <w:left w:val="none" w:sz="0" w:space="0" w:color="auto"/>
                    <w:bottom w:val="none" w:sz="0" w:space="0" w:color="auto"/>
                    <w:right w:val="none" w:sz="0" w:space="0" w:color="auto"/>
                  </w:divBdr>
                  <w:divsChild>
                    <w:div w:id="1463380268">
                      <w:marLeft w:val="0"/>
                      <w:marRight w:val="0"/>
                      <w:marTop w:val="0"/>
                      <w:marBottom w:val="0"/>
                      <w:divBdr>
                        <w:top w:val="none" w:sz="0" w:space="0" w:color="auto"/>
                        <w:left w:val="none" w:sz="0" w:space="0" w:color="auto"/>
                        <w:bottom w:val="none" w:sz="0" w:space="0" w:color="auto"/>
                        <w:right w:val="none" w:sz="0" w:space="0" w:color="auto"/>
                      </w:divBdr>
                    </w:div>
                  </w:divsChild>
                </w:div>
                <w:div w:id="1745225637">
                  <w:marLeft w:val="0"/>
                  <w:marRight w:val="0"/>
                  <w:marTop w:val="0"/>
                  <w:marBottom w:val="0"/>
                  <w:divBdr>
                    <w:top w:val="none" w:sz="0" w:space="0" w:color="auto"/>
                    <w:left w:val="none" w:sz="0" w:space="0" w:color="auto"/>
                    <w:bottom w:val="none" w:sz="0" w:space="0" w:color="auto"/>
                    <w:right w:val="none" w:sz="0" w:space="0" w:color="auto"/>
                  </w:divBdr>
                  <w:divsChild>
                    <w:div w:id="823354007">
                      <w:marLeft w:val="0"/>
                      <w:marRight w:val="0"/>
                      <w:marTop w:val="0"/>
                      <w:marBottom w:val="0"/>
                      <w:divBdr>
                        <w:top w:val="none" w:sz="0" w:space="0" w:color="auto"/>
                        <w:left w:val="none" w:sz="0" w:space="0" w:color="auto"/>
                        <w:bottom w:val="none" w:sz="0" w:space="0" w:color="auto"/>
                        <w:right w:val="none" w:sz="0" w:space="0" w:color="auto"/>
                      </w:divBdr>
                    </w:div>
                  </w:divsChild>
                </w:div>
                <w:div w:id="1755466802">
                  <w:marLeft w:val="0"/>
                  <w:marRight w:val="0"/>
                  <w:marTop w:val="0"/>
                  <w:marBottom w:val="0"/>
                  <w:divBdr>
                    <w:top w:val="none" w:sz="0" w:space="0" w:color="auto"/>
                    <w:left w:val="none" w:sz="0" w:space="0" w:color="auto"/>
                    <w:bottom w:val="none" w:sz="0" w:space="0" w:color="auto"/>
                    <w:right w:val="none" w:sz="0" w:space="0" w:color="auto"/>
                  </w:divBdr>
                  <w:divsChild>
                    <w:div w:id="1421171191">
                      <w:marLeft w:val="0"/>
                      <w:marRight w:val="0"/>
                      <w:marTop w:val="0"/>
                      <w:marBottom w:val="0"/>
                      <w:divBdr>
                        <w:top w:val="none" w:sz="0" w:space="0" w:color="auto"/>
                        <w:left w:val="none" w:sz="0" w:space="0" w:color="auto"/>
                        <w:bottom w:val="none" w:sz="0" w:space="0" w:color="auto"/>
                        <w:right w:val="none" w:sz="0" w:space="0" w:color="auto"/>
                      </w:divBdr>
                    </w:div>
                  </w:divsChild>
                </w:div>
                <w:div w:id="1785541722">
                  <w:marLeft w:val="0"/>
                  <w:marRight w:val="0"/>
                  <w:marTop w:val="0"/>
                  <w:marBottom w:val="0"/>
                  <w:divBdr>
                    <w:top w:val="none" w:sz="0" w:space="0" w:color="auto"/>
                    <w:left w:val="none" w:sz="0" w:space="0" w:color="auto"/>
                    <w:bottom w:val="none" w:sz="0" w:space="0" w:color="auto"/>
                    <w:right w:val="none" w:sz="0" w:space="0" w:color="auto"/>
                  </w:divBdr>
                  <w:divsChild>
                    <w:div w:id="1535342123">
                      <w:marLeft w:val="0"/>
                      <w:marRight w:val="0"/>
                      <w:marTop w:val="0"/>
                      <w:marBottom w:val="0"/>
                      <w:divBdr>
                        <w:top w:val="none" w:sz="0" w:space="0" w:color="auto"/>
                        <w:left w:val="none" w:sz="0" w:space="0" w:color="auto"/>
                        <w:bottom w:val="none" w:sz="0" w:space="0" w:color="auto"/>
                        <w:right w:val="none" w:sz="0" w:space="0" w:color="auto"/>
                      </w:divBdr>
                    </w:div>
                  </w:divsChild>
                </w:div>
                <w:div w:id="1803496587">
                  <w:marLeft w:val="0"/>
                  <w:marRight w:val="0"/>
                  <w:marTop w:val="0"/>
                  <w:marBottom w:val="0"/>
                  <w:divBdr>
                    <w:top w:val="none" w:sz="0" w:space="0" w:color="auto"/>
                    <w:left w:val="none" w:sz="0" w:space="0" w:color="auto"/>
                    <w:bottom w:val="none" w:sz="0" w:space="0" w:color="auto"/>
                    <w:right w:val="none" w:sz="0" w:space="0" w:color="auto"/>
                  </w:divBdr>
                  <w:divsChild>
                    <w:div w:id="226457935">
                      <w:marLeft w:val="0"/>
                      <w:marRight w:val="0"/>
                      <w:marTop w:val="0"/>
                      <w:marBottom w:val="0"/>
                      <w:divBdr>
                        <w:top w:val="none" w:sz="0" w:space="0" w:color="auto"/>
                        <w:left w:val="none" w:sz="0" w:space="0" w:color="auto"/>
                        <w:bottom w:val="none" w:sz="0" w:space="0" w:color="auto"/>
                        <w:right w:val="none" w:sz="0" w:space="0" w:color="auto"/>
                      </w:divBdr>
                    </w:div>
                  </w:divsChild>
                </w:div>
                <w:div w:id="1836337844">
                  <w:marLeft w:val="0"/>
                  <w:marRight w:val="0"/>
                  <w:marTop w:val="0"/>
                  <w:marBottom w:val="0"/>
                  <w:divBdr>
                    <w:top w:val="none" w:sz="0" w:space="0" w:color="auto"/>
                    <w:left w:val="none" w:sz="0" w:space="0" w:color="auto"/>
                    <w:bottom w:val="none" w:sz="0" w:space="0" w:color="auto"/>
                    <w:right w:val="none" w:sz="0" w:space="0" w:color="auto"/>
                  </w:divBdr>
                  <w:divsChild>
                    <w:div w:id="1517576208">
                      <w:marLeft w:val="0"/>
                      <w:marRight w:val="0"/>
                      <w:marTop w:val="0"/>
                      <w:marBottom w:val="0"/>
                      <w:divBdr>
                        <w:top w:val="none" w:sz="0" w:space="0" w:color="auto"/>
                        <w:left w:val="none" w:sz="0" w:space="0" w:color="auto"/>
                        <w:bottom w:val="none" w:sz="0" w:space="0" w:color="auto"/>
                        <w:right w:val="none" w:sz="0" w:space="0" w:color="auto"/>
                      </w:divBdr>
                    </w:div>
                  </w:divsChild>
                </w:div>
                <w:div w:id="1855803681">
                  <w:marLeft w:val="0"/>
                  <w:marRight w:val="0"/>
                  <w:marTop w:val="0"/>
                  <w:marBottom w:val="0"/>
                  <w:divBdr>
                    <w:top w:val="none" w:sz="0" w:space="0" w:color="auto"/>
                    <w:left w:val="none" w:sz="0" w:space="0" w:color="auto"/>
                    <w:bottom w:val="none" w:sz="0" w:space="0" w:color="auto"/>
                    <w:right w:val="none" w:sz="0" w:space="0" w:color="auto"/>
                  </w:divBdr>
                  <w:divsChild>
                    <w:div w:id="1511529040">
                      <w:marLeft w:val="0"/>
                      <w:marRight w:val="0"/>
                      <w:marTop w:val="0"/>
                      <w:marBottom w:val="0"/>
                      <w:divBdr>
                        <w:top w:val="none" w:sz="0" w:space="0" w:color="auto"/>
                        <w:left w:val="none" w:sz="0" w:space="0" w:color="auto"/>
                        <w:bottom w:val="none" w:sz="0" w:space="0" w:color="auto"/>
                        <w:right w:val="none" w:sz="0" w:space="0" w:color="auto"/>
                      </w:divBdr>
                    </w:div>
                  </w:divsChild>
                </w:div>
                <w:div w:id="1879969574">
                  <w:marLeft w:val="0"/>
                  <w:marRight w:val="0"/>
                  <w:marTop w:val="0"/>
                  <w:marBottom w:val="0"/>
                  <w:divBdr>
                    <w:top w:val="none" w:sz="0" w:space="0" w:color="auto"/>
                    <w:left w:val="none" w:sz="0" w:space="0" w:color="auto"/>
                    <w:bottom w:val="none" w:sz="0" w:space="0" w:color="auto"/>
                    <w:right w:val="none" w:sz="0" w:space="0" w:color="auto"/>
                  </w:divBdr>
                  <w:divsChild>
                    <w:div w:id="281808439">
                      <w:marLeft w:val="0"/>
                      <w:marRight w:val="0"/>
                      <w:marTop w:val="0"/>
                      <w:marBottom w:val="0"/>
                      <w:divBdr>
                        <w:top w:val="none" w:sz="0" w:space="0" w:color="auto"/>
                        <w:left w:val="none" w:sz="0" w:space="0" w:color="auto"/>
                        <w:bottom w:val="none" w:sz="0" w:space="0" w:color="auto"/>
                        <w:right w:val="none" w:sz="0" w:space="0" w:color="auto"/>
                      </w:divBdr>
                    </w:div>
                  </w:divsChild>
                </w:div>
                <w:div w:id="1883517875">
                  <w:marLeft w:val="0"/>
                  <w:marRight w:val="0"/>
                  <w:marTop w:val="0"/>
                  <w:marBottom w:val="0"/>
                  <w:divBdr>
                    <w:top w:val="none" w:sz="0" w:space="0" w:color="auto"/>
                    <w:left w:val="none" w:sz="0" w:space="0" w:color="auto"/>
                    <w:bottom w:val="none" w:sz="0" w:space="0" w:color="auto"/>
                    <w:right w:val="none" w:sz="0" w:space="0" w:color="auto"/>
                  </w:divBdr>
                  <w:divsChild>
                    <w:div w:id="560677642">
                      <w:marLeft w:val="0"/>
                      <w:marRight w:val="0"/>
                      <w:marTop w:val="0"/>
                      <w:marBottom w:val="0"/>
                      <w:divBdr>
                        <w:top w:val="none" w:sz="0" w:space="0" w:color="auto"/>
                        <w:left w:val="none" w:sz="0" w:space="0" w:color="auto"/>
                        <w:bottom w:val="none" w:sz="0" w:space="0" w:color="auto"/>
                        <w:right w:val="none" w:sz="0" w:space="0" w:color="auto"/>
                      </w:divBdr>
                    </w:div>
                  </w:divsChild>
                </w:div>
                <w:div w:id="1912160355">
                  <w:marLeft w:val="0"/>
                  <w:marRight w:val="0"/>
                  <w:marTop w:val="0"/>
                  <w:marBottom w:val="0"/>
                  <w:divBdr>
                    <w:top w:val="none" w:sz="0" w:space="0" w:color="auto"/>
                    <w:left w:val="none" w:sz="0" w:space="0" w:color="auto"/>
                    <w:bottom w:val="none" w:sz="0" w:space="0" w:color="auto"/>
                    <w:right w:val="none" w:sz="0" w:space="0" w:color="auto"/>
                  </w:divBdr>
                  <w:divsChild>
                    <w:div w:id="549420881">
                      <w:marLeft w:val="0"/>
                      <w:marRight w:val="0"/>
                      <w:marTop w:val="0"/>
                      <w:marBottom w:val="0"/>
                      <w:divBdr>
                        <w:top w:val="none" w:sz="0" w:space="0" w:color="auto"/>
                        <w:left w:val="none" w:sz="0" w:space="0" w:color="auto"/>
                        <w:bottom w:val="none" w:sz="0" w:space="0" w:color="auto"/>
                        <w:right w:val="none" w:sz="0" w:space="0" w:color="auto"/>
                      </w:divBdr>
                    </w:div>
                  </w:divsChild>
                </w:div>
                <w:div w:id="1918637682">
                  <w:marLeft w:val="0"/>
                  <w:marRight w:val="0"/>
                  <w:marTop w:val="0"/>
                  <w:marBottom w:val="0"/>
                  <w:divBdr>
                    <w:top w:val="none" w:sz="0" w:space="0" w:color="auto"/>
                    <w:left w:val="none" w:sz="0" w:space="0" w:color="auto"/>
                    <w:bottom w:val="none" w:sz="0" w:space="0" w:color="auto"/>
                    <w:right w:val="none" w:sz="0" w:space="0" w:color="auto"/>
                  </w:divBdr>
                  <w:divsChild>
                    <w:div w:id="509758465">
                      <w:marLeft w:val="0"/>
                      <w:marRight w:val="0"/>
                      <w:marTop w:val="0"/>
                      <w:marBottom w:val="0"/>
                      <w:divBdr>
                        <w:top w:val="none" w:sz="0" w:space="0" w:color="auto"/>
                        <w:left w:val="none" w:sz="0" w:space="0" w:color="auto"/>
                        <w:bottom w:val="none" w:sz="0" w:space="0" w:color="auto"/>
                        <w:right w:val="none" w:sz="0" w:space="0" w:color="auto"/>
                      </w:divBdr>
                    </w:div>
                  </w:divsChild>
                </w:div>
                <w:div w:id="1919903207">
                  <w:marLeft w:val="0"/>
                  <w:marRight w:val="0"/>
                  <w:marTop w:val="0"/>
                  <w:marBottom w:val="0"/>
                  <w:divBdr>
                    <w:top w:val="none" w:sz="0" w:space="0" w:color="auto"/>
                    <w:left w:val="none" w:sz="0" w:space="0" w:color="auto"/>
                    <w:bottom w:val="none" w:sz="0" w:space="0" w:color="auto"/>
                    <w:right w:val="none" w:sz="0" w:space="0" w:color="auto"/>
                  </w:divBdr>
                  <w:divsChild>
                    <w:div w:id="1088884049">
                      <w:marLeft w:val="0"/>
                      <w:marRight w:val="0"/>
                      <w:marTop w:val="0"/>
                      <w:marBottom w:val="0"/>
                      <w:divBdr>
                        <w:top w:val="none" w:sz="0" w:space="0" w:color="auto"/>
                        <w:left w:val="none" w:sz="0" w:space="0" w:color="auto"/>
                        <w:bottom w:val="none" w:sz="0" w:space="0" w:color="auto"/>
                        <w:right w:val="none" w:sz="0" w:space="0" w:color="auto"/>
                      </w:divBdr>
                    </w:div>
                  </w:divsChild>
                </w:div>
                <w:div w:id="1922524180">
                  <w:marLeft w:val="0"/>
                  <w:marRight w:val="0"/>
                  <w:marTop w:val="0"/>
                  <w:marBottom w:val="0"/>
                  <w:divBdr>
                    <w:top w:val="none" w:sz="0" w:space="0" w:color="auto"/>
                    <w:left w:val="none" w:sz="0" w:space="0" w:color="auto"/>
                    <w:bottom w:val="none" w:sz="0" w:space="0" w:color="auto"/>
                    <w:right w:val="none" w:sz="0" w:space="0" w:color="auto"/>
                  </w:divBdr>
                  <w:divsChild>
                    <w:div w:id="644509093">
                      <w:marLeft w:val="0"/>
                      <w:marRight w:val="0"/>
                      <w:marTop w:val="0"/>
                      <w:marBottom w:val="0"/>
                      <w:divBdr>
                        <w:top w:val="none" w:sz="0" w:space="0" w:color="auto"/>
                        <w:left w:val="none" w:sz="0" w:space="0" w:color="auto"/>
                        <w:bottom w:val="none" w:sz="0" w:space="0" w:color="auto"/>
                        <w:right w:val="none" w:sz="0" w:space="0" w:color="auto"/>
                      </w:divBdr>
                    </w:div>
                  </w:divsChild>
                </w:div>
                <w:div w:id="1941445912">
                  <w:marLeft w:val="0"/>
                  <w:marRight w:val="0"/>
                  <w:marTop w:val="0"/>
                  <w:marBottom w:val="0"/>
                  <w:divBdr>
                    <w:top w:val="none" w:sz="0" w:space="0" w:color="auto"/>
                    <w:left w:val="none" w:sz="0" w:space="0" w:color="auto"/>
                    <w:bottom w:val="none" w:sz="0" w:space="0" w:color="auto"/>
                    <w:right w:val="none" w:sz="0" w:space="0" w:color="auto"/>
                  </w:divBdr>
                  <w:divsChild>
                    <w:div w:id="236673877">
                      <w:marLeft w:val="0"/>
                      <w:marRight w:val="0"/>
                      <w:marTop w:val="0"/>
                      <w:marBottom w:val="0"/>
                      <w:divBdr>
                        <w:top w:val="none" w:sz="0" w:space="0" w:color="auto"/>
                        <w:left w:val="none" w:sz="0" w:space="0" w:color="auto"/>
                        <w:bottom w:val="none" w:sz="0" w:space="0" w:color="auto"/>
                        <w:right w:val="none" w:sz="0" w:space="0" w:color="auto"/>
                      </w:divBdr>
                    </w:div>
                  </w:divsChild>
                </w:div>
                <w:div w:id="1974210730">
                  <w:marLeft w:val="0"/>
                  <w:marRight w:val="0"/>
                  <w:marTop w:val="0"/>
                  <w:marBottom w:val="0"/>
                  <w:divBdr>
                    <w:top w:val="none" w:sz="0" w:space="0" w:color="auto"/>
                    <w:left w:val="none" w:sz="0" w:space="0" w:color="auto"/>
                    <w:bottom w:val="none" w:sz="0" w:space="0" w:color="auto"/>
                    <w:right w:val="none" w:sz="0" w:space="0" w:color="auto"/>
                  </w:divBdr>
                  <w:divsChild>
                    <w:div w:id="1261793514">
                      <w:marLeft w:val="0"/>
                      <w:marRight w:val="0"/>
                      <w:marTop w:val="0"/>
                      <w:marBottom w:val="0"/>
                      <w:divBdr>
                        <w:top w:val="none" w:sz="0" w:space="0" w:color="auto"/>
                        <w:left w:val="none" w:sz="0" w:space="0" w:color="auto"/>
                        <w:bottom w:val="none" w:sz="0" w:space="0" w:color="auto"/>
                        <w:right w:val="none" w:sz="0" w:space="0" w:color="auto"/>
                      </w:divBdr>
                    </w:div>
                  </w:divsChild>
                </w:div>
                <w:div w:id="2007130798">
                  <w:marLeft w:val="0"/>
                  <w:marRight w:val="0"/>
                  <w:marTop w:val="0"/>
                  <w:marBottom w:val="0"/>
                  <w:divBdr>
                    <w:top w:val="none" w:sz="0" w:space="0" w:color="auto"/>
                    <w:left w:val="none" w:sz="0" w:space="0" w:color="auto"/>
                    <w:bottom w:val="none" w:sz="0" w:space="0" w:color="auto"/>
                    <w:right w:val="none" w:sz="0" w:space="0" w:color="auto"/>
                  </w:divBdr>
                  <w:divsChild>
                    <w:div w:id="1796019718">
                      <w:marLeft w:val="0"/>
                      <w:marRight w:val="0"/>
                      <w:marTop w:val="0"/>
                      <w:marBottom w:val="0"/>
                      <w:divBdr>
                        <w:top w:val="none" w:sz="0" w:space="0" w:color="auto"/>
                        <w:left w:val="none" w:sz="0" w:space="0" w:color="auto"/>
                        <w:bottom w:val="none" w:sz="0" w:space="0" w:color="auto"/>
                        <w:right w:val="none" w:sz="0" w:space="0" w:color="auto"/>
                      </w:divBdr>
                    </w:div>
                  </w:divsChild>
                </w:div>
                <w:div w:id="2031639476">
                  <w:marLeft w:val="0"/>
                  <w:marRight w:val="0"/>
                  <w:marTop w:val="0"/>
                  <w:marBottom w:val="0"/>
                  <w:divBdr>
                    <w:top w:val="none" w:sz="0" w:space="0" w:color="auto"/>
                    <w:left w:val="none" w:sz="0" w:space="0" w:color="auto"/>
                    <w:bottom w:val="none" w:sz="0" w:space="0" w:color="auto"/>
                    <w:right w:val="none" w:sz="0" w:space="0" w:color="auto"/>
                  </w:divBdr>
                  <w:divsChild>
                    <w:div w:id="1072846937">
                      <w:marLeft w:val="0"/>
                      <w:marRight w:val="0"/>
                      <w:marTop w:val="0"/>
                      <w:marBottom w:val="0"/>
                      <w:divBdr>
                        <w:top w:val="none" w:sz="0" w:space="0" w:color="auto"/>
                        <w:left w:val="none" w:sz="0" w:space="0" w:color="auto"/>
                        <w:bottom w:val="none" w:sz="0" w:space="0" w:color="auto"/>
                        <w:right w:val="none" w:sz="0" w:space="0" w:color="auto"/>
                      </w:divBdr>
                    </w:div>
                  </w:divsChild>
                </w:div>
                <w:div w:id="2063169979">
                  <w:marLeft w:val="0"/>
                  <w:marRight w:val="0"/>
                  <w:marTop w:val="0"/>
                  <w:marBottom w:val="0"/>
                  <w:divBdr>
                    <w:top w:val="none" w:sz="0" w:space="0" w:color="auto"/>
                    <w:left w:val="none" w:sz="0" w:space="0" w:color="auto"/>
                    <w:bottom w:val="none" w:sz="0" w:space="0" w:color="auto"/>
                    <w:right w:val="none" w:sz="0" w:space="0" w:color="auto"/>
                  </w:divBdr>
                  <w:divsChild>
                    <w:div w:id="1072309133">
                      <w:marLeft w:val="0"/>
                      <w:marRight w:val="0"/>
                      <w:marTop w:val="0"/>
                      <w:marBottom w:val="0"/>
                      <w:divBdr>
                        <w:top w:val="none" w:sz="0" w:space="0" w:color="auto"/>
                        <w:left w:val="none" w:sz="0" w:space="0" w:color="auto"/>
                        <w:bottom w:val="none" w:sz="0" w:space="0" w:color="auto"/>
                        <w:right w:val="none" w:sz="0" w:space="0" w:color="auto"/>
                      </w:divBdr>
                    </w:div>
                  </w:divsChild>
                </w:div>
                <w:div w:id="2129661621">
                  <w:marLeft w:val="0"/>
                  <w:marRight w:val="0"/>
                  <w:marTop w:val="0"/>
                  <w:marBottom w:val="0"/>
                  <w:divBdr>
                    <w:top w:val="none" w:sz="0" w:space="0" w:color="auto"/>
                    <w:left w:val="none" w:sz="0" w:space="0" w:color="auto"/>
                    <w:bottom w:val="none" w:sz="0" w:space="0" w:color="auto"/>
                    <w:right w:val="none" w:sz="0" w:space="0" w:color="auto"/>
                  </w:divBdr>
                  <w:divsChild>
                    <w:div w:id="10560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134848">
      <w:bodyDiv w:val="1"/>
      <w:marLeft w:val="0"/>
      <w:marRight w:val="0"/>
      <w:marTop w:val="0"/>
      <w:marBottom w:val="0"/>
      <w:divBdr>
        <w:top w:val="none" w:sz="0" w:space="0" w:color="auto"/>
        <w:left w:val="none" w:sz="0" w:space="0" w:color="auto"/>
        <w:bottom w:val="none" w:sz="0" w:space="0" w:color="auto"/>
        <w:right w:val="none" w:sz="0" w:space="0" w:color="auto"/>
      </w:divBdr>
    </w:div>
    <w:div w:id="1349529425">
      <w:bodyDiv w:val="1"/>
      <w:marLeft w:val="0"/>
      <w:marRight w:val="0"/>
      <w:marTop w:val="0"/>
      <w:marBottom w:val="0"/>
      <w:divBdr>
        <w:top w:val="none" w:sz="0" w:space="0" w:color="auto"/>
        <w:left w:val="none" w:sz="0" w:space="0" w:color="auto"/>
        <w:bottom w:val="none" w:sz="0" w:space="0" w:color="auto"/>
        <w:right w:val="none" w:sz="0" w:space="0" w:color="auto"/>
      </w:divBdr>
    </w:div>
    <w:div w:id="1365253118">
      <w:bodyDiv w:val="1"/>
      <w:marLeft w:val="0"/>
      <w:marRight w:val="0"/>
      <w:marTop w:val="0"/>
      <w:marBottom w:val="0"/>
      <w:divBdr>
        <w:top w:val="none" w:sz="0" w:space="0" w:color="auto"/>
        <w:left w:val="none" w:sz="0" w:space="0" w:color="auto"/>
        <w:bottom w:val="none" w:sz="0" w:space="0" w:color="auto"/>
        <w:right w:val="none" w:sz="0" w:space="0" w:color="auto"/>
      </w:divBdr>
      <w:divsChild>
        <w:div w:id="519197815">
          <w:marLeft w:val="0"/>
          <w:marRight w:val="0"/>
          <w:marTop w:val="0"/>
          <w:marBottom w:val="0"/>
          <w:divBdr>
            <w:top w:val="none" w:sz="0" w:space="0" w:color="auto"/>
            <w:left w:val="none" w:sz="0" w:space="0" w:color="auto"/>
            <w:bottom w:val="none" w:sz="0" w:space="0" w:color="auto"/>
            <w:right w:val="none" w:sz="0" w:space="0" w:color="auto"/>
          </w:divBdr>
          <w:divsChild>
            <w:div w:id="106656890">
              <w:marLeft w:val="0"/>
              <w:marRight w:val="0"/>
              <w:marTop w:val="0"/>
              <w:marBottom w:val="0"/>
              <w:divBdr>
                <w:top w:val="none" w:sz="0" w:space="0" w:color="auto"/>
                <w:left w:val="none" w:sz="0" w:space="0" w:color="auto"/>
                <w:bottom w:val="none" w:sz="0" w:space="0" w:color="auto"/>
                <w:right w:val="none" w:sz="0" w:space="0" w:color="auto"/>
              </w:divBdr>
            </w:div>
            <w:div w:id="410280145">
              <w:marLeft w:val="0"/>
              <w:marRight w:val="0"/>
              <w:marTop w:val="0"/>
              <w:marBottom w:val="0"/>
              <w:divBdr>
                <w:top w:val="none" w:sz="0" w:space="0" w:color="auto"/>
                <w:left w:val="none" w:sz="0" w:space="0" w:color="auto"/>
                <w:bottom w:val="none" w:sz="0" w:space="0" w:color="auto"/>
                <w:right w:val="none" w:sz="0" w:space="0" w:color="auto"/>
              </w:divBdr>
            </w:div>
            <w:div w:id="411198198">
              <w:marLeft w:val="0"/>
              <w:marRight w:val="0"/>
              <w:marTop w:val="0"/>
              <w:marBottom w:val="0"/>
              <w:divBdr>
                <w:top w:val="none" w:sz="0" w:space="0" w:color="auto"/>
                <w:left w:val="none" w:sz="0" w:space="0" w:color="auto"/>
                <w:bottom w:val="none" w:sz="0" w:space="0" w:color="auto"/>
                <w:right w:val="none" w:sz="0" w:space="0" w:color="auto"/>
              </w:divBdr>
            </w:div>
            <w:div w:id="1531409987">
              <w:marLeft w:val="0"/>
              <w:marRight w:val="0"/>
              <w:marTop w:val="0"/>
              <w:marBottom w:val="0"/>
              <w:divBdr>
                <w:top w:val="none" w:sz="0" w:space="0" w:color="auto"/>
                <w:left w:val="none" w:sz="0" w:space="0" w:color="auto"/>
                <w:bottom w:val="none" w:sz="0" w:space="0" w:color="auto"/>
                <w:right w:val="none" w:sz="0" w:space="0" w:color="auto"/>
              </w:divBdr>
            </w:div>
          </w:divsChild>
        </w:div>
        <w:div w:id="567542873">
          <w:marLeft w:val="0"/>
          <w:marRight w:val="0"/>
          <w:marTop w:val="0"/>
          <w:marBottom w:val="0"/>
          <w:divBdr>
            <w:top w:val="none" w:sz="0" w:space="0" w:color="auto"/>
            <w:left w:val="none" w:sz="0" w:space="0" w:color="auto"/>
            <w:bottom w:val="none" w:sz="0" w:space="0" w:color="auto"/>
            <w:right w:val="none" w:sz="0" w:space="0" w:color="auto"/>
          </w:divBdr>
        </w:div>
        <w:div w:id="1369798818">
          <w:marLeft w:val="0"/>
          <w:marRight w:val="0"/>
          <w:marTop w:val="0"/>
          <w:marBottom w:val="0"/>
          <w:divBdr>
            <w:top w:val="none" w:sz="0" w:space="0" w:color="auto"/>
            <w:left w:val="none" w:sz="0" w:space="0" w:color="auto"/>
            <w:bottom w:val="none" w:sz="0" w:space="0" w:color="auto"/>
            <w:right w:val="none" w:sz="0" w:space="0" w:color="auto"/>
          </w:divBdr>
          <w:divsChild>
            <w:div w:id="458039459">
              <w:marLeft w:val="0"/>
              <w:marRight w:val="0"/>
              <w:marTop w:val="0"/>
              <w:marBottom w:val="0"/>
              <w:divBdr>
                <w:top w:val="none" w:sz="0" w:space="0" w:color="auto"/>
                <w:left w:val="none" w:sz="0" w:space="0" w:color="auto"/>
                <w:bottom w:val="none" w:sz="0" w:space="0" w:color="auto"/>
                <w:right w:val="none" w:sz="0" w:space="0" w:color="auto"/>
              </w:divBdr>
            </w:div>
            <w:div w:id="842234104">
              <w:marLeft w:val="0"/>
              <w:marRight w:val="0"/>
              <w:marTop w:val="0"/>
              <w:marBottom w:val="0"/>
              <w:divBdr>
                <w:top w:val="none" w:sz="0" w:space="0" w:color="auto"/>
                <w:left w:val="none" w:sz="0" w:space="0" w:color="auto"/>
                <w:bottom w:val="none" w:sz="0" w:space="0" w:color="auto"/>
                <w:right w:val="none" w:sz="0" w:space="0" w:color="auto"/>
              </w:divBdr>
            </w:div>
            <w:div w:id="1609041528">
              <w:marLeft w:val="0"/>
              <w:marRight w:val="0"/>
              <w:marTop w:val="0"/>
              <w:marBottom w:val="0"/>
              <w:divBdr>
                <w:top w:val="none" w:sz="0" w:space="0" w:color="auto"/>
                <w:left w:val="none" w:sz="0" w:space="0" w:color="auto"/>
                <w:bottom w:val="none" w:sz="0" w:space="0" w:color="auto"/>
                <w:right w:val="none" w:sz="0" w:space="0" w:color="auto"/>
              </w:divBdr>
            </w:div>
            <w:div w:id="1913857482">
              <w:marLeft w:val="0"/>
              <w:marRight w:val="0"/>
              <w:marTop w:val="0"/>
              <w:marBottom w:val="0"/>
              <w:divBdr>
                <w:top w:val="none" w:sz="0" w:space="0" w:color="auto"/>
                <w:left w:val="none" w:sz="0" w:space="0" w:color="auto"/>
                <w:bottom w:val="none" w:sz="0" w:space="0" w:color="auto"/>
                <w:right w:val="none" w:sz="0" w:space="0" w:color="auto"/>
              </w:divBdr>
            </w:div>
            <w:div w:id="2077319238">
              <w:marLeft w:val="0"/>
              <w:marRight w:val="0"/>
              <w:marTop w:val="0"/>
              <w:marBottom w:val="0"/>
              <w:divBdr>
                <w:top w:val="none" w:sz="0" w:space="0" w:color="auto"/>
                <w:left w:val="none" w:sz="0" w:space="0" w:color="auto"/>
                <w:bottom w:val="none" w:sz="0" w:space="0" w:color="auto"/>
                <w:right w:val="none" w:sz="0" w:space="0" w:color="auto"/>
              </w:divBdr>
            </w:div>
          </w:divsChild>
        </w:div>
        <w:div w:id="1382242019">
          <w:marLeft w:val="0"/>
          <w:marRight w:val="0"/>
          <w:marTop w:val="0"/>
          <w:marBottom w:val="0"/>
          <w:divBdr>
            <w:top w:val="none" w:sz="0" w:space="0" w:color="auto"/>
            <w:left w:val="none" w:sz="0" w:space="0" w:color="auto"/>
            <w:bottom w:val="none" w:sz="0" w:space="0" w:color="auto"/>
            <w:right w:val="none" w:sz="0" w:space="0" w:color="auto"/>
          </w:divBdr>
          <w:divsChild>
            <w:div w:id="1062289965">
              <w:marLeft w:val="0"/>
              <w:marRight w:val="0"/>
              <w:marTop w:val="0"/>
              <w:marBottom w:val="0"/>
              <w:divBdr>
                <w:top w:val="none" w:sz="0" w:space="0" w:color="auto"/>
                <w:left w:val="none" w:sz="0" w:space="0" w:color="auto"/>
                <w:bottom w:val="none" w:sz="0" w:space="0" w:color="auto"/>
                <w:right w:val="none" w:sz="0" w:space="0" w:color="auto"/>
              </w:divBdr>
            </w:div>
            <w:div w:id="1805079709">
              <w:marLeft w:val="0"/>
              <w:marRight w:val="0"/>
              <w:marTop w:val="0"/>
              <w:marBottom w:val="0"/>
              <w:divBdr>
                <w:top w:val="none" w:sz="0" w:space="0" w:color="auto"/>
                <w:left w:val="none" w:sz="0" w:space="0" w:color="auto"/>
                <w:bottom w:val="none" w:sz="0" w:space="0" w:color="auto"/>
                <w:right w:val="none" w:sz="0" w:space="0" w:color="auto"/>
              </w:divBdr>
            </w:div>
          </w:divsChild>
        </w:div>
        <w:div w:id="1499225560">
          <w:marLeft w:val="0"/>
          <w:marRight w:val="0"/>
          <w:marTop w:val="0"/>
          <w:marBottom w:val="0"/>
          <w:divBdr>
            <w:top w:val="none" w:sz="0" w:space="0" w:color="auto"/>
            <w:left w:val="none" w:sz="0" w:space="0" w:color="auto"/>
            <w:bottom w:val="none" w:sz="0" w:space="0" w:color="auto"/>
            <w:right w:val="none" w:sz="0" w:space="0" w:color="auto"/>
          </w:divBdr>
        </w:div>
        <w:div w:id="1557088305">
          <w:marLeft w:val="0"/>
          <w:marRight w:val="0"/>
          <w:marTop w:val="0"/>
          <w:marBottom w:val="0"/>
          <w:divBdr>
            <w:top w:val="none" w:sz="0" w:space="0" w:color="auto"/>
            <w:left w:val="none" w:sz="0" w:space="0" w:color="auto"/>
            <w:bottom w:val="none" w:sz="0" w:space="0" w:color="auto"/>
            <w:right w:val="none" w:sz="0" w:space="0" w:color="auto"/>
          </w:divBdr>
        </w:div>
        <w:div w:id="1626348604">
          <w:marLeft w:val="0"/>
          <w:marRight w:val="0"/>
          <w:marTop w:val="0"/>
          <w:marBottom w:val="0"/>
          <w:divBdr>
            <w:top w:val="none" w:sz="0" w:space="0" w:color="auto"/>
            <w:left w:val="none" w:sz="0" w:space="0" w:color="auto"/>
            <w:bottom w:val="none" w:sz="0" w:space="0" w:color="auto"/>
            <w:right w:val="none" w:sz="0" w:space="0" w:color="auto"/>
          </w:divBdr>
          <w:divsChild>
            <w:div w:id="704208525">
              <w:marLeft w:val="-75"/>
              <w:marRight w:val="0"/>
              <w:marTop w:val="30"/>
              <w:marBottom w:val="30"/>
              <w:divBdr>
                <w:top w:val="none" w:sz="0" w:space="0" w:color="auto"/>
                <w:left w:val="none" w:sz="0" w:space="0" w:color="auto"/>
                <w:bottom w:val="none" w:sz="0" w:space="0" w:color="auto"/>
                <w:right w:val="none" w:sz="0" w:space="0" w:color="auto"/>
              </w:divBdr>
              <w:divsChild>
                <w:div w:id="5442530">
                  <w:marLeft w:val="0"/>
                  <w:marRight w:val="0"/>
                  <w:marTop w:val="0"/>
                  <w:marBottom w:val="0"/>
                  <w:divBdr>
                    <w:top w:val="none" w:sz="0" w:space="0" w:color="auto"/>
                    <w:left w:val="none" w:sz="0" w:space="0" w:color="auto"/>
                    <w:bottom w:val="none" w:sz="0" w:space="0" w:color="auto"/>
                    <w:right w:val="none" w:sz="0" w:space="0" w:color="auto"/>
                  </w:divBdr>
                  <w:divsChild>
                    <w:div w:id="906645569">
                      <w:marLeft w:val="0"/>
                      <w:marRight w:val="0"/>
                      <w:marTop w:val="0"/>
                      <w:marBottom w:val="0"/>
                      <w:divBdr>
                        <w:top w:val="none" w:sz="0" w:space="0" w:color="auto"/>
                        <w:left w:val="none" w:sz="0" w:space="0" w:color="auto"/>
                        <w:bottom w:val="none" w:sz="0" w:space="0" w:color="auto"/>
                        <w:right w:val="none" w:sz="0" w:space="0" w:color="auto"/>
                      </w:divBdr>
                    </w:div>
                  </w:divsChild>
                </w:div>
                <w:div w:id="45641813">
                  <w:marLeft w:val="0"/>
                  <w:marRight w:val="0"/>
                  <w:marTop w:val="0"/>
                  <w:marBottom w:val="0"/>
                  <w:divBdr>
                    <w:top w:val="none" w:sz="0" w:space="0" w:color="auto"/>
                    <w:left w:val="none" w:sz="0" w:space="0" w:color="auto"/>
                    <w:bottom w:val="none" w:sz="0" w:space="0" w:color="auto"/>
                    <w:right w:val="none" w:sz="0" w:space="0" w:color="auto"/>
                  </w:divBdr>
                  <w:divsChild>
                    <w:div w:id="1182890122">
                      <w:marLeft w:val="0"/>
                      <w:marRight w:val="0"/>
                      <w:marTop w:val="0"/>
                      <w:marBottom w:val="0"/>
                      <w:divBdr>
                        <w:top w:val="none" w:sz="0" w:space="0" w:color="auto"/>
                        <w:left w:val="none" w:sz="0" w:space="0" w:color="auto"/>
                        <w:bottom w:val="none" w:sz="0" w:space="0" w:color="auto"/>
                        <w:right w:val="none" w:sz="0" w:space="0" w:color="auto"/>
                      </w:divBdr>
                    </w:div>
                  </w:divsChild>
                </w:div>
                <w:div w:id="51391200">
                  <w:marLeft w:val="0"/>
                  <w:marRight w:val="0"/>
                  <w:marTop w:val="0"/>
                  <w:marBottom w:val="0"/>
                  <w:divBdr>
                    <w:top w:val="none" w:sz="0" w:space="0" w:color="auto"/>
                    <w:left w:val="none" w:sz="0" w:space="0" w:color="auto"/>
                    <w:bottom w:val="none" w:sz="0" w:space="0" w:color="auto"/>
                    <w:right w:val="none" w:sz="0" w:space="0" w:color="auto"/>
                  </w:divBdr>
                  <w:divsChild>
                    <w:div w:id="1209993677">
                      <w:marLeft w:val="0"/>
                      <w:marRight w:val="0"/>
                      <w:marTop w:val="0"/>
                      <w:marBottom w:val="0"/>
                      <w:divBdr>
                        <w:top w:val="none" w:sz="0" w:space="0" w:color="auto"/>
                        <w:left w:val="none" w:sz="0" w:space="0" w:color="auto"/>
                        <w:bottom w:val="none" w:sz="0" w:space="0" w:color="auto"/>
                        <w:right w:val="none" w:sz="0" w:space="0" w:color="auto"/>
                      </w:divBdr>
                    </w:div>
                  </w:divsChild>
                </w:div>
                <w:div w:id="61027800">
                  <w:marLeft w:val="0"/>
                  <w:marRight w:val="0"/>
                  <w:marTop w:val="0"/>
                  <w:marBottom w:val="0"/>
                  <w:divBdr>
                    <w:top w:val="none" w:sz="0" w:space="0" w:color="auto"/>
                    <w:left w:val="none" w:sz="0" w:space="0" w:color="auto"/>
                    <w:bottom w:val="none" w:sz="0" w:space="0" w:color="auto"/>
                    <w:right w:val="none" w:sz="0" w:space="0" w:color="auto"/>
                  </w:divBdr>
                  <w:divsChild>
                    <w:div w:id="1986007438">
                      <w:marLeft w:val="0"/>
                      <w:marRight w:val="0"/>
                      <w:marTop w:val="0"/>
                      <w:marBottom w:val="0"/>
                      <w:divBdr>
                        <w:top w:val="none" w:sz="0" w:space="0" w:color="auto"/>
                        <w:left w:val="none" w:sz="0" w:space="0" w:color="auto"/>
                        <w:bottom w:val="none" w:sz="0" w:space="0" w:color="auto"/>
                        <w:right w:val="none" w:sz="0" w:space="0" w:color="auto"/>
                      </w:divBdr>
                    </w:div>
                  </w:divsChild>
                </w:div>
                <w:div w:id="72288215">
                  <w:marLeft w:val="0"/>
                  <w:marRight w:val="0"/>
                  <w:marTop w:val="0"/>
                  <w:marBottom w:val="0"/>
                  <w:divBdr>
                    <w:top w:val="none" w:sz="0" w:space="0" w:color="auto"/>
                    <w:left w:val="none" w:sz="0" w:space="0" w:color="auto"/>
                    <w:bottom w:val="none" w:sz="0" w:space="0" w:color="auto"/>
                    <w:right w:val="none" w:sz="0" w:space="0" w:color="auto"/>
                  </w:divBdr>
                  <w:divsChild>
                    <w:div w:id="170605876">
                      <w:marLeft w:val="0"/>
                      <w:marRight w:val="0"/>
                      <w:marTop w:val="0"/>
                      <w:marBottom w:val="0"/>
                      <w:divBdr>
                        <w:top w:val="none" w:sz="0" w:space="0" w:color="auto"/>
                        <w:left w:val="none" w:sz="0" w:space="0" w:color="auto"/>
                        <w:bottom w:val="none" w:sz="0" w:space="0" w:color="auto"/>
                        <w:right w:val="none" w:sz="0" w:space="0" w:color="auto"/>
                      </w:divBdr>
                    </w:div>
                  </w:divsChild>
                </w:div>
                <w:div w:id="89013849">
                  <w:marLeft w:val="0"/>
                  <w:marRight w:val="0"/>
                  <w:marTop w:val="0"/>
                  <w:marBottom w:val="0"/>
                  <w:divBdr>
                    <w:top w:val="none" w:sz="0" w:space="0" w:color="auto"/>
                    <w:left w:val="none" w:sz="0" w:space="0" w:color="auto"/>
                    <w:bottom w:val="none" w:sz="0" w:space="0" w:color="auto"/>
                    <w:right w:val="none" w:sz="0" w:space="0" w:color="auto"/>
                  </w:divBdr>
                  <w:divsChild>
                    <w:div w:id="1029649849">
                      <w:marLeft w:val="0"/>
                      <w:marRight w:val="0"/>
                      <w:marTop w:val="0"/>
                      <w:marBottom w:val="0"/>
                      <w:divBdr>
                        <w:top w:val="none" w:sz="0" w:space="0" w:color="auto"/>
                        <w:left w:val="none" w:sz="0" w:space="0" w:color="auto"/>
                        <w:bottom w:val="none" w:sz="0" w:space="0" w:color="auto"/>
                        <w:right w:val="none" w:sz="0" w:space="0" w:color="auto"/>
                      </w:divBdr>
                    </w:div>
                  </w:divsChild>
                </w:div>
                <w:div w:id="90854747">
                  <w:marLeft w:val="0"/>
                  <w:marRight w:val="0"/>
                  <w:marTop w:val="0"/>
                  <w:marBottom w:val="0"/>
                  <w:divBdr>
                    <w:top w:val="none" w:sz="0" w:space="0" w:color="auto"/>
                    <w:left w:val="none" w:sz="0" w:space="0" w:color="auto"/>
                    <w:bottom w:val="none" w:sz="0" w:space="0" w:color="auto"/>
                    <w:right w:val="none" w:sz="0" w:space="0" w:color="auto"/>
                  </w:divBdr>
                  <w:divsChild>
                    <w:div w:id="1391339663">
                      <w:marLeft w:val="0"/>
                      <w:marRight w:val="0"/>
                      <w:marTop w:val="0"/>
                      <w:marBottom w:val="0"/>
                      <w:divBdr>
                        <w:top w:val="none" w:sz="0" w:space="0" w:color="auto"/>
                        <w:left w:val="none" w:sz="0" w:space="0" w:color="auto"/>
                        <w:bottom w:val="none" w:sz="0" w:space="0" w:color="auto"/>
                        <w:right w:val="none" w:sz="0" w:space="0" w:color="auto"/>
                      </w:divBdr>
                    </w:div>
                  </w:divsChild>
                </w:div>
                <w:div w:id="98068416">
                  <w:marLeft w:val="0"/>
                  <w:marRight w:val="0"/>
                  <w:marTop w:val="0"/>
                  <w:marBottom w:val="0"/>
                  <w:divBdr>
                    <w:top w:val="none" w:sz="0" w:space="0" w:color="auto"/>
                    <w:left w:val="none" w:sz="0" w:space="0" w:color="auto"/>
                    <w:bottom w:val="none" w:sz="0" w:space="0" w:color="auto"/>
                    <w:right w:val="none" w:sz="0" w:space="0" w:color="auto"/>
                  </w:divBdr>
                  <w:divsChild>
                    <w:div w:id="1299611473">
                      <w:marLeft w:val="0"/>
                      <w:marRight w:val="0"/>
                      <w:marTop w:val="0"/>
                      <w:marBottom w:val="0"/>
                      <w:divBdr>
                        <w:top w:val="none" w:sz="0" w:space="0" w:color="auto"/>
                        <w:left w:val="none" w:sz="0" w:space="0" w:color="auto"/>
                        <w:bottom w:val="none" w:sz="0" w:space="0" w:color="auto"/>
                        <w:right w:val="none" w:sz="0" w:space="0" w:color="auto"/>
                      </w:divBdr>
                    </w:div>
                  </w:divsChild>
                </w:div>
                <w:div w:id="107285396">
                  <w:marLeft w:val="0"/>
                  <w:marRight w:val="0"/>
                  <w:marTop w:val="0"/>
                  <w:marBottom w:val="0"/>
                  <w:divBdr>
                    <w:top w:val="none" w:sz="0" w:space="0" w:color="auto"/>
                    <w:left w:val="none" w:sz="0" w:space="0" w:color="auto"/>
                    <w:bottom w:val="none" w:sz="0" w:space="0" w:color="auto"/>
                    <w:right w:val="none" w:sz="0" w:space="0" w:color="auto"/>
                  </w:divBdr>
                  <w:divsChild>
                    <w:div w:id="852494327">
                      <w:marLeft w:val="0"/>
                      <w:marRight w:val="0"/>
                      <w:marTop w:val="0"/>
                      <w:marBottom w:val="0"/>
                      <w:divBdr>
                        <w:top w:val="none" w:sz="0" w:space="0" w:color="auto"/>
                        <w:left w:val="none" w:sz="0" w:space="0" w:color="auto"/>
                        <w:bottom w:val="none" w:sz="0" w:space="0" w:color="auto"/>
                        <w:right w:val="none" w:sz="0" w:space="0" w:color="auto"/>
                      </w:divBdr>
                    </w:div>
                  </w:divsChild>
                </w:div>
                <w:div w:id="113671781">
                  <w:marLeft w:val="0"/>
                  <w:marRight w:val="0"/>
                  <w:marTop w:val="0"/>
                  <w:marBottom w:val="0"/>
                  <w:divBdr>
                    <w:top w:val="none" w:sz="0" w:space="0" w:color="auto"/>
                    <w:left w:val="none" w:sz="0" w:space="0" w:color="auto"/>
                    <w:bottom w:val="none" w:sz="0" w:space="0" w:color="auto"/>
                    <w:right w:val="none" w:sz="0" w:space="0" w:color="auto"/>
                  </w:divBdr>
                  <w:divsChild>
                    <w:div w:id="1428429883">
                      <w:marLeft w:val="0"/>
                      <w:marRight w:val="0"/>
                      <w:marTop w:val="0"/>
                      <w:marBottom w:val="0"/>
                      <w:divBdr>
                        <w:top w:val="none" w:sz="0" w:space="0" w:color="auto"/>
                        <w:left w:val="none" w:sz="0" w:space="0" w:color="auto"/>
                        <w:bottom w:val="none" w:sz="0" w:space="0" w:color="auto"/>
                        <w:right w:val="none" w:sz="0" w:space="0" w:color="auto"/>
                      </w:divBdr>
                    </w:div>
                  </w:divsChild>
                </w:div>
                <w:div w:id="117334381">
                  <w:marLeft w:val="0"/>
                  <w:marRight w:val="0"/>
                  <w:marTop w:val="0"/>
                  <w:marBottom w:val="0"/>
                  <w:divBdr>
                    <w:top w:val="none" w:sz="0" w:space="0" w:color="auto"/>
                    <w:left w:val="none" w:sz="0" w:space="0" w:color="auto"/>
                    <w:bottom w:val="none" w:sz="0" w:space="0" w:color="auto"/>
                    <w:right w:val="none" w:sz="0" w:space="0" w:color="auto"/>
                  </w:divBdr>
                  <w:divsChild>
                    <w:div w:id="1119371996">
                      <w:marLeft w:val="0"/>
                      <w:marRight w:val="0"/>
                      <w:marTop w:val="0"/>
                      <w:marBottom w:val="0"/>
                      <w:divBdr>
                        <w:top w:val="none" w:sz="0" w:space="0" w:color="auto"/>
                        <w:left w:val="none" w:sz="0" w:space="0" w:color="auto"/>
                        <w:bottom w:val="none" w:sz="0" w:space="0" w:color="auto"/>
                        <w:right w:val="none" w:sz="0" w:space="0" w:color="auto"/>
                      </w:divBdr>
                    </w:div>
                  </w:divsChild>
                </w:div>
                <w:div w:id="124088394">
                  <w:marLeft w:val="0"/>
                  <w:marRight w:val="0"/>
                  <w:marTop w:val="0"/>
                  <w:marBottom w:val="0"/>
                  <w:divBdr>
                    <w:top w:val="none" w:sz="0" w:space="0" w:color="auto"/>
                    <w:left w:val="none" w:sz="0" w:space="0" w:color="auto"/>
                    <w:bottom w:val="none" w:sz="0" w:space="0" w:color="auto"/>
                    <w:right w:val="none" w:sz="0" w:space="0" w:color="auto"/>
                  </w:divBdr>
                  <w:divsChild>
                    <w:div w:id="1137381591">
                      <w:marLeft w:val="0"/>
                      <w:marRight w:val="0"/>
                      <w:marTop w:val="0"/>
                      <w:marBottom w:val="0"/>
                      <w:divBdr>
                        <w:top w:val="none" w:sz="0" w:space="0" w:color="auto"/>
                        <w:left w:val="none" w:sz="0" w:space="0" w:color="auto"/>
                        <w:bottom w:val="none" w:sz="0" w:space="0" w:color="auto"/>
                        <w:right w:val="none" w:sz="0" w:space="0" w:color="auto"/>
                      </w:divBdr>
                    </w:div>
                  </w:divsChild>
                </w:div>
                <w:div w:id="135689709">
                  <w:marLeft w:val="0"/>
                  <w:marRight w:val="0"/>
                  <w:marTop w:val="0"/>
                  <w:marBottom w:val="0"/>
                  <w:divBdr>
                    <w:top w:val="none" w:sz="0" w:space="0" w:color="auto"/>
                    <w:left w:val="none" w:sz="0" w:space="0" w:color="auto"/>
                    <w:bottom w:val="none" w:sz="0" w:space="0" w:color="auto"/>
                    <w:right w:val="none" w:sz="0" w:space="0" w:color="auto"/>
                  </w:divBdr>
                  <w:divsChild>
                    <w:div w:id="1268582167">
                      <w:marLeft w:val="0"/>
                      <w:marRight w:val="0"/>
                      <w:marTop w:val="0"/>
                      <w:marBottom w:val="0"/>
                      <w:divBdr>
                        <w:top w:val="none" w:sz="0" w:space="0" w:color="auto"/>
                        <w:left w:val="none" w:sz="0" w:space="0" w:color="auto"/>
                        <w:bottom w:val="none" w:sz="0" w:space="0" w:color="auto"/>
                        <w:right w:val="none" w:sz="0" w:space="0" w:color="auto"/>
                      </w:divBdr>
                    </w:div>
                  </w:divsChild>
                </w:div>
                <w:div w:id="148832639">
                  <w:marLeft w:val="0"/>
                  <w:marRight w:val="0"/>
                  <w:marTop w:val="0"/>
                  <w:marBottom w:val="0"/>
                  <w:divBdr>
                    <w:top w:val="none" w:sz="0" w:space="0" w:color="auto"/>
                    <w:left w:val="none" w:sz="0" w:space="0" w:color="auto"/>
                    <w:bottom w:val="none" w:sz="0" w:space="0" w:color="auto"/>
                    <w:right w:val="none" w:sz="0" w:space="0" w:color="auto"/>
                  </w:divBdr>
                  <w:divsChild>
                    <w:div w:id="1339847448">
                      <w:marLeft w:val="0"/>
                      <w:marRight w:val="0"/>
                      <w:marTop w:val="0"/>
                      <w:marBottom w:val="0"/>
                      <w:divBdr>
                        <w:top w:val="none" w:sz="0" w:space="0" w:color="auto"/>
                        <w:left w:val="none" w:sz="0" w:space="0" w:color="auto"/>
                        <w:bottom w:val="none" w:sz="0" w:space="0" w:color="auto"/>
                        <w:right w:val="none" w:sz="0" w:space="0" w:color="auto"/>
                      </w:divBdr>
                    </w:div>
                  </w:divsChild>
                </w:div>
                <w:div w:id="156776638">
                  <w:marLeft w:val="0"/>
                  <w:marRight w:val="0"/>
                  <w:marTop w:val="0"/>
                  <w:marBottom w:val="0"/>
                  <w:divBdr>
                    <w:top w:val="none" w:sz="0" w:space="0" w:color="auto"/>
                    <w:left w:val="none" w:sz="0" w:space="0" w:color="auto"/>
                    <w:bottom w:val="none" w:sz="0" w:space="0" w:color="auto"/>
                    <w:right w:val="none" w:sz="0" w:space="0" w:color="auto"/>
                  </w:divBdr>
                  <w:divsChild>
                    <w:div w:id="1874033606">
                      <w:marLeft w:val="0"/>
                      <w:marRight w:val="0"/>
                      <w:marTop w:val="0"/>
                      <w:marBottom w:val="0"/>
                      <w:divBdr>
                        <w:top w:val="none" w:sz="0" w:space="0" w:color="auto"/>
                        <w:left w:val="none" w:sz="0" w:space="0" w:color="auto"/>
                        <w:bottom w:val="none" w:sz="0" w:space="0" w:color="auto"/>
                        <w:right w:val="none" w:sz="0" w:space="0" w:color="auto"/>
                      </w:divBdr>
                    </w:div>
                  </w:divsChild>
                </w:div>
                <w:div w:id="160198879">
                  <w:marLeft w:val="0"/>
                  <w:marRight w:val="0"/>
                  <w:marTop w:val="0"/>
                  <w:marBottom w:val="0"/>
                  <w:divBdr>
                    <w:top w:val="none" w:sz="0" w:space="0" w:color="auto"/>
                    <w:left w:val="none" w:sz="0" w:space="0" w:color="auto"/>
                    <w:bottom w:val="none" w:sz="0" w:space="0" w:color="auto"/>
                    <w:right w:val="none" w:sz="0" w:space="0" w:color="auto"/>
                  </w:divBdr>
                  <w:divsChild>
                    <w:div w:id="737752885">
                      <w:marLeft w:val="0"/>
                      <w:marRight w:val="0"/>
                      <w:marTop w:val="0"/>
                      <w:marBottom w:val="0"/>
                      <w:divBdr>
                        <w:top w:val="none" w:sz="0" w:space="0" w:color="auto"/>
                        <w:left w:val="none" w:sz="0" w:space="0" w:color="auto"/>
                        <w:bottom w:val="none" w:sz="0" w:space="0" w:color="auto"/>
                        <w:right w:val="none" w:sz="0" w:space="0" w:color="auto"/>
                      </w:divBdr>
                    </w:div>
                  </w:divsChild>
                </w:div>
                <w:div w:id="161548281">
                  <w:marLeft w:val="0"/>
                  <w:marRight w:val="0"/>
                  <w:marTop w:val="0"/>
                  <w:marBottom w:val="0"/>
                  <w:divBdr>
                    <w:top w:val="none" w:sz="0" w:space="0" w:color="auto"/>
                    <w:left w:val="none" w:sz="0" w:space="0" w:color="auto"/>
                    <w:bottom w:val="none" w:sz="0" w:space="0" w:color="auto"/>
                    <w:right w:val="none" w:sz="0" w:space="0" w:color="auto"/>
                  </w:divBdr>
                  <w:divsChild>
                    <w:div w:id="891237396">
                      <w:marLeft w:val="0"/>
                      <w:marRight w:val="0"/>
                      <w:marTop w:val="0"/>
                      <w:marBottom w:val="0"/>
                      <w:divBdr>
                        <w:top w:val="none" w:sz="0" w:space="0" w:color="auto"/>
                        <w:left w:val="none" w:sz="0" w:space="0" w:color="auto"/>
                        <w:bottom w:val="none" w:sz="0" w:space="0" w:color="auto"/>
                        <w:right w:val="none" w:sz="0" w:space="0" w:color="auto"/>
                      </w:divBdr>
                    </w:div>
                  </w:divsChild>
                </w:div>
                <w:div w:id="168563502">
                  <w:marLeft w:val="0"/>
                  <w:marRight w:val="0"/>
                  <w:marTop w:val="0"/>
                  <w:marBottom w:val="0"/>
                  <w:divBdr>
                    <w:top w:val="none" w:sz="0" w:space="0" w:color="auto"/>
                    <w:left w:val="none" w:sz="0" w:space="0" w:color="auto"/>
                    <w:bottom w:val="none" w:sz="0" w:space="0" w:color="auto"/>
                    <w:right w:val="none" w:sz="0" w:space="0" w:color="auto"/>
                  </w:divBdr>
                  <w:divsChild>
                    <w:div w:id="828862002">
                      <w:marLeft w:val="0"/>
                      <w:marRight w:val="0"/>
                      <w:marTop w:val="0"/>
                      <w:marBottom w:val="0"/>
                      <w:divBdr>
                        <w:top w:val="none" w:sz="0" w:space="0" w:color="auto"/>
                        <w:left w:val="none" w:sz="0" w:space="0" w:color="auto"/>
                        <w:bottom w:val="none" w:sz="0" w:space="0" w:color="auto"/>
                        <w:right w:val="none" w:sz="0" w:space="0" w:color="auto"/>
                      </w:divBdr>
                    </w:div>
                  </w:divsChild>
                </w:div>
                <w:div w:id="178396000">
                  <w:marLeft w:val="0"/>
                  <w:marRight w:val="0"/>
                  <w:marTop w:val="0"/>
                  <w:marBottom w:val="0"/>
                  <w:divBdr>
                    <w:top w:val="none" w:sz="0" w:space="0" w:color="auto"/>
                    <w:left w:val="none" w:sz="0" w:space="0" w:color="auto"/>
                    <w:bottom w:val="none" w:sz="0" w:space="0" w:color="auto"/>
                    <w:right w:val="none" w:sz="0" w:space="0" w:color="auto"/>
                  </w:divBdr>
                  <w:divsChild>
                    <w:div w:id="348534064">
                      <w:marLeft w:val="0"/>
                      <w:marRight w:val="0"/>
                      <w:marTop w:val="0"/>
                      <w:marBottom w:val="0"/>
                      <w:divBdr>
                        <w:top w:val="none" w:sz="0" w:space="0" w:color="auto"/>
                        <w:left w:val="none" w:sz="0" w:space="0" w:color="auto"/>
                        <w:bottom w:val="none" w:sz="0" w:space="0" w:color="auto"/>
                        <w:right w:val="none" w:sz="0" w:space="0" w:color="auto"/>
                      </w:divBdr>
                    </w:div>
                  </w:divsChild>
                </w:div>
                <w:div w:id="178589885">
                  <w:marLeft w:val="0"/>
                  <w:marRight w:val="0"/>
                  <w:marTop w:val="0"/>
                  <w:marBottom w:val="0"/>
                  <w:divBdr>
                    <w:top w:val="none" w:sz="0" w:space="0" w:color="auto"/>
                    <w:left w:val="none" w:sz="0" w:space="0" w:color="auto"/>
                    <w:bottom w:val="none" w:sz="0" w:space="0" w:color="auto"/>
                    <w:right w:val="none" w:sz="0" w:space="0" w:color="auto"/>
                  </w:divBdr>
                  <w:divsChild>
                    <w:div w:id="2142577737">
                      <w:marLeft w:val="0"/>
                      <w:marRight w:val="0"/>
                      <w:marTop w:val="0"/>
                      <w:marBottom w:val="0"/>
                      <w:divBdr>
                        <w:top w:val="none" w:sz="0" w:space="0" w:color="auto"/>
                        <w:left w:val="none" w:sz="0" w:space="0" w:color="auto"/>
                        <w:bottom w:val="none" w:sz="0" w:space="0" w:color="auto"/>
                        <w:right w:val="none" w:sz="0" w:space="0" w:color="auto"/>
                      </w:divBdr>
                    </w:div>
                  </w:divsChild>
                </w:div>
                <w:div w:id="179586128">
                  <w:marLeft w:val="0"/>
                  <w:marRight w:val="0"/>
                  <w:marTop w:val="0"/>
                  <w:marBottom w:val="0"/>
                  <w:divBdr>
                    <w:top w:val="none" w:sz="0" w:space="0" w:color="auto"/>
                    <w:left w:val="none" w:sz="0" w:space="0" w:color="auto"/>
                    <w:bottom w:val="none" w:sz="0" w:space="0" w:color="auto"/>
                    <w:right w:val="none" w:sz="0" w:space="0" w:color="auto"/>
                  </w:divBdr>
                  <w:divsChild>
                    <w:div w:id="352221279">
                      <w:marLeft w:val="0"/>
                      <w:marRight w:val="0"/>
                      <w:marTop w:val="0"/>
                      <w:marBottom w:val="0"/>
                      <w:divBdr>
                        <w:top w:val="none" w:sz="0" w:space="0" w:color="auto"/>
                        <w:left w:val="none" w:sz="0" w:space="0" w:color="auto"/>
                        <w:bottom w:val="none" w:sz="0" w:space="0" w:color="auto"/>
                        <w:right w:val="none" w:sz="0" w:space="0" w:color="auto"/>
                      </w:divBdr>
                    </w:div>
                  </w:divsChild>
                </w:div>
                <w:div w:id="193156109">
                  <w:marLeft w:val="0"/>
                  <w:marRight w:val="0"/>
                  <w:marTop w:val="0"/>
                  <w:marBottom w:val="0"/>
                  <w:divBdr>
                    <w:top w:val="none" w:sz="0" w:space="0" w:color="auto"/>
                    <w:left w:val="none" w:sz="0" w:space="0" w:color="auto"/>
                    <w:bottom w:val="none" w:sz="0" w:space="0" w:color="auto"/>
                    <w:right w:val="none" w:sz="0" w:space="0" w:color="auto"/>
                  </w:divBdr>
                  <w:divsChild>
                    <w:div w:id="643314912">
                      <w:marLeft w:val="0"/>
                      <w:marRight w:val="0"/>
                      <w:marTop w:val="0"/>
                      <w:marBottom w:val="0"/>
                      <w:divBdr>
                        <w:top w:val="none" w:sz="0" w:space="0" w:color="auto"/>
                        <w:left w:val="none" w:sz="0" w:space="0" w:color="auto"/>
                        <w:bottom w:val="none" w:sz="0" w:space="0" w:color="auto"/>
                        <w:right w:val="none" w:sz="0" w:space="0" w:color="auto"/>
                      </w:divBdr>
                    </w:div>
                  </w:divsChild>
                </w:div>
                <w:div w:id="198402026">
                  <w:marLeft w:val="0"/>
                  <w:marRight w:val="0"/>
                  <w:marTop w:val="0"/>
                  <w:marBottom w:val="0"/>
                  <w:divBdr>
                    <w:top w:val="none" w:sz="0" w:space="0" w:color="auto"/>
                    <w:left w:val="none" w:sz="0" w:space="0" w:color="auto"/>
                    <w:bottom w:val="none" w:sz="0" w:space="0" w:color="auto"/>
                    <w:right w:val="none" w:sz="0" w:space="0" w:color="auto"/>
                  </w:divBdr>
                  <w:divsChild>
                    <w:div w:id="1254364028">
                      <w:marLeft w:val="0"/>
                      <w:marRight w:val="0"/>
                      <w:marTop w:val="0"/>
                      <w:marBottom w:val="0"/>
                      <w:divBdr>
                        <w:top w:val="none" w:sz="0" w:space="0" w:color="auto"/>
                        <w:left w:val="none" w:sz="0" w:space="0" w:color="auto"/>
                        <w:bottom w:val="none" w:sz="0" w:space="0" w:color="auto"/>
                        <w:right w:val="none" w:sz="0" w:space="0" w:color="auto"/>
                      </w:divBdr>
                    </w:div>
                  </w:divsChild>
                </w:div>
                <w:div w:id="207767472">
                  <w:marLeft w:val="0"/>
                  <w:marRight w:val="0"/>
                  <w:marTop w:val="0"/>
                  <w:marBottom w:val="0"/>
                  <w:divBdr>
                    <w:top w:val="none" w:sz="0" w:space="0" w:color="auto"/>
                    <w:left w:val="none" w:sz="0" w:space="0" w:color="auto"/>
                    <w:bottom w:val="none" w:sz="0" w:space="0" w:color="auto"/>
                    <w:right w:val="none" w:sz="0" w:space="0" w:color="auto"/>
                  </w:divBdr>
                  <w:divsChild>
                    <w:div w:id="1450928666">
                      <w:marLeft w:val="0"/>
                      <w:marRight w:val="0"/>
                      <w:marTop w:val="0"/>
                      <w:marBottom w:val="0"/>
                      <w:divBdr>
                        <w:top w:val="none" w:sz="0" w:space="0" w:color="auto"/>
                        <w:left w:val="none" w:sz="0" w:space="0" w:color="auto"/>
                        <w:bottom w:val="none" w:sz="0" w:space="0" w:color="auto"/>
                        <w:right w:val="none" w:sz="0" w:space="0" w:color="auto"/>
                      </w:divBdr>
                    </w:div>
                  </w:divsChild>
                </w:div>
                <w:div w:id="246504244">
                  <w:marLeft w:val="0"/>
                  <w:marRight w:val="0"/>
                  <w:marTop w:val="0"/>
                  <w:marBottom w:val="0"/>
                  <w:divBdr>
                    <w:top w:val="none" w:sz="0" w:space="0" w:color="auto"/>
                    <w:left w:val="none" w:sz="0" w:space="0" w:color="auto"/>
                    <w:bottom w:val="none" w:sz="0" w:space="0" w:color="auto"/>
                    <w:right w:val="none" w:sz="0" w:space="0" w:color="auto"/>
                  </w:divBdr>
                  <w:divsChild>
                    <w:div w:id="1583224157">
                      <w:marLeft w:val="0"/>
                      <w:marRight w:val="0"/>
                      <w:marTop w:val="0"/>
                      <w:marBottom w:val="0"/>
                      <w:divBdr>
                        <w:top w:val="none" w:sz="0" w:space="0" w:color="auto"/>
                        <w:left w:val="none" w:sz="0" w:space="0" w:color="auto"/>
                        <w:bottom w:val="none" w:sz="0" w:space="0" w:color="auto"/>
                        <w:right w:val="none" w:sz="0" w:space="0" w:color="auto"/>
                      </w:divBdr>
                    </w:div>
                  </w:divsChild>
                </w:div>
                <w:div w:id="270208088">
                  <w:marLeft w:val="0"/>
                  <w:marRight w:val="0"/>
                  <w:marTop w:val="0"/>
                  <w:marBottom w:val="0"/>
                  <w:divBdr>
                    <w:top w:val="none" w:sz="0" w:space="0" w:color="auto"/>
                    <w:left w:val="none" w:sz="0" w:space="0" w:color="auto"/>
                    <w:bottom w:val="none" w:sz="0" w:space="0" w:color="auto"/>
                    <w:right w:val="none" w:sz="0" w:space="0" w:color="auto"/>
                  </w:divBdr>
                  <w:divsChild>
                    <w:div w:id="1841962954">
                      <w:marLeft w:val="0"/>
                      <w:marRight w:val="0"/>
                      <w:marTop w:val="0"/>
                      <w:marBottom w:val="0"/>
                      <w:divBdr>
                        <w:top w:val="none" w:sz="0" w:space="0" w:color="auto"/>
                        <w:left w:val="none" w:sz="0" w:space="0" w:color="auto"/>
                        <w:bottom w:val="none" w:sz="0" w:space="0" w:color="auto"/>
                        <w:right w:val="none" w:sz="0" w:space="0" w:color="auto"/>
                      </w:divBdr>
                    </w:div>
                  </w:divsChild>
                </w:div>
                <w:div w:id="270743998">
                  <w:marLeft w:val="0"/>
                  <w:marRight w:val="0"/>
                  <w:marTop w:val="0"/>
                  <w:marBottom w:val="0"/>
                  <w:divBdr>
                    <w:top w:val="none" w:sz="0" w:space="0" w:color="auto"/>
                    <w:left w:val="none" w:sz="0" w:space="0" w:color="auto"/>
                    <w:bottom w:val="none" w:sz="0" w:space="0" w:color="auto"/>
                    <w:right w:val="none" w:sz="0" w:space="0" w:color="auto"/>
                  </w:divBdr>
                  <w:divsChild>
                    <w:div w:id="2016027254">
                      <w:marLeft w:val="0"/>
                      <w:marRight w:val="0"/>
                      <w:marTop w:val="0"/>
                      <w:marBottom w:val="0"/>
                      <w:divBdr>
                        <w:top w:val="none" w:sz="0" w:space="0" w:color="auto"/>
                        <w:left w:val="none" w:sz="0" w:space="0" w:color="auto"/>
                        <w:bottom w:val="none" w:sz="0" w:space="0" w:color="auto"/>
                        <w:right w:val="none" w:sz="0" w:space="0" w:color="auto"/>
                      </w:divBdr>
                    </w:div>
                  </w:divsChild>
                </w:div>
                <w:div w:id="296378701">
                  <w:marLeft w:val="0"/>
                  <w:marRight w:val="0"/>
                  <w:marTop w:val="0"/>
                  <w:marBottom w:val="0"/>
                  <w:divBdr>
                    <w:top w:val="none" w:sz="0" w:space="0" w:color="auto"/>
                    <w:left w:val="none" w:sz="0" w:space="0" w:color="auto"/>
                    <w:bottom w:val="none" w:sz="0" w:space="0" w:color="auto"/>
                    <w:right w:val="none" w:sz="0" w:space="0" w:color="auto"/>
                  </w:divBdr>
                  <w:divsChild>
                    <w:div w:id="1349797520">
                      <w:marLeft w:val="0"/>
                      <w:marRight w:val="0"/>
                      <w:marTop w:val="0"/>
                      <w:marBottom w:val="0"/>
                      <w:divBdr>
                        <w:top w:val="none" w:sz="0" w:space="0" w:color="auto"/>
                        <w:left w:val="none" w:sz="0" w:space="0" w:color="auto"/>
                        <w:bottom w:val="none" w:sz="0" w:space="0" w:color="auto"/>
                        <w:right w:val="none" w:sz="0" w:space="0" w:color="auto"/>
                      </w:divBdr>
                    </w:div>
                  </w:divsChild>
                </w:div>
                <w:div w:id="298000147">
                  <w:marLeft w:val="0"/>
                  <w:marRight w:val="0"/>
                  <w:marTop w:val="0"/>
                  <w:marBottom w:val="0"/>
                  <w:divBdr>
                    <w:top w:val="none" w:sz="0" w:space="0" w:color="auto"/>
                    <w:left w:val="none" w:sz="0" w:space="0" w:color="auto"/>
                    <w:bottom w:val="none" w:sz="0" w:space="0" w:color="auto"/>
                    <w:right w:val="none" w:sz="0" w:space="0" w:color="auto"/>
                  </w:divBdr>
                  <w:divsChild>
                    <w:div w:id="482283992">
                      <w:marLeft w:val="0"/>
                      <w:marRight w:val="0"/>
                      <w:marTop w:val="0"/>
                      <w:marBottom w:val="0"/>
                      <w:divBdr>
                        <w:top w:val="none" w:sz="0" w:space="0" w:color="auto"/>
                        <w:left w:val="none" w:sz="0" w:space="0" w:color="auto"/>
                        <w:bottom w:val="none" w:sz="0" w:space="0" w:color="auto"/>
                        <w:right w:val="none" w:sz="0" w:space="0" w:color="auto"/>
                      </w:divBdr>
                    </w:div>
                  </w:divsChild>
                </w:div>
                <w:div w:id="307051197">
                  <w:marLeft w:val="0"/>
                  <w:marRight w:val="0"/>
                  <w:marTop w:val="0"/>
                  <w:marBottom w:val="0"/>
                  <w:divBdr>
                    <w:top w:val="none" w:sz="0" w:space="0" w:color="auto"/>
                    <w:left w:val="none" w:sz="0" w:space="0" w:color="auto"/>
                    <w:bottom w:val="none" w:sz="0" w:space="0" w:color="auto"/>
                    <w:right w:val="none" w:sz="0" w:space="0" w:color="auto"/>
                  </w:divBdr>
                  <w:divsChild>
                    <w:div w:id="1335378549">
                      <w:marLeft w:val="0"/>
                      <w:marRight w:val="0"/>
                      <w:marTop w:val="0"/>
                      <w:marBottom w:val="0"/>
                      <w:divBdr>
                        <w:top w:val="none" w:sz="0" w:space="0" w:color="auto"/>
                        <w:left w:val="none" w:sz="0" w:space="0" w:color="auto"/>
                        <w:bottom w:val="none" w:sz="0" w:space="0" w:color="auto"/>
                        <w:right w:val="none" w:sz="0" w:space="0" w:color="auto"/>
                      </w:divBdr>
                    </w:div>
                  </w:divsChild>
                </w:div>
                <w:div w:id="326174028">
                  <w:marLeft w:val="0"/>
                  <w:marRight w:val="0"/>
                  <w:marTop w:val="0"/>
                  <w:marBottom w:val="0"/>
                  <w:divBdr>
                    <w:top w:val="none" w:sz="0" w:space="0" w:color="auto"/>
                    <w:left w:val="none" w:sz="0" w:space="0" w:color="auto"/>
                    <w:bottom w:val="none" w:sz="0" w:space="0" w:color="auto"/>
                    <w:right w:val="none" w:sz="0" w:space="0" w:color="auto"/>
                  </w:divBdr>
                  <w:divsChild>
                    <w:div w:id="1685588439">
                      <w:marLeft w:val="0"/>
                      <w:marRight w:val="0"/>
                      <w:marTop w:val="0"/>
                      <w:marBottom w:val="0"/>
                      <w:divBdr>
                        <w:top w:val="none" w:sz="0" w:space="0" w:color="auto"/>
                        <w:left w:val="none" w:sz="0" w:space="0" w:color="auto"/>
                        <w:bottom w:val="none" w:sz="0" w:space="0" w:color="auto"/>
                        <w:right w:val="none" w:sz="0" w:space="0" w:color="auto"/>
                      </w:divBdr>
                    </w:div>
                  </w:divsChild>
                </w:div>
                <w:div w:id="340473769">
                  <w:marLeft w:val="0"/>
                  <w:marRight w:val="0"/>
                  <w:marTop w:val="0"/>
                  <w:marBottom w:val="0"/>
                  <w:divBdr>
                    <w:top w:val="none" w:sz="0" w:space="0" w:color="auto"/>
                    <w:left w:val="none" w:sz="0" w:space="0" w:color="auto"/>
                    <w:bottom w:val="none" w:sz="0" w:space="0" w:color="auto"/>
                    <w:right w:val="none" w:sz="0" w:space="0" w:color="auto"/>
                  </w:divBdr>
                  <w:divsChild>
                    <w:div w:id="1652907509">
                      <w:marLeft w:val="0"/>
                      <w:marRight w:val="0"/>
                      <w:marTop w:val="0"/>
                      <w:marBottom w:val="0"/>
                      <w:divBdr>
                        <w:top w:val="none" w:sz="0" w:space="0" w:color="auto"/>
                        <w:left w:val="none" w:sz="0" w:space="0" w:color="auto"/>
                        <w:bottom w:val="none" w:sz="0" w:space="0" w:color="auto"/>
                        <w:right w:val="none" w:sz="0" w:space="0" w:color="auto"/>
                      </w:divBdr>
                    </w:div>
                  </w:divsChild>
                </w:div>
                <w:div w:id="344748636">
                  <w:marLeft w:val="0"/>
                  <w:marRight w:val="0"/>
                  <w:marTop w:val="0"/>
                  <w:marBottom w:val="0"/>
                  <w:divBdr>
                    <w:top w:val="none" w:sz="0" w:space="0" w:color="auto"/>
                    <w:left w:val="none" w:sz="0" w:space="0" w:color="auto"/>
                    <w:bottom w:val="none" w:sz="0" w:space="0" w:color="auto"/>
                    <w:right w:val="none" w:sz="0" w:space="0" w:color="auto"/>
                  </w:divBdr>
                  <w:divsChild>
                    <w:div w:id="1980644093">
                      <w:marLeft w:val="0"/>
                      <w:marRight w:val="0"/>
                      <w:marTop w:val="0"/>
                      <w:marBottom w:val="0"/>
                      <w:divBdr>
                        <w:top w:val="none" w:sz="0" w:space="0" w:color="auto"/>
                        <w:left w:val="none" w:sz="0" w:space="0" w:color="auto"/>
                        <w:bottom w:val="none" w:sz="0" w:space="0" w:color="auto"/>
                        <w:right w:val="none" w:sz="0" w:space="0" w:color="auto"/>
                      </w:divBdr>
                    </w:div>
                  </w:divsChild>
                </w:div>
                <w:div w:id="357858311">
                  <w:marLeft w:val="0"/>
                  <w:marRight w:val="0"/>
                  <w:marTop w:val="0"/>
                  <w:marBottom w:val="0"/>
                  <w:divBdr>
                    <w:top w:val="none" w:sz="0" w:space="0" w:color="auto"/>
                    <w:left w:val="none" w:sz="0" w:space="0" w:color="auto"/>
                    <w:bottom w:val="none" w:sz="0" w:space="0" w:color="auto"/>
                    <w:right w:val="none" w:sz="0" w:space="0" w:color="auto"/>
                  </w:divBdr>
                  <w:divsChild>
                    <w:div w:id="1817718748">
                      <w:marLeft w:val="0"/>
                      <w:marRight w:val="0"/>
                      <w:marTop w:val="0"/>
                      <w:marBottom w:val="0"/>
                      <w:divBdr>
                        <w:top w:val="none" w:sz="0" w:space="0" w:color="auto"/>
                        <w:left w:val="none" w:sz="0" w:space="0" w:color="auto"/>
                        <w:bottom w:val="none" w:sz="0" w:space="0" w:color="auto"/>
                        <w:right w:val="none" w:sz="0" w:space="0" w:color="auto"/>
                      </w:divBdr>
                    </w:div>
                  </w:divsChild>
                </w:div>
                <w:div w:id="365133823">
                  <w:marLeft w:val="0"/>
                  <w:marRight w:val="0"/>
                  <w:marTop w:val="0"/>
                  <w:marBottom w:val="0"/>
                  <w:divBdr>
                    <w:top w:val="none" w:sz="0" w:space="0" w:color="auto"/>
                    <w:left w:val="none" w:sz="0" w:space="0" w:color="auto"/>
                    <w:bottom w:val="none" w:sz="0" w:space="0" w:color="auto"/>
                    <w:right w:val="none" w:sz="0" w:space="0" w:color="auto"/>
                  </w:divBdr>
                  <w:divsChild>
                    <w:div w:id="1948417544">
                      <w:marLeft w:val="0"/>
                      <w:marRight w:val="0"/>
                      <w:marTop w:val="0"/>
                      <w:marBottom w:val="0"/>
                      <w:divBdr>
                        <w:top w:val="none" w:sz="0" w:space="0" w:color="auto"/>
                        <w:left w:val="none" w:sz="0" w:space="0" w:color="auto"/>
                        <w:bottom w:val="none" w:sz="0" w:space="0" w:color="auto"/>
                        <w:right w:val="none" w:sz="0" w:space="0" w:color="auto"/>
                      </w:divBdr>
                    </w:div>
                  </w:divsChild>
                </w:div>
                <w:div w:id="368073023">
                  <w:marLeft w:val="0"/>
                  <w:marRight w:val="0"/>
                  <w:marTop w:val="0"/>
                  <w:marBottom w:val="0"/>
                  <w:divBdr>
                    <w:top w:val="none" w:sz="0" w:space="0" w:color="auto"/>
                    <w:left w:val="none" w:sz="0" w:space="0" w:color="auto"/>
                    <w:bottom w:val="none" w:sz="0" w:space="0" w:color="auto"/>
                    <w:right w:val="none" w:sz="0" w:space="0" w:color="auto"/>
                  </w:divBdr>
                  <w:divsChild>
                    <w:div w:id="1140270987">
                      <w:marLeft w:val="0"/>
                      <w:marRight w:val="0"/>
                      <w:marTop w:val="0"/>
                      <w:marBottom w:val="0"/>
                      <w:divBdr>
                        <w:top w:val="none" w:sz="0" w:space="0" w:color="auto"/>
                        <w:left w:val="none" w:sz="0" w:space="0" w:color="auto"/>
                        <w:bottom w:val="none" w:sz="0" w:space="0" w:color="auto"/>
                        <w:right w:val="none" w:sz="0" w:space="0" w:color="auto"/>
                      </w:divBdr>
                    </w:div>
                  </w:divsChild>
                </w:div>
                <w:div w:id="378676307">
                  <w:marLeft w:val="0"/>
                  <w:marRight w:val="0"/>
                  <w:marTop w:val="0"/>
                  <w:marBottom w:val="0"/>
                  <w:divBdr>
                    <w:top w:val="none" w:sz="0" w:space="0" w:color="auto"/>
                    <w:left w:val="none" w:sz="0" w:space="0" w:color="auto"/>
                    <w:bottom w:val="none" w:sz="0" w:space="0" w:color="auto"/>
                    <w:right w:val="none" w:sz="0" w:space="0" w:color="auto"/>
                  </w:divBdr>
                  <w:divsChild>
                    <w:div w:id="1884753017">
                      <w:marLeft w:val="0"/>
                      <w:marRight w:val="0"/>
                      <w:marTop w:val="0"/>
                      <w:marBottom w:val="0"/>
                      <w:divBdr>
                        <w:top w:val="none" w:sz="0" w:space="0" w:color="auto"/>
                        <w:left w:val="none" w:sz="0" w:space="0" w:color="auto"/>
                        <w:bottom w:val="none" w:sz="0" w:space="0" w:color="auto"/>
                        <w:right w:val="none" w:sz="0" w:space="0" w:color="auto"/>
                      </w:divBdr>
                    </w:div>
                  </w:divsChild>
                </w:div>
                <w:div w:id="384640178">
                  <w:marLeft w:val="0"/>
                  <w:marRight w:val="0"/>
                  <w:marTop w:val="0"/>
                  <w:marBottom w:val="0"/>
                  <w:divBdr>
                    <w:top w:val="none" w:sz="0" w:space="0" w:color="auto"/>
                    <w:left w:val="none" w:sz="0" w:space="0" w:color="auto"/>
                    <w:bottom w:val="none" w:sz="0" w:space="0" w:color="auto"/>
                    <w:right w:val="none" w:sz="0" w:space="0" w:color="auto"/>
                  </w:divBdr>
                  <w:divsChild>
                    <w:div w:id="125971102">
                      <w:marLeft w:val="0"/>
                      <w:marRight w:val="0"/>
                      <w:marTop w:val="0"/>
                      <w:marBottom w:val="0"/>
                      <w:divBdr>
                        <w:top w:val="none" w:sz="0" w:space="0" w:color="auto"/>
                        <w:left w:val="none" w:sz="0" w:space="0" w:color="auto"/>
                        <w:bottom w:val="none" w:sz="0" w:space="0" w:color="auto"/>
                        <w:right w:val="none" w:sz="0" w:space="0" w:color="auto"/>
                      </w:divBdr>
                    </w:div>
                  </w:divsChild>
                </w:div>
                <w:div w:id="387000309">
                  <w:marLeft w:val="0"/>
                  <w:marRight w:val="0"/>
                  <w:marTop w:val="0"/>
                  <w:marBottom w:val="0"/>
                  <w:divBdr>
                    <w:top w:val="none" w:sz="0" w:space="0" w:color="auto"/>
                    <w:left w:val="none" w:sz="0" w:space="0" w:color="auto"/>
                    <w:bottom w:val="none" w:sz="0" w:space="0" w:color="auto"/>
                    <w:right w:val="none" w:sz="0" w:space="0" w:color="auto"/>
                  </w:divBdr>
                  <w:divsChild>
                    <w:div w:id="1327516698">
                      <w:marLeft w:val="0"/>
                      <w:marRight w:val="0"/>
                      <w:marTop w:val="0"/>
                      <w:marBottom w:val="0"/>
                      <w:divBdr>
                        <w:top w:val="none" w:sz="0" w:space="0" w:color="auto"/>
                        <w:left w:val="none" w:sz="0" w:space="0" w:color="auto"/>
                        <w:bottom w:val="none" w:sz="0" w:space="0" w:color="auto"/>
                        <w:right w:val="none" w:sz="0" w:space="0" w:color="auto"/>
                      </w:divBdr>
                    </w:div>
                  </w:divsChild>
                </w:div>
                <w:div w:id="398865457">
                  <w:marLeft w:val="0"/>
                  <w:marRight w:val="0"/>
                  <w:marTop w:val="0"/>
                  <w:marBottom w:val="0"/>
                  <w:divBdr>
                    <w:top w:val="none" w:sz="0" w:space="0" w:color="auto"/>
                    <w:left w:val="none" w:sz="0" w:space="0" w:color="auto"/>
                    <w:bottom w:val="none" w:sz="0" w:space="0" w:color="auto"/>
                    <w:right w:val="none" w:sz="0" w:space="0" w:color="auto"/>
                  </w:divBdr>
                  <w:divsChild>
                    <w:div w:id="431317747">
                      <w:marLeft w:val="0"/>
                      <w:marRight w:val="0"/>
                      <w:marTop w:val="0"/>
                      <w:marBottom w:val="0"/>
                      <w:divBdr>
                        <w:top w:val="none" w:sz="0" w:space="0" w:color="auto"/>
                        <w:left w:val="none" w:sz="0" w:space="0" w:color="auto"/>
                        <w:bottom w:val="none" w:sz="0" w:space="0" w:color="auto"/>
                        <w:right w:val="none" w:sz="0" w:space="0" w:color="auto"/>
                      </w:divBdr>
                    </w:div>
                  </w:divsChild>
                </w:div>
                <w:div w:id="404693937">
                  <w:marLeft w:val="0"/>
                  <w:marRight w:val="0"/>
                  <w:marTop w:val="0"/>
                  <w:marBottom w:val="0"/>
                  <w:divBdr>
                    <w:top w:val="none" w:sz="0" w:space="0" w:color="auto"/>
                    <w:left w:val="none" w:sz="0" w:space="0" w:color="auto"/>
                    <w:bottom w:val="none" w:sz="0" w:space="0" w:color="auto"/>
                    <w:right w:val="none" w:sz="0" w:space="0" w:color="auto"/>
                  </w:divBdr>
                  <w:divsChild>
                    <w:div w:id="1895654020">
                      <w:marLeft w:val="0"/>
                      <w:marRight w:val="0"/>
                      <w:marTop w:val="0"/>
                      <w:marBottom w:val="0"/>
                      <w:divBdr>
                        <w:top w:val="none" w:sz="0" w:space="0" w:color="auto"/>
                        <w:left w:val="none" w:sz="0" w:space="0" w:color="auto"/>
                        <w:bottom w:val="none" w:sz="0" w:space="0" w:color="auto"/>
                        <w:right w:val="none" w:sz="0" w:space="0" w:color="auto"/>
                      </w:divBdr>
                    </w:div>
                  </w:divsChild>
                </w:div>
                <w:div w:id="408506701">
                  <w:marLeft w:val="0"/>
                  <w:marRight w:val="0"/>
                  <w:marTop w:val="0"/>
                  <w:marBottom w:val="0"/>
                  <w:divBdr>
                    <w:top w:val="none" w:sz="0" w:space="0" w:color="auto"/>
                    <w:left w:val="none" w:sz="0" w:space="0" w:color="auto"/>
                    <w:bottom w:val="none" w:sz="0" w:space="0" w:color="auto"/>
                    <w:right w:val="none" w:sz="0" w:space="0" w:color="auto"/>
                  </w:divBdr>
                  <w:divsChild>
                    <w:div w:id="1145581962">
                      <w:marLeft w:val="0"/>
                      <w:marRight w:val="0"/>
                      <w:marTop w:val="0"/>
                      <w:marBottom w:val="0"/>
                      <w:divBdr>
                        <w:top w:val="none" w:sz="0" w:space="0" w:color="auto"/>
                        <w:left w:val="none" w:sz="0" w:space="0" w:color="auto"/>
                        <w:bottom w:val="none" w:sz="0" w:space="0" w:color="auto"/>
                        <w:right w:val="none" w:sz="0" w:space="0" w:color="auto"/>
                      </w:divBdr>
                    </w:div>
                  </w:divsChild>
                </w:div>
                <w:div w:id="416053098">
                  <w:marLeft w:val="0"/>
                  <w:marRight w:val="0"/>
                  <w:marTop w:val="0"/>
                  <w:marBottom w:val="0"/>
                  <w:divBdr>
                    <w:top w:val="none" w:sz="0" w:space="0" w:color="auto"/>
                    <w:left w:val="none" w:sz="0" w:space="0" w:color="auto"/>
                    <w:bottom w:val="none" w:sz="0" w:space="0" w:color="auto"/>
                    <w:right w:val="none" w:sz="0" w:space="0" w:color="auto"/>
                  </w:divBdr>
                  <w:divsChild>
                    <w:div w:id="896092039">
                      <w:marLeft w:val="0"/>
                      <w:marRight w:val="0"/>
                      <w:marTop w:val="0"/>
                      <w:marBottom w:val="0"/>
                      <w:divBdr>
                        <w:top w:val="none" w:sz="0" w:space="0" w:color="auto"/>
                        <w:left w:val="none" w:sz="0" w:space="0" w:color="auto"/>
                        <w:bottom w:val="none" w:sz="0" w:space="0" w:color="auto"/>
                        <w:right w:val="none" w:sz="0" w:space="0" w:color="auto"/>
                      </w:divBdr>
                    </w:div>
                  </w:divsChild>
                </w:div>
                <w:div w:id="420834411">
                  <w:marLeft w:val="0"/>
                  <w:marRight w:val="0"/>
                  <w:marTop w:val="0"/>
                  <w:marBottom w:val="0"/>
                  <w:divBdr>
                    <w:top w:val="none" w:sz="0" w:space="0" w:color="auto"/>
                    <w:left w:val="none" w:sz="0" w:space="0" w:color="auto"/>
                    <w:bottom w:val="none" w:sz="0" w:space="0" w:color="auto"/>
                    <w:right w:val="none" w:sz="0" w:space="0" w:color="auto"/>
                  </w:divBdr>
                  <w:divsChild>
                    <w:div w:id="1671372893">
                      <w:marLeft w:val="0"/>
                      <w:marRight w:val="0"/>
                      <w:marTop w:val="0"/>
                      <w:marBottom w:val="0"/>
                      <w:divBdr>
                        <w:top w:val="none" w:sz="0" w:space="0" w:color="auto"/>
                        <w:left w:val="none" w:sz="0" w:space="0" w:color="auto"/>
                        <w:bottom w:val="none" w:sz="0" w:space="0" w:color="auto"/>
                        <w:right w:val="none" w:sz="0" w:space="0" w:color="auto"/>
                      </w:divBdr>
                    </w:div>
                  </w:divsChild>
                </w:div>
                <w:div w:id="421876193">
                  <w:marLeft w:val="0"/>
                  <w:marRight w:val="0"/>
                  <w:marTop w:val="0"/>
                  <w:marBottom w:val="0"/>
                  <w:divBdr>
                    <w:top w:val="none" w:sz="0" w:space="0" w:color="auto"/>
                    <w:left w:val="none" w:sz="0" w:space="0" w:color="auto"/>
                    <w:bottom w:val="none" w:sz="0" w:space="0" w:color="auto"/>
                    <w:right w:val="none" w:sz="0" w:space="0" w:color="auto"/>
                  </w:divBdr>
                  <w:divsChild>
                    <w:div w:id="19362481">
                      <w:marLeft w:val="0"/>
                      <w:marRight w:val="0"/>
                      <w:marTop w:val="0"/>
                      <w:marBottom w:val="0"/>
                      <w:divBdr>
                        <w:top w:val="none" w:sz="0" w:space="0" w:color="auto"/>
                        <w:left w:val="none" w:sz="0" w:space="0" w:color="auto"/>
                        <w:bottom w:val="none" w:sz="0" w:space="0" w:color="auto"/>
                        <w:right w:val="none" w:sz="0" w:space="0" w:color="auto"/>
                      </w:divBdr>
                    </w:div>
                  </w:divsChild>
                </w:div>
                <w:div w:id="429396854">
                  <w:marLeft w:val="0"/>
                  <w:marRight w:val="0"/>
                  <w:marTop w:val="0"/>
                  <w:marBottom w:val="0"/>
                  <w:divBdr>
                    <w:top w:val="none" w:sz="0" w:space="0" w:color="auto"/>
                    <w:left w:val="none" w:sz="0" w:space="0" w:color="auto"/>
                    <w:bottom w:val="none" w:sz="0" w:space="0" w:color="auto"/>
                    <w:right w:val="none" w:sz="0" w:space="0" w:color="auto"/>
                  </w:divBdr>
                  <w:divsChild>
                    <w:div w:id="1234044312">
                      <w:marLeft w:val="0"/>
                      <w:marRight w:val="0"/>
                      <w:marTop w:val="0"/>
                      <w:marBottom w:val="0"/>
                      <w:divBdr>
                        <w:top w:val="none" w:sz="0" w:space="0" w:color="auto"/>
                        <w:left w:val="none" w:sz="0" w:space="0" w:color="auto"/>
                        <w:bottom w:val="none" w:sz="0" w:space="0" w:color="auto"/>
                        <w:right w:val="none" w:sz="0" w:space="0" w:color="auto"/>
                      </w:divBdr>
                    </w:div>
                  </w:divsChild>
                </w:div>
                <w:div w:id="429544538">
                  <w:marLeft w:val="0"/>
                  <w:marRight w:val="0"/>
                  <w:marTop w:val="0"/>
                  <w:marBottom w:val="0"/>
                  <w:divBdr>
                    <w:top w:val="none" w:sz="0" w:space="0" w:color="auto"/>
                    <w:left w:val="none" w:sz="0" w:space="0" w:color="auto"/>
                    <w:bottom w:val="none" w:sz="0" w:space="0" w:color="auto"/>
                    <w:right w:val="none" w:sz="0" w:space="0" w:color="auto"/>
                  </w:divBdr>
                  <w:divsChild>
                    <w:div w:id="429591737">
                      <w:marLeft w:val="0"/>
                      <w:marRight w:val="0"/>
                      <w:marTop w:val="0"/>
                      <w:marBottom w:val="0"/>
                      <w:divBdr>
                        <w:top w:val="none" w:sz="0" w:space="0" w:color="auto"/>
                        <w:left w:val="none" w:sz="0" w:space="0" w:color="auto"/>
                        <w:bottom w:val="none" w:sz="0" w:space="0" w:color="auto"/>
                        <w:right w:val="none" w:sz="0" w:space="0" w:color="auto"/>
                      </w:divBdr>
                    </w:div>
                  </w:divsChild>
                </w:div>
                <w:div w:id="430972297">
                  <w:marLeft w:val="0"/>
                  <w:marRight w:val="0"/>
                  <w:marTop w:val="0"/>
                  <w:marBottom w:val="0"/>
                  <w:divBdr>
                    <w:top w:val="none" w:sz="0" w:space="0" w:color="auto"/>
                    <w:left w:val="none" w:sz="0" w:space="0" w:color="auto"/>
                    <w:bottom w:val="none" w:sz="0" w:space="0" w:color="auto"/>
                    <w:right w:val="none" w:sz="0" w:space="0" w:color="auto"/>
                  </w:divBdr>
                  <w:divsChild>
                    <w:div w:id="1246649531">
                      <w:marLeft w:val="0"/>
                      <w:marRight w:val="0"/>
                      <w:marTop w:val="0"/>
                      <w:marBottom w:val="0"/>
                      <w:divBdr>
                        <w:top w:val="none" w:sz="0" w:space="0" w:color="auto"/>
                        <w:left w:val="none" w:sz="0" w:space="0" w:color="auto"/>
                        <w:bottom w:val="none" w:sz="0" w:space="0" w:color="auto"/>
                        <w:right w:val="none" w:sz="0" w:space="0" w:color="auto"/>
                      </w:divBdr>
                    </w:div>
                  </w:divsChild>
                </w:div>
                <w:div w:id="448941533">
                  <w:marLeft w:val="0"/>
                  <w:marRight w:val="0"/>
                  <w:marTop w:val="0"/>
                  <w:marBottom w:val="0"/>
                  <w:divBdr>
                    <w:top w:val="none" w:sz="0" w:space="0" w:color="auto"/>
                    <w:left w:val="none" w:sz="0" w:space="0" w:color="auto"/>
                    <w:bottom w:val="none" w:sz="0" w:space="0" w:color="auto"/>
                    <w:right w:val="none" w:sz="0" w:space="0" w:color="auto"/>
                  </w:divBdr>
                  <w:divsChild>
                    <w:div w:id="1888105510">
                      <w:marLeft w:val="0"/>
                      <w:marRight w:val="0"/>
                      <w:marTop w:val="0"/>
                      <w:marBottom w:val="0"/>
                      <w:divBdr>
                        <w:top w:val="none" w:sz="0" w:space="0" w:color="auto"/>
                        <w:left w:val="none" w:sz="0" w:space="0" w:color="auto"/>
                        <w:bottom w:val="none" w:sz="0" w:space="0" w:color="auto"/>
                        <w:right w:val="none" w:sz="0" w:space="0" w:color="auto"/>
                      </w:divBdr>
                    </w:div>
                  </w:divsChild>
                </w:div>
                <w:div w:id="449059360">
                  <w:marLeft w:val="0"/>
                  <w:marRight w:val="0"/>
                  <w:marTop w:val="0"/>
                  <w:marBottom w:val="0"/>
                  <w:divBdr>
                    <w:top w:val="none" w:sz="0" w:space="0" w:color="auto"/>
                    <w:left w:val="none" w:sz="0" w:space="0" w:color="auto"/>
                    <w:bottom w:val="none" w:sz="0" w:space="0" w:color="auto"/>
                    <w:right w:val="none" w:sz="0" w:space="0" w:color="auto"/>
                  </w:divBdr>
                  <w:divsChild>
                    <w:div w:id="1578977923">
                      <w:marLeft w:val="0"/>
                      <w:marRight w:val="0"/>
                      <w:marTop w:val="0"/>
                      <w:marBottom w:val="0"/>
                      <w:divBdr>
                        <w:top w:val="none" w:sz="0" w:space="0" w:color="auto"/>
                        <w:left w:val="none" w:sz="0" w:space="0" w:color="auto"/>
                        <w:bottom w:val="none" w:sz="0" w:space="0" w:color="auto"/>
                        <w:right w:val="none" w:sz="0" w:space="0" w:color="auto"/>
                      </w:divBdr>
                    </w:div>
                  </w:divsChild>
                </w:div>
                <w:div w:id="449207432">
                  <w:marLeft w:val="0"/>
                  <w:marRight w:val="0"/>
                  <w:marTop w:val="0"/>
                  <w:marBottom w:val="0"/>
                  <w:divBdr>
                    <w:top w:val="none" w:sz="0" w:space="0" w:color="auto"/>
                    <w:left w:val="none" w:sz="0" w:space="0" w:color="auto"/>
                    <w:bottom w:val="none" w:sz="0" w:space="0" w:color="auto"/>
                    <w:right w:val="none" w:sz="0" w:space="0" w:color="auto"/>
                  </w:divBdr>
                  <w:divsChild>
                    <w:div w:id="1434471663">
                      <w:marLeft w:val="0"/>
                      <w:marRight w:val="0"/>
                      <w:marTop w:val="0"/>
                      <w:marBottom w:val="0"/>
                      <w:divBdr>
                        <w:top w:val="none" w:sz="0" w:space="0" w:color="auto"/>
                        <w:left w:val="none" w:sz="0" w:space="0" w:color="auto"/>
                        <w:bottom w:val="none" w:sz="0" w:space="0" w:color="auto"/>
                        <w:right w:val="none" w:sz="0" w:space="0" w:color="auto"/>
                      </w:divBdr>
                    </w:div>
                  </w:divsChild>
                </w:div>
                <w:div w:id="461967211">
                  <w:marLeft w:val="0"/>
                  <w:marRight w:val="0"/>
                  <w:marTop w:val="0"/>
                  <w:marBottom w:val="0"/>
                  <w:divBdr>
                    <w:top w:val="none" w:sz="0" w:space="0" w:color="auto"/>
                    <w:left w:val="none" w:sz="0" w:space="0" w:color="auto"/>
                    <w:bottom w:val="none" w:sz="0" w:space="0" w:color="auto"/>
                    <w:right w:val="none" w:sz="0" w:space="0" w:color="auto"/>
                  </w:divBdr>
                  <w:divsChild>
                    <w:div w:id="1144390243">
                      <w:marLeft w:val="0"/>
                      <w:marRight w:val="0"/>
                      <w:marTop w:val="0"/>
                      <w:marBottom w:val="0"/>
                      <w:divBdr>
                        <w:top w:val="none" w:sz="0" w:space="0" w:color="auto"/>
                        <w:left w:val="none" w:sz="0" w:space="0" w:color="auto"/>
                        <w:bottom w:val="none" w:sz="0" w:space="0" w:color="auto"/>
                        <w:right w:val="none" w:sz="0" w:space="0" w:color="auto"/>
                      </w:divBdr>
                    </w:div>
                  </w:divsChild>
                </w:div>
                <w:div w:id="484395103">
                  <w:marLeft w:val="0"/>
                  <w:marRight w:val="0"/>
                  <w:marTop w:val="0"/>
                  <w:marBottom w:val="0"/>
                  <w:divBdr>
                    <w:top w:val="none" w:sz="0" w:space="0" w:color="auto"/>
                    <w:left w:val="none" w:sz="0" w:space="0" w:color="auto"/>
                    <w:bottom w:val="none" w:sz="0" w:space="0" w:color="auto"/>
                    <w:right w:val="none" w:sz="0" w:space="0" w:color="auto"/>
                  </w:divBdr>
                  <w:divsChild>
                    <w:div w:id="2017733202">
                      <w:marLeft w:val="0"/>
                      <w:marRight w:val="0"/>
                      <w:marTop w:val="0"/>
                      <w:marBottom w:val="0"/>
                      <w:divBdr>
                        <w:top w:val="none" w:sz="0" w:space="0" w:color="auto"/>
                        <w:left w:val="none" w:sz="0" w:space="0" w:color="auto"/>
                        <w:bottom w:val="none" w:sz="0" w:space="0" w:color="auto"/>
                        <w:right w:val="none" w:sz="0" w:space="0" w:color="auto"/>
                      </w:divBdr>
                    </w:div>
                  </w:divsChild>
                </w:div>
                <w:div w:id="500003311">
                  <w:marLeft w:val="0"/>
                  <w:marRight w:val="0"/>
                  <w:marTop w:val="0"/>
                  <w:marBottom w:val="0"/>
                  <w:divBdr>
                    <w:top w:val="none" w:sz="0" w:space="0" w:color="auto"/>
                    <w:left w:val="none" w:sz="0" w:space="0" w:color="auto"/>
                    <w:bottom w:val="none" w:sz="0" w:space="0" w:color="auto"/>
                    <w:right w:val="none" w:sz="0" w:space="0" w:color="auto"/>
                  </w:divBdr>
                  <w:divsChild>
                    <w:div w:id="760878979">
                      <w:marLeft w:val="0"/>
                      <w:marRight w:val="0"/>
                      <w:marTop w:val="0"/>
                      <w:marBottom w:val="0"/>
                      <w:divBdr>
                        <w:top w:val="none" w:sz="0" w:space="0" w:color="auto"/>
                        <w:left w:val="none" w:sz="0" w:space="0" w:color="auto"/>
                        <w:bottom w:val="none" w:sz="0" w:space="0" w:color="auto"/>
                        <w:right w:val="none" w:sz="0" w:space="0" w:color="auto"/>
                      </w:divBdr>
                    </w:div>
                  </w:divsChild>
                </w:div>
                <w:div w:id="509375229">
                  <w:marLeft w:val="0"/>
                  <w:marRight w:val="0"/>
                  <w:marTop w:val="0"/>
                  <w:marBottom w:val="0"/>
                  <w:divBdr>
                    <w:top w:val="none" w:sz="0" w:space="0" w:color="auto"/>
                    <w:left w:val="none" w:sz="0" w:space="0" w:color="auto"/>
                    <w:bottom w:val="none" w:sz="0" w:space="0" w:color="auto"/>
                    <w:right w:val="none" w:sz="0" w:space="0" w:color="auto"/>
                  </w:divBdr>
                  <w:divsChild>
                    <w:div w:id="2079403122">
                      <w:marLeft w:val="0"/>
                      <w:marRight w:val="0"/>
                      <w:marTop w:val="0"/>
                      <w:marBottom w:val="0"/>
                      <w:divBdr>
                        <w:top w:val="none" w:sz="0" w:space="0" w:color="auto"/>
                        <w:left w:val="none" w:sz="0" w:space="0" w:color="auto"/>
                        <w:bottom w:val="none" w:sz="0" w:space="0" w:color="auto"/>
                        <w:right w:val="none" w:sz="0" w:space="0" w:color="auto"/>
                      </w:divBdr>
                    </w:div>
                  </w:divsChild>
                </w:div>
                <w:div w:id="519052442">
                  <w:marLeft w:val="0"/>
                  <w:marRight w:val="0"/>
                  <w:marTop w:val="0"/>
                  <w:marBottom w:val="0"/>
                  <w:divBdr>
                    <w:top w:val="none" w:sz="0" w:space="0" w:color="auto"/>
                    <w:left w:val="none" w:sz="0" w:space="0" w:color="auto"/>
                    <w:bottom w:val="none" w:sz="0" w:space="0" w:color="auto"/>
                    <w:right w:val="none" w:sz="0" w:space="0" w:color="auto"/>
                  </w:divBdr>
                  <w:divsChild>
                    <w:div w:id="1079785970">
                      <w:marLeft w:val="0"/>
                      <w:marRight w:val="0"/>
                      <w:marTop w:val="0"/>
                      <w:marBottom w:val="0"/>
                      <w:divBdr>
                        <w:top w:val="none" w:sz="0" w:space="0" w:color="auto"/>
                        <w:left w:val="none" w:sz="0" w:space="0" w:color="auto"/>
                        <w:bottom w:val="none" w:sz="0" w:space="0" w:color="auto"/>
                        <w:right w:val="none" w:sz="0" w:space="0" w:color="auto"/>
                      </w:divBdr>
                    </w:div>
                  </w:divsChild>
                </w:div>
                <w:div w:id="530071374">
                  <w:marLeft w:val="0"/>
                  <w:marRight w:val="0"/>
                  <w:marTop w:val="0"/>
                  <w:marBottom w:val="0"/>
                  <w:divBdr>
                    <w:top w:val="none" w:sz="0" w:space="0" w:color="auto"/>
                    <w:left w:val="none" w:sz="0" w:space="0" w:color="auto"/>
                    <w:bottom w:val="none" w:sz="0" w:space="0" w:color="auto"/>
                    <w:right w:val="none" w:sz="0" w:space="0" w:color="auto"/>
                  </w:divBdr>
                  <w:divsChild>
                    <w:div w:id="1827434788">
                      <w:marLeft w:val="0"/>
                      <w:marRight w:val="0"/>
                      <w:marTop w:val="0"/>
                      <w:marBottom w:val="0"/>
                      <w:divBdr>
                        <w:top w:val="none" w:sz="0" w:space="0" w:color="auto"/>
                        <w:left w:val="none" w:sz="0" w:space="0" w:color="auto"/>
                        <w:bottom w:val="none" w:sz="0" w:space="0" w:color="auto"/>
                        <w:right w:val="none" w:sz="0" w:space="0" w:color="auto"/>
                      </w:divBdr>
                    </w:div>
                  </w:divsChild>
                </w:div>
                <w:div w:id="595287919">
                  <w:marLeft w:val="0"/>
                  <w:marRight w:val="0"/>
                  <w:marTop w:val="0"/>
                  <w:marBottom w:val="0"/>
                  <w:divBdr>
                    <w:top w:val="none" w:sz="0" w:space="0" w:color="auto"/>
                    <w:left w:val="none" w:sz="0" w:space="0" w:color="auto"/>
                    <w:bottom w:val="none" w:sz="0" w:space="0" w:color="auto"/>
                    <w:right w:val="none" w:sz="0" w:space="0" w:color="auto"/>
                  </w:divBdr>
                  <w:divsChild>
                    <w:div w:id="741832666">
                      <w:marLeft w:val="0"/>
                      <w:marRight w:val="0"/>
                      <w:marTop w:val="0"/>
                      <w:marBottom w:val="0"/>
                      <w:divBdr>
                        <w:top w:val="none" w:sz="0" w:space="0" w:color="auto"/>
                        <w:left w:val="none" w:sz="0" w:space="0" w:color="auto"/>
                        <w:bottom w:val="none" w:sz="0" w:space="0" w:color="auto"/>
                        <w:right w:val="none" w:sz="0" w:space="0" w:color="auto"/>
                      </w:divBdr>
                    </w:div>
                  </w:divsChild>
                </w:div>
                <w:div w:id="603728132">
                  <w:marLeft w:val="0"/>
                  <w:marRight w:val="0"/>
                  <w:marTop w:val="0"/>
                  <w:marBottom w:val="0"/>
                  <w:divBdr>
                    <w:top w:val="none" w:sz="0" w:space="0" w:color="auto"/>
                    <w:left w:val="none" w:sz="0" w:space="0" w:color="auto"/>
                    <w:bottom w:val="none" w:sz="0" w:space="0" w:color="auto"/>
                    <w:right w:val="none" w:sz="0" w:space="0" w:color="auto"/>
                  </w:divBdr>
                  <w:divsChild>
                    <w:div w:id="1896427461">
                      <w:marLeft w:val="0"/>
                      <w:marRight w:val="0"/>
                      <w:marTop w:val="0"/>
                      <w:marBottom w:val="0"/>
                      <w:divBdr>
                        <w:top w:val="none" w:sz="0" w:space="0" w:color="auto"/>
                        <w:left w:val="none" w:sz="0" w:space="0" w:color="auto"/>
                        <w:bottom w:val="none" w:sz="0" w:space="0" w:color="auto"/>
                        <w:right w:val="none" w:sz="0" w:space="0" w:color="auto"/>
                      </w:divBdr>
                    </w:div>
                  </w:divsChild>
                </w:div>
                <w:div w:id="604119229">
                  <w:marLeft w:val="0"/>
                  <w:marRight w:val="0"/>
                  <w:marTop w:val="0"/>
                  <w:marBottom w:val="0"/>
                  <w:divBdr>
                    <w:top w:val="none" w:sz="0" w:space="0" w:color="auto"/>
                    <w:left w:val="none" w:sz="0" w:space="0" w:color="auto"/>
                    <w:bottom w:val="none" w:sz="0" w:space="0" w:color="auto"/>
                    <w:right w:val="none" w:sz="0" w:space="0" w:color="auto"/>
                  </w:divBdr>
                  <w:divsChild>
                    <w:div w:id="1076395968">
                      <w:marLeft w:val="0"/>
                      <w:marRight w:val="0"/>
                      <w:marTop w:val="0"/>
                      <w:marBottom w:val="0"/>
                      <w:divBdr>
                        <w:top w:val="none" w:sz="0" w:space="0" w:color="auto"/>
                        <w:left w:val="none" w:sz="0" w:space="0" w:color="auto"/>
                        <w:bottom w:val="none" w:sz="0" w:space="0" w:color="auto"/>
                        <w:right w:val="none" w:sz="0" w:space="0" w:color="auto"/>
                      </w:divBdr>
                    </w:div>
                  </w:divsChild>
                </w:div>
                <w:div w:id="610941502">
                  <w:marLeft w:val="0"/>
                  <w:marRight w:val="0"/>
                  <w:marTop w:val="0"/>
                  <w:marBottom w:val="0"/>
                  <w:divBdr>
                    <w:top w:val="none" w:sz="0" w:space="0" w:color="auto"/>
                    <w:left w:val="none" w:sz="0" w:space="0" w:color="auto"/>
                    <w:bottom w:val="none" w:sz="0" w:space="0" w:color="auto"/>
                    <w:right w:val="none" w:sz="0" w:space="0" w:color="auto"/>
                  </w:divBdr>
                  <w:divsChild>
                    <w:div w:id="561911320">
                      <w:marLeft w:val="0"/>
                      <w:marRight w:val="0"/>
                      <w:marTop w:val="0"/>
                      <w:marBottom w:val="0"/>
                      <w:divBdr>
                        <w:top w:val="none" w:sz="0" w:space="0" w:color="auto"/>
                        <w:left w:val="none" w:sz="0" w:space="0" w:color="auto"/>
                        <w:bottom w:val="none" w:sz="0" w:space="0" w:color="auto"/>
                        <w:right w:val="none" w:sz="0" w:space="0" w:color="auto"/>
                      </w:divBdr>
                    </w:div>
                  </w:divsChild>
                </w:div>
                <w:div w:id="611865537">
                  <w:marLeft w:val="0"/>
                  <w:marRight w:val="0"/>
                  <w:marTop w:val="0"/>
                  <w:marBottom w:val="0"/>
                  <w:divBdr>
                    <w:top w:val="none" w:sz="0" w:space="0" w:color="auto"/>
                    <w:left w:val="none" w:sz="0" w:space="0" w:color="auto"/>
                    <w:bottom w:val="none" w:sz="0" w:space="0" w:color="auto"/>
                    <w:right w:val="none" w:sz="0" w:space="0" w:color="auto"/>
                  </w:divBdr>
                  <w:divsChild>
                    <w:div w:id="1778480007">
                      <w:marLeft w:val="0"/>
                      <w:marRight w:val="0"/>
                      <w:marTop w:val="0"/>
                      <w:marBottom w:val="0"/>
                      <w:divBdr>
                        <w:top w:val="none" w:sz="0" w:space="0" w:color="auto"/>
                        <w:left w:val="none" w:sz="0" w:space="0" w:color="auto"/>
                        <w:bottom w:val="none" w:sz="0" w:space="0" w:color="auto"/>
                        <w:right w:val="none" w:sz="0" w:space="0" w:color="auto"/>
                      </w:divBdr>
                    </w:div>
                  </w:divsChild>
                </w:div>
                <w:div w:id="623536796">
                  <w:marLeft w:val="0"/>
                  <w:marRight w:val="0"/>
                  <w:marTop w:val="0"/>
                  <w:marBottom w:val="0"/>
                  <w:divBdr>
                    <w:top w:val="none" w:sz="0" w:space="0" w:color="auto"/>
                    <w:left w:val="none" w:sz="0" w:space="0" w:color="auto"/>
                    <w:bottom w:val="none" w:sz="0" w:space="0" w:color="auto"/>
                    <w:right w:val="none" w:sz="0" w:space="0" w:color="auto"/>
                  </w:divBdr>
                  <w:divsChild>
                    <w:div w:id="441732573">
                      <w:marLeft w:val="0"/>
                      <w:marRight w:val="0"/>
                      <w:marTop w:val="0"/>
                      <w:marBottom w:val="0"/>
                      <w:divBdr>
                        <w:top w:val="none" w:sz="0" w:space="0" w:color="auto"/>
                        <w:left w:val="none" w:sz="0" w:space="0" w:color="auto"/>
                        <w:bottom w:val="none" w:sz="0" w:space="0" w:color="auto"/>
                        <w:right w:val="none" w:sz="0" w:space="0" w:color="auto"/>
                      </w:divBdr>
                    </w:div>
                  </w:divsChild>
                </w:div>
                <w:div w:id="636573471">
                  <w:marLeft w:val="0"/>
                  <w:marRight w:val="0"/>
                  <w:marTop w:val="0"/>
                  <w:marBottom w:val="0"/>
                  <w:divBdr>
                    <w:top w:val="none" w:sz="0" w:space="0" w:color="auto"/>
                    <w:left w:val="none" w:sz="0" w:space="0" w:color="auto"/>
                    <w:bottom w:val="none" w:sz="0" w:space="0" w:color="auto"/>
                    <w:right w:val="none" w:sz="0" w:space="0" w:color="auto"/>
                  </w:divBdr>
                  <w:divsChild>
                    <w:div w:id="1639606260">
                      <w:marLeft w:val="0"/>
                      <w:marRight w:val="0"/>
                      <w:marTop w:val="0"/>
                      <w:marBottom w:val="0"/>
                      <w:divBdr>
                        <w:top w:val="none" w:sz="0" w:space="0" w:color="auto"/>
                        <w:left w:val="none" w:sz="0" w:space="0" w:color="auto"/>
                        <w:bottom w:val="none" w:sz="0" w:space="0" w:color="auto"/>
                        <w:right w:val="none" w:sz="0" w:space="0" w:color="auto"/>
                      </w:divBdr>
                    </w:div>
                  </w:divsChild>
                </w:div>
                <w:div w:id="639917588">
                  <w:marLeft w:val="0"/>
                  <w:marRight w:val="0"/>
                  <w:marTop w:val="0"/>
                  <w:marBottom w:val="0"/>
                  <w:divBdr>
                    <w:top w:val="none" w:sz="0" w:space="0" w:color="auto"/>
                    <w:left w:val="none" w:sz="0" w:space="0" w:color="auto"/>
                    <w:bottom w:val="none" w:sz="0" w:space="0" w:color="auto"/>
                    <w:right w:val="none" w:sz="0" w:space="0" w:color="auto"/>
                  </w:divBdr>
                  <w:divsChild>
                    <w:div w:id="1986423229">
                      <w:marLeft w:val="0"/>
                      <w:marRight w:val="0"/>
                      <w:marTop w:val="0"/>
                      <w:marBottom w:val="0"/>
                      <w:divBdr>
                        <w:top w:val="none" w:sz="0" w:space="0" w:color="auto"/>
                        <w:left w:val="none" w:sz="0" w:space="0" w:color="auto"/>
                        <w:bottom w:val="none" w:sz="0" w:space="0" w:color="auto"/>
                        <w:right w:val="none" w:sz="0" w:space="0" w:color="auto"/>
                      </w:divBdr>
                    </w:div>
                  </w:divsChild>
                </w:div>
                <w:div w:id="643849314">
                  <w:marLeft w:val="0"/>
                  <w:marRight w:val="0"/>
                  <w:marTop w:val="0"/>
                  <w:marBottom w:val="0"/>
                  <w:divBdr>
                    <w:top w:val="none" w:sz="0" w:space="0" w:color="auto"/>
                    <w:left w:val="none" w:sz="0" w:space="0" w:color="auto"/>
                    <w:bottom w:val="none" w:sz="0" w:space="0" w:color="auto"/>
                    <w:right w:val="none" w:sz="0" w:space="0" w:color="auto"/>
                  </w:divBdr>
                  <w:divsChild>
                    <w:div w:id="833227240">
                      <w:marLeft w:val="0"/>
                      <w:marRight w:val="0"/>
                      <w:marTop w:val="0"/>
                      <w:marBottom w:val="0"/>
                      <w:divBdr>
                        <w:top w:val="none" w:sz="0" w:space="0" w:color="auto"/>
                        <w:left w:val="none" w:sz="0" w:space="0" w:color="auto"/>
                        <w:bottom w:val="none" w:sz="0" w:space="0" w:color="auto"/>
                        <w:right w:val="none" w:sz="0" w:space="0" w:color="auto"/>
                      </w:divBdr>
                    </w:div>
                  </w:divsChild>
                </w:div>
                <w:div w:id="662048814">
                  <w:marLeft w:val="0"/>
                  <w:marRight w:val="0"/>
                  <w:marTop w:val="0"/>
                  <w:marBottom w:val="0"/>
                  <w:divBdr>
                    <w:top w:val="none" w:sz="0" w:space="0" w:color="auto"/>
                    <w:left w:val="none" w:sz="0" w:space="0" w:color="auto"/>
                    <w:bottom w:val="none" w:sz="0" w:space="0" w:color="auto"/>
                    <w:right w:val="none" w:sz="0" w:space="0" w:color="auto"/>
                  </w:divBdr>
                  <w:divsChild>
                    <w:div w:id="1026054608">
                      <w:marLeft w:val="0"/>
                      <w:marRight w:val="0"/>
                      <w:marTop w:val="0"/>
                      <w:marBottom w:val="0"/>
                      <w:divBdr>
                        <w:top w:val="none" w:sz="0" w:space="0" w:color="auto"/>
                        <w:left w:val="none" w:sz="0" w:space="0" w:color="auto"/>
                        <w:bottom w:val="none" w:sz="0" w:space="0" w:color="auto"/>
                        <w:right w:val="none" w:sz="0" w:space="0" w:color="auto"/>
                      </w:divBdr>
                    </w:div>
                  </w:divsChild>
                </w:div>
                <w:div w:id="678653403">
                  <w:marLeft w:val="0"/>
                  <w:marRight w:val="0"/>
                  <w:marTop w:val="0"/>
                  <w:marBottom w:val="0"/>
                  <w:divBdr>
                    <w:top w:val="none" w:sz="0" w:space="0" w:color="auto"/>
                    <w:left w:val="none" w:sz="0" w:space="0" w:color="auto"/>
                    <w:bottom w:val="none" w:sz="0" w:space="0" w:color="auto"/>
                    <w:right w:val="none" w:sz="0" w:space="0" w:color="auto"/>
                  </w:divBdr>
                  <w:divsChild>
                    <w:div w:id="1476139231">
                      <w:marLeft w:val="0"/>
                      <w:marRight w:val="0"/>
                      <w:marTop w:val="0"/>
                      <w:marBottom w:val="0"/>
                      <w:divBdr>
                        <w:top w:val="none" w:sz="0" w:space="0" w:color="auto"/>
                        <w:left w:val="none" w:sz="0" w:space="0" w:color="auto"/>
                        <w:bottom w:val="none" w:sz="0" w:space="0" w:color="auto"/>
                        <w:right w:val="none" w:sz="0" w:space="0" w:color="auto"/>
                      </w:divBdr>
                    </w:div>
                  </w:divsChild>
                </w:div>
                <w:div w:id="688993781">
                  <w:marLeft w:val="0"/>
                  <w:marRight w:val="0"/>
                  <w:marTop w:val="0"/>
                  <w:marBottom w:val="0"/>
                  <w:divBdr>
                    <w:top w:val="none" w:sz="0" w:space="0" w:color="auto"/>
                    <w:left w:val="none" w:sz="0" w:space="0" w:color="auto"/>
                    <w:bottom w:val="none" w:sz="0" w:space="0" w:color="auto"/>
                    <w:right w:val="none" w:sz="0" w:space="0" w:color="auto"/>
                  </w:divBdr>
                  <w:divsChild>
                    <w:div w:id="1677927004">
                      <w:marLeft w:val="0"/>
                      <w:marRight w:val="0"/>
                      <w:marTop w:val="0"/>
                      <w:marBottom w:val="0"/>
                      <w:divBdr>
                        <w:top w:val="none" w:sz="0" w:space="0" w:color="auto"/>
                        <w:left w:val="none" w:sz="0" w:space="0" w:color="auto"/>
                        <w:bottom w:val="none" w:sz="0" w:space="0" w:color="auto"/>
                        <w:right w:val="none" w:sz="0" w:space="0" w:color="auto"/>
                      </w:divBdr>
                    </w:div>
                  </w:divsChild>
                </w:div>
                <w:div w:id="704136627">
                  <w:marLeft w:val="0"/>
                  <w:marRight w:val="0"/>
                  <w:marTop w:val="0"/>
                  <w:marBottom w:val="0"/>
                  <w:divBdr>
                    <w:top w:val="none" w:sz="0" w:space="0" w:color="auto"/>
                    <w:left w:val="none" w:sz="0" w:space="0" w:color="auto"/>
                    <w:bottom w:val="none" w:sz="0" w:space="0" w:color="auto"/>
                    <w:right w:val="none" w:sz="0" w:space="0" w:color="auto"/>
                  </w:divBdr>
                  <w:divsChild>
                    <w:div w:id="296305863">
                      <w:marLeft w:val="0"/>
                      <w:marRight w:val="0"/>
                      <w:marTop w:val="0"/>
                      <w:marBottom w:val="0"/>
                      <w:divBdr>
                        <w:top w:val="none" w:sz="0" w:space="0" w:color="auto"/>
                        <w:left w:val="none" w:sz="0" w:space="0" w:color="auto"/>
                        <w:bottom w:val="none" w:sz="0" w:space="0" w:color="auto"/>
                        <w:right w:val="none" w:sz="0" w:space="0" w:color="auto"/>
                      </w:divBdr>
                    </w:div>
                  </w:divsChild>
                </w:div>
                <w:div w:id="706877251">
                  <w:marLeft w:val="0"/>
                  <w:marRight w:val="0"/>
                  <w:marTop w:val="0"/>
                  <w:marBottom w:val="0"/>
                  <w:divBdr>
                    <w:top w:val="none" w:sz="0" w:space="0" w:color="auto"/>
                    <w:left w:val="none" w:sz="0" w:space="0" w:color="auto"/>
                    <w:bottom w:val="none" w:sz="0" w:space="0" w:color="auto"/>
                    <w:right w:val="none" w:sz="0" w:space="0" w:color="auto"/>
                  </w:divBdr>
                  <w:divsChild>
                    <w:div w:id="217129777">
                      <w:marLeft w:val="0"/>
                      <w:marRight w:val="0"/>
                      <w:marTop w:val="0"/>
                      <w:marBottom w:val="0"/>
                      <w:divBdr>
                        <w:top w:val="none" w:sz="0" w:space="0" w:color="auto"/>
                        <w:left w:val="none" w:sz="0" w:space="0" w:color="auto"/>
                        <w:bottom w:val="none" w:sz="0" w:space="0" w:color="auto"/>
                        <w:right w:val="none" w:sz="0" w:space="0" w:color="auto"/>
                      </w:divBdr>
                    </w:div>
                  </w:divsChild>
                </w:div>
                <w:div w:id="716046726">
                  <w:marLeft w:val="0"/>
                  <w:marRight w:val="0"/>
                  <w:marTop w:val="0"/>
                  <w:marBottom w:val="0"/>
                  <w:divBdr>
                    <w:top w:val="none" w:sz="0" w:space="0" w:color="auto"/>
                    <w:left w:val="none" w:sz="0" w:space="0" w:color="auto"/>
                    <w:bottom w:val="none" w:sz="0" w:space="0" w:color="auto"/>
                    <w:right w:val="none" w:sz="0" w:space="0" w:color="auto"/>
                  </w:divBdr>
                  <w:divsChild>
                    <w:div w:id="134378041">
                      <w:marLeft w:val="0"/>
                      <w:marRight w:val="0"/>
                      <w:marTop w:val="0"/>
                      <w:marBottom w:val="0"/>
                      <w:divBdr>
                        <w:top w:val="none" w:sz="0" w:space="0" w:color="auto"/>
                        <w:left w:val="none" w:sz="0" w:space="0" w:color="auto"/>
                        <w:bottom w:val="none" w:sz="0" w:space="0" w:color="auto"/>
                        <w:right w:val="none" w:sz="0" w:space="0" w:color="auto"/>
                      </w:divBdr>
                    </w:div>
                  </w:divsChild>
                </w:div>
                <w:div w:id="720448058">
                  <w:marLeft w:val="0"/>
                  <w:marRight w:val="0"/>
                  <w:marTop w:val="0"/>
                  <w:marBottom w:val="0"/>
                  <w:divBdr>
                    <w:top w:val="none" w:sz="0" w:space="0" w:color="auto"/>
                    <w:left w:val="none" w:sz="0" w:space="0" w:color="auto"/>
                    <w:bottom w:val="none" w:sz="0" w:space="0" w:color="auto"/>
                    <w:right w:val="none" w:sz="0" w:space="0" w:color="auto"/>
                  </w:divBdr>
                  <w:divsChild>
                    <w:div w:id="123621586">
                      <w:marLeft w:val="0"/>
                      <w:marRight w:val="0"/>
                      <w:marTop w:val="0"/>
                      <w:marBottom w:val="0"/>
                      <w:divBdr>
                        <w:top w:val="none" w:sz="0" w:space="0" w:color="auto"/>
                        <w:left w:val="none" w:sz="0" w:space="0" w:color="auto"/>
                        <w:bottom w:val="none" w:sz="0" w:space="0" w:color="auto"/>
                        <w:right w:val="none" w:sz="0" w:space="0" w:color="auto"/>
                      </w:divBdr>
                    </w:div>
                  </w:divsChild>
                </w:div>
                <w:div w:id="723217643">
                  <w:marLeft w:val="0"/>
                  <w:marRight w:val="0"/>
                  <w:marTop w:val="0"/>
                  <w:marBottom w:val="0"/>
                  <w:divBdr>
                    <w:top w:val="none" w:sz="0" w:space="0" w:color="auto"/>
                    <w:left w:val="none" w:sz="0" w:space="0" w:color="auto"/>
                    <w:bottom w:val="none" w:sz="0" w:space="0" w:color="auto"/>
                    <w:right w:val="none" w:sz="0" w:space="0" w:color="auto"/>
                  </w:divBdr>
                  <w:divsChild>
                    <w:div w:id="780345034">
                      <w:marLeft w:val="0"/>
                      <w:marRight w:val="0"/>
                      <w:marTop w:val="0"/>
                      <w:marBottom w:val="0"/>
                      <w:divBdr>
                        <w:top w:val="none" w:sz="0" w:space="0" w:color="auto"/>
                        <w:left w:val="none" w:sz="0" w:space="0" w:color="auto"/>
                        <w:bottom w:val="none" w:sz="0" w:space="0" w:color="auto"/>
                        <w:right w:val="none" w:sz="0" w:space="0" w:color="auto"/>
                      </w:divBdr>
                    </w:div>
                  </w:divsChild>
                </w:div>
                <w:div w:id="731780395">
                  <w:marLeft w:val="0"/>
                  <w:marRight w:val="0"/>
                  <w:marTop w:val="0"/>
                  <w:marBottom w:val="0"/>
                  <w:divBdr>
                    <w:top w:val="none" w:sz="0" w:space="0" w:color="auto"/>
                    <w:left w:val="none" w:sz="0" w:space="0" w:color="auto"/>
                    <w:bottom w:val="none" w:sz="0" w:space="0" w:color="auto"/>
                    <w:right w:val="none" w:sz="0" w:space="0" w:color="auto"/>
                  </w:divBdr>
                  <w:divsChild>
                    <w:div w:id="1798520761">
                      <w:marLeft w:val="0"/>
                      <w:marRight w:val="0"/>
                      <w:marTop w:val="0"/>
                      <w:marBottom w:val="0"/>
                      <w:divBdr>
                        <w:top w:val="none" w:sz="0" w:space="0" w:color="auto"/>
                        <w:left w:val="none" w:sz="0" w:space="0" w:color="auto"/>
                        <w:bottom w:val="none" w:sz="0" w:space="0" w:color="auto"/>
                        <w:right w:val="none" w:sz="0" w:space="0" w:color="auto"/>
                      </w:divBdr>
                    </w:div>
                  </w:divsChild>
                </w:div>
                <w:div w:id="753862298">
                  <w:marLeft w:val="0"/>
                  <w:marRight w:val="0"/>
                  <w:marTop w:val="0"/>
                  <w:marBottom w:val="0"/>
                  <w:divBdr>
                    <w:top w:val="none" w:sz="0" w:space="0" w:color="auto"/>
                    <w:left w:val="none" w:sz="0" w:space="0" w:color="auto"/>
                    <w:bottom w:val="none" w:sz="0" w:space="0" w:color="auto"/>
                    <w:right w:val="none" w:sz="0" w:space="0" w:color="auto"/>
                  </w:divBdr>
                  <w:divsChild>
                    <w:div w:id="860365027">
                      <w:marLeft w:val="0"/>
                      <w:marRight w:val="0"/>
                      <w:marTop w:val="0"/>
                      <w:marBottom w:val="0"/>
                      <w:divBdr>
                        <w:top w:val="none" w:sz="0" w:space="0" w:color="auto"/>
                        <w:left w:val="none" w:sz="0" w:space="0" w:color="auto"/>
                        <w:bottom w:val="none" w:sz="0" w:space="0" w:color="auto"/>
                        <w:right w:val="none" w:sz="0" w:space="0" w:color="auto"/>
                      </w:divBdr>
                    </w:div>
                  </w:divsChild>
                </w:div>
                <w:div w:id="805857653">
                  <w:marLeft w:val="0"/>
                  <w:marRight w:val="0"/>
                  <w:marTop w:val="0"/>
                  <w:marBottom w:val="0"/>
                  <w:divBdr>
                    <w:top w:val="none" w:sz="0" w:space="0" w:color="auto"/>
                    <w:left w:val="none" w:sz="0" w:space="0" w:color="auto"/>
                    <w:bottom w:val="none" w:sz="0" w:space="0" w:color="auto"/>
                    <w:right w:val="none" w:sz="0" w:space="0" w:color="auto"/>
                  </w:divBdr>
                  <w:divsChild>
                    <w:div w:id="291061806">
                      <w:marLeft w:val="0"/>
                      <w:marRight w:val="0"/>
                      <w:marTop w:val="0"/>
                      <w:marBottom w:val="0"/>
                      <w:divBdr>
                        <w:top w:val="none" w:sz="0" w:space="0" w:color="auto"/>
                        <w:left w:val="none" w:sz="0" w:space="0" w:color="auto"/>
                        <w:bottom w:val="none" w:sz="0" w:space="0" w:color="auto"/>
                        <w:right w:val="none" w:sz="0" w:space="0" w:color="auto"/>
                      </w:divBdr>
                    </w:div>
                  </w:divsChild>
                </w:div>
                <w:div w:id="832723213">
                  <w:marLeft w:val="0"/>
                  <w:marRight w:val="0"/>
                  <w:marTop w:val="0"/>
                  <w:marBottom w:val="0"/>
                  <w:divBdr>
                    <w:top w:val="none" w:sz="0" w:space="0" w:color="auto"/>
                    <w:left w:val="none" w:sz="0" w:space="0" w:color="auto"/>
                    <w:bottom w:val="none" w:sz="0" w:space="0" w:color="auto"/>
                    <w:right w:val="none" w:sz="0" w:space="0" w:color="auto"/>
                  </w:divBdr>
                  <w:divsChild>
                    <w:div w:id="1434787707">
                      <w:marLeft w:val="0"/>
                      <w:marRight w:val="0"/>
                      <w:marTop w:val="0"/>
                      <w:marBottom w:val="0"/>
                      <w:divBdr>
                        <w:top w:val="none" w:sz="0" w:space="0" w:color="auto"/>
                        <w:left w:val="none" w:sz="0" w:space="0" w:color="auto"/>
                        <w:bottom w:val="none" w:sz="0" w:space="0" w:color="auto"/>
                        <w:right w:val="none" w:sz="0" w:space="0" w:color="auto"/>
                      </w:divBdr>
                    </w:div>
                  </w:divsChild>
                </w:div>
                <w:div w:id="854804729">
                  <w:marLeft w:val="0"/>
                  <w:marRight w:val="0"/>
                  <w:marTop w:val="0"/>
                  <w:marBottom w:val="0"/>
                  <w:divBdr>
                    <w:top w:val="none" w:sz="0" w:space="0" w:color="auto"/>
                    <w:left w:val="none" w:sz="0" w:space="0" w:color="auto"/>
                    <w:bottom w:val="none" w:sz="0" w:space="0" w:color="auto"/>
                    <w:right w:val="none" w:sz="0" w:space="0" w:color="auto"/>
                  </w:divBdr>
                  <w:divsChild>
                    <w:div w:id="1950577033">
                      <w:marLeft w:val="0"/>
                      <w:marRight w:val="0"/>
                      <w:marTop w:val="0"/>
                      <w:marBottom w:val="0"/>
                      <w:divBdr>
                        <w:top w:val="none" w:sz="0" w:space="0" w:color="auto"/>
                        <w:left w:val="none" w:sz="0" w:space="0" w:color="auto"/>
                        <w:bottom w:val="none" w:sz="0" w:space="0" w:color="auto"/>
                        <w:right w:val="none" w:sz="0" w:space="0" w:color="auto"/>
                      </w:divBdr>
                    </w:div>
                  </w:divsChild>
                </w:div>
                <w:div w:id="855659334">
                  <w:marLeft w:val="0"/>
                  <w:marRight w:val="0"/>
                  <w:marTop w:val="0"/>
                  <w:marBottom w:val="0"/>
                  <w:divBdr>
                    <w:top w:val="none" w:sz="0" w:space="0" w:color="auto"/>
                    <w:left w:val="none" w:sz="0" w:space="0" w:color="auto"/>
                    <w:bottom w:val="none" w:sz="0" w:space="0" w:color="auto"/>
                    <w:right w:val="none" w:sz="0" w:space="0" w:color="auto"/>
                  </w:divBdr>
                  <w:divsChild>
                    <w:div w:id="356349298">
                      <w:marLeft w:val="0"/>
                      <w:marRight w:val="0"/>
                      <w:marTop w:val="0"/>
                      <w:marBottom w:val="0"/>
                      <w:divBdr>
                        <w:top w:val="none" w:sz="0" w:space="0" w:color="auto"/>
                        <w:left w:val="none" w:sz="0" w:space="0" w:color="auto"/>
                        <w:bottom w:val="none" w:sz="0" w:space="0" w:color="auto"/>
                        <w:right w:val="none" w:sz="0" w:space="0" w:color="auto"/>
                      </w:divBdr>
                    </w:div>
                  </w:divsChild>
                </w:div>
                <w:div w:id="919172344">
                  <w:marLeft w:val="0"/>
                  <w:marRight w:val="0"/>
                  <w:marTop w:val="0"/>
                  <w:marBottom w:val="0"/>
                  <w:divBdr>
                    <w:top w:val="none" w:sz="0" w:space="0" w:color="auto"/>
                    <w:left w:val="none" w:sz="0" w:space="0" w:color="auto"/>
                    <w:bottom w:val="none" w:sz="0" w:space="0" w:color="auto"/>
                    <w:right w:val="none" w:sz="0" w:space="0" w:color="auto"/>
                  </w:divBdr>
                  <w:divsChild>
                    <w:div w:id="698816305">
                      <w:marLeft w:val="0"/>
                      <w:marRight w:val="0"/>
                      <w:marTop w:val="0"/>
                      <w:marBottom w:val="0"/>
                      <w:divBdr>
                        <w:top w:val="none" w:sz="0" w:space="0" w:color="auto"/>
                        <w:left w:val="none" w:sz="0" w:space="0" w:color="auto"/>
                        <w:bottom w:val="none" w:sz="0" w:space="0" w:color="auto"/>
                        <w:right w:val="none" w:sz="0" w:space="0" w:color="auto"/>
                      </w:divBdr>
                    </w:div>
                  </w:divsChild>
                </w:div>
                <w:div w:id="961495690">
                  <w:marLeft w:val="0"/>
                  <w:marRight w:val="0"/>
                  <w:marTop w:val="0"/>
                  <w:marBottom w:val="0"/>
                  <w:divBdr>
                    <w:top w:val="none" w:sz="0" w:space="0" w:color="auto"/>
                    <w:left w:val="none" w:sz="0" w:space="0" w:color="auto"/>
                    <w:bottom w:val="none" w:sz="0" w:space="0" w:color="auto"/>
                    <w:right w:val="none" w:sz="0" w:space="0" w:color="auto"/>
                  </w:divBdr>
                  <w:divsChild>
                    <w:div w:id="1069158386">
                      <w:marLeft w:val="0"/>
                      <w:marRight w:val="0"/>
                      <w:marTop w:val="0"/>
                      <w:marBottom w:val="0"/>
                      <w:divBdr>
                        <w:top w:val="none" w:sz="0" w:space="0" w:color="auto"/>
                        <w:left w:val="none" w:sz="0" w:space="0" w:color="auto"/>
                        <w:bottom w:val="none" w:sz="0" w:space="0" w:color="auto"/>
                        <w:right w:val="none" w:sz="0" w:space="0" w:color="auto"/>
                      </w:divBdr>
                    </w:div>
                  </w:divsChild>
                </w:div>
                <w:div w:id="989987789">
                  <w:marLeft w:val="0"/>
                  <w:marRight w:val="0"/>
                  <w:marTop w:val="0"/>
                  <w:marBottom w:val="0"/>
                  <w:divBdr>
                    <w:top w:val="none" w:sz="0" w:space="0" w:color="auto"/>
                    <w:left w:val="none" w:sz="0" w:space="0" w:color="auto"/>
                    <w:bottom w:val="none" w:sz="0" w:space="0" w:color="auto"/>
                    <w:right w:val="none" w:sz="0" w:space="0" w:color="auto"/>
                  </w:divBdr>
                  <w:divsChild>
                    <w:div w:id="1680306189">
                      <w:marLeft w:val="0"/>
                      <w:marRight w:val="0"/>
                      <w:marTop w:val="0"/>
                      <w:marBottom w:val="0"/>
                      <w:divBdr>
                        <w:top w:val="none" w:sz="0" w:space="0" w:color="auto"/>
                        <w:left w:val="none" w:sz="0" w:space="0" w:color="auto"/>
                        <w:bottom w:val="none" w:sz="0" w:space="0" w:color="auto"/>
                        <w:right w:val="none" w:sz="0" w:space="0" w:color="auto"/>
                      </w:divBdr>
                    </w:div>
                  </w:divsChild>
                </w:div>
                <w:div w:id="1014652890">
                  <w:marLeft w:val="0"/>
                  <w:marRight w:val="0"/>
                  <w:marTop w:val="0"/>
                  <w:marBottom w:val="0"/>
                  <w:divBdr>
                    <w:top w:val="none" w:sz="0" w:space="0" w:color="auto"/>
                    <w:left w:val="none" w:sz="0" w:space="0" w:color="auto"/>
                    <w:bottom w:val="none" w:sz="0" w:space="0" w:color="auto"/>
                    <w:right w:val="none" w:sz="0" w:space="0" w:color="auto"/>
                  </w:divBdr>
                  <w:divsChild>
                    <w:div w:id="1272203761">
                      <w:marLeft w:val="0"/>
                      <w:marRight w:val="0"/>
                      <w:marTop w:val="0"/>
                      <w:marBottom w:val="0"/>
                      <w:divBdr>
                        <w:top w:val="none" w:sz="0" w:space="0" w:color="auto"/>
                        <w:left w:val="none" w:sz="0" w:space="0" w:color="auto"/>
                        <w:bottom w:val="none" w:sz="0" w:space="0" w:color="auto"/>
                        <w:right w:val="none" w:sz="0" w:space="0" w:color="auto"/>
                      </w:divBdr>
                    </w:div>
                  </w:divsChild>
                </w:div>
                <w:div w:id="1020468553">
                  <w:marLeft w:val="0"/>
                  <w:marRight w:val="0"/>
                  <w:marTop w:val="0"/>
                  <w:marBottom w:val="0"/>
                  <w:divBdr>
                    <w:top w:val="none" w:sz="0" w:space="0" w:color="auto"/>
                    <w:left w:val="none" w:sz="0" w:space="0" w:color="auto"/>
                    <w:bottom w:val="none" w:sz="0" w:space="0" w:color="auto"/>
                    <w:right w:val="none" w:sz="0" w:space="0" w:color="auto"/>
                  </w:divBdr>
                  <w:divsChild>
                    <w:div w:id="1541017649">
                      <w:marLeft w:val="0"/>
                      <w:marRight w:val="0"/>
                      <w:marTop w:val="0"/>
                      <w:marBottom w:val="0"/>
                      <w:divBdr>
                        <w:top w:val="none" w:sz="0" w:space="0" w:color="auto"/>
                        <w:left w:val="none" w:sz="0" w:space="0" w:color="auto"/>
                        <w:bottom w:val="none" w:sz="0" w:space="0" w:color="auto"/>
                        <w:right w:val="none" w:sz="0" w:space="0" w:color="auto"/>
                      </w:divBdr>
                    </w:div>
                  </w:divsChild>
                </w:div>
                <w:div w:id="1032998758">
                  <w:marLeft w:val="0"/>
                  <w:marRight w:val="0"/>
                  <w:marTop w:val="0"/>
                  <w:marBottom w:val="0"/>
                  <w:divBdr>
                    <w:top w:val="none" w:sz="0" w:space="0" w:color="auto"/>
                    <w:left w:val="none" w:sz="0" w:space="0" w:color="auto"/>
                    <w:bottom w:val="none" w:sz="0" w:space="0" w:color="auto"/>
                    <w:right w:val="none" w:sz="0" w:space="0" w:color="auto"/>
                  </w:divBdr>
                  <w:divsChild>
                    <w:div w:id="1453014722">
                      <w:marLeft w:val="0"/>
                      <w:marRight w:val="0"/>
                      <w:marTop w:val="0"/>
                      <w:marBottom w:val="0"/>
                      <w:divBdr>
                        <w:top w:val="none" w:sz="0" w:space="0" w:color="auto"/>
                        <w:left w:val="none" w:sz="0" w:space="0" w:color="auto"/>
                        <w:bottom w:val="none" w:sz="0" w:space="0" w:color="auto"/>
                        <w:right w:val="none" w:sz="0" w:space="0" w:color="auto"/>
                      </w:divBdr>
                    </w:div>
                  </w:divsChild>
                </w:div>
                <w:div w:id="1033768009">
                  <w:marLeft w:val="0"/>
                  <w:marRight w:val="0"/>
                  <w:marTop w:val="0"/>
                  <w:marBottom w:val="0"/>
                  <w:divBdr>
                    <w:top w:val="none" w:sz="0" w:space="0" w:color="auto"/>
                    <w:left w:val="none" w:sz="0" w:space="0" w:color="auto"/>
                    <w:bottom w:val="none" w:sz="0" w:space="0" w:color="auto"/>
                    <w:right w:val="none" w:sz="0" w:space="0" w:color="auto"/>
                  </w:divBdr>
                  <w:divsChild>
                    <w:div w:id="1840075897">
                      <w:marLeft w:val="0"/>
                      <w:marRight w:val="0"/>
                      <w:marTop w:val="0"/>
                      <w:marBottom w:val="0"/>
                      <w:divBdr>
                        <w:top w:val="none" w:sz="0" w:space="0" w:color="auto"/>
                        <w:left w:val="none" w:sz="0" w:space="0" w:color="auto"/>
                        <w:bottom w:val="none" w:sz="0" w:space="0" w:color="auto"/>
                        <w:right w:val="none" w:sz="0" w:space="0" w:color="auto"/>
                      </w:divBdr>
                    </w:div>
                  </w:divsChild>
                </w:div>
                <w:div w:id="1036545207">
                  <w:marLeft w:val="0"/>
                  <w:marRight w:val="0"/>
                  <w:marTop w:val="0"/>
                  <w:marBottom w:val="0"/>
                  <w:divBdr>
                    <w:top w:val="none" w:sz="0" w:space="0" w:color="auto"/>
                    <w:left w:val="none" w:sz="0" w:space="0" w:color="auto"/>
                    <w:bottom w:val="none" w:sz="0" w:space="0" w:color="auto"/>
                    <w:right w:val="none" w:sz="0" w:space="0" w:color="auto"/>
                  </w:divBdr>
                  <w:divsChild>
                    <w:div w:id="460080271">
                      <w:marLeft w:val="0"/>
                      <w:marRight w:val="0"/>
                      <w:marTop w:val="0"/>
                      <w:marBottom w:val="0"/>
                      <w:divBdr>
                        <w:top w:val="none" w:sz="0" w:space="0" w:color="auto"/>
                        <w:left w:val="none" w:sz="0" w:space="0" w:color="auto"/>
                        <w:bottom w:val="none" w:sz="0" w:space="0" w:color="auto"/>
                        <w:right w:val="none" w:sz="0" w:space="0" w:color="auto"/>
                      </w:divBdr>
                    </w:div>
                  </w:divsChild>
                </w:div>
                <w:div w:id="1041127950">
                  <w:marLeft w:val="0"/>
                  <w:marRight w:val="0"/>
                  <w:marTop w:val="0"/>
                  <w:marBottom w:val="0"/>
                  <w:divBdr>
                    <w:top w:val="none" w:sz="0" w:space="0" w:color="auto"/>
                    <w:left w:val="none" w:sz="0" w:space="0" w:color="auto"/>
                    <w:bottom w:val="none" w:sz="0" w:space="0" w:color="auto"/>
                    <w:right w:val="none" w:sz="0" w:space="0" w:color="auto"/>
                  </w:divBdr>
                  <w:divsChild>
                    <w:div w:id="1373270142">
                      <w:marLeft w:val="0"/>
                      <w:marRight w:val="0"/>
                      <w:marTop w:val="0"/>
                      <w:marBottom w:val="0"/>
                      <w:divBdr>
                        <w:top w:val="none" w:sz="0" w:space="0" w:color="auto"/>
                        <w:left w:val="none" w:sz="0" w:space="0" w:color="auto"/>
                        <w:bottom w:val="none" w:sz="0" w:space="0" w:color="auto"/>
                        <w:right w:val="none" w:sz="0" w:space="0" w:color="auto"/>
                      </w:divBdr>
                    </w:div>
                  </w:divsChild>
                </w:div>
                <w:div w:id="1046376340">
                  <w:marLeft w:val="0"/>
                  <w:marRight w:val="0"/>
                  <w:marTop w:val="0"/>
                  <w:marBottom w:val="0"/>
                  <w:divBdr>
                    <w:top w:val="none" w:sz="0" w:space="0" w:color="auto"/>
                    <w:left w:val="none" w:sz="0" w:space="0" w:color="auto"/>
                    <w:bottom w:val="none" w:sz="0" w:space="0" w:color="auto"/>
                    <w:right w:val="none" w:sz="0" w:space="0" w:color="auto"/>
                  </w:divBdr>
                  <w:divsChild>
                    <w:div w:id="180245792">
                      <w:marLeft w:val="0"/>
                      <w:marRight w:val="0"/>
                      <w:marTop w:val="0"/>
                      <w:marBottom w:val="0"/>
                      <w:divBdr>
                        <w:top w:val="none" w:sz="0" w:space="0" w:color="auto"/>
                        <w:left w:val="none" w:sz="0" w:space="0" w:color="auto"/>
                        <w:bottom w:val="none" w:sz="0" w:space="0" w:color="auto"/>
                        <w:right w:val="none" w:sz="0" w:space="0" w:color="auto"/>
                      </w:divBdr>
                    </w:div>
                  </w:divsChild>
                </w:div>
                <w:div w:id="1059597664">
                  <w:marLeft w:val="0"/>
                  <w:marRight w:val="0"/>
                  <w:marTop w:val="0"/>
                  <w:marBottom w:val="0"/>
                  <w:divBdr>
                    <w:top w:val="none" w:sz="0" w:space="0" w:color="auto"/>
                    <w:left w:val="none" w:sz="0" w:space="0" w:color="auto"/>
                    <w:bottom w:val="none" w:sz="0" w:space="0" w:color="auto"/>
                    <w:right w:val="none" w:sz="0" w:space="0" w:color="auto"/>
                  </w:divBdr>
                  <w:divsChild>
                    <w:div w:id="1043292562">
                      <w:marLeft w:val="0"/>
                      <w:marRight w:val="0"/>
                      <w:marTop w:val="0"/>
                      <w:marBottom w:val="0"/>
                      <w:divBdr>
                        <w:top w:val="none" w:sz="0" w:space="0" w:color="auto"/>
                        <w:left w:val="none" w:sz="0" w:space="0" w:color="auto"/>
                        <w:bottom w:val="none" w:sz="0" w:space="0" w:color="auto"/>
                        <w:right w:val="none" w:sz="0" w:space="0" w:color="auto"/>
                      </w:divBdr>
                    </w:div>
                  </w:divsChild>
                </w:div>
                <w:div w:id="1066606164">
                  <w:marLeft w:val="0"/>
                  <w:marRight w:val="0"/>
                  <w:marTop w:val="0"/>
                  <w:marBottom w:val="0"/>
                  <w:divBdr>
                    <w:top w:val="none" w:sz="0" w:space="0" w:color="auto"/>
                    <w:left w:val="none" w:sz="0" w:space="0" w:color="auto"/>
                    <w:bottom w:val="none" w:sz="0" w:space="0" w:color="auto"/>
                    <w:right w:val="none" w:sz="0" w:space="0" w:color="auto"/>
                  </w:divBdr>
                  <w:divsChild>
                    <w:div w:id="145711963">
                      <w:marLeft w:val="0"/>
                      <w:marRight w:val="0"/>
                      <w:marTop w:val="0"/>
                      <w:marBottom w:val="0"/>
                      <w:divBdr>
                        <w:top w:val="none" w:sz="0" w:space="0" w:color="auto"/>
                        <w:left w:val="none" w:sz="0" w:space="0" w:color="auto"/>
                        <w:bottom w:val="none" w:sz="0" w:space="0" w:color="auto"/>
                        <w:right w:val="none" w:sz="0" w:space="0" w:color="auto"/>
                      </w:divBdr>
                    </w:div>
                  </w:divsChild>
                </w:div>
                <w:div w:id="1087381599">
                  <w:marLeft w:val="0"/>
                  <w:marRight w:val="0"/>
                  <w:marTop w:val="0"/>
                  <w:marBottom w:val="0"/>
                  <w:divBdr>
                    <w:top w:val="none" w:sz="0" w:space="0" w:color="auto"/>
                    <w:left w:val="none" w:sz="0" w:space="0" w:color="auto"/>
                    <w:bottom w:val="none" w:sz="0" w:space="0" w:color="auto"/>
                    <w:right w:val="none" w:sz="0" w:space="0" w:color="auto"/>
                  </w:divBdr>
                  <w:divsChild>
                    <w:div w:id="1428110302">
                      <w:marLeft w:val="0"/>
                      <w:marRight w:val="0"/>
                      <w:marTop w:val="0"/>
                      <w:marBottom w:val="0"/>
                      <w:divBdr>
                        <w:top w:val="none" w:sz="0" w:space="0" w:color="auto"/>
                        <w:left w:val="none" w:sz="0" w:space="0" w:color="auto"/>
                        <w:bottom w:val="none" w:sz="0" w:space="0" w:color="auto"/>
                        <w:right w:val="none" w:sz="0" w:space="0" w:color="auto"/>
                      </w:divBdr>
                    </w:div>
                  </w:divsChild>
                </w:div>
                <w:div w:id="1107389786">
                  <w:marLeft w:val="0"/>
                  <w:marRight w:val="0"/>
                  <w:marTop w:val="0"/>
                  <w:marBottom w:val="0"/>
                  <w:divBdr>
                    <w:top w:val="none" w:sz="0" w:space="0" w:color="auto"/>
                    <w:left w:val="none" w:sz="0" w:space="0" w:color="auto"/>
                    <w:bottom w:val="none" w:sz="0" w:space="0" w:color="auto"/>
                    <w:right w:val="none" w:sz="0" w:space="0" w:color="auto"/>
                  </w:divBdr>
                  <w:divsChild>
                    <w:div w:id="1520585858">
                      <w:marLeft w:val="0"/>
                      <w:marRight w:val="0"/>
                      <w:marTop w:val="0"/>
                      <w:marBottom w:val="0"/>
                      <w:divBdr>
                        <w:top w:val="none" w:sz="0" w:space="0" w:color="auto"/>
                        <w:left w:val="none" w:sz="0" w:space="0" w:color="auto"/>
                        <w:bottom w:val="none" w:sz="0" w:space="0" w:color="auto"/>
                        <w:right w:val="none" w:sz="0" w:space="0" w:color="auto"/>
                      </w:divBdr>
                    </w:div>
                  </w:divsChild>
                </w:div>
                <w:div w:id="1108115431">
                  <w:marLeft w:val="0"/>
                  <w:marRight w:val="0"/>
                  <w:marTop w:val="0"/>
                  <w:marBottom w:val="0"/>
                  <w:divBdr>
                    <w:top w:val="none" w:sz="0" w:space="0" w:color="auto"/>
                    <w:left w:val="none" w:sz="0" w:space="0" w:color="auto"/>
                    <w:bottom w:val="none" w:sz="0" w:space="0" w:color="auto"/>
                    <w:right w:val="none" w:sz="0" w:space="0" w:color="auto"/>
                  </w:divBdr>
                  <w:divsChild>
                    <w:div w:id="2098479143">
                      <w:marLeft w:val="0"/>
                      <w:marRight w:val="0"/>
                      <w:marTop w:val="0"/>
                      <w:marBottom w:val="0"/>
                      <w:divBdr>
                        <w:top w:val="none" w:sz="0" w:space="0" w:color="auto"/>
                        <w:left w:val="none" w:sz="0" w:space="0" w:color="auto"/>
                        <w:bottom w:val="none" w:sz="0" w:space="0" w:color="auto"/>
                        <w:right w:val="none" w:sz="0" w:space="0" w:color="auto"/>
                      </w:divBdr>
                    </w:div>
                  </w:divsChild>
                </w:div>
                <w:div w:id="1110513668">
                  <w:marLeft w:val="0"/>
                  <w:marRight w:val="0"/>
                  <w:marTop w:val="0"/>
                  <w:marBottom w:val="0"/>
                  <w:divBdr>
                    <w:top w:val="none" w:sz="0" w:space="0" w:color="auto"/>
                    <w:left w:val="none" w:sz="0" w:space="0" w:color="auto"/>
                    <w:bottom w:val="none" w:sz="0" w:space="0" w:color="auto"/>
                    <w:right w:val="none" w:sz="0" w:space="0" w:color="auto"/>
                  </w:divBdr>
                  <w:divsChild>
                    <w:div w:id="2036733808">
                      <w:marLeft w:val="0"/>
                      <w:marRight w:val="0"/>
                      <w:marTop w:val="0"/>
                      <w:marBottom w:val="0"/>
                      <w:divBdr>
                        <w:top w:val="none" w:sz="0" w:space="0" w:color="auto"/>
                        <w:left w:val="none" w:sz="0" w:space="0" w:color="auto"/>
                        <w:bottom w:val="none" w:sz="0" w:space="0" w:color="auto"/>
                        <w:right w:val="none" w:sz="0" w:space="0" w:color="auto"/>
                      </w:divBdr>
                    </w:div>
                  </w:divsChild>
                </w:div>
                <w:div w:id="1133064479">
                  <w:marLeft w:val="0"/>
                  <w:marRight w:val="0"/>
                  <w:marTop w:val="0"/>
                  <w:marBottom w:val="0"/>
                  <w:divBdr>
                    <w:top w:val="none" w:sz="0" w:space="0" w:color="auto"/>
                    <w:left w:val="none" w:sz="0" w:space="0" w:color="auto"/>
                    <w:bottom w:val="none" w:sz="0" w:space="0" w:color="auto"/>
                    <w:right w:val="none" w:sz="0" w:space="0" w:color="auto"/>
                  </w:divBdr>
                  <w:divsChild>
                    <w:div w:id="783307043">
                      <w:marLeft w:val="0"/>
                      <w:marRight w:val="0"/>
                      <w:marTop w:val="0"/>
                      <w:marBottom w:val="0"/>
                      <w:divBdr>
                        <w:top w:val="none" w:sz="0" w:space="0" w:color="auto"/>
                        <w:left w:val="none" w:sz="0" w:space="0" w:color="auto"/>
                        <w:bottom w:val="none" w:sz="0" w:space="0" w:color="auto"/>
                        <w:right w:val="none" w:sz="0" w:space="0" w:color="auto"/>
                      </w:divBdr>
                    </w:div>
                  </w:divsChild>
                </w:div>
                <w:div w:id="1156649711">
                  <w:marLeft w:val="0"/>
                  <w:marRight w:val="0"/>
                  <w:marTop w:val="0"/>
                  <w:marBottom w:val="0"/>
                  <w:divBdr>
                    <w:top w:val="none" w:sz="0" w:space="0" w:color="auto"/>
                    <w:left w:val="none" w:sz="0" w:space="0" w:color="auto"/>
                    <w:bottom w:val="none" w:sz="0" w:space="0" w:color="auto"/>
                    <w:right w:val="none" w:sz="0" w:space="0" w:color="auto"/>
                  </w:divBdr>
                  <w:divsChild>
                    <w:div w:id="411317704">
                      <w:marLeft w:val="0"/>
                      <w:marRight w:val="0"/>
                      <w:marTop w:val="0"/>
                      <w:marBottom w:val="0"/>
                      <w:divBdr>
                        <w:top w:val="none" w:sz="0" w:space="0" w:color="auto"/>
                        <w:left w:val="none" w:sz="0" w:space="0" w:color="auto"/>
                        <w:bottom w:val="none" w:sz="0" w:space="0" w:color="auto"/>
                        <w:right w:val="none" w:sz="0" w:space="0" w:color="auto"/>
                      </w:divBdr>
                    </w:div>
                  </w:divsChild>
                </w:div>
                <w:div w:id="1185754736">
                  <w:marLeft w:val="0"/>
                  <w:marRight w:val="0"/>
                  <w:marTop w:val="0"/>
                  <w:marBottom w:val="0"/>
                  <w:divBdr>
                    <w:top w:val="none" w:sz="0" w:space="0" w:color="auto"/>
                    <w:left w:val="none" w:sz="0" w:space="0" w:color="auto"/>
                    <w:bottom w:val="none" w:sz="0" w:space="0" w:color="auto"/>
                    <w:right w:val="none" w:sz="0" w:space="0" w:color="auto"/>
                  </w:divBdr>
                  <w:divsChild>
                    <w:div w:id="113527091">
                      <w:marLeft w:val="0"/>
                      <w:marRight w:val="0"/>
                      <w:marTop w:val="0"/>
                      <w:marBottom w:val="0"/>
                      <w:divBdr>
                        <w:top w:val="none" w:sz="0" w:space="0" w:color="auto"/>
                        <w:left w:val="none" w:sz="0" w:space="0" w:color="auto"/>
                        <w:bottom w:val="none" w:sz="0" w:space="0" w:color="auto"/>
                        <w:right w:val="none" w:sz="0" w:space="0" w:color="auto"/>
                      </w:divBdr>
                    </w:div>
                  </w:divsChild>
                </w:div>
                <w:div w:id="1205873936">
                  <w:marLeft w:val="0"/>
                  <w:marRight w:val="0"/>
                  <w:marTop w:val="0"/>
                  <w:marBottom w:val="0"/>
                  <w:divBdr>
                    <w:top w:val="none" w:sz="0" w:space="0" w:color="auto"/>
                    <w:left w:val="none" w:sz="0" w:space="0" w:color="auto"/>
                    <w:bottom w:val="none" w:sz="0" w:space="0" w:color="auto"/>
                    <w:right w:val="none" w:sz="0" w:space="0" w:color="auto"/>
                  </w:divBdr>
                  <w:divsChild>
                    <w:div w:id="155338482">
                      <w:marLeft w:val="0"/>
                      <w:marRight w:val="0"/>
                      <w:marTop w:val="0"/>
                      <w:marBottom w:val="0"/>
                      <w:divBdr>
                        <w:top w:val="none" w:sz="0" w:space="0" w:color="auto"/>
                        <w:left w:val="none" w:sz="0" w:space="0" w:color="auto"/>
                        <w:bottom w:val="none" w:sz="0" w:space="0" w:color="auto"/>
                        <w:right w:val="none" w:sz="0" w:space="0" w:color="auto"/>
                      </w:divBdr>
                    </w:div>
                  </w:divsChild>
                </w:div>
                <w:div w:id="1211647836">
                  <w:marLeft w:val="0"/>
                  <w:marRight w:val="0"/>
                  <w:marTop w:val="0"/>
                  <w:marBottom w:val="0"/>
                  <w:divBdr>
                    <w:top w:val="none" w:sz="0" w:space="0" w:color="auto"/>
                    <w:left w:val="none" w:sz="0" w:space="0" w:color="auto"/>
                    <w:bottom w:val="none" w:sz="0" w:space="0" w:color="auto"/>
                    <w:right w:val="none" w:sz="0" w:space="0" w:color="auto"/>
                  </w:divBdr>
                  <w:divsChild>
                    <w:div w:id="22173013">
                      <w:marLeft w:val="0"/>
                      <w:marRight w:val="0"/>
                      <w:marTop w:val="0"/>
                      <w:marBottom w:val="0"/>
                      <w:divBdr>
                        <w:top w:val="none" w:sz="0" w:space="0" w:color="auto"/>
                        <w:left w:val="none" w:sz="0" w:space="0" w:color="auto"/>
                        <w:bottom w:val="none" w:sz="0" w:space="0" w:color="auto"/>
                        <w:right w:val="none" w:sz="0" w:space="0" w:color="auto"/>
                      </w:divBdr>
                    </w:div>
                  </w:divsChild>
                </w:div>
                <w:div w:id="1213344305">
                  <w:marLeft w:val="0"/>
                  <w:marRight w:val="0"/>
                  <w:marTop w:val="0"/>
                  <w:marBottom w:val="0"/>
                  <w:divBdr>
                    <w:top w:val="none" w:sz="0" w:space="0" w:color="auto"/>
                    <w:left w:val="none" w:sz="0" w:space="0" w:color="auto"/>
                    <w:bottom w:val="none" w:sz="0" w:space="0" w:color="auto"/>
                    <w:right w:val="none" w:sz="0" w:space="0" w:color="auto"/>
                  </w:divBdr>
                  <w:divsChild>
                    <w:div w:id="1785879800">
                      <w:marLeft w:val="0"/>
                      <w:marRight w:val="0"/>
                      <w:marTop w:val="0"/>
                      <w:marBottom w:val="0"/>
                      <w:divBdr>
                        <w:top w:val="none" w:sz="0" w:space="0" w:color="auto"/>
                        <w:left w:val="none" w:sz="0" w:space="0" w:color="auto"/>
                        <w:bottom w:val="none" w:sz="0" w:space="0" w:color="auto"/>
                        <w:right w:val="none" w:sz="0" w:space="0" w:color="auto"/>
                      </w:divBdr>
                    </w:div>
                  </w:divsChild>
                </w:div>
                <w:div w:id="1231307026">
                  <w:marLeft w:val="0"/>
                  <w:marRight w:val="0"/>
                  <w:marTop w:val="0"/>
                  <w:marBottom w:val="0"/>
                  <w:divBdr>
                    <w:top w:val="none" w:sz="0" w:space="0" w:color="auto"/>
                    <w:left w:val="none" w:sz="0" w:space="0" w:color="auto"/>
                    <w:bottom w:val="none" w:sz="0" w:space="0" w:color="auto"/>
                    <w:right w:val="none" w:sz="0" w:space="0" w:color="auto"/>
                  </w:divBdr>
                  <w:divsChild>
                    <w:div w:id="1879001702">
                      <w:marLeft w:val="0"/>
                      <w:marRight w:val="0"/>
                      <w:marTop w:val="0"/>
                      <w:marBottom w:val="0"/>
                      <w:divBdr>
                        <w:top w:val="none" w:sz="0" w:space="0" w:color="auto"/>
                        <w:left w:val="none" w:sz="0" w:space="0" w:color="auto"/>
                        <w:bottom w:val="none" w:sz="0" w:space="0" w:color="auto"/>
                        <w:right w:val="none" w:sz="0" w:space="0" w:color="auto"/>
                      </w:divBdr>
                    </w:div>
                  </w:divsChild>
                </w:div>
                <w:div w:id="1233347064">
                  <w:marLeft w:val="0"/>
                  <w:marRight w:val="0"/>
                  <w:marTop w:val="0"/>
                  <w:marBottom w:val="0"/>
                  <w:divBdr>
                    <w:top w:val="none" w:sz="0" w:space="0" w:color="auto"/>
                    <w:left w:val="none" w:sz="0" w:space="0" w:color="auto"/>
                    <w:bottom w:val="none" w:sz="0" w:space="0" w:color="auto"/>
                    <w:right w:val="none" w:sz="0" w:space="0" w:color="auto"/>
                  </w:divBdr>
                  <w:divsChild>
                    <w:div w:id="923151665">
                      <w:marLeft w:val="0"/>
                      <w:marRight w:val="0"/>
                      <w:marTop w:val="0"/>
                      <w:marBottom w:val="0"/>
                      <w:divBdr>
                        <w:top w:val="none" w:sz="0" w:space="0" w:color="auto"/>
                        <w:left w:val="none" w:sz="0" w:space="0" w:color="auto"/>
                        <w:bottom w:val="none" w:sz="0" w:space="0" w:color="auto"/>
                        <w:right w:val="none" w:sz="0" w:space="0" w:color="auto"/>
                      </w:divBdr>
                    </w:div>
                  </w:divsChild>
                </w:div>
                <w:div w:id="1233783312">
                  <w:marLeft w:val="0"/>
                  <w:marRight w:val="0"/>
                  <w:marTop w:val="0"/>
                  <w:marBottom w:val="0"/>
                  <w:divBdr>
                    <w:top w:val="none" w:sz="0" w:space="0" w:color="auto"/>
                    <w:left w:val="none" w:sz="0" w:space="0" w:color="auto"/>
                    <w:bottom w:val="none" w:sz="0" w:space="0" w:color="auto"/>
                    <w:right w:val="none" w:sz="0" w:space="0" w:color="auto"/>
                  </w:divBdr>
                  <w:divsChild>
                    <w:div w:id="1398548434">
                      <w:marLeft w:val="0"/>
                      <w:marRight w:val="0"/>
                      <w:marTop w:val="0"/>
                      <w:marBottom w:val="0"/>
                      <w:divBdr>
                        <w:top w:val="none" w:sz="0" w:space="0" w:color="auto"/>
                        <w:left w:val="none" w:sz="0" w:space="0" w:color="auto"/>
                        <w:bottom w:val="none" w:sz="0" w:space="0" w:color="auto"/>
                        <w:right w:val="none" w:sz="0" w:space="0" w:color="auto"/>
                      </w:divBdr>
                    </w:div>
                  </w:divsChild>
                </w:div>
                <w:div w:id="1235430514">
                  <w:marLeft w:val="0"/>
                  <w:marRight w:val="0"/>
                  <w:marTop w:val="0"/>
                  <w:marBottom w:val="0"/>
                  <w:divBdr>
                    <w:top w:val="none" w:sz="0" w:space="0" w:color="auto"/>
                    <w:left w:val="none" w:sz="0" w:space="0" w:color="auto"/>
                    <w:bottom w:val="none" w:sz="0" w:space="0" w:color="auto"/>
                    <w:right w:val="none" w:sz="0" w:space="0" w:color="auto"/>
                  </w:divBdr>
                  <w:divsChild>
                    <w:div w:id="1037395430">
                      <w:marLeft w:val="0"/>
                      <w:marRight w:val="0"/>
                      <w:marTop w:val="0"/>
                      <w:marBottom w:val="0"/>
                      <w:divBdr>
                        <w:top w:val="none" w:sz="0" w:space="0" w:color="auto"/>
                        <w:left w:val="none" w:sz="0" w:space="0" w:color="auto"/>
                        <w:bottom w:val="none" w:sz="0" w:space="0" w:color="auto"/>
                        <w:right w:val="none" w:sz="0" w:space="0" w:color="auto"/>
                      </w:divBdr>
                    </w:div>
                  </w:divsChild>
                </w:div>
                <w:div w:id="1252468217">
                  <w:marLeft w:val="0"/>
                  <w:marRight w:val="0"/>
                  <w:marTop w:val="0"/>
                  <w:marBottom w:val="0"/>
                  <w:divBdr>
                    <w:top w:val="none" w:sz="0" w:space="0" w:color="auto"/>
                    <w:left w:val="none" w:sz="0" w:space="0" w:color="auto"/>
                    <w:bottom w:val="none" w:sz="0" w:space="0" w:color="auto"/>
                    <w:right w:val="none" w:sz="0" w:space="0" w:color="auto"/>
                  </w:divBdr>
                  <w:divsChild>
                    <w:div w:id="1306201611">
                      <w:marLeft w:val="0"/>
                      <w:marRight w:val="0"/>
                      <w:marTop w:val="0"/>
                      <w:marBottom w:val="0"/>
                      <w:divBdr>
                        <w:top w:val="none" w:sz="0" w:space="0" w:color="auto"/>
                        <w:left w:val="none" w:sz="0" w:space="0" w:color="auto"/>
                        <w:bottom w:val="none" w:sz="0" w:space="0" w:color="auto"/>
                        <w:right w:val="none" w:sz="0" w:space="0" w:color="auto"/>
                      </w:divBdr>
                    </w:div>
                  </w:divsChild>
                </w:div>
                <w:div w:id="1287194664">
                  <w:marLeft w:val="0"/>
                  <w:marRight w:val="0"/>
                  <w:marTop w:val="0"/>
                  <w:marBottom w:val="0"/>
                  <w:divBdr>
                    <w:top w:val="none" w:sz="0" w:space="0" w:color="auto"/>
                    <w:left w:val="none" w:sz="0" w:space="0" w:color="auto"/>
                    <w:bottom w:val="none" w:sz="0" w:space="0" w:color="auto"/>
                    <w:right w:val="none" w:sz="0" w:space="0" w:color="auto"/>
                  </w:divBdr>
                  <w:divsChild>
                    <w:div w:id="693965370">
                      <w:marLeft w:val="0"/>
                      <w:marRight w:val="0"/>
                      <w:marTop w:val="0"/>
                      <w:marBottom w:val="0"/>
                      <w:divBdr>
                        <w:top w:val="none" w:sz="0" w:space="0" w:color="auto"/>
                        <w:left w:val="none" w:sz="0" w:space="0" w:color="auto"/>
                        <w:bottom w:val="none" w:sz="0" w:space="0" w:color="auto"/>
                        <w:right w:val="none" w:sz="0" w:space="0" w:color="auto"/>
                      </w:divBdr>
                    </w:div>
                  </w:divsChild>
                </w:div>
                <w:div w:id="1319264387">
                  <w:marLeft w:val="0"/>
                  <w:marRight w:val="0"/>
                  <w:marTop w:val="0"/>
                  <w:marBottom w:val="0"/>
                  <w:divBdr>
                    <w:top w:val="none" w:sz="0" w:space="0" w:color="auto"/>
                    <w:left w:val="none" w:sz="0" w:space="0" w:color="auto"/>
                    <w:bottom w:val="none" w:sz="0" w:space="0" w:color="auto"/>
                    <w:right w:val="none" w:sz="0" w:space="0" w:color="auto"/>
                  </w:divBdr>
                  <w:divsChild>
                    <w:div w:id="709695762">
                      <w:marLeft w:val="0"/>
                      <w:marRight w:val="0"/>
                      <w:marTop w:val="0"/>
                      <w:marBottom w:val="0"/>
                      <w:divBdr>
                        <w:top w:val="none" w:sz="0" w:space="0" w:color="auto"/>
                        <w:left w:val="none" w:sz="0" w:space="0" w:color="auto"/>
                        <w:bottom w:val="none" w:sz="0" w:space="0" w:color="auto"/>
                        <w:right w:val="none" w:sz="0" w:space="0" w:color="auto"/>
                      </w:divBdr>
                    </w:div>
                  </w:divsChild>
                </w:div>
                <w:div w:id="1330985881">
                  <w:marLeft w:val="0"/>
                  <w:marRight w:val="0"/>
                  <w:marTop w:val="0"/>
                  <w:marBottom w:val="0"/>
                  <w:divBdr>
                    <w:top w:val="none" w:sz="0" w:space="0" w:color="auto"/>
                    <w:left w:val="none" w:sz="0" w:space="0" w:color="auto"/>
                    <w:bottom w:val="none" w:sz="0" w:space="0" w:color="auto"/>
                    <w:right w:val="none" w:sz="0" w:space="0" w:color="auto"/>
                  </w:divBdr>
                  <w:divsChild>
                    <w:div w:id="1618025466">
                      <w:marLeft w:val="0"/>
                      <w:marRight w:val="0"/>
                      <w:marTop w:val="0"/>
                      <w:marBottom w:val="0"/>
                      <w:divBdr>
                        <w:top w:val="none" w:sz="0" w:space="0" w:color="auto"/>
                        <w:left w:val="none" w:sz="0" w:space="0" w:color="auto"/>
                        <w:bottom w:val="none" w:sz="0" w:space="0" w:color="auto"/>
                        <w:right w:val="none" w:sz="0" w:space="0" w:color="auto"/>
                      </w:divBdr>
                    </w:div>
                  </w:divsChild>
                </w:div>
                <w:div w:id="1335108003">
                  <w:marLeft w:val="0"/>
                  <w:marRight w:val="0"/>
                  <w:marTop w:val="0"/>
                  <w:marBottom w:val="0"/>
                  <w:divBdr>
                    <w:top w:val="none" w:sz="0" w:space="0" w:color="auto"/>
                    <w:left w:val="none" w:sz="0" w:space="0" w:color="auto"/>
                    <w:bottom w:val="none" w:sz="0" w:space="0" w:color="auto"/>
                    <w:right w:val="none" w:sz="0" w:space="0" w:color="auto"/>
                  </w:divBdr>
                  <w:divsChild>
                    <w:div w:id="1752776954">
                      <w:marLeft w:val="0"/>
                      <w:marRight w:val="0"/>
                      <w:marTop w:val="0"/>
                      <w:marBottom w:val="0"/>
                      <w:divBdr>
                        <w:top w:val="none" w:sz="0" w:space="0" w:color="auto"/>
                        <w:left w:val="none" w:sz="0" w:space="0" w:color="auto"/>
                        <w:bottom w:val="none" w:sz="0" w:space="0" w:color="auto"/>
                        <w:right w:val="none" w:sz="0" w:space="0" w:color="auto"/>
                      </w:divBdr>
                    </w:div>
                  </w:divsChild>
                </w:div>
                <w:div w:id="1350449115">
                  <w:marLeft w:val="0"/>
                  <w:marRight w:val="0"/>
                  <w:marTop w:val="0"/>
                  <w:marBottom w:val="0"/>
                  <w:divBdr>
                    <w:top w:val="none" w:sz="0" w:space="0" w:color="auto"/>
                    <w:left w:val="none" w:sz="0" w:space="0" w:color="auto"/>
                    <w:bottom w:val="none" w:sz="0" w:space="0" w:color="auto"/>
                    <w:right w:val="none" w:sz="0" w:space="0" w:color="auto"/>
                  </w:divBdr>
                  <w:divsChild>
                    <w:div w:id="1660229692">
                      <w:marLeft w:val="0"/>
                      <w:marRight w:val="0"/>
                      <w:marTop w:val="0"/>
                      <w:marBottom w:val="0"/>
                      <w:divBdr>
                        <w:top w:val="none" w:sz="0" w:space="0" w:color="auto"/>
                        <w:left w:val="none" w:sz="0" w:space="0" w:color="auto"/>
                        <w:bottom w:val="none" w:sz="0" w:space="0" w:color="auto"/>
                        <w:right w:val="none" w:sz="0" w:space="0" w:color="auto"/>
                      </w:divBdr>
                    </w:div>
                  </w:divsChild>
                </w:div>
                <w:div w:id="1361929047">
                  <w:marLeft w:val="0"/>
                  <w:marRight w:val="0"/>
                  <w:marTop w:val="0"/>
                  <w:marBottom w:val="0"/>
                  <w:divBdr>
                    <w:top w:val="none" w:sz="0" w:space="0" w:color="auto"/>
                    <w:left w:val="none" w:sz="0" w:space="0" w:color="auto"/>
                    <w:bottom w:val="none" w:sz="0" w:space="0" w:color="auto"/>
                    <w:right w:val="none" w:sz="0" w:space="0" w:color="auto"/>
                  </w:divBdr>
                  <w:divsChild>
                    <w:div w:id="1725638267">
                      <w:marLeft w:val="0"/>
                      <w:marRight w:val="0"/>
                      <w:marTop w:val="0"/>
                      <w:marBottom w:val="0"/>
                      <w:divBdr>
                        <w:top w:val="none" w:sz="0" w:space="0" w:color="auto"/>
                        <w:left w:val="none" w:sz="0" w:space="0" w:color="auto"/>
                        <w:bottom w:val="none" w:sz="0" w:space="0" w:color="auto"/>
                        <w:right w:val="none" w:sz="0" w:space="0" w:color="auto"/>
                      </w:divBdr>
                    </w:div>
                  </w:divsChild>
                </w:div>
                <w:div w:id="1370952762">
                  <w:marLeft w:val="0"/>
                  <w:marRight w:val="0"/>
                  <w:marTop w:val="0"/>
                  <w:marBottom w:val="0"/>
                  <w:divBdr>
                    <w:top w:val="none" w:sz="0" w:space="0" w:color="auto"/>
                    <w:left w:val="none" w:sz="0" w:space="0" w:color="auto"/>
                    <w:bottom w:val="none" w:sz="0" w:space="0" w:color="auto"/>
                    <w:right w:val="none" w:sz="0" w:space="0" w:color="auto"/>
                  </w:divBdr>
                  <w:divsChild>
                    <w:div w:id="457797699">
                      <w:marLeft w:val="0"/>
                      <w:marRight w:val="0"/>
                      <w:marTop w:val="0"/>
                      <w:marBottom w:val="0"/>
                      <w:divBdr>
                        <w:top w:val="none" w:sz="0" w:space="0" w:color="auto"/>
                        <w:left w:val="none" w:sz="0" w:space="0" w:color="auto"/>
                        <w:bottom w:val="none" w:sz="0" w:space="0" w:color="auto"/>
                        <w:right w:val="none" w:sz="0" w:space="0" w:color="auto"/>
                      </w:divBdr>
                    </w:div>
                  </w:divsChild>
                </w:div>
                <w:div w:id="1413551324">
                  <w:marLeft w:val="0"/>
                  <w:marRight w:val="0"/>
                  <w:marTop w:val="0"/>
                  <w:marBottom w:val="0"/>
                  <w:divBdr>
                    <w:top w:val="none" w:sz="0" w:space="0" w:color="auto"/>
                    <w:left w:val="none" w:sz="0" w:space="0" w:color="auto"/>
                    <w:bottom w:val="none" w:sz="0" w:space="0" w:color="auto"/>
                    <w:right w:val="none" w:sz="0" w:space="0" w:color="auto"/>
                  </w:divBdr>
                  <w:divsChild>
                    <w:div w:id="990447155">
                      <w:marLeft w:val="0"/>
                      <w:marRight w:val="0"/>
                      <w:marTop w:val="0"/>
                      <w:marBottom w:val="0"/>
                      <w:divBdr>
                        <w:top w:val="none" w:sz="0" w:space="0" w:color="auto"/>
                        <w:left w:val="none" w:sz="0" w:space="0" w:color="auto"/>
                        <w:bottom w:val="none" w:sz="0" w:space="0" w:color="auto"/>
                        <w:right w:val="none" w:sz="0" w:space="0" w:color="auto"/>
                      </w:divBdr>
                    </w:div>
                  </w:divsChild>
                </w:div>
                <w:div w:id="1419906211">
                  <w:marLeft w:val="0"/>
                  <w:marRight w:val="0"/>
                  <w:marTop w:val="0"/>
                  <w:marBottom w:val="0"/>
                  <w:divBdr>
                    <w:top w:val="none" w:sz="0" w:space="0" w:color="auto"/>
                    <w:left w:val="none" w:sz="0" w:space="0" w:color="auto"/>
                    <w:bottom w:val="none" w:sz="0" w:space="0" w:color="auto"/>
                    <w:right w:val="none" w:sz="0" w:space="0" w:color="auto"/>
                  </w:divBdr>
                  <w:divsChild>
                    <w:div w:id="15616417">
                      <w:marLeft w:val="0"/>
                      <w:marRight w:val="0"/>
                      <w:marTop w:val="0"/>
                      <w:marBottom w:val="0"/>
                      <w:divBdr>
                        <w:top w:val="none" w:sz="0" w:space="0" w:color="auto"/>
                        <w:left w:val="none" w:sz="0" w:space="0" w:color="auto"/>
                        <w:bottom w:val="none" w:sz="0" w:space="0" w:color="auto"/>
                        <w:right w:val="none" w:sz="0" w:space="0" w:color="auto"/>
                      </w:divBdr>
                    </w:div>
                  </w:divsChild>
                </w:div>
                <w:div w:id="1423180265">
                  <w:marLeft w:val="0"/>
                  <w:marRight w:val="0"/>
                  <w:marTop w:val="0"/>
                  <w:marBottom w:val="0"/>
                  <w:divBdr>
                    <w:top w:val="none" w:sz="0" w:space="0" w:color="auto"/>
                    <w:left w:val="none" w:sz="0" w:space="0" w:color="auto"/>
                    <w:bottom w:val="none" w:sz="0" w:space="0" w:color="auto"/>
                    <w:right w:val="none" w:sz="0" w:space="0" w:color="auto"/>
                  </w:divBdr>
                  <w:divsChild>
                    <w:div w:id="106121487">
                      <w:marLeft w:val="0"/>
                      <w:marRight w:val="0"/>
                      <w:marTop w:val="0"/>
                      <w:marBottom w:val="0"/>
                      <w:divBdr>
                        <w:top w:val="none" w:sz="0" w:space="0" w:color="auto"/>
                        <w:left w:val="none" w:sz="0" w:space="0" w:color="auto"/>
                        <w:bottom w:val="none" w:sz="0" w:space="0" w:color="auto"/>
                        <w:right w:val="none" w:sz="0" w:space="0" w:color="auto"/>
                      </w:divBdr>
                    </w:div>
                  </w:divsChild>
                </w:div>
                <w:div w:id="1460610715">
                  <w:marLeft w:val="0"/>
                  <w:marRight w:val="0"/>
                  <w:marTop w:val="0"/>
                  <w:marBottom w:val="0"/>
                  <w:divBdr>
                    <w:top w:val="none" w:sz="0" w:space="0" w:color="auto"/>
                    <w:left w:val="none" w:sz="0" w:space="0" w:color="auto"/>
                    <w:bottom w:val="none" w:sz="0" w:space="0" w:color="auto"/>
                    <w:right w:val="none" w:sz="0" w:space="0" w:color="auto"/>
                  </w:divBdr>
                  <w:divsChild>
                    <w:div w:id="1410345686">
                      <w:marLeft w:val="0"/>
                      <w:marRight w:val="0"/>
                      <w:marTop w:val="0"/>
                      <w:marBottom w:val="0"/>
                      <w:divBdr>
                        <w:top w:val="none" w:sz="0" w:space="0" w:color="auto"/>
                        <w:left w:val="none" w:sz="0" w:space="0" w:color="auto"/>
                        <w:bottom w:val="none" w:sz="0" w:space="0" w:color="auto"/>
                        <w:right w:val="none" w:sz="0" w:space="0" w:color="auto"/>
                      </w:divBdr>
                    </w:div>
                  </w:divsChild>
                </w:div>
                <w:div w:id="1467121283">
                  <w:marLeft w:val="0"/>
                  <w:marRight w:val="0"/>
                  <w:marTop w:val="0"/>
                  <w:marBottom w:val="0"/>
                  <w:divBdr>
                    <w:top w:val="none" w:sz="0" w:space="0" w:color="auto"/>
                    <w:left w:val="none" w:sz="0" w:space="0" w:color="auto"/>
                    <w:bottom w:val="none" w:sz="0" w:space="0" w:color="auto"/>
                    <w:right w:val="none" w:sz="0" w:space="0" w:color="auto"/>
                  </w:divBdr>
                  <w:divsChild>
                    <w:div w:id="576473339">
                      <w:marLeft w:val="0"/>
                      <w:marRight w:val="0"/>
                      <w:marTop w:val="0"/>
                      <w:marBottom w:val="0"/>
                      <w:divBdr>
                        <w:top w:val="none" w:sz="0" w:space="0" w:color="auto"/>
                        <w:left w:val="none" w:sz="0" w:space="0" w:color="auto"/>
                        <w:bottom w:val="none" w:sz="0" w:space="0" w:color="auto"/>
                        <w:right w:val="none" w:sz="0" w:space="0" w:color="auto"/>
                      </w:divBdr>
                    </w:div>
                  </w:divsChild>
                </w:div>
                <w:div w:id="1478915603">
                  <w:marLeft w:val="0"/>
                  <w:marRight w:val="0"/>
                  <w:marTop w:val="0"/>
                  <w:marBottom w:val="0"/>
                  <w:divBdr>
                    <w:top w:val="none" w:sz="0" w:space="0" w:color="auto"/>
                    <w:left w:val="none" w:sz="0" w:space="0" w:color="auto"/>
                    <w:bottom w:val="none" w:sz="0" w:space="0" w:color="auto"/>
                    <w:right w:val="none" w:sz="0" w:space="0" w:color="auto"/>
                  </w:divBdr>
                  <w:divsChild>
                    <w:div w:id="585649837">
                      <w:marLeft w:val="0"/>
                      <w:marRight w:val="0"/>
                      <w:marTop w:val="0"/>
                      <w:marBottom w:val="0"/>
                      <w:divBdr>
                        <w:top w:val="none" w:sz="0" w:space="0" w:color="auto"/>
                        <w:left w:val="none" w:sz="0" w:space="0" w:color="auto"/>
                        <w:bottom w:val="none" w:sz="0" w:space="0" w:color="auto"/>
                        <w:right w:val="none" w:sz="0" w:space="0" w:color="auto"/>
                      </w:divBdr>
                    </w:div>
                  </w:divsChild>
                </w:div>
                <w:div w:id="1485312702">
                  <w:marLeft w:val="0"/>
                  <w:marRight w:val="0"/>
                  <w:marTop w:val="0"/>
                  <w:marBottom w:val="0"/>
                  <w:divBdr>
                    <w:top w:val="none" w:sz="0" w:space="0" w:color="auto"/>
                    <w:left w:val="none" w:sz="0" w:space="0" w:color="auto"/>
                    <w:bottom w:val="none" w:sz="0" w:space="0" w:color="auto"/>
                    <w:right w:val="none" w:sz="0" w:space="0" w:color="auto"/>
                  </w:divBdr>
                  <w:divsChild>
                    <w:div w:id="429738759">
                      <w:marLeft w:val="0"/>
                      <w:marRight w:val="0"/>
                      <w:marTop w:val="0"/>
                      <w:marBottom w:val="0"/>
                      <w:divBdr>
                        <w:top w:val="none" w:sz="0" w:space="0" w:color="auto"/>
                        <w:left w:val="none" w:sz="0" w:space="0" w:color="auto"/>
                        <w:bottom w:val="none" w:sz="0" w:space="0" w:color="auto"/>
                        <w:right w:val="none" w:sz="0" w:space="0" w:color="auto"/>
                      </w:divBdr>
                    </w:div>
                  </w:divsChild>
                </w:div>
                <w:div w:id="1488092046">
                  <w:marLeft w:val="0"/>
                  <w:marRight w:val="0"/>
                  <w:marTop w:val="0"/>
                  <w:marBottom w:val="0"/>
                  <w:divBdr>
                    <w:top w:val="none" w:sz="0" w:space="0" w:color="auto"/>
                    <w:left w:val="none" w:sz="0" w:space="0" w:color="auto"/>
                    <w:bottom w:val="none" w:sz="0" w:space="0" w:color="auto"/>
                    <w:right w:val="none" w:sz="0" w:space="0" w:color="auto"/>
                  </w:divBdr>
                  <w:divsChild>
                    <w:div w:id="1659265610">
                      <w:marLeft w:val="0"/>
                      <w:marRight w:val="0"/>
                      <w:marTop w:val="0"/>
                      <w:marBottom w:val="0"/>
                      <w:divBdr>
                        <w:top w:val="none" w:sz="0" w:space="0" w:color="auto"/>
                        <w:left w:val="none" w:sz="0" w:space="0" w:color="auto"/>
                        <w:bottom w:val="none" w:sz="0" w:space="0" w:color="auto"/>
                        <w:right w:val="none" w:sz="0" w:space="0" w:color="auto"/>
                      </w:divBdr>
                    </w:div>
                  </w:divsChild>
                </w:div>
                <w:div w:id="1513032560">
                  <w:marLeft w:val="0"/>
                  <w:marRight w:val="0"/>
                  <w:marTop w:val="0"/>
                  <w:marBottom w:val="0"/>
                  <w:divBdr>
                    <w:top w:val="none" w:sz="0" w:space="0" w:color="auto"/>
                    <w:left w:val="none" w:sz="0" w:space="0" w:color="auto"/>
                    <w:bottom w:val="none" w:sz="0" w:space="0" w:color="auto"/>
                    <w:right w:val="none" w:sz="0" w:space="0" w:color="auto"/>
                  </w:divBdr>
                  <w:divsChild>
                    <w:div w:id="1155755091">
                      <w:marLeft w:val="0"/>
                      <w:marRight w:val="0"/>
                      <w:marTop w:val="0"/>
                      <w:marBottom w:val="0"/>
                      <w:divBdr>
                        <w:top w:val="none" w:sz="0" w:space="0" w:color="auto"/>
                        <w:left w:val="none" w:sz="0" w:space="0" w:color="auto"/>
                        <w:bottom w:val="none" w:sz="0" w:space="0" w:color="auto"/>
                        <w:right w:val="none" w:sz="0" w:space="0" w:color="auto"/>
                      </w:divBdr>
                    </w:div>
                  </w:divsChild>
                </w:div>
                <w:div w:id="1516846103">
                  <w:marLeft w:val="0"/>
                  <w:marRight w:val="0"/>
                  <w:marTop w:val="0"/>
                  <w:marBottom w:val="0"/>
                  <w:divBdr>
                    <w:top w:val="none" w:sz="0" w:space="0" w:color="auto"/>
                    <w:left w:val="none" w:sz="0" w:space="0" w:color="auto"/>
                    <w:bottom w:val="none" w:sz="0" w:space="0" w:color="auto"/>
                    <w:right w:val="none" w:sz="0" w:space="0" w:color="auto"/>
                  </w:divBdr>
                  <w:divsChild>
                    <w:div w:id="1589654931">
                      <w:marLeft w:val="0"/>
                      <w:marRight w:val="0"/>
                      <w:marTop w:val="0"/>
                      <w:marBottom w:val="0"/>
                      <w:divBdr>
                        <w:top w:val="none" w:sz="0" w:space="0" w:color="auto"/>
                        <w:left w:val="none" w:sz="0" w:space="0" w:color="auto"/>
                        <w:bottom w:val="none" w:sz="0" w:space="0" w:color="auto"/>
                        <w:right w:val="none" w:sz="0" w:space="0" w:color="auto"/>
                      </w:divBdr>
                    </w:div>
                  </w:divsChild>
                </w:div>
                <w:div w:id="1517889651">
                  <w:marLeft w:val="0"/>
                  <w:marRight w:val="0"/>
                  <w:marTop w:val="0"/>
                  <w:marBottom w:val="0"/>
                  <w:divBdr>
                    <w:top w:val="none" w:sz="0" w:space="0" w:color="auto"/>
                    <w:left w:val="none" w:sz="0" w:space="0" w:color="auto"/>
                    <w:bottom w:val="none" w:sz="0" w:space="0" w:color="auto"/>
                    <w:right w:val="none" w:sz="0" w:space="0" w:color="auto"/>
                  </w:divBdr>
                  <w:divsChild>
                    <w:div w:id="1179655496">
                      <w:marLeft w:val="0"/>
                      <w:marRight w:val="0"/>
                      <w:marTop w:val="0"/>
                      <w:marBottom w:val="0"/>
                      <w:divBdr>
                        <w:top w:val="none" w:sz="0" w:space="0" w:color="auto"/>
                        <w:left w:val="none" w:sz="0" w:space="0" w:color="auto"/>
                        <w:bottom w:val="none" w:sz="0" w:space="0" w:color="auto"/>
                        <w:right w:val="none" w:sz="0" w:space="0" w:color="auto"/>
                      </w:divBdr>
                    </w:div>
                  </w:divsChild>
                </w:div>
                <w:div w:id="1521359799">
                  <w:marLeft w:val="0"/>
                  <w:marRight w:val="0"/>
                  <w:marTop w:val="0"/>
                  <w:marBottom w:val="0"/>
                  <w:divBdr>
                    <w:top w:val="none" w:sz="0" w:space="0" w:color="auto"/>
                    <w:left w:val="none" w:sz="0" w:space="0" w:color="auto"/>
                    <w:bottom w:val="none" w:sz="0" w:space="0" w:color="auto"/>
                    <w:right w:val="none" w:sz="0" w:space="0" w:color="auto"/>
                  </w:divBdr>
                  <w:divsChild>
                    <w:div w:id="1836918929">
                      <w:marLeft w:val="0"/>
                      <w:marRight w:val="0"/>
                      <w:marTop w:val="0"/>
                      <w:marBottom w:val="0"/>
                      <w:divBdr>
                        <w:top w:val="none" w:sz="0" w:space="0" w:color="auto"/>
                        <w:left w:val="none" w:sz="0" w:space="0" w:color="auto"/>
                        <w:bottom w:val="none" w:sz="0" w:space="0" w:color="auto"/>
                        <w:right w:val="none" w:sz="0" w:space="0" w:color="auto"/>
                      </w:divBdr>
                    </w:div>
                  </w:divsChild>
                </w:div>
                <w:div w:id="1525054851">
                  <w:marLeft w:val="0"/>
                  <w:marRight w:val="0"/>
                  <w:marTop w:val="0"/>
                  <w:marBottom w:val="0"/>
                  <w:divBdr>
                    <w:top w:val="none" w:sz="0" w:space="0" w:color="auto"/>
                    <w:left w:val="none" w:sz="0" w:space="0" w:color="auto"/>
                    <w:bottom w:val="none" w:sz="0" w:space="0" w:color="auto"/>
                    <w:right w:val="none" w:sz="0" w:space="0" w:color="auto"/>
                  </w:divBdr>
                  <w:divsChild>
                    <w:div w:id="398984645">
                      <w:marLeft w:val="0"/>
                      <w:marRight w:val="0"/>
                      <w:marTop w:val="0"/>
                      <w:marBottom w:val="0"/>
                      <w:divBdr>
                        <w:top w:val="none" w:sz="0" w:space="0" w:color="auto"/>
                        <w:left w:val="none" w:sz="0" w:space="0" w:color="auto"/>
                        <w:bottom w:val="none" w:sz="0" w:space="0" w:color="auto"/>
                        <w:right w:val="none" w:sz="0" w:space="0" w:color="auto"/>
                      </w:divBdr>
                    </w:div>
                  </w:divsChild>
                </w:div>
                <w:div w:id="1525483270">
                  <w:marLeft w:val="0"/>
                  <w:marRight w:val="0"/>
                  <w:marTop w:val="0"/>
                  <w:marBottom w:val="0"/>
                  <w:divBdr>
                    <w:top w:val="none" w:sz="0" w:space="0" w:color="auto"/>
                    <w:left w:val="none" w:sz="0" w:space="0" w:color="auto"/>
                    <w:bottom w:val="none" w:sz="0" w:space="0" w:color="auto"/>
                    <w:right w:val="none" w:sz="0" w:space="0" w:color="auto"/>
                  </w:divBdr>
                  <w:divsChild>
                    <w:div w:id="2043019910">
                      <w:marLeft w:val="0"/>
                      <w:marRight w:val="0"/>
                      <w:marTop w:val="0"/>
                      <w:marBottom w:val="0"/>
                      <w:divBdr>
                        <w:top w:val="none" w:sz="0" w:space="0" w:color="auto"/>
                        <w:left w:val="none" w:sz="0" w:space="0" w:color="auto"/>
                        <w:bottom w:val="none" w:sz="0" w:space="0" w:color="auto"/>
                        <w:right w:val="none" w:sz="0" w:space="0" w:color="auto"/>
                      </w:divBdr>
                    </w:div>
                  </w:divsChild>
                </w:div>
                <w:div w:id="1542016255">
                  <w:marLeft w:val="0"/>
                  <w:marRight w:val="0"/>
                  <w:marTop w:val="0"/>
                  <w:marBottom w:val="0"/>
                  <w:divBdr>
                    <w:top w:val="none" w:sz="0" w:space="0" w:color="auto"/>
                    <w:left w:val="none" w:sz="0" w:space="0" w:color="auto"/>
                    <w:bottom w:val="none" w:sz="0" w:space="0" w:color="auto"/>
                    <w:right w:val="none" w:sz="0" w:space="0" w:color="auto"/>
                  </w:divBdr>
                  <w:divsChild>
                    <w:div w:id="950282585">
                      <w:marLeft w:val="0"/>
                      <w:marRight w:val="0"/>
                      <w:marTop w:val="0"/>
                      <w:marBottom w:val="0"/>
                      <w:divBdr>
                        <w:top w:val="none" w:sz="0" w:space="0" w:color="auto"/>
                        <w:left w:val="none" w:sz="0" w:space="0" w:color="auto"/>
                        <w:bottom w:val="none" w:sz="0" w:space="0" w:color="auto"/>
                        <w:right w:val="none" w:sz="0" w:space="0" w:color="auto"/>
                      </w:divBdr>
                    </w:div>
                  </w:divsChild>
                </w:div>
                <w:div w:id="1545823033">
                  <w:marLeft w:val="0"/>
                  <w:marRight w:val="0"/>
                  <w:marTop w:val="0"/>
                  <w:marBottom w:val="0"/>
                  <w:divBdr>
                    <w:top w:val="none" w:sz="0" w:space="0" w:color="auto"/>
                    <w:left w:val="none" w:sz="0" w:space="0" w:color="auto"/>
                    <w:bottom w:val="none" w:sz="0" w:space="0" w:color="auto"/>
                    <w:right w:val="none" w:sz="0" w:space="0" w:color="auto"/>
                  </w:divBdr>
                  <w:divsChild>
                    <w:div w:id="456262752">
                      <w:marLeft w:val="0"/>
                      <w:marRight w:val="0"/>
                      <w:marTop w:val="0"/>
                      <w:marBottom w:val="0"/>
                      <w:divBdr>
                        <w:top w:val="none" w:sz="0" w:space="0" w:color="auto"/>
                        <w:left w:val="none" w:sz="0" w:space="0" w:color="auto"/>
                        <w:bottom w:val="none" w:sz="0" w:space="0" w:color="auto"/>
                        <w:right w:val="none" w:sz="0" w:space="0" w:color="auto"/>
                      </w:divBdr>
                    </w:div>
                  </w:divsChild>
                </w:div>
                <w:div w:id="1553037050">
                  <w:marLeft w:val="0"/>
                  <w:marRight w:val="0"/>
                  <w:marTop w:val="0"/>
                  <w:marBottom w:val="0"/>
                  <w:divBdr>
                    <w:top w:val="none" w:sz="0" w:space="0" w:color="auto"/>
                    <w:left w:val="none" w:sz="0" w:space="0" w:color="auto"/>
                    <w:bottom w:val="none" w:sz="0" w:space="0" w:color="auto"/>
                    <w:right w:val="none" w:sz="0" w:space="0" w:color="auto"/>
                  </w:divBdr>
                  <w:divsChild>
                    <w:div w:id="1602952663">
                      <w:marLeft w:val="0"/>
                      <w:marRight w:val="0"/>
                      <w:marTop w:val="0"/>
                      <w:marBottom w:val="0"/>
                      <w:divBdr>
                        <w:top w:val="none" w:sz="0" w:space="0" w:color="auto"/>
                        <w:left w:val="none" w:sz="0" w:space="0" w:color="auto"/>
                        <w:bottom w:val="none" w:sz="0" w:space="0" w:color="auto"/>
                        <w:right w:val="none" w:sz="0" w:space="0" w:color="auto"/>
                      </w:divBdr>
                    </w:div>
                  </w:divsChild>
                </w:div>
                <w:div w:id="1564876947">
                  <w:marLeft w:val="0"/>
                  <w:marRight w:val="0"/>
                  <w:marTop w:val="0"/>
                  <w:marBottom w:val="0"/>
                  <w:divBdr>
                    <w:top w:val="none" w:sz="0" w:space="0" w:color="auto"/>
                    <w:left w:val="none" w:sz="0" w:space="0" w:color="auto"/>
                    <w:bottom w:val="none" w:sz="0" w:space="0" w:color="auto"/>
                    <w:right w:val="none" w:sz="0" w:space="0" w:color="auto"/>
                  </w:divBdr>
                  <w:divsChild>
                    <w:div w:id="1448043890">
                      <w:marLeft w:val="0"/>
                      <w:marRight w:val="0"/>
                      <w:marTop w:val="0"/>
                      <w:marBottom w:val="0"/>
                      <w:divBdr>
                        <w:top w:val="none" w:sz="0" w:space="0" w:color="auto"/>
                        <w:left w:val="none" w:sz="0" w:space="0" w:color="auto"/>
                        <w:bottom w:val="none" w:sz="0" w:space="0" w:color="auto"/>
                        <w:right w:val="none" w:sz="0" w:space="0" w:color="auto"/>
                      </w:divBdr>
                    </w:div>
                  </w:divsChild>
                </w:div>
                <w:div w:id="1571841146">
                  <w:marLeft w:val="0"/>
                  <w:marRight w:val="0"/>
                  <w:marTop w:val="0"/>
                  <w:marBottom w:val="0"/>
                  <w:divBdr>
                    <w:top w:val="none" w:sz="0" w:space="0" w:color="auto"/>
                    <w:left w:val="none" w:sz="0" w:space="0" w:color="auto"/>
                    <w:bottom w:val="none" w:sz="0" w:space="0" w:color="auto"/>
                    <w:right w:val="none" w:sz="0" w:space="0" w:color="auto"/>
                  </w:divBdr>
                  <w:divsChild>
                    <w:div w:id="518586671">
                      <w:marLeft w:val="0"/>
                      <w:marRight w:val="0"/>
                      <w:marTop w:val="0"/>
                      <w:marBottom w:val="0"/>
                      <w:divBdr>
                        <w:top w:val="none" w:sz="0" w:space="0" w:color="auto"/>
                        <w:left w:val="none" w:sz="0" w:space="0" w:color="auto"/>
                        <w:bottom w:val="none" w:sz="0" w:space="0" w:color="auto"/>
                        <w:right w:val="none" w:sz="0" w:space="0" w:color="auto"/>
                      </w:divBdr>
                    </w:div>
                  </w:divsChild>
                </w:div>
                <w:div w:id="1579317518">
                  <w:marLeft w:val="0"/>
                  <w:marRight w:val="0"/>
                  <w:marTop w:val="0"/>
                  <w:marBottom w:val="0"/>
                  <w:divBdr>
                    <w:top w:val="none" w:sz="0" w:space="0" w:color="auto"/>
                    <w:left w:val="none" w:sz="0" w:space="0" w:color="auto"/>
                    <w:bottom w:val="none" w:sz="0" w:space="0" w:color="auto"/>
                    <w:right w:val="none" w:sz="0" w:space="0" w:color="auto"/>
                  </w:divBdr>
                  <w:divsChild>
                    <w:div w:id="867648299">
                      <w:marLeft w:val="0"/>
                      <w:marRight w:val="0"/>
                      <w:marTop w:val="0"/>
                      <w:marBottom w:val="0"/>
                      <w:divBdr>
                        <w:top w:val="none" w:sz="0" w:space="0" w:color="auto"/>
                        <w:left w:val="none" w:sz="0" w:space="0" w:color="auto"/>
                        <w:bottom w:val="none" w:sz="0" w:space="0" w:color="auto"/>
                        <w:right w:val="none" w:sz="0" w:space="0" w:color="auto"/>
                      </w:divBdr>
                    </w:div>
                  </w:divsChild>
                </w:div>
                <w:div w:id="1593204949">
                  <w:marLeft w:val="0"/>
                  <w:marRight w:val="0"/>
                  <w:marTop w:val="0"/>
                  <w:marBottom w:val="0"/>
                  <w:divBdr>
                    <w:top w:val="none" w:sz="0" w:space="0" w:color="auto"/>
                    <w:left w:val="none" w:sz="0" w:space="0" w:color="auto"/>
                    <w:bottom w:val="none" w:sz="0" w:space="0" w:color="auto"/>
                    <w:right w:val="none" w:sz="0" w:space="0" w:color="auto"/>
                  </w:divBdr>
                  <w:divsChild>
                    <w:div w:id="1536313258">
                      <w:marLeft w:val="0"/>
                      <w:marRight w:val="0"/>
                      <w:marTop w:val="0"/>
                      <w:marBottom w:val="0"/>
                      <w:divBdr>
                        <w:top w:val="none" w:sz="0" w:space="0" w:color="auto"/>
                        <w:left w:val="none" w:sz="0" w:space="0" w:color="auto"/>
                        <w:bottom w:val="none" w:sz="0" w:space="0" w:color="auto"/>
                        <w:right w:val="none" w:sz="0" w:space="0" w:color="auto"/>
                      </w:divBdr>
                    </w:div>
                  </w:divsChild>
                </w:div>
                <w:div w:id="1616137570">
                  <w:marLeft w:val="0"/>
                  <w:marRight w:val="0"/>
                  <w:marTop w:val="0"/>
                  <w:marBottom w:val="0"/>
                  <w:divBdr>
                    <w:top w:val="none" w:sz="0" w:space="0" w:color="auto"/>
                    <w:left w:val="none" w:sz="0" w:space="0" w:color="auto"/>
                    <w:bottom w:val="none" w:sz="0" w:space="0" w:color="auto"/>
                    <w:right w:val="none" w:sz="0" w:space="0" w:color="auto"/>
                  </w:divBdr>
                  <w:divsChild>
                    <w:div w:id="1901941274">
                      <w:marLeft w:val="0"/>
                      <w:marRight w:val="0"/>
                      <w:marTop w:val="0"/>
                      <w:marBottom w:val="0"/>
                      <w:divBdr>
                        <w:top w:val="none" w:sz="0" w:space="0" w:color="auto"/>
                        <w:left w:val="none" w:sz="0" w:space="0" w:color="auto"/>
                        <w:bottom w:val="none" w:sz="0" w:space="0" w:color="auto"/>
                        <w:right w:val="none" w:sz="0" w:space="0" w:color="auto"/>
                      </w:divBdr>
                    </w:div>
                  </w:divsChild>
                </w:div>
                <w:div w:id="1620839621">
                  <w:marLeft w:val="0"/>
                  <w:marRight w:val="0"/>
                  <w:marTop w:val="0"/>
                  <w:marBottom w:val="0"/>
                  <w:divBdr>
                    <w:top w:val="none" w:sz="0" w:space="0" w:color="auto"/>
                    <w:left w:val="none" w:sz="0" w:space="0" w:color="auto"/>
                    <w:bottom w:val="none" w:sz="0" w:space="0" w:color="auto"/>
                    <w:right w:val="none" w:sz="0" w:space="0" w:color="auto"/>
                  </w:divBdr>
                  <w:divsChild>
                    <w:div w:id="706367266">
                      <w:marLeft w:val="0"/>
                      <w:marRight w:val="0"/>
                      <w:marTop w:val="0"/>
                      <w:marBottom w:val="0"/>
                      <w:divBdr>
                        <w:top w:val="none" w:sz="0" w:space="0" w:color="auto"/>
                        <w:left w:val="none" w:sz="0" w:space="0" w:color="auto"/>
                        <w:bottom w:val="none" w:sz="0" w:space="0" w:color="auto"/>
                        <w:right w:val="none" w:sz="0" w:space="0" w:color="auto"/>
                      </w:divBdr>
                    </w:div>
                  </w:divsChild>
                </w:div>
                <w:div w:id="1623461077">
                  <w:marLeft w:val="0"/>
                  <w:marRight w:val="0"/>
                  <w:marTop w:val="0"/>
                  <w:marBottom w:val="0"/>
                  <w:divBdr>
                    <w:top w:val="none" w:sz="0" w:space="0" w:color="auto"/>
                    <w:left w:val="none" w:sz="0" w:space="0" w:color="auto"/>
                    <w:bottom w:val="none" w:sz="0" w:space="0" w:color="auto"/>
                    <w:right w:val="none" w:sz="0" w:space="0" w:color="auto"/>
                  </w:divBdr>
                  <w:divsChild>
                    <w:div w:id="263003441">
                      <w:marLeft w:val="0"/>
                      <w:marRight w:val="0"/>
                      <w:marTop w:val="0"/>
                      <w:marBottom w:val="0"/>
                      <w:divBdr>
                        <w:top w:val="none" w:sz="0" w:space="0" w:color="auto"/>
                        <w:left w:val="none" w:sz="0" w:space="0" w:color="auto"/>
                        <w:bottom w:val="none" w:sz="0" w:space="0" w:color="auto"/>
                        <w:right w:val="none" w:sz="0" w:space="0" w:color="auto"/>
                      </w:divBdr>
                    </w:div>
                  </w:divsChild>
                </w:div>
                <w:div w:id="1632201160">
                  <w:marLeft w:val="0"/>
                  <w:marRight w:val="0"/>
                  <w:marTop w:val="0"/>
                  <w:marBottom w:val="0"/>
                  <w:divBdr>
                    <w:top w:val="none" w:sz="0" w:space="0" w:color="auto"/>
                    <w:left w:val="none" w:sz="0" w:space="0" w:color="auto"/>
                    <w:bottom w:val="none" w:sz="0" w:space="0" w:color="auto"/>
                    <w:right w:val="none" w:sz="0" w:space="0" w:color="auto"/>
                  </w:divBdr>
                  <w:divsChild>
                    <w:div w:id="125007369">
                      <w:marLeft w:val="0"/>
                      <w:marRight w:val="0"/>
                      <w:marTop w:val="0"/>
                      <w:marBottom w:val="0"/>
                      <w:divBdr>
                        <w:top w:val="none" w:sz="0" w:space="0" w:color="auto"/>
                        <w:left w:val="none" w:sz="0" w:space="0" w:color="auto"/>
                        <w:bottom w:val="none" w:sz="0" w:space="0" w:color="auto"/>
                        <w:right w:val="none" w:sz="0" w:space="0" w:color="auto"/>
                      </w:divBdr>
                    </w:div>
                  </w:divsChild>
                </w:div>
                <w:div w:id="1636788126">
                  <w:marLeft w:val="0"/>
                  <w:marRight w:val="0"/>
                  <w:marTop w:val="0"/>
                  <w:marBottom w:val="0"/>
                  <w:divBdr>
                    <w:top w:val="none" w:sz="0" w:space="0" w:color="auto"/>
                    <w:left w:val="none" w:sz="0" w:space="0" w:color="auto"/>
                    <w:bottom w:val="none" w:sz="0" w:space="0" w:color="auto"/>
                    <w:right w:val="none" w:sz="0" w:space="0" w:color="auto"/>
                  </w:divBdr>
                  <w:divsChild>
                    <w:div w:id="1776824726">
                      <w:marLeft w:val="0"/>
                      <w:marRight w:val="0"/>
                      <w:marTop w:val="0"/>
                      <w:marBottom w:val="0"/>
                      <w:divBdr>
                        <w:top w:val="none" w:sz="0" w:space="0" w:color="auto"/>
                        <w:left w:val="none" w:sz="0" w:space="0" w:color="auto"/>
                        <w:bottom w:val="none" w:sz="0" w:space="0" w:color="auto"/>
                        <w:right w:val="none" w:sz="0" w:space="0" w:color="auto"/>
                      </w:divBdr>
                    </w:div>
                  </w:divsChild>
                </w:div>
                <w:div w:id="1651250507">
                  <w:marLeft w:val="0"/>
                  <w:marRight w:val="0"/>
                  <w:marTop w:val="0"/>
                  <w:marBottom w:val="0"/>
                  <w:divBdr>
                    <w:top w:val="none" w:sz="0" w:space="0" w:color="auto"/>
                    <w:left w:val="none" w:sz="0" w:space="0" w:color="auto"/>
                    <w:bottom w:val="none" w:sz="0" w:space="0" w:color="auto"/>
                    <w:right w:val="none" w:sz="0" w:space="0" w:color="auto"/>
                  </w:divBdr>
                  <w:divsChild>
                    <w:div w:id="1586062639">
                      <w:marLeft w:val="0"/>
                      <w:marRight w:val="0"/>
                      <w:marTop w:val="0"/>
                      <w:marBottom w:val="0"/>
                      <w:divBdr>
                        <w:top w:val="none" w:sz="0" w:space="0" w:color="auto"/>
                        <w:left w:val="none" w:sz="0" w:space="0" w:color="auto"/>
                        <w:bottom w:val="none" w:sz="0" w:space="0" w:color="auto"/>
                        <w:right w:val="none" w:sz="0" w:space="0" w:color="auto"/>
                      </w:divBdr>
                    </w:div>
                  </w:divsChild>
                </w:div>
                <w:div w:id="1658797970">
                  <w:marLeft w:val="0"/>
                  <w:marRight w:val="0"/>
                  <w:marTop w:val="0"/>
                  <w:marBottom w:val="0"/>
                  <w:divBdr>
                    <w:top w:val="none" w:sz="0" w:space="0" w:color="auto"/>
                    <w:left w:val="none" w:sz="0" w:space="0" w:color="auto"/>
                    <w:bottom w:val="none" w:sz="0" w:space="0" w:color="auto"/>
                    <w:right w:val="none" w:sz="0" w:space="0" w:color="auto"/>
                  </w:divBdr>
                  <w:divsChild>
                    <w:div w:id="1324772559">
                      <w:marLeft w:val="0"/>
                      <w:marRight w:val="0"/>
                      <w:marTop w:val="0"/>
                      <w:marBottom w:val="0"/>
                      <w:divBdr>
                        <w:top w:val="none" w:sz="0" w:space="0" w:color="auto"/>
                        <w:left w:val="none" w:sz="0" w:space="0" w:color="auto"/>
                        <w:bottom w:val="none" w:sz="0" w:space="0" w:color="auto"/>
                        <w:right w:val="none" w:sz="0" w:space="0" w:color="auto"/>
                      </w:divBdr>
                    </w:div>
                  </w:divsChild>
                </w:div>
                <w:div w:id="1659771279">
                  <w:marLeft w:val="0"/>
                  <w:marRight w:val="0"/>
                  <w:marTop w:val="0"/>
                  <w:marBottom w:val="0"/>
                  <w:divBdr>
                    <w:top w:val="none" w:sz="0" w:space="0" w:color="auto"/>
                    <w:left w:val="none" w:sz="0" w:space="0" w:color="auto"/>
                    <w:bottom w:val="none" w:sz="0" w:space="0" w:color="auto"/>
                    <w:right w:val="none" w:sz="0" w:space="0" w:color="auto"/>
                  </w:divBdr>
                  <w:divsChild>
                    <w:div w:id="1597864831">
                      <w:marLeft w:val="0"/>
                      <w:marRight w:val="0"/>
                      <w:marTop w:val="0"/>
                      <w:marBottom w:val="0"/>
                      <w:divBdr>
                        <w:top w:val="none" w:sz="0" w:space="0" w:color="auto"/>
                        <w:left w:val="none" w:sz="0" w:space="0" w:color="auto"/>
                        <w:bottom w:val="none" w:sz="0" w:space="0" w:color="auto"/>
                        <w:right w:val="none" w:sz="0" w:space="0" w:color="auto"/>
                      </w:divBdr>
                    </w:div>
                  </w:divsChild>
                </w:div>
                <w:div w:id="1676760269">
                  <w:marLeft w:val="0"/>
                  <w:marRight w:val="0"/>
                  <w:marTop w:val="0"/>
                  <w:marBottom w:val="0"/>
                  <w:divBdr>
                    <w:top w:val="none" w:sz="0" w:space="0" w:color="auto"/>
                    <w:left w:val="none" w:sz="0" w:space="0" w:color="auto"/>
                    <w:bottom w:val="none" w:sz="0" w:space="0" w:color="auto"/>
                    <w:right w:val="none" w:sz="0" w:space="0" w:color="auto"/>
                  </w:divBdr>
                  <w:divsChild>
                    <w:div w:id="1592395028">
                      <w:marLeft w:val="0"/>
                      <w:marRight w:val="0"/>
                      <w:marTop w:val="0"/>
                      <w:marBottom w:val="0"/>
                      <w:divBdr>
                        <w:top w:val="none" w:sz="0" w:space="0" w:color="auto"/>
                        <w:left w:val="none" w:sz="0" w:space="0" w:color="auto"/>
                        <w:bottom w:val="none" w:sz="0" w:space="0" w:color="auto"/>
                        <w:right w:val="none" w:sz="0" w:space="0" w:color="auto"/>
                      </w:divBdr>
                    </w:div>
                  </w:divsChild>
                </w:div>
                <w:div w:id="1681270833">
                  <w:marLeft w:val="0"/>
                  <w:marRight w:val="0"/>
                  <w:marTop w:val="0"/>
                  <w:marBottom w:val="0"/>
                  <w:divBdr>
                    <w:top w:val="none" w:sz="0" w:space="0" w:color="auto"/>
                    <w:left w:val="none" w:sz="0" w:space="0" w:color="auto"/>
                    <w:bottom w:val="none" w:sz="0" w:space="0" w:color="auto"/>
                    <w:right w:val="none" w:sz="0" w:space="0" w:color="auto"/>
                  </w:divBdr>
                  <w:divsChild>
                    <w:div w:id="1470248609">
                      <w:marLeft w:val="0"/>
                      <w:marRight w:val="0"/>
                      <w:marTop w:val="0"/>
                      <w:marBottom w:val="0"/>
                      <w:divBdr>
                        <w:top w:val="none" w:sz="0" w:space="0" w:color="auto"/>
                        <w:left w:val="none" w:sz="0" w:space="0" w:color="auto"/>
                        <w:bottom w:val="none" w:sz="0" w:space="0" w:color="auto"/>
                        <w:right w:val="none" w:sz="0" w:space="0" w:color="auto"/>
                      </w:divBdr>
                    </w:div>
                  </w:divsChild>
                </w:div>
                <w:div w:id="1700009524">
                  <w:marLeft w:val="0"/>
                  <w:marRight w:val="0"/>
                  <w:marTop w:val="0"/>
                  <w:marBottom w:val="0"/>
                  <w:divBdr>
                    <w:top w:val="none" w:sz="0" w:space="0" w:color="auto"/>
                    <w:left w:val="none" w:sz="0" w:space="0" w:color="auto"/>
                    <w:bottom w:val="none" w:sz="0" w:space="0" w:color="auto"/>
                    <w:right w:val="none" w:sz="0" w:space="0" w:color="auto"/>
                  </w:divBdr>
                  <w:divsChild>
                    <w:div w:id="706562950">
                      <w:marLeft w:val="0"/>
                      <w:marRight w:val="0"/>
                      <w:marTop w:val="0"/>
                      <w:marBottom w:val="0"/>
                      <w:divBdr>
                        <w:top w:val="none" w:sz="0" w:space="0" w:color="auto"/>
                        <w:left w:val="none" w:sz="0" w:space="0" w:color="auto"/>
                        <w:bottom w:val="none" w:sz="0" w:space="0" w:color="auto"/>
                        <w:right w:val="none" w:sz="0" w:space="0" w:color="auto"/>
                      </w:divBdr>
                    </w:div>
                  </w:divsChild>
                </w:div>
                <w:div w:id="1711416489">
                  <w:marLeft w:val="0"/>
                  <w:marRight w:val="0"/>
                  <w:marTop w:val="0"/>
                  <w:marBottom w:val="0"/>
                  <w:divBdr>
                    <w:top w:val="none" w:sz="0" w:space="0" w:color="auto"/>
                    <w:left w:val="none" w:sz="0" w:space="0" w:color="auto"/>
                    <w:bottom w:val="none" w:sz="0" w:space="0" w:color="auto"/>
                    <w:right w:val="none" w:sz="0" w:space="0" w:color="auto"/>
                  </w:divBdr>
                  <w:divsChild>
                    <w:div w:id="1391269492">
                      <w:marLeft w:val="0"/>
                      <w:marRight w:val="0"/>
                      <w:marTop w:val="0"/>
                      <w:marBottom w:val="0"/>
                      <w:divBdr>
                        <w:top w:val="none" w:sz="0" w:space="0" w:color="auto"/>
                        <w:left w:val="none" w:sz="0" w:space="0" w:color="auto"/>
                        <w:bottom w:val="none" w:sz="0" w:space="0" w:color="auto"/>
                        <w:right w:val="none" w:sz="0" w:space="0" w:color="auto"/>
                      </w:divBdr>
                    </w:div>
                  </w:divsChild>
                </w:div>
                <w:div w:id="1711494536">
                  <w:marLeft w:val="0"/>
                  <w:marRight w:val="0"/>
                  <w:marTop w:val="0"/>
                  <w:marBottom w:val="0"/>
                  <w:divBdr>
                    <w:top w:val="none" w:sz="0" w:space="0" w:color="auto"/>
                    <w:left w:val="none" w:sz="0" w:space="0" w:color="auto"/>
                    <w:bottom w:val="none" w:sz="0" w:space="0" w:color="auto"/>
                    <w:right w:val="none" w:sz="0" w:space="0" w:color="auto"/>
                  </w:divBdr>
                  <w:divsChild>
                    <w:div w:id="1805847599">
                      <w:marLeft w:val="0"/>
                      <w:marRight w:val="0"/>
                      <w:marTop w:val="0"/>
                      <w:marBottom w:val="0"/>
                      <w:divBdr>
                        <w:top w:val="none" w:sz="0" w:space="0" w:color="auto"/>
                        <w:left w:val="none" w:sz="0" w:space="0" w:color="auto"/>
                        <w:bottom w:val="none" w:sz="0" w:space="0" w:color="auto"/>
                        <w:right w:val="none" w:sz="0" w:space="0" w:color="auto"/>
                      </w:divBdr>
                    </w:div>
                  </w:divsChild>
                </w:div>
                <w:div w:id="1730952993">
                  <w:marLeft w:val="0"/>
                  <w:marRight w:val="0"/>
                  <w:marTop w:val="0"/>
                  <w:marBottom w:val="0"/>
                  <w:divBdr>
                    <w:top w:val="none" w:sz="0" w:space="0" w:color="auto"/>
                    <w:left w:val="none" w:sz="0" w:space="0" w:color="auto"/>
                    <w:bottom w:val="none" w:sz="0" w:space="0" w:color="auto"/>
                    <w:right w:val="none" w:sz="0" w:space="0" w:color="auto"/>
                  </w:divBdr>
                  <w:divsChild>
                    <w:div w:id="624390782">
                      <w:marLeft w:val="0"/>
                      <w:marRight w:val="0"/>
                      <w:marTop w:val="0"/>
                      <w:marBottom w:val="0"/>
                      <w:divBdr>
                        <w:top w:val="none" w:sz="0" w:space="0" w:color="auto"/>
                        <w:left w:val="none" w:sz="0" w:space="0" w:color="auto"/>
                        <w:bottom w:val="none" w:sz="0" w:space="0" w:color="auto"/>
                        <w:right w:val="none" w:sz="0" w:space="0" w:color="auto"/>
                      </w:divBdr>
                    </w:div>
                  </w:divsChild>
                </w:div>
                <w:div w:id="1744183847">
                  <w:marLeft w:val="0"/>
                  <w:marRight w:val="0"/>
                  <w:marTop w:val="0"/>
                  <w:marBottom w:val="0"/>
                  <w:divBdr>
                    <w:top w:val="none" w:sz="0" w:space="0" w:color="auto"/>
                    <w:left w:val="none" w:sz="0" w:space="0" w:color="auto"/>
                    <w:bottom w:val="none" w:sz="0" w:space="0" w:color="auto"/>
                    <w:right w:val="none" w:sz="0" w:space="0" w:color="auto"/>
                  </w:divBdr>
                  <w:divsChild>
                    <w:div w:id="159776967">
                      <w:marLeft w:val="0"/>
                      <w:marRight w:val="0"/>
                      <w:marTop w:val="0"/>
                      <w:marBottom w:val="0"/>
                      <w:divBdr>
                        <w:top w:val="none" w:sz="0" w:space="0" w:color="auto"/>
                        <w:left w:val="none" w:sz="0" w:space="0" w:color="auto"/>
                        <w:bottom w:val="none" w:sz="0" w:space="0" w:color="auto"/>
                        <w:right w:val="none" w:sz="0" w:space="0" w:color="auto"/>
                      </w:divBdr>
                    </w:div>
                  </w:divsChild>
                </w:div>
                <w:div w:id="1764522805">
                  <w:marLeft w:val="0"/>
                  <w:marRight w:val="0"/>
                  <w:marTop w:val="0"/>
                  <w:marBottom w:val="0"/>
                  <w:divBdr>
                    <w:top w:val="none" w:sz="0" w:space="0" w:color="auto"/>
                    <w:left w:val="none" w:sz="0" w:space="0" w:color="auto"/>
                    <w:bottom w:val="none" w:sz="0" w:space="0" w:color="auto"/>
                    <w:right w:val="none" w:sz="0" w:space="0" w:color="auto"/>
                  </w:divBdr>
                  <w:divsChild>
                    <w:div w:id="1215891416">
                      <w:marLeft w:val="0"/>
                      <w:marRight w:val="0"/>
                      <w:marTop w:val="0"/>
                      <w:marBottom w:val="0"/>
                      <w:divBdr>
                        <w:top w:val="none" w:sz="0" w:space="0" w:color="auto"/>
                        <w:left w:val="none" w:sz="0" w:space="0" w:color="auto"/>
                        <w:bottom w:val="none" w:sz="0" w:space="0" w:color="auto"/>
                        <w:right w:val="none" w:sz="0" w:space="0" w:color="auto"/>
                      </w:divBdr>
                    </w:div>
                  </w:divsChild>
                </w:div>
                <w:div w:id="1788811208">
                  <w:marLeft w:val="0"/>
                  <w:marRight w:val="0"/>
                  <w:marTop w:val="0"/>
                  <w:marBottom w:val="0"/>
                  <w:divBdr>
                    <w:top w:val="none" w:sz="0" w:space="0" w:color="auto"/>
                    <w:left w:val="none" w:sz="0" w:space="0" w:color="auto"/>
                    <w:bottom w:val="none" w:sz="0" w:space="0" w:color="auto"/>
                    <w:right w:val="none" w:sz="0" w:space="0" w:color="auto"/>
                  </w:divBdr>
                  <w:divsChild>
                    <w:div w:id="1764376603">
                      <w:marLeft w:val="0"/>
                      <w:marRight w:val="0"/>
                      <w:marTop w:val="0"/>
                      <w:marBottom w:val="0"/>
                      <w:divBdr>
                        <w:top w:val="none" w:sz="0" w:space="0" w:color="auto"/>
                        <w:left w:val="none" w:sz="0" w:space="0" w:color="auto"/>
                        <w:bottom w:val="none" w:sz="0" w:space="0" w:color="auto"/>
                        <w:right w:val="none" w:sz="0" w:space="0" w:color="auto"/>
                      </w:divBdr>
                    </w:div>
                  </w:divsChild>
                </w:div>
                <w:div w:id="1801071872">
                  <w:marLeft w:val="0"/>
                  <w:marRight w:val="0"/>
                  <w:marTop w:val="0"/>
                  <w:marBottom w:val="0"/>
                  <w:divBdr>
                    <w:top w:val="none" w:sz="0" w:space="0" w:color="auto"/>
                    <w:left w:val="none" w:sz="0" w:space="0" w:color="auto"/>
                    <w:bottom w:val="none" w:sz="0" w:space="0" w:color="auto"/>
                    <w:right w:val="none" w:sz="0" w:space="0" w:color="auto"/>
                  </w:divBdr>
                  <w:divsChild>
                    <w:div w:id="1211574668">
                      <w:marLeft w:val="0"/>
                      <w:marRight w:val="0"/>
                      <w:marTop w:val="0"/>
                      <w:marBottom w:val="0"/>
                      <w:divBdr>
                        <w:top w:val="none" w:sz="0" w:space="0" w:color="auto"/>
                        <w:left w:val="none" w:sz="0" w:space="0" w:color="auto"/>
                        <w:bottom w:val="none" w:sz="0" w:space="0" w:color="auto"/>
                        <w:right w:val="none" w:sz="0" w:space="0" w:color="auto"/>
                      </w:divBdr>
                    </w:div>
                  </w:divsChild>
                </w:div>
                <w:div w:id="1803841608">
                  <w:marLeft w:val="0"/>
                  <w:marRight w:val="0"/>
                  <w:marTop w:val="0"/>
                  <w:marBottom w:val="0"/>
                  <w:divBdr>
                    <w:top w:val="none" w:sz="0" w:space="0" w:color="auto"/>
                    <w:left w:val="none" w:sz="0" w:space="0" w:color="auto"/>
                    <w:bottom w:val="none" w:sz="0" w:space="0" w:color="auto"/>
                    <w:right w:val="none" w:sz="0" w:space="0" w:color="auto"/>
                  </w:divBdr>
                  <w:divsChild>
                    <w:div w:id="325401460">
                      <w:marLeft w:val="0"/>
                      <w:marRight w:val="0"/>
                      <w:marTop w:val="0"/>
                      <w:marBottom w:val="0"/>
                      <w:divBdr>
                        <w:top w:val="none" w:sz="0" w:space="0" w:color="auto"/>
                        <w:left w:val="none" w:sz="0" w:space="0" w:color="auto"/>
                        <w:bottom w:val="none" w:sz="0" w:space="0" w:color="auto"/>
                        <w:right w:val="none" w:sz="0" w:space="0" w:color="auto"/>
                      </w:divBdr>
                    </w:div>
                  </w:divsChild>
                </w:div>
                <w:div w:id="1824344722">
                  <w:marLeft w:val="0"/>
                  <w:marRight w:val="0"/>
                  <w:marTop w:val="0"/>
                  <w:marBottom w:val="0"/>
                  <w:divBdr>
                    <w:top w:val="none" w:sz="0" w:space="0" w:color="auto"/>
                    <w:left w:val="none" w:sz="0" w:space="0" w:color="auto"/>
                    <w:bottom w:val="none" w:sz="0" w:space="0" w:color="auto"/>
                    <w:right w:val="none" w:sz="0" w:space="0" w:color="auto"/>
                  </w:divBdr>
                  <w:divsChild>
                    <w:div w:id="1600601162">
                      <w:marLeft w:val="0"/>
                      <w:marRight w:val="0"/>
                      <w:marTop w:val="0"/>
                      <w:marBottom w:val="0"/>
                      <w:divBdr>
                        <w:top w:val="none" w:sz="0" w:space="0" w:color="auto"/>
                        <w:left w:val="none" w:sz="0" w:space="0" w:color="auto"/>
                        <w:bottom w:val="none" w:sz="0" w:space="0" w:color="auto"/>
                        <w:right w:val="none" w:sz="0" w:space="0" w:color="auto"/>
                      </w:divBdr>
                    </w:div>
                  </w:divsChild>
                </w:div>
                <w:div w:id="1824420746">
                  <w:marLeft w:val="0"/>
                  <w:marRight w:val="0"/>
                  <w:marTop w:val="0"/>
                  <w:marBottom w:val="0"/>
                  <w:divBdr>
                    <w:top w:val="none" w:sz="0" w:space="0" w:color="auto"/>
                    <w:left w:val="none" w:sz="0" w:space="0" w:color="auto"/>
                    <w:bottom w:val="none" w:sz="0" w:space="0" w:color="auto"/>
                    <w:right w:val="none" w:sz="0" w:space="0" w:color="auto"/>
                  </w:divBdr>
                  <w:divsChild>
                    <w:div w:id="815685491">
                      <w:marLeft w:val="0"/>
                      <w:marRight w:val="0"/>
                      <w:marTop w:val="0"/>
                      <w:marBottom w:val="0"/>
                      <w:divBdr>
                        <w:top w:val="none" w:sz="0" w:space="0" w:color="auto"/>
                        <w:left w:val="none" w:sz="0" w:space="0" w:color="auto"/>
                        <w:bottom w:val="none" w:sz="0" w:space="0" w:color="auto"/>
                        <w:right w:val="none" w:sz="0" w:space="0" w:color="auto"/>
                      </w:divBdr>
                    </w:div>
                  </w:divsChild>
                </w:div>
                <w:div w:id="1842041668">
                  <w:marLeft w:val="0"/>
                  <w:marRight w:val="0"/>
                  <w:marTop w:val="0"/>
                  <w:marBottom w:val="0"/>
                  <w:divBdr>
                    <w:top w:val="none" w:sz="0" w:space="0" w:color="auto"/>
                    <w:left w:val="none" w:sz="0" w:space="0" w:color="auto"/>
                    <w:bottom w:val="none" w:sz="0" w:space="0" w:color="auto"/>
                    <w:right w:val="none" w:sz="0" w:space="0" w:color="auto"/>
                  </w:divBdr>
                  <w:divsChild>
                    <w:div w:id="1032920082">
                      <w:marLeft w:val="0"/>
                      <w:marRight w:val="0"/>
                      <w:marTop w:val="0"/>
                      <w:marBottom w:val="0"/>
                      <w:divBdr>
                        <w:top w:val="none" w:sz="0" w:space="0" w:color="auto"/>
                        <w:left w:val="none" w:sz="0" w:space="0" w:color="auto"/>
                        <w:bottom w:val="none" w:sz="0" w:space="0" w:color="auto"/>
                        <w:right w:val="none" w:sz="0" w:space="0" w:color="auto"/>
                      </w:divBdr>
                    </w:div>
                  </w:divsChild>
                </w:div>
                <w:div w:id="1850831596">
                  <w:marLeft w:val="0"/>
                  <w:marRight w:val="0"/>
                  <w:marTop w:val="0"/>
                  <w:marBottom w:val="0"/>
                  <w:divBdr>
                    <w:top w:val="none" w:sz="0" w:space="0" w:color="auto"/>
                    <w:left w:val="none" w:sz="0" w:space="0" w:color="auto"/>
                    <w:bottom w:val="none" w:sz="0" w:space="0" w:color="auto"/>
                    <w:right w:val="none" w:sz="0" w:space="0" w:color="auto"/>
                  </w:divBdr>
                  <w:divsChild>
                    <w:div w:id="296297080">
                      <w:marLeft w:val="0"/>
                      <w:marRight w:val="0"/>
                      <w:marTop w:val="0"/>
                      <w:marBottom w:val="0"/>
                      <w:divBdr>
                        <w:top w:val="none" w:sz="0" w:space="0" w:color="auto"/>
                        <w:left w:val="none" w:sz="0" w:space="0" w:color="auto"/>
                        <w:bottom w:val="none" w:sz="0" w:space="0" w:color="auto"/>
                        <w:right w:val="none" w:sz="0" w:space="0" w:color="auto"/>
                      </w:divBdr>
                    </w:div>
                  </w:divsChild>
                </w:div>
                <w:div w:id="1858545130">
                  <w:marLeft w:val="0"/>
                  <w:marRight w:val="0"/>
                  <w:marTop w:val="0"/>
                  <w:marBottom w:val="0"/>
                  <w:divBdr>
                    <w:top w:val="none" w:sz="0" w:space="0" w:color="auto"/>
                    <w:left w:val="none" w:sz="0" w:space="0" w:color="auto"/>
                    <w:bottom w:val="none" w:sz="0" w:space="0" w:color="auto"/>
                    <w:right w:val="none" w:sz="0" w:space="0" w:color="auto"/>
                  </w:divBdr>
                  <w:divsChild>
                    <w:div w:id="483736800">
                      <w:marLeft w:val="0"/>
                      <w:marRight w:val="0"/>
                      <w:marTop w:val="0"/>
                      <w:marBottom w:val="0"/>
                      <w:divBdr>
                        <w:top w:val="none" w:sz="0" w:space="0" w:color="auto"/>
                        <w:left w:val="none" w:sz="0" w:space="0" w:color="auto"/>
                        <w:bottom w:val="none" w:sz="0" w:space="0" w:color="auto"/>
                        <w:right w:val="none" w:sz="0" w:space="0" w:color="auto"/>
                      </w:divBdr>
                    </w:div>
                  </w:divsChild>
                </w:div>
                <w:div w:id="1871068887">
                  <w:marLeft w:val="0"/>
                  <w:marRight w:val="0"/>
                  <w:marTop w:val="0"/>
                  <w:marBottom w:val="0"/>
                  <w:divBdr>
                    <w:top w:val="none" w:sz="0" w:space="0" w:color="auto"/>
                    <w:left w:val="none" w:sz="0" w:space="0" w:color="auto"/>
                    <w:bottom w:val="none" w:sz="0" w:space="0" w:color="auto"/>
                    <w:right w:val="none" w:sz="0" w:space="0" w:color="auto"/>
                  </w:divBdr>
                  <w:divsChild>
                    <w:div w:id="519663914">
                      <w:marLeft w:val="0"/>
                      <w:marRight w:val="0"/>
                      <w:marTop w:val="0"/>
                      <w:marBottom w:val="0"/>
                      <w:divBdr>
                        <w:top w:val="none" w:sz="0" w:space="0" w:color="auto"/>
                        <w:left w:val="none" w:sz="0" w:space="0" w:color="auto"/>
                        <w:bottom w:val="none" w:sz="0" w:space="0" w:color="auto"/>
                        <w:right w:val="none" w:sz="0" w:space="0" w:color="auto"/>
                      </w:divBdr>
                    </w:div>
                  </w:divsChild>
                </w:div>
                <w:div w:id="1872109790">
                  <w:marLeft w:val="0"/>
                  <w:marRight w:val="0"/>
                  <w:marTop w:val="0"/>
                  <w:marBottom w:val="0"/>
                  <w:divBdr>
                    <w:top w:val="none" w:sz="0" w:space="0" w:color="auto"/>
                    <w:left w:val="none" w:sz="0" w:space="0" w:color="auto"/>
                    <w:bottom w:val="none" w:sz="0" w:space="0" w:color="auto"/>
                    <w:right w:val="none" w:sz="0" w:space="0" w:color="auto"/>
                  </w:divBdr>
                  <w:divsChild>
                    <w:div w:id="1613853286">
                      <w:marLeft w:val="0"/>
                      <w:marRight w:val="0"/>
                      <w:marTop w:val="0"/>
                      <w:marBottom w:val="0"/>
                      <w:divBdr>
                        <w:top w:val="none" w:sz="0" w:space="0" w:color="auto"/>
                        <w:left w:val="none" w:sz="0" w:space="0" w:color="auto"/>
                        <w:bottom w:val="none" w:sz="0" w:space="0" w:color="auto"/>
                        <w:right w:val="none" w:sz="0" w:space="0" w:color="auto"/>
                      </w:divBdr>
                    </w:div>
                  </w:divsChild>
                </w:div>
                <w:div w:id="1876574267">
                  <w:marLeft w:val="0"/>
                  <w:marRight w:val="0"/>
                  <w:marTop w:val="0"/>
                  <w:marBottom w:val="0"/>
                  <w:divBdr>
                    <w:top w:val="none" w:sz="0" w:space="0" w:color="auto"/>
                    <w:left w:val="none" w:sz="0" w:space="0" w:color="auto"/>
                    <w:bottom w:val="none" w:sz="0" w:space="0" w:color="auto"/>
                    <w:right w:val="none" w:sz="0" w:space="0" w:color="auto"/>
                  </w:divBdr>
                  <w:divsChild>
                    <w:div w:id="387149454">
                      <w:marLeft w:val="0"/>
                      <w:marRight w:val="0"/>
                      <w:marTop w:val="0"/>
                      <w:marBottom w:val="0"/>
                      <w:divBdr>
                        <w:top w:val="none" w:sz="0" w:space="0" w:color="auto"/>
                        <w:left w:val="none" w:sz="0" w:space="0" w:color="auto"/>
                        <w:bottom w:val="none" w:sz="0" w:space="0" w:color="auto"/>
                        <w:right w:val="none" w:sz="0" w:space="0" w:color="auto"/>
                      </w:divBdr>
                    </w:div>
                  </w:divsChild>
                </w:div>
                <w:div w:id="1883856585">
                  <w:marLeft w:val="0"/>
                  <w:marRight w:val="0"/>
                  <w:marTop w:val="0"/>
                  <w:marBottom w:val="0"/>
                  <w:divBdr>
                    <w:top w:val="none" w:sz="0" w:space="0" w:color="auto"/>
                    <w:left w:val="none" w:sz="0" w:space="0" w:color="auto"/>
                    <w:bottom w:val="none" w:sz="0" w:space="0" w:color="auto"/>
                    <w:right w:val="none" w:sz="0" w:space="0" w:color="auto"/>
                  </w:divBdr>
                  <w:divsChild>
                    <w:div w:id="1886212878">
                      <w:marLeft w:val="0"/>
                      <w:marRight w:val="0"/>
                      <w:marTop w:val="0"/>
                      <w:marBottom w:val="0"/>
                      <w:divBdr>
                        <w:top w:val="none" w:sz="0" w:space="0" w:color="auto"/>
                        <w:left w:val="none" w:sz="0" w:space="0" w:color="auto"/>
                        <w:bottom w:val="none" w:sz="0" w:space="0" w:color="auto"/>
                        <w:right w:val="none" w:sz="0" w:space="0" w:color="auto"/>
                      </w:divBdr>
                    </w:div>
                  </w:divsChild>
                </w:div>
                <w:div w:id="1896164939">
                  <w:marLeft w:val="0"/>
                  <w:marRight w:val="0"/>
                  <w:marTop w:val="0"/>
                  <w:marBottom w:val="0"/>
                  <w:divBdr>
                    <w:top w:val="none" w:sz="0" w:space="0" w:color="auto"/>
                    <w:left w:val="none" w:sz="0" w:space="0" w:color="auto"/>
                    <w:bottom w:val="none" w:sz="0" w:space="0" w:color="auto"/>
                    <w:right w:val="none" w:sz="0" w:space="0" w:color="auto"/>
                  </w:divBdr>
                  <w:divsChild>
                    <w:div w:id="617755301">
                      <w:marLeft w:val="0"/>
                      <w:marRight w:val="0"/>
                      <w:marTop w:val="0"/>
                      <w:marBottom w:val="0"/>
                      <w:divBdr>
                        <w:top w:val="none" w:sz="0" w:space="0" w:color="auto"/>
                        <w:left w:val="none" w:sz="0" w:space="0" w:color="auto"/>
                        <w:bottom w:val="none" w:sz="0" w:space="0" w:color="auto"/>
                        <w:right w:val="none" w:sz="0" w:space="0" w:color="auto"/>
                      </w:divBdr>
                    </w:div>
                  </w:divsChild>
                </w:div>
                <w:div w:id="1899779394">
                  <w:marLeft w:val="0"/>
                  <w:marRight w:val="0"/>
                  <w:marTop w:val="0"/>
                  <w:marBottom w:val="0"/>
                  <w:divBdr>
                    <w:top w:val="none" w:sz="0" w:space="0" w:color="auto"/>
                    <w:left w:val="none" w:sz="0" w:space="0" w:color="auto"/>
                    <w:bottom w:val="none" w:sz="0" w:space="0" w:color="auto"/>
                    <w:right w:val="none" w:sz="0" w:space="0" w:color="auto"/>
                  </w:divBdr>
                  <w:divsChild>
                    <w:div w:id="1429615402">
                      <w:marLeft w:val="0"/>
                      <w:marRight w:val="0"/>
                      <w:marTop w:val="0"/>
                      <w:marBottom w:val="0"/>
                      <w:divBdr>
                        <w:top w:val="none" w:sz="0" w:space="0" w:color="auto"/>
                        <w:left w:val="none" w:sz="0" w:space="0" w:color="auto"/>
                        <w:bottom w:val="none" w:sz="0" w:space="0" w:color="auto"/>
                        <w:right w:val="none" w:sz="0" w:space="0" w:color="auto"/>
                      </w:divBdr>
                    </w:div>
                  </w:divsChild>
                </w:div>
                <w:div w:id="1912619324">
                  <w:marLeft w:val="0"/>
                  <w:marRight w:val="0"/>
                  <w:marTop w:val="0"/>
                  <w:marBottom w:val="0"/>
                  <w:divBdr>
                    <w:top w:val="none" w:sz="0" w:space="0" w:color="auto"/>
                    <w:left w:val="none" w:sz="0" w:space="0" w:color="auto"/>
                    <w:bottom w:val="none" w:sz="0" w:space="0" w:color="auto"/>
                    <w:right w:val="none" w:sz="0" w:space="0" w:color="auto"/>
                  </w:divBdr>
                  <w:divsChild>
                    <w:div w:id="9575125">
                      <w:marLeft w:val="0"/>
                      <w:marRight w:val="0"/>
                      <w:marTop w:val="0"/>
                      <w:marBottom w:val="0"/>
                      <w:divBdr>
                        <w:top w:val="none" w:sz="0" w:space="0" w:color="auto"/>
                        <w:left w:val="none" w:sz="0" w:space="0" w:color="auto"/>
                        <w:bottom w:val="none" w:sz="0" w:space="0" w:color="auto"/>
                        <w:right w:val="none" w:sz="0" w:space="0" w:color="auto"/>
                      </w:divBdr>
                    </w:div>
                  </w:divsChild>
                </w:div>
                <w:div w:id="1951084220">
                  <w:marLeft w:val="0"/>
                  <w:marRight w:val="0"/>
                  <w:marTop w:val="0"/>
                  <w:marBottom w:val="0"/>
                  <w:divBdr>
                    <w:top w:val="none" w:sz="0" w:space="0" w:color="auto"/>
                    <w:left w:val="none" w:sz="0" w:space="0" w:color="auto"/>
                    <w:bottom w:val="none" w:sz="0" w:space="0" w:color="auto"/>
                    <w:right w:val="none" w:sz="0" w:space="0" w:color="auto"/>
                  </w:divBdr>
                  <w:divsChild>
                    <w:div w:id="1939024538">
                      <w:marLeft w:val="0"/>
                      <w:marRight w:val="0"/>
                      <w:marTop w:val="0"/>
                      <w:marBottom w:val="0"/>
                      <w:divBdr>
                        <w:top w:val="none" w:sz="0" w:space="0" w:color="auto"/>
                        <w:left w:val="none" w:sz="0" w:space="0" w:color="auto"/>
                        <w:bottom w:val="none" w:sz="0" w:space="0" w:color="auto"/>
                        <w:right w:val="none" w:sz="0" w:space="0" w:color="auto"/>
                      </w:divBdr>
                    </w:div>
                  </w:divsChild>
                </w:div>
                <w:div w:id="1977494088">
                  <w:marLeft w:val="0"/>
                  <w:marRight w:val="0"/>
                  <w:marTop w:val="0"/>
                  <w:marBottom w:val="0"/>
                  <w:divBdr>
                    <w:top w:val="none" w:sz="0" w:space="0" w:color="auto"/>
                    <w:left w:val="none" w:sz="0" w:space="0" w:color="auto"/>
                    <w:bottom w:val="none" w:sz="0" w:space="0" w:color="auto"/>
                    <w:right w:val="none" w:sz="0" w:space="0" w:color="auto"/>
                  </w:divBdr>
                  <w:divsChild>
                    <w:div w:id="1377043940">
                      <w:marLeft w:val="0"/>
                      <w:marRight w:val="0"/>
                      <w:marTop w:val="0"/>
                      <w:marBottom w:val="0"/>
                      <w:divBdr>
                        <w:top w:val="none" w:sz="0" w:space="0" w:color="auto"/>
                        <w:left w:val="none" w:sz="0" w:space="0" w:color="auto"/>
                        <w:bottom w:val="none" w:sz="0" w:space="0" w:color="auto"/>
                        <w:right w:val="none" w:sz="0" w:space="0" w:color="auto"/>
                      </w:divBdr>
                    </w:div>
                  </w:divsChild>
                </w:div>
                <w:div w:id="1977954129">
                  <w:marLeft w:val="0"/>
                  <w:marRight w:val="0"/>
                  <w:marTop w:val="0"/>
                  <w:marBottom w:val="0"/>
                  <w:divBdr>
                    <w:top w:val="none" w:sz="0" w:space="0" w:color="auto"/>
                    <w:left w:val="none" w:sz="0" w:space="0" w:color="auto"/>
                    <w:bottom w:val="none" w:sz="0" w:space="0" w:color="auto"/>
                    <w:right w:val="none" w:sz="0" w:space="0" w:color="auto"/>
                  </w:divBdr>
                  <w:divsChild>
                    <w:div w:id="963117810">
                      <w:marLeft w:val="0"/>
                      <w:marRight w:val="0"/>
                      <w:marTop w:val="0"/>
                      <w:marBottom w:val="0"/>
                      <w:divBdr>
                        <w:top w:val="none" w:sz="0" w:space="0" w:color="auto"/>
                        <w:left w:val="none" w:sz="0" w:space="0" w:color="auto"/>
                        <w:bottom w:val="none" w:sz="0" w:space="0" w:color="auto"/>
                        <w:right w:val="none" w:sz="0" w:space="0" w:color="auto"/>
                      </w:divBdr>
                    </w:div>
                  </w:divsChild>
                </w:div>
                <w:div w:id="1978753693">
                  <w:marLeft w:val="0"/>
                  <w:marRight w:val="0"/>
                  <w:marTop w:val="0"/>
                  <w:marBottom w:val="0"/>
                  <w:divBdr>
                    <w:top w:val="none" w:sz="0" w:space="0" w:color="auto"/>
                    <w:left w:val="none" w:sz="0" w:space="0" w:color="auto"/>
                    <w:bottom w:val="none" w:sz="0" w:space="0" w:color="auto"/>
                    <w:right w:val="none" w:sz="0" w:space="0" w:color="auto"/>
                  </w:divBdr>
                  <w:divsChild>
                    <w:div w:id="1531871034">
                      <w:marLeft w:val="0"/>
                      <w:marRight w:val="0"/>
                      <w:marTop w:val="0"/>
                      <w:marBottom w:val="0"/>
                      <w:divBdr>
                        <w:top w:val="none" w:sz="0" w:space="0" w:color="auto"/>
                        <w:left w:val="none" w:sz="0" w:space="0" w:color="auto"/>
                        <w:bottom w:val="none" w:sz="0" w:space="0" w:color="auto"/>
                        <w:right w:val="none" w:sz="0" w:space="0" w:color="auto"/>
                      </w:divBdr>
                    </w:div>
                  </w:divsChild>
                </w:div>
                <w:div w:id="2001077082">
                  <w:marLeft w:val="0"/>
                  <w:marRight w:val="0"/>
                  <w:marTop w:val="0"/>
                  <w:marBottom w:val="0"/>
                  <w:divBdr>
                    <w:top w:val="none" w:sz="0" w:space="0" w:color="auto"/>
                    <w:left w:val="none" w:sz="0" w:space="0" w:color="auto"/>
                    <w:bottom w:val="none" w:sz="0" w:space="0" w:color="auto"/>
                    <w:right w:val="none" w:sz="0" w:space="0" w:color="auto"/>
                  </w:divBdr>
                  <w:divsChild>
                    <w:div w:id="511456339">
                      <w:marLeft w:val="0"/>
                      <w:marRight w:val="0"/>
                      <w:marTop w:val="0"/>
                      <w:marBottom w:val="0"/>
                      <w:divBdr>
                        <w:top w:val="none" w:sz="0" w:space="0" w:color="auto"/>
                        <w:left w:val="none" w:sz="0" w:space="0" w:color="auto"/>
                        <w:bottom w:val="none" w:sz="0" w:space="0" w:color="auto"/>
                        <w:right w:val="none" w:sz="0" w:space="0" w:color="auto"/>
                      </w:divBdr>
                    </w:div>
                  </w:divsChild>
                </w:div>
                <w:div w:id="2002350539">
                  <w:marLeft w:val="0"/>
                  <w:marRight w:val="0"/>
                  <w:marTop w:val="0"/>
                  <w:marBottom w:val="0"/>
                  <w:divBdr>
                    <w:top w:val="none" w:sz="0" w:space="0" w:color="auto"/>
                    <w:left w:val="none" w:sz="0" w:space="0" w:color="auto"/>
                    <w:bottom w:val="none" w:sz="0" w:space="0" w:color="auto"/>
                    <w:right w:val="none" w:sz="0" w:space="0" w:color="auto"/>
                  </w:divBdr>
                  <w:divsChild>
                    <w:div w:id="1923641462">
                      <w:marLeft w:val="0"/>
                      <w:marRight w:val="0"/>
                      <w:marTop w:val="0"/>
                      <w:marBottom w:val="0"/>
                      <w:divBdr>
                        <w:top w:val="none" w:sz="0" w:space="0" w:color="auto"/>
                        <w:left w:val="none" w:sz="0" w:space="0" w:color="auto"/>
                        <w:bottom w:val="none" w:sz="0" w:space="0" w:color="auto"/>
                        <w:right w:val="none" w:sz="0" w:space="0" w:color="auto"/>
                      </w:divBdr>
                    </w:div>
                  </w:divsChild>
                </w:div>
                <w:div w:id="2013683290">
                  <w:marLeft w:val="0"/>
                  <w:marRight w:val="0"/>
                  <w:marTop w:val="0"/>
                  <w:marBottom w:val="0"/>
                  <w:divBdr>
                    <w:top w:val="none" w:sz="0" w:space="0" w:color="auto"/>
                    <w:left w:val="none" w:sz="0" w:space="0" w:color="auto"/>
                    <w:bottom w:val="none" w:sz="0" w:space="0" w:color="auto"/>
                    <w:right w:val="none" w:sz="0" w:space="0" w:color="auto"/>
                  </w:divBdr>
                  <w:divsChild>
                    <w:div w:id="1926959588">
                      <w:marLeft w:val="0"/>
                      <w:marRight w:val="0"/>
                      <w:marTop w:val="0"/>
                      <w:marBottom w:val="0"/>
                      <w:divBdr>
                        <w:top w:val="none" w:sz="0" w:space="0" w:color="auto"/>
                        <w:left w:val="none" w:sz="0" w:space="0" w:color="auto"/>
                        <w:bottom w:val="none" w:sz="0" w:space="0" w:color="auto"/>
                        <w:right w:val="none" w:sz="0" w:space="0" w:color="auto"/>
                      </w:divBdr>
                    </w:div>
                  </w:divsChild>
                </w:div>
                <w:div w:id="2025663460">
                  <w:marLeft w:val="0"/>
                  <w:marRight w:val="0"/>
                  <w:marTop w:val="0"/>
                  <w:marBottom w:val="0"/>
                  <w:divBdr>
                    <w:top w:val="none" w:sz="0" w:space="0" w:color="auto"/>
                    <w:left w:val="none" w:sz="0" w:space="0" w:color="auto"/>
                    <w:bottom w:val="none" w:sz="0" w:space="0" w:color="auto"/>
                    <w:right w:val="none" w:sz="0" w:space="0" w:color="auto"/>
                  </w:divBdr>
                  <w:divsChild>
                    <w:div w:id="1169950310">
                      <w:marLeft w:val="0"/>
                      <w:marRight w:val="0"/>
                      <w:marTop w:val="0"/>
                      <w:marBottom w:val="0"/>
                      <w:divBdr>
                        <w:top w:val="none" w:sz="0" w:space="0" w:color="auto"/>
                        <w:left w:val="none" w:sz="0" w:space="0" w:color="auto"/>
                        <w:bottom w:val="none" w:sz="0" w:space="0" w:color="auto"/>
                        <w:right w:val="none" w:sz="0" w:space="0" w:color="auto"/>
                      </w:divBdr>
                    </w:div>
                  </w:divsChild>
                </w:div>
                <w:div w:id="2043361963">
                  <w:marLeft w:val="0"/>
                  <w:marRight w:val="0"/>
                  <w:marTop w:val="0"/>
                  <w:marBottom w:val="0"/>
                  <w:divBdr>
                    <w:top w:val="none" w:sz="0" w:space="0" w:color="auto"/>
                    <w:left w:val="none" w:sz="0" w:space="0" w:color="auto"/>
                    <w:bottom w:val="none" w:sz="0" w:space="0" w:color="auto"/>
                    <w:right w:val="none" w:sz="0" w:space="0" w:color="auto"/>
                  </w:divBdr>
                  <w:divsChild>
                    <w:div w:id="47267884">
                      <w:marLeft w:val="0"/>
                      <w:marRight w:val="0"/>
                      <w:marTop w:val="0"/>
                      <w:marBottom w:val="0"/>
                      <w:divBdr>
                        <w:top w:val="none" w:sz="0" w:space="0" w:color="auto"/>
                        <w:left w:val="none" w:sz="0" w:space="0" w:color="auto"/>
                        <w:bottom w:val="none" w:sz="0" w:space="0" w:color="auto"/>
                        <w:right w:val="none" w:sz="0" w:space="0" w:color="auto"/>
                      </w:divBdr>
                    </w:div>
                  </w:divsChild>
                </w:div>
                <w:div w:id="2072850333">
                  <w:marLeft w:val="0"/>
                  <w:marRight w:val="0"/>
                  <w:marTop w:val="0"/>
                  <w:marBottom w:val="0"/>
                  <w:divBdr>
                    <w:top w:val="none" w:sz="0" w:space="0" w:color="auto"/>
                    <w:left w:val="none" w:sz="0" w:space="0" w:color="auto"/>
                    <w:bottom w:val="none" w:sz="0" w:space="0" w:color="auto"/>
                    <w:right w:val="none" w:sz="0" w:space="0" w:color="auto"/>
                  </w:divBdr>
                  <w:divsChild>
                    <w:div w:id="1776365835">
                      <w:marLeft w:val="0"/>
                      <w:marRight w:val="0"/>
                      <w:marTop w:val="0"/>
                      <w:marBottom w:val="0"/>
                      <w:divBdr>
                        <w:top w:val="none" w:sz="0" w:space="0" w:color="auto"/>
                        <w:left w:val="none" w:sz="0" w:space="0" w:color="auto"/>
                        <w:bottom w:val="none" w:sz="0" w:space="0" w:color="auto"/>
                        <w:right w:val="none" w:sz="0" w:space="0" w:color="auto"/>
                      </w:divBdr>
                    </w:div>
                  </w:divsChild>
                </w:div>
                <w:div w:id="2082436023">
                  <w:marLeft w:val="0"/>
                  <w:marRight w:val="0"/>
                  <w:marTop w:val="0"/>
                  <w:marBottom w:val="0"/>
                  <w:divBdr>
                    <w:top w:val="none" w:sz="0" w:space="0" w:color="auto"/>
                    <w:left w:val="none" w:sz="0" w:space="0" w:color="auto"/>
                    <w:bottom w:val="none" w:sz="0" w:space="0" w:color="auto"/>
                    <w:right w:val="none" w:sz="0" w:space="0" w:color="auto"/>
                  </w:divBdr>
                  <w:divsChild>
                    <w:div w:id="1847744358">
                      <w:marLeft w:val="0"/>
                      <w:marRight w:val="0"/>
                      <w:marTop w:val="0"/>
                      <w:marBottom w:val="0"/>
                      <w:divBdr>
                        <w:top w:val="none" w:sz="0" w:space="0" w:color="auto"/>
                        <w:left w:val="none" w:sz="0" w:space="0" w:color="auto"/>
                        <w:bottom w:val="none" w:sz="0" w:space="0" w:color="auto"/>
                        <w:right w:val="none" w:sz="0" w:space="0" w:color="auto"/>
                      </w:divBdr>
                    </w:div>
                  </w:divsChild>
                </w:div>
                <w:div w:id="2130659869">
                  <w:marLeft w:val="0"/>
                  <w:marRight w:val="0"/>
                  <w:marTop w:val="0"/>
                  <w:marBottom w:val="0"/>
                  <w:divBdr>
                    <w:top w:val="none" w:sz="0" w:space="0" w:color="auto"/>
                    <w:left w:val="none" w:sz="0" w:space="0" w:color="auto"/>
                    <w:bottom w:val="none" w:sz="0" w:space="0" w:color="auto"/>
                    <w:right w:val="none" w:sz="0" w:space="0" w:color="auto"/>
                  </w:divBdr>
                  <w:divsChild>
                    <w:div w:id="1928691701">
                      <w:marLeft w:val="0"/>
                      <w:marRight w:val="0"/>
                      <w:marTop w:val="0"/>
                      <w:marBottom w:val="0"/>
                      <w:divBdr>
                        <w:top w:val="none" w:sz="0" w:space="0" w:color="auto"/>
                        <w:left w:val="none" w:sz="0" w:space="0" w:color="auto"/>
                        <w:bottom w:val="none" w:sz="0" w:space="0" w:color="auto"/>
                        <w:right w:val="none" w:sz="0" w:space="0" w:color="auto"/>
                      </w:divBdr>
                    </w:div>
                  </w:divsChild>
                </w:div>
                <w:div w:id="2140219506">
                  <w:marLeft w:val="0"/>
                  <w:marRight w:val="0"/>
                  <w:marTop w:val="0"/>
                  <w:marBottom w:val="0"/>
                  <w:divBdr>
                    <w:top w:val="none" w:sz="0" w:space="0" w:color="auto"/>
                    <w:left w:val="none" w:sz="0" w:space="0" w:color="auto"/>
                    <w:bottom w:val="none" w:sz="0" w:space="0" w:color="auto"/>
                    <w:right w:val="none" w:sz="0" w:space="0" w:color="auto"/>
                  </w:divBdr>
                  <w:divsChild>
                    <w:div w:id="1631744715">
                      <w:marLeft w:val="0"/>
                      <w:marRight w:val="0"/>
                      <w:marTop w:val="0"/>
                      <w:marBottom w:val="0"/>
                      <w:divBdr>
                        <w:top w:val="none" w:sz="0" w:space="0" w:color="auto"/>
                        <w:left w:val="none" w:sz="0" w:space="0" w:color="auto"/>
                        <w:bottom w:val="none" w:sz="0" w:space="0" w:color="auto"/>
                        <w:right w:val="none" w:sz="0" w:space="0" w:color="auto"/>
                      </w:divBdr>
                    </w:div>
                  </w:divsChild>
                </w:div>
                <w:div w:id="2144079391">
                  <w:marLeft w:val="0"/>
                  <w:marRight w:val="0"/>
                  <w:marTop w:val="0"/>
                  <w:marBottom w:val="0"/>
                  <w:divBdr>
                    <w:top w:val="none" w:sz="0" w:space="0" w:color="auto"/>
                    <w:left w:val="none" w:sz="0" w:space="0" w:color="auto"/>
                    <w:bottom w:val="none" w:sz="0" w:space="0" w:color="auto"/>
                    <w:right w:val="none" w:sz="0" w:space="0" w:color="auto"/>
                  </w:divBdr>
                  <w:divsChild>
                    <w:div w:id="2498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83098">
          <w:marLeft w:val="0"/>
          <w:marRight w:val="0"/>
          <w:marTop w:val="0"/>
          <w:marBottom w:val="0"/>
          <w:divBdr>
            <w:top w:val="none" w:sz="0" w:space="0" w:color="auto"/>
            <w:left w:val="none" w:sz="0" w:space="0" w:color="auto"/>
            <w:bottom w:val="none" w:sz="0" w:space="0" w:color="auto"/>
            <w:right w:val="none" w:sz="0" w:space="0" w:color="auto"/>
          </w:divBdr>
        </w:div>
      </w:divsChild>
    </w:div>
    <w:div w:id="1367566102">
      <w:bodyDiv w:val="1"/>
      <w:marLeft w:val="0"/>
      <w:marRight w:val="0"/>
      <w:marTop w:val="0"/>
      <w:marBottom w:val="0"/>
      <w:divBdr>
        <w:top w:val="none" w:sz="0" w:space="0" w:color="auto"/>
        <w:left w:val="none" w:sz="0" w:space="0" w:color="auto"/>
        <w:bottom w:val="none" w:sz="0" w:space="0" w:color="auto"/>
        <w:right w:val="none" w:sz="0" w:space="0" w:color="auto"/>
      </w:divBdr>
      <w:divsChild>
        <w:div w:id="26756216">
          <w:marLeft w:val="0"/>
          <w:marRight w:val="0"/>
          <w:marTop w:val="0"/>
          <w:marBottom w:val="0"/>
          <w:divBdr>
            <w:top w:val="none" w:sz="0" w:space="0" w:color="auto"/>
            <w:left w:val="none" w:sz="0" w:space="0" w:color="auto"/>
            <w:bottom w:val="none" w:sz="0" w:space="0" w:color="auto"/>
            <w:right w:val="none" w:sz="0" w:space="0" w:color="auto"/>
          </w:divBdr>
          <w:divsChild>
            <w:div w:id="275720181">
              <w:marLeft w:val="0"/>
              <w:marRight w:val="0"/>
              <w:marTop w:val="0"/>
              <w:marBottom w:val="0"/>
              <w:divBdr>
                <w:top w:val="none" w:sz="0" w:space="0" w:color="auto"/>
                <w:left w:val="none" w:sz="0" w:space="0" w:color="auto"/>
                <w:bottom w:val="none" w:sz="0" w:space="0" w:color="auto"/>
                <w:right w:val="none" w:sz="0" w:space="0" w:color="auto"/>
              </w:divBdr>
            </w:div>
          </w:divsChild>
        </w:div>
        <w:div w:id="78017437">
          <w:marLeft w:val="0"/>
          <w:marRight w:val="0"/>
          <w:marTop w:val="0"/>
          <w:marBottom w:val="0"/>
          <w:divBdr>
            <w:top w:val="none" w:sz="0" w:space="0" w:color="auto"/>
            <w:left w:val="none" w:sz="0" w:space="0" w:color="auto"/>
            <w:bottom w:val="none" w:sz="0" w:space="0" w:color="auto"/>
            <w:right w:val="none" w:sz="0" w:space="0" w:color="auto"/>
          </w:divBdr>
          <w:divsChild>
            <w:div w:id="55863734">
              <w:marLeft w:val="0"/>
              <w:marRight w:val="0"/>
              <w:marTop w:val="0"/>
              <w:marBottom w:val="0"/>
              <w:divBdr>
                <w:top w:val="none" w:sz="0" w:space="0" w:color="auto"/>
                <w:left w:val="none" w:sz="0" w:space="0" w:color="auto"/>
                <w:bottom w:val="none" w:sz="0" w:space="0" w:color="auto"/>
                <w:right w:val="none" w:sz="0" w:space="0" w:color="auto"/>
              </w:divBdr>
            </w:div>
          </w:divsChild>
        </w:div>
        <w:div w:id="108863420">
          <w:marLeft w:val="0"/>
          <w:marRight w:val="0"/>
          <w:marTop w:val="0"/>
          <w:marBottom w:val="0"/>
          <w:divBdr>
            <w:top w:val="none" w:sz="0" w:space="0" w:color="auto"/>
            <w:left w:val="none" w:sz="0" w:space="0" w:color="auto"/>
            <w:bottom w:val="none" w:sz="0" w:space="0" w:color="auto"/>
            <w:right w:val="none" w:sz="0" w:space="0" w:color="auto"/>
          </w:divBdr>
          <w:divsChild>
            <w:div w:id="527720725">
              <w:marLeft w:val="0"/>
              <w:marRight w:val="0"/>
              <w:marTop w:val="0"/>
              <w:marBottom w:val="0"/>
              <w:divBdr>
                <w:top w:val="none" w:sz="0" w:space="0" w:color="auto"/>
                <w:left w:val="none" w:sz="0" w:space="0" w:color="auto"/>
                <w:bottom w:val="none" w:sz="0" w:space="0" w:color="auto"/>
                <w:right w:val="none" w:sz="0" w:space="0" w:color="auto"/>
              </w:divBdr>
            </w:div>
          </w:divsChild>
        </w:div>
        <w:div w:id="176625649">
          <w:marLeft w:val="0"/>
          <w:marRight w:val="0"/>
          <w:marTop w:val="0"/>
          <w:marBottom w:val="0"/>
          <w:divBdr>
            <w:top w:val="none" w:sz="0" w:space="0" w:color="auto"/>
            <w:left w:val="none" w:sz="0" w:space="0" w:color="auto"/>
            <w:bottom w:val="none" w:sz="0" w:space="0" w:color="auto"/>
            <w:right w:val="none" w:sz="0" w:space="0" w:color="auto"/>
          </w:divBdr>
          <w:divsChild>
            <w:div w:id="668945387">
              <w:marLeft w:val="0"/>
              <w:marRight w:val="0"/>
              <w:marTop w:val="0"/>
              <w:marBottom w:val="0"/>
              <w:divBdr>
                <w:top w:val="none" w:sz="0" w:space="0" w:color="auto"/>
                <w:left w:val="none" w:sz="0" w:space="0" w:color="auto"/>
                <w:bottom w:val="none" w:sz="0" w:space="0" w:color="auto"/>
                <w:right w:val="none" w:sz="0" w:space="0" w:color="auto"/>
              </w:divBdr>
            </w:div>
          </w:divsChild>
        </w:div>
        <w:div w:id="226694920">
          <w:marLeft w:val="0"/>
          <w:marRight w:val="0"/>
          <w:marTop w:val="0"/>
          <w:marBottom w:val="0"/>
          <w:divBdr>
            <w:top w:val="none" w:sz="0" w:space="0" w:color="auto"/>
            <w:left w:val="none" w:sz="0" w:space="0" w:color="auto"/>
            <w:bottom w:val="none" w:sz="0" w:space="0" w:color="auto"/>
            <w:right w:val="none" w:sz="0" w:space="0" w:color="auto"/>
          </w:divBdr>
          <w:divsChild>
            <w:div w:id="1794129221">
              <w:marLeft w:val="0"/>
              <w:marRight w:val="0"/>
              <w:marTop w:val="0"/>
              <w:marBottom w:val="0"/>
              <w:divBdr>
                <w:top w:val="none" w:sz="0" w:space="0" w:color="auto"/>
                <w:left w:val="none" w:sz="0" w:space="0" w:color="auto"/>
                <w:bottom w:val="none" w:sz="0" w:space="0" w:color="auto"/>
                <w:right w:val="none" w:sz="0" w:space="0" w:color="auto"/>
              </w:divBdr>
            </w:div>
          </w:divsChild>
        </w:div>
        <w:div w:id="549802431">
          <w:marLeft w:val="0"/>
          <w:marRight w:val="0"/>
          <w:marTop w:val="0"/>
          <w:marBottom w:val="0"/>
          <w:divBdr>
            <w:top w:val="none" w:sz="0" w:space="0" w:color="auto"/>
            <w:left w:val="none" w:sz="0" w:space="0" w:color="auto"/>
            <w:bottom w:val="none" w:sz="0" w:space="0" w:color="auto"/>
            <w:right w:val="none" w:sz="0" w:space="0" w:color="auto"/>
          </w:divBdr>
          <w:divsChild>
            <w:div w:id="1240024780">
              <w:marLeft w:val="0"/>
              <w:marRight w:val="0"/>
              <w:marTop w:val="0"/>
              <w:marBottom w:val="0"/>
              <w:divBdr>
                <w:top w:val="none" w:sz="0" w:space="0" w:color="auto"/>
                <w:left w:val="none" w:sz="0" w:space="0" w:color="auto"/>
                <w:bottom w:val="none" w:sz="0" w:space="0" w:color="auto"/>
                <w:right w:val="none" w:sz="0" w:space="0" w:color="auto"/>
              </w:divBdr>
            </w:div>
          </w:divsChild>
        </w:div>
        <w:div w:id="871574488">
          <w:marLeft w:val="0"/>
          <w:marRight w:val="0"/>
          <w:marTop w:val="0"/>
          <w:marBottom w:val="0"/>
          <w:divBdr>
            <w:top w:val="none" w:sz="0" w:space="0" w:color="auto"/>
            <w:left w:val="none" w:sz="0" w:space="0" w:color="auto"/>
            <w:bottom w:val="none" w:sz="0" w:space="0" w:color="auto"/>
            <w:right w:val="none" w:sz="0" w:space="0" w:color="auto"/>
          </w:divBdr>
          <w:divsChild>
            <w:div w:id="207691249">
              <w:marLeft w:val="0"/>
              <w:marRight w:val="0"/>
              <w:marTop w:val="0"/>
              <w:marBottom w:val="0"/>
              <w:divBdr>
                <w:top w:val="none" w:sz="0" w:space="0" w:color="auto"/>
                <w:left w:val="none" w:sz="0" w:space="0" w:color="auto"/>
                <w:bottom w:val="none" w:sz="0" w:space="0" w:color="auto"/>
                <w:right w:val="none" w:sz="0" w:space="0" w:color="auto"/>
              </w:divBdr>
            </w:div>
          </w:divsChild>
        </w:div>
        <w:div w:id="968171437">
          <w:marLeft w:val="0"/>
          <w:marRight w:val="0"/>
          <w:marTop w:val="0"/>
          <w:marBottom w:val="0"/>
          <w:divBdr>
            <w:top w:val="none" w:sz="0" w:space="0" w:color="auto"/>
            <w:left w:val="none" w:sz="0" w:space="0" w:color="auto"/>
            <w:bottom w:val="none" w:sz="0" w:space="0" w:color="auto"/>
            <w:right w:val="none" w:sz="0" w:space="0" w:color="auto"/>
          </w:divBdr>
          <w:divsChild>
            <w:div w:id="1599944486">
              <w:marLeft w:val="0"/>
              <w:marRight w:val="0"/>
              <w:marTop w:val="0"/>
              <w:marBottom w:val="0"/>
              <w:divBdr>
                <w:top w:val="none" w:sz="0" w:space="0" w:color="auto"/>
                <w:left w:val="none" w:sz="0" w:space="0" w:color="auto"/>
                <w:bottom w:val="none" w:sz="0" w:space="0" w:color="auto"/>
                <w:right w:val="none" w:sz="0" w:space="0" w:color="auto"/>
              </w:divBdr>
            </w:div>
          </w:divsChild>
        </w:div>
        <w:div w:id="1006176934">
          <w:marLeft w:val="0"/>
          <w:marRight w:val="0"/>
          <w:marTop w:val="0"/>
          <w:marBottom w:val="0"/>
          <w:divBdr>
            <w:top w:val="none" w:sz="0" w:space="0" w:color="auto"/>
            <w:left w:val="none" w:sz="0" w:space="0" w:color="auto"/>
            <w:bottom w:val="none" w:sz="0" w:space="0" w:color="auto"/>
            <w:right w:val="none" w:sz="0" w:space="0" w:color="auto"/>
          </w:divBdr>
          <w:divsChild>
            <w:div w:id="270864563">
              <w:marLeft w:val="0"/>
              <w:marRight w:val="0"/>
              <w:marTop w:val="0"/>
              <w:marBottom w:val="0"/>
              <w:divBdr>
                <w:top w:val="none" w:sz="0" w:space="0" w:color="auto"/>
                <w:left w:val="none" w:sz="0" w:space="0" w:color="auto"/>
                <w:bottom w:val="none" w:sz="0" w:space="0" w:color="auto"/>
                <w:right w:val="none" w:sz="0" w:space="0" w:color="auto"/>
              </w:divBdr>
            </w:div>
          </w:divsChild>
        </w:div>
        <w:div w:id="1136726844">
          <w:marLeft w:val="0"/>
          <w:marRight w:val="0"/>
          <w:marTop w:val="0"/>
          <w:marBottom w:val="0"/>
          <w:divBdr>
            <w:top w:val="none" w:sz="0" w:space="0" w:color="auto"/>
            <w:left w:val="none" w:sz="0" w:space="0" w:color="auto"/>
            <w:bottom w:val="none" w:sz="0" w:space="0" w:color="auto"/>
            <w:right w:val="none" w:sz="0" w:space="0" w:color="auto"/>
          </w:divBdr>
          <w:divsChild>
            <w:div w:id="2046900860">
              <w:marLeft w:val="0"/>
              <w:marRight w:val="0"/>
              <w:marTop w:val="0"/>
              <w:marBottom w:val="0"/>
              <w:divBdr>
                <w:top w:val="none" w:sz="0" w:space="0" w:color="auto"/>
                <w:left w:val="none" w:sz="0" w:space="0" w:color="auto"/>
                <w:bottom w:val="none" w:sz="0" w:space="0" w:color="auto"/>
                <w:right w:val="none" w:sz="0" w:space="0" w:color="auto"/>
              </w:divBdr>
            </w:div>
          </w:divsChild>
        </w:div>
        <w:div w:id="1194079246">
          <w:marLeft w:val="0"/>
          <w:marRight w:val="0"/>
          <w:marTop w:val="0"/>
          <w:marBottom w:val="0"/>
          <w:divBdr>
            <w:top w:val="none" w:sz="0" w:space="0" w:color="auto"/>
            <w:left w:val="none" w:sz="0" w:space="0" w:color="auto"/>
            <w:bottom w:val="none" w:sz="0" w:space="0" w:color="auto"/>
            <w:right w:val="none" w:sz="0" w:space="0" w:color="auto"/>
          </w:divBdr>
          <w:divsChild>
            <w:div w:id="44378447">
              <w:marLeft w:val="0"/>
              <w:marRight w:val="0"/>
              <w:marTop w:val="0"/>
              <w:marBottom w:val="0"/>
              <w:divBdr>
                <w:top w:val="none" w:sz="0" w:space="0" w:color="auto"/>
                <w:left w:val="none" w:sz="0" w:space="0" w:color="auto"/>
                <w:bottom w:val="none" w:sz="0" w:space="0" w:color="auto"/>
                <w:right w:val="none" w:sz="0" w:space="0" w:color="auto"/>
              </w:divBdr>
            </w:div>
          </w:divsChild>
        </w:div>
        <w:div w:id="1212768509">
          <w:marLeft w:val="0"/>
          <w:marRight w:val="0"/>
          <w:marTop w:val="0"/>
          <w:marBottom w:val="0"/>
          <w:divBdr>
            <w:top w:val="none" w:sz="0" w:space="0" w:color="auto"/>
            <w:left w:val="none" w:sz="0" w:space="0" w:color="auto"/>
            <w:bottom w:val="none" w:sz="0" w:space="0" w:color="auto"/>
            <w:right w:val="none" w:sz="0" w:space="0" w:color="auto"/>
          </w:divBdr>
          <w:divsChild>
            <w:div w:id="23287626">
              <w:marLeft w:val="0"/>
              <w:marRight w:val="0"/>
              <w:marTop w:val="0"/>
              <w:marBottom w:val="0"/>
              <w:divBdr>
                <w:top w:val="none" w:sz="0" w:space="0" w:color="auto"/>
                <w:left w:val="none" w:sz="0" w:space="0" w:color="auto"/>
                <w:bottom w:val="none" w:sz="0" w:space="0" w:color="auto"/>
                <w:right w:val="none" w:sz="0" w:space="0" w:color="auto"/>
              </w:divBdr>
            </w:div>
          </w:divsChild>
        </w:div>
        <w:div w:id="1228684345">
          <w:marLeft w:val="0"/>
          <w:marRight w:val="0"/>
          <w:marTop w:val="0"/>
          <w:marBottom w:val="0"/>
          <w:divBdr>
            <w:top w:val="none" w:sz="0" w:space="0" w:color="auto"/>
            <w:left w:val="none" w:sz="0" w:space="0" w:color="auto"/>
            <w:bottom w:val="none" w:sz="0" w:space="0" w:color="auto"/>
            <w:right w:val="none" w:sz="0" w:space="0" w:color="auto"/>
          </w:divBdr>
          <w:divsChild>
            <w:div w:id="782576038">
              <w:marLeft w:val="0"/>
              <w:marRight w:val="0"/>
              <w:marTop w:val="0"/>
              <w:marBottom w:val="0"/>
              <w:divBdr>
                <w:top w:val="none" w:sz="0" w:space="0" w:color="auto"/>
                <w:left w:val="none" w:sz="0" w:space="0" w:color="auto"/>
                <w:bottom w:val="none" w:sz="0" w:space="0" w:color="auto"/>
                <w:right w:val="none" w:sz="0" w:space="0" w:color="auto"/>
              </w:divBdr>
            </w:div>
          </w:divsChild>
        </w:div>
        <w:div w:id="1276788739">
          <w:marLeft w:val="0"/>
          <w:marRight w:val="0"/>
          <w:marTop w:val="0"/>
          <w:marBottom w:val="0"/>
          <w:divBdr>
            <w:top w:val="none" w:sz="0" w:space="0" w:color="auto"/>
            <w:left w:val="none" w:sz="0" w:space="0" w:color="auto"/>
            <w:bottom w:val="none" w:sz="0" w:space="0" w:color="auto"/>
            <w:right w:val="none" w:sz="0" w:space="0" w:color="auto"/>
          </w:divBdr>
          <w:divsChild>
            <w:div w:id="783036882">
              <w:marLeft w:val="0"/>
              <w:marRight w:val="0"/>
              <w:marTop w:val="0"/>
              <w:marBottom w:val="0"/>
              <w:divBdr>
                <w:top w:val="none" w:sz="0" w:space="0" w:color="auto"/>
                <w:left w:val="none" w:sz="0" w:space="0" w:color="auto"/>
                <w:bottom w:val="none" w:sz="0" w:space="0" w:color="auto"/>
                <w:right w:val="none" w:sz="0" w:space="0" w:color="auto"/>
              </w:divBdr>
            </w:div>
          </w:divsChild>
        </w:div>
        <w:div w:id="1394307198">
          <w:marLeft w:val="0"/>
          <w:marRight w:val="0"/>
          <w:marTop w:val="0"/>
          <w:marBottom w:val="0"/>
          <w:divBdr>
            <w:top w:val="none" w:sz="0" w:space="0" w:color="auto"/>
            <w:left w:val="none" w:sz="0" w:space="0" w:color="auto"/>
            <w:bottom w:val="none" w:sz="0" w:space="0" w:color="auto"/>
            <w:right w:val="none" w:sz="0" w:space="0" w:color="auto"/>
          </w:divBdr>
          <w:divsChild>
            <w:div w:id="1266693286">
              <w:marLeft w:val="0"/>
              <w:marRight w:val="0"/>
              <w:marTop w:val="0"/>
              <w:marBottom w:val="0"/>
              <w:divBdr>
                <w:top w:val="none" w:sz="0" w:space="0" w:color="auto"/>
                <w:left w:val="none" w:sz="0" w:space="0" w:color="auto"/>
                <w:bottom w:val="none" w:sz="0" w:space="0" w:color="auto"/>
                <w:right w:val="none" w:sz="0" w:space="0" w:color="auto"/>
              </w:divBdr>
            </w:div>
          </w:divsChild>
        </w:div>
        <w:div w:id="1475872811">
          <w:marLeft w:val="0"/>
          <w:marRight w:val="0"/>
          <w:marTop w:val="0"/>
          <w:marBottom w:val="0"/>
          <w:divBdr>
            <w:top w:val="none" w:sz="0" w:space="0" w:color="auto"/>
            <w:left w:val="none" w:sz="0" w:space="0" w:color="auto"/>
            <w:bottom w:val="none" w:sz="0" w:space="0" w:color="auto"/>
            <w:right w:val="none" w:sz="0" w:space="0" w:color="auto"/>
          </w:divBdr>
          <w:divsChild>
            <w:div w:id="1405372173">
              <w:marLeft w:val="0"/>
              <w:marRight w:val="0"/>
              <w:marTop w:val="0"/>
              <w:marBottom w:val="0"/>
              <w:divBdr>
                <w:top w:val="none" w:sz="0" w:space="0" w:color="auto"/>
                <w:left w:val="none" w:sz="0" w:space="0" w:color="auto"/>
                <w:bottom w:val="none" w:sz="0" w:space="0" w:color="auto"/>
                <w:right w:val="none" w:sz="0" w:space="0" w:color="auto"/>
              </w:divBdr>
            </w:div>
          </w:divsChild>
        </w:div>
        <w:div w:id="1478836624">
          <w:marLeft w:val="0"/>
          <w:marRight w:val="0"/>
          <w:marTop w:val="0"/>
          <w:marBottom w:val="0"/>
          <w:divBdr>
            <w:top w:val="none" w:sz="0" w:space="0" w:color="auto"/>
            <w:left w:val="none" w:sz="0" w:space="0" w:color="auto"/>
            <w:bottom w:val="none" w:sz="0" w:space="0" w:color="auto"/>
            <w:right w:val="none" w:sz="0" w:space="0" w:color="auto"/>
          </w:divBdr>
          <w:divsChild>
            <w:div w:id="1056198864">
              <w:marLeft w:val="0"/>
              <w:marRight w:val="0"/>
              <w:marTop w:val="0"/>
              <w:marBottom w:val="0"/>
              <w:divBdr>
                <w:top w:val="none" w:sz="0" w:space="0" w:color="auto"/>
                <w:left w:val="none" w:sz="0" w:space="0" w:color="auto"/>
                <w:bottom w:val="none" w:sz="0" w:space="0" w:color="auto"/>
                <w:right w:val="none" w:sz="0" w:space="0" w:color="auto"/>
              </w:divBdr>
            </w:div>
          </w:divsChild>
        </w:div>
        <w:div w:id="1483697691">
          <w:marLeft w:val="0"/>
          <w:marRight w:val="0"/>
          <w:marTop w:val="0"/>
          <w:marBottom w:val="0"/>
          <w:divBdr>
            <w:top w:val="none" w:sz="0" w:space="0" w:color="auto"/>
            <w:left w:val="none" w:sz="0" w:space="0" w:color="auto"/>
            <w:bottom w:val="none" w:sz="0" w:space="0" w:color="auto"/>
            <w:right w:val="none" w:sz="0" w:space="0" w:color="auto"/>
          </w:divBdr>
          <w:divsChild>
            <w:div w:id="1771775511">
              <w:marLeft w:val="0"/>
              <w:marRight w:val="0"/>
              <w:marTop w:val="0"/>
              <w:marBottom w:val="0"/>
              <w:divBdr>
                <w:top w:val="none" w:sz="0" w:space="0" w:color="auto"/>
                <w:left w:val="none" w:sz="0" w:space="0" w:color="auto"/>
                <w:bottom w:val="none" w:sz="0" w:space="0" w:color="auto"/>
                <w:right w:val="none" w:sz="0" w:space="0" w:color="auto"/>
              </w:divBdr>
            </w:div>
          </w:divsChild>
        </w:div>
        <w:div w:id="1578242102">
          <w:marLeft w:val="0"/>
          <w:marRight w:val="0"/>
          <w:marTop w:val="0"/>
          <w:marBottom w:val="0"/>
          <w:divBdr>
            <w:top w:val="none" w:sz="0" w:space="0" w:color="auto"/>
            <w:left w:val="none" w:sz="0" w:space="0" w:color="auto"/>
            <w:bottom w:val="none" w:sz="0" w:space="0" w:color="auto"/>
            <w:right w:val="none" w:sz="0" w:space="0" w:color="auto"/>
          </w:divBdr>
          <w:divsChild>
            <w:div w:id="1711033598">
              <w:marLeft w:val="0"/>
              <w:marRight w:val="0"/>
              <w:marTop w:val="0"/>
              <w:marBottom w:val="0"/>
              <w:divBdr>
                <w:top w:val="none" w:sz="0" w:space="0" w:color="auto"/>
                <w:left w:val="none" w:sz="0" w:space="0" w:color="auto"/>
                <w:bottom w:val="none" w:sz="0" w:space="0" w:color="auto"/>
                <w:right w:val="none" w:sz="0" w:space="0" w:color="auto"/>
              </w:divBdr>
            </w:div>
          </w:divsChild>
        </w:div>
        <w:div w:id="1578707574">
          <w:marLeft w:val="0"/>
          <w:marRight w:val="0"/>
          <w:marTop w:val="0"/>
          <w:marBottom w:val="0"/>
          <w:divBdr>
            <w:top w:val="none" w:sz="0" w:space="0" w:color="auto"/>
            <w:left w:val="none" w:sz="0" w:space="0" w:color="auto"/>
            <w:bottom w:val="none" w:sz="0" w:space="0" w:color="auto"/>
            <w:right w:val="none" w:sz="0" w:space="0" w:color="auto"/>
          </w:divBdr>
          <w:divsChild>
            <w:div w:id="688331360">
              <w:marLeft w:val="0"/>
              <w:marRight w:val="0"/>
              <w:marTop w:val="0"/>
              <w:marBottom w:val="0"/>
              <w:divBdr>
                <w:top w:val="none" w:sz="0" w:space="0" w:color="auto"/>
                <w:left w:val="none" w:sz="0" w:space="0" w:color="auto"/>
                <w:bottom w:val="none" w:sz="0" w:space="0" w:color="auto"/>
                <w:right w:val="none" w:sz="0" w:space="0" w:color="auto"/>
              </w:divBdr>
            </w:div>
          </w:divsChild>
        </w:div>
        <w:div w:id="1647205504">
          <w:marLeft w:val="0"/>
          <w:marRight w:val="0"/>
          <w:marTop w:val="0"/>
          <w:marBottom w:val="0"/>
          <w:divBdr>
            <w:top w:val="none" w:sz="0" w:space="0" w:color="auto"/>
            <w:left w:val="none" w:sz="0" w:space="0" w:color="auto"/>
            <w:bottom w:val="none" w:sz="0" w:space="0" w:color="auto"/>
            <w:right w:val="none" w:sz="0" w:space="0" w:color="auto"/>
          </w:divBdr>
          <w:divsChild>
            <w:div w:id="1937667533">
              <w:marLeft w:val="0"/>
              <w:marRight w:val="0"/>
              <w:marTop w:val="0"/>
              <w:marBottom w:val="0"/>
              <w:divBdr>
                <w:top w:val="none" w:sz="0" w:space="0" w:color="auto"/>
                <w:left w:val="none" w:sz="0" w:space="0" w:color="auto"/>
                <w:bottom w:val="none" w:sz="0" w:space="0" w:color="auto"/>
                <w:right w:val="none" w:sz="0" w:space="0" w:color="auto"/>
              </w:divBdr>
            </w:div>
          </w:divsChild>
        </w:div>
        <w:div w:id="1675453278">
          <w:marLeft w:val="0"/>
          <w:marRight w:val="0"/>
          <w:marTop w:val="0"/>
          <w:marBottom w:val="0"/>
          <w:divBdr>
            <w:top w:val="none" w:sz="0" w:space="0" w:color="auto"/>
            <w:left w:val="none" w:sz="0" w:space="0" w:color="auto"/>
            <w:bottom w:val="none" w:sz="0" w:space="0" w:color="auto"/>
            <w:right w:val="none" w:sz="0" w:space="0" w:color="auto"/>
          </w:divBdr>
          <w:divsChild>
            <w:div w:id="1877889910">
              <w:marLeft w:val="0"/>
              <w:marRight w:val="0"/>
              <w:marTop w:val="0"/>
              <w:marBottom w:val="0"/>
              <w:divBdr>
                <w:top w:val="none" w:sz="0" w:space="0" w:color="auto"/>
                <w:left w:val="none" w:sz="0" w:space="0" w:color="auto"/>
                <w:bottom w:val="none" w:sz="0" w:space="0" w:color="auto"/>
                <w:right w:val="none" w:sz="0" w:space="0" w:color="auto"/>
              </w:divBdr>
            </w:div>
          </w:divsChild>
        </w:div>
        <w:div w:id="1780371253">
          <w:marLeft w:val="0"/>
          <w:marRight w:val="0"/>
          <w:marTop w:val="0"/>
          <w:marBottom w:val="0"/>
          <w:divBdr>
            <w:top w:val="none" w:sz="0" w:space="0" w:color="auto"/>
            <w:left w:val="none" w:sz="0" w:space="0" w:color="auto"/>
            <w:bottom w:val="none" w:sz="0" w:space="0" w:color="auto"/>
            <w:right w:val="none" w:sz="0" w:space="0" w:color="auto"/>
          </w:divBdr>
          <w:divsChild>
            <w:div w:id="256603314">
              <w:marLeft w:val="0"/>
              <w:marRight w:val="0"/>
              <w:marTop w:val="0"/>
              <w:marBottom w:val="0"/>
              <w:divBdr>
                <w:top w:val="none" w:sz="0" w:space="0" w:color="auto"/>
                <w:left w:val="none" w:sz="0" w:space="0" w:color="auto"/>
                <w:bottom w:val="none" w:sz="0" w:space="0" w:color="auto"/>
                <w:right w:val="none" w:sz="0" w:space="0" w:color="auto"/>
              </w:divBdr>
            </w:div>
          </w:divsChild>
        </w:div>
        <w:div w:id="1837454491">
          <w:marLeft w:val="0"/>
          <w:marRight w:val="0"/>
          <w:marTop w:val="0"/>
          <w:marBottom w:val="0"/>
          <w:divBdr>
            <w:top w:val="none" w:sz="0" w:space="0" w:color="auto"/>
            <w:left w:val="none" w:sz="0" w:space="0" w:color="auto"/>
            <w:bottom w:val="none" w:sz="0" w:space="0" w:color="auto"/>
            <w:right w:val="none" w:sz="0" w:space="0" w:color="auto"/>
          </w:divBdr>
          <w:divsChild>
            <w:div w:id="1590887230">
              <w:marLeft w:val="0"/>
              <w:marRight w:val="0"/>
              <w:marTop w:val="0"/>
              <w:marBottom w:val="0"/>
              <w:divBdr>
                <w:top w:val="none" w:sz="0" w:space="0" w:color="auto"/>
                <w:left w:val="none" w:sz="0" w:space="0" w:color="auto"/>
                <w:bottom w:val="none" w:sz="0" w:space="0" w:color="auto"/>
                <w:right w:val="none" w:sz="0" w:space="0" w:color="auto"/>
              </w:divBdr>
            </w:div>
          </w:divsChild>
        </w:div>
        <w:div w:id="1910771935">
          <w:marLeft w:val="0"/>
          <w:marRight w:val="0"/>
          <w:marTop w:val="0"/>
          <w:marBottom w:val="0"/>
          <w:divBdr>
            <w:top w:val="none" w:sz="0" w:space="0" w:color="auto"/>
            <w:left w:val="none" w:sz="0" w:space="0" w:color="auto"/>
            <w:bottom w:val="none" w:sz="0" w:space="0" w:color="auto"/>
            <w:right w:val="none" w:sz="0" w:space="0" w:color="auto"/>
          </w:divBdr>
          <w:divsChild>
            <w:div w:id="11735237">
              <w:marLeft w:val="0"/>
              <w:marRight w:val="0"/>
              <w:marTop w:val="0"/>
              <w:marBottom w:val="0"/>
              <w:divBdr>
                <w:top w:val="none" w:sz="0" w:space="0" w:color="auto"/>
                <w:left w:val="none" w:sz="0" w:space="0" w:color="auto"/>
                <w:bottom w:val="none" w:sz="0" w:space="0" w:color="auto"/>
                <w:right w:val="none" w:sz="0" w:space="0" w:color="auto"/>
              </w:divBdr>
            </w:div>
          </w:divsChild>
        </w:div>
        <w:div w:id="1990552805">
          <w:marLeft w:val="0"/>
          <w:marRight w:val="0"/>
          <w:marTop w:val="0"/>
          <w:marBottom w:val="0"/>
          <w:divBdr>
            <w:top w:val="none" w:sz="0" w:space="0" w:color="auto"/>
            <w:left w:val="none" w:sz="0" w:space="0" w:color="auto"/>
            <w:bottom w:val="none" w:sz="0" w:space="0" w:color="auto"/>
            <w:right w:val="none" w:sz="0" w:space="0" w:color="auto"/>
          </w:divBdr>
          <w:divsChild>
            <w:div w:id="753093610">
              <w:marLeft w:val="0"/>
              <w:marRight w:val="0"/>
              <w:marTop w:val="0"/>
              <w:marBottom w:val="0"/>
              <w:divBdr>
                <w:top w:val="none" w:sz="0" w:space="0" w:color="auto"/>
                <w:left w:val="none" w:sz="0" w:space="0" w:color="auto"/>
                <w:bottom w:val="none" w:sz="0" w:space="0" w:color="auto"/>
                <w:right w:val="none" w:sz="0" w:space="0" w:color="auto"/>
              </w:divBdr>
            </w:div>
          </w:divsChild>
        </w:div>
        <w:div w:id="2023631017">
          <w:marLeft w:val="0"/>
          <w:marRight w:val="0"/>
          <w:marTop w:val="0"/>
          <w:marBottom w:val="0"/>
          <w:divBdr>
            <w:top w:val="none" w:sz="0" w:space="0" w:color="auto"/>
            <w:left w:val="none" w:sz="0" w:space="0" w:color="auto"/>
            <w:bottom w:val="none" w:sz="0" w:space="0" w:color="auto"/>
            <w:right w:val="none" w:sz="0" w:space="0" w:color="auto"/>
          </w:divBdr>
          <w:divsChild>
            <w:div w:id="1209683686">
              <w:marLeft w:val="0"/>
              <w:marRight w:val="0"/>
              <w:marTop w:val="0"/>
              <w:marBottom w:val="0"/>
              <w:divBdr>
                <w:top w:val="none" w:sz="0" w:space="0" w:color="auto"/>
                <w:left w:val="none" w:sz="0" w:space="0" w:color="auto"/>
                <w:bottom w:val="none" w:sz="0" w:space="0" w:color="auto"/>
                <w:right w:val="none" w:sz="0" w:space="0" w:color="auto"/>
              </w:divBdr>
            </w:div>
          </w:divsChild>
        </w:div>
        <w:div w:id="2041586797">
          <w:marLeft w:val="0"/>
          <w:marRight w:val="0"/>
          <w:marTop w:val="0"/>
          <w:marBottom w:val="0"/>
          <w:divBdr>
            <w:top w:val="none" w:sz="0" w:space="0" w:color="auto"/>
            <w:left w:val="none" w:sz="0" w:space="0" w:color="auto"/>
            <w:bottom w:val="none" w:sz="0" w:space="0" w:color="auto"/>
            <w:right w:val="none" w:sz="0" w:space="0" w:color="auto"/>
          </w:divBdr>
          <w:divsChild>
            <w:div w:id="603465720">
              <w:marLeft w:val="0"/>
              <w:marRight w:val="0"/>
              <w:marTop w:val="0"/>
              <w:marBottom w:val="0"/>
              <w:divBdr>
                <w:top w:val="none" w:sz="0" w:space="0" w:color="auto"/>
                <w:left w:val="none" w:sz="0" w:space="0" w:color="auto"/>
                <w:bottom w:val="none" w:sz="0" w:space="0" w:color="auto"/>
                <w:right w:val="none" w:sz="0" w:space="0" w:color="auto"/>
              </w:divBdr>
            </w:div>
          </w:divsChild>
        </w:div>
        <w:div w:id="2050646223">
          <w:marLeft w:val="0"/>
          <w:marRight w:val="0"/>
          <w:marTop w:val="0"/>
          <w:marBottom w:val="0"/>
          <w:divBdr>
            <w:top w:val="none" w:sz="0" w:space="0" w:color="auto"/>
            <w:left w:val="none" w:sz="0" w:space="0" w:color="auto"/>
            <w:bottom w:val="none" w:sz="0" w:space="0" w:color="auto"/>
            <w:right w:val="none" w:sz="0" w:space="0" w:color="auto"/>
          </w:divBdr>
          <w:divsChild>
            <w:div w:id="1457025719">
              <w:marLeft w:val="0"/>
              <w:marRight w:val="0"/>
              <w:marTop w:val="0"/>
              <w:marBottom w:val="0"/>
              <w:divBdr>
                <w:top w:val="none" w:sz="0" w:space="0" w:color="auto"/>
                <w:left w:val="none" w:sz="0" w:space="0" w:color="auto"/>
                <w:bottom w:val="none" w:sz="0" w:space="0" w:color="auto"/>
                <w:right w:val="none" w:sz="0" w:space="0" w:color="auto"/>
              </w:divBdr>
            </w:div>
          </w:divsChild>
        </w:div>
        <w:div w:id="2096586752">
          <w:marLeft w:val="0"/>
          <w:marRight w:val="0"/>
          <w:marTop w:val="0"/>
          <w:marBottom w:val="0"/>
          <w:divBdr>
            <w:top w:val="none" w:sz="0" w:space="0" w:color="auto"/>
            <w:left w:val="none" w:sz="0" w:space="0" w:color="auto"/>
            <w:bottom w:val="none" w:sz="0" w:space="0" w:color="auto"/>
            <w:right w:val="none" w:sz="0" w:space="0" w:color="auto"/>
          </w:divBdr>
          <w:divsChild>
            <w:div w:id="14079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3497">
      <w:bodyDiv w:val="1"/>
      <w:marLeft w:val="0"/>
      <w:marRight w:val="0"/>
      <w:marTop w:val="0"/>
      <w:marBottom w:val="0"/>
      <w:divBdr>
        <w:top w:val="none" w:sz="0" w:space="0" w:color="auto"/>
        <w:left w:val="none" w:sz="0" w:space="0" w:color="auto"/>
        <w:bottom w:val="none" w:sz="0" w:space="0" w:color="auto"/>
        <w:right w:val="none" w:sz="0" w:space="0" w:color="auto"/>
      </w:divBdr>
      <w:divsChild>
        <w:div w:id="14501736">
          <w:marLeft w:val="0"/>
          <w:marRight w:val="0"/>
          <w:marTop w:val="0"/>
          <w:marBottom w:val="0"/>
          <w:divBdr>
            <w:top w:val="none" w:sz="0" w:space="0" w:color="auto"/>
            <w:left w:val="none" w:sz="0" w:space="0" w:color="auto"/>
            <w:bottom w:val="none" w:sz="0" w:space="0" w:color="auto"/>
            <w:right w:val="none" w:sz="0" w:space="0" w:color="auto"/>
          </w:divBdr>
        </w:div>
        <w:div w:id="101732002">
          <w:marLeft w:val="0"/>
          <w:marRight w:val="0"/>
          <w:marTop w:val="0"/>
          <w:marBottom w:val="0"/>
          <w:divBdr>
            <w:top w:val="none" w:sz="0" w:space="0" w:color="auto"/>
            <w:left w:val="none" w:sz="0" w:space="0" w:color="auto"/>
            <w:bottom w:val="none" w:sz="0" w:space="0" w:color="auto"/>
            <w:right w:val="none" w:sz="0" w:space="0" w:color="auto"/>
          </w:divBdr>
        </w:div>
        <w:div w:id="151063865">
          <w:marLeft w:val="0"/>
          <w:marRight w:val="0"/>
          <w:marTop w:val="0"/>
          <w:marBottom w:val="0"/>
          <w:divBdr>
            <w:top w:val="none" w:sz="0" w:space="0" w:color="auto"/>
            <w:left w:val="none" w:sz="0" w:space="0" w:color="auto"/>
            <w:bottom w:val="none" w:sz="0" w:space="0" w:color="auto"/>
            <w:right w:val="none" w:sz="0" w:space="0" w:color="auto"/>
          </w:divBdr>
        </w:div>
        <w:div w:id="401410645">
          <w:marLeft w:val="0"/>
          <w:marRight w:val="0"/>
          <w:marTop w:val="0"/>
          <w:marBottom w:val="0"/>
          <w:divBdr>
            <w:top w:val="none" w:sz="0" w:space="0" w:color="auto"/>
            <w:left w:val="none" w:sz="0" w:space="0" w:color="auto"/>
            <w:bottom w:val="none" w:sz="0" w:space="0" w:color="auto"/>
            <w:right w:val="none" w:sz="0" w:space="0" w:color="auto"/>
          </w:divBdr>
        </w:div>
        <w:div w:id="580484822">
          <w:marLeft w:val="0"/>
          <w:marRight w:val="0"/>
          <w:marTop w:val="0"/>
          <w:marBottom w:val="0"/>
          <w:divBdr>
            <w:top w:val="none" w:sz="0" w:space="0" w:color="auto"/>
            <w:left w:val="none" w:sz="0" w:space="0" w:color="auto"/>
            <w:bottom w:val="none" w:sz="0" w:space="0" w:color="auto"/>
            <w:right w:val="none" w:sz="0" w:space="0" w:color="auto"/>
          </w:divBdr>
        </w:div>
        <w:div w:id="601765421">
          <w:marLeft w:val="0"/>
          <w:marRight w:val="0"/>
          <w:marTop w:val="0"/>
          <w:marBottom w:val="0"/>
          <w:divBdr>
            <w:top w:val="none" w:sz="0" w:space="0" w:color="auto"/>
            <w:left w:val="none" w:sz="0" w:space="0" w:color="auto"/>
            <w:bottom w:val="none" w:sz="0" w:space="0" w:color="auto"/>
            <w:right w:val="none" w:sz="0" w:space="0" w:color="auto"/>
          </w:divBdr>
        </w:div>
        <w:div w:id="634676466">
          <w:marLeft w:val="0"/>
          <w:marRight w:val="0"/>
          <w:marTop w:val="0"/>
          <w:marBottom w:val="0"/>
          <w:divBdr>
            <w:top w:val="none" w:sz="0" w:space="0" w:color="auto"/>
            <w:left w:val="none" w:sz="0" w:space="0" w:color="auto"/>
            <w:bottom w:val="none" w:sz="0" w:space="0" w:color="auto"/>
            <w:right w:val="none" w:sz="0" w:space="0" w:color="auto"/>
          </w:divBdr>
        </w:div>
        <w:div w:id="1022170206">
          <w:marLeft w:val="0"/>
          <w:marRight w:val="0"/>
          <w:marTop w:val="0"/>
          <w:marBottom w:val="0"/>
          <w:divBdr>
            <w:top w:val="none" w:sz="0" w:space="0" w:color="auto"/>
            <w:left w:val="none" w:sz="0" w:space="0" w:color="auto"/>
            <w:bottom w:val="none" w:sz="0" w:space="0" w:color="auto"/>
            <w:right w:val="none" w:sz="0" w:space="0" w:color="auto"/>
          </w:divBdr>
        </w:div>
        <w:div w:id="1057045669">
          <w:marLeft w:val="0"/>
          <w:marRight w:val="0"/>
          <w:marTop w:val="0"/>
          <w:marBottom w:val="0"/>
          <w:divBdr>
            <w:top w:val="none" w:sz="0" w:space="0" w:color="auto"/>
            <w:left w:val="none" w:sz="0" w:space="0" w:color="auto"/>
            <w:bottom w:val="none" w:sz="0" w:space="0" w:color="auto"/>
            <w:right w:val="none" w:sz="0" w:space="0" w:color="auto"/>
          </w:divBdr>
        </w:div>
        <w:div w:id="1120034233">
          <w:marLeft w:val="0"/>
          <w:marRight w:val="0"/>
          <w:marTop w:val="0"/>
          <w:marBottom w:val="0"/>
          <w:divBdr>
            <w:top w:val="none" w:sz="0" w:space="0" w:color="auto"/>
            <w:left w:val="none" w:sz="0" w:space="0" w:color="auto"/>
            <w:bottom w:val="none" w:sz="0" w:space="0" w:color="auto"/>
            <w:right w:val="none" w:sz="0" w:space="0" w:color="auto"/>
          </w:divBdr>
        </w:div>
        <w:div w:id="1128089943">
          <w:marLeft w:val="0"/>
          <w:marRight w:val="0"/>
          <w:marTop w:val="0"/>
          <w:marBottom w:val="0"/>
          <w:divBdr>
            <w:top w:val="none" w:sz="0" w:space="0" w:color="auto"/>
            <w:left w:val="none" w:sz="0" w:space="0" w:color="auto"/>
            <w:bottom w:val="none" w:sz="0" w:space="0" w:color="auto"/>
            <w:right w:val="none" w:sz="0" w:space="0" w:color="auto"/>
          </w:divBdr>
        </w:div>
        <w:div w:id="1312633237">
          <w:marLeft w:val="0"/>
          <w:marRight w:val="0"/>
          <w:marTop w:val="0"/>
          <w:marBottom w:val="0"/>
          <w:divBdr>
            <w:top w:val="none" w:sz="0" w:space="0" w:color="auto"/>
            <w:left w:val="none" w:sz="0" w:space="0" w:color="auto"/>
            <w:bottom w:val="none" w:sz="0" w:space="0" w:color="auto"/>
            <w:right w:val="none" w:sz="0" w:space="0" w:color="auto"/>
          </w:divBdr>
        </w:div>
        <w:div w:id="1344939091">
          <w:marLeft w:val="0"/>
          <w:marRight w:val="0"/>
          <w:marTop w:val="0"/>
          <w:marBottom w:val="0"/>
          <w:divBdr>
            <w:top w:val="none" w:sz="0" w:space="0" w:color="auto"/>
            <w:left w:val="none" w:sz="0" w:space="0" w:color="auto"/>
            <w:bottom w:val="none" w:sz="0" w:space="0" w:color="auto"/>
            <w:right w:val="none" w:sz="0" w:space="0" w:color="auto"/>
          </w:divBdr>
        </w:div>
        <w:div w:id="1346205653">
          <w:marLeft w:val="0"/>
          <w:marRight w:val="0"/>
          <w:marTop w:val="0"/>
          <w:marBottom w:val="0"/>
          <w:divBdr>
            <w:top w:val="none" w:sz="0" w:space="0" w:color="auto"/>
            <w:left w:val="none" w:sz="0" w:space="0" w:color="auto"/>
            <w:bottom w:val="none" w:sz="0" w:space="0" w:color="auto"/>
            <w:right w:val="none" w:sz="0" w:space="0" w:color="auto"/>
          </w:divBdr>
        </w:div>
        <w:div w:id="1591817095">
          <w:marLeft w:val="0"/>
          <w:marRight w:val="0"/>
          <w:marTop w:val="0"/>
          <w:marBottom w:val="0"/>
          <w:divBdr>
            <w:top w:val="none" w:sz="0" w:space="0" w:color="auto"/>
            <w:left w:val="none" w:sz="0" w:space="0" w:color="auto"/>
            <w:bottom w:val="none" w:sz="0" w:space="0" w:color="auto"/>
            <w:right w:val="none" w:sz="0" w:space="0" w:color="auto"/>
          </w:divBdr>
        </w:div>
        <w:div w:id="1705859542">
          <w:marLeft w:val="0"/>
          <w:marRight w:val="0"/>
          <w:marTop w:val="0"/>
          <w:marBottom w:val="0"/>
          <w:divBdr>
            <w:top w:val="none" w:sz="0" w:space="0" w:color="auto"/>
            <w:left w:val="none" w:sz="0" w:space="0" w:color="auto"/>
            <w:bottom w:val="none" w:sz="0" w:space="0" w:color="auto"/>
            <w:right w:val="none" w:sz="0" w:space="0" w:color="auto"/>
          </w:divBdr>
        </w:div>
        <w:div w:id="1928339904">
          <w:marLeft w:val="0"/>
          <w:marRight w:val="0"/>
          <w:marTop w:val="0"/>
          <w:marBottom w:val="0"/>
          <w:divBdr>
            <w:top w:val="none" w:sz="0" w:space="0" w:color="auto"/>
            <w:left w:val="none" w:sz="0" w:space="0" w:color="auto"/>
            <w:bottom w:val="none" w:sz="0" w:space="0" w:color="auto"/>
            <w:right w:val="none" w:sz="0" w:space="0" w:color="auto"/>
          </w:divBdr>
        </w:div>
      </w:divsChild>
    </w:div>
    <w:div w:id="1376782250">
      <w:bodyDiv w:val="1"/>
      <w:marLeft w:val="0"/>
      <w:marRight w:val="0"/>
      <w:marTop w:val="0"/>
      <w:marBottom w:val="0"/>
      <w:divBdr>
        <w:top w:val="none" w:sz="0" w:space="0" w:color="auto"/>
        <w:left w:val="none" w:sz="0" w:space="0" w:color="auto"/>
        <w:bottom w:val="none" w:sz="0" w:space="0" w:color="auto"/>
        <w:right w:val="none" w:sz="0" w:space="0" w:color="auto"/>
      </w:divBdr>
    </w:div>
    <w:div w:id="1385448324">
      <w:bodyDiv w:val="1"/>
      <w:marLeft w:val="0"/>
      <w:marRight w:val="0"/>
      <w:marTop w:val="0"/>
      <w:marBottom w:val="0"/>
      <w:divBdr>
        <w:top w:val="none" w:sz="0" w:space="0" w:color="auto"/>
        <w:left w:val="none" w:sz="0" w:space="0" w:color="auto"/>
        <w:bottom w:val="none" w:sz="0" w:space="0" w:color="auto"/>
        <w:right w:val="none" w:sz="0" w:space="0" w:color="auto"/>
      </w:divBdr>
    </w:div>
    <w:div w:id="1389912547">
      <w:bodyDiv w:val="1"/>
      <w:marLeft w:val="0"/>
      <w:marRight w:val="0"/>
      <w:marTop w:val="0"/>
      <w:marBottom w:val="0"/>
      <w:divBdr>
        <w:top w:val="none" w:sz="0" w:space="0" w:color="auto"/>
        <w:left w:val="none" w:sz="0" w:space="0" w:color="auto"/>
        <w:bottom w:val="none" w:sz="0" w:space="0" w:color="auto"/>
        <w:right w:val="none" w:sz="0" w:space="0" w:color="auto"/>
      </w:divBdr>
      <w:divsChild>
        <w:div w:id="177501420">
          <w:marLeft w:val="0"/>
          <w:marRight w:val="0"/>
          <w:marTop w:val="0"/>
          <w:marBottom w:val="0"/>
          <w:divBdr>
            <w:top w:val="none" w:sz="0" w:space="0" w:color="auto"/>
            <w:left w:val="none" w:sz="0" w:space="0" w:color="auto"/>
            <w:bottom w:val="none" w:sz="0" w:space="0" w:color="auto"/>
            <w:right w:val="none" w:sz="0" w:space="0" w:color="auto"/>
          </w:divBdr>
        </w:div>
        <w:div w:id="236285656">
          <w:marLeft w:val="0"/>
          <w:marRight w:val="0"/>
          <w:marTop w:val="0"/>
          <w:marBottom w:val="0"/>
          <w:divBdr>
            <w:top w:val="none" w:sz="0" w:space="0" w:color="auto"/>
            <w:left w:val="none" w:sz="0" w:space="0" w:color="auto"/>
            <w:bottom w:val="none" w:sz="0" w:space="0" w:color="auto"/>
            <w:right w:val="none" w:sz="0" w:space="0" w:color="auto"/>
          </w:divBdr>
        </w:div>
        <w:div w:id="604535395">
          <w:marLeft w:val="0"/>
          <w:marRight w:val="0"/>
          <w:marTop w:val="0"/>
          <w:marBottom w:val="0"/>
          <w:divBdr>
            <w:top w:val="none" w:sz="0" w:space="0" w:color="auto"/>
            <w:left w:val="none" w:sz="0" w:space="0" w:color="auto"/>
            <w:bottom w:val="none" w:sz="0" w:space="0" w:color="auto"/>
            <w:right w:val="none" w:sz="0" w:space="0" w:color="auto"/>
          </w:divBdr>
        </w:div>
        <w:div w:id="1715041077">
          <w:marLeft w:val="0"/>
          <w:marRight w:val="0"/>
          <w:marTop w:val="0"/>
          <w:marBottom w:val="0"/>
          <w:divBdr>
            <w:top w:val="none" w:sz="0" w:space="0" w:color="auto"/>
            <w:left w:val="none" w:sz="0" w:space="0" w:color="auto"/>
            <w:bottom w:val="none" w:sz="0" w:space="0" w:color="auto"/>
            <w:right w:val="none" w:sz="0" w:space="0" w:color="auto"/>
          </w:divBdr>
        </w:div>
        <w:div w:id="1773359023">
          <w:marLeft w:val="0"/>
          <w:marRight w:val="0"/>
          <w:marTop w:val="0"/>
          <w:marBottom w:val="0"/>
          <w:divBdr>
            <w:top w:val="none" w:sz="0" w:space="0" w:color="auto"/>
            <w:left w:val="none" w:sz="0" w:space="0" w:color="auto"/>
            <w:bottom w:val="none" w:sz="0" w:space="0" w:color="auto"/>
            <w:right w:val="none" w:sz="0" w:space="0" w:color="auto"/>
          </w:divBdr>
        </w:div>
      </w:divsChild>
    </w:div>
    <w:div w:id="1394504270">
      <w:bodyDiv w:val="1"/>
      <w:marLeft w:val="0"/>
      <w:marRight w:val="0"/>
      <w:marTop w:val="0"/>
      <w:marBottom w:val="0"/>
      <w:divBdr>
        <w:top w:val="none" w:sz="0" w:space="0" w:color="auto"/>
        <w:left w:val="none" w:sz="0" w:space="0" w:color="auto"/>
        <w:bottom w:val="none" w:sz="0" w:space="0" w:color="auto"/>
        <w:right w:val="none" w:sz="0" w:space="0" w:color="auto"/>
      </w:divBdr>
      <w:divsChild>
        <w:div w:id="36667290">
          <w:marLeft w:val="0"/>
          <w:marRight w:val="0"/>
          <w:marTop w:val="0"/>
          <w:marBottom w:val="0"/>
          <w:divBdr>
            <w:top w:val="none" w:sz="0" w:space="0" w:color="auto"/>
            <w:left w:val="none" w:sz="0" w:space="0" w:color="auto"/>
            <w:bottom w:val="none" w:sz="0" w:space="0" w:color="auto"/>
            <w:right w:val="none" w:sz="0" w:space="0" w:color="auto"/>
          </w:divBdr>
        </w:div>
        <w:div w:id="193277200">
          <w:marLeft w:val="0"/>
          <w:marRight w:val="0"/>
          <w:marTop w:val="0"/>
          <w:marBottom w:val="0"/>
          <w:divBdr>
            <w:top w:val="none" w:sz="0" w:space="0" w:color="auto"/>
            <w:left w:val="none" w:sz="0" w:space="0" w:color="auto"/>
            <w:bottom w:val="none" w:sz="0" w:space="0" w:color="auto"/>
            <w:right w:val="none" w:sz="0" w:space="0" w:color="auto"/>
          </w:divBdr>
          <w:divsChild>
            <w:div w:id="1844659508">
              <w:marLeft w:val="-75"/>
              <w:marRight w:val="0"/>
              <w:marTop w:val="30"/>
              <w:marBottom w:val="30"/>
              <w:divBdr>
                <w:top w:val="none" w:sz="0" w:space="0" w:color="auto"/>
                <w:left w:val="none" w:sz="0" w:space="0" w:color="auto"/>
                <w:bottom w:val="none" w:sz="0" w:space="0" w:color="auto"/>
                <w:right w:val="none" w:sz="0" w:space="0" w:color="auto"/>
              </w:divBdr>
              <w:divsChild>
                <w:div w:id="32049384">
                  <w:marLeft w:val="0"/>
                  <w:marRight w:val="0"/>
                  <w:marTop w:val="0"/>
                  <w:marBottom w:val="0"/>
                  <w:divBdr>
                    <w:top w:val="none" w:sz="0" w:space="0" w:color="auto"/>
                    <w:left w:val="none" w:sz="0" w:space="0" w:color="auto"/>
                    <w:bottom w:val="none" w:sz="0" w:space="0" w:color="auto"/>
                    <w:right w:val="none" w:sz="0" w:space="0" w:color="auto"/>
                  </w:divBdr>
                  <w:divsChild>
                    <w:div w:id="1853109532">
                      <w:marLeft w:val="0"/>
                      <w:marRight w:val="0"/>
                      <w:marTop w:val="0"/>
                      <w:marBottom w:val="0"/>
                      <w:divBdr>
                        <w:top w:val="none" w:sz="0" w:space="0" w:color="auto"/>
                        <w:left w:val="none" w:sz="0" w:space="0" w:color="auto"/>
                        <w:bottom w:val="none" w:sz="0" w:space="0" w:color="auto"/>
                        <w:right w:val="none" w:sz="0" w:space="0" w:color="auto"/>
                      </w:divBdr>
                    </w:div>
                  </w:divsChild>
                </w:div>
                <w:div w:id="50464017">
                  <w:marLeft w:val="0"/>
                  <w:marRight w:val="0"/>
                  <w:marTop w:val="0"/>
                  <w:marBottom w:val="0"/>
                  <w:divBdr>
                    <w:top w:val="none" w:sz="0" w:space="0" w:color="auto"/>
                    <w:left w:val="none" w:sz="0" w:space="0" w:color="auto"/>
                    <w:bottom w:val="none" w:sz="0" w:space="0" w:color="auto"/>
                    <w:right w:val="none" w:sz="0" w:space="0" w:color="auto"/>
                  </w:divBdr>
                  <w:divsChild>
                    <w:div w:id="1526484847">
                      <w:marLeft w:val="0"/>
                      <w:marRight w:val="0"/>
                      <w:marTop w:val="0"/>
                      <w:marBottom w:val="0"/>
                      <w:divBdr>
                        <w:top w:val="none" w:sz="0" w:space="0" w:color="auto"/>
                        <w:left w:val="none" w:sz="0" w:space="0" w:color="auto"/>
                        <w:bottom w:val="none" w:sz="0" w:space="0" w:color="auto"/>
                        <w:right w:val="none" w:sz="0" w:space="0" w:color="auto"/>
                      </w:divBdr>
                    </w:div>
                  </w:divsChild>
                </w:div>
                <w:div w:id="54668739">
                  <w:marLeft w:val="0"/>
                  <w:marRight w:val="0"/>
                  <w:marTop w:val="0"/>
                  <w:marBottom w:val="0"/>
                  <w:divBdr>
                    <w:top w:val="none" w:sz="0" w:space="0" w:color="auto"/>
                    <w:left w:val="none" w:sz="0" w:space="0" w:color="auto"/>
                    <w:bottom w:val="none" w:sz="0" w:space="0" w:color="auto"/>
                    <w:right w:val="none" w:sz="0" w:space="0" w:color="auto"/>
                  </w:divBdr>
                  <w:divsChild>
                    <w:div w:id="1142043491">
                      <w:marLeft w:val="0"/>
                      <w:marRight w:val="0"/>
                      <w:marTop w:val="0"/>
                      <w:marBottom w:val="0"/>
                      <w:divBdr>
                        <w:top w:val="none" w:sz="0" w:space="0" w:color="auto"/>
                        <w:left w:val="none" w:sz="0" w:space="0" w:color="auto"/>
                        <w:bottom w:val="none" w:sz="0" w:space="0" w:color="auto"/>
                        <w:right w:val="none" w:sz="0" w:space="0" w:color="auto"/>
                      </w:divBdr>
                    </w:div>
                  </w:divsChild>
                </w:div>
                <w:div w:id="182980874">
                  <w:marLeft w:val="0"/>
                  <w:marRight w:val="0"/>
                  <w:marTop w:val="0"/>
                  <w:marBottom w:val="0"/>
                  <w:divBdr>
                    <w:top w:val="none" w:sz="0" w:space="0" w:color="auto"/>
                    <w:left w:val="none" w:sz="0" w:space="0" w:color="auto"/>
                    <w:bottom w:val="none" w:sz="0" w:space="0" w:color="auto"/>
                    <w:right w:val="none" w:sz="0" w:space="0" w:color="auto"/>
                  </w:divBdr>
                  <w:divsChild>
                    <w:div w:id="1232278593">
                      <w:marLeft w:val="0"/>
                      <w:marRight w:val="0"/>
                      <w:marTop w:val="0"/>
                      <w:marBottom w:val="0"/>
                      <w:divBdr>
                        <w:top w:val="none" w:sz="0" w:space="0" w:color="auto"/>
                        <w:left w:val="none" w:sz="0" w:space="0" w:color="auto"/>
                        <w:bottom w:val="none" w:sz="0" w:space="0" w:color="auto"/>
                        <w:right w:val="none" w:sz="0" w:space="0" w:color="auto"/>
                      </w:divBdr>
                    </w:div>
                  </w:divsChild>
                </w:div>
                <w:div w:id="240144596">
                  <w:marLeft w:val="0"/>
                  <w:marRight w:val="0"/>
                  <w:marTop w:val="0"/>
                  <w:marBottom w:val="0"/>
                  <w:divBdr>
                    <w:top w:val="none" w:sz="0" w:space="0" w:color="auto"/>
                    <w:left w:val="none" w:sz="0" w:space="0" w:color="auto"/>
                    <w:bottom w:val="none" w:sz="0" w:space="0" w:color="auto"/>
                    <w:right w:val="none" w:sz="0" w:space="0" w:color="auto"/>
                  </w:divBdr>
                  <w:divsChild>
                    <w:div w:id="1155411911">
                      <w:marLeft w:val="0"/>
                      <w:marRight w:val="0"/>
                      <w:marTop w:val="0"/>
                      <w:marBottom w:val="0"/>
                      <w:divBdr>
                        <w:top w:val="none" w:sz="0" w:space="0" w:color="auto"/>
                        <w:left w:val="none" w:sz="0" w:space="0" w:color="auto"/>
                        <w:bottom w:val="none" w:sz="0" w:space="0" w:color="auto"/>
                        <w:right w:val="none" w:sz="0" w:space="0" w:color="auto"/>
                      </w:divBdr>
                    </w:div>
                    <w:div w:id="1426071072">
                      <w:marLeft w:val="0"/>
                      <w:marRight w:val="0"/>
                      <w:marTop w:val="0"/>
                      <w:marBottom w:val="0"/>
                      <w:divBdr>
                        <w:top w:val="none" w:sz="0" w:space="0" w:color="auto"/>
                        <w:left w:val="none" w:sz="0" w:space="0" w:color="auto"/>
                        <w:bottom w:val="none" w:sz="0" w:space="0" w:color="auto"/>
                        <w:right w:val="none" w:sz="0" w:space="0" w:color="auto"/>
                      </w:divBdr>
                    </w:div>
                  </w:divsChild>
                </w:div>
                <w:div w:id="321126945">
                  <w:marLeft w:val="0"/>
                  <w:marRight w:val="0"/>
                  <w:marTop w:val="0"/>
                  <w:marBottom w:val="0"/>
                  <w:divBdr>
                    <w:top w:val="none" w:sz="0" w:space="0" w:color="auto"/>
                    <w:left w:val="none" w:sz="0" w:space="0" w:color="auto"/>
                    <w:bottom w:val="none" w:sz="0" w:space="0" w:color="auto"/>
                    <w:right w:val="none" w:sz="0" w:space="0" w:color="auto"/>
                  </w:divBdr>
                  <w:divsChild>
                    <w:div w:id="1429618336">
                      <w:marLeft w:val="0"/>
                      <w:marRight w:val="0"/>
                      <w:marTop w:val="0"/>
                      <w:marBottom w:val="0"/>
                      <w:divBdr>
                        <w:top w:val="none" w:sz="0" w:space="0" w:color="auto"/>
                        <w:left w:val="none" w:sz="0" w:space="0" w:color="auto"/>
                        <w:bottom w:val="none" w:sz="0" w:space="0" w:color="auto"/>
                        <w:right w:val="none" w:sz="0" w:space="0" w:color="auto"/>
                      </w:divBdr>
                    </w:div>
                  </w:divsChild>
                </w:div>
                <w:div w:id="324670953">
                  <w:marLeft w:val="0"/>
                  <w:marRight w:val="0"/>
                  <w:marTop w:val="0"/>
                  <w:marBottom w:val="0"/>
                  <w:divBdr>
                    <w:top w:val="none" w:sz="0" w:space="0" w:color="auto"/>
                    <w:left w:val="none" w:sz="0" w:space="0" w:color="auto"/>
                    <w:bottom w:val="none" w:sz="0" w:space="0" w:color="auto"/>
                    <w:right w:val="none" w:sz="0" w:space="0" w:color="auto"/>
                  </w:divBdr>
                  <w:divsChild>
                    <w:div w:id="95293652">
                      <w:marLeft w:val="0"/>
                      <w:marRight w:val="0"/>
                      <w:marTop w:val="0"/>
                      <w:marBottom w:val="0"/>
                      <w:divBdr>
                        <w:top w:val="none" w:sz="0" w:space="0" w:color="auto"/>
                        <w:left w:val="none" w:sz="0" w:space="0" w:color="auto"/>
                        <w:bottom w:val="none" w:sz="0" w:space="0" w:color="auto"/>
                        <w:right w:val="none" w:sz="0" w:space="0" w:color="auto"/>
                      </w:divBdr>
                    </w:div>
                  </w:divsChild>
                </w:div>
                <w:div w:id="325788341">
                  <w:marLeft w:val="0"/>
                  <w:marRight w:val="0"/>
                  <w:marTop w:val="0"/>
                  <w:marBottom w:val="0"/>
                  <w:divBdr>
                    <w:top w:val="none" w:sz="0" w:space="0" w:color="auto"/>
                    <w:left w:val="none" w:sz="0" w:space="0" w:color="auto"/>
                    <w:bottom w:val="none" w:sz="0" w:space="0" w:color="auto"/>
                    <w:right w:val="none" w:sz="0" w:space="0" w:color="auto"/>
                  </w:divBdr>
                  <w:divsChild>
                    <w:div w:id="746851509">
                      <w:marLeft w:val="0"/>
                      <w:marRight w:val="0"/>
                      <w:marTop w:val="0"/>
                      <w:marBottom w:val="0"/>
                      <w:divBdr>
                        <w:top w:val="none" w:sz="0" w:space="0" w:color="auto"/>
                        <w:left w:val="none" w:sz="0" w:space="0" w:color="auto"/>
                        <w:bottom w:val="none" w:sz="0" w:space="0" w:color="auto"/>
                        <w:right w:val="none" w:sz="0" w:space="0" w:color="auto"/>
                      </w:divBdr>
                    </w:div>
                  </w:divsChild>
                </w:div>
                <w:div w:id="332144939">
                  <w:marLeft w:val="0"/>
                  <w:marRight w:val="0"/>
                  <w:marTop w:val="0"/>
                  <w:marBottom w:val="0"/>
                  <w:divBdr>
                    <w:top w:val="none" w:sz="0" w:space="0" w:color="auto"/>
                    <w:left w:val="none" w:sz="0" w:space="0" w:color="auto"/>
                    <w:bottom w:val="none" w:sz="0" w:space="0" w:color="auto"/>
                    <w:right w:val="none" w:sz="0" w:space="0" w:color="auto"/>
                  </w:divBdr>
                  <w:divsChild>
                    <w:div w:id="881097183">
                      <w:marLeft w:val="0"/>
                      <w:marRight w:val="0"/>
                      <w:marTop w:val="0"/>
                      <w:marBottom w:val="0"/>
                      <w:divBdr>
                        <w:top w:val="none" w:sz="0" w:space="0" w:color="auto"/>
                        <w:left w:val="none" w:sz="0" w:space="0" w:color="auto"/>
                        <w:bottom w:val="none" w:sz="0" w:space="0" w:color="auto"/>
                        <w:right w:val="none" w:sz="0" w:space="0" w:color="auto"/>
                      </w:divBdr>
                    </w:div>
                  </w:divsChild>
                </w:div>
                <w:div w:id="340856194">
                  <w:marLeft w:val="0"/>
                  <w:marRight w:val="0"/>
                  <w:marTop w:val="0"/>
                  <w:marBottom w:val="0"/>
                  <w:divBdr>
                    <w:top w:val="none" w:sz="0" w:space="0" w:color="auto"/>
                    <w:left w:val="none" w:sz="0" w:space="0" w:color="auto"/>
                    <w:bottom w:val="none" w:sz="0" w:space="0" w:color="auto"/>
                    <w:right w:val="none" w:sz="0" w:space="0" w:color="auto"/>
                  </w:divBdr>
                  <w:divsChild>
                    <w:div w:id="1402675279">
                      <w:marLeft w:val="0"/>
                      <w:marRight w:val="0"/>
                      <w:marTop w:val="0"/>
                      <w:marBottom w:val="0"/>
                      <w:divBdr>
                        <w:top w:val="none" w:sz="0" w:space="0" w:color="auto"/>
                        <w:left w:val="none" w:sz="0" w:space="0" w:color="auto"/>
                        <w:bottom w:val="none" w:sz="0" w:space="0" w:color="auto"/>
                        <w:right w:val="none" w:sz="0" w:space="0" w:color="auto"/>
                      </w:divBdr>
                    </w:div>
                  </w:divsChild>
                </w:div>
                <w:div w:id="408384963">
                  <w:marLeft w:val="0"/>
                  <w:marRight w:val="0"/>
                  <w:marTop w:val="0"/>
                  <w:marBottom w:val="0"/>
                  <w:divBdr>
                    <w:top w:val="none" w:sz="0" w:space="0" w:color="auto"/>
                    <w:left w:val="none" w:sz="0" w:space="0" w:color="auto"/>
                    <w:bottom w:val="none" w:sz="0" w:space="0" w:color="auto"/>
                    <w:right w:val="none" w:sz="0" w:space="0" w:color="auto"/>
                  </w:divBdr>
                  <w:divsChild>
                    <w:div w:id="935946301">
                      <w:marLeft w:val="0"/>
                      <w:marRight w:val="0"/>
                      <w:marTop w:val="0"/>
                      <w:marBottom w:val="0"/>
                      <w:divBdr>
                        <w:top w:val="none" w:sz="0" w:space="0" w:color="auto"/>
                        <w:left w:val="none" w:sz="0" w:space="0" w:color="auto"/>
                        <w:bottom w:val="none" w:sz="0" w:space="0" w:color="auto"/>
                        <w:right w:val="none" w:sz="0" w:space="0" w:color="auto"/>
                      </w:divBdr>
                    </w:div>
                  </w:divsChild>
                </w:div>
                <w:div w:id="410351055">
                  <w:marLeft w:val="0"/>
                  <w:marRight w:val="0"/>
                  <w:marTop w:val="0"/>
                  <w:marBottom w:val="0"/>
                  <w:divBdr>
                    <w:top w:val="none" w:sz="0" w:space="0" w:color="auto"/>
                    <w:left w:val="none" w:sz="0" w:space="0" w:color="auto"/>
                    <w:bottom w:val="none" w:sz="0" w:space="0" w:color="auto"/>
                    <w:right w:val="none" w:sz="0" w:space="0" w:color="auto"/>
                  </w:divBdr>
                  <w:divsChild>
                    <w:div w:id="1538810550">
                      <w:marLeft w:val="0"/>
                      <w:marRight w:val="0"/>
                      <w:marTop w:val="0"/>
                      <w:marBottom w:val="0"/>
                      <w:divBdr>
                        <w:top w:val="none" w:sz="0" w:space="0" w:color="auto"/>
                        <w:left w:val="none" w:sz="0" w:space="0" w:color="auto"/>
                        <w:bottom w:val="none" w:sz="0" w:space="0" w:color="auto"/>
                        <w:right w:val="none" w:sz="0" w:space="0" w:color="auto"/>
                      </w:divBdr>
                    </w:div>
                  </w:divsChild>
                </w:div>
                <w:div w:id="417600937">
                  <w:marLeft w:val="0"/>
                  <w:marRight w:val="0"/>
                  <w:marTop w:val="0"/>
                  <w:marBottom w:val="0"/>
                  <w:divBdr>
                    <w:top w:val="none" w:sz="0" w:space="0" w:color="auto"/>
                    <w:left w:val="none" w:sz="0" w:space="0" w:color="auto"/>
                    <w:bottom w:val="none" w:sz="0" w:space="0" w:color="auto"/>
                    <w:right w:val="none" w:sz="0" w:space="0" w:color="auto"/>
                  </w:divBdr>
                  <w:divsChild>
                    <w:div w:id="972563909">
                      <w:marLeft w:val="0"/>
                      <w:marRight w:val="0"/>
                      <w:marTop w:val="0"/>
                      <w:marBottom w:val="0"/>
                      <w:divBdr>
                        <w:top w:val="none" w:sz="0" w:space="0" w:color="auto"/>
                        <w:left w:val="none" w:sz="0" w:space="0" w:color="auto"/>
                        <w:bottom w:val="none" w:sz="0" w:space="0" w:color="auto"/>
                        <w:right w:val="none" w:sz="0" w:space="0" w:color="auto"/>
                      </w:divBdr>
                    </w:div>
                  </w:divsChild>
                </w:div>
                <w:div w:id="449206157">
                  <w:marLeft w:val="0"/>
                  <w:marRight w:val="0"/>
                  <w:marTop w:val="0"/>
                  <w:marBottom w:val="0"/>
                  <w:divBdr>
                    <w:top w:val="none" w:sz="0" w:space="0" w:color="auto"/>
                    <w:left w:val="none" w:sz="0" w:space="0" w:color="auto"/>
                    <w:bottom w:val="none" w:sz="0" w:space="0" w:color="auto"/>
                    <w:right w:val="none" w:sz="0" w:space="0" w:color="auto"/>
                  </w:divBdr>
                  <w:divsChild>
                    <w:div w:id="11150556">
                      <w:marLeft w:val="0"/>
                      <w:marRight w:val="0"/>
                      <w:marTop w:val="0"/>
                      <w:marBottom w:val="0"/>
                      <w:divBdr>
                        <w:top w:val="none" w:sz="0" w:space="0" w:color="auto"/>
                        <w:left w:val="none" w:sz="0" w:space="0" w:color="auto"/>
                        <w:bottom w:val="none" w:sz="0" w:space="0" w:color="auto"/>
                        <w:right w:val="none" w:sz="0" w:space="0" w:color="auto"/>
                      </w:divBdr>
                    </w:div>
                  </w:divsChild>
                </w:div>
                <w:div w:id="545458529">
                  <w:marLeft w:val="0"/>
                  <w:marRight w:val="0"/>
                  <w:marTop w:val="0"/>
                  <w:marBottom w:val="0"/>
                  <w:divBdr>
                    <w:top w:val="none" w:sz="0" w:space="0" w:color="auto"/>
                    <w:left w:val="none" w:sz="0" w:space="0" w:color="auto"/>
                    <w:bottom w:val="none" w:sz="0" w:space="0" w:color="auto"/>
                    <w:right w:val="none" w:sz="0" w:space="0" w:color="auto"/>
                  </w:divBdr>
                  <w:divsChild>
                    <w:div w:id="901597874">
                      <w:marLeft w:val="0"/>
                      <w:marRight w:val="0"/>
                      <w:marTop w:val="0"/>
                      <w:marBottom w:val="0"/>
                      <w:divBdr>
                        <w:top w:val="none" w:sz="0" w:space="0" w:color="auto"/>
                        <w:left w:val="none" w:sz="0" w:space="0" w:color="auto"/>
                        <w:bottom w:val="none" w:sz="0" w:space="0" w:color="auto"/>
                        <w:right w:val="none" w:sz="0" w:space="0" w:color="auto"/>
                      </w:divBdr>
                    </w:div>
                  </w:divsChild>
                </w:div>
                <w:div w:id="737170388">
                  <w:marLeft w:val="0"/>
                  <w:marRight w:val="0"/>
                  <w:marTop w:val="0"/>
                  <w:marBottom w:val="0"/>
                  <w:divBdr>
                    <w:top w:val="none" w:sz="0" w:space="0" w:color="auto"/>
                    <w:left w:val="none" w:sz="0" w:space="0" w:color="auto"/>
                    <w:bottom w:val="none" w:sz="0" w:space="0" w:color="auto"/>
                    <w:right w:val="none" w:sz="0" w:space="0" w:color="auto"/>
                  </w:divBdr>
                  <w:divsChild>
                    <w:div w:id="738092460">
                      <w:marLeft w:val="0"/>
                      <w:marRight w:val="0"/>
                      <w:marTop w:val="0"/>
                      <w:marBottom w:val="0"/>
                      <w:divBdr>
                        <w:top w:val="none" w:sz="0" w:space="0" w:color="auto"/>
                        <w:left w:val="none" w:sz="0" w:space="0" w:color="auto"/>
                        <w:bottom w:val="none" w:sz="0" w:space="0" w:color="auto"/>
                        <w:right w:val="none" w:sz="0" w:space="0" w:color="auto"/>
                      </w:divBdr>
                    </w:div>
                  </w:divsChild>
                </w:div>
                <w:div w:id="797919102">
                  <w:marLeft w:val="0"/>
                  <w:marRight w:val="0"/>
                  <w:marTop w:val="0"/>
                  <w:marBottom w:val="0"/>
                  <w:divBdr>
                    <w:top w:val="none" w:sz="0" w:space="0" w:color="auto"/>
                    <w:left w:val="none" w:sz="0" w:space="0" w:color="auto"/>
                    <w:bottom w:val="none" w:sz="0" w:space="0" w:color="auto"/>
                    <w:right w:val="none" w:sz="0" w:space="0" w:color="auto"/>
                  </w:divBdr>
                  <w:divsChild>
                    <w:div w:id="372461278">
                      <w:marLeft w:val="0"/>
                      <w:marRight w:val="0"/>
                      <w:marTop w:val="0"/>
                      <w:marBottom w:val="0"/>
                      <w:divBdr>
                        <w:top w:val="none" w:sz="0" w:space="0" w:color="auto"/>
                        <w:left w:val="none" w:sz="0" w:space="0" w:color="auto"/>
                        <w:bottom w:val="none" w:sz="0" w:space="0" w:color="auto"/>
                        <w:right w:val="none" w:sz="0" w:space="0" w:color="auto"/>
                      </w:divBdr>
                    </w:div>
                  </w:divsChild>
                </w:div>
                <w:div w:id="801575160">
                  <w:marLeft w:val="0"/>
                  <w:marRight w:val="0"/>
                  <w:marTop w:val="0"/>
                  <w:marBottom w:val="0"/>
                  <w:divBdr>
                    <w:top w:val="none" w:sz="0" w:space="0" w:color="auto"/>
                    <w:left w:val="none" w:sz="0" w:space="0" w:color="auto"/>
                    <w:bottom w:val="none" w:sz="0" w:space="0" w:color="auto"/>
                    <w:right w:val="none" w:sz="0" w:space="0" w:color="auto"/>
                  </w:divBdr>
                  <w:divsChild>
                    <w:div w:id="1923758989">
                      <w:marLeft w:val="0"/>
                      <w:marRight w:val="0"/>
                      <w:marTop w:val="0"/>
                      <w:marBottom w:val="0"/>
                      <w:divBdr>
                        <w:top w:val="none" w:sz="0" w:space="0" w:color="auto"/>
                        <w:left w:val="none" w:sz="0" w:space="0" w:color="auto"/>
                        <w:bottom w:val="none" w:sz="0" w:space="0" w:color="auto"/>
                        <w:right w:val="none" w:sz="0" w:space="0" w:color="auto"/>
                      </w:divBdr>
                    </w:div>
                  </w:divsChild>
                </w:div>
                <w:div w:id="846477346">
                  <w:marLeft w:val="0"/>
                  <w:marRight w:val="0"/>
                  <w:marTop w:val="0"/>
                  <w:marBottom w:val="0"/>
                  <w:divBdr>
                    <w:top w:val="none" w:sz="0" w:space="0" w:color="auto"/>
                    <w:left w:val="none" w:sz="0" w:space="0" w:color="auto"/>
                    <w:bottom w:val="none" w:sz="0" w:space="0" w:color="auto"/>
                    <w:right w:val="none" w:sz="0" w:space="0" w:color="auto"/>
                  </w:divBdr>
                  <w:divsChild>
                    <w:div w:id="1300264309">
                      <w:marLeft w:val="0"/>
                      <w:marRight w:val="0"/>
                      <w:marTop w:val="0"/>
                      <w:marBottom w:val="0"/>
                      <w:divBdr>
                        <w:top w:val="none" w:sz="0" w:space="0" w:color="auto"/>
                        <w:left w:val="none" w:sz="0" w:space="0" w:color="auto"/>
                        <w:bottom w:val="none" w:sz="0" w:space="0" w:color="auto"/>
                        <w:right w:val="none" w:sz="0" w:space="0" w:color="auto"/>
                      </w:divBdr>
                    </w:div>
                  </w:divsChild>
                </w:div>
                <w:div w:id="916212185">
                  <w:marLeft w:val="0"/>
                  <w:marRight w:val="0"/>
                  <w:marTop w:val="0"/>
                  <w:marBottom w:val="0"/>
                  <w:divBdr>
                    <w:top w:val="none" w:sz="0" w:space="0" w:color="auto"/>
                    <w:left w:val="none" w:sz="0" w:space="0" w:color="auto"/>
                    <w:bottom w:val="none" w:sz="0" w:space="0" w:color="auto"/>
                    <w:right w:val="none" w:sz="0" w:space="0" w:color="auto"/>
                  </w:divBdr>
                  <w:divsChild>
                    <w:div w:id="1542211737">
                      <w:marLeft w:val="0"/>
                      <w:marRight w:val="0"/>
                      <w:marTop w:val="0"/>
                      <w:marBottom w:val="0"/>
                      <w:divBdr>
                        <w:top w:val="none" w:sz="0" w:space="0" w:color="auto"/>
                        <w:left w:val="none" w:sz="0" w:space="0" w:color="auto"/>
                        <w:bottom w:val="none" w:sz="0" w:space="0" w:color="auto"/>
                        <w:right w:val="none" w:sz="0" w:space="0" w:color="auto"/>
                      </w:divBdr>
                    </w:div>
                  </w:divsChild>
                </w:div>
                <w:div w:id="917592443">
                  <w:marLeft w:val="0"/>
                  <w:marRight w:val="0"/>
                  <w:marTop w:val="0"/>
                  <w:marBottom w:val="0"/>
                  <w:divBdr>
                    <w:top w:val="none" w:sz="0" w:space="0" w:color="auto"/>
                    <w:left w:val="none" w:sz="0" w:space="0" w:color="auto"/>
                    <w:bottom w:val="none" w:sz="0" w:space="0" w:color="auto"/>
                    <w:right w:val="none" w:sz="0" w:space="0" w:color="auto"/>
                  </w:divBdr>
                  <w:divsChild>
                    <w:div w:id="1258519245">
                      <w:marLeft w:val="0"/>
                      <w:marRight w:val="0"/>
                      <w:marTop w:val="0"/>
                      <w:marBottom w:val="0"/>
                      <w:divBdr>
                        <w:top w:val="none" w:sz="0" w:space="0" w:color="auto"/>
                        <w:left w:val="none" w:sz="0" w:space="0" w:color="auto"/>
                        <w:bottom w:val="none" w:sz="0" w:space="0" w:color="auto"/>
                        <w:right w:val="none" w:sz="0" w:space="0" w:color="auto"/>
                      </w:divBdr>
                    </w:div>
                  </w:divsChild>
                </w:div>
                <w:div w:id="941569366">
                  <w:marLeft w:val="0"/>
                  <w:marRight w:val="0"/>
                  <w:marTop w:val="0"/>
                  <w:marBottom w:val="0"/>
                  <w:divBdr>
                    <w:top w:val="none" w:sz="0" w:space="0" w:color="auto"/>
                    <w:left w:val="none" w:sz="0" w:space="0" w:color="auto"/>
                    <w:bottom w:val="none" w:sz="0" w:space="0" w:color="auto"/>
                    <w:right w:val="none" w:sz="0" w:space="0" w:color="auto"/>
                  </w:divBdr>
                  <w:divsChild>
                    <w:div w:id="1061951014">
                      <w:marLeft w:val="0"/>
                      <w:marRight w:val="0"/>
                      <w:marTop w:val="0"/>
                      <w:marBottom w:val="0"/>
                      <w:divBdr>
                        <w:top w:val="none" w:sz="0" w:space="0" w:color="auto"/>
                        <w:left w:val="none" w:sz="0" w:space="0" w:color="auto"/>
                        <w:bottom w:val="none" w:sz="0" w:space="0" w:color="auto"/>
                        <w:right w:val="none" w:sz="0" w:space="0" w:color="auto"/>
                      </w:divBdr>
                    </w:div>
                  </w:divsChild>
                </w:div>
                <w:div w:id="988367522">
                  <w:marLeft w:val="0"/>
                  <w:marRight w:val="0"/>
                  <w:marTop w:val="0"/>
                  <w:marBottom w:val="0"/>
                  <w:divBdr>
                    <w:top w:val="none" w:sz="0" w:space="0" w:color="auto"/>
                    <w:left w:val="none" w:sz="0" w:space="0" w:color="auto"/>
                    <w:bottom w:val="none" w:sz="0" w:space="0" w:color="auto"/>
                    <w:right w:val="none" w:sz="0" w:space="0" w:color="auto"/>
                  </w:divBdr>
                  <w:divsChild>
                    <w:div w:id="1791049333">
                      <w:marLeft w:val="0"/>
                      <w:marRight w:val="0"/>
                      <w:marTop w:val="0"/>
                      <w:marBottom w:val="0"/>
                      <w:divBdr>
                        <w:top w:val="none" w:sz="0" w:space="0" w:color="auto"/>
                        <w:left w:val="none" w:sz="0" w:space="0" w:color="auto"/>
                        <w:bottom w:val="none" w:sz="0" w:space="0" w:color="auto"/>
                        <w:right w:val="none" w:sz="0" w:space="0" w:color="auto"/>
                      </w:divBdr>
                    </w:div>
                  </w:divsChild>
                </w:div>
                <w:div w:id="1131942635">
                  <w:marLeft w:val="0"/>
                  <w:marRight w:val="0"/>
                  <w:marTop w:val="0"/>
                  <w:marBottom w:val="0"/>
                  <w:divBdr>
                    <w:top w:val="none" w:sz="0" w:space="0" w:color="auto"/>
                    <w:left w:val="none" w:sz="0" w:space="0" w:color="auto"/>
                    <w:bottom w:val="none" w:sz="0" w:space="0" w:color="auto"/>
                    <w:right w:val="none" w:sz="0" w:space="0" w:color="auto"/>
                  </w:divBdr>
                  <w:divsChild>
                    <w:div w:id="220944846">
                      <w:marLeft w:val="0"/>
                      <w:marRight w:val="0"/>
                      <w:marTop w:val="0"/>
                      <w:marBottom w:val="0"/>
                      <w:divBdr>
                        <w:top w:val="none" w:sz="0" w:space="0" w:color="auto"/>
                        <w:left w:val="none" w:sz="0" w:space="0" w:color="auto"/>
                        <w:bottom w:val="none" w:sz="0" w:space="0" w:color="auto"/>
                        <w:right w:val="none" w:sz="0" w:space="0" w:color="auto"/>
                      </w:divBdr>
                    </w:div>
                  </w:divsChild>
                </w:div>
                <w:div w:id="1138257570">
                  <w:marLeft w:val="0"/>
                  <w:marRight w:val="0"/>
                  <w:marTop w:val="0"/>
                  <w:marBottom w:val="0"/>
                  <w:divBdr>
                    <w:top w:val="none" w:sz="0" w:space="0" w:color="auto"/>
                    <w:left w:val="none" w:sz="0" w:space="0" w:color="auto"/>
                    <w:bottom w:val="none" w:sz="0" w:space="0" w:color="auto"/>
                    <w:right w:val="none" w:sz="0" w:space="0" w:color="auto"/>
                  </w:divBdr>
                  <w:divsChild>
                    <w:div w:id="864906226">
                      <w:marLeft w:val="0"/>
                      <w:marRight w:val="0"/>
                      <w:marTop w:val="0"/>
                      <w:marBottom w:val="0"/>
                      <w:divBdr>
                        <w:top w:val="none" w:sz="0" w:space="0" w:color="auto"/>
                        <w:left w:val="none" w:sz="0" w:space="0" w:color="auto"/>
                        <w:bottom w:val="none" w:sz="0" w:space="0" w:color="auto"/>
                        <w:right w:val="none" w:sz="0" w:space="0" w:color="auto"/>
                      </w:divBdr>
                    </w:div>
                  </w:divsChild>
                </w:div>
                <w:div w:id="1203714874">
                  <w:marLeft w:val="0"/>
                  <w:marRight w:val="0"/>
                  <w:marTop w:val="0"/>
                  <w:marBottom w:val="0"/>
                  <w:divBdr>
                    <w:top w:val="none" w:sz="0" w:space="0" w:color="auto"/>
                    <w:left w:val="none" w:sz="0" w:space="0" w:color="auto"/>
                    <w:bottom w:val="none" w:sz="0" w:space="0" w:color="auto"/>
                    <w:right w:val="none" w:sz="0" w:space="0" w:color="auto"/>
                  </w:divBdr>
                  <w:divsChild>
                    <w:div w:id="917522913">
                      <w:marLeft w:val="0"/>
                      <w:marRight w:val="0"/>
                      <w:marTop w:val="0"/>
                      <w:marBottom w:val="0"/>
                      <w:divBdr>
                        <w:top w:val="none" w:sz="0" w:space="0" w:color="auto"/>
                        <w:left w:val="none" w:sz="0" w:space="0" w:color="auto"/>
                        <w:bottom w:val="none" w:sz="0" w:space="0" w:color="auto"/>
                        <w:right w:val="none" w:sz="0" w:space="0" w:color="auto"/>
                      </w:divBdr>
                    </w:div>
                  </w:divsChild>
                </w:div>
                <w:div w:id="1269772300">
                  <w:marLeft w:val="0"/>
                  <w:marRight w:val="0"/>
                  <w:marTop w:val="0"/>
                  <w:marBottom w:val="0"/>
                  <w:divBdr>
                    <w:top w:val="none" w:sz="0" w:space="0" w:color="auto"/>
                    <w:left w:val="none" w:sz="0" w:space="0" w:color="auto"/>
                    <w:bottom w:val="none" w:sz="0" w:space="0" w:color="auto"/>
                    <w:right w:val="none" w:sz="0" w:space="0" w:color="auto"/>
                  </w:divBdr>
                  <w:divsChild>
                    <w:div w:id="973680205">
                      <w:marLeft w:val="0"/>
                      <w:marRight w:val="0"/>
                      <w:marTop w:val="0"/>
                      <w:marBottom w:val="0"/>
                      <w:divBdr>
                        <w:top w:val="none" w:sz="0" w:space="0" w:color="auto"/>
                        <w:left w:val="none" w:sz="0" w:space="0" w:color="auto"/>
                        <w:bottom w:val="none" w:sz="0" w:space="0" w:color="auto"/>
                        <w:right w:val="none" w:sz="0" w:space="0" w:color="auto"/>
                      </w:divBdr>
                    </w:div>
                  </w:divsChild>
                </w:div>
                <w:div w:id="1271930714">
                  <w:marLeft w:val="0"/>
                  <w:marRight w:val="0"/>
                  <w:marTop w:val="0"/>
                  <w:marBottom w:val="0"/>
                  <w:divBdr>
                    <w:top w:val="none" w:sz="0" w:space="0" w:color="auto"/>
                    <w:left w:val="none" w:sz="0" w:space="0" w:color="auto"/>
                    <w:bottom w:val="none" w:sz="0" w:space="0" w:color="auto"/>
                    <w:right w:val="none" w:sz="0" w:space="0" w:color="auto"/>
                  </w:divBdr>
                  <w:divsChild>
                    <w:div w:id="1902867296">
                      <w:marLeft w:val="0"/>
                      <w:marRight w:val="0"/>
                      <w:marTop w:val="0"/>
                      <w:marBottom w:val="0"/>
                      <w:divBdr>
                        <w:top w:val="none" w:sz="0" w:space="0" w:color="auto"/>
                        <w:left w:val="none" w:sz="0" w:space="0" w:color="auto"/>
                        <w:bottom w:val="none" w:sz="0" w:space="0" w:color="auto"/>
                        <w:right w:val="none" w:sz="0" w:space="0" w:color="auto"/>
                      </w:divBdr>
                    </w:div>
                  </w:divsChild>
                </w:div>
                <w:div w:id="1322853916">
                  <w:marLeft w:val="0"/>
                  <w:marRight w:val="0"/>
                  <w:marTop w:val="0"/>
                  <w:marBottom w:val="0"/>
                  <w:divBdr>
                    <w:top w:val="none" w:sz="0" w:space="0" w:color="auto"/>
                    <w:left w:val="none" w:sz="0" w:space="0" w:color="auto"/>
                    <w:bottom w:val="none" w:sz="0" w:space="0" w:color="auto"/>
                    <w:right w:val="none" w:sz="0" w:space="0" w:color="auto"/>
                  </w:divBdr>
                  <w:divsChild>
                    <w:div w:id="319235440">
                      <w:marLeft w:val="0"/>
                      <w:marRight w:val="0"/>
                      <w:marTop w:val="0"/>
                      <w:marBottom w:val="0"/>
                      <w:divBdr>
                        <w:top w:val="none" w:sz="0" w:space="0" w:color="auto"/>
                        <w:left w:val="none" w:sz="0" w:space="0" w:color="auto"/>
                        <w:bottom w:val="none" w:sz="0" w:space="0" w:color="auto"/>
                        <w:right w:val="none" w:sz="0" w:space="0" w:color="auto"/>
                      </w:divBdr>
                    </w:div>
                  </w:divsChild>
                </w:div>
                <w:div w:id="1345279978">
                  <w:marLeft w:val="0"/>
                  <w:marRight w:val="0"/>
                  <w:marTop w:val="0"/>
                  <w:marBottom w:val="0"/>
                  <w:divBdr>
                    <w:top w:val="none" w:sz="0" w:space="0" w:color="auto"/>
                    <w:left w:val="none" w:sz="0" w:space="0" w:color="auto"/>
                    <w:bottom w:val="none" w:sz="0" w:space="0" w:color="auto"/>
                    <w:right w:val="none" w:sz="0" w:space="0" w:color="auto"/>
                  </w:divBdr>
                  <w:divsChild>
                    <w:div w:id="1124541328">
                      <w:marLeft w:val="0"/>
                      <w:marRight w:val="0"/>
                      <w:marTop w:val="0"/>
                      <w:marBottom w:val="0"/>
                      <w:divBdr>
                        <w:top w:val="none" w:sz="0" w:space="0" w:color="auto"/>
                        <w:left w:val="none" w:sz="0" w:space="0" w:color="auto"/>
                        <w:bottom w:val="none" w:sz="0" w:space="0" w:color="auto"/>
                        <w:right w:val="none" w:sz="0" w:space="0" w:color="auto"/>
                      </w:divBdr>
                    </w:div>
                  </w:divsChild>
                </w:div>
                <w:div w:id="1397776709">
                  <w:marLeft w:val="0"/>
                  <w:marRight w:val="0"/>
                  <w:marTop w:val="0"/>
                  <w:marBottom w:val="0"/>
                  <w:divBdr>
                    <w:top w:val="none" w:sz="0" w:space="0" w:color="auto"/>
                    <w:left w:val="none" w:sz="0" w:space="0" w:color="auto"/>
                    <w:bottom w:val="none" w:sz="0" w:space="0" w:color="auto"/>
                    <w:right w:val="none" w:sz="0" w:space="0" w:color="auto"/>
                  </w:divBdr>
                  <w:divsChild>
                    <w:div w:id="1023625967">
                      <w:marLeft w:val="0"/>
                      <w:marRight w:val="0"/>
                      <w:marTop w:val="0"/>
                      <w:marBottom w:val="0"/>
                      <w:divBdr>
                        <w:top w:val="none" w:sz="0" w:space="0" w:color="auto"/>
                        <w:left w:val="none" w:sz="0" w:space="0" w:color="auto"/>
                        <w:bottom w:val="none" w:sz="0" w:space="0" w:color="auto"/>
                        <w:right w:val="none" w:sz="0" w:space="0" w:color="auto"/>
                      </w:divBdr>
                    </w:div>
                  </w:divsChild>
                </w:div>
                <w:div w:id="1410497663">
                  <w:marLeft w:val="0"/>
                  <w:marRight w:val="0"/>
                  <w:marTop w:val="0"/>
                  <w:marBottom w:val="0"/>
                  <w:divBdr>
                    <w:top w:val="none" w:sz="0" w:space="0" w:color="auto"/>
                    <w:left w:val="none" w:sz="0" w:space="0" w:color="auto"/>
                    <w:bottom w:val="none" w:sz="0" w:space="0" w:color="auto"/>
                    <w:right w:val="none" w:sz="0" w:space="0" w:color="auto"/>
                  </w:divBdr>
                  <w:divsChild>
                    <w:div w:id="1466048863">
                      <w:marLeft w:val="0"/>
                      <w:marRight w:val="0"/>
                      <w:marTop w:val="0"/>
                      <w:marBottom w:val="0"/>
                      <w:divBdr>
                        <w:top w:val="none" w:sz="0" w:space="0" w:color="auto"/>
                        <w:left w:val="none" w:sz="0" w:space="0" w:color="auto"/>
                        <w:bottom w:val="none" w:sz="0" w:space="0" w:color="auto"/>
                        <w:right w:val="none" w:sz="0" w:space="0" w:color="auto"/>
                      </w:divBdr>
                    </w:div>
                  </w:divsChild>
                </w:div>
                <w:div w:id="1525512265">
                  <w:marLeft w:val="0"/>
                  <w:marRight w:val="0"/>
                  <w:marTop w:val="0"/>
                  <w:marBottom w:val="0"/>
                  <w:divBdr>
                    <w:top w:val="none" w:sz="0" w:space="0" w:color="auto"/>
                    <w:left w:val="none" w:sz="0" w:space="0" w:color="auto"/>
                    <w:bottom w:val="none" w:sz="0" w:space="0" w:color="auto"/>
                    <w:right w:val="none" w:sz="0" w:space="0" w:color="auto"/>
                  </w:divBdr>
                  <w:divsChild>
                    <w:div w:id="1234395902">
                      <w:marLeft w:val="0"/>
                      <w:marRight w:val="0"/>
                      <w:marTop w:val="0"/>
                      <w:marBottom w:val="0"/>
                      <w:divBdr>
                        <w:top w:val="none" w:sz="0" w:space="0" w:color="auto"/>
                        <w:left w:val="none" w:sz="0" w:space="0" w:color="auto"/>
                        <w:bottom w:val="none" w:sz="0" w:space="0" w:color="auto"/>
                        <w:right w:val="none" w:sz="0" w:space="0" w:color="auto"/>
                      </w:divBdr>
                    </w:div>
                  </w:divsChild>
                </w:div>
                <w:div w:id="1629631030">
                  <w:marLeft w:val="0"/>
                  <w:marRight w:val="0"/>
                  <w:marTop w:val="0"/>
                  <w:marBottom w:val="0"/>
                  <w:divBdr>
                    <w:top w:val="none" w:sz="0" w:space="0" w:color="auto"/>
                    <w:left w:val="none" w:sz="0" w:space="0" w:color="auto"/>
                    <w:bottom w:val="none" w:sz="0" w:space="0" w:color="auto"/>
                    <w:right w:val="none" w:sz="0" w:space="0" w:color="auto"/>
                  </w:divBdr>
                  <w:divsChild>
                    <w:div w:id="892158072">
                      <w:marLeft w:val="0"/>
                      <w:marRight w:val="0"/>
                      <w:marTop w:val="0"/>
                      <w:marBottom w:val="0"/>
                      <w:divBdr>
                        <w:top w:val="none" w:sz="0" w:space="0" w:color="auto"/>
                        <w:left w:val="none" w:sz="0" w:space="0" w:color="auto"/>
                        <w:bottom w:val="none" w:sz="0" w:space="0" w:color="auto"/>
                        <w:right w:val="none" w:sz="0" w:space="0" w:color="auto"/>
                      </w:divBdr>
                    </w:div>
                  </w:divsChild>
                </w:div>
                <w:div w:id="1756320599">
                  <w:marLeft w:val="0"/>
                  <w:marRight w:val="0"/>
                  <w:marTop w:val="0"/>
                  <w:marBottom w:val="0"/>
                  <w:divBdr>
                    <w:top w:val="none" w:sz="0" w:space="0" w:color="auto"/>
                    <w:left w:val="none" w:sz="0" w:space="0" w:color="auto"/>
                    <w:bottom w:val="none" w:sz="0" w:space="0" w:color="auto"/>
                    <w:right w:val="none" w:sz="0" w:space="0" w:color="auto"/>
                  </w:divBdr>
                  <w:divsChild>
                    <w:div w:id="493179706">
                      <w:marLeft w:val="0"/>
                      <w:marRight w:val="0"/>
                      <w:marTop w:val="0"/>
                      <w:marBottom w:val="0"/>
                      <w:divBdr>
                        <w:top w:val="none" w:sz="0" w:space="0" w:color="auto"/>
                        <w:left w:val="none" w:sz="0" w:space="0" w:color="auto"/>
                        <w:bottom w:val="none" w:sz="0" w:space="0" w:color="auto"/>
                        <w:right w:val="none" w:sz="0" w:space="0" w:color="auto"/>
                      </w:divBdr>
                    </w:div>
                  </w:divsChild>
                </w:div>
                <w:div w:id="1783529279">
                  <w:marLeft w:val="0"/>
                  <w:marRight w:val="0"/>
                  <w:marTop w:val="0"/>
                  <w:marBottom w:val="0"/>
                  <w:divBdr>
                    <w:top w:val="none" w:sz="0" w:space="0" w:color="auto"/>
                    <w:left w:val="none" w:sz="0" w:space="0" w:color="auto"/>
                    <w:bottom w:val="none" w:sz="0" w:space="0" w:color="auto"/>
                    <w:right w:val="none" w:sz="0" w:space="0" w:color="auto"/>
                  </w:divBdr>
                  <w:divsChild>
                    <w:div w:id="1964192364">
                      <w:marLeft w:val="0"/>
                      <w:marRight w:val="0"/>
                      <w:marTop w:val="0"/>
                      <w:marBottom w:val="0"/>
                      <w:divBdr>
                        <w:top w:val="none" w:sz="0" w:space="0" w:color="auto"/>
                        <w:left w:val="none" w:sz="0" w:space="0" w:color="auto"/>
                        <w:bottom w:val="none" w:sz="0" w:space="0" w:color="auto"/>
                        <w:right w:val="none" w:sz="0" w:space="0" w:color="auto"/>
                      </w:divBdr>
                    </w:div>
                  </w:divsChild>
                </w:div>
                <w:div w:id="1788426179">
                  <w:marLeft w:val="0"/>
                  <w:marRight w:val="0"/>
                  <w:marTop w:val="0"/>
                  <w:marBottom w:val="0"/>
                  <w:divBdr>
                    <w:top w:val="none" w:sz="0" w:space="0" w:color="auto"/>
                    <w:left w:val="none" w:sz="0" w:space="0" w:color="auto"/>
                    <w:bottom w:val="none" w:sz="0" w:space="0" w:color="auto"/>
                    <w:right w:val="none" w:sz="0" w:space="0" w:color="auto"/>
                  </w:divBdr>
                  <w:divsChild>
                    <w:div w:id="1115253790">
                      <w:marLeft w:val="0"/>
                      <w:marRight w:val="0"/>
                      <w:marTop w:val="0"/>
                      <w:marBottom w:val="0"/>
                      <w:divBdr>
                        <w:top w:val="none" w:sz="0" w:space="0" w:color="auto"/>
                        <w:left w:val="none" w:sz="0" w:space="0" w:color="auto"/>
                        <w:bottom w:val="none" w:sz="0" w:space="0" w:color="auto"/>
                        <w:right w:val="none" w:sz="0" w:space="0" w:color="auto"/>
                      </w:divBdr>
                    </w:div>
                  </w:divsChild>
                </w:div>
                <w:div w:id="1872843809">
                  <w:marLeft w:val="0"/>
                  <w:marRight w:val="0"/>
                  <w:marTop w:val="0"/>
                  <w:marBottom w:val="0"/>
                  <w:divBdr>
                    <w:top w:val="none" w:sz="0" w:space="0" w:color="auto"/>
                    <w:left w:val="none" w:sz="0" w:space="0" w:color="auto"/>
                    <w:bottom w:val="none" w:sz="0" w:space="0" w:color="auto"/>
                    <w:right w:val="none" w:sz="0" w:space="0" w:color="auto"/>
                  </w:divBdr>
                  <w:divsChild>
                    <w:div w:id="1828596495">
                      <w:marLeft w:val="0"/>
                      <w:marRight w:val="0"/>
                      <w:marTop w:val="0"/>
                      <w:marBottom w:val="0"/>
                      <w:divBdr>
                        <w:top w:val="none" w:sz="0" w:space="0" w:color="auto"/>
                        <w:left w:val="none" w:sz="0" w:space="0" w:color="auto"/>
                        <w:bottom w:val="none" w:sz="0" w:space="0" w:color="auto"/>
                        <w:right w:val="none" w:sz="0" w:space="0" w:color="auto"/>
                      </w:divBdr>
                    </w:div>
                  </w:divsChild>
                </w:div>
                <w:div w:id="2048489073">
                  <w:marLeft w:val="0"/>
                  <w:marRight w:val="0"/>
                  <w:marTop w:val="0"/>
                  <w:marBottom w:val="0"/>
                  <w:divBdr>
                    <w:top w:val="none" w:sz="0" w:space="0" w:color="auto"/>
                    <w:left w:val="none" w:sz="0" w:space="0" w:color="auto"/>
                    <w:bottom w:val="none" w:sz="0" w:space="0" w:color="auto"/>
                    <w:right w:val="none" w:sz="0" w:space="0" w:color="auto"/>
                  </w:divBdr>
                  <w:divsChild>
                    <w:div w:id="2023193819">
                      <w:marLeft w:val="0"/>
                      <w:marRight w:val="0"/>
                      <w:marTop w:val="0"/>
                      <w:marBottom w:val="0"/>
                      <w:divBdr>
                        <w:top w:val="none" w:sz="0" w:space="0" w:color="auto"/>
                        <w:left w:val="none" w:sz="0" w:space="0" w:color="auto"/>
                        <w:bottom w:val="none" w:sz="0" w:space="0" w:color="auto"/>
                        <w:right w:val="none" w:sz="0" w:space="0" w:color="auto"/>
                      </w:divBdr>
                    </w:div>
                  </w:divsChild>
                </w:div>
                <w:div w:id="2051342451">
                  <w:marLeft w:val="0"/>
                  <w:marRight w:val="0"/>
                  <w:marTop w:val="0"/>
                  <w:marBottom w:val="0"/>
                  <w:divBdr>
                    <w:top w:val="none" w:sz="0" w:space="0" w:color="auto"/>
                    <w:left w:val="none" w:sz="0" w:space="0" w:color="auto"/>
                    <w:bottom w:val="none" w:sz="0" w:space="0" w:color="auto"/>
                    <w:right w:val="none" w:sz="0" w:space="0" w:color="auto"/>
                  </w:divBdr>
                  <w:divsChild>
                    <w:div w:id="2132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584954">
          <w:marLeft w:val="0"/>
          <w:marRight w:val="0"/>
          <w:marTop w:val="0"/>
          <w:marBottom w:val="0"/>
          <w:divBdr>
            <w:top w:val="none" w:sz="0" w:space="0" w:color="auto"/>
            <w:left w:val="none" w:sz="0" w:space="0" w:color="auto"/>
            <w:bottom w:val="none" w:sz="0" w:space="0" w:color="auto"/>
            <w:right w:val="none" w:sz="0" w:space="0" w:color="auto"/>
          </w:divBdr>
          <w:divsChild>
            <w:div w:id="401830584">
              <w:marLeft w:val="0"/>
              <w:marRight w:val="0"/>
              <w:marTop w:val="0"/>
              <w:marBottom w:val="0"/>
              <w:divBdr>
                <w:top w:val="none" w:sz="0" w:space="0" w:color="auto"/>
                <w:left w:val="none" w:sz="0" w:space="0" w:color="auto"/>
                <w:bottom w:val="none" w:sz="0" w:space="0" w:color="auto"/>
                <w:right w:val="none" w:sz="0" w:space="0" w:color="auto"/>
              </w:divBdr>
            </w:div>
            <w:div w:id="998194512">
              <w:marLeft w:val="0"/>
              <w:marRight w:val="0"/>
              <w:marTop w:val="0"/>
              <w:marBottom w:val="0"/>
              <w:divBdr>
                <w:top w:val="none" w:sz="0" w:space="0" w:color="auto"/>
                <w:left w:val="none" w:sz="0" w:space="0" w:color="auto"/>
                <w:bottom w:val="none" w:sz="0" w:space="0" w:color="auto"/>
                <w:right w:val="none" w:sz="0" w:space="0" w:color="auto"/>
              </w:divBdr>
            </w:div>
            <w:div w:id="1231573672">
              <w:marLeft w:val="0"/>
              <w:marRight w:val="0"/>
              <w:marTop w:val="0"/>
              <w:marBottom w:val="0"/>
              <w:divBdr>
                <w:top w:val="none" w:sz="0" w:space="0" w:color="auto"/>
                <w:left w:val="none" w:sz="0" w:space="0" w:color="auto"/>
                <w:bottom w:val="none" w:sz="0" w:space="0" w:color="auto"/>
                <w:right w:val="none" w:sz="0" w:space="0" w:color="auto"/>
              </w:divBdr>
            </w:div>
          </w:divsChild>
        </w:div>
        <w:div w:id="648288343">
          <w:marLeft w:val="0"/>
          <w:marRight w:val="0"/>
          <w:marTop w:val="0"/>
          <w:marBottom w:val="0"/>
          <w:divBdr>
            <w:top w:val="none" w:sz="0" w:space="0" w:color="auto"/>
            <w:left w:val="none" w:sz="0" w:space="0" w:color="auto"/>
            <w:bottom w:val="none" w:sz="0" w:space="0" w:color="auto"/>
            <w:right w:val="none" w:sz="0" w:space="0" w:color="auto"/>
          </w:divBdr>
        </w:div>
        <w:div w:id="664750296">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793908924">
          <w:marLeft w:val="0"/>
          <w:marRight w:val="0"/>
          <w:marTop w:val="0"/>
          <w:marBottom w:val="0"/>
          <w:divBdr>
            <w:top w:val="none" w:sz="0" w:space="0" w:color="auto"/>
            <w:left w:val="none" w:sz="0" w:space="0" w:color="auto"/>
            <w:bottom w:val="none" w:sz="0" w:space="0" w:color="auto"/>
            <w:right w:val="none" w:sz="0" w:space="0" w:color="auto"/>
          </w:divBdr>
        </w:div>
        <w:div w:id="1382706854">
          <w:marLeft w:val="0"/>
          <w:marRight w:val="0"/>
          <w:marTop w:val="0"/>
          <w:marBottom w:val="0"/>
          <w:divBdr>
            <w:top w:val="none" w:sz="0" w:space="0" w:color="auto"/>
            <w:left w:val="none" w:sz="0" w:space="0" w:color="auto"/>
            <w:bottom w:val="none" w:sz="0" w:space="0" w:color="auto"/>
            <w:right w:val="none" w:sz="0" w:space="0" w:color="auto"/>
          </w:divBdr>
          <w:divsChild>
            <w:div w:id="662201654">
              <w:marLeft w:val="0"/>
              <w:marRight w:val="0"/>
              <w:marTop w:val="0"/>
              <w:marBottom w:val="0"/>
              <w:divBdr>
                <w:top w:val="none" w:sz="0" w:space="0" w:color="auto"/>
                <w:left w:val="none" w:sz="0" w:space="0" w:color="auto"/>
                <w:bottom w:val="none" w:sz="0" w:space="0" w:color="auto"/>
                <w:right w:val="none" w:sz="0" w:space="0" w:color="auto"/>
              </w:divBdr>
            </w:div>
            <w:div w:id="1285497397">
              <w:marLeft w:val="0"/>
              <w:marRight w:val="0"/>
              <w:marTop w:val="0"/>
              <w:marBottom w:val="0"/>
              <w:divBdr>
                <w:top w:val="none" w:sz="0" w:space="0" w:color="auto"/>
                <w:left w:val="none" w:sz="0" w:space="0" w:color="auto"/>
                <w:bottom w:val="none" w:sz="0" w:space="0" w:color="auto"/>
                <w:right w:val="none" w:sz="0" w:space="0" w:color="auto"/>
              </w:divBdr>
            </w:div>
            <w:div w:id="1572040253">
              <w:marLeft w:val="0"/>
              <w:marRight w:val="0"/>
              <w:marTop w:val="0"/>
              <w:marBottom w:val="0"/>
              <w:divBdr>
                <w:top w:val="none" w:sz="0" w:space="0" w:color="auto"/>
                <w:left w:val="none" w:sz="0" w:space="0" w:color="auto"/>
                <w:bottom w:val="none" w:sz="0" w:space="0" w:color="auto"/>
                <w:right w:val="none" w:sz="0" w:space="0" w:color="auto"/>
              </w:divBdr>
            </w:div>
            <w:div w:id="1581481907">
              <w:marLeft w:val="0"/>
              <w:marRight w:val="0"/>
              <w:marTop w:val="0"/>
              <w:marBottom w:val="0"/>
              <w:divBdr>
                <w:top w:val="none" w:sz="0" w:space="0" w:color="auto"/>
                <w:left w:val="none" w:sz="0" w:space="0" w:color="auto"/>
                <w:bottom w:val="none" w:sz="0" w:space="0" w:color="auto"/>
                <w:right w:val="none" w:sz="0" w:space="0" w:color="auto"/>
              </w:divBdr>
            </w:div>
            <w:div w:id="1584530608">
              <w:marLeft w:val="0"/>
              <w:marRight w:val="0"/>
              <w:marTop w:val="0"/>
              <w:marBottom w:val="0"/>
              <w:divBdr>
                <w:top w:val="none" w:sz="0" w:space="0" w:color="auto"/>
                <w:left w:val="none" w:sz="0" w:space="0" w:color="auto"/>
                <w:bottom w:val="none" w:sz="0" w:space="0" w:color="auto"/>
                <w:right w:val="none" w:sz="0" w:space="0" w:color="auto"/>
              </w:divBdr>
            </w:div>
          </w:divsChild>
        </w:div>
        <w:div w:id="1455246696">
          <w:marLeft w:val="0"/>
          <w:marRight w:val="0"/>
          <w:marTop w:val="0"/>
          <w:marBottom w:val="0"/>
          <w:divBdr>
            <w:top w:val="none" w:sz="0" w:space="0" w:color="auto"/>
            <w:left w:val="none" w:sz="0" w:space="0" w:color="auto"/>
            <w:bottom w:val="none" w:sz="0" w:space="0" w:color="auto"/>
            <w:right w:val="none" w:sz="0" w:space="0" w:color="auto"/>
          </w:divBdr>
        </w:div>
        <w:div w:id="1553227800">
          <w:marLeft w:val="0"/>
          <w:marRight w:val="0"/>
          <w:marTop w:val="0"/>
          <w:marBottom w:val="0"/>
          <w:divBdr>
            <w:top w:val="none" w:sz="0" w:space="0" w:color="auto"/>
            <w:left w:val="none" w:sz="0" w:space="0" w:color="auto"/>
            <w:bottom w:val="none" w:sz="0" w:space="0" w:color="auto"/>
            <w:right w:val="none" w:sz="0" w:space="0" w:color="auto"/>
          </w:divBdr>
          <w:divsChild>
            <w:div w:id="1809084379">
              <w:marLeft w:val="-75"/>
              <w:marRight w:val="0"/>
              <w:marTop w:val="30"/>
              <w:marBottom w:val="30"/>
              <w:divBdr>
                <w:top w:val="none" w:sz="0" w:space="0" w:color="auto"/>
                <w:left w:val="none" w:sz="0" w:space="0" w:color="auto"/>
                <w:bottom w:val="none" w:sz="0" w:space="0" w:color="auto"/>
                <w:right w:val="none" w:sz="0" w:space="0" w:color="auto"/>
              </w:divBdr>
              <w:divsChild>
                <w:div w:id="26755673">
                  <w:marLeft w:val="0"/>
                  <w:marRight w:val="0"/>
                  <w:marTop w:val="0"/>
                  <w:marBottom w:val="0"/>
                  <w:divBdr>
                    <w:top w:val="none" w:sz="0" w:space="0" w:color="auto"/>
                    <w:left w:val="none" w:sz="0" w:space="0" w:color="auto"/>
                    <w:bottom w:val="none" w:sz="0" w:space="0" w:color="auto"/>
                    <w:right w:val="none" w:sz="0" w:space="0" w:color="auto"/>
                  </w:divBdr>
                  <w:divsChild>
                    <w:div w:id="1118984575">
                      <w:marLeft w:val="0"/>
                      <w:marRight w:val="0"/>
                      <w:marTop w:val="0"/>
                      <w:marBottom w:val="0"/>
                      <w:divBdr>
                        <w:top w:val="none" w:sz="0" w:space="0" w:color="auto"/>
                        <w:left w:val="none" w:sz="0" w:space="0" w:color="auto"/>
                        <w:bottom w:val="none" w:sz="0" w:space="0" w:color="auto"/>
                        <w:right w:val="none" w:sz="0" w:space="0" w:color="auto"/>
                      </w:divBdr>
                    </w:div>
                  </w:divsChild>
                </w:div>
                <w:div w:id="230194172">
                  <w:marLeft w:val="0"/>
                  <w:marRight w:val="0"/>
                  <w:marTop w:val="0"/>
                  <w:marBottom w:val="0"/>
                  <w:divBdr>
                    <w:top w:val="none" w:sz="0" w:space="0" w:color="auto"/>
                    <w:left w:val="none" w:sz="0" w:space="0" w:color="auto"/>
                    <w:bottom w:val="none" w:sz="0" w:space="0" w:color="auto"/>
                    <w:right w:val="none" w:sz="0" w:space="0" w:color="auto"/>
                  </w:divBdr>
                  <w:divsChild>
                    <w:div w:id="1535540446">
                      <w:marLeft w:val="0"/>
                      <w:marRight w:val="0"/>
                      <w:marTop w:val="0"/>
                      <w:marBottom w:val="0"/>
                      <w:divBdr>
                        <w:top w:val="none" w:sz="0" w:space="0" w:color="auto"/>
                        <w:left w:val="none" w:sz="0" w:space="0" w:color="auto"/>
                        <w:bottom w:val="none" w:sz="0" w:space="0" w:color="auto"/>
                        <w:right w:val="none" w:sz="0" w:space="0" w:color="auto"/>
                      </w:divBdr>
                    </w:div>
                  </w:divsChild>
                </w:div>
                <w:div w:id="232785489">
                  <w:marLeft w:val="0"/>
                  <w:marRight w:val="0"/>
                  <w:marTop w:val="0"/>
                  <w:marBottom w:val="0"/>
                  <w:divBdr>
                    <w:top w:val="none" w:sz="0" w:space="0" w:color="auto"/>
                    <w:left w:val="none" w:sz="0" w:space="0" w:color="auto"/>
                    <w:bottom w:val="none" w:sz="0" w:space="0" w:color="auto"/>
                    <w:right w:val="none" w:sz="0" w:space="0" w:color="auto"/>
                  </w:divBdr>
                  <w:divsChild>
                    <w:div w:id="1115252366">
                      <w:marLeft w:val="0"/>
                      <w:marRight w:val="0"/>
                      <w:marTop w:val="0"/>
                      <w:marBottom w:val="0"/>
                      <w:divBdr>
                        <w:top w:val="none" w:sz="0" w:space="0" w:color="auto"/>
                        <w:left w:val="none" w:sz="0" w:space="0" w:color="auto"/>
                        <w:bottom w:val="none" w:sz="0" w:space="0" w:color="auto"/>
                        <w:right w:val="none" w:sz="0" w:space="0" w:color="auto"/>
                      </w:divBdr>
                    </w:div>
                  </w:divsChild>
                </w:div>
                <w:div w:id="313024875">
                  <w:marLeft w:val="0"/>
                  <w:marRight w:val="0"/>
                  <w:marTop w:val="0"/>
                  <w:marBottom w:val="0"/>
                  <w:divBdr>
                    <w:top w:val="none" w:sz="0" w:space="0" w:color="auto"/>
                    <w:left w:val="none" w:sz="0" w:space="0" w:color="auto"/>
                    <w:bottom w:val="none" w:sz="0" w:space="0" w:color="auto"/>
                    <w:right w:val="none" w:sz="0" w:space="0" w:color="auto"/>
                  </w:divBdr>
                  <w:divsChild>
                    <w:div w:id="799808214">
                      <w:marLeft w:val="0"/>
                      <w:marRight w:val="0"/>
                      <w:marTop w:val="0"/>
                      <w:marBottom w:val="0"/>
                      <w:divBdr>
                        <w:top w:val="none" w:sz="0" w:space="0" w:color="auto"/>
                        <w:left w:val="none" w:sz="0" w:space="0" w:color="auto"/>
                        <w:bottom w:val="none" w:sz="0" w:space="0" w:color="auto"/>
                        <w:right w:val="none" w:sz="0" w:space="0" w:color="auto"/>
                      </w:divBdr>
                    </w:div>
                  </w:divsChild>
                </w:div>
                <w:div w:id="356279782">
                  <w:marLeft w:val="0"/>
                  <w:marRight w:val="0"/>
                  <w:marTop w:val="0"/>
                  <w:marBottom w:val="0"/>
                  <w:divBdr>
                    <w:top w:val="none" w:sz="0" w:space="0" w:color="auto"/>
                    <w:left w:val="none" w:sz="0" w:space="0" w:color="auto"/>
                    <w:bottom w:val="none" w:sz="0" w:space="0" w:color="auto"/>
                    <w:right w:val="none" w:sz="0" w:space="0" w:color="auto"/>
                  </w:divBdr>
                  <w:divsChild>
                    <w:div w:id="542904238">
                      <w:marLeft w:val="0"/>
                      <w:marRight w:val="0"/>
                      <w:marTop w:val="0"/>
                      <w:marBottom w:val="0"/>
                      <w:divBdr>
                        <w:top w:val="none" w:sz="0" w:space="0" w:color="auto"/>
                        <w:left w:val="none" w:sz="0" w:space="0" w:color="auto"/>
                        <w:bottom w:val="none" w:sz="0" w:space="0" w:color="auto"/>
                        <w:right w:val="none" w:sz="0" w:space="0" w:color="auto"/>
                      </w:divBdr>
                    </w:div>
                  </w:divsChild>
                </w:div>
                <w:div w:id="435903696">
                  <w:marLeft w:val="0"/>
                  <w:marRight w:val="0"/>
                  <w:marTop w:val="0"/>
                  <w:marBottom w:val="0"/>
                  <w:divBdr>
                    <w:top w:val="none" w:sz="0" w:space="0" w:color="auto"/>
                    <w:left w:val="none" w:sz="0" w:space="0" w:color="auto"/>
                    <w:bottom w:val="none" w:sz="0" w:space="0" w:color="auto"/>
                    <w:right w:val="none" w:sz="0" w:space="0" w:color="auto"/>
                  </w:divBdr>
                  <w:divsChild>
                    <w:div w:id="576940544">
                      <w:marLeft w:val="0"/>
                      <w:marRight w:val="0"/>
                      <w:marTop w:val="0"/>
                      <w:marBottom w:val="0"/>
                      <w:divBdr>
                        <w:top w:val="none" w:sz="0" w:space="0" w:color="auto"/>
                        <w:left w:val="none" w:sz="0" w:space="0" w:color="auto"/>
                        <w:bottom w:val="none" w:sz="0" w:space="0" w:color="auto"/>
                        <w:right w:val="none" w:sz="0" w:space="0" w:color="auto"/>
                      </w:divBdr>
                    </w:div>
                  </w:divsChild>
                </w:div>
                <w:div w:id="509569443">
                  <w:marLeft w:val="0"/>
                  <w:marRight w:val="0"/>
                  <w:marTop w:val="0"/>
                  <w:marBottom w:val="0"/>
                  <w:divBdr>
                    <w:top w:val="none" w:sz="0" w:space="0" w:color="auto"/>
                    <w:left w:val="none" w:sz="0" w:space="0" w:color="auto"/>
                    <w:bottom w:val="none" w:sz="0" w:space="0" w:color="auto"/>
                    <w:right w:val="none" w:sz="0" w:space="0" w:color="auto"/>
                  </w:divBdr>
                  <w:divsChild>
                    <w:div w:id="1845047387">
                      <w:marLeft w:val="0"/>
                      <w:marRight w:val="0"/>
                      <w:marTop w:val="0"/>
                      <w:marBottom w:val="0"/>
                      <w:divBdr>
                        <w:top w:val="none" w:sz="0" w:space="0" w:color="auto"/>
                        <w:left w:val="none" w:sz="0" w:space="0" w:color="auto"/>
                        <w:bottom w:val="none" w:sz="0" w:space="0" w:color="auto"/>
                        <w:right w:val="none" w:sz="0" w:space="0" w:color="auto"/>
                      </w:divBdr>
                    </w:div>
                  </w:divsChild>
                </w:div>
                <w:div w:id="1009257479">
                  <w:marLeft w:val="0"/>
                  <w:marRight w:val="0"/>
                  <w:marTop w:val="0"/>
                  <w:marBottom w:val="0"/>
                  <w:divBdr>
                    <w:top w:val="none" w:sz="0" w:space="0" w:color="auto"/>
                    <w:left w:val="none" w:sz="0" w:space="0" w:color="auto"/>
                    <w:bottom w:val="none" w:sz="0" w:space="0" w:color="auto"/>
                    <w:right w:val="none" w:sz="0" w:space="0" w:color="auto"/>
                  </w:divBdr>
                  <w:divsChild>
                    <w:div w:id="1155414168">
                      <w:marLeft w:val="0"/>
                      <w:marRight w:val="0"/>
                      <w:marTop w:val="0"/>
                      <w:marBottom w:val="0"/>
                      <w:divBdr>
                        <w:top w:val="none" w:sz="0" w:space="0" w:color="auto"/>
                        <w:left w:val="none" w:sz="0" w:space="0" w:color="auto"/>
                        <w:bottom w:val="none" w:sz="0" w:space="0" w:color="auto"/>
                        <w:right w:val="none" w:sz="0" w:space="0" w:color="auto"/>
                      </w:divBdr>
                    </w:div>
                  </w:divsChild>
                </w:div>
                <w:div w:id="1116758497">
                  <w:marLeft w:val="0"/>
                  <w:marRight w:val="0"/>
                  <w:marTop w:val="0"/>
                  <w:marBottom w:val="0"/>
                  <w:divBdr>
                    <w:top w:val="none" w:sz="0" w:space="0" w:color="auto"/>
                    <w:left w:val="none" w:sz="0" w:space="0" w:color="auto"/>
                    <w:bottom w:val="none" w:sz="0" w:space="0" w:color="auto"/>
                    <w:right w:val="none" w:sz="0" w:space="0" w:color="auto"/>
                  </w:divBdr>
                  <w:divsChild>
                    <w:div w:id="1187401538">
                      <w:marLeft w:val="0"/>
                      <w:marRight w:val="0"/>
                      <w:marTop w:val="0"/>
                      <w:marBottom w:val="0"/>
                      <w:divBdr>
                        <w:top w:val="none" w:sz="0" w:space="0" w:color="auto"/>
                        <w:left w:val="none" w:sz="0" w:space="0" w:color="auto"/>
                        <w:bottom w:val="none" w:sz="0" w:space="0" w:color="auto"/>
                        <w:right w:val="none" w:sz="0" w:space="0" w:color="auto"/>
                      </w:divBdr>
                    </w:div>
                  </w:divsChild>
                </w:div>
                <w:div w:id="1234047018">
                  <w:marLeft w:val="0"/>
                  <w:marRight w:val="0"/>
                  <w:marTop w:val="0"/>
                  <w:marBottom w:val="0"/>
                  <w:divBdr>
                    <w:top w:val="none" w:sz="0" w:space="0" w:color="auto"/>
                    <w:left w:val="none" w:sz="0" w:space="0" w:color="auto"/>
                    <w:bottom w:val="none" w:sz="0" w:space="0" w:color="auto"/>
                    <w:right w:val="none" w:sz="0" w:space="0" w:color="auto"/>
                  </w:divBdr>
                  <w:divsChild>
                    <w:div w:id="1620841986">
                      <w:marLeft w:val="0"/>
                      <w:marRight w:val="0"/>
                      <w:marTop w:val="0"/>
                      <w:marBottom w:val="0"/>
                      <w:divBdr>
                        <w:top w:val="none" w:sz="0" w:space="0" w:color="auto"/>
                        <w:left w:val="none" w:sz="0" w:space="0" w:color="auto"/>
                        <w:bottom w:val="none" w:sz="0" w:space="0" w:color="auto"/>
                        <w:right w:val="none" w:sz="0" w:space="0" w:color="auto"/>
                      </w:divBdr>
                    </w:div>
                  </w:divsChild>
                </w:div>
                <w:div w:id="1388606624">
                  <w:marLeft w:val="0"/>
                  <w:marRight w:val="0"/>
                  <w:marTop w:val="0"/>
                  <w:marBottom w:val="0"/>
                  <w:divBdr>
                    <w:top w:val="none" w:sz="0" w:space="0" w:color="auto"/>
                    <w:left w:val="none" w:sz="0" w:space="0" w:color="auto"/>
                    <w:bottom w:val="none" w:sz="0" w:space="0" w:color="auto"/>
                    <w:right w:val="none" w:sz="0" w:space="0" w:color="auto"/>
                  </w:divBdr>
                  <w:divsChild>
                    <w:div w:id="1135369221">
                      <w:marLeft w:val="0"/>
                      <w:marRight w:val="0"/>
                      <w:marTop w:val="0"/>
                      <w:marBottom w:val="0"/>
                      <w:divBdr>
                        <w:top w:val="none" w:sz="0" w:space="0" w:color="auto"/>
                        <w:left w:val="none" w:sz="0" w:space="0" w:color="auto"/>
                        <w:bottom w:val="none" w:sz="0" w:space="0" w:color="auto"/>
                        <w:right w:val="none" w:sz="0" w:space="0" w:color="auto"/>
                      </w:divBdr>
                    </w:div>
                  </w:divsChild>
                </w:div>
                <w:div w:id="1415468854">
                  <w:marLeft w:val="0"/>
                  <w:marRight w:val="0"/>
                  <w:marTop w:val="0"/>
                  <w:marBottom w:val="0"/>
                  <w:divBdr>
                    <w:top w:val="none" w:sz="0" w:space="0" w:color="auto"/>
                    <w:left w:val="none" w:sz="0" w:space="0" w:color="auto"/>
                    <w:bottom w:val="none" w:sz="0" w:space="0" w:color="auto"/>
                    <w:right w:val="none" w:sz="0" w:space="0" w:color="auto"/>
                  </w:divBdr>
                  <w:divsChild>
                    <w:div w:id="911624773">
                      <w:marLeft w:val="0"/>
                      <w:marRight w:val="0"/>
                      <w:marTop w:val="0"/>
                      <w:marBottom w:val="0"/>
                      <w:divBdr>
                        <w:top w:val="none" w:sz="0" w:space="0" w:color="auto"/>
                        <w:left w:val="none" w:sz="0" w:space="0" w:color="auto"/>
                        <w:bottom w:val="none" w:sz="0" w:space="0" w:color="auto"/>
                        <w:right w:val="none" w:sz="0" w:space="0" w:color="auto"/>
                      </w:divBdr>
                    </w:div>
                  </w:divsChild>
                </w:div>
                <w:div w:id="1649819142">
                  <w:marLeft w:val="0"/>
                  <w:marRight w:val="0"/>
                  <w:marTop w:val="0"/>
                  <w:marBottom w:val="0"/>
                  <w:divBdr>
                    <w:top w:val="none" w:sz="0" w:space="0" w:color="auto"/>
                    <w:left w:val="none" w:sz="0" w:space="0" w:color="auto"/>
                    <w:bottom w:val="none" w:sz="0" w:space="0" w:color="auto"/>
                    <w:right w:val="none" w:sz="0" w:space="0" w:color="auto"/>
                  </w:divBdr>
                  <w:divsChild>
                    <w:div w:id="349575406">
                      <w:marLeft w:val="0"/>
                      <w:marRight w:val="0"/>
                      <w:marTop w:val="0"/>
                      <w:marBottom w:val="0"/>
                      <w:divBdr>
                        <w:top w:val="none" w:sz="0" w:space="0" w:color="auto"/>
                        <w:left w:val="none" w:sz="0" w:space="0" w:color="auto"/>
                        <w:bottom w:val="none" w:sz="0" w:space="0" w:color="auto"/>
                        <w:right w:val="none" w:sz="0" w:space="0" w:color="auto"/>
                      </w:divBdr>
                    </w:div>
                  </w:divsChild>
                </w:div>
                <w:div w:id="1807091224">
                  <w:marLeft w:val="0"/>
                  <w:marRight w:val="0"/>
                  <w:marTop w:val="0"/>
                  <w:marBottom w:val="0"/>
                  <w:divBdr>
                    <w:top w:val="none" w:sz="0" w:space="0" w:color="auto"/>
                    <w:left w:val="none" w:sz="0" w:space="0" w:color="auto"/>
                    <w:bottom w:val="none" w:sz="0" w:space="0" w:color="auto"/>
                    <w:right w:val="none" w:sz="0" w:space="0" w:color="auto"/>
                  </w:divBdr>
                  <w:divsChild>
                    <w:div w:id="146868304">
                      <w:marLeft w:val="0"/>
                      <w:marRight w:val="0"/>
                      <w:marTop w:val="0"/>
                      <w:marBottom w:val="0"/>
                      <w:divBdr>
                        <w:top w:val="none" w:sz="0" w:space="0" w:color="auto"/>
                        <w:left w:val="none" w:sz="0" w:space="0" w:color="auto"/>
                        <w:bottom w:val="none" w:sz="0" w:space="0" w:color="auto"/>
                        <w:right w:val="none" w:sz="0" w:space="0" w:color="auto"/>
                      </w:divBdr>
                    </w:div>
                  </w:divsChild>
                </w:div>
                <w:div w:id="1863282653">
                  <w:marLeft w:val="0"/>
                  <w:marRight w:val="0"/>
                  <w:marTop w:val="0"/>
                  <w:marBottom w:val="0"/>
                  <w:divBdr>
                    <w:top w:val="none" w:sz="0" w:space="0" w:color="auto"/>
                    <w:left w:val="none" w:sz="0" w:space="0" w:color="auto"/>
                    <w:bottom w:val="none" w:sz="0" w:space="0" w:color="auto"/>
                    <w:right w:val="none" w:sz="0" w:space="0" w:color="auto"/>
                  </w:divBdr>
                  <w:divsChild>
                    <w:div w:id="209536558">
                      <w:marLeft w:val="0"/>
                      <w:marRight w:val="0"/>
                      <w:marTop w:val="0"/>
                      <w:marBottom w:val="0"/>
                      <w:divBdr>
                        <w:top w:val="none" w:sz="0" w:space="0" w:color="auto"/>
                        <w:left w:val="none" w:sz="0" w:space="0" w:color="auto"/>
                        <w:bottom w:val="none" w:sz="0" w:space="0" w:color="auto"/>
                        <w:right w:val="none" w:sz="0" w:space="0" w:color="auto"/>
                      </w:divBdr>
                    </w:div>
                  </w:divsChild>
                </w:div>
                <w:div w:id="1988821884">
                  <w:marLeft w:val="0"/>
                  <w:marRight w:val="0"/>
                  <w:marTop w:val="0"/>
                  <w:marBottom w:val="0"/>
                  <w:divBdr>
                    <w:top w:val="none" w:sz="0" w:space="0" w:color="auto"/>
                    <w:left w:val="none" w:sz="0" w:space="0" w:color="auto"/>
                    <w:bottom w:val="none" w:sz="0" w:space="0" w:color="auto"/>
                    <w:right w:val="none" w:sz="0" w:space="0" w:color="auto"/>
                  </w:divBdr>
                  <w:divsChild>
                    <w:div w:id="1577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45709">
          <w:marLeft w:val="0"/>
          <w:marRight w:val="0"/>
          <w:marTop w:val="0"/>
          <w:marBottom w:val="0"/>
          <w:divBdr>
            <w:top w:val="none" w:sz="0" w:space="0" w:color="auto"/>
            <w:left w:val="none" w:sz="0" w:space="0" w:color="auto"/>
            <w:bottom w:val="none" w:sz="0" w:space="0" w:color="auto"/>
            <w:right w:val="none" w:sz="0" w:space="0" w:color="auto"/>
          </w:divBdr>
        </w:div>
        <w:div w:id="1928339672">
          <w:marLeft w:val="0"/>
          <w:marRight w:val="0"/>
          <w:marTop w:val="0"/>
          <w:marBottom w:val="0"/>
          <w:divBdr>
            <w:top w:val="none" w:sz="0" w:space="0" w:color="auto"/>
            <w:left w:val="none" w:sz="0" w:space="0" w:color="auto"/>
            <w:bottom w:val="none" w:sz="0" w:space="0" w:color="auto"/>
            <w:right w:val="none" w:sz="0" w:space="0" w:color="auto"/>
          </w:divBdr>
          <w:divsChild>
            <w:div w:id="1681471121">
              <w:marLeft w:val="0"/>
              <w:marRight w:val="0"/>
              <w:marTop w:val="0"/>
              <w:marBottom w:val="0"/>
              <w:divBdr>
                <w:top w:val="none" w:sz="0" w:space="0" w:color="auto"/>
                <w:left w:val="none" w:sz="0" w:space="0" w:color="auto"/>
                <w:bottom w:val="none" w:sz="0" w:space="0" w:color="auto"/>
                <w:right w:val="none" w:sz="0" w:space="0" w:color="auto"/>
              </w:divBdr>
            </w:div>
            <w:div w:id="18978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62495">
      <w:bodyDiv w:val="1"/>
      <w:marLeft w:val="0"/>
      <w:marRight w:val="0"/>
      <w:marTop w:val="0"/>
      <w:marBottom w:val="0"/>
      <w:divBdr>
        <w:top w:val="none" w:sz="0" w:space="0" w:color="auto"/>
        <w:left w:val="none" w:sz="0" w:space="0" w:color="auto"/>
        <w:bottom w:val="none" w:sz="0" w:space="0" w:color="auto"/>
        <w:right w:val="none" w:sz="0" w:space="0" w:color="auto"/>
      </w:divBdr>
    </w:div>
    <w:div w:id="1402673399">
      <w:bodyDiv w:val="1"/>
      <w:marLeft w:val="0"/>
      <w:marRight w:val="0"/>
      <w:marTop w:val="0"/>
      <w:marBottom w:val="0"/>
      <w:divBdr>
        <w:top w:val="none" w:sz="0" w:space="0" w:color="auto"/>
        <w:left w:val="none" w:sz="0" w:space="0" w:color="auto"/>
        <w:bottom w:val="none" w:sz="0" w:space="0" w:color="auto"/>
        <w:right w:val="none" w:sz="0" w:space="0" w:color="auto"/>
      </w:divBdr>
      <w:divsChild>
        <w:div w:id="1526019303">
          <w:marLeft w:val="0"/>
          <w:marRight w:val="0"/>
          <w:marTop w:val="0"/>
          <w:marBottom w:val="0"/>
          <w:divBdr>
            <w:top w:val="none" w:sz="0" w:space="0" w:color="auto"/>
            <w:left w:val="none" w:sz="0" w:space="0" w:color="auto"/>
            <w:bottom w:val="none" w:sz="0" w:space="0" w:color="auto"/>
            <w:right w:val="none" w:sz="0" w:space="0" w:color="auto"/>
          </w:divBdr>
          <w:divsChild>
            <w:div w:id="212886960">
              <w:marLeft w:val="0"/>
              <w:marRight w:val="0"/>
              <w:marTop w:val="0"/>
              <w:marBottom w:val="0"/>
              <w:divBdr>
                <w:top w:val="none" w:sz="0" w:space="0" w:color="auto"/>
                <w:left w:val="none" w:sz="0" w:space="0" w:color="auto"/>
                <w:bottom w:val="none" w:sz="0" w:space="0" w:color="auto"/>
                <w:right w:val="none" w:sz="0" w:space="0" w:color="auto"/>
              </w:divBdr>
            </w:div>
            <w:div w:id="682586986">
              <w:marLeft w:val="0"/>
              <w:marRight w:val="0"/>
              <w:marTop w:val="0"/>
              <w:marBottom w:val="0"/>
              <w:divBdr>
                <w:top w:val="none" w:sz="0" w:space="0" w:color="auto"/>
                <w:left w:val="none" w:sz="0" w:space="0" w:color="auto"/>
                <w:bottom w:val="none" w:sz="0" w:space="0" w:color="auto"/>
                <w:right w:val="none" w:sz="0" w:space="0" w:color="auto"/>
              </w:divBdr>
            </w:div>
            <w:div w:id="1116681457">
              <w:marLeft w:val="0"/>
              <w:marRight w:val="0"/>
              <w:marTop w:val="0"/>
              <w:marBottom w:val="0"/>
              <w:divBdr>
                <w:top w:val="none" w:sz="0" w:space="0" w:color="auto"/>
                <w:left w:val="none" w:sz="0" w:space="0" w:color="auto"/>
                <w:bottom w:val="none" w:sz="0" w:space="0" w:color="auto"/>
                <w:right w:val="none" w:sz="0" w:space="0" w:color="auto"/>
              </w:divBdr>
            </w:div>
          </w:divsChild>
        </w:div>
        <w:div w:id="2079744527">
          <w:marLeft w:val="0"/>
          <w:marRight w:val="0"/>
          <w:marTop w:val="0"/>
          <w:marBottom w:val="0"/>
          <w:divBdr>
            <w:top w:val="none" w:sz="0" w:space="0" w:color="auto"/>
            <w:left w:val="none" w:sz="0" w:space="0" w:color="auto"/>
            <w:bottom w:val="none" w:sz="0" w:space="0" w:color="auto"/>
            <w:right w:val="none" w:sz="0" w:space="0" w:color="auto"/>
          </w:divBdr>
          <w:divsChild>
            <w:div w:id="19232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00994">
      <w:bodyDiv w:val="1"/>
      <w:marLeft w:val="0"/>
      <w:marRight w:val="0"/>
      <w:marTop w:val="0"/>
      <w:marBottom w:val="0"/>
      <w:divBdr>
        <w:top w:val="none" w:sz="0" w:space="0" w:color="auto"/>
        <w:left w:val="none" w:sz="0" w:space="0" w:color="auto"/>
        <w:bottom w:val="none" w:sz="0" w:space="0" w:color="auto"/>
        <w:right w:val="none" w:sz="0" w:space="0" w:color="auto"/>
      </w:divBdr>
    </w:div>
    <w:div w:id="1413627828">
      <w:bodyDiv w:val="1"/>
      <w:marLeft w:val="0"/>
      <w:marRight w:val="0"/>
      <w:marTop w:val="0"/>
      <w:marBottom w:val="0"/>
      <w:divBdr>
        <w:top w:val="none" w:sz="0" w:space="0" w:color="auto"/>
        <w:left w:val="none" w:sz="0" w:space="0" w:color="auto"/>
        <w:bottom w:val="none" w:sz="0" w:space="0" w:color="auto"/>
        <w:right w:val="none" w:sz="0" w:space="0" w:color="auto"/>
      </w:divBdr>
      <w:divsChild>
        <w:div w:id="61491539">
          <w:marLeft w:val="0"/>
          <w:marRight w:val="0"/>
          <w:marTop w:val="0"/>
          <w:marBottom w:val="0"/>
          <w:divBdr>
            <w:top w:val="none" w:sz="0" w:space="0" w:color="auto"/>
            <w:left w:val="none" w:sz="0" w:space="0" w:color="auto"/>
            <w:bottom w:val="none" w:sz="0" w:space="0" w:color="auto"/>
            <w:right w:val="none" w:sz="0" w:space="0" w:color="auto"/>
          </w:divBdr>
        </w:div>
        <w:div w:id="413088103">
          <w:marLeft w:val="0"/>
          <w:marRight w:val="0"/>
          <w:marTop w:val="0"/>
          <w:marBottom w:val="0"/>
          <w:divBdr>
            <w:top w:val="none" w:sz="0" w:space="0" w:color="auto"/>
            <w:left w:val="none" w:sz="0" w:space="0" w:color="auto"/>
            <w:bottom w:val="none" w:sz="0" w:space="0" w:color="auto"/>
            <w:right w:val="none" w:sz="0" w:space="0" w:color="auto"/>
          </w:divBdr>
        </w:div>
        <w:div w:id="737900691">
          <w:marLeft w:val="0"/>
          <w:marRight w:val="0"/>
          <w:marTop w:val="0"/>
          <w:marBottom w:val="0"/>
          <w:divBdr>
            <w:top w:val="none" w:sz="0" w:space="0" w:color="auto"/>
            <w:left w:val="none" w:sz="0" w:space="0" w:color="auto"/>
            <w:bottom w:val="none" w:sz="0" w:space="0" w:color="auto"/>
            <w:right w:val="none" w:sz="0" w:space="0" w:color="auto"/>
          </w:divBdr>
        </w:div>
        <w:div w:id="2036032158">
          <w:marLeft w:val="0"/>
          <w:marRight w:val="0"/>
          <w:marTop w:val="0"/>
          <w:marBottom w:val="0"/>
          <w:divBdr>
            <w:top w:val="none" w:sz="0" w:space="0" w:color="auto"/>
            <w:left w:val="none" w:sz="0" w:space="0" w:color="auto"/>
            <w:bottom w:val="none" w:sz="0" w:space="0" w:color="auto"/>
            <w:right w:val="none" w:sz="0" w:space="0" w:color="auto"/>
          </w:divBdr>
        </w:div>
      </w:divsChild>
    </w:div>
    <w:div w:id="1416247534">
      <w:bodyDiv w:val="1"/>
      <w:marLeft w:val="0"/>
      <w:marRight w:val="0"/>
      <w:marTop w:val="0"/>
      <w:marBottom w:val="0"/>
      <w:divBdr>
        <w:top w:val="none" w:sz="0" w:space="0" w:color="auto"/>
        <w:left w:val="none" w:sz="0" w:space="0" w:color="auto"/>
        <w:bottom w:val="none" w:sz="0" w:space="0" w:color="auto"/>
        <w:right w:val="none" w:sz="0" w:space="0" w:color="auto"/>
      </w:divBdr>
      <w:divsChild>
        <w:div w:id="99956412">
          <w:marLeft w:val="0"/>
          <w:marRight w:val="0"/>
          <w:marTop w:val="0"/>
          <w:marBottom w:val="0"/>
          <w:divBdr>
            <w:top w:val="none" w:sz="0" w:space="0" w:color="auto"/>
            <w:left w:val="none" w:sz="0" w:space="0" w:color="auto"/>
            <w:bottom w:val="none" w:sz="0" w:space="0" w:color="auto"/>
            <w:right w:val="none" w:sz="0" w:space="0" w:color="auto"/>
          </w:divBdr>
        </w:div>
        <w:div w:id="380985256">
          <w:marLeft w:val="0"/>
          <w:marRight w:val="0"/>
          <w:marTop w:val="0"/>
          <w:marBottom w:val="0"/>
          <w:divBdr>
            <w:top w:val="none" w:sz="0" w:space="0" w:color="auto"/>
            <w:left w:val="none" w:sz="0" w:space="0" w:color="auto"/>
            <w:bottom w:val="none" w:sz="0" w:space="0" w:color="auto"/>
            <w:right w:val="none" w:sz="0" w:space="0" w:color="auto"/>
          </w:divBdr>
        </w:div>
        <w:div w:id="521742549">
          <w:marLeft w:val="0"/>
          <w:marRight w:val="0"/>
          <w:marTop w:val="0"/>
          <w:marBottom w:val="0"/>
          <w:divBdr>
            <w:top w:val="none" w:sz="0" w:space="0" w:color="auto"/>
            <w:left w:val="none" w:sz="0" w:space="0" w:color="auto"/>
            <w:bottom w:val="none" w:sz="0" w:space="0" w:color="auto"/>
            <w:right w:val="none" w:sz="0" w:space="0" w:color="auto"/>
          </w:divBdr>
        </w:div>
        <w:div w:id="898398424">
          <w:marLeft w:val="0"/>
          <w:marRight w:val="0"/>
          <w:marTop w:val="0"/>
          <w:marBottom w:val="0"/>
          <w:divBdr>
            <w:top w:val="none" w:sz="0" w:space="0" w:color="auto"/>
            <w:left w:val="none" w:sz="0" w:space="0" w:color="auto"/>
            <w:bottom w:val="none" w:sz="0" w:space="0" w:color="auto"/>
            <w:right w:val="none" w:sz="0" w:space="0" w:color="auto"/>
          </w:divBdr>
        </w:div>
        <w:div w:id="1211068506">
          <w:marLeft w:val="0"/>
          <w:marRight w:val="0"/>
          <w:marTop w:val="0"/>
          <w:marBottom w:val="0"/>
          <w:divBdr>
            <w:top w:val="none" w:sz="0" w:space="0" w:color="auto"/>
            <w:left w:val="none" w:sz="0" w:space="0" w:color="auto"/>
            <w:bottom w:val="none" w:sz="0" w:space="0" w:color="auto"/>
            <w:right w:val="none" w:sz="0" w:space="0" w:color="auto"/>
          </w:divBdr>
        </w:div>
        <w:div w:id="1641374501">
          <w:marLeft w:val="0"/>
          <w:marRight w:val="0"/>
          <w:marTop w:val="0"/>
          <w:marBottom w:val="0"/>
          <w:divBdr>
            <w:top w:val="none" w:sz="0" w:space="0" w:color="auto"/>
            <w:left w:val="none" w:sz="0" w:space="0" w:color="auto"/>
            <w:bottom w:val="none" w:sz="0" w:space="0" w:color="auto"/>
            <w:right w:val="none" w:sz="0" w:space="0" w:color="auto"/>
          </w:divBdr>
        </w:div>
        <w:div w:id="1830246768">
          <w:marLeft w:val="0"/>
          <w:marRight w:val="0"/>
          <w:marTop w:val="0"/>
          <w:marBottom w:val="0"/>
          <w:divBdr>
            <w:top w:val="none" w:sz="0" w:space="0" w:color="auto"/>
            <w:left w:val="none" w:sz="0" w:space="0" w:color="auto"/>
            <w:bottom w:val="none" w:sz="0" w:space="0" w:color="auto"/>
            <w:right w:val="none" w:sz="0" w:space="0" w:color="auto"/>
          </w:divBdr>
        </w:div>
        <w:div w:id="1964992072">
          <w:marLeft w:val="0"/>
          <w:marRight w:val="0"/>
          <w:marTop w:val="0"/>
          <w:marBottom w:val="0"/>
          <w:divBdr>
            <w:top w:val="none" w:sz="0" w:space="0" w:color="auto"/>
            <w:left w:val="none" w:sz="0" w:space="0" w:color="auto"/>
            <w:bottom w:val="none" w:sz="0" w:space="0" w:color="auto"/>
            <w:right w:val="none" w:sz="0" w:space="0" w:color="auto"/>
          </w:divBdr>
        </w:div>
      </w:divsChild>
    </w:div>
    <w:div w:id="1416364259">
      <w:bodyDiv w:val="1"/>
      <w:marLeft w:val="0"/>
      <w:marRight w:val="0"/>
      <w:marTop w:val="0"/>
      <w:marBottom w:val="0"/>
      <w:divBdr>
        <w:top w:val="none" w:sz="0" w:space="0" w:color="auto"/>
        <w:left w:val="none" w:sz="0" w:space="0" w:color="auto"/>
        <w:bottom w:val="none" w:sz="0" w:space="0" w:color="auto"/>
        <w:right w:val="none" w:sz="0" w:space="0" w:color="auto"/>
      </w:divBdr>
      <w:divsChild>
        <w:div w:id="1141265345">
          <w:marLeft w:val="0"/>
          <w:marRight w:val="0"/>
          <w:marTop w:val="0"/>
          <w:marBottom w:val="0"/>
          <w:divBdr>
            <w:top w:val="none" w:sz="0" w:space="0" w:color="auto"/>
            <w:left w:val="none" w:sz="0" w:space="0" w:color="auto"/>
            <w:bottom w:val="none" w:sz="0" w:space="0" w:color="auto"/>
            <w:right w:val="none" w:sz="0" w:space="0" w:color="auto"/>
          </w:divBdr>
        </w:div>
        <w:div w:id="2044555034">
          <w:marLeft w:val="0"/>
          <w:marRight w:val="0"/>
          <w:marTop w:val="0"/>
          <w:marBottom w:val="0"/>
          <w:divBdr>
            <w:top w:val="none" w:sz="0" w:space="0" w:color="auto"/>
            <w:left w:val="none" w:sz="0" w:space="0" w:color="auto"/>
            <w:bottom w:val="none" w:sz="0" w:space="0" w:color="auto"/>
            <w:right w:val="none" w:sz="0" w:space="0" w:color="auto"/>
          </w:divBdr>
        </w:div>
      </w:divsChild>
    </w:div>
    <w:div w:id="1421677253">
      <w:bodyDiv w:val="1"/>
      <w:marLeft w:val="0"/>
      <w:marRight w:val="0"/>
      <w:marTop w:val="0"/>
      <w:marBottom w:val="0"/>
      <w:divBdr>
        <w:top w:val="none" w:sz="0" w:space="0" w:color="auto"/>
        <w:left w:val="none" w:sz="0" w:space="0" w:color="auto"/>
        <w:bottom w:val="none" w:sz="0" w:space="0" w:color="auto"/>
        <w:right w:val="none" w:sz="0" w:space="0" w:color="auto"/>
      </w:divBdr>
      <w:divsChild>
        <w:div w:id="82580385">
          <w:marLeft w:val="0"/>
          <w:marRight w:val="0"/>
          <w:marTop w:val="0"/>
          <w:marBottom w:val="0"/>
          <w:divBdr>
            <w:top w:val="none" w:sz="0" w:space="0" w:color="auto"/>
            <w:left w:val="none" w:sz="0" w:space="0" w:color="auto"/>
            <w:bottom w:val="none" w:sz="0" w:space="0" w:color="auto"/>
            <w:right w:val="none" w:sz="0" w:space="0" w:color="auto"/>
          </w:divBdr>
        </w:div>
        <w:div w:id="195657465">
          <w:marLeft w:val="0"/>
          <w:marRight w:val="0"/>
          <w:marTop w:val="0"/>
          <w:marBottom w:val="0"/>
          <w:divBdr>
            <w:top w:val="none" w:sz="0" w:space="0" w:color="auto"/>
            <w:left w:val="none" w:sz="0" w:space="0" w:color="auto"/>
            <w:bottom w:val="none" w:sz="0" w:space="0" w:color="auto"/>
            <w:right w:val="none" w:sz="0" w:space="0" w:color="auto"/>
          </w:divBdr>
        </w:div>
        <w:div w:id="279531719">
          <w:marLeft w:val="0"/>
          <w:marRight w:val="0"/>
          <w:marTop w:val="0"/>
          <w:marBottom w:val="0"/>
          <w:divBdr>
            <w:top w:val="none" w:sz="0" w:space="0" w:color="auto"/>
            <w:left w:val="none" w:sz="0" w:space="0" w:color="auto"/>
            <w:bottom w:val="none" w:sz="0" w:space="0" w:color="auto"/>
            <w:right w:val="none" w:sz="0" w:space="0" w:color="auto"/>
          </w:divBdr>
        </w:div>
        <w:div w:id="467356260">
          <w:marLeft w:val="0"/>
          <w:marRight w:val="0"/>
          <w:marTop w:val="0"/>
          <w:marBottom w:val="0"/>
          <w:divBdr>
            <w:top w:val="none" w:sz="0" w:space="0" w:color="auto"/>
            <w:left w:val="none" w:sz="0" w:space="0" w:color="auto"/>
            <w:bottom w:val="none" w:sz="0" w:space="0" w:color="auto"/>
            <w:right w:val="none" w:sz="0" w:space="0" w:color="auto"/>
          </w:divBdr>
        </w:div>
        <w:div w:id="496969438">
          <w:marLeft w:val="0"/>
          <w:marRight w:val="0"/>
          <w:marTop w:val="0"/>
          <w:marBottom w:val="0"/>
          <w:divBdr>
            <w:top w:val="none" w:sz="0" w:space="0" w:color="auto"/>
            <w:left w:val="none" w:sz="0" w:space="0" w:color="auto"/>
            <w:bottom w:val="none" w:sz="0" w:space="0" w:color="auto"/>
            <w:right w:val="none" w:sz="0" w:space="0" w:color="auto"/>
          </w:divBdr>
        </w:div>
        <w:div w:id="610430391">
          <w:marLeft w:val="0"/>
          <w:marRight w:val="0"/>
          <w:marTop w:val="0"/>
          <w:marBottom w:val="0"/>
          <w:divBdr>
            <w:top w:val="none" w:sz="0" w:space="0" w:color="auto"/>
            <w:left w:val="none" w:sz="0" w:space="0" w:color="auto"/>
            <w:bottom w:val="none" w:sz="0" w:space="0" w:color="auto"/>
            <w:right w:val="none" w:sz="0" w:space="0" w:color="auto"/>
          </w:divBdr>
        </w:div>
        <w:div w:id="620234601">
          <w:marLeft w:val="0"/>
          <w:marRight w:val="0"/>
          <w:marTop w:val="0"/>
          <w:marBottom w:val="0"/>
          <w:divBdr>
            <w:top w:val="none" w:sz="0" w:space="0" w:color="auto"/>
            <w:left w:val="none" w:sz="0" w:space="0" w:color="auto"/>
            <w:bottom w:val="none" w:sz="0" w:space="0" w:color="auto"/>
            <w:right w:val="none" w:sz="0" w:space="0" w:color="auto"/>
          </w:divBdr>
        </w:div>
        <w:div w:id="699862691">
          <w:marLeft w:val="0"/>
          <w:marRight w:val="0"/>
          <w:marTop w:val="0"/>
          <w:marBottom w:val="0"/>
          <w:divBdr>
            <w:top w:val="none" w:sz="0" w:space="0" w:color="auto"/>
            <w:left w:val="none" w:sz="0" w:space="0" w:color="auto"/>
            <w:bottom w:val="none" w:sz="0" w:space="0" w:color="auto"/>
            <w:right w:val="none" w:sz="0" w:space="0" w:color="auto"/>
          </w:divBdr>
        </w:div>
        <w:div w:id="756710730">
          <w:marLeft w:val="0"/>
          <w:marRight w:val="0"/>
          <w:marTop w:val="0"/>
          <w:marBottom w:val="0"/>
          <w:divBdr>
            <w:top w:val="none" w:sz="0" w:space="0" w:color="auto"/>
            <w:left w:val="none" w:sz="0" w:space="0" w:color="auto"/>
            <w:bottom w:val="none" w:sz="0" w:space="0" w:color="auto"/>
            <w:right w:val="none" w:sz="0" w:space="0" w:color="auto"/>
          </w:divBdr>
          <w:divsChild>
            <w:div w:id="533621862">
              <w:marLeft w:val="0"/>
              <w:marRight w:val="0"/>
              <w:marTop w:val="0"/>
              <w:marBottom w:val="0"/>
              <w:divBdr>
                <w:top w:val="none" w:sz="0" w:space="0" w:color="auto"/>
                <w:left w:val="none" w:sz="0" w:space="0" w:color="auto"/>
                <w:bottom w:val="none" w:sz="0" w:space="0" w:color="auto"/>
                <w:right w:val="none" w:sz="0" w:space="0" w:color="auto"/>
              </w:divBdr>
            </w:div>
            <w:div w:id="566035202">
              <w:marLeft w:val="0"/>
              <w:marRight w:val="0"/>
              <w:marTop w:val="0"/>
              <w:marBottom w:val="0"/>
              <w:divBdr>
                <w:top w:val="none" w:sz="0" w:space="0" w:color="auto"/>
                <w:left w:val="none" w:sz="0" w:space="0" w:color="auto"/>
                <w:bottom w:val="none" w:sz="0" w:space="0" w:color="auto"/>
                <w:right w:val="none" w:sz="0" w:space="0" w:color="auto"/>
              </w:divBdr>
            </w:div>
            <w:div w:id="619536133">
              <w:marLeft w:val="0"/>
              <w:marRight w:val="0"/>
              <w:marTop w:val="0"/>
              <w:marBottom w:val="0"/>
              <w:divBdr>
                <w:top w:val="none" w:sz="0" w:space="0" w:color="auto"/>
                <w:left w:val="none" w:sz="0" w:space="0" w:color="auto"/>
                <w:bottom w:val="none" w:sz="0" w:space="0" w:color="auto"/>
                <w:right w:val="none" w:sz="0" w:space="0" w:color="auto"/>
              </w:divBdr>
            </w:div>
            <w:div w:id="1553150129">
              <w:marLeft w:val="0"/>
              <w:marRight w:val="0"/>
              <w:marTop w:val="0"/>
              <w:marBottom w:val="0"/>
              <w:divBdr>
                <w:top w:val="none" w:sz="0" w:space="0" w:color="auto"/>
                <w:left w:val="none" w:sz="0" w:space="0" w:color="auto"/>
                <w:bottom w:val="none" w:sz="0" w:space="0" w:color="auto"/>
                <w:right w:val="none" w:sz="0" w:space="0" w:color="auto"/>
              </w:divBdr>
            </w:div>
            <w:div w:id="1839886005">
              <w:marLeft w:val="0"/>
              <w:marRight w:val="0"/>
              <w:marTop w:val="0"/>
              <w:marBottom w:val="0"/>
              <w:divBdr>
                <w:top w:val="none" w:sz="0" w:space="0" w:color="auto"/>
                <w:left w:val="none" w:sz="0" w:space="0" w:color="auto"/>
                <w:bottom w:val="none" w:sz="0" w:space="0" w:color="auto"/>
                <w:right w:val="none" w:sz="0" w:space="0" w:color="auto"/>
              </w:divBdr>
            </w:div>
          </w:divsChild>
        </w:div>
        <w:div w:id="804398752">
          <w:marLeft w:val="0"/>
          <w:marRight w:val="0"/>
          <w:marTop w:val="0"/>
          <w:marBottom w:val="0"/>
          <w:divBdr>
            <w:top w:val="none" w:sz="0" w:space="0" w:color="auto"/>
            <w:left w:val="none" w:sz="0" w:space="0" w:color="auto"/>
            <w:bottom w:val="none" w:sz="0" w:space="0" w:color="auto"/>
            <w:right w:val="none" w:sz="0" w:space="0" w:color="auto"/>
          </w:divBdr>
        </w:div>
        <w:div w:id="869685771">
          <w:marLeft w:val="0"/>
          <w:marRight w:val="0"/>
          <w:marTop w:val="0"/>
          <w:marBottom w:val="0"/>
          <w:divBdr>
            <w:top w:val="none" w:sz="0" w:space="0" w:color="auto"/>
            <w:left w:val="none" w:sz="0" w:space="0" w:color="auto"/>
            <w:bottom w:val="none" w:sz="0" w:space="0" w:color="auto"/>
            <w:right w:val="none" w:sz="0" w:space="0" w:color="auto"/>
          </w:divBdr>
        </w:div>
        <w:div w:id="884683849">
          <w:marLeft w:val="0"/>
          <w:marRight w:val="0"/>
          <w:marTop w:val="0"/>
          <w:marBottom w:val="0"/>
          <w:divBdr>
            <w:top w:val="none" w:sz="0" w:space="0" w:color="auto"/>
            <w:left w:val="none" w:sz="0" w:space="0" w:color="auto"/>
            <w:bottom w:val="none" w:sz="0" w:space="0" w:color="auto"/>
            <w:right w:val="none" w:sz="0" w:space="0" w:color="auto"/>
          </w:divBdr>
        </w:div>
        <w:div w:id="925845696">
          <w:marLeft w:val="0"/>
          <w:marRight w:val="0"/>
          <w:marTop w:val="0"/>
          <w:marBottom w:val="0"/>
          <w:divBdr>
            <w:top w:val="none" w:sz="0" w:space="0" w:color="auto"/>
            <w:left w:val="none" w:sz="0" w:space="0" w:color="auto"/>
            <w:bottom w:val="none" w:sz="0" w:space="0" w:color="auto"/>
            <w:right w:val="none" w:sz="0" w:space="0" w:color="auto"/>
          </w:divBdr>
          <w:divsChild>
            <w:div w:id="117460317">
              <w:marLeft w:val="0"/>
              <w:marRight w:val="0"/>
              <w:marTop w:val="0"/>
              <w:marBottom w:val="0"/>
              <w:divBdr>
                <w:top w:val="none" w:sz="0" w:space="0" w:color="auto"/>
                <w:left w:val="none" w:sz="0" w:space="0" w:color="auto"/>
                <w:bottom w:val="none" w:sz="0" w:space="0" w:color="auto"/>
                <w:right w:val="none" w:sz="0" w:space="0" w:color="auto"/>
              </w:divBdr>
            </w:div>
            <w:div w:id="198975405">
              <w:marLeft w:val="0"/>
              <w:marRight w:val="0"/>
              <w:marTop w:val="0"/>
              <w:marBottom w:val="0"/>
              <w:divBdr>
                <w:top w:val="none" w:sz="0" w:space="0" w:color="auto"/>
                <w:left w:val="none" w:sz="0" w:space="0" w:color="auto"/>
                <w:bottom w:val="none" w:sz="0" w:space="0" w:color="auto"/>
                <w:right w:val="none" w:sz="0" w:space="0" w:color="auto"/>
              </w:divBdr>
            </w:div>
            <w:div w:id="574752497">
              <w:marLeft w:val="0"/>
              <w:marRight w:val="0"/>
              <w:marTop w:val="0"/>
              <w:marBottom w:val="0"/>
              <w:divBdr>
                <w:top w:val="none" w:sz="0" w:space="0" w:color="auto"/>
                <w:left w:val="none" w:sz="0" w:space="0" w:color="auto"/>
                <w:bottom w:val="none" w:sz="0" w:space="0" w:color="auto"/>
                <w:right w:val="none" w:sz="0" w:space="0" w:color="auto"/>
              </w:divBdr>
            </w:div>
            <w:div w:id="972910564">
              <w:marLeft w:val="0"/>
              <w:marRight w:val="0"/>
              <w:marTop w:val="0"/>
              <w:marBottom w:val="0"/>
              <w:divBdr>
                <w:top w:val="none" w:sz="0" w:space="0" w:color="auto"/>
                <w:left w:val="none" w:sz="0" w:space="0" w:color="auto"/>
                <w:bottom w:val="none" w:sz="0" w:space="0" w:color="auto"/>
                <w:right w:val="none" w:sz="0" w:space="0" w:color="auto"/>
              </w:divBdr>
            </w:div>
            <w:div w:id="981810986">
              <w:marLeft w:val="0"/>
              <w:marRight w:val="0"/>
              <w:marTop w:val="0"/>
              <w:marBottom w:val="0"/>
              <w:divBdr>
                <w:top w:val="none" w:sz="0" w:space="0" w:color="auto"/>
                <w:left w:val="none" w:sz="0" w:space="0" w:color="auto"/>
                <w:bottom w:val="none" w:sz="0" w:space="0" w:color="auto"/>
                <w:right w:val="none" w:sz="0" w:space="0" w:color="auto"/>
              </w:divBdr>
            </w:div>
            <w:div w:id="987126915">
              <w:marLeft w:val="0"/>
              <w:marRight w:val="0"/>
              <w:marTop w:val="0"/>
              <w:marBottom w:val="0"/>
              <w:divBdr>
                <w:top w:val="none" w:sz="0" w:space="0" w:color="auto"/>
                <w:left w:val="none" w:sz="0" w:space="0" w:color="auto"/>
                <w:bottom w:val="none" w:sz="0" w:space="0" w:color="auto"/>
                <w:right w:val="none" w:sz="0" w:space="0" w:color="auto"/>
              </w:divBdr>
            </w:div>
            <w:div w:id="1127161975">
              <w:marLeft w:val="0"/>
              <w:marRight w:val="0"/>
              <w:marTop w:val="0"/>
              <w:marBottom w:val="0"/>
              <w:divBdr>
                <w:top w:val="none" w:sz="0" w:space="0" w:color="auto"/>
                <w:left w:val="none" w:sz="0" w:space="0" w:color="auto"/>
                <w:bottom w:val="none" w:sz="0" w:space="0" w:color="auto"/>
                <w:right w:val="none" w:sz="0" w:space="0" w:color="auto"/>
              </w:divBdr>
            </w:div>
            <w:div w:id="1455906601">
              <w:marLeft w:val="0"/>
              <w:marRight w:val="0"/>
              <w:marTop w:val="0"/>
              <w:marBottom w:val="0"/>
              <w:divBdr>
                <w:top w:val="none" w:sz="0" w:space="0" w:color="auto"/>
                <w:left w:val="none" w:sz="0" w:space="0" w:color="auto"/>
                <w:bottom w:val="none" w:sz="0" w:space="0" w:color="auto"/>
                <w:right w:val="none" w:sz="0" w:space="0" w:color="auto"/>
              </w:divBdr>
            </w:div>
            <w:div w:id="1675298067">
              <w:marLeft w:val="0"/>
              <w:marRight w:val="0"/>
              <w:marTop w:val="0"/>
              <w:marBottom w:val="0"/>
              <w:divBdr>
                <w:top w:val="none" w:sz="0" w:space="0" w:color="auto"/>
                <w:left w:val="none" w:sz="0" w:space="0" w:color="auto"/>
                <w:bottom w:val="none" w:sz="0" w:space="0" w:color="auto"/>
                <w:right w:val="none" w:sz="0" w:space="0" w:color="auto"/>
              </w:divBdr>
            </w:div>
            <w:div w:id="1796563764">
              <w:marLeft w:val="0"/>
              <w:marRight w:val="0"/>
              <w:marTop w:val="0"/>
              <w:marBottom w:val="0"/>
              <w:divBdr>
                <w:top w:val="none" w:sz="0" w:space="0" w:color="auto"/>
                <w:left w:val="none" w:sz="0" w:space="0" w:color="auto"/>
                <w:bottom w:val="none" w:sz="0" w:space="0" w:color="auto"/>
                <w:right w:val="none" w:sz="0" w:space="0" w:color="auto"/>
              </w:divBdr>
            </w:div>
            <w:div w:id="2126924718">
              <w:marLeft w:val="0"/>
              <w:marRight w:val="0"/>
              <w:marTop w:val="0"/>
              <w:marBottom w:val="0"/>
              <w:divBdr>
                <w:top w:val="none" w:sz="0" w:space="0" w:color="auto"/>
                <w:left w:val="none" w:sz="0" w:space="0" w:color="auto"/>
                <w:bottom w:val="none" w:sz="0" w:space="0" w:color="auto"/>
                <w:right w:val="none" w:sz="0" w:space="0" w:color="auto"/>
              </w:divBdr>
            </w:div>
          </w:divsChild>
        </w:div>
        <w:div w:id="967010189">
          <w:marLeft w:val="0"/>
          <w:marRight w:val="0"/>
          <w:marTop w:val="0"/>
          <w:marBottom w:val="0"/>
          <w:divBdr>
            <w:top w:val="none" w:sz="0" w:space="0" w:color="auto"/>
            <w:left w:val="none" w:sz="0" w:space="0" w:color="auto"/>
            <w:bottom w:val="none" w:sz="0" w:space="0" w:color="auto"/>
            <w:right w:val="none" w:sz="0" w:space="0" w:color="auto"/>
          </w:divBdr>
        </w:div>
        <w:div w:id="1039626092">
          <w:marLeft w:val="0"/>
          <w:marRight w:val="0"/>
          <w:marTop w:val="0"/>
          <w:marBottom w:val="0"/>
          <w:divBdr>
            <w:top w:val="none" w:sz="0" w:space="0" w:color="auto"/>
            <w:left w:val="none" w:sz="0" w:space="0" w:color="auto"/>
            <w:bottom w:val="none" w:sz="0" w:space="0" w:color="auto"/>
            <w:right w:val="none" w:sz="0" w:space="0" w:color="auto"/>
          </w:divBdr>
        </w:div>
        <w:div w:id="1381786539">
          <w:marLeft w:val="0"/>
          <w:marRight w:val="0"/>
          <w:marTop w:val="0"/>
          <w:marBottom w:val="0"/>
          <w:divBdr>
            <w:top w:val="none" w:sz="0" w:space="0" w:color="auto"/>
            <w:left w:val="none" w:sz="0" w:space="0" w:color="auto"/>
            <w:bottom w:val="none" w:sz="0" w:space="0" w:color="auto"/>
            <w:right w:val="none" w:sz="0" w:space="0" w:color="auto"/>
          </w:divBdr>
        </w:div>
        <w:div w:id="1528447651">
          <w:marLeft w:val="0"/>
          <w:marRight w:val="0"/>
          <w:marTop w:val="0"/>
          <w:marBottom w:val="0"/>
          <w:divBdr>
            <w:top w:val="none" w:sz="0" w:space="0" w:color="auto"/>
            <w:left w:val="none" w:sz="0" w:space="0" w:color="auto"/>
            <w:bottom w:val="none" w:sz="0" w:space="0" w:color="auto"/>
            <w:right w:val="none" w:sz="0" w:space="0" w:color="auto"/>
          </w:divBdr>
        </w:div>
        <w:div w:id="1666469233">
          <w:marLeft w:val="0"/>
          <w:marRight w:val="0"/>
          <w:marTop w:val="0"/>
          <w:marBottom w:val="0"/>
          <w:divBdr>
            <w:top w:val="none" w:sz="0" w:space="0" w:color="auto"/>
            <w:left w:val="none" w:sz="0" w:space="0" w:color="auto"/>
            <w:bottom w:val="none" w:sz="0" w:space="0" w:color="auto"/>
            <w:right w:val="none" w:sz="0" w:space="0" w:color="auto"/>
          </w:divBdr>
        </w:div>
        <w:div w:id="1772360473">
          <w:marLeft w:val="0"/>
          <w:marRight w:val="0"/>
          <w:marTop w:val="0"/>
          <w:marBottom w:val="0"/>
          <w:divBdr>
            <w:top w:val="none" w:sz="0" w:space="0" w:color="auto"/>
            <w:left w:val="none" w:sz="0" w:space="0" w:color="auto"/>
            <w:bottom w:val="none" w:sz="0" w:space="0" w:color="auto"/>
            <w:right w:val="none" w:sz="0" w:space="0" w:color="auto"/>
          </w:divBdr>
        </w:div>
        <w:div w:id="1789931983">
          <w:marLeft w:val="0"/>
          <w:marRight w:val="0"/>
          <w:marTop w:val="0"/>
          <w:marBottom w:val="0"/>
          <w:divBdr>
            <w:top w:val="none" w:sz="0" w:space="0" w:color="auto"/>
            <w:left w:val="none" w:sz="0" w:space="0" w:color="auto"/>
            <w:bottom w:val="none" w:sz="0" w:space="0" w:color="auto"/>
            <w:right w:val="none" w:sz="0" w:space="0" w:color="auto"/>
          </w:divBdr>
        </w:div>
        <w:div w:id="1916163188">
          <w:marLeft w:val="0"/>
          <w:marRight w:val="0"/>
          <w:marTop w:val="0"/>
          <w:marBottom w:val="0"/>
          <w:divBdr>
            <w:top w:val="none" w:sz="0" w:space="0" w:color="auto"/>
            <w:left w:val="none" w:sz="0" w:space="0" w:color="auto"/>
            <w:bottom w:val="none" w:sz="0" w:space="0" w:color="auto"/>
            <w:right w:val="none" w:sz="0" w:space="0" w:color="auto"/>
          </w:divBdr>
        </w:div>
        <w:div w:id="2065134584">
          <w:marLeft w:val="0"/>
          <w:marRight w:val="0"/>
          <w:marTop w:val="0"/>
          <w:marBottom w:val="0"/>
          <w:divBdr>
            <w:top w:val="none" w:sz="0" w:space="0" w:color="auto"/>
            <w:left w:val="none" w:sz="0" w:space="0" w:color="auto"/>
            <w:bottom w:val="none" w:sz="0" w:space="0" w:color="auto"/>
            <w:right w:val="none" w:sz="0" w:space="0" w:color="auto"/>
          </w:divBdr>
        </w:div>
        <w:div w:id="2072003300">
          <w:marLeft w:val="0"/>
          <w:marRight w:val="0"/>
          <w:marTop w:val="0"/>
          <w:marBottom w:val="0"/>
          <w:divBdr>
            <w:top w:val="none" w:sz="0" w:space="0" w:color="auto"/>
            <w:left w:val="none" w:sz="0" w:space="0" w:color="auto"/>
            <w:bottom w:val="none" w:sz="0" w:space="0" w:color="auto"/>
            <w:right w:val="none" w:sz="0" w:space="0" w:color="auto"/>
          </w:divBdr>
        </w:div>
        <w:div w:id="2127191583">
          <w:marLeft w:val="0"/>
          <w:marRight w:val="0"/>
          <w:marTop w:val="0"/>
          <w:marBottom w:val="0"/>
          <w:divBdr>
            <w:top w:val="none" w:sz="0" w:space="0" w:color="auto"/>
            <w:left w:val="none" w:sz="0" w:space="0" w:color="auto"/>
            <w:bottom w:val="none" w:sz="0" w:space="0" w:color="auto"/>
            <w:right w:val="none" w:sz="0" w:space="0" w:color="auto"/>
          </w:divBdr>
        </w:div>
      </w:divsChild>
    </w:div>
    <w:div w:id="1424953255">
      <w:bodyDiv w:val="1"/>
      <w:marLeft w:val="0"/>
      <w:marRight w:val="0"/>
      <w:marTop w:val="0"/>
      <w:marBottom w:val="0"/>
      <w:divBdr>
        <w:top w:val="none" w:sz="0" w:space="0" w:color="auto"/>
        <w:left w:val="none" w:sz="0" w:space="0" w:color="auto"/>
        <w:bottom w:val="none" w:sz="0" w:space="0" w:color="auto"/>
        <w:right w:val="none" w:sz="0" w:space="0" w:color="auto"/>
      </w:divBdr>
    </w:div>
    <w:div w:id="1443921207">
      <w:bodyDiv w:val="1"/>
      <w:marLeft w:val="0"/>
      <w:marRight w:val="0"/>
      <w:marTop w:val="0"/>
      <w:marBottom w:val="0"/>
      <w:divBdr>
        <w:top w:val="none" w:sz="0" w:space="0" w:color="auto"/>
        <w:left w:val="none" w:sz="0" w:space="0" w:color="auto"/>
        <w:bottom w:val="none" w:sz="0" w:space="0" w:color="auto"/>
        <w:right w:val="none" w:sz="0" w:space="0" w:color="auto"/>
      </w:divBdr>
      <w:divsChild>
        <w:div w:id="38743400">
          <w:marLeft w:val="0"/>
          <w:marRight w:val="0"/>
          <w:marTop w:val="0"/>
          <w:marBottom w:val="0"/>
          <w:divBdr>
            <w:top w:val="none" w:sz="0" w:space="0" w:color="auto"/>
            <w:left w:val="none" w:sz="0" w:space="0" w:color="auto"/>
            <w:bottom w:val="none" w:sz="0" w:space="0" w:color="auto"/>
            <w:right w:val="none" w:sz="0" w:space="0" w:color="auto"/>
          </w:divBdr>
        </w:div>
        <w:div w:id="83766794">
          <w:marLeft w:val="0"/>
          <w:marRight w:val="0"/>
          <w:marTop w:val="0"/>
          <w:marBottom w:val="0"/>
          <w:divBdr>
            <w:top w:val="none" w:sz="0" w:space="0" w:color="auto"/>
            <w:left w:val="none" w:sz="0" w:space="0" w:color="auto"/>
            <w:bottom w:val="none" w:sz="0" w:space="0" w:color="auto"/>
            <w:right w:val="none" w:sz="0" w:space="0" w:color="auto"/>
          </w:divBdr>
        </w:div>
        <w:div w:id="158230819">
          <w:marLeft w:val="0"/>
          <w:marRight w:val="0"/>
          <w:marTop w:val="0"/>
          <w:marBottom w:val="0"/>
          <w:divBdr>
            <w:top w:val="none" w:sz="0" w:space="0" w:color="auto"/>
            <w:left w:val="none" w:sz="0" w:space="0" w:color="auto"/>
            <w:bottom w:val="none" w:sz="0" w:space="0" w:color="auto"/>
            <w:right w:val="none" w:sz="0" w:space="0" w:color="auto"/>
          </w:divBdr>
        </w:div>
        <w:div w:id="172457342">
          <w:marLeft w:val="0"/>
          <w:marRight w:val="0"/>
          <w:marTop w:val="0"/>
          <w:marBottom w:val="0"/>
          <w:divBdr>
            <w:top w:val="none" w:sz="0" w:space="0" w:color="auto"/>
            <w:left w:val="none" w:sz="0" w:space="0" w:color="auto"/>
            <w:bottom w:val="none" w:sz="0" w:space="0" w:color="auto"/>
            <w:right w:val="none" w:sz="0" w:space="0" w:color="auto"/>
          </w:divBdr>
        </w:div>
        <w:div w:id="189926712">
          <w:marLeft w:val="0"/>
          <w:marRight w:val="0"/>
          <w:marTop w:val="0"/>
          <w:marBottom w:val="0"/>
          <w:divBdr>
            <w:top w:val="none" w:sz="0" w:space="0" w:color="auto"/>
            <w:left w:val="none" w:sz="0" w:space="0" w:color="auto"/>
            <w:bottom w:val="none" w:sz="0" w:space="0" w:color="auto"/>
            <w:right w:val="none" w:sz="0" w:space="0" w:color="auto"/>
          </w:divBdr>
        </w:div>
        <w:div w:id="331954651">
          <w:marLeft w:val="0"/>
          <w:marRight w:val="0"/>
          <w:marTop w:val="0"/>
          <w:marBottom w:val="0"/>
          <w:divBdr>
            <w:top w:val="none" w:sz="0" w:space="0" w:color="auto"/>
            <w:left w:val="none" w:sz="0" w:space="0" w:color="auto"/>
            <w:bottom w:val="none" w:sz="0" w:space="0" w:color="auto"/>
            <w:right w:val="none" w:sz="0" w:space="0" w:color="auto"/>
          </w:divBdr>
        </w:div>
        <w:div w:id="581641529">
          <w:marLeft w:val="0"/>
          <w:marRight w:val="0"/>
          <w:marTop w:val="0"/>
          <w:marBottom w:val="0"/>
          <w:divBdr>
            <w:top w:val="none" w:sz="0" w:space="0" w:color="auto"/>
            <w:left w:val="none" w:sz="0" w:space="0" w:color="auto"/>
            <w:bottom w:val="none" w:sz="0" w:space="0" w:color="auto"/>
            <w:right w:val="none" w:sz="0" w:space="0" w:color="auto"/>
          </w:divBdr>
        </w:div>
        <w:div w:id="610548877">
          <w:marLeft w:val="0"/>
          <w:marRight w:val="0"/>
          <w:marTop w:val="0"/>
          <w:marBottom w:val="0"/>
          <w:divBdr>
            <w:top w:val="none" w:sz="0" w:space="0" w:color="auto"/>
            <w:left w:val="none" w:sz="0" w:space="0" w:color="auto"/>
            <w:bottom w:val="none" w:sz="0" w:space="0" w:color="auto"/>
            <w:right w:val="none" w:sz="0" w:space="0" w:color="auto"/>
          </w:divBdr>
        </w:div>
        <w:div w:id="627013795">
          <w:marLeft w:val="0"/>
          <w:marRight w:val="0"/>
          <w:marTop w:val="0"/>
          <w:marBottom w:val="0"/>
          <w:divBdr>
            <w:top w:val="none" w:sz="0" w:space="0" w:color="auto"/>
            <w:left w:val="none" w:sz="0" w:space="0" w:color="auto"/>
            <w:bottom w:val="none" w:sz="0" w:space="0" w:color="auto"/>
            <w:right w:val="none" w:sz="0" w:space="0" w:color="auto"/>
          </w:divBdr>
        </w:div>
        <w:div w:id="664549452">
          <w:marLeft w:val="0"/>
          <w:marRight w:val="0"/>
          <w:marTop w:val="0"/>
          <w:marBottom w:val="0"/>
          <w:divBdr>
            <w:top w:val="none" w:sz="0" w:space="0" w:color="auto"/>
            <w:left w:val="none" w:sz="0" w:space="0" w:color="auto"/>
            <w:bottom w:val="none" w:sz="0" w:space="0" w:color="auto"/>
            <w:right w:val="none" w:sz="0" w:space="0" w:color="auto"/>
          </w:divBdr>
        </w:div>
        <w:div w:id="883247565">
          <w:marLeft w:val="0"/>
          <w:marRight w:val="0"/>
          <w:marTop w:val="0"/>
          <w:marBottom w:val="0"/>
          <w:divBdr>
            <w:top w:val="none" w:sz="0" w:space="0" w:color="auto"/>
            <w:left w:val="none" w:sz="0" w:space="0" w:color="auto"/>
            <w:bottom w:val="none" w:sz="0" w:space="0" w:color="auto"/>
            <w:right w:val="none" w:sz="0" w:space="0" w:color="auto"/>
          </w:divBdr>
        </w:div>
        <w:div w:id="977610016">
          <w:marLeft w:val="0"/>
          <w:marRight w:val="0"/>
          <w:marTop w:val="0"/>
          <w:marBottom w:val="0"/>
          <w:divBdr>
            <w:top w:val="none" w:sz="0" w:space="0" w:color="auto"/>
            <w:left w:val="none" w:sz="0" w:space="0" w:color="auto"/>
            <w:bottom w:val="none" w:sz="0" w:space="0" w:color="auto"/>
            <w:right w:val="none" w:sz="0" w:space="0" w:color="auto"/>
          </w:divBdr>
        </w:div>
        <w:div w:id="1087269449">
          <w:marLeft w:val="0"/>
          <w:marRight w:val="0"/>
          <w:marTop w:val="0"/>
          <w:marBottom w:val="0"/>
          <w:divBdr>
            <w:top w:val="none" w:sz="0" w:space="0" w:color="auto"/>
            <w:left w:val="none" w:sz="0" w:space="0" w:color="auto"/>
            <w:bottom w:val="none" w:sz="0" w:space="0" w:color="auto"/>
            <w:right w:val="none" w:sz="0" w:space="0" w:color="auto"/>
          </w:divBdr>
        </w:div>
        <w:div w:id="1181427861">
          <w:marLeft w:val="0"/>
          <w:marRight w:val="0"/>
          <w:marTop w:val="0"/>
          <w:marBottom w:val="0"/>
          <w:divBdr>
            <w:top w:val="none" w:sz="0" w:space="0" w:color="auto"/>
            <w:left w:val="none" w:sz="0" w:space="0" w:color="auto"/>
            <w:bottom w:val="none" w:sz="0" w:space="0" w:color="auto"/>
            <w:right w:val="none" w:sz="0" w:space="0" w:color="auto"/>
          </w:divBdr>
        </w:div>
        <w:div w:id="1309432470">
          <w:marLeft w:val="0"/>
          <w:marRight w:val="0"/>
          <w:marTop w:val="0"/>
          <w:marBottom w:val="0"/>
          <w:divBdr>
            <w:top w:val="none" w:sz="0" w:space="0" w:color="auto"/>
            <w:left w:val="none" w:sz="0" w:space="0" w:color="auto"/>
            <w:bottom w:val="none" w:sz="0" w:space="0" w:color="auto"/>
            <w:right w:val="none" w:sz="0" w:space="0" w:color="auto"/>
          </w:divBdr>
        </w:div>
        <w:div w:id="1385063531">
          <w:marLeft w:val="0"/>
          <w:marRight w:val="0"/>
          <w:marTop w:val="0"/>
          <w:marBottom w:val="0"/>
          <w:divBdr>
            <w:top w:val="none" w:sz="0" w:space="0" w:color="auto"/>
            <w:left w:val="none" w:sz="0" w:space="0" w:color="auto"/>
            <w:bottom w:val="none" w:sz="0" w:space="0" w:color="auto"/>
            <w:right w:val="none" w:sz="0" w:space="0" w:color="auto"/>
          </w:divBdr>
        </w:div>
        <w:div w:id="1525096845">
          <w:marLeft w:val="0"/>
          <w:marRight w:val="0"/>
          <w:marTop w:val="0"/>
          <w:marBottom w:val="0"/>
          <w:divBdr>
            <w:top w:val="none" w:sz="0" w:space="0" w:color="auto"/>
            <w:left w:val="none" w:sz="0" w:space="0" w:color="auto"/>
            <w:bottom w:val="none" w:sz="0" w:space="0" w:color="auto"/>
            <w:right w:val="none" w:sz="0" w:space="0" w:color="auto"/>
          </w:divBdr>
        </w:div>
        <w:div w:id="1617757665">
          <w:marLeft w:val="0"/>
          <w:marRight w:val="0"/>
          <w:marTop w:val="0"/>
          <w:marBottom w:val="0"/>
          <w:divBdr>
            <w:top w:val="none" w:sz="0" w:space="0" w:color="auto"/>
            <w:left w:val="none" w:sz="0" w:space="0" w:color="auto"/>
            <w:bottom w:val="none" w:sz="0" w:space="0" w:color="auto"/>
            <w:right w:val="none" w:sz="0" w:space="0" w:color="auto"/>
          </w:divBdr>
        </w:div>
        <w:div w:id="1851721779">
          <w:marLeft w:val="0"/>
          <w:marRight w:val="0"/>
          <w:marTop w:val="0"/>
          <w:marBottom w:val="0"/>
          <w:divBdr>
            <w:top w:val="none" w:sz="0" w:space="0" w:color="auto"/>
            <w:left w:val="none" w:sz="0" w:space="0" w:color="auto"/>
            <w:bottom w:val="none" w:sz="0" w:space="0" w:color="auto"/>
            <w:right w:val="none" w:sz="0" w:space="0" w:color="auto"/>
          </w:divBdr>
        </w:div>
        <w:div w:id="2068722383">
          <w:marLeft w:val="0"/>
          <w:marRight w:val="0"/>
          <w:marTop w:val="0"/>
          <w:marBottom w:val="0"/>
          <w:divBdr>
            <w:top w:val="none" w:sz="0" w:space="0" w:color="auto"/>
            <w:left w:val="none" w:sz="0" w:space="0" w:color="auto"/>
            <w:bottom w:val="none" w:sz="0" w:space="0" w:color="auto"/>
            <w:right w:val="none" w:sz="0" w:space="0" w:color="auto"/>
          </w:divBdr>
        </w:div>
      </w:divsChild>
    </w:div>
    <w:div w:id="1455055051">
      <w:bodyDiv w:val="1"/>
      <w:marLeft w:val="0"/>
      <w:marRight w:val="0"/>
      <w:marTop w:val="0"/>
      <w:marBottom w:val="0"/>
      <w:divBdr>
        <w:top w:val="none" w:sz="0" w:space="0" w:color="auto"/>
        <w:left w:val="none" w:sz="0" w:space="0" w:color="auto"/>
        <w:bottom w:val="none" w:sz="0" w:space="0" w:color="auto"/>
        <w:right w:val="none" w:sz="0" w:space="0" w:color="auto"/>
      </w:divBdr>
    </w:div>
    <w:div w:id="1458835210">
      <w:bodyDiv w:val="1"/>
      <w:marLeft w:val="0"/>
      <w:marRight w:val="0"/>
      <w:marTop w:val="0"/>
      <w:marBottom w:val="0"/>
      <w:divBdr>
        <w:top w:val="none" w:sz="0" w:space="0" w:color="auto"/>
        <w:left w:val="none" w:sz="0" w:space="0" w:color="auto"/>
        <w:bottom w:val="none" w:sz="0" w:space="0" w:color="auto"/>
        <w:right w:val="none" w:sz="0" w:space="0" w:color="auto"/>
      </w:divBdr>
    </w:div>
    <w:div w:id="1458989804">
      <w:bodyDiv w:val="1"/>
      <w:marLeft w:val="0"/>
      <w:marRight w:val="0"/>
      <w:marTop w:val="0"/>
      <w:marBottom w:val="0"/>
      <w:divBdr>
        <w:top w:val="none" w:sz="0" w:space="0" w:color="auto"/>
        <w:left w:val="none" w:sz="0" w:space="0" w:color="auto"/>
        <w:bottom w:val="none" w:sz="0" w:space="0" w:color="auto"/>
        <w:right w:val="none" w:sz="0" w:space="0" w:color="auto"/>
      </w:divBdr>
      <w:divsChild>
        <w:div w:id="214237939">
          <w:marLeft w:val="0"/>
          <w:marRight w:val="0"/>
          <w:marTop w:val="0"/>
          <w:marBottom w:val="0"/>
          <w:divBdr>
            <w:top w:val="none" w:sz="0" w:space="0" w:color="auto"/>
            <w:left w:val="none" w:sz="0" w:space="0" w:color="auto"/>
            <w:bottom w:val="none" w:sz="0" w:space="0" w:color="auto"/>
            <w:right w:val="none" w:sz="0" w:space="0" w:color="auto"/>
          </w:divBdr>
        </w:div>
        <w:div w:id="343215239">
          <w:marLeft w:val="0"/>
          <w:marRight w:val="0"/>
          <w:marTop w:val="0"/>
          <w:marBottom w:val="0"/>
          <w:divBdr>
            <w:top w:val="none" w:sz="0" w:space="0" w:color="auto"/>
            <w:left w:val="none" w:sz="0" w:space="0" w:color="auto"/>
            <w:bottom w:val="none" w:sz="0" w:space="0" w:color="auto"/>
            <w:right w:val="none" w:sz="0" w:space="0" w:color="auto"/>
          </w:divBdr>
          <w:divsChild>
            <w:div w:id="873031943">
              <w:marLeft w:val="0"/>
              <w:marRight w:val="0"/>
              <w:marTop w:val="0"/>
              <w:marBottom w:val="0"/>
              <w:divBdr>
                <w:top w:val="none" w:sz="0" w:space="0" w:color="auto"/>
                <w:left w:val="none" w:sz="0" w:space="0" w:color="auto"/>
                <w:bottom w:val="none" w:sz="0" w:space="0" w:color="auto"/>
                <w:right w:val="none" w:sz="0" w:space="0" w:color="auto"/>
              </w:divBdr>
            </w:div>
            <w:div w:id="1102065748">
              <w:marLeft w:val="0"/>
              <w:marRight w:val="0"/>
              <w:marTop w:val="0"/>
              <w:marBottom w:val="0"/>
              <w:divBdr>
                <w:top w:val="none" w:sz="0" w:space="0" w:color="auto"/>
                <w:left w:val="none" w:sz="0" w:space="0" w:color="auto"/>
                <w:bottom w:val="none" w:sz="0" w:space="0" w:color="auto"/>
                <w:right w:val="none" w:sz="0" w:space="0" w:color="auto"/>
              </w:divBdr>
            </w:div>
            <w:div w:id="1294405367">
              <w:marLeft w:val="0"/>
              <w:marRight w:val="0"/>
              <w:marTop w:val="0"/>
              <w:marBottom w:val="0"/>
              <w:divBdr>
                <w:top w:val="none" w:sz="0" w:space="0" w:color="auto"/>
                <w:left w:val="none" w:sz="0" w:space="0" w:color="auto"/>
                <w:bottom w:val="none" w:sz="0" w:space="0" w:color="auto"/>
                <w:right w:val="none" w:sz="0" w:space="0" w:color="auto"/>
              </w:divBdr>
            </w:div>
            <w:div w:id="1754811557">
              <w:marLeft w:val="0"/>
              <w:marRight w:val="0"/>
              <w:marTop w:val="0"/>
              <w:marBottom w:val="0"/>
              <w:divBdr>
                <w:top w:val="none" w:sz="0" w:space="0" w:color="auto"/>
                <w:left w:val="none" w:sz="0" w:space="0" w:color="auto"/>
                <w:bottom w:val="none" w:sz="0" w:space="0" w:color="auto"/>
                <w:right w:val="none" w:sz="0" w:space="0" w:color="auto"/>
              </w:divBdr>
            </w:div>
            <w:div w:id="1819612807">
              <w:marLeft w:val="0"/>
              <w:marRight w:val="0"/>
              <w:marTop w:val="0"/>
              <w:marBottom w:val="0"/>
              <w:divBdr>
                <w:top w:val="none" w:sz="0" w:space="0" w:color="auto"/>
                <w:left w:val="none" w:sz="0" w:space="0" w:color="auto"/>
                <w:bottom w:val="none" w:sz="0" w:space="0" w:color="auto"/>
                <w:right w:val="none" w:sz="0" w:space="0" w:color="auto"/>
              </w:divBdr>
            </w:div>
          </w:divsChild>
        </w:div>
        <w:div w:id="509371041">
          <w:marLeft w:val="0"/>
          <w:marRight w:val="0"/>
          <w:marTop w:val="0"/>
          <w:marBottom w:val="0"/>
          <w:divBdr>
            <w:top w:val="none" w:sz="0" w:space="0" w:color="auto"/>
            <w:left w:val="none" w:sz="0" w:space="0" w:color="auto"/>
            <w:bottom w:val="none" w:sz="0" w:space="0" w:color="auto"/>
            <w:right w:val="none" w:sz="0" w:space="0" w:color="auto"/>
          </w:divBdr>
          <w:divsChild>
            <w:div w:id="373425443">
              <w:marLeft w:val="0"/>
              <w:marRight w:val="0"/>
              <w:marTop w:val="0"/>
              <w:marBottom w:val="0"/>
              <w:divBdr>
                <w:top w:val="none" w:sz="0" w:space="0" w:color="auto"/>
                <w:left w:val="none" w:sz="0" w:space="0" w:color="auto"/>
                <w:bottom w:val="none" w:sz="0" w:space="0" w:color="auto"/>
                <w:right w:val="none" w:sz="0" w:space="0" w:color="auto"/>
              </w:divBdr>
            </w:div>
            <w:div w:id="443503994">
              <w:marLeft w:val="0"/>
              <w:marRight w:val="0"/>
              <w:marTop w:val="0"/>
              <w:marBottom w:val="0"/>
              <w:divBdr>
                <w:top w:val="none" w:sz="0" w:space="0" w:color="auto"/>
                <w:left w:val="none" w:sz="0" w:space="0" w:color="auto"/>
                <w:bottom w:val="none" w:sz="0" w:space="0" w:color="auto"/>
                <w:right w:val="none" w:sz="0" w:space="0" w:color="auto"/>
              </w:divBdr>
            </w:div>
            <w:div w:id="1022317381">
              <w:marLeft w:val="0"/>
              <w:marRight w:val="0"/>
              <w:marTop w:val="0"/>
              <w:marBottom w:val="0"/>
              <w:divBdr>
                <w:top w:val="none" w:sz="0" w:space="0" w:color="auto"/>
                <w:left w:val="none" w:sz="0" w:space="0" w:color="auto"/>
                <w:bottom w:val="none" w:sz="0" w:space="0" w:color="auto"/>
                <w:right w:val="none" w:sz="0" w:space="0" w:color="auto"/>
              </w:divBdr>
            </w:div>
          </w:divsChild>
        </w:div>
        <w:div w:id="1022780981">
          <w:marLeft w:val="0"/>
          <w:marRight w:val="0"/>
          <w:marTop w:val="0"/>
          <w:marBottom w:val="0"/>
          <w:divBdr>
            <w:top w:val="none" w:sz="0" w:space="0" w:color="auto"/>
            <w:left w:val="none" w:sz="0" w:space="0" w:color="auto"/>
            <w:bottom w:val="none" w:sz="0" w:space="0" w:color="auto"/>
            <w:right w:val="none" w:sz="0" w:space="0" w:color="auto"/>
          </w:divBdr>
        </w:div>
        <w:div w:id="1496460400">
          <w:marLeft w:val="0"/>
          <w:marRight w:val="0"/>
          <w:marTop w:val="0"/>
          <w:marBottom w:val="0"/>
          <w:divBdr>
            <w:top w:val="none" w:sz="0" w:space="0" w:color="auto"/>
            <w:left w:val="none" w:sz="0" w:space="0" w:color="auto"/>
            <w:bottom w:val="none" w:sz="0" w:space="0" w:color="auto"/>
            <w:right w:val="none" w:sz="0" w:space="0" w:color="auto"/>
          </w:divBdr>
        </w:div>
        <w:div w:id="1713846436">
          <w:marLeft w:val="0"/>
          <w:marRight w:val="0"/>
          <w:marTop w:val="0"/>
          <w:marBottom w:val="0"/>
          <w:divBdr>
            <w:top w:val="none" w:sz="0" w:space="0" w:color="auto"/>
            <w:left w:val="none" w:sz="0" w:space="0" w:color="auto"/>
            <w:bottom w:val="none" w:sz="0" w:space="0" w:color="auto"/>
            <w:right w:val="none" w:sz="0" w:space="0" w:color="auto"/>
          </w:divBdr>
        </w:div>
      </w:divsChild>
    </w:div>
    <w:div w:id="1462723722">
      <w:bodyDiv w:val="1"/>
      <w:marLeft w:val="0"/>
      <w:marRight w:val="0"/>
      <w:marTop w:val="0"/>
      <w:marBottom w:val="0"/>
      <w:divBdr>
        <w:top w:val="none" w:sz="0" w:space="0" w:color="auto"/>
        <w:left w:val="none" w:sz="0" w:space="0" w:color="auto"/>
        <w:bottom w:val="none" w:sz="0" w:space="0" w:color="auto"/>
        <w:right w:val="none" w:sz="0" w:space="0" w:color="auto"/>
      </w:divBdr>
    </w:div>
    <w:div w:id="1464497488">
      <w:bodyDiv w:val="1"/>
      <w:marLeft w:val="0"/>
      <w:marRight w:val="0"/>
      <w:marTop w:val="0"/>
      <w:marBottom w:val="0"/>
      <w:divBdr>
        <w:top w:val="none" w:sz="0" w:space="0" w:color="auto"/>
        <w:left w:val="none" w:sz="0" w:space="0" w:color="auto"/>
        <w:bottom w:val="none" w:sz="0" w:space="0" w:color="auto"/>
        <w:right w:val="none" w:sz="0" w:space="0" w:color="auto"/>
      </w:divBdr>
      <w:divsChild>
        <w:div w:id="360592713">
          <w:marLeft w:val="0"/>
          <w:marRight w:val="0"/>
          <w:marTop w:val="0"/>
          <w:marBottom w:val="0"/>
          <w:divBdr>
            <w:top w:val="none" w:sz="0" w:space="0" w:color="auto"/>
            <w:left w:val="none" w:sz="0" w:space="0" w:color="auto"/>
            <w:bottom w:val="none" w:sz="0" w:space="0" w:color="auto"/>
            <w:right w:val="none" w:sz="0" w:space="0" w:color="auto"/>
          </w:divBdr>
        </w:div>
        <w:div w:id="1168521654">
          <w:marLeft w:val="0"/>
          <w:marRight w:val="0"/>
          <w:marTop w:val="0"/>
          <w:marBottom w:val="0"/>
          <w:divBdr>
            <w:top w:val="none" w:sz="0" w:space="0" w:color="auto"/>
            <w:left w:val="none" w:sz="0" w:space="0" w:color="auto"/>
            <w:bottom w:val="none" w:sz="0" w:space="0" w:color="auto"/>
            <w:right w:val="none" w:sz="0" w:space="0" w:color="auto"/>
          </w:divBdr>
        </w:div>
        <w:div w:id="1466047855">
          <w:marLeft w:val="0"/>
          <w:marRight w:val="0"/>
          <w:marTop w:val="0"/>
          <w:marBottom w:val="0"/>
          <w:divBdr>
            <w:top w:val="none" w:sz="0" w:space="0" w:color="auto"/>
            <w:left w:val="none" w:sz="0" w:space="0" w:color="auto"/>
            <w:bottom w:val="none" w:sz="0" w:space="0" w:color="auto"/>
            <w:right w:val="none" w:sz="0" w:space="0" w:color="auto"/>
          </w:divBdr>
        </w:div>
        <w:div w:id="1938781862">
          <w:marLeft w:val="0"/>
          <w:marRight w:val="0"/>
          <w:marTop w:val="0"/>
          <w:marBottom w:val="0"/>
          <w:divBdr>
            <w:top w:val="none" w:sz="0" w:space="0" w:color="auto"/>
            <w:left w:val="none" w:sz="0" w:space="0" w:color="auto"/>
            <w:bottom w:val="none" w:sz="0" w:space="0" w:color="auto"/>
            <w:right w:val="none" w:sz="0" w:space="0" w:color="auto"/>
          </w:divBdr>
        </w:div>
      </w:divsChild>
    </w:div>
    <w:div w:id="1470711039">
      <w:bodyDiv w:val="1"/>
      <w:marLeft w:val="0"/>
      <w:marRight w:val="0"/>
      <w:marTop w:val="0"/>
      <w:marBottom w:val="0"/>
      <w:divBdr>
        <w:top w:val="none" w:sz="0" w:space="0" w:color="auto"/>
        <w:left w:val="none" w:sz="0" w:space="0" w:color="auto"/>
        <w:bottom w:val="none" w:sz="0" w:space="0" w:color="auto"/>
        <w:right w:val="none" w:sz="0" w:space="0" w:color="auto"/>
      </w:divBdr>
    </w:div>
    <w:div w:id="1488087687">
      <w:bodyDiv w:val="1"/>
      <w:marLeft w:val="0"/>
      <w:marRight w:val="0"/>
      <w:marTop w:val="0"/>
      <w:marBottom w:val="0"/>
      <w:divBdr>
        <w:top w:val="none" w:sz="0" w:space="0" w:color="auto"/>
        <w:left w:val="none" w:sz="0" w:space="0" w:color="auto"/>
        <w:bottom w:val="none" w:sz="0" w:space="0" w:color="auto"/>
        <w:right w:val="none" w:sz="0" w:space="0" w:color="auto"/>
      </w:divBdr>
    </w:div>
    <w:div w:id="1501383339">
      <w:bodyDiv w:val="1"/>
      <w:marLeft w:val="0"/>
      <w:marRight w:val="0"/>
      <w:marTop w:val="0"/>
      <w:marBottom w:val="0"/>
      <w:divBdr>
        <w:top w:val="none" w:sz="0" w:space="0" w:color="auto"/>
        <w:left w:val="none" w:sz="0" w:space="0" w:color="auto"/>
        <w:bottom w:val="none" w:sz="0" w:space="0" w:color="auto"/>
        <w:right w:val="none" w:sz="0" w:space="0" w:color="auto"/>
      </w:divBdr>
      <w:divsChild>
        <w:div w:id="40442174">
          <w:marLeft w:val="0"/>
          <w:marRight w:val="0"/>
          <w:marTop w:val="0"/>
          <w:marBottom w:val="0"/>
          <w:divBdr>
            <w:top w:val="none" w:sz="0" w:space="0" w:color="auto"/>
            <w:left w:val="none" w:sz="0" w:space="0" w:color="auto"/>
            <w:bottom w:val="none" w:sz="0" w:space="0" w:color="auto"/>
            <w:right w:val="none" w:sz="0" w:space="0" w:color="auto"/>
          </w:divBdr>
          <w:divsChild>
            <w:div w:id="108816231">
              <w:marLeft w:val="0"/>
              <w:marRight w:val="0"/>
              <w:marTop w:val="0"/>
              <w:marBottom w:val="0"/>
              <w:divBdr>
                <w:top w:val="none" w:sz="0" w:space="0" w:color="auto"/>
                <w:left w:val="none" w:sz="0" w:space="0" w:color="auto"/>
                <w:bottom w:val="none" w:sz="0" w:space="0" w:color="auto"/>
                <w:right w:val="none" w:sz="0" w:space="0" w:color="auto"/>
              </w:divBdr>
              <w:divsChild>
                <w:div w:id="1844083224">
                  <w:marLeft w:val="0"/>
                  <w:marRight w:val="0"/>
                  <w:marTop w:val="0"/>
                  <w:marBottom w:val="0"/>
                  <w:divBdr>
                    <w:top w:val="none" w:sz="0" w:space="0" w:color="auto"/>
                    <w:left w:val="none" w:sz="0" w:space="0" w:color="auto"/>
                    <w:bottom w:val="none" w:sz="0" w:space="0" w:color="auto"/>
                    <w:right w:val="none" w:sz="0" w:space="0" w:color="auto"/>
                  </w:divBdr>
                  <w:divsChild>
                    <w:div w:id="10874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231546">
      <w:bodyDiv w:val="1"/>
      <w:marLeft w:val="0"/>
      <w:marRight w:val="0"/>
      <w:marTop w:val="0"/>
      <w:marBottom w:val="0"/>
      <w:divBdr>
        <w:top w:val="none" w:sz="0" w:space="0" w:color="auto"/>
        <w:left w:val="none" w:sz="0" w:space="0" w:color="auto"/>
        <w:bottom w:val="none" w:sz="0" w:space="0" w:color="auto"/>
        <w:right w:val="none" w:sz="0" w:space="0" w:color="auto"/>
      </w:divBdr>
      <w:divsChild>
        <w:div w:id="1060131965">
          <w:marLeft w:val="0"/>
          <w:marRight w:val="0"/>
          <w:marTop w:val="0"/>
          <w:marBottom w:val="0"/>
          <w:divBdr>
            <w:top w:val="none" w:sz="0" w:space="0" w:color="auto"/>
            <w:left w:val="none" w:sz="0" w:space="0" w:color="auto"/>
            <w:bottom w:val="none" w:sz="0" w:space="0" w:color="auto"/>
            <w:right w:val="none" w:sz="0" w:space="0" w:color="auto"/>
          </w:divBdr>
        </w:div>
      </w:divsChild>
    </w:div>
    <w:div w:id="1508524164">
      <w:bodyDiv w:val="1"/>
      <w:marLeft w:val="0"/>
      <w:marRight w:val="0"/>
      <w:marTop w:val="0"/>
      <w:marBottom w:val="0"/>
      <w:divBdr>
        <w:top w:val="none" w:sz="0" w:space="0" w:color="auto"/>
        <w:left w:val="none" w:sz="0" w:space="0" w:color="auto"/>
        <w:bottom w:val="none" w:sz="0" w:space="0" w:color="auto"/>
        <w:right w:val="none" w:sz="0" w:space="0" w:color="auto"/>
      </w:divBdr>
      <w:divsChild>
        <w:div w:id="20086426">
          <w:marLeft w:val="0"/>
          <w:marRight w:val="0"/>
          <w:marTop w:val="0"/>
          <w:marBottom w:val="0"/>
          <w:divBdr>
            <w:top w:val="none" w:sz="0" w:space="0" w:color="auto"/>
            <w:left w:val="none" w:sz="0" w:space="0" w:color="auto"/>
            <w:bottom w:val="none" w:sz="0" w:space="0" w:color="auto"/>
            <w:right w:val="none" w:sz="0" w:space="0" w:color="auto"/>
          </w:divBdr>
          <w:divsChild>
            <w:div w:id="696466556">
              <w:marLeft w:val="0"/>
              <w:marRight w:val="0"/>
              <w:marTop w:val="0"/>
              <w:marBottom w:val="0"/>
              <w:divBdr>
                <w:top w:val="none" w:sz="0" w:space="0" w:color="auto"/>
                <w:left w:val="none" w:sz="0" w:space="0" w:color="auto"/>
                <w:bottom w:val="none" w:sz="0" w:space="0" w:color="auto"/>
                <w:right w:val="none" w:sz="0" w:space="0" w:color="auto"/>
              </w:divBdr>
            </w:div>
          </w:divsChild>
        </w:div>
        <w:div w:id="38751999">
          <w:marLeft w:val="0"/>
          <w:marRight w:val="0"/>
          <w:marTop w:val="0"/>
          <w:marBottom w:val="0"/>
          <w:divBdr>
            <w:top w:val="none" w:sz="0" w:space="0" w:color="auto"/>
            <w:left w:val="none" w:sz="0" w:space="0" w:color="auto"/>
            <w:bottom w:val="none" w:sz="0" w:space="0" w:color="auto"/>
            <w:right w:val="none" w:sz="0" w:space="0" w:color="auto"/>
          </w:divBdr>
          <w:divsChild>
            <w:div w:id="1326711925">
              <w:marLeft w:val="0"/>
              <w:marRight w:val="0"/>
              <w:marTop w:val="0"/>
              <w:marBottom w:val="0"/>
              <w:divBdr>
                <w:top w:val="none" w:sz="0" w:space="0" w:color="auto"/>
                <w:left w:val="none" w:sz="0" w:space="0" w:color="auto"/>
                <w:bottom w:val="none" w:sz="0" w:space="0" w:color="auto"/>
                <w:right w:val="none" w:sz="0" w:space="0" w:color="auto"/>
              </w:divBdr>
            </w:div>
          </w:divsChild>
        </w:div>
        <w:div w:id="253825724">
          <w:marLeft w:val="0"/>
          <w:marRight w:val="0"/>
          <w:marTop w:val="0"/>
          <w:marBottom w:val="0"/>
          <w:divBdr>
            <w:top w:val="none" w:sz="0" w:space="0" w:color="auto"/>
            <w:left w:val="none" w:sz="0" w:space="0" w:color="auto"/>
            <w:bottom w:val="none" w:sz="0" w:space="0" w:color="auto"/>
            <w:right w:val="none" w:sz="0" w:space="0" w:color="auto"/>
          </w:divBdr>
          <w:divsChild>
            <w:div w:id="934168378">
              <w:marLeft w:val="0"/>
              <w:marRight w:val="0"/>
              <w:marTop w:val="0"/>
              <w:marBottom w:val="0"/>
              <w:divBdr>
                <w:top w:val="none" w:sz="0" w:space="0" w:color="auto"/>
                <w:left w:val="none" w:sz="0" w:space="0" w:color="auto"/>
                <w:bottom w:val="none" w:sz="0" w:space="0" w:color="auto"/>
                <w:right w:val="none" w:sz="0" w:space="0" w:color="auto"/>
              </w:divBdr>
            </w:div>
          </w:divsChild>
        </w:div>
        <w:div w:id="276714180">
          <w:marLeft w:val="0"/>
          <w:marRight w:val="0"/>
          <w:marTop w:val="0"/>
          <w:marBottom w:val="0"/>
          <w:divBdr>
            <w:top w:val="none" w:sz="0" w:space="0" w:color="auto"/>
            <w:left w:val="none" w:sz="0" w:space="0" w:color="auto"/>
            <w:bottom w:val="none" w:sz="0" w:space="0" w:color="auto"/>
            <w:right w:val="none" w:sz="0" w:space="0" w:color="auto"/>
          </w:divBdr>
          <w:divsChild>
            <w:div w:id="1531068047">
              <w:marLeft w:val="0"/>
              <w:marRight w:val="0"/>
              <w:marTop w:val="0"/>
              <w:marBottom w:val="0"/>
              <w:divBdr>
                <w:top w:val="none" w:sz="0" w:space="0" w:color="auto"/>
                <w:left w:val="none" w:sz="0" w:space="0" w:color="auto"/>
                <w:bottom w:val="none" w:sz="0" w:space="0" w:color="auto"/>
                <w:right w:val="none" w:sz="0" w:space="0" w:color="auto"/>
              </w:divBdr>
            </w:div>
          </w:divsChild>
        </w:div>
        <w:div w:id="335380056">
          <w:marLeft w:val="0"/>
          <w:marRight w:val="0"/>
          <w:marTop w:val="0"/>
          <w:marBottom w:val="0"/>
          <w:divBdr>
            <w:top w:val="none" w:sz="0" w:space="0" w:color="auto"/>
            <w:left w:val="none" w:sz="0" w:space="0" w:color="auto"/>
            <w:bottom w:val="none" w:sz="0" w:space="0" w:color="auto"/>
            <w:right w:val="none" w:sz="0" w:space="0" w:color="auto"/>
          </w:divBdr>
          <w:divsChild>
            <w:div w:id="694696077">
              <w:marLeft w:val="0"/>
              <w:marRight w:val="0"/>
              <w:marTop w:val="0"/>
              <w:marBottom w:val="0"/>
              <w:divBdr>
                <w:top w:val="none" w:sz="0" w:space="0" w:color="auto"/>
                <w:left w:val="none" w:sz="0" w:space="0" w:color="auto"/>
                <w:bottom w:val="none" w:sz="0" w:space="0" w:color="auto"/>
                <w:right w:val="none" w:sz="0" w:space="0" w:color="auto"/>
              </w:divBdr>
            </w:div>
          </w:divsChild>
        </w:div>
        <w:div w:id="351953433">
          <w:marLeft w:val="0"/>
          <w:marRight w:val="0"/>
          <w:marTop w:val="0"/>
          <w:marBottom w:val="0"/>
          <w:divBdr>
            <w:top w:val="none" w:sz="0" w:space="0" w:color="auto"/>
            <w:left w:val="none" w:sz="0" w:space="0" w:color="auto"/>
            <w:bottom w:val="none" w:sz="0" w:space="0" w:color="auto"/>
            <w:right w:val="none" w:sz="0" w:space="0" w:color="auto"/>
          </w:divBdr>
          <w:divsChild>
            <w:div w:id="1577594814">
              <w:marLeft w:val="0"/>
              <w:marRight w:val="0"/>
              <w:marTop w:val="0"/>
              <w:marBottom w:val="0"/>
              <w:divBdr>
                <w:top w:val="none" w:sz="0" w:space="0" w:color="auto"/>
                <w:left w:val="none" w:sz="0" w:space="0" w:color="auto"/>
                <w:bottom w:val="none" w:sz="0" w:space="0" w:color="auto"/>
                <w:right w:val="none" w:sz="0" w:space="0" w:color="auto"/>
              </w:divBdr>
            </w:div>
          </w:divsChild>
        </w:div>
        <w:div w:id="365176492">
          <w:marLeft w:val="0"/>
          <w:marRight w:val="0"/>
          <w:marTop w:val="0"/>
          <w:marBottom w:val="0"/>
          <w:divBdr>
            <w:top w:val="none" w:sz="0" w:space="0" w:color="auto"/>
            <w:left w:val="none" w:sz="0" w:space="0" w:color="auto"/>
            <w:bottom w:val="none" w:sz="0" w:space="0" w:color="auto"/>
            <w:right w:val="none" w:sz="0" w:space="0" w:color="auto"/>
          </w:divBdr>
          <w:divsChild>
            <w:div w:id="242490003">
              <w:marLeft w:val="0"/>
              <w:marRight w:val="0"/>
              <w:marTop w:val="0"/>
              <w:marBottom w:val="0"/>
              <w:divBdr>
                <w:top w:val="none" w:sz="0" w:space="0" w:color="auto"/>
                <w:left w:val="none" w:sz="0" w:space="0" w:color="auto"/>
                <w:bottom w:val="none" w:sz="0" w:space="0" w:color="auto"/>
                <w:right w:val="none" w:sz="0" w:space="0" w:color="auto"/>
              </w:divBdr>
            </w:div>
          </w:divsChild>
        </w:div>
        <w:div w:id="538055544">
          <w:marLeft w:val="0"/>
          <w:marRight w:val="0"/>
          <w:marTop w:val="0"/>
          <w:marBottom w:val="0"/>
          <w:divBdr>
            <w:top w:val="none" w:sz="0" w:space="0" w:color="auto"/>
            <w:left w:val="none" w:sz="0" w:space="0" w:color="auto"/>
            <w:bottom w:val="none" w:sz="0" w:space="0" w:color="auto"/>
            <w:right w:val="none" w:sz="0" w:space="0" w:color="auto"/>
          </w:divBdr>
          <w:divsChild>
            <w:div w:id="1332874478">
              <w:marLeft w:val="0"/>
              <w:marRight w:val="0"/>
              <w:marTop w:val="0"/>
              <w:marBottom w:val="0"/>
              <w:divBdr>
                <w:top w:val="none" w:sz="0" w:space="0" w:color="auto"/>
                <w:left w:val="none" w:sz="0" w:space="0" w:color="auto"/>
                <w:bottom w:val="none" w:sz="0" w:space="0" w:color="auto"/>
                <w:right w:val="none" w:sz="0" w:space="0" w:color="auto"/>
              </w:divBdr>
            </w:div>
          </w:divsChild>
        </w:div>
        <w:div w:id="562762947">
          <w:marLeft w:val="0"/>
          <w:marRight w:val="0"/>
          <w:marTop w:val="0"/>
          <w:marBottom w:val="0"/>
          <w:divBdr>
            <w:top w:val="none" w:sz="0" w:space="0" w:color="auto"/>
            <w:left w:val="none" w:sz="0" w:space="0" w:color="auto"/>
            <w:bottom w:val="none" w:sz="0" w:space="0" w:color="auto"/>
            <w:right w:val="none" w:sz="0" w:space="0" w:color="auto"/>
          </w:divBdr>
          <w:divsChild>
            <w:div w:id="372077200">
              <w:marLeft w:val="0"/>
              <w:marRight w:val="0"/>
              <w:marTop w:val="0"/>
              <w:marBottom w:val="0"/>
              <w:divBdr>
                <w:top w:val="none" w:sz="0" w:space="0" w:color="auto"/>
                <w:left w:val="none" w:sz="0" w:space="0" w:color="auto"/>
                <w:bottom w:val="none" w:sz="0" w:space="0" w:color="auto"/>
                <w:right w:val="none" w:sz="0" w:space="0" w:color="auto"/>
              </w:divBdr>
            </w:div>
          </w:divsChild>
        </w:div>
        <w:div w:id="680549987">
          <w:marLeft w:val="0"/>
          <w:marRight w:val="0"/>
          <w:marTop w:val="0"/>
          <w:marBottom w:val="0"/>
          <w:divBdr>
            <w:top w:val="none" w:sz="0" w:space="0" w:color="auto"/>
            <w:left w:val="none" w:sz="0" w:space="0" w:color="auto"/>
            <w:bottom w:val="none" w:sz="0" w:space="0" w:color="auto"/>
            <w:right w:val="none" w:sz="0" w:space="0" w:color="auto"/>
          </w:divBdr>
          <w:divsChild>
            <w:div w:id="1803572715">
              <w:marLeft w:val="0"/>
              <w:marRight w:val="0"/>
              <w:marTop w:val="0"/>
              <w:marBottom w:val="0"/>
              <w:divBdr>
                <w:top w:val="none" w:sz="0" w:space="0" w:color="auto"/>
                <w:left w:val="none" w:sz="0" w:space="0" w:color="auto"/>
                <w:bottom w:val="none" w:sz="0" w:space="0" w:color="auto"/>
                <w:right w:val="none" w:sz="0" w:space="0" w:color="auto"/>
              </w:divBdr>
            </w:div>
          </w:divsChild>
        </w:div>
        <w:div w:id="899705263">
          <w:marLeft w:val="0"/>
          <w:marRight w:val="0"/>
          <w:marTop w:val="0"/>
          <w:marBottom w:val="0"/>
          <w:divBdr>
            <w:top w:val="none" w:sz="0" w:space="0" w:color="auto"/>
            <w:left w:val="none" w:sz="0" w:space="0" w:color="auto"/>
            <w:bottom w:val="none" w:sz="0" w:space="0" w:color="auto"/>
            <w:right w:val="none" w:sz="0" w:space="0" w:color="auto"/>
          </w:divBdr>
          <w:divsChild>
            <w:div w:id="2033024540">
              <w:marLeft w:val="0"/>
              <w:marRight w:val="0"/>
              <w:marTop w:val="0"/>
              <w:marBottom w:val="0"/>
              <w:divBdr>
                <w:top w:val="none" w:sz="0" w:space="0" w:color="auto"/>
                <w:left w:val="none" w:sz="0" w:space="0" w:color="auto"/>
                <w:bottom w:val="none" w:sz="0" w:space="0" w:color="auto"/>
                <w:right w:val="none" w:sz="0" w:space="0" w:color="auto"/>
              </w:divBdr>
            </w:div>
          </w:divsChild>
        </w:div>
        <w:div w:id="940457861">
          <w:marLeft w:val="0"/>
          <w:marRight w:val="0"/>
          <w:marTop w:val="0"/>
          <w:marBottom w:val="0"/>
          <w:divBdr>
            <w:top w:val="none" w:sz="0" w:space="0" w:color="auto"/>
            <w:left w:val="none" w:sz="0" w:space="0" w:color="auto"/>
            <w:bottom w:val="none" w:sz="0" w:space="0" w:color="auto"/>
            <w:right w:val="none" w:sz="0" w:space="0" w:color="auto"/>
          </w:divBdr>
          <w:divsChild>
            <w:div w:id="2133593931">
              <w:marLeft w:val="0"/>
              <w:marRight w:val="0"/>
              <w:marTop w:val="0"/>
              <w:marBottom w:val="0"/>
              <w:divBdr>
                <w:top w:val="none" w:sz="0" w:space="0" w:color="auto"/>
                <w:left w:val="none" w:sz="0" w:space="0" w:color="auto"/>
                <w:bottom w:val="none" w:sz="0" w:space="0" w:color="auto"/>
                <w:right w:val="none" w:sz="0" w:space="0" w:color="auto"/>
              </w:divBdr>
            </w:div>
          </w:divsChild>
        </w:div>
        <w:div w:id="955059628">
          <w:marLeft w:val="0"/>
          <w:marRight w:val="0"/>
          <w:marTop w:val="0"/>
          <w:marBottom w:val="0"/>
          <w:divBdr>
            <w:top w:val="none" w:sz="0" w:space="0" w:color="auto"/>
            <w:left w:val="none" w:sz="0" w:space="0" w:color="auto"/>
            <w:bottom w:val="none" w:sz="0" w:space="0" w:color="auto"/>
            <w:right w:val="none" w:sz="0" w:space="0" w:color="auto"/>
          </w:divBdr>
          <w:divsChild>
            <w:div w:id="46488777">
              <w:marLeft w:val="0"/>
              <w:marRight w:val="0"/>
              <w:marTop w:val="0"/>
              <w:marBottom w:val="0"/>
              <w:divBdr>
                <w:top w:val="none" w:sz="0" w:space="0" w:color="auto"/>
                <w:left w:val="none" w:sz="0" w:space="0" w:color="auto"/>
                <w:bottom w:val="none" w:sz="0" w:space="0" w:color="auto"/>
                <w:right w:val="none" w:sz="0" w:space="0" w:color="auto"/>
              </w:divBdr>
            </w:div>
          </w:divsChild>
        </w:div>
        <w:div w:id="1025251270">
          <w:marLeft w:val="0"/>
          <w:marRight w:val="0"/>
          <w:marTop w:val="0"/>
          <w:marBottom w:val="0"/>
          <w:divBdr>
            <w:top w:val="none" w:sz="0" w:space="0" w:color="auto"/>
            <w:left w:val="none" w:sz="0" w:space="0" w:color="auto"/>
            <w:bottom w:val="none" w:sz="0" w:space="0" w:color="auto"/>
            <w:right w:val="none" w:sz="0" w:space="0" w:color="auto"/>
          </w:divBdr>
          <w:divsChild>
            <w:div w:id="70931710">
              <w:marLeft w:val="0"/>
              <w:marRight w:val="0"/>
              <w:marTop w:val="0"/>
              <w:marBottom w:val="0"/>
              <w:divBdr>
                <w:top w:val="none" w:sz="0" w:space="0" w:color="auto"/>
                <w:left w:val="none" w:sz="0" w:space="0" w:color="auto"/>
                <w:bottom w:val="none" w:sz="0" w:space="0" w:color="auto"/>
                <w:right w:val="none" w:sz="0" w:space="0" w:color="auto"/>
              </w:divBdr>
            </w:div>
          </w:divsChild>
        </w:div>
        <w:div w:id="1049499902">
          <w:marLeft w:val="0"/>
          <w:marRight w:val="0"/>
          <w:marTop w:val="0"/>
          <w:marBottom w:val="0"/>
          <w:divBdr>
            <w:top w:val="none" w:sz="0" w:space="0" w:color="auto"/>
            <w:left w:val="none" w:sz="0" w:space="0" w:color="auto"/>
            <w:bottom w:val="none" w:sz="0" w:space="0" w:color="auto"/>
            <w:right w:val="none" w:sz="0" w:space="0" w:color="auto"/>
          </w:divBdr>
          <w:divsChild>
            <w:div w:id="372965558">
              <w:marLeft w:val="0"/>
              <w:marRight w:val="0"/>
              <w:marTop w:val="0"/>
              <w:marBottom w:val="0"/>
              <w:divBdr>
                <w:top w:val="none" w:sz="0" w:space="0" w:color="auto"/>
                <w:left w:val="none" w:sz="0" w:space="0" w:color="auto"/>
                <w:bottom w:val="none" w:sz="0" w:space="0" w:color="auto"/>
                <w:right w:val="none" w:sz="0" w:space="0" w:color="auto"/>
              </w:divBdr>
            </w:div>
          </w:divsChild>
        </w:div>
        <w:div w:id="1286889665">
          <w:marLeft w:val="0"/>
          <w:marRight w:val="0"/>
          <w:marTop w:val="0"/>
          <w:marBottom w:val="0"/>
          <w:divBdr>
            <w:top w:val="none" w:sz="0" w:space="0" w:color="auto"/>
            <w:left w:val="none" w:sz="0" w:space="0" w:color="auto"/>
            <w:bottom w:val="none" w:sz="0" w:space="0" w:color="auto"/>
            <w:right w:val="none" w:sz="0" w:space="0" w:color="auto"/>
          </w:divBdr>
          <w:divsChild>
            <w:div w:id="1305626404">
              <w:marLeft w:val="0"/>
              <w:marRight w:val="0"/>
              <w:marTop w:val="0"/>
              <w:marBottom w:val="0"/>
              <w:divBdr>
                <w:top w:val="none" w:sz="0" w:space="0" w:color="auto"/>
                <w:left w:val="none" w:sz="0" w:space="0" w:color="auto"/>
                <w:bottom w:val="none" w:sz="0" w:space="0" w:color="auto"/>
                <w:right w:val="none" w:sz="0" w:space="0" w:color="auto"/>
              </w:divBdr>
            </w:div>
          </w:divsChild>
        </w:div>
        <w:div w:id="1315141978">
          <w:marLeft w:val="0"/>
          <w:marRight w:val="0"/>
          <w:marTop w:val="0"/>
          <w:marBottom w:val="0"/>
          <w:divBdr>
            <w:top w:val="none" w:sz="0" w:space="0" w:color="auto"/>
            <w:left w:val="none" w:sz="0" w:space="0" w:color="auto"/>
            <w:bottom w:val="none" w:sz="0" w:space="0" w:color="auto"/>
            <w:right w:val="none" w:sz="0" w:space="0" w:color="auto"/>
          </w:divBdr>
          <w:divsChild>
            <w:div w:id="1861312557">
              <w:marLeft w:val="0"/>
              <w:marRight w:val="0"/>
              <w:marTop w:val="0"/>
              <w:marBottom w:val="0"/>
              <w:divBdr>
                <w:top w:val="none" w:sz="0" w:space="0" w:color="auto"/>
                <w:left w:val="none" w:sz="0" w:space="0" w:color="auto"/>
                <w:bottom w:val="none" w:sz="0" w:space="0" w:color="auto"/>
                <w:right w:val="none" w:sz="0" w:space="0" w:color="auto"/>
              </w:divBdr>
            </w:div>
          </w:divsChild>
        </w:div>
        <w:div w:id="1334724075">
          <w:marLeft w:val="0"/>
          <w:marRight w:val="0"/>
          <w:marTop w:val="0"/>
          <w:marBottom w:val="0"/>
          <w:divBdr>
            <w:top w:val="none" w:sz="0" w:space="0" w:color="auto"/>
            <w:left w:val="none" w:sz="0" w:space="0" w:color="auto"/>
            <w:bottom w:val="none" w:sz="0" w:space="0" w:color="auto"/>
            <w:right w:val="none" w:sz="0" w:space="0" w:color="auto"/>
          </w:divBdr>
          <w:divsChild>
            <w:div w:id="445656983">
              <w:marLeft w:val="0"/>
              <w:marRight w:val="0"/>
              <w:marTop w:val="0"/>
              <w:marBottom w:val="0"/>
              <w:divBdr>
                <w:top w:val="none" w:sz="0" w:space="0" w:color="auto"/>
                <w:left w:val="none" w:sz="0" w:space="0" w:color="auto"/>
                <w:bottom w:val="none" w:sz="0" w:space="0" w:color="auto"/>
                <w:right w:val="none" w:sz="0" w:space="0" w:color="auto"/>
              </w:divBdr>
            </w:div>
          </w:divsChild>
        </w:div>
        <w:div w:id="1335063331">
          <w:marLeft w:val="0"/>
          <w:marRight w:val="0"/>
          <w:marTop w:val="0"/>
          <w:marBottom w:val="0"/>
          <w:divBdr>
            <w:top w:val="none" w:sz="0" w:space="0" w:color="auto"/>
            <w:left w:val="none" w:sz="0" w:space="0" w:color="auto"/>
            <w:bottom w:val="none" w:sz="0" w:space="0" w:color="auto"/>
            <w:right w:val="none" w:sz="0" w:space="0" w:color="auto"/>
          </w:divBdr>
          <w:divsChild>
            <w:div w:id="563294707">
              <w:marLeft w:val="0"/>
              <w:marRight w:val="0"/>
              <w:marTop w:val="0"/>
              <w:marBottom w:val="0"/>
              <w:divBdr>
                <w:top w:val="none" w:sz="0" w:space="0" w:color="auto"/>
                <w:left w:val="none" w:sz="0" w:space="0" w:color="auto"/>
                <w:bottom w:val="none" w:sz="0" w:space="0" w:color="auto"/>
                <w:right w:val="none" w:sz="0" w:space="0" w:color="auto"/>
              </w:divBdr>
            </w:div>
          </w:divsChild>
        </w:div>
        <w:div w:id="1501702054">
          <w:marLeft w:val="0"/>
          <w:marRight w:val="0"/>
          <w:marTop w:val="0"/>
          <w:marBottom w:val="0"/>
          <w:divBdr>
            <w:top w:val="none" w:sz="0" w:space="0" w:color="auto"/>
            <w:left w:val="none" w:sz="0" w:space="0" w:color="auto"/>
            <w:bottom w:val="none" w:sz="0" w:space="0" w:color="auto"/>
            <w:right w:val="none" w:sz="0" w:space="0" w:color="auto"/>
          </w:divBdr>
          <w:divsChild>
            <w:div w:id="787744464">
              <w:marLeft w:val="0"/>
              <w:marRight w:val="0"/>
              <w:marTop w:val="0"/>
              <w:marBottom w:val="0"/>
              <w:divBdr>
                <w:top w:val="none" w:sz="0" w:space="0" w:color="auto"/>
                <w:left w:val="none" w:sz="0" w:space="0" w:color="auto"/>
                <w:bottom w:val="none" w:sz="0" w:space="0" w:color="auto"/>
                <w:right w:val="none" w:sz="0" w:space="0" w:color="auto"/>
              </w:divBdr>
            </w:div>
          </w:divsChild>
        </w:div>
        <w:div w:id="1520460803">
          <w:marLeft w:val="0"/>
          <w:marRight w:val="0"/>
          <w:marTop w:val="0"/>
          <w:marBottom w:val="0"/>
          <w:divBdr>
            <w:top w:val="none" w:sz="0" w:space="0" w:color="auto"/>
            <w:left w:val="none" w:sz="0" w:space="0" w:color="auto"/>
            <w:bottom w:val="none" w:sz="0" w:space="0" w:color="auto"/>
            <w:right w:val="none" w:sz="0" w:space="0" w:color="auto"/>
          </w:divBdr>
          <w:divsChild>
            <w:div w:id="730661553">
              <w:marLeft w:val="0"/>
              <w:marRight w:val="0"/>
              <w:marTop w:val="0"/>
              <w:marBottom w:val="0"/>
              <w:divBdr>
                <w:top w:val="none" w:sz="0" w:space="0" w:color="auto"/>
                <w:left w:val="none" w:sz="0" w:space="0" w:color="auto"/>
                <w:bottom w:val="none" w:sz="0" w:space="0" w:color="auto"/>
                <w:right w:val="none" w:sz="0" w:space="0" w:color="auto"/>
              </w:divBdr>
            </w:div>
          </w:divsChild>
        </w:div>
        <w:div w:id="1524636843">
          <w:marLeft w:val="0"/>
          <w:marRight w:val="0"/>
          <w:marTop w:val="0"/>
          <w:marBottom w:val="0"/>
          <w:divBdr>
            <w:top w:val="none" w:sz="0" w:space="0" w:color="auto"/>
            <w:left w:val="none" w:sz="0" w:space="0" w:color="auto"/>
            <w:bottom w:val="none" w:sz="0" w:space="0" w:color="auto"/>
            <w:right w:val="none" w:sz="0" w:space="0" w:color="auto"/>
          </w:divBdr>
          <w:divsChild>
            <w:div w:id="337663448">
              <w:marLeft w:val="0"/>
              <w:marRight w:val="0"/>
              <w:marTop w:val="0"/>
              <w:marBottom w:val="0"/>
              <w:divBdr>
                <w:top w:val="none" w:sz="0" w:space="0" w:color="auto"/>
                <w:left w:val="none" w:sz="0" w:space="0" w:color="auto"/>
                <w:bottom w:val="none" w:sz="0" w:space="0" w:color="auto"/>
                <w:right w:val="none" w:sz="0" w:space="0" w:color="auto"/>
              </w:divBdr>
            </w:div>
          </w:divsChild>
        </w:div>
        <w:div w:id="1697583083">
          <w:marLeft w:val="0"/>
          <w:marRight w:val="0"/>
          <w:marTop w:val="0"/>
          <w:marBottom w:val="0"/>
          <w:divBdr>
            <w:top w:val="none" w:sz="0" w:space="0" w:color="auto"/>
            <w:left w:val="none" w:sz="0" w:space="0" w:color="auto"/>
            <w:bottom w:val="none" w:sz="0" w:space="0" w:color="auto"/>
            <w:right w:val="none" w:sz="0" w:space="0" w:color="auto"/>
          </w:divBdr>
          <w:divsChild>
            <w:div w:id="1476684353">
              <w:marLeft w:val="0"/>
              <w:marRight w:val="0"/>
              <w:marTop w:val="0"/>
              <w:marBottom w:val="0"/>
              <w:divBdr>
                <w:top w:val="none" w:sz="0" w:space="0" w:color="auto"/>
                <w:left w:val="none" w:sz="0" w:space="0" w:color="auto"/>
                <w:bottom w:val="none" w:sz="0" w:space="0" w:color="auto"/>
                <w:right w:val="none" w:sz="0" w:space="0" w:color="auto"/>
              </w:divBdr>
            </w:div>
          </w:divsChild>
        </w:div>
        <w:div w:id="1710690917">
          <w:marLeft w:val="0"/>
          <w:marRight w:val="0"/>
          <w:marTop w:val="0"/>
          <w:marBottom w:val="0"/>
          <w:divBdr>
            <w:top w:val="none" w:sz="0" w:space="0" w:color="auto"/>
            <w:left w:val="none" w:sz="0" w:space="0" w:color="auto"/>
            <w:bottom w:val="none" w:sz="0" w:space="0" w:color="auto"/>
            <w:right w:val="none" w:sz="0" w:space="0" w:color="auto"/>
          </w:divBdr>
          <w:divsChild>
            <w:div w:id="1133984798">
              <w:marLeft w:val="0"/>
              <w:marRight w:val="0"/>
              <w:marTop w:val="0"/>
              <w:marBottom w:val="0"/>
              <w:divBdr>
                <w:top w:val="none" w:sz="0" w:space="0" w:color="auto"/>
                <w:left w:val="none" w:sz="0" w:space="0" w:color="auto"/>
                <w:bottom w:val="none" w:sz="0" w:space="0" w:color="auto"/>
                <w:right w:val="none" w:sz="0" w:space="0" w:color="auto"/>
              </w:divBdr>
            </w:div>
          </w:divsChild>
        </w:div>
        <w:div w:id="1736585923">
          <w:marLeft w:val="0"/>
          <w:marRight w:val="0"/>
          <w:marTop w:val="0"/>
          <w:marBottom w:val="0"/>
          <w:divBdr>
            <w:top w:val="none" w:sz="0" w:space="0" w:color="auto"/>
            <w:left w:val="none" w:sz="0" w:space="0" w:color="auto"/>
            <w:bottom w:val="none" w:sz="0" w:space="0" w:color="auto"/>
            <w:right w:val="none" w:sz="0" w:space="0" w:color="auto"/>
          </w:divBdr>
          <w:divsChild>
            <w:div w:id="903489688">
              <w:marLeft w:val="0"/>
              <w:marRight w:val="0"/>
              <w:marTop w:val="0"/>
              <w:marBottom w:val="0"/>
              <w:divBdr>
                <w:top w:val="none" w:sz="0" w:space="0" w:color="auto"/>
                <w:left w:val="none" w:sz="0" w:space="0" w:color="auto"/>
                <w:bottom w:val="none" w:sz="0" w:space="0" w:color="auto"/>
                <w:right w:val="none" w:sz="0" w:space="0" w:color="auto"/>
              </w:divBdr>
            </w:div>
          </w:divsChild>
        </w:div>
        <w:div w:id="1800612344">
          <w:marLeft w:val="0"/>
          <w:marRight w:val="0"/>
          <w:marTop w:val="0"/>
          <w:marBottom w:val="0"/>
          <w:divBdr>
            <w:top w:val="none" w:sz="0" w:space="0" w:color="auto"/>
            <w:left w:val="none" w:sz="0" w:space="0" w:color="auto"/>
            <w:bottom w:val="none" w:sz="0" w:space="0" w:color="auto"/>
            <w:right w:val="none" w:sz="0" w:space="0" w:color="auto"/>
          </w:divBdr>
          <w:divsChild>
            <w:div w:id="1115633831">
              <w:marLeft w:val="0"/>
              <w:marRight w:val="0"/>
              <w:marTop w:val="0"/>
              <w:marBottom w:val="0"/>
              <w:divBdr>
                <w:top w:val="none" w:sz="0" w:space="0" w:color="auto"/>
                <w:left w:val="none" w:sz="0" w:space="0" w:color="auto"/>
                <w:bottom w:val="none" w:sz="0" w:space="0" w:color="auto"/>
                <w:right w:val="none" w:sz="0" w:space="0" w:color="auto"/>
              </w:divBdr>
            </w:div>
          </w:divsChild>
        </w:div>
        <w:div w:id="1856190526">
          <w:marLeft w:val="0"/>
          <w:marRight w:val="0"/>
          <w:marTop w:val="0"/>
          <w:marBottom w:val="0"/>
          <w:divBdr>
            <w:top w:val="none" w:sz="0" w:space="0" w:color="auto"/>
            <w:left w:val="none" w:sz="0" w:space="0" w:color="auto"/>
            <w:bottom w:val="none" w:sz="0" w:space="0" w:color="auto"/>
            <w:right w:val="none" w:sz="0" w:space="0" w:color="auto"/>
          </w:divBdr>
          <w:divsChild>
            <w:div w:id="612515684">
              <w:marLeft w:val="0"/>
              <w:marRight w:val="0"/>
              <w:marTop w:val="0"/>
              <w:marBottom w:val="0"/>
              <w:divBdr>
                <w:top w:val="none" w:sz="0" w:space="0" w:color="auto"/>
                <w:left w:val="none" w:sz="0" w:space="0" w:color="auto"/>
                <w:bottom w:val="none" w:sz="0" w:space="0" w:color="auto"/>
                <w:right w:val="none" w:sz="0" w:space="0" w:color="auto"/>
              </w:divBdr>
            </w:div>
          </w:divsChild>
        </w:div>
        <w:div w:id="1954894739">
          <w:marLeft w:val="0"/>
          <w:marRight w:val="0"/>
          <w:marTop w:val="0"/>
          <w:marBottom w:val="0"/>
          <w:divBdr>
            <w:top w:val="none" w:sz="0" w:space="0" w:color="auto"/>
            <w:left w:val="none" w:sz="0" w:space="0" w:color="auto"/>
            <w:bottom w:val="none" w:sz="0" w:space="0" w:color="auto"/>
            <w:right w:val="none" w:sz="0" w:space="0" w:color="auto"/>
          </w:divBdr>
          <w:divsChild>
            <w:div w:id="423258813">
              <w:marLeft w:val="0"/>
              <w:marRight w:val="0"/>
              <w:marTop w:val="0"/>
              <w:marBottom w:val="0"/>
              <w:divBdr>
                <w:top w:val="none" w:sz="0" w:space="0" w:color="auto"/>
                <w:left w:val="none" w:sz="0" w:space="0" w:color="auto"/>
                <w:bottom w:val="none" w:sz="0" w:space="0" w:color="auto"/>
                <w:right w:val="none" w:sz="0" w:space="0" w:color="auto"/>
              </w:divBdr>
            </w:div>
          </w:divsChild>
        </w:div>
        <w:div w:id="1999337741">
          <w:marLeft w:val="0"/>
          <w:marRight w:val="0"/>
          <w:marTop w:val="0"/>
          <w:marBottom w:val="0"/>
          <w:divBdr>
            <w:top w:val="none" w:sz="0" w:space="0" w:color="auto"/>
            <w:left w:val="none" w:sz="0" w:space="0" w:color="auto"/>
            <w:bottom w:val="none" w:sz="0" w:space="0" w:color="auto"/>
            <w:right w:val="none" w:sz="0" w:space="0" w:color="auto"/>
          </w:divBdr>
          <w:divsChild>
            <w:div w:id="870145417">
              <w:marLeft w:val="0"/>
              <w:marRight w:val="0"/>
              <w:marTop w:val="0"/>
              <w:marBottom w:val="0"/>
              <w:divBdr>
                <w:top w:val="none" w:sz="0" w:space="0" w:color="auto"/>
                <w:left w:val="none" w:sz="0" w:space="0" w:color="auto"/>
                <w:bottom w:val="none" w:sz="0" w:space="0" w:color="auto"/>
                <w:right w:val="none" w:sz="0" w:space="0" w:color="auto"/>
              </w:divBdr>
            </w:div>
          </w:divsChild>
        </w:div>
        <w:div w:id="2143762737">
          <w:marLeft w:val="0"/>
          <w:marRight w:val="0"/>
          <w:marTop w:val="0"/>
          <w:marBottom w:val="0"/>
          <w:divBdr>
            <w:top w:val="none" w:sz="0" w:space="0" w:color="auto"/>
            <w:left w:val="none" w:sz="0" w:space="0" w:color="auto"/>
            <w:bottom w:val="none" w:sz="0" w:space="0" w:color="auto"/>
            <w:right w:val="none" w:sz="0" w:space="0" w:color="auto"/>
          </w:divBdr>
          <w:divsChild>
            <w:div w:id="10993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5990">
      <w:bodyDiv w:val="1"/>
      <w:marLeft w:val="0"/>
      <w:marRight w:val="0"/>
      <w:marTop w:val="0"/>
      <w:marBottom w:val="0"/>
      <w:divBdr>
        <w:top w:val="none" w:sz="0" w:space="0" w:color="auto"/>
        <w:left w:val="none" w:sz="0" w:space="0" w:color="auto"/>
        <w:bottom w:val="none" w:sz="0" w:space="0" w:color="auto"/>
        <w:right w:val="none" w:sz="0" w:space="0" w:color="auto"/>
      </w:divBdr>
    </w:div>
    <w:div w:id="1548712628">
      <w:bodyDiv w:val="1"/>
      <w:marLeft w:val="0"/>
      <w:marRight w:val="0"/>
      <w:marTop w:val="0"/>
      <w:marBottom w:val="0"/>
      <w:divBdr>
        <w:top w:val="none" w:sz="0" w:space="0" w:color="auto"/>
        <w:left w:val="none" w:sz="0" w:space="0" w:color="auto"/>
        <w:bottom w:val="none" w:sz="0" w:space="0" w:color="auto"/>
        <w:right w:val="none" w:sz="0" w:space="0" w:color="auto"/>
      </w:divBdr>
    </w:div>
    <w:div w:id="1552158852">
      <w:bodyDiv w:val="1"/>
      <w:marLeft w:val="0"/>
      <w:marRight w:val="0"/>
      <w:marTop w:val="0"/>
      <w:marBottom w:val="0"/>
      <w:divBdr>
        <w:top w:val="none" w:sz="0" w:space="0" w:color="auto"/>
        <w:left w:val="none" w:sz="0" w:space="0" w:color="auto"/>
        <w:bottom w:val="none" w:sz="0" w:space="0" w:color="auto"/>
        <w:right w:val="none" w:sz="0" w:space="0" w:color="auto"/>
      </w:divBdr>
      <w:divsChild>
        <w:div w:id="111093268">
          <w:marLeft w:val="0"/>
          <w:marRight w:val="30"/>
          <w:marTop w:val="0"/>
          <w:marBottom w:val="0"/>
          <w:divBdr>
            <w:top w:val="none" w:sz="0" w:space="0" w:color="auto"/>
            <w:left w:val="none" w:sz="0" w:space="0" w:color="auto"/>
            <w:bottom w:val="none" w:sz="0" w:space="0" w:color="auto"/>
            <w:right w:val="none" w:sz="0" w:space="0" w:color="auto"/>
          </w:divBdr>
          <w:divsChild>
            <w:div w:id="653220947">
              <w:marLeft w:val="0"/>
              <w:marRight w:val="0"/>
              <w:marTop w:val="0"/>
              <w:marBottom w:val="0"/>
              <w:divBdr>
                <w:top w:val="none" w:sz="0" w:space="0" w:color="auto"/>
                <w:left w:val="none" w:sz="0" w:space="0" w:color="auto"/>
                <w:bottom w:val="none" w:sz="0" w:space="0" w:color="auto"/>
                <w:right w:val="none" w:sz="0" w:space="0" w:color="auto"/>
              </w:divBdr>
              <w:divsChild>
                <w:div w:id="1795057565">
                  <w:marLeft w:val="0"/>
                  <w:marRight w:val="0"/>
                  <w:marTop w:val="0"/>
                  <w:marBottom w:val="0"/>
                  <w:divBdr>
                    <w:top w:val="none" w:sz="0" w:space="0" w:color="auto"/>
                    <w:left w:val="none" w:sz="0" w:space="0" w:color="auto"/>
                    <w:bottom w:val="none" w:sz="0" w:space="0" w:color="auto"/>
                    <w:right w:val="none" w:sz="0" w:space="0" w:color="auto"/>
                  </w:divBdr>
                  <w:divsChild>
                    <w:div w:id="14416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65326">
      <w:bodyDiv w:val="1"/>
      <w:marLeft w:val="0"/>
      <w:marRight w:val="0"/>
      <w:marTop w:val="0"/>
      <w:marBottom w:val="0"/>
      <w:divBdr>
        <w:top w:val="none" w:sz="0" w:space="0" w:color="auto"/>
        <w:left w:val="none" w:sz="0" w:space="0" w:color="auto"/>
        <w:bottom w:val="none" w:sz="0" w:space="0" w:color="auto"/>
        <w:right w:val="none" w:sz="0" w:space="0" w:color="auto"/>
      </w:divBdr>
    </w:div>
    <w:div w:id="1567259596">
      <w:bodyDiv w:val="1"/>
      <w:marLeft w:val="0"/>
      <w:marRight w:val="0"/>
      <w:marTop w:val="0"/>
      <w:marBottom w:val="0"/>
      <w:divBdr>
        <w:top w:val="none" w:sz="0" w:space="0" w:color="auto"/>
        <w:left w:val="none" w:sz="0" w:space="0" w:color="auto"/>
        <w:bottom w:val="none" w:sz="0" w:space="0" w:color="auto"/>
        <w:right w:val="none" w:sz="0" w:space="0" w:color="auto"/>
      </w:divBdr>
    </w:div>
    <w:div w:id="1567379245">
      <w:bodyDiv w:val="1"/>
      <w:marLeft w:val="0"/>
      <w:marRight w:val="0"/>
      <w:marTop w:val="0"/>
      <w:marBottom w:val="0"/>
      <w:divBdr>
        <w:top w:val="none" w:sz="0" w:space="0" w:color="auto"/>
        <w:left w:val="none" w:sz="0" w:space="0" w:color="auto"/>
        <w:bottom w:val="none" w:sz="0" w:space="0" w:color="auto"/>
        <w:right w:val="none" w:sz="0" w:space="0" w:color="auto"/>
      </w:divBdr>
    </w:div>
    <w:div w:id="1571960736">
      <w:bodyDiv w:val="1"/>
      <w:marLeft w:val="0"/>
      <w:marRight w:val="0"/>
      <w:marTop w:val="0"/>
      <w:marBottom w:val="0"/>
      <w:divBdr>
        <w:top w:val="none" w:sz="0" w:space="0" w:color="auto"/>
        <w:left w:val="none" w:sz="0" w:space="0" w:color="auto"/>
        <w:bottom w:val="none" w:sz="0" w:space="0" w:color="auto"/>
        <w:right w:val="none" w:sz="0" w:space="0" w:color="auto"/>
      </w:divBdr>
    </w:div>
    <w:div w:id="1593472337">
      <w:bodyDiv w:val="1"/>
      <w:marLeft w:val="0"/>
      <w:marRight w:val="0"/>
      <w:marTop w:val="0"/>
      <w:marBottom w:val="0"/>
      <w:divBdr>
        <w:top w:val="none" w:sz="0" w:space="0" w:color="auto"/>
        <w:left w:val="none" w:sz="0" w:space="0" w:color="auto"/>
        <w:bottom w:val="none" w:sz="0" w:space="0" w:color="auto"/>
        <w:right w:val="none" w:sz="0" w:space="0" w:color="auto"/>
      </w:divBdr>
      <w:divsChild>
        <w:div w:id="47147589">
          <w:marLeft w:val="0"/>
          <w:marRight w:val="0"/>
          <w:marTop w:val="0"/>
          <w:marBottom w:val="0"/>
          <w:divBdr>
            <w:top w:val="none" w:sz="0" w:space="0" w:color="auto"/>
            <w:left w:val="none" w:sz="0" w:space="0" w:color="auto"/>
            <w:bottom w:val="none" w:sz="0" w:space="0" w:color="auto"/>
            <w:right w:val="none" w:sz="0" w:space="0" w:color="auto"/>
          </w:divBdr>
          <w:divsChild>
            <w:div w:id="439377277">
              <w:marLeft w:val="0"/>
              <w:marRight w:val="0"/>
              <w:marTop w:val="0"/>
              <w:marBottom w:val="0"/>
              <w:divBdr>
                <w:top w:val="none" w:sz="0" w:space="0" w:color="auto"/>
                <w:left w:val="none" w:sz="0" w:space="0" w:color="auto"/>
                <w:bottom w:val="none" w:sz="0" w:space="0" w:color="auto"/>
                <w:right w:val="none" w:sz="0" w:space="0" w:color="auto"/>
              </w:divBdr>
            </w:div>
            <w:div w:id="483664927">
              <w:marLeft w:val="0"/>
              <w:marRight w:val="0"/>
              <w:marTop w:val="0"/>
              <w:marBottom w:val="0"/>
              <w:divBdr>
                <w:top w:val="none" w:sz="0" w:space="0" w:color="auto"/>
                <w:left w:val="none" w:sz="0" w:space="0" w:color="auto"/>
                <w:bottom w:val="none" w:sz="0" w:space="0" w:color="auto"/>
                <w:right w:val="none" w:sz="0" w:space="0" w:color="auto"/>
              </w:divBdr>
            </w:div>
            <w:div w:id="1078137814">
              <w:marLeft w:val="0"/>
              <w:marRight w:val="0"/>
              <w:marTop w:val="0"/>
              <w:marBottom w:val="0"/>
              <w:divBdr>
                <w:top w:val="none" w:sz="0" w:space="0" w:color="auto"/>
                <w:left w:val="none" w:sz="0" w:space="0" w:color="auto"/>
                <w:bottom w:val="none" w:sz="0" w:space="0" w:color="auto"/>
                <w:right w:val="none" w:sz="0" w:space="0" w:color="auto"/>
              </w:divBdr>
            </w:div>
            <w:div w:id="1323044148">
              <w:marLeft w:val="0"/>
              <w:marRight w:val="0"/>
              <w:marTop w:val="0"/>
              <w:marBottom w:val="0"/>
              <w:divBdr>
                <w:top w:val="none" w:sz="0" w:space="0" w:color="auto"/>
                <w:left w:val="none" w:sz="0" w:space="0" w:color="auto"/>
                <w:bottom w:val="none" w:sz="0" w:space="0" w:color="auto"/>
                <w:right w:val="none" w:sz="0" w:space="0" w:color="auto"/>
              </w:divBdr>
            </w:div>
            <w:div w:id="2127847383">
              <w:marLeft w:val="0"/>
              <w:marRight w:val="0"/>
              <w:marTop w:val="0"/>
              <w:marBottom w:val="0"/>
              <w:divBdr>
                <w:top w:val="none" w:sz="0" w:space="0" w:color="auto"/>
                <w:left w:val="none" w:sz="0" w:space="0" w:color="auto"/>
                <w:bottom w:val="none" w:sz="0" w:space="0" w:color="auto"/>
                <w:right w:val="none" w:sz="0" w:space="0" w:color="auto"/>
              </w:divBdr>
            </w:div>
          </w:divsChild>
        </w:div>
        <w:div w:id="172568923">
          <w:marLeft w:val="0"/>
          <w:marRight w:val="0"/>
          <w:marTop w:val="0"/>
          <w:marBottom w:val="0"/>
          <w:divBdr>
            <w:top w:val="none" w:sz="0" w:space="0" w:color="auto"/>
            <w:left w:val="none" w:sz="0" w:space="0" w:color="auto"/>
            <w:bottom w:val="none" w:sz="0" w:space="0" w:color="auto"/>
            <w:right w:val="none" w:sz="0" w:space="0" w:color="auto"/>
          </w:divBdr>
          <w:divsChild>
            <w:div w:id="1139954317">
              <w:marLeft w:val="0"/>
              <w:marRight w:val="0"/>
              <w:marTop w:val="0"/>
              <w:marBottom w:val="0"/>
              <w:divBdr>
                <w:top w:val="none" w:sz="0" w:space="0" w:color="auto"/>
                <w:left w:val="none" w:sz="0" w:space="0" w:color="auto"/>
                <w:bottom w:val="none" w:sz="0" w:space="0" w:color="auto"/>
                <w:right w:val="none" w:sz="0" w:space="0" w:color="auto"/>
              </w:divBdr>
            </w:div>
            <w:div w:id="1467622274">
              <w:marLeft w:val="0"/>
              <w:marRight w:val="0"/>
              <w:marTop w:val="0"/>
              <w:marBottom w:val="0"/>
              <w:divBdr>
                <w:top w:val="none" w:sz="0" w:space="0" w:color="auto"/>
                <w:left w:val="none" w:sz="0" w:space="0" w:color="auto"/>
                <w:bottom w:val="none" w:sz="0" w:space="0" w:color="auto"/>
                <w:right w:val="none" w:sz="0" w:space="0" w:color="auto"/>
              </w:divBdr>
            </w:div>
          </w:divsChild>
        </w:div>
        <w:div w:id="219443013">
          <w:marLeft w:val="0"/>
          <w:marRight w:val="0"/>
          <w:marTop w:val="0"/>
          <w:marBottom w:val="0"/>
          <w:divBdr>
            <w:top w:val="none" w:sz="0" w:space="0" w:color="auto"/>
            <w:left w:val="none" w:sz="0" w:space="0" w:color="auto"/>
            <w:bottom w:val="none" w:sz="0" w:space="0" w:color="auto"/>
            <w:right w:val="none" w:sz="0" w:space="0" w:color="auto"/>
          </w:divBdr>
        </w:div>
        <w:div w:id="629095670">
          <w:marLeft w:val="0"/>
          <w:marRight w:val="0"/>
          <w:marTop w:val="0"/>
          <w:marBottom w:val="0"/>
          <w:divBdr>
            <w:top w:val="none" w:sz="0" w:space="0" w:color="auto"/>
            <w:left w:val="none" w:sz="0" w:space="0" w:color="auto"/>
            <w:bottom w:val="none" w:sz="0" w:space="0" w:color="auto"/>
            <w:right w:val="none" w:sz="0" w:space="0" w:color="auto"/>
          </w:divBdr>
          <w:divsChild>
            <w:div w:id="426578684">
              <w:marLeft w:val="0"/>
              <w:marRight w:val="0"/>
              <w:marTop w:val="0"/>
              <w:marBottom w:val="0"/>
              <w:divBdr>
                <w:top w:val="none" w:sz="0" w:space="0" w:color="auto"/>
                <w:left w:val="none" w:sz="0" w:space="0" w:color="auto"/>
                <w:bottom w:val="none" w:sz="0" w:space="0" w:color="auto"/>
                <w:right w:val="none" w:sz="0" w:space="0" w:color="auto"/>
              </w:divBdr>
            </w:div>
            <w:div w:id="478616936">
              <w:marLeft w:val="0"/>
              <w:marRight w:val="0"/>
              <w:marTop w:val="0"/>
              <w:marBottom w:val="0"/>
              <w:divBdr>
                <w:top w:val="none" w:sz="0" w:space="0" w:color="auto"/>
                <w:left w:val="none" w:sz="0" w:space="0" w:color="auto"/>
                <w:bottom w:val="none" w:sz="0" w:space="0" w:color="auto"/>
                <w:right w:val="none" w:sz="0" w:space="0" w:color="auto"/>
              </w:divBdr>
            </w:div>
            <w:div w:id="687757399">
              <w:marLeft w:val="0"/>
              <w:marRight w:val="0"/>
              <w:marTop w:val="0"/>
              <w:marBottom w:val="0"/>
              <w:divBdr>
                <w:top w:val="none" w:sz="0" w:space="0" w:color="auto"/>
                <w:left w:val="none" w:sz="0" w:space="0" w:color="auto"/>
                <w:bottom w:val="none" w:sz="0" w:space="0" w:color="auto"/>
                <w:right w:val="none" w:sz="0" w:space="0" w:color="auto"/>
              </w:divBdr>
            </w:div>
            <w:div w:id="758791088">
              <w:marLeft w:val="0"/>
              <w:marRight w:val="0"/>
              <w:marTop w:val="0"/>
              <w:marBottom w:val="0"/>
              <w:divBdr>
                <w:top w:val="none" w:sz="0" w:space="0" w:color="auto"/>
                <w:left w:val="none" w:sz="0" w:space="0" w:color="auto"/>
                <w:bottom w:val="none" w:sz="0" w:space="0" w:color="auto"/>
                <w:right w:val="none" w:sz="0" w:space="0" w:color="auto"/>
              </w:divBdr>
            </w:div>
            <w:div w:id="1236015697">
              <w:marLeft w:val="0"/>
              <w:marRight w:val="0"/>
              <w:marTop w:val="0"/>
              <w:marBottom w:val="0"/>
              <w:divBdr>
                <w:top w:val="none" w:sz="0" w:space="0" w:color="auto"/>
                <w:left w:val="none" w:sz="0" w:space="0" w:color="auto"/>
                <w:bottom w:val="none" w:sz="0" w:space="0" w:color="auto"/>
                <w:right w:val="none" w:sz="0" w:space="0" w:color="auto"/>
              </w:divBdr>
            </w:div>
          </w:divsChild>
        </w:div>
        <w:div w:id="692145857">
          <w:marLeft w:val="0"/>
          <w:marRight w:val="0"/>
          <w:marTop w:val="0"/>
          <w:marBottom w:val="0"/>
          <w:divBdr>
            <w:top w:val="none" w:sz="0" w:space="0" w:color="auto"/>
            <w:left w:val="none" w:sz="0" w:space="0" w:color="auto"/>
            <w:bottom w:val="none" w:sz="0" w:space="0" w:color="auto"/>
            <w:right w:val="none" w:sz="0" w:space="0" w:color="auto"/>
          </w:divBdr>
          <w:divsChild>
            <w:div w:id="29500338">
              <w:marLeft w:val="0"/>
              <w:marRight w:val="0"/>
              <w:marTop w:val="0"/>
              <w:marBottom w:val="0"/>
              <w:divBdr>
                <w:top w:val="none" w:sz="0" w:space="0" w:color="auto"/>
                <w:left w:val="none" w:sz="0" w:space="0" w:color="auto"/>
                <w:bottom w:val="none" w:sz="0" w:space="0" w:color="auto"/>
                <w:right w:val="none" w:sz="0" w:space="0" w:color="auto"/>
              </w:divBdr>
            </w:div>
            <w:div w:id="1266498308">
              <w:marLeft w:val="0"/>
              <w:marRight w:val="0"/>
              <w:marTop w:val="0"/>
              <w:marBottom w:val="0"/>
              <w:divBdr>
                <w:top w:val="none" w:sz="0" w:space="0" w:color="auto"/>
                <w:left w:val="none" w:sz="0" w:space="0" w:color="auto"/>
                <w:bottom w:val="none" w:sz="0" w:space="0" w:color="auto"/>
                <w:right w:val="none" w:sz="0" w:space="0" w:color="auto"/>
              </w:divBdr>
            </w:div>
            <w:div w:id="1625771547">
              <w:marLeft w:val="0"/>
              <w:marRight w:val="0"/>
              <w:marTop w:val="0"/>
              <w:marBottom w:val="0"/>
              <w:divBdr>
                <w:top w:val="none" w:sz="0" w:space="0" w:color="auto"/>
                <w:left w:val="none" w:sz="0" w:space="0" w:color="auto"/>
                <w:bottom w:val="none" w:sz="0" w:space="0" w:color="auto"/>
                <w:right w:val="none" w:sz="0" w:space="0" w:color="auto"/>
              </w:divBdr>
            </w:div>
            <w:div w:id="1934776432">
              <w:marLeft w:val="0"/>
              <w:marRight w:val="0"/>
              <w:marTop w:val="0"/>
              <w:marBottom w:val="0"/>
              <w:divBdr>
                <w:top w:val="none" w:sz="0" w:space="0" w:color="auto"/>
                <w:left w:val="none" w:sz="0" w:space="0" w:color="auto"/>
                <w:bottom w:val="none" w:sz="0" w:space="0" w:color="auto"/>
                <w:right w:val="none" w:sz="0" w:space="0" w:color="auto"/>
              </w:divBdr>
            </w:div>
            <w:div w:id="2026666961">
              <w:marLeft w:val="0"/>
              <w:marRight w:val="0"/>
              <w:marTop w:val="0"/>
              <w:marBottom w:val="0"/>
              <w:divBdr>
                <w:top w:val="none" w:sz="0" w:space="0" w:color="auto"/>
                <w:left w:val="none" w:sz="0" w:space="0" w:color="auto"/>
                <w:bottom w:val="none" w:sz="0" w:space="0" w:color="auto"/>
                <w:right w:val="none" w:sz="0" w:space="0" w:color="auto"/>
              </w:divBdr>
            </w:div>
          </w:divsChild>
        </w:div>
        <w:div w:id="730925676">
          <w:marLeft w:val="0"/>
          <w:marRight w:val="0"/>
          <w:marTop w:val="0"/>
          <w:marBottom w:val="0"/>
          <w:divBdr>
            <w:top w:val="none" w:sz="0" w:space="0" w:color="auto"/>
            <w:left w:val="none" w:sz="0" w:space="0" w:color="auto"/>
            <w:bottom w:val="none" w:sz="0" w:space="0" w:color="auto"/>
            <w:right w:val="none" w:sz="0" w:space="0" w:color="auto"/>
          </w:divBdr>
          <w:divsChild>
            <w:div w:id="590049929">
              <w:marLeft w:val="0"/>
              <w:marRight w:val="0"/>
              <w:marTop w:val="0"/>
              <w:marBottom w:val="0"/>
              <w:divBdr>
                <w:top w:val="none" w:sz="0" w:space="0" w:color="auto"/>
                <w:left w:val="none" w:sz="0" w:space="0" w:color="auto"/>
                <w:bottom w:val="none" w:sz="0" w:space="0" w:color="auto"/>
                <w:right w:val="none" w:sz="0" w:space="0" w:color="auto"/>
              </w:divBdr>
            </w:div>
            <w:div w:id="595094543">
              <w:marLeft w:val="0"/>
              <w:marRight w:val="0"/>
              <w:marTop w:val="0"/>
              <w:marBottom w:val="0"/>
              <w:divBdr>
                <w:top w:val="none" w:sz="0" w:space="0" w:color="auto"/>
                <w:left w:val="none" w:sz="0" w:space="0" w:color="auto"/>
                <w:bottom w:val="none" w:sz="0" w:space="0" w:color="auto"/>
                <w:right w:val="none" w:sz="0" w:space="0" w:color="auto"/>
              </w:divBdr>
            </w:div>
            <w:div w:id="711734192">
              <w:marLeft w:val="0"/>
              <w:marRight w:val="0"/>
              <w:marTop w:val="0"/>
              <w:marBottom w:val="0"/>
              <w:divBdr>
                <w:top w:val="none" w:sz="0" w:space="0" w:color="auto"/>
                <w:left w:val="none" w:sz="0" w:space="0" w:color="auto"/>
                <w:bottom w:val="none" w:sz="0" w:space="0" w:color="auto"/>
                <w:right w:val="none" w:sz="0" w:space="0" w:color="auto"/>
              </w:divBdr>
            </w:div>
            <w:div w:id="1638343257">
              <w:marLeft w:val="0"/>
              <w:marRight w:val="0"/>
              <w:marTop w:val="0"/>
              <w:marBottom w:val="0"/>
              <w:divBdr>
                <w:top w:val="none" w:sz="0" w:space="0" w:color="auto"/>
                <w:left w:val="none" w:sz="0" w:space="0" w:color="auto"/>
                <w:bottom w:val="none" w:sz="0" w:space="0" w:color="auto"/>
                <w:right w:val="none" w:sz="0" w:space="0" w:color="auto"/>
              </w:divBdr>
            </w:div>
            <w:div w:id="2142140893">
              <w:marLeft w:val="0"/>
              <w:marRight w:val="0"/>
              <w:marTop w:val="0"/>
              <w:marBottom w:val="0"/>
              <w:divBdr>
                <w:top w:val="none" w:sz="0" w:space="0" w:color="auto"/>
                <w:left w:val="none" w:sz="0" w:space="0" w:color="auto"/>
                <w:bottom w:val="none" w:sz="0" w:space="0" w:color="auto"/>
                <w:right w:val="none" w:sz="0" w:space="0" w:color="auto"/>
              </w:divBdr>
            </w:div>
          </w:divsChild>
        </w:div>
        <w:div w:id="1174420818">
          <w:marLeft w:val="0"/>
          <w:marRight w:val="0"/>
          <w:marTop w:val="0"/>
          <w:marBottom w:val="0"/>
          <w:divBdr>
            <w:top w:val="none" w:sz="0" w:space="0" w:color="auto"/>
            <w:left w:val="none" w:sz="0" w:space="0" w:color="auto"/>
            <w:bottom w:val="none" w:sz="0" w:space="0" w:color="auto"/>
            <w:right w:val="none" w:sz="0" w:space="0" w:color="auto"/>
          </w:divBdr>
          <w:divsChild>
            <w:div w:id="682973122">
              <w:marLeft w:val="0"/>
              <w:marRight w:val="0"/>
              <w:marTop w:val="0"/>
              <w:marBottom w:val="0"/>
              <w:divBdr>
                <w:top w:val="none" w:sz="0" w:space="0" w:color="auto"/>
                <w:left w:val="none" w:sz="0" w:space="0" w:color="auto"/>
                <w:bottom w:val="none" w:sz="0" w:space="0" w:color="auto"/>
                <w:right w:val="none" w:sz="0" w:space="0" w:color="auto"/>
              </w:divBdr>
            </w:div>
            <w:div w:id="1265383009">
              <w:marLeft w:val="0"/>
              <w:marRight w:val="0"/>
              <w:marTop w:val="0"/>
              <w:marBottom w:val="0"/>
              <w:divBdr>
                <w:top w:val="none" w:sz="0" w:space="0" w:color="auto"/>
                <w:left w:val="none" w:sz="0" w:space="0" w:color="auto"/>
                <w:bottom w:val="none" w:sz="0" w:space="0" w:color="auto"/>
                <w:right w:val="none" w:sz="0" w:space="0" w:color="auto"/>
              </w:divBdr>
            </w:div>
            <w:div w:id="1308435013">
              <w:marLeft w:val="0"/>
              <w:marRight w:val="0"/>
              <w:marTop w:val="0"/>
              <w:marBottom w:val="0"/>
              <w:divBdr>
                <w:top w:val="none" w:sz="0" w:space="0" w:color="auto"/>
                <w:left w:val="none" w:sz="0" w:space="0" w:color="auto"/>
                <w:bottom w:val="none" w:sz="0" w:space="0" w:color="auto"/>
                <w:right w:val="none" w:sz="0" w:space="0" w:color="auto"/>
              </w:divBdr>
            </w:div>
            <w:div w:id="1540776248">
              <w:marLeft w:val="0"/>
              <w:marRight w:val="0"/>
              <w:marTop w:val="0"/>
              <w:marBottom w:val="0"/>
              <w:divBdr>
                <w:top w:val="none" w:sz="0" w:space="0" w:color="auto"/>
                <w:left w:val="none" w:sz="0" w:space="0" w:color="auto"/>
                <w:bottom w:val="none" w:sz="0" w:space="0" w:color="auto"/>
                <w:right w:val="none" w:sz="0" w:space="0" w:color="auto"/>
              </w:divBdr>
            </w:div>
            <w:div w:id="1682781427">
              <w:marLeft w:val="0"/>
              <w:marRight w:val="0"/>
              <w:marTop w:val="0"/>
              <w:marBottom w:val="0"/>
              <w:divBdr>
                <w:top w:val="none" w:sz="0" w:space="0" w:color="auto"/>
                <w:left w:val="none" w:sz="0" w:space="0" w:color="auto"/>
                <w:bottom w:val="none" w:sz="0" w:space="0" w:color="auto"/>
                <w:right w:val="none" w:sz="0" w:space="0" w:color="auto"/>
              </w:divBdr>
            </w:div>
          </w:divsChild>
        </w:div>
        <w:div w:id="1802729560">
          <w:marLeft w:val="0"/>
          <w:marRight w:val="0"/>
          <w:marTop w:val="0"/>
          <w:marBottom w:val="0"/>
          <w:divBdr>
            <w:top w:val="none" w:sz="0" w:space="0" w:color="auto"/>
            <w:left w:val="none" w:sz="0" w:space="0" w:color="auto"/>
            <w:bottom w:val="none" w:sz="0" w:space="0" w:color="auto"/>
            <w:right w:val="none" w:sz="0" w:space="0" w:color="auto"/>
          </w:divBdr>
          <w:divsChild>
            <w:div w:id="141510057">
              <w:marLeft w:val="0"/>
              <w:marRight w:val="0"/>
              <w:marTop w:val="0"/>
              <w:marBottom w:val="0"/>
              <w:divBdr>
                <w:top w:val="none" w:sz="0" w:space="0" w:color="auto"/>
                <w:left w:val="none" w:sz="0" w:space="0" w:color="auto"/>
                <w:bottom w:val="none" w:sz="0" w:space="0" w:color="auto"/>
                <w:right w:val="none" w:sz="0" w:space="0" w:color="auto"/>
              </w:divBdr>
            </w:div>
            <w:div w:id="684329194">
              <w:marLeft w:val="0"/>
              <w:marRight w:val="0"/>
              <w:marTop w:val="0"/>
              <w:marBottom w:val="0"/>
              <w:divBdr>
                <w:top w:val="none" w:sz="0" w:space="0" w:color="auto"/>
                <w:left w:val="none" w:sz="0" w:space="0" w:color="auto"/>
                <w:bottom w:val="none" w:sz="0" w:space="0" w:color="auto"/>
                <w:right w:val="none" w:sz="0" w:space="0" w:color="auto"/>
              </w:divBdr>
            </w:div>
            <w:div w:id="1088580591">
              <w:marLeft w:val="0"/>
              <w:marRight w:val="0"/>
              <w:marTop w:val="0"/>
              <w:marBottom w:val="0"/>
              <w:divBdr>
                <w:top w:val="none" w:sz="0" w:space="0" w:color="auto"/>
                <w:left w:val="none" w:sz="0" w:space="0" w:color="auto"/>
                <w:bottom w:val="none" w:sz="0" w:space="0" w:color="auto"/>
                <w:right w:val="none" w:sz="0" w:space="0" w:color="auto"/>
              </w:divBdr>
            </w:div>
            <w:div w:id="1164206248">
              <w:marLeft w:val="0"/>
              <w:marRight w:val="0"/>
              <w:marTop w:val="0"/>
              <w:marBottom w:val="0"/>
              <w:divBdr>
                <w:top w:val="none" w:sz="0" w:space="0" w:color="auto"/>
                <w:left w:val="none" w:sz="0" w:space="0" w:color="auto"/>
                <w:bottom w:val="none" w:sz="0" w:space="0" w:color="auto"/>
                <w:right w:val="none" w:sz="0" w:space="0" w:color="auto"/>
              </w:divBdr>
            </w:div>
            <w:div w:id="1694963826">
              <w:marLeft w:val="0"/>
              <w:marRight w:val="0"/>
              <w:marTop w:val="0"/>
              <w:marBottom w:val="0"/>
              <w:divBdr>
                <w:top w:val="none" w:sz="0" w:space="0" w:color="auto"/>
                <w:left w:val="none" w:sz="0" w:space="0" w:color="auto"/>
                <w:bottom w:val="none" w:sz="0" w:space="0" w:color="auto"/>
                <w:right w:val="none" w:sz="0" w:space="0" w:color="auto"/>
              </w:divBdr>
            </w:div>
          </w:divsChild>
        </w:div>
        <w:div w:id="1935438054">
          <w:marLeft w:val="0"/>
          <w:marRight w:val="0"/>
          <w:marTop w:val="0"/>
          <w:marBottom w:val="0"/>
          <w:divBdr>
            <w:top w:val="none" w:sz="0" w:space="0" w:color="auto"/>
            <w:left w:val="none" w:sz="0" w:space="0" w:color="auto"/>
            <w:bottom w:val="none" w:sz="0" w:space="0" w:color="auto"/>
            <w:right w:val="none" w:sz="0" w:space="0" w:color="auto"/>
          </w:divBdr>
          <w:divsChild>
            <w:div w:id="297032844">
              <w:marLeft w:val="0"/>
              <w:marRight w:val="0"/>
              <w:marTop w:val="0"/>
              <w:marBottom w:val="0"/>
              <w:divBdr>
                <w:top w:val="none" w:sz="0" w:space="0" w:color="auto"/>
                <w:left w:val="none" w:sz="0" w:space="0" w:color="auto"/>
                <w:bottom w:val="none" w:sz="0" w:space="0" w:color="auto"/>
                <w:right w:val="none" w:sz="0" w:space="0" w:color="auto"/>
              </w:divBdr>
            </w:div>
            <w:div w:id="406461271">
              <w:marLeft w:val="0"/>
              <w:marRight w:val="0"/>
              <w:marTop w:val="0"/>
              <w:marBottom w:val="0"/>
              <w:divBdr>
                <w:top w:val="none" w:sz="0" w:space="0" w:color="auto"/>
                <w:left w:val="none" w:sz="0" w:space="0" w:color="auto"/>
                <w:bottom w:val="none" w:sz="0" w:space="0" w:color="auto"/>
                <w:right w:val="none" w:sz="0" w:space="0" w:color="auto"/>
              </w:divBdr>
            </w:div>
            <w:div w:id="466433212">
              <w:marLeft w:val="0"/>
              <w:marRight w:val="0"/>
              <w:marTop w:val="0"/>
              <w:marBottom w:val="0"/>
              <w:divBdr>
                <w:top w:val="none" w:sz="0" w:space="0" w:color="auto"/>
                <w:left w:val="none" w:sz="0" w:space="0" w:color="auto"/>
                <w:bottom w:val="none" w:sz="0" w:space="0" w:color="auto"/>
                <w:right w:val="none" w:sz="0" w:space="0" w:color="auto"/>
              </w:divBdr>
            </w:div>
            <w:div w:id="774517545">
              <w:marLeft w:val="0"/>
              <w:marRight w:val="0"/>
              <w:marTop w:val="0"/>
              <w:marBottom w:val="0"/>
              <w:divBdr>
                <w:top w:val="none" w:sz="0" w:space="0" w:color="auto"/>
                <w:left w:val="none" w:sz="0" w:space="0" w:color="auto"/>
                <w:bottom w:val="none" w:sz="0" w:space="0" w:color="auto"/>
                <w:right w:val="none" w:sz="0" w:space="0" w:color="auto"/>
              </w:divBdr>
            </w:div>
            <w:div w:id="195710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20554">
      <w:bodyDiv w:val="1"/>
      <w:marLeft w:val="0"/>
      <w:marRight w:val="0"/>
      <w:marTop w:val="0"/>
      <w:marBottom w:val="0"/>
      <w:divBdr>
        <w:top w:val="none" w:sz="0" w:space="0" w:color="auto"/>
        <w:left w:val="none" w:sz="0" w:space="0" w:color="auto"/>
        <w:bottom w:val="none" w:sz="0" w:space="0" w:color="auto"/>
        <w:right w:val="none" w:sz="0" w:space="0" w:color="auto"/>
      </w:divBdr>
      <w:divsChild>
        <w:div w:id="368187383">
          <w:marLeft w:val="0"/>
          <w:marRight w:val="0"/>
          <w:marTop w:val="0"/>
          <w:marBottom w:val="0"/>
          <w:divBdr>
            <w:top w:val="none" w:sz="0" w:space="0" w:color="auto"/>
            <w:left w:val="none" w:sz="0" w:space="0" w:color="auto"/>
            <w:bottom w:val="none" w:sz="0" w:space="0" w:color="auto"/>
            <w:right w:val="none" w:sz="0" w:space="0" w:color="auto"/>
          </w:divBdr>
        </w:div>
        <w:div w:id="766585654">
          <w:marLeft w:val="-75"/>
          <w:marRight w:val="0"/>
          <w:marTop w:val="30"/>
          <w:marBottom w:val="30"/>
          <w:divBdr>
            <w:top w:val="none" w:sz="0" w:space="0" w:color="auto"/>
            <w:left w:val="none" w:sz="0" w:space="0" w:color="auto"/>
            <w:bottom w:val="none" w:sz="0" w:space="0" w:color="auto"/>
            <w:right w:val="none" w:sz="0" w:space="0" w:color="auto"/>
          </w:divBdr>
          <w:divsChild>
            <w:div w:id="66072113">
              <w:marLeft w:val="0"/>
              <w:marRight w:val="0"/>
              <w:marTop w:val="0"/>
              <w:marBottom w:val="0"/>
              <w:divBdr>
                <w:top w:val="none" w:sz="0" w:space="0" w:color="auto"/>
                <w:left w:val="none" w:sz="0" w:space="0" w:color="auto"/>
                <w:bottom w:val="none" w:sz="0" w:space="0" w:color="auto"/>
                <w:right w:val="none" w:sz="0" w:space="0" w:color="auto"/>
              </w:divBdr>
              <w:divsChild>
                <w:div w:id="325787597">
                  <w:marLeft w:val="0"/>
                  <w:marRight w:val="0"/>
                  <w:marTop w:val="0"/>
                  <w:marBottom w:val="0"/>
                  <w:divBdr>
                    <w:top w:val="none" w:sz="0" w:space="0" w:color="auto"/>
                    <w:left w:val="none" w:sz="0" w:space="0" w:color="auto"/>
                    <w:bottom w:val="none" w:sz="0" w:space="0" w:color="auto"/>
                    <w:right w:val="none" w:sz="0" w:space="0" w:color="auto"/>
                  </w:divBdr>
                </w:div>
              </w:divsChild>
            </w:div>
            <w:div w:id="116415111">
              <w:marLeft w:val="0"/>
              <w:marRight w:val="0"/>
              <w:marTop w:val="0"/>
              <w:marBottom w:val="0"/>
              <w:divBdr>
                <w:top w:val="none" w:sz="0" w:space="0" w:color="auto"/>
                <w:left w:val="none" w:sz="0" w:space="0" w:color="auto"/>
                <w:bottom w:val="none" w:sz="0" w:space="0" w:color="auto"/>
                <w:right w:val="none" w:sz="0" w:space="0" w:color="auto"/>
              </w:divBdr>
              <w:divsChild>
                <w:div w:id="1037588620">
                  <w:marLeft w:val="0"/>
                  <w:marRight w:val="0"/>
                  <w:marTop w:val="0"/>
                  <w:marBottom w:val="0"/>
                  <w:divBdr>
                    <w:top w:val="none" w:sz="0" w:space="0" w:color="auto"/>
                    <w:left w:val="none" w:sz="0" w:space="0" w:color="auto"/>
                    <w:bottom w:val="none" w:sz="0" w:space="0" w:color="auto"/>
                    <w:right w:val="none" w:sz="0" w:space="0" w:color="auto"/>
                  </w:divBdr>
                </w:div>
              </w:divsChild>
            </w:div>
            <w:div w:id="169835493">
              <w:marLeft w:val="0"/>
              <w:marRight w:val="0"/>
              <w:marTop w:val="0"/>
              <w:marBottom w:val="0"/>
              <w:divBdr>
                <w:top w:val="none" w:sz="0" w:space="0" w:color="auto"/>
                <w:left w:val="none" w:sz="0" w:space="0" w:color="auto"/>
                <w:bottom w:val="none" w:sz="0" w:space="0" w:color="auto"/>
                <w:right w:val="none" w:sz="0" w:space="0" w:color="auto"/>
              </w:divBdr>
              <w:divsChild>
                <w:div w:id="1253852992">
                  <w:marLeft w:val="0"/>
                  <w:marRight w:val="0"/>
                  <w:marTop w:val="0"/>
                  <w:marBottom w:val="0"/>
                  <w:divBdr>
                    <w:top w:val="none" w:sz="0" w:space="0" w:color="auto"/>
                    <w:left w:val="none" w:sz="0" w:space="0" w:color="auto"/>
                    <w:bottom w:val="none" w:sz="0" w:space="0" w:color="auto"/>
                    <w:right w:val="none" w:sz="0" w:space="0" w:color="auto"/>
                  </w:divBdr>
                </w:div>
              </w:divsChild>
            </w:div>
            <w:div w:id="233469335">
              <w:marLeft w:val="0"/>
              <w:marRight w:val="0"/>
              <w:marTop w:val="0"/>
              <w:marBottom w:val="0"/>
              <w:divBdr>
                <w:top w:val="none" w:sz="0" w:space="0" w:color="auto"/>
                <w:left w:val="none" w:sz="0" w:space="0" w:color="auto"/>
                <w:bottom w:val="none" w:sz="0" w:space="0" w:color="auto"/>
                <w:right w:val="none" w:sz="0" w:space="0" w:color="auto"/>
              </w:divBdr>
              <w:divsChild>
                <w:div w:id="1638998255">
                  <w:marLeft w:val="0"/>
                  <w:marRight w:val="0"/>
                  <w:marTop w:val="0"/>
                  <w:marBottom w:val="0"/>
                  <w:divBdr>
                    <w:top w:val="none" w:sz="0" w:space="0" w:color="auto"/>
                    <w:left w:val="none" w:sz="0" w:space="0" w:color="auto"/>
                    <w:bottom w:val="none" w:sz="0" w:space="0" w:color="auto"/>
                    <w:right w:val="none" w:sz="0" w:space="0" w:color="auto"/>
                  </w:divBdr>
                </w:div>
              </w:divsChild>
            </w:div>
            <w:div w:id="278494324">
              <w:marLeft w:val="0"/>
              <w:marRight w:val="0"/>
              <w:marTop w:val="0"/>
              <w:marBottom w:val="0"/>
              <w:divBdr>
                <w:top w:val="none" w:sz="0" w:space="0" w:color="auto"/>
                <w:left w:val="none" w:sz="0" w:space="0" w:color="auto"/>
                <w:bottom w:val="none" w:sz="0" w:space="0" w:color="auto"/>
                <w:right w:val="none" w:sz="0" w:space="0" w:color="auto"/>
              </w:divBdr>
              <w:divsChild>
                <w:div w:id="2108233300">
                  <w:marLeft w:val="0"/>
                  <w:marRight w:val="0"/>
                  <w:marTop w:val="0"/>
                  <w:marBottom w:val="0"/>
                  <w:divBdr>
                    <w:top w:val="none" w:sz="0" w:space="0" w:color="auto"/>
                    <w:left w:val="none" w:sz="0" w:space="0" w:color="auto"/>
                    <w:bottom w:val="none" w:sz="0" w:space="0" w:color="auto"/>
                    <w:right w:val="none" w:sz="0" w:space="0" w:color="auto"/>
                  </w:divBdr>
                </w:div>
              </w:divsChild>
            </w:div>
            <w:div w:id="286089565">
              <w:marLeft w:val="0"/>
              <w:marRight w:val="0"/>
              <w:marTop w:val="0"/>
              <w:marBottom w:val="0"/>
              <w:divBdr>
                <w:top w:val="none" w:sz="0" w:space="0" w:color="auto"/>
                <w:left w:val="none" w:sz="0" w:space="0" w:color="auto"/>
                <w:bottom w:val="none" w:sz="0" w:space="0" w:color="auto"/>
                <w:right w:val="none" w:sz="0" w:space="0" w:color="auto"/>
              </w:divBdr>
              <w:divsChild>
                <w:div w:id="219637254">
                  <w:marLeft w:val="0"/>
                  <w:marRight w:val="0"/>
                  <w:marTop w:val="0"/>
                  <w:marBottom w:val="0"/>
                  <w:divBdr>
                    <w:top w:val="none" w:sz="0" w:space="0" w:color="auto"/>
                    <w:left w:val="none" w:sz="0" w:space="0" w:color="auto"/>
                    <w:bottom w:val="none" w:sz="0" w:space="0" w:color="auto"/>
                    <w:right w:val="none" w:sz="0" w:space="0" w:color="auto"/>
                  </w:divBdr>
                </w:div>
              </w:divsChild>
            </w:div>
            <w:div w:id="293339240">
              <w:marLeft w:val="0"/>
              <w:marRight w:val="0"/>
              <w:marTop w:val="0"/>
              <w:marBottom w:val="0"/>
              <w:divBdr>
                <w:top w:val="none" w:sz="0" w:space="0" w:color="auto"/>
                <w:left w:val="none" w:sz="0" w:space="0" w:color="auto"/>
                <w:bottom w:val="none" w:sz="0" w:space="0" w:color="auto"/>
                <w:right w:val="none" w:sz="0" w:space="0" w:color="auto"/>
              </w:divBdr>
              <w:divsChild>
                <w:div w:id="125321277">
                  <w:marLeft w:val="0"/>
                  <w:marRight w:val="0"/>
                  <w:marTop w:val="0"/>
                  <w:marBottom w:val="0"/>
                  <w:divBdr>
                    <w:top w:val="none" w:sz="0" w:space="0" w:color="auto"/>
                    <w:left w:val="none" w:sz="0" w:space="0" w:color="auto"/>
                    <w:bottom w:val="none" w:sz="0" w:space="0" w:color="auto"/>
                    <w:right w:val="none" w:sz="0" w:space="0" w:color="auto"/>
                  </w:divBdr>
                </w:div>
              </w:divsChild>
            </w:div>
            <w:div w:id="297540300">
              <w:marLeft w:val="0"/>
              <w:marRight w:val="0"/>
              <w:marTop w:val="0"/>
              <w:marBottom w:val="0"/>
              <w:divBdr>
                <w:top w:val="none" w:sz="0" w:space="0" w:color="auto"/>
                <w:left w:val="none" w:sz="0" w:space="0" w:color="auto"/>
                <w:bottom w:val="none" w:sz="0" w:space="0" w:color="auto"/>
                <w:right w:val="none" w:sz="0" w:space="0" w:color="auto"/>
              </w:divBdr>
              <w:divsChild>
                <w:div w:id="1175152404">
                  <w:marLeft w:val="0"/>
                  <w:marRight w:val="0"/>
                  <w:marTop w:val="0"/>
                  <w:marBottom w:val="0"/>
                  <w:divBdr>
                    <w:top w:val="none" w:sz="0" w:space="0" w:color="auto"/>
                    <w:left w:val="none" w:sz="0" w:space="0" w:color="auto"/>
                    <w:bottom w:val="none" w:sz="0" w:space="0" w:color="auto"/>
                    <w:right w:val="none" w:sz="0" w:space="0" w:color="auto"/>
                  </w:divBdr>
                </w:div>
              </w:divsChild>
            </w:div>
            <w:div w:id="334576139">
              <w:marLeft w:val="0"/>
              <w:marRight w:val="0"/>
              <w:marTop w:val="0"/>
              <w:marBottom w:val="0"/>
              <w:divBdr>
                <w:top w:val="none" w:sz="0" w:space="0" w:color="auto"/>
                <w:left w:val="none" w:sz="0" w:space="0" w:color="auto"/>
                <w:bottom w:val="none" w:sz="0" w:space="0" w:color="auto"/>
                <w:right w:val="none" w:sz="0" w:space="0" w:color="auto"/>
              </w:divBdr>
              <w:divsChild>
                <w:div w:id="107970082">
                  <w:marLeft w:val="0"/>
                  <w:marRight w:val="0"/>
                  <w:marTop w:val="0"/>
                  <w:marBottom w:val="0"/>
                  <w:divBdr>
                    <w:top w:val="none" w:sz="0" w:space="0" w:color="auto"/>
                    <w:left w:val="none" w:sz="0" w:space="0" w:color="auto"/>
                    <w:bottom w:val="none" w:sz="0" w:space="0" w:color="auto"/>
                    <w:right w:val="none" w:sz="0" w:space="0" w:color="auto"/>
                  </w:divBdr>
                </w:div>
              </w:divsChild>
            </w:div>
            <w:div w:id="373115824">
              <w:marLeft w:val="0"/>
              <w:marRight w:val="0"/>
              <w:marTop w:val="0"/>
              <w:marBottom w:val="0"/>
              <w:divBdr>
                <w:top w:val="none" w:sz="0" w:space="0" w:color="auto"/>
                <w:left w:val="none" w:sz="0" w:space="0" w:color="auto"/>
                <w:bottom w:val="none" w:sz="0" w:space="0" w:color="auto"/>
                <w:right w:val="none" w:sz="0" w:space="0" w:color="auto"/>
              </w:divBdr>
              <w:divsChild>
                <w:div w:id="828448697">
                  <w:marLeft w:val="0"/>
                  <w:marRight w:val="0"/>
                  <w:marTop w:val="0"/>
                  <w:marBottom w:val="0"/>
                  <w:divBdr>
                    <w:top w:val="none" w:sz="0" w:space="0" w:color="auto"/>
                    <w:left w:val="none" w:sz="0" w:space="0" w:color="auto"/>
                    <w:bottom w:val="none" w:sz="0" w:space="0" w:color="auto"/>
                    <w:right w:val="none" w:sz="0" w:space="0" w:color="auto"/>
                  </w:divBdr>
                </w:div>
              </w:divsChild>
            </w:div>
            <w:div w:id="377052605">
              <w:marLeft w:val="0"/>
              <w:marRight w:val="0"/>
              <w:marTop w:val="0"/>
              <w:marBottom w:val="0"/>
              <w:divBdr>
                <w:top w:val="none" w:sz="0" w:space="0" w:color="auto"/>
                <w:left w:val="none" w:sz="0" w:space="0" w:color="auto"/>
                <w:bottom w:val="none" w:sz="0" w:space="0" w:color="auto"/>
                <w:right w:val="none" w:sz="0" w:space="0" w:color="auto"/>
              </w:divBdr>
              <w:divsChild>
                <w:div w:id="830945361">
                  <w:marLeft w:val="0"/>
                  <w:marRight w:val="0"/>
                  <w:marTop w:val="0"/>
                  <w:marBottom w:val="0"/>
                  <w:divBdr>
                    <w:top w:val="none" w:sz="0" w:space="0" w:color="auto"/>
                    <w:left w:val="none" w:sz="0" w:space="0" w:color="auto"/>
                    <w:bottom w:val="none" w:sz="0" w:space="0" w:color="auto"/>
                    <w:right w:val="none" w:sz="0" w:space="0" w:color="auto"/>
                  </w:divBdr>
                </w:div>
              </w:divsChild>
            </w:div>
            <w:div w:id="531655059">
              <w:marLeft w:val="0"/>
              <w:marRight w:val="0"/>
              <w:marTop w:val="0"/>
              <w:marBottom w:val="0"/>
              <w:divBdr>
                <w:top w:val="none" w:sz="0" w:space="0" w:color="auto"/>
                <w:left w:val="none" w:sz="0" w:space="0" w:color="auto"/>
                <w:bottom w:val="none" w:sz="0" w:space="0" w:color="auto"/>
                <w:right w:val="none" w:sz="0" w:space="0" w:color="auto"/>
              </w:divBdr>
              <w:divsChild>
                <w:div w:id="1256554085">
                  <w:marLeft w:val="0"/>
                  <w:marRight w:val="0"/>
                  <w:marTop w:val="0"/>
                  <w:marBottom w:val="0"/>
                  <w:divBdr>
                    <w:top w:val="none" w:sz="0" w:space="0" w:color="auto"/>
                    <w:left w:val="none" w:sz="0" w:space="0" w:color="auto"/>
                    <w:bottom w:val="none" w:sz="0" w:space="0" w:color="auto"/>
                    <w:right w:val="none" w:sz="0" w:space="0" w:color="auto"/>
                  </w:divBdr>
                </w:div>
              </w:divsChild>
            </w:div>
            <w:div w:id="716516493">
              <w:marLeft w:val="0"/>
              <w:marRight w:val="0"/>
              <w:marTop w:val="0"/>
              <w:marBottom w:val="0"/>
              <w:divBdr>
                <w:top w:val="none" w:sz="0" w:space="0" w:color="auto"/>
                <w:left w:val="none" w:sz="0" w:space="0" w:color="auto"/>
                <w:bottom w:val="none" w:sz="0" w:space="0" w:color="auto"/>
                <w:right w:val="none" w:sz="0" w:space="0" w:color="auto"/>
              </w:divBdr>
              <w:divsChild>
                <w:div w:id="277807228">
                  <w:marLeft w:val="0"/>
                  <w:marRight w:val="0"/>
                  <w:marTop w:val="0"/>
                  <w:marBottom w:val="0"/>
                  <w:divBdr>
                    <w:top w:val="none" w:sz="0" w:space="0" w:color="auto"/>
                    <w:left w:val="none" w:sz="0" w:space="0" w:color="auto"/>
                    <w:bottom w:val="none" w:sz="0" w:space="0" w:color="auto"/>
                    <w:right w:val="none" w:sz="0" w:space="0" w:color="auto"/>
                  </w:divBdr>
                </w:div>
              </w:divsChild>
            </w:div>
            <w:div w:id="719088544">
              <w:marLeft w:val="0"/>
              <w:marRight w:val="0"/>
              <w:marTop w:val="0"/>
              <w:marBottom w:val="0"/>
              <w:divBdr>
                <w:top w:val="none" w:sz="0" w:space="0" w:color="auto"/>
                <w:left w:val="none" w:sz="0" w:space="0" w:color="auto"/>
                <w:bottom w:val="none" w:sz="0" w:space="0" w:color="auto"/>
                <w:right w:val="none" w:sz="0" w:space="0" w:color="auto"/>
              </w:divBdr>
              <w:divsChild>
                <w:div w:id="1481190998">
                  <w:marLeft w:val="0"/>
                  <w:marRight w:val="0"/>
                  <w:marTop w:val="0"/>
                  <w:marBottom w:val="0"/>
                  <w:divBdr>
                    <w:top w:val="none" w:sz="0" w:space="0" w:color="auto"/>
                    <w:left w:val="none" w:sz="0" w:space="0" w:color="auto"/>
                    <w:bottom w:val="none" w:sz="0" w:space="0" w:color="auto"/>
                    <w:right w:val="none" w:sz="0" w:space="0" w:color="auto"/>
                  </w:divBdr>
                </w:div>
              </w:divsChild>
            </w:div>
            <w:div w:id="855650692">
              <w:marLeft w:val="0"/>
              <w:marRight w:val="0"/>
              <w:marTop w:val="0"/>
              <w:marBottom w:val="0"/>
              <w:divBdr>
                <w:top w:val="none" w:sz="0" w:space="0" w:color="auto"/>
                <w:left w:val="none" w:sz="0" w:space="0" w:color="auto"/>
                <w:bottom w:val="none" w:sz="0" w:space="0" w:color="auto"/>
                <w:right w:val="none" w:sz="0" w:space="0" w:color="auto"/>
              </w:divBdr>
              <w:divsChild>
                <w:div w:id="1777866872">
                  <w:marLeft w:val="0"/>
                  <w:marRight w:val="0"/>
                  <w:marTop w:val="0"/>
                  <w:marBottom w:val="0"/>
                  <w:divBdr>
                    <w:top w:val="none" w:sz="0" w:space="0" w:color="auto"/>
                    <w:left w:val="none" w:sz="0" w:space="0" w:color="auto"/>
                    <w:bottom w:val="none" w:sz="0" w:space="0" w:color="auto"/>
                    <w:right w:val="none" w:sz="0" w:space="0" w:color="auto"/>
                  </w:divBdr>
                </w:div>
              </w:divsChild>
            </w:div>
            <w:div w:id="911081866">
              <w:marLeft w:val="0"/>
              <w:marRight w:val="0"/>
              <w:marTop w:val="0"/>
              <w:marBottom w:val="0"/>
              <w:divBdr>
                <w:top w:val="none" w:sz="0" w:space="0" w:color="auto"/>
                <w:left w:val="none" w:sz="0" w:space="0" w:color="auto"/>
                <w:bottom w:val="none" w:sz="0" w:space="0" w:color="auto"/>
                <w:right w:val="none" w:sz="0" w:space="0" w:color="auto"/>
              </w:divBdr>
              <w:divsChild>
                <w:div w:id="259488985">
                  <w:marLeft w:val="0"/>
                  <w:marRight w:val="0"/>
                  <w:marTop w:val="0"/>
                  <w:marBottom w:val="0"/>
                  <w:divBdr>
                    <w:top w:val="none" w:sz="0" w:space="0" w:color="auto"/>
                    <w:left w:val="none" w:sz="0" w:space="0" w:color="auto"/>
                    <w:bottom w:val="none" w:sz="0" w:space="0" w:color="auto"/>
                    <w:right w:val="none" w:sz="0" w:space="0" w:color="auto"/>
                  </w:divBdr>
                </w:div>
              </w:divsChild>
            </w:div>
            <w:div w:id="950013778">
              <w:marLeft w:val="0"/>
              <w:marRight w:val="0"/>
              <w:marTop w:val="0"/>
              <w:marBottom w:val="0"/>
              <w:divBdr>
                <w:top w:val="none" w:sz="0" w:space="0" w:color="auto"/>
                <w:left w:val="none" w:sz="0" w:space="0" w:color="auto"/>
                <w:bottom w:val="none" w:sz="0" w:space="0" w:color="auto"/>
                <w:right w:val="none" w:sz="0" w:space="0" w:color="auto"/>
              </w:divBdr>
              <w:divsChild>
                <w:div w:id="92093969">
                  <w:marLeft w:val="0"/>
                  <w:marRight w:val="0"/>
                  <w:marTop w:val="0"/>
                  <w:marBottom w:val="0"/>
                  <w:divBdr>
                    <w:top w:val="none" w:sz="0" w:space="0" w:color="auto"/>
                    <w:left w:val="none" w:sz="0" w:space="0" w:color="auto"/>
                    <w:bottom w:val="none" w:sz="0" w:space="0" w:color="auto"/>
                    <w:right w:val="none" w:sz="0" w:space="0" w:color="auto"/>
                  </w:divBdr>
                </w:div>
              </w:divsChild>
            </w:div>
            <w:div w:id="974793600">
              <w:marLeft w:val="0"/>
              <w:marRight w:val="0"/>
              <w:marTop w:val="0"/>
              <w:marBottom w:val="0"/>
              <w:divBdr>
                <w:top w:val="none" w:sz="0" w:space="0" w:color="auto"/>
                <w:left w:val="none" w:sz="0" w:space="0" w:color="auto"/>
                <w:bottom w:val="none" w:sz="0" w:space="0" w:color="auto"/>
                <w:right w:val="none" w:sz="0" w:space="0" w:color="auto"/>
              </w:divBdr>
              <w:divsChild>
                <w:div w:id="1230844803">
                  <w:marLeft w:val="0"/>
                  <w:marRight w:val="0"/>
                  <w:marTop w:val="0"/>
                  <w:marBottom w:val="0"/>
                  <w:divBdr>
                    <w:top w:val="none" w:sz="0" w:space="0" w:color="auto"/>
                    <w:left w:val="none" w:sz="0" w:space="0" w:color="auto"/>
                    <w:bottom w:val="none" w:sz="0" w:space="0" w:color="auto"/>
                    <w:right w:val="none" w:sz="0" w:space="0" w:color="auto"/>
                  </w:divBdr>
                </w:div>
              </w:divsChild>
            </w:div>
            <w:div w:id="1070470065">
              <w:marLeft w:val="0"/>
              <w:marRight w:val="0"/>
              <w:marTop w:val="0"/>
              <w:marBottom w:val="0"/>
              <w:divBdr>
                <w:top w:val="none" w:sz="0" w:space="0" w:color="auto"/>
                <w:left w:val="none" w:sz="0" w:space="0" w:color="auto"/>
                <w:bottom w:val="none" w:sz="0" w:space="0" w:color="auto"/>
                <w:right w:val="none" w:sz="0" w:space="0" w:color="auto"/>
              </w:divBdr>
              <w:divsChild>
                <w:div w:id="180437555">
                  <w:marLeft w:val="0"/>
                  <w:marRight w:val="0"/>
                  <w:marTop w:val="0"/>
                  <w:marBottom w:val="0"/>
                  <w:divBdr>
                    <w:top w:val="none" w:sz="0" w:space="0" w:color="auto"/>
                    <w:left w:val="none" w:sz="0" w:space="0" w:color="auto"/>
                    <w:bottom w:val="none" w:sz="0" w:space="0" w:color="auto"/>
                    <w:right w:val="none" w:sz="0" w:space="0" w:color="auto"/>
                  </w:divBdr>
                </w:div>
              </w:divsChild>
            </w:div>
            <w:div w:id="1414082672">
              <w:marLeft w:val="0"/>
              <w:marRight w:val="0"/>
              <w:marTop w:val="0"/>
              <w:marBottom w:val="0"/>
              <w:divBdr>
                <w:top w:val="none" w:sz="0" w:space="0" w:color="auto"/>
                <w:left w:val="none" w:sz="0" w:space="0" w:color="auto"/>
                <w:bottom w:val="none" w:sz="0" w:space="0" w:color="auto"/>
                <w:right w:val="none" w:sz="0" w:space="0" w:color="auto"/>
              </w:divBdr>
              <w:divsChild>
                <w:div w:id="637538684">
                  <w:marLeft w:val="0"/>
                  <w:marRight w:val="0"/>
                  <w:marTop w:val="0"/>
                  <w:marBottom w:val="0"/>
                  <w:divBdr>
                    <w:top w:val="none" w:sz="0" w:space="0" w:color="auto"/>
                    <w:left w:val="none" w:sz="0" w:space="0" w:color="auto"/>
                    <w:bottom w:val="none" w:sz="0" w:space="0" w:color="auto"/>
                    <w:right w:val="none" w:sz="0" w:space="0" w:color="auto"/>
                  </w:divBdr>
                </w:div>
              </w:divsChild>
            </w:div>
            <w:div w:id="1516575625">
              <w:marLeft w:val="0"/>
              <w:marRight w:val="0"/>
              <w:marTop w:val="0"/>
              <w:marBottom w:val="0"/>
              <w:divBdr>
                <w:top w:val="none" w:sz="0" w:space="0" w:color="auto"/>
                <w:left w:val="none" w:sz="0" w:space="0" w:color="auto"/>
                <w:bottom w:val="none" w:sz="0" w:space="0" w:color="auto"/>
                <w:right w:val="none" w:sz="0" w:space="0" w:color="auto"/>
              </w:divBdr>
              <w:divsChild>
                <w:div w:id="1508518233">
                  <w:marLeft w:val="0"/>
                  <w:marRight w:val="0"/>
                  <w:marTop w:val="0"/>
                  <w:marBottom w:val="0"/>
                  <w:divBdr>
                    <w:top w:val="none" w:sz="0" w:space="0" w:color="auto"/>
                    <w:left w:val="none" w:sz="0" w:space="0" w:color="auto"/>
                    <w:bottom w:val="none" w:sz="0" w:space="0" w:color="auto"/>
                    <w:right w:val="none" w:sz="0" w:space="0" w:color="auto"/>
                  </w:divBdr>
                </w:div>
              </w:divsChild>
            </w:div>
            <w:div w:id="1543713222">
              <w:marLeft w:val="0"/>
              <w:marRight w:val="0"/>
              <w:marTop w:val="0"/>
              <w:marBottom w:val="0"/>
              <w:divBdr>
                <w:top w:val="none" w:sz="0" w:space="0" w:color="auto"/>
                <w:left w:val="none" w:sz="0" w:space="0" w:color="auto"/>
                <w:bottom w:val="none" w:sz="0" w:space="0" w:color="auto"/>
                <w:right w:val="none" w:sz="0" w:space="0" w:color="auto"/>
              </w:divBdr>
              <w:divsChild>
                <w:div w:id="1283464787">
                  <w:marLeft w:val="0"/>
                  <w:marRight w:val="0"/>
                  <w:marTop w:val="0"/>
                  <w:marBottom w:val="0"/>
                  <w:divBdr>
                    <w:top w:val="none" w:sz="0" w:space="0" w:color="auto"/>
                    <w:left w:val="none" w:sz="0" w:space="0" w:color="auto"/>
                    <w:bottom w:val="none" w:sz="0" w:space="0" w:color="auto"/>
                    <w:right w:val="none" w:sz="0" w:space="0" w:color="auto"/>
                  </w:divBdr>
                </w:div>
              </w:divsChild>
            </w:div>
            <w:div w:id="1558785868">
              <w:marLeft w:val="0"/>
              <w:marRight w:val="0"/>
              <w:marTop w:val="0"/>
              <w:marBottom w:val="0"/>
              <w:divBdr>
                <w:top w:val="none" w:sz="0" w:space="0" w:color="auto"/>
                <w:left w:val="none" w:sz="0" w:space="0" w:color="auto"/>
                <w:bottom w:val="none" w:sz="0" w:space="0" w:color="auto"/>
                <w:right w:val="none" w:sz="0" w:space="0" w:color="auto"/>
              </w:divBdr>
              <w:divsChild>
                <w:div w:id="310062406">
                  <w:marLeft w:val="0"/>
                  <w:marRight w:val="0"/>
                  <w:marTop w:val="0"/>
                  <w:marBottom w:val="0"/>
                  <w:divBdr>
                    <w:top w:val="none" w:sz="0" w:space="0" w:color="auto"/>
                    <w:left w:val="none" w:sz="0" w:space="0" w:color="auto"/>
                    <w:bottom w:val="none" w:sz="0" w:space="0" w:color="auto"/>
                    <w:right w:val="none" w:sz="0" w:space="0" w:color="auto"/>
                  </w:divBdr>
                </w:div>
              </w:divsChild>
            </w:div>
            <w:div w:id="1730808294">
              <w:marLeft w:val="0"/>
              <w:marRight w:val="0"/>
              <w:marTop w:val="0"/>
              <w:marBottom w:val="0"/>
              <w:divBdr>
                <w:top w:val="none" w:sz="0" w:space="0" w:color="auto"/>
                <w:left w:val="none" w:sz="0" w:space="0" w:color="auto"/>
                <w:bottom w:val="none" w:sz="0" w:space="0" w:color="auto"/>
                <w:right w:val="none" w:sz="0" w:space="0" w:color="auto"/>
              </w:divBdr>
              <w:divsChild>
                <w:div w:id="759566496">
                  <w:marLeft w:val="0"/>
                  <w:marRight w:val="0"/>
                  <w:marTop w:val="0"/>
                  <w:marBottom w:val="0"/>
                  <w:divBdr>
                    <w:top w:val="none" w:sz="0" w:space="0" w:color="auto"/>
                    <w:left w:val="none" w:sz="0" w:space="0" w:color="auto"/>
                    <w:bottom w:val="none" w:sz="0" w:space="0" w:color="auto"/>
                    <w:right w:val="none" w:sz="0" w:space="0" w:color="auto"/>
                  </w:divBdr>
                </w:div>
              </w:divsChild>
            </w:div>
            <w:div w:id="1743524265">
              <w:marLeft w:val="0"/>
              <w:marRight w:val="0"/>
              <w:marTop w:val="0"/>
              <w:marBottom w:val="0"/>
              <w:divBdr>
                <w:top w:val="none" w:sz="0" w:space="0" w:color="auto"/>
                <w:left w:val="none" w:sz="0" w:space="0" w:color="auto"/>
                <w:bottom w:val="none" w:sz="0" w:space="0" w:color="auto"/>
                <w:right w:val="none" w:sz="0" w:space="0" w:color="auto"/>
              </w:divBdr>
              <w:divsChild>
                <w:div w:id="1391534245">
                  <w:marLeft w:val="0"/>
                  <w:marRight w:val="0"/>
                  <w:marTop w:val="0"/>
                  <w:marBottom w:val="0"/>
                  <w:divBdr>
                    <w:top w:val="none" w:sz="0" w:space="0" w:color="auto"/>
                    <w:left w:val="none" w:sz="0" w:space="0" w:color="auto"/>
                    <w:bottom w:val="none" w:sz="0" w:space="0" w:color="auto"/>
                    <w:right w:val="none" w:sz="0" w:space="0" w:color="auto"/>
                  </w:divBdr>
                </w:div>
              </w:divsChild>
            </w:div>
            <w:div w:id="1845977649">
              <w:marLeft w:val="0"/>
              <w:marRight w:val="0"/>
              <w:marTop w:val="0"/>
              <w:marBottom w:val="0"/>
              <w:divBdr>
                <w:top w:val="none" w:sz="0" w:space="0" w:color="auto"/>
                <w:left w:val="none" w:sz="0" w:space="0" w:color="auto"/>
                <w:bottom w:val="none" w:sz="0" w:space="0" w:color="auto"/>
                <w:right w:val="none" w:sz="0" w:space="0" w:color="auto"/>
              </w:divBdr>
              <w:divsChild>
                <w:div w:id="1974754794">
                  <w:marLeft w:val="0"/>
                  <w:marRight w:val="0"/>
                  <w:marTop w:val="0"/>
                  <w:marBottom w:val="0"/>
                  <w:divBdr>
                    <w:top w:val="none" w:sz="0" w:space="0" w:color="auto"/>
                    <w:left w:val="none" w:sz="0" w:space="0" w:color="auto"/>
                    <w:bottom w:val="none" w:sz="0" w:space="0" w:color="auto"/>
                    <w:right w:val="none" w:sz="0" w:space="0" w:color="auto"/>
                  </w:divBdr>
                </w:div>
              </w:divsChild>
            </w:div>
            <w:div w:id="1887177375">
              <w:marLeft w:val="0"/>
              <w:marRight w:val="0"/>
              <w:marTop w:val="0"/>
              <w:marBottom w:val="0"/>
              <w:divBdr>
                <w:top w:val="none" w:sz="0" w:space="0" w:color="auto"/>
                <w:left w:val="none" w:sz="0" w:space="0" w:color="auto"/>
                <w:bottom w:val="none" w:sz="0" w:space="0" w:color="auto"/>
                <w:right w:val="none" w:sz="0" w:space="0" w:color="auto"/>
              </w:divBdr>
              <w:divsChild>
                <w:div w:id="525410766">
                  <w:marLeft w:val="0"/>
                  <w:marRight w:val="0"/>
                  <w:marTop w:val="0"/>
                  <w:marBottom w:val="0"/>
                  <w:divBdr>
                    <w:top w:val="none" w:sz="0" w:space="0" w:color="auto"/>
                    <w:left w:val="none" w:sz="0" w:space="0" w:color="auto"/>
                    <w:bottom w:val="none" w:sz="0" w:space="0" w:color="auto"/>
                    <w:right w:val="none" w:sz="0" w:space="0" w:color="auto"/>
                  </w:divBdr>
                </w:div>
              </w:divsChild>
            </w:div>
            <w:div w:id="2026591439">
              <w:marLeft w:val="0"/>
              <w:marRight w:val="0"/>
              <w:marTop w:val="0"/>
              <w:marBottom w:val="0"/>
              <w:divBdr>
                <w:top w:val="none" w:sz="0" w:space="0" w:color="auto"/>
                <w:left w:val="none" w:sz="0" w:space="0" w:color="auto"/>
                <w:bottom w:val="none" w:sz="0" w:space="0" w:color="auto"/>
                <w:right w:val="none" w:sz="0" w:space="0" w:color="auto"/>
              </w:divBdr>
              <w:divsChild>
                <w:div w:id="1099180698">
                  <w:marLeft w:val="0"/>
                  <w:marRight w:val="0"/>
                  <w:marTop w:val="0"/>
                  <w:marBottom w:val="0"/>
                  <w:divBdr>
                    <w:top w:val="none" w:sz="0" w:space="0" w:color="auto"/>
                    <w:left w:val="none" w:sz="0" w:space="0" w:color="auto"/>
                    <w:bottom w:val="none" w:sz="0" w:space="0" w:color="auto"/>
                    <w:right w:val="none" w:sz="0" w:space="0" w:color="auto"/>
                  </w:divBdr>
                </w:div>
              </w:divsChild>
            </w:div>
            <w:div w:id="2103604015">
              <w:marLeft w:val="0"/>
              <w:marRight w:val="0"/>
              <w:marTop w:val="0"/>
              <w:marBottom w:val="0"/>
              <w:divBdr>
                <w:top w:val="none" w:sz="0" w:space="0" w:color="auto"/>
                <w:left w:val="none" w:sz="0" w:space="0" w:color="auto"/>
                <w:bottom w:val="none" w:sz="0" w:space="0" w:color="auto"/>
                <w:right w:val="none" w:sz="0" w:space="0" w:color="auto"/>
              </w:divBdr>
              <w:divsChild>
                <w:div w:id="969555115">
                  <w:marLeft w:val="0"/>
                  <w:marRight w:val="0"/>
                  <w:marTop w:val="0"/>
                  <w:marBottom w:val="0"/>
                  <w:divBdr>
                    <w:top w:val="none" w:sz="0" w:space="0" w:color="auto"/>
                    <w:left w:val="none" w:sz="0" w:space="0" w:color="auto"/>
                    <w:bottom w:val="none" w:sz="0" w:space="0" w:color="auto"/>
                    <w:right w:val="none" w:sz="0" w:space="0" w:color="auto"/>
                  </w:divBdr>
                </w:div>
              </w:divsChild>
            </w:div>
            <w:div w:id="2128501328">
              <w:marLeft w:val="0"/>
              <w:marRight w:val="0"/>
              <w:marTop w:val="0"/>
              <w:marBottom w:val="0"/>
              <w:divBdr>
                <w:top w:val="none" w:sz="0" w:space="0" w:color="auto"/>
                <w:left w:val="none" w:sz="0" w:space="0" w:color="auto"/>
                <w:bottom w:val="none" w:sz="0" w:space="0" w:color="auto"/>
                <w:right w:val="none" w:sz="0" w:space="0" w:color="auto"/>
              </w:divBdr>
              <w:divsChild>
                <w:div w:id="19887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333884">
      <w:bodyDiv w:val="1"/>
      <w:marLeft w:val="0"/>
      <w:marRight w:val="0"/>
      <w:marTop w:val="0"/>
      <w:marBottom w:val="0"/>
      <w:divBdr>
        <w:top w:val="none" w:sz="0" w:space="0" w:color="auto"/>
        <w:left w:val="none" w:sz="0" w:space="0" w:color="auto"/>
        <w:bottom w:val="none" w:sz="0" w:space="0" w:color="auto"/>
        <w:right w:val="none" w:sz="0" w:space="0" w:color="auto"/>
      </w:divBdr>
      <w:divsChild>
        <w:div w:id="52890772">
          <w:marLeft w:val="0"/>
          <w:marRight w:val="0"/>
          <w:marTop w:val="0"/>
          <w:marBottom w:val="0"/>
          <w:divBdr>
            <w:top w:val="none" w:sz="0" w:space="0" w:color="auto"/>
            <w:left w:val="none" w:sz="0" w:space="0" w:color="auto"/>
            <w:bottom w:val="none" w:sz="0" w:space="0" w:color="auto"/>
            <w:right w:val="none" w:sz="0" w:space="0" w:color="auto"/>
          </w:divBdr>
        </w:div>
        <w:div w:id="121848146">
          <w:marLeft w:val="0"/>
          <w:marRight w:val="0"/>
          <w:marTop w:val="0"/>
          <w:marBottom w:val="0"/>
          <w:divBdr>
            <w:top w:val="none" w:sz="0" w:space="0" w:color="auto"/>
            <w:left w:val="none" w:sz="0" w:space="0" w:color="auto"/>
            <w:bottom w:val="none" w:sz="0" w:space="0" w:color="auto"/>
            <w:right w:val="none" w:sz="0" w:space="0" w:color="auto"/>
          </w:divBdr>
        </w:div>
        <w:div w:id="318266947">
          <w:marLeft w:val="0"/>
          <w:marRight w:val="0"/>
          <w:marTop w:val="0"/>
          <w:marBottom w:val="0"/>
          <w:divBdr>
            <w:top w:val="none" w:sz="0" w:space="0" w:color="auto"/>
            <w:left w:val="none" w:sz="0" w:space="0" w:color="auto"/>
            <w:bottom w:val="none" w:sz="0" w:space="0" w:color="auto"/>
            <w:right w:val="none" w:sz="0" w:space="0" w:color="auto"/>
          </w:divBdr>
        </w:div>
      </w:divsChild>
    </w:div>
    <w:div w:id="1612010437">
      <w:bodyDiv w:val="1"/>
      <w:marLeft w:val="0"/>
      <w:marRight w:val="0"/>
      <w:marTop w:val="0"/>
      <w:marBottom w:val="0"/>
      <w:divBdr>
        <w:top w:val="none" w:sz="0" w:space="0" w:color="auto"/>
        <w:left w:val="none" w:sz="0" w:space="0" w:color="auto"/>
        <w:bottom w:val="none" w:sz="0" w:space="0" w:color="auto"/>
        <w:right w:val="none" w:sz="0" w:space="0" w:color="auto"/>
      </w:divBdr>
    </w:div>
    <w:div w:id="1615020986">
      <w:bodyDiv w:val="1"/>
      <w:marLeft w:val="0"/>
      <w:marRight w:val="0"/>
      <w:marTop w:val="0"/>
      <w:marBottom w:val="0"/>
      <w:divBdr>
        <w:top w:val="none" w:sz="0" w:space="0" w:color="auto"/>
        <w:left w:val="none" w:sz="0" w:space="0" w:color="auto"/>
        <w:bottom w:val="none" w:sz="0" w:space="0" w:color="auto"/>
        <w:right w:val="none" w:sz="0" w:space="0" w:color="auto"/>
      </w:divBdr>
    </w:div>
    <w:div w:id="1619216697">
      <w:bodyDiv w:val="1"/>
      <w:marLeft w:val="0"/>
      <w:marRight w:val="0"/>
      <w:marTop w:val="0"/>
      <w:marBottom w:val="0"/>
      <w:divBdr>
        <w:top w:val="none" w:sz="0" w:space="0" w:color="auto"/>
        <w:left w:val="none" w:sz="0" w:space="0" w:color="auto"/>
        <w:bottom w:val="none" w:sz="0" w:space="0" w:color="auto"/>
        <w:right w:val="none" w:sz="0" w:space="0" w:color="auto"/>
      </w:divBdr>
    </w:div>
    <w:div w:id="1625699585">
      <w:bodyDiv w:val="1"/>
      <w:marLeft w:val="0"/>
      <w:marRight w:val="0"/>
      <w:marTop w:val="0"/>
      <w:marBottom w:val="0"/>
      <w:divBdr>
        <w:top w:val="none" w:sz="0" w:space="0" w:color="auto"/>
        <w:left w:val="none" w:sz="0" w:space="0" w:color="auto"/>
        <w:bottom w:val="none" w:sz="0" w:space="0" w:color="auto"/>
        <w:right w:val="none" w:sz="0" w:space="0" w:color="auto"/>
      </w:divBdr>
      <w:divsChild>
        <w:div w:id="181171243">
          <w:marLeft w:val="0"/>
          <w:marRight w:val="0"/>
          <w:marTop w:val="0"/>
          <w:marBottom w:val="0"/>
          <w:divBdr>
            <w:top w:val="none" w:sz="0" w:space="0" w:color="auto"/>
            <w:left w:val="none" w:sz="0" w:space="0" w:color="auto"/>
            <w:bottom w:val="none" w:sz="0" w:space="0" w:color="auto"/>
            <w:right w:val="none" w:sz="0" w:space="0" w:color="auto"/>
          </w:divBdr>
        </w:div>
        <w:div w:id="559099086">
          <w:marLeft w:val="0"/>
          <w:marRight w:val="0"/>
          <w:marTop w:val="0"/>
          <w:marBottom w:val="0"/>
          <w:divBdr>
            <w:top w:val="none" w:sz="0" w:space="0" w:color="auto"/>
            <w:left w:val="none" w:sz="0" w:space="0" w:color="auto"/>
            <w:bottom w:val="none" w:sz="0" w:space="0" w:color="auto"/>
            <w:right w:val="none" w:sz="0" w:space="0" w:color="auto"/>
          </w:divBdr>
        </w:div>
        <w:div w:id="616369472">
          <w:marLeft w:val="0"/>
          <w:marRight w:val="0"/>
          <w:marTop w:val="0"/>
          <w:marBottom w:val="0"/>
          <w:divBdr>
            <w:top w:val="none" w:sz="0" w:space="0" w:color="auto"/>
            <w:left w:val="none" w:sz="0" w:space="0" w:color="auto"/>
            <w:bottom w:val="none" w:sz="0" w:space="0" w:color="auto"/>
            <w:right w:val="none" w:sz="0" w:space="0" w:color="auto"/>
          </w:divBdr>
        </w:div>
        <w:div w:id="846482368">
          <w:marLeft w:val="0"/>
          <w:marRight w:val="0"/>
          <w:marTop w:val="0"/>
          <w:marBottom w:val="0"/>
          <w:divBdr>
            <w:top w:val="none" w:sz="0" w:space="0" w:color="auto"/>
            <w:left w:val="none" w:sz="0" w:space="0" w:color="auto"/>
            <w:bottom w:val="none" w:sz="0" w:space="0" w:color="auto"/>
            <w:right w:val="none" w:sz="0" w:space="0" w:color="auto"/>
          </w:divBdr>
        </w:div>
        <w:div w:id="1602183625">
          <w:marLeft w:val="0"/>
          <w:marRight w:val="0"/>
          <w:marTop w:val="0"/>
          <w:marBottom w:val="0"/>
          <w:divBdr>
            <w:top w:val="none" w:sz="0" w:space="0" w:color="auto"/>
            <w:left w:val="none" w:sz="0" w:space="0" w:color="auto"/>
            <w:bottom w:val="none" w:sz="0" w:space="0" w:color="auto"/>
            <w:right w:val="none" w:sz="0" w:space="0" w:color="auto"/>
          </w:divBdr>
        </w:div>
      </w:divsChild>
    </w:div>
    <w:div w:id="1627736471">
      <w:bodyDiv w:val="1"/>
      <w:marLeft w:val="0"/>
      <w:marRight w:val="0"/>
      <w:marTop w:val="0"/>
      <w:marBottom w:val="0"/>
      <w:divBdr>
        <w:top w:val="none" w:sz="0" w:space="0" w:color="auto"/>
        <w:left w:val="none" w:sz="0" w:space="0" w:color="auto"/>
        <w:bottom w:val="none" w:sz="0" w:space="0" w:color="auto"/>
        <w:right w:val="none" w:sz="0" w:space="0" w:color="auto"/>
      </w:divBdr>
    </w:div>
    <w:div w:id="1629512320">
      <w:bodyDiv w:val="1"/>
      <w:marLeft w:val="0"/>
      <w:marRight w:val="0"/>
      <w:marTop w:val="0"/>
      <w:marBottom w:val="0"/>
      <w:divBdr>
        <w:top w:val="none" w:sz="0" w:space="0" w:color="auto"/>
        <w:left w:val="none" w:sz="0" w:space="0" w:color="auto"/>
        <w:bottom w:val="none" w:sz="0" w:space="0" w:color="auto"/>
        <w:right w:val="none" w:sz="0" w:space="0" w:color="auto"/>
      </w:divBdr>
    </w:div>
    <w:div w:id="1636832199">
      <w:bodyDiv w:val="1"/>
      <w:marLeft w:val="0"/>
      <w:marRight w:val="0"/>
      <w:marTop w:val="0"/>
      <w:marBottom w:val="0"/>
      <w:divBdr>
        <w:top w:val="none" w:sz="0" w:space="0" w:color="auto"/>
        <w:left w:val="none" w:sz="0" w:space="0" w:color="auto"/>
        <w:bottom w:val="none" w:sz="0" w:space="0" w:color="auto"/>
        <w:right w:val="none" w:sz="0" w:space="0" w:color="auto"/>
      </w:divBdr>
    </w:div>
    <w:div w:id="1645239458">
      <w:bodyDiv w:val="1"/>
      <w:marLeft w:val="0"/>
      <w:marRight w:val="0"/>
      <w:marTop w:val="0"/>
      <w:marBottom w:val="0"/>
      <w:divBdr>
        <w:top w:val="none" w:sz="0" w:space="0" w:color="auto"/>
        <w:left w:val="none" w:sz="0" w:space="0" w:color="auto"/>
        <w:bottom w:val="none" w:sz="0" w:space="0" w:color="auto"/>
        <w:right w:val="none" w:sz="0" w:space="0" w:color="auto"/>
      </w:divBdr>
      <w:divsChild>
        <w:div w:id="1061749165">
          <w:marLeft w:val="0"/>
          <w:marRight w:val="0"/>
          <w:marTop w:val="0"/>
          <w:marBottom w:val="0"/>
          <w:divBdr>
            <w:top w:val="none" w:sz="0" w:space="0" w:color="auto"/>
            <w:left w:val="none" w:sz="0" w:space="0" w:color="auto"/>
            <w:bottom w:val="none" w:sz="0" w:space="0" w:color="auto"/>
            <w:right w:val="none" w:sz="0" w:space="0" w:color="auto"/>
          </w:divBdr>
          <w:divsChild>
            <w:div w:id="1956135338">
              <w:marLeft w:val="30"/>
              <w:marRight w:val="30"/>
              <w:marTop w:val="0"/>
              <w:marBottom w:val="0"/>
              <w:divBdr>
                <w:top w:val="none" w:sz="0" w:space="0" w:color="auto"/>
                <w:left w:val="none" w:sz="0" w:space="0" w:color="auto"/>
                <w:bottom w:val="none" w:sz="0" w:space="0" w:color="auto"/>
                <w:right w:val="none" w:sz="0" w:space="0" w:color="auto"/>
              </w:divBdr>
              <w:divsChild>
                <w:div w:id="1339506926">
                  <w:marLeft w:val="180"/>
                  <w:marRight w:val="210"/>
                  <w:marTop w:val="0"/>
                  <w:marBottom w:val="30"/>
                  <w:divBdr>
                    <w:top w:val="none" w:sz="0" w:space="0" w:color="auto"/>
                    <w:left w:val="none" w:sz="0" w:space="0" w:color="auto"/>
                    <w:bottom w:val="none" w:sz="0" w:space="0" w:color="auto"/>
                    <w:right w:val="none" w:sz="0" w:space="0" w:color="auto"/>
                  </w:divBdr>
                  <w:divsChild>
                    <w:div w:id="1117717880">
                      <w:marLeft w:val="0"/>
                      <w:marRight w:val="30"/>
                      <w:marTop w:val="0"/>
                      <w:marBottom w:val="0"/>
                      <w:divBdr>
                        <w:top w:val="none" w:sz="0" w:space="0" w:color="auto"/>
                        <w:left w:val="none" w:sz="0" w:space="0" w:color="auto"/>
                        <w:bottom w:val="none" w:sz="0" w:space="0" w:color="auto"/>
                        <w:right w:val="none" w:sz="0" w:space="0" w:color="auto"/>
                      </w:divBdr>
                      <w:divsChild>
                        <w:div w:id="730884045">
                          <w:marLeft w:val="0"/>
                          <w:marRight w:val="0"/>
                          <w:marTop w:val="0"/>
                          <w:marBottom w:val="0"/>
                          <w:divBdr>
                            <w:top w:val="none" w:sz="0" w:space="0" w:color="auto"/>
                            <w:left w:val="none" w:sz="0" w:space="0" w:color="auto"/>
                            <w:bottom w:val="none" w:sz="0" w:space="0" w:color="auto"/>
                            <w:right w:val="none" w:sz="0" w:space="0" w:color="auto"/>
                          </w:divBdr>
                          <w:divsChild>
                            <w:div w:id="969284117">
                              <w:marLeft w:val="0"/>
                              <w:marRight w:val="0"/>
                              <w:marTop w:val="0"/>
                              <w:marBottom w:val="0"/>
                              <w:divBdr>
                                <w:top w:val="none" w:sz="0" w:space="0" w:color="auto"/>
                                <w:left w:val="none" w:sz="0" w:space="0" w:color="auto"/>
                                <w:bottom w:val="none" w:sz="0" w:space="0" w:color="auto"/>
                                <w:right w:val="none" w:sz="0" w:space="0" w:color="auto"/>
                              </w:divBdr>
                              <w:divsChild>
                                <w:div w:id="5197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202749">
      <w:bodyDiv w:val="1"/>
      <w:marLeft w:val="0"/>
      <w:marRight w:val="0"/>
      <w:marTop w:val="0"/>
      <w:marBottom w:val="0"/>
      <w:divBdr>
        <w:top w:val="none" w:sz="0" w:space="0" w:color="auto"/>
        <w:left w:val="none" w:sz="0" w:space="0" w:color="auto"/>
        <w:bottom w:val="none" w:sz="0" w:space="0" w:color="auto"/>
        <w:right w:val="none" w:sz="0" w:space="0" w:color="auto"/>
      </w:divBdr>
    </w:div>
    <w:div w:id="1659460811">
      <w:bodyDiv w:val="1"/>
      <w:marLeft w:val="0"/>
      <w:marRight w:val="0"/>
      <w:marTop w:val="0"/>
      <w:marBottom w:val="0"/>
      <w:divBdr>
        <w:top w:val="none" w:sz="0" w:space="0" w:color="auto"/>
        <w:left w:val="none" w:sz="0" w:space="0" w:color="auto"/>
        <w:bottom w:val="none" w:sz="0" w:space="0" w:color="auto"/>
        <w:right w:val="none" w:sz="0" w:space="0" w:color="auto"/>
      </w:divBdr>
    </w:div>
    <w:div w:id="1662930491">
      <w:bodyDiv w:val="1"/>
      <w:marLeft w:val="0"/>
      <w:marRight w:val="0"/>
      <w:marTop w:val="0"/>
      <w:marBottom w:val="0"/>
      <w:divBdr>
        <w:top w:val="none" w:sz="0" w:space="0" w:color="auto"/>
        <w:left w:val="none" w:sz="0" w:space="0" w:color="auto"/>
        <w:bottom w:val="none" w:sz="0" w:space="0" w:color="auto"/>
        <w:right w:val="none" w:sz="0" w:space="0" w:color="auto"/>
      </w:divBdr>
      <w:divsChild>
        <w:div w:id="334235067">
          <w:marLeft w:val="0"/>
          <w:marRight w:val="0"/>
          <w:marTop w:val="0"/>
          <w:marBottom w:val="0"/>
          <w:divBdr>
            <w:top w:val="none" w:sz="0" w:space="0" w:color="auto"/>
            <w:left w:val="none" w:sz="0" w:space="0" w:color="auto"/>
            <w:bottom w:val="none" w:sz="0" w:space="0" w:color="auto"/>
            <w:right w:val="none" w:sz="0" w:space="0" w:color="auto"/>
          </w:divBdr>
          <w:divsChild>
            <w:div w:id="516043479">
              <w:marLeft w:val="0"/>
              <w:marRight w:val="0"/>
              <w:marTop w:val="0"/>
              <w:marBottom w:val="0"/>
              <w:divBdr>
                <w:top w:val="none" w:sz="0" w:space="0" w:color="auto"/>
                <w:left w:val="none" w:sz="0" w:space="0" w:color="auto"/>
                <w:bottom w:val="none" w:sz="0" w:space="0" w:color="auto"/>
                <w:right w:val="none" w:sz="0" w:space="0" w:color="auto"/>
              </w:divBdr>
            </w:div>
            <w:div w:id="611976173">
              <w:marLeft w:val="0"/>
              <w:marRight w:val="0"/>
              <w:marTop w:val="0"/>
              <w:marBottom w:val="0"/>
              <w:divBdr>
                <w:top w:val="none" w:sz="0" w:space="0" w:color="auto"/>
                <w:left w:val="none" w:sz="0" w:space="0" w:color="auto"/>
                <w:bottom w:val="none" w:sz="0" w:space="0" w:color="auto"/>
                <w:right w:val="none" w:sz="0" w:space="0" w:color="auto"/>
              </w:divBdr>
            </w:div>
            <w:div w:id="660350389">
              <w:marLeft w:val="0"/>
              <w:marRight w:val="0"/>
              <w:marTop w:val="0"/>
              <w:marBottom w:val="0"/>
              <w:divBdr>
                <w:top w:val="none" w:sz="0" w:space="0" w:color="auto"/>
                <w:left w:val="none" w:sz="0" w:space="0" w:color="auto"/>
                <w:bottom w:val="none" w:sz="0" w:space="0" w:color="auto"/>
                <w:right w:val="none" w:sz="0" w:space="0" w:color="auto"/>
              </w:divBdr>
            </w:div>
            <w:div w:id="1559709154">
              <w:marLeft w:val="0"/>
              <w:marRight w:val="0"/>
              <w:marTop w:val="0"/>
              <w:marBottom w:val="0"/>
              <w:divBdr>
                <w:top w:val="none" w:sz="0" w:space="0" w:color="auto"/>
                <w:left w:val="none" w:sz="0" w:space="0" w:color="auto"/>
                <w:bottom w:val="none" w:sz="0" w:space="0" w:color="auto"/>
                <w:right w:val="none" w:sz="0" w:space="0" w:color="auto"/>
              </w:divBdr>
            </w:div>
            <w:div w:id="1835292287">
              <w:marLeft w:val="0"/>
              <w:marRight w:val="0"/>
              <w:marTop w:val="0"/>
              <w:marBottom w:val="0"/>
              <w:divBdr>
                <w:top w:val="none" w:sz="0" w:space="0" w:color="auto"/>
                <w:left w:val="none" w:sz="0" w:space="0" w:color="auto"/>
                <w:bottom w:val="none" w:sz="0" w:space="0" w:color="auto"/>
                <w:right w:val="none" w:sz="0" w:space="0" w:color="auto"/>
              </w:divBdr>
            </w:div>
          </w:divsChild>
        </w:div>
        <w:div w:id="709115541">
          <w:marLeft w:val="0"/>
          <w:marRight w:val="0"/>
          <w:marTop w:val="0"/>
          <w:marBottom w:val="0"/>
          <w:divBdr>
            <w:top w:val="none" w:sz="0" w:space="0" w:color="auto"/>
            <w:left w:val="none" w:sz="0" w:space="0" w:color="auto"/>
            <w:bottom w:val="none" w:sz="0" w:space="0" w:color="auto"/>
            <w:right w:val="none" w:sz="0" w:space="0" w:color="auto"/>
          </w:divBdr>
        </w:div>
        <w:div w:id="882211524">
          <w:marLeft w:val="0"/>
          <w:marRight w:val="0"/>
          <w:marTop w:val="0"/>
          <w:marBottom w:val="0"/>
          <w:divBdr>
            <w:top w:val="none" w:sz="0" w:space="0" w:color="auto"/>
            <w:left w:val="none" w:sz="0" w:space="0" w:color="auto"/>
            <w:bottom w:val="none" w:sz="0" w:space="0" w:color="auto"/>
            <w:right w:val="none" w:sz="0" w:space="0" w:color="auto"/>
          </w:divBdr>
        </w:div>
        <w:div w:id="1156459437">
          <w:marLeft w:val="0"/>
          <w:marRight w:val="0"/>
          <w:marTop w:val="0"/>
          <w:marBottom w:val="0"/>
          <w:divBdr>
            <w:top w:val="none" w:sz="0" w:space="0" w:color="auto"/>
            <w:left w:val="none" w:sz="0" w:space="0" w:color="auto"/>
            <w:bottom w:val="none" w:sz="0" w:space="0" w:color="auto"/>
            <w:right w:val="none" w:sz="0" w:space="0" w:color="auto"/>
          </w:divBdr>
          <w:divsChild>
            <w:div w:id="318970152">
              <w:marLeft w:val="0"/>
              <w:marRight w:val="0"/>
              <w:marTop w:val="0"/>
              <w:marBottom w:val="0"/>
              <w:divBdr>
                <w:top w:val="none" w:sz="0" w:space="0" w:color="auto"/>
                <w:left w:val="none" w:sz="0" w:space="0" w:color="auto"/>
                <w:bottom w:val="none" w:sz="0" w:space="0" w:color="auto"/>
                <w:right w:val="none" w:sz="0" w:space="0" w:color="auto"/>
              </w:divBdr>
            </w:div>
            <w:div w:id="792290597">
              <w:marLeft w:val="0"/>
              <w:marRight w:val="0"/>
              <w:marTop w:val="0"/>
              <w:marBottom w:val="0"/>
              <w:divBdr>
                <w:top w:val="none" w:sz="0" w:space="0" w:color="auto"/>
                <w:left w:val="none" w:sz="0" w:space="0" w:color="auto"/>
                <w:bottom w:val="none" w:sz="0" w:space="0" w:color="auto"/>
                <w:right w:val="none" w:sz="0" w:space="0" w:color="auto"/>
              </w:divBdr>
            </w:div>
            <w:div w:id="1144083380">
              <w:marLeft w:val="0"/>
              <w:marRight w:val="0"/>
              <w:marTop w:val="0"/>
              <w:marBottom w:val="0"/>
              <w:divBdr>
                <w:top w:val="none" w:sz="0" w:space="0" w:color="auto"/>
                <w:left w:val="none" w:sz="0" w:space="0" w:color="auto"/>
                <w:bottom w:val="none" w:sz="0" w:space="0" w:color="auto"/>
                <w:right w:val="none" w:sz="0" w:space="0" w:color="auto"/>
              </w:divBdr>
            </w:div>
          </w:divsChild>
        </w:div>
        <w:div w:id="1468010214">
          <w:marLeft w:val="0"/>
          <w:marRight w:val="0"/>
          <w:marTop w:val="0"/>
          <w:marBottom w:val="0"/>
          <w:divBdr>
            <w:top w:val="none" w:sz="0" w:space="0" w:color="auto"/>
            <w:left w:val="none" w:sz="0" w:space="0" w:color="auto"/>
            <w:bottom w:val="none" w:sz="0" w:space="0" w:color="auto"/>
            <w:right w:val="none" w:sz="0" w:space="0" w:color="auto"/>
          </w:divBdr>
        </w:div>
        <w:div w:id="1526479140">
          <w:marLeft w:val="0"/>
          <w:marRight w:val="0"/>
          <w:marTop w:val="0"/>
          <w:marBottom w:val="0"/>
          <w:divBdr>
            <w:top w:val="none" w:sz="0" w:space="0" w:color="auto"/>
            <w:left w:val="none" w:sz="0" w:space="0" w:color="auto"/>
            <w:bottom w:val="none" w:sz="0" w:space="0" w:color="auto"/>
            <w:right w:val="none" w:sz="0" w:space="0" w:color="auto"/>
          </w:divBdr>
        </w:div>
        <w:div w:id="1552841245">
          <w:marLeft w:val="0"/>
          <w:marRight w:val="0"/>
          <w:marTop w:val="0"/>
          <w:marBottom w:val="0"/>
          <w:divBdr>
            <w:top w:val="none" w:sz="0" w:space="0" w:color="auto"/>
            <w:left w:val="none" w:sz="0" w:space="0" w:color="auto"/>
            <w:bottom w:val="none" w:sz="0" w:space="0" w:color="auto"/>
            <w:right w:val="none" w:sz="0" w:space="0" w:color="auto"/>
          </w:divBdr>
        </w:div>
        <w:div w:id="1731490813">
          <w:marLeft w:val="0"/>
          <w:marRight w:val="0"/>
          <w:marTop w:val="0"/>
          <w:marBottom w:val="0"/>
          <w:divBdr>
            <w:top w:val="none" w:sz="0" w:space="0" w:color="auto"/>
            <w:left w:val="none" w:sz="0" w:space="0" w:color="auto"/>
            <w:bottom w:val="none" w:sz="0" w:space="0" w:color="auto"/>
            <w:right w:val="none" w:sz="0" w:space="0" w:color="auto"/>
          </w:divBdr>
        </w:div>
        <w:div w:id="1800564379">
          <w:marLeft w:val="0"/>
          <w:marRight w:val="0"/>
          <w:marTop w:val="0"/>
          <w:marBottom w:val="0"/>
          <w:divBdr>
            <w:top w:val="none" w:sz="0" w:space="0" w:color="auto"/>
            <w:left w:val="none" w:sz="0" w:space="0" w:color="auto"/>
            <w:bottom w:val="none" w:sz="0" w:space="0" w:color="auto"/>
            <w:right w:val="none" w:sz="0" w:space="0" w:color="auto"/>
          </w:divBdr>
        </w:div>
      </w:divsChild>
    </w:div>
    <w:div w:id="1688435934">
      <w:bodyDiv w:val="1"/>
      <w:marLeft w:val="0"/>
      <w:marRight w:val="0"/>
      <w:marTop w:val="0"/>
      <w:marBottom w:val="0"/>
      <w:divBdr>
        <w:top w:val="none" w:sz="0" w:space="0" w:color="auto"/>
        <w:left w:val="none" w:sz="0" w:space="0" w:color="auto"/>
        <w:bottom w:val="none" w:sz="0" w:space="0" w:color="auto"/>
        <w:right w:val="none" w:sz="0" w:space="0" w:color="auto"/>
      </w:divBdr>
      <w:divsChild>
        <w:div w:id="61610697">
          <w:marLeft w:val="0"/>
          <w:marRight w:val="0"/>
          <w:marTop w:val="0"/>
          <w:marBottom w:val="0"/>
          <w:divBdr>
            <w:top w:val="none" w:sz="0" w:space="0" w:color="auto"/>
            <w:left w:val="none" w:sz="0" w:space="0" w:color="auto"/>
            <w:bottom w:val="none" w:sz="0" w:space="0" w:color="auto"/>
            <w:right w:val="none" w:sz="0" w:space="0" w:color="auto"/>
          </w:divBdr>
        </w:div>
        <w:div w:id="389619255">
          <w:marLeft w:val="0"/>
          <w:marRight w:val="0"/>
          <w:marTop w:val="0"/>
          <w:marBottom w:val="0"/>
          <w:divBdr>
            <w:top w:val="none" w:sz="0" w:space="0" w:color="auto"/>
            <w:left w:val="none" w:sz="0" w:space="0" w:color="auto"/>
            <w:bottom w:val="none" w:sz="0" w:space="0" w:color="auto"/>
            <w:right w:val="none" w:sz="0" w:space="0" w:color="auto"/>
          </w:divBdr>
        </w:div>
        <w:div w:id="688481958">
          <w:marLeft w:val="0"/>
          <w:marRight w:val="0"/>
          <w:marTop w:val="0"/>
          <w:marBottom w:val="0"/>
          <w:divBdr>
            <w:top w:val="none" w:sz="0" w:space="0" w:color="auto"/>
            <w:left w:val="none" w:sz="0" w:space="0" w:color="auto"/>
            <w:bottom w:val="none" w:sz="0" w:space="0" w:color="auto"/>
            <w:right w:val="none" w:sz="0" w:space="0" w:color="auto"/>
          </w:divBdr>
        </w:div>
        <w:div w:id="1060202759">
          <w:marLeft w:val="0"/>
          <w:marRight w:val="0"/>
          <w:marTop w:val="0"/>
          <w:marBottom w:val="0"/>
          <w:divBdr>
            <w:top w:val="none" w:sz="0" w:space="0" w:color="auto"/>
            <w:left w:val="none" w:sz="0" w:space="0" w:color="auto"/>
            <w:bottom w:val="none" w:sz="0" w:space="0" w:color="auto"/>
            <w:right w:val="none" w:sz="0" w:space="0" w:color="auto"/>
          </w:divBdr>
        </w:div>
        <w:div w:id="1757484183">
          <w:marLeft w:val="0"/>
          <w:marRight w:val="0"/>
          <w:marTop w:val="0"/>
          <w:marBottom w:val="0"/>
          <w:divBdr>
            <w:top w:val="none" w:sz="0" w:space="0" w:color="auto"/>
            <w:left w:val="none" w:sz="0" w:space="0" w:color="auto"/>
            <w:bottom w:val="none" w:sz="0" w:space="0" w:color="auto"/>
            <w:right w:val="none" w:sz="0" w:space="0" w:color="auto"/>
          </w:divBdr>
        </w:div>
      </w:divsChild>
    </w:div>
    <w:div w:id="1692492259">
      <w:bodyDiv w:val="1"/>
      <w:marLeft w:val="0"/>
      <w:marRight w:val="0"/>
      <w:marTop w:val="0"/>
      <w:marBottom w:val="0"/>
      <w:divBdr>
        <w:top w:val="none" w:sz="0" w:space="0" w:color="auto"/>
        <w:left w:val="none" w:sz="0" w:space="0" w:color="auto"/>
        <w:bottom w:val="none" w:sz="0" w:space="0" w:color="auto"/>
        <w:right w:val="none" w:sz="0" w:space="0" w:color="auto"/>
      </w:divBdr>
    </w:div>
    <w:div w:id="1702779726">
      <w:bodyDiv w:val="1"/>
      <w:marLeft w:val="0"/>
      <w:marRight w:val="0"/>
      <w:marTop w:val="0"/>
      <w:marBottom w:val="0"/>
      <w:divBdr>
        <w:top w:val="none" w:sz="0" w:space="0" w:color="auto"/>
        <w:left w:val="none" w:sz="0" w:space="0" w:color="auto"/>
        <w:bottom w:val="none" w:sz="0" w:space="0" w:color="auto"/>
        <w:right w:val="none" w:sz="0" w:space="0" w:color="auto"/>
      </w:divBdr>
    </w:div>
    <w:div w:id="1704984787">
      <w:bodyDiv w:val="1"/>
      <w:marLeft w:val="0"/>
      <w:marRight w:val="0"/>
      <w:marTop w:val="0"/>
      <w:marBottom w:val="0"/>
      <w:divBdr>
        <w:top w:val="none" w:sz="0" w:space="0" w:color="auto"/>
        <w:left w:val="none" w:sz="0" w:space="0" w:color="auto"/>
        <w:bottom w:val="none" w:sz="0" w:space="0" w:color="auto"/>
        <w:right w:val="none" w:sz="0" w:space="0" w:color="auto"/>
      </w:divBdr>
      <w:divsChild>
        <w:div w:id="250433814">
          <w:marLeft w:val="0"/>
          <w:marRight w:val="0"/>
          <w:marTop w:val="0"/>
          <w:marBottom w:val="0"/>
          <w:divBdr>
            <w:top w:val="none" w:sz="0" w:space="0" w:color="auto"/>
            <w:left w:val="none" w:sz="0" w:space="0" w:color="auto"/>
            <w:bottom w:val="none" w:sz="0" w:space="0" w:color="auto"/>
            <w:right w:val="none" w:sz="0" w:space="0" w:color="auto"/>
          </w:divBdr>
        </w:div>
        <w:div w:id="306017498">
          <w:marLeft w:val="0"/>
          <w:marRight w:val="0"/>
          <w:marTop w:val="0"/>
          <w:marBottom w:val="0"/>
          <w:divBdr>
            <w:top w:val="none" w:sz="0" w:space="0" w:color="auto"/>
            <w:left w:val="none" w:sz="0" w:space="0" w:color="auto"/>
            <w:bottom w:val="none" w:sz="0" w:space="0" w:color="auto"/>
            <w:right w:val="none" w:sz="0" w:space="0" w:color="auto"/>
          </w:divBdr>
          <w:divsChild>
            <w:div w:id="708382017">
              <w:marLeft w:val="0"/>
              <w:marRight w:val="0"/>
              <w:marTop w:val="0"/>
              <w:marBottom w:val="0"/>
              <w:divBdr>
                <w:top w:val="none" w:sz="0" w:space="0" w:color="auto"/>
                <w:left w:val="none" w:sz="0" w:space="0" w:color="auto"/>
                <w:bottom w:val="none" w:sz="0" w:space="0" w:color="auto"/>
                <w:right w:val="none" w:sz="0" w:space="0" w:color="auto"/>
              </w:divBdr>
            </w:div>
            <w:div w:id="1021197977">
              <w:marLeft w:val="0"/>
              <w:marRight w:val="0"/>
              <w:marTop w:val="0"/>
              <w:marBottom w:val="0"/>
              <w:divBdr>
                <w:top w:val="none" w:sz="0" w:space="0" w:color="auto"/>
                <w:left w:val="none" w:sz="0" w:space="0" w:color="auto"/>
                <w:bottom w:val="none" w:sz="0" w:space="0" w:color="auto"/>
                <w:right w:val="none" w:sz="0" w:space="0" w:color="auto"/>
              </w:divBdr>
            </w:div>
            <w:div w:id="1378775169">
              <w:marLeft w:val="0"/>
              <w:marRight w:val="0"/>
              <w:marTop w:val="0"/>
              <w:marBottom w:val="0"/>
              <w:divBdr>
                <w:top w:val="none" w:sz="0" w:space="0" w:color="auto"/>
                <w:left w:val="none" w:sz="0" w:space="0" w:color="auto"/>
                <w:bottom w:val="none" w:sz="0" w:space="0" w:color="auto"/>
                <w:right w:val="none" w:sz="0" w:space="0" w:color="auto"/>
              </w:divBdr>
            </w:div>
            <w:div w:id="1886990273">
              <w:marLeft w:val="0"/>
              <w:marRight w:val="0"/>
              <w:marTop w:val="0"/>
              <w:marBottom w:val="0"/>
              <w:divBdr>
                <w:top w:val="none" w:sz="0" w:space="0" w:color="auto"/>
                <w:left w:val="none" w:sz="0" w:space="0" w:color="auto"/>
                <w:bottom w:val="none" w:sz="0" w:space="0" w:color="auto"/>
                <w:right w:val="none" w:sz="0" w:space="0" w:color="auto"/>
              </w:divBdr>
            </w:div>
          </w:divsChild>
        </w:div>
        <w:div w:id="895624621">
          <w:marLeft w:val="0"/>
          <w:marRight w:val="0"/>
          <w:marTop w:val="0"/>
          <w:marBottom w:val="0"/>
          <w:divBdr>
            <w:top w:val="none" w:sz="0" w:space="0" w:color="auto"/>
            <w:left w:val="none" w:sz="0" w:space="0" w:color="auto"/>
            <w:bottom w:val="none" w:sz="0" w:space="0" w:color="auto"/>
            <w:right w:val="none" w:sz="0" w:space="0" w:color="auto"/>
          </w:divBdr>
        </w:div>
        <w:div w:id="915212864">
          <w:marLeft w:val="0"/>
          <w:marRight w:val="0"/>
          <w:marTop w:val="0"/>
          <w:marBottom w:val="0"/>
          <w:divBdr>
            <w:top w:val="none" w:sz="0" w:space="0" w:color="auto"/>
            <w:left w:val="none" w:sz="0" w:space="0" w:color="auto"/>
            <w:bottom w:val="none" w:sz="0" w:space="0" w:color="auto"/>
            <w:right w:val="none" w:sz="0" w:space="0" w:color="auto"/>
          </w:divBdr>
          <w:divsChild>
            <w:div w:id="279536141">
              <w:marLeft w:val="0"/>
              <w:marRight w:val="0"/>
              <w:marTop w:val="0"/>
              <w:marBottom w:val="0"/>
              <w:divBdr>
                <w:top w:val="none" w:sz="0" w:space="0" w:color="auto"/>
                <w:left w:val="none" w:sz="0" w:space="0" w:color="auto"/>
                <w:bottom w:val="none" w:sz="0" w:space="0" w:color="auto"/>
                <w:right w:val="none" w:sz="0" w:space="0" w:color="auto"/>
              </w:divBdr>
            </w:div>
            <w:div w:id="1440370166">
              <w:marLeft w:val="0"/>
              <w:marRight w:val="0"/>
              <w:marTop w:val="0"/>
              <w:marBottom w:val="0"/>
              <w:divBdr>
                <w:top w:val="none" w:sz="0" w:space="0" w:color="auto"/>
                <w:left w:val="none" w:sz="0" w:space="0" w:color="auto"/>
                <w:bottom w:val="none" w:sz="0" w:space="0" w:color="auto"/>
                <w:right w:val="none" w:sz="0" w:space="0" w:color="auto"/>
              </w:divBdr>
            </w:div>
            <w:div w:id="1703902547">
              <w:marLeft w:val="0"/>
              <w:marRight w:val="0"/>
              <w:marTop w:val="0"/>
              <w:marBottom w:val="0"/>
              <w:divBdr>
                <w:top w:val="none" w:sz="0" w:space="0" w:color="auto"/>
                <w:left w:val="none" w:sz="0" w:space="0" w:color="auto"/>
                <w:bottom w:val="none" w:sz="0" w:space="0" w:color="auto"/>
                <w:right w:val="none" w:sz="0" w:space="0" w:color="auto"/>
              </w:divBdr>
            </w:div>
            <w:div w:id="1999115134">
              <w:marLeft w:val="0"/>
              <w:marRight w:val="0"/>
              <w:marTop w:val="0"/>
              <w:marBottom w:val="0"/>
              <w:divBdr>
                <w:top w:val="none" w:sz="0" w:space="0" w:color="auto"/>
                <w:left w:val="none" w:sz="0" w:space="0" w:color="auto"/>
                <w:bottom w:val="none" w:sz="0" w:space="0" w:color="auto"/>
                <w:right w:val="none" w:sz="0" w:space="0" w:color="auto"/>
              </w:divBdr>
            </w:div>
          </w:divsChild>
        </w:div>
        <w:div w:id="1084258375">
          <w:marLeft w:val="0"/>
          <w:marRight w:val="0"/>
          <w:marTop w:val="0"/>
          <w:marBottom w:val="0"/>
          <w:divBdr>
            <w:top w:val="none" w:sz="0" w:space="0" w:color="auto"/>
            <w:left w:val="none" w:sz="0" w:space="0" w:color="auto"/>
            <w:bottom w:val="none" w:sz="0" w:space="0" w:color="auto"/>
            <w:right w:val="none" w:sz="0" w:space="0" w:color="auto"/>
          </w:divBdr>
        </w:div>
        <w:div w:id="1188376190">
          <w:marLeft w:val="0"/>
          <w:marRight w:val="0"/>
          <w:marTop w:val="0"/>
          <w:marBottom w:val="0"/>
          <w:divBdr>
            <w:top w:val="none" w:sz="0" w:space="0" w:color="auto"/>
            <w:left w:val="none" w:sz="0" w:space="0" w:color="auto"/>
            <w:bottom w:val="none" w:sz="0" w:space="0" w:color="auto"/>
            <w:right w:val="none" w:sz="0" w:space="0" w:color="auto"/>
          </w:divBdr>
        </w:div>
        <w:div w:id="1651904682">
          <w:marLeft w:val="0"/>
          <w:marRight w:val="0"/>
          <w:marTop w:val="0"/>
          <w:marBottom w:val="0"/>
          <w:divBdr>
            <w:top w:val="none" w:sz="0" w:space="0" w:color="auto"/>
            <w:left w:val="none" w:sz="0" w:space="0" w:color="auto"/>
            <w:bottom w:val="none" w:sz="0" w:space="0" w:color="auto"/>
            <w:right w:val="none" w:sz="0" w:space="0" w:color="auto"/>
          </w:divBdr>
        </w:div>
        <w:div w:id="1669866530">
          <w:marLeft w:val="0"/>
          <w:marRight w:val="0"/>
          <w:marTop w:val="0"/>
          <w:marBottom w:val="0"/>
          <w:divBdr>
            <w:top w:val="none" w:sz="0" w:space="0" w:color="auto"/>
            <w:left w:val="none" w:sz="0" w:space="0" w:color="auto"/>
            <w:bottom w:val="none" w:sz="0" w:space="0" w:color="auto"/>
            <w:right w:val="none" w:sz="0" w:space="0" w:color="auto"/>
          </w:divBdr>
        </w:div>
        <w:div w:id="1871458284">
          <w:marLeft w:val="0"/>
          <w:marRight w:val="0"/>
          <w:marTop w:val="0"/>
          <w:marBottom w:val="0"/>
          <w:divBdr>
            <w:top w:val="none" w:sz="0" w:space="0" w:color="auto"/>
            <w:left w:val="none" w:sz="0" w:space="0" w:color="auto"/>
            <w:bottom w:val="none" w:sz="0" w:space="0" w:color="auto"/>
            <w:right w:val="none" w:sz="0" w:space="0" w:color="auto"/>
          </w:divBdr>
          <w:divsChild>
            <w:div w:id="147671162">
              <w:marLeft w:val="0"/>
              <w:marRight w:val="0"/>
              <w:marTop w:val="0"/>
              <w:marBottom w:val="0"/>
              <w:divBdr>
                <w:top w:val="none" w:sz="0" w:space="0" w:color="auto"/>
                <w:left w:val="none" w:sz="0" w:space="0" w:color="auto"/>
                <w:bottom w:val="none" w:sz="0" w:space="0" w:color="auto"/>
                <w:right w:val="none" w:sz="0" w:space="0" w:color="auto"/>
              </w:divBdr>
            </w:div>
            <w:div w:id="427189945">
              <w:marLeft w:val="0"/>
              <w:marRight w:val="0"/>
              <w:marTop w:val="0"/>
              <w:marBottom w:val="0"/>
              <w:divBdr>
                <w:top w:val="none" w:sz="0" w:space="0" w:color="auto"/>
                <w:left w:val="none" w:sz="0" w:space="0" w:color="auto"/>
                <w:bottom w:val="none" w:sz="0" w:space="0" w:color="auto"/>
                <w:right w:val="none" w:sz="0" w:space="0" w:color="auto"/>
              </w:divBdr>
            </w:div>
            <w:div w:id="615913103">
              <w:marLeft w:val="0"/>
              <w:marRight w:val="0"/>
              <w:marTop w:val="0"/>
              <w:marBottom w:val="0"/>
              <w:divBdr>
                <w:top w:val="none" w:sz="0" w:space="0" w:color="auto"/>
                <w:left w:val="none" w:sz="0" w:space="0" w:color="auto"/>
                <w:bottom w:val="none" w:sz="0" w:space="0" w:color="auto"/>
                <w:right w:val="none" w:sz="0" w:space="0" w:color="auto"/>
              </w:divBdr>
            </w:div>
            <w:div w:id="1800953479">
              <w:marLeft w:val="0"/>
              <w:marRight w:val="0"/>
              <w:marTop w:val="0"/>
              <w:marBottom w:val="0"/>
              <w:divBdr>
                <w:top w:val="none" w:sz="0" w:space="0" w:color="auto"/>
                <w:left w:val="none" w:sz="0" w:space="0" w:color="auto"/>
                <w:bottom w:val="none" w:sz="0" w:space="0" w:color="auto"/>
                <w:right w:val="none" w:sz="0" w:space="0" w:color="auto"/>
              </w:divBdr>
            </w:div>
            <w:div w:id="20240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82828">
      <w:bodyDiv w:val="1"/>
      <w:marLeft w:val="0"/>
      <w:marRight w:val="0"/>
      <w:marTop w:val="0"/>
      <w:marBottom w:val="0"/>
      <w:divBdr>
        <w:top w:val="none" w:sz="0" w:space="0" w:color="auto"/>
        <w:left w:val="none" w:sz="0" w:space="0" w:color="auto"/>
        <w:bottom w:val="none" w:sz="0" w:space="0" w:color="auto"/>
        <w:right w:val="none" w:sz="0" w:space="0" w:color="auto"/>
      </w:divBdr>
    </w:div>
    <w:div w:id="1724282177">
      <w:bodyDiv w:val="1"/>
      <w:marLeft w:val="0"/>
      <w:marRight w:val="0"/>
      <w:marTop w:val="0"/>
      <w:marBottom w:val="0"/>
      <w:divBdr>
        <w:top w:val="none" w:sz="0" w:space="0" w:color="auto"/>
        <w:left w:val="none" w:sz="0" w:space="0" w:color="auto"/>
        <w:bottom w:val="none" w:sz="0" w:space="0" w:color="auto"/>
        <w:right w:val="none" w:sz="0" w:space="0" w:color="auto"/>
      </w:divBdr>
    </w:div>
    <w:div w:id="1726758331">
      <w:bodyDiv w:val="1"/>
      <w:marLeft w:val="0"/>
      <w:marRight w:val="0"/>
      <w:marTop w:val="0"/>
      <w:marBottom w:val="0"/>
      <w:divBdr>
        <w:top w:val="none" w:sz="0" w:space="0" w:color="auto"/>
        <w:left w:val="none" w:sz="0" w:space="0" w:color="auto"/>
        <w:bottom w:val="none" w:sz="0" w:space="0" w:color="auto"/>
        <w:right w:val="none" w:sz="0" w:space="0" w:color="auto"/>
      </w:divBdr>
    </w:div>
    <w:div w:id="1733698972">
      <w:bodyDiv w:val="1"/>
      <w:marLeft w:val="0"/>
      <w:marRight w:val="0"/>
      <w:marTop w:val="0"/>
      <w:marBottom w:val="0"/>
      <w:divBdr>
        <w:top w:val="none" w:sz="0" w:space="0" w:color="auto"/>
        <w:left w:val="none" w:sz="0" w:space="0" w:color="auto"/>
        <w:bottom w:val="none" w:sz="0" w:space="0" w:color="auto"/>
        <w:right w:val="none" w:sz="0" w:space="0" w:color="auto"/>
      </w:divBdr>
    </w:div>
    <w:div w:id="1734964072">
      <w:bodyDiv w:val="1"/>
      <w:marLeft w:val="0"/>
      <w:marRight w:val="0"/>
      <w:marTop w:val="0"/>
      <w:marBottom w:val="0"/>
      <w:divBdr>
        <w:top w:val="none" w:sz="0" w:space="0" w:color="auto"/>
        <w:left w:val="none" w:sz="0" w:space="0" w:color="auto"/>
        <w:bottom w:val="none" w:sz="0" w:space="0" w:color="auto"/>
        <w:right w:val="none" w:sz="0" w:space="0" w:color="auto"/>
      </w:divBdr>
    </w:div>
    <w:div w:id="1743285215">
      <w:bodyDiv w:val="1"/>
      <w:marLeft w:val="0"/>
      <w:marRight w:val="0"/>
      <w:marTop w:val="0"/>
      <w:marBottom w:val="0"/>
      <w:divBdr>
        <w:top w:val="none" w:sz="0" w:space="0" w:color="auto"/>
        <w:left w:val="none" w:sz="0" w:space="0" w:color="auto"/>
        <w:bottom w:val="none" w:sz="0" w:space="0" w:color="auto"/>
        <w:right w:val="none" w:sz="0" w:space="0" w:color="auto"/>
      </w:divBdr>
    </w:div>
    <w:div w:id="1747994783">
      <w:bodyDiv w:val="1"/>
      <w:marLeft w:val="0"/>
      <w:marRight w:val="0"/>
      <w:marTop w:val="0"/>
      <w:marBottom w:val="0"/>
      <w:divBdr>
        <w:top w:val="none" w:sz="0" w:space="0" w:color="auto"/>
        <w:left w:val="none" w:sz="0" w:space="0" w:color="auto"/>
        <w:bottom w:val="none" w:sz="0" w:space="0" w:color="auto"/>
        <w:right w:val="none" w:sz="0" w:space="0" w:color="auto"/>
      </w:divBdr>
    </w:div>
    <w:div w:id="1751081876">
      <w:bodyDiv w:val="1"/>
      <w:marLeft w:val="0"/>
      <w:marRight w:val="0"/>
      <w:marTop w:val="0"/>
      <w:marBottom w:val="0"/>
      <w:divBdr>
        <w:top w:val="none" w:sz="0" w:space="0" w:color="auto"/>
        <w:left w:val="none" w:sz="0" w:space="0" w:color="auto"/>
        <w:bottom w:val="none" w:sz="0" w:space="0" w:color="auto"/>
        <w:right w:val="none" w:sz="0" w:space="0" w:color="auto"/>
      </w:divBdr>
      <w:divsChild>
        <w:div w:id="127481292">
          <w:marLeft w:val="0"/>
          <w:marRight w:val="0"/>
          <w:marTop w:val="0"/>
          <w:marBottom w:val="0"/>
          <w:divBdr>
            <w:top w:val="none" w:sz="0" w:space="0" w:color="auto"/>
            <w:left w:val="none" w:sz="0" w:space="0" w:color="auto"/>
            <w:bottom w:val="none" w:sz="0" w:space="0" w:color="auto"/>
            <w:right w:val="none" w:sz="0" w:space="0" w:color="auto"/>
          </w:divBdr>
          <w:divsChild>
            <w:div w:id="201138635">
              <w:marLeft w:val="-75"/>
              <w:marRight w:val="0"/>
              <w:marTop w:val="30"/>
              <w:marBottom w:val="30"/>
              <w:divBdr>
                <w:top w:val="none" w:sz="0" w:space="0" w:color="auto"/>
                <w:left w:val="none" w:sz="0" w:space="0" w:color="auto"/>
                <w:bottom w:val="none" w:sz="0" w:space="0" w:color="auto"/>
                <w:right w:val="none" w:sz="0" w:space="0" w:color="auto"/>
              </w:divBdr>
              <w:divsChild>
                <w:div w:id="4212268">
                  <w:marLeft w:val="0"/>
                  <w:marRight w:val="0"/>
                  <w:marTop w:val="0"/>
                  <w:marBottom w:val="0"/>
                  <w:divBdr>
                    <w:top w:val="none" w:sz="0" w:space="0" w:color="auto"/>
                    <w:left w:val="none" w:sz="0" w:space="0" w:color="auto"/>
                    <w:bottom w:val="none" w:sz="0" w:space="0" w:color="auto"/>
                    <w:right w:val="none" w:sz="0" w:space="0" w:color="auto"/>
                  </w:divBdr>
                  <w:divsChild>
                    <w:div w:id="2047217318">
                      <w:marLeft w:val="0"/>
                      <w:marRight w:val="0"/>
                      <w:marTop w:val="0"/>
                      <w:marBottom w:val="0"/>
                      <w:divBdr>
                        <w:top w:val="none" w:sz="0" w:space="0" w:color="auto"/>
                        <w:left w:val="none" w:sz="0" w:space="0" w:color="auto"/>
                        <w:bottom w:val="none" w:sz="0" w:space="0" w:color="auto"/>
                        <w:right w:val="none" w:sz="0" w:space="0" w:color="auto"/>
                      </w:divBdr>
                    </w:div>
                  </w:divsChild>
                </w:div>
                <w:div w:id="11038125">
                  <w:marLeft w:val="0"/>
                  <w:marRight w:val="0"/>
                  <w:marTop w:val="0"/>
                  <w:marBottom w:val="0"/>
                  <w:divBdr>
                    <w:top w:val="none" w:sz="0" w:space="0" w:color="auto"/>
                    <w:left w:val="none" w:sz="0" w:space="0" w:color="auto"/>
                    <w:bottom w:val="none" w:sz="0" w:space="0" w:color="auto"/>
                    <w:right w:val="none" w:sz="0" w:space="0" w:color="auto"/>
                  </w:divBdr>
                  <w:divsChild>
                    <w:div w:id="406196158">
                      <w:marLeft w:val="0"/>
                      <w:marRight w:val="0"/>
                      <w:marTop w:val="0"/>
                      <w:marBottom w:val="0"/>
                      <w:divBdr>
                        <w:top w:val="none" w:sz="0" w:space="0" w:color="auto"/>
                        <w:left w:val="none" w:sz="0" w:space="0" w:color="auto"/>
                        <w:bottom w:val="none" w:sz="0" w:space="0" w:color="auto"/>
                        <w:right w:val="none" w:sz="0" w:space="0" w:color="auto"/>
                      </w:divBdr>
                    </w:div>
                  </w:divsChild>
                </w:div>
                <w:div w:id="30109493">
                  <w:marLeft w:val="0"/>
                  <w:marRight w:val="0"/>
                  <w:marTop w:val="0"/>
                  <w:marBottom w:val="0"/>
                  <w:divBdr>
                    <w:top w:val="none" w:sz="0" w:space="0" w:color="auto"/>
                    <w:left w:val="none" w:sz="0" w:space="0" w:color="auto"/>
                    <w:bottom w:val="none" w:sz="0" w:space="0" w:color="auto"/>
                    <w:right w:val="none" w:sz="0" w:space="0" w:color="auto"/>
                  </w:divBdr>
                  <w:divsChild>
                    <w:div w:id="1217546305">
                      <w:marLeft w:val="0"/>
                      <w:marRight w:val="0"/>
                      <w:marTop w:val="0"/>
                      <w:marBottom w:val="0"/>
                      <w:divBdr>
                        <w:top w:val="none" w:sz="0" w:space="0" w:color="auto"/>
                        <w:left w:val="none" w:sz="0" w:space="0" w:color="auto"/>
                        <w:bottom w:val="none" w:sz="0" w:space="0" w:color="auto"/>
                        <w:right w:val="none" w:sz="0" w:space="0" w:color="auto"/>
                      </w:divBdr>
                    </w:div>
                  </w:divsChild>
                </w:div>
                <w:div w:id="36778173">
                  <w:marLeft w:val="0"/>
                  <w:marRight w:val="0"/>
                  <w:marTop w:val="0"/>
                  <w:marBottom w:val="0"/>
                  <w:divBdr>
                    <w:top w:val="none" w:sz="0" w:space="0" w:color="auto"/>
                    <w:left w:val="none" w:sz="0" w:space="0" w:color="auto"/>
                    <w:bottom w:val="none" w:sz="0" w:space="0" w:color="auto"/>
                    <w:right w:val="none" w:sz="0" w:space="0" w:color="auto"/>
                  </w:divBdr>
                  <w:divsChild>
                    <w:div w:id="721758107">
                      <w:marLeft w:val="0"/>
                      <w:marRight w:val="0"/>
                      <w:marTop w:val="0"/>
                      <w:marBottom w:val="0"/>
                      <w:divBdr>
                        <w:top w:val="none" w:sz="0" w:space="0" w:color="auto"/>
                        <w:left w:val="none" w:sz="0" w:space="0" w:color="auto"/>
                        <w:bottom w:val="none" w:sz="0" w:space="0" w:color="auto"/>
                        <w:right w:val="none" w:sz="0" w:space="0" w:color="auto"/>
                      </w:divBdr>
                    </w:div>
                  </w:divsChild>
                </w:div>
                <w:div w:id="36929060">
                  <w:marLeft w:val="0"/>
                  <w:marRight w:val="0"/>
                  <w:marTop w:val="0"/>
                  <w:marBottom w:val="0"/>
                  <w:divBdr>
                    <w:top w:val="none" w:sz="0" w:space="0" w:color="auto"/>
                    <w:left w:val="none" w:sz="0" w:space="0" w:color="auto"/>
                    <w:bottom w:val="none" w:sz="0" w:space="0" w:color="auto"/>
                    <w:right w:val="none" w:sz="0" w:space="0" w:color="auto"/>
                  </w:divBdr>
                  <w:divsChild>
                    <w:div w:id="803809997">
                      <w:marLeft w:val="0"/>
                      <w:marRight w:val="0"/>
                      <w:marTop w:val="0"/>
                      <w:marBottom w:val="0"/>
                      <w:divBdr>
                        <w:top w:val="none" w:sz="0" w:space="0" w:color="auto"/>
                        <w:left w:val="none" w:sz="0" w:space="0" w:color="auto"/>
                        <w:bottom w:val="none" w:sz="0" w:space="0" w:color="auto"/>
                        <w:right w:val="none" w:sz="0" w:space="0" w:color="auto"/>
                      </w:divBdr>
                    </w:div>
                  </w:divsChild>
                </w:div>
                <w:div w:id="41491919">
                  <w:marLeft w:val="0"/>
                  <w:marRight w:val="0"/>
                  <w:marTop w:val="0"/>
                  <w:marBottom w:val="0"/>
                  <w:divBdr>
                    <w:top w:val="none" w:sz="0" w:space="0" w:color="auto"/>
                    <w:left w:val="none" w:sz="0" w:space="0" w:color="auto"/>
                    <w:bottom w:val="none" w:sz="0" w:space="0" w:color="auto"/>
                    <w:right w:val="none" w:sz="0" w:space="0" w:color="auto"/>
                  </w:divBdr>
                  <w:divsChild>
                    <w:div w:id="1106777233">
                      <w:marLeft w:val="0"/>
                      <w:marRight w:val="0"/>
                      <w:marTop w:val="0"/>
                      <w:marBottom w:val="0"/>
                      <w:divBdr>
                        <w:top w:val="none" w:sz="0" w:space="0" w:color="auto"/>
                        <w:left w:val="none" w:sz="0" w:space="0" w:color="auto"/>
                        <w:bottom w:val="none" w:sz="0" w:space="0" w:color="auto"/>
                        <w:right w:val="none" w:sz="0" w:space="0" w:color="auto"/>
                      </w:divBdr>
                    </w:div>
                  </w:divsChild>
                </w:div>
                <w:div w:id="42219765">
                  <w:marLeft w:val="0"/>
                  <w:marRight w:val="0"/>
                  <w:marTop w:val="0"/>
                  <w:marBottom w:val="0"/>
                  <w:divBdr>
                    <w:top w:val="none" w:sz="0" w:space="0" w:color="auto"/>
                    <w:left w:val="none" w:sz="0" w:space="0" w:color="auto"/>
                    <w:bottom w:val="none" w:sz="0" w:space="0" w:color="auto"/>
                    <w:right w:val="none" w:sz="0" w:space="0" w:color="auto"/>
                  </w:divBdr>
                  <w:divsChild>
                    <w:div w:id="1698657431">
                      <w:marLeft w:val="0"/>
                      <w:marRight w:val="0"/>
                      <w:marTop w:val="0"/>
                      <w:marBottom w:val="0"/>
                      <w:divBdr>
                        <w:top w:val="none" w:sz="0" w:space="0" w:color="auto"/>
                        <w:left w:val="none" w:sz="0" w:space="0" w:color="auto"/>
                        <w:bottom w:val="none" w:sz="0" w:space="0" w:color="auto"/>
                        <w:right w:val="none" w:sz="0" w:space="0" w:color="auto"/>
                      </w:divBdr>
                    </w:div>
                  </w:divsChild>
                </w:div>
                <w:div w:id="50421460">
                  <w:marLeft w:val="0"/>
                  <w:marRight w:val="0"/>
                  <w:marTop w:val="0"/>
                  <w:marBottom w:val="0"/>
                  <w:divBdr>
                    <w:top w:val="none" w:sz="0" w:space="0" w:color="auto"/>
                    <w:left w:val="none" w:sz="0" w:space="0" w:color="auto"/>
                    <w:bottom w:val="none" w:sz="0" w:space="0" w:color="auto"/>
                    <w:right w:val="none" w:sz="0" w:space="0" w:color="auto"/>
                  </w:divBdr>
                  <w:divsChild>
                    <w:div w:id="1911385646">
                      <w:marLeft w:val="0"/>
                      <w:marRight w:val="0"/>
                      <w:marTop w:val="0"/>
                      <w:marBottom w:val="0"/>
                      <w:divBdr>
                        <w:top w:val="none" w:sz="0" w:space="0" w:color="auto"/>
                        <w:left w:val="none" w:sz="0" w:space="0" w:color="auto"/>
                        <w:bottom w:val="none" w:sz="0" w:space="0" w:color="auto"/>
                        <w:right w:val="none" w:sz="0" w:space="0" w:color="auto"/>
                      </w:divBdr>
                    </w:div>
                  </w:divsChild>
                </w:div>
                <w:div w:id="82730110">
                  <w:marLeft w:val="0"/>
                  <w:marRight w:val="0"/>
                  <w:marTop w:val="0"/>
                  <w:marBottom w:val="0"/>
                  <w:divBdr>
                    <w:top w:val="none" w:sz="0" w:space="0" w:color="auto"/>
                    <w:left w:val="none" w:sz="0" w:space="0" w:color="auto"/>
                    <w:bottom w:val="none" w:sz="0" w:space="0" w:color="auto"/>
                    <w:right w:val="none" w:sz="0" w:space="0" w:color="auto"/>
                  </w:divBdr>
                  <w:divsChild>
                    <w:div w:id="1898543413">
                      <w:marLeft w:val="0"/>
                      <w:marRight w:val="0"/>
                      <w:marTop w:val="0"/>
                      <w:marBottom w:val="0"/>
                      <w:divBdr>
                        <w:top w:val="none" w:sz="0" w:space="0" w:color="auto"/>
                        <w:left w:val="none" w:sz="0" w:space="0" w:color="auto"/>
                        <w:bottom w:val="none" w:sz="0" w:space="0" w:color="auto"/>
                        <w:right w:val="none" w:sz="0" w:space="0" w:color="auto"/>
                      </w:divBdr>
                    </w:div>
                  </w:divsChild>
                </w:div>
                <w:div w:id="92094384">
                  <w:marLeft w:val="0"/>
                  <w:marRight w:val="0"/>
                  <w:marTop w:val="0"/>
                  <w:marBottom w:val="0"/>
                  <w:divBdr>
                    <w:top w:val="none" w:sz="0" w:space="0" w:color="auto"/>
                    <w:left w:val="none" w:sz="0" w:space="0" w:color="auto"/>
                    <w:bottom w:val="none" w:sz="0" w:space="0" w:color="auto"/>
                    <w:right w:val="none" w:sz="0" w:space="0" w:color="auto"/>
                  </w:divBdr>
                  <w:divsChild>
                    <w:div w:id="2136558918">
                      <w:marLeft w:val="0"/>
                      <w:marRight w:val="0"/>
                      <w:marTop w:val="0"/>
                      <w:marBottom w:val="0"/>
                      <w:divBdr>
                        <w:top w:val="none" w:sz="0" w:space="0" w:color="auto"/>
                        <w:left w:val="none" w:sz="0" w:space="0" w:color="auto"/>
                        <w:bottom w:val="none" w:sz="0" w:space="0" w:color="auto"/>
                        <w:right w:val="none" w:sz="0" w:space="0" w:color="auto"/>
                      </w:divBdr>
                    </w:div>
                  </w:divsChild>
                </w:div>
                <w:div w:id="95949276">
                  <w:marLeft w:val="0"/>
                  <w:marRight w:val="0"/>
                  <w:marTop w:val="0"/>
                  <w:marBottom w:val="0"/>
                  <w:divBdr>
                    <w:top w:val="none" w:sz="0" w:space="0" w:color="auto"/>
                    <w:left w:val="none" w:sz="0" w:space="0" w:color="auto"/>
                    <w:bottom w:val="none" w:sz="0" w:space="0" w:color="auto"/>
                    <w:right w:val="none" w:sz="0" w:space="0" w:color="auto"/>
                  </w:divBdr>
                  <w:divsChild>
                    <w:div w:id="1739403251">
                      <w:marLeft w:val="0"/>
                      <w:marRight w:val="0"/>
                      <w:marTop w:val="0"/>
                      <w:marBottom w:val="0"/>
                      <w:divBdr>
                        <w:top w:val="none" w:sz="0" w:space="0" w:color="auto"/>
                        <w:left w:val="none" w:sz="0" w:space="0" w:color="auto"/>
                        <w:bottom w:val="none" w:sz="0" w:space="0" w:color="auto"/>
                        <w:right w:val="none" w:sz="0" w:space="0" w:color="auto"/>
                      </w:divBdr>
                    </w:div>
                  </w:divsChild>
                </w:div>
                <w:div w:id="100222383">
                  <w:marLeft w:val="0"/>
                  <w:marRight w:val="0"/>
                  <w:marTop w:val="0"/>
                  <w:marBottom w:val="0"/>
                  <w:divBdr>
                    <w:top w:val="none" w:sz="0" w:space="0" w:color="auto"/>
                    <w:left w:val="none" w:sz="0" w:space="0" w:color="auto"/>
                    <w:bottom w:val="none" w:sz="0" w:space="0" w:color="auto"/>
                    <w:right w:val="none" w:sz="0" w:space="0" w:color="auto"/>
                  </w:divBdr>
                  <w:divsChild>
                    <w:div w:id="261374247">
                      <w:marLeft w:val="0"/>
                      <w:marRight w:val="0"/>
                      <w:marTop w:val="0"/>
                      <w:marBottom w:val="0"/>
                      <w:divBdr>
                        <w:top w:val="none" w:sz="0" w:space="0" w:color="auto"/>
                        <w:left w:val="none" w:sz="0" w:space="0" w:color="auto"/>
                        <w:bottom w:val="none" w:sz="0" w:space="0" w:color="auto"/>
                        <w:right w:val="none" w:sz="0" w:space="0" w:color="auto"/>
                      </w:divBdr>
                    </w:div>
                  </w:divsChild>
                </w:div>
                <w:div w:id="107242861">
                  <w:marLeft w:val="0"/>
                  <w:marRight w:val="0"/>
                  <w:marTop w:val="0"/>
                  <w:marBottom w:val="0"/>
                  <w:divBdr>
                    <w:top w:val="none" w:sz="0" w:space="0" w:color="auto"/>
                    <w:left w:val="none" w:sz="0" w:space="0" w:color="auto"/>
                    <w:bottom w:val="none" w:sz="0" w:space="0" w:color="auto"/>
                    <w:right w:val="none" w:sz="0" w:space="0" w:color="auto"/>
                  </w:divBdr>
                  <w:divsChild>
                    <w:div w:id="1752236509">
                      <w:marLeft w:val="0"/>
                      <w:marRight w:val="0"/>
                      <w:marTop w:val="0"/>
                      <w:marBottom w:val="0"/>
                      <w:divBdr>
                        <w:top w:val="none" w:sz="0" w:space="0" w:color="auto"/>
                        <w:left w:val="none" w:sz="0" w:space="0" w:color="auto"/>
                        <w:bottom w:val="none" w:sz="0" w:space="0" w:color="auto"/>
                        <w:right w:val="none" w:sz="0" w:space="0" w:color="auto"/>
                      </w:divBdr>
                    </w:div>
                  </w:divsChild>
                </w:div>
                <w:div w:id="109277688">
                  <w:marLeft w:val="0"/>
                  <w:marRight w:val="0"/>
                  <w:marTop w:val="0"/>
                  <w:marBottom w:val="0"/>
                  <w:divBdr>
                    <w:top w:val="none" w:sz="0" w:space="0" w:color="auto"/>
                    <w:left w:val="none" w:sz="0" w:space="0" w:color="auto"/>
                    <w:bottom w:val="none" w:sz="0" w:space="0" w:color="auto"/>
                    <w:right w:val="none" w:sz="0" w:space="0" w:color="auto"/>
                  </w:divBdr>
                  <w:divsChild>
                    <w:div w:id="1266426536">
                      <w:marLeft w:val="0"/>
                      <w:marRight w:val="0"/>
                      <w:marTop w:val="0"/>
                      <w:marBottom w:val="0"/>
                      <w:divBdr>
                        <w:top w:val="none" w:sz="0" w:space="0" w:color="auto"/>
                        <w:left w:val="none" w:sz="0" w:space="0" w:color="auto"/>
                        <w:bottom w:val="none" w:sz="0" w:space="0" w:color="auto"/>
                        <w:right w:val="none" w:sz="0" w:space="0" w:color="auto"/>
                      </w:divBdr>
                    </w:div>
                  </w:divsChild>
                </w:div>
                <w:div w:id="118113327">
                  <w:marLeft w:val="0"/>
                  <w:marRight w:val="0"/>
                  <w:marTop w:val="0"/>
                  <w:marBottom w:val="0"/>
                  <w:divBdr>
                    <w:top w:val="none" w:sz="0" w:space="0" w:color="auto"/>
                    <w:left w:val="none" w:sz="0" w:space="0" w:color="auto"/>
                    <w:bottom w:val="none" w:sz="0" w:space="0" w:color="auto"/>
                    <w:right w:val="none" w:sz="0" w:space="0" w:color="auto"/>
                  </w:divBdr>
                  <w:divsChild>
                    <w:div w:id="683437304">
                      <w:marLeft w:val="0"/>
                      <w:marRight w:val="0"/>
                      <w:marTop w:val="0"/>
                      <w:marBottom w:val="0"/>
                      <w:divBdr>
                        <w:top w:val="none" w:sz="0" w:space="0" w:color="auto"/>
                        <w:left w:val="none" w:sz="0" w:space="0" w:color="auto"/>
                        <w:bottom w:val="none" w:sz="0" w:space="0" w:color="auto"/>
                        <w:right w:val="none" w:sz="0" w:space="0" w:color="auto"/>
                      </w:divBdr>
                    </w:div>
                  </w:divsChild>
                </w:div>
                <w:div w:id="131411766">
                  <w:marLeft w:val="0"/>
                  <w:marRight w:val="0"/>
                  <w:marTop w:val="0"/>
                  <w:marBottom w:val="0"/>
                  <w:divBdr>
                    <w:top w:val="none" w:sz="0" w:space="0" w:color="auto"/>
                    <w:left w:val="none" w:sz="0" w:space="0" w:color="auto"/>
                    <w:bottom w:val="none" w:sz="0" w:space="0" w:color="auto"/>
                    <w:right w:val="none" w:sz="0" w:space="0" w:color="auto"/>
                  </w:divBdr>
                  <w:divsChild>
                    <w:div w:id="321348909">
                      <w:marLeft w:val="0"/>
                      <w:marRight w:val="0"/>
                      <w:marTop w:val="0"/>
                      <w:marBottom w:val="0"/>
                      <w:divBdr>
                        <w:top w:val="none" w:sz="0" w:space="0" w:color="auto"/>
                        <w:left w:val="none" w:sz="0" w:space="0" w:color="auto"/>
                        <w:bottom w:val="none" w:sz="0" w:space="0" w:color="auto"/>
                        <w:right w:val="none" w:sz="0" w:space="0" w:color="auto"/>
                      </w:divBdr>
                    </w:div>
                  </w:divsChild>
                </w:div>
                <w:div w:id="135806902">
                  <w:marLeft w:val="0"/>
                  <w:marRight w:val="0"/>
                  <w:marTop w:val="0"/>
                  <w:marBottom w:val="0"/>
                  <w:divBdr>
                    <w:top w:val="none" w:sz="0" w:space="0" w:color="auto"/>
                    <w:left w:val="none" w:sz="0" w:space="0" w:color="auto"/>
                    <w:bottom w:val="none" w:sz="0" w:space="0" w:color="auto"/>
                    <w:right w:val="none" w:sz="0" w:space="0" w:color="auto"/>
                  </w:divBdr>
                  <w:divsChild>
                    <w:div w:id="1011644454">
                      <w:marLeft w:val="0"/>
                      <w:marRight w:val="0"/>
                      <w:marTop w:val="0"/>
                      <w:marBottom w:val="0"/>
                      <w:divBdr>
                        <w:top w:val="none" w:sz="0" w:space="0" w:color="auto"/>
                        <w:left w:val="none" w:sz="0" w:space="0" w:color="auto"/>
                        <w:bottom w:val="none" w:sz="0" w:space="0" w:color="auto"/>
                        <w:right w:val="none" w:sz="0" w:space="0" w:color="auto"/>
                      </w:divBdr>
                    </w:div>
                  </w:divsChild>
                </w:div>
                <w:div w:id="139540669">
                  <w:marLeft w:val="0"/>
                  <w:marRight w:val="0"/>
                  <w:marTop w:val="0"/>
                  <w:marBottom w:val="0"/>
                  <w:divBdr>
                    <w:top w:val="none" w:sz="0" w:space="0" w:color="auto"/>
                    <w:left w:val="none" w:sz="0" w:space="0" w:color="auto"/>
                    <w:bottom w:val="none" w:sz="0" w:space="0" w:color="auto"/>
                    <w:right w:val="none" w:sz="0" w:space="0" w:color="auto"/>
                  </w:divBdr>
                  <w:divsChild>
                    <w:div w:id="1517890506">
                      <w:marLeft w:val="0"/>
                      <w:marRight w:val="0"/>
                      <w:marTop w:val="0"/>
                      <w:marBottom w:val="0"/>
                      <w:divBdr>
                        <w:top w:val="none" w:sz="0" w:space="0" w:color="auto"/>
                        <w:left w:val="none" w:sz="0" w:space="0" w:color="auto"/>
                        <w:bottom w:val="none" w:sz="0" w:space="0" w:color="auto"/>
                        <w:right w:val="none" w:sz="0" w:space="0" w:color="auto"/>
                      </w:divBdr>
                    </w:div>
                  </w:divsChild>
                </w:div>
                <w:div w:id="153112213">
                  <w:marLeft w:val="0"/>
                  <w:marRight w:val="0"/>
                  <w:marTop w:val="0"/>
                  <w:marBottom w:val="0"/>
                  <w:divBdr>
                    <w:top w:val="none" w:sz="0" w:space="0" w:color="auto"/>
                    <w:left w:val="none" w:sz="0" w:space="0" w:color="auto"/>
                    <w:bottom w:val="none" w:sz="0" w:space="0" w:color="auto"/>
                    <w:right w:val="none" w:sz="0" w:space="0" w:color="auto"/>
                  </w:divBdr>
                  <w:divsChild>
                    <w:div w:id="459736285">
                      <w:marLeft w:val="0"/>
                      <w:marRight w:val="0"/>
                      <w:marTop w:val="0"/>
                      <w:marBottom w:val="0"/>
                      <w:divBdr>
                        <w:top w:val="none" w:sz="0" w:space="0" w:color="auto"/>
                        <w:left w:val="none" w:sz="0" w:space="0" w:color="auto"/>
                        <w:bottom w:val="none" w:sz="0" w:space="0" w:color="auto"/>
                        <w:right w:val="none" w:sz="0" w:space="0" w:color="auto"/>
                      </w:divBdr>
                    </w:div>
                  </w:divsChild>
                </w:div>
                <w:div w:id="153452364">
                  <w:marLeft w:val="0"/>
                  <w:marRight w:val="0"/>
                  <w:marTop w:val="0"/>
                  <w:marBottom w:val="0"/>
                  <w:divBdr>
                    <w:top w:val="none" w:sz="0" w:space="0" w:color="auto"/>
                    <w:left w:val="none" w:sz="0" w:space="0" w:color="auto"/>
                    <w:bottom w:val="none" w:sz="0" w:space="0" w:color="auto"/>
                    <w:right w:val="none" w:sz="0" w:space="0" w:color="auto"/>
                  </w:divBdr>
                  <w:divsChild>
                    <w:div w:id="87775559">
                      <w:marLeft w:val="0"/>
                      <w:marRight w:val="0"/>
                      <w:marTop w:val="0"/>
                      <w:marBottom w:val="0"/>
                      <w:divBdr>
                        <w:top w:val="none" w:sz="0" w:space="0" w:color="auto"/>
                        <w:left w:val="none" w:sz="0" w:space="0" w:color="auto"/>
                        <w:bottom w:val="none" w:sz="0" w:space="0" w:color="auto"/>
                        <w:right w:val="none" w:sz="0" w:space="0" w:color="auto"/>
                      </w:divBdr>
                    </w:div>
                  </w:divsChild>
                </w:div>
                <w:div w:id="155416577">
                  <w:marLeft w:val="0"/>
                  <w:marRight w:val="0"/>
                  <w:marTop w:val="0"/>
                  <w:marBottom w:val="0"/>
                  <w:divBdr>
                    <w:top w:val="none" w:sz="0" w:space="0" w:color="auto"/>
                    <w:left w:val="none" w:sz="0" w:space="0" w:color="auto"/>
                    <w:bottom w:val="none" w:sz="0" w:space="0" w:color="auto"/>
                    <w:right w:val="none" w:sz="0" w:space="0" w:color="auto"/>
                  </w:divBdr>
                  <w:divsChild>
                    <w:div w:id="380445388">
                      <w:marLeft w:val="0"/>
                      <w:marRight w:val="0"/>
                      <w:marTop w:val="0"/>
                      <w:marBottom w:val="0"/>
                      <w:divBdr>
                        <w:top w:val="none" w:sz="0" w:space="0" w:color="auto"/>
                        <w:left w:val="none" w:sz="0" w:space="0" w:color="auto"/>
                        <w:bottom w:val="none" w:sz="0" w:space="0" w:color="auto"/>
                        <w:right w:val="none" w:sz="0" w:space="0" w:color="auto"/>
                      </w:divBdr>
                    </w:div>
                  </w:divsChild>
                </w:div>
                <w:div w:id="155541556">
                  <w:marLeft w:val="0"/>
                  <w:marRight w:val="0"/>
                  <w:marTop w:val="0"/>
                  <w:marBottom w:val="0"/>
                  <w:divBdr>
                    <w:top w:val="none" w:sz="0" w:space="0" w:color="auto"/>
                    <w:left w:val="none" w:sz="0" w:space="0" w:color="auto"/>
                    <w:bottom w:val="none" w:sz="0" w:space="0" w:color="auto"/>
                    <w:right w:val="none" w:sz="0" w:space="0" w:color="auto"/>
                  </w:divBdr>
                  <w:divsChild>
                    <w:div w:id="2018530607">
                      <w:marLeft w:val="0"/>
                      <w:marRight w:val="0"/>
                      <w:marTop w:val="0"/>
                      <w:marBottom w:val="0"/>
                      <w:divBdr>
                        <w:top w:val="none" w:sz="0" w:space="0" w:color="auto"/>
                        <w:left w:val="none" w:sz="0" w:space="0" w:color="auto"/>
                        <w:bottom w:val="none" w:sz="0" w:space="0" w:color="auto"/>
                        <w:right w:val="none" w:sz="0" w:space="0" w:color="auto"/>
                      </w:divBdr>
                    </w:div>
                  </w:divsChild>
                </w:div>
                <w:div w:id="165026067">
                  <w:marLeft w:val="0"/>
                  <w:marRight w:val="0"/>
                  <w:marTop w:val="0"/>
                  <w:marBottom w:val="0"/>
                  <w:divBdr>
                    <w:top w:val="none" w:sz="0" w:space="0" w:color="auto"/>
                    <w:left w:val="none" w:sz="0" w:space="0" w:color="auto"/>
                    <w:bottom w:val="none" w:sz="0" w:space="0" w:color="auto"/>
                    <w:right w:val="none" w:sz="0" w:space="0" w:color="auto"/>
                  </w:divBdr>
                  <w:divsChild>
                    <w:div w:id="1183594323">
                      <w:marLeft w:val="0"/>
                      <w:marRight w:val="0"/>
                      <w:marTop w:val="0"/>
                      <w:marBottom w:val="0"/>
                      <w:divBdr>
                        <w:top w:val="none" w:sz="0" w:space="0" w:color="auto"/>
                        <w:left w:val="none" w:sz="0" w:space="0" w:color="auto"/>
                        <w:bottom w:val="none" w:sz="0" w:space="0" w:color="auto"/>
                        <w:right w:val="none" w:sz="0" w:space="0" w:color="auto"/>
                      </w:divBdr>
                    </w:div>
                  </w:divsChild>
                </w:div>
                <w:div w:id="169564148">
                  <w:marLeft w:val="0"/>
                  <w:marRight w:val="0"/>
                  <w:marTop w:val="0"/>
                  <w:marBottom w:val="0"/>
                  <w:divBdr>
                    <w:top w:val="none" w:sz="0" w:space="0" w:color="auto"/>
                    <w:left w:val="none" w:sz="0" w:space="0" w:color="auto"/>
                    <w:bottom w:val="none" w:sz="0" w:space="0" w:color="auto"/>
                    <w:right w:val="none" w:sz="0" w:space="0" w:color="auto"/>
                  </w:divBdr>
                  <w:divsChild>
                    <w:div w:id="275792234">
                      <w:marLeft w:val="0"/>
                      <w:marRight w:val="0"/>
                      <w:marTop w:val="0"/>
                      <w:marBottom w:val="0"/>
                      <w:divBdr>
                        <w:top w:val="none" w:sz="0" w:space="0" w:color="auto"/>
                        <w:left w:val="none" w:sz="0" w:space="0" w:color="auto"/>
                        <w:bottom w:val="none" w:sz="0" w:space="0" w:color="auto"/>
                        <w:right w:val="none" w:sz="0" w:space="0" w:color="auto"/>
                      </w:divBdr>
                    </w:div>
                  </w:divsChild>
                </w:div>
                <w:div w:id="176508374">
                  <w:marLeft w:val="0"/>
                  <w:marRight w:val="0"/>
                  <w:marTop w:val="0"/>
                  <w:marBottom w:val="0"/>
                  <w:divBdr>
                    <w:top w:val="none" w:sz="0" w:space="0" w:color="auto"/>
                    <w:left w:val="none" w:sz="0" w:space="0" w:color="auto"/>
                    <w:bottom w:val="none" w:sz="0" w:space="0" w:color="auto"/>
                    <w:right w:val="none" w:sz="0" w:space="0" w:color="auto"/>
                  </w:divBdr>
                  <w:divsChild>
                    <w:div w:id="98650831">
                      <w:marLeft w:val="0"/>
                      <w:marRight w:val="0"/>
                      <w:marTop w:val="0"/>
                      <w:marBottom w:val="0"/>
                      <w:divBdr>
                        <w:top w:val="none" w:sz="0" w:space="0" w:color="auto"/>
                        <w:left w:val="none" w:sz="0" w:space="0" w:color="auto"/>
                        <w:bottom w:val="none" w:sz="0" w:space="0" w:color="auto"/>
                        <w:right w:val="none" w:sz="0" w:space="0" w:color="auto"/>
                      </w:divBdr>
                    </w:div>
                  </w:divsChild>
                </w:div>
                <w:div w:id="187767301">
                  <w:marLeft w:val="0"/>
                  <w:marRight w:val="0"/>
                  <w:marTop w:val="0"/>
                  <w:marBottom w:val="0"/>
                  <w:divBdr>
                    <w:top w:val="none" w:sz="0" w:space="0" w:color="auto"/>
                    <w:left w:val="none" w:sz="0" w:space="0" w:color="auto"/>
                    <w:bottom w:val="none" w:sz="0" w:space="0" w:color="auto"/>
                    <w:right w:val="none" w:sz="0" w:space="0" w:color="auto"/>
                  </w:divBdr>
                  <w:divsChild>
                    <w:div w:id="10693705">
                      <w:marLeft w:val="0"/>
                      <w:marRight w:val="0"/>
                      <w:marTop w:val="0"/>
                      <w:marBottom w:val="0"/>
                      <w:divBdr>
                        <w:top w:val="none" w:sz="0" w:space="0" w:color="auto"/>
                        <w:left w:val="none" w:sz="0" w:space="0" w:color="auto"/>
                        <w:bottom w:val="none" w:sz="0" w:space="0" w:color="auto"/>
                        <w:right w:val="none" w:sz="0" w:space="0" w:color="auto"/>
                      </w:divBdr>
                    </w:div>
                  </w:divsChild>
                </w:div>
                <w:div w:id="189874977">
                  <w:marLeft w:val="0"/>
                  <w:marRight w:val="0"/>
                  <w:marTop w:val="0"/>
                  <w:marBottom w:val="0"/>
                  <w:divBdr>
                    <w:top w:val="none" w:sz="0" w:space="0" w:color="auto"/>
                    <w:left w:val="none" w:sz="0" w:space="0" w:color="auto"/>
                    <w:bottom w:val="none" w:sz="0" w:space="0" w:color="auto"/>
                    <w:right w:val="none" w:sz="0" w:space="0" w:color="auto"/>
                  </w:divBdr>
                  <w:divsChild>
                    <w:div w:id="371155511">
                      <w:marLeft w:val="0"/>
                      <w:marRight w:val="0"/>
                      <w:marTop w:val="0"/>
                      <w:marBottom w:val="0"/>
                      <w:divBdr>
                        <w:top w:val="none" w:sz="0" w:space="0" w:color="auto"/>
                        <w:left w:val="none" w:sz="0" w:space="0" w:color="auto"/>
                        <w:bottom w:val="none" w:sz="0" w:space="0" w:color="auto"/>
                        <w:right w:val="none" w:sz="0" w:space="0" w:color="auto"/>
                      </w:divBdr>
                    </w:div>
                  </w:divsChild>
                </w:div>
                <w:div w:id="192153251">
                  <w:marLeft w:val="0"/>
                  <w:marRight w:val="0"/>
                  <w:marTop w:val="0"/>
                  <w:marBottom w:val="0"/>
                  <w:divBdr>
                    <w:top w:val="none" w:sz="0" w:space="0" w:color="auto"/>
                    <w:left w:val="none" w:sz="0" w:space="0" w:color="auto"/>
                    <w:bottom w:val="none" w:sz="0" w:space="0" w:color="auto"/>
                    <w:right w:val="none" w:sz="0" w:space="0" w:color="auto"/>
                  </w:divBdr>
                  <w:divsChild>
                    <w:div w:id="1340616000">
                      <w:marLeft w:val="0"/>
                      <w:marRight w:val="0"/>
                      <w:marTop w:val="0"/>
                      <w:marBottom w:val="0"/>
                      <w:divBdr>
                        <w:top w:val="none" w:sz="0" w:space="0" w:color="auto"/>
                        <w:left w:val="none" w:sz="0" w:space="0" w:color="auto"/>
                        <w:bottom w:val="none" w:sz="0" w:space="0" w:color="auto"/>
                        <w:right w:val="none" w:sz="0" w:space="0" w:color="auto"/>
                      </w:divBdr>
                    </w:div>
                  </w:divsChild>
                </w:div>
                <w:div w:id="192426152">
                  <w:marLeft w:val="0"/>
                  <w:marRight w:val="0"/>
                  <w:marTop w:val="0"/>
                  <w:marBottom w:val="0"/>
                  <w:divBdr>
                    <w:top w:val="none" w:sz="0" w:space="0" w:color="auto"/>
                    <w:left w:val="none" w:sz="0" w:space="0" w:color="auto"/>
                    <w:bottom w:val="none" w:sz="0" w:space="0" w:color="auto"/>
                    <w:right w:val="none" w:sz="0" w:space="0" w:color="auto"/>
                  </w:divBdr>
                  <w:divsChild>
                    <w:div w:id="2074429705">
                      <w:marLeft w:val="0"/>
                      <w:marRight w:val="0"/>
                      <w:marTop w:val="0"/>
                      <w:marBottom w:val="0"/>
                      <w:divBdr>
                        <w:top w:val="none" w:sz="0" w:space="0" w:color="auto"/>
                        <w:left w:val="none" w:sz="0" w:space="0" w:color="auto"/>
                        <w:bottom w:val="none" w:sz="0" w:space="0" w:color="auto"/>
                        <w:right w:val="none" w:sz="0" w:space="0" w:color="auto"/>
                      </w:divBdr>
                    </w:div>
                  </w:divsChild>
                </w:div>
                <w:div w:id="196965059">
                  <w:marLeft w:val="0"/>
                  <w:marRight w:val="0"/>
                  <w:marTop w:val="0"/>
                  <w:marBottom w:val="0"/>
                  <w:divBdr>
                    <w:top w:val="none" w:sz="0" w:space="0" w:color="auto"/>
                    <w:left w:val="none" w:sz="0" w:space="0" w:color="auto"/>
                    <w:bottom w:val="none" w:sz="0" w:space="0" w:color="auto"/>
                    <w:right w:val="none" w:sz="0" w:space="0" w:color="auto"/>
                  </w:divBdr>
                  <w:divsChild>
                    <w:div w:id="1219703198">
                      <w:marLeft w:val="0"/>
                      <w:marRight w:val="0"/>
                      <w:marTop w:val="0"/>
                      <w:marBottom w:val="0"/>
                      <w:divBdr>
                        <w:top w:val="none" w:sz="0" w:space="0" w:color="auto"/>
                        <w:left w:val="none" w:sz="0" w:space="0" w:color="auto"/>
                        <w:bottom w:val="none" w:sz="0" w:space="0" w:color="auto"/>
                        <w:right w:val="none" w:sz="0" w:space="0" w:color="auto"/>
                      </w:divBdr>
                    </w:div>
                  </w:divsChild>
                </w:div>
                <w:div w:id="197403312">
                  <w:marLeft w:val="0"/>
                  <w:marRight w:val="0"/>
                  <w:marTop w:val="0"/>
                  <w:marBottom w:val="0"/>
                  <w:divBdr>
                    <w:top w:val="none" w:sz="0" w:space="0" w:color="auto"/>
                    <w:left w:val="none" w:sz="0" w:space="0" w:color="auto"/>
                    <w:bottom w:val="none" w:sz="0" w:space="0" w:color="auto"/>
                    <w:right w:val="none" w:sz="0" w:space="0" w:color="auto"/>
                  </w:divBdr>
                  <w:divsChild>
                    <w:div w:id="1823882751">
                      <w:marLeft w:val="0"/>
                      <w:marRight w:val="0"/>
                      <w:marTop w:val="0"/>
                      <w:marBottom w:val="0"/>
                      <w:divBdr>
                        <w:top w:val="none" w:sz="0" w:space="0" w:color="auto"/>
                        <w:left w:val="none" w:sz="0" w:space="0" w:color="auto"/>
                        <w:bottom w:val="none" w:sz="0" w:space="0" w:color="auto"/>
                        <w:right w:val="none" w:sz="0" w:space="0" w:color="auto"/>
                      </w:divBdr>
                    </w:div>
                  </w:divsChild>
                </w:div>
                <w:div w:id="200096601">
                  <w:marLeft w:val="0"/>
                  <w:marRight w:val="0"/>
                  <w:marTop w:val="0"/>
                  <w:marBottom w:val="0"/>
                  <w:divBdr>
                    <w:top w:val="none" w:sz="0" w:space="0" w:color="auto"/>
                    <w:left w:val="none" w:sz="0" w:space="0" w:color="auto"/>
                    <w:bottom w:val="none" w:sz="0" w:space="0" w:color="auto"/>
                    <w:right w:val="none" w:sz="0" w:space="0" w:color="auto"/>
                  </w:divBdr>
                  <w:divsChild>
                    <w:div w:id="1218399047">
                      <w:marLeft w:val="0"/>
                      <w:marRight w:val="0"/>
                      <w:marTop w:val="0"/>
                      <w:marBottom w:val="0"/>
                      <w:divBdr>
                        <w:top w:val="none" w:sz="0" w:space="0" w:color="auto"/>
                        <w:left w:val="none" w:sz="0" w:space="0" w:color="auto"/>
                        <w:bottom w:val="none" w:sz="0" w:space="0" w:color="auto"/>
                        <w:right w:val="none" w:sz="0" w:space="0" w:color="auto"/>
                      </w:divBdr>
                    </w:div>
                  </w:divsChild>
                </w:div>
                <w:div w:id="215708172">
                  <w:marLeft w:val="0"/>
                  <w:marRight w:val="0"/>
                  <w:marTop w:val="0"/>
                  <w:marBottom w:val="0"/>
                  <w:divBdr>
                    <w:top w:val="none" w:sz="0" w:space="0" w:color="auto"/>
                    <w:left w:val="none" w:sz="0" w:space="0" w:color="auto"/>
                    <w:bottom w:val="none" w:sz="0" w:space="0" w:color="auto"/>
                    <w:right w:val="none" w:sz="0" w:space="0" w:color="auto"/>
                  </w:divBdr>
                  <w:divsChild>
                    <w:div w:id="771317827">
                      <w:marLeft w:val="0"/>
                      <w:marRight w:val="0"/>
                      <w:marTop w:val="0"/>
                      <w:marBottom w:val="0"/>
                      <w:divBdr>
                        <w:top w:val="none" w:sz="0" w:space="0" w:color="auto"/>
                        <w:left w:val="none" w:sz="0" w:space="0" w:color="auto"/>
                        <w:bottom w:val="none" w:sz="0" w:space="0" w:color="auto"/>
                        <w:right w:val="none" w:sz="0" w:space="0" w:color="auto"/>
                      </w:divBdr>
                    </w:div>
                  </w:divsChild>
                </w:div>
                <w:div w:id="224920795">
                  <w:marLeft w:val="0"/>
                  <w:marRight w:val="0"/>
                  <w:marTop w:val="0"/>
                  <w:marBottom w:val="0"/>
                  <w:divBdr>
                    <w:top w:val="none" w:sz="0" w:space="0" w:color="auto"/>
                    <w:left w:val="none" w:sz="0" w:space="0" w:color="auto"/>
                    <w:bottom w:val="none" w:sz="0" w:space="0" w:color="auto"/>
                    <w:right w:val="none" w:sz="0" w:space="0" w:color="auto"/>
                  </w:divBdr>
                  <w:divsChild>
                    <w:div w:id="1015620077">
                      <w:marLeft w:val="0"/>
                      <w:marRight w:val="0"/>
                      <w:marTop w:val="0"/>
                      <w:marBottom w:val="0"/>
                      <w:divBdr>
                        <w:top w:val="none" w:sz="0" w:space="0" w:color="auto"/>
                        <w:left w:val="none" w:sz="0" w:space="0" w:color="auto"/>
                        <w:bottom w:val="none" w:sz="0" w:space="0" w:color="auto"/>
                        <w:right w:val="none" w:sz="0" w:space="0" w:color="auto"/>
                      </w:divBdr>
                    </w:div>
                  </w:divsChild>
                </w:div>
                <w:div w:id="225576141">
                  <w:marLeft w:val="0"/>
                  <w:marRight w:val="0"/>
                  <w:marTop w:val="0"/>
                  <w:marBottom w:val="0"/>
                  <w:divBdr>
                    <w:top w:val="none" w:sz="0" w:space="0" w:color="auto"/>
                    <w:left w:val="none" w:sz="0" w:space="0" w:color="auto"/>
                    <w:bottom w:val="none" w:sz="0" w:space="0" w:color="auto"/>
                    <w:right w:val="none" w:sz="0" w:space="0" w:color="auto"/>
                  </w:divBdr>
                  <w:divsChild>
                    <w:div w:id="774177889">
                      <w:marLeft w:val="0"/>
                      <w:marRight w:val="0"/>
                      <w:marTop w:val="0"/>
                      <w:marBottom w:val="0"/>
                      <w:divBdr>
                        <w:top w:val="none" w:sz="0" w:space="0" w:color="auto"/>
                        <w:left w:val="none" w:sz="0" w:space="0" w:color="auto"/>
                        <w:bottom w:val="none" w:sz="0" w:space="0" w:color="auto"/>
                        <w:right w:val="none" w:sz="0" w:space="0" w:color="auto"/>
                      </w:divBdr>
                    </w:div>
                  </w:divsChild>
                </w:div>
                <w:div w:id="230432233">
                  <w:marLeft w:val="0"/>
                  <w:marRight w:val="0"/>
                  <w:marTop w:val="0"/>
                  <w:marBottom w:val="0"/>
                  <w:divBdr>
                    <w:top w:val="none" w:sz="0" w:space="0" w:color="auto"/>
                    <w:left w:val="none" w:sz="0" w:space="0" w:color="auto"/>
                    <w:bottom w:val="none" w:sz="0" w:space="0" w:color="auto"/>
                    <w:right w:val="none" w:sz="0" w:space="0" w:color="auto"/>
                  </w:divBdr>
                  <w:divsChild>
                    <w:div w:id="818152729">
                      <w:marLeft w:val="0"/>
                      <w:marRight w:val="0"/>
                      <w:marTop w:val="0"/>
                      <w:marBottom w:val="0"/>
                      <w:divBdr>
                        <w:top w:val="none" w:sz="0" w:space="0" w:color="auto"/>
                        <w:left w:val="none" w:sz="0" w:space="0" w:color="auto"/>
                        <w:bottom w:val="none" w:sz="0" w:space="0" w:color="auto"/>
                        <w:right w:val="none" w:sz="0" w:space="0" w:color="auto"/>
                      </w:divBdr>
                    </w:div>
                  </w:divsChild>
                </w:div>
                <w:div w:id="236943500">
                  <w:marLeft w:val="0"/>
                  <w:marRight w:val="0"/>
                  <w:marTop w:val="0"/>
                  <w:marBottom w:val="0"/>
                  <w:divBdr>
                    <w:top w:val="none" w:sz="0" w:space="0" w:color="auto"/>
                    <w:left w:val="none" w:sz="0" w:space="0" w:color="auto"/>
                    <w:bottom w:val="none" w:sz="0" w:space="0" w:color="auto"/>
                    <w:right w:val="none" w:sz="0" w:space="0" w:color="auto"/>
                  </w:divBdr>
                  <w:divsChild>
                    <w:div w:id="6368306">
                      <w:marLeft w:val="0"/>
                      <w:marRight w:val="0"/>
                      <w:marTop w:val="0"/>
                      <w:marBottom w:val="0"/>
                      <w:divBdr>
                        <w:top w:val="none" w:sz="0" w:space="0" w:color="auto"/>
                        <w:left w:val="none" w:sz="0" w:space="0" w:color="auto"/>
                        <w:bottom w:val="none" w:sz="0" w:space="0" w:color="auto"/>
                        <w:right w:val="none" w:sz="0" w:space="0" w:color="auto"/>
                      </w:divBdr>
                    </w:div>
                  </w:divsChild>
                </w:div>
                <w:div w:id="247352021">
                  <w:marLeft w:val="0"/>
                  <w:marRight w:val="0"/>
                  <w:marTop w:val="0"/>
                  <w:marBottom w:val="0"/>
                  <w:divBdr>
                    <w:top w:val="none" w:sz="0" w:space="0" w:color="auto"/>
                    <w:left w:val="none" w:sz="0" w:space="0" w:color="auto"/>
                    <w:bottom w:val="none" w:sz="0" w:space="0" w:color="auto"/>
                    <w:right w:val="none" w:sz="0" w:space="0" w:color="auto"/>
                  </w:divBdr>
                  <w:divsChild>
                    <w:div w:id="967859530">
                      <w:marLeft w:val="0"/>
                      <w:marRight w:val="0"/>
                      <w:marTop w:val="0"/>
                      <w:marBottom w:val="0"/>
                      <w:divBdr>
                        <w:top w:val="none" w:sz="0" w:space="0" w:color="auto"/>
                        <w:left w:val="none" w:sz="0" w:space="0" w:color="auto"/>
                        <w:bottom w:val="none" w:sz="0" w:space="0" w:color="auto"/>
                        <w:right w:val="none" w:sz="0" w:space="0" w:color="auto"/>
                      </w:divBdr>
                    </w:div>
                  </w:divsChild>
                </w:div>
                <w:div w:id="268195625">
                  <w:marLeft w:val="0"/>
                  <w:marRight w:val="0"/>
                  <w:marTop w:val="0"/>
                  <w:marBottom w:val="0"/>
                  <w:divBdr>
                    <w:top w:val="none" w:sz="0" w:space="0" w:color="auto"/>
                    <w:left w:val="none" w:sz="0" w:space="0" w:color="auto"/>
                    <w:bottom w:val="none" w:sz="0" w:space="0" w:color="auto"/>
                    <w:right w:val="none" w:sz="0" w:space="0" w:color="auto"/>
                  </w:divBdr>
                  <w:divsChild>
                    <w:div w:id="163015034">
                      <w:marLeft w:val="0"/>
                      <w:marRight w:val="0"/>
                      <w:marTop w:val="0"/>
                      <w:marBottom w:val="0"/>
                      <w:divBdr>
                        <w:top w:val="none" w:sz="0" w:space="0" w:color="auto"/>
                        <w:left w:val="none" w:sz="0" w:space="0" w:color="auto"/>
                        <w:bottom w:val="none" w:sz="0" w:space="0" w:color="auto"/>
                        <w:right w:val="none" w:sz="0" w:space="0" w:color="auto"/>
                      </w:divBdr>
                    </w:div>
                  </w:divsChild>
                </w:div>
                <w:div w:id="277689412">
                  <w:marLeft w:val="0"/>
                  <w:marRight w:val="0"/>
                  <w:marTop w:val="0"/>
                  <w:marBottom w:val="0"/>
                  <w:divBdr>
                    <w:top w:val="none" w:sz="0" w:space="0" w:color="auto"/>
                    <w:left w:val="none" w:sz="0" w:space="0" w:color="auto"/>
                    <w:bottom w:val="none" w:sz="0" w:space="0" w:color="auto"/>
                    <w:right w:val="none" w:sz="0" w:space="0" w:color="auto"/>
                  </w:divBdr>
                  <w:divsChild>
                    <w:div w:id="462501202">
                      <w:marLeft w:val="0"/>
                      <w:marRight w:val="0"/>
                      <w:marTop w:val="0"/>
                      <w:marBottom w:val="0"/>
                      <w:divBdr>
                        <w:top w:val="none" w:sz="0" w:space="0" w:color="auto"/>
                        <w:left w:val="none" w:sz="0" w:space="0" w:color="auto"/>
                        <w:bottom w:val="none" w:sz="0" w:space="0" w:color="auto"/>
                        <w:right w:val="none" w:sz="0" w:space="0" w:color="auto"/>
                      </w:divBdr>
                    </w:div>
                  </w:divsChild>
                </w:div>
                <w:div w:id="290791386">
                  <w:marLeft w:val="0"/>
                  <w:marRight w:val="0"/>
                  <w:marTop w:val="0"/>
                  <w:marBottom w:val="0"/>
                  <w:divBdr>
                    <w:top w:val="none" w:sz="0" w:space="0" w:color="auto"/>
                    <w:left w:val="none" w:sz="0" w:space="0" w:color="auto"/>
                    <w:bottom w:val="none" w:sz="0" w:space="0" w:color="auto"/>
                    <w:right w:val="none" w:sz="0" w:space="0" w:color="auto"/>
                  </w:divBdr>
                  <w:divsChild>
                    <w:div w:id="805665864">
                      <w:marLeft w:val="0"/>
                      <w:marRight w:val="0"/>
                      <w:marTop w:val="0"/>
                      <w:marBottom w:val="0"/>
                      <w:divBdr>
                        <w:top w:val="none" w:sz="0" w:space="0" w:color="auto"/>
                        <w:left w:val="none" w:sz="0" w:space="0" w:color="auto"/>
                        <w:bottom w:val="none" w:sz="0" w:space="0" w:color="auto"/>
                        <w:right w:val="none" w:sz="0" w:space="0" w:color="auto"/>
                      </w:divBdr>
                    </w:div>
                  </w:divsChild>
                </w:div>
                <w:div w:id="312876418">
                  <w:marLeft w:val="0"/>
                  <w:marRight w:val="0"/>
                  <w:marTop w:val="0"/>
                  <w:marBottom w:val="0"/>
                  <w:divBdr>
                    <w:top w:val="none" w:sz="0" w:space="0" w:color="auto"/>
                    <w:left w:val="none" w:sz="0" w:space="0" w:color="auto"/>
                    <w:bottom w:val="none" w:sz="0" w:space="0" w:color="auto"/>
                    <w:right w:val="none" w:sz="0" w:space="0" w:color="auto"/>
                  </w:divBdr>
                  <w:divsChild>
                    <w:div w:id="830874630">
                      <w:marLeft w:val="0"/>
                      <w:marRight w:val="0"/>
                      <w:marTop w:val="0"/>
                      <w:marBottom w:val="0"/>
                      <w:divBdr>
                        <w:top w:val="none" w:sz="0" w:space="0" w:color="auto"/>
                        <w:left w:val="none" w:sz="0" w:space="0" w:color="auto"/>
                        <w:bottom w:val="none" w:sz="0" w:space="0" w:color="auto"/>
                        <w:right w:val="none" w:sz="0" w:space="0" w:color="auto"/>
                      </w:divBdr>
                    </w:div>
                  </w:divsChild>
                </w:div>
                <w:div w:id="318463688">
                  <w:marLeft w:val="0"/>
                  <w:marRight w:val="0"/>
                  <w:marTop w:val="0"/>
                  <w:marBottom w:val="0"/>
                  <w:divBdr>
                    <w:top w:val="none" w:sz="0" w:space="0" w:color="auto"/>
                    <w:left w:val="none" w:sz="0" w:space="0" w:color="auto"/>
                    <w:bottom w:val="none" w:sz="0" w:space="0" w:color="auto"/>
                    <w:right w:val="none" w:sz="0" w:space="0" w:color="auto"/>
                  </w:divBdr>
                  <w:divsChild>
                    <w:div w:id="787047872">
                      <w:marLeft w:val="0"/>
                      <w:marRight w:val="0"/>
                      <w:marTop w:val="0"/>
                      <w:marBottom w:val="0"/>
                      <w:divBdr>
                        <w:top w:val="none" w:sz="0" w:space="0" w:color="auto"/>
                        <w:left w:val="none" w:sz="0" w:space="0" w:color="auto"/>
                        <w:bottom w:val="none" w:sz="0" w:space="0" w:color="auto"/>
                        <w:right w:val="none" w:sz="0" w:space="0" w:color="auto"/>
                      </w:divBdr>
                    </w:div>
                  </w:divsChild>
                </w:div>
                <w:div w:id="324666972">
                  <w:marLeft w:val="0"/>
                  <w:marRight w:val="0"/>
                  <w:marTop w:val="0"/>
                  <w:marBottom w:val="0"/>
                  <w:divBdr>
                    <w:top w:val="none" w:sz="0" w:space="0" w:color="auto"/>
                    <w:left w:val="none" w:sz="0" w:space="0" w:color="auto"/>
                    <w:bottom w:val="none" w:sz="0" w:space="0" w:color="auto"/>
                    <w:right w:val="none" w:sz="0" w:space="0" w:color="auto"/>
                  </w:divBdr>
                  <w:divsChild>
                    <w:div w:id="326057709">
                      <w:marLeft w:val="0"/>
                      <w:marRight w:val="0"/>
                      <w:marTop w:val="0"/>
                      <w:marBottom w:val="0"/>
                      <w:divBdr>
                        <w:top w:val="none" w:sz="0" w:space="0" w:color="auto"/>
                        <w:left w:val="none" w:sz="0" w:space="0" w:color="auto"/>
                        <w:bottom w:val="none" w:sz="0" w:space="0" w:color="auto"/>
                        <w:right w:val="none" w:sz="0" w:space="0" w:color="auto"/>
                      </w:divBdr>
                    </w:div>
                  </w:divsChild>
                </w:div>
                <w:div w:id="342168282">
                  <w:marLeft w:val="0"/>
                  <w:marRight w:val="0"/>
                  <w:marTop w:val="0"/>
                  <w:marBottom w:val="0"/>
                  <w:divBdr>
                    <w:top w:val="none" w:sz="0" w:space="0" w:color="auto"/>
                    <w:left w:val="none" w:sz="0" w:space="0" w:color="auto"/>
                    <w:bottom w:val="none" w:sz="0" w:space="0" w:color="auto"/>
                    <w:right w:val="none" w:sz="0" w:space="0" w:color="auto"/>
                  </w:divBdr>
                  <w:divsChild>
                    <w:div w:id="1180504549">
                      <w:marLeft w:val="0"/>
                      <w:marRight w:val="0"/>
                      <w:marTop w:val="0"/>
                      <w:marBottom w:val="0"/>
                      <w:divBdr>
                        <w:top w:val="none" w:sz="0" w:space="0" w:color="auto"/>
                        <w:left w:val="none" w:sz="0" w:space="0" w:color="auto"/>
                        <w:bottom w:val="none" w:sz="0" w:space="0" w:color="auto"/>
                        <w:right w:val="none" w:sz="0" w:space="0" w:color="auto"/>
                      </w:divBdr>
                    </w:div>
                  </w:divsChild>
                </w:div>
                <w:div w:id="353380686">
                  <w:marLeft w:val="0"/>
                  <w:marRight w:val="0"/>
                  <w:marTop w:val="0"/>
                  <w:marBottom w:val="0"/>
                  <w:divBdr>
                    <w:top w:val="none" w:sz="0" w:space="0" w:color="auto"/>
                    <w:left w:val="none" w:sz="0" w:space="0" w:color="auto"/>
                    <w:bottom w:val="none" w:sz="0" w:space="0" w:color="auto"/>
                    <w:right w:val="none" w:sz="0" w:space="0" w:color="auto"/>
                  </w:divBdr>
                  <w:divsChild>
                    <w:div w:id="838084001">
                      <w:marLeft w:val="0"/>
                      <w:marRight w:val="0"/>
                      <w:marTop w:val="0"/>
                      <w:marBottom w:val="0"/>
                      <w:divBdr>
                        <w:top w:val="none" w:sz="0" w:space="0" w:color="auto"/>
                        <w:left w:val="none" w:sz="0" w:space="0" w:color="auto"/>
                        <w:bottom w:val="none" w:sz="0" w:space="0" w:color="auto"/>
                        <w:right w:val="none" w:sz="0" w:space="0" w:color="auto"/>
                      </w:divBdr>
                    </w:div>
                  </w:divsChild>
                </w:div>
                <w:div w:id="353730156">
                  <w:marLeft w:val="0"/>
                  <w:marRight w:val="0"/>
                  <w:marTop w:val="0"/>
                  <w:marBottom w:val="0"/>
                  <w:divBdr>
                    <w:top w:val="none" w:sz="0" w:space="0" w:color="auto"/>
                    <w:left w:val="none" w:sz="0" w:space="0" w:color="auto"/>
                    <w:bottom w:val="none" w:sz="0" w:space="0" w:color="auto"/>
                    <w:right w:val="none" w:sz="0" w:space="0" w:color="auto"/>
                  </w:divBdr>
                  <w:divsChild>
                    <w:div w:id="572664305">
                      <w:marLeft w:val="0"/>
                      <w:marRight w:val="0"/>
                      <w:marTop w:val="0"/>
                      <w:marBottom w:val="0"/>
                      <w:divBdr>
                        <w:top w:val="none" w:sz="0" w:space="0" w:color="auto"/>
                        <w:left w:val="none" w:sz="0" w:space="0" w:color="auto"/>
                        <w:bottom w:val="none" w:sz="0" w:space="0" w:color="auto"/>
                        <w:right w:val="none" w:sz="0" w:space="0" w:color="auto"/>
                      </w:divBdr>
                    </w:div>
                  </w:divsChild>
                </w:div>
                <w:div w:id="360322980">
                  <w:marLeft w:val="0"/>
                  <w:marRight w:val="0"/>
                  <w:marTop w:val="0"/>
                  <w:marBottom w:val="0"/>
                  <w:divBdr>
                    <w:top w:val="none" w:sz="0" w:space="0" w:color="auto"/>
                    <w:left w:val="none" w:sz="0" w:space="0" w:color="auto"/>
                    <w:bottom w:val="none" w:sz="0" w:space="0" w:color="auto"/>
                    <w:right w:val="none" w:sz="0" w:space="0" w:color="auto"/>
                  </w:divBdr>
                  <w:divsChild>
                    <w:div w:id="567612745">
                      <w:marLeft w:val="0"/>
                      <w:marRight w:val="0"/>
                      <w:marTop w:val="0"/>
                      <w:marBottom w:val="0"/>
                      <w:divBdr>
                        <w:top w:val="none" w:sz="0" w:space="0" w:color="auto"/>
                        <w:left w:val="none" w:sz="0" w:space="0" w:color="auto"/>
                        <w:bottom w:val="none" w:sz="0" w:space="0" w:color="auto"/>
                        <w:right w:val="none" w:sz="0" w:space="0" w:color="auto"/>
                      </w:divBdr>
                    </w:div>
                  </w:divsChild>
                </w:div>
                <w:div w:id="362219637">
                  <w:marLeft w:val="0"/>
                  <w:marRight w:val="0"/>
                  <w:marTop w:val="0"/>
                  <w:marBottom w:val="0"/>
                  <w:divBdr>
                    <w:top w:val="none" w:sz="0" w:space="0" w:color="auto"/>
                    <w:left w:val="none" w:sz="0" w:space="0" w:color="auto"/>
                    <w:bottom w:val="none" w:sz="0" w:space="0" w:color="auto"/>
                    <w:right w:val="none" w:sz="0" w:space="0" w:color="auto"/>
                  </w:divBdr>
                  <w:divsChild>
                    <w:div w:id="1340429779">
                      <w:marLeft w:val="0"/>
                      <w:marRight w:val="0"/>
                      <w:marTop w:val="0"/>
                      <w:marBottom w:val="0"/>
                      <w:divBdr>
                        <w:top w:val="none" w:sz="0" w:space="0" w:color="auto"/>
                        <w:left w:val="none" w:sz="0" w:space="0" w:color="auto"/>
                        <w:bottom w:val="none" w:sz="0" w:space="0" w:color="auto"/>
                        <w:right w:val="none" w:sz="0" w:space="0" w:color="auto"/>
                      </w:divBdr>
                    </w:div>
                  </w:divsChild>
                </w:div>
                <w:div w:id="364254786">
                  <w:marLeft w:val="0"/>
                  <w:marRight w:val="0"/>
                  <w:marTop w:val="0"/>
                  <w:marBottom w:val="0"/>
                  <w:divBdr>
                    <w:top w:val="none" w:sz="0" w:space="0" w:color="auto"/>
                    <w:left w:val="none" w:sz="0" w:space="0" w:color="auto"/>
                    <w:bottom w:val="none" w:sz="0" w:space="0" w:color="auto"/>
                    <w:right w:val="none" w:sz="0" w:space="0" w:color="auto"/>
                  </w:divBdr>
                  <w:divsChild>
                    <w:div w:id="488837081">
                      <w:marLeft w:val="0"/>
                      <w:marRight w:val="0"/>
                      <w:marTop w:val="0"/>
                      <w:marBottom w:val="0"/>
                      <w:divBdr>
                        <w:top w:val="none" w:sz="0" w:space="0" w:color="auto"/>
                        <w:left w:val="none" w:sz="0" w:space="0" w:color="auto"/>
                        <w:bottom w:val="none" w:sz="0" w:space="0" w:color="auto"/>
                        <w:right w:val="none" w:sz="0" w:space="0" w:color="auto"/>
                      </w:divBdr>
                    </w:div>
                  </w:divsChild>
                </w:div>
                <w:div w:id="380518060">
                  <w:marLeft w:val="0"/>
                  <w:marRight w:val="0"/>
                  <w:marTop w:val="0"/>
                  <w:marBottom w:val="0"/>
                  <w:divBdr>
                    <w:top w:val="none" w:sz="0" w:space="0" w:color="auto"/>
                    <w:left w:val="none" w:sz="0" w:space="0" w:color="auto"/>
                    <w:bottom w:val="none" w:sz="0" w:space="0" w:color="auto"/>
                    <w:right w:val="none" w:sz="0" w:space="0" w:color="auto"/>
                  </w:divBdr>
                  <w:divsChild>
                    <w:div w:id="612446786">
                      <w:marLeft w:val="0"/>
                      <w:marRight w:val="0"/>
                      <w:marTop w:val="0"/>
                      <w:marBottom w:val="0"/>
                      <w:divBdr>
                        <w:top w:val="none" w:sz="0" w:space="0" w:color="auto"/>
                        <w:left w:val="none" w:sz="0" w:space="0" w:color="auto"/>
                        <w:bottom w:val="none" w:sz="0" w:space="0" w:color="auto"/>
                        <w:right w:val="none" w:sz="0" w:space="0" w:color="auto"/>
                      </w:divBdr>
                    </w:div>
                  </w:divsChild>
                </w:div>
                <w:div w:id="411393330">
                  <w:marLeft w:val="0"/>
                  <w:marRight w:val="0"/>
                  <w:marTop w:val="0"/>
                  <w:marBottom w:val="0"/>
                  <w:divBdr>
                    <w:top w:val="none" w:sz="0" w:space="0" w:color="auto"/>
                    <w:left w:val="none" w:sz="0" w:space="0" w:color="auto"/>
                    <w:bottom w:val="none" w:sz="0" w:space="0" w:color="auto"/>
                    <w:right w:val="none" w:sz="0" w:space="0" w:color="auto"/>
                  </w:divBdr>
                  <w:divsChild>
                    <w:div w:id="1585840225">
                      <w:marLeft w:val="0"/>
                      <w:marRight w:val="0"/>
                      <w:marTop w:val="0"/>
                      <w:marBottom w:val="0"/>
                      <w:divBdr>
                        <w:top w:val="none" w:sz="0" w:space="0" w:color="auto"/>
                        <w:left w:val="none" w:sz="0" w:space="0" w:color="auto"/>
                        <w:bottom w:val="none" w:sz="0" w:space="0" w:color="auto"/>
                        <w:right w:val="none" w:sz="0" w:space="0" w:color="auto"/>
                      </w:divBdr>
                    </w:div>
                  </w:divsChild>
                </w:div>
                <w:div w:id="412624519">
                  <w:marLeft w:val="0"/>
                  <w:marRight w:val="0"/>
                  <w:marTop w:val="0"/>
                  <w:marBottom w:val="0"/>
                  <w:divBdr>
                    <w:top w:val="none" w:sz="0" w:space="0" w:color="auto"/>
                    <w:left w:val="none" w:sz="0" w:space="0" w:color="auto"/>
                    <w:bottom w:val="none" w:sz="0" w:space="0" w:color="auto"/>
                    <w:right w:val="none" w:sz="0" w:space="0" w:color="auto"/>
                  </w:divBdr>
                  <w:divsChild>
                    <w:div w:id="11689257">
                      <w:marLeft w:val="0"/>
                      <w:marRight w:val="0"/>
                      <w:marTop w:val="0"/>
                      <w:marBottom w:val="0"/>
                      <w:divBdr>
                        <w:top w:val="none" w:sz="0" w:space="0" w:color="auto"/>
                        <w:left w:val="none" w:sz="0" w:space="0" w:color="auto"/>
                        <w:bottom w:val="none" w:sz="0" w:space="0" w:color="auto"/>
                        <w:right w:val="none" w:sz="0" w:space="0" w:color="auto"/>
                      </w:divBdr>
                    </w:div>
                  </w:divsChild>
                </w:div>
                <w:div w:id="444888717">
                  <w:marLeft w:val="0"/>
                  <w:marRight w:val="0"/>
                  <w:marTop w:val="0"/>
                  <w:marBottom w:val="0"/>
                  <w:divBdr>
                    <w:top w:val="none" w:sz="0" w:space="0" w:color="auto"/>
                    <w:left w:val="none" w:sz="0" w:space="0" w:color="auto"/>
                    <w:bottom w:val="none" w:sz="0" w:space="0" w:color="auto"/>
                    <w:right w:val="none" w:sz="0" w:space="0" w:color="auto"/>
                  </w:divBdr>
                  <w:divsChild>
                    <w:div w:id="1511487297">
                      <w:marLeft w:val="0"/>
                      <w:marRight w:val="0"/>
                      <w:marTop w:val="0"/>
                      <w:marBottom w:val="0"/>
                      <w:divBdr>
                        <w:top w:val="none" w:sz="0" w:space="0" w:color="auto"/>
                        <w:left w:val="none" w:sz="0" w:space="0" w:color="auto"/>
                        <w:bottom w:val="none" w:sz="0" w:space="0" w:color="auto"/>
                        <w:right w:val="none" w:sz="0" w:space="0" w:color="auto"/>
                      </w:divBdr>
                    </w:div>
                  </w:divsChild>
                </w:div>
                <w:div w:id="452286942">
                  <w:marLeft w:val="0"/>
                  <w:marRight w:val="0"/>
                  <w:marTop w:val="0"/>
                  <w:marBottom w:val="0"/>
                  <w:divBdr>
                    <w:top w:val="none" w:sz="0" w:space="0" w:color="auto"/>
                    <w:left w:val="none" w:sz="0" w:space="0" w:color="auto"/>
                    <w:bottom w:val="none" w:sz="0" w:space="0" w:color="auto"/>
                    <w:right w:val="none" w:sz="0" w:space="0" w:color="auto"/>
                  </w:divBdr>
                  <w:divsChild>
                    <w:div w:id="307975611">
                      <w:marLeft w:val="0"/>
                      <w:marRight w:val="0"/>
                      <w:marTop w:val="0"/>
                      <w:marBottom w:val="0"/>
                      <w:divBdr>
                        <w:top w:val="none" w:sz="0" w:space="0" w:color="auto"/>
                        <w:left w:val="none" w:sz="0" w:space="0" w:color="auto"/>
                        <w:bottom w:val="none" w:sz="0" w:space="0" w:color="auto"/>
                        <w:right w:val="none" w:sz="0" w:space="0" w:color="auto"/>
                      </w:divBdr>
                    </w:div>
                  </w:divsChild>
                </w:div>
                <w:div w:id="471752596">
                  <w:marLeft w:val="0"/>
                  <w:marRight w:val="0"/>
                  <w:marTop w:val="0"/>
                  <w:marBottom w:val="0"/>
                  <w:divBdr>
                    <w:top w:val="none" w:sz="0" w:space="0" w:color="auto"/>
                    <w:left w:val="none" w:sz="0" w:space="0" w:color="auto"/>
                    <w:bottom w:val="none" w:sz="0" w:space="0" w:color="auto"/>
                    <w:right w:val="none" w:sz="0" w:space="0" w:color="auto"/>
                  </w:divBdr>
                  <w:divsChild>
                    <w:div w:id="86922704">
                      <w:marLeft w:val="0"/>
                      <w:marRight w:val="0"/>
                      <w:marTop w:val="0"/>
                      <w:marBottom w:val="0"/>
                      <w:divBdr>
                        <w:top w:val="none" w:sz="0" w:space="0" w:color="auto"/>
                        <w:left w:val="none" w:sz="0" w:space="0" w:color="auto"/>
                        <w:bottom w:val="none" w:sz="0" w:space="0" w:color="auto"/>
                        <w:right w:val="none" w:sz="0" w:space="0" w:color="auto"/>
                      </w:divBdr>
                    </w:div>
                  </w:divsChild>
                </w:div>
                <w:div w:id="489978014">
                  <w:marLeft w:val="0"/>
                  <w:marRight w:val="0"/>
                  <w:marTop w:val="0"/>
                  <w:marBottom w:val="0"/>
                  <w:divBdr>
                    <w:top w:val="none" w:sz="0" w:space="0" w:color="auto"/>
                    <w:left w:val="none" w:sz="0" w:space="0" w:color="auto"/>
                    <w:bottom w:val="none" w:sz="0" w:space="0" w:color="auto"/>
                    <w:right w:val="none" w:sz="0" w:space="0" w:color="auto"/>
                  </w:divBdr>
                  <w:divsChild>
                    <w:div w:id="506482698">
                      <w:marLeft w:val="0"/>
                      <w:marRight w:val="0"/>
                      <w:marTop w:val="0"/>
                      <w:marBottom w:val="0"/>
                      <w:divBdr>
                        <w:top w:val="none" w:sz="0" w:space="0" w:color="auto"/>
                        <w:left w:val="none" w:sz="0" w:space="0" w:color="auto"/>
                        <w:bottom w:val="none" w:sz="0" w:space="0" w:color="auto"/>
                        <w:right w:val="none" w:sz="0" w:space="0" w:color="auto"/>
                      </w:divBdr>
                    </w:div>
                  </w:divsChild>
                </w:div>
                <w:div w:id="495003344">
                  <w:marLeft w:val="0"/>
                  <w:marRight w:val="0"/>
                  <w:marTop w:val="0"/>
                  <w:marBottom w:val="0"/>
                  <w:divBdr>
                    <w:top w:val="none" w:sz="0" w:space="0" w:color="auto"/>
                    <w:left w:val="none" w:sz="0" w:space="0" w:color="auto"/>
                    <w:bottom w:val="none" w:sz="0" w:space="0" w:color="auto"/>
                    <w:right w:val="none" w:sz="0" w:space="0" w:color="auto"/>
                  </w:divBdr>
                  <w:divsChild>
                    <w:div w:id="1779593264">
                      <w:marLeft w:val="0"/>
                      <w:marRight w:val="0"/>
                      <w:marTop w:val="0"/>
                      <w:marBottom w:val="0"/>
                      <w:divBdr>
                        <w:top w:val="none" w:sz="0" w:space="0" w:color="auto"/>
                        <w:left w:val="none" w:sz="0" w:space="0" w:color="auto"/>
                        <w:bottom w:val="none" w:sz="0" w:space="0" w:color="auto"/>
                        <w:right w:val="none" w:sz="0" w:space="0" w:color="auto"/>
                      </w:divBdr>
                    </w:div>
                  </w:divsChild>
                </w:div>
                <w:div w:id="510724799">
                  <w:marLeft w:val="0"/>
                  <w:marRight w:val="0"/>
                  <w:marTop w:val="0"/>
                  <w:marBottom w:val="0"/>
                  <w:divBdr>
                    <w:top w:val="none" w:sz="0" w:space="0" w:color="auto"/>
                    <w:left w:val="none" w:sz="0" w:space="0" w:color="auto"/>
                    <w:bottom w:val="none" w:sz="0" w:space="0" w:color="auto"/>
                    <w:right w:val="none" w:sz="0" w:space="0" w:color="auto"/>
                  </w:divBdr>
                  <w:divsChild>
                    <w:div w:id="569776854">
                      <w:marLeft w:val="0"/>
                      <w:marRight w:val="0"/>
                      <w:marTop w:val="0"/>
                      <w:marBottom w:val="0"/>
                      <w:divBdr>
                        <w:top w:val="none" w:sz="0" w:space="0" w:color="auto"/>
                        <w:left w:val="none" w:sz="0" w:space="0" w:color="auto"/>
                        <w:bottom w:val="none" w:sz="0" w:space="0" w:color="auto"/>
                        <w:right w:val="none" w:sz="0" w:space="0" w:color="auto"/>
                      </w:divBdr>
                    </w:div>
                  </w:divsChild>
                </w:div>
                <w:div w:id="526064706">
                  <w:marLeft w:val="0"/>
                  <w:marRight w:val="0"/>
                  <w:marTop w:val="0"/>
                  <w:marBottom w:val="0"/>
                  <w:divBdr>
                    <w:top w:val="none" w:sz="0" w:space="0" w:color="auto"/>
                    <w:left w:val="none" w:sz="0" w:space="0" w:color="auto"/>
                    <w:bottom w:val="none" w:sz="0" w:space="0" w:color="auto"/>
                    <w:right w:val="none" w:sz="0" w:space="0" w:color="auto"/>
                  </w:divBdr>
                  <w:divsChild>
                    <w:div w:id="845440468">
                      <w:marLeft w:val="0"/>
                      <w:marRight w:val="0"/>
                      <w:marTop w:val="0"/>
                      <w:marBottom w:val="0"/>
                      <w:divBdr>
                        <w:top w:val="none" w:sz="0" w:space="0" w:color="auto"/>
                        <w:left w:val="none" w:sz="0" w:space="0" w:color="auto"/>
                        <w:bottom w:val="none" w:sz="0" w:space="0" w:color="auto"/>
                        <w:right w:val="none" w:sz="0" w:space="0" w:color="auto"/>
                      </w:divBdr>
                    </w:div>
                  </w:divsChild>
                </w:div>
                <w:div w:id="546453033">
                  <w:marLeft w:val="0"/>
                  <w:marRight w:val="0"/>
                  <w:marTop w:val="0"/>
                  <w:marBottom w:val="0"/>
                  <w:divBdr>
                    <w:top w:val="none" w:sz="0" w:space="0" w:color="auto"/>
                    <w:left w:val="none" w:sz="0" w:space="0" w:color="auto"/>
                    <w:bottom w:val="none" w:sz="0" w:space="0" w:color="auto"/>
                    <w:right w:val="none" w:sz="0" w:space="0" w:color="auto"/>
                  </w:divBdr>
                  <w:divsChild>
                    <w:div w:id="1660617716">
                      <w:marLeft w:val="0"/>
                      <w:marRight w:val="0"/>
                      <w:marTop w:val="0"/>
                      <w:marBottom w:val="0"/>
                      <w:divBdr>
                        <w:top w:val="none" w:sz="0" w:space="0" w:color="auto"/>
                        <w:left w:val="none" w:sz="0" w:space="0" w:color="auto"/>
                        <w:bottom w:val="none" w:sz="0" w:space="0" w:color="auto"/>
                        <w:right w:val="none" w:sz="0" w:space="0" w:color="auto"/>
                      </w:divBdr>
                    </w:div>
                  </w:divsChild>
                </w:div>
                <w:div w:id="551817002">
                  <w:marLeft w:val="0"/>
                  <w:marRight w:val="0"/>
                  <w:marTop w:val="0"/>
                  <w:marBottom w:val="0"/>
                  <w:divBdr>
                    <w:top w:val="none" w:sz="0" w:space="0" w:color="auto"/>
                    <w:left w:val="none" w:sz="0" w:space="0" w:color="auto"/>
                    <w:bottom w:val="none" w:sz="0" w:space="0" w:color="auto"/>
                    <w:right w:val="none" w:sz="0" w:space="0" w:color="auto"/>
                  </w:divBdr>
                  <w:divsChild>
                    <w:div w:id="556822610">
                      <w:marLeft w:val="0"/>
                      <w:marRight w:val="0"/>
                      <w:marTop w:val="0"/>
                      <w:marBottom w:val="0"/>
                      <w:divBdr>
                        <w:top w:val="none" w:sz="0" w:space="0" w:color="auto"/>
                        <w:left w:val="none" w:sz="0" w:space="0" w:color="auto"/>
                        <w:bottom w:val="none" w:sz="0" w:space="0" w:color="auto"/>
                        <w:right w:val="none" w:sz="0" w:space="0" w:color="auto"/>
                      </w:divBdr>
                    </w:div>
                  </w:divsChild>
                </w:div>
                <w:div w:id="553741500">
                  <w:marLeft w:val="0"/>
                  <w:marRight w:val="0"/>
                  <w:marTop w:val="0"/>
                  <w:marBottom w:val="0"/>
                  <w:divBdr>
                    <w:top w:val="none" w:sz="0" w:space="0" w:color="auto"/>
                    <w:left w:val="none" w:sz="0" w:space="0" w:color="auto"/>
                    <w:bottom w:val="none" w:sz="0" w:space="0" w:color="auto"/>
                    <w:right w:val="none" w:sz="0" w:space="0" w:color="auto"/>
                  </w:divBdr>
                  <w:divsChild>
                    <w:div w:id="1363553344">
                      <w:marLeft w:val="0"/>
                      <w:marRight w:val="0"/>
                      <w:marTop w:val="0"/>
                      <w:marBottom w:val="0"/>
                      <w:divBdr>
                        <w:top w:val="none" w:sz="0" w:space="0" w:color="auto"/>
                        <w:left w:val="none" w:sz="0" w:space="0" w:color="auto"/>
                        <w:bottom w:val="none" w:sz="0" w:space="0" w:color="auto"/>
                        <w:right w:val="none" w:sz="0" w:space="0" w:color="auto"/>
                      </w:divBdr>
                    </w:div>
                  </w:divsChild>
                </w:div>
                <w:div w:id="569539929">
                  <w:marLeft w:val="0"/>
                  <w:marRight w:val="0"/>
                  <w:marTop w:val="0"/>
                  <w:marBottom w:val="0"/>
                  <w:divBdr>
                    <w:top w:val="none" w:sz="0" w:space="0" w:color="auto"/>
                    <w:left w:val="none" w:sz="0" w:space="0" w:color="auto"/>
                    <w:bottom w:val="none" w:sz="0" w:space="0" w:color="auto"/>
                    <w:right w:val="none" w:sz="0" w:space="0" w:color="auto"/>
                  </w:divBdr>
                  <w:divsChild>
                    <w:div w:id="1756894914">
                      <w:marLeft w:val="0"/>
                      <w:marRight w:val="0"/>
                      <w:marTop w:val="0"/>
                      <w:marBottom w:val="0"/>
                      <w:divBdr>
                        <w:top w:val="none" w:sz="0" w:space="0" w:color="auto"/>
                        <w:left w:val="none" w:sz="0" w:space="0" w:color="auto"/>
                        <w:bottom w:val="none" w:sz="0" w:space="0" w:color="auto"/>
                        <w:right w:val="none" w:sz="0" w:space="0" w:color="auto"/>
                      </w:divBdr>
                    </w:div>
                  </w:divsChild>
                </w:div>
                <w:div w:id="570703473">
                  <w:marLeft w:val="0"/>
                  <w:marRight w:val="0"/>
                  <w:marTop w:val="0"/>
                  <w:marBottom w:val="0"/>
                  <w:divBdr>
                    <w:top w:val="none" w:sz="0" w:space="0" w:color="auto"/>
                    <w:left w:val="none" w:sz="0" w:space="0" w:color="auto"/>
                    <w:bottom w:val="none" w:sz="0" w:space="0" w:color="auto"/>
                    <w:right w:val="none" w:sz="0" w:space="0" w:color="auto"/>
                  </w:divBdr>
                  <w:divsChild>
                    <w:div w:id="841506720">
                      <w:marLeft w:val="0"/>
                      <w:marRight w:val="0"/>
                      <w:marTop w:val="0"/>
                      <w:marBottom w:val="0"/>
                      <w:divBdr>
                        <w:top w:val="none" w:sz="0" w:space="0" w:color="auto"/>
                        <w:left w:val="none" w:sz="0" w:space="0" w:color="auto"/>
                        <w:bottom w:val="none" w:sz="0" w:space="0" w:color="auto"/>
                        <w:right w:val="none" w:sz="0" w:space="0" w:color="auto"/>
                      </w:divBdr>
                    </w:div>
                  </w:divsChild>
                </w:div>
                <w:div w:id="572660437">
                  <w:marLeft w:val="0"/>
                  <w:marRight w:val="0"/>
                  <w:marTop w:val="0"/>
                  <w:marBottom w:val="0"/>
                  <w:divBdr>
                    <w:top w:val="none" w:sz="0" w:space="0" w:color="auto"/>
                    <w:left w:val="none" w:sz="0" w:space="0" w:color="auto"/>
                    <w:bottom w:val="none" w:sz="0" w:space="0" w:color="auto"/>
                    <w:right w:val="none" w:sz="0" w:space="0" w:color="auto"/>
                  </w:divBdr>
                  <w:divsChild>
                    <w:div w:id="1092046067">
                      <w:marLeft w:val="0"/>
                      <w:marRight w:val="0"/>
                      <w:marTop w:val="0"/>
                      <w:marBottom w:val="0"/>
                      <w:divBdr>
                        <w:top w:val="none" w:sz="0" w:space="0" w:color="auto"/>
                        <w:left w:val="none" w:sz="0" w:space="0" w:color="auto"/>
                        <w:bottom w:val="none" w:sz="0" w:space="0" w:color="auto"/>
                        <w:right w:val="none" w:sz="0" w:space="0" w:color="auto"/>
                      </w:divBdr>
                    </w:div>
                  </w:divsChild>
                </w:div>
                <w:div w:id="581448315">
                  <w:marLeft w:val="0"/>
                  <w:marRight w:val="0"/>
                  <w:marTop w:val="0"/>
                  <w:marBottom w:val="0"/>
                  <w:divBdr>
                    <w:top w:val="none" w:sz="0" w:space="0" w:color="auto"/>
                    <w:left w:val="none" w:sz="0" w:space="0" w:color="auto"/>
                    <w:bottom w:val="none" w:sz="0" w:space="0" w:color="auto"/>
                    <w:right w:val="none" w:sz="0" w:space="0" w:color="auto"/>
                  </w:divBdr>
                  <w:divsChild>
                    <w:div w:id="305863346">
                      <w:marLeft w:val="0"/>
                      <w:marRight w:val="0"/>
                      <w:marTop w:val="0"/>
                      <w:marBottom w:val="0"/>
                      <w:divBdr>
                        <w:top w:val="none" w:sz="0" w:space="0" w:color="auto"/>
                        <w:left w:val="none" w:sz="0" w:space="0" w:color="auto"/>
                        <w:bottom w:val="none" w:sz="0" w:space="0" w:color="auto"/>
                        <w:right w:val="none" w:sz="0" w:space="0" w:color="auto"/>
                      </w:divBdr>
                    </w:div>
                  </w:divsChild>
                </w:div>
                <w:div w:id="588007640">
                  <w:marLeft w:val="0"/>
                  <w:marRight w:val="0"/>
                  <w:marTop w:val="0"/>
                  <w:marBottom w:val="0"/>
                  <w:divBdr>
                    <w:top w:val="none" w:sz="0" w:space="0" w:color="auto"/>
                    <w:left w:val="none" w:sz="0" w:space="0" w:color="auto"/>
                    <w:bottom w:val="none" w:sz="0" w:space="0" w:color="auto"/>
                    <w:right w:val="none" w:sz="0" w:space="0" w:color="auto"/>
                  </w:divBdr>
                  <w:divsChild>
                    <w:div w:id="949513101">
                      <w:marLeft w:val="0"/>
                      <w:marRight w:val="0"/>
                      <w:marTop w:val="0"/>
                      <w:marBottom w:val="0"/>
                      <w:divBdr>
                        <w:top w:val="none" w:sz="0" w:space="0" w:color="auto"/>
                        <w:left w:val="none" w:sz="0" w:space="0" w:color="auto"/>
                        <w:bottom w:val="none" w:sz="0" w:space="0" w:color="auto"/>
                        <w:right w:val="none" w:sz="0" w:space="0" w:color="auto"/>
                      </w:divBdr>
                    </w:div>
                  </w:divsChild>
                </w:div>
                <w:div w:id="590700066">
                  <w:marLeft w:val="0"/>
                  <w:marRight w:val="0"/>
                  <w:marTop w:val="0"/>
                  <w:marBottom w:val="0"/>
                  <w:divBdr>
                    <w:top w:val="none" w:sz="0" w:space="0" w:color="auto"/>
                    <w:left w:val="none" w:sz="0" w:space="0" w:color="auto"/>
                    <w:bottom w:val="none" w:sz="0" w:space="0" w:color="auto"/>
                    <w:right w:val="none" w:sz="0" w:space="0" w:color="auto"/>
                  </w:divBdr>
                  <w:divsChild>
                    <w:div w:id="333339949">
                      <w:marLeft w:val="0"/>
                      <w:marRight w:val="0"/>
                      <w:marTop w:val="0"/>
                      <w:marBottom w:val="0"/>
                      <w:divBdr>
                        <w:top w:val="none" w:sz="0" w:space="0" w:color="auto"/>
                        <w:left w:val="none" w:sz="0" w:space="0" w:color="auto"/>
                        <w:bottom w:val="none" w:sz="0" w:space="0" w:color="auto"/>
                        <w:right w:val="none" w:sz="0" w:space="0" w:color="auto"/>
                      </w:divBdr>
                    </w:div>
                  </w:divsChild>
                </w:div>
                <w:div w:id="621617061">
                  <w:marLeft w:val="0"/>
                  <w:marRight w:val="0"/>
                  <w:marTop w:val="0"/>
                  <w:marBottom w:val="0"/>
                  <w:divBdr>
                    <w:top w:val="none" w:sz="0" w:space="0" w:color="auto"/>
                    <w:left w:val="none" w:sz="0" w:space="0" w:color="auto"/>
                    <w:bottom w:val="none" w:sz="0" w:space="0" w:color="auto"/>
                    <w:right w:val="none" w:sz="0" w:space="0" w:color="auto"/>
                  </w:divBdr>
                  <w:divsChild>
                    <w:div w:id="1679498973">
                      <w:marLeft w:val="0"/>
                      <w:marRight w:val="0"/>
                      <w:marTop w:val="0"/>
                      <w:marBottom w:val="0"/>
                      <w:divBdr>
                        <w:top w:val="none" w:sz="0" w:space="0" w:color="auto"/>
                        <w:left w:val="none" w:sz="0" w:space="0" w:color="auto"/>
                        <w:bottom w:val="none" w:sz="0" w:space="0" w:color="auto"/>
                        <w:right w:val="none" w:sz="0" w:space="0" w:color="auto"/>
                      </w:divBdr>
                    </w:div>
                  </w:divsChild>
                </w:div>
                <w:div w:id="634913808">
                  <w:marLeft w:val="0"/>
                  <w:marRight w:val="0"/>
                  <w:marTop w:val="0"/>
                  <w:marBottom w:val="0"/>
                  <w:divBdr>
                    <w:top w:val="none" w:sz="0" w:space="0" w:color="auto"/>
                    <w:left w:val="none" w:sz="0" w:space="0" w:color="auto"/>
                    <w:bottom w:val="none" w:sz="0" w:space="0" w:color="auto"/>
                    <w:right w:val="none" w:sz="0" w:space="0" w:color="auto"/>
                  </w:divBdr>
                  <w:divsChild>
                    <w:div w:id="1788231615">
                      <w:marLeft w:val="0"/>
                      <w:marRight w:val="0"/>
                      <w:marTop w:val="0"/>
                      <w:marBottom w:val="0"/>
                      <w:divBdr>
                        <w:top w:val="none" w:sz="0" w:space="0" w:color="auto"/>
                        <w:left w:val="none" w:sz="0" w:space="0" w:color="auto"/>
                        <w:bottom w:val="none" w:sz="0" w:space="0" w:color="auto"/>
                        <w:right w:val="none" w:sz="0" w:space="0" w:color="auto"/>
                      </w:divBdr>
                    </w:div>
                  </w:divsChild>
                </w:div>
                <w:div w:id="636642013">
                  <w:marLeft w:val="0"/>
                  <w:marRight w:val="0"/>
                  <w:marTop w:val="0"/>
                  <w:marBottom w:val="0"/>
                  <w:divBdr>
                    <w:top w:val="none" w:sz="0" w:space="0" w:color="auto"/>
                    <w:left w:val="none" w:sz="0" w:space="0" w:color="auto"/>
                    <w:bottom w:val="none" w:sz="0" w:space="0" w:color="auto"/>
                    <w:right w:val="none" w:sz="0" w:space="0" w:color="auto"/>
                  </w:divBdr>
                  <w:divsChild>
                    <w:div w:id="780806641">
                      <w:marLeft w:val="0"/>
                      <w:marRight w:val="0"/>
                      <w:marTop w:val="0"/>
                      <w:marBottom w:val="0"/>
                      <w:divBdr>
                        <w:top w:val="none" w:sz="0" w:space="0" w:color="auto"/>
                        <w:left w:val="none" w:sz="0" w:space="0" w:color="auto"/>
                        <w:bottom w:val="none" w:sz="0" w:space="0" w:color="auto"/>
                        <w:right w:val="none" w:sz="0" w:space="0" w:color="auto"/>
                      </w:divBdr>
                    </w:div>
                  </w:divsChild>
                </w:div>
                <w:div w:id="644433512">
                  <w:marLeft w:val="0"/>
                  <w:marRight w:val="0"/>
                  <w:marTop w:val="0"/>
                  <w:marBottom w:val="0"/>
                  <w:divBdr>
                    <w:top w:val="none" w:sz="0" w:space="0" w:color="auto"/>
                    <w:left w:val="none" w:sz="0" w:space="0" w:color="auto"/>
                    <w:bottom w:val="none" w:sz="0" w:space="0" w:color="auto"/>
                    <w:right w:val="none" w:sz="0" w:space="0" w:color="auto"/>
                  </w:divBdr>
                  <w:divsChild>
                    <w:div w:id="590550572">
                      <w:marLeft w:val="0"/>
                      <w:marRight w:val="0"/>
                      <w:marTop w:val="0"/>
                      <w:marBottom w:val="0"/>
                      <w:divBdr>
                        <w:top w:val="none" w:sz="0" w:space="0" w:color="auto"/>
                        <w:left w:val="none" w:sz="0" w:space="0" w:color="auto"/>
                        <w:bottom w:val="none" w:sz="0" w:space="0" w:color="auto"/>
                        <w:right w:val="none" w:sz="0" w:space="0" w:color="auto"/>
                      </w:divBdr>
                    </w:div>
                  </w:divsChild>
                </w:div>
                <w:div w:id="645545729">
                  <w:marLeft w:val="0"/>
                  <w:marRight w:val="0"/>
                  <w:marTop w:val="0"/>
                  <w:marBottom w:val="0"/>
                  <w:divBdr>
                    <w:top w:val="none" w:sz="0" w:space="0" w:color="auto"/>
                    <w:left w:val="none" w:sz="0" w:space="0" w:color="auto"/>
                    <w:bottom w:val="none" w:sz="0" w:space="0" w:color="auto"/>
                    <w:right w:val="none" w:sz="0" w:space="0" w:color="auto"/>
                  </w:divBdr>
                  <w:divsChild>
                    <w:div w:id="1910114909">
                      <w:marLeft w:val="0"/>
                      <w:marRight w:val="0"/>
                      <w:marTop w:val="0"/>
                      <w:marBottom w:val="0"/>
                      <w:divBdr>
                        <w:top w:val="none" w:sz="0" w:space="0" w:color="auto"/>
                        <w:left w:val="none" w:sz="0" w:space="0" w:color="auto"/>
                        <w:bottom w:val="none" w:sz="0" w:space="0" w:color="auto"/>
                        <w:right w:val="none" w:sz="0" w:space="0" w:color="auto"/>
                      </w:divBdr>
                    </w:div>
                  </w:divsChild>
                </w:div>
                <w:div w:id="658768676">
                  <w:marLeft w:val="0"/>
                  <w:marRight w:val="0"/>
                  <w:marTop w:val="0"/>
                  <w:marBottom w:val="0"/>
                  <w:divBdr>
                    <w:top w:val="none" w:sz="0" w:space="0" w:color="auto"/>
                    <w:left w:val="none" w:sz="0" w:space="0" w:color="auto"/>
                    <w:bottom w:val="none" w:sz="0" w:space="0" w:color="auto"/>
                    <w:right w:val="none" w:sz="0" w:space="0" w:color="auto"/>
                  </w:divBdr>
                  <w:divsChild>
                    <w:div w:id="1650673149">
                      <w:marLeft w:val="0"/>
                      <w:marRight w:val="0"/>
                      <w:marTop w:val="0"/>
                      <w:marBottom w:val="0"/>
                      <w:divBdr>
                        <w:top w:val="none" w:sz="0" w:space="0" w:color="auto"/>
                        <w:left w:val="none" w:sz="0" w:space="0" w:color="auto"/>
                        <w:bottom w:val="none" w:sz="0" w:space="0" w:color="auto"/>
                        <w:right w:val="none" w:sz="0" w:space="0" w:color="auto"/>
                      </w:divBdr>
                    </w:div>
                  </w:divsChild>
                </w:div>
                <w:div w:id="681051684">
                  <w:marLeft w:val="0"/>
                  <w:marRight w:val="0"/>
                  <w:marTop w:val="0"/>
                  <w:marBottom w:val="0"/>
                  <w:divBdr>
                    <w:top w:val="none" w:sz="0" w:space="0" w:color="auto"/>
                    <w:left w:val="none" w:sz="0" w:space="0" w:color="auto"/>
                    <w:bottom w:val="none" w:sz="0" w:space="0" w:color="auto"/>
                    <w:right w:val="none" w:sz="0" w:space="0" w:color="auto"/>
                  </w:divBdr>
                  <w:divsChild>
                    <w:div w:id="1746537183">
                      <w:marLeft w:val="0"/>
                      <w:marRight w:val="0"/>
                      <w:marTop w:val="0"/>
                      <w:marBottom w:val="0"/>
                      <w:divBdr>
                        <w:top w:val="none" w:sz="0" w:space="0" w:color="auto"/>
                        <w:left w:val="none" w:sz="0" w:space="0" w:color="auto"/>
                        <w:bottom w:val="none" w:sz="0" w:space="0" w:color="auto"/>
                        <w:right w:val="none" w:sz="0" w:space="0" w:color="auto"/>
                      </w:divBdr>
                    </w:div>
                  </w:divsChild>
                </w:div>
                <w:div w:id="702098590">
                  <w:marLeft w:val="0"/>
                  <w:marRight w:val="0"/>
                  <w:marTop w:val="0"/>
                  <w:marBottom w:val="0"/>
                  <w:divBdr>
                    <w:top w:val="none" w:sz="0" w:space="0" w:color="auto"/>
                    <w:left w:val="none" w:sz="0" w:space="0" w:color="auto"/>
                    <w:bottom w:val="none" w:sz="0" w:space="0" w:color="auto"/>
                    <w:right w:val="none" w:sz="0" w:space="0" w:color="auto"/>
                  </w:divBdr>
                  <w:divsChild>
                    <w:div w:id="1846826181">
                      <w:marLeft w:val="0"/>
                      <w:marRight w:val="0"/>
                      <w:marTop w:val="0"/>
                      <w:marBottom w:val="0"/>
                      <w:divBdr>
                        <w:top w:val="none" w:sz="0" w:space="0" w:color="auto"/>
                        <w:left w:val="none" w:sz="0" w:space="0" w:color="auto"/>
                        <w:bottom w:val="none" w:sz="0" w:space="0" w:color="auto"/>
                        <w:right w:val="none" w:sz="0" w:space="0" w:color="auto"/>
                      </w:divBdr>
                    </w:div>
                  </w:divsChild>
                </w:div>
                <w:div w:id="715936328">
                  <w:marLeft w:val="0"/>
                  <w:marRight w:val="0"/>
                  <w:marTop w:val="0"/>
                  <w:marBottom w:val="0"/>
                  <w:divBdr>
                    <w:top w:val="none" w:sz="0" w:space="0" w:color="auto"/>
                    <w:left w:val="none" w:sz="0" w:space="0" w:color="auto"/>
                    <w:bottom w:val="none" w:sz="0" w:space="0" w:color="auto"/>
                    <w:right w:val="none" w:sz="0" w:space="0" w:color="auto"/>
                  </w:divBdr>
                  <w:divsChild>
                    <w:div w:id="1031102275">
                      <w:marLeft w:val="0"/>
                      <w:marRight w:val="0"/>
                      <w:marTop w:val="0"/>
                      <w:marBottom w:val="0"/>
                      <w:divBdr>
                        <w:top w:val="none" w:sz="0" w:space="0" w:color="auto"/>
                        <w:left w:val="none" w:sz="0" w:space="0" w:color="auto"/>
                        <w:bottom w:val="none" w:sz="0" w:space="0" w:color="auto"/>
                        <w:right w:val="none" w:sz="0" w:space="0" w:color="auto"/>
                      </w:divBdr>
                    </w:div>
                  </w:divsChild>
                </w:div>
                <w:div w:id="717585961">
                  <w:marLeft w:val="0"/>
                  <w:marRight w:val="0"/>
                  <w:marTop w:val="0"/>
                  <w:marBottom w:val="0"/>
                  <w:divBdr>
                    <w:top w:val="none" w:sz="0" w:space="0" w:color="auto"/>
                    <w:left w:val="none" w:sz="0" w:space="0" w:color="auto"/>
                    <w:bottom w:val="none" w:sz="0" w:space="0" w:color="auto"/>
                    <w:right w:val="none" w:sz="0" w:space="0" w:color="auto"/>
                  </w:divBdr>
                  <w:divsChild>
                    <w:div w:id="884222209">
                      <w:marLeft w:val="0"/>
                      <w:marRight w:val="0"/>
                      <w:marTop w:val="0"/>
                      <w:marBottom w:val="0"/>
                      <w:divBdr>
                        <w:top w:val="none" w:sz="0" w:space="0" w:color="auto"/>
                        <w:left w:val="none" w:sz="0" w:space="0" w:color="auto"/>
                        <w:bottom w:val="none" w:sz="0" w:space="0" w:color="auto"/>
                        <w:right w:val="none" w:sz="0" w:space="0" w:color="auto"/>
                      </w:divBdr>
                    </w:div>
                  </w:divsChild>
                </w:div>
                <w:div w:id="727384729">
                  <w:marLeft w:val="0"/>
                  <w:marRight w:val="0"/>
                  <w:marTop w:val="0"/>
                  <w:marBottom w:val="0"/>
                  <w:divBdr>
                    <w:top w:val="none" w:sz="0" w:space="0" w:color="auto"/>
                    <w:left w:val="none" w:sz="0" w:space="0" w:color="auto"/>
                    <w:bottom w:val="none" w:sz="0" w:space="0" w:color="auto"/>
                    <w:right w:val="none" w:sz="0" w:space="0" w:color="auto"/>
                  </w:divBdr>
                  <w:divsChild>
                    <w:div w:id="432480099">
                      <w:marLeft w:val="0"/>
                      <w:marRight w:val="0"/>
                      <w:marTop w:val="0"/>
                      <w:marBottom w:val="0"/>
                      <w:divBdr>
                        <w:top w:val="none" w:sz="0" w:space="0" w:color="auto"/>
                        <w:left w:val="none" w:sz="0" w:space="0" w:color="auto"/>
                        <w:bottom w:val="none" w:sz="0" w:space="0" w:color="auto"/>
                        <w:right w:val="none" w:sz="0" w:space="0" w:color="auto"/>
                      </w:divBdr>
                    </w:div>
                  </w:divsChild>
                </w:div>
                <w:div w:id="730035712">
                  <w:marLeft w:val="0"/>
                  <w:marRight w:val="0"/>
                  <w:marTop w:val="0"/>
                  <w:marBottom w:val="0"/>
                  <w:divBdr>
                    <w:top w:val="none" w:sz="0" w:space="0" w:color="auto"/>
                    <w:left w:val="none" w:sz="0" w:space="0" w:color="auto"/>
                    <w:bottom w:val="none" w:sz="0" w:space="0" w:color="auto"/>
                    <w:right w:val="none" w:sz="0" w:space="0" w:color="auto"/>
                  </w:divBdr>
                  <w:divsChild>
                    <w:div w:id="2047487864">
                      <w:marLeft w:val="0"/>
                      <w:marRight w:val="0"/>
                      <w:marTop w:val="0"/>
                      <w:marBottom w:val="0"/>
                      <w:divBdr>
                        <w:top w:val="none" w:sz="0" w:space="0" w:color="auto"/>
                        <w:left w:val="none" w:sz="0" w:space="0" w:color="auto"/>
                        <w:bottom w:val="none" w:sz="0" w:space="0" w:color="auto"/>
                        <w:right w:val="none" w:sz="0" w:space="0" w:color="auto"/>
                      </w:divBdr>
                    </w:div>
                  </w:divsChild>
                </w:div>
                <w:div w:id="731463828">
                  <w:marLeft w:val="0"/>
                  <w:marRight w:val="0"/>
                  <w:marTop w:val="0"/>
                  <w:marBottom w:val="0"/>
                  <w:divBdr>
                    <w:top w:val="none" w:sz="0" w:space="0" w:color="auto"/>
                    <w:left w:val="none" w:sz="0" w:space="0" w:color="auto"/>
                    <w:bottom w:val="none" w:sz="0" w:space="0" w:color="auto"/>
                    <w:right w:val="none" w:sz="0" w:space="0" w:color="auto"/>
                  </w:divBdr>
                  <w:divsChild>
                    <w:div w:id="924220376">
                      <w:marLeft w:val="0"/>
                      <w:marRight w:val="0"/>
                      <w:marTop w:val="0"/>
                      <w:marBottom w:val="0"/>
                      <w:divBdr>
                        <w:top w:val="none" w:sz="0" w:space="0" w:color="auto"/>
                        <w:left w:val="none" w:sz="0" w:space="0" w:color="auto"/>
                        <w:bottom w:val="none" w:sz="0" w:space="0" w:color="auto"/>
                        <w:right w:val="none" w:sz="0" w:space="0" w:color="auto"/>
                      </w:divBdr>
                    </w:div>
                  </w:divsChild>
                </w:div>
                <w:div w:id="748117630">
                  <w:marLeft w:val="0"/>
                  <w:marRight w:val="0"/>
                  <w:marTop w:val="0"/>
                  <w:marBottom w:val="0"/>
                  <w:divBdr>
                    <w:top w:val="none" w:sz="0" w:space="0" w:color="auto"/>
                    <w:left w:val="none" w:sz="0" w:space="0" w:color="auto"/>
                    <w:bottom w:val="none" w:sz="0" w:space="0" w:color="auto"/>
                    <w:right w:val="none" w:sz="0" w:space="0" w:color="auto"/>
                  </w:divBdr>
                  <w:divsChild>
                    <w:div w:id="1977373586">
                      <w:marLeft w:val="0"/>
                      <w:marRight w:val="0"/>
                      <w:marTop w:val="0"/>
                      <w:marBottom w:val="0"/>
                      <w:divBdr>
                        <w:top w:val="none" w:sz="0" w:space="0" w:color="auto"/>
                        <w:left w:val="none" w:sz="0" w:space="0" w:color="auto"/>
                        <w:bottom w:val="none" w:sz="0" w:space="0" w:color="auto"/>
                        <w:right w:val="none" w:sz="0" w:space="0" w:color="auto"/>
                      </w:divBdr>
                    </w:div>
                  </w:divsChild>
                </w:div>
                <w:div w:id="777330958">
                  <w:marLeft w:val="0"/>
                  <w:marRight w:val="0"/>
                  <w:marTop w:val="0"/>
                  <w:marBottom w:val="0"/>
                  <w:divBdr>
                    <w:top w:val="none" w:sz="0" w:space="0" w:color="auto"/>
                    <w:left w:val="none" w:sz="0" w:space="0" w:color="auto"/>
                    <w:bottom w:val="none" w:sz="0" w:space="0" w:color="auto"/>
                    <w:right w:val="none" w:sz="0" w:space="0" w:color="auto"/>
                  </w:divBdr>
                  <w:divsChild>
                    <w:div w:id="2122676610">
                      <w:marLeft w:val="0"/>
                      <w:marRight w:val="0"/>
                      <w:marTop w:val="0"/>
                      <w:marBottom w:val="0"/>
                      <w:divBdr>
                        <w:top w:val="none" w:sz="0" w:space="0" w:color="auto"/>
                        <w:left w:val="none" w:sz="0" w:space="0" w:color="auto"/>
                        <w:bottom w:val="none" w:sz="0" w:space="0" w:color="auto"/>
                        <w:right w:val="none" w:sz="0" w:space="0" w:color="auto"/>
                      </w:divBdr>
                    </w:div>
                  </w:divsChild>
                </w:div>
                <w:div w:id="799345069">
                  <w:marLeft w:val="0"/>
                  <w:marRight w:val="0"/>
                  <w:marTop w:val="0"/>
                  <w:marBottom w:val="0"/>
                  <w:divBdr>
                    <w:top w:val="none" w:sz="0" w:space="0" w:color="auto"/>
                    <w:left w:val="none" w:sz="0" w:space="0" w:color="auto"/>
                    <w:bottom w:val="none" w:sz="0" w:space="0" w:color="auto"/>
                    <w:right w:val="none" w:sz="0" w:space="0" w:color="auto"/>
                  </w:divBdr>
                  <w:divsChild>
                    <w:div w:id="24186165">
                      <w:marLeft w:val="0"/>
                      <w:marRight w:val="0"/>
                      <w:marTop w:val="0"/>
                      <w:marBottom w:val="0"/>
                      <w:divBdr>
                        <w:top w:val="none" w:sz="0" w:space="0" w:color="auto"/>
                        <w:left w:val="none" w:sz="0" w:space="0" w:color="auto"/>
                        <w:bottom w:val="none" w:sz="0" w:space="0" w:color="auto"/>
                        <w:right w:val="none" w:sz="0" w:space="0" w:color="auto"/>
                      </w:divBdr>
                    </w:div>
                  </w:divsChild>
                </w:div>
                <w:div w:id="824276563">
                  <w:marLeft w:val="0"/>
                  <w:marRight w:val="0"/>
                  <w:marTop w:val="0"/>
                  <w:marBottom w:val="0"/>
                  <w:divBdr>
                    <w:top w:val="none" w:sz="0" w:space="0" w:color="auto"/>
                    <w:left w:val="none" w:sz="0" w:space="0" w:color="auto"/>
                    <w:bottom w:val="none" w:sz="0" w:space="0" w:color="auto"/>
                    <w:right w:val="none" w:sz="0" w:space="0" w:color="auto"/>
                  </w:divBdr>
                  <w:divsChild>
                    <w:div w:id="1230462890">
                      <w:marLeft w:val="0"/>
                      <w:marRight w:val="0"/>
                      <w:marTop w:val="0"/>
                      <w:marBottom w:val="0"/>
                      <w:divBdr>
                        <w:top w:val="none" w:sz="0" w:space="0" w:color="auto"/>
                        <w:left w:val="none" w:sz="0" w:space="0" w:color="auto"/>
                        <w:bottom w:val="none" w:sz="0" w:space="0" w:color="auto"/>
                        <w:right w:val="none" w:sz="0" w:space="0" w:color="auto"/>
                      </w:divBdr>
                    </w:div>
                  </w:divsChild>
                </w:div>
                <w:div w:id="826630594">
                  <w:marLeft w:val="0"/>
                  <w:marRight w:val="0"/>
                  <w:marTop w:val="0"/>
                  <w:marBottom w:val="0"/>
                  <w:divBdr>
                    <w:top w:val="none" w:sz="0" w:space="0" w:color="auto"/>
                    <w:left w:val="none" w:sz="0" w:space="0" w:color="auto"/>
                    <w:bottom w:val="none" w:sz="0" w:space="0" w:color="auto"/>
                    <w:right w:val="none" w:sz="0" w:space="0" w:color="auto"/>
                  </w:divBdr>
                  <w:divsChild>
                    <w:div w:id="617688412">
                      <w:marLeft w:val="0"/>
                      <w:marRight w:val="0"/>
                      <w:marTop w:val="0"/>
                      <w:marBottom w:val="0"/>
                      <w:divBdr>
                        <w:top w:val="none" w:sz="0" w:space="0" w:color="auto"/>
                        <w:left w:val="none" w:sz="0" w:space="0" w:color="auto"/>
                        <w:bottom w:val="none" w:sz="0" w:space="0" w:color="auto"/>
                        <w:right w:val="none" w:sz="0" w:space="0" w:color="auto"/>
                      </w:divBdr>
                    </w:div>
                  </w:divsChild>
                </w:div>
                <w:div w:id="828523122">
                  <w:marLeft w:val="0"/>
                  <w:marRight w:val="0"/>
                  <w:marTop w:val="0"/>
                  <w:marBottom w:val="0"/>
                  <w:divBdr>
                    <w:top w:val="none" w:sz="0" w:space="0" w:color="auto"/>
                    <w:left w:val="none" w:sz="0" w:space="0" w:color="auto"/>
                    <w:bottom w:val="none" w:sz="0" w:space="0" w:color="auto"/>
                    <w:right w:val="none" w:sz="0" w:space="0" w:color="auto"/>
                  </w:divBdr>
                  <w:divsChild>
                    <w:div w:id="536478795">
                      <w:marLeft w:val="0"/>
                      <w:marRight w:val="0"/>
                      <w:marTop w:val="0"/>
                      <w:marBottom w:val="0"/>
                      <w:divBdr>
                        <w:top w:val="none" w:sz="0" w:space="0" w:color="auto"/>
                        <w:left w:val="none" w:sz="0" w:space="0" w:color="auto"/>
                        <w:bottom w:val="none" w:sz="0" w:space="0" w:color="auto"/>
                        <w:right w:val="none" w:sz="0" w:space="0" w:color="auto"/>
                      </w:divBdr>
                    </w:div>
                  </w:divsChild>
                </w:div>
                <w:div w:id="832261736">
                  <w:marLeft w:val="0"/>
                  <w:marRight w:val="0"/>
                  <w:marTop w:val="0"/>
                  <w:marBottom w:val="0"/>
                  <w:divBdr>
                    <w:top w:val="none" w:sz="0" w:space="0" w:color="auto"/>
                    <w:left w:val="none" w:sz="0" w:space="0" w:color="auto"/>
                    <w:bottom w:val="none" w:sz="0" w:space="0" w:color="auto"/>
                    <w:right w:val="none" w:sz="0" w:space="0" w:color="auto"/>
                  </w:divBdr>
                  <w:divsChild>
                    <w:div w:id="552158214">
                      <w:marLeft w:val="0"/>
                      <w:marRight w:val="0"/>
                      <w:marTop w:val="0"/>
                      <w:marBottom w:val="0"/>
                      <w:divBdr>
                        <w:top w:val="none" w:sz="0" w:space="0" w:color="auto"/>
                        <w:left w:val="none" w:sz="0" w:space="0" w:color="auto"/>
                        <w:bottom w:val="none" w:sz="0" w:space="0" w:color="auto"/>
                        <w:right w:val="none" w:sz="0" w:space="0" w:color="auto"/>
                      </w:divBdr>
                    </w:div>
                  </w:divsChild>
                </w:div>
                <w:div w:id="837581384">
                  <w:marLeft w:val="0"/>
                  <w:marRight w:val="0"/>
                  <w:marTop w:val="0"/>
                  <w:marBottom w:val="0"/>
                  <w:divBdr>
                    <w:top w:val="none" w:sz="0" w:space="0" w:color="auto"/>
                    <w:left w:val="none" w:sz="0" w:space="0" w:color="auto"/>
                    <w:bottom w:val="none" w:sz="0" w:space="0" w:color="auto"/>
                    <w:right w:val="none" w:sz="0" w:space="0" w:color="auto"/>
                  </w:divBdr>
                  <w:divsChild>
                    <w:div w:id="890264220">
                      <w:marLeft w:val="0"/>
                      <w:marRight w:val="0"/>
                      <w:marTop w:val="0"/>
                      <w:marBottom w:val="0"/>
                      <w:divBdr>
                        <w:top w:val="none" w:sz="0" w:space="0" w:color="auto"/>
                        <w:left w:val="none" w:sz="0" w:space="0" w:color="auto"/>
                        <w:bottom w:val="none" w:sz="0" w:space="0" w:color="auto"/>
                        <w:right w:val="none" w:sz="0" w:space="0" w:color="auto"/>
                      </w:divBdr>
                    </w:div>
                  </w:divsChild>
                </w:div>
                <w:div w:id="845024122">
                  <w:marLeft w:val="0"/>
                  <w:marRight w:val="0"/>
                  <w:marTop w:val="0"/>
                  <w:marBottom w:val="0"/>
                  <w:divBdr>
                    <w:top w:val="none" w:sz="0" w:space="0" w:color="auto"/>
                    <w:left w:val="none" w:sz="0" w:space="0" w:color="auto"/>
                    <w:bottom w:val="none" w:sz="0" w:space="0" w:color="auto"/>
                    <w:right w:val="none" w:sz="0" w:space="0" w:color="auto"/>
                  </w:divBdr>
                  <w:divsChild>
                    <w:div w:id="1302072692">
                      <w:marLeft w:val="0"/>
                      <w:marRight w:val="0"/>
                      <w:marTop w:val="0"/>
                      <w:marBottom w:val="0"/>
                      <w:divBdr>
                        <w:top w:val="none" w:sz="0" w:space="0" w:color="auto"/>
                        <w:left w:val="none" w:sz="0" w:space="0" w:color="auto"/>
                        <w:bottom w:val="none" w:sz="0" w:space="0" w:color="auto"/>
                        <w:right w:val="none" w:sz="0" w:space="0" w:color="auto"/>
                      </w:divBdr>
                    </w:div>
                  </w:divsChild>
                </w:div>
                <w:div w:id="878593056">
                  <w:marLeft w:val="0"/>
                  <w:marRight w:val="0"/>
                  <w:marTop w:val="0"/>
                  <w:marBottom w:val="0"/>
                  <w:divBdr>
                    <w:top w:val="none" w:sz="0" w:space="0" w:color="auto"/>
                    <w:left w:val="none" w:sz="0" w:space="0" w:color="auto"/>
                    <w:bottom w:val="none" w:sz="0" w:space="0" w:color="auto"/>
                    <w:right w:val="none" w:sz="0" w:space="0" w:color="auto"/>
                  </w:divBdr>
                  <w:divsChild>
                    <w:div w:id="1722091178">
                      <w:marLeft w:val="0"/>
                      <w:marRight w:val="0"/>
                      <w:marTop w:val="0"/>
                      <w:marBottom w:val="0"/>
                      <w:divBdr>
                        <w:top w:val="none" w:sz="0" w:space="0" w:color="auto"/>
                        <w:left w:val="none" w:sz="0" w:space="0" w:color="auto"/>
                        <w:bottom w:val="none" w:sz="0" w:space="0" w:color="auto"/>
                        <w:right w:val="none" w:sz="0" w:space="0" w:color="auto"/>
                      </w:divBdr>
                    </w:div>
                  </w:divsChild>
                </w:div>
                <w:div w:id="913512542">
                  <w:marLeft w:val="0"/>
                  <w:marRight w:val="0"/>
                  <w:marTop w:val="0"/>
                  <w:marBottom w:val="0"/>
                  <w:divBdr>
                    <w:top w:val="none" w:sz="0" w:space="0" w:color="auto"/>
                    <w:left w:val="none" w:sz="0" w:space="0" w:color="auto"/>
                    <w:bottom w:val="none" w:sz="0" w:space="0" w:color="auto"/>
                    <w:right w:val="none" w:sz="0" w:space="0" w:color="auto"/>
                  </w:divBdr>
                  <w:divsChild>
                    <w:div w:id="1016344968">
                      <w:marLeft w:val="0"/>
                      <w:marRight w:val="0"/>
                      <w:marTop w:val="0"/>
                      <w:marBottom w:val="0"/>
                      <w:divBdr>
                        <w:top w:val="none" w:sz="0" w:space="0" w:color="auto"/>
                        <w:left w:val="none" w:sz="0" w:space="0" w:color="auto"/>
                        <w:bottom w:val="none" w:sz="0" w:space="0" w:color="auto"/>
                        <w:right w:val="none" w:sz="0" w:space="0" w:color="auto"/>
                      </w:divBdr>
                    </w:div>
                  </w:divsChild>
                </w:div>
                <w:div w:id="915407468">
                  <w:marLeft w:val="0"/>
                  <w:marRight w:val="0"/>
                  <w:marTop w:val="0"/>
                  <w:marBottom w:val="0"/>
                  <w:divBdr>
                    <w:top w:val="none" w:sz="0" w:space="0" w:color="auto"/>
                    <w:left w:val="none" w:sz="0" w:space="0" w:color="auto"/>
                    <w:bottom w:val="none" w:sz="0" w:space="0" w:color="auto"/>
                    <w:right w:val="none" w:sz="0" w:space="0" w:color="auto"/>
                  </w:divBdr>
                  <w:divsChild>
                    <w:div w:id="298341700">
                      <w:marLeft w:val="0"/>
                      <w:marRight w:val="0"/>
                      <w:marTop w:val="0"/>
                      <w:marBottom w:val="0"/>
                      <w:divBdr>
                        <w:top w:val="none" w:sz="0" w:space="0" w:color="auto"/>
                        <w:left w:val="none" w:sz="0" w:space="0" w:color="auto"/>
                        <w:bottom w:val="none" w:sz="0" w:space="0" w:color="auto"/>
                        <w:right w:val="none" w:sz="0" w:space="0" w:color="auto"/>
                      </w:divBdr>
                    </w:div>
                  </w:divsChild>
                </w:div>
                <w:div w:id="917253261">
                  <w:marLeft w:val="0"/>
                  <w:marRight w:val="0"/>
                  <w:marTop w:val="0"/>
                  <w:marBottom w:val="0"/>
                  <w:divBdr>
                    <w:top w:val="none" w:sz="0" w:space="0" w:color="auto"/>
                    <w:left w:val="none" w:sz="0" w:space="0" w:color="auto"/>
                    <w:bottom w:val="none" w:sz="0" w:space="0" w:color="auto"/>
                    <w:right w:val="none" w:sz="0" w:space="0" w:color="auto"/>
                  </w:divBdr>
                  <w:divsChild>
                    <w:div w:id="568998727">
                      <w:marLeft w:val="0"/>
                      <w:marRight w:val="0"/>
                      <w:marTop w:val="0"/>
                      <w:marBottom w:val="0"/>
                      <w:divBdr>
                        <w:top w:val="none" w:sz="0" w:space="0" w:color="auto"/>
                        <w:left w:val="none" w:sz="0" w:space="0" w:color="auto"/>
                        <w:bottom w:val="none" w:sz="0" w:space="0" w:color="auto"/>
                        <w:right w:val="none" w:sz="0" w:space="0" w:color="auto"/>
                      </w:divBdr>
                    </w:div>
                  </w:divsChild>
                </w:div>
                <w:div w:id="917595306">
                  <w:marLeft w:val="0"/>
                  <w:marRight w:val="0"/>
                  <w:marTop w:val="0"/>
                  <w:marBottom w:val="0"/>
                  <w:divBdr>
                    <w:top w:val="none" w:sz="0" w:space="0" w:color="auto"/>
                    <w:left w:val="none" w:sz="0" w:space="0" w:color="auto"/>
                    <w:bottom w:val="none" w:sz="0" w:space="0" w:color="auto"/>
                    <w:right w:val="none" w:sz="0" w:space="0" w:color="auto"/>
                  </w:divBdr>
                  <w:divsChild>
                    <w:div w:id="1717194809">
                      <w:marLeft w:val="0"/>
                      <w:marRight w:val="0"/>
                      <w:marTop w:val="0"/>
                      <w:marBottom w:val="0"/>
                      <w:divBdr>
                        <w:top w:val="none" w:sz="0" w:space="0" w:color="auto"/>
                        <w:left w:val="none" w:sz="0" w:space="0" w:color="auto"/>
                        <w:bottom w:val="none" w:sz="0" w:space="0" w:color="auto"/>
                        <w:right w:val="none" w:sz="0" w:space="0" w:color="auto"/>
                      </w:divBdr>
                    </w:div>
                  </w:divsChild>
                </w:div>
                <w:div w:id="921766409">
                  <w:marLeft w:val="0"/>
                  <w:marRight w:val="0"/>
                  <w:marTop w:val="0"/>
                  <w:marBottom w:val="0"/>
                  <w:divBdr>
                    <w:top w:val="none" w:sz="0" w:space="0" w:color="auto"/>
                    <w:left w:val="none" w:sz="0" w:space="0" w:color="auto"/>
                    <w:bottom w:val="none" w:sz="0" w:space="0" w:color="auto"/>
                    <w:right w:val="none" w:sz="0" w:space="0" w:color="auto"/>
                  </w:divBdr>
                  <w:divsChild>
                    <w:div w:id="200439557">
                      <w:marLeft w:val="0"/>
                      <w:marRight w:val="0"/>
                      <w:marTop w:val="0"/>
                      <w:marBottom w:val="0"/>
                      <w:divBdr>
                        <w:top w:val="none" w:sz="0" w:space="0" w:color="auto"/>
                        <w:left w:val="none" w:sz="0" w:space="0" w:color="auto"/>
                        <w:bottom w:val="none" w:sz="0" w:space="0" w:color="auto"/>
                        <w:right w:val="none" w:sz="0" w:space="0" w:color="auto"/>
                      </w:divBdr>
                    </w:div>
                  </w:divsChild>
                </w:div>
                <w:div w:id="924387995">
                  <w:marLeft w:val="0"/>
                  <w:marRight w:val="0"/>
                  <w:marTop w:val="0"/>
                  <w:marBottom w:val="0"/>
                  <w:divBdr>
                    <w:top w:val="none" w:sz="0" w:space="0" w:color="auto"/>
                    <w:left w:val="none" w:sz="0" w:space="0" w:color="auto"/>
                    <w:bottom w:val="none" w:sz="0" w:space="0" w:color="auto"/>
                    <w:right w:val="none" w:sz="0" w:space="0" w:color="auto"/>
                  </w:divBdr>
                  <w:divsChild>
                    <w:div w:id="2008364374">
                      <w:marLeft w:val="0"/>
                      <w:marRight w:val="0"/>
                      <w:marTop w:val="0"/>
                      <w:marBottom w:val="0"/>
                      <w:divBdr>
                        <w:top w:val="none" w:sz="0" w:space="0" w:color="auto"/>
                        <w:left w:val="none" w:sz="0" w:space="0" w:color="auto"/>
                        <w:bottom w:val="none" w:sz="0" w:space="0" w:color="auto"/>
                        <w:right w:val="none" w:sz="0" w:space="0" w:color="auto"/>
                      </w:divBdr>
                    </w:div>
                  </w:divsChild>
                </w:div>
                <w:div w:id="934508998">
                  <w:marLeft w:val="0"/>
                  <w:marRight w:val="0"/>
                  <w:marTop w:val="0"/>
                  <w:marBottom w:val="0"/>
                  <w:divBdr>
                    <w:top w:val="none" w:sz="0" w:space="0" w:color="auto"/>
                    <w:left w:val="none" w:sz="0" w:space="0" w:color="auto"/>
                    <w:bottom w:val="none" w:sz="0" w:space="0" w:color="auto"/>
                    <w:right w:val="none" w:sz="0" w:space="0" w:color="auto"/>
                  </w:divBdr>
                  <w:divsChild>
                    <w:div w:id="527106947">
                      <w:marLeft w:val="0"/>
                      <w:marRight w:val="0"/>
                      <w:marTop w:val="0"/>
                      <w:marBottom w:val="0"/>
                      <w:divBdr>
                        <w:top w:val="none" w:sz="0" w:space="0" w:color="auto"/>
                        <w:left w:val="none" w:sz="0" w:space="0" w:color="auto"/>
                        <w:bottom w:val="none" w:sz="0" w:space="0" w:color="auto"/>
                        <w:right w:val="none" w:sz="0" w:space="0" w:color="auto"/>
                      </w:divBdr>
                    </w:div>
                  </w:divsChild>
                </w:div>
                <w:div w:id="944269047">
                  <w:marLeft w:val="0"/>
                  <w:marRight w:val="0"/>
                  <w:marTop w:val="0"/>
                  <w:marBottom w:val="0"/>
                  <w:divBdr>
                    <w:top w:val="none" w:sz="0" w:space="0" w:color="auto"/>
                    <w:left w:val="none" w:sz="0" w:space="0" w:color="auto"/>
                    <w:bottom w:val="none" w:sz="0" w:space="0" w:color="auto"/>
                    <w:right w:val="none" w:sz="0" w:space="0" w:color="auto"/>
                  </w:divBdr>
                  <w:divsChild>
                    <w:div w:id="598608007">
                      <w:marLeft w:val="0"/>
                      <w:marRight w:val="0"/>
                      <w:marTop w:val="0"/>
                      <w:marBottom w:val="0"/>
                      <w:divBdr>
                        <w:top w:val="none" w:sz="0" w:space="0" w:color="auto"/>
                        <w:left w:val="none" w:sz="0" w:space="0" w:color="auto"/>
                        <w:bottom w:val="none" w:sz="0" w:space="0" w:color="auto"/>
                        <w:right w:val="none" w:sz="0" w:space="0" w:color="auto"/>
                      </w:divBdr>
                    </w:div>
                  </w:divsChild>
                </w:div>
                <w:div w:id="944531378">
                  <w:marLeft w:val="0"/>
                  <w:marRight w:val="0"/>
                  <w:marTop w:val="0"/>
                  <w:marBottom w:val="0"/>
                  <w:divBdr>
                    <w:top w:val="none" w:sz="0" w:space="0" w:color="auto"/>
                    <w:left w:val="none" w:sz="0" w:space="0" w:color="auto"/>
                    <w:bottom w:val="none" w:sz="0" w:space="0" w:color="auto"/>
                    <w:right w:val="none" w:sz="0" w:space="0" w:color="auto"/>
                  </w:divBdr>
                  <w:divsChild>
                    <w:div w:id="1168790675">
                      <w:marLeft w:val="0"/>
                      <w:marRight w:val="0"/>
                      <w:marTop w:val="0"/>
                      <w:marBottom w:val="0"/>
                      <w:divBdr>
                        <w:top w:val="none" w:sz="0" w:space="0" w:color="auto"/>
                        <w:left w:val="none" w:sz="0" w:space="0" w:color="auto"/>
                        <w:bottom w:val="none" w:sz="0" w:space="0" w:color="auto"/>
                        <w:right w:val="none" w:sz="0" w:space="0" w:color="auto"/>
                      </w:divBdr>
                    </w:div>
                  </w:divsChild>
                </w:div>
                <w:div w:id="946274813">
                  <w:marLeft w:val="0"/>
                  <w:marRight w:val="0"/>
                  <w:marTop w:val="0"/>
                  <w:marBottom w:val="0"/>
                  <w:divBdr>
                    <w:top w:val="none" w:sz="0" w:space="0" w:color="auto"/>
                    <w:left w:val="none" w:sz="0" w:space="0" w:color="auto"/>
                    <w:bottom w:val="none" w:sz="0" w:space="0" w:color="auto"/>
                    <w:right w:val="none" w:sz="0" w:space="0" w:color="auto"/>
                  </w:divBdr>
                  <w:divsChild>
                    <w:div w:id="304119011">
                      <w:marLeft w:val="0"/>
                      <w:marRight w:val="0"/>
                      <w:marTop w:val="0"/>
                      <w:marBottom w:val="0"/>
                      <w:divBdr>
                        <w:top w:val="none" w:sz="0" w:space="0" w:color="auto"/>
                        <w:left w:val="none" w:sz="0" w:space="0" w:color="auto"/>
                        <w:bottom w:val="none" w:sz="0" w:space="0" w:color="auto"/>
                        <w:right w:val="none" w:sz="0" w:space="0" w:color="auto"/>
                      </w:divBdr>
                    </w:div>
                  </w:divsChild>
                </w:div>
                <w:div w:id="946884391">
                  <w:marLeft w:val="0"/>
                  <w:marRight w:val="0"/>
                  <w:marTop w:val="0"/>
                  <w:marBottom w:val="0"/>
                  <w:divBdr>
                    <w:top w:val="none" w:sz="0" w:space="0" w:color="auto"/>
                    <w:left w:val="none" w:sz="0" w:space="0" w:color="auto"/>
                    <w:bottom w:val="none" w:sz="0" w:space="0" w:color="auto"/>
                    <w:right w:val="none" w:sz="0" w:space="0" w:color="auto"/>
                  </w:divBdr>
                  <w:divsChild>
                    <w:div w:id="580716563">
                      <w:marLeft w:val="0"/>
                      <w:marRight w:val="0"/>
                      <w:marTop w:val="0"/>
                      <w:marBottom w:val="0"/>
                      <w:divBdr>
                        <w:top w:val="none" w:sz="0" w:space="0" w:color="auto"/>
                        <w:left w:val="none" w:sz="0" w:space="0" w:color="auto"/>
                        <w:bottom w:val="none" w:sz="0" w:space="0" w:color="auto"/>
                        <w:right w:val="none" w:sz="0" w:space="0" w:color="auto"/>
                      </w:divBdr>
                    </w:div>
                  </w:divsChild>
                </w:div>
                <w:div w:id="975183269">
                  <w:marLeft w:val="0"/>
                  <w:marRight w:val="0"/>
                  <w:marTop w:val="0"/>
                  <w:marBottom w:val="0"/>
                  <w:divBdr>
                    <w:top w:val="none" w:sz="0" w:space="0" w:color="auto"/>
                    <w:left w:val="none" w:sz="0" w:space="0" w:color="auto"/>
                    <w:bottom w:val="none" w:sz="0" w:space="0" w:color="auto"/>
                    <w:right w:val="none" w:sz="0" w:space="0" w:color="auto"/>
                  </w:divBdr>
                  <w:divsChild>
                    <w:div w:id="1049299870">
                      <w:marLeft w:val="0"/>
                      <w:marRight w:val="0"/>
                      <w:marTop w:val="0"/>
                      <w:marBottom w:val="0"/>
                      <w:divBdr>
                        <w:top w:val="none" w:sz="0" w:space="0" w:color="auto"/>
                        <w:left w:val="none" w:sz="0" w:space="0" w:color="auto"/>
                        <w:bottom w:val="none" w:sz="0" w:space="0" w:color="auto"/>
                        <w:right w:val="none" w:sz="0" w:space="0" w:color="auto"/>
                      </w:divBdr>
                    </w:div>
                  </w:divsChild>
                </w:div>
                <w:div w:id="983510647">
                  <w:marLeft w:val="0"/>
                  <w:marRight w:val="0"/>
                  <w:marTop w:val="0"/>
                  <w:marBottom w:val="0"/>
                  <w:divBdr>
                    <w:top w:val="none" w:sz="0" w:space="0" w:color="auto"/>
                    <w:left w:val="none" w:sz="0" w:space="0" w:color="auto"/>
                    <w:bottom w:val="none" w:sz="0" w:space="0" w:color="auto"/>
                    <w:right w:val="none" w:sz="0" w:space="0" w:color="auto"/>
                  </w:divBdr>
                  <w:divsChild>
                    <w:div w:id="1495994574">
                      <w:marLeft w:val="0"/>
                      <w:marRight w:val="0"/>
                      <w:marTop w:val="0"/>
                      <w:marBottom w:val="0"/>
                      <w:divBdr>
                        <w:top w:val="none" w:sz="0" w:space="0" w:color="auto"/>
                        <w:left w:val="none" w:sz="0" w:space="0" w:color="auto"/>
                        <w:bottom w:val="none" w:sz="0" w:space="0" w:color="auto"/>
                        <w:right w:val="none" w:sz="0" w:space="0" w:color="auto"/>
                      </w:divBdr>
                    </w:div>
                  </w:divsChild>
                </w:div>
                <w:div w:id="1004286217">
                  <w:marLeft w:val="0"/>
                  <w:marRight w:val="0"/>
                  <w:marTop w:val="0"/>
                  <w:marBottom w:val="0"/>
                  <w:divBdr>
                    <w:top w:val="none" w:sz="0" w:space="0" w:color="auto"/>
                    <w:left w:val="none" w:sz="0" w:space="0" w:color="auto"/>
                    <w:bottom w:val="none" w:sz="0" w:space="0" w:color="auto"/>
                    <w:right w:val="none" w:sz="0" w:space="0" w:color="auto"/>
                  </w:divBdr>
                  <w:divsChild>
                    <w:div w:id="1862665094">
                      <w:marLeft w:val="0"/>
                      <w:marRight w:val="0"/>
                      <w:marTop w:val="0"/>
                      <w:marBottom w:val="0"/>
                      <w:divBdr>
                        <w:top w:val="none" w:sz="0" w:space="0" w:color="auto"/>
                        <w:left w:val="none" w:sz="0" w:space="0" w:color="auto"/>
                        <w:bottom w:val="none" w:sz="0" w:space="0" w:color="auto"/>
                        <w:right w:val="none" w:sz="0" w:space="0" w:color="auto"/>
                      </w:divBdr>
                    </w:div>
                  </w:divsChild>
                </w:div>
                <w:div w:id="1004939809">
                  <w:marLeft w:val="0"/>
                  <w:marRight w:val="0"/>
                  <w:marTop w:val="0"/>
                  <w:marBottom w:val="0"/>
                  <w:divBdr>
                    <w:top w:val="none" w:sz="0" w:space="0" w:color="auto"/>
                    <w:left w:val="none" w:sz="0" w:space="0" w:color="auto"/>
                    <w:bottom w:val="none" w:sz="0" w:space="0" w:color="auto"/>
                    <w:right w:val="none" w:sz="0" w:space="0" w:color="auto"/>
                  </w:divBdr>
                  <w:divsChild>
                    <w:div w:id="122581468">
                      <w:marLeft w:val="0"/>
                      <w:marRight w:val="0"/>
                      <w:marTop w:val="0"/>
                      <w:marBottom w:val="0"/>
                      <w:divBdr>
                        <w:top w:val="none" w:sz="0" w:space="0" w:color="auto"/>
                        <w:left w:val="none" w:sz="0" w:space="0" w:color="auto"/>
                        <w:bottom w:val="none" w:sz="0" w:space="0" w:color="auto"/>
                        <w:right w:val="none" w:sz="0" w:space="0" w:color="auto"/>
                      </w:divBdr>
                    </w:div>
                  </w:divsChild>
                </w:div>
                <w:div w:id="1009216565">
                  <w:marLeft w:val="0"/>
                  <w:marRight w:val="0"/>
                  <w:marTop w:val="0"/>
                  <w:marBottom w:val="0"/>
                  <w:divBdr>
                    <w:top w:val="none" w:sz="0" w:space="0" w:color="auto"/>
                    <w:left w:val="none" w:sz="0" w:space="0" w:color="auto"/>
                    <w:bottom w:val="none" w:sz="0" w:space="0" w:color="auto"/>
                    <w:right w:val="none" w:sz="0" w:space="0" w:color="auto"/>
                  </w:divBdr>
                  <w:divsChild>
                    <w:div w:id="71120598">
                      <w:marLeft w:val="0"/>
                      <w:marRight w:val="0"/>
                      <w:marTop w:val="0"/>
                      <w:marBottom w:val="0"/>
                      <w:divBdr>
                        <w:top w:val="none" w:sz="0" w:space="0" w:color="auto"/>
                        <w:left w:val="none" w:sz="0" w:space="0" w:color="auto"/>
                        <w:bottom w:val="none" w:sz="0" w:space="0" w:color="auto"/>
                        <w:right w:val="none" w:sz="0" w:space="0" w:color="auto"/>
                      </w:divBdr>
                    </w:div>
                  </w:divsChild>
                </w:div>
                <w:div w:id="1030029508">
                  <w:marLeft w:val="0"/>
                  <w:marRight w:val="0"/>
                  <w:marTop w:val="0"/>
                  <w:marBottom w:val="0"/>
                  <w:divBdr>
                    <w:top w:val="none" w:sz="0" w:space="0" w:color="auto"/>
                    <w:left w:val="none" w:sz="0" w:space="0" w:color="auto"/>
                    <w:bottom w:val="none" w:sz="0" w:space="0" w:color="auto"/>
                    <w:right w:val="none" w:sz="0" w:space="0" w:color="auto"/>
                  </w:divBdr>
                  <w:divsChild>
                    <w:div w:id="1315337322">
                      <w:marLeft w:val="0"/>
                      <w:marRight w:val="0"/>
                      <w:marTop w:val="0"/>
                      <w:marBottom w:val="0"/>
                      <w:divBdr>
                        <w:top w:val="none" w:sz="0" w:space="0" w:color="auto"/>
                        <w:left w:val="none" w:sz="0" w:space="0" w:color="auto"/>
                        <w:bottom w:val="none" w:sz="0" w:space="0" w:color="auto"/>
                        <w:right w:val="none" w:sz="0" w:space="0" w:color="auto"/>
                      </w:divBdr>
                    </w:div>
                  </w:divsChild>
                </w:div>
                <w:div w:id="1040587493">
                  <w:marLeft w:val="0"/>
                  <w:marRight w:val="0"/>
                  <w:marTop w:val="0"/>
                  <w:marBottom w:val="0"/>
                  <w:divBdr>
                    <w:top w:val="none" w:sz="0" w:space="0" w:color="auto"/>
                    <w:left w:val="none" w:sz="0" w:space="0" w:color="auto"/>
                    <w:bottom w:val="none" w:sz="0" w:space="0" w:color="auto"/>
                    <w:right w:val="none" w:sz="0" w:space="0" w:color="auto"/>
                  </w:divBdr>
                  <w:divsChild>
                    <w:div w:id="962269056">
                      <w:marLeft w:val="0"/>
                      <w:marRight w:val="0"/>
                      <w:marTop w:val="0"/>
                      <w:marBottom w:val="0"/>
                      <w:divBdr>
                        <w:top w:val="none" w:sz="0" w:space="0" w:color="auto"/>
                        <w:left w:val="none" w:sz="0" w:space="0" w:color="auto"/>
                        <w:bottom w:val="none" w:sz="0" w:space="0" w:color="auto"/>
                        <w:right w:val="none" w:sz="0" w:space="0" w:color="auto"/>
                      </w:divBdr>
                    </w:div>
                  </w:divsChild>
                </w:div>
                <w:div w:id="1040596413">
                  <w:marLeft w:val="0"/>
                  <w:marRight w:val="0"/>
                  <w:marTop w:val="0"/>
                  <w:marBottom w:val="0"/>
                  <w:divBdr>
                    <w:top w:val="none" w:sz="0" w:space="0" w:color="auto"/>
                    <w:left w:val="none" w:sz="0" w:space="0" w:color="auto"/>
                    <w:bottom w:val="none" w:sz="0" w:space="0" w:color="auto"/>
                    <w:right w:val="none" w:sz="0" w:space="0" w:color="auto"/>
                  </w:divBdr>
                  <w:divsChild>
                    <w:div w:id="1368292552">
                      <w:marLeft w:val="0"/>
                      <w:marRight w:val="0"/>
                      <w:marTop w:val="0"/>
                      <w:marBottom w:val="0"/>
                      <w:divBdr>
                        <w:top w:val="none" w:sz="0" w:space="0" w:color="auto"/>
                        <w:left w:val="none" w:sz="0" w:space="0" w:color="auto"/>
                        <w:bottom w:val="none" w:sz="0" w:space="0" w:color="auto"/>
                        <w:right w:val="none" w:sz="0" w:space="0" w:color="auto"/>
                      </w:divBdr>
                    </w:div>
                  </w:divsChild>
                </w:div>
                <w:div w:id="1044676488">
                  <w:marLeft w:val="0"/>
                  <w:marRight w:val="0"/>
                  <w:marTop w:val="0"/>
                  <w:marBottom w:val="0"/>
                  <w:divBdr>
                    <w:top w:val="none" w:sz="0" w:space="0" w:color="auto"/>
                    <w:left w:val="none" w:sz="0" w:space="0" w:color="auto"/>
                    <w:bottom w:val="none" w:sz="0" w:space="0" w:color="auto"/>
                    <w:right w:val="none" w:sz="0" w:space="0" w:color="auto"/>
                  </w:divBdr>
                  <w:divsChild>
                    <w:div w:id="1292634461">
                      <w:marLeft w:val="0"/>
                      <w:marRight w:val="0"/>
                      <w:marTop w:val="0"/>
                      <w:marBottom w:val="0"/>
                      <w:divBdr>
                        <w:top w:val="none" w:sz="0" w:space="0" w:color="auto"/>
                        <w:left w:val="none" w:sz="0" w:space="0" w:color="auto"/>
                        <w:bottom w:val="none" w:sz="0" w:space="0" w:color="auto"/>
                        <w:right w:val="none" w:sz="0" w:space="0" w:color="auto"/>
                      </w:divBdr>
                    </w:div>
                  </w:divsChild>
                </w:div>
                <w:div w:id="1065642835">
                  <w:marLeft w:val="0"/>
                  <w:marRight w:val="0"/>
                  <w:marTop w:val="0"/>
                  <w:marBottom w:val="0"/>
                  <w:divBdr>
                    <w:top w:val="none" w:sz="0" w:space="0" w:color="auto"/>
                    <w:left w:val="none" w:sz="0" w:space="0" w:color="auto"/>
                    <w:bottom w:val="none" w:sz="0" w:space="0" w:color="auto"/>
                    <w:right w:val="none" w:sz="0" w:space="0" w:color="auto"/>
                  </w:divBdr>
                  <w:divsChild>
                    <w:div w:id="1275166687">
                      <w:marLeft w:val="0"/>
                      <w:marRight w:val="0"/>
                      <w:marTop w:val="0"/>
                      <w:marBottom w:val="0"/>
                      <w:divBdr>
                        <w:top w:val="none" w:sz="0" w:space="0" w:color="auto"/>
                        <w:left w:val="none" w:sz="0" w:space="0" w:color="auto"/>
                        <w:bottom w:val="none" w:sz="0" w:space="0" w:color="auto"/>
                        <w:right w:val="none" w:sz="0" w:space="0" w:color="auto"/>
                      </w:divBdr>
                    </w:div>
                  </w:divsChild>
                </w:div>
                <w:div w:id="1066032761">
                  <w:marLeft w:val="0"/>
                  <w:marRight w:val="0"/>
                  <w:marTop w:val="0"/>
                  <w:marBottom w:val="0"/>
                  <w:divBdr>
                    <w:top w:val="none" w:sz="0" w:space="0" w:color="auto"/>
                    <w:left w:val="none" w:sz="0" w:space="0" w:color="auto"/>
                    <w:bottom w:val="none" w:sz="0" w:space="0" w:color="auto"/>
                    <w:right w:val="none" w:sz="0" w:space="0" w:color="auto"/>
                  </w:divBdr>
                  <w:divsChild>
                    <w:div w:id="1054423399">
                      <w:marLeft w:val="0"/>
                      <w:marRight w:val="0"/>
                      <w:marTop w:val="0"/>
                      <w:marBottom w:val="0"/>
                      <w:divBdr>
                        <w:top w:val="none" w:sz="0" w:space="0" w:color="auto"/>
                        <w:left w:val="none" w:sz="0" w:space="0" w:color="auto"/>
                        <w:bottom w:val="none" w:sz="0" w:space="0" w:color="auto"/>
                        <w:right w:val="none" w:sz="0" w:space="0" w:color="auto"/>
                      </w:divBdr>
                    </w:div>
                  </w:divsChild>
                </w:div>
                <w:div w:id="1066611797">
                  <w:marLeft w:val="0"/>
                  <w:marRight w:val="0"/>
                  <w:marTop w:val="0"/>
                  <w:marBottom w:val="0"/>
                  <w:divBdr>
                    <w:top w:val="none" w:sz="0" w:space="0" w:color="auto"/>
                    <w:left w:val="none" w:sz="0" w:space="0" w:color="auto"/>
                    <w:bottom w:val="none" w:sz="0" w:space="0" w:color="auto"/>
                    <w:right w:val="none" w:sz="0" w:space="0" w:color="auto"/>
                  </w:divBdr>
                  <w:divsChild>
                    <w:div w:id="1619410837">
                      <w:marLeft w:val="0"/>
                      <w:marRight w:val="0"/>
                      <w:marTop w:val="0"/>
                      <w:marBottom w:val="0"/>
                      <w:divBdr>
                        <w:top w:val="none" w:sz="0" w:space="0" w:color="auto"/>
                        <w:left w:val="none" w:sz="0" w:space="0" w:color="auto"/>
                        <w:bottom w:val="none" w:sz="0" w:space="0" w:color="auto"/>
                        <w:right w:val="none" w:sz="0" w:space="0" w:color="auto"/>
                      </w:divBdr>
                    </w:div>
                  </w:divsChild>
                </w:div>
                <w:div w:id="1069494676">
                  <w:marLeft w:val="0"/>
                  <w:marRight w:val="0"/>
                  <w:marTop w:val="0"/>
                  <w:marBottom w:val="0"/>
                  <w:divBdr>
                    <w:top w:val="none" w:sz="0" w:space="0" w:color="auto"/>
                    <w:left w:val="none" w:sz="0" w:space="0" w:color="auto"/>
                    <w:bottom w:val="none" w:sz="0" w:space="0" w:color="auto"/>
                    <w:right w:val="none" w:sz="0" w:space="0" w:color="auto"/>
                  </w:divBdr>
                  <w:divsChild>
                    <w:div w:id="1353530587">
                      <w:marLeft w:val="0"/>
                      <w:marRight w:val="0"/>
                      <w:marTop w:val="0"/>
                      <w:marBottom w:val="0"/>
                      <w:divBdr>
                        <w:top w:val="none" w:sz="0" w:space="0" w:color="auto"/>
                        <w:left w:val="none" w:sz="0" w:space="0" w:color="auto"/>
                        <w:bottom w:val="none" w:sz="0" w:space="0" w:color="auto"/>
                        <w:right w:val="none" w:sz="0" w:space="0" w:color="auto"/>
                      </w:divBdr>
                    </w:div>
                  </w:divsChild>
                </w:div>
                <w:div w:id="1071854619">
                  <w:marLeft w:val="0"/>
                  <w:marRight w:val="0"/>
                  <w:marTop w:val="0"/>
                  <w:marBottom w:val="0"/>
                  <w:divBdr>
                    <w:top w:val="none" w:sz="0" w:space="0" w:color="auto"/>
                    <w:left w:val="none" w:sz="0" w:space="0" w:color="auto"/>
                    <w:bottom w:val="none" w:sz="0" w:space="0" w:color="auto"/>
                    <w:right w:val="none" w:sz="0" w:space="0" w:color="auto"/>
                  </w:divBdr>
                  <w:divsChild>
                    <w:div w:id="1170876263">
                      <w:marLeft w:val="0"/>
                      <w:marRight w:val="0"/>
                      <w:marTop w:val="0"/>
                      <w:marBottom w:val="0"/>
                      <w:divBdr>
                        <w:top w:val="none" w:sz="0" w:space="0" w:color="auto"/>
                        <w:left w:val="none" w:sz="0" w:space="0" w:color="auto"/>
                        <w:bottom w:val="none" w:sz="0" w:space="0" w:color="auto"/>
                        <w:right w:val="none" w:sz="0" w:space="0" w:color="auto"/>
                      </w:divBdr>
                    </w:div>
                  </w:divsChild>
                </w:div>
                <w:div w:id="1076438552">
                  <w:marLeft w:val="0"/>
                  <w:marRight w:val="0"/>
                  <w:marTop w:val="0"/>
                  <w:marBottom w:val="0"/>
                  <w:divBdr>
                    <w:top w:val="none" w:sz="0" w:space="0" w:color="auto"/>
                    <w:left w:val="none" w:sz="0" w:space="0" w:color="auto"/>
                    <w:bottom w:val="none" w:sz="0" w:space="0" w:color="auto"/>
                    <w:right w:val="none" w:sz="0" w:space="0" w:color="auto"/>
                  </w:divBdr>
                  <w:divsChild>
                    <w:div w:id="1099256899">
                      <w:marLeft w:val="0"/>
                      <w:marRight w:val="0"/>
                      <w:marTop w:val="0"/>
                      <w:marBottom w:val="0"/>
                      <w:divBdr>
                        <w:top w:val="none" w:sz="0" w:space="0" w:color="auto"/>
                        <w:left w:val="none" w:sz="0" w:space="0" w:color="auto"/>
                        <w:bottom w:val="none" w:sz="0" w:space="0" w:color="auto"/>
                        <w:right w:val="none" w:sz="0" w:space="0" w:color="auto"/>
                      </w:divBdr>
                    </w:div>
                  </w:divsChild>
                </w:div>
                <w:div w:id="1076711558">
                  <w:marLeft w:val="0"/>
                  <w:marRight w:val="0"/>
                  <w:marTop w:val="0"/>
                  <w:marBottom w:val="0"/>
                  <w:divBdr>
                    <w:top w:val="none" w:sz="0" w:space="0" w:color="auto"/>
                    <w:left w:val="none" w:sz="0" w:space="0" w:color="auto"/>
                    <w:bottom w:val="none" w:sz="0" w:space="0" w:color="auto"/>
                    <w:right w:val="none" w:sz="0" w:space="0" w:color="auto"/>
                  </w:divBdr>
                  <w:divsChild>
                    <w:div w:id="1984460803">
                      <w:marLeft w:val="0"/>
                      <w:marRight w:val="0"/>
                      <w:marTop w:val="0"/>
                      <w:marBottom w:val="0"/>
                      <w:divBdr>
                        <w:top w:val="none" w:sz="0" w:space="0" w:color="auto"/>
                        <w:left w:val="none" w:sz="0" w:space="0" w:color="auto"/>
                        <w:bottom w:val="none" w:sz="0" w:space="0" w:color="auto"/>
                        <w:right w:val="none" w:sz="0" w:space="0" w:color="auto"/>
                      </w:divBdr>
                    </w:div>
                  </w:divsChild>
                </w:div>
                <w:div w:id="1080757873">
                  <w:marLeft w:val="0"/>
                  <w:marRight w:val="0"/>
                  <w:marTop w:val="0"/>
                  <w:marBottom w:val="0"/>
                  <w:divBdr>
                    <w:top w:val="none" w:sz="0" w:space="0" w:color="auto"/>
                    <w:left w:val="none" w:sz="0" w:space="0" w:color="auto"/>
                    <w:bottom w:val="none" w:sz="0" w:space="0" w:color="auto"/>
                    <w:right w:val="none" w:sz="0" w:space="0" w:color="auto"/>
                  </w:divBdr>
                  <w:divsChild>
                    <w:div w:id="1070541328">
                      <w:marLeft w:val="0"/>
                      <w:marRight w:val="0"/>
                      <w:marTop w:val="0"/>
                      <w:marBottom w:val="0"/>
                      <w:divBdr>
                        <w:top w:val="none" w:sz="0" w:space="0" w:color="auto"/>
                        <w:left w:val="none" w:sz="0" w:space="0" w:color="auto"/>
                        <w:bottom w:val="none" w:sz="0" w:space="0" w:color="auto"/>
                        <w:right w:val="none" w:sz="0" w:space="0" w:color="auto"/>
                      </w:divBdr>
                    </w:div>
                  </w:divsChild>
                </w:div>
                <w:div w:id="1086153897">
                  <w:marLeft w:val="0"/>
                  <w:marRight w:val="0"/>
                  <w:marTop w:val="0"/>
                  <w:marBottom w:val="0"/>
                  <w:divBdr>
                    <w:top w:val="none" w:sz="0" w:space="0" w:color="auto"/>
                    <w:left w:val="none" w:sz="0" w:space="0" w:color="auto"/>
                    <w:bottom w:val="none" w:sz="0" w:space="0" w:color="auto"/>
                    <w:right w:val="none" w:sz="0" w:space="0" w:color="auto"/>
                  </w:divBdr>
                  <w:divsChild>
                    <w:div w:id="1347556268">
                      <w:marLeft w:val="0"/>
                      <w:marRight w:val="0"/>
                      <w:marTop w:val="0"/>
                      <w:marBottom w:val="0"/>
                      <w:divBdr>
                        <w:top w:val="none" w:sz="0" w:space="0" w:color="auto"/>
                        <w:left w:val="none" w:sz="0" w:space="0" w:color="auto"/>
                        <w:bottom w:val="none" w:sz="0" w:space="0" w:color="auto"/>
                        <w:right w:val="none" w:sz="0" w:space="0" w:color="auto"/>
                      </w:divBdr>
                    </w:div>
                  </w:divsChild>
                </w:div>
                <w:div w:id="1090389360">
                  <w:marLeft w:val="0"/>
                  <w:marRight w:val="0"/>
                  <w:marTop w:val="0"/>
                  <w:marBottom w:val="0"/>
                  <w:divBdr>
                    <w:top w:val="none" w:sz="0" w:space="0" w:color="auto"/>
                    <w:left w:val="none" w:sz="0" w:space="0" w:color="auto"/>
                    <w:bottom w:val="none" w:sz="0" w:space="0" w:color="auto"/>
                    <w:right w:val="none" w:sz="0" w:space="0" w:color="auto"/>
                  </w:divBdr>
                  <w:divsChild>
                    <w:div w:id="1769540197">
                      <w:marLeft w:val="0"/>
                      <w:marRight w:val="0"/>
                      <w:marTop w:val="0"/>
                      <w:marBottom w:val="0"/>
                      <w:divBdr>
                        <w:top w:val="none" w:sz="0" w:space="0" w:color="auto"/>
                        <w:left w:val="none" w:sz="0" w:space="0" w:color="auto"/>
                        <w:bottom w:val="none" w:sz="0" w:space="0" w:color="auto"/>
                        <w:right w:val="none" w:sz="0" w:space="0" w:color="auto"/>
                      </w:divBdr>
                    </w:div>
                  </w:divsChild>
                </w:div>
                <w:div w:id="1102189794">
                  <w:marLeft w:val="0"/>
                  <w:marRight w:val="0"/>
                  <w:marTop w:val="0"/>
                  <w:marBottom w:val="0"/>
                  <w:divBdr>
                    <w:top w:val="none" w:sz="0" w:space="0" w:color="auto"/>
                    <w:left w:val="none" w:sz="0" w:space="0" w:color="auto"/>
                    <w:bottom w:val="none" w:sz="0" w:space="0" w:color="auto"/>
                    <w:right w:val="none" w:sz="0" w:space="0" w:color="auto"/>
                  </w:divBdr>
                  <w:divsChild>
                    <w:div w:id="1146046517">
                      <w:marLeft w:val="0"/>
                      <w:marRight w:val="0"/>
                      <w:marTop w:val="0"/>
                      <w:marBottom w:val="0"/>
                      <w:divBdr>
                        <w:top w:val="none" w:sz="0" w:space="0" w:color="auto"/>
                        <w:left w:val="none" w:sz="0" w:space="0" w:color="auto"/>
                        <w:bottom w:val="none" w:sz="0" w:space="0" w:color="auto"/>
                        <w:right w:val="none" w:sz="0" w:space="0" w:color="auto"/>
                      </w:divBdr>
                    </w:div>
                  </w:divsChild>
                </w:div>
                <w:div w:id="1102535984">
                  <w:marLeft w:val="0"/>
                  <w:marRight w:val="0"/>
                  <w:marTop w:val="0"/>
                  <w:marBottom w:val="0"/>
                  <w:divBdr>
                    <w:top w:val="none" w:sz="0" w:space="0" w:color="auto"/>
                    <w:left w:val="none" w:sz="0" w:space="0" w:color="auto"/>
                    <w:bottom w:val="none" w:sz="0" w:space="0" w:color="auto"/>
                    <w:right w:val="none" w:sz="0" w:space="0" w:color="auto"/>
                  </w:divBdr>
                  <w:divsChild>
                    <w:div w:id="1352532910">
                      <w:marLeft w:val="0"/>
                      <w:marRight w:val="0"/>
                      <w:marTop w:val="0"/>
                      <w:marBottom w:val="0"/>
                      <w:divBdr>
                        <w:top w:val="none" w:sz="0" w:space="0" w:color="auto"/>
                        <w:left w:val="none" w:sz="0" w:space="0" w:color="auto"/>
                        <w:bottom w:val="none" w:sz="0" w:space="0" w:color="auto"/>
                        <w:right w:val="none" w:sz="0" w:space="0" w:color="auto"/>
                      </w:divBdr>
                    </w:div>
                  </w:divsChild>
                </w:div>
                <w:div w:id="1136409976">
                  <w:marLeft w:val="0"/>
                  <w:marRight w:val="0"/>
                  <w:marTop w:val="0"/>
                  <w:marBottom w:val="0"/>
                  <w:divBdr>
                    <w:top w:val="none" w:sz="0" w:space="0" w:color="auto"/>
                    <w:left w:val="none" w:sz="0" w:space="0" w:color="auto"/>
                    <w:bottom w:val="none" w:sz="0" w:space="0" w:color="auto"/>
                    <w:right w:val="none" w:sz="0" w:space="0" w:color="auto"/>
                  </w:divBdr>
                  <w:divsChild>
                    <w:div w:id="451244412">
                      <w:marLeft w:val="0"/>
                      <w:marRight w:val="0"/>
                      <w:marTop w:val="0"/>
                      <w:marBottom w:val="0"/>
                      <w:divBdr>
                        <w:top w:val="none" w:sz="0" w:space="0" w:color="auto"/>
                        <w:left w:val="none" w:sz="0" w:space="0" w:color="auto"/>
                        <w:bottom w:val="none" w:sz="0" w:space="0" w:color="auto"/>
                        <w:right w:val="none" w:sz="0" w:space="0" w:color="auto"/>
                      </w:divBdr>
                    </w:div>
                  </w:divsChild>
                </w:div>
                <w:div w:id="1141726961">
                  <w:marLeft w:val="0"/>
                  <w:marRight w:val="0"/>
                  <w:marTop w:val="0"/>
                  <w:marBottom w:val="0"/>
                  <w:divBdr>
                    <w:top w:val="none" w:sz="0" w:space="0" w:color="auto"/>
                    <w:left w:val="none" w:sz="0" w:space="0" w:color="auto"/>
                    <w:bottom w:val="none" w:sz="0" w:space="0" w:color="auto"/>
                    <w:right w:val="none" w:sz="0" w:space="0" w:color="auto"/>
                  </w:divBdr>
                  <w:divsChild>
                    <w:div w:id="944266889">
                      <w:marLeft w:val="0"/>
                      <w:marRight w:val="0"/>
                      <w:marTop w:val="0"/>
                      <w:marBottom w:val="0"/>
                      <w:divBdr>
                        <w:top w:val="none" w:sz="0" w:space="0" w:color="auto"/>
                        <w:left w:val="none" w:sz="0" w:space="0" w:color="auto"/>
                        <w:bottom w:val="none" w:sz="0" w:space="0" w:color="auto"/>
                        <w:right w:val="none" w:sz="0" w:space="0" w:color="auto"/>
                      </w:divBdr>
                    </w:div>
                  </w:divsChild>
                </w:div>
                <w:div w:id="1144470538">
                  <w:marLeft w:val="0"/>
                  <w:marRight w:val="0"/>
                  <w:marTop w:val="0"/>
                  <w:marBottom w:val="0"/>
                  <w:divBdr>
                    <w:top w:val="none" w:sz="0" w:space="0" w:color="auto"/>
                    <w:left w:val="none" w:sz="0" w:space="0" w:color="auto"/>
                    <w:bottom w:val="none" w:sz="0" w:space="0" w:color="auto"/>
                    <w:right w:val="none" w:sz="0" w:space="0" w:color="auto"/>
                  </w:divBdr>
                  <w:divsChild>
                    <w:div w:id="1542203813">
                      <w:marLeft w:val="0"/>
                      <w:marRight w:val="0"/>
                      <w:marTop w:val="0"/>
                      <w:marBottom w:val="0"/>
                      <w:divBdr>
                        <w:top w:val="none" w:sz="0" w:space="0" w:color="auto"/>
                        <w:left w:val="none" w:sz="0" w:space="0" w:color="auto"/>
                        <w:bottom w:val="none" w:sz="0" w:space="0" w:color="auto"/>
                        <w:right w:val="none" w:sz="0" w:space="0" w:color="auto"/>
                      </w:divBdr>
                    </w:div>
                  </w:divsChild>
                </w:div>
                <w:div w:id="1150485420">
                  <w:marLeft w:val="0"/>
                  <w:marRight w:val="0"/>
                  <w:marTop w:val="0"/>
                  <w:marBottom w:val="0"/>
                  <w:divBdr>
                    <w:top w:val="none" w:sz="0" w:space="0" w:color="auto"/>
                    <w:left w:val="none" w:sz="0" w:space="0" w:color="auto"/>
                    <w:bottom w:val="none" w:sz="0" w:space="0" w:color="auto"/>
                    <w:right w:val="none" w:sz="0" w:space="0" w:color="auto"/>
                  </w:divBdr>
                  <w:divsChild>
                    <w:div w:id="1232697888">
                      <w:marLeft w:val="0"/>
                      <w:marRight w:val="0"/>
                      <w:marTop w:val="0"/>
                      <w:marBottom w:val="0"/>
                      <w:divBdr>
                        <w:top w:val="none" w:sz="0" w:space="0" w:color="auto"/>
                        <w:left w:val="none" w:sz="0" w:space="0" w:color="auto"/>
                        <w:bottom w:val="none" w:sz="0" w:space="0" w:color="auto"/>
                        <w:right w:val="none" w:sz="0" w:space="0" w:color="auto"/>
                      </w:divBdr>
                    </w:div>
                  </w:divsChild>
                </w:div>
                <w:div w:id="1151677285">
                  <w:marLeft w:val="0"/>
                  <w:marRight w:val="0"/>
                  <w:marTop w:val="0"/>
                  <w:marBottom w:val="0"/>
                  <w:divBdr>
                    <w:top w:val="none" w:sz="0" w:space="0" w:color="auto"/>
                    <w:left w:val="none" w:sz="0" w:space="0" w:color="auto"/>
                    <w:bottom w:val="none" w:sz="0" w:space="0" w:color="auto"/>
                    <w:right w:val="none" w:sz="0" w:space="0" w:color="auto"/>
                  </w:divBdr>
                  <w:divsChild>
                    <w:div w:id="939534764">
                      <w:marLeft w:val="0"/>
                      <w:marRight w:val="0"/>
                      <w:marTop w:val="0"/>
                      <w:marBottom w:val="0"/>
                      <w:divBdr>
                        <w:top w:val="none" w:sz="0" w:space="0" w:color="auto"/>
                        <w:left w:val="none" w:sz="0" w:space="0" w:color="auto"/>
                        <w:bottom w:val="none" w:sz="0" w:space="0" w:color="auto"/>
                        <w:right w:val="none" w:sz="0" w:space="0" w:color="auto"/>
                      </w:divBdr>
                    </w:div>
                  </w:divsChild>
                </w:div>
                <w:div w:id="1161695606">
                  <w:marLeft w:val="0"/>
                  <w:marRight w:val="0"/>
                  <w:marTop w:val="0"/>
                  <w:marBottom w:val="0"/>
                  <w:divBdr>
                    <w:top w:val="none" w:sz="0" w:space="0" w:color="auto"/>
                    <w:left w:val="none" w:sz="0" w:space="0" w:color="auto"/>
                    <w:bottom w:val="none" w:sz="0" w:space="0" w:color="auto"/>
                    <w:right w:val="none" w:sz="0" w:space="0" w:color="auto"/>
                  </w:divBdr>
                  <w:divsChild>
                    <w:div w:id="413819736">
                      <w:marLeft w:val="0"/>
                      <w:marRight w:val="0"/>
                      <w:marTop w:val="0"/>
                      <w:marBottom w:val="0"/>
                      <w:divBdr>
                        <w:top w:val="none" w:sz="0" w:space="0" w:color="auto"/>
                        <w:left w:val="none" w:sz="0" w:space="0" w:color="auto"/>
                        <w:bottom w:val="none" w:sz="0" w:space="0" w:color="auto"/>
                        <w:right w:val="none" w:sz="0" w:space="0" w:color="auto"/>
                      </w:divBdr>
                    </w:div>
                  </w:divsChild>
                </w:div>
                <w:div w:id="1167787529">
                  <w:marLeft w:val="0"/>
                  <w:marRight w:val="0"/>
                  <w:marTop w:val="0"/>
                  <w:marBottom w:val="0"/>
                  <w:divBdr>
                    <w:top w:val="none" w:sz="0" w:space="0" w:color="auto"/>
                    <w:left w:val="none" w:sz="0" w:space="0" w:color="auto"/>
                    <w:bottom w:val="none" w:sz="0" w:space="0" w:color="auto"/>
                    <w:right w:val="none" w:sz="0" w:space="0" w:color="auto"/>
                  </w:divBdr>
                  <w:divsChild>
                    <w:div w:id="1269388109">
                      <w:marLeft w:val="0"/>
                      <w:marRight w:val="0"/>
                      <w:marTop w:val="0"/>
                      <w:marBottom w:val="0"/>
                      <w:divBdr>
                        <w:top w:val="none" w:sz="0" w:space="0" w:color="auto"/>
                        <w:left w:val="none" w:sz="0" w:space="0" w:color="auto"/>
                        <w:bottom w:val="none" w:sz="0" w:space="0" w:color="auto"/>
                        <w:right w:val="none" w:sz="0" w:space="0" w:color="auto"/>
                      </w:divBdr>
                    </w:div>
                  </w:divsChild>
                </w:div>
                <w:div w:id="1171942805">
                  <w:marLeft w:val="0"/>
                  <w:marRight w:val="0"/>
                  <w:marTop w:val="0"/>
                  <w:marBottom w:val="0"/>
                  <w:divBdr>
                    <w:top w:val="none" w:sz="0" w:space="0" w:color="auto"/>
                    <w:left w:val="none" w:sz="0" w:space="0" w:color="auto"/>
                    <w:bottom w:val="none" w:sz="0" w:space="0" w:color="auto"/>
                    <w:right w:val="none" w:sz="0" w:space="0" w:color="auto"/>
                  </w:divBdr>
                  <w:divsChild>
                    <w:div w:id="1927689315">
                      <w:marLeft w:val="0"/>
                      <w:marRight w:val="0"/>
                      <w:marTop w:val="0"/>
                      <w:marBottom w:val="0"/>
                      <w:divBdr>
                        <w:top w:val="none" w:sz="0" w:space="0" w:color="auto"/>
                        <w:left w:val="none" w:sz="0" w:space="0" w:color="auto"/>
                        <w:bottom w:val="none" w:sz="0" w:space="0" w:color="auto"/>
                        <w:right w:val="none" w:sz="0" w:space="0" w:color="auto"/>
                      </w:divBdr>
                    </w:div>
                  </w:divsChild>
                </w:div>
                <w:div w:id="1174495031">
                  <w:marLeft w:val="0"/>
                  <w:marRight w:val="0"/>
                  <w:marTop w:val="0"/>
                  <w:marBottom w:val="0"/>
                  <w:divBdr>
                    <w:top w:val="none" w:sz="0" w:space="0" w:color="auto"/>
                    <w:left w:val="none" w:sz="0" w:space="0" w:color="auto"/>
                    <w:bottom w:val="none" w:sz="0" w:space="0" w:color="auto"/>
                    <w:right w:val="none" w:sz="0" w:space="0" w:color="auto"/>
                  </w:divBdr>
                  <w:divsChild>
                    <w:div w:id="215552673">
                      <w:marLeft w:val="0"/>
                      <w:marRight w:val="0"/>
                      <w:marTop w:val="0"/>
                      <w:marBottom w:val="0"/>
                      <w:divBdr>
                        <w:top w:val="none" w:sz="0" w:space="0" w:color="auto"/>
                        <w:left w:val="none" w:sz="0" w:space="0" w:color="auto"/>
                        <w:bottom w:val="none" w:sz="0" w:space="0" w:color="auto"/>
                        <w:right w:val="none" w:sz="0" w:space="0" w:color="auto"/>
                      </w:divBdr>
                    </w:div>
                  </w:divsChild>
                </w:div>
                <w:div w:id="1186284521">
                  <w:marLeft w:val="0"/>
                  <w:marRight w:val="0"/>
                  <w:marTop w:val="0"/>
                  <w:marBottom w:val="0"/>
                  <w:divBdr>
                    <w:top w:val="none" w:sz="0" w:space="0" w:color="auto"/>
                    <w:left w:val="none" w:sz="0" w:space="0" w:color="auto"/>
                    <w:bottom w:val="none" w:sz="0" w:space="0" w:color="auto"/>
                    <w:right w:val="none" w:sz="0" w:space="0" w:color="auto"/>
                  </w:divBdr>
                  <w:divsChild>
                    <w:div w:id="552540197">
                      <w:marLeft w:val="0"/>
                      <w:marRight w:val="0"/>
                      <w:marTop w:val="0"/>
                      <w:marBottom w:val="0"/>
                      <w:divBdr>
                        <w:top w:val="none" w:sz="0" w:space="0" w:color="auto"/>
                        <w:left w:val="none" w:sz="0" w:space="0" w:color="auto"/>
                        <w:bottom w:val="none" w:sz="0" w:space="0" w:color="auto"/>
                        <w:right w:val="none" w:sz="0" w:space="0" w:color="auto"/>
                      </w:divBdr>
                    </w:div>
                  </w:divsChild>
                </w:div>
                <w:div w:id="1225066643">
                  <w:marLeft w:val="0"/>
                  <w:marRight w:val="0"/>
                  <w:marTop w:val="0"/>
                  <w:marBottom w:val="0"/>
                  <w:divBdr>
                    <w:top w:val="none" w:sz="0" w:space="0" w:color="auto"/>
                    <w:left w:val="none" w:sz="0" w:space="0" w:color="auto"/>
                    <w:bottom w:val="none" w:sz="0" w:space="0" w:color="auto"/>
                    <w:right w:val="none" w:sz="0" w:space="0" w:color="auto"/>
                  </w:divBdr>
                  <w:divsChild>
                    <w:div w:id="1849900332">
                      <w:marLeft w:val="0"/>
                      <w:marRight w:val="0"/>
                      <w:marTop w:val="0"/>
                      <w:marBottom w:val="0"/>
                      <w:divBdr>
                        <w:top w:val="none" w:sz="0" w:space="0" w:color="auto"/>
                        <w:left w:val="none" w:sz="0" w:space="0" w:color="auto"/>
                        <w:bottom w:val="none" w:sz="0" w:space="0" w:color="auto"/>
                        <w:right w:val="none" w:sz="0" w:space="0" w:color="auto"/>
                      </w:divBdr>
                    </w:div>
                  </w:divsChild>
                </w:div>
                <w:div w:id="1234201589">
                  <w:marLeft w:val="0"/>
                  <w:marRight w:val="0"/>
                  <w:marTop w:val="0"/>
                  <w:marBottom w:val="0"/>
                  <w:divBdr>
                    <w:top w:val="none" w:sz="0" w:space="0" w:color="auto"/>
                    <w:left w:val="none" w:sz="0" w:space="0" w:color="auto"/>
                    <w:bottom w:val="none" w:sz="0" w:space="0" w:color="auto"/>
                    <w:right w:val="none" w:sz="0" w:space="0" w:color="auto"/>
                  </w:divBdr>
                  <w:divsChild>
                    <w:div w:id="20978675">
                      <w:marLeft w:val="0"/>
                      <w:marRight w:val="0"/>
                      <w:marTop w:val="0"/>
                      <w:marBottom w:val="0"/>
                      <w:divBdr>
                        <w:top w:val="none" w:sz="0" w:space="0" w:color="auto"/>
                        <w:left w:val="none" w:sz="0" w:space="0" w:color="auto"/>
                        <w:bottom w:val="none" w:sz="0" w:space="0" w:color="auto"/>
                        <w:right w:val="none" w:sz="0" w:space="0" w:color="auto"/>
                      </w:divBdr>
                    </w:div>
                  </w:divsChild>
                </w:div>
                <w:div w:id="1259485036">
                  <w:marLeft w:val="0"/>
                  <w:marRight w:val="0"/>
                  <w:marTop w:val="0"/>
                  <w:marBottom w:val="0"/>
                  <w:divBdr>
                    <w:top w:val="none" w:sz="0" w:space="0" w:color="auto"/>
                    <w:left w:val="none" w:sz="0" w:space="0" w:color="auto"/>
                    <w:bottom w:val="none" w:sz="0" w:space="0" w:color="auto"/>
                    <w:right w:val="none" w:sz="0" w:space="0" w:color="auto"/>
                  </w:divBdr>
                  <w:divsChild>
                    <w:div w:id="1370570682">
                      <w:marLeft w:val="0"/>
                      <w:marRight w:val="0"/>
                      <w:marTop w:val="0"/>
                      <w:marBottom w:val="0"/>
                      <w:divBdr>
                        <w:top w:val="none" w:sz="0" w:space="0" w:color="auto"/>
                        <w:left w:val="none" w:sz="0" w:space="0" w:color="auto"/>
                        <w:bottom w:val="none" w:sz="0" w:space="0" w:color="auto"/>
                        <w:right w:val="none" w:sz="0" w:space="0" w:color="auto"/>
                      </w:divBdr>
                    </w:div>
                  </w:divsChild>
                </w:div>
                <w:div w:id="1267543305">
                  <w:marLeft w:val="0"/>
                  <w:marRight w:val="0"/>
                  <w:marTop w:val="0"/>
                  <w:marBottom w:val="0"/>
                  <w:divBdr>
                    <w:top w:val="none" w:sz="0" w:space="0" w:color="auto"/>
                    <w:left w:val="none" w:sz="0" w:space="0" w:color="auto"/>
                    <w:bottom w:val="none" w:sz="0" w:space="0" w:color="auto"/>
                    <w:right w:val="none" w:sz="0" w:space="0" w:color="auto"/>
                  </w:divBdr>
                  <w:divsChild>
                    <w:div w:id="2109079674">
                      <w:marLeft w:val="0"/>
                      <w:marRight w:val="0"/>
                      <w:marTop w:val="0"/>
                      <w:marBottom w:val="0"/>
                      <w:divBdr>
                        <w:top w:val="none" w:sz="0" w:space="0" w:color="auto"/>
                        <w:left w:val="none" w:sz="0" w:space="0" w:color="auto"/>
                        <w:bottom w:val="none" w:sz="0" w:space="0" w:color="auto"/>
                        <w:right w:val="none" w:sz="0" w:space="0" w:color="auto"/>
                      </w:divBdr>
                    </w:div>
                  </w:divsChild>
                </w:div>
                <w:div w:id="1274484603">
                  <w:marLeft w:val="0"/>
                  <w:marRight w:val="0"/>
                  <w:marTop w:val="0"/>
                  <w:marBottom w:val="0"/>
                  <w:divBdr>
                    <w:top w:val="none" w:sz="0" w:space="0" w:color="auto"/>
                    <w:left w:val="none" w:sz="0" w:space="0" w:color="auto"/>
                    <w:bottom w:val="none" w:sz="0" w:space="0" w:color="auto"/>
                    <w:right w:val="none" w:sz="0" w:space="0" w:color="auto"/>
                  </w:divBdr>
                  <w:divsChild>
                    <w:div w:id="1230964695">
                      <w:marLeft w:val="0"/>
                      <w:marRight w:val="0"/>
                      <w:marTop w:val="0"/>
                      <w:marBottom w:val="0"/>
                      <w:divBdr>
                        <w:top w:val="none" w:sz="0" w:space="0" w:color="auto"/>
                        <w:left w:val="none" w:sz="0" w:space="0" w:color="auto"/>
                        <w:bottom w:val="none" w:sz="0" w:space="0" w:color="auto"/>
                        <w:right w:val="none" w:sz="0" w:space="0" w:color="auto"/>
                      </w:divBdr>
                    </w:div>
                  </w:divsChild>
                </w:div>
                <w:div w:id="1274824317">
                  <w:marLeft w:val="0"/>
                  <w:marRight w:val="0"/>
                  <w:marTop w:val="0"/>
                  <w:marBottom w:val="0"/>
                  <w:divBdr>
                    <w:top w:val="none" w:sz="0" w:space="0" w:color="auto"/>
                    <w:left w:val="none" w:sz="0" w:space="0" w:color="auto"/>
                    <w:bottom w:val="none" w:sz="0" w:space="0" w:color="auto"/>
                    <w:right w:val="none" w:sz="0" w:space="0" w:color="auto"/>
                  </w:divBdr>
                  <w:divsChild>
                    <w:div w:id="988284860">
                      <w:marLeft w:val="0"/>
                      <w:marRight w:val="0"/>
                      <w:marTop w:val="0"/>
                      <w:marBottom w:val="0"/>
                      <w:divBdr>
                        <w:top w:val="none" w:sz="0" w:space="0" w:color="auto"/>
                        <w:left w:val="none" w:sz="0" w:space="0" w:color="auto"/>
                        <w:bottom w:val="none" w:sz="0" w:space="0" w:color="auto"/>
                        <w:right w:val="none" w:sz="0" w:space="0" w:color="auto"/>
                      </w:divBdr>
                    </w:div>
                  </w:divsChild>
                </w:div>
                <w:div w:id="1300039261">
                  <w:marLeft w:val="0"/>
                  <w:marRight w:val="0"/>
                  <w:marTop w:val="0"/>
                  <w:marBottom w:val="0"/>
                  <w:divBdr>
                    <w:top w:val="none" w:sz="0" w:space="0" w:color="auto"/>
                    <w:left w:val="none" w:sz="0" w:space="0" w:color="auto"/>
                    <w:bottom w:val="none" w:sz="0" w:space="0" w:color="auto"/>
                    <w:right w:val="none" w:sz="0" w:space="0" w:color="auto"/>
                  </w:divBdr>
                  <w:divsChild>
                    <w:div w:id="360595289">
                      <w:marLeft w:val="0"/>
                      <w:marRight w:val="0"/>
                      <w:marTop w:val="0"/>
                      <w:marBottom w:val="0"/>
                      <w:divBdr>
                        <w:top w:val="none" w:sz="0" w:space="0" w:color="auto"/>
                        <w:left w:val="none" w:sz="0" w:space="0" w:color="auto"/>
                        <w:bottom w:val="none" w:sz="0" w:space="0" w:color="auto"/>
                        <w:right w:val="none" w:sz="0" w:space="0" w:color="auto"/>
                      </w:divBdr>
                    </w:div>
                  </w:divsChild>
                </w:div>
                <w:div w:id="1346977105">
                  <w:marLeft w:val="0"/>
                  <w:marRight w:val="0"/>
                  <w:marTop w:val="0"/>
                  <w:marBottom w:val="0"/>
                  <w:divBdr>
                    <w:top w:val="none" w:sz="0" w:space="0" w:color="auto"/>
                    <w:left w:val="none" w:sz="0" w:space="0" w:color="auto"/>
                    <w:bottom w:val="none" w:sz="0" w:space="0" w:color="auto"/>
                    <w:right w:val="none" w:sz="0" w:space="0" w:color="auto"/>
                  </w:divBdr>
                  <w:divsChild>
                    <w:div w:id="123542509">
                      <w:marLeft w:val="0"/>
                      <w:marRight w:val="0"/>
                      <w:marTop w:val="0"/>
                      <w:marBottom w:val="0"/>
                      <w:divBdr>
                        <w:top w:val="none" w:sz="0" w:space="0" w:color="auto"/>
                        <w:left w:val="none" w:sz="0" w:space="0" w:color="auto"/>
                        <w:bottom w:val="none" w:sz="0" w:space="0" w:color="auto"/>
                        <w:right w:val="none" w:sz="0" w:space="0" w:color="auto"/>
                      </w:divBdr>
                    </w:div>
                  </w:divsChild>
                </w:div>
                <w:div w:id="1349259930">
                  <w:marLeft w:val="0"/>
                  <w:marRight w:val="0"/>
                  <w:marTop w:val="0"/>
                  <w:marBottom w:val="0"/>
                  <w:divBdr>
                    <w:top w:val="none" w:sz="0" w:space="0" w:color="auto"/>
                    <w:left w:val="none" w:sz="0" w:space="0" w:color="auto"/>
                    <w:bottom w:val="none" w:sz="0" w:space="0" w:color="auto"/>
                    <w:right w:val="none" w:sz="0" w:space="0" w:color="auto"/>
                  </w:divBdr>
                  <w:divsChild>
                    <w:div w:id="400102363">
                      <w:marLeft w:val="0"/>
                      <w:marRight w:val="0"/>
                      <w:marTop w:val="0"/>
                      <w:marBottom w:val="0"/>
                      <w:divBdr>
                        <w:top w:val="none" w:sz="0" w:space="0" w:color="auto"/>
                        <w:left w:val="none" w:sz="0" w:space="0" w:color="auto"/>
                        <w:bottom w:val="none" w:sz="0" w:space="0" w:color="auto"/>
                        <w:right w:val="none" w:sz="0" w:space="0" w:color="auto"/>
                      </w:divBdr>
                    </w:div>
                    <w:div w:id="1545436256">
                      <w:marLeft w:val="0"/>
                      <w:marRight w:val="0"/>
                      <w:marTop w:val="0"/>
                      <w:marBottom w:val="0"/>
                      <w:divBdr>
                        <w:top w:val="none" w:sz="0" w:space="0" w:color="auto"/>
                        <w:left w:val="none" w:sz="0" w:space="0" w:color="auto"/>
                        <w:bottom w:val="none" w:sz="0" w:space="0" w:color="auto"/>
                        <w:right w:val="none" w:sz="0" w:space="0" w:color="auto"/>
                      </w:divBdr>
                    </w:div>
                  </w:divsChild>
                </w:div>
                <w:div w:id="1359896424">
                  <w:marLeft w:val="0"/>
                  <w:marRight w:val="0"/>
                  <w:marTop w:val="0"/>
                  <w:marBottom w:val="0"/>
                  <w:divBdr>
                    <w:top w:val="none" w:sz="0" w:space="0" w:color="auto"/>
                    <w:left w:val="none" w:sz="0" w:space="0" w:color="auto"/>
                    <w:bottom w:val="none" w:sz="0" w:space="0" w:color="auto"/>
                    <w:right w:val="none" w:sz="0" w:space="0" w:color="auto"/>
                  </w:divBdr>
                  <w:divsChild>
                    <w:div w:id="1877965484">
                      <w:marLeft w:val="0"/>
                      <w:marRight w:val="0"/>
                      <w:marTop w:val="0"/>
                      <w:marBottom w:val="0"/>
                      <w:divBdr>
                        <w:top w:val="none" w:sz="0" w:space="0" w:color="auto"/>
                        <w:left w:val="none" w:sz="0" w:space="0" w:color="auto"/>
                        <w:bottom w:val="none" w:sz="0" w:space="0" w:color="auto"/>
                        <w:right w:val="none" w:sz="0" w:space="0" w:color="auto"/>
                      </w:divBdr>
                    </w:div>
                  </w:divsChild>
                </w:div>
                <w:div w:id="1371372667">
                  <w:marLeft w:val="0"/>
                  <w:marRight w:val="0"/>
                  <w:marTop w:val="0"/>
                  <w:marBottom w:val="0"/>
                  <w:divBdr>
                    <w:top w:val="none" w:sz="0" w:space="0" w:color="auto"/>
                    <w:left w:val="none" w:sz="0" w:space="0" w:color="auto"/>
                    <w:bottom w:val="none" w:sz="0" w:space="0" w:color="auto"/>
                    <w:right w:val="none" w:sz="0" w:space="0" w:color="auto"/>
                  </w:divBdr>
                  <w:divsChild>
                    <w:div w:id="1560020294">
                      <w:marLeft w:val="0"/>
                      <w:marRight w:val="0"/>
                      <w:marTop w:val="0"/>
                      <w:marBottom w:val="0"/>
                      <w:divBdr>
                        <w:top w:val="none" w:sz="0" w:space="0" w:color="auto"/>
                        <w:left w:val="none" w:sz="0" w:space="0" w:color="auto"/>
                        <w:bottom w:val="none" w:sz="0" w:space="0" w:color="auto"/>
                        <w:right w:val="none" w:sz="0" w:space="0" w:color="auto"/>
                      </w:divBdr>
                    </w:div>
                  </w:divsChild>
                </w:div>
                <w:div w:id="1398936913">
                  <w:marLeft w:val="0"/>
                  <w:marRight w:val="0"/>
                  <w:marTop w:val="0"/>
                  <w:marBottom w:val="0"/>
                  <w:divBdr>
                    <w:top w:val="none" w:sz="0" w:space="0" w:color="auto"/>
                    <w:left w:val="none" w:sz="0" w:space="0" w:color="auto"/>
                    <w:bottom w:val="none" w:sz="0" w:space="0" w:color="auto"/>
                    <w:right w:val="none" w:sz="0" w:space="0" w:color="auto"/>
                  </w:divBdr>
                  <w:divsChild>
                    <w:div w:id="811677245">
                      <w:marLeft w:val="0"/>
                      <w:marRight w:val="0"/>
                      <w:marTop w:val="0"/>
                      <w:marBottom w:val="0"/>
                      <w:divBdr>
                        <w:top w:val="none" w:sz="0" w:space="0" w:color="auto"/>
                        <w:left w:val="none" w:sz="0" w:space="0" w:color="auto"/>
                        <w:bottom w:val="none" w:sz="0" w:space="0" w:color="auto"/>
                        <w:right w:val="none" w:sz="0" w:space="0" w:color="auto"/>
                      </w:divBdr>
                    </w:div>
                  </w:divsChild>
                </w:div>
                <w:div w:id="1415473539">
                  <w:marLeft w:val="0"/>
                  <w:marRight w:val="0"/>
                  <w:marTop w:val="0"/>
                  <w:marBottom w:val="0"/>
                  <w:divBdr>
                    <w:top w:val="none" w:sz="0" w:space="0" w:color="auto"/>
                    <w:left w:val="none" w:sz="0" w:space="0" w:color="auto"/>
                    <w:bottom w:val="none" w:sz="0" w:space="0" w:color="auto"/>
                    <w:right w:val="none" w:sz="0" w:space="0" w:color="auto"/>
                  </w:divBdr>
                  <w:divsChild>
                    <w:div w:id="101649244">
                      <w:marLeft w:val="0"/>
                      <w:marRight w:val="0"/>
                      <w:marTop w:val="0"/>
                      <w:marBottom w:val="0"/>
                      <w:divBdr>
                        <w:top w:val="none" w:sz="0" w:space="0" w:color="auto"/>
                        <w:left w:val="none" w:sz="0" w:space="0" w:color="auto"/>
                        <w:bottom w:val="none" w:sz="0" w:space="0" w:color="auto"/>
                        <w:right w:val="none" w:sz="0" w:space="0" w:color="auto"/>
                      </w:divBdr>
                    </w:div>
                  </w:divsChild>
                </w:div>
                <w:div w:id="1424568815">
                  <w:marLeft w:val="0"/>
                  <w:marRight w:val="0"/>
                  <w:marTop w:val="0"/>
                  <w:marBottom w:val="0"/>
                  <w:divBdr>
                    <w:top w:val="none" w:sz="0" w:space="0" w:color="auto"/>
                    <w:left w:val="none" w:sz="0" w:space="0" w:color="auto"/>
                    <w:bottom w:val="none" w:sz="0" w:space="0" w:color="auto"/>
                    <w:right w:val="none" w:sz="0" w:space="0" w:color="auto"/>
                  </w:divBdr>
                  <w:divsChild>
                    <w:div w:id="1618413063">
                      <w:marLeft w:val="0"/>
                      <w:marRight w:val="0"/>
                      <w:marTop w:val="0"/>
                      <w:marBottom w:val="0"/>
                      <w:divBdr>
                        <w:top w:val="none" w:sz="0" w:space="0" w:color="auto"/>
                        <w:left w:val="none" w:sz="0" w:space="0" w:color="auto"/>
                        <w:bottom w:val="none" w:sz="0" w:space="0" w:color="auto"/>
                        <w:right w:val="none" w:sz="0" w:space="0" w:color="auto"/>
                      </w:divBdr>
                    </w:div>
                  </w:divsChild>
                </w:div>
                <w:div w:id="1428573635">
                  <w:marLeft w:val="0"/>
                  <w:marRight w:val="0"/>
                  <w:marTop w:val="0"/>
                  <w:marBottom w:val="0"/>
                  <w:divBdr>
                    <w:top w:val="none" w:sz="0" w:space="0" w:color="auto"/>
                    <w:left w:val="none" w:sz="0" w:space="0" w:color="auto"/>
                    <w:bottom w:val="none" w:sz="0" w:space="0" w:color="auto"/>
                    <w:right w:val="none" w:sz="0" w:space="0" w:color="auto"/>
                  </w:divBdr>
                  <w:divsChild>
                    <w:div w:id="1021123224">
                      <w:marLeft w:val="0"/>
                      <w:marRight w:val="0"/>
                      <w:marTop w:val="0"/>
                      <w:marBottom w:val="0"/>
                      <w:divBdr>
                        <w:top w:val="none" w:sz="0" w:space="0" w:color="auto"/>
                        <w:left w:val="none" w:sz="0" w:space="0" w:color="auto"/>
                        <w:bottom w:val="none" w:sz="0" w:space="0" w:color="auto"/>
                        <w:right w:val="none" w:sz="0" w:space="0" w:color="auto"/>
                      </w:divBdr>
                    </w:div>
                  </w:divsChild>
                </w:div>
                <w:div w:id="1428619774">
                  <w:marLeft w:val="0"/>
                  <w:marRight w:val="0"/>
                  <w:marTop w:val="0"/>
                  <w:marBottom w:val="0"/>
                  <w:divBdr>
                    <w:top w:val="none" w:sz="0" w:space="0" w:color="auto"/>
                    <w:left w:val="none" w:sz="0" w:space="0" w:color="auto"/>
                    <w:bottom w:val="none" w:sz="0" w:space="0" w:color="auto"/>
                    <w:right w:val="none" w:sz="0" w:space="0" w:color="auto"/>
                  </w:divBdr>
                  <w:divsChild>
                    <w:div w:id="277025779">
                      <w:marLeft w:val="0"/>
                      <w:marRight w:val="0"/>
                      <w:marTop w:val="0"/>
                      <w:marBottom w:val="0"/>
                      <w:divBdr>
                        <w:top w:val="none" w:sz="0" w:space="0" w:color="auto"/>
                        <w:left w:val="none" w:sz="0" w:space="0" w:color="auto"/>
                        <w:bottom w:val="none" w:sz="0" w:space="0" w:color="auto"/>
                        <w:right w:val="none" w:sz="0" w:space="0" w:color="auto"/>
                      </w:divBdr>
                    </w:div>
                  </w:divsChild>
                </w:div>
                <w:div w:id="1442341551">
                  <w:marLeft w:val="0"/>
                  <w:marRight w:val="0"/>
                  <w:marTop w:val="0"/>
                  <w:marBottom w:val="0"/>
                  <w:divBdr>
                    <w:top w:val="none" w:sz="0" w:space="0" w:color="auto"/>
                    <w:left w:val="none" w:sz="0" w:space="0" w:color="auto"/>
                    <w:bottom w:val="none" w:sz="0" w:space="0" w:color="auto"/>
                    <w:right w:val="none" w:sz="0" w:space="0" w:color="auto"/>
                  </w:divBdr>
                  <w:divsChild>
                    <w:div w:id="860052785">
                      <w:marLeft w:val="0"/>
                      <w:marRight w:val="0"/>
                      <w:marTop w:val="0"/>
                      <w:marBottom w:val="0"/>
                      <w:divBdr>
                        <w:top w:val="none" w:sz="0" w:space="0" w:color="auto"/>
                        <w:left w:val="none" w:sz="0" w:space="0" w:color="auto"/>
                        <w:bottom w:val="none" w:sz="0" w:space="0" w:color="auto"/>
                        <w:right w:val="none" w:sz="0" w:space="0" w:color="auto"/>
                      </w:divBdr>
                    </w:div>
                  </w:divsChild>
                </w:div>
                <w:div w:id="1448349195">
                  <w:marLeft w:val="0"/>
                  <w:marRight w:val="0"/>
                  <w:marTop w:val="0"/>
                  <w:marBottom w:val="0"/>
                  <w:divBdr>
                    <w:top w:val="none" w:sz="0" w:space="0" w:color="auto"/>
                    <w:left w:val="none" w:sz="0" w:space="0" w:color="auto"/>
                    <w:bottom w:val="none" w:sz="0" w:space="0" w:color="auto"/>
                    <w:right w:val="none" w:sz="0" w:space="0" w:color="auto"/>
                  </w:divBdr>
                  <w:divsChild>
                    <w:div w:id="1908610819">
                      <w:marLeft w:val="0"/>
                      <w:marRight w:val="0"/>
                      <w:marTop w:val="0"/>
                      <w:marBottom w:val="0"/>
                      <w:divBdr>
                        <w:top w:val="none" w:sz="0" w:space="0" w:color="auto"/>
                        <w:left w:val="none" w:sz="0" w:space="0" w:color="auto"/>
                        <w:bottom w:val="none" w:sz="0" w:space="0" w:color="auto"/>
                        <w:right w:val="none" w:sz="0" w:space="0" w:color="auto"/>
                      </w:divBdr>
                    </w:div>
                  </w:divsChild>
                </w:div>
                <w:div w:id="1456365992">
                  <w:marLeft w:val="0"/>
                  <w:marRight w:val="0"/>
                  <w:marTop w:val="0"/>
                  <w:marBottom w:val="0"/>
                  <w:divBdr>
                    <w:top w:val="none" w:sz="0" w:space="0" w:color="auto"/>
                    <w:left w:val="none" w:sz="0" w:space="0" w:color="auto"/>
                    <w:bottom w:val="none" w:sz="0" w:space="0" w:color="auto"/>
                    <w:right w:val="none" w:sz="0" w:space="0" w:color="auto"/>
                  </w:divBdr>
                  <w:divsChild>
                    <w:div w:id="1109085261">
                      <w:marLeft w:val="0"/>
                      <w:marRight w:val="0"/>
                      <w:marTop w:val="0"/>
                      <w:marBottom w:val="0"/>
                      <w:divBdr>
                        <w:top w:val="none" w:sz="0" w:space="0" w:color="auto"/>
                        <w:left w:val="none" w:sz="0" w:space="0" w:color="auto"/>
                        <w:bottom w:val="none" w:sz="0" w:space="0" w:color="auto"/>
                        <w:right w:val="none" w:sz="0" w:space="0" w:color="auto"/>
                      </w:divBdr>
                    </w:div>
                  </w:divsChild>
                </w:div>
                <w:div w:id="1477378213">
                  <w:marLeft w:val="0"/>
                  <w:marRight w:val="0"/>
                  <w:marTop w:val="0"/>
                  <w:marBottom w:val="0"/>
                  <w:divBdr>
                    <w:top w:val="none" w:sz="0" w:space="0" w:color="auto"/>
                    <w:left w:val="none" w:sz="0" w:space="0" w:color="auto"/>
                    <w:bottom w:val="none" w:sz="0" w:space="0" w:color="auto"/>
                    <w:right w:val="none" w:sz="0" w:space="0" w:color="auto"/>
                  </w:divBdr>
                  <w:divsChild>
                    <w:div w:id="937834645">
                      <w:marLeft w:val="0"/>
                      <w:marRight w:val="0"/>
                      <w:marTop w:val="0"/>
                      <w:marBottom w:val="0"/>
                      <w:divBdr>
                        <w:top w:val="none" w:sz="0" w:space="0" w:color="auto"/>
                        <w:left w:val="none" w:sz="0" w:space="0" w:color="auto"/>
                        <w:bottom w:val="none" w:sz="0" w:space="0" w:color="auto"/>
                        <w:right w:val="none" w:sz="0" w:space="0" w:color="auto"/>
                      </w:divBdr>
                    </w:div>
                  </w:divsChild>
                </w:div>
                <w:div w:id="1491680214">
                  <w:marLeft w:val="0"/>
                  <w:marRight w:val="0"/>
                  <w:marTop w:val="0"/>
                  <w:marBottom w:val="0"/>
                  <w:divBdr>
                    <w:top w:val="none" w:sz="0" w:space="0" w:color="auto"/>
                    <w:left w:val="none" w:sz="0" w:space="0" w:color="auto"/>
                    <w:bottom w:val="none" w:sz="0" w:space="0" w:color="auto"/>
                    <w:right w:val="none" w:sz="0" w:space="0" w:color="auto"/>
                  </w:divBdr>
                  <w:divsChild>
                    <w:div w:id="64837884">
                      <w:marLeft w:val="0"/>
                      <w:marRight w:val="0"/>
                      <w:marTop w:val="0"/>
                      <w:marBottom w:val="0"/>
                      <w:divBdr>
                        <w:top w:val="none" w:sz="0" w:space="0" w:color="auto"/>
                        <w:left w:val="none" w:sz="0" w:space="0" w:color="auto"/>
                        <w:bottom w:val="none" w:sz="0" w:space="0" w:color="auto"/>
                        <w:right w:val="none" w:sz="0" w:space="0" w:color="auto"/>
                      </w:divBdr>
                    </w:div>
                  </w:divsChild>
                </w:div>
                <w:div w:id="1494566227">
                  <w:marLeft w:val="0"/>
                  <w:marRight w:val="0"/>
                  <w:marTop w:val="0"/>
                  <w:marBottom w:val="0"/>
                  <w:divBdr>
                    <w:top w:val="none" w:sz="0" w:space="0" w:color="auto"/>
                    <w:left w:val="none" w:sz="0" w:space="0" w:color="auto"/>
                    <w:bottom w:val="none" w:sz="0" w:space="0" w:color="auto"/>
                    <w:right w:val="none" w:sz="0" w:space="0" w:color="auto"/>
                  </w:divBdr>
                  <w:divsChild>
                    <w:div w:id="1414158835">
                      <w:marLeft w:val="0"/>
                      <w:marRight w:val="0"/>
                      <w:marTop w:val="0"/>
                      <w:marBottom w:val="0"/>
                      <w:divBdr>
                        <w:top w:val="none" w:sz="0" w:space="0" w:color="auto"/>
                        <w:left w:val="none" w:sz="0" w:space="0" w:color="auto"/>
                        <w:bottom w:val="none" w:sz="0" w:space="0" w:color="auto"/>
                        <w:right w:val="none" w:sz="0" w:space="0" w:color="auto"/>
                      </w:divBdr>
                    </w:div>
                  </w:divsChild>
                </w:div>
                <w:div w:id="1502160540">
                  <w:marLeft w:val="0"/>
                  <w:marRight w:val="0"/>
                  <w:marTop w:val="0"/>
                  <w:marBottom w:val="0"/>
                  <w:divBdr>
                    <w:top w:val="none" w:sz="0" w:space="0" w:color="auto"/>
                    <w:left w:val="none" w:sz="0" w:space="0" w:color="auto"/>
                    <w:bottom w:val="none" w:sz="0" w:space="0" w:color="auto"/>
                    <w:right w:val="none" w:sz="0" w:space="0" w:color="auto"/>
                  </w:divBdr>
                  <w:divsChild>
                    <w:div w:id="460806192">
                      <w:marLeft w:val="0"/>
                      <w:marRight w:val="0"/>
                      <w:marTop w:val="0"/>
                      <w:marBottom w:val="0"/>
                      <w:divBdr>
                        <w:top w:val="none" w:sz="0" w:space="0" w:color="auto"/>
                        <w:left w:val="none" w:sz="0" w:space="0" w:color="auto"/>
                        <w:bottom w:val="none" w:sz="0" w:space="0" w:color="auto"/>
                        <w:right w:val="none" w:sz="0" w:space="0" w:color="auto"/>
                      </w:divBdr>
                    </w:div>
                  </w:divsChild>
                </w:div>
                <w:div w:id="1504928878">
                  <w:marLeft w:val="0"/>
                  <w:marRight w:val="0"/>
                  <w:marTop w:val="0"/>
                  <w:marBottom w:val="0"/>
                  <w:divBdr>
                    <w:top w:val="none" w:sz="0" w:space="0" w:color="auto"/>
                    <w:left w:val="none" w:sz="0" w:space="0" w:color="auto"/>
                    <w:bottom w:val="none" w:sz="0" w:space="0" w:color="auto"/>
                    <w:right w:val="none" w:sz="0" w:space="0" w:color="auto"/>
                  </w:divBdr>
                  <w:divsChild>
                    <w:div w:id="1970237000">
                      <w:marLeft w:val="0"/>
                      <w:marRight w:val="0"/>
                      <w:marTop w:val="0"/>
                      <w:marBottom w:val="0"/>
                      <w:divBdr>
                        <w:top w:val="none" w:sz="0" w:space="0" w:color="auto"/>
                        <w:left w:val="none" w:sz="0" w:space="0" w:color="auto"/>
                        <w:bottom w:val="none" w:sz="0" w:space="0" w:color="auto"/>
                        <w:right w:val="none" w:sz="0" w:space="0" w:color="auto"/>
                      </w:divBdr>
                    </w:div>
                  </w:divsChild>
                </w:div>
                <w:div w:id="1508327556">
                  <w:marLeft w:val="0"/>
                  <w:marRight w:val="0"/>
                  <w:marTop w:val="0"/>
                  <w:marBottom w:val="0"/>
                  <w:divBdr>
                    <w:top w:val="none" w:sz="0" w:space="0" w:color="auto"/>
                    <w:left w:val="none" w:sz="0" w:space="0" w:color="auto"/>
                    <w:bottom w:val="none" w:sz="0" w:space="0" w:color="auto"/>
                    <w:right w:val="none" w:sz="0" w:space="0" w:color="auto"/>
                  </w:divBdr>
                  <w:divsChild>
                    <w:div w:id="1861428766">
                      <w:marLeft w:val="0"/>
                      <w:marRight w:val="0"/>
                      <w:marTop w:val="0"/>
                      <w:marBottom w:val="0"/>
                      <w:divBdr>
                        <w:top w:val="none" w:sz="0" w:space="0" w:color="auto"/>
                        <w:left w:val="none" w:sz="0" w:space="0" w:color="auto"/>
                        <w:bottom w:val="none" w:sz="0" w:space="0" w:color="auto"/>
                        <w:right w:val="none" w:sz="0" w:space="0" w:color="auto"/>
                      </w:divBdr>
                    </w:div>
                  </w:divsChild>
                </w:div>
                <w:div w:id="1516309500">
                  <w:marLeft w:val="0"/>
                  <w:marRight w:val="0"/>
                  <w:marTop w:val="0"/>
                  <w:marBottom w:val="0"/>
                  <w:divBdr>
                    <w:top w:val="none" w:sz="0" w:space="0" w:color="auto"/>
                    <w:left w:val="none" w:sz="0" w:space="0" w:color="auto"/>
                    <w:bottom w:val="none" w:sz="0" w:space="0" w:color="auto"/>
                    <w:right w:val="none" w:sz="0" w:space="0" w:color="auto"/>
                  </w:divBdr>
                  <w:divsChild>
                    <w:div w:id="548758867">
                      <w:marLeft w:val="0"/>
                      <w:marRight w:val="0"/>
                      <w:marTop w:val="0"/>
                      <w:marBottom w:val="0"/>
                      <w:divBdr>
                        <w:top w:val="none" w:sz="0" w:space="0" w:color="auto"/>
                        <w:left w:val="none" w:sz="0" w:space="0" w:color="auto"/>
                        <w:bottom w:val="none" w:sz="0" w:space="0" w:color="auto"/>
                        <w:right w:val="none" w:sz="0" w:space="0" w:color="auto"/>
                      </w:divBdr>
                    </w:div>
                  </w:divsChild>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498576496">
                      <w:marLeft w:val="0"/>
                      <w:marRight w:val="0"/>
                      <w:marTop w:val="0"/>
                      <w:marBottom w:val="0"/>
                      <w:divBdr>
                        <w:top w:val="none" w:sz="0" w:space="0" w:color="auto"/>
                        <w:left w:val="none" w:sz="0" w:space="0" w:color="auto"/>
                        <w:bottom w:val="none" w:sz="0" w:space="0" w:color="auto"/>
                        <w:right w:val="none" w:sz="0" w:space="0" w:color="auto"/>
                      </w:divBdr>
                    </w:div>
                  </w:divsChild>
                </w:div>
                <w:div w:id="1519999650">
                  <w:marLeft w:val="0"/>
                  <w:marRight w:val="0"/>
                  <w:marTop w:val="0"/>
                  <w:marBottom w:val="0"/>
                  <w:divBdr>
                    <w:top w:val="none" w:sz="0" w:space="0" w:color="auto"/>
                    <w:left w:val="none" w:sz="0" w:space="0" w:color="auto"/>
                    <w:bottom w:val="none" w:sz="0" w:space="0" w:color="auto"/>
                    <w:right w:val="none" w:sz="0" w:space="0" w:color="auto"/>
                  </w:divBdr>
                  <w:divsChild>
                    <w:div w:id="2017532015">
                      <w:marLeft w:val="0"/>
                      <w:marRight w:val="0"/>
                      <w:marTop w:val="0"/>
                      <w:marBottom w:val="0"/>
                      <w:divBdr>
                        <w:top w:val="none" w:sz="0" w:space="0" w:color="auto"/>
                        <w:left w:val="none" w:sz="0" w:space="0" w:color="auto"/>
                        <w:bottom w:val="none" w:sz="0" w:space="0" w:color="auto"/>
                        <w:right w:val="none" w:sz="0" w:space="0" w:color="auto"/>
                      </w:divBdr>
                    </w:div>
                  </w:divsChild>
                </w:div>
                <w:div w:id="1537237801">
                  <w:marLeft w:val="0"/>
                  <w:marRight w:val="0"/>
                  <w:marTop w:val="0"/>
                  <w:marBottom w:val="0"/>
                  <w:divBdr>
                    <w:top w:val="none" w:sz="0" w:space="0" w:color="auto"/>
                    <w:left w:val="none" w:sz="0" w:space="0" w:color="auto"/>
                    <w:bottom w:val="none" w:sz="0" w:space="0" w:color="auto"/>
                    <w:right w:val="none" w:sz="0" w:space="0" w:color="auto"/>
                  </w:divBdr>
                  <w:divsChild>
                    <w:div w:id="983659534">
                      <w:marLeft w:val="0"/>
                      <w:marRight w:val="0"/>
                      <w:marTop w:val="0"/>
                      <w:marBottom w:val="0"/>
                      <w:divBdr>
                        <w:top w:val="none" w:sz="0" w:space="0" w:color="auto"/>
                        <w:left w:val="none" w:sz="0" w:space="0" w:color="auto"/>
                        <w:bottom w:val="none" w:sz="0" w:space="0" w:color="auto"/>
                        <w:right w:val="none" w:sz="0" w:space="0" w:color="auto"/>
                      </w:divBdr>
                    </w:div>
                  </w:divsChild>
                </w:div>
                <w:div w:id="1544899704">
                  <w:marLeft w:val="0"/>
                  <w:marRight w:val="0"/>
                  <w:marTop w:val="0"/>
                  <w:marBottom w:val="0"/>
                  <w:divBdr>
                    <w:top w:val="none" w:sz="0" w:space="0" w:color="auto"/>
                    <w:left w:val="none" w:sz="0" w:space="0" w:color="auto"/>
                    <w:bottom w:val="none" w:sz="0" w:space="0" w:color="auto"/>
                    <w:right w:val="none" w:sz="0" w:space="0" w:color="auto"/>
                  </w:divBdr>
                  <w:divsChild>
                    <w:div w:id="880897050">
                      <w:marLeft w:val="0"/>
                      <w:marRight w:val="0"/>
                      <w:marTop w:val="0"/>
                      <w:marBottom w:val="0"/>
                      <w:divBdr>
                        <w:top w:val="none" w:sz="0" w:space="0" w:color="auto"/>
                        <w:left w:val="none" w:sz="0" w:space="0" w:color="auto"/>
                        <w:bottom w:val="none" w:sz="0" w:space="0" w:color="auto"/>
                        <w:right w:val="none" w:sz="0" w:space="0" w:color="auto"/>
                      </w:divBdr>
                    </w:div>
                  </w:divsChild>
                </w:div>
                <w:div w:id="1547181163">
                  <w:marLeft w:val="0"/>
                  <w:marRight w:val="0"/>
                  <w:marTop w:val="0"/>
                  <w:marBottom w:val="0"/>
                  <w:divBdr>
                    <w:top w:val="none" w:sz="0" w:space="0" w:color="auto"/>
                    <w:left w:val="none" w:sz="0" w:space="0" w:color="auto"/>
                    <w:bottom w:val="none" w:sz="0" w:space="0" w:color="auto"/>
                    <w:right w:val="none" w:sz="0" w:space="0" w:color="auto"/>
                  </w:divBdr>
                  <w:divsChild>
                    <w:div w:id="953636839">
                      <w:marLeft w:val="0"/>
                      <w:marRight w:val="0"/>
                      <w:marTop w:val="0"/>
                      <w:marBottom w:val="0"/>
                      <w:divBdr>
                        <w:top w:val="none" w:sz="0" w:space="0" w:color="auto"/>
                        <w:left w:val="none" w:sz="0" w:space="0" w:color="auto"/>
                        <w:bottom w:val="none" w:sz="0" w:space="0" w:color="auto"/>
                        <w:right w:val="none" w:sz="0" w:space="0" w:color="auto"/>
                      </w:divBdr>
                    </w:div>
                  </w:divsChild>
                </w:div>
                <w:div w:id="1550335604">
                  <w:marLeft w:val="0"/>
                  <w:marRight w:val="0"/>
                  <w:marTop w:val="0"/>
                  <w:marBottom w:val="0"/>
                  <w:divBdr>
                    <w:top w:val="none" w:sz="0" w:space="0" w:color="auto"/>
                    <w:left w:val="none" w:sz="0" w:space="0" w:color="auto"/>
                    <w:bottom w:val="none" w:sz="0" w:space="0" w:color="auto"/>
                    <w:right w:val="none" w:sz="0" w:space="0" w:color="auto"/>
                  </w:divBdr>
                  <w:divsChild>
                    <w:div w:id="244414341">
                      <w:marLeft w:val="0"/>
                      <w:marRight w:val="0"/>
                      <w:marTop w:val="0"/>
                      <w:marBottom w:val="0"/>
                      <w:divBdr>
                        <w:top w:val="none" w:sz="0" w:space="0" w:color="auto"/>
                        <w:left w:val="none" w:sz="0" w:space="0" w:color="auto"/>
                        <w:bottom w:val="none" w:sz="0" w:space="0" w:color="auto"/>
                        <w:right w:val="none" w:sz="0" w:space="0" w:color="auto"/>
                      </w:divBdr>
                    </w:div>
                  </w:divsChild>
                </w:div>
                <w:div w:id="1554922980">
                  <w:marLeft w:val="0"/>
                  <w:marRight w:val="0"/>
                  <w:marTop w:val="0"/>
                  <w:marBottom w:val="0"/>
                  <w:divBdr>
                    <w:top w:val="none" w:sz="0" w:space="0" w:color="auto"/>
                    <w:left w:val="none" w:sz="0" w:space="0" w:color="auto"/>
                    <w:bottom w:val="none" w:sz="0" w:space="0" w:color="auto"/>
                    <w:right w:val="none" w:sz="0" w:space="0" w:color="auto"/>
                  </w:divBdr>
                  <w:divsChild>
                    <w:div w:id="28797178">
                      <w:marLeft w:val="0"/>
                      <w:marRight w:val="0"/>
                      <w:marTop w:val="0"/>
                      <w:marBottom w:val="0"/>
                      <w:divBdr>
                        <w:top w:val="none" w:sz="0" w:space="0" w:color="auto"/>
                        <w:left w:val="none" w:sz="0" w:space="0" w:color="auto"/>
                        <w:bottom w:val="none" w:sz="0" w:space="0" w:color="auto"/>
                        <w:right w:val="none" w:sz="0" w:space="0" w:color="auto"/>
                      </w:divBdr>
                    </w:div>
                  </w:divsChild>
                </w:div>
                <w:div w:id="1561164498">
                  <w:marLeft w:val="0"/>
                  <w:marRight w:val="0"/>
                  <w:marTop w:val="0"/>
                  <w:marBottom w:val="0"/>
                  <w:divBdr>
                    <w:top w:val="none" w:sz="0" w:space="0" w:color="auto"/>
                    <w:left w:val="none" w:sz="0" w:space="0" w:color="auto"/>
                    <w:bottom w:val="none" w:sz="0" w:space="0" w:color="auto"/>
                    <w:right w:val="none" w:sz="0" w:space="0" w:color="auto"/>
                  </w:divBdr>
                  <w:divsChild>
                    <w:div w:id="1598976160">
                      <w:marLeft w:val="0"/>
                      <w:marRight w:val="0"/>
                      <w:marTop w:val="0"/>
                      <w:marBottom w:val="0"/>
                      <w:divBdr>
                        <w:top w:val="none" w:sz="0" w:space="0" w:color="auto"/>
                        <w:left w:val="none" w:sz="0" w:space="0" w:color="auto"/>
                        <w:bottom w:val="none" w:sz="0" w:space="0" w:color="auto"/>
                        <w:right w:val="none" w:sz="0" w:space="0" w:color="auto"/>
                      </w:divBdr>
                    </w:div>
                  </w:divsChild>
                </w:div>
                <w:div w:id="1563103013">
                  <w:marLeft w:val="0"/>
                  <w:marRight w:val="0"/>
                  <w:marTop w:val="0"/>
                  <w:marBottom w:val="0"/>
                  <w:divBdr>
                    <w:top w:val="none" w:sz="0" w:space="0" w:color="auto"/>
                    <w:left w:val="none" w:sz="0" w:space="0" w:color="auto"/>
                    <w:bottom w:val="none" w:sz="0" w:space="0" w:color="auto"/>
                    <w:right w:val="none" w:sz="0" w:space="0" w:color="auto"/>
                  </w:divBdr>
                  <w:divsChild>
                    <w:div w:id="1332290321">
                      <w:marLeft w:val="0"/>
                      <w:marRight w:val="0"/>
                      <w:marTop w:val="0"/>
                      <w:marBottom w:val="0"/>
                      <w:divBdr>
                        <w:top w:val="none" w:sz="0" w:space="0" w:color="auto"/>
                        <w:left w:val="none" w:sz="0" w:space="0" w:color="auto"/>
                        <w:bottom w:val="none" w:sz="0" w:space="0" w:color="auto"/>
                        <w:right w:val="none" w:sz="0" w:space="0" w:color="auto"/>
                      </w:divBdr>
                    </w:div>
                  </w:divsChild>
                </w:div>
                <w:div w:id="1565022344">
                  <w:marLeft w:val="0"/>
                  <w:marRight w:val="0"/>
                  <w:marTop w:val="0"/>
                  <w:marBottom w:val="0"/>
                  <w:divBdr>
                    <w:top w:val="none" w:sz="0" w:space="0" w:color="auto"/>
                    <w:left w:val="none" w:sz="0" w:space="0" w:color="auto"/>
                    <w:bottom w:val="none" w:sz="0" w:space="0" w:color="auto"/>
                    <w:right w:val="none" w:sz="0" w:space="0" w:color="auto"/>
                  </w:divBdr>
                  <w:divsChild>
                    <w:div w:id="1687098538">
                      <w:marLeft w:val="0"/>
                      <w:marRight w:val="0"/>
                      <w:marTop w:val="0"/>
                      <w:marBottom w:val="0"/>
                      <w:divBdr>
                        <w:top w:val="none" w:sz="0" w:space="0" w:color="auto"/>
                        <w:left w:val="none" w:sz="0" w:space="0" w:color="auto"/>
                        <w:bottom w:val="none" w:sz="0" w:space="0" w:color="auto"/>
                        <w:right w:val="none" w:sz="0" w:space="0" w:color="auto"/>
                      </w:divBdr>
                    </w:div>
                  </w:divsChild>
                </w:div>
                <w:div w:id="1572040865">
                  <w:marLeft w:val="0"/>
                  <w:marRight w:val="0"/>
                  <w:marTop w:val="0"/>
                  <w:marBottom w:val="0"/>
                  <w:divBdr>
                    <w:top w:val="none" w:sz="0" w:space="0" w:color="auto"/>
                    <w:left w:val="none" w:sz="0" w:space="0" w:color="auto"/>
                    <w:bottom w:val="none" w:sz="0" w:space="0" w:color="auto"/>
                    <w:right w:val="none" w:sz="0" w:space="0" w:color="auto"/>
                  </w:divBdr>
                  <w:divsChild>
                    <w:div w:id="1639408129">
                      <w:marLeft w:val="0"/>
                      <w:marRight w:val="0"/>
                      <w:marTop w:val="0"/>
                      <w:marBottom w:val="0"/>
                      <w:divBdr>
                        <w:top w:val="none" w:sz="0" w:space="0" w:color="auto"/>
                        <w:left w:val="none" w:sz="0" w:space="0" w:color="auto"/>
                        <w:bottom w:val="none" w:sz="0" w:space="0" w:color="auto"/>
                        <w:right w:val="none" w:sz="0" w:space="0" w:color="auto"/>
                      </w:divBdr>
                    </w:div>
                  </w:divsChild>
                </w:div>
                <w:div w:id="1578905750">
                  <w:marLeft w:val="0"/>
                  <w:marRight w:val="0"/>
                  <w:marTop w:val="0"/>
                  <w:marBottom w:val="0"/>
                  <w:divBdr>
                    <w:top w:val="none" w:sz="0" w:space="0" w:color="auto"/>
                    <w:left w:val="none" w:sz="0" w:space="0" w:color="auto"/>
                    <w:bottom w:val="none" w:sz="0" w:space="0" w:color="auto"/>
                    <w:right w:val="none" w:sz="0" w:space="0" w:color="auto"/>
                  </w:divBdr>
                  <w:divsChild>
                    <w:div w:id="523052831">
                      <w:marLeft w:val="0"/>
                      <w:marRight w:val="0"/>
                      <w:marTop w:val="0"/>
                      <w:marBottom w:val="0"/>
                      <w:divBdr>
                        <w:top w:val="none" w:sz="0" w:space="0" w:color="auto"/>
                        <w:left w:val="none" w:sz="0" w:space="0" w:color="auto"/>
                        <w:bottom w:val="none" w:sz="0" w:space="0" w:color="auto"/>
                        <w:right w:val="none" w:sz="0" w:space="0" w:color="auto"/>
                      </w:divBdr>
                    </w:div>
                  </w:divsChild>
                </w:div>
                <w:div w:id="1581060882">
                  <w:marLeft w:val="0"/>
                  <w:marRight w:val="0"/>
                  <w:marTop w:val="0"/>
                  <w:marBottom w:val="0"/>
                  <w:divBdr>
                    <w:top w:val="none" w:sz="0" w:space="0" w:color="auto"/>
                    <w:left w:val="none" w:sz="0" w:space="0" w:color="auto"/>
                    <w:bottom w:val="none" w:sz="0" w:space="0" w:color="auto"/>
                    <w:right w:val="none" w:sz="0" w:space="0" w:color="auto"/>
                  </w:divBdr>
                  <w:divsChild>
                    <w:div w:id="1847015727">
                      <w:marLeft w:val="0"/>
                      <w:marRight w:val="0"/>
                      <w:marTop w:val="0"/>
                      <w:marBottom w:val="0"/>
                      <w:divBdr>
                        <w:top w:val="none" w:sz="0" w:space="0" w:color="auto"/>
                        <w:left w:val="none" w:sz="0" w:space="0" w:color="auto"/>
                        <w:bottom w:val="none" w:sz="0" w:space="0" w:color="auto"/>
                        <w:right w:val="none" w:sz="0" w:space="0" w:color="auto"/>
                      </w:divBdr>
                    </w:div>
                  </w:divsChild>
                </w:div>
                <w:div w:id="1584534265">
                  <w:marLeft w:val="0"/>
                  <w:marRight w:val="0"/>
                  <w:marTop w:val="0"/>
                  <w:marBottom w:val="0"/>
                  <w:divBdr>
                    <w:top w:val="none" w:sz="0" w:space="0" w:color="auto"/>
                    <w:left w:val="none" w:sz="0" w:space="0" w:color="auto"/>
                    <w:bottom w:val="none" w:sz="0" w:space="0" w:color="auto"/>
                    <w:right w:val="none" w:sz="0" w:space="0" w:color="auto"/>
                  </w:divBdr>
                  <w:divsChild>
                    <w:div w:id="1207838251">
                      <w:marLeft w:val="0"/>
                      <w:marRight w:val="0"/>
                      <w:marTop w:val="0"/>
                      <w:marBottom w:val="0"/>
                      <w:divBdr>
                        <w:top w:val="none" w:sz="0" w:space="0" w:color="auto"/>
                        <w:left w:val="none" w:sz="0" w:space="0" w:color="auto"/>
                        <w:bottom w:val="none" w:sz="0" w:space="0" w:color="auto"/>
                        <w:right w:val="none" w:sz="0" w:space="0" w:color="auto"/>
                      </w:divBdr>
                    </w:div>
                  </w:divsChild>
                </w:div>
                <w:div w:id="1586106328">
                  <w:marLeft w:val="0"/>
                  <w:marRight w:val="0"/>
                  <w:marTop w:val="0"/>
                  <w:marBottom w:val="0"/>
                  <w:divBdr>
                    <w:top w:val="none" w:sz="0" w:space="0" w:color="auto"/>
                    <w:left w:val="none" w:sz="0" w:space="0" w:color="auto"/>
                    <w:bottom w:val="none" w:sz="0" w:space="0" w:color="auto"/>
                    <w:right w:val="none" w:sz="0" w:space="0" w:color="auto"/>
                  </w:divBdr>
                  <w:divsChild>
                    <w:div w:id="976452309">
                      <w:marLeft w:val="0"/>
                      <w:marRight w:val="0"/>
                      <w:marTop w:val="0"/>
                      <w:marBottom w:val="0"/>
                      <w:divBdr>
                        <w:top w:val="none" w:sz="0" w:space="0" w:color="auto"/>
                        <w:left w:val="none" w:sz="0" w:space="0" w:color="auto"/>
                        <w:bottom w:val="none" w:sz="0" w:space="0" w:color="auto"/>
                        <w:right w:val="none" w:sz="0" w:space="0" w:color="auto"/>
                      </w:divBdr>
                    </w:div>
                  </w:divsChild>
                </w:div>
                <w:div w:id="1598633839">
                  <w:marLeft w:val="0"/>
                  <w:marRight w:val="0"/>
                  <w:marTop w:val="0"/>
                  <w:marBottom w:val="0"/>
                  <w:divBdr>
                    <w:top w:val="none" w:sz="0" w:space="0" w:color="auto"/>
                    <w:left w:val="none" w:sz="0" w:space="0" w:color="auto"/>
                    <w:bottom w:val="none" w:sz="0" w:space="0" w:color="auto"/>
                    <w:right w:val="none" w:sz="0" w:space="0" w:color="auto"/>
                  </w:divBdr>
                  <w:divsChild>
                    <w:div w:id="465398180">
                      <w:marLeft w:val="0"/>
                      <w:marRight w:val="0"/>
                      <w:marTop w:val="0"/>
                      <w:marBottom w:val="0"/>
                      <w:divBdr>
                        <w:top w:val="none" w:sz="0" w:space="0" w:color="auto"/>
                        <w:left w:val="none" w:sz="0" w:space="0" w:color="auto"/>
                        <w:bottom w:val="none" w:sz="0" w:space="0" w:color="auto"/>
                        <w:right w:val="none" w:sz="0" w:space="0" w:color="auto"/>
                      </w:divBdr>
                    </w:div>
                  </w:divsChild>
                </w:div>
                <w:div w:id="1602953653">
                  <w:marLeft w:val="0"/>
                  <w:marRight w:val="0"/>
                  <w:marTop w:val="0"/>
                  <w:marBottom w:val="0"/>
                  <w:divBdr>
                    <w:top w:val="none" w:sz="0" w:space="0" w:color="auto"/>
                    <w:left w:val="none" w:sz="0" w:space="0" w:color="auto"/>
                    <w:bottom w:val="none" w:sz="0" w:space="0" w:color="auto"/>
                    <w:right w:val="none" w:sz="0" w:space="0" w:color="auto"/>
                  </w:divBdr>
                  <w:divsChild>
                    <w:div w:id="971249107">
                      <w:marLeft w:val="0"/>
                      <w:marRight w:val="0"/>
                      <w:marTop w:val="0"/>
                      <w:marBottom w:val="0"/>
                      <w:divBdr>
                        <w:top w:val="none" w:sz="0" w:space="0" w:color="auto"/>
                        <w:left w:val="none" w:sz="0" w:space="0" w:color="auto"/>
                        <w:bottom w:val="none" w:sz="0" w:space="0" w:color="auto"/>
                        <w:right w:val="none" w:sz="0" w:space="0" w:color="auto"/>
                      </w:divBdr>
                    </w:div>
                  </w:divsChild>
                </w:div>
                <w:div w:id="1605722835">
                  <w:marLeft w:val="0"/>
                  <w:marRight w:val="0"/>
                  <w:marTop w:val="0"/>
                  <w:marBottom w:val="0"/>
                  <w:divBdr>
                    <w:top w:val="none" w:sz="0" w:space="0" w:color="auto"/>
                    <w:left w:val="none" w:sz="0" w:space="0" w:color="auto"/>
                    <w:bottom w:val="none" w:sz="0" w:space="0" w:color="auto"/>
                    <w:right w:val="none" w:sz="0" w:space="0" w:color="auto"/>
                  </w:divBdr>
                  <w:divsChild>
                    <w:div w:id="163055118">
                      <w:marLeft w:val="0"/>
                      <w:marRight w:val="0"/>
                      <w:marTop w:val="0"/>
                      <w:marBottom w:val="0"/>
                      <w:divBdr>
                        <w:top w:val="none" w:sz="0" w:space="0" w:color="auto"/>
                        <w:left w:val="none" w:sz="0" w:space="0" w:color="auto"/>
                        <w:bottom w:val="none" w:sz="0" w:space="0" w:color="auto"/>
                        <w:right w:val="none" w:sz="0" w:space="0" w:color="auto"/>
                      </w:divBdr>
                    </w:div>
                  </w:divsChild>
                </w:div>
                <w:div w:id="1620409582">
                  <w:marLeft w:val="0"/>
                  <w:marRight w:val="0"/>
                  <w:marTop w:val="0"/>
                  <w:marBottom w:val="0"/>
                  <w:divBdr>
                    <w:top w:val="none" w:sz="0" w:space="0" w:color="auto"/>
                    <w:left w:val="none" w:sz="0" w:space="0" w:color="auto"/>
                    <w:bottom w:val="none" w:sz="0" w:space="0" w:color="auto"/>
                    <w:right w:val="none" w:sz="0" w:space="0" w:color="auto"/>
                  </w:divBdr>
                  <w:divsChild>
                    <w:div w:id="1862159665">
                      <w:marLeft w:val="0"/>
                      <w:marRight w:val="0"/>
                      <w:marTop w:val="0"/>
                      <w:marBottom w:val="0"/>
                      <w:divBdr>
                        <w:top w:val="none" w:sz="0" w:space="0" w:color="auto"/>
                        <w:left w:val="none" w:sz="0" w:space="0" w:color="auto"/>
                        <w:bottom w:val="none" w:sz="0" w:space="0" w:color="auto"/>
                        <w:right w:val="none" w:sz="0" w:space="0" w:color="auto"/>
                      </w:divBdr>
                    </w:div>
                  </w:divsChild>
                </w:div>
                <w:div w:id="1622154761">
                  <w:marLeft w:val="0"/>
                  <w:marRight w:val="0"/>
                  <w:marTop w:val="0"/>
                  <w:marBottom w:val="0"/>
                  <w:divBdr>
                    <w:top w:val="none" w:sz="0" w:space="0" w:color="auto"/>
                    <w:left w:val="none" w:sz="0" w:space="0" w:color="auto"/>
                    <w:bottom w:val="none" w:sz="0" w:space="0" w:color="auto"/>
                    <w:right w:val="none" w:sz="0" w:space="0" w:color="auto"/>
                  </w:divBdr>
                  <w:divsChild>
                    <w:div w:id="1863277744">
                      <w:marLeft w:val="0"/>
                      <w:marRight w:val="0"/>
                      <w:marTop w:val="0"/>
                      <w:marBottom w:val="0"/>
                      <w:divBdr>
                        <w:top w:val="none" w:sz="0" w:space="0" w:color="auto"/>
                        <w:left w:val="none" w:sz="0" w:space="0" w:color="auto"/>
                        <w:bottom w:val="none" w:sz="0" w:space="0" w:color="auto"/>
                        <w:right w:val="none" w:sz="0" w:space="0" w:color="auto"/>
                      </w:divBdr>
                    </w:div>
                  </w:divsChild>
                </w:div>
                <w:div w:id="1627420396">
                  <w:marLeft w:val="0"/>
                  <w:marRight w:val="0"/>
                  <w:marTop w:val="0"/>
                  <w:marBottom w:val="0"/>
                  <w:divBdr>
                    <w:top w:val="none" w:sz="0" w:space="0" w:color="auto"/>
                    <w:left w:val="none" w:sz="0" w:space="0" w:color="auto"/>
                    <w:bottom w:val="none" w:sz="0" w:space="0" w:color="auto"/>
                    <w:right w:val="none" w:sz="0" w:space="0" w:color="auto"/>
                  </w:divBdr>
                  <w:divsChild>
                    <w:div w:id="1414668883">
                      <w:marLeft w:val="0"/>
                      <w:marRight w:val="0"/>
                      <w:marTop w:val="0"/>
                      <w:marBottom w:val="0"/>
                      <w:divBdr>
                        <w:top w:val="none" w:sz="0" w:space="0" w:color="auto"/>
                        <w:left w:val="none" w:sz="0" w:space="0" w:color="auto"/>
                        <w:bottom w:val="none" w:sz="0" w:space="0" w:color="auto"/>
                        <w:right w:val="none" w:sz="0" w:space="0" w:color="auto"/>
                      </w:divBdr>
                    </w:div>
                  </w:divsChild>
                </w:div>
                <w:div w:id="1652097156">
                  <w:marLeft w:val="0"/>
                  <w:marRight w:val="0"/>
                  <w:marTop w:val="0"/>
                  <w:marBottom w:val="0"/>
                  <w:divBdr>
                    <w:top w:val="none" w:sz="0" w:space="0" w:color="auto"/>
                    <w:left w:val="none" w:sz="0" w:space="0" w:color="auto"/>
                    <w:bottom w:val="none" w:sz="0" w:space="0" w:color="auto"/>
                    <w:right w:val="none" w:sz="0" w:space="0" w:color="auto"/>
                  </w:divBdr>
                  <w:divsChild>
                    <w:div w:id="1432893279">
                      <w:marLeft w:val="0"/>
                      <w:marRight w:val="0"/>
                      <w:marTop w:val="0"/>
                      <w:marBottom w:val="0"/>
                      <w:divBdr>
                        <w:top w:val="none" w:sz="0" w:space="0" w:color="auto"/>
                        <w:left w:val="none" w:sz="0" w:space="0" w:color="auto"/>
                        <w:bottom w:val="none" w:sz="0" w:space="0" w:color="auto"/>
                        <w:right w:val="none" w:sz="0" w:space="0" w:color="auto"/>
                      </w:divBdr>
                    </w:div>
                  </w:divsChild>
                </w:div>
                <w:div w:id="1664745498">
                  <w:marLeft w:val="0"/>
                  <w:marRight w:val="0"/>
                  <w:marTop w:val="0"/>
                  <w:marBottom w:val="0"/>
                  <w:divBdr>
                    <w:top w:val="none" w:sz="0" w:space="0" w:color="auto"/>
                    <w:left w:val="none" w:sz="0" w:space="0" w:color="auto"/>
                    <w:bottom w:val="none" w:sz="0" w:space="0" w:color="auto"/>
                    <w:right w:val="none" w:sz="0" w:space="0" w:color="auto"/>
                  </w:divBdr>
                  <w:divsChild>
                    <w:div w:id="1798377345">
                      <w:marLeft w:val="0"/>
                      <w:marRight w:val="0"/>
                      <w:marTop w:val="0"/>
                      <w:marBottom w:val="0"/>
                      <w:divBdr>
                        <w:top w:val="none" w:sz="0" w:space="0" w:color="auto"/>
                        <w:left w:val="none" w:sz="0" w:space="0" w:color="auto"/>
                        <w:bottom w:val="none" w:sz="0" w:space="0" w:color="auto"/>
                        <w:right w:val="none" w:sz="0" w:space="0" w:color="auto"/>
                      </w:divBdr>
                    </w:div>
                  </w:divsChild>
                </w:div>
                <w:div w:id="1676108168">
                  <w:marLeft w:val="0"/>
                  <w:marRight w:val="0"/>
                  <w:marTop w:val="0"/>
                  <w:marBottom w:val="0"/>
                  <w:divBdr>
                    <w:top w:val="none" w:sz="0" w:space="0" w:color="auto"/>
                    <w:left w:val="none" w:sz="0" w:space="0" w:color="auto"/>
                    <w:bottom w:val="none" w:sz="0" w:space="0" w:color="auto"/>
                    <w:right w:val="none" w:sz="0" w:space="0" w:color="auto"/>
                  </w:divBdr>
                  <w:divsChild>
                    <w:div w:id="909970559">
                      <w:marLeft w:val="0"/>
                      <w:marRight w:val="0"/>
                      <w:marTop w:val="0"/>
                      <w:marBottom w:val="0"/>
                      <w:divBdr>
                        <w:top w:val="none" w:sz="0" w:space="0" w:color="auto"/>
                        <w:left w:val="none" w:sz="0" w:space="0" w:color="auto"/>
                        <w:bottom w:val="none" w:sz="0" w:space="0" w:color="auto"/>
                        <w:right w:val="none" w:sz="0" w:space="0" w:color="auto"/>
                      </w:divBdr>
                    </w:div>
                  </w:divsChild>
                </w:div>
                <w:div w:id="1678070948">
                  <w:marLeft w:val="0"/>
                  <w:marRight w:val="0"/>
                  <w:marTop w:val="0"/>
                  <w:marBottom w:val="0"/>
                  <w:divBdr>
                    <w:top w:val="none" w:sz="0" w:space="0" w:color="auto"/>
                    <w:left w:val="none" w:sz="0" w:space="0" w:color="auto"/>
                    <w:bottom w:val="none" w:sz="0" w:space="0" w:color="auto"/>
                    <w:right w:val="none" w:sz="0" w:space="0" w:color="auto"/>
                  </w:divBdr>
                  <w:divsChild>
                    <w:div w:id="18817422">
                      <w:marLeft w:val="0"/>
                      <w:marRight w:val="0"/>
                      <w:marTop w:val="0"/>
                      <w:marBottom w:val="0"/>
                      <w:divBdr>
                        <w:top w:val="none" w:sz="0" w:space="0" w:color="auto"/>
                        <w:left w:val="none" w:sz="0" w:space="0" w:color="auto"/>
                        <w:bottom w:val="none" w:sz="0" w:space="0" w:color="auto"/>
                        <w:right w:val="none" w:sz="0" w:space="0" w:color="auto"/>
                      </w:divBdr>
                    </w:div>
                  </w:divsChild>
                </w:div>
                <w:div w:id="1686977729">
                  <w:marLeft w:val="0"/>
                  <w:marRight w:val="0"/>
                  <w:marTop w:val="0"/>
                  <w:marBottom w:val="0"/>
                  <w:divBdr>
                    <w:top w:val="none" w:sz="0" w:space="0" w:color="auto"/>
                    <w:left w:val="none" w:sz="0" w:space="0" w:color="auto"/>
                    <w:bottom w:val="none" w:sz="0" w:space="0" w:color="auto"/>
                    <w:right w:val="none" w:sz="0" w:space="0" w:color="auto"/>
                  </w:divBdr>
                  <w:divsChild>
                    <w:div w:id="767850417">
                      <w:marLeft w:val="0"/>
                      <w:marRight w:val="0"/>
                      <w:marTop w:val="0"/>
                      <w:marBottom w:val="0"/>
                      <w:divBdr>
                        <w:top w:val="none" w:sz="0" w:space="0" w:color="auto"/>
                        <w:left w:val="none" w:sz="0" w:space="0" w:color="auto"/>
                        <w:bottom w:val="none" w:sz="0" w:space="0" w:color="auto"/>
                        <w:right w:val="none" w:sz="0" w:space="0" w:color="auto"/>
                      </w:divBdr>
                    </w:div>
                  </w:divsChild>
                </w:div>
                <w:div w:id="1712799756">
                  <w:marLeft w:val="0"/>
                  <w:marRight w:val="0"/>
                  <w:marTop w:val="0"/>
                  <w:marBottom w:val="0"/>
                  <w:divBdr>
                    <w:top w:val="none" w:sz="0" w:space="0" w:color="auto"/>
                    <w:left w:val="none" w:sz="0" w:space="0" w:color="auto"/>
                    <w:bottom w:val="none" w:sz="0" w:space="0" w:color="auto"/>
                    <w:right w:val="none" w:sz="0" w:space="0" w:color="auto"/>
                  </w:divBdr>
                  <w:divsChild>
                    <w:div w:id="1457068437">
                      <w:marLeft w:val="0"/>
                      <w:marRight w:val="0"/>
                      <w:marTop w:val="0"/>
                      <w:marBottom w:val="0"/>
                      <w:divBdr>
                        <w:top w:val="none" w:sz="0" w:space="0" w:color="auto"/>
                        <w:left w:val="none" w:sz="0" w:space="0" w:color="auto"/>
                        <w:bottom w:val="none" w:sz="0" w:space="0" w:color="auto"/>
                        <w:right w:val="none" w:sz="0" w:space="0" w:color="auto"/>
                      </w:divBdr>
                    </w:div>
                  </w:divsChild>
                </w:div>
                <w:div w:id="1714958954">
                  <w:marLeft w:val="0"/>
                  <w:marRight w:val="0"/>
                  <w:marTop w:val="0"/>
                  <w:marBottom w:val="0"/>
                  <w:divBdr>
                    <w:top w:val="none" w:sz="0" w:space="0" w:color="auto"/>
                    <w:left w:val="none" w:sz="0" w:space="0" w:color="auto"/>
                    <w:bottom w:val="none" w:sz="0" w:space="0" w:color="auto"/>
                    <w:right w:val="none" w:sz="0" w:space="0" w:color="auto"/>
                  </w:divBdr>
                  <w:divsChild>
                    <w:div w:id="1726104303">
                      <w:marLeft w:val="0"/>
                      <w:marRight w:val="0"/>
                      <w:marTop w:val="0"/>
                      <w:marBottom w:val="0"/>
                      <w:divBdr>
                        <w:top w:val="none" w:sz="0" w:space="0" w:color="auto"/>
                        <w:left w:val="none" w:sz="0" w:space="0" w:color="auto"/>
                        <w:bottom w:val="none" w:sz="0" w:space="0" w:color="auto"/>
                        <w:right w:val="none" w:sz="0" w:space="0" w:color="auto"/>
                      </w:divBdr>
                    </w:div>
                  </w:divsChild>
                </w:div>
                <w:div w:id="1722435741">
                  <w:marLeft w:val="0"/>
                  <w:marRight w:val="0"/>
                  <w:marTop w:val="0"/>
                  <w:marBottom w:val="0"/>
                  <w:divBdr>
                    <w:top w:val="none" w:sz="0" w:space="0" w:color="auto"/>
                    <w:left w:val="none" w:sz="0" w:space="0" w:color="auto"/>
                    <w:bottom w:val="none" w:sz="0" w:space="0" w:color="auto"/>
                    <w:right w:val="none" w:sz="0" w:space="0" w:color="auto"/>
                  </w:divBdr>
                  <w:divsChild>
                    <w:div w:id="2029409692">
                      <w:marLeft w:val="0"/>
                      <w:marRight w:val="0"/>
                      <w:marTop w:val="0"/>
                      <w:marBottom w:val="0"/>
                      <w:divBdr>
                        <w:top w:val="none" w:sz="0" w:space="0" w:color="auto"/>
                        <w:left w:val="none" w:sz="0" w:space="0" w:color="auto"/>
                        <w:bottom w:val="none" w:sz="0" w:space="0" w:color="auto"/>
                        <w:right w:val="none" w:sz="0" w:space="0" w:color="auto"/>
                      </w:divBdr>
                    </w:div>
                  </w:divsChild>
                </w:div>
                <w:div w:id="1725762646">
                  <w:marLeft w:val="0"/>
                  <w:marRight w:val="0"/>
                  <w:marTop w:val="0"/>
                  <w:marBottom w:val="0"/>
                  <w:divBdr>
                    <w:top w:val="none" w:sz="0" w:space="0" w:color="auto"/>
                    <w:left w:val="none" w:sz="0" w:space="0" w:color="auto"/>
                    <w:bottom w:val="none" w:sz="0" w:space="0" w:color="auto"/>
                    <w:right w:val="none" w:sz="0" w:space="0" w:color="auto"/>
                  </w:divBdr>
                  <w:divsChild>
                    <w:div w:id="634262949">
                      <w:marLeft w:val="0"/>
                      <w:marRight w:val="0"/>
                      <w:marTop w:val="0"/>
                      <w:marBottom w:val="0"/>
                      <w:divBdr>
                        <w:top w:val="none" w:sz="0" w:space="0" w:color="auto"/>
                        <w:left w:val="none" w:sz="0" w:space="0" w:color="auto"/>
                        <w:bottom w:val="none" w:sz="0" w:space="0" w:color="auto"/>
                        <w:right w:val="none" w:sz="0" w:space="0" w:color="auto"/>
                      </w:divBdr>
                    </w:div>
                  </w:divsChild>
                </w:div>
                <w:div w:id="1729257911">
                  <w:marLeft w:val="0"/>
                  <w:marRight w:val="0"/>
                  <w:marTop w:val="0"/>
                  <w:marBottom w:val="0"/>
                  <w:divBdr>
                    <w:top w:val="none" w:sz="0" w:space="0" w:color="auto"/>
                    <w:left w:val="none" w:sz="0" w:space="0" w:color="auto"/>
                    <w:bottom w:val="none" w:sz="0" w:space="0" w:color="auto"/>
                    <w:right w:val="none" w:sz="0" w:space="0" w:color="auto"/>
                  </w:divBdr>
                  <w:divsChild>
                    <w:div w:id="1010332336">
                      <w:marLeft w:val="0"/>
                      <w:marRight w:val="0"/>
                      <w:marTop w:val="0"/>
                      <w:marBottom w:val="0"/>
                      <w:divBdr>
                        <w:top w:val="none" w:sz="0" w:space="0" w:color="auto"/>
                        <w:left w:val="none" w:sz="0" w:space="0" w:color="auto"/>
                        <w:bottom w:val="none" w:sz="0" w:space="0" w:color="auto"/>
                        <w:right w:val="none" w:sz="0" w:space="0" w:color="auto"/>
                      </w:divBdr>
                    </w:div>
                  </w:divsChild>
                </w:div>
                <w:div w:id="1740638807">
                  <w:marLeft w:val="0"/>
                  <w:marRight w:val="0"/>
                  <w:marTop w:val="0"/>
                  <w:marBottom w:val="0"/>
                  <w:divBdr>
                    <w:top w:val="none" w:sz="0" w:space="0" w:color="auto"/>
                    <w:left w:val="none" w:sz="0" w:space="0" w:color="auto"/>
                    <w:bottom w:val="none" w:sz="0" w:space="0" w:color="auto"/>
                    <w:right w:val="none" w:sz="0" w:space="0" w:color="auto"/>
                  </w:divBdr>
                  <w:divsChild>
                    <w:div w:id="793600099">
                      <w:marLeft w:val="0"/>
                      <w:marRight w:val="0"/>
                      <w:marTop w:val="0"/>
                      <w:marBottom w:val="0"/>
                      <w:divBdr>
                        <w:top w:val="none" w:sz="0" w:space="0" w:color="auto"/>
                        <w:left w:val="none" w:sz="0" w:space="0" w:color="auto"/>
                        <w:bottom w:val="none" w:sz="0" w:space="0" w:color="auto"/>
                        <w:right w:val="none" w:sz="0" w:space="0" w:color="auto"/>
                      </w:divBdr>
                    </w:div>
                  </w:divsChild>
                </w:div>
                <w:div w:id="1763060820">
                  <w:marLeft w:val="0"/>
                  <w:marRight w:val="0"/>
                  <w:marTop w:val="0"/>
                  <w:marBottom w:val="0"/>
                  <w:divBdr>
                    <w:top w:val="none" w:sz="0" w:space="0" w:color="auto"/>
                    <w:left w:val="none" w:sz="0" w:space="0" w:color="auto"/>
                    <w:bottom w:val="none" w:sz="0" w:space="0" w:color="auto"/>
                    <w:right w:val="none" w:sz="0" w:space="0" w:color="auto"/>
                  </w:divBdr>
                  <w:divsChild>
                    <w:div w:id="1753356099">
                      <w:marLeft w:val="0"/>
                      <w:marRight w:val="0"/>
                      <w:marTop w:val="0"/>
                      <w:marBottom w:val="0"/>
                      <w:divBdr>
                        <w:top w:val="none" w:sz="0" w:space="0" w:color="auto"/>
                        <w:left w:val="none" w:sz="0" w:space="0" w:color="auto"/>
                        <w:bottom w:val="none" w:sz="0" w:space="0" w:color="auto"/>
                        <w:right w:val="none" w:sz="0" w:space="0" w:color="auto"/>
                      </w:divBdr>
                    </w:div>
                  </w:divsChild>
                </w:div>
                <w:div w:id="1783069389">
                  <w:marLeft w:val="0"/>
                  <w:marRight w:val="0"/>
                  <w:marTop w:val="0"/>
                  <w:marBottom w:val="0"/>
                  <w:divBdr>
                    <w:top w:val="none" w:sz="0" w:space="0" w:color="auto"/>
                    <w:left w:val="none" w:sz="0" w:space="0" w:color="auto"/>
                    <w:bottom w:val="none" w:sz="0" w:space="0" w:color="auto"/>
                    <w:right w:val="none" w:sz="0" w:space="0" w:color="auto"/>
                  </w:divBdr>
                  <w:divsChild>
                    <w:div w:id="903835135">
                      <w:marLeft w:val="0"/>
                      <w:marRight w:val="0"/>
                      <w:marTop w:val="0"/>
                      <w:marBottom w:val="0"/>
                      <w:divBdr>
                        <w:top w:val="none" w:sz="0" w:space="0" w:color="auto"/>
                        <w:left w:val="none" w:sz="0" w:space="0" w:color="auto"/>
                        <w:bottom w:val="none" w:sz="0" w:space="0" w:color="auto"/>
                        <w:right w:val="none" w:sz="0" w:space="0" w:color="auto"/>
                      </w:divBdr>
                    </w:div>
                  </w:divsChild>
                </w:div>
                <w:div w:id="1788085652">
                  <w:marLeft w:val="0"/>
                  <w:marRight w:val="0"/>
                  <w:marTop w:val="0"/>
                  <w:marBottom w:val="0"/>
                  <w:divBdr>
                    <w:top w:val="none" w:sz="0" w:space="0" w:color="auto"/>
                    <w:left w:val="none" w:sz="0" w:space="0" w:color="auto"/>
                    <w:bottom w:val="none" w:sz="0" w:space="0" w:color="auto"/>
                    <w:right w:val="none" w:sz="0" w:space="0" w:color="auto"/>
                  </w:divBdr>
                  <w:divsChild>
                    <w:div w:id="1466236931">
                      <w:marLeft w:val="0"/>
                      <w:marRight w:val="0"/>
                      <w:marTop w:val="0"/>
                      <w:marBottom w:val="0"/>
                      <w:divBdr>
                        <w:top w:val="none" w:sz="0" w:space="0" w:color="auto"/>
                        <w:left w:val="none" w:sz="0" w:space="0" w:color="auto"/>
                        <w:bottom w:val="none" w:sz="0" w:space="0" w:color="auto"/>
                        <w:right w:val="none" w:sz="0" w:space="0" w:color="auto"/>
                      </w:divBdr>
                    </w:div>
                  </w:divsChild>
                </w:div>
                <w:div w:id="1788231328">
                  <w:marLeft w:val="0"/>
                  <w:marRight w:val="0"/>
                  <w:marTop w:val="0"/>
                  <w:marBottom w:val="0"/>
                  <w:divBdr>
                    <w:top w:val="none" w:sz="0" w:space="0" w:color="auto"/>
                    <w:left w:val="none" w:sz="0" w:space="0" w:color="auto"/>
                    <w:bottom w:val="none" w:sz="0" w:space="0" w:color="auto"/>
                    <w:right w:val="none" w:sz="0" w:space="0" w:color="auto"/>
                  </w:divBdr>
                  <w:divsChild>
                    <w:div w:id="1621718694">
                      <w:marLeft w:val="0"/>
                      <w:marRight w:val="0"/>
                      <w:marTop w:val="0"/>
                      <w:marBottom w:val="0"/>
                      <w:divBdr>
                        <w:top w:val="none" w:sz="0" w:space="0" w:color="auto"/>
                        <w:left w:val="none" w:sz="0" w:space="0" w:color="auto"/>
                        <w:bottom w:val="none" w:sz="0" w:space="0" w:color="auto"/>
                        <w:right w:val="none" w:sz="0" w:space="0" w:color="auto"/>
                      </w:divBdr>
                    </w:div>
                  </w:divsChild>
                </w:div>
                <w:div w:id="1796211154">
                  <w:marLeft w:val="0"/>
                  <w:marRight w:val="0"/>
                  <w:marTop w:val="0"/>
                  <w:marBottom w:val="0"/>
                  <w:divBdr>
                    <w:top w:val="none" w:sz="0" w:space="0" w:color="auto"/>
                    <w:left w:val="none" w:sz="0" w:space="0" w:color="auto"/>
                    <w:bottom w:val="none" w:sz="0" w:space="0" w:color="auto"/>
                    <w:right w:val="none" w:sz="0" w:space="0" w:color="auto"/>
                  </w:divBdr>
                  <w:divsChild>
                    <w:div w:id="733627636">
                      <w:marLeft w:val="0"/>
                      <w:marRight w:val="0"/>
                      <w:marTop w:val="0"/>
                      <w:marBottom w:val="0"/>
                      <w:divBdr>
                        <w:top w:val="none" w:sz="0" w:space="0" w:color="auto"/>
                        <w:left w:val="none" w:sz="0" w:space="0" w:color="auto"/>
                        <w:bottom w:val="none" w:sz="0" w:space="0" w:color="auto"/>
                        <w:right w:val="none" w:sz="0" w:space="0" w:color="auto"/>
                      </w:divBdr>
                    </w:div>
                  </w:divsChild>
                </w:div>
                <w:div w:id="1797522723">
                  <w:marLeft w:val="0"/>
                  <w:marRight w:val="0"/>
                  <w:marTop w:val="0"/>
                  <w:marBottom w:val="0"/>
                  <w:divBdr>
                    <w:top w:val="none" w:sz="0" w:space="0" w:color="auto"/>
                    <w:left w:val="none" w:sz="0" w:space="0" w:color="auto"/>
                    <w:bottom w:val="none" w:sz="0" w:space="0" w:color="auto"/>
                    <w:right w:val="none" w:sz="0" w:space="0" w:color="auto"/>
                  </w:divBdr>
                  <w:divsChild>
                    <w:div w:id="1288245525">
                      <w:marLeft w:val="0"/>
                      <w:marRight w:val="0"/>
                      <w:marTop w:val="0"/>
                      <w:marBottom w:val="0"/>
                      <w:divBdr>
                        <w:top w:val="none" w:sz="0" w:space="0" w:color="auto"/>
                        <w:left w:val="none" w:sz="0" w:space="0" w:color="auto"/>
                        <w:bottom w:val="none" w:sz="0" w:space="0" w:color="auto"/>
                        <w:right w:val="none" w:sz="0" w:space="0" w:color="auto"/>
                      </w:divBdr>
                    </w:div>
                  </w:divsChild>
                </w:div>
                <w:div w:id="1812213410">
                  <w:marLeft w:val="0"/>
                  <w:marRight w:val="0"/>
                  <w:marTop w:val="0"/>
                  <w:marBottom w:val="0"/>
                  <w:divBdr>
                    <w:top w:val="none" w:sz="0" w:space="0" w:color="auto"/>
                    <w:left w:val="none" w:sz="0" w:space="0" w:color="auto"/>
                    <w:bottom w:val="none" w:sz="0" w:space="0" w:color="auto"/>
                    <w:right w:val="none" w:sz="0" w:space="0" w:color="auto"/>
                  </w:divBdr>
                  <w:divsChild>
                    <w:div w:id="36325117">
                      <w:marLeft w:val="0"/>
                      <w:marRight w:val="0"/>
                      <w:marTop w:val="0"/>
                      <w:marBottom w:val="0"/>
                      <w:divBdr>
                        <w:top w:val="none" w:sz="0" w:space="0" w:color="auto"/>
                        <w:left w:val="none" w:sz="0" w:space="0" w:color="auto"/>
                        <w:bottom w:val="none" w:sz="0" w:space="0" w:color="auto"/>
                        <w:right w:val="none" w:sz="0" w:space="0" w:color="auto"/>
                      </w:divBdr>
                    </w:div>
                  </w:divsChild>
                </w:div>
                <w:div w:id="1822960527">
                  <w:marLeft w:val="0"/>
                  <w:marRight w:val="0"/>
                  <w:marTop w:val="0"/>
                  <w:marBottom w:val="0"/>
                  <w:divBdr>
                    <w:top w:val="none" w:sz="0" w:space="0" w:color="auto"/>
                    <w:left w:val="none" w:sz="0" w:space="0" w:color="auto"/>
                    <w:bottom w:val="none" w:sz="0" w:space="0" w:color="auto"/>
                    <w:right w:val="none" w:sz="0" w:space="0" w:color="auto"/>
                  </w:divBdr>
                  <w:divsChild>
                    <w:div w:id="328758176">
                      <w:marLeft w:val="0"/>
                      <w:marRight w:val="0"/>
                      <w:marTop w:val="0"/>
                      <w:marBottom w:val="0"/>
                      <w:divBdr>
                        <w:top w:val="none" w:sz="0" w:space="0" w:color="auto"/>
                        <w:left w:val="none" w:sz="0" w:space="0" w:color="auto"/>
                        <w:bottom w:val="none" w:sz="0" w:space="0" w:color="auto"/>
                        <w:right w:val="none" w:sz="0" w:space="0" w:color="auto"/>
                      </w:divBdr>
                    </w:div>
                  </w:divsChild>
                </w:div>
                <w:div w:id="1832020995">
                  <w:marLeft w:val="0"/>
                  <w:marRight w:val="0"/>
                  <w:marTop w:val="0"/>
                  <w:marBottom w:val="0"/>
                  <w:divBdr>
                    <w:top w:val="none" w:sz="0" w:space="0" w:color="auto"/>
                    <w:left w:val="none" w:sz="0" w:space="0" w:color="auto"/>
                    <w:bottom w:val="none" w:sz="0" w:space="0" w:color="auto"/>
                    <w:right w:val="none" w:sz="0" w:space="0" w:color="auto"/>
                  </w:divBdr>
                  <w:divsChild>
                    <w:div w:id="1656109980">
                      <w:marLeft w:val="0"/>
                      <w:marRight w:val="0"/>
                      <w:marTop w:val="0"/>
                      <w:marBottom w:val="0"/>
                      <w:divBdr>
                        <w:top w:val="none" w:sz="0" w:space="0" w:color="auto"/>
                        <w:left w:val="none" w:sz="0" w:space="0" w:color="auto"/>
                        <w:bottom w:val="none" w:sz="0" w:space="0" w:color="auto"/>
                        <w:right w:val="none" w:sz="0" w:space="0" w:color="auto"/>
                      </w:divBdr>
                    </w:div>
                  </w:divsChild>
                </w:div>
                <w:div w:id="1838574271">
                  <w:marLeft w:val="0"/>
                  <w:marRight w:val="0"/>
                  <w:marTop w:val="0"/>
                  <w:marBottom w:val="0"/>
                  <w:divBdr>
                    <w:top w:val="none" w:sz="0" w:space="0" w:color="auto"/>
                    <w:left w:val="none" w:sz="0" w:space="0" w:color="auto"/>
                    <w:bottom w:val="none" w:sz="0" w:space="0" w:color="auto"/>
                    <w:right w:val="none" w:sz="0" w:space="0" w:color="auto"/>
                  </w:divBdr>
                  <w:divsChild>
                    <w:div w:id="671759861">
                      <w:marLeft w:val="0"/>
                      <w:marRight w:val="0"/>
                      <w:marTop w:val="0"/>
                      <w:marBottom w:val="0"/>
                      <w:divBdr>
                        <w:top w:val="none" w:sz="0" w:space="0" w:color="auto"/>
                        <w:left w:val="none" w:sz="0" w:space="0" w:color="auto"/>
                        <w:bottom w:val="none" w:sz="0" w:space="0" w:color="auto"/>
                        <w:right w:val="none" w:sz="0" w:space="0" w:color="auto"/>
                      </w:divBdr>
                    </w:div>
                  </w:divsChild>
                </w:div>
                <w:div w:id="1846624334">
                  <w:marLeft w:val="0"/>
                  <w:marRight w:val="0"/>
                  <w:marTop w:val="0"/>
                  <w:marBottom w:val="0"/>
                  <w:divBdr>
                    <w:top w:val="none" w:sz="0" w:space="0" w:color="auto"/>
                    <w:left w:val="none" w:sz="0" w:space="0" w:color="auto"/>
                    <w:bottom w:val="none" w:sz="0" w:space="0" w:color="auto"/>
                    <w:right w:val="none" w:sz="0" w:space="0" w:color="auto"/>
                  </w:divBdr>
                  <w:divsChild>
                    <w:div w:id="2036417166">
                      <w:marLeft w:val="0"/>
                      <w:marRight w:val="0"/>
                      <w:marTop w:val="0"/>
                      <w:marBottom w:val="0"/>
                      <w:divBdr>
                        <w:top w:val="none" w:sz="0" w:space="0" w:color="auto"/>
                        <w:left w:val="none" w:sz="0" w:space="0" w:color="auto"/>
                        <w:bottom w:val="none" w:sz="0" w:space="0" w:color="auto"/>
                        <w:right w:val="none" w:sz="0" w:space="0" w:color="auto"/>
                      </w:divBdr>
                    </w:div>
                  </w:divsChild>
                </w:div>
                <w:div w:id="1863319866">
                  <w:marLeft w:val="0"/>
                  <w:marRight w:val="0"/>
                  <w:marTop w:val="0"/>
                  <w:marBottom w:val="0"/>
                  <w:divBdr>
                    <w:top w:val="none" w:sz="0" w:space="0" w:color="auto"/>
                    <w:left w:val="none" w:sz="0" w:space="0" w:color="auto"/>
                    <w:bottom w:val="none" w:sz="0" w:space="0" w:color="auto"/>
                    <w:right w:val="none" w:sz="0" w:space="0" w:color="auto"/>
                  </w:divBdr>
                  <w:divsChild>
                    <w:div w:id="1923180187">
                      <w:marLeft w:val="0"/>
                      <w:marRight w:val="0"/>
                      <w:marTop w:val="0"/>
                      <w:marBottom w:val="0"/>
                      <w:divBdr>
                        <w:top w:val="none" w:sz="0" w:space="0" w:color="auto"/>
                        <w:left w:val="none" w:sz="0" w:space="0" w:color="auto"/>
                        <w:bottom w:val="none" w:sz="0" w:space="0" w:color="auto"/>
                        <w:right w:val="none" w:sz="0" w:space="0" w:color="auto"/>
                      </w:divBdr>
                    </w:div>
                  </w:divsChild>
                </w:div>
                <w:div w:id="1868642236">
                  <w:marLeft w:val="0"/>
                  <w:marRight w:val="0"/>
                  <w:marTop w:val="0"/>
                  <w:marBottom w:val="0"/>
                  <w:divBdr>
                    <w:top w:val="none" w:sz="0" w:space="0" w:color="auto"/>
                    <w:left w:val="none" w:sz="0" w:space="0" w:color="auto"/>
                    <w:bottom w:val="none" w:sz="0" w:space="0" w:color="auto"/>
                    <w:right w:val="none" w:sz="0" w:space="0" w:color="auto"/>
                  </w:divBdr>
                  <w:divsChild>
                    <w:div w:id="1953854185">
                      <w:marLeft w:val="0"/>
                      <w:marRight w:val="0"/>
                      <w:marTop w:val="0"/>
                      <w:marBottom w:val="0"/>
                      <w:divBdr>
                        <w:top w:val="none" w:sz="0" w:space="0" w:color="auto"/>
                        <w:left w:val="none" w:sz="0" w:space="0" w:color="auto"/>
                        <w:bottom w:val="none" w:sz="0" w:space="0" w:color="auto"/>
                        <w:right w:val="none" w:sz="0" w:space="0" w:color="auto"/>
                      </w:divBdr>
                    </w:div>
                  </w:divsChild>
                </w:div>
                <w:div w:id="1874146637">
                  <w:marLeft w:val="0"/>
                  <w:marRight w:val="0"/>
                  <w:marTop w:val="0"/>
                  <w:marBottom w:val="0"/>
                  <w:divBdr>
                    <w:top w:val="none" w:sz="0" w:space="0" w:color="auto"/>
                    <w:left w:val="none" w:sz="0" w:space="0" w:color="auto"/>
                    <w:bottom w:val="none" w:sz="0" w:space="0" w:color="auto"/>
                    <w:right w:val="none" w:sz="0" w:space="0" w:color="auto"/>
                  </w:divBdr>
                  <w:divsChild>
                    <w:div w:id="1363483136">
                      <w:marLeft w:val="0"/>
                      <w:marRight w:val="0"/>
                      <w:marTop w:val="0"/>
                      <w:marBottom w:val="0"/>
                      <w:divBdr>
                        <w:top w:val="none" w:sz="0" w:space="0" w:color="auto"/>
                        <w:left w:val="none" w:sz="0" w:space="0" w:color="auto"/>
                        <w:bottom w:val="none" w:sz="0" w:space="0" w:color="auto"/>
                        <w:right w:val="none" w:sz="0" w:space="0" w:color="auto"/>
                      </w:divBdr>
                    </w:div>
                  </w:divsChild>
                </w:div>
                <w:div w:id="1881894814">
                  <w:marLeft w:val="0"/>
                  <w:marRight w:val="0"/>
                  <w:marTop w:val="0"/>
                  <w:marBottom w:val="0"/>
                  <w:divBdr>
                    <w:top w:val="none" w:sz="0" w:space="0" w:color="auto"/>
                    <w:left w:val="none" w:sz="0" w:space="0" w:color="auto"/>
                    <w:bottom w:val="none" w:sz="0" w:space="0" w:color="auto"/>
                    <w:right w:val="none" w:sz="0" w:space="0" w:color="auto"/>
                  </w:divBdr>
                  <w:divsChild>
                    <w:div w:id="2070222302">
                      <w:marLeft w:val="0"/>
                      <w:marRight w:val="0"/>
                      <w:marTop w:val="0"/>
                      <w:marBottom w:val="0"/>
                      <w:divBdr>
                        <w:top w:val="none" w:sz="0" w:space="0" w:color="auto"/>
                        <w:left w:val="none" w:sz="0" w:space="0" w:color="auto"/>
                        <w:bottom w:val="none" w:sz="0" w:space="0" w:color="auto"/>
                        <w:right w:val="none" w:sz="0" w:space="0" w:color="auto"/>
                      </w:divBdr>
                    </w:div>
                  </w:divsChild>
                </w:div>
                <w:div w:id="1887058682">
                  <w:marLeft w:val="0"/>
                  <w:marRight w:val="0"/>
                  <w:marTop w:val="0"/>
                  <w:marBottom w:val="0"/>
                  <w:divBdr>
                    <w:top w:val="none" w:sz="0" w:space="0" w:color="auto"/>
                    <w:left w:val="none" w:sz="0" w:space="0" w:color="auto"/>
                    <w:bottom w:val="none" w:sz="0" w:space="0" w:color="auto"/>
                    <w:right w:val="none" w:sz="0" w:space="0" w:color="auto"/>
                  </w:divBdr>
                  <w:divsChild>
                    <w:div w:id="634021614">
                      <w:marLeft w:val="0"/>
                      <w:marRight w:val="0"/>
                      <w:marTop w:val="0"/>
                      <w:marBottom w:val="0"/>
                      <w:divBdr>
                        <w:top w:val="none" w:sz="0" w:space="0" w:color="auto"/>
                        <w:left w:val="none" w:sz="0" w:space="0" w:color="auto"/>
                        <w:bottom w:val="none" w:sz="0" w:space="0" w:color="auto"/>
                        <w:right w:val="none" w:sz="0" w:space="0" w:color="auto"/>
                      </w:divBdr>
                    </w:div>
                  </w:divsChild>
                </w:div>
                <w:div w:id="1895769232">
                  <w:marLeft w:val="0"/>
                  <w:marRight w:val="0"/>
                  <w:marTop w:val="0"/>
                  <w:marBottom w:val="0"/>
                  <w:divBdr>
                    <w:top w:val="none" w:sz="0" w:space="0" w:color="auto"/>
                    <w:left w:val="none" w:sz="0" w:space="0" w:color="auto"/>
                    <w:bottom w:val="none" w:sz="0" w:space="0" w:color="auto"/>
                    <w:right w:val="none" w:sz="0" w:space="0" w:color="auto"/>
                  </w:divBdr>
                  <w:divsChild>
                    <w:div w:id="1450661643">
                      <w:marLeft w:val="0"/>
                      <w:marRight w:val="0"/>
                      <w:marTop w:val="0"/>
                      <w:marBottom w:val="0"/>
                      <w:divBdr>
                        <w:top w:val="none" w:sz="0" w:space="0" w:color="auto"/>
                        <w:left w:val="none" w:sz="0" w:space="0" w:color="auto"/>
                        <w:bottom w:val="none" w:sz="0" w:space="0" w:color="auto"/>
                        <w:right w:val="none" w:sz="0" w:space="0" w:color="auto"/>
                      </w:divBdr>
                    </w:div>
                  </w:divsChild>
                </w:div>
                <w:div w:id="1900091168">
                  <w:marLeft w:val="0"/>
                  <w:marRight w:val="0"/>
                  <w:marTop w:val="0"/>
                  <w:marBottom w:val="0"/>
                  <w:divBdr>
                    <w:top w:val="none" w:sz="0" w:space="0" w:color="auto"/>
                    <w:left w:val="none" w:sz="0" w:space="0" w:color="auto"/>
                    <w:bottom w:val="none" w:sz="0" w:space="0" w:color="auto"/>
                    <w:right w:val="none" w:sz="0" w:space="0" w:color="auto"/>
                  </w:divBdr>
                  <w:divsChild>
                    <w:div w:id="141582346">
                      <w:marLeft w:val="0"/>
                      <w:marRight w:val="0"/>
                      <w:marTop w:val="0"/>
                      <w:marBottom w:val="0"/>
                      <w:divBdr>
                        <w:top w:val="none" w:sz="0" w:space="0" w:color="auto"/>
                        <w:left w:val="none" w:sz="0" w:space="0" w:color="auto"/>
                        <w:bottom w:val="none" w:sz="0" w:space="0" w:color="auto"/>
                        <w:right w:val="none" w:sz="0" w:space="0" w:color="auto"/>
                      </w:divBdr>
                    </w:div>
                  </w:divsChild>
                </w:div>
                <w:div w:id="1907111597">
                  <w:marLeft w:val="0"/>
                  <w:marRight w:val="0"/>
                  <w:marTop w:val="0"/>
                  <w:marBottom w:val="0"/>
                  <w:divBdr>
                    <w:top w:val="none" w:sz="0" w:space="0" w:color="auto"/>
                    <w:left w:val="none" w:sz="0" w:space="0" w:color="auto"/>
                    <w:bottom w:val="none" w:sz="0" w:space="0" w:color="auto"/>
                    <w:right w:val="none" w:sz="0" w:space="0" w:color="auto"/>
                  </w:divBdr>
                  <w:divsChild>
                    <w:div w:id="574516098">
                      <w:marLeft w:val="0"/>
                      <w:marRight w:val="0"/>
                      <w:marTop w:val="0"/>
                      <w:marBottom w:val="0"/>
                      <w:divBdr>
                        <w:top w:val="none" w:sz="0" w:space="0" w:color="auto"/>
                        <w:left w:val="none" w:sz="0" w:space="0" w:color="auto"/>
                        <w:bottom w:val="none" w:sz="0" w:space="0" w:color="auto"/>
                        <w:right w:val="none" w:sz="0" w:space="0" w:color="auto"/>
                      </w:divBdr>
                    </w:div>
                  </w:divsChild>
                </w:div>
                <w:div w:id="1921333582">
                  <w:marLeft w:val="0"/>
                  <w:marRight w:val="0"/>
                  <w:marTop w:val="0"/>
                  <w:marBottom w:val="0"/>
                  <w:divBdr>
                    <w:top w:val="none" w:sz="0" w:space="0" w:color="auto"/>
                    <w:left w:val="none" w:sz="0" w:space="0" w:color="auto"/>
                    <w:bottom w:val="none" w:sz="0" w:space="0" w:color="auto"/>
                    <w:right w:val="none" w:sz="0" w:space="0" w:color="auto"/>
                  </w:divBdr>
                  <w:divsChild>
                    <w:div w:id="371812599">
                      <w:marLeft w:val="0"/>
                      <w:marRight w:val="0"/>
                      <w:marTop w:val="0"/>
                      <w:marBottom w:val="0"/>
                      <w:divBdr>
                        <w:top w:val="none" w:sz="0" w:space="0" w:color="auto"/>
                        <w:left w:val="none" w:sz="0" w:space="0" w:color="auto"/>
                        <w:bottom w:val="none" w:sz="0" w:space="0" w:color="auto"/>
                        <w:right w:val="none" w:sz="0" w:space="0" w:color="auto"/>
                      </w:divBdr>
                    </w:div>
                  </w:divsChild>
                </w:div>
                <w:div w:id="1948996739">
                  <w:marLeft w:val="0"/>
                  <w:marRight w:val="0"/>
                  <w:marTop w:val="0"/>
                  <w:marBottom w:val="0"/>
                  <w:divBdr>
                    <w:top w:val="none" w:sz="0" w:space="0" w:color="auto"/>
                    <w:left w:val="none" w:sz="0" w:space="0" w:color="auto"/>
                    <w:bottom w:val="none" w:sz="0" w:space="0" w:color="auto"/>
                    <w:right w:val="none" w:sz="0" w:space="0" w:color="auto"/>
                  </w:divBdr>
                  <w:divsChild>
                    <w:div w:id="1635258242">
                      <w:marLeft w:val="0"/>
                      <w:marRight w:val="0"/>
                      <w:marTop w:val="0"/>
                      <w:marBottom w:val="0"/>
                      <w:divBdr>
                        <w:top w:val="none" w:sz="0" w:space="0" w:color="auto"/>
                        <w:left w:val="none" w:sz="0" w:space="0" w:color="auto"/>
                        <w:bottom w:val="none" w:sz="0" w:space="0" w:color="auto"/>
                        <w:right w:val="none" w:sz="0" w:space="0" w:color="auto"/>
                      </w:divBdr>
                    </w:div>
                  </w:divsChild>
                </w:div>
                <w:div w:id="1985087618">
                  <w:marLeft w:val="0"/>
                  <w:marRight w:val="0"/>
                  <w:marTop w:val="0"/>
                  <w:marBottom w:val="0"/>
                  <w:divBdr>
                    <w:top w:val="none" w:sz="0" w:space="0" w:color="auto"/>
                    <w:left w:val="none" w:sz="0" w:space="0" w:color="auto"/>
                    <w:bottom w:val="none" w:sz="0" w:space="0" w:color="auto"/>
                    <w:right w:val="none" w:sz="0" w:space="0" w:color="auto"/>
                  </w:divBdr>
                  <w:divsChild>
                    <w:div w:id="63308156">
                      <w:marLeft w:val="0"/>
                      <w:marRight w:val="0"/>
                      <w:marTop w:val="0"/>
                      <w:marBottom w:val="0"/>
                      <w:divBdr>
                        <w:top w:val="none" w:sz="0" w:space="0" w:color="auto"/>
                        <w:left w:val="none" w:sz="0" w:space="0" w:color="auto"/>
                        <w:bottom w:val="none" w:sz="0" w:space="0" w:color="auto"/>
                        <w:right w:val="none" w:sz="0" w:space="0" w:color="auto"/>
                      </w:divBdr>
                    </w:div>
                  </w:divsChild>
                </w:div>
                <w:div w:id="2002272791">
                  <w:marLeft w:val="0"/>
                  <w:marRight w:val="0"/>
                  <w:marTop w:val="0"/>
                  <w:marBottom w:val="0"/>
                  <w:divBdr>
                    <w:top w:val="none" w:sz="0" w:space="0" w:color="auto"/>
                    <w:left w:val="none" w:sz="0" w:space="0" w:color="auto"/>
                    <w:bottom w:val="none" w:sz="0" w:space="0" w:color="auto"/>
                    <w:right w:val="none" w:sz="0" w:space="0" w:color="auto"/>
                  </w:divBdr>
                  <w:divsChild>
                    <w:div w:id="1951427534">
                      <w:marLeft w:val="0"/>
                      <w:marRight w:val="0"/>
                      <w:marTop w:val="0"/>
                      <w:marBottom w:val="0"/>
                      <w:divBdr>
                        <w:top w:val="none" w:sz="0" w:space="0" w:color="auto"/>
                        <w:left w:val="none" w:sz="0" w:space="0" w:color="auto"/>
                        <w:bottom w:val="none" w:sz="0" w:space="0" w:color="auto"/>
                        <w:right w:val="none" w:sz="0" w:space="0" w:color="auto"/>
                      </w:divBdr>
                    </w:div>
                  </w:divsChild>
                </w:div>
                <w:div w:id="2011638715">
                  <w:marLeft w:val="0"/>
                  <w:marRight w:val="0"/>
                  <w:marTop w:val="0"/>
                  <w:marBottom w:val="0"/>
                  <w:divBdr>
                    <w:top w:val="none" w:sz="0" w:space="0" w:color="auto"/>
                    <w:left w:val="none" w:sz="0" w:space="0" w:color="auto"/>
                    <w:bottom w:val="none" w:sz="0" w:space="0" w:color="auto"/>
                    <w:right w:val="none" w:sz="0" w:space="0" w:color="auto"/>
                  </w:divBdr>
                  <w:divsChild>
                    <w:div w:id="743651208">
                      <w:marLeft w:val="0"/>
                      <w:marRight w:val="0"/>
                      <w:marTop w:val="0"/>
                      <w:marBottom w:val="0"/>
                      <w:divBdr>
                        <w:top w:val="none" w:sz="0" w:space="0" w:color="auto"/>
                        <w:left w:val="none" w:sz="0" w:space="0" w:color="auto"/>
                        <w:bottom w:val="none" w:sz="0" w:space="0" w:color="auto"/>
                        <w:right w:val="none" w:sz="0" w:space="0" w:color="auto"/>
                      </w:divBdr>
                    </w:div>
                  </w:divsChild>
                </w:div>
                <w:div w:id="2015767334">
                  <w:marLeft w:val="0"/>
                  <w:marRight w:val="0"/>
                  <w:marTop w:val="0"/>
                  <w:marBottom w:val="0"/>
                  <w:divBdr>
                    <w:top w:val="none" w:sz="0" w:space="0" w:color="auto"/>
                    <w:left w:val="none" w:sz="0" w:space="0" w:color="auto"/>
                    <w:bottom w:val="none" w:sz="0" w:space="0" w:color="auto"/>
                    <w:right w:val="none" w:sz="0" w:space="0" w:color="auto"/>
                  </w:divBdr>
                  <w:divsChild>
                    <w:div w:id="287860619">
                      <w:marLeft w:val="0"/>
                      <w:marRight w:val="0"/>
                      <w:marTop w:val="0"/>
                      <w:marBottom w:val="0"/>
                      <w:divBdr>
                        <w:top w:val="none" w:sz="0" w:space="0" w:color="auto"/>
                        <w:left w:val="none" w:sz="0" w:space="0" w:color="auto"/>
                        <w:bottom w:val="none" w:sz="0" w:space="0" w:color="auto"/>
                        <w:right w:val="none" w:sz="0" w:space="0" w:color="auto"/>
                      </w:divBdr>
                    </w:div>
                  </w:divsChild>
                </w:div>
                <w:div w:id="2031103034">
                  <w:marLeft w:val="0"/>
                  <w:marRight w:val="0"/>
                  <w:marTop w:val="0"/>
                  <w:marBottom w:val="0"/>
                  <w:divBdr>
                    <w:top w:val="none" w:sz="0" w:space="0" w:color="auto"/>
                    <w:left w:val="none" w:sz="0" w:space="0" w:color="auto"/>
                    <w:bottom w:val="none" w:sz="0" w:space="0" w:color="auto"/>
                    <w:right w:val="none" w:sz="0" w:space="0" w:color="auto"/>
                  </w:divBdr>
                  <w:divsChild>
                    <w:div w:id="982932596">
                      <w:marLeft w:val="0"/>
                      <w:marRight w:val="0"/>
                      <w:marTop w:val="0"/>
                      <w:marBottom w:val="0"/>
                      <w:divBdr>
                        <w:top w:val="none" w:sz="0" w:space="0" w:color="auto"/>
                        <w:left w:val="none" w:sz="0" w:space="0" w:color="auto"/>
                        <w:bottom w:val="none" w:sz="0" w:space="0" w:color="auto"/>
                        <w:right w:val="none" w:sz="0" w:space="0" w:color="auto"/>
                      </w:divBdr>
                    </w:div>
                  </w:divsChild>
                </w:div>
                <w:div w:id="2050571199">
                  <w:marLeft w:val="0"/>
                  <w:marRight w:val="0"/>
                  <w:marTop w:val="0"/>
                  <w:marBottom w:val="0"/>
                  <w:divBdr>
                    <w:top w:val="none" w:sz="0" w:space="0" w:color="auto"/>
                    <w:left w:val="none" w:sz="0" w:space="0" w:color="auto"/>
                    <w:bottom w:val="none" w:sz="0" w:space="0" w:color="auto"/>
                    <w:right w:val="none" w:sz="0" w:space="0" w:color="auto"/>
                  </w:divBdr>
                  <w:divsChild>
                    <w:div w:id="980811936">
                      <w:marLeft w:val="0"/>
                      <w:marRight w:val="0"/>
                      <w:marTop w:val="0"/>
                      <w:marBottom w:val="0"/>
                      <w:divBdr>
                        <w:top w:val="none" w:sz="0" w:space="0" w:color="auto"/>
                        <w:left w:val="none" w:sz="0" w:space="0" w:color="auto"/>
                        <w:bottom w:val="none" w:sz="0" w:space="0" w:color="auto"/>
                        <w:right w:val="none" w:sz="0" w:space="0" w:color="auto"/>
                      </w:divBdr>
                    </w:div>
                  </w:divsChild>
                </w:div>
                <w:div w:id="2053532567">
                  <w:marLeft w:val="0"/>
                  <w:marRight w:val="0"/>
                  <w:marTop w:val="0"/>
                  <w:marBottom w:val="0"/>
                  <w:divBdr>
                    <w:top w:val="none" w:sz="0" w:space="0" w:color="auto"/>
                    <w:left w:val="none" w:sz="0" w:space="0" w:color="auto"/>
                    <w:bottom w:val="none" w:sz="0" w:space="0" w:color="auto"/>
                    <w:right w:val="none" w:sz="0" w:space="0" w:color="auto"/>
                  </w:divBdr>
                  <w:divsChild>
                    <w:div w:id="1581214554">
                      <w:marLeft w:val="0"/>
                      <w:marRight w:val="0"/>
                      <w:marTop w:val="0"/>
                      <w:marBottom w:val="0"/>
                      <w:divBdr>
                        <w:top w:val="none" w:sz="0" w:space="0" w:color="auto"/>
                        <w:left w:val="none" w:sz="0" w:space="0" w:color="auto"/>
                        <w:bottom w:val="none" w:sz="0" w:space="0" w:color="auto"/>
                        <w:right w:val="none" w:sz="0" w:space="0" w:color="auto"/>
                      </w:divBdr>
                    </w:div>
                  </w:divsChild>
                </w:div>
                <w:div w:id="2058970609">
                  <w:marLeft w:val="0"/>
                  <w:marRight w:val="0"/>
                  <w:marTop w:val="0"/>
                  <w:marBottom w:val="0"/>
                  <w:divBdr>
                    <w:top w:val="none" w:sz="0" w:space="0" w:color="auto"/>
                    <w:left w:val="none" w:sz="0" w:space="0" w:color="auto"/>
                    <w:bottom w:val="none" w:sz="0" w:space="0" w:color="auto"/>
                    <w:right w:val="none" w:sz="0" w:space="0" w:color="auto"/>
                  </w:divBdr>
                  <w:divsChild>
                    <w:div w:id="610822948">
                      <w:marLeft w:val="0"/>
                      <w:marRight w:val="0"/>
                      <w:marTop w:val="0"/>
                      <w:marBottom w:val="0"/>
                      <w:divBdr>
                        <w:top w:val="none" w:sz="0" w:space="0" w:color="auto"/>
                        <w:left w:val="none" w:sz="0" w:space="0" w:color="auto"/>
                        <w:bottom w:val="none" w:sz="0" w:space="0" w:color="auto"/>
                        <w:right w:val="none" w:sz="0" w:space="0" w:color="auto"/>
                      </w:divBdr>
                    </w:div>
                  </w:divsChild>
                </w:div>
                <w:div w:id="2064399198">
                  <w:marLeft w:val="0"/>
                  <w:marRight w:val="0"/>
                  <w:marTop w:val="0"/>
                  <w:marBottom w:val="0"/>
                  <w:divBdr>
                    <w:top w:val="none" w:sz="0" w:space="0" w:color="auto"/>
                    <w:left w:val="none" w:sz="0" w:space="0" w:color="auto"/>
                    <w:bottom w:val="none" w:sz="0" w:space="0" w:color="auto"/>
                    <w:right w:val="none" w:sz="0" w:space="0" w:color="auto"/>
                  </w:divBdr>
                  <w:divsChild>
                    <w:div w:id="1342243003">
                      <w:marLeft w:val="0"/>
                      <w:marRight w:val="0"/>
                      <w:marTop w:val="0"/>
                      <w:marBottom w:val="0"/>
                      <w:divBdr>
                        <w:top w:val="none" w:sz="0" w:space="0" w:color="auto"/>
                        <w:left w:val="none" w:sz="0" w:space="0" w:color="auto"/>
                        <w:bottom w:val="none" w:sz="0" w:space="0" w:color="auto"/>
                        <w:right w:val="none" w:sz="0" w:space="0" w:color="auto"/>
                      </w:divBdr>
                    </w:div>
                  </w:divsChild>
                </w:div>
                <w:div w:id="2065639736">
                  <w:marLeft w:val="0"/>
                  <w:marRight w:val="0"/>
                  <w:marTop w:val="0"/>
                  <w:marBottom w:val="0"/>
                  <w:divBdr>
                    <w:top w:val="none" w:sz="0" w:space="0" w:color="auto"/>
                    <w:left w:val="none" w:sz="0" w:space="0" w:color="auto"/>
                    <w:bottom w:val="none" w:sz="0" w:space="0" w:color="auto"/>
                    <w:right w:val="none" w:sz="0" w:space="0" w:color="auto"/>
                  </w:divBdr>
                  <w:divsChild>
                    <w:div w:id="1502313981">
                      <w:marLeft w:val="0"/>
                      <w:marRight w:val="0"/>
                      <w:marTop w:val="0"/>
                      <w:marBottom w:val="0"/>
                      <w:divBdr>
                        <w:top w:val="none" w:sz="0" w:space="0" w:color="auto"/>
                        <w:left w:val="none" w:sz="0" w:space="0" w:color="auto"/>
                        <w:bottom w:val="none" w:sz="0" w:space="0" w:color="auto"/>
                        <w:right w:val="none" w:sz="0" w:space="0" w:color="auto"/>
                      </w:divBdr>
                    </w:div>
                  </w:divsChild>
                </w:div>
                <w:div w:id="2067025314">
                  <w:marLeft w:val="0"/>
                  <w:marRight w:val="0"/>
                  <w:marTop w:val="0"/>
                  <w:marBottom w:val="0"/>
                  <w:divBdr>
                    <w:top w:val="none" w:sz="0" w:space="0" w:color="auto"/>
                    <w:left w:val="none" w:sz="0" w:space="0" w:color="auto"/>
                    <w:bottom w:val="none" w:sz="0" w:space="0" w:color="auto"/>
                    <w:right w:val="none" w:sz="0" w:space="0" w:color="auto"/>
                  </w:divBdr>
                  <w:divsChild>
                    <w:div w:id="1902868501">
                      <w:marLeft w:val="0"/>
                      <w:marRight w:val="0"/>
                      <w:marTop w:val="0"/>
                      <w:marBottom w:val="0"/>
                      <w:divBdr>
                        <w:top w:val="none" w:sz="0" w:space="0" w:color="auto"/>
                        <w:left w:val="none" w:sz="0" w:space="0" w:color="auto"/>
                        <w:bottom w:val="none" w:sz="0" w:space="0" w:color="auto"/>
                        <w:right w:val="none" w:sz="0" w:space="0" w:color="auto"/>
                      </w:divBdr>
                    </w:div>
                  </w:divsChild>
                </w:div>
                <w:div w:id="2072120131">
                  <w:marLeft w:val="0"/>
                  <w:marRight w:val="0"/>
                  <w:marTop w:val="0"/>
                  <w:marBottom w:val="0"/>
                  <w:divBdr>
                    <w:top w:val="none" w:sz="0" w:space="0" w:color="auto"/>
                    <w:left w:val="none" w:sz="0" w:space="0" w:color="auto"/>
                    <w:bottom w:val="none" w:sz="0" w:space="0" w:color="auto"/>
                    <w:right w:val="none" w:sz="0" w:space="0" w:color="auto"/>
                  </w:divBdr>
                  <w:divsChild>
                    <w:div w:id="588658421">
                      <w:marLeft w:val="0"/>
                      <w:marRight w:val="0"/>
                      <w:marTop w:val="0"/>
                      <w:marBottom w:val="0"/>
                      <w:divBdr>
                        <w:top w:val="none" w:sz="0" w:space="0" w:color="auto"/>
                        <w:left w:val="none" w:sz="0" w:space="0" w:color="auto"/>
                        <w:bottom w:val="none" w:sz="0" w:space="0" w:color="auto"/>
                        <w:right w:val="none" w:sz="0" w:space="0" w:color="auto"/>
                      </w:divBdr>
                    </w:div>
                  </w:divsChild>
                </w:div>
                <w:div w:id="2076659382">
                  <w:marLeft w:val="0"/>
                  <w:marRight w:val="0"/>
                  <w:marTop w:val="0"/>
                  <w:marBottom w:val="0"/>
                  <w:divBdr>
                    <w:top w:val="none" w:sz="0" w:space="0" w:color="auto"/>
                    <w:left w:val="none" w:sz="0" w:space="0" w:color="auto"/>
                    <w:bottom w:val="none" w:sz="0" w:space="0" w:color="auto"/>
                    <w:right w:val="none" w:sz="0" w:space="0" w:color="auto"/>
                  </w:divBdr>
                  <w:divsChild>
                    <w:div w:id="1860385362">
                      <w:marLeft w:val="0"/>
                      <w:marRight w:val="0"/>
                      <w:marTop w:val="0"/>
                      <w:marBottom w:val="0"/>
                      <w:divBdr>
                        <w:top w:val="none" w:sz="0" w:space="0" w:color="auto"/>
                        <w:left w:val="none" w:sz="0" w:space="0" w:color="auto"/>
                        <w:bottom w:val="none" w:sz="0" w:space="0" w:color="auto"/>
                        <w:right w:val="none" w:sz="0" w:space="0" w:color="auto"/>
                      </w:divBdr>
                    </w:div>
                  </w:divsChild>
                </w:div>
                <w:div w:id="2077318544">
                  <w:marLeft w:val="0"/>
                  <w:marRight w:val="0"/>
                  <w:marTop w:val="0"/>
                  <w:marBottom w:val="0"/>
                  <w:divBdr>
                    <w:top w:val="none" w:sz="0" w:space="0" w:color="auto"/>
                    <w:left w:val="none" w:sz="0" w:space="0" w:color="auto"/>
                    <w:bottom w:val="none" w:sz="0" w:space="0" w:color="auto"/>
                    <w:right w:val="none" w:sz="0" w:space="0" w:color="auto"/>
                  </w:divBdr>
                  <w:divsChild>
                    <w:div w:id="288316395">
                      <w:marLeft w:val="0"/>
                      <w:marRight w:val="0"/>
                      <w:marTop w:val="0"/>
                      <w:marBottom w:val="0"/>
                      <w:divBdr>
                        <w:top w:val="none" w:sz="0" w:space="0" w:color="auto"/>
                        <w:left w:val="none" w:sz="0" w:space="0" w:color="auto"/>
                        <w:bottom w:val="none" w:sz="0" w:space="0" w:color="auto"/>
                        <w:right w:val="none" w:sz="0" w:space="0" w:color="auto"/>
                      </w:divBdr>
                    </w:div>
                  </w:divsChild>
                </w:div>
                <w:div w:id="2087069602">
                  <w:marLeft w:val="0"/>
                  <w:marRight w:val="0"/>
                  <w:marTop w:val="0"/>
                  <w:marBottom w:val="0"/>
                  <w:divBdr>
                    <w:top w:val="none" w:sz="0" w:space="0" w:color="auto"/>
                    <w:left w:val="none" w:sz="0" w:space="0" w:color="auto"/>
                    <w:bottom w:val="none" w:sz="0" w:space="0" w:color="auto"/>
                    <w:right w:val="none" w:sz="0" w:space="0" w:color="auto"/>
                  </w:divBdr>
                  <w:divsChild>
                    <w:div w:id="1136681153">
                      <w:marLeft w:val="0"/>
                      <w:marRight w:val="0"/>
                      <w:marTop w:val="0"/>
                      <w:marBottom w:val="0"/>
                      <w:divBdr>
                        <w:top w:val="none" w:sz="0" w:space="0" w:color="auto"/>
                        <w:left w:val="none" w:sz="0" w:space="0" w:color="auto"/>
                        <w:bottom w:val="none" w:sz="0" w:space="0" w:color="auto"/>
                        <w:right w:val="none" w:sz="0" w:space="0" w:color="auto"/>
                      </w:divBdr>
                    </w:div>
                  </w:divsChild>
                </w:div>
                <w:div w:id="2095013159">
                  <w:marLeft w:val="0"/>
                  <w:marRight w:val="0"/>
                  <w:marTop w:val="0"/>
                  <w:marBottom w:val="0"/>
                  <w:divBdr>
                    <w:top w:val="none" w:sz="0" w:space="0" w:color="auto"/>
                    <w:left w:val="none" w:sz="0" w:space="0" w:color="auto"/>
                    <w:bottom w:val="none" w:sz="0" w:space="0" w:color="auto"/>
                    <w:right w:val="none" w:sz="0" w:space="0" w:color="auto"/>
                  </w:divBdr>
                  <w:divsChild>
                    <w:div w:id="398482378">
                      <w:marLeft w:val="0"/>
                      <w:marRight w:val="0"/>
                      <w:marTop w:val="0"/>
                      <w:marBottom w:val="0"/>
                      <w:divBdr>
                        <w:top w:val="none" w:sz="0" w:space="0" w:color="auto"/>
                        <w:left w:val="none" w:sz="0" w:space="0" w:color="auto"/>
                        <w:bottom w:val="none" w:sz="0" w:space="0" w:color="auto"/>
                        <w:right w:val="none" w:sz="0" w:space="0" w:color="auto"/>
                      </w:divBdr>
                    </w:div>
                  </w:divsChild>
                </w:div>
                <w:div w:id="2104374746">
                  <w:marLeft w:val="0"/>
                  <w:marRight w:val="0"/>
                  <w:marTop w:val="0"/>
                  <w:marBottom w:val="0"/>
                  <w:divBdr>
                    <w:top w:val="none" w:sz="0" w:space="0" w:color="auto"/>
                    <w:left w:val="none" w:sz="0" w:space="0" w:color="auto"/>
                    <w:bottom w:val="none" w:sz="0" w:space="0" w:color="auto"/>
                    <w:right w:val="none" w:sz="0" w:space="0" w:color="auto"/>
                  </w:divBdr>
                  <w:divsChild>
                    <w:div w:id="1084570261">
                      <w:marLeft w:val="0"/>
                      <w:marRight w:val="0"/>
                      <w:marTop w:val="0"/>
                      <w:marBottom w:val="0"/>
                      <w:divBdr>
                        <w:top w:val="none" w:sz="0" w:space="0" w:color="auto"/>
                        <w:left w:val="none" w:sz="0" w:space="0" w:color="auto"/>
                        <w:bottom w:val="none" w:sz="0" w:space="0" w:color="auto"/>
                        <w:right w:val="none" w:sz="0" w:space="0" w:color="auto"/>
                      </w:divBdr>
                    </w:div>
                  </w:divsChild>
                </w:div>
                <w:div w:id="2138181273">
                  <w:marLeft w:val="0"/>
                  <w:marRight w:val="0"/>
                  <w:marTop w:val="0"/>
                  <w:marBottom w:val="0"/>
                  <w:divBdr>
                    <w:top w:val="none" w:sz="0" w:space="0" w:color="auto"/>
                    <w:left w:val="none" w:sz="0" w:space="0" w:color="auto"/>
                    <w:bottom w:val="none" w:sz="0" w:space="0" w:color="auto"/>
                    <w:right w:val="none" w:sz="0" w:space="0" w:color="auto"/>
                  </w:divBdr>
                  <w:divsChild>
                    <w:div w:id="1194852722">
                      <w:marLeft w:val="0"/>
                      <w:marRight w:val="0"/>
                      <w:marTop w:val="0"/>
                      <w:marBottom w:val="0"/>
                      <w:divBdr>
                        <w:top w:val="none" w:sz="0" w:space="0" w:color="auto"/>
                        <w:left w:val="none" w:sz="0" w:space="0" w:color="auto"/>
                        <w:bottom w:val="none" w:sz="0" w:space="0" w:color="auto"/>
                        <w:right w:val="none" w:sz="0" w:space="0" w:color="auto"/>
                      </w:divBdr>
                    </w:div>
                  </w:divsChild>
                </w:div>
                <w:div w:id="2144155521">
                  <w:marLeft w:val="0"/>
                  <w:marRight w:val="0"/>
                  <w:marTop w:val="0"/>
                  <w:marBottom w:val="0"/>
                  <w:divBdr>
                    <w:top w:val="none" w:sz="0" w:space="0" w:color="auto"/>
                    <w:left w:val="none" w:sz="0" w:space="0" w:color="auto"/>
                    <w:bottom w:val="none" w:sz="0" w:space="0" w:color="auto"/>
                    <w:right w:val="none" w:sz="0" w:space="0" w:color="auto"/>
                  </w:divBdr>
                  <w:divsChild>
                    <w:div w:id="740254173">
                      <w:marLeft w:val="0"/>
                      <w:marRight w:val="0"/>
                      <w:marTop w:val="0"/>
                      <w:marBottom w:val="0"/>
                      <w:divBdr>
                        <w:top w:val="none" w:sz="0" w:space="0" w:color="auto"/>
                        <w:left w:val="none" w:sz="0" w:space="0" w:color="auto"/>
                        <w:bottom w:val="none" w:sz="0" w:space="0" w:color="auto"/>
                        <w:right w:val="none" w:sz="0" w:space="0" w:color="auto"/>
                      </w:divBdr>
                    </w:div>
                  </w:divsChild>
                </w:div>
                <w:div w:id="2146268026">
                  <w:marLeft w:val="0"/>
                  <w:marRight w:val="0"/>
                  <w:marTop w:val="0"/>
                  <w:marBottom w:val="0"/>
                  <w:divBdr>
                    <w:top w:val="none" w:sz="0" w:space="0" w:color="auto"/>
                    <w:left w:val="none" w:sz="0" w:space="0" w:color="auto"/>
                    <w:bottom w:val="none" w:sz="0" w:space="0" w:color="auto"/>
                    <w:right w:val="none" w:sz="0" w:space="0" w:color="auto"/>
                  </w:divBdr>
                  <w:divsChild>
                    <w:div w:id="11135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60159">
          <w:marLeft w:val="0"/>
          <w:marRight w:val="0"/>
          <w:marTop w:val="0"/>
          <w:marBottom w:val="0"/>
          <w:divBdr>
            <w:top w:val="none" w:sz="0" w:space="0" w:color="auto"/>
            <w:left w:val="none" w:sz="0" w:space="0" w:color="auto"/>
            <w:bottom w:val="none" w:sz="0" w:space="0" w:color="auto"/>
            <w:right w:val="none" w:sz="0" w:space="0" w:color="auto"/>
          </w:divBdr>
        </w:div>
        <w:div w:id="895169295">
          <w:marLeft w:val="0"/>
          <w:marRight w:val="0"/>
          <w:marTop w:val="0"/>
          <w:marBottom w:val="0"/>
          <w:divBdr>
            <w:top w:val="none" w:sz="0" w:space="0" w:color="auto"/>
            <w:left w:val="none" w:sz="0" w:space="0" w:color="auto"/>
            <w:bottom w:val="none" w:sz="0" w:space="0" w:color="auto"/>
            <w:right w:val="none" w:sz="0" w:space="0" w:color="auto"/>
          </w:divBdr>
        </w:div>
        <w:div w:id="899365981">
          <w:marLeft w:val="0"/>
          <w:marRight w:val="0"/>
          <w:marTop w:val="0"/>
          <w:marBottom w:val="0"/>
          <w:divBdr>
            <w:top w:val="none" w:sz="0" w:space="0" w:color="auto"/>
            <w:left w:val="none" w:sz="0" w:space="0" w:color="auto"/>
            <w:bottom w:val="none" w:sz="0" w:space="0" w:color="auto"/>
            <w:right w:val="none" w:sz="0" w:space="0" w:color="auto"/>
          </w:divBdr>
        </w:div>
        <w:div w:id="963197380">
          <w:marLeft w:val="0"/>
          <w:marRight w:val="0"/>
          <w:marTop w:val="0"/>
          <w:marBottom w:val="0"/>
          <w:divBdr>
            <w:top w:val="none" w:sz="0" w:space="0" w:color="auto"/>
            <w:left w:val="none" w:sz="0" w:space="0" w:color="auto"/>
            <w:bottom w:val="none" w:sz="0" w:space="0" w:color="auto"/>
            <w:right w:val="none" w:sz="0" w:space="0" w:color="auto"/>
          </w:divBdr>
          <w:divsChild>
            <w:div w:id="2059548644">
              <w:marLeft w:val="-75"/>
              <w:marRight w:val="0"/>
              <w:marTop w:val="30"/>
              <w:marBottom w:val="30"/>
              <w:divBdr>
                <w:top w:val="none" w:sz="0" w:space="0" w:color="auto"/>
                <w:left w:val="none" w:sz="0" w:space="0" w:color="auto"/>
                <w:bottom w:val="none" w:sz="0" w:space="0" w:color="auto"/>
                <w:right w:val="none" w:sz="0" w:space="0" w:color="auto"/>
              </w:divBdr>
              <w:divsChild>
                <w:div w:id="11302168">
                  <w:marLeft w:val="0"/>
                  <w:marRight w:val="0"/>
                  <w:marTop w:val="0"/>
                  <w:marBottom w:val="0"/>
                  <w:divBdr>
                    <w:top w:val="none" w:sz="0" w:space="0" w:color="auto"/>
                    <w:left w:val="none" w:sz="0" w:space="0" w:color="auto"/>
                    <w:bottom w:val="none" w:sz="0" w:space="0" w:color="auto"/>
                    <w:right w:val="none" w:sz="0" w:space="0" w:color="auto"/>
                  </w:divBdr>
                  <w:divsChild>
                    <w:div w:id="555090143">
                      <w:marLeft w:val="0"/>
                      <w:marRight w:val="0"/>
                      <w:marTop w:val="0"/>
                      <w:marBottom w:val="0"/>
                      <w:divBdr>
                        <w:top w:val="none" w:sz="0" w:space="0" w:color="auto"/>
                        <w:left w:val="none" w:sz="0" w:space="0" w:color="auto"/>
                        <w:bottom w:val="none" w:sz="0" w:space="0" w:color="auto"/>
                        <w:right w:val="none" w:sz="0" w:space="0" w:color="auto"/>
                      </w:divBdr>
                    </w:div>
                  </w:divsChild>
                </w:div>
                <w:div w:id="11304845">
                  <w:marLeft w:val="0"/>
                  <w:marRight w:val="0"/>
                  <w:marTop w:val="0"/>
                  <w:marBottom w:val="0"/>
                  <w:divBdr>
                    <w:top w:val="none" w:sz="0" w:space="0" w:color="auto"/>
                    <w:left w:val="none" w:sz="0" w:space="0" w:color="auto"/>
                    <w:bottom w:val="none" w:sz="0" w:space="0" w:color="auto"/>
                    <w:right w:val="none" w:sz="0" w:space="0" w:color="auto"/>
                  </w:divBdr>
                  <w:divsChild>
                    <w:div w:id="1552304263">
                      <w:marLeft w:val="0"/>
                      <w:marRight w:val="0"/>
                      <w:marTop w:val="0"/>
                      <w:marBottom w:val="0"/>
                      <w:divBdr>
                        <w:top w:val="none" w:sz="0" w:space="0" w:color="auto"/>
                        <w:left w:val="none" w:sz="0" w:space="0" w:color="auto"/>
                        <w:bottom w:val="none" w:sz="0" w:space="0" w:color="auto"/>
                        <w:right w:val="none" w:sz="0" w:space="0" w:color="auto"/>
                      </w:divBdr>
                    </w:div>
                  </w:divsChild>
                </w:div>
                <w:div w:id="15012546">
                  <w:marLeft w:val="0"/>
                  <w:marRight w:val="0"/>
                  <w:marTop w:val="0"/>
                  <w:marBottom w:val="0"/>
                  <w:divBdr>
                    <w:top w:val="none" w:sz="0" w:space="0" w:color="auto"/>
                    <w:left w:val="none" w:sz="0" w:space="0" w:color="auto"/>
                    <w:bottom w:val="none" w:sz="0" w:space="0" w:color="auto"/>
                    <w:right w:val="none" w:sz="0" w:space="0" w:color="auto"/>
                  </w:divBdr>
                  <w:divsChild>
                    <w:div w:id="1163543023">
                      <w:marLeft w:val="0"/>
                      <w:marRight w:val="0"/>
                      <w:marTop w:val="0"/>
                      <w:marBottom w:val="0"/>
                      <w:divBdr>
                        <w:top w:val="none" w:sz="0" w:space="0" w:color="auto"/>
                        <w:left w:val="none" w:sz="0" w:space="0" w:color="auto"/>
                        <w:bottom w:val="none" w:sz="0" w:space="0" w:color="auto"/>
                        <w:right w:val="none" w:sz="0" w:space="0" w:color="auto"/>
                      </w:divBdr>
                    </w:div>
                  </w:divsChild>
                </w:div>
                <w:div w:id="16469975">
                  <w:marLeft w:val="0"/>
                  <w:marRight w:val="0"/>
                  <w:marTop w:val="0"/>
                  <w:marBottom w:val="0"/>
                  <w:divBdr>
                    <w:top w:val="none" w:sz="0" w:space="0" w:color="auto"/>
                    <w:left w:val="none" w:sz="0" w:space="0" w:color="auto"/>
                    <w:bottom w:val="none" w:sz="0" w:space="0" w:color="auto"/>
                    <w:right w:val="none" w:sz="0" w:space="0" w:color="auto"/>
                  </w:divBdr>
                  <w:divsChild>
                    <w:div w:id="1690642054">
                      <w:marLeft w:val="0"/>
                      <w:marRight w:val="0"/>
                      <w:marTop w:val="0"/>
                      <w:marBottom w:val="0"/>
                      <w:divBdr>
                        <w:top w:val="none" w:sz="0" w:space="0" w:color="auto"/>
                        <w:left w:val="none" w:sz="0" w:space="0" w:color="auto"/>
                        <w:bottom w:val="none" w:sz="0" w:space="0" w:color="auto"/>
                        <w:right w:val="none" w:sz="0" w:space="0" w:color="auto"/>
                      </w:divBdr>
                    </w:div>
                  </w:divsChild>
                </w:div>
                <w:div w:id="20254224">
                  <w:marLeft w:val="0"/>
                  <w:marRight w:val="0"/>
                  <w:marTop w:val="0"/>
                  <w:marBottom w:val="0"/>
                  <w:divBdr>
                    <w:top w:val="none" w:sz="0" w:space="0" w:color="auto"/>
                    <w:left w:val="none" w:sz="0" w:space="0" w:color="auto"/>
                    <w:bottom w:val="none" w:sz="0" w:space="0" w:color="auto"/>
                    <w:right w:val="none" w:sz="0" w:space="0" w:color="auto"/>
                  </w:divBdr>
                  <w:divsChild>
                    <w:div w:id="2037073841">
                      <w:marLeft w:val="0"/>
                      <w:marRight w:val="0"/>
                      <w:marTop w:val="0"/>
                      <w:marBottom w:val="0"/>
                      <w:divBdr>
                        <w:top w:val="none" w:sz="0" w:space="0" w:color="auto"/>
                        <w:left w:val="none" w:sz="0" w:space="0" w:color="auto"/>
                        <w:bottom w:val="none" w:sz="0" w:space="0" w:color="auto"/>
                        <w:right w:val="none" w:sz="0" w:space="0" w:color="auto"/>
                      </w:divBdr>
                    </w:div>
                  </w:divsChild>
                </w:div>
                <w:div w:id="26833213">
                  <w:marLeft w:val="0"/>
                  <w:marRight w:val="0"/>
                  <w:marTop w:val="0"/>
                  <w:marBottom w:val="0"/>
                  <w:divBdr>
                    <w:top w:val="none" w:sz="0" w:space="0" w:color="auto"/>
                    <w:left w:val="none" w:sz="0" w:space="0" w:color="auto"/>
                    <w:bottom w:val="none" w:sz="0" w:space="0" w:color="auto"/>
                    <w:right w:val="none" w:sz="0" w:space="0" w:color="auto"/>
                  </w:divBdr>
                  <w:divsChild>
                    <w:div w:id="737050293">
                      <w:marLeft w:val="0"/>
                      <w:marRight w:val="0"/>
                      <w:marTop w:val="0"/>
                      <w:marBottom w:val="0"/>
                      <w:divBdr>
                        <w:top w:val="none" w:sz="0" w:space="0" w:color="auto"/>
                        <w:left w:val="none" w:sz="0" w:space="0" w:color="auto"/>
                        <w:bottom w:val="none" w:sz="0" w:space="0" w:color="auto"/>
                        <w:right w:val="none" w:sz="0" w:space="0" w:color="auto"/>
                      </w:divBdr>
                    </w:div>
                  </w:divsChild>
                </w:div>
                <w:div w:id="30502557">
                  <w:marLeft w:val="0"/>
                  <w:marRight w:val="0"/>
                  <w:marTop w:val="0"/>
                  <w:marBottom w:val="0"/>
                  <w:divBdr>
                    <w:top w:val="none" w:sz="0" w:space="0" w:color="auto"/>
                    <w:left w:val="none" w:sz="0" w:space="0" w:color="auto"/>
                    <w:bottom w:val="none" w:sz="0" w:space="0" w:color="auto"/>
                    <w:right w:val="none" w:sz="0" w:space="0" w:color="auto"/>
                  </w:divBdr>
                  <w:divsChild>
                    <w:div w:id="590938202">
                      <w:marLeft w:val="0"/>
                      <w:marRight w:val="0"/>
                      <w:marTop w:val="0"/>
                      <w:marBottom w:val="0"/>
                      <w:divBdr>
                        <w:top w:val="none" w:sz="0" w:space="0" w:color="auto"/>
                        <w:left w:val="none" w:sz="0" w:space="0" w:color="auto"/>
                        <w:bottom w:val="none" w:sz="0" w:space="0" w:color="auto"/>
                        <w:right w:val="none" w:sz="0" w:space="0" w:color="auto"/>
                      </w:divBdr>
                    </w:div>
                  </w:divsChild>
                </w:div>
                <w:div w:id="35011973">
                  <w:marLeft w:val="0"/>
                  <w:marRight w:val="0"/>
                  <w:marTop w:val="0"/>
                  <w:marBottom w:val="0"/>
                  <w:divBdr>
                    <w:top w:val="none" w:sz="0" w:space="0" w:color="auto"/>
                    <w:left w:val="none" w:sz="0" w:space="0" w:color="auto"/>
                    <w:bottom w:val="none" w:sz="0" w:space="0" w:color="auto"/>
                    <w:right w:val="none" w:sz="0" w:space="0" w:color="auto"/>
                  </w:divBdr>
                  <w:divsChild>
                    <w:div w:id="1914700413">
                      <w:marLeft w:val="0"/>
                      <w:marRight w:val="0"/>
                      <w:marTop w:val="0"/>
                      <w:marBottom w:val="0"/>
                      <w:divBdr>
                        <w:top w:val="none" w:sz="0" w:space="0" w:color="auto"/>
                        <w:left w:val="none" w:sz="0" w:space="0" w:color="auto"/>
                        <w:bottom w:val="none" w:sz="0" w:space="0" w:color="auto"/>
                        <w:right w:val="none" w:sz="0" w:space="0" w:color="auto"/>
                      </w:divBdr>
                    </w:div>
                  </w:divsChild>
                </w:div>
                <w:div w:id="36589541">
                  <w:marLeft w:val="0"/>
                  <w:marRight w:val="0"/>
                  <w:marTop w:val="0"/>
                  <w:marBottom w:val="0"/>
                  <w:divBdr>
                    <w:top w:val="none" w:sz="0" w:space="0" w:color="auto"/>
                    <w:left w:val="none" w:sz="0" w:space="0" w:color="auto"/>
                    <w:bottom w:val="none" w:sz="0" w:space="0" w:color="auto"/>
                    <w:right w:val="none" w:sz="0" w:space="0" w:color="auto"/>
                  </w:divBdr>
                  <w:divsChild>
                    <w:div w:id="1269122523">
                      <w:marLeft w:val="0"/>
                      <w:marRight w:val="0"/>
                      <w:marTop w:val="0"/>
                      <w:marBottom w:val="0"/>
                      <w:divBdr>
                        <w:top w:val="none" w:sz="0" w:space="0" w:color="auto"/>
                        <w:left w:val="none" w:sz="0" w:space="0" w:color="auto"/>
                        <w:bottom w:val="none" w:sz="0" w:space="0" w:color="auto"/>
                        <w:right w:val="none" w:sz="0" w:space="0" w:color="auto"/>
                      </w:divBdr>
                    </w:div>
                  </w:divsChild>
                </w:div>
                <w:div w:id="49809761">
                  <w:marLeft w:val="0"/>
                  <w:marRight w:val="0"/>
                  <w:marTop w:val="0"/>
                  <w:marBottom w:val="0"/>
                  <w:divBdr>
                    <w:top w:val="none" w:sz="0" w:space="0" w:color="auto"/>
                    <w:left w:val="none" w:sz="0" w:space="0" w:color="auto"/>
                    <w:bottom w:val="none" w:sz="0" w:space="0" w:color="auto"/>
                    <w:right w:val="none" w:sz="0" w:space="0" w:color="auto"/>
                  </w:divBdr>
                  <w:divsChild>
                    <w:div w:id="1063409637">
                      <w:marLeft w:val="0"/>
                      <w:marRight w:val="0"/>
                      <w:marTop w:val="0"/>
                      <w:marBottom w:val="0"/>
                      <w:divBdr>
                        <w:top w:val="none" w:sz="0" w:space="0" w:color="auto"/>
                        <w:left w:val="none" w:sz="0" w:space="0" w:color="auto"/>
                        <w:bottom w:val="none" w:sz="0" w:space="0" w:color="auto"/>
                        <w:right w:val="none" w:sz="0" w:space="0" w:color="auto"/>
                      </w:divBdr>
                    </w:div>
                  </w:divsChild>
                </w:div>
                <w:div w:id="51513465">
                  <w:marLeft w:val="0"/>
                  <w:marRight w:val="0"/>
                  <w:marTop w:val="0"/>
                  <w:marBottom w:val="0"/>
                  <w:divBdr>
                    <w:top w:val="none" w:sz="0" w:space="0" w:color="auto"/>
                    <w:left w:val="none" w:sz="0" w:space="0" w:color="auto"/>
                    <w:bottom w:val="none" w:sz="0" w:space="0" w:color="auto"/>
                    <w:right w:val="none" w:sz="0" w:space="0" w:color="auto"/>
                  </w:divBdr>
                  <w:divsChild>
                    <w:div w:id="1931573180">
                      <w:marLeft w:val="0"/>
                      <w:marRight w:val="0"/>
                      <w:marTop w:val="0"/>
                      <w:marBottom w:val="0"/>
                      <w:divBdr>
                        <w:top w:val="none" w:sz="0" w:space="0" w:color="auto"/>
                        <w:left w:val="none" w:sz="0" w:space="0" w:color="auto"/>
                        <w:bottom w:val="none" w:sz="0" w:space="0" w:color="auto"/>
                        <w:right w:val="none" w:sz="0" w:space="0" w:color="auto"/>
                      </w:divBdr>
                    </w:div>
                  </w:divsChild>
                </w:div>
                <w:div w:id="67195053">
                  <w:marLeft w:val="0"/>
                  <w:marRight w:val="0"/>
                  <w:marTop w:val="0"/>
                  <w:marBottom w:val="0"/>
                  <w:divBdr>
                    <w:top w:val="none" w:sz="0" w:space="0" w:color="auto"/>
                    <w:left w:val="none" w:sz="0" w:space="0" w:color="auto"/>
                    <w:bottom w:val="none" w:sz="0" w:space="0" w:color="auto"/>
                    <w:right w:val="none" w:sz="0" w:space="0" w:color="auto"/>
                  </w:divBdr>
                  <w:divsChild>
                    <w:div w:id="1600143281">
                      <w:marLeft w:val="0"/>
                      <w:marRight w:val="0"/>
                      <w:marTop w:val="0"/>
                      <w:marBottom w:val="0"/>
                      <w:divBdr>
                        <w:top w:val="none" w:sz="0" w:space="0" w:color="auto"/>
                        <w:left w:val="none" w:sz="0" w:space="0" w:color="auto"/>
                        <w:bottom w:val="none" w:sz="0" w:space="0" w:color="auto"/>
                        <w:right w:val="none" w:sz="0" w:space="0" w:color="auto"/>
                      </w:divBdr>
                    </w:div>
                  </w:divsChild>
                </w:div>
                <w:div w:id="86852931">
                  <w:marLeft w:val="0"/>
                  <w:marRight w:val="0"/>
                  <w:marTop w:val="0"/>
                  <w:marBottom w:val="0"/>
                  <w:divBdr>
                    <w:top w:val="none" w:sz="0" w:space="0" w:color="auto"/>
                    <w:left w:val="none" w:sz="0" w:space="0" w:color="auto"/>
                    <w:bottom w:val="none" w:sz="0" w:space="0" w:color="auto"/>
                    <w:right w:val="none" w:sz="0" w:space="0" w:color="auto"/>
                  </w:divBdr>
                  <w:divsChild>
                    <w:div w:id="1424647445">
                      <w:marLeft w:val="0"/>
                      <w:marRight w:val="0"/>
                      <w:marTop w:val="0"/>
                      <w:marBottom w:val="0"/>
                      <w:divBdr>
                        <w:top w:val="none" w:sz="0" w:space="0" w:color="auto"/>
                        <w:left w:val="none" w:sz="0" w:space="0" w:color="auto"/>
                        <w:bottom w:val="none" w:sz="0" w:space="0" w:color="auto"/>
                        <w:right w:val="none" w:sz="0" w:space="0" w:color="auto"/>
                      </w:divBdr>
                    </w:div>
                  </w:divsChild>
                </w:div>
                <w:div w:id="107941668">
                  <w:marLeft w:val="0"/>
                  <w:marRight w:val="0"/>
                  <w:marTop w:val="0"/>
                  <w:marBottom w:val="0"/>
                  <w:divBdr>
                    <w:top w:val="none" w:sz="0" w:space="0" w:color="auto"/>
                    <w:left w:val="none" w:sz="0" w:space="0" w:color="auto"/>
                    <w:bottom w:val="none" w:sz="0" w:space="0" w:color="auto"/>
                    <w:right w:val="none" w:sz="0" w:space="0" w:color="auto"/>
                  </w:divBdr>
                  <w:divsChild>
                    <w:div w:id="355275961">
                      <w:marLeft w:val="0"/>
                      <w:marRight w:val="0"/>
                      <w:marTop w:val="0"/>
                      <w:marBottom w:val="0"/>
                      <w:divBdr>
                        <w:top w:val="none" w:sz="0" w:space="0" w:color="auto"/>
                        <w:left w:val="none" w:sz="0" w:space="0" w:color="auto"/>
                        <w:bottom w:val="none" w:sz="0" w:space="0" w:color="auto"/>
                        <w:right w:val="none" w:sz="0" w:space="0" w:color="auto"/>
                      </w:divBdr>
                    </w:div>
                  </w:divsChild>
                </w:div>
                <w:div w:id="120921613">
                  <w:marLeft w:val="0"/>
                  <w:marRight w:val="0"/>
                  <w:marTop w:val="0"/>
                  <w:marBottom w:val="0"/>
                  <w:divBdr>
                    <w:top w:val="none" w:sz="0" w:space="0" w:color="auto"/>
                    <w:left w:val="none" w:sz="0" w:space="0" w:color="auto"/>
                    <w:bottom w:val="none" w:sz="0" w:space="0" w:color="auto"/>
                    <w:right w:val="none" w:sz="0" w:space="0" w:color="auto"/>
                  </w:divBdr>
                  <w:divsChild>
                    <w:div w:id="1829243374">
                      <w:marLeft w:val="0"/>
                      <w:marRight w:val="0"/>
                      <w:marTop w:val="0"/>
                      <w:marBottom w:val="0"/>
                      <w:divBdr>
                        <w:top w:val="none" w:sz="0" w:space="0" w:color="auto"/>
                        <w:left w:val="none" w:sz="0" w:space="0" w:color="auto"/>
                        <w:bottom w:val="none" w:sz="0" w:space="0" w:color="auto"/>
                        <w:right w:val="none" w:sz="0" w:space="0" w:color="auto"/>
                      </w:divBdr>
                    </w:div>
                  </w:divsChild>
                </w:div>
                <w:div w:id="141971428">
                  <w:marLeft w:val="0"/>
                  <w:marRight w:val="0"/>
                  <w:marTop w:val="0"/>
                  <w:marBottom w:val="0"/>
                  <w:divBdr>
                    <w:top w:val="none" w:sz="0" w:space="0" w:color="auto"/>
                    <w:left w:val="none" w:sz="0" w:space="0" w:color="auto"/>
                    <w:bottom w:val="none" w:sz="0" w:space="0" w:color="auto"/>
                    <w:right w:val="none" w:sz="0" w:space="0" w:color="auto"/>
                  </w:divBdr>
                  <w:divsChild>
                    <w:div w:id="1031808970">
                      <w:marLeft w:val="0"/>
                      <w:marRight w:val="0"/>
                      <w:marTop w:val="0"/>
                      <w:marBottom w:val="0"/>
                      <w:divBdr>
                        <w:top w:val="none" w:sz="0" w:space="0" w:color="auto"/>
                        <w:left w:val="none" w:sz="0" w:space="0" w:color="auto"/>
                        <w:bottom w:val="none" w:sz="0" w:space="0" w:color="auto"/>
                        <w:right w:val="none" w:sz="0" w:space="0" w:color="auto"/>
                      </w:divBdr>
                    </w:div>
                  </w:divsChild>
                </w:div>
                <w:div w:id="150950625">
                  <w:marLeft w:val="0"/>
                  <w:marRight w:val="0"/>
                  <w:marTop w:val="0"/>
                  <w:marBottom w:val="0"/>
                  <w:divBdr>
                    <w:top w:val="none" w:sz="0" w:space="0" w:color="auto"/>
                    <w:left w:val="none" w:sz="0" w:space="0" w:color="auto"/>
                    <w:bottom w:val="none" w:sz="0" w:space="0" w:color="auto"/>
                    <w:right w:val="none" w:sz="0" w:space="0" w:color="auto"/>
                  </w:divBdr>
                  <w:divsChild>
                    <w:div w:id="1637753915">
                      <w:marLeft w:val="0"/>
                      <w:marRight w:val="0"/>
                      <w:marTop w:val="0"/>
                      <w:marBottom w:val="0"/>
                      <w:divBdr>
                        <w:top w:val="none" w:sz="0" w:space="0" w:color="auto"/>
                        <w:left w:val="none" w:sz="0" w:space="0" w:color="auto"/>
                        <w:bottom w:val="none" w:sz="0" w:space="0" w:color="auto"/>
                        <w:right w:val="none" w:sz="0" w:space="0" w:color="auto"/>
                      </w:divBdr>
                    </w:div>
                  </w:divsChild>
                </w:div>
                <w:div w:id="153300993">
                  <w:marLeft w:val="0"/>
                  <w:marRight w:val="0"/>
                  <w:marTop w:val="0"/>
                  <w:marBottom w:val="0"/>
                  <w:divBdr>
                    <w:top w:val="none" w:sz="0" w:space="0" w:color="auto"/>
                    <w:left w:val="none" w:sz="0" w:space="0" w:color="auto"/>
                    <w:bottom w:val="none" w:sz="0" w:space="0" w:color="auto"/>
                    <w:right w:val="none" w:sz="0" w:space="0" w:color="auto"/>
                  </w:divBdr>
                  <w:divsChild>
                    <w:div w:id="183179593">
                      <w:marLeft w:val="0"/>
                      <w:marRight w:val="0"/>
                      <w:marTop w:val="0"/>
                      <w:marBottom w:val="0"/>
                      <w:divBdr>
                        <w:top w:val="none" w:sz="0" w:space="0" w:color="auto"/>
                        <w:left w:val="none" w:sz="0" w:space="0" w:color="auto"/>
                        <w:bottom w:val="none" w:sz="0" w:space="0" w:color="auto"/>
                        <w:right w:val="none" w:sz="0" w:space="0" w:color="auto"/>
                      </w:divBdr>
                    </w:div>
                  </w:divsChild>
                </w:div>
                <w:div w:id="155846750">
                  <w:marLeft w:val="0"/>
                  <w:marRight w:val="0"/>
                  <w:marTop w:val="0"/>
                  <w:marBottom w:val="0"/>
                  <w:divBdr>
                    <w:top w:val="none" w:sz="0" w:space="0" w:color="auto"/>
                    <w:left w:val="none" w:sz="0" w:space="0" w:color="auto"/>
                    <w:bottom w:val="none" w:sz="0" w:space="0" w:color="auto"/>
                    <w:right w:val="none" w:sz="0" w:space="0" w:color="auto"/>
                  </w:divBdr>
                  <w:divsChild>
                    <w:div w:id="2004426844">
                      <w:marLeft w:val="0"/>
                      <w:marRight w:val="0"/>
                      <w:marTop w:val="0"/>
                      <w:marBottom w:val="0"/>
                      <w:divBdr>
                        <w:top w:val="none" w:sz="0" w:space="0" w:color="auto"/>
                        <w:left w:val="none" w:sz="0" w:space="0" w:color="auto"/>
                        <w:bottom w:val="none" w:sz="0" w:space="0" w:color="auto"/>
                        <w:right w:val="none" w:sz="0" w:space="0" w:color="auto"/>
                      </w:divBdr>
                    </w:div>
                  </w:divsChild>
                </w:div>
                <w:div w:id="163976676">
                  <w:marLeft w:val="0"/>
                  <w:marRight w:val="0"/>
                  <w:marTop w:val="0"/>
                  <w:marBottom w:val="0"/>
                  <w:divBdr>
                    <w:top w:val="none" w:sz="0" w:space="0" w:color="auto"/>
                    <w:left w:val="none" w:sz="0" w:space="0" w:color="auto"/>
                    <w:bottom w:val="none" w:sz="0" w:space="0" w:color="auto"/>
                    <w:right w:val="none" w:sz="0" w:space="0" w:color="auto"/>
                  </w:divBdr>
                  <w:divsChild>
                    <w:div w:id="1313830237">
                      <w:marLeft w:val="0"/>
                      <w:marRight w:val="0"/>
                      <w:marTop w:val="0"/>
                      <w:marBottom w:val="0"/>
                      <w:divBdr>
                        <w:top w:val="none" w:sz="0" w:space="0" w:color="auto"/>
                        <w:left w:val="none" w:sz="0" w:space="0" w:color="auto"/>
                        <w:bottom w:val="none" w:sz="0" w:space="0" w:color="auto"/>
                        <w:right w:val="none" w:sz="0" w:space="0" w:color="auto"/>
                      </w:divBdr>
                    </w:div>
                  </w:divsChild>
                </w:div>
                <w:div w:id="179051996">
                  <w:marLeft w:val="0"/>
                  <w:marRight w:val="0"/>
                  <w:marTop w:val="0"/>
                  <w:marBottom w:val="0"/>
                  <w:divBdr>
                    <w:top w:val="none" w:sz="0" w:space="0" w:color="auto"/>
                    <w:left w:val="none" w:sz="0" w:space="0" w:color="auto"/>
                    <w:bottom w:val="none" w:sz="0" w:space="0" w:color="auto"/>
                    <w:right w:val="none" w:sz="0" w:space="0" w:color="auto"/>
                  </w:divBdr>
                  <w:divsChild>
                    <w:div w:id="898831945">
                      <w:marLeft w:val="0"/>
                      <w:marRight w:val="0"/>
                      <w:marTop w:val="0"/>
                      <w:marBottom w:val="0"/>
                      <w:divBdr>
                        <w:top w:val="none" w:sz="0" w:space="0" w:color="auto"/>
                        <w:left w:val="none" w:sz="0" w:space="0" w:color="auto"/>
                        <w:bottom w:val="none" w:sz="0" w:space="0" w:color="auto"/>
                        <w:right w:val="none" w:sz="0" w:space="0" w:color="auto"/>
                      </w:divBdr>
                    </w:div>
                  </w:divsChild>
                </w:div>
                <w:div w:id="188762879">
                  <w:marLeft w:val="0"/>
                  <w:marRight w:val="0"/>
                  <w:marTop w:val="0"/>
                  <w:marBottom w:val="0"/>
                  <w:divBdr>
                    <w:top w:val="none" w:sz="0" w:space="0" w:color="auto"/>
                    <w:left w:val="none" w:sz="0" w:space="0" w:color="auto"/>
                    <w:bottom w:val="none" w:sz="0" w:space="0" w:color="auto"/>
                    <w:right w:val="none" w:sz="0" w:space="0" w:color="auto"/>
                  </w:divBdr>
                  <w:divsChild>
                    <w:div w:id="1393774584">
                      <w:marLeft w:val="0"/>
                      <w:marRight w:val="0"/>
                      <w:marTop w:val="0"/>
                      <w:marBottom w:val="0"/>
                      <w:divBdr>
                        <w:top w:val="none" w:sz="0" w:space="0" w:color="auto"/>
                        <w:left w:val="none" w:sz="0" w:space="0" w:color="auto"/>
                        <w:bottom w:val="none" w:sz="0" w:space="0" w:color="auto"/>
                        <w:right w:val="none" w:sz="0" w:space="0" w:color="auto"/>
                      </w:divBdr>
                    </w:div>
                  </w:divsChild>
                </w:div>
                <w:div w:id="196116194">
                  <w:marLeft w:val="0"/>
                  <w:marRight w:val="0"/>
                  <w:marTop w:val="0"/>
                  <w:marBottom w:val="0"/>
                  <w:divBdr>
                    <w:top w:val="none" w:sz="0" w:space="0" w:color="auto"/>
                    <w:left w:val="none" w:sz="0" w:space="0" w:color="auto"/>
                    <w:bottom w:val="none" w:sz="0" w:space="0" w:color="auto"/>
                    <w:right w:val="none" w:sz="0" w:space="0" w:color="auto"/>
                  </w:divBdr>
                  <w:divsChild>
                    <w:div w:id="1780294202">
                      <w:marLeft w:val="0"/>
                      <w:marRight w:val="0"/>
                      <w:marTop w:val="0"/>
                      <w:marBottom w:val="0"/>
                      <w:divBdr>
                        <w:top w:val="none" w:sz="0" w:space="0" w:color="auto"/>
                        <w:left w:val="none" w:sz="0" w:space="0" w:color="auto"/>
                        <w:bottom w:val="none" w:sz="0" w:space="0" w:color="auto"/>
                        <w:right w:val="none" w:sz="0" w:space="0" w:color="auto"/>
                      </w:divBdr>
                    </w:div>
                  </w:divsChild>
                </w:div>
                <w:div w:id="198862319">
                  <w:marLeft w:val="0"/>
                  <w:marRight w:val="0"/>
                  <w:marTop w:val="0"/>
                  <w:marBottom w:val="0"/>
                  <w:divBdr>
                    <w:top w:val="none" w:sz="0" w:space="0" w:color="auto"/>
                    <w:left w:val="none" w:sz="0" w:space="0" w:color="auto"/>
                    <w:bottom w:val="none" w:sz="0" w:space="0" w:color="auto"/>
                    <w:right w:val="none" w:sz="0" w:space="0" w:color="auto"/>
                  </w:divBdr>
                  <w:divsChild>
                    <w:div w:id="1473711188">
                      <w:marLeft w:val="0"/>
                      <w:marRight w:val="0"/>
                      <w:marTop w:val="0"/>
                      <w:marBottom w:val="0"/>
                      <w:divBdr>
                        <w:top w:val="none" w:sz="0" w:space="0" w:color="auto"/>
                        <w:left w:val="none" w:sz="0" w:space="0" w:color="auto"/>
                        <w:bottom w:val="none" w:sz="0" w:space="0" w:color="auto"/>
                        <w:right w:val="none" w:sz="0" w:space="0" w:color="auto"/>
                      </w:divBdr>
                    </w:div>
                  </w:divsChild>
                </w:div>
                <w:div w:id="203257048">
                  <w:marLeft w:val="0"/>
                  <w:marRight w:val="0"/>
                  <w:marTop w:val="0"/>
                  <w:marBottom w:val="0"/>
                  <w:divBdr>
                    <w:top w:val="none" w:sz="0" w:space="0" w:color="auto"/>
                    <w:left w:val="none" w:sz="0" w:space="0" w:color="auto"/>
                    <w:bottom w:val="none" w:sz="0" w:space="0" w:color="auto"/>
                    <w:right w:val="none" w:sz="0" w:space="0" w:color="auto"/>
                  </w:divBdr>
                  <w:divsChild>
                    <w:div w:id="554050489">
                      <w:marLeft w:val="0"/>
                      <w:marRight w:val="0"/>
                      <w:marTop w:val="0"/>
                      <w:marBottom w:val="0"/>
                      <w:divBdr>
                        <w:top w:val="none" w:sz="0" w:space="0" w:color="auto"/>
                        <w:left w:val="none" w:sz="0" w:space="0" w:color="auto"/>
                        <w:bottom w:val="none" w:sz="0" w:space="0" w:color="auto"/>
                        <w:right w:val="none" w:sz="0" w:space="0" w:color="auto"/>
                      </w:divBdr>
                    </w:div>
                  </w:divsChild>
                </w:div>
                <w:div w:id="204023499">
                  <w:marLeft w:val="0"/>
                  <w:marRight w:val="0"/>
                  <w:marTop w:val="0"/>
                  <w:marBottom w:val="0"/>
                  <w:divBdr>
                    <w:top w:val="none" w:sz="0" w:space="0" w:color="auto"/>
                    <w:left w:val="none" w:sz="0" w:space="0" w:color="auto"/>
                    <w:bottom w:val="none" w:sz="0" w:space="0" w:color="auto"/>
                    <w:right w:val="none" w:sz="0" w:space="0" w:color="auto"/>
                  </w:divBdr>
                  <w:divsChild>
                    <w:div w:id="2024044486">
                      <w:marLeft w:val="0"/>
                      <w:marRight w:val="0"/>
                      <w:marTop w:val="0"/>
                      <w:marBottom w:val="0"/>
                      <w:divBdr>
                        <w:top w:val="none" w:sz="0" w:space="0" w:color="auto"/>
                        <w:left w:val="none" w:sz="0" w:space="0" w:color="auto"/>
                        <w:bottom w:val="none" w:sz="0" w:space="0" w:color="auto"/>
                        <w:right w:val="none" w:sz="0" w:space="0" w:color="auto"/>
                      </w:divBdr>
                    </w:div>
                  </w:divsChild>
                </w:div>
                <w:div w:id="204416405">
                  <w:marLeft w:val="0"/>
                  <w:marRight w:val="0"/>
                  <w:marTop w:val="0"/>
                  <w:marBottom w:val="0"/>
                  <w:divBdr>
                    <w:top w:val="none" w:sz="0" w:space="0" w:color="auto"/>
                    <w:left w:val="none" w:sz="0" w:space="0" w:color="auto"/>
                    <w:bottom w:val="none" w:sz="0" w:space="0" w:color="auto"/>
                    <w:right w:val="none" w:sz="0" w:space="0" w:color="auto"/>
                  </w:divBdr>
                  <w:divsChild>
                    <w:div w:id="315498328">
                      <w:marLeft w:val="0"/>
                      <w:marRight w:val="0"/>
                      <w:marTop w:val="0"/>
                      <w:marBottom w:val="0"/>
                      <w:divBdr>
                        <w:top w:val="none" w:sz="0" w:space="0" w:color="auto"/>
                        <w:left w:val="none" w:sz="0" w:space="0" w:color="auto"/>
                        <w:bottom w:val="none" w:sz="0" w:space="0" w:color="auto"/>
                        <w:right w:val="none" w:sz="0" w:space="0" w:color="auto"/>
                      </w:divBdr>
                    </w:div>
                  </w:divsChild>
                </w:div>
                <w:div w:id="216599156">
                  <w:marLeft w:val="0"/>
                  <w:marRight w:val="0"/>
                  <w:marTop w:val="0"/>
                  <w:marBottom w:val="0"/>
                  <w:divBdr>
                    <w:top w:val="none" w:sz="0" w:space="0" w:color="auto"/>
                    <w:left w:val="none" w:sz="0" w:space="0" w:color="auto"/>
                    <w:bottom w:val="none" w:sz="0" w:space="0" w:color="auto"/>
                    <w:right w:val="none" w:sz="0" w:space="0" w:color="auto"/>
                  </w:divBdr>
                  <w:divsChild>
                    <w:div w:id="1906067771">
                      <w:marLeft w:val="0"/>
                      <w:marRight w:val="0"/>
                      <w:marTop w:val="0"/>
                      <w:marBottom w:val="0"/>
                      <w:divBdr>
                        <w:top w:val="none" w:sz="0" w:space="0" w:color="auto"/>
                        <w:left w:val="none" w:sz="0" w:space="0" w:color="auto"/>
                        <w:bottom w:val="none" w:sz="0" w:space="0" w:color="auto"/>
                        <w:right w:val="none" w:sz="0" w:space="0" w:color="auto"/>
                      </w:divBdr>
                    </w:div>
                  </w:divsChild>
                </w:div>
                <w:div w:id="220749915">
                  <w:marLeft w:val="0"/>
                  <w:marRight w:val="0"/>
                  <w:marTop w:val="0"/>
                  <w:marBottom w:val="0"/>
                  <w:divBdr>
                    <w:top w:val="none" w:sz="0" w:space="0" w:color="auto"/>
                    <w:left w:val="none" w:sz="0" w:space="0" w:color="auto"/>
                    <w:bottom w:val="none" w:sz="0" w:space="0" w:color="auto"/>
                    <w:right w:val="none" w:sz="0" w:space="0" w:color="auto"/>
                  </w:divBdr>
                  <w:divsChild>
                    <w:div w:id="331488455">
                      <w:marLeft w:val="0"/>
                      <w:marRight w:val="0"/>
                      <w:marTop w:val="0"/>
                      <w:marBottom w:val="0"/>
                      <w:divBdr>
                        <w:top w:val="none" w:sz="0" w:space="0" w:color="auto"/>
                        <w:left w:val="none" w:sz="0" w:space="0" w:color="auto"/>
                        <w:bottom w:val="none" w:sz="0" w:space="0" w:color="auto"/>
                        <w:right w:val="none" w:sz="0" w:space="0" w:color="auto"/>
                      </w:divBdr>
                    </w:div>
                  </w:divsChild>
                </w:div>
                <w:div w:id="228422327">
                  <w:marLeft w:val="0"/>
                  <w:marRight w:val="0"/>
                  <w:marTop w:val="0"/>
                  <w:marBottom w:val="0"/>
                  <w:divBdr>
                    <w:top w:val="none" w:sz="0" w:space="0" w:color="auto"/>
                    <w:left w:val="none" w:sz="0" w:space="0" w:color="auto"/>
                    <w:bottom w:val="none" w:sz="0" w:space="0" w:color="auto"/>
                    <w:right w:val="none" w:sz="0" w:space="0" w:color="auto"/>
                  </w:divBdr>
                  <w:divsChild>
                    <w:div w:id="1043559656">
                      <w:marLeft w:val="0"/>
                      <w:marRight w:val="0"/>
                      <w:marTop w:val="0"/>
                      <w:marBottom w:val="0"/>
                      <w:divBdr>
                        <w:top w:val="none" w:sz="0" w:space="0" w:color="auto"/>
                        <w:left w:val="none" w:sz="0" w:space="0" w:color="auto"/>
                        <w:bottom w:val="none" w:sz="0" w:space="0" w:color="auto"/>
                        <w:right w:val="none" w:sz="0" w:space="0" w:color="auto"/>
                      </w:divBdr>
                    </w:div>
                  </w:divsChild>
                </w:div>
                <w:div w:id="249967306">
                  <w:marLeft w:val="0"/>
                  <w:marRight w:val="0"/>
                  <w:marTop w:val="0"/>
                  <w:marBottom w:val="0"/>
                  <w:divBdr>
                    <w:top w:val="none" w:sz="0" w:space="0" w:color="auto"/>
                    <w:left w:val="none" w:sz="0" w:space="0" w:color="auto"/>
                    <w:bottom w:val="none" w:sz="0" w:space="0" w:color="auto"/>
                    <w:right w:val="none" w:sz="0" w:space="0" w:color="auto"/>
                  </w:divBdr>
                  <w:divsChild>
                    <w:div w:id="93092876">
                      <w:marLeft w:val="0"/>
                      <w:marRight w:val="0"/>
                      <w:marTop w:val="0"/>
                      <w:marBottom w:val="0"/>
                      <w:divBdr>
                        <w:top w:val="none" w:sz="0" w:space="0" w:color="auto"/>
                        <w:left w:val="none" w:sz="0" w:space="0" w:color="auto"/>
                        <w:bottom w:val="none" w:sz="0" w:space="0" w:color="auto"/>
                        <w:right w:val="none" w:sz="0" w:space="0" w:color="auto"/>
                      </w:divBdr>
                    </w:div>
                  </w:divsChild>
                </w:div>
                <w:div w:id="259879508">
                  <w:marLeft w:val="0"/>
                  <w:marRight w:val="0"/>
                  <w:marTop w:val="0"/>
                  <w:marBottom w:val="0"/>
                  <w:divBdr>
                    <w:top w:val="none" w:sz="0" w:space="0" w:color="auto"/>
                    <w:left w:val="none" w:sz="0" w:space="0" w:color="auto"/>
                    <w:bottom w:val="none" w:sz="0" w:space="0" w:color="auto"/>
                    <w:right w:val="none" w:sz="0" w:space="0" w:color="auto"/>
                  </w:divBdr>
                  <w:divsChild>
                    <w:div w:id="1261839933">
                      <w:marLeft w:val="0"/>
                      <w:marRight w:val="0"/>
                      <w:marTop w:val="0"/>
                      <w:marBottom w:val="0"/>
                      <w:divBdr>
                        <w:top w:val="none" w:sz="0" w:space="0" w:color="auto"/>
                        <w:left w:val="none" w:sz="0" w:space="0" w:color="auto"/>
                        <w:bottom w:val="none" w:sz="0" w:space="0" w:color="auto"/>
                        <w:right w:val="none" w:sz="0" w:space="0" w:color="auto"/>
                      </w:divBdr>
                    </w:div>
                  </w:divsChild>
                </w:div>
                <w:div w:id="265121921">
                  <w:marLeft w:val="0"/>
                  <w:marRight w:val="0"/>
                  <w:marTop w:val="0"/>
                  <w:marBottom w:val="0"/>
                  <w:divBdr>
                    <w:top w:val="none" w:sz="0" w:space="0" w:color="auto"/>
                    <w:left w:val="none" w:sz="0" w:space="0" w:color="auto"/>
                    <w:bottom w:val="none" w:sz="0" w:space="0" w:color="auto"/>
                    <w:right w:val="none" w:sz="0" w:space="0" w:color="auto"/>
                  </w:divBdr>
                  <w:divsChild>
                    <w:div w:id="226457605">
                      <w:marLeft w:val="0"/>
                      <w:marRight w:val="0"/>
                      <w:marTop w:val="0"/>
                      <w:marBottom w:val="0"/>
                      <w:divBdr>
                        <w:top w:val="none" w:sz="0" w:space="0" w:color="auto"/>
                        <w:left w:val="none" w:sz="0" w:space="0" w:color="auto"/>
                        <w:bottom w:val="none" w:sz="0" w:space="0" w:color="auto"/>
                        <w:right w:val="none" w:sz="0" w:space="0" w:color="auto"/>
                      </w:divBdr>
                    </w:div>
                  </w:divsChild>
                </w:div>
                <w:div w:id="273250591">
                  <w:marLeft w:val="0"/>
                  <w:marRight w:val="0"/>
                  <w:marTop w:val="0"/>
                  <w:marBottom w:val="0"/>
                  <w:divBdr>
                    <w:top w:val="none" w:sz="0" w:space="0" w:color="auto"/>
                    <w:left w:val="none" w:sz="0" w:space="0" w:color="auto"/>
                    <w:bottom w:val="none" w:sz="0" w:space="0" w:color="auto"/>
                    <w:right w:val="none" w:sz="0" w:space="0" w:color="auto"/>
                  </w:divBdr>
                  <w:divsChild>
                    <w:div w:id="2030254027">
                      <w:marLeft w:val="0"/>
                      <w:marRight w:val="0"/>
                      <w:marTop w:val="0"/>
                      <w:marBottom w:val="0"/>
                      <w:divBdr>
                        <w:top w:val="none" w:sz="0" w:space="0" w:color="auto"/>
                        <w:left w:val="none" w:sz="0" w:space="0" w:color="auto"/>
                        <w:bottom w:val="none" w:sz="0" w:space="0" w:color="auto"/>
                        <w:right w:val="none" w:sz="0" w:space="0" w:color="auto"/>
                      </w:divBdr>
                    </w:div>
                  </w:divsChild>
                </w:div>
                <w:div w:id="288438437">
                  <w:marLeft w:val="0"/>
                  <w:marRight w:val="0"/>
                  <w:marTop w:val="0"/>
                  <w:marBottom w:val="0"/>
                  <w:divBdr>
                    <w:top w:val="none" w:sz="0" w:space="0" w:color="auto"/>
                    <w:left w:val="none" w:sz="0" w:space="0" w:color="auto"/>
                    <w:bottom w:val="none" w:sz="0" w:space="0" w:color="auto"/>
                    <w:right w:val="none" w:sz="0" w:space="0" w:color="auto"/>
                  </w:divBdr>
                  <w:divsChild>
                    <w:div w:id="91246084">
                      <w:marLeft w:val="0"/>
                      <w:marRight w:val="0"/>
                      <w:marTop w:val="0"/>
                      <w:marBottom w:val="0"/>
                      <w:divBdr>
                        <w:top w:val="none" w:sz="0" w:space="0" w:color="auto"/>
                        <w:left w:val="none" w:sz="0" w:space="0" w:color="auto"/>
                        <w:bottom w:val="none" w:sz="0" w:space="0" w:color="auto"/>
                        <w:right w:val="none" w:sz="0" w:space="0" w:color="auto"/>
                      </w:divBdr>
                    </w:div>
                  </w:divsChild>
                </w:div>
                <w:div w:id="290327701">
                  <w:marLeft w:val="0"/>
                  <w:marRight w:val="0"/>
                  <w:marTop w:val="0"/>
                  <w:marBottom w:val="0"/>
                  <w:divBdr>
                    <w:top w:val="none" w:sz="0" w:space="0" w:color="auto"/>
                    <w:left w:val="none" w:sz="0" w:space="0" w:color="auto"/>
                    <w:bottom w:val="none" w:sz="0" w:space="0" w:color="auto"/>
                    <w:right w:val="none" w:sz="0" w:space="0" w:color="auto"/>
                  </w:divBdr>
                  <w:divsChild>
                    <w:div w:id="670256017">
                      <w:marLeft w:val="0"/>
                      <w:marRight w:val="0"/>
                      <w:marTop w:val="0"/>
                      <w:marBottom w:val="0"/>
                      <w:divBdr>
                        <w:top w:val="none" w:sz="0" w:space="0" w:color="auto"/>
                        <w:left w:val="none" w:sz="0" w:space="0" w:color="auto"/>
                        <w:bottom w:val="none" w:sz="0" w:space="0" w:color="auto"/>
                        <w:right w:val="none" w:sz="0" w:space="0" w:color="auto"/>
                      </w:divBdr>
                    </w:div>
                  </w:divsChild>
                </w:div>
                <w:div w:id="297954355">
                  <w:marLeft w:val="0"/>
                  <w:marRight w:val="0"/>
                  <w:marTop w:val="0"/>
                  <w:marBottom w:val="0"/>
                  <w:divBdr>
                    <w:top w:val="none" w:sz="0" w:space="0" w:color="auto"/>
                    <w:left w:val="none" w:sz="0" w:space="0" w:color="auto"/>
                    <w:bottom w:val="none" w:sz="0" w:space="0" w:color="auto"/>
                    <w:right w:val="none" w:sz="0" w:space="0" w:color="auto"/>
                  </w:divBdr>
                  <w:divsChild>
                    <w:div w:id="76825288">
                      <w:marLeft w:val="0"/>
                      <w:marRight w:val="0"/>
                      <w:marTop w:val="0"/>
                      <w:marBottom w:val="0"/>
                      <w:divBdr>
                        <w:top w:val="none" w:sz="0" w:space="0" w:color="auto"/>
                        <w:left w:val="none" w:sz="0" w:space="0" w:color="auto"/>
                        <w:bottom w:val="none" w:sz="0" w:space="0" w:color="auto"/>
                        <w:right w:val="none" w:sz="0" w:space="0" w:color="auto"/>
                      </w:divBdr>
                    </w:div>
                  </w:divsChild>
                </w:div>
                <w:div w:id="298606837">
                  <w:marLeft w:val="0"/>
                  <w:marRight w:val="0"/>
                  <w:marTop w:val="0"/>
                  <w:marBottom w:val="0"/>
                  <w:divBdr>
                    <w:top w:val="none" w:sz="0" w:space="0" w:color="auto"/>
                    <w:left w:val="none" w:sz="0" w:space="0" w:color="auto"/>
                    <w:bottom w:val="none" w:sz="0" w:space="0" w:color="auto"/>
                    <w:right w:val="none" w:sz="0" w:space="0" w:color="auto"/>
                  </w:divBdr>
                  <w:divsChild>
                    <w:div w:id="2097358314">
                      <w:marLeft w:val="0"/>
                      <w:marRight w:val="0"/>
                      <w:marTop w:val="0"/>
                      <w:marBottom w:val="0"/>
                      <w:divBdr>
                        <w:top w:val="none" w:sz="0" w:space="0" w:color="auto"/>
                        <w:left w:val="none" w:sz="0" w:space="0" w:color="auto"/>
                        <w:bottom w:val="none" w:sz="0" w:space="0" w:color="auto"/>
                        <w:right w:val="none" w:sz="0" w:space="0" w:color="auto"/>
                      </w:divBdr>
                    </w:div>
                  </w:divsChild>
                </w:div>
                <w:div w:id="301693751">
                  <w:marLeft w:val="0"/>
                  <w:marRight w:val="0"/>
                  <w:marTop w:val="0"/>
                  <w:marBottom w:val="0"/>
                  <w:divBdr>
                    <w:top w:val="none" w:sz="0" w:space="0" w:color="auto"/>
                    <w:left w:val="none" w:sz="0" w:space="0" w:color="auto"/>
                    <w:bottom w:val="none" w:sz="0" w:space="0" w:color="auto"/>
                    <w:right w:val="none" w:sz="0" w:space="0" w:color="auto"/>
                  </w:divBdr>
                  <w:divsChild>
                    <w:div w:id="1303189996">
                      <w:marLeft w:val="0"/>
                      <w:marRight w:val="0"/>
                      <w:marTop w:val="0"/>
                      <w:marBottom w:val="0"/>
                      <w:divBdr>
                        <w:top w:val="none" w:sz="0" w:space="0" w:color="auto"/>
                        <w:left w:val="none" w:sz="0" w:space="0" w:color="auto"/>
                        <w:bottom w:val="none" w:sz="0" w:space="0" w:color="auto"/>
                        <w:right w:val="none" w:sz="0" w:space="0" w:color="auto"/>
                      </w:divBdr>
                    </w:div>
                  </w:divsChild>
                </w:div>
                <w:div w:id="308216067">
                  <w:marLeft w:val="0"/>
                  <w:marRight w:val="0"/>
                  <w:marTop w:val="0"/>
                  <w:marBottom w:val="0"/>
                  <w:divBdr>
                    <w:top w:val="none" w:sz="0" w:space="0" w:color="auto"/>
                    <w:left w:val="none" w:sz="0" w:space="0" w:color="auto"/>
                    <w:bottom w:val="none" w:sz="0" w:space="0" w:color="auto"/>
                    <w:right w:val="none" w:sz="0" w:space="0" w:color="auto"/>
                  </w:divBdr>
                  <w:divsChild>
                    <w:div w:id="1462504960">
                      <w:marLeft w:val="0"/>
                      <w:marRight w:val="0"/>
                      <w:marTop w:val="0"/>
                      <w:marBottom w:val="0"/>
                      <w:divBdr>
                        <w:top w:val="none" w:sz="0" w:space="0" w:color="auto"/>
                        <w:left w:val="none" w:sz="0" w:space="0" w:color="auto"/>
                        <w:bottom w:val="none" w:sz="0" w:space="0" w:color="auto"/>
                        <w:right w:val="none" w:sz="0" w:space="0" w:color="auto"/>
                      </w:divBdr>
                    </w:div>
                  </w:divsChild>
                </w:div>
                <w:div w:id="327443044">
                  <w:marLeft w:val="0"/>
                  <w:marRight w:val="0"/>
                  <w:marTop w:val="0"/>
                  <w:marBottom w:val="0"/>
                  <w:divBdr>
                    <w:top w:val="none" w:sz="0" w:space="0" w:color="auto"/>
                    <w:left w:val="none" w:sz="0" w:space="0" w:color="auto"/>
                    <w:bottom w:val="none" w:sz="0" w:space="0" w:color="auto"/>
                    <w:right w:val="none" w:sz="0" w:space="0" w:color="auto"/>
                  </w:divBdr>
                  <w:divsChild>
                    <w:div w:id="2098401225">
                      <w:marLeft w:val="0"/>
                      <w:marRight w:val="0"/>
                      <w:marTop w:val="0"/>
                      <w:marBottom w:val="0"/>
                      <w:divBdr>
                        <w:top w:val="none" w:sz="0" w:space="0" w:color="auto"/>
                        <w:left w:val="none" w:sz="0" w:space="0" w:color="auto"/>
                        <w:bottom w:val="none" w:sz="0" w:space="0" w:color="auto"/>
                        <w:right w:val="none" w:sz="0" w:space="0" w:color="auto"/>
                      </w:divBdr>
                    </w:div>
                  </w:divsChild>
                </w:div>
                <w:div w:id="360320928">
                  <w:marLeft w:val="0"/>
                  <w:marRight w:val="0"/>
                  <w:marTop w:val="0"/>
                  <w:marBottom w:val="0"/>
                  <w:divBdr>
                    <w:top w:val="none" w:sz="0" w:space="0" w:color="auto"/>
                    <w:left w:val="none" w:sz="0" w:space="0" w:color="auto"/>
                    <w:bottom w:val="none" w:sz="0" w:space="0" w:color="auto"/>
                    <w:right w:val="none" w:sz="0" w:space="0" w:color="auto"/>
                  </w:divBdr>
                  <w:divsChild>
                    <w:div w:id="1831359671">
                      <w:marLeft w:val="0"/>
                      <w:marRight w:val="0"/>
                      <w:marTop w:val="0"/>
                      <w:marBottom w:val="0"/>
                      <w:divBdr>
                        <w:top w:val="none" w:sz="0" w:space="0" w:color="auto"/>
                        <w:left w:val="none" w:sz="0" w:space="0" w:color="auto"/>
                        <w:bottom w:val="none" w:sz="0" w:space="0" w:color="auto"/>
                        <w:right w:val="none" w:sz="0" w:space="0" w:color="auto"/>
                      </w:divBdr>
                    </w:div>
                  </w:divsChild>
                </w:div>
                <w:div w:id="376927861">
                  <w:marLeft w:val="0"/>
                  <w:marRight w:val="0"/>
                  <w:marTop w:val="0"/>
                  <w:marBottom w:val="0"/>
                  <w:divBdr>
                    <w:top w:val="none" w:sz="0" w:space="0" w:color="auto"/>
                    <w:left w:val="none" w:sz="0" w:space="0" w:color="auto"/>
                    <w:bottom w:val="none" w:sz="0" w:space="0" w:color="auto"/>
                    <w:right w:val="none" w:sz="0" w:space="0" w:color="auto"/>
                  </w:divBdr>
                  <w:divsChild>
                    <w:div w:id="1932930795">
                      <w:marLeft w:val="0"/>
                      <w:marRight w:val="0"/>
                      <w:marTop w:val="0"/>
                      <w:marBottom w:val="0"/>
                      <w:divBdr>
                        <w:top w:val="none" w:sz="0" w:space="0" w:color="auto"/>
                        <w:left w:val="none" w:sz="0" w:space="0" w:color="auto"/>
                        <w:bottom w:val="none" w:sz="0" w:space="0" w:color="auto"/>
                        <w:right w:val="none" w:sz="0" w:space="0" w:color="auto"/>
                      </w:divBdr>
                    </w:div>
                  </w:divsChild>
                </w:div>
                <w:div w:id="383023214">
                  <w:marLeft w:val="0"/>
                  <w:marRight w:val="0"/>
                  <w:marTop w:val="0"/>
                  <w:marBottom w:val="0"/>
                  <w:divBdr>
                    <w:top w:val="none" w:sz="0" w:space="0" w:color="auto"/>
                    <w:left w:val="none" w:sz="0" w:space="0" w:color="auto"/>
                    <w:bottom w:val="none" w:sz="0" w:space="0" w:color="auto"/>
                    <w:right w:val="none" w:sz="0" w:space="0" w:color="auto"/>
                  </w:divBdr>
                  <w:divsChild>
                    <w:div w:id="698430728">
                      <w:marLeft w:val="0"/>
                      <w:marRight w:val="0"/>
                      <w:marTop w:val="0"/>
                      <w:marBottom w:val="0"/>
                      <w:divBdr>
                        <w:top w:val="none" w:sz="0" w:space="0" w:color="auto"/>
                        <w:left w:val="none" w:sz="0" w:space="0" w:color="auto"/>
                        <w:bottom w:val="none" w:sz="0" w:space="0" w:color="auto"/>
                        <w:right w:val="none" w:sz="0" w:space="0" w:color="auto"/>
                      </w:divBdr>
                    </w:div>
                  </w:divsChild>
                </w:div>
                <w:div w:id="388191067">
                  <w:marLeft w:val="0"/>
                  <w:marRight w:val="0"/>
                  <w:marTop w:val="0"/>
                  <w:marBottom w:val="0"/>
                  <w:divBdr>
                    <w:top w:val="none" w:sz="0" w:space="0" w:color="auto"/>
                    <w:left w:val="none" w:sz="0" w:space="0" w:color="auto"/>
                    <w:bottom w:val="none" w:sz="0" w:space="0" w:color="auto"/>
                    <w:right w:val="none" w:sz="0" w:space="0" w:color="auto"/>
                  </w:divBdr>
                  <w:divsChild>
                    <w:div w:id="61684874">
                      <w:marLeft w:val="0"/>
                      <w:marRight w:val="0"/>
                      <w:marTop w:val="0"/>
                      <w:marBottom w:val="0"/>
                      <w:divBdr>
                        <w:top w:val="none" w:sz="0" w:space="0" w:color="auto"/>
                        <w:left w:val="none" w:sz="0" w:space="0" w:color="auto"/>
                        <w:bottom w:val="none" w:sz="0" w:space="0" w:color="auto"/>
                        <w:right w:val="none" w:sz="0" w:space="0" w:color="auto"/>
                      </w:divBdr>
                    </w:div>
                  </w:divsChild>
                </w:div>
                <w:div w:id="390352974">
                  <w:marLeft w:val="0"/>
                  <w:marRight w:val="0"/>
                  <w:marTop w:val="0"/>
                  <w:marBottom w:val="0"/>
                  <w:divBdr>
                    <w:top w:val="none" w:sz="0" w:space="0" w:color="auto"/>
                    <w:left w:val="none" w:sz="0" w:space="0" w:color="auto"/>
                    <w:bottom w:val="none" w:sz="0" w:space="0" w:color="auto"/>
                    <w:right w:val="none" w:sz="0" w:space="0" w:color="auto"/>
                  </w:divBdr>
                  <w:divsChild>
                    <w:div w:id="794369330">
                      <w:marLeft w:val="0"/>
                      <w:marRight w:val="0"/>
                      <w:marTop w:val="0"/>
                      <w:marBottom w:val="0"/>
                      <w:divBdr>
                        <w:top w:val="none" w:sz="0" w:space="0" w:color="auto"/>
                        <w:left w:val="none" w:sz="0" w:space="0" w:color="auto"/>
                        <w:bottom w:val="none" w:sz="0" w:space="0" w:color="auto"/>
                        <w:right w:val="none" w:sz="0" w:space="0" w:color="auto"/>
                      </w:divBdr>
                    </w:div>
                  </w:divsChild>
                </w:div>
                <w:div w:id="395205929">
                  <w:marLeft w:val="0"/>
                  <w:marRight w:val="0"/>
                  <w:marTop w:val="0"/>
                  <w:marBottom w:val="0"/>
                  <w:divBdr>
                    <w:top w:val="none" w:sz="0" w:space="0" w:color="auto"/>
                    <w:left w:val="none" w:sz="0" w:space="0" w:color="auto"/>
                    <w:bottom w:val="none" w:sz="0" w:space="0" w:color="auto"/>
                    <w:right w:val="none" w:sz="0" w:space="0" w:color="auto"/>
                  </w:divBdr>
                  <w:divsChild>
                    <w:div w:id="49695900">
                      <w:marLeft w:val="0"/>
                      <w:marRight w:val="0"/>
                      <w:marTop w:val="0"/>
                      <w:marBottom w:val="0"/>
                      <w:divBdr>
                        <w:top w:val="none" w:sz="0" w:space="0" w:color="auto"/>
                        <w:left w:val="none" w:sz="0" w:space="0" w:color="auto"/>
                        <w:bottom w:val="none" w:sz="0" w:space="0" w:color="auto"/>
                        <w:right w:val="none" w:sz="0" w:space="0" w:color="auto"/>
                      </w:divBdr>
                    </w:div>
                  </w:divsChild>
                </w:div>
                <w:div w:id="412287679">
                  <w:marLeft w:val="0"/>
                  <w:marRight w:val="0"/>
                  <w:marTop w:val="0"/>
                  <w:marBottom w:val="0"/>
                  <w:divBdr>
                    <w:top w:val="none" w:sz="0" w:space="0" w:color="auto"/>
                    <w:left w:val="none" w:sz="0" w:space="0" w:color="auto"/>
                    <w:bottom w:val="none" w:sz="0" w:space="0" w:color="auto"/>
                    <w:right w:val="none" w:sz="0" w:space="0" w:color="auto"/>
                  </w:divBdr>
                  <w:divsChild>
                    <w:div w:id="722606299">
                      <w:marLeft w:val="0"/>
                      <w:marRight w:val="0"/>
                      <w:marTop w:val="0"/>
                      <w:marBottom w:val="0"/>
                      <w:divBdr>
                        <w:top w:val="none" w:sz="0" w:space="0" w:color="auto"/>
                        <w:left w:val="none" w:sz="0" w:space="0" w:color="auto"/>
                        <w:bottom w:val="none" w:sz="0" w:space="0" w:color="auto"/>
                        <w:right w:val="none" w:sz="0" w:space="0" w:color="auto"/>
                      </w:divBdr>
                    </w:div>
                  </w:divsChild>
                </w:div>
                <w:div w:id="439422564">
                  <w:marLeft w:val="0"/>
                  <w:marRight w:val="0"/>
                  <w:marTop w:val="0"/>
                  <w:marBottom w:val="0"/>
                  <w:divBdr>
                    <w:top w:val="none" w:sz="0" w:space="0" w:color="auto"/>
                    <w:left w:val="none" w:sz="0" w:space="0" w:color="auto"/>
                    <w:bottom w:val="none" w:sz="0" w:space="0" w:color="auto"/>
                    <w:right w:val="none" w:sz="0" w:space="0" w:color="auto"/>
                  </w:divBdr>
                  <w:divsChild>
                    <w:div w:id="936598682">
                      <w:marLeft w:val="0"/>
                      <w:marRight w:val="0"/>
                      <w:marTop w:val="0"/>
                      <w:marBottom w:val="0"/>
                      <w:divBdr>
                        <w:top w:val="none" w:sz="0" w:space="0" w:color="auto"/>
                        <w:left w:val="none" w:sz="0" w:space="0" w:color="auto"/>
                        <w:bottom w:val="none" w:sz="0" w:space="0" w:color="auto"/>
                        <w:right w:val="none" w:sz="0" w:space="0" w:color="auto"/>
                      </w:divBdr>
                    </w:div>
                  </w:divsChild>
                </w:div>
                <w:div w:id="454521378">
                  <w:marLeft w:val="0"/>
                  <w:marRight w:val="0"/>
                  <w:marTop w:val="0"/>
                  <w:marBottom w:val="0"/>
                  <w:divBdr>
                    <w:top w:val="none" w:sz="0" w:space="0" w:color="auto"/>
                    <w:left w:val="none" w:sz="0" w:space="0" w:color="auto"/>
                    <w:bottom w:val="none" w:sz="0" w:space="0" w:color="auto"/>
                    <w:right w:val="none" w:sz="0" w:space="0" w:color="auto"/>
                  </w:divBdr>
                  <w:divsChild>
                    <w:div w:id="1657345009">
                      <w:marLeft w:val="0"/>
                      <w:marRight w:val="0"/>
                      <w:marTop w:val="0"/>
                      <w:marBottom w:val="0"/>
                      <w:divBdr>
                        <w:top w:val="none" w:sz="0" w:space="0" w:color="auto"/>
                        <w:left w:val="none" w:sz="0" w:space="0" w:color="auto"/>
                        <w:bottom w:val="none" w:sz="0" w:space="0" w:color="auto"/>
                        <w:right w:val="none" w:sz="0" w:space="0" w:color="auto"/>
                      </w:divBdr>
                    </w:div>
                  </w:divsChild>
                </w:div>
                <w:div w:id="487982656">
                  <w:marLeft w:val="0"/>
                  <w:marRight w:val="0"/>
                  <w:marTop w:val="0"/>
                  <w:marBottom w:val="0"/>
                  <w:divBdr>
                    <w:top w:val="none" w:sz="0" w:space="0" w:color="auto"/>
                    <w:left w:val="none" w:sz="0" w:space="0" w:color="auto"/>
                    <w:bottom w:val="none" w:sz="0" w:space="0" w:color="auto"/>
                    <w:right w:val="none" w:sz="0" w:space="0" w:color="auto"/>
                  </w:divBdr>
                  <w:divsChild>
                    <w:div w:id="1449466546">
                      <w:marLeft w:val="0"/>
                      <w:marRight w:val="0"/>
                      <w:marTop w:val="0"/>
                      <w:marBottom w:val="0"/>
                      <w:divBdr>
                        <w:top w:val="none" w:sz="0" w:space="0" w:color="auto"/>
                        <w:left w:val="none" w:sz="0" w:space="0" w:color="auto"/>
                        <w:bottom w:val="none" w:sz="0" w:space="0" w:color="auto"/>
                        <w:right w:val="none" w:sz="0" w:space="0" w:color="auto"/>
                      </w:divBdr>
                    </w:div>
                  </w:divsChild>
                </w:div>
                <w:div w:id="489373230">
                  <w:marLeft w:val="0"/>
                  <w:marRight w:val="0"/>
                  <w:marTop w:val="0"/>
                  <w:marBottom w:val="0"/>
                  <w:divBdr>
                    <w:top w:val="none" w:sz="0" w:space="0" w:color="auto"/>
                    <w:left w:val="none" w:sz="0" w:space="0" w:color="auto"/>
                    <w:bottom w:val="none" w:sz="0" w:space="0" w:color="auto"/>
                    <w:right w:val="none" w:sz="0" w:space="0" w:color="auto"/>
                  </w:divBdr>
                  <w:divsChild>
                    <w:div w:id="676687540">
                      <w:marLeft w:val="0"/>
                      <w:marRight w:val="0"/>
                      <w:marTop w:val="0"/>
                      <w:marBottom w:val="0"/>
                      <w:divBdr>
                        <w:top w:val="none" w:sz="0" w:space="0" w:color="auto"/>
                        <w:left w:val="none" w:sz="0" w:space="0" w:color="auto"/>
                        <w:bottom w:val="none" w:sz="0" w:space="0" w:color="auto"/>
                        <w:right w:val="none" w:sz="0" w:space="0" w:color="auto"/>
                      </w:divBdr>
                    </w:div>
                  </w:divsChild>
                </w:div>
                <w:div w:id="490023152">
                  <w:marLeft w:val="0"/>
                  <w:marRight w:val="0"/>
                  <w:marTop w:val="0"/>
                  <w:marBottom w:val="0"/>
                  <w:divBdr>
                    <w:top w:val="none" w:sz="0" w:space="0" w:color="auto"/>
                    <w:left w:val="none" w:sz="0" w:space="0" w:color="auto"/>
                    <w:bottom w:val="none" w:sz="0" w:space="0" w:color="auto"/>
                    <w:right w:val="none" w:sz="0" w:space="0" w:color="auto"/>
                  </w:divBdr>
                  <w:divsChild>
                    <w:div w:id="251933710">
                      <w:marLeft w:val="0"/>
                      <w:marRight w:val="0"/>
                      <w:marTop w:val="0"/>
                      <w:marBottom w:val="0"/>
                      <w:divBdr>
                        <w:top w:val="none" w:sz="0" w:space="0" w:color="auto"/>
                        <w:left w:val="none" w:sz="0" w:space="0" w:color="auto"/>
                        <w:bottom w:val="none" w:sz="0" w:space="0" w:color="auto"/>
                        <w:right w:val="none" w:sz="0" w:space="0" w:color="auto"/>
                      </w:divBdr>
                    </w:div>
                  </w:divsChild>
                </w:div>
                <w:div w:id="502283081">
                  <w:marLeft w:val="0"/>
                  <w:marRight w:val="0"/>
                  <w:marTop w:val="0"/>
                  <w:marBottom w:val="0"/>
                  <w:divBdr>
                    <w:top w:val="none" w:sz="0" w:space="0" w:color="auto"/>
                    <w:left w:val="none" w:sz="0" w:space="0" w:color="auto"/>
                    <w:bottom w:val="none" w:sz="0" w:space="0" w:color="auto"/>
                    <w:right w:val="none" w:sz="0" w:space="0" w:color="auto"/>
                  </w:divBdr>
                  <w:divsChild>
                    <w:div w:id="326906644">
                      <w:marLeft w:val="0"/>
                      <w:marRight w:val="0"/>
                      <w:marTop w:val="0"/>
                      <w:marBottom w:val="0"/>
                      <w:divBdr>
                        <w:top w:val="none" w:sz="0" w:space="0" w:color="auto"/>
                        <w:left w:val="none" w:sz="0" w:space="0" w:color="auto"/>
                        <w:bottom w:val="none" w:sz="0" w:space="0" w:color="auto"/>
                        <w:right w:val="none" w:sz="0" w:space="0" w:color="auto"/>
                      </w:divBdr>
                    </w:div>
                  </w:divsChild>
                </w:div>
                <w:div w:id="516700936">
                  <w:marLeft w:val="0"/>
                  <w:marRight w:val="0"/>
                  <w:marTop w:val="0"/>
                  <w:marBottom w:val="0"/>
                  <w:divBdr>
                    <w:top w:val="none" w:sz="0" w:space="0" w:color="auto"/>
                    <w:left w:val="none" w:sz="0" w:space="0" w:color="auto"/>
                    <w:bottom w:val="none" w:sz="0" w:space="0" w:color="auto"/>
                    <w:right w:val="none" w:sz="0" w:space="0" w:color="auto"/>
                  </w:divBdr>
                  <w:divsChild>
                    <w:div w:id="130683809">
                      <w:marLeft w:val="0"/>
                      <w:marRight w:val="0"/>
                      <w:marTop w:val="0"/>
                      <w:marBottom w:val="0"/>
                      <w:divBdr>
                        <w:top w:val="none" w:sz="0" w:space="0" w:color="auto"/>
                        <w:left w:val="none" w:sz="0" w:space="0" w:color="auto"/>
                        <w:bottom w:val="none" w:sz="0" w:space="0" w:color="auto"/>
                        <w:right w:val="none" w:sz="0" w:space="0" w:color="auto"/>
                      </w:divBdr>
                    </w:div>
                  </w:divsChild>
                </w:div>
                <w:div w:id="526677742">
                  <w:marLeft w:val="0"/>
                  <w:marRight w:val="0"/>
                  <w:marTop w:val="0"/>
                  <w:marBottom w:val="0"/>
                  <w:divBdr>
                    <w:top w:val="none" w:sz="0" w:space="0" w:color="auto"/>
                    <w:left w:val="none" w:sz="0" w:space="0" w:color="auto"/>
                    <w:bottom w:val="none" w:sz="0" w:space="0" w:color="auto"/>
                    <w:right w:val="none" w:sz="0" w:space="0" w:color="auto"/>
                  </w:divBdr>
                  <w:divsChild>
                    <w:div w:id="408305409">
                      <w:marLeft w:val="0"/>
                      <w:marRight w:val="0"/>
                      <w:marTop w:val="0"/>
                      <w:marBottom w:val="0"/>
                      <w:divBdr>
                        <w:top w:val="none" w:sz="0" w:space="0" w:color="auto"/>
                        <w:left w:val="none" w:sz="0" w:space="0" w:color="auto"/>
                        <w:bottom w:val="none" w:sz="0" w:space="0" w:color="auto"/>
                        <w:right w:val="none" w:sz="0" w:space="0" w:color="auto"/>
                      </w:divBdr>
                    </w:div>
                  </w:divsChild>
                </w:div>
                <w:div w:id="535193515">
                  <w:marLeft w:val="0"/>
                  <w:marRight w:val="0"/>
                  <w:marTop w:val="0"/>
                  <w:marBottom w:val="0"/>
                  <w:divBdr>
                    <w:top w:val="none" w:sz="0" w:space="0" w:color="auto"/>
                    <w:left w:val="none" w:sz="0" w:space="0" w:color="auto"/>
                    <w:bottom w:val="none" w:sz="0" w:space="0" w:color="auto"/>
                    <w:right w:val="none" w:sz="0" w:space="0" w:color="auto"/>
                  </w:divBdr>
                  <w:divsChild>
                    <w:div w:id="748771959">
                      <w:marLeft w:val="0"/>
                      <w:marRight w:val="0"/>
                      <w:marTop w:val="0"/>
                      <w:marBottom w:val="0"/>
                      <w:divBdr>
                        <w:top w:val="none" w:sz="0" w:space="0" w:color="auto"/>
                        <w:left w:val="none" w:sz="0" w:space="0" w:color="auto"/>
                        <w:bottom w:val="none" w:sz="0" w:space="0" w:color="auto"/>
                        <w:right w:val="none" w:sz="0" w:space="0" w:color="auto"/>
                      </w:divBdr>
                    </w:div>
                  </w:divsChild>
                </w:div>
                <w:div w:id="543560240">
                  <w:marLeft w:val="0"/>
                  <w:marRight w:val="0"/>
                  <w:marTop w:val="0"/>
                  <w:marBottom w:val="0"/>
                  <w:divBdr>
                    <w:top w:val="none" w:sz="0" w:space="0" w:color="auto"/>
                    <w:left w:val="none" w:sz="0" w:space="0" w:color="auto"/>
                    <w:bottom w:val="none" w:sz="0" w:space="0" w:color="auto"/>
                    <w:right w:val="none" w:sz="0" w:space="0" w:color="auto"/>
                  </w:divBdr>
                  <w:divsChild>
                    <w:div w:id="2102945336">
                      <w:marLeft w:val="0"/>
                      <w:marRight w:val="0"/>
                      <w:marTop w:val="0"/>
                      <w:marBottom w:val="0"/>
                      <w:divBdr>
                        <w:top w:val="none" w:sz="0" w:space="0" w:color="auto"/>
                        <w:left w:val="none" w:sz="0" w:space="0" w:color="auto"/>
                        <w:bottom w:val="none" w:sz="0" w:space="0" w:color="auto"/>
                        <w:right w:val="none" w:sz="0" w:space="0" w:color="auto"/>
                      </w:divBdr>
                    </w:div>
                  </w:divsChild>
                </w:div>
                <w:div w:id="547108623">
                  <w:marLeft w:val="0"/>
                  <w:marRight w:val="0"/>
                  <w:marTop w:val="0"/>
                  <w:marBottom w:val="0"/>
                  <w:divBdr>
                    <w:top w:val="none" w:sz="0" w:space="0" w:color="auto"/>
                    <w:left w:val="none" w:sz="0" w:space="0" w:color="auto"/>
                    <w:bottom w:val="none" w:sz="0" w:space="0" w:color="auto"/>
                    <w:right w:val="none" w:sz="0" w:space="0" w:color="auto"/>
                  </w:divBdr>
                  <w:divsChild>
                    <w:div w:id="1483034710">
                      <w:marLeft w:val="0"/>
                      <w:marRight w:val="0"/>
                      <w:marTop w:val="0"/>
                      <w:marBottom w:val="0"/>
                      <w:divBdr>
                        <w:top w:val="none" w:sz="0" w:space="0" w:color="auto"/>
                        <w:left w:val="none" w:sz="0" w:space="0" w:color="auto"/>
                        <w:bottom w:val="none" w:sz="0" w:space="0" w:color="auto"/>
                        <w:right w:val="none" w:sz="0" w:space="0" w:color="auto"/>
                      </w:divBdr>
                    </w:div>
                  </w:divsChild>
                </w:div>
                <w:div w:id="553395962">
                  <w:marLeft w:val="0"/>
                  <w:marRight w:val="0"/>
                  <w:marTop w:val="0"/>
                  <w:marBottom w:val="0"/>
                  <w:divBdr>
                    <w:top w:val="none" w:sz="0" w:space="0" w:color="auto"/>
                    <w:left w:val="none" w:sz="0" w:space="0" w:color="auto"/>
                    <w:bottom w:val="none" w:sz="0" w:space="0" w:color="auto"/>
                    <w:right w:val="none" w:sz="0" w:space="0" w:color="auto"/>
                  </w:divBdr>
                  <w:divsChild>
                    <w:div w:id="2115519220">
                      <w:marLeft w:val="0"/>
                      <w:marRight w:val="0"/>
                      <w:marTop w:val="0"/>
                      <w:marBottom w:val="0"/>
                      <w:divBdr>
                        <w:top w:val="none" w:sz="0" w:space="0" w:color="auto"/>
                        <w:left w:val="none" w:sz="0" w:space="0" w:color="auto"/>
                        <w:bottom w:val="none" w:sz="0" w:space="0" w:color="auto"/>
                        <w:right w:val="none" w:sz="0" w:space="0" w:color="auto"/>
                      </w:divBdr>
                    </w:div>
                  </w:divsChild>
                </w:div>
                <w:div w:id="575095689">
                  <w:marLeft w:val="0"/>
                  <w:marRight w:val="0"/>
                  <w:marTop w:val="0"/>
                  <w:marBottom w:val="0"/>
                  <w:divBdr>
                    <w:top w:val="none" w:sz="0" w:space="0" w:color="auto"/>
                    <w:left w:val="none" w:sz="0" w:space="0" w:color="auto"/>
                    <w:bottom w:val="none" w:sz="0" w:space="0" w:color="auto"/>
                    <w:right w:val="none" w:sz="0" w:space="0" w:color="auto"/>
                  </w:divBdr>
                  <w:divsChild>
                    <w:div w:id="2068454543">
                      <w:marLeft w:val="0"/>
                      <w:marRight w:val="0"/>
                      <w:marTop w:val="0"/>
                      <w:marBottom w:val="0"/>
                      <w:divBdr>
                        <w:top w:val="none" w:sz="0" w:space="0" w:color="auto"/>
                        <w:left w:val="none" w:sz="0" w:space="0" w:color="auto"/>
                        <w:bottom w:val="none" w:sz="0" w:space="0" w:color="auto"/>
                        <w:right w:val="none" w:sz="0" w:space="0" w:color="auto"/>
                      </w:divBdr>
                    </w:div>
                  </w:divsChild>
                </w:div>
                <w:div w:id="577595656">
                  <w:marLeft w:val="0"/>
                  <w:marRight w:val="0"/>
                  <w:marTop w:val="0"/>
                  <w:marBottom w:val="0"/>
                  <w:divBdr>
                    <w:top w:val="none" w:sz="0" w:space="0" w:color="auto"/>
                    <w:left w:val="none" w:sz="0" w:space="0" w:color="auto"/>
                    <w:bottom w:val="none" w:sz="0" w:space="0" w:color="auto"/>
                    <w:right w:val="none" w:sz="0" w:space="0" w:color="auto"/>
                  </w:divBdr>
                  <w:divsChild>
                    <w:div w:id="1278371531">
                      <w:marLeft w:val="0"/>
                      <w:marRight w:val="0"/>
                      <w:marTop w:val="0"/>
                      <w:marBottom w:val="0"/>
                      <w:divBdr>
                        <w:top w:val="none" w:sz="0" w:space="0" w:color="auto"/>
                        <w:left w:val="none" w:sz="0" w:space="0" w:color="auto"/>
                        <w:bottom w:val="none" w:sz="0" w:space="0" w:color="auto"/>
                        <w:right w:val="none" w:sz="0" w:space="0" w:color="auto"/>
                      </w:divBdr>
                    </w:div>
                  </w:divsChild>
                </w:div>
                <w:div w:id="608195228">
                  <w:marLeft w:val="0"/>
                  <w:marRight w:val="0"/>
                  <w:marTop w:val="0"/>
                  <w:marBottom w:val="0"/>
                  <w:divBdr>
                    <w:top w:val="none" w:sz="0" w:space="0" w:color="auto"/>
                    <w:left w:val="none" w:sz="0" w:space="0" w:color="auto"/>
                    <w:bottom w:val="none" w:sz="0" w:space="0" w:color="auto"/>
                    <w:right w:val="none" w:sz="0" w:space="0" w:color="auto"/>
                  </w:divBdr>
                  <w:divsChild>
                    <w:div w:id="1296257527">
                      <w:marLeft w:val="0"/>
                      <w:marRight w:val="0"/>
                      <w:marTop w:val="0"/>
                      <w:marBottom w:val="0"/>
                      <w:divBdr>
                        <w:top w:val="none" w:sz="0" w:space="0" w:color="auto"/>
                        <w:left w:val="none" w:sz="0" w:space="0" w:color="auto"/>
                        <w:bottom w:val="none" w:sz="0" w:space="0" w:color="auto"/>
                        <w:right w:val="none" w:sz="0" w:space="0" w:color="auto"/>
                      </w:divBdr>
                    </w:div>
                  </w:divsChild>
                </w:div>
                <w:div w:id="615336833">
                  <w:marLeft w:val="0"/>
                  <w:marRight w:val="0"/>
                  <w:marTop w:val="0"/>
                  <w:marBottom w:val="0"/>
                  <w:divBdr>
                    <w:top w:val="none" w:sz="0" w:space="0" w:color="auto"/>
                    <w:left w:val="none" w:sz="0" w:space="0" w:color="auto"/>
                    <w:bottom w:val="none" w:sz="0" w:space="0" w:color="auto"/>
                    <w:right w:val="none" w:sz="0" w:space="0" w:color="auto"/>
                  </w:divBdr>
                  <w:divsChild>
                    <w:div w:id="1250238017">
                      <w:marLeft w:val="0"/>
                      <w:marRight w:val="0"/>
                      <w:marTop w:val="0"/>
                      <w:marBottom w:val="0"/>
                      <w:divBdr>
                        <w:top w:val="none" w:sz="0" w:space="0" w:color="auto"/>
                        <w:left w:val="none" w:sz="0" w:space="0" w:color="auto"/>
                        <w:bottom w:val="none" w:sz="0" w:space="0" w:color="auto"/>
                        <w:right w:val="none" w:sz="0" w:space="0" w:color="auto"/>
                      </w:divBdr>
                    </w:div>
                  </w:divsChild>
                </w:div>
                <w:div w:id="624386769">
                  <w:marLeft w:val="0"/>
                  <w:marRight w:val="0"/>
                  <w:marTop w:val="0"/>
                  <w:marBottom w:val="0"/>
                  <w:divBdr>
                    <w:top w:val="none" w:sz="0" w:space="0" w:color="auto"/>
                    <w:left w:val="none" w:sz="0" w:space="0" w:color="auto"/>
                    <w:bottom w:val="none" w:sz="0" w:space="0" w:color="auto"/>
                    <w:right w:val="none" w:sz="0" w:space="0" w:color="auto"/>
                  </w:divBdr>
                  <w:divsChild>
                    <w:div w:id="705568704">
                      <w:marLeft w:val="0"/>
                      <w:marRight w:val="0"/>
                      <w:marTop w:val="0"/>
                      <w:marBottom w:val="0"/>
                      <w:divBdr>
                        <w:top w:val="none" w:sz="0" w:space="0" w:color="auto"/>
                        <w:left w:val="none" w:sz="0" w:space="0" w:color="auto"/>
                        <w:bottom w:val="none" w:sz="0" w:space="0" w:color="auto"/>
                        <w:right w:val="none" w:sz="0" w:space="0" w:color="auto"/>
                      </w:divBdr>
                    </w:div>
                  </w:divsChild>
                </w:div>
                <w:div w:id="635768525">
                  <w:marLeft w:val="0"/>
                  <w:marRight w:val="0"/>
                  <w:marTop w:val="0"/>
                  <w:marBottom w:val="0"/>
                  <w:divBdr>
                    <w:top w:val="none" w:sz="0" w:space="0" w:color="auto"/>
                    <w:left w:val="none" w:sz="0" w:space="0" w:color="auto"/>
                    <w:bottom w:val="none" w:sz="0" w:space="0" w:color="auto"/>
                    <w:right w:val="none" w:sz="0" w:space="0" w:color="auto"/>
                  </w:divBdr>
                  <w:divsChild>
                    <w:div w:id="779420863">
                      <w:marLeft w:val="0"/>
                      <w:marRight w:val="0"/>
                      <w:marTop w:val="0"/>
                      <w:marBottom w:val="0"/>
                      <w:divBdr>
                        <w:top w:val="none" w:sz="0" w:space="0" w:color="auto"/>
                        <w:left w:val="none" w:sz="0" w:space="0" w:color="auto"/>
                        <w:bottom w:val="none" w:sz="0" w:space="0" w:color="auto"/>
                        <w:right w:val="none" w:sz="0" w:space="0" w:color="auto"/>
                      </w:divBdr>
                    </w:div>
                  </w:divsChild>
                </w:div>
                <w:div w:id="636422973">
                  <w:marLeft w:val="0"/>
                  <w:marRight w:val="0"/>
                  <w:marTop w:val="0"/>
                  <w:marBottom w:val="0"/>
                  <w:divBdr>
                    <w:top w:val="none" w:sz="0" w:space="0" w:color="auto"/>
                    <w:left w:val="none" w:sz="0" w:space="0" w:color="auto"/>
                    <w:bottom w:val="none" w:sz="0" w:space="0" w:color="auto"/>
                    <w:right w:val="none" w:sz="0" w:space="0" w:color="auto"/>
                  </w:divBdr>
                  <w:divsChild>
                    <w:div w:id="631905380">
                      <w:marLeft w:val="0"/>
                      <w:marRight w:val="0"/>
                      <w:marTop w:val="0"/>
                      <w:marBottom w:val="0"/>
                      <w:divBdr>
                        <w:top w:val="none" w:sz="0" w:space="0" w:color="auto"/>
                        <w:left w:val="none" w:sz="0" w:space="0" w:color="auto"/>
                        <w:bottom w:val="none" w:sz="0" w:space="0" w:color="auto"/>
                        <w:right w:val="none" w:sz="0" w:space="0" w:color="auto"/>
                      </w:divBdr>
                    </w:div>
                  </w:divsChild>
                </w:div>
                <w:div w:id="650212468">
                  <w:marLeft w:val="0"/>
                  <w:marRight w:val="0"/>
                  <w:marTop w:val="0"/>
                  <w:marBottom w:val="0"/>
                  <w:divBdr>
                    <w:top w:val="none" w:sz="0" w:space="0" w:color="auto"/>
                    <w:left w:val="none" w:sz="0" w:space="0" w:color="auto"/>
                    <w:bottom w:val="none" w:sz="0" w:space="0" w:color="auto"/>
                    <w:right w:val="none" w:sz="0" w:space="0" w:color="auto"/>
                  </w:divBdr>
                  <w:divsChild>
                    <w:div w:id="231938184">
                      <w:marLeft w:val="0"/>
                      <w:marRight w:val="0"/>
                      <w:marTop w:val="0"/>
                      <w:marBottom w:val="0"/>
                      <w:divBdr>
                        <w:top w:val="none" w:sz="0" w:space="0" w:color="auto"/>
                        <w:left w:val="none" w:sz="0" w:space="0" w:color="auto"/>
                        <w:bottom w:val="none" w:sz="0" w:space="0" w:color="auto"/>
                        <w:right w:val="none" w:sz="0" w:space="0" w:color="auto"/>
                      </w:divBdr>
                    </w:div>
                  </w:divsChild>
                </w:div>
                <w:div w:id="655182694">
                  <w:marLeft w:val="0"/>
                  <w:marRight w:val="0"/>
                  <w:marTop w:val="0"/>
                  <w:marBottom w:val="0"/>
                  <w:divBdr>
                    <w:top w:val="none" w:sz="0" w:space="0" w:color="auto"/>
                    <w:left w:val="none" w:sz="0" w:space="0" w:color="auto"/>
                    <w:bottom w:val="none" w:sz="0" w:space="0" w:color="auto"/>
                    <w:right w:val="none" w:sz="0" w:space="0" w:color="auto"/>
                  </w:divBdr>
                  <w:divsChild>
                    <w:div w:id="519667538">
                      <w:marLeft w:val="0"/>
                      <w:marRight w:val="0"/>
                      <w:marTop w:val="0"/>
                      <w:marBottom w:val="0"/>
                      <w:divBdr>
                        <w:top w:val="none" w:sz="0" w:space="0" w:color="auto"/>
                        <w:left w:val="none" w:sz="0" w:space="0" w:color="auto"/>
                        <w:bottom w:val="none" w:sz="0" w:space="0" w:color="auto"/>
                        <w:right w:val="none" w:sz="0" w:space="0" w:color="auto"/>
                      </w:divBdr>
                    </w:div>
                  </w:divsChild>
                </w:div>
                <w:div w:id="661158498">
                  <w:marLeft w:val="0"/>
                  <w:marRight w:val="0"/>
                  <w:marTop w:val="0"/>
                  <w:marBottom w:val="0"/>
                  <w:divBdr>
                    <w:top w:val="none" w:sz="0" w:space="0" w:color="auto"/>
                    <w:left w:val="none" w:sz="0" w:space="0" w:color="auto"/>
                    <w:bottom w:val="none" w:sz="0" w:space="0" w:color="auto"/>
                    <w:right w:val="none" w:sz="0" w:space="0" w:color="auto"/>
                  </w:divBdr>
                  <w:divsChild>
                    <w:div w:id="383137934">
                      <w:marLeft w:val="0"/>
                      <w:marRight w:val="0"/>
                      <w:marTop w:val="0"/>
                      <w:marBottom w:val="0"/>
                      <w:divBdr>
                        <w:top w:val="none" w:sz="0" w:space="0" w:color="auto"/>
                        <w:left w:val="none" w:sz="0" w:space="0" w:color="auto"/>
                        <w:bottom w:val="none" w:sz="0" w:space="0" w:color="auto"/>
                        <w:right w:val="none" w:sz="0" w:space="0" w:color="auto"/>
                      </w:divBdr>
                    </w:div>
                  </w:divsChild>
                </w:div>
                <w:div w:id="662242647">
                  <w:marLeft w:val="0"/>
                  <w:marRight w:val="0"/>
                  <w:marTop w:val="0"/>
                  <w:marBottom w:val="0"/>
                  <w:divBdr>
                    <w:top w:val="none" w:sz="0" w:space="0" w:color="auto"/>
                    <w:left w:val="none" w:sz="0" w:space="0" w:color="auto"/>
                    <w:bottom w:val="none" w:sz="0" w:space="0" w:color="auto"/>
                    <w:right w:val="none" w:sz="0" w:space="0" w:color="auto"/>
                  </w:divBdr>
                  <w:divsChild>
                    <w:div w:id="1785075965">
                      <w:marLeft w:val="0"/>
                      <w:marRight w:val="0"/>
                      <w:marTop w:val="0"/>
                      <w:marBottom w:val="0"/>
                      <w:divBdr>
                        <w:top w:val="none" w:sz="0" w:space="0" w:color="auto"/>
                        <w:left w:val="none" w:sz="0" w:space="0" w:color="auto"/>
                        <w:bottom w:val="none" w:sz="0" w:space="0" w:color="auto"/>
                        <w:right w:val="none" w:sz="0" w:space="0" w:color="auto"/>
                      </w:divBdr>
                    </w:div>
                  </w:divsChild>
                </w:div>
                <w:div w:id="678657616">
                  <w:marLeft w:val="0"/>
                  <w:marRight w:val="0"/>
                  <w:marTop w:val="0"/>
                  <w:marBottom w:val="0"/>
                  <w:divBdr>
                    <w:top w:val="none" w:sz="0" w:space="0" w:color="auto"/>
                    <w:left w:val="none" w:sz="0" w:space="0" w:color="auto"/>
                    <w:bottom w:val="none" w:sz="0" w:space="0" w:color="auto"/>
                    <w:right w:val="none" w:sz="0" w:space="0" w:color="auto"/>
                  </w:divBdr>
                  <w:divsChild>
                    <w:div w:id="525755390">
                      <w:marLeft w:val="0"/>
                      <w:marRight w:val="0"/>
                      <w:marTop w:val="0"/>
                      <w:marBottom w:val="0"/>
                      <w:divBdr>
                        <w:top w:val="none" w:sz="0" w:space="0" w:color="auto"/>
                        <w:left w:val="none" w:sz="0" w:space="0" w:color="auto"/>
                        <w:bottom w:val="none" w:sz="0" w:space="0" w:color="auto"/>
                        <w:right w:val="none" w:sz="0" w:space="0" w:color="auto"/>
                      </w:divBdr>
                    </w:div>
                  </w:divsChild>
                </w:div>
                <w:div w:id="678774361">
                  <w:marLeft w:val="0"/>
                  <w:marRight w:val="0"/>
                  <w:marTop w:val="0"/>
                  <w:marBottom w:val="0"/>
                  <w:divBdr>
                    <w:top w:val="none" w:sz="0" w:space="0" w:color="auto"/>
                    <w:left w:val="none" w:sz="0" w:space="0" w:color="auto"/>
                    <w:bottom w:val="none" w:sz="0" w:space="0" w:color="auto"/>
                    <w:right w:val="none" w:sz="0" w:space="0" w:color="auto"/>
                  </w:divBdr>
                  <w:divsChild>
                    <w:div w:id="2132357331">
                      <w:marLeft w:val="0"/>
                      <w:marRight w:val="0"/>
                      <w:marTop w:val="0"/>
                      <w:marBottom w:val="0"/>
                      <w:divBdr>
                        <w:top w:val="none" w:sz="0" w:space="0" w:color="auto"/>
                        <w:left w:val="none" w:sz="0" w:space="0" w:color="auto"/>
                        <w:bottom w:val="none" w:sz="0" w:space="0" w:color="auto"/>
                        <w:right w:val="none" w:sz="0" w:space="0" w:color="auto"/>
                      </w:divBdr>
                    </w:div>
                  </w:divsChild>
                </w:div>
                <w:div w:id="679938650">
                  <w:marLeft w:val="0"/>
                  <w:marRight w:val="0"/>
                  <w:marTop w:val="0"/>
                  <w:marBottom w:val="0"/>
                  <w:divBdr>
                    <w:top w:val="none" w:sz="0" w:space="0" w:color="auto"/>
                    <w:left w:val="none" w:sz="0" w:space="0" w:color="auto"/>
                    <w:bottom w:val="none" w:sz="0" w:space="0" w:color="auto"/>
                    <w:right w:val="none" w:sz="0" w:space="0" w:color="auto"/>
                  </w:divBdr>
                  <w:divsChild>
                    <w:div w:id="580532235">
                      <w:marLeft w:val="0"/>
                      <w:marRight w:val="0"/>
                      <w:marTop w:val="0"/>
                      <w:marBottom w:val="0"/>
                      <w:divBdr>
                        <w:top w:val="none" w:sz="0" w:space="0" w:color="auto"/>
                        <w:left w:val="none" w:sz="0" w:space="0" w:color="auto"/>
                        <w:bottom w:val="none" w:sz="0" w:space="0" w:color="auto"/>
                        <w:right w:val="none" w:sz="0" w:space="0" w:color="auto"/>
                      </w:divBdr>
                    </w:div>
                  </w:divsChild>
                </w:div>
                <w:div w:id="685450963">
                  <w:marLeft w:val="0"/>
                  <w:marRight w:val="0"/>
                  <w:marTop w:val="0"/>
                  <w:marBottom w:val="0"/>
                  <w:divBdr>
                    <w:top w:val="none" w:sz="0" w:space="0" w:color="auto"/>
                    <w:left w:val="none" w:sz="0" w:space="0" w:color="auto"/>
                    <w:bottom w:val="none" w:sz="0" w:space="0" w:color="auto"/>
                    <w:right w:val="none" w:sz="0" w:space="0" w:color="auto"/>
                  </w:divBdr>
                  <w:divsChild>
                    <w:div w:id="1668553177">
                      <w:marLeft w:val="0"/>
                      <w:marRight w:val="0"/>
                      <w:marTop w:val="0"/>
                      <w:marBottom w:val="0"/>
                      <w:divBdr>
                        <w:top w:val="none" w:sz="0" w:space="0" w:color="auto"/>
                        <w:left w:val="none" w:sz="0" w:space="0" w:color="auto"/>
                        <w:bottom w:val="none" w:sz="0" w:space="0" w:color="auto"/>
                        <w:right w:val="none" w:sz="0" w:space="0" w:color="auto"/>
                      </w:divBdr>
                    </w:div>
                  </w:divsChild>
                </w:div>
                <w:div w:id="687945152">
                  <w:marLeft w:val="0"/>
                  <w:marRight w:val="0"/>
                  <w:marTop w:val="0"/>
                  <w:marBottom w:val="0"/>
                  <w:divBdr>
                    <w:top w:val="none" w:sz="0" w:space="0" w:color="auto"/>
                    <w:left w:val="none" w:sz="0" w:space="0" w:color="auto"/>
                    <w:bottom w:val="none" w:sz="0" w:space="0" w:color="auto"/>
                    <w:right w:val="none" w:sz="0" w:space="0" w:color="auto"/>
                  </w:divBdr>
                  <w:divsChild>
                    <w:div w:id="580143911">
                      <w:marLeft w:val="0"/>
                      <w:marRight w:val="0"/>
                      <w:marTop w:val="0"/>
                      <w:marBottom w:val="0"/>
                      <w:divBdr>
                        <w:top w:val="none" w:sz="0" w:space="0" w:color="auto"/>
                        <w:left w:val="none" w:sz="0" w:space="0" w:color="auto"/>
                        <w:bottom w:val="none" w:sz="0" w:space="0" w:color="auto"/>
                        <w:right w:val="none" w:sz="0" w:space="0" w:color="auto"/>
                      </w:divBdr>
                    </w:div>
                  </w:divsChild>
                </w:div>
                <w:div w:id="690690840">
                  <w:marLeft w:val="0"/>
                  <w:marRight w:val="0"/>
                  <w:marTop w:val="0"/>
                  <w:marBottom w:val="0"/>
                  <w:divBdr>
                    <w:top w:val="none" w:sz="0" w:space="0" w:color="auto"/>
                    <w:left w:val="none" w:sz="0" w:space="0" w:color="auto"/>
                    <w:bottom w:val="none" w:sz="0" w:space="0" w:color="auto"/>
                    <w:right w:val="none" w:sz="0" w:space="0" w:color="auto"/>
                  </w:divBdr>
                  <w:divsChild>
                    <w:div w:id="734935011">
                      <w:marLeft w:val="0"/>
                      <w:marRight w:val="0"/>
                      <w:marTop w:val="0"/>
                      <w:marBottom w:val="0"/>
                      <w:divBdr>
                        <w:top w:val="none" w:sz="0" w:space="0" w:color="auto"/>
                        <w:left w:val="none" w:sz="0" w:space="0" w:color="auto"/>
                        <w:bottom w:val="none" w:sz="0" w:space="0" w:color="auto"/>
                        <w:right w:val="none" w:sz="0" w:space="0" w:color="auto"/>
                      </w:divBdr>
                    </w:div>
                  </w:divsChild>
                </w:div>
                <w:div w:id="702485895">
                  <w:marLeft w:val="0"/>
                  <w:marRight w:val="0"/>
                  <w:marTop w:val="0"/>
                  <w:marBottom w:val="0"/>
                  <w:divBdr>
                    <w:top w:val="none" w:sz="0" w:space="0" w:color="auto"/>
                    <w:left w:val="none" w:sz="0" w:space="0" w:color="auto"/>
                    <w:bottom w:val="none" w:sz="0" w:space="0" w:color="auto"/>
                    <w:right w:val="none" w:sz="0" w:space="0" w:color="auto"/>
                  </w:divBdr>
                  <w:divsChild>
                    <w:div w:id="1900482425">
                      <w:marLeft w:val="0"/>
                      <w:marRight w:val="0"/>
                      <w:marTop w:val="0"/>
                      <w:marBottom w:val="0"/>
                      <w:divBdr>
                        <w:top w:val="none" w:sz="0" w:space="0" w:color="auto"/>
                        <w:left w:val="none" w:sz="0" w:space="0" w:color="auto"/>
                        <w:bottom w:val="none" w:sz="0" w:space="0" w:color="auto"/>
                        <w:right w:val="none" w:sz="0" w:space="0" w:color="auto"/>
                      </w:divBdr>
                    </w:div>
                  </w:divsChild>
                </w:div>
                <w:div w:id="710542118">
                  <w:marLeft w:val="0"/>
                  <w:marRight w:val="0"/>
                  <w:marTop w:val="0"/>
                  <w:marBottom w:val="0"/>
                  <w:divBdr>
                    <w:top w:val="none" w:sz="0" w:space="0" w:color="auto"/>
                    <w:left w:val="none" w:sz="0" w:space="0" w:color="auto"/>
                    <w:bottom w:val="none" w:sz="0" w:space="0" w:color="auto"/>
                    <w:right w:val="none" w:sz="0" w:space="0" w:color="auto"/>
                  </w:divBdr>
                  <w:divsChild>
                    <w:div w:id="1497720984">
                      <w:marLeft w:val="0"/>
                      <w:marRight w:val="0"/>
                      <w:marTop w:val="0"/>
                      <w:marBottom w:val="0"/>
                      <w:divBdr>
                        <w:top w:val="none" w:sz="0" w:space="0" w:color="auto"/>
                        <w:left w:val="none" w:sz="0" w:space="0" w:color="auto"/>
                        <w:bottom w:val="none" w:sz="0" w:space="0" w:color="auto"/>
                        <w:right w:val="none" w:sz="0" w:space="0" w:color="auto"/>
                      </w:divBdr>
                    </w:div>
                  </w:divsChild>
                </w:div>
                <w:div w:id="721707645">
                  <w:marLeft w:val="0"/>
                  <w:marRight w:val="0"/>
                  <w:marTop w:val="0"/>
                  <w:marBottom w:val="0"/>
                  <w:divBdr>
                    <w:top w:val="none" w:sz="0" w:space="0" w:color="auto"/>
                    <w:left w:val="none" w:sz="0" w:space="0" w:color="auto"/>
                    <w:bottom w:val="none" w:sz="0" w:space="0" w:color="auto"/>
                    <w:right w:val="none" w:sz="0" w:space="0" w:color="auto"/>
                  </w:divBdr>
                  <w:divsChild>
                    <w:div w:id="641234339">
                      <w:marLeft w:val="0"/>
                      <w:marRight w:val="0"/>
                      <w:marTop w:val="0"/>
                      <w:marBottom w:val="0"/>
                      <w:divBdr>
                        <w:top w:val="none" w:sz="0" w:space="0" w:color="auto"/>
                        <w:left w:val="none" w:sz="0" w:space="0" w:color="auto"/>
                        <w:bottom w:val="none" w:sz="0" w:space="0" w:color="auto"/>
                        <w:right w:val="none" w:sz="0" w:space="0" w:color="auto"/>
                      </w:divBdr>
                    </w:div>
                  </w:divsChild>
                </w:div>
                <w:div w:id="753475461">
                  <w:marLeft w:val="0"/>
                  <w:marRight w:val="0"/>
                  <w:marTop w:val="0"/>
                  <w:marBottom w:val="0"/>
                  <w:divBdr>
                    <w:top w:val="none" w:sz="0" w:space="0" w:color="auto"/>
                    <w:left w:val="none" w:sz="0" w:space="0" w:color="auto"/>
                    <w:bottom w:val="none" w:sz="0" w:space="0" w:color="auto"/>
                    <w:right w:val="none" w:sz="0" w:space="0" w:color="auto"/>
                  </w:divBdr>
                  <w:divsChild>
                    <w:div w:id="2010907319">
                      <w:marLeft w:val="0"/>
                      <w:marRight w:val="0"/>
                      <w:marTop w:val="0"/>
                      <w:marBottom w:val="0"/>
                      <w:divBdr>
                        <w:top w:val="none" w:sz="0" w:space="0" w:color="auto"/>
                        <w:left w:val="none" w:sz="0" w:space="0" w:color="auto"/>
                        <w:bottom w:val="none" w:sz="0" w:space="0" w:color="auto"/>
                        <w:right w:val="none" w:sz="0" w:space="0" w:color="auto"/>
                      </w:divBdr>
                    </w:div>
                  </w:divsChild>
                </w:div>
                <w:div w:id="759909797">
                  <w:marLeft w:val="0"/>
                  <w:marRight w:val="0"/>
                  <w:marTop w:val="0"/>
                  <w:marBottom w:val="0"/>
                  <w:divBdr>
                    <w:top w:val="none" w:sz="0" w:space="0" w:color="auto"/>
                    <w:left w:val="none" w:sz="0" w:space="0" w:color="auto"/>
                    <w:bottom w:val="none" w:sz="0" w:space="0" w:color="auto"/>
                    <w:right w:val="none" w:sz="0" w:space="0" w:color="auto"/>
                  </w:divBdr>
                  <w:divsChild>
                    <w:div w:id="860321925">
                      <w:marLeft w:val="0"/>
                      <w:marRight w:val="0"/>
                      <w:marTop w:val="0"/>
                      <w:marBottom w:val="0"/>
                      <w:divBdr>
                        <w:top w:val="none" w:sz="0" w:space="0" w:color="auto"/>
                        <w:left w:val="none" w:sz="0" w:space="0" w:color="auto"/>
                        <w:bottom w:val="none" w:sz="0" w:space="0" w:color="auto"/>
                        <w:right w:val="none" w:sz="0" w:space="0" w:color="auto"/>
                      </w:divBdr>
                    </w:div>
                  </w:divsChild>
                </w:div>
                <w:div w:id="765272376">
                  <w:marLeft w:val="0"/>
                  <w:marRight w:val="0"/>
                  <w:marTop w:val="0"/>
                  <w:marBottom w:val="0"/>
                  <w:divBdr>
                    <w:top w:val="none" w:sz="0" w:space="0" w:color="auto"/>
                    <w:left w:val="none" w:sz="0" w:space="0" w:color="auto"/>
                    <w:bottom w:val="none" w:sz="0" w:space="0" w:color="auto"/>
                    <w:right w:val="none" w:sz="0" w:space="0" w:color="auto"/>
                  </w:divBdr>
                  <w:divsChild>
                    <w:div w:id="1425951654">
                      <w:marLeft w:val="0"/>
                      <w:marRight w:val="0"/>
                      <w:marTop w:val="0"/>
                      <w:marBottom w:val="0"/>
                      <w:divBdr>
                        <w:top w:val="none" w:sz="0" w:space="0" w:color="auto"/>
                        <w:left w:val="none" w:sz="0" w:space="0" w:color="auto"/>
                        <w:bottom w:val="none" w:sz="0" w:space="0" w:color="auto"/>
                        <w:right w:val="none" w:sz="0" w:space="0" w:color="auto"/>
                      </w:divBdr>
                    </w:div>
                  </w:divsChild>
                </w:div>
                <w:div w:id="770588650">
                  <w:marLeft w:val="0"/>
                  <w:marRight w:val="0"/>
                  <w:marTop w:val="0"/>
                  <w:marBottom w:val="0"/>
                  <w:divBdr>
                    <w:top w:val="none" w:sz="0" w:space="0" w:color="auto"/>
                    <w:left w:val="none" w:sz="0" w:space="0" w:color="auto"/>
                    <w:bottom w:val="none" w:sz="0" w:space="0" w:color="auto"/>
                    <w:right w:val="none" w:sz="0" w:space="0" w:color="auto"/>
                  </w:divBdr>
                  <w:divsChild>
                    <w:div w:id="1142427587">
                      <w:marLeft w:val="0"/>
                      <w:marRight w:val="0"/>
                      <w:marTop w:val="0"/>
                      <w:marBottom w:val="0"/>
                      <w:divBdr>
                        <w:top w:val="none" w:sz="0" w:space="0" w:color="auto"/>
                        <w:left w:val="none" w:sz="0" w:space="0" w:color="auto"/>
                        <w:bottom w:val="none" w:sz="0" w:space="0" w:color="auto"/>
                        <w:right w:val="none" w:sz="0" w:space="0" w:color="auto"/>
                      </w:divBdr>
                    </w:div>
                  </w:divsChild>
                </w:div>
                <w:div w:id="776830097">
                  <w:marLeft w:val="0"/>
                  <w:marRight w:val="0"/>
                  <w:marTop w:val="0"/>
                  <w:marBottom w:val="0"/>
                  <w:divBdr>
                    <w:top w:val="none" w:sz="0" w:space="0" w:color="auto"/>
                    <w:left w:val="none" w:sz="0" w:space="0" w:color="auto"/>
                    <w:bottom w:val="none" w:sz="0" w:space="0" w:color="auto"/>
                    <w:right w:val="none" w:sz="0" w:space="0" w:color="auto"/>
                  </w:divBdr>
                  <w:divsChild>
                    <w:div w:id="1307127342">
                      <w:marLeft w:val="0"/>
                      <w:marRight w:val="0"/>
                      <w:marTop w:val="0"/>
                      <w:marBottom w:val="0"/>
                      <w:divBdr>
                        <w:top w:val="none" w:sz="0" w:space="0" w:color="auto"/>
                        <w:left w:val="none" w:sz="0" w:space="0" w:color="auto"/>
                        <w:bottom w:val="none" w:sz="0" w:space="0" w:color="auto"/>
                        <w:right w:val="none" w:sz="0" w:space="0" w:color="auto"/>
                      </w:divBdr>
                    </w:div>
                  </w:divsChild>
                </w:div>
                <w:div w:id="783841978">
                  <w:marLeft w:val="0"/>
                  <w:marRight w:val="0"/>
                  <w:marTop w:val="0"/>
                  <w:marBottom w:val="0"/>
                  <w:divBdr>
                    <w:top w:val="none" w:sz="0" w:space="0" w:color="auto"/>
                    <w:left w:val="none" w:sz="0" w:space="0" w:color="auto"/>
                    <w:bottom w:val="none" w:sz="0" w:space="0" w:color="auto"/>
                    <w:right w:val="none" w:sz="0" w:space="0" w:color="auto"/>
                  </w:divBdr>
                  <w:divsChild>
                    <w:div w:id="394282497">
                      <w:marLeft w:val="0"/>
                      <w:marRight w:val="0"/>
                      <w:marTop w:val="0"/>
                      <w:marBottom w:val="0"/>
                      <w:divBdr>
                        <w:top w:val="none" w:sz="0" w:space="0" w:color="auto"/>
                        <w:left w:val="none" w:sz="0" w:space="0" w:color="auto"/>
                        <w:bottom w:val="none" w:sz="0" w:space="0" w:color="auto"/>
                        <w:right w:val="none" w:sz="0" w:space="0" w:color="auto"/>
                      </w:divBdr>
                    </w:div>
                  </w:divsChild>
                </w:div>
                <w:div w:id="799231408">
                  <w:marLeft w:val="0"/>
                  <w:marRight w:val="0"/>
                  <w:marTop w:val="0"/>
                  <w:marBottom w:val="0"/>
                  <w:divBdr>
                    <w:top w:val="none" w:sz="0" w:space="0" w:color="auto"/>
                    <w:left w:val="none" w:sz="0" w:space="0" w:color="auto"/>
                    <w:bottom w:val="none" w:sz="0" w:space="0" w:color="auto"/>
                    <w:right w:val="none" w:sz="0" w:space="0" w:color="auto"/>
                  </w:divBdr>
                  <w:divsChild>
                    <w:div w:id="484854290">
                      <w:marLeft w:val="0"/>
                      <w:marRight w:val="0"/>
                      <w:marTop w:val="0"/>
                      <w:marBottom w:val="0"/>
                      <w:divBdr>
                        <w:top w:val="none" w:sz="0" w:space="0" w:color="auto"/>
                        <w:left w:val="none" w:sz="0" w:space="0" w:color="auto"/>
                        <w:bottom w:val="none" w:sz="0" w:space="0" w:color="auto"/>
                        <w:right w:val="none" w:sz="0" w:space="0" w:color="auto"/>
                      </w:divBdr>
                    </w:div>
                  </w:divsChild>
                </w:div>
                <w:div w:id="807552264">
                  <w:marLeft w:val="0"/>
                  <w:marRight w:val="0"/>
                  <w:marTop w:val="0"/>
                  <w:marBottom w:val="0"/>
                  <w:divBdr>
                    <w:top w:val="none" w:sz="0" w:space="0" w:color="auto"/>
                    <w:left w:val="none" w:sz="0" w:space="0" w:color="auto"/>
                    <w:bottom w:val="none" w:sz="0" w:space="0" w:color="auto"/>
                    <w:right w:val="none" w:sz="0" w:space="0" w:color="auto"/>
                  </w:divBdr>
                  <w:divsChild>
                    <w:div w:id="101807440">
                      <w:marLeft w:val="0"/>
                      <w:marRight w:val="0"/>
                      <w:marTop w:val="0"/>
                      <w:marBottom w:val="0"/>
                      <w:divBdr>
                        <w:top w:val="none" w:sz="0" w:space="0" w:color="auto"/>
                        <w:left w:val="none" w:sz="0" w:space="0" w:color="auto"/>
                        <w:bottom w:val="none" w:sz="0" w:space="0" w:color="auto"/>
                        <w:right w:val="none" w:sz="0" w:space="0" w:color="auto"/>
                      </w:divBdr>
                    </w:div>
                  </w:divsChild>
                </w:div>
                <w:div w:id="825438145">
                  <w:marLeft w:val="0"/>
                  <w:marRight w:val="0"/>
                  <w:marTop w:val="0"/>
                  <w:marBottom w:val="0"/>
                  <w:divBdr>
                    <w:top w:val="none" w:sz="0" w:space="0" w:color="auto"/>
                    <w:left w:val="none" w:sz="0" w:space="0" w:color="auto"/>
                    <w:bottom w:val="none" w:sz="0" w:space="0" w:color="auto"/>
                    <w:right w:val="none" w:sz="0" w:space="0" w:color="auto"/>
                  </w:divBdr>
                  <w:divsChild>
                    <w:div w:id="683441345">
                      <w:marLeft w:val="0"/>
                      <w:marRight w:val="0"/>
                      <w:marTop w:val="0"/>
                      <w:marBottom w:val="0"/>
                      <w:divBdr>
                        <w:top w:val="none" w:sz="0" w:space="0" w:color="auto"/>
                        <w:left w:val="none" w:sz="0" w:space="0" w:color="auto"/>
                        <w:bottom w:val="none" w:sz="0" w:space="0" w:color="auto"/>
                        <w:right w:val="none" w:sz="0" w:space="0" w:color="auto"/>
                      </w:divBdr>
                    </w:div>
                  </w:divsChild>
                </w:div>
                <w:div w:id="835925692">
                  <w:marLeft w:val="0"/>
                  <w:marRight w:val="0"/>
                  <w:marTop w:val="0"/>
                  <w:marBottom w:val="0"/>
                  <w:divBdr>
                    <w:top w:val="none" w:sz="0" w:space="0" w:color="auto"/>
                    <w:left w:val="none" w:sz="0" w:space="0" w:color="auto"/>
                    <w:bottom w:val="none" w:sz="0" w:space="0" w:color="auto"/>
                    <w:right w:val="none" w:sz="0" w:space="0" w:color="auto"/>
                  </w:divBdr>
                  <w:divsChild>
                    <w:div w:id="1054963745">
                      <w:marLeft w:val="0"/>
                      <w:marRight w:val="0"/>
                      <w:marTop w:val="0"/>
                      <w:marBottom w:val="0"/>
                      <w:divBdr>
                        <w:top w:val="none" w:sz="0" w:space="0" w:color="auto"/>
                        <w:left w:val="none" w:sz="0" w:space="0" w:color="auto"/>
                        <w:bottom w:val="none" w:sz="0" w:space="0" w:color="auto"/>
                        <w:right w:val="none" w:sz="0" w:space="0" w:color="auto"/>
                      </w:divBdr>
                    </w:div>
                  </w:divsChild>
                </w:div>
                <w:div w:id="858616872">
                  <w:marLeft w:val="0"/>
                  <w:marRight w:val="0"/>
                  <w:marTop w:val="0"/>
                  <w:marBottom w:val="0"/>
                  <w:divBdr>
                    <w:top w:val="none" w:sz="0" w:space="0" w:color="auto"/>
                    <w:left w:val="none" w:sz="0" w:space="0" w:color="auto"/>
                    <w:bottom w:val="none" w:sz="0" w:space="0" w:color="auto"/>
                    <w:right w:val="none" w:sz="0" w:space="0" w:color="auto"/>
                  </w:divBdr>
                  <w:divsChild>
                    <w:div w:id="535626563">
                      <w:marLeft w:val="0"/>
                      <w:marRight w:val="0"/>
                      <w:marTop w:val="0"/>
                      <w:marBottom w:val="0"/>
                      <w:divBdr>
                        <w:top w:val="none" w:sz="0" w:space="0" w:color="auto"/>
                        <w:left w:val="none" w:sz="0" w:space="0" w:color="auto"/>
                        <w:bottom w:val="none" w:sz="0" w:space="0" w:color="auto"/>
                        <w:right w:val="none" w:sz="0" w:space="0" w:color="auto"/>
                      </w:divBdr>
                    </w:div>
                  </w:divsChild>
                </w:div>
                <w:div w:id="859204406">
                  <w:marLeft w:val="0"/>
                  <w:marRight w:val="0"/>
                  <w:marTop w:val="0"/>
                  <w:marBottom w:val="0"/>
                  <w:divBdr>
                    <w:top w:val="none" w:sz="0" w:space="0" w:color="auto"/>
                    <w:left w:val="none" w:sz="0" w:space="0" w:color="auto"/>
                    <w:bottom w:val="none" w:sz="0" w:space="0" w:color="auto"/>
                    <w:right w:val="none" w:sz="0" w:space="0" w:color="auto"/>
                  </w:divBdr>
                  <w:divsChild>
                    <w:div w:id="412778359">
                      <w:marLeft w:val="0"/>
                      <w:marRight w:val="0"/>
                      <w:marTop w:val="0"/>
                      <w:marBottom w:val="0"/>
                      <w:divBdr>
                        <w:top w:val="none" w:sz="0" w:space="0" w:color="auto"/>
                        <w:left w:val="none" w:sz="0" w:space="0" w:color="auto"/>
                        <w:bottom w:val="none" w:sz="0" w:space="0" w:color="auto"/>
                        <w:right w:val="none" w:sz="0" w:space="0" w:color="auto"/>
                      </w:divBdr>
                    </w:div>
                  </w:divsChild>
                </w:div>
                <w:div w:id="872694607">
                  <w:marLeft w:val="0"/>
                  <w:marRight w:val="0"/>
                  <w:marTop w:val="0"/>
                  <w:marBottom w:val="0"/>
                  <w:divBdr>
                    <w:top w:val="none" w:sz="0" w:space="0" w:color="auto"/>
                    <w:left w:val="none" w:sz="0" w:space="0" w:color="auto"/>
                    <w:bottom w:val="none" w:sz="0" w:space="0" w:color="auto"/>
                    <w:right w:val="none" w:sz="0" w:space="0" w:color="auto"/>
                  </w:divBdr>
                  <w:divsChild>
                    <w:div w:id="1573849093">
                      <w:marLeft w:val="0"/>
                      <w:marRight w:val="0"/>
                      <w:marTop w:val="0"/>
                      <w:marBottom w:val="0"/>
                      <w:divBdr>
                        <w:top w:val="none" w:sz="0" w:space="0" w:color="auto"/>
                        <w:left w:val="none" w:sz="0" w:space="0" w:color="auto"/>
                        <w:bottom w:val="none" w:sz="0" w:space="0" w:color="auto"/>
                        <w:right w:val="none" w:sz="0" w:space="0" w:color="auto"/>
                      </w:divBdr>
                    </w:div>
                  </w:divsChild>
                </w:div>
                <w:div w:id="883298347">
                  <w:marLeft w:val="0"/>
                  <w:marRight w:val="0"/>
                  <w:marTop w:val="0"/>
                  <w:marBottom w:val="0"/>
                  <w:divBdr>
                    <w:top w:val="none" w:sz="0" w:space="0" w:color="auto"/>
                    <w:left w:val="none" w:sz="0" w:space="0" w:color="auto"/>
                    <w:bottom w:val="none" w:sz="0" w:space="0" w:color="auto"/>
                    <w:right w:val="none" w:sz="0" w:space="0" w:color="auto"/>
                  </w:divBdr>
                  <w:divsChild>
                    <w:div w:id="1449008261">
                      <w:marLeft w:val="0"/>
                      <w:marRight w:val="0"/>
                      <w:marTop w:val="0"/>
                      <w:marBottom w:val="0"/>
                      <w:divBdr>
                        <w:top w:val="none" w:sz="0" w:space="0" w:color="auto"/>
                        <w:left w:val="none" w:sz="0" w:space="0" w:color="auto"/>
                        <w:bottom w:val="none" w:sz="0" w:space="0" w:color="auto"/>
                        <w:right w:val="none" w:sz="0" w:space="0" w:color="auto"/>
                      </w:divBdr>
                    </w:div>
                  </w:divsChild>
                </w:div>
                <w:div w:id="890922168">
                  <w:marLeft w:val="0"/>
                  <w:marRight w:val="0"/>
                  <w:marTop w:val="0"/>
                  <w:marBottom w:val="0"/>
                  <w:divBdr>
                    <w:top w:val="none" w:sz="0" w:space="0" w:color="auto"/>
                    <w:left w:val="none" w:sz="0" w:space="0" w:color="auto"/>
                    <w:bottom w:val="none" w:sz="0" w:space="0" w:color="auto"/>
                    <w:right w:val="none" w:sz="0" w:space="0" w:color="auto"/>
                  </w:divBdr>
                  <w:divsChild>
                    <w:div w:id="1629781622">
                      <w:marLeft w:val="0"/>
                      <w:marRight w:val="0"/>
                      <w:marTop w:val="0"/>
                      <w:marBottom w:val="0"/>
                      <w:divBdr>
                        <w:top w:val="none" w:sz="0" w:space="0" w:color="auto"/>
                        <w:left w:val="none" w:sz="0" w:space="0" w:color="auto"/>
                        <w:bottom w:val="none" w:sz="0" w:space="0" w:color="auto"/>
                        <w:right w:val="none" w:sz="0" w:space="0" w:color="auto"/>
                      </w:divBdr>
                    </w:div>
                  </w:divsChild>
                </w:div>
                <w:div w:id="893782514">
                  <w:marLeft w:val="0"/>
                  <w:marRight w:val="0"/>
                  <w:marTop w:val="0"/>
                  <w:marBottom w:val="0"/>
                  <w:divBdr>
                    <w:top w:val="none" w:sz="0" w:space="0" w:color="auto"/>
                    <w:left w:val="none" w:sz="0" w:space="0" w:color="auto"/>
                    <w:bottom w:val="none" w:sz="0" w:space="0" w:color="auto"/>
                    <w:right w:val="none" w:sz="0" w:space="0" w:color="auto"/>
                  </w:divBdr>
                  <w:divsChild>
                    <w:div w:id="1812407810">
                      <w:marLeft w:val="0"/>
                      <w:marRight w:val="0"/>
                      <w:marTop w:val="0"/>
                      <w:marBottom w:val="0"/>
                      <w:divBdr>
                        <w:top w:val="none" w:sz="0" w:space="0" w:color="auto"/>
                        <w:left w:val="none" w:sz="0" w:space="0" w:color="auto"/>
                        <w:bottom w:val="none" w:sz="0" w:space="0" w:color="auto"/>
                        <w:right w:val="none" w:sz="0" w:space="0" w:color="auto"/>
                      </w:divBdr>
                    </w:div>
                  </w:divsChild>
                </w:div>
                <w:div w:id="900871825">
                  <w:marLeft w:val="0"/>
                  <w:marRight w:val="0"/>
                  <w:marTop w:val="0"/>
                  <w:marBottom w:val="0"/>
                  <w:divBdr>
                    <w:top w:val="none" w:sz="0" w:space="0" w:color="auto"/>
                    <w:left w:val="none" w:sz="0" w:space="0" w:color="auto"/>
                    <w:bottom w:val="none" w:sz="0" w:space="0" w:color="auto"/>
                    <w:right w:val="none" w:sz="0" w:space="0" w:color="auto"/>
                  </w:divBdr>
                  <w:divsChild>
                    <w:div w:id="876816358">
                      <w:marLeft w:val="0"/>
                      <w:marRight w:val="0"/>
                      <w:marTop w:val="0"/>
                      <w:marBottom w:val="0"/>
                      <w:divBdr>
                        <w:top w:val="none" w:sz="0" w:space="0" w:color="auto"/>
                        <w:left w:val="none" w:sz="0" w:space="0" w:color="auto"/>
                        <w:bottom w:val="none" w:sz="0" w:space="0" w:color="auto"/>
                        <w:right w:val="none" w:sz="0" w:space="0" w:color="auto"/>
                      </w:divBdr>
                    </w:div>
                  </w:divsChild>
                </w:div>
                <w:div w:id="913274939">
                  <w:marLeft w:val="0"/>
                  <w:marRight w:val="0"/>
                  <w:marTop w:val="0"/>
                  <w:marBottom w:val="0"/>
                  <w:divBdr>
                    <w:top w:val="none" w:sz="0" w:space="0" w:color="auto"/>
                    <w:left w:val="none" w:sz="0" w:space="0" w:color="auto"/>
                    <w:bottom w:val="none" w:sz="0" w:space="0" w:color="auto"/>
                    <w:right w:val="none" w:sz="0" w:space="0" w:color="auto"/>
                  </w:divBdr>
                  <w:divsChild>
                    <w:div w:id="677002966">
                      <w:marLeft w:val="0"/>
                      <w:marRight w:val="0"/>
                      <w:marTop w:val="0"/>
                      <w:marBottom w:val="0"/>
                      <w:divBdr>
                        <w:top w:val="none" w:sz="0" w:space="0" w:color="auto"/>
                        <w:left w:val="none" w:sz="0" w:space="0" w:color="auto"/>
                        <w:bottom w:val="none" w:sz="0" w:space="0" w:color="auto"/>
                        <w:right w:val="none" w:sz="0" w:space="0" w:color="auto"/>
                      </w:divBdr>
                    </w:div>
                  </w:divsChild>
                </w:div>
                <w:div w:id="922110562">
                  <w:marLeft w:val="0"/>
                  <w:marRight w:val="0"/>
                  <w:marTop w:val="0"/>
                  <w:marBottom w:val="0"/>
                  <w:divBdr>
                    <w:top w:val="none" w:sz="0" w:space="0" w:color="auto"/>
                    <w:left w:val="none" w:sz="0" w:space="0" w:color="auto"/>
                    <w:bottom w:val="none" w:sz="0" w:space="0" w:color="auto"/>
                    <w:right w:val="none" w:sz="0" w:space="0" w:color="auto"/>
                  </w:divBdr>
                  <w:divsChild>
                    <w:div w:id="2125685365">
                      <w:marLeft w:val="0"/>
                      <w:marRight w:val="0"/>
                      <w:marTop w:val="0"/>
                      <w:marBottom w:val="0"/>
                      <w:divBdr>
                        <w:top w:val="none" w:sz="0" w:space="0" w:color="auto"/>
                        <w:left w:val="none" w:sz="0" w:space="0" w:color="auto"/>
                        <w:bottom w:val="none" w:sz="0" w:space="0" w:color="auto"/>
                        <w:right w:val="none" w:sz="0" w:space="0" w:color="auto"/>
                      </w:divBdr>
                    </w:div>
                  </w:divsChild>
                </w:div>
                <w:div w:id="924995326">
                  <w:marLeft w:val="0"/>
                  <w:marRight w:val="0"/>
                  <w:marTop w:val="0"/>
                  <w:marBottom w:val="0"/>
                  <w:divBdr>
                    <w:top w:val="none" w:sz="0" w:space="0" w:color="auto"/>
                    <w:left w:val="none" w:sz="0" w:space="0" w:color="auto"/>
                    <w:bottom w:val="none" w:sz="0" w:space="0" w:color="auto"/>
                    <w:right w:val="none" w:sz="0" w:space="0" w:color="auto"/>
                  </w:divBdr>
                  <w:divsChild>
                    <w:div w:id="695085123">
                      <w:marLeft w:val="0"/>
                      <w:marRight w:val="0"/>
                      <w:marTop w:val="0"/>
                      <w:marBottom w:val="0"/>
                      <w:divBdr>
                        <w:top w:val="none" w:sz="0" w:space="0" w:color="auto"/>
                        <w:left w:val="none" w:sz="0" w:space="0" w:color="auto"/>
                        <w:bottom w:val="none" w:sz="0" w:space="0" w:color="auto"/>
                        <w:right w:val="none" w:sz="0" w:space="0" w:color="auto"/>
                      </w:divBdr>
                    </w:div>
                  </w:divsChild>
                </w:div>
                <w:div w:id="933708607">
                  <w:marLeft w:val="0"/>
                  <w:marRight w:val="0"/>
                  <w:marTop w:val="0"/>
                  <w:marBottom w:val="0"/>
                  <w:divBdr>
                    <w:top w:val="none" w:sz="0" w:space="0" w:color="auto"/>
                    <w:left w:val="none" w:sz="0" w:space="0" w:color="auto"/>
                    <w:bottom w:val="none" w:sz="0" w:space="0" w:color="auto"/>
                    <w:right w:val="none" w:sz="0" w:space="0" w:color="auto"/>
                  </w:divBdr>
                  <w:divsChild>
                    <w:div w:id="336813931">
                      <w:marLeft w:val="0"/>
                      <w:marRight w:val="0"/>
                      <w:marTop w:val="0"/>
                      <w:marBottom w:val="0"/>
                      <w:divBdr>
                        <w:top w:val="none" w:sz="0" w:space="0" w:color="auto"/>
                        <w:left w:val="none" w:sz="0" w:space="0" w:color="auto"/>
                        <w:bottom w:val="none" w:sz="0" w:space="0" w:color="auto"/>
                        <w:right w:val="none" w:sz="0" w:space="0" w:color="auto"/>
                      </w:divBdr>
                    </w:div>
                  </w:divsChild>
                </w:div>
                <w:div w:id="972298158">
                  <w:marLeft w:val="0"/>
                  <w:marRight w:val="0"/>
                  <w:marTop w:val="0"/>
                  <w:marBottom w:val="0"/>
                  <w:divBdr>
                    <w:top w:val="none" w:sz="0" w:space="0" w:color="auto"/>
                    <w:left w:val="none" w:sz="0" w:space="0" w:color="auto"/>
                    <w:bottom w:val="none" w:sz="0" w:space="0" w:color="auto"/>
                    <w:right w:val="none" w:sz="0" w:space="0" w:color="auto"/>
                  </w:divBdr>
                  <w:divsChild>
                    <w:div w:id="1308126407">
                      <w:marLeft w:val="0"/>
                      <w:marRight w:val="0"/>
                      <w:marTop w:val="0"/>
                      <w:marBottom w:val="0"/>
                      <w:divBdr>
                        <w:top w:val="none" w:sz="0" w:space="0" w:color="auto"/>
                        <w:left w:val="none" w:sz="0" w:space="0" w:color="auto"/>
                        <w:bottom w:val="none" w:sz="0" w:space="0" w:color="auto"/>
                        <w:right w:val="none" w:sz="0" w:space="0" w:color="auto"/>
                      </w:divBdr>
                    </w:div>
                  </w:divsChild>
                </w:div>
                <w:div w:id="979506104">
                  <w:marLeft w:val="0"/>
                  <w:marRight w:val="0"/>
                  <w:marTop w:val="0"/>
                  <w:marBottom w:val="0"/>
                  <w:divBdr>
                    <w:top w:val="none" w:sz="0" w:space="0" w:color="auto"/>
                    <w:left w:val="none" w:sz="0" w:space="0" w:color="auto"/>
                    <w:bottom w:val="none" w:sz="0" w:space="0" w:color="auto"/>
                    <w:right w:val="none" w:sz="0" w:space="0" w:color="auto"/>
                  </w:divBdr>
                  <w:divsChild>
                    <w:div w:id="2106026553">
                      <w:marLeft w:val="0"/>
                      <w:marRight w:val="0"/>
                      <w:marTop w:val="0"/>
                      <w:marBottom w:val="0"/>
                      <w:divBdr>
                        <w:top w:val="none" w:sz="0" w:space="0" w:color="auto"/>
                        <w:left w:val="none" w:sz="0" w:space="0" w:color="auto"/>
                        <w:bottom w:val="none" w:sz="0" w:space="0" w:color="auto"/>
                        <w:right w:val="none" w:sz="0" w:space="0" w:color="auto"/>
                      </w:divBdr>
                    </w:div>
                  </w:divsChild>
                </w:div>
                <w:div w:id="1005016226">
                  <w:marLeft w:val="0"/>
                  <w:marRight w:val="0"/>
                  <w:marTop w:val="0"/>
                  <w:marBottom w:val="0"/>
                  <w:divBdr>
                    <w:top w:val="none" w:sz="0" w:space="0" w:color="auto"/>
                    <w:left w:val="none" w:sz="0" w:space="0" w:color="auto"/>
                    <w:bottom w:val="none" w:sz="0" w:space="0" w:color="auto"/>
                    <w:right w:val="none" w:sz="0" w:space="0" w:color="auto"/>
                  </w:divBdr>
                  <w:divsChild>
                    <w:div w:id="669258791">
                      <w:marLeft w:val="0"/>
                      <w:marRight w:val="0"/>
                      <w:marTop w:val="0"/>
                      <w:marBottom w:val="0"/>
                      <w:divBdr>
                        <w:top w:val="none" w:sz="0" w:space="0" w:color="auto"/>
                        <w:left w:val="none" w:sz="0" w:space="0" w:color="auto"/>
                        <w:bottom w:val="none" w:sz="0" w:space="0" w:color="auto"/>
                        <w:right w:val="none" w:sz="0" w:space="0" w:color="auto"/>
                      </w:divBdr>
                    </w:div>
                  </w:divsChild>
                </w:div>
                <w:div w:id="1012799667">
                  <w:marLeft w:val="0"/>
                  <w:marRight w:val="0"/>
                  <w:marTop w:val="0"/>
                  <w:marBottom w:val="0"/>
                  <w:divBdr>
                    <w:top w:val="none" w:sz="0" w:space="0" w:color="auto"/>
                    <w:left w:val="none" w:sz="0" w:space="0" w:color="auto"/>
                    <w:bottom w:val="none" w:sz="0" w:space="0" w:color="auto"/>
                    <w:right w:val="none" w:sz="0" w:space="0" w:color="auto"/>
                  </w:divBdr>
                  <w:divsChild>
                    <w:div w:id="508061298">
                      <w:marLeft w:val="0"/>
                      <w:marRight w:val="0"/>
                      <w:marTop w:val="0"/>
                      <w:marBottom w:val="0"/>
                      <w:divBdr>
                        <w:top w:val="none" w:sz="0" w:space="0" w:color="auto"/>
                        <w:left w:val="none" w:sz="0" w:space="0" w:color="auto"/>
                        <w:bottom w:val="none" w:sz="0" w:space="0" w:color="auto"/>
                        <w:right w:val="none" w:sz="0" w:space="0" w:color="auto"/>
                      </w:divBdr>
                    </w:div>
                  </w:divsChild>
                </w:div>
                <w:div w:id="1033386172">
                  <w:marLeft w:val="0"/>
                  <w:marRight w:val="0"/>
                  <w:marTop w:val="0"/>
                  <w:marBottom w:val="0"/>
                  <w:divBdr>
                    <w:top w:val="none" w:sz="0" w:space="0" w:color="auto"/>
                    <w:left w:val="none" w:sz="0" w:space="0" w:color="auto"/>
                    <w:bottom w:val="none" w:sz="0" w:space="0" w:color="auto"/>
                    <w:right w:val="none" w:sz="0" w:space="0" w:color="auto"/>
                  </w:divBdr>
                  <w:divsChild>
                    <w:div w:id="197592333">
                      <w:marLeft w:val="0"/>
                      <w:marRight w:val="0"/>
                      <w:marTop w:val="0"/>
                      <w:marBottom w:val="0"/>
                      <w:divBdr>
                        <w:top w:val="none" w:sz="0" w:space="0" w:color="auto"/>
                        <w:left w:val="none" w:sz="0" w:space="0" w:color="auto"/>
                        <w:bottom w:val="none" w:sz="0" w:space="0" w:color="auto"/>
                        <w:right w:val="none" w:sz="0" w:space="0" w:color="auto"/>
                      </w:divBdr>
                    </w:div>
                  </w:divsChild>
                </w:div>
                <w:div w:id="1073623316">
                  <w:marLeft w:val="0"/>
                  <w:marRight w:val="0"/>
                  <w:marTop w:val="0"/>
                  <w:marBottom w:val="0"/>
                  <w:divBdr>
                    <w:top w:val="none" w:sz="0" w:space="0" w:color="auto"/>
                    <w:left w:val="none" w:sz="0" w:space="0" w:color="auto"/>
                    <w:bottom w:val="none" w:sz="0" w:space="0" w:color="auto"/>
                    <w:right w:val="none" w:sz="0" w:space="0" w:color="auto"/>
                  </w:divBdr>
                  <w:divsChild>
                    <w:div w:id="730233913">
                      <w:marLeft w:val="0"/>
                      <w:marRight w:val="0"/>
                      <w:marTop w:val="0"/>
                      <w:marBottom w:val="0"/>
                      <w:divBdr>
                        <w:top w:val="none" w:sz="0" w:space="0" w:color="auto"/>
                        <w:left w:val="none" w:sz="0" w:space="0" w:color="auto"/>
                        <w:bottom w:val="none" w:sz="0" w:space="0" w:color="auto"/>
                        <w:right w:val="none" w:sz="0" w:space="0" w:color="auto"/>
                      </w:divBdr>
                    </w:div>
                  </w:divsChild>
                </w:div>
                <w:div w:id="1090155138">
                  <w:marLeft w:val="0"/>
                  <w:marRight w:val="0"/>
                  <w:marTop w:val="0"/>
                  <w:marBottom w:val="0"/>
                  <w:divBdr>
                    <w:top w:val="none" w:sz="0" w:space="0" w:color="auto"/>
                    <w:left w:val="none" w:sz="0" w:space="0" w:color="auto"/>
                    <w:bottom w:val="none" w:sz="0" w:space="0" w:color="auto"/>
                    <w:right w:val="none" w:sz="0" w:space="0" w:color="auto"/>
                  </w:divBdr>
                  <w:divsChild>
                    <w:div w:id="96801425">
                      <w:marLeft w:val="0"/>
                      <w:marRight w:val="0"/>
                      <w:marTop w:val="0"/>
                      <w:marBottom w:val="0"/>
                      <w:divBdr>
                        <w:top w:val="none" w:sz="0" w:space="0" w:color="auto"/>
                        <w:left w:val="none" w:sz="0" w:space="0" w:color="auto"/>
                        <w:bottom w:val="none" w:sz="0" w:space="0" w:color="auto"/>
                        <w:right w:val="none" w:sz="0" w:space="0" w:color="auto"/>
                      </w:divBdr>
                    </w:div>
                  </w:divsChild>
                </w:div>
                <w:div w:id="1091464222">
                  <w:marLeft w:val="0"/>
                  <w:marRight w:val="0"/>
                  <w:marTop w:val="0"/>
                  <w:marBottom w:val="0"/>
                  <w:divBdr>
                    <w:top w:val="none" w:sz="0" w:space="0" w:color="auto"/>
                    <w:left w:val="none" w:sz="0" w:space="0" w:color="auto"/>
                    <w:bottom w:val="none" w:sz="0" w:space="0" w:color="auto"/>
                    <w:right w:val="none" w:sz="0" w:space="0" w:color="auto"/>
                  </w:divBdr>
                  <w:divsChild>
                    <w:div w:id="1585214917">
                      <w:marLeft w:val="0"/>
                      <w:marRight w:val="0"/>
                      <w:marTop w:val="0"/>
                      <w:marBottom w:val="0"/>
                      <w:divBdr>
                        <w:top w:val="none" w:sz="0" w:space="0" w:color="auto"/>
                        <w:left w:val="none" w:sz="0" w:space="0" w:color="auto"/>
                        <w:bottom w:val="none" w:sz="0" w:space="0" w:color="auto"/>
                        <w:right w:val="none" w:sz="0" w:space="0" w:color="auto"/>
                      </w:divBdr>
                    </w:div>
                  </w:divsChild>
                </w:div>
                <w:div w:id="1113785727">
                  <w:marLeft w:val="0"/>
                  <w:marRight w:val="0"/>
                  <w:marTop w:val="0"/>
                  <w:marBottom w:val="0"/>
                  <w:divBdr>
                    <w:top w:val="none" w:sz="0" w:space="0" w:color="auto"/>
                    <w:left w:val="none" w:sz="0" w:space="0" w:color="auto"/>
                    <w:bottom w:val="none" w:sz="0" w:space="0" w:color="auto"/>
                    <w:right w:val="none" w:sz="0" w:space="0" w:color="auto"/>
                  </w:divBdr>
                  <w:divsChild>
                    <w:div w:id="1525093653">
                      <w:marLeft w:val="0"/>
                      <w:marRight w:val="0"/>
                      <w:marTop w:val="0"/>
                      <w:marBottom w:val="0"/>
                      <w:divBdr>
                        <w:top w:val="none" w:sz="0" w:space="0" w:color="auto"/>
                        <w:left w:val="none" w:sz="0" w:space="0" w:color="auto"/>
                        <w:bottom w:val="none" w:sz="0" w:space="0" w:color="auto"/>
                        <w:right w:val="none" w:sz="0" w:space="0" w:color="auto"/>
                      </w:divBdr>
                    </w:div>
                  </w:divsChild>
                </w:div>
                <w:div w:id="1114906656">
                  <w:marLeft w:val="0"/>
                  <w:marRight w:val="0"/>
                  <w:marTop w:val="0"/>
                  <w:marBottom w:val="0"/>
                  <w:divBdr>
                    <w:top w:val="none" w:sz="0" w:space="0" w:color="auto"/>
                    <w:left w:val="none" w:sz="0" w:space="0" w:color="auto"/>
                    <w:bottom w:val="none" w:sz="0" w:space="0" w:color="auto"/>
                    <w:right w:val="none" w:sz="0" w:space="0" w:color="auto"/>
                  </w:divBdr>
                  <w:divsChild>
                    <w:div w:id="809395322">
                      <w:marLeft w:val="0"/>
                      <w:marRight w:val="0"/>
                      <w:marTop w:val="0"/>
                      <w:marBottom w:val="0"/>
                      <w:divBdr>
                        <w:top w:val="none" w:sz="0" w:space="0" w:color="auto"/>
                        <w:left w:val="none" w:sz="0" w:space="0" w:color="auto"/>
                        <w:bottom w:val="none" w:sz="0" w:space="0" w:color="auto"/>
                        <w:right w:val="none" w:sz="0" w:space="0" w:color="auto"/>
                      </w:divBdr>
                    </w:div>
                  </w:divsChild>
                </w:div>
                <w:div w:id="1117599697">
                  <w:marLeft w:val="0"/>
                  <w:marRight w:val="0"/>
                  <w:marTop w:val="0"/>
                  <w:marBottom w:val="0"/>
                  <w:divBdr>
                    <w:top w:val="none" w:sz="0" w:space="0" w:color="auto"/>
                    <w:left w:val="none" w:sz="0" w:space="0" w:color="auto"/>
                    <w:bottom w:val="none" w:sz="0" w:space="0" w:color="auto"/>
                    <w:right w:val="none" w:sz="0" w:space="0" w:color="auto"/>
                  </w:divBdr>
                  <w:divsChild>
                    <w:div w:id="173151058">
                      <w:marLeft w:val="0"/>
                      <w:marRight w:val="0"/>
                      <w:marTop w:val="0"/>
                      <w:marBottom w:val="0"/>
                      <w:divBdr>
                        <w:top w:val="none" w:sz="0" w:space="0" w:color="auto"/>
                        <w:left w:val="none" w:sz="0" w:space="0" w:color="auto"/>
                        <w:bottom w:val="none" w:sz="0" w:space="0" w:color="auto"/>
                        <w:right w:val="none" w:sz="0" w:space="0" w:color="auto"/>
                      </w:divBdr>
                    </w:div>
                  </w:divsChild>
                </w:div>
                <w:div w:id="1121073523">
                  <w:marLeft w:val="0"/>
                  <w:marRight w:val="0"/>
                  <w:marTop w:val="0"/>
                  <w:marBottom w:val="0"/>
                  <w:divBdr>
                    <w:top w:val="none" w:sz="0" w:space="0" w:color="auto"/>
                    <w:left w:val="none" w:sz="0" w:space="0" w:color="auto"/>
                    <w:bottom w:val="none" w:sz="0" w:space="0" w:color="auto"/>
                    <w:right w:val="none" w:sz="0" w:space="0" w:color="auto"/>
                  </w:divBdr>
                  <w:divsChild>
                    <w:div w:id="1944023760">
                      <w:marLeft w:val="0"/>
                      <w:marRight w:val="0"/>
                      <w:marTop w:val="0"/>
                      <w:marBottom w:val="0"/>
                      <w:divBdr>
                        <w:top w:val="none" w:sz="0" w:space="0" w:color="auto"/>
                        <w:left w:val="none" w:sz="0" w:space="0" w:color="auto"/>
                        <w:bottom w:val="none" w:sz="0" w:space="0" w:color="auto"/>
                        <w:right w:val="none" w:sz="0" w:space="0" w:color="auto"/>
                      </w:divBdr>
                    </w:div>
                  </w:divsChild>
                </w:div>
                <w:div w:id="1122116776">
                  <w:marLeft w:val="0"/>
                  <w:marRight w:val="0"/>
                  <w:marTop w:val="0"/>
                  <w:marBottom w:val="0"/>
                  <w:divBdr>
                    <w:top w:val="none" w:sz="0" w:space="0" w:color="auto"/>
                    <w:left w:val="none" w:sz="0" w:space="0" w:color="auto"/>
                    <w:bottom w:val="none" w:sz="0" w:space="0" w:color="auto"/>
                    <w:right w:val="none" w:sz="0" w:space="0" w:color="auto"/>
                  </w:divBdr>
                  <w:divsChild>
                    <w:div w:id="1684629286">
                      <w:marLeft w:val="0"/>
                      <w:marRight w:val="0"/>
                      <w:marTop w:val="0"/>
                      <w:marBottom w:val="0"/>
                      <w:divBdr>
                        <w:top w:val="none" w:sz="0" w:space="0" w:color="auto"/>
                        <w:left w:val="none" w:sz="0" w:space="0" w:color="auto"/>
                        <w:bottom w:val="none" w:sz="0" w:space="0" w:color="auto"/>
                        <w:right w:val="none" w:sz="0" w:space="0" w:color="auto"/>
                      </w:divBdr>
                    </w:div>
                  </w:divsChild>
                </w:div>
                <w:div w:id="1129515736">
                  <w:marLeft w:val="0"/>
                  <w:marRight w:val="0"/>
                  <w:marTop w:val="0"/>
                  <w:marBottom w:val="0"/>
                  <w:divBdr>
                    <w:top w:val="none" w:sz="0" w:space="0" w:color="auto"/>
                    <w:left w:val="none" w:sz="0" w:space="0" w:color="auto"/>
                    <w:bottom w:val="none" w:sz="0" w:space="0" w:color="auto"/>
                    <w:right w:val="none" w:sz="0" w:space="0" w:color="auto"/>
                  </w:divBdr>
                  <w:divsChild>
                    <w:div w:id="282462931">
                      <w:marLeft w:val="0"/>
                      <w:marRight w:val="0"/>
                      <w:marTop w:val="0"/>
                      <w:marBottom w:val="0"/>
                      <w:divBdr>
                        <w:top w:val="none" w:sz="0" w:space="0" w:color="auto"/>
                        <w:left w:val="none" w:sz="0" w:space="0" w:color="auto"/>
                        <w:bottom w:val="none" w:sz="0" w:space="0" w:color="auto"/>
                        <w:right w:val="none" w:sz="0" w:space="0" w:color="auto"/>
                      </w:divBdr>
                    </w:div>
                  </w:divsChild>
                </w:div>
                <w:div w:id="1130396839">
                  <w:marLeft w:val="0"/>
                  <w:marRight w:val="0"/>
                  <w:marTop w:val="0"/>
                  <w:marBottom w:val="0"/>
                  <w:divBdr>
                    <w:top w:val="none" w:sz="0" w:space="0" w:color="auto"/>
                    <w:left w:val="none" w:sz="0" w:space="0" w:color="auto"/>
                    <w:bottom w:val="none" w:sz="0" w:space="0" w:color="auto"/>
                    <w:right w:val="none" w:sz="0" w:space="0" w:color="auto"/>
                  </w:divBdr>
                  <w:divsChild>
                    <w:div w:id="999390055">
                      <w:marLeft w:val="0"/>
                      <w:marRight w:val="0"/>
                      <w:marTop w:val="0"/>
                      <w:marBottom w:val="0"/>
                      <w:divBdr>
                        <w:top w:val="none" w:sz="0" w:space="0" w:color="auto"/>
                        <w:left w:val="none" w:sz="0" w:space="0" w:color="auto"/>
                        <w:bottom w:val="none" w:sz="0" w:space="0" w:color="auto"/>
                        <w:right w:val="none" w:sz="0" w:space="0" w:color="auto"/>
                      </w:divBdr>
                    </w:div>
                  </w:divsChild>
                </w:div>
                <w:div w:id="1145777879">
                  <w:marLeft w:val="0"/>
                  <w:marRight w:val="0"/>
                  <w:marTop w:val="0"/>
                  <w:marBottom w:val="0"/>
                  <w:divBdr>
                    <w:top w:val="none" w:sz="0" w:space="0" w:color="auto"/>
                    <w:left w:val="none" w:sz="0" w:space="0" w:color="auto"/>
                    <w:bottom w:val="none" w:sz="0" w:space="0" w:color="auto"/>
                    <w:right w:val="none" w:sz="0" w:space="0" w:color="auto"/>
                  </w:divBdr>
                  <w:divsChild>
                    <w:div w:id="1460537380">
                      <w:marLeft w:val="0"/>
                      <w:marRight w:val="0"/>
                      <w:marTop w:val="0"/>
                      <w:marBottom w:val="0"/>
                      <w:divBdr>
                        <w:top w:val="none" w:sz="0" w:space="0" w:color="auto"/>
                        <w:left w:val="none" w:sz="0" w:space="0" w:color="auto"/>
                        <w:bottom w:val="none" w:sz="0" w:space="0" w:color="auto"/>
                        <w:right w:val="none" w:sz="0" w:space="0" w:color="auto"/>
                      </w:divBdr>
                    </w:div>
                  </w:divsChild>
                </w:div>
                <w:div w:id="1151992592">
                  <w:marLeft w:val="0"/>
                  <w:marRight w:val="0"/>
                  <w:marTop w:val="0"/>
                  <w:marBottom w:val="0"/>
                  <w:divBdr>
                    <w:top w:val="none" w:sz="0" w:space="0" w:color="auto"/>
                    <w:left w:val="none" w:sz="0" w:space="0" w:color="auto"/>
                    <w:bottom w:val="none" w:sz="0" w:space="0" w:color="auto"/>
                    <w:right w:val="none" w:sz="0" w:space="0" w:color="auto"/>
                  </w:divBdr>
                  <w:divsChild>
                    <w:div w:id="830950347">
                      <w:marLeft w:val="0"/>
                      <w:marRight w:val="0"/>
                      <w:marTop w:val="0"/>
                      <w:marBottom w:val="0"/>
                      <w:divBdr>
                        <w:top w:val="none" w:sz="0" w:space="0" w:color="auto"/>
                        <w:left w:val="none" w:sz="0" w:space="0" w:color="auto"/>
                        <w:bottom w:val="none" w:sz="0" w:space="0" w:color="auto"/>
                        <w:right w:val="none" w:sz="0" w:space="0" w:color="auto"/>
                      </w:divBdr>
                    </w:div>
                  </w:divsChild>
                </w:div>
                <w:div w:id="1153569731">
                  <w:marLeft w:val="0"/>
                  <w:marRight w:val="0"/>
                  <w:marTop w:val="0"/>
                  <w:marBottom w:val="0"/>
                  <w:divBdr>
                    <w:top w:val="none" w:sz="0" w:space="0" w:color="auto"/>
                    <w:left w:val="none" w:sz="0" w:space="0" w:color="auto"/>
                    <w:bottom w:val="none" w:sz="0" w:space="0" w:color="auto"/>
                    <w:right w:val="none" w:sz="0" w:space="0" w:color="auto"/>
                  </w:divBdr>
                  <w:divsChild>
                    <w:div w:id="304164335">
                      <w:marLeft w:val="0"/>
                      <w:marRight w:val="0"/>
                      <w:marTop w:val="0"/>
                      <w:marBottom w:val="0"/>
                      <w:divBdr>
                        <w:top w:val="none" w:sz="0" w:space="0" w:color="auto"/>
                        <w:left w:val="none" w:sz="0" w:space="0" w:color="auto"/>
                        <w:bottom w:val="none" w:sz="0" w:space="0" w:color="auto"/>
                        <w:right w:val="none" w:sz="0" w:space="0" w:color="auto"/>
                      </w:divBdr>
                    </w:div>
                  </w:divsChild>
                </w:div>
                <w:div w:id="1156801527">
                  <w:marLeft w:val="0"/>
                  <w:marRight w:val="0"/>
                  <w:marTop w:val="0"/>
                  <w:marBottom w:val="0"/>
                  <w:divBdr>
                    <w:top w:val="none" w:sz="0" w:space="0" w:color="auto"/>
                    <w:left w:val="none" w:sz="0" w:space="0" w:color="auto"/>
                    <w:bottom w:val="none" w:sz="0" w:space="0" w:color="auto"/>
                    <w:right w:val="none" w:sz="0" w:space="0" w:color="auto"/>
                  </w:divBdr>
                  <w:divsChild>
                    <w:div w:id="600913682">
                      <w:marLeft w:val="0"/>
                      <w:marRight w:val="0"/>
                      <w:marTop w:val="0"/>
                      <w:marBottom w:val="0"/>
                      <w:divBdr>
                        <w:top w:val="none" w:sz="0" w:space="0" w:color="auto"/>
                        <w:left w:val="none" w:sz="0" w:space="0" w:color="auto"/>
                        <w:bottom w:val="none" w:sz="0" w:space="0" w:color="auto"/>
                        <w:right w:val="none" w:sz="0" w:space="0" w:color="auto"/>
                      </w:divBdr>
                    </w:div>
                  </w:divsChild>
                </w:div>
                <w:div w:id="1172522427">
                  <w:marLeft w:val="0"/>
                  <w:marRight w:val="0"/>
                  <w:marTop w:val="0"/>
                  <w:marBottom w:val="0"/>
                  <w:divBdr>
                    <w:top w:val="none" w:sz="0" w:space="0" w:color="auto"/>
                    <w:left w:val="none" w:sz="0" w:space="0" w:color="auto"/>
                    <w:bottom w:val="none" w:sz="0" w:space="0" w:color="auto"/>
                    <w:right w:val="none" w:sz="0" w:space="0" w:color="auto"/>
                  </w:divBdr>
                  <w:divsChild>
                    <w:div w:id="441924007">
                      <w:marLeft w:val="0"/>
                      <w:marRight w:val="0"/>
                      <w:marTop w:val="0"/>
                      <w:marBottom w:val="0"/>
                      <w:divBdr>
                        <w:top w:val="none" w:sz="0" w:space="0" w:color="auto"/>
                        <w:left w:val="none" w:sz="0" w:space="0" w:color="auto"/>
                        <w:bottom w:val="none" w:sz="0" w:space="0" w:color="auto"/>
                        <w:right w:val="none" w:sz="0" w:space="0" w:color="auto"/>
                      </w:divBdr>
                    </w:div>
                  </w:divsChild>
                </w:div>
                <w:div w:id="1180855245">
                  <w:marLeft w:val="0"/>
                  <w:marRight w:val="0"/>
                  <w:marTop w:val="0"/>
                  <w:marBottom w:val="0"/>
                  <w:divBdr>
                    <w:top w:val="none" w:sz="0" w:space="0" w:color="auto"/>
                    <w:left w:val="none" w:sz="0" w:space="0" w:color="auto"/>
                    <w:bottom w:val="none" w:sz="0" w:space="0" w:color="auto"/>
                    <w:right w:val="none" w:sz="0" w:space="0" w:color="auto"/>
                  </w:divBdr>
                  <w:divsChild>
                    <w:div w:id="1616013268">
                      <w:marLeft w:val="0"/>
                      <w:marRight w:val="0"/>
                      <w:marTop w:val="0"/>
                      <w:marBottom w:val="0"/>
                      <w:divBdr>
                        <w:top w:val="none" w:sz="0" w:space="0" w:color="auto"/>
                        <w:left w:val="none" w:sz="0" w:space="0" w:color="auto"/>
                        <w:bottom w:val="none" w:sz="0" w:space="0" w:color="auto"/>
                        <w:right w:val="none" w:sz="0" w:space="0" w:color="auto"/>
                      </w:divBdr>
                    </w:div>
                  </w:divsChild>
                </w:div>
                <w:div w:id="1199854439">
                  <w:marLeft w:val="0"/>
                  <w:marRight w:val="0"/>
                  <w:marTop w:val="0"/>
                  <w:marBottom w:val="0"/>
                  <w:divBdr>
                    <w:top w:val="none" w:sz="0" w:space="0" w:color="auto"/>
                    <w:left w:val="none" w:sz="0" w:space="0" w:color="auto"/>
                    <w:bottom w:val="none" w:sz="0" w:space="0" w:color="auto"/>
                    <w:right w:val="none" w:sz="0" w:space="0" w:color="auto"/>
                  </w:divBdr>
                  <w:divsChild>
                    <w:div w:id="66419656">
                      <w:marLeft w:val="0"/>
                      <w:marRight w:val="0"/>
                      <w:marTop w:val="0"/>
                      <w:marBottom w:val="0"/>
                      <w:divBdr>
                        <w:top w:val="none" w:sz="0" w:space="0" w:color="auto"/>
                        <w:left w:val="none" w:sz="0" w:space="0" w:color="auto"/>
                        <w:bottom w:val="none" w:sz="0" w:space="0" w:color="auto"/>
                        <w:right w:val="none" w:sz="0" w:space="0" w:color="auto"/>
                      </w:divBdr>
                    </w:div>
                  </w:divsChild>
                </w:div>
                <w:div w:id="1201674207">
                  <w:marLeft w:val="0"/>
                  <w:marRight w:val="0"/>
                  <w:marTop w:val="0"/>
                  <w:marBottom w:val="0"/>
                  <w:divBdr>
                    <w:top w:val="none" w:sz="0" w:space="0" w:color="auto"/>
                    <w:left w:val="none" w:sz="0" w:space="0" w:color="auto"/>
                    <w:bottom w:val="none" w:sz="0" w:space="0" w:color="auto"/>
                    <w:right w:val="none" w:sz="0" w:space="0" w:color="auto"/>
                  </w:divBdr>
                  <w:divsChild>
                    <w:div w:id="1611890342">
                      <w:marLeft w:val="0"/>
                      <w:marRight w:val="0"/>
                      <w:marTop w:val="0"/>
                      <w:marBottom w:val="0"/>
                      <w:divBdr>
                        <w:top w:val="none" w:sz="0" w:space="0" w:color="auto"/>
                        <w:left w:val="none" w:sz="0" w:space="0" w:color="auto"/>
                        <w:bottom w:val="none" w:sz="0" w:space="0" w:color="auto"/>
                        <w:right w:val="none" w:sz="0" w:space="0" w:color="auto"/>
                      </w:divBdr>
                    </w:div>
                  </w:divsChild>
                </w:div>
                <w:div w:id="1227687790">
                  <w:marLeft w:val="0"/>
                  <w:marRight w:val="0"/>
                  <w:marTop w:val="0"/>
                  <w:marBottom w:val="0"/>
                  <w:divBdr>
                    <w:top w:val="none" w:sz="0" w:space="0" w:color="auto"/>
                    <w:left w:val="none" w:sz="0" w:space="0" w:color="auto"/>
                    <w:bottom w:val="none" w:sz="0" w:space="0" w:color="auto"/>
                    <w:right w:val="none" w:sz="0" w:space="0" w:color="auto"/>
                  </w:divBdr>
                  <w:divsChild>
                    <w:div w:id="717121862">
                      <w:marLeft w:val="0"/>
                      <w:marRight w:val="0"/>
                      <w:marTop w:val="0"/>
                      <w:marBottom w:val="0"/>
                      <w:divBdr>
                        <w:top w:val="none" w:sz="0" w:space="0" w:color="auto"/>
                        <w:left w:val="none" w:sz="0" w:space="0" w:color="auto"/>
                        <w:bottom w:val="none" w:sz="0" w:space="0" w:color="auto"/>
                        <w:right w:val="none" w:sz="0" w:space="0" w:color="auto"/>
                      </w:divBdr>
                    </w:div>
                  </w:divsChild>
                </w:div>
                <w:div w:id="1243757291">
                  <w:marLeft w:val="0"/>
                  <w:marRight w:val="0"/>
                  <w:marTop w:val="0"/>
                  <w:marBottom w:val="0"/>
                  <w:divBdr>
                    <w:top w:val="none" w:sz="0" w:space="0" w:color="auto"/>
                    <w:left w:val="none" w:sz="0" w:space="0" w:color="auto"/>
                    <w:bottom w:val="none" w:sz="0" w:space="0" w:color="auto"/>
                    <w:right w:val="none" w:sz="0" w:space="0" w:color="auto"/>
                  </w:divBdr>
                  <w:divsChild>
                    <w:div w:id="200212655">
                      <w:marLeft w:val="0"/>
                      <w:marRight w:val="0"/>
                      <w:marTop w:val="0"/>
                      <w:marBottom w:val="0"/>
                      <w:divBdr>
                        <w:top w:val="none" w:sz="0" w:space="0" w:color="auto"/>
                        <w:left w:val="none" w:sz="0" w:space="0" w:color="auto"/>
                        <w:bottom w:val="none" w:sz="0" w:space="0" w:color="auto"/>
                        <w:right w:val="none" w:sz="0" w:space="0" w:color="auto"/>
                      </w:divBdr>
                    </w:div>
                  </w:divsChild>
                </w:div>
                <w:div w:id="1246264968">
                  <w:marLeft w:val="0"/>
                  <w:marRight w:val="0"/>
                  <w:marTop w:val="0"/>
                  <w:marBottom w:val="0"/>
                  <w:divBdr>
                    <w:top w:val="none" w:sz="0" w:space="0" w:color="auto"/>
                    <w:left w:val="none" w:sz="0" w:space="0" w:color="auto"/>
                    <w:bottom w:val="none" w:sz="0" w:space="0" w:color="auto"/>
                    <w:right w:val="none" w:sz="0" w:space="0" w:color="auto"/>
                  </w:divBdr>
                  <w:divsChild>
                    <w:div w:id="1876889126">
                      <w:marLeft w:val="0"/>
                      <w:marRight w:val="0"/>
                      <w:marTop w:val="0"/>
                      <w:marBottom w:val="0"/>
                      <w:divBdr>
                        <w:top w:val="none" w:sz="0" w:space="0" w:color="auto"/>
                        <w:left w:val="none" w:sz="0" w:space="0" w:color="auto"/>
                        <w:bottom w:val="none" w:sz="0" w:space="0" w:color="auto"/>
                        <w:right w:val="none" w:sz="0" w:space="0" w:color="auto"/>
                      </w:divBdr>
                    </w:div>
                  </w:divsChild>
                </w:div>
                <w:div w:id="1248538054">
                  <w:marLeft w:val="0"/>
                  <w:marRight w:val="0"/>
                  <w:marTop w:val="0"/>
                  <w:marBottom w:val="0"/>
                  <w:divBdr>
                    <w:top w:val="none" w:sz="0" w:space="0" w:color="auto"/>
                    <w:left w:val="none" w:sz="0" w:space="0" w:color="auto"/>
                    <w:bottom w:val="none" w:sz="0" w:space="0" w:color="auto"/>
                    <w:right w:val="none" w:sz="0" w:space="0" w:color="auto"/>
                  </w:divBdr>
                  <w:divsChild>
                    <w:div w:id="1170095243">
                      <w:marLeft w:val="0"/>
                      <w:marRight w:val="0"/>
                      <w:marTop w:val="0"/>
                      <w:marBottom w:val="0"/>
                      <w:divBdr>
                        <w:top w:val="none" w:sz="0" w:space="0" w:color="auto"/>
                        <w:left w:val="none" w:sz="0" w:space="0" w:color="auto"/>
                        <w:bottom w:val="none" w:sz="0" w:space="0" w:color="auto"/>
                        <w:right w:val="none" w:sz="0" w:space="0" w:color="auto"/>
                      </w:divBdr>
                    </w:div>
                  </w:divsChild>
                </w:div>
                <w:div w:id="1256596905">
                  <w:marLeft w:val="0"/>
                  <w:marRight w:val="0"/>
                  <w:marTop w:val="0"/>
                  <w:marBottom w:val="0"/>
                  <w:divBdr>
                    <w:top w:val="none" w:sz="0" w:space="0" w:color="auto"/>
                    <w:left w:val="none" w:sz="0" w:space="0" w:color="auto"/>
                    <w:bottom w:val="none" w:sz="0" w:space="0" w:color="auto"/>
                    <w:right w:val="none" w:sz="0" w:space="0" w:color="auto"/>
                  </w:divBdr>
                  <w:divsChild>
                    <w:div w:id="114757111">
                      <w:marLeft w:val="0"/>
                      <w:marRight w:val="0"/>
                      <w:marTop w:val="0"/>
                      <w:marBottom w:val="0"/>
                      <w:divBdr>
                        <w:top w:val="none" w:sz="0" w:space="0" w:color="auto"/>
                        <w:left w:val="none" w:sz="0" w:space="0" w:color="auto"/>
                        <w:bottom w:val="none" w:sz="0" w:space="0" w:color="auto"/>
                        <w:right w:val="none" w:sz="0" w:space="0" w:color="auto"/>
                      </w:divBdr>
                    </w:div>
                  </w:divsChild>
                </w:div>
                <w:div w:id="1260872683">
                  <w:marLeft w:val="0"/>
                  <w:marRight w:val="0"/>
                  <w:marTop w:val="0"/>
                  <w:marBottom w:val="0"/>
                  <w:divBdr>
                    <w:top w:val="none" w:sz="0" w:space="0" w:color="auto"/>
                    <w:left w:val="none" w:sz="0" w:space="0" w:color="auto"/>
                    <w:bottom w:val="none" w:sz="0" w:space="0" w:color="auto"/>
                    <w:right w:val="none" w:sz="0" w:space="0" w:color="auto"/>
                  </w:divBdr>
                  <w:divsChild>
                    <w:div w:id="405961725">
                      <w:marLeft w:val="0"/>
                      <w:marRight w:val="0"/>
                      <w:marTop w:val="0"/>
                      <w:marBottom w:val="0"/>
                      <w:divBdr>
                        <w:top w:val="none" w:sz="0" w:space="0" w:color="auto"/>
                        <w:left w:val="none" w:sz="0" w:space="0" w:color="auto"/>
                        <w:bottom w:val="none" w:sz="0" w:space="0" w:color="auto"/>
                        <w:right w:val="none" w:sz="0" w:space="0" w:color="auto"/>
                      </w:divBdr>
                    </w:div>
                  </w:divsChild>
                </w:div>
                <w:div w:id="1261521992">
                  <w:marLeft w:val="0"/>
                  <w:marRight w:val="0"/>
                  <w:marTop w:val="0"/>
                  <w:marBottom w:val="0"/>
                  <w:divBdr>
                    <w:top w:val="none" w:sz="0" w:space="0" w:color="auto"/>
                    <w:left w:val="none" w:sz="0" w:space="0" w:color="auto"/>
                    <w:bottom w:val="none" w:sz="0" w:space="0" w:color="auto"/>
                    <w:right w:val="none" w:sz="0" w:space="0" w:color="auto"/>
                  </w:divBdr>
                  <w:divsChild>
                    <w:div w:id="649017937">
                      <w:marLeft w:val="0"/>
                      <w:marRight w:val="0"/>
                      <w:marTop w:val="0"/>
                      <w:marBottom w:val="0"/>
                      <w:divBdr>
                        <w:top w:val="none" w:sz="0" w:space="0" w:color="auto"/>
                        <w:left w:val="none" w:sz="0" w:space="0" w:color="auto"/>
                        <w:bottom w:val="none" w:sz="0" w:space="0" w:color="auto"/>
                        <w:right w:val="none" w:sz="0" w:space="0" w:color="auto"/>
                      </w:divBdr>
                    </w:div>
                  </w:divsChild>
                </w:div>
                <w:div w:id="1273978620">
                  <w:marLeft w:val="0"/>
                  <w:marRight w:val="0"/>
                  <w:marTop w:val="0"/>
                  <w:marBottom w:val="0"/>
                  <w:divBdr>
                    <w:top w:val="none" w:sz="0" w:space="0" w:color="auto"/>
                    <w:left w:val="none" w:sz="0" w:space="0" w:color="auto"/>
                    <w:bottom w:val="none" w:sz="0" w:space="0" w:color="auto"/>
                    <w:right w:val="none" w:sz="0" w:space="0" w:color="auto"/>
                  </w:divBdr>
                  <w:divsChild>
                    <w:div w:id="1770857096">
                      <w:marLeft w:val="0"/>
                      <w:marRight w:val="0"/>
                      <w:marTop w:val="0"/>
                      <w:marBottom w:val="0"/>
                      <w:divBdr>
                        <w:top w:val="none" w:sz="0" w:space="0" w:color="auto"/>
                        <w:left w:val="none" w:sz="0" w:space="0" w:color="auto"/>
                        <w:bottom w:val="none" w:sz="0" w:space="0" w:color="auto"/>
                        <w:right w:val="none" w:sz="0" w:space="0" w:color="auto"/>
                      </w:divBdr>
                    </w:div>
                  </w:divsChild>
                </w:div>
                <w:div w:id="1286885624">
                  <w:marLeft w:val="0"/>
                  <w:marRight w:val="0"/>
                  <w:marTop w:val="0"/>
                  <w:marBottom w:val="0"/>
                  <w:divBdr>
                    <w:top w:val="none" w:sz="0" w:space="0" w:color="auto"/>
                    <w:left w:val="none" w:sz="0" w:space="0" w:color="auto"/>
                    <w:bottom w:val="none" w:sz="0" w:space="0" w:color="auto"/>
                    <w:right w:val="none" w:sz="0" w:space="0" w:color="auto"/>
                  </w:divBdr>
                  <w:divsChild>
                    <w:div w:id="737364645">
                      <w:marLeft w:val="0"/>
                      <w:marRight w:val="0"/>
                      <w:marTop w:val="0"/>
                      <w:marBottom w:val="0"/>
                      <w:divBdr>
                        <w:top w:val="none" w:sz="0" w:space="0" w:color="auto"/>
                        <w:left w:val="none" w:sz="0" w:space="0" w:color="auto"/>
                        <w:bottom w:val="none" w:sz="0" w:space="0" w:color="auto"/>
                        <w:right w:val="none" w:sz="0" w:space="0" w:color="auto"/>
                      </w:divBdr>
                    </w:div>
                  </w:divsChild>
                </w:div>
                <w:div w:id="1291521036">
                  <w:marLeft w:val="0"/>
                  <w:marRight w:val="0"/>
                  <w:marTop w:val="0"/>
                  <w:marBottom w:val="0"/>
                  <w:divBdr>
                    <w:top w:val="none" w:sz="0" w:space="0" w:color="auto"/>
                    <w:left w:val="none" w:sz="0" w:space="0" w:color="auto"/>
                    <w:bottom w:val="none" w:sz="0" w:space="0" w:color="auto"/>
                    <w:right w:val="none" w:sz="0" w:space="0" w:color="auto"/>
                  </w:divBdr>
                  <w:divsChild>
                    <w:div w:id="929235927">
                      <w:marLeft w:val="0"/>
                      <w:marRight w:val="0"/>
                      <w:marTop w:val="0"/>
                      <w:marBottom w:val="0"/>
                      <w:divBdr>
                        <w:top w:val="none" w:sz="0" w:space="0" w:color="auto"/>
                        <w:left w:val="none" w:sz="0" w:space="0" w:color="auto"/>
                        <w:bottom w:val="none" w:sz="0" w:space="0" w:color="auto"/>
                        <w:right w:val="none" w:sz="0" w:space="0" w:color="auto"/>
                      </w:divBdr>
                    </w:div>
                  </w:divsChild>
                </w:div>
                <w:div w:id="1294872498">
                  <w:marLeft w:val="0"/>
                  <w:marRight w:val="0"/>
                  <w:marTop w:val="0"/>
                  <w:marBottom w:val="0"/>
                  <w:divBdr>
                    <w:top w:val="none" w:sz="0" w:space="0" w:color="auto"/>
                    <w:left w:val="none" w:sz="0" w:space="0" w:color="auto"/>
                    <w:bottom w:val="none" w:sz="0" w:space="0" w:color="auto"/>
                    <w:right w:val="none" w:sz="0" w:space="0" w:color="auto"/>
                  </w:divBdr>
                  <w:divsChild>
                    <w:div w:id="1065958273">
                      <w:marLeft w:val="0"/>
                      <w:marRight w:val="0"/>
                      <w:marTop w:val="0"/>
                      <w:marBottom w:val="0"/>
                      <w:divBdr>
                        <w:top w:val="none" w:sz="0" w:space="0" w:color="auto"/>
                        <w:left w:val="none" w:sz="0" w:space="0" w:color="auto"/>
                        <w:bottom w:val="none" w:sz="0" w:space="0" w:color="auto"/>
                        <w:right w:val="none" w:sz="0" w:space="0" w:color="auto"/>
                      </w:divBdr>
                    </w:div>
                  </w:divsChild>
                </w:div>
                <w:div w:id="1295209183">
                  <w:marLeft w:val="0"/>
                  <w:marRight w:val="0"/>
                  <w:marTop w:val="0"/>
                  <w:marBottom w:val="0"/>
                  <w:divBdr>
                    <w:top w:val="none" w:sz="0" w:space="0" w:color="auto"/>
                    <w:left w:val="none" w:sz="0" w:space="0" w:color="auto"/>
                    <w:bottom w:val="none" w:sz="0" w:space="0" w:color="auto"/>
                    <w:right w:val="none" w:sz="0" w:space="0" w:color="auto"/>
                  </w:divBdr>
                  <w:divsChild>
                    <w:div w:id="578250387">
                      <w:marLeft w:val="0"/>
                      <w:marRight w:val="0"/>
                      <w:marTop w:val="0"/>
                      <w:marBottom w:val="0"/>
                      <w:divBdr>
                        <w:top w:val="none" w:sz="0" w:space="0" w:color="auto"/>
                        <w:left w:val="none" w:sz="0" w:space="0" w:color="auto"/>
                        <w:bottom w:val="none" w:sz="0" w:space="0" w:color="auto"/>
                        <w:right w:val="none" w:sz="0" w:space="0" w:color="auto"/>
                      </w:divBdr>
                    </w:div>
                  </w:divsChild>
                </w:div>
                <w:div w:id="1321738199">
                  <w:marLeft w:val="0"/>
                  <w:marRight w:val="0"/>
                  <w:marTop w:val="0"/>
                  <w:marBottom w:val="0"/>
                  <w:divBdr>
                    <w:top w:val="none" w:sz="0" w:space="0" w:color="auto"/>
                    <w:left w:val="none" w:sz="0" w:space="0" w:color="auto"/>
                    <w:bottom w:val="none" w:sz="0" w:space="0" w:color="auto"/>
                    <w:right w:val="none" w:sz="0" w:space="0" w:color="auto"/>
                  </w:divBdr>
                  <w:divsChild>
                    <w:div w:id="1737514439">
                      <w:marLeft w:val="0"/>
                      <w:marRight w:val="0"/>
                      <w:marTop w:val="0"/>
                      <w:marBottom w:val="0"/>
                      <w:divBdr>
                        <w:top w:val="none" w:sz="0" w:space="0" w:color="auto"/>
                        <w:left w:val="none" w:sz="0" w:space="0" w:color="auto"/>
                        <w:bottom w:val="none" w:sz="0" w:space="0" w:color="auto"/>
                        <w:right w:val="none" w:sz="0" w:space="0" w:color="auto"/>
                      </w:divBdr>
                    </w:div>
                  </w:divsChild>
                </w:div>
                <w:div w:id="1323585030">
                  <w:marLeft w:val="0"/>
                  <w:marRight w:val="0"/>
                  <w:marTop w:val="0"/>
                  <w:marBottom w:val="0"/>
                  <w:divBdr>
                    <w:top w:val="none" w:sz="0" w:space="0" w:color="auto"/>
                    <w:left w:val="none" w:sz="0" w:space="0" w:color="auto"/>
                    <w:bottom w:val="none" w:sz="0" w:space="0" w:color="auto"/>
                    <w:right w:val="none" w:sz="0" w:space="0" w:color="auto"/>
                  </w:divBdr>
                  <w:divsChild>
                    <w:div w:id="368645337">
                      <w:marLeft w:val="0"/>
                      <w:marRight w:val="0"/>
                      <w:marTop w:val="0"/>
                      <w:marBottom w:val="0"/>
                      <w:divBdr>
                        <w:top w:val="none" w:sz="0" w:space="0" w:color="auto"/>
                        <w:left w:val="none" w:sz="0" w:space="0" w:color="auto"/>
                        <w:bottom w:val="none" w:sz="0" w:space="0" w:color="auto"/>
                        <w:right w:val="none" w:sz="0" w:space="0" w:color="auto"/>
                      </w:divBdr>
                    </w:div>
                  </w:divsChild>
                </w:div>
                <w:div w:id="1328051416">
                  <w:marLeft w:val="0"/>
                  <w:marRight w:val="0"/>
                  <w:marTop w:val="0"/>
                  <w:marBottom w:val="0"/>
                  <w:divBdr>
                    <w:top w:val="none" w:sz="0" w:space="0" w:color="auto"/>
                    <w:left w:val="none" w:sz="0" w:space="0" w:color="auto"/>
                    <w:bottom w:val="none" w:sz="0" w:space="0" w:color="auto"/>
                    <w:right w:val="none" w:sz="0" w:space="0" w:color="auto"/>
                  </w:divBdr>
                  <w:divsChild>
                    <w:div w:id="2023782063">
                      <w:marLeft w:val="0"/>
                      <w:marRight w:val="0"/>
                      <w:marTop w:val="0"/>
                      <w:marBottom w:val="0"/>
                      <w:divBdr>
                        <w:top w:val="none" w:sz="0" w:space="0" w:color="auto"/>
                        <w:left w:val="none" w:sz="0" w:space="0" w:color="auto"/>
                        <w:bottom w:val="none" w:sz="0" w:space="0" w:color="auto"/>
                        <w:right w:val="none" w:sz="0" w:space="0" w:color="auto"/>
                      </w:divBdr>
                    </w:div>
                  </w:divsChild>
                </w:div>
                <w:div w:id="1339036812">
                  <w:marLeft w:val="0"/>
                  <w:marRight w:val="0"/>
                  <w:marTop w:val="0"/>
                  <w:marBottom w:val="0"/>
                  <w:divBdr>
                    <w:top w:val="none" w:sz="0" w:space="0" w:color="auto"/>
                    <w:left w:val="none" w:sz="0" w:space="0" w:color="auto"/>
                    <w:bottom w:val="none" w:sz="0" w:space="0" w:color="auto"/>
                    <w:right w:val="none" w:sz="0" w:space="0" w:color="auto"/>
                  </w:divBdr>
                  <w:divsChild>
                    <w:div w:id="1309751265">
                      <w:marLeft w:val="0"/>
                      <w:marRight w:val="0"/>
                      <w:marTop w:val="0"/>
                      <w:marBottom w:val="0"/>
                      <w:divBdr>
                        <w:top w:val="none" w:sz="0" w:space="0" w:color="auto"/>
                        <w:left w:val="none" w:sz="0" w:space="0" w:color="auto"/>
                        <w:bottom w:val="none" w:sz="0" w:space="0" w:color="auto"/>
                        <w:right w:val="none" w:sz="0" w:space="0" w:color="auto"/>
                      </w:divBdr>
                    </w:div>
                  </w:divsChild>
                </w:div>
                <w:div w:id="1351444610">
                  <w:marLeft w:val="0"/>
                  <w:marRight w:val="0"/>
                  <w:marTop w:val="0"/>
                  <w:marBottom w:val="0"/>
                  <w:divBdr>
                    <w:top w:val="none" w:sz="0" w:space="0" w:color="auto"/>
                    <w:left w:val="none" w:sz="0" w:space="0" w:color="auto"/>
                    <w:bottom w:val="none" w:sz="0" w:space="0" w:color="auto"/>
                    <w:right w:val="none" w:sz="0" w:space="0" w:color="auto"/>
                  </w:divBdr>
                  <w:divsChild>
                    <w:div w:id="1446735331">
                      <w:marLeft w:val="0"/>
                      <w:marRight w:val="0"/>
                      <w:marTop w:val="0"/>
                      <w:marBottom w:val="0"/>
                      <w:divBdr>
                        <w:top w:val="none" w:sz="0" w:space="0" w:color="auto"/>
                        <w:left w:val="none" w:sz="0" w:space="0" w:color="auto"/>
                        <w:bottom w:val="none" w:sz="0" w:space="0" w:color="auto"/>
                        <w:right w:val="none" w:sz="0" w:space="0" w:color="auto"/>
                      </w:divBdr>
                    </w:div>
                  </w:divsChild>
                </w:div>
                <w:div w:id="1411997559">
                  <w:marLeft w:val="0"/>
                  <w:marRight w:val="0"/>
                  <w:marTop w:val="0"/>
                  <w:marBottom w:val="0"/>
                  <w:divBdr>
                    <w:top w:val="none" w:sz="0" w:space="0" w:color="auto"/>
                    <w:left w:val="none" w:sz="0" w:space="0" w:color="auto"/>
                    <w:bottom w:val="none" w:sz="0" w:space="0" w:color="auto"/>
                    <w:right w:val="none" w:sz="0" w:space="0" w:color="auto"/>
                  </w:divBdr>
                  <w:divsChild>
                    <w:div w:id="29960797">
                      <w:marLeft w:val="0"/>
                      <w:marRight w:val="0"/>
                      <w:marTop w:val="0"/>
                      <w:marBottom w:val="0"/>
                      <w:divBdr>
                        <w:top w:val="none" w:sz="0" w:space="0" w:color="auto"/>
                        <w:left w:val="none" w:sz="0" w:space="0" w:color="auto"/>
                        <w:bottom w:val="none" w:sz="0" w:space="0" w:color="auto"/>
                        <w:right w:val="none" w:sz="0" w:space="0" w:color="auto"/>
                      </w:divBdr>
                    </w:div>
                  </w:divsChild>
                </w:div>
                <w:div w:id="1423530083">
                  <w:marLeft w:val="0"/>
                  <w:marRight w:val="0"/>
                  <w:marTop w:val="0"/>
                  <w:marBottom w:val="0"/>
                  <w:divBdr>
                    <w:top w:val="none" w:sz="0" w:space="0" w:color="auto"/>
                    <w:left w:val="none" w:sz="0" w:space="0" w:color="auto"/>
                    <w:bottom w:val="none" w:sz="0" w:space="0" w:color="auto"/>
                    <w:right w:val="none" w:sz="0" w:space="0" w:color="auto"/>
                  </w:divBdr>
                  <w:divsChild>
                    <w:div w:id="1963806511">
                      <w:marLeft w:val="0"/>
                      <w:marRight w:val="0"/>
                      <w:marTop w:val="0"/>
                      <w:marBottom w:val="0"/>
                      <w:divBdr>
                        <w:top w:val="none" w:sz="0" w:space="0" w:color="auto"/>
                        <w:left w:val="none" w:sz="0" w:space="0" w:color="auto"/>
                        <w:bottom w:val="none" w:sz="0" w:space="0" w:color="auto"/>
                        <w:right w:val="none" w:sz="0" w:space="0" w:color="auto"/>
                      </w:divBdr>
                    </w:div>
                  </w:divsChild>
                </w:div>
                <w:div w:id="1425491229">
                  <w:marLeft w:val="0"/>
                  <w:marRight w:val="0"/>
                  <w:marTop w:val="0"/>
                  <w:marBottom w:val="0"/>
                  <w:divBdr>
                    <w:top w:val="none" w:sz="0" w:space="0" w:color="auto"/>
                    <w:left w:val="none" w:sz="0" w:space="0" w:color="auto"/>
                    <w:bottom w:val="none" w:sz="0" w:space="0" w:color="auto"/>
                    <w:right w:val="none" w:sz="0" w:space="0" w:color="auto"/>
                  </w:divBdr>
                  <w:divsChild>
                    <w:div w:id="715588590">
                      <w:marLeft w:val="0"/>
                      <w:marRight w:val="0"/>
                      <w:marTop w:val="0"/>
                      <w:marBottom w:val="0"/>
                      <w:divBdr>
                        <w:top w:val="none" w:sz="0" w:space="0" w:color="auto"/>
                        <w:left w:val="none" w:sz="0" w:space="0" w:color="auto"/>
                        <w:bottom w:val="none" w:sz="0" w:space="0" w:color="auto"/>
                        <w:right w:val="none" w:sz="0" w:space="0" w:color="auto"/>
                      </w:divBdr>
                    </w:div>
                  </w:divsChild>
                </w:div>
                <w:div w:id="1433475197">
                  <w:marLeft w:val="0"/>
                  <w:marRight w:val="0"/>
                  <w:marTop w:val="0"/>
                  <w:marBottom w:val="0"/>
                  <w:divBdr>
                    <w:top w:val="none" w:sz="0" w:space="0" w:color="auto"/>
                    <w:left w:val="none" w:sz="0" w:space="0" w:color="auto"/>
                    <w:bottom w:val="none" w:sz="0" w:space="0" w:color="auto"/>
                    <w:right w:val="none" w:sz="0" w:space="0" w:color="auto"/>
                  </w:divBdr>
                  <w:divsChild>
                    <w:div w:id="1642614892">
                      <w:marLeft w:val="0"/>
                      <w:marRight w:val="0"/>
                      <w:marTop w:val="0"/>
                      <w:marBottom w:val="0"/>
                      <w:divBdr>
                        <w:top w:val="none" w:sz="0" w:space="0" w:color="auto"/>
                        <w:left w:val="none" w:sz="0" w:space="0" w:color="auto"/>
                        <w:bottom w:val="none" w:sz="0" w:space="0" w:color="auto"/>
                        <w:right w:val="none" w:sz="0" w:space="0" w:color="auto"/>
                      </w:divBdr>
                    </w:div>
                  </w:divsChild>
                </w:div>
                <w:div w:id="1436248213">
                  <w:marLeft w:val="0"/>
                  <w:marRight w:val="0"/>
                  <w:marTop w:val="0"/>
                  <w:marBottom w:val="0"/>
                  <w:divBdr>
                    <w:top w:val="none" w:sz="0" w:space="0" w:color="auto"/>
                    <w:left w:val="none" w:sz="0" w:space="0" w:color="auto"/>
                    <w:bottom w:val="none" w:sz="0" w:space="0" w:color="auto"/>
                    <w:right w:val="none" w:sz="0" w:space="0" w:color="auto"/>
                  </w:divBdr>
                  <w:divsChild>
                    <w:div w:id="2057925198">
                      <w:marLeft w:val="0"/>
                      <w:marRight w:val="0"/>
                      <w:marTop w:val="0"/>
                      <w:marBottom w:val="0"/>
                      <w:divBdr>
                        <w:top w:val="none" w:sz="0" w:space="0" w:color="auto"/>
                        <w:left w:val="none" w:sz="0" w:space="0" w:color="auto"/>
                        <w:bottom w:val="none" w:sz="0" w:space="0" w:color="auto"/>
                        <w:right w:val="none" w:sz="0" w:space="0" w:color="auto"/>
                      </w:divBdr>
                    </w:div>
                  </w:divsChild>
                </w:div>
                <w:div w:id="1440641650">
                  <w:marLeft w:val="0"/>
                  <w:marRight w:val="0"/>
                  <w:marTop w:val="0"/>
                  <w:marBottom w:val="0"/>
                  <w:divBdr>
                    <w:top w:val="none" w:sz="0" w:space="0" w:color="auto"/>
                    <w:left w:val="none" w:sz="0" w:space="0" w:color="auto"/>
                    <w:bottom w:val="none" w:sz="0" w:space="0" w:color="auto"/>
                    <w:right w:val="none" w:sz="0" w:space="0" w:color="auto"/>
                  </w:divBdr>
                  <w:divsChild>
                    <w:div w:id="1805998479">
                      <w:marLeft w:val="0"/>
                      <w:marRight w:val="0"/>
                      <w:marTop w:val="0"/>
                      <w:marBottom w:val="0"/>
                      <w:divBdr>
                        <w:top w:val="none" w:sz="0" w:space="0" w:color="auto"/>
                        <w:left w:val="none" w:sz="0" w:space="0" w:color="auto"/>
                        <w:bottom w:val="none" w:sz="0" w:space="0" w:color="auto"/>
                        <w:right w:val="none" w:sz="0" w:space="0" w:color="auto"/>
                      </w:divBdr>
                    </w:div>
                  </w:divsChild>
                </w:div>
                <w:div w:id="1452893028">
                  <w:marLeft w:val="0"/>
                  <w:marRight w:val="0"/>
                  <w:marTop w:val="0"/>
                  <w:marBottom w:val="0"/>
                  <w:divBdr>
                    <w:top w:val="none" w:sz="0" w:space="0" w:color="auto"/>
                    <w:left w:val="none" w:sz="0" w:space="0" w:color="auto"/>
                    <w:bottom w:val="none" w:sz="0" w:space="0" w:color="auto"/>
                    <w:right w:val="none" w:sz="0" w:space="0" w:color="auto"/>
                  </w:divBdr>
                  <w:divsChild>
                    <w:div w:id="1605844525">
                      <w:marLeft w:val="0"/>
                      <w:marRight w:val="0"/>
                      <w:marTop w:val="0"/>
                      <w:marBottom w:val="0"/>
                      <w:divBdr>
                        <w:top w:val="none" w:sz="0" w:space="0" w:color="auto"/>
                        <w:left w:val="none" w:sz="0" w:space="0" w:color="auto"/>
                        <w:bottom w:val="none" w:sz="0" w:space="0" w:color="auto"/>
                        <w:right w:val="none" w:sz="0" w:space="0" w:color="auto"/>
                      </w:divBdr>
                    </w:div>
                  </w:divsChild>
                </w:div>
                <w:div w:id="1453936728">
                  <w:marLeft w:val="0"/>
                  <w:marRight w:val="0"/>
                  <w:marTop w:val="0"/>
                  <w:marBottom w:val="0"/>
                  <w:divBdr>
                    <w:top w:val="none" w:sz="0" w:space="0" w:color="auto"/>
                    <w:left w:val="none" w:sz="0" w:space="0" w:color="auto"/>
                    <w:bottom w:val="none" w:sz="0" w:space="0" w:color="auto"/>
                    <w:right w:val="none" w:sz="0" w:space="0" w:color="auto"/>
                  </w:divBdr>
                  <w:divsChild>
                    <w:div w:id="1620721811">
                      <w:marLeft w:val="0"/>
                      <w:marRight w:val="0"/>
                      <w:marTop w:val="0"/>
                      <w:marBottom w:val="0"/>
                      <w:divBdr>
                        <w:top w:val="none" w:sz="0" w:space="0" w:color="auto"/>
                        <w:left w:val="none" w:sz="0" w:space="0" w:color="auto"/>
                        <w:bottom w:val="none" w:sz="0" w:space="0" w:color="auto"/>
                        <w:right w:val="none" w:sz="0" w:space="0" w:color="auto"/>
                      </w:divBdr>
                    </w:div>
                  </w:divsChild>
                </w:div>
                <w:div w:id="1456217264">
                  <w:marLeft w:val="0"/>
                  <w:marRight w:val="0"/>
                  <w:marTop w:val="0"/>
                  <w:marBottom w:val="0"/>
                  <w:divBdr>
                    <w:top w:val="none" w:sz="0" w:space="0" w:color="auto"/>
                    <w:left w:val="none" w:sz="0" w:space="0" w:color="auto"/>
                    <w:bottom w:val="none" w:sz="0" w:space="0" w:color="auto"/>
                    <w:right w:val="none" w:sz="0" w:space="0" w:color="auto"/>
                  </w:divBdr>
                  <w:divsChild>
                    <w:div w:id="1835606194">
                      <w:marLeft w:val="0"/>
                      <w:marRight w:val="0"/>
                      <w:marTop w:val="0"/>
                      <w:marBottom w:val="0"/>
                      <w:divBdr>
                        <w:top w:val="none" w:sz="0" w:space="0" w:color="auto"/>
                        <w:left w:val="none" w:sz="0" w:space="0" w:color="auto"/>
                        <w:bottom w:val="none" w:sz="0" w:space="0" w:color="auto"/>
                        <w:right w:val="none" w:sz="0" w:space="0" w:color="auto"/>
                      </w:divBdr>
                    </w:div>
                  </w:divsChild>
                </w:div>
                <w:div w:id="1459029587">
                  <w:marLeft w:val="0"/>
                  <w:marRight w:val="0"/>
                  <w:marTop w:val="0"/>
                  <w:marBottom w:val="0"/>
                  <w:divBdr>
                    <w:top w:val="none" w:sz="0" w:space="0" w:color="auto"/>
                    <w:left w:val="none" w:sz="0" w:space="0" w:color="auto"/>
                    <w:bottom w:val="none" w:sz="0" w:space="0" w:color="auto"/>
                    <w:right w:val="none" w:sz="0" w:space="0" w:color="auto"/>
                  </w:divBdr>
                  <w:divsChild>
                    <w:div w:id="539368175">
                      <w:marLeft w:val="0"/>
                      <w:marRight w:val="0"/>
                      <w:marTop w:val="0"/>
                      <w:marBottom w:val="0"/>
                      <w:divBdr>
                        <w:top w:val="none" w:sz="0" w:space="0" w:color="auto"/>
                        <w:left w:val="none" w:sz="0" w:space="0" w:color="auto"/>
                        <w:bottom w:val="none" w:sz="0" w:space="0" w:color="auto"/>
                        <w:right w:val="none" w:sz="0" w:space="0" w:color="auto"/>
                      </w:divBdr>
                    </w:div>
                  </w:divsChild>
                </w:div>
                <w:div w:id="1464347766">
                  <w:marLeft w:val="0"/>
                  <w:marRight w:val="0"/>
                  <w:marTop w:val="0"/>
                  <w:marBottom w:val="0"/>
                  <w:divBdr>
                    <w:top w:val="none" w:sz="0" w:space="0" w:color="auto"/>
                    <w:left w:val="none" w:sz="0" w:space="0" w:color="auto"/>
                    <w:bottom w:val="none" w:sz="0" w:space="0" w:color="auto"/>
                    <w:right w:val="none" w:sz="0" w:space="0" w:color="auto"/>
                  </w:divBdr>
                  <w:divsChild>
                    <w:div w:id="1259098320">
                      <w:marLeft w:val="0"/>
                      <w:marRight w:val="0"/>
                      <w:marTop w:val="0"/>
                      <w:marBottom w:val="0"/>
                      <w:divBdr>
                        <w:top w:val="none" w:sz="0" w:space="0" w:color="auto"/>
                        <w:left w:val="none" w:sz="0" w:space="0" w:color="auto"/>
                        <w:bottom w:val="none" w:sz="0" w:space="0" w:color="auto"/>
                        <w:right w:val="none" w:sz="0" w:space="0" w:color="auto"/>
                      </w:divBdr>
                    </w:div>
                  </w:divsChild>
                </w:div>
                <w:div w:id="1492672888">
                  <w:marLeft w:val="0"/>
                  <w:marRight w:val="0"/>
                  <w:marTop w:val="0"/>
                  <w:marBottom w:val="0"/>
                  <w:divBdr>
                    <w:top w:val="none" w:sz="0" w:space="0" w:color="auto"/>
                    <w:left w:val="none" w:sz="0" w:space="0" w:color="auto"/>
                    <w:bottom w:val="none" w:sz="0" w:space="0" w:color="auto"/>
                    <w:right w:val="none" w:sz="0" w:space="0" w:color="auto"/>
                  </w:divBdr>
                  <w:divsChild>
                    <w:div w:id="989285861">
                      <w:marLeft w:val="0"/>
                      <w:marRight w:val="0"/>
                      <w:marTop w:val="0"/>
                      <w:marBottom w:val="0"/>
                      <w:divBdr>
                        <w:top w:val="none" w:sz="0" w:space="0" w:color="auto"/>
                        <w:left w:val="none" w:sz="0" w:space="0" w:color="auto"/>
                        <w:bottom w:val="none" w:sz="0" w:space="0" w:color="auto"/>
                        <w:right w:val="none" w:sz="0" w:space="0" w:color="auto"/>
                      </w:divBdr>
                    </w:div>
                  </w:divsChild>
                </w:div>
                <w:div w:id="1499073135">
                  <w:marLeft w:val="0"/>
                  <w:marRight w:val="0"/>
                  <w:marTop w:val="0"/>
                  <w:marBottom w:val="0"/>
                  <w:divBdr>
                    <w:top w:val="none" w:sz="0" w:space="0" w:color="auto"/>
                    <w:left w:val="none" w:sz="0" w:space="0" w:color="auto"/>
                    <w:bottom w:val="none" w:sz="0" w:space="0" w:color="auto"/>
                    <w:right w:val="none" w:sz="0" w:space="0" w:color="auto"/>
                  </w:divBdr>
                  <w:divsChild>
                    <w:div w:id="443185763">
                      <w:marLeft w:val="0"/>
                      <w:marRight w:val="0"/>
                      <w:marTop w:val="0"/>
                      <w:marBottom w:val="0"/>
                      <w:divBdr>
                        <w:top w:val="none" w:sz="0" w:space="0" w:color="auto"/>
                        <w:left w:val="none" w:sz="0" w:space="0" w:color="auto"/>
                        <w:bottom w:val="none" w:sz="0" w:space="0" w:color="auto"/>
                        <w:right w:val="none" w:sz="0" w:space="0" w:color="auto"/>
                      </w:divBdr>
                    </w:div>
                  </w:divsChild>
                </w:div>
                <w:div w:id="1505169836">
                  <w:marLeft w:val="0"/>
                  <w:marRight w:val="0"/>
                  <w:marTop w:val="0"/>
                  <w:marBottom w:val="0"/>
                  <w:divBdr>
                    <w:top w:val="none" w:sz="0" w:space="0" w:color="auto"/>
                    <w:left w:val="none" w:sz="0" w:space="0" w:color="auto"/>
                    <w:bottom w:val="none" w:sz="0" w:space="0" w:color="auto"/>
                    <w:right w:val="none" w:sz="0" w:space="0" w:color="auto"/>
                  </w:divBdr>
                  <w:divsChild>
                    <w:div w:id="1873221723">
                      <w:marLeft w:val="0"/>
                      <w:marRight w:val="0"/>
                      <w:marTop w:val="0"/>
                      <w:marBottom w:val="0"/>
                      <w:divBdr>
                        <w:top w:val="none" w:sz="0" w:space="0" w:color="auto"/>
                        <w:left w:val="none" w:sz="0" w:space="0" w:color="auto"/>
                        <w:bottom w:val="none" w:sz="0" w:space="0" w:color="auto"/>
                        <w:right w:val="none" w:sz="0" w:space="0" w:color="auto"/>
                      </w:divBdr>
                    </w:div>
                  </w:divsChild>
                </w:div>
                <w:div w:id="1508710059">
                  <w:marLeft w:val="0"/>
                  <w:marRight w:val="0"/>
                  <w:marTop w:val="0"/>
                  <w:marBottom w:val="0"/>
                  <w:divBdr>
                    <w:top w:val="none" w:sz="0" w:space="0" w:color="auto"/>
                    <w:left w:val="none" w:sz="0" w:space="0" w:color="auto"/>
                    <w:bottom w:val="none" w:sz="0" w:space="0" w:color="auto"/>
                    <w:right w:val="none" w:sz="0" w:space="0" w:color="auto"/>
                  </w:divBdr>
                  <w:divsChild>
                    <w:div w:id="1057701714">
                      <w:marLeft w:val="0"/>
                      <w:marRight w:val="0"/>
                      <w:marTop w:val="0"/>
                      <w:marBottom w:val="0"/>
                      <w:divBdr>
                        <w:top w:val="none" w:sz="0" w:space="0" w:color="auto"/>
                        <w:left w:val="none" w:sz="0" w:space="0" w:color="auto"/>
                        <w:bottom w:val="none" w:sz="0" w:space="0" w:color="auto"/>
                        <w:right w:val="none" w:sz="0" w:space="0" w:color="auto"/>
                      </w:divBdr>
                    </w:div>
                  </w:divsChild>
                </w:div>
                <w:div w:id="1524829868">
                  <w:marLeft w:val="0"/>
                  <w:marRight w:val="0"/>
                  <w:marTop w:val="0"/>
                  <w:marBottom w:val="0"/>
                  <w:divBdr>
                    <w:top w:val="none" w:sz="0" w:space="0" w:color="auto"/>
                    <w:left w:val="none" w:sz="0" w:space="0" w:color="auto"/>
                    <w:bottom w:val="none" w:sz="0" w:space="0" w:color="auto"/>
                    <w:right w:val="none" w:sz="0" w:space="0" w:color="auto"/>
                  </w:divBdr>
                  <w:divsChild>
                    <w:div w:id="1662394539">
                      <w:marLeft w:val="0"/>
                      <w:marRight w:val="0"/>
                      <w:marTop w:val="0"/>
                      <w:marBottom w:val="0"/>
                      <w:divBdr>
                        <w:top w:val="none" w:sz="0" w:space="0" w:color="auto"/>
                        <w:left w:val="none" w:sz="0" w:space="0" w:color="auto"/>
                        <w:bottom w:val="none" w:sz="0" w:space="0" w:color="auto"/>
                        <w:right w:val="none" w:sz="0" w:space="0" w:color="auto"/>
                      </w:divBdr>
                    </w:div>
                  </w:divsChild>
                </w:div>
                <w:div w:id="1526793888">
                  <w:marLeft w:val="0"/>
                  <w:marRight w:val="0"/>
                  <w:marTop w:val="0"/>
                  <w:marBottom w:val="0"/>
                  <w:divBdr>
                    <w:top w:val="none" w:sz="0" w:space="0" w:color="auto"/>
                    <w:left w:val="none" w:sz="0" w:space="0" w:color="auto"/>
                    <w:bottom w:val="none" w:sz="0" w:space="0" w:color="auto"/>
                    <w:right w:val="none" w:sz="0" w:space="0" w:color="auto"/>
                  </w:divBdr>
                  <w:divsChild>
                    <w:div w:id="903948623">
                      <w:marLeft w:val="0"/>
                      <w:marRight w:val="0"/>
                      <w:marTop w:val="0"/>
                      <w:marBottom w:val="0"/>
                      <w:divBdr>
                        <w:top w:val="none" w:sz="0" w:space="0" w:color="auto"/>
                        <w:left w:val="none" w:sz="0" w:space="0" w:color="auto"/>
                        <w:bottom w:val="none" w:sz="0" w:space="0" w:color="auto"/>
                        <w:right w:val="none" w:sz="0" w:space="0" w:color="auto"/>
                      </w:divBdr>
                    </w:div>
                  </w:divsChild>
                </w:div>
                <w:div w:id="1532259927">
                  <w:marLeft w:val="0"/>
                  <w:marRight w:val="0"/>
                  <w:marTop w:val="0"/>
                  <w:marBottom w:val="0"/>
                  <w:divBdr>
                    <w:top w:val="none" w:sz="0" w:space="0" w:color="auto"/>
                    <w:left w:val="none" w:sz="0" w:space="0" w:color="auto"/>
                    <w:bottom w:val="none" w:sz="0" w:space="0" w:color="auto"/>
                    <w:right w:val="none" w:sz="0" w:space="0" w:color="auto"/>
                  </w:divBdr>
                  <w:divsChild>
                    <w:div w:id="1475368658">
                      <w:marLeft w:val="0"/>
                      <w:marRight w:val="0"/>
                      <w:marTop w:val="0"/>
                      <w:marBottom w:val="0"/>
                      <w:divBdr>
                        <w:top w:val="none" w:sz="0" w:space="0" w:color="auto"/>
                        <w:left w:val="none" w:sz="0" w:space="0" w:color="auto"/>
                        <w:bottom w:val="none" w:sz="0" w:space="0" w:color="auto"/>
                        <w:right w:val="none" w:sz="0" w:space="0" w:color="auto"/>
                      </w:divBdr>
                    </w:div>
                  </w:divsChild>
                </w:div>
                <w:div w:id="1532958499">
                  <w:marLeft w:val="0"/>
                  <w:marRight w:val="0"/>
                  <w:marTop w:val="0"/>
                  <w:marBottom w:val="0"/>
                  <w:divBdr>
                    <w:top w:val="none" w:sz="0" w:space="0" w:color="auto"/>
                    <w:left w:val="none" w:sz="0" w:space="0" w:color="auto"/>
                    <w:bottom w:val="none" w:sz="0" w:space="0" w:color="auto"/>
                    <w:right w:val="none" w:sz="0" w:space="0" w:color="auto"/>
                  </w:divBdr>
                  <w:divsChild>
                    <w:div w:id="726953947">
                      <w:marLeft w:val="0"/>
                      <w:marRight w:val="0"/>
                      <w:marTop w:val="0"/>
                      <w:marBottom w:val="0"/>
                      <w:divBdr>
                        <w:top w:val="none" w:sz="0" w:space="0" w:color="auto"/>
                        <w:left w:val="none" w:sz="0" w:space="0" w:color="auto"/>
                        <w:bottom w:val="none" w:sz="0" w:space="0" w:color="auto"/>
                        <w:right w:val="none" w:sz="0" w:space="0" w:color="auto"/>
                      </w:divBdr>
                    </w:div>
                  </w:divsChild>
                </w:div>
                <w:div w:id="1541700574">
                  <w:marLeft w:val="0"/>
                  <w:marRight w:val="0"/>
                  <w:marTop w:val="0"/>
                  <w:marBottom w:val="0"/>
                  <w:divBdr>
                    <w:top w:val="none" w:sz="0" w:space="0" w:color="auto"/>
                    <w:left w:val="none" w:sz="0" w:space="0" w:color="auto"/>
                    <w:bottom w:val="none" w:sz="0" w:space="0" w:color="auto"/>
                    <w:right w:val="none" w:sz="0" w:space="0" w:color="auto"/>
                  </w:divBdr>
                  <w:divsChild>
                    <w:div w:id="913205768">
                      <w:marLeft w:val="0"/>
                      <w:marRight w:val="0"/>
                      <w:marTop w:val="0"/>
                      <w:marBottom w:val="0"/>
                      <w:divBdr>
                        <w:top w:val="none" w:sz="0" w:space="0" w:color="auto"/>
                        <w:left w:val="none" w:sz="0" w:space="0" w:color="auto"/>
                        <w:bottom w:val="none" w:sz="0" w:space="0" w:color="auto"/>
                        <w:right w:val="none" w:sz="0" w:space="0" w:color="auto"/>
                      </w:divBdr>
                    </w:div>
                  </w:divsChild>
                </w:div>
                <w:div w:id="1542132931">
                  <w:marLeft w:val="0"/>
                  <w:marRight w:val="0"/>
                  <w:marTop w:val="0"/>
                  <w:marBottom w:val="0"/>
                  <w:divBdr>
                    <w:top w:val="none" w:sz="0" w:space="0" w:color="auto"/>
                    <w:left w:val="none" w:sz="0" w:space="0" w:color="auto"/>
                    <w:bottom w:val="none" w:sz="0" w:space="0" w:color="auto"/>
                    <w:right w:val="none" w:sz="0" w:space="0" w:color="auto"/>
                  </w:divBdr>
                  <w:divsChild>
                    <w:div w:id="960192171">
                      <w:marLeft w:val="0"/>
                      <w:marRight w:val="0"/>
                      <w:marTop w:val="0"/>
                      <w:marBottom w:val="0"/>
                      <w:divBdr>
                        <w:top w:val="none" w:sz="0" w:space="0" w:color="auto"/>
                        <w:left w:val="none" w:sz="0" w:space="0" w:color="auto"/>
                        <w:bottom w:val="none" w:sz="0" w:space="0" w:color="auto"/>
                        <w:right w:val="none" w:sz="0" w:space="0" w:color="auto"/>
                      </w:divBdr>
                    </w:div>
                  </w:divsChild>
                </w:div>
                <w:div w:id="1550608616">
                  <w:marLeft w:val="0"/>
                  <w:marRight w:val="0"/>
                  <w:marTop w:val="0"/>
                  <w:marBottom w:val="0"/>
                  <w:divBdr>
                    <w:top w:val="none" w:sz="0" w:space="0" w:color="auto"/>
                    <w:left w:val="none" w:sz="0" w:space="0" w:color="auto"/>
                    <w:bottom w:val="none" w:sz="0" w:space="0" w:color="auto"/>
                    <w:right w:val="none" w:sz="0" w:space="0" w:color="auto"/>
                  </w:divBdr>
                  <w:divsChild>
                    <w:div w:id="551574874">
                      <w:marLeft w:val="0"/>
                      <w:marRight w:val="0"/>
                      <w:marTop w:val="0"/>
                      <w:marBottom w:val="0"/>
                      <w:divBdr>
                        <w:top w:val="none" w:sz="0" w:space="0" w:color="auto"/>
                        <w:left w:val="none" w:sz="0" w:space="0" w:color="auto"/>
                        <w:bottom w:val="none" w:sz="0" w:space="0" w:color="auto"/>
                        <w:right w:val="none" w:sz="0" w:space="0" w:color="auto"/>
                      </w:divBdr>
                    </w:div>
                  </w:divsChild>
                </w:div>
                <w:div w:id="1552039046">
                  <w:marLeft w:val="0"/>
                  <w:marRight w:val="0"/>
                  <w:marTop w:val="0"/>
                  <w:marBottom w:val="0"/>
                  <w:divBdr>
                    <w:top w:val="none" w:sz="0" w:space="0" w:color="auto"/>
                    <w:left w:val="none" w:sz="0" w:space="0" w:color="auto"/>
                    <w:bottom w:val="none" w:sz="0" w:space="0" w:color="auto"/>
                    <w:right w:val="none" w:sz="0" w:space="0" w:color="auto"/>
                  </w:divBdr>
                  <w:divsChild>
                    <w:div w:id="1592276414">
                      <w:marLeft w:val="0"/>
                      <w:marRight w:val="0"/>
                      <w:marTop w:val="0"/>
                      <w:marBottom w:val="0"/>
                      <w:divBdr>
                        <w:top w:val="none" w:sz="0" w:space="0" w:color="auto"/>
                        <w:left w:val="none" w:sz="0" w:space="0" w:color="auto"/>
                        <w:bottom w:val="none" w:sz="0" w:space="0" w:color="auto"/>
                        <w:right w:val="none" w:sz="0" w:space="0" w:color="auto"/>
                      </w:divBdr>
                    </w:div>
                  </w:divsChild>
                </w:div>
                <w:div w:id="1555192529">
                  <w:marLeft w:val="0"/>
                  <w:marRight w:val="0"/>
                  <w:marTop w:val="0"/>
                  <w:marBottom w:val="0"/>
                  <w:divBdr>
                    <w:top w:val="none" w:sz="0" w:space="0" w:color="auto"/>
                    <w:left w:val="none" w:sz="0" w:space="0" w:color="auto"/>
                    <w:bottom w:val="none" w:sz="0" w:space="0" w:color="auto"/>
                    <w:right w:val="none" w:sz="0" w:space="0" w:color="auto"/>
                  </w:divBdr>
                  <w:divsChild>
                    <w:div w:id="1450393957">
                      <w:marLeft w:val="0"/>
                      <w:marRight w:val="0"/>
                      <w:marTop w:val="0"/>
                      <w:marBottom w:val="0"/>
                      <w:divBdr>
                        <w:top w:val="none" w:sz="0" w:space="0" w:color="auto"/>
                        <w:left w:val="none" w:sz="0" w:space="0" w:color="auto"/>
                        <w:bottom w:val="none" w:sz="0" w:space="0" w:color="auto"/>
                        <w:right w:val="none" w:sz="0" w:space="0" w:color="auto"/>
                      </w:divBdr>
                    </w:div>
                  </w:divsChild>
                </w:div>
                <w:div w:id="1564366413">
                  <w:marLeft w:val="0"/>
                  <w:marRight w:val="0"/>
                  <w:marTop w:val="0"/>
                  <w:marBottom w:val="0"/>
                  <w:divBdr>
                    <w:top w:val="none" w:sz="0" w:space="0" w:color="auto"/>
                    <w:left w:val="none" w:sz="0" w:space="0" w:color="auto"/>
                    <w:bottom w:val="none" w:sz="0" w:space="0" w:color="auto"/>
                    <w:right w:val="none" w:sz="0" w:space="0" w:color="auto"/>
                  </w:divBdr>
                  <w:divsChild>
                    <w:div w:id="1873692332">
                      <w:marLeft w:val="0"/>
                      <w:marRight w:val="0"/>
                      <w:marTop w:val="0"/>
                      <w:marBottom w:val="0"/>
                      <w:divBdr>
                        <w:top w:val="none" w:sz="0" w:space="0" w:color="auto"/>
                        <w:left w:val="none" w:sz="0" w:space="0" w:color="auto"/>
                        <w:bottom w:val="none" w:sz="0" w:space="0" w:color="auto"/>
                        <w:right w:val="none" w:sz="0" w:space="0" w:color="auto"/>
                      </w:divBdr>
                    </w:div>
                  </w:divsChild>
                </w:div>
                <w:div w:id="1575507929">
                  <w:marLeft w:val="0"/>
                  <w:marRight w:val="0"/>
                  <w:marTop w:val="0"/>
                  <w:marBottom w:val="0"/>
                  <w:divBdr>
                    <w:top w:val="none" w:sz="0" w:space="0" w:color="auto"/>
                    <w:left w:val="none" w:sz="0" w:space="0" w:color="auto"/>
                    <w:bottom w:val="none" w:sz="0" w:space="0" w:color="auto"/>
                    <w:right w:val="none" w:sz="0" w:space="0" w:color="auto"/>
                  </w:divBdr>
                  <w:divsChild>
                    <w:div w:id="431366239">
                      <w:marLeft w:val="0"/>
                      <w:marRight w:val="0"/>
                      <w:marTop w:val="0"/>
                      <w:marBottom w:val="0"/>
                      <w:divBdr>
                        <w:top w:val="none" w:sz="0" w:space="0" w:color="auto"/>
                        <w:left w:val="none" w:sz="0" w:space="0" w:color="auto"/>
                        <w:bottom w:val="none" w:sz="0" w:space="0" w:color="auto"/>
                        <w:right w:val="none" w:sz="0" w:space="0" w:color="auto"/>
                      </w:divBdr>
                    </w:div>
                  </w:divsChild>
                </w:div>
                <w:div w:id="1594780509">
                  <w:marLeft w:val="0"/>
                  <w:marRight w:val="0"/>
                  <w:marTop w:val="0"/>
                  <w:marBottom w:val="0"/>
                  <w:divBdr>
                    <w:top w:val="none" w:sz="0" w:space="0" w:color="auto"/>
                    <w:left w:val="none" w:sz="0" w:space="0" w:color="auto"/>
                    <w:bottom w:val="none" w:sz="0" w:space="0" w:color="auto"/>
                    <w:right w:val="none" w:sz="0" w:space="0" w:color="auto"/>
                  </w:divBdr>
                  <w:divsChild>
                    <w:div w:id="828054139">
                      <w:marLeft w:val="0"/>
                      <w:marRight w:val="0"/>
                      <w:marTop w:val="0"/>
                      <w:marBottom w:val="0"/>
                      <w:divBdr>
                        <w:top w:val="none" w:sz="0" w:space="0" w:color="auto"/>
                        <w:left w:val="none" w:sz="0" w:space="0" w:color="auto"/>
                        <w:bottom w:val="none" w:sz="0" w:space="0" w:color="auto"/>
                        <w:right w:val="none" w:sz="0" w:space="0" w:color="auto"/>
                      </w:divBdr>
                    </w:div>
                  </w:divsChild>
                </w:div>
                <w:div w:id="1605726115">
                  <w:marLeft w:val="0"/>
                  <w:marRight w:val="0"/>
                  <w:marTop w:val="0"/>
                  <w:marBottom w:val="0"/>
                  <w:divBdr>
                    <w:top w:val="none" w:sz="0" w:space="0" w:color="auto"/>
                    <w:left w:val="none" w:sz="0" w:space="0" w:color="auto"/>
                    <w:bottom w:val="none" w:sz="0" w:space="0" w:color="auto"/>
                    <w:right w:val="none" w:sz="0" w:space="0" w:color="auto"/>
                  </w:divBdr>
                  <w:divsChild>
                    <w:div w:id="616521006">
                      <w:marLeft w:val="0"/>
                      <w:marRight w:val="0"/>
                      <w:marTop w:val="0"/>
                      <w:marBottom w:val="0"/>
                      <w:divBdr>
                        <w:top w:val="none" w:sz="0" w:space="0" w:color="auto"/>
                        <w:left w:val="none" w:sz="0" w:space="0" w:color="auto"/>
                        <w:bottom w:val="none" w:sz="0" w:space="0" w:color="auto"/>
                        <w:right w:val="none" w:sz="0" w:space="0" w:color="auto"/>
                      </w:divBdr>
                    </w:div>
                  </w:divsChild>
                </w:div>
                <w:div w:id="1618564392">
                  <w:marLeft w:val="0"/>
                  <w:marRight w:val="0"/>
                  <w:marTop w:val="0"/>
                  <w:marBottom w:val="0"/>
                  <w:divBdr>
                    <w:top w:val="none" w:sz="0" w:space="0" w:color="auto"/>
                    <w:left w:val="none" w:sz="0" w:space="0" w:color="auto"/>
                    <w:bottom w:val="none" w:sz="0" w:space="0" w:color="auto"/>
                    <w:right w:val="none" w:sz="0" w:space="0" w:color="auto"/>
                  </w:divBdr>
                  <w:divsChild>
                    <w:div w:id="1382942406">
                      <w:marLeft w:val="0"/>
                      <w:marRight w:val="0"/>
                      <w:marTop w:val="0"/>
                      <w:marBottom w:val="0"/>
                      <w:divBdr>
                        <w:top w:val="none" w:sz="0" w:space="0" w:color="auto"/>
                        <w:left w:val="none" w:sz="0" w:space="0" w:color="auto"/>
                        <w:bottom w:val="none" w:sz="0" w:space="0" w:color="auto"/>
                        <w:right w:val="none" w:sz="0" w:space="0" w:color="auto"/>
                      </w:divBdr>
                    </w:div>
                  </w:divsChild>
                </w:div>
                <w:div w:id="1625036210">
                  <w:marLeft w:val="0"/>
                  <w:marRight w:val="0"/>
                  <w:marTop w:val="0"/>
                  <w:marBottom w:val="0"/>
                  <w:divBdr>
                    <w:top w:val="none" w:sz="0" w:space="0" w:color="auto"/>
                    <w:left w:val="none" w:sz="0" w:space="0" w:color="auto"/>
                    <w:bottom w:val="none" w:sz="0" w:space="0" w:color="auto"/>
                    <w:right w:val="none" w:sz="0" w:space="0" w:color="auto"/>
                  </w:divBdr>
                  <w:divsChild>
                    <w:div w:id="1290747861">
                      <w:marLeft w:val="0"/>
                      <w:marRight w:val="0"/>
                      <w:marTop w:val="0"/>
                      <w:marBottom w:val="0"/>
                      <w:divBdr>
                        <w:top w:val="none" w:sz="0" w:space="0" w:color="auto"/>
                        <w:left w:val="none" w:sz="0" w:space="0" w:color="auto"/>
                        <w:bottom w:val="none" w:sz="0" w:space="0" w:color="auto"/>
                        <w:right w:val="none" w:sz="0" w:space="0" w:color="auto"/>
                      </w:divBdr>
                    </w:div>
                    <w:div w:id="1820078790">
                      <w:marLeft w:val="0"/>
                      <w:marRight w:val="0"/>
                      <w:marTop w:val="0"/>
                      <w:marBottom w:val="0"/>
                      <w:divBdr>
                        <w:top w:val="none" w:sz="0" w:space="0" w:color="auto"/>
                        <w:left w:val="none" w:sz="0" w:space="0" w:color="auto"/>
                        <w:bottom w:val="none" w:sz="0" w:space="0" w:color="auto"/>
                        <w:right w:val="none" w:sz="0" w:space="0" w:color="auto"/>
                      </w:divBdr>
                    </w:div>
                  </w:divsChild>
                </w:div>
                <w:div w:id="1627808933">
                  <w:marLeft w:val="0"/>
                  <w:marRight w:val="0"/>
                  <w:marTop w:val="0"/>
                  <w:marBottom w:val="0"/>
                  <w:divBdr>
                    <w:top w:val="none" w:sz="0" w:space="0" w:color="auto"/>
                    <w:left w:val="none" w:sz="0" w:space="0" w:color="auto"/>
                    <w:bottom w:val="none" w:sz="0" w:space="0" w:color="auto"/>
                    <w:right w:val="none" w:sz="0" w:space="0" w:color="auto"/>
                  </w:divBdr>
                  <w:divsChild>
                    <w:div w:id="2106071921">
                      <w:marLeft w:val="0"/>
                      <w:marRight w:val="0"/>
                      <w:marTop w:val="0"/>
                      <w:marBottom w:val="0"/>
                      <w:divBdr>
                        <w:top w:val="none" w:sz="0" w:space="0" w:color="auto"/>
                        <w:left w:val="none" w:sz="0" w:space="0" w:color="auto"/>
                        <w:bottom w:val="none" w:sz="0" w:space="0" w:color="auto"/>
                        <w:right w:val="none" w:sz="0" w:space="0" w:color="auto"/>
                      </w:divBdr>
                    </w:div>
                  </w:divsChild>
                </w:div>
                <w:div w:id="1628583662">
                  <w:marLeft w:val="0"/>
                  <w:marRight w:val="0"/>
                  <w:marTop w:val="0"/>
                  <w:marBottom w:val="0"/>
                  <w:divBdr>
                    <w:top w:val="none" w:sz="0" w:space="0" w:color="auto"/>
                    <w:left w:val="none" w:sz="0" w:space="0" w:color="auto"/>
                    <w:bottom w:val="none" w:sz="0" w:space="0" w:color="auto"/>
                    <w:right w:val="none" w:sz="0" w:space="0" w:color="auto"/>
                  </w:divBdr>
                  <w:divsChild>
                    <w:div w:id="1486773614">
                      <w:marLeft w:val="0"/>
                      <w:marRight w:val="0"/>
                      <w:marTop w:val="0"/>
                      <w:marBottom w:val="0"/>
                      <w:divBdr>
                        <w:top w:val="none" w:sz="0" w:space="0" w:color="auto"/>
                        <w:left w:val="none" w:sz="0" w:space="0" w:color="auto"/>
                        <w:bottom w:val="none" w:sz="0" w:space="0" w:color="auto"/>
                        <w:right w:val="none" w:sz="0" w:space="0" w:color="auto"/>
                      </w:divBdr>
                    </w:div>
                  </w:divsChild>
                </w:div>
                <w:div w:id="1644433935">
                  <w:marLeft w:val="0"/>
                  <w:marRight w:val="0"/>
                  <w:marTop w:val="0"/>
                  <w:marBottom w:val="0"/>
                  <w:divBdr>
                    <w:top w:val="none" w:sz="0" w:space="0" w:color="auto"/>
                    <w:left w:val="none" w:sz="0" w:space="0" w:color="auto"/>
                    <w:bottom w:val="none" w:sz="0" w:space="0" w:color="auto"/>
                    <w:right w:val="none" w:sz="0" w:space="0" w:color="auto"/>
                  </w:divBdr>
                  <w:divsChild>
                    <w:div w:id="1820925439">
                      <w:marLeft w:val="0"/>
                      <w:marRight w:val="0"/>
                      <w:marTop w:val="0"/>
                      <w:marBottom w:val="0"/>
                      <w:divBdr>
                        <w:top w:val="none" w:sz="0" w:space="0" w:color="auto"/>
                        <w:left w:val="none" w:sz="0" w:space="0" w:color="auto"/>
                        <w:bottom w:val="none" w:sz="0" w:space="0" w:color="auto"/>
                        <w:right w:val="none" w:sz="0" w:space="0" w:color="auto"/>
                      </w:divBdr>
                    </w:div>
                  </w:divsChild>
                </w:div>
                <w:div w:id="1663702257">
                  <w:marLeft w:val="0"/>
                  <w:marRight w:val="0"/>
                  <w:marTop w:val="0"/>
                  <w:marBottom w:val="0"/>
                  <w:divBdr>
                    <w:top w:val="none" w:sz="0" w:space="0" w:color="auto"/>
                    <w:left w:val="none" w:sz="0" w:space="0" w:color="auto"/>
                    <w:bottom w:val="none" w:sz="0" w:space="0" w:color="auto"/>
                    <w:right w:val="none" w:sz="0" w:space="0" w:color="auto"/>
                  </w:divBdr>
                  <w:divsChild>
                    <w:div w:id="1696492114">
                      <w:marLeft w:val="0"/>
                      <w:marRight w:val="0"/>
                      <w:marTop w:val="0"/>
                      <w:marBottom w:val="0"/>
                      <w:divBdr>
                        <w:top w:val="none" w:sz="0" w:space="0" w:color="auto"/>
                        <w:left w:val="none" w:sz="0" w:space="0" w:color="auto"/>
                        <w:bottom w:val="none" w:sz="0" w:space="0" w:color="auto"/>
                        <w:right w:val="none" w:sz="0" w:space="0" w:color="auto"/>
                      </w:divBdr>
                    </w:div>
                  </w:divsChild>
                </w:div>
                <w:div w:id="1674914884">
                  <w:marLeft w:val="0"/>
                  <w:marRight w:val="0"/>
                  <w:marTop w:val="0"/>
                  <w:marBottom w:val="0"/>
                  <w:divBdr>
                    <w:top w:val="none" w:sz="0" w:space="0" w:color="auto"/>
                    <w:left w:val="none" w:sz="0" w:space="0" w:color="auto"/>
                    <w:bottom w:val="none" w:sz="0" w:space="0" w:color="auto"/>
                    <w:right w:val="none" w:sz="0" w:space="0" w:color="auto"/>
                  </w:divBdr>
                  <w:divsChild>
                    <w:div w:id="907420250">
                      <w:marLeft w:val="0"/>
                      <w:marRight w:val="0"/>
                      <w:marTop w:val="0"/>
                      <w:marBottom w:val="0"/>
                      <w:divBdr>
                        <w:top w:val="none" w:sz="0" w:space="0" w:color="auto"/>
                        <w:left w:val="none" w:sz="0" w:space="0" w:color="auto"/>
                        <w:bottom w:val="none" w:sz="0" w:space="0" w:color="auto"/>
                        <w:right w:val="none" w:sz="0" w:space="0" w:color="auto"/>
                      </w:divBdr>
                    </w:div>
                  </w:divsChild>
                </w:div>
                <w:div w:id="1681588777">
                  <w:marLeft w:val="0"/>
                  <w:marRight w:val="0"/>
                  <w:marTop w:val="0"/>
                  <w:marBottom w:val="0"/>
                  <w:divBdr>
                    <w:top w:val="none" w:sz="0" w:space="0" w:color="auto"/>
                    <w:left w:val="none" w:sz="0" w:space="0" w:color="auto"/>
                    <w:bottom w:val="none" w:sz="0" w:space="0" w:color="auto"/>
                    <w:right w:val="none" w:sz="0" w:space="0" w:color="auto"/>
                  </w:divBdr>
                  <w:divsChild>
                    <w:div w:id="468330658">
                      <w:marLeft w:val="0"/>
                      <w:marRight w:val="0"/>
                      <w:marTop w:val="0"/>
                      <w:marBottom w:val="0"/>
                      <w:divBdr>
                        <w:top w:val="none" w:sz="0" w:space="0" w:color="auto"/>
                        <w:left w:val="none" w:sz="0" w:space="0" w:color="auto"/>
                        <w:bottom w:val="none" w:sz="0" w:space="0" w:color="auto"/>
                        <w:right w:val="none" w:sz="0" w:space="0" w:color="auto"/>
                      </w:divBdr>
                    </w:div>
                  </w:divsChild>
                </w:div>
                <w:div w:id="1689024383">
                  <w:marLeft w:val="0"/>
                  <w:marRight w:val="0"/>
                  <w:marTop w:val="0"/>
                  <w:marBottom w:val="0"/>
                  <w:divBdr>
                    <w:top w:val="none" w:sz="0" w:space="0" w:color="auto"/>
                    <w:left w:val="none" w:sz="0" w:space="0" w:color="auto"/>
                    <w:bottom w:val="none" w:sz="0" w:space="0" w:color="auto"/>
                    <w:right w:val="none" w:sz="0" w:space="0" w:color="auto"/>
                  </w:divBdr>
                  <w:divsChild>
                    <w:div w:id="1935626895">
                      <w:marLeft w:val="0"/>
                      <w:marRight w:val="0"/>
                      <w:marTop w:val="0"/>
                      <w:marBottom w:val="0"/>
                      <w:divBdr>
                        <w:top w:val="none" w:sz="0" w:space="0" w:color="auto"/>
                        <w:left w:val="none" w:sz="0" w:space="0" w:color="auto"/>
                        <w:bottom w:val="none" w:sz="0" w:space="0" w:color="auto"/>
                        <w:right w:val="none" w:sz="0" w:space="0" w:color="auto"/>
                      </w:divBdr>
                    </w:div>
                  </w:divsChild>
                </w:div>
                <w:div w:id="1690528388">
                  <w:marLeft w:val="0"/>
                  <w:marRight w:val="0"/>
                  <w:marTop w:val="0"/>
                  <w:marBottom w:val="0"/>
                  <w:divBdr>
                    <w:top w:val="none" w:sz="0" w:space="0" w:color="auto"/>
                    <w:left w:val="none" w:sz="0" w:space="0" w:color="auto"/>
                    <w:bottom w:val="none" w:sz="0" w:space="0" w:color="auto"/>
                    <w:right w:val="none" w:sz="0" w:space="0" w:color="auto"/>
                  </w:divBdr>
                  <w:divsChild>
                    <w:div w:id="671179479">
                      <w:marLeft w:val="0"/>
                      <w:marRight w:val="0"/>
                      <w:marTop w:val="0"/>
                      <w:marBottom w:val="0"/>
                      <w:divBdr>
                        <w:top w:val="none" w:sz="0" w:space="0" w:color="auto"/>
                        <w:left w:val="none" w:sz="0" w:space="0" w:color="auto"/>
                        <w:bottom w:val="none" w:sz="0" w:space="0" w:color="auto"/>
                        <w:right w:val="none" w:sz="0" w:space="0" w:color="auto"/>
                      </w:divBdr>
                    </w:div>
                  </w:divsChild>
                </w:div>
                <w:div w:id="1700398240">
                  <w:marLeft w:val="0"/>
                  <w:marRight w:val="0"/>
                  <w:marTop w:val="0"/>
                  <w:marBottom w:val="0"/>
                  <w:divBdr>
                    <w:top w:val="none" w:sz="0" w:space="0" w:color="auto"/>
                    <w:left w:val="none" w:sz="0" w:space="0" w:color="auto"/>
                    <w:bottom w:val="none" w:sz="0" w:space="0" w:color="auto"/>
                    <w:right w:val="none" w:sz="0" w:space="0" w:color="auto"/>
                  </w:divBdr>
                  <w:divsChild>
                    <w:div w:id="44377357">
                      <w:marLeft w:val="0"/>
                      <w:marRight w:val="0"/>
                      <w:marTop w:val="0"/>
                      <w:marBottom w:val="0"/>
                      <w:divBdr>
                        <w:top w:val="none" w:sz="0" w:space="0" w:color="auto"/>
                        <w:left w:val="none" w:sz="0" w:space="0" w:color="auto"/>
                        <w:bottom w:val="none" w:sz="0" w:space="0" w:color="auto"/>
                        <w:right w:val="none" w:sz="0" w:space="0" w:color="auto"/>
                      </w:divBdr>
                    </w:div>
                  </w:divsChild>
                </w:div>
                <w:div w:id="1709836813">
                  <w:marLeft w:val="0"/>
                  <w:marRight w:val="0"/>
                  <w:marTop w:val="0"/>
                  <w:marBottom w:val="0"/>
                  <w:divBdr>
                    <w:top w:val="none" w:sz="0" w:space="0" w:color="auto"/>
                    <w:left w:val="none" w:sz="0" w:space="0" w:color="auto"/>
                    <w:bottom w:val="none" w:sz="0" w:space="0" w:color="auto"/>
                    <w:right w:val="none" w:sz="0" w:space="0" w:color="auto"/>
                  </w:divBdr>
                  <w:divsChild>
                    <w:div w:id="1544756008">
                      <w:marLeft w:val="0"/>
                      <w:marRight w:val="0"/>
                      <w:marTop w:val="0"/>
                      <w:marBottom w:val="0"/>
                      <w:divBdr>
                        <w:top w:val="none" w:sz="0" w:space="0" w:color="auto"/>
                        <w:left w:val="none" w:sz="0" w:space="0" w:color="auto"/>
                        <w:bottom w:val="none" w:sz="0" w:space="0" w:color="auto"/>
                        <w:right w:val="none" w:sz="0" w:space="0" w:color="auto"/>
                      </w:divBdr>
                    </w:div>
                  </w:divsChild>
                </w:div>
                <w:div w:id="1722826782">
                  <w:marLeft w:val="0"/>
                  <w:marRight w:val="0"/>
                  <w:marTop w:val="0"/>
                  <w:marBottom w:val="0"/>
                  <w:divBdr>
                    <w:top w:val="none" w:sz="0" w:space="0" w:color="auto"/>
                    <w:left w:val="none" w:sz="0" w:space="0" w:color="auto"/>
                    <w:bottom w:val="none" w:sz="0" w:space="0" w:color="auto"/>
                    <w:right w:val="none" w:sz="0" w:space="0" w:color="auto"/>
                  </w:divBdr>
                  <w:divsChild>
                    <w:div w:id="1096556946">
                      <w:marLeft w:val="0"/>
                      <w:marRight w:val="0"/>
                      <w:marTop w:val="0"/>
                      <w:marBottom w:val="0"/>
                      <w:divBdr>
                        <w:top w:val="none" w:sz="0" w:space="0" w:color="auto"/>
                        <w:left w:val="none" w:sz="0" w:space="0" w:color="auto"/>
                        <w:bottom w:val="none" w:sz="0" w:space="0" w:color="auto"/>
                        <w:right w:val="none" w:sz="0" w:space="0" w:color="auto"/>
                      </w:divBdr>
                    </w:div>
                  </w:divsChild>
                </w:div>
                <w:div w:id="1724602014">
                  <w:marLeft w:val="0"/>
                  <w:marRight w:val="0"/>
                  <w:marTop w:val="0"/>
                  <w:marBottom w:val="0"/>
                  <w:divBdr>
                    <w:top w:val="none" w:sz="0" w:space="0" w:color="auto"/>
                    <w:left w:val="none" w:sz="0" w:space="0" w:color="auto"/>
                    <w:bottom w:val="none" w:sz="0" w:space="0" w:color="auto"/>
                    <w:right w:val="none" w:sz="0" w:space="0" w:color="auto"/>
                  </w:divBdr>
                  <w:divsChild>
                    <w:div w:id="1213735374">
                      <w:marLeft w:val="0"/>
                      <w:marRight w:val="0"/>
                      <w:marTop w:val="0"/>
                      <w:marBottom w:val="0"/>
                      <w:divBdr>
                        <w:top w:val="none" w:sz="0" w:space="0" w:color="auto"/>
                        <w:left w:val="none" w:sz="0" w:space="0" w:color="auto"/>
                        <w:bottom w:val="none" w:sz="0" w:space="0" w:color="auto"/>
                        <w:right w:val="none" w:sz="0" w:space="0" w:color="auto"/>
                      </w:divBdr>
                    </w:div>
                  </w:divsChild>
                </w:div>
                <w:div w:id="1730231335">
                  <w:marLeft w:val="0"/>
                  <w:marRight w:val="0"/>
                  <w:marTop w:val="0"/>
                  <w:marBottom w:val="0"/>
                  <w:divBdr>
                    <w:top w:val="none" w:sz="0" w:space="0" w:color="auto"/>
                    <w:left w:val="none" w:sz="0" w:space="0" w:color="auto"/>
                    <w:bottom w:val="none" w:sz="0" w:space="0" w:color="auto"/>
                    <w:right w:val="none" w:sz="0" w:space="0" w:color="auto"/>
                  </w:divBdr>
                  <w:divsChild>
                    <w:div w:id="142897643">
                      <w:marLeft w:val="0"/>
                      <w:marRight w:val="0"/>
                      <w:marTop w:val="0"/>
                      <w:marBottom w:val="0"/>
                      <w:divBdr>
                        <w:top w:val="none" w:sz="0" w:space="0" w:color="auto"/>
                        <w:left w:val="none" w:sz="0" w:space="0" w:color="auto"/>
                        <w:bottom w:val="none" w:sz="0" w:space="0" w:color="auto"/>
                        <w:right w:val="none" w:sz="0" w:space="0" w:color="auto"/>
                      </w:divBdr>
                    </w:div>
                  </w:divsChild>
                </w:div>
                <w:div w:id="1731885338">
                  <w:marLeft w:val="0"/>
                  <w:marRight w:val="0"/>
                  <w:marTop w:val="0"/>
                  <w:marBottom w:val="0"/>
                  <w:divBdr>
                    <w:top w:val="none" w:sz="0" w:space="0" w:color="auto"/>
                    <w:left w:val="none" w:sz="0" w:space="0" w:color="auto"/>
                    <w:bottom w:val="none" w:sz="0" w:space="0" w:color="auto"/>
                    <w:right w:val="none" w:sz="0" w:space="0" w:color="auto"/>
                  </w:divBdr>
                  <w:divsChild>
                    <w:div w:id="661279926">
                      <w:marLeft w:val="0"/>
                      <w:marRight w:val="0"/>
                      <w:marTop w:val="0"/>
                      <w:marBottom w:val="0"/>
                      <w:divBdr>
                        <w:top w:val="none" w:sz="0" w:space="0" w:color="auto"/>
                        <w:left w:val="none" w:sz="0" w:space="0" w:color="auto"/>
                        <w:bottom w:val="none" w:sz="0" w:space="0" w:color="auto"/>
                        <w:right w:val="none" w:sz="0" w:space="0" w:color="auto"/>
                      </w:divBdr>
                    </w:div>
                  </w:divsChild>
                </w:div>
                <w:div w:id="1737125228">
                  <w:marLeft w:val="0"/>
                  <w:marRight w:val="0"/>
                  <w:marTop w:val="0"/>
                  <w:marBottom w:val="0"/>
                  <w:divBdr>
                    <w:top w:val="none" w:sz="0" w:space="0" w:color="auto"/>
                    <w:left w:val="none" w:sz="0" w:space="0" w:color="auto"/>
                    <w:bottom w:val="none" w:sz="0" w:space="0" w:color="auto"/>
                    <w:right w:val="none" w:sz="0" w:space="0" w:color="auto"/>
                  </w:divBdr>
                  <w:divsChild>
                    <w:div w:id="949628387">
                      <w:marLeft w:val="0"/>
                      <w:marRight w:val="0"/>
                      <w:marTop w:val="0"/>
                      <w:marBottom w:val="0"/>
                      <w:divBdr>
                        <w:top w:val="none" w:sz="0" w:space="0" w:color="auto"/>
                        <w:left w:val="none" w:sz="0" w:space="0" w:color="auto"/>
                        <w:bottom w:val="none" w:sz="0" w:space="0" w:color="auto"/>
                        <w:right w:val="none" w:sz="0" w:space="0" w:color="auto"/>
                      </w:divBdr>
                    </w:div>
                  </w:divsChild>
                </w:div>
                <w:div w:id="1739136388">
                  <w:marLeft w:val="0"/>
                  <w:marRight w:val="0"/>
                  <w:marTop w:val="0"/>
                  <w:marBottom w:val="0"/>
                  <w:divBdr>
                    <w:top w:val="none" w:sz="0" w:space="0" w:color="auto"/>
                    <w:left w:val="none" w:sz="0" w:space="0" w:color="auto"/>
                    <w:bottom w:val="none" w:sz="0" w:space="0" w:color="auto"/>
                    <w:right w:val="none" w:sz="0" w:space="0" w:color="auto"/>
                  </w:divBdr>
                  <w:divsChild>
                    <w:div w:id="71393339">
                      <w:marLeft w:val="0"/>
                      <w:marRight w:val="0"/>
                      <w:marTop w:val="0"/>
                      <w:marBottom w:val="0"/>
                      <w:divBdr>
                        <w:top w:val="none" w:sz="0" w:space="0" w:color="auto"/>
                        <w:left w:val="none" w:sz="0" w:space="0" w:color="auto"/>
                        <w:bottom w:val="none" w:sz="0" w:space="0" w:color="auto"/>
                        <w:right w:val="none" w:sz="0" w:space="0" w:color="auto"/>
                      </w:divBdr>
                    </w:div>
                  </w:divsChild>
                </w:div>
                <w:div w:id="1739208133">
                  <w:marLeft w:val="0"/>
                  <w:marRight w:val="0"/>
                  <w:marTop w:val="0"/>
                  <w:marBottom w:val="0"/>
                  <w:divBdr>
                    <w:top w:val="none" w:sz="0" w:space="0" w:color="auto"/>
                    <w:left w:val="none" w:sz="0" w:space="0" w:color="auto"/>
                    <w:bottom w:val="none" w:sz="0" w:space="0" w:color="auto"/>
                    <w:right w:val="none" w:sz="0" w:space="0" w:color="auto"/>
                  </w:divBdr>
                  <w:divsChild>
                    <w:div w:id="1801992309">
                      <w:marLeft w:val="0"/>
                      <w:marRight w:val="0"/>
                      <w:marTop w:val="0"/>
                      <w:marBottom w:val="0"/>
                      <w:divBdr>
                        <w:top w:val="none" w:sz="0" w:space="0" w:color="auto"/>
                        <w:left w:val="none" w:sz="0" w:space="0" w:color="auto"/>
                        <w:bottom w:val="none" w:sz="0" w:space="0" w:color="auto"/>
                        <w:right w:val="none" w:sz="0" w:space="0" w:color="auto"/>
                      </w:divBdr>
                    </w:div>
                  </w:divsChild>
                </w:div>
                <w:div w:id="1744789534">
                  <w:marLeft w:val="0"/>
                  <w:marRight w:val="0"/>
                  <w:marTop w:val="0"/>
                  <w:marBottom w:val="0"/>
                  <w:divBdr>
                    <w:top w:val="none" w:sz="0" w:space="0" w:color="auto"/>
                    <w:left w:val="none" w:sz="0" w:space="0" w:color="auto"/>
                    <w:bottom w:val="none" w:sz="0" w:space="0" w:color="auto"/>
                    <w:right w:val="none" w:sz="0" w:space="0" w:color="auto"/>
                  </w:divBdr>
                  <w:divsChild>
                    <w:div w:id="1508058701">
                      <w:marLeft w:val="0"/>
                      <w:marRight w:val="0"/>
                      <w:marTop w:val="0"/>
                      <w:marBottom w:val="0"/>
                      <w:divBdr>
                        <w:top w:val="none" w:sz="0" w:space="0" w:color="auto"/>
                        <w:left w:val="none" w:sz="0" w:space="0" w:color="auto"/>
                        <w:bottom w:val="none" w:sz="0" w:space="0" w:color="auto"/>
                        <w:right w:val="none" w:sz="0" w:space="0" w:color="auto"/>
                      </w:divBdr>
                    </w:div>
                  </w:divsChild>
                </w:div>
                <w:div w:id="1749575334">
                  <w:marLeft w:val="0"/>
                  <w:marRight w:val="0"/>
                  <w:marTop w:val="0"/>
                  <w:marBottom w:val="0"/>
                  <w:divBdr>
                    <w:top w:val="none" w:sz="0" w:space="0" w:color="auto"/>
                    <w:left w:val="none" w:sz="0" w:space="0" w:color="auto"/>
                    <w:bottom w:val="none" w:sz="0" w:space="0" w:color="auto"/>
                    <w:right w:val="none" w:sz="0" w:space="0" w:color="auto"/>
                  </w:divBdr>
                  <w:divsChild>
                    <w:div w:id="656760638">
                      <w:marLeft w:val="0"/>
                      <w:marRight w:val="0"/>
                      <w:marTop w:val="0"/>
                      <w:marBottom w:val="0"/>
                      <w:divBdr>
                        <w:top w:val="none" w:sz="0" w:space="0" w:color="auto"/>
                        <w:left w:val="none" w:sz="0" w:space="0" w:color="auto"/>
                        <w:bottom w:val="none" w:sz="0" w:space="0" w:color="auto"/>
                        <w:right w:val="none" w:sz="0" w:space="0" w:color="auto"/>
                      </w:divBdr>
                    </w:div>
                  </w:divsChild>
                </w:div>
                <w:div w:id="1750615449">
                  <w:marLeft w:val="0"/>
                  <w:marRight w:val="0"/>
                  <w:marTop w:val="0"/>
                  <w:marBottom w:val="0"/>
                  <w:divBdr>
                    <w:top w:val="none" w:sz="0" w:space="0" w:color="auto"/>
                    <w:left w:val="none" w:sz="0" w:space="0" w:color="auto"/>
                    <w:bottom w:val="none" w:sz="0" w:space="0" w:color="auto"/>
                    <w:right w:val="none" w:sz="0" w:space="0" w:color="auto"/>
                  </w:divBdr>
                  <w:divsChild>
                    <w:div w:id="1754470441">
                      <w:marLeft w:val="0"/>
                      <w:marRight w:val="0"/>
                      <w:marTop w:val="0"/>
                      <w:marBottom w:val="0"/>
                      <w:divBdr>
                        <w:top w:val="none" w:sz="0" w:space="0" w:color="auto"/>
                        <w:left w:val="none" w:sz="0" w:space="0" w:color="auto"/>
                        <w:bottom w:val="none" w:sz="0" w:space="0" w:color="auto"/>
                        <w:right w:val="none" w:sz="0" w:space="0" w:color="auto"/>
                      </w:divBdr>
                    </w:div>
                  </w:divsChild>
                </w:div>
                <w:div w:id="1770465811">
                  <w:marLeft w:val="0"/>
                  <w:marRight w:val="0"/>
                  <w:marTop w:val="0"/>
                  <w:marBottom w:val="0"/>
                  <w:divBdr>
                    <w:top w:val="none" w:sz="0" w:space="0" w:color="auto"/>
                    <w:left w:val="none" w:sz="0" w:space="0" w:color="auto"/>
                    <w:bottom w:val="none" w:sz="0" w:space="0" w:color="auto"/>
                    <w:right w:val="none" w:sz="0" w:space="0" w:color="auto"/>
                  </w:divBdr>
                  <w:divsChild>
                    <w:div w:id="2053965764">
                      <w:marLeft w:val="0"/>
                      <w:marRight w:val="0"/>
                      <w:marTop w:val="0"/>
                      <w:marBottom w:val="0"/>
                      <w:divBdr>
                        <w:top w:val="none" w:sz="0" w:space="0" w:color="auto"/>
                        <w:left w:val="none" w:sz="0" w:space="0" w:color="auto"/>
                        <w:bottom w:val="none" w:sz="0" w:space="0" w:color="auto"/>
                        <w:right w:val="none" w:sz="0" w:space="0" w:color="auto"/>
                      </w:divBdr>
                    </w:div>
                  </w:divsChild>
                </w:div>
                <w:div w:id="1772894871">
                  <w:marLeft w:val="0"/>
                  <w:marRight w:val="0"/>
                  <w:marTop w:val="0"/>
                  <w:marBottom w:val="0"/>
                  <w:divBdr>
                    <w:top w:val="none" w:sz="0" w:space="0" w:color="auto"/>
                    <w:left w:val="none" w:sz="0" w:space="0" w:color="auto"/>
                    <w:bottom w:val="none" w:sz="0" w:space="0" w:color="auto"/>
                    <w:right w:val="none" w:sz="0" w:space="0" w:color="auto"/>
                  </w:divBdr>
                  <w:divsChild>
                    <w:div w:id="1728338409">
                      <w:marLeft w:val="0"/>
                      <w:marRight w:val="0"/>
                      <w:marTop w:val="0"/>
                      <w:marBottom w:val="0"/>
                      <w:divBdr>
                        <w:top w:val="none" w:sz="0" w:space="0" w:color="auto"/>
                        <w:left w:val="none" w:sz="0" w:space="0" w:color="auto"/>
                        <w:bottom w:val="none" w:sz="0" w:space="0" w:color="auto"/>
                        <w:right w:val="none" w:sz="0" w:space="0" w:color="auto"/>
                      </w:divBdr>
                    </w:div>
                  </w:divsChild>
                </w:div>
                <w:div w:id="1778405811">
                  <w:marLeft w:val="0"/>
                  <w:marRight w:val="0"/>
                  <w:marTop w:val="0"/>
                  <w:marBottom w:val="0"/>
                  <w:divBdr>
                    <w:top w:val="none" w:sz="0" w:space="0" w:color="auto"/>
                    <w:left w:val="none" w:sz="0" w:space="0" w:color="auto"/>
                    <w:bottom w:val="none" w:sz="0" w:space="0" w:color="auto"/>
                    <w:right w:val="none" w:sz="0" w:space="0" w:color="auto"/>
                  </w:divBdr>
                  <w:divsChild>
                    <w:div w:id="53553888">
                      <w:marLeft w:val="0"/>
                      <w:marRight w:val="0"/>
                      <w:marTop w:val="0"/>
                      <w:marBottom w:val="0"/>
                      <w:divBdr>
                        <w:top w:val="none" w:sz="0" w:space="0" w:color="auto"/>
                        <w:left w:val="none" w:sz="0" w:space="0" w:color="auto"/>
                        <w:bottom w:val="none" w:sz="0" w:space="0" w:color="auto"/>
                        <w:right w:val="none" w:sz="0" w:space="0" w:color="auto"/>
                      </w:divBdr>
                    </w:div>
                  </w:divsChild>
                </w:div>
                <w:div w:id="1788233768">
                  <w:marLeft w:val="0"/>
                  <w:marRight w:val="0"/>
                  <w:marTop w:val="0"/>
                  <w:marBottom w:val="0"/>
                  <w:divBdr>
                    <w:top w:val="none" w:sz="0" w:space="0" w:color="auto"/>
                    <w:left w:val="none" w:sz="0" w:space="0" w:color="auto"/>
                    <w:bottom w:val="none" w:sz="0" w:space="0" w:color="auto"/>
                    <w:right w:val="none" w:sz="0" w:space="0" w:color="auto"/>
                  </w:divBdr>
                  <w:divsChild>
                    <w:div w:id="1722361491">
                      <w:marLeft w:val="0"/>
                      <w:marRight w:val="0"/>
                      <w:marTop w:val="0"/>
                      <w:marBottom w:val="0"/>
                      <w:divBdr>
                        <w:top w:val="none" w:sz="0" w:space="0" w:color="auto"/>
                        <w:left w:val="none" w:sz="0" w:space="0" w:color="auto"/>
                        <w:bottom w:val="none" w:sz="0" w:space="0" w:color="auto"/>
                        <w:right w:val="none" w:sz="0" w:space="0" w:color="auto"/>
                      </w:divBdr>
                    </w:div>
                  </w:divsChild>
                </w:div>
                <w:div w:id="1788305632">
                  <w:marLeft w:val="0"/>
                  <w:marRight w:val="0"/>
                  <w:marTop w:val="0"/>
                  <w:marBottom w:val="0"/>
                  <w:divBdr>
                    <w:top w:val="none" w:sz="0" w:space="0" w:color="auto"/>
                    <w:left w:val="none" w:sz="0" w:space="0" w:color="auto"/>
                    <w:bottom w:val="none" w:sz="0" w:space="0" w:color="auto"/>
                    <w:right w:val="none" w:sz="0" w:space="0" w:color="auto"/>
                  </w:divBdr>
                  <w:divsChild>
                    <w:div w:id="1014498140">
                      <w:marLeft w:val="0"/>
                      <w:marRight w:val="0"/>
                      <w:marTop w:val="0"/>
                      <w:marBottom w:val="0"/>
                      <w:divBdr>
                        <w:top w:val="none" w:sz="0" w:space="0" w:color="auto"/>
                        <w:left w:val="none" w:sz="0" w:space="0" w:color="auto"/>
                        <w:bottom w:val="none" w:sz="0" w:space="0" w:color="auto"/>
                        <w:right w:val="none" w:sz="0" w:space="0" w:color="auto"/>
                      </w:divBdr>
                    </w:div>
                  </w:divsChild>
                </w:div>
                <w:div w:id="1792672551">
                  <w:marLeft w:val="0"/>
                  <w:marRight w:val="0"/>
                  <w:marTop w:val="0"/>
                  <w:marBottom w:val="0"/>
                  <w:divBdr>
                    <w:top w:val="none" w:sz="0" w:space="0" w:color="auto"/>
                    <w:left w:val="none" w:sz="0" w:space="0" w:color="auto"/>
                    <w:bottom w:val="none" w:sz="0" w:space="0" w:color="auto"/>
                    <w:right w:val="none" w:sz="0" w:space="0" w:color="auto"/>
                  </w:divBdr>
                  <w:divsChild>
                    <w:div w:id="908006034">
                      <w:marLeft w:val="0"/>
                      <w:marRight w:val="0"/>
                      <w:marTop w:val="0"/>
                      <w:marBottom w:val="0"/>
                      <w:divBdr>
                        <w:top w:val="none" w:sz="0" w:space="0" w:color="auto"/>
                        <w:left w:val="none" w:sz="0" w:space="0" w:color="auto"/>
                        <w:bottom w:val="none" w:sz="0" w:space="0" w:color="auto"/>
                        <w:right w:val="none" w:sz="0" w:space="0" w:color="auto"/>
                      </w:divBdr>
                    </w:div>
                  </w:divsChild>
                </w:div>
                <w:div w:id="1811098125">
                  <w:marLeft w:val="0"/>
                  <w:marRight w:val="0"/>
                  <w:marTop w:val="0"/>
                  <w:marBottom w:val="0"/>
                  <w:divBdr>
                    <w:top w:val="none" w:sz="0" w:space="0" w:color="auto"/>
                    <w:left w:val="none" w:sz="0" w:space="0" w:color="auto"/>
                    <w:bottom w:val="none" w:sz="0" w:space="0" w:color="auto"/>
                    <w:right w:val="none" w:sz="0" w:space="0" w:color="auto"/>
                  </w:divBdr>
                  <w:divsChild>
                    <w:div w:id="1645507631">
                      <w:marLeft w:val="0"/>
                      <w:marRight w:val="0"/>
                      <w:marTop w:val="0"/>
                      <w:marBottom w:val="0"/>
                      <w:divBdr>
                        <w:top w:val="none" w:sz="0" w:space="0" w:color="auto"/>
                        <w:left w:val="none" w:sz="0" w:space="0" w:color="auto"/>
                        <w:bottom w:val="none" w:sz="0" w:space="0" w:color="auto"/>
                        <w:right w:val="none" w:sz="0" w:space="0" w:color="auto"/>
                      </w:divBdr>
                    </w:div>
                  </w:divsChild>
                </w:div>
                <w:div w:id="1811171996">
                  <w:marLeft w:val="0"/>
                  <w:marRight w:val="0"/>
                  <w:marTop w:val="0"/>
                  <w:marBottom w:val="0"/>
                  <w:divBdr>
                    <w:top w:val="none" w:sz="0" w:space="0" w:color="auto"/>
                    <w:left w:val="none" w:sz="0" w:space="0" w:color="auto"/>
                    <w:bottom w:val="none" w:sz="0" w:space="0" w:color="auto"/>
                    <w:right w:val="none" w:sz="0" w:space="0" w:color="auto"/>
                  </w:divBdr>
                  <w:divsChild>
                    <w:div w:id="1059938504">
                      <w:marLeft w:val="0"/>
                      <w:marRight w:val="0"/>
                      <w:marTop w:val="0"/>
                      <w:marBottom w:val="0"/>
                      <w:divBdr>
                        <w:top w:val="none" w:sz="0" w:space="0" w:color="auto"/>
                        <w:left w:val="none" w:sz="0" w:space="0" w:color="auto"/>
                        <w:bottom w:val="none" w:sz="0" w:space="0" w:color="auto"/>
                        <w:right w:val="none" w:sz="0" w:space="0" w:color="auto"/>
                      </w:divBdr>
                    </w:div>
                  </w:divsChild>
                </w:div>
                <w:div w:id="1812743215">
                  <w:marLeft w:val="0"/>
                  <w:marRight w:val="0"/>
                  <w:marTop w:val="0"/>
                  <w:marBottom w:val="0"/>
                  <w:divBdr>
                    <w:top w:val="none" w:sz="0" w:space="0" w:color="auto"/>
                    <w:left w:val="none" w:sz="0" w:space="0" w:color="auto"/>
                    <w:bottom w:val="none" w:sz="0" w:space="0" w:color="auto"/>
                    <w:right w:val="none" w:sz="0" w:space="0" w:color="auto"/>
                  </w:divBdr>
                  <w:divsChild>
                    <w:div w:id="1661888936">
                      <w:marLeft w:val="0"/>
                      <w:marRight w:val="0"/>
                      <w:marTop w:val="0"/>
                      <w:marBottom w:val="0"/>
                      <w:divBdr>
                        <w:top w:val="none" w:sz="0" w:space="0" w:color="auto"/>
                        <w:left w:val="none" w:sz="0" w:space="0" w:color="auto"/>
                        <w:bottom w:val="none" w:sz="0" w:space="0" w:color="auto"/>
                        <w:right w:val="none" w:sz="0" w:space="0" w:color="auto"/>
                      </w:divBdr>
                    </w:div>
                  </w:divsChild>
                </w:div>
                <w:div w:id="1815098982">
                  <w:marLeft w:val="0"/>
                  <w:marRight w:val="0"/>
                  <w:marTop w:val="0"/>
                  <w:marBottom w:val="0"/>
                  <w:divBdr>
                    <w:top w:val="none" w:sz="0" w:space="0" w:color="auto"/>
                    <w:left w:val="none" w:sz="0" w:space="0" w:color="auto"/>
                    <w:bottom w:val="none" w:sz="0" w:space="0" w:color="auto"/>
                    <w:right w:val="none" w:sz="0" w:space="0" w:color="auto"/>
                  </w:divBdr>
                  <w:divsChild>
                    <w:div w:id="395012947">
                      <w:marLeft w:val="0"/>
                      <w:marRight w:val="0"/>
                      <w:marTop w:val="0"/>
                      <w:marBottom w:val="0"/>
                      <w:divBdr>
                        <w:top w:val="none" w:sz="0" w:space="0" w:color="auto"/>
                        <w:left w:val="none" w:sz="0" w:space="0" w:color="auto"/>
                        <w:bottom w:val="none" w:sz="0" w:space="0" w:color="auto"/>
                        <w:right w:val="none" w:sz="0" w:space="0" w:color="auto"/>
                      </w:divBdr>
                    </w:div>
                  </w:divsChild>
                </w:div>
                <w:div w:id="1818179505">
                  <w:marLeft w:val="0"/>
                  <w:marRight w:val="0"/>
                  <w:marTop w:val="0"/>
                  <w:marBottom w:val="0"/>
                  <w:divBdr>
                    <w:top w:val="none" w:sz="0" w:space="0" w:color="auto"/>
                    <w:left w:val="none" w:sz="0" w:space="0" w:color="auto"/>
                    <w:bottom w:val="none" w:sz="0" w:space="0" w:color="auto"/>
                    <w:right w:val="none" w:sz="0" w:space="0" w:color="auto"/>
                  </w:divBdr>
                  <w:divsChild>
                    <w:div w:id="1160536274">
                      <w:marLeft w:val="0"/>
                      <w:marRight w:val="0"/>
                      <w:marTop w:val="0"/>
                      <w:marBottom w:val="0"/>
                      <w:divBdr>
                        <w:top w:val="none" w:sz="0" w:space="0" w:color="auto"/>
                        <w:left w:val="none" w:sz="0" w:space="0" w:color="auto"/>
                        <w:bottom w:val="none" w:sz="0" w:space="0" w:color="auto"/>
                        <w:right w:val="none" w:sz="0" w:space="0" w:color="auto"/>
                      </w:divBdr>
                    </w:div>
                  </w:divsChild>
                </w:div>
                <w:div w:id="1830511648">
                  <w:marLeft w:val="0"/>
                  <w:marRight w:val="0"/>
                  <w:marTop w:val="0"/>
                  <w:marBottom w:val="0"/>
                  <w:divBdr>
                    <w:top w:val="none" w:sz="0" w:space="0" w:color="auto"/>
                    <w:left w:val="none" w:sz="0" w:space="0" w:color="auto"/>
                    <w:bottom w:val="none" w:sz="0" w:space="0" w:color="auto"/>
                    <w:right w:val="none" w:sz="0" w:space="0" w:color="auto"/>
                  </w:divBdr>
                  <w:divsChild>
                    <w:div w:id="1331448560">
                      <w:marLeft w:val="0"/>
                      <w:marRight w:val="0"/>
                      <w:marTop w:val="0"/>
                      <w:marBottom w:val="0"/>
                      <w:divBdr>
                        <w:top w:val="none" w:sz="0" w:space="0" w:color="auto"/>
                        <w:left w:val="none" w:sz="0" w:space="0" w:color="auto"/>
                        <w:bottom w:val="none" w:sz="0" w:space="0" w:color="auto"/>
                        <w:right w:val="none" w:sz="0" w:space="0" w:color="auto"/>
                      </w:divBdr>
                    </w:div>
                  </w:divsChild>
                </w:div>
                <w:div w:id="1861777298">
                  <w:marLeft w:val="0"/>
                  <w:marRight w:val="0"/>
                  <w:marTop w:val="0"/>
                  <w:marBottom w:val="0"/>
                  <w:divBdr>
                    <w:top w:val="none" w:sz="0" w:space="0" w:color="auto"/>
                    <w:left w:val="none" w:sz="0" w:space="0" w:color="auto"/>
                    <w:bottom w:val="none" w:sz="0" w:space="0" w:color="auto"/>
                    <w:right w:val="none" w:sz="0" w:space="0" w:color="auto"/>
                  </w:divBdr>
                  <w:divsChild>
                    <w:div w:id="832720661">
                      <w:marLeft w:val="0"/>
                      <w:marRight w:val="0"/>
                      <w:marTop w:val="0"/>
                      <w:marBottom w:val="0"/>
                      <w:divBdr>
                        <w:top w:val="none" w:sz="0" w:space="0" w:color="auto"/>
                        <w:left w:val="none" w:sz="0" w:space="0" w:color="auto"/>
                        <w:bottom w:val="none" w:sz="0" w:space="0" w:color="auto"/>
                        <w:right w:val="none" w:sz="0" w:space="0" w:color="auto"/>
                      </w:divBdr>
                    </w:div>
                  </w:divsChild>
                </w:div>
                <w:div w:id="1870485431">
                  <w:marLeft w:val="0"/>
                  <w:marRight w:val="0"/>
                  <w:marTop w:val="0"/>
                  <w:marBottom w:val="0"/>
                  <w:divBdr>
                    <w:top w:val="none" w:sz="0" w:space="0" w:color="auto"/>
                    <w:left w:val="none" w:sz="0" w:space="0" w:color="auto"/>
                    <w:bottom w:val="none" w:sz="0" w:space="0" w:color="auto"/>
                    <w:right w:val="none" w:sz="0" w:space="0" w:color="auto"/>
                  </w:divBdr>
                  <w:divsChild>
                    <w:div w:id="853492063">
                      <w:marLeft w:val="0"/>
                      <w:marRight w:val="0"/>
                      <w:marTop w:val="0"/>
                      <w:marBottom w:val="0"/>
                      <w:divBdr>
                        <w:top w:val="none" w:sz="0" w:space="0" w:color="auto"/>
                        <w:left w:val="none" w:sz="0" w:space="0" w:color="auto"/>
                        <w:bottom w:val="none" w:sz="0" w:space="0" w:color="auto"/>
                        <w:right w:val="none" w:sz="0" w:space="0" w:color="auto"/>
                      </w:divBdr>
                    </w:div>
                  </w:divsChild>
                </w:div>
                <w:div w:id="1872523696">
                  <w:marLeft w:val="0"/>
                  <w:marRight w:val="0"/>
                  <w:marTop w:val="0"/>
                  <w:marBottom w:val="0"/>
                  <w:divBdr>
                    <w:top w:val="none" w:sz="0" w:space="0" w:color="auto"/>
                    <w:left w:val="none" w:sz="0" w:space="0" w:color="auto"/>
                    <w:bottom w:val="none" w:sz="0" w:space="0" w:color="auto"/>
                    <w:right w:val="none" w:sz="0" w:space="0" w:color="auto"/>
                  </w:divBdr>
                  <w:divsChild>
                    <w:div w:id="89854366">
                      <w:marLeft w:val="0"/>
                      <w:marRight w:val="0"/>
                      <w:marTop w:val="0"/>
                      <w:marBottom w:val="0"/>
                      <w:divBdr>
                        <w:top w:val="none" w:sz="0" w:space="0" w:color="auto"/>
                        <w:left w:val="none" w:sz="0" w:space="0" w:color="auto"/>
                        <w:bottom w:val="none" w:sz="0" w:space="0" w:color="auto"/>
                        <w:right w:val="none" w:sz="0" w:space="0" w:color="auto"/>
                      </w:divBdr>
                    </w:div>
                  </w:divsChild>
                </w:div>
                <w:div w:id="1872642163">
                  <w:marLeft w:val="0"/>
                  <w:marRight w:val="0"/>
                  <w:marTop w:val="0"/>
                  <w:marBottom w:val="0"/>
                  <w:divBdr>
                    <w:top w:val="none" w:sz="0" w:space="0" w:color="auto"/>
                    <w:left w:val="none" w:sz="0" w:space="0" w:color="auto"/>
                    <w:bottom w:val="none" w:sz="0" w:space="0" w:color="auto"/>
                    <w:right w:val="none" w:sz="0" w:space="0" w:color="auto"/>
                  </w:divBdr>
                  <w:divsChild>
                    <w:div w:id="755786782">
                      <w:marLeft w:val="0"/>
                      <w:marRight w:val="0"/>
                      <w:marTop w:val="0"/>
                      <w:marBottom w:val="0"/>
                      <w:divBdr>
                        <w:top w:val="none" w:sz="0" w:space="0" w:color="auto"/>
                        <w:left w:val="none" w:sz="0" w:space="0" w:color="auto"/>
                        <w:bottom w:val="none" w:sz="0" w:space="0" w:color="auto"/>
                        <w:right w:val="none" w:sz="0" w:space="0" w:color="auto"/>
                      </w:divBdr>
                    </w:div>
                  </w:divsChild>
                </w:div>
                <w:div w:id="1878424611">
                  <w:marLeft w:val="0"/>
                  <w:marRight w:val="0"/>
                  <w:marTop w:val="0"/>
                  <w:marBottom w:val="0"/>
                  <w:divBdr>
                    <w:top w:val="none" w:sz="0" w:space="0" w:color="auto"/>
                    <w:left w:val="none" w:sz="0" w:space="0" w:color="auto"/>
                    <w:bottom w:val="none" w:sz="0" w:space="0" w:color="auto"/>
                    <w:right w:val="none" w:sz="0" w:space="0" w:color="auto"/>
                  </w:divBdr>
                  <w:divsChild>
                    <w:div w:id="609313645">
                      <w:marLeft w:val="0"/>
                      <w:marRight w:val="0"/>
                      <w:marTop w:val="0"/>
                      <w:marBottom w:val="0"/>
                      <w:divBdr>
                        <w:top w:val="none" w:sz="0" w:space="0" w:color="auto"/>
                        <w:left w:val="none" w:sz="0" w:space="0" w:color="auto"/>
                        <w:bottom w:val="none" w:sz="0" w:space="0" w:color="auto"/>
                        <w:right w:val="none" w:sz="0" w:space="0" w:color="auto"/>
                      </w:divBdr>
                    </w:div>
                  </w:divsChild>
                </w:div>
                <w:div w:id="1881818726">
                  <w:marLeft w:val="0"/>
                  <w:marRight w:val="0"/>
                  <w:marTop w:val="0"/>
                  <w:marBottom w:val="0"/>
                  <w:divBdr>
                    <w:top w:val="none" w:sz="0" w:space="0" w:color="auto"/>
                    <w:left w:val="none" w:sz="0" w:space="0" w:color="auto"/>
                    <w:bottom w:val="none" w:sz="0" w:space="0" w:color="auto"/>
                    <w:right w:val="none" w:sz="0" w:space="0" w:color="auto"/>
                  </w:divBdr>
                  <w:divsChild>
                    <w:div w:id="13500739">
                      <w:marLeft w:val="0"/>
                      <w:marRight w:val="0"/>
                      <w:marTop w:val="0"/>
                      <w:marBottom w:val="0"/>
                      <w:divBdr>
                        <w:top w:val="none" w:sz="0" w:space="0" w:color="auto"/>
                        <w:left w:val="none" w:sz="0" w:space="0" w:color="auto"/>
                        <w:bottom w:val="none" w:sz="0" w:space="0" w:color="auto"/>
                        <w:right w:val="none" w:sz="0" w:space="0" w:color="auto"/>
                      </w:divBdr>
                    </w:div>
                  </w:divsChild>
                </w:div>
                <w:div w:id="1903639194">
                  <w:marLeft w:val="0"/>
                  <w:marRight w:val="0"/>
                  <w:marTop w:val="0"/>
                  <w:marBottom w:val="0"/>
                  <w:divBdr>
                    <w:top w:val="none" w:sz="0" w:space="0" w:color="auto"/>
                    <w:left w:val="none" w:sz="0" w:space="0" w:color="auto"/>
                    <w:bottom w:val="none" w:sz="0" w:space="0" w:color="auto"/>
                    <w:right w:val="none" w:sz="0" w:space="0" w:color="auto"/>
                  </w:divBdr>
                  <w:divsChild>
                    <w:div w:id="879047046">
                      <w:marLeft w:val="0"/>
                      <w:marRight w:val="0"/>
                      <w:marTop w:val="0"/>
                      <w:marBottom w:val="0"/>
                      <w:divBdr>
                        <w:top w:val="none" w:sz="0" w:space="0" w:color="auto"/>
                        <w:left w:val="none" w:sz="0" w:space="0" w:color="auto"/>
                        <w:bottom w:val="none" w:sz="0" w:space="0" w:color="auto"/>
                        <w:right w:val="none" w:sz="0" w:space="0" w:color="auto"/>
                      </w:divBdr>
                    </w:div>
                  </w:divsChild>
                </w:div>
                <w:div w:id="1927958305">
                  <w:marLeft w:val="0"/>
                  <w:marRight w:val="0"/>
                  <w:marTop w:val="0"/>
                  <w:marBottom w:val="0"/>
                  <w:divBdr>
                    <w:top w:val="none" w:sz="0" w:space="0" w:color="auto"/>
                    <w:left w:val="none" w:sz="0" w:space="0" w:color="auto"/>
                    <w:bottom w:val="none" w:sz="0" w:space="0" w:color="auto"/>
                    <w:right w:val="none" w:sz="0" w:space="0" w:color="auto"/>
                  </w:divBdr>
                  <w:divsChild>
                    <w:div w:id="147484332">
                      <w:marLeft w:val="0"/>
                      <w:marRight w:val="0"/>
                      <w:marTop w:val="0"/>
                      <w:marBottom w:val="0"/>
                      <w:divBdr>
                        <w:top w:val="none" w:sz="0" w:space="0" w:color="auto"/>
                        <w:left w:val="none" w:sz="0" w:space="0" w:color="auto"/>
                        <w:bottom w:val="none" w:sz="0" w:space="0" w:color="auto"/>
                        <w:right w:val="none" w:sz="0" w:space="0" w:color="auto"/>
                      </w:divBdr>
                    </w:div>
                  </w:divsChild>
                </w:div>
                <w:div w:id="1944410136">
                  <w:marLeft w:val="0"/>
                  <w:marRight w:val="0"/>
                  <w:marTop w:val="0"/>
                  <w:marBottom w:val="0"/>
                  <w:divBdr>
                    <w:top w:val="none" w:sz="0" w:space="0" w:color="auto"/>
                    <w:left w:val="none" w:sz="0" w:space="0" w:color="auto"/>
                    <w:bottom w:val="none" w:sz="0" w:space="0" w:color="auto"/>
                    <w:right w:val="none" w:sz="0" w:space="0" w:color="auto"/>
                  </w:divBdr>
                  <w:divsChild>
                    <w:div w:id="884802290">
                      <w:marLeft w:val="0"/>
                      <w:marRight w:val="0"/>
                      <w:marTop w:val="0"/>
                      <w:marBottom w:val="0"/>
                      <w:divBdr>
                        <w:top w:val="none" w:sz="0" w:space="0" w:color="auto"/>
                        <w:left w:val="none" w:sz="0" w:space="0" w:color="auto"/>
                        <w:bottom w:val="none" w:sz="0" w:space="0" w:color="auto"/>
                        <w:right w:val="none" w:sz="0" w:space="0" w:color="auto"/>
                      </w:divBdr>
                    </w:div>
                  </w:divsChild>
                </w:div>
                <w:div w:id="1948191668">
                  <w:marLeft w:val="0"/>
                  <w:marRight w:val="0"/>
                  <w:marTop w:val="0"/>
                  <w:marBottom w:val="0"/>
                  <w:divBdr>
                    <w:top w:val="none" w:sz="0" w:space="0" w:color="auto"/>
                    <w:left w:val="none" w:sz="0" w:space="0" w:color="auto"/>
                    <w:bottom w:val="none" w:sz="0" w:space="0" w:color="auto"/>
                    <w:right w:val="none" w:sz="0" w:space="0" w:color="auto"/>
                  </w:divBdr>
                  <w:divsChild>
                    <w:div w:id="287472154">
                      <w:marLeft w:val="0"/>
                      <w:marRight w:val="0"/>
                      <w:marTop w:val="0"/>
                      <w:marBottom w:val="0"/>
                      <w:divBdr>
                        <w:top w:val="none" w:sz="0" w:space="0" w:color="auto"/>
                        <w:left w:val="none" w:sz="0" w:space="0" w:color="auto"/>
                        <w:bottom w:val="none" w:sz="0" w:space="0" w:color="auto"/>
                        <w:right w:val="none" w:sz="0" w:space="0" w:color="auto"/>
                      </w:divBdr>
                    </w:div>
                  </w:divsChild>
                </w:div>
                <w:div w:id="1961379946">
                  <w:marLeft w:val="0"/>
                  <w:marRight w:val="0"/>
                  <w:marTop w:val="0"/>
                  <w:marBottom w:val="0"/>
                  <w:divBdr>
                    <w:top w:val="none" w:sz="0" w:space="0" w:color="auto"/>
                    <w:left w:val="none" w:sz="0" w:space="0" w:color="auto"/>
                    <w:bottom w:val="none" w:sz="0" w:space="0" w:color="auto"/>
                    <w:right w:val="none" w:sz="0" w:space="0" w:color="auto"/>
                  </w:divBdr>
                  <w:divsChild>
                    <w:div w:id="382677515">
                      <w:marLeft w:val="0"/>
                      <w:marRight w:val="0"/>
                      <w:marTop w:val="0"/>
                      <w:marBottom w:val="0"/>
                      <w:divBdr>
                        <w:top w:val="none" w:sz="0" w:space="0" w:color="auto"/>
                        <w:left w:val="none" w:sz="0" w:space="0" w:color="auto"/>
                        <w:bottom w:val="none" w:sz="0" w:space="0" w:color="auto"/>
                        <w:right w:val="none" w:sz="0" w:space="0" w:color="auto"/>
                      </w:divBdr>
                    </w:div>
                  </w:divsChild>
                </w:div>
                <w:div w:id="1972515154">
                  <w:marLeft w:val="0"/>
                  <w:marRight w:val="0"/>
                  <w:marTop w:val="0"/>
                  <w:marBottom w:val="0"/>
                  <w:divBdr>
                    <w:top w:val="none" w:sz="0" w:space="0" w:color="auto"/>
                    <w:left w:val="none" w:sz="0" w:space="0" w:color="auto"/>
                    <w:bottom w:val="none" w:sz="0" w:space="0" w:color="auto"/>
                    <w:right w:val="none" w:sz="0" w:space="0" w:color="auto"/>
                  </w:divBdr>
                  <w:divsChild>
                    <w:div w:id="1136995341">
                      <w:marLeft w:val="0"/>
                      <w:marRight w:val="0"/>
                      <w:marTop w:val="0"/>
                      <w:marBottom w:val="0"/>
                      <w:divBdr>
                        <w:top w:val="none" w:sz="0" w:space="0" w:color="auto"/>
                        <w:left w:val="none" w:sz="0" w:space="0" w:color="auto"/>
                        <w:bottom w:val="none" w:sz="0" w:space="0" w:color="auto"/>
                        <w:right w:val="none" w:sz="0" w:space="0" w:color="auto"/>
                      </w:divBdr>
                    </w:div>
                  </w:divsChild>
                </w:div>
                <w:div w:id="1978533666">
                  <w:marLeft w:val="0"/>
                  <w:marRight w:val="0"/>
                  <w:marTop w:val="0"/>
                  <w:marBottom w:val="0"/>
                  <w:divBdr>
                    <w:top w:val="none" w:sz="0" w:space="0" w:color="auto"/>
                    <w:left w:val="none" w:sz="0" w:space="0" w:color="auto"/>
                    <w:bottom w:val="none" w:sz="0" w:space="0" w:color="auto"/>
                    <w:right w:val="none" w:sz="0" w:space="0" w:color="auto"/>
                  </w:divBdr>
                  <w:divsChild>
                    <w:div w:id="1168252850">
                      <w:marLeft w:val="0"/>
                      <w:marRight w:val="0"/>
                      <w:marTop w:val="0"/>
                      <w:marBottom w:val="0"/>
                      <w:divBdr>
                        <w:top w:val="none" w:sz="0" w:space="0" w:color="auto"/>
                        <w:left w:val="none" w:sz="0" w:space="0" w:color="auto"/>
                        <w:bottom w:val="none" w:sz="0" w:space="0" w:color="auto"/>
                        <w:right w:val="none" w:sz="0" w:space="0" w:color="auto"/>
                      </w:divBdr>
                    </w:div>
                  </w:divsChild>
                </w:div>
                <w:div w:id="1981613358">
                  <w:marLeft w:val="0"/>
                  <w:marRight w:val="0"/>
                  <w:marTop w:val="0"/>
                  <w:marBottom w:val="0"/>
                  <w:divBdr>
                    <w:top w:val="none" w:sz="0" w:space="0" w:color="auto"/>
                    <w:left w:val="none" w:sz="0" w:space="0" w:color="auto"/>
                    <w:bottom w:val="none" w:sz="0" w:space="0" w:color="auto"/>
                    <w:right w:val="none" w:sz="0" w:space="0" w:color="auto"/>
                  </w:divBdr>
                  <w:divsChild>
                    <w:div w:id="1426145134">
                      <w:marLeft w:val="0"/>
                      <w:marRight w:val="0"/>
                      <w:marTop w:val="0"/>
                      <w:marBottom w:val="0"/>
                      <w:divBdr>
                        <w:top w:val="none" w:sz="0" w:space="0" w:color="auto"/>
                        <w:left w:val="none" w:sz="0" w:space="0" w:color="auto"/>
                        <w:bottom w:val="none" w:sz="0" w:space="0" w:color="auto"/>
                        <w:right w:val="none" w:sz="0" w:space="0" w:color="auto"/>
                      </w:divBdr>
                    </w:div>
                  </w:divsChild>
                </w:div>
                <w:div w:id="1983462949">
                  <w:marLeft w:val="0"/>
                  <w:marRight w:val="0"/>
                  <w:marTop w:val="0"/>
                  <w:marBottom w:val="0"/>
                  <w:divBdr>
                    <w:top w:val="none" w:sz="0" w:space="0" w:color="auto"/>
                    <w:left w:val="none" w:sz="0" w:space="0" w:color="auto"/>
                    <w:bottom w:val="none" w:sz="0" w:space="0" w:color="auto"/>
                    <w:right w:val="none" w:sz="0" w:space="0" w:color="auto"/>
                  </w:divBdr>
                  <w:divsChild>
                    <w:div w:id="1698582710">
                      <w:marLeft w:val="0"/>
                      <w:marRight w:val="0"/>
                      <w:marTop w:val="0"/>
                      <w:marBottom w:val="0"/>
                      <w:divBdr>
                        <w:top w:val="none" w:sz="0" w:space="0" w:color="auto"/>
                        <w:left w:val="none" w:sz="0" w:space="0" w:color="auto"/>
                        <w:bottom w:val="none" w:sz="0" w:space="0" w:color="auto"/>
                        <w:right w:val="none" w:sz="0" w:space="0" w:color="auto"/>
                      </w:divBdr>
                    </w:div>
                  </w:divsChild>
                </w:div>
                <w:div w:id="1986203621">
                  <w:marLeft w:val="0"/>
                  <w:marRight w:val="0"/>
                  <w:marTop w:val="0"/>
                  <w:marBottom w:val="0"/>
                  <w:divBdr>
                    <w:top w:val="none" w:sz="0" w:space="0" w:color="auto"/>
                    <w:left w:val="none" w:sz="0" w:space="0" w:color="auto"/>
                    <w:bottom w:val="none" w:sz="0" w:space="0" w:color="auto"/>
                    <w:right w:val="none" w:sz="0" w:space="0" w:color="auto"/>
                  </w:divBdr>
                  <w:divsChild>
                    <w:div w:id="1355964472">
                      <w:marLeft w:val="0"/>
                      <w:marRight w:val="0"/>
                      <w:marTop w:val="0"/>
                      <w:marBottom w:val="0"/>
                      <w:divBdr>
                        <w:top w:val="none" w:sz="0" w:space="0" w:color="auto"/>
                        <w:left w:val="none" w:sz="0" w:space="0" w:color="auto"/>
                        <w:bottom w:val="none" w:sz="0" w:space="0" w:color="auto"/>
                        <w:right w:val="none" w:sz="0" w:space="0" w:color="auto"/>
                      </w:divBdr>
                    </w:div>
                  </w:divsChild>
                </w:div>
                <w:div w:id="2013951004">
                  <w:marLeft w:val="0"/>
                  <w:marRight w:val="0"/>
                  <w:marTop w:val="0"/>
                  <w:marBottom w:val="0"/>
                  <w:divBdr>
                    <w:top w:val="none" w:sz="0" w:space="0" w:color="auto"/>
                    <w:left w:val="none" w:sz="0" w:space="0" w:color="auto"/>
                    <w:bottom w:val="none" w:sz="0" w:space="0" w:color="auto"/>
                    <w:right w:val="none" w:sz="0" w:space="0" w:color="auto"/>
                  </w:divBdr>
                  <w:divsChild>
                    <w:div w:id="927467497">
                      <w:marLeft w:val="0"/>
                      <w:marRight w:val="0"/>
                      <w:marTop w:val="0"/>
                      <w:marBottom w:val="0"/>
                      <w:divBdr>
                        <w:top w:val="none" w:sz="0" w:space="0" w:color="auto"/>
                        <w:left w:val="none" w:sz="0" w:space="0" w:color="auto"/>
                        <w:bottom w:val="none" w:sz="0" w:space="0" w:color="auto"/>
                        <w:right w:val="none" w:sz="0" w:space="0" w:color="auto"/>
                      </w:divBdr>
                    </w:div>
                  </w:divsChild>
                </w:div>
                <w:div w:id="2019041682">
                  <w:marLeft w:val="0"/>
                  <w:marRight w:val="0"/>
                  <w:marTop w:val="0"/>
                  <w:marBottom w:val="0"/>
                  <w:divBdr>
                    <w:top w:val="none" w:sz="0" w:space="0" w:color="auto"/>
                    <w:left w:val="none" w:sz="0" w:space="0" w:color="auto"/>
                    <w:bottom w:val="none" w:sz="0" w:space="0" w:color="auto"/>
                    <w:right w:val="none" w:sz="0" w:space="0" w:color="auto"/>
                  </w:divBdr>
                  <w:divsChild>
                    <w:div w:id="1510217623">
                      <w:marLeft w:val="0"/>
                      <w:marRight w:val="0"/>
                      <w:marTop w:val="0"/>
                      <w:marBottom w:val="0"/>
                      <w:divBdr>
                        <w:top w:val="none" w:sz="0" w:space="0" w:color="auto"/>
                        <w:left w:val="none" w:sz="0" w:space="0" w:color="auto"/>
                        <w:bottom w:val="none" w:sz="0" w:space="0" w:color="auto"/>
                        <w:right w:val="none" w:sz="0" w:space="0" w:color="auto"/>
                      </w:divBdr>
                    </w:div>
                  </w:divsChild>
                </w:div>
                <w:div w:id="2029401621">
                  <w:marLeft w:val="0"/>
                  <w:marRight w:val="0"/>
                  <w:marTop w:val="0"/>
                  <w:marBottom w:val="0"/>
                  <w:divBdr>
                    <w:top w:val="none" w:sz="0" w:space="0" w:color="auto"/>
                    <w:left w:val="none" w:sz="0" w:space="0" w:color="auto"/>
                    <w:bottom w:val="none" w:sz="0" w:space="0" w:color="auto"/>
                    <w:right w:val="none" w:sz="0" w:space="0" w:color="auto"/>
                  </w:divBdr>
                  <w:divsChild>
                    <w:div w:id="421146277">
                      <w:marLeft w:val="0"/>
                      <w:marRight w:val="0"/>
                      <w:marTop w:val="0"/>
                      <w:marBottom w:val="0"/>
                      <w:divBdr>
                        <w:top w:val="none" w:sz="0" w:space="0" w:color="auto"/>
                        <w:left w:val="none" w:sz="0" w:space="0" w:color="auto"/>
                        <w:bottom w:val="none" w:sz="0" w:space="0" w:color="auto"/>
                        <w:right w:val="none" w:sz="0" w:space="0" w:color="auto"/>
                      </w:divBdr>
                    </w:div>
                  </w:divsChild>
                </w:div>
                <w:div w:id="2030334776">
                  <w:marLeft w:val="0"/>
                  <w:marRight w:val="0"/>
                  <w:marTop w:val="0"/>
                  <w:marBottom w:val="0"/>
                  <w:divBdr>
                    <w:top w:val="none" w:sz="0" w:space="0" w:color="auto"/>
                    <w:left w:val="none" w:sz="0" w:space="0" w:color="auto"/>
                    <w:bottom w:val="none" w:sz="0" w:space="0" w:color="auto"/>
                    <w:right w:val="none" w:sz="0" w:space="0" w:color="auto"/>
                  </w:divBdr>
                  <w:divsChild>
                    <w:div w:id="587272383">
                      <w:marLeft w:val="0"/>
                      <w:marRight w:val="0"/>
                      <w:marTop w:val="0"/>
                      <w:marBottom w:val="0"/>
                      <w:divBdr>
                        <w:top w:val="none" w:sz="0" w:space="0" w:color="auto"/>
                        <w:left w:val="none" w:sz="0" w:space="0" w:color="auto"/>
                        <w:bottom w:val="none" w:sz="0" w:space="0" w:color="auto"/>
                        <w:right w:val="none" w:sz="0" w:space="0" w:color="auto"/>
                      </w:divBdr>
                    </w:div>
                  </w:divsChild>
                </w:div>
                <w:div w:id="2030721487">
                  <w:marLeft w:val="0"/>
                  <w:marRight w:val="0"/>
                  <w:marTop w:val="0"/>
                  <w:marBottom w:val="0"/>
                  <w:divBdr>
                    <w:top w:val="none" w:sz="0" w:space="0" w:color="auto"/>
                    <w:left w:val="none" w:sz="0" w:space="0" w:color="auto"/>
                    <w:bottom w:val="none" w:sz="0" w:space="0" w:color="auto"/>
                    <w:right w:val="none" w:sz="0" w:space="0" w:color="auto"/>
                  </w:divBdr>
                  <w:divsChild>
                    <w:div w:id="1789811651">
                      <w:marLeft w:val="0"/>
                      <w:marRight w:val="0"/>
                      <w:marTop w:val="0"/>
                      <w:marBottom w:val="0"/>
                      <w:divBdr>
                        <w:top w:val="none" w:sz="0" w:space="0" w:color="auto"/>
                        <w:left w:val="none" w:sz="0" w:space="0" w:color="auto"/>
                        <w:bottom w:val="none" w:sz="0" w:space="0" w:color="auto"/>
                        <w:right w:val="none" w:sz="0" w:space="0" w:color="auto"/>
                      </w:divBdr>
                    </w:div>
                  </w:divsChild>
                </w:div>
                <w:div w:id="2037730163">
                  <w:marLeft w:val="0"/>
                  <w:marRight w:val="0"/>
                  <w:marTop w:val="0"/>
                  <w:marBottom w:val="0"/>
                  <w:divBdr>
                    <w:top w:val="none" w:sz="0" w:space="0" w:color="auto"/>
                    <w:left w:val="none" w:sz="0" w:space="0" w:color="auto"/>
                    <w:bottom w:val="none" w:sz="0" w:space="0" w:color="auto"/>
                    <w:right w:val="none" w:sz="0" w:space="0" w:color="auto"/>
                  </w:divBdr>
                  <w:divsChild>
                    <w:div w:id="1027952589">
                      <w:marLeft w:val="0"/>
                      <w:marRight w:val="0"/>
                      <w:marTop w:val="0"/>
                      <w:marBottom w:val="0"/>
                      <w:divBdr>
                        <w:top w:val="none" w:sz="0" w:space="0" w:color="auto"/>
                        <w:left w:val="none" w:sz="0" w:space="0" w:color="auto"/>
                        <w:bottom w:val="none" w:sz="0" w:space="0" w:color="auto"/>
                        <w:right w:val="none" w:sz="0" w:space="0" w:color="auto"/>
                      </w:divBdr>
                    </w:div>
                  </w:divsChild>
                </w:div>
                <w:div w:id="2042853450">
                  <w:marLeft w:val="0"/>
                  <w:marRight w:val="0"/>
                  <w:marTop w:val="0"/>
                  <w:marBottom w:val="0"/>
                  <w:divBdr>
                    <w:top w:val="none" w:sz="0" w:space="0" w:color="auto"/>
                    <w:left w:val="none" w:sz="0" w:space="0" w:color="auto"/>
                    <w:bottom w:val="none" w:sz="0" w:space="0" w:color="auto"/>
                    <w:right w:val="none" w:sz="0" w:space="0" w:color="auto"/>
                  </w:divBdr>
                  <w:divsChild>
                    <w:div w:id="568928625">
                      <w:marLeft w:val="0"/>
                      <w:marRight w:val="0"/>
                      <w:marTop w:val="0"/>
                      <w:marBottom w:val="0"/>
                      <w:divBdr>
                        <w:top w:val="none" w:sz="0" w:space="0" w:color="auto"/>
                        <w:left w:val="none" w:sz="0" w:space="0" w:color="auto"/>
                        <w:bottom w:val="none" w:sz="0" w:space="0" w:color="auto"/>
                        <w:right w:val="none" w:sz="0" w:space="0" w:color="auto"/>
                      </w:divBdr>
                    </w:div>
                  </w:divsChild>
                </w:div>
                <w:div w:id="2082408399">
                  <w:marLeft w:val="0"/>
                  <w:marRight w:val="0"/>
                  <w:marTop w:val="0"/>
                  <w:marBottom w:val="0"/>
                  <w:divBdr>
                    <w:top w:val="none" w:sz="0" w:space="0" w:color="auto"/>
                    <w:left w:val="none" w:sz="0" w:space="0" w:color="auto"/>
                    <w:bottom w:val="none" w:sz="0" w:space="0" w:color="auto"/>
                    <w:right w:val="none" w:sz="0" w:space="0" w:color="auto"/>
                  </w:divBdr>
                  <w:divsChild>
                    <w:div w:id="1539246868">
                      <w:marLeft w:val="0"/>
                      <w:marRight w:val="0"/>
                      <w:marTop w:val="0"/>
                      <w:marBottom w:val="0"/>
                      <w:divBdr>
                        <w:top w:val="none" w:sz="0" w:space="0" w:color="auto"/>
                        <w:left w:val="none" w:sz="0" w:space="0" w:color="auto"/>
                        <w:bottom w:val="none" w:sz="0" w:space="0" w:color="auto"/>
                        <w:right w:val="none" w:sz="0" w:space="0" w:color="auto"/>
                      </w:divBdr>
                    </w:div>
                  </w:divsChild>
                </w:div>
                <w:div w:id="2092697948">
                  <w:marLeft w:val="0"/>
                  <w:marRight w:val="0"/>
                  <w:marTop w:val="0"/>
                  <w:marBottom w:val="0"/>
                  <w:divBdr>
                    <w:top w:val="none" w:sz="0" w:space="0" w:color="auto"/>
                    <w:left w:val="none" w:sz="0" w:space="0" w:color="auto"/>
                    <w:bottom w:val="none" w:sz="0" w:space="0" w:color="auto"/>
                    <w:right w:val="none" w:sz="0" w:space="0" w:color="auto"/>
                  </w:divBdr>
                  <w:divsChild>
                    <w:div w:id="1696272585">
                      <w:marLeft w:val="0"/>
                      <w:marRight w:val="0"/>
                      <w:marTop w:val="0"/>
                      <w:marBottom w:val="0"/>
                      <w:divBdr>
                        <w:top w:val="none" w:sz="0" w:space="0" w:color="auto"/>
                        <w:left w:val="none" w:sz="0" w:space="0" w:color="auto"/>
                        <w:bottom w:val="none" w:sz="0" w:space="0" w:color="auto"/>
                        <w:right w:val="none" w:sz="0" w:space="0" w:color="auto"/>
                      </w:divBdr>
                    </w:div>
                  </w:divsChild>
                </w:div>
                <w:div w:id="2101634160">
                  <w:marLeft w:val="0"/>
                  <w:marRight w:val="0"/>
                  <w:marTop w:val="0"/>
                  <w:marBottom w:val="0"/>
                  <w:divBdr>
                    <w:top w:val="none" w:sz="0" w:space="0" w:color="auto"/>
                    <w:left w:val="none" w:sz="0" w:space="0" w:color="auto"/>
                    <w:bottom w:val="none" w:sz="0" w:space="0" w:color="auto"/>
                    <w:right w:val="none" w:sz="0" w:space="0" w:color="auto"/>
                  </w:divBdr>
                  <w:divsChild>
                    <w:div w:id="1272082907">
                      <w:marLeft w:val="0"/>
                      <w:marRight w:val="0"/>
                      <w:marTop w:val="0"/>
                      <w:marBottom w:val="0"/>
                      <w:divBdr>
                        <w:top w:val="none" w:sz="0" w:space="0" w:color="auto"/>
                        <w:left w:val="none" w:sz="0" w:space="0" w:color="auto"/>
                        <w:bottom w:val="none" w:sz="0" w:space="0" w:color="auto"/>
                        <w:right w:val="none" w:sz="0" w:space="0" w:color="auto"/>
                      </w:divBdr>
                    </w:div>
                  </w:divsChild>
                </w:div>
                <w:div w:id="2106882445">
                  <w:marLeft w:val="0"/>
                  <w:marRight w:val="0"/>
                  <w:marTop w:val="0"/>
                  <w:marBottom w:val="0"/>
                  <w:divBdr>
                    <w:top w:val="none" w:sz="0" w:space="0" w:color="auto"/>
                    <w:left w:val="none" w:sz="0" w:space="0" w:color="auto"/>
                    <w:bottom w:val="none" w:sz="0" w:space="0" w:color="auto"/>
                    <w:right w:val="none" w:sz="0" w:space="0" w:color="auto"/>
                  </w:divBdr>
                  <w:divsChild>
                    <w:div w:id="38365138">
                      <w:marLeft w:val="0"/>
                      <w:marRight w:val="0"/>
                      <w:marTop w:val="0"/>
                      <w:marBottom w:val="0"/>
                      <w:divBdr>
                        <w:top w:val="none" w:sz="0" w:space="0" w:color="auto"/>
                        <w:left w:val="none" w:sz="0" w:space="0" w:color="auto"/>
                        <w:bottom w:val="none" w:sz="0" w:space="0" w:color="auto"/>
                        <w:right w:val="none" w:sz="0" w:space="0" w:color="auto"/>
                      </w:divBdr>
                    </w:div>
                  </w:divsChild>
                </w:div>
                <w:div w:id="2109883014">
                  <w:marLeft w:val="0"/>
                  <w:marRight w:val="0"/>
                  <w:marTop w:val="0"/>
                  <w:marBottom w:val="0"/>
                  <w:divBdr>
                    <w:top w:val="none" w:sz="0" w:space="0" w:color="auto"/>
                    <w:left w:val="none" w:sz="0" w:space="0" w:color="auto"/>
                    <w:bottom w:val="none" w:sz="0" w:space="0" w:color="auto"/>
                    <w:right w:val="none" w:sz="0" w:space="0" w:color="auto"/>
                  </w:divBdr>
                  <w:divsChild>
                    <w:div w:id="1275821575">
                      <w:marLeft w:val="0"/>
                      <w:marRight w:val="0"/>
                      <w:marTop w:val="0"/>
                      <w:marBottom w:val="0"/>
                      <w:divBdr>
                        <w:top w:val="none" w:sz="0" w:space="0" w:color="auto"/>
                        <w:left w:val="none" w:sz="0" w:space="0" w:color="auto"/>
                        <w:bottom w:val="none" w:sz="0" w:space="0" w:color="auto"/>
                        <w:right w:val="none" w:sz="0" w:space="0" w:color="auto"/>
                      </w:divBdr>
                    </w:div>
                  </w:divsChild>
                </w:div>
                <w:div w:id="2126653811">
                  <w:marLeft w:val="0"/>
                  <w:marRight w:val="0"/>
                  <w:marTop w:val="0"/>
                  <w:marBottom w:val="0"/>
                  <w:divBdr>
                    <w:top w:val="none" w:sz="0" w:space="0" w:color="auto"/>
                    <w:left w:val="none" w:sz="0" w:space="0" w:color="auto"/>
                    <w:bottom w:val="none" w:sz="0" w:space="0" w:color="auto"/>
                    <w:right w:val="none" w:sz="0" w:space="0" w:color="auto"/>
                  </w:divBdr>
                  <w:divsChild>
                    <w:div w:id="2106802654">
                      <w:marLeft w:val="0"/>
                      <w:marRight w:val="0"/>
                      <w:marTop w:val="0"/>
                      <w:marBottom w:val="0"/>
                      <w:divBdr>
                        <w:top w:val="none" w:sz="0" w:space="0" w:color="auto"/>
                        <w:left w:val="none" w:sz="0" w:space="0" w:color="auto"/>
                        <w:bottom w:val="none" w:sz="0" w:space="0" w:color="auto"/>
                        <w:right w:val="none" w:sz="0" w:space="0" w:color="auto"/>
                      </w:divBdr>
                    </w:div>
                  </w:divsChild>
                </w:div>
                <w:div w:id="2146510088">
                  <w:marLeft w:val="0"/>
                  <w:marRight w:val="0"/>
                  <w:marTop w:val="0"/>
                  <w:marBottom w:val="0"/>
                  <w:divBdr>
                    <w:top w:val="none" w:sz="0" w:space="0" w:color="auto"/>
                    <w:left w:val="none" w:sz="0" w:space="0" w:color="auto"/>
                    <w:bottom w:val="none" w:sz="0" w:space="0" w:color="auto"/>
                    <w:right w:val="none" w:sz="0" w:space="0" w:color="auto"/>
                  </w:divBdr>
                  <w:divsChild>
                    <w:div w:id="39342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442114">
          <w:marLeft w:val="0"/>
          <w:marRight w:val="0"/>
          <w:marTop w:val="0"/>
          <w:marBottom w:val="0"/>
          <w:divBdr>
            <w:top w:val="none" w:sz="0" w:space="0" w:color="auto"/>
            <w:left w:val="none" w:sz="0" w:space="0" w:color="auto"/>
            <w:bottom w:val="none" w:sz="0" w:space="0" w:color="auto"/>
            <w:right w:val="none" w:sz="0" w:space="0" w:color="auto"/>
          </w:divBdr>
        </w:div>
        <w:div w:id="1227492208">
          <w:marLeft w:val="0"/>
          <w:marRight w:val="0"/>
          <w:marTop w:val="0"/>
          <w:marBottom w:val="0"/>
          <w:divBdr>
            <w:top w:val="none" w:sz="0" w:space="0" w:color="auto"/>
            <w:left w:val="none" w:sz="0" w:space="0" w:color="auto"/>
            <w:bottom w:val="none" w:sz="0" w:space="0" w:color="auto"/>
            <w:right w:val="none" w:sz="0" w:space="0" w:color="auto"/>
          </w:divBdr>
        </w:div>
        <w:div w:id="1253928782">
          <w:marLeft w:val="0"/>
          <w:marRight w:val="0"/>
          <w:marTop w:val="0"/>
          <w:marBottom w:val="0"/>
          <w:divBdr>
            <w:top w:val="none" w:sz="0" w:space="0" w:color="auto"/>
            <w:left w:val="none" w:sz="0" w:space="0" w:color="auto"/>
            <w:bottom w:val="none" w:sz="0" w:space="0" w:color="auto"/>
            <w:right w:val="none" w:sz="0" w:space="0" w:color="auto"/>
          </w:divBdr>
        </w:div>
        <w:div w:id="1643730875">
          <w:marLeft w:val="0"/>
          <w:marRight w:val="0"/>
          <w:marTop w:val="0"/>
          <w:marBottom w:val="0"/>
          <w:divBdr>
            <w:top w:val="none" w:sz="0" w:space="0" w:color="auto"/>
            <w:left w:val="none" w:sz="0" w:space="0" w:color="auto"/>
            <w:bottom w:val="none" w:sz="0" w:space="0" w:color="auto"/>
            <w:right w:val="none" w:sz="0" w:space="0" w:color="auto"/>
          </w:divBdr>
        </w:div>
        <w:div w:id="1747341411">
          <w:marLeft w:val="0"/>
          <w:marRight w:val="0"/>
          <w:marTop w:val="0"/>
          <w:marBottom w:val="0"/>
          <w:divBdr>
            <w:top w:val="none" w:sz="0" w:space="0" w:color="auto"/>
            <w:left w:val="none" w:sz="0" w:space="0" w:color="auto"/>
            <w:bottom w:val="none" w:sz="0" w:space="0" w:color="auto"/>
            <w:right w:val="none" w:sz="0" w:space="0" w:color="auto"/>
          </w:divBdr>
        </w:div>
      </w:divsChild>
    </w:div>
    <w:div w:id="1755086807">
      <w:bodyDiv w:val="1"/>
      <w:marLeft w:val="0"/>
      <w:marRight w:val="0"/>
      <w:marTop w:val="0"/>
      <w:marBottom w:val="0"/>
      <w:divBdr>
        <w:top w:val="none" w:sz="0" w:space="0" w:color="auto"/>
        <w:left w:val="none" w:sz="0" w:space="0" w:color="auto"/>
        <w:bottom w:val="none" w:sz="0" w:space="0" w:color="auto"/>
        <w:right w:val="none" w:sz="0" w:space="0" w:color="auto"/>
      </w:divBdr>
    </w:div>
    <w:div w:id="1767769649">
      <w:bodyDiv w:val="1"/>
      <w:marLeft w:val="0"/>
      <w:marRight w:val="0"/>
      <w:marTop w:val="0"/>
      <w:marBottom w:val="0"/>
      <w:divBdr>
        <w:top w:val="none" w:sz="0" w:space="0" w:color="auto"/>
        <w:left w:val="none" w:sz="0" w:space="0" w:color="auto"/>
        <w:bottom w:val="none" w:sz="0" w:space="0" w:color="auto"/>
        <w:right w:val="none" w:sz="0" w:space="0" w:color="auto"/>
      </w:divBdr>
    </w:div>
    <w:div w:id="1775242437">
      <w:bodyDiv w:val="1"/>
      <w:marLeft w:val="0"/>
      <w:marRight w:val="0"/>
      <w:marTop w:val="0"/>
      <w:marBottom w:val="0"/>
      <w:divBdr>
        <w:top w:val="none" w:sz="0" w:space="0" w:color="auto"/>
        <w:left w:val="none" w:sz="0" w:space="0" w:color="auto"/>
        <w:bottom w:val="none" w:sz="0" w:space="0" w:color="auto"/>
        <w:right w:val="none" w:sz="0" w:space="0" w:color="auto"/>
      </w:divBdr>
      <w:divsChild>
        <w:div w:id="51199867">
          <w:marLeft w:val="0"/>
          <w:marRight w:val="0"/>
          <w:marTop w:val="0"/>
          <w:marBottom w:val="0"/>
          <w:divBdr>
            <w:top w:val="none" w:sz="0" w:space="0" w:color="auto"/>
            <w:left w:val="none" w:sz="0" w:space="0" w:color="auto"/>
            <w:bottom w:val="none" w:sz="0" w:space="0" w:color="auto"/>
            <w:right w:val="none" w:sz="0" w:space="0" w:color="auto"/>
          </w:divBdr>
          <w:divsChild>
            <w:div w:id="204756024">
              <w:marLeft w:val="0"/>
              <w:marRight w:val="0"/>
              <w:marTop w:val="30"/>
              <w:marBottom w:val="30"/>
              <w:divBdr>
                <w:top w:val="none" w:sz="0" w:space="0" w:color="auto"/>
                <w:left w:val="none" w:sz="0" w:space="0" w:color="auto"/>
                <w:bottom w:val="none" w:sz="0" w:space="0" w:color="auto"/>
                <w:right w:val="none" w:sz="0" w:space="0" w:color="auto"/>
              </w:divBdr>
              <w:divsChild>
                <w:div w:id="24142247">
                  <w:marLeft w:val="0"/>
                  <w:marRight w:val="0"/>
                  <w:marTop w:val="0"/>
                  <w:marBottom w:val="0"/>
                  <w:divBdr>
                    <w:top w:val="none" w:sz="0" w:space="0" w:color="auto"/>
                    <w:left w:val="none" w:sz="0" w:space="0" w:color="auto"/>
                    <w:bottom w:val="none" w:sz="0" w:space="0" w:color="auto"/>
                    <w:right w:val="none" w:sz="0" w:space="0" w:color="auto"/>
                  </w:divBdr>
                  <w:divsChild>
                    <w:div w:id="2097747739">
                      <w:marLeft w:val="0"/>
                      <w:marRight w:val="0"/>
                      <w:marTop w:val="0"/>
                      <w:marBottom w:val="0"/>
                      <w:divBdr>
                        <w:top w:val="none" w:sz="0" w:space="0" w:color="auto"/>
                        <w:left w:val="none" w:sz="0" w:space="0" w:color="auto"/>
                        <w:bottom w:val="none" w:sz="0" w:space="0" w:color="auto"/>
                        <w:right w:val="none" w:sz="0" w:space="0" w:color="auto"/>
                      </w:divBdr>
                    </w:div>
                  </w:divsChild>
                </w:div>
                <w:div w:id="28261217">
                  <w:marLeft w:val="0"/>
                  <w:marRight w:val="0"/>
                  <w:marTop w:val="0"/>
                  <w:marBottom w:val="0"/>
                  <w:divBdr>
                    <w:top w:val="none" w:sz="0" w:space="0" w:color="auto"/>
                    <w:left w:val="none" w:sz="0" w:space="0" w:color="auto"/>
                    <w:bottom w:val="none" w:sz="0" w:space="0" w:color="auto"/>
                    <w:right w:val="none" w:sz="0" w:space="0" w:color="auto"/>
                  </w:divBdr>
                  <w:divsChild>
                    <w:div w:id="217934245">
                      <w:marLeft w:val="0"/>
                      <w:marRight w:val="0"/>
                      <w:marTop w:val="0"/>
                      <w:marBottom w:val="0"/>
                      <w:divBdr>
                        <w:top w:val="none" w:sz="0" w:space="0" w:color="auto"/>
                        <w:left w:val="none" w:sz="0" w:space="0" w:color="auto"/>
                        <w:bottom w:val="none" w:sz="0" w:space="0" w:color="auto"/>
                        <w:right w:val="none" w:sz="0" w:space="0" w:color="auto"/>
                      </w:divBdr>
                    </w:div>
                  </w:divsChild>
                </w:div>
                <w:div w:id="62679051">
                  <w:marLeft w:val="0"/>
                  <w:marRight w:val="0"/>
                  <w:marTop w:val="0"/>
                  <w:marBottom w:val="0"/>
                  <w:divBdr>
                    <w:top w:val="none" w:sz="0" w:space="0" w:color="auto"/>
                    <w:left w:val="none" w:sz="0" w:space="0" w:color="auto"/>
                    <w:bottom w:val="none" w:sz="0" w:space="0" w:color="auto"/>
                    <w:right w:val="none" w:sz="0" w:space="0" w:color="auto"/>
                  </w:divBdr>
                  <w:divsChild>
                    <w:div w:id="1649432716">
                      <w:marLeft w:val="0"/>
                      <w:marRight w:val="0"/>
                      <w:marTop w:val="0"/>
                      <w:marBottom w:val="0"/>
                      <w:divBdr>
                        <w:top w:val="none" w:sz="0" w:space="0" w:color="auto"/>
                        <w:left w:val="none" w:sz="0" w:space="0" w:color="auto"/>
                        <w:bottom w:val="none" w:sz="0" w:space="0" w:color="auto"/>
                        <w:right w:val="none" w:sz="0" w:space="0" w:color="auto"/>
                      </w:divBdr>
                    </w:div>
                  </w:divsChild>
                </w:div>
                <w:div w:id="71314522">
                  <w:marLeft w:val="0"/>
                  <w:marRight w:val="0"/>
                  <w:marTop w:val="0"/>
                  <w:marBottom w:val="0"/>
                  <w:divBdr>
                    <w:top w:val="none" w:sz="0" w:space="0" w:color="auto"/>
                    <w:left w:val="none" w:sz="0" w:space="0" w:color="auto"/>
                    <w:bottom w:val="none" w:sz="0" w:space="0" w:color="auto"/>
                    <w:right w:val="none" w:sz="0" w:space="0" w:color="auto"/>
                  </w:divBdr>
                  <w:divsChild>
                    <w:div w:id="123625772">
                      <w:marLeft w:val="0"/>
                      <w:marRight w:val="0"/>
                      <w:marTop w:val="0"/>
                      <w:marBottom w:val="0"/>
                      <w:divBdr>
                        <w:top w:val="none" w:sz="0" w:space="0" w:color="auto"/>
                        <w:left w:val="none" w:sz="0" w:space="0" w:color="auto"/>
                        <w:bottom w:val="none" w:sz="0" w:space="0" w:color="auto"/>
                        <w:right w:val="none" w:sz="0" w:space="0" w:color="auto"/>
                      </w:divBdr>
                    </w:div>
                  </w:divsChild>
                </w:div>
                <w:div w:id="87772987">
                  <w:marLeft w:val="0"/>
                  <w:marRight w:val="0"/>
                  <w:marTop w:val="0"/>
                  <w:marBottom w:val="0"/>
                  <w:divBdr>
                    <w:top w:val="none" w:sz="0" w:space="0" w:color="auto"/>
                    <w:left w:val="none" w:sz="0" w:space="0" w:color="auto"/>
                    <w:bottom w:val="none" w:sz="0" w:space="0" w:color="auto"/>
                    <w:right w:val="none" w:sz="0" w:space="0" w:color="auto"/>
                  </w:divBdr>
                  <w:divsChild>
                    <w:div w:id="790173594">
                      <w:marLeft w:val="0"/>
                      <w:marRight w:val="0"/>
                      <w:marTop w:val="0"/>
                      <w:marBottom w:val="0"/>
                      <w:divBdr>
                        <w:top w:val="none" w:sz="0" w:space="0" w:color="auto"/>
                        <w:left w:val="none" w:sz="0" w:space="0" w:color="auto"/>
                        <w:bottom w:val="none" w:sz="0" w:space="0" w:color="auto"/>
                        <w:right w:val="none" w:sz="0" w:space="0" w:color="auto"/>
                      </w:divBdr>
                    </w:div>
                  </w:divsChild>
                </w:div>
                <w:div w:id="100272820">
                  <w:marLeft w:val="0"/>
                  <w:marRight w:val="0"/>
                  <w:marTop w:val="0"/>
                  <w:marBottom w:val="0"/>
                  <w:divBdr>
                    <w:top w:val="none" w:sz="0" w:space="0" w:color="auto"/>
                    <w:left w:val="none" w:sz="0" w:space="0" w:color="auto"/>
                    <w:bottom w:val="none" w:sz="0" w:space="0" w:color="auto"/>
                    <w:right w:val="none" w:sz="0" w:space="0" w:color="auto"/>
                  </w:divBdr>
                  <w:divsChild>
                    <w:div w:id="57944247">
                      <w:marLeft w:val="0"/>
                      <w:marRight w:val="0"/>
                      <w:marTop w:val="0"/>
                      <w:marBottom w:val="0"/>
                      <w:divBdr>
                        <w:top w:val="none" w:sz="0" w:space="0" w:color="auto"/>
                        <w:left w:val="none" w:sz="0" w:space="0" w:color="auto"/>
                        <w:bottom w:val="none" w:sz="0" w:space="0" w:color="auto"/>
                        <w:right w:val="none" w:sz="0" w:space="0" w:color="auto"/>
                      </w:divBdr>
                    </w:div>
                  </w:divsChild>
                </w:div>
                <w:div w:id="102117718">
                  <w:marLeft w:val="0"/>
                  <w:marRight w:val="0"/>
                  <w:marTop w:val="0"/>
                  <w:marBottom w:val="0"/>
                  <w:divBdr>
                    <w:top w:val="none" w:sz="0" w:space="0" w:color="auto"/>
                    <w:left w:val="none" w:sz="0" w:space="0" w:color="auto"/>
                    <w:bottom w:val="none" w:sz="0" w:space="0" w:color="auto"/>
                    <w:right w:val="none" w:sz="0" w:space="0" w:color="auto"/>
                  </w:divBdr>
                  <w:divsChild>
                    <w:div w:id="717901843">
                      <w:marLeft w:val="0"/>
                      <w:marRight w:val="0"/>
                      <w:marTop w:val="0"/>
                      <w:marBottom w:val="0"/>
                      <w:divBdr>
                        <w:top w:val="none" w:sz="0" w:space="0" w:color="auto"/>
                        <w:left w:val="none" w:sz="0" w:space="0" w:color="auto"/>
                        <w:bottom w:val="none" w:sz="0" w:space="0" w:color="auto"/>
                        <w:right w:val="none" w:sz="0" w:space="0" w:color="auto"/>
                      </w:divBdr>
                    </w:div>
                  </w:divsChild>
                </w:div>
                <w:div w:id="103817359">
                  <w:marLeft w:val="0"/>
                  <w:marRight w:val="0"/>
                  <w:marTop w:val="0"/>
                  <w:marBottom w:val="0"/>
                  <w:divBdr>
                    <w:top w:val="none" w:sz="0" w:space="0" w:color="auto"/>
                    <w:left w:val="none" w:sz="0" w:space="0" w:color="auto"/>
                    <w:bottom w:val="none" w:sz="0" w:space="0" w:color="auto"/>
                    <w:right w:val="none" w:sz="0" w:space="0" w:color="auto"/>
                  </w:divBdr>
                  <w:divsChild>
                    <w:div w:id="106319287">
                      <w:marLeft w:val="0"/>
                      <w:marRight w:val="0"/>
                      <w:marTop w:val="0"/>
                      <w:marBottom w:val="0"/>
                      <w:divBdr>
                        <w:top w:val="none" w:sz="0" w:space="0" w:color="auto"/>
                        <w:left w:val="none" w:sz="0" w:space="0" w:color="auto"/>
                        <w:bottom w:val="none" w:sz="0" w:space="0" w:color="auto"/>
                        <w:right w:val="none" w:sz="0" w:space="0" w:color="auto"/>
                      </w:divBdr>
                    </w:div>
                  </w:divsChild>
                </w:div>
                <w:div w:id="111172292">
                  <w:marLeft w:val="0"/>
                  <w:marRight w:val="0"/>
                  <w:marTop w:val="0"/>
                  <w:marBottom w:val="0"/>
                  <w:divBdr>
                    <w:top w:val="none" w:sz="0" w:space="0" w:color="auto"/>
                    <w:left w:val="none" w:sz="0" w:space="0" w:color="auto"/>
                    <w:bottom w:val="none" w:sz="0" w:space="0" w:color="auto"/>
                    <w:right w:val="none" w:sz="0" w:space="0" w:color="auto"/>
                  </w:divBdr>
                  <w:divsChild>
                    <w:div w:id="125320727">
                      <w:marLeft w:val="0"/>
                      <w:marRight w:val="0"/>
                      <w:marTop w:val="0"/>
                      <w:marBottom w:val="0"/>
                      <w:divBdr>
                        <w:top w:val="none" w:sz="0" w:space="0" w:color="auto"/>
                        <w:left w:val="none" w:sz="0" w:space="0" w:color="auto"/>
                        <w:bottom w:val="none" w:sz="0" w:space="0" w:color="auto"/>
                        <w:right w:val="none" w:sz="0" w:space="0" w:color="auto"/>
                      </w:divBdr>
                    </w:div>
                  </w:divsChild>
                </w:div>
                <w:div w:id="122969661">
                  <w:marLeft w:val="0"/>
                  <w:marRight w:val="0"/>
                  <w:marTop w:val="0"/>
                  <w:marBottom w:val="0"/>
                  <w:divBdr>
                    <w:top w:val="none" w:sz="0" w:space="0" w:color="auto"/>
                    <w:left w:val="none" w:sz="0" w:space="0" w:color="auto"/>
                    <w:bottom w:val="none" w:sz="0" w:space="0" w:color="auto"/>
                    <w:right w:val="none" w:sz="0" w:space="0" w:color="auto"/>
                  </w:divBdr>
                  <w:divsChild>
                    <w:div w:id="1786919013">
                      <w:marLeft w:val="0"/>
                      <w:marRight w:val="0"/>
                      <w:marTop w:val="0"/>
                      <w:marBottom w:val="0"/>
                      <w:divBdr>
                        <w:top w:val="none" w:sz="0" w:space="0" w:color="auto"/>
                        <w:left w:val="none" w:sz="0" w:space="0" w:color="auto"/>
                        <w:bottom w:val="none" w:sz="0" w:space="0" w:color="auto"/>
                        <w:right w:val="none" w:sz="0" w:space="0" w:color="auto"/>
                      </w:divBdr>
                    </w:div>
                  </w:divsChild>
                </w:div>
                <w:div w:id="131024560">
                  <w:marLeft w:val="0"/>
                  <w:marRight w:val="0"/>
                  <w:marTop w:val="0"/>
                  <w:marBottom w:val="0"/>
                  <w:divBdr>
                    <w:top w:val="none" w:sz="0" w:space="0" w:color="auto"/>
                    <w:left w:val="none" w:sz="0" w:space="0" w:color="auto"/>
                    <w:bottom w:val="none" w:sz="0" w:space="0" w:color="auto"/>
                    <w:right w:val="none" w:sz="0" w:space="0" w:color="auto"/>
                  </w:divBdr>
                  <w:divsChild>
                    <w:div w:id="1063135251">
                      <w:marLeft w:val="0"/>
                      <w:marRight w:val="0"/>
                      <w:marTop w:val="0"/>
                      <w:marBottom w:val="0"/>
                      <w:divBdr>
                        <w:top w:val="none" w:sz="0" w:space="0" w:color="auto"/>
                        <w:left w:val="none" w:sz="0" w:space="0" w:color="auto"/>
                        <w:bottom w:val="none" w:sz="0" w:space="0" w:color="auto"/>
                        <w:right w:val="none" w:sz="0" w:space="0" w:color="auto"/>
                      </w:divBdr>
                    </w:div>
                  </w:divsChild>
                </w:div>
                <w:div w:id="145979937">
                  <w:marLeft w:val="0"/>
                  <w:marRight w:val="0"/>
                  <w:marTop w:val="0"/>
                  <w:marBottom w:val="0"/>
                  <w:divBdr>
                    <w:top w:val="none" w:sz="0" w:space="0" w:color="auto"/>
                    <w:left w:val="none" w:sz="0" w:space="0" w:color="auto"/>
                    <w:bottom w:val="none" w:sz="0" w:space="0" w:color="auto"/>
                    <w:right w:val="none" w:sz="0" w:space="0" w:color="auto"/>
                  </w:divBdr>
                  <w:divsChild>
                    <w:div w:id="539706440">
                      <w:marLeft w:val="0"/>
                      <w:marRight w:val="0"/>
                      <w:marTop w:val="0"/>
                      <w:marBottom w:val="0"/>
                      <w:divBdr>
                        <w:top w:val="none" w:sz="0" w:space="0" w:color="auto"/>
                        <w:left w:val="none" w:sz="0" w:space="0" w:color="auto"/>
                        <w:bottom w:val="none" w:sz="0" w:space="0" w:color="auto"/>
                        <w:right w:val="none" w:sz="0" w:space="0" w:color="auto"/>
                      </w:divBdr>
                    </w:div>
                  </w:divsChild>
                </w:div>
                <w:div w:id="150174298">
                  <w:marLeft w:val="0"/>
                  <w:marRight w:val="0"/>
                  <w:marTop w:val="0"/>
                  <w:marBottom w:val="0"/>
                  <w:divBdr>
                    <w:top w:val="none" w:sz="0" w:space="0" w:color="auto"/>
                    <w:left w:val="none" w:sz="0" w:space="0" w:color="auto"/>
                    <w:bottom w:val="none" w:sz="0" w:space="0" w:color="auto"/>
                    <w:right w:val="none" w:sz="0" w:space="0" w:color="auto"/>
                  </w:divBdr>
                  <w:divsChild>
                    <w:div w:id="964309539">
                      <w:marLeft w:val="0"/>
                      <w:marRight w:val="0"/>
                      <w:marTop w:val="0"/>
                      <w:marBottom w:val="0"/>
                      <w:divBdr>
                        <w:top w:val="none" w:sz="0" w:space="0" w:color="auto"/>
                        <w:left w:val="none" w:sz="0" w:space="0" w:color="auto"/>
                        <w:bottom w:val="none" w:sz="0" w:space="0" w:color="auto"/>
                        <w:right w:val="none" w:sz="0" w:space="0" w:color="auto"/>
                      </w:divBdr>
                    </w:div>
                  </w:divsChild>
                </w:div>
                <w:div w:id="153187625">
                  <w:marLeft w:val="0"/>
                  <w:marRight w:val="0"/>
                  <w:marTop w:val="0"/>
                  <w:marBottom w:val="0"/>
                  <w:divBdr>
                    <w:top w:val="none" w:sz="0" w:space="0" w:color="auto"/>
                    <w:left w:val="none" w:sz="0" w:space="0" w:color="auto"/>
                    <w:bottom w:val="none" w:sz="0" w:space="0" w:color="auto"/>
                    <w:right w:val="none" w:sz="0" w:space="0" w:color="auto"/>
                  </w:divBdr>
                  <w:divsChild>
                    <w:div w:id="84690982">
                      <w:marLeft w:val="0"/>
                      <w:marRight w:val="0"/>
                      <w:marTop w:val="0"/>
                      <w:marBottom w:val="0"/>
                      <w:divBdr>
                        <w:top w:val="none" w:sz="0" w:space="0" w:color="auto"/>
                        <w:left w:val="none" w:sz="0" w:space="0" w:color="auto"/>
                        <w:bottom w:val="none" w:sz="0" w:space="0" w:color="auto"/>
                        <w:right w:val="none" w:sz="0" w:space="0" w:color="auto"/>
                      </w:divBdr>
                    </w:div>
                  </w:divsChild>
                </w:div>
                <w:div w:id="179634580">
                  <w:marLeft w:val="0"/>
                  <w:marRight w:val="0"/>
                  <w:marTop w:val="0"/>
                  <w:marBottom w:val="0"/>
                  <w:divBdr>
                    <w:top w:val="none" w:sz="0" w:space="0" w:color="auto"/>
                    <w:left w:val="none" w:sz="0" w:space="0" w:color="auto"/>
                    <w:bottom w:val="none" w:sz="0" w:space="0" w:color="auto"/>
                    <w:right w:val="none" w:sz="0" w:space="0" w:color="auto"/>
                  </w:divBdr>
                  <w:divsChild>
                    <w:div w:id="1554080798">
                      <w:marLeft w:val="0"/>
                      <w:marRight w:val="0"/>
                      <w:marTop w:val="0"/>
                      <w:marBottom w:val="0"/>
                      <w:divBdr>
                        <w:top w:val="none" w:sz="0" w:space="0" w:color="auto"/>
                        <w:left w:val="none" w:sz="0" w:space="0" w:color="auto"/>
                        <w:bottom w:val="none" w:sz="0" w:space="0" w:color="auto"/>
                        <w:right w:val="none" w:sz="0" w:space="0" w:color="auto"/>
                      </w:divBdr>
                    </w:div>
                  </w:divsChild>
                </w:div>
                <w:div w:id="183255156">
                  <w:marLeft w:val="0"/>
                  <w:marRight w:val="0"/>
                  <w:marTop w:val="0"/>
                  <w:marBottom w:val="0"/>
                  <w:divBdr>
                    <w:top w:val="none" w:sz="0" w:space="0" w:color="auto"/>
                    <w:left w:val="none" w:sz="0" w:space="0" w:color="auto"/>
                    <w:bottom w:val="none" w:sz="0" w:space="0" w:color="auto"/>
                    <w:right w:val="none" w:sz="0" w:space="0" w:color="auto"/>
                  </w:divBdr>
                  <w:divsChild>
                    <w:div w:id="150171716">
                      <w:marLeft w:val="0"/>
                      <w:marRight w:val="0"/>
                      <w:marTop w:val="0"/>
                      <w:marBottom w:val="0"/>
                      <w:divBdr>
                        <w:top w:val="none" w:sz="0" w:space="0" w:color="auto"/>
                        <w:left w:val="none" w:sz="0" w:space="0" w:color="auto"/>
                        <w:bottom w:val="none" w:sz="0" w:space="0" w:color="auto"/>
                        <w:right w:val="none" w:sz="0" w:space="0" w:color="auto"/>
                      </w:divBdr>
                    </w:div>
                  </w:divsChild>
                </w:div>
                <w:div w:id="187178032">
                  <w:marLeft w:val="0"/>
                  <w:marRight w:val="0"/>
                  <w:marTop w:val="0"/>
                  <w:marBottom w:val="0"/>
                  <w:divBdr>
                    <w:top w:val="none" w:sz="0" w:space="0" w:color="auto"/>
                    <w:left w:val="none" w:sz="0" w:space="0" w:color="auto"/>
                    <w:bottom w:val="none" w:sz="0" w:space="0" w:color="auto"/>
                    <w:right w:val="none" w:sz="0" w:space="0" w:color="auto"/>
                  </w:divBdr>
                  <w:divsChild>
                    <w:div w:id="1706755469">
                      <w:marLeft w:val="0"/>
                      <w:marRight w:val="0"/>
                      <w:marTop w:val="0"/>
                      <w:marBottom w:val="0"/>
                      <w:divBdr>
                        <w:top w:val="none" w:sz="0" w:space="0" w:color="auto"/>
                        <w:left w:val="none" w:sz="0" w:space="0" w:color="auto"/>
                        <w:bottom w:val="none" w:sz="0" w:space="0" w:color="auto"/>
                        <w:right w:val="none" w:sz="0" w:space="0" w:color="auto"/>
                      </w:divBdr>
                    </w:div>
                  </w:divsChild>
                </w:div>
                <w:div w:id="200289717">
                  <w:marLeft w:val="0"/>
                  <w:marRight w:val="0"/>
                  <w:marTop w:val="0"/>
                  <w:marBottom w:val="0"/>
                  <w:divBdr>
                    <w:top w:val="none" w:sz="0" w:space="0" w:color="auto"/>
                    <w:left w:val="none" w:sz="0" w:space="0" w:color="auto"/>
                    <w:bottom w:val="none" w:sz="0" w:space="0" w:color="auto"/>
                    <w:right w:val="none" w:sz="0" w:space="0" w:color="auto"/>
                  </w:divBdr>
                  <w:divsChild>
                    <w:div w:id="1668746411">
                      <w:marLeft w:val="0"/>
                      <w:marRight w:val="0"/>
                      <w:marTop w:val="0"/>
                      <w:marBottom w:val="0"/>
                      <w:divBdr>
                        <w:top w:val="none" w:sz="0" w:space="0" w:color="auto"/>
                        <w:left w:val="none" w:sz="0" w:space="0" w:color="auto"/>
                        <w:bottom w:val="none" w:sz="0" w:space="0" w:color="auto"/>
                        <w:right w:val="none" w:sz="0" w:space="0" w:color="auto"/>
                      </w:divBdr>
                    </w:div>
                  </w:divsChild>
                </w:div>
                <w:div w:id="203254741">
                  <w:marLeft w:val="0"/>
                  <w:marRight w:val="0"/>
                  <w:marTop w:val="0"/>
                  <w:marBottom w:val="0"/>
                  <w:divBdr>
                    <w:top w:val="none" w:sz="0" w:space="0" w:color="auto"/>
                    <w:left w:val="none" w:sz="0" w:space="0" w:color="auto"/>
                    <w:bottom w:val="none" w:sz="0" w:space="0" w:color="auto"/>
                    <w:right w:val="none" w:sz="0" w:space="0" w:color="auto"/>
                  </w:divBdr>
                  <w:divsChild>
                    <w:div w:id="2102219255">
                      <w:marLeft w:val="0"/>
                      <w:marRight w:val="0"/>
                      <w:marTop w:val="0"/>
                      <w:marBottom w:val="0"/>
                      <w:divBdr>
                        <w:top w:val="none" w:sz="0" w:space="0" w:color="auto"/>
                        <w:left w:val="none" w:sz="0" w:space="0" w:color="auto"/>
                        <w:bottom w:val="none" w:sz="0" w:space="0" w:color="auto"/>
                        <w:right w:val="none" w:sz="0" w:space="0" w:color="auto"/>
                      </w:divBdr>
                    </w:div>
                  </w:divsChild>
                </w:div>
                <w:div w:id="208540032">
                  <w:marLeft w:val="0"/>
                  <w:marRight w:val="0"/>
                  <w:marTop w:val="0"/>
                  <w:marBottom w:val="0"/>
                  <w:divBdr>
                    <w:top w:val="none" w:sz="0" w:space="0" w:color="auto"/>
                    <w:left w:val="none" w:sz="0" w:space="0" w:color="auto"/>
                    <w:bottom w:val="none" w:sz="0" w:space="0" w:color="auto"/>
                    <w:right w:val="none" w:sz="0" w:space="0" w:color="auto"/>
                  </w:divBdr>
                  <w:divsChild>
                    <w:div w:id="1888682691">
                      <w:marLeft w:val="0"/>
                      <w:marRight w:val="0"/>
                      <w:marTop w:val="0"/>
                      <w:marBottom w:val="0"/>
                      <w:divBdr>
                        <w:top w:val="none" w:sz="0" w:space="0" w:color="auto"/>
                        <w:left w:val="none" w:sz="0" w:space="0" w:color="auto"/>
                        <w:bottom w:val="none" w:sz="0" w:space="0" w:color="auto"/>
                        <w:right w:val="none" w:sz="0" w:space="0" w:color="auto"/>
                      </w:divBdr>
                    </w:div>
                  </w:divsChild>
                </w:div>
                <w:div w:id="219941772">
                  <w:marLeft w:val="0"/>
                  <w:marRight w:val="0"/>
                  <w:marTop w:val="0"/>
                  <w:marBottom w:val="0"/>
                  <w:divBdr>
                    <w:top w:val="none" w:sz="0" w:space="0" w:color="auto"/>
                    <w:left w:val="none" w:sz="0" w:space="0" w:color="auto"/>
                    <w:bottom w:val="none" w:sz="0" w:space="0" w:color="auto"/>
                    <w:right w:val="none" w:sz="0" w:space="0" w:color="auto"/>
                  </w:divBdr>
                  <w:divsChild>
                    <w:div w:id="1988708280">
                      <w:marLeft w:val="0"/>
                      <w:marRight w:val="0"/>
                      <w:marTop w:val="0"/>
                      <w:marBottom w:val="0"/>
                      <w:divBdr>
                        <w:top w:val="none" w:sz="0" w:space="0" w:color="auto"/>
                        <w:left w:val="none" w:sz="0" w:space="0" w:color="auto"/>
                        <w:bottom w:val="none" w:sz="0" w:space="0" w:color="auto"/>
                        <w:right w:val="none" w:sz="0" w:space="0" w:color="auto"/>
                      </w:divBdr>
                    </w:div>
                  </w:divsChild>
                </w:div>
                <w:div w:id="224528585">
                  <w:marLeft w:val="0"/>
                  <w:marRight w:val="0"/>
                  <w:marTop w:val="0"/>
                  <w:marBottom w:val="0"/>
                  <w:divBdr>
                    <w:top w:val="none" w:sz="0" w:space="0" w:color="auto"/>
                    <w:left w:val="none" w:sz="0" w:space="0" w:color="auto"/>
                    <w:bottom w:val="none" w:sz="0" w:space="0" w:color="auto"/>
                    <w:right w:val="none" w:sz="0" w:space="0" w:color="auto"/>
                  </w:divBdr>
                  <w:divsChild>
                    <w:div w:id="135804088">
                      <w:marLeft w:val="0"/>
                      <w:marRight w:val="0"/>
                      <w:marTop w:val="0"/>
                      <w:marBottom w:val="0"/>
                      <w:divBdr>
                        <w:top w:val="none" w:sz="0" w:space="0" w:color="auto"/>
                        <w:left w:val="none" w:sz="0" w:space="0" w:color="auto"/>
                        <w:bottom w:val="none" w:sz="0" w:space="0" w:color="auto"/>
                        <w:right w:val="none" w:sz="0" w:space="0" w:color="auto"/>
                      </w:divBdr>
                    </w:div>
                  </w:divsChild>
                </w:div>
                <w:div w:id="248084812">
                  <w:marLeft w:val="0"/>
                  <w:marRight w:val="0"/>
                  <w:marTop w:val="0"/>
                  <w:marBottom w:val="0"/>
                  <w:divBdr>
                    <w:top w:val="none" w:sz="0" w:space="0" w:color="auto"/>
                    <w:left w:val="none" w:sz="0" w:space="0" w:color="auto"/>
                    <w:bottom w:val="none" w:sz="0" w:space="0" w:color="auto"/>
                    <w:right w:val="none" w:sz="0" w:space="0" w:color="auto"/>
                  </w:divBdr>
                  <w:divsChild>
                    <w:div w:id="707342293">
                      <w:marLeft w:val="0"/>
                      <w:marRight w:val="0"/>
                      <w:marTop w:val="0"/>
                      <w:marBottom w:val="0"/>
                      <w:divBdr>
                        <w:top w:val="none" w:sz="0" w:space="0" w:color="auto"/>
                        <w:left w:val="none" w:sz="0" w:space="0" w:color="auto"/>
                        <w:bottom w:val="none" w:sz="0" w:space="0" w:color="auto"/>
                        <w:right w:val="none" w:sz="0" w:space="0" w:color="auto"/>
                      </w:divBdr>
                    </w:div>
                  </w:divsChild>
                </w:div>
                <w:div w:id="250504763">
                  <w:marLeft w:val="0"/>
                  <w:marRight w:val="0"/>
                  <w:marTop w:val="0"/>
                  <w:marBottom w:val="0"/>
                  <w:divBdr>
                    <w:top w:val="none" w:sz="0" w:space="0" w:color="auto"/>
                    <w:left w:val="none" w:sz="0" w:space="0" w:color="auto"/>
                    <w:bottom w:val="none" w:sz="0" w:space="0" w:color="auto"/>
                    <w:right w:val="none" w:sz="0" w:space="0" w:color="auto"/>
                  </w:divBdr>
                  <w:divsChild>
                    <w:div w:id="724985420">
                      <w:marLeft w:val="0"/>
                      <w:marRight w:val="0"/>
                      <w:marTop w:val="0"/>
                      <w:marBottom w:val="0"/>
                      <w:divBdr>
                        <w:top w:val="none" w:sz="0" w:space="0" w:color="auto"/>
                        <w:left w:val="none" w:sz="0" w:space="0" w:color="auto"/>
                        <w:bottom w:val="none" w:sz="0" w:space="0" w:color="auto"/>
                        <w:right w:val="none" w:sz="0" w:space="0" w:color="auto"/>
                      </w:divBdr>
                    </w:div>
                  </w:divsChild>
                </w:div>
                <w:div w:id="250624691">
                  <w:marLeft w:val="0"/>
                  <w:marRight w:val="0"/>
                  <w:marTop w:val="0"/>
                  <w:marBottom w:val="0"/>
                  <w:divBdr>
                    <w:top w:val="none" w:sz="0" w:space="0" w:color="auto"/>
                    <w:left w:val="none" w:sz="0" w:space="0" w:color="auto"/>
                    <w:bottom w:val="none" w:sz="0" w:space="0" w:color="auto"/>
                    <w:right w:val="none" w:sz="0" w:space="0" w:color="auto"/>
                  </w:divBdr>
                  <w:divsChild>
                    <w:div w:id="672338946">
                      <w:marLeft w:val="0"/>
                      <w:marRight w:val="0"/>
                      <w:marTop w:val="0"/>
                      <w:marBottom w:val="0"/>
                      <w:divBdr>
                        <w:top w:val="none" w:sz="0" w:space="0" w:color="auto"/>
                        <w:left w:val="none" w:sz="0" w:space="0" w:color="auto"/>
                        <w:bottom w:val="none" w:sz="0" w:space="0" w:color="auto"/>
                        <w:right w:val="none" w:sz="0" w:space="0" w:color="auto"/>
                      </w:divBdr>
                    </w:div>
                  </w:divsChild>
                </w:div>
                <w:div w:id="263534524">
                  <w:marLeft w:val="0"/>
                  <w:marRight w:val="0"/>
                  <w:marTop w:val="0"/>
                  <w:marBottom w:val="0"/>
                  <w:divBdr>
                    <w:top w:val="none" w:sz="0" w:space="0" w:color="auto"/>
                    <w:left w:val="none" w:sz="0" w:space="0" w:color="auto"/>
                    <w:bottom w:val="none" w:sz="0" w:space="0" w:color="auto"/>
                    <w:right w:val="none" w:sz="0" w:space="0" w:color="auto"/>
                  </w:divBdr>
                  <w:divsChild>
                    <w:div w:id="510607982">
                      <w:marLeft w:val="0"/>
                      <w:marRight w:val="0"/>
                      <w:marTop w:val="0"/>
                      <w:marBottom w:val="0"/>
                      <w:divBdr>
                        <w:top w:val="none" w:sz="0" w:space="0" w:color="auto"/>
                        <w:left w:val="none" w:sz="0" w:space="0" w:color="auto"/>
                        <w:bottom w:val="none" w:sz="0" w:space="0" w:color="auto"/>
                        <w:right w:val="none" w:sz="0" w:space="0" w:color="auto"/>
                      </w:divBdr>
                    </w:div>
                  </w:divsChild>
                </w:div>
                <w:div w:id="275018273">
                  <w:marLeft w:val="0"/>
                  <w:marRight w:val="0"/>
                  <w:marTop w:val="0"/>
                  <w:marBottom w:val="0"/>
                  <w:divBdr>
                    <w:top w:val="none" w:sz="0" w:space="0" w:color="auto"/>
                    <w:left w:val="none" w:sz="0" w:space="0" w:color="auto"/>
                    <w:bottom w:val="none" w:sz="0" w:space="0" w:color="auto"/>
                    <w:right w:val="none" w:sz="0" w:space="0" w:color="auto"/>
                  </w:divBdr>
                  <w:divsChild>
                    <w:div w:id="2074309454">
                      <w:marLeft w:val="0"/>
                      <w:marRight w:val="0"/>
                      <w:marTop w:val="0"/>
                      <w:marBottom w:val="0"/>
                      <w:divBdr>
                        <w:top w:val="none" w:sz="0" w:space="0" w:color="auto"/>
                        <w:left w:val="none" w:sz="0" w:space="0" w:color="auto"/>
                        <w:bottom w:val="none" w:sz="0" w:space="0" w:color="auto"/>
                        <w:right w:val="none" w:sz="0" w:space="0" w:color="auto"/>
                      </w:divBdr>
                    </w:div>
                  </w:divsChild>
                </w:div>
                <w:div w:id="316957304">
                  <w:marLeft w:val="0"/>
                  <w:marRight w:val="0"/>
                  <w:marTop w:val="0"/>
                  <w:marBottom w:val="0"/>
                  <w:divBdr>
                    <w:top w:val="none" w:sz="0" w:space="0" w:color="auto"/>
                    <w:left w:val="none" w:sz="0" w:space="0" w:color="auto"/>
                    <w:bottom w:val="none" w:sz="0" w:space="0" w:color="auto"/>
                    <w:right w:val="none" w:sz="0" w:space="0" w:color="auto"/>
                  </w:divBdr>
                  <w:divsChild>
                    <w:div w:id="1086418602">
                      <w:marLeft w:val="0"/>
                      <w:marRight w:val="0"/>
                      <w:marTop w:val="0"/>
                      <w:marBottom w:val="0"/>
                      <w:divBdr>
                        <w:top w:val="none" w:sz="0" w:space="0" w:color="auto"/>
                        <w:left w:val="none" w:sz="0" w:space="0" w:color="auto"/>
                        <w:bottom w:val="none" w:sz="0" w:space="0" w:color="auto"/>
                        <w:right w:val="none" w:sz="0" w:space="0" w:color="auto"/>
                      </w:divBdr>
                    </w:div>
                  </w:divsChild>
                </w:div>
                <w:div w:id="319967053">
                  <w:marLeft w:val="0"/>
                  <w:marRight w:val="0"/>
                  <w:marTop w:val="0"/>
                  <w:marBottom w:val="0"/>
                  <w:divBdr>
                    <w:top w:val="none" w:sz="0" w:space="0" w:color="auto"/>
                    <w:left w:val="none" w:sz="0" w:space="0" w:color="auto"/>
                    <w:bottom w:val="none" w:sz="0" w:space="0" w:color="auto"/>
                    <w:right w:val="none" w:sz="0" w:space="0" w:color="auto"/>
                  </w:divBdr>
                  <w:divsChild>
                    <w:div w:id="602542805">
                      <w:marLeft w:val="0"/>
                      <w:marRight w:val="0"/>
                      <w:marTop w:val="0"/>
                      <w:marBottom w:val="0"/>
                      <w:divBdr>
                        <w:top w:val="none" w:sz="0" w:space="0" w:color="auto"/>
                        <w:left w:val="none" w:sz="0" w:space="0" w:color="auto"/>
                        <w:bottom w:val="none" w:sz="0" w:space="0" w:color="auto"/>
                        <w:right w:val="none" w:sz="0" w:space="0" w:color="auto"/>
                      </w:divBdr>
                    </w:div>
                  </w:divsChild>
                </w:div>
                <w:div w:id="320431537">
                  <w:marLeft w:val="0"/>
                  <w:marRight w:val="0"/>
                  <w:marTop w:val="0"/>
                  <w:marBottom w:val="0"/>
                  <w:divBdr>
                    <w:top w:val="none" w:sz="0" w:space="0" w:color="auto"/>
                    <w:left w:val="none" w:sz="0" w:space="0" w:color="auto"/>
                    <w:bottom w:val="none" w:sz="0" w:space="0" w:color="auto"/>
                    <w:right w:val="none" w:sz="0" w:space="0" w:color="auto"/>
                  </w:divBdr>
                  <w:divsChild>
                    <w:div w:id="1830632940">
                      <w:marLeft w:val="0"/>
                      <w:marRight w:val="0"/>
                      <w:marTop w:val="0"/>
                      <w:marBottom w:val="0"/>
                      <w:divBdr>
                        <w:top w:val="none" w:sz="0" w:space="0" w:color="auto"/>
                        <w:left w:val="none" w:sz="0" w:space="0" w:color="auto"/>
                        <w:bottom w:val="none" w:sz="0" w:space="0" w:color="auto"/>
                        <w:right w:val="none" w:sz="0" w:space="0" w:color="auto"/>
                      </w:divBdr>
                    </w:div>
                  </w:divsChild>
                </w:div>
                <w:div w:id="325133182">
                  <w:marLeft w:val="0"/>
                  <w:marRight w:val="0"/>
                  <w:marTop w:val="0"/>
                  <w:marBottom w:val="0"/>
                  <w:divBdr>
                    <w:top w:val="none" w:sz="0" w:space="0" w:color="auto"/>
                    <w:left w:val="none" w:sz="0" w:space="0" w:color="auto"/>
                    <w:bottom w:val="none" w:sz="0" w:space="0" w:color="auto"/>
                    <w:right w:val="none" w:sz="0" w:space="0" w:color="auto"/>
                  </w:divBdr>
                  <w:divsChild>
                    <w:div w:id="2047289150">
                      <w:marLeft w:val="0"/>
                      <w:marRight w:val="0"/>
                      <w:marTop w:val="0"/>
                      <w:marBottom w:val="0"/>
                      <w:divBdr>
                        <w:top w:val="none" w:sz="0" w:space="0" w:color="auto"/>
                        <w:left w:val="none" w:sz="0" w:space="0" w:color="auto"/>
                        <w:bottom w:val="none" w:sz="0" w:space="0" w:color="auto"/>
                        <w:right w:val="none" w:sz="0" w:space="0" w:color="auto"/>
                      </w:divBdr>
                    </w:div>
                  </w:divsChild>
                </w:div>
                <w:div w:id="329018366">
                  <w:marLeft w:val="0"/>
                  <w:marRight w:val="0"/>
                  <w:marTop w:val="0"/>
                  <w:marBottom w:val="0"/>
                  <w:divBdr>
                    <w:top w:val="none" w:sz="0" w:space="0" w:color="auto"/>
                    <w:left w:val="none" w:sz="0" w:space="0" w:color="auto"/>
                    <w:bottom w:val="none" w:sz="0" w:space="0" w:color="auto"/>
                    <w:right w:val="none" w:sz="0" w:space="0" w:color="auto"/>
                  </w:divBdr>
                  <w:divsChild>
                    <w:div w:id="1036344754">
                      <w:marLeft w:val="0"/>
                      <w:marRight w:val="0"/>
                      <w:marTop w:val="0"/>
                      <w:marBottom w:val="0"/>
                      <w:divBdr>
                        <w:top w:val="none" w:sz="0" w:space="0" w:color="auto"/>
                        <w:left w:val="none" w:sz="0" w:space="0" w:color="auto"/>
                        <w:bottom w:val="none" w:sz="0" w:space="0" w:color="auto"/>
                        <w:right w:val="none" w:sz="0" w:space="0" w:color="auto"/>
                      </w:divBdr>
                    </w:div>
                  </w:divsChild>
                </w:div>
                <w:div w:id="335960379">
                  <w:marLeft w:val="0"/>
                  <w:marRight w:val="0"/>
                  <w:marTop w:val="0"/>
                  <w:marBottom w:val="0"/>
                  <w:divBdr>
                    <w:top w:val="none" w:sz="0" w:space="0" w:color="auto"/>
                    <w:left w:val="none" w:sz="0" w:space="0" w:color="auto"/>
                    <w:bottom w:val="none" w:sz="0" w:space="0" w:color="auto"/>
                    <w:right w:val="none" w:sz="0" w:space="0" w:color="auto"/>
                  </w:divBdr>
                  <w:divsChild>
                    <w:div w:id="1140927505">
                      <w:marLeft w:val="0"/>
                      <w:marRight w:val="0"/>
                      <w:marTop w:val="0"/>
                      <w:marBottom w:val="0"/>
                      <w:divBdr>
                        <w:top w:val="none" w:sz="0" w:space="0" w:color="auto"/>
                        <w:left w:val="none" w:sz="0" w:space="0" w:color="auto"/>
                        <w:bottom w:val="none" w:sz="0" w:space="0" w:color="auto"/>
                        <w:right w:val="none" w:sz="0" w:space="0" w:color="auto"/>
                      </w:divBdr>
                    </w:div>
                  </w:divsChild>
                </w:div>
                <w:div w:id="350568254">
                  <w:marLeft w:val="0"/>
                  <w:marRight w:val="0"/>
                  <w:marTop w:val="0"/>
                  <w:marBottom w:val="0"/>
                  <w:divBdr>
                    <w:top w:val="none" w:sz="0" w:space="0" w:color="auto"/>
                    <w:left w:val="none" w:sz="0" w:space="0" w:color="auto"/>
                    <w:bottom w:val="none" w:sz="0" w:space="0" w:color="auto"/>
                    <w:right w:val="none" w:sz="0" w:space="0" w:color="auto"/>
                  </w:divBdr>
                  <w:divsChild>
                    <w:div w:id="579756079">
                      <w:marLeft w:val="0"/>
                      <w:marRight w:val="0"/>
                      <w:marTop w:val="0"/>
                      <w:marBottom w:val="0"/>
                      <w:divBdr>
                        <w:top w:val="none" w:sz="0" w:space="0" w:color="auto"/>
                        <w:left w:val="none" w:sz="0" w:space="0" w:color="auto"/>
                        <w:bottom w:val="none" w:sz="0" w:space="0" w:color="auto"/>
                        <w:right w:val="none" w:sz="0" w:space="0" w:color="auto"/>
                      </w:divBdr>
                    </w:div>
                  </w:divsChild>
                </w:div>
                <w:div w:id="352341152">
                  <w:marLeft w:val="0"/>
                  <w:marRight w:val="0"/>
                  <w:marTop w:val="0"/>
                  <w:marBottom w:val="0"/>
                  <w:divBdr>
                    <w:top w:val="none" w:sz="0" w:space="0" w:color="auto"/>
                    <w:left w:val="none" w:sz="0" w:space="0" w:color="auto"/>
                    <w:bottom w:val="none" w:sz="0" w:space="0" w:color="auto"/>
                    <w:right w:val="none" w:sz="0" w:space="0" w:color="auto"/>
                  </w:divBdr>
                  <w:divsChild>
                    <w:div w:id="333386293">
                      <w:marLeft w:val="0"/>
                      <w:marRight w:val="0"/>
                      <w:marTop w:val="0"/>
                      <w:marBottom w:val="0"/>
                      <w:divBdr>
                        <w:top w:val="none" w:sz="0" w:space="0" w:color="auto"/>
                        <w:left w:val="none" w:sz="0" w:space="0" w:color="auto"/>
                        <w:bottom w:val="none" w:sz="0" w:space="0" w:color="auto"/>
                        <w:right w:val="none" w:sz="0" w:space="0" w:color="auto"/>
                      </w:divBdr>
                    </w:div>
                  </w:divsChild>
                </w:div>
                <w:div w:id="359859761">
                  <w:marLeft w:val="0"/>
                  <w:marRight w:val="0"/>
                  <w:marTop w:val="0"/>
                  <w:marBottom w:val="0"/>
                  <w:divBdr>
                    <w:top w:val="none" w:sz="0" w:space="0" w:color="auto"/>
                    <w:left w:val="none" w:sz="0" w:space="0" w:color="auto"/>
                    <w:bottom w:val="none" w:sz="0" w:space="0" w:color="auto"/>
                    <w:right w:val="none" w:sz="0" w:space="0" w:color="auto"/>
                  </w:divBdr>
                  <w:divsChild>
                    <w:div w:id="1832015665">
                      <w:marLeft w:val="0"/>
                      <w:marRight w:val="0"/>
                      <w:marTop w:val="0"/>
                      <w:marBottom w:val="0"/>
                      <w:divBdr>
                        <w:top w:val="none" w:sz="0" w:space="0" w:color="auto"/>
                        <w:left w:val="none" w:sz="0" w:space="0" w:color="auto"/>
                        <w:bottom w:val="none" w:sz="0" w:space="0" w:color="auto"/>
                        <w:right w:val="none" w:sz="0" w:space="0" w:color="auto"/>
                      </w:divBdr>
                    </w:div>
                  </w:divsChild>
                </w:div>
                <w:div w:id="371656829">
                  <w:marLeft w:val="0"/>
                  <w:marRight w:val="0"/>
                  <w:marTop w:val="0"/>
                  <w:marBottom w:val="0"/>
                  <w:divBdr>
                    <w:top w:val="none" w:sz="0" w:space="0" w:color="auto"/>
                    <w:left w:val="none" w:sz="0" w:space="0" w:color="auto"/>
                    <w:bottom w:val="none" w:sz="0" w:space="0" w:color="auto"/>
                    <w:right w:val="none" w:sz="0" w:space="0" w:color="auto"/>
                  </w:divBdr>
                  <w:divsChild>
                    <w:div w:id="1952588406">
                      <w:marLeft w:val="0"/>
                      <w:marRight w:val="0"/>
                      <w:marTop w:val="0"/>
                      <w:marBottom w:val="0"/>
                      <w:divBdr>
                        <w:top w:val="none" w:sz="0" w:space="0" w:color="auto"/>
                        <w:left w:val="none" w:sz="0" w:space="0" w:color="auto"/>
                        <w:bottom w:val="none" w:sz="0" w:space="0" w:color="auto"/>
                        <w:right w:val="none" w:sz="0" w:space="0" w:color="auto"/>
                      </w:divBdr>
                    </w:div>
                  </w:divsChild>
                </w:div>
                <w:div w:id="396901262">
                  <w:marLeft w:val="0"/>
                  <w:marRight w:val="0"/>
                  <w:marTop w:val="0"/>
                  <w:marBottom w:val="0"/>
                  <w:divBdr>
                    <w:top w:val="none" w:sz="0" w:space="0" w:color="auto"/>
                    <w:left w:val="none" w:sz="0" w:space="0" w:color="auto"/>
                    <w:bottom w:val="none" w:sz="0" w:space="0" w:color="auto"/>
                    <w:right w:val="none" w:sz="0" w:space="0" w:color="auto"/>
                  </w:divBdr>
                  <w:divsChild>
                    <w:div w:id="387847734">
                      <w:marLeft w:val="0"/>
                      <w:marRight w:val="0"/>
                      <w:marTop w:val="0"/>
                      <w:marBottom w:val="0"/>
                      <w:divBdr>
                        <w:top w:val="none" w:sz="0" w:space="0" w:color="auto"/>
                        <w:left w:val="none" w:sz="0" w:space="0" w:color="auto"/>
                        <w:bottom w:val="none" w:sz="0" w:space="0" w:color="auto"/>
                        <w:right w:val="none" w:sz="0" w:space="0" w:color="auto"/>
                      </w:divBdr>
                    </w:div>
                  </w:divsChild>
                </w:div>
                <w:div w:id="399058222">
                  <w:marLeft w:val="0"/>
                  <w:marRight w:val="0"/>
                  <w:marTop w:val="0"/>
                  <w:marBottom w:val="0"/>
                  <w:divBdr>
                    <w:top w:val="none" w:sz="0" w:space="0" w:color="auto"/>
                    <w:left w:val="none" w:sz="0" w:space="0" w:color="auto"/>
                    <w:bottom w:val="none" w:sz="0" w:space="0" w:color="auto"/>
                    <w:right w:val="none" w:sz="0" w:space="0" w:color="auto"/>
                  </w:divBdr>
                  <w:divsChild>
                    <w:div w:id="313876961">
                      <w:marLeft w:val="0"/>
                      <w:marRight w:val="0"/>
                      <w:marTop w:val="0"/>
                      <w:marBottom w:val="0"/>
                      <w:divBdr>
                        <w:top w:val="none" w:sz="0" w:space="0" w:color="auto"/>
                        <w:left w:val="none" w:sz="0" w:space="0" w:color="auto"/>
                        <w:bottom w:val="none" w:sz="0" w:space="0" w:color="auto"/>
                        <w:right w:val="none" w:sz="0" w:space="0" w:color="auto"/>
                      </w:divBdr>
                    </w:div>
                  </w:divsChild>
                </w:div>
                <w:div w:id="406998232">
                  <w:marLeft w:val="0"/>
                  <w:marRight w:val="0"/>
                  <w:marTop w:val="0"/>
                  <w:marBottom w:val="0"/>
                  <w:divBdr>
                    <w:top w:val="none" w:sz="0" w:space="0" w:color="auto"/>
                    <w:left w:val="none" w:sz="0" w:space="0" w:color="auto"/>
                    <w:bottom w:val="none" w:sz="0" w:space="0" w:color="auto"/>
                    <w:right w:val="none" w:sz="0" w:space="0" w:color="auto"/>
                  </w:divBdr>
                  <w:divsChild>
                    <w:div w:id="1453939902">
                      <w:marLeft w:val="0"/>
                      <w:marRight w:val="0"/>
                      <w:marTop w:val="0"/>
                      <w:marBottom w:val="0"/>
                      <w:divBdr>
                        <w:top w:val="none" w:sz="0" w:space="0" w:color="auto"/>
                        <w:left w:val="none" w:sz="0" w:space="0" w:color="auto"/>
                        <w:bottom w:val="none" w:sz="0" w:space="0" w:color="auto"/>
                        <w:right w:val="none" w:sz="0" w:space="0" w:color="auto"/>
                      </w:divBdr>
                    </w:div>
                  </w:divsChild>
                </w:div>
                <w:div w:id="421608017">
                  <w:marLeft w:val="0"/>
                  <w:marRight w:val="0"/>
                  <w:marTop w:val="0"/>
                  <w:marBottom w:val="0"/>
                  <w:divBdr>
                    <w:top w:val="none" w:sz="0" w:space="0" w:color="auto"/>
                    <w:left w:val="none" w:sz="0" w:space="0" w:color="auto"/>
                    <w:bottom w:val="none" w:sz="0" w:space="0" w:color="auto"/>
                    <w:right w:val="none" w:sz="0" w:space="0" w:color="auto"/>
                  </w:divBdr>
                  <w:divsChild>
                    <w:div w:id="292565827">
                      <w:marLeft w:val="0"/>
                      <w:marRight w:val="0"/>
                      <w:marTop w:val="0"/>
                      <w:marBottom w:val="0"/>
                      <w:divBdr>
                        <w:top w:val="none" w:sz="0" w:space="0" w:color="auto"/>
                        <w:left w:val="none" w:sz="0" w:space="0" w:color="auto"/>
                        <w:bottom w:val="none" w:sz="0" w:space="0" w:color="auto"/>
                        <w:right w:val="none" w:sz="0" w:space="0" w:color="auto"/>
                      </w:divBdr>
                    </w:div>
                  </w:divsChild>
                </w:div>
                <w:div w:id="459301311">
                  <w:marLeft w:val="0"/>
                  <w:marRight w:val="0"/>
                  <w:marTop w:val="0"/>
                  <w:marBottom w:val="0"/>
                  <w:divBdr>
                    <w:top w:val="none" w:sz="0" w:space="0" w:color="auto"/>
                    <w:left w:val="none" w:sz="0" w:space="0" w:color="auto"/>
                    <w:bottom w:val="none" w:sz="0" w:space="0" w:color="auto"/>
                    <w:right w:val="none" w:sz="0" w:space="0" w:color="auto"/>
                  </w:divBdr>
                  <w:divsChild>
                    <w:div w:id="71319120">
                      <w:marLeft w:val="0"/>
                      <w:marRight w:val="0"/>
                      <w:marTop w:val="0"/>
                      <w:marBottom w:val="0"/>
                      <w:divBdr>
                        <w:top w:val="none" w:sz="0" w:space="0" w:color="auto"/>
                        <w:left w:val="none" w:sz="0" w:space="0" w:color="auto"/>
                        <w:bottom w:val="none" w:sz="0" w:space="0" w:color="auto"/>
                        <w:right w:val="none" w:sz="0" w:space="0" w:color="auto"/>
                      </w:divBdr>
                    </w:div>
                  </w:divsChild>
                </w:div>
                <w:div w:id="465047902">
                  <w:marLeft w:val="0"/>
                  <w:marRight w:val="0"/>
                  <w:marTop w:val="0"/>
                  <w:marBottom w:val="0"/>
                  <w:divBdr>
                    <w:top w:val="none" w:sz="0" w:space="0" w:color="auto"/>
                    <w:left w:val="none" w:sz="0" w:space="0" w:color="auto"/>
                    <w:bottom w:val="none" w:sz="0" w:space="0" w:color="auto"/>
                    <w:right w:val="none" w:sz="0" w:space="0" w:color="auto"/>
                  </w:divBdr>
                  <w:divsChild>
                    <w:div w:id="618611844">
                      <w:marLeft w:val="0"/>
                      <w:marRight w:val="0"/>
                      <w:marTop w:val="0"/>
                      <w:marBottom w:val="0"/>
                      <w:divBdr>
                        <w:top w:val="none" w:sz="0" w:space="0" w:color="auto"/>
                        <w:left w:val="none" w:sz="0" w:space="0" w:color="auto"/>
                        <w:bottom w:val="none" w:sz="0" w:space="0" w:color="auto"/>
                        <w:right w:val="none" w:sz="0" w:space="0" w:color="auto"/>
                      </w:divBdr>
                    </w:div>
                  </w:divsChild>
                </w:div>
                <w:div w:id="467748238">
                  <w:marLeft w:val="0"/>
                  <w:marRight w:val="0"/>
                  <w:marTop w:val="0"/>
                  <w:marBottom w:val="0"/>
                  <w:divBdr>
                    <w:top w:val="none" w:sz="0" w:space="0" w:color="auto"/>
                    <w:left w:val="none" w:sz="0" w:space="0" w:color="auto"/>
                    <w:bottom w:val="none" w:sz="0" w:space="0" w:color="auto"/>
                    <w:right w:val="none" w:sz="0" w:space="0" w:color="auto"/>
                  </w:divBdr>
                  <w:divsChild>
                    <w:div w:id="1219826410">
                      <w:marLeft w:val="0"/>
                      <w:marRight w:val="0"/>
                      <w:marTop w:val="0"/>
                      <w:marBottom w:val="0"/>
                      <w:divBdr>
                        <w:top w:val="none" w:sz="0" w:space="0" w:color="auto"/>
                        <w:left w:val="none" w:sz="0" w:space="0" w:color="auto"/>
                        <w:bottom w:val="none" w:sz="0" w:space="0" w:color="auto"/>
                        <w:right w:val="none" w:sz="0" w:space="0" w:color="auto"/>
                      </w:divBdr>
                    </w:div>
                  </w:divsChild>
                </w:div>
                <w:div w:id="469443678">
                  <w:marLeft w:val="0"/>
                  <w:marRight w:val="0"/>
                  <w:marTop w:val="0"/>
                  <w:marBottom w:val="0"/>
                  <w:divBdr>
                    <w:top w:val="none" w:sz="0" w:space="0" w:color="auto"/>
                    <w:left w:val="none" w:sz="0" w:space="0" w:color="auto"/>
                    <w:bottom w:val="none" w:sz="0" w:space="0" w:color="auto"/>
                    <w:right w:val="none" w:sz="0" w:space="0" w:color="auto"/>
                  </w:divBdr>
                  <w:divsChild>
                    <w:div w:id="1491673441">
                      <w:marLeft w:val="0"/>
                      <w:marRight w:val="0"/>
                      <w:marTop w:val="0"/>
                      <w:marBottom w:val="0"/>
                      <w:divBdr>
                        <w:top w:val="none" w:sz="0" w:space="0" w:color="auto"/>
                        <w:left w:val="none" w:sz="0" w:space="0" w:color="auto"/>
                        <w:bottom w:val="none" w:sz="0" w:space="0" w:color="auto"/>
                        <w:right w:val="none" w:sz="0" w:space="0" w:color="auto"/>
                      </w:divBdr>
                    </w:div>
                  </w:divsChild>
                </w:div>
                <w:div w:id="473524687">
                  <w:marLeft w:val="0"/>
                  <w:marRight w:val="0"/>
                  <w:marTop w:val="0"/>
                  <w:marBottom w:val="0"/>
                  <w:divBdr>
                    <w:top w:val="none" w:sz="0" w:space="0" w:color="auto"/>
                    <w:left w:val="none" w:sz="0" w:space="0" w:color="auto"/>
                    <w:bottom w:val="none" w:sz="0" w:space="0" w:color="auto"/>
                    <w:right w:val="none" w:sz="0" w:space="0" w:color="auto"/>
                  </w:divBdr>
                  <w:divsChild>
                    <w:div w:id="1902406374">
                      <w:marLeft w:val="0"/>
                      <w:marRight w:val="0"/>
                      <w:marTop w:val="0"/>
                      <w:marBottom w:val="0"/>
                      <w:divBdr>
                        <w:top w:val="none" w:sz="0" w:space="0" w:color="auto"/>
                        <w:left w:val="none" w:sz="0" w:space="0" w:color="auto"/>
                        <w:bottom w:val="none" w:sz="0" w:space="0" w:color="auto"/>
                        <w:right w:val="none" w:sz="0" w:space="0" w:color="auto"/>
                      </w:divBdr>
                    </w:div>
                  </w:divsChild>
                </w:div>
                <w:div w:id="477263296">
                  <w:marLeft w:val="0"/>
                  <w:marRight w:val="0"/>
                  <w:marTop w:val="0"/>
                  <w:marBottom w:val="0"/>
                  <w:divBdr>
                    <w:top w:val="none" w:sz="0" w:space="0" w:color="auto"/>
                    <w:left w:val="none" w:sz="0" w:space="0" w:color="auto"/>
                    <w:bottom w:val="none" w:sz="0" w:space="0" w:color="auto"/>
                    <w:right w:val="none" w:sz="0" w:space="0" w:color="auto"/>
                  </w:divBdr>
                  <w:divsChild>
                    <w:div w:id="515576947">
                      <w:marLeft w:val="0"/>
                      <w:marRight w:val="0"/>
                      <w:marTop w:val="0"/>
                      <w:marBottom w:val="0"/>
                      <w:divBdr>
                        <w:top w:val="none" w:sz="0" w:space="0" w:color="auto"/>
                        <w:left w:val="none" w:sz="0" w:space="0" w:color="auto"/>
                        <w:bottom w:val="none" w:sz="0" w:space="0" w:color="auto"/>
                        <w:right w:val="none" w:sz="0" w:space="0" w:color="auto"/>
                      </w:divBdr>
                    </w:div>
                  </w:divsChild>
                </w:div>
                <w:div w:id="501894314">
                  <w:marLeft w:val="0"/>
                  <w:marRight w:val="0"/>
                  <w:marTop w:val="0"/>
                  <w:marBottom w:val="0"/>
                  <w:divBdr>
                    <w:top w:val="none" w:sz="0" w:space="0" w:color="auto"/>
                    <w:left w:val="none" w:sz="0" w:space="0" w:color="auto"/>
                    <w:bottom w:val="none" w:sz="0" w:space="0" w:color="auto"/>
                    <w:right w:val="none" w:sz="0" w:space="0" w:color="auto"/>
                  </w:divBdr>
                  <w:divsChild>
                    <w:div w:id="618032300">
                      <w:marLeft w:val="0"/>
                      <w:marRight w:val="0"/>
                      <w:marTop w:val="0"/>
                      <w:marBottom w:val="0"/>
                      <w:divBdr>
                        <w:top w:val="none" w:sz="0" w:space="0" w:color="auto"/>
                        <w:left w:val="none" w:sz="0" w:space="0" w:color="auto"/>
                        <w:bottom w:val="none" w:sz="0" w:space="0" w:color="auto"/>
                        <w:right w:val="none" w:sz="0" w:space="0" w:color="auto"/>
                      </w:divBdr>
                    </w:div>
                  </w:divsChild>
                </w:div>
                <w:div w:id="511844268">
                  <w:marLeft w:val="0"/>
                  <w:marRight w:val="0"/>
                  <w:marTop w:val="0"/>
                  <w:marBottom w:val="0"/>
                  <w:divBdr>
                    <w:top w:val="none" w:sz="0" w:space="0" w:color="auto"/>
                    <w:left w:val="none" w:sz="0" w:space="0" w:color="auto"/>
                    <w:bottom w:val="none" w:sz="0" w:space="0" w:color="auto"/>
                    <w:right w:val="none" w:sz="0" w:space="0" w:color="auto"/>
                  </w:divBdr>
                  <w:divsChild>
                    <w:div w:id="1808551896">
                      <w:marLeft w:val="0"/>
                      <w:marRight w:val="0"/>
                      <w:marTop w:val="0"/>
                      <w:marBottom w:val="0"/>
                      <w:divBdr>
                        <w:top w:val="none" w:sz="0" w:space="0" w:color="auto"/>
                        <w:left w:val="none" w:sz="0" w:space="0" w:color="auto"/>
                        <w:bottom w:val="none" w:sz="0" w:space="0" w:color="auto"/>
                        <w:right w:val="none" w:sz="0" w:space="0" w:color="auto"/>
                      </w:divBdr>
                    </w:div>
                  </w:divsChild>
                </w:div>
                <w:div w:id="533425957">
                  <w:marLeft w:val="0"/>
                  <w:marRight w:val="0"/>
                  <w:marTop w:val="0"/>
                  <w:marBottom w:val="0"/>
                  <w:divBdr>
                    <w:top w:val="none" w:sz="0" w:space="0" w:color="auto"/>
                    <w:left w:val="none" w:sz="0" w:space="0" w:color="auto"/>
                    <w:bottom w:val="none" w:sz="0" w:space="0" w:color="auto"/>
                    <w:right w:val="none" w:sz="0" w:space="0" w:color="auto"/>
                  </w:divBdr>
                  <w:divsChild>
                    <w:div w:id="1778714211">
                      <w:marLeft w:val="0"/>
                      <w:marRight w:val="0"/>
                      <w:marTop w:val="0"/>
                      <w:marBottom w:val="0"/>
                      <w:divBdr>
                        <w:top w:val="none" w:sz="0" w:space="0" w:color="auto"/>
                        <w:left w:val="none" w:sz="0" w:space="0" w:color="auto"/>
                        <w:bottom w:val="none" w:sz="0" w:space="0" w:color="auto"/>
                        <w:right w:val="none" w:sz="0" w:space="0" w:color="auto"/>
                      </w:divBdr>
                    </w:div>
                  </w:divsChild>
                </w:div>
                <w:div w:id="558057639">
                  <w:marLeft w:val="0"/>
                  <w:marRight w:val="0"/>
                  <w:marTop w:val="0"/>
                  <w:marBottom w:val="0"/>
                  <w:divBdr>
                    <w:top w:val="none" w:sz="0" w:space="0" w:color="auto"/>
                    <w:left w:val="none" w:sz="0" w:space="0" w:color="auto"/>
                    <w:bottom w:val="none" w:sz="0" w:space="0" w:color="auto"/>
                    <w:right w:val="none" w:sz="0" w:space="0" w:color="auto"/>
                  </w:divBdr>
                  <w:divsChild>
                    <w:div w:id="1192257858">
                      <w:marLeft w:val="0"/>
                      <w:marRight w:val="0"/>
                      <w:marTop w:val="0"/>
                      <w:marBottom w:val="0"/>
                      <w:divBdr>
                        <w:top w:val="none" w:sz="0" w:space="0" w:color="auto"/>
                        <w:left w:val="none" w:sz="0" w:space="0" w:color="auto"/>
                        <w:bottom w:val="none" w:sz="0" w:space="0" w:color="auto"/>
                        <w:right w:val="none" w:sz="0" w:space="0" w:color="auto"/>
                      </w:divBdr>
                    </w:div>
                  </w:divsChild>
                </w:div>
                <w:div w:id="564099773">
                  <w:marLeft w:val="0"/>
                  <w:marRight w:val="0"/>
                  <w:marTop w:val="0"/>
                  <w:marBottom w:val="0"/>
                  <w:divBdr>
                    <w:top w:val="none" w:sz="0" w:space="0" w:color="auto"/>
                    <w:left w:val="none" w:sz="0" w:space="0" w:color="auto"/>
                    <w:bottom w:val="none" w:sz="0" w:space="0" w:color="auto"/>
                    <w:right w:val="none" w:sz="0" w:space="0" w:color="auto"/>
                  </w:divBdr>
                  <w:divsChild>
                    <w:div w:id="999501371">
                      <w:marLeft w:val="0"/>
                      <w:marRight w:val="0"/>
                      <w:marTop w:val="0"/>
                      <w:marBottom w:val="0"/>
                      <w:divBdr>
                        <w:top w:val="none" w:sz="0" w:space="0" w:color="auto"/>
                        <w:left w:val="none" w:sz="0" w:space="0" w:color="auto"/>
                        <w:bottom w:val="none" w:sz="0" w:space="0" w:color="auto"/>
                        <w:right w:val="none" w:sz="0" w:space="0" w:color="auto"/>
                      </w:divBdr>
                    </w:div>
                  </w:divsChild>
                </w:div>
                <w:div w:id="574632519">
                  <w:marLeft w:val="0"/>
                  <w:marRight w:val="0"/>
                  <w:marTop w:val="0"/>
                  <w:marBottom w:val="0"/>
                  <w:divBdr>
                    <w:top w:val="none" w:sz="0" w:space="0" w:color="auto"/>
                    <w:left w:val="none" w:sz="0" w:space="0" w:color="auto"/>
                    <w:bottom w:val="none" w:sz="0" w:space="0" w:color="auto"/>
                    <w:right w:val="none" w:sz="0" w:space="0" w:color="auto"/>
                  </w:divBdr>
                  <w:divsChild>
                    <w:div w:id="1936279361">
                      <w:marLeft w:val="0"/>
                      <w:marRight w:val="0"/>
                      <w:marTop w:val="0"/>
                      <w:marBottom w:val="0"/>
                      <w:divBdr>
                        <w:top w:val="none" w:sz="0" w:space="0" w:color="auto"/>
                        <w:left w:val="none" w:sz="0" w:space="0" w:color="auto"/>
                        <w:bottom w:val="none" w:sz="0" w:space="0" w:color="auto"/>
                        <w:right w:val="none" w:sz="0" w:space="0" w:color="auto"/>
                      </w:divBdr>
                    </w:div>
                  </w:divsChild>
                </w:div>
                <w:div w:id="576742145">
                  <w:marLeft w:val="0"/>
                  <w:marRight w:val="0"/>
                  <w:marTop w:val="0"/>
                  <w:marBottom w:val="0"/>
                  <w:divBdr>
                    <w:top w:val="none" w:sz="0" w:space="0" w:color="auto"/>
                    <w:left w:val="none" w:sz="0" w:space="0" w:color="auto"/>
                    <w:bottom w:val="none" w:sz="0" w:space="0" w:color="auto"/>
                    <w:right w:val="none" w:sz="0" w:space="0" w:color="auto"/>
                  </w:divBdr>
                  <w:divsChild>
                    <w:div w:id="1388184347">
                      <w:marLeft w:val="0"/>
                      <w:marRight w:val="0"/>
                      <w:marTop w:val="0"/>
                      <w:marBottom w:val="0"/>
                      <w:divBdr>
                        <w:top w:val="none" w:sz="0" w:space="0" w:color="auto"/>
                        <w:left w:val="none" w:sz="0" w:space="0" w:color="auto"/>
                        <w:bottom w:val="none" w:sz="0" w:space="0" w:color="auto"/>
                        <w:right w:val="none" w:sz="0" w:space="0" w:color="auto"/>
                      </w:divBdr>
                    </w:div>
                  </w:divsChild>
                </w:div>
                <w:div w:id="605388794">
                  <w:marLeft w:val="0"/>
                  <w:marRight w:val="0"/>
                  <w:marTop w:val="0"/>
                  <w:marBottom w:val="0"/>
                  <w:divBdr>
                    <w:top w:val="none" w:sz="0" w:space="0" w:color="auto"/>
                    <w:left w:val="none" w:sz="0" w:space="0" w:color="auto"/>
                    <w:bottom w:val="none" w:sz="0" w:space="0" w:color="auto"/>
                    <w:right w:val="none" w:sz="0" w:space="0" w:color="auto"/>
                  </w:divBdr>
                  <w:divsChild>
                    <w:div w:id="67189038">
                      <w:marLeft w:val="0"/>
                      <w:marRight w:val="0"/>
                      <w:marTop w:val="0"/>
                      <w:marBottom w:val="0"/>
                      <w:divBdr>
                        <w:top w:val="none" w:sz="0" w:space="0" w:color="auto"/>
                        <w:left w:val="none" w:sz="0" w:space="0" w:color="auto"/>
                        <w:bottom w:val="none" w:sz="0" w:space="0" w:color="auto"/>
                        <w:right w:val="none" w:sz="0" w:space="0" w:color="auto"/>
                      </w:divBdr>
                    </w:div>
                  </w:divsChild>
                </w:div>
                <w:div w:id="616915764">
                  <w:marLeft w:val="0"/>
                  <w:marRight w:val="0"/>
                  <w:marTop w:val="0"/>
                  <w:marBottom w:val="0"/>
                  <w:divBdr>
                    <w:top w:val="none" w:sz="0" w:space="0" w:color="auto"/>
                    <w:left w:val="none" w:sz="0" w:space="0" w:color="auto"/>
                    <w:bottom w:val="none" w:sz="0" w:space="0" w:color="auto"/>
                    <w:right w:val="none" w:sz="0" w:space="0" w:color="auto"/>
                  </w:divBdr>
                  <w:divsChild>
                    <w:div w:id="159929568">
                      <w:marLeft w:val="0"/>
                      <w:marRight w:val="0"/>
                      <w:marTop w:val="0"/>
                      <w:marBottom w:val="0"/>
                      <w:divBdr>
                        <w:top w:val="none" w:sz="0" w:space="0" w:color="auto"/>
                        <w:left w:val="none" w:sz="0" w:space="0" w:color="auto"/>
                        <w:bottom w:val="none" w:sz="0" w:space="0" w:color="auto"/>
                        <w:right w:val="none" w:sz="0" w:space="0" w:color="auto"/>
                      </w:divBdr>
                    </w:div>
                  </w:divsChild>
                </w:div>
                <w:div w:id="639963225">
                  <w:marLeft w:val="0"/>
                  <w:marRight w:val="0"/>
                  <w:marTop w:val="0"/>
                  <w:marBottom w:val="0"/>
                  <w:divBdr>
                    <w:top w:val="none" w:sz="0" w:space="0" w:color="auto"/>
                    <w:left w:val="none" w:sz="0" w:space="0" w:color="auto"/>
                    <w:bottom w:val="none" w:sz="0" w:space="0" w:color="auto"/>
                    <w:right w:val="none" w:sz="0" w:space="0" w:color="auto"/>
                  </w:divBdr>
                  <w:divsChild>
                    <w:div w:id="1400326644">
                      <w:marLeft w:val="0"/>
                      <w:marRight w:val="0"/>
                      <w:marTop w:val="0"/>
                      <w:marBottom w:val="0"/>
                      <w:divBdr>
                        <w:top w:val="none" w:sz="0" w:space="0" w:color="auto"/>
                        <w:left w:val="none" w:sz="0" w:space="0" w:color="auto"/>
                        <w:bottom w:val="none" w:sz="0" w:space="0" w:color="auto"/>
                        <w:right w:val="none" w:sz="0" w:space="0" w:color="auto"/>
                      </w:divBdr>
                    </w:div>
                  </w:divsChild>
                </w:div>
                <w:div w:id="642731986">
                  <w:marLeft w:val="0"/>
                  <w:marRight w:val="0"/>
                  <w:marTop w:val="0"/>
                  <w:marBottom w:val="0"/>
                  <w:divBdr>
                    <w:top w:val="none" w:sz="0" w:space="0" w:color="auto"/>
                    <w:left w:val="none" w:sz="0" w:space="0" w:color="auto"/>
                    <w:bottom w:val="none" w:sz="0" w:space="0" w:color="auto"/>
                    <w:right w:val="none" w:sz="0" w:space="0" w:color="auto"/>
                  </w:divBdr>
                  <w:divsChild>
                    <w:div w:id="322129713">
                      <w:marLeft w:val="0"/>
                      <w:marRight w:val="0"/>
                      <w:marTop w:val="0"/>
                      <w:marBottom w:val="0"/>
                      <w:divBdr>
                        <w:top w:val="none" w:sz="0" w:space="0" w:color="auto"/>
                        <w:left w:val="none" w:sz="0" w:space="0" w:color="auto"/>
                        <w:bottom w:val="none" w:sz="0" w:space="0" w:color="auto"/>
                        <w:right w:val="none" w:sz="0" w:space="0" w:color="auto"/>
                      </w:divBdr>
                    </w:div>
                  </w:divsChild>
                </w:div>
                <w:div w:id="649600393">
                  <w:marLeft w:val="0"/>
                  <w:marRight w:val="0"/>
                  <w:marTop w:val="0"/>
                  <w:marBottom w:val="0"/>
                  <w:divBdr>
                    <w:top w:val="none" w:sz="0" w:space="0" w:color="auto"/>
                    <w:left w:val="none" w:sz="0" w:space="0" w:color="auto"/>
                    <w:bottom w:val="none" w:sz="0" w:space="0" w:color="auto"/>
                    <w:right w:val="none" w:sz="0" w:space="0" w:color="auto"/>
                  </w:divBdr>
                  <w:divsChild>
                    <w:div w:id="1519387562">
                      <w:marLeft w:val="0"/>
                      <w:marRight w:val="0"/>
                      <w:marTop w:val="0"/>
                      <w:marBottom w:val="0"/>
                      <w:divBdr>
                        <w:top w:val="none" w:sz="0" w:space="0" w:color="auto"/>
                        <w:left w:val="none" w:sz="0" w:space="0" w:color="auto"/>
                        <w:bottom w:val="none" w:sz="0" w:space="0" w:color="auto"/>
                        <w:right w:val="none" w:sz="0" w:space="0" w:color="auto"/>
                      </w:divBdr>
                    </w:div>
                  </w:divsChild>
                </w:div>
                <w:div w:id="653069371">
                  <w:marLeft w:val="0"/>
                  <w:marRight w:val="0"/>
                  <w:marTop w:val="0"/>
                  <w:marBottom w:val="0"/>
                  <w:divBdr>
                    <w:top w:val="none" w:sz="0" w:space="0" w:color="auto"/>
                    <w:left w:val="none" w:sz="0" w:space="0" w:color="auto"/>
                    <w:bottom w:val="none" w:sz="0" w:space="0" w:color="auto"/>
                    <w:right w:val="none" w:sz="0" w:space="0" w:color="auto"/>
                  </w:divBdr>
                  <w:divsChild>
                    <w:div w:id="913121643">
                      <w:marLeft w:val="0"/>
                      <w:marRight w:val="0"/>
                      <w:marTop w:val="0"/>
                      <w:marBottom w:val="0"/>
                      <w:divBdr>
                        <w:top w:val="none" w:sz="0" w:space="0" w:color="auto"/>
                        <w:left w:val="none" w:sz="0" w:space="0" w:color="auto"/>
                        <w:bottom w:val="none" w:sz="0" w:space="0" w:color="auto"/>
                        <w:right w:val="none" w:sz="0" w:space="0" w:color="auto"/>
                      </w:divBdr>
                    </w:div>
                  </w:divsChild>
                </w:div>
                <w:div w:id="653416421">
                  <w:marLeft w:val="0"/>
                  <w:marRight w:val="0"/>
                  <w:marTop w:val="0"/>
                  <w:marBottom w:val="0"/>
                  <w:divBdr>
                    <w:top w:val="none" w:sz="0" w:space="0" w:color="auto"/>
                    <w:left w:val="none" w:sz="0" w:space="0" w:color="auto"/>
                    <w:bottom w:val="none" w:sz="0" w:space="0" w:color="auto"/>
                    <w:right w:val="none" w:sz="0" w:space="0" w:color="auto"/>
                  </w:divBdr>
                  <w:divsChild>
                    <w:div w:id="969553194">
                      <w:marLeft w:val="0"/>
                      <w:marRight w:val="0"/>
                      <w:marTop w:val="0"/>
                      <w:marBottom w:val="0"/>
                      <w:divBdr>
                        <w:top w:val="none" w:sz="0" w:space="0" w:color="auto"/>
                        <w:left w:val="none" w:sz="0" w:space="0" w:color="auto"/>
                        <w:bottom w:val="none" w:sz="0" w:space="0" w:color="auto"/>
                        <w:right w:val="none" w:sz="0" w:space="0" w:color="auto"/>
                      </w:divBdr>
                    </w:div>
                  </w:divsChild>
                </w:div>
                <w:div w:id="684748909">
                  <w:marLeft w:val="0"/>
                  <w:marRight w:val="0"/>
                  <w:marTop w:val="0"/>
                  <w:marBottom w:val="0"/>
                  <w:divBdr>
                    <w:top w:val="none" w:sz="0" w:space="0" w:color="auto"/>
                    <w:left w:val="none" w:sz="0" w:space="0" w:color="auto"/>
                    <w:bottom w:val="none" w:sz="0" w:space="0" w:color="auto"/>
                    <w:right w:val="none" w:sz="0" w:space="0" w:color="auto"/>
                  </w:divBdr>
                  <w:divsChild>
                    <w:div w:id="1249657141">
                      <w:marLeft w:val="0"/>
                      <w:marRight w:val="0"/>
                      <w:marTop w:val="0"/>
                      <w:marBottom w:val="0"/>
                      <w:divBdr>
                        <w:top w:val="none" w:sz="0" w:space="0" w:color="auto"/>
                        <w:left w:val="none" w:sz="0" w:space="0" w:color="auto"/>
                        <w:bottom w:val="none" w:sz="0" w:space="0" w:color="auto"/>
                        <w:right w:val="none" w:sz="0" w:space="0" w:color="auto"/>
                      </w:divBdr>
                    </w:div>
                  </w:divsChild>
                </w:div>
                <w:div w:id="685249720">
                  <w:marLeft w:val="0"/>
                  <w:marRight w:val="0"/>
                  <w:marTop w:val="0"/>
                  <w:marBottom w:val="0"/>
                  <w:divBdr>
                    <w:top w:val="none" w:sz="0" w:space="0" w:color="auto"/>
                    <w:left w:val="none" w:sz="0" w:space="0" w:color="auto"/>
                    <w:bottom w:val="none" w:sz="0" w:space="0" w:color="auto"/>
                    <w:right w:val="none" w:sz="0" w:space="0" w:color="auto"/>
                  </w:divBdr>
                  <w:divsChild>
                    <w:div w:id="1083381312">
                      <w:marLeft w:val="0"/>
                      <w:marRight w:val="0"/>
                      <w:marTop w:val="0"/>
                      <w:marBottom w:val="0"/>
                      <w:divBdr>
                        <w:top w:val="none" w:sz="0" w:space="0" w:color="auto"/>
                        <w:left w:val="none" w:sz="0" w:space="0" w:color="auto"/>
                        <w:bottom w:val="none" w:sz="0" w:space="0" w:color="auto"/>
                        <w:right w:val="none" w:sz="0" w:space="0" w:color="auto"/>
                      </w:divBdr>
                    </w:div>
                  </w:divsChild>
                </w:div>
                <w:div w:id="702946316">
                  <w:marLeft w:val="0"/>
                  <w:marRight w:val="0"/>
                  <w:marTop w:val="0"/>
                  <w:marBottom w:val="0"/>
                  <w:divBdr>
                    <w:top w:val="none" w:sz="0" w:space="0" w:color="auto"/>
                    <w:left w:val="none" w:sz="0" w:space="0" w:color="auto"/>
                    <w:bottom w:val="none" w:sz="0" w:space="0" w:color="auto"/>
                    <w:right w:val="none" w:sz="0" w:space="0" w:color="auto"/>
                  </w:divBdr>
                  <w:divsChild>
                    <w:div w:id="1917544750">
                      <w:marLeft w:val="0"/>
                      <w:marRight w:val="0"/>
                      <w:marTop w:val="0"/>
                      <w:marBottom w:val="0"/>
                      <w:divBdr>
                        <w:top w:val="none" w:sz="0" w:space="0" w:color="auto"/>
                        <w:left w:val="none" w:sz="0" w:space="0" w:color="auto"/>
                        <w:bottom w:val="none" w:sz="0" w:space="0" w:color="auto"/>
                        <w:right w:val="none" w:sz="0" w:space="0" w:color="auto"/>
                      </w:divBdr>
                    </w:div>
                  </w:divsChild>
                </w:div>
                <w:div w:id="719325866">
                  <w:marLeft w:val="0"/>
                  <w:marRight w:val="0"/>
                  <w:marTop w:val="0"/>
                  <w:marBottom w:val="0"/>
                  <w:divBdr>
                    <w:top w:val="none" w:sz="0" w:space="0" w:color="auto"/>
                    <w:left w:val="none" w:sz="0" w:space="0" w:color="auto"/>
                    <w:bottom w:val="none" w:sz="0" w:space="0" w:color="auto"/>
                    <w:right w:val="none" w:sz="0" w:space="0" w:color="auto"/>
                  </w:divBdr>
                  <w:divsChild>
                    <w:div w:id="1750879909">
                      <w:marLeft w:val="0"/>
                      <w:marRight w:val="0"/>
                      <w:marTop w:val="0"/>
                      <w:marBottom w:val="0"/>
                      <w:divBdr>
                        <w:top w:val="none" w:sz="0" w:space="0" w:color="auto"/>
                        <w:left w:val="none" w:sz="0" w:space="0" w:color="auto"/>
                        <w:bottom w:val="none" w:sz="0" w:space="0" w:color="auto"/>
                        <w:right w:val="none" w:sz="0" w:space="0" w:color="auto"/>
                      </w:divBdr>
                    </w:div>
                  </w:divsChild>
                </w:div>
                <w:div w:id="761487807">
                  <w:marLeft w:val="0"/>
                  <w:marRight w:val="0"/>
                  <w:marTop w:val="0"/>
                  <w:marBottom w:val="0"/>
                  <w:divBdr>
                    <w:top w:val="none" w:sz="0" w:space="0" w:color="auto"/>
                    <w:left w:val="none" w:sz="0" w:space="0" w:color="auto"/>
                    <w:bottom w:val="none" w:sz="0" w:space="0" w:color="auto"/>
                    <w:right w:val="none" w:sz="0" w:space="0" w:color="auto"/>
                  </w:divBdr>
                  <w:divsChild>
                    <w:div w:id="1046754559">
                      <w:marLeft w:val="0"/>
                      <w:marRight w:val="0"/>
                      <w:marTop w:val="0"/>
                      <w:marBottom w:val="0"/>
                      <w:divBdr>
                        <w:top w:val="none" w:sz="0" w:space="0" w:color="auto"/>
                        <w:left w:val="none" w:sz="0" w:space="0" w:color="auto"/>
                        <w:bottom w:val="none" w:sz="0" w:space="0" w:color="auto"/>
                        <w:right w:val="none" w:sz="0" w:space="0" w:color="auto"/>
                      </w:divBdr>
                    </w:div>
                  </w:divsChild>
                </w:div>
                <w:div w:id="761754124">
                  <w:marLeft w:val="0"/>
                  <w:marRight w:val="0"/>
                  <w:marTop w:val="0"/>
                  <w:marBottom w:val="0"/>
                  <w:divBdr>
                    <w:top w:val="none" w:sz="0" w:space="0" w:color="auto"/>
                    <w:left w:val="none" w:sz="0" w:space="0" w:color="auto"/>
                    <w:bottom w:val="none" w:sz="0" w:space="0" w:color="auto"/>
                    <w:right w:val="none" w:sz="0" w:space="0" w:color="auto"/>
                  </w:divBdr>
                  <w:divsChild>
                    <w:div w:id="1517034082">
                      <w:marLeft w:val="0"/>
                      <w:marRight w:val="0"/>
                      <w:marTop w:val="0"/>
                      <w:marBottom w:val="0"/>
                      <w:divBdr>
                        <w:top w:val="none" w:sz="0" w:space="0" w:color="auto"/>
                        <w:left w:val="none" w:sz="0" w:space="0" w:color="auto"/>
                        <w:bottom w:val="none" w:sz="0" w:space="0" w:color="auto"/>
                        <w:right w:val="none" w:sz="0" w:space="0" w:color="auto"/>
                      </w:divBdr>
                    </w:div>
                  </w:divsChild>
                </w:div>
                <w:div w:id="782844785">
                  <w:marLeft w:val="0"/>
                  <w:marRight w:val="0"/>
                  <w:marTop w:val="0"/>
                  <w:marBottom w:val="0"/>
                  <w:divBdr>
                    <w:top w:val="none" w:sz="0" w:space="0" w:color="auto"/>
                    <w:left w:val="none" w:sz="0" w:space="0" w:color="auto"/>
                    <w:bottom w:val="none" w:sz="0" w:space="0" w:color="auto"/>
                    <w:right w:val="none" w:sz="0" w:space="0" w:color="auto"/>
                  </w:divBdr>
                  <w:divsChild>
                    <w:div w:id="1873566501">
                      <w:marLeft w:val="0"/>
                      <w:marRight w:val="0"/>
                      <w:marTop w:val="0"/>
                      <w:marBottom w:val="0"/>
                      <w:divBdr>
                        <w:top w:val="none" w:sz="0" w:space="0" w:color="auto"/>
                        <w:left w:val="none" w:sz="0" w:space="0" w:color="auto"/>
                        <w:bottom w:val="none" w:sz="0" w:space="0" w:color="auto"/>
                        <w:right w:val="none" w:sz="0" w:space="0" w:color="auto"/>
                      </w:divBdr>
                    </w:div>
                  </w:divsChild>
                </w:div>
                <w:div w:id="791284849">
                  <w:marLeft w:val="0"/>
                  <w:marRight w:val="0"/>
                  <w:marTop w:val="0"/>
                  <w:marBottom w:val="0"/>
                  <w:divBdr>
                    <w:top w:val="none" w:sz="0" w:space="0" w:color="auto"/>
                    <w:left w:val="none" w:sz="0" w:space="0" w:color="auto"/>
                    <w:bottom w:val="none" w:sz="0" w:space="0" w:color="auto"/>
                    <w:right w:val="none" w:sz="0" w:space="0" w:color="auto"/>
                  </w:divBdr>
                  <w:divsChild>
                    <w:div w:id="1115753447">
                      <w:marLeft w:val="0"/>
                      <w:marRight w:val="0"/>
                      <w:marTop w:val="0"/>
                      <w:marBottom w:val="0"/>
                      <w:divBdr>
                        <w:top w:val="none" w:sz="0" w:space="0" w:color="auto"/>
                        <w:left w:val="none" w:sz="0" w:space="0" w:color="auto"/>
                        <w:bottom w:val="none" w:sz="0" w:space="0" w:color="auto"/>
                        <w:right w:val="none" w:sz="0" w:space="0" w:color="auto"/>
                      </w:divBdr>
                    </w:div>
                  </w:divsChild>
                </w:div>
                <w:div w:id="796601936">
                  <w:marLeft w:val="0"/>
                  <w:marRight w:val="0"/>
                  <w:marTop w:val="0"/>
                  <w:marBottom w:val="0"/>
                  <w:divBdr>
                    <w:top w:val="none" w:sz="0" w:space="0" w:color="auto"/>
                    <w:left w:val="none" w:sz="0" w:space="0" w:color="auto"/>
                    <w:bottom w:val="none" w:sz="0" w:space="0" w:color="auto"/>
                    <w:right w:val="none" w:sz="0" w:space="0" w:color="auto"/>
                  </w:divBdr>
                  <w:divsChild>
                    <w:div w:id="1222980613">
                      <w:marLeft w:val="0"/>
                      <w:marRight w:val="0"/>
                      <w:marTop w:val="0"/>
                      <w:marBottom w:val="0"/>
                      <w:divBdr>
                        <w:top w:val="none" w:sz="0" w:space="0" w:color="auto"/>
                        <w:left w:val="none" w:sz="0" w:space="0" w:color="auto"/>
                        <w:bottom w:val="none" w:sz="0" w:space="0" w:color="auto"/>
                        <w:right w:val="none" w:sz="0" w:space="0" w:color="auto"/>
                      </w:divBdr>
                    </w:div>
                  </w:divsChild>
                </w:div>
                <w:div w:id="821773354">
                  <w:marLeft w:val="0"/>
                  <w:marRight w:val="0"/>
                  <w:marTop w:val="0"/>
                  <w:marBottom w:val="0"/>
                  <w:divBdr>
                    <w:top w:val="none" w:sz="0" w:space="0" w:color="auto"/>
                    <w:left w:val="none" w:sz="0" w:space="0" w:color="auto"/>
                    <w:bottom w:val="none" w:sz="0" w:space="0" w:color="auto"/>
                    <w:right w:val="none" w:sz="0" w:space="0" w:color="auto"/>
                  </w:divBdr>
                  <w:divsChild>
                    <w:div w:id="325204577">
                      <w:marLeft w:val="0"/>
                      <w:marRight w:val="0"/>
                      <w:marTop w:val="0"/>
                      <w:marBottom w:val="0"/>
                      <w:divBdr>
                        <w:top w:val="none" w:sz="0" w:space="0" w:color="auto"/>
                        <w:left w:val="none" w:sz="0" w:space="0" w:color="auto"/>
                        <w:bottom w:val="none" w:sz="0" w:space="0" w:color="auto"/>
                        <w:right w:val="none" w:sz="0" w:space="0" w:color="auto"/>
                      </w:divBdr>
                    </w:div>
                  </w:divsChild>
                </w:div>
                <w:div w:id="841748177">
                  <w:marLeft w:val="0"/>
                  <w:marRight w:val="0"/>
                  <w:marTop w:val="0"/>
                  <w:marBottom w:val="0"/>
                  <w:divBdr>
                    <w:top w:val="none" w:sz="0" w:space="0" w:color="auto"/>
                    <w:left w:val="none" w:sz="0" w:space="0" w:color="auto"/>
                    <w:bottom w:val="none" w:sz="0" w:space="0" w:color="auto"/>
                    <w:right w:val="none" w:sz="0" w:space="0" w:color="auto"/>
                  </w:divBdr>
                  <w:divsChild>
                    <w:div w:id="276982836">
                      <w:marLeft w:val="0"/>
                      <w:marRight w:val="0"/>
                      <w:marTop w:val="0"/>
                      <w:marBottom w:val="0"/>
                      <w:divBdr>
                        <w:top w:val="none" w:sz="0" w:space="0" w:color="auto"/>
                        <w:left w:val="none" w:sz="0" w:space="0" w:color="auto"/>
                        <w:bottom w:val="none" w:sz="0" w:space="0" w:color="auto"/>
                        <w:right w:val="none" w:sz="0" w:space="0" w:color="auto"/>
                      </w:divBdr>
                    </w:div>
                  </w:divsChild>
                </w:div>
                <w:div w:id="850726974">
                  <w:marLeft w:val="0"/>
                  <w:marRight w:val="0"/>
                  <w:marTop w:val="0"/>
                  <w:marBottom w:val="0"/>
                  <w:divBdr>
                    <w:top w:val="none" w:sz="0" w:space="0" w:color="auto"/>
                    <w:left w:val="none" w:sz="0" w:space="0" w:color="auto"/>
                    <w:bottom w:val="none" w:sz="0" w:space="0" w:color="auto"/>
                    <w:right w:val="none" w:sz="0" w:space="0" w:color="auto"/>
                  </w:divBdr>
                  <w:divsChild>
                    <w:div w:id="908878369">
                      <w:marLeft w:val="0"/>
                      <w:marRight w:val="0"/>
                      <w:marTop w:val="0"/>
                      <w:marBottom w:val="0"/>
                      <w:divBdr>
                        <w:top w:val="none" w:sz="0" w:space="0" w:color="auto"/>
                        <w:left w:val="none" w:sz="0" w:space="0" w:color="auto"/>
                        <w:bottom w:val="none" w:sz="0" w:space="0" w:color="auto"/>
                        <w:right w:val="none" w:sz="0" w:space="0" w:color="auto"/>
                      </w:divBdr>
                    </w:div>
                  </w:divsChild>
                </w:div>
                <w:div w:id="891506120">
                  <w:marLeft w:val="0"/>
                  <w:marRight w:val="0"/>
                  <w:marTop w:val="0"/>
                  <w:marBottom w:val="0"/>
                  <w:divBdr>
                    <w:top w:val="none" w:sz="0" w:space="0" w:color="auto"/>
                    <w:left w:val="none" w:sz="0" w:space="0" w:color="auto"/>
                    <w:bottom w:val="none" w:sz="0" w:space="0" w:color="auto"/>
                    <w:right w:val="none" w:sz="0" w:space="0" w:color="auto"/>
                  </w:divBdr>
                  <w:divsChild>
                    <w:div w:id="429085937">
                      <w:marLeft w:val="0"/>
                      <w:marRight w:val="0"/>
                      <w:marTop w:val="0"/>
                      <w:marBottom w:val="0"/>
                      <w:divBdr>
                        <w:top w:val="none" w:sz="0" w:space="0" w:color="auto"/>
                        <w:left w:val="none" w:sz="0" w:space="0" w:color="auto"/>
                        <w:bottom w:val="none" w:sz="0" w:space="0" w:color="auto"/>
                        <w:right w:val="none" w:sz="0" w:space="0" w:color="auto"/>
                      </w:divBdr>
                    </w:div>
                  </w:divsChild>
                </w:div>
                <w:div w:id="944964645">
                  <w:marLeft w:val="0"/>
                  <w:marRight w:val="0"/>
                  <w:marTop w:val="0"/>
                  <w:marBottom w:val="0"/>
                  <w:divBdr>
                    <w:top w:val="none" w:sz="0" w:space="0" w:color="auto"/>
                    <w:left w:val="none" w:sz="0" w:space="0" w:color="auto"/>
                    <w:bottom w:val="none" w:sz="0" w:space="0" w:color="auto"/>
                    <w:right w:val="none" w:sz="0" w:space="0" w:color="auto"/>
                  </w:divBdr>
                  <w:divsChild>
                    <w:div w:id="2101481821">
                      <w:marLeft w:val="0"/>
                      <w:marRight w:val="0"/>
                      <w:marTop w:val="0"/>
                      <w:marBottom w:val="0"/>
                      <w:divBdr>
                        <w:top w:val="none" w:sz="0" w:space="0" w:color="auto"/>
                        <w:left w:val="none" w:sz="0" w:space="0" w:color="auto"/>
                        <w:bottom w:val="none" w:sz="0" w:space="0" w:color="auto"/>
                        <w:right w:val="none" w:sz="0" w:space="0" w:color="auto"/>
                      </w:divBdr>
                    </w:div>
                  </w:divsChild>
                </w:div>
                <w:div w:id="955798381">
                  <w:marLeft w:val="0"/>
                  <w:marRight w:val="0"/>
                  <w:marTop w:val="0"/>
                  <w:marBottom w:val="0"/>
                  <w:divBdr>
                    <w:top w:val="none" w:sz="0" w:space="0" w:color="auto"/>
                    <w:left w:val="none" w:sz="0" w:space="0" w:color="auto"/>
                    <w:bottom w:val="none" w:sz="0" w:space="0" w:color="auto"/>
                    <w:right w:val="none" w:sz="0" w:space="0" w:color="auto"/>
                  </w:divBdr>
                  <w:divsChild>
                    <w:div w:id="1479112490">
                      <w:marLeft w:val="0"/>
                      <w:marRight w:val="0"/>
                      <w:marTop w:val="0"/>
                      <w:marBottom w:val="0"/>
                      <w:divBdr>
                        <w:top w:val="none" w:sz="0" w:space="0" w:color="auto"/>
                        <w:left w:val="none" w:sz="0" w:space="0" w:color="auto"/>
                        <w:bottom w:val="none" w:sz="0" w:space="0" w:color="auto"/>
                        <w:right w:val="none" w:sz="0" w:space="0" w:color="auto"/>
                      </w:divBdr>
                    </w:div>
                  </w:divsChild>
                </w:div>
                <w:div w:id="976107966">
                  <w:marLeft w:val="0"/>
                  <w:marRight w:val="0"/>
                  <w:marTop w:val="0"/>
                  <w:marBottom w:val="0"/>
                  <w:divBdr>
                    <w:top w:val="none" w:sz="0" w:space="0" w:color="auto"/>
                    <w:left w:val="none" w:sz="0" w:space="0" w:color="auto"/>
                    <w:bottom w:val="none" w:sz="0" w:space="0" w:color="auto"/>
                    <w:right w:val="none" w:sz="0" w:space="0" w:color="auto"/>
                  </w:divBdr>
                  <w:divsChild>
                    <w:div w:id="1946033249">
                      <w:marLeft w:val="0"/>
                      <w:marRight w:val="0"/>
                      <w:marTop w:val="0"/>
                      <w:marBottom w:val="0"/>
                      <w:divBdr>
                        <w:top w:val="none" w:sz="0" w:space="0" w:color="auto"/>
                        <w:left w:val="none" w:sz="0" w:space="0" w:color="auto"/>
                        <w:bottom w:val="none" w:sz="0" w:space="0" w:color="auto"/>
                        <w:right w:val="none" w:sz="0" w:space="0" w:color="auto"/>
                      </w:divBdr>
                    </w:div>
                  </w:divsChild>
                </w:div>
                <w:div w:id="989485804">
                  <w:marLeft w:val="0"/>
                  <w:marRight w:val="0"/>
                  <w:marTop w:val="0"/>
                  <w:marBottom w:val="0"/>
                  <w:divBdr>
                    <w:top w:val="none" w:sz="0" w:space="0" w:color="auto"/>
                    <w:left w:val="none" w:sz="0" w:space="0" w:color="auto"/>
                    <w:bottom w:val="none" w:sz="0" w:space="0" w:color="auto"/>
                    <w:right w:val="none" w:sz="0" w:space="0" w:color="auto"/>
                  </w:divBdr>
                  <w:divsChild>
                    <w:div w:id="2067529846">
                      <w:marLeft w:val="0"/>
                      <w:marRight w:val="0"/>
                      <w:marTop w:val="0"/>
                      <w:marBottom w:val="0"/>
                      <w:divBdr>
                        <w:top w:val="none" w:sz="0" w:space="0" w:color="auto"/>
                        <w:left w:val="none" w:sz="0" w:space="0" w:color="auto"/>
                        <w:bottom w:val="none" w:sz="0" w:space="0" w:color="auto"/>
                        <w:right w:val="none" w:sz="0" w:space="0" w:color="auto"/>
                      </w:divBdr>
                    </w:div>
                  </w:divsChild>
                </w:div>
                <w:div w:id="1006975941">
                  <w:marLeft w:val="0"/>
                  <w:marRight w:val="0"/>
                  <w:marTop w:val="0"/>
                  <w:marBottom w:val="0"/>
                  <w:divBdr>
                    <w:top w:val="none" w:sz="0" w:space="0" w:color="auto"/>
                    <w:left w:val="none" w:sz="0" w:space="0" w:color="auto"/>
                    <w:bottom w:val="none" w:sz="0" w:space="0" w:color="auto"/>
                    <w:right w:val="none" w:sz="0" w:space="0" w:color="auto"/>
                  </w:divBdr>
                  <w:divsChild>
                    <w:div w:id="361631520">
                      <w:marLeft w:val="0"/>
                      <w:marRight w:val="0"/>
                      <w:marTop w:val="0"/>
                      <w:marBottom w:val="0"/>
                      <w:divBdr>
                        <w:top w:val="none" w:sz="0" w:space="0" w:color="auto"/>
                        <w:left w:val="none" w:sz="0" w:space="0" w:color="auto"/>
                        <w:bottom w:val="none" w:sz="0" w:space="0" w:color="auto"/>
                        <w:right w:val="none" w:sz="0" w:space="0" w:color="auto"/>
                      </w:divBdr>
                    </w:div>
                  </w:divsChild>
                </w:div>
                <w:div w:id="1027563748">
                  <w:marLeft w:val="0"/>
                  <w:marRight w:val="0"/>
                  <w:marTop w:val="0"/>
                  <w:marBottom w:val="0"/>
                  <w:divBdr>
                    <w:top w:val="none" w:sz="0" w:space="0" w:color="auto"/>
                    <w:left w:val="none" w:sz="0" w:space="0" w:color="auto"/>
                    <w:bottom w:val="none" w:sz="0" w:space="0" w:color="auto"/>
                    <w:right w:val="none" w:sz="0" w:space="0" w:color="auto"/>
                  </w:divBdr>
                  <w:divsChild>
                    <w:div w:id="1135608633">
                      <w:marLeft w:val="0"/>
                      <w:marRight w:val="0"/>
                      <w:marTop w:val="0"/>
                      <w:marBottom w:val="0"/>
                      <w:divBdr>
                        <w:top w:val="none" w:sz="0" w:space="0" w:color="auto"/>
                        <w:left w:val="none" w:sz="0" w:space="0" w:color="auto"/>
                        <w:bottom w:val="none" w:sz="0" w:space="0" w:color="auto"/>
                        <w:right w:val="none" w:sz="0" w:space="0" w:color="auto"/>
                      </w:divBdr>
                    </w:div>
                  </w:divsChild>
                </w:div>
                <w:div w:id="1029647401">
                  <w:marLeft w:val="0"/>
                  <w:marRight w:val="0"/>
                  <w:marTop w:val="0"/>
                  <w:marBottom w:val="0"/>
                  <w:divBdr>
                    <w:top w:val="none" w:sz="0" w:space="0" w:color="auto"/>
                    <w:left w:val="none" w:sz="0" w:space="0" w:color="auto"/>
                    <w:bottom w:val="none" w:sz="0" w:space="0" w:color="auto"/>
                    <w:right w:val="none" w:sz="0" w:space="0" w:color="auto"/>
                  </w:divBdr>
                  <w:divsChild>
                    <w:div w:id="1287353347">
                      <w:marLeft w:val="0"/>
                      <w:marRight w:val="0"/>
                      <w:marTop w:val="0"/>
                      <w:marBottom w:val="0"/>
                      <w:divBdr>
                        <w:top w:val="none" w:sz="0" w:space="0" w:color="auto"/>
                        <w:left w:val="none" w:sz="0" w:space="0" w:color="auto"/>
                        <w:bottom w:val="none" w:sz="0" w:space="0" w:color="auto"/>
                        <w:right w:val="none" w:sz="0" w:space="0" w:color="auto"/>
                      </w:divBdr>
                    </w:div>
                  </w:divsChild>
                </w:div>
                <w:div w:id="1030376232">
                  <w:marLeft w:val="0"/>
                  <w:marRight w:val="0"/>
                  <w:marTop w:val="0"/>
                  <w:marBottom w:val="0"/>
                  <w:divBdr>
                    <w:top w:val="none" w:sz="0" w:space="0" w:color="auto"/>
                    <w:left w:val="none" w:sz="0" w:space="0" w:color="auto"/>
                    <w:bottom w:val="none" w:sz="0" w:space="0" w:color="auto"/>
                    <w:right w:val="none" w:sz="0" w:space="0" w:color="auto"/>
                  </w:divBdr>
                  <w:divsChild>
                    <w:div w:id="2015840936">
                      <w:marLeft w:val="0"/>
                      <w:marRight w:val="0"/>
                      <w:marTop w:val="0"/>
                      <w:marBottom w:val="0"/>
                      <w:divBdr>
                        <w:top w:val="none" w:sz="0" w:space="0" w:color="auto"/>
                        <w:left w:val="none" w:sz="0" w:space="0" w:color="auto"/>
                        <w:bottom w:val="none" w:sz="0" w:space="0" w:color="auto"/>
                        <w:right w:val="none" w:sz="0" w:space="0" w:color="auto"/>
                      </w:divBdr>
                    </w:div>
                  </w:divsChild>
                </w:div>
                <w:div w:id="1060591058">
                  <w:marLeft w:val="0"/>
                  <w:marRight w:val="0"/>
                  <w:marTop w:val="0"/>
                  <w:marBottom w:val="0"/>
                  <w:divBdr>
                    <w:top w:val="none" w:sz="0" w:space="0" w:color="auto"/>
                    <w:left w:val="none" w:sz="0" w:space="0" w:color="auto"/>
                    <w:bottom w:val="none" w:sz="0" w:space="0" w:color="auto"/>
                    <w:right w:val="none" w:sz="0" w:space="0" w:color="auto"/>
                  </w:divBdr>
                  <w:divsChild>
                    <w:div w:id="1513951181">
                      <w:marLeft w:val="0"/>
                      <w:marRight w:val="0"/>
                      <w:marTop w:val="0"/>
                      <w:marBottom w:val="0"/>
                      <w:divBdr>
                        <w:top w:val="none" w:sz="0" w:space="0" w:color="auto"/>
                        <w:left w:val="none" w:sz="0" w:space="0" w:color="auto"/>
                        <w:bottom w:val="none" w:sz="0" w:space="0" w:color="auto"/>
                        <w:right w:val="none" w:sz="0" w:space="0" w:color="auto"/>
                      </w:divBdr>
                    </w:div>
                  </w:divsChild>
                </w:div>
                <w:div w:id="1072193993">
                  <w:marLeft w:val="0"/>
                  <w:marRight w:val="0"/>
                  <w:marTop w:val="0"/>
                  <w:marBottom w:val="0"/>
                  <w:divBdr>
                    <w:top w:val="none" w:sz="0" w:space="0" w:color="auto"/>
                    <w:left w:val="none" w:sz="0" w:space="0" w:color="auto"/>
                    <w:bottom w:val="none" w:sz="0" w:space="0" w:color="auto"/>
                    <w:right w:val="none" w:sz="0" w:space="0" w:color="auto"/>
                  </w:divBdr>
                  <w:divsChild>
                    <w:div w:id="904679611">
                      <w:marLeft w:val="0"/>
                      <w:marRight w:val="0"/>
                      <w:marTop w:val="0"/>
                      <w:marBottom w:val="0"/>
                      <w:divBdr>
                        <w:top w:val="none" w:sz="0" w:space="0" w:color="auto"/>
                        <w:left w:val="none" w:sz="0" w:space="0" w:color="auto"/>
                        <w:bottom w:val="none" w:sz="0" w:space="0" w:color="auto"/>
                        <w:right w:val="none" w:sz="0" w:space="0" w:color="auto"/>
                      </w:divBdr>
                    </w:div>
                  </w:divsChild>
                </w:div>
                <w:div w:id="1080299706">
                  <w:marLeft w:val="0"/>
                  <w:marRight w:val="0"/>
                  <w:marTop w:val="0"/>
                  <w:marBottom w:val="0"/>
                  <w:divBdr>
                    <w:top w:val="none" w:sz="0" w:space="0" w:color="auto"/>
                    <w:left w:val="none" w:sz="0" w:space="0" w:color="auto"/>
                    <w:bottom w:val="none" w:sz="0" w:space="0" w:color="auto"/>
                    <w:right w:val="none" w:sz="0" w:space="0" w:color="auto"/>
                  </w:divBdr>
                  <w:divsChild>
                    <w:div w:id="1306084065">
                      <w:marLeft w:val="0"/>
                      <w:marRight w:val="0"/>
                      <w:marTop w:val="0"/>
                      <w:marBottom w:val="0"/>
                      <w:divBdr>
                        <w:top w:val="none" w:sz="0" w:space="0" w:color="auto"/>
                        <w:left w:val="none" w:sz="0" w:space="0" w:color="auto"/>
                        <w:bottom w:val="none" w:sz="0" w:space="0" w:color="auto"/>
                        <w:right w:val="none" w:sz="0" w:space="0" w:color="auto"/>
                      </w:divBdr>
                    </w:div>
                  </w:divsChild>
                </w:div>
                <w:div w:id="1096823269">
                  <w:marLeft w:val="0"/>
                  <w:marRight w:val="0"/>
                  <w:marTop w:val="0"/>
                  <w:marBottom w:val="0"/>
                  <w:divBdr>
                    <w:top w:val="none" w:sz="0" w:space="0" w:color="auto"/>
                    <w:left w:val="none" w:sz="0" w:space="0" w:color="auto"/>
                    <w:bottom w:val="none" w:sz="0" w:space="0" w:color="auto"/>
                    <w:right w:val="none" w:sz="0" w:space="0" w:color="auto"/>
                  </w:divBdr>
                  <w:divsChild>
                    <w:div w:id="2019312613">
                      <w:marLeft w:val="0"/>
                      <w:marRight w:val="0"/>
                      <w:marTop w:val="0"/>
                      <w:marBottom w:val="0"/>
                      <w:divBdr>
                        <w:top w:val="none" w:sz="0" w:space="0" w:color="auto"/>
                        <w:left w:val="none" w:sz="0" w:space="0" w:color="auto"/>
                        <w:bottom w:val="none" w:sz="0" w:space="0" w:color="auto"/>
                        <w:right w:val="none" w:sz="0" w:space="0" w:color="auto"/>
                      </w:divBdr>
                    </w:div>
                  </w:divsChild>
                </w:div>
                <w:div w:id="1103040392">
                  <w:marLeft w:val="0"/>
                  <w:marRight w:val="0"/>
                  <w:marTop w:val="0"/>
                  <w:marBottom w:val="0"/>
                  <w:divBdr>
                    <w:top w:val="none" w:sz="0" w:space="0" w:color="auto"/>
                    <w:left w:val="none" w:sz="0" w:space="0" w:color="auto"/>
                    <w:bottom w:val="none" w:sz="0" w:space="0" w:color="auto"/>
                    <w:right w:val="none" w:sz="0" w:space="0" w:color="auto"/>
                  </w:divBdr>
                  <w:divsChild>
                    <w:div w:id="2069910135">
                      <w:marLeft w:val="0"/>
                      <w:marRight w:val="0"/>
                      <w:marTop w:val="0"/>
                      <w:marBottom w:val="0"/>
                      <w:divBdr>
                        <w:top w:val="none" w:sz="0" w:space="0" w:color="auto"/>
                        <w:left w:val="none" w:sz="0" w:space="0" w:color="auto"/>
                        <w:bottom w:val="none" w:sz="0" w:space="0" w:color="auto"/>
                        <w:right w:val="none" w:sz="0" w:space="0" w:color="auto"/>
                      </w:divBdr>
                    </w:div>
                  </w:divsChild>
                </w:div>
                <w:div w:id="1105733674">
                  <w:marLeft w:val="0"/>
                  <w:marRight w:val="0"/>
                  <w:marTop w:val="0"/>
                  <w:marBottom w:val="0"/>
                  <w:divBdr>
                    <w:top w:val="none" w:sz="0" w:space="0" w:color="auto"/>
                    <w:left w:val="none" w:sz="0" w:space="0" w:color="auto"/>
                    <w:bottom w:val="none" w:sz="0" w:space="0" w:color="auto"/>
                    <w:right w:val="none" w:sz="0" w:space="0" w:color="auto"/>
                  </w:divBdr>
                  <w:divsChild>
                    <w:div w:id="1521971049">
                      <w:marLeft w:val="0"/>
                      <w:marRight w:val="0"/>
                      <w:marTop w:val="0"/>
                      <w:marBottom w:val="0"/>
                      <w:divBdr>
                        <w:top w:val="none" w:sz="0" w:space="0" w:color="auto"/>
                        <w:left w:val="none" w:sz="0" w:space="0" w:color="auto"/>
                        <w:bottom w:val="none" w:sz="0" w:space="0" w:color="auto"/>
                        <w:right w:val="none" w:sz="0" w:space="0" w:color="auto"/>
                      </w:divBdr>
                    </w:div>
                  </w:divsChild>
                </w:div>
                <w:div w:id="1109273294">
                  <w:marLeft w:val="0"/>
                  <w:marRight w:val="0"/>
                  <w:marTop w:val="0"/>
                  <w:marBottom w:val="0"/>
                  <w:divBdr>
                    <w:top w:val="none" w:sz="0" w:space="0" w:color="auto"/>
                    <w:left w:val="none" w:sz="0" w:space="0" w:color="auto"/>
                    <w:bottom w:val="none" w:sz="0" w:space="0" w:color="auto"/>
                    <w:right w:val="none" w:sz="0" w:space="0" w:color="auto"/>
                  </w:divBdr>
                  <w:divsChild>
                    <w:div w:id="1549032459">
                      <w:marLeft w:val="0"/>
                      <w:marRight w:val="0"/>
                      <w:marTop w:val="0"/>
                      <w:marBottom w:val="0"/>
                      <w:divBdr>
                        <w:top w:val="none" w:sz="0" w:space="0" w:color="auto"/>
                        <w:left w:val="none" w:sz="0" w:space="0" w:color="auto"/>
                        <w:bottom w:val="none" w:sz="0" w:space="0" w:color="auto"/>
                        <w:right w:val="none" w:sz="0" w:space="0" w:color="auto"/>
                      </w:divBdr>
                    </w:div>
                  </w:divsChild>
                </w:div>
                <w:div w:id="1130324267">
                  <w:marLeft w:val="0"/>
                  <w:marRight w:val="0"/>
                  <w:marTop w:val="0"/>
                  <w:marBottom w:val="0"/>
                  <w:divBdr>
                    <w:top w:val="none" w:sz="0" w:space="0" w:color="auto"/>
                    <w:left w:val="none" w:sz="0" w:space="0" w:color="auto"/>
                    <w:bottom w:val="none" w:sz="0" w:space="0" w:color="auto"/>
                    <w:right w:val="none" w:sz="0" w:space="0" w:color="auto"/>
                  </w:divBdr>
                  <w:divsChild>
                    <w:div w:id="1123767450">
                      <w:marLeft w:val="0"/>
                      <w:marRight w:val="0"/>
                      <w:marTop w:val="0"/>
                      <w:marBottom w:val="0"/>
                      <w:divBdr>
                        <w:top w:val="none" w:sz="0" w:space="0" w:color="auto"/>
                        <w:left w:val="none" w:sz="0" w:space="0" w:color="auto"/>
                        <w:bottom w:val="none" w:sz="0" w:space="0" w:color="auto"/>
                        <w:right w:val="none" w:sz="0" w:space="0" w:color="auto"/>
                      </w:divBdr>
                    </w:div>
                  </w:divsChild>
                </w:div>
                <w:div w:id="1173837116">
                  <w:marLeft w:val="0"/>
                  <w:marRight w:val="0"/>
                  <w:marTop w:val="0"/>
                  <w:marBottom w:val="0"/>
                  <w:divBdr>
                    <w:top w:val="none" w:sz="0" w:space="0" w:color="auto"/>
                    <w:left w:val="none" w:sz="0" w:space="0" w:color="auto"/>
                    <w:bottom w:val="none" w:sz="0" w:space="0" w:color="auto"/>
                    <w:right w:val="none" w:sz="0" w:space="0" w:color="auto"/>
                  </w:divBdr>
                  <w:divsChild>
                    <w:div w:id="397754087">
                      <w:marLeft w:val="0"/>
                      <w:marRight w:val="0"/>
                      <w:marTop w:val="0"/>
                      <w:marBottom w:val="0"/>
                      <w:divBdr>
                        <w:top w:val="none" w:sz="0" w:space="0" w:color="auto"/>
                        <w:left w:val="none" w:sz="0" w:space="0" w:color="auto"/>
                        <w:bottom w:val="none" w:sz="0" w:space="0" w:color="auto"/>
                        <w:right w:val="none" w:sz="0" w:space="0" w:color="auto"/>
                      </w:divBdr>
                    </w:div>
                  </w:divsChild>
                </w:div>
                <w:div w:id="1187672465">
                  <w:marLeft w:val="0"/>
                  <w:marRight w:val="0"/>
                  <w:marTop w:val="0"/>
                  <w:marBottom w:val="0"/>
                  <w:divBdr>
                    <w:top w:val="none" w:sz="0" w:space="0" w:color="auto"/>
                    <w:left w:val="none" w:sz="0" w:space="0" w:color="auto"/>
                    <w:bottom w:val="none" w:sz="0" w:space="0" w:color="auto"/>
                    <w:right w:val="none" w:sz="0" w:space="0" w:color="auto"/>
                  </w:divBdr>
                  <w:divsChild>
                    <w:div w:id="168757040">
                      <w:marLeft w:val="0"/>
                      <w:marRight w:val="0"/>
                      <w:marTop w:val="0"/>
                      <w:marBottom w:val="0"/>
                      <w:divBdr>
                        <w:top w:val="none" w:sz="0" w:space="0" w:color="auto"/>
                        <w:left w:val="none" w:sz="0" w:space="0" w:color="auto"/>
                        <w:bottom w:val="none" w:sz="0" w:space="0" w:color="auto"/>
                        <w:right w:val="none" w:sz="0" w:space="0" w:color="auto"/>
                      </w:divBdr>
                    </w:div>
                  </w:divsChild>
                </w:div>
                <w:div w:id="1207984745">
                  <w:marLeft w:val="0"/>
                  <w:marRight w:val="0"/>
                  <w:marTop w:val="0"/>
                  <w:marBottom w:val="0"/>
                  <w:divBdr>
                    <w:top w:val="none" w:sz="0" w:space="0" w:color="auto"/>
                    <w:left w:val="none" w:sz="0" w:space="0" w:color="auto"/>
                    <w:bottom w:val="none" w:sz="0" w:space="0" w:color="auto"/>
                    <w:right w:val="none" w:sz="0" w:space="0" w:color="auto"/>
                  </w:divBdr>
                  <w:divsChild>
                    <w:div w:id="1620644800">
                      <w:marLeft w:val="0"/>
                      <w:marRight w:val="0"/>
                      <w:marTop w:val="0"/>
                      <w:marBottom w:val="0"/>
                      <w:divBdr>
                        <w:top w:val="none" w:sz="0" w:space="0" w:color="auto"/>
                        <w:left w:val="none" w:sz="0" w:space="0" w:color="auto"/>
                        <w:bottom w:val="none" w:sz="0" w:space="0" w:color="auto"/>
                        <w:right w:val="none" w:sz="0" w:space="0" w:color="auto"/>
                      </w:divBdr>
                    </w:div>
                  </w:divsChild>
                </w:div>
                <w:div w:id="1226604272">
                  <w:marLeft w:val="0"/>
                  <w:marRight w:val="0"/>
                  <w:marTop w:val="0"/>
                  <w:marBottom w:val="0"/>
                  <w:divBdr>
                    <w:top w:val="none" w:sz="0" w:space="0" w:color="auto"/>
                    <w:left w:val="none" w:sz="0" w:space="0" w:color="auto"/>
                    <w:bottom w:val="none" w:sz="0" w:space="0" w:color="auto"/>
                    <w:right w:val="none" w:sz="0" w:space="0" w:color="auto"/>
                  </w:divBdr>
                  <w:divsChild>
                    <w:div w:id="1705209152">
                      <w:marLeft w:val="0"/>
                      <w:marRight w:val="0"/>
                      <w:marTop w:val="0"/>
                      <w:marBottom w:val="0"/>
                      <w:divBdr>
                        <w:top w:val="none" w:sz="0" w:space="0" w:color="auto"/>
                        <w:left w:val="none" w:sz="0" w:space="0" w:color="auto"/>
                        <w:bottom w:val="none" w:sz="0" w:space="0" w:color="auto"/>
                        <w:right w:val="none" w:sz="0" w:space="0" w:color="auto"/>
                      </w:divBdr>
                    </w:div>
                  </w:divsChild>
                </w:div>
                <w:div w:id="1300455659">
                  <w:marLeft w:val="0"/>
                  <w:marRight w:val="0"/>
                  <w:marTop w:val="0"/>
                  <w:marBottom w:val="0"/>
                  <w:divBdr>
                    <w:top w:val="none" w:sz="0" w:space="0" w:color="auto"/>
                    <w:left w:val="none" w:sz="0" w:space="0" w:color="auto"/>
                    <w:bottom w:val="none" w:sz="0" w:space="0" w:color="auto"/>
                    <w:right w:val="none" w:sz="0" w:space="0" w:color="auto"/>
                  </w:divBdr>
                  <w:divsChild>
                    <w:div w:id="1955818362">
                      <w:marLeft w:val="0"/>
                      <w:marRight w:val="0"/>
                      <w:marTop w:val="0"/>
                      <w:marBottom w:val="0"/>
                      <w:divBdr>
                        <w:top w:val="none" w:sz="0" w:space="0" w:color="auto"/>
                        <w:left w:val="none" w:sz="0" w:space="0" w:color="auto"/>
                        <w:bottom w:val="none" w:sz="0" w:space="0" w:color="auto"/>
                        <w:right w:val="none" w:sz="0" w:space="0" w:color="auto"/>
                      </w:divBdr>
                    </w:div>
                  </w:divsChild>
                </w:div>
                <w:div w:id="1325743806">
                  <w:marLeft w:val="0"/>
                  <w:marRight w:val="0"/>
                  <w:marTop w:val="0"/>
                  <w:marBottom w:val="0"/>
                  <w:divBdr>
                    <w:top w:val="none" w:sz="0" w:space="0" w:color="auto"/>
                    <w:left w:val="none" w:sz="0" w:space="0" w:color="auto"/>
                    <w:bottom w:val="none" w:sz="0" w:space="0" w:color="auto"/>
                    <w:right w:val="none" w:sz="0" w:space="0" w:color="auto"/>
                  </w:divBdr>
                  <w:divsChild>
                    <w:div w:id="1153989402">
                      <w:marLeft w:val="0"/>
                      <w:marRight w:val="0"/>
                      <w:marTop w:val="0"/>
                      <w:marBottom w:val="0"/>
                      <w:divBdr>
                        <w:top w:val="none" w:sz="0" w:space="0" w:color="auto"/>
                        <w:left w:val="none" w:sz="0" w:space="0" w:color="auto"/>
                        <w:bottom w:val="none" w:sz="0" w:space="0" w:color="auto"/>
                        <w:right w:val="none" w:sz="0" w:space="0" w:color="auto"/>
                      </w:divBdr>
                    </w:div>
                  </w:divsChild>
                </w:div>
                <w:div w:id="1340963447">
                  <w:marLeft w:val="0"/>
                  <w:marRight w:val="0"/>
                  <w:marTop w:val="0"/>
                  <w:marBottom w:val="0"/>
                  <w:divBdr>
                    <w:top w:val="none" w:sz="0" w:space="0" w:color="auto"/>
                    <w:left w:val="none" w:sz="0" w:space="0" w:color="auto"/>
                    <w:bottom w:val="none" w:sz="0" w:space="0" w:color="auto"/>
                    <w:right w:val="none" w:sz="0" w:space="0" w:color="auto"/>
                  </w:divBdr>
                  <w:divsChild>
                    <w:div w:id="1470052058">
                      <w:marLeft w:val="0"/>
                      <w:marRight w:val="0"/>
                      <w:marTop w:val="0"/>
                      <w:marBottom w:val="0"/>
                      <w:divBdr>
                        <w:top w:val="none" w:sz="0" w:space="0" w:color="auto"/>
                        <w:left w:val="none" w:sz="0" w:space="0" w:color="auto"/>
                        <w:bottom w:val="none" w:sz="0" w:space="0" w:color="auto"/>
                        <w:right w:val="none" w:sz="0" w:space="0" w:color="auto"/>
                      </w:divBdr>
                    </w:div>
                  </w:divsChild>
                </w:div>
                <w:div w:id="1355764975">
                  <w:marLeft w:val="0"/>
                  <w:marRight w:val="0"/>
                  <w:marTop w:val="0"/>
                  <w:marBottom w:val="0"/>
                  <w:divBdr>
                    <w:top w:val="none" w:sz="0" w:space="0" w:color="auto"/>
                    <w:left w:val="none" w:sz="0" w:space="0" w:color="auto"/>
                    <w:bottom w:val="none" w:sz="0" w:space="0" w:color="auto"/>
                    <w:right w:val="none" w:sz="0" w:space="0" w:color="auto"/>
                  </w:divBdr>
                  <w:divsChild>
                    <w:div w:id="104810243">
                      <w:marLeft w:val="0"/>
                      <w:marRight w:val="0"/>
                      <w:marTop w:val="0"/>
                      <w:marBottom w:val="0"/>
                      <w:divBdr>
                        <w:top w:val="none" w:sz="0" w:space="0" w:color="auto"/>
                        <w:left w:val="none" w:sz="0" w:space="0" w:color="auto"/>
                        <w:bottom w:val="none" w:sz="0" w:space="0" w:color="auto"/>
                        <w:right w:val="none" w:sz="0" w:space="0" w:color="auto"/>
                      </w:divBdr>
                    </w:div>
                  </w:divsChild>
                </w:div>
                <w:div w:id="1388996337">
                  <w:marLeft w:val="0"/>
                  <w:marRight w:val="0"/>
                  <w:marTop w:val="0"/>
                  <w:marBottom w:val="0"/>
                  <w:divBdr>
                    <w:top w:val="none" w:sz="0" w:space="0" w:color="auto"/>
                    <w:left w:val="none" w:sz="0" w:space="0" w:color="auto"/>
                    <w:bottom w:val="none" w:sz="0" w:space="0" w:color="auto"/>
                    <w:right w:val="none" w:sz="0" w:space="0" w:color="auto"/>
                  </w:divBdr>
                  <w:divsChild>
                    <w:div w:id="1940598145">
                      <w:marLeft w:val="0"/>
                      <w:marRight w:val="0"/>
                      <w:marTop w:val="0"/>
                      <w:marBottom w:val="0"/>
                      <w:divBdr>
                        <w:top w:val="none" w:sz="0" w:space="0" w:color="auto"/>
                        <w:left w:val="none" w:sz="0" w:space="0" w:color="auto"/>
                        <w:bottom w:val="none" w:sz="0" w:space="0" w:color="auto"/>
                        <w:right w:val="none" w:sz="0" w:space="0" w:color="auto"/>
                      </w:divBdr>
                    </w:div>
                  </w:divsChild>
                </w:div>
                <w:div w:id="1405448443">
                  <w:marLeft w:val="0"/>
                  <w:marRight w:val="0"/>
                  <w:marTop w:val="0"/>
                  <w:marBottom w:val="0"/>
                  <w:divBdr>
                    <w:top w:val="none" w:sz="0" w:space="0" w:color="auto"/>
                    <w:left w:val="none" w:sz="0" w:space="0" w:color="auto"/>
                    <w:bottom w:val="none" w:sz="0" w:space="0" w:color="auto"/>
                    <w:right w:val="none" w:sz="0" w:space="0" w:color="auto"/>
                  </w:divBdr>
                  <w:divsChild>
                    <w:div w:id="806511161">
                      <w:marLeft w:val="0"/>
                      <w:marRight w:val="0"/>
                      <w:marTop w:val="0"/>
                      <w:marBottom w:val="0"/>
                      <w:divBdr>
                        <w:top w:val="none" w:sz="0" w:space="0" w:color="auto"/>
                        <w:left w:val="none" w:sz="0" w:space="0" w:color="auto"/>
                        <w:bottom w:val="none" w:sz="0" w:space="0" w:color="auto"/>
                        <w:right w:val="none" w:sz="0" w:space="0" w:color="auto"/>
                      </w:divBdr>
                    </w:div>
                  </w:divsChild>
                </w:div>
                <w:div w:id="1414358091">
                  <w:marLeft w:val="0"/>
                  <w:marRight w:val="0"/>
                  <w:marTop w:val="0"/>
                  <w:marBottom w:val="0"/>
                  <w:divBdr>
                    <w:top w:val="none" w:sz="0" w:space="0" w:color="auto"/>
                    <w:left w:val="none" w:sz="0" w:space="0" w:color="auto"/>
                    <w:bottom w:val="none" w:sz="0" w:space="0" w:color="auto"/>
                    <w:right w:val="none" w:sz="0" w:space="0" w:color="auto"/>
                  </w:divBdr>
                  <w:divsChild>
                    <w:div w:id="728650453">
                      <w:marLeft w:val="0"/>
                      <w:marRight w:val="0"/>
                      <w:marTop w:val="0"/>
                      <w:marBottom w:val="0"/>
                      <w:divBdr>
                        <w:top w:val="none" w:sz="0" w:space="0" w:color="auto"/>
                        <w:left w:val="none" w:sz="0" w:space="0" w:color="auto"/>
                        <w:bottom w:val="none" w:sz="0" w:space="0" w:color="auto"/>
                        <w:right w:val="none" w:sz="0" w:space="0" w:color="auto"/>
                      </w:divBdr>
                    </w:div>
                  </w:divsChild>
                </w:div>
                <w:div w:id="1415055569">
                  <w:marLeft w:val="0"/>
                  <w:marRight w:val="0"/>
                  <w:marTop w:val="0"/>
                  <w:marBottom w:val="0"/>
                  <w:divBdr>
                    <w:top w:val="none" w:sz="0" w:space="0" w:color="auto"/>
                    <w:left w:val="none" w:sz="0" w:space="0" w:color="auto"/>
                    <w:bottom w:val="none" w:sz="0" w:space="0" w:color="auto"/>
                    <w:right w:val="none" w:sz="0" w:space="0" w:color="auto"/>
                  </w:divBdr>
                  <w:divsChild>
                    <w:div w:id="1176309373">
                      <w:marLeft w:val="0"/>
                      <w:marRight w:val="0"/>
                      <w:marTop w:val="0"/>
                      <w:marBottom w:val="0"/>
                      <w:divBdr>
                        <w:top w:val="none" w:sz="0" w:space="0" w:color="auto"/>
                        <w:left w:val="none" w:sz="0" w:space="0" w:color="auto"/>
                        <w:bottom w:val="none" w:sz="0" w:space="0" w:color="auto"/>
                        <w:right w:val="none" w:sz="0" w:space="0" w:color="auto"/>
                      </w:divBdr>
                    </w:div>
                  </w:divsChild>
                </w:div>
                <w:div w:id="1422533431">
                  <w:marLeft w:val="0"/>
                  <w:marRight w:val="0"/>
                  <w:marTop w:val="0"/>
                  <w:marBottom w:val="0"/>
                  <w:divBdr>
                    <w:top w:val="none" w:sz="0" w:space="0" w:color="auto"/>
                    <w:left w:val="none" w:sz="0" w:space="0" w:color="auto"/>
                    <w:bottom w:val="none" w:sz="0" w:space="0" w:color="auto"/>
                    <w:right w:val="none" w:sz="0" w:space="0" w:color="auto"/>
                  </w:divBdr>
                  <w:divsChild>
                    <w:div w:id="430978965">
                      <w:marLeft w:val="0"/>
                      <w:marRight w:val="0"/>
                      <w:marTop w:val="0"/>
                      <w:marBottom w:val="0"/>
                      <w:divBdr>
                        <w:top w:val="none" w:sz="0" w:space="0" w:color="auto"/>
                        <w:left w:val="none" w:sz="0" w:space="0" w:color="auto"/>
                        <w:bottom w:val="none" w:sz="0" w:space="0" w:color="auto"/>
                        <w:right w:val="none" w:sz="0" w:space="0" w:color="auto"/>
                      </w:divBdr>
                    </w:div>
                  </w:divsChild>
                </w:div>
                <w:div w:id="1423914351">
                  <w:marLeft w:val="0"/>
                  <w:marRight w:val="0"/>
                  <w:marTop w:val="0"/>
                  <w:marBottom w:val="0"/>
                  <w:divBdr>
                    <w:top w:val="none" w:sz="0" w:space="0" w:color="auto"/>
                    <w:left w:val="none" w:sz="0" w:space="0" w:color="auto"/>
                    <w:bottom w:val="none" w:sz="0" w:space="0" w:color="auto"/>
                    <w:right w:val="none" w:sz="0" w:space="0" w:color="auto"/>
                  </w:divBdr>
                  <w:divsChild>
                    <w:div w:id="42338567">
                      <w:marLeft w:val="0"/>
                      <w:marRight w:val="0"/>
                      <w:marTop w:val="0"/>
                      <w:marBottom w:val="0"/>
                      <w:divBdr>
                        <w:top w:val="none" w:sz="0" w:space="0" w:color="auto"/>
                        <w:left w:val="none" w:sz="0" w:space="0" w:color="auto"/>
                        <w:bottom w:val="none" w:sz="0" w:space="0" w:color="auto"/>
                        <w:right w:val="none" w:sz="0" w:space="0" w:color="auto"/>
                      </w:divBdr>
                    </w:div>
                  </w:divsChild>
                </w:div>
                <w:div w:id="1427072283">
                  <w:marLeft w:val="0"/>
                  <w:marRight w:val="0"/>
                  <w:marTop w:val="0"/>
                  <w:marBottom w:val="0"/>
                  <w:divBdr>
                    <w:top w:val="none" w:sz="0" w:space="0" w:color="auto"/>
                    <w:left w:val="none" w:sz="0" w:space="0" w:color="auto"/>
                    <w:bottom w:val="none" w:sz="0" w:space="0" w:color="auto"/>
                    <w:right w:val="none" w:sz="0" w:space="0" w:color="auto"/>
                  </w:divBdr>
                  <w:divsChild>
                    <w:div w:id="1362896057">
                      <w:marLeft w:val="0"/>
                      <w:marRight w:val="0"/>
                      <w:marTop w:val="0"/>
                      <w:marBottom w:val="0"/>
                      <w:divBdr>
                        <w:top w:val="none" w:sz="0" w:space="0" w:color="auto"/>
                        <w:left w:val="none" w:sz="0" w:space="0" w:color="auto"/>
                        <w:bottom w:val="none" w:sz="0" w:space="0" w:color="auto"/>
                        <w:right w:val="none" w:sz="0" w:space="0" w:color="auto"/>
                      </w:divBdr>
                    </w:div>
                  </w:divsChild>
                </w:div>
                <w:div w:id="1440565832">
                  <w:marLeft w:val="0"/>
                  <w:marRight w:val="0"/>
                  <w:marTop w:val="0"/>
                  <w:marBottom w:val="0"/>
                  <w:divBdr>
                    <w:top w:val="none" w:sz="0" w:space="0" w:color="auto"/>
                    <w:left w:val="none" w:sz="0" w:space="0" w:color="auto"/>
                    <w:bottom w:val="none" w:sz="0" w:space="0" w:color="auto"/>
                    <w:right w:val="none" w:sz="0" w:space="0" w:color="auto"/>
                  </w:divBdr>
                  <w:divsChild>
                    <w:div w:id="908612763">
                      <w:marLeft w:val="0"/>
                      <w:marRight w:val="0"/>
                      <w:marTop w:val="0"/>
                      <w:marBottom w:val="0"/>
                      <w:divBdr>
                        <w:top w:val="none" w:sz="0" w:space="0" w:color="auto"/>
                        <w:left w:val="none" w:sz="0" w:space="0" w:color="auto"/>
                        <w:bottom w:val="none" w:sz="0" w:space="0" w:color="auto"/>
                        <w:right w:val="none" w:sz="0" w:space="0" w:color="auto"/>
                      </w:divBdr>
                    </w:div>
                  </w:divsChild>
                </w:div>
                <w:div w:id="1450078937">
                  <w:marLeft w:val="0"/>
                  <w:marRight w:val="0"/>
                  <w:marTop w:val="0"/>
                  <w:marBottom w:val="0"/>
                  <w:divBdr>
                    <w:top w:val="none" w:sz="0" w:space="0" w:color="auto"/>
                    <w:left w:val="none" w:sz="0" w:space="0" w:color="auto"/>
                    <w:bottom w:val="none" w:sz="0" w:space="0" w:color="auto"/>
                    <w:right w:val="none" w:sz="0" w:space="0" w:color="auto"/>
                  </w:divBdr>
                  <w:divsChild>
                    <w:div w:id="655108928">
                      <w:marLeft w:val="0"/>
                      <w:marRight w:val="0"/>
                      <w:marTop w:val="0"/>
                      <w:marBottom w:val="0"/>
                      <w:divBdr>
                        <w:top w:val="none" w:sz="0" w:space="0" w:color="auto"/>
                        <w:left w:val="none" w:sz="0" w:space="0" w:color="auto"/>
                        <w:bottom w:val="none" w:sz="0" w:space="0" w:color="auto"/>
                        <w:right w:val="none" w:sz="0" w:space="0" w:color="auto"/>
                      </w:divBdr>
                    </w:div>
                  </w:divsChild>
                </w:div>
                <w:div w:id="1524587270">
                  <w:marLeft w:val="0"/>
                  <w:marRight w:val="0"/>
                  <w:marTop w:val="0"/>
                  <w:marBottom w:val="0"/>
                  <w:divBdr>
                    <w:top w:val="none" w:sz="0" w:space="0" w:color="auto"/>
                    <w:left w:val="none" w:sz="0" w:space="0" w:color="auto"/>
                    <w:bottom w:val="none" w:sz="0" w:space="0" w:color="auto"/>
                    <w:right w:val="none" w:sz="0" w:space="0" w:color="auto"/>
                  </w:divBdr>
                  <w:divsChild>
                    <w:div w:id="943851503">
                      <w:marLeft w:val="0"/>
                      <w:marRight w:val="0"/>
                      <w:marTop w:val="0"/>
                      <w:marBottom w:val="0"/>
                      <w:divBdr>
                        <w:top w:val="none" w:sz="0" w:space="0" w:color="auto"/>
                        <w:left w:val="none" w:sz="0" w:space="0" w:color="auto"/>
                        <w:bottom w:val="none" w:sz="0" w:space="0" w:color="auto"/>
                        <w:right w:val="none" w:sz="0" w:space="0" w:color="auto"/>
                      </w:divBdr>
                    </w:div>
                  </w:divsChild>
                </w:div>
                <w:div w:id="1552616690">
                  <w:marLeft w:val="0"/>
                  <w:marRight w:val="0"/>
                  <w:marTop w:val="0"/>
                  <w:marBottom w:val="0"/>
                  <w:divBdr>
                    <w:top w:val="none" w:sz="0" w:space="0" w:color="auto"/>
                    <w:left w:val="none" w:sz="0" w:space="0" w:color="auto"/>
                    <w:bottom w:val="none" w:sz="0" w:space="0" w:color="auto"/>
                    <w:right w:val="none" w:sz="0" w:space="0" w:color="auto"/>
                  </w:divBdr>
                  <w:divsChild>
                    <w:div w:id="39207099">
                      <w:marLeft w:val="0"/>
                      <w:marRight w:val="0"/>
                      <w:marTop w:val="0"/>
                      <w:marBottom w:val="0"/>
                      <w:divBdr>
                        <w:top w:val="none" w:sz="0" w:space="0" w:color="auto"/>
                        <w:left w:val="none" w:sz="0" w:space="0" w:color="auto"/>
                        <w:bottom w:val="none" w:sz="0" w:space="0" w:color="auto"/>
                        <w:right w:val="none" w:sz="0" w:space="0" w:color="auto"/>
                      </w:divBdr>
                    </w:div>
                  </w:divsChild>
                </w:div>
                <w:div w:id="1561862809">
                  <w:marLeft w:val="0"/>
                  <w:marRight w:val="0"/>
                  <w:marTop w:val="0"/>
                  <w:marBottom w:val="0"/>
                  <w:divBdr>
                    <w:top w:val="none" w:sz="0" w:space="0" w:color="auto"/>
                    <w:left w:val="none" w:sz="0" w:space="0" w:color="auto"/>
                    <w:bottom w:val="none" w:sz="0" w:space="0" w:color="auto"/>
                    <w:right w:val="none" w:sz="0" w:space="0" w:color="auto"/>
                  </w:divBdr>
                  <w:divsChild>
                    <w:div w:id="2082407834">
                      <w:marLeft w:val="0"/>
                      <w:marRight w:val="0"/>
                      <w:marTop w:val="0"/>
                      <w:marBottom w:val="0"/>
                      <w:divBdr>
                        <w:top w:val="none" w:sz="0" w:space="0" w:color="auto"/>
                        <w:left w:val="none" w:sz="0" w:space="0" w:color="auto"/>
                        <w:bottom w:val="none" w:sz="0" w:space="0" w:color="auto"/>
                        <w:right w:val="none" w:sz="0" w:space="0" w:color="auto"/>
                      </w:divBdr>
                    </w:div>
                  </w:divsChild>
                </w:div>
                <w:div w:id="1564559797">
                  <w:marLeft w:val="0"/>
                  <w:marRight w:val="0"/>
                  <w:marTop w:val="0"/>
                  <w:marBottom w:val="0"/>
                  <w:divBdr>
                    <w:top w:val="none" w:sz="0" w:space="0" w:color="auto"/>
                    <w:left w:val="none" w:sz="0" w:space="0" w:color="auto"/>
                    <w:bottom w:val="none" w:sz="0" w:space="0" w:color="auto"/>
                    <w:right w:val="none" w:sz="0" w:space="0" w:color="auto"/>
                  </w:divBdr>
                  <w:divsChild>
                    <w:div w:id="1283537970">
                      <w:marLeft w:val="0"/>
                      <w:marRight w:val="0"/>
                      <w:marTop w:val="0"/>
                      <w:marBottom w:val="0"/>
                      <w:divBdr>
                        <w:top w:val="none" w:sz="0" w:space="0" w:color="auto"/>
                        <w:left w:val="none" w:sz="0" w:space="0" w:color="auto"/>
                        <w:bottom w:val="none" w:sz="0" w:space="0" w:color="auto"/>
                        <w:right w:val="none" w:sz="0" w:space="0" w:color="auto"/>
                      </w:divBdr>
                    </w:div>
                  </w:divsChild>
                </w:div>
                <w:div w:id="1566643856">
                  <w:marLeft w:val="0"/>
                  <w:marRight w:val="0"/>
                  <w:marTop w:val="0"/>
                  <w:marBottom w:val="0"/>
                  <w:divBdr>
                    <w:top w:val="none" w:sz="0" w:space="0" w:color="auto"/>
                    <w:left w:val="none" w:sz="0" w:space="0" w:color="auto"/>
                    <w:bottom w:val="none" w:sz="0" w:space="0" w:color="auto"/>
                    <w:right w:val="none" w:sz="0" w:space="0" w:color="auto"/>
                  </w:divBdr>
                  <w:divsChild>
                    <w:div w:id="645087009">
                      <w:marLeft w:val="0"/>
                      <w:marRight w:val="0"/>
                      <w:marTop w:val="0"/>
                      <w:marBottom w:val="0"/>
                      <w:divBdr>
                        <w:top w:val="none" w:sz="0" w:space="0" w:color="auto"/>
                        <w:left w:val="none" w:sz="0" w:space="0" w:color="auto"/>
                        <w:bottom w:val="none" w:sz="0" w:space="0" w:color="auto"/>
                        <w:right w:val="none" w:sz="0" w:space="0" w:color="auto"/>
                      </w:divBdr>
                    </w:div>
                  </w:divsChild>
                </w:div>
                <w:div w:id="1635134854">
                  <w:marLeft w:val="0"/>
                  <w:marRight w:val="0"/>
                  <w:marTop w:val="0"/>
                  <w:marBottom w:val="0"/>
                  <w:divBdr>
                    <w:top w:val="none" w:sz="0" w:space="0" w:color="auto"/>
                    <w:left w:val="none" w:sz="0" w:space="0" w:color="auto"/>
                    <w:bottom w:val="none" w:sz="0" w:space="0" w:color="auto"/>
                    <w:right w:val="none" w:sz="0" w:space="0" w:color="auto"/>
                  </w:divBdr>
                  <w:divsChild>
                    <w:div w:id="1473333362">
                      <w:marLeft w:val="0"/>
                      <w:marRight w:val="0"/>
                      <w:marTop w:val="0"/>
                      <w:marBottom w:val="0"/>
                      <w:divBdr>
                        <w:top w:val="none" w:sz="0" w:space="0" w:color="auto"/>
                        <w:left w:val="none" w:sz="0" w:space="0" w:color="auto"/>
                        <w:bottom w:val="none" w:sz="0" w:space="0" w:color="auto"/>
                        <w:right w:val="none" w:sz="0" w:space="0" w:color="auto"/>
                      </w:divBdr>
                    </w:div>
                  </w:divsChild>
                </w:div>
                <w:div w:id="1653021828">
                  <w:marLeft w:val="0"/>
                  <w:marRight w:val="0"/>
                  <w:marTop w:val="0"/>
                  <w:marBottom w:val="0"/>
                  <w:divBdr>
                    <w:top w:val="none" w:sz="0" w:space="0" w:color="auto"/>
                    <w:left w:val="none" w:sz="0" w:space="0" w:color="auto"/>
                    <w:bottom w:val="none" w:sz="0" w:space="0" w:color="auto"/>
                    <w:right w:val="none" w:sz="0" w:space="0" w:color="auto"/>
                  </w:divBdr>
                  <w:divsChild>
                    <w:div w:id="460076752">
                      <w:marLeft w:val="0"/>
                      <w:marRight w:val="0"/>
                      <w:marTop w:val="0"/>
                      <w:marBottom w:val="0"/>
                      <w:divBdr>
                        <w:top w:val="none" w:sz="0" w:space="0" w:color="auto"/>
                        <w:left w:val="none" w:sz="0" w:space="0" w:color="auto"/>
                        <w:bottom w:val="none" w:sz="0" w:space="0" w:color="auto"/>
                        <w:right w:val="none" w:sz="0" w:space="0" w:color="auto"/>
                      </w:divBdr>
                    </w:div>
                  </w:divsChild>
                </w:div>
                <w:div w:id="1656109542">
                  <w:marLeft w:val="0"/>
                  <w:marRight w:val="0"/>
                  <w:marTop w:val="0"/>
                  <w:marBottom w:val="0"/>
                  <w:divBdr>
                    <w:top w:val="none" w:sz="0" w:space="0" w:color="auto"/>
                    <w:left w:val="none" w:sz="0" w:space="0" w:color="auto"/>
                    <w:bottom w:val="none" w:sz="0" w:space="0" w:color="auto"/>
                    <w:right w:val="none" w:sz="0" w:space="0" w:color="auto"/>
                  </w:divBdr>
                  <w:divsChild>
                    <w:div w:id="337655417">
                      <w:marLeft w:val="0"/>
                      <w:marRight w:val="0"/>
                      <w:marTop w:val="0"/>
                      <w:marBottom w:val="0"/>
                      <w:divBdr>
                        <w:top w:val="none" w:sz="0" w:space="0" w:color="auto"/>
                        <w:left w:val="none" w:sz="0" w:space="0" w:color="auto"/>
                        <w:bottom w:val="none" w:sz="0" w:space="0" w:color="auto"/>
                        <w:right w:val="none" w:sz="0" w:space="0" w:color="auto"/>
                      </w:divBdr>
                    </w:div>
                  </w:divsChild>
                </w:div>
                <w:div w:id="1675108585">
                  <w:marLeft w:val="0"/>
                  <w:marRight w:val="0"/>
                  <w:marTop w:val="0"/>
                  <w:marBottom w:val="0"/>
                  <w:divBdr>
                    <w:top w:val="none" w:sz="0" w:space="0" w:color="auto"/>
                    <w:left w:val="none" w:sz="0" w:space="0" w:color="auto"/>
                    <w:bottom w:val="none" w:sz="0" w:space="0" w:color="auto"/>
                    <w:right w:val="none" w:sz="0" w:space="0" w:color="auto"/>
                  </w:divBdr>
                  <w:divsChild>
                    <w:div w:id="1484814387">
                      <w:marLeft w:val="0"/>
                      <w:marRight w:val="0"/>
                      <w:marTop w:val="0"/>
                      <w:marBottom w:val="0"/>
                      <w:divBdr>
                        <w:top w:val="none" w:sz="0" w:space="0" w:color="auto"/>
                        <w:left w:val="none" w:sz="0" w:space="0" w:color="auto"/>
                        <w:bottom w:val="none" w:sz="0" w:space="0" w:color="auto"/>
                        <w:right w:val="none" w:sz="0" w:space="0" w:color="auto"/>
                      </w:divBdr>
                    </w:div>
                  </w:divsChild>
                </w:div>
                <w:div w:id="1699233194">
                  <w:marLeft w:val="0"/>
                  <w:marRight w:val="0"/>
                  <w:marTop w:val="0"/>
                  <w:marBottom w:val="0"/>
                  <w:divBdr>
                    <w:top w:val="none" w:sz="0" w:space="0" w:color="auto"/>
                    <w:left w:val="none" w:sz="0" w:space="0" w:color="auto"/>
                    <w:bottom w:val="none" w:sz="0" w:space="0" w:color="auto"/>
                    <w:right w:val="none" w:sz="0" w:space="0" w:color="auto"/>
                  </w:divBdr>
                  <w:divsChild>
                    <w:div w:id="603002510">
                      <w:marLeft w:val="0"/>
                      <w:marRight w:val="0"/>
                      <w:marTop w:val="0"/>
                      <w:marBottom w:val="0"/>
                      <w:divBdr>
                        <w:top w:val="none" w:sz="0" w:space="0" w:color="auto"/>
                        <w:left w:val="none" w:sz="0" w:space="0" w:color="auto"/>
                        <w:bottom w:val="none" w:sz="0" w:space="0" w:color="auto"/>
                        <w:right w:val="none" w:sz="0" w:space="0" w:color="auto"/>
                      </w:divBdr>
                    </w:div>
                  </w:divsChild>
                </w:div>
                <w:div w:id="1707481598">
                  <w:marLeft w:val="0"/>
                  <w:marRight w:val="0"/>
                  <w:marTop w:val="0"/>
                  <w:marBottom w:val="0"/>
                  <w:divBdr>
                    <w:top w:val="none" w:sz="0" w:space="0" w:color="auto"/>
                    <w:left w:val="none" w:sz="0" w:space="0" w:color="auto"/>
                    <w:bottom w:val="none" w:sz="0" w:space="0" w:color="auto"/>
                    <w:right w:val="none" w:sz="0" w:space="0" w:color="auto"/>
                  </w:divBdr>
                  <w:divsChild>
                    <w:div w:id="698821080">
                      <w:marLeft w:val="0"/>
                      <w:marRight w:val="0"/>
                      <w:marTop w:val="0"/>
                      <w:marBottom w:val="0"/>
                      <w:divBdr>
                        <w:top w:val="none" w:sz="0" w:space="0" w:color="auto"/>
                        <w:left w:val="none" w:sz="0" w:space="0" w:color="auto"/>
                        <w:bottom w:val="none" w:sz="0" w:space="0" w:color="auto"/>
                        <w:right w:val="none" w:sz="0" w:space="0" w:color="auto"/>
                      </w:divBdr>
                    </w:div>
                  </w:divsChild>
                </w:div>
                <w:div w:id="1735858632">
                  <w:marLeft w:val="0"/>
                  <w:marRight w:val="0"/>
                  <w:marTop w:val="0"/>
                  <w:marBottom w:val="0"/>
                  <w:divBdr>
                    <w:top w:val="none" w:sz="0" w:space="0" w:color="auto"/>
                    <w:left w:val="none" w:sz="0" w:space="0" w:color="auto"/>
                    <w:bottom w:val="none" w:sz="0" w:space="0" w:color="auto"/>
                    <w:right w:val="none" w:sz="0" w:space="0" w:color="auto"/>
                  </w:divBdr>
                  <w:divsChild>
                    <w:div w:id="1921255147">
                      <w:marLeft w:val="0"/>
                      <w:marRight w:val="0"/>
                      <w:marTop w:val="0"/>
                      <w:marBottom w:val="0"/>
                      <w:divBdr>
                        <w:top w:val="none" w:sz="0" w:space="0" w:color="auto"/>
                        <w:left w:val="none" w:sz="0" w:space="0" w:color="auto"/>
                        <w:bottom w:val="none" w:sz="0" w:space="0" w:color="auto"/>
                        <w:right w:val="none" w:sz="0" w:space="0" w:color="auto"/>
                      </w:divBdr>
                    </w:div>
                  </w:divsChild>
                </w:div>
                <w:div w:id="1744647101">
                  <w:marLeft w:val="0"/>
                  <w:marRight w:val="0"/>
                  <w:marTop w:val="0"/>
                  <w:marBottom w:val="0"/>
                  <w:divBdr>
                    <w:top w:val="none" w:sz="0" w:space="0" w:color="auto"/>
                    <w:left w:val="none" w:sz="0" w:space="0" w:color="auto"/>
                    <w:bottom w:val="none" w:sz="0" w:space="0" w:color="auto"/>
                    <w:right w:val="none" w:sz="0" w:space="0" w:color="auto"/>
                  </w:divBdr>
                  <w:divsChild>
                    <w:div w:id="1817868809">
                      <w:marLeft w:val="0"/>
                      <w:marRight w:val="0"/>
                      <w:marTop w:val="0"/>
                      <w:marBottom w:val="0"/>
                      <w:divBdr>
                        <w:top w:val="none" w:sz="0" w:space="0" w:color="auto"/>
                        <w:left w:val="none" w:sz="0" w:space="0" w:color="auto"/>
                        <w:bottom w:val="none" w:sz="0" w:space="0" w:color="auto"/>
                        <w:right w:val="none" w:sz="0" w:space="0" w:color="auto"/>
                      </w:divBdr>
                    </w:div>
                  </w:divsChild>
                </w:div>
                <w:div w:id="1778672909">
                  <w:marLeft w:val="0"/>
                  <w:marRight w:val="0"/>
                  <w:marTop w:val="0"/>
                  <w:marBottom w:val="0"/>
                  <w:divBdr>
                    <w:top w:val="none" w:sz="0" w:space="0" w:color="auto"/>
                    <w:left w:val="none" w:sz="0" w:space="0" w:color="auto"/>
                    <w:bottom w:val="none" w:sz="0" w:space="0" w:color="auto"/>
                    <w:right w:val="none" w:sz="0" w:space="0" w:color="auto"/>
                  </w:divBdr>
                  <w:divsChild>
                    <w:div w:id="1943294374">
                      <w:marLeft w:val="0"/>
                      <w:marRight w:val="0"/>
                      <w:marTop w:val="0"/>
                      <w:marBottom w:val="0"/>
                      <w:divBdr>
                        <w:top w:val="none" w:sz="0" w:space="0" w:color="auto"/>
                        <w:left w:val="none" w:sz="0" w:space="0" w:color="auto"/>
                        <w:bottom w:val="none" w:sz="0" w:space="0" w:color="auto"/>
                        <w:right w:val="none" w:sz="0" w:space="0" w:color="auto"/>
                      </w:divBdr>
                    </w:div>
                  </w:divsChild>
                </w:div>
                <w:div w:id="1803302780">
                  <w:marLeft w:val="0"/>
                  <w:marRight w:val="0"/>
                  <w:marTop w:val="0"/>
                  <w:marBottom w:val="0"/>
                  <w:divBdr>
                    <w:top w:val="none" w:sz="0" w:space="0" w:color="auto"/>
                    <w:left w:val="none" w:sz="0" w:space="0" w:color="auto"/>
                    <w:bottom w:val="none" w:sz="0" w:space="0" w:color="auto"/>
                    <w:right w:val="none" w:sz="0" w:space="0" w:color="auto"/>
                  </w:divBdr>
                  <w:divsChild>
                    <w:div w:id="207229606">
                      <w:marLeft w:val="0"/>
                      <w:marRight w:val="0"/>
                      <w:marTop w:val="0"/>
                      <w:marBottom w:val="0"/>
                      <w:divBdr>
                        <w:top w:val="none" w:sz="0" w:space="0" w:color="auto"/>
                        <w:left w:val="none" w:sz="0" w:space="0" w:color="auto"/>
                        <w:bottom w:val="none" w:sz="0" w:space="0" w:color="auto"/>
                        <w:right w:val="none" w:sz="0" w:space="0" w:color="auto"/>
                      </w:divBdr>
                    </w:div>
                  </w:divsChild>
                </w:div>
                <w:div w:id="1808475411">
                  <w:marLeft w:val="0"/>
                  <w:marRight w:val="0"/>
                  <w:marTop w:val="0"/>
                  <w:marBottom w:val="0"/>
                  <w:divBdr>
                    <w:top w:val="none" w:sz="0" w:space="0" w:color="auto"/>
                    <w:left w:val="none" w:sz="0" w:space="0" w:color="auto"/>
                    <w:bottom w:val="none" w:sz="0" w:space="0" w:color="auto"/>
                    <w:right w:val="none" w:sz="0" w:space="0" w:color="auto"/>
                  </w:divBdr>
                  <w:divsChild>
                    <w:div w:id="869951621">
                      <w:marLeft w:val="0"/>
                      <w:marRight w:val="0"/>
                      <w:marTop w:val="0"/>
                      <w:marBottom w:val="0"/>
                      <w:divBdr>
                        <w:top w:val="none" w:sz="0" w:space="0" w:color="auto"/>
                        <w:left w:val="none" w:sz="0" w:space="0" w:color="auto"/>
                        <w:bottom w:val="none" w:sz="0" w:space="0" w:color="auto"/>
                        <w:right w:val="none" w:sz="0" w:space="0" w:color="auto"/>
                      </w:divBdr>
                    </w:div>
                  </w:divsChild>
                </w:div>
                <w:div w:id="1836989845">
                  <w:marLeft w:val="0"/>
                  <w:marRight w:val="0"/>
                  <w:marTop w:val="0"/>
                  <w:marBottom w:val="0"/>
                  <w:divBdr>
                    <w:top w:val="none" w:sz="0" w:space="0" w:color="auto"/>
                    <w:left w:val="none" w:sz="0" w:space="0" w:color="auto"/>
                    <w:bottom w:val="none" w:sz="0" w:space="0" w:color="auto"/>
                    <w:right w:val="none" w:sz="0" w:space="0" w:color="auto"/>
                  </w:divBdr>
                  <w:divsChild>
                    <w:div w:id="801967268">
                      <w:marLeft w:val="0"/>
                      <w:marRight w:val="0"/>
                      <w:marTop w:val="0"/>
                      <w:marBottom w:val="0"/>
                      <w:divBdr>
                        <w:top w:val="none" w:sz="0" w:space="0" w:color="auto"/>
                        <w:left w:val="none" w:sz="0" w:space="0" w:color="auto"/>
                        <w:bottom w:val="none" w:sz="0" w:space="0" w:color="auto"/>
                        <w:right w:val="none" w:sz="0" w:space="0" w:color="auto"/>
                      </w:divBdr>
                    </w:div>
                  </w:divsChild>
                </w:div>
                <w:div w:id="1868910337">
                  <w:marLeft w:val="0"/>
                  <w:marRight w:val="0"/>
                  <w:marTop w:val="0"/>
                  <w:marBottom w:val="0"/>
                  <w:divBdr>
                    <w:top w:val="none" w:sz="0" w:space="0" w:color="auto"/>
                    <w:left w:val="none" w:sz="0" w:space="0" w:color="auto"/>
                    <w:bottom w:val="none" w:sz="0" w:space="0" w:color="auto"/>
                    <w:right w:val="none" w:sz="0" w:space="0" w:color="auto"/>
                  </w:divBdr>
                  <w:divsChild>
                    <w:div w:id="1836648835">
                      <w:marLeft w:val="0"/>
                      <w:marRight w:val="0"/>
                      <w:marTop w:val="0"/>
                      <w:marBottom w:val="0"/>
                      <w:divBdr>
                        <w:top w:val="none" w:sz="0" w:space="0" w:color="auto"/>
                        <w:left w:val="none" w:sz="0" w:space="0" w:color="auto"/>
                        <w:bottom w:val="none" w:sz="0" w:space="0" w:color="auto"/>
                        <w:right w:val="none" w:sz="0" w:space="0" w:color="auto"/>
                      </w:divBdr>
                    </w:div>
                  </w:divsChild>
                </w:div>
                <w:div w:id="1884632335">
                  <w:marLeft w:val="0"/>
                  <w:marRight w:val="0"/>
                  <w:marTop w:val="0"/>
                  <w:marBottom w:val="0"/>
                  <w:divBdr>
                    <w:top w:val="none" w:sz="0" w:space="0" w:color="auto"/>
                    <w:left w:val="none" w:sz="0" w:space="0" w:color="auto"/>
                    <w:bottom w:val="none" w:sz="0" w:space="0" w:color="auto"/>
                    <w:right w:val="none" w:sz="0" w:space="0" w:color="auto"/>
                  </w:divBdr>
                  <w:divsChild>
                    <w:div w:id="98837886">
                      <w:marLeft w:val="0"/>
                      <w:marRight w:val="0"/>
                      <w:marTop w:val="0"/>
                      <w:marBottom w:val="0"/>
                      <w:divBdr>
                        <w:top w:val="none" w:sz="0" w:space="0" w:color="auto"/>
                        <w:left w:val="none" w:sz="0" w:space="0" w:color="auto"/>
                        <w:bottom w:val="none" w:sz="0" w:space="0" w:color="auto"/>
                        <w:right w:val="none" w:sz="0" w:space="0" w:color="auto"/>
                      </w:divBdr>
                    </w:div>
                  </w:divsChild>
                </w:div>
                <w:div w:id="1891458354">
                  <w:marLeft w:val="0"/>
                  <w:marRight w:val="0"/>
                  <w:marTop w:val="0"/>
                  <w:marBottom w:val="0"/>
                  <w:divBdr>
                    <w:top w:val="none" w:sz="0" w:space="0" w:color="auto"/>
                    <w:left w:val="none" w:sz="0" w:space="0" w:color="auto"/>
                    <w:bottom w:val="none" w:sz="0" w:space="0" w:color="auto"/>
                    <w:right w:val="none" w:sz="0" w:space="0" w:color="auto"/>
                  </w:divBdr>
                  <w:divsChild>
                    <w:div w:id="218053859">
                      <w:marLeft w:val="0"/>
                      <w:marRight w:val="0"/>
                      <w:marTop w:val="0"/>
                      <w:marBottom w:val="0"/>
                      <w:divBdr>
                        <w:top w:val="none" w:sz="0" w:space="0" w:color="auto"/>
                        <w:left w:val="none" w:sz="0" w:space="0" w:color="auto"/>
                        <w:bottom w:val="none" w:sz="0" w:space="0" w:color="auto"/>
                        <w:right w:val="none" w:sz="0" w:space="0" w:color="auto"/>
                      </w:divBdr>
                    </w:div>
                  </w:divsChild>
                </w:div>
                <w:div w:id="1902710692">
                  <w:marLeft w:val="0"/>
                  <w:marRight w:val="0"/>
                  <w:marTop w:val="0"/>
                  <w:marBottom w:val="0"/>
                  <w:divBdr>
                    <w:top w:val="none" w:sz="0" w:space="0" w:color="auto"/>
                    <w:left w:val="none" w:sz="0" w:space="0" w:color="auto"/>
                    <w:bottom w:val="none" w:sz="0" w:space="0" w:color="auto"/>
                    <w:right w:val="none" w:sz="0" w:space="0" w:color="auto"/>
                  </w:divBdr>
                  <w:divsChild>
                    <w:div w:id="1195118553">
                      <w:marLeft w:val="0"/>
                      <w:marRight w:val="0"/>
                      <w:marTop w:val="0"/>
                      <w:marBottom w:val="0"/>
                      <w:divBdr>
                        <w:top w:val="none" w:sz="0" w:space="0" w:color="auto"/>
                        <w:left w:val="none" w:sz="0" w:space="0" w:color="auto"/>
                        <w:bottom w:val="none" w:sz="0" w:space="0" w:color="auto"/>
                        <w:right w:val="none" w:sz="0" w:space="0" w:color="auto"/>
                      </w:divBdr>
                    </w:div>
                  </w:divsChild>
                </w:div>
                <w:div w:id="1920167379">
                  <w:marLeft w:val="0"/>
                  <w:marRight w:val="0"/>
                  <w:marTop w:val="0"/>
                  <w:marBottom w:val="0"/>
                  <w:divBdr>
                    <w:top w:val="none" w:sz="0" w:space="0" w:color="auto"/>
                    <w:left w:val="none" w:sz="0" w:space="0" w:color="auto"/>
                    <w:bottom w:val="none" w:sz="0" w:space="0" w:color="auto"/>
                    <w:right w:val="none" w:sz="0" w:space="0" w:color="auto"/>
                  </w:divBdr>
                  <w:divsChild>
                    <w:div w:id="1160924448">
                      <w:marLeft w:val="0"/>
                      <w:marRight w:val="0"/>
                      <w:marTop w:val="0"/>
                      <w:marBottom w:val="0"/>
                      <w:divBdr>
                        <w:top w:val="none" w:sz="0" w:space="0" w:color="auto"/>
                        <w:left w:val="none" w:sz="0" w:space="0" w:color="auto"/>
                        <w:bottom w:val="none" w:sz="0" w:space="0" w:color="auto"/>
                        <w:right w:val="none" w:sz="0" w:space="0" w:color="auto"/>
                      </w:divBdr>
                    </w:div>
                  </w:divsChild>
                </w:div>
                <w:div w:id="1935281446">
                  <w:marLeft w:val="0"/>
                  <w:marRight w:val="0"/>
                  <w:marTop w:val="0"/>
                  <w:marBottom w:val="0"/>
                  <w:divBdr>
                    <w:top w:val="none" w:sz="0" w:space="0" w:color="auto"/>
                    <w:left w:val="none" w:sz="0" w:space="0" w:color="auto"/>
                    <w:bottom w:val="none" w:sz="0" w:space="0" w:color="auto"/>
                    <w:right w:val="none" w:sz="0" w:space="0" w:color="auto"/>
                  </w:divBdr>
                  <w:divsChild>
                    <w:div w:id="1673147048">
                      <w:marLeft w:val="0"/>
                      <w:marRight w:val="0"/>
                      <w:marTop w:val="0"/>
                      <w:marBottom w:val="0"/>
                      <w:divBdr>
                        <w:top w:val="none" w:sz="0" w:space="0" w:color="auto"/>
                        <w:left w:val="none" w:sz="0" w:space="0" w:color="auto"/>
                        <w:bottom w:val="none" w:sz="0" w:space="0" w:color="auto"/>
                        <w:right w:val="none" w:sz="0" w:space="0" w:color="auto"/>
                      </w:divBdr>
                    </w:div>
                  </w:divsChild>
                </w:div>
                <w:div w:id="1944679663">
                  <w:marLeft w:val="0"/>
                  <w:marRight w:val="0"/>
                  <w:marTop w:val="0"/>
                  <w:marBottom w:val="0"/>
                  <w:divBdr>
                    <w:top w:val="none" w:sz="0" w:space="0" w:color="auto"/>
                    <w:left w:val="none" w:sz="0" w:space="0" w:color="auto"/>
                    <w:bottom w:val="none" w:sz="0" w:space="0" w:color="auto"/>
                    <w:right w:val="none" w:sz="0" w:space="0" w:color="auto"/>
                  </w:divBdr>
                  <w:divsChild>
                    <w:div w:id="510416525">
                      <w:marLeft w:val="0"/>
                      <w:marRight w:val="0"/>
                      <w:marTop w:val="0"/>
                      <w:marBottom w:val="0"/>
                      <w:divBdr>
                        <w:top w:val="none" w:sz="0" w:space="0" w:color="auto"/>
                        <w:left w:val="none" w:sz="0" w:space="0" w:color="auto"/>
                        <w:bottom w:val="none" w:sz="0" w:space="0" w:color="auto"/>
                        <w:right w:val="none" w:sz="0" w:space="0" w:color="auto"/>
                      </w:divBdr>
                    </w:div>
                  </w:divsChild>
                </w:div>
                <w:div w:id="1954245316">
                  <w:marLeft w:val="0"/>
                  <w:marRight w:val="0"/>
                  <w:marTop w:val="0"/>
                  <w:marBottom w:val="0"/>
                  <w:divBdr>
                    <w:top w:val="none" w:sz="0" w:space="0" w:color="auto"/>
                    <w:left w:val="none" w:sz="0" w:space="0" w:color="auto"/>
                    <w:bottom w:val="none" w:sz="0" w:space="0" w:color="auto"/>
                    <w:right w:val="none" w:sz="0" w:space="0" w:color="auto"/>
                  </w:divBdr>
                  <w:divsChild>
                    <w:div w:id="175654643">
                      <w:marLeft w:val="0"/>
                      <w:marRight w:val="0"/>
                      <w:marTop w:val="0"/>
                      <w:marBottom w:val="0"/>
                      <w:divBdr>
                        <w:top w:val="none" w:sz="0" w:space="0" w:color="auto"/>
                        <w:left w:val="none" w:sz="0" w:space="0" w:color="auto"/>
                        <w:bottom w:val="none" w:sz="0" w:space="0" w:color="auto"/>
                        <w:right w:val="none" w:sz="0" w:space="0" w:color="auto"/>
                      </w:divBdr>
                    </w:div>
                  </w:divsChild>
                </w:div>
                <w:div w:id="1968192957">
                  <w:marLeft w:val="0"/>
                  <w:marRight w:val="0"/>
                  <w:marTop w:val="0"/>
                  <w:marBottom w:val="0"/>
                  <w:divBdr>
                    <w:top w:val="none" w:sz="0" w:space="0" w:color="auto"/>
                    <w:left w:val="none" w:sz="0" w:space="0" w:color="auto"/>
                    <w:bottom w:val="none" w:sz="0" w:space="0" w:color="auto"/>
                    <w:right w:val="none" w:sz="0" w:space="0" w:color="auto"/>
                  </w:divBdr>
                  <w:divsChild>
                    <w:div w:id="1404838187">
                      <w:marLeft w:val="0"/>
                      <w:marRight w:val="0"/>
                      <w:marTop w:val="0"/>
                      <w:marBottom w:val="0"/>
                      <w:divBdr>
                        <w:top w:val="none" w:sz="0" w:space="0" w:color="auto"/>
                        <w:left w:val="none" w:sz="0" w:space="0" w:color="auto"/>
                        <w:bottom w:val="none" w:sz="0" w:space="0" w:color="auto"/>
                        <w:right w:val="none" w:sz="0" w:space="0" w:color="auto"/>
                      </w:divBdr>
                    </w:div>
                  </w:divsChild>
                </w:div>
                <w:div w:id="1976719126">
                  <w:marLeft w:val="0"/>
                  <w:marRight w:val="0"/>
                  <w:marTop w:val="0"/>
                  <w:marBottom w:val="0"/>
                  <w:divBdr>
                    <w:top w:val="none" w:sz="0" w:space="0" w:color="auto"/>
                    <w:left w:val="none" w:sz="0" w:space="0" w:color="auto"/>
                    <w:bottom w:val="none" w:sz="0" w:space="0" w:color="auto"/>
                    <w:right w:val="none" w:sz="0" w:space="0" w:color="auto"/>
                  </w:divBdr>
                  <w:divsChild>
                    <w:div w:id="225722442">
                      <w:marLeft w:val="0"/>
                      <w:marRight w:val="0"/>
                      <w:marTop w:val="0"/>
                      <w:marBottom w:val="0"/>
                      <w:divBdr>
                        <w:top w:val="none" w:sz="0" w:space="0" w:color="auto"/>
                        <w:left w:val="none" w:sz="0" w:space="0" w:color="auto"/>
                        <w:bottom w:val="none" w:sz="0" w:space="0" w:color="auto"/>
                        <w:right w:val="none" w:sz="0" w:space="0" w:color="auto"/>
                      </w:divBdr>
                    </w:div>
                  </w:divsChild>
                </w:div>
                <w:div w:id="2035032877">
                  <w:marLeft w:val="0"/>
                  <w:marRight w:val="0"/>
                  <w:marTop w:val="0"/>
                  <w:marBottom w:val="0"/>
                  <w:divBdr>
                    <w:top w:val="none" w:sz="0" w:space="0" w:color="auto"/>
                    <w:left w:val="none" w:sz="0" w:space="0" w:color="auto"/>
                    <w:bottom w:val="none" w:sz="0" w:space="0" w:color="auto"/>
                    <w:right w:val="none" w:sz="0" w:space="0" w:color="auto"/>
                  </w:divBdr>
                  <w:divsChild>
                    <w:div w:id="600990380">
                      <w:marLeft w:val="0"/>
                      <w:marRight w:val="0"/>
                      <w:marTop w:val="0"/>
                      <w:marBottom w:val="0"/>
                      <w:divBdr>
                        <w:top w:val="none" w:sz="0" w:space="0" w:color="auto"/>
                        <w:left w:val="none" w:sz="0" w:space="0" w:color="auto"/>
                        <w:bottom w:val="none" w:sz="0" w:space="0" w:color="auto"/>
                        <w:right w:val="none" w:sz="0" w:space="0" w:color="auto"/>
                      </w:divBdr>
                    </w:div>
                  </w:divsChild>
                </w:div>
                <w:div w:id="2073043593">
                  <w:marLeft w:val="0"/>
                  <w:marRight w:val="0"/>
                  <w:marTop w:val="0"/>
                  <w:marBottom w:val="0"/>
                  <w:divBdr>
                    <w:top w:val="none" w:sz="0" w:space="0" w:color="auto"/>
                    <w:left w:val="none" w:sz="0" w:space="0" w:color="auto"/>
                    <w:bottom w:val="none" w:sz="0" w:space="0" w:color="auto"/>
                    <w:right w:val="none" w:sz="0" w:space="0" w:color="auto"/>
                  </w:divBdr>
                  <w:divsChild>
                    <w:div w:id="592862761">
                      <w:marLeft w:val="0"/>
                      <w:marRight w:val="0"/>
                      <w:marTop w:val="0"/>
                      <w:marBottom w:val="0"/>
                      <w:divBdr>
                        <w:top w:val="none" w:sz="0" w:space="0" w:color="auto"/>
                        <w:left w:val="none" w:sz="0" w:space="0" w:color="auto"/>
                        <w:bottom w:val="none" w:sz="0" w:space="0" w:color="auto"/>
                        <w:right w:val="none" w:sz="0" w:space="0" w:color="auto"/>
                      </w:divBdr>
                    </w:div>
                  </w:divsChild>
                </w:div>
                <w:div w:id="2078697688">
                  <w:marLeft w:val="0"/>
                  <w:marRight w:val="0"/>
                  <w:marTop w:val="0"/>
                  <w:marBottom w:val="0"/>
                  <w:divBdr>
                    <w:top w:val="none" w:sz="0" w:space="0" w:color="auto"/>
                    <w:left w:val="none" w:sz="0" w:space="0" w:color="auto"/>
                    <w:bottom w:val="none" w:sz="0" w:space="0" w:color="auto"/>
                    <w:right w:val="none" w:sz="0" w:space="0" w:color="auto"/>
                  </w:divBdr>
                  <w:divsChild>
                    <w:div w:id="805777031">
                      <w:marLeft w:val="0"/>
                      <w:marRight w:val="0"/>
                      <w:marTop w:val="0"/>
                      <w:marBottom w:val="0"/>
                      <w:divBdr>
                        <w:top w:val="none" w:sz="0" w:space="0" w:color="auto"/>
                        <w:left w:val="none" w:sz="0" w:space="0" w:color="auto"/>
                        <w:bottom w:val="none" w:sz="0" w:space="0" w:color="auto"/>
                        <w:right w:val="none" w:sz="0" w:space="0" w:color="auto"/>
                      </w:divBdr>
                    </w:div>
                  </w:divsChild>
                </w:div>
                <w:div w:id="2080207872">
                  <w:marLeft w:val="0"/>
                  <w:marRight w:val="0"/>
                  <w:marTop w:val="0"/>
                  <w:marBottom w:val="0"/>
                  <w:divBdr>
                    <w:top w:val="none" w:sz="0" w:space="0" w:color="auto"/>
                    <w:left w:val="none" w:sz="0" w:space="0" w:color="auto"/>
                    <w:bottom w:val="none" w:sz="0" w:space="0" w:color="auto"/>
                    <w:right w:val="none" w:sz="0" w:space="0" w:color="auto"/>
                  </w:divBdr>
                  <w:divsChild>
                    <w:div w:id="1415662090">
                      <w:marLeft w:val="0"/>
                      <w:marRight w:val="0"/>
                      <w:marTop w:val="0"/>
                      <w:marBottom w:val="0"/>
                      <w:divBdr>
                        <w:top w:val="none" w:sz="0" w:space="0" w:color="auto"/>
                        <w:left w:val="none" w:sz="0" w:space="0" w:color="auto"/>
                        <w:bottom w:val="none" w:sz="0" w:space="0" w:color="auto"/>
                        <w:right w:val="none" w:sz="0" w:space="0" w:color="auto"/>
                      </w:divBdr>
                    </w:div>
                  </w:divsChild>
                </w:div>
                <w:div w:id="2084910930">
                  <w:marLeft w:val="0"/>
                  <w:marRight w:val="0"/>
                  <w:marTop w:val="0"/>
                  <w:marBottom w:val="0"/>
                  <w:divBdr>
                    <w:top w:val="none" w:sz="0" w:space="0" w:color="auto"/>
                    <w:left w:val="none" w:sz="0" w:space="0" w:color="auto"/>
                    <w:bottom w:val="none" w:sz="0" w:space="0" w:color="auto"/>
                    <w:right w:val="none" w:sz="0" w:space="0" w:color="auto"/>
                  </w:divBdr>
                  <w:divsChild>
                    <w:div w:id="1084454503">
                      <w:marLeft w:val="0"/>
                      <w:marRight w:val="0"/>
                      <w:marTop w:val="0"/>
                      <w:marBottom w:val="0"/>
                      <w:divBdr>
                        <w:top w:val="none" w:sz="0" w:space="0" w:color="auto"/>
                        <w:left w:val="none" w:sz="0" w:space="0" w:color="auto"/>
                        <w:bottom w:val="none" w:sz="0" w:space="0" w:color="auto"/>
                        <w:right w:val="none" w:sz="0" w:space="0" w:color="auto"/>
                      </w:divBdr>
                    </w:div>
                  </w:divsChild>
                </w:div>
                <w:div w:id="2106605887">
                  <w:marLeft w:val="0"/>
                  <w:marRight w:val="0"/>
                  <w:marTop w:val="0"/>
                  <w:marBottom w:val="0"/>
                  <w:divBdr>
                    <w:top w:val="none" w:sz="0" w:space="0" w:color="auto"/>
                    <w:left w:val="none" w:sz="0" w:space="0" w:color="auto"/>
                    <w:bottom w:val="none" w:sz="0" w:space="0" w:color="auto"/>
                    <w:right w:val="none" w:sz="0" w:space="0" w:color="auto"/>
                  </w:divBdr>
                  <w:divsChild>
                    <w:div w:id="1414425988">
                      <w:marLeft w:val="0"/>
                      <w:marRight w:val="0"/>
                      <w:marTop w:val="0"/>
                      <w:marBottom w:val="0"/>
                      <w:divBdr>
                        <w:top w:val="none" w:sz="0" w:space="0" w:color="auto"/>
                        <w:left w:val="none" w:sz="0" w:space="0" w:color="auto"/>
                        <w:bottom w:val="none" w:sz="0" w:space="0" w:color="auto"/>
                        <w:right w:val="none" w:sz="0" w:space="0" w:color="auto"/>
                      </w:divBdr>
                    </w:div>
                  </w:divsChild>
                </w:div>
                <w:div w:id="2109307045">
                  <w:marLeft w:val="0"/>
                  <w:marRight w:val="0"/>
                  <w:marTop w:val="0"/>
                  <w:marBottom w:val="0"/>
                  <w:divBdr>
                    <w:top w:val="none" w:sz="0" w:space="0" w:color="auto"/>
                    <w:left w:val="none" w:sz="0" w:space="0" w:color="auto"/>
                    <w:bottom w:val="none" w:sz="0" w:space="0" w:color="auto"/>
                    <w:right w:val="none" w:sz="0" w:space="0" w:color="auto"/>
                  </w:divBdr>
                  <w:divsChild>
                    <w:div w:id="253053704">
                      <w:marLeft w:val="0"/>
                      <w:marRight w:val="0"/>
                      <w:marTop w:val="0"/>
                      <w:marBottom w:val="0"/>
                      <w:divBdr>
                        <w:top w:val="none" w:sz="0" w:space="0" w:color="auto"/>
                        <w:left w:val="none" w:sz="0" w:space="0" w:color="auto"/>
                        <w:bottom w:val="none" w:sz="0" w:space="0" w:color="auto"/>
                        <w:right w:val="none" w:sz="0" w:space="0" w:color="auto"/>
                      </w:divBdr>
                    </w:div>
                  </w:divsChild>
                </w:div>
                <w:div w:id="2110003034">
                  <w:marLeft w:val="0"/>
                  <w:marRight w:val="0"/>
                  <w:marTop w:val="0"/>
                  <w:marBottom w:val="0"/>
                  <w:divBdr>
                    <w:top w:val="none" w:sz="0" w:space="0" w:color="auto"/>
                    <w:left w:val="none" w:sz="0" w:space="0" w:color="auto"/>
                    <w:bottom w:val="none" w:sz="0" w:space="0" w:color="auto"/>
                    <w:right w:val="none" w:sz="0" w:space="0" w:color="auto"/>
                  </w:divBdr>
                  <w:divsChild>
                    <w:div w:id="787746907">
                      <w:marLeft w:val="0"/>
                      <w:marRight w:val="0"/>
                      <w:marTop w:val="0"/>
                      <w:marBottom w:val="0"/>
                      <w:divBdr>
                        <w:top w:val="none" w:sz="0" w:space="0" w:color="auto"/>
                        <w:left w:val="none" w:sz="0" w:space="0" w:color="auto"/>
                        <w:bottom w:val="none" w:sz="0" w:space="0" w:color="auto"/>
                        <w:right w:val="none" w:sz="0" w:space="0" w:color="auto"/>
                      </w:divBdr>
                    </w:div>
                  </w:divsChild>
                </w:div>
                <w:div w:id="2112122318">
                  <w:marLeft w:val="0"/>
                  <w:marRight w:val="0"/>
                  <w:marTop w:val="0"/>
                  <w:marBottom w:val="0"/>
                  <w:divBdr>
                    <w:top w:val="none" w:sz="0" w:space="0" w:color="auto"/>
                    <w:left w:val="none" w:sz="0" w:space="0" w:color="auto"/>
                    <w:bottom w:val="none" w:sz="0" w:space="0" w:color="auto"/>
                    <w:right w:val="none" w:sz="0" w:space="0" w:color="auto"/>
                  </w:divBdr>
                  <w:divsChild>
                    <w:div w:id="490870956">
                      <w:marLeft w:val="0"/>
                      <w:marRight w:val="0"/>
                      <w:marTop w:val="0"/>
                      <w:marBottom w:val="0"/>
                      <w:divBdr>
                        <w:top w:val="none" w:sz="0" w:space="0" w:color="auto"/>
                        <w:left w:val="none" w:sz="0" w:space="0" w:color="auto"/>
                        <w:bottom w:val="none" w:sz="0" w:space="0" w:color="auto"/>
                        <w:right w:val="none" w:sz="0" w:space="0" w:color="auto"/>
                      </w:divBdr>
                    </w:div>
                  </w:divsChild>
                </w:div>
                <w:div w:id="2113940073">
                  <w:marLeft w:val="0"/>
                  <w:marRight w:val="0"/>
                  <w:marTop w:val="0"/>
                  <w:marBottom w:val="0"/>
                  <w:divBdr>
                    <w:top w:val="none" w:sz="0" w:space="0" w:color="auto"/>
                    <w:left w:val="none" w:sz="0" w:space="0" w:color="auto"/>
                    <w:bottom w:val="none" w:sz="0" w:space="0" w:color="auto"/>
                    <w:right w:val="none" w:sz="0" w:space="0" w:color="auto"/>
                  </w:divBdr>
                  <w:divsChild>
                    <w:div w:id="2093306672">
                      <w:marLeft w:val="0"/>
                      <w:marRight w:val="0"/>
                      <w:marTop w:val="0"/>
                      <w:marBottom w:val="0"/>
                      <w:divBdr>
                        <w:top w:val="none" w:sz="0" w:space="0" w:color="auto"/>
                        <w:left w:val="none" w:sz="0" w:space="0" w:color="auto"/>
                        <w:bottom w:val="none" w:sz="0" w:space="0" w:color="auto"/>
                        <w:right w:val="none" w:sz="0" w:space="0" w:color="auto"/>
                      </w:divBdr>
                    </w:div>
                  </w:divsChild>
                </w:div>
                <w:div w:id="2136018007">
                  <w:marLeft w:val="0"/>
                  <w:marRight w:val="0"/>
                  <w:marTop w:val="0"/>
                  <w:marBottom w:val="0"/>
                  <w:divBdr>
                    <w:top w:val="none" w:sz="0" w:space="0" w:color="auto"/>
                    <w:left w:val="none" w:sz="0" w:space="0" w:color="auto"/>
                    <w:bottom w:val="none" w:sz="0" w:space="0" w:color="auto"/>
                    <w:right w:val="none" w:sz="0" w:space="0" w:color="auto"/>
                  </w:divBdr>
                  <w:divsChild>
                    <w:div w:id="20926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21871">
          <w:marLeft w:val="0"/>
          <w:marRight w:val="0"/>
          <w:marTop w:val="0"/>
          <w:marBottom w:val="0"/>
          <w:divBdr>
            <w:top w:val="none" w:sz="0" w:space="0" w:color="auto"/>
            <w:left w:val="none" w:sz="0" w:space="0" w:color="auto"/>
            <w:bottom w:val="none" w:sz="0" w:space="0" w:color="auto"/>
            <w:right w:val="none" w:sz="0" w:space="0" w:color="auto"/>
          </w:divBdr>
        </w:div>
      </w:divsChild>
    </w:div>
    <w:div w:id="1775855190">
      <w:bodyDiv w:val="1"/>
      <w:marLeft w:val="0"/>
      <w:marRight w:val="0"/>
      <w:marTop w:val="0"/>
      <w:marBottom w:val="0"/>
      <w:divBdr>
        <w:top w:val="none" w:sz="0" w:space="0" w:color="auto"/>
        <w:left w:val="none" w:sz="0" w:space="0" w:color="auto"/>
        <w:bottom w:val="none" w:sz="0" w:space="0" w:color="auto"/>
        <w:right w:val="none" w:sz="0" w:space="0" w:color="auto"/>
      </w:divBdr>
    </w:div>
    <w:div w:id="1785613252">
      <w:bodyDiv w:val="1"/>
      <w:marLeft w:val="0"/>
      <w:marRight w:val="0"/>
      <w:marTop w:val="0"/>
      <w:marBottom w:val="0"/>
      <w:divBdr>
        <w:top w:val="none" w:sz="0" w:space="0" w:color="auto"/>
        <w:left w:val="none" w:sz="0" w:space="0" w:color="auto"/>
        <w:bottom w:val="none" w:sz="0" w:space="0" w:color="auto"/>
        <w:right w:val="none" w:sz="0" w:space="0" w:color="auto"/>
      </w:divBdr>
      <w:divsChild>
        <w:div w:id="151064747">
          <w:marLeft w:val="0"/>
          <w:marRight w:val="0"/>
          <w:marTop w:val="0"/>
          <w:marBottom w:val="0"/>
          <w:divBdr>
            <w:top w:val="none" w:sz="0" w:space="0" w:color="auto"/>
            <w:left w:val="none" w:sz="0" w:space="0" w:color="auto"/>
            <w:bottom w:val="none" w:sz="0" w:space="0" w:color="auto"/>
            <w:right w:val="none" w:sz="0" w:space="0" w:color="auto"/>
          </w:divBdr>
        </w:div>
        <w:div w:id="246497156">
          <w:marLeft w:val="0"/>
          <w:marRight w:val="0"/>
          <w:marTop w:val="0"/>
          <w:marBottom w:val="0"/>
          <w:divBdr>
            <w:top w:val="none" w:sz="0" w:space="0" w:color="auto"/>
            <w:left w:val="none" w:sz="0" w:space="0" w:color="auto"/>
            <w:bottom w:val="none" w:sz="0" w:space="0" w:color="auto"/>
            <w:right w:val="none" w:sz="0" w:space="0" w:color="auto"/>
          </w:divBdr>
        </w:div>
        <w:div w:id="357849796">
          <w:marLeft w:val="0"/>
          <w:marRight w:val="0"/>
          <w:marTop w:val="0"/>
          <w:marBottom w:val="0"/>
          <w:divBdr>
            <w:top w:val="none" w:sz="0" w:space="0" w:color="auto"/>
            <w:left w:val="none" w:sz="0" w:space="0" w:color="auto"/>
            <w:bottom w:val="none" w:sz="0" w:space="0" w:color="auto"/>
            <w:right w:val="none" w:sz="0" w:space="0" w:color="auto"/>
          </w:divBdr>
          <w:divsChild>
            <w:div w:id="1338390049">
              <w:marLeft w:val="-75"/>
              <w:marRight w:val="0"/>
              <w:marTop w:val="30"/>
              <w:marBottom w:val="30"/>
              <w:divBdr>
                <w:top w:val="none" w:sz="0" w:space="0" w:color="auto"/>
                <w:left w:val="none" w:sz="0" w:space="0" w:color="auto"/>
                <w:bottom w:val="none" w:sz="0" w:space="0" w:color="auto"/>
                <w:right w:val="none" w:sz="0" w:space="0" w:color="auto"/>
              </w:divBdr>
              <w:divsChild>
                <w:div w:id="97529502">
                  <w:marLeft w:val="0"/>
                  <w:marRight w:val="0"/>
                  <w:marTop w:val="0"/>
                  <w:marBottom w:val="0"/>
                  <w:divBdr>
                    <w:top w:val="none" w:sz="0" w:space="0" w:color="auto"/>
                    <w:left w:val="none" w:sz="0" w:space="0" w:color="auto"/>
                    <w:bottom w:val="none" w:sz="0" w:space="0" w:color="auto"/>
                    <w:right w:val="none" w:sz="0" w:space="0" w:color="auto"/>
                  </w:divBdr>
                  <w:divsChild>
                    <w:div w:id="649485338">
                      <w:marLeft w:val="0"/>
                      <w:marRight w:val="0"/>
                      <w:marTop w:val="0"/>
                      <w:marBottom w:val="0"/>
                      <w:divBdr>
                        <w:top w:val="none" w:sz="0" w:space="0" w:color="auto"/>
                        <w:left w:val="none" w:sz="0" w:space="0" w:color="auto"/>
                        <w:bottom w:val="none" w:sz="0" w:space="0" w:color="auto"/>
                        <w:right w:val="none" w:sz="0" w:space="0" w:color="auto"/>
                      </w:divBdr>
                    </w:div>
                    <w:div w:id="1185554981">
                      <w:marLeft w:val="0"/>
                      <w:marRight w:val="0"/>
                      <w:marTop w:val="0"/>
                      <w:marBottom w:val="0"/>
                      <w:divBdr>
                        <w:top w:val="none" w:sz="0" w:space="0" w:color="auto"/>
                        <w:left w:val="none" w:sz="0" w:space="0" w:color="auto"/>
                        <w:bottom w:val="none" w:sz="0" w:space="0" w:color="auto"/>
                        <w:right w:val="none" w:sz="0" w:space="0" w:color="auto"/>
                      </w:divBdr>
                    </w:div>
                  </w:divsChild>
                </w:div>
                <w:div w:id="859197928">
                  <w:marLeft w:val="0"/>
                  <w:marRight w:val="0"/>
                  <w:marTop w:val="0"/>
                  <w:marBottom w:val="0"/>
                  <w:divBdr>
                    <w:top w:val="none" w:sz="0" w:space="0" w:color="auto"/>
                    <w:left w:val="none" w:sz="0" w:space="0" w:color="auto"/>
                    <w:bottom w:val="none" w:sz="0" w:space="0" w:color="auto"/>
                    <w:right w:val="none" w:sz="0" w:space="0" w:color="auto"/>
                  </w:divBdr>
                  <w:divsChild>
                    <w:div w:id="6892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997863">
          <w:marLeft w:val="0"/>
          <w:marRight w:val="0"/>
          <w:marTop w:val="0"/>
          <w:marBottom w:val="0"/>
          <w:divBdr>
            <w:top w:val="none" w:sz="0" w:space="0" w:color="auto"/>
            <w:left w:val="none" w:sz="0" w:space="0" w:color="auto"/>
            <w:bottom w:val="none" w:sz="0" w:space="0" w:color="auto"/>
            <w:right w:val="none" w:sz="0" w:space="0" w:color="auto"/>
          </w:divBdr>
        </w:div>
        <w:div w:id="601648924">
          <w:marLeft w:val="0"/>
          <w:marRight w:val="0"/>
          <w:marTop w:val="0"/>
          <w:marBottom w:val="0"/>
          <w:divBdr>
            <w:top w:val="none" w:sz="0" w:space="0" w:color="auto"/>
            <w:left w:val="none" w:sz="0" w:space="0" w:color="auto"/>
            <w:bottom w:val="none" w:sz="0" w:space="0" w:color="auto"/>
            <w:right w:val="none" w:sz="0" w:space="0" w:color="auto"/>
          </w:divBdr>
          <w:divsChild>
            <w:div w:id="706490384">
              <w:marLeft w:val="0"/>
              <w:marRight w:val="0"/>
              <w:marTop w:val="0"/>
              <w:marBottom w:val="0"/>
              <w:divBdr>
                <w:top w:val="none" w:sz="0" w:space="0" w:color="auto"/>
                <w:left w:val="none" w:sz="0" w:space="0" w:color="auto"/>
                <w:bottom w:val="none" w:sz="0" w:space="0" w:color="auto"/>
                <w:right w:val="none" w:sz="0" w:space="0" w:color="auto"/>
              </w:divBdr>
            </w:div>
            <w:div w:id="1647321885">
              <w:marLeft w:val="0"/>
              <w:marRight w:val="0"/>
              <w:marTop w:val="0"/>
              <w:marBottom w:val="0"/>
              <w:divBdr>
                <w:top w:val="none" w:sz="0" w:space="0" w:color="auto"/>
                <w:left w:val="none" w:sz="0" w:space="0" w:color="auto"/>
                <w:bottom w:val="none" w:sz="0" w:space="0" w:color="auto"/>
                <w:right w:val="none" w:sz="0" w:space="0" w:color="auto"/>
              </w:divBdr>
            </w:div>
          </w:divsChild>
        </w:div>
        <w:div w:id="613169548">
          <w:marLeft w:val="0"/>
          <w:marRight w:val="0"/>
          <w:marTop w:val="0"/>
          <w:marBottom w:val="0"/>
          <w:divBdr>
            <w:top w:val="none" w:sz="0" w:space="0" w:color="auto"/>
            <w:left w:val="none" w:sz="0" w:space="0" w:color="auto"/>
            <w:bottom w:val="none" w:sz="0" w:space="0" w:color="auto"/>
            <w:right w:val="none" w:sz="0" w:space="0" w:color="auto"/>
          </w:divBdr>
          <w:divsChild>
            <w:div w:id="995912495">
              <w:marLeft w:val="-75"/>
              <w:marRight w:val="0"/>
              <w:marTop w:val="30"/>
              <w:marBottom w:val="30"/>
              <w:divBdr>
                <w:top w:val="none" w:sz="0" w:space="0" w:color="auto"/>
                <w:left w:val="none" w:sz="0" w:space="0" w:color="auto"/>
                <w:bottom w:val="none" w:sz="0" w:space="0" w:color="auto"/>
                <w:right w:val="none" w:sz="0" w:space="0" w:color="auto"/>
              </w:divBdr>
              <w:divsChild>
                <w:div w:id="16469811">
                  <w:marLeft w:val="0"/>
                  <w:marRight w:val="0"/>
                  <w:marTop w:val="0"/>
                  <w:marBottom w:val="0"/>
                  <w:divBdr>
                    <w:top w:val="none" w:sz="0" w:space="0" w:color="auto"/>
                    <w:left w:val="none" w:sz="0" w:space="0" w:color="auto"/>
                    <w:bottom w:val="none" w:sz="0" w:space="0" w:color="auto"/>
                    <w:right w:val="none" w:sz="0" w:space="0" w:color="auto"/>
                  </w:divBdr>
                  <w:divsChild>
                    <w:div w:id="1220943157">
                      <w:marLeft w:val="0"/>
                      <w:marRight w:val="0"/>
                      <w:marTop w:val="0"/>
                      <w:marBottom w:val="0"/>
                      <w:divBdr>
                        <w:top w:val="none" w:sz="0" w:space="0" w:color="auto"/>
                        <w:left w:val="none" w:sz="0" w:space="0" w:color="auto"/>
                        <w:bottom w:val="none" w:sz="0" w:space="0" w:color="auto"/>
                        <w:right w:val="none" w:sz="0" w:space="0" w:color="auto"/>
                      </w:divBdr>
                    </w:div>
                  </w:divsChild>
                </w:div>
                <w:div w:id="17322189">
                  <w:marLeft w:val="0"/>
                  <w:marRight w:val="0"/>
                  <w:marTop w:val="0"/>
                  <w:marBottom w:val="0"/>
                  <w:divBdr>
                    <w:top w:val="none" w:sz="0" w:space="0" w:color="auto"/>
                    <w:left w:val="none" w:sz="0" w:space="0" w:color="auto"/>
                    <w:bottom w:val="none" w:sz="0" w:space="0" w:color="auto"/>
                    <w:right w:val="none" w:sz="0" w:space="0" w:color="auto"/>
                  </w:divBdr>
                  <w:divsChild>
                    <w:div w:id="53771896">
                      <w:marLeft w:val="0"/>
                      <w:marRight w:val="0"/>
                      <w:marTop w:val="0"/>
                      <w:marBottom w:val="0"/>
                      <w:divBdr>
                        <w:top w:val="none" w:sz="0" w:space="0" w:color="auto"/>
                        <w:left w:val="none" w:sz="0" w:space="0" w:color="auto"/>
                        <w:bottom w:val="none" w:sz="0" w:space="0" w:color="auto"/>
                        <w:right w:val="none" w:sz="0" w:space="0" w:color="auto"/>
                      </w:divBdr>
                    </w:div>
                  </w:divsChild>
                </w:div>
                <w:div w:id="18237664">
                  <w:marLeft w:val="0"/>
                  <w:marRight w:val="0"/>
                  <w:marTop w:val="0"/>
                  <w:marBottom w:val="0"/>
                  <w:divBdr>
                    <w:top w:val="none" w:sz="0" w:space="0" w:color="auto"/>
                    <w:left w:val="none" w:sz="0" w:space="0" w:color="auto"/>
                    <w:bottom w:val="none" w:sz="0" w:space="0" w:color="auto"/>
                    <w:right w:val="none" w:sz="0" w:space="0" w:color="auto"/>
                  </w:divBdr>
                  <w:divsChild>
                    <w:div w:id="773668398">
                      <w:marLeft w:val="0"/>
                      <w:marRight w:val="0"/>
                      <w:marTop w:val="0"/>
                      <w:marBottom w:val="0"/>
                      <w:divBdr>
                        <w:top w:val="none" w:sz="0" w:space="0" w:color="auto"/>
                        <w:left w:val="none" w:sz="0" w:space="0" w:color="auto"/>
                        <w:bottom w:val="none" w:sz="0" w:space="0" w:color="auto"/>
                        <w:right w:val="none" w:sz="0" w:space="0" w:color="auto"/>
                      </w:divBdr>
                    </w:div>
                  </w:divsChild>
                </w:div>
                <w:div w:id="26490543">
                  <w:marLeft w:val="0"/>
                  <w:marRight w:val="0"/>
                  <w:marTop w:val="0"/>
                  <w:marBottom w:val="0"/>
                  <w:divBdr>
                    <w:top w:val="none" w:sz="0" w:space="0" w:color="auto"/>
                    <w:left w:val="none" w:sz="0" w:space="0" w:color="auto"/>
                    <w:bottom w:val="none" w:sz="0" w:space="0" w:color="auto"/>
                    <w:right w:val="none" w:sz="0" w:space="0" w:color="auto"/>
                  </w:divBdr>
                  <w:divsChild>
                    <w:div w:id="1335960668">
                      <w:marLeft w:val="0"/>
                      <w:marRight w:val="0"/>
                      <w:marTop w:val="0"/>
                      <w:marBottom w:val="0"/>
                      <w:divBdr>
                        <w:top w:val="none" w:sz="0" w:space="0" w:color="auto"/>
                        <w:left w:val="none" w:sz="0" w:space="0" w:color="auto"/>
                        <w:bottom w:val="none" w:sz="0" w:space="0" w:color="auto"/>
                        <w:right w:val="none" w:sz="0" w:space="0" w:color="auto"/>
                      </w:divBdr>
                    </w:div>
                  </w:divsChild>
                </w:div>
                <w:div w:id="30156831">
                  <w:marLeft w:val="0"/>
                  <w:marRight w:val="0"/>
                  <w:marTop w:val="0"/>
                  <w:marBottom w:val="0"/>
                  <w:divBdr>
                    <w:top w:val="none" w:sz="0" w:space="0" w:color="auto"/>
                    <w:left w:val="none" w:sz="0" w:space="0" w:color="auto"/>
                    <w:bottom w:val="none" w:sz="0" w:space="0" w:color="auto"/>
                    <w:right w:val="none" w:sz="0" w:space="0" w:color="auto"/>
                  </w:divBdr>
                  <w:divsChild>
                    <w:div w:id="1977028112">
                      <w:marLeft w:val="0"/>
                      <w:marRight w:val="0"/>
                      <w:marTop w:val="0"/>
                      <w:marBottom w:val="0"/>
                      <w:divBdr>
                        <w:top w:val="none" w:sz="0" w:space="0" w:color="auto"/>
                        <w:left w:val="none" w:sz="0" w:space="0" w:color="auto"/>
                        <w:bottom w:val="none" w:sz="0" w:space="0" w:color="auto"/>
                        <w:right w:val="none" w:sz="0" w:space="0" w:color="auto"/>
                      </w:divBdr>
                    </w:div>
                  </w:divsChild>
                </w:div>
                <w:div w:id="42871968">
                  <w:marLeft w:val="0"/>
                  <w:marRight w:val="0"/>
                  <w:marTop w:val="0"/>
                  <w:marBottom w:val="0"/>
                  <w:divBdr>
                    <w:top w:val="none" w:sz="0" w:space="0" w:color="auto"/>
                    <w:left w:val="none" w:sz="0" w:space="0" w:color="auto"/>
                    <w:bottom w:val="none" w:sz="0" w:space="0" w:color="auto"/>
                    <w:right w:val="none" w:sz="0" w:space="0" w:color="auto"/>
                  </w:divBdr>
                  <w:divsChild>
                    <w:div w:id="2024432113">
                      <w:marLeft w:val="0"/>
                      <w:marRight w:val="0"/>
                      <w:marTop w:val="0"/>
                      <w:marBottom w:val="0"/>
                      <w:divBdr>
                        <w:top w:val="none" w:sz="0" w:space="0" w:color="auto"/>
                        <w:left w:val="none" w:sz="0" w:space="0" w:color="auto"/>
                        <w:bottom w:val="none" w:sz="0" w:space="0" w:color="auto"/>
                        <w:right w:val="none" w:sz="0" w:space="0" w:color="auto"/>
                      </w:divBdr>
                    </w:div>
                  </w:divsChild>
                </w:div>
                <w:div w:id="55781783">
                  <w:marLeft w:val="0"/>
                  <w:marRight w:val="0"/>
                  <w:marTop w:val="0"/>
                  <w:marBottom w:val="0"/>
                  <w:divBdr>
                    <w:top w:val="none" w:sz="0" w:space="0" w:color="auto"/>
                    <w:left w:val="none" w:sz="0" w:space="0" w:color="auto"/>
                    <w:bottom w:val="none" w:sz="0" w:space="0" w:color="auto"/>
                    <w:right w:val="none" w:sz="0" w:space="0" w:color="auto"/>
                  </w:divBdr>
                  <w:divsChild>
                    <w:div w:id="694771882">
                      <w:marLeft w:val="0"/>
                      <w:marRight w:val="0"/>
                      <w:marTop w:val="0"/>
                      <w:marBottom w:val="0"/>
                      <w:divBdr>
                        <w:top w:val="none" w:sz="0" w:space="0" w:color="auto"/>
                        <w:left w:val="none" w:sz="0" w:space="0" w:color="auto"/>
                        <w:bottom w:val="none" w:sz="0" w:space="0" w:color="auto"/>
                        <w:right w:val="none" w:sz="0" w:space="0" w:color="auto"/>
                      </w:divBdr>
                    </w:div>
                  </w:divsChild>
                </w:div>
                <w:div w:id="101923499">
                  <w:marLeft w:val="0"/>
                  <w:marRight w:val="0"/>
                  <w:marTop w:val="0"/>
                  <w:marBottom w:val="0"/>
                  <w:divBdr>
                    <w:top w:val="none" w:sz="0" w:space="0" w:color="auto"/>
                    <w:left w:val="none" w:sz="0" w:space="0" w:color="auto"/>
                    <w:bottom w:val="none" w:sz="0" w:space="0" w:color="auto"/>
                    <w:right w:val="none" w:sz="0" w:space="0" w:color="auto"/>
                  </w:divBdr>
                  <w:divsChild>
                    <w:div w:id="1667129771">
                      <w:marLeft w:val="0"/>
                      <w:marRight w:val="0"/>
                      <w:marTop w:val="0"/>
                      <w:marBottom w:val="0"/>
                      <w:divBdr>
                        <w:top w:val="none" w:sz="0" w:space="0" w:color="auto"/>
                        <w:left w:val="none" w:sz="0" w:space="0" w:color="auto"/>
                        <w:bottom w:val="none" w:sz="0" w:space="0" w:color="auto"/>
                        <w:right w:val="none" w:sz="0" w:space="0" w:color="auto"/>
                      </w:divBdr>
                    </w:div>
                  </w:divsChild>
                </w:div>
                <w:div w:id="137264954">
                  <w:marLeft w:val="0"/>
                  <w:marRight w:val="0"/>
                  <w:marTop w:val="0"/>
                  <w:marBottom w:val="0"/>
                  <w:divBdr>
                    <w:top w:val="none" w:sz="0" w:space="0" w:color="auto"/>
                    <w:left w:val="none" w:sz="0" w:space="0" w:color="auto"/>
                    <w:bottom w:val="none" w:sz="0" w:space="0" w:color="auto"/>
                    <w:right w:val="none" w:sz="0" w:space="0" w:color="auto"/>
                  </w:divBdr>
                  <w:divsChild>
                    <w:div w:id="654577271">
                      <w:marLeft w:val="0"/>
                      <w:marRight w:val="0"/>
                      <w:marTop w:val="0"/>
                      <w:marBottom w:val="0"/>
                      <w:divBdr>
                        <w:top w:val="none" w:sz="0" w:space="0" w:color="auto"/>
                        <w:left w:val="none" w:sz="0" w:space="0" w:color="auto"/>
                        <w:bottom w:val="none" w:sz="0" w:space="0" w:color="auto"/>
                        <w:right w:val="none" w:sz="0" w:space="0" w:color="auto"/>
                      </w:divBdr>
                    </w:div>
                  </w:divsChild>
                </w:div>
                <w:div w:id="152140266">
                  <w:marLeft w:val="0"/>
                  <w:marRight w:val="0"/>
                  <w:marTop w:val="0"/>
                  <w:marBottom w:val="0"/>
                  <w:divBdr>
                    <w:top w:val="none" w:sz="0" w:space="0" w:color="auto"/>
                    <w:left w:val="none" w:sz="0" w:space="0" w:color="auto"/>
                    <w:bottom w:val="none" w:sz="0" w:space="0" w:color="auto"/>
                    <w:right w:val="none" w:sz="0" w:space="0" w:color="auto"/>
                  </w:divBdr>
                  <w:divsChild>
                    <w:div w:id="1200316523">
                      <w:marLeft w:val="0"/>
                      <w:marRight w:val="0"/>
                      <w:marTop w:val="0"/>
                      <w:marBottom w:val="0"/>
                      <w:divBdr>
                        <w:top w:val="none" w:sz="0" w:space="0" w:color="auto"/>
                        <w:left w:val="none" w:sz="0" w:space="0" w:color="auto"/>
                        <w:bottom w:val="none" w:sz="0" w:space="0" w:color="auto"/>
                        <w:right w:val="none" w:sz="0" w:space="0" w:color="auto"/>
                      </w:divBdr>
                    </w:div>
                  </w:divsChild>
                </w:div>
                <w:div w:id="155148199">
                  <w:marLeft w:val="0"/>
                  <w:marRight w:val="0"/>
                  <w:marTop w:val="0"/>
                  <w:marBottom w:val="0"/>
                  <w:divBdr>
                    <w:top w:val="none" w:sz="0" w:space="0" w:color="auto"/>
                    <w:left w:val="none" w:sz="0" w:space="0" w:color="auto"/>
                    <w:bottom w:val="none" w:sz="0" w:space="0" w:color="auto"/>
                    <w:right w:val="none" w:sz="0" w:space="0" w:color="auto"/>
                  </w:divBdr>
                  <w:divsChild>
                    <w:div w:id="1714964799">
                      <w:marLeft w:val="0"/>
                      <w:marRight w:val="0"/>
                      <w:marTop w:val="0"/>
                      <w:marBottom w:val="0"/>
                      <w:divBdr>
                        <w:top w:val="none" w:sz="0" w:space="0" w:color="auto"/>
                        <w:left w:val="none" w:sz="0" w:space="0" w:color="auto"/>
                        <w:bottom w:val="none" w:sz="0" w:space="0" w:color="auto"/>
                        <w:right w:val="none" w:sz="0" w:space="0" w:color="auto"/>
                      </w:divBdr>
                    </w:div>
                  </w:divsChild>
                </w:div>
                <w:div w:id="156846647">
                  <w:marLeft w:val="0"/>
                  <w:marRight w:val="0"/>
                  <w:marTop w:val="0"/>
                  <w:marBottom w:val="0"/>
                  <w:divBdr>
                    <w:top w:val="none" w:sz="0" w:space="0" w:color="auto"/>
                    <w:left w:val="none" w:sz="0" w:space="0" w:color="auto"/>
                    <w:bottom w:val="none" w:sz="0" w:space="0" w:color="auto"/>
                    <w:right w:val="none" w:sz="0" w:space="0" w:color="auto"/>
                  </w:divBdr>
                  <w:divsChild>
                    <w:div w:id="161897802">
                      <w:marLeft w:val="0"/>
                      <w:marRight w:val="0"/>
                      <w:marTop w:val="0"/>
                      <w:marBottom w:val="0"/>
                      <w:divBdr>
                        <w:top w:val="none" w:sz="0" w:space="0" w:color="auto"/>
                        <w:left w:val="none" w:sz="0" w:space="0" w:color="auto"/>
                        <w:bottom w:val="none" w:sz="0" w:space="0" w:color="auto"/>
                        <w:right w:val="none" w:sz="0" w:space="0" w:color="auto"/>
                      </w:divBdr>
                    </w:div>
                  </w:divsChild>
                </w:div>
                <w:div w:id="165678437">
                  <w:marLeft w:val="0"/>
                  <w:marRight w:val="0"/>
                  <w:marTop w:val="0"/>
                  <w:marBottom w:val="0"/>
                  <w:divBdr>
                    <w:top w:val="none" w:sz="0" w:space="0" w:color="auto"/>
                    <w:left w:val="none" w:sz="0" w:space="0" w:color="auto"/>
                    <w:bottom w:val="none" w:sz="0" w:space="0" w:color="auto"/>
                    <w:right w:val="none" w:sz="0" w:space="0" w:color="auto"/>
                  </w:divBdr>
                  <w:divsChild>
                    <w:div w:id="283729747">
                      <w:marLeft w:val="0"/>
                      <w:marRight w:val="0"/>
                      <w:marTop w:val="0"/>
                      <w:marBottom w:val="0"/>
                      <w:divBdr>
                        <w:top w:val="none" w:sz="0" w:space="0" w:color="auto"/>
                        <w:left w:val="none" w:sz="0" w:space="0" w:color="auto"/>
                        <w:bottom w:val="none" w:sz="0" w:space="0" w:color="auto"/>
                        <w:right w:val="none" w:sz="0" w:space="0" w:color="auto"/>
                      </w:divBdr>
                    </w:div>
                  </w:divsChild>
                </w:div>
                <w:div w:id="183902389">
                  <w:marLeft w:val="0"/>
                  <w:marRight w:val="0"/>
                  <w:marTop w:val="0"/>
                  <w:marBottom w:val="0"/>
                  <w:divBdr>
                    <w:top w:val="none" w:sz="0" w:space="0" w:color="auto"/>
                    <w:left w:val="none" w:sz="0" w:space="0" w:color="auto"/>
                    <w:bottom w:val="none" w:sz="0" w:space="0" w:color="auto"/>
                    <w:right w:val="none" w:sz="0" w:space="0" w:color="auto"/>
                  </w:divBdr>
                  <w:divsChild>
                    <w:div w:id="1369525283">
                      <w:marLeft w:val="0"/>
                      <w:marRight w:val="0"/>
                      <w:marTop w:val="0"/>
                      <w:marBottom w:val="0"/>
                      <w:divBdr>
                        <w:top w:val="none" w:sz="0" w:space="0" w:color="auto"/>
                        <w:left w:val="none" w:sz="0" w:space="0" w:color="auto"/>
                        <w:bottom w:val="none" w:sz="0" w:space="0" w:color="auto"/>
                        <w:right w:val="none" w:sz="0" w:space="0" w:color="auto"/>
                      </w:divBdr>
                    </w:div>
                  </w:divsChild>
                </w:div>
                <w:div w:id="192036401">
                  <w:marLeft w:val="0"/>
                  <w:marRight w:val="0"/>
                  <w:marTop w:val="0"/>
                  <w:marBottom w:val="0"/>
                  <w:divBdr>
                    <w:top w:val="none" w:sz="0" w:space="0" w:color="auto"/>
                    <w:left w:val="none" w:sz="0" w:space="0" w:color="auto"/>
                    <w:bottom w:val="none" w:sz="0" w:space="0" w:color="auto"/>
                    <w:right w:val="none" w:sz="0" w:space="0" w:color="auto"/>
                  </w:divBdr>
                  <w:divsChild>
                    <w:div w:id="317005579">
                      <w:marLeft w:val="0"/>
                      <w:marRight w:val="0"/>
                      <w:marTop w:val="0"/>
                      <w:marBottom w:val="0"/>
                      <w:divBdr>
                        <w:top w:val="none" w:sz="0" w:space="0" w:color="auto"/>
                        <w:left w:val="none" w:sz="0" w:space="0" w:color="auto"/>
                        <w:bottom w:val="none" w:sz="0" w:space="0" w:color="auto"/>
                        <w:right w:val="none" w:sz="0" w:space="0" w:color="auto"/>
                      </w:divBdr>
                    </w:div>
                  </w:divsChild>
                </w:div>
                <w:div w:id="205875152">
                  <w:marLeft w:val="0"/>
                  <w:marRight w:val="0"/>
                  <w:marTop w:val="0"/>
                  <w:marBottom w:val="0"/>
                  <w:divBdr>
                    <w:top w:val="none" w:sz="0" w:space="0" w:color="auto"/>
                    <w:left w:val="none" w:sz="0" w:space="0" w:color="auto"/>
                    <w:bottom w:val="none" w:sz="0" w:space="0" w:color="auto"/>
                    <w:right w:val="none" w:sz="0" w:space="0" w:color="auto"/>
                  </w:divBdr>
                  <w:divsChild>
                    <w:div w:id="1544780752">
                      <w:marLeft w:val="0"/>
                      <w:marRight w:val="0"/>
                      <w:marTop w:val="0"/>
                      <w:marBottom w:val="0"/>
                      <w:divBdr>
                        <w:top w:val="none" w:sz="0" w:space="0" w:color="auto"/>
                        <w:left w:val="none" w:sz="0" w:space="0" w:color="auto"/>
                        <w:bottom w:val="none" w:sz="0" w:space="0" w:color="auto"/>
                        <w:right w:val="none" w:sz="0" w:space="0" w:color="auto"/>
                      </w:divBdr>
                    </w:div>
                  </w:divsChild>
                </w:div>
                <w:div w:id="223879367">
                  <w:marLeft w:val="0"/>
                  <w:marRight w:val="0"/>
                  <w:marTop w:val="0"/>
                  <w:marBottom w:val="0"/>
                  <w:divBdr>
                    <w:top w:val="none" w:sz="0" w:space="0" w:color="auto"/>
                    <w:left w:val="none" w:sz="0" w:space="0" w:color="auto"/>
                    <w:bottom w:val="none" w:sz="0" w:space="0" w:color="auto"/>
                    <w:right w:val="none" w:sz="0" w:space="0" w:color="auto"/>
                  </w:divBdr>
                  <w:divsChild>
                    <w:div w:id="1943418153">
                      <w:marLeft w:val="0"/>
                      <w:marRight w:val="0"/>
                      <w:marTop w:val="0"/>
                      <w:marBottom w:val="0"/>
                      <w:divBdr>
                        <w:top w:val="none" w:sz="0" w:space="0" w:color="auto"/>
                        <w:left w:val="none" w:sz="0" w:space="0" w:color="auto"/>
                        <w:bottom w:val="none" w:sz="0" w:space="0" w:color="auto"/>
                        <w:right w:val="none" w:sz="0" w:space="0" w:color="auto"/>
                      </w:divBdr>
                    </w:div>
                  </w:divsChild>
                </w:div>
                <w:div w:id="225990454">
                  <w:marLeft w:val="0"/>
                  <w:marRight w:val="0"/>
                  <w:marTop w:val="0"/>
                  <w:marBottom w:val="0"/>
                  <w:divBdr>
                    <w:top w:val="none" w:sz="0" w:space="0" w:color="auto"/>
                    <w:left w:val="none" w:sz="0" w:space="0" w:color="auto"/>
                    <w:bottom w:val="none" w:sz="0" w:space="0" w:color="auto"/>
                    <w:right w:val="none" w:sz="0" w:space="0" w:color="auto"/>
                  </w:divBdr>
                  <w:divsChild>
                    <w:div w:id="888997298">
                      <w:marLeft w:val="0"/>
                      <w:marRight w:val="0"/>
                      <w:marTop w:val="0"/>
                      <w:marBottom w:val="0"/>
                      <w:divBdr>
                        <w:top w:val="none" w:sz="0" w:space="0" w:color="auto"/>
                        <w:left w:val="none" w:sz="0" w:space="0" w:color="auto"/>
                        <w:bottom w:val="none" w:sz="0" w:space="0" w:color="auto"/>
                        <w:right w:val="none" w:sz="0" w:space="0" w:color="auto"/>
                      </w:divBdr>
                    </w:div>
                  </w:divsChild>
                </w:div>
                <w:div w:id="235021473">
                  <w:marLeft w:val="0"/>
                  <w:marRight w:val="0"/>
                  <w:marTop w:val="0"/>
                  <w:marBottom w:val="0"/>
                  <w:divBdr>
                    <w:top w:val="none" w:sz="0" w:space="0" w:color="auto"/>
                    <w:left w:val="none" w:sz="0" w:space="0" w:color="auto"/>
                    <w:bottom w:val="none" w:sz="0" w:space="0" w:color="auto"/>
                    <w:right w:val="none" w:sz="0" w:space="0" w:color="auto"/>
                  </w:divBdr>
                  <w:divsChild>
                    <w:div w:id="1413773674">
                      <w:marLeft w:val="0"/>
                      <w:marRight w:val="0"/>
                      <w:marTop w:val="0"/>
                      <w:marBottom w:val="0"/>
                      <w:divBdr>
                        <w:top w:val="none" w:sz="0" w:space="0" w:color="auto"/>
                        <w:left w:val="none" w:sz="0" w:space="0" w:color="auto"/>
                        <w:bottom w:val="none" w:sz="0" w:space="0" w:color="auto"/>
                        <w:right w:val="none" w:sz="0" w:space="0" w:color="auto"/>
                      </w:divBdr>
                    </w:div>
                  </w:divsChild>
                </w:div>
                <w:div w:id="292490410">
                  <w:marLeft w:val="0"/>
                  <w:marRight w:val="0"/>
                  <w:marTop w:val="0"/>
                  <w:marBottom w:val="0"/>
                  <w:divBdr>
                    <w:top w:val="none" w:sz="0" w:space="0" w:color="auto"/>
                    <w:left w:val="none" w:sz="0" w:space="0" w:color="auto"/>
                    <w:bottom w:val="none" w:sz="0" w:space="0" w:color="auto"/>
                    <w:right w:val="none" w:sz="0" w:space="0" w:color="auto"/>
                  </w:divBdr>
                  <w:divsChild>
                    <w:div w:id="1407265755">
                      <w:marLeft w:val="0"/>
                      <w:marRight w:val="0"/>
                      <w:marTop w:val="0"/>
                      <w:marBottom w:val="0"/>
                      <w:divBdr>
                        <w:top w:val="none" w:sz="0" w:space="0" w:color="auto"/>
                        <w:left w:val="none" w:sz="0" w:space="0" w:color="auto"/>
                        <w:bottom w:val="none" w:sz="0" w:space="0" w:color="auto"/>
                        <w:right w:val="none" w:sz="0" w:space="0" w:color="auto"/>
                      </w:divBdr>
                    </w:div>
                  </w:divsChild>
                </w:div>
                <w:div w:id="299112326">
                  <w:marLeft w:val="0"/>
                  <w:marRight w:val="0"/>
                  <w:marTop w:val="0"/>
                  <w:marBottom w:val="0"/>
                  <w:divBdr>
                    <w:top w:val="none" w:sz="0" w:space="0" w:color="auto"/>
                    <w:left w:val="none" w:sz="0" w:space="0" w:color="auto"/>
                    <w:bottom w:val="none" w:sz="0" w:space="0" w:color="auto"/>
                    <w:right w:val="none" w:sz="0" w:space="0" w:color="auto"/>
                  </w:divBdr>
                  <w:divsChild>
                    <w:div w:id="332682113">
                      <w:marLeft w:val="0"/>
                      <w:marRight w:val="0"/>
                      <w:marTop w:val="0"/>
                      <w:marBottom w:val="0"/>
                      <w:divBdr>
                        <w:top w:val="none" w:sz="0" w:space="0" w:color="auto"/>
                        <w:left w:val="none" w:sz="0" w:space="0" w:color="auto"/>
                        <w:bottom w:val="none" w:sz="0" w:space="0" w:color="auto"/>
                        <w:right w:val="none" w:sz="0" w:space="0" w:color="auto"/>
                      </w:divBdr>
                    </w:div>
                  </w:divsChild>
                </w:div>
                <w:div w:id="304549264">
                  <w:marLeft w:val="0"/>
                  <w:marRight w:val="0"/>
                  <w:marTop w:val="0"/>
                  <w:marBottom w:val="0"/>
                  <w:divBdr>
                    <w:top w:val="none" w:sz="0" w:space="0" w:color="auto"/>
                    <w:left w:val="none" w:sz="0" w:space="0" w:color="auto"/>
                    <w:bottom w:val="none" w:sz="0" w:space="0" w:color="auto"/>
                    <w:right w:val="none" w:sz="0" w:space="0" w:color="auto"/>
                  </w:divBdr>
                  <w:divsChild>
                    <w:div w:id="230235715">
                      <w:marLeft w:val="0"/>
                      <w:marRight w:val="0"/>
                      <w:marTop w:val="0"/>
                      <w:marBottom w:val="0"/>
                      <w:divBdr>
                        <w:top w:val="none" w:sz="0" w:space="0" w:color="auto"/>
                        <w:left w:val="none" w:sz="0" w:space="0" w:color="auto"/>
                        <w:bottom w:val="none" w:sz="0" w:space="0" w:color="auto"/>
                        <w:right w:val="none" w:sz="0" w:space="0" w:color="auto"/>
                      </w:divBdr>
                    </w:div>
                  </w:divsChild>
                </w:div>
                <w:div w:id="310064460">
                  <w:marLeft w:val="0"/>
                  <w:marRight w:val="0"/>
                  <w:marTop w:val="0"/>
                  <w:marBottom w:val="0"/>
                  <w:divBdr>
                    <w:top w:val="none" w:sz="0" w:space="0" w:color="auto"/>
                    <w:left w:val="none" w:sz="0" w:space="0" w:color="auto"/>
                    <w:bottom w:val="none" w:sz="0" w:space="0" w:color="auto"/>
                    <w:right w:val="none" w:sz="0" w:space="0" w:color="auto"/>
                  </w:divBdr>
                  <w:divsChild>
                    <w:div w:id="2015763021">
                      <w:marLeft w:val="0"/>
                      <w:marRight w:val="0"/>
                      <w:marTop w:val="0"/>
                      <w:marBottom w:val="0"/>
                      <w:divBdr>
                        <w:top w:val="none" w:sz="0" w:space="0" w:color="auto"/>
                        <w:left w:val="none" w:sz="0" w:space="0" w:color="auto"/>
                        <w:bottom w:val="none" w:sz="0" w:space="0" w:color="auto"/>
                        <w:right w:val="none" w:sz="0" w:space="0" w:color="auto"/>
                      </w:divBdr>
                    </w:div>
                  </w:divsChild>
                </w:div>
                <w:div w:id="319231826">
                  <w:marLeft w:val="0"/>
                  <w:marRight w:val="0"/>
                  <w:marTop w:val="0"/>
                  <w:marBottom w:val="0"/>
                  <w:divBdr>
                    <w:top w:val="none" w:sz="0" w:space="0" w:color="auto"/>
                    <w:left w:val="none" w:sz="0" w:space="0" w:color="auto"/>
                    <w:bottom w:val="none" w:sz="0" w:space="0" w:color="auto"/>
                    <w:right w:val="none" w:sz="0" w:space="0" w:color="auto"/>
                  </w:divBdr>
                  <w:divsChild>
                    <w:div w:id="379524802">
                      <w:marLeft w:val="0"/>
                      <w:marRight w:val="0"/>
                      <w:marTop w:val="0"/>
                      <w:marBottom w:val="0"/>
                      <w:divBdr>
                        <w:top w:val="none" w:sz="0" w:space="0" w:color="auto"/>
                        <w:left w:val="none" w:sz="0" w:space="0" w:color="auto"/>
                        <w:bottom w:val="none" w:sz="0" w:space="0" w:color="auto"/>
                        <w:right w:val="none" w:sz="0" w:space="0" w:color="auto"/>
                      </w:divBdr>
                    </w:div>
                  </w:divsChild>
                </w:div>
                <w:div w:id="332412855">
                  <w:marLeft w:val="0"/>
                  <w:marRight w:val="0"/>
                  <w:marTop w:val="0"/>
                  <w:marBottom w:val="0"/>
                  <w:divBdr>
                    <w:top w:val="none" w:sz="0" w:space="0" w:color="auto"/>
                    <w:left w:val="none" w:sz="0" w:space="0" w:color="auto"/>
                    <w:bottom w:val="none" w:sz="0" w:space="0" w:color="auto"/>
                    <w:right w:val="none" w:sz="0" w:space="0" w:color="auto"/>
                  </w:divBdr>
                  <w:divsChild>
                    <w:div w:id="1391684396">
                      <w:marLeft w:val="0"/>
                      <w:marRight w:val="0"/>
                      <w:marTop w:val="0"/>
                      <w:marBottom w:val="0"/>
                      <w:divBdr>
                        <w:top w:val="none" w:sz="0" w:space="0" w:color="auto"/>
                        <w:left w:val="none" w:sz="0" w:space="0" w:color="auto"/>
                        <w:bottom w:val="none" w:sz="0" w:space="0" w:color="auto"/>
                        <w:right w:val="none" w:sz="0" w:space="0" w:color="auto"/>
                      </w:divBdr>
                    </w:div>
                  </w:divsChild>
                </w:div>
                <w:div w:id="339504806">
                  <w:marLeft w:val="0"/>
                  <w:marRight w:val="0"/>
                  <w:marTop w:val="0"/>
                  <w:marBottom w:val="0"/>
                  <w:divBdr>
                    <w:top w:val="none" w:sz="0" w:space="0" w:color="auto"/>
                    <w:left w:val="none" w:sz="0" w:space="0" w:color="auto"/>
                    <w:bottom w:val="none" w:sz="0" w:space="0" w:color="auto"/>
                    <w:right w:val="none" w:sz="0" w:space="0" w:color="auto"/>
                  </w:divBdr>
                  <w:divsChild>
                    <w:div w:id="1796948957">
                      <w:marLeft w:val="0"/>
                      <w:marRight w:val="0"/>
                      <w:marTop w:val="0"/>
                      <w:marBottom w:val="0"/>
                      <w:divBdr>
                        <w:top w:val="none" w:sz="0" w:space="0" w:color="auto"/>
                        <w:left w:val="none" w:sz="0" w:space="0" w:color="auto"/>
                        <w:bottom w:val="none" w:sz="0" w:space="0" w:color="auto"/>
                        <w:right w:val="none" w:sz="0" w:space="0" w:color="auto"/>
                      </w:divBdr>
                    </w:div>
                  </w:divsChild>
                </w:div>
                <w:div w:id="345834322">
                  <w:marLeft w:val="0"/>
                  <w:marRight w:val="0"/>
                  <w:marTop w:val="0"/>
                  <w:marBottom w:val="0"/>
                  <w:divBdr>
                    <w:top w:val="none" w:sz="0" w:space="0" w:color="auto"/>
                    <w:left w:val="none" w:sz="0" w:space="0" w:color="auto"/>
                    <w:bottom w:val="none" w:sz="0" w:space="0" w:color="auto"/>
                    <w:right w:val="none" w:sz="0" w:space="0" w:color="auto"/>
                  </w:divBdr>
                  <w:divsChild>
                    <w:div w:id="1878393123">
                      <w:marLeft w:val="0"/>
                      <w:marRight w:val="0"/>
                      <w:marTop w:val="0"/>
                      <w:marBottom w:val="0"/>
                      <w:divBdr>
                        <w:top w:val="none" w:sz="0" w:space="0" w:color="auto"/>
                        <w:left w:val="none" w:sz="0" w:space="0" w:color="auto"/>
                        <w:bottom w:val="none" w:sz="0" w:space="0" w:color="auto"/>
                        <w:right w:val="none" w:sz="0" w:space="0" w:color="auto"/>
                      </w:divBdr>
                    </w:div>
                  </w:divsChild>
                </w:div>
                <w:div w:id="354965477">
                  <w:marLeft w:val="0"/>
                  <w:marRight w:val="0"/>
                  <w:marTop w:val="0"/>
                  <w:marBottom w:val="0"/>
                  <w:divBdr>
                    <w:top w:val="none" w:sz="0" w:space="0" w:color="auto"/>
                    <w:left w:val="none" w:sz="0" w:space="0" w:color="auto"/>
                    <w:bottom w:val="none" w:sz="0" w:space="0" w:color="auto"/>
                    <w:right w:val="none" w:sz="0" w:space="0" w:color="auto"/>
                  </w:divBdr>
                  <w:divsChild>
                    <w:div w:id="1516385177">
                      <w:marLeft w:val="0"/>
                      <w:marRight w:val="0"/>
                      <w:marTop w:val="0"/>
                      <w:marBottom w:val="0"/>
                      <w:divBdr>
                        <w:top w:val="none" w:sz="0" w:space="0" w:color="auto"/>
                        <w:left w:val="none" w:sz="0" w:space="0" w:color="auto"/>
                        <w:bottom w:val="none" w:sz="0" w:space="0" w:color="auto"/>
                        <w:right w:val="none" w:sz="0" w:space="0" w:color="auto"/>
                      </w:divBdr>
                    </w:div>
                  </w:divsChild>
                </w:div>
                <w:div w:id="356782299">
                  <w:marLeft w:val="0"/>
                  <w:marRight w:val="0"/>
                  <w:marTop w:val="0"/>
                  <w:marBottom w:val="0"/>
                  <w:divBdr>
                    <w:top w:val="none" w:sz="0" w:space="0" w:color="auto"/>
                    <w:left w:val="none" w:sz="0" w:space="0" w:color="auto"/>
                    <w:bottom w:val="none" w:sz="0" w:space="0" w:color="auto"/>
                    <w:right w:val="none" w:sz="0" w:space="0" w:color="auto"/>
                  </w:divBdr>
                  <w:divsChild>
                    <w:div w:id="603996619">
                      <w:marLeft w:val="0"/>
                      <w:marRight w:val="0"/>
                      <w:marTop w:val="0"/>
                      <w:marBottom w:val="0"/>
                      <w:divBdr>
                        <w:top w:val="none" w:sz="0" w:space="0" w:color="auto"/>
                        <w:left w:val="none" w:sz="0" w:space="0" w:color="auto"/>
                        <w:bottom w:val="none" w:sz="0" w:space="0" w:color="auto"/>
                        <w:right w:val="none" w:sz="0" w:space="0" w:color="auto"/>
                      </w:divBdr>
                    </w:div>
                  </w:divsChild>
                </w:div>
                <w:div w:id="371342237">
                  <w:marLeft w:val="0"/>
                  <w:marRight w:val="0"/>
                  <w:marTop w:val="0"/>
                  <w:marBottom w:val="0"/>
                  <w:divBdr>
                    <w:top w:val="none" w:sz="0" w:space="0" w:color="auto"/>
                    <w:left w:val="none" w:sz="0" w:space="0" w:color="auto"/>
                    <w:bottom w:val="none" w:sz="0" w:space="0" w:color="auto"/>
                    <w:right w:val="none" w:sz="0" w:space="0" w:color="auto"/>
                  </w:divBdr>
                  <w:divsChild>
                    <w:div w:id="1250237309">
                      <w:marLeft w:val="0"/>
                      <w:marRight w:val="0"/>
                      <w:marTop w:val="0"/>
                      <w:marBottom w:val="0"/>
                      <w:divBdr>
                        <w:top w:val="none" w:sz="0" w:space="0" w:color="auto"/>
                        <w:left w:val="none" w:sz="0" w:space="0" w:color="auto"/>
                        <w:bottom w:val="none" w:sz="0" w:space="0" w:color="auto"/>
                        <w:right w:val="none" w:sz="0" w:space="0" w:color="auto"/>
                      </w:divBdr>
                    </w:div>
                  </w:divsChild>
                </w:div>
                <w:div w:id="375203185">
                  <w:marLeft w:val="0"/>
                  <w:marRight w:val="0"/>
                  <w:marTop w:val="0"/>
                  <w:marBottom w:val="0"/>
                  <w:divBdr>
                    <w:top w:val="none" w:sz="0" w:space="0" w:color="auto"/>
                    <w:left w:val="none" w:sz="0" w:space="0" w:color="auto"/>
                    <w:bottom w:val="none" w:sz="0" w:space="0" w:color="auto"/>
                    <w:right w:val="none" w:sz="0" w:space="0" w:color="auto"/>
                  </w:divBdr>
                  <w:divsChild>
                    <w:div w:id="1722095271">
                      <w:marLeft w:val="0"/>
                      <w:marRight w:val="0"/>
                      <w:marTop w:val="0"/>
                      <w:marBottom w:val="0"/>
                      <w:divBdr>
                        <w:top w:val="none" w:sz="0" w:space="0" w:color="auto"/>
                        <w:left w:val="none" w:sz="0" w:space="0" w:color="auto"/>
                        <w:bottom w:val="none" w:sz="0" w:space="0" w:color="auto"/>
                        <w:right w:val="none" w:sz="0" w:space="0" w:color="auto"/>
                      </w:divBdr>
                    </w:div>
                  </w:divsChild>
                </w:div>
                <w:div w:id="378893929">
                  <w:marLeft w:val="0"/>
                  <w:marRight w:val="0"/>
                  <w:marTop w:val="0"/>
                  <w:marBottom w:val="0"/>
                  <w:divBdr>
                    <w:top w:val="none" w:sz="0" w:space="0" w:color="auto"/>
                    <w:left w:val="none" w:sz="0" w:space="0" w:color="auto"/>
                    <w:bottom w:val="none" w:sz="0" w:space="0" w:color="auto"/>
                    <w:right w:val="none" w:sz="0" w:space="0" w:color="auto"/>
                  </w:divBdr>
                  <w:divsChild>
                    <w:div w:id="992224209">
                      <w:marLeft w:val="0"/>
                      <w:marRight w:val="0"/>
                      <w:marTop w:val="0"/>
                      <w:marBottom w:val="0"/>
                      <w:divBdr>
                        <w:top w:val="none" w:sz="0" w:space="0" w:color="auto"/>
                        <w:left w:val="none" w:sz="0" w:space="0" w:color="auto"/>
                        <w:bottom w:val="none" w:sz="0" w:space="0" w:color="auto"/>
                        <w:right w:val="none" w:sz="0" w:space="0" w:color="auto"/>
                      </w:divBdr>
                    </w:div>
                  </w:divsChild>
                </w:div>
                <w:div w:id="386532219">
                  <w:marLeft w:val="0"/>
                  <w:marRight w:val="0"/>
                  <w:marTop w:val="0"/>
                  <w:marBottom w:val="0"/>
                  <w:divBdr>
                    <w:top w:val="none" w:sz="0" w:space="0" w:color="auto"/>
                    <w:left w:val="none" w:sz="0" w:space="0" w:color="auto"/>
                    <w:bottom w:val="none" w:sz="0" w:space="0" w:color="auto"/>
                    <w:right w:val="none" w:sz="0" w:space="0" w:color="auto"/>
                  </w:divBdr>
                  <w:divsChild>
                    <w:div w:id="698898692">
                      <w:marLeft w:val="0"/>
                      <w:marRight w:val="0"/>
                      <w:marTop w:val="0"/>
                      <w:marBottom w:val="0"/>
                      <w:divBdr>
                        <w:top w:val="none" w:sz="0" w:space="0" w:color="auto"/>
                        <w:left w:val="none" w:sz="0" w:space="0" w:color="auto"/>
                        <w:bottom w:val="none" w:sz="0" w:space="0" w:color="auto"/>
                        <w:right w:val="none" w:sz="0" w:space="0" w:color="auto"/>
                      </w:divBdr>
                    </w:div>
                  </w:divsChild>
                </w:div>
                <w:div w:id="397751279">
                  <w:marLeft w:val="0"/>
                  <w:marRight w:val="0"/>
                  <w:marTop w:val="0"/>
                  <w:marBottom w:val="0"/>
                  <w:divBdr>
                    <w:top w:val="none" w:sz="0" w:space="0" w:color="auto"/>
                    <w:left w:val="none" w:sz="0" w:space="0" w:color="auto"/>
                    <w:bottom w:val="none" w:sz="0" w:space="0" w:color="auto"/>
                    <w:right w:val="none" w:sz="0" w:space="0" w:color="auto"/>
                  </w:divBdr>
                  <w:divsChild>
                    <w:div w:id="1356691008">
                      <w:marLeft w:val="0"/>
                      <w:marRight w:val="0"/>
                      <w:marTop w:val="0"/>
                      <w:marBottom w:val="0"/>
                      <w:divBdr>
                        <w:top w:val="none" w:sz="0" w:space="0" w:color="auto"/>
                        <w:left w:val="none" w:sz="0" w:space="0" w:color="auto"/>
                        <w:bottom w:val="none" w:sz="0" w:space="0" w:color="auto"/>
                        <w:right w:val="none" w:sz="0" w:space="0" w:color="auto"/>
                      </w:divBdr>
                    </w:div>
                  </w:divsChild>
                </w:div>
                <w:div w:id="402877635">
                  <w:marLeft w:val="0"/>
                  <w:marRight w:val="0"/>
                  <w:marTop w:val="0"/>
                  <w:marBottom w:val="0"/>
                  <w:divBdr>
                    <w:top w:val="none" w:sz="0" w:space="0" w:color="auto"/>
                    <w:left w:val="none" w:sz="0" w:space="0" w:color="auto"/>
                    <w:bottom w:val="none" w:sz="0" w:space="0" w:color="auto"/>
                    <w:right w:val="none" w:sz="0" w:space="0" w:color="auto"/>
                  </w:divBdr>
                  <w:divsChild>
                    <w:div w:id="1830441583">
                      <w:marLeft w:val="0"/>
                      <w:marRight w:val="0"/>
                      <w:marTop w:val="0"/>
                      <w:marBottom w:val="0"/>
                      <w:divBdr>
                        <w:top w:val="none" w:sz="0" w:space="0" w:color="auto"/>
                        <w:left w:val="none" w:sz="0" w:space="0" w:color="auto"/>
                        <w:bottom w:val="none" w:sz="0" w:space="0" w:color="auto"/>
                        <w:right w:val="none" w:sz="0" w:space="0" w:color="auto"/>
                      </w:divBdr>
                    </w:div>
                  </w:divsChild>
                </w:div>
                <w:div w:id="439883180">
                  <w:marLeft w:val="0"/>
                  <w:marRight w:val="0"/>
                  <w:marTop w:val="0"/>
                  <w:marBottom w:val="0"/>
                  <w:divBdr>
                    <w:top w:val="none" w:sz="0" w:space="0" w:color="auto"/>
                    <w:left w:val="none" w:sz="0" w:space="0" w:color="auto"/>
                    <w:bottom w:val="none" w:sz="0" w:space="0" w:color="auto"/>
                    <w:right w:val="none" w:sz="0" w:space="0" w:color="auto"/>
                  </w:divBdr>
                  <w:divsChild>
                    <w:div w:id="1929730285">
                      <w:marLeft w:val="0"/>
                      <w:marRight w:val="0"/>
                      <w:marTop w:val="0"/>
                      <w:marBottom w:val="0"/>
                      <w:divBdr>
                        <w:top w:val="none" w:sz="0" w:space="0" w:color="auto"/>
                        <w:left w:val="none" w:sz="0" w:space="0" w:color="auto"/>
                        <w:bottom w:val="none" w:sz="0" w:space="0" w:color="auto"/>
                        <w:right w:val="none" w:sz="0" w:space="0" w:color="auto"/>
                      </w:divBdr>
                    </w:div>
                  </w:divsChild>
                </w:div>
                <w:div w:id="445464452">
                  <w:marLeft w:val="0"/>
                  <w:marRight w:val="0"/>
                  <w:marTop w:val="0"/>
                  <w:marBottom w:val="0"/>
                  <w:divBdr>
                    <w:top w:val="none" w:sz="0" w:space="0" w:color="auto"/>
                    <w:left w:val="none" w:sz="0" w:space="0" w:color="auto"/>
                    <w:bottom w:val="none" w:sz="0" w:space="0" w:color="auto"/>
                    <w:right w:val="none" w:sz="0" w:space="0" w:color="auto"/>
                  </w:divBdr>
                  <w:divsChild>
                    <w:div w:id="1272667857">
                      <w:marLeft w:val="0"/>
                      <w:marRight w:val="0"/>
                      <w:marTop w:val="0"/>
                      <w:marBottom w:val="0"/>
                      <w:divBdr>
                        <w:top w:val="none" w:sz="0" w:space="0" w:color="auto"/>
                        <w:left w:val="none" w:sz="0" w:space="0" w:color="auto"/>
                        <w:bottom w:val="none" w:sz="0" w:space="0" w:color="auto"/>
                        <w:right w:val="none" w:sz="0" w:space="0" w:color="auto"/>
                      </w:divBdr>
                    </w:div>
                  </w:divsChild>
                </w:div>
                <w:div w:id="476460936">
                  <w:marLeft w:val="0"/>
                  <w:marRight w:val="0"/>
                  <w:marTop w:val="0"/>
                  <w:marBottom w:val="0"/>
                  <w:divBdr>
                    <w:top w:val="none" w:sz="0" w:space="0" w:color="auto"/>
                    <w:left w:val="none" w:sz="0" w:space="0" w:color="auto"/>
                    <w:bottom w:val="none" w:sz="0" w:space="0" w:color="auto"/>
                    <w:right w:val="none" w:sz="0" w:space="0" w:color="auto"/>
                  </w:divBdr>
                  <w:divsChild>
                    <w:div w:id="1919510706">
                      <w:marLeft w:val="0"/>
                      <w:marRight w:val="0"/>
                      <w:marTop w:val="0"/>
                      <w:marBottom w:val="0"/>
                      <w:divBdr>
                        <w:top w:val="none" w:sz="0" w:space="0" w:color="auto"/>
                        <w:left w:val="none" w:sz="0" w:space="0" w:color="auto"/>
                        <w:bottom w:val="none" w:sz="0" w:space="0" w:color="auto"/>
                        <w:right w:val="none" w:sz="0" w:space="0" w:color="auto"/>
                      </w:divBdr>
                    </w:div>
                  </w:divsChild>
                </w:div>
                <w:div w:id="479007803">
                  <w:marLeft w:val="0"/>
                  <w:marRight w:val="0"/>
                  <w:marTop w:val="0"/>
                  <w:marBottom w:val="0"/>
                  <w:divBdr>
                    <w:top w:val="none" w:sz="0" w:space="0" w:color="auto"/>
                    <w:left w:val="none" w:sz="0" w:space="0" w:color="auto"/>
                    <w:bottom w:val="none" w:sz="0" w:space="0" w:color="auto"/>
                    <w:right w:val="none" w:sz="0" w:space="0" w:color="auto"/>
                  </w:divBdr>
                  <w:divsChild>
                    <w:div w:id="79180527">
                      <w:marLeft w:val="0"/>
                      <w:marRight w:val="0"/>
                      <w:marTop w:val="0"/>
                      <w:marBottom w:val="0"/>
                      <w:divBdr>
                        <w:top w:val="none" w:sz="0" w:space="0" w:color="auto"/>
                        <w:left w:val="none" w:sz="0" w:space="0" w:color="auto"/>
                        <w:bottom w:val="none" w:sz="0" w:space="0" w:color="auto"/>
                        <w:right w:val="none" w:sz="0" w:space="0" w:color="auto"/>
                      </w:divBdr>
                    </w:div>
                  </w:divsChild>
                </w:div>
                <w:div w:id="482357614">
                  <w:marLeft w:val="0"/>
                  <w:marRight w:val="0"/>
                  <w:marTop w:val="0"/>
                  <w:marBottom w:val="0"/>
                  <w:divBdr>
                    <w:top w:val="none" w:sz="0" w:space="0" w:color="auto"/>
                    <w:left w:val="none" w:sz="0" w:space="0" w:color="auto"/>
                    <w:bottom w:val="none" w:sz="0" w:space="0" w:color="auto"/>
                    <w:right w:val="none" w:sz="0" w:space="0" w:color="auto"/>
                  </w:divBdr>
                  <w:divsChild>
                    <w:div w:id="1198854316">
                      <w:marLeft w:val="0"/>
                      <w:marRight w:val="0"/>
                      <w:marTop w:val="0"/>
                      <w:marBottom w:val="0"/>
                      <w:divBdr>
                        <w:top w:val="none" w:sz="0" w:space="0" w:color="auto"/>
                        <w:left w:val="none" w:sz="0" w:space="0" w:color="auto"/>
                        <w:bottom w:val="none" w:sz="0" w:space="0" w:color="auto"/>
                        <w:right w:val="none" w:sz="0" w:space="0" w:color="auto"/>
                      </w:divBdr>
                    </w:div>
                  </w:divsChild>
                </w:div>
                <w:div w:id="484473716">
                  <w:marLeft w:val="0"/>
                  <w:marRight w:val="0"/>
                  <w:marTop w:val="0"/>
                  <w:marBottom w:val="0"/>
                  <w:divBdr>
                    <w:top w:val="none" w:sz="0" w:space="0" w:color="auto"/>
                    <w:left w:val="none" w:sz="0" w:space="0" w:color="auto"/>
                    <w:bottom w:val="none" w:sz="0" w:space="0" w:color="auto"/>
                    <w:right w:val="none" w:sz="0" w:space="0" w:color="auto"/>
                  </w:divBdr>
                  <w:divsChild>
                    <w:div w:id="1440678829">
                      <w:marLeft w:val="0"/>
                      <w:marRight w:val="0"/>
                      <w:marTop w:val="0"/>
                      <w:marBottom w:val="0"/>
                      <w:divBdr>
                        <w:top w:val="none" w:sz="0" w:space="0" w:color="auto"/>
                        <w:left w:val="none" w:sz="0" w:space="0" w:color="auto"/>
                        <w:bottom w:val="none" w:sz="0" w:space="0" w:color="auto"/>
                        <w:right w:val="none" w:sz="0" w:space="0" w:color="auto"/>
                      </w:divBdr>
                    </w:div>
                  </w:divsChild>
                </w:div>
                <w:div w:id="493882667">
                  <w:marLeft w:val="0"/>
                  <w:marRight w:val="0"/>
                  <w:marTop w:val="0"/>
                  <w:marBottom w:val="0"/>
                  <w:divBdr>
                    <w:top w:val="none" w:sz="0" w:space="0" w:color="auto"/>
                    <w:left w:val="none" w:sz="0" w:space="0" w:color="auto"/>
                    <w:bottom w:val="none" w:sz="0" w:space="0" w:color="auto"/>
                    <w:right w:val="none" w:sz="0" w:space="0" w:color="auto"/>
                  </w:divBdr>
                  <w:divsChild>
                    <w:div w:id="399671082">
                      <w:marLeft w:val="0"/>
                      <w:marRight w:val="0"/>
                      <w:marTop w:val="0"/>
                      <w:marBottom w:val="0"/>
                      <w:divBdr>
                        <w:top w:val="none" w:sz="0" w:space="0" w:color="auto"/>
                        <w:left w:val="none" w:sz="0" w:space="0" w:color="auto"/>
                        <w:bottom w:val="none" w:sz="0" w:space="0" w:color="auto"/>
                        <w:right w:val="none" w:sz="0" w:space="0" w:color="auto"/>
                      </w:divBdr>
                    </w:div>
                  </w:divsChild>
                </w:div>
                <w:div w:id="540944746">
                  <w:marLeft w:val="0"/>
                  <w:marRight w:val="0"/>
                  <w:marTop w:val="0"/>
                  <w:marBottom w:val="0"/>
                  <w:divBdr>
                    <w:top w:val="none" w:sz="0" w:space="0" w:color="auto"/>
                    <w:left w:val="none" w:sz="0" w:space="0" w:color="auto"/>
                    <w:bottom w:val="none" w:sz="0" w:space="0" w:color="auto"/>
                    <w:right w:val="none" w:sz="0" w:space="0" w:color="auto"/>
                  </w:divBdr>
                  <w:divsChild>
                    <w:div w:id="13239474">
                      <w:marLeft w:val="0"/>
                      <w:marRight w:val="0"/>
                      <w:marTop w:val="0"/>
                      <w:marBottom w:val="0"/>
                      <w:divBdr>
                        <w:top w:val="none" w:sz="0" w:space="0" w:color="auto"/>
                        <w:left w:val="none" w:sz="0" w:space="0" w:color="auto"/>
                        <w:bottom w:val="none" w:sz="0" w:space="0" w:color="auto"/>
                        <w:right w:val="none" w:sz="0" w:space="0" w:color="auto"/>
                      </w:divBdr>
                    </w:div>
                  </w:divsChild>
                </w:div>
                <w:div w:id="557908737">
                  <w:marLeft w:val="0"/>
                  <w:marRight w:val="0"/>
                  <w:marTop w:val="0"/>
                  <w:marBottom w:val="0"/>
                  <w:divBdr>
                    <w:top w:val="none" w:sz="0" w:space="0" w:color="auto"/>
                    <w:left w:val="none" w:sz="0" w:space="0" w:color="auto"/>
                    <w:bottom w:val="none" w:sz="0" w:space="0" w:color="auto"/>
                    <w:right w:val="none" w:sz="0" w:space="0" w:color="auto"/>
                  </w:divBdr>
                  <w:divsChild>
                    <w:div w:id="969358564">
                      <w:marLeft w:val="0"/>
                      <w:marRight w:val="0"/>
                      <w:marTop w:val="0"/>
                      <w:marBottom w:val="0"/>
                      <w:divBdr>
                        <w:top w:val="none" w:sz="0" w:space="0" w:color="auto"/>
                        <w:left w:val="none" w:sz="0" w:space="0" w:color="auto"/>
                        <w:bottom w:val="none" w:sz="0" w:space="0" w:color="auto"/>
                        <w:right w:val="none" w:sz="0" w:space="0" w:color="auto"/>
                      </w:divBdr>
                    </w:div>
                  </w:divsChild>
                </w:div>
                <w:div w:id="562258399">
                  <w:marLeft w:val="0"/>
                  <w:marRight w:val="0"/>
                  <w:marTop w:val="0"/>
                  <w:marBottom w:val="0"/>
                  <w:divBdr>
                    <w:top w:val="none" w:sz="0" w:space="0" w:color="auto"/>
                    <w:left w:val="none" w:sz="0" w:space="0" w:color="auto"/>
                    <w:bottom w:val="none" w:sz="0" w:space="0" w:color="auto"/>
                    <w:right w:val="none" w:sz="0" w:space="0" w:color="auto"/>
                  </w:divBdr>
                  <w:divsChild>
                    <w:div w:id="1036350012">
                      <w:marLeft w:val="0"/>
                      <w:marRight w:val="0"/>
                      <w:marTop w:val="0"/>
                      <w:marBottom w:val="0"/>
                      <w:divBdr>
                        <w:top w:val="none" w:sz="0" w:space="0" w:color="auto"/>
                        <w:left w:val="none" w:sz="0" w:space="0" w:color="auto"/>
                        <w:bottom w:val="none" w:sz="0" w:space="0" w:color="auto"/>
                        <w:right w:val="none" w:sz="0" w:space="0" w:color="auto"/>
                      </w:divBdr>
                    </w:div>
                  </w:divsChild>
                </w:div>
                <w:div w:id="568198183">
                  <w:marLeft w:val="0"/>
                  <w:marRight w:val="0"/>
                  <w:marTop w:val="0"/>
                  <w:marBottom w:val="0"/>
                  <w:divBdr>
                    <w:top w:val="none" w:sz="0" w:space="0" w:color="auto"/>
                    <w:left w:val="none" w:sz="0" w:space="0" w:color="auto"/>
                    <w:bottom w:val="none" w:sz="0" w:space="0" w:color="auto"/>
                    <w:right w:val="none" w:sz="0" w:space="0" w:color="auto"/>
                  </w:divBdr>
                  <w:divsChild>
                    <w:div w:id="1623226204">
                      <w:marLeft w:val="0"/>
                      <w:marRight w:val="0"/>
                      <w:marTop w:val="0"/>
                      <w:marBottom w:val="0"/>
                      <w:divBdr>
                        <w:top w:val="none" w:sz="0" w:space="0" w:color="auto"/>
                        <w:left w:val="none" w:sz="0" w:space="0" w:color="auto"/>
                        <w:bottom w:val="none" w:sz="0" w:space="0" w:color="auto"/>
                        <w:right w:val="none" w:sz="0" w:space="0" w:color="auto"/>
                      </w:divBdr>
                    </w:div>
                  </w:divsChild>
                </w:div>
                <w:div w:id="579603152">
                  <w:marLeft w:val="0"/>
                  <w:marRight w:val="0"/>
                  <w:marTop w:val="0"/>
                  <w:marBottom w:val="0"/>
                  <w:divBdr>
                    <w:top w:val="none" w:sz="0" w:space="0" w:color="auto"/>
                    <w:left w:val="none" w:sz="0" w:space="0" w:color="auto"/>
                    <w:bottom w:val="none" w:sz="0" w:space="0" w:color="auto"/>
                    <w:right w:val="none" w:sz="0" w:space="0" w:color="auto"/>
                  </w:divBdr>
                  <w:divsChild>
                    <w:div w:id="1262489155">
                      <w:marLeft w:val="0"/>
                      <w:marRight w:val="0"/>
                      <w:marTop w:val="0"/>
                      <w:marBottom w:val="0"/>
                      <w:divBdr>
                        <w:top w:val="none" w:sz="0" w:space="0" w:color="auto"/>
                        <w:left w:val="none" w:sz="0" w:space="0" w:color="auto"/>
                        <w:bottom w:val="none" w:sz="0" w:space="0" w:color="auto"/>
                        <w:right w:val="none" w:sz="0" w:space="0" w:color="auto"/>
                      </w:divBdr>
                    </w:div>
                  </w:divsChild>
                </w:div>
                <w:div w:id="596641932">
                  <w:marLeft w:val="0"/>
                  <w:marRight w:val="0"/>
                  <w:marTop w:val="0"/>
                  <w:marBottom w:val="0"/>
                  <w:divBdr>
                    <w:top w:val="none" w:sz="0" w:space="0" w:color="auto"/>
                    <w:left w:val="none" w:sz="0" w:space="0" w:color="auto"/>
                    <w:bottom w:val="none" w:sz="0" w:space="0" w:color="auto"/>
                    <w:right w:val="none" w:sz="0" w:space="0" w:color="auto"/>
                  </w:divBdr>
                  <w:divsChild>
                    <w:div w:id="1566377538">
                      <w:marLeft w:val="0"/>
                      <w:marRight w:val="0"/>
                      <w:marTop w:val="0"/>
                      <w:marBottom w:val="0"/>
                      <w:divBdr>
                        <w:top w:val="none" w:sz="0" w:space="0" w:color="auto"/>
                        <w:left w:val="none" w:sz="0" w:space="0" w:color="auto"/>
                        <w:bottom w:val="none" w:sz="0" w:space="0" w:color="auto"/>
                        <w:right w:val="none" w:sz="0" w:space="0" w:color="auto"/>
                      </w:divBdr>
                    </w:div>
                  </w:divsChild>
                </w:div>
                <w:div w:id="622424973">
                  <w:marLeft w:val="0"/>
                  <w:marRight w:val="0"/>
                  <w:marTop w:val="0"/>
                  <w:marBottom w:val="0"/>
                  <w:divBdr>
                    <w:top w:val="none" w:sz="0" w:space="0" w:color="auto"/>
                    <w:left w:val="none" w:sz="0" w:space="0" w:color="auto"/>
                    <w:bottom w:val="none" w:sz="0" w:space="0" w:color="auto"/>
                    <w:right w:val="none" w:sz="0" w:space="0" w:color="auto"/>
                  </w:divBdr>
                  <w:divsChild>
                    <w:div w:id="2003193022">
                      <w:marLeft w:val="0"/>
                      <w:marRight w:val="0"/>
                      <w:marTop w:val="0"/>
                      <w:marBottom w:val="0"/>
                      <w:divBdr>
                        <w:top w:val="none" w:sz="0" w:space="0" w:color="auto"/>
                        <w:left w:val="none" w:sz="0" w:space="0" w:color="auto"/>
                        <w:bottom w:val="none" w:sz="0" w:space="0" w:color="auto"/>
                        <w:right w:val="none" w:sz="0" w:space="0" w:color="auto"/>
                      </w:divBdr>
                    </w:div>
                  </w:divsChild>
                </w:div>
                <w:div w:id="638920081">
                  <w:marLeft w:val="0"/>
                  <w:marRight w:val="0"/>
                  <w:marTop w:val="0"/>
                  <w:marBottom w:val="0"/>
                  <w:divBdr>
                    <w:top w:val="none" w:sz="0" w:space="0" w:color="auto"/>
                    <w:left w:val="none" w:sz="0" w:space="0" w:color="auto"/>
                    <w:bottom w:val="none" w:sz="0" w:space="0" w:color="auto"/>
                    <w:right w:val="none" w:sz="0" w:space="0" w:color="auto"/>
                  </w:divBdr>
                  <w:divsChild>
                    <w:div w:id="914322154">
                      <w:marLeft w:val="0"/>
                      <w:marRight w:val="0"/>
                      <w:marTop w:val="0"/>
                      <w:marBottom w:val="0"/>
                      <w:divBdr>
                        <w:top w:val="none" w:sz="0" w:space="0" w:color="auto"/>
                        <w:left w:val="none" w:sz="0" w:space="0" w:color="auto"/>
                        <w:bottom w:val="none" w:sz="0" w:space="0" w:color="auto"/>
                        <w:right w:val="none" w:sz="0" w:space="0" w:color="auto"/>
                      </w:divBdr>
                    </w:div>
                  </w:divsChild>
                </w:div>
                <w:div w:id="653216436">
                  <w:marLeft w:val="0"/>
                  <w:marRight w:val="0"/>
                  <w:marTop w:val="0"/>
                  <w:marBottom w:val="0"/>
                  <w:divBdr>
                    <w:top w:val="none" w:sz="0" w:space="0" w:color="auto"/>
                    <w:left w:val="none" w:sz="0" w:space="0" w:color="auto"/>
                    <w:bottom w:val="none" w:sz="0" w:space="0" w:color="auto"/>
                    <w:right w:val="none" w:sz="0" w:space="0" w:color="auto"/>
                  </w:divBdr>
                  <w:divsChild>
                    <w:div w:id="1147938333">
                      <w:marLeft w:val="0"/>
                      <w:marRight w:val="0"/>
                      <w:marTop w:val="0"/>
                      <w:marBottom w:val="0"/>
                      <w:divBdr>
                        <w:top w:val="none" w:sz="0" w:space="0" w:color="auto"/>
                        <w:left w:val="none" w:sz="0" w:space="0" w:color="auto"/>
                        <w:bottom w:val="none" w:sz="0" w:space="0" w:color="auto"/>
                        <w:right w:val="none" w:sz="0" w:space="0" w:color="auto"/>
                      </w:divBdr>
                    </w:div>
                  </w:divsChild>
                </w:div>
                <w:div w:id="663164322">
                  <w:marLeft w:val="0"/>
                  <w:marRight w:val="0"/>
                  <w:marTop w:val="0"/>
                  <w:marBottom w:val="0"/>
                  <w:divBdr>
                    <w:top w:val="none" w:sz="0" w:space="0" w:color="auto"/>
                    <w:left w:val="none" w:sz="0" w:space="0" w:color="auto"/>
                    <w:bottom w:val="none" w:sz="0" w:space="0" w:color="auto"/>
                    <w:right w:val="none" w:sz="0" w:space="0" w:color="auto"/>
                  </w:divBdr>
                  <w:divsChild>
                    <w:div w:id="1663506288">
                      <w:marLeft w:val="0"/>
                      <w:marRight w:val="0"/>
                      <w:marTop w:val="0"/>
                      <w:marBottom w:val="0"/>
                      <w:divBdr>
                        <w:top w:val="none" w:sz="0" w:space="0" w:color="auto"/>
                        <w:left w:val="none" w:sz="0" w:space="0" w:color="auto"/>
                        <w:bottom w:val="none" w:sz="0" w:space="0" w:color="auto"/>
                        <w:right w:val="none" w:sz="0" w:space="0" w:color="auto"/>
                      </w:divBdr>
                    </w:div>
                  </w:divsChild>
                </w:div>
                <w:div w:id="664478668">
                  <w:marLeft w:val="0"/>
                  <w:marRight w:val="0"/>
                  <w:marTop w:val="0"/>
                  <w:marBottom w:val="0"/>
                  <w:divBdr>
                    <w:top w:val="none" w:sz="0" w:space="0" w:color="auto"/>
                    <w:left w:val="none" w:sz="0" w:space="0" w:color="auto"/>
                    <w:bottom w:val="none" w:sz="0" w:space="0" w:color="auto"/>
                    <w:right w:val="none" w:sz="0" w:space="0" w:color="auto"/>
                  </w:divBdr>
                  <w:divsChild>
                    <w:div w:id="704714004">
                      <w:marLeft w:val="0"/>
                      <w:marRight w:val="0"/>
                      <w:marTop w:val="0"/>
                      <w:marBottom w:val="0"/>
                      <w:divBdr>
                        <w:top w:val="none" w:sz="0" w:space="0" w:color="auto"/>
                        <w:left w:val="none" w:sz="0" w:space="0" w:color="auto"/>
                        <w:bottom w:val="none" w:sz="0" w:space="0" w:color="auto"/>
                        <w:right w:val="none" w:sz="0" w:space="0" w:color="auto"/>
                      </w:divBdr>
                    </w:div>
                  </w:divsChild>
                </w:div>
                <w:div w:id="664817503">
                  <w:marLeft w:val="0"/>
                  <w:marRight w:val="0"/>
                  <w:marTop w:val="0"/>
                  <w:marBottom w:val="0"/>
                  <w:divBdr>
                    <w:top w:val="none" w:sz="0" w:space="0" w:color="auto"/>
                    <w:left w:val="none" w:sz="0" w:space="0" w:color="auto"/>
                    <w:bottom w:val="none" w:sz="0" w:space="0" w:color="auto"/>
                    <w:right w:val="none" w:sz="0" w:space="0" w:color="auto"/>
                  </w:divBdr>
                  <w:divsChild>
                    <w:div w:id="2066251192">
                      <w:marLeft w:val="0"/>
                      <w:marRight w:val="0"/>
                      <w:marTop w:val="0"/>
                      <w:marBottom w:val="0"/>
                      <w:divBdr>
                        <w:top w:val="none" w:sz="0" w:space="0" w:color="auto"/>
                        <w:left w:val="none" w:sz="0" w:space="0" w:color="auto"/>
                        <w:bottom w:val="none" w:sz="0" w:space="0" w:color="auto"/>
                        <w:right w:val="none" w:sz="0" w:space="0" w:color="auto"/>
                      </w:divBdr>
                    </w:div>
                  </w:divsChild>
                </w:div>
                <w:div w:id="668600789">
                  <w:marLeft w:val="0"/>
                  <w:marRight w:val="0"/>
                  <w:marTop w:val="0"/>
                  <w:marBottom w:val="0"/>
                  <w:divBdr>
                    <w:top w:val="none" w:sz="0" w:space="0" w:color="auto"/>
                    <w:left w:val="none" w:sz="0" w:space="0" w:color="auto"/>
                    <w:bottom w:val="none" w:sz="0" w:space="0" w:color="auto"/>
                    <w:right w:val="none" w:sz="0" w:space="0" w:color="auto"/>
                  </w:divBdr>
                  <w:divsChild>
                    <w:div w:id="992215872">
                      <w:marLeft w:val="0"/>
                      <w:marRight w:val="0"/>
                      <w:marTop w:val="0"/>
                      <w:marBottom w:val="0"/>
                      <w:divBdr>
                        <w:top w:val="none" w:sz="0" w:space="0" w:color="auto"/>
                        <w:left w:val="none" w:sz="0" w:space="0" w:color="auto"/>
                        <w:bottom w:val="none" w:sz="0" w:space="0" w:color="auto"/>
                        <w:right w:val="none" w:sz="0" w:space="0" w:color="auto"/>
                      </w:divBdr>
                    </w:div>
                  </w:divsChild>
                </w:div>
                <w:div w:id="673532902">
                  <w:marLeft w:val="0"/>
                  <w:marRight w:val="0"/>
                  <w:marTop w:val="0"/>
                  <w:marBottom w:val="0"/>
                  <w:divBdr>
                    <w:top w:val="none" w:sz="0" w:space="0" w:color="auto"/>
                    <w:left w:val="none" w:sz="0" w:space="0" w:color="auto"/>
                    <w:bottom w:val="none" w:sz="0" w:space="0" w:color="auto"/>
                    <w:right w:val="none" w:sz="0" w:space="0" w:color="auto"/>
                  </w:divBdr>
                  <w:divsChild>
                    <w:div w:id="305740054">
                      <w:marLeft w:val="0"/>
                      <w:marRight w:val="0"/>
                      <w:marTop w:val="0"/>
                      <w:marBottom w:val="0"/>
                      <w:divBdr>
                        <w:top w:val="none" w:sz="0" w:space="0" w:color="auto"/>
                        <w:left w:val="none" w:sz="0" w:space="0" w:color="auto"/>
                        <w:bottom w:val="none" w:sz="0" w:space="0" w:color="auto"/>
                        <w:right w:val="none" w:sz="0" w:space="0" w:color="auto"/>
                      </w:divBdr>
                    </w:div>
                  </w:divsChild>
                </w:div>
                <w:div w:id="710760908">
                  <w:marLeft w:val="0"/>
                  <w:marRight w:val="0"/>
                  <w:marTop w:val="0"/>
                  <w:marBottom w:val="0"/>
                  <w:divBdr>
                    <w:top w:val="none" w:sz="0" w:space="0" w:color="auto"/>
                    <w:left w:val="none" w:sz="0" w:space="0" w:color="auto"/>
                    <w:bottom w:val="none" w:sz="0" w:space="0" w:color="auto"/>
                    <w:right w:val="none" w:sz="0" w:space="0" w:color="auto"/>
                  </w:divBdr>
                  <w:divsChild>
                    <w:div w:id="1975020085">
                      <w:marLeft w:val="0"/>
                      <w:marRight w:val="0"/>
                      <w:marTop w:val="0"/>
                      <w:marBottom w:val="0"/>
                      <w:divBdr>
                        <w:top w:val="none" w:sz="0" w:space="0" w:color="auto"/>
                        <w:left w:val="none" w:sz="0" w:space="0" w:color="auto"/>
                        <w:bottom w:val="none" w:sz="0" w:space="0" w:color="auto"/>
                        <w:right w:val="none" w:sz="0" w:space="0" w:color="auto"/>
                      </w:divBdr>
                    </w:div>
                  </w:divsChild>
                </w:div>
                <w:div w:id="712734601">
                  <w:marLeft w:val="0"/>
                  <w:marRight w:val="0"/>
                  <w:marTop w:val="0"/>
                  <w:marBottom w:val="0"/>
                  <w:divBdr>
                    <w:top w:val="none" w:sz="0" w:space="0" w:color="auto"/>
                    <w:left w:val="none" w:sz="0" w:space="0" w:color="auto"/>
                    <w:bottom w:val="none" w:sz="0" w:space="0" w:color="auto"/>
                    <w:right w:val="none" w:sz="0" w:space="0" w:color="auto"/>
                  </w:divBdr>
                  <w:divsChild>
                    <w:div w:id="1572424997">
                      <w:marLeft w:val="0"/>
                      <w:marRight w:val="0"/>
                      <w:marTop w:val="0"/>
                      <w:marBottom w:val="0"/>
                      <w:divBdr>
                        <w:top w:val="none" w:sz="0" w:space="0" w:color="auto"/>
                        <w:left w:val="none" w:sz="0" w:space="0" w:color="auto"/>
                        <w:bottom w:val="none" w:sz="0" w:space="0" w:color="auto"/>
                        <w:right w:val="none" w:sz="0" w:space="0" w:color="auto"/>
                      </w:divBdr>
                    </w:div>
                  </w:divsChild>
                </w:div>
                <w:div w:id="714621940">
                  <w:marLeft w:val="0"/>
                  <w:marRight w:val="0"/>
                  <w:marTop w:val="0"/>
                  <w:marBottom w:val="0"/>
                  <w:divBdr>
                    <w:top w:val="none" w:sz="0" w:space="0" w:color="auto"/>
                    <w:left w:val="none" w:sz="0" w:space="0" w:color="auto"/>
                    <w:bottom w:val="none" w:sz="0" w:space="0" w:color="auto"/>
                    <w:right w:val="none" w:sz="0" w:space="0" w:color="auto"/>
                  </w:divBdr>
                  <w:divsChild>
                    <w:div w:id="1279221397">
                      <w:marLeft w:val="0"/>
                      <w:marRight w:val="0"/>
                      <w:marTop w:val="0"/>
                      <w:marBottom w:val="0"/>
                      <w:divBdr>
                        <w:top w:val="none" w:sz="0" w:space="0" w:color="auto"/>
                        <w:left w:val="none" w:sz="0" w:space="0" w:color="auto"/>
                        <w:bottom w:val="none" w:sz="0" w:space="0" w:color="auto"/>
                        <w:right w:val="none" w:sz="0" w:space="0" w:color="auto"/>
                      </w:divBdr>
                    </w:div>
                  </w:divsChild>
                </w:div>
                <w:div w:id="715857891">
                  <w:marLeft w:val="0"/>
                  <w:marRight w:val="0"/>
                  <w:marTop w:val="0"/>
                  <w:marBottom w:val="0"/>
                  <w:divBdr>
                    <w:top w:val="none" w:sz="0" w:space="0" w:color="auto"/>
                    <w:left w:val="none" w:sz="0" w:space="0" w:color="auto"/>
                    <w:bottom w:val="none" w:sz="0" w:space="0" w:color="auto"/>
                    <w:right w:val="none" w:sz="0" w:space="0" w:color="auto"/>
                  </w:divBdr>
                  <w:divsChild>
                    <w:div w:id="1890804013">
                      <w:marLeft w:val="0"/>
                      <w:marRight w:val="0"/>
                      <w:marTop w:val="0"/>
                      <w:marBottom w:val="0"/>
                      <w:divBdr>
                        <w:top w:val="none" w:sz="0" w:space="0" w:color="auto"/>
                        <w:left w:val="none" w:sz="0" w:space="0" w:color="auto"/>
                        <w:bottom w:val="none" w:sz="0" w:space="0" w:color="auto"/>
                        <w:right w:val="none" w:sz="0" w:space="0" w:color="auto"/>
                      </w:divBdr>
                    </w:div>
                  </w:divsChild>
                </w:div>
                <w:div w:id="716124767">
                  <w:marLeft w:val="0"/>
                  <w:marRight w:val="0"/>
                  <w:marTop w:val="0"/>
                  <w:marBottom w:val="0"/>
                  <w:divBdr>
                    <w:top w:val="none" w:sz="0" w:space="0" w:color="auto"/>
                    <w:left w:val="none" w:sz="0" w:space="0" w:color="auto"/>
                    <w:bottom w:val="none" w:sz="0" w:space="0" w:color="auto"/>
                    <w:right w:val="none" w:sz="0" w:space="0" w:color="auto"/>
                  </w:divBdr>
                  <w:divsChild>
                    <w:div w:id="113641090">
                      <w:marLeft w:val="0"/>
                      <w:marRight w:val="0"/>
                      <w:marTop w:val="0"/>
                      <w:marBottom w:val="0"/>
                      <w:divBdr>
                        <w:top w:val="none" w:sz="0" w:space="0" w:color="auto"/>
                        <w:left w:val="none" w:sz="0" w:space="0" w:color="auto"/>
                        <w:bottom w:val="none" w:sz="0" w:space="0" w:color="auto"/>
                        <w:right w:val="none" w:sz="0" w:space="0" w:color="auto"/>
                      </w:divBdr>
                    </w:div>
                  </w:divsChild>
                </w:div>
                <w:div w:id="724182804">
                  <w:marLeft w:val="0"/>
                  <w:marRight w:val="0"/>
                  <w:marTop w:val="0"/>
                  <w:marBottom w:val="0"/>
                  <w:divBdr>
                    <w:top w:val="none" w:sz="0" w:space="0" w:color="auto"/>
                    <w:left w:val="none" w:sz="0" w:space="0" w:color="auto"/>
                    <w:bottom w:val="none" w:sz="0" w:space="0" w:color="auto"/>
                    <w:right w:val="none" w:sz="0" w:space="0" w:color="auto"/>
                  </w:divBdr>
                  <w:divsChild>
                    <w:div w:id="636185719">
                      <w:marLeft w:val="0"/>
                      <w:marRight w:val="0"/>
                      <w:marTop w:val="0"/>
                      <w:marBottom w:val="0"/>
                      <w:divBdr>
                        <w:top w:val="none" w:sz="0" w:space="0" w:color="auto"/>
                        <w:left w:val="none" w:sz="0" w:space="0" w:color="auto"/>
                        <w:bottom w:val="none" w:sz="0" w:space="0" w:color="auto"/>
                        <w:right w:val="none" w:sz="0" w:space="0" w:color="auto"/>
                      </w:divBdr>
                    </w:div>
                  </w:divsChild>
                </w:div>
                <w:div w:id="731343989">
                  <w:marLeft w:val="0"/>
                  <w:marRight w:val="0"/>
                  <w:marTop w:val="0"/>
                  <w:marBottom w:val="0"/>
                  <w:divBdr>
                    <w:top w:val="none" w:sz="0" w:space="0" w:color="auto"/>
                    <w:left w:val="none" w:sz="0" w:space="0" w:color="auto"/>
                    <w:bottom w:val="none" w:sz="0" w:space="0" w:color="auto"/>
                    <w:right w:val="none" w:sz="0" w:space="0" w:color="auto"/>
                  </w:divBdr>
                  <w:divsChild>
                    <w:div w:id="1588419515">
                      <w:marLeft w:val="0"/>
                      <w:marRight w:val="0"/>
                      <w:marTop w:val="0"/>
                      <w:marBottom w:val="0"/>
                      <w:divBdr>
                        <w:top w:val="none" w:sz="0" w:space="0" w:color="auto"/>
                        <w:left w:val="none" w:sz="0" w:space="0" w:color="auto"/>
                        <w:bottom w:val="none" w:sz="0" w:space="0" w:color="auto"/>
                        <w:right w:val="none" w:sz="0" w:space="0" w:color="auto"/>
                      </w:divBdr>
                    </w:div>
                  </w:divsChild>
                </w:div>
                <w:div w:id="741029657">
                  <w:marLeft w:val="0"/>
                  <w:marRight w:val="0"/>
                  <w:marTop w:val="0"/>
                  <w:marBottom w:val="0"/>
                  <w:divBdr>
                    <w:top w:val="none" w:sz="0" w:space="0" w:color="auto"/>
                    <w:left w:val="none" w:sz="0" w:space="0" w:color="auto"/>
                    <w:bottom w:val="none" w:sz="0" w:space="0" w:color="auto"/>
                    <w:right w:val="none" w:sz="0" w:space="0" w:color="auto"/>
                  </w:divBdr>
                  <w:divsChild>
                    <w:div w:id="2088458047">
                      <w:marLeft w:val="0"/>
                      <w:marRight w:val="0"/>
                      <w:marTop w:val="0"/>
                      <w:marBottom w:val="0"/>
                      <w:divBdr>
                        <w:top w:val="none" w:sz="0" w:space="0" w:color="auto"/>
                        <w:left w:val="none" w:sz="0" w:space="0" w:color="auto"/>
                        <w:bottom w:val="none" w:sz="0" w:space="0" w:color="auto"/>
                        <w:right w:val="none" w:sz="0" w:space="0" w:color="auto"/>
                      </w:divBdr>
                    </w:div>
                  </w:divsChild>
                </w:div>
                <w:div w:id="742918582">
                  <w:marLeft w:val="0"/>
                  <w:marRight w:val="0"/>
                  <w:marTop w:val="0"/>
                  <w:marBottom w:val="0"/>
                  <w:divBdr>
                    <w:top w:val="none" w:sz="0" w:space="0" w:color="auto"/>
                    <w:left w:val="none" w:sz="0" w:space="0" w:color="auto"/>
                    <w:bottom w:val="none" w:sz="0" w:space="0" w:color="auto"/>
                    <w:right w:val="none" w:sz="0" w:space="0" w:color="auto"/>
                  </w:divBdr>
                  <w:divsChild>
                    <w:div w:id="82730625">
                      <w:marLeft w:val="0"/>
                      <w:marRight w:val="0"/>
                      <w:marTop w:val="0"/>
                      <w:marBottom w:val="0"/>
                      <w:divBdr>
                        <w:top w:val="none" w:sz="0" w:space="0" w:color="auto"/>
                        <w:left w:val="none" w:sz="0" w:space="0" w:color="auto"/>
                        <w:bottom w:val="none" w:sz="0" w:space="0" w:color="auto"/>
                        <w:right w:val="none" w:sz="0" w:space="0" w:color="auto"/>
                      </w:divBdr>
                    </w:div>
                  </w:divsChild>
                </w:div>
                <w:div w:id="761880627">
                  <w:marLeft w:val="0"/>
                  <w:marRight w:val="0"/>
                  <w:marTop w:val="0"/>
                  <w:marBottom w:val="0"/>
                  <w:divBdr>
                    <w:top w:val="none" w:sz="0" w:space="0" w:color="auto"/>
                    <w:left w:val="none" w:sz="0" w:space="0" w:color="auto"/>
                    <w:bottom w:val="none" w:sz="0" w:space="0" w:color="auto"/>
                    <w:right w:val="none" w:sz="0" w:space="0" w:color="auto"/>
                  </w:divBdr>
                  <w:divsChild>
                    <w:div w:id="1868253817">
                      <w:marLeft w:val="0"/>
                      <w:marRight w:val="0"/>
                      <w:marTop w:val="0"/>
                      <w:marBottom w:val="0"/>
                      <w:divBdr>
                        <w:top w:val="none" w:sz="0" w:space="0" w:color="auto"/>
                        <w:left w:val="none" w:sz="0" w:space="0" w:color="auto"/>
                        <w:bottom w:val="none" w:sz="0" w:space="0" w:color="auto"/>
                        <w:right w:val="none" w:sz="0" w:space="0" w:color="auto"/>
                      </w:divBdr>
                    </w:div>
                  </w:divsChild>
                </w:div>
                <w:div w:id="774642656">
                  <w:marLeft w:val="0"/>
                  <w:marRight w:val="0"/>
                  <w:marTop w:val="0"/>
                  <w:marBottom w:val="0"/>
                  <w:divBdr>
                    <w:top w:val="none" w:sz="0" w:space="0" w:color="auto"/>
                    <w:left w:val="none" w:sz="0" w:space="0" w:color="auto"/>
                    <w:bottom w:val="none" w:sz="0" w:space="0" w:color="auto"/>
                    <w:right w:val="none" w:sz="0" w:space="0" w:color="auto"/>
                  </w:divBdr>
                  <w:divsChild>
                    <w:div w:id="168377823">
                      <w:marLeft w:val="0"/>
                      <w:marRight w:val="0"/>
                      <w:marTop w:val="0"/>
                      <w:marBottom w:val="0"/>
                      <w:divBdr>
                        <w:top w:val="none" w:sz="0" w:space="0" w:color="auto"/>
                        <w:left w:val="none" w:sz="0" w:space="0" w:color="auto"/>
                        <w:bottom w:val="none" w:sz="0" w:space="0" w:color="auto"/>
                        <w:right w:val="none" w:sz="0" w:space="0" w:color="auto"/>
                      </w:divBdr>
                    </w:div>
                  </w:divsChild>
                </w:div>
                <w:div w:id="778644882">
                  <w:marLeft w:val="0"/>
                  <w:marRight w:val="0"/>
                  <w:marTop w:val="0"/>
                  <w:marBottom w:val="0"/>
                  <w:divBdr>
                    <w:top w:val="none" w:sz="0" w:space="0" w:color="auto"/>
                    <w:left w:val="none" w:sz="0" w:space="0" w:color="auto"/>
                    <w:bottom w:val="none" w:sz="0" w:space="0" w:color="auto"/>
                    <w:right w:val="none" w:sz="0" w:space="0" w:color="auto"/>
                  </w:divBdr>
                  <w:divsChild>
                    <w:div w:id="378286335">
                      <w:marLeft w:val="0"/>
                      <w:marRight w:val="0"/>
                      <w:marTop w:val="0"/>
                      <w:marBottom w:val="0"/>
                      <w:divBdr>
                        <w:top w:val="none" w:sz="0" w:space="0" w:color="auto"/>
                        <w:left w:val="none" w:sz="0" w:space="0" w:color="auto"/>
                        <w:bottom w:val="none" w:sz="0" w:space="0" w:color="auto"/>
                        <w:right w:val="none" w:sz="0" w:space="0" w:color="auto"/>
                      </w:divBdr>
                    </w:div>
                  </w:divsChild>
                </w:div>
                <w:div w:id="794300066">
                  <w:marLeft w:val="0"/>
                  <w:marRight w:val="0"/>
                  <w:marTop w:val="0"/>
                  <w:marBottom w:val="0"/>
                  <w:divBdr>
                    <w:top w:val="none" w:sz="0" w:space="0" w:color="auto"/>
                    <w:left w:val="none" w:sz="0" w:space="0" w:color="auto"/>
                    <w:bottom w:val="none" w:sz="0" w:space="0" w:color="auto"/>
                    <w:right w:val="none" w:sz="0" w:space="0" w:color="auto"/>
                  </w:divBdr>
                  <w:divsChild>
                    <w:div w:id="2133817133">
                      <w:marLeft w:val="0"/>
                      <w:marRight w:val="0"/>
                      <w:marTop w:val="0"/>
                      <w:marBottom w:val="0"/>
                      <w:divBdr>
                        <w:top w:val="none" w:sz="0" w:space="0" w:color="auto"/>
                        <w:left w:val="none" w:sz="0" w:space="0" w:color="auto"/>
                        <w:bottom w:val="none" w:sz="0" w:space="0" w:color="auto"/>
                        <w:right w:val="none" w:sz="0" w:space="0" w:color="auto"/>
                      </w:divBdr>
                    </w:div>
                  </w:divsChild>
                </w:div>
                <w:div w:id="806707973">
                  <w:marLeft w:val="0"/>
                  <w:marRight w:val="0"/>
                  <w:marTop w:val="0"/>
                  <w:marBottom w:val="0"/>
                  <w:divBdr>
                    <w:top w:val="none" w:sz="0" w:space="0" w:color="auto"/>
                    <w:left w:val="none" w:sz="0" w:space="0" w:color="auto"/>
                    <w:bottom w:val="none" w:sz="0" w:space="0" w:color="auto"/>
                    <w:right w:val="none" w:sz="0" w:space="0" w:color="auto"/>
                  </w:divBdr>
                  <w:divsChild>
                    <w:div w:id="1313026306">
                      <w:marLeft w:val="0"/>
                      <w:marRight w:val="0"/>
                      <w:marTop w:val="0"/>
                      <w:marBottom w:val="0"/>
                      <w:divBdr>
                        <w:top w:val="none" w:sz="0" w:space="0" w:color="auto"/>
                        <w:left w:val="none" w:sz="0" w:space="0" w:color="auto"/>
                        <w:bottom w:val="none" w:sz="0" w:space="0" w:color="auto"/>
                        <w:right w:val="none" w:sz="0" w:space="0" w:color="auto"/>
                      </w:divBdr>
                    </w:div>
                  </w:divsChild>
                </w:div>
                <w:div w:id="812479091">
                  <w:marLeft w:val="0"/>
                  <w:marRight w:val="0"/>
                  <w:marTop w:val="0"/>
                  <w:marBottom w:val="0"/>
                  <w:divBdr>
                    <w:top w:val="none" w:sz="0" w:space="0" w:color="auto"/>
                    <w:left w:val="none" w:sz="0" w:space="0" w:color="auto"/>
                    <w:bottom w:val="none" w:sz="0" w:space="0" w:color="auto"/>
                    <w:right w:val="none" w:sz="0" w:space="0" w:color="auto"/>
                  </w:divBdr>
                  <w:divsChild>
                    <w:div w:id="1171525774">
                      <w:marLeft w:val="0"/>
                      <w:marRight w:val="0"/>
                      <w:marTop w:val="0"/>
                      <w:marBottom w:val="0"/>
                      <w:divBdr>
                        <w:top w:val="none" w:sz="0" w:space="0" w:color="auto"/>
                        <w:left w:val="none" w:sz="0" w:space="0" w:color="auto"/>
                        <w:bottom w:val="none" w:sz="0" w:space="0" w:color="auto"/>
                        <w:right w:val="none" w:sz="0" w:space="0" w:color="auto"/>
                      </w:divBdr>
                    </w:div>
                  </w:divsChild>
                </w:div>
                <w:div w:id="855465765">
                  <w:marLeft w:val="0"/>
                  <w:marRight w:val="0"/>
                  <w:marTop w:val="0"/>
                  <w:marBottom w:val="0"/>
                  <w:divBdr>
                    <w:top w:val="none" w:sz="0" w:space="0" w:color="auto"/>
                    <w:left w:val="none" w:sz="0" w:space="0" w:color="auto"/>
                    <w:bottom w:val="none" w:sz="0" w:space="0" w:color="auto"/>
                    <w:right w:val="none" w:sz="0" w:space="0" w:color="auto"/>
                  </w:divBdr>
                  <w:divsChild>
                    <w:div w:id="38356665">
                      <w:marLeft w:val="0"/>
                      <w:marRight w:val="0"/>
                      <w:marTop w:val="0"/>
                      <w:marBottom w:val="0"/>
                      <w:divBdr>
                        <w:top w:val="none" w:sz="0" w:space="0" w:color="auto"/>
                        <w:left w:val="none" w:sz="0" w:space="0" w:color="auto"/>
                        <w:bottom w:val="none" w:sz="0" w:space="0" w:color="auto"/>
                        <w:right w:val="none" w:sz="0" w:space="0" w:color="auto"/>
                      </w:divBdr>
                    </w:div>
                  </w:divsChild>
                </w:div>
                <w:div w:id="897860085">
                  <w:marLeft w:val="0"/>
                  <w:marRight w:val="0"/>
                  <w:marTop w:val="0"/>
                  <w:marBottom w:val="0"/>
                  <w:divBdr>
                    <w:top w:val="none" w:sz="0" w:space="0" w:color="auto"/>
                    <w:left w:val="none" w:sz="0" w:space="0" w:color="auto"/>
                    <w:bottom w:val="none" w:sz="0" w:space="0" w:color="auto"/>
                    <w:right w:val="none" w:sz="0" w:space="0" w:color="auto"/>
                  </w:divBdr>
                  <w:divsChild>
                    <w:div w:id="1179080037">
                      <w:marLeft w:val="0"/>
                      <w:marRight w:val="0"/>
                      <w:marTop w:val="0"/>
                      <w:marBottom w:val="0"/>
                      <w:divBdr>
                        <w:top w:val="none" w:sz="0" w:space="0" w:color="auto"/>
                        <w:left w:val="none" w:sz="0" w:space="0" w:color="auto"/>
                        <w:bottom w:val="none" w:sz="0" w:space="0" w:color="auto"/>
                        <w:right w:val="none" w:sz="0" w:space="0" w:color="auto"/>
                      </w:divBdr>
                    </w:div>
                  </w:divsChild>
                </w:div>
                <w:div w:id="959919758">
                  <w:marLeft w:val="0"/>
                  <w:marRight w:val="0"/>
                  <w:marTop w:val="0"/>
                  <w:marBottom w:val="0"/>
                  <w:divBdr>
                    <w:top w:val="none" w:sz="0" w:space="0" w:color="auto"/>
                    <w:left w:val="none" w:sz="0" w:space="0" w:color="auto"/>
                    <w:bottom w:val="none" w:sz="0" w:space="0" w:color="auto"/>
                    <w:right w:val="none" w:sz="0" w:space="0" w:color="auto"/>
                  </w:divBdr>
                  <w:divsChild>
                    <w:div w:id="1057171951">
                      <w:marLeft w:val="0"/>
                      <w:marRight w:val="0"/>
                      <w:marTop w:val="0"/>
                      <w:marBottom w:val="0"/>
                      <w:divBdr>
                        <w:top w:val="none" w:sz="0" w:space="0" w:color="auto"/>
                        <w:left w:val="none" w:sz="0" w:space="0" w:color="auto"/>
                        <w:bottom w:val="none" w:sz="0" w:space="0" w:color="auto"/>
                        <w:right w:val="none" w:sz="0" w:space="0" w:color="auto"/>
                      </w:divBdr>
                    </w:div>
                  </w:divsChild>
                </w:div>
                <w:div w:id="962731310">
                  <w:marLeft w:val="0"/>
                  <w:marRight w:val="0"/>
                  <w:marTop w:val="0"/>
                  <w:marBottom w:val="0"/>
                  <w:divBdr>
                    <w:top w:val="none" w:sz="0" w:space="0" w:color="auto"/>
                    <w:left w:val="none" w:sz="0" w:space="0" w:color="auto"/>
                    <w:bottom w:val="none" w:sz="0" w:space="0" w:color="auto"/>
                    <w:right w:val="none" w:sz="0" w:space="0" w:color="auto"/>
                  </w:divBdr>
                  <w:divsChild>
                    <w:div w:id="1264416624">
                      <w:marLeft w:val="0"/>
                      <w:marRight w:val="0"/>
                      <w:marTop w:val="0"/>
                      <w:marBottom w:val="0"/>
                      <w:divBdr>
                        <w:top w:val="none" w:sz="0" w:space="0" w:color="auto"/>
                        <w:left w:val="none" w:sz="0" w:space="0" w:color="auto"/>
                        <w:bottom w:val="none" w:sz="0" w:space="0" w:color="auto"/>
                        <w:right w:val="none" w:sz="0" w:space="0" w:color="auto"/>
                      </w:divBdr>
                    </w:div>
                  </w:divsChild>
                </w:div>
                <w:div w:id="999307536">
                  <w:marLeft w:val="0"/>
                  <w:marRight w:val="0"/>
                  <w:marTop w:val="0"/>
                  <w:marBottom w:val="0"/>
                  <w:divBdr>
                    <w:top w:val="none" w:sz="0" w:space="0" w:color="auto"/>
                    <w:left w:val="none" w:sz="0" w:space="0" w:color="auto"/>
                    <w:bottom w:val="none" w:sz="0" w:space="0" w:color="auto"/>
                    <w:right w:val="none" w:sz="0" w:space="0" w:color="auto"/>
                  </w:divBdr>
                  <w:divsChild>
                    <w:div w:id="1062411024">
                      <w:marLeft w:val="0"/>
                      <w:marRight w:val="0"/>
                      <w:marTop w:val="0"/>
                      <w:marBottom w:val="0"/>
                      <w:divBdr>
                        <w:top w:val="none" w:sz="0" w:space="0" w:color="auto"/>
                        <w:left w:val="none" w:sz="0" w:space="0" w:color="auto"/>
                        <w:bottom w:val="none" w:sz="0" w:space="0" w:color="auto"/>
                        <w:right w:val="none" w:sz="0" w:space="0" w:color="auto"/>
                      </w:divBdr>
                    </w:div>
                  </w:divsChild>
                </w:div>
                <w:div w:id="1007831005">
                  <w:marLeft w:val="0"/>
                  <w:marRight w:val="0"/>
                  <w:marTop w:val="0"/>
                  <w:marBottom w:val="0"/>
                  <w:divBdr>
                    <w:top w:val="none" w:sz="0" w:space="0" w:color="auto"/>
                    <w:left w:val="none" w:sz="0" w:space="0" w:color="auto"/>
                    <w:bottom w:val="none" w:sz="0" w:space="0" w:color="auto"/>
                    <w:right w:val="none" w:sz="0" w:space="0" w:color="auto"/>
                  </w:divBdr>
                  <w:divsChild>
                    <w:div w:id="1610819618">
                      <w:marLeft w:val="0"/>
                      <w:marRight w:val="0"/>
                      <w:marTop w:val="0"/>
                      <w:marBottom w:val="0"/>
                      <w:divBdr>
                        <w:top w:val="none" w:sz="0" w:space="0" w:color="auto"/>
                        <w:left w:val="none" w:sz="0" w:space="0" w:color="auto"/>
                        <w:bottom w:val="none" w:sz="0" w:space="0" w:color="auto"/>
                        <w:right w:val="none" w:sz="0" w:space="0" w:color="auto"/>
                      </w:divBdr>
                    </w:div>
                  </w:divsChild>
                </w:div>
                <w:div w:id="1015771424">
                  <w:marLeft w:val="0"/>
                  <w:marRight w:val="0"/>
                  <w:marTop w:val="0"/>
                  <w:marBottom w:val="0"/>
                  <w:divBdr>
                    <w:top w:val="none" w:sz="0" w:space="0" w:color="auto"/>
                    <w:left w:val="none" w:sz="0" w:space="0" w:color="auto"/>
                    <w:bottom w:val="none" w:sz="0" w:space="0" w:color="auto"/>
                    <w:right w:val="none" w:sz="0" w:space="0" w:color="auto"/>
                  </w:divBdr>
                  <w:divsChild>
                    <w:div w:id="1696225881">
                      <w:marLeft w:val="0"/>
                      <w:marRight w:val="0"/>
                      <w:marTop w:val="0"/>
                      <w:marBottom w:val="0"/>
                      <w:divBdr>
                        <w:top w:val="none" w:sz="0" w:space="0" w:color="auto"/>
                        <w:left w:val="none" w:sz="0" w:space="0" w:color="auto"/>
                        <w:bottom w:val="none" w:sz="0" w:space="0" w:color="auto"/>
                        <w:right w:val="none" w:sz="0" w:space="0" w:color="auto"/>
                      </w:divBdr>
                    </w:div>
                  </w:divsChild>
                </w:div>
                <w:div w:id="1074086378">
                  <w:marLeft w:val="0"/>
                  <w:marRight w:val="0"/>
                  <w:marTop w:val="0"/>
                  <w:marBottom w:val="0"/>
                  <w:divBdr>
                    <w:top w:val="none" w:sz="0" w:space="0" w:color="auto"/>
                    <w:left w:val="none" w:sz="0" w:space="0" w:color="auto"/>
                    <w:bottom w:val="none" w:sz="0" w:space="0" w:color="auto"/>
                    <w:right w:val="none" w:sz="0" w:space="0" w:color="auto"/>
                  </w:divBdr>
                  <w:divsChild>
                    <w:div w:id="593131009">
                      <w:marLeft w:val="0"/>
                      <w:marRight w:val="0"/>
                      <w:marTop w:val="0"/>
                      <w:marBottom w:val="0"/>
                      <w:divBdr>
                        <w:top w:val="none" w:sz="0" w:space="0" w:color="auto"/>
                        <w:left w:val="none" w:sz="0" w:space="0" w:color="auto"/>
                        <w:bottom w:val="none" w:sz="0" w:space="0" w:color="auto"/>
                        <w:right w:val="none" w:sz="0" w:space="0" w:color="auto"/>
                      </w:divBdr>
                    </w:div>
                  </w:divsChild>
                </w:div>
                <w:div w:id="1166675816">
                  <w:marLeft w:val="0"/>
                  <w:marRight w:val="0"/>
                  <w:marTop w:val="0"/>
                  <w:marBottom w:val="0"/>
                  <w:divBdr>
                    <w:top w:val="none" w:sz="0" w:space="0" w:color="auto"/>
                    <w:left w:val="none" w:sz="0" w:space="0" w:color="auto"/>
                    <w:bottom w:val="none" w:sz="0" w:space="0" w:color="auto"/>
                    <w:right w:val="none" w:sz="0" w:space="0" w:color="auto"/>
                  </w:divBdr>
                  <w:divsChild>
                    <w:div w:id="75519477">
                      <w:marLeft w:val="0"/>
                      <w:marRight w:val="0"/>
                      <w:marTop w:val="0"/>
                      <w:marBottom w:val="0"/>
                      <w:divBdr>
                        <w:top w:val="none" w:sz="0" w:space="0" w:color="auto"/>
                        <w:left w:val="none" w:sz="0" w:space="0" w:color="auto"/>
                        <w:bottom w:val="none" w:sz="0" w:space="0" w:color="auto"/>
                        <w:right w:val="none" w:sz="0" w:space="0" w:color="auto"/>
                      </w:divBdr>
                    </w:div>
                  </w:divsChild>
                </w:div>
                <w:div w:id="1187207707">
                  <w:marLeft w:val="0"/>
                  <w:marRight w:val="0"/>
                  <w:marTop w:val="0"/>
                  <w:marBottom w:val="0"/>
                  <w:divBdr>
                    <w:top w:val="none" w:sz="0" w:space="0" w:color="auto"/>
                    <w:left w:val="none" w:sz="0" w:space="0" w:color="auto"/>
                    <w:bottom w:val="none" w:sz="0" w:space="0" w:color="auto"/>
                    <w:right w:val="none" w:sz="0" w:space="0" w:color="auto"/>
                  </w:divBdr>
                  <w:divsChild>
                    <w:div w:id="1771584218">
                      <w:marLeft w:val="0"/>
                      <w:marRight w:val="0"/>
                      <w:marTop w:val="0"/>
                      <w:marBottom w:val="0"/>
                      <w:divBdr>
                        <w:top w:val="none" w:sz="0" w:space="0" w:color="auto"/>
                        <w:left w:val="none" w:sz="0" w:space="0" w:color="auto"/>
                        <w:bottom w:val="none" w:sz="0" w:space="0" w:color="auto"/>
                        <w:right w:val="none" w:sz="0" w:space="0" w:color="auto"/>
                      </w:divBdr>
                    </w:div>
                  </w:divsChild>
                </w:div>
                <w:div w:id="1217547681">
                  <w:marLeft w:val="0"/>
                  <w:marRight w:val="0"/>
                  <w:marTop w:val="0"/>
                  <w:marBottom w:val="0"/>
                  <w:divBdr>
                    <w:top w:val="none" w:sz="0" w:space="0" w:color="auto"/>
                    <w:left w:val="none" w:sz="0" w:space="0" w:color="auto"/>
                    <w:bottom w:val="none" w:sz="0" w:space="0" w:color="auto"/>
                    <w:right w:val="none" w:sz="0" w:space="0" w:color="auto"/>
                  </w:divBdr>
                  <w:divsChild>
                    <w:div w:id="1450314608">
                      <w:marLeft w:val="0"/>
                      <w:marRight w:val="0"/>
                      <w:marTop w:val="0"/>
                      <w:marBottom w:val="0"/>
                      <w:divBdr>
                        <w:top w:val="none" w:sz="0" w:space="0" w:color="auto"/>
                        <w:left w:val="none" w:sz="0" w:space="0" w:color="auto"/>
                        <w:bottom w:val="none" w:sz="0" w:space="0" w:color="auto"/>
                        <w:right w:val="none" w:sz="0" w:space="0" w:color="auto"/>
                      </w:divBdr>
                    </w:div>
                  </w:divsChild>
                </w:div>
                <w:div w:id="1235898992">
                  <w:marLeft w:val="0"/>
                  <w:marRight w:val="0"/>
                  <w:marTop w:val="0"/>
                  <w:marBottom w:val="0"/>
                  <w:divBdr>
                    <w:top w:val="none" w:sz="0" w:space="0" w:color="auto"/>
                    <w:left w:val="none" w:sz="0" w:space="0" w:color="auto"/>
                    <w:bottom w:val="none" w:sz="0" w:space="0" w:color="auto"/>
                    <w:right w:val="none" w:sz="0" w:space="0" w:color="auto"/>
                  </w:divBdr>
                  <w:divsChild>
                    <w:div w:id="1820808657">
                      <w:marLeft w:val="0"/>
                      <w:marRight w:val="0"/>
                      <w:marTop w:val="0"/>
                      <w:marBottom w:val="0"/>
                      <w:divBdr>
                        <w:top w:val="none" w:sz="0" w:space="0" w:color="auto"/>
                        <w:left w:val="none" w:sz="0" w:space="0" w:color="auto"/>
                        <w:bottom w:val="none" w:sz="0" w:space="0" w:color="auto"/>
                        <w:right w:val="none" w:sz="0" w:space="0" w:color="auto"/>
                      </w:divBdr>
                    </w:div>
                  </w:divsChild>
                </w:div>
                <w:div w:id="1282372457">
                  <w:marLeft w:val="0"/>
                  <w:marRight w:val="0"/>
                  <w:marTop w:val="0"/>
                  <w:marBottom w:val="0"/>
                  <w:divBdr>
                    <w:top w:val="none" w:sz="0" w:space="0" w:color="auto"/>
                    <w:left w:val="none" w:sz="0" w:space="0" w:color="auto"/>
                    <w:bottom w:val="none" w:sz="0" w:space="0" w:color="auto"/>
                    <w:right w:val="none" w:sz="0" w:space="0" w:color="auto"/>
                  </w:divBdr>
                  <w:divsChild>
                    <w:div w:id="1920167275">
                      <w:marLeft w:val="0"/>
                      <w:marRight w:val="0"/>
                      <w:marTop w:val="0"/>
                      <w:marBottom w:val="0"/>
                      <w:divBdr>
                        <w:top w:val="none" w:sz="0" w:space="0" w:color="auto"/>
                        <w:left w:val="none" w:sz="0" w:space="0" w:color="auto"/>
                        <w:bottom w:val="none" w:sz="0" w:space="0" w:color="auto"/>
                        <w:right w:val="none" w:sz="0" w:space="0" w:color="auto"/>
                      </w:divBdr>
                    </w:div>
                  </w:divsChild>
                </w:div>
                <w:div w:id="1299071576">
                  <w:marLeft w:val="0"/>
                  <w:marRight w:val="0"/>
                  <w:marTop w:val="0"/>
                  <w:marBottom w:val="0"/>
                  <w:divBdr>
                    <w:top w:val="none" w:sz="0" w:space="0" w:color="auto"/>
                    <w:left w:val="none" w:sz="0" w:space="0" w:color="auto"/>
                    <w:bottom w:val="none" w:sz="0" w:space="0" w:color="auto"/>
                    <w:right w:val="none" w:sz="0" w:space="0" w:color="auto"/>
                  </w:divBdr>
                  <w:divsChild>
                    <w:div w:id="340744911">
                      <w:marLeft w:val="0"/>
                      <w:marRight w:val="0"/>
                      <w:marTop w:val="0"/>
                      <w:marBottom w:val="0"/>
                      <w:divBdr>
                        <w:top w:val="none" w:sz="0" w:space="0" w:color="auto"/>
                        <w:left w:val="none" w:sz="0" w:space="0" w:color="auto"/>
                        <w:bottom w:val="none" w:sz="0" w:space="0" w:color="auto"/>
                        <w:right w:val="none" w:sz="0" w:space="0" w:color="auto"/>
                      </w:divBdr>
                    </w:div>
                  </w:divsChild>
                </w:div>
                <w:div w:id="1300066479">
                  <w:marLeft w:val="0"/>
                  <w:marRight w:val="0"/>
                  <w:marTop w:val="0"/>
                  <w:marBottom w:val="0"/>
                  <w:divBdr>
                    <w:top w:val="none" w:sz="0" w:space="0" w:color="auto"/>
                    <w:left w:val="none" w:sz="0" w:space="0" w:color="auto"/>
                    <w:bottom w:val="none" w:sz="0" w:space="0" w:color="auto"/>
                    <w:right w:val="none" w:sz="0" w:space="0" w:color="auto"/>
                  </w:divBdr>
                  <w:divsChild>
                    <w:div w:id="69352437">
                      <w:marLeft w:val="0"/>
                      <w:marRight w:val="0"/>
                      <w:marTop w:val="0"/>
                      <w:marBottom w:val="0"/>
                      <w:divBdr>
                        <w:top w:val="none" w:sz="0" w:space="0" w:color="auto"/>
                        <w:left w:val="none" w:sz="0" w:space="0" w:color="auto"/>
                        <w:bottom w:val="none" w:sz="0" w:space="0" w:color="auto"/>
                        <w:right w:val="none" w:sz="0" w:space="0" w:color="auto"/>
                      </w:divBdr>
                    </w:div>
                  </w:divsChild>
                </w:div>
                <w:div w:id="1300113458">
                  <w:marLeft w:val="0"/>
                  <w:marRight w:val="0"/>
                  <w:marTop w:val="0"/>
                  <w:marBottom w:val="0"/>
                  <w:divBdr>
                    <w:top w:val="none" w:sz="0" w:space="0" w:color="auto"/>
                    <w:left w:val="none" w:sz="0" w:space="0" w:color="auto"/>
                    <w:bottom w:val="none" w:sz="0" w:space="0" w:color="auto"/>
                    <w:right w:val="none" w:sz="0" w:space="0" w:color="auto"/>
                  </w:divBdr>
                  <w:divsChild>
                    <w:div w:id="503013388">
                      <w:marLeft w:val="0"/>
                      <w:marRight w:val="0"/>
                      <w:marTop w:val="0"/>
                      <w:marBottom w:val="0"/>
                      <w:divBdr>
                        <w:top w:val="none" w:sz="0" w:space="0" w:color="auto"/>
                        <w:left w:val="none" w:sz="0" w:space="0" w:color="auto"/>
                        <w:bottom w:val="none" w:sz="0" w:space="0" w:color="auto"/>
                        <w:right w:val="none" w:sz="0" w:space="0" w:color="auto"/>
                      </w:divBdr>
                    </w:div>
                  </w:divsChild>
                </w:div>
                <w:div w:id="1320697856">
                  <w:marLeft w:val="0"/>
                  <w:marRight w:val="0"/>
                  <w:marTop w:val="0"/>
                  <w:marBottom w:val="0"/>
                  <w:divBdr>
                    <w:top w:val="none" w:sz="0" w:space="0" w:color="auto"/>
                    <w:left w:val="none" w:sz="0" w:space="0" w:color="auto"/>
                    <w:bottom w:val="none" w:sz="0" w:space="0" w:color="auto"/>
                    <w:right w:val="none" w:sz="0" w:space="0" w:color="auto"/>
                  </w:divBdr>
                  <w:divsChild>
                    <w:div w:id="760218246">
                      <w:marLeft w:val="0"/>
                      <w:marRight w:val="0"/>
                      <w:marTop w:val="0"/>
                      <w:marBottom w:val="0"/>
                      <w:divBdr>
                        <w:top w:val="none" w:sz="0" w:space="0" w:color="auto"/>
                        <w:left w:val="none" w:sz="0" w:space="0" w:color="auto"/>
                        <w:bottom w:val="none" w:sz="0" w:space="0" w:color="auto"/>
                        <w:right w:val="none" w:sz="0" w:space="0" w:color="auto"/>
                      </w:divBdr>
                    </w:div>
                  </w:divsChild>
                </w:div>
                <w:div w:id="1327048090">
                  <w:marLeft w:val="0"/>
                  <w:marRight w:val="0"/>
                  <w:marTop w:val="0"/>
                  <w:marBottom w:val="0"/>
                  <w:divBdr>
                    <w:top w:val="none" w:sz="0" w:space="0" w:color="auto"/>
                    <w:left w:val="none" w:sz="0" w:space="0" w:color="auto"/>
                    <w:bottom w:val="none" w:sz="0" w:space="0" w:color="auto"/>
                    <w:right w:val="none" w:sz="0" w:space="0" w:color="auto"/>
                  </w:divBdr>
                  <w:divsChild>
                    <w:div w:id="34475494">
                      <w:marLeft w:val="0"/>
                      <w:marRight w:val="0"/>
                      <w:marTop w:val="0"/>
                      <w:marBottom w:val="0"/>
                      <w:divBdr>
                        <w:top w:val="none" w:sz="0" w:space="0" w:color="auto"/>
                        <w:left w:val="none" w:sz="0" w:space="0" w:color="auto"/>
                        <w:bottom w:val="none" w:sz="0" w:space="0" w:color="auto"/>
                        <w:right w:val="none" w:sz="0" w:space="0" w:color="auto"/>
                      </w:divBdr>
                    </w:div>
                  </w:divsChild>
                </w:div>
                <w:div w:id="1347945350">
                  <w:marLeft w:val="0"/>
                  <w:marRight w:val="0"/>
                  <w:marTop w:val="0"/>
                  <w:marBottom w:val="0"/>
                  <w:divBdr>
                    <w:top w:val="none" w:sz="0" w:space="0" w:color="auto"/>
                    <w:left w:val="none" w:sz="0" w:space="0" w:color="auto"/>
                    <w:bottom w:val="none" w:sz="0" w:space="0" w:color="auto"/>
                    <w:right w:val="none" w:sz="0" w:space="0" w:color="auto"/>
                  </w:divBdr>
                  <w:divsChild>
                    <w:div w:id="659892726">
                      <w:marLeft w:val="0"/>
                      <w:marRight w:val="0"/>
                      <w:marTop w:val="0"/>
                      <w:marBottom w:val="0"/>
                      <w:divBdr>
                        <w:top w:val="none" w:sz="0" w:space="0" w:color="auto"/>
                        <w:left w:val="none" w:sz="0" w:space="0" w:color="auto"/>
                        <w:bottom w:val="none" w:sz="0" w:space="0" w:color="auto"/>
                        <w:right w:val="none" w:sz="0" w:space="0" w:color="auto"/>
                      </w:divBdr>
                    </w:div>
                  </w:divsChild>
                </w:div>
                <w:div w:id="1348631777">
                  <w:marLeft w:val="0"/>
                  <w:marRight w:val="0"/>
                  <w:marTop w:val="0"/>
                  <w:marBottom w:val="0"/>
                  <w:divBdr>
                    <w:top w:val="none" w:sz="0" w:space="0" w:color="auto"/>
                    <w:left w:val="none" w:sz="0" w:space="0" w:color="auto"/>
                    <w:bottom w:val="none" w:sz="0" w:space="0" w:color="auto"/>
                    <w:right w:val="none" w:sz="0" w:space="0" w:color="auto"/>
                  </w:divBdr>
                  <w:divsChild>
                    <w:div w:id="2041391833">
                      <w:marLeft w:val="0"/>
                      <w:marRight w:val="0"/>
                      <w:marTop w:val="0"/>
                      <w:marBottom w:val="0"/>
                      <w:divBdr>
                        <w:top w:val="none" w:sz="0" w:space="0" w:color="auto"/>
                        <w:left w:val="none" w:sz="0" w:space="0" w:color="auto"/>
                        <w:bottom w:val="none" w:sz="0" w:space="0" w:color="auto"/>
                        <w:right w:val="none" w:sz="0" w:space="0" w:color="auto"/>
                      </w:divBdr>
                    </w:div>
                  </w:divsChild>
                </w:div>
                <w:div w:id="1352535915">
                  <w:marLeft w:val="0"/>
                  <w:marRight w:val="0"/>
                  <w:marTop w:val="0"/>
                  <w:marBottom w:val="0"/>
                  <w:divBdr>
                    <w:top w:val="none" w:sz="0" w:space="0" w:color="auto"/>
                    <w:left w:val="none" w:sz="0" w:space="0" w:color="auto"/>
                    <w:bottom w:val="none" w:sz="0" w:space="0" w:color="auto"/>
                    <w:right w:val="none" w:sz="0" w:space="0" w:color="auto"/>
                  </w:divBdr>
                  <w:divsChild>
                    <w:div w:id="1442801947">
                      <w:marLeft w:val="0"/>
                      <w:marRight w:val="0"/>
                      <w:marTop w:val="0"/>
                      <w:marBottom w:val="0"/>
                      <w:divBdr>
                        <w:top w:val="none" w:sz="0" w:space="0" w:color="auto"/>
                        <w:left w:val="none" w:sz="0" w:space="0" w:color="auto"/>
                        <w:bottom w:val="none" w:sz="0" w:space="0" w:color="auto"/>
                        <w:right w:val="none" w:sz="0" w:space="0" w:color="auto"/>
                      </w:divBdr>
                    </w:div>
                  </w:divsChild>
                </w:div>
                <w:div w:id="1354839431">
                  <w:marLeft w:val="0"/>
                  <w:marRight w:val="0"/>
                  <w:marTop w:val="0"/>
                  <w:marBottom w:val="0"/>
                  <w:divBdr>
                    <w:top w:val="none" w:sz="0" w:space="0" w:color="auto"/>
                    <w:left w:val="none" w:sz="0" w:space="0" w:color="auto"/>
                    <w:bottom w:val="none" w:sz="0" w:space="0" w:color="auto"/>
                    <w:right w:val="none" w:sz="0" w:space="0" w:color="auto"/>
                  </w:divBdr>
                  <w:divsChild>
                    <w:div w:id="1472748249">
                      <w:marLeft w:val="0"/>
                      <w:marRight w:val="0"/>
                      <w:marTop w:val="0"/>
                      <w:marBottom w:val="0"/>
                      <w:divBdr>
                        <w:top w:val="none" w:sz="0" w:space="0" w:color="auto"/>
                        <w:left w:val="none" w:sz="0" w:space="0" w:color="auto"/>
                        <w:bottom w:val="none" w:sz="0" w:space="0" w:color="auto"/>
                        <w:right w:val="none" w:sz="0" w:space="0" w:color="auto"/>
                      </w:divBdr>
                    </w:div>
                  </w:divsChild>
                </w:div>
                <w:div w:id="1361467135">
                  <w:marLeft w:val="0"/>
                  <w:marRight w:val="0"/>
                  <w:marTop w:val="0"/>
                  <w:marBottom w:val="0"/>
                  <w:divBdr>
                    <w:top w:val="none" w:sz="0" w:space="0" w:color="auto"/>
                    <w:left w:val="none" w:sz="0" w:space="0" w:color="auto"/>
                    <w:bottom w:val="none" w:sz="0" w:space="0" w:color="auto"/>
                    <w:right w:val="none" w:sz="0" w:space="0" w:color="auto"/>
                  </w:divBdr>
                  <w:divsChild>
                    <w:div w:id="704602815">
                      <w:marLeft w:val="0"/>
                      <w:marRight w:val="0"/>
                      <w:marTop w:val="0"/>
                      <w:marBottom w:val="0"/>
                      <w:divBdr>
                        <w:top w:val="none" w:sz="0" w:space="0" w:color="auto"/>
                        <w:left w:val="none" w:sz="0" w:space="0" w:color="auto"/>
                        <w:bottom w:val="none" w:sz="0" w:space="0" w:color="auto"/>
                        <w:right w:val="none" w:sz="0" w:space="0" w:color="auto"/>
                      </w:divBdr>
                    </w:div>
                  </w:divsChild>
                </w:div>
                <w:div w:id="1364012157">
                  <w:marLeft w:val="0"/>
                  <w:marRight w:val="0"/>
                  <w:marTop w:val="0"/>
                  <w:marBottom w:val="0"/>
                  <w:divBdr>
                    <w:top w:val="none" w:sz="0" w:space="0" w:color="auto"/>
                    <w:left w:val="none" w:sz="0" w:space="0" w:color="auto"/>
                    <w:bottom w:val="none" w:sz="0" w:space="0" w:color="auto"/>
                    <w:right w:val="none" w:sz="0" w:space="0" w:color="auto"/>
                  </w:divBdr>
                  <w:divsChild>
                    <w:div w:id="1481461511">
                      <w:marLeft w:val="0"/>
                      <w:marRight w:val="0"/>
                      <w:marTop w:val="0"/>
                      <w:marBottom w:val="0"/>
                      <w:divBdr>
                        <w:top w:val="none" w:sz="0" w:space="0" w:color="auto"/>
                        <w:left w:val="none" w:sz="0" w:space="0" w:color="auto"/>
                        <w:bottom w:val="none" w:sz="0" w:space="0" w:color="auto"/>
                        <w:right w:val="none" w:sz="0" w:space="0" w:color="auto"/>
                      </w:divBdr>
                    </w:div>
                  </w:divsChild>
                </w:div>
                <w:div w:id="1367675376">
                  <w:marLeft w:val="0"/>
                  <w:marRight w:val="0"/>
                  <w:marTop w:val="0"/>
                  <w:marBottom w:val="0"/>
                  <w:divBdr>
                    <w:top w:val="none" w:sz="0" w:space="0" w:color="auto"/>
                    <w:left w:val="none" w:sz="0" w:space="0" w:color="auto"/>
                    <w:bottom w:val="none" w:sz="0" w:space="0" w:color="auto"/>
                    <w:right w:val="none" w:sz="0" w:space="0" w:color="auto"/>
                  </w:divBdr>
                  <w:divsChild>
                    <w:div w:id="46757812">
                      <w:marLeft w:val="0"/>
                      <w:marRight w:val="0"/>
                      <w:marTop w:val="0"/>
                      <w:marBottom w:val="0"/>
                      <w:divBdr>
                        <w:top w:val="none" w:sz="0" w:space="0" w:color="auto"/>
                        <w:left w:val="none" w:sz="0" w:space="0" w:color="auto"/>
                        <w:bottom w:val="none" w:sz="0" w:space="0" w:color="auto"/>
                        <w:right w:val="none" w:sz="0" w:space="0" w:color="auto"/>
                      </w:divBdr>
                    </w:div>
                  </w:divsChild>
                </w:div>
                <w:div w:id="1370690741">
                  <w:marLeft w:val="0"/>
                  <w:marRight w:val="0"/>
                  <w:marTop w:val="0"/>
                  <w:marBottom w:val="0"/>
                  <w:divBdr>
                    <w:top w:val="none" w:sz="0" w:space="0" w:color="auto"/>
                    <w:left w:val="none" w:sz="0" w:space="0" w:color="auto"/>
                    <w:bottom w:val="none" w:sz="0" w:space="0" w:color="auto"/>
                    <w:right w:val="none" w:sz="0" w:space="0" w:color="auto"/>
                  </w:divBdr>
                  <w:divsChild>
                    <w:div w:id="160245948">
                      <w:marLeft w:val="0"/>
                      <w:marRight w:val="0"/>
                      <w:marTop w:val="0"/>
                      <w:marBottom w:val="0"/>
                      <w:divBdr>
                        <w:top w:val="none" w:sz="0" w:space="0" w:color="auto"/>
                        <w:left w:val="none" w:sz="0" w:space="0" w:color="auto"/>
                        <w:bottom w:val="none" w:sz="0" w:space="0" w:color="auto"/>
                        <w:right w:val="none" w:sz="0" w:space="0" w:color="auto"/>
                      </w:divBdr>
                    </w:div>
                  </w:divsChild>
                </w:div>
                <w:div w:id="1394936135">
                  <w:marLeft w:val="0"/>
                  <w:marRight w:val="0"/>
                  <w:marTop w:val="0"/>
                  <w:marBottom w:val="0"/>
                  <w:divBdr>
                    <w:top w:val="none" w:sz="0" w:space="0" w:color="auto"/>
                    <w:left w:val="none" w:sz="0" w:space="0" w:color="auto"/>
                    <w:bottom w:val="none" w:sz="0" w:space="0" w:color="auto"/>
                    <w:right w:val="none" w:sz="0" w:space="0" w:color="auto"/>
                  </w:divBdr>
                  <w:divsChild>
                    <w:div w:id="2092389381">
                      <w:marLeft w:val="0"/>
                      <w:marRight w:val="0"/>
                      <w:marTop w:val="0"/>
                      <w:marBottom w:val="0"/>
                      <w:divBdr>
                        <w:top w:val="none" w:sz="0" w:space="0" w:color="auto"/>
                        <w:left w:val="none" w:sz="0" w:space="0" w:color="auto"/>
                        <w:bottom w:val="none" w:sz="0" w:space="0" w:color="auto"/>
                        <w:right w:val="none" w:sz="0" w:space="0" w:color="auto"/>
                      </w:divBdr>
                    </w:div>
                  </w:divsChild>
                </w:div>
                <w:div w:id="1402479434">
                  <w:marLeft w:val="0"/>
                  <w:marRight w:val="0"/>
                  <w:marTop w:val="0"/>
                  <w:marBottom w:val="0"/>
                  <w:divBdr>
                    <w:top w:val="none" w:sz="0" w:space="0" w:color="auto"/>
                    <w:left w:val="none" w:sz="0" w:space="0" w:color="auto"/>
                    <w:bottom w:val="none" w:sz="0" w:space="0" w:color="auto"/>
                    <w:right w:val="none" w:sz="0" w:space="0" w:color="auto"/>
                  </w:divBdr>
                  <w:divsChild>
                    <w:div w:id="906761777">
                      <w:marLeft w:val="0"/>
                      <w:marRight w:val="0"/>
                      <w:marTop w:val="0"/>
                      <w:marBottom w:val="0"/>
                      <w:divBdr>
                        <w:top w:val="none" w:sz="0" w:space="0" w:color="auto"/>
                        <w:left w:val="none" w:sz="0" w:space="0" w:color="auto"/>
                        <w:bottom w:val="none" w:sz="0" w:space="0" w:color="auto"/>
                        <w:right w:val="none" w:sz="0" w:space="0" w:color="auto"/>
                      </w:divBdr>
                    </w:div>
                  </w:divsChild>
                </w:div>
                <w:div w:id="1410884469">
                  <w:marLeft w:val="0"/>
                  <w:marRight w:val="0"/>
                  <w:marTop w:val="0"/>
                  <w:marBottom w:val="0"/>
                  <w:divBdr>
                    <w:top w:val="none" w:sz="0" w:space="0" w:color="auto"/>
                    <w:left w:val="none" w:sz="0" w:space="0" w:color="auto"/>
                    <w:bottom w:val="none" w:sz="0" w:space="0" w:color="auto"/>
                    <w:right w:val="none" w:sz="0" w:space="0" w:color="auto"/>
                  </w:divBdr>
                  <w:divsChild>
                    <w:div w:id="1801025940">
                      <w:marLeft w:val="0"/>
                      <w:marRight w:val="0"/>
                      <w:marTop w:val="0"/>
                      <w:marBottom w:val="0"/>
                      <w:divBdr>
                        <w:top w:val="none" w:sz="0" w:space="0" w:color="auto"/>
                        <w:left w:val="none" w:sz="0" w:space="0" w:color="auto"/>
                        <w:bottom w:val="none" w:sz="0" w:space="0" w:color="auto"/>
                        <w:right w:val="none" w:sz="0" w:space="0" w:color="auto"/>
                      </w:divBdr>
                    </w:div>
                  </w:divsChild>
                </w:div>
                <w:div w:id="1414278508">
                  <w:marLeft w:val="0"/>
                  <w:marRight w:val="0"/>
                  <w:marTop w:val="0"/>
                  <w:marBottom w:val="0"/>
                  <w:divBdr>
                    <w:top w:val="none" w:sz="0" w:space="0" w:color="auto"/>
                    <w:left w:val="none" w:sz="0" w:space="0" w:color="auto"/>
                    <w:bottom w:val="none" w:sz="0" w:space="0" w:color="auto"/>
                    <w:right w:val="none" w:sz="0" w:space="0" w:color="auto"/>
                  </w:divBdr>
                  <w:divsChild>
                    <w:div w:id="750273606">
                      <w:marLeft w:val="0"/>
                      <w:marRight w:val="0"/>
                      <w:marTop w:val="0"/>
                      <w:marBottom w:val="0"/>
                      <w:divBdr>
                        <w:top w:val="none" w:sz="0" w:space="0" w:color="auto"/>
                        <w:left w:val="none" w:sz="0" w:space="0" w:color="auto"/>
                        <w:bottom w:val="none" w:sz="0" w:space="0" w:color="auto"/>
                        <w:right w:val="none" w:sz="0" w:space="0" w:color="auto"/>
                      </w:divBdr>
                    </w:div>
                  </w:divsChild>
                </w:div>
                <w:div w:id="1449616614">
                  <w:marLeft w:val="0"/>
                  <w:marRight w:val="0"/>
                  <w:marTop w:val="0"/>
                  <w:marBottom w:val="0"/>
                  <w:divBdr>
                    <w:top w:val="none" w:sz="0" w:space="0" w:color="auto"/>
                    <w:left w:val="none" w:sz="0" w:space="0" w:color="auto"/>
                    <w:bottom w:val="none" w:sz="0" w:space="0" w:color="auto"/>
                    <w:right w:val="none" w:sz="0" w:space="0" w:color="auto"/>
                  </w:divBdr>
                  <w:divsChild>
                    <w:div w:id="1146969003">
                      <w:marLeft w:val="0"/>
                      <w:marRight w:val="0"/>
                      <w:marTop w:val="0"/>
                      <w:marBottom w:val="0"/>
                      <w:divBdr>
                        <w:top w:val="none" w:sz="0" w:space="0" w:color="auto"/>
                        <w:left w:val="none" w:sz="0" w:space="0" w:color="auto"/>
                        <w:bottom w:val="none" w:sz="0" w:space="0" w:color="auto"/>
                        <w:right w:val="none" w:sz="0" w:space="0" w:color="auto"/>
                      </w:divBdr>
                    </w:div>
                  </w:divsChild>
                </w:div>
                <w:div w:id="1450591037">
                  <w:marLeft w:val="0"/>
                  <w:marRight w:val="0"/>
                  <w:marTop w:val="0"/>
                  <w:marBottom w:val="0"/>
                  <w:divBdr>
                    <w:top w:val="none" w:sz="0" w:space="0" w:color="auto"/>
                    <w:left w:val="none" w:sz="0" w:space="0" w:color="auto"/>
                    <w:bottom w:val="none" w:sz="0" w:space="0" w:color="auto"/>
                    <w:right w:val="none" w:sz="0" w:space="0" w:color="auto"/>
                  </w:divBdr>
                  <w:divsChild>
                    <w:div w:id="1601261179">
                      <w:marLeft w:val="0"/>
                      <w:marRight w:val="0"/>
                      <w:marTop w:val="0"/>
                      <w:marBottom w:val="0"/>
                      <w:divBdr>
                        <w:top w:val="none" w:sz="0" w:space="0" w:color="auto"/>
                        <w:left w:val="none" w:sz="0" w:space="0" w:color="auto"/>
                        <w:bottom w:val="none" w:sz="0" w:space="0" w:color="auto"/>
                        <w:right w:val="none" w:sz="0" w:space="0" w:color="auto"/>
                      </w:divBdr>
                    </w:div>
                  </w:divsChild>
                </w:div>
                <w:div w:id="1479496241">
                  <w:marLeft w:val="0"/>
                  <w:marRight w:val="0"/>
                  <w:marTop w:val="0"/>
                  <w:marBottom w:val="0"/>
                  <w:divBdr>
                    <w:top w:val="none" w:sz="0" w:space="0" w:color="auto"/>
                    <w:left w:val="none" w:sz="0" w:space="0" w:color="auto"/>
                    <w:bottom w:val="none" w:sz="0" w:space="0" w:color="auto"/>
                    <w:right w:val="none" w:sz="0" w:space="0" w:color="auto"/>
                  </w:divBdr>
                  <w:divsChild>
                    <w:div w:id="188571350">
                      <w:marLeft w:val="0"/>
                      <w:marRight w:val="0"/>
                      <w:marTop w:val="0"/>
                      <w:marBottom w:val="0"/>
                      <w:divBdr>
                        <w:top w:val="none" w:sz="0" w:space="0" w:color="auto"/>
                        <w:left w:val="none" w:sz="0" w:space="0" w:color="auto"/>
                        <w:bottom w:val="none" w:sz="0" w:space="0" w:color="auto"/>
                        <w:right w:val="none" w:sz="0" w:space="0" w:color="auto"/>
                      </w:divBdr>
                    </w:div>
                  </w:divsChild>
                </w:div>
                <w:div w:id="1527717226">
                  <w:marLeft w:val="0"/>
                  <w:marRight w:val="0"/>
                  <w:marTop w:val="0"/>
                  <w:marBottom w:val="0"/>
                  <w:divBdr>
                    <w:top w:val="none" w:sz="0" w:space="0" w:color="auto"/>
                    <w:left w:val="none" w:sz="0" w:space="0" w:color="auto"/>
                    <w:bottom w:val="none" w:sz="0" w:space="0" w:color="auto"/>
                    <w:right w:val="none" w:sz="0" w:space="0" w:color="auto"/>
                  </w:divBdr>
                  <w:divsChild>
                    <w:div w:id="1610090812">
                      <w:marLeft w:val="0"/>
                      <w:marRight w:val="0"/>
                      <w:marTop w:val="0"/>
                      <w:marBottom w:val="0"/>
                      <w:divBdr>
                        <w:top w:val="none" w:sz="0" w:space="0" w:color="auto"/>
                        <w:left w:val="none" w:sz="0" w:space="0" w:color="auto"/>
                        <w:bottom w:val="none" w:sz="0" w:space="0" w:color="auto"/>
                        <w:right w:val="none" w:sz="0" w:space="0" w:color="auto"/>
                      </w:divBdr>
                    </w:div>
                  </w:divsChild>
                </w:div>
                <w:div w:id="1530677628">
                  <w:marLeft w:val="0"/>
                  <w:marRight w:val="0"/>
                  <w:marTop w:val="0"/>
                  <w:marBottom w:val="0"/>
                  <w:divBdr>
                    <w:top w:val="none" w:sz="0" w:space="0" w:color="auto"/>
                    <w:left w:val="none" w:sz="0" w:space="0" w:color="auto"/>
                    <w:bottom w:val="none" w:sz="0" w:space="0" w:color="auto"/>
                    <w:right w:val="none" w:sz="0" w:space="0" w:color="auto"/>
                  </w:divBdr>
                  <w:divsChild>
                    <w:div w:id="1052582249">
                      <w:marLeft w:val="0"/>
                      <w:marRight w:val="0"/>
                      <w:marTop w:val="0"/>
                      <w:marBottom w:val="0"/>
                      <w:divBdr>
                        <w:top w:val="none" w:sz="0" w:space="0" w:color="auto"/>
                        <w:left w:val="none" w:sz="0" w:space="0" w:color="auto"/>
                        <w:bottom w:val="none" w:sz="0" w:space="0" w:color="auto"/>
                        <w:right w:val="none" w:sz="0" w:space="0" w:color="auto"/>
                      </w:divBdr>
                    </w:div>
                  </w:divsChild>
                </w:div>
                <w:div w:id="1544633469">
                  <w:marLeft w:val="0"/>
                  <w:marRight w:val="0"/>
                  <w:marTop w:val="0"/>
                  <w:marBottom w:val="0"/>
                  <w:divBdr>
                    <w:top w:val="none" w:sz="0" w:space="0" w:color="auto"/>
                    <w:left w:val="none" w:sz="0" w:space="0" w:color="auto"/>
                    <w:bottom w:val="none" w:sz="0" w:space="0" w:color="auto"/>
                    <w:right w:val="none" w:sz="0" w:space="0" w:color="auto"/>
                  </w:divBdr>
                  <w:divsChild>
                    <w:div w:id="1203175720">
                      <w:marLeft w:val="0"/>
                      <w:marRight w:val="0"/>
                      <w:marTop w:val="0"/>
                      <w:marBottom w:val="0"/>
                      <w:divBdr>
                        <w:top w:val="none" w:sz="0" w:space="0" w:color="auto"/>
                        <w:left w:val="none" w:sz="0" w:space="0" w:color="auto"/>
                        <w:bottom w:val="none" w:sz="0" w:space="0" w:color="auto"/>
                        <w:right w:val="none" w:sz="0" w:space="0" w:color="auto"/>
                      </w:divBdr>
                    </w:div>
                  </w:divsChild>
                </w:div>
                <w:div w:id="1558398913">
                  <w:marLeft w:val="0"/>
                  <w:marRight w:val="0"/>
                  <w:marTop w:val="0"/>
                  <w:marBottom w:val="0"/>
                  <w:divBdr>
                    <w:top w:val="none" w:sz="0" w:space="0" w:color="auto"/>
                    <w:left w:val="none" w:sz="0" w:space="0" w:color="auto"/>
                    <w:bottom w:val="none" w:sz="0" w:space="0" w:color="auto"/>
                    <w:right w:val="none" w:sz="0" w:space="0" w:color="auto"/>
                  </w:divBdr>
                  <w:divsChild>
                    <w:div w:id="515850303">
                      <w:marLeft w:val="0"/>
                      <w:marRight w:val="0"/>
                      <w:marTop w:val="0"/>
                      <w:marBottom w:val="0"/>
                      <w:divBdr>
                        <w:top w:val="none" w:sz="0" w:space="0" w:color="auto"/>
                        <w:left w:val="none" w:sz="0" w:space="0" w:color="auto"/>
                        <w:bottom w:val="none" w:sz="0" w:space="0" w:color="auto"/>
                        <w:right w:val="none" w:sz="0" w:space="0" w:color="auto"/>
                      </w:divBdr>
                    </w:div>
                  </w:divsChild>
                </w:div>
                <w:div w:id="1568612147">
                  <w:marLeft w:val="0"/>
                  <w:marRight w:val="0"/>
                  <w:marTop w:val="0"/>
                  <w:marBottom w:val="0"/>
                  <w:divBdr>
                    <w:top w:val="none" w:sz="0" w:space="0" w:color="auto"/>
                    <w:left w:val="none" w:sz="0" w:space="0" w:color="auto"/>
                    <w:bottom w:val="none" w:sz="0" w:space="0" w:color="auto"/>
                    <w:right w:val="none" w:sz="0" w:space="0" w:color="auto"/>
                  </w:divBdr>
                  <w:divsChild>
                    <w:div w:id="88083509">
                      <w:marLeft w:val="0"/>
                      <w:marRight w:val="0"/>
                      <w:marTop w:val="0"/>
                      <w:marBottom w:val="0"/>
                      <w:divBdr>
                        <w:top w:val="none" w:sz="0" w:space="0" w:color="auto"/>
                        <w:left w:val="none" w:sz="0" w:space="0" w:color="auto"/>
                        <w:bottom w:val="none" w:sz="0" w:space="0" w:color="auto"/>
                        <w:right w:val="none" w:sz="0" w:space="0" w:color="auto"/>
                      </w:divBdr>
                    </w:div>
                  </w:divsChild>
                </w:div>
                <w:div w:id="1583493659">
                  <w:marLeft w:val="0"/>
                  <w:marRight w:val="0"/>
                  <w:marTop w:val="0"/>
                  <w:marBottom w:val="0"/>
                  <w:divBdr>
                    <w:top w:val="none" w:sz="0" w:space="0" w:color="auto"/>
                    <w:left w:val="none" w:sz="0" w:space="0" w:color="auto"/>
                    <w:bottom w:val="none" w:sz="0" w:space="0" w:color="auto"/>
                    <w:right w:val="none" w:sz="0" w:space="0" w:color="auto"/>
                  </w:divBdr>
                  <w:divsChild>
                    <w:div w:id="1654019818">
                      <w:marLeft w:val="0"/>
                      <w:marRight w:val="0"/>
                      <w:marTop w:val="0"/>
                      <w:marBottom w:val="0"/>
                      <w:divBdr>
                        <w:top w:val="none" w:sz="0" w:space="0" w:color="auto"/>
                        <w:left w:val="none" w:sz="0" w:space="0" w:color="auto"/>
                        <w:bottom w:val="none" w:sz="0" w:space="0" w:color="auto"/>
                        <w:right w:val="none" w:sz="0" w:space="0" w:color="auto"/>
                      </w:divBdr>
                    </w:div>
                  </w:divsChild>
                </w:div>
                <w:div w:id="1590115592">
                  <w:marLeft w:val="0"/>
                  <w:marRight w:val="0"/>
                  <w:marTop w:val="0"/>
                  <w:marBottom w:val="0"/>
                  <w:divBdr>
                    <w:top w:val="none" w:sz="0" w:space="0" w:color="auto"/>
                    <w:left w:val="none" w:sz="0" w:space="0" w:color="auto"/>
                    <w:bottom w:val="none" w:sz="0" w:space="0" w:color="auto"/>
                    <w:right w:val="none" w:sz="0" w:space="0" w:color="auto"/>
                  </w:divBdr>
                  <w:divsChild>
                    <w:div w:id="1959723778">
                      <w:marLeft w:val="0"/>
                      <w:marRight w:val="0"/>
                      <w:marTop w:val="0"/>
                      <w:marBottom w:val="0"/>
                      <w:divBdr>
                        <w:top w:val="none" w:sz="0" w:space="0" w:color="auto"/>
                        <w:left w:val="none" w:sz="0" w:space="0" w:color="auto"/>
                        <w:bottom w:val="none" w:sz="0" w:space="0" w:color="auto"/>
                        <w:right w:val="none" w:sz="0" w:space="0" w:color="auto"/>
                      </w:divBdr>
                    </w:div>
                  </w:divsChild>
                </w:div>
                <w:div w:id="1611351841">
                  <w:marLeft w:val="0"/>
                  <w:marRight w:val="0"/>
                  <w:marTop w:val="0"/>
                  <w:marBottom w:val="0"/>
                  <w:divBdr>
                    <w:top w:val="none" w:sz="0" w:space="0" w:color="auto"/>
                    <w:left w:val="none" w:sz="0" w:space="0" w:color="auto"/>
                    <w:bottom w:val="none" w:sz="0" w:space="0" w:color="auto"/>
                    <w:right w:val="none" w:sz="0" w:space="0" w:color="auto"/>
                  </w:divBdr>
                  <w:divsChild>
                    <w:div w:id="270748069">
                      <w:marLeft w:val="0"/>
                      <w:marRight w:val="0"/>
                      <w:marTop w:val="0"/>
                      <w:marBottom w:val="0"/>
                      <w:divBdr>
                        <w:top w:val="none" w:sz="0" w:space="0" w:color="auto"/>
                        <w:left w:val="none" w:sz="0" w:space="0" w:color="auto"/>
                        <w:bottom w:val="none" w:sz="0" w:space="0" w:color="auto"/>
                        <w:right w:val="none" w:sz="0" w:space="0" w:color="auto"/>
                      </w:divBdr>
                    </w:div>
                  </w:divsChild>
                </w:div>
                <w:div w:id="1617591315">
                  <w:marLeft w:val="0"/>
                  <w:marRight w:val="0"/>
                  <w:marTop w:val="0"/>
                  <w:marBottom w:val="0"/>
                  <w:divBdr>
                    <w:top w:val="none" w:sz="0" w:space="0" w:color="auto"/>
                    <w:left w:val="none" w:sz="0" w:space="0" w:color="auto"/>
                    <w:bottom w:val="none" w:sz="0" w:space="0" w:color="auto"/>
                    <w:right w:val="none" w:sz="0" w:space="0" w:color="auto"/>
                  </w:divBdr>
                  <w:divsChild>
                    <w:div w:id="255067095">
                      <w:marLeft w:val="0"/>
                      <w:marRight w:val="0"/>
                      <w:marTop w:val="0"/>
                      <w:marBottom w:val="0"/>
                      <w:divBdr>
                        <w:top w:val="none" w:sz="0" w:space="0" w:color="auto"/>
                        <w:left w:val="none" w:sz="0" w:space="0" w:color="auto"/>
                        <w:bottom w:val="none" w:sz="0" w:space="0" w:color="auto"/>
                        <w:right w:val="none" w:sz="0" w:space="0" w:color="auto"/>
                      </w:divBdr>
                    </w:div>
                  </w:divsChild>
                </w:div>
                <w:div w:id="1661958223">
                  <w:marLeft w:val="0"/>
                  <w:marRight w:val="0"/>
                  <w:marTop w:val="0"/>
                  <w:marBottom w:val="0"/>
                  <w:divBdr>
                    <w:top w:val="none" w:sz="0" w:space="0" w:color="auto"/>
                    <w:left w:val="none" w:sz="0" w:space="0" w:color="auto"/>
                    <w:bottom w:val="none" w:sz="0" w:space="0" w:color="auto"/>
                    <w:right w:val="none" w:sz="0" w:space="0" w:color="auto"/>
                  </w:divBdr>
                  <w:divsChild>
                    <w:div w:id="545725548">
                      <w:marLeft w:val="0"/>
                      <w:marRight w:val="0"/>
                      <w:marTop w:val="0"/>
                      <w:marBottom w:val="0"/>
                      <w:divBdr>
                        <w:top w:val="none" w:sz="0" w:space="0" w:color="auto"/>
                        <w:left w:val="none" w:sz="0" w:space="0" w:color="auto"/>
                        <w:bottom w:val="none" w:sz="0" w:space="0" w:color="auto"/>
                        <w:right w:val="none" w:sz="0" w:space="0" w:color="auto"/>
                      </w:divBdr>
                    </w:div>
                  </w:divsChild>
                </w:div>
                <w:div w:id="1682075935">
                  <w:marLeft w:val="0"/>
                  <w:marRight w:val="0"/>
                  <w:marTop w:val="0"/>
                  <w:marBottom w:val="0"/>
                  <w:divBdr>
                    <w:top w:val="none" w:sz="0" w:space="0" w:color="auto"/>
                    <w:left w:val="none" w:sz="0" w:space="0" w:color="auto"/>
                    <w:bottom w:val="none" w:sz="0" w:space="0" w:color="auto"/>
                    <w:right w:val="none" w:sz="0" w:space="0" w:color="auto"/>
                  </w:divBdr>
                  <w:divsChild>
                    <w:div w:id="1241790921">
                      <w:marLeft w:val="0"/>
                      <w:marRight w:val="0"/>
                      <w:marTop w:val="0"/>
                      <w:marBottom w:val="0"/>
                      <w:divBdr>
                        <w:top w:val="none" w:sz="0" w:space="0" w:color="auto"/>
                        <w:left w:val="none" w:sz="0" w:space="0" w:color="auto"/>
                        <w:bottom w:val="none" w:sz="0" w:space="0" w:color="auto"/>
                        <w:right w:val="none" w:sz="0" w:space="0" w:color="auto"/>
                      </w:divBdr>
                    </w:div>
                  </w:divsChild>
                </w:div>
                <w:div w:id="1722442066">
                  <w:marLeft w:val="0"/>
                  <w:marRight w:val="0"/>
                  <w:marTop w:val="0"/>
                  <w:marBottom w:val="0"/>
                  <w:divBdr>
                    <w:top w:val="none" w:sz="0" w:space="0" w:color="auto"/>
                    <w:left w:val="none" w:sz="0" w:space="0" w:color="auto"/>
                    <w:bottom w:val="none" w:sz="0" w:space="0" w:color="auto"/>
                    <w:right w:val="none" w:sz="0" w:space="0" w:color="auto"/>
                  </w:divBdr>
                  <w:divsChild>
                    <w:div w:id="2089424453">
                      <w:marLeft w:val="0"/>
                      <w:marRight w:val="0"/>
                      <w:marTop w:val="0"/>
                      <w:marBottom w:val="0"/>
                      <w:divBdr>
                        <w:top w:val="none" w:sz="0" w:space="0" w:color="auto"/>
                        <w:left w:val="none" w:sz="0" w:space="0" w:color="auto"/>
                        <w:bottom w:val="none" w:sz="0" w:space="0" w:color="auto"/>
                        <w:right w:val="none" w:sz="0" w:space="0" w:color="auto"/>
                      </w:divBdr>
                    </w:div>
                  </w:divsChild>
                </w:div>
                <w:div w:id="1730496295">
                  <w:marLeft w:val="0"/>
                  <w:marRight w:val="0"/>
                  <w:marTop w:val="0"/>
                  <w:marBottom w:val="0"/>
                  <w:divBdr>
                    <w:top w:val="none" w:sz="0" w:space="0" w:color="auto"/>
                    <w:left w:val="none" w:sz="0" w:space="0" w:color="auto"/>
                    <w:bottom w:val="none" w:sz="0" w:space="0" w:color="auto"/>
                    <w:right w:val="none" w:sz="0" w:space="0" w:color="auto"/>
                  </w:divBdr>
                  <w:divsChild>
                    <w:div w:id="1553930598">
                      <w:marLeft w:val="0"/>
                      <w:marRight w:val="0"/>
                      <w:marTop w:val="0"/>
                      <w:marBottom w:val="0"/>
                      <w:divBdr>
                        <w:top w:val="none" w:sz="0" w:space="0" w:color="auto"/>
                        <w:left w:val="none" w:sz="0" w:space="0" w:color="auto"/>
                        <w:bottom w:val="none" w:sz="0" w:space="0" w:color="auto"/>
                        <w:right w:val="none" w:sz="0" w:space="0" w:color="auto"/>
                      </w:divBdr>
                    </w:div>
                  </w:divsChild>
                </w:div>
                <w:div w:id="1748840541">
                  <w:marLeft w:val="0"/>
                  <w:marRight w:val="0"/>
                  <w:marTop w:val="0"/>
                  <w:marBottom w:val="0"/>
                  <w:divBdr>
                    <w:top w:val="none" w:sz="0" w:space="0" w:color="auto"/>
                    <w:left w:val="none" w:sz="0" w:space="0" w:color="auto"/>
                    <w:bottom w:val="none" w:sz="0" w:space="0" w:color="auto"/>
                    <w:right w:val="none" w:sz="0" w:space="0" w:color="auto"/>
                  </w:divBdr>
                  <w:divsChild>
                    <w:div w:id="1024016454">
                      <w:marLeft w:val="0"/>
                      <w:marRight w:val="0"/>
                      <w:marTop w:val="0"/>
                      <w:marBottom w:val="0"/>
                      <w:divBdr>
                        <w:top w:val="none" w:sz="0" w:space="0" w:color="auto"/>
                        <w:left w:val="none" w:sz="0" w:space="0" w:color="auto"/>
                        <w:bottom w:val="none" w:sz="0" w:space="0" w:color="auto"/>
                        <w:right w:val="none" w:sz="0" w:space="0" w:color="auto"/>
                      </w:divBdr>
                    </w:div>
                  </w:divsChild>
                </w:div>
                <w:div w:id="1753889369">
                  <w:marLeft w:val="0"/>
                  <w:marRight w:val="0"/>
                  <w:marTop w:val="0"/>
                  <w:marBottom w:val="0"/>
                  <w:divBdr>
                    <w:top w:val="none" w:sz="0" w:space="0" w:color="auto"/>
                    <w:left w:val="none" w:sz="0" w:space="0" w:color="auto"/>
                    <w:bottom w:val="none" w:sz="0" w:space="0" w:color="auto"/>
                    <w:right w:val="none" w:sz="0" w:space="0" w:color="auto"/>
                  </w:divBdr>
                  <w:divsChild>
                    <w:div w:id="1897281913">
                      <w:marLeft w:val="0"/>
                      <w:marRight w:val="0"/>
                      <w:marTop w:val="0"/>
                      <w:marBottom w:val="0"/>
                      <w:divBdr>
                        <w:top w:val="none" w:sz="0" w:space="0" w:color="auto"/>
                        <w:left w:val="none" w:sz="0" w:space="0" w:color="auto"/>
                        <w:bottom w:val="none" w:sz="0" w:space="0" w:color="auto"/>
                        <w:right w:val="none" w:sz="0" w:space="0" w:color="auto"/>
                      </w:divBdr>
                    </w:div>
                  </w:divsChild>
                </w:div>
                <w:div w:id="1758791780">
                  <w:marLeft w:val="0"/>
                  <w:marRight w:val="0"/>
                  <w:marTop w:val="0"/>
                  <w:marBottom w:val="0"/>
                  <w:divBdr>
                    <w:top w:val="none" w:sz="0" w:space="0" w:color="auto"/>
                    <w:left w:val="none" w:sz="0" w:space="0" w:color="auto"/>
                    <w:bottom w:val="none" w:sz="0" w:space="0" w:color="auto"/>
                    <w:right w:val="none" w:sz="0" w:space="0" w:color="auto"/>
                  </w:divBdr>
                  <w:divsChild>
                    <w:div w:id="313030967">
                      <w:marLeft w:val="0"/>
                      <w:marRight w:val="0"/>
                      <w:marTop w:val="0"/>
                      <w:marBottom w:val="0"/>
                      <w:divBdr>
                        <w:top w:val="none" w:sz="0" w:space="0" w:color="auto"/>
                        <w:left w:val="none" w:sz="0" w:space="0" w:color="auto"/>
                        <w:bottom w:val="none" w:sz="0" w:space="0" w:color="auto"/>
                        <w:right w:val="none" w:sz="0" w:space="0" w:color="auto"/>
                      </w:divBdr>
                    </w:div>
                  </w:divsChild>
                </w:div>
                <w:div w:id="1768962555">
                  <w:marLeft w:val="0"/>
                  <w:marRight w:val="0"/>
                  <w:marTop w:val="0"/>
                  <w:marBottom w:val="0"/>
                  <w:divBdr>
                    <w:top w:val="none" w:sz="0" w:space="0" w:color="auto"/>
                    <w:left w:val="none" w:sz="0" w:space="0" w:color="auto"/>
                    <w:bottom w:val="none" w:sz="0" w:space="0" w:color="auto"/>
                    <w:right w:val="none" w:sz="0" w:space="0" w:color="auto"/>
                  </w:divBdr>
                  <w:divsChild>
                    <w:div w:id="425660907">
                      <w:marLeft w:val="0"/>
                      <w:marRight w:val="0"/>
                      <w:marTop w:val="0"/>
                      <w:marBottom w:val="0"/>
                      <w:divBdr>
                        <w:top w:val="none" w:sz="0" w:space="0" w:color="auto"/>
                        <w:left w:val="none" w:sz="0" w:space="0" w:color="auto"/>
                        <w:bottom w:val="none" w:sz="0" w:space="0" w:color="auto"/>
                        <w:right w:val="none" w:sz="0" w:space="0" w:color="auto"/>
                      </w:divBdr>
                    </w:div>
                  </w:divsChild>
                </w:div>
                <w:div w:id="1777024350">
                  <w:marLeft w:val="0"/>
                  <w:marRight w:val="0"/>
                  <w:marTop w:val="0"/>
                  <w:marBottom w:val="0"/>
                  <w:divBdr>
                    <w:top w:val="none" w:sz="0" w:space="0" w:color="auto"/>
                    <w:left w:val="none" w:sz="0" w:space="0" w:color="auto"/>
                    <w:bottom w:val="none" w:sz="0" w:space="0" w:color="auto"/>
                    <w:right w:val="none" w:sz="0" w:space="0" w:color="auto"/>
                  </w:divBdr>
                  <w:divsChild>
                    <w:div w:id="1714882213">
                      <w:marLeft w:val="0"/>
                      <w:marRight w:val="0"/>
                      <w:marTop w:val="0"/>
                      <w:marBottom w:val="0"/>
                      <w:divBdr>
                        <w:top w:val="none" w:sz="0" w:space="0" w:color="auto"/>
                        <w:left w:val="none" w:sz="0" w:space="0" w:color="auto"/>
                        <w:bottom w:val="none" w:sz="0" w:space="0" w:color="auto"/>
                        <w:right w:val="none" w:sz="0" w:space="0" w:color="auto"/>
                      </w:divBdr>
                    </w:div>
                  </w:divsChild>
                </w:div>
                <w:div w:id="1789272595">
                  <w:marLeft w:val="0"/>
                  <w:marRight w:val="0"/>
                  <w:marTop w:val="0"/>
                  <w:marBottom w:val="0"/>
                  <w:divBdr>
                    <w:top w:val="none" w:sz="0" w:space="0" w:color="auto"/>
                    <w:left w:val="none" w:sz="0" w:space="0" w:color="auto"/>
                    <w:bottom w:val="none" w:sz="0" w:space="0" w:color="auto"/>
                    <w:right w:val="none" w:sz="0" w:space="0" w:color="auto"/>
                  </w:divBdr>
                  <w:divsChild>
                    <w:div w:id="968243176">
                      <w:marLeft w:val="0"/>
                      <w:marRight w:val="0"/>
                      <w:marTop w:val="0"/>
                      <w:marBottom w:val="0"/>
                      <w:divBdr>
                        <w:top w:val="none" w:sz="0" w:space="0" w:color="auto"/>
                        <w:left w:val="none" w:sz="0" w:space="0" w:color="auto"/>
                        <w:bottom w:val="none" w:sz="0" w:space="0" w:color="auto"/>
                        <w:right w:val="none" w:sz="0" w:space="0" w:color="auto"/>
                      </w:divBdr>
                    </w:div>
                  </w:divsChild>
                </w:div>
                <w:div w:id="1803888095">
                  <w:marLeft w:val="0"/>
                  <w:marRight w:val="0"/>
                  <w:marTop w:val="0"/>
                  <w:marBottom w:val="0"/>
                  <w:divBdr>
                    <w:top w:val="none" w:sz="0" w:space="0" w:color="auto"/>
                    <w:left w:val="none" w:sz="0" w:space="0" w:color="auto"/>
                    <w:bottom w:val="none" w:sz="0" w:space="0" w:color="auto"/>
                    <w:right w:val="none" w:sz="0" w:space="0" w:color="auto"/>
                  </w:divBdr>
                  <w:divsChild>
                    <w:div w:id="1703284299">
                      <w:marLeft w:val="0"/>
                      <w:marRight w:val="0"/>
                      <w:marTop w:val="0"/>
                      <w:marBottom w:val="0"/>
                      <w:divBdr>
                        <w:top w:val="none" w:sz="0" w:space="0" w:color="auto"/>
                        <w:left w:val="none" w:sz="0" w:space="0" w:color="auto"/>
                        <w:bottom w:val="none" w:sz="0" w:space="0" w:color="auto"/>
                        <w:right w:val="none" w:sz="0" w:space="0" w:color="auto"/>
                      </w:divBdr>
                    </w:div>
                  </w:divsChild>
                </w:div>
                <w:div w:id="1865705992">
                  <w:marLeft w:val="0"/>
                  <w:marRight w:val="0"/>
                  <w:marTop w:val="0"/>
                  <w:marBottom w:val="0"/>
                  <w:divBdr>
                    <w:top w:val="none" w:sz="0" w:space="0" w:color="auto"/>
                    <w:left w:val="none" w:sz="0" w:space="0" w:color="auto"/>
                    <w:bottom w:val="none" w:sz="0" w:space="0" w:color="auto"/>
                    <w:right w:val="none" w:sz="0" w:space="0" w:color="auto"/>
                  </w:divBdr>
                  <w:divsChild>
                    <w:div w:id="576790680">
                      <w:marLeft w:val="0"/>
                      <w:marRight w:val="0"/>
                      <w:marTop w:val="0"/>
                      <w:marBottom w:val="0"/>
                      <w:divBdr>
                        <w:top w:val="none" w:sz="0" w:space="0" w:color="auto"/>
                        <w:left w:val="none" w:sz="0" w:space="0" w:color="auto"/>
                        <w:bottom w:val="none" w:sz="0" w:space="0" w:color="auto"/>
                        <w:right w:val="none" w:sz="0" w:space="0" w:color="auto"/>
                      </w:divBdr>
                    </w:div>
                  </w:divsChild>
                </w:div>
                <w:div w:id="1867018243">
                  <w:marLeft w:val="0"/>
                  <w:marRight w:val="0"/>
                  <w:marTop w:val="0"/>
                  <w:marBottom w:val="0"/>
                  <w:divBdr>
                    <w:top w:val="none" w:sz="0" w:space="0" w:color="auto"/>
                    <w:left w:val="none" w:sz="0" w:space="0" w:color="auto"/>
                    <w:bottom w:val="none" w:sz="0" w:space="0" w:color="auto"/>
                    <w:right w:val="none" w:sz="0" w:space="0" w:color="auto"/>
                  </w:divBdr>
                  <w:divsChild>
                    <w:div w:id="2054229976">
                      <w:marLeft w:val="0"/>
                      <w:marRight w:val="0"/>
                      <w:marTop w:val="0"/>
                      <w:marBottom w:val="0"/>
                      <w:divBdr>
                        <w:top w:val="none" w:sz="0" w:space="0" w:color="auto"/>
                        <w:left w:val="none" w:sz="0" w:space="0" w:color="auto"/>
                        <w:bottom w:val="none" w:sz="0" w:space="0" w:color="auto"/>
                        <w:right w:val="none" w:sz="0" w:space="0" w:color="auto"/>
                      </w:divBdr>
                    </w:div>
                  </w:divsChild>
                </w:div>
                <w:div w:id="1879971321">
                  <w:marLeft w:val="0"/>
                  <w:marRight w:val="0"/>
                  <w:marTop w:val="0"/>
                  <w:marBottom w:val="0"/>
                  <w:divBdr>
                    <w:top w:val="none" w:sz="0" w:space="0" w:color="auto"/>
                    <w:left w:val="none" w:sz="0" w:space="0" w:color="auto"/>
                    <w:bottom w:val="none" w:sz="0" w:space="0" w:color="auto"/>
                    <w:right w:val="none" w:sz="0" w:space="0" w:color="auto"/>
                  </w:divBdr>
                  <w:divsChild>
                    <w:div w:id="2018192650">
                      <w:marLeft w:val="0"/>
                      <w:marRight w:val="0"/>
                      <w:marTop w:val="0"/>
                      <w:marBottom w:val="0"/>
                      <w:divBdr>
                        <w:top w:val="none" w:sz="0" w:space="0" w:color="auto"/>
                        <w:left w:val="none" w:sz="0" w:space="0" w:color="auto"/>
                        <w:bottom w:val="none" w:sz="0" w:space="0" w:color="auto"/>
                        <w:right w:val="none" w:sz="0" w:space="0" w:color="auto"/>
                      </w:divBdr>
                    </w:div>
                  </w:divsChild>
                </w:div>
                <w:div w:id="1881016309">
                  <w:marLeft w:val="0"/>
                  <w:marRight w:val="0"/>
                  <w:marTop w:val="0"/>
                  <w:marBottom w:val="0"/>
                  <w:divBdr>
                    <w:top w:val="none" w:sz="0" w:space="0" w:color="auto"/>
                    <w:left w:val="none" w:sz="0" w:space="0" w:color="auto"/>
                    <w:bottom w:val="none" w:sz="0" w:space="0" w:color="auto"/>
                    <w:right w:val="none" w:sz="0" w:space="0" w:color="auto"/>
                  </w:divBdr>
                  <w:divsChild>
                    <w:div w:id="736586172">
                      <w:marLeft w:val="0"/>
                      <w:marRight w:val="0"/>
                      <w:marTop w:val="0"/>
                      <w:marBottom w:val="0"/>
                      <w:divBdr>
                        <w:top w:val="none" w:sz="0" w:space="0" w:color="auto"/>
                        <w:left w:val="none" w:sz="0" w:space="0" w:color="auto"/>
                        <w:bottom w:val="none" w:sz="0" w:space="0" w:color="auto"/>
                        <w:right w:val="none" w:sz="0" w:space="0" w:color="auto"/>
                      </w:divBdr>
                    </w:div>
                  </w:divsChild>
                </w:div>
                <w:div w:id="1910654100">
                  <w:marLeft w:val="0"/>
                  <w:marRight w:val="0"/>
                  <w:marTop w:val="0"/>
                  <w:marBottom w:val="0"/>
                  <w:divBdr>
                    <w:top w:val="none" w:sz="0" w:space="0" w:color="auto"/>
                    <w:left w:val="none" w:sz="0" w:space="0" w:color="auto"/>
                    <w:bottom w:val="none" w:sz="0" w:space="0" w:color="auto"/>
                    <w:right w:val="none" w:sz="0" w:space="0" w:color="auto"/>
                  </w:divBdr>
                  <w:divsChild>
                    <w:div w:id="914513573">
                      <w:marLeft w:val="0"/>
                      <w:marRight w:val="0"/>
                      <w:marTop w:val="0"/>
                      <w:marBottom w:val="0"/>
                      <w:divBdr>
                        <w:top w:val="none" w:sz="0" w:space="0" w:color="auto"/>
                        <w:left w:val="none" w:sz="0" w:space="0" w:color="auto"/>
                        <w:bottom w:val="none" w:sz="0" w:space="0" w:color="auto"/>
                        <w:right w:val="none" w:sz="0" w:space="0" w:color="auto"/>
                      </w:divBdr>
                    </w:div>
                  </w:divsChild>
                </w:div>
                <w:div w:id="1947425640">
                  <w:marLeft w:val="0"/>
                  <w:marRight w:val="0"/>
                  <w:marTop w:val="0"/>
                  <w:marBottom w:val="0"/>
                  <w:divBdr>
                    <w:top w:val="none" w:sz="0" w:space="0" w:color="auto"/>
                    <w:left w:val="none" w:sz="0" w:space="0" w:color="auto"/>
                    <w:bottom w:val="none" w:sz="0" w:space="0" w:color="auto"/>
                    <w:right w:val="none" w:sz="0" w:space="0" w:color="auto"/>
                  </w:divBdr>
                  <w:divsChild>
                    <w:div w:id="14038209">
                      <w:marLeft w:val="0"/>
                      <w:marRight w:val="0"/>
                      <w:marTop w:val="0"/>
                      <w:marBottom w:val="0"/>
                      <w:divBdr>
                        <w:top w:val="none" w:sz="0" w:space="0" w:color="auto"/>
                        <w:left w:val="none" w:sz="0" w:space="0" w:color="auto"/>
                        <w:bottom w:val="none" w:sz="0" w:space="0" w:color="auto"/>
                        <w:right w:val="none" w:sz="0" w:space="0" w:color="auto"/>
                      </w:divBdr>
                    </w:div>
                  </w:divsChild>
                </w:div>
                <w:div w:id="1961178001">
                  <w:marLeft w:val="0"/>
                  <w:marRight w:val="0"/>
                  <w:marTop w:val="0"/>
                  <w:marBottom w:val="0"/>
                  <w:divBdr>
                    <w:top w:val="none" w:sz="0" w:space="0" w:color="auto"/>
                    <w:left w:val="none" w:sz="0" w:space="0" w:color="auto"/>
                    <w:bottom w:val="none" w:sz="0" w:space="0" w:color="auto"/>
                    <w:right w:val="none" w:sz="0" w:space="0" w:color="auto"/>
                  </w:divBdr>
                  <w:divsChild>
                    <w:div w:id="1253078794">
                      <w:marLeft w:val="0"/>
                      <w:marRight w:val="0"/>
                      <w:marTop w:val="0"/>
                      <w:marBottom w:val="0"/>
                      <w:divBdr>
                        <w:top w:val="none" w:sz="0" w:space="0" w:color="auto"/>
                        <w:left w:val="none" w:sz="0" w:space="0" w:color="auto"/>
                        <w:bottom w:val="none" w:sz="0" w:space="0" w:color="auto"/>
                        <w:right w:val="none" w:sz="0" w:space="0" w:color="auto"/>
                      </w:divBdr>
                    </w:div>
                  </w:divsChild>
                </w:div>
                <w:div w:id="1986931172">
                  <w:marLeft w:val="0"/>
                  <w:marRight w:val="0"/>
                  <w:marTop w:val="0"/>
                  <w:marBottom w:val="0"/>
                  <w:divBdr>
                    <w:top w:val="none" w:sz="0" w:space="0" w:color="auto"/>
                    <w:left w:val="none" w:sz="0" w:space="0" w:color="auto"/>
                    <w:bottom w:val="none" w:sz="0" w:space="0" w:color="auto"/>
                    <w:right w:val="none" w:sz="0" w:space="0" w:color="auto"/>
                  </w:divBdr>
                  <w:divsChild>
                    <w:div w:id="1916426793">
                      <w:marLeft w:val="0"/>
                      <w:marRight w:val="0"/>
                      <w:marTop w:val="0"/>
                      <w:marBottom w:val="0"/>
                      <w:divBdr>
                        <w:top w:val="none" w:sz="0" w:space="0" w:color="auto"/>
                        <w:left w:val="none" w:sz="0" w:space="0" w:color="auto"/>
                        <w:bottom w:val="none" w:sz="0" w:space="0" w:color="auto"/>
                        <w:right w:val="none" w:sz="0" w:space="0" w:color="auto"/>
                      </w:divBdr>
                    </w:div>
                  </w:divsChild>
                </w:div>
                <w:div w:id="1989093165">
                  <w:marLeft w:val="0"/>
                  <w:marRight w:val="0"/>
                  <w:marTop w:val="0"/>
                  <w:marBottom w:val="0"/>
                  <w:divBdr>
                    <w:top w:val="none" w:sz="0" w:space="0" w:color="auto"/>
                    <w:left w:val="none" w:sz="0" w:space="0" w:color="auto"/>
                    <w:bottom w:val="none" w:sz="0" w:space="0" w:color="auto"/>
                    <w:right w:val="none" w:sz="0" w:space="0" w:color="auto"/>
                  </w:divBdr>
                  <w:divsChild>
                    <w:div w:id="1654874589">
                      <w:marLeft w:val="0"/>
                      <w:marRight w:val="0"/>
                      <w:marTop w:val="0"/>
                      <w:marBottom w:val="0"/>
                      <w:divBdr>
                        <w:top w:val="none" w:sz="0" w:space="0" w:color="auto"/>
                        <w:left w:val="none" w:sz="0" w:space="0" w:color="auto"/>
                        <w:bottom w:val="none" w:sz="0" w:space="0" w:color="auto"/>
                        <w:right w:val="none" w:sz="0" w:space="0" w:color="auto"/>
                      </w:divBdr>
                    </w:div>
                  </w:divsChild>
                </w:div>
                <w:div w:id="2002731819">
                  <w:marLeft w:val="0"/>
                  <w:marRight w:val="0"/>
                  <w:marTop w:val="0"/>
                  <w:marBottom w:val="0"/>
                  <w:divBdr>
                    <w:top w:val="none" w:sz="0" w:space="0" w:color="auto"/>
                    <w:left w:val="none" w:sz="0" w:space="0" w:color="auto"/>
                    <w:bottom w:val="none" w:sz="0" w:space="0" w:color="auto"/>
                    <w:right w:val="none" w:sz="0" w:space="0" w:color="auto"/>
                  </w:divBdr>
                  <w:divsChild>
                    <w:div w:id="79717706">
                      <w:marLeft w:val="0"/>
                      <w:marRight w:val="0"/>
                      <w:marTop w:val="0"/>
                      <w:marBottom w:val="0"/>
                      <w:divBdr>
                        <w:top w:val="none" w:sz="0" w:space="0" w:color="auto"/>
                        <w:left w:val="none" w:sz="0" w:space="0" w:color="auto"/>
                        <w:bottom w:val="none" w:sz="0" w:space="0" w:color="auto"/>
                        <w:right w:val="none" w:sz="0" w:space="0" w:color="auto"/>
                      </w:divBdr>
                    </w:div>
                  </w:divsChild>
                </w:div>
                <w:div w:id="2016494491">
                  <w:marLeft w:val="0"/>
                  <w:marRight w:val="0"/>
                  <w:marTop w:val="0"/>
                  <w:marBottom w:val="0"/>
                  <w:divBdr>
                    <w:top w:val="none" w:sz="0" w:space="0" w:color="auto"/>
                    <w:left w:val="none" w:sz="0" w:space="0" w:color="auto"/>
                    <w:bottom w:val="none" w:sz="0" w:space="0" w:color="auto"/>
                    <w:right w:val="none" w:sz="0" w:space="0" w:color="auto"/>
                  </w:divBdr>
                  <w:divsChild>
                    <w:div w:id="1142964815">
                      <w:marLeft w:val="0"/>
                      <w:marRight w:val="0"/>
                      <w:marTop w:val="0"/>
                      <w:marBottom w:val="0"/>
                      <w:divBdr>
                        <w:top w:val="none" w:sz="0" w:space="0" w:color="auto"/>
                        <w:left w:val="none" w:sz="0" w:space="0" w:color="auto"/>
                        <w:bottom w:val="none" w:sz="0" w:space="0" w:color="auto"/>
                        <w:right w:val="none" w:sz="0" w:space="0" w:color="auto"/>
                      </w:divBdr>
                    </w:div>
                  </w:divsChild>
                </w:div>
                <w:div w:id="2027516105">
                  <w:marLeft w:val="0"/>
                  <w:marRight w:val="0"/>
                  <w:marTop w:val="0"/>
                  <w:marBottom w:val="0"/>
                  <w:divBdr>
                    <w:top w:val="none" w:sz="0" w:space="0" w:color="auto"/>
                    <w:left w:val="none" w:sz="0" w:space="0" w:color="auto"/>
                    <w:bottom w:val="none" w:sz="0" w:space="0" w:color="auto"/>
                    <w:right w:val="none" w:sz="0" w:space="0" w:color="auto"/>
                  </w:divBdr>
                  <w:divsChild>
                    <w:div w:id="1649170731">
                      <w:marLeft w:val="0"/>
                      <w:marRight w:val="0"/>
                      <w:marTop w:val="0"/>
                      <w:marBottom w:val="0"/>
                      <w:divBdr>
                        <w:top w:val="none" w:sz="0" w:space="0" w:color="auto"/>
                        <w:left w:val="none" w:sz="0" w:space="0" w:color="auto"/>
                        <w:bottom w:val="none" w:sz="0" w:space="0" w:color="auto"/>
                        <w:right w:val="none" w:sz="0" w:space="0" w:color="auto"/>
                      </w:divBdr>
                    </w:div>
                  </w:divsChild>
                </w:div>
                <w:div w:id="2032603206">
                  <w:marLeft w:val="0"/>
                  <w:marRight w:val="0"/>
                  <w:marTop w:val="0"/>
                  <w:marBottom w:val="0"/>
                  <w:divBdr>
                    <w:top w:val="none" w:sz="0" w:space="0" w:color="auto"/>
                    <w:left w:val="none" w:sz="0" w:space="0" w:color="auto"/>
                    <w:bottom w:val="none" w:sz="0" w:space="0" w:color="auto"/>
                    <w:right w:val="none" w:sz="0" w:space="0" w:color="auto"/>
                  </w:divBdr>
                  <w:divsChild>
                    <w:div w:id="103577805">
                      <w:marLeft w:val="0"/>
                      <w:marRight w:val="0"/>
                      <w:marTop w:val="0"/>
                      <w:marBottom w:val="0"/>
                      <w:divBdr>
                        <w:top w:val="none" w:sz="0" w:space="0" w:color="auto"/>
                        <w:left w:val="none" w:sz="0" w:space="0" w:color="auto"/>
                        <w:bottom w:val="none" w:sz="0" w:space="0" w:color="auto"/>
                        <w:right w:val="none" w:sz="0" w:space="0" w:color="auto"/>
                      </w:divBdr>
                    </w:div>
                  </w:divsChild>
                </w:div>
                <w:div w:id="2034527773">
                  <w:marLeft w:val="0"/>
                  <w:marRight w:val="0"/>
                  <w:marTop w:val="0"/>
                  <w:marBottom w:val="0"/>
                  <w:divBdr>
                    <w:top w:val="none" w:sz="0" w:space="0" w:color="auto"/>
                    <w:left w:val="none" w:sz="0" w:space="0" w:color="auto"/>
                    <w:bottom w:val="none" w:sz="0" w:space="0" w:color="auto"/>
                    <w:right w:val="none" w:sz="0" w:space="0" w:color="auto"/>
                  </w:divBdr>
                  <w:divsChild>
                    <w:div w:id="1551841687">
                      <w:marLeft w:val="0"/>
                      <w:marRight w:val="0"/>
                      <w:marTop w:val="0"/>
                      <w:marBottom w:val="0"/>
                      <w:divBdr>
                        <w:top w:val="none" w:sz="0" w:space="0" w:color="auto"/>
                        <w:left w:val="none" w:sz="0" w:space="0" w:color="auto"/>
                        <w:bottom w:val="none" w:sz="0" w:space="0" w:color="auto"/>
                        <w:right w:val="none" w:sz="0" w:space="0" w:color="auto"/>
                      </w:divBdr>
                    </w:div>
                  </w:divsChild>
                </w:div>
                <w:div w:id="2046521358">
                  <w:marLeft w:val="0"/>
                  <w:marRight w:val="0"/>
                  <w:marTop w:val="0"/>
                  <w:marBottom w:val="0"/>
                  <w:divBdr>
                    <w:top w:val="none" w:sz="0" w:space="0" w:color="auto"/>
                    <w:left w:val="none" w:sz="0" w:space="0" w:color="auto"/>
                    <w:bottom w:val="none" w:sz="0" w:space="0" w:color="auto"/>
                    <w:right w:val="none" w:sz="0" w:space="0" w:color="auto"/>
                  </w:divBdr>
                  <w:divsChild>
                    <w:div w:id="1694262496">
                      <w:marLeft w:val="0"/>
                      <w:marRight w:val="0"/>
                      <w:marTop w:val="0"/>
                      <w:marBottom w:val="0"/>
                      <w:divBdr>
                        <w:top w:val="none" w:sz="0" w:space="0" w:color="auto"/>
                        <w:left w:val="none" w:sz="0" w:space="0" w:color="auto"/>
                        <w:bottom w:val="none" w:sz="0" w:space="0" w:color="auto"/>
                        <w:right w:val="none" w:sz="0" w:space="0" w:color="auto"/>
                      </w:divBdr>
                    </w:div>
                  </w:divsChild>
                </w:div>
                <w:div w:id="2067221802">
                  <w:marLeft w:val="0"/>
                  <w:marRight w:val="0"/>
                  <w:marTop w:val="0"/>
                  <w:marBottom w:val="0"/>
                  <w:divBdr>
                    <w:top w:val="none" w:sz="0" w:space="0" w:color="auto"/>
                    <w:left w:val="none" w:sz="0" w:space="0" w:color="auto"/>
                    <w:bottom w:val="none" w:sz="0" w:space="0" w:color="auto"/>
                    <w:right w:val="none" w:sz="0" w:space="0" w:color="auto"/>
                  </w:divBdr>
                  <w:divsChild>
                    <w:div w:id="14425917">
                      <w:marLeft w:val="0"/>
                      <w:marRight w:val="0"/>
                      <w:marTop w:val="0"/>
                      <w:marBottom w:val="0"/>
                      <w:divBdr>
                        <w:top w:val="none" w:sz="0" w:space="0" w:color="auto"/>
                        <w:left w:val="none" w:sz="0" w:space="0" w:color="auto"/>
                        <w:bottom w:val="none" w:sz="0" w:space="0" w:color="auto"/>
                        <w:right w:val="none" w:sz="0" w:space="0" w:color="auto"/>
                      </w:divBdr>
                    </w:div>
                  </w:divsChild>
                </w:div>
                <w:div w:id="2078505916">
                  <w:marLeft w:val="0"/>
                  <w:marRight w:val="0"/>
                  <w:marTop w:val="0"/>
                  <w:marBottom w:val="0"/>
                  <w:divBdr>
                    <w:top w:val="none" w:sz="0" w:space="0" w:color="auto"/>
                    <w:left w:val="none" w:sz="0" w:space="0" w:color="auto"/>
                    <w:bottom w:val="none" w:sz="0" w:space="0" w:color="auto"/>
                    <w:right w:val="none" w:sz="0" w:space="0" w:color="auto"/>
                  </w:divBdr>
                  <w:divsChild>
                    <w:div w:id="1685549491">
                      <w:marLeft w:val="0"/>
                      <w:marRight w:val="0"/>
                      <w:marTop w:val="0"/>
                      <w:marBottom w:val="0"/>
                      <w:divBdr>
                        <w:top w:val="none" w:sz="0" w:space="0" w:color="auto"/>
                        <w:left w:val="none" w:sz="0" w:space="0" w:color="auto"/>
                        <w:bottom w:val="none" w:sz="0" w:space="0" w:color="auto"/>
                        <w:right w:val="none" w:sz="0" w:space="0" w:color="auto"/>
                      </w:divBdr>
                    </w:div>
                  </w:divsChild>
                </w:div>
                <w:div w:id="2094088370">
                  <w:marLeft w:val="0"/>
                  <w:marRight w:val="0"/>
                  <w:marTop w:val="0"/>
                  <w:marBottom w:val="0"/>
                  <w:divBdr>
                    <w:top w:val="none" w:sz="0" w:space="0" w:color="auto"/>
                    <w:left w:val="none" w:sz="0" w:space="0" w:color="auto"/>
                    <w:bottom w:val="none" w:sz="0" w:space="0" w:color="auto"/>
                    <w:right w:val="none" w:sz="0" w:space="0" w:color="auto"/>
                  </w:divBdr>
                  <w:divsChild>
                    <w:div w:id="157775400">
                      <w:marLeft w:val="0"/>
                      <w:marRight w:val="0"/>
                      <w:marTop w:val="0"/>
                      <w:marBottom w:val="0"/>
                      <w:divBdr>
                        <w:top w:val="none" w:sz="0" w:space="0" w:color="auto"/>
                        <w:left w:val="none" w:sz="0" w:space="0" w:color="auto"/>
                        <w:bottom w:val="none" w:sz="0" w:space="0" w:color="auto"/>
                        <w:right w:val="none" w:sz="0" w:space="0" w:color="auto"/>
                      </w:divBdr>
                    </w:div>
                  </w:divsChild>
                </w:div>
                <w:div w:id="2097435109">
                  <w:marLeft w:val="0"/>
                  <w:marRight w:val="0"/>
                  <w:marTop w:val="0"/>
                  <w:marBottom w:val="0"/>
                  <w:divBdr>
                    <w:top w:val="none" w:sz="0" w:space="0" w:color="auto"/>
                    <w:left w:val="none" w:sz="0" w:space="0" w:color="auto"/>
                    <w:bottom w:val="none" w:sz="0" w:space="0" w:color="auto"/>
                    <w:right w:val="none" w:sz="0" w:space="0" w:color="auto"/>
                  </w:divBdr>
                  <w:divsChild>
                    <w:div w:id="907573950">
                      <w:marLeft w:val="0"/>
                      <w:marRight w:val="0"/>
                      <w:marTop w:val="0"/>
                      <w:marBottom w:val="0"/>
                      <w:divBdr>
                        <w:top w:val="none" w:sz="0" w:space="0" w:color="auto"/>
                        <w:left w:val="none" w:sz="0" w:space="0" w:color="auto"/>
                        <w:bottom w:val="none" w:sz="0" w:space="0" w:color="auto"/>
                        <w:right w:val="none" w:sz="0" w:space="0" w:color="auto"/>
                      </w:divBdr>
                    </w:div>
                  </w:divsChild>
                </w:div>
                <w:div w:id="2138718911">
                  <w:marLeft w:val="0"/>
                  <w:marRight w:val="0"/>
                  <w:marTop w:val="0"/>
                  <w:marBottom w:val="0"/>
                  <w:divBdr>
                    <w:top w:val="none" w:sz="0" w:space="0" w:color="auto"/>
                    <w:left w:val="none" w:sz="0" w:space="0" w:color="auto"/>
                    <w:bottom w:val="none" w:sz="0" w:space="0" w:color="auto"/>
                    <w:right w:val="none" w:sz="0" w:space="0" w:color="auto"/>
                  </w:divBdr>
                  <w:divsChild>
                    <w:div w:id="1867329459">
                      <w:marLeft w:val="0"/>
                      <w:marRight w:val="0"/>
                      <w:marTop w:val="0"/>
                      <w:marBottom w:val="0"/>
                      <w:divBdr>
                        <w:top w:val="none" w:sz="0" w:space="0" w:color="auto"/>
                        <w:left w:val="none" w:sz="0" w:space="0" w:color="auto"/>
                        <w:bottom w:val="none" w:sz="0" w:space="0" w:color="auto"/>
                        <w:right w:val="none" w:sz="0" w:space="0" w:color="auto"/>
                      </w:divBdr>
                    </w:div>
                  </w:divsChild>
                </w:div>
                <w:div w:id="2140296285">
                  <w:marLeft w:val="0"/>
                  <w:marRight w:val="0"/>
                  <w:marTop w:val="0"/>
                  <w:marBottom w:val="0"/>
                  <w:divBdr>
                    <w:top w:val="none" w:sz="0" w:space="0" w:color="auto"/>
                    <w:left w:val="none" w:sz="0" w:space="0" w:color="auto"/>
                    <w:bottom w:val="none" w:sz="0" w:space="0" w:color="auto"/>
                    <w:right w:val="none" w:sz="0" w:space="0" w:color="auto"/>
                  </w:divBdr>
                  <w:divsChild>
                    <w:div w:id="5151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71051">
          <w:marLeft w:val="0"/>
          <w:marRight w:val="0"/>
          <w:marTop w:val="0"/>
          <w:marBottom w:val="0"/>
          <w:divBdr>
            <w:top w:val="none" w:sz="0" w:space="0" w:color="auto"/>
            <w:left w:val="none" w:sz="0" w:space="0" w:color="auto"/>
            <w:bottom w:val="none" w:sz="0" w:space="0" w:color="auto"/>
            <w:right w:val="none" w:sz="0" w:space="0" w:color="auto"/>
          </w:divBdr>
        </w:div>
        <w:div w:id="1017804701">
          <w:marLeft w:val="0"/>
          <w:marRight w:val="0"/>
          <w:marTop w:val="0"/>
          <w:marBottom w:val="0"/>
          <w:divBdr>
            <w:top w:val="none" w:sz="0" w:space="0" w:color="auto"/>
            <w:left w:val="none" w:sz="0" w:space="0" w:color="auto"/>
            <w:bottom w:val="none" w:sz="0" w:space="0" w:color="auto"/>
            <w:right w:val="none" w:sz="0" w:space="0" w:color="auto"/>
          </w:divBdr>
        </w:div>
        <w:div w:id="1032613307">
          <w:marLeft w:val="0"/>
          <w:marRight w:val="0"/>
          <w:marTop w:val="0"/>
          <w:marBottom w:val="0"/>
          <w:divBdr>
            <w:top w:val="none" w:sz="0" w:space="0" w:color="auto"/>
            <w:left w:val="none" w:sz="0" w:space="0" w:color="auto"/>
            <w:bottom w:val="none" w:sz="0" w:space="0" w:color="auto"/>
            <w:right w:val="none" w:sz="0" w:space="0" w:color="auto"/>
          </w:divBdr>
        </w:div>
        <w:div w:id="1141460733">
          <w:marLeft w:val="0"/>
          <w:marRight w:val="0"/>
          <w:marTop w:val="0"/>
          <w:marBottom w:val="0"/>
          <w:divBdr>
            <w:top w:val="none" w:sz="0" w:space="0" w:color="auto"/>
            <w:left w:val="none" w:sz="0" w:space="0" w:color="auto"/>
            <w:bottom w:val="none" w:sz="0" w:space="0" w:color="auto"/>
            <w:right w:val="none" w:sz="0" w:space="0" w:color="auto"/>
          </w:divBdr>
        </w:div>
        <w:div w:id="1176001604">
          <w:marLeft w:val="0"/>
          <w:marRight w:val="0"/>
          <w:marTop w:val="0"/>
          <w:marBottom w:val="0"/>
          <w:divBdr>
            <w:top w:val="none" w:sz="0" w:space="0" w:color="auto"/>
            <w:left w:val="none" w:sz="0" w:space="0" w:color="auto"/>
            <w:bottom w:val="none" w:sz="0" w:space="0" w:color="auto"/>
            <w:right w:val="none" w:sz="0" w:space="0" w:color="auto"/>
          </w:divBdr>
        </w:div>
        <w:div w:id="1188641983">
          <w:marLeft w:val="0"/>
          <w:marRight w:val="0"/>
          <w:marTop w:val="0"/>
          <w:marBottom w:val="0"/>
          <w:divBdr>
            <w:top w:val="none" w:sz="0" w:space="0" w:color="auto"/>
            <w:left w:val="none" w:sz="0" w:space="0" w:color="auto"/>
            <w:bottom w:val="none" w:sz="0" w:space="0" w:color="auto"/>
            <w:right w:val="none" w:sz="0" w:space="0" w:color="auto"/>
          </w:divBdr>
        </w:div>
        <w:div w:id="1230266981">
          <w:marLeft w:val="0"/>
          <w:marRight w:val="0"/>
          <w:marTop w:val="0"/>
          <w:marBottom w:val="0"/>
          <w:divBdr>
            <w:top w:val="none" w:sz="0" w:space="0" w:color="auto"/>
            <w:left w:val="none" w:sz="0" w:space="0" w:color="auto"/>
            <w:bottom w:val="none" w:sz="0" w:space="0" w:color="auto"/>
            <w:right w:val="none" w:sz="0" w:space="0" w:color="auto"/>
          </w:divBdr>
        </w:div>
        <w:div w:id="1367486210">
          <w:marLeft w:val="0"/>
          <w:marRight w:val="0"/>
          <w:marTop w:val="0"/>
          <w:marBottom w:val="0"/>
          <w:divBdr>
            <w:top w:val="none" w:sz="0" w:space="0" w:color="auto"/>
            <w:left w:val="none" w:sz="0" w:space="0" w:color="auto"/>
            <w:bottom w:val="none" w:sz="0" w:space="0" w:color="auto"/>
            <w:right w:val="none" w:sz="0" w:space="0" w:color="auto"/>
          </w:divBdr>
        </w:div>
        <w:div w:id="1383866344">
          <w:marLeft w:val="0"/>
          <w:marRight w:val="0"/>
          <w:marTop w:val="0"/>
          <w:marBottom w:val="0"/>
          <w:divBdr>
            <w:top w:val="none" w:sz="0" w:space="0" w:color="auto"/>
            <w:left w:val="none" w:sz="0" w:space="0" w:color="auto"/>
            <w:bottom w:val="none" w:sz="0" w:space="0" w:color="auto"/>
            <w:right w:val="none" w:sz="0" w:space="0" w:color="auto"/>
          </w:divBdr>
        </w:div>
        <w:div w:id="1469323437">
          <w:marLeft w:val="0"/>
          <w:marRight w:val="0"/>
          <w:marTop w:val="0"/>
          <w:marBottom w:val="0"/>
          <w:divBdr>
            <w:top w:val="none" w:sz="0" w:space="0" w:color="auto"/>
            <w:left w:val="none" w:sz="0" w:space="0" w:color="auto"/>
            <w:bottom w:val="none" w:sz="0" w:space="0" w:color="auto"/>
            <w:right w:val="none" w:sz="0" w:space="0" w:color="auto"/>
          </w:divBdr>
          <w:divsChild>
            <w:div w:id="1773741368">
              <w:marLeft w:val="-75"/>
              <w:marRight w:val="0"/>
              <w:marTop w:val="30"/>
              <w:marBottom w:val="30"/>
              <w:divBdr>
                <w:top w:val="none" w:sz="0" w:space="0" w:color="auto"/>
                <w:left w:val="none" w:sz="0" w:space="0" w:color="auto"/>
                <w:bottom w:val="none" w:sz="0" w:space="0" w:color="auto"/>
                <w:right w:val="none" w:sz="0" w:space="0" w:color="auto"/>
              </w:divBdr>
              <w:divsChild>
                <w:div w:id="1275361">
                  <w:marLeft w:val="0"/>
                  <w:marRight w:val="0"/>
                  <w:marTop w:val="0"/>
                  <w:marBottom w:val="0"/>
                  <w:divBdr>
                    <w:top w:val="none" w:sz="0" w:space="0" w:color="auto"/>
                    <w:left w:val="none" w:sz="0" w:space="0" w:color="auto"/>
                    <w:bottom w:val="none" w:sz="0" w:space="0" w:color="auto"/>
                    <w:right w:val="none" w:sz="0" w:space="0" w:color="auto"/>
                  </w:divBdr>
                  <w:divsChild>
                    <w:div w:id="1870290547">
                      <w:marLeft w:val="0"/>
                      <w:marRight w:val="0"/>
                      <w:marTop w:val="0"/>
                      <w:marBottom w:val="0"/>
                      <w:divBdr>
                        <w:top w:val="none" w:sz="0" w:space="0" w:color="auto"/>
                        <w:left w:val="none" w:sz="0" w:space="0" w:color="auto"/>
                        <w:bottom w:val="none" w:sz="0" w:space="0" w:color="auto"/>
                        <w:right w:val="none" w:sz="0" w:space="0" w:color="auto"/>
                      </w:divBdr>
                    </w:div>
                  </w:divsChild>
                </w:div>
                <w:div w:id="2710994">
                  <w:marLeft w:val="0"/>
                  <w:marRight w:val="0"/>
                  <w:marTop w:val="0"/>
                  <w:marBottom w:val="0"/>
                  <w:divBdr>
                    <w:top w:val="none" w:sz="0" w:space="0" w:color="auto"/>
                    <w:left w:val="none" w:sz="0" w:space="0" w:color="auto"/>
                    <w:bottom w:val="none" w:sz="0" w:space="0" w:color="auto"/>
                    <w:right w:val="none" w:sz="0" w:space="0" w:color="auto"/>
                  </w:divBdr>
                  <w:divsChild>
                    <w:div w:id="152140615">
                      <w:marLeft w:val="0"/>
                      <w:marRight w:val="0"/>
                      <w:marTop w:val="0"/>
                      <w:marBottom w:val="0"/>
                      <w:divBdr>
                        <w:top w:val="none" w:sz="0" w:space="0" w:color="auto"/>
                        <w:left w:val="none" w:sz="0" w:space="0" w:color="auto"/>
                        <w:bottom w:val="none" w:sz="0" w:space="0" w:color="auto"/>
                        <w:right w:val="none" w:sz="0" w:space="0" w:color="auto"/>
                      </w:divBdr>
                    </w:div>
                  </w:divsChild>
                </w:div>
                <w:div w:id="9189798">
                  <w:marLeft w:val="0"/>
                  <w:marRight w:val="0"/>
                  <w:marTop w:val="0"/>
                  <w:marBottom w:val="0"/>
                  <w:divBdr>
                    <w:top w:val="none" w:sz="0" w:space="0" w:color="auto"/>
                    <w:left w:val="none" w:sz="0" w:space="0" w:color="auto"/>
                    <w:bottom w:val="none" w:sz="0" w:space="0" w:color="auto"/>
                    <w:right w:val="none" w:sz="0" w:space="0" w:color="auto"/>
                  </w:divBdr>
                  <w:divsChild>
                    <w:div w:id="2024088738">
                      <w:marLeft w:val="0"/>
                      <w:marRight w:val="0"/>
                      <w:marTop w:val="0"/>
                      <w:marBottom w:val="0"/>
                      <w:divBdr>
                        <w:top w:val="none" w:sz="0" w:space="0" w:color="auto"/>
                        <w:left w:val="none" w:sz="0" w:space="0" w:color="auto"/>
                        <w:bottom w:val="none" w:sz="0" w:space="0" w:color="auto"/>
                        <w:right w:val="none" w:sz="0" w:space="0" w:color="auto"/>
                      </w:divBdr>
                    </w:div>
                  </w:divsChild>
                </w:div>
                <w:div w:id="40053745">
                  <w:marLeft w:val="0"/>
                  <w:marRight w:val="0"/>
                  <w:marTop w:val="0"/>
                  <w:marBottom w:val="0"/>
                  <w:divBdr>
                    <w:top w:val="none" w:sz="0" w:space="0" w:color="auto"/>
                    <w:left w:val="none" w:sz="0" w:space="0" w:color="auto"/>
                    <w:bottom w:val="none" w:sz="0" w:space="0" w:color="auto"/>
                    <w:right w:val="none" w:sz="0" w:space="0" w:color="auto"/>
                  </w:divBdr>
                  <w:divsChild>
                    <w:div w:id="603734684">
                      <w:marLeft w:val="0"/>
                      <w:marRight w:val="0"/>
                      <w:marTop w:val="0"/>
                      <w:marBottom w:val="0"/>
                      <w:divBdr>
                        <w:top w:val="none" w:sz="0" w:space="0" w:color="auto"/>
                        <w:left w:val="none" w:sz="0" w:space="0" w:color="auto"/>
                        <w:bottom w:val="none" w:sz="0" w:space="0" w:color="auto"/>
                        <w:right w:val="none" w:sz="0" w:space="0" w:color="auto"/>
                      </w:divBdr>
                    </w:div>
                  </w:divsChild>
                </w:div>
                <w:div w:id="69277191">
                  <w:marLeft w:val="0"/>
                  <w:marRight w:val="0"/>
                  <w:marTop w:val="0"/>
                  <w:marBottom w:val="0"/>
                  <w:divBdr>
                    <w:top w:val="none" w:sz="0" w:space="0" w:color="auto"/>
                    <w:left w:val="none" w:sz="0" w:space="0" w:color="auto"/>
                    <w:bottom w:val="none" w:sz="0" w:space="0" w:color="auto"/>
                    <w:right w:val="none" w:sz="0" w:space="0" w:color="auto"/>
                  </w:divBdr>
                  <w:divsChild>
                    <w:div w:id="893543775">
                      <w:marLeft w:val="0"/>
                      <w:marRight w:val="0"/>
                      <w:marTop w:val="0"/>
                      <w:marBottom w:val="0"/>
                      <w:divBdr>
                        <w:top w:val="none" w:sz="0" w:space="0" w:color="auto"/>
                        <w:left w:val="none" w:sz="0" w:space="0" w:color="auto"/>
                        <w:bottom w:val="none" w:sz="0" w:space="0" w:color="auto"/>
                        <w:right w:val="none" w:sz="0" w:space="0" w:color="auto"/>
                      </w:divBdr>
                    </w:div>
                  </w:divsChild>
                </w:div>
                <w:div w:id="86584559">
                  <w:marLeft w:val="0"/>
                  <w:marRight w:val="0"/>
                  <w:marTop w:val="0"/>
                  <w:marBottom w:val="0"/>
                  <w:divBdr>
                    <w:top w:val="none" w:sz="0" w:space="0" w:color="auto"/>
                    <w:left w:val="none" w:sz="0" w:space="0" w:color="auto"/>
                    <w:bottom w:val="none" w:sz="0" w:space="0" w:color="auto"/>
                    <w:right w:val="none" w:sz="0" w:space="0" w:color="auto"/>
                  </w:divBdr>
                  <w:divsChild>
                    <w:div w:id="1245186626">
                      <w:marLeft w:val="0"/>
                      <w:marRight w:val="0"/>
                      <w:marTop w:val="0"/>
                      <w:marBottom w:val="0"/>
                      <w:divBdr>
                        <w:top w:val="none" w:sz="0" w:space="0" w:color="auto"/>
                        <w:left w:val="none" w:sz="0" w:space="0" w:color="auto"/>
                        <w:bottom w:val="none" w:sz="0" w:space="0" w:color="auto"/>
                        <w:right w:val="none" w:sz="0" w:space="0" w:color="auto"/>
                      </w:divBdr>
                    </w:div>
                  </w:divsChild>
                </w:div>
                <w:div w:id="104430379">
                  <w:marLeft w:val="0"/>
                  <w:marRight w:val="0"/>
                  <w:marTop w:val="0"/>
                  <w:marBottom w:val="0"/>
                  <w:divBdr>
                    <w:top w:val="none" w:sz="0" w:space="0" w:color="auto"/>
                    <w:left w:val="none" w:sz="0" w:space="0" w:color="auto"/>
                    <w:bottom w:val="none" w:sz="0" w:space="0" w:color="auto"/>
                    <w:right w:val="none" w:sz="0" w:space="0" w:color="auto"/>
                  </w:divBdr>
                  <w:divsChild>
                    <w:div w:id="1767651335">
                      <w:marLeft w:val="0"/>
                      <w:marRight w:val="0"/>
                      <w:marTop w:val="0"/>
                      <w:marBottom w:val="0"/>
                      <w:divBdr>
                        <w:top w:val="none" w:sz="0" w:space="0" w:color="auto"/>
                        <w:left w:val="none" w:sz="0" w:space="0" w:color="auto"/>
                        <w:bottom w:val="none" w:sz="0" w:space="0" w:color="auto"/>
                        <w:right w:val="none" w:sz="0" w:space="0" w:color="auto"/>
                      </w:divBdr>
                    </w:div>
                  </w:divsChild>
                </w:div>
                <w:div w:id="113137416">
                  <w:marLeft w:val="0"/>
                  <w:marRight w:val="0"/>
                  <w:marTop w:val="0"/>
                  <w:marBottom w:val="0"/>
                  <w:divBdr>
                    <w:top w:val="none" w:sz="0" w:space="0" w:color="auto"/>
                    <w:left w:val="none" w:sz="0" w:space="0" w:color="auto"/>
                    <w:bottom w:val="none" w:sz="0" w:space="0" w:color="auto"/>
                    <w:right w:val="none" w:sz="0" w:space="0" w:color="auto"/>
                  </w:divBdr>
                  <w:divsChild>
                    <w:div w:id="1961689769">
                      <w:marLeft w:val="0"/>
                      <w:marRight w:val="0"/>
                      <w:marTop w:val="0"/>
                      <w:marBottom w:val="0"/>
                      <w:divBdr>
                        <w:top w:val="none" w:sz="0" w:space="0" w:color="auto"/>
                        <w:left w:val="none" w:sz="0" w:space="0" w:color="auto"/>
                        <w:bottom w:val="none" w:sz="0" w:space="0" w:color="auto"/>
                        <w:right w:val="none" w:sz="0" w:space="0" w:color="auto"/>
                      </w:divBdr>
                    </w:div>
                  </w:divsChild>
                </w:div>
                <w:div w:id="126826950">
                  <w:marLeft w:val="0"/>
                  <w:marRight w:val="0"/>
                  <w:marTop w:val="0"/>
                  <w:marBottom w:val="0"/>
                  <w:divBdr>
                    <w:top w:val="none" w:sz="0" w:space="0" w:color="auto"/>
                    <w:left w:val="none" w:sz="0" w:space="0" w:color="auto"/>
                    <w:bottom w:val="none" w:sz="0" w:space="0" w:color="auto"/>
                    <w:right w:val="none" w:sz="0" w:space="0" w:color="auto"/>
                  </w:divBdr>
                  <w:divsChild>
                    <w:div w:id="95292290">
                      <w:marLeft w:val="0"/>
                      <w:marRight w:val="0"/>
                      <w:marTop w:val="0"/>
                      <w:marBottom w:val="0"/>
                      <w:divBdr>
                        <w:top w:val="none" w:sz="0" w:space="0" w:color="auto"/>
                        <w:left w:val="none" w:sz="0" w:space="0" w:color="auto"/>
                        <w:bottom w:val="none" w:sz="0" w:space="0" w:color="auto"/>
                        <w:right w:val="none" w:sz="0" w:space="0" w:color="auto"/>
                      </w:divBdr>
                    </w:div>
                  </w:divsChild>
                </w:div>
                <w:div w:id="129249417">
                  <w:marLeft w:val="0"/>
                  <w:marRight w:val="0"/>
                  <w:marTop w:val="0"/>
                  <w:marBottom w:val="0"/>
                  <w:divBdr>
                    <w:top w:val="none" w:sz="0" w:space="0" w:color="auto"/>
                    <w:left w:val="none" w:sz="0" w:space="0" w:color="auto"/>
                    <w:bottom w:val="none" w:sz="0" w:space="0" w:color="auto"/>
                    <w:right w:val="none" w:sz="0" w:space="0" w:color="auto"/>
                  </w:divBdr>
                  <w:divsChild>
                    <w:div w:id="91754354">
                      <w:marLeft w:val="0"/>
                      <w:marRight w:val="0"/>
                      <w:marTop w:val="0"/>
                      <w:marBottom w:val="0"/>
                      <w:divBdr>
                        <w:top w:val="none" w:sz="0" w:space="0" w:color="auto"/>
                        <w:left w:val="none" w:sz="0" w:space="0" w:color="auto"/>
                        <w:bottom w:val="none" w:sz="0" w:space="0" w:color="auto"/>
                        <w:right w:val="none" w:sz="0" w:space="0" w:color="auto"/>
                      </w:divBdr>
                    </w:div>
                  </w:divsChild>
                </w:div>
                <w:div w:id="129984320">
                  <w:marLeft w:val="0"/>
                  <w:marRight w:val="0"/>
                  <w:marTop w:val="0"/>
                  <w:marBottom w:val="0"/>
                  <w:divBdr>
                    <w:top w:val="none" w:sz="0" w:space="0" w:color="auto"/>
                    <w:left w:val="none" w:sz="0" w:space="0" w:color="auto"/>
                    <w:bottom w:val="none" w:sz="0" w:space="0" w:color="auto"/>
                    <w:right w:val="none" w:sz="0" w:space="0" w:color="auto"/>
                  </w:divBdr>
                  <w:divsChild>
                    <w:div w:id="326252445">
                      <w:marLeft w:val="0"/>
                      <w:marRight w:val="0"/>
                      <w:marTop w:val="0"/>
                      <w:marBottom w:val="0"/>
                      <w:divBdr>
                        <w:top w:val="none" w:sz="0" w:space="0" w:color="auto"/>
                        <w:left w:val="none" w:sz="0" w:space="0" w:color="auto"/>
                        <w:bottom w:val="none" w:sz="0" w:space="0" w:color="auto"/>
                        <w:right w:val="none" w:sz="0" w:space="0" w:color="auto"/>
                      </w:divBdr>
                    </w:div>
                  </w:divsChild>
                </w:div>
                <w:div w:id="186332830">
                  <w:marLeft w:val="0"/>
                  <w:marRight w:val="0"/>
                  <w:marTop w:val="0"/>
                  <w:marBottom w:val="0"/>
                  <w:divBdr>
                    <w:top w:val="none" w:sz="0" w:space="0" w:color="auto"/>
                    <w:left w:val="none" w:sz="0" w:space="0" w:color="auto"/>
                    <w:bottom w:val="none" w:sz="0" w:space="0" w:color="auto"/>
                    <w:right w:val="none" w:sz="0" w:space="0" w:color="auto"/>
                  </w:divBdr>
                  <w:divsChild>
                    <w:div w:id="185750427">
                      <w:marLeft w:val="0"/>
                      <w:marRight w:val="0"/>
                      <w:marTop w:val="0"/>
                      <w:marBottom w:val="0"/>
                      <w:divBdr>
                        <w:top w:val="none" w:sz="0" w:space="0" w:color="auto"/>
                        <w:left w:val="none" w:sz="0" w:space="0" w:color="auto"/>
                        <w:bottom w:val="none" w:sz="0" w:space="0" w:color="auto"/>
                        <w:right w:val="none" w:sz="0" w:space="0" w:color="auto"/>
                      </w:divBdr>
                    </w:div>
                  </w:divsChild>
                </w:div>
                <w:div w:id="187645501">
                  <w:marLeft w:val="0"/>
                  <w:marRight w:val="0"/>
                  <w:marTop w:val="0"/>
                  <w:marBottom w:val="0"/>
                  <w:divBdr>
                    <w:top w:val="none" w:sz="0" w:space="0" w:color="auto"/>
                    <w:left w:val="none" w:sz="0" w:space="0" w:color="auto"/>
                    <w:bottom w:val="none" w:sz="0" w:space="0" w:color="auto"/>
                    <w:right w:val="none" w:sz="0" w:space="0" w:color="auto"/>
                  </w:divBdr>
                  <w:divsChild>
                    <w:div w:id="1224952394">
                      <w:marLeft w:val="0"/>
                      <w:marRight w:val="0"/>
                      <w:marTop w:val="0"/>
                      <w:marBottom w:val="0"/>
                      <w:divBdr>
                        <w:top w:val="none" w:sz="0" w:space="0" w:color="auto"/>
                        <w:left w:val="none" w:sz="0" w:space="0" w:color="auto"/>
                        <w:bottom w:val="none" w:sz="0" w:space="0" w:color="auto"/>
                        <w:right w:val="none" w:sz="0" w:space="0" w:color="auto"/>
                      </w:divBdr>
                    </w:div>
                  </w:divsChild>
                </w:div>
                <w:div w:id="208108815">
                  <w:marLeft w:val="0"/>
                  <w:marRight w:val="0"/>
                  <w:marTop w:val="0"/>
                  <w:marBottom w:val="0"/>
                  <w:divBdr>
                    <w:top w:val="none" w:sz="0" w:space="0" w:color="auto"/>
                    <w:left w:val="none" w:sz="0" w:space="0" w:color="auto"/>
                    <w:bottom w:val="none" w:sz="0" w:space="0" w:color="auto"/>
                    <w:right w:val="none" w:sz="0" w:space="0" w:color="auto"/>
                  </w:divBdr>
                  <w:divsChild>
                    <w:div w:id="1292906173">
                      <w:marLeft w:val="0"/>
                      <w:marRight w:val="0"/>
                      <w:marTop w:val="0"/>
                      <w:marBottom w:val="0"/>
                      <w:divBdr>
                        <w:top w:val="none" w:sz="0" w:space="0" w:color="auto"/>
                        <w:left w:val="none" w:sz="0" w:space="0" w:color="auto"/>
                        <w:bottom w:val="none" w:sz="0" w:space="0" w:color="auto"/>
                        <w:right w:val="none" w:sz="0" w:space="0" w:color="auto"/>
                      </w:divBdr>
                    </w:div>
                  </w:divsChild>
                </w:div>
                <w:div w:id="227880374">
                  <w:marLeft w:val="0"/>
                  <w:marRight w:val="0"/>
                  <w:marTop w:val="0"/>
                  <w:marBottom w:val="0"/>
                  <w:divBdr>
                    <w:top w:val="none" w:sz="0" w:space="0" w:color="auto"/>
                    <w:left w:val="none" w:sz="0" w:space="0" w:color="auto"/>
                    <w:bottom w:val="none" w:sz="0" w:space="0" w:color="auto"/>
                    <w:right w:val="none" w:sz="0" w:space="0" w:color="auto"/>
                  </w:divBdr>
                  <w:divsChild>
                    <w:div w:id="2098137823">
                      <w:marLeft w:val="0"/>
                      <w:marRight w:val="0"/>
                      <w:marTop w:val="0"/>
                      <w:marBottom w:val="0"/>
                      <w:divBdr>
                        <w:top w:val="none" w:sz="0" w:space="0" w:color="auto"/>
                        <w:left w:val="none" w:sz="0" w:space="0" w:color="auto"/>
                        <w:bottom w:val="none" w:sz="0" w:space="0" w:color="auto"/>
                        <w:right w:val="none" w:sz="0" w:space="0" w:color="auto"/>
                      </w:divBdr>
                    </w:div>
                  </w:divsChild>
                </w:div>
                <w:div w:id="229198886">
                  <w:marLeft w:val="0"/>
                  <w:marRight w:val="0"/>
                  <w:marTop w:val="0"/>
                  <w:marBottom w:val="0"/>
                  <w:divBdr>
                    <w:top w:val="none" w:sz="0" w:space="0" w:color="auto"/>
                    <w:left w:val="none" w:sz="0" w:space="0" w:color="auto"/>
                    <w:bottom w:val="none" w:sz="0" w:space="0" w:color="auto"/>
                    <w:right w:val="none" w:sz="0" w:space="0" w:color="auto"/>
                  </w:divBdr>
                  <w:divsChild>
                    <w:div w:id="1764185865">
                      <w:marLeft w:val="0"/>
                      <w:marRight w:val="0"/>
                      <w:marTop w:val="0"/>
                      <w:marBottom w:val="0"/>
                      <w:divBdr>
                        <w:top w:val="none" w:sz="0" w:space="0" w:color="auto"/>
                        <w:left w:val="none" w:sz="0" w:space="0" w:color="auto"/>
                        <w:bottom w:val="none" w:sz="0" w:space="0" w:color="auto"/>
                        <w:right w:val="none" w:sz="0" w:space="0" w:color="auto"/>
                      </w:divBdr>
                    </w:div>
                  </w:divsChild>
                </w:div>
                <w:div w:id="241452907">
                  <w:marLeft w:val="0"/>
                  <w:marRight w:val="0"/>
                  <w:marTop w:val="0"/>
                  <w:marBottom w:val="0"/>
                  <w:divBdr>
                    <w:top w:val="none" w:sz="0" w:space="0" w:color="auto"/>
                    <w:left w:val="none" w:sz="0" w:space="0" w:color="auto"/>
                    <w:bottom w:val="none" w:sz="0" w:space="0" w:color="auto"/>
                    <w:right w:val="none" w:sz="0" w:space="0" w:color="auto"/>
                  </w:divBdr>
                  <w:divsChild>
                    <w:div w:id="480851618">
                      <w:marLeft w:val="0"/>
                      <w:marRight w:val="0"/>
                      <w:marTop w:val="0"/>
                      <w:marBottom w:val="0"/>
                      <w:divBdr>
                        <w:top w:val="none" w:sz="0" w:space="0" w:color="auto"/>
                        <w:left w:val="none" w:sz="0" w:space="0" w:color="auto"/>
                        <w:bottom w:val="none" w:sz="0" w:space="0" w:color="auto"/>
                        <w:right w:val="none" w:sz="0" w:space="0" w:color="auto"/>
                      </w:divBdr>
                    </w:div>
                  </w:divsChild>
                </w:div>
                <w:div w:id="269826323">
                  <w:marLeft w:val="0"/>
                  <w:marRight w:val="0"/>
                  <w:marTop w:val="0"/>
                  <w:marBottom w:val="0"/>
                  <w:divBdr>
                    <w:top w:val="none" w:sz="0" w:space="0" w:color="auto"/>
                    <w:left w:val="none" w:sz="0" w:space="0" w:color="auto"/>
                    <w:bottom w:val="none" w:sz="0" w:space="0" w:color="auto"/>
                    <w:right w:val="none" w:sz="0" w:space="0" w:color="auto"/>
                  </w:divBdr>
                  <w:divsChild>
                    <w:div w:id="222329605">
                      <w:marLeft w:val="0"/>
                      <w:marRight w:val="0"/>
                      <w:marTop w:val="0"/>
                      <w:marBottom w:val="0"/>
                      <w:divBdr>
                        <w:top w:val="none" w:sz="0" w:space="0" w:color="auto"/>
                        <w:left w:val="none" w:sz="0" w:space="0" w:color="auto"/>
                        <w:bottom w:val="none" w:sz="0" w:space="0" w:color="auto"/>
                        <w:right w:val="none" w:sz="0" w:space="0" w:color="auto"/>
                      </w:divBdr>
                    </w:div>
                  </w:divsChild>
                </w:div>
                <w:div w:id="270944043">
                  <w:marLeft w:val="0"/>
                  <w:marRight w:val="0"/>
                  <w:marTop w:val="0"/>
                  <w:marBottom w:val="0"/>
                  <w:divBdr>
                    <w:top w:val="none" w:sz="0" w:space="0" w:color="auto"/>
                    <w:left w:val="none" w:sz="0" w:space="0" w:color="auto"/>
                    <w:bottom w:val="none" w:sz="0" w:space="0" w:color="auto"/>
                    <w:right w:val="none" w:sz="0" w:space="0" w:color="auto"/>
                  </w:divBdr>
                  <w:divsChild>
                    <w:div w:id="927277055">
                      <w:marLeft w:val="0"/>
                      <w:marRight w:val="0"/>
                      <w:marTop w:val="0"/>
                      <w:marBottom w:val="0"/>
                      <w:divBdr>
                        <w:top w:val="none" w:sz="0" w:space="0" w:color="auto"/>
                        <w:left w:val="none" w:sz="0" w:space="0" w:color="auto"/>
                        <w:bottom w:val="none" w:sz="0" w:space="0" w:color="auto"/>
                        <w:right w:val="none" w:sz="0" w:space="0" w:color="auto"/>
                      </w:divBdr>
                    </w:div>
                  </w:divsChild>
                </w:div>
                <w:div w:id="279803065">
                  <w:marLeft w:val="0"/>
                  <w:marRight w:val="0"/>
                  <w:marTop w:val="0"/>
                  <w:marBottom w:val="0"/>
                  <w:divBdr>
                    <w:top w:val="none" w:sz="0" w:space="0" w:color="auto"/>
                    <w:left w:val="none" w:sz="0" w:space="0" w:color="auto"/>
                    <w:bottom w:val="none" w:sz="0" w:space="0" w:color="auto"/>
                    <w:right w:val="none" w:sz="0" w:space="0" w:color="auto"/>
                  </w:divBdr>
                  <w:divsChild>
                    <w:div w:id="318654706">
                      <w:marLeft w:val="0"/>
                      <w:marRight w:val="0"/>
                      <w:marTop w:val="0"/>
                      <w:marBottom w:val="0"/>
                      <w:divBdr>
                        <w:top w:val="none" w:sz="0" w:space="0" w:color="auto"/>
                        <w:left w:val="none" w:sz="0" w:space="0" w:color="auto"/>
                        <w:bottom w:val="none" w:sz="0" w:space="0" w:color="auto"/>
                        <w:right w:val="none" w:sz="0" w:space="0" w:color="auto"/>
                      </w:divBdr>
                    </w:div>
                  </w:divsChild>
                </w:div>
                <w:div w:id="286816126">
                  <w:marLeft w:val="0"/>
                  <w:marRight w:val="0"/>
                  <w:marTop w:val="0"/>
                  <w:marBottom w:val="0"/>
                  <w:divBdr>
                    <w:top w:val="none" w:sz="0" w:space="0" w:color="auto"/>
                    <w:left w:val="none" w:sz="0" w:space="0" w:color="auto"/>
                    <w:bottom w:val="none" w:sz="0" w:space="0" w:color="auto"/>
                    <w:right w:val="none" w:sz="0" w:space="0" w:color="auto"/>
                  </w:divBdr>
                  <w:divsChild>
                    <w:div w:id="808984282">
                      <w:marLeft w:val="0"/>
                      <w:marRight w:val="0"/>
                      <w:marTop w:val="0"/>
                      <w:marBottom w:val="0"/>
                      <w:divBdr>
                        <w:top w:val="none" w:sz="0" w:space="0" w:color="auto"/>
                        <w:left w:val="none" w:sz="0" w:space="0" w:color="auto"/>
                        <w:bottom w:val="none" w:sz="0" w:space="0" w:color="auto"/>
                        <w:right w:val="none" w:sz="0" w:space="0" w:color="auto"/>
                      </w:divBdr>
                    </w:div>
                  </w:divsChild>
                </w:div>
                <w:div w:id="293756254">
                  <w:marLeft w:val="0"/>
                  <w:marRight w:val="0"/>
                  <w:marTop w:val="0"/>
                  <w:marBottom w:val="0"/>
                  <w:divBdr>
                    <w:top w:val="none" w:sz="0" w:space="0" w:color="auto"/>
                    <w:left w:val="none" w:sz="0" w:space="0" w:color="auto"/>
                    <w:bottom w:val="none" w:sz="0" w:space="0" w:color="auto"/>
                    <w:right w:val="none" w:sz="0" w:space="0" w:color="auto"/>
                  </w:divBdr>
                  <w:divsChild>
                    <w:div w:id="2027755755">
                      <w:marLeft w:val="0"/>
                      <w:marRight w:val="0"/>
                      <w:marTop w:val="0"/>
                      <w:marBottom w:val="0"/>
                      <w:divBdr>
                        <w:top w:val="none" w:sz="0" w:space="0" w:color="auto"/>
                        <w:left w:val="none" w:sz="0" w:space="0" w:color="auto"/>
                        <w:bottom w:val="none" w:sz="0" w:space="0" w:color="auto"/>
                        <w:right w:val="none" w:sz="0" w:space="0" w:color="auto"/>
                      </w:divBdr>
                    </w:div>
                  </w:divsChild>
                </w:div>
                <w:div w:id="325518171">
                  <w:marLeft w:val="0"/>
                  <w:marRight w:val="0"/>
                  <w:marTop w:val="0"/>
                  <w:marBottom w:val="0"/>
                  <w:divBdr>
                    <w:top w:val="none" w:sz="0" w:space="0" w:color="auto"/>
                    <w:left w:val="none" w:sz="0" w:space="0" w:color="auto"/>
                    <w:bottom w:val="none" w:sz="0" w:space="0" w:color="auto"/>
                    <w:right w:val="none" w:sz="0" w:space="0" w:color="auto"/>
                  </w:divBdr>
                  <w:divsChild>
                    <w:div w:id="134761644">
                      <w:marLeft w:val="0"/>
                      <w:marRight w:val="0"/>
                      <w:marTop w:val="0"/>
                      <w:marBottom w:val="0"/>
                      <w:divBdr>
                        <w:top w:val="none" w:sz="0" w:space="0" w:color="auto"/>
                        <w:left w:val="none" w:sz="0" w:space="0" w:color="auto"/>
                        <w:bottom w:val="none" w:sz="0" w:space="0" w:color="auto"/>
                        <w:right w:val="none" w:sz="0" w:space="0" w:color="auto"/>
                      </w:divBdr>
                    </w:div>
                  </w:divsChild>
                </w:div>
                <w:div w:id="334380273">
                  <w:marLeft w:val="0"/>
                  <w:marRight w:val="0"/>
                  <w:marTop w:val="0"/>
                  <w:marBottom w:val="0"/>
                  <w:divBdr>
                    <w:top w:val="none" w:sz="0" w:space="0" w:color="auto"/>
                    <w:left w:val="none" w:sz="0" w:space="0" w:color="auto"/>
                    <w:bottom w:val="none" w:sz="0" w:space="0" w:color="auto"/>
                    <w:right w:val="none" w:sz="0" w:space="0" w:color="auto"/>
                  </w:divBdr>
                  <w:divsChild>
                    <w:div w:id="1719740980">
                      <w:marLeft w:val="0"/>
                      <w:marRight w:val="0"/>
                      <w:marTop w:val="0"/>
                      <w:marBottom w:val="0"/>
                      <w:divBdr>
                        <w:top w:val="none" w:sz="0" w:space="0" w:color="auto"/>
                        <w:left w:val="none" w:sz="0" w:space="0" w:color="auto"/>
                        <w:bottom w:val="none" w:sz="0" w:space="0" w:color="auto"/>
                        <w:right w:val="none" w:sz="0" w:space="0" w:color="auto"/>
                      </w:divBdr>
                    </w:div>
                  </w:divsChild>
                </w:div>
                <w:div w:id="338654138">
                  <w:marLeft w:val="0"/>
                  <w:marRight w:val="0"/>
                  <w:marTop w:val="0"/>
                  <w:marBottom w:val="0"/>
                  <w:divBdr>
                    <w:top w:val="none" w:sz="0" w:space="0" w:color="auto"/>
                    <w:left w:val="none" w:sz="0" w:space="0" w:color="auto"/>
                    <w:bottom w:val="none" w:sz="0" w:space="0" w:color="auto"/>
                    <w:right w:val="none" w:sz="0" w:space="0" w:color="auto"/>
                  </w:divBdr>
                  <w:divsChild>
                    <w:div w:id="1797874328">
                      <w:marLeft w:val="0"/>
                      <w:marRight w:val="0"/>
                      <w:marTop w:val="0"/>
                      <w:marBottom w:val="0"/>
                      <w:divBdr>
                        <w:top w:val="none" w:sz="0" w:space="0" w:color="auto"/>
                        <w:left w:val="none" w:sz="0" w:space="0" w:color="auto"/>
                        <w:bottom w:val="none" w:sz="0" w:space="0" w:color="auto"/>
                        <w:right w:val="none" w:sz="0" w:space="0" w:color="auto"/>
                      </w:divBdr>
                    </w:div>
                  </w:divsChild>
                </w:div>
                <w:div w:id="340356646">
                  <w:marLeft w:val="0"/>
                  <w:marRight w:val="0"/>
                  <w:marTop w:val="0"/>
                  <w:marBottom w:val="0"/>
                  <w:divBdr>
                    <w:top w:val="none" w:sz="0" w:space="0" w:color="auto"/>
                    <w:left w:val="none" w:sz="0" w:space="0" w:color="auto"/>
                    <w:bottom w:val="none" w:sz="0" w:space="0" w:color="auto"/>
                    <w:right w:val="none" w:sz="0" w:space="0" w:color="auto"/>
                  </w:divBdr>
                  <w:divsChild>
                    <w:div w:id="1795562111">
                      <w:marLeft w:val="0"/>
                      <w:marRight w:val="0"/>
                      <w:marTop w:val="0"/>
                      <w:marBottom w:val="0"/>
                      <w:divBdr>
                        <w:top w:val="none" w:sz="0" w:space="0" w:color="auto"/>
                        <w:left w:val="none" w:sz="0" w:space="0" w:color="auto"/>
                        <w:bottom w:val="none" w:sz="0" w:space="0" w:color="auto"/>
                        <w:right w:val="none" w:sz="0" w:space="0" w:color="auto"/>
                      </w:divBdr>
                    </w:div>
                  </w:divsChild>
                </w:div>
                <w:div w:id="375816073">
                  <w:marLeft w:val="0"/>
                  <w:marRight w:val="0"/>
                  <w:marTop w:val="0"/>
                  <w:marBottom w:val="0"/>
                  <w:divBdr>
                    <w:top w:val="none" w:sz="0" w:space="0" w:color="auto"/>
                    <w:left w:val="none" w:sz="0" w:space="0" w:color="auto"/>
                    <w:bottom w:val="none" w:sz="0" w:space="0" w:color="auto"/>
                    <w:right w:val="none" w:sz="0" w:space="0" w:color="auto"/>
                  </w:divBdr>
                  <w:divsChild>
                    <w:div w:id="1399936120">
                      <w:marLeft w:val="0"/>
                      <w:marRight w:val="0"/>
                      <w:marTop w:val="0"/>
                      <w:marBottom w:val="0"/>
                      <w:divBdr>
                        <w:top w:val="none" w:sz="0" w:space="0" w:color="auto"/>
                        <w:left w:val="none" w:sz="0" w:space="0" w:color="auto"/>
                        <w:bottom w:val="none" w:sz="0" w:space="0" w:color="auto"/>
                        <w:right w:val="none" w:sz="0" w:space="0" w:color="auto"/>
                      </w:divBdr>
                    </w:div>
                  </w:divsChild>
                </w:div>
                <w:div w:id="391469124">
                  <w:marLeft w:val="0"/>
                  <w:marRight w:val="0"/>
                  <w:marTop w:val="0"/>
                  <w:marBottom w:val="0"/>
                  <w:divBdr>
                    <w:top w:val="none" w:sz="0" w:space="0" w:color="auto"/>
                    <w:left w:val="none" w:sz="0" w:space="0" w:color="auto"/>
                    <w:bottom w:val="none" w:sz="0" w:space="0" w:color="auto"/>
                    <w:right w:val="none" w:sz="0" w:space="0" w:color="auto"/>
                  </w:divBdr>
                  <w:divsChild>
                    <w:div w:id="2028864810">
                      <w:marLeft w:val="0"/>
                      <w:marRight w:val="0"/>
                      <w:marTop w:val="0"/>
                      <w:marBottom w:val="0"/>
                      <w:divBdr>
                        <w:top w:val="none" w:sz="0" w:space="0" w:color="auto"/>
                        <w:left w:val="none" w:sz="0" w:space="0" w:color="auto"/>
                        <w:bottom w:val="none" w:sz="0" w:space="0" w:color="auto"/>
                        <w:right w:val="none" w:sz="0" w:space="0" w:color="auto"/>
                      </w:divBdr>
                    </w:div>
                  </w:divsChild>
                </w:div>
                <w:div w:id="412120161">
                  <w:marLeft w:val="0"/>
                  <w:marRight w:val="0"/>
                  <w:marTop w:val="0"/>
                  <w:marBottom w:val="0"/>
                  <w:divBdr>
                    <w:top w:val="none" w:sz="0" w:space="0" w:color="auto"/>
                    <w:left w:val="none" w:sz="0" w:space="0" w:color="auto"/>
                    <w:bottom w:val="none" w:sz="0" w:space="0" w:color="auto"/>
                    <w:right w:val="none" w:sz="0" w:space="0" w:color="auto"/>
                  </w:divBdr>
                  <w:divsChild>
                    <w:div w:id="1677269274">
                      <w:marLeft w:val="0"/>
                      <w:marRight w:val="0"/>
                      <w:marTop w:val="0"/>
                      <w:marBottom w:val="0"/>
                      <w:divBdr>
                        <w:top w:val="none" w:sz="0" w:space="0" w:color="auto"/>
                        <w:left w:val="none" w:sz="0" w:space="0" w:color="auto"/>
                        <w:bottom w:val="none" w:sz="0" w:space="0" w:color="auto"/>
                        <w:right w:val="none" w:sz="0" w:space="0" w:color="auto"/>
                      </w:divBdr>
                    </w:div>
                  </w:divsChild>
                </w:div>
                <w:div w:id="418138649">
                  <w:marLeft w:val="0"/>
                  <w:marRight w:val="0"/>
                  <w:marTop w:val="0"/>
                  <w:marBottom w:val="0"/>
                  <w:divBdr>
                    <w:top w:val="none" w:sz="0" w:space="0" w:color="auto"/>
                    <w:left w:val="none" w:sz="0" w:space="0" w:color="auto"/>
                    <w:bottom w:val="none" w:sz="0" w:space="0" w:color="auto"/>
                    <w:right w:val="none" w:sz="0" w:space="0" w:color="auto"/>
                  </w:divBdr>
                  <w:divsChild>
                    <w:div w:id="1914002426">
                      <w:marLeft w:val="0"/>
                      <w:marRight w:val="0"/>
                      <w:marTop w:val="0"/>
                      <w:marBottom w:val="0"/>
                      <w:divBdr>
                        <w:top w:val="none" w:sz="0" w:space="0" w:color="auto"/>
                        <w:left w:val="none" w:sz="0" w:space="0" w:color="auto"/>
                        <w:bottom w:val="none" w:sz="0" w:space="0" w:color="auto"/>
                        <w:right w:val="none" w:sz="0" w:space="0" w:color="auto"/>
                      </w:divBdr>
                    </w:div>
                  </w:divsChild>
                </w:div>
                <w:div w:id="441387171">
                  <w:marLeft w:val="0"/>
                  <w:marRight w:val="0"/>
                  <w:marTop w:val="0"/>
                  <w:marBottom w:val="0"/>
                  <w:divBdr>
                    <w:top w:val="none" w:sz="0" w:space="0" w:color="auto"/>
                    <w:left w:val="none" w:sz="0" w:space="0" w:color="auto"/>
                    <w:bottom w:val="none" w:sz="0" w:space="0" w:color="auto"/>
                    <w:right w:val="none" w:sz="0" w:space="0" w:color="auto"/>
                  </w:divBdr>
                  <w:divsChild>
                    <w:div w:id="775367216">
                      <w:marLeft w:val="0"/>
                      <w:marRight w:val="0"/>
                      <w:marTop w:val="0"/>
                      <w:marBottom w:val="0"/>
                      <w:divBdr>
                        <w:top w:val="none" w:sz="0" w:space="0" w:color="auto"/>
                        <w:left w:val="none" w:sz="0" w:space="0" w:color="auto"/>
                        <w:bottom w:val="none" w:sz="0" w:space="0" w:color="auto"/>
                        <w:right w:val="none" w:sz="0" w:space="0" w:color="auto"/>
                      </w:divBdr>
                    </w:div>
                  </w:divsChild>
                </w:div>
                <w:div w:id="445663330">
                  <w:marLeft w:val="0"/>
                  <w:marRight w:val="0"/>
                  <w:marTop w:val="0"/>
                  <w:marBottom w:val="0"/>
                  <w:divBdr>
                    <w:top w:val="none" w:sz="0" w:space="0" w:color="auto"/>
                    <w:left w:val="none" w:sz="0" w:space="0" w:color="auto"/>
                    <w:bottom w:val="none" w:sz="0" w:space="0" w:color="auto"/>
                    <w:right w:val="none" w:sz="0" w:space="0" w:color="auto"/>
                  </w:divBdr>
                  <w:divsChild>
                    <w:div w:id="895702163">
                      <w:marLeft w:val="0"/>
                      <w:marRight w:val="0"/>
                      <w:marTop w:val="0"/>
                      <w:marBottom w:val="0"/>
                      <w:divBdr>
                        <w:top w:val="none" w:sz="0" w:space="0" w:color="auto"/>
                        <w:left w:val="none" w:sz="0" w:space="0" w:color="auto"/>
                        <w:bottom w:val="none" w:sz="0" w:space="0" w:color="auto"/>
                        <w:right w:val="none" w:sz="0" w:space="0" w:color="auto"/>
                      </w:divBdr>
                    </w:div>
                  </w:divsChild>
                </w:div>
                <w:div w:id="448739369">
                  <w:marLeft w:val="0"/>
                  <w:marRight w:val="0"/>
                  <w:marTop w:val="0"/>
                  <w:marBottom w:val="0"/>
                  <w:divBdr>
                    <w:top w:val="none" w:sz="0" w:space="0" w:color="auto"/>
                    <w:left w:val="none" w:sz="0" w:space="0" w:color="auto"/>
                    <w:bottom w:val="none" w:sz="0" w:space="0" w:color="auto"/>
                    <w:right w:val="none" w:sz="0" w:space="0" w:color="auto"/>
                  </w:divBdr>
                  <w:divsChild>
                    <w:div w:id="704789822">
                      <w:marLeft w:val="0"/>
                      <w:marRight w:val="0"/>
                      <w:marTop w:val="0"/>
                      <w:marBottom w:val="0"/>
                      <w:divBdr>
                        <w:top w:val="none" w:sz="0" w:space="0" w:color="auto"/>
                        <w:left w:val="none" w:sz="0" w:space="0" w:color="auto"/>
                        <w:bottom w:val="none" w:sz="0" w:space="0" w:color="auto"/>
                        <w:right w:val="none" w:sz="0" w:space="0" w:color="auto"/>
                      </w:divBdr>
                    </w:div>
                  </w:divsChild>
                </w:div>
                <w:div w:id="531772789">
                  <w:marLeft w:val="0"/>
                  <w:marRight w:val="0"/>
                  <w:marTop w:val="0"/>
                  <w:marBottom w:val="0"/>
                  <w:divBdr>
                    <w:top w:val="none" w:sz="0" w:space="0" w:color="auto"/>
                    <w:left w:val="none" w:sz="0" w:space="0" w:color="auto"/>
                    <w:bottom w:val="none" w:sz="0" w:space="0" w:color="auto"/>
                    <w:right w:val="none" w:sz="0" w:space="0" w:color="auto"/>
                  </w:divBdr>
                  <w:divsChild>
                    <w:div w:id="1198079034">
                      <w:marLeft w:val="0"/>
                      <w:marRight w:val="0"/>
                      <w:marTop w:val="0"/>
                      <w:marBottom w:val="0"/>
                      <w:divBdr>
                        <w:top w:val="none" w:sz="0" w:space="0" w:color="auto"/>
                        <w:left w:val="none" w:sz="0" w:space="0" w:color="auto"/>
                        <w:bottom w:val="none" w:sz="0" w:space="0" w:color="auto"/>
                        <w:right w:val="none" w:sz="0" w:space="0" w:color="auto"/>
                      </w:divBdr>
                    </w:div>
                  </w:divsChild>
                </w:div>
                <w:div w:id="541556312">
                  <w:marLeft w:val="0"/>
                  <w:marRight w:val="0"/>
                  <w:marTop w:val="0"/>
                  <w:marBottom w:val="0"/>
                  <w:divBdr>
                    <w:top w:val="none" w:sz="0" w:space="0" w:color="auto"/>
                    <w:left w:val="none" w:sz="0" w:space="0" w:color="auto"/>
                    <w:bottom w:val="none" w:sz="0" w:space="0" w:color="auto"/>
                    <w:right w:val="none" w:sz="0" w:space="0" w:color="auto"/>
                  </w:divBdr>
                  <w:divsChild>
                    <w:div w:id="2114128644">
                      <w:marLeft w:val="0"/>
                      <w:marRight w:val="0"/>
                      <w:marTop w:val="0"/>
                      <w:marBottom w:val="0"/>
                      <w:divBdr>
                        <w:top w:val="none" w:sz="0" w:space="0" w:color="auto"/>
                        <w:left w:val="none" w:sz="0" w:space="0" w:color="auto"/>
                        <w:bottom w:val="none" w:sz="0" w:space="0" w:color="auto"/>
                        <w:right w:val="none" w:sz="0" w:space="0" w:color="auto"/>
                      </w:divBdr>
                    </w:div>
                  </w:divsChild>
                </w:div>
                <w:div w:id="574780288">
                  <w:marLeft w:val="0"/>
                  <w:marRight w:val="0"/>
                  <w:marTop w:val="0"/>
                  <w:marBottom w:val="0"/>
                  <w:divBdr>
                    <w:top w:val="none" w:sz="0" w:space="0" w:color="auto"/>
                    <w:left w:val="none" w:sz="0" w:space="0" w:color="auto"/>
                    <w:bottom w:val="none" w:sz="0" w:space="0" w:color="auto"/>
                    <w:right w:val="none" w:sz="0" w:space="0" w:color="auto"/>
                  </w:divBdr>
                  <w:divsChild>
                    <w:div w:id="1518080859">
                      <w:marLeft w:val="0"/>
                      <w:marRight w:val="0"/>
                      <w:marTop w:val="0"/>
                      <w:marBottom w:val="0"/>
                      <w:divBdr>
                        <w:top w:val="none" w:sz="0" w:space="0" w:color="auto"/>
                        <w:left w:val="none" w:sz="0" w:space="0" w:color="auto"/>
                        <w:bottom w:val="none" w:sz="0" w:space="0" w:color="auto"/>
                        <w:right w:val="none" w:sz="0" w:space="0" w:color="auto"/>
                      </w:divBdr>
                    </w:div>
                  </w:divsChild>
                </w:div>
                <w:div w:id="577322811">
                  <w:marLeft w:val="0"/>
                  <w:marRight w:val="0"/>
                  <w:marTop w:val="0"/>
                  <w:marBottom w:val="0"/>
                  <w:divBdr>
                    <w:top w:val="none" w:sz="0" w:space="0" w:color="auto"/>
                    <w:left w:val="none" w:sz="0" w:space="0" w:color="auto"/>
                    <w:bottom w:val="none" w:sz="0" w:space="0" w:color="auto"/>
                    <w:right w:val="none" w:sz="0" w:space="0" w:color="auto"/>
                  </w:divBdr>
                  <w:divsChild>
                    <w:div w:id="930238757">
                      <w:marLeft w:val="0"/>
                      <w:marRight w:val="0"/>
                      <w:marTop w:val="0"/>
                      <w:marBottom w:val="0"/>
                      <w:divBdr>
                        <w:top w:val="none" w:sz="0" w:space="0" w:color="auto"/>
                        <w:left w:val="none" w:sz="0" w:space="0" w:color="auto"/>
                        <w:bottom w:val="none" w:sz="0" w:space="0" w:color="auto"/>
                        <w:right w:val="none" w:sz="0" w:space="0" w:color="auto"/>
                      </w:divBdr>
                    </w:div>
                  </w:divsChild>
                </w:div>
                <w:div w:id="627126232">
                  <w:marLeft w:val="0"/>
                  <w:marRight w:val="0"/>
                  <w:marTop w:val="0"/>
                  <w:marBottom w:val="0"/>
                  <w:divBdr>
                    <w:top w:val="none" w:sz="0" w:space="0" w:color="auto"/>
                    <w:left w:val="none" w:sz="0" w:space="0" w:color="auto"/>
                    <w:bottom w:val="none" w:sz="0" w:space="0" w:color="auto"/>
                    <w:right w:val="none" w:sz="0" w:space="0" w:color="auto"/>
                  </w:divBdr>
                  <w:divsChild>
                    <w:div w:id="1063332391">
                      <w:marLeft w:val="0"/>
                      <w:marRight w:val="0"/>
                      <w:marTop w:val="0"/>
                      <w:marBottom w:val="0"/>
                      <w:divBdr>
                        <w:top w:val="none" w:sz="0" w:space="0" w:color="auto"/>
                        <w:left w:val="none" w:sz="0" w:space="0" w:color="auto"/>
                        <w:bottom w:val="none" w:sz="0" w:space="0" w:color="auto"/>
                        <w:right w:val="none" w:sz="0" w:space="0" w:color="auto"/>
                      </w:divBdr>
                    </w:div>
                  </w:divsChild>
                </w:div>
                <w:div w:id="629480879">
                  <w:marLeft w:val="0"/>
                  <w:marRight w:val="0"/>
                  <w:marTop w:val="0"/>
                  <w:marBottom w:val="0"/>
                  <w:divBdr>
                    <w:top w:val="none" w:sz="0" w:space="0" w:color="auto"/>
                    <w:left w:val="none" w:sz="0" w:space="0" w:color="auto"/>
                    <w:bottom w:val="none" w:sz="0" w:space="0" w:color="auto"/>
                    <w:right w:val="none" w:sz="0" w:space="0" w:color="auto"/>
                  </w:divBdr>
                  <w:divsChild>
                    <w:div w:id="542441970">
                      <w:marLeft w:val="0"/>
                      <w:marRight w:val="0"/>
                      <w:marTop w:val="0"/>
                      <w:marBottom w:val="0"/>
                      <w:divBdr>
                        <w:top w:val="none" w:sz="0" w:space="0" w:color="auto"/>
                        <w:left w:val="none" w:sz="0" w:space="0" w:color="auto"/>
                        <w:bottom w:val="none" w:sz="0" w:space="0" w:color="auto"/>
                        <w:right w:val="none" w:sz="0" w:space="0" w:color="auto"/>
                      </w:divBdr>
                    </w:div>
                  </w:divsChild>
                </w:div>
                <w:div w:id="630792606">
                  <w:marLeft w:val="0"/>
                  <w:marRight w:val="0"/>
                  <w:marTop w:val="0"/>
                  <w:marBottom w:val="0"/>
                  <w:divBdr>
                    <w:top w:val="none" w:sz="0" w:space="0" w:color="auto"/>
                    <w:left w:val="none" w:sz="0" w:space="0" w:color="auto"/>
                    <w:bottom w:val="none" w:sz="0" w:space="0" w:color="auto"/>
                    <w:right w:val="none" w:sz="0" w:space="0" w:color="auto"/>
                  </w:divBdr>
                  <w:divsChild>
                    <w:div w:id="1790929758">
                      <w:marLeft w:val="0"/>
                      <w:marRight w:val="0"/>
                      <w:marTop w:val="0"/>
                      <w:marBottom w:val="0"/>
                      <w:divBdr>
                        <w:top w:val="none" w:sz="0" w:space="0" w:color="auto"/>
                        <w:left w:val="none" w:sz="0" w:space="0" w:color="auto"/>
                        <w:bottom w:val="none" w:sz="0" w:space="0" w:color="auto"/>
                        <w:right w:val="none" w:sz="0" w:space="0" w:color="auto"/>
                      </w:divBdr>
                    </w:div>
                  </w:divsChild>
                </w:div>
                <w:div w:id="631445078">
                  <w:marLeft w:val="0"/>
                  <w:marRight w:val="0"/>
                  <w:marTop w:val="0"/>
                  <w:marBottom w:val="0"/>
                  <w:divBdr>
                    <w:top w:val="none" w:sz="0" w:space="0" w:color="auto"/>
                    <w:left w:val="none" w:sz="0" w:space="0" w:color="auto"/>
                    <w:bottom w:val="none" w:sz="0" w:space="0" w:color="auto"/>
                    <w:right w:val="none" w:sz="0" w:space="0" w:color="auto"/>
                  </w:divBdr>
                  <w:divsChild>
                    <w:div w:id="632298269">
                      <w:marLeft w:val="0"/>
                      <w:marRight w:val="0"/>
                      <w:marTop w:val="0"/>
                      <w:marBottom w:val="0"/>
                      <w:divBdr>
                        <w:top w:val="none" w:sz="0" w:space="0" w:color="auto"/>
                        <w:left w:val="none" w:sz="0" w:space="0" w:color="auto"/>
                        <w:bottom w:val="none" w:sz="0" w:space="0" w:color="auto"/>
                        <w:right w:val="none" w:sz="0" w:space="0" w:color="auto"/>
                      </w:divBdr>
                    </w:div>
                  </w:divsChild>
                </w:div>
                <w:div w:id="675887473">
                  <w:marLeft w:val="0"/>
                  <w:marRight w:val="0"/>
                  <w:marTop w:val="0"/>
                  <w:marBottom w:val="0"/>
                  <w:divBdr>
                    <w:top w:val="none" w:sz="0" w:space="0" w:color="auto"/>
                    <w:left w:val="none" w:sz="0" w:space="0" w:color="auto"/>
                    <w:bottom w:val="none" w:sz="0" w:space="0" w:color="auto"/>
                    <w:right w:val="none" w:sz="0" w:space="0" w:color="auto"/>
                  </w:divBdr>
                  <w:divsChild>
                    <w:div w:id="1619028073">
                      <w:marLeft w:val="0"/>
                      <w:marRight w:val="0"/>
                      <w:marTop w:val="0"/>
                      <w:marBottom w:val="0"/>
                      <w:divBdr>
                        <w:top w:val="none" w:sz="0" w:space="0" w:color="auto"/>
                        <w:left w:val="none" w:sz="0" w:space="0" w:color="auto"/>
                        <w:bottom w:val="none" w:sz="0" w:space="0" w:color="auto"/>
                        <w:right w:val="none" w:sz="0" w:space="0" w:color="auto"/>
                      </w:divBdr>
                    </w:div>
                  </w:divsChild>
                </w:div>
                <w:div w:id="684790690">
                  <w:marLeft w:val="0"/>
                  <w:marRight w:val="0"/>
                  <w:marTop w:val="0"/>
                  <w:marBottom w:val="0"/>
                  <w:divBdr>
                    <w:top w:val="none" w:sz="0" w:space="0" w:color="auto"/>
                    <w:left w:val="none" w:sz="0" w:space="0" w:color="auto"/>
                    <w:bottom w:val="none" w:sz="0" w:space="0" w:color="auto"/>
                    <w:right w:val="none" w:sz="0" w:space="0" w:color="auto"/>
                  </w:divBdr>
                  <w:divsChild>
                    <w:div w:id="1798185494">
                      <w:marLeft w:val="0"/>
                      <w:marRight w:val="0"/>
                      <w:marTop w:val="0"/>
                      <w:marBottom w:val="0"/>
                      <w:divBdr>
                        <w:top w:val="none" w:sz="0" w:space="0" w:color="auto"/>
                        <w:left w:val="none" w:sz="0" w:space="0" w:color="auto"/>
                        <w:bottom w:val="none" w:sz="0" w:space="0" w:color="auto"/>
                        <w:right w:val="none" w:sz="0" w:space="0" w:color="auto"/>
                      </w:divBdr>
                    </w:div>
                  </w:divsChild>
                </w:div>
                <w:div w:id="710034851">
                  <w:marLeft w:val="0"/>
                  <w:marRight w:val="0"/>
                  <w:marTop w:val="0"/>
                  <w:marBottom w:val="0"/>
                  <w:divBdr>
                    <w:top w:val="none" w:sz="0" w:space="0" w:color="auto"/>
                    <w:left w:val="none" w:sz="0" w:space="0" w:color="auto"/>
                    <w:bottom w:val="none" w:sz="0" w:space="0" w:color="auto"/>
                    <w:right w:val="none" w:sz="0" w:space="0" w:color="auto"/>
                  </w:divBdr>
                  <w:divsChild>
                    <w:div w:id="496192612">
                      <w:marLeft w:val="0"/>
                      <w:marRight w:val="0"/>
                      <w:marTop w:val="0"/>
                      <w:marBottom w:val="0"/>
                      <w:divBdr>
                        <w:top w:val="none" w:sz="0" w:space="0" w:color="auto"/>
                        <w:left w:val="none" w:sz="0" w:space="0" w:color="auto"/>
                        <w:bottom w:val="none" w:sz="0" w:space="0" w:color="auto"/>
                        <w:right w:val="none" w:sz="0" w:space="0" w:color="auto"/>
                      </w:divBdr>
                    </w:div>
                  </w:divsChild>
                </w:div>
                <w:div w:id="728071377">
                  <w:marLeft w:val="0"/>
                  <w:marRight w:val="0"/>
                  <w:marTop w:val="0"/>
                  <w:marBottom w:val="0"/>
                  <w:divBdr>
                    <w:top w:val="none" w:sz="0" w:space="0" w:color="auto"/>
                    <w:left w:val="none" w:sz="0" w:space="0" w:color="auto"/>
                    <w:bottom w:val="none" w:sz="0" w:space="0" w:color="auto"/>
                    <w:right w:val="none" w:sz="0" w:space="0" w:color="auto"/>
                  </w:divBdr>
                  <w:divsChild>
                    <w:div w:id="734669298">
                      <w:marLeft w:val="0"/>
                      <w:marRight w:val="0"/>
                      <w:marTop w:val="0"/>
                      <w:marBottom w:val="0"/>
                      <w:divBdr>
                        <w:top w:val="none" w:sz="0" w:space="0" w:color="auto"/>
                        <w:left w:val="none" w:sz="0" w:space="0" w:color="auto"/>
                        <w:bottom w:val="none" w:sz="0" w:space="0" w:color="auto"/>
                        <w:right w:val="none" w:sz="0" w:space="0" w:color="auto"/>
                      </w:divBdr>
                    </w:div>
                  </w:divsChild>
                </w:div>
                <w:div w:id="750615988">
                  <w:marLeft w:val="0"/>
                  <w:marRight w:val="0"/>
                  <w:marTop w:val="0"/>
                  <w:marBottom w:val="0"/>
                  <w:divBdr>
                    <w:top w:val="none" w:sz="0" w:space="0" w:color="auto"/>
                    <w:left w:val="none" w:sz="0" w:space="0" w:color="auto"/>
                    <w:bottom w:val="none" w:sz="0" w:space="0" w:color="auto"/>
                    <w:right w:val="none" w:sz="0" w:space="0" w:color="auto"/>
                  </w:divBdr>
                  <w:divsChild>
                    <w:div w:id="1004087393">
                      <w:marLeft w:val="0"/>
                      <w:marRight w:val="0"/>
                      <w:marTop w:val="0"/>
                      <w:marBottom w:val="0"/>
                      <w:divBdr>
                        <w:top w:val="none" w:sz="0" w:space="0" w:color="auto"/>
                        <w:left w:val="none" w:sz="0" w:space="0" w:color="auto"/>
                        <w:bottom w:val="none" w:sz="0" w:space="0" w:color="auto"/>
                        <w:right w:val="none" w:sz="0" w:space="0" w:color="auto"/>
                      </w:divBdr>
                    </w:div>
                  </w:divsChild>
                </w:div>
                <w:div w:id="754546773">
                  <w:marLeft w:val="0"/>
                  <w:marRight w:val="0"/>
                  <w:marTop w:val="0"/>
                  <w:marBottom w:val="0"/>
                  <w:divBdr>
                    <w:top w:val="none" w:sz="0" w:space="0" w:color="auto"/>
                    <w:left w:val="none" w:sz="0" w:space="0" w:color="auto"/>
                    <w:bottom w:val="none" w:sz="0" w:space="0" w:color="auto"/>
                    <w:right w:val="none" w:sz="0" w:space="0" w:color="auto"/>
                  </w:divBdr>
                  <w:divsChild>
                    <w:div w:id="655843372">
                      <w:marLeft w:val="0"/>
                      <w:marRight w:val="0"/>
                      <w:marTop w:val="0"/>
                      <w:marBottom w:val="0"/>
                      <w:divBdr>
                        <w:top w:val="none" w:sz="0" w:space="0" w:color="auto"/>
                        <w:left w:val="none" w:sz="0" w:space="0" w:color="auto"/>
                        <w:bottom w:val="none" w:sz="0" w:space="0" w:color="auto"/>
                        <w:right w:val="none" w:sz="0" w:space="0" w:color="auto"/>
                      </w:divBdr>
                    </w:div>
                  </w:divsChild>
                </w:div>
                <w:div w:id="806705777">
                  <w:marLeft w:val="0"/>
                  <w:marRight w:val="0"/>
                  <w:marTop w:val="0"/>
                  <w:marBottom w:val="0"/>
                  <w:divBdr>
                    <w:top w:val="none" w:sz="0" w:space="0" w:color="auto"/>
                    <w:left w:val="none" w:sz="0" w:space="0" w:color="auto"/>
                    <w:bottom w:val="none" w:sz="0" w:space="0" w:color="auto"/>
                    <w:right w:val="none" w:sz="0" w:space="0" w:color="auto"/>
                  </w:divBdr>
                  <w:divsChild>
                    <w:div w:id="1511145101">
                      <w:marLeft w:val="0"/>
                      <w:marRight w:val="0"/>
                      <w:marTop w:val="0"/>
                      <w:marBottom w:val="0"/>
                      <w:divBdr>
                        <w:top w:val="none" w:sz="0" w:space="0" w:color="auto"/>
                        <w:left w:val="none" w:sz="0" w:space="0" w:color="auto"/>
                        <w:bottom w:val="none" w:sz="0" w:space="0" w:color="auto"/>
                        <w:right w:val="none" w:sz="0" w:space="0" w:color="auto"/>
                      </w:divBdr>
                    </w:div>
                  </w:divsChild>
                </w:div>
                <w:div w:id="818494392">
                  <w:marLeft w:val="0"/>
                  <w:marRight w:val="0"/>
                  <w:marTop w:val="0"/>
                  <w:marBottom w:val="0"/>
                  <w:divBdr>
                    <w:top w:val="none" w:sz="0" w:space="0" w:color="auto"/>
                    <w:left w:val="none" w:sz="0" w:space="0" w:color="auto"/>
                    <w:bottom w:val="none" w:sz="0" w:space="0" w:color="auto"/>
                    <w:right w:val="none" w:sz="0" w:space="0" w:color="auto"/>
                  </w:divBdr>
                  <w:divsChild>
                    <w:div w:id="1612324811">
                      <w:marLeft w:val="0"/>
                      <w:marRight w:val="0"/>
                      <w:marTop w:val="0"/>
                      <w:marBottom w:val="0"/>
                      <w:divBdr>
                        <w:top w:val="none" w:sz="0" w:space="0" w:color="auto"/>
                        <w:left w:val="none" w:sz="0" w:space="0" w:color="auto"/>
                        <w:bottom w:val="none" w:sz="0" w:space="0" w:color="auto"/>
                        <w:right w:val="none" w:sz="0" w:space="0" w:color="auto"/>
                      </w:divBdr>
                    </w:div>
                  </w:divsChild>
                </w:div>
                <w:div w:id="820658353">
                  <w:marLeft w:val="0"/>
                  <w:marRight w:val="0"/>
                  <w:marTop w:val="0"/>
                  <w:marBottom w:val="0"/>
                  <w:divBdr>
                    <w:top w:val="none" w:sz="0" w:space="0" w:color="auto"/>
                    <w:left w:val="none" w:sz="0" w:space="0" w:color="auto"/>
                    <w:bottom w:val="none" w:sz="0" w:space="0" w:color="auto"/>
                    <w:right w:val="none" w:sz="0" w:space="0" w:color="auto"/>
                  </w:divBdr>
                  <w:divsChild>
                    <w:div w:id="1859464410">
                      <w:marLeft w:val="0"/>
                      <w:marRight w:val="0"/>
                      <w:marTop w:val="0"/>
                      <w:marBottom w:val="0"/>
                      <w:divBdr>
                        <w:top w:val="none" w:sz="0" w:space="0" w:color="auto"/>
                        <w:left w:val="none" w:sz="0" w:space="0" w:color="auto"/>
                        <w:bottom w:val="none" w:sz="0" w:space="0" w:color="auto"/>
                        <w:right w:val="none" w:sz="0" w:space="0" w:color="auto"/>
                      </w:divBdr>
                    </w:div>
                  </w:divsChild>
                </w:div>
                <w:div w:id="829830991">
                  <w:marLeft w:val="0"/>
                  <w:marRight w:val="0"/>
                  <w:marTop w:val="0"/>
                  <w:marBottom w:val="0"/>
                  <w:divBdr>
                    <w:top w:val="none" w:sz="0" w:space="0" w:color="auto"/>
                    <w:left w:val="none" w:sz="0" w:space="0" w:color="auto"/>
                    <w:bottom w:val="none" w:sz="0" w:space="0" w:color="auto"/>
                    <w:right w:val="none" w:sz="0" w:space="0" w:color="auto"/>
                  </w:divBdr>
                  <w:divsChild>
                    <w:div w:id="556086630">
                      <w:marLeft w:val="0"/>
                      <w:marRight w:val="0"/>
                      <w:marTop w:val="0"/>
                      <w:marBottom w:val="0"/>
                      <w:divBdr>
                        <w:top w:val="none" w:sz="0" w:space="0" w:color="auto"/>
                        <w:left w:val="none" w:sz="0" w:space="0" w:color="auto"/>
                        <w:bottom w:val="none" w:sz="0" w:space="0" w:color="auto"/>
                        <w:right w:val="none" w:sz="0" w:space="0" w:color="auto"/>
                      </w:divBdr>
                    </w:div>
                  </w:divsChild>
                </w:div>
                <w:div w:id="834609767">
                  <w:marLeft w:val="0"/>
                  <w:marRight w:val="0"/>
                  <w:marTop w:val="0"/>
                  <w:marBottom w:val="0"/>
                  <w:divBdr>
                    <w:top w:val="none" w:sz="0" w:space="0" w:color="auto"/>
                    <w:left w:val="none" w:sz="0" w:space="0" w:color="auto"/>
                    <w:bottom w:val="none" w:sz="0" w:space="0" w:color="auto"/>
                    <w:right w:val="none" w:sz="0" w:space="0" w:color="auto"/>
                  </w:divBdr>
                  <w:divsChild>
                    <w:div w:id="181629788">
                      <w:marLeft w:val="0"/>
                      <w:marRight w:val="0"/>
                      <w:marTop w:val="0"/>
                      <w:marBottom w:val="0"/>
                      <w:divBdr>
                        <w:top w:val="none" w:sz="0" w:space="0" w:color="auto"/>
                        <w:left w:val="none" w:sz="0" w:space="0" w:color="auto"/>
                        <w:bottom w:val="none" w:sz="0" w:space="0" w:color="auto"/>
                        <w:right w:val="none" w:sz="0" w:space="0" w:color="auto"/>
                      </w:divBdr>
                    </w:div>
                  </w:divsChild>
                </w:div>
                <w:div w:id="840655326">
                  <w:marLeft w:val="0"/>
                  <w:marRight w:val="0"/>
                  <w:marTop w:val="0"/>
                  <w:marBottom w:val="0"/>
                  <w:divBdr>
                    <w:top w:val="none" w:sz="0" w:space="0" w:color="auto"/>
                    <w:left w:val="none" w:sz="0" w:space="0" w:color="auto"/>
                    <w:bottom w:val="none" w:sz="0" w:space="0" w:color="auto"/>
                    <w:right w:val="none" w:sz="0" w:space="0" w:color="auto"/>
                  </w:divBdr>
                  <w:divsChild>
                    <w:div w:id="1712342349">
                      <w:marLeft w:val="0"/>
                      <w:marRight w:val="0"/>
                      <w:marTop w:val="0"/>
                      <w:marBottom w:val="0"/>
                      <w:divBdr>
                        <w:top w:val="none" w:sz="0" w:space="0" w:color="auto"/>
                        <w:left w:val="none" w:sz="0" w:space="0" w:color="auto"/>
                        <w:bottom w:val="none" w:sz="0" w:space="0" w:color="auto"/>
                        <w:right w:val="none" w:sz="0" w:space="0" w:color="auto"/>
                      </w:divBdr>
                    </w:div>
                  </w:divsChild>
                </w:div>
                <w:div w:id="871959252">
                  <w:marLeft w:val="0"/>
                  <w:marRight w:val="0"/>
                  <w:marTop w:val="0"/>
                  <w:marBottom w:val="0"/>
                  <w:divBdr>
                    <w:top w:val="none" w:sz="0" w:space="0" w:color="auto"/>
                    <w:left w:val="none" w:sz="0" w:space="0" w:color="auto"/>
                    <w:bottom w:val="none" w:sz="0" w:space="0" w:color="auto"/>
                    <w:right w:val="none" w:sz="0" w:space="0" w:color="auto"/>
                  </w:divBdr>
                  <w:divsChild>
                    <w:div w:id="829253103">
                      <w:marLeft w:val="0"/>
                      <w:marRight w:val="0"/>
                      <w:marTop w:val="0"/>
                      <w:marBottom w:val="0"/>
                      <w:divBdr>
                        <w:top w:val="none" w:sz="0" w:space="0" w:color="auto"/>
                        <w:left w:val="none" w:sz="0" w:space="0" w:color="auto"/>
                        <w:bottom w:val="none" w:sz="0" w:space="0" w:color="auto"/>
                        <w:right w:val="none" w:sz="0" w:space="0" w:color="auto"/>
                      </w:divBdr>
                    </w:div>
                  </w:divsChild>
                </w:div>
                <w:div w:id="880553935">
                  <w:marLeft w:val="0"/>
                  <w:marRight w:val="0"/>
                  <w:marTop w:val="0"/>
                  <w:marBottom w:val="0"/>
                  <w:divBdr>
                    <w:top w:val="none" w:sz="0" w:space="0" w:color="auto"/>
                    <w:left w:val="none" w:sz="0" w:space="0" w:color="auto"/>
                    <w:bottom w:val="none" w:sz="0" w:space="0" w:color="auto"/>
                    <w:right w:val="none" w:sz="0" w:space="0" w:color="auto"/>
                  </w:divBdr>
                  <w:divsChild>
                    <w:div w:id="1118909708">
                      <w:marLeft w:val="0"/>
                      <w:marRight w:val="0"/>
                      <w:marTop w:val="0"/>
                      <w:marBottom w:val="0"/>
                      <w:divBdr>
                        <w:top w:val="none" w:sz="0" w:space="0" w:color="auto"/>
                        <w:left w:val="none" w:sz="0" w:space="0" w:color="auto"/>
                        <w:bottom w:val="none" w:sz="0" w:space="0" w:color="auto"/>
                        <w:right w:val="none" w:sz="0" w:space="0" w:color="auto"/>
                      </w:divBdr>
                    </w:div>
                  </w:divsChild>
                </w:div>
                <w:div w:id="883491776">
                  <w:marLeft w:val="0"/>
                  <w:marRight w:val="0"/>
                  <w:marTop w:val="0"/>
                  <w:marBottom w:val="0"/>
                  <w:divBdr>
                    <w:top w:val="none" w:sz="0" w:space="0" w:color="auto"/>
                    <w:left w:val="none" w:sz="0" w:space="0" w:color="auto"/>
                    <w:bottom w:val="none" w:sz="0" w:space="0" w:color="auto"/>
                    <w:right w:val="none" w:sz="0" w:space="0" w:color="auto"/>
                  </w:divBdr>
                  <w:divsChild>
                    <w:div w:id="1240797737">
                      <w:marLeft w:val="0"/>
                      <w:marRight w:val="0"/>
                      <w:marTop w:val="0"/>
                      <w:marBottom w:val="0"/>
                      <w:divBdr>
                        <w:top w:val="none" w:sz="0" w:space="0" w:color="auto"/>
                        <w:left w:val="none" w:sz="0" w:space="0" w:color="auto"/>
                        <w:bottom w:val="none" w:sz="0" w:space="0" w:color="auto"/>
                        <w:right w:val="none" w:sz="0" w:space="0" w:color="auto"/>
                      </w:divBdr>
                    </w:div>
                  </w:divsChild>
                </w:div>
                <w:div w:id="897741582">
                  <w:marLeft w:val="0"/>
                  <w:marRight w:val="0"/>
                  <w:marTop w:val="0"/>
                  <w:marBottom w:val="0"/>
                  <w:divBdr>
                    <w:top w:val="none" w:sz="0" w:space="0" w:color="auto"/>
                    <w:left w:val="none" w:sz="0" w:space="0" w:color="auto"/>
                    <w:bottom w:val="none" w:sz="0" w:space="0" w:color="auto"/>
                    <w:right w:val="none" w:sz="0" w:space="0" w:color="auto"/>
                  </w:divBdr>
                  <w:divsChild>
                    <w:div w:id="265619895">
                      <w:marLeft w:val="0"/>
                      <w:marRight w:val="0"/>
                      <w:marTop w:val="0"/>
                      <w:marBottom w:val="0"/>
                      <w:divBdr>
                        <w:top w:val="none" w:sz="0" w:space="0" w:color="auto"/>
                        <w:left w:val="none" w:sz="0" w:space="0" w:color="auto"/>
                        <w:bottom w:val="none" w:sz="0" w:space="0" w:color="auto"/>
                        <w:right w:val="none" w:sz="0" w:space="0" w:color="auto"/>
                      </w:divBdr>
                    </w:div>
                  </w:divsChild>
                </w:div>
                <w:div w:id="919829892">
                  <w:marLeft w:val="0"/>
                  <w:marRight w:val="0"/>
                  <w:marTop w:val="0"/>
                  <w:marBottom w:val="0"/>
                  <w:divBdr>
                    <w:top w:val="none" w:sz="0" w:space="0" w:color="auto"/>
                    <w:left w:val="none" w:sz="0" w:space="0" w:color="auto"/>
                    <w:bottom w:val="none" w:sz="0" w:space="0" w:color="auto"/>
                    <w:right w:val="none" w:sz="0" w:space="0" w:color="auto"/>
                  </w:divBdr>
                  <w:divsChild>
                    <w:div w:id="157624111">
                      <w:marLeft w:val="0"/>
                      <w:marRight w:val="0"/>
                      <w:marTop w:val="0"/>
                      <w:marBottom w:val="0"/>
                      <w:divBdr>
                        <w:top w:val="none" w:sz="0" w:space="0" w:color="auto"/>
                        <w:left w:val="none" w:sz="0" w:space="0" w:color="auto"/>
                        <w:bottom w:val="none" w:sz="0" w:space="0" w:color="auto"/>
                        <w:right w:val="none" w:sz="0" w:space="0" w:color="auto"/>
                      </w:divBdr>
                    </w:div>
                  </w:divsChild>
                </w:div>
                <w:div w:id="922105342">
                  <w:marLeft w:val="0"/>
                  <w:marRight w:val="0"/>
                  <w:marTop w:val="0"/>
                  <w:marBottom w:val="0"/>
                  <w:divBdr>
                    <w:top w:val="none" w:sz="0" w:space="0" w:color="auto"/>
                    <w:left w:val="none" w:sz="0" w:space="0" w:color="auto"/>
                    <w:bottom w:val="none" w:sz="0" w:space="0" w:color="auto"/>
                    <w:right w:val="none" w:sz="0" w:space="0" w:color="auto"/>
                  </w:divBdr>
                  <w:divsChild>
                    <w:div w:id="675763224">
                      <w:marLeft w:val="0"/>
                      <w:marRight w:val="0"/>
                      <w:marTop w:val="0"/>
                      <w:marBottom w:val="0"/>
                      <w:divBdr>
                        <w:top w:val="none" w:sz="0" w:space="0" w:color="auto"/>
                        <w:left w:val="none" w:sz="0" w:space="0" w:color="auto"/>
                        <w:bottom w:val="none" w:sz="0" w:space="0" w:color="auto"/>
                        <w:right w:val="none" w:sz="0" w:space="0" w:color="auto"/>
                      </w:divBdr>
                    </w:div>
                  </w:divsChild>
                </w:div>
                <w:div w:id="948856443">
                  <w:marLeft w:val="0"/>
                  <w:marRight w:val="0"/>
                  <w:marTop w:val="0"/>
                  <w:marBottom w:val="0"/>
                  <w:divBdr>
                    <w:top w:val="none" w:sz="0" w:space="0" w:color="auto"/>
                    <w:left w:val="none" w:sz="0" w:space="0" w:color="auto"/>
                    <w:bottom w:val="none" w:sz="0" w:space="0" w:color="auto"/>
                    <w:right w:val="none" w:sz="0" w:space="0" w:color="auto"/>
                  </w:divBdr>
                  <w:divsChild>
                    <w:div w:id="678851377">
                      <w:marLeft w:val="0"/>
                      <w:marRight w:val="0"/>
                      <w:marTop w:val="0"/>
                      <w:marBottom w:val="0"/>
                      <w:divBdr>
                        <w:top w:val="none" w:sz="0" w:space="0" w:color="auto"/>
                        <w:left w:val="none" w:sz="0" w:space="0" w:color="auto"/>
                        <w:bottom w:val="none" w:sz="0" w:space="0" w:color="auto"/>
                        <w:right w:val="none" w:sz="0" w:space="0" w:color="auto"/>
                      </w:divBdr>
                    </w:div>
                  </w:divsChild>
                </w:div>
                <w:div w:id="954756767">
                  <w:marLeft w:val="0"/>
                  <w:marRight w:val="0"/>
                  <w:marTop w:val="0"/>
                  <w:marBottom w:val="0"/>
                  <w:divBdr>
                    <w:top w:val="none" w:sz="0" w:space="0" w:color="auto"/>
                    <w:left w:val="none" w:sz="0" w:space="0" w:color="auto"/>
                    <w:bottom w:val="none" w:sz="0" w:space="0" w:color="auto"/>
                    <w:right w:val="none" w:sz="0" w:space="0" w:color="auto"/>
                  </w:divBdr>
                  <w:divsChild>
                    <w:div w:id="1546943611">
                      <w:marLeft w:val="0"/>
                      <w:marRight w:val="0"/>
                      <w:marTop w:val="0"/>
                      <w:marBottom w:val="0"/>
                      <w:divBdr>
                        <w:top w:val="none" w:sz="0" w:space="0" w:color="auto"/>
                        <w:left w:val="none" w:sz="0" w:space="0" w:color="auto"/>
                        <w:bottom w:val="none" w:sz="0" w:space="0" w:color="auto"/>
                        <w:right w:val="none" w:sz="0" w:space="0" w:color="auto"/>
                      </w:divBdr>
                    </w:div>
                  </w:divsChild>
                </w:div>
                <w:div w:id="964505396">
                  <w:marLeft w:val="0"/>
                  <w:marRight w:val="0"/>
                  <w:marTop w:val="0"/>
                  <w:marBottom w:val="0"/>
                  <w:divBdr>
                    <w:top w:val="none" w:sz="0" w:space="0" w:color="auto"/>
                    <w:left w:val="none" w:sz="0" w:space="0" w:color="auto"/>
                    <w:bottom w:val="none" w:sz="0" w:space="0" w:color="auto"/>
                    <w:right w:val="none" w:sz="0" w:space="0" w:color="auto"/>
                  </w:divBdr>
                  <w:divsChild>
                    <w:div w:id="1444031649">
                      <w:marLeft w:val="0"/>
                      <w:marRight w:val="0"/>
                      <w:marTop w:val="0"/>
                      <w:marBottom w:val="0"/>
                      <w:divBdr>
                        <w:top w:val="none" w:sz="0" w:space="0" w:color="auto"/>
                        <w:left w:val="none" w:sz="0" w:space="0" w:color="auto"/>
                        <w:bottom w:val="none" w:sz="0" w:space="0" w:color="auto"/>
                        <w:right w:val="none" w:sz="0" w:space="0" w:color="auto"/>
                      </w:divBdr>
                    </w:div>
                  </w:divsChild>
                </w:div>
                <w:div w:id="972757230">
                  <w:marLeft w:val="0"/>
                  <w:marRight w:val="0"/>
                  <w:marTop w:val="0"/>
                  <w:marBottom w:val="0"/>
                  <w:divBdr>
                    <w:top w:val="none" w:sz="0" w:space="0" w:color="auto"/>
                    <w:left w:val="none" w:sz="0" w:space="0" w:color="auto"/>
                    <w:bottom w:val="none" w:sz="0" w:space="0" w:color="auto"/>
                    <w:right w:val="none" w:sz="0" w:space="0" w:color="auto"/>
                  </w:divBdr>
                  <w:divsChild>
                    <w:div w:id="1306468326">
                      <w:marLeft w:val="0"/>
                      <w:marRight w:val="0"/>
                      <w:marTop w:val="0"/>
                      <w:marBottom w:val="0"/>
                      <w:divBdr>
                        <w:top w:val="none" w:sz="0" w:space="0" w:color="auto"/>
                        <w:left w:val="none" w:sz="0" w:space="0" w:color="auto"/>
                        <w:bottom w:val="none" w:sz="0" w:space="0" w:color="auto"/>
                        <w:right w:val="none" w:sz="0" w:space="0" w:color="auto"/>
                      </w:divBdr>
                    </w:div>
                  </w:divsChild>
                </w:div>
                <w:div w:id="984747094">
                  <w:marLeft w:val="0"/>
                  <w:marRight w:val="0"/>
                  <w:marTop w:val="0"/>
                  <w:marBottom w:val="0"/>
                  <w:divBdr>
                    <w:top w:val="none" w:sz="0" w:space="0" w:color="auto"/>
                    <w:left w:val="none" w:sz="0" w:space="0" w:color="auto"/>
                    <w:bottom w:val="none" w:sz="0" w:space="0" w:color="auto"/>
                    <w:right w:val="none" w:sz="0" w:space="0" w:color="auto"/>
                  </w:divBdr>
                  <w:divsChild>
                    <w:div w:id="230503813">
                      <w:marLeft w:val="0"/>
                      <w:marRight w:val="0"/>
                      <w:marTop w:val="0"/>
                      <w:marBottom w:val="0"/>
                      <w:divBdr>
                        <w:top w:val="none" w:sz="0" w:space="0" w:color="auto"/>
                        <w:left w:val="none" w:sz="0" w:space="0" w:color="auto"/>
                        <w:bottom w:val="none" w:sz="0" w:space="0" w:color="auto"/>
                        <w:right w:val="none" w:sz="0" w:space="0" w:color="auto"/>
                      </w:divBdr>
                    </w:div>
                  </w:divsChild>
                </w:div>
                <w:div w:id="1000810836">
                  <w:marLeft w:val="0"/>
                  <w:marRight w:val="0"/>
                  <w:marTop w:val="0"/>
                  <w:marBottom w:val="0"/>
                  <w:divBdr>
                    <w:top w:val="none" w:sz="0" w:space="0" w:color="auto"/>
                    <w:left w:val="none" w:sz="0" w:space="0" w:color="auto"/>
                    <w:bottom w:val="none" w:sz="0" w:space="0" w:color="auto"/>
                    <w:right w:val="none" w:sz="0" w:space="0" w:color="auto"/>
                  </w:divBdr>
                  <w:divsChild>
                    <w:div w:id="269555021">
                      <w:marLeft w:val="0"/>
                      <w:marRight w:val="0"/>
                      <w:marTop w:val="0"/>
                      <w:marBottom w:val="0"/>
                      <w:divBdr>
                        <w:top w:val="none" w:sz="0" w:space="0" w:color="auto"/>
                        <w:left w:val="none" w:sz="0" w:space="0" w:color="auto"/>
                        <w:bottom w:val="none" w:sz="0" w:space="0" w:color="auto"/>
                        <w:right w:val="none" w:sz="0" w:space="0" w:color="auto"/>
                      </w:divBdr>
                    </w:div>
                  </w:divsChild>
                </w:div>
                <w:div w:id="1012800634">
                  <w:marLeft w:val="0"/>
                  <w:marRight w:val="0"/>
                  <w:marTop w:val="0"/>
                  <w:marBottom w:val="0"/>
                  <w:divBdr>
                    <w:top w:val="none" w:sz="0" w:space="0" w:color="auto"/>
                    <w:left w:val="none" w:sz="0" w:space="0" w:color="auto"/>
                    <w:bottom w:val="none" w:sz="0" w:space="0" w:color="auto"/>
                    <w:right w:val="none" w:sz="0" w:space="0" w:color="auto"/>
                  </w:divBdr>
                  <w:divsChild>
                    <w:div w:id="780344534">
                      <w:marLeft w:val="0"/>
                      <w:marRight w:val="0"/>
                      <w:marTop w:val="0"/>
                      <w:marBottom w:val="0"/>
                      <w:divBdr>
                        <w:top w:val="none" w:sz="0" w:space="0" w:color="auto"/>
                        <w:left w:val="none" w:sz="0" w:space="0" w:color="auto"/>
                        <w:bottom w:val="none" w:sz="0" w:space="0" w:color="auto"/>
                        <w:right w:val="none" w:sz="0" w:space="0" w:color="auto"/>
                      </w:divBdr>
                    </w:div>
                  </w:divsChild>
                </w:div>
                <w:div w:id="1069233189">
                  <w:marLeft w:val="0"/>
                  <w:marRight w:val="0"/>
                  <w:marTop w:val="0"/>
                  <w:marBottom w:val="0"/>
                  <w:divBdr>
                    <w:top w:val="none" w:sz="0" w:space="0" w:color="auto"/>
                    <w:left w:val="none" w:sz="0" w:space="0" w:color="auto"/>
                    <w:bottom w:val="none" w:sz="0" w:space="0" w:color="auto"/>
                    <w:right w:val="none" w:sz="0" w:space="0" w:color="auto"/>
                  </w:divBdr>
                  <w:divsChild>
                    <w:div w:id="1857235639">
                      <w:marLeft w:val="0"/>
                      <w:marRight w:val="0"/>
                      <w:marTop w:val="0"/>
                      <w:marBottom w:val="0"/>
                      <w:divBdr>
                        <w:top w:val="none" w:sz="0" w:space="0" w:color="auto"/>
                        <w:left w:val="none" w:sz="0" w:space="0" w:color="auto"/>
                        <w:bottom w:val="none" w:sz="0" w:space="0" w:color="auto"/>
                        <w:right w:val="none" w:sz="0" w:space="0" w:color="auto"/>
                      </w:divBdr>
                    </w:div>
                  </w:divsChild>
                </w:div>
                <w:div w:id="1079912914">
                  <w:marLeft w:val="0"/>
                  <w:marRight w:val="0"/>
                  <w:marTop w:val="0"/>
                  <w:marBottom w:val="0"/>
                  <w:divBdr>
                    <w:top w:val="none" w:sz="0" w:space="0" w:color="auto"/>
                    <w:left w:val="none" w:sz="0" w:space="0" w:color="auto"/>
                    <w:bottom w:val="none" w:sz="0" w:space="0" w:color="auto"/>
                    <w:right w:val="none" w:sz="0" w:space="0" w:color="auto"/>
                  </w:divBdr>
                  <w:divsChild>
                    <w:div w:id="2045403064">
                      <w:marLeft w:val="0"/>
                      <w:marRight w:val="0"/>
                      <w:marTop w:val="0"/>
                      <w:marBottom w:val="0"/>
                      <w:divBdr>
                        <w:top w:val="none" w:sz="0" w:space="0" w:color="auto"/>
                        <w:left w:val="none" w:sz="0" w:space="0" w:color="auto"/>
                        <w:bottom w:val="none" w:sz="0" w:space="0" w:color="auto"/>
                        <w:right w:val="none" w:sz="0" w:space="0" w:color="auto"/>
                      </w:divBdr>
                    </w:div>
                  </w:divsChild>
                </w:div>
                <w:div w:id="1140072910">
                  <w:marLeft w:val="0"/>
                  <w:marRight w:val="0"/>
                  <w:marTop w:val="0"/>
                  <w:marBottom w:val="0"/>
                  <w:divBdr>
                    <w:top w:val="none" w:sz="0" w:space="0" w:color="auto"/>
                    <w:left w:val="none" w:sz="0" w:space="0" w:color="auto"/>
                    <w:bottom w:val="none" w:sz="0" w:space="0" w:color="auto"/>
                    <w:right w:val="none" w:sz="0" w:space="0" w:color="auto"/>
                  </w:divBdr>
                  <w:divsChild>
                    <w:div w:id="2093815351">
                      <w:marLeft w:val="0"/>
                      <w:marRight w:val="0"/>
                      <w:marTop w:val="0"/>
                      <w:marBottom w:val="0"/>
                      <w:divBdr>
                        <w:top w:val="none" w:sz="0" w:space="0" w:color="auto"/>
                        <w:left w:val="none" w:sz="0" w:space="0" w:color="auto"/>
                        <w:bottom w:val="none" w:sz="0" w:space="0" w:color="auto"/>
                        <w:right w:val="none" w:sz="0" w:space="0" w:color="auto"/>
                      </w:divBdr>
                    </w:div>
                  </w:divsChild>
                </w:div>
                <w:div w:id="1162890600">
                  <w:marLeft w:val="0"/>
                  <w:marRight w:val="0"/>
                  <w:marTop w:val="0"/>
                  <w:marBottom w:val="0"/>
                  <w:divBdr>
                    <w:top w:val="none" w:sz="0" w:space="0" w:color="auto"/>
                    <w:left w:val="none" w:sz="0" w:space="0" w:color="auto"/>
                    <w:bottom w:val="none" w:sz="0" w:space="0" w:color="auto"/>
                    <w:right w:val="none" w:sz="0" w:space="0" w:color="auto"/>
                  </w:divBdr>
                  <w:divsChild>
                    <w:div w:id="2098744657">
                      <w:marLeft w:val="0"/>
                      <w:marRight w:val="0"/>
                      <w:marTop w:val="0"/>
                      <w:marBottom w:val="0"/>
                      <w:divBdr>
                        <w:top w:val="none" w:sz="0" w:space="0" w:color="auto"/>
                        <w:left w:val="none" w:sz="0" w:space="0" w:color="auto"/>
                        <w:bottom w:val="none" w:sz="0" w:space="0" w:color="auto"/>
                        <w:right w:val="none" w:sz="0" w:space="0" w:color="auto"/>
                      </w:divBdr>
                    </w:div>
                  </w:divsChild>
                </w:div>
                <w:div w:id="1167937321">
                  <w:marLeft w:val="0"/>
                  <w:marRight w:val="0"/>
                  <w:marTop w:val="0"/>
                  <w:marBottom w:val="0"/>
                  <w:divBdr>
                    <w:top w:val="none" w:sz="0" w:space="0" w:color="auto"/>
                    <w:left w:val="none" w:sz="0" w:space="0" w:color="auto"/>
                    <w:bottom w:val="none" w:sz="0" w:space="0" w:color="auto"/>
                    <w:right w:val="none" w:sz="0" w:space="0" w:color="auto"/>
                  </w:divBdr>
                  <w:divsChild>
                    <w:div w:id="660087922">
                      <w:marLeft w:val="0"/>
                      <w:marRight w:val="0"/>
                      <w:marTop w:val="0"/>
                      <w:marBottom w:val="0"/>
                      <w:divBdr>
                        <w:top w:val="none" w:sz="0" w:space="0" w:color="auto"/>
                        <w:left w:val="none" w:sz="0" w:space="0" w:color="auto"/>
                        <w:bottom w:val="none" w:sz="0" w:space="0" w:color="auto"/>
                        <w:right w:val="none" w:sz="0" w:space="0" w:color="auto"/>
                      </w:divBdr>
                    </w:div>
                  </w:divsChild>
                </w:div>
                <w:div w:id="1173301323">
                  <w:marLeft w:val="0"/>
                  <w:marRight w:val="0"/>
                  <w:marTop w:val="0"/>
                  <w:marBottom w:val="0"/>
                  <w:divBdr>
                    <w:top w:val="none" w:sz="0" w:space="0" w:color="auto"/>
                    <w:left w:val="none" w:sz="0" w:space="0" w:color="auto"/>
                    <w:bottom w:val="none" w:sz="0" w:space="0" w:color="auto"/>
                    <w:right w:val="none" w:sz="0" w:space="0" w:color="auto"/>
                  </w:divBdr>
                  <w:divsChild>
                    <w:div w:id="587228209">
                      <w:marLeft w:val="0"/>
                      <w:marRight w:val="0"/>
                      <w:marTop w:val="0"/>
                      <w:marBottom w:val="0"/>
                      <w:divBdr>
                        <w:top w:val="none" w:sz="0" w:space="0" w:color="auto"/>
                        <w:left w:val="none" w:sz="0" w:space="0" w:color="auto"/>
                        <w:bottom w:val="none" w:sz="0" w:space="0" w:color="auto"/>
                        <w:right w:val="none" w:sz="0" w:space="0" w:color="auto"/>
                      </w:divBdr>
                    </w:div>
                  </w:divsChild>
                </w:div>
                <w:div w:id="1182091015">
                  <w:marLeft w:val="0"/>
                  <w:marRight w:val="0"/>
                  <w:marTop w:val="0"/>
                  <w:marBottom w:val="0"/>
                  <w:divBdr>
                    <w:top w:val="none" w:sz="0" w:space="0" w:color="auto"/>
                    <w:left w:val="none" w:sz="0" w:space="0" w:color="auto"/>
                    <w:bottom w:val="none" w:sz="0" w:space="0" w:color="auto"/>
                    <w:right w:val="none" w:sz="0" w:space="0" w:color="auto"/>
                  </w:divBdr>
                  <w:divsChild>
                    <w:div w:id="815729887">
                      <w:marLeft w:val="0"/>
                      <w:marRight w:val="0"/>
                      <w:marTop w:val="0"/>
                      <w:marBottom w:val="0"/>
                      <w:divBdr>
                        <w:top w:val="none" w:sz="0" w:space="0" w:color="auto"/>
                        <w:left w:val="none" w:sz="0" w:space="0" w:color="auto"/>
                        <w:bottom w:val="none" w:sz="0" w:space="0" w:color="auto"/>
                        <w:right w:val="none" w:sz="0" w:space="0" w:color="auto"/>
                      </w:divBdr>
                    </w:div>
                  </w:divsChild>
                </w:div>
                <w:div w:id="1184174544">
                  <w:marLeft w:val="0"/>
                  <w:marRight w:val="0"/>
                  <w:marTop w:val="0"/>
                  <w:marBottom w:val="0"/>
                  <w:divBdr>
                    <w:top w:val="none" w:sz="0" w:space="0" w:color="auto"/>
                    <w:left w:val="none" w:sz="0" w:space="0" w:color="auto"/>
                    <w:bottom w:val="none" w:sz="0" w:space="0" w:color="auto"/>
                    <w:right w:val="none" w:sz="0" w:space="0" w:color="auto"/>
                  </w:divBdr>
                  <w:divsChild>
                    <w:div w:id="523784376">
                      <w:marLeft w:val="0"/>
                      <w:marRight w:val="0"/>
                      <w:marTop w:val="0"/>
                      <w:marBottom w:val="0"/>
                      <w:divBdr>
                        <w:top w:val="none" w:sz="0" w:space="0" w:color="auto"/>
                        <w:left w:val="none" w:sz="0" w:space="0" w:color="auto"/>
                        <w:bottom w:val="none" w:sz="0" w:space="0" w:color="auto"/>
                        <w:right w:val="none" w:sz="0" w:space="0" w:color="auto"/>
                      </w:divBdr>
                    </w:div>
                  </w:divsChild>
                </w:div>
                <w:div w:id="1194071253">
                  <w:marLeft w:val="0"/>
                  <w:marRight w:val="0"/>
                  <w:marTop w:val="0"/>
                  <w:marBottom w:val="0"/>
                  <w:divBdr>
                    <w:top w:val="none" w:sz="0" w:space="0" w:color="auto"/>
                    <w:left w:val="none" w:sz="0" w:space="0" w:color="auto"/>
                    <w:bottom w:val="none" w:sz="0" w:space="0" w:color="auto"/>
                    <w:right w:val="none" w:sz="0" w:space="0" w:color="auto"/>
                  </w:divBdr>
                  <w:divsChild>
                    <w:div w:id="623654270">
                      <w:marLeft w:val="0"/>
                      <w:marRight w:val="0"/>
                      <w:marTop w:val="0"/>
                      <w:marBottom w:val="0"/>
                      <w:divBdr>
                        <w:top w:val="none" w:sz="0" w:space="0" w:color="auto"/>
                        <w:left w:val="none" w:sz="0" w:space="0" w:color="auto"/>
                        <w:bottom w:val="none" w:sz="0" w:space="0" w:color="auto"/>
                        <w:right w:val="none" w:sz="0" w:space="0" w:color="auto"/>
                      </w:divBdr>
                    </w:div>
                  </w:divsChild>
                </w:div>
                <w:div w:id="1196501650">
                  <w:marLeft w:val="0"/>
                  <w:marRight w:val="0"/>
                  <w:marTop w:val="0"/>
                  <w:marBottom w:val="0"/>
                  <w:divBdr>
                    <w:top w:val="none" w:sz="0" w:space="0" w:color="auto"/>
                    <w:left w:val="none" w:sz="0" w:space="0" w:color="auto"/>
                    <w:bottom w:val="none" w:sz="0" w:space="0" w:color="auto"/>
                    <w:right w:val="none" w:sz="0" w:space="0" w:color="auto"/>
                  </w:divBdr>
                  <w:divsChild>
                    <w:div w:id="52972027">
                      <w:marLeft w:val="0"/>
                      <w:marRight w:val="0"/>
                      <w:marTop w:val="0"/>
                      <w:marBottom w:val="0"/>
                      <w:divBdr>
                        <w:top w:val="none" w:sz="0" w:space="0" w:color="auto"/>
                        <w:left w:val="none" w:sz="0" w:space="0" w:color="auto"/>
                        <w:bottom w:val="none" w:sz="0" w:space="0" w:color="auto"/>
                        <w:right w:val="none" w:sz="0" w:space="0" w:color="auto"/>
                      </w:divBdr>
                    </w:div>
                  </w:divsChild>
                </w:div>
                <w:div w:id="1198129795">
                  <w:marLeft w:val="0"/>
                  <w:marRight w:val="0"/>
                  <w:marTop w:val="0"/>
                  <w:marBottom w:val="0"/>
                  <w:divBdr>
                    <w:top w:val="none" w:sz="0" w:space="0" w:color="auto"/>
                    <w:left w:val="none" w:sz="0" w:space="0" w:color="auto"/>
                    <w:bottom w:val="none" w:sz="0" w:space="0" w:color="auto"/>
                    <w:right w:val="none" w:sz="0" w:space="0" w:color="auto"/>
                  </w:divBdr>
                  <w:divsChild>
                    <w:div w:id="212155361">
                      <w:marLeft w:val="0"/>
                      <w:marRight w:val="0"/>
                      <w:marTop w:val="0"/>
                      <w:marBottom w:val="0"/>
                      <w:divBdr>
                        <w:top w:val="none" w:sz="0" w:space="0" w:color="auto"/>
                        <w:left w:val="none" w:sz="0" w:space="0" w:color="auto"/>
                        <w:bottom w:val="none" w:sz="0" w:space="0" w:color="auto"/>
                        <w:right w:val="none" w:sz="0" w:space="0" w:color="auto"/>
                      </w:divBdr>
                    </w:div>
                  </w:divsChild>
                </w:div>
                <w:div w:id="1236237902">
                  <w:marLeft w:val="0"/>
                  <w:marRight w:val="0"/>
                  <w:marTop w:val="0"/>
                  <w:marBottom w:val="0"/>
                  <w:divBdr>
                    <w:top w:val="none" w:sz="0" w:space="0" w:color="auto"/>
                    <w:left w:val="none" w:sz="0" w:space="0" w:color="auto"/>
                    <w:bottom w:val="none" w:sz="0" w:space="0" w:color="auto"/>
                    <w:right w:val="none" w:sz="0" w:space="0" w:color="auto"/>
                  </w:divBdr>
                  <w:divsChild>
                    <w:div w:id="1352296504">
                      <w:marLeft w:val="0"/>
                      <w:marRight w:val="0"/>
                      <w:marTop w:val="0"/>
                      <w:marBottom w:val="0"/>
                      <w:divBdr>
                        <w:top w:val="none" w:sz="0" w:space="0" w:color="auto"/>
                        <w:left w:val="none" w:sz="0" w:space="0" w:color="auto"/>
                        <w:bottom w:val="none" w:sz="0" w:space="0" w:color="auto"/>
                        <w:right w:val="none" w:sz="0" w:space="0" w:color="auto"/>
                      </w:divBdr>
                    </w:div>
                  </w:divsChild>
                </w:div>
                <w:div w:id="1274483533">
                  <w:marLeft w:val="0"/>
                  <w:marRight w:val="0"/>
                  <w:marTop w:val="0"/>
                  <w:marBottom w:val="0"/>
                  <w:divBdr>
                    <w:top w:val="none" w:sz="0" w:space="0" w:color="auto"/>
                    <w:left w:val="none" w:sz="0" w:space="0" w:color="auto"/>
                    <w:bottom w:val="none" w:sz="0" w:space="0" w:color="auto"/>
                    <w:right w:val="none" w:sz="0" w:space="0" w:color="auto"/>
                  </w:divBdr>
                  <w:divsChild>
                    <w:div w:id="1092092523">
                      <w:marLeft w:val="0"/>
                      <w:marRight w:val="0"/>
                      <w:marTop w:val="0"/>
                      <w:marBottom w:val="0"/>
                      <w:divBdr>
                        <w:top w:val="none" w:sz="0" w:space="0" w:color="auto"/>
                        <w:left w:val="none" w:sz="0" w:space="0" w:color="auto"/>
                        <w:bottom w:val="none" w:sz="0" w:space="0" w:color="auto"/>
                        <w:right w:val="none" w:sz="0" w:space="0" w:color="auto"/>
                      </w:divBdr>
                    </w:div>
                  </w:divsChild>
                </w:div>
                <w:div w:id="1318610777">
                  <w:marLeft w:val="0"/>
                  <w:marRight w:val="0"/>
                  <w:marTop w:val="0"/>
                  <w:marBottom w:val="0"/>
                  <w:divBdr>
                    <w:top w:val="none" w:sz="0" w:space="0" w:color="auto"/>
                    <w:left w:val="none" w:sz="0" w:space="0" w:color="auto"/>
                    <w:bottom w:val="none" w:sz="0" w:space="0" w:color="auto"/>
                    <w:right w:val="none" w:sz="0" w:space="0" w:color="auto"/>
                  </w:divBdr>
                  <w:divsChild>
                    <w:div w:id="340010886">
                      <w:marLeft w:val="0"/>
                      <w:marRight w:val="0"/>
                      <w:marTop w:val="0"/>
                      <w:marBottom w:val="0"/>
                      <w:divBdr>
                        <w:top w:val="none" w:sz="0" w:space="0" w:color="auto"/>
                        <w:left w:val="none" w:sz="0" w:space="0" w:color="auto"/>
                        <w:bottom w:val="none" w:sz="0" w:space="0" w:color="auto"/>
                        <w:right w:val="none" w:sz="0" w:space="0" w:color="auto"/>
                      </w:divBdr>
                    </w:div>
                  </w:divsChild>
                </w:div>
                <w:div w:id="1319184995">
                  <w:marLeft w:val="0"/>
                  <w:marRight w:val="0"/>
                  <w:marTop w:val="0"/>
                  <w:marBottom w:val="0"/>
                  <w:divBdr>
                    <w:top w:val="none" w:sz="0" w:space="0" w:color="auto"/>
                    <w:left w:val="none" w:sz="0" w:space="0" w:color="auto"/>
                    <w:bottom w:val="none" w:sz="0" w:space="0" w:color="auto"/>
                    <w:right w:val="none" w:sz="0" w:space="0" w:color="auto"/>
                  </w:divBdr>
                  <w:divsChild>
                    <w:div w:id="1542791649">
                      <w:marLeft w:val="0"/>
                      <w:marRight w:val="0"/>
                      <w:marTop w:val="0"/>
                      <w:marBottom w:val="0"/>
                      <w:divBdr>
                        <w:top w:val="none" w:sz="0" w:space="0" w:color="auto"/>
                        <w:left w:val="none" w:sz="0" w:space="0" w:color="auto"/>
                        <w:bottom w:val="none" w:sz="0" w:space="0" w:color="auto"/>
                        <w:right w:val="none" w:sz="0" w:space="0" w:color="auto"/>
                      </w:divBdr>
                    </w:div>
                  </w:divsChild>
                </w:div>
                <w:div w:id="1333340182">
                  <w:marLeft w:val="0"/>
                  <w:marRight w:val="0"/>
                  <w:marTop w:val="0"/>
                  <w:marBottom w:val="0"/>
                  <w:divBdr>
                    <w:top w:val="none" w:sz="0" w:space="0" w:color="auto"/>
                    <w:left w:val="none" w:sz="0" w:space="0" w:color="auto"/>
                    <w:bottom w:val="none" w:sz="0" w:space="0" w:color="auto"/>
                    <w:right w:val="none" w:sz="0" w:space="0" w:color="auto"/>
                  </w:divBdr>
                  <w:divsChild>
                    <w:div w:id="1895581636">
                      <w:marLeft w:val="0"/>
                      <w:marRight w:val="0"/>
                      <w:marTop w:val="0"/>
                      <w:marBottom w:val="0"/>
                      <w:divBdr>
                        <w:top w:val="none" w:sz="0" w:space="0" w:color="auto"/>
                        <w:left w:val="none" w:sz="0" w:space="0" w:color="auto"/>
                        <w:bottom w:val="none" w:sz="0" w:space="0" w:color="auto"/>
                        <w:right w:val="none" w:sz="0" w:space="0" w:color="auto"/>
                      </w:divBdr>
                    </w:div>
                  </w:divsChild>
                </w:div>
                <w:div w:id="1352297189">
                  <w:marLeft w:val="0"/>
                  <w:marRight w:val="0"/>
                  <w:marTop w:val="0"/>
                  <w:marBottom w:val="0"/>
                  <w:divBdr>
                    <w:top w:val="none" w:sz="0" w:space="0" w:color="auto"/>
                    <w:left w:val="none" w:sz="0" w:space="0" w:color="auto"/>
                    <w:bottom w:val="none" w:sz="0" w:space="0" w:color="auto"/>
                    <w:right w:val="none" w:sz="0" w:space="0" w:color="auto"/>
                  </w:divBdr>
                  <w:divsChild>
                    <w:div w:id="1664164645">
                      <w:marLeft w:val="0"/>
                      <w:marRight w:val="0"/>
                      <w:marTop w:val="0"/>
                      <w:marBottom w:val="0"/>
                      <w:divBdr>
                        <w:top w:val="none" w:sz="0" w:space="0" w:color="auto"/>
                        <w:left w:val="none" w:sz="0" w:space="0" w:color="auto"/>
                        <w:bottom w:val="none" w:sz="0" w:space="0" w:color="auto"/>
                        <w:right w:val="none" w:sz="0" w:space="0" w:color="auto"/>
                      </w:divBdr>
                    </w:div>
                  </w:divsChild>
                </w:div>
                <w:div w:id="1353915014">
                  <w:marLeft w:val="0"/>
                  <w:marRight w:val="0"/>
                  <w:marTop w:val="0"/>
                  <w:marBottom w:val="0"/>
                  <w:divBdr>
                    <w:top w:val="none" w:sz="0" w:space="0" w:color="auto"/>
                    <w:left w:val="none" w:sz="0" w:space="0" w:color="auto"/>
                    <w:bottom w:val="none" w:sz="0" w:space="0" w:color="auto"/>
                    <w:right w:val="none" w:sz="0" w:space="0" w:color="auto"/>
                  </w:divBdr>
                  <w:divsChild>
                    <w:div w:id="1374574960">
                      <w:marLeft w:val="0"/>
                      <w:marRight w:val="0"/>
                      <w:marTop w:val="0"/>
                      <w:marBottom w:val="0"/>
                      <w:divBdr>
                        <w:top w:val="none" w:sz="0" w:space="0" w:color="auto"/>
                        <w:left w:val="none" w:sz="0" w:space="0" w:color="auto"/>
                        <w:bottom w:val="none" w:sz="0" w:space="0" w:color="auto"/>
                        <w:right w:val="none" w:sz="0" w:space="0" w:color="auto"/>
                      </w:divBdr>
                    </w:div>
                  </w:divsChild>
                </w:div>
                <w:div w:id="1365903091">
                  <w:marLeft w:val="0"/>
                  <w:marRight w:val="0"/>
                  <w:marTop w:val="0"/>
                  <w:marBottom w:val="0"/>
                  <w:divBdr>
                    <w:top w:val="none" w:sz="0" w:space="0" w:color="auto"/>
                    <w:left w:val="none" w:sz="0" w:space="0" w:color="auto"/>
                    <w:bottom w:val="none" w:sz="0" w:space="0" w:color="auto"/>
                    <w:right w:val="none" w:sz="0" w:space="0" w:color="auto"/>
                  </w:divBdr>
                  <w:divsChild>
                    <w:div w:id="213810650">
                      <w:marLeft w:val="0"/>
                      <w:marRight w:val="0"/>
                      <w:marTop w:val="0"/>
                      <w:marBottom w:val="0"/>
                      <w:divBdr>
                        <w:top w:val="none" w:sz="0" w:space="0" w:color="auto"/>
                        <w:left w:val="none" w:sz="0" w:space="0" w:color="auto"/>
                        <w:bottom w:val="none" w:sz="0" w:space="0" w:color="auto"/>
                        <w:right w:val="none" w:sz="0" w:space="0" w:color="auto"/>
                      </w:divBdr>
                    </w:div>
                  </w:divsChild>
                </w:div>
                <w:div w:id="1367560410">
                  <w:marLeft w:val="0"/>
                  <w:marRight w:val="0"/>
                  <w:marTop w:val="0"/>
                  <w:marBottom w:val="0"/>
                  <w:divBdr>
                    <w:top w:val="none" w:sz="0" w:space="0" w:color="auto"/>
                    <w:left w:val="none" w:sz="0" w:space="0" w:color="auto"/>
                    <w:bottom w:val="none" w:sz="0" w:space="0" w:color="auto"/>
                    <w:right w:val="none" w:sz="0" w:space="0" w:color="auto"/>
                  </w:divBdr>
                  <w:divsChild>
                    <w:div w:id="1707825267">
                      <w:marLeft w:val="0"/>
                      <w:marRight w:val="0"/>
                      <w:marTop w:val="0"/>
                      <w:marBottom w:val="0"/>
                      <w:divBdr>
                        <w:top w:val="none" w:sz="0" w:space="0" w:color="auto"/>
                        <w:left w:val="none" w:sz="0" w:space="0" w:color="auto"/>
                        <w:bottom w:val="none" w:sz="0" w:space="0" w:color="auto"/>
                        <w:right w:val="none" w:sz="0" w:space="0" w:color="auto"/>
                      </w:divBdr>
                    </w:div>
                  </w:divsChild>
                </w:div>
                <w:div w:id="1390155062">
                  <w:marLeft w:val="0"/>
                  <w:marRight w:val="0"/>
                  <w:marTop w:val="0"/>
                  <w:marBottom w:val="0"/>
                  <w:divBdr>
                    <w:top w:val="none" w:sz="0" w:space="0" w:color="auto"/>
                    <w:left w:val="none" w:sz="0" w:space="0" w:color="auto"/>
                    <w:bottom w:val="none" w:sz="0" w:space="0" w:color="auto"/>
                    <w:right w:val="none" w:sz="0" w:space="0" w:color="auto"/>
                  </w:divBdr>
                  <w:divsChild>
                    <w:div w:id="1452750724">
                      <w:marLeft w:val="0"/>
                      <w:marRight w:val="0"/>
                      <w:marTop w:val="0"/>
                      <w:marBottom w:val="0"/>
                      <w:divBdr>
                        <w:top w:val="none" w:sz="0" w:space="0" w:color="auto"/>
                        <w:left w:val="none" w:sz="0" w:space="0" w:color="auto"/>
                        <w:bottom w:val="none" w:sz="0" w:space="0" w:color="auto"/>
                        <w:right w:val="none" w:sz="0" w:space="0" w:color="auto"/>
                      </w:divBdr>
                    </w:div>
                  </w:divsChild>
                </w:div>
                <w:div w:id="1398237596">
                  <w:marLeft w:val="0"/>
                  <w:marRight w:val="0"/>
                  <w:marTop w:val="0"/>
                  <w:marBottom w:val="0"/>
                  <w:divBdr>
                    <w:top w:val="none" w:sz="0" w:space="0" w:color="auto"/>
                    <w:left w:val="none" w:sz="0" w:space="0" w:color="auto"/>
                    <w:bottom w:val="none" w:sz="0" w:space="0" w:color="auto"/>
                    <w:right w:val="none" w:sz="0" w:space="0" w:color="auto"/>
                  </w:divBdr>
                  <w:divsChild>
                    <w:div w:id="580914532">
                      <w:marLeft w:val="0"/>
                      <w:marRight w:val="0"/>
                      <w:marTop w:val="0"/>
                      <w:marBottom w:val="0"/>
                      <w:divBdr>
                        <w:top w:val="none" w:sz="0" w:space="0" w:color="auto"/>
                        <w:left w:val="none" w:sz="0" w:space="0" w:color="auto"/>
                        <w:bottom w:val="none" w:sz="0" w:space="0" w:color="auto"/>
                        <w:right w:val="none" w:sz="0" w:space="0" w:color="auto"/>
                      </w:divBdr>
                    </w:div>
                  </w:divsChild>
                </w:div>
                <w:div w:id="1404182815">
                  <w:marLeft w:val="0"/>
                  <w:marRight w:val="0"/>
                  <w:marTop w:val="0"/>
                  <w:marBottom w:val="0"/>
                  <w:divBdr>
                    <w:top w:val="none" w:sz="0" w:space="0" w:color="auto"/>
                    <w:left w:val="none" w:sz="0" w:space="0" w:color="auto"/>
                    <w:bottom w:val="none" w:sz="0" w:space="0" w:color="auto"/>
                    <w:right w:val="none" w:sz="0" w:space="0" w:color="auto"/>
                  </w:divBdr>
                  <w:divsChild>
                    <w:div w:id="879821129">
                      <w:marLeft w:val="0"/>
                      <w:marRight w:val="0"/>
                      <w:marTop w:val="0"/>
                      <w:marBottom w:val="0"/>
                      <w:divBdr>
                        <w:top w:val="none" w:sz="0" w:space="0" w:color="auto"/>
                        <w:left w:val="none" w:sz="0" w:space="0" w:color="auto"/>
                        <w:bottom w:val="none" w:sz="0" w:space="0" w:color="auto"/>
                        <w:right w:val="none" w:sz="0" w:space="0" w:color="auto"/>
                      </w:divBdr>
                    </w:div>
                  </w:divsChild>
                </w:div>
                <w:div w:id="1411540936">
                  <w:marLeft w:val="0"/>
                  <w:marRight w:val="0"/>
                  <w:marTop w:val="0"/>
                  <w:marBottom w:val="0"/>
                  <w:divBdr>
                    <w:top w:val="none" w:sz="0" w:space="0" w:color="auto"/>
                    <w:left w:val="none" w:sz="0" w:space="0" w:color="auto"/>
                    <w:bottom w:val="none" w:sz="0" w:space="0" w:color="auto"/>
                    <w:right w:val="none" w:sz="0" w:space="0" w:color="auto"/>
                  </w:divBdr>
                  <w:divsChild>
                    <w:div w:id="403987511">
                      <w:marLeft w:val="0"/>
                      <w:marRight w:val="0"/>
                      <w:marTop w:val="0"/>
                      <w:marBottom w:val="0"/>
                      <w:divBdr>
                        <w:top w:val="none" w:sz="0" w:space="0" w:color="auto"/>
                        <w:left w:val="none" w:sz="0" w:space="0" w:color="auto"/>
                        <w:bottom w:val="none" w:sz="0" w:space="0" w:color="auto"/>
                        <w:right w:val="none" w:sz="0" w:space="0" w:color="auto"/>
                      </w:divBdr>
                    </w:div>
                  </w:divsChild>
                </w:div>
                <w:div w:id="1418407138">
                  <w:marLeft w:val="0"/>
                  <w:marRight w:val="0"/>
                  <w:marTop w:val="0"/>
                  <w:marBottom w:val="0"/>
                  <w:divBdr>
                    <w:top w:val="none" w:sz="0" w:space="0" w:color="auto"/>
                    <w:left w:val="none" w:sz="0" w:space="0" w:color="auto"/>
                    <w:bottom w:val="none" w:sz="0" w:space="0" w:color="auto"/>
                    <w:right w:val="none" w:sz="0" w:space="0" w:color="auto"/>
                  </w:divBdr>
                  <w:divsChild>
                    <w:div w:id="1568421240">
                      <w:marLeft w:val="0"/>
                      <w:marRight w:val="0"/>
                      <w:marTop w:val="0"/>
                      <w:marBottom w:val="0"/>
                      <w:divBdr>
                        <w:top w:val="none" w:sz="0" w:space="0" w:color="auto"/>
                        <w:left w:val="none" w:sz="0" w:space="0" w:color="auto"/>
                        <w:bottom w:val="none" w:sz="0" w:space="0" w:color="auto"/>
                        <w:right w:val="none" w:sz="0" w:space="0" w:color="auto"/>
                      </w:divBdr>
                    </w:div>
                  </w:divsChild>
                </w:div>
                <w:div w:id="1425808392">
                  <w:marLeft w:val="0"/>
                  <w:marRight w:val="0"/>
                  <w:marTop w:val="0"/>
                  <w:marBottom w:val="0"/>
                  <w:divBdr>
                    <w:top w:val="none" w:sz="0" w:space="0" w:color="auto"/>
                    <w:left w:val="none" w:sz="0" w:space="0" w:color="auto"/>
                    <w:bottom w:val="none" w:sz="0" w:space="0" w:color="auto"/>
                    <w:right w:val="none" w:sz="0" w:space="0" w:color="auto"/>
                  </w:divBdr>
                  <w:divsChild>
                    <w:div w:id="1049839303">
                      <w:marLeft w:val="0"/>
                      <w:marRight w:val="0"/>
                      <w:marTop w:val="0"/>
                      <w:marBottom w:val="0"/>
                      <w:divBdr>
                        <w:top w:val="none" w:sz="0" w:space="0" w:color="auto"/>
                        <w:left w:val="none" w:sz="0" w:space="0" w:color="auto"/>
                        <w:bottom w:val="none" w:sz="0" w:space="0" w:color="auto"/>
                        <w:right w:val="none" w:sz="0" w:space="0" w:color="auto"/>
                      </w:divBdr>
                    </w:div>
                  </w:divsChild>
                </w:div>
                <w:div w:id="1443299724">
                  <w:marLeft w:val="0"/>
                  <w:marRight w:val="0"/>
                  <w:marTop w:val="0"/>
                  <w:marBottom w:val="0"/>
                  <w:divBdr>
                    <w:top w:val="none" w:sz="0" w:space="0" w:color="auto"/>
                    <w:left w:val="none" w:sz="0" w:space="0" w:color="auto"/>
                    <w:bottom w:val="none" w:sz="0" w:space="0" w:color="auto"/>
                    <w:right w:val="none" w:sz="0" w:space="0" w:color="auto"/>
                  </w:divBdr>
                  <w:divsChild>
                    <w:div w:id="910653040">
                      <w:marLeft w:val="0"/>
                      <w:marRight w:val="0"/>
                      <w:marTop w:val="0"/>
                      <w:marBottom w:val="0"/>
                      <w:divBdr>
                        <w:top w:val="none" w:sz="0" w:space="0" w:color="auto"/>
                        <w:left w:val="none" w:sz="0" w:space="0" w:color="auto"/>
                        <w:bottom w:val="none" w:sz="0" w:space="0" w:color="auto"/>
                        <w:right w:val="none" w:sz="0" w:space="0" w:color="auto"/>
                      </w:divBdr>
                    </w:div>
                  </w:divsChild>
                </w:div>
                <w:div w:id="1447236237">
                  <w:marLeft w:val="0"/>
                  <w:marRight w:val="0"/>
                  <w:marTop w:val="0"/>
                  <w:marBottom w:val="0"/>
                  <w:divBdr>
                    <w:top w:val="none" w:sz="0" w:space="0" w:color="auto"/>
                    <w:left w:val="none" w:sz="0" w:space="0" w:color="auto"/>
                    <w:bottom w:val="none" w:sz="0" w:space="0" w:color="auto"/>
                    <w:right w:val="none" w:sz="0" w:space="0" w:color="auto"/>
                  </w:divBdr>
                  <w:divsChild>
                    <w:div w:id="1284002554">
                      <w:marLeft w:val="0"/>
                      <w:marRight w:val="0"/>
                      <w:marTop w:val="0"/>
                      <w:marBottom w:val="0"/>
                      <w:divBdr>
                        <w:top w:val="none" w:sz="0" w:space="0" w:color="auto"/>
                        <w:left w:val="none" w:sz="0" w:space="0" w:color="auto"/>
                        <w:bottom w:val="none" w:sz="0" w:space="0" w:color="auto"/>
                        <w:right w:val="none" w:sz="0" w:space="0" w:color="auto"/>
                      </w:divBdr>
                    </w:div>
                  </w:divsChild>
                </w:div>
                <w:div w:id="1488980892">
                  <w:marLeft w:val="0"/>
                  <w:marRight w:val="0"/>
                  <w:marTop w:val="0"/>
                  <w:marBottom w:val="0"/>
                  <w:divBdr>
                    <w:top w:val="none" w:sz="0" w:space="0" w:color="auto"/>
                    <w:left w:val="none" w:sz="0" w:space="0" w:color="auto"/>
                    <w:bottom w:val="none" w:sz="0" w:space="0" w:color="auto"/>
                    <w:right w:val="none" w:sz="0" w:space="0" w:color="auto"/>
                  </w:divBdr>
                  <w:divsChild>
                    <w:div w:id="1665667172">
                      <w:marLeft w:val="0"/>
                      <w:marRight w:val="0"/>
                      <w:marTop w:val="0"/>
                      <w:marBottom w:val="0"/>
                      <w:divBdr>
                        <w:top w:val="none" w:sz="0" w:space="0" w:color="auto"/>
                        <w:left w:val="none" w:sz="0" w:space="0" w:color="auto"/>
                        <w:bottom w:val="none" w:sz="0" w:space="0" w:color="auto"/>
                        <w:right w:val="none" w:sz="0" w:space="0" w:color="auto"/>
                      </w:divBdr>
                    </w:div>
                  </w:divsChild>
                </w:div>
                <w:div w:id="1499879329">
                  <w:marLeft w:val="0"/>
                  <w:marRight w:val="0"/>
                  <w:marTop w:val="0"/>
                  <w:marBottom w:val="0"/>
                  <w:divBdr>
                    <w:top w:val="none" w:sz="0" w:space="0" w:color="auto"/>
                    <w:left w:val="none" w:sz="0" w:space="0" w:color="auto"/>
                    <w:bottom w:val="none" w:sz="0" w:space="0" w:color="auto"/>
                    <w:right w:val="none" w:sz="0" w:space="0" w:color="auto"/>
                  </w:divBdr>
                  <w:divsChild>
                    <w:div w:id="1088962283">
                      <w:marLeft w:val="0"/>
                      <w:marRight w:val="0"/>
                      <w:marTop w:val="0"/>
                      <w:marBottom w:val="0"/>
                      <w:divBdr>
                        <w:top w:val="none" w:sz="0" w:space="0" w:color="auto"/>
                        <w:left w:val="none" w:sz="0" w:space="0" w:color="auto"/>
                        <w:bottom w:val="none" w:sz="0" w:space="0" w:color="auto"/>
                        <w:right w:val="none" w:sz="0" w:space="0" w:color="auto"/>
                      </w:divBdr>
                    </w:div>
                  </w:divsChild>
                </w:div>
                <w:div w:id="1523283576">
                  <w:marLeft w:val="0"/>
                  <w:marRight w:val="0"/>
                  <w:marTop w:val="0"/>
                  <w:marBottom w:val="0"/>
                  <w:divBdr>
                    <w:top w:val="none" w:sz="0" w:space="0" w:color="auto"/>
                    <w:left w:val="none" w:sz="0" w:space="0" w:color="auto"/>
                    <w:bottom w:val="none" w:sz="0" w:space="0" w:color="auto"/>
                    <w:right w:val="none" w:sz="0" w:space="0" w:color="auto"/>
                  </w:divBdr>
                  <w:divsChild>
                    <w:div w:id="1981307159">
                      <w:marLeft w:val="0"/>
                      <w:marRight w:val="0"/>
                      <w:marTop w:val="0"/>
                      <w:marBottom w:val="0"/>
                      <w:divBdr>
                        <w:top w:val="none" w:sz="0" w:space="0" w:color="auto"/>
                        <w:left w:val="none" w:sz="0" w:space="0" w:color="auto"/>
                        <w:bottom w:val="none" w:sz="0" w:space="0" w:color="auto"/>
                        <w:right w:val="none" w:sz="0" w:space="0" w:color="auto"/>
                      </w:divBdr>
                    </w:div>
                  </w:divsChild>
                </w:div>
                <w:div w:id="1568801816">
                  <w:marLeft w:val="0"/>
                  <w:marRight w:val="0"/>
                  <w:marTop w:val="0"/>
                  <w:marBottom w:val="0"/>
                  <w:divBdr>
                    <w:top w:val="none" w:sz="0" w:space="0" w:color="auto"/>
                    <w:left w:val="none" w:sz="0" w:space="0" w:color="auto"/>
                    <w:bottom w:val="none" w:sz="0" w:space="0" w:color="auto"/>
                    <w:right w:val="none" w:sz="0" w:space="0" w:color="auto"/>
                  </w:divBdr>
                  <w:divsChild>
                    <w:div w:id="1899588231">
                      <w:marLeft w:val="0"/>
                      <w:marRight w:val="0"/>
                      <w:marTop w:val="0"/>
                      <w:marBottom w:val="0"/>
                      <w:divBdr>
                        <w:top w:val="none" w:sz="0" w:space="0" w:color="auto"/>
                        <w:left w:val="none" w:sz="0" w:space="0" w:color="auto"/>
                        <w:bottom w:val="none" w:sz="0" w:space="0" w:color="auto"/>
                        <w:right w:val="none" w:sz="0" w:space="0" w:color="auto"/>
                      </w:divBdr>
                    </w:div>
                  </w:divsChild>
                </w:div>
                <w:div w:id="1586302619">
                  <w:marLeft w:val="0"/>
                  <w:marRight w:val="0"/>
                  <w:marTop w:val="0"/>
                  <w:marBottom w:val="0"/>
                  <w:divBdr>
                    <w:top w:val="none" w:sz="0" w:space="0" w:color="auto"/>
                    <w:left w:val="none" w:sz="0" w:space="0" w:color="auto"/>
                    <w:bottom w:val="none" w:sz="0" w:space="0" w:color="auto"/>
                    <w:right w:val="none" w:sz="0" w:space="0" w:color="auto"/>
                  </w:divBdr>
                  <w:divsChild>
                    <w:div w:id="1995447183">
                      <w:marLeft w:val="0"/>
                      <w:marRight w:val="0"/>
                      <w:marTop w:val="0"/>
                      <w:marBottom w:val="0"/>
                      <w:divBdr>
                        <w:top w:val="none" w:sz="0" w:space="0" w:color="auto"/>
                        <w:left w:val="none" w:sz="0" w:space="0" w:color="auto"/>
                        <w:bottom w:val="none" w:sz="0" w:space="0" w:color="auto"/>
                        <w:right w:val="none" w:sz="0" w:space="0" w:color="auto"/>
                      </w:divBdr>
                    </w:div>
                  </w:divsChild>
                </w:div>
                <w:div w:id="1593008379">
                  <w:marLeft w:val="0"/>
                  <w:marRight w:val="0"/>
                  <w:marTop w:val="0"/>
                  <w:marBottom w:val="0"/>
                  <w:divBdr>
                    <w:top w:val="none" w:sz="0" w:space="0" w:color="auto"/>
                    <w:left w:val="none" w:sz="0" w:space="0" w:color="auto"/>
                    <w:bottom w:val="none" w:sz="0" w:space="0" w:color="auto"/>
                    <w:right w:val="none" w:sz="0" w:space="0" w:color="auto"/>
                  </w:divBdr>
                  <w:divsChild>
                    <w:div w:id="930427693">
                      <w:marLeft w:val="0"/>
                      <w:marRight w:val="0"/>
                      <w:marTop w:val="0"/>
                      <w:marBottom w:val="0"/>
                      <w:divBdr>
                        <w:top w:val="none" w:sz="0" w:space="0" w:color="auto"/>
                        <w:left w:val="none" w:sz="0" w:space="0" w:color="auto"/>
                        <w:bottom w:val="none" w:sz="0" w:space="0" w:color="auto"/>
                        <w:right w:val="none" w:sz="0" w:space="0" w:color="auto"/>
                      </w:divBdr>
                    </w:div>
                  </w:divsChild>
                </w:div>
                <w:div w:id="1600601217">
                  <w:marLeft w:val="0"/>
                  <w:marRight w:val="0"/>
                  <w:marTop w:val="0"/>
                  <w:marBottom w:val="0"/>
                  <w:divBdr>
                    <w:top w:val="none" w:sz="0" w:space="0" w:color="auto"/>
                    <w:left w:val="none" w:sz="0" w:space="0" w:color="auto"/>
                    <w:bottom w:val="none" w:sz="0" w:space="0" w:color="auto"/>
                    <w:right w:val="none" w:sz="0" w:space="0" w:color="auto"/>
                  </w:divBdr>
                  <w:divsChild>
                    <w:div w:id="851143500">
                      <w:marLeft w:val="0"/>
                      <w:marRight w:val="0"/>
                      <w:marTop w:val="0"/>
                      <w:marBottom w:val="0"/>
                      <w:divBdr>
                        <w:top w:val="none" w:sz="0" w:space="0" w:color="auto"/>
                        <w:left w:val="none" w:sz="0" w:space="0" w:color="auto"/>
                        <w:bottom w:val="none" w:sz="0" w:space="0" w:color="auto"/>
                        <w:right w:val="none" w:sz="0" w:space="0" w:color="auto"/>
                      </w:divBdr>
                    </w:div>
                  </w:divsChild>
                </w:div>
                <w:div w:id="1624192406">
                  <w:marLeft w:val="0"/>
                  <w:marRight w:val="0"/>
                  <w:marTop w:val="0"/>
                  <w:marBottom w:val="0"/>
                  <w:divBdr>
                    <w:top w:val="none" w:sz="0" w:space="0" w:color="auto"/>
                    <w:left w:val="none" w:sz="0" w:space="0" w:color="auto"/>
                    <w:bottom w:val="none" w:sz="0" w:space="0" w:color="auto"/>
                    <w:right w:val="none" w:sz="0" w:space="0" w:color="auto"/>
                  </w:divBdr>
                  <w:divsChild>
                    <w:div w:id="1857962258">
                      <w:marLeft w:val="0"/>
                      <w:marRight w:val="0"/>
                      <w:marTop w:val="0"/>
                      <w:marBottom w:val="0"/>
                      <w:divBdr>
                        <w:top w:val="none" w:sz="0" w:space="0" w:color="auto"/>
                        <w:left w:val="none" w:sz="0" w:space="0" w:color="auto"/>
                        <w:bottom w:val="none" w:sz="0" w:space="0" w:color="auto"/>
                        <w:right w:val="none" w:sz="0" w:space="0" w:color="auto"/>
                      </w:divBdr>
                    </w:div>
                  </w:divsChild>
                </w:div>
                <w:div w:id="1628391228">
                  <w:marLeft w:val="0"/>
                  <w:marRight w:val="0"/>
                  <w:marTop w:val="0"/>
                  <w:marBottom w:val="0"/>
                  <w:divBdr>
                    <w:top w:val="none" w:sz="0" w:space="0" w:color="auto"/>
                    <w:left w:val="none" w:sz="0" w:space="0" w:color="auto"/>
                    <w:bottom w:val="none" w:sz="0" w:space="0" w:color="auto"/>
                    <w:right w:val="none" w:sz="0" w:space="0" w:color="auto"/>
                  </w:divBdr>
                  <w:divsChild>
                    <w:div w:id="926233459">
                      <w:marLeft w:val="0"/>
                      <w:marRight w:val="0"/>
                      <w:marTop w:val="0"/>
                      <w:marBottom w:val="0"/>
                      <w:divBdr>
                        <w:top w:val="none" w:sz="0" w:space="0" w:color="auto"/>
                        <w:left w:val="none" w:sz="0" w:space="0" w:color="auto"/>
                        <w:bottom w:val="none" w:sz="0" w:space="0" w:color="auto"/>
                        <w:right w:val="none" w:sz="0" w:space="0" w:color="auto"/>
                      </w:divBdr>
                    </w:div>
                  </w:divsChild>
                </w:div>
                <w:div w:id="1643118851">
                  <w:marLeft w:val="0"/>
                  <w:marRight w:val="0"/>
                  <w:marTop w:val="0"/>
                  <w:marBottom w:val="0"/>
                  <w:divBdr>
                    <w:top w:val="none" w:sz="0" w:space="0" w:color="auto"/>
                    <w:left w:val="none" w:sz="0" w:space="0" w:color="auto"/>
                    <w:bottom w:val="none" w:sz="0" w:space="0" w:color="auto"/>
                    <w:right w:val="none" w:sz="0" w:space="0" w:color="auto"/>
                  </w:divBdr>
                  <w:divsChild>
                    <w:div w:id="910235602">
                      <w:marLeft w:val="0"/>
                      <w:marRight w:val="0"/>
                      <w:marTop w:val="0"/>
                      <w:marBottom w:val="0"/>
                      <w:divBdr>
                        <w:top w:val="none" w:sz="0" w:space="0" w:color="auto"/>
                        <w:left w:val="none" w:sz="0" w:space="0" w:color="auto"/>
                        <w:bottom w:val="none" w:sz="0" w:space="0" w:color="auto"/>
                        <w:right w:val="none" w:sz="0" w:space="0" w:color="auto"/>
                      </w:divBdr>
                    </w:div>
                  </w:divsChild>
                </w:div>
                <w:div w:id="1659307460">
                  <w:marLeft w:val="0"/>
                  <w:marRight w:val="0"/>
                  <w:marTop w:val="0"/>
                  <w:marBottom w:val="0"/>
                  <w:divBdr>
                    <w:top w:val="none" w:sz="0" w:space="0" w:color="auto"/>
                    <w:left w:val="none" w:sz="0" w:space="0" w:color="auto"/>
                    <w:bottom w:val="none" w:sz="0" w:space="0" w:color="auto"/>
                    <w:right w:val="none" w:sz="0" w:space="0" w:color="auto"/>
                  </w:divBdr>
                  <w:divsChild>
                    <w:div w:id="607734281">
                      <w:marLeft w:val="0"/>
                      <w:marRight w:val="0"/>
                      <w:marTop w:val="0"/>
                      <w:marBottom w:val="0"/>
                      <w:divBdr>
                        <w:top w:val="none" w:sz="0" w:space="0" w:color="auto"/>
                        <w:left w:val="none" w:sz="0" w:space="0" w:color="auto"/>
                        <w:bottom w:val="none" w:sz="0" w:space="0" w:color="auto"/>
                        <w:right w:val="none" w:sz="0" w:space="0" w:color="auto"/>
                      </w:divBdr>
                    </w:div>
                  </w:divsChild>
                </w:div>
                <w:div w:id="1661277272">
                  <w:marLeft w:val="0"/>
                  <w:marRight w:val="0"/>
                  <w:marTop w:val="0"/>
                  <w:marBottom w:val="0"/>
                  <w:divBdr>
                    <w:top w:val="none" w:sz="0" w:space="0" w:color="auto"/>
                    <w:left w:val="none" w:sz="0" w:space="0" w:color="auto"/>
                    <w:bottom w:val="none" w:sz="0" w:space="0" w:color="auto"/>
                    <w:right w:val="none" w:sz="0" w:space="0" w:color="auto"/>
                  </w:divBdr>
                  <w:divsChild>
                    <w:div w:id="1637907060">
                      <w:marLeft w:val="0"/>
                      <w:marRight w:val="0"/>
                      <w:marTop w:val="0"/>
                      <w:marBottom w:val="0"/>
                      <w:divBdr>
                        <w:top w:val="none" w:sz="0" w:space="0" w:color="auto"/>
                        <w:left w:val="none" w:sz="0" w:space="0" w:color="auto"/>
                        <w:bottom w:val="none" w:sz="0" w:space="0" w:color="auto"/>
                        <w:right w:val="none" w:sz="0" w:space="0" w:color="auto"/>
                      </w:divBdr>
                    </w:div>
                  </w:divsChild>
                </w:div>
                <w:div w:id="1666082843">
                  <w:marLeft w:val="0"/>
                  <w:marRight w:val="0"/>
                  <w:marTop w:val="0"/>
                  <w:marBottom w:val="0"/>
                  <w:divBdr>
                    <w:top w:val="none" w:sz="0" w:space="0" w:color="auto"/>
                    <w:left w:val="none" w:sz="0" w:space="0" w:color="auto"/>
                    <w:bottom w:val="none" w:sz="0" w:space="0" w:color="auto"/>
                    <w:right w:val="none" w:sz="0" w:space="0" w:color="auto"/>
                  </w:divBdr>
                  <w:divsChild>
                    <w:div w:id="1957910323">
                      <w:marLeft w:val="0"/>
                      <w:marRight w:val="0"/>
                      <w:marTop w:val="0"/>
                      <w:marBottom w:val="0"/>
                      <w:divBdr>
                        <w:top w:val="none" w:sz="0" w:space="0" w:color="auto"/>
                        <w:left w:val="none" w:sz="0" w:space="0" w:color="auto"/>
                        <w:bottom w:val="none" w:sz="0" w:space="0" w:color="auto"/>
                        <w:right w:val="none" w:sz="0" w:space="0" w:color="auto"/>
                      </w:divBdr>
                    </w:div>
                  </w:divsChild>
                </w:div>
                <w:div w:id="1678311696">
                  <w:marLeft w:val="0"/>
                  <w:marRight w:val="0"/>
                  <w:marTop w:val="0"/>
                  <w:marBottom w:val="0"/>
                  <w:divBdr>
                    <w:top w:val="none" w:sz="0" w:space="0" w:color="auto"/>
                    <w:left w:val="none" w:sz="0" w:space="0" w:color="auto"/>
                    <w:bottom w:val="none" w:sz="0" w:space="0" w:color="auto"/>
                    <w:right w:val="none" w:sz="0" w:space="0" w:color="auto"/>
                  </w:divBdr>
                  <w:divsChild>
                    <w:div w:id="710957268">
                      <w:marLeft w:val="0"/>
                      <w:marRight w:val="0"/>
                      <w:marTop w:val="0"/>
                      <w:marBottom w:val="0"/>
                      <w:divBdr>
                        <w:top w:val="none" w:sz="0" w:space="0" w:color="auto"/>
                        <w:left w:val="none" w:sz="0" w:space="0" w:color="auto"/>
                        <w:bottom w:val="none" w:sz="0" w:space="0" w:color="auto"/>
                        <w:right w:val="none" w:sz="0" w:space="0" w:color="auto"/>
                      </w:divBdr>
                    </w:div>
                  </w:divsChild>
                </w:div>
                <w:div w:id="1702900559">
                  <w:marLeft w:val="0"/>
                  <w:marRight w:val="0"/>
                  <w:marTop w:val="0"/>
                  <w:marBottom w:val="0"/>
                  <w:divBdr>
                    <w:top w:val="none" w:sz="0" w:space="0" w:color="auto"/>
                    <w:left w:val="none" w:sz="0" w:space="0" w:color="auto"/>
                    <w:bottom w:val="none" w:sz="0" w:space="0" w:color="auto"/>
                    <w:right w:val="none" w:sz="0" w:space="0" w:color="auto"/>
                  </w:divBdr>
                  <w:divsChild>
                    <w:div w:id="1738702172">
                      <w:marLeft w:val="0"/>
                      <w:marRight w:val="0"/>
                      <w:marTop w:val="0"/>
                      <w:marBottom w:val="0"/>
                      <w:divBdr>
                        <w:top w:val="none" w:sz="0" w:space="0" w:color="auto"/>
                        <w:left w:val="none" w:sz="0" w:space="0" w:color="auto"/>
                        <w:bottom w:val="none" w:sz="0" w:space="0" w:color="auto"/>
                        <w:right w:val="none" w:sz="0" w:space="0" w:color="auto"/>
                      </w:divBdr>
                    </w:div>
                  </w:divsChild>
                </w:div>
                <w:div w:id="1725251474">
                  <w:marLeft w:val="0"/>
                  <w:marRight w:val="0"/>
                  <w:marTop w:val="0"/>
                  <w:marBottom w:val="0"/>
                  <w:divBdr>
                    <w:top w:val="none" w:sz="0" w:space="0" w:color="auto"/>
                    <w:left w:val="none" w:sz="0" w:space="0" w:color="auto"/>
                    <w:bottom w:val="none" w:sz="0" w:space="0" w:color="auto"/>
                    <w:right w:val="none" w:sz="0" w:space="0" w:color="auto"/>
                  </w:divBdr>
                  <w:divsChild>
                    <w:div w:id="1163087219">
                      <w:marLeft w:val="0"/>
                      <w:marRight w:val="0"/>
                      <w:marTop w:val="0"/>
                      <w:marBottom w:val="0"/>
                      <w:divBdr>
                        <w:top w:val="none" w:sz="0" w:space="0" w:color="auto"/>
                        <w:left w:val="none" w:sz="0" w:space="0" w:color="auto"/>
                        <w:bottom w:val="none" w:sz="0" w:space="0" w:color="auto"/>
                        <w:right w:val="none" w:sz="0" w:space="0" w:color="auto"/>
                      </w:divBdr>
                    </w:div>
                  </w:divsChild>
                </w:div>
                <w:div w:id="1755130407">
                  <w:marLeft w:val="0"/>
                  <w:marRight w:val="0"/>
                  <w:marTop w:val="0"/>
                  <w:marBottom w:val="0"/>
                  <w:divBdr>
                    <w:top w:val="none" w:sz="0" w:space="0" w:color="auto"/>
                    <w:left w:val="none" w:sz="0" w:space="0" w:color="auto"/>
                    <w:bottom w:val="none" w:sz="0" w:space="0" w:color="auto"/>
                    <w:right w:val="none" w:sz="0" w:space="0" w:color="auto"/>
                  </w:divBdr>
                  <w:divsChild>
                    <w:div w:id="597445840">
                      <w:marLeft w:val="0"/>
                      <w:marRight w:val="0"/>
                      <w:marTop w:val="0"/>
                      <w:marBottom w:val="0"/>
                      <w:divBdr>
                        <w:top w:val="none" w:sz="0" w:space="0" w:color="auto"/>
                        <w:left w:val="none" w:sz="0" w:space="0" w:color="auto"/>
                        <w:bottom w:val="none" w:sz="0" w:space="0" w:color="auto"/>
                        <w:right w:val="none" w:sz="0" w:space="0" w:color="auto"/>
                      </w:divBdr>
                    </w:div>
                  </w:divsChild>
                </w:div>
                <w:div w:id="1768117186">
                  <w:marLeft w:val="0"/>
                  <w:marRight w:val="0"/>
                  <w:marTop w:val="0"/>
                  <w:marBottom w:val="0"/>
                  <w:divBdr>
                    <w:top w:val="none" w:sz="0" w:space="0" w:color="auto"/>
                    <w:left w:val="none" w:sz="0" w:space="0" w:color="auto"/>
                    <w:bottom w:val="none" w:sz="0" w:space="0" w:color="auto"/>
                    <w:right w:val="none" w:sz="0" w:space="0" w:color="auto"/>
                  </w:divBdr>
                  <w:divsChild>
                    <w:div w:id="327099914">
                      <w:marLeft w:val="0"/>
                      <w:marRight w:val="0"/>
                      <w:marTop w:val="0"/>
                      <w:marBottom w:val="0"/>
                      <w:divBdr>
                        <w:top w:val="none" w:sz="0" w:space="0" w:color="auto"/>
                        <w:left w:val="none" w:sz="0" w:space="0" w:color="auto"/>
                        <w:bottom w:val="none" w:sz="0" w:space="0" w:color="auto"/>
                        <w:right w:val="none" w:sz="0" w:space="0" w:color="auto"/>
                      </w:divBdr>
                    </w:div>
                  </w:divsChild>
                </w:div>
                <w:div w:id="1771929287">
                  <w:marLeft w:val="0"/>
                  <w:marRight w:val="0"/>
                  <w:marTop w:val="0"/>
                  <w:marBottom w:val="0"/>
                  <w:divBdr>
                    <w:top w:val="none" w:sz="0" w:space="0" w:color="auto"/>
                    <w:left w:val="none" w:sz="0" w:space="0" w:color="auto"/>
                    <w:bottom w:val="none" w:sz="0" w:space="0" w:color="auto"/>
                    <w:right w:val="none" w:sz="0" w:space="0" w:color="auto"/>
                  </w:divBdr>
                  <w:divsChild>
                    <w:div w:id="1373192856">
                      <w:marLeft w:val="0"/>
                      <w:marRight w:val="0"/>
                      <w:marTop w:val="0"/>
                      <w:marBottom w:val="0"/>
                      <w:divBdr>
                        <w:top w:val="none" w:sz="0" w:space="0" w:color="auto"/>
                        <w:left w:val="none" w:sz="0" w:space="0" w:color="auto"/>
                        <w:bottom w:val="none" w:sz="0" w:space="0" w:color="auto"/>
                        <w:right w:val="none" w:sz="0" w:space="0" w:color="auto"/>
                      </w:divBdr>
                    </w:div>
                  </w:divsChild>
                </w:div>
                <w:div w:id="1784378474">
                  <w:marLeft w:val="0"/>
                  <w:marRight w:val="0"/>
                  <w:marTop w:val="0"/>
                  <w:marBottom w:val="0"/>
                  <w:divBdr>
                    <w:top w:val="none" w:sz="0" w:space="0" w:color="auto"/>
                    <w:left w:val="none" w:sz="0" w:space="0" w:color="auto"/>
                    <w:bottom w:val="none" w:sz="0" w:space="0" w:color="auto"/>
                    <w:right w:val="none" w:sz="0" w:space="0" w:color="auto"/>
                  </w:divBdr>
                  <w:divsChild>
                    <w:div w:id="1196623398">
                      <w:marLeft w:val="0"/>
                      <w:marRight w:val="0"/>
                      <w:marTop w:val="0"/>
                      <w:marBottom w:val="0"/>
                      <w:divBdr>
                        <w:top w:val="none" w:sz="0" w:space="0" w:color="auto"/>
                        <w:left w:val="none" w:sz="0" w:space="0" w:color="auto"/>
                        <w:bottom w:val="none" w:sz="0" w:space="0" w:color="auto"/>
                        <w:right w:val="none" w:sz="0" w:space="0" w:color="auto"/>
                      </w:divBdr>
                    </w:div>
                  </w:divsChild>
                </w:div>
                <w:div w:id="1796173978">
                  <w:marLeft w:val="0"/>
                  <w:marRight w:val="0"/>
                  <w:marTop w:val="0"/>
                  <w:marBottom w:val="0"/>
                  <w:divBdr>
                    <w:top w:val="none" w:sz="0" w:space="0" w:color="auto"/>
                    <w:left w:val="none" w:sz="0" w:space="0" w:color="auto"/>
                    <w:bottom w:val="none" w:sz="0" w:space="0" w:color="auto"/>
                    <w:right w:val="none" w:sz="0" w:space="0" w:color="auto"/>
                  </w:divBdr>
                  <w:divsChild>
                    <w:div w:id="1276402690">
                      <w:marLeft w:val="0"/>
                      <w:marRight w:val="0"/>
                      <w:marTop w:val="0"/>
                      <w:marBottom w:val="0"/>
                      <w:divBdr>
                        <w:top w:val="none" w:sz="0" w:space="0" w:color="auto"/>
                        <w:left w:val="none" w:sz="0" w:space="0" w:color="auto"/>
                        <w:bottom w:val="none" w:sz="0" w:space="0" w:color="auto"/>
                        <w:right w:val="none" w:sz="0" w:space="0" w:color="auto"/>
                      </w:divBdr>
                    </w:div>
                  </w:divsChild>
                </w:div>
                <w:div w:id="1813675645">
                  <w:marLeft w:val="0"/>
                  <w:marRight w:val="0"/>
                  <w:marTop w:val="0"/>
                  <w:marBottom w:val="0"/>
                  <w:divBdr>
                    <w:top w:val="none" w:sz="0" w:space="0" w:color="auto"/>
                    <w:left w:val="none" w:sz="0" w:space="0" w:color="auto"/>
                    <w:bottom w:val="none" w:sz="0" w:space="0" w:color="auto"/>
                    <w:right w:val="none" w:sz="0" w:space="0" w:color="auto"/>
                  </w:divBdr>
                  <w:divsChild>
                    <w:div w:id="1550148761">
                      <w:marLeft w:val="0"/>
                      <w:marRight w:val="0"/>
                      <w:marTop w:val="0"/>
                      <w:marBottom w:val="0"/>
                      <w:divBdr>
                        <w:top w:val="none" w:sz="0" w:space="0" w:color="auto"/>
                        <w:left w:val="none" w:sz="0" w:space="0" w:color="auto"/>
                        <w:bottom w:val="none" w:sz="0" w:space="0" w:color="auto"/>
                        <w:right w:val="none" w:sz="0" w:space="0" w:color="auto"/>
                      </w:divBdr>
                    </w:div>
                  </w:divsChild>
                </w:div>
                <w:div w:id="1818180341">
                  <w:marLeft w:val="0"/>
                  <w:marRight w:val="0"/>
                  <w:marTop w:val="0"/>
                  <w:marBottom w:val="0"/>
                  <w:divBdr>
                    <w:top w:val="none" w:sz="0" w:space="0" w:color="auto"/>
                    <w:left w:val="none" w:sz="0" w:space="0" w:color="auto"/>
                    <w:bottom w:val="none" w:sz="0" w:space="0" w:color="auto"/>
                    <w:right w:val="none" w:sz="0" w:space="0" w:color="auto"/>
                  </w:divBdr>
                  <w:divsChild>
                    <w:div w:id="421873935">
                      <w:marLeft w:val="0"/>
                      <w:marRight w:val="0"/>
                      <w:marTop w:val="0"/>
                      <w:marBottom w:val="0"/>
                      <w:divBdr>
                        <w:top w:val="none" w:sz="0" w:space="0" w:color="auto"/>
                        <w:left w:val="none" w:sz="0" w:space="0" w:color="auto"/>
                        <w:bottom w:val="none" w:sz="0" w:space="0" w:color="auto"/>
                        <w:right w:val="none" w:sz="0" w:space="0" w:color="auto"/>
                      </w:divBdr>
                    </w:div>
                  </w:divsChild>
                </w:div>
                <w:div w:id="1824856747">
                  <w:marLeft w:val="0"/>
                  <w:marRight w:val="0"/>
                  <w:marTop w:val="0"/>
                  <w:marBottom w:val="0"/>
                  <w:divBdr>
                    <w:top w:val="none" w:sz="0" w:space="0" w:color="auto"/>
                    <w:left w:val="none" w:sz="0" w:space="0" w:color="auto"/>
                    <w:bottom w:val="none" w:sz="0" w:space="0" w:color="auto"/>
                    <w:right w:val="none" w:sz="0" w:space="0" w:color="auto"/>
                  </w:divBdr>
                  <w:divsChild>
                    <w:div w:id="1428312029">
                      <w:marLeft w:val="0"/>
                      <w:marRight w:val="0"/>
                      <w:marTop w:val="0"/>
                      <w:marBottom w:val="0"/>
                      <w:divBdr>
                        <w:top w:val="none" w:sz="0" w:space="0" w:color="auto"/>
                        <w:left w:val="none" w:sz="0" w:space="0" w:color="auto"/>
                        <w:bottom w:val="none" w:sz="0" w:space="0" w:color="auto"/>
                        <w:right w:val="none" w:sz="0" w:space="0" w:color="auto"/>
                      </w:divBdr>
                    </w:div>
                  </w:divsChild>
                </w:div>
                <w:div w:id="1834057061">
                  <w:marLeft w:val="0"/>
                  <w:marRight w:val="0"/>
                  <w:marTop w:val="0"/>
                  <w:marBottom w:val="0"/>
                  <w:divBdr>
                    <w:top w:val="none" w:sz="0" w:space="0" w:color="auto"/>
                    <w:left w:val="none" w:sz="0" w:space="0" w:color="auto"/>
                    <w:bottom w:val="none" w:sz="0" w:space="0" w:color="auto"/>
                    <w:right w:val="none" w:sz="0" w:space="0" w:color="auto"/>
                  </w:divBdr>
                  <w:divsChild>
                    <w:div w:id="974987713">
                      <w:marLeft w:val="0"/>
                      <w:marRight w:val="0"/>
                      <w:marTop w:val="0"/>
                      <w:marBottom w:val="0"/>
                      <w:divBdr>
                        <w:top w:val="none" w:sz="0" w:space="0" w:color="auto"/>
                        <w:left w:val="none" w:sz="0" w:space="0" w:color="auto"/>
                        <w:bottom w:val="none" w:sz="0" w:space="0" w:color="auto"/>
                        <w:right w:val="none" w:sz="0" w:space="0" w:color="auto"/>
                      </w:divBdr>
                    </w:div>
                  </w:divsChild>
                </w:div>
                <w:div w:id="1836411212">
                  <w:marLeft w:val="0"/>
                  <w:marRight w:val="0"/>
                  <w:marTop w:val="0"/>
                  <w:marBottom w:val="0"/>
                  <w:divBdr>
                    <w:top w:val="none" w:sz="0" w:space="0" w:color="auto"/>
                    <w:left w:val="none" w:sz="0" w:space="0" w:color="auto"/>
                    <w:bottom w:val="none" w:sz="0" w:space="0" w:color="auto"/>
                    <w:right w:val="none" w:sz="0" w:space="0" w:color="auto"/>
                  </w:divBdr>
                  <w:divsChild>
                    <w:div w:id="1871648852">
                      <w:marLeft w:val="0"/>
                      <w:marRight w:val="0"/>
                      <w:marTop w:val="0"/>
                      <w:marBottom w:val="0"/>
                      <w:divBdr>
                        <w:top w:val="none" w:sz="0" w:space="0" w:color="auto"/>
                        <w:left w:val="none" w:sz="0" w:space="0" w:color="auto"/>
                        <w:bottom w:val="none" w:sz="0" w:space="0" w:color="auto"/>
                        <w:right w:val="none" w:sz="0" w:space="0" w:color="auto"/>
                      </w:divBdr>
                    </w:div>
                  </w:divsChild>
                </w:div>
                <w:div w:id="1847665896">
                  <w:marLeft w:val="0"/>
                  <w:marRight w:val="0"/>
                  <w:marTop w:val="0"/>
                  <w:marBottom w:val="0"/>
                  <w:divBdr>
                    <w:top w:val="none" w:sz="0" w:space="0" w:color="auto"/>
                    <w:left w:val="none" w:sz="0" w:space="0" w:color="auto"/>
                    <w:bottom w:val="none" w:sz="0" w:space="0" w:color="auto"/>
                    <w:right w:val="none" w:sz="0" w:space="0" w:color="auto"/>
                  </w:divBdr>
                  <w:divsChild>
                    <w:div w:id="785656824">
                      <w:marLeft w:val="0"/>
                      <w:marRight w:val="0"/>
                      <w:marTop w:val="0"/>
                      <w:marBottom w:val="0"/>
                      <w:divBdr>
                        <w:top w:val="none" w:sz="0" w:space="0" w:color="auto"/>
                        <w:left w:val="none" w:sz="0" w:space="0" w:color="auto"/>
                        <w:bottom w:val="none" w:sz="0" w:space="0" w:color="auto"/>
                        <w:right w:val="none" w:sz="0" w:space="0" w:color="auto"/>
                      </w:divBdr>
                    </w:div>
                  </w:divsChild>
                </w:div>
                <w:div w:id="1857380342">
                  <w:marLeft w:val="0"/>
                  <w:marRight w:val="0"/>
                  <w:marTop w:val="0"/>
                  <w:marBottom w:val="0"/>
                  <w:divBdr>
                    <w:top w:val="none" w:sz="0" w:space="0" w:color="auto"/>
                    <w:left w:val="none" w:sz="0" w:space="0" w:color="auto"/>
                    <w:bottom w:val="none" w:sz="0" w:space="0" w:color="auto"/>
                    <w:right w:val="none" w:sz="0" w:space="0" w:color="auto"/>
                  </w:divBdr>
                  <w:divsChild>
                    <w:div w:id="981812378">
                      <w:marLeft w:val="0"/>
                      <w:marRight w:val="0"/>
                      <w:marTop w:val="0"/>
                      <w:marBottom w:val="0"/>
                      <w:divBdr>
                        <w:top w:val="none" w:sz="0" w:space="0" w:color="auto"/>
                        <w:left w:val="none" w:sz="0" w:space="0" w:color="auto"/>
                        <w:bottom w:val="none" w:sz="0" w:space="0" w:color="auto"/>
                        <w:right w:val="none" w:sz="0" w:space="0" w:color="auto"/>
                      </w:divBdr>
                    </w:div>
                  </w:divsChild>
                </w:div>
                <w:div w:id="1859461772">
                  <w:marLeft w:val="0"/>
                  <w:marRight w:val="0"/>
                  <w:marTop w:val="0"/>
                  <w:marBottom w:val="0"/>
                  <w:divBdr>
                    <w:top w:val="none" w:sz="0" w:space="0" w:color="auto"/>
                    <w:left w:val="none" w:sz="0" w:space="0" w:color="auto"/>
                    <w:bottom w:val="none" w:sz="0" w:space="0" w:color="auto"/>
                    <w:right w:val="none" w:sz="0" w:space="0" w:color="auto"/>
                  </w:divBdr>
                  <w:divsChild>
                    <w:div w:id="2013482983">
                      <w:marLeft w:val="0"/>
                      <w:marRight w:val="0"/>
                      <w:marTop w:val="0"/>
                      <w:marBottom w:val="0"/>
                      <w:divBdr>
                        <w:top w:val="none" w:sz="0" w:space="0" w:color="auto"/>
                        <w:left w:val="none" w:sz="0" w:space="0" w:color="auto"/>
                        <w:bottom w:val="none" w:sz="0" w:space="0" w:color="auto"/>
                        <w:right w:val="none" w:sz="0" w:space="0" w:color="auto"/>
                      </w:divBdr>
                    </w:div>
                  </w:divsChild>
                </w:div>
                <w:div w:id="1869562382">
                  <w:marLeft w:val="0"/>
                  <w:marRight w:val="0"/>
                  <w:marTop w:val="0"/>
                  <w:marBottom w:val="0"/>
                  <w:divBdr>
                    <w:top w:val="none" w:sz="0" w:space="0" w:color="auto"/>
                    <w:left w:val="none" w:sz="0" w:space="0" w:color="auto"/>
                    <w:bottom w:val="none" w:sz="0" w:space="0" w:color="auto"/>
                    <w:right w:val="none" w:sz="0" w:space="0" w:color="auto"/>
                  </w:divBdr>
                  <w:divsChild>
                    <w:div w:id="828865557">
                      <w:marLeft w:val="0"/>
                      <w:marRight w:val="0"/>
                      <w:marTop w:val="0"/>
                      <w:marBottom w:val="0"/>
                      <w:divBdr>
                        <w:top w:val="none" w:sz="0" w:space="0" w:color="auto"/>
                        <w:left w:val="none" w:sz="0" w:space="0" w:color="auto"/>
                        <w:bottom w:val="none" w:sz="0" w:space="0" w:color="auto"/>
                        <w:right w:val="none" w:sz="0" w:space="0" w:color="auto"/>
                      </w:divBdr>
                    </w:div>
                  </w:divsChild>
                </w:div>
                <w:div w:id="1870485747">
                  <w:marLeft w:val="0"/>
                  <w:marRight w:val="0"/>
                  <w:marTop w:val="0"/>
                  <w:marBottom w:val="0"/>
                  <w:divBdr>
                    <w:top w:val="none" w:sz="0" w:space="0" w:color="auto"/>
                    <w:left w:val="none" w:sz="0" w:space="0" w:color="auto"/>
                    <w:bottom w:val="none" w:sz="0" w:space="0" w:color="auto"/>
                    <w:right w:val="none" w:sz="0" w:space="0" w:color="auto"/>
                  </w:divBdr>
                  <w:divsChild>
                    <w:div w:id="1124663886">
                      <w:marLeft w:val="0"/>
                      <w:marRight w:val="0"/>
                      <w:marTop w:val="0"/>
                      <w:marBottom w:val="0"/>
                      <w:divBdr>
                        <w:top w:val="none" w:sz="0" w:space="0" w:color="auto"/>
                        <w:left w:val="none" w:sz="0" w:space="0" w:color="auto"/>
                        <w:bottom w:val="none" w:sz="0" w:space="0" w:color="auto"/>
                        <w:right w:val="none" w:sz="0" w:space="0" w:color="auto"/>
                      </w:divBdr>
                    </w:div>
                  </w:divsChild>
                </w:div>
                <w:div w:id="1880897504">
                  <w:marLeft w:val="0"/>
                  <w:marRight w:val="0"/>
                  <w:marTop w:val="0"/>
                  <w:marBottom w:val="0"/>
                  <w:divBdr>
                    <w:top w:val="none" w:sz="0" w:space="0" w:color="auto"/>
                    <w:left w:val="none" w:sz="0" w:space="0" w:color="auto"/>
                    <w:bottom w:val="none" w:sz="0" w:space="0" w:color="auto"/>
                    <w:right w:val="none" w:sz="0" w:space="0" w:color="auto"/>
                  </w:divBdr>
                  <w:divsChild>
                    <w:div w:id="1656179570">
                      <w:marLeft w:val="0"/>
                      <w:marRight w:val="0"/>
                      <w:marTop w:val="0"/>
                      <w:marBottom w:val="0"/>
                      <w:divBdr>
                        <w:top w:val="none" w:sz="0" w:space="0" w:color="auto"/>
                        <w:left w:val="none" w:sz="0" w:space="0" w:color="auto"/>
                        <w:bottom w:val="none" w:sz="0" w:space="0" w:color="auto"/>
                        <w:right w:val="none" w:sz="0" w:space="0" w:color="auto"/>
                      </w:divBdr>
                    </w:div>
                  </w:divsChild>
                </w:div>
                <w:div w:id="1884322428">
                  <w:marLeft w:val="0"/>
                  <w:marRight w:val="0"/>
                  <w:marTop w:val="0"/>
                  <w:marBottom w:val="0"/>
                  <w:divBdr>
                    <w:top w:val="none" w:sz="0" w:space="0" w:color="auto"/>
                    <w:left w:val="none" w:sz="0" w:space="0" w:color="auto"/>
                    <w:bottom w:val="none" w:sz="0" w:space="0" w:color="auto"/>
                    <w:right w:val="none" w:sz="0" w:space="0" w:color="auto"/>
                  </w:divBdr>
                  <w:divsChild>
                    <w:div w:id="426853160">
                      <w:marLeft w:val="0"/>
                      <w:marRight w:val="0"/>
                      <w:marTop w:val="0"/>
                      <w:marBottom w:val="0"/>
                      <w:divBdr>
                        <w:top w:val="none" w:sz="0" w:space="0" w:color="auto"/>
                        <w:left w:val="none" w:sz="0" w:space="0" w:color="auto"/>
                        <w:bottom w:val="none" w:sz="0" w:space="0" w:color="auto"/>
                        <w:right w:val="none" w:sz="0" w:space="0" w:color="auto"/>
                      </w:divBdr>
                    </w:div>
                  </w:divsChild>
                </w:div>
                <w:div w:id="1903251066">
                  <w:marLeft w:val="0"/>
                  <w:marRight w:val="0"/>
                  <w:marTop w:val="0"/>
                  <w:marBottom w:val="0"/>
                  <w:divBdr>
                    <w:top w:val="none" w:sz="0" w:space="0" w:color="auto"/>
                    <w:left w:val="none" w:sz="0" w:space="0" w:color="auto"/>
                    <w:bottom w:val="none" w:sz="0" w:space="0" w:color="auto"/>
                    <w:right w:val="none" w:sz="0" w:space="0" w:color="auto"/>
                  </w:divBdr>
                  <w:divsChild>
                    <w:div w:id="136993471">
                      <w:marLeft w:val="0"/>
                      <w:marRight w:val="0"/>
                      <w:marTop w:val="0"/>
                      <w:marBottom w:val="0"/>
                      <w:divBdr>
                        <w:top w:val="none" w:sz="0" w:space="0" w:color="auto"/>
                        <w:left w:val="none" w:sz="0" w:space="0" w:color="auto"/>
                        <w:bottom w:val="none" w:sz="0" w:space="0" w:color="auto"/>
                        <w:right w:val="none" w:sz="0" w:space="0" w:color="auto"/>
                      </w:divBdr>
                    </w:div>
                  </w:divsChild>
                </w:div>
                <w:div w:id="1907185379">
                  <w:marLeft w:val="0"/>
                  <w:marRight w:val="0"/>
                  <w:marTop w:val="0"/>
                  <w:marBottom w:val="0"/>
                  <w:divBdr>
                    <w:top w:val="none" w:sz="0" w:space="0" w:color="auto"/>
                    <w:left w:val="none" w:sz="0" w:space="0" w:color="auto"/>
                    <w:bottom w:val="none" w:sz="0" w:space="0" w:color="auto"/>
                    <w:right w:val="none" w:sz="0" w:space="0" w:color="auto"/>
                  </w:divBdr>
                  <w:divsChild>
                    <w:div w:id="1512332584">
                      <w:marLeft w:val="0"/>
                      <w:marRight w:val="0"/>
                      <w:marTop w:val="0"/>
                      <w:marBottom w:val="0"/>
                      <w:divBdr>
                        <w:top w:val="none" w:sz="0" w:space="0" w:color="auto"/>
                        <w:left w:val="none" w:sz="0" w:space="0" w:color="auto"/>
                        <w:bottom w:val="none" w:sz="0" w:space="0" w:color="auto"/>
                        <w:right w:val="none" w:sz="0" w:space="0" w:color="auto"/>
                      </w:divBdr>
                    </w:div>
                  </w:divsChild>
                </w:div>
                <w:div w:id="1956448468">
                  <w:marLeft w:val="0"/>
                  <w:marRight w:val="0"/>
                  <w:marTop w:val="0"/>
                  <w:marBottom w:val="0"/>
                  <w:divBdr>
                    <w:top w:val="none" w:sz="0" w:space="0" w:color="auto"/>
                    <w:left w:val="none" w:sz="0" w:space="0" w:color="auto"/>
                    <w:bottom w:val="none" w:sz="0" w:space="0" w:color="auto"/>
                    <w:right w:val="none" w:sz="0" w:space="0" w:color="auto"/>
                  </w:divBdr>
                  <w:divsChild>
                    <w:div w:id="1845707914">
                      <w:marLeft w:val="0"/>
                      <w:marRight w:val="0"/>
                      <w:marTop w:val="0"/>
                      <w:marBottom w:val="0"/>
                      <w:divBdr>
                        <w:top w:val="none" w:sz="0" w:space="0" w:color="auto"/>
                        <w:left w:val="none" w:sz="0" w:space="0" w:color="auto"/>
                        <w:bottom w:val="none" w:sz="0" w:space="0" w:color="auto"/>
                        <w:right w:val="none" w:sz="0" w:space="0" w:color="auto"/>
                      </w:divBdr>
                    </w:div>
                  </w:divsChild>
                </w:div>
                <w:div w:id="1963148597">
                  <w:marLeft w:val="0"/>
                  <w:marRight w:val="0"/>
                  <w:marTop w:val="0"/>
                  <w:marBottom w:val="0"/>
                  <w:divBdr>
                    <w:top w:val="none" w:sz="0" w:space="0" w:color="auto"/>
                    <w:left w:val="none" w:sz="0" w:space="0" w:color="auto"/>
                    <w:bottom w:val="none" w:sz="0" w:space="0" w:color="auto"/>
                    <w:right w:val="none" w:sz="0" w:space="0" w:color="auto"/>
                  </w:divBdr>
                  <w:divsChild>
                    <w:div w:id="1237520305">
                      <w:marLeft w:val="0"/>
                      <w:marRight w:val="0"/>
                      <w:marTop w:val="0"/>
                      <w:marBottom w:val="0"/>
                      <w:divBdr>
                        <w:top w:val="none" w:sz="0" w:space="0" w:color="auto"/>
                        <w:left w:val="none" w:sz="0" w:space="0" w:color="auto"/>
                        <w:bottom w:val="none" w:sz="0" w:space="0" w:color="auto"/>
                        <w:right w:val="none" w:sz="0" w:space="0" w:color="auto"/>
                      </w:divBdr>
                    </w:div>
                  </w:divsChild>
                </w:div>
                <w:div w:id="1965580163">
                  <w:marLeft w:val="0"/>
                  <w:marRight w:val="0"/>
                  <w:marTop w:val="0"/>
                  <w:marBottom w:val="0"/>
                  <w:divBdr>
                    <w:top w:val="none" w:sz="0" w:space="0" w:color="auto"/>
                    <w:left w:val="none" w:sz="0" w:space="0" w:color="auto"/>
                    <w:bottom w:val="none" w:sz="0" w:space="0" w:color="auto"/>
                    <w:right w:val="none" w:sz="0" w:space="0" w:color="auto"/>
                  </w:divBdr>
                  <w:divsChild>
                    <w:div w:id="1701008143">
                      <w:marLeft w:val="0"/>
                      <w:marRight w:val="0"/>
                      <w:marTop w:val="0"/>
                      <w:marBottom w:val="0"/>
                      <w:divBdr>
                        <w:top w:val="none" w:sz="0" w:space="0" w:color="auto"/>
                        <w:left w:val="none" w:sz="0" w:space="0" w:color="auto"/>
                        <w:bottom w:val="none" w:sz="0" w:space="0" w:color="auto"/>
                        <w:right w:val="none" w:sz="0" w:space="0" w:color="auto"/>
                      </w:divBdr>
                    </w:div>
                  </w:divsChild>
                </w:div>
                <w:div w:id="1984965253">
                  <w:marLeft w:val="0"/>
                  <w:marRight w:val="0"/>
                  <w:marTop w:val="0"/>
                  <w:marBottom w:val="0"/>
                  <w:divBdr>
                    <w:top w:val="none" w:sz="0" w:space="0" w:color="auto"/>
                    <w:left w:val="none" w:sz="0" w:space="0" w:color="auto"/>
                    <w:bottom w:val="none" w:sz="0" w:space="0" w:color="auto"/>
                    <w:right w:val="none" w:sz="0" w:space="0" w:color="auto"/>
                  </w:divBdr>
                  <w:divsChild>
                    <w:div w:id="1941716102">
                      <w:marLeft w:val="0"/>
                      <w:marRight w:val="0"/>
                      <w:marTop w:val="0"/>
                      <w:marBottom w:val="0"/>
                      <w:divBdr>
                        <w:top w:val="none" w:sz="0" w:space="0" w:color="auto"/>
                        <w:left w:val="none" w:sz="0" w:space="0" w:color="auto"/>
                        <w:bottom w:val="none" w:sz="0" w:space="0" w:color="auto"/>
                        <w:right w:val="none" w:sz="0" w:space="0" w:color="auto"/>
                      </w:divBdr>
                    </w:div>
                  </w:divsChild>
                </w:div>
                <w:div w:id="1988050907">
                  <w:marLeft w:val="0"/>
                  <w:marRight w:val="0"/>
                  <w:marTop w:val="0"/>
                  <w:marBottom w:val="0"/>
                  <w:divBdr>
                    <w:top w:val="none" w:sz="0" w:space="0" w:color="auto"/>
                    <w:left w:val="none" w:sz="0" w:space="0" w:color="auto"/>
                    <w:bottom w:val="none" w:sz="0" w:space="0" w:color="auto"/>
                    <w:right w:val="none" w:sz="0" w:space="0" w:color="auto"/>
                  </w:divBdr>
                  <w:divsChild>
                    <w:div w:id="1875920130">
                      <w:marLeft w:val="0"/>
                      <w:marRight w:val="0"/>
                      <w:marTop w:val="0"/>
                      <w:marBottom w:val="0"/>
                      <w:divBdr>
                        <w:top w:val="none" w:sz="0" w:space="0" w:color="auto"/>
                        <w:left w:val="none" w:sz="0" w:space="0" w:color="auto"/>
                        <w:bottom w:val="none" w:sz="0" w:space="0" w:color="auto"/>
                        <w:right w:val="none" w:sz="0" w:space="0" w:color="auto"/>
                      </w:divBdr>
                    </w:div>
                  </w:divsChild>
                </w:div>
                <w:div w:id="2008898022">
                  <w:marLeft w:val="0"/>
                  <w:marRight w:val="0"/>
                  <w:marTop w:val="0"/>
                  <w:marBottom w:val="0"/>
                  <w:divBdr>
                    <w:top w:val="none" w:sz="0" w:space="0" w:color="auto"/>
                    <w:left w:val="none" w:sz="0" w:space="0" w:color="auto"/>
                    <w:bottom w:val="none" w:sz="0" w:space="0" w:color="auto"/>
                    <w:right w:val="none" w:sz="0" w:space="0" w:color="auto"/>
                  </w:divBdr>
                  <w:divsChild>
                    <w:div w:id="1628777665">
                      <w:marLeft w:val="0"/>
                      <w:marRight w:val="0"/>
                      <w:marTop w:val="0"/>
                      <w:marBottom w:val="0"/>
                      <w:divBdr>
                        <w:top w:val="none" w:sz="0" w:space="0" w:color="auto"/>
                        <w:left w:val="none" w:sz="0" w:space="0" w:color="auto"/>
                        <w:bottom w:val="none" w:sz="0" w:space="0" w:color="auto"/>
                        <w:right w:val="none" w:sz="0" w:space="0" w:color="auto"/>
                      </w:divBdr>
                    </w:div>
                  </w:divsChild>
                </w:div>
                <w:div w:id="2011174404">
                  <w:marLeft w:val="0"/>
                  <w:marRight w:val="0"/>
                  <w:marTop w:val="0"/>
                  <w:marBottom w:val="0"/>
                  <w:divBdr>
                    <w:top w:val="none" w:sz="0" w:space="0" w:color="auto"/>
                    <w:left w:val="none" w:sz="0" w:space="0" w:color="auto"/>
                    <w:bottom w:val="none" w:sz="0" w:space="0" w:color="auto"/>
                    <w:right w:val="none" w:sz="0" w:space="0" w:color="auto"/>
                  </w:divBdr>
                  <w:divsChild>
                    <w:div w:id="152256666">
                      <w:marLeft w:val="0"/>
                      <w:marRight w:val="0"/>
                      <w:marTop w:val="0"/>
                      <w:marBottom w:val="0"/>
                      <w:divBdr>
                        <w:top w:val="none" w:sz="0" w:space="0" w:color="auto"/>
                        <w:left w:val="none" w:sz="0" w:space="0" w:color="auto"/>
                        <w:bottom w:val="none" w:sz="0" w:space="0" w:color="auto"/>
                        <w:right w:val="none" w:sz="0" w:space="0" w:color="auto"/>
                      </w:divBdr>
                    </w:div>
                  </w:divsChild>
                </w:div>
                <w:div w:id="2011786442">
                  <w:marLeft w:val="0"/>
                  <w:marRight w:val="0"/>
                  <w:marTop w:val="0"/>
                  <w:marBottom w:val="0"/>
                  <w:divBdr>
                    <w:top w:val="none" w:sz="0" w:space="0" w:color="auto"/>
                    <w:left w:val="none" w:sz="0" w:space="0" w:color="auto"/>
                    <w:bottom w:val="none" w:sz="0" w:space="0" w:color="auto"/>
                    <w:right w:val="none" w:sz="0" w:space="0" w:color="auto"/>
                  </w:divBdr>
                  <w:divsChild>
                    <w:div w:id="629046534">
                      <w:marLeft w:val="0"/>
                      <w:marRight w:val="0"/>
                      <w:marTop w:val="0"/>
                      <w:marBottom w:val="0"/>
                      <w:divBdr>
                        <w:top w:val="none" w:sz="0" w:space="0" w:color="auto"/>
                        <w:left w:val="none" w:sz="0" w:space="0" w:color="auto"/>
                        <w:bottom w:val="none" w:sz="0" w:space="0" w:color="auto"/>
                        <w:right w:val="none" w:sz="0" w:space="0" w:color="auto"/>
                      </w:divBdr>
                    </w:div>
                  </w:divsChild>
                </w:div>
                <w:div w:id="2019188611">
                  <w:marLeft w:val="0"/>
                  <w:marRight w:val="0"/>
                  <w:marTop w:val="0"/>
                  <w:marBottom w:val="0"/>
                  <w:divBdr>
                    <w:top w:val="none" w:sz="0" w:space="0" w:color="auto"/>
                    <w:left w:val="none" w:sz="0" w:space="0" w:color="auto"/>
                    <w:bottom w:val="none" w:sz="0" w:space="0" w:color="auto"/>
                    <w:right w:val="none" w:sz="0" w:space="0" w:color="auto"/>
                  </w:divBdr>
                  <w:divsChild>
                    <w:div w:id="1828471879">
                      <w:marLeft w:val="0"/>
                      <w:marRight w:val="0"/>
                      <w:marTop w:val="0"/>
                      <w:marBottom w:val="0"/>
                      <w:divBdr>
                        <w:top w:val="none" w:sz="0" w:space="0" w:color="auto"/>
                        <w:left w:val="none" w:sz="0" w:space="0" w:color="auto"/>
                        <w:bottom w:val="none" w:sz="0" w:space="0" w:color="auto"/>
                        <w:right w:val="none" w:sz="0" w:space="0" w:color="auto"/>
                      </w:divBdr>
                    </w:div>
                  </w:divsChild>
                </w:div>
                <w:div w:id="2026011840">
                  <w:marLeft w:val="0"/>
                  <w:marRight w:val="0"/>
                  <w:marTop w:val="0"/>
                  <w:marBottom w:val="0"/>
                  <w:divBdr>
                    <w:top w:val="none" w:sz="0" w:space="0" w:color="auto"/>
                    <w:left w:val="none" w:sz="0" w:space="0" w:color="auto"/>
                    <w:bottom w:val="none" w:sz="0" w:space="0" w:color="auto"/>
                    <w:right w:val="none" w:sz="0" w:space="0" w:color="auto"/>
                  </w:divBdr>
                  <w:divsChild>
                    <w:div w:id="2069649207">
                      <w:marLeft w:val="0"/>
                      <w:marRight w:val="0"/>
                      <w:marTop w:val="0"/>
                      <w:marBottom w:val="0"/>
                      <w:divBdr>
                        <w:top w:val="none" w:sz="0" w:space="0" w:color="auto"/>
                        <w:left w:val="none" w:sz="0" w:space="0" w:color="auto"/>
                        <w:bottom w:val="none" w:sz="0" w:space="0" w:color="auto"/>
                        <w:right w:val="none" w:sz="0" w:space="0" w:color="auto"/>
                      </w:divBdr>
                    </w:div>
                  </w:divsChild>
                </w:div>
                <w:div w:id="2027779601">
                  <w:marLeft w:val="0"/>
                  <w:marRight w:val="0"/>
                  <w:marTop w:val="0"/>
                  <w:marBottom w:val="0"/>
                  <w:divBdr>
                    <w:top w:val="none" w:sz="0" w:space="0" w:color="auto"/>
                    <w:left w:val="none" w:sz="0" w:space="0" w:color="auto"/>
                    <w:bottom w:val="none" w:sz="0" w:space="0" w:color="auto"/>
                    <w:right w:val="none" w:sz="0" w:space="0" w:color="auto"/>
                  </w:divBdr>
                  <w:divsChild>
                    <w:div w:id="635990471">
                      <w:marLeft w:val="0"/>
                      <w:marRight w:val="0"/>
                      <w:marTop w:val="0"/>
                      <w:marBottom w:val="0"/>
                      <w:divBdr>
                        <w:top w:val="none" w:sz="0" w:space="0" w:color="auto"/>
                        <w:left w:val="none" w:sz="0" w:space="0" w:color="auto"/>
                        <w:bottom w:val="none" w:sz="0" w:space="0" w:color="auto"/>
                        <w:right w:val="none" w:sz="0" w:space="0" w:color="auto"/>
                      </w:divBdr>
                    </w:div>
                  </w:divsChild>
                </w:div>
                <w:div w:id="2041929304">
                  <w:marLeft w:val="0"/>
                  <w:marRight w:val="0"/>
                  <w:marTop w:val="0"/>
                  <w:marBottom w:val="0"/>
                  <w:divBdr>
                    <w:top w:val="none" w:sz="0" w:space="0" w:color="auto"/>
                    <w:left w:val="none" w:sz="0" w:space="0" w:color="auto"/>
                    <w:bottom w:val="none" w:sz="0" w:space="0" w:color="auto"/>
                    <w:right w:val="none" w:sz="0" w:space="0" w:color="auto"/>
                  </w:divBdr>
                  <w:divsChild>
                    <w:div w:id="1701784355">
                      <w:marLeft w:val="0"/>
                      <w:marRight w:val="0"/>
                      <w:marTop w:val="0"/>
                      <w:marBottom w:val="0"/>
                      <w:divBdr>
                        <w:top w:val="none" w:sz="0" w:space="0" w:color="auto"/>
                        <w:left w:val="none" w:sz="0" w:space="0" w:color="auto"/>
                        <w:bottom w:val="none" w:sz="0" w:space="0" w:color="auto"/>
                        <w:right w:val="none" w:sz="0" w:space="0" w:color="auto"/>
                      </w:divBdr>
                    </w:div>
                  </w:divsChild>
                </w:div>
                <w:div w:id="2047484985">
                  <w:marLeft w:val="0"/>
                  <w:marRight w:val="0"/>
                  <w:marTop w:val="0"/>
                  <w:marBottom w:val="0"/>
                  <w:divBdr>
                    <w:top w:val="none" w:sz="0" w:space="0" w:color="auto"/>
                    <w:left w:val="none" w:sz="0" w:space="0" w:color="auto"/>
                    <w:bottom w:val="none" w:sz="0" w:space="0" w:color="auto"/>
                    <w:right w:val="none" w:sz="0" w:space="0" w:color="auto"/>
                  </w:divBdr>
                  <w:divsChild>
                    <w:div w:id="79714473">
                      <w:marLeft w:val="0"/>
                      <w:marRight w:val="0"/>
                      <w:marTop w:val="0"/>
                      <w:marBottom w:val="0"/>
                      <w:divBdr>
                        <w:top w:val="none" w:sz="0" w:space="0" w:color="auto"/>
                        <w:left w:val="none" w:sz="0" w:space="0" w:color="auto"/>
                        <w:bottom w:val="none" w:sz="0" w:space="0" w:color="auto"/>
                        <w:right w:val="none" w:sz="0" w:space="0" w:color="auto"/>
                      </w:divBdr>
                    </w:div>
                  </w:divsChild>
                </w:div>
                <w:div w:id="2048873422">
                  <w:marLeft w:val="0"/>
                  <w:marRight w:val="0"/>
                  <w:marTop w:val="0"/>
                  <w:marBottom w:val="0"/>
                  <w:divBdr>
                    <w:top w:val="none" w:sz="0" w:space="0" w:color="auto"/>
                    <w:left w:val="none" w:sz="0" w:space="0" w:color="auto"/>
                    <w:bottom w:val="none" w:sz="0" w:space="0" w:color="auto"/>
                    <w:right w:val="none" w:sz="0" w:space="0" w:color="auto"/>
                  </w:divBdr>
                  <w:divsChild>
                    <w:div w:id="106050523">
                      <w:marLeft w:val="0"/>
                      <w:marRight w:val="0"/>
                      <w:marTop w:val="0"/>
                      <w:marBottom w:val="0"/>
                      <w:divBdr>
                        <w:top w:val="none" w:sz="0" w:space="0" w:color="auto"/>
                        <w:left w:val="none" w:sz="0" w:space="0" w:color="auto"/>
                        <w:bottom w:val="none" w:sz="0" w:space="0" w:color="auto"/>
                        <w:right w:val="none" w:sz="0" w:space="0" w:color="auto"/>
                      </w:divBdr>
                    </w:div>
                  </w:divsChild>
                </w:div>
                <w:div w:id="2076466143">
                  <w:marLeft w:val="0"/>
                  <w:marRight w:val="0"/>
                  <w:marTop w:val="0"/>
                  <w:marBottom w:val="0"/>
                  <w:divBdr>
                    <w:top w:val="none" w:sz="0" w:space="0" w:color="auto"/>
                    <w:left w:val="none" w:sz="0" w:space="0" w:color="auto"/>
                    <w:bottom w:val="none" w:sz="0" w:space="0" w:color="auto"/>
                    <w:right w:val="none" w:sz="0" w:space="0" w:color="auto"/>
                  </w:divBdr>
                  <w:divsChild>
                    <w:div w:id="2125726360">
                      <w:marLeft w:val="0"/>
                      <w:marRight w:val="0"/>
                      <w:marTop w:val="0"/>
                      <w:marBottom w:val="0"/>
                      <w:divBdr>
                        <w:top w:val="none" w:sz="0" w:space="0" w:color="auto"/>
                        <w:left w:val="none" w:sz="0" w:space="0" w:color="auto"/>
                        <w:bottom w:val="none" w:sz="0" w:space="0" w:color="auto"/>
                        <w:right w:val="none" w:sz="0" w:space="0" w:color="auto"/>
                      </w:divBdr>
                    </w:div>
                  </w:divsChild>
                </w:div>
                <w:div w:id="2114084787">
                  <w:marLeft w:val="0"/>
                  <w:marRight w:val="0"/>
                  <w:marTop w:val="0"/>
                  <w:marBottom w:val="0"/>
                  <w:divBdr>
                    <w:top w:val="none" w:sz="0" w:space="0" w:color="auto"/>
                    <w:left w:val="none" w:sz="0" w:space="0" w:color="auto"/>
                    <w:bottom w:val="none" w:sz="0" w:space="0" w:color="auto"/>
                    <w:right w:val="none" w:sz="0" w:space="0" w:color="auto"/>
                  </w:divBdr>
                  <w:divsChild>
                    <w:div w:id="1734965563">
                      <w:marLeft w:val="0"/>
                      <w:marRight w:val="0"/>
                      <w:marTop w:val="0"/>
                      <w:marBottom w:val="0"/>
                      <w:divBdr>
                        <w:top w:val="none" w:sz="0" w:space="0" w:color="auto"/>
                        <w:left w:val="none" w:sz="0" w:space="0" w:color="auto"/>
                        <w:bottom w:val="none" w:sz="0" w:space="0" w:color="auto"/>
                        <w:right w:val="none" w:sz="0" w:space="0" w:color="auto"/>
                      </w:divBdr>
                    </w:div>
                  </w:divsChild>
                </w:div>
                <w:div w:id="2123918913">
                  <w:marLeft w:val="0"/>
                  <w:marRight w:val="0"/>
                  <w:marTop w:val="0"/>
                  <w:marBottom w:val="0"/>
                  <w:divBdr>
                    <w:top w:val="none" w:sz="0" w:space="0" w:color="auto"/>
                    <w:left w:val="none" w:sz="0" w:space="0" w:color="auto"/>
                    <w:bottom w:val="none" w:sz="0" w:space="0" w:color="auto"/>
                    <w:right w:val="none" w:sz="0" w:space="0" w:color="auto"/>
                  </w:divBdr>
                  <w:divsChild>
                    <w:div w:id="1697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2984">
          <w:marLeft w:val="0"/>
          <w:marRight w:val="0"/>
          <w:marTop w:val="0"/>
          <w:marBottom w:val="0"/>
          <w:divBdr>
            <w:top w:val="none" w:sz="0" w:space="0" w:color="auto"/>
            <w:left w:val="none" w:sz="0" w:space="0" w:color="auto"/>
            <w:bottom w:val="none" w:sz="0" w:space="0" w:color="auto"/>
            <w:right w:val="none" w:sz="0" w:space="0" w:color="auto"/>
          </w:divBdr>
        </w:div>
        <w:div w:id="1795715213">
          <w:marLeft w:val="0"/>
          <w:marRight w:val="0"/>
          <w:marTop w:val="0"/>
          <w:marBottom w:val="0"/>
          <w:divBdr>
            <w:top w:val="none" w:sz="0" w:space="0" w:color="auto"/>
            <w:left w:val="none" w:sz="0" w:space="0" w:color="auto"/>
            <w:bottom w:val="none" w:sz="0" w:space="0" w:color="auto"/>
            <w:right w:val="none" w:sz="0" w:space="0" w:color="auto"/>
          </w:divBdr>
        </w:div>
        <w:div w:id="1829831841">
          <w:marLeft w:val="0"/>
          <w:marRight w:val="0"/>
          <w:marTop w:val="0"/>
          <w:marBottom w:val="0"/>
          <w:divBdr>
            <w:top w:val="none" w:sz="0" w:space="0" w:color="auto"/>
            <w:left w:val="none" w:sz="0" w:space="0" w:color="auto"/>
            <w:bottom w:val="none" w:sz="0" w:space="0" w:color="auto"/>
            <w:right w:val="none" w:sz="0" w:space="0" w:color="auto"/>
          </w:divBdr>
        </w:div>
        <w:div w:id="1961766060">
          <w:marLeft w:val="0"/>
          <w:marRight w:val="0"/>
          <w:marTop w:val="0"/>
          <w:marBottom w:val="0"/>
          <w:divBdr>
            <w:top w:val="none" w:sz="0" w:space="0" w:color="auto"/>
            <w:left w:val="none" w:sz="0" w:space="0" w:color="auto"/>
            <w:bottom w:val="none" w:sz="0" w:space="0" w:color="auto"/>
            <w:right w:val="none" w:sz="0" w:space="0" w:color="auto"/>
          </w:divBdr>
        </w:div>
        <w:div w:id="1988513403">
          <w:marLeft w:val="0"/>
          <w:marRight w:val="0"/>
          <w:marTop w:val="0"/>
          <w:marBottom w:val="0"/>
          <w:divBdr>
            <w:top w:val="none" w:sz="0" w:space="0" w:color="auto"/>
            <w:left w:val="none" w:sz="0" w:space="0" w:color="auto"/>
            <w:bottom w:val="none" w:sz="0" w:space="0" w:color="auto"/>
            <w:right w:val="none" w:sz="0" w:space="0" w:color="auto"/>
          </w:divBdr>
        </w:div>
        <w:div w:id="2117208096">
          <w:marLeft w:val="0"/>
          <w:marRight w:val="0"/>
          <w:marTop w:val="0"/>
          <w:marBottom w:val="0"/>
          <w:divBdr>
            <w:top w:val="none" w:sz="0" w:space="0" w:color="auto"/>
            <w:left w:val="none" w:sz="0" w:space="0" w:color="auto"/>
            <w:bottom w:val="none" w:sz="0" w:space="0" w:color="auto"/>
            <w:right w:val="none" w:sz="0" w:space="0" w:color="auto"/>
          </w:divBdr>
        </w:div>
      </w:divsChild>
    </w:div>
    <w:div w:id="1787507023">
      <w:bodyDiv w:val="1"/>
      <w:marLeft w:val="0"/>
      <w:marRight w:val="0"/>
      <w:marTop w:val="0"/>
      <w:marBottom w:val="0"/>
      <w:divBdr>
        <w:top w:val="none" w:sz="0" w:space="0" w:color="auto"/>
        <w:left w:val="none" w:sz="0" w:space="0" w:color="auto"/>
        <w:bottom w:val="none" w:sz="0" w:space="0" w:color="auto"/>
        <w:right w:val="none" w:sz="0" w:space="0" w:color="auto"/>
      </w:divBdr>
    </w:div>
    <w:div w:id="1791125023">
      <w:bodyDiv w:val="1"/>
      <w:marLeft w:val="0"/>
      <w:marRight w:val="0"/>
      <w:marTop w:val="0"/>
      <w:marBottom w:val="0"/>
      <w:divBdr>
        <w:top w:val="none" w:sz="0" w:space="0" w:color="auto"/>
        <w:left w:val="none" w:sz="0" w:space="0" w:color="auto"/>
        <w:bottom w:val="none" w:sz="0" w:space="0" w:color="auto"/>
        <w:right w:val="none" w:sz="0" w:space="0" w:color="auto"/>
      </w:divBdr>
    </w:div>
    <w:div w:id="1793866213">
      <w:bodyDiv w:val="1"/>
      <w:marLeft w:val="0"/>
      <w:marRight w:val="0"/>
      <w:marTop w:val="0"/>
      <w:marBottom w:val="0"/>
      <w:divBdr>
        <w:top w:val="none" w:sz="0" w:space="0" w:color="auto"/>
        <w:left w:val="none" w:sz="0" w:space="0" w:color="auto"/>
        <w:bottom w:val="none" w:sz="0" w:space="0" w:color="auto"/>
        <w:right w:val="none" w:sz="0" w:space="0" w:color="auto"/>
      </w:divBdr>
      <w:divsChild>
        <w:div w:id="55668368">
          <w:marLeft w:val="0"/>
          <w:marRight w:val="0"/>
          <w:marTop w:val="0"/>
          <w:marBottom w:val="0"/>
          <w:divBdr>
            <w:top w:val="none" w:sz="0" w:space="0" w:color="auto"/>
            <w:left w:val="none" w:sz="0" w:space="0" w:color="auto"/>
            <w:bottom w:val="none" w:sz="0" w:space="0" w:color="auto"/>
            <w:right w:val="none" w:sz="0" w:space="0" w:color="auto"/>
          </w:divBdr>
        </w:div>
        <w:div w:id="283392155">
          <w:marLeft w:val="0"/>
          <w:marRight w:val="0"/>
          <w:marTop w:val="0"/>
          <w:marBottom w:val="0"/>
          <w:divBdr>
            <w:top w:val="none" w:sz="0" w:space="0" w:color="auto"/>
            <w:left w:val="none" w:sz="0" w:space="0" w:color="auto"/>
            <w:bottom w:val="none" w:sz="0" w:space="0" w:color="auto"/>
            <w:right w:val="none" w:sz="0" w:space="0" w:color="auto"/>
          </w:divBdr>
        </w:div>
        <w:div w:id="575163548">
          <w:marLeft w:val="0"/>
          <w:marRight w:val="0"/>
          <w:marTop w:val="0"/>
          <w:marBottom w:val="0"/>
          <w:divBdr>
            <w:top w:val="none" w:sz="0" w:space="0" w:color="auto"/>
            <w:left w:val="none" w:sz="0" w:space="0" w:color="auto"/>
            <w:bottom w:val="none" w:sz="0" w:space="0" w:color="auto"/>
            <w:right w:val="none" w:sz="0" w:space="0" w:color="auto"/>
          </w:divBdr>
        </w:div>
        <w:div w:id="642807712">
          <w:marLeft w:val="0"/>
          <w:marRight w:val="0"/>
          <w:marTop w:val="0"/>
          <w:marBottom w:val="0"/>
          <w:divBdr>
            <w:top w:val="none" w:sz="0" w:space="0" w:color="auto"/>
            <w:left w:val="none" w:sz="0" w:space="0" w:color="auto"/>
            <w:bottom w:val="none" w:sz="0" w:space="0" w:color="auto"/>
            <w:right w:val="none" w:sz="0" w:space="0" w:color="auto"/>
          </w:divBdr>
        </w:div>
        <w:div w:id="738598417">
          <w:marLeft w:val="0"/>
          <w:marRight w:val="0"/>
          <w:marTop w:val="0"/>
          <w:marBottom w:val="0"/>
          <w:divBdr>
            <w:top w:val="none" w:sz="0" w:space="0" w:color="auto"/>
            <w:left w:val="none" w:sz="0" w:space="0" w:color="auto"/>
            <w:bottom w:val="none" w:sz="0" w:space="0" w:color="auto"/>
            <w:right w:val="none" w:sz="0" w:space="0" w:color="auto"/>
          </w:divBdr>
          <w:divsChild>
            <w:div w:id="1481842318">
              <w:marLeft w:val="-75"/>
              <w:marRight w:val="0"/>
              <w:marTop w:val="30"/>
              <w:marBottom w:val="30"/>
              <w:divBdr>
                <w:top w:val="none" w:sz="0" w:space="0" w:color="auto"/>
                <w:left w:val="none" w:sz="0" w:space="0" w:color="auto"/>
                <w:bottom w:val="none" w:sz="0" w:space="0" w:color="auto"/>
                <w:right w:val="none" w:sz="0" w:space="0" w:color="auto"/>
              </w:divBdr>
              <w:divsChild>
                <w:div w:id="168910935">
                  <w:marLeft w:val="0"/>
                  <w:marRight w:val="0"/>
                  <w:marTop w:val="0"/>
                  <w:marBottom w:val="0"/>
                  <w:divBdr>
                    <w:top w:val="none" w:sz="0" w:space="0" w:color="auto"/>
                    <w:left w:val="none" w:sz="0" w:space="0" w:color="auto"/>
                    <w:bottom w:val="none" w:sz="0" w:space="0" w:color="auto"/>
                    <w:right w:val="none" w:sz="0" w:space="0" w:color="auto"/>
                  </w:divBdr>
                  <w:divsChild>
                    <w:div w:id="1320426278">
                      <w:marLeft w:val="0"/>
                      <w:marRight w:val="0"/>
                      <w:marTop w:val="0"/>
                      <w:marBottom w:val="0"/>
                      <w:divBdr>
                        <w:top w:val="none" w:sz="0" w:space="0" w:color="auto"/>
                        <w:left w:val="none" w:sz="0" w:space="0" w:color="auto"/>
                        <w:bottom w:val="none" w:sz="0" w:space="0" w:color="auto"/>
                        <w:right w:val="none" w:sz="0" w:space="0" w:color="auto"/>
                      </w:divBdr>
                    </w:div>
                  </w:divsChild>
                </w:div>
                <w:div w:id="214514835">
                  <w:marLeft w:val="0"/>
                  <w:marRight w:val="0"/>
                  <w:marTop w:val="0"/>
                  <w:marBottom w:val="0"/>
                  <w:divBdr>
                    <w:top w:val="none" w:sz="0" w:space="0" w:color="auto"/>
                    <w:left w:val="none" w:sz="0" w:space="0" w:color="auto"/>
                    <w:bottom w:val="none" w:sz="0" w:space="0" w:color="auto"/>
                    <w:right w:val="none" w:sz="0" w:space="0" w:color="auto"/>
                  </w:divBdr>
                  <w:divsChild>
                    <w:div w:id="781996468">
                      <w:marLeft w:val="0"/>
                      <w:marRight w:val="0"/>
                      <w:marTop w:val="0"/>
                      <w:marBottom w:val="0"/>
                      <w:divBdr>
                        <w:top w:val="none" w:sz="0" w:space="0" w:color="auto"/>
                        <w:left w:val="none" w:sz="0" w:space="0" w:color="auto"/>
                        <w:bottom w:val="none" w:sz="0" w:space="0" w:color="auto"/>
                        <w:right w:val="none" w:sz="0" w:space="0" w:color="auto"/>
                      </w:divBdr>
                    </w:div>
                  </w:divsChild>
                </w:div>
                <w:div w:id="247467002">
                  <w:marLeft w:val="0"/>
                  <w:marRight w:val="0"/>
                  <w:marTop w:val="0"/>
                  <w:marBottom w:val="0"/>
                  <w:divBdr>
                    <w:top w:val="none" w:sz="0" w:space="0" w:color="auto"/>
                    <w:left w:val="none" w:sz="0" w:space="0" w:color="auto"/>
                    <w:bottom w:val="none" w:sz="0" w:space="0" w:color="auto"/>
                    <w:right w:val="none" w:sz="0" w:space="0" w:color="auto"/>
                  </w:divBdr>
                  <w:divsChild>
                    <w:div w:id="1102804503">
                      <w:marLeft w:val="0"/>
                      <w:marRight w:val="0"/>
                      <w:marTop w:val="0"/>
                      <w:marBottom w:val="0"/>
                      <w:divBdr>
                        <w:top w:val="none" w:sz="0" w:space="0" w:color="auto"/>
                        <w:left w:val="none" w:sz="0" w:space="0" w:color="auto"/>
                        <w:bottom w:val="none" w:sz="0" w:space="0" w:color="auto"/>
                        <w:right w:val="none" w:sz="0" w:space="0" w:color="auto"/>
                      </w:divBdr>
                    </w:div>
                  </w:divsChild>
                </w:div>
                <w:div w:id="331418375">
                  <w:marLeft w:val="0"/>
                  <w:marRight w:val="0"/>
                  <w:marTop w:val="0"/>
                  <w:marBottom w:val="0"/>
                  <w:divBdr>
                    <w:top w:val="none" w:sz="0" w:space="0" w:color="auto"/>
                    <w:left w:val="none" w:sz="0" w:space="0" w:color="auto"/>
                    <w:bottom w:val="none" w:sz="0" w:space="0" w:color="auto"/>
                    <w:right w:val="none" w:sz="0" w:space="0" w:color="auto"/>
                  </w:divBdr>
                  <w:divsChild>
                    <w:div w:id="1102188886">
                      <w:marLeft w:val="0"/>
                      <w:marRight w:val="0"/>
                      <w:marTop w:val="0"/>
                      <w:marBottom w:val="0"/>
                      <w:divBdr>
                        <w:top w:val="none" w:sz="0" w:space="0" w:color="auto"/>
                        <w:left w:val="none" w:sz="0" w:space="0" w:color="auto"/>
                        <w:bottom w:val="none" w:sz="0" w:space="0" w:color="auto"/>
                        <w:right w:val="none" w:sz="0" w:space="0" w:color="auto"/>
                      </w:divBdr>
                    </w:div>
                  </w:divsChild>
                </w:div>
                <w:div w:id="456798643">
                  <w:marLeft w:val="0"/>
                  <w:marRight w:val="0"/>
                  <w:marTop w:val="0"/>
                  <w:marBottom w:val="0"/>
                  <w:divBdr>
                    <w:top w:val="none" w:sz="0" w:space="0" w:color="auto"/>
                    <w:left w:val="none" w:sz="0" w:space="0" w:color="auto"/>
                    <w:bottom w:val="none" w:sz="0" w:space="0" w:color="auto"/>
                    <w:right w:val="none" w:sz="0" w:space="0" w:color="auto"/>
                  </w:divBdr>
                  <w:divsChild>
                    <w:div w:id="1807234736">
                      <w:marLeft w:val="0"/>
                      <w:marRight w:val="0"/>
                      <w:marTop w:val="0"/>
                      <w:marBottom w:val="0"/>
                      <w:divBdr>
                        <w:top w:val="none" w:sz="0" w:space="0" w:color="auto"/>
                        <w:left w:val="none" w:sz="0" w:space="0" w:color="auto"/>
                        <w:bottom w:val="none" w:sz="0" w:space="0" w:color="auto"/>
                        <w:right w:val="none" w:sz="0" w:space="0" w:color="auto"/>
                      </w:divBdr>
                    </w:div>
                  </w:divsChild>
                </w:div>
                <w:div w:id="627667109">
                  <w:marLeft w:val="0"/>
                  <w:marRight w:val="0"/>
                  <w:marTop w:val="0"/>
                  <w:marBottom w:val="0"/>
                  <w:divBdr>
                    <w:top w:val="none" w:sz="0" w:space="0" w:color="auto"/>
                    <w:left w:val="none" w:sz="0" w:space="0" w:color="auto"/>
                    <w:bottom w:val="none" w:sz="0" w:space="0" w:color="auto"/>
                    <w:right w:val="none" w:sz="0" w:space="0" w:color="auto"/>
                  </w:divBdr>
                  <w:divsChild>
                    <w:div w:id="1892769282">
                      <w:marLeft w:val="0"/>
                      <w:marRight w:val="0"/>
                      <w:marTop w:val="0"/>
                      <w:marBottom w:val="0"/>
                      <w:divBdr>
                        <w:top w:val="none" w:sz="0" w:space="0" w:color="auto"/>
                        <w:left w:val="none" w:sz="0" w:space="0" w:color="auto"/>
                        <w:bottom w:val="none" w:sz="0" w:space="0" w:color="auto"/>
                        <w:right w:val="none" w:sz="0" w:space="0" w:color="auto"/>
                      </w:divBdr>
                    </w:div>
                  </w:divsChild>
                </w:div>
                <w:div w:id="735475797">
                  <w:marLeft w:val="0"/>
                  <w:marRight w:val="0"/>
                  <w:marTop w:val="0"/>
                  <w:marBottom w:val="0"/>
                  <w:divBdr>
                    <w:top w:val="none" w:sz="0" w:space="0" w:color="auto"/>
                    <w:left w:val="none" w:sz="0" w:space="0" w:color="auto"/>
                    <w:bottom w:val="none" w:sz="0" w:space="0" w:color="auto"/>
                    <w:right w:val="none" w:sz="0" w:space="0" w:color="auto"/>
                  </w:divBdr>
                  <w:divsChild>
                    <w:div w:id="419255847">
                      <w:marLeft w:val="0"/>
                      <w:marRight w:val="0"/>
                      <w:marTop w:val="0"/>
                      <w:marBottom w:val="0"/>
                      <w:divBdr>
                        <w:top w:val="none" w:sz="0" w:space="0" w:color="auto"/>
                        <w:left w:val="none" w:sz="0" w:space="0" w:color="auto"/>
                        <w:bottom w:val="none" w:sz="0" w:space="0" w:color="auto"/>
                        <w:right w:val="none" w:sz="0" w:space="0" w:color="auto"/>
                      </w:divBdr>
                    </w:div>
                  </w:divsChild>
                </w:div>
                <w:div w:id="824979446">
                  <w:marLeft w:val="0"/>
                  <w:marRight w:val="0"/>
                  <w:marTop w:val="0"/>
                  <w:marBottom w:val="0"/>
                  <w:divBdr>
                    <w:top w:val="none" w:sz="0" w:space="0" w:color="auto"/>
                    <w:left w:val="none" w:sz="0" w:space="0" w:color="auto"/>
                    <w:bottom w:val="none" w:sz="0" w:space="0" w:color="auto"/>
                    <w:right w:val="none" w:sz="0" w:space="0" w:color="auto"/>
                  </w:divBdr>
                  <w:divsChild>
                    <w:div w:id="269096389">
                      <w:marLeft w:val="0"/>
                      <w:marRight w:val="0"/>
                      <w:marTop w:val="0"/>
                      <w:marBottom w:val="0"/>
                      <w:divBdr>
                        <w:top w:val="none" w:sz="0" w:space="0" w:color="auto"/>
                        <w:left w:val="none" w:sz="0" w:space="0" w:color="auto"/>
                        <w:bottom w:val="none" w:sz="0" w:space="0" w:color="auto"/>
                        <w:right w:val="none" w:sz="0" w:space="0" w:color="auto"/>
                      </w:divBdr>
                    </w:div>
                  </w:divsChild>
                </w:div>
                <w:div w:id="855312280">
                  <w:marLeft w:val="0"/>
                  <w:marRight w:val="0"/>
                  <w:marTop w:val="0"/>
                  <w:marBottom w:val="0"/>
                  <w:divBdr>
                    <w:top w:val="none" w:sz="0" w:space="0" w:color="auto"/>
                    <w:left w:val="none" w:sz="0" w:space="0" w:color="auto"/>
                    <w:bottom w:val="none" w:sz="0" w:space="0" w:color="auto"/>
                    <w:right w:val="none" w:sz="0" w:space="0" w:color="auto"/>
                  </w:divBdr>
                  <w:divsChild>
                    <w:div w:id="1970281382">
                      <w:marLeft w:val="0"/>
                      <w:marRight w:val="0"/>
                      <w:marTop w:val="0"/>
                      <w:marBottom w:val="0"/>
                      <w:divBdr>
                        <w:top w:val="none" w:sz="0" w:space="0" w:color="auto"/>
                        <w:left w:val="none" w:sz="0" w:space="0" w:color="auto"/>
                        <w:bottom w:val="none" w:sz="0" w:space="0" w:color="auto"/>
                        <w:right w:val="none" w:sz="0" w:space="0" w:color="auto"/>
                      </w:divBdr>
                    </w:div>
                  </w:divsChild>
                </w:div>
                <w:div w:id="894194058">
                  <w:marLeft w:val="0"/>
                  <w:marRight w:val="0"/>
                  <w:marTop w:val="0"/>
                  <w:marBottom w:val="0"/>
                  <w:divBdr>
                    <w:top w:val="none" w:sz="0" w:space="0" w:color="auto"/>
                    <w:left w:val="none" w:sz="0" w:space="0" w:color="auto"/>
                    <w:bottom w:val="none" w:sz="0" w:space="0" w:color="auto"/>
                    <w:right w:val="none" w:sz="0" w:space="0" w:color="auto"/>
                  </w:divBdr>
                  <w:divsChild>
                    <w:div w:id="313141365">
                      <w:marLeft w:val="0"/>
                      <w:marRight w:val="0"/>
                      <w:marTop w:val="0"/>
                      <w:marBottom w:val="0"/>
                      <w:divBdr>
                        <w:top w:val="none" w:sz="0" w:space="0" w:color="auto"/>
                        <w:left w:val="none" w:sz="0" w:space="0" w:color="auto"/>
                        <w:bottom w:val="none" w:sz="0" w:space="0" w:color="auto"/>
                        <w:right w:val="none" w:sz="0" w:space="0" w:color="auto"/>
                      </w:divBdr>
                    </w:div>
                  </w:divsChild>
                </w:div>
                <w:div w:id="1094787900">
                  <w:marLeft w:val="0"/>
                  <w:marRight w:val="0"/>
                  <w:marTop w:val="0"/>
                  <w:marBottom w:val="0"/>
                  <w:divBdr>
                    <w:top w:val="none" w:sz="0" w:space="0" w:color="auto"/>
                    <w:left w:val="none" w:sz="0" w:space="0" w:color="auto"/>
                    <w:bottom w:val="none" w:sz="0" w:space="0" w:color="auto"/>
                    <w:right w:val="none" w:sz="0" w:space="0" w:color="auto"/>
                  </w:divBdr>
                  <w:divsChild>
                    <w:div w:id="2095931507">
                      <w:marLeft w:val="0"/>
                      <w:marRight w:val="0"/>
                      <w:marTop w:val="0"/>
                      <w:marBottom w:val="0"/>
                      <w:divBdr>
                        <w:top w:val="none" w:sz="0" w:space="0" w:color="auto"/>
                        <w:left w:val="none" w:sz="0" w:space="0" w:color="auto"/>
                        <w:bottom w:val="none" w:sz="0" w:space="0" w:color="auto"/>
                        <w:right w:val="none" w:sz="0" w:space="0" w:color="auto"/>
                      </w:divBdr>
                    </w:div>
                  </w:divsChild>
                </w:div>
                <w:div w:id="1634288818">
                  <w:marLeft w:val="0"/>
                  <w:marRight w:val="0"/>
                  <w:marTop w:val="0"/>
                  <w:marBottom w:val="0"/>
                  <w:divBdr>
                    <w:top w:val="none" w:sz="0" w:space="0" w:color="auto"/>
                    <w:left w:val="none" w:sz="0" w:space="0" w:color="auto"/>
                    <w:bottom w:val="none" w:sz="0" w:space="0" w:color="auto"/>
                    <w:right w:val="none" w:sz="0" w:space="0" w:color="auto"/>
                  </w:divBdr>
                  <w:divsChild>
                    <w:div w:id="2071921336">
                      <w:marLeft w:val="0"/>
                      <w:marRight w:val="0"/>
                      <w:marTop w:val="0"/>
                      <w:marBottom w:val="0"/>
                      <w:divBdr>
                        <w:top w:val="none" w:sz="0" w:space="0" w:color="auto"/>
                        <w:left w:val="none" w:sz="0" w:space="0" w:color="auto"/>
                        <w:bottom w:val="none" w:sz="0" w:space="0" w:color="auto"/>
                        <w:right w:val="none" w:sz="0" w:space="0" w:color="auto"/>
                      </w:divBdr>
                    </w:div>
                  </w:divsChild>
                </w:div>
                <w:div w:id="1671450038">
                  <w:marLeft w:val="0"/>
                  <w:marRight w:val="0"/>
                  <w:marTop w:val="0"/>
                  <w:marBottom w:val="0"/>
                  <w:divBdr>
                    <w:top w:val="none" w:sz="0" w:space="0" w:color="auto"/>
                    <w:left w:val="none" w:sz="0" w:space="0" w:color="auto"/>
                    <w:bottom w:val="none" w:sz="0" w:space="0" w:color="auto"/>
                    <w:right w:val="none" w:sz="0" w:space="0" w:color="auto"/>
                  </w:divBdr>
                  <w:divsChild>
                    <w:div w:id="734858320">
                      <w:marLeft w:val="0"/>
                      <w:marRight w:val="0"/>
                      <w:marTop w:val="0"/>
                      <w:marBottom w:val="0"/>
                      <w:divBdr>
                        <w:top w:val="none" w:sz="0" w:space="0" w:color="auto"/>
                        <w:left w:val="none" w:sz="0" w:space="0" w:color="auto"/>
                        <w:bottom w:val="none" w:sz="0" w:space="0" w:color="auto"/>
                        <w:right w:val="none" w:sz="0" w:space="0" w:color="auto"/>
                      </w:divBdr>
                    </w:div>
                  </w:divsChild>
                </w:div>
                <w:div w:id="1962607456">
                  <w:marLeft w:val="0"/>
                  <w:marRight w:val="0"/>
                  <w:marTop w:val="0"/>
                  <w:marBottom w:val="0"/>
                  <w:divBdr>
                    <w:top w:val="none" w:sz="0" w:space="0" w:color="auto"/>
                    <w:left w:val="none" w:sz="0" w:space="0" w:color="auto"/>
                    <w:bottom w:val="none" w:sz="0" w:space="0" w:color="auto"/>
                    <w:right w:val="none" w:sz="0" w:space="0" w:color="auto"/>
                  </w:divBdr>
                  <w:divsChild>
                    <w:div w:id="403526952">
                      <w:marLeft w:val="0"/>
                      <w:marRight w:val="0"/>
                      <w:marTop w:val="0"/>
                      <w:marBottom w:val="0"/>
                      <w:divBdr>
                        <w:top w:val="none" w:sz="0" w:space="0" w:color="auto"/>
                        <w:left w:val="none" w:sz="0" w:space="0" w:color="auto"/>
                        <w:bottom w:val="none" w:sz="0" w:space="0" w:color="auto"/>
                        <w:right w:val="none" w:sz="0" w:space="0" w:color="auto"/>
                      </w:divBdr>
                    </w:div>
                  </w:divsChild>
                </w:div>
                <w:div w:id="2047555903">
                  <w:marLeft w:val="0"/>
                  <w:marRight w:val="0"/>
                  <w:marTop w:val="0"/>
                  <w:marBottom w:val="0"/>
                  <w:divBdr>
                    <w:top w:val="none" w:sz="0" w:space="0" w:color="auto"/>
                    <w:left w:val="none" w:sz="0" w:space="0" w:color="auto"/>
                    <w:bottom w:val="none" w:sz="0" w:space="0" w:color="auto"/>
                    <w:right w:val="none" w:sz="0" w:space="0" w:color="auto"/>
                  </w:divBdr>
                  <w:divsChild>
                    <w:div w:id="1696736518">
                      <w:marLeft w:val="0"/>
                      <w:marRight w:val="0"/>
                      <w:marTop w:val="0"/>
                      <w:marBottom w:val="0"/>
                      <w:divBdr>
                        <w:top w:val="none" w:sz="0" w:space="0" w:color="auto"/>
                        <w:left w:val="none" w:sz="0" w:space="0" w:color="auto"/>
                        <w:bottom w:val="none" w:sz="0" w:space="0" w:color="auto"/>
                        <w:right w:val="none" w:sz="0" w:space="0" w:color="auto"/>
                      </w:divBdr>
                    </w:div>
                  </w:divsChild>
                </w:div>
                <w:div w:id="2055883122">
                  <w:marLeft w:val="0"/>
                  <w:marRight w:val="0"/>
                  <w:marTop w:val="0"/>
                  <w:marBottom w:val="0"/>
                  <w:divBdr>
                    <w:top w:val="none" w:sz="0" w:space="0" w:color="auto"/>
                    <w:left w:val="none" w:sz="0" w:space="0" w:color="auto"/>
                    <w:bottom w:val="none" w:sz="0" w:space="0" w:color="auto"/>
                    <w:right w:val="none" w:sz="0" w:space="0" w:color="auto"/>
                  </w:divBdr>
                  <w:divsChild>
                    <w:div w:id="10274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52180">
          <w:marLeft w:val="0"/>
          <w:marRight w:val="0"/>
          <w:marTop w:val="0"/>
          <w:marBottom w:val="0"/>
          <w:divBdr>
            <w:top w:val="none" w:sz="0" w:space="0" w:color="auto"/>
            <w:left w:val="none" w:sz="0" w:space="0" w:color="auto"/>
            <w:bottom w:val="none" w:sz="0" w:space="0" w:color="auto"/>
            <w:right w:val="none" w:sz="0" w:space="0" w:color="auto"/>
          </w:divBdr>
          <w:divsChild>
            <w:div w:id="1837837139">
              <w:marLeft w:val="-75"/>
              <w:marRight w:val="0"/>
              <w:marTop w:val="30"/>
              <w:marBottom w:val="30"/>
              <w:divBdr>
                <w:top w:val="none" w:sz="0" w:space="0" w:color="auto"/>
                <w:left w:val="none" w:sz="0" w:space="0" w:color="auto"/>
                <w:bottom w:val="none" w:sz="0" w:space="0" w:color="auto"/>
                <w:right w:val="none" w:sz="0" w:space="0" w:color="auto"/>
              </w:divBdr>
              <w:divsChild>
                <w:div w:id="2049819">
                  <w:marLeft w:val="0"/>
                  <w:marRight w:val="0"/>
                  <w:marTop w:val="0"/>
                  <w:marBottom w:val="0"/>
                  <w:divBdr>
                    <w:top w:val="none" w:sz="0" w:space="0" w:color="auto"/>
                    <w:left w:val="none" w:sz="0" w:space="0" w:color="auto"/>
                    <w:bottom w:val="none" w:sz="0" w:space="0" w:color="auto"/>
                    <w:right w:val="none" w:sz="0" w:space="0" w:color="auto"/>
                  </w:divBdr>
                  <w:divsChild>
                    <w:div w:id="1544906105">
                      <w:marLeft w:val="0"/>
                      <w:marRight w:val="0"/>
                      <w:marTop w:val="0"/>
                      <w:marBottom w:val="0"/>
                      <w:divBdr>
                        <w:top w:val="none" w:sz="0" w:space="0" w:color="auto"/>
                        <w:left w:val="none" w:sz="0" w:space="0" w:color="auto"/>
                        <w:bottom w:val="none" w:sz="0" w:space="0" w:color="auto"/>
                        <w:right w:val="none" w:sz="0" w:space="0" w:color="auto"/>
                      </w:divBdr>
                    </w:div>
                  </w:divsChild>
                </w:div>
                <w:div w:id="11033316">
                  <w:marLeft w:val="0"/>
                  <w:marRight w:val="0"/>
                  <w:marTop w:val="0"/>
                  <w:marBottom w:val="0"/>
                  <w:divBdr>
                    <w:top w:val="none" w:sz="0" w:space="0" w:color="auto"/>
                    <w:left w:val="none" w:sz="0" w:space="0" w:color="auto"/>
                    <w:bottom w:val="none" w:sz="0" w:space="0" w:color="auto"/>
                    <w:right w:val="none" w:sz="0" w:space="0" w:color="auto"/>
                  </w:divBdr>
                  <w:divsChild>
                    <w:div w:id="308101001">
                      <w:marLeft w:val="0"/>
                      <w:marRight w:val="0"/>
                      <w:marTop w:val="0"/>
                      <w:marBottom w:val="0"/>
                      <w:divBdr>
                        <w:top w:val="none" w:sz="0" w:space="0" w:color="auto"/>
                        <w:left w:val="none" w:sz="0" w:space="0" w:color="auto"/>
                        <w:bottom w:val="none" w:sz="0" w:space="0" w:color="auto"/>
                        <w:right w:val="none" w:sz="0" w:space="0" w:color="auto"/>
                      </w:divBdr>
                    </w:div>
                  </w:divsChild>
                </w:div>
                <w:div w:id="62681882">
                  <w:marLeft w:val="0"/>
                  <w:marRight w:val="0"/>
                  <w:marTop w:val="0"/>
                  <w:marBottom w:val="0"/>
                  <w:divBdr>
                    <w:top w:val="none" w:sz="0" w:space="0" w:color="auto"/>
                    <w:left w:val="none" w:sz="0" w:space="0" w:color="auto"/>
                    <w:bottom w:val="none" w:sz="0" w:space="0" w:color="auto"/>
                    <w:right w:val="none" w:sz="0" w:space="0" w:color="auto"/>
                  </w:divBdr>
                  <w:divsChild>
                    <w:div w:id="728571919">
                      <w:marLeft w:val="0"/>
                      <w:marRight w:val="0"/>
                      <w:marTop w:val="0"/>
                      <w:marBottom w:val="0"/>
                      <w:divBdr>
                        <w:top w:val="none" w:sz="0" w:space="0" w:color="auto"/>
                        <w:left w:val="none" w:sz="0" w:space="0" w:color="auto"/>
                        <w:bottom w:val="none" w:sz="0" w:space="0" w:color="auto"/>
                        <w:right w:val="none" w:sz="0" w:space="0" w:color="auto"/>
                      </w:divBdr>
                    </w:div>
                  </w:divsChild>
                </w:div>
                <w:div w:id="69355598">
                  <w:marLeft w:val="0"/>
                  <w:marRight w:val="0"/>
                  <w:marTop w:val="0"/>
                  <w:marBottom w:val="0"/>
                  <w:divBdr>
                    <w:top w:val="none" w:sz="0" w:space="0" w:color="auto"/>
                    <w:left w:val="none" w:sz="0" w:space="0" w:color="auto"/>
                    <w:bottom w:val="none" w:sz="0" w:space="0" w:color="auto"/>
                    <w:right w:val="none" w:sz="0" w:space="0" w:color="auto"/>
                  </w:divBdr>
                  <w:divsChild>
                    <w:div w:id="1103110620">
                      <w:marLeft w:val="0"/>
                      <w:marRight w:val="0"/>
                      <w:marTop w:val="0"/>
                      <w:marBottom w:val="0"/>
                      <w:divBdr>
                        <w:top w:val="none" w:sz="0" w:space="0" w:color="auto"/>
                        <w:left w:val="none" w:sz="0" w:space="0" w:color="auto"/>
                        <w:bottom w:val="none" w:sz="0" w:space="0" w:color="auto"/>
                        <w:right w:val="none" w:sz="0" w:space="0" w:color="auto"/>
                      </w:divBdr>
                    </w:div>
                  </w:divsChild>
                </w:div>
                <w:div w:id="109055343">
                  <w:marLeft w:val="0"/>
                  <w:marRight w:val="0"/>
                  <w:marTop w:val="0"/>
                  <w:marBottom w:val="0"/>
                  <w:divBdr>
                    <w:top w:val="none" w:sz="0" w:space="0" w:color="auto"/>
                    <w:left w:val="none" w:sz="0" w:space="0" w:color="auto"/>
                    <w:bottom w:val="none" w:sz="0" w:space="0" w:color="auto"/>
                    <w:right w:val="none" w:sz="0" w:space="0" w:color="auto"/>
                  </w:divBdr>
                  <w:divsChild>
                    <w:div w:id="139198818">
                      <w:marLeft w:val="0"/>
                      <w:marRight w:val="0"/>
                      <w:marTop w:val="0"/>
                      <w:marBottom w:val="0"/>
                      <w:divBdr>
                        <w:top w:val="none" w:sz="0" w:space="0" w:color="auto"/>
                        <w:left w:val="none" w:sz="0" w:space="0" w:color="auto"/>
                        <w:bottom w:val="none" w:sz="0" w:space="0" w:color="auto"/>
                        <w:right w:val="none" w:sz="0" w:space="0" w:color="auto"/>
                      </w:divBdr>
                    </w:div>
                  </w:divsChild>
                </w:div>
                <w:div w:id="261687289">
                  <w:marLeft w:val="0"/>
                  <w:marRight w:val="0"/>
                  <w:marTop w:val="0"/>
                  <w:marBottom w:val="0"/>
                  <w:divBdr>
                    <w:top w:val="none" w:sz="0" w:space="0" w:color="auto"/>
                    <w:left w:val="none" w:sz="0" w:space="0" w:color="auto"/>
                    <w:bottom w:val="none" w:sz="0" w:space="0" w:color="auto"/>
                    <w:right w:val="none" w:sz="0" w:space="0" w:color="auto"/>
                  </w:divBdr>
                  <w:divsChild>
                    <w:div w:id="219564371">
                      <w:marLeft w:val="0"/>
                      <w:marRight w:val="0"/>
                      <w:marTop w:val="0"/>
                      <w:marBottom w:val="0"/>
                      <w:divBdr>
                        <w:top w:val="none" w:sz="0" w:space="0" w:color="auto"/>
                        <w:left w:val="none" w:sz="0" w:space="0" w:color="auto"/>
                        <w:bottom w:val="none" w:sz="0" w:space="0" w:color="auto"/>
                        <w:right w:val="none" w:sz="0" w:space="0" w:color="auto"/>
                      </w:divBdr>
                    </w:div>
                  </w:divsChild>
                </w:div>
                <w:div w:id="336469772">
                  <w:marLeft w:val="0"/>
                  <w:marRight w:val="0"/>
                  <w:marTop w:val="0"/>
                  <w:marBottom w:val="0"/>
                  <w:divBdr>
                    <w:top w:val="none" w:sz="0" w:space="0" w:color="auto"/>
                    <w:left w:val="none" w:sz="0" w:space="0" w:color="auto"/>
                    <w:bottom w:val="none" w:sz="0" w:space="0" w:color="auto"/>
                    <w:right w:val="none" w:sz="0" w:space="0" w:color="auto"/>
                  </w:divBdr>
                  <w:divsChild>
                    <w:div w:id="1139956546">
                      <w:marLeft w:val="0"/>
                      <w:marRight w:val="0"/>
                      <w:marTop w:val="0"/>
                      <w:marBottom w:val="0"/>
                      <w:divBdr>
                        <w:top w:val="none" w:sz="0" w:space="0" w:color="auto"/>
                        <w:left w:val="none" w:sz="0" w:space="0" w:color="auto"/>
                        <w:bottom w:val="none" w:sz="0" w:space="0" w:color="auto"/>
                        <w:right w:val="none" w:sz="0" w:space="0" w:color="auto"/>
                      </w:divBdr>
                    </w:div>
                  </w:divsChild>
                </w:div>
                <w:div w:id="377822313">
                  <w:marLeft w:val="0"/>
                  <w:marRight w:val="0"/>
                  <w:marTop w:val="0"/>
                  <w:marBottom w:val="0"/>
                  <w:divBdr>
                    <w:top w:val="none" w:sz="0" w:space="0" w:color="auto"/>
                    <w:left w:val="none" w:sz="0" w:space="0" w:color="auto"/>
                    <w:bottom w:val="none" w:sz="0" w:space="0" w:color="auto"/>
                    <w:right w:val="none" w:sz="0" w:space="0" w:color="auto"/>
                  </w:divBdr>
                  <w:divsChild>
                    <w:div w:id="1481074906">
                      <w:marLeft w:val="0"/>
                      <w:marRight w:val="0"/>
                      <w:marTop w:val="0"/>
                      <w:marBottom w:val="0"/>
                      <w:divBdr>
                        <w:top w:val="none" w:sz="0" w:space="0" w:color="auto"/>
                        <w:left w:val="none" w:sz="0" w:space="0" w:color="auto"/>
                        <w:bottom w:val="none" w:sz="0" w:space="0" w:color="auto"/>
                        <w:right w:val="none" w:sz="0" w:space="0" w:color="auto"/>
                      </w:divBdr>
                    </w:div>
                  </w:divsChild>
                </w:div>
                <w:div w:id="530802208">
                  <w:marLeft w:val="0"/>
                  <w:marRight w:val="0"/>
                  <w:marTop w:val="0"/>
                  <w:marBottom w:val="0"/>
                  <w:divBdr>
                    <w:top w:val="none" w:sz="0" w:space="0" w:color="auto"/>
                    <w:left w:val="none" w:sz="0" w:space="0" w:color="auto"/>
                    <w:bottom w:val="none" w:sz="0" w:space="0" w:color="auto"/>
                    <w:right w:val="none" w:sz="0" w:space="0" w:color="auto"/>
                  </w:divBdr>
                  <w:divsChild>
                    <w:div w:id="2015839081">
                      <w:marLeft w:val="0"/>
                      <w:marRight w:val="0"/>
                      <w:marTop w:val="0"/>
                      <w:marBottom w:val="0"/>
                      <w:divBdr>
                        <w:top w:val="none" w:sz="0" w:space="0" w:color="auto"/>
                        <w:left w:val="none" w:sz="0" w:space="0" w:color="auto"/>
                        <w:bottom w:val="none" w:sz="0" w:space="0" w:color="auto"/>
                        <w:right w:val="none" w:sz="0" w:space="0" w:color="auto"/>
                      </w:divBdr>
                    </w:div>
                  </w:divsChild>
                </w:div>
                <w:div w:id="593324435">
                  <w:marLeft w:val="0"/>
                  <w:marRight w:val="0"/>
                  <w:marTop w:val="0"/>
                  <w:marBottom w:val="0"/>
                  <w:divBdr>
                    <w:top w:val="none" w:sz="0" w:space="0" w:color="auto"/>
                    <w:left w:val="none" w:sz="0" w:space="0" w:color="auto"/>
                    <w:bottom w:val="none" w:sz="0" w:space="0" w:color="auto"/>
                    <w:right w:val="none" w:sz="0" w:space="0" w:color="auto"/>
                  </w:divBdr>
                  <w:divsChild>
                    <w:div w:id="49811221">
                      <w:marLeft w:val="0"/>
                      <w:marRight w:val="0"/>
                      <w:marTop w:val="0"/>
                      <w:marBottom w:val="0"/>
                      <w:divBdr>
                        <w:top w:val="none" w:sz="0" w:space="0" w:color="auto"/>
                        <w:left w:val="none" w:sz="0" w:space="0" w:color="auto"/>
                        <w:bottom w:val="none" w:sz="0" w:space="0" w:color="auto"/>
                        <w:right w:val="none" w:sz="0" w:space="0" w:color="auto"/>
                      </w:divBdr>
                    </w:div>
                  </w:divsChild>
                </w:div>
                <w:div w:id="602224535">
                  <w:marLeft w:val="0"/>
                  <w:marRight w:val="0"/>
                  <w:marTop w:val="0"/>
                  <w:marBottom w:val="0"/>
                  <w:divBdr>
                    <w:top w:val="none" w:sz="0" w:space="0" w:color="auto"/>
                    <w:left w:val="none" w:sz="0" w:space="0" w:color="auto"/>
                    <w:bottom w:val="none" w:sz="0" w:space="0" w:color="auto"/>
                    <w:right w:val="none" w:sz="0" w:space="0" w:color="auto"/>
                  </w:divBdr>
                  <w:divsChild>
                    <w:div w:id="1765570653">
                      <w:marLeft w:val="0"/>
                      <w:marRight w:val="0"/>
                      <w:marTop w:val="0"/>
                      <w:marBottom w:val="0"/>
                      <w:divBdr>
                        <w:top w:val="none" w:sz="0" w:space="0" w:color="auto"/>
                        <w:left w:val="none" w:sz="0" w:space="0" w:color="auto"/>
                        <w:bottom w:val="none" w:sz="0" w:space="0" w:color="auto"/>
                        <w:right w:val="none" w:sz="0" w:space="0" w:color="auto"/>
                      </w:divBdr>
                    </w:div>
                  </w:divsChild>
                </w:div>
                <w:div w:id="689838173">
                  <w:marLeft w:val="0"/>
                  <w:marRight w:val="0"/>
                  <w:marTop w:val="0"/>
                  <w:marBottom w:val="0"/>
                  <w:divBdr>
                    <w:top w:val="none" w:sz="0" w:space="0" w:color="auto"/>
                    <w:left w:val="none" w:sz="0" w:space="0" w:color="auto"/>
                    <w:bottom w:val="none" w:sz="0" w:space="0" w:color="auto"/>
                    <w:right w:val="none" w:sz="0" w:space="0" w:color="auto"/>
                  </w:divBdr>
                  <w:divsChild>
                    <w:div w:id="569120330">
                      <w:marLeft w:val="0"/>
                      <w:marRight w:val="0"/>
                      <w:marTop w:val="0"/>
                      <w:marBottom w:val="0"/>
                      <w:divBdr>
                        <w:top w:val="none" w:sz="0" w:space="0" w:color="auto"/>
                        <w:left w:val="none" w:sz="0" w:space="0" w:color="auto"/>
                        <w:bottom w:val="none" w:sz="0" w:space="0" w:color="auto"/>
                        <w:right w:val="none" w:sz="0" w:space="0" w:color="auto"/>
                      </w:divBdr>
                    </w:div>
                  </w:divsChild>
                </w:div>
                <w:div w:id="728268235">
                  <w:marLeft w:val="0"/>
                  <w:marRight w:val="0"/>
                  <w:marTop w:val="0"/>
                  <w:marBottom w:val="0"/>
                  <w:divBdr>
                    <w:top w:val="none" w:sz="0" w:space="0" w:color="auto"/>
                    <w:left w:val="none" w:sz="0" w:space="0" w:color="auto"/>
                    <w:bottom w:val="none" w:sz="0" w:space="0" w:color="auto"/>
                    <w:right w:val="none" w:sz="0" w:space="0" w:color="auto"/>
                  </w:divBdr>
                  <w:divsChild>
                    <w:div w:id="1695761854">
                      <w:marLeft w:val="0"/>
                      <w:marRight w:val="0"/>
                      <w:marTop w:val="0"/>
                      <w:marBottom w:val="0"/>
                      <w:divBdr>
                        <w:top w:val="none" w:sz="0" w:space="0" w:color="auto"/>
                        <w:left w:val="none" w:sz="0" w:space="0" w:color="auto"/>
                        <w:bottom w:val="none" w:sz="0" w:space="0" w:color="auto"/>
                        <w:right w:val="none" w:sz="0" w:space="0" w:color="auto"/>
                      </w:divBdr>
                    </w:div>
                  </w:divsChild>
                </w:div>
                <w:div w:id="740177639">
                  <w:marLeft w:val="0"/>
                  <w:marRight w:val="0"/>
                  <w:marTop w:val="0"/>
                  <w:marBottom w:val="0"/>
                  <w:divBdr>
                    <w:top w:val="none" w:sz="0" w:space="0" w:color="auto"/>
                    <w:left w:val="none" w:sz="0" w:space="0" w:color="auto"/>
                    <w:bottom w:val="none" w:sz="0" w:space="0" w:color="auto"/>
                    <w:right w:val="none" w:sz="0" w:space="0" w:color="auto"/>
                  </w:divBdr>
                  <w:divsChild>
                    <w:div w:id="271863464">
                      <w:marLeft w:val="0"/>
                      <w:marRight w:val="0"/>
                      <w:marTop w:val="0"/>
                      <w:marBottom w:val="0"/>
                      <w:divBdr>
                        <w:top w:val="none" w:sz="0" w:space="0" w:color="auto"/>
                        <w:left w:val="none" w:sz="0" w:space="0" w:color="auto"/>
                        <w:bottom w:val="none" w:sz="0" w:space="0" w:color="auto"/>
                        <w:right w:val="none" w:sz="0" w:space="0" w:color="auto"/>
                      </w:divBdr>
                    </w:div>
                  </w:divsChild>
                </w:div>
                <w:div w:id="776826961">
                  <w:marLeft w:val="0"/>
                  <w:marRight w:val="0"/>
                  <w:marTop w:val="0"/>
                  <w:marBottom w:val="0"/>
                  <w:divBdr>
                    <w:top w:val="none" w:sz="0" w:space="0" w:color="auto"/>
                    <w:left w:val="none" w:sz="0" w:space="0" w:color="auto"/>
                    <w:bottom w:val="none" w:sz="0" w:space="0" w:color="auto"/>
                    <w:right w:val="none" w:sz="0" w:space="0" w:color="auto"/>
                  </w:divBdr>
                  <w:divsChild>
                    <w:div w:id="1269122774">
                      <w:marLeft w:val="0"/>
                      <w:marRight w:val="0"/>
                      <w:marTop w:val="0"/>
                      <w:marBottom w:val="0"/>
                      <w:divBdr>
                        <w:top w:val="none" w:sz="0" w:space="0" w:color="auto"/>
                        <w:left w:val="none" w:sz="0" w:space="0" w:color="auto"/>
                        <w:bottom w:val="none" w:sz="0" w:space="0" w:color="auto"/>
                        <w:right w:val="none" w:sz="0" w:space="0" w:color="auto"/>
                      </w:divBdr>
                    </w:div>
                  </w:divsChild>
                </w:div>
                <w:div w:id="805582578">
                  <w:marLeft w:val="0"/>
                  <w:marRight w:val="0"/>
                  <w:marTop w:val="0"/>
                  <w:marBottom w:val="0"/>
                  <w:divBdr>
                    <w:top w:val="none" w:sz="0" w:space="0" w:color="auto"/>
                    <w:left w:val="none" w:sz="0" w:space="0" w:color="auto"/>
                    <w:bottom w:val="none" w:sz="0" w:space="0" w:color="auto"/>
                    <w:right w:val="none" w:sz="0" w:space="0" w:color="auto"/>
                  </w:divBdr>
                  <w:divsChild>
                    <w:div w:id="421879279">
                      <w:marLeft w:val="0"/>
                      <w:marRight w:val="0"/>
                      <w:marTop w:val="0"/>
                      <w:marBottom w:val="0"/>
                      <w:divBdr>
                        <w:top w:val="none" w:sz="0" w:space="0" w:color="auto"/>
                        <w:left w:val="none" w:sz="0" w:space="0" w:color="auto"/>
                        <w:bottom w:val="none" w:sz="0" w:space="0" w:color="auto"/>
                        <w:right w:val="none" w:sz="0" w:space="0" w:color="auto"/>
                      </w:divBdr>
                    </w:div>
                  </w:divsChild>
                </w:div>
                <w:div w:id="833684754">
                  <w:marLeft w:val="0"/>
                  <w:marRight w:val="0"/>
                  <w:marTop w:val="0"/>
                  <w:marBottom w:val="0"/>
                  <w:divBdr>
                    <w:top w:val="none" w:sz="0" w:space="0" w:color="auto"/>
                    <w:left w:val="none" w:sz="0" w:space="0" w:color="auto"/>
                    <w:bottom w:val="none" w:sz="0" w:space="0" w:color="auto"/>
                    <w:right w:val="none" w:sz="0" w:space="0" w:color="auto"/>
                  </w:divBdr>
                  <w:divsChild>
                    <w:div w:id="138808812">
                      <w:marLeft w:val="0"/>
                      <w:marRight w:val="0"/>
                      <w:marTop w:val="0"/>
                      <w:marBottom w:val="0"/>
                      <w:divBdr>
                        <w:top w:val="none" w:sz="0" w:space="0" w:color="auto"/>
                        <w:left w:val="none" w:sz="0" w:space="0" w:color="auto"/>
                        <w:bottom w:val="none" w:sz="0" w:space="0" w:color="auto"/>
                        <w:right w:val="none" w:sz="0" w:space="0" w:color="auto"/>
                      </w:divBdr>
                    </w:div>
                  </w:divsChild>
                </w:div>
                <w:div w:id="846942264">
                  <w:marLeft w:val="0"/>
                  <w:marRight w:val="0"/>
                  <w:marTop w:val="0"/>
                  <w:marBottom w:val="0"/>
                  <w:divBdr>
                    <w:top w:val="none" w:sz="0" w:space="0" w:color="auto"/>
                    <w:left w:val="none" w:sz="0" w:space="0" w:color="auto"/>
                    <w:bottom w:val="none" w:sz="0" w:space="0" w:color="auto"/>
                    <w:right w:val="none" w:sz="0" w:space="0" w:color="auto"/>
                  </w:divBdr>
                  <w:divsChild>
                    <w:div w:id="136067247">
                      <w:marLeft w:val="0"/>
                      <w:marRight w:val="0"/>
                      <w:marTop w:val="0"/>
                      <w:marBottom w:val="0"/>
                      <w:divBdr>
                        <w:top w:val="none" w:sz="0" w:space="0" w:color="auto"/>
                        <w:left w:val="none" w:sz="0" w:space="0" w:color="auto"/>
                        <w:bottom w:val="none" w:sz="0" w:space="0" w:color="auto"/>
                        <w:right w:val="none" w:sz="0" w:space="0" w:color="auto"/>
                      </w:divBdr>
                    </w:div>
                  </w:divsChild>
                </w:div>
                <w:div w:id="918905558">
                  <w:marLeft w:val="0"/>
                  <w:marRight w:val="0"/>
                  <w:marTop w:val="0"/>
                  <w:marBottom w:val="0"/>
                  <w:divBdr>
                    <w:top w:val="none" w:sz="0" w:space="0" w:color="auto"/>
                    <w:left w:val="none" w:sz="0" w:space="0" w:color="auto"/>
                    <w:bottom w:val="none" w:sz="0" w:space="0" w:color="auto"/>
                    <w:right w:val="none" w:sz="0" w:space="0" w:color="auto"/>
                  </w:divBdr>
                  <w:divsChild>
                    <w:div w:id="199781748">
                      <w:marLeft w:val="0"/>
                      <w:marRight w:val="0"/>
                      <w:marTop w:val="0"/>
                      <w:marBottom w:val="0"/>
                      <w:divBdr>
                        <w:top w:val="none" w:sz="0" w:space="0" w:color="auto"/>
                        <w:left w:val="none" w:sz="0" w:space="0" w:color="auto"/>
                        <w:bottom w:val="none" w:sz="0" w:space="0" w:color="auto"/>
                        <w:right w:val="none" w:sz="0" w:space="0" w:color="auto"/>
                      </w:divBdr>
                    </w:div>
                  </w:divsChild>
                </w:div>
                <w:div w:id="938676743">
                  <w:marLeft w:val="0"/>
                  <w:marRight w:val="0"/>
                  <w:marTop w:val="0"/>
                  <w:marBottom w:val="0"/>
                  <w:divBdr>
                    <w:top w:val="none" w:sz="0" w:space="0" w:color="auto"/>
                    <w:left w:val="none" w:sz="0" w:space="0" w:color="auto"/>
                    <w:bottom w:val="none" w:sz="0" w:space="0" w:color="auto"/>
                    <w:right w:val="none" w:sz="0" w:space="0" w:color="auto"/>
                  </w:divBdr>
                  <w:divsChild>
                    <w:div w:id="932250208">
                      <w:marLeft w:val="0"/>
                      <w:marRight w:val="0"/>
                      <w:marTop w:val="0"/>
                      <w:marBottom w:val="0"/>
                      <w:divBdr>
                        <w:top w:val="none" w:sz="0" w:space="0" w:color="auto"/>
                        <w:left w:val="none" w:sz="0" w:space="0" w:color="auto"/>
                        <w:bottom w:val="none" w:sz="0" w:space="0" w:color="auto"/>
                        <w:right w:val="none" w:sz="0" w:space="0" w:color="auto"/>
                      </w:divBdr>
                    </w:div>
                  </w:divsChild>
                </w:div>
                <w:div w:id="1025248322">
                  <w:marLeft w:val="0"/>
                  <w:marRight w:val="0"/>
                  <w:marTop w:val="0"/>
                  <w:marBottom w:val="0"/>
                  <w:divBdr>
                    <w:top w:val="none" w:sz="0" w:space="0" w:color="auto"/>
                    <w:left w:val="none" w:sz="0" w:space="0" w:color="auto"/>
                    <w:bottom w:val="none" w:sz="0" w:space="0" w:color="auto"/>
                    <w:right w:val="none" w:sz="0" w:space="0" w:color="auto"/>
                  </w:divBdr>
                  <w:divsChild>
                    <w:div w:id="301277688">
                      <w:marLeft w:val="0"/>
                      <w:marRight w:val="0"/>
                      <w:marTop w:val="0"/>
                      <w:marBottom w:val="0"/>
                      <w:divBdr>
                        <w:top w:val="none" w:sz="0" w:space="0" w:color="auto"/>
                        <w:left w:val="none" w:sz="0" w:space="0" w:color="auto"/>
                        <w:bottom w:val="none" w:sz="0" w:space="0" w:color="auto"/>
                        <w:right w:val="none" w:sz="0" w:space="0" w:color="auto"/>
                      </w:divBdr>
                    </w:div>
                  </w:divsChild>
                </w:div>
                <w:div w:id="1039941294">
                  <w:marLeft w:val="0"/>
                  <w:marRight w:val="0"/>
                  <w:marTop w:val="0"/>
                  <w:marBottom w:val="0"/>
                  <w:divBdr>
                    <w:top w:val="none" w:sz="0" w:space="0" w:color="auto"/>
                    <w:left w:val="none" w:sz="0" w:space="0" w:color="auto"/>
                    <w:bottom w:val="none" w:sz="0" w:space="0" w:color="auto"/>
                    <w:right w:val="none" w:sz="0" w:space="0" w:color="auto"/>
                  </w:divBdr>
                  <w:divsChild>
                    <w:div w:id="733504604">
                      <w:marLeft w:val="0"/>
                      <w:marRight w:val="0"/>
                      <w:marTop w:val="0"/>
                      <w:marBottom w:val="0"/>
                      <w:divBdr>
                        <w:top w:val="none" w:sz="0" w:space="0" w:color="auto"/>
                        <w:left w:val="none" w:sz="0" w:space="0" w:color="auto"/>
                        <w:bottom w:val="none" w:sz="0" w:space="0" w:color="auto"/>
                        <w:right w:val="none" w:sz="0" w:space="0" w:color="auto"/>
                      </w:divBdr>
                    </w:div>
                  </w:divsChild>
                </w:div>
                <w:div w:id="1051002814">
                  <w:marLeft w:val="0"/>
                  <w:marRight w:val="0"/>
                  <w:marTop w:val="0"/>
                  <w:marBottom w:val="0"/>
                  <w:divBdr>
                    <w:top w:val="none" w:sz="0" w:space="0" w:color="auto"/>
                    <w:left w:val="none" w:sz="0" w:space="0" w:color="auto"/>
                    <w:bottom w:val="none" w:sz="0" w:space="0" w:color="auto"/>
                    <w:right w:val="none" w:sz="0" w:space="0" w:color="auto"/>
                  </w:divBdr>
                  <w:divsChild>
                    <w:div w:id="1841385199">
                      <w:marLeft w:val="0"/>
                      <w:marRight w:val="0"/>
                      <w:marTop w:val="0"/>
                      <w:marBottom w:val="0"/>
                      <w:divBdr>
                        <w:top w:val="none" w:sz="0" w:space="0" w:color="auto"/>
                        <w:left w:val="none" w:sz="0" w:space="0" w:color="auto"/>
                        <w:bottom w:val="none" w:sz="0" w:space="0" w:color="auto"/>
                        <w:right w:val="none" w:sz="0" w:space="0" w:color="auto"/>
                      </w:divBdr>
                    </w:div>
                  </w:divsChild>
                </w:div>
                <w:div w:id="1152528503">
                  <w:marLeft w:val="0"/>
                  <w:marRight w:val="0"/>
                  <w:marTop w:val="0"/>
                  <w:marBottom w:val="0"/>
                  <w:divBdr>
                    <w:top w:val="none" w:sz="0" w:space="0" w:color="auto"/>
                    <w:left w:val="none" w:sz="0" w:space="0" w:color="auto"/>
                    <w:bottom w:val="none" w:sz="0" w:space="0" w:color="auto"/>
                    <w:right w:val="none" w:sz="0" w:space="0" w:color="auto"/>
                  </w:divBdr>
                  <w:divsChild>
                    <w:div w:id="286787960">
                      <w:marLeft w:val="0"/>
                      <w:marRight w:val="0"/>
                      <w:marTop w:val="0"/>
                      <w:marBottom w:val="0"/>
                      <w:divBdr>
                        <w:top w:val="none" w:sz="0" w:space="0" w:color="auto"/>
                        <w:left w:val="none" w:sz="0" w:space="0" w:color="auto"/>
                        <w:bottom w:val="none" w:sz="0" w:space="0" w:color="auto"/>
                        <w:right w:val="none" w:sz="0" w:space="0" w:color="auto"/>
                      </w:divBdr>
                    </w:div>
                  </w:divsChild>
                </w:div>
                <w:div w:id="1163933015">
                  <w:marLeft w:val="0"/>
                  <w:marRight w:val="0"/>
                  <w:marTop w:val="0"/>
                  <w:marBottom w:val="0"/>
                  <w:divBdr>
                    <w:top w:val="none" w:sz="0" w:space="0" w:color="auto"/>
                    <w:left w:val="none" w:sz="0" w:space="0" w:color="auto"/>
                    <w:bottom w:val="none" w:sz="0" w:space="0" w:color="auto"/>
                    <w:right w:val="none" w:sz="0" w:space="0" w:color="auto"/>
                  </w:divBdr>
                  <w:divsChild>
                    <w:div w:id="1409762551">
                      <w:marLeft w:val="0"/>
                      <w:marRight w:val="0"/>
                      <w:marTop w:val="0"/>
                      <w:marBottom w:val="0"/>
                      <w:divBdr>
                        <w:top w:val="none" w:sz="0" w:space="0" w:color="auto"/>
                        <w:left w:val="none" w:sz="0" w:space="0" w:color="auto"/>
                        <w:bottom w:val="none" w:sz="0" w:space="0" w:color="auto"/>
                        <w:right w:val="none" w:sz="0" w:space="0" w:color="auto"/>
                      </w:divBdr>
                    </w:div>
                  </w:divsChild>
                </w:div>
                <w:div w:id="1168716171">
                  <w:marLeft w:val="0"/>
                  <w:marRight w:val="0"/>
                  <w:marTop w:val="0"/>
                  <w:marBottom w:val="0"/>
                  <w:divBdr>
                    <w:top w:val="none" w:sz="0" w:space="0" w:color="auto"/>
                    <w:left w:val="none" w:sz="0" w:space="0" w:color="auto"/>
                    <w:bottom w:val="none" w:sz="0" w:space="0" w:color="auto"/>
                    <w:right w:val="none" w:sz="0" w:space="0" w:color="auto"/>
                  </w:divBdr>
                  <w:divsChild>
                    <w:div w:id="1102187309">
                      <w:marLeft w:val="0"/>
                      <w:marRight w:val="0"/>
                      <w:marTop w:val="0"/>
                      <w:marBottom w:val="0"/>
                      <w:divBdr>
                        <w:top w:val="none" w:sz="0" w:space="0" w:color="auto"/>
                        <w:left w:val="none" w:sz="0" w:space="0" w:color="auto"/>
                        <w:bottom w:val="none" w:sz="0" w:space="0" w:color="auto"/>
                        <w:right w:val="none" w:sz="0" w:space="0" w:color="auto"/>
                      </w:divBdr>
                    </w:div>
                    <w:div w:id="1628046778">
                      <w:marLeft w:val="0"/>
                      <w:marRight w:val="0"/>
                      <w:marTop w:val="0"/>
                      <w:marBottom w:val="0"/>
                      <w:divBdr>
                        <w:top w:val="none" w:sz="0" w:space="0" w:color="auto"/>
                        <w:left w:val="none" w:sz="0" w:space="0" w:color="auto"/>
                        <w:bottom w:val="none" w:sz="0" w:space="0" w:color="auto"/>
                        <w:right w:val="none" w:sz="0" w:space="0" w:color="auto"/>
                      </w:divBdr>
                    </w:div>
                  </w:divsChild>
                </w:div>
                <w:div w:id="1244409586">
                  <w:marLeft w:val="0"/>
                  <w:marRight w:val="0"/>
                  <w:marTop w:val="0"/>
                  <w:marBottom w:val="0"/>
                  <w:divBdr>
                    <w:top w:val="none" w:sz="0" w:space="0" w:color="auto"/>
                    <w:left w:val="none" w:sz="0" w:space="0" w:color="auto"/>
                    <w:bottom w:val="none" w:sz="0" w:space="0" w:color="auto"/>
                    <w:right w:val="none" w:sz="0" w:space="0" w:color="auto"/>
                  </w:divBdr>
                  <w:divsChild>
                    <w:div w:id="37171482">
                      <w:marLeft w:val="0"/>
                      <w:marRight w:val="0"/>
                      <w:marTop w:val="0"/>
                      <w:marBottom w:val="0"/>
                      <w:divBdr>
                        <w:top w:val="none" w:sz="0" w:space="0" w:color="auto"/>
                        <w:left w:val="none" w:sz="0" w:space="0" w:color="auto"/>
                        <w:bottom w:val="none" w:sz="0" w:space="0" w:color="auto"/>
                        <w:right w:val="none" w:sz="0" w:space="0" w:color="auto"/>
                      </w:divBdr>
                    </w:div>
                  </w:divsChild>
                </w:div>
                <w:div w:id="1385983999">
                  <w:marLeft w:val="0"/>
                  <w:marRight w:val="0"/>
                  <w:marTop w:val="0"/>
                  <w:marBottom w:val="0"/>
                  <w:divBdr>
                    <w:top w:val="none" w:sz="0" w:space="0" w:color="auto"/>
                    <w:left w:val="none" w:sz="0" w:space="0" w:color="auto"/>
                    <w:bottom w:val="none" w:sz="0" w:space="0" w:color="auto"/>
                    <w:right w:val="none" w:sz="0" w:space="0" w:color="auto"/>
                  </w:divBdr>
                  <w:divsChild>
                    <w:div w:id="747732849">
                      <w:marLeft w:val="0"/>
                      <w:marRight w:val="0"/>
                      <w:marTop w:val="0"/>
                      <w:marBottom w:val="0"/>
                      <w:divBdr>
                        <w:top w:val="none" w:sz="0" w:space="0" w:color="auto"/>
                        <w:left w:val="none" w:sz="0" w:space="0" w:color="auto"/>
                        <w:bottom w:val="none" w:sz="0" w:space="0" w:color="auto"/>
                        <w:right w:val="none" w:sz="0" w:space="0" w:color="auto"/>
                      </w:divBdr>
                    </w:div>
                  </w:divsChild>
                </w:div>
                <w:div w:id="1409303764">
                  <w:marLeft w:val="0"/>
                  <w:marRight w:val="0"/>
                  <w:marTop w:val="0"/>
                  <w:marBottom w:val="0"/>
                  <w:divBdr>
                    <w:top w:val="none" w:sz="0" w:space="0" w:color="auto"/>
                    <w:left w:val="none" w:sz="0" w:space="0" w:color="auto"/>
                    <w:bottom w:val="none" w:sz="0" w:space="0" w:color="auto"/>
                    <w:right w:val="none" w:sz="0" w:space="0" w:color="auto"/>
                  </w:divBdr>
                  <w:divsChild>
                    <w:div w:id="1466120595">
                      <w:marLeft w:val="0"/>
                      <w:marRight w:val="0"/>
                      <w:marTop w:val="0"/>
                      <w:marBottom w:val="0"/>
                      <w:divBdr>
                        <w:top w:val="none" w:sz="0" w:space="0" w:color="auto"/>
                        <w:left w:val="none" w:sz="0" w:space="0" w:color="auto"/>
                        <w:bottom w:val="none" w:sz="0" w:space="0" w:color="auto"/>
                        <w:right w:val="none" w:sz="0" w:space="0" w:color="auto"/>
                      </w:divBdr>
                    </w:div>
                  </w:divsChild>
                </w:div>
                <w:div w:id="1504660297">
                  <w:marLeft w:val="0"/>
                  <w:marRight w:val="0"/>
                  <w:marTop w:val="0"/>
                  <w:marBottom w:val="0"/>
                  <w:divBdr>
                    <w:top w:val="none" w:sz="0" w:space="0" w:color="auto"/>
                    <w:left w:val="none" w:sz="0" w:space="0" w:color="auto"/>
                    <w:bottom w:val="none" w:sz="0" w:space="0" w:color="auto"/>
                    <w:right w:val="none" w:sz="0" w:space="0" w:color="auto"/>
                  </w:divBdr>
                  <w:divsChild>
                    <w:div w:id="642544560">
                      <w:marLeft w:val="0"/>
                      <w:marRight w:val="0"/>
                      <w:marTop w:val="0"/>
                      <w:marBottom w:val="0"/>
                      <w:divBdr>
                        <w:top w:val="none" w:sz="0" w:space="0" w:color="auto"/>
                        <w:left w:val="none" w:sz="0" w:space="0" w:color="auto"/>
                        <w:bottom w:val="none" w:sz="0" w:space="0" w:color="auto"/>
                        <w:right w:val="none" w:sz="0" w:space="0" w:color="auto"/>
                      </w:divBdr>
                    </w:div>
                  </w:divsChild>
                </w:div>
                <w:div w:id="1609387021">
                  <w:marLeft w:val="0"/>
                  <w:marRight w:val="0"/>
                  <w:marTop w:val="0"/>
                  <w:marBottom w:val="0"/>
                  <w:divBdr>
                    <w:top w:val="none" w:sz="0" w:space="0" w:color="auto"/>
                    <w:left w:val="none" w:sz="0" w:space="0" w:color="auto"/>
                    <w:bottom w:val="none" w:sz="0" w:space="0" w:color="auto"/>
                    <w:right w:val="none" w:sz="0" w:space="0" w:color="auto"/>
                  </w:divBdr>
                  <w:divsChild>
                    <w:div w:id="39981767">
                      <w:marLeft w:val="0"/>
                      <w:marRight w:val="0"/>
                      <w:marTop w:val="0"/>
                      <w:marBottom w:val="0"/>
                      <w:divBdr>
                        <w:top w:val="none" w:sz="0" w:space="0" w:color="auto"/>
                        <w:left w:val="none" w:sz="0" w:space="0" w:color="auto"/>
                        <w:bottom w:val="none" w:sz="0" w:space="0" w:color="auto"/>
                        <w:right w:val="none" w:sz="0" w:space="0" w:color="auto"/>
                      </w:divBdr>
                    </w:div>
                  </w:divsChild>
                </w:div>
                <w:div w:id="1612006839">
                  <w:marLeft w:val="0"/>
                  <w:marRight w:val="0"/>
                  <w:marTop w:val="0"/>
                  <w:marBottom w:val="0"/>
                  <w:divBdr>
                    <w:top w:val="none" w:sz="0" w:space="0" w:color="auto"/>
                    <w:left w:val="none" w:sz="0" w:space="0" w:color="auto"/>
                    <w:bottom w:val="none" w:sz="0" w:space="0" w:color="auto"/>
                    <w:right w:val="none" w:sz="0" w:space="0" w:color="auto"/>
                  </w:divBdr>
                  <w:divsChild>
                    <w:div w:id="880172204">
                      <w:marLeft w:val="0"/>
                      <w:marRight w:val="0"/>
                      <w:marTop w:val="0"/>
                      <w:marBottom w:val="0"/>
                      <w:divBdr>
                        <w:top w:val="none" w:sz="0" w:space="0" w:color="auto"/>
                        <w:left w:val="none" w:sz="0" w:space="0" w:color="auto"/>
                        <w:bottom w:val="none" w:sz="0" w:space="0" w:color="auto"/>
                        <w:right w:val="none" w:sz="0" w:space="0" w:color="auto"/>
                      </w:divBdr>
                    </w:div>
                  </w:divsChild>
                </w:div>
                <w:div w:id="1694528774">
                  <w:marLeft w:val="0"/>
                  <w:marRight w:val="0"/>
                  <w:marTop w:val="0"/>
                  <w:marBottom w:val="0"/>
                  <w:divBdr>
                    <w:top w:val="none" w:sz="0" w:space="0" w:color="auto"/>
                    <w:left w:val="none" w:sz="0" w:space="0" w:color="auto"/>
                    <w:bottom w:val="none" w:sz="0" w:space="0" w:color="auto"/>
                    <w:right w:val="none" w:sz="0" w:space="0" w:color="auto"/>
                  </w:divBdr>
                  <w:divsChild>
                    <w:div w:id="404493109">
                      <w:marLeft w:val="0"/>
                      <w:marRight w:val="0"/>
                      <w:marTop w:val="0"/>
                      <w:marBottom w:val="0"/>
                      <w:divBdr>
                        <w:top w:val="none" w:sz="0" w:space="0" w:color="auto"/>
                        <w:left w:val="none" w:sz="0" w:space="0" w:color="auto"/>
                        <w:bottom w:val="none" w:sz="0" w:space="0" w:color="auto"/>
                        <w:right w:val="none" w:sz="0" w:space="0" w:color="auto"/>
                      </w:divBdr>
                    </w:div>
                  </w:divsChild>
                </w:div>
                <w:div w:id="1709641275">
                  <w:marLeft w:val="0"/>
                  <w:marRight w:val="0"/>
                  <w:marTop w:val="0"/>
                  <w:marBottom w:val="0"/>
                  <w:divBdr>
                    <w:top w:val="none" w:sz="0" w:space="0" w:color="auto"/>
                    <w:left w:val="none" w:sz="0" w:space="0" w:color="auto"/>
                    <w:bottom w:val="none" w:sz="0" w:space="0" w:color="auto"/>
                    <w:right w:val="none" w:sz="0" w:space="0" w:color="auto"/>
                  </w:divBdr>
                  <w:divsChild>
                    <w:div w:id="1841508548">
                      <w:marLeft w:val="0"/>
                      <w:marRight w:val="0"/>
                      <w:marTop w:val="0"/>
                      <w:marBottom w:val="0"/>
                      <w:divBdr>
                        <w:top w:val="none" w:sz="0" w:space="0" w:color="auto"/>
                        <w:left w:val="none" w:sz="0" w:space="0" w:color="auto"/>
                        <w:bottom w:val="none" w:sz="0" w:space="0" w:color="auto"/>
                        <w:right w:val="none" w:sz="0" w:space="0" w:color="auto"/>
                      </w:divBdr>
                    </w:div>
                  </w:divsChild>
                </w:div>
                <w:div w:id="1833762883">
                  <w:marLeft w:val="0"/>
                  <w:marRight w:val="0"/>
                  <w:marTop w:val="0"/>
                  <w:marBottom w:val="0"/>
                  <w:divBdr>
                    <w:top w:val="none" w:sz="0" w:space="0" w:color="auto"/>
                    <w:left w:val="none" w:sz="0" w:space="0" w:color="auto"/>
                    <w:bottom w:val="none" w:sz="0" w:space="0" w:color="auto"/>
                    <w:right w:val="none" w:sz="0" w:space="0" w:color="auto"/>
                  </w:divBdr>
                  <w:divsChild>
                    <w:div w:id="2079018219">
                      <w:marLeft w:val="0"/>
                      <w:marRight w:val="0"/>
                      <w:marTop w:val="0"/>
                      <w:marBottom w:val="0"/>
                      <w:divBdr>
                        <w:top w:val="none" w:sz="0" w:space="0" w:color="auto"/>
                        <w:left w:val="none" w:sz="0" w:space="0" w:color="auto"/>
                        <w:bottom w:val="none" w:sz="0" w:space="0" w:color="auto"/>
                        <w:right w:val="none" w:sz="0" w:space="0" w:color="auto"/>
                      </w:divBdr>
                    </w:div>
                  </w:divsChild>
                </w:div>
                <w:div w:id="1883320324">
                  <w:marLeft w:val="0"/>
                  <w:marRight w:val="0"/>
                  <w:marTop w:val="0"/>
                  <w:marBottom w:val="0"/>
                  <w:divBdr>
                    <w:top w:val="none" w:sz="0" w:space="0" w:color="auto"/>
                    <w:left w:val="none" w:sz="0" w:space="0" w:color="auto"/>
                    <w:bottom w:val="none" w:sz="0" w:space="0" w:color="auto"/>
                    <w:right w:val="none" w:sz="0" w:space="0" w:color="auto"/>
                  </w:divBdr>
                  <w:divsChild>
                    <w:div w:id="182868311">
                      <w:marLeft w:val="0"/>
                      <w:marRight w:val="0"/>
                      <w:marTop w:val="0"/>
                      <w:marBottom w:val="0"/>
                      <w:divBdr>
                        <w:top w:val="none" w:sz="0" w:space="0" w:color="auto"/>
                        <w:left w:val="none" w:sz="0" w:space="0" w:color="auto"/>
                        <w:bottom w:val="none" w:sz="0" w:space="0" w:color="auto"/>
                        <w:right w:val="none" w:sz="0" w:space="0" w:color="auto"/>
                      </w:divBdr>
                    </w:div>
                  </w:divsChild>
                </w:div>
                <w:div w:id="1933540750">
                  <w:marLeft w:val="0"/>
                  <w:marRight w:val="0"/>
                  <w:marTop w:val="0"/>
                  <w:marBottom w:val="0"/>
                  <w:divBdr>
                    <w:top w:val="none" w:sz="0" w:space="0" w:color="auto"/>
                    <w:left w:val="none" w:sz="0" w:space="0" w:color="auto"/>
                    <w:bottom w:val="none" w:sz="0" w:space="0" w:color="auto"/>
                    <w:right w:val="none" w:sz="0" w:space="0" w:color="auto"/>
                  </w:divBdr>
                  <w:divsChild>
                    <w:div w:id="1180125806">
                      <w:marLeft w:val="0"/>
                      <w:marRight w:val="0"/>
                      <w:marTop w:val="0"/>
                      <w:marBottom w:val="0"/>
                      <w:divBdr>
                        <w:top w:val="none" w:sz="0" w:space="0" w:color="auto"/>
                        <w:left w:val="none" w:sz="0" w:space="0" w:color="auto"/>
                        <w:bottom w:val="none" w:sz="0" w:space="0" w:color="auto"/>
                        <w:right w:val="none" w:sz="0" w:space="0" w:color="auto"/>
                      </w:divBdr>
                    </w:div>
                  </w:divsChild>
                </w:div>
                <w:div w:id="2021856724">
                  <w:marLeft w:val="0"/>
                  <w:marRight w:val="0"/>
                  <w:marTop w:val="0"/>
                  <w:marBottom w:val="0"/>
                  <w:divBdr>
                    <w:top w:val="none" w:sz="0" w:space="0" w:color="auto"/>
                    <w:left w:val="none" w:sz="0" w:space="0" w:color="auto"/>
                    <w:bottom w:val="none" w:sz="0" w:space="0" w:color="auto"/>
                    <w:right w:val="none" w:sz="0" w:space="0" w:color="auto"/>
                  </w:divBdr>
                  <w:divsChild>
                    <w:div w:id="1149253008">
                      <w:marLeft w:val="0"/>
                      <w:marRight w:val="0"/>
                      <w:marTop w:val="0"/>
                      <w:marBottom w:val="0"/>
                      <w:divBdr>
                        <w:top w:val="none" w:sz="0" w:space="0" w:color="auto"/>
                        <w:left w:val="none" w:sz="0" w:space="0" w:color="auto"/>
                        <w:bottom w:val="none" w:sz="0" w:space="0" w:color="auto"/>
                        <w:right w:val="none" w:sz="0" w:space="0" w:color="auto"/>
                      </w:divBdr>
                    </w:div>
                  </w:divsChild>
                </w:div>
                <w:div w:id="2043893972">
                  <w:marLeft w:val="0"/>
                  <w:marRight w:val="0"/>
                  <w:marTop w:val="0"/>
                  <w:marBottom w:val="0"/>
                  <w:divBdr>
                    <w:top w:val="none" w:sz="0" w:space="0" w:color="auto"/>
                    <w:left w:val="none" w:sz="0" w:space="0" w:color="auto"/>
                    <w:bottom w:val="none" w:sz="0" w:space="0" w:color="auto"/>
                    <w:right w:val="none" w:sz="0" w:space="0" w:color="auto"/>
                  </w:divBdr>
                  <w:divsChild>
                    <w:div w:id="139806398">
                      <w:marLeft w:val="0"/>
                      <w:marRight w:val="0"/>
                      <w:marTop w:val="0"/>
                      <w:marBottom w:val="0"/>
                      <w:divBdr>
                        <w:top w:val="none" w:sz="0" w:space="0" w:color="auto"/>
                        <w:left w:val="none" w:sz="0" w:space="0" w:color="auto"/>
                        <w:bottom w:val="none" w:sz="0" w:space="0" w:color="auto"/>
                        <w:right w:val="none" w:sz="0" w:space="0" w:color="auto"/>
                      </w:divBdr>
                    </w:div>
                  </w:divsChild>
                </w:div>
                <w:div w:id="2060394029">
                  <w:marLeft w:val="0"/>
                  <w:marRight w:val="0"/>
                  <w:marTop w:val="0"/>
                  <w:marBottom w:val="0"/>
                  <w:divBdr>
                    <w:top w:val="none" w:sz="0" w:space="0" w:color="auto"/>
                    <w:left w:val="none" w:sz="0" w:space="0" w:color="auto"/>
                    <w:bottom w:val="none" w:sz="0" w:space="0" w:color="auto"/>
                    <w:right w:val="none" w:sz="0" w:space="0" w:color="auto"/>
                  </w:divBdr>
                  <w:divsChild>
                    <w:div w:id="139330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695307">
          <w:marLeft w:val="0"/>
          <w:marRight w:val="0"/>
          <w:marTop w:val="0"/>
          <w:marBottom w:val="0"/>
          <w:divBdr>
            <w:top w:val="none" w:sz="0" w:space="0" w:color="auto"/>
            <w:left w:val="none" w:sz="0" w:space="0" w:color="auto"/>
            <w:bottom w:val="none" w:sz="0" w:space="0" w:color="auto"/>
            <w:right w:val="none" w:sz="0" w:space="0" w:color="auto"/>
          </w:divBdr>
          <w:divsChild>
            <w:div w:id="609357622">
              <w:marLeft w:val="0"/>
              <w:marRight w:val="0"/>
              <w:marTop w:val="0"/>
              <w:marBottom w:val="0"/>
              <w:divBdr>
                <w:top w:val="none" w:sz="0" w:space="0" w:color="auto"/>
                <w:left w:val="none" w:sz="0" w:space="0" w:color="auto"/>
                <w:bottom w:val="none" w:sz="0" w:space="0" w:color="auto"/>
                <w:right w:val="none" w:sz="0" w:space="0" w:color="auto"/>
              </w:divBdr>
            </w:div>
            <w:div w:id="1158768845">
              <w:marLeft w:val="0"/>
              <w:marRight w:val="0"/>
              <w:marTop w:val="0"/>
              <w:marBottom w:val="0"/>
              <w:divBdr>
                <w:top w:val="none" w:sz="0" w:space="0" w:color="auto"/>
                <w:left w:val="none" w:sz="0" w:space="0" w:color="auto"/>
                <w:bottom w:val="none" w:sz="0" w:space="0" w:color="auto"/>
                <w:right w:val="none" w:sz="0" w:space="0" w:color="auto"/>
              </w:divBdr>
            </w:div>
          </w:divsChild>
        </w:div>
        <w:div w:id="1080374199">
          <w:marLeft w:val="0"/>
          <w:marRight w:val="0"/>
          <w:marTop w:val="0"/>
          <w:marBottom w:val="0"/>
          <w:divBdr>
            <w:top w:val="none" w:sz="0" w:space="0" w:color="auto"/>
            <w:left w:val="none" w:sz="0" w:space="0" w:color="auto"/>
            <w:bottom w:val="none" w:sz="0" w:space="0" w:color="auto"/>
            <w:right w:val="none" w:sz="0" w:space="0" w:color="auto"/>
          </w:divBdr>
        </w:div>
        <w:div w:id="1519194160">
          <w:marLeft w:val="0"/>
          <w:marRight w:val="0"/>
          <w:marTop w:val="0"/>
          <w:marBottom w:val="0"/>
          <w:divBdr>
            <w:top w:val="none" w:sz="0" w:space="0" w:color="auto"/>
            <w:left w:val="none" w:sz="0" w:space="0" w:color="auto"/>
            <w:bottom w:val="none" w:sz="0" w:space="0" w:color="auto"/>
            <w:right w:val="none" w:sz="0" w:space="0" w:color="auto"/>
          </w:divBdr>
        </w:div>
        <w:div w:id="1669168008">
          <w:marLeft w:val="0"/>
          <w:marRight w:val="0"/>
          <w:marTop w:val="0"/>
          <w:marBottom w:val="0"/>
          <w:divBdr>
            <w:top w:val="none" w:sz="0" w:space="0" w:color="auto"/>
            <w:left w:val="none" w:sz="0" w:space="0" w:color="auto"/>
            <w:bottom w:val="none" w:sz="0" w:space="0" w:color="auto"/>
            <w:right w:val="none" w:sz="0" w:space="0" w:color="auto"/>
          </w:divBdr>
          <w:divsChild>
            <w:div w:id="378625607">
              <w:marLeft w:val="0"/>
              <w:marRight w:val="0"/>
              <w:marTop w:val="0"/>
              <w:marBottom w:val="0"/>
              <w:divBdr>
                <w:top w:val="none" w:sz="0" w:space="0" w:color="auto"/>
                <w:left w:val="none" w:sz="0" w:space="0" w:color="auto"/>
                <w:bottom w:val="none" w:sz="0" w:space="0" w:color="auto"/>
                <w:right w:val="none" w:sz="0" w:space="0" w:color="auto"/>
              </w:divBdr>
            </w:div>
            <w:div w:id="1242372732">
              <w:marLeft w:val="0"/>
              <w:marRight w:val="0"/>
              <w:marTop w:val="0"/>
              <w:marBottom w:val="0"/>
              <w:divBdr>
                <w:top w:val="none" w:sz="0" w:space="0" w:color="auto"/>
                <w:left w:val="none" w:sz="0" w:space="0" w:color="auto"/>
                <w:bottom w:val="none" w:sz="0" w:space="0" w:color="auto"/>
                <w:right w:val="none" w:sz="0" w:space="0" w:color="auto"/>
              </w:divBdr>
            </w:div>
            <w:div w:id="1433209600">
              <w:marLeft w:val="0"/>
              <w:marRight w:val="0"/>
              <w:marTop w:val="0"/>
              <w:marBottom w:val="0"/>
              <w:divBdr>
                <w:top w:val="none" w:sz="0" w:space="0" w:color="auto"/>
                <w:left w:val="none" w:sz="0" w:space="0" w:color="auto"/>
                <w:bottom w:val="none" w:sz="0" w:space="0" w:color="auto"/>
                <w:right w:val="none" w:sz="0" w:space="0" w:color="auto"/>
              </w:divBdr>
            </w:div>
            <w:div w:id="1601377778">
              <w:marLeft w:val="0"/>
              <w:marRight w:val="0"/>
              <w:marTop w:val="0"/>
              <w:marBottom w:val="0"/>
              <w:divBdr>
                <w:top w:val="none" w:sz="0" w:space="0" w:color="auto"/>
                <w:left w:val="none" w:sz="0" w:space="0" w:color="auto"/>
                <w:bottom w:val="none" w:sz="0" w:space="0" w:color="auto"/>
                <w:right w:val="none" w:sz="0" w:space="0" w:color="auto"/>
              </w:divBdr>
            </w:div>
            <w:div w:id="2143183254">
              <w:marLeft w:val="0"/>
              <w:marRight w:val="0"/>
              <w:marTop w:val="0"/>
              <w:marBottom w:val="0"/>
              <w:divBdr>
                <w:top w:val="none" w:sz="0" w:space="0" w:color="auto"/>
                <w:left w:val="none" w:sz="0" w:space="0" w:color="auto"/>
                <w:bottom w:val="none" w:sz="0" w:space="0" w:color="auto"/>
                <w:right w:val="none" w:sz="0" w:space="0" w:color="auto"/>
              </w:divBdr>
            </w:div>
          </w:divsChild>
        </w:div>
        <w:div w:id="2080520362">
          <w:marLeft w:val="0"/>
          <w:marRight w:val="0"/>
          <w:marTop w:val="0"/>
          <w:marBottom w:val="0"/>
          <w:divBdr>
            <w:top w:val="none" w:sz="0" w:space="0" w:color="auto"/>
            <w:left w:val="none" w:sz="0" w:space="0" w:color="auto"/>
            <w:bottom w:val="none" w:sz="0" w:space="0" w:color="auto"/>
            <w:right w:val="none" w:sz="0" w:space="0" w:color="auto"/>
          </w:divBdr>
        </w:div>
        <w:div w:id="2127121175">
          <w:marLeft w:val="0"/>
          <w:marRight w:val="0"/>
          <w:marTop w:val="0"/>
          <w:marBottom w:val="0"/>
          <w:divBdr>
            <w:top w:val="none" w:sz="0" w:space="0" w:color="auto"/>
            <w:left w:val="none" w:sz="0" w:space="0" w:color="auto"/>
            <w:bottom w:val="none" w:sz="0" w:space="0" w:color="auto"/>
            <w:right w:val="none" w:sz="0" w:space="0" w:color="auto"/>
          </w:divBdr>
          <w:divsChild>
            <w:div w:id="318996445">
              <w:marLeft w:val="0"/>
              <w:marRight w:val="0"/>
              <w:marTop w:val="0"/>
              <w:marBottom w:val="0"/>
              <w:divBdr>
                <w:top w:val="none" w:sz="0" w:space="0" w:color="auto"/>
                <w:left w:val="none" w:sz="0" w:space="0" w:color="auto"/>
                <w:bottom w:val="none" w:sz="0" w:space="0" w:color="auto"/>
                <w:right w:val="none" w:sz="0" w:space="0" w:color="auto"/>
              </w:divBdr>
            </w:div>
            <w:div w:id="974532305">
              <w:marLeft w:val="0"/>
              <w:marRight w:val="0"/>
              <w:marTop w:val="0"/>
              <w:marBottom w:val="0"/>
              <w:divBdr>
                <w:top w:val="none" w:sz="0" w:space="0" w:color="auto"/>
                <w:left w:val="none" w:sz="0" w:space="0" w:color="auto"/>
                <w:bottom w:val="none" w:sz="0" w:space="0" w:color="auto"/>
                <w:right w:val="none" w:sz="0" w:space="0" w:color="auto"/>
              </w:divBdr>
            </w:div>
            <w:div w:id="15812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91514">
      <w:bodyDiv w:val="1"/>
      <w:marLeft w:val="0"/>
      <w:marRight w:val="0"/>
      <w:marTop w:val="0"/>
      <w:marBottom w:val="0"/>
      <w:divBdr>
        <w:top w:val="none" w:sz="0" w:space="0" w:color="auto"/>
        <w:left w:val="none" w:sz="0" w:space="0" w:color="auto"/>
        <w:bottom w:val="none" w:sz="0" w:space="0" w:color="auto"/>
        <w:right w:val="none" w:sz="0" w:space="0" w:color="auto"/>
      </w:divBdr>
    </w:div>
    <w:div w:id="1801612902">
      <w:bodyDiv w:val="1"/>
      <w:marLeft w:val="0"/>
      <w:marRight w:val="0"/>
      <w:marTop w:val="0"/>
      <w:marBottom w:val="0"/>
      <w:divBdr>
        <w:top w:val="none" w:sz="0" w:space="0" w:color="auto"/>
        <w:left w:val="none" w:sz="0" w:space="0" w:color="auto"/>
        <w:bottom w:val="none" w:sz="0" w:space="0" w:color="auto"/>
        <w:right w:val="none" w:sz="0" w:space="0" w:color="auto"/>
      </w:divBdr>
    </w:div>
    <w:div w:id="1803648131">
      <w:bodyDiv w:val="1"/>
      <w:marLeft w:val="0"/>
      <w:marRight w:val="0"/>
      <w:marTop w:val="0"/>
      <w:marBottom w:val="0"/>
      <w:divBdr>
        <w:top w:val="none" w:sz="0" w:space="0" w:color="auto"/>
        <w:left w:val="none" w:sz="0" w:space="0" w:color="auto"/>
        <w:bottom w:val="none" w:sz="0" w:space="0" w:color="auto"/>
        <w:right w:val="none" w:sz="0" w:space="0" w:color="auto"/>
      </w:divBdr>
    </w:div>
    <w:div w:id="1804541739">
      <w:bodyDiv w:val="1"/>
      <w:marLeft w:val="0"/>
      <w:marRight w:val="0"/>
      <w:marTop w:val="0"/>
      <w:marBottom w:val="0"/>
      <w:divBdr>
        <w:top w:val="none" w:sz="0" w:space="0" w:color="auto"/>
        <w:left w:val="none" w:sz="0" w:space="0" w:color="auto"/>
        <w:bottom w:val="none" w:sz="0" w:space="0" w:color="auto"/>
        <w:right w:val="none" w:sz="0" w:space="0" w:color="auto"/>
      </w:divBdr>
      <w:divsChild>
        <w:div w:id="1251664">
          <w:marLeft w:val="0"/>
          <w:marRight w:val="0"/>
          <w:marTop w:val="0"/>
          <w:marBottom w:val="0"/>
          <w:divBdr>
            <w:top w:val="none" w:sz="0" w:space="0" w:color="auto"/>
            <w:left w:val="none" w:sz="0" w:space="0" w:color="auto"/>
            <w:bottom w:val="none" w:sz="0" w:space="0" w:color="auto"/>
            <w:right w:val="none" w:sz="0" w:space="0" w:color="auto"/>
          </w:divBdr>
        </w:div>
        <w:div w:id="110900112">
          <w:marLeft w:val="0"/>
          <w:marRight w:val="0"/>
          <w:marTop w:val="0"/>
          <w:marBottom w:val="0"/>
          <w:divBdr>
            <w:top w:val="none" w:sz="0" w:space="0" w:color="auto"/>
            <w:left w:val="none" w:sz="0" w:space="0" w:color="auto"/>
            <w:bottom w:val="none" w:sz="0" w:space="0" w:color="auto"/>
            <w:right w:val="none" w:sz="0" w:space="0" w:color="auto"/>
          </w:divBdr>
          <w:divsChild>
            <w:div w:id="510722275">
              <w:marLeft w:val="-75"/>
              <w:marRight w:val="0"/>
              <w:marTop w:val="30"/>
              <w:marBottom w:val="30"/>
              <w:divBdr>
                <w:top w:val="none" w:sz="0" w:space="0" w:color="auto"/>
                <w:left w:val="none" w:sz="0" w:space="0" w:color="auto"/>
                <w:bottom w:val="none" w:sz="0" w:space="0" w:color="auto"/>
                <w:right w:val="none" w:sz="0" w:space="0" w:color="auto"/>
              </w:divBdr>
              <w:divsChild>
                <w:div w:id="81723770">
                  <w:marLeft w:val="0"/>
                  <w:marRight w:val="0"/>
                  <w:marTop w:val="0"/>
                  <w:marBottom w:val="0"/>
                  <w:divBdr>
                    <w:top w:val="none" w:sz="0" w:space="0" w:color="auto"/>
                    <w:left w:val="none" w:sz="0" w:space="0" w:color="auto"/>
                    <w:bottom w:val="none" w:sz="0" w:space="0" w:color="auto"/>
                    <w:right w:val="none" w:sz="0" w:space="0" w:color="auto"/>
                  </w:divBdr>
                  <w:divsChild>
                    <w:div w:id="996300913">
                      <w:marLeft w:val="0"/>
                      <w:marRight w:val="0"/>
                      <w:marTop w:val="0"/>
                      <w:marBottom w:val="0"/>
                      <w:divBdr>
                        <w:top w:val="none" w:sz="0" w:space="0" w:color="auto"/>
                        <w:left w:val="none" w:sz="0" w:space="0" w:color="auto"/>
                        <w:bottom w:val="none" w:sz="0" w:space="0" w:color="auto"/>
                        <w:right w:val="none" w:sz="0" w:space="0" w:color="auto"/>
                      </w:divBdr>
                    </w:div>
                  </w:divsChild>
                </w:div>
                <w:div w:id="283467173">
                  <w:marLeft w:val="0"/>
                  <w:marRight w:val="0"/>
                  <w:marTop w:val="0"/>
                  <w:marBottom w:val="0"/>
                  <w:divBdr>
                    <w:top w:val="none" w:sz="0" w:space="0" w:color="auto"/>
                    <w:left w:val="none" w:sz="0" w:space="0" w:color="auto"/>
                    <w:bottom w:val="none" w:sz="0" w:space="0" w:color="auto"/>
                    <w:right w:val="none" w:sz="0" w:space="0" w:color="auto"/>
                  </w:divBdr>
                  <w:divsChild>
                    <w:div w:id="1854369463">
                      <w:marLeft w:val="0"/>
                      <w:marRight w:val="0"/>
                      <w:marTop w:val="0"/>
                      <w:marBottom w:val="0"/>
                      <w:divBdr>
                        <w:top w:val="none" w:sz="0" w:space="0" w:color="auto"/>
                        <w:left w:val="none" w:sz="0" w:space="0" w:color="auto"/>
                        <w:bottom w:val="none" w:sz="0" w:space="0" w:color="auto"/>
                        <w:right w:val="none" w:sz="0" w:space="0" w:color="auto"/>
                      </w:divBdr>
                    </w:div>
                  </w:divsChild>
                </w:div>
                <w:div w:id="401222673">
                  <w:marLeft w:val="0"/>
                  <w:marRight w:val="0"/>
                  <w:marTop w:val="0"/>
                  <w:marBottom w:val="0"/>
                  <w:divBdr>
                    <w:top w:val="none" w:sz="0" w:space="0" w:color="auto"/>
                    <w:left w:val="none" w:sz="0" w:space="0" w:color="auto"/>
                    <w:bottom w:val="none" w:sz="0" w:space="0" w:color="auto"/>
                    <w:right w:val="none" w:sz="0" w:space="0" w:color="auto"/>
                  </w:divBdr>
                  <w:divsChild>
                    <w:div w:id="106891809">
                      <w:marLeft w:val="0"/>
                      <w:marRight w:val="0"/>
                      <w:marTop w:val="0"/>
                      <w:marBottom w:val="0"/>
                      <w:divBdr>
                        <w:top w:val="none" w:sz="0" w:space="0" w:color="auto"/>
                        <w:left w:val="none" w:sz="0" w:space="0" w:color="auto"/>
                        <w:bottom w:val="none" w:sz="0" w:space="0" w:color="auto"/>
                        <w:right w:val="none" w:sz="0" w:space="0" w:color="auto"/>
                      </w:divBdr>
                    </w:div>
                  </w:divsChild>
                </w:div>
                <w:div w:id="471100537">
                  <w:marLeft w:val="0"/>
                  <w:marRight w:val="0"/>
                  <w:marTop w:val="0"/>
                  <w:marBottom w:val="0"/>
                  <w:divBdr>
                    <w:top w:val="none" w:sz="0" w:space="0" w:color="auto"/>
                    <w:left w:val="none" w:sz="0" w:space="0" w:color="auto"/>
                    <w:bottom w:val="none" w:sz="0" w:space="0" w:color="auto"/>
                    <w:right w:val="none" w:sz="0" w:space="0" w:color="auto"/>
                  </w:divBdr>
                  <w:divsChild>
                    <w:div w:id="1615819364">
                      <w:marLeft w:val="0"/>
                      <w:marRight w:val="0"/>
                      <w:marTop w:val="0"/>
                      <w:marBottom w:val="0"/>
                      <w:divBdr>
                        <w:top w:val="none" w:sz="0" w:space="0" w:color="auto"/>
                        <w:left w:val="none" w:sz="0" w:space="0" w:color="auto"/>
                        <w:bottom w:val="none" w:sz="0" w:space="0" w:color="auto"/>
                        <w:right w:val="none" w:sz="0" w:space="0" w:color="auto"/>
                      </w:divBdr>
                    </w:div>
                  </w:divsChild>
                </w:div>
                <w:div w:id="671025957">
                  <w:marLeft w:val="0"/>
                  <w:marRight w:val="0"/>
                  <w:marTop w:val="0"/>
                  <w:marBottom w:val="0"/>
                  <w:divBdr>
                    <w:top w:val="none" w:sz="0" w:space="0" w:color="auto"/>
                    <w:left w:val="none" w:sz="0" w:space="0" w:color="auto"/>
                    <w:bottom w:val="none" w:sz="0" w:space="0" w:color="auto"/>
                    <w:right w:val="none" w:sz="0" w:space="0" w:color="auto"/>
                  </w:divBdr>
                  <w:divsChild>
                    <w:div w:id="1450006352">
                      <w:marLeft w:val="0"/>
                      <w:marRight w:val="0"/>
                      <w:marTop w:val="0"/>
                      <w:marBottom w:val="0"/>
                      <w:divBdr>
                        <w:top w:val="none" w:sz="0" w:space="0" w:color="auto"/>
                        <w:left w:val="none" w:sz="0" w:space="0" w:color="auto"/>
                        <w:bottom w:val="none" w:sz="0" w:space="0" w:color="auto"/>
                        <w:right w:val="none" w:sz="0" w:space="0" w:color="auto"/>
                      </w:divBdr>
                    </w:div>
                  </w:divsChild>
                </w:div>
                <w:div w:id="714894520">
                  <w:marLeft w:val="0"/>
                  <w:marRight w:val="0"/>
                  <w:marTop w:val="0"/>
                  <w:marBottom w:val="0"/>
                  <w:divBdr>
                    <w:top w:val="none" w:sz="0" w:space="0" w:color="auto"/>
                    <w:left w:val="none" w:sz="0" w:space="0" w:color="auto"/>
                    <w:bottom w:val="none" w:sz="0" w:space="0" w:color="auto"/>
                    <w:right w:val="none" w:sz="0" w:space="0" w:color="auto"/>
                  </w:divBdr>
                  <w:divsChild>
                    <w:div w:id="144661048">
                      <w:marLeft w:val="0"/>
                      <w:marRight w:val="0"/>
                      <w:marTop w:val="0"/>
                      <w:marBottom w:val="0"/>
                      <w:divBdr>
                        <w:top w:val="none" w:sz="0" w:space="0" w:color="auto"/>
                        <w:left w:val="none" w:sz="0" w:space="0" w:color="auto"/>
                        <w:bottom w:val="none" w:sz="0" w:space="0" w:color="auto"/>
                        <w:right w:val="none" w:sz="0" w:space="0" w:color="auto"/>
                      </w:divBdr>
                    </w:div>
                  </w:divsChild>
                </w:div>
                <w:div w:id="723605496">
                  <w:marLeft w:val="0"/>
                  <w:marRight w:val="0"/>
                  <w:marTop w:val="0"/>
                  <w:marBottom w:val="0"/>
                  <w:divBdr>
                    <w:top w:val="none" w:sz="0" w:space="0" w:color="auto"/>
                    <w:left w:val="none" w:sz="0" w:space="0" w:color="auto"/>
                    <w:bottom w:val="none" w:sz="0" w:space="0" w:color="auto"/>
                    <w:right w:val="none" w:sz="0" w:space="0" w:color="auto"/>
                  </w:divBdr>
                  <w:divsChild>
                    <w:div w:id="992559690">
                      <w:marLeft w:val="0"/>
                      <w:marRight w:val="0"/>
                      <w:marTop w:val="0"/>
                      <w:marBottom w:val="0"/>
                      <w:divBdr>
                        <w:top w:val="none" w:sz="0" w:space="0" w:color="auto"/>
                        <w:left w:val="none" w:sz="0" w:space="0" w:color="auto"/>
                        <w:bottom w:val="none" w:sz="0" w:space="0" w:color="auto"/>
                        <w:right w:val="none" w:sz="0" w:space="0" w:color="auto"/>
                      </w:divBdr>
                    </w:div>
                  </w:divsChild>
                </w:div>
                <w:div w:id="759788600">
                  <w:marLeft w:val="0"/>
                  <w:marRight w:val="0"/>
                  <w:marTop w:val="0"/>
                  <w:marBottom w:val="0"/>
                  <w:divBdr>
                    <w:top w:val="none" w:sz="0" w:space="0" w:color="auto"/>
                    <w:left w:val="none" w:sz="0" w:space="0" w:color="auto"/>
                    <w:bottom w:val="none" w:sz="0" w:space="0" w:color="auto"/>
                    <w:right w:val="none" w:sz="0" w:space="0" w:color="auto"/>
                  </w:divBdr>
                  <w:divsChild>
                    <w:div w:id="78840049">
                      <w:marLeft w:val="0"/>
                      <w:marRight w:val="0"/>
                      <w:marTop w:val="0"/>
                      <w:marBottom w:val="0"/>
                      <w:divBdr>
                        <w:top w:val="none" w:sz="0" w:space="0" w:color="auto"/>
                        <w:left w:val="none" w:sz="0" w:space="0" w:color="auto"/>
                        <w:bottom w:val="none" w:sz="0" w:space="0" w:color="auto"/>
                        <w:right w:val="none" w:sz="0" w:space="0" w:color="auto"/>
                      </w:divBdr>
                    </w:div>
                  </w:divsChild>
                </w:div>
                <w:div w:id="959140783">
                  <w:marLeft w:val="0"/>
                  <w:marRight w:val="0"/>
                  <w:marTop w:val="0"/>
                  <w:marBottom w:val="0"/>
                  <w:divBdr>
                    <w:top w:val="none" w:sz="0" w:space="0" w:color="auto"/>
                    <w:left w:val="none" w:sz="0" w:space="0" w:color="auto"/>
                    <w:bottom w:val="none" w:sz="0" w:space="0" w:color="auto"/>
                    <w:right w:val="none" w:sz="0" w:space="0" w:color="auto"/>
                  </w:divBdr>
                  <w:divsChild>
                    <w:div w:id="2006662006">
                      <w:marLeft w:val="0"/>
                      <w:marRight w:val="0"/>
                      <w:marTop w:val="0"/>
                      <w:marBottom w:val="0"/>
                      <w:divBdr>
                        <w:top w:val="none" w:sz="0" w:space="0" w:color="auto"/>
                        <w:left w:val="none" w:sz="0" w:space="0" w:color="auto"/>
                        <w:bottom w:val="none" w:sz="0" w:space="0" w:color="auto"/>
                        <w:right w:val="none" w:sz="0" w:space="0" w:color="auto"/>
                      </w:divBdr>
                    </w:div>
                  </w:divsChild>
                </w:div>
                <w:div w:id="1143936046">
                  <w:marLeft w:val="0"/>
                  <w:marRight w:val="0"/>
                  <w:marTop w:val="0"/>
                  <w:marBottom w:val="0"/>
                  <w:divBdr>
                    <w:top w:val="none" w:sz="0" w:space="0" w:color="auto"/>
                    <w:left w:val="none" w:sz="0" w:space="0" w:color="auto"/>
                    <w:bottom w:val="none" w:sz="0" w:space="0" w:color="auto"/>
                    <w:right w:val="none" w:sz="0" w:space="0" w:color="auto"/>
                  </w:divBdr>
                  <w:divsChild>
                    <w:div w:id="1575317640">
                      <w:marLeft w:val="0"/>
                      <w:marRight w:val="0"/>
                      <w:marTop w:val="0"/>
                      <w:marBottom w:val="0"/>
                      <w:divBdr>
                        <w:top w:val="none" w:sz="0" w:space="0" w:color="auto"/>
                        <w:left w:val="none" w:sz="0" w:space="0" w:color="auto"/>
                        <w:bottom w:val="none" w:sz="0" w:space="0" w:color="auto"/>
                        <w:right w:val="none" w:sz="0" w:space="0" w:color="auto"/>
                      </w:divBdr>
                    </w:div>
                  </w:divsChild>
                </w:div>
                <w:div w:id="1221401326">
                  <w:marLeft w:val="0"/>
                  <w:marRight w:val="0"/>
                  <w:marTop w:val="0"/>
                  <w:marBottom w:val="0"/>
                  <w:divBdr>
                    <w:top w:val="none" w:sz="0" w:space="0" w:color="auto"/>
                    <w:left w:val="none" w:sz="0" w:space="0" w:color="auto"/>
                    <w:bottom w:val="none" w:sz="0" w:space="0" w:color="auto"/>
                    <w:right w:val="none" w:sz="0" w:space="0" w:color="auto"/>
                  </w:divBdr>
                  <w:divsChild>
                    <w:div w:id="990989102">
                      <w:marLeft w:val="0"/>
                      <w:marRight w:val="0"/>
                      <w:marTop w:val="0"/>
                      <w:marBottom w:val="0"/>
                      <w:divBdr>
                        <w:top w:val="none" w:sz="0" w:space="0" w:color="auto"/>
                        <w:left w:val="none" w:sz="0" w:space="0" w:color="auto"/>
                        <w:bottom w:val="none" w:sz="0" w:space="0" w:color="auto"/>
                        <w:right w:val="none" w:sz="0" w:space="0" w:color="auto"/>
                      </w:divBdr>
                    </w:div>
                  </w:divsChild>
                </w:div>
                <w:div w:id="1451973928">
                  <w:marLeft w:val="0"/>
                  <w:marRight w:val="0"/>
                  <w:marTop w:val="0"/>
                  <w:marBottom w:val="0"/>
                  <w:divBdr>
                    <w:top w:val="none" w:sz="0" w:space="0" w:color="auto"/>
                    <w:left w:val="none" w:sz="0" w:space="0" w:color="auto"/>
                    <w:bottom w:val="none" w:sz="0" w:space="0" w:color="auto"/>
                    <w:right w:val="none" w:sz="0" w:space="0" w:color="auto"/>
                  </w:divBdr>
                  <w:divsChild>
                    <w:div w:id="459540473">
                      <w:marLeft w:val="0"/>
                      <w:marRight w:val="0"/>
                      <w:marTop w:val="0"/>
                      <w:marBottom w:val="0"/>
                      <w:divBdr>
                        <w:top w:val="none" w:sz="0" w:space="0" w:color="auto"/>
                        <w:left w:val="none" w:sz="0" w:space="0" w:color="auto"/>
                        <w:bottom w:val="none" w:sz="0" w:space="0" w:color="auto"/>
                        <w:right w:val="none" w:sz="0" w:space="0" w:color="auto"/>
                      </w:divBdr>
                    </w:div>
                  </w:divsChild>
                </w:div>
                <w:div w:id="1506746550">
                  <w:marLeft w:val="0"/>
                  <w:marRight w:val="0"/>
                  <w:marTop w:val="0"/>
                  <w:marBottom w:val="0"/>
                  <w:divBdr>
                    <w:top w:val="none" w:sz="0" w:space="0" w:color="auto"/>
                    <w:left w:val="none" w:sz="0" w:space="0" w:color="auto"/>
                    <w:bottom w:val="none" w:sz="0" w:space="0" w:color="auto"/>
                    <w:right w:val="none" w:sz="0" w:space="0" w:color="auto"/>
                  </w:divBdr>
                  <w:divsChild>
                    <w:div w:id="1810243472">
                      <w:marLeft w:val="0"/>
                      <w:marRight w:val="0"/>
                      <w:marTop w:val="0"/>
                      <w:marBottom w:val="0"/>
                      <w:divBdr>
                        <w:top w:val="none" w:sz="0" w:space="0" w:color="auto"/>
                        <w:left w:val="none" w:sz="0" w:space="0" w:color="auto"/>
                        <w:bottom w:val="none" w:sz="0" w:space="0" w:color="auto"/>
                        <w:right w:val="none" w:sz="0" w:space="0" w:color="auto"/>
                      </w:divBdr>
                    </w:div>
                  </w:divsChild>
                </w:div>
                <w:div w:id="1509055377">
                  <w:marLeft w:val="0"/>
                  <w:marRight w:val="0"/>
                  <w:marTop w:val="0"/>
                  <w:marBottom w:val="0"/>
                  <w:divBdr>
                    <w:top w:val="none" w:sz="0" w:space="0" w:color="auto"/>
                    <w:left w:val="none" w:sz="0" w:space="0" w:color="auto"/>
                    <w:bottom w:val="none" w:sz="0" w:space="0" w:color="auto"/>
                    <w:right w:val="none" w:sz="0" w:space="0" w:color="auto"/>
                  </w:divBdr>
                  <w:divsChild>
                    <w:div w:id="377239858">
                      <w:marLeft w:val="0"/>
                      <w:marRight w:val="0"/>
                      <w:marTop w:val="0"/>
                      <w:marBottom w:val="0"/>
                      <w:divBdr>
                        <w:top w:val="none" w:sz="0" w:space="0" w:color="auto"/>
                        <w:left w:val="none" w:sz="0" w:space="0" w:color="auto"/>
                        <w:bottom w:val="none" w:sz="0" w:space="0" w:color="auto"/>
                        <w:right w:val="none" w:sz="0" w:space="0" w:color="auto"/>
                      </w:divBdr>
                    </w:div>
                  </w:divsChild>
                </w:div>
                <w:div w:id="1751387872">
                  <w:marLeft w:val="0"/>
                  <w:marRight w:val="0"/>
                  <w:marTop w:val="0"/>
                  <w:marBottom w:val="0"/>
                  <w:divBdr>
                    <w:top w:val="none" w:sz="0" w:space="0" w:color="auto"/>
                    <w:left w:val="none" w:sz="0" w:space="0" w:color="auto"/>
                    <w:bottom w:val="none" w:sz="0" w:space="0" w:color="auto"/>
                    <w:right w:val="none" w:sz="0" w:space="0" w:color="auto"/>
                  </w:divBdr>
                  <w:divsChild>
                    <w:div w:id="1483232171">
                      <w:marLeft w:val="0"/>
                      <w:marRight w:val="0"/>
                      <w:marTop w:val="0"/>
                      <w:marBottom w:val="0"/>
                      <w:divBdr>
                        <w:top w:val="none" w:sz="0" w:space="0" w:color="auto"/>
                        <w:left w:val="none" w:sz="0" w:space="0" w:color="auto"/>
                        <w:bottom w:val="none" w:sz="0" w:space="0" w:color="auto"/>
                        <w:right w:val="none" w:sz="0" w:space="0" w:color="auto"/>
                      </w:divBdr>
                    </w:div>
                  </w:divsChild>
                </w:div>
                <w:div w:id="1754010859">
                  <w:marLeft w:val="0"/>
                  <w:marRight w:val="0"/>
                  <w:marTop w:val="0"/>
                  <w:marBottom w:val="0"/>
                  <w:divBdr>
                    <w:top w:val="none" w:sz="0" w:space="0" w:color="auto"/>
                    <w:left w:val="none" w:sz="0" w:space="0" w:color="auto"/>
                    <w:bottom w:val="none" w:sz="0" w:space="0" w:color="auto"/>
                    <w:right w:val="none" w:sz="0" w:space="0" w:color="auto"/>
                  </w:divBdr>
                  <w:divsChild>
                    <w:div w:id="850880192">
                      <w:marLeft w:val="0"/>
                      <w:marRight w:val="0"/>
                      <w:marTop w:val="0"/>
                      <w:marBottom w:val="0"/>
                      <w:divBdr>
                        <w:top w:val="none" w:sz="0" w:space="0" w:color="auto"/>
                        <w:left w:val="none" w:sz="0" w:space="0" w:color="auto"/>
                        <w:bottom w:val="none" w:sz="0" w:space="0" w:color="auto"/>
                        <w:right w:val="none" w:sz="0" w:space="0" w:color="auto"/>
                      </w:divBdr>
                    </w:div>
                  </w:divsChild>
                </w:div>
                <w:div w:id="1980766499">
                  <w:marLeft w:val="0"/>
                  <w:marRight w:val="0"/>
                  <w:marTop w:val="0"/>
                  <w:marBottom w:val="0"/>
                  <w:divBdr>
                    <w:top w:val="none" w:sz="0" w:space="0" w:color="auto"/>
                    <w:left w:val="none" w:sz="0" w:space="0" w:color="auto"/>
                    <w:bottom w:val="none" w:sz="0" w:space="0" w:color="auto"/>
                    <w:right w:val="none" w:sz="0" w:space="0" w:color="auto"/>
                  </w:divBdr>
                  <w:divsChild>
                    <w:div w:id="1556159650">
                      <w:marLeft w:val="0"/>
                      <w:marRight w:val="0"/>
                      <w:marTop w:val="0"/>
                      <w:marBottom w:val="0"/>
                      <w:divBdr>
                        <w:top w:val="none" w:sz="0" w:space="0" w:color="auto"/>
                        <w:left w:val="none" w:sz="0" w:space="0" w:color="auto"/>
                        <w:bottom w:val="none" w:sz="0" w:space="0" w:color="auto"/>
                        <w:right w:val="none" w:sz="0" w:space="0" w:color="auto"/>
                      </w:divBdr>
                    </w:div>
                  </w:divsChild>
                </w:div>
                <w:div w:id="2017460643">
                  <w:marLeft w:val="0"/>
                  <w:marRight w:val="0"/>
                  <w:marTop w:val="0"/>
                  <w:marBottom w:val="0"/>
                  <w:divBdr>
                    <w:top w:val="none" w:sz="0" w:space="0" w:color="auto"/>
                    <w:left w:val="none" w:sz="0" w:space="0" w:color="auto"/>
                    <w:bottom w:val="none" w:sz="0" w:space="0" w:color="auto"/>
                    <w:right w:val="none" w:sz="0" w:space="0" w:color="auto"/>
                  </w:divBdr>
                  <w:divsChild>
                    <w:div w:id="801577135">
                      <w:marLeft w:val="0"/>
                      <w:marRight w:val="0"/>
                      <w:marTop w:val="0"/>
                      <w:marBottom w:val="0"/>
                      <w:divBdr>
                        <w:top w:val="none" w:sz="0" w:space="0" w:color="auto"/>
                        <w:left w:val="none" w:sz="0" w:space="0" w:color="auto"/>
                        <w:bottom w:val="none" w:sz="0" w:space="0" w:color="auto"/>
                        <w:right w:val="none" w:sz="0" w:space="0" w:color="auto"/>
                      </w:divBdr>
                    </w:div>
                  </w:divsChild>
                </w:div>
                <w:div w:id="2120949115">
                  <w:marLeft w:val="0"/>
                  <w:marRight w:val="0"/>
                  <w:marTop w:val="0"/>
                  <w:marBottom w:val="0"/>
                  <w:divBdr>
                    <w:top w:val="none" w:sz="0" w:space="0" w:color="auto"/>
                    <w:left w:val="none" w:sz="0" w:space="0" w:color="auto"/>
                    <w:bottom w:val="none" w:sz="0" w:space="0" w:color="auto"/>
                    <w:right w:val="none" w:sz="0" w:space="0" w:color="auto"/>
                  </w:divBdr>
                  <w:divsChild>
                    <w:div w:id="20821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5439">
          <w:marLeft w:val="0"/>
          <w:marRight w:val="0"/>
          <w:marTop w:val="0"/>
          <w:marBottom w:val="0"/>
          <w:divBdr>
            <w:top w:val="none" w:sz="0" w:space="0" w:color="auto"/>
            <w:left w:val="none" w:sz="0" w:space="0" w:color="auto"/>
            <w:bottom w:val="none" w:sz="0" w:space="0" w:color="auto"/>
            <w:right w:val="none" w:sz="0" w:space="0" w:color="auto"/>
          </w:divBdr>
          <w:divsChild>
            <w:div w:id="1164199868">
              <w:marLeft w:val="0"/>
              <w:marRight w:val="0"/>
              <w:marTop w:val="0"/>
              <w:marBottom w:val="0"/>
              <w:divBdr>
                <w:top w:val="none" w:sz="0" w:space="0" w:color="auto"/>
                <w:left w:val="none" w:sz="0" w:space="0" w:color="auto"/>
                <w:bottom w:val="none" w:sz="0" w:space="0" w:color="auto"/>
                <w:right w:val="none" w:sz="0" w:space="0" w:color="auto"/>
              </w:divBdr>
            </w:div>
          </w:divsChild>
        </w:div>
        <w:div w:id="295721931">
          <w:marLeft w:val="0"/>
          <w:marRight w:val="0"/>
          <w:marTop w:val="0"/>
          <w:marBottom w:val="0"/>
          <w:divBdr>
            <w:top w:val="none" w:sz="0" w:space="0" w:color="auto"/>
            <w:left w:val="none" w:sz="0" w:space="0" w:color="auto"/>
            <w:bottom w:val="none" w:sz="0" w:space="0" w:color="auto"/>
            <w:right w:val="none" w:sz="0" w:space="0" w:color="auto"/>
          </w:divBdr>
        </w:div>
        <w:div w:id="321353122">
          <w:marLeft w:val="0"/>
          <w:marRight w:val="0"/>
          <w:marTop w:val="0"/>
          <w:marBottom w:val="0"/>
          <w:divBdr>
            <w:top w:val="none" w:sz="0" w:space="0" w:color="auto"/>
            <w:left w:val="none" w:sz="0" w:space="0" w:color="auto"/>
            <w:bottom w:val="none" w:sz="0" w:space="0" w:color="auto"/>
            <w:right w:val="none" w:sz="0" w:space="0" w:color="auto"/>
          </w:divBdr>
        </w:div>
        <w:div w:id="378820315">
          <w:marLeft w:val="0"/>
          <w:marRight w:val="0"/>
          <w:marTop w:val="0"/>
          <w:marBottom w:val="0"/>
          <w:divBdr>
            <w:top w:val="none" w:sz="0" w:space="0" w:color="auto"/>
            <w:left w:val="none" w:sz="0" w:space="0" w:color="auto"/>
            <w:bottom w:val="none" w:sz="0" w:space="0" w:color="auto"/>
            <w:right w:val="none" w:sz="0" w:space="0" w:color="auto"/>
          </w:divBdr>
        </w:div>
        <w:div w:id="433402522">
          <w:marLeft w:val="0"/>
          <w:marRight w:val="0"/>
          <w:marTop w:val="0"/>
          <w:marBottom w:val="0"/>
          <w:divBdr>
            <w:top w:val="none" w:sz="0" w:space="0" w:color="auto"/>
            <w:left w:val="none" w:sz="0" w:space="0" w:color="auto"/>
            <w:bottom w:val="none" w:sz="0" w:space="0" w:color="auto"/>
            <w:right w:val="none" w:sz="0" w:space="0" w:color="auto"/>
          </w:divBdr>
        </w:div>
        <w:div w:id="575280899">
          <w:marLeft w:val="0"/>
          <w:marRight w:val="0"/>
          <w:marTop w:val="0"/>
          <w:marBottom w:val="0"/>
          <w:divBdr>
            <w:top w:val="none" w:sz="0" w:space="0" w:color="auto"/>
            <w:left w:val="none" w:sz="0" w:space="0" w:color="auto"/>
            <w:bottom w:val="none" w:sz="0" w:space="0" w:color="auto"/>
            <w:right w:val="none" w:sz="0" w:space="0" w:color="auto"/>
          </w:divBdr>
        </w:div>
        <w:div w:id="599216398">
          <w:marLeft w:val="0"/>
          <w:marRight w:val="0"/>
          <w:marTop w:val="0"/>
          <w:marBottom w:val="0"/>
          <w:divBdr>
            <w:top w:val="none" w:sz="0" w:space="0" w:color="auto"/>
            <w:left w:val="none" w:sz="0" w:space="0" w:color="auto"/>
            <w:bottom w:val="none" w:sz="0" w:space="0" w:color="auto"/>
            <w:right w:val="none" w:sz="0" w:space="0" w:color="auto"/>
          </w:divBdr>
        </w:div>
        <w:div w:id="638651754">
          <w:marLeft w:val="0"/>
          <w:marRight w:val="0"/>
          <w:marTop w:val="0"/>
          <w:marBottom w:val="0"/>
          <w:divBdr>
            <w:top w:val="none" w:sz="0" w:space="0" w:color="auto"/>
            <w:left w:val="none" w:sz="0" w:space="0" w:color="auto"/>
            <w:bottom w:val="none" w:sz="0" w:space="0" w:color="auto"/>
            <w:right w:val="none" w:sz="0" w:space="0" w:color="auto"/>
          </w:divBdr>
        </w:div>
        <w:div w:id="854227413">
          <w:marLeft w:val="0"/>
          <w:marRight w:val="0"/>
          <w:marTop w:val="0"/>
          <w:marBottom w:val="0"/>
          <w:divBdr>
            <w:top w:val="none" w:sz="0" w:space="0" w:color="auto"/>
            <w:left w:val="none" w:sz="0" w:space="0" w:color="auto"/>
            <w:bottom w:val="none" w:sz="0" w:space="0" w:color="auto"/>
            <w:right w:val="none" w:sz="0" w:space="0" w:color="auto"/>
          </w:divBdr>
        </w:div>
        <w:div w:id="890576618">
          <w:marLeft w:val="0"/>
          <w:marRight w:val="0"/>
          <w:marTop w:val="0"/>
          <w:marBottom w:val="0"/>
          <w:divBdr>
            <w:top w:val="none" w:sz="0" w:space="0" w:color="auto"/>
            <w:left w:val="none" w:sz="0" w:space="0" w:color="auto"/>
            <w:bottom w:val="none" w:sz="0" w:space="0" w:color="auto"/>
            <w:right w:val="none" w:sz="0" w:space="0" w:color="auto"/>
          </w:divBdr>
          <w:divsChild>
            <w:div w:id="154760889">
              <w:marLeft w:val="0"/>
              <w:marRight w:val="0"/>
              <w:marTop w:val="0"/>
              <w:marBottom w:val="0"/>
              <w:divBdr>
                <w:top w:val="none" w:sz="0" w:space="0" w:color="auto"/>
                <w:left w:val="none" w:sz="0" w:space="0" w:color="auto"/>
                <w:bottom w:val="none" w:sz="0" w:space="0" w:color="auto"/>
                <w:right w:val="none" w:sz="0" w:space="0" w:color="auto"/>
              </w:divBdr>
            </w:div>
          </w:divsChild>
        </w:div>
        <w:div w:id="1147745818">
          <w:marLeft w:val="0"/>
          <w:marRight w:val="0"/>
          <w:marTop w:val="0"/>
          <w:marBottom w:val="0"/>
          <w:divBdr>
            <w:top w:val="none" w:sz="0" w:space="0" w:color="auto"/>
            <w:left w:val="none" w:sz="0" w:space="0" w:color="auto"/>
            <w:bottom w:val="none" w:sz="0" w:space="0" w:color="auto"/>
            <w:right w:val="none" w:sz="0" w:space="0" w:color="auto"/>
          </w:divBdr>
        </w:div>
        <w:div w:id="1151093025">
          <w:marLeft w:val="0"/>
          <w:marRight w:val="0"/>
          <w:marTop w:val="0"/>
          <w:marBottom w:val="0"/>
          <w:divBdr>
            <w:top w:val="none" w:sz="0" w:space="0" w:color="auto"/>
            <w:left w:val="none" w:sz="0" w:space="0" w:color="auto"/>
            <w:bottom w:val="none" w:sz="0" w:space="0" w:color="auto"/>
            <w:right w:val="none" w:sz="0" w:space="0" w:color="auto"/>
          </w:divBdr>
          <w:divsChild>
            <w:div w:id="215973804">
              <w:marLeft w:val="0"/>
              <w:marRight w:val="0"/>
              <w:marTop w:val="0"/>
              <w:marBottom w:val="0"/>
              <w:divBdr>
                <w:top w:val="none" w:sz="0" w:space="0" w:color="auto"/>
                <w:left w:val="none" w:sz="0" w:space="0" w:color="auto"/>
                <w:bottom w:val="none" w:sz="0" w:space="0" w:color="auto"/>
                <w:right w:val="none" w:sz="0" w:space="0" w:color="auto"/>
              </w:divBdr>
            </w:div>
            <w:div w:id="391201692">
              <w:marLeft w:val="0"/>
              <w:marRight w:val="0"/>
              <w:marTop w:val="0"/>
              <w:marBottom w:val="0"/>
              <w:divBdr>
                <w:top w:val="none" w:sz="0" w:space="0" w:color="auto"/>
                <w:left w:val="none" w:sz="0" w:space="0" w:color="auto"/>
                <w:bottom w:val="none" w:sz="0" w:space="0" w:color="auto"/>
                <w:right w:val="none" w:sz="0" w:space="0" w:color="auto"/>
              </w:divBdr>
            </w:div>
            <w:div w:id="569343412">
              <w:marLeft w:val="0"/>
              <w:marRight w:val="0"/>
              <w:marTop w:val="0"/>
              <w:marBottom w:val="0"/>
              <w:divBdr>
                <w:top w:val="none" w:sz="0" w:space="0" w:color="auto"/>
                <w:left w:val="none" w:sz="0" w:space="0" w:color="auto"/>
                <w:bottom w:val="none" w:sz="0" w:space="0" w:color="auto"/>
                <w:right w:val="none" w:sz="0" w:space="0" w:color="auto"/>
              </w:divBdr>
            </w:div>
            <w:div w:id="710955141">
              <w:marLeft w:val="0"/>
              <w:marRight w:val="0"/>
              <w:marTop w:val="0"/>
              <w:marBottom w:val="0"/>
              <w:divBdr>
                <w:top w:val="none" w:sz="0" w:space="0" w:color="auto"/>
                <w:left w:val="none" w:sz="0" w:space="0" w:color="auto"/>
                <w:bottom w:val="none" w:sz="0" w:space="0" w:color="auto"/>
                <w:right w:val="none" w:sz="0" w:space="0" w:color="auto"/>
              </w:divBdr>
            </w:div>
          </w:divsChild>
        </w:div>
        <w:div w:id="1166284277">
          <w:marLeft w:val="0"/>
          <w:marRight w:val="0"/>
          <w:marTop w:val="0"/>
          <w:marBottom w:val="0"/>
          <w:divBdr>
            <w:top w:val="none" w:sz="0" w:space="0" w:color="auto"/>
            <w:left w:val="none" w:sz="0" w:space="0" w:color="auto"/>
            <w:bottom w:val="none" w:sz="0" w:space="0" w:color="auto"/>
            <w:right w:val="none" w:sz="0" w:space="0" w:color="auto"/>
          </w:divBdr>
        </w:div>
        <w:div w:id="1383410568">
          <w:marLeft w:val="0"/>
          <w:marRight w:val="0"/>
          <w:marTop w:val="0"/>
          <w:marBottom w:val="0"/>
          <w:divBdr>
            <w:top w:val="none" w:sz="0" w:space="0" w:color="auto"/>
            <w:left w:val="none" w:sz="0" w:space="0" w:color="auto"/>
            <w:bottom w:val="none" w:sz="0" w:space="0" w:color="auto"/>
            <w:right w:val="none" w:sz="0" w:space="0" w:color="auto"/>
          </w:divBdr>
        </w:div>
        <w:div w:id="1491367191">
          <w:marLeft w:val="0"/>
          <w:marRight w:val="0"/>
          <w:marTop w:val="0"/>
          <w:marBottom w:val="0"/>
          <w:divBdr>
            <w:top w:val="none" w:sz="0" w:space="0" w:color="auto"/>
            <w:left w:val="none" w:sz="0" w:space="0" w:color="auto"/>
            <w:bottom w:val="none" w:sz="0" w:space="0" w:color="auto"/>
            <w:right w:val="none" w:sz="0" w:space="0" w:color="auto"/>
          </w:divBdr>
          <w:divsChild>
            <w:div w:id="50812926">
              <w:marLeft w:val="0"/>
              <w:marRight w:val="0"/>
              <w:marTop w:val="0"/>
              <w:marBottom w:val="0"/>
              <w:divBdr>
                <w:top w:val="none" w:sz="0" w:space="0" w:color="auto"/>
                <w:left w:val="none" w:sz="0" w:space="0" w:color="auto"/>
                <w:bottom w:val="none" w:sz="0" w:space="0" w:color="auto"/>
                <w:right w:val="none" w:sz="0" w:space="0" w:color="auto"/>
              </w:divBdr>
            </w:div>
            <w:div w:id="964894665">
              <w:marLeft w:val="0"/>
              <w:marRight w:val="0"/>
              <w:marTop w:val="0"/>
              <w:marBottom w:val="0"/>
              <w:divBdr>
                <w:top w:val="none" w:sz="0" w:space="0" w:color="auto"/>
                <w:left w:val="none" w:sz="0" w:space="0" w:color="auto"/>
                <w:bottom w:val="none" w:sz="0" w:space="0" w:color="auto"/>
                <w:right w:val="none" w:sz="0" w:space="0" w:color="auto"/>
              </w:divBdr>
            </w:div>
            <w:div w:id="972179110">
              <w:marLeft w:val="0"/>
              <w:marRight w:val="0"/>
              <w:marTop w:val="0"/>
              <w:marBottom w:val="0"/>
              <w:divBdr>
                <w:top w:val="none" w:sz="0" w:space="0" w:color="auto"/>
                <w:left w:val="none" w:sz="0" w:space="0" w:color="auto"/>
                <w:bottom w:val="none" w:sz="0" w:space="0" w:color="auto"/>
                <w:right w:val="none" w:sz="0" w:space="0" w:color="auto"/>
              </w:divBdr>
            </w:div>
            <w:div w:id="1568571219">
              <w:marLeft w:val="0"/>
              <w:marRight w:val="0"/>
              <w:marTop w:val="0"/>
              <w:marBottom w:val="0"/>
              <w:divBdr>
                <w:top w:val="none" w:sz="0" w:space="0" w:color="auto"/>
                <w:left w:val="none" w:sz="0" w:space="0" w:color="auto"/>
                <w:bottom w:val="none" w:sz="0" w:space="0" w:color="auto"/>
                <w:right w:val="none" w:sz="0" w:space="0" w:color="auto"/>
              </w:divBdr>
            </w:div>
          </w:divsChild>
        </w:div>
        <w:div w:id="1662200269">
          <w:marLeft w:val="0"/>
          <w:marRight w:val="0"/>
          <w:marTop w:val="0"/>
          <w:marBottom w:val="0"/>
          <w:divBdr>
            <w:top w:val="none" w:sz="0" w:space="0" w:color="auto"/>
            <w:left w:val="none" w:sz="0" w:space="0" w:color="auto"/>
            <w:bottom w:val="none" w:sz="0" w:space="0" w:color="auto"/>
            <w:right w:val="none" w:sz="0" w:space="0" w:color="auto"/>
          </w:divBdr>
          <w:divsChild>
            <w:div w:id="974258571">
              <w:marLeft w:val="0"/>
              <w:marRight w:val="0"/>
              <w:marTop w:val="0"/>
              <w:marBottom w:val="0"/>
              <w:divBdr>
                <w:top w:val="none" w:sz="0" w:space="0" w:color="auto"/>
                <w:left w:val="none" w:sz="0" w:space="0" w:color="auto"/>
                <w:bottom w:val="none" w:sz="0" w:space="0" w:color="auto"/>
                <w:right w:val="none" w:sz="0" w:space="0" w:color="auto"/>
              </w:divBdr>
            </w:div>
            <w:div w:id="1024524919">
              <w:marLeft w:val="0"/>
              <w:marRight w:val="0"/>
              <w:marTop w:val="0"/>
              <w:marBottom w:val="0"/>
              <w:divBdr>
                <w:top w:val="none" w:sz="0" w:space="0" w:color="auto"/>
                <w:left w:val="none" w:sz="0" w:space="0" w:color="auto"/>
                <w:bottom w:val="none" w:sz="0" w:space="0" w:color="auto"/>
                <w:right w:val="none" w:sz="0" w:space="0" w:color="auto"/>
              </w:divBdr>
            </w:div>
            <w:div w:id="1388795631">
              <w:marLeft w:val="0"/>
              <w:marRight w:val="0"/>
              <w:marTop w:val="0"/>
              <w:marBottom w:val="0"/>
              <w:divBdr>
                <w:top w:val="none" w:sz="0" w:space="0" w:color="auto"/>
                <w:left w:val="none" w:sz="0" w:space="0" w:color="auto"/>
                <w:bottom w:val="none" w:sz="0" w:space="0" w:color="auto"/>
                <w:right w:val="none" w:sz="0" w:space="0" w:color="auto"/>
              </w:divBdr>
            </w:div>
            <w:div w:id="1507596059">
              <w:marLeft w:val="0"/>
              <w:marRight w:val="0"/>
              <w:marTop w:val="0"/>
              <w:marBottom w:val="0"/>
              <w:divBdr>
                <w:top w:val="none" w:sz="0" w:space="0" w:color="auto"/>
                <w:left w:val="none" w:sz="0" w:space="0" w:color="auto"/>
                <w:bottom w:val="none" w:sz="0" w:space="0" w:color="auto"/>
                <w:right w:val="none" w:sz="0" w:space="0" w:color="auto"/>
              </w:divBdr>
            </w:div>
          </w:divsChild>
        </w:div>
        <w:div w:id="1755397014">
          <w:marLeft w:val="0"/>
          <w:marRight w:val="0"/>
          <w:marTop w:val="0"/>
          <w:marBottom w:val="0"/>
          <w:divBdr>
            <w:top w:val="none" w:sz="0" w:space="0" w:color="auto"/>
            <w:left w:val="none" w:sz="0" w:space="0" w:color="auto"/>
            <w:bottom w:val="none" w:sz="0" w:space="0" w:color="auto"/>
            <w:right w:val="none" w:sz="0" w:space="0" w:color="auto"/>
          </w:divBdr>
          <w:divsChild>
            <w:div w:id="541751499">
              <w:marLeft w:val="0"/>
              <w:marRight w:val="0"/>
              <w:marTop w:val="0"/>
              <w:marBottom w:val="0"/>
              <w:divBdr>
                <w:top w:val="none" w:sz="0" w:space="0" w:color="auto"/>
                <w:left w:val="none" w:sz="0" w:space="0" w:color="auto"/>
                <w:bottom w:val="none" w:sz="0" w:space="0" w:color="auto"/>
                <w:right w:val="none" w:sz="0" w:space="0" w:color="auto"/>
              </w:divBdr>
            </w:div>
            <w:div w:id="1332417103">
              <w:marLeft w:val="0"/>
              <w:marRight w:val="0"/>
              <w:marTop w:val="0"/>
              <w:marBottom w:val="0"/>
              <w:divBdr>
                <w:top w:val="none" w:sz="0" w:space="0" w:color="auto"/>
                <w:left w:val="none" w:sz="0" w:space="0" w:color="auto"/>
                <w:bottom w:val="none" w:sz="0" w:space="0" w:color="auto"/>
                <w:right w:val="none" w:sz="0" w:space="0" w:color="auto"/>
              </w:divBdr>
            </w:div>
          </w:divsChild>
        </w:div>
        <w:div w:id="1800101176">
          <w:marLeft w:val="0"/>
          <w:marRight w:val="0"/>
          <w:marTop w:val="0"/>
          <w:marBottom w:val="0"/>
          <w:divBdr>
            <w:top w:val="none" w:sz="0" w:space="0" w:color="auto"/>
            <w:left w:val="none" w:sz="0" w:space="0" w:color="auto"/>
            <w:bottom w:val="none" w:sz="0" w:space="0" w:color="auto"/>
            <w:right w:val="none" w:sz="0" w:space="0" w:color="auto"/>
          </w:divBdr>
          <w:divsChild>
            <w:div w:id="80375073">
              <w:marLeft w:val="0"/>
              <w:marRight w:val="0"/>
              <w:marTop w:val="0"/>
              <w:marBottom w:val="0"/>
              <w:divBdr>
                <w:top w:val="none" w:sz="0" w:space="0" w:color="auto"/>
                <w:left w:val="none" w:sz="0" w:space="0" w:color="auto"/>
                <w:bottom w:val="none" w:sz="0" w:space="0" w:color="auto"/>
                <w:right w:val="none" w:sz="0" w:space="0" w:color="auto"/>
              </w:divBdr>
            </w:div>
            <w:div w:id="984352495">
              <w:marLeft w:val="0"/>
              <w:marRight w:val="0"/>
              <w:marTop w:val="0"/>
              <w:marBottom w:val="0"/>
              <w:divBdr>
                <w:top w:val="none" w:sz="0" w:space="0" w:color="auto"/>
                <w:left w:val="none" w:sz="0" w:space="0" w:color="auto"/>
                <w:bottom w:val="none" w:sz="0" w:space="0" w:color="auto"/>
                <w:right w:val="none" w:sz="0" w:space="0" w:color="auto"/>
              </w:divBdr>
            </w:div>
            <w:div w:id="1321883150">
              <w:marLeft w:val="0"/>
              <w:marRight w:val="0"/>
              <w:marTop w:val="0"/>
              <w:marBottom w:val="0"/>
              <w:divBdr>
                <w:top w:val="none" w:sz="0" w:space="0" w:color="auto"/>
                <w:left w:val="none" w:sz="0" w:space="0" w:color="auto"/>
                <w:bottom w:val="none" w:sz="0" w:space="0" w:color="auto"/>
                <w:right w:val="none" w:sz="0" w:space="0" w:color="auto"/>
              </w:divBdr>
            </w:div>
            <w:div w:id="1958752172">
              <w:marLeft w:val="0"/>
              <w:marRight w:val="0"/>
              <w:marTop w:val="0"/>
              <w:marBottom w:val="0"/>
              <w:divBdr>
                <w:top w:val="none" w:sz="0" w:space="0" w:color="auto"/>
                <w:left w:val="none" w:sz="0" w:space="0" w:color="auto"/>
                <w:bottom w:val="none" w:sz="0" w:space="0" w:color="auto"/>
                <w:right w:val="none" w:sz="0" w:space="0" w:color="auto"/>
              </w:divBdr>
            </w:div>
          </w:divsChild>
        </w:div>
        <w:div w:id="1827428126">
          <w:marLeft w:val="0"/>
          <w:marRight w:val="0"/>
          <w:marTop w:val="0"/>
          <w:marBottom w:val="0"/>
          <w:divBdr>
            <w:top w:val="none" w:sz="0" w:space="0" w:color="auto"/>
            <w:left w:val="none" w:sz="0" w:space="0" w:color="auto"/>
            <w:bottom w:val="none" w:sz="0" w:space="0" w:color="auto"/>
            <w:right w:val="none" w:sz="0" w:space="0" w:color="auto"/>
          </w:divBdr>
        </w:div>
        <w:div w:id="1843546002">
          <w:marLeft w:val="0"/>
          <w:marRight w:val="0"/>
          <w:marTop w:val="0"/>
          <w:marBottom w:val="0"/>
          <w:divBdr>
            <w:top w:val="none" w:sz="0" w:space="0" w:color="auto"/>
            <w:left w:val="none" w:sz="0" w:space="0" w:color="auto"/>
            <w:bottom w:val="none" w:sz="0" w:space="0" w:color="auto"/>
            <w:right w:val="none" w:sz="0" w:space="0" w:color="auto"/>
          </w:divBdr>
          <w:divsChild>
            <w:div w:id="844902329">
              <w:marLeft w:val="0"/>
              <w:marRight w:val="0"/>
              <w:marTop w:val="0"/>
              <w:marBottom w:val="0"/>
              <w:divBdr>
                <w:top w:val="none" w:sz="0" w:space="0" w:color="auto"/>
                <w:left w:val="none" w:sz="0" w:space="0" w:color="auto"/>
                <w:bottom w:val="none" w:sz="0" w:space="0" w:color="auto"/>
                <w:right w:val="none" w:sz="0" w:space="0" w:color="auto"/>
              </w:divBdr>
            </w:div>
          </w:divsChild>
        </w:div>
        <w:div w:id="2023780409">
          <w:marLeft w:val="0"/>
          <w:marRight w:val="0"/>
          <w:marTop w:val="0"/>
          <w:marBottom w:val="0"/>
          <w:divBdr>
            <w:top w:val="none" w:sz="0" w:space="0" w:color="auto"/>
            <w:left w:val="none" w:sz="0" w:space="0" w:color="auto"/>
            <w:bottom w:val="none" w:sz="0" w:space="0" w:color="auto"/>
            <w:right w:val="none" w:sz="0" w:space="0" w:color="auto"/>
          </w:divBdr>
          <w:divsChild>
            <w:div w:id="103229598">
              <w:marLeft w:val="0"/>
              <w:marRight w:val="0"/>
              <w:marTop w:val="0"/>
              <w:marBottom w:val="0"/>
              <w:divBdr>
                <w:top w:val="none" w:sz="0" w:space="0" w:color="auto"/>
                <w:left w:val="none" w:sz="0" w:space="0" w:color="auto"/>
                <w:bottom w:val="none" w:sz="0" w:space="0" w:color="auto"/>
                <w:right w:val="none" w:sz="0" w:space="0" w:color="auto"/>
              </w:divBdr>
            </w:div>
            <w:div w:id="1227495330">
              <w:marLeft w:val="0"/>
              <w:marRight w:val="0"/>
              <w:marTop w:val="0"/>
              <w:marBottom w:val="0"/>
              <w:divBdr>
                <w:top w:val="none" w:sz="0" w:space="0" w:color="auto"/>
                <w:left w:val="none" w:sz="0" w:space="0" w:color="auto"/>
                <w:bottom w:val="none" w:sz="0" w:space="0" w:color="auto"/>
                <w:right w:val="none" w:sz="0" w:space="0" w:color="auto"/>
              </w:divBdr>
            </w:div>
            <w:div w:id="1378778185">
              <w:marLeft w:val="0"/>
              <w:marRight w:val="0"/>
              <w:marTop w:val="0"/>
              <w:marBottom w:val="0"/>
              <w:divBdr>
                <w:top w:val="none" w:sz="0" w:space="0" w:color="auto"/>
                <w:left w:val="none" w:sz="0" w:space="0" w:color="auto"/>
                <w:bottom w:val="none" w:sz="0" w:space="0" w:color="auto"/>
                <w:right w:val="none" w:sz="0" w:space="0" w:color="auto"/>
              </w:divBdr>
            </w:div>
            <w:div w:id="1496146500">
              <w:marLeft w:val="0"/>
              <w:marRight w:val="0"/>
              <w:marTop w:val="0"/>
              <w:marBottom w:val="0"/>
              <w:divBdr>
                <w:top w:val="none" w:sz="0" w:space="0" w:color="auto"/>
                <w:left w:val="none" w:sz="0" w:space="0" w:color="auto"/>
                <w:bottom w:val="none" w:sz="0" w:space="0" w:color="auto"/>
                <w:right w:val="none" w:sz="0" w:space="0" w:color="auto"/>
              </w:divBdr>
            </w:div>
            <w:div w:id="16346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778">
      <w:bodyDiv w:val="1"/>
      <w:marLeft w:val="0"/>
      <w:marRight w:val="0"/>
      <w:marTop w:val="0"/>
      <w:marBottom w:val="0"/>
      <w:divBdr>
        <w:top w:val="none" w:sz="0" w:space="0" w:color="auto"/>
        <w:left w:val="none" w:sz="0" w:space="0" w:color="auto"/>
        <w:bottom w:val="none" w:sz="0" w:space="0" w:color="auto"/>
        <w:right w:val="none" w:sz="0" w:space="0" w:color="auto"/>
      </w:divBdr>
    </w:div>
    <w:div w:id="1812364052">
      <w:bodyDiv w:val="1"/>
      <w:marLeft w:val="0"/>
      <w:marRight w:val="0"/>
      <w:marTop w:val="0"/>
      <w:marBottom w:val="0"/>
      <w:divBdr>
        <w:top w:val="none" w:sz="0" w:space="0" w:color="auto"/>
        <w:left w:val="none" w:sz="0" w:space="0" w:color="auto"/>
        <w:bottom w:val="none" w:sz="0" w:space="0" w:color="auto"/>
        <w:right w:val="none" w:sz="0" w:space="0" w:color="auto"/>
      </w:divBdr>
      <w:divsChild>
        <w:div w:id="895821799">
          <w:marLeft w:val="0"/>
          <w:marRight w:val="0"/>
          <w:marTop w:val="0"/>
          <w:marBottom w:val="0"/>
          <w:divBdr>
            <w:top w:val="none" w:sz="0" w:space="0" w:color="auto"/>
            <w:left w:val="none" w:sz="0" w:space="0" w:color="auto"/>
            <w:bottom w:val="none" w:sz="0" w:space="0" w:color="auto"/>
            <w:right w:val="none" w:sz="0" w:space="0" w:color="auto"/>
          </w:divBdr>
          <w:divsChild>
            <w:div w:id="494541076">
              <w:marLeft w:val="0"/>
              <w:marRight w:val="0"/>
              <w:marTop w:val="0"/>
              <w:marBottom w:val="0"/>
              <w:divBdr>
                <w:top w:val="none" w:sz="0" w:space="0" w:color="auto"/>
                <w:left w:val="none" w:sz="0" w:space="0" w:color="auto"/>
                <w:bottom w:val="none" w:sz="0" w:space="0" w:color="auto"/>
                <w:right w:val="none" w:sz="0" w:space="0" w:color="auto"/>
              </w:divBdr>
            </w:div>
          </w:divsChild>
        </w:div>
        <w:div w:id="1487555102">
          <w:marLeft w:val="0"/>
          <w:marRight w:val="0"/>
          <w:marTop w:val="0"/>
          <w:marBottom w:val="0"/>
          <w:divBdr>
            <w:top w:val="none" w:sz="0" w:space="0" w:color="auto"/>
            <w:left w:val="none" w:sz="0" w:space="0" w:color="auto"/>
            <w:bottom w:val="none" w:sz="0" w:space="0" w:color="auto"/>
            <w:right w:val="none" w:sz="0" w:space="0" w:color="auto"/>
          </w:divBdr>
          <w:divsChild>
            <w:div w:id="650476248">
              <w:marLeft w:val="0"/>
              <w:marRight w:val="0"/>
              <w:marTop w:val="0"/>
              <w:marBottom w:val="0"/>
              <w:divBdr>
                <w:top w:val="none" w:sz="0" w:space="0" w:color="auto"/>
                <w:left w:val="none" w:sz="0" w:space="0" w:color="auto"/>
                <w:bottom w:val="none" w:sz="0" w:space="0" w:color="auto"/>
                <w:right w:val="none" w:sz="0" w:space="0" w:color="auto"/>
              </w:divBdr>
            </w:div>
            <w:div w:id="1347248763">
              <w:marLeft w:val="0"/>
              <w:marRight w:val="0"/>
              <w:marTop w:val="0"/>
              <w:marBottom w:val="0"/>
              <w:divBdr>
                <w:top w:val="none" w:sz="0" w:space="0" w:color="auto"/>
                <w:left w:val="none" w:sz="0" w:space="0" w:color="auto"/>
                <w:bottom w:val="none" w:sz="0" w:space="0" w:color="auto"/>
                <w:right w:val="none" w:sz="0" w:space="0" w:color="auto"/>
              </w:divBdr>
            </w:div>
            <w:div w:id="18070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27326">
      <w:bodyDiv w:val="1"/>
      <w:marLeft w:val="0"/>
      <w:marRight w:val="0"/>
      <w:marTop w:val="0"/>
      <w:marBottom w:val="0"/>
      <w:divBdr>
        <w:top w:val="none" w:sz="0" w:space="0" w:color="auto"/>
        <w:left w:val="none" w:sz="0" w:space="0" w:color="auto"/>
        <w:bottom w:val="none" w:sz="0" w:space="0" w:color="auto"/>
        <w:right w:val="none" w:sz="0" w:space="0" w:color="auto"/>
      </w:divBdr>
    </w:div>
    <w:div w:id="1821917418">
      <w:bodyDiv w:val="1"/>
      <w:marLeft w:val="0"/>
      <w:marRight w:val="0"/>
      <w:marTop w:val="0"/>
      <w:marBottom w:val="0"/>
      <w:divBdr>
        <w:top w:val="none" w:sz="0" w:space="0" w:color="auto"/>
        <w:left w:val="none" w:sz="0" w:space="0" w:color="auto"/>
        <w:bottom w:val="none" w:sz="0" w:space="0" w:color="auto"/>
        <w:right w:val="none" w:sz="0" w:space="0" w:color="auto"/>
      </w:divBdr>
    </w:div>
    <w:div w:id="1823421474">
      <w:bodyDiv w:val="1"/>
      <w:marLeft w:val="0"/>
      <w:marRight w:val="0"/>
      <w:marTop w:val="0"/>
      <w:marBottom w:val="0"/>
      <w:divBdr>
        <w:top w:val="none" w:sz="0" w:space="0" w:color="auto"/>
        <w:left w:val="none" w:sz="0" w:space="0" w:color="auto"/>
        <w:bottom w:val="none" w:sz="0" w:space="0" w:color="auto"/>
        <w:right w:val="none" w:sz="0" w:space="0" w:color="auto"/>
      </w:divBdr>
      <w:divsChild>
        <w:div w:id="441923086">
          <w:marLeft w:val="0"/>
          <w:marRight w:val="0"/>
          <w:marTop w:val="0"/>
          <w:marBottom w:val="0"/>
          <w:divBdr>
            <w:top w:val="none" w:sz="0" w:space="0" w:color="auto"/>
            <w:left w:val="none" w:sz="0" w:space="0" w:color="auto"/>
            <w:bottom w:val="none" w:sz="0" w:space="0" w:color="auto"/>
            <w:right w:val="none" w:sz="0" w:space="0" w:color="auto"/>
          </w:divBdr>
        </w:div>
        <w:div w:id="1827356129">
          <w:marLeft w:val="0"/>
          <w:marRight w:val="0"/>
          <w:marTop w:val="0"/>
          <w:marBottom w:val="0"/>
          <w:divBdr>
            <w:top w:val="none" w:sz="0" w:space="0" w:color="auto"/>
            <w:left w:val="none" w:sz="0" w:space="0" w:color="auto"/>
            <w:bottom w:val="none" w:sz="0" w:space="0" w:color="auto"/>
            <w:right w:val="none" w:sz="0" w:space="0" w:color="auto"/>
          </w:divBdr>
          <w:divsChild>
            <w:div w:id="380638396">
              <w:marLeft w:val="0"/>
              <w:marRight w:val="0"/>
              <w:marTop w:val="0"/>
              <w:marBottom w:val="0"/>
              <w:divBdr>
                <w:top w:val="none" w:sz="0" w:space="0" w:color="auto"/>
                <w:left w:val="none" w:sz="0" w:space="0" w:color="auto"/>
                <w:bottom w:val="none" w:sz="0" w:space="0" w:color="auto"/>
                <w:right w:val="none" w:sz="0" w:space="0" w:color="auto"/>
              </w:divBdr>
            </w:div>
            <w:div w:id="962927748">
              <w:marLeft w:val="0"/>
              <w:marRight w:val="0"/>
              <w:marTop w:val="0"/>
              <w:marBottom w:val="0"/>
              <w:divBdr>
                <w:top w:val="none" w:sz="0" w:space="0" w:color="auto"/>
                <w:left w:val="none" w:sz="0" w:space="0" w:color="auto"/>
                <w:bottom w:val="none" w:sz="0" w:space="0" w:color="auto"/>
                <w:right w:val="none" w:sz="0" w:space="0" w:color="auto"/>
              </w:divBdr>
            </w:div>
            <w:div w:id="14344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88235">
      <w:bodyDiv w:val="1"/>
      <w:marLeft w:val="0"/>
      <w:marRight w:val="0"/>
      <w:marTop w:val="0"/>
      <w:marBottom w:val="0"/>
      <w:divBdr>
        <w:top w:val="none" w:sz="0" w:space="0" w:color="auto"/>
        <w:left w:val="none" w:sz="0" w:space="0" w:color="auto"/>
        <w:bottom w:val="none" w:sz="0" w:space="0" w:color="auto"/>
        <w:right w:val="none" w:sz="0" w:space="0" w:color="auto"/>
      </w:divBdr>
      <w:divsChild>
        <w:div w:id="1868443721">
          <w:marLeft w:val="300"/>
          <w:marRight w:val="0"/>
          <w:marTop w:val="0"/>
          <w:marBottom w:val="0"/>
          <w:divBdr>
            <w:top w:val="none" w:sz="0" w:space="0" w:color="auto"/>
            <w:left w:val="none" w:sz="0" w:space="0" w:color="auto"/>
            <w:bottom w:val="none" w:sz="0" w:space="0" w:color="auto"/>
            <w:right w:val="none" w:sz="0" w:space="0" w:color="auto"/>
          </w:divBdr>
        </w:div>
      </w:divsChild>
    </w:div>
    <w:div w:id="1831482558">
      <w:bodyDiv w:val="1"/>
      <w:marLeft w:val="0"/>
      <w:marRight w:val="0"/>
      <w:marTop w:val="0"/>
      <w:marBottom w:val="0"/>
      <w:divBdr>
        <w:top w:val="none" w:sz="0" w:space="0" w:color="auto"/>
        <w:left w:val="none" w:sz="0" w:space="0" w:color="auto"/>
        <w:bottom w:val="none" w:sz="0" w:space="0" w:color="auto"/>
        <w:right w:val="none" w:sz="0" w:space="0" w:color="auto"/>
      </w:divBdr>
    </w:div>
    <w:div w:id="1841115370">
      <w:bodyDiv w:val="1"/>
      <w:marLeft w:val="0"/>
      <w:marRight w:val="0"/>
      <w:marTop w:val="0"/>
      <w:marBottom w:val="0"/>
      <w:divBdr>
        <w:top w:val="none" w:sz="0" w:space="0" w:color="auto"/>
        <w:left w:val="none" w:sz="0" w:space="0" w:color="auto"/>
        <w:bottom w:val="none" w:sz="0" w:space="0" w:color="auto"/>
        <w:right w:val="none" w:sz="0" w:space="0" w:color="auto"/>
      </w:divBdr>
    </w:div>
    <w:div w:id="1842424088">
      <w:bodyDiv w:val="1"/>
      <w:marLeft w:val="0"/>
      <w:marRight w:val="0"/>
      <w:marTop w:val="0"/>
      <w:marBottom w:val="0"/>
      <w:divBdr>
        <w:top w:val="none" w:sz="0" w:space="0" w:color="auto"/>
        <w:left w:val="none" w:sz="0" w:space="0" w:color="auto"/>
        <w:bottom w:val="none" w:sz="0" w:space="0" w:color="auto"/>
        <w:right w:val="none" w:sz="0" w:space="0" w:color="auto"/>
      </w:divBdr>
    </w:div>
    <w:div w:id="1861628039">
      <w:bodyDiv w:val="1"/>
      <w:marLeft w:val="0"/>
      <w:marRight w:val="0"/>
      <w:marTop w:val="0"/>
      <w:marBottom w:val="0"/>
      <w:divBdr>
        <w:top w:val="none" w:sz="0" w:space="0" w:color="auto"/>
        <w:left w:val="none" w:sz="0" w:space="0" w:color="auto"/>
        <w:bottom w:val="none" w:sz="0" w:space="0" w:color="auto"/>
        <w:right w:val="none" w:sz="0" w:space="0" w:color="auto"/>
      </w:divBdr>
      <w:divsChild>
        <w:div w:id="204298380">
          <w:marLeft w:val="0"/>
          <w:marRight w:val="0"/>
          <w:marTop w:val="0"/>
          <w:marBottom w:val="0"/>
          <w:divBdr>
            <w:top w:val="none" w:sz="0" w:space="0" w:color="auto"/>
            <w:left w:val="none" w:sz="0" w:space="0" w:color="auto"/>
            <w:bottom w:val="none" w:sz="0" w:space="0" w:color="auto"/>
            <w:right w:val="none" w:sz="0" w:space="0" w:color="auto"/>
          </w:divBdr>
        </w:div>
        <w:div w:id="243683934">
          <w:marLeft w:val="0"/>
          <w:marRight w:val="0"/>
          <w:marTop w:val="0"/>
          <w:marBottom w:val="0"/>
          <w:divBdr>
            <w:top w:val="none" w:sz="0" w:space="0" w:color="auto"/>
            <w:left w:val="none" w:sz="0" w:space="0" w:color="auto"/>
            <w:bottom w:val="none" w:sz="0" w:space="0" w:color="auto"/>
            <w:right w:val="none" w:sz="0" w:space="0" w:color="auto"/>
          </w:divBdr>
        </w:div>
        <w:div w:id="294331212">
          <w:marLeft w:val="0"/>
          <w:marRight w:val="0"/>
          <w:marTop w:val="0"/>
          <w:marBottom w:val="0"/>
          <w:divBdr>
            <w:top w:val="none" w:sz="0" w:space="0" w:color="auto"/>
            <w:left w:val="none" w:sz="0" w:space="0" w:color="auto"/>
            <w:bottom w:val="none" w:sz="0" w:space="0" w:color="auto"/>
            <w:right w:val="none" w:sz="0" w:space="0" w:color="auto"/>
          </w:divBdr>
        </w:div>
        <w:div w:id="297876787">
          <w:marLeft w:val="0"/>
          <w:marRight w:val="0"/>
          <w:marTop w:val="0"/>
          <w:marBottom w:val="0"/>
          <w:divBdr>
            <w:top w:val="none" w:sz="0" w:space="0" w:color="auto"/>
            <w:left w:val="none" w:sz="0" w:space="0" w:color="auto"/>
            <w:bottom w:val="none" w:sz="0" w:space="0" w:color="auto"/>
            <w:right w:val="none" w:sz="0" w:space="0" w:color="auto"/>
          </w:divBdr>
        </w:div>
        <w:div w:id="338041338">
          <w:marLeft w:val="0"/>
          <w:marRight w:val="0"/>
          <w:marTop w:val="0"/>
          <w:marBottom w:val="0"/>
          <w:divBdr>
            <w:top w:val="none" w:sz="0" w:space="0" w:color="auto"/>
            <w:left w:val="none" w:sz="0" w:space="0" w:color="auto"/>
            <w:bottom w:val="none" w:sz="0" w:space="0" w:color="auto"/>
            <w:right w:val="none" w:sz="0" w:space="0" w:color="auto"/>
          </w:divBdr>
        </w:div>
        <w:div w:id="446197693">
          <w:marLeft w:val="0"/>
          <w:marRight w:val="0"/>
          <w:marTop w:val="0"/>
          <w:marBottom w:val="0"/>
          <w:divBdr>
            <w:top w:val="none" w:sz="0" w:space="0" w:color="auto"/>
            <w:left w:val="none" w:sz="0" w:space="0" w:color="auto"/>
            <w:bottom w:val="none" w:sz="0" w:space="0" w:color="auto"/>
            <w:right w:val="none" w:sz="0" w:space="0" w:color="auto"/>
          </w:divBdr>
        </w:div>
        <w:div w:id="502402026">
          <w:marLeft w:val="0"/>
          <w:marRight w:val="0"/>
          <w:marTop w:val="0"/>
          <w:marBottom w:val="0"/>
          <w:divBdr>
            <w:top w:val="none" w:sz="0" w:space="0" w:color="auto"/>
            <w:left w:val="none" w:sz="0" w:space="0" w:color="auto"/>
            <w:bottom w:val="none" w:sz="0" w:space="0" w:color="auto"/>
            <w:right w:val="none" w:sz="0" w:space="0" w:color="auto"/>
          </w:divBdr>
        </w:div>
        <w:div w:id="683868673">
          <w:marLeft w:val="0"/>
          <w:marRight w:val="0"/>
          <w:marTop w:val="0"/>
          <w:marBottom w:val="0"/>
          <w:divBdr>
            <w:top w:val="none" w:sz="0" w:space="0" w:color="auto"/>
            <w:left w:val="none" w:sz="0" w:space="0" w:color="auto"/>
            <w:bottom w:val="none" w:sz="0" w:space="0" w:color="auto"/>
            <w:right w:val="none" w:sz="0" w:space="0" w:color="auto"/>
          </w:divBdr>
        </w:div>
        <w:div w:id="826629488">
          <w:marLeft w:val="0"/>
          <w:marRight w:val="0"/>
          <w:marTop w:val="0"/>
          <w:marBottom w:val="0"/>
          <w:divBdr>
            <w:top w:val="none" w:sz="0" w:space="0" w:color="auto"/>
            <w:left w:val="none" w:sz="0" w:space="0" w:color="auto"/>
            <w:bottom w:val="none" w:sz="0" w:space="0" w:color="auto"/>
            <w:right w:val="none" w:sz="0" w:space="0" w:color="auto"/>
          </w:divBdr>
        </w:div>
        <w:div w:id="974065970">
          <w:marLeft w:val="0"/>
          <w:marRight w:val="0"/>
          <w:marTop w:val="0"/>
          <w:marBottom w:val="0"/>
          <w:divBdr>
            <w:top w:val="none" w:sz="0" w:space="0" w:color="auto"/>
            <w:left w:val="none" w:sz="0" w:space="0" w:color="auto"/>
            <w:bottom w:val="none" w:sz="0" w:space="0" w:color="auto"/>
            <w:right w:val="none" w:sz="0" w:space="0" w:color="auto"/>
          </w:divBdr>
        </w:div>
        <w:div w:id="1003124269">
          <w:marLeft w:val="0"/>
          <w:marRight w:val="0"/>
          <w:marTop w:val="0"/>
          <w:marBottom w:val="0"/>
          <w:divBdr>
            <w:top w:val="none" w:sz="0" w:space="0" w:color="auto"/>
            <w:left w:val="none" w:sz="0" w:space="0" w:color="auto"/>
            <w:bottom w:val="none" w:sz="0" w:space="0" w:color="auto"/>
            <w:right w:val="none" w:sz="0" w:space="0" w:color="auto"/>
          </w:divBdr>
        </w:div>
        <w:div w:id="1109007846">
          <w:marLeft w:val="0"/>
          <w:marRight w:val="0"/>
          <w:marTop w:val="0"/>
          <w:marBottom w:val="0"/>
          <w:divBdr>
            <w:top w:val="none" w:sz="0" w:space="0" w:color="auto"/>
            <w:left w:val="none" w:sz="0" w:space="0" w:color="auto"/>
            <w:bottom w:val="none" w:sz="0" w:space="0" w:color="auto"/>
            <w:right w:val="none" w:sz="0" w:space="0" w:color="auto"/>
          </w:divBdr>
        </w:div>
        <w:div w:id="1241408586">
          <w:marLeft w:val="0"/>
          <w:marRight w:val="0"/>
          <w:marTop w:val="0"/>
          <w:marBottom w:val="0"/>
          <w:divBdr>
            <w:top w:val="none" w:sz="0" w:space="0" w:color="auto"/>
            <w:left w:val="none" w:sz="0" w:space="0" w:color="auto"/>
            <w:bottom w:val="none" w:sz="0" w:space="0" w:color="auto"/>
            <w:right w:val="none" w:sz="0" w:space="0" w:color="auto"/>
          </w:divBdr>
        </w:div>
        <w:div w:id="1261992461">
          <w:marLeft w:val="0"/>
          <w:marRight w:val="0"/>
          <w:marTop w:val="0"/>
          <w:marBottom w:val="0"/>
          <w:divBdr>
            <w:top w:val="none" w:sz="0" w:space="0" w:color="auto"/>
            <w:left w:val="none" w:sz="0" w:space="0" w:color="auto"/>
            <w:bottom w:val="none" w:sz="0" w:space="0" w:color="auto"/>
            <w:right w:val="none" w:sz="0" w:space="0" w:color="auto"/>
          </w:divBdr>
        </w:div>
        <w:div w:id="1442990703">
          <w:marLeft w:val="0"/>
          <w:marRight w:val="0"/>
          <w:marTop w:val="0"/>
          <w:marBottom w:val="0"/>
          <w:divBdr>
            <w:top w:val="none" w:sz="0" w:space="0" w:color="auto"/>
            <w:left w:val="none" w:sz="0" w:space="0" w:color="auto"/>
            <w:bottom w:val="none" w:sz="0" w:space="0" w:color="auto"/>
            <w:right w:val="none" w:sz="0" w:space="0" w:color="auto"/>
          </w:divBdr>
        </w:div>
        <w:div w:id="1552496031">
          <w:marLeft w:val="0"/>
          <w:marRight w:val="0"/>
          <w:marTop w:val="0"/>
          <w:marBottom w:val="0"/>
          <w:divBdr>
            <w:top w:val="none" w:sz="0" w:space="0" w:color="auto"/>
            <w:left w:val="none" w:sz="0" w:space="0" w:color="auto"/>
            <w:bottom w:val="none" w:sz="0" w:space="0" w:color="auto"/>
            <w:right w:val="none" w:sz="0" w:space="0" w:color="auto"/>
          </w:divBdr>
        </w:div>
        <w:div w:id="1720327059">
          <w:marLeft w:val="0"/>
          <w:marRight w:val="0"/>
          <w:marTop w:val="0"/>
          <w:marBottom w:val="0"/>
          <w:divBdr>
            <w:top w:val="none" w:sz="0" w:space="0" w:color="auto"/>
            <w:left w:val="none" w:sz="0" w:space="0" w:color="auto"/>
            <w:bottom w:val="none" w:sz="0" w:space="0" w:color="auto"/>
            <w:right w:val="none" w:sz="0" w:space="0" w:color="auto"/>
          </w:divBdr>
        </w:div>
        <w:div w:id="1954437852">
          <w:marLeft w:val="0"/>
          <w:marRight w:val="0"/>
          <w:marTop w:val="0"/>
          <w:marBottom w:val="0"/>
          <w:divBdr>
            <w:top w:val="none" w:sz="0" w:space="0" w:color="auto"/>
            <w:left w:val="none" w:sz="0" w:space="0" w:color="auto"/>
            <w:bottom w:val="none" w:sz="0" w:space="0" w:color="auto"/>
            <w:right w:val="none" w:sz="0" w:space="0" w:color="auto"/>
          </w:divBdr>
        </w:div>
        <w:div w:id="1975671883">
          <w:marLeft w:val="0"/>
          <w:marRight w:val="0"/>
          <w:marTop w:val="0"/>
          <w:marBottom w:val="0"/>
          <w:divBdr>
            <w:top w:val="none" w:sz="0" w:space="0" w:color="auto"/>
            <w:left w:val="none" w:sz="0" w:space="0" w:color="auto"/>
            <w:bottom w:val="none" w:sz="0" w:space="0" w:color="auto"/>
            <w:right w:val="none" w:sz="0" w:space="0" w:color="auto"/>
          </w:divBdr>
        </w:div>
        <w:div w:id="2027050622">
          <w:marLeft w:val="0"/>
          <w:marRight w:val="0"/>
          <w:marTop w:val="0"/>
          <w:marBottom w:val="0"/>
          <w:divBdr>
            <w:top w:val="none" w:sz="0" w:space="0" w:color="auto"/>
            <w:left w:val="none" w:sz="0" w:space="0" w:color="auto"/>
            <w:bottom w:val="none" w:sz="0" w:space="0" w:color="auto"/>
            <w:right w:val="none" w:sz="0" w:space="0" w:color="auto"/>
          </w:divBdr>
        </w:div>
      </w:divsChild>
    </w:div>
    <w:div w:id="1863280620">
      <w:bodyDiv w:val="1"/>
      <w:marLeft w:val="0"/>
      <w:marRight w:val="0"/>
      <w:marTop w:val="0"/>
      <w:marBottom w:val="0"/>
      <w:divBdr>
        <w:top w:val="none" w:sz="0" w:space="0" w:color="auto"/>
        <w:left w:val="none" w:sz="0" w:space="0" w:color="auto"/>
        <w:bottom w:val="none" w:sz="0" w:space="0" w:color="auto"/>
        <w:right w:val="none" w:sz="0" w:space="0" w:color="auto"/>
      </w:divBdr>
      <w:divsChild>
        <w:div w:id="409742039">
          <w:marLeft w:val="0"/>
          <w:marRight w:val="0"/>
          <w:marTop w:val="0"/>
          <w:marBottom w:val="0"/>
          <w:divBdr>
            <w:top w:val="none" w:sz="0" w:space="0" w:color="auto"/>
            <w:left w:val="none" w:sz="0" w:space="0" w:color="auto"/>
            <w:bottom w:val="none" w:sz="0" w:space="0" w:color="auto"/>
            <w:right w:val="none" w:sz="0" w:space="0" w:color="auto"/>
          </w:divBdr>
          <w:divsChild>
            <w:div w:id="268969417">
              <w:marLeft w:val="0"/>
              <w:marRight w:val="0"/>
              <w:marTop w:val="0"/>
              <w:marBottom w:val="0"/>
              <w:divBdr>
                <w:top w:val="none" w:sz="0" w:space="0" w:color="auto"/>
                <w:left w:val="none" w:sz="0" w:space="0" w:color="auto"/>
                <w:bottom w:val="none" w:sz="0" w:space="0" w:color="auto"/>
                <w:right w:val="none" w:sz="0" w:space="0" w:color="auto"/>
              </w:divBdr>
            </w:div>
            <w:div w:id="652176926">
              <w:marLeft w:val="0"/>
              <w:marRight w:val="0"/>
              <w:marTop w:val="0"/>
              <w:marBottom w:val="0"/>
              <w:divBdr>
                <w:top w:val="none" w:sz="0" w:space="0" w:color="auto"/>
                <w:left w:val="none" w:sz="0" w:space="0" w:color="auto"/>
                <w:bottom w:val="none" w:sz="0" w:space="0" w:color="auto"/>
                <w:right w:val="none" w:sz="0" w:space="0" w:color="auto"/>
              </w:divBdr>
            </w:div>
          </w:divsChild>
        </w:div>
        <w:div w:id="1672222327">
          <w:marLeft w:val="0"/>
          <w:marRight w:val="0"/>
          <w:marTop w:val="0"/>
          <w:marBottom w:val="0"/>
          <w:divBdr>
            <w:top w:val="none" w:sz="0" w:space="0" w:color="auto"/>
            <w:left w:val="none" w:sz="0" w:space="0" w:color="auto"/>
            <w:bottom w:val="none" w:sz="0" w:space="0" w:color="auto"/>
            <w:right w:val="none" w:sz="0" w:space="0" w:color="auto"/>
          </w:divBdr>
          <w:divsChild>
            <w:div w:id="235826334">
              <w:marLeft w:val="0"/>
              <w:marRight w:val="0"/>
              <w:marTop w:val="0"/>
              <w:marBottom w:val="0"/>
              <w:divBdr>
                <w:top w:val="none" w:sz="0" w:space="0" w:color="auto"/>
                <w:left w:val="none" w:sz="0" w:space="0" w:color="auto"/>
                <w:bottom w:val="none" w:sz="0" w:space="0" w:color="auto"/>
                <w:right w:val="none" w:sz="0" w:space="0" w:color="auto"/>
              </w:divBdr>
            </w:div>
            <w:div w:id="517742830">
              <w:marLeft w:val="0"/>
              <w:marRight w:val="0"/>
              <w:marTop w:val="0"/>
              <w:marBottom w:val="0"/>
              <w:divBdr>
                <w:top w:val="none" w:sz="0" w:space="0" w:color="auto"/>
                <w:left w:val="none" w:sz="0" w:space="0" w:color="auto"/>
                <w:bottom w:val="none" w:sz="0" w:space="0" w:color="auto"/>
                <w:right w:val="none" w:sz="0" w:space="0" w:color="auto"/>
              </w:divBdr>
            </w:div>
            <w:div w:id="19540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30846">
      <w:bodyDiv w:val="1"/>
      <w:marLeft w:val="0"/>
      <w:marRight w:val="0"/>
      <w:marTop w:val="0"/>
      <w:marBottom w:val="0"/>
      <w:divBdr>
        <w:top w:val="none" w:sz="0" w:space="0" w:color="auto"/>
        <w:left w:val="none" w:sz="0" w:space="0" w:color="auto"/>
        <w:bottom w:val="none" w:sz="0" w:space="0" w:color="auto"/>
        <w:right w:val="none" w:sz="0" w:space="0" w:color="auto"/>
      </w:divBdr>
      <w:divsChild>
        <w:div w:id="51779579">
          <w:marLeft w:val="0"/>
          <w:marRight w:val="0"/>
          <w:marTop w:val="0"/>
          <w:marBottom w:val="0"/>
          <w:divBdr>
            <w:top w:val="none" w:sz="0" w:space="0" w:color="auto"/>
            <w:left w:val="none" w:sz="0" w:space="0" w:color="auto"/>
            <w:bottom w:val="none" w:sz="0" w:space="0" w:color="auto"/>
            <w:right w:val="none" w:sz="0" w:space="0" w:color="auto"/>
          </w:divBdr>
        </w:div>
        <w:div w:id="172183037">
          <w:marLeft w:val="0"/>
          <w:marRight w:val="0"/>
          <w:marTop w:val="0"/>
          <w:marBottom w:val="0"/>
          <w:divBdr>
            <w:top w:val="none" w:sz="0" w:space="0" w:color="auto"/>
            <w:left w:val="none" w:sz="0" w:space="0" w:color="auto"/>
            <w:bottom w:val="none" w:sz="0" w:space="0" w:color="auto"/>
            <w:right w:val="none" w:sz="0" w:space="0" w:color="auto"/>
          </w:divBdr>
        </w:div>
        <w:div w:id="364529515">
          <w:marLeft w:val="0"/>
          <w:marRight w:val="0"/>
          <w:marTop w:val="0"/>
          <w:marBottom w:val="0"/>
          <w:divBdr>
            <w:top w:val="none" w:sz="0" w:space="0" w:color="auto"/>
            <w:left w:val="none" w:sz="0" w:space="0" w:color="auto"/>
            <w:bottom w:val="none" w:sz="0" w:space="0" w:color="auto"/>
            <w:right w:val="none" w:sz="0" w:space="0" w:color="auto"/>
          </w:divBdr>
        </w:div>
        <w:div w:id="904756829">
          <w:marLeft w:val="0"/>
          <w:marRight w:val="0"/>
          <w:marTop w:val="0"/>
          <w:marBottom w:val="0"/>
          <w:divBdr>
            <w:top w:val="none" w:sz="0" w:space="0" w:color="auto"/>
            <w:left w:val="none" w:sz="0" w:space="0" w:color="auto"/>
            <w:bottom w:val="none" w:sz="0" w:space="0" w:color="auto"/>
            <w:right w:val="none" w:sz="0" w:space="0" w:color="auto"/>
          </w:divBdr>
        </w:div>
        <w:div w:id="1012873550">
          <w:marLeft w:val="0"/>
          <w:marRight w:val="0"/>
          <w:marTop w:val="0"/>
          <w:marBottom w:val="0"/>
          <w:divBdr>
            <w:top w:val="none" w:sz="0" w:space="0" w:color="auto"/>
            <w:left w:val="none" w:sz="0" w:space="0" w:color="auto"/>
            <w:bottom w:val="none" w:sz="0" w:space="0" w:color="auto"/>
            <w:right w:val="none" w:sz="0" w:space="0" w:color="auto"/>
          </w:divBdr>
        </w:div>
        <w:div w:id="1560167852">
          <w:marLeft w:val="0"/>
          <w:marRight w:val="0"/>
          <w:marTop w:val="0"/>
          <w:marBottom w:val="0"/>
          <w:divBdr>
            <w:top w:val="none" w:sz="0" w:space="0" w:color="auto"/>
            <w:left w:val="none" w:sz="0" w:space="0" w:color="auto"/>
            <w:bottom w:val="none" w:sz="0" w:space="0" w:color="auto"/>
            <w:right w:val="none" w:sz="0" w:space="0" w:color="auto"/>
          </w:divBdr>
        </w:div>
        <w:div w:id="2132628959">
          <w:marLeft w:val="0"/>
          <w:marRight w:val="0"/>
          <w:marTop w:val="0"/>
          <w:marBottom w:val="0"/>
          <w:divBdr>
            <w:top w:val="none" w:sz="0" w:space="0" w:color="auto"/>
            <w:left w:val="none" w:sz="0" w:space="0" w:color="auto"/>
            <w:bottom w:val="none" w:sz="0" w:space="0" w:color="auto"/>
            <w:right w:val="none" w:sz="0" w:space="0" w:color="auto"/>
          </w:divBdr>
        </w:div>
      </w:divsChild>
    </w:div>
    <w:div w:id="1869566157">
      <w:bodyDiv w:val="1"/>
      <w:marLeft w:val="0"/>
      <w:marRight w:val="0"/>
      <w:marTop w:val="0"/>
      <w:marBottom w:val="0"/>
      <w:divBdr>
        <w:top w:val="none" w:sz="0" w:space="0" w:color="auto"/>
        <w:left w:val="none" w:sz="0" w:space="0" w:color="auto"/>
        <w:bottom w:val="none" w:sz="0" w:space="0" w:color="auto"/>
        <w:right w:val="none" w:sz="0" w:space="0" w:color="auto"/>
      </w:divBdr>
    </w:div>
    <w:div w:id="1871917885">
      <w:bodyDiv w:val="1"/>
      <w:marLeft w:val="0"/>
      <w:marRight w:val="0"/>
      <w:marTop w:val="0"/>
      <w:marBottom w:val="0"/>
      <w:divBdr>
        <w:top w:val="none" w:sz="0" w:space="0" w:color="auto"/>
        <w:left w:val="none" w:sz="0" w:space="0" w:color="auto"/>
        <w:bottom w:val="none" w:sz="0" w:space="0" w:color="auto"/>
        <w:right w:val="none" w:sz="0" w:space="0" w:color="auto"/>
      </w:divBdr>
      <w:divsChild>
        <w:div w:id="453014702">
          <w:marLeft w:val="0"/>
          <w:marRight w:val="0"/>
          <w:marTop w:val="0"/>
          <w:marBottom w:val="0"/>
          <w:divBdr>
            <w:top w:val="none" w:sz="0" w:space="0" w:color="auto"/>
            <w:left w:val="none" w:sz="0" w:space="0" w:color="auto"/>
            <w:bottom w:val="none" w:sz="0" w:space="0" w:color="auto"/>
            <w:right w:val="none" w:sz="0" w:space="0" w:color="auto"/>
          </w:divBdr>
        </w:div>
        <w:div w:id="1103496487">
          <w:marLeft w:val="-75"/>
          <w:marRight w:val="0"/>
          <w:marTop w:val="30"/>
          <w:marBottom w:val="30"/>
          <w:divBdr>
            <w:top w:val="none" w:sz="0" w:space="0" w:color="auto"/>
            <w:left w:val="none" w:sz="0" w:space="0" w:color="auto"/>
            <w:bottom w:val="none" w:sz="0" w:space="0" w:color="auto"/>
            <w:right w:val="none" w:sz="0" w:space="0" w:color="auto"/>
          </w:divBdr>
          <w:divsChild>
            <w:div w:id="47266697">
              <w:marLeft w:val="0"/>
              <w:marRight w:val="0"/>
              <w:marTop w:val="0"/>
              <w:marBottom w:val="0"/>
              <w:divBdr>
                <w:top w:val="none" w:sz="0" w:space="0" w:color="auto"/>
                <w:left w:val="none" w:sz="0" w:space="0" w:color="auto"/>
                <w:bottom w:val="none" w:sz="0" w:space="0" w:color="auto"/>
                <w:right w:val="none" w:sz="0" w:space="0" w:color="auto"/>
              </w:divBdr>
              <w:divsChild>
                <w:div w:id="1133331337">
                  <w:marLeft w:val="0"/>
                  <w:marRight w:val="0"/>
                  <w:marTop w:val="0"/>
                  <w:marBottom w:val="0"/>
                  <w:divBdr>
                    <w:top w:val="none" w:sz="0" w:space="0" w:color="auto"/>
                    <w:left w:val="none" w:sz="0" w:space="0" w:color="auto"/>
                    <w:bottom w:val="none" w:sz="0" w:space="0" w:color="auto"/>
                    <w:right w:val="none" w:sz="0" w:space="0" w:color="auto"/>
                  </w:divBdr>
                </w:div>
              </w:divsChild>
            </w:div>
            <w:div w:id="142041217">
              <w:marLeft w:val="0"/>
              <w:marRight w:val="0"/>
              <w:marTop w:val="0"/>
              <w:marBottom w:val="0"/>
              <w:divBdr>
                <w:top w:val="none" w:sz="0" w:space="0" w:color="auto"/>
                <w:left w:val="none" w:sz="0" w:space="0" w:color="auto"/>
                <w:bottom w:val="none" w:sz="0" w:space="0" w:color="auto"/>
                <w:right w:val="none" w:sz="0" w:space="0" w:color="auto"/>
              </w:divBdr>
              <w:divsChild>
                <w:div w:id="230116955">
                  <w:marLeft w:val="0"/>
                  <w:marRight w:val="0"/>
                  <w:marTop w:val="0"/>
                  <w:marBottom w:val="0"/>
                  <w:divBdr>
                    <w:top w:val="none" w:sz="0" w:space="0" w:color="auto"/>
                    <w:left w:val="none" w:sz="0" w:space="0" w:color="auto"/>
                    <w:bottom w:val="none" w:sz="0" w:space="0" w:color="auto"/>
                    <w:right w:val="none" w:sz="0" w:space="0" w:color="auto"/>
                  </w:divBdr>
                </w:div>
              </w:divsChild>
            </w:div>
            <w:div w:id="251428792">
              <w:marLeft w:val="0"/>
              <w:marRight w:val="0"/>
              <w:marTop w:val="0"/>
              <w:marBottom w:val="0"/>
              <w:divBdr>
                <w:top w:val="none" w:sz="0" w:space="0" w:color="auto"/>
                <w:left w:val="none" w:sz="0" w:space="0" w:color="auto"/>
                <w:bottom w:val="none" w:sz="0" w:space="0" w:color="auto"/>
                <w:right w:val="none" w:sz="0" w:space="0" w:color="auto"/>
              </w:divBdr>
              <w:divsChild>
                <w:div w:id="95567883">
                  <w:marLeft w:val="0"/>
                  <w:marRight w:val="0"/>
                  <w:marTop w:val="0"/>
                  <w:marBottom w:val="0"/>
                  <w:divBdr>
                    <w:top w:val="none" w:sz="0" w:space="0" w:color="auto"/>
                    <w:left w:val="none" w:sz="0" w:space="0" w:color="auto"/>
                    <w:bottom w:val="none" w:sz="0" w:space="0" w:color="auto"/>
                    <w:right w:val="none" w:sz="0" w:space="0" w:color="auto"/>
                  </w:divBdr>
                </w:div>
              </w:divsChild>
            </w:div>
            <w:div w:id="422531877">
              <w:marLeft w:val="0"/>
              <w:marRight w:val="0"/>
              <w:marTop w:val="0"/>
              <w:marBottom w:val="0"/>
              <w:divBdr>
                <w:top w:val="none" w:sz="0" w:space="0" w:color="auto"/>
                <w:left w:val="none" w:sz="0" w:space="0" w:color="auto"/>
                <w:bottom w:val="none" w:sz="0" w:space="0" w:color="auto"/>
                <w:right w:val="none" w:sz="0" w:space="0" w:color="auto"/>
              </w:divBdr>
              <w:divsChild>
                <w:div w:id="1711220159">
                  <w:marLeft w:val="0"/>
                  <w:marRight w:val="0"/>
                  <w:marTop w:val="0"/>
                  <w:marBottom w:val="0"/>
                  <w:divBdr>
                    <w:top w:val="none" w:sz="0" w:space="0" w:color="auto"/>
                    <w:left w:val="none" w:sz="0" w:space="0" w:color="auto"/>
                    <w:bottom w:val="none" w:sz="0" w:space="0" w:color="auto"/>
                    <w:right w:val="none" w:sz="0" w:space="0" w:color="auto"/>
                  </w:divBdr>
                </w:div>
              </w:divsChild>
            </w:div>
            <w:div w:id="439568965">
              <w:marLeft w:val="0"/>
              <w:marRight w:val="0"/>
              <w:marTop w:val="0"/>
              <w:marBottom w:val="0"/>
              <w:divBdr>
                <w:top w:val="none" w:sz="0" w:space="0" w:color="auto"/>
                <w:left w:val="none" w:sz="0" w:space="0" w:color="auto"/>
                <w:bottom w:val="none" w:sz="0" w:space="0" w:color="auto"/>
                <w:right w:val="none" w:sz="0" w:space="0" w:color="auto"/>
              </w:divBdr>
              <w:divsChild>
                <w:div w:id="817188410">
                  <w:marLeft w:val="0"/>
                  <w:marRight w:val="0"/>
                  <w:marTop w:val="0"/>
                  <w:marBottom w:val="0"/>
                  <w:divBdr>
                    <w:top w:val="none" w:sz="0" w:space="0" w:color="auto"/>
                    <w:left w:val="none" w:sz="0" w:space="0" w:color="auto"/>
                    <w:bottom w:val="none" w:sz="0" w:space="0" w:color="auto"/>
                    <w:right w:val="none" w:sz="0" w:space="0" w:color="auto"/>
                  </w:divBdr>
                </w:div>
              </w:divsChild>
            </w:div>
            <w:div w:id="467549863">
              <w:marLeft w:val="0"/>
              <w:marRight w:val="0"/>
              <w:marTop w:val="0"/>
              <w:marBottom w:val="0"/>
              <w:divBdr>
                <w:top w:val="none" w:sz="0" w:space="0" w:color="auto"/>
                <w:left w:val="none" w:sz="0" w:space="0" w:color="auto"/>
                <w:bottom w:val="none" w:sz="0" w:space="0" w:color="auto"/>
                <w:right w:val="none" w:sz="0" w:space="0" w:color="auto"/>
              </w:divBdr>
              <w:divsChild>
                <w:div w:id="523861538">
                  <w:marLeft w:val="0"/>
                  <w:marRight w:val="0"/>
                  <w:marTop w:val="0"/>
                  <w:marBottom w:val="0"/>
                  <w:divBdr>
                    <w:top w:val="none" w:sz="0" w:space="0" w:color="auto"/>
                    <w:left w:val="none" w:sz="0" w:space="0" w:color="auto"/>
                    <w:bottom w:val="none" w:sz="0" w:space="0" w:color="auto"/>
                    <w:right w:val="none" w:sz="0" w:space="0" w:color="auto"/>
                  </w:divBdr>
                </w:div>
              </w:divsChild>
            </w:div>
            <w:div w:id="551622600">
              <w:marLeft w:val="0"/>
              <w:marRight w:val="0"/>
              <w:marTop w:val="0"/>
              <w:marBottom w:val="0"/>
              <w:divBdr>
                <w:top w:val="none" w:sz="0" w:space="0" w:color="auto"/>
                <w:left w:val="none" w:sz="0" w:space="0" w:color="auto"/>
                <w:bottom w:val="none" w:sz="0" w:space="0" w:color="auto"/>
                <w:right w:val="none" w:sz="0" w:space="0" w:color="auto"/>
              </w:divBdr>
              <w:divsChild>
                <w:div w:id="620651204">
                  <w:marLeft w:val="0"/>
                  <w:marRight w:val="0"/>
                  <w:marTop w:val="0"/>
                  <w:marBottom w:val="0"/>
                  <w:divBdr>
                    <w:top w:val="none" w:sz="0" w:space="0" w:color="auto"/>
                    <w:left w:val="none" w:sz="0" w:space="0" w:color="auto"/>
                    <w:bottom w:val="none" w:sz="0" w:space="0" w:color="auto"/>
                    <w:right w:val="none" w:sz="0" w:space="0" w:color="auto"/>
                  </w:divBdr>
                </w:div>
              </w:divsChild>
            </w:div>
            <w:div w:id="610282060">
              <w:marLeft w:val="0"/>
              <w:marRight w:val="0"/>
              <w:marTop w:val="0"/>
              <w:marBottom w:val="0"/>
              <w:divBdr>
                <w:top w:val="none" w:sz="0" w:space="0" w:color="auto"/>
                <w:left w:val="none" w:sz="0" w:space="0" w:color="auto"/>
                <w:bottom w:val="none" w:sz="0" w:space="0" w:color="auto"/>
                <w:right w:val="none" w:sz="0" w:space="0" w:color="auto"/>
              </w:divBdr>
              <w:divsChild>
                <w:div w:id="1674575879">
                  <w:marLeft w:val="0"/>
                  <w:marRight w:val="0"/>
                  <w:marTop w:val="0"/>
                  <w:marBottom w:val="0"/>
                  <w:divBdr>
                    <w:top w:val="none" w:sz="0" w:space="0" w:color="auto"/>
                    <w:left w:val="none" w:sz="0" w:space="0" w:color="auto"/>
                    <w:bottom w:val="none" w:sz="0" w:space="0" w:color="auto"/>
                    <w:right w:val="none" w:sz="0" w:space="0" w:color="auto"/>
                  </w:divBdr>
                </w:div>
              </w:divsChild>
            </w:div>
            <w:div w:id="688608249">
              <w:marLeft w:val="0"/>
              <w:marRight w:val="0"/>
              <w:marTop w:val="0"/>
              <w:marBottom w:val="0"/>
              <w:divBdr>
                <w:top w:val="none" w:sz="0" w:space="0" w:color="auto"/>
                <w:left w:val="none" w:sz="0" w:space="0" w:color="auto"/>
                <w:bottom w:val="none" w:sz="0" w:space="0" w:color="auto"/>
                <w:right w:val="none" w:sz="0" w:space="0" w:color="auto"/>
              </w:divBdr>
              <w:divsChild>
                <w:div w:id="834804532">
                  <w:marLeft w:val="0"/>
                  <w:marRight w:val="0"/>
                  <w:marTop w:val="0"/>
                  <w:marBottom w:val="0"/>
                  <w:divBdr>
                    <w:top w:val="none" w:sz="0" w:space="0" w:color="auto"/>
                    <w:left w:val="none" w:sz="0" w:space="0" w:color="auto"/>
                    <w:bottom w:val="none" w:sz="0" w:space="0" w:color="auto"/>
                    <w:right w:val="none" w:sz="0" w:space="0" w:color="auto"/>
                  </w:divBdr>
                </w:div>
              </w:divsChild>
            </w:div>
            <w:div w:id="706225571">
              <w:marLeft w:val="0"/>
              <w:marRight w:val="0"/>
              <w:marTop w:val="0"/>
              <w:marBottom w:val="0"/>
              <w:divBdr>
                <w:top w:val="none" w:sz="0" w:space="0" w:color="auto"/>
                <w:left w:val="none" w:sz="0" w:space="0" w:color="auto"/>
                <w:bottom w:val="none" w:sz="0" w:space="0" w:color="auto"/>
                <w:right w:val="none" w:sz="0" w:space="0" w:color="auto"/>
              </w:divBdr>
              <w:divsChild>
                <w:div w:id="1145002248">
                  <w:marLeft w:val="0"/>
                  <w:marRight w:val="0"/>
                  <w:marTop w:val="0"/>
                  <w:marBottom w:val="0"/>
                  <w:divBdr>
                    <w:top w:val="none" w:sz="0" w:space="0" w:color="auto"/>
                    <w:left w:val="none" w:sz="0" w:space="0" w:color="auto"/>
                    <w:bottom w:val="none" w:sz="0" w:space="0" w:color="auto"/>
                    <w:right w:val="none" w:sz="0" w:space="0" w:color="auto"/>
                  </w:divBdr>
                </w:div>
              </w:divsChild>
            </w:div>
            <w:div w:id="836767552">
              <w:marLeft w:val="0"/>
              <w:marRight w:val="0"/>
              <w:marTop w:val="0"/>
              <w:marBottom w:val="0"/>
              <w:divBdr>
                <w:top w:val="none" w:sz="0" w:space="0" w:color="auto"/>
                <w:left w:val="none" w:sz="0" w:space="0" w:color="auto"/>
                <w:bottom w:val="none" w:sz="0" w:space="0" w:color="auto"/>
                <w:right w:val="none" w:sz="0" w:space="0" w:color="auto"/>
              </w:divBdr>
              <w:divsChild>
                <w:div w:id="666594760">
                  <w:marLeft w:val="0"/>
                  <w:marRight w:val="0"/>
                  <w:marTop w:val="0"/>
                  <w:marBottom w:val="0"/>
                  <w:divBdr>
                    <w:top w:val="none" w:sz="0" w:space="0" w:color="auto"/>
                    <w:left w:val="none" w:sz="0" w:space="0" w:color="auto"/>
                    <w:bottom w:val="none" w:sz="0" w:space="0" w:color="auto"/>
                    <w:right w:val="none" w:sz="0" w:space="0" w:color="auto"/>
                  </w:divBdr>
                </w:div>
              </w:divsChild>
            </w:div>
            <w:div w:id="862941709">
              <w:marLeft w:val="0"/>
              <w:marRight w:val="0"/>
              <w:marTop w:val="0"/>
              <w:marBottom w:val="0"/>
              <w:divBdr>
                <w:top w:val="none" w:sz="0" w:space="0" w:color="auto"/>
                <w:left w:val="none" w:sz="0" w:space="0" w:color="auto"/>
                <w:bottom w:val="none" w:sz="0" w:space="0" w:color="auto"/>
                <w:right w:val="none" w:sz="0" w:space="0" w:color="auto"/>
              </w:divBdr>
              <w:divsChild>
                <w:div w:id="439375916">
                  <w:marLeft w:val="0"/>
                  <w:marRight w:val="0"/>
                  <w:marTop w:val="0"/>
                  <w:marBottom w:val="0"/>
                  <w:divBdr>
                    <w:top w:val="none" w:sz="0" w:space="0" w:color="auto"/>
                    <w:left w:val="none" w:sz="0" w:space="0" w:color="auto"/>
                    <w:bottom w:val="none" w:sz="0" w:space="0" w:color="auto"/>
                    <w:right w:val="none" w:sz="0" w:space="0" w:color="auto"/>
                  </w:divBdr>
                </w:div>
              </w:divsChild>
            </w:div>
            <w:div w:id="881020501">
              <w:marLeft w:val="0"/>
              <w:marRight w:val="0"/>
              <w:marTop w:val="0"/>
              <w:marBottom w:val="0"/>
              <w:divBdr>
                <w:top w:val="none" w:sz="0" w:space="0" w:color="auto"/>
                <w:left w:val="none" w:sz="0" w:space="0" w:color="auto"/>
                <w:bottom w:val="none" w:sz="0" w:space="0" w:color="auto"/>
                <w:right w:val="none" w:sz="0" w:space="0" w:color="auto"/>
              </w:divBdr>
              <w:divsChild>
                <w:div w:id="449323969">
                  <w:marLeft w:val="0"/>
                  <w:marRight w:val="0"/>
                  <w:marTop w:val="0"/>
                  <w:marBottom w:val="0"/>
                  <w:divBdr>
                    <w:top w:val="none" w:sz="0" w:space="0" w:color="auto"/>
                    <w:left w:val="none" w:sz="0" w:space="0" w:color="auto"/>
                    <w:bottom w:val="none" w:sz="0" w:space="0" w:color="auto"/>
                    <w:right w:val="none" w:sz="0" w:space="0" w:color="auto"/>
                  </w:divBdr>
                </w:div>
              </w:divsChild>
            </w:div>
            <w:div w:id="905842820">
              <w:marLeft w:val="0"/>
              <w:marRight w:val="0"/>
              <w:marTop w:val="0"/>
              <w:marBottom w:val="0"/>
              <w:divBdr>
                <w:top w:val="none" w:sz="0" w:space="0" w:color="auto"/>
                <w:left w:val="none" w:sz="0" w:space="0" w:color="auto"/>
                <w:bottom w:val="none" w:sz="0" w:space="0" w:color="auto"/>
                <w:right w:val="none" w:sz="0" w:space="0" w:color="auto"/>
              </w:divBdr>
              <w:divsChild>
                <w:div w:id="1710452602">
                  <w:marLeft w:val="0"/>
                  <w:marRight w:val="0"/>
                  <w:marTop w:val="0"/>
                  <w:marBottom w:val="0"/>
                  <w:divBdr>
                    <w:top w:val="none" w:sz="0" w:space="0" w:color="auto"/>
                    <w:left w:val="none" w:sz="0" w:space="0" w:color="auto"/>
                    <w:bottom w:val="none" w:sz="0" w:space="0" w:color="auto"/>
                    <w:right w:val="none" w:sz="0" w:space="0" w:color="auto"/>
                  </w:divBdr>
                </w:div>
              </w:divsChild>
            </w:div>
            <w:div w:id="907494647">
              <w:marLeft w:val="0"/>
              <w:marRight w:val="0"/>
              <w:marTop w:val="0"/>
              <w:marBottom w:val="0"/>
              <w:divBdr>
                <w:top w:val="none" w:sz="0" w:space="0" w:color="auto"/>
                <w:left w:val="none" w:sz="0" w:space="0" w:color="auto"/>
                <w:bottom w:val="none" w:sz="0" w:space="0" w:color="auto"/>
                <w:right w:val="none" w:sz="0" w:space="0" w:color="auto"/>
              </w:divBdr>
              <w:divsChild>
                <w:div w:id="1259219182">
                  <w:marLeft w:val="0"/>
                  <w:marRight w:val="0"/>
                  <w:marTop w:val="0"/>
                  <w:marBottom w:val="0"/>
                  <w:divBdr>
                    <w:top w:val="none" w:sz="0" w:space="0" w:color="auto"/>
                    <w:left w:val="none" w:sz="0" w:space="0" w:color="auto"/>
                    <w:bottom w:val="none" w:sz="0" w:space="0" w:color="auto"/>
                    <w:right w:val="none" w:sz="0" w:space="0" w:color="auto"/>
                  </w:divBdr>
                </w:div>
              </w:divsChild>
            </w:div>
            <w:div w:id="1113673728">
              <w:marLeft w:val="0"/>
              <w:marRight w:val="0"/>
              <w:marTop w:val="0"/>
              <w:marBottom w:val="0"/>
              <w:divBdr>
                <w:top w:val="none" w:sz="0" w:space="0" w:color="auto"/>
                <w:left w:val="none" w:sz="0" w:space="0" w:color="auto"/>
                <w:bottom w:val="none" w:sz="0" w:space="0" w:color="auto"/>
                <w:right w:val="none" w:sz="0" w:space="0" w:color="auto"/>
              </w:divBdr>
              <w:divsChild>
                <w:div w:id="1298871575">
                  <w:marLeft w:val="0"/>
                  <w:marRight w:val="0"/>
                  <w:marTop w:val="0"/>
                  <w:marBottom w:val="0"/>
                  <w:divBdr>
                    <w:top w:val="none" w:sz="0" w:space="0" w:color="auto"/>
                    <w:left w:val="none" w:sz="0" w:space="0" w:color="auto"/>
                    <w:bottom w:val="none" w:sz="0" w:space="0" w:color="auto"/>
                    <w:right w:val="none" w:sz="0" w:space="0" w:color="auto"/>
                  </w:divBdr>
                </w:div>
              </w:divsChild>
            </w:div>
            <w:div w:id="1130781303">
              <w:marLeft w:val="0"/>
              <w:marRight w:val="0"/>
              <w:marTop w:val="0"/>
              <w:marBottom w:val="0"/>
              <w:divBdr>
                <w:top w:val="none" w:sz="0" w:space="0" w:color="auto"/>
                <w:left w:val="none" w:sz="0" w:space="0" w:color="auto"/>
                <w:bottom w:val="none" w:sz="0" w:space="0" w:color="auto"/>
                <w:right w:val="none" w:sz="0" w:space="0" w:color="auto"/>
              </w:divBdr>
              <w:divsChild>
                <w:div w:id="1128470118">
                  <w:marLeft w:val="0"/>
                  <w:marRight w:val="0"/>
                  <w:marTop w:val="0"/>
                  <w:marBottom w:val="0"/>
                  <w:divBdr>
                    <w:top w:val="none" w:sz="0" w:space="0" w:color="auto"/>
                    <w:left w:val="none" w:sz="0" w:space="0" w:color="auto"/>
                    <w:bottom w:val="none" w:sz="0" w:space="0" w:color="auto"/>
                    <w:right w:val="none" w:sz="0" w:space="0" w:color="auto"/>
                  </w:divBdr>
                </w:div>
              </w:divsChild>
            </w:div>
            <w:div w:id="1218322245">
              <w:marLeft w:val="0"/>
              <w:marRight w:val="0"/>
              <w:marTop w:val="0"/>
              <w:marBottom w:val="0"/>
              <w:divBdr>
                <w:top w:val="none" w:sz="0" w:space="0" w:color="auto"/>
                <w:left w:val="none" w:sz="0" w:space="0" w:color="auto"/>
                <w:bottom w:val="none" w:sz="0" w:space="0" w:color="auto"/>
                <w:right w:val="none" w:sz="0" w:space="0" w:color="auto"/>
              </w:divBdr>
              <w:divsChild>
                <w:div w:id="951473450">
                  <w:marLeft w:val="0"/>
                  <w:marRight w:val="0"/>
                  <w:marTop w:val="0"/>
                  <w:marBottom w:val="0"/>
                  <w:divBdr>
                    <w:top w:val="none" w:sz="0" w:space="0" w:color="auto"/>
                    <w:left w:val="none" w:sz="0" w:space="0" w:color="auto"/>
                    <w:bottom w:val="none" w:sz="0" w:space="0" w:color="auto"/>
                    <w:right w:val="none" w:sz="0" w:space="0" w:color="auto"/>
                  </w:divBdr>
                </w:div>
              </w:divsChild>
            </w:div>
            <w:div w:id="1350134749">
              <w:marLeft w:val="0"/>
              <w:marRight w:val="0"/>
              <w:marTop w:val="0"/>
              <w:marBottom w:val="0"/>
              <w:divBdr>
                <w:top w:val="none" w:sz="0" w:space="0" w:color="auto"/>
                <w:left w:val="none" w:sz="0" w:space="0" w:color="auto"/>
                <w:bottom w:val="none" w:sz="0" w:space="0" w:color="auto"/>
                <w:right w:val="none" w:sz="0" w:space="0" w:color="auto"/>
              </w:divBdr>
              <w:divsChild>
                <w:div w:id="521436681">
                  <w:marLeft w:val="0"/>
                  <w:marRight w:val="0"/>
                  <w:marTop w:val="0"/>
                  <w:marBottom w:val="0"/>
                  <w:divBdr>
                    <w:top w:val="none" w:sz="0" w:space="0" w:color="auto"/>
                    <w:left w:val="none" w:sz="0" w:space="0" w:color="auto"/>
                    <w:bottom w:val="none" w:sz="0" w:space="0" w:color="auto"/>
                    <w:right w:val="none" w:sz="0" w:space="0" w:color="auto"/>
                  </w:divBdr>
                </w:div>
              </w:divsChild>
            </w:div>
            <w:div w:id="1467894573">
              <w:marLeft w:val="0"/>
              <w:marRight w:val="0"/>
              <w:marTop w:val="0"/>
              <w:marBottom w:val="0"/>
              <w:divBdr>
                <w:top w:val="none" w:sz="0" w:space="0" w:color="auto"/>
                <w:left w:val="none" w:sz="0" w:space="0" w:color="auto"/>
                <w:bottom w:val="none" w:sz="0" w:space="0" w:color="auto"/>
                <w:right w:val="none" w:sz="0" w:space="0" w:color="auto"/>
              </w:divBdr>
              <w:divsChild>
                <w:div w:id="312804424">
                  <w:marLeft w:val="0"/>
                  <w:marRight w:val="0"/>
                  <w:marTop w:val="0"/>
                  <w:marBottom w:val="0"/>
                  <w:divBdr>
                    <w:top w:val="none" w:sz="0" w:space="0" w:color="auto"/>
                    <w:left w:val="none" w:sz="0" w:space="0" w:color="auto"/>
                    <w:bottom w:val="none" w:sz="0" w:space="0" w:color="auto"/>
                    <w:right w:val="none" w:sz="0" w:space="0" w:color="auto"/>
                  </w:divBdr>
                </w:div>
              </w:divsChild>
            </w:div>
            <w:div w:id="1488783078">
              <w:marLeft w:val="0"/>
              <w:marRight w:val="0"/>
              <w:marTop w:val="0"/>
              <w:marBottom w:val="0"/>
              <w:divBdr>
                <w:top w:val="none" w:sz="0" w:space="0" w:color="auto"/>
                <w:left w:val="none" w:sz="0" w:space="0" w:color="auto"/>
                <w:bottom w:val="none" w:sz="0" w:space="0" w:color="auto"/>
                <w:right w:val="none" w:sz="0" w:space="0" w:color="auto"/>
              </w:divBdr>
              <w:divsChild>
                <w:div w:id="539438726">
                  <w:marLeft w:val="0"/>
                  <w:marRight w:val="0"/>
                  <w:marTop w:val="0"/>
                  <w:marBottom w:val="0"/>
                  <w:divBdr>
                    <w:top w:val="none" w:sz="0" w:space="0" w:color="auto"/>
                    <w:left w:val="none" w:sz="0" w:space="0" w:color="auto"/>
                    <w:bottom w:val="none" w:sz="0" w:space="0" w:color="auto"/>
                    <w:right w:val="none" w:sz="0" w:space="0" w:color="auto"/>
                  </w:divBdr>
                </w:div>
              </w:divsChild>
            </w:div>
            <w:div w:id="1503861987">
              <w:marLeft w:val="0"/>
              <w:marRight w:val="0"/>
              <w:marTop w:val="0"/>
              <w:marBottom w:val="0"/>
              <w:divBdr>
                <w:top w:val="none" w:sz="0" w:space="0" w:color="auto"/>
                <w:left w:val="none" w:sz="0" w:space="0" w:color="auto"/>
                <w:bottom w:val="none" w:sz="0" w:space="0" w:color="auto"/>
                <w:right w:val="none" w:sz="0" w:space="0" w:color="auto"/>
              </w:divBdr>
              <w:divsChild>
                <w:div w:id="707534038">
                  <w:marLeft w:val="0"/>
                  <w:marRight w:val="0"/>
                  <w:marTop w:val="0"/>
                  <w:marBottom w:val="0"/>
                  <w:divBdr>
                    <w:top w:val="none" w:sz="0" w:space="0" w:color="auto"/>
                    <w:left w:val="none" w:sz="0" w:space="0" w:color="auto"/>
                    <w:bottom w:val="none" w:sz="0" w:space="0" w:color="auto"/>
                    <w:right w:val="none" w:sz="0" w:space="0" w:color="auto"/>
                  </w:divBdr>
                </w:div>
              </w:divsChild>
            </w:div>
            <w:div w:id="1513059515">
              <w:marLeft w:val="0"/>
              <w:marRight w:val="0"/>
              <w:marTop w:val="0"/>
              <w:marBottom w:val="0"/>
              <w:divBdr>
                <w:top w:val="none" w:sz="0" w:space="0" w:color="auto"/>
                <w:left w:val="none" w:sz="0" w:space="0" w:color="auto"/>
                <w:bottom w:val="none" w:sz="0" w:space="0" w:color="auto"/>
                <w:right w:val="none" w:sz="0" w:space="0" w:color="auto"/>
              </w:divBdr>
              <w:divsChild>
                <w:div w:id="637034705">
                  <w:marLeft w:val="0"/>
                  <w:marRight w:val="0"/>
                  <w:marTop w:val="0"/>
                  <w:marBottom w:val="0"/>
                  <w:divBdr>
                    <w:top w:val="none" w:sz="0" w:space="0" w:color="auto"/>
                    <w:left w:val="none" w:sz="0" w:space="0" w:color="auto"/>
                    <w:bottom w:val="none" w:sz="0" w:space="0" w:color="auto"/>
                    <w:right w:val="none" w:sz="0" w:space="0" w:color="auto"/>
                  </w:divBdr>
                </w:div>
              </w:divsChild>
            </w:div>
            <w:div w:id="1614940084">
              <w:marLeft w:val="0"/>
              <w:marRight w:val="0"/>
              <w:marTop w:val="0"/>
              <w:marBottom w:val="0"/>
              <w:divBdr>
                <w:top w:val="none" w:sz="0" w:space="0" w:color="auto"/>
                <w:left w:val="none" w:sz="0" w:space="0" w:color="auto"/>
                <w:bottom w:val="none" w:sz="0" w:space="0" w:color="auto"/>
                <w:right w:val="none" w:sz="0" w:space="0" w:color="auto"/>
              </w:divBdr>
              <w:divsChild>
                <w:div w:id="1686129528">
                  <w:marLeft w:val="0"/>
                  <w:marRight w:val="0"/>
                  <w:marTop w:val="0"/>
                  <w:marBottom w:val="0"/>
                  <w:divBdr>
                    <w:top w:val="none" w:sz="0" w:space="0" w:color="auto"/>
                    <w:left w:val="none" w:sz="0" w:space="0" w:color="auto"/>
                    <w:bottom w:val="none" w:sz="0" w:space="0" w:color="auto"/>
                    <w:right w:val="none" w:sz="0" w:space="0" w:color="auto"/>
                  </w:divBdr>
                </w:div>
              </w:divsChild>
            </w:div>
            <w:div w:id="1628268627">
              <w:marLeft w:val="0"/>
              <w:marRight w:val="0"/>
              <w:marTop w:val="0"/>
              <w:marBottom w:val="0"/>
              <w:divBdr>
                <w:top w:val="none" w:sz="0" w:space="0" w:color="auto"/>
                <w:left w:val="none" w:sz="0" w:space="0" w:color="auto"/>
                <w:bottom w:val="none" w:sz="0" w:space="0" w:color="auto"/>
                <w:right w:val="none" w:sz="0" w:space="0" w:color="auto"/>
              </w:divBdr>
              <w:divsChild>
                <w:div w:id="2117479883">
                  <w:marLeft w:val="0"/>
                  <w:marRight w:val="0"/>
                  <w:marTop w:val="0"/>
                  <w:marBottom w:val="0"/>
                  <w:divBdr>
                    <w:top w:val="none" w:sz="0" w:space="0" w:color="auto"/>
                    <w:left w:val="none" w:sz="0" w:space="0" w:color="auto"/>
                    <w:bottom w:val="none" w:sz="0" w:space="0" w:color="auto"/>
                    <w:right w:val="none" w:sz="0" w:space="0" w:color="auto"/>
                  </w:divBdr>
                </w:div>
              </w:divsChild>
            </w:div>
            <w:div w:id="1648708705">
              <w:marLeft w:val="0"/>
              <w:marRight w:val="0"/>
              <w:marTop w:val="0"/>
              <w:marBottom w:val="0"/>
              <w:divBdr>
                <w:top w:val="none" w:sz="0" w:space="0" w:color="auto"/>
                <w:left w:val="none" w:sz="0" w:space="0" w:color="auto"/>
                <w:bottom w:val="none" w:sz="0" w:space="0" w:color="auto"/>
                <w:right w:val="none" w:sz="0" w:space="0" w:color="auto"/>
              </w:divBdr>
              <w:divsChild>
                <w:div w:id="1555964279">
                  <w:marLeft w:val="0"/>
                  <w:marRight w:val="0"/>
                  <w:marTop w:val="0"/>
                  <w:marBottom w:val="0"/>
                  <w:divBdr>
                    <w:top w:val="none" w:sz="0" w:space="0" w:color="auto"/>
                    <w:left w:val="none" w:sz="0" w:space="0" w:color="auto"/>
                    <w:bottom w:val="none" w:sz="0" w:space="0" w:color="auto"/>
                    <w:right w:val="none" w:sz="0" w:space="0" w:color="auto"/>
                  </w:divBdr>
                </w:div>
              </w:divsChild>
            </w:div>
            <w:div w:id="1715689485">
              <w:marLeft w:val="0"/>
              <w:marRight w:val="0"/>
              <w:marTop w:val="0"/>
              <w:marBottom w:val="0"/>
              <w:divBdr>
                <w:top w:val="none" w:sz="0" w:space="0" w:color="auto"/>
                <w:left w:val="none" w:sz="0" w:space="0" w:color="auto"/>
                <w:bottom w:val="none" w:sz="0" w:space="0" w:color="auto"/>
                <w:right w:val="none" w:sz="0" w:space="0" w:color="auto"/>
              </w:divBdr>
              <w:divsChild>
                <w:div w:id="1569535936">
                  <w:marLeft w:val="0"/>
                  <w:marRight w:val="0"/>
                  <w:marTop w:val="0"/>
                  <w:marBottom w:val="0"/>
                  <w:divBdr>
                    <w:top w:val="none" w:sz="0" w:space="0" w:color="auto"/>
                    <w:left w:val="none" w:sz="0" w:space="0" w:color="auto"/>
                    <w:bottom w:val="none" w:sz="0" w:space="0" w:color="auto"/>
                    <w:right w:val="none" w:sz="0" w:space="0" w:color="auto"/>
                  </w:divBdr>
                </w:div>
              </w:divsChild>
            </w:div>
            <w:div w:id="1795754488">
              <w:marLeft w:val="0"/>
              <w:marRight w:val="0"/>
              <w:marTop w:val="0"/>
              <w:marBottom w:val="0"/>
              <w:divBdr>
                <w:top w:val="none" w:sz="0" w:space="0" w:color="auto"/>
                <w:left w:val="none" w:sz="0" w:space="0" w:color="auto"/>
                <w:bottom w:val="none" w:sz="0" w:space="0" w:color="auto"/>
                <w:right w:val="none" w:sz="0" w:space="0" w:color="auto"/>
              </w:divBdr>
              <w:divsChild>
                <w:div w:id="177283080">
                  <w:marLeft w:val="0"/>
                  <w:marRight w:val="0"/>
                  <w:marTop w:val="0"/>
                  <w:marBottom w:val="0"/>
                  <w:divBdr>
                    <w:top w:val="none" w:sz="0" w:space="0" w:color="auto"/>
                    <w:left w:val="none" w:sz="0" w:space="0" w:color="auto"/>
                    <w:bottom w:val="none" w:sz="0" w:space="0" w:color="auto"/>
                    <w:right w:val="none" w:sz="0" w:space="0" w:color="auto"/>
                  </w:divBdr>
                </w:div>
              </w:divsChild>
            </w:div>
            <w:div w:id="1815028572">
              <w:marLeft w:val="0"/>
              <w:marRight w:val="0"/>
              <w:marTop w:val="0"/>
              <w:marBottom w:val="0"/>
              <w:divBdr>
                <w:top w:val="none" w:sz="0" w:space="0" w:color="auto"/>
                <w:left w:val="none" w:sz="0" w:space="0" w:color="auto"/>
                <w:bottom w:val="none" w:sz="0" w:space="0" w:color="auto"/>
                <w:right w:val="none" w:sz="0" w:space="0" w:color="auto"/>
              </w:divBdr>
              <w:divsChild>
                <w:div w:id="1697852699">
                  <w:marLeft w:val="0"/>
                  <w:marRight w:val="0"/>
                  <w:marTop w:val="0"/>
                  <w:marBottom w:val="0"/>
                  <w:divBdr>
                    <w:top w:val="none" w:sz="0" w:space="0" w:color="auto"/>
                    <w:left w:val="none" w:sz="0" w:space="0" w:color="auto"/>
                    <w:bottom w:val="none" w:sz="0" w:space="0" w:color="auto"/>
                    <w:right w:val="none" w:sz="0" w:space="0" w:color="auto"/>
                  </w:divBdr>
                </w:div>
              </w:divsChild>
            </w:div>
            <w:div w:id="1981612090">
              <w:marLeft w:val="0"/>
              <w:marRight w:val="0"/>
              <w:marTop w:val="0"/>
              <w:marBottom w:val="0"/>
              <w:divBdr>
                <w:top w:val="none" w:sz="0" w:space="0" w:color="auto"/>
                <w:left w:val="none" w:sz="0" w:space="0" w:color="auto"/>
                <w:bottom w:val="none" w:sz="0" w:space="0" w:color="auto"/>
                <w:right w:val="none" w:sz="0" w:space="0" w:color="auto"/>
              </w:divBdr>
              <w:divsChild>
                <w:div w:id="18823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2404">
      <w:bodyDiv w:val="1"/>
      <w:marLeft w:val="0"/>
      <w:marRight w:val="0"/>
      <w:marTop w:val="0"/>
      <w:marBottom w:val="0"/>
      <w:divBdr>
        <w:top w:val="none" w:sz="0" w:space="0" w:color="auto"/>
        <w:left w:val="none" w:sz="0" w:space="0" w:color="auto"/>
        <w:bottom w:val="none" w:sz="0" w:space="0" w:color="auto"/>
        <w:right w:val="none" w:sz="0" w:space="0" w:color="auto"/>
      </w:divBdr>
    </w:div>
    <w:div w:id="1899783394">
      <w:bodyDiv w:val="1"/>
      <w:marLeft w:val="0"/>
      <w:marRight w:val="0"/>
      <w:marTop w:val="0"/>
      <w:marBottom w:val="0"/>
      <w:divBdr>
        <w:top w:val="none" w:sz="0" w:space="0" w:color="auto"/>
        <w:left w:val="none" w:sz="0" w:space="0" w:color="auto"/>
        <w:bottom w:val="none" w:sz="0" w:space="0" w:color="auto"/>
        <w:right w:val="none" w:sz="0" w:space="0" w:color="auto"/>
      </w:divBdr>
    </w:div>
    <w:div w:id="1901212044">
      <w:bodyDiv w:val="1"/>
      <w:marLeft w:val="0"/>
      <w:marRight w:val="0"/>
      <w:marTop w:val="0"/>
      <w:marBottom w:val="0"/>
      <w:divBdr>
        <w:top w:val="none" w:sz="0" w:space="0" w:color="auto"/>
        <w:left w:val="none" w:sz="0" w:space="0" w:color="auto"/>
        <w:bottom w:val="none" w:sz="0" w:space="0" w:color="auto"/>
        <w:right w:val="none" w:sz="0" w:space="0" w:color="auto"/>
      </w:divBdr>
    </w:div>
    <w:div w:id="1923030294">
      <w:bodyDiv w:val="1"/>
      <w:marLeft w:val="0"/>
      <w:marRight w:val="0"/>
      <w:marTop w:val="0"/>
      <w:marBottom w:val="0"/>
      <w:divBdr>
        <w:top w:val="none" w:sz="0" w:space="0" w:color="auto"/>
        <w:left w:val="none" w:sz="0" w:space="0" w:color="auto"/>
        <w:bottom w:val="none" w:sz="0" w:space="0" w:color="auto"/>
        <w:right w:val="none" w:sz="0" w:space="0" w:color="auto"/>
      </w:divBdr>
    </w:div>
    <w:div w:id="1923682876">
      <w:bodyDiv w:val="1"/>
      <w:marLeft w:val="0"/>
      <w:marRight w:val="0"/>
      <w:marTop w:val="0"/>
      <w:marBottom w:val="0"/>
      <w:divBdr>
        <w:top w:val="none" w:sz="0" w:space="0" w:color="auto"/>
        <w:left w:val="none" w:sz="0" w:space="0" w:color="auto"/>
        <w:bottom w:val="none" w:sz="0" w:space="0" w:color="auto"/>
        <w:right w:val="none" w:sz="0" w:space="0" w:color="auto"/>
      </w:divBdr>
    </w:div>
    <w:div w:id="1944990269">
      <w:bodyDiv w:val="1"/>
      <w:marLeft w:val="0"/>
      <w:marRight w:val="0"/>
      <w:marTop w:val="0"/>
      <w:marBottom w:val="0"/>
      <w:divBdr>
        <w:top w:val="none" w:sz="0" w:space="0" w:color="auto"/>
        <w:left w:val="none" w:sz="0" w:space="0" w:color="auto"/>
        <w:bottom w:val="none" w:sz="0" w:space="0" w:color="auto"/>
        <w:right w:val="none" w:sz="0" w:space="0" w:color="auto"/>
      </w:divBdr>
    </w:div>
    <w:div w:id="1948149818">
      <w:bodyDiv w:val="1"/>
      <w:marLeft w:val="0"/>
      <w:marRight w:val="0"/>
      <w:marTop w:val="0"/>
      <w:marBottom w:val="0"/>
      <w:divBdr>
        <w:top w:val="none" w:sz="0" w:space="0" w:color="auto"/>
        <w:left w:val="none" w:sz="0" w:space="0" w:color="auto"/>
        <w:bottom w:val="none" w:sz="0" w:space="0" w:color="auto"/>
        <w:right w:val="none" w:sz="0" w:space="0" w:color="auto"/>
      </w:divBdr>
      <w:divsChild>
        <w:div w:id="1009523280">
          <w:marLeft w:val="0"/>
          <w:marRight w:val="30"/>
          <w:marTop w:val="0"/>
          <w:marBottom w:val="0"/>
          <w:divBdr>
            <w:top w:val="none" w:sz="0" w:space="0" w:color="auto"/>
            <w:left w:val="none" w:sz="0" w:space="0" w:color="auto"/>
            <w:bottom w:val="none" w:sz="0" w:space="0" w:color="auto"/>
            <w:right w:val="none" w:sz="0" w:space="0" w:color="auto"/>
          </w:divBdr>
          <w:divsChild>
            <w:div w:id="2049259052">
              <w:marLeft w:val="0"/>
              <w:marRight w:val="0"/>
              <w:marTop w:val="0"/>
              <w:marBottom w:val="0"/>
              <w:divBdr>
                <w:top w:val="none" w:sz="0" w:space="0" w:color="auto"/>
                <w:left w:val="none" w:sz="0" w:space="0" w:color="auto"/>
                <w:bottom w:val="none" w:sz="0" w:space="0" w:color="auto"/>
                <w:right w:val="none" w:sz="0" w:space="0" w:color="auto"/>
              </w:divBdr>
              <w:divsChild>
                <w:div w:id="1671176678">
                  <w:marLeft w:val="0"/>
                  <w:marRight w:val="0"/>
                  <w:marTop w:val="0"/>
                  <w:marBottom w:val="0"/>
                  <w:divBdr>
                    <w:top w:val="none" w:sz="0" w:space="0" w:color="auto"/>
                    <w:left w:val="none" w:sz="0" w:space="0" w:color="auto"/>
                    <w:bottom w:val="none" w:sz="0" w:space="0" w:color="auto"/>
                    <w:right w:val="none" w:sz="0" w:space="0" w:color="auto"/>
                  </w:divBdr>
                  <w:divsChild>
                    <w:div w:id="9793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9245">
      <w:bodyDiv w:val="1"/>
      <w:marLeft w:val="0"/>
      <w:marRight w:val="0"/>
      <w:marTop w:val="0"/>
      <w:marBottom w:val="0"/>
      <w:divBdr>
        <w:top w:val="none" w:sz="0" w:space="0" w:color="auto"/>
        <w:left w:val="none" w:sz="0" w:space="0" w:color="auto"/>
        <w:bottom w:val="none" w:sz="0" w:space="0" w:color="auto"/>
        <w:right w:val="none" w:sz="0" w:space="0" w:color="auto"/>
      </w:divBdr>
    </w:div>
    <w:div w:id="1963533815">
      <w:bodyDiv w:val="1"/>
      <w:marLeft w:val="0"/>
      <w:marRight w:val="0"/>
      <w:marTop w:val="0"/>
      <w:marBottom w:val="0"/>
      <w:divBdr>
        <w:top w:val="none" w:sz="0" w:space="0" w:color="auto"/>
        <w:left w:val="none" w:sz="0" w:space="0" w:color="auto"/>
        <w:bottom w:val="none" w:sz="0" w:space="0" w:color="auto"/>
        <w:right w:val="none" w:sz="0" w:space="0" w:color="auto"/>
      </w:divBdr>
    </w:div>
    <w:div w:id="1968077527">
      <w:bodyDiv w:val="1"/>
      <w:marLeft w:val="0"/>
      <w:marRight w:val="0"/>
      <w:marTop w:val="0"/>
      <w:marBottom w:val="0"/>
      <w:divBdr>
        <w:top w:val="none" w:sz="0" w:space="0" w:color="auto"/>
        <w:left w:val="none" w:sz="0" w:space="0" w:color="auto"/>
        <w:bottom w:val="none" w:sz="0" w:space="0" w:color="auto"/>
        <w:right w:val="none" w:sz="0" w:space="0" w:color="auto"/>
      </w:divBdr>
    </w:div>
    <w:div w:id="1968971582">
      <w:bodyDiv w:val="1"/>
      <w:marLeft w:val="0"/>
      <w:marRight w:val="0"/>
      <w:marTop w:val="0"/>
      <w:marBottom w:val="0"/>
      <w:divBdr>
        <w:top w:val="none" w:sz="0" w:space="0" w:color="auto"/>
        <w:left w:val="none" w:sz="0" w:space="0" w:color="auto"/>
        <w:bottom w:val="none" w:sz="0" w:space="0" w:color="auto"/>
        <w:right w:val="none" w:sz="0" w:space="0" w:color="auto"/>
      </w:divBdr>
    </w:div>
    <w:div w:id="1973555133">
      <w:bodyDiv w:val="1"/>
      <w:marLeft w:val="0"/>
      <w:marRight w:val="0"/>
      <w:marTop w:val="0"/>
      <w:marBottom w:val="0"/>
      <w:divBdr>
        <w:top w:val="none" w:sz="0" w:space="0" w:color="auto"/>
        <w:left w:val="none" w:sz="0" w:space="0" w:color="auto"/>
        <w:bottom w:val="none" w:sz="0" w:space="0" w:color="auto"/>
        <w:right w:val="none" w:sz="0" w:space="0" w:color="auto"/>
      </w:divBdr>
      <w:divsChild>
        <w:div w:id="39133957">
          <w:marLeft w:val="0"/>
          <w:marRight w:val="0"/>
          <w:marTop w:val="0"/>
          <w:marBottom w:val="0"/>
          <w:divBdr>
            <w:top w:val="none" w:sz="0" w:space="0" w:color="auto"/>
            <w:left w:val="none" w:sz="0" w:space="0" w:color="auto"/>
            <w:bottom w:val="none" w:sz="0" w:space="0" w:color="auto"/>
            <w:right w:val="none" w:sz="0" w:space="0" w:color="auto"/>
          </w:divBdr>
        </w:div>
        <w:div w:id="198710149">
          <w:marLeft w:val="0"/>
          <w:marRight w:val="0"/>
          <w:marTop w:val="0"/>
          <w:marBottom w:val="0"/>
          <w:divBdr>
            <w:top w:val="none" w:sz="0" w:space="0" w:color="auto"/>
            <w:left w:val="none" w:sz="0" w:space="0" w:color="auto"/>
            <w:bottom w:val="none" w:sz="0" w:space="0" w:color="auto"/>
            <w:right w:val="none" w:sz="0" w:space="0" w:color="auto"/>
          </w:divBdr>
        </w:div>
        <w:div w:id="253443796">
          <w:marLeft w:val="0"/>
          <w:marRight w:val="0"/>
          <w:marTop w:val="0"/>
          <w:marBottom w:val="0"/>
          <w:divBdr>
            <w:top w:val="none" w:sz="0" w:space="0" w:color="auto"/>
            <w:left w:val="none" w:sz="0" w:space="0" w:color="auto"/>
            <w:bottom w:val="none" w:sz="0" w:space="0" w:color="auto"/>
            <w:right w:val="none" w:sz="0" w:space="0" w:color="auto"/>
          </w:divBdr>
        </w:div>
        <w:div w:id="321590096">
          <w:marLeft w:val="0"/>
          <w:marRight w:val="0"/>
          <w:marTop w:val="0"/>
          <w:marBottom w:val="0"/>
          <w:divBdr>
            <w:top w:val="none" w:sz="0" w:space="0" w:color="auto"/>
            <w:left w:val="none" w:sz="0" w:space="0" w:color="auto"/>
            <w:bottom w:val="none" w:sz="0" w:space="0" w:color="auto"/>
            <w:right w:val="none" w:sz="0" w:space="0" w:color="auto"/>
          </w:divBdr>
        </w:div>
        <w:div w:id="402873086">
          <w:marLeft w:val="0"/>
          <w:marRight w:val="0"/>
          <w:marTop w:val="0"/>
          <w:marBottom w:val="0"/>
          <w:divBdr>
            <w:top w:val="none" w:sz="0" w:space="0" w:color="auto"/>
            <w:left w:val="none" w:sz="0" w:space="0" w:color="auto"/>
            <w:bottom w:val="none" w:sz="0" w:space="0" w:color="auto"/>
            <w:right w:val="none" w:sz="0" w:space="0" w:color="auto"/>
          </w:divBdr>
        </w:div>
        <w:div w:id="501624479">
          <w:marLeft w:val="0"/>
          <w:marRight w:val="0"/>
          <w:marTop w:val="0"/>
          <w:marBottom w:val="0"/>
          <w:divBdr>
            <w:top w:val="none" w:sz="0" w:space="0" w:color="auto"/>
            <w:left w:val="none" w:sz="0" w:space="0" w:color="auto"/>
            <w:bottom w:val="none" w:sz="0" w:space="0" w:color="auto"/>
            <w:right w:val="none" w:sz="0" w:space="0" w:color="auto"/>
          </w:divBdr>
        </w:div>
        <w:div w:id="505443343">
          <w:marLeft w:val="0"/>
          <w:marRight w:val="0"/>
          <w:marTop w:val="0"/>
          <w:marBottom w:val="0"/>
          <w:divBdr>
            <w:top w:val="none" w:sz="0" w:space="0" w:color="auto"/>
            <w:left w:val="none" w:sz="0" w:space="0" w:color="auto"/>
            <w:bottom w:val="none" w:sz="0" w:space="0" w:color="auto"/>
            <w:right w:val="none" w:sz="0" w:space="0" w:color="auto"/>
          </w:divBdr>
        </w:div>
        <w:div w:id="590160327">
          <w:marLeft w:val="0"/>
          <w:marRight w:val="0"/>
          <w:marTop w:val="0"/>
          <w:marBottom w:val="0"/>
          <w:divBdr>
            <w:top w:val="none" w:sz="0" w:space="0" w:color="auto"/>
            <w:left w:val="none" w:sz="0" w:space="0" w:color="auto"/>
            <w:bottom w:val="none" w:sz="0" w:space="0" w:color="auto"/>
            <w:right w:val="none" w:sz="0" w:space="0" w:color="auto"/>
          </w:divBdr>
        </w:div>
        <w:div w:id="668826098">
          <w:marLeft w:val="0"/>
          <w:marRight w:val="0"/>
          <w:marTop w:val="0"/>
          <w:marBottom w:val="0"/>
          <w:divBdr>
            <w:top w:val="none" w:sz="0" w:space="0" w:color="auto"/>
            <w:left w:val="none" w:sz="0" w:space="0" w:color="auto"/>
            <w:bottom w:val="none" w:sz="0" w:space="0" w:color="auto"/>
            <w:right w:val="none" w:sz="0" w:space="0" w:color="auto"/>
          </w:divBdr>
        </w:div>
        <w:div w:id="829518023">
          <w:marLeft w:val="0"/>
          <w:marRight w:val="0"/>
          <w:marTop w:val="0"/>
          <w:marBottom w:val="0"/>
          <w:divBdr>
            <w:top w:val="none" w:sz="0" w:space="0" w:color="auto"/>
            <w:left w:val="none" w:sz="0" w:space="0" w:color="auto"/>
            <w:bottom w:val="none" w:sz="0" w:space="0" w:color="auto"/>
            <w:right w:val="none" w:sz="0" w:space="0" w:color="auto"/>
          </w:divBdr>
        </w:div>
        <w:div w:id="1104617679">
          <w:marLeft w:val="0"/>
          <w:marRight w:val="0"/>
          <w:marTop w:val="0"/>
          <w:marBottom w:val="0"/>
          <w:divBdr>
            <w:top w:val="none" w:sz="0" w:space="0" w:color="auto"/>
            <w:left w:val="none" w:sz="0" w:space="0" w:color="auto"/>
            <w:bottom w:val="none" w:sz="0" w:space="0" w:color="auto"/>
            <w:right w:val="none" w:sz="0" w:space="0" w:color="auto"/>
          </w:divBdr>
        </w:div>
        <w:div w:id="1131677222">
          <w:marLeft w:val="0"/>
          <w:marRight w:val="0"/>
          <w:marTop w:val="0"/>
          <w:marBottom w:val="0"/>
          <w:divBdr>
            <w:top w:val="none" w:sz="0" w:space="0" w:color="auto"/>
            <w:left w:val="none" w:sz="0" w:space="0" w:color="auto"/>
            <w:bottom w:val="none" w:sz="0" w:space="0" w:color="auto"/>
            <w:right w:val="none" w:sz="0" w:space="0" w:color="auto"/>
          </w:divBdr>
        </w:div>
        <w:div w:id="1492595067">
          <w:marLeft w:val="0"/>
          <w:marRight w:val="0"/>
          <w:marTop w:val="0"/>
          <w:marBottom w:val="0"/>
          <w:divBdr>
            <w:top w:val="none" w:sz="0" w:space="0" w:color="auto"/>
            <w:left w:val="none" w:sz="0" w:space="0" w:color="auto"/>
            <w:bottom w:val="none" w:sz="0" w:space="0" w:color="auto"/>
            <w:right w:val="none" w:sz="0" w:space="0" w:color="auto"/>
          </w:divBdr>
        </w:div>
        <w:div w:id="1588490991">
          <w:marLeft w:val="0"/>
          <w:marRight w:val="0"/>
          <w:marTop w:val="0"/>
          <w:marBottom w:val="0"/>
          <w:divBdr>
            <w:top w:val="none" w:sz="0" w:space="0" w:color="auto"/>
            <w:left w:val="none" w:sz="0" w:space="0" w:color="auto"/>
            <w:bottom w:val="none" w:sz="0" w:space="0" w:color="auto"/>
            <w:right w:val="none" w:sz="0" w:space="0" w:color="auto"/>
          </w:divBdr>
        </w:div>
        <w:div w:id="1665429402">
          <w:marLeft w:val="0"/>
          <w:marRight w:val="0"/>
          <w:marTop w:val="0"/>
          <w:marBottom w:val="0"/>
          <w:divBdr>
            <w:top w:val="none" w:sz="0" w:space="0" w:color="auto"/>
            <w:left w:val="none" w:sz="0" w:space="0" w:color="auto"/>
            <w:bottom w:val="none" w:sz="0" w:space="0" w:color="auto"/>
            <w:right w:val="none" w:sz="0" w:space="0" w:color="auto"/>
          </w:divBdr>
        </w:div>
        <w:div w:id="1678658000">
          <w:marLeft w:val="0"/>
          <w:marRight w:val="0"/>
          <w:marTop w:val="0"/>
          <w:marBottom w:val="0"/>
          <w:divBdr>
            <w:top w:val="none" w:sz="0" w:space="0" w:color="auto"/>
            <w:left w:val="none" w:sz="0" w:space="0" w:color="auto"/>
            <w:bottom w:val="none" w:sz="0" w:space="0" w:color="auto"/>
            <w:right w:val="none" w:sz="0" w:space="0" w:color="auto"/>
          </w:divBdr>
        </w:div>
        <w:div w:id="1741367819">
          <w:marLeft w:val="0"/>
          <w:marRight w:val="0"/>
          <w:marTop w:val="0"/>
          <w:marBottom w:val="0"/>
          <w:divBdr>
            <w:top w:val="none" w:sz="0" w:space="0" w:color="auto"/>
            <w:left w:val="none" w:sz="0" w:space="0" w:color="auto"/>
            <w:bottom w:val="none" w:sz="0" w:space="0" w:color="auto"/>
            <w:right w:val="none" w:sz="0" w:space="0" w:color="auto"/>
          </w:divBdr>
        </w:div>
        <w:div w:id="1793598673">
          <w:marLeft w:val="0"/>
          <w:marRight w:val="0"/>
          <w:marTop w:val="0"/>
          <w:marBottom w:val="0"/>
          <w:divBdr>
            <w:top w:val="none" w:sz="0" w:space="0" w:color="auto"/>
            <w:left w:val="none" w:sz="0" w:space="0" w:color="auto"/>
            <w:bottom w:val="none" w:sz="0" w:space="0" w:color="auto"/>
            <w:right w:val="none" w:sz="0" w:space="0" w:color="auto"/>
          </w:divBdr>
        </w:div>
        <w:div w:id="1905873016">
          <w:marLeft w:val="0"/>
          <w:marRight w:val="0"/>
          <w:marTop w:val="0"/>
          <w:marBottom w:val="0"/>
          <w:divBdr>
            <w:top w:val="none" w:sz="0" w:space="0" w:color="auto"/>
            <w:left w:val="none" w:sz="0" w:space="0" w:color="auto"/>
            <w:bottom w:val="none" w:sz="0" w:space="0" w:color="auto"/>
            <w:right w:val="none" w:sz="0" w:space="0" w:color="auto"/>
          </w:divBdr>
        </w:div>
        <w:div w:id="2116511612">
          <w:marLeft w:val="0"/>
          <w:marRight w:val="0"/>
          <w:marTop w:val="0"/>
          <w:marBottom w:val="0"/>
          <w:divBdr>
            <w:top w:val="none" w:sz="0" w:space="0" w:color="auto"/>
            <w:left w:val="none" w:sz="0" w:space="0" w:color="auto"/>
            <w:bottom w:val="none" w:sz="0" w:space="0" w:color="auto"/>
            <w:right w:val="none" w:sz="0" w:space="0" w:color="auto"/>
          </w:divBdr>
        </w:div>
      </w:divsChild>
    </w:div>
    <w:div w:id="1975410280">
      <w:bodyDiv w:val="1"/>
      <w:marLeft w:val="0"/>
      <w:marRight w:val="0"/>
      <w:marTop w:val="0"/>
      <w:marBottom w:val="0"/>
      <w:divBdr>
        <w:top w:val="none" w:sz="0" w:space="0" w:color="auto"/>
        <w:left w:val="none" w:sz="0" w:space="0" w:color="auto"/>
        <w:bottom w:val="none" w:sz="0" w:space="0" w:color="auto"/>
        <w:right w:val="none" w:sz="0" w:space="0" w:color="auto"/>
      </w:divBdr>
    </w:div>
    <w:div w:id="1978030354">
      <w:bodyDiv w:val="1"/>
      <w:marLeft w:val="0"/>
      <w:marRight w:val="0"/>
      <w:marTop w:val="0"/>
      <w:marBottom w:val="0"/>
      <w:divBdr>
        <w:top w:val="none" w:sz="0" w:space="0" w:color="auto"/>
        <w:left w:val="none" w:sz="0" w:space="0" w:color="auto"/>
        <w:bottom w:val="none" w:sz="0" w:space="0" w:color="auto"/>
        <w:right w:val="none" w:sz="0" w:space="0" w:color="auto"/>
      </w:divBdr>
    </w:div>
    <w:div w:id="1983849864">
      <w:bodyDiv w:val="1"/>
      <w:marLeft w:val="0"/>
      <w:marRight w:val="0"/>
      <w:marTop w:val="0"/>
      <w:marBottom w:val="0"/>
      <w:divBdr>
        <w:top w:val="none" w:sz="0" w:space="0" w:color="auto"/>
        <w:left w:val="none" w:sz="0" w:space="0" w:color="auto"/>
        <w:bottom w:val="none" w:sz="0" w:space="0" w:color="auto"/>
        <w:right w:val="none" w:sz="0" w:space="0" w:color="auto"/>
      </w:divBdr>
      <w:divsChild>
        <w:div w:id="527372217">
          <w:marLeft w:val="0"/>
          <w:marRight w:val="0"/>
          <w:marTop w:val="0"/>
          <w:marBottom w:val="0"/>
          <w:divBdr>
            <w:top w:val="none" w:sz="0" w:space="0" w:color="auto"/>
            <w:left w:val="none" w:sz="0" w:space="0" w:color="auto"/>
            <w:bottom w:val="none" w:sz="0" w:space="0" w:color="auto"/>
            <w:right w:val="none" w:sz="0" w:space="0" w:color="auto"/>
          </w:divBdr>
          <w:divsChild>
            <w:div w:id="982079268">
              <w:marLeft w:val="0"/>
              <w:marRight w:val="0"/>
              <w:marTop w:val="0"/>
              <w:marBottom w:val="0"/>
              <w:divBdr>
                <w:top w:val="none" w:sz="0" w:space="0" w:color="auto"/>
                <w:left w:val="none" w:sz="0" w:space="0" w:color="auto"/>
                <w:bottom w:val="none" w:sz="0" w:space="0" w:color="auto"/>
                <w:right w:val="none" w:sz="0" w:space="0" w:color="auto"/>
              </w:divBdr>
            </w:div>
            <w:div w:id="1644580964">
              <w:marLeft w:val="0"/>
              <w:marRight w:val="0"/>
              <w:marTop w:val="0"/>
              <w:marBottom w:val="0"/>
              <w:divBdr>
                <w:top w:val="none" w:sz="0" w:space="0" w:color="auto"/>
                <w:left w:val="none" w:sz="0" w:space="0" w:color="auto"/>
                <w:bottom w:val="none" w:sz="0" w:space="0" w:color="auto"/>
                <w:right w:val="none" w:sz="0" w:space="0" w:color="auto"/>
              </w:divBdr>
            </w:div>
          </w:divsChild>
        </w:div>
        <w:div w:id="1120152899">
          <w:marLeft w:val="0"/>
          <w:marRight w:val="0"/>
          <w:marTop w:val="0"/>
          <w:marBottom w:val="0"/>
          <w:divBdr>
            <w:top w:val="none" w:sz="0" w:space="0" w:color="auto"/>
            <w:left w:val="none" w:sz="0" w:space="0" w:color="auto"/>
            <w:bottom w:val="none" w:sz="0" w:space="0" w:color="auto"/>
            <w:right w:val="none" w:sz="0" w:space="0" w:color="auto"/>
          </w:divBdr>
          <w:divsChild>
            <w:div w:id="415788751">
              <w:marLeft w:val="0"/>
              <w:marRight w:val="0"/>
              <w:marTop w:val="0"/>
              <w:marBottom w:val="0"/>
              <w:divBdr>
                <w:top w:val="none" w:sz="0" w:space="0" w:color="auto"/>
                <w:left w:val="none" w:sz="0" w:space="0" w:color="auto"/>
                <w:bottom w:val="none" w:sz="0" w:space="0" w:color="auto"/>
                <w:right w:val="none" w:sz="0" w:space="0" w:color="auto"/>
              </w:divBdr>
            </w:div>
            <w:div w:id="805201422">
              <w:marLeft w:val="0"/>
              <w:marRight w:val="0"/>
              <w:marTop w:val="0"/>
              <w:marBottom w:val="0"/>
              <w:divBdr>
                <w:top w:val="none" w:sz="0" w:space="0" w:color="auto"/>
                <w:left w:val="none" w:sz="0" w:space="0" w:color="auto"/>
                <w:bottom w:val="none" w:sz="0" w:space="0" w:color="auto"/>
                <w:right w:val="none" w:sz="0" w:space="0" w:color="auto"/>
              </w:divBdr>
            </w:div>
            <w:div w:id="101646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99510">
      <w:bodyDiv w:val="1"/>
      <w:marLeft w:val="0"/>
      <w:marRight w:val="0"/>
      <w:marTop w:val="0"/>
      <w:marBottom w:val="0"/>
      <w:divBdr>
        <w:top w:val="none" w:sz="0" w:space="0" w:color="auto"/>
        <w:left w:val="none" w:sz="0" w:space="0" w:color="auto"/>
        <w:bottom w:val="none" w:sz="0" w:space="0" w:color="auto"/>
        <w:right w:val="none" w:sz="0" w:space="0" w:color="auto"/>
      </w:divBdr>
    </w:div>
    <w:div w:id="2054693396">
      <w:bodyDiv w:val="1"/>
      <w:marLeft w:val="0"/>
      <w:marRight w:val="0"/>
      <w:marTop w:val="0"/>
      <w:marBottom w:val="0"/>
      <w:divBdr>
        <w:top w:val="none" w:sz="0" w:space="0" w:color="auto"/>
        <w:left w:val="none" w:sz="0" w:space="0" w:color="auto"/>
        <w:bottom w:val="none" w:sz="0" w:space="0" w:color="auto"/>
        <w:right w:val="none" w:sz="0" w:space="0" w:color="auto"/>
      </w:divBdr>
    </w:div>
    <w:div w:id="2074430894">
      <w:bodyDiv w:val="1"/>
      <w:marLeft w:val="0"/>
      <w:marRight w:val="0"/>
      <w:marTop w:val="0"/>
      <w:marBottom w:val="0"/>
      <w:divBdr>
        <w:top w:val="none" w:sz="0" w:space="0" w:color="auto"/>
        <w:left w:val="none" w:sz="0" w:space="0" w:color="auto"/>
        <w:bottom w:val="none" w:sz="0" w:space="0" w:color="auto"/>
        <w:right w:val="none" w:sz="0" w:space="0" w:color="auto"/>
      </w:divBdr>
    </w:div>
    <w:div w:id="2088066172">
      <w:bodyDiv w:val="1"/>
      <w:marLeft w:val="0"/>
      <w:marRight w:val="0"/>
      <w:marTop w:val="0"/>
      <w:marBottom w:val="0"/>
      <w:divBdr>
        <w:top w:val="none" w:sz="0" w:space="0" w:color="auto"/>
        <w:left w:val="none" w:sz="0" w:space="0" w:color="auto"/>
        <w:bottom w:val="none" w:sz="0" w:space="0" w:color="auto"/>
        <w:right w:val="none" w:sz="0" w:space="0" w:color="auto"/>
      </w:divBdr>
      <w:divsChild>
        <w:div w:id="205870844">
          <w:marLeft w:val="0"/>
          <w:marRight w:val="0"/>
          <w:marTop w:val="0"/>
          <w:marBottom w:val="0"/>
          <w:divBdr>
            <w:top w:val="none" w:sz="0" w:space="0" w:color="auto"/>
            <w:left w:val="none" w:sz="0" w:space="0" w:color="auto"/>
            <w:bottom w:val="none" w:sz="0" w:space="0" w:color="auto"/>
            <w:right w:val="none" w:sz="0" w:space="0" w:color="auto"/>
          </w:divBdr>
          <w:divsChild>
            <w:div w:id="1320306666">
              <w:marLeft w:val="-75"/>
              <w:marRight w:val="0"/>
              <w:marTop w:val="30"/>
              <w:marBottom w:val="30"/>
              <w:divBdr>
                <w:top w:val="none" w:sz="0" w:space="0" w:color="auto"/>
                <w:left w:val="none" w:sz="0" w:space="0" w:color="auto"/>
                <w:bottom w:val="none" w:sz="0" w:space="0" w:color="auto"/>
                <w:right w:val="none" w:sz="0" w:space="0" w:color="auto"/>
              </w:divBdr>
              <w:divsChild>
                <w:div w:id="223755699">
                  <w:marLeft w:val="0"/>
                  <w:marRight w:val="0"/>
                  <w:marTop w:val="0"/>
                  <w:marBottom w:val="0"/>
                  <w:divBdr>
                    <w:top w:val="none" w:sz="0" w:space="0" w:color="auto"/>
                    <w:left w:val="none" w:sz="0" w:space="0" w:color="auto"/>
                    <w:bottom w:val="none" w:sz="0" w:space="0" w:color="auto"/>
                    <w:right w:val="none" w:sz="0" w:space="0" w:color="auto"/>
                  </w:divBdr>
                  <w:divsChild>
                    <w:div w:id="2102755050">
                      <w:marLeft w:val="0"/>
                      <w:marRight w:val="0"/>
                      <w:marTop w:val="0"/>
                      <w:marBottom w:val="0"/>
                      <w:divBdr>
                        <w:top w:val="none" w:sz="0" w:space="0" w:color="auto"/>
                        <w:left w:val="none" w:sz="0" w:space="0" w:color="auto"/>
                        <w:bottom w:val="none" w:sz="0" w:space="0" w:color="auto"/>
                        <w:right w:val="none" w:sz="0" w:space="0" w:color="auto"/>
                      </w:divBdr>
                    </w:div>
                  </w:divsChild>
                </w:div>
                <w:div w:id="484400129">
                  <w:marLeft w:val="0"/>
                  <w:marRight w:val="0"/>
                  <w:marTop w:val="0"/>
                  <w:marBottom w:val="0"/>
                  <w:divBdr>
                    <w:top w:val="none" w:sz="0" w:space="0" w:color="auto"/>
                    <w:left w:val="none" w:sz="0" w:space="0" w:color="auto"/>
                    <w:bottom w:val="none" w:sz="0" w:space="0" w:color="auto"/>
                    <w:right w:val="none" w:sz="0" w:space="0" w:color="auto"/>
                  </w:divBdr>
                  <w:divsChild>
                    <w:div w:id="340856317">
                      <w:marLeft w:val="0"/>
                      <w:marRight w:val="0"/>
                      <w:marTop w:val="0"/>
                      <w:marBottom w:val="0"/>
                      <w:divBdr>
                        <w:top w:val="none" w:sz="0" w:space="0" w:color="auto"/>
                        <w:left w:val="none" w:sz="0" w:space="0" w:color="auto"/>
                        <w:bottom w:val="none" w:sz="0" w:space="0" w:color="auto"/>
                        <w:right w:val="none" w:sz="0" w:space="0" w:color="auto"/>
                      </w:divBdr>
                    </w:div>
                  </w:divsChild>
                </w:div>
                <w:div w:id="526135663">
                  <w:marLeft w:val="0"/>
                  <w:marRight w:val="0"/>
                  <w:marTop w:val="0"/>
                  <w:marBottom w:val="0"/>
                  <w:divBdr>
                    <w:top w:val="none" w:sz="0" w:space="0" w:color="auto"/>
                    <w:left w:val="none" w:sz="0" w:space="0" w:color="auto"/>
                    <w:bottom w:val="none" w:sz="0" w:space="0" w:color="auto"/>
                    <w:right w:val="none" w:sz="0" w:space="0" w:color="auto"/>
                  </w:divBdr>
                  <w:divsChild>
                    <w:div w:id="768698736">
                      <w:marLeft w:val="0"/>
                      <w:marRight w:val="0"/>
                      <w:marTop w:val="0"/>
                      <w:marBottom w:val="0"/>
                      <w:divBdr>
                        <w:top w:val="none" w:sz="0" w:space="0" w:color="auto"/>
                        <w:left w:val="none" w:sz="0" w:space="0" w:color="auto"/>
                        <w:bottom w:val="none" w:sz="0" w:space="0" w:color="auto"/>
                        <w:right w:val="none" w:sz="0" w:space="0" w:color="auto"/>
                      </w:divBdr>
                    </w:div>
                  </w:divsChild>
                </w:div>
                <w:div w:id="576211590">
                  <w:marLeft w:val="0"/>
                  <w:marRight w:val="0"/>
                  <w:marTop w:val="0"/>
                  <w:marBottom w:val="0"/>
                  <w:divBdr>
                    <w:top w:val="none" w:sz="0" w:space="0" w:color="auto"/>
                    <w:left w:val="none" w:sz="0" w:space="0" w:color="auto"/>
                    <w:bottom w:val="none" w:sz="0" w:space="0" w:color="auto"/>
                    <w:right w:val="none" w:sz="0" w:space="0" w:color="auto"/>
                  </w:divBdr>
                  <w:divsChild>
                    <w:div w:id="45882110">
                      <w:marLeft w:val="0"/>
                      <w:marRight w:val="0"/>
                      <w:marTop w:val="0"/>
                      <w:marBottom w:val="0"/>
                      <w:divBdr>
                        <w:top w:val="none" w:sz="0" w:space="0" w:color="auto"/>
                        <w:left w:val="none" w:sz="0" w:space="0" w:color="auto"/>
                        <w:bottom w:val="none" w:sz="0" w:space="0" w:color="auto"/>
                        <w:right w:val="none" w:sz="0" w:space="0" w:color="auto"/>
                      </w:divBdr>
                    </w:div>
                  </w:divsChild>
                </w:div>
                <w:div w:id="723024285">
                  <w:marLeft w:val="0"/>
                  <w:marRight w:val="0"/>
                  <w:marTop w:val="0"/>
                  <w:marBottom w:val="0"/>
                  <w:divBdr>
                    <w:top w:val="none" w:sz="0" w:space="0" w:color="auto"/>
                    <w:left w:val="none" w:sz="0" w:space="0" w:color="auto"/>
                    <w:bottom w:val="none" w:sz="0" w:space="0" w:color="auto"/>
                    <w:right w:val="none" w:sz="0" w:space="0" w:color="auto"/>
                  </w:divBdr>
                  <w:divsChild>
                    <w:div w:id="610475188">
                      <w:marLeft w:val="0"/>
                      <w:marRight w:val="0"/>
                      <w:marTop w:val="0"/>
                      <w:marBottom w:val="0"/>
                      <w:divBdr>
                        <w:top w:val="none" w:sz="0" w:space="0" w:color="auto"/>
                        <w:left w:val="none" w:sz="0" w:space="0" w:color="auto"/>
                        <w:bottom w:val="none" w:sz="0" w:space="0" w:color="auto"/>
                        <w:right w:val="none" w:sz="0" w:space="0" w:color="auto"/>
                      </w:divBdr>
                    </w:div>
                  </w:divsChild>
                </w:div>
                <w:div w:id="825827574">
                  <w:marLeft w:val="0"/>
                  <w:marRight w:val="0"/>
                  <w:marTop w:val="0"/>
                  <w:marBottom w:val="0"/>
                  <w:divBdr>
                    <w:top w:val="none" w:sz="0" w:space="0" w:color="auto"/>
                    <w:left w:val="none" w:sz="0" w:space="0" w:color="auto"/>
                    <w:bottom w:val="none" w:sz="0" w:space="0" w:color="auto"/>
                    <w:right w:val="none" w:sz="0" w:space="0" w:color="auto"/>
                  </w:divBdr>
                  <w:divsChild>
                    <w:div w:id="621811064">
                      <w:marLeft w:val="0"/>
                      <w:marRight w:val="0"/>
                      <w:marTop w:val="0"/>
                      <w:marBottom w:val="0"/>
                      <w:divBdr>
                        <w:top w:val="none" w:sz="0" w:space="0" w:color="auto"/>
                        <w:left w:val="none" w:sz="0" w:space="0" w:color="auto"/>
                        <w:bottom w:val="none" w:sz="0" w:space="0" w:color="auto"/>
                        <w:right w:val="none" w:sz="0" w:space="0" w:color="auto"/>
                      </w:divBdr>
                    </w:div>
                  </w:divsChild>
                </w:div>
                <w:div w:id="946814144">
                  <w:marLeft w:val="0"/>
                  <w:marRight w:val="0"/>
                  <w:marTop w:val="0"/>
                  <w:marBottom w:val="0"/>
                  <w:divBdr>
                    <w:top w:val="none" w:sz="0" w:space="0" w:color="auto"/>
                    <w:left w:val="none" w:sz="0" w:space="0" w:color="auto"/>
                    <w:bottom w:val="none" w:sz="0" w:space="0" w:color="auto"/>
                    <w:right w:val="none" w:sz="0" w:space="0" w:color="auto"/>
                  </w:divBdr>
                  <w:divsChild>
                    <w:div w:id="782501813">
                      <w:marLeft w:val="0"/>
                      <w:marRight w:val="0"/>
                      <w:marTop w:val="0"/>
                      <w:marBottom w:val="0"/>
                      <w:divBdr>
                        <w:top w:val="none" w:sz="0" w:space="0" w:color="auto"/>
                        <w:left w:val="none" w:sz="0" w:space="0" w:color="auto"/>
                        <w:bottom w:val="none" w:sz="0" w:space="0" w:color="auto"/>
                        <w:right w:val="none" w:sz="0" w:space="0" w:color="auto"/>
                      </w:divBdr>
                    </w:div>
                  </w:divsChild>
                </w:div>
                <w:div w:id="1245995969">
                  <w:marLeft w:val="0"/>
                  <w:marRight w:val="0"/>
                  <w:marTop w:val="0"/>
                  <w:marBottom w:val="0"/>
                  <w:divBdr>
                    <w:top w:val="none" w:sz="0" w:space="0" w:color="auto"/>
                    <w:left w:val="none" w:sz="0" w:space="0" w:color="auto"/>
                    <w:bottom w:val="none" w:sz="0" w:space="0" w:color="auto"/>
                    <w:right w:val="none" w:sz="0" w:space="0" w:color="auto"/>
                  </w:divBdr>
                  <w:divsChild>
                    <w:div w:id="625550681">
                      <w:marLeft w:val="0"/>
                      <w:marRight w:val="0"/>
                      <w:marTop w:val="0"/>
                      <w:marBottom w:val="0"/>
                      <w:divBdr>
                        <w:top w:val="none" w:sz="0" w:space="0" w:color="auto"/>
                        <w:left w:val="none" w:sz="0" w:space="0" w:color="auto"/>
                        <w:bottom w:val="none" w:sz="0" w:space="0" w:color="auto"/>
                        <w:right w:val="none" w:sz="0" w:space="0" w:color="auto"/>
                      </w:divBdr>
                    </w:div>
                  </w:divsChild>
                </w:div>
                <w:div w:id="1304584036">
                  <w:marLeft w:val="0"/>
                  <w:marRight w:val="0"/>
                  <w:marTop w:val="0"/>
                  <w:marBottom w:val="0"/>
                  <w:divBdr>
                    <w:top w:val="none" w:sz="0" w:space="0" w:color="auto"/>
                    <w:left w:val="none" w:sz="0" w:space="0" w:color="auto"/>
                    <w:bottom w:val="none" w:sz="0" w:space="0" w:color="auto"/>
                    <w:right w:val="none" w:sz="0" w:space="0" w:color="auto"/>
                  </w:divBdr>
                  <w:divsChild>
                    <w:div w:id="765033159">
                      <w:marLeft w:val="0"/>
                      <w:marRight w:val="0"/>
                      <w:marTop w:val="0"/>
                      <w:marBottom w:val="0"/>
                      <w:divBdr>
                        <w:top w:val="none" w:sz="0" w:space="0" w:color="auto"/>
                        <w:left w:val="none" w:sz="0" w:space="0" w:color="auto"/>
                        <w:bottom w:val="none" w:sz="0" w:space="0" w:color="auto"/>
                        <w:right w:val="none" w:sz="0" w:space="0" w:color="auto"/>
                      </w:divBdr>
                    </w:div>
                  </w:divsChild>
                </w:div>
                <w:div w:id="1312251049">
                  <w:marLeft w:val="0"/>
                  <w:marRight w:val="0"/>
                  <w:marTop w:val="0"/>
                  <w:marBottom w:val="0"/>
                  <w:divBdr>
                    <w:top w:val="none" w:sz="0" w:space="0" w:color="auto"/>
                    <w:left w:val="none" w:sz="0" w:space="0" w:color="auto"/>
                    <w:bottom w:val="none" w:sz="0" w:space="0" w:color="auto"/>
                    <w:right w:val="none" w:sz="0" w:space="0" w:color="auto"/>
                  </w:divBdr>
                  <w:divsChild>
                    <w:div w:id="663750748">
                      <w:marLeft w:val="0"/>
                      <w:marRight w:val="0"/>
                      <w:marTop w:val="0"/>
                      <w:marBottom w:val="0"/>
                      <w:divBdr>
                        <w:top w:val="none" w:sz="0" w:space="0" w:color="auto"/>
                        <w:left w:val="none" w:sz="0" w:space="0" w:color="auto"/>
                        <w:bottom w:val="none" w:sz="0" w:space="0" w:color="auto"/>
                        <w:right w:val="none" w:sz="0" w:space="0" w:color="auto"/>
                      </w:divBdr>
                    </w:div>
                  </w:divsChild>
                </w:div>
                <w:div w:id="1336030419">
                  <w:marLeft w:val="0"/>
                  <w:marRight w:val="0"/>
                  <w:marTop w:val="0"/>
                  <w:marBottom w:val="0"/>
                  <w:divBdr>
                    <w:top w:val="none" w:sz="0" w:space="0" w:color="auto"/>
                    <w:left w:val="none" w:sz="0" w:space="0" w:color="auto"/>
                    <w:bottom w:val="none" w:sz="0" w:space="0" w:color="auto"/>
                    <w:right w:val="none" w:sz="0" w:space="0" w:color="auto"/>
                  </w:divBdr>
                  <w:divsChild>
                    <w:div w:id="52782016">
                      <w:marLeft w:val="0"/>
                      <w:marRight w:val="0"/>
                      <w:marTop w:val="0"/>
                      <w:marBottom w:val="0"/>
                      <w:divBdr>
                        <w:top w:val="none" w:sz="0" w:space="0" w:color="auto"/>
                        <w:left w:val="none" w:sz="0" w:space="0" w:color="auto"/>
                        <w:bottom w:val="none" w:sz="0" w:space="0" w:color="auto"/>
                        <w:right w:val="none" w:sz="0" w:space="0" w:color="auto"/>
                      </w:divBdr>
                    </w:div>
                  </w:divsChild>
                </w:div>
                <w:div w:id="1368068345">
                  <w:marLeft w:val="0"/>
                  <w:marRight w:val="0"/>
                  <w:marTop w:val="0"/>
                  <w:marBottom w:val="0"/>
                  <w:divBdr>
                    <w:top w:val="none" w:sz="0" w:space="0" w:color="auto"/>
                    <w:left w:val="none" w:sz="0" w:space="0" w:color="auto"/>
                    <w:bottom w:val="none" w:sz="0" w:space="0" w:color="auto"/>
                    <w:right w:val="none" w:sz="0" w:space="0" w:color="auto"/>
                  </w:divBdr>
                  <w:divsChild>
                    <w:div w:id="193857525">
                      <w:marLeft w:val="0"/>
                      <w:marRight w:val="0"/>
                      <w:marTop w:val="0"/>
                      <w:marBottom w:val="0"/>
                      <w:divBdr>
                        <w:top w:val="none" w:sz="0" w:space="0" w:color="auto"/>
                        <w:left w:val="none" w:sz="0" w:space="0" w:color="auto"/>
                        <w:bottom w:val="none" w:sz="0" w:space="0" w:color="auto"/>
                        <w:right w:val="none" w:sz="0" w:space="0" w:color="auto"/>
                      </w:divBdr>
                    </w:div>
                  </w:divsChild>
                </w:div>
                <w:div w:id="1431008104">
                  <w:marLeft w:val="0"/>
                  <w:marRight w:val="0"/>
                  <w:marTop w:val="0"/>
                  <w:marBottom w:val="0"/>
                  <w:divBdr>
                    <w:top w:val="none" w:sz="0" w:space="0" w:color="auto"/>
                    <w:left w:val="none" w:sz="0" w:space="0" w:color="auto"/>
                    <w:bottom w:val="none" w:sz="0" w:space="0" w:color="auto"/>
                    <w:right w:val="none" w:sz="0" w:space="0" w:color="auto"/>
                  </w:divBdr>
                  <w:divsChild>
                    <w:div w:id="1929920839">
                      <w:marLeft w:val="0"/>
                      <w:marRight w:val="0"/>
                      <w:marTop w:val="0"/>
                      <w:marBottom w:val="0"/>
                      <w:divBdr>
                        <w:top w:val="none" w:sz="0" w:space="0" w:color="auto"/>
                        <w:left w:val="none" w:sz="0" w:space="0" w:color="auto"/>
                        <w:bottom w:val="none" w:sz="0" w:space="0" w:color="auto"/>
                        <w:right w:val="none" w:sz="0" w:space="0" w:color="auto"/>
                      </w:divBdr>
                    </w:div>
                  </w:divsChild>
                </w:div>
                <w:div w:id="1469469091">
                  <w:marLeft w:val="0"/>
                  <w:marRight w:val="0"/>
                  <w:marTop w:val="0"/>
                  <w:marBottom w:val="0"/>
                  <w:divBdr>
                    <w:top w:val="none" w:sz="0" w:space="0" w:color="auto"/>
                    <w:left w:val="none" w:sz="0" w:space="0" w:color="auto"/>
                    <w:bottom w:val="none" w:sz="0" w:space="0" w:color="auto"/>
                    <w:right w:val="none" w:sz="0" w:space="0" w:color="auto"/>
                  </w:divBdr>
                  <w:divsChild>
                    <w:div w:id="1671445901">
                      <w:marLeft w:val="0"/>
                      <w:marRight w:val="0"/>
                      <w:marTop w:val="0"/>
                      <w:marBottom w:val="0"/>
                      <w:divBdr>
                        <w:top w:val="none" w:sz="0" w:space="0" w:color="auto"/>
                        <w:left w:val="none" w:sz="0" w:space="0" w:color="auto"/>
                        <w:bottom w:val="none" w:sz="0" w:space="0" w:color="auto"/>
                        <w:right w:val="none" w:sz="0" w:space="0" w:color="auto"/>
                      </w:divBdr>
                    </w:div>
                  </w:divsChild>
                </w:div>
                <w:div w:id="1897272998">
                  <w:marLeft w:val="0"/>
                  <w:marRight w:val="0"/>
                  <w:marTop w:val="0"/>
                  <w:marBottom w:val="0"/>
                  <w:divBdr>
                    <w:top w:val="none" w:sz="0" w:space="0" w:color="auto"/>
                    <w:left w:val="none" w:sz="0" w:space="0" w:color="auto"/>
                    <w:bottom w:val="none" w:sz="0" w:space="0" w:color="auto"/>
                    <w:right w:val="none" w:sz="0" w:space="0" w:color="auto"/>
                  </w:divBdr>
                  <w:divsChild>
                    <w:div w:id="605626076">
                      <w:marLeft w:val="0"/>
                      <w:marRight w:val="0"/>
                      <w:marTop w:val="0"/>
                      <w:marBottom w:val="0"/>
                      <w:divBdr>
                        <w:top w:val="none" w:sz="0" w:space="0" w:color="auto"/>
                        <w:left w:val="none" w:sz="0" w:space="0" w:color="auto"/>
                        <w:bottom w:val="none" w:sz="0" w:space="0" w:color="auto"/>
                        <w:right w:val="none" w:sz="0" w:space="0" w:color="auto"/>
                      </w:divBdr>
                    </w:div>
                  </w:divsChild>
                </w:div>
                <w:div w:id="2053308966">
                  <w:marLeft w:val="0"/>
                  <w:marRight w:val="0"/>
                  <w:marTop w:val="0"/>
                  <w:marBottom w:val="0"/>
                  <w:divBdr>
                    <w:top w:val="none" w:sz="0" w:space="0" w:color="auto"/>
                    <w:left w:val="none" w:sz="0" w:space="0" w:color="auto"/>
                    <w:bottom w:val="none" w:sz="0" w:space="0" w:color="auto"/>
                    <w:right w:val="none" w:sz="0" w:space="0" w:color="auto"/>
                  </w:divBdr>
                  <w:divsChild>
                    <w:div w:id="16919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21034">
          <w:marLeft w:val="0"/>
          <w:marRight w:val="0"/>
          <w:marTop w:val="0"/>
          <w:marBottom w:val="0"/>
          <w:divBdr>
            <w:top w:val="none" w:sz="0" w:space="0" w:color="auto"/>
            <w:left w:val="none" w:sz="0" w:space="0" w:color="auto"/>
            <w:bottom w:val="none" w:sz="0" w:space="0" w:color="auto"/>
            <w:right w:val="none" w:sz="0" w:space="0" w:color="auto"/>
          </w:divBdr>
        </w:div>
        <w:div w:id="587930221">
          <w:marLeft w:val="0"/>
          <w:marRight w:val="0"/>
          <w:marTop w:val="0"/>
          <w:marBottom w:val="0"/>
          <w:divBdr>
            <w:top w:val="none" w:sz="0" w:space="0" w:color="auto"/>
            <w:left w:val="none" w:sz="0" w:space="0" w:color="auto"/>
            <w:bottom w:val="none" w:sz="0" w:space="0" w:color="auto"/>
            <w:right w:val="none" w:sz="0" w:space="0" w:color="auto"/>
          </w:divBdr>
        </w:div>
        <w:div w:id="598410934">
          <w:marLeft w:val="0"/>
          <w:marRight w:val="0"/>
          <w:marTop w:val="0"/>
          <w:marBottom w:val="0"/>
          <w:divBdr>
            <w:top w:val="none" w:sz="0" w:space="0" w:color="auto"/>
            <w:left w:val="none" w:sz="0" w:space="0" w:color="auto"/>
            <w:bottom w:val="none" w:sz="0" w:space="0" w:color="auto"/>
            <w:right w:val="none" w:sz="0" w:space="0" w:color="auto"/>
          </w:divBdr>
        </w:div>
        <w:div w:id="948317098">
          <w:marLeft w:val="0"/>
          <w:marRight w:val="0"/>
          <w:marTop w:val="0"/>
          <w:marBottom w:val="0"/>
          <w:divBdr>
            <w:top w:val="none" w:sz="0" w:space="0" w:color="auto"/>
            <w:left w:val="none" w:sz="0" w:space="0" w:color="auto"/>
            <w:bottom w:val="none" w:sz="0" w:space="0" w:color="auto"/>
            <w:right w:val="none" w:sz="0" w:space="0" w:color="auto"/>
          </w:divBdr>
          <w:divsChild>
            <w:div w:id="70663681">
              <w:marLeft w:val="0"/>
              <w:marRight w:val="0"/>
              <w:marTop w:val="0"/>
              <w:marBottom w:val="0"/>
              <w:divBdr>
                <w:top w:val="none" w:sz="0" w:space="0" w:color="auto"/>
                <w:left w:val="none" w:sz="0" w:space="0" w:color="auto"/>
                <w:bottom w:val="none" w:sz="0" w:space="0" w:color="auto"/>
                <w:right w:val="none" w:sz="0" w:space="0" w:color="auto"/>
              </w:divBdr>
            </w:div>
            <w:div w:id="255796767">
              <w:marLeft w:val="0"/>
              <w:marRight w:val="0"/>
              <w:marTop w:val="0"/>
              <w:marBottom w:val="0"/>
              <w:divBdr>
                <w:top w:val="none" w:sz="0" w:space="0" w:color="auto"/>
                <w:left w:val="none" w:sz="0" w:space="0" w:color="auto"/>
                <w:bottom w:val="none" w:sz="0" w:space="0" w:color="auto"/>
                <w:right w:val="none" w:sz="0" w:space="0" w:color="auto"/>
              </w:divBdr>
            </w:div>
            <w:div w:id="2103798612">
              <w:marLeft w:val="0"/>
              <w:marRight w:val="0"/>
              <w:marTop w:val="0"/>
              <w:marBottom w:val="0"/>
              <w:divBdr>
                <w:top w:val="none" w:sz="0" w:space="0" w:color="auto"/>
                <w:left w:val="none" w:sz="0" w:space="0" w:color="auto"/>
                <w:bottom w:val="none" w:sz="0" w:space="0" w:color="auto"/>
                <w:right w:val="none" w:sz="0" w:space="0" w:color="auto"/>
              </w:divBdr>
            </w:div>
          </w:divsChild>
        </w:div>
        <w:div w:id="1313680122">
          <w:marLeft w:val="0"/>
          <w:marRight w:val="0"/>
          <w:marTop w:val="0"/>
          <w:marBottom w:val="0"/>
          <w:divBdr>
            <w:top w:val="none" w:sz="0" w:space="0" w:color="auto"/>
            <w:left w:val="none" w:sz="0" w:space="0" w:color="auto"/>
            <w:bottom w:val="none" w:sz="0" w:space="0" w:color="auto"/>
            <w:right w:val="none" w:sz="0" w:space="0" w:color="auto"/>
          </w:divBdr>
        </w:div>
        <w:div w:id="1576285238">
          <w:marLeft w:val="0"/>
          <w:marRight w:val="0"/>
          <w:marTop w:val="0"/>
          <w:marBottom w:val="0"/>
          <w:divBdr>
            <w:top w:val="none" w:sz="0" w:space="0" w:color="auto"/>
            <w:left w:val="none" w:sz="0" w:space="0" w:color="auto"/>
            <w:bottom w:val="none" w:sz="0" w:space="0" w:color="auto"/>
            <w:right w:val="none" w:sz="0" w:space="0" w:color="auto"/>
          </w:divBdr>
          <w:divsChild>
            <w:div w:id="1221210748">
              <w:marLeft w:val="-75"/>
              <w:marRight w:val="0"/>
              <w:marTop w:val="30"/>
              <w:marBottom w:val="30"/>
              <w:divBdr>
                <w:top w:val="none" w:sz="0" w:space="0" w:color="auto"/>
                <w:left w:val="none" w:sz="0" w:space="0" w:color="auto"/>
                <w:bottom w:val="none" w:sz="0" w:space="0" w:color="auto"/>
                <w:right w:val="none" w:sz="0" w:space="0" w:color="auto"/>
              </w:divBdr>
              <w:divsChild>
                <w:div w:id="39981489">
                  <w:marLeft w:val="0"/>
                  <w:marRight w:val="0"/>
                  <w:marTop w:val="0"/>
                  <w:marBottom w:val="0"/>
                  <w:divBdr>
                    <w:top w:val="none" w:sz="0" w:space="0" w:color="auto"/>
                    <w:left w:val="none" w:sz="0" w:space="0" w:color="auto"/>
                    <w:bottom w:val="none" w:sz="0" w:space="0" w:color="auto"/>
                    <w:right w:val="none" w:sz="0" w:space="0" w:color="auto"/>
                  </w:divBdr>
                  <w:divsChild>
                    <w:div w:id="1539312661">
                      <w:marLeft w:val="0"/>
                      <w:marRight w:val="0"/>
                      <w:marTop w:val="0"/>
                      <w:marBottom w:val="0"/>
                      <w:divBdr>
                        <w:top w:val="none" w:sz="0" w:space="0" w:color="auto"/>
                        <w:left w:val="none" w:sz="0" w:space="0" w:color="auto"/>
                        <w:bottom w:val="none" w:sz="0" w:space="0" w:color="auto"/>
                        <w:right w:val="none" w:sz="0" w:space="0" w:color="auto"/>
                      </w:divBdr>
                    </w:div>
                  </w:divsChild>
                </w:div>
                <w:div w:id="79758165">
                  <w:marLeft w:val="0"/>
                  <w:marRight w:val="0"/>
                  <w:marTop w:val="0"/>
                  <w:marBottom w:val="0"/>
                  <w:divBdr>
                    <w:top w:val="none" w:sz="0" w:space="0" w:color="auto"/>
                    <w:left w:val="none" w:sz="0" w:space="0" w:color="auto"/>
                    <w:bottom w:val="none" w:sz="0" w:space="0" w:color="auto"/>
                    <w:right w:val="none" w:sz="0" w:space="0" w:color="auto"/>
                  </w:divBdr>
                  <w:divsChild>
                    <w:div w:id="81489688">
                      <w:marLeft w:val="0"/>
                      <w:marRight w:val="0"/>
                      <w:marTop w:val="0"/>
                      <w:marBottom w:val="0"/>
                      <w:divBdr>
                        <w:top w:val="none" w:sz="0" w:space="0" w:color="auto"/>
                        <w:left w:val="none" w:sz="0" w:space="0" w:color="auto"/>
                        <w:bottom w:val="none" w:sz="0" w:space="0" w:color="auto"/>
                        <w:right w:val="none" w:sz="0" w:space="0" w:color="auto"/>
                      </w:divBdr>
                    </w:div>
                  </w:divsChild>
                </w:div>
                <w:div w:id="87163006">
                  <w:marLeft w:val="0"/>
                  <w:marRight w:val="0"/>
                  <w:marTop w:val="0"/>
                  <w:marBottom w:val="0"/>
                  <w:divBdr>
                    <w:top w:val="none" w:sz="0" w:space="0" w:color="auto"/>
                    <w:left w:val="none" w:sz="0" w:space="0" w:color="auto"/>
                    <w:bottom w:val="none" w:sz="0" w:space="0" w:color="auto"/>
                    <w:right w:val="none" w:sz="0" w:space="0" w:color="auto"/>
                  </w:divBdr>
                  <w:divsChild>
                    <w:div w:id="1166897840">
                      <w:marLeft w:val="0"/>
                      <w:marRight w:val="0"/>
                      <w:marTop w:val="0"/>
                      <w:marBottom w:val="0"/>
                      <w:divBdr>
                        <w:top w:val="none" w:sz="0" w:space="0" w:color="auto"/>
                        <w:left w:val="none" w:sz="0" w:space="0" w:color="auto"/>
                        <w:bottom w:val="none" w:sz="0" w:space="0" w:color="auto"/>
                        <w:right w:val="none" w:sz="0" w:space="0" w:color="auto"/>
                      </w:divBdr>
                    </w:div>
                    <w:div w:id="1913812045">
                      <w:marLeft w:val="0"/>
                      <w:marRight w:val="0"/>
                      <w:marTop w:val="0"/>
                      <w:marBottom w:val="0"/>
                      <w:divBdr>
                        <w:top w:val="none" w:sz="0" w:space="0" w:color="auto"/>
                        <w:left w:val="none" w:sz="0" w:space="0" w:color="auto"/>
                        <w:bottom w:val="none" w:sz="0" w:space="0" w:color="auto"/>
                        <w:right w:val="none" w:sz="0" w:space="0" w:color="auto"/>
                      </w:divBdr>
                    </w:div>
                  </w:divsChild>
                </w:div>
                <w:div w:id="102770029">
                  <w:marLeft w:val="0"/>
                  <w:marRight w:val="0"/>
                  <w:marTop w:val="0"/>
                  <w:marBottom w:val="0"/>
                  <w:divBdr>
                    <w:top w:val="none" w:sz="0" w:space="0" w:color="auto"/>
                    <w:left w:val="none" w:sz="0" w:space="0" w:color="auto"/>
                    <w:bottom w:val="none" w:sz="0" w:space="0" w:color="auto"/>
                    <w:right w:val="none" w:sz="0" w:space="0" w:color="auto"/>
                  </w:divBdr>
                  <w:divsChild>
                    <w:div w:id="1791702243">
                      <w:marLeft w:val="0"/>
                      <w:marRight w:val="0"/>
                      <w:marTop w:val="0"/>
                      <w:marBottom w:val="0"/>
                      <w:divBdr>
                        <w:top w:val="none" w:sz="0" w:space="0" w:color="auto"/>
                        <w:left w:val="none" w:sz="0" w:space="0" w:color="auto"/>
                        <w:bottom w:val="none" w:sz="0" w:space="0" w:color="auto"/>
                        <w:right w:val="none" w:sz="0" w:space="0" w:color="auto"/>
                      </w:divBdr>
                    </w:div>
                  </w:divsChild>
                </w:div>
                <w:div w:id="179004503">
                  <w:marLeft w:val="0"/>
                  <w:marRight w:val="0"/>
                  <w:marTop w:val="0"/>
                  <w:marBottom w:val="0"/>
                  <w:divBdr>
                    <w:top w:val="none" w:sz="0" w:space="0" w:color="auto"/>
                    <w:left w:val="none" w:sz="0" w:space="0" w:color="auto"/>
                    <w:bottom w:val="none" w:sz="0" w:space="0" w:color="auto"/>
                    <w:right w:val="none" w:sz="0" w:space="0" w:color="auto"/>
                  </w:divBdr>
                  <w:divsChild>
                    <w:div w:id="1584487387">
                      <w:marLeft w:val="0"/>
                      <w:marRight w:val="0"/>
                      <w:marTop w:val="0"/>
                      <w:marBottom w:val="0"/>
                      <w:divBdr>
                        <w:top w:val="none" w:sz="0" w:space="0" w:color="auto"/>
                        <w:left w:val="none" w:sz="0" w:space="0" w:color="auto"/>
                        <w:bottom w:val="none" w:sz="0" w:space="0" w:color="auto"/>
                        <w:right w:val="none" w:sz="0" w:space="0" w:color="auto"/>
                      </w:divBdr>
                    </w:div>
                  </w:divsChild>
                </w:div>
                <w:div w:id="201750972">
                  <w:marLeft w:val="0"/>
                  <w:marRight w:val="0"/>
                  <w:marTop w:val="0"/>
                  <w:marBottom w:val="0"/>
                  <w:divBdr>
                    <w:top w:val="none" w:sz="0" w:space="0" w:color="auto"/>
                    <w:left w:val="none" w:sz="0" w:space="0" w:color="auto"/>
                    <w:bottom w:val="none" w:sz="0" w:space="0" w:color="auto"/>
                    <w:right w:val="none" w:sz="0" w:space="0" w:color="auto"/>
                  </w:divBdr>
                  <w:divsChild>
                    <w:div w:id="1480339603">
                      <w:marLeft w:val="0"/>
                      <w:marRight w:val="0"/>
                      <w:marTop w:val="0"/>
                      <w:marBottom w:val="0"/>
                      <w:divBdr>
                        <w:top w:val="none" w:sz="0" w:space="0" w:color="auto"/>
                        <w:left w:val="none" w:sz="0" w:space="0" w:color="auto"/>
                        <w:bottom w:val="none" w:sz="0" w:space="0" w:color="auto"/>
                        <w:right w:val="none" w:sz="0" w:space="0" w:color="auto"/>
                      </w:divBdr>
                    </w:div>
                  </w:divsChild>
                </w:div>
                <w:div w:id="206185999">
                  <w:marLeft w:val="0"/>
                  <w:marRight w:val="0"/>
                  <w:marTop w:val="0"/>
                  <w:marBottom w:val="0"/>
                  <w:divBdr>
                    <w:top w:val="none" w:sz="0" w:space="0" w:color="auto"/>
                    <w:left w:val="none" w:sz="0" w:space="0" w:color="auto"/>
                    <w:bottom w:val="none" w:sz="0" w:space="0" w:color="auto"/>
                    <w:right w:val="none" w:sz="0" w:space="0" w:color="auto"/>
                  </w:divBdr>
                  <w:divsChild>
                    <w:div w:id="327829192">
                      <w:marLeft w:val="0"/>
                      <w:marRight w:val="0"/>
                      <w:marTop w:val="0"/>
                      <w:marBottom w:val="0"/>
                      <w:divBdr>
                        <w:top w:val="none" w:sz="0" w:space="0" w:color="auto"/>
                        <w:left w:val="none" w:sz="0" w:space="0" w:color="auto"/>
                        <w:bottom w:val="none" w:sz="0" w:space="0" w:color="auto"/>
                        <w:right w:val="none" w:sz="0" w:space="0" w:color="auto"/>
                      </w:divBdr>
                    </w:div>
                  </w:divsChild>
                </w:div>
                <w:div w:id="358631511">
                  <w:marLeft w:val="0"/>
                  <w:marRight w:val="0"/>
                  <w:marTop w:val="0"/>
                  <w:marBottom w:val="0"/>
                  <w:divBdr>
                    <w:top w:val="none" w:sz="0" w:space="0" w:color="auto"/>
                    <w:left w:val="none" w:sz="0" w:space="0" w:color="auto"/>
                    <w:bottom w:val="none" w:sz="0" w:space="0" w:color="auto"/>
                    <w:right w:val="none" w:sz="0" w:space="0" w:color="auto"/>
                  </w:divBdr>
                  <w:divsChild>
                    <w:div w:id="1890654143">
                      <w:marLeft w:val="0"/>
                      <w:marRight w:val="0"/>
                      <w:marTop w:val="0"/>
                      <w:marBottom w:val="0"/>
                      <w:divBdr>
                        <w:top w:val="none" w:sz="0" w:space="0" w:color="auto"/>
                        <w:left w:val="none" w:sz="0" w:space="0" w:color="auto"/>
                        <w:bottom w:val="none" w:sz="0" w:space="0" w:color="auto"/>
                        <w:right w:val="none" w:sz="0" w:space="0" w:color="auto"/>
                      </w:divBdr>
                    </w:div>
                  </w:divsChild>
                </w:div>
                <w:div w:id="389154878">
                  <w:marLeft w:val="0"/>
                  <w:marRight w:val="0"/>
                  <w:marTop w:val="0"/>
                  <w:marBottom w:val="0"/>
                  <w:divBdr>
                    <w:top w:val="none" w:sz="0" w:space="0" w:color="auto"/>
                    <w:left w:val="none" w:sz="0" w:space="0" w:color="auto"/>
                    <w:bottom w:val="none" w:sz="0" w:space="0" w:color="auto"/>
                    <w:right w:val="none" w:sz="0" w:space="0" w:color="auto"/>
                  </w:divBdr>
                  <w:divsChild>
                    <w:div w:id="175079093">
                      <w:marLeft w:val="0"/>
                      <w:marRight w:val="0"/>
                      <w:marTop w:val="0"/>
                      <w:marBottom w:val="0"/>
                      <w:divBdr>
                        <w:top w:val="none" w:sz="0" w:space="0" w:color="auto"/>
                        <w:left w:val="none" w:sz="0" w:space="0" w:color="auto"/>
                        <w:bottom w:val="none" w:sz="0" w:space="0" w:color="auto"/>
                        <w:right w:val="none" w:sz="0" w:space="0" w:color="auto"/>
                      </w:divBdr>
                    </w:div>
                  </w:divsChild>
                </w:div>
                <w:div w:id="436799588">
                  <w:marLeft w:val="0"/>
                  <w:marRight w:val="0"/>
                  <w:marTop w:val="0"/>
                  <w:marBottom w:val="0"/>
                  <w:divBdr>
                    <w:top w:val="none" w:sz="0" w:space="0" w:color="auto"/>
                    <w:left w:val="none" w:sz="0" w:space="0" w:color="auto"/>
                    <w:bottom w:val="none" w:sz="0" w:space="0" w:color="auto"/>
                    <w:right w:val="none" w:sz="0" w:space="0" w:color="auto"/>
                  </w:divBdr>
                  <w:divsChild>
                    <w:div w:id="1409351744">
                      <w:marLeft w:val="0"/>
                      <w:marRight w:val="0"/>
                      <w:marTop w:val="0"/>
                      <w:marBottom w:val="0"/>
                      <w:divBdr>
                        <w:top w:val="none" w:sz="0" w:space="0" w:color="auto"/>
                        <w:left w:val="none" w:sz="0" w:space="0" w:color="auto"/>
                        <w:bottom w:val="none" w:sz="0" w:space="0" w:color="auto"/>
                        <w:right w:val="none" w:sz="0" w:space="0" w:color="auto"/>
                      </w:divBdr>
                    </w:div>
                  </w:divsChild>
                </w:div>
                <w:div w:id="487599440">
                  <w:marLeft w:val="0"/>
                  <w:marRight w:val="0"/>
                  <w:marTop w:val="0"/>
                  <w:marBottom w:val="0"/>
                  <w:divBdr>
                    <w:top w:val="none" w:sz="0" w:space="0" w:color="auto"/>
                    <w:left w:val="none" w:sz="0" w:space="0" w:color="auto"/>
                    <w:bottom w:val="none" w:sz="0" w:space="0" w:color="auto"/>
                    <w:right w:val="none" w:sz="0" w:space="0" w:color="auto"/>
                  </w:divBdr>
                  <w:divsChild>
                    <w:div w:id="1612542468">
                      <w:marLeft w:val="0"/>
                      <w:marRight w:val="0"/>
                      <w:marTop w:val="0"/>
                      <w:marBottom w:val="0"/>
                      <w:divBdr>
                        <w:top w:val="none" w:sz="0" w:space="0" w:color="auto"/>
                        <w:left w:val="none" w:sz="0" w:space="0" w:color="auto"/>
                        <w:bottom w:val="none" w:sz="0" w:space="0" w:color="auto"/>
                        <w:right w:val="none" w:sz="0" w:space="0" w:color="auto"/>
                      </w:divBdr>
                    </w:div>
                  </w:divsChild>
                </w:div>
                <w:div w:id="498274236">
                  <w:marLeft w:val="0"/>
                  <w:marRight w:val="0"/>
                  <w:marTop w:val="0"/>
                  <w:marBottom w:val="0"/>
                  <w:divBdr>
                    <w:top w:val="none" w:sz="0" w:space="0" w:color="auto"/>
                    <w:left w:val="none" w:sz="0" w:space="0" w:color="auto"/>
                    <w:bottom w:val="none" w:sz="0" w:space="0" w:color="auto"/>
                    <w:right w:val="none" w:sz="0" w:space="0" w:color="auto"/>
                  </w:divBdr>
                  <w:divsChild>
                    <w:div w:id="210574942">
                      <w:marLeft w:val="0"/>
                      <w:marRight w:val="0"/>
                      <w:marTop w:val="0"/>
                      <w:marBottom w:val="0"/>
                      <w:divBdr>
                        <w:top w:val="none" w:sz="0" w:space="0" w:color="auto"/>
                        <w:left w:val="none" w:sz="0" w:space="0" w:color="auto"/>
                        <w:bottom w:val="none" w:sz="0" w:space="0" w:color="auto"/>
                        <w:right w:val="none" w:sz="0" w:space="0" w:color="auto"/>
                      </w:divBdr>
                    </w:div>
                  </w:divsChild>
                </w:div>
                <w:div w:id="533812897">
                  <w:marLeft w:val="0"/>
                  <w:marRight w:val="0"/>
                  <w:marTop w:val="0"/>
                  <w:marBottom w:val="0"/>
                  <w:divBdr>
                    <w:top w:val="none" w:sz="0" w:space="0" w:color="auto"/>
                    <w:left w:val="none" w:sz="0" w:space="0" w:color="auto"/>
                    <w:bottom w:val="none" w:sz="0" w:space="0" w:color="auto"/>
                    <w:right w:val="none" w:sz="0" w:space="0" w:color="auto"/>
                  </w:divBdr>
                  <w:divsChild>
                    <w:div w:id="70667240">
                      <w:marLeft w:val="0"/>
                      <w:marRight w:val="0"/>
                      <w:marTop w:val="0"/>
                      <w:marBottom w:val="0"/>
                      <w:divBdr>
                        <w:top w:val="none" w:sz="0" w:space="0" w:color="auto"/>
                        <w:left w:val="none" w:sz="0" w:space="0" w:color="auto"/>
                        <w:bottom w:val="none" w:sz="0" w:space="0" w:color="auto"/>
                        <w:right w:val="none" w:sz="0" w:space="0" w:color="auto"/>
                      </w:divBdr>
                    </w:div>
                  </w:divsChild>
                </w:div>
                <w:div w:id="548877349">
                  <w:marLeft w:val="0"/>
                  <w:marRight w:val="0"/>
                  <w:marTop w:val="0"/>
                  <w:marBottom w:val="0"/>
                  <w:divBdr>
                    <w:top w:val="none" w:sz="0" w:space="0" w:color="auto"/>
                    <w:left w:val="none" w:sz="0" w:space="0" w:color="auto"/>
                    <w:bottom w:val="none" w:sz="0" w:space="0" w:color="auto"/>
                    <w:right w:val="none" w:sz="0" w:space="0" w:color="auto"/>
                  </w:divBdr>
                  <w:divsChild>
                    <w:div w:id="747920988">
                      <w:marLeft w:val="0"/>
                      <w:marRight w:val="0"/>
                      <w:marTop w:val="0"/>
                      <w:marBottom w:val="0"/>
                      <w:divBdr>
                        <w:top w:val="none" w:sz="0" w:space="0" w:color="auto"/>
                        <w:left w:val="none" w:sz="0" w:space="0" w:color="auto"/>
                        <w:bottom w:val="none" w:sz="0" w:space="0" w:color="auto"/>
                        <w:right w:val="none" w:sz="0" w:space="0" w:color="auto"/>
                      </w:divBdr>
                    </w:div>
                  </w:divsChild>
                </w:div>
                <w:div w:id="575670936">
                  <w:marLeft w:val="0"/>
                  <w:marRight w:val="0"/>
                  <w:marTop w:val="0"/>
                  <w:marBottom w:val="0"/>
                  <w:divBdr>
                    <w:top w:val="none" w:sz="0" w:space="0" w:color="auto"/>
                    <w:left w:val="none" w:sz="0" w:space="0" w:color="auto"/>
                    <w:bottom w:val="none" w:sz="0" w:space="0" w:color="auto"/>
                    <w:right w:val="none" w:sz="0" w:space="0" w:color="auto"/>
                  </w:divBdr>
                  <w:divsChild>
                    <w:div w:id="1186868124">
                      <w:marLeft w:val="0"/>
                      <w:marRight w:val="0"/>
                      <w:marTop w:val="0"/>
                      <w:marBottom w:val="0"/>
                      <w:divBdr>
                        <w:top w:val="none" w:sz="0" w:space="0" w:color="auto"/>
                        <w:left w:val="none" w:sz="0" w:space="0" w:color="auto"/>
                        <w:bottom w:val="none" w:sz="0" w:space="0" w:color="auto"/>
                        <w:right w:val="none" w:sz="0" w:space="0" w:color="auto"/>
                      </w:divBdr>
                    </w:div>
                  </w:divsChild>
                </w:div>
                <w:div w:id="604535885">
                  <w:marLeft w:val="0"/>
                  <w:marRight w:val="0"/>
                  <w:marTop w:val="0"/>
                  <w:marBottom w:val="0"/>
                  <w:divBdr>
                    <w:top w:val="none" w:sz="0" w:space="0" w:color="auto"/>
                    <w:left w:val="none" w:sz="0" w:space="0" w:color="auto"/>
                    <w:bottom w:val="none" w:sz="0" w:space="0" w:color="auto"/>
                    <w:right w:val="none" w:sz="0" w:space="0" w:color="auto"/>
                  </w:divBdr>
                  <w:divsChild>
                    <w:div w:id="1587960976">
                      <w:marLeft w:val="0"/>
                      <w:marRight w:val="0"/>
                      <w:marTop w:val="0"/>
                      <w:marBottom w:val="0"/>
                      <w:divBdr>
                        <w:top w:val="none" w:sz="0" w:space="0" w:color="auto"/>
                        <w:left w:val="none" w:sz="0" w:space="0" w:color="auto"/>
                        <w:bottom w:val="none" w:sz="0" w:space="0" w:color="auto"/>
                        <w:right w:val="none" w:sz="0" w:space="0" w:color="auto"/>
                      </w:divBdr>
                    </w:div>
                  </w:divsChild>
                </w:div>
                <w:div w:id="733085936">
                  <w:marLeft w:val="0"/>
                  <w:marRight w:val="0"/>
                  <w:marTop w:val="0"/>
                  <w:marBottom w:val="0"/>
                  <w:divBdr>
                    <w:top w:val="none" w:sz="0" w:space="0" w:color="auto"/>
                    <w:left w:val="none" w:sz="0" w:space="0" w:color="auto"/>
                    <w:bottom w:val="none" w:sz="0" w:space="0" w:color="auto"/>
                    <w:right w:val="none" w:sz="0" w:space="0" w:color="auto"/>
                  </w:divBdr>
                  <w:divsChild>
                    <w:div w:id="1429961140">
                      <w:marLeft w:val="0"/>
                      <w:marRight w:val="0"/>
                      <w:marTop w:val="0"/>
                      <w:marBottom w:val="0"/>
                      <w:divBdr>
                        <w:top w:val="none" w:sz="0" w:space="0" w:color="auto"/>
                        <w:left w:val="none" w:sz="0" w:space="0" w:color="auto"/>
                        <w:bottom w:val="none" w:sz="0" w:space="0" w:color="auto"/>
                        <w:right w:val="none" w:sz="0" w:space="0" w:color="auto"/>
                      </w:divBdr>
                    </w:div>
                  </w:divsChild>
                </w:div>
                <w:div w:id="741827797">
                  <w:marLeft w:val="0"/>
                  <w:marRight w:val="0"/>
                  <w:marTop w:val="0"/>
                  <w:marBottom w:val="0"/>
                  <w:divBdr>
                    <w:top w:val="none" w:sz="0" w:space="0" w:color="auto"/>
                    <w:left w:val="none" w:sz="0" w:space="0" w:color="auto"/>
                    <w:bottom w:val="none" w:sz="0" w:space="0" w:color="auto"/>
                    <w:right w:val="none" w:sz="0" w:space="0" w:color="auto"/>
                  </w:divBdr>
                  <w:divsChild>
                    <w:div w:id="1397778544">
                      <w:marLeft w:val="0"/>
                      <w:marRight w:val="0"/>
                      <w:marTop w:val="0"/>
                      <w:marBottom w:val="0"/>
                      <w:divBdr>
                        <w:top w:val="none" w:sz="0" w:space="0" w:color="auto"/>
                        <w:left w:val="none" w:sz="0" w:space="0" w:color="auto"/>
                        <w:bottom w:val="none" w:sz="0" w:space="0" w:color="auto"/>
                        <w:right w:val="none" w:sz="0" w:space="0" w:color="auto"/>
                      </w:divBdr>
                    </w:div>
                  </w:divsChild>
                </w:div>
                <w:div w:id="791174460">
                  <w:marLeft w:val="0"/>
                  <w:marRight w:val="0"/>
                  <w:marTop w:val="0"/>
                  <w:marBottom w:val="0"/>
                  <w:divBdr>
                    <w:top w:val="none" w:sz="0" w:space="0" w:color="auto"/>
                    <w:left w:val="none" w:sz="0" w:space="0" w:color="auto"/>
                    <w:bottom w:val="none" w:sz="0" w:space="0" w:color="auto"/>
                    <w:right w:val="none" w:sz="0" w:space="0" w:color="auto"/>
                  </w:divBdr>
                  <w:divsChild>
                    <w:div w:id="19742952">
                      <w:marLeft w:val="0"/>
                      <w:marRight w:val="0"/>
                      <w:marTop w:val="0"/>
                      <w:marBottom w:val="0"/>
                      <w:divBdr>
                        <w:top w:val="none" w:sz="0" w:space="0" w:color="auto"/>
                        <w:left w:val="none" w:sz="0" w:space="0" w:color="auto"/>
                        <w:bottom w:val="none" w:sz="0" w:space="0" w:color="auto"/>
                        <w:right w:val="none" w:sz="0" w:space="0" w:color="auto"/>
                      </w:divBdr>
                    </w:div>
                  </w:divsChild>
                </w:div>
                <w:div w:id="871264570">
                  <w:marLeft w:val="0"/>
                  <w:marRight w:val="0"/>
                  <w:marTop w:val="0"/>
                  <w:marBottom w:val="0"/>
                  <w:divBdr>
                    <w:top w:val="none" w:sz="0" w:space="0" w:color="auto"/>
                    <w:left w:val="none" w:sz="0" w:space="0" w:color="auto"/>
                    <w:bottom w:val="none" w:sz="0" w:space="0" w:color="auto"/>
                    <w:right w:val="none" w:sz="0" w:space="0" w:color="auto"/>
                  </w:divBdr>
                  <w:divsChild>
                    <w:div w:id="623270159">
                      <w:marLeft w:val="0"/>
                      <w:marRight w:val="0"/>
                      <w:marTop w:val="0"/>
                      <w:marBottom w:val="0"/>
                      <w:divBdr>
                        <w:top w:val="none" w:sz="0" w:space="0" w:color="auto"/>
                        <w:left w:val="none" w:sz="0" w:space="0" w:color="auto"/>
                        <w:bottom w:val="none" w:sz="0" w:space="0" w:color="auto"/>
                        <w:right w:val="none" w:sz="0" w:space="0" w:color="auto"/>
                      </w:divBdr>
                    </w:div>
                  </w:divsChild>
                </w:div>
                <w:div w:id="977146085">
                  <w:marLeft w:val="0"/>
                  <w:marRight w:val="0"/>
                  <w:marTop w:val="0"/>
                  <w:marBottom w:val="0"/>
                  <w:divBdr>
                    <w:top w:val="none" w:sz="0" w:space="0" w:color="auto"/>
                    <w:left w:val="none" w:sz="0" w:space="0" w:color="auto"/>
                    <w:bottom w:val="none" w:sz="0" w:space="0" w:color="auto"/>
                    <w:right w:val="none" w:sz="0" w:space="0" w:color="auto"/>
                  </w:divBdr>
                  <w:divsChild>
                    <w:div w:id="1711110804">
                      <w:marLeft w:val="0"/>
                      <w:marRight w:val="0"/>
                      <w:marTop w:val="0"/>
                      <w:marBottom w:val="0"/>
                      <w:divBdr>
                        <w:top w:val="none" w:sz="0" w:space="0" w:color="auto"/>
                        <w:left w:val="none" w:sz="0" w:space="0" w:color="auto"/>
                        <w:bottom w:val="none" w:sz="0" w:space="0" w:color="auto"/>
                        <w:right w:val="none" w:sz="0" w:space="0" w:color="auto"/>
                      </w:divBdr>
                    </w:div>
                  </w:divsChild>
                </w:div>
                <w:div w:id="983117830">
                  <w:marLeft w:val="0"/>
                  <w:marRight w:val="0"/>
                  <w:marTop w:val="0"/>
                  <w:marBottom w:val="0"/>
                  <w:divBdr>
                    <w:top w:val="none" w:sz="0" w:space="0" w:color="auto"/>
                    <w:left w:val="none" w:sz="0" w:space="0" w:color="auto"/>
                    <w:bottom w:val="none" w:sz="0" w:space="0" w:color="auto"/>
                    <w:right w:val="none" w:sz="0" w:space="0" w:color="auto"/>
                  </w:divBdr>
                  <w:divsChild>
                    <w:div w:id="1077628545">
                      <w:marLeft w:val="0"/>
                      <w:marRight w:val="0"/>
                      <w:marTop w:val="0"/>
                      <w:marBottom w:val="0"/>
                      <w:divBdr>
                        <w:top w:val="none" w:sz="0" w:space="0" w:color="auto"/>
                        <w:left w:val="none" w:sz="0" w:space="0" w:color="auto"/>
                        <w:bottom w:val="none" w:sz="0" w:space="0" w:color="auto"/>
                        <w:right w:val="none" w:sz="0" w:space="0" w:color="auto"/>
                      </w:divBdr>
                    </w:div>
                  </w:divsChild>
                </w:div>
                <w:div w:id="983698170">
                  <w:marLeft w:val="0"/>
                  <w:marRight w:val="0"/>
                  <w:marTop w:val="0"/>
                  <w:marBottom w:val="0"/>
                  <w:divBdr>
                    <w:top w:val="none" w:sz="0" w:space="0" w:color="auto"/>
                    <w:left w:val="none" w:sz="0" w:space="0" w:color="auto"/>
                    <w:bottom w:val="none" w:sz="0" w:space="0" w:color="auto"/>
                    <w:right w:val="none" w:sz="0" w:space="0" w:color="auto"/>
                  </w:divBdr>
                  <w:divsChild>
                    <w:div w:id="2081245264">
                      <w:marLeft w:val="0"/>
                      <w:marRight w:val="0"/>
                      <w:marTop w:val="0"/>
                      <w:marBottom w:val="0"/>
                      <w:divBdr>
                        <w:top w:val="none" w:sz="0" w:space="0" w:color="auto"/>
                        <w:left w:val="none" w:sz="0" w:space="0" w:color="auto"/>
                        <w:bottom w:val="none" w:sz="0" w:space="0" w:color="auto"/>
                        <w:right w:val="none" w:sz="0" w:space="0" w:color="auto"/>
                      </w:divBdr>
                    </w:div>
                  </w:divsChild>
                </w:div>
                <w:div w:id="995107111">
                  <w:marLeft w:val="0"/>
                  <w:marRight w:val="0"/>
                  <w:marTop w:val="0"/>
                  <w:marBottom w:val="0"/>
                  <w:divBdr>
                    <w:top w:val="none" w:sz="0" w:space="0" w:color="auto"/>
                    <w:left w:val="none" w:sz="0" w:space="0" w:color="auto"/>
                    <w:bottom w:val="none" w:sz="0" w:space="0" w:color="auto"/>
                    <w:right w:val="none" w:sz="0" w:space="0" w:color="auto"/>
                  </w:divBdr>
                  <w:divsChild>
                    <w:div w:id="1199510351">
                      <w:marLeft w:val="0"/>
                      <w:marRight w:val="0"/>
                      <w:marTop w:val="0"/>
                      <w:marBottom w:val="0"/>
                      <w:divBdr>
                        <w:top w:val="none" w:sz="0" w:space="0" w:color="auto"/>
                        <w:left w:val="none" w:sz="0" w:space="0" w:color="auto"/>
                        <w:bottom w:val="none" w:sz="0" w:space="0" w:color="auto"/>
                        <w:right w:val="none" w:sz="0" w:space="0" w:color="auto"/>
                      </w:divBdr>
                    </w:div>
                  </w:divsChild>
                </w:div>
                <w:div w:id="1039935024">
                  <w:marLeft w:val="0"/>
                  <w:marRight w:val="0"/>
                  <w:marTop w:val="0"/>
                  <w:marBottom w:val="0"/>
                  <w:divBdr>
                    <w:top w:val="none" w:sz="0" w:space="0" w:color="auto"/>
                    <w:left w:val="none" w:sz="0" w:space="0" w:color="auto"/>
                    <w:bottom w:val="none" w:sz="0" w:space="0" w:color="auto"/>
                    <w:right w:val="none" w:sz="0" w:space="0" w:color="auto"/>
                  </w:divBdr>
                  <w:divsChild>
                    <w:div w:id="1330206354">
                      <w:marLeft w:val="0"/>
                      <w:marRight w:val="0"/>
                      <w:marTop w:val="0"/>
                      <w:marBottom w:val="0"/>
                      <w:divBdr>
                        <w:top w:val="none" w:sz="0" w:space="0" w:color="auto"/>
                        <w:left w:val="none" w:sz="0" w:space="0" w:color="auto"/>
                        <w:bottom w:val="none" w:sz="0" w:space="0" w:color="auto"/>
                        <w:right w:val="none" w:sz="0" w:space="0" w:color="auto"/>
                      </w:divBdr>
                    </w:div>
                  </w:divsChild>
                </w:div>
                <w:div w:id="1082682865">
                  <w:marLeft w:val="0"/>
                  <w:marRight w:val="0"/>
                  <w:marTop w:val="0"/>
                  <w:marBottom w:val="0"/>
                  <w:divBdr>
                    <w:top w:val="none" w:sz="0" w:space="0" w:color="auto"/>
                    <w:left w:val="none" w:sz="0" w:space="0" w:color="auto"/>
                    <w:bottom w:val="none" w:sz="0" w:space="0" w:color="auto"/>
                    <w:right w:val="none" w:sz="0" w:space="0" w:color="auto"/>
                  </w:divBdr>
                  <w:divsChild>
                    <w:div w:id="233004987">
                      <w:marLeft w:val="0"/>
                      <w:marRight w:val="0"/>
                      <w:marTop w:val="0"/>
                      <w:marBottom w:val="0"/>
                      <w:divBdr>
                        <w:top w:val="none" w:sz="0" w:space="0" w:color="auto"/>
                        <w:left w:val="none" w:sz="0" w:space="0" w:color="auto"/>
                        <w:bottom w:val="none" w:sz="0" w:space="0" w:color="auto"/>
                        <w:right w:val="none" w:sz="0" w:space="0" w:color="auto"/>
                      </w:divBdr>
                    </w:div>
                  </w:divsChild>
                </w:div>
                <w:div w:id="1249388933">
                  <w:marLeft w:val="0"/>
                  <w:marRight w:val="0"/>
                  <w:marTop w:val="0"/>
                  <w:marBottom w:val="0"/>
                  <w:divBdr>
                    <w:top w:val="none" w:sz="0" w:space="0" w:color="auto"/>
                    <w:left w:val="none" w:sz="0" w:space="0" w:color="auto"/>
                    <w:bottom w:val="none" w:sz="0" w:space="0" w:color="auto"/>
                    <w:right w:val="none" w:sz="0" w:space="0" w:color="auto"/>
                  </w:divBdr>
                  <w:divsChild>
                    <w:div w:id="2134513781">
                      <w:marLeft w:val="0"/>
                      <w:marRight w:val="0"/>
                      <w:marTop w:val="0"/>
                      <w:marBottom w:val="0"/>
                      <w:divBdr>
                        <w:top w:val="none" w:sz="0" w:space="0" w:color="auto"/>
                        <w:left w:val="none" w:sz="0" w:space="0" w:color="auto"/>
                        <w:bottom w:val="none" w:sz="0" w:space="0" w:color="auto"/>
                        <w:right w:val="none" w:sz="0" w:space="0" w:color="auto"/>
                      </w:divBdr>
                    </w:div>
                  </w:divsChild>
                </w:div>
                <w:div w:id="1416240739">
                  <w:marLeft w:val="0"/>
                  <w:marRight w:val="0"/>
                  <w:marTop w:val="0"/>
                  <w:marBottom w:val="0"/>
                  <w:divBdr>
                    <w:top w:val="none" w:sz="0" w:space="0" w:color="auto"/>
                    <w:left w:val="none" w:sz="0" w:space="0" w:color="auto"/>
                    <w:bottom w:val="none" w:sz="0" w:space="0" w:color="auto"/>
                    <w:right w:val="none" w:sz="0" w:space="0" w:color="auto"/>
                  </w:divBdr>
                  <w:divsChild>
                    <w:div w:id="1892031112">
                      <w:marLeft w:val="0"/>
                      <w:marRight w:val="0"/>
                      <w:marTop w:val="0"/>
                      <w:marBottom w:val="0"/>
                      <w:divBdr>
                        <w:top w:val="none" w:sz="0" w:space="0" w:color="auto"/>
                        <w:left w:val="none" w:sz="0" w:space="0" w:color="auto"/>
                        <w:bottom w:val="none" w:sz="0" w:space="0" w:color="auto"/>
                        <w:right w:val="none" w:sz="0" w:space="0" w:color="auto"/>
                      </w:divBdr>
                    </w:div>
                  </w:divsChild>
                </w:div>
                <w:div w:id="1575159385">
                  <w:marLeft w:val="0"/>
                  <w:marRight w:val="0"/>
                  <w:marTop w:val="0"/>
                  <w:marBottom w:val="0"/>
                  <w:divBdr>
                    <w:top w:val="none" w:sz="0" w:space="0" w:color="auto"/>
                    <w:left w:val="none" w:sz="0" w:space="0" w:color="auto"/>
                    <w:bottom w:val="none" w:sz="0" w:space="0" w:color="auto"/>
                    <w:right w:val="none" w:sz="0" w:space="0" w:color="auto"/>
                  </w:divBdr>
                  <w:divsChild>
                    <w:div w:id="994340891">
                      <w:marLeft w:val="0"/>
                      <w:marRight w:val="0"/>
                      <w:marTop w:val="0"/>
                      <w:marBottom w:val="0"/>
                      <w:divBdr>
                        <w:top w:val="none" w:sz="0" w:space="0" w:color="auto"/>
                        <w:left w:val="none" w:sz="0" w:space="0" w:color="auto"/>
                        <w:bottom w:val="none" w:sz="0" w:space="0" w:color="auto"/>
                        <w:right w:val="none" w:sz="0" w:space="0" w:color="auto"/>
                      </w:divBdr>
                    </w:div>
                  </w:divsChild>
                </w:div>
                <w:div w:id="1654792940">
                  <w:marLeft w:val="0"/>
                  <w:marRight w:val="0"/>
                  <w:marTop w:val="0"/>
                  <w:marBottom w:val="0"/>
                  <w:divBdr>
                    <w:top w:val="none" w:sz="0" w:space="0" w:color="auto"/>
                    <w:left w:val="none" w:sz="0" w:space="0" w:color="auto"/>
                    <w:bottom w:val="none" w:sz="0" w:space="0" w:color="auto"/>
                    <w:right w:val="none" w:sz="0" w:space="0" w:color="auto"/>
                  </w:divBdr>
                  <w:divsChild>
                    <w:div w:id="872961122">
                      <w:marLeft w:val="0"/>
                      <w:marRight w:val="0"/>
                      <w:marTop w:val="0"/>
                      <w:marBottom w:val="0"/>
                      <w:divBdr>
                        <w:top w:val="none" w:sz="0" w:space="0" w:color="auto"/>
                        <w:left w:val="none" w:sz="0" w:space="0" w:color="auto"/>
                        <w:bottom w:val="none" w:sz="0" w:space="0" w:color="auto"/>
                        <w:right w:val="none" w:sz="0" w:space="0" w:color="auto"/>
                      </w:divBdr>
                    </w:div>
                  </w:divsChild>
                </w:div>
                <w:div w:id="1792704110">
                  <w:marLeft w:val="0"/>
                  <w:marRight w:val="0"/>
                  <w:marTop w:val="0"/>
                  <w:marBottom w:val="0"/>
                  <w:divBdr>
                    <w:top w:val="none" w:sz="0" w:space="0" w:color="auto"/>
                    <w:left w:val="none" w:sz="0" w:space="0" w:color="auto"/>
                    <w:bottom w:val="none" w:sz="0" w:space="0" w:color="auto"/>
                    <w:right w:val="none" w:sz="0" w:space="0" w:color="auto"/>
                  </w:divBdr>
                  <w:divsChild>
                    <w:div w:id="8917816">
                      <w:marLeft w:val="0"/>
                      <w:marRight w:val="0"/>
                      <w:marTop w:val="0"/>
                      <w:marBottom w:val="0"/>
                      <w:divBdr>
                        <w:top w:val="none" w:sz="0" w:space="0" w:color="auto"/>
                        <w:left w:val="none" w:sz="0" w:space="0" w:color="auto"/>
                        <w:bottom w:val="none" w:sz="0" w:space="0" w:color="auto"/>
                        <w:right w:val="none" w:sz="0" w:space="0" w:color="auto"/>
                      </w:divBdr>
                    </w:div>
                  </w:divsChild>
                </w:div>
                <w:div w:id="1817067855">
                  <w:marLeft w:val="0"/>
                  <w:marRight w:val="0"/>
                  <w:marTop w:val="0"/>
                  <w:marBottom w:val="0"/>
                  <w:divBdr>
                    <w:top w:val="none" w:sz="0" w:space="0" w:color="auto"/>
                    <w:left w:val="none" w:sz="0" w:space="0" w:color="auto"/>
                    <w:bottom w:val="none" w:sz="0" w:space="0" w:color="auto"/>
                    <w:right w:val="none" w:sz="0" w:space="0" w:color="auto"/>
                  </w:divBdr>
                  <w:divsChild>
                    <w:div w:id="1190951997">
                      <w:marLeft w:val="0"/>
                      <w:marRight w:val="0"/>
                      <w:marTop w:val="0"/>
                      <w:marBottom w:val="0"/>
                      <w:divBdr>
                        <w:top w:val="none" w:sz="0" w:space="0" w:color="auto"/>
                        <w:left w:val="none" w:sz="0" w:space="0" w:color="auto"/>
                        <w:bottom w:val="none" w:sz="0" w:space="0" w:color="auto"/>
                        <w:right w:val="none" w:sz="0" w:space="0" w:color="auto"/>
                      </w:divBdr>
                    </w:div>
                  </w:divsChild>
                </w:div>
                <w:div w:id="1882135436">
                  <w:marLeft w:val="0"/>
                  <w:marRight w:val="0"/>
                  <w:marTop w:val="0"/>
                  <w:marBottom w:val="0"/>
                  <w:divBdr>
                    <w:top w:val="none" w:sz="0" w:space="0" w:color="auto"/>
                    <w:left w:val="none" w:sz="0" w:space="0" w:color="auto"/>
                    <w:bottom w:val="none" w:sz="0" w:space="0" w:color="auto"/>
                    <w:right w:val="none" w:sz="0" w:space="0" w:color="auto"/>
                  </w:divBdr>
                  <w:divsChild>
                    <w:div w:id="1630545682">
                      <w:marLeft w:val="0"/>
                      <w:marRight w:val="0"/>
                      <w:marTop w:val="0"/>
                      <w:marBottom w:val="0"/>
                      <w:divBdr>
                        <w:top w:val="none" w:sz="0" w:space="0" w:color="auto"/>
                        <w:left w:val="none" w:sz="0" w:space="0" w:color="auto"/>
                        <w:bottom w:val="none" w:sz="0" w:space="0" w:color="auto"/>
                        <w:right w:val="none" w:sz="0" w:space="0" w:color="auto"/>
                      </w:divBdr>
                    </w:div>
                  </w:divsChild>
                </w:div>
                <w:div w:id="1928221297">
                  <w:marLeft w:val="0"/>
                  <w:marRight w:val="0"/>
                  <w:marTop w:val="0"/>
                  <w:marBottom w:val="0"/>
                  <w:divBdr>
                    <w:top w:val="none" w:sz="0" w:space="0" w:color="auto"/>
                    <w:left w:val="none" w:sz="0" w:space="0" w:color="auto"/>
                    <w:bottom w:val="none" w:sz="0" w:space="0" w:color="auto"/>
                    <w:right w:val="none" w:sz="0" w:space="0" w:color="auto"/>
                  </w:divBdr>
                  <w:divsChild>
                    <w:div w:id="1567498585">
                      <w:marLeft w:val="0"/>
                      <w:marRight w:val="0"/>
                      <w:marTop w:val="0"/>
                      <w:marBottom w:val="0"/>
                      <w:divBdr>
                        <w:top w:val="none" w:sz="0" w:space="0" w:color="auto"/>
                        <w:left w:val="none" w:sz="0" w:space="0" w:color="auto"/>
                        <w:bottom w:val="none" w:sz="0" w:space="0" w:color="auto"/>
                        <w:right w:val="none" w:sz="0" w:space="0" w:color="auto"/>
                      </w:divBdr>
                    </w:div>
                  </w:divsChild>
                </w:div>
                <w:div w:id="1937975282">
                  <w:marLeft w:val="0"/>
                  <w:marRight w:val="0"/>
                  <w:marTop w:val="0"/>
                  <w:marBottom w:val="0"/>
                  <w:divBdr>
                    <w:top w:val="none" w:sz="0" w:space="0" w:color="auto"/>
                    <w:left w:val="none" w:sz="0" w:space="0" w:color="auto"/>
                    <w:bottom w:val="none" w:sz="0" w:space="0" w:color="auto"/>
                    <w:right w:val="none" w:sz="0" w:space="0" w:color="auto"/>
                  </w:divBdr>
                  <w:divsChild>
                    <w:div w:id="1851067052">
                      <w:marLeft w:val="0"/>
                      <w:marRight w:val="0"/>
                      <w:marTop w:val="0"/>
                      <w:marBottom w:val="0"/>
                      <w:divBdr>
                        <w:top w:val="none" w:sz="0" w:space="0" w:color="auto"/>
                        <w:left w:val="none" w:sz="0" w:space="0" w:color="auto"/>
                        <w:bottom w:val="none" w:sz="0" w:space="0" w:color="auto"/>
                        <w:right w:val="none" w:sz="0" w:space="0" w:color="auto"/>
                      </w:divBdr>
                    </w:div>
                  </w:divsChild>
                </w:div>
                <w:div w:id="1949966864">
                  <w:marLeft w:val="0"/>
                  <w:marRight w:val="0"/>
                  <w:marTop w:val="0"/>
                  <w:marBottom w:val="0"/>
                  <w:divBdr>
                    <w:top w:val="none" w:sz="0" w:space="0" w:color="auto"/>
                    <w:left w:val="none" w:sz="0" w:space="0" w:color="auto"/>
                    <w:bottom w:val="none" w:sz="0" w:space="0" w:color="auto"/>
                    <w:right w:val="none" w:sz="0" w:space="0" w:color="auto"/>
                  </w:divBdr>
                  <w:divsChild>
                    <w:div w:id="176046194">
                      <w:marLeft w:val="0"/>
                      <w:marRight w:val="0"/>
                      <w:marTop w:val="0"/>
                      <w:marBottom w:val="0"/>
                      <w:divBdr>
                        <w:top w:val="none" w:sz="0" w:space="0" w:color="auto"/>
                        <w:left w:val="none" w:sz="0" w:space="0" w:color="auto"/>
                        <w:bottom w:val="none" w:sz="0" w:space="0" w:color="auto"/>
                        <w:right w:val="none" w:sz="0" w:space="0" w:color="auto"/>
                      </w:divBdr>
                    </w:div>
                  </w:divsChild>
                </w:div>
                <w:div w:id="1960800125">
                  <w:marLeft w:val="0"/>
                  <w:marRight w:val="0"/>
                  <w:marTop w:val="0"/>
                  <w:marBottom w:val="0"/>
                  <w:divBdr>
                    <w:top w:val="none" w:sz="0" w:space="0" w:color="auto"/>
                    <w:left w:val="none" w:sz="0" w:space="0" w:color="auto"/>
                    <w:bottom w:val="none" w:sz="0" w:space="0" w:color="auto"/>
                    <w:right w:val="none" w:sz="0" w:space="0" w:color="auto"/>
                  </w:divBdr>
                  <w:divsChild>
                    <w:div w:id="803425755">
                      <w:marLeft w:val="0"/>
                      <w:marRight w:val="0"/>
                      <w:marTop w:val="0"/>
                      <w:marBottom w:val="0"/>
                      <w:divBdr>
                        <w:top w:val="none" w:sz="0" w:space="0" w:color="auto"/>
                        <w:left w:val="none" w:sz="0" w:space="0" w:color="auto"/>
                        <w:bottom w:val="none" w:sz="0" w:space="0" w:color="auto"/>
                        <w:right w:val="none" w:sz="0" w:space="0" w:color="auto"/>
                      </w:divBdr>
                    </w:div>
                  </w:divsChild>
                </w:div>
                <w:div w:id="2049259617">
                  <w:marLeft w:val="0"/>
                  <w:marRight w:val="0"/>
                  <w:marTop w:val="0"/>
                  <w:marBottom w:val="0"/>
                  <w:divBdr>
                    <w:top w:val="none" w:sz="0" w:space="0" w:color="auto"/>
                    <w:left w:val="none" w:sz="0" w:space="0" w:color="auto"/>
                    <w:bottom w:val="none" w:sz="0" w:space="0" w:color="auto"/>
                    <w:right w:val="none" w:sz="0" w:space="0" w:color="auto"/>
                  </w:divBdr>
                  <w:divsChild>
                    <w:div w:id="1016346941">
                      <w:marLeft w:val="0"/>
                      <w:marRight w:val="0"/>
                      <w:marTop w:val="0"/>
                      <w:marBottom w:val="0"/>
                      <w:divBdr>
                        <w:top w:val="none" w:sz="0" w:space="0" w:color="auto"/>
                        <w:left w:val="none" w:sz="0" w:space="0" w:color="auto"/>
                        <w:bottom w:val="none" w:sz="0" w:space="0" w:color="auto"/>
                        <w:right w:val="none" w:sz="0" w:space="0" w:color="auto"/>
                      </w:divBdr>
                    </w:div>
                  </w:divsChild>
                </w:div>
                <w:div w:id="2095854227">
                  <w:marLeft w:val="0"/>
                  <w:marRight w:val="0"/>
                  <w:marTop w:val="0"/>
                  <w:marBottom w:val="0"/>
                  <w:divBdr>
                    <w:top w:val="none" w:sz="0" w:space="0" w:color="auto"/>
                    <w:left w:val="none" w:sz="0" w:space="0" w:color="auto"/>
                    <w:bottom w:val="none" w:sz="0" w:space="0" w:color="auto"/>
                    <w:right w:val="none" w:sz="0" w:space="0" w:color="auto"/>
                  </w:divBdr>
                  <w:divsChild>
                    <w:div w:id="1476754604">
                      <w:marLeft w:val="0"/>
                      <w:marRight w:val="0"/>
                      <w:marTop w:val="0"/>
                      <w:marBottom w:val="0"/>
                      <w:divBdr>
                        <w:top w:val="none" w:sz="0" w:space="0" w:color="auto"/>
                        <w:left w:val="none" w:sz="0" w:space="0" w:color="auto"/>
                        <w:bottom w:val="none" w:sz="0" w:space="0" w:color="auto"/>
                        <w:right w:val="none" w:sz="0" w:space="0" w:color="auto"/>
                      </w:divBdr>
                    </w:div>
                  </w:divsChild>
                </w:div>
                <w:div w:id="2126583395">
                  <w:marLeft w:val="0"/>
                  <w:marRight w:val="0"/>
                  <w:marTop w:val="0"/>
                  <w:marBottom w:val="0"/>
                  <w:divBdr>
                    <w:top w:val="none" w:sz="0" w:space="0" w:color="auto"/>
                    <w:left w:val="none" w:sz="0" w:space="0" w:color="auto"/>
                    <w:bottom w:val="none" w:sz="0" w:space="0" w:color="auto"/>
                    <w:right w:val="none" w:sz="0" w:space="0" w:color="auto"/>
                  </w:divBdr>
                  <w:divsChild>
                    <w:div w:id="11109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75058">
          <w:marLeft w:val="0"/>
          <w:marRight w:val="0"/>
          <w:marTop w:val="0"/>
          <w:marBottom w:val="0"/>
          <w:divBdr>
            <w:top w:val="none" w:sz="0" w:space="0" w:color="auto"/>
            <w:left w:val="none" w:sz="0" w:space="0" w:color="auto"/>
            <w:bottom w:val="none" w:sz="0" w:space="0" w:color="auto"/>
            <w:right w:val="none" w:sz="0" w:space="0" w:color="auto"/>
          </w:divBdr>
        </w:div>
        <w:div w:id="1846507719">
          <w:marLeft w:val="0"/>
          <w:marRight w:val="0"/>
          <w:marTop w:val="0"/>
          <w:marBottom w:val="0"/>
          <w:divBdr>
            <w:top w:val="none" w:sz="0" w:space="0" w:color="auto"/>
            <w:left w:val="none" w:sz="0" w:space="0" w:color="auto"/>
            <w:bottom w:val="none" w:sz="0" w:space="0" w:color="auto"/>
            <w:right w:val="none" w:sz="0" w:space="0" w:color="auto"/>
          </w:divBdr>
          <w:divsChild>
            <w:div w:id="562565555">
              <w:marLeft w:val="0"/>
              <w:marRight w:val="0"/>
              <w:marTop w:val="0"/>
              <w:marBottom w:val="0"/>
              <w:divBdr>
                <w:top w:val="none" w:sz="0" w:space="0" w:color="auto"/>
                <w:left w:val="none" w:sz="0" w:space="0" w:color="auto"/>
                <w:bottom w:val="none" w:sz="0" w:space="0" w:color="auto"/>
                <w:right w:val="none" w:sz="0" w:space="0" w:color="auto"/>
              </w:divBdr>
            </w:div>
            <w:div w:id="1880626847">
              <w:marLeft w:val="0"/>
              <w:marRight w:val="0"/>
              <w:marTop w:val="0"/>
              <w:marBottom w:val="0"/>
              <w:divBdr>
                <w:top w:val="none" w:sz="0" w:space="0" w:color="auto"/>
                <w:left w:val="none" w:sz="0" w:space="0" w:color="auto"/>
                <w:bottom w:val="none" w:sz="0" w:space="0" w:color="auto"/>
                <w:right w:val="none" w:sz="0" w:space="0" w:color="auto"/>
              </w:divBdr>
            </w:div>
          </w:divsChild>
        </w:div>
        <w:div w:id="1846941968">
          <w:marLeft w:val="0"/>
          <w:marRight w:val="0"/>
          <w:marTop w:val="0"/>
          <w:marBottom w:val="0"/>
          <w:divBdr>
            <w:top w:val="none" w:sz="0" w:space="0" w:color="auto"/>
            <w:left w:val="none" w:sz="0" w:space="0" w:color="auto"/>
            <w:bottom w:val="none" w:sz="0" w:space="0" w:color="auto"/>
            <w:right w:val="none" w:sz="0" w:space="0" w:color="auto"/>
          </w:divBdr>
        </w:div>
        <w:div w:id="1963270735">
          <w:marLeft w:val="0"/>
          <w:marRight w:val="0"/>
          <w:marTop w:val="0"/>
          <w:marBottom w:val="0"/>
          <w:divBdr>
            <w:top w:val="none" w:sz="0" w:space="0" w:color="auto"/>
            <w:left w:val="none" w:sz="0" w:space="0" w:color="auto"/>
            <w:bottom w:val="none" w:sz="0" w:space="0" w:color="auto"/>
            <w:right w:val="none" w:sz="0" w:space="0" w:color="auto"/>
          </w:divBdr>
          <w:divsChild>
            <w:div w:id="356004461">
              <w:marLeft w:val="0"/>
              <w:marRight w:val="0"/>
              <w:marTop w:val="0"/>
              <w:marBottom w:val="0"/>
              <w:divBdr>
                <w:top w:val="none" w:sz="0" w:space="0" w:color="auto"/>
                <w:left w:val="none" w:sz="0" w:space="0" w:color="auto"/>
                <w:bottom w:val="none" w:sz="0" w:space="0" w:color="auto"/>
                <w:right w:val="none" w:sz="0" w:space="0" w:color="auto"/>
              </w:divBdr>
            </w:div>
            <w:div w:id="1027684331">
              <w:marLeft w:val="0"/>
              <w:marRight w:val="0"/>
              <w:marTop w:val="0"/>
              <w:marBottom w:val="0"/>
              <w:divBdr>
                <w:top w:val="none" w:sz="0" w:space="0" w:color="auto"/>
                <w:left w:val="none" w:sz="0" w:space="0" w:color="auto"/>
                <w:bottom w:val="none" w:sz="0" w:space="0" w:color="auto"/>
                <w:right w:val="none" w:sz="0" w:space="0" w:color="auto"/>
              </w:divBdr>
            </w:div>
            <w:div w:id="1243291743">
              <w:marLeft w:val="0"/>
              <w:marRight w:val="0"/>
              <w:marTop w:val="0"/>
              <w:marBottom w:val="0"/>
              <w:divBdr>
                <w:top w:val="none" w:sz="0" w:space="0" w:color="auto"/>
                <w:left w:val="none" w:sz="0" w:space="0" w:color="auto"/>
                <w:bottom w:val="none" w:sz="0" w:space="0" w:color="auto"/>
                <w:right w:val="none" w:sz="0" w:space="0" w:color="auto"/>
              </w:divBdr>
            </w:div>
            <w:div w:id="1268460781">
              <w:marLeft w:val="0"/>
              <w:marRight w:val="0"/>
              <w:marTop w:val="0"/>
              <w:marBottom w:val="0"/>
              <w:divBdr>
                <w:top w:val="none" w:sz="0" w:space="0" w:color="auto"/>
                <w:left w:val="none" w:sz="0" w:space="0" w:color="auto"/>
                <w:bottom w:val="none" w:sz="0" w:space="0" w:color="auto"/>
                <w:right w:val="none" w:sz="0" w:space="0" w:color="auto"/>
              </w:divBdr>
            </w:div>
            <w:div w:id="1425494340">
              <w:marLeft w:val="0"/>
              <w:marRight w:val="0"/>
              <w:marTop w:val="0"/>
              <w:marBottom w:val="0"/>
              <w:divBdr>
                <w:top w:val="none" w:sz="0" w:space="0" w:color="auto"/>
                <w:left w:val="none" w:sz="0" w:space="0" w:color="auto"/>
                <w:bottom w:val="none" w:sz="0" w:space="0" w:color="auto"/>
                <w:right w:val="none" w:sz="0" w:space="0" w:color="auto"/>
              </w:divBdr>
            </w:div>
          </w:divsChild>
        </w:div>
        <w:div w:id="2057309832">
          <w:marLeft w:val="0"/>
          <w:marRight w:val="0"/>
          <w:marTop w:val="0"/>
          <w:marBottom w:val="0"/>
          <w:divBdr>
            <w:top w:val="none" w:sz="0" w:space="0" w:color="auto"/>
            <w:left w:val="none" w:sz="0" w:space="0" w:color="auto"/>
            <w:bottom w:val="none" w:sz="0" w:space="0" w:color="auto"/>
            <w:right w:val="none" w:sz="0" w:space="0" w:color="auto"/>
          </w:divBdr>
        </w:div>
      </w:divsChild>
    </w:div>
    <w:div w:id="2095394290">
      <w:bodyDiv w:val="1"/>
      <w:marLeft w:val="0"/>
      <w:marRight w:val="0"/>
      <w:marTop w:val="0"/>
      <w:marBottom w:val="0"/>
      <w:divBdr>
        <w:top w:val="none" w:sz="0" w:space="0" w:color="auto"/>
        <w:left w:val="none" w:sz="0" w:space="0" w:color="auto"/>
        <w:bottom w:val="none" w:sz="0" w:space="0" w:color="auto"/>
        <w:right w:val="none" w:sz="0" w:space="0" w:color="auto"/>
      </w:divBdr>
    </w:div>
    <w:div w:id="2106000661">
      <w:bodyDiv w:val="1"/>
      <w:marLeft w:val="0"/>
      <w:marRight w:val="0"/>
      <w:marTop w:val="0"/>
      <w:marBottom w:val="0"/>
      <w:divBdr>
        <w:top w:val="none" w:sz="0" w:space="0" w:color="auto"/>
        <w:left w:val="none" w:sz="0" w:space="0" w:color="auto"/>
        <w:bottom w:val="none" w:sz="0" w:space="0" w:color="auto"/>
        <w:right w:val="none" w:sz="0" w:space="0" w:color="auto"/>
      </w:divBdr>
    </w:div>
    <w:div w:id="2106146777">
      <w:bodyDiv w:val="1"/>
      <w:marLeft w:val="0"/>
      <w:marRight w:val="0"/>
      <w:marTop w:val="0"/>
      <w:marBottom w:val="0"/>
      <w:divBdr>
        <w:top w:val="none" w:sz="0" w:space="0" w:color="auto"/>
        <w:left w:val="none" w:sz="0" w:space="0" w:color="auto"/>
        <w:bottom w:val="none" w:sz="0" w:space="0" w:color="auto"/>
        <w:right w:val="none" w:sz="0" w:space="0" w:color="auto"/>
      </w:divBdr>
    </w:div>
    <w:div w:id="2128616724">
      <w:bodyDiv w:val="1"/>
      <w:marLeft w:val="0"/>
      <w:marRight w:val="0"/>
      <w:marTop w:val="0"/>
      <w:marBottom w:val="0"/>
      <w:divBdr>
        <w:top w:val="none" w:sz="0" w:space="0" w:color="auto"/>
        <w:left w:val="none" w:sz="0" w:space="0" w:color="auto"/>
        <w:bottom w:val="none" w:sz="0" w:space="0" w:color="auto"/>
        <w:right w:val="none" w:sz="0" w:space="0" w:color="auto"/>
      </w:divBdr>
      <w:divsChild>
        <w:div w:id="635988682">
          <w:marLeft w:val="0"/>
          <w:marRight w:val="0"/>
          <w:marTop w:val="0"/>
          <w:marBottom w:val="0"/>
          <w:divBdr>
            <w:top w:val="none" w:sz="0" w:space="0" w:color="auto"/>
            <w:left w:val="none" w:sz="0" w:space="0" w:color="auto"/>
            <w:bottom w:val="none" w:sz="0" w:space="0" w:color="auto"/>
            <w:right w:val="none" w:sz="0" w:space="0" w:color="auto"/>
          </w:divBdr>
        </w:div>
        <w:div w:id="1786346444">
          <w:marLeft w:val="0"/>
          <w:marRight w:val="0"/>
          <w:marTop w:val="0"/>
          <w:marBottom w:val="0"/>
          <w:divBdr>
            <w:top w:val="none" w:sz="0" w:space="0" w:color="auto"/>
            <w:left w:val="none" w:sz="0" w:space="0" w:color="auto"/>
            <w:bottom w:val="none" w:sz="0" w:space="0" w:color="auto"/>
            <w:right w:val="none" w:sz="0" w:space="0" w:color="auto"/>
          </w:divBdr>
        </w:div>
      </w:divsChild>
    </w:div>
    <w:div w:id="2137677772">
      <w:bodyDiv w:val="1"/>
      <w:marLeft w:val="0"/>
      <w:marRight w:val="0"/>
      <w:marTop w:val="0"/>
      <w:marBottom w:val="0"/>
      <w:divBdr>
        <w:top w:val="none" w:sz="0" w:space="0" w:color="auto"/>
        <w:left w:val="none" w:sz="0" w:space="0" w:color="auto"/>
        <w:bottom w:val="none" w:sz="0" w:space="0" w:color="auto"/>
        <w:right w:val="none" w:sz="0" w:space="0" w:color="auto"/>
      </w:divBdr>
    </w:div>
    <w:div w:id="213798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header" Target="header15.xml"/><Relationship Id="rId47" Type="http://schemas.openxmlformats.org/officeDocument/2006/relationships/footer" Target="footer17.xml"/><Relationship Id="rId50" Type="http://schemas.openxmlformats.org/officeDocument/2006/relationships/hyperlink" Target="https://commission.europa.eu/document/455c1bda-8c39-48f0-971c-86758f8b7c90_en" TargetMode="External"/><Relationship Id="rId55" Type="http://schemas.openxmlformats.org/officeDocument/2006/relationships/header" Target="header21.xml"/><Relationship Id="rId63" Type="http://schemas.openxmlformats.org/officeDocument/2006/relationships/header" Target="header25.xml"/><Relationship Id="rId68" Type="http://schemas.openxmlformats.org/officeDocument/2006/relationships/footer" Target="footer27.xml"/><Relationship Id="rId76" Type="http://schemas.openxmlformats.org/officeDocument/2006/relationships/header" Target="header32.xml"/><Relationship Id="rId84" Type="http://schemas.openxmlformats.org/officeDocument/2006/relationships/footer" Target="footer35.xml"/><Relationship Id="rId89" Type="http://schemas.openxmlformats.org/officeDocument/2006/relationships/footer" Target="footer37.xml"/><Relationship Id="rId97" Type="http://schemas.openxmlformats.org/officeDocument/2006/relationships/header" Target="header42.xml"/><Relationship Id="rId7" Type="http://schemas.openxmlformats.org/officeDocument/2006/relationships/settings" Target="settings.xml"/><Relationship Id="rId71" Type="http://schemas.openxmlformats.org/officeDocument/2006/relationships/footer" Target="footer28.xml"/><Relationship Id="rId92" Type="http://schemas.openxmlformats.org/officeDocument/2006/relationships/footer" Target="footer39.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image" Target="media/image1.emf"/><Relationship Id="rId24" Type="http://schemas.openxmlformats.org/officeDocument/2006/relationships/image" Target="media/image2.png"/><Relationship Id="rId32" Type="http://schemas.openxmlformats.org/officeDocument/2006/relationships/header" Target="header11.xml"/><Relationship Id="rId37" Type="http://schemas.openxmlformats.org/officeDocument/2006/relationships/image" Target="media/image3.png"/><Relationship Id="rId40" Type="http://schemas.openxmlformats.org/officeDocument/2006/relationships/footer" Target="footer13.xml"/><Relationship Id="rId45" Type="http://schemas.openxmlformats.org/officeDocument/2006/relationships/header" Target="header17.xml"/><Relationship Id="rId53" Type="http://schemas.openxmlformats.org/officeDocument/2006/relationships/footer" Target="footer19.xml"/><Relationship Id="rId58" Type="http://schemas.openxmlformats.org/officeDocument/2006/relationships/header" Target="header23.xml"/><Relationship Id="rId66" Type="http://schemas.openxmlformats.org/officeDocument/2006/relationships/footer" Target="footer26.xml"/><Relationship Id="rId74" Type="http://schemas.openxmlformats.org/officeDocument/2006/relationships/footer" Target="footer30.xml"/><Relationship Id="rId79" Type="http://schemas.openxmlformats.org/officeDocument/2006/relationships/header" Target="header33.xml"/><Relationship Id="rId87" Type="http://schemas.openxmlformats.org/officeDocument/2006/relationships/header" Target="header37.xml"/><Relationship Id="rId5" Type="http://schemas.openxmlformats.org/officeDocument/2006/relationships/numbering" Target="numbering.xml"/><Relationship Id="rId61" Type="http://schemas.openxmlformats.org/officeDocument/2006/relationships/header" Target="header24.xml"/><Relationship Id="rId82" Type="http://schemas.openxmlformats.org/officeDocument/2006/relationships/header" Target="header35.xml"/><Relationship Id="rId90" Type="http://schemas.openxmlformats.org/officeDocument/2006/relationships/footer" Target="footer38.xml"/><Relationship Id="rId95" Type="http://schemas.openxmlformats.org/officeDocument/2006/relationships/footer" Target="footer40.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footer" Target="footer15.xml"/><Relationship Id="rId48" Type="http://schemas.openxmlformats.org/officeDocument/2006/relationships/header" Target="header18.xml"/><Relationship Id="rId56" Type="http://schemas.openxmlformats.org/officeDocument/2006/relationships/footer" Target="footer21.xml"/><Relationship Id="rId64" Type="http://schemas.openxmlformats.org/officeDocument/2006/relationships/header" Target="header26.xml"/><Relationship Id="rId69" Type="http://schemas.openxmlformats.org/officeDocument/2006/relationships/header" Target="header28.xml"/><Relationship Id="rId77" Type="http://schemas.openxmlformats.org/officeDocument/2006/relationships/footer" Target="footer31.xm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footer" Target="footer29.xml"/><Relationship Id="rId80" Type="http://schemas.openxmlformats.org/officeDocument/2006/relationships/footer" Target="footer33.xml"/><Relationship Id="rId85" Type="http://schemas.openxmlformats.org/officeDocument/2006/relationships/header" Target="header36.xml"/><Relationship Id="rId93" Type="http://schemas.openxmlformats.org/officeDocument/2006/relationships/header" Target="header40.xml"/><Relationship Id="rId98" Type="http://schemas.openxmlformats.org/officeDocument/2006/relationships/footer" Target="footer4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footer" Target="footer22.xml"/><Relationship Id="rId67" Type="http://schemas.openxmlformats.org/officeDocument/2006/relationships/header" Target="header27.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footer" Target="footer20.xml"/><Relationship Id="rId62" Type="http://schemas.openxmlformats.org/officeDocument/2006/relationships/footer" Target="footer24.xml"/><Relationship Id="rId70" Type="http://schemas.openxmlformats.org/officeDocument/2006/relationships/header" Target="header29.xml"/><Relationship Id="rId75" Type="http://schemas.openxmlformats.org/officeDocument/2006/relationships/header" Target="header31.xml"/><Relationship Id="rId83" Type="http://schemas.openxmlformats.org/officeDocument/2006/relationships/footer" Target="footer34.xml"/><Relationship Id="rId88" Type="http://schemas.openxmlformats.org/officeDocument/2006/relationships/header" Target="header38.xml"/><Relationship Id="rId91" Type="http://schemas.openxmlformats.org/officeDocument/2006/relationships/header" Target="header39.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8.xml"/><Relationship Id="rId57" Type="http://schemas.openxmlformats.org/officeDocument/2006/relationships/header" Target="header22.xml"/><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footer" Target="footer23.xml"/><Relationship Id="rId65" Type="http://schemas.openxmlformats.org/officeDocument/2006/relationships/footer" Target="footer25.xml"/><Relationship Id="rId73" Type="http://schemas.openxmlformats.org/officeDocument/2006/relationships/header" Target="header30.xml"/><Relationship Id="rId78" Type="http://schemas.openxmlformats.org/officeDocument/2006/relationships/footer" Target="footer32.xml"/><Relationship Id="rId81" Type="http://schemas.openxmlformats.org/officeDocument/2006/relationships/header" Target="header34.xml"/><Relationship Id="rId86" Type="http://schemas.openxmlformats.org/officeDocument/2006/relationships/footer" Target="footer36.xml"/><Relationship Id="rId94" Type="http://schemas.openxmlformats.org/officeDocument/2006/relationships/header" Target="header41.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4.xml"/></Relationships>
</file>

<file path=word/_rels/footnotes.xml.rels><?xml version="1.0" encoding="UTF-8" standalone="yes"?>
<Relationships xmlns="http://schemas.openxmlformats.org/package/2006/relationships"><Relationship Id="rId13" Type="http://schemas.openxmlformats.org/officeDocument/2006/relationships/hyperlink" Target="https://vtek.lt/wp-content/uploads/2021/06/EN_Law_on_Lobbying_Activities_2021.docx" TargetMode="External"/><Relationship Id="rId18" Type="http://schemas.openxmlformats.org/officeDocument/2006/relationships/hyperlink" Target="https://www.finlex.fi/fi/laki/ajantasa/2023/20230430" TargetMode="External"/><Relationship Id="rId26" Type="http://schemas.openxmlformats.org/officeDocument/2006/relationships/hyperlink" Target="https://fra.europa.eu/en/publication/2022/fundamental-rights-report-2022-fra-opinions" TargetMode="External"/><Relationship Id="rId39" Type="http://schemas.openxmlformats.org/officeDocument/2006/relationships/hyperlink" Target="https://ue.delegfrance.org/IMG/pdf/2020-global-go-to-think-tank-index-report.pdf?10776/1d1ab740b97ef160b63131c3964bc293c14e039e" TargetMode="External"/><Relationship Id="rId21" Type="http://schemas.openxmlformats.org/officeDocument/2006/relationships/hyperlink" Target="https://www.ris.bka.gv.at/GeltendeFassung.wxe?Abfrage=Bundesnormen&amp;Gesetzesnummer=20007924" TargetMode="External"/><Relationship Id="rId34" Type="http://schemas.openxmlformats.org/officeDocument/2006/relationships/hyperlink" Target="https://www.eeas.europa.eu/eeas/bosnia-and-herzegovina-statement-spokesperson-%E2%80%9Cforeign-agent%E2%80%9D-law-republika-srpska_en" TargetMode="External"/><Relationship Id="rId42" Type="http://schemas.openxmlformats.org/officeDocument/2006/relationships/hyperlink" Target="https://www.ris.bka.gv.at/GeltendeFassung.wxe?Abfrage=Bundesnormen&amp;Gesetzesnummer=20007924" TargetMode="External"/><Relationship Id="rId47" Type="http://schemas.openxmlformats.org/officeDocument/2006/relationships/hyperlink" Target="https://net.jogtar.hu/jogszabaly?docid=a1000131.tv" TargetMode="External"/><Relationship Id="rId50" Type="http://schemas.openxmlformats.org/officeDocument/2006/relationships/hyperlink" Target="https://www.lobbying.ie/media/6262/frequently-asked-questions-june.pdf" TargetMode="External"/><Relationship Id="rId55" Type="http://schemas.openxmlformats.org/officeDocument/2006/relationships/hyperlink" Target="https://www.kpk-rs.si/en/wp-content/uploads/sites/2/2021/03/ZintPK-ENG-3.pdf" TargetMode="External"/><Relationship Id="rId7" Type="http://schemas.openxmlformats.org/officeDocument/2006/relationships/hyperlink" Target="https://www.kpk-rs.si/kpk/wp-content/uploads/2018/06/ZintPK-ENG.pdf.pdf" TargetMode="External"/><Relationship Id="rId2" Type="http://schemas.openxmlformats.org/officeDocument/2006/relationships/hyperlink" Target="https://op.europa.eu/en/publication-detail/-/publication/a224c235-4843-11ed-92ed-01aa75ed71a1/language-en" TargetMode="External"/><Relationship Id="rId16" Type="http://schemas.openxmlformats.org/officeDocument/2006/relationships/hyperlink" Target="https://www.irishstatutebook.ie/eli/2015/act/5/enacted/en/print.html" TargetMode="External"/><Relationship Id="rId20" Type="http://schemas.openxmlformats.org/officeDocument/2006/relationships/hyperlink" Target="https://vtek.lt/wp-content/uploads/2021/06/EN_Law_on_Lobbying_Activities_2021.docx" TargetMode="External"/><Relationship Id="rId29" Type="http://schemas.openxmlformats.org/officeDocument/2006/relationships/hyperlink" Target="https://www.eeas.europa.eu/eeas/georgia-statement-high-representative-adoption-%E2%80%9Cforeign-influence%E2%80%9D-law_en" TargetMode="External"/><Relationship Id="rId41" Type="http://schemas.openxmlformats.org/officeDocument/2006/relationships/hyperlink" Target="https://www.rechnungshof.gv.at/rh/home/home/BUND_2019_45_Lobbying_Register.pdf" TargetMode="External"/><Relationship Id="rId54" Type="http://schemas.openxmlformats.org/officeDocument/2006/relationships/hyperlink" Target="https://www.degepol.de/ethik-t" TargetMode="External"/><Relationship Id="rId62" Type="http://schemas.openxmlformats.org/officeDocument/2006/relationships/hyperlink" Target="https://www.eeas.europa.eu/eeas/strategic-compass-security-and-defence-1_en" TargetMode="External"/><Relationship Id="rId1" Type="http://schemas.openxmlformats.org/officeDocument/2006/relationships/hyperlink" Target="https://digital-strategy.ec.europa.eu/en/policies/code-practice-disinformation" TargetMode="External"/><Relationship Id="rId6" Type="http://schemas.openxmlformats.org/officeDocument/2006/relationships/hyperlink" Target="https://www.taxheaven.gr/law/4829/2021" TargetMode="External"/><Relationship Id="rId11" Type="http://schemas.openxmlformats.org/officeDocument/2006/relationships/hyperlink" Target="https://www.kpk-rs.si/kpk/wp-content/uploads/2018/06/ZintPK-ENG.pdf.pdf" TargetMode="External"/><Relationship Id="rId24" Type="http://schemas.openxmlformats.org/officeDocument/2006/relationships/hyperlink" Target="https://commission.europa.eu/system/files/2022-07/48_1_194008_coun_chap_poland_en.pdf" TargetMode="External"/><Relationship Id="rId32" Type="http://schemas.openxmlformats.org/officeDocument/2006/relationships/hyperlink" Target="https://www.icnl.org/wp-content/uploads/FARA-briefing_Final_c.pdf" TargetMode="External"/><Relationship Id="rId37" Type="http://schemas.openxmlformats.org/officeDocument/2006/relationships/hyperlink" Target="https://www.ag.gov.au/integrity/foreign-influence-transparency-scheme" TargetMode="External"/><Relationship Id="rId40" Type="http://schemas.openxmlformats.org/officeDocument/2006/relationships/hyperlink" Target="https://repository.upenn.edu/think_tanks" TargetMode="External"/><Relationship Id="rId45" Type="http://schemas.openxmlformats.org/officeDocument/2006/relationships/hyperlink" Target="http://www.cylaw.org/nomoi/enop/non-ind/2022_1_20/full.html" TargetMode="External"/><Relationship Id="rId53" Type="http://schemas.openxmlformats.org/officeDocument/2006/relationships/hyperlink" Target="https://www.hgk.hr/documents/hgk-katalog-savjetodavnih-usluga-zajednice-poslovnih-savjetnika-drugo-izdanje596737316fb04.pdf" TargetMode="External"/><Relationship Id="rId58" Type="http://schemas.openxmlformats.org/officeDocument/2006/relationships/hyperlink" Target="mailto:registredetransparence@chd.lu" TargetMode="External"/><Relationship Id="rId5" Type="http://schemas.openxmlformats.org/officeDocument/2006/relationships/hyperlink" Target="https://vtek.lt/wp-content/uploads/2021/06/EN_Law_on_Lobbying_Activities_2021.docx" TargetMode="External"/><Relationship Id="rId15" Type="http://schemas.openxmlformats.org/officeDocument/2006/relationships/hyperlink" Target="https://www.irishstatutebook.ie/eli/2015/act/5/enacted/en/print.html" TargetMode="External"/><Relationship Id="rId23" Type="http://schemas.openxmlformats.org/officeDocument/2006/relationships/hyperlink" Target="https://commission.europa.eu/system/files/2022-07/44_1_193999_coun_chap_netherlands_en.pdf" TargetMode="External"/><Relationship Id="rId28" Type="http://schemas.openxmlformats.org/officeDocument/2006/relationships/hyperlink" Target="https://www.consilium.europa.eu/en/press/press-releases/2022/07/20/russia-declaration-by-the-high-representative-on-behalf-of-the-eu-on-the-10th-anniversary-of-the-introduction-of-the-law-on-foreign-agents/" TargetMode="External"/><Relationship Id="rId36" Type="http://schemas.openxmlformats.org/officeDocument/2006/relationships/hyperlink" Target="https://www.justice.gov/nsd-fara" TargetMode="External"/><Relationship Id="rId49" Type="http://schemas.openxmlformats.org/officeDocument/2006/relationships/hyperlink" Target="https://sites.google.com/view/regulating-lobbying/home/work-of-colleagues/the-curious-case-of-international-lobbying" TargetMode="External"/><Relationship Id="rId57" Type="http://schemas.openxmlformats.org/officeDocument/2006/relationships/hyperlink" Target="https://www.parlamento.pt/ActividadeParlamentar/Paginas/DetalheIniciativa.aspx?%20BID=43223" TargetMode="External"/><Relationship Id="rId61" Type="http://schemas.openxmlformats.org/officeDocument/2006/relationships/hyperlink" Target="https://fra.europa.eu/en/publication/2022/fundamental-rights-report-2022-fra-opinions" TargetMode="External"/><Relationship Id="rId10" Type="http://schemas.openxmlformats.org/officeDocument/2006/relationships/hyperlink" Target="https://www.taxheaven.gr/law/4829/2021" TargetMode="External"/><Relationship Id="rId19" Type="http://schemas.openxmlformats.org/officeDocument/2006/relationships/hyperlink" Target="http://www.gesetze-im-internet.de/lobbyrg/BJNR081800021.html" TargetMode="External"/><Relationship Id="rId31" Type="http://schemas.openxmlformats.org/officeDocument/2006/relationships/hyperlink" Target="https://www.venice.coe.int/webforms/documents/default.aspx?pdffile=CDL-AD(2023)016-e" TargetMode="External"/><Relationship Id="rId44" Type="http://schemas.openxmlformats.org/officeDocument/2006/relationships/hyperlink" Target="https://www.lachambre.be/kvvcr/pdf_sections/publications/reglement/reglementFR.pdf" TargetMode="External"/><Relationship Id="rId52" Type="http://schemas.openxmlformats.org/officeDocument/2006/relationships/hyperlink" Target="https://isap.sejm.gov.pl/isap.nsf/DocDetails.xsp?id=WDU20051691414" TargetMode="External"/><Relationship Id="rId60" Type="http://schemas.openxmlformats.org/officeDocument/2006/relationships/hyperlink" Target="https://www.statista.com/statistics/1373419/eu-gdp-percentage-share-member-state-2022/" TargetMode="External"/><Relationship Id="rId4" Type="http://schemas.openxmlformats.org/officeDocument/2006/relationships/hyperlink" Target="https://doi.org/10.1787/c6d8eff8-en" TargetMode="External"/><Relationship Id="rId9" Type="http://schemas.openxmlformats.org/officeDocument/2006/relationships/hyperlink" Target="http://www.gesetze-im-internet.de/lobbyrg/BJNR081800021.html" TargetMode="External"/><Relationship Id="rId14" Type="http://schemas.openxmlformats.org/officeDocument/2006/relationships/hyperlink" Target="https://www.irishstatutebook.ie/eli/2015/act/5/enacted/en/print.html" TargetMode="External"/><Relationship Id="rId22" Type="http://schemas.openxmlformats.org/officeDocument/2006/relationships/hyperlink" Target="https://www.fes.de/en/survey-european-sovereignty" TargetMode="External"/><Relationship Id="rId27" Type="http://schemas.openxmlformats.org/officeDocument/2006/relationships/hyperlink" Target="https://research-and-innovation.ec.europa.eu/news/all-research-and-innovation-news/commission-publishes-toolkit-help-mitigate-foreign-interference-research-and-innovation-2022-01-18_en" TargetMode="External"/><Relationship Id="rId30" Type="http://schemas.openxmlformats.org/officeDocument/2006/relationships/hyperlink" Target="https://www.eeas.europa.eu/delegations/bosnia-and-herzegovina/eu-bih-recent-developments-rs_en?s=219" TargetMode="External"/><Relationship Id="rId35" Type="http://schemas.openxmlformats.org/officeDocument/2006/relationships/hyperlink" Target="https://www.icnl.org/post/analysis/u-s-program-comments-faras-impact-on-civil-society" TargetMode="External"/><Relationship Id="rId43" Type="http://schemas.openxmlformats.org/officeDocument/2006/relationships/hyperlink" Target="https://www.bmj.gv.at/dam/jcr:99f2bda7-4e79-4e7d-8b10-975c64cf0374/report_on_the_austrian_transparency_act2013.pdf" TargetMode="External"/><Relationship Id="rId48" Type="http://schemas.openxmlformats.org/officeDocument/2006/relationships/hyperlink" Target="https://revisedacts.lawreform.ie/eli/2015/act/5/revised/en/html" TargetMode="External"/><Relationship Id="rId56" Type="http://schemas.openxmlformats.org/officeDocument/2006/relationships/hyperlink" Target="https://www.boe.es/buscar/act.php?id=BOE-A-2019-967" TargetMode="External"/><Relationship Id="rId8" Type="http://schemas.openxmlformats.org/officeDocument/2006/relationships/hyperlink" Target="https://www.kpk-rs.si/kpk/wp-content/uploads/2018/06/ZintPK-ENG.pdf.pdf" TargetMode="External"/><Relationship Id="rId51" Type="http://schemas.openxmlformats.org/officeDocument/2006/relationships/hyperlink" Target="https://vtek.lt/wp-content/uploads/2021/06/EN_Law_on_Lobbying_Activities_2021.docx" TargetMode="External"/><Relationship Id="rId3" Type="http://schemas.openxmlformats.org/officeDocument/2006/relationships/hyperlink" Target="https://www.eeas.europa.eu/eeas/tackling-disinformation-foreign-information-manipulation-interference_en" TargetMode="External"/><Relationship Id="rId12" Type="http://schemas.openxmlformats.org/officeDocument/2006/relationships/hyperlink" Target="https://www.irishstatutebook.ie/eli/2015/act/5/enacted/en/print.html" TargetMode="External"/><Relationship Id="rId17" Type="http://schemas.openxmlformats.org/officeDocument/2006/relationships/hyperlink" Target="https://www.legifrance.gouv.fr/jorf/id/JORFTEXT000034633293/" TargetMode="External"/><Relationship Id="rId25" Type="http://schemas.openxmlformats.org/officeDocument/2006/relationships/hyperlink" Target="https://eur-lex.europa.eu/legal-content/EN/ALL/?uri=COM%3A2021%3A750%3AFIN" TargetMode="External"/><Relationship Id="rId33" Type="http://schemas.openxmlformats.org/officeDocument/2006/relationships/hyperlink" Target="https://parliament.ge/en/media/news/shalva-papuashvili-dunia-miatovichs-minda-dagartsmunot-saparlamento-diskusiebi-ikneba-inkluziuri-rom-moidzebnos-sauketeso-versia-romelits-gaitvalistsinebs-rogorts-sakartvelos" TargetMode="External"/><Relationship Id="rId38" Type="http://schemas.openxmlformats.org/officeDocument/2006/relationships/hyperlink" Target="https://commission.europa.eu/strategy-and-policy/policies/justice-and-fundamental-rights/upholding-rule-law/rule-law/rule-law-mechanism_en" TargetMode="External"/><Relationship Id="rId46" Type="http://schemas.openxmlformats.org/officeDocument/2006/relationships/hyperlink" Target="http://www.gesetze-im-internet.de/lobbyrg/BJNR081800021.html" TargetMode="External"/><Relationship Id="rId59" Type="http://schemas.openxmlformats.org/officeDocument/2006/relationships/hyperlink" Target="https://data.worldbank.org/indicator/NY.GDP.MKTP.CD?most_recent_value_desc=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8946F0AA494C4BB25CCD4EAB82602F" ma:contentTypeVersion="5" ma:contentTypeDescription="Create a new document." ma:contentTypeScope="" ma:versionID="0d97a774b93029be3a7ced917ad0d426">
  <xsd:schema xmlns:xsd="http://www.w3.org/2001/XMLSchema" xmlns:xs="http://www.w3.org/2001/XMLSchema" xmlns:p="http://schemas.microsoft.com/office/2006/metadata/properties" xmlns:ns2="6f72634d-5da9-4e9f-98c3-3013ce1d074f" xmlns:ns3="013aa35d-30e5-41d1-9a7b-1c862c539650" targetNamespace="http://schemas.microsoft.com/office/2006/metadata/properties" ma:root="true" ma:fieldsID="fe865a228e3382a00d1f63bd8436bcfb" ns2:_="" ns3:_="">
    <xsd:import namespace="6f72634d-5da9-4e9f-98c3-3013ce1d074f"/>
    <xsd:import namespace="013aa35d-30e5-41d1-9a7b-1c862c5396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2634d-5da9-4e9f-98c3-3013ce1d0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3aa35d-30e5-41d1-9a7b-1c862c5396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FA2B89A-F48C-4AA4-AA3E-50BE30CF3EBF}">
  <ds:schemaRefs>
    <ds:schemaRef ds:uri="http://schemas.microsoft.com/sharepoint/v3/contenttype/forms"/>
  </ds:schemaRefs>
</ds:datastoreItem>
</file>

<file path=customXml/itemProps2.xml><?xml version="1.0" encoding="utf-8"?>
<ds:datastoreItem xmlns:ds="http://schemas.openxmlformats.org/officeDocument/2006/customXml" ds:itemID="{CE4DE13E-59B9-4F37-B181-1AFCCCD774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A9B4D4-7651-4375-B001-B1DF3CE1F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2634d-5da9-4e9f-98c3-3013ce1d074f"/>
    <ds:schemaRef ds:uri="013aa35d-30e5-41d1-9a7b-1c862c5396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1F4B5E-4078-4160-9F5B-6489A597A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72963</Words>
  <Characters>415165</Characters>
  <Application>Microsoft Office Word</Application>
  <DocSecurity>0</DocSecurity>
  <Lines>10925</Lines>
  <Paragraphs>6258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481870</CharactersWithSpaces>
  <SharedDoc>false</SharedDoc>
  <HLinks>
    <vt:vector size="774" baseType="variant">
      <vt:variant>
        <vt:i4>1507390</vt:i4>
      </vt:variant>
      <vt:variant>
        <vt:i4>395</vt:i4>
      </vt:variant>
      <vt:variant>
        <vt:i4>0</vt:i4>
      </vt:variant>
      <vt:variant>
        <vt:i4>5</vt:i4>
      </vt:variant>
      <vt:variant>
        <vt:lpwstr/>
      </vt:variant>
      <vt:variant>
        <vt:lpwstr>_Toc151564847</vt:lpwstr>
      </vt:variant>
      <vt:variant>
        <vt:i4>1507390</vt:i4>
      </vt:variant>
      <vt:variant>
        <vt:i4>389</vt:i4>
      </vt:variant>
      <vt:variant>
        <vt:i4>0</vt:i4>
      </vt:variant>
      <vt:variant>
        <vt:i4>5</vt:i4>
      </vt:variant>
      <vt:variant>
        <vt:lpwstr/>
      </vt:variant>
      <vt:variant>
        <vt:lpwstr>_Toc151564846</vt:lpwstr>
      </vt:variant>
      <vt:variant>
        <vt:i4>1507390</vt:i4>
      </vt:variant>
      <vt:variant>
        <vt:i4>383</vt:i4>
      </vt:variant>
      <vt:variant>
        <vt:i4>0</vt:i4>
      </vt:variant>
      <vt:variant>
        <vt:i4>5</vt:i4>
      </vt:variant>
      <vt:variant>
        <vt:lpwstr/>
      </vt:variant>
      <vt:variant>
        <vt:lpwstr>_Toc151564845</vt:lpwstr>
      </vt:variant>
      <vt:variant>
        <vt:i4>1507390</vt:i4>
      </vt:variant>
      <vt:variant>
        <vt:i4>377</vt:i4>
      </vt:variant>
      <vt:variant>
        <vt:i4>0</vt:i4>
      </vt:variant>
      <vt:variant>
        <vt:i4>5</vt:i4>
      </vt:variant>
      <vt:variant>
        <vt:lpwstr/>
      </vt:variant>
      <vt:variant>
        <vt:lpwstr>_Toc151564844</vt:lpwstr>
      </vt:variant>
      <vt:variant>
        <vt:i4>1507390</vt:i4>
      </vt:variant>
      <vt:variant>
        <vt:i4>371</vt:i4>
      </vt:variant>
      <vt:variant>
        <vt:i4>0</vt:i4>
      </vt:variant>
      <vt:variant>
        <vt:i4>5</vt:i4>
      </vt:variant>
      <vt:variant>
        <vt:lpwstr/>
      </vt:variant>
      <vt:variant>
        <vt:lpwstr>_Toc151564843</vt:lpwstr>
      </vt:variant>
      <vt:variant>
        <vt:i4>1507390</vt:i4>
      </vt:variant>
      <vt:variant>
        <vt:i4>365</vt:i4>
      </vt:variant>
      <vt:variant>
        <vt:i4>0</vt:i4>
      </vt:variant>
      <vt:variant>
        <vt:i4>5</vt:i4>
      </vt:variant>
      <vt:variant>
        <vt:lpwstr/>
      </vt:variant>
      <vt:variant>
        <vt:lpwstr>_Toc151564842</vt:lpwstr>
      </vt:variant>
      <vt:variant>
        <vt:i4>1507390</vt:i4>
      </vt:variant>
      <vt:variant>
        <vt:i4>359</vt:i4>
      </vt:variant>
      <vt:variant>
        <vt:i4>0</vt:i4>
      </vt:variant>
      <vt:variant>
        <vt:i4>5</vt:i4>
      </vt:variant>
      <vt:variant>
        <vt:lpwstr/>
      </vt:variant>
      <vt:variant>
        <vt:lpwstr>_Toc151564841</vt:lpwstr>
      </vt:variant>
      <vt:variant>
        <vt:i4>1507390</vt:i4>
      </vt:variant>
      <vt:variant>
        <vt:i4>353</vt:i4>
      </vt:variant>
      <vt:variant>
        <vt:i4>0</vt:i4>
      </vt:variant>
      <vt:variant>
        <vt:i4>5</vt:i4>
      </vt:variant>
      <vt:variant>
        <vt:lpwstr/>
      </vt:variant>
      <vt:variant>
        <vt:lpwstr>_Toc151564840</vt:lpwstr>
      </vt:variant>
      <vt:variant>
        <vt:i4>1048638</vt:i4>
      </vt:variant>
      <vt:variant>
        <vt:i4>347</vt:i4>
      </vt:variant>
      <vt:variant>
        <vt:i4>0</vt:i4>
      </vt:variant>
      <vt:variant>
        <vt:i4>5</vt:i4>
      </vt:variant>
      <vt:variant>
        <vt:lpwstr/>
      </vt:variant>
      <vt:variant>
        <vt:lpwstr>_Toc151564839</vt:lpwstr>
      </vt:variant>
      <vt:variant>
        <vt:i4>1048638</vt:i4>
      </vt:variant>
      <vt:variant>
        <vt:i4>341</vt:i4>
      </vt:variant>
      <vt:variant>
        <vt:i4>0</vt:i4>
      </vt:variant>
      <vt:variant>
        <vt:i4>5</vt:i4>
      </vt:variant>
      <vt:variant>
        <vt:lpwstr/>
      </vt:variant>
      <vt:variant>
        <vt:lpwstr>_Toc151564838</vt:lpwstr>
      </vt:variant>
      <vt:variant>
        <vt:i4>1048638</vt:i4>
      </vt:variant>
      <vt:variant>
        <vt:i4>335</vt:i4>
      </vt:variant>
      <vt:variant>
        <vt:i4>0</vt:i4>
      </vt:variant>
      <vt:variant>
        <vt:i4>5</vt:i4>
      </vt:variant>
      <vt:variant>
        <vt:lpwstr/>
      </vt:variant>
      <vt:variant>
        <vt:lpwstr>_Toc151564837</vt:lpwstr>
      </vt:variant>
      <vt:variant>
        <vt:i4>1048638</vt:i4>
      </vt:variant>
      <vt:variant>
        <vt:i4>329</vt:i4>
      </vt:variant>
      <vt:variant>
        <vt:i4>0</vt:i4>
      </vt:variant>
      <vt:variant>
        <vt:i4>5</vt:i4>
      </vt:variant>
      <vt:variant>
        <vt:lpwstr/>
      </vt:variant>
      <vt:variant>
        <vt:lpwstr>_Toc151564836</vt:lpwstr>
      </vt:variant>
      <vt:variant>
        <vt:i4>1048638</vt:i4>
      </vt:variant>
      <vt:variant>
        <vt:i4>323</vt:i4>
      </vt:variant>
      <vt:variant>
        <vt:i4>0</vt:i4>
      </vt:variant>
      <vt:variant>
        <vt:i4>5</vt:i4>
      </vt:variant>
      <vt:variant>
        <vt:lpwstr/>
      </vt:variant>
      <vt:variant>
        <vt:lpwstr>_Toc151564835</vt:lpwstr>
      </vt:variant>
      <vt:variant>
        <vt:i4>1048638</vt:i4>
      </vt:variant>
      <vt:variant>
        <vt:i4>317</vt:i4>
      </vt:variant>
      <vt:variant>
        <vt:i4>0</vt:i4>
      </vt:variant>
      <vt:variant>
        <vt:i4>5</vt:i4>
      </vt:variant>
      <vt:variant>
        <vt:lpwstr/>
      </vt:variant>
      <vt:variant>
        <vt:lpwstr>_Toc151564834</vt:lpwstr>
      </vt:variant>
      <vt:variant>
        <vt:i4>1048638</vt:i4>
      </vt:variant>
      <vt:variant>
        <vt:i4>311</vt:i4>
      </vt:variant>
      <vt:variant>
        <vt:i4>0</vt:i4>
      </vt:variant>
      <vt:variant>
        <vt:i4>5</vt:i4>
      </vt:variant>
      <vt:variant>
        <vt:lpwstr/>
      </vt:variant>
      <vt:variant>
        <vt:lpwstr>_Toc151564833</vt:lpwstr>
      </vt:variant>
      <vt:variant>
        <vt:i4>1048638</vt:i4>
      </vt:variant>
      <vt:variant>
        <vt:i4>308</vt:i4>
      </vt:variant>
      <vt:variant>
        <vt:i4>0</vt:i4>
      </vt:variant>
      <vt:variant>
        <vt:i4>5</vt:i4>
      </vt:variant>
      <vt:variant>
        <vt:lpwstr/>
      </vt:variant>
      <vt:variant>
        <vt:lpwstr>_Toc151564832</vt:lpwstr>
      </vt:variant>
      <vt:variant>
        <vt:i4>1048638</vt:i4>
      </vt:variant>
      <vt:variant>
        <vt:i4>302</vt:i4>
      </vt:variant>
      <vt:variant>
        <vt:i4>0</vt:i4>
      </vt:variant>
      <vt:variant>
        <vt:i4>5</vt:i4>
      </vt:variant>
      <vt:variant>
        <vt:lpwstr/>
      </vt:variant>
      <vt:variant>
        <vt:lpwstr>_Toc151564831</vt:lpwstr>
      </vt:variant>
      <vt:variant>
        <vt:i4>1048638</vt:i4>
      </vt:variant>
      <vt:variant>
        <vt:i4>296</vt:i4>
      </vt:variant>
      <vt:variant>
        <vt:i4>0</vt:i4>
      </vt:variant>
      <vt:variant>
        <vt:i4>5</vt:i4>
      </vt:variant>
      <vt:variant>
        <vt:lpwstr/>
      </vt:variant>
      <vt:variant>
        <vt:lpwstr>_Toc151564830</vt:lpwstr>
      </vt:variant>
      <vt:variant>
        <vt:i4>1114174</vt:i4>
      </vt:variant>
      <vt:variant>
        <vt:i4>290</vt:i4>
      </vt:variant>
      <vt:variant>
        <vt:i4>0</vt:i4>
      </vt:variant>
      <vt:variant>
        <vt:i4>5</vt:i4>
      </vt:variant>
      <vt:variant>
        <vt:lpwstr/>
      </vt:variant>
      <vt:variant>
        <vt:lpwstr>_Toc151564829</vt:lpwstr>
      </vt:variant>
      <vt:variant>
        <vt:i4>1114174</vt:i4>
      </vt:variant>
      <vt:variant>
        <vt:i4>284</vt:i4>
      </vt:variant>
      <vt:variant>
        <vt:i4>0</vt:i4>
      </vt:variant>
      <vt:variant>
        <vt:i4>5</vt:i4>
      </vt:variant>
      <vt:variant>
        <vt:lpwstr/>
      </vt:variant>
      <vt:variant>
        <vt:lpwstr>_Toc151564828</vt:lpwstr>
      </vt:variant>
      <vt:variant>
        <vt:i4>1114174</vt:i4>
      </vt:variant>
      <vt:variant>
        <vt:i4>278</vt:i4>
      </vt:variant>
      <vt:variant>
        <vt:i4>0</vt:i4>
      </vt:variant>
      <vt:variant>
        <vt:i4>5</vt:i4>
      </vt:variant>
      <vt:variant>
        <vt:lpwstr/>
      </vt:variant>
      <vt:variant>
        <vt:lpwstr>_Toc151564827</vt:lpwstr>
      </vt:variant>
      <vt:variant>
        <vt:i4>1114174</vt:i4>
      </vt:variant>
      <vt:variant>
        <vt:i4>272</vt:i4>
      </vt:variant>
      <vt:variant>
        <vt:i4>0</vt:i4>
      </vt:variant>
      <vt:variant>
        <vt:i4>5</vt:i4>
      </vt:variant>
      <vt:variant>
        <vt:lpwstr/>
      </vt:variant>
      <vt:variant>
        <vt:lpwstr>_Toc151564826</vt:lpwstr>
      </vt:variant>
      <vt:variant>
        <vt:i4>1114174</vt:i4>
      </vt:variant>
      <vt:variant>
        <vt:i4>266</vt:i4>
      </vt:variant>
      <vt:variant>
        <vt:i4>0</vt:i4>
      </vt:variant>
      <vt:variant>
        <vt:i4>5</vt:i4>
      </vt:variant>
      <vt:variant>
        <vt:lpwstr/>
      </vt:variant>
      <vt:variant>
        <vt:lpwstr>_Toc151564825</vt:lpwstr>
      </vt:variant>
      <vt:variant>
        <vt:i4>1114174</vt:i4>
      </vt:variant>
      <vt:variant>
        <vt:i4>260</vt:i4>
      </vt:variant>
      <vt:variant>
        <vt:i4>0</vt:i4>
      </vt:variant>
      <vt:variant>
        <vt:i4>5</vt:i4>
      </vt:variant>
      <vt:variant>
        <vt:lpwstr/>
      </vt:variant>
      <vt:variant>
        <vt:lpwstr>_Toc151564824</vt:lpwstr>
      </vt:variant>
      <vt:variant>
        <vt:i4>1114174</vt:i4>
      </vt:variant>
      <vt:variant>
        <vt:i4>254</vt:i4>
      </vt:variant>
      <vt:variant>
        <vt:i4>0</vt:i4>
      </vt:variant>
      <vt:variant>
        <vt:i4>5</vt:i4>
      </vt:variant>
      <vt:variant>
        <vt:lpwstr/>
      </vt:variant>
      <vt:variant>
        <vt:lpwstr>_Toc151564823</vt:lpwstr>
      </vt:variant>
      <vt:variant>
        <vt:i4>1114174</vt:i4>
      </vt:variant>
      <vt:variant>
        <vt:i4>248</vt:i4>
      </vt:variant>
      <vt:variant>
        <vt:i4>0</vt:i4>
      </vt:variant>
      <vt:variant>
        <vt:i4>5</vt:i4>
      </vt:variant>
      <vt:variant>
        <vt:lpwstr/>
      </vt:variant>
      <vt:variant>
        <vt:lpwstr>_Toc151564822</vt:lpwstr>
      </vt:variant>
      <vt:variant>
        <vt:i4>1114174</vt:i4>
      </vt:variant>
      <vt:variant>
        <vt:i4>242</vt:i4>
      </vt:variant>
      <vt:variant>
        <vt:i4>0</vt:i4>
      </vt:variant>
      <vt:variant>
        <vt:i4>5</vt:i4>
      </vt:variant>
      <vt:variant>
        <vt:lpwstr/>
      </vt:variant>
      <vt:variant>
        <vt:lpwstr>_Toc151564821</vt:lpwstr>
      </vt:variant>
      <vt:variant>
        <vt:i4>1114174</vt:i4>
      </vt:variant>
      <vt:variant>
        <vt:i4>236</vt:i4>
      </vt:variant>
      <vt:variant>
        <vt:i4>0</vt:i4>
      </vt:variant>
      <vt:variant>
        <vt:i4>5</vt:i4>
      </vt:variant>
      <vt:variant>
        <vt:lpwstr/>
      </vt:variant>
      <vt:variant>
        <vt:lpwstr>_Toc151564820</vt:lpwstr>
      </vt:variant>
      <vt:variant>
        <vt:i4>1179710</vt:i4>
      </vt:variant>
      <vt:variant>
        <vt:i4>230</vt:i4>
      </vt:variant>
      <vt:variant>
        <vt:i4>0</vt:i4>
      </vt:variant>
      <vt:variant>
        <vt:i4>5</vt:i4>
      </vt:variant>
      <vt:variant>
        <vt:lpwstr/>
      </vt:variant>
      <vt:variant>
        <vt:lpwstr>_Toc151564819</vt:lpwstr>
      </vt:variant>
      <vt:variant>
        <vt:i4>1179710</vt:i4>
      </vt:variant>
      <vt:variant>
        <vt:i4>224</vt:i4>
      </vt:variant>
      <vt:variant>
        <vt:i4>0</vt:i4>
      </vt:variant>
      <vt:variant>
        <vt:i4>5</vt:i4>
      </vt:variant>
      <vt:variant>
        <vt:lpwstr/>
      </vt:variant>
      <vt:variant>
        <vt:lpwstr>_Toc151564818</vt:lpwstr>
      </vt:variant>
      <vt:variant>
        <vt:i4>1179710</vt:i4>
      </vt:variant>
      <vt:variant>
        <vt:i4>218</vt:i4>
      </vt:variant>
      <vt:variant>
        <vt:i4>0</vt:i4>
      </vt:variant>
      <vt:variant>
        <vt:i4>5</vt:i4>
      </vt:variant>
      <vt:variant>
        <vt:lpwstr/>
      </vt:variant>
      <vt:variant>
        <vt:lpwstr>_Toc151564817</vt:lpwstr>
      </vt:variant>
      <vt:variant>
        <vt:i4>1179710</vt:i4>
      </vt:variant>
      <vt:variant>
        <vt:i4>212</vt:i4>
      </vt:variant>
      <vt:variant>
        <vt:i4>0</vt:i4>
      </vt:variant>
      <vt:variant>
        <vt:i4>5</vt:i4>
      </vt:variant>
      <vt:variant>
        <vt:lpwstr/>
      </vt:variant>
      <vt:variant>
        <vt:lpwstr>_Toc151564816</vt:lpwstr>
      </vt:variant>
      <vt:variant>
        <vt:i4>1179710</vt:i4>
      </vt:variant>
      <vt:variant>
        <vt:i4>206</vt:i4>
      </vt:variant>
      <vt:variant>
        <vt:i4>0</vt:i4>
      </vt:variant>
      <vt:variant>
        <vt:i4>5</vt:i4>
      </vt:variant>
      <vt:variant>
        <vt:lpwstr/>
      </vt:variant>
      <vt:variant>
        <vt:lpwstr>_Toc151564815</vt:lpwstr>
      </vt:variant>
      <vt:variant>
        <vt:i4>1179710</vt:i4>
      </vt:variant>
      <vt:variant>
        <vt:i4>200</vt:i4>
      </vt:variant>
      <vt:variant>
        <vt:i4>0</vt:i4>
      </vt:variant>
      <vt:variant>
        <vt:i4>5</vt:i4>
      </vt:variant>
      <vt:variant>
        <vt:lpwstr/>
      </vt:variant>
      <vt:variant>
        <vt:lpwstr>_Toc151564814</vt:lpwstr>
      </vt:variant>
      <vt:variant>
        <vt:i4>1179710</vt:i4>
      </vt:variant>
      <vt:variant>
        <vt:i4>194</vt:i4>
      </vt:variant>
      <vt:variant>
        <vt:i4>0</vt:i4>
      </vt:variant>
      <vt:variant>
        <vt:i4>5</vt:i4>
      </vt:variant>
      <vt:variant>
        <vt:lpwstr/>
      </vt:variant>
      <vt:variant>
        <vt:lpwstr>_Toc151564813</vt:lpwstr>
      </vt:variant>
      <vt:variant>
        <vt:i4>1179710</vt:i4>
      </vt:variant>
      <vt:variant>
        <vt:i4>188</vt:i4>
      </vt:variant>
      <vt:variant>
        <vt:i4>0</vt:i4>
      </vt:variant>
      <vt:variant>
        <vt:i4>5</vt:i4>
      </vt:variant>
      <vt:variant>
        <vt:lpwstr/>
      </vt:variant>
      <vt:variant>
        <vt:lpwstr>_Toc151564812</vt:lpwstr>
      </vt:variant>
      <vt:variant>
        <vt:i4>1179710</vt:i4>
      </vt:variant>
      <vt:variant>
        <vt:i4>182</vt:i4>
      </vt:variant>
      <vt:variant>
        <vt:i4>0</vt:i4>
      </vt:variant>
      <vt:variant>
        <vt:i4>5</vt:i4>
      </vt:variant>
      <vt:variant>
        <vt:lpwstr/>
      </vt:variant>
      <vt:variant>
        <vt:lpwstr>_Toc151564811</vt:lpwstr>
      </vt:variant>
      <vt:variant>
        <vt:i4>1179710</vt:i4>
      </vt:variant>
      <vt:variant>
        <vt:i4>176</vt:i4>
      </vt:variant>
      <vt:variant>
        <vt:i4>0</vt:i4>
      </vt:variant>
      <vt:variant>
        <vt:i4>5</vt:i4>
      </vt:variant>
      <vt:variant>
        <vt:lpwstr/>
      </vt:variant>
      <vt:variant>
        <vt:lpwstr>_Toc151564810</vt:lpwstr>
      </vt:variant>
      <vt:variant>
        <vt:i4>1245246</vt:i4>
      </vt:variant>
      <vt:variant>
        <vt:i4>170</vt:i4>
      </vt:variant>
      <vt:variant>
        <vt:i4>0</vt:i4>
      </vt:variant>
      <vt:variant>
        <vt:i4>5</vt:i4>
      </vt:variant>
      <vt:variant>
        <vt:lpwstr/>
      </vt:variant>
      <vt:variant>
        <vt:lpwstr>_Toc151564809</vt:lpwstr>
      </vt:variant>
      <vt:variant>
        <vt:i4>1245246</vt:i4>
      </vt:variant>
      <vt:variant>
        <vt:i4>164</vt:i4>
      </vt:variant>
      <vt:variant>
        <vt:i4>0</vt:i4>
      </vt:variant>
      <vt:variant>
        <vt:i4>5</vt:i4>
      </vt:variant>
      <vt:variant>
        <vt:lpwstr/>
      </vt:variant>
      <vt:variant>
        <vt:lpwstr>_Toc151564808</vt:lpwstr>
      </vt:variant>
      <vt:variant>
        <vt:i4>1245246</vt:i4>
      </vt:variant>
      <vt:variant>
        <vt:i4>158</vt:i4>
      </vt:variant>
      <vt:variant>
        <vt:i4>0</vt:i4>
      </vt:variant>
      <vt:variant>
        <vt:i4>5</vt:i4>
      </vt:variant>
      <vt:variant>
        <vt:lpwstr/>
      </vt:variant>
      <vt:variant>
        <vt:lpwstr>_Toc151564807</vt:lpwstr>
      </vt:variant>
      <vt:variant>
        <vt:i4>1245246</vt:i4>
      </vt:variant>
      <vt:variant>
        <vt:i4>152</vt:i4>
      </vt:variant>
      <vt:variant>
        <vt:i4>0</vt:i4>
      </vt:variant>
      <vt:variant>
        <vt:i4>5</vt:i4>
      </vt:variant>
      <vt:variant>
        <vt:lpwstr/>
      </vt:variant>
      <vt:variant>
        <vt:lpwstr>_Toc151564806</vt:lpwstr>
      </vt:variant>
      <vt:variant>
        <vt:i4>1245246</vt:i4>
      </vt:variant>
      <vt:variant>
        <vt:i4>146</vt:i4>
      </vt:variant>
      <vt:variant>
        <vt:i4>0</vt:i4>
      </vt:variant>
      <vt:variant>
        <vt:i4>5</vt:i4>
      </vt:variant>
      <vt:variant>
        <vt:lpwstr/>
      </vt:variant>
      <vt:variant>
        <vt:lpwstr>_Toc151564805</vt:lpwstr>
      </vt:variant>
      <vt:variant>
        <vt:i4>1245246</vt:i4>
      </vt:variant>
      <vt:variant>
        <vt:i4>140</vt:i4>
      </vt:variant>
      <vt:variant>
        <vt:i4>0</vt:i4>
      </vt:variant>
      <vt:variant>
        <vt:i4>5</vt:i4>
      </vt:variant>
      <vt:variant>
        <vt:lpwstr/>
      </vt:variant>
      <vt:variant>
        <vt:lpwstr>_Toc151564804</vt:lpwstr>
      </vt:variant>
      <vt:variant>
        <vt:i4>1245246</vt:i4>
      </vt:variant>
      <vt:variant>
        <vt:i4>134</vt:i4>
      </vt:variant>
      <vt:variant>
        <vt:i4>0</vt:i4>
      </vt:variant>
      <vt:variant>
        <vt:i4>5</vt:i4>
      </vt:variant>
      <vt:variant>
        <vt:lpwstr/>
      </vt:variant>
      <vt:variant>
        <vt:lpwstr>_Toc151564803</vt:lpwstr>
      </vt:variant>
      <vt:variant>
        <vt:i4>1245246</vt:i4>
      </vt:variant>
      <vt:variant>
        <vt:i4>128</vt:i4>
      </vt:variant>
      <vt:variant>
        <vt:i4>0</vt:i4>
      </vt:variant>
      <vt:variant>
        <vt:i4>5</vt:i4>
      </vt:variant>
      <vt:variant>
        <vt:lpwstr/>
      </vt:variant>
      <vt:variant>
        <vt:lpwstr>_Toc151564802</vt:lpwstr>
      </vt:variant>
      <vt:variant>
        <vt:i4>1245246</vt:i4>
      </vt:variant>
      <vt:variant>
        <vt:i4>122</vt:i4>
      </vt:variant>
      <vt:variant>
        <vt:i4>0</vt:i4>
      </vt:variant>
      <vt:variant>
        <vt:i4>5</vt:i4>
      </vt:variant>
      <vt:variant>
        <vt:lpwstr/>
      </vt:variant>
      <vt:variant>
        <vt:lpwstr>_Toc151564801</vt:lpwstr>
      </vt:variant>
      <vt:variant>
        <vt:i4>1245246</vt:i4>
      </vt:variant>
      <vt:variant>
        <vt:i4>116</vt:i4>
      </vt:variant>
      <vt:variant>
        <vt:i4>0</vt:i4>
      </vt:variant>
      <vt:variant>
        <vt:i4>5</vt:i4>
      </vt:variant>
      <vt:variant>
        <vt:lpwstr/>
      </vt:variant>
      <vt:variant>
        <vt:lpwstr>_Toc151564800</vt:lpwstr>
      </vt:variant>
      <vt:variant>
        <vt:i4>1703985</vt:i4>
      </vt:variant>
      <vt:variant>
        <vt:i4>110</vt:i4>
      </vt:variant>
      <vt:variant>
        <vt:i4>0</vt:i4>
      </vt:variant>
      <vt:variant>
        <vt:i4>5</vt:i4>
      </vt:variant>
      <vt:variant>
        <vt:lpwstr/>
      </vt:variant>
      <vt:variant>
        <vt:lpwstr>_Toc151564799</vt:lpwstr>
      </vt:variant>
      <vt:variant>
        <vt:i4>1703985</vt:i4>
      </vt:variant>
      <vt:variant>
        <vt:i4>104</vt:i4>
      </vt:variant>
      <vt:variant>
        <vt:i4>0</vt:i4>
      </vt:variant>
      <vt:variant>
        <vt:i4>5</vt:i4>
      </vt:variant>
      <vt:variant>
        <vt:lpwstr/>
      </vt:variant>
      <vt:variant>
        <vt:lpwstr>_Toc151564798</vt:lpwstr>
      </vt:variant>
      <vt:variant>
        <vt:i4>1703985</vt:i4>
      </vt:variant>
      <vt:variant>
        <vt:i4>98</vt:i4>
      </vt:variant>
      <vt:variant>
        <vt:i4>0</vt:i4>
      </vt:variant>
      <vt:variant>
        <vt:i4>5</vt:i4>
      </vt:variant>
      <vt:variant>
        <vt:lpwstr/>
      </vt:variant>
      <vt:variant>
        <vt:lpwstr>_Toc151564797</vt:lpwstr>
      </vt:variant>
      <vt:variant>
        <vt:i4>1703985</vt:i4>
      </vt:variant>
      <vt:variant>
        <vt:i4>92</vt:i4>
      </vt:variant>
      <vt:variant>
        <vt:i4>0</vt:i4>
      </vt:variant>
      <vt:variant>
        <vt:i4>5</vt:i4>
      </vt:variant>
      <vt:variant>
        <vt:lpwstr/>
      </vt:variant>
      <vt:variant>
        <vt:lpwstr>_Toc151564796</vt:lpwstr>
      </vt:variant>
      <vt:variant>
        <vt:i4>1703985</vt:i4>
      </vt:variant>
      <vt:variant>
        <vt:i4>86</vt:i4>
      </vt:variant>
      <vt:variant>
        <vt:i4>0</vt:i4>
      </vt:variant>
      <vt:variant>
        <vt:i4>5</vt:i4>
      </vt:variant>
      <vt:variant>
        <vt:lpwstr/>
      </vt:variant>
      <vt:variant>
        <vt:lpwstr>_Toc151564795</vt:lpwstr>
      </vt:variant>
      <vt:variant>
        <vt:i4>1703985</vt:i4>
      </vt:variant>
      <vt:variant>
        <vt:i4>80</vt:i4>
      </vt:variant>
      <vt:variant>
        <vt:i4>0</vt:i4>
      </vt:variant>
      <vt:variant>
        <vt:i4>5</vt:i4>
      </vt:variant>
      <vt:variant>
        <vt:lpwstr/>
      </vt:variant>
      <vt:variant>
        <vt:lpwstr>_Toc151564794</vt:lpwstr>
      </vt:variant>
      <vt:variant>
        <vt:i4>1703985</vt:i4>
      </vt:variant>
      <vt:variant>
        <vt:i4>74</vt:i4>
      </vt:variant>
      <vt:variant>
        <vt:i4>0</vt:i4>
      </vt:variant>
      <vt:variant>
        <vt:i4>5</vt:i4>
      </vt:variant>
      <vt:variant>
        <vt:lpwstr/>
      </vt:variant>
      <vt:variant>
        <vt:lpwstr>_Toc151564793</vt:lpwstr>
      </vt:variant>
      <vt:variant>
        <vt:i4>1703985</vt:i4>
      </vt:variant>
      <vt:variant>
        <vt:i4>68</vt:i4>
      </vt:variant>
      <vt:variant>
        <vt:i4>0</vt:i4>
      </vt:variant>
      <vt:variant>
        <vt:i4>5</vt:i4>
      </vt:variant>
      <vt:variant>
        <vt:lpwstr/>
      </vt:variant>
      <vt:variant>
        <vt:lpwstr>_Toc151564792</vt:lpwstr>
      </vt:variant>
      <vt:variant>
        <vt:i4>1703985</vt:i4>
      </vt:variant>
      <vt:variant>
        <vt:i4>62</vt:i4>
      </vt:variant>
      <vt:variant>
        <vt:i4>0</vt:i4>
      </vt:variant>
      <vt:variant>
        <vt:i4>5</vt:i4>
      </vt:variant>
      <vt:variant>
        <vt:lpwstr/>
      </vt:variant>
      <vt:variant>
        <vt:lpwstr>_Toc151564791</vt:lpwstr>
      </vt:variant>
      <vt:variant>
        <vt:i4>1703985</vt:i4>
      </vt:variant>
      <vt:variant>
        <vt:i4>56</vt:i4>
      </vt:variant>
      <vt:variant>
        <vt:i4>0</vt:i4>
      </vt:variant>
      <vt:variant>
        <vt:i4>5</vt:i4>
      </vt:variant>
      <vt:variant>
        <vt:lpwstr/>
      </vt:variant>
      <vt:variant>
        <vt:lpwstr>_Toc151564790</vt:lpwstr>
      </vt:variant>
      <vt:variant>
        <vt:i4>1769521</vt:i4>
      </vt:variant>
      <vt:variant>
        <vt:i4>50</vt:i4>
      </vt:variant>
      <vt:variant>
        <vt:i4>0</vt:i4>
      </vt:variant>
      <vt:variant>
        <vt:i4>5</vt:i4>
      </vt:variant>
      <vt:variant>
        <vt:lpwstr/>
      </vt:variant>
      <vt:variant>
        <vt:lpwstr>_Toc151564789</vt:lpwstr>
      </vt:variant>
      <vt:variant>
        <vt:i4>1769521</vt:i4>
      </vt:variant>
      <vt:variant>
        <vt:i4>44</vt:i4>
      </vt:variant>
      <vt:variant>
        <vt:i4>0</vt:i4>
      </vt:variant>
      <vt:variant>
        <vt:i4>5</vt:i4>
      </vt:variant>
      <vt:variant>
        <vt:lpwstr/>
      </vt:variant>
      <vt:variant>
        <vt:lpwstr>_Toc151564788</vt:lpwstr>
      </vt:variant>
      <vt:variant>
        <vt:i4>1769521</vt:i4>
      </vt:variant>
      <vt:variant>
        <vt:i4>38</vt:i4>
      </vt:variant>
      <vt:variant>
        <vt:i4>0</vt:i4>
      </vt:variant>
      <vt:variant>
        <vt:i4>5</vt:i4>
      </vt:variant>
      <vt:variant>
        <vt:lpwstr/>
      </vt:variant>
      <vt:variant>
        <vt:lpwstr>_Toc151564787</vt:lpwstr>
      </vt:variant>
      <vt:variant>
        <vt:i4>1769521</vt:i4>
      </vt:variant>
      <vt:variant>
        <vt:i4>32</vt:i4>
      </vt:variant>
      <vt:variant>
        <vt:i4>0</vt:i4>
      </vt:variant>
      <vt:variant>
        <vt:i4>5</vt:i4>
      </vt:variant>
      <vt:variant>
        <vt:lpwstr/>
      </vt:variant>
      <vt:variant>
        <vt:lpwstr>_Toc151564786</vt:lpwstr>
      </vt:variant>
      <vt:variant>
        <vt:i4>1769521</vt:i4>
      </vt:variant>
      <vt:variant>
        <vt:i4>26</vt:i4>
      </vt:variant>
      <vt:variant>
        <vt:i4>0</vt:i4>
      </vt:variant>
      <vt:variant>
        <vt:i4>5</vt:i4>
      </vt:variant>
      <vt:variant>
        <vt:lpwstr/>
      </vt:variant>
      <vt:variant>
        <vt:lpwstr>_Toc151564785</vt:lpwstr>
      </vt:variant>
      <vt:variant>
        <vt:i4>1769521</vt:i4>
      </vt:variant>
      <vt:variant>
        <vt:i4>20</vt:i4>
      </vt:variant>
      <vt:variant>
        <vt:i4>0</vt:i4>
      </vt:variant>
      <vt:variant>
        <vt:i4>5</vt:i4>
      </vt:variant>
      <vt:variant>
        <vt:lpwstr/>
      </vt:variant>
      <vt:variant>
        <vt:lpwstr>_Toc151564784</vt:lpwstr>
      </vt:variant>
      <vt:variant>
        <vt:i4>1769521</vt:i4>
      </vt:variant>
      <vt:variant>
        <vt:i4>14</vt:i4>
      </vt:variant>
      <vt:variant>
        <vt:i4>0</vt:i4>
      </vt:variant>
      <vt:variant>
        <vt:i4>5</vt:i4>
      </vt:variant>
      <vt:variant>
        <vt:lpwstr/>
      </vt:variant>
      <vt:variant>
        <vt:lpwstr>_Toc151564783</vt:lpwstr>
      </vt:variant>
      <vt:variant>
        <vt:i4>1769521</vt:i4>
      </vt:variant>
      <vt:variant>
        <vt:i4>8</vt:i4>
      </vt:variant>
      <vt:variant>
        <vt:i4>0</vt:i4>
      </vt:variant>
      <vt:variant>
        <vt:i4>5</vt:i4>
      </vt:variant>
      <vt:variant>
        <vt:lpwstr/>
      </vt:variant>
      <vt:variant>
        <vt:lpwstr>_Toc151564782</vt:lpwstr>
      </vt:variant>
      <vt:variant>
        <vt:i4>1769521</vt:i4>
      </vt:variant>
      <vt:variant>
        <vt:i4>2</vt:i4>
      </vt:variant>
      <vt:variant>
        <vt:i4>0</vt:i4>
      </vt:variant>
      <vt:variant>
        <vt:i4>5</vt:i4>
      </vt:variant>
      <vt:variant>
        <vt:lpwstr/>
      </vt:variant>
      <vt:variant>
        <vt:lpwstr>_Toc151564781</vt:lpwstr>
      </vt:variant>
      <vt:variant>
        <vt:i4>6553673</vt:i4>
      </vt:variant>
      <vt:variant>
        <vt:i4>355</vt:i4>
      </vt:variant>
      <vt:variant>
        <vt:i4>0</vt:i4>
      </vt:variant>
      <vt:variant>
        <vt:i4>5</vt:i4>
      </vt:variant>
      <vt:variant>
        <vt:lpwstr>https://www.eeas.europa.eu/eeas/strategic-compass-security-and-defence-1_en</vt:lpwstr>
      </vt:variant>
      <vt:variant>
        <vt:lpwstr/>
      </vt:variant>
      <vt:variant>
        <vt:i4>5570648</vt:i4>
      </vt:variant>
      <vt:variant>
        <vt:i4>313</vt:i4>
      </vt:variant>
      <vt:variant>
        <vt:i4>0</vt:i4>
      </vt:variant>
      <vt:variant>
        <vt:i4>5</vt:i4>
      </vt:variant>
      <vt:variant>
        <vt:lpwstr>https://fra.europa.eu/en/publication/2022/fundamental-rights-report-2022-fra-opinions</vt:lpwstr>
      </vt:variant>
      <vt:variant>
        <vt:lpwstr/>
      </vt:variant>
      <vt:variant>
        <vt:i4>2621502</vt:i4>
      </vt:variant>
      <vt:variant>
        <vt:i4>298</vt:i4>
      </vt:variant>
      <vt:variant>
        <vt:i4>0</vt:i4>
      </vt:variant>
      <vt:variant>
        <vt:i4>5</vt:i4>
      </vt:variant>
      <vt:variant>
        <vt:lpwstr>https://www.statista.com/statistics/1373419/eu-gdp-percentage-share-member-state-2022/</vt:lpwstr>
      </vt:variant>
      <vt:variant>
        <vt:lpwstr/>
      </vt:variant>
      <vt:variant>
        <vt:i4>2097163</vt:i4>
      </vt:variant>
      <vt:variant>
        <vt:i4>295</vt:i4>
      </vt:variant>
      <vt:variant>
        <vt:i4>0</vt:i4>
      </vt:variant>
      <vt:variant>
        <vt:i4>5</vt:i4>
      </vt:variant>
      <vt:variant>
        <vt:lpwstr>https://data.worldbank.org/indicator/NY.GDP.MKTP.CD?most_recent_value_desc=true</vt:lpwstr>
      </vt:variant>
      <vt:variant>
        <vt:lpwstr/>
      </vt:variant>
      <vt:variant>
        <vt:i4>6291532</vt:i4>
      </vt:variant>
      <vt:variant>
        <vt:i4>292</vt:i4>
      </vt:variant>
      <vt:variant>
        <vt:i4>0</vt:i4>
      </vt:variant>
      <vt:variant>
        <vt:i4>5</vt:i4>
      </vt:variant>
      <vt:variant>
        <vt:lpwstr>mailto:registredetransparence@chd.lu</vt:lpwstr>
      </vt:variant>
      <vt:variant>
        <vt:lpwstr/>
      </vt:variant>
      <vt:variant>
        <vt:i4>7667808</vt:i4>
      </vt:variant>
      <vt:variant>
        <vt:i4>289</vt:i4>
      </vt:variant>
      <vt:variant>
        <vt:i4>0</vt:i4>
      </vt:variant>
      <vt:variant>
        <vt:i4>5</vt:i4>
      </vt:variant>
      <vt:variant>
        <vt:lpwstr>https://www.parlamento.pt/ActividadeParlamentar/Paginas/DetalheIniciativa.aspx?%20BID=43223</vt:lpwstr>
      </vt:variant>
      <vt:variant>
        <vt:lpwstr/>
      </vt:variant>
      <vt:variant>
        <vt:i4>2424951</vt:i4>
      </vt:variant>
      <vt:variant>
        <vt:i4>286</vt:i4>
      </vt:variant>
      <vt:variant>
        <vt:i4>0</vt:i4>
      </vt:variant>
      <vt:variant>
        <vt:i4>5</vt:i4>
      </vt:variant>
      <vt:variant>
        <vt:lpwstr>https://www.boe.es/buscar/act.php?id=BOE-A-2019-967</vt:lpwstr>
      </vt:variant>
      <vt:variant>
        <vt:lpwstr/>
      </vt:variant>
      <vt:variant>
        <vt:i4>4390978</vt:i4>
      </vt:variant>
      <vt:variant>
        <vt:i4>283</vt:i4>
      </vt:variant>
      <vt:variant>
        <vt:i4>0</vt:i4>
      </vt:variant>
      <vt:variant>
        <vt:i4>5</vt:i4>
      </vt:variant>
      <vt:variant>
        <vt:lpwstr>https://www.kpk-rs.si/en/wp-content/uploads/sites/2/2021/03/ZintPK-ENG-3.pdf</vt:lpwstr>
      </vt:variant>
      <vt:variant>
        <vt:lpwstr/>
      </vt:variant>
      <vt:variant>
        <vt:i4>8257572</vt:i4>
      </vt:variant>
      <vt:variant>
        <vt:i4>277</vt:i4>
      </vt:variant>
      <vt:variant>
        <vt:i4>0</vt:i4>
      </vt:variant>
      <vt:variant>
        <vt:i4>5</vt:i4>
      </vt:variant>
      <vt:variant>
        <vt:lpwstr>https://www.degepol.de/ethik-t</vt:lpwstr>
      </vt:variant>
      <vt:variant>
        <vt:lpwstr/>
      </vt:variant>
      <vt:variant>
        <vt:i4>2490470</vt:i4>
      </vt:variant>
      <vt:variant>
        <vt:i4>274</vt:i4>
      </vt:variant>
      <vt:variant>
        <vt:i4>0</vt:i4>
      </vt:variant>
      <vt:variant>
        <vt:i4>5</vt:i4>
      </vt:variant>
      <vt:variant>
        <vt:lpwstr>https://www.hgk.hr/documents/hgk-katalog-savjetodavnih-usluga-zajednice-poslovnih-savjetnika-drugo-izdanje596737316fb04.pdf</vt:lpwstr>
      </vt:variant>
      <vt:variant>
        <vt:lpwstr/>
      </vt:variant>
      <vt:variant>
        <vt:i4>2424947</vt:i4>
      </vt:variant>
      <vt:variant>
        <vt:i4>271</vt:i4>
      </vt:variant>
      <vt:variant>
        <vt:i4>0</vt:i4>
      </vt:variant>
      <vt:variant>
        <vt:i4>5</vt:i4>
      </vt:variant>
      <vt:variant>
        <vt:lpwstr>https://isap.sejm.gov.pl/isap.nsf/DocDetails.xsp?id=WDU20051691414</vt:lpwstr>
      </vt:variant>
      <vt:variant>
        <vt:lpwstr/>
      </vt:variant>
      <vt:variant>
        <vt:i4>6225966</vt:i4>
      </vt:variant>
      <vt:variant>
        <vt:i4>268</vt:i4>
      </vt:variant>
      <vt:variant>
        <vt:i4>0</vt:i4>
      </vt:variant>
      <vt:variant>
        <vt:i4>5</vt:i4>
      </vt:variant>
      <vt:variant>
        <vt:lpwstr>https://vtek.lt/wp-content/uploads/2021/06/EN_Law_on_Lobbying_Activities_2021.docx</vt:lpwstr>
      </vt:variant>
      <vt:variant>
        <vt:lpwstr/>
      </vt:variant>
      <vt:variant>
        <vt:i4>6684770</vt:i4>
      </vt:variant>
      <vt:variant>
        <vt:i4>265</vt:i4>
      </vt:variant>
      <vt:variant>
        <vt:i4>0</vt:i4>
      </vt:variant>
      <vt:variant>
        <vt:i4>5</vt:i4>
      </vt:variant>
      <vt:variant>
        <vt:lpwstr>https://www.lobbying.ie/media/6262/frequently-asked-questions-june.pdf</vt:lpwstr>
      </vt:variant>
      <vt:variant>
        <vt:lpwstr/>
      </vt:variant>
      <vt:variant>
        <vt:i4>5242974</vt:i4>
      </vt:variant>
      <vt:variant>
        <vt:i4>262</vt:i4>
      </vt:variant>
      <vt:variant>
        <vt:i4>0</vt:i4>
      </vt:variant>
      <vt:variant>
        <vt:i4>5</vt:i4>
      </vt:variant>
      <vt:variant>
        <vt:lpwstr>https://sites.google.com/view/regulating-lobbying/home/work-of-colleagues/the-curious-case-of-international-lobbying</vt:lpwstr>
      </vt:variant>
      <vt:variant>
        <vt:lpwstr/>
      </vt:variant>
      <vt:variant>
        <vt:i4>6357042</vt:i4>
      </vt:variant>
      <vt:variant>
        <vt:i4>259</vt:i4>
      </vt:variant>
      <vt:variant>
        <vt:i4>0</vt:i4>
      </vt:variant>
      <vt:variant>
        <vt:i4>5</vt:i4>
      </vt:variant>
      <vt:variant>
        <vt:lpwstr>https://revisedacts.lawreform.ie/eli/2015/act/5/revised/en/html</vt:lpwstr>
      </vt:variant>
      <vt:variant>
        <vt:lpwstr/>
      </vt:variant>
      <vt:variant>
        <vt:i4>7864421</vt:i4>
      </vt:variant>
      <vt:variant>
        <vt:i4>256</vt:i4>
      </vt:variant>
      <vt:variant>
        <vt:i4>0</vt:i4>
      </vt:variant>
      <vt:variant>
        <vt:i4>5</vt:i4>
      </vt:variant>
      <vt:variant>
        <vt:lpwstr>https://net.jogtar.hu/jogszabaly?docid=a1000131.tv</vt:lpwstr>
      </vt:variant>
      <vt:variant>
        <vt:lpwstr/>
      </vt:variant>
      <vt:variant>
        <vt:i4>4980738</vt:i4>
      </vt:variant>
      <vt:variant>
        <vt:i4>253</vt:i4>
      </vt:variant>
      <vt:variant>
        <vt:i4>0</vt:i4>
      </vt:variant>
      <vt:variant>
        <vt:i4>5</vt:i4>
      </vt:variant>
      <vt:variant>
        <vt:lpwstr>http://www.gesetze-im-internet.de/lobbyrg/BJNR081800021.html</vt:lpwstr>
      </vt:variant>
      <vt:variant>
        <vt:lpwstr/>
      </vt:variant>
      <vt:variant>
        <vt:i4>2424935</vt:i4>
      </vt:variant>
      <vt:variant>
        <vt:i4>250</vt:i4>
      </vt:variant>
      <vt:variant>
        <vt:i4>0</vt:i4>
      </vt:variant>
      <vt:variant>
        <vt:i4>5</vt:i4>
      </vt:variant>
      <vt:variant>
        <vt:lpwstr>http://www.cylaw.org/nomoi/enop/non-ind/2022_1_20/full.html</vt:lpwstr>
      </vt:variant>
      <vt:variant>
        <vt:lpwstr/>
      </vt:variant>
      <vt:variant>
        <vt:i4>2228313</vt:i4>
      </vt:variant>
      <vt:variant>
        <vt:i4>247</vt:i4>
      </vt:variant>
      <vt:variant>
        <vt:i4>0</vt:i4>
      </vt:variant>
      <vt:variant>
        <vt:i4>5</vt:i4>
      </vt:variant>
      <vt:variant>
        <vt:lpwstr>https://www.lachambre.be/kvvcr/pdf_sections/publications/reglement/reglementFR.pdf</vt:lpwstr>
      </vt:variant>
      <vt:variant>
        <vt:lpwstr/>
      </vt:variant>
      <vt:variant>
        <vt:i4>7405647</vt:i4>
      </vt:variant>
      <vt:variant>
        <vt:i4>241</vt:i4>
      </vt:variant>
      <vt:variant>
        <vt:i4>0</vt:i4>
      </vt:variant>
      <vt:variant>
        <vt:i4>5</vt:i4>
      </vt:variant>
      <vt:variant>
        <vt:lpwstr>https://www.bmj.gv.at/dam/jcr:99f2bda7-4e79-4e7d-8b10-975c64cf0374/report_on_the_austrian_transparency_act2013.pdf</vt:lpwstr>
      </vt:variant>
      <vt:variant>
        <vt:lpwstr/>
      </vt:variant>
      <vt:variant>
        <vt:i4>6946865</vt:i4>
      </vt:variant>
      <vt:variant>
        <vt:i4>238</vt:i4>
      </vt:variant>
      <vt:variant>
        <vt:i4>0</vt:i4>
      </vt:variant>
      <vt:variant>
        <vt:i4>5</vt:i4>
      </vt:variant>
      <vt:variant>
        <vt:lpwstr>https://www.ris.bka.gv.at/GeltendeFassung.wxe?Abfrage=Bundesnormen&amp;Gesetzesnummer=20007924</vt:lpwstr>
      </vt:variant>
      <vt:variant>
        <vt:lpwstr/>
      </vt:variant>
      <vt:variant>
        <vt:i4>3866728</vt:i4>
      </vt:variant>
      <vt:variant>
        <vt:i4>235</vt:i4>
      </vt:variant>
      <vt:variant>
        <vt:i4>0</vt:i4>
      </vt:variant>
      <vt:variant>
        <vt:i4>5</vt:i4>
      </vt:variant>
      <vt:variant>
        <vt:lpwstr>https://www.rechnungshof.gv.at/rh/home/home/BUND_2019_45_Lobbying_Register.pdf</vt:lpwstr>
      </vt:variant>
      <vt:variant>
        <vt:lpwstr/>
      </vt:variant>
      <vt:variant>
        <vt:i4>1376305</vt:i4>
      </vt:variant>
      <vt:variant>
        <vt:i4>232</vt:i4>
      </vt:variant>
      <vt:variant>
        <vt:i4>0</vt:i4>
      </vt:variant>
      <vt:variant>
        <vt:i4>5</vt:i4>
      </vt:variant>
      <vt:variant>
        <vt:lpwstr>https://repository.upenn.edu/think_tanks</vt:lpwstr>
      </vt:variant>
      <vt:variant>
        <vt:lpwstr/>
      </vt:variant>
      <vt:variant>
        <vt:i4>8126566</vt:i4>
      </vt:variant>
      <vt:variant>
        <vt:i4>229</vt:i4>
      </vt:variant>
      <vt:variant>
        <vt:i4>0</vt:i4>
      </vt:variant>
      <vt:variant>
        <vt:i4>5</vt:i4>
      </vt:variant>
      <vt:variant>
        <vt:lpwstr>https://ue.delegfrance.org/IMG/pdf/2020-global-go-to-think-tank-index-report.pdf?10776/1d1ab740b97ef160b63131c3964bc293c14e039e</vt:lpwstr>
      </vt:variant>
      <vt:variant>
        <vt:lpwstr/>
      </vt:variant>
      <vt:variant>
        <vt:i4>1704037</vt:i4>
      </vt:variant>
      <vt:variant>
        <vt:i4>208</vt:i4>
      </vt:variant>
      <vt:variant>
        <vt:i4>0</vt:i4>
      </vt:variant>
      <vt:variant>
        <vt:i4>5</vt:i4>
      </vt:variant>
      <vt:variant>
        <vt:lpwstr>https://commission.europa.eu/strategy-and-policy/policies/justice-and-fundamental-rights/upholding-rule-law/rule-law/rule-law-mechanism_en</vt:lpwstr>
      </vt:variant>
      <vt:variant>
        <vt:lpwstr/>
      </vt:variant>
      <vt:variant>
        <vt:i4>4456473</vt:i4>
      </vt:variant>
      <vt:variant>
        <vt:i4>193</vt:i4>
      </vt:variant>
      <vt:variant>
        <vt:i4>0</vt:i4>
      </vt:variant>
      <vt:variant>
        <vt:i4>5</vt:i4>
      </vt:variant>
      <vt:variant>
        <vt:lpwstr>https://www.ag.gov.au/integrity/foreign-influence-transparency-scheme</vt:lpwstr>
      </vt:variant>
      <vt:variant>
        <vt:lpwstr/>
      </vt:variant>
      <vt:variant>
        <vt:i4>1704026</vt:i4>
      </vt:variant>
      <vt:variant>
        <vt:i4>190</vt:i4>
      </vt:variant>
      <vt:variant>
        <vt:i4>0</vt:i4>
      </vt:variant>
      <vt:variant>
        <vt:i4>5</vt:i4>
      </vt:variant>
      <vt:variant>
        <vt:lpwstr>https://www.justice.gov/nsd-fara</vt:lpwstr>
      </vt:variant>
      <vt:variant>
        <vt:lpwstr/>
      </vt:variant>
      <vt:variant>
        <vt:i4>1900548</vt:i4>
      </vt:variant>
      <vt:variant>
        <vt:i4>187</vt:i4>
      </vt:variant>
      <vt:variant>
        <vt:i4>0</vt:i4>
      </vt:variant>
      <vt:variant>
        <vt:i4>5</vt:i4>
      </vt:variant>
      <vt:variant>
        <vt:lpwstr>https://www.icnl.org/post/analysis/u-s-program-comments-faras-impact-on-civil-society</vt:lpwstr>
      </vt:variant>
      <vt:variant>
        <vt:lpwstr/>
      </vt:variant>
      <vt:variant>
        <vt:i4>5636130</vt:i4>
      </vt:variant>
      <vt:variant>
        <vt:i4>184</vt:i4>
      </vt:variant>
      <vt:variant>
        <vt:i4>0</vt:i4>
      </vt:variant>
      <vt:variant>
        <vt:i4>5</vt:i4>
      </vt:variant>
      <vt:variant>
        <vt:lpwstr>https://www.eeas.europa.eu/eeas/bosnia-and-herzegovina-statement-spokesperson-%E2%80%9Cforeign-agent%E2%80%9D-law-republika-srpska_en</vt:lpwstr>
      </vt:variant>
      <vt:variant>
        <vt:lpwstr/>
      </vt:variant>
      <vt:variant>
        <vt:i4>4128872</vt:i4>
      </vt:variant>
      <vt:variant>
        <vt:i4>181</vt:i4>
      </vt:variant>
      <vt:variant>
        <vt:i4>0</vt:i4>
      </vt:variant>
      <vt:variant>
        <vt:i4>5</vt:i4>
      </vt:variant>
      <vt:variant>
        <vt:lpwstr>https://parliament.ge/en/media/news/shalva-papuashvili-dunia-miatovichs-minda-dagartsmunot-saparlamento-diskusiebi-ikneba-inkluziuri-rom-moidzebnos-sauketeso-versia-romelits-gaitvalistsinebs-rogorts-sakartvelos</vt:lpwstr>
      </vt:variant>
      <vt:variant>
        <vt:lpwstr/>
      </vt:variant>
      <vt:variant>
        <vt:i4>5898244</vt:i4>
      </vt:variant>
      <vt:variant>
        <vt:i4>178</vt:i4>
      </vt:variant>
      <vt:variant>
        <vt:i4>0</vt:i4>
      </vt:variant>
      <vt:variant>
        <vt:i4>5</vt:i4>
      </vt:variant>
      <vt:variant>
        <vt:lpwstr>https://www.icnl.org/wp-content/uploads/FARA-briefing_Final_c.pdf</vt:lpwstr>
      </vt:variant>
      <vt:variant>
        <vt:lpwstr/>
      </vt:variant>
      <vt:variant>
        <vt:i4>5701638</vt:i4>
      </vt:variant>
      <vt:variant>
        <vt:i4>175</vt:i4>
      </vt:variant>
      <vt:variant>
        <vt:i4>0</vt:i4>
      </vt:variant>
      <vt:variant>
        <vt:i4>5</vt:i4>
      </vt:variant>
      <vt:variant>
        <vt:lpwstr>https://www.venice.coe.int/webforms/documents/default.aspx?pdffile=CDL-AD(2023)016-e</vt:lpwstr>
      </vt:variant>
      <vt:variant>
        <vt:lpwstr/>
      </vt:variant>
      <vt:variant>
        <vt:i4>3473408</vt:i4>
      </vt:variant>
      <vt:variant>
        <vt:i4>172</vt:i4>
      </vt:variant>
      <vt:variant>
        <vt:i4>0</vt:i4>
      </vt:variant>
      <vt:variant>
        <vt:i4>5</vt:i4>
      </vt:variant>
      <vt:variant>
        <vt:lpwstr>https://www.eeas.europa.eu/delegations/bosnia-and-herzegovina/eu-bih-recent-developments-rs_en?s=219</vt:lpwstr>
      </vt:variant>
      <vt:variant>
        <vt:lpwstr/>
      </vt:variant>
      <vt:variant>
        <vt:i4>4325417</vt:i4>
      </vt:variant>
      <vt:variant>
        <vt:i4>169</vt:i4>
      </vt:variant>
      <vt:variant>
        <vt:i4>0</vt:i4>
      </vt:variant>
      <vt:variant>
        <vt:i4>5</vt:i4>
      </vt:variant>
      <vt:variant>
        <vt:lpwstr>https://www.eeas.europa.eu/eeas/georgia-statement-high-representative-adoption-%E2%80%9Cforeign-influence%E2%80%9D-law_en</vt:lpwstr>
      </vt:variant>
      <vt:variant>
        <vt:lpwstr/>
      </vt:variant>
      <vt:variant>
        <vt:i4>7143541</vt:i4>
      </vt:variant>
      <vt:variant>
        <vt:i4>166</vt:i4>
      </vt:variant>
      <vt:variant>
        <vt:i4>0</vt:i4>
      </vt:variant>
      <vt:variant>
        <vt:i4>5</vt:i4>
      </vt:variant>
      <vt:variant>
        <vt:lpwstr>https://www.consilium.europa.eu/en/press/press-releases/2022/07/20/russia-declaration-by-the-high-representative-on-behalf-of-the-eu-on-the-10th-anniversary-of-the-introduction-of-the-law-on-foreign-agents/</vt:lpwstr>
      </vt:variant>
      <vt:variant>
        <vt:lpwstr/>
      </vt:variant>
      <vt:variant>
        <vt:i4>7274496</vt:i4>
      </vt:variant>
      <vt:variant>
        <vt:i4>163</vt:i4>
      </vt:variant>
      <vt:variant>
        <vt:i4>0</vt:i4>
      </vt:variant>
      <vt:variant>
        <vt:i4>5</vt:i4>
      </vt:variant>
      <vt:variant>
        <vt:lpwstr>https://research-and-innovation.ec.europa.eu/news/all-research-and-innovation-news/commission-publishes-toolkit-help-mitigate-foreign-interference-research-and-innovation-2022-01-18_en</vt:lpwstr>
      </vt:variant>
      <vt:variant>
        <vt:lpwstr/>
      </vt:variant>
      <vt:variant>
        <vt:i4>5570648</vt:i4>
      </vt:variant>
      <vt:variant>
        <vt:i4>148</vt:i4>
      </vt:variant>
      <vt:variant>
        <vt:i4>0</vt:i4>
      </vt:variant>
      <vt:variant>
        <vt:i4>5</vt:i4>
      </vt:variant>
      <vt:variant>
        <vt:lpwstr>https://fra.europa.eu/en/publication/2022/fundamental-rights-report-2022-fra-opinions</vt:lpwstr>
      </vt:variant>
      <vt:variant>
        <vt:lpwstr/>
      </vt:variant>
      <vt:variant>
        <vt:i4>7733360</vt:i4>
      </vt:variant>
      <vt:variant>
        <vt:i4>85</vt:i4>
      </vt:variant>
      <vt:variant>
        <vt:i4>0</vt:i4>
      </vt:variant>
      <vt:variant>
        <vt:i4>5</vt:i4>
      </vt:variant>
      <vt:variant>
        <vt:lpwstr>https://eur-lex.europa.eu/legal-content/EN/ALL/?uri=COM%3A2021%3A750%3AFIN</vt:lpwstr>
      </vt:variant>
      <vt:variant>
        <vt:lpwstr/>
      </vt:variant>
      <vt:variant>
        <vt:i4>5570624</vt:i4>
      </vt:variant>
      <vt:variant>
        <vt:i4>82</vt:i4>
      </vt:variant>
      <vt:variant>
        <vt:i4>0</vt:i4>
      </vt:variant>
      <vt:variant>
        <vt:i4>5</vt:i4>
      </vt:variant>
      <vt:variant>
        <vt:lpwstr>https://commission.europa.eu/system/files/2022-07/48_1_194008_coun_chap_poland_en.pdf</vt:lpwstr>
      </vt:variant>
      <vt:variant>
        <vt:lpwstr/>
      </vt:variant>
      <vt:variant>
        <vt:i4>5177434</vt:i4>
      </vt:variant>
      <vt:variant>
        <vt:i4>79</vt:i4>
      </vt:variant>
      <vt:variant>
        <vt:i4>0</vt:i4>
      </vt:variant>
      <vt:variant>
        <vt:i4>5</vt:i4>
      </vt:variant>
      <vt:variant>
        <vt:lpwstr>https://commission.europa.eu/system/files/2022-07/44_1_193999_coun_chap_netherlands_en.pdf</vt:lpwstr>
      </vt:variant>
      <vt:variant>
        <vt:lpwstr/>
      </vt:variant>
      <vt:variant>
        <vt:i4>65624</vt:i4>
      </vt:variant>
      <vt:variant>
        <vt:i4>76</vt:i4>
      </vt:variant>
      <vt:variant>
        <vt:i4>0</vt:i4>
      </vt:variant>
      <vt:variant>
        <vt:i4>5</vt:i4>
      </vt:variant>
      <vt:variant>
        <vt:lpwstr>https://www.fes.de/en/survey-european-sovereignty</vt:lpwstr>
      </vt:variant>
      <vt:variant>
        <vt:lpwstr/>
      </vt:variant>
      <vt:variant>
        <vt:i4>6946865</vt:i4>
      </vt:variant>
      <vt:variant>
        <vt:i4>73</vt:i4>
      </vt:variant>
      <vt:variant>
        <vt:i4>0</vt:i4>
      </vt:variant>
      <vt:variant>
        <vt:i4>5</vt:i4>
      </vt:variant>
      <vt:variant>
        <vt:lpwstr>https://www.ris.bka.gv.at/GeltendeFassung.wxe?Abfrage=Bundesnormen&amp;Gesetzesnummer=20007924</vt:lpwstr>
      </vt:variant>
      <vt:variant>
        <vt:lpwstr/>
      </vt:variant>
      <vt:variant>
        <vt:i4>6225966</vt:i4>
      </vt:variant>
      <vt:variant>
        <vt:i4>70</vt:i4>
      </vt:variant>
      <vt:variant>
        <vt:i4>0</vt:i4>
      </vt:variant>
      <vt:variant>
        <vt:i4>5</vt:i4>
      </vt:variant>
      <vt:variant>
        <vt:lpwstr>https://vtek.lt/wp-content/uploads/2021/06/EN_Law_on_Lobbying_Activities_2021.docx</vt:lpwstr>
      </vt:variant>
      <vt:variant>
        <vt:lpwstr/>
      </vt:variant>
      <vt:variant>
        <vt:i4>4980738</vt:i4>
      </vt:variant>
      <vt:variant>
        <vt:i4>67</vt:i4>
      </vt:variant>
      <vt:variant>
        <vt:i4>0</vt:i4>
      </vt:variant>
      <vt:variant>
        <vt:i4>5</vt:i4>
      </vt:variant>
      <vt:variant>
        <vt:lpwstr>http://www.gesetze-im-internet.de/lobbyrg/BJNR081800021.html</vt:lpwstr>
      </vt:variant>
      <vt:variant>
        <vt:lpwstr/>
      </vt:variant>
      <vt:variant>
        <vt:i4>1114115</vt:i4>
      </vt:variant>
      <vt:variant>
        <vt:i4>64</vt:i4>
      </vt:variant>
      <vt:variant>
        <vt:i4>0</vt:i4>
      </vt:variant>
      <vt:variant>
        <vt:i4>5</vt:i4>
      </vt:variant>
      <vt:variant>
        <vt:lpwstr>https://www.finlex.fi/fi/laki/ajantasa/2023/20230430</vt:lpwstr>
      </vt:variant>
      <vt:variant>
        <vt:lpwstr/>
      </vt:variant>
      <vt:variant>
        <vt:i4>1310720</vt:i4>
      </vt:variant>
      <vt:variant>
        <vt:i4>61</vt:i4>
      </vt:variant>
      <vt:variant>
        <vt:i4>0</vt:i4>
      </vt:variant>
      <vt:variant>
        <vt:i4>5</vt:i4>
      </vt:variant>
      <vt:variant>
        <vt:lpwstr>https://www.legifrance.gouv.fr/jorf/id/JORFTEXT000034633293/</vt:lpwstr>
      </vt:variant>
      <vt:variant>
        <vt:lpwstr/>
      </vt:variant>
      <vt:variant>
        <vt:i4>1769496</vt:i4>
      </vt:variant>
      <vt:variant>
        <vt:i4>55</vt:i4>
      </vt:variant>
      <vt:variant>
        <vt:i4>0</vt:i4>
      </vt:variant>
      <vt:variant>
        <vt:i4>5</vt:i4>
      </vt:variant>
      <vt:variant>
        <vt:lpwstr>https://www.irishstatutebook.ie/eli/2015/act/5/enacted/en/print.html</vt:lpwstr>
      </vt:variant>
      <vt:variant>
        <vt:lpwstr/>
      </vt:variant>
      <vt:variant>
        <vt:i4>1769496</vt:i4>
      </vt:variant>
      <vt:variant>
        <vt:i4>53</vt:i4>
      </vt:variant>
      <vt:variant>
        <vt:i4>0</vt:i4>
      </vt:variant>
      <vt:variant>
        <vt:i4>5</vt:i4>
      </vt:variant>
      <vt:variant>
        <vt:lpwstr>https://www.irishstatutebook.ie/eli/2015/act/5/enacted/en/print.html</vt:lpwstr>
      </vt:variant>
      <vt:variant>
        <vt:lpwstr/>
      </vt:variant>
      <vt:variant>
        <vt:i4>1769496</vt:i4>
      </vt:variant>
      <vt:variant>
        <vt:i4>50</vt:i4>
      </vt:variant>
      <vt:variant>
        <vt:i4>0</vt:i4>
      </vt:variant>
      <vt:variant>
        <vt:i4>5</vt:i4>
      </vt:variant>
      <vt:variant>
        <vt:lpwstr>https://www.irishstatutebook.ie/eli/2015/act/5/enacted/en/print.html</vt:lpwstr>
      </vt:variant>
      <vt:variant>
        <vt:lpwstr/>
      </vt:variant>
      <vt:variant>
        <vt:i4>6225966</vt:i4>
      </vt:variant>
      <vt:variant>
        <vt:i4>47</vt:i4>
      </vt:variant>
      <vt:variant>
        <vt:i4>0</vt:i4>
      </vt:variant>
      <vt:variant>
        <vt:i4>5</vt:i4>
      </vt:variant>
      <vt:variant>
        <vt:lpwstr>https://vtek.lt/wp-content/uploads/2021/06/EN_Law_on_Lobbying_Activities_2021.docx</vt:lpwstr>
      </vt:variant>
      <vt:variant>
        <vt:lpwstr/>
      </vt:variant>
      <vt:variant>
        <vt:i4>1769496</vt:i4>
      </vt:variant>
      <vt:variant>
        <vt:i4>42</vt:i4>
      </vt:variant>
      <vt:variant>
        <vt:i4>0</vt:i4>
      </vt:variant>
      <vt:variant>
        <vt:i4>5</vt:i4>
      </vt:variant>
      <vt:variant>
        <vt:lpwstr>https://www.irishstatutebook.ie/eli/2015/act/5/enacted/en/print.html</vt:lpwstr>
      </vt:variant>
      <vt:variant>
        <vt:lpwstr/>
      </vt:variant>
      <vt:variant>
        <vt:i4>4128804</vt:i4>
      </vt:variant>
      <vt:variant>
        <vt:i4>39</vt:i4>
      </vt:variant>
      <vt:variant>
        <vt:i4>0</vt:i4>
      </vt:variant>
      <vt:variant>
        <vt:i4>5</vt:i4>
      </vt:variant>
      <vt:variant>
        <vt:lpwstr>https://www.kpk-rs.si/kpk/wp-content/uploads/2018/06/ZintPK-ENG.pdf.pdf</vt:lpwstr>
      </vt:variant>
      <vt:variant>
        <vt:lpwstr/>
      </vt:variant>
      <vt:variant>
        <vt:i4>2752566</vt:i4>
      </vt:variant>
      <vt:variant>
        <vt:i4>36</vt:i4>
      </vt:variant>
      <vt:variant>
        <vt:i4>0</vt:i4>
      </vt:variant>
      <vt:variant>
        <vt:i4>5</vt:i4>
      </vt:variant>
      <vt:variant>
        <vt:lpwstr>https://www.taxheaven.gr/law/4829/2021</vt:lpwstr>
      </vt:variant>
      <vt:variant>
        <vt:lpwstr/>
      </vt:variant>
      <vt:variant>
        <vt:i4>4980738</vt:i4>
      </vt:variant>
      <vt:variant>
        <vt:i4>33</vt:i4>
      </vt:variant>
      <vt:variant>
        <vt:i4>0</vt:i4>
      </vt:variant>
      <vt:variant>
        <vt:i4>5</vt:i4>
      </vt:variant>
      <vt:variant>
        <vt:lpwstr>http://www.gesetze-im-internet.de/lobbyrg/BJNR081800021.html</vt:lpwstr>
      </vt:variant>
      <vt:variant>
        <vt:lpwstr/>
      </vt:variant>
      <vt:variant>
        <vt:i4>4128804</vt:i4>
      </vt:variant>
      <vt:variant>
        <vt:i4>30</vt:i4>
      </vt:variant>
      <vt:variant>
        <vt:i4>0</vt:i4>
      </vt:variant>
      <vt:variant>
        <vt:i4>5</vt:i4>
      </vt:variant>
      <vt:variant>
        <vt:lpwstr>https://www.kpk-rs.si/kpk/wp-content/uploads/2018/06/ZintPK-ENG.pdf.pdf</vt:lpwstr>
      </vt:variant>
      <vt:variant>
        <vt:lpwstr/>
      </vt:variant>
      <vt:variant>
        <vt:i4>4128804</vt:i4>
      </vt:variant>
      <vt:variant>
        <vt:i4>27</vt:i4>
      </vt:variant>
      <vt:variant>
        <vt:i4>0</vt:i4>
      </vt:variant>
      <vt:variant>
        <vt:i4>5</vt:i4>
      </vt:variant>
      <vt:variant>
        <vt:lpwstr>https://www.kpk-rs.si/kpk/wp-content/uploads/2018/06/ZintPK-ENG.pdf.pdf</vt:lpwstr>
      </vt:variant>
      <vt:variant>
        <vt:lpwstr/>
      </vt:variant>
      <vt:variant>
        <vt:i4>2752566</vt:i4>
      </vt:variant>
      <vt:variant>
        <vt:i4>24</vt:i4>
      </vt:variant>
      <vt:variant>
        <vt:i4>0</vt:i4>
      </vt:variant>
      <vt:variant>
        <vt:i4>5</vt:i4>
      </vt:variant>
      <vt:variant>
        <vt:lpwstr>https://www.taxheaven.gr/law/4829/2021</vt:lpwstr>
      </vt:variant>
      <vt:variant>
        <vt:lpwstr/>
      </vt:variant>
      <vt:variant>
        <vt:i4>6225966</vt:i4>
      </vt:variant>
      <vt:variant>
        <vt:i4>21</vt:i4>
      </vt:variant>
      <vt:variant>
        <vt:i4>0</vt:i4>
      </vt:variant>
      <vt:variant>
        <vt:i4>5</vt:i4>
      </vt:variant>
      <vt:variant>
        <vt:lpwstr>https://vtek.lt/wp-content/uploads/2021/06/EN_Law_on_Lobbying_Activities_2021.docx</vt:lpwstr>
      </vt:variant>
      <vt:variant>
        <vt:lpwstr/>
      </vt:variant>
      <vt:variant>
        <vt:i4>3014771</vt:i4>
      </vt:variant>
      <vt:variant>
        <vt:i4>12</vt:i4>
      </vt:variant>
      <vt:variant>
        <vt:i4>0</vt:i4>
      </vt:variant>
      <vt:variant>
        <vt:i4>5</vt:i4>
      </vt:variant>
      <vt:variant>
        <vt:lpwstr>https://doi.org/10.1787/c6d8eff8-en</vt:lpwstr>
      </vt:variant>
      <vt:variant>
        <vt:lpwstr/>
      </vt:variant>
      <vt:variant>
        <vt:i4>3932247</vt:i4>
      </vt:variant>
      <vt:variant>
        <vt:i4>9</vt:i4>
      </vt:variant>
      <vt:variant>
        <vt:i4>0</vt:i4>
      </vt:variant>
      <vt:variant>
        <vt:i4>5</vt:i4>
      </vt:variant>
      <vt:variant>
        <vt:lpwstr>https://www.eeas.europa.eu/eeas/tackling-disinformation-foreign-information-manipulation-interference_en</vt:lpwstr>
      </vt:variant>
      <vt:variant>
        <vt:lpwstr/>
      </vt:variant>
      <vt:variant>
        <vt:i4>1310784</vt:i4>
      </vt:variant>
      <vt:variant>
        <vt:i4>6</vt:i4>
      </vt:variant>
      <vt:variant>
        <vt:i4>0</vt:i4>
      </vt:variant>
      <vt:variant>
        <vt:i4>5</vt:i4>
      </vt:variant>
      <vt:variant>
        <vt:lpwstr>https://op.europa.eu/en/publication-detail/-/publication/a224c235-4843-11ed-92ed-01aa75ed71a1/language-en</vt:lpwstr>
      </vt:variant>
      <vt:variant>
        <vt:lpwstr/>
      </vt:variant>
      <vt:variant>
        <vt:i4>2490425</vt:i4>
      </vt:variant>
      <vt:variant>
        <vt:i4>3</vt:i4>
      </vt:variant>
      <vt:variant>
        <vt:i4>0</vt:i4>
      </vt:variant>
      <vt:variant>
        <vt:i4>5</vt:i4>
      </vt:variant>
      <vt:variant>
        <vt:lpwstr>https://digital-strategy.ec.europa.eu/en/policies/code-practice-disinformation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31</cp:revision>
  <cp:lastPrinted>2023-12-05T17:29:00Z</cp:lastPrinted>
  <dcterms:created xsi:type="dcterms:W3CDTF">2023-12-11T17:39:00Z</dcterms:created>
  <dcterms:modified xsi:type="dcterms:W3CDTF">2023-12-11T19:54:00Z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2023-12-05T11:55:34Z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db19aeb5-ed57-4b80-94ab-e4bc018bac7e</vt:lpwstr>
  </property>
  <property fmtid="{D5CDD505-2E9C-101B-9397-08002B2CF9AE}" pid="8" name="MSIP_Label_6bd9ddd1-4d20-43f6-abfa-fc3c07406f94_ContentBits">
    <vt:lpwstr>0</vt:lpwstr>
  </property>
  <property fmtid="{D5CDD505-2E9C-101B-9397-08002B2CF9AE}" pid="9" name="Level of sensitivity">
    <vt:lpwstr>Standard treatment</vt:lpwstr>
  </property>
  <property fmtid="{D5CDD505-2E9C-101B-9397-08002B2CF9AE}" pid="10" name="Last edited using">
    <vt:lpwstr>LW 9.0, Build 20230317</vt:lpwstr>
  </property>
  <property fmtid="{D5CDD505-2E9C-101B-9397-08002B2CF9AE}" pid="11" name="Part">
    <vt:lpwstr>1</vt:lpwstr>
  </property>
  <property fmtid="{D5CDD505-2E9C-101B-9397-08002B2CF9AE}" pid="12" name="Total parts">
    <vt:lpwstr>1</vt:lpwstr>
  </property>
  <property fmtid="{D5CDD505-2E9C-101B-9397-08002B2CF9AE}" pid="13" name="DocStatus">
    <vt:lpwstr>Green</vt:lpwstr>
  </property>
  <property fmtid="{D5CDD505-2E9C-101B-9397-08002B2CF9AE}" pid="14" name="CPTemplateID">
    <vt:lpwstr>CP-026</vt:lpwstr>
  </property>
  <property fmtid="{D5CDD505-2E9C-101B-9397-08002B2CF9AE}" pid="15" name="ContentTypeId">
    <vt:lpwstr>0x010100F08946F0AA494C4BB25CCD4EAB82602F</vt:lpwstr>
  </property>
</Properties>
</file>